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spacing w:line="218" w:lineRule="auto" w:before="188"/>
        <w:ind w:left="3323" w:right="774" w:hanging="1568"/>
        <w:jc w:val="left"/>
        <w:rPr>
          <w:rFonts w:ascii="Arial" w:hAnsi="Arial"/>
          <w:b/>
          <w:sz w:val="36"/>
        </w:rPr>
      </w:pPr>
      <w:r>
        <w:rPr>
          <w:rFonts w:ascii="Arial" w:hAnsi="Arial"/>
          <w:b/>
          <w:color w:val="231F20"/>
          <w:w w:val="95"/>
          <w:sz w:val="36"/>
        </w:rPr>
        <w:t>Stress,</w:t>
      </w:r>
      <w:r>
        <w:rPr>
          <w:rFonts w:ascii="Arial" w:hAnsi="Arial"/>
          <w:b/>
          <w:color w:val="231F20"/>
          <w:spacing w:val="-36"/>
          <w:w w:val="95"/>
          <w:sz w:val="36"/>
        </w:rPr>
        <w:t> </w:t>
      </w:r>
      <w:r>
        <w:rPr>
          <w:rFonts w:ascii="Arial" w:hAnsi="Arial"/>
          <w:b/>
          <w:color w:val="231F20"/>
          <w:w w:val="95"/>
          <w:sz w:val="36"/>
        </w:rPr>
        <w:t>santé</w:t>
      </w:r>
      <w:r>
        <w:rPr>
          <w:rFonts w:ascii="Arial" w:hAnsi="Arial"/>
          <w:b/>
          <w:color w:val="231F20"/>
          <w:spacing w:val="-36"/>
          <w:w w:val="95"/>
          <w:sz w:val="36"/>
        </w:rPr>
        <w:t> </w:t>
      </w:r>
      <w:r>
        <w:rPr>
          <w:rFonts w:ascii="Arial" w:hAnsi="Arial"/>
          <w:b/>
          <w:color w:val="231F20"/>
          <w:w w:val="95"/>
          <w:sz w:val="36"/>
        </w:rPr>
        <w:t>et</w:t>
      </w:r>
      <w:r>
        <w:rPr>
          <w:rFonts w:ascii="Arial" w:hAnsi="Arial"/>
          <w:b/>
          <w:color w:val="231F20"/>
          <w:spacing w:val="-36"/>
          <w:w w:val="95"/>
          <w:sz w:val="36"/>
        </w:rPr>
        <w:t> </w:t>
      </w:r>
      <w:r>
        <w:rPr>
          <w:rFonts w:ascii="Arial" w:hAnsi="Arial"/>
          <w:b/>
          <w:color w:val="231F20"/>
          <w:w w:val="95"/>
          <w:sz w:val="36"/>
        </w:rPr>
        <w:t>performance </w:t>
      </w:r>
      <w:r>
        <w:rPr>
          <w:rFonts w:ascii="Arial" w:hAnsi="Arial"/>
          <w:b/>
          <w:color w:val="231F20"/>
          <w:sz w:val="36"/>
        </w:rPr>
        <w:t>au</w:t>
      </w:r>
      <w:r>
        <w:rPr>
          <w:rFonts w:ascii="Arial" w:hAnsi="Arial"/>
          <w:b/>
          <w:color w:val="231F20"/>
          <w:spacing w:val="-23"/>
          <w:sz w:val="36"/>
        </w:rPr>
        <w:t> </w:t>
      </w:r>
      <w:r>
        <w:rPr>
          <w:rFonts w:ascii="Arial" w:hAnsi="Arial"/>
          <w:b/>
          <w:color w:val="231F20"/>
          <w:sz w:val="36"/>
        </w:rPr>
        <w:t>travail</w:t>
      </w:r>
    </w:p>
    <w:p>
      <w:pPr>
        <w:spacing w:after="0" w:line="218" w:lineRule="auto"/>
        <w:jc w:val="left"/>
        <w:rPr>
          <w:rFonts w:ascii="Arial" w:hAnsi="Arial"/>
          <w:sz w:val="36"/>
        </w:rPr>
        <w:sectPr>
          <w:type w:val="continuous"/>
          <w:pgSz w:w="8640" w:h="12960"/>
          <w:pgMar w:top="1220" w:bottom="280" w:left="460" w:right="100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18"/>
        </w:rPr>
      </w:pPr>
    </w:p>
    <w:p>
      <w:pPr>
        <w:spacing w:before="136"/>
        <w:ind w:left="1770" w:right="0" w:firstLine="0"/>
        <w:jc w:val="left"/>
        <w:rPr>
          <w:rFonts w:ascii="Arial" w:hAnsi="Arial"/>
          <w:b/>
          <w:sz w:val="14"/>
        </w:rPr>
      </w:pPr>
      <w:r>
        <w:rPr/>
        <w:drawing>
          <wp:anchor distT="0" distB="0" distL="0" distR="0" allowOverlap="1" layoutInCell="1" locked="0" behindDoc="0" simplePos="0" relativeHeight="15729152">
            <wp:simplePos x="0" y="0"/>
            <wp:positionH relativeFrom="page">
              <wp:posOffset>889760</wp:posOffset>
            </wp:positionH>
            <wp:positionV relativeFrom="paragraph">
              <wp:posOffset>65003</wp:posOffset>
            </wp:positionV>
            <wp:extent cx="373889" cy="41948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73889" cy="419487"/>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60.441078pt;margin-top:13.398469pt;width:8.4pt;height:26pt;mso-position-horizontal-relative:page;mso-position-vertical-relative:paragraph;z-index:15729664" type="#_x0000_t202" id="docshape1" filled="false" stroked="false">
            <v:textbox inset="0,0,0,0" style="layout-flow:vertical;mso-layout-flow-alt:bottom-to-top">
              <w:txbxContent>
                <w:p>
                  <w:pPr>
                    <w:spacing w:before="24"/>
                    <w:ind w:left="20" w:right="0" w:firstLine="0"/>
                    <w:jc w:val="left"/>
                    <w:rPr>
                      <w:rFonts w:ascii="Helvetica Neue Condensed"/>
                      <w:b/>
                      <w:sz w:val="10"/>
                    </w:rPr>
                  </w:pPr>
                  <w:r>
                    <w:rPr>
                      <w:rFonts w:ascii="Helvetica Neue Condensed"/>
                      <w:b/>
                      <w:color w:val="808285"/>
                      <w:w w:val="105"/>
                      <w:sz w:val="10"/>
                    </w:rPr>
                    <w:t>Membre</w:t>
                  </w:r>
                  <w:r>
                    <w:rPr>
                      <w:rFonts w:ascii="Helvetica Neue Condensed"/>
                      <w:b/>
                      <w:color w:val="808285"/>
                      <w:spacing w:val="6"/>
                      <w:w w:val="105"/>
                      <w:sz w:val="10"/>
                    </w:rPr>
                    <w:t> </w:t>
                  </w:r>
                  <w:r>
                    <w:rPr>
                      <w:rFonts w:ascii="Helvetica Neue Condensed"/>
                      <w:b/>
                      <w:color w:val="808285"/>
                      <w:spacing w:val="-5"/>
                      <w:w w:val="105"/>
                      <w:sz w:val="10"/>
                    </w:rPr>
                    <w:t>de</w:t>
                  </w:r>
                </w:p>
              </w:txbxContent>
            </v:textbox>
            <w10:wrap type="none"/>
          </v:shape>
        </w:pict>
      </w:r>
      <w:r>
        <w:rPr>
          <w:rFonts w:ascii="Arial" w:hAnsi="Arial"/>
          <w:b/>
          <w:color w:val="231F20"/>
          <w:w w:val="95"/>
          <w:sz w:val="14"/>
        </w:rPr>
        <w:t>Presses</w:t>
      </w:r>
      <w:r>
        <w:rPr>
          <w:rFonts w:ascii="Arial" w:hAnsi="Arial"/>
          <w:b/>
          <w:color w:val="231F20"/>
          <w:spacing w:val="6"/>
          <w:sz w:val="14"/>
        </w:rPr>
        <w:t> </w:t>
      </w:r>
      <w:r>
        <w:rPr>
          <w:rFonts w:ascii="Arial" w:hAnsi="Arial"/>
          <w:b/>
          <w:color w:val="231F20"/>
          <w:w w:val="95"/>
          <w:sz w:val="14"/>
        </w:rPr>
        <w:t>de</w:t>
      </w:r>
      <w:r>
        <w:rPr>
          <w:rFonts w:ascii="Arial" w:hAnsi="Arial"/>
          <w:b/>
          <w:color w:val="231F20"/>
          <w:spacing w:val="7"/>
          <w:sz w:val="14"/>
        </w:rPr>
        <w:t> </w:t>
      </w:r>
      <w:r>
        <w:rPr>
          <w:rFonts w:ascii="Arial" w:hAnsi="Arial"/>
          <w:b/>
          <w:color w:val="231F20"/>
          <w:w w:val="95"/>
          <w:sz w:val="14"/>
        </w:rPr>
        <w:t>l’Université</w:t>
      </w:r>
      <w:r>
        <w:rPr>
          <w:rFonts w:ascii="Arial" w:hAnsi="Arial"/>
          <w:b/>
          <w:color w:val="231F20"/>
          <w:spacing w:val="6"/>
          <w:sz w:val="14"/>
        </w:rPr>
        <w:t> </w:t>
      </w:r>
      <w:r>
        <w:rPr>
          <w:rFonts w:ascii="Arial" w:hAnsi="Arial"/>
          <w:b/>
          <w:color w:val="231F20"/>
          <w:w w:val="95"/>
          <w:sz w:val="14"/>
        </w:rPr>
        <w:t>du</w:t>
      </w:r>
      <w:r>
        <w:rPr>
          <w:rFonts w:ascii="Arial" w:hAnsi="Arial"/>
          <w:b/>
          <w:color w:val="231F20"/>
          <w:spacing w:val="7"/>
          <w:sz w:val="14"/>
        </w:rPr>
        <w:t> </w:t>
      </w:r>
      <w:r>
        <w:rPr>
          <w:rFonts w:ascii="Arial" w:hAnsi="Arial"/>
          <w:b/>
          <w:color w:val="231F20"/>
          <w:spacing w:val="-2"/>
          <w:w w:val="95"/>
          <w:sz w:val="14"/>
        </w:rPr>
        <w:t>Québec</w:t>
      </w:r>
    </w:p>
    <w:p>
      <w:pPr>
        <w:spacing w:line="295" w:lineRule="auto" w:before="28"/>
        <w:ind w:left="1770" w:right="774" w:firstLine="0"/>
        <w:jc w:val="left"/>
        <w:rPr>
          <w:rFonts w:ascii="Arial" w:hAnsi="Arial"/>
          <w:sz w:val="12"/>
        </w:rPr>
      </w:pPr>
      <w:r>
        <w:rPr>
          <w:rFonts w:ascii="Arial" w:hAnsi="Arial"/>
          <w:color w:val="231F20"/>
          <w:sz w:val="12"/>
        </w:rPr>
        <w:t>Édifice Fleurie, 480, rue de la Chapelle, bureau F015, Québec (Québec) G1K 0B6</w:t>
      </w:r>
      <w:r>
        <w:rPr>
          <w:rFonts w:ascii="Arial" w:hAnsi="Arial"/>
          <w:color w:val="231F20"/>
          <w:spacing w:val="40"/>
          <w:sz w:val="12"/>
        </w:rPr>
        <w:t> </w:t>
      </w:r>
      <w:r>
        <w:rPr>
          <w:rFonts w:ascii="Arial" w:hAnsi="Arial"/>
          <w:color w:val="231F20"/>
          <w:sz w:val="12"/>
        </w:rPr>
        <w:t>Téléphone</w:t>
      </w:r>
      <w:r>
        <w:rPr>
          <w:rFonts w:ascii="Arial" w:hAnsi="Arial"/>
          <w:color w:val="231F20"/>
          <w:spacing w:val="-4"/>
          <w:sz w:val="12"/>
        </w:rPr>
        <w:t> </w:t>
      </w:r>
      <w:r>
        <w:rPr>
          <w:rFonts w:ascii="Arial" w:hAnsi="Arial"/>
          <w:color w:val="231F20"/>
          <w:sz w:val="12"/>
        </w:rPr>
        <w:t>:</w:t>
      </w:r>
      <w:r>
        <w:rPr>
          <w:rFonts w:ascii="Arial" w:hAnsi="Arial"/>
          <w:color w:val="231F20"/>
          <w:spacing w:val="31"/>
          <w:sz w:val="12"/>
        </w:rPr>
        <w:t> </w:t>
      </w:r>
      <w:r>
        <w:rPr>
          <w:rFonts w:ascii="Arial" w:hAnsi="Arial"/>
          <w:color w:val="231F20"/>
          <w:sz w:val="12"/>
        </w:rPr>
        <w:t>418</w:t>
      </w:r>
      <w:r>
        <w:rPr>
          <w:rFonts w:ascii="Arial" w:hAnsi="Arial"/>
          <w:color w:val="231F20"/>
          <w:spacing w:val="31"/>
          <w:sz w:val="12"/>
        </w:rPr>
        <w:t> </w:t>
      </w:r>
      <w:r>
        <w:rPr>
          <w:rFonts w:ascii="Arial" w:hAnsi="Arial"/>
          <w:color w:val="231F20"/>
          <w:sz w:val="12"/>
        </w:rPr>
        <w:t>657-4399</w:t>
      </w:r>
      <w:r>
        <w:rPr>
          <w:rFonts w:ascii="Arial" w:hAnsi="Arial"/>
          <w:color w:val="231F20"/>
          <w:spacing w:val="31"/>
          <w:sz w:val="12"/>
        </w:rPr>
        <w:t> </w:t>
      </w:r>
      <w:r>
        <w:rPr>
          <w:rFonts w:ascii="Arial" w:hAnsi="Arial"/>
          <w:color w:val="231F20"/>
          <w:sz w:val="12"/>
        </w:rPr>
        <w:t>–</w:t>
      </w:r>
      <w:r>
        <w:rPr>
          <w:rFonts w:ascii="Arial" w:hAnsi="Arial"/>
          <w:color w:val="231F20"/>
          <w:spacing w:val="31"/>
          <w:sz w:val="12"/>
        </w:rPr>
        <w:t> </w:t>
      </w:r>
      <w:r>
        <w:rPr>
          <w:rFonts w:ascii="Arial" w:hAnsi="Arial"/>
          <w:color w:val="231F20"/>
          <w:sz w:val="12"/>
        </w:rPr>
        <w:t>Télécopieur</w:t>
      </w:r>
      <w:r>
        <w:rPr>
          <w:rFonts w:ascii="Arial" w:hAnsi="Arial"/>
          <w:color w:val="231F20"/>
          <w:spacing w:val="-4"/>
          <w:sz w:val="12"/>
        </w:rPr>
        <w:t> </w:t>
      </w:r>
      <w:r>
        <w:rPr>
          <w:rFonts w:ascii="Arial" w:hAnsi="Arial"/>
          <w:color w:val="231F20"/>
          <w:sz w:val="12"/>
        </w:rPr>
        <w:t>:</w:t>
      </w:r>
      <w:r>
        <w:rPr>
          <w:rFonts w:ascii="Arial" w:hAnsi="Arial"/>
          <w:color w:val="231F20"/>
          <w:spacing w:val="31"/>
          <w:sz w:val="12"/>
        </w:rPr>
        <w:t> </w:t>
      </w:r>
      <w:r>
        <w:rPr>
          <w:rFonts w:ascii="Arial" w:hAnsi="Arial"/>
          <w:color w:val="231F20"/>
          <w:sz w:val="12"/>
        </w:rPr>
        <w:t>418</w:t>
      </w:r>
      <w:r>
        <w:rPr>
          <w:rFonts w:ascii="Arial" w:hAnsi="Arial"/>
          <w:color w:val="231F20"/>
          <w:spacing w:val="31"/>
          <w:sz w:val="12"/>
        </w:rPr>
        <w:t> </w:t>
      </w:r>
      <w:r>
        <w:rPr>
          <w:rFonts w:ascii="Arial" w:hAnsi="Arial"/>
          <w:color w:val="231F20"/>
          <w:sz w:val="12"/>
        </w:rPr>
        <w:t>657-2096</w:t>
      </w:r>
    </w:p>
    <w:p>
      <w:pPr>
        <w:spacing w:before="0"/>
        <w:ind w:left="1770" w:right="0" w:firstLine="0"/>
        <w:jc w:val="left"/>
        <w:rPr>
          <w:rFonts w:ascii="Arial" w:hAnsi="Arial"/>
          <w:sz w:val="12"/>
        </w:rPr>
      </w:pPr>
      <w:r>
        <w:rPr>
          <w:rFonts w:ascii="Arial" w:hAnsi="Arial"/>
          <w:color w:val="231F20"/>
          <w:sz w:val="12"/>
        </w:rPr>
        <w:t>Courriel</w:t>
      </w:r>
      <w:r>
        <w:rPr>
          <w:rFonts w:ascii="Arial" w:hAnsi="Arial"/>
          <w:color w:val="231F20"/>
          <w:spacing w:val="-11"/>
          <w:sz w:val="12"/>
        </w:rPr>
        <w:t> </w:t>
      </w:r>
      <w:r>
        <w:rPr>
          <w:rFonts w:ascii="Arial" w:hAnsi="Arial"/>
          <w:color w:val="231F20"/>
          <w:sz w:val="12"/>
        </w:rPr>
        <w:t>:</w:t>
      </w:r>
      <w:r>
        <w:rPr>
          <w:rFonts w:ascii="Arial" w:hAnsi="Arial"/>
          <w:color w:val="231F20"/>
          <w:spacing w:val="17"/>
          <w:sz w:val="12"/>
        </w:rPr>
        <w:t> </w:t>
      </w:r>
      <w:hyperlink r:id="rId6">
        <w:r>
          <w:rPr>
            <w:rFonts w:ascii="Arial" w:hAnsi="Arial"/>
            <w:color w:val="231F20"/>
            <w:sz w:val="12"/>
          </w:rPr>
          <w:t>puq@puq.ca</w:t>
        </w:r>
        <w:r>
          <w:rPr>
            <w:rFonts w:ascii="Arial" w:hAnsi="Arial"/>
            <w:color w:val="231F20"/>
            <w:spacing w:val="17"/>
            <w:sz w:val="12"/>
          </w:rPr>
          <w:t> </w:t>
        </w:r>
      </w:hyperlink>
      <w:r>
        <w:rPr>
          <w:rFonts w:ascii="Arial" w:hAnsi="Arial"/>
          <w:color w:val="231F20"/>
          <w:sz w:val="12"/>
        </w:rPr>
        <w:t>–</w:t>
      </w:r>
      <w:r>
        <w:rPr>
          <w:rFonts w:ascii="Arial" w:hAnsi="Arial"/>
          <w:color w:val="231F20"/>
          <w:spacing w:val="17"/>
          <w:sz w:val="12"/>
        </w:rPr>
        <w:t> </w:t>
      </w:r>
      <w:r>
        <w:rPr>
          <w:rFonts w:ascii="Arial" w:hAnsi="Arial"/>
          <w:color w:val="231F20"/>
          <w:sz w:val="12"/>
        </w:rPr>
        <w:t>Internet</w:t>
      </w:r>
      <w:r>
        <w:rPr>
          <w:rFonts w:ascii="Arial" w:hAnsi="Arial"/>
          <w:color w:val="231F20"/>
          <w:spacing w:val="-10"/>
          <w:sz w:val="12"/>
        </w:rPr>
        <w:t> </w:t>
      </w:r>
      <w:r>
        <w:rPr>
          <w:rFonts w:ascii="Arial" w:hAnsi="Arial"/>
          <w:color w:val="231F20"/>
          <w:sz w:val="12"/>
        </w:rPr>
        <w:t>:</w:t>
      </w:r>
      <w:r>
        <w:rPr>
          <w:rFonts w:ascii="Arial" w:hAnsi="Arial"/>
          <w:color w:val="231F20"/>
          <w:spacing w:val="16"/>
          <w:sz w:val="12"/>
        </w:rPr>
        <w:t> </w:t>
      </w:r>
      <w:hyperlink r:id="rId7">
        <w:r>
          <w:rPr>
            <w:rFonts w:ascii="Arial" w:hAnsi="Arial"/>
            <w:color w:val="231F20"/>
            <w:spacing w:val="-2"/>
            <w:sz w:val="12"/>
          </w:rPr>
          <w:t>www.puq.ca</w:t>
        </w:r>
      </w:hyperlink>
    </w:p>
    <w:p>
      <w:pPr>
        <w:pStyle w:val="BodyText"/>
        <w:rPr>
          <w:rFonts w:ascii="Arial"/>
          <w:sz w:val="20"/>
        </w:rPr>
      </w:pPr>
    </w:p>
    <w:p>
      <w:pPr>
        <w:pStyle w:val="BodyText"/>
        <w:rPr>
          <w:rFonts w:ascii="Arial"/>
          <w:sz w:val="16"/>
        </w:rPr>
      </w:pPr>
    </w:p>
    <w:p>
      <w:pPr>
        <w:spacing w:before="98"/>
        <w:ind w:left="1770" w:right="0" w:firstLine="0"/>
        <w:jc w:val="left"/>
        <w:rPr>
          <w:rFonts w:ascii="Arial"/>
          <w:i/>
          <w:sz w:val="12"/>
        </w:rPr>
      </w:pPr>
      <w:r>
        <w:rPr>
          <w:rFonts w:ascii="Arial"/>
          <w:i/>
          <w:color w:val="231F20"/>
          <w:sz w:val="12"/>
        </w:rPr>
        <w:t>Diffusion</w:t>
      </w:r>
      <w:r>
        <w:rPr>
          <w:rFonts w:ascii="Arial"/>
          <w:i/>
          <w:color w:val="231F20"/>
          <w:spacing w:val="6"/>
          <w:sz w:val="12"/>
        </w:rPr>
        <w:t> </w:t>
      </w:r>
      <w:r>
        <w:rPr>
          <w:rFonts w:ascii="Arial"/>
          <w:i/>
          <w:color w:val="231F20"/>
          <w:sz w:val="12"/>
        </w:rPr>
        <w:t>/</w:t>
      </w:r>
      <w:r>
        <w:rPr>
          <w:rFonts w:ascii="Arial"/>
          <w:i/>
          <w:color w:val="231F20"/>
          <w:spacing w:val="6"/>
          <w:sz w:val="12"/>
        </w:rPr>
        <w:t> </w:t>
      </w:r>
      <w:r>
        <w:rPr>
          <w:rFonts w:ascii="Arial"/>
          <w:i/>
          <w:color w:val="231F20"/>
          <w:spacing w:val="-2"/>
          <w:sz w:val="12"/>
        </w:rPr>
        <w:t>Distribution:</w:t>
      </w:r>
    </w:p>
    <w:p>
      <w:pPr>
        <w:tabs>
          <w:tab w:pos="1769" w:val="left" w:leader="none"/>
        </w:tabs>
        <w:spacing w:before="112"/>
        <w:ind w:left="780" w:right="0" w:firstLine="0"/>
        <w:jc w:val="left"/>
        <w:rPr>
          <w:rFonts w:ascii="Arial"/>
          <w:sz w:val="12"/>
        </w:rPr>
      </w:pPr>
      <w:r>
        <w:rPr>
          <w:rFonts w:ascii="Arial"/>
          <w:b/>
          <w:color w:val="231F20"/>
          <w:spacing w:val="-2"/>
          <w:sz w:val="12"/>
        </w:rPr>
        <w:t>Canada</w:t>
      </w:r>
      <w:r>
        <w:rPr>
          <w:rFonts w:ascii="Arial"/>
          <w:b/>
          <w:color w:val="231F20"/>
          <w:sz w:val="12"/>
        </w:rPr>
        <w:tab/>
      </w:r>
      <w:r>
        <w:rPr>
          <w:rFonts w:ascii="Arial"/>
          <w:color w:val="231F20"/>
          <w:sz w:val="12"/>
        </w:rPr>
        <w:t>Prologue</w:t>
      </w:r>
      <w:r>
        <w:rPr>
          <w:rFonts w:ascii="Arial"/>
          <w:color w:val="231F20"/>
          <w:spacing w:val="33"/>
          <w:sz w:val="12"/>
        </w:rPr>
        <w:t> </w:t>
      </w:r>
      <w:r>
        <w:rPr>
          <w:rFonts w:ascii="Arial"/>
          <w:color w:val="231F20"/>
          <w:sz w:val="12"/>
        </w:rPr>
        <w:t>inc.,</w:t>
      </w:r>
      <w:r>
        <w:rPr>
          <w:rFonts w:ascii="Arial"/>
          <w:color w:val="231F20"/>
          <w:spacing w:val="35"/>
          <w:sz w:val="12"/>
        </w:rPr>
        <w:t> </w:t>
      </w:r>
      <w:r>
        <w:rPr>
          <w:rFonts w:ascii="Arial"/>
          <w:color w:val="231F20"/>
          <w:sz w:val="12"/>
        </w:rPr>
        <w:t>1650,</w:t>
      </w:r>
      <w:r>
        <w:rPr>
          <w:rFonts w:ascii="Arial"/>
          <w:color w:val="231F20"/>
          <w:spacing w:val="34"/>
          <w:sz w:val="12"/>
        </w:rPr>
        <w:t> </w:t>
      </w:r>
      <w:r>
        <w:rPr>
          <w:rFonts w:ascii="Arial"/>
          <w:color w:val="231F20"/>
          <w:sz w:val="12"/>
        </w:rPr>
        <w:t>boulevard</w:t>
      </w:r>
      <w:r>
        <w:rPr>
          <w:rFonts w:ascii="Arial"/>
          <w:color w:val="231F20"/>
          <w:spacing w:val="33"/>
          <w:sz w:val="12"/>
        </w:rPr>
        <w:t> </w:t>
      </w:r>
      <w:r>
        <w:rPr>
          <w:rFonts w:ascii="Arial"/>
          <w:color w:val="231F20"/>
          <w:sz w:val="12"/>
        </w:rPr>
        <w:t>Lionel-</w:t>
      </w:r>
      <w:r>
        <w:rPr>
          <w:rFonts w:ascii="Arial"/>
          <w:color w:val="231F20"/>
          <w:spacing w:val="-2"/>
          <w:sz w:val="12"/>
        </w:rPr>
        <w:t>Bertrand</w:t>
      </w:r>
    </w:p>
    <w:p>
      <w:pPr>
        <w:spacing w:before="32"/>
        <w:ind w:left="1769" w:right="0" w:firstLine="0"/>
        <w:jc w:val="left"/>
        <w:rPr>
          <w:rFonts w:ascii="Arial" w:hAnsi="Arial"/>
          <w:sz w:val="12"/>
        </w:rPr>
      </w:pPr>
      <w:r>
        <w:rPr>
          <w:rFonts w:ascii="Arial" w:hAnsi="Arial"/>
          <w:color w:val="231F20"/>
          <w:sz w:val="12"/>
        </w:rPr>
        <w:t>Boisbriand</w:t>
      </w:r>
      <w:r>
        <w:rPr>
          <w:rFonts w:ascii="Arial" w:hAnsi="Arial"/>
          <w:color w:val="231F20"/>
          <w:spacing w:val="17"/>
          <w:sz w:val="12"/>
        </w:rPr>
        <w:t> </w:t>
      </w:r>
      <w:r>
        <w:rPr>
          <w:rFonts w:ascii="Arial" w:hAnsi="Arial"/>
          <w:color w:val="231F20"/>
          <w:sz w:val="12"/>
        </w:rPr>
        <w:t>(Québec)</w:t>
      </w:r>
      <w:r>
        <w:rPr>
          <w:rFonts w:ascii="Arial" w:hAnsi="Arial"/>
          <w:color w:val="231F20"/>
          <w:spacing w:val="17"/>
          <w:sz w:val="12"/>
        </w:rPr>
        <w:t> </w:t>
      </w:r>
      <w:r>
        <w:rPr>
          <w:rFonts w:ascii="Arial" w:hAnsi="Arial"/>
          <w:color w:val="231F20"/>
          <w:sz w:val="12"/>
        </w:rPr>
        <w:t>J7H</w:t>
      </w:r>
      <w:r>
        <w:rPr>
          <w:rFonts w:ascii="Arial" w:hAnsi="Arial"/>
          <w:color w:val="231F20"/>
          <w:spacing w:val="17"/>
          <w:sz w:val="12"/>
        </w:rPr>
        <w:t> </w:t>
      </w:r>
      <w:r>
        <w:rPr>
          <w:rFonts w:ascii="Arial" w:hAnsi="Arial"/>
          <w:color w:val="231F20"/>
          <w:sz w:val="12"/>
        </w:rPr>
        <w:t>1N7</w:t>
      </w:r>
      <w:r>
        <w:rPr>
          <w:rFonts w:ascii="Arial" w:hAnsi="Arial"/>
          <w:color w:val="231F20"/>
          <w:spacing w:val="17"/>
          <w:sz w:val="12"/>
        </w:rPr>
        <w:t> </w:t>
      </w:r>
      <w:r>
        <w:rPr>
          <w:rFonts w:ascii="Arial" w:hAnsi="Arial"/>
          <w:color w:val="231F20"/>
          <w:sz w:val="12"/>
        </w:rPr>
        <w:t>–</w:t>
      </w:r>
      <w:r>
        <w:rPr>
          <w:rFonts w:ascii="Arial" w:hAnsi="Arial"/>
          <w:color w:val="231F20"/>
          <w:spacing w:val="18"/>
          <w:sz w:val="12"/>
        </w:rPr>
        <w:t> </w:t>
      </w:r>
      <w:r>
        <w:rPr>
          <w:rFonts w:ascii="Arial" w:hAnsi="Arial"/>
          <w:color w:val="231F20"/>
          <w:sz w:val="12"/>
        </w:rPr>
        <w:t>Tél.</w:t>
      </w:r>
      <w:r>
        <w:rPr>
          <w:rFonts w:ascii="Arial" w:hAnsi="Arial"/>
          <w:color w:val="231F20"/>
          <w:spacing w:val="-10"/>
          <w:sz w:val="12"/>
        </w:rPr>
        <w:t> </w:t>
      </w:r>
      <w:r>
        <w:rPr>
          <w:rFonts w:ascii="Arial" w:hAnsi="Arial"/>
          <w:color w:val="231F20"/>
          <w:sz w:val="12"/>
        </w:rPr>
        <w:t>:</w:t>
      </w:r>
      <w:r>
        <w:rPr>
          <w:rFonts w:ascii="Arial" w:hAnsi="Arial"/>
          <w:color w:val="231F20"/>
          <w:spacing w:val="17"/>
          <w:sz w:val="12"/>
        </w:rPr>
        <w:t> </w:t>
      </w:r>
      <w:r>
        <w:rPr>
          <w:rFonts w:ascii="Arial" w:hAnsi="Arial"/>
          <w:color w:val="231F20"/>
          <w:sz w:val="12"/>
        </w:rPr>
        <w:t>450</w:t>
      </w:r>
      <w:r>
        <w:rPr>
          <w:rFonts w:ascii="Arial" w:hAnsi="Arial"/>
          <w:color w:val="231F20"/>
          <w:spacing w:val="17"/>
          <w:sz w:val="12"/>
        </w:rPr>
        <w:t> </w:t>
      </w:r>
      <w:r>
        <w:rPr>
          <w:rFonts w:ascii="Arial" w:hAnsi="Arial"/>
          <w:color w:val="231F20"/>
          <w:sz w:val="12"/>
        </w:rPr>
        <w:t>434-0306</w:t>
      </w:r>
      <w:r>
        <w:rPr>
          <w:rFonts w:ascii="Arial" w:hAnsi="Arial"/>
          <w:color w:val="231F20"/>
          <w:spacing w:val="12"/>
          <w:w w:val="115"/>
          <w:sz w:val="12"/>
        </w:rPr>
        <w:t> </w:t>
      </w:r>
      <w:r>
        <w:rPr>
          <w:rFonts w:ascii="Arial" w:hAnsi="Arial"/>
          <w:color w:val="231F20"/>
          <w:w w:val="115"/>
          <w:sz w:val="12"/>
        </w:rPr>
        <w:t>/</w:t>
      </w:r>
      <w:r>
        <w:rPr>
          <w:rFonts w:ascii="Arial" w:hAnsi="Arial"/>
          <w:color w:val="231F20"/>
          <w:spacing w:val="12"/>
          <w:w w:val="115"/>
          <w:sz w:val="12"/>
        </w:rPr>
        <w:t> </w:t>
      </w:r>
      <w:r>
        <w:rPr>
          <w:rFonts w:ascii="Arial" w:hAnsi="Arial"/>
          <w:color w:val="231F20"/>
          <w:sz w:val="12"/>
        </w:rPr>
        <w:t>1</w:t>
      </w:r>
      <w:r>
        <w:rPr>
          <w:rFonts w:ascii="Arial" w:hAnsi="Arial"/>
          <w:color w:val="231F20"/>
          <w:spacing w:val="18"/>
          <w:sz w:val="12"/>
        </w:rPr>
        <w:t> </w:t>
      </w:r>
      <w:r>
        <w:rPr>
          <w:rFonts w:ascii="Arial" w:hAnsi="Arial"/>
          <w:color w:val="231F20"/>
          <w:sz w:val="12"/>
        </w:rPr>
        <w:t>800</w:t>
      </w:r>
      <w:r>
        <w:rPr>
          <w:rFonts w:ascii="Arial" w:hAnsi="Arial"/>
          <w:color w:val="231F20"/>
          <w:spacing w:val="17"/>
          <w:sz w:val="12"/>
        </w:rPr>
        <w:t> </w:t>
      </w:r>
      <w:r>
        <w:rPr>
          <w:rFonts w:ascii="Arial" w:hAnsi="Arial"/>
          <w:color w:val="231F20"/>
          <w:sz w:val="12"/>
        </w:rPr>
        <w:t>363-</w:t>
      </w:r>
      <w:r>
        <w:rPr>
          <w:rFonts w:ascii="Arial" w:hAnsi="Arial"/>
          <w:color w:val="231F20"/>
          <w:spacing w:val="-4"/>
          <w:sz w:val="12"/>
        </w:rPr>
        <w:t>2864</w:t>
      </w:r>
    </w:p>
    <w:p>
      <w:pPr>
        <w:tabs>
          <w:tab w:pos="1779" w:val="left" w:leader="none"/>
        </w:tabs>
        <w:spacing w:before="112"/>
        <w:ind w:left="779" w:right="0" w:firstLine="0"/>
        <w:jc w:val="left"/>
        <w:rPr>
          <w:rFonts w:ascii="Arial" w:hAnsi="Arial"/>
          <w:sz w:val="12"/>
        </w:rPr>
      </w:pPr>
      <w:r>
        <w:rPr>
          <w:rFonts w:ascii="Arial" w:hAnsi="Arial"/>
          <w:b/>
          <w:color w:val="231F20"/>
          <w:sz w:val="12"/>
        </w:rPr>
        <w:t>FranCe</w:t>
      </w:r>
      <w:r>
        <w:rPr>
          <w:rFonts w:ascii="Arial" w:hAnsi="Arial"/>
          <w:b/>
          <w:color w:val="231F20"/>
          <w:spacing w:val="11"/>
          <w:w w:val="105"/>
          <w:sz w:val="12"/>
        </w:rPr>
        <w:t> </w:t>
      </w:r>
      <w:r>
        <w:rPr>
          <w:rFonts w:ascii="Arial" w:hAnsi="Arial"/>
          <w:b/>
          <w:color w:val="231F20"/>
          <w:spacing w:val="-5"/>
          <w:w w:val="105"/>
          <w:sz w:val="12"/>
        </w:rPr>
        <w:t>et</w:t>
      </w:r>
      <w:r>
        <w:rPr>
          <w:rFonts w:ascii="Arial" w:hAnsi="Arial"/>
          <w:b/>
          <w:color w:val="231F20"/>
          <w:sz w:val="12"/>
        </w:rPr>
        <w:tab/>
      </w:r>
      <w:r>
        <w:rPr>
          <w:rFonts w:ascii="Arial" w:hAnsi="Arial"/>
          <w:color w:val="231F20"/>
          <w:w w:val="95"/>
          <w:sz w:val="12"/>
        </w:rPr>
        <w:t>Sofédis,</w:t>
      </w:r>
      <w:r>
        <w:rPr>
          <w:rFonts w:ascii="Arial" w:hAnsi="Arial"/>
          <w:color w:val="231F20"/>
          <w:spacing w:val="11"/>
          <w:sz w:val="12"/>
        </w:rPr>
        <w:t> </w:t>
      </w:r>
      <w:r>
        <w:rPr>
          <w:rFonts w:ascii="Arial" w:hAnsi="Arial"/>
          <w:color w:val="231F20"/>
          <w:w w:val="95"/>
          <w:sz w:val="12"/>
        </w:rPr>
        <w:t>11,</w:t>
      </w:r>
      <w:r>
        <w:rPr>
          <w:rFonts w:ascii="Arial" w:hAnsi="Arial"/>
          <w:color w:val="231F20"/>
          <w:spacing w:val="12"/>
          <w:sz w:val="12"/>
        </w:rPr>
        <w:t> </w:t>
      </w:r>
      <w:r>
        <w:rPr>
          <w:rFonts w:ascii="Arial" w:hAnsi="Arial"/>
          <w:color w:val="231F20"/>
          <w:w w:val="95"/>
          <w:sz w:val="12"/>
        </w:rPr>
        <w:t>rue</w:t>
      </w:r>
      <w:r>
        <w:rPr>
          <w:rFonts w:ascii="Arial" w:hAnsi="Arial"/>
          <w:color w:val="231F20"/>
          <w:spacing w:val="11"/>
          <w:sz w:val="12"/>
        </w:rPr>
        <w:t> </w:t>
      </w:r>
      <w:r>
        <w:rPr>
          <w:rFonts w:ascii="Arial" w:hAnsi="Arial"/>
          <w:color w:val="231F20"/>
          <w:spacing w:val="-2"/>
          <w:w w:val="95"/>
          <w:sz w:val="12"/>
        </w:rPr>
        <w:t>Soufflot</w:t>
      </w:r>
    </w:p>
    <w:p>
      <w:pPr>
        <w:tabs>
          <w:tab w:pos="1779" w:val="left" w:leader="none"/>
        </w:tabs>
        <w:spacing w:before="32"/>
        <w:ind w:left="779" w:right="0" w:firstLine="0"/>
        <w:jc w:val="left"/>
        <w:rPr>
          <w:rFonts w:ascii="Arial" w:hAnsi="Arial"/>
          <w:sz w:val="12"/>
        </w:rPr>
      </w:pPr>
      <w:r>
        <w:rPr>
          <w:rFonts w:ascii="Arial" w:hAnsi="Arial"/>
          <w:b/>
          <w:color w:val="231F20"/>
          <w:spacing w:val="-2"/>
          <w:w w:val="105"/>
          <w:sz w:val="12"/>
        </w:rPr>
        <w:t>Belgique</w:t>
      </w:r>
      <w:r>
        <w:rPr>
          <w:rFonts w:ascii="Arial" w:hAnsi="Arial"/>
          <w:b/>
          <w:color w:val="231F20"/>
          <w:sz w:val="12"/>
        </w:rPr>
        <w:tab/>
      </w:r>
      <w:r>
        <w:rPr>
          <w:rFonts w:ascii="Arial" w:hAnsi="Arial"/>
          <w:color w:val="231F20"/>
          <w:sz w:val="12"/>
        </w:rPr>
        <w:t>75005</w:t>
      </w:r>
      <w:r>
        <w:rPr>
          <w:rFonts w:ascii="Arial" w:hAnsi="Arial"/>
          <w:color w:val="231F20"/>
          <w:spacing w:val="3"/>
          <w:sz w:val="12"/>
        </w:rPr>
        <w:t> </w:t>
      </w:r>
      <w:r>
        <w:rPr>
          <w:rFonts w:ascii="Arial" w:hAnsi="Arial"/>
          <w:color w:val="231F20"/>
          <w:sz w:val="12"/>
        </w:rPr>
        <w:t>Paris,</w:t>
      </w:r>
      <w:r>
        <w:rPr>
          <w:rFonts w:ascii="Arial" w:hAnsi="Arial"/>
          <w:color w:val="231F20"/>
          <w:spacing w:val="3"/>
          <w:sz w:val="12"/>
        </w:rPr>
        <w:t> </w:t>
      </w:r>
      <w:r>
        <w:rPr>
          <w:rFonts w:ascii="Arial" w:hAnsi="Arial"/>
          <w:color w:val="231F20"/>
          <w:sz w:val="12"/>
        </w:rPr>
        <w:t>France</w:t>
      </w:r>
      <w:r>
        <w:rPr>
          <w:rFonts w:ascii="Arial" w:hAnsi="Arial"/>
          <w:color w:val="231F20"/>
          <w:spacing w:val="4"/>
          <w:sz w:val="12"/>
        </w:rPr>
        <w:t> </w:t>
      </w:r>
      <w:r>
        <w:rPr>
          <w:rFonts w:ascii="Arial" w:hAnsi="Arial"/>
          <w:color w:val="231F20"/>
          <w:sz w:val="12"/>
        </w:rPr>
        <w:t>–</w:t>
      </w:r>
      <w:r>
        <w:rPr>
          <w:rFonts w:ascii="Arial" w:hAnsi="Arial"/>
          <w:color w:val="231F20"/>
          <w:spacing w:val="3"/>
          <w:sz w:val="12"/>
        </w:rPr>
        <w:t> </w:t>
      </w:r>
      <w:r>
        <w:rPr>
          <w:rFonts w:ascii="Arial" w:hAnsi="Arial"/>
          <w:color w:val="231F20"/>
          <w:sz w:val="12"/>
        </w:rPr>
        <w:t>Tél.</w:t>
      </w:r>
      <w:r>
        <w:rPr>
          <w:rFonts w:ascii="Arial" w:hAnsi="Arial"/>
          <w:color w:val="231F20"/>
          <w:spacing w:val="-16"/>
          <w:sz w:val="12"/>
        </w:rPr>
        <w:t> </w:t>
      </w:r>
      <w:r>
        <w:rPr>
          <w:rFonts w:ascii="Arial" w:hAnsi="Arial"/>
          <w:color w:val="231F20"/>
          <w:sz w:val="12"/>
        </w:rPr>
        <w:t>:</w:t>
      </w:r>
      <w:r>
        <w:rPr>
          <w:rFonts w:ascii="Arial" w:hAnsi="Arial"/>
          <w:color w:val="231F20"/>
          <w:spacing w:val="3"/>
          <w:sz w:val="12"/>
        </w:rPr>
        <w:t> </w:t>
      </w:r>
      <w:r>
        <w:rPr>
          <w:rFonts w:ascii="Arial" w:hAnsi="Arial"/>
          <w:color w:val="231F20"/>
          <w:sz w:val="12"/>
        </w:rPr>
        <w:t>01</w:t>
      </w:r>
      <w:r>
        <w:rPr>
          <w:rFonts w:ascii="Arial" w:hAnsi="Arial"/>
          <w:color w:val="231F20"/>
          <w:spacing w:val="4"/>
          <w:sz w:val="12"/>
        </w:rPr>
        <w:t> </w:t>
      </w:r>
      <w:r>
        <w:rPr>
          <w:rFonts w:ascii="Arial" w:hAnsi="Arial"/>
          <w:color w:val="231F20"/>
          <w:sz w:val="12"/>
        </w:rPr>
        <w:t>53</w:t>
      </w:r>
      <w:r>
        <w:rPr>
          <w:rFonts w:ascii="Arial" w:hAnsi="Arial"/>
          <w:color w:val="231F20"/>
          <w:spacing w:val="3"/>
          <w:sz w:val="12"/>
        </w:rPr>
        <w:t> </w:t>
      </w:r>
      <w:r>
        <w:rPr>
          <w:rFonts w:ascii="Arial" w:hAnsi="Arial"/>
          <w:color w:val="231F20"/>
          <w:sz w:val="12"/>
        </w:rPr>
        <w:t>10</w:t>
      </w:r>
      <w:r>
        <w:rPr>
          <w:rFonts w:ascii="Arial" w:hAnsi="Arial"/>
          <w:color w:val="231F20"/>
          <w:spacing w:val="3"/>
          <w:sz w:val="12"/>
        </w:rPr>
        <w:t> </w:t>
      </w:r>
      <w:r>
        <w:rPr>
          <w:rFonts w:ascii="Arial" w:hAnsi="Arial"/>
          <w:color w:val="231F20"/>
          <w:sz w:val="12"/>
        </w:rPr>
        <w:t>25</w:t>
      </w:r>
      <w:r>
        <w:rPr>
          <w:rFonts w:ascii="Arial" w:hAnsi="Arial"/>
          <w:color w:val="231F20"/>
          <w:spacing w:val="4"/>
          <w:sz w:val="12"/>
        </w:rPr>
        <w:t> </w:t>
      </w:r>
      <w:r>
        <w:rPr>
          <w:rFonts w:ascii="Arial" w:hAnsi="Arial"/>
          <w:color w:val="231F20"/>
          <w:spacing w:val="-5"/>
          <w:sz w:val="12"/>
        </w:rPr>
        <w:t>25</w:t>
      </w:r>
    </w:p>
    <w:p>
      <w:pPr>
        <w:spacing w:line="295" w:lineRule="auto" w:before="72"/>
        <w:ind w:left="1769" w:right="2188" w:firstLine="0"/>
        <w:jc w:val="left"/>
        <w:rPr>
          <w:rFonts w:ascii="Arial" w:hAnsi="Arial"/>
          <w:sz w:val="12"/>
        </w:rPr>
      </w:pPr>
      <w:r>
        <w:rPr>
          <w:rFonts w:ascii="Arial" w:hAnsi="Arial"/>
          <w:color w:val="231F20"/>
          <w:sz w:val="12"/>
        </w:rPr>
        <w:t>Sodis, 128, avenue du Maréchal de Lattre de </w:t>
      </w:r>
      <w:r>
        <w:rPr>
          <w:rFonts w:ascii="Arial" w:hAnsi="Arial"/>
          <w:color w:val="231F20"/>
          <w:sz w:val="12"/>
        </w:rPr>
        <w:t>Tassigny</w:t>
      </w:r>
      <w:r>
        <w:rPr>
          <w:rFonts w:ascii="Arial" w:hAnsi="Arial"/>
          <w:color w:val="231F20"/>
          <w:spacing w:val="40"/>
          <w:sz w:val="12"/>
        </w:rPr>
        <w:t> </w:t>
      </w:r>
      <w:r>
        <w:rPr>
          <w:rFonts w:ascii="Arial" w:hAnsi="Arial"/>
          <w:color w:val="231F20"/>
          <w:sz w:val="12"/>
        </w:rPr>
        <w:t>77403 Lagny, France – Tél.</w:t>
      </w:r>
      <w:r>
        <w:rPr>
          <w:rFonts w:ascii="Arial" w:hAnsi="Arial"/>
          <w:color w:val="231F20"/>
          <w:spacing w:val="-4"/>
          <w:sz w:val="12"/>
        </w:rPr>
        <w:t> </w:t>
      </w:r>
      <w:r>
        <w:rPr>
          <w:rFonts w:ascii="Arial" w:hAnsi="Arial"/>
          <w:color w:val="231F20"/>
          <w:sz w:val="12"/>
        </w:rPr>
        <w:t>: 01</w:t>
      </w:r>
      <w:r>
        <w:rPr>
          <w:rFonts w:ascii="Arial" w:hAnsi="Arial"/>
          <w:color w:val="231F20"/>
          <w:spacing w:val="-4"/>
          <w:sz w:val="12"/>
        </w:rPr>
        <w:t> </w:t>
      </w:r>
      <w:r>
        <w:rPr>
          <w:rFonts w:ascii="Arial" w:hAnsi="Arial"/>
          <w:color w:val="231F20"/>
          <w:sz w:val="12"/>
        </w:rPr>
        <w:t>60</w:t>
      </w:r>
      <w:r>
        <w:rPr>
          <w:rFonts w:ascii="Arial" w:hAnsi="Arial"/>
          <w:color w:val="231F20"/>
          <w:spacing w:val="-4"/>
          <w:sz w:val="12"/>
        </w:rPr>
        <w:t> </w:t>
      </w:r>
      <w:r>
        <w:rPr>
          <w:rFonts w:ascii="Arial" w:hAnsi="Arial"/>
          <w:color w:val="231F20"/>
          <w:sz w:val="12"/>
        </w:rPr>
        <w:t>07</w:t>
      </w:r>
      <w:r>
        <w:rPr>
          <w:rFonts w:ascii="Arial" w:hAnsi="Arial"/>
          <w:color w:val="231F20"/>
          <w:spacing w:val="-4"/>
          <w:sz w:val="12"/>
        </w:rPr>
        <w:t> </w:t>
      </w:r>
      <w:r>
        <w:rPr>
          <w:rFonts w:ascii="Arial" w:hAnsi="Arial"/>
          <w:color w:val="231F20"/>
          <w:sz w:val="12"/>
        </w:rPr>
        <w:t>82</w:t>
      </w:r>
      <w:r>
        <w:rPr>
          <w:rFonts w:ascii="Arial" w:hAnsi="Arial"/>
          <w:color w:val="231F20"/>
          <w:spacing w:val="-4"/>
          <w:sz w:val="12"/>
        </w:rPr>
        <w:t> </w:t>
      </w:r>
      <w:r>
        <w:rPr>
          <w:rFonts w:ascii="Arial" w:hAnsi="Arial"/>
          <w:color w:val="231F20"/>
          <w:sz w:val="12"/>
        </w:rPr>
        <w:t>99</w:t>
      </w:r>
    </w:p>
    <w:p>
      <w:pPr>
        <w:tabs>
          <w:tab w:pos="1769" w:val="left" w:leader="none"/>
        </w:tabs>
        <w:spacing w:before="81"/>
        <w:ind w:left="779" w:right="0" w:firstLine="0"/>
        <w:jc w:val="left"/>
        <w:rPr>
          <w:rFonts w:ascii="Arial"/>
          <w:sz w:val="12"/>
        </w:rPr>
      </w:pPr>
      <w:r>
        <w:rPr>
          <w:rFonts w:ascii="Arial"/>
          <w:b/>
          <w:color w:val="231F20"/>
          <w:spacing w:val="-2"/>
          <w:sz w:val="12"/>
        </w:rPr>
        <w:t>SuiSSe</w:t>
      </w:r>
      <w:r>
        <w:rPr>
          <w:rFonts w:ascii="Arial"/>
          <w:b/>
          <w:color w:val="231F20"/>
          <w:sz w:val="12"/>
        </w:rPr>
        <w:tab/>
      </w:r>
      <w:r>
        <w:rPr>
          <w:rFonts w:ascii="Arial"/>
          <w:color w:val="231F20"/>
          <w:sz w:val="12"/>
        </w:rPr>
        <w:t>Servidis</w:t>
      </w:r>
      <w:r>
        <w:rPr>
          <w:rFonts w:ascii="Arial"/>
          <w:color w:val="231F20"/>
          <w:spacing w:val="5"/>
          <w:sz w:val="12"/>
        </w:rPr>
        <w:t> </w:t>
      </w:r>
      <w:r>
        <w:rPr>
          <w:rFonts w:ascii="Arial"/>
          <w:color w:val="231F20"/>
          <w:sz w:val="12"/>
        </w:rPr>
        <w:t>SA,</w:t>
      </w:r>
      <w:r>
        <w:rPr>
          <w:rFonts w:ascii="Arial"/>
          <w:color w:val="231F20"/>
          <w:spacing w:val="6"/>
          <w:sz w:val="12"/>
        </w:rPr>
        <w:t> </w:t>
      </w:r>
      <w:r>
        <w:rPr>
          <w:rFonts w:ascii="Arial"/>
          <w:color w:val="231F20"/>
          <w:sz w:val="12"/>
        </w:rPr>
        <w:t>chemin</w:t>
      </w:r>
      <w:r>
        <w:rPr>
          <w:rFonts w:ascii="Arial"/>
          <w:color w:val="231F20"/>
          <w:spacing w:val="5"/>
          <w:sz w:val="12"/>
        </w:rPr>
        <w:t> </w:t>
      </w:r>
      <w:r>
        <w:rPr>
          <w:rFonts w:ascii="Arial"/>
          <w:color w:val="231F20"/>
          <w:sz w:val="12"/>
        </w:rPr>
        <w:t>des</w:t>
      </w:r>
      <w:r>
        <w:rPr>
          <w:rFonts w:ascii="Arial"/>
          <w:color w:val="231F20"/>
          <w:spacing w:val="6"/>
          <w:sz w:val="12"/>
        </w:rPr>
        <w:t> </w:t>
      </w:r>
      <w:r>
        <w:rPr>
          <w:rFonts w:ascii="Arial"/>
          <w:color w:val="231F20"/>
          <w:sz w:val="12"/>
        </w:rPr>
        <w:t>Chalets</w:t>
      </w:r>
      <w:r>
        <w:rPr>
          <w:rFonts w:ascii="Arial"/>
          <w:color w:val="231F20"/>
          <w:spacing w:val="5"/>
          <w:sz w:val="12"/>
        </w:rPr>
        <w:t> </w:t>
      </w:r>
      <w:r>
        <w:rPr>
          <w:rFonts w:ascii="Arial"/>
          <w:color w:val="231F20"/>
          <w:spacing w:val="-10"/>
          <w:sz w:val="12"/>
        </w:rPr>
        <w:t>7</w:t>
      </w:r>
    </w:p>
    <w:p>
      <w:pPr>
        <w:spacing w:before="32"/>
        <w:ind w:left="1769" w:right="0" w:firstLine="0"/>
        <w:jc w:val="left"/>
        <w:rPr>
          <w:rFonts w:ascii="Arial" w:hAnsi="Arial"/>
          <w:sz w:val="12"/>
        </w:rPr>
      </w:pPr>
      <w:r>
        <w:rPr>
          <w:rFonts w:ascii="Arial" w:hAnsi="Arial"/>
          <w:color w:val="231F20"/>
          <w:w w:val="95"/>
          <w:sz w:val="12"/>
        </w:rPr>
        <w:t>1279</w:t>
      </w:r>
      <w:r>
        <w:rPr>
          <w:rFonts w:ascii="Arial" w:hAnsi="Arial"/>
          <w:color w:val="231F20"/>
          <w:spacing w:val="25"/>
          <w:sz w:val="12"/>
        </w:rPr>
        <w:t> </w:t>
      </w:r>
      <w:r>
        <w:rPr>
          <w:rFonts w:ascii="Arial" w:hAnsi="Arial"/>
          <w:color w:val="231F20"/>
          <w:w w:val="95"/>
          <w:sz w:val="12"/>
        </w:rPr>
        <w:t>Chavannes-de-Bogis,</w:t>
      </w:r>
      <w:r>
        <w:rPr>
          <w:rFonts w:ascii="Arial" w:hAnsi="Arial"/>
          <w:color w:val="231F20"/>
          <w:spacing w:val="26"/>
          <w:sz w:val="12"/>
        </w:rPr>
        <w:t> </w:t>
      </w:r>
      <w:r>
        <w:rPr>
          <w:rFonts w:ascii="Arial" w:hAnsi="Arial"/>
          <w:color w:val="231F20"/>
          <w:w w:val="95"/>
          <w:sz w:val="12"/>
        </w:rPr>
        <w:t>Suisse</w:t>
      </w:r>
      <w:r>
        <w:rPr>
          <w:rFonts w:ascii="Arial" w:hAnsi="Arial"/>
          <w:color w:val="231F20"/>
          <w:spacing w:val="25"/>
          <w:sz w:val="12"/>
        </w:rPr>
        <w:t> </w:t>
      </w:r>
      <w:r>
        <w:rPr>
          <w:rFonts w:ascii="Arial" w:hAnsi="Arial"/>
          <w:color w:val="231F20"/>
          <w:w w:val="95"/>
          <w:sz w:val="12"/>
        </w:rPr>
        <w:t>–</w:t>
      </w:r>
      <w:r>
        <w:rPr>
          <w:rFonts w:ascii="Arial" w:hAnsi="Arial"/>
          <w:color w:val="231F20"/>
          <w:spacing w:val="26"/>
          <w:sz w:val="12"/>
        </w:rPr>
        <w:t> </w:t>
      </w:r>
      <w:r>
        <w:rPr>
          <w:rFonts w:ascii="Arial" w:hAnsi="Arial"/>
          <w:color w:val="231F20"/>
          <w:w w:val="95"/>
          <w:sz w:val="12"/>
        </w:rPr>
        <w:t>Tél.</w:t>
      </w:r>
      <w:r>
        <w:rPr>
          <w:rFonts w:ascii="Arial" w:hAnsi="Arial"/>
          <w:color w:val="231F20"/>
          <w:spacing w:val="-5"/>
          <w:w w:val="95"/>
          <w:sz w:val="12"/>
        </w:rPr>
        <w:t> </w:t>
      </w:r>
      <w:r>
        <w:rPr>
          <w:rFonts w:ascii="Arial" w:hAnsi="Arial"/>
          <w:color w:val="231F20"/>
          <w:w w:val="95"/>
          <w:sz w:val="12"/>
        </w:rPr>
        <w:t>:</w:t>
      </w:r>
      <w:r>
        <w:rPr>
          <w:rFonts w:ascii="Arial" w:hAnsi="Arial"/>
          <w:color w:val="231F20"/>
          <w:spacing w:val="26"/>
          <w:sz w:val="12"/>
        </w:rPr>
        <w:t> </w:t>
      </w:r>
      <w:r>
        <w:rPr>
          <w:rFonts w:ascii="Arial" w:hAnsi="Arial"/>
          <w:color w:val="231F20"/>
          <w:w w:val="95"/>
          <w:sz w:val="12"/>
        </w:rPr>
        <w:t>022</w:t>
      </w:r>
      <w:r>
        <w:rPr>
          <w:rFonts w:ascii="Arial" w:hAnsi="Arial"/>
          <w:color w:val="231F20"/>
          <w:spacing w:val="-5"/>
          <w:w w:val="95"/>
          <w:sz w:val="12"/>
        </w:rPr>
        <w:t> </w:t>
      </w:r>
      <w:r>
        <w:rPr>
          <w:rFonts w:ascii="Arial" w:hAnsi="Arial"/>
          <w:color w:val="231F20"/>
          <w:spacing w:val="-2"/>
          <w:w w:val="95"/>
          <w:sz w:val="12"/>
        </w:rPr>
        <w:t>960.95.25</w:t>
      </w:r>
    </w:p>
    <w:p>
      <w:pPr>
        <w:pStyle w:val="BodyText"/>
        <w:rPr>
          <w:rFonts w:ascii="Arial"/>
          <w:sz w:val="20"/>
        </w:rPr>
      </w:pPr>
    </w:p>
    <w:p>
      <w:pPr>
        <w:pStyle w:val="BodyText"/>
        <w:rPr>
          <w:rFonts w:ascii="Arial"/>
          <w:sz w:val="16"/>
        </w:rPr>
      </w:pPr>
    </w:p>
    <w:p>
      <w:pPr>
        <w:spacing w:line="295" w:lineRule="auto" w:before="98"/>
        <w:ind w:left="1790" w:right="636" w:firstLine="0"/>
        <w:jc w:val="both"/>
        <w:rPr>
          <w:rFonts w:ascii="Arial" w:hAnsi="Arial"/>
          <w:sz w:val="12"/>
        </w:rPr>
      </w:pPr>
      <w:r>
        <w:rPr/>
        <w:drawing>
          <wp:anchor distT="0" distB="0" distL="0" distR="0" allowOverlap="1" layoutInCell="1" locked="0" behindDoc="0" simplePos="0" relativeHeight="15728640">
            <wp:simplePos x="0" y="0"/>
            <wp:positionH relativeFrom="page">
              <wp:posOffset>794310</wp:posOffset>
            </wp:positionH>
            <wp:positionV relativeFrom="paragraph">
              <wp:posOffset>38454</wp:posOffset>
            </wp:positionV>
            <wp:extent cx="472884" cy="63500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72884" cy="635000"/>
                    </a:xfrm>
                    <a:prstGeom prst="rect">
                      <a:avLst/>
                    </a:prstGeom>
                  </pic:spPr>
                </pic:pic>
              </a:graphicData>
            </a:graphic>
          </wp:anchor>
        </w:drawing>
      </w:r>
      <w:r>
        <w:rPr>
          <w:rFonts w:ascii="Arial" w:hAnsi="Arial"/>
          <w:color w:val="231F20"/>
          <w:sz w:val="12"/>
        </w:rPr>
        <w:t>La Loi sur le droit d’auteur interdit la reproduction des œuvres sans autorisation des titu-</w:t>
      </w:r>
      <w:r>
        <w:rPr>
          <w:rFonts w:ascii="Arial" w:hAnsi="Arial"/>
          <w:color w:val="231F20"/>
          <w:spacing w:val="40"/>
          <w:sz w:val="12"/>
        </w:rPr>
        <w:t> </w:t>
      </w:r>
      <w:r>
        <w:rPr>
          <w:rFonts w:ascii="Arial" w:hAnsi="Arial"/>
          <w:color w:val="231F20"/>
          <w:spacing w:val="-2"/>
          <w:sz w:val="12"/>
        </w:rPr>
        <w:t>laires</w:t>
      </w:r>
      <w:r>
        <w:rPr>
          <w:rFonts w:ascii="Arial" w:hAnsi="Arial"/>
          <w:color w:val="231F20"/>
          <w:spacing w:val="-7"/>
          <w:sz w:val="12"/>
        </w:rPr>
        <w:t> </w:t>
      </w:r>
      <w:r>
        <w:rPr>
          <w:rFonts w:ascii="Arial" w:hAnsi="Arial"/>
          <w:color w:val="231F20"/>
          <w:spacing w:val="-2"/>
          <w:sz w:val="12"/>
        </w:rPr>
        <w:t>de</w:t>
      </w:r>
      <w:r>
        <w:rPr>
          <w:rFonts w:ascii="Arial" w:hAnsi="Arial"/>
          <w:color w:val="231F20"/>
          <w:spacing w:val="-6"/>
          <w:sz w:val="12"/>
        </w:rPr>
        <w:t> </w:t>
      </w:r>
      <w:r>
        <w:rPr>
          <w:rFonts w:ascii="Arial" w:hAnsi="Arial"/>
          <w:color w:val="231F20"/>
          <w:spacing w:val="-2"/>
          <w:sz w:val="12"/>
        </w:rPr>
        <w:t>droits.</w:t>
      </w:r>
      <w:r>
        <w:rPr>
          <w:rFonts w:ascii="Arial" w:hAnsi="Arial"/>
          <w:color w:val="231F20"/>
          <w:spacing w:val="-6"/>
          <w:sz w:val="12"/>
        </w:rPr>
        <w:t> </w:t>
      </w:r>
      <w:r>
        <w:rPr>
          <w:rFonts w:ascii="Arial" w:hAnsi="Arial"/>
          <w:color w:val="231F20"/>
          <w:spacing w:val="-2"/>
          <w:sz w:val="12"/>
        </w:rPr>
        <w:t>Or,</w:t>
      </w:r>
      <w:r>
        <w:rPr>
          <w:rFonts w:ascii="Arial" w:hAnsi="Arial"/>
          <w:color w:val="231F20"/>
          <w:spacing w:val="-7"/>
          <w:sz w:val="12"/>
        </w:rPr>
        <w:t> </w:t>
      </w:r>
      <w:r>
        <w:rPr>
          <w:rFonts w:ascii="Arial" w:hAnsi="Arial"/>
          <w:color w:val="231F20"/>
          <w:spacing w:val="-2"/>
          <w:sz w:val="12"/>
        </w:rPr>
        <w:t>la</w:t>
      </w:r>
      <w:r>
        <w:rPr>
          <w:rFonts w:ascii="Arial" w:hAnsi="Arial"/>
          <w:color w:val="231F20"/>
          <w:spacing w:val="-6"/>
          <w:sz w:val="12"/>
        </w:rPr>
        <w:t> </w:t>
      </w:r>
      <w:r>
        <w:rPr>
          <w:rFonts w:ascii="Arial" w:hAnsi="Arial"/>
          <w:color w:val="231F20"/>
          <w:spacing w:val="-2"/>
          <w:sz w:val="12"/>
        </w:rPr>
        <w:t>photocopie</w:t>
      </w:r>
      <w:r>
        <w:rPr>
          <w:rFonts w:ascii="Arial" w:hAnsi="Arial"/>
          <w:color w:val="231F20"/>
          <w:spacing w:val="-4"/>
          <w:sz w:val="12"/>
        </w:rPr>
        <w:t> </w:t>
      </w:r>
      <w:r>
        <w:rPr>
          <w:rFonts w:ascii="Arial" w:hAnsi="Arial"/>
          <w:color w:val="231F20"/>
          <w:spacing w:val="-2"/>
          <w:sz w:val="12"/>
        </w:rPr>
        <w:t>non autorisée — le «</w:t>
      </w:r>
      <w:r>
        <w:rPr>
          <w:rFonts w:ascii="Arial" w:hAnsi="Arial"/>
          <w:color w:val="231F20"/>
          <w:spacing w:val="-7"/>
          <w:sz w:val="12"/>
        </w:rPr>
        <w:t> </w:t>
      </w:r>
      <w:r>
        <w:rPr>
          <w:rFonts w:ascii="Arial" w:hAnsi="Arial"/>
          <w:color w:val="231F20"/>
          <w:spacing w:val="-2"/>
          <w:sz w:val="12"/>
        </w:rPr>
        <w:t>photocopillage</w:t>
      </w:r>
      <w:r>
        <w:rPr>
          <w:rFonts w:ascii="Arial" w:hAnsi="Arial"/>
          <w:color w:val="231F20"/>
          <w:spacing w:val="-6"/>
          <w:sz w:val="12"/>
        </w:rPr>
        <w:t> </w:t>
      </w:r>
      <w:r>
        <w:rPr>
          <w:rFonts w:ascii="Arial" w:hAnsi="Arial"/>
          <w:color w:val="231F20"/>
          <w:spacing w:val="-2"/>
          <w:sz w:val="12"/>
        </w:rPr>
        <w:t>» — s’est généralisée,</w:t>
      </w:r>
      <w:r>
        <w:rPr>
          <w:rFonts w:ascii="Arial" w:hAnsi="Arial"/>
          <w:color w:val="231F20"/>
          <w:spacing w:val="40"/>
          <w:sz w:val="12"/>
        </w:rPr>
        <w:t> </w:t>
      </w:r>
      <w:r>
        <w:rPr>
          <w:rFonts w:ascii="Arial" w:hAnsi="Arial"/>
          <w:color w:val="231F20"/>
          <w:sz w:val="12"/>
        </w:rPr>
        <w:t>provoquant</w:t>
      </w:r>
      <w:r>
        <w:rPr>
          <w:rFonts w:ascii="Arial" w:hAnsi="Arial"/>
          <w:color w:val="231F20"/>
          <w:spacing w:val="-6"/>
          <w:sz w:val="12"/>
        </w:rPr>
        <w:t> </w:t>
      </w:r>
      <w:r>
        <w:rPr>
          <w:rFonts w:ascii="Arial" w:hAnsi="Arial"/>
          <w:color w:val="231F20"/>
          <w:sz w:val="12"/>
        </w:rPr>
        <w:t>une</w:t>
      </w:r>
      <w:r>
        <w:rPr>
          <w:rFonts w:ascii="Arial" w:hAnsi="Arial"/>
          <w:color w:val="231F20"/>
          <w:spacing w:val="-6"/>
          <w:sz w:val="12"/>
        </w:rPr>
        <w:t> </w:t>
      </w:r>
      <w:r>
        <w:rPr>
          <w:rFonts w:ascii="Arial" w:hAnsi="Arial"/>
          <w:color w:val="231F20"/>
          <w:sz w:val="12"/>
        </w:rPr>
        <w:t>baisse</w:t>
      </w:r>
      <w:r>
        <w:rPr>
          <w:rFonts w:ascii="Arial" w:hAnsi="Arial"/>
          <w:color w:val="231F20"/>
          <w:spacing w:val="-6"/>
          <w:sz w:val="12"/>
        </w:rPr>
        <w:t> </w:t>
      </w:r>
      <w:r>
        <w:rPr>
          <w:rFonts w:ascii="Arial" w:hAnsi="Arial"/>
          <w:color w:val="231F20"/>
          <w:sz w:val="12"/>
        </w:rPr>
        <w:t>des</w:t>
      </w:r>
      <w:r>
        <w:rPr>
          <w:rFonts w:ascii="Arial" w:hAnsi="Arial"/>
          <w:color w:val="231F20"/>
          <w:spacing w:val="-6"/>
          <w:sz w:val="12"/>
        </w:rPr>
        <w:t> </w:t>
      </w:r>
      <w:r>
        <w:rPr>
          <w:rFonts w:ascii="Arial" w:hAnsi="Arial"/>
          <w:color w:val="231F20"/>
          <w:sz w:val="12"/>
        </w:rPr>
        <w:t>ventes</w:t>
      </w:r>
      <w:r>
        <w:rPr>
          <w:rFonts w:ascii="Arial" w:hAnsi="Arial"/>
          <w:color w:val="231F20"/>
          <w:spacing w:val="-6"/>
          <w:sz w:val="12"/>
        </w:rPr>
        <w:t> </w:t>
      </w:r>
      <w:r>
        <w:rPr>
          <w:rFonts w:ascii="Arial" w:hAnsi="Arial"/>
          <w:color w:val="231F20"/>
          <w:sz w:val="12"/>
        </w:rPr>
        <w:t>de</w:t>
      </w:r>
      <w:r>
        <w:rPr>
          <w:rFonts w:ascii="Arial" w:hAnsi="Arial"/>
          <w:color w:val="231F20"/>
          <w:spacing w:val="-6"/>
          <w:sz w:val="12"/>
        </w:rPr>
        <w:t> </w:t>
      </w:r>
      <w:r>
        <w:rPr>
          <w:rFonts w:ascii="Arial" w:hAnsi="Arial"/>
          <w:color w:val="231F20"/>
          <w:sz w:val="12"/>
        </w:rPr>
        <w:t>livres</w:t>
      </w:r>
      <w:r>
        <w:rPr>
          <w:rFonts w:ascii="Arial" w:hAnsi="Arial"/>
          <w:color w:val="231F20"/>
          <w:spacing w:val="-6"/>
          <w:sz w:val="12"/>
        </w:rPr>
        <w:t> </w:t>
      </w:r>
      <w:r>
        <w:rPr>
          <w:rFonts w:ascii="Arial" w:hAnsi="Arial"/>
          <w:color w:val="231F20"/>
          <w:sz w:val="12"/>
        </w:rPr>
        <w:t>et</w:t>
      </w:r>
      <w:r>
        <w:rPr>
          <w:rFonts w:ascii="Arial" w:hAnsi="Arial"/>
          <w:color w:val="231F20"/>
          <w:spacing w:val="-6"/>
          <w:sz w:val="12"/>
        </w:rPr>
        <w:t> </w:t>
      </w:r>
      <w:r>
        <w:rPr>
          <w:rFonts w:ascii="Arial" w:hAnsi="Arial"/>
          <w:color w:val="231F20"/>
          <w:sz w:val="12"/>
        </w:rPr>
        <w:t>compromettant</w:t>
      </w:r>
      <w:r>
        <w:rPr>
          <w:rFonts w:ascii="Arial" w:hAnsi="Arial"/>
          <w:color w:val="231F20"/>
          <w:spacing w:val="-6"/>
          <w:sz w:val="12"/>
        </w:rPr>
        <w:t> </w:t>
      </w:r>
      <w:r>
        <w:rPr>
          <w:rFonts w:ascii="Arial" w:hAnsi="Arial"/>
          <w:color w:val="231F20"/>
          <w:sz w:val="12"/>
        </w:rPr>
        <w:t>la</w:t>
      </w:r>
      <w:r>
        <w:rPr>
          <w:rFonts w:ascii="Arial" w:hAnsi="Arial"/>
          <w:color w:val="231F20"/>
          <w:spacing w:val="-6"/>
          <w:sz w:val="12"/>
        </w:rPr>
        <w:t> </w:t>
      </w:r>
      <w:r>
        <w:rPr>
          <w:rFonts w:ascii="Arial" w:hAnsi="Arial"/>
          <w:color w:val="231F20"/>
          <w:sz w:val="12"/>
        </w:rPr>
        <w:t>rédaction</w:t>
      </w:r>
      <w:r>
        <w:rPr>
          <w:rFonts w:ascii="Arial" w:hAnsi="Arial"/>
          <w:color w:val="231F20"/>
          <w:spacing w:val="-6"/>
          <w:sz w:val="12"/>
        </w:rPr>
        <w:t> </w:t>
      </w:r>
      <w:r>
        <w:rPr>
          <w:rFonts w:ascii="Arial" w:hAnsi="Arial"/>
          <w:color w:val="231F20"/>
          <w:sz w:val="12"/>
        </w:rPr>
        <w:t>et</w:t>
      </w:r>
      <w:r>
        <w:rPr>
          <w:rFonts w:ascii="Arial" w:hAnsi="Arial"/>
          <w:color w:val="231F20"/>
          <w:spacing w:val="-6"/>
          <w:sz w:val="12"/>
        </w:rPr>
        <w:t> </w:t>
      </w:r>
      <w:r>
        <w:rPr>
          <w:rFonts w:ascii="Arial" w:hAnsi="Arial"/>
          <w:color w:val="231F20"/>
          <w:sz w:val="12"/>
        </w:rPr>
        <w:t>la</w:t>
      </w:r>
      <w:r>
        <w:rPr>
          <w:rFonts w:ascii="Arial" w:hAnsi="Arial"/>
          <w:color w:val="231F20"/>
          <w:spacing w:val="-6"/>
          <w:sz w:val="12"/>
        </w:rPr>
        <w:t> </w:t>
      </w:r>
      <w:r>
        <w:rPr>
          <w:rFonts w:ascii="Arial" w:hAnsi="Arial"/>
          <w:color w:val="231F20"/>
          <w:sz w:val="12"/>
        </w:rPr>
        <w:t>production</w:t>
      </w:r>
      <w:r>
        <w:rPr>
          <w:rFonts w:ascii="Arial" w:hAnsi="Arial"/>
          <w:color w:val="231F20"/>
          <w:spacing w:val="40"/>
          <w:sz w:val="12"/>
        </w:rPr>
        <w:t> </w:t>
      </w:r>
      <w:r>
        <w:rPr>
          <w:rFonts w:ascii="Arial" w:hAnsi="Arial"/>
          <w:color w:val="231F20"/>
          <w:sz w:val="12"/>
        </w:rPr>
        <w:t>de nouveaux ouvrages par des professionnels. L’objet du logo apparaissant ci-contre est</w:t>
      </w:r>
      <w:r>
        <w:rPr>
          <w:rFonts w:ascii="Arial" w:hAnsi="Arial"/>
          <w:color w:val="231F20"/>
          <w:spacing w:val="40"/>
          <w:sz w:val="12"/>
        </w:rPr>
        <w:t> </w:t>
      </w:r>
      <w:r>
        <w:rPr>
          <w:rFonts w:ascii="Arial" w:hAnsi="Arial"/>
          <w:color w:val="231F20"/>
          <w:sz w:val="12"/>
        </w:rPr>
        <w:t>d’alerter</w:t>
      </w:r>
      <w:r>
        <w:rPr>
          <w:rFonts w:ascii="Arial" w:hAnsi="Arial"/>
          <w:color w:val="231F20"/>
          <w:spacing w:val="-2"/>
          <w:sz w:val="12"/>
        </w:rPr>
        <w:t> </w:t>
      </w:r>
      <w:r>
        <w:rPr>
          <w:rFonts w:ascii="Arial" w:hAnsi="Arial"/>
          <w:color w:val="231F20"/>
          <w:sz w:val="12"/>
        </w:rPr>
        <w:t>le</w:t>
      </w:r>
      <w:r>
        <w:rPr>
          <w:rFonts w:ascii="Arial" w:hAnsi="Arial"/>
          <w:color w:val="231F20"/>
          <w:spacing w:val="-2"/>
          <w:sz w:val="12"/>
        </w:rPr>
        <w:t> </w:t>
      </w:r>
      <w:r>
        <w:rPr>
          <w:rFonts w:ascii="Arial" w:hAnsi="Arial"/>
          <w:color w:val="231F20"/>
          <w:sz w:val="12"/>
        </w:rPr>
        <w:t>lecteur</w:t>
      </w:r>
      <w:r>
        <w:rPr>
          <w:rFonts w:ascii="Arial" w:hAnsi="Arial"/>
          <w:color w:val="231F20"/>
          <w:spacing w:val="-2"/>
          <w:sz w:val="12"/>
        </w:rPr>
        <w:t> </w:t>
      </w:r>
      <w:r>
        <w:rPr>
          <w:rFonts w:ascii="Arial" w:hAnsi="Arial"/>
          <w:color w:val="231F20"/>
          <w:sz w:val="12"/>
        </w:rPr>
        <w:t>sur</w:t>
      </w:r>
      <w:r>
        <w:rPr>
          <w:rFonts w:ascii="Arial" w:hAnsi="Arial"/>
          <w:color w:val="231F20"/>
          <w:spacing w:val="-2"/>
          <w:sz w:val="12"/>
        </w:rPr>
        <w:t> </w:t>
      </w:r>
      <w:r>
        <w:rPr>
          <w:rFonts w:ascii="Arial" w:hAnsi="Arial"/>
          <w:color w:val="231F20"/>
          <w:sz w:val="12"/>
        </w:rPr>
        <w:t>la</w:t>
      </w:r>
      <w:r>
        <w:rPr>
          <w:rFonts w:ascii="Arial" w:hAnsi="Arial"/>
          <w:color w:val="231F20"/>
          <w:spacing w:val="-2"/>
          <w:sz w:val="12"/>
        </w:rPr>
        <w:t> </w:t>
      </w:r>
      <w:r>
        <w:rPr>
          <w:rFonts w:ascii="Arial" w:hAnsi="Arial"/>
          <w:color w:val="231F20"/>
          <w:sz w:val="12"/>
        </w:rPr>
        <w:t>menace</w:t>
      </w:r>
      <w:r>
        <w:rPr>
          <w:rFonts w:ascii="Arial" w:hAnsi="Arial"/>
          <w:color w:val="231F20"/>
          <w:spacing w:val="-2"/>
          <w:sz w:val="12"/>
        </w:rPr>
        <w:t> </w:t>
      </w:r>
      <w:r>
        <w:rPr>
          <w:rFonts w:ascii="Arial" w:hAnsi="Arial"/>
          <w:color w:val="231F20"/>
          <w:sz w:val="12"/>
        </w:rPr>
        <w:t>que</w:t>
      </w:r>
      <w:r>
        <w:rPr>
          <w:rFonts w:ascii="Arial" w:hAnsi="Arial"/>
          <w:color w:val="231F20"/>
          <w:spacing w:val="-2"/>
          <w:sz w:val="12"/>
        </w:rPr>
        <w:t> </w:t>
      </w:r>
      <w:r>
        <w:rPr>
          <w:rFonts w:ascii="Arial" w:hAnsi="Arial"/>
          <w:color w:val="231F20"/>
          <w:sz w:val="12"/>
        </w:rPr>
        <w:t>représente</w:t>
      </w:r>
      <w:r>
        <w:rPr>
          <w:rFonts w:ascii="Arial" w:hAnsi="Arial"/>
          <w:color w:val="231F20"/>
          <w:spacing w:val="-2"/>
          <w:sz w:val="12"/>
        </w:rPr>
        <w:t> </w:t>
      </w:r>
      <w:r>
        <w:rPr>
          <w:rFonts w:ascii="Arial" w:hAnsi="Arial"/>
          <w:color w:val="231F20"/>
          <w:sz w:val="12"/>
        </w:rPr>
        <w:t>pour</w:t>
      </w:r>
      <w:r>
        <w:rPr>
          <w:rFonts w:ascii="Arial" w:hAnsi="Arial"/>
          <w:color w:val="231F20"/>
          <w:spacing w:val="-2"/>
          <w:sz w:val="12"/>
        </w:rPr>
        <w:t> </w:t>
      </w:r>
      <w:r>
        <w:rPr>
          <w:rFonts w:ascii="Arial" w:hAnsi="Arial"/>
          <w:color w:val="231F20"/>
          <w:sz w:val="12"/>
        </w:rPr>
        <w:t>l’avenir</w:t>
      </w:r>
      <w:r>
        <w:rPr>
          <w:rFonts w:ascii="Arial" w:hAnsi="Arial"/>
          <w:color w:val="231F20"/>
          <w:spacing w:val="-2"/>
          <w:sz w:val="12"/>
        </w:rPr>
        <w:t> </w:t>
      </w:r>
      <w:r>
        <w:rPr>
          <w:rFonts w:ascii="Arial" w:hAnsi="Arial"/>
          <w:color w:val="231F20"/>
          <w:sz w:val="12"/>
        </w:rPr>
        <w:t>de</w:t>
      </w:r>
      <w:r>
        <w:rPr>
          <w:rFonts w:ascii="Arial" w:hAnsi="Arial"/>
          <w:color w:val="231F20"/>
          <w:spacing w:val="-2"/>
          <w:sz w:val="12"/>
        </w:rPr>
        <w:t> </w:t>
      </w:r>
      <w:r>
        <w:rPr>
          <w:rFonts w:ascii="Arial" w:hAnsi="Arial"/>
          <w:color w:val="231F20"/>
          <w:sz w:val="12"/>
        </w:rPr>
        <w:t>l’écrit</w:t>
      </w:r>
      <w:r>
        <w:rPr>
          <w:rFonts w:ascii="Arial" w:hAnsi="Arial"/>
          <w:color w:val="231F20"/>
          <w:spacing w:val="-2"/>
          <w:sz w:val="12"/>
        </w:rPr>
        <w:t> </w:t>
      </w:r>
      <w:r>
        <w:rPr>
          <w:rFonts w:ascii="Arial" w:hAnsi="Arial"/>
          <w:color w:val="231F20"/>
          <w:sz w:val="12"/>
        </w:rPr>
        <w:t>le</w:t>
      </w:r>
      <w:r>
        <w:rPr>
          <w:rFonts w:ascii="Arial" w:hAnsi="Arial"/>
          <w:color w:val="231F20"/>
          <w:spacing w:val="-2"/>
          <w:sz w:val="12"/>
        </w:rPr>
        <w:t> </w:t>
      </w:r>
      <w:r>
        <w:rPr>
          <w:rFonts w:ascii="Arial" w:hAnsi="Arial"/>
          <w:color w:val="231F20"/>
          <w:sz w:val="12"/>
        </w:rPr>
        <w:t>développement</w:t>
      </w:r>
      <w:r>
        <w:rPr>
          <w:rFonts w:ascii="Arial" w:hAnsi="Arial"/>
          <w:color w:val="231F20"/>
          <w:spacing w:val="40"/>
          <w:sz w:val="12"/>
        </w:rPr>
        <w:t> </w:t>
      </w:r>
      <w:r>
        <w:rPr>
          <w:rFonts w:ascii="Arial" w:hAnsi="Arial"/>
          <w:color w:val="231F20"/>
          <w:sz w:val="12"/>
        </w:rPr>
        <w:t>massif du «</w:t>
      </w:r>
      <w:r>
        <w:rPr>
          <w:rFonts w:ascii="Arial" w:hAnsi="Arial"/>
          <w:color w:val="231F20"/>
          <w:spacing w:val="-19"/>
          <w:sz w:val="12"/>
        </w:rPr>
        <w:t> </w:t>
      </w:r>
      <w:r>
        <w:rPr>
          <w:rFonts w:ascii="Arial" w:hAnsi="Arial"/>
          <w:color w:val="231F20"/>
          <w:sz w:val="12"/>
        </w:rPr>
        <w:t>photocopillage».</w:t>
      </w:r>
    </w:p>
    <w:p>
      <w:pPr>
        <w:spacing w:after="0" w:line="295" w:lineRule="auto"/>
        <w:jc w:val="both"/>
        <w:rPr>
          <w:rFonts w:ascii="Arial" w:hAnsi="Arial"/>
          <w:sz w:val="12"/>
        </w:rPr>
        <w:sectPr>
          <w:pgSz w:w="8640" w:h="12960"/>
          <w:pgMar w:top="1220" w:bottom="280" w:left="460" w:right="100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Title"/>
        <w:spacing w:line="208" w:lineRule="auto"/>
      </w:pPr>
      <w:r>
        <w:rPr>
          <w:color w:val="231F20"/>
          <w:w w:val="95"/>
        </w:rPr>
        <w:t>Stress,</w:t>
      </w:r>
      <w:r>
        <w:rPr>
          <w:color w:val="231F20"/>
          <w:spacing w:val="-49"/>
          <w:w w:val="95"/>
        </w:rPr>
        <w:t> </w:t>
      </w:r>
      <w:r>
        <w:rPr>
          <w:color w:val="231F20"/>
          <w:w w:val="95"/>
        </w:rPr>
        <w:t>santé</w:t>
      </w:r>
      <w:r>
        <w:rPr>
          <w:color w:val="231F20"/>
          <w:spacing w:val="-49"/>
          <w:w w:val="95"/>
        </w:rPr>
        <w:t> </w:t>
      </w:r>
      <w:r>
        <w:rPr>
          <w:color w:val="231F20"/>
          <w:w w:val="95"/>
        </w:rPr>
        <w:t>et</w:t>
      </w:r>
      <w:r>
        <w:rPr>
          <w:color w:val="231F20"/>
          <w:spacing w:val="-49"/>
          <w:w w:val="95"/>
        </w:rPr>
        <w:t> </w:t>
      </w:r>
      <w:r>
        <w:rPr>
          <w:color w:val="231F20"/>
          <w:w w:val="95"/>
        </w:rPr>
        <w:t>performance </w:t>
      </w:r>
      <w:r>
        <w:rPr>
          <w:color w:val="231F20"/>
        </w:rPr>
        <w:t>au</w:t>
      </w:r>
      <w:r>
        <w:rPr>
          <w:color w:val="231F20"/>
          <w:spacing w:val="-14"/>
        </w:rPr>
        <w:t> </w:t>
      </w:r>
      <w:r>
        <w:rPr>
          <w:color w:val="231F20"/>
        </w:rPr>
        <w:t>travail</w:t>
      </w:r>
    </w:p>
    <w:p>
      <w:pPr>
        <w:spacing w:before="270"/>
        <w:ind w:left="540" w:right="0" w:firstLine="0"/>
        <w:jc w:val="center"/>
        <w:rPr>
          <w:rFonts w:ascii="Arial" w:hAnsi="Arial"/>
          <w:sz w:val="28"/>
        </w:rPr>
      </w:pPr>
      <w:r>
        <w:rPr>
          <w:rFonts w:ascii="Arial" w:hAnsi="Arial"/>
          <w:color w:val="231F20"/>
          <w:sz w:val="28"/>
        </w:rPr>
        <w:t>De</w:t>
      </w:r>
      <w:r>
        <w:rPr>
          <w:rFonts w:ascii="Arial" w:hAnsi="Arial"/>
          <w:color w:val="231F20"/>
          <w:spacing w:val="-19"/>
          <w:sz w:val="28"/>
        </w:rPr>
        <w:t> </w:t>
      </w:r>
      <w:r>
        <w:rPr>
          <w:rFonts w:ascii="Arial" w:hAnsi="Arial"/>
          <w:color w:val="231F20"/>
          <w:sz w:val="28"/>
        </w:rPr>
        <w:t>la</w:t>
      </w:r>
      <w:r>
        <w:rPr>
          <w:rFonts w:ascii="Arial" w:hAnsi="Arial"/>
          <w:color w:val="231F20"/>
          <w:spacing w:val="-19"/>
          <w:sz w:val="28"/>
        </w:rPr>
        <w:t> </w:t>
      </w:r>
      <w:r>
        <w:rPr>
          <w:rFonts w:ascii="Arial" w:hAnsi="Arial"/>
          <w:color w:val="231F20"/>
          <w:sz w:val="28"/>
        </w:rPr>
        <w:t>compréhension</w:t>
      </w:r>
      <w:r>
        <w:rPr>
          <w:rFonts w:ascii="Arial" w:hAnsi="Arial"/>
          <w:color w:val="231F20"/>
          <w:spacing w:val="-18"/>
          <w:sz w:val="28"/>
        </w:rPr>
        <w:t> </w:t>
      </w:r>
      <w:r>
        <w:rPr>
          <w:rFonts w:ascii="Arial" w:hAnsi="Arial"/>
          <w:color w:val="231F20"/>
          <w:sz w:val="28"/>
        </w:rPr>
        <w:t>à</w:t>
      </w:r>
      <w:r>
        <w:rPr>
          <w:rFonts w:ascii="Arial" w:hAnsi="Arial"/>
          <w:color w:val="231F20"/>
          <w:spacing w:val="-19"/>
          <w:sz w:val="28"/>
        </w:rPr>
        <w:t> </w:t>
      </w:r>
      <w:r>
        <w:rPr>
          <w:rFonts w:ascii="Arial" w:hAnsi="Arial"/>
          <w:color w:val="231F20"/>
          <w:spacing w:val="-2"/>
          <w:sz w:val="28"/>
        </w:rPr>
        <w:t>l’action</w:t>
      </w:r>
    </w:p>
    <w:p>
      <w:pPr>
        <w:pStyle w:val="BodyText"/>
        <w:spacing w:before="1"/>
        <w:rPr>
          <w:rFonts w:ascii="Arial"/>
          <w:sz w:val="23"/>
        </w:rPr>
      </w:pPr>
      <w:r>
        <w:rPr/>
        <w:pict>
          <v:shape style="position:absolute;margin-left:202.706009pt;margin-top:14.486501pt;width:26.6pt;height:19.05pt;mso-position-horizontal-relative:page;mso-position-vertical-relative:paragraph;z-index:-15727104;mso-wrap-distance-left:0;mso-wrap-distance-right:0" id="docshape2" coordorigin="4054,290" coordsize="532,381" path="m4255,290l4108,290,4054,541,4201,541,4255,290xm4420,290l4273,290,4220,541,4367,541,4420,290xm4586,290l4438,290,4357,671,4505,671,4586,290xe" filled="true" fillcolor="#231f20" stroked="false">
            <v:path arrowok="t"/>
            <v:fill type="solid"/>
            <w10:wrap type="topAndBottom"/>
          </v:shape>
        </w:pict>
      </w:r>
    </w:p>
    <w:p>
      <w:pPr>
        <w:pStyle w:val="BodyText"/>
        <w:spacing w:before="9"/>
        <w:rPr>
          <w:rFonts w:ascii="Arial"/>
        </w:rPr>
      </w:pPr>
    </w:p>
    <w:p>
      <w:pPr>
        <w:spacing w:before="148"/>
        <w:ind w:left="539" w:right="0" w:firstLine="0"/>
        <w:jc w:val="center"/>
        <w:rPr>
          <w:rFonts w:ascii="Arial" w:hAnsi="Arial"/>
          <w:sz w:val="21"/>
        </w:rPr>
      </w:pPr>
      <w:r>
        <w:rPr>
          <w:rFonts w:ascii="Arial" w:hAnsi="Arial"/>
          <w:color w:val="FFFFFF"/>
          <w:spacing w:val="59"/>
          <w:sz w:val="21"/>
          <w:shd w:fill="231F20" w:color="auto" w:val="clear"/>
        </w:rPr>
        <w:t> </w:t>
      </w:r>
      <w:r>
        <w:rPr>
          <w:rFonts w:ascii="Arial" w:hAnsi="Arial"/>
          <w:color w:val="FFFFFF"/>
          <w:w w:val="90"/>
          <w:sz w:val="21"/>
          <w:shd w:fill="231F20" w:color="auto" w:val="clear"/>
        </w:rPr>
        <w:t>2e</w:t>
      </w:r>
      <w:r>
        <w:rPr>
          <w:rFonts w:ascii="Arial" w:hAnsi="Arial"/>
          <w:color w:val="FFFFFF"/>
          <w:spacing w:val="9"/>
          <w:w w:val="105"/>
          <w:sz w:val="21"/>
          <w:shd w:fill="231F20" w:color="auto" w:val="clear"/>
        </w:rPr>
        <w:t> </w:t>
      </w:r>
      <w:r>
        <w:rPr>
          <w:rFonts w:ascii="Arial" w:hAnsi="Arial"/>
          <w:color w:val="FFFFFF"/>
          <w:spacing w:val="-2"/>
          <w:w w:val="105"/>
          <w:sz w:val="21"/>
          <w:shd w:fill="231F20" w:color="auto" w:val="clear"/>
        </w:rPr>
        <w:t>édition</w:t>
      </w:r>
      <w:r>
        <w:rPr>
          <w:rFonts w:ascii="Arial" w:hAnsi="Arial"/>
          <w:color w:val="FFFFFF"/>
          <w:spacing w:val="80"/>
          <w:w w:val="105"/>
          <w:sz w:val="21"/>
          <w:shd w:fill="231F20" w:color="auto" w:val="clear"/>
        </w:rPr>
        <w:t> </w:t>
      </w:r>
    </w:p>
    <w:p>
      <w:pPr>
        <w:pStyle w:val="BodyText"/>
        <w:rPr>
          <w:rFonts w:ascii="Arial"/>
          <w:sz w:val="30"/>
        </w:rPr>
      </w:pPr>
    </w:p>
    <w:p>
      <w:pPr>
        <w:pStyle w:val="Heading2"/>
        <w:spacing w:line="247" w:lineRule="auto" w:before="264"/>
        <w:ind w:left="3064" w:right="2522" w:hanging="1"/>
        <w:jc w:val="center"/>
      </w:pPr>
      <w:r>
        <w:rPr>
          <w:color w:val="231F20"/>
        </w:rPr>
        <w:t>Simon L. Dolan Eric</w:t>
      </w:r>
      <w:r>
        <w:rPr>
          <w:color w:val="231F20"/>
          <w:spacing w:val="-14"/>
        </w:rPr>
        <w:t> </w:t>
      </w:r>
      <w:r>
        <w:rPr>
          <w:color w:val="231F20"/>
        </w:rPr>
        <w:t>Gosselin </w:t>
      </w:r>
      <w:r>
        <w:rPr>
          <w:color w:val="231F20"/>
          <w:w w:val="95"/>
        </w:rPr>
        <w:t>André</w:t>
      </w:r>
      <w:r>
        <w:rPr>
          <w:color w:val="231F20"/>
          <w:spacing w:val="-11"/>
          <w:w w:val="95"/>
        </w:rPr>
        <w:t> </w:t>
      </w:r>
      <w:r>
        <w:rPr>
          <w:color w:val="231F20"/>
          <w:w w:val="95"/>
        </w:rPr>
        <w:t>Arsenault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11"/>
        </w:rPr>
      </w:pPr>
      <w:r>
        <w:rPr/>
        <w:pict>
          <v:group style="position:absolute;margin-left:144.500229pt;margin-top:7.774463pt;width:162.5pt;height:18.95pt;mso-position-horizontal-relative:page;mso-position-vertical-relative:paragraph;z-index:-15726592;mso-wrap-distance-left:0;mso-wrap-distance-right:0" id="docshapegroup3" coordorigin="2890,155" coordsize="3250,379">
            <v:shape style="position:absolute;left:3487;top:283;width:2653;height:125" type="#_x0000_t75" id="docshape4" stroked="false">
              <v:imagedata r:id="rId9" o:title=""/>
            </v:shape>
            <v:shape style="position:absolute;left:2890;top:155;width:529;height:379" id="docshape5" coordorigin="2890,156" coordsize="529,379" path="m3089,156l2943,156,2890,406,3036,406,3089,156xm3254,156l3108,156,3054,406,3201,406,3254,156xm3418,156l3272,156,3191,534,3338,534,3418,156xe" filled="true" fillcolor="#231f20" stroked="false">
              <v:path arrowok="t"/>
              <v:fill type="solid"/>
            </v:shape>
            <w10:wrap type="topAndBottom"/>
          </v:group>
        </w:pict>
      </w:r>
    </w:p>
    <w:p>
      <w:pPr>
        <w:spacing w:after="0"/>
        <w:rPr>
          <w:rFonts w:ascii="Arial"/>
          <w:sz w:val="11"/>
        </w:rPr>
        <w:sectPr>
          <w:pgSz w:w="8640" w:h="12960"/>
          <w:pgMar w:top="1220" w:bottom="280" w:left="460" w:right="1000"/>
        </w:sectPr>
      </w:pPr>
    </w:p>
    <w:p>
      <w:pPr>
        <w:spacing w:line="283" w:lineRule="auto" w:before="118"/>
        <w:ind w:left="780" w:right="1303" w:firstLine="0"/>
        <w:jc w:val="left"/>
        <w:rPr>
          <w:rFonts w:ascii="Arial" w:hAnsi="Arial"/>
          <w:b/>
          <w:sz w:val="14"/>
        </w:rPr>
      </w:pPr>
      <w:r>
        <w:rPr>
          <w:rFonts w:ascii="Arial" w:hAnsi="Arial"/>
          <w:b/>
          <w:color w:val="231F20"/>
          <w:w w:val="95"/>
          <w:sz w:val="14"/>
        </w:rPr>
        <w:t>Catalogage</w:t>
      </w:r>
      <w:r>
        <w:rPr>
          <w:rFonts w:ascii="Arial" w:hAnsi="Arial"/>
          <w:b/>
          <w:color w:val="231F20"/>
          <w:spacing w:val="-7"/>
          <w:w w:val="95"/>
          <w:sz w:val="14"/>
        </w:rPr>
        <w:t> </w:t>
      </w:r>
      <w:r>
        <w:rPr>
          <w:rFonts w:ascii="Arial" w:hAnsi="Arial"/>
          <w:b/>
          <w:color w:val="231F20"/>
          <w:w w:val="95"/>
          <w:sz w:val="14"/>
        </w:rPr>
        <w:t>avant</w:t>
      </w:r>
      <w:r>
        <w:rPr>
          <w:rFonts w:ascii="Arial" w:hAnsi="Arial"/>
          <w:b/>
          <w:color w:val="231F20"/>
          <w:spacing w:val="-7"/>
          <w:w w:val="95"/>
          <w:sz w:val="14"/>
        </w:rPr>
        <w:t> </w:t>
      </w:r>
      <w:r>
        <w:rPr>
          <w:rFonts w:ascii="Arial" w:hAnsi="Arial"/>
          <w:b/>
          <w:color w:val="231F20"/>
          <w:w w:val="95"/>
          <w:sz w:val="14"/>
        </w:rPr>
        <w:t>publication</w:t>
      </w:r>
      <w:r>
        <w:rPr>
          <w:rFonts w:ascii="Arial" w:hAnsi="Arial"/>
          <w:b/>
          <w:color w:val="231F20"/>
          <w:spacing w:val="-7"/>
          <w:w w:val="95"/>
          <w:sz w:val="14"/>
        </w:rPr>
        <w:t> </w:t>
      </w:r>
      <w:r>
        <w:rPr>
          <w:rFonts w:ascii="Arial" w:hAnsi="Arial"/>
          <w:b/>
          <w:color w:val="231F20"/>
          <w:w w:val="95"/>
          <w:sz w:val="14"/>
        </w:rPr>
        <w:t>de</w:t>
      </w:r>
      <w:r>
        <w:rPr>
          <w:rFonts w:ascii="Arial" w:hAnsi="Arial"/>
          <w:b/>
          <w:color w:val="231F20"/>
          <w:spacing w:val="-7"/>
          <w:w w:val="95"/>
          <w:sz w:val="14"/>
        </w:rPr>
        <w:t> </w:t>
      </w:r>
      <w:r>
        <w:rPr>
          <w:rFonts w:ascii="Arial" w:hAnsi="Arial"/>
          <w:b/>
          <w:color w:val="231F20"/>
          <w:w w:val="95"/>
          <w:sz w:val="14"/>
        </w:rPr>
        <w:t>Bibliothèque</w:t>
      </w:r>
      <w:r>
        <w:rPr>
          <w:rFonts w:ascii="Arial" w:hAnsi="Arial"/>
          <w:b/>
          <w:color w:val="231F20"/>
          <w:spacing w:val="-7"/>
          <w:w w:val="95"/>
          <w:sz w:val="14"/>
        </w:rPr>
        <w:t> </w:t>
      </w:r>
      <w:r>
        <w:rPr>
          <w:rFonts w:ascii="Arial" w:hAnsi="Arial"/>
          <w:b/>
          <w:color w:val="231F20"/>
          <w:w w:val="95"/>
          <w:sz w:val="14"/>
        </w:rPr>
        <w:t>et</w:t>
      </w:r>
      <w:r>
        <w:rPr>
          <w:rFonts w:ascii="Arial" w:hAnsi="Arial"/>
          <w:b/>
          <w:color w:val="231F20"/>
          <w:spacing w:val="-7"/>
          <w:w w:val="95"/>
          <w:sz w:val="14"/>
        </w:rPr>
        <w:t> </w:t>
      </w:r>
      <w:r>
        <w:rPr>
          <w:rFonts w:ascii="Arial" w:hAnsi="Arial"/>
          <w:b/>
          <w:color w:val="231F20"/>
          <w:w w:val="95"/>
          <w:sz w:val="14"/>
        </w:rPr>
        <w:t>Archives</w:t>
      </w:r>
      <w:r>
        <w:rPr>
          <w:rFonts w:ascii="Arial" w:hAnsi="Arial"/>
          <w:b/>
          <w:color w:val="231F20"/>
          <w:spacing w:val="-7"/>
          <w:w w:val="95"/>
          <w:sz w:val="14"/>
        </w:rPr>
        <w:t> </w:t>
      </w:r>
      <w:r>
        <w:rPr>
          <w:rFonts w:ascii="Arial" w:hAnsi="Arial"/>
          <w:b/>
          <w:color w:val="231F20"/>
          <w:w w:val="95"/>
          <w:sz w:val="14"/>
        </w:rPr>
        <w:t>nationales</w:t>
      </w:r>
      <w:r>
        <w:rPr>
          <w:rFonts w:ascii="Arial" w:hAnsi="Arial"/>
          <w:b/>
          <w:color w:val="231F20"/>
          <w:spacing w:val="-7"/>
          <w:w w:val="95"/>
          <w:sz w:val="14"/>
        </w:rPr>
        <w:t> </w:t>
      </w:r>
      <w:r>
        <w:rPr>
          <w:rFonts w:ascii="Arial" w:hAnsi="Arial"/>
          <w:b/>
          <w:color w:val="231F20"/>
          <w:w w:val="95"/>
          <w:sz w:val="14"/>
        </w:rPr>
        <w:t>du</w:t>
      </w:r>
      <w:r>
        <w:rPr>
          <w:rFonts w:ascii="Arial" w:hAnsi="Arial"/>
          <w:b/>
          <w:color w:val="231F20"/>
          <w:spacing w:val="-7"/>
          <w:w w:val="95"/>
          <w:sz w:val="14"/>
        </w:rPr>
        <w:t> </w:t>
      </w:r>
      <w:r>
        <w:rPr>
          <w:rFonts w:ascii="Arial" w:hAnsi="Arial"/>
          <w:b/>
          <w:color w:val="231F20"/>
          <w:w w:val="95"/>
          <w:sz w:val="14"/>
        </w:rPr>
        <w:t>Québec</w:t>
      </w:r>
      <w:r>
        <w:rPr>
          <w:rFonts w:ascii="Arial" w:hAnsi="Arial"/>
          <w:b/>
          <w:color w:val="231F20"/>
          <w:spacing w:val="40"/>
          <w:sz w:val="14"/>
        </w:rPr>
        <w:t> </w:t>
      </w:r>
      <w:r>
        <w:rPr>
          <w:rFonts w:ascii="Arial" w:hAnsi="Arial"/>
          <w:b/>
          <w:color w:val="231F20"/>
          <w:sz w:val="14"/>
        </w:rPr>
        <w:t>et</w:t>
      </w:r>
      <w:r>
        <w:rPr>
          <w:rFonts w:ascii="Arial" w:hAnsi="Arial"/>
          <w:b/>
          <w:color w:val="231F20"/>
          <w:spacing w:val="-4"/>
          <w:sz w:val="14"/>
        </w:rPr>
        <w:t> </w:t>
      </w:r>
      <w:r>
        <w:rPr>
          <w:rFonts w:ascii="Arial" w:hAnsi="Arial"/>
          <w:b/>
          <w:color w:val="231F20"/>
          <w:sz w:val="14"/>
        </w:rPr>
        <w:t>Bibliothèque</w:t>
      </w:r>
      <w:r>
        <w:rPr>
          <w:rFonts w:ascii="Arial" w:hAnsi="Arial"/>
          <w:b/>
          <w:color w:val="231F20"/>
          <w:spacing w:val="-4"/>
          <w:sz w:val="14"/>
        </w:rPr>
        <w:t> </w:t>
      </w:r>
      <w:r>
        <w:rPr>
          <w:rFonts w:ascii="Arial" w:hAnsi="Arial"/>
          <w:b/>
          <w:color w:val="231F20"/>
          <w:sz w:val="14"/>
        </w:rPr>
        <w:t>et</w:t>
      </w:r>
      <w:r>
        <w:rPr>
          <w:rFonts w:ascii="Arial" w:hAnsi="Arial"/>
          <w:b/>
          <w:color w:val="231F20"/>
          <w:spacing w:val="-4"/>
          <w:sz w:val="14"/>
        </w:rPr>
        <w:t> </w:t>
      </w:r>
      <w:r>
        <w:rPr>
          <w:rFonts w:ascii="Arial" w:hAnsi="Arial"/>
          <w:b/>
          <w:color w:val="231F20"/>
          <w:sz w:val="14"/>
        </w:rPr>
        <w:t>Archives</w:t>
      </w:r>
      <w:r>
        <w:rPr>
          <w:rFonts w:ascii="Arial" w:hAnsi="Arial"/>
          <w:b/>
          <w:color w:val="231F20"/>
          <w:spacing w:val="-4"/>
          <w:sz w:val="14"/>
        </w:rPr>
        <w:t> </w:t>
      </w:r>
      <w:r>
        <w:rPr>
          <w:rFonts w:ascii="Arial" w:hAnsi="Arial"/>
          <w:b/>
          <w:color w:val="231F20"/>
          <w:sz w:val="14"/>
        </w:rPr>
        <w:t>Canada</w:t>
      </w:r>
    </w:p>
    <w:p>
      <w:pPr>
        <w:spacing w:line="283" w:lineRule="auto" w:before="60"/>
        <w:ind w:left="780" w:right="1303" w:firstLine="0"/>
        <w:jc w:val="left"/>
        <w:rPr>
          <w:rFonts w:ascii="Arial" w:hAnsi="Arial"/>
          <w:sz w:val="14"/>
        </w:rPr>
      </w:pPr>
      <w:r>
        <w:rPr>
          <w:rFonts w:ascii="Arial" w:hAnsi="Arial"/>
          <w:color w:val="231F20"/>
          <w:sz w:val="14"/>
        </w:rPr>
        <w:t>Titre: Stress, santé et performance au travail: de la compréhension à l’action </w:t>
      </w:r>
      <w:r>
        <w:rPr>
          <w:rFonts w:ascii="Arial" w:hAnsi="Arial"/>
          <w:color w:val="231F20"/>
          <w:w w:val="110"/>
          <w:sz w:val="14"/>
        </w:rPr>
        <w:t>/ </w:t>
      </w:r>
      <w:r>
        <w:rPr>
          <w:rFonts w:ascii="Arial" w:hAnsi="Arial"/>
          <w:color w:val="231F20"/>
          <w:sz w:val="14"/>
        </w:rPr>
        <w:t>Simon L. Dolan, André Arsenault et Eric Gosselin.</w:t>
      </w:r>
    </w:p>
    <w:p>
      <w:pPr>
        <w:spacing w:before="61"/>
        <w:ind w:left="780" w:right="0" w:firstLine="0"/>
        <w:jc w:val="left"/>
        <w:rPr>
          <w:rFonts w:ascii="Arial" w:hAnsi="Arial"/>
          <w:sz w:val="14"/>
        </w:rPr>
      </w:pPr>
      <w:r>
        <w:rPr>
          <w:rFonts w:ascii="Arial" w:hAnsi="Arial"/>
          <w:color w:val="231F20"/>
          <w:sz w:val="14"/>
        </w:rPr>
        <w:t>Autres</w:t>
      </w:r>
      <w:r>
        <w:rPr>
          <w:rFonts w:ascii="Arial" w:hAnsi="Arial"/>
          <w:color w:val="231F20"/>
          <w:spacing w:val="5"/>
          <w:sz w:val="14"/>
        </w:rPr>
        <w:t> </w:t>
      </w:r>
      <w:r>
        <w:rPr>
          <w:rFonts w:ascii="Arial" w:hAnsi="Arial"/>
          <w:color w:val="231F20"/>
          <w:sz w:val="14"/>
        </w:rPr>
        <w:t>titres:</w:t>
      </w:r>
      <w:r>
        <w:rPr>
          <w:rFonts w:ascii="Arial" w:hAnsi="Arial"/>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self-esteem,</w:t>
      </w:r>
      <w:r>
        <w:rPr>
          <w:rFonts w:ascii="Arial" w:hAnsi="Arial"/>
          <w:color w:val="231F20"/>
          <w:spacing w:val="6"/>
          <w:sz w:val="14"/>
        </w:rPr>
        <w:t> </w:t>
      </w:r>
      <w:r>
        <w:rPr>
          <w:rFonts w:ascii="Arial" w:hAnsi="Arial"/>
          <w:color w:val="231F20"/>
          <w:sz w:val="14"/>
        </w:rPr>
        <w:t>health</w:t>
      </w:r>
      <w:r>
        <w:rPr>
          <w:rFonts w:ascii="Arial" w:hAnsi="Arial"/>
          <w:color w:val="231F20"/>
          <w:spacing w:val="5"/>
          <w:sz w:val="14"/>
        </w:rPr>
        <w:t> </w:t>
      </w:r>
      <w:r>
        <w:rPr>
          <w:rFonts w:ascii="Arial" w:hAnsi="Arial"/>
          <w:color w:val="231F20"/>
          <w:sz w:val="14"/>
        </w:rPr>
        <w:t>and</w:t>
      </w:r>
      <w:r>
        <w:rPr>
          <w:rFonts w:ascii="Arial" w:hAnsi="Arial"/>
          <w:color w:val="231F20"/>
          <w:spacing w:val="5"/>
          <w:sz w:val="14"/>
        </w:rPr>
        <w:t> </w:t>
      </w:r>
      <w:r>
        <w:rPr>
          <w:rFonts w:ascii="Arial" w:hAnsi="Arial"/>
          <w:color w:val="231F20"/>
          <w:sz w:val="14"/>
        </w:rPr>
        <w:t>work.</w:t>
      </w:r>
      <w:r>
        <w:rPr>
          <w:rFonts w:ascii="Arial" w:hAnsi="Arial"/>
          <w:color w:val="231F20"/>
          <w:spacing w:val="5"/>
          <w:sz w:val="14"/>
        </w:rPr>
        <w:t> </w:t>
      </w:r>
      <w:r>
        <w:rPr>
          <w:rFonts w:ascii="Arial" w:hAnsi="Arial"/>
          <w:color w:val="231F20"/>
          <w:spacing w:val="-2"/>
          <w:sz w:val="14"/>
        </w:rPr>
        <w:t>Français</w:t>
      </w:r>
    </w:p>
    <w:p>
      <w:pPr>
        <w:spacing w:line="283" w:lineRule="auto" w:before="89"/>
        <w:ind w:left="780" w:right="774" w:firstLine="0"/>
        <w:jc w:val="left"/>
        <w:rPr>
          <w:rFonts w:ascii="Arial" w:hAnsi="Arial"/>
          <w:sz w:val="14"/>
        </w:rPr>
      </w:pPr>
      <w:r>
        <w:rPr>
          <w:rFonts w:ascii="Arial" w:hAnsi="Arial"/>
          <w:color w:val="231F20"/>
          <w:sz w:val="14"/>
        </w:rPr>
        <w:t>Noms</w:t>
      </w:r>
      <w:r>
        <w:rPr>
          <w:rFonts w:ascii="Arial" w:hAnsi="Arial"/>
          <w:color w:val="231F20"/>
          <w:spacing w:val="-26"/>
          <w:sz w:val="14"/>
        </w:rPr>
        <w:t> </w:t>
      </w:r>
      <w:r>
        <w:rPr>
          <w:rFonts w:ascii="Arial" w:hAnsi="Arial"/>
          <w:color w:val="231F20"/>
          <w:sz w:val="14"/>
        </w:rPr>
        <w:t>:</w:t>
      </w:r>
      <w:r>
        <w:rPr>
          <w:rFonts w:ascii="Arial" w:hAnsi="Arial"/>
          <w:color w:val="231F20"/>
          <w:spacing w:val="-6"/>
          <w:sz w:val="14"/>
        </w:rPr>
        <w:t> </w:t>
      </w:r>
      <w:r>
        <w:rPr>
          <w:rFonts w:ascii="Arial" w:hAnsi="Arial"/>
          <w:color w:val="231F20"/>
          <w:sz w:val="14"/>
        </w:rPr>
        <w:t>Dolan,</w:t>
      </w:r>
      <w:r>
        <w:rPr>
          <w:rFonts w:ascii="Arial" w:hAnsi="Arial"/>
          <w:color w:val="231F20"/>
          <w:spacing w:val="-5"/>
          <w:sz w:val="14"/>
        </w:rPr>
        <w:t> </w:t>
      </w:r>
      <w:r>
        <w:rPr>
          <w:rFonts w:ascii="Arial" w:hAnsi="Arial"/>
          <w:color w:val="231F20"/>
          <w:sz w:val="14"/>
        </w:rPr>
        <w:t>Simon</w:t>
      </w:r>
      <w:r>
        <w:rPr>
          <w:rFonts w:ascii="Arial" w:hAnsi="Arial"/>
          <w:color w:val="231F20"/>
          <w:spacing w:val="-5"/>
          <w:sz w:val="14"/>
        </w:rPr>
        <w:t> </w:t>
      </w:r>
      <w:r>
        <w:rPr>
          <w:rFonts w:ascii="Arial" w:hAnsi="Arial"/>
          <w:color w:val="231F20"/>
          <w:sz w:val="14"/>
        </w:rPr>
        <w:t>L.</w:t>
      </w:r>
      <w:r>
        <w:rPr>
          <w:rFonts w:ascii="Arial" w:hAnsi="Arial"/>
          <w:color w:val="231F20"/>
          <w:spacing w:val="-5"/>
          <w:sz w:val="14"/>
        </w:rPr>
        <w:t> </w:t>
      </w:r>
      <w:r>
        <w:rPr>
          <w:rFonts w:ascii="Arial" w:hAnsi="Arial"/>
          <w:color w:val="231F20"/>
          <w:sz w:val="14"/>
        </w:rPr>
        <w:t>(Simon</w:t>
      </w:r>
      <w:r>
        <w:rPr>
          <w:rFonts w:ascii="Arial" w:hAnsi="Arial"/>
          <w:color w:val="231F20"/>
          <w:spacing w:val="-5"/>
          <w:sz w:val="14"/>
        </w:rPr>
        <w:t> </w:t>
      </w:r>
      <w:r>
        <w:rPr>
          <w:rFonts w:ascii="Arial" w:hAnsi="Arial"/>
          <w:color w:val="231F20"/>
          <w:sz w:val="14"/>
        </w:rPr>
        <w:t>Landau),</w:t>
      </w:r>
      <w:r>
        <w:rPr>
          <w:rFonts w:ascii="Arial" w:hAnsi="Arial"/>
          <w:color w:val="231F20"/>
          <w:spacing w:val="-5"/>
          <w:sz w:val="14"/>
        </w:rPr>
        <w:t> </w:t>
      </w:r>
      <w:r>
        <w:rPr>
          <w:rFonts w:ascii="Arial" w:hAnsi="Arial"/>
          <w:color w:val="231F20"/>
          <w:sz w:val="14"/>
        </w:rPr>
        <w:t>1947-</w:t>
      </w:r>
      <w:r>
        <w:rPr>
          <w:rFonts w:ascii="Arial" w:hAnsi="Arial"/>
          <w:color w:val="231F20"/>
          <w:spacing w:val="-5"/>
          <w:sz w:val="14"/>
        </w:rPr>
        <w:t> </w:t>
      </w:r>
      <w:r>
        <w:rPr>
          <w:rFonts w:ascii="Arial" w:hAnsi="Arial"/>
          <w:color w:val="231F20"/>
          <w:sz w:val="14"/>
        </w:rPr>
        <w:t>auteur.</w:t>
      </w:r>
      <w:r>
        <w:rPr>
          <w:rFonts w:ascii="Arial" w:hAnsi="Arial"/>
          <w:color w:val="231F20"/>
          <w:spacing w:val="-5"/>
          <w:sz w:val="14"/>
        </w:rPr>
        <w:t> </w:t>
      </w:r>
      <w:r>
        <w:rPr>
          <w:rFonts w:ascii="Arial" w:hAnsi="Arial"/>
          <w:color w:val="231F20"/>
          <w:sz w:val="14"/>
        </w:rPr>
        <w:t>|</w:t>
      </w:r>
      <w:r>
        <w:rPr>
          <w:rFonts w:ascii="Arial" w:hAnsi="Arial"/>
          <w:color w:val="231F20"/>
          <w:spacing w:val="-5"/>
          <w:sz w:val="14"/>
        </w:rPr>
        <w:t> </w:t>
      </w:r>
      <w:r>
        <w:rPr>
          <w:rFonts w:ascii="Arial" w:hAnsi="Arial"/>
          <w:color w:val="231F20"/>
          <w:sz w:val="14"/>
        </w:rPr>
        <w:t>Arsenault,</w:t>
      </w:r>
      <w:r>
        <w:rPr>
          <w:rFonts w:ascii="Arial" w:hAnsi="Arial"/>
          <w:color w:val="231F20"/>
          <w:spacing w:val="-5"/>
          <w:sz w:val="14"/>
        </w:rPr>
        <w:t> </w:t>
      </w:r>
      <w:r>
        <w:rPr>
          <w:rFonts w:ascii="Arial" w:hAnsi="Arial"/>
          <w:color w:val="231F20"/>
          <w:sz w:val="14"/>
        </w:rPr>
        <w:t>André,</w:t>
      </w:r>
      <w:r>
        <w:rPr>
          <w:rFonts w:ascii="Arial" w:hAnsi="Arial"/>
          <w:color w:val="231F20"/>
          <w:spacing w:val="-5"/>
          <w:sz w:val="14"/>
        </w:rPr>
        <w:t> </w:t>
      </w:r>
      <w:r>
        <w:rPr>
          <w:rFonts w:ascii="Arial" w:hAnsi="Arial"/>
          <w:color w:val="231F20"/>
          <w:sz w:val="14"/>
        </w:rPr>
        <w:t>1943-</w:t>
      </w:r>
      <w:r>
        <w:rPr>
          <w:rFonts w:ascii="Arial" w:hAnsi="Arial"/>
          <w:color w:val="231F20"/>
          <w:spacing w:val="-5"/>
          <w:sz w:val="14"/>
        </w:rPr>
        <w:t> </w:t>
      </w:r>
      <w:r>
        <w:rPr>
          <w:rFonts w:ascii="Arial" w:hAnsi="Arial"/>
          <w:color w:val="231F20"/>
          <w:sz w:val="14"/>
        </w:rPr>
        <w:t>auteur.</w:t>
      </w:r>
      <w:r>
        <w:rPr>
          <w:rFonts w:ascii="Arial" w:hAnsi="Arial"/>
          <w:color w:val="231F20"/>
          <w:spacing w:val="-5"/>
          <w:sz w:val="14"/>
        </w:rPr>
        <w:t> </w:t>
      </w:r>
      <w:r>
        <w:rPr>
          <w:rFonts w:ascii="Arial" w:hAnsi="Arial"/>
          <w:color w:val="231F20"/>
          <w:sz w:val="14"/>
        </w:rPr>
        <w:t>|</w:t>
      </w:r>
      <w:r>
        <w:rPr>
          <w:rFonts w:ascii="Arial" w:hAnsi="Arial"/>
          <w:color w:val="231F20"/>
          <w:w w:val="105"/>
          <w:sz w:val="14"/>
        </w:rPr>
        <w:t> Gosselin, Eric, 1967- auteur.</w:t>
      </w:r>
    </w:p>
    <w:p>
      <w:pPr>
        <w:spacing w:line="283" w:lineRule="auto" w:before="60"/>
        <w:ind w:left="780" w:right="868" w:firstLine="0"/>
        <w:jc w:val="left"/>
        <w:rPr>
          <w:rFonts w:ascii="Arial" w:hAnsi="Arial"/>
          <w:sz w:val="14"/>
        </w:rPr>
      </w:pPr>
      <w:r>
        <w:rPr>
          <w:rFonts w:ascii="Arial" w:hAnsi="Arial"/>
          <w:color w:val="231F20"/>
          <w:sz w:val="14"/>
        </w:rPr>
        <w:t>Description: 2e édition. | Traduction de</w:t>
      </w:r>
      <w:r>
        <w:rPr>
          <w:rFonts w:ascii="Arial" w:hAnsi="Arial"/>
          <w:color w:val="231F20"/>
          <w:spacing w:val="-24"/>
          <w:sz w:val="14"/>
        </w:rPr>
        <w:t> </w:t>
      </w:r>
      <w:r>
        <w:rPr>
          <w:rFonts w:ascii="Arial" w:hAnsi="Arial"/>
          <w:color w:val="231F20"/>
          <w:sz w:val="14"/>
        </w:rPr>
        <w:t>: Stress, self-esteem, health and work. | Publié</w:t>
      </w:r>
      <w:r>
        <w:rPr>
          <w:rFonts w:ascii="Arial" w:hAnsi="Arial"/>
          <w:color w:val="231F20"/>
          <w:w w:val="105"/>
          <w:sz w:val="14"/>
        </w:rPr>
        <w:t> antérieurement</w:t>
      </w:r>
      <w:r>
        <w:rPr>
          <w:rFonts w:ascii="Arial" w:hAnsi="Arial"/>
          <w:color w:val="231F20"/>
          <w:spacing w:val="-7"/>
          <w:w w:val="105"/>
          <w:sz w:val="14"/>
        </w:rPr>
        <w:t> </w:t>
      </w:r>
      <w:r>
        <w:rPr>
          <w:rFonts w:ascii="Arial" w:hAnsi="Arial"/>
          <w:color w:val="231F20"/>
          <w:w w:val="105"/>
          <w:sz w:val="14"/>
        </w:rPr>
        <w:t>sous</w:t>
      </w:r>
      <w:r>
        <w:rPr>
          <w:rFonts w:ascii="Arial" w:hAnsi="Arial"/>
          <w:color w:val="231F20"/>
          <w:spacing w:val="-7"/>
          <w:w w:val="105"/>
          <w:sz w:val="14"/>
        </w:rPr>
        <w:t> </w:t>
      </w:r>
      <w:r>
        <w:rPr>
          <w:rFonts w:ascii="Arial" w:hAnsi="Arial"/>
          <w:color w:val="231F20"/>
          <w:w w:val="105"/>
          <w:sz w:val="14"/>
        </w:rPr>
        <w:t>le</w:t>
      </w:r>
      <w:r>
        <w:rPr>
          <w:rFonts w:ascii="Arial" w:hAnsi="Arial"/>
          <w:color w:val="231F20"/>
          <w:spacing w:val="-7"/>
          <w:w w:val="105"/>
          <w:sz w:val="14"/>
        </w:rPr>
        <w:t> </w:t>
      </w:r>
      <w:r>
        <w:rPr>
          <w:rFonts w:ascii="Arial" w:hAnsi="Arial"/>
          <w:color w:val="231F20"/>
          <w:w w:val="105"/>
          <w:sz w:val="14"/>
        </w:rPr>
        <w:t>titre:</w:t>
      </w:r>
      <w:r>
        <w:rPr>
          <w:rFonts w:ascii="Arial" w:hAnsi="Arial"/>
          <w:color w:val="231F20"/>
          <w:spacing w:val="-7"/>
          <w:w w:val="105"/>
          <w:sz w:val="14"/>
        </w:rPr>
        <w:t> </w:t>
      </w:r>
      <w:r>
        <w:rPr>
          <w:rFonts w:ascii="Arial" w:hAnsi="Arial"/>
          <w:color w:val="231F20"/>
          <w:w w:val="105"/>
          <w:sz w:val="14"/>
        </w:rPr>
        <w:t>Stress,</w:t>
      </w:r>
      <w:r>
        <w:rPr>
          <w:rFonts w:ascii="Arial" w:hAnsi="Arial"/>
          <w:color w:val="231F20"/>
          <w:spacing w:val="-7"/>
          <w:w w:val="105"/>
          <w:sz w:val="14"/>
        </w:rPr>
        <w:t> </w:t>
      </w:r>
      <w:r>
        <w:rPr>
          <w:rFonts w:ascii="Arial" w:hAnsi="Arial"/>
          <w:color w:val="231F20"/>
          <w:w w:val="105"/>
          <w:sz w:val="14"/>
        </w:rPr>
        <w:t>estime</w:t>
      </w:r>
      <w:r>
        <w:rPr>
          <w:rFonts w:ascii="Arial" w:hAnsi="Arial"/>
          <w:color w:val="231F20"/>
          <w:spacing w:val="-7"/>
          <w:w w:val="105"/>
          <w:sz w:val="14"/>
        </w:rPr>
        <w:t> </w:t>
      </w:r>
      <w:r>
        <w:rPr>
          <w:rFonts w:ascii="Arial" w:hAnsi="Arial"/>
          <w:color w:val="231F20"/>
          <w:w w:val="105"/>
          <w:sz w:val="14"/>
        </w:rPr>
        <w:t>de</w:t>
      </w:r>
      <w:r>
        <w:rPr>
          <w:rFonts w:ascii="Arial" w:hAnsi="Arial"/>
          <w:color w:val="231F20"/>
          <w:spacing w:val="-7"/>
          <w:w w:val="105"/>
          <w:sz w:val="14"/>
        </w:rPr>
        <w:t> </w:t>
      </w:r>
      <w:r>
        <w:rPr>
          <w:rFonts w:ascii="Arial" w:hAnsi="Arial"/>
          <w:color w:val="231F20"/>
          <w:w w:val="105"/>
          <w:sz w:val="14"/>
        </w:rPr>
        <w:t>soi,</w:t>
      </w:r>
      <w:r>
        <w:rPr>
          <w:rFonts w:ascii="Arial" w:hAnsi="Arial"/>
          <w:color w:val="231F20"/>
          <w:spacing w:val="-7"/>
          <w:w w:val="105"/>
          <w:sz w:val="14"/>
        </w:rPr>
        <w:t> </w:t>
      </w:r>
      <w:r>
        <w:rPr>
          <w:rFonts w:ascii="Arial" w:hAnsi="Arial"/>
          <w:color w:val="231F20"/>
          <w:w w:val="105"/>
          <w:sz w:val="14"/>
        </w:rPr>
        <w:t>santé,</w:t>
      </w:r>
      <w:r>
        <w:rPr>
          <w:rFonts w:ascii="Arial" w:hAnsi="Arial"/>
          <w:color w:val="231F20"/>
          <w:spacing w:val="-7"/>
          <w:w w:val="105"/>
          <w:sz w:val="14"/>
        </w:rPr>
        <w:t> </w:t>
      </w:r>
      <w:r>
        <w:rPr>
          <w:rFonts w:ascii="Arial" w:hAnsi="Arial"/>
          <w:color w:val="231F20"/>
          <w:w w:val="105"/>
          <w:sz w:val="14"/>
        </w:rPr>
        <w:t>travail.</w:t>
      </w:r>
      <w:r>
        <w:rPr>
          <w:rFonts w:ascii="Arial" w:hAnsi="Arial"/>
          <w:color w:val="231F20"/>
          <w:spacing w:val="-7"/>
          <w:w w:val="105"/>
          <w:sz w:val="14"/>
        </w:rPr>
        <w:t> </w:t>
      </w:r>
      <w:r>
        <w:rPr>
          <w:rFonts w:ascii="Arial" w:hAnsi="Arial"/>
          <w:color w:val="231F20"/>
          <w:w w:val="105"/>
          <w:sz w:val="14"/>
        </w:rPr>
        <w:t>2009.</w:t>
      </w:r>
      <w:r>
        <w:rPr>
          <w:rFonts w:ascii="Arial" w:hAnsi="Arial"/>
          <w:color w:val="231F20"/>
          <w:spacing w:val="-7"/>
          <w:w w:val="105"/>
          <w:sz w:val="14"/>
        </w:rPr>
        <w:t> </w:t>
      </w:r>
      <w:r>
        <w:rPr>
          <w:rFonts w:ascii="Arial" w:hAnsi="Arial"/>
          <w:color w:val="231F20"/>
          <w:w w:val="105"/>
          <w:sz w:val="14"/>
        </w:rPr>
        <w:t>|</w:t>
      </w:r>
      <w:r>
        <w:rPr>
          <w:rFonts w:ascii="Arial" w:hAnsi="Arial"/>
          <w:color w:val="231F20"/>
          <w:spacing w:val="-7"/>
          <w:w w:val="105"/>
          <w:sz w:val="14"/>
        </w:rPr>
        <w:t> </w:t>
      </w:r>
      <w:r>
        <w:rPr>
          <w:rFonts w:ascii="Arial" w:hAnsi="Arial"/>
          <w:color w:val="231F20"/>
          <w:w w:val="105"/>
          <w:sz w:val="14"/>
        </w:rPr>
        <w:t>Comprend des références bibliographiques.</w:t>
      </w:r>
    </w:p>
    <w:p>
      <w:pPr>
        <w:spacing w:line="283" w:lineRule="auto" w:before="60"/>
        <w:ind w:left="780" w:right="774" w:firstLine="0"/>
        <w:jc w:val="left"/>
        <w:rPr>
          <w:rFonts w:ascii="Arial" w:hAnsi="Arial"/>
          <w:sz w:val="14"/>
        </w:rPr>
      </w:pPr>
      <w:r>
        <w:rPr>
          <w:rFonts w:ascii="Arial" w:hAnsi="Arial"/>
          <w:color w:val="231F20"/>
          <w:sz w:val="14"/>
        </w:rPr>
        <w:t>Identifiants: Canadiana (livre imprimé) 20210068027 | Canadiana (livre </w:t>
      </w:r>
      <w:r>
        <w:rPr>
          <w:rFonts w:ascii="Arial" w:hAnsi="Arial"/>
          <w:color w:val="231F20"/>
          <w:sz w:val="14"/>
        </w:rPr>
        <w:t>numérique)</w:t>
      </w:r>
      <w:r>
        <w:rPr>
          <w:rFonts w:ascii="Arial" w:hAnsi="Arial"/>
          <w:color w:val="231F20"/>
          <w:w w:val="105"/>
          <w:sz w:val="14"/>
        </w:rPr>
        <w:t> 20210068035</w:t>
      </w:r>
      <w:r>
        <w:rPr>
          <w:rFonts w:ascii="Arial" w:hAnsi="Arial"/>
          <w:color w:val="231F20"/>
          <w:spacing w:val="-6"/>
          <w:w w:val="105"/>
          <w:sz w:val="14"/>
        </w:rPr>
        <w:t> </w:t>
      </w:r>
      <w:r>
        <w:rPr>
          <w:rFonts w:ascii="Arial" w:hAnsi="Arial"/>
          <w:color w:val="231F20"/>
          <w:w w:val="105"/>
          <w:sz w:val="14"/>
        </w:rPr>
        <w:t>|</w:t>
      </w:r>
      <w:r>
        <w:rPr>
          <w:rFonts w:ascii="Arial" w:hAnsi="Arial"/>
          <w:color w:val="231F20"/>
          <w:spacing w:val="-6"/>
          <w:w w:val="105"/>
          <w:sz w:val="14"/>
        </w:rPr>
        <w:t> </w:t>
      </w:r>
      <w:r>
        <w:rPr>
          <w:rFonts w:ascii="Arial" w:hAnsi="Arial"/>
          <w:color w:val="231F20"/>
          <w:w w:val="105"/>
          <w:sz w:val="14"/>
        </w:rPr>
        <w:t>ISBN</w:t>
      </w:r>
      <w:r>
        <w:rPr>
          <w:rFonts w:ascii="Arial" w:hAnsi="Arial"/>
          <w:color w:val="231F20"/>
          <w:spacing w:val="-6"/>
          <w:w w:val="105"/>
          <w:sz w:val="14"/>
        </w:rPr>
        <w:t> </w:t>
      </w:r>
      <w:r>
        <w:rPr>
          <w:rFonts w:ascii="Arial" w:hAnsi="Arial"/>
          <w:color w:val="231F20"/>
          <w:w w:val="105"/>
          <w:sz w:val="14"/>
        </w:rPr>
        <w:t>9782760556270</w:t>
      </w:r>
      <w:r>
        <w:rPr>
          <w:rFonts w:ascii="Arial" w:hAnsi="Arial"/>
          <w:color w:val="231F20"/>
          <w:spacing w:val="-6"/>
          <w:w w:val="105"/>
          <w:sz w:val="14"/>
        </w:rPr>
        <w:t> </w:t>
      </w:r>
      <w:r>
        <w:rPr>
          <w:rFonts w:ascii="Arial" w:hAnsi="Arial"/>
          <w:color w:val="231F20"/>
          <w:w w:val="105"/>
          <w:sz w:val="14"/>
        </w:rPr>
        <w:t>|</w:t>
      </w:r>
      <w:r>
        <w:rPr>
          <w:rFonts w:ascii="Arial" w:hAnsi="Arial"/>
          <w:color w:val="231F20"/>
          <w:spacing w:val="-6"/>
          <w:w w:val="105"/>
          <w:sz w:val="14"/>
        </w:rPr>
        <w:t> </w:t>
      </w:r>
      <w:r>
        <w:rPr>
          <w:rFonts w:ascii="Arial" w:hAnsi="Arial"/>
          <w:color w:val="231F20"/>
          <w:w w:val="105"/>
          <w:sz w:val="14"/>
        </w:rPr>
        <w:t>ISBN</w:t>
      </w:r>
      <w:r>
        <w:rPr>
          <w:rFonts w:ascii="Arial" w:hAnsi="Arial"/>
          <w:color w:val="231F20"/>
          <w:spacing w:val="-6"/>
          <w:w w:val="105"/>
          <w:sz w:val="14"/>
        </w:rPr>
        <w:t> </w:t>
      </w:r>
      <w:r>
        <w:rPr>
          <w:rFonts w:ascii="Arial" w:hAnsi="Arial"/>
          <w:color w:val="231F20"/>
          <w:w w:val="105"/>
          <w:sz w:val="14"/>
        </w:rPr>
        <w:t>9782760556287</w:t>
      </w:r>
      <w:r>
        <w:rPr>
          <w:rFonts w:ascii="Arial" w:hAnsi="Arial"/>
          <w:color w:val="231F20"/>
          <w:spacing w:val="-6"/>
          <w:w w:val="105"/>
          <w:sz w:val="14"/>
        </w:rPr>
        <w:t> </w:t>
      </w:r>
      <w:r>
        <w:rPr>
          <w:rFonts w:ascii="Arial" w:hAnsi="Arial"/>
          <w:color w:val="231F20"/>
          <w:w w:val="105"/>
          <w:sz w:val="14"/>
        </w:rPr>
        <w:t>(PDF)</w:t>
      </w:r>
      <w:r>
        <w:rPr>
          <w:rFonts w:ascii="Arial" w:hAnsi="Arial"/>
          <w:color w:val="231F20"/>
          <w:spacing w:val="-6"/>
          <w:w w:val="105"/>
          <w:sz w:val="14"/>
        </w:rPr>
        <w:t> </w:t>
      </w:r>
      <w:r>
        <w:rPr>
          <w:rFonts w:ascii="Arial" w:hAnsi="Arial"/>
          <w:color w:val="231F20"/>
          <w:w w:val="105"/>
          <w:sz w:val="14"/>
        </w:rPr>
        <w:t>|</w:t>
      </w:r>
    </w:p>
    <w:p>
      <w:pPr>
        <w:spacing w:before="0"/>
        <w:ind w:left="780" w:right="0" w:firstLine="0"/>
        <w:jc w:val="left"/>
        <w:rPr>
          <w:rFonts w:ascii="Arial"/>
          <w:sz w:val="14"/>
        </w:rPr>
      </w:pPr>
      <w:r>
        <w:rPr>
          <w:rFonts w:ascii="Arial"/>
          <w:color w:val="231F20"/>
          <w:sz w:val="14"/>
        </w:rPr>
        <w:t>ISBN</w:t>
      </w:r>
      <w:r>
        <w:rPr>
          <w:rFonts w:ascii="Arial"/>
          <w:color w:val="231F20"/>
          <w:spacing w:val="1"/>
          <w:sz w:val="14"/>
        </w:rPr>
        <w:t> </w:t>
      </w:r>
      <w:r>
        <w:rPr>
          <w:rFonts w:ascii="Arial"/>
          <w:color w:val="231F20"/>
          <w:sz w:val="14"/>
        </w:rPr>
        <w:t>9782760556294</w:t>
      </w:r>
      <w:r>
        <w:rPr>
          <w:rFonts w:ascii="Arial"/>
          <w:color w:val="231F20"/>
          <w:spacing w:val="2"/>
          <w:sz w:val="14"/>
        </w:rPr>
        <w:t> </w:t>
      </w:r>
      <w:r>
        <w:rPr>
          <w:rFonts w:ascii="Arial"/>
          <w:color w:val="231F20"/>
          <w:spacing w:val="-2"/>
          <w:sz w:val="14"/>
        </w:rPr>
        <w:t>(EPUB)</w:t>
      </w:r>
    </w:p>
    <w:p>
      <w:pPr>
        <w:spacing w:line="283" w:lineRule="auto" w:before="89"/>
        <w:ind w:left="780" w:right="774" w:firstLine="0"/>
        <w:jc w:val="left"/>
        <w:rPr>
          <w:rFonts w:ascii="Arial" w:hAnsi="Arial"/>
          <w:sz w:val="14"/>
        </w:rPr>
      </w:pPr>
      <w:r>
        <w:rPr>
          <w:rFonts w:ascii="Arial" w:hAnsi="Arial"/>
          <w:color w:val="231F20"/>
          <w:sz w:val="14"/>
        </w:rPr>
        <w:t>Vedettes-matière:</w:t>
      </w:r>
      <w:r>
        <w:rPr>
          <w:rFonts w:ascii="Arial" w:hAnsi="Arial"/>
          <w:color w:val="231F20"/>
          <w:spacing w:val="-9"/>
          <w:sz w:val="14"/>
        </w:rPr>
        <w:t> </w:t>
      </w:r>
      <w:r>
        <w:rPr>
          <w:rFonts w:ascii="Arial" w:hAnsi="Arial"/>
          <w:color w:val="231F20"/>
          <w:sz w:val="14"/>
        </w:rPr>
        <w:t>RVM</w:t>
      </w:r>
      <w:r>
        <w:rPr>
          <w:rFonts w:ascii="Arial" w:hAnsi="Arial"/>
          <w:color w:val="231F20"/>
          <w:spacing w:val="-26"/>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Stress</w:t>
      </w:r>
      <w:r>
        <w:rPr>
          <w:rFonts w:ascii="Arial" w:hAnsi="Arial"/>
          <w:color w:val="231F20"/>
          <w:spacing w:val="-7"/>
          <w:sz w:val="14"/>
        </w:rPr>
        <w:t> </w:t>
      </w:r>
      <w:r>
        <w:rPr>
          <w:rFonts w:ascii="Arial" w:hAnsi="Arial"/>
          <w:color w:val="231F20"/>
          <w:sz w:val="14"/>
        </w:rPr>
        <w:t>dû</w:t>
      </w:r>
      <w:r>
        <w:rPr>
          <w:rFonts w:ascii="Arial" w:hAnsi="Arial"/>
          <w:color w:val="231F20"/>
          <w:spacing w:val="-7"/>
          <w:sz w:val="14"/>
        </w:rPr>
        <w:t> </w:t>
      </w:r>
      <w:r>
        <w:rPr>
          <w:rFonts w:ascii="Arial" w:hAnsi="Arial"/>
          <w:color w:val="231F20"/>
          <w:sz w:val="14"/>
        </w:rPr>
        <w:t>au</w:t>
      </w:r>
      <w:r>
        <w:rPr>
          <w:rFonts w:ascii="Arial" w:hAnsi="Arial"/>
          <w:color w:val="231F20"/>
          <w:spacing w:val="-7"/>
          <w:sz w:val="14"/>
        </w:rPr>
        <w:t> </w:t>
      </w:r>
      <w:r>
        <w:rPr>
          <w:rFonts w:ascii="Arial" w:hAnsi="Arial"/>
          <w:color w:val="231F20"/>
          <w:sz w:val="14"/>
        </w:rPr>
        <w:t>travail.</w:t>
      </w:r>
      <w:r>
        <w:rPr>
          <w:rFonts w:ascii="Arial" w:hAnsi="Arial"/>
          <w:color w:val="231F20"/>
          <w:spacing w:val="-7"/>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RVM</w:t>
      </w:r>
      <w:r>
        <w:rPr>
          <w:rFonts w:ascii="Arial" w:hAnsi="Arial"/>
          <w:color w:val="231F20"/>
          <w:spacing w:val="-26"/>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Stress</w:t>
      </w:r>
      <w:r>
        <w:rPr>
          <w:rFonts w:ascii="Arial" w:hAnsi="Arial"/>
          <w:color w:val="231F20"/>
          <w:spacing w:val="-7"/>
          <w:sz w:val="14"/>
        </w:rPr>
        <w:t> </w:t>
      </w:r>
      <w:r>
        <w:rPr>
          <w:rFonts w:ascii="Arial" w:hAnsi="Arial"/>
          <w:color w:val="231F20"/>
          <w:sz w:val="14"/>
        </w:rPr>
        <w:t>dû</w:t>
      </w:r>
      <w:r>
        <w:rPr>
          <w:rFonts w:ascii="Arial" w:hAnsi="Arial"/>
          <w:color w:val="231F20"/>
          <w:spacing w:val="-7"/>
          <w:sz w:val="14"/>
        </w:rPr>
        <w:t> </w:t>
      </w:r>
      <w:r>
        <w:rPr>
          <w:rFonts w:ascii="Arial" w:hAnsi="Arial"/>
          <w:color w:val="231F20"/>
          <w:sz w:val="14"/>
        </w:rPr>
        <w:t>au</w:t>
      </w:r>
      <w:r>
        <w:rPr>
          <w:rFonts w:ascii="Arial" w:hAnsi="Arial"/>
          <w:color w:val="231F20"/>
          <w:spacing w:val="-7"/>
          <w:sz w:val="14"/>
        </w:rPr>
        <w:t> </w:t>
      </w:r>
      <w:r>
        <w:rPr>
          <w:rFonts w:ascii="Arial" w:hAnsi="Arial"/>
          <w:color w:val="231F20"/>
          <w:sz w:val="14"/>
        </w:rPr>
        <w:t>travail—Prévention.</w:t>
      </w:r>
      <w:r>
        <w:rPr>
          <w:rFonts w:ascii="Arial" w:hAnsi="Arial"/>
          <w:color w:val="231F20"/>
          <w:spacing w:val="-7"/>
          <w:sz w:val="14"/>
        </w:rPr>
        <w:t> </w:t>
      </w:r>
      <w:r>
        <w:rPr>
          <w:rFonts w:ascii="Arial" w:hAnsi="Arial"/>
          <w:color w:val="231F20"/>
          <w:sz w:val="14"/>
        </w:rPr>
        <w:t>|</w:t>
      </w:r>
      <w:r>
        <w:rPr>
          <w:rFonts w:ascii="Arial" w:hAnsi="Arial"/>
          <w:color w:val="231F20"/>
          <w:spacing w:val="40"/>
          <w:sz w:val="14"/>
        </w:rPr>
        <w:t> </w:t>
      </w:r>
      <w:r>
        <w:rPr>
          <w:rFonts w:ascii="Arial" w:hAnsi="Arial"/>
          <w:color w:val="231F20"/>
          <w:sz w:val="14"/>
        </w:rPr>
        <w:t>RVM</w:t>
      </w:r>
      <w:r>
        <w:rPr>
          <w:rFonts w:ascii="Arial" w:hAnsi="Arial"/>
          <w:color w:val="231F20"/>
          <w:spacing w:val="-26"/>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Gestion</w:t>
      </w:r>
      <w:r>
        <w:rPr>
          <w:rFonts w:ascii="Arial" w:hAnsi="Arial"/>
          <w:color w:val="231F20"/>
          <w:spacing w:val="-6"/>
          <w:sz w:val="14"/>
        </w:rPr>
        <w:t> </w:t>
      </w:r>
      <w:r>
        <w:rPr>
          <w:rFonts w:ascii="Arial" w:hAnsi="Arial"/>
          <w:color w:val="231F20"/>
          <w:sz w:val="14"/>
        </w:rPr>
        <w:t>du</w:t>
      </w:r>
      <w:r>
        <w:rPr>
          <w:rFonts w:ascii="Arial" w:hAnsi="Arial"/>
          <w:color w:val="231F20"/>
          <w:spacing w:val="-6"/>
          <w:sz w:val="14"/>
        </w:rPr>
        <w:t> </w:t>
      </w:r>
      <w:r>
        <w:rPr>
          <w:rFonts w:ascii="Arial" w:hAnsi="Arial"/>
          <w:color w:val="231F20"/>
          <w:sz w:val="14"/>
        </w:rPr>
        <w:t>stress.</w:t>
      </w:r>
      <w:r>
        <w:rPr>
          <w:rFonts w:ascii="Arial" w:hAnsi="Arial"/>
          <w:color w:val="231F20"/>
          <w:spacing w:val="-6"/>
          <w:sz w:val="14"/>
        </w:rPr>
        <w:t> </w:t>
      </w:r>
      <w:r>
        <w:rPr>
          <w:rFonts w:ascii="Arial" w:hAnsi="Arial"/>
          <w:color w:val="231F20"/>
          <w:sz w:val="14"/>
        </w:rPr>
        <w:t>|</w:t>
      </w:r>
      <w:r>
        <w:rPr>
          <w:rFonts w:ascii="Arial" w:hAnsi="Arial"/>
          <w:color w:val="231F20"/>
          <w:spacing w:val="-6"/>
          <w:sz w:val="14"/>
        </w:rPr>
        <w:t> </w:t>
      </w:r>
      <w:r>
        <w:rPr>
          <w:rFonts w:ascii="Arial" w:hAnsi="Arial"/>
          <w:color w:val="231F20"/>
          <w:sz w:val="14"/>
        </w:rPr>
        <w:t>RVM</w:t>
      </w:r>
      <w:r>
        <w:rPr>
          <w:rFonts w:ascii="Arial" w:hAnsi="Arial"/>
          <w:color w:val="231F20"/>
          <w:spacing w:val="-26"/>
          <w:sz w:val="14"/>
        </w:rPr>
        <w:t> </w:t>
      </w:r>
      <w:r>
        <w:rPr>
          <w:rFonts w:ascii="Arial" w:hAnsi="Arial"/>
          <w:color w:val="231F20"/>
          <w:sz w:val="14"/>
        </w:rPr>
        <w:t>:</w:t>
      </w:r>
      <w:r>
        <w:rPr>
          <w:rFonts w:ascii="Arial" w:hAnsi="Arial"/>
          <w:color w:val="231F20"/>
          <w:spacing w:val="-6"/>
          <w:sz w:val="14"/>
        </w:rPr>
        <w:t> </w:t>
      </w:r>
      <w:r>
        <w:rPr>
          <w:rFonts w:ascii="Arial" w:hAnsi="Arial"/>
          <w:color w:val="231F20"/>
          <w:sz w:val="14"/>
        </w:rPr>
        <w:t>Estime</w:t>
      </w:r>
      <w:r>
        <w:rPr>
          <w:rFonts w:ascii="Arial" w:hAnsi="Arial"/>
          <w:color w:val="231F20"/>
          <w:spacing w:val="-6"/>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6"/>
          <w:sz w:val="14"/>
        </w:rPr>
        <w:t> </w:t>
      </w:r>
      <w:r>
        <w:rPr>
          <w:rFonts w:ascii="Arial" w:hAnsi="Arial"/>
          <w:color w:val="231F20"/>
          <w:sz w:val="14"/>
        </w:rPr>
        <w:t>|</w:t>
      </w:r>
      <w:r>
        <w:rPr>
          <w:rFonts w:ascii="Arial" w:hAnsi="Arial"/>
          <w:color w:val="231F20"/>
          <w:spacing w:val="-6"/>
          <w:sz w:val="14"/>
        </w:rPr>
        <w:t> </w:t>
      </w:r>
      <w:r>
        <w:rPr>
          <w:rFonts w:ascii="Arial" w:hAnsi="Arial"/>
          <w:color w:val="231F20"/>
          <w:sz w:val="14"/>
        </w:rPr>
        <w:t>RVM</w:t>
      </w:r>
      <w:r>
        <w:rPr>
          <w:rFonts w:ascii="Arial" w:hAnsi="Arial"/>
          <w:color w:val="231F20"/>
          <w:spacing w:val="-26"/>
          <w:sz w:val="14"/>
        </w:rPr>
        <w:t> </w:t>
      </w:r>
      <w:r>
        <w:rPr>
          <w:rFonts w:ascii="Arial" w:hAnsi="Arial"/>
          <w:color w:val="231F20"/>
          <w:sz w:val="14"/>
        </w:rPr>
        <w:t>:</w:t>
      </w:r>
      <w:r>
        <w:rPr>
          <w:rFonts w:ascii="Arial" w:hAnsi="Arial"/>
          <w:color w:val="231F20"/>
          <w:spacing w:val="-6"/>
          <w:sz w:val="14"/>
        </w:rPr>
        <w:t> </w:t>
      </w:r>
      <w:r>
        <w:rPr>
          <w:rFonts w:ascii="Arial" w:hAnsi="Arial"/>
          <w:color w:val="231F20"/>
          <w:sz w:val="14"/>
        </w:rPr>
        <w:t>Travail—Aspect</w:t>
      </w:r>
      <w:r>
        <w:rPr>
          <w:rFonts w:ascii="Arial" w:hAnsi="Arial"/>
          <w:color w:val="231F20"/>
          <w:spacing w:val="-6"/>
          <w:sz w:val="14"/>
        </w:rPr>
        <w:t> </w:t>
      </w:r>
      <w:r>
        <w:rPr>
          <w:rFonts w:ascii="Arial" w:hAnsi="Arial"/>
          <w:color w:val="231F20"/>
          <w:sz w:val="14"/>
        </w:rPr>
        <w:t>psychologique.</w:t>
      </w:r>
    </w:p>
    <w:p>
      <w:pPr>
        <w:spacing w:before="60"/>
        <w:ind w:left="780" w:right="0" w:firstLine="0"/>
        <w:jc w:val="left"/>
        <w:rPr>
          <w:rFonts w:ascii="Arial" w:hAnsi="Arial"/>
          <w:sz w:val="14"/>
        </w:rPr>
      </w:pPr>
      <w:r>
        <w:rPr>
          <w:rFonts w:ascii="Arial" w:hAnsi="Arial"/>
          <w:color w:val="231F20"/>
          <w:w w:val="95"/>
          <w:sz w:val="14"/>
        </w:rPr>
        <w:t>Classification</w:t>
      </w:r>
      <w:r>
        <w:rPr>
          <w:rFonts w:ascii="Arial" w:hAnsi="Arial"/>
          <w:color w:val="231F20"/>
          <w:spacing w:val="-21"/>
          <w:w w:val="95"/>
          <w:sz w:val="14"/>
        </w:rPr>
        <w:t> </w:t>
      </w:r>
      <w:r>
        <w:rPr>
          <w:rFonts w:ascii="Arial" w:hAnsi="Arial"/>
          <w:color w:val="231F20"/>
          <w:w w:val="95"/>
          <w:sz w:val="14"/>
        </w:rPr>
        <w:t>:</w:t>
      </w:r>
      <w:r>
        <w:rPr>
          <w:rFonts w:ascii="Arial" w:hAnsi="Arial"/>
          <w:color w:val="231F20"/>
          <w:spacing w:val="4"/>
          <w:sz w:val="14"/>
        </w:rPr>
        <w:t> </w:t>
      </w:r>
      <w:r>
        <w:rPr>
          <w:rFonts w:ascii="Arial" w:hAnsi="Arial"/>
          <w:color w:val="231F20"/>
          <w:w w:val="95"/>
          <w:sz w:val="14"/>
        </w:rPr>
        <w:t>LCC</w:t>
      </w:r>
      <w:r>
        <w:rPr>
          <w:rFonts w:ascii="Arial" w:hAnsi="Arial"/>
          <w:color w:val="231F20"/>
          <w:spacing w:val="4"/>
          <w:sz w:val="14"/>
        </w:rPr>
        <w:t> </w:t>
      </w:r>
      <w:r>
        <w:rPr>
          <w:rFonts w:ascii="Arial" w:hAnsi="Arial"/>
          <w:color w:val="231F20"/>
          <w:w w:val="95"/>
          <w:sz w:val="14"/>
        </w:rPr>
        <w:t>HF5548.85.D6414</w:t>
      </w:r>
      <w:r>
        <w:rPr>
          <w:rFonts w:ascii="Arial" w:hAnsi="Arial"/>
          <w:color w:val="231F20"/>
          <w:spacing w:val="5"/>
          <w:sz w:val="14"/>
        </w:rPr>
        <w:t> </w:t>
      </w:r>
      <w:r>
        <w:rPr>
          <w:rFonts w:ascii="Arial" w:hAnsi="Arial"/>
          <w:color w:val="231F20"/>
          <w:w w:val="95"/>
          <w:sz w:val="14"/>
        </w:rPr>
        <w:t>2022</w:t>
      </w:r>
      <w:r>
        <w:rPr>
          <w:rFonts w:ascii="Arial" w:hAnsi="Arial"/>
          <w:color w:val="231F20"/>
          <w:spacing w:val="4"/>
          <w:sz w:val="14"/>
        </w:rPr>
        <w:t> </w:t>
      </w:r>
      <w:r>
        <w:rPr>
          <w:rFonts w:ascii="Arial" w:hAnsi="Arial"/>
          <w:color w:val="231F20"/>
          <w:w w:val="95"/>
          <w:sz w:val="14"/>
        </w:rPr>
        <w:t>|</w:t>
      </w:r>
      <w:r>
        <w:rPr>
          <w:rFonts w:ascii="Arial" w:hAnsi="Arial"/>
          <w:color w:val="231F20"/>
          <w:spacing w:val="5"/>
          <w:sz w:val="14"/>
        </w:rPr>
        <w:t> </w:t>
      </w:r>
      <w:r>
        <w:rPr>
          <w:rFonts w:ascii="Arial" w:hAnsi="Arial"/>
          <w:color w:val="231F20"/>
          <w:w w:val="95"/>
          <w:sz w:val="14"/>
        </w:rPr>
        <w:t>CDD</w:t>
      </w:r>
      <w:r>
        <w:rPr>
          <w:rFonts w:ascii="Arial" w:hAnsi="Arial"/>
          <w:color w:val="231F20"/>
          <w:spacing w:val="4"/>
          <w:sz w:val="14"/>
        </w:rPr>
        <w:t> </w:t>
      </w:r>
      <w:r>
        <w:rPr>
          <w:rFonts w:ascii="Arial" w:hAnsi="Arial"/>
          <w:color w:val="231F20"/>
          <w:w w:val="95"/>
          <w:sz w:val="14"/>
        </w:rPr>
        <w:t>158.7/2—</w:t>
      </w:r>
      <w:r>
        <w:rPr>
          <w:rFonts w:ascii="Arial" w:hAnsi="Arial"/>
          <w:color w:val="231F20"/>
          <w:spacing w:val="-4"/>
          <w:w w:val="95"/>
          <w:sz w:val="14"/>
        </w:rPr>
        <w:t>dc23</w:t>
      </w:r>
    </w:p>
    <w:p>
      <w:pPr>
        <w:pStyle w:val="BodyText"/>
        <w:rPr>
          <w:rFonts w:ascii="Arial"/>
          <w:sz w:val="20"/>
        </w:rPr>
      </w:pPr>
    </w:p>
    <w:p>
      <w:pPr>
        <w:pStyle w:val="BodyText"/>
        <w:rPr>
          <w:rFonts w:ascii="Arial"/>
          <w:sz w:val="20"/>
        </w:rPr>
      </w:pPr>
    </w:p>
    <w:p>
      <w:pPr>
        <w:pStyle w:val="BodyText"/>
        <w:spacing w:before="9"/>
        <w:rPr>
          <w:rFonts w:ascii="Arial"/>
          <w:sz w:val="13"/>
        </w:rPr>
      </w:pPr>
      <w:r>
        <w:rPr/>
        <w:pict>
          <v:shape style="position:absolute;margin-left:62pt;margin-top:9.152491pt;width:187.5pt;height:.1pt;mso-position-horizontal-relative:page;mso-position-vertical-relative:paragraph;z-index:-15726080;mso-wrap-distance-left:0;mso-wrap-distance-right:0" id="docshape6" coordorigin="1240,183" coordsize="3750,0" path="m1240,183l4990,183e" filled="false" stroked="true" strokeweight=".25pt" strokecolor="#231f20">
            <v:path arrowok="t"/>
            <v:stroke dashstyle="solid"/>
            <w10:wrap type="topAndBottom"/>
          </v:shape>
        </w:pict>
      </w:r>
      <w:r>
        <w:rPr/>
        <w:drawing>
          <wp:anchor distT="0" distB="0" distL="0" distR="0" allowOverlap="1" layoutInCell="1" locked="0" behindDoc="0" simplePos="0" relativeHeight="6">
            <wp:simplePos x="0" y="0"/>
            <wp:positionH relativeFrom="page">
              <wp:posOffset>1089171</wp:posOffset>
            </wp:positionH>
            <wp:positionV relativeFrom="paragraph">
              <wp:posOffset>344228</wp:posOffset>
            </wp:positionV>
            <wp:extent cx="380718" cy="180975"/>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10" cstate="print"/>
                    <a:stretch>
                      <a:fillRect/>
                    </a:stretch>
                  </pic:blipFill>
                  <pic:spPr>
                    <a:xfrm>
                      <a:off x="0" y="0"/>
                      <a:ext cx="380718" cy="180975"/>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1573815</wp:posOffset>
            </wp:positionH>
            <wp:positionV relativeFrom="paragraph">
              <wp:posOffset>345240</wp:posOffset>
            </wp:positionV>
            <wp:extent cx="375390" cy="180975"/>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1" cstate="print"/>
                    <a:stretch>
                      <a:fillRect/>
                    </a:stretch>
                  </pic:blipFill>
                  <pic:spPr>
                    <a:xfrm>
                      <a:off x="0" y="0"/>
                      <a:ext cx="375390" cy="180975"/>
                    </a:xfrm>
                    <a:prstGeom prst="rect">
                      <a:avLst/>
                    </a:prstGeom>
                  </pic:spPr>
                </pic:pic>
              </a:graphicData>
            </a:graphic>
          </wp:anchor>
        </w:drawing>
      </w:r>
      <w:r>
        <w:rPr/>
        <w:pict>
          <v:line style="position:absolute;mso-position-horizontal-relative:page;mso-position-vertical-relative:paragraph;z-index:-15724544;mso-wrap-distance-left:0;mso-wrap-distance-right:0" from="159.469299pt,27.52249pt" to="159.469299pt,41.12549pt" stroked="true" strokeweight=".53pt" strokecolor="#231f20">
            <v:stroke dashstyle="solid"/>
            <w10:wrap type="topAndBottom"/>
          </v:line>
        </w:pict>
      </w:r>
      <w:r>
        <w:rPr/>
        <w:pict>
          <v:shape style="position:absolute;margin-left:168.785004pt;margin-top:27.602472pt;width:57.05pt;height:13.6pt;mso-position-horizontal-relative:page;mso-position-vertical-relative:paragraph;z-index:-15724032;mso-wrap-distance-left:0;mso-wrap-distance-right:0" id="docshape7" coordorigin="3376,552" coordsize="1141,272" path="m3611,735l3605,736,3604,740,3586,776,3563,798,3539,810,3519,813,3483,805,3453,781,3432,741,3423,683,3436,620,3470,576,3515,559,3561,577,3599,641,3600,644,3602,644,3603,642,3597,554,3596,552,3593,552,3593,554,3587,563,3575,562,3548,555,3477,555,3423,584,3388,630,3376,683,3386,742,3414,785,3457,811,3510,820,3549,814,3579,796,3599,770,3610,740,3611,735xm3785,801l3780,799,3769,810,3758,809,3749,801,3747,800,3743,783,3743,728,3743,681,3731,662,3716,656,3704,652,3671,651,3645,656,3622,675,3626,690,3641,693,3654,678,3660,660,3670,656,3681,656,3690,657,3700,662,3707,674,3710,694,3710,698,3710,728,3710,775,3707,790,3697,802,3684,810,3668,812,3652,803,3645,782,3661,755,3710,728,3710,698,3709,706,3704,717,3692,727,3625,748,3612,778,3626,807,3662,821,3684,812,3713,801,3730,816,3752,820,3772,816,3778,810,3783,805,3785,801xm3981,816l3977,815,3958,808,3956,794,3956,696,3948,667,3935,658,3928,653,3906,650,3887,650,3871,653,3856,658,3844,665,3839,671,3838,654,3836,652,3831,652,3786,658,3784,659,3784,661,3789,662,3799,662,3805,669,3805,802,3787,813,3775,818,3788,817,3864,817,3872,818,3870,817,3862,813,3851,809,3838,800,3839,709,3842,688,3852,671,3852,671,3866,661,3881,658,3897,660,3910,666,3919,682,3922,709,3922,801,3907,811,3899,814,3894,815,3892,817,3975,817,3979,818,3981,816xm4153,800l4149,799,4138,810,4126,809,4118,801,4116,800,4112,783,4112,727,4112,681,4100,662,4085,656,4073,652,4040,650,4013,656,3991,675,3994,690,4010,693,4023,678,4029,660,4039,656,4050,656,4059,657,4069,662,4076,674,4079,694,4079,697,4079,727,4079,775,4075,790,4066,802,4053,810,4037,812,4021,803,4014,782,4029,755,4079,727,4079,697,4078,705,4073,717,4061,727,3994,748,3981,778,3995,807,4031,820,4053,812,4081,801,4099,816,4121,820,4141,816,4146,810,4151,805,4153,800xm4346,816l4344,815,4342,814,4328,807,4325,804,4319,796,4315,783,4313,772,4313,668,4313,560,4307,560,4310,559,4252,561,4251,561,4257,563,4266,565,4273,569,4279,575,4284,586,4285,603,4285,659,4285,668,4281,666,4281,736,4277,776,4268,799,4253,810,4234,812,4215,806,4198,790,4188,766,4184,737,4188,707,4198,682,4215,665,4234,659,4253,662,4268,674,4277,698,4281,736,4281,666,4279,665,4269,659,4263,656,4232,650,4194,658,4168,679,4153,708,4149,739,4155,772,4173,798,4198,815,4230,821,4246,820,4260,817,4272,812,4272,812,4280,804,4279,805,4282,820,4285,823,4293,822,4344,817,4346,816xm4374,559l4335,559,4335,638,4374,638,4374,559xm4447,600l4444,598,4444,597,4447,587,4438,589,4436,583,4427,593,4425,592,4429,574,4423,576,4423,577,4422,575,4417,565,4411,576,4411,576,4411,577,4410,576,4404,573,4407,589,4408,591,4406,592,4398,583,4395,588,4395,589,4386,587,4389,597,4389,598,4388,598,4386,600,4401,613,4401,614,4399,619,4414,616,4415,616,4415,633,4419,633,4418,618,4418,617,4419,617,4421,617,4434,619,4432,614,4432,613,4433,612,4447,600xm4497,559l4459,559,4459,638,4497,638,4497,559xm4516,801l4512,799,4501,810,4489,810,4481,802,4479,800,4475,783,4475,728,4475,681,4463,662,4448,657,4435,652,4403,651,4376,656,4354,675,4357,690,4373,693,4386,678,4392,660,4401,657,4413,657,4422,658,4431,662,4439,674,4442,694,4442,698,4442,728,4442,776,4438,790,4429,802,4416,811,4400,812,4384,803,4377,783,4392,756,4442,728,4442,698,4441,706,4436,717,4424,727,4356,748,4343,778,4358,808,4394,821,4416,812,4444,802,4462,816,4484,821,4504,817,4509,810,4514,805,4516,801xe" filled="true" fillcolor="#231f20" stroked="false">
            <v:path arrowok="t"/>
            <v:fill type="solid"/>
            <w10:wrap type="topAndBottom"/>
          </v:shape>
        </w:pict>
      </w:r>
      <w:r>
        <w:rPr/>
        <w:pict>
          <v:group style="position:absolute;margin-left:109.8871pt;margin-top:56.65229pt;width:91.75pt;height:22pt;mso-position-horizontal-relative:page;mso-position-vertical-relative:paragraph;z-index:-15723520;mso-wrap-distance-left:0;mso-wrap-distance-right:0" id="docshapegroup8" coordorigin="2198,1133" coordsize="1835,440">
            <v:shape style="position:absolute;left:2568;top:1256;width:1237;height:316" id="docshape9" coordorigin="2569,1257" coordsize="1237,316" path="m2831,1554l2827,1555,2803,1556,2779,1550,2755,1535,2745,1526,2730,1512,2737,1507,2752,1496,2768,1473,2778,1447,2782,1420,2782,1414,2773,1371,2750,1338,2749,1337,2749,1425,2743,1457,2729,1483,2706,1500,2676,1507,2646,1498,2623,1477,2607,1447,2602,1415,2602,1410,2607,1381,2621,1356,2644,1338,2675,1331,2707,1339,2730,1360,2744,1388,2749,1420,2749,1425,2749,1337,2740,1331,2717,1316,2677,1309,2636,1317,2601,1339,2578,1373,2569,1416,2569,1421,2577,1464,2599,1498,2632,1521,2672,1529,2680,1529,2688,1528,2695,1526,2723,1548,2748,1563,2772,1571,2794,1572,2804,1570,2814,1567,2823,1561,2829,1556,2831,1554xm2949,1523l2937,1516,2938,1504,2938,1490,2938,1375,2937,1375,2933,1379,2901,1379,2901,1380,2914,1388,2912,1400,2912,1463,2908,1479,2898,1492,2884,1501,2869,1504,2853,1501,2842,1491,2835,1476,2833,1457,2833,1375,2832,1375,2828,1379,2796,1379,2796,1380,2809,1388,2807,1400,2807,1462,2810,1491,2821,1512,2837,1524,2860,1528,2875,1526,2890,1522,2902,1514,2912,1503,2912,1524,2949,1524,2949,1523xm3066,1319l3052,1326,3039,1336,3027,1347,3017,1359,3017,1371,3037,1360,3052,1354,3066,1350,3066,1319xm3102,1447l3099,1429,3098,1419,3084,1396,3084,1396,3071,1387,3071,1429,2996,1429,3001,1415,3009,1405,3020,1399,3034,1396,3048,1398,3059,1404,3067,1414,3071,1429,3071,1387,3063,1381,3036,1376,3007,1382,2984,1397,2969,1421,2964,1451,2970,1482,2987,1506,3013,1522,3047,1528,3057,1528,3068,1526,3078,1524,3087,1520,3094,1508,3102,1491,3101,1491,3090,1498,3079,1504,3066,1507,3053,1508,3030,1504,3012,1492,3000,1473,2995,1447,3102,1447xm3254,1447l3250,1418,3236,1396,3217,1381,3194,1376,3187,1376,3180,1377,3173,1379,3157,1406,3165,1402,3172,1399,3182,1399,3201,1403,3214,1415,3222,1432,3225,1453,3222,1474,3212,1491,3196,1502,3175,1506,3167,1506,3159,1505,3151,1502,3151,1304,3150,1304,3146,1308,3125,1309,3114,1309,3114,1310,3121,1318,3124,1329,3125,1341,3125,1507,3126,1517,3116,1522,3116,1523,3140,1526,3154,1528,3169,1528,3204,1522,3231,1506,3248,1481,3254,1447xm3411,1447l3409,1429,3407,1419,3394,1396,3394,1396,3381,1387,3381,1429,3306,1429,3311,1415,3319,1405,3330,1399,3343,1396,3358,1398,3369,1404,3377,1414,3381,1429,3381,1387,3373,1381,3346,1376,3316,1382,3294,1397,3279,1421,3273,1451,3280,1482,3297,1506,3323,1522,3357,1528,3367,1528,3377,1526,3387,1524,3397,1520,3403,1508,3411,1491,3411,1491,3400,1498,3388,1504,3376,1507,3363,1508,3340,1504,3322,1492,3310,1473,3305,1447,3411,1447xm3560,1492l3559,1492,3550,1499,3539,1503,3528,1507,3517,1508,3494,1503,3475,1491,3461,1472,3457,1448,3460,1427,3470,1411,3486,1400,3505,1396,3518,1396,3532,1401,3540,1412,3541,1412,3541,1380,3531,1377,3520,1376,3510,1376,3479,1381,3452,1396,3434,1421,3427,1456,3433,1484,3450,1507,3475,1523,3507,1528,3520,1528,3533,1527,3545,1522,3560,1492xm3805,1257l3629,1257,3629,1365,3805,1365,3805,1257xe" filled="true" fillcolor="#231f20" stroked="false">
              <v:path arrowok="t"/>
              <v:fill type="solid"/>
            </v:shape>
            <v:shape style="position:absolute;left:3673;top:1262;width:87;height:98" id="docshape10" coordorigin="3674,1263" coordsize="87,98" path="m3723,1348l3711,1348,3710,1356,3717,1360,3723,1356,3723,1348xm3733,1345l3723,1345,3701,1345,3702,1352,3711,1348,3733,1348,3733,1345,3710,1345,3700,1345,3733,1345xm3733,1348l3723,1348,3732,1352,3733,1348xm3723,1336l3711,1336,3710,1345,3723,1345,3723,1336xm3713,1329l3693,1329,3693,1336,3741,1336,3741,1330,3713,1330,3713,1329xm3741,1336l3723,1336,3741,1336,3741,1336xm3717,1263l3716,1265,3713,1268,3708,1274,3702,1281,3703,1291,3709,1303,3711,1308,3714,1320,3713,1330,3713,1329,3721,1329,3720,1320,3723,1308,3725,1303,3731,1291,3732,1281,3726,1274,3721,1268,3718,1265,3717,1263xm3721,1329l3713,1329,3713,1330,3721,1330,3721,1329xm3721,1329l3721,1329,3721,1330,3721,1329xm3741,1329l3721,1329,3721,1330,3741,1330,3741,1329xm3707,1313l3689,1313,3696,1315,3701,1324,3702,1329,3708,1329,3708,1317,3707,1313xm3748,1299l3738,1301,3729,1306,3726,1317,3726,1329,3732,1329,3732,1324,3738,1315,3744,1313,3760,1313,3760,1310,3755,1303,3748,1299xm3686,1299l3678,1303,3674,1310,3674,1319,3676,1326,3680,1328,3681,1328,3679,1321,3689,1313,3707,1313,3704,1306,3695,1301,3686,1299xm3760,1313l3744,1313,3749,1317,3755,1321,3753,1328,3754,1328,3758,1326,3760,1319,3760,1313xe" filled="true" fillcolor="#ffffff" stroked="false">
              <v:path arrowok="t"/>
              <v:fill type="solid"/>
            </v:shape>
            <v:rect style="position:absolute;left:3856;top:1256;width:177;height:108" id="docshape11" filled="true" fillcolor="#231f20" stroked="false">
              <v:fill type="solid"/>
            </v:rect>
            <v:shape style="position:absolute;left:3901;top:1262;width:87;height:98" id="docshape12" coordorigin="3901,1263" coordsize="87,98" path="m3950,1348l3938,1348,3938,1356,3944,1360,3951,1356,3950,1348xm3961,1345l3951,1345,3928,1345,3929,1352,3938,1348,3960,1348,3961,1345,3938,1345,3928,1345,3961,1345xm3960,1348l3950,1348,3959,1352,3960,1348xm3950,1336l3938,1336,3938,1345,3951,1345,3950,1336xm3940,1329l3920,1329,3920,1336,3969,1336,3969,1330,3940,1330,3940,1329xm3969,1336l3950,1336,3969,1336,3969,1336xm3944,1263l3943,1265,3940,1268,3930,1281,3931,1291,3936,1303,3938,1308,3940,1313,3941,1320,3941,1321,3940,1330,3940,1329,3948,1329,3947,1321,3947,1320,3950,1308,3952,1303,3958,1291,3959,1281,3953,1274,3948,1268,3945,1265,3944,1263xm3948,1329l3940,1329,3940,1330,3948,1330,3948,1329xm3969,1329l3948,1329,3948,1330,3969,1330,3969,1329xm3934,1313l3917,1313,3923,1315,3929,1324,3929,1329,3935,1329,3935,1317,3934,1313xm3975,1299l3966,1301,3957,1306,3953,1317,3953,1329,3959,1329,3960,1324,3962,1320,3965,1315,3972,1313,3987,1313,3987,1310,3983,1303,3975,1299xm3913,1299l3906,1303,3901,1310,3901,1319,3903,1326,3907,1328,3908,1328,3906,1321,3917,1313,3934,1313,3932,1306,3923,1301,3913,1299xm3987,1313l3972,1313,3977,1317,3982,1321,3980,1328,3981,1328,3985,1326,3987,1319,3987,1313xe" filled="true" fillcolor="#ffffff" stroked="false">
              <v:path arrowok="t"/>
              <v:fill type="solid"/>
            </v:shape>
            <v:rect style="position:absolute;left:3628;top:1416;width:176;height:108" id="docshape13" filled="true" fillcolor="#231f20" stroked="false">
              <v:fill type="solid"/>
            </v:rect>
            <v:shape style="position:absolute;left:3673;top:1421;width:87;height:98" id="docshape14" coordorigin="3674,1422" coordsize="87,98" path="m3723,1507l3711,1507,3710,1515,3717,1519,3723,1515,3723,1507xm3733,1504l3723,1505,3701,1505,3702,1511,3711,1507,3733,1507,3733,1505,3710,1505,3700,1504,3733,1504xm3733,1507l3723,1507,3732,1511,3733,1507xm3723,1495l3711,1495,3710,1505,3723,1505,3723,1495xm3713,1488l3693,1488,3693,1495,3741,1495,3741,1489,3713,1489,3713,1488xm3741,1495l3723,1495,3741,1495,3741,1495xm3717,1422l3716,1424,3713,1428,3708,1434,3702,1441,3703,1450,3709,1462,3711,1467,3714,1479,3713,1489,3713,1488,3721,1488,3720,1479,3723,1467,3725,1462,3731,1450,3732,1441,3726,1434,3721,1428,3718,1424,3717,1422xm3721,1488l3713,1488,3713,1489,3721,1489,3721,1488xm3721,1488l3721,1488,3721,1489,3721,1488xm3741,1488l3721,1488,3721,1489,3741,1489,3741,1488xm3707,1472l3689,1472,3696,1475,3701,1483,3702,1488,3708,1488,3708,1476,3707,1472xm3748,1458l3738,1460,3729,1465,3726,1476,3726,1488,3732,1488,3732,1483,3738,1475,3744,1472,3760,1472,3760,1469,3755,1462,3748,1458xm3686,1458l3678,1462,3674,1469,3674,1478,3676,1485,3680,1487,3681,1487,3679,1480,3684,1476,3689,1472,3707,1472,3704,1465,3695,1460,3686,1458xm3760,1472l3744,1472,3749,1476,3755,1480,3753,1487,3754,1487,3758,1485,3760,1478,3760,1472xe" filled="true" fillcolor="#ffffff" stroked="false">
              <v:path arrowok="t"/>
              <v:fill type="solid"/>
            </v:shape>
            <v:rect style="position:absolute;left:3856;top:1416;width:177;height:108" id="docshape15" filled="true" fillcolor="#231f20" stroked="false">
              <v:fill type="solid"/>
            </v:rect>
            <v:shape style="position:absolute;left:3901;top:1421;width:87;height:98" id="docshape16" coordorigin="3901,1422" coordsize="87,98" path="m3950,1507l3938,1507,3938,1515,3944,1519,3951,1515,3950,1507xm3961,1504l3951,1505,3928,1505,3929,1511,3938,1507,3960,1507,3961,1505,3938,1505,3928,1504,3961,1504xm3960,1507l3950,1507,3959,1511,3960,1507xm3950,1495l3938,1495,3938,1505,3951,1505,3950,1495xm3940,1488l3920,1488,3920,1495,3969,1495,3969,1489,3940,1489,3940,1488xm3969,1495l3950,1495,3969,1495,3969,1495xm3944,1422l3943,1424,3940,1428,3935,1434,3930,1441,3931,1450,3936,1462,3938,1467,3939,1472,3941,1479,3941,1480,3940,1489,3940,1488,3948,1488,3947,1480,3947,1479,3950,1467,3952,1462,3958,1450,3959,1441,3953,1434,3948,1428,3945,1424,3944,1422xm3948,1488l3940,1488,3940,1489,3948,1489,3948,1488xm3948,1488l3948,1488,3948,1489,3948,1488xm3969,1488l3948,1488,3948,1489,3969,1489,3969,1488xm3934,1472l3917,1472,3923,1475,3929,1483,3929,1488,3935,1488,3935,1476,3934,1472xm3975,1458l3966,1460,3957,1465,3953,1476,3953,1488,3959,1488,3960,1483,3962,1479,3965,1475,3972,1472,3987,1472,3987,1469,3983,1462,3975,1458xm3913,1458l3906,1462,3901,1469,3901,1478,3903,1485,3907,1487,3908,1487,3906,1480,3917,1472,3934,1472,3932,1465,3923,1460,3913,1458xm3987,1472l3972,1472,3977,1476,3982,1480,3980,1487,3981,1487,3985,1485,3987,1478,3987,1472xe" filled="true" fillcolor="#ffffff" stroked="false">
              <v:path arrowok="t"/>
              <v:fill type="solid"/>
            </v:shape>
            <v:shape style="position:absolute;left:2197;top:1133;width:536;height:112" type="#_x0000_t75" id="docshape17" stroked="false">
              <v:imagedata r:id="rId12" o:title=""/>
            </v:shape>
            <w10:wrap type="topAndBottom"/>
          </v:group>
        </w:pict>
      </w:r>
      <w:r>
        <w:rPr/>
        <w:pict>
          <v:shape style="position:absolute;margin-left:62pt;margin-top:94.027489pt;width:187.5pt;height:.1pt;mso-position-horizontal-relative:page;mso-position-vertical-relative:paragraph;z-index:-15723008;mso-wrap-distance-left:0;mso-wrap-distance-right:0" id="docshape18" coordorigin="1240,1881" coordsize="3750,0" path="m1240,1881l4990,1881e" filled="false" stroked="true" strokeweight=".25pt" strokecolor="#231f20">
            <v:path arrowok="t"/>
            <v:stroke dashstyle="solid"/>
            <w10:wrap type="topAndBottom"/>
          </v:shape>
        </w:pict>
      </w:r>
    </w:p>
    <w:p>
      <w:pPr>
        <w:pStyle w:val="BodyText"/>
        <w:spacing w:before="10"/>
        <w:rPr>
          <w:rFonts w:ascii="Arial"/>
          <w:sz w:val="28"/>
        </w:rPr>
      </w:pPr>
    </w:p>
    <w:p>
      <w:pPr>
        <w:pStyle w:val="BodyText"/>
        <w:spacing w:before="4"/>
        <w:rPr>
          <w:rFonts w:ascii="Arial"/>
          <w:sz w:val="24"/>
        </w:rPr>
      </w:pPr>
    </w:p>
    <w:p>
      <w:pPr>
        <w:pStyle w:val="BodyText"/>
        <w:spacing w:before="8"/>
        <w:rPr>
          <w:rFonts w:ascii="Arial"/>
          <w:sz w:val="24"/>
        </w:rPr>
      </w:pPr>
    </w:p>
    <w:p>
      <w:pPr>
        <w:pStyle w:val="BodyText"/>
        <w:rPr>
          <w:rFonts w:ascii="Arial"/>
          <w:sz w:val="20"/>
        </w:rPr>
      </w:pPr>
    </w:p>
    <w:p>
      <w:pPr>
        <w:pStyle w:val="BodyText"/>
        <w:rPr>
          <w:rFonts w:ascii="Arial"/>
          <w:sz w:val="20"/>
        </w:rPr>
      </w:pPr>
    </w:p>
    <w:p>
      <w:pPr>
        <w:spacing w:before="176"/>
        <w:ind w:left="780" w:right="0" w:firstLine="0"/>
        <w:jc w:val="left"/>
        <w:rPr>
          <w:rFonts w:ascii="Arial" w:hAnsi="Arial"/>
          <w:i/>
          <w:sz w:val="14"/>
        </w:rPr>
      </w:pPr>
      <w:r>
        <w:rPr>
          <w:rFonts w:ascii="Arial" w:hAnsi="Arial"/>
          <w:i/>
          <w:color w:val="231F20"/>
          <w:spacing w:val="-2"/>
          <w:sz w:val="14"/>
        </w:rPr>
        <w:t>Révision</w:t>
      </w:r>
    </w:p>
    <w:p>
      <w:pPr>
        <w:spacing w:before="29"/>
        <w:ind w:left="780" w:right="0" w:firstLine="0"/>
        <w:jc w:val="left"/>
        <w:rPr>
          <w:rFonts w:ascii="Arial" w:hAnsi="Arial"/>
          <w:sz w:val="14"/>
        </w:rPr>
      </w:pPr>
      <w:r>
        <w:rPr>
          <w:rFonts w:ascii="Arial" w:hAnsi="Arial"/>
          <w:color w:val="231F20"/>
          <w:w w:val="95"/>
          <w:sz w:val="14"/>
        </w:rPr>
        <w:t>Josée</w:t>
      </w:r>
      <w:r>
        <w:rPr>
          <w:rFonts w:ascii="Arial" w:hAnsi="Arial"/>
          <w:color w:val="231F20"/>
          <w:spacing w:val="-6"/>
          <w:w w:val="95"/>
          <w:sz w:val="14"/>
        </w:rPr>
        <w:t> </w:t>
      </w:r>
      <w:r>
        <w:rPr>
          <w:rFonts w:ascii="Arial" w:hAnsi="Arial"/>
          <w:color w:val="231F20"/>
          <w:spacing w:val="-2"/>
          <w:sz w:val="14"/>
        </w:rPr>
        <w:t>Tardif</w:t>
      </w:r>
    </w:p>
    <w:p>
      <w:pPr>
        <w:spacing w:before="109"/>
        <w:ind w:left="780" w:right="0" w:firstLine="0"/>
        <w:jc w:val="left"/>
        <w:rPr>
          <w:rFonts w:ascii="Arial" w:hAnsi="Arial"/>
          <w:i/>
          <w:sz w:val="14"/>
        </w:rPr>
      </w:pPr>
      <w:r>
        <w:rPr>
          <w:rFonts w:ascii="Arial" w:hAnsi="Arial"/>
          <w:i/>
          <w:color w:val="231F20"/>
          <w:w w:val="95"/>
          <w:sz w:val="14"/>
        </w:rPr>
        <w:t>Correction</w:t>
      </w:r>
      <w:r>
        <w:rPr>
          <w:rFonts w:ascii="Arial" w:hAnsi="Arial"/>
          <w:i/>
          <w:color w:val="231F20"/>
          <w:spacing w:val="8"/>
          <w:sz w:val="14"/>
        </w:rPr>
        <w:t> </w:t>
      </w:r>
      <w:r>
        <w:rPr>
          <w:rFonts w:ascii="Arial" w:hAnsi="Arial"/>
          <w:i/>
          <w:color w:val="231F20"/>
          <w:spacing w:val="-2"/>
          <w:sz w:val="14"/>
        </w:rPr>
        <w:t>d’épreuves</w:t>
      </w:r>
    </w:p>
    <w:p>
      <w:pPr>
        <w:spacing w:before="29"/>
        <w:ind w:left="780" w:right="0" w:firstLine="0"/>
        <w:jc w:val="left"/>
        <w:rPr>
          <w:rFonts w:ascii="Arial"/>
          <w:sz w:val="14"/>
        </w:rPr>
      </w:pPr>
      <w:r>
        <w:rPr>
          <w:rFonts w:ascii="Arial"/>
          <w:color w:val="231F20"/>
          <w:w w:val="95"/>
          <w:sz w:val="14"/>
        </w:rPr>
        <w:t>Christian</w:t>
      </w:r>
      <w:r>
        <w:rPr>
          <w:rFonts w:ascii="Arial"/>
          <w:color w:val="231F20"/>
          <w:spacing w:val="13"/>
          <w:sz w:val="14"/>
        </w:rPr>
        <w:t> </w:t>
      </w:r>
      <w:r>
        <w:rPr>
          <w:rFonts w:ascii="Arial"/>
          <w:color w:val="231F20"/>
          <w:spacing w:val="-2"/>
          <w:sz w:val="14"/>
        </w:rPr>
        <w:t>Bouchard</w:t>
      </w:r>
    </w:p>
    <w:p>
      <w:pPr>
        <w:spacing w:before="109"/>
        <w:ind w:left="780" w:right="0" w:firstLine="0"/>
        <w:jc w:val="left"/>
        <w:rPr>
          <w:rFonts w:ascii="Arial"/>
          <w:i/>
          <w:sz w:val="14"/>
        </w:rPr>
      </w:pPr>
      <w:r>
        <w:rPr>
          <w:rFonts w:ascii="Arial"/>
          <w:i/>
          <w:color w:val="231F20"/>
          <w:w w:val="95"/>
          <w:sz w:val="14"/>
        </w:rPr>
        <w:t>Conception</w:t>
      </w:r>
      <w:r>
        <w:rPr>
          <w:rFonts w:ascii="Arial"/>
          <w:i/>
          <w:color w:val="231F20"/>
          <w:spacing w:val="6"/>
          <w:sz w:val="14"/>
        </w:rPr>
        <w:t> </w:t>
      </w:r>
      <w:r>
        <w:rPr>
          <w:rFonts w:ascii="Arial"/>
          <w:i/>
          <w:color w:val="231F20"/>
          <w:spacing w:val="-2"/>
          <w:sz w:val="14"/>
        </w:rPr>
        <w:t>graphique</w:t>
      </w:r>
    </w:p>
    <w:p>
      <w:pPr>
        <w:spacing w:before="29"/>
        <w:ind w:left="780" w:right="0" w:firstLine="0"/>
        <w:jc w:val="left"/>
        <w:rPr>
          <w:rFonts w:ascii="Arial"/>
          <w:sz w:val="14"/>
        </w:rPr>
      </w:pPr>
      <w:r>
        <w:rPr>
          <w:rFonts w:ascii="Arial"/>
          <w:color w:val="231F20"/>
          <w:sz w:val="14"/>
        </w:rPr>
        <w:t>Julie</w:t>
      </w:r>
      <w:r>
        <w:rPr>
          <w:rFonts w:ascii="Arial"/>
          <w:color w:val="231F20"/>
          <w:spacing w:val="1"/>
          <w:sz w:val="14"/>
        </w:rPr>
        <w:t> </w:t>
      </w:r>
      <w:r>
        <w:rPr>
          <w:rFonts w:ascii="Arial"/>
          <w:color w:val="231F20"/>
          <w:spacing w:val="-2"/>
          <w:sz w:val="14"/>
        </w:rPr>
        <w:t>Rivard</w:t>
      </w:r>
    </w:p>
    <w:p>
      <w:pPr>
        <w:spacing w:before="109"/>
        <w:ind w:left="780" w:right="0" w:firstLine="0"/>
        <w:jc w:val="left"/>
        <w:rPr>
          <w:rFonts w:ascii="Arial"/>
          <w:i/>
          <w:sz w:val="14"/>
        </w:rPr>
      </w:pPr>
      <w:r>
        <w:rPr>
          <w:rFonts w:ascii="Arial"/>
          <w:i/>
          <w:color w:val="231F20"/>
          <w:w w:val="95"/>
          <w:sz w:val="14"/>
        </w:rPr>
        <w:t>Mise</w:t>
      </w:r>
      <w:r>
        <w:rPr>
          <w:rFonts w:ascii="Arial"/>
          <w:i/>
          <w:color w:val="231F20"/>
          <w:spacing w:val="-2"/>
          <w:w w:val="95"/>
          <w:sz w:val="14"/>
        </w:rPr>
        <w:t> </w:t>
      </w:r>
      <w:r>
        <w:rPr>
          <w:rFonts w:ascii="Arial"/>
          <w:i/>
          <w:color w:val="231F20"/>
          <w:w w:val="95"/>
          <w:sz w:val="14"/>
        </w:rPr>
        <w:t>en</w:t>
      </w:r>
      <w:r>
        <w:rPr>
          <w:rFonts w:ascii="Arial"/>
          <w:i/>
          <w:color w:val="231F20"/>
          <w:spacing w:val="-2"/>
          <w:w w:val="95"/>
          <w:sz w:val="14"/>
        </w:rPr>
        <w:t> </w:t>
      </w:r>
      <w:r>
        <w:rPr>
          <w:rFonts w:ascii="Arial"/>
          <w:i/>
          <w:color w:val="231F20"/>
          <w:spacing w:val="-4"/>
          <w:w w:val="95"/>
          <w:sz w:val="14"/>
        </w:rPr>
        <w:t>page</w:t>
      </w:r>
    </w:p>
    <w:p>
      <w:pPr>
        <w:spacing w:before="29"/>
        <w:ind w:left="780" w:right="0" w:firstLine="0"/>
        <w:jc w:val="left"/>
        <w:rPr>
          <w:rFonts w:ascii="Arial"/>
          <w:sz w:val="14"/>
        </w:rPr>
      </w:pPr>
      <w:r>
        <w:rPr>
          <w:rFonts w:ascii="Arial"/>
          <w:color w:val="231F20"/>
          <w:spacing w:val="-2"/>
          <w:w w:val="105"/>
          <w:sz w:val="14"/>
        </w:rPr>
        <w:t>Interscript</w:t>
      </w:r>
    </w:p>
    <w:p>
      <w:pPr>
        <w:spacing w:before="109"/>
        <w:ind w:left="780" w:right="0" w:firstLine="0"/>
        <w:jc w:val="left"/>
        <w:rPr>
          <w:rFonts w:ascii="Arial"/>
          <w:i/>
          <w:sz w:val="14"/>
        </w:rPr>
      </w:pPr>
      <w:r>
        <w:rPr>
          <w:rFonts w:ascii="Arial"/>
          <w:i/>
          <w:color w:val="231F20"/>
          <w:w w:val="95"/>
          <w:sz w:val="14"/>
        </w:rPr>
        <w:t>Images</w:t>
      </w:r>
      <w:r>
        <w:rPr>
          <w:rFonts w:ascii="Arial"/>
          <w:i/>
          <w:color w:val="231F20"/>
          <w:spacing w:val="-3"/>
          <w:w w:val="95"/>
          <w:sz w:val="14"/>
        </w:rPr>
        <w:t> </w:t>
      </w:r>
      <w:r>
        <w:rPr>
          <w:rFonts w:ascii="Arial"/>
          <w:i/>
          <w:color w:val="231F20"/>
          <w:w w:val="95"/>
          <w:sz w:val="14"/>
        </w:rPr>
        <w:t>de</w:t>
      </w:r>
      <w:r>
        <w:rPr>
          <w:rFonts w:ascii="Arial"/>
          <w:i/>
          <w:color w:val="231F20"/>
          <w:spacing w:val="-2"/>
          <w:w w:val="95"/>
          <w:sz w:val="14"/>
        </w:rPr>
        <w:t> couverture</w:t>
      </w:r>
    </w:p>
    <w:p>
      <w:pPr>
        <w:spacing w:before="29"/>
        <w:ind w:left="780" w:right="0" w:firstLine="0"/>
        <w:jc w:val="left"/>
        <w:rPr>
          <w:rFonts w:ascii="Arial"/>
          <w:sz w:val="14"/>
        </w:rPr>
      </w:pPr>
      <w:r>
        <w:rPr>
          <w:rFonts w:ascii="Arial"/>
          <w:color w:val="231F20"/>
          <w:spacing w:val="-2"/>
          <w:sz w:val="14"/>
        </w:rPr>
        <w:t>iStock</w:t>
      </w:r>
    </w:p>
    <w:p>
      <w:pPr>
        <w:pStyle w:val="BodyText"/>
        <w:spacing w:before="3"/>
        <w:rPr>
          <w:rFonts w:ascii="Arial"/>
          <w:sz w:val="24"/>
        </w:rPr>
      </w:pPr>
    </w:p>
    <w:p>
      <w:pPr>
        <w:spacing w:before="0"/>
        <w:ind w:left="780" w:right="0" w:firstLine="0"/>
        <w:jc w:val="left"/>
        <w:rPr>
          <w:rFonts w:ascii="Arial" w:hAnsi="Arial"/>
          <w:b/>
          <w:sz w:val="14"/>
        </w:rPr>
      </w:pPr>
      <w:r>
        <w:rPr>
          <w:rFonts w:ascii="Arial" w:hAnsi="Arial"/>
          <w:b/>
          <w:color w:val="231F20"/>
          <w:w w:val="95"/>
          <w:sz w:val="14"/>
        </w:rPr>
        <w:t>Dépôt</w:t>
      </w:r>
      <w:r>
        <w:rPr>
          <w:rFonts w:ascii="Arial" w:hAnsi="Arial"/>
          <w:b/>
          <w:color w:val="231F20"/>
          <w:spacing w:val="-2"/>
          <w:sz w:val="14"/>
        </w:rPr>
        <w:t> </w:t>
      </w:r>
      <w:r>
        <w:rPr>
          <w:rFonts w:ascii="Arial" w:hAnsi="Arial"/>
          <w:b/>
          <w:color w:val="231F20"/>
          <w:w w:val="95"/>
          <w:sz w:val="14"/>
        </w:rPr>
        <w:t>légal</w:t>
      </w:r>
      <w:r>
        <w:rPr>
          <w:rFonts w:ascii="Arial" w:hAnsi="Arial"/>
          <w:b/>
          <w:color w:val="231F20"/>
          <w:spacing w:val="-1"/>
          <w:sz w:val="14"/>
        </w:rPr>
        <w:t> </w:t>
      </w:r>
      <w:r>
        <w:rPr>
          <w:rFonts w:ascii="Arial" w:hAnsi="Arial"/>
          <w:b/>
          <w:color w:val="231F20"/>
          <w:w w:val="95"/>
          <w:sz w:val="14"/>
        </w:rPr>
        <w:t>:</w:t>
      </w:r>
      <w:r>
        <w:rPr>
          <w:rFonts w:ascii="Arial" w:hAnsi="Arial"/>
          <w:b/>
          <w:color w:val="231F20"/>
          <w:spacing w:val="-2"/>
          <w:sz w:val="14"/>
        </w:rPr>
        <w:t> </w:t>
      </w:r>
      <w:r>
        <w:rPr>
          <w:rFonts w:ascii="Arial" w:hAnsi="Arial"/>
          <w:b/>
          <w:color w:val="231F20"/>
          <w:w w:val="95"/>
          <w:sz w:val="14"/>
        </w:rPr>
        <w:t>1</w:t>
      </w:r>
      <w:r>
        <w:rPr>
          <w:rFonts w:ascii="Arial" w:hAnsi="Arial"/>
          <w:b/>
          <w:color w:val="231F20"/>
          <w:w w:val="95"/>
          <w:position w:val="5"/>
          <w:sz w:val="8"/>
        </w:rPr>
        <w:t>er</w:t>
      </w:r>
      <w:r>
        <w:rPr>
          <w:rFonts w:ascii="Arial" w:hAnsi="Arial"/>
          <w:b/>
          <w:color w:val="231F20"/>
          <w:spacing w:val="16"/>
          <w:position w:val="5"/>
          <w:sz w:val="8"/>
        </w:rPr>
        <w:t> </w:t>
      </w:r>
      <w:r>
        <w:rPr>
          <w:rFonts w:ascii="Arial" w:hAnsi="Arial"/>
          <w:b/>
          <w:color w:val="231F20"/>
          <w:w w:val="95"/>
          <w:sz w:val="14"/>
        </w:rPr>
        <w:t>trimestre</w:t>
      </w:r>
      <w:r>
        <w:rPr>
          <w:rFonts w:ascii="Arial" w:hAnsi="Arial"/>
          <w:b/>
          <w:color w:val="231F20"/>
          <w:spacing w:val="-1"/>
          <w:sz w:val="14"/>
        </w:rPr>
        <w:t> </w:t>
      </w:r>
      <w:r>
        <w:rPr>
          <w:rFonts w:ascii="Arial" w:hAnsi="Arial"/>
          <w:b/>
          <w:color w:val="231F20"/>
          <w:spacing w:val="-4"/>
          <w:w w:val="95"/>
          <w:sz w:val="14"/>
        </w:rPr>
        <w:t>2022</w:t>
      </w:r>
    </w:p>
    <w:p>
      <w:pPr>
        <w:tabs>
          <w:tab w:pos="1029" w:val="left" w:leader="none"/>
        </w:tabs>
        <w:spacing w:before="109"/>
        <w:ind w:left="780" w:right="0" w:firstLine="0"/>
        <w:jc w:val="left"/>
        <w:rPr>
          <w:rFonts w:ascii="Arial" w:hAnsi="Arial"/>
          <w:sz w:val="14"/>
        </w:rPr>
      </w:pPr>
      <w:r>
        <w:rPr>
          <w:rFonts w:ascii="Arial" w:hAnsi="Arial"/>
          <w:color w:val="231F20"/>
          <w:spacing w:val="-10"/>
          <w:sz w:val="14"/>
        </w:rPr>
        <w:t>›</w:t>
      </w:r>
      <w:r>
        <w:rPr>
          <w:rFonts w:ascii="Arial" w:hAnsi="Arial"/>
          <w:color w:val="231F20"/>
          <w:sz w:val="14"/>
        </w:rPr>
        <w:tab/>
        <w:t>Bibliothèque</w:t>
      </w:r>
      <w:r>
        <w:rPr>
          <w:rFonts w:ascii="Arial" w:hAnsi="Arial"/>
          <w:color w:val="231F20"/>
          <w:spacing w:val="2"/>
          <w:sz w:val="14"/>
        </w:rPr>
        <w:t> </w:t>
      </w:r>
      <w:r>
        <w:rPr>
          <w:rFonts w:ascii="Arial" w:hAnsi="Arial"/>
          <w:color w:val="231F20"/>
          <w:sz w:val="14"/>
        </w:rPr>
        <w:t>et</w:t>
      </w:r>
      <w:r>
        <w:rPr>
          <w:rFonts w:ascii="Arial" w:hAnsi="Arial"/>
          <w:color w:val="231F20"/>
          <w:spacing w:val="3"/>
          <w:sz w:val="14"/>
        </w:rPr>
        <w:t> </w:t>
      </w:r>
      <w:r>
        <w:rPr>
          <w:rFonts w:ascii="Arial" w:hAnsi="Arial"/>
          <w:color w:val="231F20"/>
          <w:sz w:val="14"/>
        </w:rPr>
        <w:t>Archives</w:t>
      </w:r>
      <w:r>
        <w:rPr>
          <w:rFonts w:ascii="Arial" w:hAnsi="Arial"/>
          <w:color w:val="231F20"/>
          <w:spacing w:val="2"/>
          <w:sz w:val="14"/>
        </w:rPr>
        <w:t> </w:t>
      </w:r>
      <w:r>
        <w:rPr>
          <w:rFonts w:ascii="Arial" w:hAnsi="Arial"/>
          <w:color w:val="231F20"/>
          <w:sz w:val="14"/>
        </w:rPr>
        <w:t>nationales</w:t>
      </w:r>
      <w:r>
        <w:rPr>
          <w:rFonts w:ascii="Arial" w:hAnsi="Arial"/>
          <w:color w:val="231F20"/>
          <w:spacing w:val="3"/>
          <w:sz w:val="14"/>
        </w:rPr>
        <w:t> </w:t>
      </w:r>
      <w:r>
        <w:rPr>
          <w:rFonts w:ascii="Arial" w:hAnsi="Arial"/>
          <w:color w:val="231F20"/>
          <w:sz w:val="14"/>
        </w:rPr>
        <w:t>du</w:t>
      </w:r>
      <w:r>
        <w:rPr>
          <w:rFonts w:ascii="Arial" w:hAnsi="Arial"/>
          <w:color w:val="231F20"/>
          <w:spacing w:val="2"/>
          <w:sz w:val="14"/>
        </w:rPr>
        <w:t> </w:t>
      </w:r>
      <w:r>
        <w:rPr>
          <w:rFonts w:ascii="Arial" w:hAnsi="Arial"/>
          <w:color w:val="231F20"/>
          <w:spacing w:val="-2"/>
          <w:sz w:val="14"/>
        </w:rPr>
        <w:t>Québec</w:t>
      </w:r>
    </w:p>
    <w:p>
      <w:pPr>
        <w:tabs>
          <w:tab w:pos="1029" w:val="left" w:leader="none"/>
        </w:tabs>
        <w:spacing w:before="29"/>
        <w:ind w:left="780" w:right="0" w:firstLine="0"/>
        <w:jc w:val="left"/>
        <w:rPr>
          <w:rFonts w:ascii="Arial" w:hAnsi="Arial"/>
          <w:sz w:val="14"/>
        </w:rPr>
      </w:pPr>
      <w:r>
        <w:rPr>
          <w:rFonts w:ascii="Arial" w:hAnsi="Arial"/>
          <w:color w:val="231F20"/>
          <w:spacing w:val="-10"/>
          <w:sz w:val="14"/>
        </w:rPr>
        <w:t>›</w:t>
      </w:r>
      <w:r>
        <w:rPr>
          <w:rFonts w:ascii="Arial" w:hAnsi="Arial"/>
          <w:color w:val="231F20"/>
          <w:sz w:val="14"/>
        </w:rPr>
        <w:tab/>
        <w:t>Bibliothèque</w:t>
      </w:r>
      <w:r>
        <w:rPr>
          <w:rFonts w:ascii="Arial" w:hAnsi="Arial"/>
          <w:color w:val="231F20"/>
          <w:spacing w:val="3"/>
          <w:sz w:val="14"/>
        </w:rPr>
        <w:t> </w:t>
      </w:r>
      <w:r>
        <w:rPr>
          <w:rFonts w:ascii="Arial" w:hAnsi="Arial"/>
          <w:color w:val="231F20"/>
          <w:sz w:val="14"/>
        </w:rPr>
        <w:t>et</w:t>
      </w:r>
      <w:r>
        <w:rPr>
          <w:rFonts w:ascii="Arial" w:hAnsi="Arial"/>
          <w:color w:val="231F20"/>
          <w:spacing w:val="4"/>
          <w:sz w:val="14"/>
        </w:rPr>
        <w:t> </w:t>
      </w:r>
      <w:r>
        <w:rPr>
          <w:rFonts w:ascii="Arial" w:hAnsi="Arial"/>
          <w:color w:val="231F20"/>
          <w:sz w:val="14"/>
        </w:rPr>
        <w:t>Archives</w:t>
      </w:r>
      <w:r>
        <w:rPr>
          <w:rFonts w:ascii="Arial" w:hAnsi="Arial"/>
          <w:color w:val="231F20"/>
          <w:spacing w:val="4"/>
          <w:sz w:val="14"/>
        </w:rPr>
        <w:t> </w:t>
      </w:r>
      <w:r>
        <w:rPr>
          <w:rFonts w:ascii="Arial" w:hAnsi="Arial"/>
          <w:color w:val="231F20"/>
          <w:spacing w:val="-2"/>
          <w:sz w:val="14"/>
        </w:rPr>
        <w:t>Canada</w:t>
      </w:r>
    </w:p>
    <w:p>
      <w:pPr>
        <w:pStyle w:val="BodyText"/>
        <w:spacing w:before="3"/>
        <w:rPr>
          <w:rFonts w:ascii="Arial"/>
        </w:rPr>
      </w:pPr>
    </w:p>
    <w:p>
      <w:pPr>
        <w:spacing w:before="1"/>
        <w:ind w:left="780" w:right="0" w:firstLine="0"/>
        <w:jc w:val="left"/>
        <w:rPr>
          <w:rFonts w:ascii="Arial" w:hAnsi="Arial"/>
          <w:b/>
          <w:sz w:val="14"/>
        </w:rPr>
      </w:pPr>
      <w:r>
        <w:rPr>
          <w:rFonts w:ascii="Arial" w:hAnsi="Arial"/>
          <w:b/>
          <w:color w:val="231F20"/>
          <w:w w:val="95"/>
          <w:sz w:val="14"/>
        </w:rPr>
        <w:t>©</w:t>
      </w:r>
      <w:r>
        <w:rPr>
          <w:rFonts w:ascii="Arial" w:hAnsi="Arial"/>
          <w:b/>
          <w:color w:val="231F20"/>
          <w:spacing w:val="6"/>
          <w:sz w:val="14"/>
        </w:rPr>
        <w:t> </w:t>
      </w:r>
      <w:r>
        <w:rPr>
          <w:rFonts w:ascii="Arial" w:hAnsi="Arial"/>
          <w:b/>
          <w:color w:val="231F20"/>
          <w:w w:val="95"/>
          <w:sz w:val="14"/>
        </w:rPr>
        <w:t>2022</w:t>
      </w:r>
      <w:r>
        <w:rPr>
          <w:rFonts w:ascii="Arial" w:hAnsi="Arial"/>
          <w:b/>
          <w:color w:val="231F20"/>
          <w:spacing w:val="-5"/>
          <w:w w:val="95"/>
          <w:sz w:val="14"/>
        </w:rPr>
        <w:t> </w:t>
      </w:r>
      <w:r>
        <w:rPr>
          <w:rFonts w:ascii="Arial" w:hAnsi="Arial"/>
          <w:b/>
          <w:color w:val="231F20"/>
          <w:w w:val="95"/>
          <w:sz w:val="14"/>
        </w:rPr>
        <w:t>–</w:t>
      </w:r>
      <w:r>
        <w:rPr>
          <w:rFonts w:ascii="Arial" w:hAnsi="Arial"/>
          <w:b/>
          <w:color w:val="231F20"/>
          <w:spacing w:val="-5"/>
          <w:w w:val="95"/>
          <w:sz w:val="14"/>
        </w:rPr>
        <w:t> </w:t>
      </w:r>
      <w:r>
        <w:rPr>
          <w:rFonts w:ascii="Arial" w:hAnsi="Arial"/>
          <w:b/>
          <w:color w:val="231F20"/>
          <w:w w:val="95"/>
          <w:sz w:val="14"/>
        </w:rPr>
        <w:t>Presses</w:t>
      </w:r>
      <w:r>
        <w:rPr>
          <w:rFonts w:ascii="Arial" w:hAnsi="Arial"/>
          <w:b/>
          <w:color w:val="231F20"/>
          <w:spacing w:val="-5"/>
          <w:w w:val="95"/>
          <w:sz w:val="14"/>
        </w:rPr>
        <w:t> </w:t>
      </w:r>
      <w:r>
        <w:rPr>
          <w:rFonts w:ascii="Arial" w:hAnsi="Arial"/>
          <w:b/>
          <w:color w:val="231F20"/>
          <w:w w:val="95"/>
          <w:sz w:val="14"/>
        </w:rPr>
        <w:t>de</w:t>
      </w:r>
      <w:r>
        <w:rPr>
          <w:rFonts w:ascii="Arial" w:hAnsi="Arial"/>
          <w:b/>
          <w:color w:val="231F20"/>
          <w:spacing w:val="-5"/>
          <w:w w:val="95"/>
          <w:sz w:val="14"/>
        </w:rPr>
        <w:t> </w:t>
      </w:r>
      <w:r>
        <w:rPr>
          <w:rFonts w:ascii="Arial" w:hAnsi="Arial"/>
          <w:b/>
          <w:color w:val="231F20"/>
          <w:w w:val="95"/>
          <w:sz w:val="14"/>
        </w:rPr>
        <w:t>l’Université</w:t>
      </w:r>
      <w:r>
        <w:rPr>
          <w:rFonts w:ascii="Arial" w:hAnsi="Arial"/>
          <w:b/>
          <w:color w:val="231F20"/>
          <w:spacing w:val="-5"/>
          <w:w w:val="95"/>
          <w:sz w:val="14"/>
        </w:rPr>
        <w:t> </w:t>
      </w:r>
      <w:r>
        <w:rPr>
          <w:rFonts w:ascii="Arial" w:hAnsi="Arial"/>
          <w:b/>
          <w:color w:val="231F20"/>
          <w:w w:val="95"/>
          <w:sz w:val="14"/>
        </w:rPr>
        <w:t>du</w:t>
      </w:r>
      <w:r>
        <w:rPr>
          <w:rFonts w:ascii="Arial" w:hAnsi="Arial"/>
          <w:b/>
          <w:color w:val="231F20"/>
          <w:spacing w:val="-5"/>
          <w:w w:val="95"/>
          <w:sz w:val="14"/>
        </w:rPr>
        <w:t> </w:t>
      </w:r>
      <w:r>
        <w:rPr>
          <w:rFonts w:ascii="Arial" w:hAnsi="Arial"/>
          <w:b/>
          <w:color w:val="231F20"/>
          <w:spacing w:val="-2"/>
          <w:w w:val="95"/>
          <w:sz w:val="14"/>
        </w:rPr>
        <w:t>Québec</w:t>
      </w:r>
    </w:p>
    <w:p>
      <w:pPr>
        <w:spacing w:before="29"/>
        <w:ind w:left="780" w:right="0" w:firstLine="0"/>
        <w:jc w:val="left"/>
        <w:rPr>
          <w:rFonts w:ascii="Arial" w:hAnsi="Arial"/>
          <w:i/>
          <w:sz w:val="14"/>
        </w:rPr>
      </w:pPr>
      <w:r>
        <w:rPr>
          <w:rFonts w:ascii="Arial" w:hAnsi="Arial"/>
          <w:i/>
          <w:color w:val="231F20"/>
          <w:sz w:val="14"/>
        </w:rPr>
        <w:t>Tous</w:t>
      </w:r>
      <w:r>
        <w:rPr>
          <w:rFonts w:ascii="Arial" w:hAnsi="Arial"/>
          <w:i/>
          <w:color w:val="231F20"/>
          <w:spacing w:val="-6"/>
          <w:sz w:val="14"/>
        </w:rPr>
        <w:t> </w:t>
      </w:r>
      <w:r>
        <w:rPr>
          <w:rFonts w:ascii="Arial" w:hAnsi="Arial"/>
          <w:i/>
          <w:color w:val="231F20"/>
          <w:sz w:val="14"/>
        </w:rPr>
        <w:t>droits</w:t>
      </w:r>
      <w:r>
        <w:rPr>
          <w:rFonts w:ascii="Arial" w:hAnsi="Arial"/>
          <w:i/>
          <w:color w:val="231F20"/>
          <w:spacing w:val="-5"/>
          <w:sz w:val="14"/>
        </w:rPr>
        <w:t> </w:t>
      </w:r>
      <w:r>
        <w:rPr>
          <w:rFonts w:ascii="Arial" w:hAnsi="Arial"/>
          <w:i/>
          <w:color w:val="231F20"/>
          <w:sz w:val="14"/>
        </w:rPr>
        <w:t>de</w:t>
      </w:r>
      <w:r>
        <w:rPr>
          <w:rFonts w:ascii="Arial" w:hAnsi="Arial"/>
          <w:i/>
          <w:color w:val="231F20"/>
          <w:spacing w:val="-5"/>
          <w:sz w:val="14"/>
        </w:rPr>
        <w:t> </w:t>
      </w:r>
      <w:r>
        <w:rPr>
          <w:rFonts w:ascii="Arial" w:hAnsi="Arial"/>
          <w:i/>
          <w:color w:val="231F20"/>
          <w:sz w:val="14"/>
        </w:rPr>
        <w:t>reproduction,</w:t>
      </w:r>
      <w:r>
        <w:rPr>
          <w:rFonts w:ascii="Arial" w:hAnsi="Arial"/>
          <w:i/>
          <w:color w:val="231F20"/>
          <w:spacing w:val="-5"/>
          <w:sz w:val="14"/>
        </w:rPr>
        <w:t> </w:t>
      </w:r>
      <w:r>
        <w:rPr>
          <w:rFonts w:ascii="Arial" w:hAnsi="Arial"/>
          <w:i/>
          <w:color w:val="231F20"/>
          <w:sz w:val="14"/>
        </w:rPr>
        <w:t>de</w:t>
      </w:r>
      <w:r>
        <w:rPr>
          <w:rFonts w:ascii="Arial" w:hAnsi="Arial"/>
          <w:i/>
          <w:color w:val="231F20"/>
          <w:spacing w:val="-5"/>
          <w:sz w:val="14"/>
        </w:rPr>
        <w:t> </w:t>
      </w:r>
      <w:r>
        <w:rPr>
          <w:rFonts w:ascii="Arial" w:hAnsi="Arial"/>
          <w:i/>
          <w:color w:val="231F20"/>
          <w:sz w:val="14"/>
        </w:rPr>
        <w:t>traduction</w:t>
      </w:r>
      <w:r>
        <w:rPr>
          <w:rFonts w:ascii="Arial" w:hAnsi="Arial"/>
          <w:i/>
          <w:color w:val="231F20"/>
          <w:spacing w:val="-5"/>
          <w:sz w:val="14"/>
        </w:rPr>
        <w:t> </w:t>
      </w:r>
      <w:r>
        <w:rPr>
          <w:rFonts w:ascii="Arial" w:hAnsi="Arial"/>
          <w:i/>
          <w:color w:val="231F20"/>
          <w:sz w:val="14"/>
        </w:rPr>
        <w:t>et</w:t>
      </w:r>
      <w:r>
        <w:rPr>
          <w:rFonts w:ascii="Arial" w:hAnsi="Arial"/>
          <w:i/>
          <w:color w:val="231F20"/>
          <w:spacing w:val="-5"/>
          <w:sz w:val="14"/>
        </w:rPr>
        <w:t> </w:t>
      </w:r>
      <w:r>
        <w:rPr>
          <w:rFonts w:ascii="Arial" w:hAnsi="Arial"/>
          <w:i/>
          <w:color w:val="231F20"/>
          <w:sz w:val="14"/>
        </w:rPr>
        <w:t>d’adaptation</w:t>
      </w:r>
      <w:r>
        <w:rPr>
          <w:rFonts w:ascii="Arial" w:hAnsi="Arial"/>
          <w:i/>
          <w:color w:val="231F20"/>
          <w:spacing w:val="-5"/>
          <w:sz w:val="14"/>
        </w:rPr>
        <w:t> </w:t>
      </w:r>
      <w:r>
        <w:rPr>
          <w:rFonts w:ascii="Arial" w:hAnsi="Arial"/>
          <w:i/>
          <w:color w:val="231F20"/>
          <w:spacing w:val="-2"/>
          <w:sz w:val="14"/>
        </w:rPr>
        <w:t>réservés</w:t>
      </w:r>
    </w:p>
    <w:p>
      <w:pPr>
        <w:pStyle w:val="BodyText"/>
        <w:spacing w:before="3"/>
        <w:rPr>
          <w:rFonts w:ascii="Arial"/>
          <w:i/>
        </w:rPr>
      </w:pPr>
    </w:p>
    <w:p>
      <w:pPr>
        <w:spacing w:line="283" w:lineRule="auto" w:before="0"/>
        <w:ind w:left="780" w:right="5206" w:firstLine="0"/>
        <w:jc w:val="left"/>
        <w:rPr>
          <w:rFonts w:ascii="Arial" w:hAnsi="Arial"/>
          <w:sz w:val="14"/>
        </w:rPr>
      </w:pPr>
      <w:r>
        <w:rPr>
          <w:rFonts w:ascii="Arial" w:hAnsi="Arial"/>
          <w:color w:val="231F20"/>
          <w:spacing w:val="-4"/>
          <w:sz w:val="14"/>
        </w:rPr>
        <w:t>Imprimé</w:t>
      </w:r>
      <w:r>
        <w:rPr>
          <w:rFonts w:ascii="Arial" w:hAnsi="Arial"/>
          <w:color w:val="231F20"/>
          <w:spacing w:val="-6"/>
          <w:sz w:val="14"/>
        </w:rPr>
        <w:t> </w:t>
      </w:r>
      <w:r>
        <w:rPr>
          <w:rFonts w:ascii="Arial" w:hAnsi="Arial"/>
          <w:color w:val="231F20"/>
          <w:spacing w:val="-4"/>
          <w:sz w:val="14"/>
        </w:rPr>
        <w:t>au</w:t>
      </w:r>
      <w:r>
        <w:rPr>
          <w:rFonts w:ascii="Arial" w:hAnsi="Arial"/>
          <w:color w:val="231F20"/>
          <w:spacing w:val="-6"/>
          <w:sz w:val="14"/>
        </w:rPr>
        <w:t> </w:t>
      </w:r>
      <w:r>
        <w:rPr>
          <w:rFonts w:ascii="Arial" w:hAnsi="Arial"/>
          <w:color w:val="231F20"/>
          <w:spacing w:val="-4"/>
          <w:sz w:val="14"/>
        </w:rPr>
        <w:t>Canada</w:t>
      </w:r>
      <w:r>
        <w:rPr>
          <w:rFonts w:ascii="Arial" w:hAnsi="Arial"/>
          <w:color w:val="231F20"/>
          <w:spacing w:val="40"/>
          <w:sz w:val="14"/>
        </w:rPr>
        <w:t> </w:t>
      </w:r>
      <w:r>
        <w:rPr>
          <w:rFonts w:ascii="Arial" w:hAnsi="Arial"/>
          <w:color w:val="231F20"/>
          <w:sz w:val="14"/>
        </w:rPr>
        <w:t>D5627-1</w:t>
      </w:r>
      <w:r>
        <w:rPr>
          <w:rFonts w:ascii="Arial" w:hAnsi="Arial"/>
          <w:color w:val="231F20"/>
          <w:spacing w:val="40"/>
          <w:sz w:val="14"/>
        </w:rPr>
        <w:t> </w:t>
      </w:r>
      <w:r>
        <w:rPr>
          <w:rFonts w:ascii="Arial" w:hAnsi="Arial"/>
          <w:color w:val="231F20"/>
          <w:sz w:val="14"/>
        </w:rPr>
        <w:t>[01]</w:t>
      </w:r>
    </w:p>
    <w:p>
      <w:pPr>
        <w:spacing w:after="0" w:line="283" w:lineRule="auto"/>
        <w:jc w:val="left"/>
        <w:rPr>
          <w:rFonts w:ascii="Arial" w:hAnsi="Arial"/>
          <w:sz w:val="14"/>
        </w:rPr>
        <w:sectPr>
          <w:pgSz w:w="8640" w:h="12960"/>
          <w:pgMar w:top="1060" w:bottom="280" w:left="460" w:right="100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4"/>
        </w:rPr>
      </w:pPr>
    </w:p>
    <w:p>
      <w:pPr>
        <w:spacing w:line="312" w:lineRule="auto" w:before="133"/>
        <w:ind w:left="3180" w:right="247" w:firstLine="301"/>
        <w:jc w:val="right"/>
        <w:rPr>
          <w:rFonts w:ascii="Arial" w:hAnsi="Arial"/>
          <w:sz w:val="14"/>
        </w:rPr>
      </w:pPr>
      <w:r>
        <w:rPr>
          <w:rFonts w:ascii="Arial" w:hAnsi="Arial"/>
          <w:color w:val="231F20"/>
          <w:sz w:val="14"/>
        </w:rPr>
        <w:t>Nous</w:t>
      </w:r>
      <w:r>
        <w:rPr>
          <w:rFonts w:ascii="Arial" w:hAnsi="Arial"/>
          <w:color w:val="231F20"/>
          <w:spacing w:val="-5"/>
          <w:sz w:val="14"/>
        </w:rPr>
        <w:t> </w:t>
      </w:r>
      <w:r>
        <w:rPr>
          <w:rFonts w:ascii="Arial" w:hAnsi="Arial"/>
          <w:color w:val="231F20"/>
          <w:sz w:val="14"/>
        </w:rPr>
        <w:t>dédions</w:t>
      </w:r>
      <w:r>
        <w:rPr>
          <w:rFonts w:ascii="Arial" w:hAnsi="Arial"/>
          <w:color w:val="231F20"/>
          <w:spacing w:val="-5"/>
          <w:sz w:val="14"/>
        </w:rPr>
        <w:t> </w:t>
      </w:r>
      <w:r>
        <w:rPr>
          <w:rFonts w:ascii="Arial" w:hAnsi="Arial"/>
          <w:color w:val="231F20"/>
          <w:sz w:val="14"/>
        </w:rPr>
        <w:t>ce</w:t>
      </w:r>
      <w:r>
        <w:rPr>
          <w:rFonts w:ascii="Arial" w:hAnsi="Arial"/>
          <w:color w:val="231F20"/>
          <w:spacing w:val="-5"/>
          <w:sz w:val="14"/>
        </w:rPr>
        <w:t> </w:t>
      </w:r>
      <w:r>
        <w:rPr>
          <w:rFonts w:ascii="Arial" w:hAnsi="Arial"/>
          <w:color w:val="231F20"/>
          <w:sz w:val="14"/>
        </w:rPr>
        <w:t>livre</w:t>
      </w:r>
      <w:r>
        <w:rPr>
          <w:rFonts w:ascii="Arial" w:hAnsi="Arial"/>
          <w:color w:val="231F20"/>
          <w:spacing w:val="-5"/>
          <w:sz w:val="14"/>
        </w:rPr>
        <w:t> </w:t>
      </w:r>
      <w:r>
        <w:rPr>
          <w:rFonts w:ascii="Arial" w:hAnsi="Arial"/>
          <w:color w:val="231F20"/>
          <w:sz w:val="14"/>
        </w:rPr>
        <w:t>à</w:t>
      </w:r>
      <w:r>
        <w:rPr>
          <w:rFonts w:ascii="Arial" w:hAnsi="Arial"/>
          <w:color w:val="231F20"/>
          <w:spacing w:val="-5"/>
          <w:sz w:val="14"/>
        </w:rPr>
        <w:t> </w:t>
      </w:r>
      <w:r>
        <w:rPr>
          <w:rFonts w:ascii="Arial" w:hAnsi="Arial"/>
          <w:color w:val="231F20"/>
          <w:sz w:val="14"/>
        </w:rPr>
        <w:t>tous</w:t>
      </w:r>
      <w:r>
        <w:rPr>
          <w:rFonts w:ascii="Arial" w:hAnsi="Arial"/>
          <w:color w:val="231F20"/>
          <w:spacing w:val="-5"/>
          <w:sz w:val="14"/>
        </w:rPr>
        <w:t> </w:t>
      </w:r>
      <w:r>
        <w:rPr>
          <w:rFonts w:ascii="Arial" w:hAnsi="Arial"/>
          <w:color w:val="231F20"/>
          <w:sz w:val="14"/>
        </w:rPr>
        <w:t>les</w:t>
      </w:r>
      <w:r>
        <w:rPr>
          <w:rFonts w:ascii="Arial" w:hAnsi="Arial"/>
          <w:color w:val="231F20"/>
          <w:spacing w:val="-5"/>
          <w:sz w:val="14"/>
        </w:rPr>
        <w:t> </w:t>
      </w:r>
      <w:r>
        <w:rPr>
          <w:rFonts w:ascii="Arial" w:hAnsi="Arial"/>
          <w:color w:val="231F20"/>
          <w:sz w:val="14"/>
        </w:rPr>
        <w:t>travailleurs</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0"/>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par</w:t>
      </w:r>
      <w:r>
        <w:rPr>
          <w:rFonts w:ascii="Arial" w:hAnsi="Arial"/>
          <w:color w:val="231F20"/>
          <w:spacing w:val="-3"/>
          <w:sz w:val="14"/>
        </w:rPr>
        <w:t> </w:t>
      </w:r>
      <w:r>
        <w:rPr>
          <w:rFonts w:ascii="Arial" w:hAnsi="Arial"/>
          <w:color w:val="231F20"/>
          <w:sz w:val="14"/>
        </w:rPr>
        <w:t>le</w:t>
      </w:r>
      <w:r>
        <w:rPr>
          <w:rFonts w:ascii="Arial" w:hAnsi="Arial"/>
          <w:color w:val="231F20"/>
          <w:spacing w:val="-3"/>
          <w:sz w:val="14"/>
        </w:rPr>
        <w:t> </w:t>
      </w:r>
      <w:r>
        <w:rPr>
          <w:rFonts w:ascii="Arial" w:hAnsi="Arial"/>
          <w:color w:val="231F20"/>
          <w:sz w:val="14"/>
        </w:rPr>
        <w:t>monde,</w:t>
      </w:r>
      <w:r>
        <w:rPr>
          <w:rFonts w:ascii="Arial" w:hAnsi="Arial"/>
          <w:color w:val="231F20"/>
          <w:spacing w:val="-3"/>
          <w:sz w:val="14"/>
        </w:rPr>
        <w:t> </w:t>
      </w:r>
      <w:r>
        <w:rPr>
          <w:rFonts w:ascii="Arial" w:hAnsi="Arial"/>
          <w:color w:val="231F20"/>
          <w:sz w:val="14"/>
        </w:rPr>
        <w:t>qui</w:t>
      </w:r>
      <w:r>
        <w:rPr>
          <w:rFonts w:ascii="Arial" w:hAnsi="Arial"/>
          <w:color w:val="231F20"/>
          <w:spacing w:val="-3"/>
          <w:sz w:val="14"/>
        </w:rPr>
        <w:t> </w:t>
      </w:r>
      <w:r>
        <w:rPr>
          <w:rFonts w:ascii="Arial" w:hAnsi="Arial"/>
          <w:color w:val="231F20"/>
          <w:sz w:val="14"/>
        </w:rPr>
        <w:t>ont</w:t>
      </w:r>
      <w:r>
        <w:rPr>
          <w:rFonts w:ascii="Arial" w:hAnsi="Arial"/>
          <w:color w:val="231F20"/>
          <w:spacing w:val="-3"/>
          <w:sz w:val="14"/>
        </w:rPr>
        <w:t> </w:t>
      </w:r>
      <w:r>
        <w:rPr>
          <w:rFonts w:ascii="Arial" w:hAnsi="Arial"/>
          <w:color w:val="231F20"/>
          <w:sz w:val="14"/>
        </w:rPr>
        <w:t>œuvré</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z w:val="14"/>
        </w:rPr>
        <w:t>nous</w:t>
      </w:r>
      <w:r>
        <w:rPr>
          <w:rFonts w:ascii="Arial" w:hAnsi="Arial"/>
          <w:color w:val="231F20"/>
          <w:spacing w:val="-3"/>
          <w:sz w:val="14"/>
        </w:rPr>
        <w:t> </w:t>
      </w:r>
      <w:r>
        <w:rPr>
          <w:rFonts w:ascii="Arial" w:hAnsi="Arial"/>
          <w:color w:val="231F20"/>
          <w:sz w:val="14"/>
        </w:rPr>
        <w:t>permettre</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vaincre</w:t>
      </w:r>
      <w:r>
        <w:rPr>
          <w:rFonts w:ascii="Arial" w:hAnsi="Arial"/>
          <w:color w:val="231F20"/>
          <w:spacing w:val="40"/>
          <w:sz w:val="14"/>
        </w:rPr>
        <w:t> </w:t>
      </w:r>
      <w:r>
        <w:rPr>
          <w:rFonts w:ascii="Arial" w:hAnsi="Arial"/>
          <w:color w:val="231F20"/>
          <w:sz w:val="14"/>
        </w:rPr>
        <w:t>la pandémie de COVID-19. Plus que tous, ils connaissent</w:t>
      </w:r>
      <w:r>
        <w:rPr>
          <w:rFonts w:ascii="Arial" w:hAnsi="Arial"/>
          <w:color w:val="231F20"/>
          <w:spacing w:val="40"/>
          <w:sz w:val="14"/>
        </w:rPr>
        <w:t> </w:t>
      </w:r>
      <w:r>
        <w:rPr>
          <w:rFonts w:ascii="Arial" w:hAnsi="Arial"/>
          <w:color w:val="231F20"/>
          <w:sz w:val="14"/>
        </w:rPr>
        <w:t>l’importance de gérer le stress professionnel…</w:t>
      </w:r>
    </w:p>
    <w:p>
      <w:pPr>
        <w:pStyle w:val="BodyText"/>
        <w:spacing w:before="5"/>
        <w:rPr>
          <w:rFonts w:ascii="Arial"/>
          <w:sz w:val="25"/>
        </w:rPr>
      </w:pPr>
    </w:p>
    <w:p>
      <w:pPr>
        <w:spacing w:line="312" w:lineRule="auto" w:before="0"/>
        <w:ind w:left="4072" w:right="247" w:hanging="157"/>
        <w:jc w:val="right"/>
        <w:rPr>
          <w:rFonts w:ascii="Arial" w:hAnsi="Arial"/>
          <w:sz w:val="14"/>
        </w:rPr>
      </w:pPr>
      <w:r>
        <w:rPr>
          <w:rFonts w:ascii="Arial" w:hAnsi="Arial"/>
          <w:color w:val="231F20"/>
          <w:sz w:val="14"/>
        </w:rPr>
        <w:t>Les</w:t>
      </w:r>
      <w:r>
        <w:rPr>
          <w:rFonts w:ascii="Arial" w:hAnsi="Arial"/>
          <w:color w:val="231F20"/>
          <w:spacing w:val="-10"/>
          <w:sz w:val="14"/>
        </w:rPr>
        <w:t> </w:t>
      </w:r>
      <w:r>
        <w:rPr>
          <w:rFonts w:ascii="Arial" w:hAnsi="Arial"/>
          <w:color w:val="231F20"/>
          <w:sz w:val="14"/>
        </w:rPr>
        <w:t>auteurs</w:t>
      </w:r>
      <w:r>
        <w:rPr>
          <w:rFonts w:ascii="Arial" w:hAnsi="Arial"/>
          <w:color w:val="231F20"/>
          <w:spacing w:val="-10"/>
          <w:sz w:val="14"/>
        </w:rPr>
        <w:t> </w:t>
      </w:r>
      <w:r>
        <w:rPr>
          <w:rFonts w:ascii="Arial" w:hAnsi="Arial"/>
          <w:color w:val="231F20"/>
          <w:sz w:val="14"/>
        </w:rPr>
        <w:t>aimeraient</w:t>
      </w:r>
      <w:r>
        <w:rPr>
          <w:rFonts w:ascii="Arial" w:hAnsi="Arial"/>
          <w:color w:val="231F20"/>
          <w:spacing w:val="-10"/>
          <w:sz w:val="14"/>
        </w:rPr>
        <w:t> </w:t>
      </w:r>
      <w:r>
        <w:rPr>
          <w:rFonts w:ascii="Arial" w:hAnsi="Arial"/>
          <w:color w:val="231F20"/>
          <w:sz w:val="14"/>
        </w:rPr>
        <w:t>aussi</w:t>
      </w:r>
      <w:r>
        <w:rPr>
          <w:rFonts w:ascii="Arial" w:hAnsi="Arial"/>
          <w:color w:val="231F20"/>
          <w:spacing w:val="-9"/>
          <w:sz w:val="14"/>
        </w:rPr>
        <w:t> </w:t>
      </w:r>
      <w:r>
        <w:rPr>
          <w:rFonts w:ascii="Arial" w:hAnsi="Arial"/>
          <w:color w:val="231F20"/>
          <w:sz w:val="14"/>
        </w:rPr>
        <w:t>honorer</w:t>
      </w:r>
      <w:r>
        <w:rPr>
          <w:rFonts w:ascii="Arial" w:hAnsi="Arial"/>
          <w:color w:val="231F20"/>
          <w:spacing w:val="-10"/>
          <w:sz w:val="14"/>
        </w:rPr>
        <w:t> </w:t>
      </w:r>
      <w:r>
        <w:rPr>
          <w:rFonts w:ascii="Arial" w:hAnsi="Arial"/>
          <w:color w:val="231F20"/>
          <w:sz w:val="14"/>
        </w:rPr>
        <w:t>la</w:t>
      </w:r>
      <w:r>
        <w:rPr>
          <w:rFonts w:ascii="Arial" w:hAnsi="Arial"/>
          <w:color w:val="231F20"/>
          <w:spacing w:val="-10"/>
          <w:sz w:val="14"/>
        </w:rPr>
        <w:t> </w:t>
      </w:r>
      <w:r>
        <w:rPr>
          <w:rFonts w:ascii="Arial" w:hAnsi="Arial"/>
          <w:color w:val="231F20"/>
          <w:sz w:val="14"/>
        </w:rPr>
        <w:t>mémoire</w:t>
      </w:r>
      <w:r>
        <w:rPr>
          <w:rFonts w:ascii="Arial" w:hAnsi="Arial"/>
          <w:color w:val="231F20"/>
          <w:spacing w:val="40"/>
          <w:sz w:val="14"/>
        </w:rPr>
        <w:t> </w:t>
      </w:r>
      <w:r>
        <w:rPr>
          <w:rFonts w:ascii="Arial" w:hAnsi="Arial"/>
          <w:color w:val="231F20"/>
          <w:sz w:val="14"/>
        </w:rPr>
        <w:t>du</w:t>
      </w:r>
      <w:r>
        <w:rPr>
          <w:rFonts w:ascii="Arial" w:hAnsi="Arial"/>
          <w:color w:val="231F20"/>
          <w:spacing w:val="-5"/>
          <w:sz w:val="14"/>
        </w:rPr>
        <w:t> </w:t>
      </w:r>
      <w:r>
        <w:rPr>
          <w:rFonts w:ascii="Arial" w:hAnsi="Arial"/>
          <w:color w:val="231F20"/>
          <w:sz w:val="14"/>
        </w:rPr>
        <w:t>professeur</w:t>
      </w:r>
      <w:r>
        <w:rPr>
          <w:rFonts w:ascii="Arial" w:hAnsi="Arial"/>
          <w:color w:val="231F20"/>
          <w:spacing w:val="-4"/>
          <w:sz w:val="14"/>
        </w:rPr>
        <w:t> </w:t>
      </w:r>
      <w:r>
        <w:rPr>
          <w:rFonts w:ascii="Arial" w:hAnsi="Arial"/>
          <w:color w:val="231F20"/>
          <w:sz w:val="14"/>
        </w:rPr>
        <w:t>Ron</w:t>
      </w:r>
      <w:r>
        <w:rPr>
          <w:rFonts w:ascii="Arial" w:hAnsi="Arial"/>
          <w:color w:val="231F20"/>
          <w:spacing w:val="-5"/>
          <w:sz w:val="14"/>
        </w:rPr>
        <w:t> </w:t>
      </w:r>
      <w:r>
        <w:rPr>
          <w:rFonts w:ascii="Arial" w:hAnsi="Arial"/>
          <w:color w:val="231F20"/>
          <w:sz w:val="14"/>
        </w:rPr>
        <w:t>Burke,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l’Université</w:t>
      </w:r>
      <w:r>
        <w:rPr>
          <w:rFonts w:ascii="Arial" w:hAnsi="Arial"/>
          <w:color w:val="231F20"/>
          <w:spacing w:val="-4"/>
          <w:sz w:val="14"/>
        </w:rPr>
        <w:t> </w:t>
      </w:r>
      <w:r>
        <w:rPr>
          <w:rFonts w:ascii="Arial" w:hAnsi="Arial"/>
          <w:color w:val="231F20"/>
          <w:spacing w:val="-2"/>
          <w:sz w:val="14"/>
        </w:rPr>
        <w:t>York,</w:t>
      </w:r>
    </w:p>
    <w:p>
      <w:pPr>
        <w:spacing w:line="312" w:lineRule="auto" w:before="1"/>
        <w:ind w:left="4319" w:right="247" w:hanging="802"/>
        <w:jc w:val="right"/>
        <w:rPr>
          <w:rFonts w:ascii="Arial" w:hAnsi="Arial"/>
          <w:sz w:val="14"/>
        </w:rPr>
      </w:pPr>
      <w:r>
        <w:rPr>
          <w:rFonts w:ascii="Arial" w:hAnsi="Arial"/>
          <w:color w:val="231F20"/>
          <w:sz w:val="14"/>
        </w:rPr>
        <w:t>qui fut un grand pionnier de l’étude du stress au travail</w:t>
      </w:r>
      <w:r>
        <w:rPr>
          <w:rFonts w:ascii="Arial" w:hAnsi="Arial"/>
          <w:color w:val="231F20"/>
          <w:spacing w:val="40"/>
          <w:sz w:val="14"/>
        </w:rPr>
        <w:t> </w:t>
      </w:r>
      <w:r>
        <w:rPr>
          <w:rFonts w:ascii="Arial" w:hAnsi="Arial"/>
          <w:color w:val="231F20"/>
          <w:sz w:val="14"/>
        </w:rPr>
        <w:t>et</w:t>
      </w:r>
      <w:r>
        <w:rPr>
          <w:rFonts w:ascii="Arial" w:hAnsi="Arial"/>
          <w:color w:val="231F20"/>
          <w:spacing w:val="-3"/>
          <w:sz w:val="14"/>
        </w:rPr>
        <w:t> </w:t>
      </w:r>
      <w:r>
        <w:rPr>
          <w:rFonts w:ascii="Arial" w:hAnsi="Arial"/>
          <w:color w:val="231F20"/>
          <w:sz w:val="14"/>
        </w:rPr>
        <w:t>une</w:t>
      </w:r>
      <w:r>
        <w:rPr>
          <w:rFonts w:ascii="Arial" w:hAnsi="Arial"/>
          <w:color w:val="231F20"/>
          <w:spacing w:val="-3"/>
          <w:sz w:val="14"/>
        </w:rPr>
        <w:t> </w:t>
      </w:r>
      <w:r>
        <w:rPr>
          <w:rFonts w:ascii="Arial" w:hAnsi="Arial"/>
          <w:color w:val="231F20"/>
          <w:sz w:val="14"/>
        </w:rPr>
        <w:t>source</w:t>
      </w:r>
      <w:r>
        <w:rPr>
          <w:rFonts w:ascii="Arial" w:hAnsi="Arial"/>
          <w:color w:val="231F20"/>
          <w:spacing w:val="-3"/>
          <w:sz w:val="14"/>
        </w:rPr>
        <w:t> </w:t>
      </w:r>
      <w:r>
        <w:rPr>
          <w:rFonts w:ascii="Arial" w:hAnsi="Arial"/>
          <w:color w:val="231F20"/>
          <w:sz w:val="14"/>
        </w:rPr>
        <w:t>d’inspiration</w:t>
      </w:r>
      <w:r>
        <w:rPr>
          <w:rFonts w:ascii="Arial" w:hAnsi="Arial"/>
          <w:color w:val="231F20"/>
          <w:spacing w:val="-3"/>
          <w:sz w:val="14"/>
        </w:rPr>
        <w:t> </w:t>
      </w:r>
      <w:r>
        <w:rPr>
          <w:rFonts w:ascii="Arial" w:hAnsi="Arial"/>
          <w:color w:val="231F20"/>
          <w:sz w:val="14"/>
        </w:rPr>
        <w:t>pour</w:t>
      </w:r>
      <w:r>
        <w:rPr>
          <w:rFonts w:ascii="Arial" w:hAnsi="Arial"/>
          <w:color w:val="231F20"/>
          <w:spacing w:val="-3"/>
          <w:sz w:val="14"/>
        </w:rPr>
        <w:t> </w:t>
      </w:r>
      <w:r>
        <w:rPr>
          <w:rFonts w:ascii="Arial" w:hAnsi="Arial"/>
          <w:color w:val="231F20"/>
          <w:sz w:val="14"/>
        </w:rPr>
        <w:t>tous</w:t>
      </w:r>
      <w:r>
        <w:rPr>
          <w:rFonts w:ascii="Arial" w:hAnsi="Arial"/>
          <w:color w:val="231F20"/>
          <w:spacing w:val="-3"/>
          <w:sz w:val="14"/>
        </w:rPr>
        <w:t> </w:t>
      </w:r>
      <w:r>
        <w:rPr>
          <w:rFonts w:ascii="Arial" w:hAnsi="Arial"/>
          <w:color w:val="231F20"/>
          <w:sz w:val="14"/>
        </w:rPr>
        <w:t>ceux</w:t>
      </w:r>
      <w:r>
        <w:rPr>
          <w:rFonts w:ascii="Arial" w:hAnsi="Arial"/>
          <w:color w:val="231F20"/>
          <w:w w:val="105"/>
          <w:sz w:val="14"/>
        </w:rPr>
        <w:t> qui ont eu la chance de le côtoyer.</w:t>
      </w:r>
    </w:p>
    <w:p>
      <w:pPr>
        <w:spacing w:after="0" w:line="312" w:lineRule="auto"/>
        <w:jc w:val="right"/>
        <w:rPr>
          <w:rFonts w:ascii="Arial" w:hAnsi="Arial"/>
          <w:sz w:val="14"/>
        </w:rPr>
        <w:sectPr>
          <w:pgSz w:w="8640" w:h="12960"/>
          <w:pgMar w:top="1220" w:bottom="280" w:left="460" w:right="1000"/>
        </w:sectPr>
      </w:pPr>
    </w:p>
    <w:p>
      <w:pPr>
        <w:pStyle w:val="BodyText"/>
        <w:spacing w:before="4"/>
        <w:rPr>
          <w:rFonts w:ascii="Arial"/>
        </w:rPr>
      </w:pPr>
    </w:p>
    <w:p>
      <w:pPr>
        <w:spacing w:after="0"/>
        <w:rPr>
          <w:rFonts w:ascii="Arial"/>
        </w:rPr>
        <w:sectPr>
          <w:pgSz w:w="8640" w:h="12960"/>
          <w:pgMar w:top="1220" w:bottom="280" w:left="460" w:right="100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Heading1"/>
        <w:spacing w:before="300"/>
        <w:ind w:left="2672"/>
      </w:pPr>
      <w:r>
        <w:rPr>
          <w:color w:val="231F20"/>
          <w:w w:val="90"/>
        </w:rPr>
        <w:t>Table</w:t>
      </w:r>
      <w:r>
        <w:rPr>
          <w:color w:val="231F20"/>
          <w:spacing w:val="-5"/>
          <w:w w:val="90"/>
        </w:rPr>
        <w:t> </w:t>
      </w:r>
      <w:r>
        <w:rPr>
          <w:color w:val="231F20"/>
          <w:w w:val="90"/>
        </w:rPr>
        <w:t>des</w:t>
      </w:r>
      <w:r>
        <w:rPr>
          <w:color w:val="231F20"/>
          <w:spacing w:val="-5"/>
          <w:w w:val="90"/>
        </w:rPr>
        <w:t> </w:t>
      </w:r>
      <w:r>
        <w:rPr>
          <w:color w:val="231F20"/>
          <w:spacing w:val="-2"/>
          <w:w w:val="90"/>
        </w:rPr>
        <w:t>matières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tabs>
          <w:tab w:pos="6928" w:val="right" w:leader="none"/>
        </w:tabs>
        <w:spacing w:before="253"/>
        <w:ind w:left="1180"/>
      </w:pPr>
      <w:hyperlink w:history="true" w:anchor="_bookmark0">
        <w:r>
          <w:rPr>
            <w:rFonts w:ascii="Arial"/>
            <w:color w:val="231F20"/>
          </w:rPr>
          <w:t>Liste</w:t>
        </w:r>
        <w:r>
          <w:rPr>
            <w:rFonts w:ascii="Arial"/>
            <w:color w:val="231F20"/>
            <w:spacing w:val="-12"/>
          </w:rPr>
          <w:t> </w:t>
        </w:r>
        <w:r>
          <w:rPr>
            <w:rFonts w:ascii="Arial"/>
            <w:color w:val="231F20"/>
          </w:rPr>
          <w:t>des</w:t>
        </w:r>
        <w:r>
          <w:rPr>
            <w:rFonts w:ascii="Arial"/>
            <w:color w:val="231F20"/>
            <w:spacing w:val="-12"/>
          </w:rPr>
          <w:t> </w:t>
        </w:r>
        <w:r>
          <w:rPr>
            <w:rFonts w:ascii="Arial"/>
            <w:color w:val="231F20"/>
          </w:rPr>
          <w:t>exercices</w:t>
        </w:r>
        <w:r>
          <w:rPr>
            <w:rFonts w:ascii="Arial"/>
            <w:color w:val="231F20"/>
            <w:spacing w:val="39"/>
          </w:rPr>
          <w:t> </w:t>
        </w:r>
        <w:r>
          <w:rPr>
            <w:color w:val="231F20"/>
            <w:spacing w:val="-2"/>
          </w:rPr>
          <w:t>...................................................................</w:t>
        </w:r>
        <w:r>
          <w:rPr>
            <w:color w:val="231F20"/>
          </w:rPr>
          <w:tab/>
        </w:r>
        <w:r>
          <w:rPr>
            <w:color w:val="231F20"/>
            <w:spacing w:val="-4"/>
            <w:w w:val="110"/>
          </w:rPr>
          <w:t>XIII</w:t>
        </w:r>
      </w:hyperlink>
    </w:p>
    <w:p>
      <w:pPr>
        <w:pStyle w:val="BodyText"/>
        <w:tabs>
          <w:tab w:pos="6928" w:val="right" w:leader="none"/>
        </w:tabs>
        <w:spacing w:before="304"/>
        <w:ind w:left="1180"/>
      </w:pPr>
      <w:hyperlink w:history="true" w:anchor="_bookmark1">
        <w:r>
          <w:rPr>
            <w:rFonts w:ascii="Arial"/>
            <w:color w:val="231F20"/>
          </w:rPr>
          <w:t>Liste</w:t>
        </w:r>
        <w:r>
          <w:rPr>
            <w:rFonts w:ascii="Arial"/>
            <w:color w:val="231F20"/>
            <w:spacing w:val="-6"/>
          </w:rPr>
          <w:t> </w:t>
        </w:r>
        <w:r>
          <w:rPr>
            <w:rFonts w:ascii="Arial"/>
            <w:color w:val="231F20"/>
          </w:rPr>
          <w:t>des</w:t>
        </w:r>
        <w:r>
          <w:rPr>
            <w:rFonts w:ascii="Arial"/>
            <w:color w:val="231F20"/>
            <w:spacing w:val="-6"/>
          </w:rPr>
          <w:t> </w:t>
        </w:r>
        <w:r>
          <w:rPr>
            <w:rFonts w:ascii="Arial"/>
            <w:color w:val="231F20"/>
          </w:rPr>
          <w:t>figures</w:t>
        </w:r>
        <w:r>
          <w:rPr>
            <w:rFonts w:ascii="Arial"/>
            <w:color w:val="231F20"/>
            <w:spacing w:val="78"/>
          </w:rPr>
          <w:t> </w:t>
        </w:r>
        <w:r>
          <w:rPr>
            <w:color w:val="231F20"/>
            <w:spacing w:val="-2"/>
          </w:rPr>
          <w:t>......................................................................</w:t>
        </w:r>
        <w:r>
          <w:rPr>
            <w:color w:val="231F20"/>
          </w:rPr>
          <w:tab/>
        </w:r>
        <w:r>
          <w:rPr>
            <w:color w:val="231F20"/>
            <w:spacing w:val="-5"/>
            <w:w w:val="110"/>
          </w:rPr>
          <w:t>XV</w:t>
        </w:r>
      </w:hyperlink>
    </w:p>
    <w:p>
      <w:pPr>
        <w:pStyle w:val="BodyText"/>
        <w:tabs>
          <w:tab w:pos="6928" w:val="right" w:leader="none"/>
        </w:tabs>
        <w:spacing w:before="303"/>
        <w:ind w:left="1180"/>
      </w:pPr>
      <w:hyperlink w:history="true" w:anchor="_bookmark2">
        <w:r>
          <w:rPr>
            <w:rFonts w:ascii="Arial"/>
            <w:color w:val="231F20"/>
          </w:rPr>
          <w:t>Liste</w:t>
        </w:r>
        <w:r>
          <w:rPr>
            <w:rFonts w:ascii="Arial"/>
            <w:color w:val="231F20"/>
            <w:spacing w:val="-8"/>
          </w:rPr>
          <w:t> </w:t>
        </w:r>
        <w:r>
          <w:rPr>
            <w:rFonts w:ascii="Arial"/>
            <w:color w:val="231F20"/>
          </w:rPr>
          <w:t>des</w:t>
        </w:r>
        <w:r>
          <w:rPr>
            <w:rFonts w:ascii="Arial"/>
            <w:color w:val="231F20"/>
            <w:spacing w:val="-7"/>
          </w:rPr>
          <w:t> </w:t>
        </w:r>
        <w:r>
          <w:rPr>
            <w:rFonts w:ascii="Arial"/>
            <w:color w:val="231F20"/>
          </w:rPr>
          <w:t>tableaux</w:t>
        </w:r>
        <w:r>
          <w:rPr>
            <w:rFonts w:ascii="Arial"/>
            <w:color w:val="231F20"/>
            <w:spacing w:val="51"/>
          </w:rPr>
          <w:t> </w:t>
        </w:r>
        <w:r>
          <w:rPr>
            <w:color w:val="231F20"/>
            <w:spacing w:val="-2"/>
          </w:rPr>
          <w:t>....................................................................</w:t>
        </w:r>
        <w:r>
          <w:rPr>
            <w:color w:val="231F20"/>
          </w:rPr>
          <w:tab/>
        </w:r>
        <w:r>
          <w:rPr>
            <w:color w:val="231F20"/>
            <w:spacing w:val="-4"/>
            <w:w w:val="110"/>
          </w:rPr>
          <w:t>XVII</w:t>
        </w:r>
      </w:hyperlink>
    </w:p>
    <w:p>
      <w:pPr>
        <w:pStyle w:val="BodyText"/>
        <w:tabs>
          <w:tab w:pos="6928" w:val="right" w:leader="none"/>
        </w:tabs>
        <w:spacing w:before="304"/>
        <w:ind w:left="1180"/>
      </w:pPr>
      <w:hyperlink w:history="true" w:anchor="_bookmark3">
        <w:r>
          <w:rPr>
            <w:rFonts w:ascii="Arial"/>
            <w:color w:val="231F20"/>
          </w:rPr>
          <w:t>Liste</w:t>
        </w:r>
        <w:r>
          <w:rPr>
            <w:rFonts w:ascii="Arial"/>
            <w:color w:val="231F20"/>
            <w:spacing w:val="-9"/>
          </w:rPr>
          <w:t> </w:t>
        </w:r>
        <w:r>
          <w:rPr>
            <w:rFonts w:ascii="Arial"/>
            <w:color w:val="231F20"/>
          </w:rPr>
          <w:t>des</w:t>
        </w:r>
        <w:r>
          <w:rPr>
            <w:rFonts w:ascii="Arial"/>
            <w:color w:val="231F20"/>
            <w:spacing w:val="-9"/>
          </w:rPr>
          <w:t> </w:t>
        </w:r>
        <w:r>
          <w:rPr>
            <w:rFonts w:ascii="Arial"/>
            <w:color w:val="231F20"/>
          </w:rPr>
          <w:t>sigles</w:t>
        </w:r>
        <w:r>
          <w:rPr>
            <w:rFonts w:ascii="Arial"/>
            <w:color w:val="231F20"/>
            <w:spacing w:val="-9"/>
          </w:rPr>
          <w:t> </w:t>
        </w:r>
        <w:r>
          <w:rPr>
            <w:rFonts w:ascii="Arial"/>
            <w:color w:val="231F20"/>
          </w:rPr>
          <w:t>et</w:t>
        </w:r>
        <w:r>
          <w:rPr>
            <w:rFonts w:ascii="Arial"/>
            <w:color w:val="231F20"/>
            <w:spacing w:val="-9"/>
          </w:rPr>
          <w:t> </w:t>
        </w:r>
        <w:r>
          <w:rPr>
            <w:rFonts w:ascii="Arial"/>
            <w:color w:val="231F20"/>
          </w:rPr>
          <w:t>acronymes</w:t>
        </w:r>
        <w:r>
          <w:rPr>
            <w:rFonts w:ascii="Arial"/>
            <w:color w:val="231F20"/>
            <w:spacing w:val="36"/>
          </w:rPr>
          <w:t> </w:t>
        </w:r>
        <w:r>
          <w:rPr>
            <w:color w:val="231F20"/>
            <w:spacing w:val="-2"/>
          </w:rPr>
          <w:t>....................................................</w:t>
        </w:r>
        <w:r>
          <w:rPr>
            <w:color w:val="231F20"/>
          </w:rPr>
          <w:tab/>
        </w:r>
        <w:r>
          <w:rPr>
            <w:color w:val="231F20"/>
            <w:spacing w:val="-5"/>
            <w:w w:val="105"/>
          </w:rPr>
          <w:t>XIX</w:t>
        </w:r>
      </w:hyperlink>
    </w:p>
    <w:p>
      <w:pPr>
        <w:pStyle w:val="BodyText"/>
        <w:tabs>
          <w:tab w:pos="6929" w:val="right" w:leader="none"/>
        </w:tabs>
        <w:spacing w:before="304"/>
        <w:ind w:left="1180"/>
      </w:pPr>
      <w:hyperlink w:history="true" w:anchor="_bookmark4">
        <w:r>
          <w:rPr>
            <w:rFonts w:ascii="Arial"/>
            <w:color w:val="231F20"/>
            <w:w w:val="105"/>
          </w:rPr>
          <w:t>Introduction</w:t>
        </w:r>
        <w:r>
          <w:rPr>
            <w:rFonts w:ascii="Arial"/>
            <w:color w:val="231F20"/>
            <w:spacing w:val="56"/>
            <w:w w:val="120"/>
          </w:rPr>
          <w:t> </w:t>
        </w:r>
        <w:r>
          <w:rPr>
            <w:color w:val="231F20"/>
            <w:spacing w:val="-2"/>
            <w:w w:val="120"/>
          </w:rPr>
          <w:t>............................................................................</w:t>
        </w:r>
        <w:r>
          <w:rPr>
            <w:color w:val="231F20"/>
          </w:rPr>
          <w:tab/>
        </w:r>
        <w:r>
          <w:rPr>
            <w:color w:val="231F20"/>
            <w:spacing w:val="-10"/>
            <w:w w:val="115"/>
          </w:rPr>
          <w:t>1</w:t>
        </w:r>
      </w:hyperlink>
    </w:p>
    <w:p>
      <w:pPr>
        <w:pStyle w:val="BodyText"/>
        <w:spacing w:before="304"/>
        <w:ind w:left="1180"/>
        <w:rPr>
          <w:rFonts w:ascii="Arial"/>
          <w:i/>
        </w:rPr>
      </w:pPr>
      <w:hyperlink w:history="true" w:anchor="_bookmark5">
        <w:r>
          <w:rPr>
            <w:rFonts w:ascii="Arial"/>
            <w:color w:val="231F20"/>
            <w:w w:val="95"/>
          </w:rPr>
          <w:t>Chapitre</w:t>
        </w:r>
        <w:r>
          <w:rPr>
            <w:rFonts w:ascii="Arial"/>
            <w:color w:val="231F20"/>
            <w:spacing w:val="-2"/>
          </w:rPr>
          <w:t> </w:t>
        </w:r>
        <w:r>
          <w:rPr>
            <w:rFonts w:ascii="Arial"/>
            <w:color w:val="231F20"/>
            <w:w w:val="95"/>
          </w:rPr>
          <w:t>1</w:t>
        </w:r>
        <w:r>
          <w:rPr>
            <w:rFonts w:ascii="Arial"/>
            <w:color w:val="231F20"/>
            <w:spacing w:val="-10"/>
            <w:w w:val="95"/>
          </w:rPr>
          <w:t> </w:t>
        </w:r>
        <w:r>
          <w:rPr>
            <w:rFonts w:ascii="Arial"/>
            <w:i/>
            <w:color w:val="231F20"/>
            <w:spacing w:val="-10"/>
            <w:w w:val="95"/>
          </w:rPr>
          <w:t>/</w:t>
        </w:r>
      </w:hyperlink>
    </w:p>
    <w:p>
      <w:pPr>
        <w:tabs>
          <w:tab w:pos="6928" w:val="right" w:leader="none"/>
        </w:tabs>
        <w:spacing w:before="45"/>
        <w:ind w:left="1179" w:right="0" w:firstLine="0"/>
        <w:jc w:val="left"/>
        <w:rPr>
          <w:sz w:val="17"/>
        </w:rPr>
      </w:pPr>
      <w:hyperlink w:history="true" w:anchor="_bookmark5">
        <w:r>
          <w:rPr>
            <w:rFonts w:ascii="Arial" w:hAnsi="Arial"/>
            <w:b/>
            <w:color w:val="231F20"/>
            <w:w w:val="95"/>
            <w:sz w:val="18"/>
          </w:rPr>
          <w:t>Stress,</w:t>
        </w:r>
        <w:r>
          <w:rPr>
            <w:rFonts w:ascii="Arial" w:hAnsi="Arial"/>
            <w:b/>
            <w:color w:val="231F20"/>
            <w:spacing w:val="-10"/>
            <w:w w:val="95"/>
            <w:sz w:val="18"/>
          </w:rPr>
          <w:t> </w:t>
        </w:r>
        <w:r>
          <w:rPr>
            <w:rFonts w:ascii="Arial" w:hAnsi="Arial"/>
            <w:b/>
            <w:color w:val="231F20"/>
            <w:w w:val="95"/>
            <w:sz w:val="18"/>
          </w:rPr>
          <w:t>santé</w:t>
        </w:r>
        <w:r>
          <w:rPr>
            <w:rFonts w:ascii="Arial" w:hAnsi="Arial"/>
            <w:b/>
            <w:color w:val="231F20"/>
            <w:spacing w:val="-10"/>
            <w:w w:val="95"/>
            <w:sz w:val="18"/>
          </w:rPr>
          <w:t> </w:t>
        </w:r>
        <w:r>
          <w:rPr>
            <w:rFonts w:ascii="Arial" w:hAnsi="Arial"/>
            <w:b/>
            <w:color w:val="231F20"/>
            <w:w w:val="95"/>
            <w:sz w:val="18"/>
          </w:rPr>
          <w:t>et</w:t>
        </w:r>
        <w:r>
          <w:rPr>
            <w:rFonts w:ascii="Arial" w:hAnsi="Arial"/>
            <w:b/>
            <w:color w:val="231F20"/>
            <w:spacing w:val="-9"/>
            <w:w w:val="95"/>
            <w:sz w:val="18"/>
          </w:rPr>
          <w:t> </w:t>
        </w:r>
        <w:r>
          <w:rPr>
            <w:rFonts w:ascii="Arial" w:hAnsi="Arial"/>
            <w:b/>
            <w:color w:val="231F20"/>
            <w:w w:val="95"/>
            <w:sz w:val="18"/>
          </w:rPr>
          <w:t>travail</w:t>
        </w:r>
        <w:r>
          <w:rPr>
            <w:rFonts w:ascii="Arial" w:hAnsi="Arial"/>
            <w:b/>
            <w:color w:val="231F20"/>
            <w:spacing w:val="-31"/>
            <w:w w:val="95"/>
            <w:sz w:val="18"/>
          </w:rPr>
          <w:t> </w:t>
        </w:r>
        <w:r>
          <w:rPr>
            <w:rFonts w:ascii="Arial" w:hAnsi="Arial"/>
            <w:b/>
            <w:color w:val="231F20"/>
            <w:w w:val="95"/>
            <w:sz w:val="18"/>
          </w:rPr>
          <w:t>:</w:t>
        </w:r>
        <w:r>
          <w:rPr>
            <w:rFonts w:ascii="Arial" w:hAnsi="Arial"/>
            <w:b/>
            <w:color w:val="231F20"/>
            <w:spacing w:val="-9"/>
            <w:w w:val="95"/>
            <w:sz w:val="18"/>
          </w:rPr>
          <w:t> </w:t>
        </w:r>
        <w:r>
          <w:rPr>
            <w:rFonts w:ascii="Arial" w:hAnsi="Arial"/>
            <w:b/>
            <w:color w:val="231F20"/>
            <w:w w:val="95"/>
            <w:sz w:val="18"/>
          </w:rPr>
          <w:t>vue</w:t>
        </w:r>
        <w:r>
          <w:rPr>
            <w:rFonts w:ascii="Arial" w:hAnsi="Arial"/>
            <w:b/>
            <w:color w:val="231F20"/>
            <w:spacing w:val="-10"/>
            <w:w w:val="95"/>
            <w:sz w:val="18"/>
          </w:rPr>
          <w:t> </w:t>
        </w:r>
        <w:r>
          <w:rPr>
            <w:rFonts w:ascii="Arial" w:hAnsi="Arial"/>
            <w:b/>
            <w:color w:val="231F20"/>
            <w:w w:val="95"/>
            <w:sz w:val="18"/>
          </w:rPr>
          <w:t>d’ensemble</w:t>
        </w:r>
        <w:r>
          <w:rPr>
            <w:rFonts w:ascii="Arial" w:hAnsi="Arial"/>
            <w:b/>
            <w:color w:val="231F20"/>
            <w:spacing w:val="74"/>
            <w:sz w:val="18"/>
          </w:rPr>
          <w:t> </w:t>
        </w:r>
        <w:r>
          <w:rPr>
            <w:color w:val="231F20"/>
            <w:spacing w:val="-2"/>
            <w:w w:val="95"/>
            <w:sz w:val="17"/>
          </w:rPr>
          <w:t>................................</w:t>
        </w:r>
        <w:r>
          <w:rPr>
            <w:color w:val="231F20"/>
            <w:sz w:val="17"/>
          </w:rPr>
          <w:tab/>
        </w:r>
        <w:r>
          <w:rPr>
            <w:color w:val="231F20"/>
            <w:spacing w:val="-5"/>
            <w:sz w:val="17"/>
          </w:rPr>
          <w:t>13</w:t>
        </w:r>
      </w:hyperlink>
    </w:p>
    <w:p>
      <w:pPr>
        <w:pStyle w:val="BodyText"/>
        <w:spacing w:before="10" w:after="1"/>
        <w:rPr>
          <w:sz w:val="12"/>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1"/>
        <w:gridCol w:w="4852"/>
        <w:gridCol w:w="556"/>
      </w:tblGrid>
      <w:tr>
        <w:trPr>
          <w:trHeight w:val="530" w:hRule="atLeast"/>
        </w:trPr>
        <w:tc>
          <w:tcPr>
            <w:tcW w:w="441" w:type="dxa"/>
          </w:tcPr>
          <w:p>
            <w:pPr>
              <w:pStyle w:val="TableParagraph"/>
              <w:spacing w:before="43"/>
              <w:ind w:left="50"/>
              <w:rPr>
                <w:i/>
                <w:sz w:val="17"/>
              </w:rPr>
            </w:pPr>
            <w:hyperlink w:history="true" w:anchor="_bookmark5">
              <w:r>
                <w:rPr>
                  <w:color w:val="231F20"/>
                  <w:w w:val="70"/>
                  <w:sz w:val="17"/>
                </w:rPr>
                <w:t>1.1</w:t>
              </w:r>
              <w:r>
                <w:rPr>
                  <w:color w:val="231F20"/>
                  <w:spacing w:val="-7"/>
                  <w:w w:val="95"/>
                  <w:sz w:val="17"/>
                </w:rPr>
                <w:t> </w:t>
              </w:r>
              <w:r>
                <w:rPr>
                  <w:i/>
                  <w:color w:val="231F20"/>
                  <w:spacing w:val="-10"/>
                  <w:w w:val="95"/>
                  <w:sz w:val="17"/>
                </w:rPr>
                <w:t>/</w:t>
              </w:r>
            </w:hyperlink>
          </w:p>
        </w:tc>
        <w:tc>
          <w:tcPr>
            <w:tcW w:w="4852" w:type="dxa"/>
          </w:tcPr>
          <w:p>
            <w:pPr>
              <w:pStyle w:val="TableParagraph"/>
              <w:spacing w:before="44"/>
              <w:ind w:left="108"/>
              <w:rPr>
                <w:rFonts w:ascii="Times New Roman" w:hAnsi="Times New Roman"/>
                <w:sz w:val="17"/>
              </w:rPr>
            </w:pPr>
            <w:hyperlink w:history="true" w:anchor="_bookmark5">
              <w:r>
                <w:rPr>
                  <w:rFonts w:ascii="Times New Roman" w:hAnsi="Times New Roman"/>
                  <w:color w:val="231F20"/>
                  <w:w w:val="115"/>
                  <w:sz w:val="17"/>
                </w:rPr>
                <w:t>Peut-on</w:t>
              </w:r>
              <w:r>
                <w:rPr>
                  <w:rFonts w:ascii="Times New Roman" w:hAnsi="Times New Roman"/>
                  <w:color w:val="231F20"/>
                  <w:spacing w:val="16"/>
                  <w:w w:val="115"/>
                  <w:sz w:val="17"/>
                </w:rPr>
                <w:t> </w:t>
              </w:r>
              <w:r>
                <w:rPr>
                  <w:rFonts w:ascii="Times New Roman" w:hAnsi="Times New Roman"/>
                  <w:color w:val="231F20"/>
                  <w:w w:val="115"/>
                  <w:sz w:val="17"/>
                </w:rPr>
                <w:t>concilier</w:t>
              </w:r>
              <w:r>
                <w:rPr>
                  <w:rFonts w:ascii="Times New Roman" w:hAnsi="Times New Roman"/>
                  <w:color w:val="231F20"/>
                  <w:spacing w:val="17"/>
                  <w:w w:val="115"/>
                  <w:sz w:val="17"/>
                </w:rPr>
                <w:t> </w:t>
              </w:r>
              <w:r>
                <w:rPr>
                  <w:rFonts w:ascii="Times New Roman" w:hAnsi="Times New Roman"/>
                  <w:color w:val="231F20"/>
                  <w:w w:val="115"/>
                  <w:sz w:val="17"/>
                </w:rPr>
                <w:t>performance</w:t>
              </w:r>
              <w:r>
                <w:rPr>
                  <w:rFonts w:ascii="Times New Roman" w:hAnsi="Times New Roman"/>
                  <w:color w:val="231F20"/>
                  <w:spacing w:val="17"/>
                  <w:w w:val="115"/>
                  <w:sz w:val="17"/>
                </w:rPr>
                <w:t> </w:t>
              </w:r>
              <w:r>
                <w:rPr>
                  <w:rFonts w:ascii="Times New Roman" w:hAnsi="Times New Roman"/>
                  <w:color w:val="231F20"/>
                  <w:w w:val="115"/>
                  <w:sz w:val="17"/>
                </w:rPr>
                <w:t>et</w:t>
              </w:r>
              <w:r>
                <w:rPr>
                  <w:rFonts w:ascii="Times New Roman" w:hAnsi="Times New Roman"/>
                  <w:color w:val="231F20"/>
                  <w:spacing w:val="17"/>
                  <w:w w:val="115"/>
                  <w:sz w:val="17"/>
                </w:rPr>
                <w:t> </w:t>
              </w:r>
              <w:r>
                <w:rPr>
                  <w:rFonts w:ascii="Times New Roman" w:hAnsi="Times New Roman"/>
                  <w:color w:val="231F20"/>
                  <w:w w:val="115"/>
                  <w:sz w:val="17"/>
                </w:rPr>
                <w:t>bien-</w:t>
              </w:r>
              <w:r>
                <w:rPr>
                  <w:rFonts w:ascii="Times New Roman" w:hAnsi="Times New Roman"/>
                  <w:color w:val="231F20"/>
                  <w:spacing w:val="-4"/>
                  <w:w w:val="115"/>
                  <w:sz w:val="17"/>
                </w:rPr>
                <w:t>être</w:t>
              </w:r>
            </w:hyperlink>
          </w:p>
          <w:p>
            <w:pPr>
              <w:pStyle w:val="TableParagraph"/>
              <w:spacing w:before="55"/>
              <w:ind w:left="108"/>
              <w:rPr>
                <w:rFonts w:ascii="Times New Roman"/>
                <w:sz w:val="17"/>
              </w:rPr>
            </w:pPr>
            <w:hyperlink w:history="true" w:anchor="_bookmark5">
              <w:r>
                <w:rPr>
                  <w:rFonts w:ascii="Times New Roman"/>
                  <w:color w:val="231F20"/>
                  <w:w w:val="120"/>
                  <w:sz w:val="17"/>
                </w:rPr>
                <w:t>au</w:t>
              </w:r>
              <w:r>
                <w:rPr>
                  <w:rFonts w:ascii="Times New Roman"/>
                  <w:color w:val="231F20"/>
                  <w:spacing w:val="-13"/>
                  <w:w w:val="120"/>
                  <w:sz w:val="17"/>
                </w:rPr>
                <w:t> </w:t>
              </w:r>
              <w:r>
                <w:rPr>
                  <w:rFonts w:ascii="Times New Roman"/>
                  <w:color w:val="231F20"/>
                  <w:w w:val="120"/>
                  <w:sz w:val="17"/>
                </w:rPr>
                <w:t>travail?</w:t>
              </w:r>
              <w:r>
                <w:rPr>
                  <w:rFonts w:ascii="Times New Roman"/>
                  <w:color w:val="231F20"/>
                  <w:spacing w:val="65"/>
                  <w:w w:val="120"/>
                  <w:sz w:val="17"/>
                </w:rPr>
                <w:t> </w:t>
              </w:r>
              <w:r>
                <w:rPr>
                  <w:rFonts w:ascii="Times New Roman"/>
                  <w:color w:val="231F20"/>
                  <w:spacing w:val="-2"/>
                  <w:w w:val="120"/>
                  <w:sz w:val="17"/>
                </w:rPr>
                <w:t>....................................................................</w:t>
              </w:r>
            </w:hyperlink>
          </w:p>
        </w:tc>
        <w:tc>
          <w:tcPr>
            <w:tcW w:w="556" w:type="dxa"/>
          </w:tcPr>
          <w:p>
            <w:pPr>
              <w:pStyle w:val="TableParagraph"/>
              <w:spacing w:before="7"/>
              <w:rPr>
                <w:rFonts w:ascii="Times New Roman"/>
                <w:sz w:val="25"/>
              </w:rPr>
            </w:pPr>
          </w:p>
          <w:p>
            <w:pPr>
              <w:pStyle w:val="TableParagraph"/>
              <w:ind w:right="48"/>
              <w:jc w:val="right"/>
              <w:rPr>
                <w:rFonts w:ascii="Times New Roman"/>
                <w:sz w:val="17"/>
              </w:rPr>
            </w:pPr>
            <w:hyperlink w:history="true" w:anchor="_bookmark5">
              <w:r>
                <w:rPr>
                  <w:rFonts w:ascii="Times New Roman"/>
                  <w:color w:val="231F20"/>
                  <w:spacing w:val="-5"/>
                  <w:w w:val="130"/>
                  <w:sz w:val="17"/>
                </w:rPr>
                <w:t>13</w:t>
              </w:r>
            </w:hyperlink>
          </w:p>
        </w:tc>
      </w:tr>
      <w:tr>
        <w:trPr>
          <w:trHeight w:val="310" w:hRule="atLeast"/>
        </w:trPr>
        <w:tc>
          <w:tcPr>
            <w:tcW w:w="441" w:type="dxa"/>
          </w:tcPr>
          <w:p>
            <w:pPr>
              <w:pStyle w:val="TableParagraph"/>
              <w:spacing w:before="73"/>
              <w:ind w:left="50"/>
              <w:rPr>
                <w:i/>
                <w:sz w:val="17"/>
              </w:rPr>
            </w:pPr>
            <w:hyperlink w:history="true" w:anchor="_bookmark6">
              <w:r>
                <w:rPr>
                  <w:color w:val="231F20"/>
                  <w:w w:val="80"/>
                  <w:sz w:val="17"/>
                </w:rPr>
                <w:t>1.2</w:t>
              </w:r>
              <w:r>
                <w:rPr>
                  <w:color w:val="231F20"/>
                  <w:spacing w:val="-5"/>
                  <w:w w:val="80"/>
                  <w:sz w:val="17"/>
                </w:rPr>
                <w:t> </w:t>
              </w:r>
              <w:r>
                <w:rPr>
                  <w:i/>
                  <w:color w:val="231F20"/>
                  <w:spacing w:val="-10"/>
                  <w:w w:val="95"/>
                  <w:sz w:val="17"/>
                </w:rPr>
                <w:t>/</w:t>
              </w:r>
            </w:hyperlink>
          </w:p>
        </w:tc>
        <w:tc>
          <w:tcPr>
            <w:tcW w:w="4852" w:type="dxa"/>
          </w:tcPr>
          <w:p>
            <w:pPr>
              <w:pStyle w:val="TableParagraph"/>
              <w:spacing w:before="74"/>
              <w:ind w:left="108"/>
              <w:rPr>
                <w:rFonts w:ascii="Times New Roman" w:hAnsi="Times New Roman"/>
                <w:sz w:val="17"/>
              </w:rPr>
            </w:pPr>
            <w:hyperlink w:history="true" w:anchor="_bookmark6">
              <w:r>
                <w:rPr>
                  <w:rFonts w:ascii="Times New Roman" w:hAnsi="Times New Roman"/>
                  <w:color w:val="231F20"/>
                  <w:w w:val="115"/>
                  <w:sz w:val="17"/>
                </w:rPr>
                <w:t>Qu’est-ce</w:t>
              </w:r>
              <w:r>
                <w:rPr>
                  <w:rFonts w:ascii="Times New Roman" w:hAnsi="Times New Roman"/>
                  <w:color w:val="231F20"/>
                  <w:spacing w:val="-2"/>
                  <w:w w:val="115"/>
                  <w:sz w:val="17"/>
                </w:rPr>
                <w:t> </w:t>
              </w:r>
              <w:r>
                <w:rPr>
                  <w:rFonts w:ascii="Times New Roman" w:hAnsi="Times New Roman"/>
                  <w:color w:val="231F20"/>
                  <w:w w:val="115"/>
                  <w:sz w:val="17"/>
                </w:rPr>
                <w:t>que</w:t>
              </w:r>
              <w:r>
                <w:rPr>
                  <w:rFonts w:ascii="Times New Roman" w:hAnsi="Times New Roman"/>
                  <w:color w:val="231F20"/>
                  <w:spacing w:val="-2"/>
                  <w:w w:val="115"/>
                  <w:sz w:val="17"/>
                </w:rPr>
                <w:t> </w:t>
              </w:r>
              <w:r>
                <w:rPr>
                  <w:rFonts w:ascii="Times New Roman" w:hAnsi="Times New Roman"/>
                  <w:color w:val="231F20"/>
                  <w:w w:val="115"/>
                  <w:sz w:val="17"/>
                </w:rPr>
                <w:t>la</w:t>
              </w:r>
              <w:r>
                <w:rPr>
                  <w:rFonts w:ascii="Times New Roman" w:hAnsi="Times New Roman"/>
                  <w:color w:val="231F20"/>
                  <w:spacing w:val="-2"/>
                  <w:w w:val="115"/>
                  <w:sz w:val="17"/>
                </w:rPr>
                <w:t> </w:t>
              </w:r>
              <w:r>
                <w:rPr>
                  <w:rFonts w:ascii="Times New Roman" w:hAnsi="Times New Roman"/>
                  <w:color w:val="231F20"/>
                  <w:w w:val="115"/>
                  <w:sz w:val="17"/>
                </w:rPr>
                <w:t>qualité</w:t>
              </w:r>
              <w:r>
                <w:rPr>
                  <w:rFonts w:ascii="Times New Roman" w:hAnsi="Times New Roman"/>
                  <w:color w:val="231F20"/>
                  <w:spacing w:val="-1"/>
                  <w:w w:val="115"/>
                  <w:sz w:val="17"/>
                </w:rPr>
                <w:t> </w:t>
              </w:r>
              <w:r>
                <w:rPr>
                  <w:rFonts w:ascii="Times New Roman" w:hAnsi="Times New Roman"/>
                  <w:color w:val="231F20"/>
                  <w:w w:val="115"/>
                  <w:sz w:val="17"/>
                </w:rPr>
                <w:t>de</w:t>
              </w:r>
              <w:r>
                <w:rPr>
                  <w:rFonts w:ascii="Times New Roman" w:hAnsi="Times New Roman"/>
                  <w:color w:val="231F20"/>
                  <w:spacing w:val="-2"/>
                  <w:w w:val="115"/>
                  <w:sz w:val="17"/>
                </w:rPr>
                <w:t> </w:t>
              </w:r>
              <w:r>
                <w:rPr>
                  <w:rFonts w:ascii="Times New Roman" w:hAnsi="Times New Roman"/>
                  <w:color w:val="231F20"/>
                  <w:w w:val="115"/>
                  <w:sz w:val="17"/>
                </w:rPr>
                <w:t>vie</w:t>
              </w:r>
              <w:r>
                <w:rPr>
                  <w:rFonts w:ascii="Times New Roman" w:hAnsi="Times New Roman"/>
                  <w:color w:val="231F20"/>
                  <w:spacing w:val="-2"/>
                  <w:w w:val="115"/>
                  <w:sz w:val="17"/>
                </w:rPr>
                <w:t> </w:t>
              </w:r>
              <w:r>
                <w:rPr>
                  <w:rFonts w:ascii="Times New Roman" w:hAnsi="Times New Roman"/>
                  <w:color w:val="231F20"/>
                  <w:w w:val="115"/>
                  <w:sz w:val="17"/>
                </w:rPr>
                <w:t>au</w:t>
              </w:r>
              <w:r>
                <w:rPr>
                  <w:rFonts w:ascii="Times New Roman" w:hAnsi="Times New Roman"/>
                  <w:color w:val="231F20"/>
                  <w:spacing w:val="-1"/>
                  <w:w w:val="115"/>
                  <w:sz w:val="17"/>
                </w:rPr>
                <w:t> </w:t>
              </w:r>
              <w:r>
                <w:rPr>
                  <w:rFonts w:ascii="Times New Roman" w:hAnsi="Times New Roman"/>
                  <w:color w:val="231F20"/>
                  <w:w w:val="115"/>
                  <w:sz w:val="17"/>
                </w:rPr>
                <w:t>travail?</w:t>
              </w:r>
              <w:r>
                <w:rPr>
                  <w:rFonts w:ascii="Times New Roman" w:hAnsi="Times New Roman"/>
                  <w:color w:val="231F20"/>
                  <w:spacing w:val="67"/>
                  <w:w w:val="115"/>
                  <w:sz w:val="17"/>
                </w:rPr>
                <w:t> </w:t>
              </w:r>
              <w:r>
                <w:rPr>
                  <w:rFonts w:ascii="Times New Roman" w:hAnsi="Times New Roman"/>
                  <w:color w:val="231F20"/>
                  <w:spacing w:val="-2"/>
                  <w:w w:val="115"/>
                  <w:sz w:val="17"/>
                </w:rPr>
                <w:t>.....................</w:t>
              </w:r>
            </w:hyperlink>
          </w:p>
        </w:tc>
        <w:tc>
          <w:tcPr>
            <w:tcW w:w="556" w:type="dxa"/>
          </w:tcPr>
          <w:p>
            <w:pPr>
              <w:pStyle w:val="TableParagraph"/>
              <w:spacing w:before="74"/>
              <w:ind w:right="48"/>
              <w:jc w:val="right"/>
              <w:rPr>
                <w:rFonts w:ascii="Times New Roman"/>
                <w:sz w:val="17"/>
              </w:rPr>
            </w:pPr>
            <w:hyperlink w:history="true" w:anchor="_bookmark6">
              <w:r>
                <w:rPr>
                  <w:rFonts w:ascii="Times New Roman"/>
                  <w:color w:val="231F20"/>
                  <w:spacing w:val="-5"/>
                  <w:w w:val="130"/>
                  <w:sz w:val="17"/>
                </w:rPr>
                <w:t>18</w:t>
              </w:r>
            </w:hyperlink>
          </w:p>
        </w:tc>
      </w:tr>
      <w:tr>
        <w:trPr>
          <w:trHeight w:val="310" w:hRule="atLeast"/>
        </w:trPr>
        <w:tc>
          <w:tcPr>
            <w:tcW w:w="441" w:type="dxa"/>
          </w:tcPr>
          <w:p>
            <w:pPr>
              <w:pStyle w:val="TableParagraph"/>
              <w:spacing w:before="73"/>
              <w:ind w:left="50"/>
              <w:rPr>
                <w:i/>
                <w:sz w:val="17"/>
              </w:rPr>
            </w:pPr>
            <w:hyperlink w:history="true" w:anchor="_bookmark7">
              <w:r>
                <w:rPr>
                  <w:color w:val="231F20"/>
                  <w:w w:val="80"/>
                  <w:sz w:val="17"/>
                </w:rPr>
                <w:t>1.3</w:t>
              </w:r>
              <w:r>
                <w:rPr>
                  <w:color w:val="231F20"/>
                  <w:spacing w:val="-5"/>
                  <w:w w:val="80"/>
                  <w:sz w:val="17"/>
                </w:rPr>
                <w:t> </w:t>
              </w:r>
              <w:r>
                <w:rPr>
                  <w:i/>
                  <w:color w:val="231F20"/>
                  <w:spacing w:val="-10"/>
                  <w:w w:val="95"/>
                  <w:sz w:val="17"/>
                </w:rPr>
                <w:t>/</w:t>
              </w:r>
            </w:hyperlink>
          </w:p>
        </w:tc>
        <w:tc>
          <w:tcPr>
            <w:tcW w:w="4852" w:type="dxa"/>
          </w:tcPr>
          <w:p>
            <w:pPr>
              <w:pStyle w:val="TableParagraph"/>
              <w:spacing w:before="74"/>
              <w:ind w:left="108"/>
              <w:rPr>
                <w:rFonts w:ascii="Times New Roman" w:hAnsi="Times New Roman"/>
                <w:sz w:val="17"/>
              </w:rPr>
            </w:pPr>
            <w:hyperlink w:history="true" w:anchor="_bookmark7">
              <w:r>
                <w:rPr>
                  <w:rFonts w:ascii="Times New Roman" w:hAnsi="Times New Roman"/>
                  <w:color w:val="231F20"/>
                  <w:w w:val="120"/>
                  <w:sz w:val="17"/>
                </w:rPr>
                <w:t>Qualité</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3"/>
                  <w:w w:val="120"/>
                  <w:sz w:val="17"/>
                </w:rPr>
                <w:t> </w:t>
              </w:r>
              <w:r>
                <w:rPr>
                  <w:rFonts w:ascii="Times New Roman" w:hAnsi="Times New Roman"/>
                  <w:color w:val="231F20"/>
                  <w:w w:val="120"/>
                  <w:sz w:val="17"/>
                </w:rPr>
                <w:t>vie</w:t>
              </w:r>
              <w:r>
                <w:rPr>
                  <w:rFonts w:ascii="Times New Roman" w:hAnsi="Times New Roman"/>
                  <w:color w:val="231F20"/>
                  <w:spacing w:val="-13"/>
                  <w:w w:val="120"/>
                  <w:sz w:val="17"/>
                </w:rPr>
                <w:t> </w:t>
              </w:r>
              <w:r>
                <w:rPr>
                  <w:rFonts w:ascii="Times New Roman" w:hAnsi="Times New Roman"/>
                  <w:color w:val="231F20"/>
                  <w:w w:val="120"/>
                  <w:sz w:val="17"/>
                </w:rPr>
                <w:t>et</w:t>
              </w:r>
              <w:r>
                <w:rPr>
                  <w:rFonts w:ascii="Times New Roman" w:hAnsi="Times New Roman"/>
                  <w:color w:val="231F20"/>
                  <w:spacing w:val="-12"/>
                  <w:w w:val="120"/>
                  <w:sz w:val="17"/>
                </w:rPr>
                <w:t> </w:t>
              </w:r>
              <w:r>
                <w:rPr>
                  <w:rFonts w:ascii="Times New Roman" w:hAnsi="Times New Roman"/>
                  <w:color w:val="231F20"/>
                  <w:w w:val="120"/>
                  <w:sz w:val="17"/>
                </w:rPr>
                <w:t>stress</w:t>
              </w:r>
              <w:r>
                <w:rPr>
                  <w:rFonts w:ascii="Times New Roman" w:hAnsi="Times New Roman"/>
                  <w:color w:val="231F20"/>
                  <w:spacing w:val="-13"/>
                  <w:w w:val="120"/>
                  <w:sz w:val="17"/>
                </w:rPr>
                <w:t> </w:t>
              </w:r>
              <w:r>
                <w:rPr>
                  <w:rFonts w:ascii="Times New Roman" w:hAnsi="Times New Roman"/>
                  <w:color w:val="231F20"/>
                  <w:w w:val="120"/>
                  <w:sz w:val="17"/>
                </w:rPr>
                <w:t>au</w:t>
              </w:r>
              <w:r>
                <w:rPr>
                  <w:rFonts w:ascii="Times New Roman" w:hAnsi="Times New Roman"/>
                  <w:color w:val="231F20"/>
                  <w:spacing w:val="-13"/>
                  <w:w w:val="120"/>
                  <w:sz w:val="17"/>
                </w:rPr>
                <w:t> </w:t>
              </w:r>
              <w:r>
                <w:rPr>
                  <w:rFonts w:ascii="Times New Roman" w:hAnsi="Times New Roman"/>
                  <w:color w:val="231F20"/>
                  <w:w w:val="120"/>
                  <w:sz w:val="17"/>
                </w:rPr>
                <w:t>travail</w:t>
              </w:r>
              <w:r>
                <w:rPr>
                  <w:rFonts w:ascii="Times New Roman" w:hAnsi="Times New Roman"/>
                  <w:color w:val="231F20"/>
                  <w:spacing w:val="57"/>
                  <w:w w:val="120"/>
                  <w:sz w:val="17"/>
                </w:rPr>
                <w:t> </w:t>
              </w:r>
              <w:r>
                <w:rPr>
                  <w:rFonts w:ascii="Times New Roman" w:hAnsi="Times New Roman"/>
                  <w:color w:val="231F20"/>
                  <w:spacing w:val="-2"/>
                  <w:w w:val="120"/>
                  <w:sz w:val="17"/>
                </w:rPr>
                <w:t>..................................</w:t>
              </w:r>
            </w:hyperlink>
          </w:p>
        </w:tc>
        <w:tc>
          <w:tcPr>
            <w:tcW w:w="556" w:type="dxa"/>
          </w:tcPr>
          <w:p>
            <w:pPr>
              <w:pStyle w:val="TableParagraph"/>
              <w:spacing w:before="74"/>
              <w:ind w:right="48"/>
              <w:jc w:val="right"/>
              <w:rPr>
                <w:rFonts w:ascii="Times New Roman"/>
                <w:sz w:val="17"/>
              </w:rPr>
            </w:pPr>
            <w:hyperlink w:history="true" w:anchor="_bookmark7">
              <w:r>
                <w:rPr>
                  <w:rFonts w:ascii="Times New Roman"/>
                  <w:color w:val="231F20"/>
                  <w:spacing w:val="-5"/>
                  <w:w w:val="130"/>
                  <w:sz w:val="17"/>
                </w:rPr>
                <w:t>23</w:t>
              </w:r>
            </w:hyperlink>
          </w:p>
        </w:tc>
      </w:tr>
      <w:tr>
        <w:trPr>
          <w:trHeight w:val="310" w:hRule="atLeast"/>
        </w:trPr>
        <w:tc>
          <w:tcPr>
            <w:tcW w:w="441" w:type="dxa"/>
          </w:tcPr>
          <w:p>
            <w:pPr>
              <w:pStyle w:val="TableParagraph"/>
              <w:spacing w:before="73"/>
              <w:ind w:left="50"/>
              <w:rPr>
                <w:i/>
                <w:sz w:val="17"/>
              </w:rPr>
            </w:pPr>
            <w:hyperlink w:history="true" w:anchor="_bookmark8">
              <w:r>
                <w:rPr>
                  <w:color w:val="231F20"/>
                  <w:w w:val="85"/>
                  <w:sz w:val="17"/>
                </w:rPr>
                <w:t>1.4</w:t>
              </w:r>
              <w:r>
                <w:rPr>
                  <w:color w:val="231F20"/>
                  <w:spacing w:val="-9"/>
                  <w:w w:val="85"/>
                  <w:sz w:val="17"/>
                </w:rPr>
                <w:t> </w:t>
              </w:r>
              <w:r>
                <w:rPr>
                  <w:i/>
                  <w:color w:val="231F20"/>
                  <w:spacing w:val="-10"/>
                  <w:w w:val="95"/>
                  <w:sz w:val="17"/>
                </w:rPr>
                <w:t>/</w:t>
              </w:r>
            </w:hyperlink>
          </w:p>
        </w:tc>
        <w:tc>
          <w:tcPr>
            <w:tcW w:w="4852" w:type="dxa"/>
          </w:tcPr>
          <w:p>
            <w:pPr>
              <w:pStyle w:val="TableParagraph"/>
              <w:spacing w:before="74"/>
              <w:ind w:left="108"/>
              <w:rPr>
                <w:rFonts w:ascii="Times New Roman" w:hAnsi="Times New Roman"/>
                <w:sz w:val="17"/>
              </w:rPr>
            </w:pPr>
            <w:hyperlink w:history="true" w:anchor="_bookmark8">
              <w:r>
                <w:rPr>
                  <w:rFonts w:ascii="Times New Roman" w:hAnsi="Times New Roman"/>
                  <w:color w:val="231F20"/>
                  <w:w w:val="120"/>
                  <w:sz w:val="17"/>
                </w:rPr>
                <w:t>Stress,</w:t>
              </w:r>
              <w:r>
                <w:rPr>
                  <w:rFonts w:ascii="Times New Roman" w:hAnsi="Times New Roman"/>
                  <w:color w:val="231F20"/>
                  <w:spacing w:val="-13"/>
                  <w:w w:val="120"/>
                  <w:sz w:val="17"/>
                </w:rPr>
                <w:t> </w:t>
              </w:r>
              <w:r>
                <w:rPr>
                  <w:rFonts w:ascii="Times New Roman" w:hAnsi="Times New Roman"/>
                  <w:color w:val="231F20"/>
                  <w:w w:val="120"/>
                  <w:sz w:val="17"/>
                </w:rPr>
                <w:t>santé</w:t>
              </w:r>
              <w:r>
                <w:rPr>
                  <w:rFonts w:ascii="Times New Roman" w:hAnsi="Times New Roman"/>
                  <w:color w:val="231F20"/>
                  <w:spacing w:val="-13"/>
                  <w:w w:val="120"/>
                  <w:sz w:val="17"/>
                </w:rPr>
                <w:t> </w:t>
              </w:r>
              <w:r>
                <w:rPr>
                  <w:rFonts w:ascii="Times New Roman" w:hAnsi="Times New Roman"/>
                  <w:color w:val="231F20"/>
                  <w:w w:val="120"/>
                  <w:sz w:val="17"/>
                </w:rPr>
                <w:t>psychologique</w:t>
              </w:r>
              <w:r>
                <w:rPr>
                  <w:rFonts w:ascii="Times New Roman" w:hAnsi="Times New Roman"/>
                  <w:color w:val="231F20"/>
                  <w:spacing w:val="-13"/>
                  <w:w w:val="120"/>
                  <w:sz w:val="17"/>
                </w:rPr>
                <w:t> </w:t>
              </w:r>
              <w:r>
                <w:rPr>
                  <w:rFonts w:ascii="Times New Roman" w:hAnsi="Times New Roman"/>
                  <w:color w:val="231F20"/>
                  <w:w w:val="120"/>
                  <w:sz w:val="17"/>
                </w:rPr>
                <w:t>et</w:t>
              </w:r>
              <w:r>
                <w:rPr>
                  <w:rFonts w:ascii="Times New Roman" w:hAnsi="Times New Roman"/>
                  <w:color w:val="231F20"/>
                  <w:spacing w:val="-12"/>
                  <w:w w:val="120"/>
                  <w:sz w:val="17"/>
                </w:rPr>
                <w:t> </w:t>
              </w:r>
              <w:r>
                <w:rPr>
                  <w:rFonts w:ascii="Times New Roman" w:hAnsi="Times New Roman"/>
                  <w:color w:val="231F20"/>
                  <w:w w:val="120"/>
                  <w:sz w:val="17"/>
                </w:rPr>
                <w:t>travail</w:t>
              </w:r>
              <w:r>
                <w:rPr>
                  <w:rFonts w:ascii="Times New Roman" w:hAnsi="Times New Roman"/>
                  <w:color w:val="231F20"/>
                  <w:spacing w:val="34"/>
                  <w:w w:val="120"/>
                  <w:sz w:val="17"/>
                </w:rPr>
                <w:t> </w:t>
              </w:r>
              <w:r>
                <w:rPr>
                  <w:rFonts w:ascii="Times New Roman" w:hAnsi="Times New Roman"/>
                  <w:color w:val="231F20"/>
                  <w:spacing w:val="-2"/>
                  <w:w w:val="120"/>
                  <w:sz w:val="17"/>
                </w:rPr>
                <w:t>...........................</w:t>
              </w:r>
            </w:hyperlink>
          </w:p>
        </w:tc>
        <w:tc>
          <w:tcPr>
            <w:tcW w:w="556" w:type="dxa"/>
          </w:tcPr>
          <w:p>
            <w:pPr>
              <w:pStyle w:val="TableParagraph"/>
              <w:spacing w:before="74"/>
              <w:ind w:right="48"/>
              <w:jc w:val="right"/>
              <w:rPr>
                <w:rFonts w:ascii="Times New Roman"/>
                <w:sz w:val="17"/>
              </w:rPr>
            </w:pPr>
            <w:hyperlink w:history="true" w:anchor="_bookmark8">
              <w:r>
                <w:rPr>
                  <w:rFonts w:ascii="Times New Roman"/>
                  <w:color w:val="231F20"/>
                  <w:spacing w:val="-5"/>
                  <w:w w:val="130"/>
                  <w:sz w:val="17"/>
                </w:rPr>
                <w:t>27</w:t>
              </w:r>
            </w:hyperlink>
          </w:p>
        </w:tc>
      </w:tr>
      <w:tr>
        <w:trPr>
          <w:trHeight w:val="310" w:hRule="atLeast"/>
        </w:trPr>
        <w:tc>
          <w:tcPr>
            <w:tcW w:w="441" w:type="dxa"/>
          </w:tcPr>
          <w:p>
            <w:pPr>
              <w:pStyle w:val="TableParagraph"/>
              <w:spacing w:before="73"/>
              <w:ind w:left="50"/>
              <w:rPr>
                <w:i/>
                <w:sz w:val="17"/>
              </w:rPr>
            </w:pPr>
            <w:hyperlink w:history="true" w:anchor="_bookmark9">
              <w:r>
                <w:rPr>
                  <w:color w:val="231F20"/>
                  <w:w w:val="80"/>
                  <w:sz w:val="17"/>
                </w:rPr>
                <w:t>1.5</w:t>
              </w:r>
              <w:r>
                <w:rPr>
                  <w:color w:val="231F20"/>
                  <w:spacing w:val="-5"/>
                  <w:w w:val="80"/>
                  <w:sz w:val="17"/>
                </w:rPr>
                <w:t> </w:t>
              </w:r>
              <w:r>
                <w:rPr>
                  <w:i/>
                  <w:color w:val="231F20"/>
                  <w:spacing w:val="-10"/>
                  <w:w w:val="95"/>
                  <w:sz w:val="17"/>
                </w:rPr>
                <w:t>/</w:t>
              </w:r>
            </w:hyperlink>
          </w:p>
        </w:tc>
        <w:tc>
          <w:tcPr>
            <w:tcW w:w="4852" w:type="dxa"/>
          </w:tcPr>
          <w:p>
            <w:pPr>
              <w:pStyle w:val="TableParagraph"/>
              <w:spacing w:before="74"/>
              <w:ind w:left="108"/>
              <w:rPr>
                <w:rFonts w:ascii="Times New Roman"/>
                <w:sz w:val="17"/>
              </w:rPr>
            </w:pPr>
            <w:hyperlink w:history="true" w:anchor="_bookmark9">
              <w:r>
                <w:rPr>
                  <w:rFonts w:ascii="Times New Roman"/>
                  <w:color w:val="231F20"/>
                  <w:w w:val="120"/>
                  <w:sz w:val="17"/>
                </w:rPr>
                <w:t>Grands</w:t>
              </w:r>
              <w:r>
                <w:rPr>
                  <w:rFonts w:ascii="Times New Roman"/>
                  <w:color w:val="231F20"/>
                  <w:spacing w:val="-13"/>
                  <w:w w:val="120"/>
                  <w:sz w:val="17"/>
                </w:rPr>
                <w:t> </w:t>
              </w:r>
              <w:r>
                <w:rPr>
                  <w:rFonts w:ascii="Times New Roman"/>
                  <w:color w:val="231F20"/>
                  <w:w w:val="120"/>
                  <w:sz w:val="17"/>
                </w:rPr>
                <w:t>paradoxes</w:t>
              </w:r>
              <w:r>
                <w:rPr>
                  <w:rFonts w:ascii="Times New Roman"/>
                  <w:color w:val="231F20"/>
                  <w:spacing w:val="-13"/>
                  <w:w w:val="120"/>
                  <w:sz w:val="17"/>
                </w:rPr>
                <w:t> </w:t>
              </w:r>
              <w:r>
                <w:rPr>
                  <w:rFonts w:ascii="Times New Roman"/>
                  <w:color w:val="231F20"/>
                  <w:w w:val="120"/>
                  <w:sz w:val="17"/>
                </w:rPr>
                <w:t>du</w:t>
              </w:r>
              <w:r>
                <w:rPr>
                  <w:rFonts w:ascii="Times New Roman"/>
                  <w:color w:val="231F20"/>
                  <w:spacing w:val="-13"/>
                  <w:w w:val="120"/>
                  <w:sz w:val="17"/>
                </w:rPr>
                <w:t> </w:t>
              </w:r>
              <w:r>
                <w:rPr>
                  <w:rFonts w:ascii="Times New Roman"/>
                  <w:color w:val="231F20"/>
                  <w:w w:val="120"/>
                  <w:sz w:val="17"/>
                </w:rPr>
                <w:t>stress</w:t>
              </w:r>
              <w:r>
                <w:rPr>
                  <w:rFonts w:ascii="Times New Roman"/>
                  <w:color w:val="231F20"/>
                  <w:spacing w:val="50"/>
                  <w:w w:val="120"/>
                  <w:sz w:val="17"/>
                </w:rPr>
                <w:t> </w:t>
              </w:r>
              <w:r>
                <w:rPr>
                  <w:rFonts w:ascii="Times New Roman"/>
                  <w:color w:val="231F20"/>
                  <w:spacing w:val="-2"/>
                  <w:w w:val="120"/>
                  <w:sz w:val="17"/>
                </w:rPr>
                <w:t>..........................................</w:t>
              </w:r>
            </w:hyperlink>
          </w:p>
        </w:tc>
        <w:tc>
          <w:tcPr>
            <w:tcW w:w="556" w:type="dxa"/>
          </w:tcPr>
          <w:p>
            <w:pPr>
              <w:pStyle w:val="TableParagraph"/>
              <w:spacing w:before="74"/>
              <w:ind w:right="48"/>
              <w:jc w:val="right"/>
              <w:rPr>
                <w:rFonts w:ascii="Times New Roman"/>
                <w:sz w:val="17"/>
              </w:rPr>
            </w:pPr>
            <w:hyperlink w:history="true" w:anchor="_bookmark9">
              <w:r>
                <w:rPr>
                  <w:rFonts w:ascii="Times New Roman"/>
                  <w:color w:val="231F20"/>
                  <w:spacing w:val="-5"/>
                  <w:w w:val="130"/>
                  <w:sz w:val="17"/>
                </w:rPr>
                <w:t>30</w:t>
              </w:r>
            </w:hyperlink>
          </w:p>
        </w:tc>
      </w:tr>
      <w:tr>
        <w:trPr>
          <w:trHeight w:val="530" w:hRule="atLeast"/>
        </w:trPr>
        <w:tc>
          <w:tcPr>
            <w:tcW w:w="441" w:type="dxa"/>
          </w:tcPr>
          <w:p>
            <w:pPr>
              <w:pStyle w:val="TableParagraph"/>
              <w:rPr>
                <w:rFonts w:ascii="Times New Roman"/>
                <w:sz w:val="16"/>
              </w:rPr>
            </w:pPr>
          </w:p>
        </w:tc>
        <w:tc>
          <w:tcPr>
            <w:tcW w:w="4852" w:type="dxa"/>
          </w:tcPr>
          <w:p>
            <w:pPr>
              <w:pStyle w:val="TableParagraph"/>
              <w:spacing w:before="73"/>
              <w:ind w:left="108"/>
              <w:rPr>
                <w:rFonts w:ascii="Times New Roman" w:hAnsi="Times New Roman"/>
                <w:sz w:val="17"/>
              </w:rPr>
            </w:pPr>
            <w:hyperlink w:history="true" w:anchor="_bookmark9">
              <w:r>
                <w:rPr>
                  <w:color w:val="231F20"/>
                  <w:w w:val="110"/>
                  <w:sz w:val="17"/>
                </w:rPr>
                <w:t>1.5.1</w:t>
              </w:r>
              <w:r>
                <w:rPr>
                  <w:color w:val="231F20"/>
                  <w:spacing w:val="-21"/>
                  <w:w w:val="110"/>
                  <w:sz w:val="17"/>
                </w:rPr>
                <w:t> </w:t>
              </w:r>
              <w:r>
                <w:rPr>
                  <w:i/>
                  <w:color w:val="231F20"/>
                  <w:w w:val="115"/>
                  <w:sz w:val="17"/>
                </w:rPr>
                <w:t>/</w:t>
              </w:r>
              <w:r>
                <w:rPr>
                  <w:i/>
                  <w:color w:val="231F20"/>
                  <w:spacing w:val="57"/>
                  <w:w w:val="115"/>
                  <w:sz w:val="17"/>
                </w:rPr>
                <w:t> </w:t>
              </w:r>
              <w:r>
                <w:rPr>
                  <w:rFonts w:ascii="Times New Roman" w:hAnsi="Times New Roman"/>
                  <w:color w:val="231F20"/>
                  <w:w w:val="115"/>
                  <w:sz w:val="17"/>
                </w:rPr>
                <w:t>Premier</w:t>
              </w:r>
              <w:r>
                <w:rPr>
                  <w:rFonts w:ascii="Times New Roman" w:hAnsi="Times New Roman"/>
                  <w:color w:val="231F20"/>
                  <w:spacing w:val="-12"/>
                  <w:w w:val="115"/>
                  <w:sz w:val="17"/>
                </w:rPr>
                <w:t> </w:t>
              </w:r>
              <w:r>
                <w:rPr>
                  <w:rFonts w:ascii="Times New Roman" w:hAnsi="Times New Roman"/>
                  <w:color w:val="231F20"/>
                  <w:w w:val="115"/>
                  <w:sz w:val="17"/>
                </w:rPr>
                <w:t>paradoxe</w:t>
              </w:r>
              <w:r>
                <w:rPr>
                  <w:rFonts w:ascii="Times New Roman" w:hAnsi="Times New Roman"/>
                  <w:color w:val="231F20"/>
                  <w:spacing w:val="-13"/>
                  <w:w w:val="115"/>
                  <w:sz w:val="17"/>
                </w:rPr>
                <w:t> </w:t>
              </w:r>
              <w:r>
                <w:rPr>
                  <w:rFonts w:ascii="Times New Roman" w:hAnsi="Times New Roman"/>
                  <w:color w:val="231F20"/>
                  <w:w w:val="115"/>
                  <w:sz w:val="17"/>
                </w:rPr>
                <w:t>–</w:t>
              </w:r>
              <w:r>
                <w:rPr>
                  <w:rFonts w:ascii="Times New Roman" w:hAnsi="Times New Roman"/>
                  <w:color w:val="231F20"/>
                  <w:spacing w:val="-12"/>
                  <w:w w:val="115"/>
                  <w:sz w:val="17"/>
                </w:rPr>
                <w:t> </w:t>
              </w:r>
              <w:r>
                <w:rPr>
                  <w:rFonts w:ascii="Times New Roman" w:hAnsi="Times New Roman"/>
                  <w:color w:val="231F20"/>
                  <w:w w:val="115"/>
                  <w:sz w:val="17"/>
                </w:rPr>
                <w:t>la</w:t>
              </w:r>
              <w:r>
                <w:rPr>
                  <w:rFonts w:ascii="Times New Roman" w:hAnsi="Times New Roman"/>
                  <w:color w:val="231F20"/>
                  <w:spacing w:val="-12"/>
                  <w:w w:val="115"/>
                  <w:sz w:val="17"/>
                </w:rPr>
                <w:t> </w:t>
              </w:r>
              <w:r>
                <w:rPr>
                  <w:rFonts w:ascii="Times New Roman" w:hAnsi="Times New Roman"/>
                  <w:color w:val="231F20"/>
                  <w:w w:val="115"/>
                  <w:sz w:val="17"/>
                </w:rPr>
                <w:t>banalisation</w:t>
              </w:r>
              <w:r>
                <w:rPr>
                  <w:rFonts w:ascii="Times New Roman" w:hAnsi="Times New Roman"/>
                  <w:color w:val="231F20"/>
                  <w:spacing w:val="-12"/>
                  <w:w w:val="115"/>
                  <w:sz w:val="17"/>
                </w:rPr>
                <w:t> </w:t>
              </w:r>
              <w:r>
                <w:rPr>
                  <w:rFonts w:ascii="Times New Roman" w:hAnsi="Times New Roman"/>
                  <w:color w:val="231F20"/>
                  <w:spacing w:val="-2"/>
                  <w:w w:val="115"/>
                  <w:sz w:val="17"/>
                </w:rPr>
                <w:t>sociale</w:t>
              </w:r>
            </w:hyperlink>
          </w:p>
          <w:p>
            <w:pPr>
              <w:pStyle w:val="TableParagraph"/>
              <w:spacing w:line="186" w:lineRule="exact" w:before="55"/>
              <w:ind w:left="648"/>
              <w:rPr>
                <w:rFonts w:ascii="Times New Roman" w:hAnsi="Times New Roman"/>
                <w:sz w:val="17"/>
              </w:rPr>
            </w:pPr>
            <w:hyperlink w:history="true" w:anchor="_bookmark9">
              <w:r>
                <w:rPr>
                  <w:rFonts w:ascii="Times New Roman" w:hAnsi="Times New Roman"/>
                  <w:color w:val="231F20"/>
                  <w:w w:val="125"/>
                  <w:sz w:val="17"/>
                </w:rPr>
                <w:t>du</w:t>
              </w:r>
              <w:r>
                <w:rPr>
                  <w:rFonts w:ascii="Times New Roman" w:hAnsi="Times New Roman"/>
                  <w:color w:val="231F20"/>
                  <w:spacing w:val="-15"/>
                  <w:w w:val="125"/>
                  <w:sz w:val="17"/>
                </w:rPr>
                <w:t> </w:t>
              </w:r>
              <w:r>
                <w:rPr>
                  <w:rFonts w:ascii="Times New Roman" w:hAnsi="Times New Roman"/>
                  <w:color w:val="231F20"/>
                  <w:w w:val="125"/>
                  <w:sz w:val="17"/>
                </w:rPr>
                <w:t>phénomène</w:t>
              </w:r>
              <w:r>
                <w:rPr>
                  <w:rFonts w:ascii="Times New Roman" w:hAnsi="Times New Roman"/>
                  <w:color w:val="231F20"/>
                  <w:spacing w:val="59"/>
                  <w:w w:val="125"/>
                  <w:sz w:val="17"/>
                </w:rPr>
                <w:t> </w:t>
              </w:r>
              <w:r>
                <w:rPr>
                  <w:rFonts w:ascii="Times New Roman" w:hAnsi="Times New Roman"/>
                  <w:color w:val="231F20"/>
                  <w:spacing w:val="-2"/>
                  <w:w w:val="125"/>
                  <w:sz w:val="17"/>
                </w:rPr>
                <w:t>..................................................</w:t>
              </w:r>
            </w:hyperlink>
          </w:p>
        </w:tc>
        <w:tc>
          <w:tcPr>
            <w:tcW w:w="556" w:type="dxa"/>
          </w:tcPr>
          <w:p>
            <w:pPr>
              <w:pStyle w:val="TableParagraph"/>
              <w:spacing w:before="2"/>
              <w:rPr>
                <w:rFonts w:ascii="Times New Roman"/>
                <w:sz w:val="28"/>
              </w:rPr>
            </w:pPr>
          </w:p>
          <w:p>
            <w:pPr>
              <w:pStyle w:val="TableParagraph"/>
              <w:spacing w:line="186" w:lineRule="exact"/>
              <w:ind w:right="48"/>
              <w:jc w:val="right"/>
              <w:rPr>
                <w:rFonts w:ascii="Times New Roman"/>
                <w:sz w:val="17"/>
              </w:rPr>
            </w:pPr>
            <w:hyperlink w:history="true" w:anchor="_bookmark9">
              <w:r>
                <w:rPr>
                  <w:rFonts w:ascii="Times New Roman"/>
                  <w:color w:val="231F20"/>
                  <w:spacing w:val="-5"/>
                  <w:w w:val="130"/>
                  <w:sz w:val="17"/>
                </w:rPr>
                <w:t>30</w:t>
              </w:r>
            </w:hyperlink>
          </w:p>
        </w:tc>
      </w:tr>
    </w:tbl>
    <w:p>
      <w:pPr>
        <w:pStyle w:val="ListParagraph"/>
        <w:numPr>
          <w:ilvl w:val="2"/>
          <w:numId w:val="1"/>
        </w:numPr>
        <w:tabs>
          <w:tab w:pos="2035" w:val="left" w:leader="none"/>
        </w:tabs>
        <w:spacing w:line="240" w:lineRule="auto" w:before="104" w:after="0"/>
        <w:ind w:left="2034" w:right="0" w:hanging="356"/>
        <w:jc w:val="left"/>
        <w:rPr>
          <w:sz w:val="17"/>
        </w:rPr>
      </w:pPr>
      <w:hyperlink w:history="true" w:anchor="_bookmark10">
        <w:r>
          <w:rPr>
            <w:rFonts w:ascii="Arial" w:hAnsi="Arial"/>
            <w:i/>
            <w:color w:val="231F20"/>
            <w:w w:val="115"/>
            <w:sz w:val="17"/>
          </w:rPr>
          <w:t>/</w:t>
        </w:r>
        <w:r>
          <w:rPr>
            <w:rFonts w:ascii="Arial" w:hAnsi="Arial"/>
            <w:i/>
            <w:color w:val="231F20"/>
            <w:spacing w:val="21"/>
            <w:w w:val="115"/>
            <w:sz w:val="17"/>
          </w:rPr>
          <w:t>  </w:t>
        </w:r>
        <w:r>
          <w:rPr>
            <w:color w:val="231F20"/>
            <w:w w:val="115"/>
            <w:sz w:val="17"/>
          </w:rPr>
          <w:t>Deuxième</w:t>
        </w:r>
        <w:r>
          <w:rPr>
            <w:color w:val="231F20"/>
            <w:spacing w:val="-5"/>
            <w:w w:val="115"/>
            <w:sz w:val="17"/>
          </w:rPr>
          <w:t> </w:t>
        </w:r>
        <w:r>
          <w:rPr>
            <w:color w:val="231F20"/>
            <w:w w:val="115"/>
            <w:sz w:val="17"/>
          </w:rPr>
          <w:t>paradoxe</w:t>
        </w:r>
        <w:r>
          <w:rPr>
            <w:color w:val="231F20"/>
            <w:spacing w:val="-6"/>
            <w:w w:val="115"/>
            <w:sz w:val="17"/>
          </w:rPr>
          <w:t> </w:t>
        </w:r>
        <w:r>
          <w:rPr>
            <w:color w:val="231F20"/>
            <w:w w:val="115"/>
            <w:sz w:val="17"/>
          </w:rPr>
          <w:t>–</w:t>
        </w:r>
        <w:r>
          <w:rPr>
            <w:color w:val="231F20"/>
            <w:spacing w:val="-6"/>
            <w:w w:val="115"/>
            <w:sz w:val="17"/>
          </w:rPr>
          <w:t> </w:t>
        </w:r>
        <w:r>
          <w:rPr>
            <w:color w:val="231F20"/>
            <w:w w:val="115"/>
            <w:sz w:val="17"/>
          </w:rPr>
          <w:t>l’absence</w:t>
        </w:r>
        <w:r>
          <w:rPr>
            <w:color w:val="231F20"/>
            <w:spacing w:val="-5"/>
            <w:w w:val="115"/>
            <w:sz w:val="17"/>
          </w:rPr>
          <w:t> </w:t>
        </w:r>
        <w:r>
          <w:rPr>
            <w:color w:val="231F20"/>
            <w:w w:val="115"/>
            <w:sz w:val="17"/>
          </w:rPr>
          <w:t>d’une</w:t>
        </w:r>
        <w:r>
          <w:rPr>
            <w:color w:val="231F20"/>
            <w:spacing w:val="-6"/>
            <w:w w:val="115"/>
            <w:sz w:val="17"/>
          </w:rPr>
          <w:t> </w:t>
        </w:r>
        <w:r>
          <w:rPr>
            <w:color w:val="231F20"/>
            <w:spacing w:val="-2"/>
            <w:w w:val="115"/>
            <w:sz w:val="17"/>
          </w:rPr>
          <w:t>réelle</w:t>
        </w:r>
      </w:hyperlink>
    </w:p>
    <w:p>
      <w:pPr>
        <w:pStyle w:val="BodyText"/>
        <w:tabs>
          <w:tab w:pos="6927" w:val="right" w:leader="none"/>
        </w:tabs>
        <w:spacing w:before="55"/>
        <w:ind w:left="2219"/>
      </w:pPr>
      <w:hyperlink w:history="true" w:anchor="_bookmark10">
        <w:r>
          <w:rPr>
            <w:color w:val="231F20"/>
            <w:w w:val="120"/>
          </w:rPr>
          <w:t>volonté</w:t>
        </w:r>
        <w:r>
          <w:rPr>
            <w:color w:val="231F20"/>
            <w:spacing w:val="-13"/>
            <w:w w:val="120"/>
          </w:rPr>
          <w:t> </w:t>
        </w:r>
        <w:r>
          <w:rPr>
            <w:color w:val="231F20"/>
            <w:w w:val="120"/>
          </w:rPr>
          <w:t>d’intervention</w:t>
        </w:r>
        <w:r>
          <w:rPr>
            <w:color w:val="231F20"/>
            <w:spacing w:val="44"/>
            <w:w w:val="120"/>
          </w:rPr>
          <w:t> </w:t>
        </w:r>
        <w:r>
          <w:rPr>
            <w:color w:val="231F20"/>
            <w:spacing w:val="-2"/>
            <w:w w:val="120"/>
          </w:rPr>
          <w:t>.......................................</w:t>
        </w:r>
        <w:r>
          <w:rPr>
            <w:color w:val="231F20"/>
          </w:rPr>
          <w:tab/>
        </w:r>
        <w:r>
          <w:rPr>
            <w:color w:val="231F20"/>
            <w:spacing w:val="-5"/>
            <w:w w:val="125"/>
          </w:rPr>
          <w:t>31</w:t>
        </w:r>
      </w:hyperlink>
    </w:p>
    <w:p>
      <w:pPr>
        <w:pStyle w:val="ListParagraph"/>
        <w:numPr>
          <w:ilvl w:val="2"/>
          <w:numId w:val="1"/>
        </w:numPr>
        <w:tabs>
          <w:tab w:pos="2034" w:val="left" w:leader="none"/>
        </w:tabs>
        <w:spacing w:line="240" w:lineRule="auto" w:before="113" w:after="0"/>
        <w:ind w:left="2033" w:right="0" w:hanging="355"/>
        <w:jc w:val="left"/>
        <w:rPr>
          <w:sz w:val="17"/>
        </w:rPr>
      </w:pPr>
      <w:hyperlink w:history="true" w:anchor="_bookmark11">
        <w:r>
          <w:rPr>
            <w:rFonts w:ascii="Arial" w:hAnsi="Arial"/>
            <w:i/>
            <w:color w:val="231F20"/>
            <w:w w:val="115"/>
            <w:sz w:val="17"/>
          </w:rPr>
          <w:t>/</w:t>
        </w:r>
        <w:r>
          <w:rPr>
            <w:rFonts w:ascii="Arial" w:hAnsi="Arial"/>
            <w:i/>
            <w:color w:val="231F20"/>
            <w:spacing w:val="70"/>
            <w:w w:val="150"/>
            <w:sz w:val="17"/>
          </w:rPr>
          <w:t> </w:t>
        </w:r>
        <w:r>
          <w:rPr>
            <w:color w:val="231F20"/>
            <w:w w:val="115"/>
            <w:sz w:val="17"/>
          </w:rPr>
          <w:t>Troisième</w:t>
        </w:r>
        <w:r>
          <w:rPr>
            <w:color w:val="231F20"/>
            <w:spacing w:val="-10"/>
            <w:w w:val="115"/>
            <w:sz w:val="17"/>
          </w:rPr>
          <w:t> </w:t>
        </w:r>
        <w:r>
          <w:rPr>
            <w:color w:val="231F20"/>
            <w:w w:val="115"/>
            <w:sz w:val="17"/>
          </w:rPr>
          <w:t>paradoxe</w:t>
        </w:r>
        <w:r>
          <w:rPr>
            <w:color w:val="231F20"/>
            <w:spacing w:val="-9"/>
            <w:w w:val="115"/>
            <w:sz w:val="17"/>
          </w:rPr>
          <w:t> </w:t>
        </w:r>
        <w:r>
          <w:rPr>
            <w:color w:val="231F20"/>
            <w:w w:val="115"/>
            <w:sz w:val="17"/>
          </w:rPr>
          <w:t>–</w:t>
        </w:r>
        <w:r>
          <w:rPr>
            <w:color w:val="231F20"/>
            <w:spacing w:val="-9"/>
            <w:w w:val="115"/>
            <w:sz w:val="17"/>
          </w:rPr>
          <w:t> </w:t>
        </w:r>
        <w:r>
          <w:rPr>
            <w:color w:val="231F20"/>
            <w:w w:val="115"/>
            <w:sz w:val="17"/>
          </w:rPr>
          <w:t>l’écart</w:t>
        </w:r>
        <w:r>
          <w:rPr>
            <w:color w:val="231F20"/>
            <w:spacing w:val="-10"/>
            <w:w w:val="115"/>
            <w:sz w:val="17"/>
          </w:rPr>
          <w:t> </w:t>
        </w:r>
        <w:r>
          <w:rPr>
            <w:color w:val="231F20"/>
            <w:spacing w:val="-2"/>
            <w:w w:val="115"/>
            <w:sz w:val="17"/>
          </w:rPr>
          <w:t>entre</w:t>
        </w:r>
      </w:hyperlink>
    </w:p>
    <w:p>
      <w:pPr>
        <w:pStyle w:val="BodyText"/>
        <w:tabs>
          <w:tab w:pos="6927" w:val="right" w:leader="none"/>
        </w:tabs>
        <w:spacing w:before="55"/>
        <w:ind w:left="2219"/>
      </w:pPr>
      <w:hyperlink w:history="true" w:anchor="_bookmark11">
        <w:r>
          <w:rPr>
            <w:color w:val="231F20"/>
            <w:w w:val="120"/>
          </w:rPr>
          <w:t>la</w:t>
        </w:r>
        <w:r>
          <w:rPr>
            <w:color w:val="231F20"/>
            <w:spacing w:val="-13"/>
            <w:w w:val="120"/>
          </w:rPr>
          <w:t> </w:t>
        </w:r>
        <w:r>
          <w:rPr>
            <w:color w:val="231F20"/>
            <w:w w:val="120"/>
          </w:rPr>
          <w:t>connaissance</w:t>
        </w:r>
        <w:r>
          <w:rPr>
            <w:color w:val="231F20"/>
            <w:spacing w:val="-13"/>
            <w:w w:val="120"/>
          </w:rPr>
          <w:t> </w:t>
        </w:r>
        <w:r>
          <w:rPr>
            <w:color w:val="231F20"/>
            <w:w w:val="120"/>
          </w:rPr>
          <w:t>et</w:t>
        </w:r>
        <w:r>
          <w:rPr>
            <w:color w:val="231F20"/>
            <w:spacing w:val="-13"/>
            <w:w w:val="120"/>
          </w:rPr>
          <w:t> </w:t>
        </w:r>
        <w:r>
          <w:rPr>
            <w:color w:val="231F20"/>
            <w:w w:val="120"/>
          </w:rPr>
          <w:t>l’action</w:t>
        </w:r>
        <w:r>
          <w:rPr>
            <w:color w:val="231F20"/>
            <w:spacing w:val="54"/>
            <w:w w:val="120"/>
          </w:rPr>
          <w:t> </w:t>
        </w:r>
        <w:r>
          <w:rPr>
            <w:color w:val="231F20"/>
            <w:spacing w:val="-2"/>
            <w:w w:val="120"/>
          </w:rPr>
          <w:t>.................................</w:t>
        </w:r>
        <w:r>
          <w:rPr>
            <w:color w:val="231F20"/>
          </w:rPr>
          <w:tab/>
        </w:r>
        <w:r>
          <w:rPr>
            <w:color w:val="231F20"/>
            <w:spacing w:val="-5"/>
            <w:w w:val="125"/>
          </w:rPr>
          <w:t>33</w:t>
        </w:r>
      </w:hyperlink>
    </w:p>
    <w:p>
      <w:pPr>
        <w:pStyle w:val="BodyText"/>
        <w:tabs>
          <w:tab w:pos="1679" w:val="left" w:leader="none"/>
          <w:tab w:pos="6927" w:val="right" w:leader="none"/>
        </w:tabs>
        <w:spacing w:before="114"/>
        <w:ind w:left="1179"/>
      </w:pPr>
      <w:hyperlink w:history="true" w:anchor="_bookmark12">
        <w:r>
          <w:rPr>
            <w:rFonts w:ascii="Arial"/>
            <w:color w:val="231F20"/>
            <w:w w:val="85"/>
          </w:rPr>
          <w:t>1.6</w:t>
        </w:r>
        <w:r>
          <w:rPr>
            <w:rFonts w:ascii="Arial"/>
            <w:color w:val="231F20"/>
            <w:spacing w:val="-7"/>
            <w:w w:val="85"/>
          </w:rPr>
          <w:t> </w:t>
        </w:r>
        <w:r>
          <w:rPr>
            <w:rFonts w:ascii="Arial"/>
            <w:i/>
            <w:color w:val="231F20"/>
            <w:spacing w:val="-10"/>
            <w:w w:val="115"/>
          </w:rPr>
          <w:t>/</w:t>
        </w:r>
        <w:r>
          <w:rPr>
            <w:rFonts w:ascii="Arial"/>
            <w:i/>
            <w:color w:val="231F20"/>
          </w:rPr>
          <w:tab/>
        </w:r>
        <w:r>
          <w:rPr>
            <w:color w:val="231F20"/>
            <w:w w:val="115"/>
          </w:rPr>
          <w:t>Post-scriptum</w:t>
        </w:r>
        <w:r>
          <w:rPr>
            <w:color w:val="231F20"/>
            <w:spacing w:val="65"/>
            <w:w w:val="150"/>
          </w:rPr>
          <w:t> </w:t>
        </w:r>
        <w:r>
          <w:rPr>
            <w:color w:val="231F20"/>
            <w:spacing w:val="-2"/>
            <w:w w:val="115"/>
          </w:rPr>
          <w:t>...............................................................</w:t>
        </w:r>
        <w:r>
          <w:rPr>
            <w:color w:val="231F20"/>
          </w:rPr>
          <w:tab/>
        </w:r>
        <w:r>
          <w:rPr>
            <w:color w:val="231F20"/>
            <w:spacing w:val="-5"/>
            <w:w w:val="115"/>
          </w:rPr>
          <w:t>35</w:t>
        </w:r>
      </w:hyperlink>
    </w:p>
    <w:p>
      <w:pPr>
        <w:spacing w:after="0"/>
        <w:sectPr>
          <w:pgSz w:w="8640" w:h="12960"/>
          <w:pgMar w:top="1220" w:bottom="28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spacing w:before="806"/>
        <w:ind w:left="790"/>
        <w:rPr>
          <w:rFonts w:ascii="Arial"/>
          <w:i/>
        </w:rPr>
      </w:pPr>
      <w:hyperlink w:history="true" w:anchor="_bookmark14">
        <w:r>
          <w:rPr>
            <w:rFonts w:ascii="Arial"/>
            <w:color w:val="231F20"/>
            <w:w w:val="95"/>
          </w:rPr>
          <w:t>Chapitre</w:t>
        </w:r>
        <w:r>
          <w:rPr>
            <w:rFonts w:ascii="Arial"/>
            <w:color w:val="231F20"/>
            <w:spacing w:val="11"/>
          </w:rPr>
          <w:t> </w:t>
        </w:r>
        <w:r>
          <w:rPr>
            <w:rFonts w:ascii="Arial"/>
            <w:color w:val="231F20"/>
            <w:w w:val="95"/>
          </w:rPr>
          <w:t>2</w:t>
        </w:r>
        <w:r>
          <w:rPr>
            <w:rFonts w:ascii="Arial"/>
            <w:color w:val="231F20"/>
            <w:spacing w:val="-2"/>
            <w:w w:val="95"/>
          </w:rPr>
          <w:t> </w:t>
        </w:r>
        <w:r>
          <w:rPr>
            <w:rFonts w:ascii="Arial"/>
            <w:i/>
            <w:color w:val="231F20"/>
            <w:spacing w:val="-10"/>
            <w:w w:val="95"/>
          </w:rPr>
          <w:t>/</w:t>
        </w:r>
      </w:hyperlink>
    </w:p>
    <w:p>
      <w:pPr>
        <w:tabs>
          <w:tab w:pos="6320" w:val="left" w:leader="none"/>
        </w:tabs>
        <w:spacing w:before="45"/>
        <w:ind w:left="789" w:right="0" w:firstLine="0"/>
        <w:jc w:val="left"/>
        <w:rPr>
          <w:sz w:val="17"/>
        </w:rPr>
      </w:pPr>
      <w:hyperlink w:history="true" w:anchor="_bookmark14">
        <w:r>
          <w:rPr>
            <w:rFonts w:ascii="Arial" w:hAnsi="Arial"/>
            <w:b/>
            <w:color w:val="231F20"/>
            <w:w w:val="95"/>
            <w:sz w:val="18"/>
          </w:rPr>
          <w:t>Stress</w:t>
        </w:r>
        <w:r>
          <w:rPr>
            <w:rFonts w:ascii="Arial" w:hAnsi="Arial"/>
            <w:b/>
            <w:color w:val="231F20"/>
            <w:spacing w:val="-10"/>
            <w:w w:val="95"/>
            <w:sz w:val="18"/>
          </w:rPr>
          <w:t> </w:t>
        </w:r>
        <w:r>
          <w:rPr>
            <w:rFonts w:ascii="Arial" w:hAnsi="Arial"/>
            <w:b/>
            <w:color w:val="231F20"/>
            <w:w w:val="95"/>
            <w:sz w:val="18"/>
          </w:rPr>
          <w:t>professionnel</w:t>
        </w:r>
        <w:r>
          <w:rPr>
            <w:rFonts w:ascii="Arial" w:hAnsi="Arial"/>
            <w:b/>
            <w:color w:val="231F20"/>
            <w:spacing w:val="-32"/>
            <w:w w:val="95"/>
            <w:sz w:val="18"/>
          </w:rPr>
          <w:t> </w:t>
        </w:r>
        <w:r>
          <w:rPr>
            <w:rFonts w:ascii="Arial" w:hAnsi="Arial"/>
            <w:b/>
            <w:color w:val="231F20"/>
            <w:w w:val="95"/>
            <w:sz w:val="18"/>
          </w:rPr>
          <w:t>:</w:t>
        </w:r>
        <w:r>
          <w:rPr>
            <w:rFonts w:ascii="Arial" w:hAnsi="Arial"/>
            <w:b/>
            <w:color w:val="231F20"/>
            <w:spacing w:val="-10"/>
            <w:w w:val="95"/>
            <w:sz w:val="18"/>
          </w:rPr>
          <w:t> </w:t>
        </w:r>
        <w:r>
          <w:rPr>
            <w:rFonts w:ascii="Arial" w:hAnsi="Arial"/>
            <w:b/>
            <w:color w:val="231F20"/>
            <w:w w:val="95"/>
            <w:sz w:val="18"/>
          </w:rPr>
          <w:t>modèles</w:t>
        </w:r>
        <w:r>
          <w:rPr>
            <w:rFonts w:ascii="Arial" w:hAnsi="Arial"/>
            <w:b/>
            <w:color w:val="231F20"/>
            <w:spacing w:val="-10"/>
            <w:w w:val="95"/>
            <w:sz w:val="18"/>
          </w:rPr>
          <w:t> </w:t>
        </w:r>
        <w:r>
          <w:rPr>
            <w:rFonts w:ascii="Arial" w:hAnsi="Arial"/>
            <w:b/>
            <w:color w:val="231F20"/>
            <w:w w:val="95"/>
            <w:sz w:val="18"/>
          </w:rPr>
          <w:t>et</w:t>
        </w:r>
        <w:r>
          <w:rPr>
            <w:rFonts w:ascii="Arial" w:hAnsi="Arial"/>
            <w:b/>
            <w:color w:val="231F20"/>
            <w:spacing w:val="-10"/>
            <w:w w:val="95"/>
            <w:sz w:val="18"/>
          </w:rPr>
          <w:t> </w:t>
        </w:r>
        <w:r>
          <w:rPr>
            <w:rFonts w:ascii="Arial" w:hAnsi="Arial"/>
            <w:b/>
            <w:color w:val="231F20"/>
            <w:w w:val="95"/>
            <w:sz w:val="18"/>
          </w:rPr>
          <w:t>concepts</w:t>
        </w:r>
        <w:r>
          <w:rPr>
            <w:rFonts w:ascii="Arial" w:hAnsi="Arial"/>
            <w:b/>
            <w:color w:val="231F20"/>
            <w:spacing w:val="34"/>
            <w:sz w:val="18"/>
          </w:rPr>
          <w:t> </w:t>
        </w:r>
        <w:r>
          <w:rPr>
            <w:color w:val="231F20"/>
            <w:spacing w:val="-2"/>
            <w:w w:val="95"/>
            <w:sz w:val="17"/>
          </w:rPr>
          <w:t>...........................</w:t>
        </w:r>
        <w:r>
          <w:rPr>
            <w:color w:val="231F20"/>
            <w:sz w:val="17"/>
          </w:rPr>
          <w:tab/>
        </w:r>
        <w:r>
          <w:rPr>
            <w:color w:val="231F20"/>
            <w:spacing w:val="-5"/>
            <w:sz w:val="17"/>
          </w:rPr>
          <w:t>37</w:t>
        </w:r>
      </w:hyperlink>
    </w:p>
    <w:p>
      <w:pPr>
        <w:pStyle w:val="BodyText"/>
        <w:tabs>
          <w:tab w:pos="1289" w:val="left" w:leader="none"/>
          <w:tab w:pos="6320" w:val="left" w:leader="none"/>
        </w:tabs>
        <w:spacing w:before="193"/>
        <w:ind w:left="790"/>
      </w:pPr>
      <w:hyperlink w:history="true" w:anchor="_bookmark14">
        <w:r>
          <w:rPr>
            <w:rFonts w:ascii="Arial" w:hAnsi="Arial"/>
            <w:color w:val="231F20"/>
            <w:w w:val="80"/>
          </w:rPr>
          <w:t>2.1</w:t>
        </w:r>
        <w:r>
          <w:rPr>
            <w:rFonts w:ascii="Arial" w:hAnsi="Arial"/>
            <w:color w:val="231F20"/>
            <w:spacing w:val="-5"/>
            <w:w w:val="80"/>
          </w:rPr>
          <w:t> </w:t>
        </w:r>
        <w:r>
          <w:rPr>
            <w:rFonts w:ascii="Arial" w:hAnsi="Arial"/>
            <w:i/>
            <w:color w:val="231F20"/>
            <w:spacing w:val="-10"/>
            <w:w w:val="115"/>
          </w:rPr>
          <w:t>/</w:t>
        </w:r>
        <w:r>
          <w:rPr>
            <w:rFonts w:ascii="Arial" w:hAnsi="Arial"/>
            <w:i/>
            <w:color w:val="231F20"/>
          </w:rPr>
          <w:tab/>
        </w:r>
        <w:r>
          <w:rPr>
            <w:color w:val="231F20"/>
            <w:w w:val="115"/>
          </w:rPr>
          <w:t>Concept</w:t>
        </w:r>
        <w:r>
          <w:rPr>
            <w:color w:val="231F20"/>
            <w:spacing w:val="3"/>
            <w:w w:val="115"/>
          </w:rPr>
          <w:t> </w:t>
        </w:r>
        <w:r>
          <w:rPr>
            <w:color w:val="231F20"/>
            <w:w w:val="115"/>
          </w:rPr>
          <w:t>et</w:t>
        </w:r>
        <w:r>
          <w:rPr>
            <w:color w:val="231F20"/>
            <w:spacing w:val="3"/>
            <w:w w:val="115"/>
          </w:rPr>
          <w:t> </w:t>
        </w:r>
        <w:r>
          <w:rPr>
            <w:color w:val="231F20"/>
            <w:w w:val="115"/>
          </w:rPr>
          <w:t>définition</w:t>
        </w:r>
        <w:r>
          <w:rPr>
            <w:color w:val="231F20"/>
            <w:spacing w:val="70"/>
            <w:w w:val="115"/>
          </w:rPr>
          <w:t> </w:t>
        </w:r>
        <w:r>
          <w:rPr>
            <w:color w:val="231F20"/>
            <w:spacing w:val="-2"/>
            <w:w w:val="110"/>
          </w:rPr>
          <w:t>....................................................</w:t>
        </w:r>
        <w:r>
          <w:rPr>
            <w:color w:val="231F20"/>
          </w:rPr>
          <w:tab/>
        </w:r>
        <w:r>
          <w:rPr>
            <w:color w:val="231F20"/>
            <w:spacing w:val="-5"/>
            <w:w w:val="115"/>
          </w:rPr>
          <w:t>37</w:t>
        </w:r>
      </w:hyperlink>
    </w:p>
    <w:p>
      <w:pPr>
        <w:pStyle w:val="BodyText"/>
        <w:tabs>
          <w:tab w:pos="1289" w:val="left" w:leader="none"/>
          <w:tab w:pos="6320" w:val="left" w:leader="none"/>
        </w:tabs>
        <w:spacing w:before="114"/>
        <w:ind w:left="790"/>
      </w:pPr>
      <w:hyperlink w:history="true" w:anchor="_bookmark16">
        <w:r>
          <w:rPr>
            <w:rFonts w:ascii="Arial" w:hAnsi="Arial"/>
            <w:color w:val="231F20"/>
            <w:w w:val="85"/>
          </w:rPr>
          <w:t>2.2</w:t>
        </w:r>
        <w:r>
          <w:rPr>
            <w:rFonts w:ascii="Arial" w:hAnsi="Arial"/>
            <w:color w:val="231F20"/>
            <w:spacing w:val="-16"/>
            <w:w w:val="120"/>
          </w:rPr>
          <w:t> </w:t>
        </w:r>
        <w:r>
          <w:rPr>
            <w:rFonts w:ascii="Arial" w:hAnsi="Arial"/>
            <w:i/>
            <w:color w:val="231F20"/>
            <w:spacing w:val="-10"/>
            <w:w w:val="120"/>
          </w:rPr>
          <w:t>/</w:t>
        </w:r>
        <w:r>
          <w:rPr>
            <w:rFonts w:ascii="Arial" w:hAnsi="Arial"/>
            <w:i/>
            <w:color w:val="231F20"/>
          </w:rPr>
          <w:tab/>
        </w:r>
        <w:r>
          <w:rPr>
            <w:color w:val="231F20"/>
            <w:spacing w:val="-2"/>
            <w:w w:val="120"/>
          </w:rPr>
          <w:t>Qu’est-ce</w:t>
        </w:r>
        <w:r>
          <w:rPr>
            <w:color w:val="231F20"/>
            <w:spacing w:val="-10"/>
            <w:w w:val="120"/>
          </w:rPr>
          <w:t> </w:t>
        </w:r>
        <w:r>
          <w:rPr>
            <w:color w:val="231F20"/>
            <w:spacing w:val="-2"/>
            <w:w w:val="120"/>
          </w:rPr>
          <w:t>que</w:t>
        </w:r>
        <w:r>
          <w:rPr>
            <w:color w:val="231F20"/>
            <w:spacing w:val="-9"/>
            <w:w w:val="120"/>
          </w:rPr>
          <w:t> </w:t>
        </w:r>
        <w:r>
          <w:rPr>
            <w:color w:val="231F20"/>
            <w:spacing w:val="-2"/>
            <w:w w:val="120"/>
          </w:rPr>
          <w:t>le</w:t>
        </w:r>
        <w:r>
          <w:rPr>
            <w:color w:val="231F20"/>
            <w:spacing w:val="-9"/>
            <w:w w:val="120"/>
          </w:rPr>
          <w:t> </w:t>
        </w:r>
        <w:r>
          <w:rPr>
            <w:color w:val="231F20"/>
            <w:spacing w:val="-2"/>
            <w:w w:val="120"/>
          </w:rPr>
          <w:t>stress</w:t>
        </w:r>
        <w:r>
          <w:rPr>
            <w:color w:val="231F20"/>
            <w:spacing w:val="-9"/>
            <w:w w:val="120"/>
          </w:rPr>
          <w:t> </w:t>
        </w:r>
        <w:r>
          <w:rPr>
            <w:color w:val="231F20"/>
            <w:spacing w:val="-2"/>
            <w:w w:val="120"/>
          </w:rPr>
          <w:t>professionnel?</w:t>
        </w:r>
        <w:r>
          <w:rPr>
            <w:color w:val="231F20"/>
            <w:spacing w:val="73"/>
            <w:w w:val="120"/>
          </w:rPr>
          <w:t> </w:t>
        </w:r>
        <w:r>
          <w:rPr>
            <w:color w:val="231F20"/>
            <w:spacing w:val="-2"/>
            <w:w w:val="120"/>
          </w:rPr>
          <w:t>..........................</w:t>
        </w:r>
        <w:r>
          <w:rPr>
            <w:color w:val="231F20"/>
          </w:rPr>
          <w:tab/>
        </w:r>
        <w:r>
          <w:rPr>
            <w:color w:val="231F20"/>
            <w:spacing w:val="-5"/>
            <w:w w:val="120"/>
          </w:rPr>
          <w:t>42</w:t>
        </w:r>
      </w:hyperlink>
    </w:p>
    <w:p>
      <w:pPr>
        <w:pStyle w:val="ListParagraph"/>
        <w:numPr>
          <w:ilvl w:val="1"/>
          <w:numId w:val="2"/>
        </w:numPr>
        <w:tabs>
          <w:tab w:pos="1033" w:val="left" w:leader="none"/>
          <w:tab w:pos="1289" w:val="left" w:leader="none"/>
          <w:tab w:pos="6320" w:val="left" w:leader="none"/>
        </w:tabs>
        <w:spacing w:line="240" w:lineRule="auto" w:before="113" w:after="0"/>
        <w:ind w:left="1032" w:right="0" w:hanging="243"/>
        <w:jc w:val="left"/>
        <w:rPr>
          <w:sz w:val="17"/>
        </w:rPr>
      </w:pPr>
      <w:hyperlink w:history="true" w:anchor="_bookmark17">
        <w:r>
          <w:rPr>
            <w:rFonts w:ascii="Arial" w:hAnsi="Arial"/>
            <w:i/>
            <w:color w:val="231F20"/>
            <w:spacing w:val="-10"/>
            <w:w w:val="120"/>
            <w:sz w:val="17"/>
          </w:rPr>
          <w:t>/</w:t>
        </w:r>
        <w:r>
          <w:rPr>
            <w:rFonts w:ascii="Arial" w:hAnsi="Arial"/>
            <w:i/>
            <w:color w:val="231F20"/>
            <w:sz w:val="17"/>
          </w:rPr>
          <w:tab/>
        </w:r>
        <w:r>
          <w:rPr>
            <w:color w:val="231F20"/>
            <w:w w:val="120"/>
            <w:sz w:val="17"/>
          </w:rPr>
          <w:t>Principaux</w:t>
        </w:r>
        <w:r>
          <w:rPr>
            <w:color w:val="231F20"/>
            <w:spacing w:val="-13"/>
            <w:w w:val="120"/>
            <w:sz w:val="17"/>
          </w:rPr>
          <w:t> </w:t>
        </w:r>
        <w:r>
          <w:rPr>
            <w:color w:val="231F20"/>
            <w:w w:val="120"/>
            <w:sz w:val="17"/>
          </w:rPr>
          <w:t>modèles</w:t>
        </w:r>
        <w:r>
          <w:rPr>
            <w:color w:val="231F20"/>
            <w:spacing w:val="-13"/>
            <w:w w:val="120"/>
            <w:sz w:val="17"/>
          </w:rPr>
          <w:t> </w:t>
        </w:r>
        <w:r>
          <w:rPr>
            <w:color w:val="231F20"/>
            <w:w w:val="120"/>
            <w:sz w:val="17"/>
          </w:rPr>
          <w:t>explicatifs</w:t>
        </w:r>
        <w:r>
          <w:rPr>
            <w:color w:val="231F20"/>
            <w:spacing w:val="-13"/>
            <w:w w:val="120"/>
            <w:sz w:val="17"/>
          </w:rPr>
          <w:t> </w:t>
        </w:r>
        <w:r>
          <w:rPr>
            <w:color w:val="231F20"/>
            <w:w w:val="120"/>
            <w:sz w:val="17"/>
          </w:rPr>
          <w:t>du</w:t>
        </w:r>
        <w:r>
          <w:rPr>
            <w:color w:val="231F20"/>
            <w:spacing w:val="-12"/>
            <w:w w:val="120"/>
            <w:sz w:val="17"/>
          </w:rPr>
          <w:t> </w:t>
        </w:r>
        <w:r>
          <w:rPr>
            <w:color w:val="231F20"/>
            <w:w w:val="120"/>
            <w:sz w:val="17"/>
          </w:rPr>
          <w:t>stress</w:t>
        </w:r>
        <w:r>
          <w:rPr>
            <w:color w:val="231F20"/>
            <w:spacing w:val="30"/>
            <w:w w:val="120"/>
            <w:sz w:val="17"/>
          </w:rPr>
          <w:t> </w:t>
        </w:r>
        <w:r>
          <w:rPr>
            <w:color w:val="231F20"/>
            <w:spacing w:val="-2"/>
            <w:w w:val="120"/>
            <w:sz w:val="17"/>
          </w:rPr>
          <w:t>......................</w:t>
        </w:r>
        <w:r>
          <w:rPr>
            <w:color w:val="231F20"/>
            <w:sz w:val="17"/>
          </w:rPr>
          <w:tab/>
        </w:r>
        <w:r>
          <w:rPr>
            <w:color w:val="231F20"/>
            <w:spacing w:val="-5"/>
            <w:w w:val="120"/>
            <w:sz w:val="17"/>
          </w:rPr>
          <w:t>44</w:t>
        </w:r>
      </w:hyperlink>
    </w:p>
    <w:p>
      <w:pPr>
        <w:pStyle w:val="BodyText"/>
        <w:tabs>
          <w:tab w:pos="6320" w:val="left" w:leader="none"/>
        </w:tabs>
        <w:spacing w:before="114"/>
        <w:ind w:left="1289"/>
      </w:pPr>
      <w:hyperlink w:history="true" w:anchor="_bookmark17">
        <w:r>
          <w:rPr>
            <w:rFonts w:ascii="Arial"/>
            <w:color w:val="231F20"/>
            <w:w w:val="115"/>
          </w:rPr>
          <w:t>2.3.1</w:t>
        </w:r>
        <w:r>
          <w:rPr>
            <w:rFonts w:ascii="Arial"/>
            <w:color w:val="231F20"/>
            <w:spacing w:val="-24"/>
            <w:w w:val="115"/>
          </w:rPr>
          <w:t> </w:t>
        </w:r>
        <w:r>
          <w:rPr>
            <w:rFonts w:ascii="Arial"/>
            <w:i/>
            <w:color w:val="231F20"/>
            <w:w w:val="115"/>
          </w:rPr>
          <w:t>/</w:t>
        </w:r>
        <w:r>
          <w:rPr>
            <w:rFonts w:ascii="Arial"/>
            <w:i/>
            <w:color w:val="231F20"/>
            <w:spacing w:val="36"/>
            <w:w w:val="115"/>
          </w:rPr>
          <w:t> </w:t>
        </w:r>
        <w:r>
          <w:rPr>
            <w:color w:val="231F20"/>
            <w:w w:val="115"/>
          </w:rPr>
          <w:t>Explications</w:t>
        </w:r>
        <w:r>
          <w:rPr>
            <w:color w:val="231F20"/>
            <w:spacing w:val="-13"/>
            <w:w w:val="115"/>
          </w:rPr>
          <w:t> </w:t>
        </w:r>
        <w:r>
          <w:rPr>
            <w:color w:val="231F20"/>
            <w:w w:val="115"/>
          </w:rPr>
          <w:t>initiales</w:t>
        </w:r>
        <w:r>
          <w:rPr>
            <w:color w:val="231F20"/>
            <w:spacing w:val="50"/>
            <w:w w:val="115"/>
          </w:rPr>
          <w:t> </w:t>
        </w:r>
        <w:r>
          <w:rPr>
            <w:color w:val="231F20"/>
            <w:spacing w:val="-2"/>
            <w:w w:val="115"/>
          </w:rPr>
          <w:t>.........................................</w:t>
        </w:r>
        <w:r>
          <w:rPr>
            <w:color w:val="231F20"/>
          </w:rPr>
          <w:tab/>
        </w:r>
        <w:r>
          <w:rPr>
            <w:color w:val="231F20"/>
            <w:spacing w:val="-5"/>
            <w:w w:val="115"/>
          </w:rPr>
          <w:t>44</w:t>
        </w:r>
      </w:hyperlink>
    </w:p>
    <w:p>
      <w:pPr>
        <w:pStyle w:val="ListParagraph"/>
        <w:numPr>
          <w:ilvl w:val="2"/>
          <w:numId w:val="3"/>
        </w:numPr>
        <w:tabs>
          <w:tab w:pos="1664" w:val="left" w:leader="none"/>
          <w:tab w:pos="6320" w:val="left" w:leader="none"/>
        </w:tabs>
        <w:spacing w:line="240" w:lineRule="auto" w:before="114" w:after="0"/>
        <w:ind w:left="1663" w:right="0" w:hanging="375"/>
        <w:jc w:val="left"/>
        <w:rPr>
          <w:sz w:val="17"/>
        </w:rPr>
      </w:pPr>
      <w:hyperlink w:history="true" w:anchor="_bookmark20">
        <w:r>
          <w:rPr>
            <w:rFonts w:ascii="Arial" w:hAnsi="Arial"/>
            <w:i/>
            <w:color w:val="231F20"/>
            <w:w w:val="120"/>
            <w:sz w:val="17"/>
          </w:rPr>
          <w:t>/</w:t>
        </w:r>
        <w:r>
          <w:rPr>
            <w:rFonts w:ascii="Arial" w:hAnsi="Arial"/>
            <w:i/>
            <w:color w:val="231F20"/>
            <w:spacing w:val="60"/>
            <w:w w:val="120"/>
            <w:sz w:val="17"/>
          </w:rPr>
          <w:t> </w:t>
        </w:r>
        <w:r>
          <w:rPr>
            <w:color w:val="231F20"/>
            <w:w w:val="120"/>
            <w:sz w:val="17"/>
          </w:rPr>
          <w:t>Modèles</w:t>
        </w:r>
        <w:r>
          <w:rPr>
            <w:color w:val="231F20"/>
            <w:spacing w:val="-13"/>
            <w:w w:val="120"/>
            <w:sz w:val="17"/>
          </w:rPr>
          <w:t> </w:t>
        </w:r>
        <w:r>
          <w:rPr>
            <w:color w:val="231F20"/>
            <w:w w:val="120"/>
            <w:sz w:val="17"/>
          </w:rPr>
          <w:t>transactionnels</w:t>
        </w:r>
        <w:r>
          <w:rPr>
            <w:color w:val="231F20"/>
            <w:spacing w:val="-12"/>
            <w:w w:val="120"/>
            <w:sz w:val="17"/>
          </w:rPr>
          <w:t> </w:t>
        </w:r>
        <w:r>
          <w:rPr>
            <w:color w:val="231F20"/>
            <w:w w:val="120"/>
            <w:sz w:val="17"/>
          </w:rPr>
          <w:t>du</w:t>
        </w:r>
        <w:r>
          <w:rPr>
            <w:color w:val="231F20"/>
            <w:spacing w:val="-13"/>
            <w:w w:val="120"/>
            <w:sz w:val="17"/>
          </w:rPr>
          <w:t> </w:t>
        </w:r>
        <w:r>
          <w:rPr>
            <w:color w:val="231F20"/>
            <w:w w:val="120"/>
            <w:sz w:val="17"/>
          </w:rPr>
          <w:t>stress</w:t>
        </w:r>
        <w:r>
          <w:rPr>
            <w:color w:val="231F20"/>
            <w:spacing w:val="66"/>
            <w:w w:val="120"/>
            <w:sz w:val="17"/>
          </w:rPr>
          <w:t> </w:t>
        </w:r>
        <w:r>
          <w:rPr>
            <w:color w:val="231F20"/>
            <w:spacing w:val="-2"/>
            <w:w w:val="120"/>
            <w:sz w:val="17"/>
          </w:rPr>
          <w:t>.....................</w:t>
        </w:r>
        <w:r>
          <w:rPr>
            <w:color w:val="231F20"/>
            <w:sz w:val="17"/>
          </w:rPr>
          <w:tab/>
        </w:r>
        <w:r>
          <w:rPr>
            <w:color w:val="231F20"/>
            <w:spacing w:val="-5"/>
            <w:w w:val="120"/>
            <w:sz w:val="17"/>
          </w:rPr>
          <w:t>51</w:t>
        </w:r>
      </w:hyperlink>
    </w:p>
    <w:p>
      <w:pPr>
        <w:pStyle w:val="ListParagraph"/>
        <w:numPr>
          <w:ilvl w:val="2"/>
          <w:numId w:val="3"/>
        </w:numPr>
        <w:tabs>
          <w:tab w:pos="1663" w:val="left" w:leader="none"/>
          <w:tab w:pos="6320" w:val="left" w:leader="none"/>
        </w:tabs>
        <w:spacing w:line="240" w:lineRule="auto" w:before="114" w:after="0"/>
        <w:ind w:left="1662" w:right="0" w:hanging="374"/>
        <w:jc w:val="left"/>
        <w:rPr>
          <w:sz w:val="17"/>
        </w:rPr>
      </w:pPr>
      <w:hyperlink w:history="true" w:anchor="_bookmark23">
        <w:r>
          <w:rPr>
            <w:rFonts w:ascii="Arial" w:hAnsi="Arial"/>
            <w:i/>
            <w:color w:val="231F20"/>
            <w:w w:val="120"/>
            <w:sz w:val="17"/>
          </w:rPr>
          <w:t>/</w:t>
        </w:r>
        <w:r>
          <w:rPr>
            <w:rFonts w:ascii="Arial" w:hAnsi="Arial"/>
            <w:i/>
            <w:color w:val="231F20"/>
            <w:spacing w:val="60"/>
            <w:w w:val="120"/>
            <w:sz w:val="17"/>
          </w:rPr>
          <w:t> </w:t>
        </w:r>
        <w:r>
          <w:rPr>
            <w:color w:val="231F20"/>
            <w:w w:val="120"/>
            <w:sz w:val="17"/>
          </w:rPr>
          <w:t>Modèles</w:t>
        </w:r>
        <w:r>
          <w:rPr>
            <w:color w:val="231F20"/>
            <w:spacing w:val="-12"/>
            <w:w w:val="120"/>
            <w:sz w:val="17"/>
          </w:rPr>
          <w:t> </w:t>
        </w:r>
        <w:r>
          <w:rPr>
            <w:color w:val="231F20"/>
            <w:w w:val="120"/>
            <w:sz w:val="17"/>
          </w:rPr>
          <w:t>interactionnistes</w:t>
        </w:r>
        <w:r>
          <w:rPr>
            <w:color w:val="231F20"/>
            <w:spacing w:val="-13"/>
            <w:w w:val="120"/>
            <w:sz w:val="17"/>
          </w:rPr>
          <w:t> </w:t>
        </w:r>
        <w:r>
          <w:rPr>
            <w:color w:val="231F20"/>
            <w:w w:val="120"/>
            <w:sz w:val="17"/>
          </w:rPr>
          <w:t>du</w:t>
        </w:r>
        <w:r>
          <w:rPr>
            <w:color w:val="231F20"/>
            <w:spacing w:val="-13"/>
            <w:w w:val="120"/>
            <w:sz w:val="17"/>
          </w:rPr>
          <w:t> </w:t>
        </w:r>
        <w:r>
          <w:rPr>
            <w:color w:val="231F20"/>
            <w:w w:val="120"/>
            <w:sz w:val="17"/>
          </w:rPr>
          <w:t>stress</w:t>
        </w:r>
        <w:r>
          <w:rPr>
            <w:color w:val="231F20"/>
            <w:spacing w:val="53"/>
            <w:w w:val="120"/>
            <w:sz w:val="17"/>
          </w:rPr>
          <w:t> </w:t>
        </w:r>
        <w:r>
          <w:rPr>
            <w:color w:val="231F20"/>
            <w:spacing w:val="-2"/>
            <w:w w:val="120"/>
            <w:sz w:val="17"/>
          </w:rPr>
          <w:t>...................</w:t>
        </w:r>
        <w:r>
          <w:rPr>
            <w:color w:val="231F20"/>
            <w:sz w:val="17"/>
          </w:rPr>
          <w:tab/>
        </w:r>
        <w:r>
          <w:rPr>
            <w:color w:val="231F20"/>
            <w:spacing w:val="-5"/>
            <w:w w:val="120"/>
            <w:sz w:val="17"/>
          </w:rPr>
          <w:t>60</w:t>
        </w:r>
      </w:hyperlink>
    </w:p>
    <w:p>
      <w:pPr>
        <w:pStyle w:val="ListParagraph"/>
        <w:numPr>
          <w:ilvl w:val="1"/>
          <w:numId w:val="2"/>
        </w:numPr>
        <w:tabs>
          <w:tab w:pos="1043" w:val="left" w:leader="none"/>
          <w:tab w:pos="6320" w:val="left" w:leader="none"/>
        </w:tabs>
        <w:spacing w:line="240" w:lineRule="auto" w:before="114" w:after="0"/>
        <w:ind w:left="1042" w:right="0" w:hanging="254"/>
        <w:jc w:val="left"/>
        <w:rPr>
          <w:sz w:val="17"/>
        </w:rPr>
      </w:pPr>
      <w:hyperlink w:history="true" w:anchor="_bookmark26">
        <w:r>
          <w:rPr>
            <w:rFonts w:ascii="Arial" w:hAnsi="Arial"/>
            <w:i/>
            <w:color w:val="231F20"/>
            <w:spacing w:val="-2"/>
            <w:w w:val="125"/>
            <w:sz w:val="17"/>
          </w:rPr>
          <w:t>/</w:t>
        </w:r>
        <w:r>
          <w:rPr>
            <w:rFonts w:ascii="Arial" w:hAnsi="Arial"/>
            <w:i/>
            <w:color w:val="231F20"/>
            <w:spacing w:val="24"/>
            <w:w w:val="125"/>
            <w:sz w:val="17"/>
          </w:rPr>
          <w:t>  </w:t>
        </w:r>
        <w:r>
          <w:rPr>
            <w:color w:val="231F20"/>
            <w:spacing w:val="-2"/>
            <w:w w:val="125"/>
            <w:sz w:val="17"/>
          </w:rPr>
          <w:t>Facteurs</w:t>
        </w:r>
        <w:r>
          <w:rPr>
            <w:color w:val="231F20"/>
            <w:spacing w:val="-15"/>
            <w:w w:val="125"/>
            <w:sz w:val="17"/>
          </w:rPr>
          <w:t> </w:t>
        </w:r>
        <w:r>
          <w:rPr>
            <w:color w:val="231F20"/>
            <w:spacing w:val="-2"/>
            <w:w w:val="125"/>
            <w:sz w:val="17"/>
          </w:rPr>
          <w:t>déterminant</w:t>
        </w:r>
        <w:r>
          <w:rPr>
            <w:color w:val="231F20"/>
            <w:spacing w:val="-14"/>
            <w:w w:val="125"/>
            <w:sz w:val="17"/>
          </w:rPr>
          <w:t> </w:t>
        </w:r>
        <w:r>
          <w:rPr>
            <w:color w:val="231F20"/>
            <w:spacing w:val="-2"/>
            <w:w w:val="125"/>
            <w:sz w:val="17"/>
          </w:rPr>
          <w:t>le</w:t>
        </w:r>
        <w:r>
          <w:rPr>
            <w:color w:val="231F20"/>
            <w:spacing w:val="-15"/>
            <w:w w:val="125"/>
            <w:sz w:val="17"/>
          </w:rPr>
          <w:t> </w:t>
        </w:r>
        <w:r>
          <w:rPr>
            <w:color w:val="231F20"/>
            <w:spacing w:val="-2"/>
            <w:w w:val="125"/>
            <w:sz w:val="17"/>
          </w:rPr>
          <w:t>stress</w:t>
        </w:r>
        <w:r>
          <w:rPr>
            <w:color w:val="231F20"/>
            <w:spacing w:val="-15"/>
            <w:w w:val="125"/>
            <w:sz w:val="17"/>
          </w:rPr>
          <w:t> </w:t>
        </w:r>
        <w:r>
          <w:rPr>
            <w:color w:val="231F20"/>
            <w:spacing w:val="-2"/>
            <w:w w:val="125"/>
            <w:sz w:val="17"/>
          </w:rPr>
          <w:t>au</w:t>
        </w:r>
        <w:r>
          <w:rPr>
            <w:color w:val="231F20"/>
            <w:spacing w:val="-14"/>
            <w:w w:val="125"/>
            <w:sz w:val="17"/>
          </w:rPr>
          <w:t> </w:t>
        </w:r>
        <w:r>
          <w:rPr>
            <w:color w:val="231F20"/>
            <w:spacing w:val="-2"/>
            <w:w w:val="125"/>
            <w:sz w:val="17"/>
          </w:rPr>
          <w:t>travail</w:t>
        </w:r>
        <w:r>
          <w:rPr>
            <w:color w:val="231F20"/>
            <w:spacing w:val="50"/>
            <w:w w:val="125"/>
            <w:sz w:val="17"/>
          </w:rPr>
          <w:t> </w:t>
        </w:r>
        <w:r>
          <w:rPr>
            <w:color w:val="231F20"/>
            <w:spacing w:val="-2"/>
            <w:w w:val="125"/>
            <w:sz w:val="17"/>
          </w:rPr>
          <w:t>......................</w:t>
        </w:r>
        <w:r>
          <w:rPr>
            <w:color w:val="231F20"/>
            <w:sz w:val="17"/>
          </w:rPr>
          <w:tab/>
        </w:r>
        <w:r>
          <w:rPr>
            <w:color w:val="231F20"/>
            <w:spacing w:val="-5"/>
            <w:w w:val="125"/>
            <w:sz w:val="17"/>
          </w:rPr>
          <w:t>63</w:t>
        </w:r>
      </w:hyperlink>
    </w:p>
    <w:p>
      <w:pPr>
        <w:pStyle w:val="BodyText"/>
        <w:tabs>
          <w:tab w:pos="6320" w:val="left" w:leader="none"/>
        </w:tabs>
        <w:spacing w:before="114"/>
        <w:ind w:left="1289"/>
      </w:pPr>
      <w:hyperlink w:history="true" w:anchor="_bookmark26">
        <w:r>
          <w:rPr>
            <w:rFonts w:ascii="Arial" w:hAnsi="Arial"/>
            <w:color w:val="231F20"/>
            <w:w w:val="115"/>
          </w:rPr>
          <w:t>2.4.1</w:t>
        </w:r>
        <w:r>
          <w:rPr>
            <w:rFonts w:ascii="Arial" w:hAnsi="Arial"/>
            <w:color w:val="231F20"/>
            <w:spacing w:val="-24"/>
            <w:w w:val="115"/>
          </w:rPr>
          <w:t> </w:t>
        </w:r>
        <w:r>
          <w:rPr>
            <w:rFonts w:ascii="Arial" w:hAnsi="Arial"/>
            <w:i/>
            <w:color w:val="231F20"/>
            <w:w w:val="115"/>
          </w:rPr>
          <w:t>/</w:t>
        </w:r>
        <w:r>
          <w:rPr>
            <w:rFonts w:ascii="Arial" w:hAnsi="Arial"/>
            <w:i/>
            <w:color w:val="231F20"/>
            <w:spacing w:val="36"/>
            <w:w w:val="115"/>
          </w:rPr>
          <w:t> </w:t>
        </w:r>
        <w:r>
          <w:rPr>
            <w:color w:val="231F20"/>
            <w:w w:val="115"/>
          </w:rPr>
          <w:t>Vulnérabilité</w:t>
        </w:r>
        <w:r>
          <w:rPr>
            <w:color w:val="231F20"/>
            <w:spacing w:val="-12"/>
            <w:w w:val="115"/>
          </w:rPr>
          <w:t> </w:t>
        </w:r>
        <w:r>
          <w:rPr>
            <w:color w:val="231F20"/>
            <w:w w:val="115"/>
          </w:rPr>
          <w:t>au</w:t>
        </w:r>
        <w:r>
          <w:rPr>
            <w:color w:val="231F20"/>
            <w:spacing w:val="-12"/>
            <w:w w:val="115"/>
          </w:rPr>
          <w:t> </w:t>
        </w:r>
        <w:r>
          <w:rPr>
            <w:color w:val="231F20"/>
            <w:w w:val="115"/>
          </w:rPr>
          <w:t>stress</w:t>
        </w:r>
        <w:r>
          <w:rPr>
            <w:color w:val="231F20"/>
            <w:spacing w:val="59"/>
            <w:w w:val="115"/>
          </w:rPr>
          <w:t> </w:t>
        </w:r>
        <w:r>
          <w:rPr>
            <w:color w:val="231F20"/>
            <w:spacing w:val="-2"/>
            <w:w w:val="115"/>
          </w:rPr>
          <w:t>.......................................</w:t>
        </w:r>
        <w:r>
          <w:rPr>
            <w:color w:val="231F20"/>
          </w:rPr>
          <w:tab/>
        </w:r>
        <w:r>
          <w:rPr>
            <w:color w:val="231F20"/>
            <w:spacing w:val="-5"/>
            <w:w w:val="115"/>
          </w:rPr>
          <w:t>63</w:t>
        </w:r>
      </w:hyperlink>
    </w:p>
    <w:p>
      <w:pPr>
        <w:pStyle w:val="BodyText"/>
        <w:tabs>
          <w:tab w:pos="6319" w:val="left" w:leader="none"/>
        </w:tabs>
        <w:spacing w:before="114"/>
        <w:ind w:left="1289"/>
      </w:pPr>
      <w:hyperlink w:history="true" w:anchor="_bookmark27">
        <w:r>
          <w:rPr>
            <w:rFonts w:ascii="Arial"/>
            <w:color w:val="231F20"/>
            <w:w w:val="115"/>
          </w:rPr>
          <w:t>2.4.2</w:t>
        </w:r>
        <w:r>
          <w:rPr>
            <w:rFonts w:ascii="Arial"/>
            <w:color w:val="231F20"/>
            <w:spacing w:val="-24"/>
            <w:w w:val="115"/>
          </w:rPr>
          <w:t> </w:t>
        </w:r>
        <w:r>
          <w:rPr>
            <w:rFonts w:ascii="Arial"/>
            <w:i/>
            <w:color w:val="231F20"/>
            <w:w w:val="115"/>
          </w:rPr>
          <w:t>/</w:t>
        </w:r>
        <w:r>
          <w:rPr>
            <w:rFonts w:ascii="Arial"/>
            <w:i/>
            <w:color w:val="231F20"/>
            <w:spacing w:val="49"/>
            <w:w w:val="115"/>
          </w:rPr>
          <w:t> </w:t>
        </w:r>
        <w:r>
          <w:rPr>
            <w:color w:val="231F20"/>
            <w:w w:val="115"/>
          </w:rPr>
          <w:t>Stresseurs</w:t>
        </w:r>
        <w:r>
          <w:rPr>
            <w:color w:val="231F20"/>
            <w:spacing w:val="-11"/>
            <w:w w:val="115"/>
          </w:rPr>
          <w:t> </w:t>
        </w:r>
        <w:r>
          <w:rPr>
            <w:color w:val="231F20"/>
            <w:w w:val="115"/>
          </w:rPr>
          <w:t>organisationnels</w:t>
        </w:r>
        <w:r>
          <w:rPr>
            <w:color w:val="231F20"/>
            <w:spacing w:val="68"/>
            <w:w w:val="115"/>
          </w:rPr>
          <w:t> </w:t>
        </w:r>
        <w:r>
          <w:rPr>
            <w:color w:val="231F20"/>
            <w:spacing w:val="-2"/>
            <w:w w:val="115"/>
          </w:rPr>
          <w:t>...............................</w:t>
        </w:r>
        <w:r>
          <w:rPr>
            <w:color w:val="231F20"/>
          </w:rPr>
          <w:tab/>
        </w:r>
        <w:r>
          <w:rPr>
            <w:color w:val="231F20"/>
            <w:spacing w:val="-5"/>
            <w:w w:val="115"/>
          </w:rPr>
          <w:t>64</w:t>
        </w:r>
      </w:hyperlink>
    </w:p>
    <w:p>
      <w:pPr>
        <w:pStyle w:val="BodyText"/>
        <w:tabs>
          <w:tab w:pos="1289" w:val="left" w:leader="none"/>
          <w:tab w:pos="6319" w:val="left" w:leader="none"/>
        </w:tabs>
        <w:spacing w:before="113"/>
        <w:ind w:left="789"/>
      </w:pPr>
      <w:hyperlink w:history="true" w:anchor="_bookmark28">
        <w:r>
          <w:rPr>
            <w:rFonts w:ascii="Arial" w:hAnsi="Arial"/>
            <w:color w:val="231F20"/>
            <w:w w:val="85"/>
          </w:rPr>
          <w:t>2.5</w:t>
        </w:r>
        <w:r>
          <w:rPr>
            <w:rFonts w:ascii="Arial" w:hAnsi="Arial"/>
            <w:color w:val="231F20"/>
            <w:spacing w:val="-16"/>
            <w:w w:val="120"/>
          </w:rPr>
          <w:t> </w:t>
        </w:r>
        <w:r>
          <w:rPr>
            <w:rFonts w:ascii="Arial" w:hAnsi="Arial"/>
            <w:i/>
            <w:color w:val="231F20"/>
            <w:spacing w:val="-10"/>
            <w:w w:val="120"/>
          </w:rPr>
          <w:t>/</w:t>
        </w:r>
        <w:r>
          <w:rPr>
            <w:rFonts w:ascii="Arial" w:hAnsi="Arial"/>
            <w:i/>
            <w:color w:val="231F20"/>
          </w:rPr>
          <w:tab/>
        </w:r>
        <w:r>
          <w:rPr>
            <w:color w:val="231F20"/>
            <w:w w:val="120"/>
          </w:rPr>
          <w:t>Stress,</w:t>
        </w:r>
        <w:r>
          <w:rPr>
            <w:color w:val="231F20"/>
            <w:spacing w:val="-10"/>
            <w:w w:val="120"/>
          </w:rPr>
          <w:t> </w:t>
        </w:r>
        <w:r>
          <w:rPr>
            <w:color w:val="231F20"/>
            <w:w w:val="120"/>
          </w:rPr>
          <w:t>émotions</w:t>
        </w:r>
        <w:r>
          <w:rPr>
            <w:color w:val="231F20"/>
            <w:spacing w:val="-9"/>
            <w:w w:val="120"/>
          </w:rPr>
          <w:t> </w:t>
        </w:r>
        <w:r>
          <w:rPr>
            <w:color w:val="231F20"/>
            <w:w w:val="120"/>
          </w:rPr>
          <w:t>et</w:t>
        </w:r>
        <w:r>
          <w:rPr>
            <w:color w:val="231F20"/>
            <w:spacing w:val="-9"/>
            <w:w w:val="120"/>
          </w:rPr>
          <w:t> </w:t>
        </w:r>
        <w:r>
          <w:rPr>
            <w:color w:val="231F20"/>
            <w:w w:val="120"/>
          </w:rPr>
          <w:t>santé</w:t>
        </w:r>
        <w:r>
          <w:rPr>
            <w:color w:val="231F20"/>
            <w:spacing w:val="53"/>
            <w:w w:val="120"/>
          </w:rPr>
          <w:t> </w:t>
        </w:r>
        <w:r>
          <w:rPr>
            <w:color w:val="231F20"/>
            <w:spacing w:val="-2"/>
            <w:w w:val="115"/>
          </w:rPr>
          <w:t>..............................................</w:t>
        </w:r>
        <w:r>
          <w:rPr>
            <w:color w:val="231F20"/>
          </w:rPr>
          <w:tab/>
        </w:r>
        <w:r>
          <w:rPr>
            <w:color w:val="231F20"/>
            <w:spacing w:val="-5"/>
            <w:w w:val="120"/>
          </w:rPr>
          <w:t>70</w:t>
        </w:r>
      </w:hyperlink>
    </w:p>
    <w:p>
      <w:pPr>
        <w:pStyle w:val="BodyText"/>
        <w:tabs>
          <w:tab w:pos="6319" w:val="left" w:leader="none"/>
        </w:tabs>
        <w:spacing w:before="114"/>
        <w:ind w:left="789"/>
      </w:pPr>
      <w:hyperlink w:history="true" w:anchor="_bookmark29">
        <w:r>
          <w:rPr>
            <w:rFonts w:ascii="Arial"/>
            <w:color w:val="231F20"/>
            <w:w w:val="120"/>
          </w:rPr>
          <w:t>2.6</w:t>
        </w:r>
        <w:r>
          <w:rPr>
            <w:rFonts w:ascii="Arial"/>
            <w:color w:val="231F20"/>
            <w:spacing w:val="-26"/>
            <w:w w:val="120"/>
          </w:rPr>
          <w:t> </w:t>
        </w:r>
        <w:r>
          <w:rPr>
            <w:rFonts w:ascii="Arial"/>
            <w:i/>
            <w:color w:val="231F20"/>
            <w:w w:val="120"/>
          </w:rPr>
          <w:t>/</w:t>
        </w:r>
        <w:r>
          <w:rPr>
            <w:rFonts w:ascii="Arial"/>
            <w:i/>
            <w:color w:val="231F20"/>
            <w:spacing w:val="72"/>
            <w:w w:val="150"/>
          </w:rPr>
          <w:t> </w:t>
        </w:r>
        <w:r>
          <w:rPr>
            <w:color w:val="231F20"/>
            <w:w w:val="120"/>
          </w:rPr>
          <w:t>Post-scriptum</w:t>
        </w:r>
        <w:r>
          <w:rPr>
            <w:color w:val="231F20"/>
            <w:spacing w:val="14"/>
            <w:w w:val="120"/>
          </w:rPr>
          <w:t> </w:t>
        </w:r>
        <w:r>
          <w:rPr>
            <w:color w:val="231F20"/>
            <w:spacing w:val="-2"/>
            <w:w w:val="120"/>
          </w:rPr>
          <w:t>...............................................................</w:t>
        </w:r>
        <w:r>
          <w:rPr>
            <w:color w:val="231F20"/>
          </w:rPr>
          <w:tab/>
        </w:r>
        <w:r>
          <w:rPr>
            <w:color w:val="231F20"/>
            <w:spacing w:val="-5"/>
            <w:w w:val="120"/>
          </w:rPr>
          <w:t>74</w:t>
        </w:r>
      </w:hyperlink>
    </w:p>
    <w:p>
      <w:pPr>
        <w:pStyle w:val="BodyText"/>
        <w:spacing w:before="224"/>
        <w:ind w:left="789"/>
        <w:rPr>
          <w:rFonts w:ascii="Arial"/>
          <w:i/>
        </w:rPr>
      </w:pPr>
      <w:hyperlink w:history="true" w:anchor="_bookmark31">
        <w:r>
          <w:rPr>
            <w:rFonts w:ascii="Arial"/>
            <w:color w:val="231F20"/>
            <w:w w:val="95"/>
          </w:rPr>
          <w:t>Chapitre</w:t>
        </w:r>
        <w:r>
          <w:rPr>
            <w:rFonts w:ascii="Arial"/>
            <w:color w:val="231F20"/>
            <w:spacing w:val="10"/>
          </w:rPr>
          <w:t> </w:t>
        </w:r>
        <w:r>
          <w:rPr>
            <w:rFonts w:ascii="Arial"/>
            <w:color w:val="231F20"/>
            <w:w w:val="95"/>
          </w:rPr>
          <w:t>3</w:t>
        </w:r>
        <w:r>
          <w:rPr>
            <w:rFonts w:ascii="Arial"/>
            <w:color w:val="231F20"/>
            <w:spacing w:val="-2"/>
            <w:w w:val="95"/>
          </w:rPr>
          <w:t> </w:t>
        </w:r>
        <w:r>
          <w:rPr>
            <w:rFonts w:ascii="Arial"/>
            <w:i/>
            <w:color w:val="231F20"/>
            <w:spacing w:val="-10"/>
            <w:w w:val="95"/>
          </w:rPr>
          <w:t>/</w:t>
        </w:r>
      </w:hyperlink>
    </w:p>
    <w:p>
      <w:pPr>
        <w:tabs>
          <w:tab w:pos="6320" w:val="left" w:leader="none"/>
        </w:tabs>
        <w:spacing w:before="44"/>
        <w:ind w:left="790" w:right="0" w:firstLine="0"/>
        <w:jc w:val="left"/>
        <w:rPr>
          <w:sz w:val="17"/>
        </w:rPr>
      </w:pPr>
      <w:hyperlink w:history="true" w:anchor="_bookmark31">
        <w:r>
          <w:rPr>
            <w:rFonts w:ascii="Arial" w:hAnsi="Arial"/>
            <w:b/>
            <w:color w:val="231F20"/>
            <w:w w:val="95"/>
            <w:sz w:val="18"/>
          </w:rPr>
          <w:t>Antécédents</w:t>
        </w:r>
        <w:r>
          <w:rPr>
            <w:rFonts w:ascii="Arial" w:hAnsi="Arial"/>
            <w:b/>
            <w:color w:val="231F20"/>
            <w:spacing w:val="-10"/>
            <w:w w:val="95"/>
            <w:sz w:val="18"/>
          </w:rPr>
          <w:t> </w:t>
        </w:r>
        <w:r>
          <w:rPr>
            <w:rFonts w:ascii="Arial" w:hAnsi="Arial"/>
            <w:b/>
            <w:color w:val="231F20"/>
            <w:w w:val="95"/>
            <w:sz w:val="18"/>
          </w:rPr>
          <w:t>et</w:t>
        </w:r>
        <w:r>
          <w:rPr>
            <w:rFonts w:ascii="Arial" w:hAnsi="Arial"/>
            <w:b/>
            <w:color w:val="231F20"/>
            <w:spacing w:val="-10"/>
            <w:w w:val="95"/>
            <w:sz w:val="18"/>
          </w:rPr>
          <w:t> </w:t>
        </w:r>
        <w:r>
          <w:rPr>
            <w:rFonts w:ascii="Arial" w:hAnsi="Arial"/>
            <w:b/>
            <w:color w:val="231F20"/>
            <w:w w:val="95"/>
            <w:sz w:val="18"/>
          </w:rPr>
          <w:t>conséquences</w:t>
        </w:r>
        <w:r>
          <w:rPr>
            <w:rFonts w:ascii="Arial" w:hAnsi="Arial"/>
            <w:b/>
            <w:color w:val="231F20"/>
            <w:spacing w:val="-10"/>
            <w:w w:val="95"/>
            <w:sz w:val="18"/>
          </w:rPr>
          <w:t> </w:t>
        </w:r>
        <w:r>
          <w:rPr>
            <w:rFonts w:ascii="Arial" w:hAnsi="Arial"/>
            <w:b/>
            <w:color w:val="231F20"/>
            <w:w w:val="95"/>
            <w:sz w:val="18"/>
          </w:rPr>
          <w:t>du</w:t>
        </w:r>
        <w:r>
          <w:rPr>
            <w:rFonts w:ascii="Arial" w:hAnsi="Arial"/>
            <w:b/>
            <w:color w:val="231F20"/>
            <w:spacing w:val="-10"/>
            <w:w w:val="95"/>
            <w:sz w:val="18"/>
          </w:rPr>
          <w:t> </w:t>
        </w:r>
        <w:r>
          <w:rPr>
            <w:rFonts w:ascii="Arial" w:hAnsi="Arial"/>
            <w:b/>
            <w:color w:val="231F20"/>
            <w:w w:val="95"/>
            <w:sz w:val="18"/>
          </w:rPr>
          <w:t>stress</w:t>
        </w:r>
        <w:r>
          <w:rPr>
            <w:rFonts w:ascii="Arial" w:hAnsi="Arial"/>
            <w:b/>
            <w:color w:val="231F20"/>
            <w:spacing w:val="-10"/>
            <w:w w:val="95"/>
            <w:sz w:val="18"/>
          </w:rPr>
          <w:t> </w:t>
        </w:r>
        <w:r>
          <w:rPr>
            <w:rFonts w:ascii="Arial" w:hAnsi="Arial"/>
            <w:b/>
            <w:color w:val="231F20"/>
            <w:w w:val="95"/>
            <w:sz w:val="18"/>
          </w:rPr>
          <w:t>professionnel</w:t>
        </w:r>
        <w:r>
          <w:rPr>
            <w:rFonts w:ascii="Arial" w:hAnsi="Arial"/>
            <w:b/>
            <w:color w:val="231F20"/>
            <w:spacing w:val="31"/>
            <w:sz w:val="18"/>
          </w:rPr>
          <w:t> </w:t>
        </w:r>
        <w:r>
          <w:rPr>
            <w:color w:val="231F20"/>
            <w:spacing w:val="-2"/>
            <w:w w:val="95"/>
            <w:sz w:val="17"/>
          </w:rPr>
          <w:t>.........</w:t>
        </w:r>
        <w:r>
          <w:rPr>
            <w:color w:val="231F20"/>
            <w:sz w:val="17"/>
          </w:rPr>
          <w:tab/>
        </w:r>
        <w:r>
          <w:rPr>
            <w:color w:val="231F20"/>
            <w:spacing w:val="-5"/>
            <w:w w:val="105"/>
            <w:sz w:val="17"/>
          </w:rPr>
          <w:t>79</w:t>
        </w:r>
      </w:hyperlink>
    </w:p>
    <w:p>
      <w:pPr>
        <w:pStyle w:val="BodyText"/>
        <w:spacing w:before="11"/>
        <w:rPr>
          <w:sz w:val="12"/>
        </w:rPr>
      </w:pPr>
    </w:p>
    <w:tbl>
      <w:tblPr>
        <w:tblW w:w="0" w:type="auto"/>
        <w:jc w:val="left"/>
        <w:tblInd w:w="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
        <w:gridCol w:w="601"/>
        <w:gridCol w:w="4191"/>
        <w:gridCol w:w="610"/>
      </w:tblGrid>
      <w:tr>
        <w:trPr>
          <w:trHeight w:val="280" w:hRule="atLeast"/>
        </w:trPr>
        <w:tc>
          <w:tcPr>
            <w:tcW w:w="445" w:type="dxa"/>
          </w:tcPr>
          <w:p>
            <w:pPr>
              <w:pStyle w:val="TableParagraph"/>
              <w:spacing w:before="43"/>
              <w:ind w:left="50"/>
              <w:rPr>
                <w:i/>
                <w:sz w:val="17"/>
              </w:rPr>
            </w:pPr>
            <w:hyperlink w:history="true" w:anchor="_bookmark31">
              <w:r>
                <w:rPr>
                  <w:color w:val="231F20"/>
                  <w:w w:val="80"/>
                  <w:sz w:val="17"/>
                </w:rPr>
                <w:t>3.1</w:t>
              </w:r>
              <w:r>
                <w:rPr>
                  <w:color w:val="231F20"/>
                  <w:spacing w:val="-5"/>
                  <w:w w:val="80"/>
                  <w:sz w:val="17"/>
                </w:rPr>
                <w:t> </w:t>
              </w:r>
              <w:r>
                <w:rPr>
                  <w:i/>
                  <w:color w:val="231F20"/>
                  <w:spacing w:val="-10"/>
                  <w:w w:val="95"/>
                  <w:sz w:val="17"/>
                </w:rPr>
                <w:t>/</w:t>
              </w:r>
            </w:hyperlink>
          </w:p>
        </w:tc>
        <w:tc>
          <w:tcPr>
            <w:tcW w:w="4792" w:type="dxa"/>
            <w:gridSpan w:val="2"/>
          </w:tcPr>
          <w:p>
            <w:pPr>
              <w:pStyle w:val="TableParagraph"/>
              <w:spacing w:before="44"/>
              <w:ind w:left="105"/>
              <w:rPr>
                <w:rFonts w:ascii="Times New Roman" w:hAnsi="Times New Roman"/>
                <w:sz w:val="17"/>
              </w:rPr>
            </w:pPr>
            <w:hyperlink w:history="true" w:anchor="_bookmark31">
              <w:r>
                <w:rPr>
                  <w:rFonts w:ascii="Times New Roman" w:hAnsi="Times New Roman"/>
                  <w:color w:val="231F20"/>
                  <w:w w:val="120"/>
                  <w:sz w:val="17"/>
                </w:rPr>
                <w:t>Une</w:t>
              </w:r>
              <w:r>
                <w:rPr>
                  <w:rFonts w:ascii="Times New Roman" w:hAnsi="Times New Roman"/>
                  <w:color w:val="231F20"/>
                  <w:spacing w:val="-13"/>
                  <w:w w:val="120"/>
                  <w:sz w:val="17"/>
                </w:rPr>
                <w:t> </w:t>
              </w:r>
              <w:r>
                <w:rPr>
                  <w:rFonts w:ascii="Times New Roman" w:hAnsi="Times New Roman"/>
                  <w:color w:val="231F20"/>
                  <w:w w:val="120"/>
                  <w:sz w:val="17"/>
                </w:rPr>
                <w:t>question</w:t>
              </w:r>
              <w:r>
                <w:rPr>
                  <w:rFonts w:ascii="Times New Roman" w:hAnsi="Times New Roman"/>
                  <w:color w:val="231F20"/>
                  <w:spacing w:val="-13"/>
                  <w:w w:val="120"/>
                  <w:sz w:val="17"/>
                </w:rPr>
                <w:t> </w:t>
              </w:r>
              <w:r>
                <w:rPr>
                  <w:rFonts w:ascii="Times New Roman" w:hAnsi="Times New Roman"/>
                  <w:color w:val="231F20"/>
                  <w:w w:val="120"/>
                  <w:sz w:val="17"/>
                </w:rPr>
                <w:t>d’adaptation</w:t>
              </w:r>
              <w:r>
                <w:rPr>
                  <w:rFonts w:ascii="Times New Roman" w:hAnsi="Times New Roman"/>
                  <w:color w:val="231F20"/>
                  <w:spacing w:val="-13"/>
                  <w:w w:val="120"/>
                  <w:sz w:val="17"/>
                </w:rPr>
                <w:t> </w:t>
              </w:r>
              <w:r>
                <w:rPr>
                  <w:rFonts w:ascii="Times New Roman" w:hAnsi="Times New Roman"/>
                  <w:color w:val="231F20"/>
                  <w:w w:val="120"/>
                  <w:sz w:val="17"/>
                </w:rPr>
                <w:t>à</w:t>
              </w:r>
              <w:r>
                <w:rPr>
                  <w:rFonts w:ascii="Times New Roman" w:hAnsi="Times New Roman"/>
                  <w:color w:val="231F20"/>
                  <w:spacing w:val="-12"/>
                  <w:w w:val="120"/>
                  <w:sz w:val="17"/>
                </w:rPr>
                <w:t> </w:t>
              </w:r>
              <w:r>
                <w:rPr>
                  <w:rFonts w:ascii="Times New Roman" w:hAnsi="Times New Roman"/>
                  <w:color w:val="231F20"/>
                  <w:w w:val="120"/>
                  <w:sz w:val="17"/>
                </w:rPr>
                <w:t>l’environnement</w:t>
              </w:r>
              <w:r>
                <w:rPr>
                  <w:rFonts w:ascii="Times New Roman" w:hAnsi="Times New Roman"/>
                  <w:color w:val="231F20"/>
                  <w:spacing w:val="16"/>
                  <w:w w:val="120"/>
                  <w:sz w:val="17"/>
                </w:rPr>
                <w:t> </w:t>
              </w:r>
              <w:r>
                <w:rPr>
                  <w:rFonts w:ascii="Times New Roman" w:hAnsi="Times New Roman"/>
                  <w:color w:val="231F20"/>
                  <w:spacing w:val="-2"/>
                  <w:w w:val="120"/>
                  <w:sz w:val="17"/>
                </w:rPr>
                <w:t>..............</w:t>
              </w:r>
            </w:hyperlink>
          </w:p>
        </w:tc>
        <w:tc>
          <w:tcPr>
            <w:tcW w:w="610" w:type="dxa"/>
          </w:tcPr>
          <w:p>
            <w:pPr>
              <w:pStyle w:val="TableParagraph"/>
              <w:spacing w:before="44"/>
              <w:ind w:right="46"/>
              <w:jc w:val="right"/>
              <w:rPr>
                <w:rFonts w:ascii="Times New Roman"/>
                <w:sz w:val="17"/>
              </w:rPr>
            </w:pPr>
            <w:hyperlink w:history="true" w:anchor="_bookmark31">
              <w:r>
                <w:rPr>
                  <w:rFonts w:ascii="Times New Roman"/>
                  <w:color w:val="231F20"/>
                  <w:spacing w:val="-5"/>
                  <w:w w:val="130"/>
                  <w:sz w:val="17"/>
                </w:rPr>
                <w:t>79</w:t>
              </w:r>
            </w:hyperlink>
          </w:p>
        </w:tc>
      </w:tr>
      <w:tr>
        <w:trPr>
          <w:trHeight w:val="310" w:hRule="atLeast"/>
        </w:trPr>
        <w:tc>
          <w:tcPr>
            <w:tcW w:w="445" w:type="dxa"/>
          </w:tcPr>
          <w:p>
            <w:pPr>
              <w:pStyle w:val="TableParagraph"/>
              <w:spacing w:before="73"/>
              <w:ind w:left="50"/>
              <w:rPr>
                <w:i/>
                <w:sz w:val="17"/>
              </w:rPr>
            </w:pPr>
            <w:hyperlink w:history="true" w:anchor="_bookmark35">
              <w:r>
                <w:rPr>
                  <w:color w:val="231F20"/>
                  <w:w w:val="85"/>
                  <w:sz w:val="17"/>
                </w:rPr>
                <w:t>3.2</w:t>
              </w:r>
              <w:r>
                <w:rPr>
                  <w:color w:val="231F20"/>
                  <w:spacing w:val="-5"/>
                  <w:w w:val="95"/>
                  <w:sz w:val="17"/>
                </w:rPr>
                <w:t> </w:t>
              </w:r>
              <w:r>
                <w:rPr>
                  <w:i/>
                  <w:color w:val="231F20"/>
                  <w:spacing w:val="-10"/>
                  <w:w w:val="95"/>
                  <w:sz w:val="17"/>
                </w:rPr>
                <w:t>/</w:t>
              </w:r>
            </w:hyperlink>
          </w:p>
        </w:tc>
        <w:tc>
          <w:tcPr>
            <w:tcW w:w="4792" w:type="dxa"/>
            <w:gridSpan w:val="2"/>
          </w:tcPr>
          <w:p>
            <w:pPr>
              <w:pStyle w:val="TableParagraph"/>
              <w:spacing w:before="74"/>
              <w:ind w:left="105"/>
              <w:rPr>
                <w:rFonts w:ascii="Times New Roman" w:hAnsi="Times New Roman"/>
                <w:sz w:val="17"/>
              </w:rPr>
            </w:pPr>
            <w:hyperlink w:history="true" w:anchor="_bookmark35">
              <w:r>
                <w:rPr>
                  <w:rFonts w:ascii="Times New Roman" w:hAnsi="Times New Roman"/>
                  <w:color w:val="231F20"/>
                  <w:w w:val="120"/>
                  <w:sz w:val="17"/>
                </w:rPr>
                <w:t>Antécédents</w:t>
              </w:r>
              <w:r>
                <w:rPr>
                  <w:rFonts w:ascii="Times New Roman" w:hAnsi="Times New Roman"/>
                  <w:color w:val="231F20"/>
                  <w:spacing w:val="-11"/>
                  <w:w w:val="120"/>
                  <w:sz w:val="17"/>
                </w:rPr>
                <w:t> </w:t>
              </w:r>
              <w:r>
                <w:rPr>
                  <w:rFonts w:ascii="Times New Roman" w:hAnsi="Times New Roman"/>
                  <w:color w:val="231F20"/>
                  <w:w w:val="120"/>
                  <w:sz w:val="17"/>
                </w:rPr>
                <w:t>du</w:t>
              </w:r>
              <w:r>
                <w:rPr>
                  <w:rFonts w:ascii="Times New Roman" w:hAnsi="Times New Roman"/>
                  <w:color w:val="231F20"/>
                  <w:spacing w:val="-11"/>
                  <w:w w:val="120"/>
                  <w:sz w:val="17"/>
                </w:rPr>
                <w:t> </w:t>
              </w:r>
              <w:r>
                <w:rPr>
                  <w:rFonts w:ascii="Times New Roman" w:hAnsi="Times New Roman"/>
                  <w:color w:val="231F20"/>
                  <w:w w:val="120"/>
                  <w:sz w:val="17"/>
                </w:rPr>
                <w:t>stress</w:t>
              </w:r>
              <w:r>
                <w:rPr>
                  <w:rFonts w:ascii="Times New Roman" w:hAnsi="Times New Roman"/>
                  <w:color w:val="231F20"/>
                  <w:spacing w:val="-11"/>
                  <w:w w:val="120"/>
                  <w:sz w:val="17"/>
                </w:rPr>
                <w:t> </w:t>
              </w:r>
              <w:r>
                <w:rPr>
                  <w:rFonts w:ascii="Times New Roman" w:hAnsi="Times New Roman"/>
                  <w:color w:val="231F20"/>
                  <w:w w:val="120"/>
                  <w:sz w:val="17"/>
                </w:rPr>
                <w:t>au</w:t>
              </w:r>
              <w:r>
                <w:rPr>
                  <w:rFonts w:ascii="Times New Roman" w:hAnsi="Times New Roman"/>
                  <w:color w:val="231F20"/>
                  <w:spacing w:val="-11"/>
                  <w:w w:val="120"/>
                  <w:sz w:val="17"/>
                </w:rPr>
                <w:t> </w:t>
              </w:r>
              <w:r>
                <w:rPr>
                  <w:rFonts w:ascii="Times New Roman" w:hAnsi="Times New Roman"/>
                  <w:color w:val="231F20"/>
                  <w:w w:val="120"/>
                  <w:sz w:val="17"/>
                </w:rPr>
                <w:t>travail</w:t>
              </w:r>
              <w:r>
                <w:rPr>
                  <w:rFonts w:ascii="Times New Roman" w:hAnsi="Times New Roman"/>
                  <w:color w:val="231F20"/>
                  <w:spacing w:val="54"/>
                  <w:w w:val="120"/>
                  <w:sz w:val="17"/>
                </w:rPr>
                <w:t> </w:t>
              </w:r>
              <w:r>
                <w:rPr>
                  <w:rFonts w:ascii="Times New Roman" w:hAnsi="Times New Roman"/>
                  <w:color w:val="231F20"/>
                  <w:spacing w:val="-2"/>
                  <w:w w:val="120"/>
                  <w:sz w:val="17"/>
                </w:rPr>
                <w:t>...................................</w:t>
              </w:r>
            </w:hyperlink>
          </w:p>
        </w:tc>
        <w:tc>
          <w:tcPr>
            <w:tcW w:w="610" w:type="dxa"/>
          </w:tcPr>
          <w:p>
            <w:pPr>
              <w:pStyle w:val="TableParagraph"/>
              <w:spacing w:before="74"/>
              <w:ind w:right="46"/>
              <w:jc w:val="right"/>
              <w:rPr>
                <w:rFonts w:ascii="Times New Roman"/>
                <w:sz w:val="17"/>
              </w:rPr>
            </w:pPr>
            <w:hyperlink w:history="true" w:anchor="_bookmark35">
              <w:r>
                <w:rPr>
                  <w:rFonts w:ascii="Times New Roman"/>
                  <w:color w:val="231F20"/>
                  <w:spacing w:val="-5"/>
                  <w:w w:val="130"/>
                  <w:sz w:val="17"/>
                </w:rPr>
                <w:t>85</w:t>
              </w:r>
            </w:hyperlink>
          </w:p>
        </w:tc>
      </w:tr>
      <w:tr>
        <w:trPr>
          <w:trHeight w:val="530" w:hRule="atLeast"/>
        </w:trPr>
        <w:tc>
          <w:tcPr>
            <w:tcW w:w="445" w:type="dxa"/>
          </w:tcPr>
          <w:p>
            <w:pPr>
              <w:pStyle w:val="TableParagraph"/>
              <w:rPr>
                <w:rFonts w:ascii="Times New Roman"/>
                <w:sz w:val="16"/>
              </w:rPr>
            </w:pPr>
          </w:p>
        </w:tc>
        <w:tc>
          <w:tcPr>
            <w:tcW w:w="4792" w:type="dxa"/>
            <w:gridSpan w:val="2"/>
          </w:tcPr>
          <w:p>
            <w:pPr>
              <w:pStyle w:val="TableParagraph"/>
              <w:spacing w:before="73"/>
              <w:ind w:left="105"/>
              <w:rPr>
                <w:rFonts w:ascii="Times New Roman" w:hAnsi="Times New Roman"/>
                <w:sz w:val="17"/>
              </w:rPr>
            </w:pPr>
            <w:hyperlink w:history="true" w:anchor="_bookmark36">
              <w:r>
                <w:rPr>
                  <w:color w:val="231F20"/>
                  <w:w w:val="110"/>
                  <w:sz w:val="17"/>
                </w:rPr>
                <w:t>3.2.1</w:t>
              </w:r>
              <w:r>
                <w:rPr>
                  <w:color w:val="231F20"/>
                  <w:spacing w:val="-13"/>
                  <w:w w:val="110"/>
                  <w:sz w:val="17"/>
                </w:rPr>
                <w:t> </w:t>
              </w:r>
              <w:r>
                <w:rPr>
                  <w:i/>
                  <w:color w:val="231F20"/>
                  <w:w w:val="110"/>
                  <w:sz w:val="17"/>
                </w:rPr>
                <w:t>/</w:t>
              </w:r>
              <w:r>
                <w:rPr>
                  <w:i/>
                  <w:color w:val="231F20"/>
                  <w:spacing w:val="34"/>
                  <w:w w:val="110"/>
                  <w:sz w:val="17"/>
                </w:rPr>
                <w:t>  </w:t>
              </w:r>
              <w:r>
                <w:rPr>
                  <w:rFonts w:ascii="Times New Roman" w:hAnsi="Times New Roman"/>
                  <w:color w:val="231F20"/>
                  <w:w w:val="110"/>
                  <w:sz w:val="17"/>
                </w:rPr>
                <w:t>Principaux</w:t>
              </w:r>
              <w:r>
                <w:rPr>
                  <w:rFonts w:ascii="Times New Roman" w:hAnsi="Times New Roman"/>
                  <w:color w:val="231F20"/>
                  <w:spacing w:val="3"/>
                  <w:w w:val="110"/>
                  <w:sz w:val="17"/>
                </w:rPr>
                <w:t> </w:t>
              </w:r>
              <w:r>
                <w:rPr>
                  <w:rFonts w:ascii="Times New Roman" w:hAnsi="Times New Roman"/>
                  <w:color w:val="231F20"/>
                  <w:w w:val="110"/>
                  <w:sz w:val="17"/>
                </w:rPr>
                <w:t>antécédents</w:t>
              </w:r>
              <w:r>
                <w:rPr>
                  <w:rFonts w:ascii="Times New Roman" w:hAnsi="Times New Roman"/>
                  <w:color w:val="231F20"/>
                  <w:spacing w:val="2"/>
                  <w:w w:val="110"/>
                  <w:sz w:val="17"/>
                </w:rPr>
                <w:t> </w:t>
              </w:r>
              <w:r>
                <w:rPr>
                  <w:rFonts w:ascii="Times New Roman" w:hAnsi="Times New Roman"/>
                  <w:color w:val="231F20"/>
                  <w:spacing w:val="-2"/>
                  <w:w w:val="110"/>
                  <w:sz w:val="17"/>
                </w:rPr>
                <w:t>extrinsèques</w:t>
              </w:r>
            </w:hyperlink>
          </w:p>
          <w:p>
            <w:pPr>
              <w:pStyle w:val="TableParagraph"/>
              <w:spacing w:line="186" w:lineRule="exact" w:before="55"/>
              <w:ind w:left="645"/>
              <w:rPr>
                <w:rFonts w:ascii="Times New Roman"/>
                <w:sz w:val="17"/>
              </w:rPr>
            </w:pPr>
            <w:hyperlink w:history="true" w:anchor="_bookmark36">
              <w:r>
                <w:rPr>
                  <w:rFonts w:ascii="Times New Roman"/>
                  <w:color w:val="231F20"/>
                  <w:w w:val="125"/>
                  <w:sz w:val="17"/>
                </w:rPr>
                <w:t>du</w:t>
              </w:r>
              <w:r>
                <w:rPr>
                  <w:rFonts w:ascii="Times New Roman"/>
                  <w:color w:val="231F20"/>
                  <w:spacing w:val="-15"/>
                  <w:w w:val="125"/>
                  <w:sz w:val="17"/>
                </w:rPr>
                <w:t> </w:t>
              </w:r>
              <w:r>
                <w:rPr>
                  <w:rFonts w:ascii="Times New Roman"/>
                  <w:color w:val="231F20"/>
                  <w:w w:val="125"/>
                  <w:sz w:val="17"/>
                </w:rPr>
                <w:t>stress</w:t>
              </w:r>
              <w:r>
                <w:rPr>
                  <w:rFonts w:ascii="Times New Roman"/>
                  <w:color w:val="231F20"/>
                  <w:spacing w:val="56"/>
                  <w:w w:val="125"/>
                  <w:sz w:val="17"/>
                </w:rPr>
                <w:t> </w:t>
              </w:r>
              <w:r>
                <w:rPr>
                  <w:rFonts w:ascii="Times New Roman"/>
                  <w:color w:val="231F20"/>
                  <w:spacing w:val="-2"/>
                  <w:w w:val="125"/>
                  <w:sz w:val="17"/>
                </w:rPr>
                <w:t>............................................................</w:t>
              </w:r>
            </w:hyperlink>
          </w:p>
        </w:tc>
        <w:tc>
          <w:tcPr>
            <w:tcW w:w="610" w:type="dxa"/>
          </w:tcPr>
          <w:p>
            <w:pPr>
              <w:pStyle w:val="TableParagraph"/>
              <w:spacing w:before="2"/>
              <w:rPr>
                <w:rFonts w:ascii="Times New Roman"/>
                <w:sz w:val="28"/>
              </w:rPr>
            </w:pPr>
          </w:p>
          <w:p>
            <w:pPr>
              <w:pStyle w:val="TableParagraph"/>
              <w:spacing w:line="186" w:lineRule="exact"/>
              <w:ind w:right="46"/>
              <w:jc w:val="right"/>
              <w:rPr>
                <w:rFonts w:ascii="Times New Roman"/>
                <w:sz w:val="17"/>
              </w:rPr>
            </w:pPr>
            <w:hyperlink w:history="true" w:anchor="_bookmark36">
              <w:r>
                <w:rPr>
                  <w:rFonts w:ascii="Times New Roman"/>
                  <w:color w:val="231F20"/>
                  <w:spacing w:val="-5"/>
                  <w:w w:val="130"/>
                  <w:sz w:val="17"/>
                </w:rPr>
                <w:t>87</w:t>
              </w:r>
            </w:hyperlink>
          </w:p>
        </w:tc>
      </w:tr>
      <w:tr>
        <w:trPr>
          <w:trHeight w:val="310" w:hRule="atLeast"/>
        </w:trPr>
        <w:tc>
          <w:tcPr>
            <w:tcW w:w="445" w:type="dxa"/>
          </w:tcPr>
          <w:p>
            <w:pPr>
              <w:pStyle w:val="TableParagraph"/>
              <w:rPr>
                <w:rFonts w:ascii="Times New Roman"/>
                <w:sz w:val="16"/>
              </w:rPr>
            </w:pPr>
          </w:p>
        </w:tc>
        <w:tc>
          <w:tcPr>
            <w:tcW w:w="4792" w:type="dxa"/>
            <w:gridSpan w:val="2"/>
          </w:tcPr>
          <w:p>
            <w:pPr>
              <w:pStyle w:val="TableParagraph"/>
              <w:spacing w:line="186" w:lineRule="exact" w:before="103"/>
              <w:ind w:left="105"/>
              <w:rPr>
                <w:rFonts w:ascii="Times New Roman" w:hAnsi="Times New Roman"/>
                <w:sz w:val="17"/>
              </w:rPr>
            </w:pPr>
            <w:hyperlink w:history="true" w:anchor="_bookmark37">
              <w:r>
                <w:rPr>
                  <w:color w:val="231F20"/>
                  <w:w w:val="110"/>
                  <w:sz w:val="17"/>
                </w:rPr>
                <w:t>3.2.2</w:t>
              </w:r>
              <w:r>
                <w:rPr>
                  <w:color w:val="231F20"/>
                  <w:spacing w:val="-10"/>
                  <w:w w:val="110"/>
                  <w:sz w:val="17"/>
                </w:rPr>
                <w:t> </w:t>
              </w:r>
              <w:r>
                <w:rPr>
                  <w:i/>
                  <w:color w:val="231F20"/>
                  <w:w w:val="110"/>
                  <w:sz w:val="17"/>
                </w:rPr>
                <w:t>/</w:t>
              </w:r>
              <w:r>
                <w:rPr>
                  <w:i/>
                  <w:color w:val="231F20"/>
                  <w:spacing w:val="28"/>
                  <w:w w:val="110"/>
                  <w:sz w:val="17"/>
                </w:rPr>
                <w:t>  </w:t>
              </w:r>
              <w:r>
                <w:rPr>
                  <w:rFonts w:ascii="Times New Roman" w:hAnsi="Times New Roman"/>
                  <w:color w:val="231F20"/>
                  <w:w w:val="110"/>
                  <w:sz w:val="17"/>
                </w:rPr>
                <w:t>Principaux</w:t>
              </w:r>
              <w:r>
                <w:rPr>
                  <w:rFonts w:ascii="Times New Roman" w:hAnsi="Times New Roman"/>
                  <w:color w:val="231F20"/>
                  <w:spacing w:val="7"/>
                  <w:w w:val="110"/>
                  <w:sz w:val="17"/>
                </w:rPr>
                <w:t> </w:t>
              </w:r>
              <w:r>
                <w:rPr>
                  <w:rFonts w:ascii="Times New Roman" w:hAnsi="Times New Roman"/>
                  <w:color w:val="231F20"/>
                  <w:w w:val="110"/>
                  <w:sz w:val="17"/>
                </w:rPr>
                <w:t>antécédents</w:t>
              </w:r>
              <w:r>
                <w:rPr>
                  <w:rFonts w:ascii="Times New Roman" w:hAnsi="Times New Roman"/>
                  <w:color w:val="231F20"/>
                  <w:spacing w:val="7"/>
                  <w:w w:val="110"/>
                  <w:sz w:val="17"/>
                </w:rPr>
                <w:t> </w:t>
              </w:r>
              <w:r>
                <w:rPr>
                  <w:rFonts w:ascii="Times New Roman" w:hAnsi="Times New Roman"/>
                  <w:color w:val="231F20"/>
                  <w:spacing w:val="-2"/>
                  <w:w w:val="110"/>
                  <w:sz w:val="17"/>
                </w:rPr>
                <w:t>intrinsèques</w:t>
              </w:r>
            </w:hyperlink>
          </w:p>
        </w:tc>
        <w:tc>
          <w:tcPr>
            <w:tcW w:w="610" w:type="dxa"/>
          </w:tcPr>
          <w:p>
            <w:pPr>
              <w:pStyle w:val="TableParagraph"/>
              <w:rPr>
                <w:rFonts w:ascii="Times New Roman"/>
                <w:sz w:val="16"/>
              </w:rPr>
            </w:pPr>
          </w:p>
        </w:tc>
      </w:tr>
      <w:tr>
        <w:trPr>
          <w:trHeight w:val="280" w:hRule="atLeast"/>
        </w:trPr>
        <w:tc>
          <w:tcPr>
            <w:tcW w:w="445" w:type="dxa"/>
          </w:tcPr>
          <w:p>
            <w:pPr>
              <w:pStyle w:val="TableParagraph"/>
              <w:rPr>
                <w:rFonts w:ascii="Times New Roman"/>
                <w:sz w:val="16"/>
              </w:rPr>
            </w:pPr>
          </w:p>
        </w:tc>
        <w:tc>
          <w:tcPr>
            <w:tcW w:w="601" w:type="dxa"/>
          </w:tcPr>
          <w:p>
            <w:pPr>
              <w:pStyle w:val="TableParagraph"/>
              <w:rPr>
                <w:rFonts w:ascii="Times New Roman"/>
                <w:sz w:val="16"/>
              </w:rPr>
            </w:pPr>
          </w:p>
        </w:tc>
        <w:tc>
          <w:tcPr>
            <w:tcW w:w="4191" w:type="dxa"/>
          </w:tcPr>
          <w:p>
            <w:pPr>
              <w:pStyle w:val="TableParagraph"/>
              <w:spacing w:before="44"/>
              <w:ind w:left="44"/>
              <w:rPr>
                <w:rFonts w:ascii="Times New Roman"/>
                <w:sz w:val="17"/>
              </w:rPr>
            </w:pPr>
            <w:hyperlink w:history="true" w:anchor="_bookmark37">
              <w:r>
                <w:rPr>
                  <w:rFonts w:ascii="Times New Roman"/>
                  <w:color w:val="231F20"/>
                  <w:w w:val="125"/>
                  <w:sz w:val="17"/>
                </w:rPr>
                <w:t>du</w:t>
              </w:r>
              <w:r>
                <w:rPr>
                  <w:rFonts w:ascii="Times New Roman"/>
                  <w:color w:val="231F20"/>
                  <w:spacing w:val="-15"/>
                  <w:w w:val="125"/>
                  <w:sz w:val="17"/>
                </w:rPr>
                <w:t> </w:t>
              </w:r>
              <w:r>
                <w:rPr>
                  <w:rFonts w:ascii="Times New Roman"/>
                  <w:color w:val="231F20"/>
                  <w:w w:val="125"/>
                  <w:sz w:val="17"/>
                </w:rPr>
                <w:t>stress</w:t>
              </w:r>
              <w:r>
                <w:rPr>
                  <w:rFonts w:ascii="Times New Roman"/>
                  <w:color w:val="231F20"/>
                  <w:spacing w:val="56"/>
                  <w:w w:val="125"/>
                  <w:sz w:val="17"/>
                </w:rPr>
                <w:t> </w:t>
              </w:r>
              <w:r>
                <w:rPr>
                  <w:rFonts w:ascii="Times New Roman"/>
                  <w:color w:val="231F20"/>
                  <w:spacing w:val="-2"/>
                  <w:w w:val="125"/>
                  <w:sz w:val="17"/>
                </w:rPr>
                <w:t>............................................................</w:t>
              </w:r>
            </w:hyperlink>
          </w:p>
        </w:tc>
        <w:tc>
          <w:tcPr>
            <w:tcW w:w="610" w:type="dxa"/>
          </w:tcPr>
          <w:p>
            <w:pPr>
              <w:pStyle w:val="TableParagraph"/>
              <w:spacing w:before="44"/>
              <w:ind w:right="46"/>
              <w:jc w:val="right"/>
              <w:rPr>
                <w:rFonts w:ascii="Times New Roman"/>
                <w:sz w:val="17"/>
              </w:rPr>
            </w:pPr>
            <w:hyperlink w:history="true" w:anchor="_bookmark37">
              <w:r>
                <w:rPr>
                  <w:rFonts w:ascii="Times New Roman"/>
                  <w:color w:val="231F20"/>
                  <w:spacing w:val="-5"/>
                  <w:w w:val="130"/>
                  <w:sz w:val="17"/>
                </w:rPr>
                <w:t>88</w:t>
              </w:r>
            </w:hyperlink>
          </w:p>
        </w:tc>
      </w:tr>
      <w:tr>
        <w:trPr>
          <w:trHeight w:val="310" w:hRule="atLeast"/>
        </w:trPr>
        <w:tc>
          <w:tcPr>
            <w:tcW w:w="445" w:type="dxa"/>
          </w:tcPr>
          <w:p>
            <w:pPr>
              <w:pStyle w:val="TableParagraph"/>
              <w:spacing w:before="73"/>
              <w:ind w:left="50"/>
              <w:rPr>
                <w:i/>
                <w:sz w:val="17"/>
              </w:rPr>
            </w:pPr>
            <w:hyperlink w:history="true" w:anchor="_bookmark39">
              <w:r>
                <w:rPr>
                  <w:color w:val="231F20"/>
                  <w:w w:val="85"/>
                  <w:sz w:val="17"/>
                </w:rPr>
                <w:t>3.3</w:t>
              </w:r>
              <w:r>
                <w:rPr>
                  <w:color w:val="231F20"/>
                  <w:spacing w:val="-2"/>
                  <w:w w:val="85"/>
                  <w:sz w:val="17"/>
                </w:rPr>
                <w:t> </w:t>
              </w:r>
              <w:r>
                <w:rPr>
                  <w:i/>
                  <w:color w:val="231F20"/>
                  <w:spacing w:val="-10"/>
                  <w:w w:val="95"/>
                  <w:sz w:val="17"/>
                </w:rPr>
                <w:t>/</w:t>
              </w:r>
            </w:hyperlink>
          </w:p>
        </w:tc>
        <w:tc>
          <w:tcPr>
            <w:tcW w:w="601" w:type="dxa"/>
          </w:tcPr>
          <w:p>
            <w:pPr>
              <w:pStyle w:val="TableParagraph"/>
              <w:spacing w:before="74"/>
              <w:ind w:left="86"/>
              <w:jc w:val="center"/>
              <w:rPr>
                <w:rFonts w:ascii="Times New Roman"/>
                <w:sz w:val="17"/>
              </w:rPr>
            </w:pPr>
            <w:hyperlink w:history="true" w:anchor="_bookmark39">
              <w:r>
                <w:rPr>
                  <w:rFonts w:ascii="Times New Roman"/>
                  <w:color w:val="231F20"/>
                  <w:spacing w:val="-2"/>
                  <w:w w:val="120"/>
                  <w:sz w:val="17"/>
                </w:rPr>
                <w:t>Stress</w:t>
              </w:r>
            </w:hyperlink>
          </w:p>
        </w:tc>
        <w:tc>
          <w:tcPr>
            <w:tcW w:w="4191" w:type="dxa"/>
          </w:tcPr>
          <w:p>
            <w:pPr>
              <w:pStyle w:val="TableParagraph"/>
              <w:spacing w:before="74"/>
              <w:ind w:left="20"/>
              <w:rPr>
                <w:rFonts w:ascii="Times New Roman" w:hAnsi="Times New Roman"/>
                <w:sz w:val="17"/>
              </w:rPr>
            </w:pPr>
            <w:hyperlink w:history="true" w:anchor="_bookmark39">
              <w:r>
                <w:rPr>
                  <w:rFonts w:ascii="Times New Roman" w:hAnsi="Times New Roman"/>
                  <w:color w:val="231F20"/>
                  <w:w w:val="125"/>
                  <w:sz w:val="17"/>
                </w:rPr>
                <w:t>et</w:t>
              </w:r>
              <w:r>
                <w:rPr>
                  <w:rFonts w:ascii="Times New Roman" w:hAnsi="Times New Roman"/>
                  <w:color w:val="231F20"/>
                  <w:spacing w:val="-15"/>
                  <w:w w:val="125"/>
                  <w:sz w:val="17"/>
                </w:rPr>
                <w:t> </w:t>
              </w:r>
              <w:r>
                <w:rPr>
                  <w:rFonts w:ascii="Times New Roman" w:hAnsi="Times New Roman"/>
                  <w:color w:val="231F20"/>
                  <w:w w:val="125"/>
                  <w:sz w:val="17"/>
                </w:rPr>
                <w:t>personnalité</w:t>
              </w:r>
              <w:r>
                <w:rPr>
                  <w:rFonts w:ascii="Times New Roman" w:hAnsi="Times New Roman"/>
                  <w:color w:val="231F20"/>
                  <w:spacing w:val="27"/>
                  <w:w w:val="125"/>
                  <w:sz w:val="17"/>
                </w:rPr>
                <w:t> </w:t>
              </w:r>
              <w:r>
                <w:rPr>
                  <w:rFonts w:ascii="Times New Roman" w:hAnsi="Times New Roman"/>
                  <w:color w:val="231F20"/>
                  <w:spacing w:val="-2"/>
                  <w:w w:val="125"/>
                  <w:sz w:val="17"/>
                </w:rPr>
                <w:t>...................................................</w:t>
              </w:r>
            </w:hyperlink>
          </w:p>
        </w:tc>
        <w:tc>
          <w:tcPr>
            <w:tcW w:w="610" w:type="dxa"/>
          </w:tcPr>
          <w:p>
            <w:pPr>
              <w:pStyle w:val="TableParagraph"/>
              <w:spacing w:before="74"/>
              <w:ind w:right="46"/>
              <w:jc w:val="right"/>
              <w:rPr>
                <w:rFonts w:ascii="Times New Roman"/>
                <w:sz w:val="17"/>
              </w:rPr>
            </w:pPr>
            <w:hyperlink w:history="true" w:anchor="_bookmark39">
              <w:r>
                <w:rPr>
                  <w:rFonts w:ascii="Times New Roman"/>
                  <w:color w:val="231F20"/>
                  <w:spacing w:val="-5"/>
                  <w:w w:val="130"/>
                  <w:sz w:val="17"/>
                </w:rPr>
                <w:t>91</w:t>
              </w:r>
            </w:hyperlink>
          </w:p>
        </w:tc>
      </w:tr>
      <w:tr>
        <w:trPr>
          <w:trHeight w:val="310" w:hRule="atLeast"/>
        </w:trPr>
        <w:tc>
          <w:tcPr>
            <w:tcW w:w="445" w:type="dxa"/>
          </w:tcPr>
          <w:p>
            <w:pPr>
              <w:pStyle w:val="TableParagraph"/>
              <w:rPr>
                <w:rFonts w:ascii="Times New Roman"/>
                <w:sz w:val="16"/>
              </w:rPr>
            </w:pPr>
          </w:p>
        </w:tc>
        <w:tc>
          <w:tcPr>
            <w:tcW w:w="601" w:type="dxa"/>
          </w:tcPr>
          <w:p>
            <w:pPr>
              <w:pStyle w:val="TableParagraph"/>
              <w:spacing w:before="73"/>
              <w:ind w:left="104"/>
              <w:rPr>
                <w:i/>
                <w:sz w:val="17"/>
              </w:rPr>
            </w:pPr>
            <w:hyperlink w:history="true" w:anchor="_bookmark39">
              <w:r>
                <w:rPr>
                  <w:color w:val="231F20"/>
                  <w:w w:val="85"/>
                  <w:sz w:val="17"/>
                </w:rPr>
                <w:t>3.3.1</w:t>
              </w:r>
              <w:r>
                <w:rPr>
                  <w:color w:val="231F20"/>
                  <w:spacing w:val="-9"/>
                  <w:w w:val="85"/>
                  <w:sz w:val="17"/>
                </w:rPr>
                <w:t> </w:t>
              </w:r>
              <w:r>
                <w:rPr>
                  <w:i/>
                  <w:color w:val="231F20"/>
                  <w:spacing w:val="-10"/>
                  <w:sz w:val="17"/>
                </w:rPr>
                <w:t>/</w:t>
              </w:r>
            </w:hyperlink>
          </w:p>
        </w:tc>
        <w:tc>
          <w:tcPr>
            <w:tcW w:w="4191" w:type="dxa"/>
          </w:tcPr>
          <w:p>
            <w:pPr>
              <w:pStyle w:val="TableParagraph"/>
              <w:spacing w:before="74"/>
              <w:ind w:left="43"/>
              <w:rPr>
                <w:rFonts w:ascii="Times New Roman" w:hAnsi="Times New Roman"/>
                <w:sz w:val="17"/>
              </w:rPr>
            </w:pPr>
            <w:hyperlink w:history="true" w:anchor="_bookmark39">
              <w:r>
                <w:rPr>
                  <w:rFonts w:ascii="Times New Roman" w:hAnsi="Times New Roman"/>
                  <w:color w:val="231F20"/>
                  <w:w w:val="115"/>
                  <w:sz w:val="17"/>
                </w:rPr>
                <w:t>Type</w:t>
              </w:r>
              <w:r>
                <w:rPr>
                  <w:rFonts w:ascii="Times New Roman" w:hAnsi="Times New Roman"/>
                  <w:color w:val="231F20"/>
                  <w:spacing w:val="-8"/>
                  <w:w w:val="115"/>
                  <w:sz w:val="17"/>
                </w:rPr>
                <w:t> </w:t>
              </w:r>
              <w:r>
                <w:rPr>
                  <w:rFonts w:ascii="Times New Roman" w:hAnsi="Times New Roman"/>
                  <w:color w:val="231F20"/>
                  <w:w w:val="115"/>
                  <w:sz w:val="17"/>
                </w:rPr>
                <w:t>de</w:t>
              </w:r>
              <w:r>
                <w:rPr>
                  <w:rFonts w:ascii="Times New Roman" w:hAnsi="Times New Roman"/>
                  <w:color w:val="231F20"/>
                  <w:spacing w:val="-7"/>
                  <w:w w:val="115"/>
                  <w:sz w:val="17"/>
                </w:rPr>
                <w:t> </w:t>
              </w:r>
              <w:r>
                <w:rPr>
                  <w:rFonts w:ascii="Times New Roman" w:hAnsi="Times New Roman"/>
                  <w:color w:val="231F20"/>
                  <w:w w:val="115"/>
                  <w:sz w:val="17"/>
                </w:rPr>
                <w:t>personnalité</w:t>
              </w:r>
              <w:r>
                <w:rPr>
                  <w:rFonts w:ascii="Times New Roman" w:hAnsi="Times New Roman"/>
                  <w:color w:val="231F20"/>
                  <w:spacing w:val="-8"/>
                  <w:w w:val="115"/>
                  <w:sz w:val="17"/>
                </w:rPr>
                <w:t> </w:t>
              </w:r>
              <w:r>
                <w:rPr>
                  <w:rFonts w:ascii="Times New Roman" w:hAnsi="Times New Roman"/>
                  <w:color w:val="231F20"/>
                  <w:w w:val="115"/>
                  <w:sz w:val="17"/>
                </w:rPr>
                <w:t>A,</w:t>
              </w:r>
              <w:r>
                <w:rPr>
                  <w:rFonts w:ascii="Times New Roman" w:hAnsi="Times New Roman"/>
                  <w:color w:val="231F20"/>
                  <w:spacing w:val="-7"/>
                  <w:w w:val="115"/>
                  <w:sz w:val="17"/>
                </w:rPr>
                <w:t> </w:t>
              </w:r>
              <w:r>
                <w:rPr>
                  <w:rFonts w:ascii="Times New Roman" w:hAnsi="Times New Roman"/>
                  <w:color w:val="231F20"/>
                  <w:w w:val="115"/>
                  <w:sz w:val="17"/>
                </w:rPr>
                <w:t>B</w:t>
              </w:r>
              <w:r>
                <w:rPr>
                  <w:rFonts w:ascii="Times New Roman" w:hAnsi="Times New Roman"/>
                  <w:color w:val="231F20"/>
                  <w:spacing w:val="-7"/>
                  <w:w w:val="115"/>
                  <w:sz w:val="17"/>
                </w:rPr>
                <w:t> </w:t>
              </w:r>
              <w:r>
                <w:rPr>
                  <w:rFonts w:ascii="Times New Roman" w:hAnsi="Times New Roman"/>
                  <w:color w:val="231F20"/>
                  <w:w w:val="115"/>
                  <w:sz w:val="17"/>
                </w:rPr>
                <w:t>et</w:t>
              </w:r>
              <w:r>
                <w:rPr>
                  <w:rFonts w:ascii="Times New Roman" w:hAnsi="Times New Roman"/>
                  <w:color w:val="231F20"/>
                  <w:spacing w:val="-8"/>
                  <w:w w:val="115"/>
                  <w:sz w:val="17"/>
                </w:rPr>
                <w:t> </w:t>
              </w:r>
              <w:r>
                <w:rPr>
                  <w:rFonts w:ascii="Times New Roman" w:hAnsi="Times New Roman"/>
                  <w:color w:val="231F20"/>
                  <w:w w:val="115"/>
                  <w:sz w:val="17"/>
                </w:rPr>
                <w:t>C</w:t>
              </w:r>
              <w:r>
                <w:rPr>
                  <w:rFonts w:ascii="Times New Roman" w:hAnsi="Times New Roman"/>
                  <w:color w:val="231F20"/>
                  <w:spacing w:val="78"/>
                  <w:w w:val="115"/>
                  <w:sz w:val="17"/>
                </w:rPr>
                <w:t> </w:t>
              </w:r>
              <w:r>
                <w:rPr>
                  <w:rFonts w:ascii="Times New Roman" w:hAnsi="Times New Roman"/>
                  <w:color w:val="231F20"/>
                  <w:spacing w:val="-2"/>
                  <w:w w:val="115"/>
                  <w:sz w:val="17"/>
                </w:rPr>
                <w:t>...........................</w:t>
              </w:r>
            </w:hyperlink>
          </w:p>
        </w:tc>
        <w:tc>
          <w:tcPr>
            <w:tcW w:w="610" w:type="dxa"/>
          </w:tcPr>
          <w:p>
            <w:pPr>
              <w:pStyle w:val="TableParagraph"/>
              <w:spacing w:before="74"/>
              <w:ind w:right="46"/>
              <w:jc w:val="right"/>
              <w:rPr>
                <w:rFonts w:ascii="Times New Roman"/>
                <w:sz w:val="17"/>
              </w:rPr>
            </w:pPr>
            <w:hyperlink w:history="true" w:anchor="_bookmark39">
              <w:r>
                <w:rPr>
                  <w:rFonts w:ascii="Times New Roman"/>
                  <w:color w:val="231F20"/>
                  <w:spacing w:val="-5"/>
                  <w:w w:val="130"/>
                  <w:sz w:val="17"/>
                </w:rPr>
                <w:t>91</w:t>
              </w:r>
            </w:hyperlink>
          </w:p>
        </w:tc>
      </w:tr>
      <w:tr>
        <w:trPr>
          <w:trHeight w:val="310" w:hRule="atLeast"/>
        </w:trPr>
        <w:tc>
          <w:tcPr>
            <w:tcW w:w="445" w:type="dxa"/>
          </w:tcPr>
          <w:p>
            <w:pPr>
              <w:pStyle w:val="TableParagraph"/>
              <w:rPr>
                <w:rFonts w:ascii="Times New Roman"/>
                <w:sz w:val="16"/>
              </w:rPr>
            </w:pPr>
          </w:p>
        </w:tc>
        <w:tc>
          <w:tcPr>
            <w:tcW w:w="601" w:type="dxa"/>
          </w:tcPr>
          <w:p>
            <w:pPr>
              <w:pStyle w:val="TableParagraph"/>
              <w:spacing w:before="73"/>
              <w:ind w:left="104"/>
              <w:rPr>
                <w:i/>
                <w:sz w:val="17"/>
              </w:rPr>
            </w:pPr>
            <w:hyperlink w:history="true" w:anchor="_bookmark41">
              <w:r>
                <w:rPr>
                  <w:color w:val="231F20"/>
                  <w:w w:val="90"/>
                  <w:sz w:val="17"/>
                </w:rPr>
                <w:t>3.3.2</w:t>
              </w:r>
              <w:r>
                <w:rPr>
                  <w:color w:val="231F20"/>
                  <w:spacing w:val="-12"/>
                  <w:w w:val="90"/>
                  <w:sz w:val="17"/>
                </w:rPr>
                <w:t> </w:t>
              </w:r>
              <w:r>
                <w:rPr>
                  <w:i/>
                  <w:color w:val="231F20"/>
                  <w:spacing w:val="-10"/>
                  <w:sz w:val="17"/>
                </w:rPr>
                <w:t>/</w:t>
              </w:r>
            </w:hyperlink>
          </w:p>
        </w:tc>
        <w:tc>
          <w:tcPr>
            <w:tcW w:w="4191" w:type="dxa"/>
          </w:tcPr>
          <w:p>
            <w:pPr>
              <w:pStyle w:val="TableParagraph"/>
              <w:spacing w:before="74"/>
              <w:ind w:left="43"/>
              <w:rPr>
                <w:rFonts w:ascii="Times New Roman" w:hAnsi="Times New Roman"/>
                <w:sz w:val="17"/>
              </w:rPr>
            </w:pPr>
            <w:hyperlink w:history="true" w:anchor="_bookmark41">
              <w:r>
                <w:rPr>
                  <w:rFonts w:ascii="Times New Roman" w:hAnsi="Times New Roman"/>
                  <w:color w:val="231F20"/>
                  <w:w w:val="120"/>
                  <w:sz w:val="17"/>
                </w:rPr>
                <w:t>Locus</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3"/>
                  <w:w w:val="120"/>
                  <w:sz w:val="17"/>
                </w:rPr>
                <w:t> </w:t>
              </w:r>
              <w:r>
                <w:rPr>
                  <w:rFonts w:ascii="Times New Roman" w:hAnsi="Times New Roman"/>
                  <w:color w:val="231F20"/>
                  <w:w w:val="120"/>
                  <w:sz w:val="17"/>
                </w:rPr>
                <w:t>contrôle</w:t>
              </w:r>
              <w:r>
                <w:rPr>
                  <w:rFonts w:ascii="Times New Roman" w:hAnsi="Times New Roman"/>
                  <w:color w:val="231F20"/>
                  <w:spacing w:val="56"/>
                  <w:w w:val="120"/>
                  <w:sz w:val="17"/>
                </w:rPr>
                <w:t> </w:t>
              </w:r>
              <w:r>
                <w:rPr>
                  <w:rFonts w:ascii="Times New Roman" w:hAnsi="Times New Roman"/>
                  <w:color w:val="231F20"/>
                  <w:spacing w:val="-2"/>
                  <w:w w:val="120"/>
                  <w:sz w:val="17"/>
                </w:rPr>
                <w:t>..............................................</w:t>
              </w:r>
            </w:hyperlink>
          </w:p>
        </w:tc>
        <w:tc>
          <w:tcPr>
            <w:tcW w:w="610" w:type="dxa"/>
          </w:tcPr>
          <w:p>
            <w:pPr>
              <w:pStyle w:val="TableParagraph"/>
              <w:spacing w:before="74"/>
              <w:ind w:right="46"/>
              <w:jc w:val="right"/>
              <w:rPr>
                <w:rFonts w:ascii="Times New Roman"/>
                <w:sz w:val="17"/>
              </w:rPr>
            </w:pPr>
            <w:hyperlink w:history="true" w:anchor="_bookmark41">
              <w:r>
                <w:rPr>
                  <w:rFonts w:ascii="Times New Roman"/>
                  <w:color w:val="231F20"/>
                  <w:spacing w:val="-5"/>
                  <w:w w:val="130"/>
                  <w:sz w:val="17"/>
                </w:rPr>
                <w:t>95</w:t>
              </w:r>
            </w:hyperlink>
          </w:p>
        </w:tc>
      </w:tr>
      <w:tr>
        <w:trPr>
          <w:trHeight w:val="560" w:hRule="atLeast"/>
        </w:trPr>
        <w:tc>
          <w:tcPr>
            <w:tcW w:w="445" w:type="dxa"/>
          </w:tcPr>
          <w:p>
            <w:pPr>
              <w:pStyle w:val="TableParagraph"/>
              <w:rPr>
                <w:rFonts w:ascii="Times New Roman"/>
                <w:sz w:val="16"/>
              </w:rPr>
            </w:pPr>
          </w:p>
        </w:tc>
        <w:tc>
          <w:tcPr>
            <w:tcW w:w="601" w:type="dxa"/>
          </w:tcPr>
          <w:p>
            <w:pPr>
              <w:pStyle w:val="TableParagraph"/>
              <w:spacing w:before="73"/>
              <w:ind w:left="104"/>
              <w:rPr>
                <w:i/>
                <w:sz w:val="17"/>
              </w:rPr>
            </w:pPr>
            <w:hyperlink w:history="true" w:anchor="_bookmark42">
              <w:r>
                <w:rPr>
                  <w:color w:val="231F20"/>
                  <w:w w:val="85"/>
                  <w:sz w:val="17"/>
                </w:rPr>
                <w:t>3.3.3</w:t>
              </w:r>
              <w:r>
                <w:rPr>
                  <w:color w:val="231F20"/>
                  <w:spacing w:val="-1"/>
                  <w:sz w:val="17"/>
                </w:rPr>
                <w:t> </w:t>
              </w:r>
              <w:r>
                <w:rPr>
                  <w:i/>
                  <w:color w:val="231F20"/>
                  <w:spacing w:val="-10"/>
                  <w:sz w:val="17"/>
                </w:rPr>
                <w:t>/</w:t>
              </w:r>
            </w:hyperlink>
          </w:p>
        </w:tc>
        <w:tc>
          <w:tcPr>
            <w:tcW w:w="4191" w:type="dxa"/>
          </w:tcPr>
          <w:p>
            <w:pPr>
              <w:pStyle w:val="TableParagraph"/>
              <w:spacing w:before="74"/>
              <w:ind w:left="43"/>
              <w:rPr>
                <w:rFonts w:ascii="Times New Roman" w:hAnsi="Times New Roman"/>
                <w:sz w:val="17"/>
              </w:rPr>
            </w:pPr>
            <w:hyperlink w:history="true" w:anchor="_bookmark42">
              <w:r>
                <w:rPr>
                  <w:rFonts w:ascii="Times New Roman" w:hAnsi="Times New Roman"/>
                  <w:color w:val="231F20"/>
                  <w:w w:val="115"/>
                  <w:sz w:val="17"/>
                </w:rPr>
                <w:t>Mesure</w:t>
              </w:r>
              <w:r>
                <w:rPr>
                  <w:rFonts w:ascii="Times New Roman" w:hAnsi="Times New Roman"/>
                  <w:color w:val="231F20"/>
                  <w:spacing w:val="1"/>
                  <w:w w:val="115"/>
                  <w:sz w:val="17"/>
                </w:rPr>
                <w:t> </w:t>
              </w:r>
              <w:r>
                <w:rPr>
                  <w:rFonts w:ascii="Times New Roman" w:hAnsi="Times New Roman"/>
                  <w:color w:val="231F20"/>
                  <w:w w:val="115"/>
                  <w:sz w:val="17"/>
                </w:rPr>
                <w:t>combinée</w:t>
              </w:r>
              <w:r>
                <w:rPr>
                  <w:rFonts w:ascii="Times New Roman" w:hAnsi="Times New Roman"/>
                  <w:color w:val="231F20"/>
                  <w:spacing w:val="1"/>
                  <w:w w:val="115"/>
                  <w:sz w:val="17"/>
                </w:rPr>
                <w:t> </w:t>
              </w:r>
              <w:r>
                <w:rPr>
                  <w:rFonts w:ascii="Times New Roman" w:hAnsi="Times New Roman"/>
                  <w:color w:val="231F20"/>
                  <w:w w:val="115"/>
                  <w:sz w:val="17"/>
                </w:rPr>
                <w:t>de</w:t>
              </w:r>
              <w:r>
                <w:rPr>
                  <w:rFonts w:ascii="Times New Roman" w:hAnsi="Times New Roman"/>
                  <w:color w:val="231F20"/>
                  <w:spacing w:val="1"/>
                  <w:w w:val="115"/>
                  <w:sz w:val="17"/>
                </w:rPr>
                <w:t> </w:t>
              </w:r>
              <w:r>
                <w:rPr>
                  <w:rFonts w:ascii="Times New Roman" w:hAnsi="Times New Roman"/>
                  <w:color w:val="231F20"/>
                  <w:w w:val="115"/>
                  <w:sz w:val="17"/>
                </w:rPr>
                <w:t>la</w:t>
              </w:r>
              <w:r>
                <w:rPr>
                  <w:rFonts w:ascii="Times New Roman" w:hAnsi="Times New Roman"/>
                  <w:color w:val="231F20"/>
                  <w:spacing w:val="1"/>
                  <w:w w:val="115"/>
                  <w:sz w:val="17"/>
                </w:rPr>
                <w:t> </w:t>
              </w:r>
              <w:r>
                <w:rPr>
                  <w:rFonts w:ascii="Times New Roman" w:hAnsi="Times New Roman"/>
                  <w:color w:val="231F20"/>
                  <w:spacing w:val="-2"/>
                  <w:w w:val="115"/>
                  <w:sz w:val="17"/>
                </w:rPr>
                <w:t>personnalité</w:t>
              </w:r>
            </w:hyperlink>
          </w:p>
          <w:p>
            <w:pPr>
              <w:pStyle w:val="TableParagraph"/>
              <w:spacing w:before="55"/>
              <w:ind w:left="43"/>
              <w:rPr>
                <w:rFonts w:ascii="Times New Roman"/>
                <w:sz w:val="17"/>
              </w:rPr>
            </w:pPr>
            <w:hyperlink w:history="true" w:anchor="_bookmark42">
              <w:r>
                <w:rPr>
                  <w:rFonts w:ascii="Times New Roman"/>
                  <w:color w:val="231F20"/>
                  <w:w w:val="120"/>
                  <w:sz w:val="17"/>
                </w:rPr>
                <w:t>de</w:t>
              </w:r>
              <w:r>
                <w:rPr>
                  <w:rFonts w:ascii="Times New Roman"/>
                  <w:color w:val="231F20"/>
                  <w:spacing w:val="-13"/>
                  <w:w w:val="120"/>
                  <w:sz w:val="17"/>
                </w:rPr>
                <w:t> </w:t>
              </w:r>
              <w:r>
                <w:rPr>
                  <w:rFonts w:ascii="Times New Roman"/>
                  <w:color w:val="231F20"/>
                  <w:w w:val="120"/>
                  <w:sz w:val="17"/>
                </w:rPr>
                <w:t>Dolan</w:t>
              </w:r>
              <w:r>
                <w:rPr>
                  <w:rFonts w:ascii="Times New Roman"/>
                  <w:color w:val="231F20"/>
                  <w:spacing w:val="-13"/>
                  <w:w w:val="120"/>
                  <w:sz w:val="17"/>
                </w:rPr>
                <w:t> </w:t>
              </w:r>
              <w:r>
                <w:rPr>
                  <w:rFonts w:ascii="Times New Roman"/>
                  <w:color w:val="231F20"/>
                  <w:w w:val="120"/>
                  <w:sz w:val="17"/>
                </w:rPr>
                <w:t>et</w:t>
              </w:r>
              <w:r>
                <w:rPr>
                  <w:rFonts w:ascii="Times New Roman"/>
                  <w:color w:val="231F20"/>
                  <w:spacing w:val="-13"/>
                  <w:w w:val="120"/>
                  <w:sz w:val="17"/>
                </w:rPr>
                <w:t> </w:t>
              </w:r>
              <w:r>
                <w:rPr>
                  <w:rFonts w:ascii="Times New Roman"/>
                  <w:color w:val="231F20"/>
                  <w:w w:val="120"/>
                  <w:sz w:val="17"/>
                </w:rPr>
                <w:t>Arsenault</w:t>
              </w:r>
              <w:r>
                <w:rPr>
                  <w:rFonts w:ascii="Times New Roman"/>
                  <w:color w:val="231F20"/>
                  <w:spacing w:val="53"/>
                  <w:w w:val="120"/>
                  <w:sz w:val="17"/>
                </w:rPr>
                <w:t> </w:t>
              </w:r>
              <w:r>
                <w:rPr>
                  <w:rFonts w:ascii="Times New Roman"/>
                  <w:color w:val="231F20"/>
                  <w:spacing w:val="-2"/>
                  <w:w w:val="120"/>
                  <w:sz w:val="17"/>
                </w:rPr>
                <w:t>........................................</w:t>
              </w:r>
            </w:hyperlink>
          </w:p>
        </w:tc>
        <w:tc>
          <w:tcPr>
            <w:tcW w:w="610" w:type="dxa"/>
          </w:tcPr>
          <w:p>
            <w:pPr>
              <w:pStyle w:val="TableParagraph"/>
              <w:spacing w:before="2"/>
              <w:rPr>
                <w:rFonts w:ascii="Times New Roman"/>
                <w:sz w:val="28"/>
              </w:rPr>
            </w:pPr>
          </w:p>
          <w:p>
            <w:pPr>
              <w:pStyle w:val="TableParagraph"/>
              <w:ind w:right="47"/>
              <w:jc w:val="right"/>
              <w:rPr>
                <w:rFonts w:ascii="Times New Roman"/>
                <w:sz w:val="17"/>
              </w:rPr>
            </w:pPr>
            <w:hyperlink w:history="true" w:anchor="_bookmark42">
              <w:r>
                <w:rPr>
                  <w:rFonts w:ascii="Times New Roman"/>
                  <w:color w:val="231F20"/>
                  <w:spacing w:val="-5"/>
                  <w:w w:val="130"/>
                  <w:sz w:val="17"/>
                </w:rPr>
                <w:t>96</w:t>
              </w:r>
            </w:hyperlink>
          </w:p>
        </w:tc>
      </w:tr>
      <w:tr>
        <w:trPr>
          <w:trHeight w:val="310" w:hRule="atLeast"/>
        </w:trPr>
        <w:tc>
          <w:tcPr>
            <w:tcW w:w="445" w:type="dxa"/>
          </w:tcPr>
          <w:p>
            <w:pPr>
              <w:pStyle w:val="TableParagraph"/>
              <w:rPr>
                <w:rFonts w:ascii="Times New Roman"/>
                <w:sz w:val="16"/>
              </w:rPr>
            </w:pPr>
          </w:p>
        </w:tc>
        <w:tc>
          <w:tcPr>
            <w:tcW w:w="601" w:type="dxa"/>
          </w:tcPr>
          <w:p>
            <w:pPr>
              <w:pStyle w:val="TableParagraph"/>
              <w:spacing w:before="73"/>
              <w:ind w:left="104"/>
              <w:rPr>
                <w:i/>
                <w:sz w:val="17"/>
              </w:rPr>
            </w:pPr>
            <w:hyperlink w:history="true" w:anchor="_bookmark44">
              <w:r>
                <w:rPr>
                  <w:color w:val="231F20"/>
                  <w:w w:val="90"/>
                  <w:sz w:val="17"/>
                </w:rPr>
                <w:t>3.3.4</w:t>
              </w:r>
              <w:r>
                <w:rPr>
                  <w:color w:val="231F20"/>
                  <w:spacing w:val="-4"/>
                  <w:w w:val="90"/>
                  <w:sz w:val="17"/>
                </w:rPr>
                <w:t> </w:t>
              </w:r>
              <w:r>
                <w:rPr>
                  <w:i/>
                  <w:color w:val="231F20"/>
                  <w:spacing w:val="-10"/>
                  <w:sz w:val="17"/>
                </w:rPr>
                <w:t>/</w:t>
              </w:r>
            </w:hyperlink>
          </w:p>
        </w:tc>
        <w:tc>
          <w:tcPr>
            <w:tcW w:w="4191" w:type="dxa"/>
          </w:tcPr>
          <w:p>
            <w:pPr>
              <w:pStyle w:val="TableParagraph"/>
              <w:spacing w:before="74"/>
              <w:ind w:left="43"/>
              <w:rPr>
                <w:rFonts w:ascii="Times New Roman" w:hAnsi="Times New Roman"/>
                <w:sz w:val="17"/>
              </w:rPr>
            </w:pPr>
            <w:hyperlink w:history="true" w:anchor="_bookmark44">
              <w:r>
                <w:rPr>
                  <w:rFonts w:ascii="Times New Roman" w:hAnsi="Times New Roman"/>
                  <w:color w:val="231F20"/>
                  <w:w w:val="120"/>
                  <w:sz w:val="17"/>
                </w:rPr>
                <w:t>Profil</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2"/>
                  <w:w w:val="120"/>
                  <w:sz w:val="17"/>
                </w:rPr>
                <w:t> </w:t>
              </w:r>
              <w:r>
                <w:rPr>
                  <w:rFonts w:ascii="Times New Roman" w:hAnsi="Times New Roman"/>
                  <w:color w:val="231F20"/>
                  <w:w w:val="120"/>
                  <w:sz w:val="17"/>
                </w:rPr>
                <w:t>la</w:t>
              </w:r>
              <w:r>
                <w:rPr>
                  <w:rFonts w:ascii="Times New Roman" w:hAnsi="Times New Roman"/>
                  <w:color w:val="231F20"/>
                  <w:spacing w:val="-12"/>
                  <w:w w:val="120"/>
                  <w:sz w:val="17"/>
                </w:rPr>
                <w:t> </w:t>
              </w:r>
              <w:r>
                <w:rPr>
                  <w:rFonts w:ascii="Times New Roman" w:hAnsi="Times New Roman"/>
                  <w:color w:val="231F20"/>
                  <w:w w:val="120"/>
                  <w:sz w:val="17"/>
                </w:rPr>
                <w:t>personnalité</w:t>
              </w:r>
              <w:r>
                <w:rPr>
                  <w:rFonts w:ascii="Times New Roman" w:hAnsi="Times New Roman"/>
                  <w:color w:val="231F20"/>
                  <w:spacing w:val="-12"/>
                  <w:w w:val="120"/>
                  <w:sz w:val="17"/>
                </w:rPr>
                <w:t> </w:t>
              </w:r>
              <w:r>
                <w:rPr>
                  <w:rFonts w:ascii="Times New Roman" w:hAnsi="Times New Roman"/>
                  <w:color w:val="231F20"/>
                  <w:w w:val="120"/>
                  <w:sz w:val="17"/>
                </w:rPr>
                <w:t>résistante</w:t>
              </w:r>
              <w:r>
                <w:rPr>
                  <w:rFonts w:ascii="Times New Roman" w:hAnsi="Times New Roman"/>
                  <w:color w:val="231F20"/>
                  <w:spacing w:val="-13"/>
                  <w:w w:val="120"/>
                  <w:sz w:val="17"/>
                </w:rPr>
                <w:t> </w:t>
              </w:r>
              <w:r>
                <w:rPr>
                  <w:rFonts w:ascii="Times New Roman" w:hAnsi="Times New Roman"/>
                  <w:color w:val="231F20"/>
                  <w:w w:val="120"/>
                  <w:sz w:val="17"/>
                </w:rPr>
                <w:t>au</w:t>
              </w:r>
              <w:r>
                <w:rPr>
                  <w:rFonts w:ascii="Times New Roman" w:hAnsi="Times New Roman"/>
                  <w:color w:val="231F20"/>
                  <w:spacing w:val="-12"/>
                  <w:w w:val="120"/>
                  <w:sz w:val="17"/>
                </w:rPr>
                <w:t> </w:t>
              </w:r>
              <w:r>
                <w:rPr>
                  <w:rFonts w:ascii="Times New Roman" w:hAnsi="Times New Roman"/>
                  <w:color w:val="231F20"/>
                  <w:w w:val="120"/>
                  <w:sz w:val="17"/>
                </w:rPr>
                <w:t>stress</w:t>
              </w:r>
              <w:r>
                <w:rPr>
                  <w:rFonts w:ascii="Times New Roman" w:hAnsi="Times New Roman"/>
                  <w:color w:val="231F20"/>
                  <w:spacing w:val="32"/>
                  <w:w w:val="120"/>
                  <w:sz w:val="17"/>
                </w:rPr>
                <w:t> </w:t>
              </w:r>
              <w:r>
                <w:rPr>
                  <w:rFonts w:ascii="Times New Roman" w:hAnsi="Times New Roman"/>
                  <w:color w:val="231F20"/>
                  <w:spacing w:val="-2"/>
                  <w:w w:val="120"/>
                  <w:sz w:val="17"/>
                </w:rPr>
                <w:t>.......</w:t>
              </w:r>
            </w:hyperlink>
          </w:p>
        </w:tc>
        <w:tc>
          <w:tcPr>
            <w:tcW w:w="610" w:type="dxa"/>
          </w:tcPr>
          <w:p>
            <w:pPr>
              <w:pStyle w:val="TableParagraph"/>
              <w:spacing w:before="74"/>
              <w:ind w:right="47"/>
              <w:jc w:val="right"/>
              <w:rPr>
                <w:rFonts w:ascii="Times New Roman"/>
                <w:sz w:val="17"/>
              </w:rPr>
            </w:pPr>
            <w:hyperlink w:history="true" w:anchor="_bookmark44">
              <w:r>
                <w:rPr>
                  <w:rFonts w:ascii="Times New Roman"/>
                  <w:color w:val="231F20"/>
                  <w:spacing w:val="-5"/>
                  <w:w w:val="130"/>
                  <w:sz w:val="17"/>
                </w:rPr>
                <w:t>99</w:t>
              </w:r>
            </w:hyperlink>
          </w:p>
        </w:tc>
      </w:tr>
      <w:tr>
        <w:trPr>
          <w:trHeight w:val="310" w:hRule="atLeast"/>
        </w:trPr>
        <w:tc>
          <w:tcPr>
            <w:tcW w:w="445" w:type="dxa"/>
          </w:tcPr>
          <w:p>
            <w:pPr>
              <w:pStyle w:val="TableParagraph"/>
              <w:rPr>
                <w:rFonts w:ascii="Times New Roman"/>
                <w:sz w:val="16"/>
              </w:rPr>
            </w:pPr>
          </w:p>
        </w:tc>
        <w:tc>
          <w:tcPr>
            <w:tcW w:w="601" w:type="dxa"/>
          </w:tcPr>
          <w:p>
            <w:pPr>
              <w:pStyle w:val="TableParagraph"/>
              <w:spacing w:before="73"/>
              <w:ind w:left="104"/>
              <w:rPr>
                <w:i/>
                <w:sz w:val="17"/>
              </w:rPr>
            </w:pPr>
            <w:hyperlink w:history="true" w:anchor="_bookmark45">
              <w:r>
                <w:rPr>
                  <w:color w:val="231F20"/>
                  <w:w w:val="90"/>
                  <w:sz w:val="17"/>
                </w:rPr>
                <w:t>3.3.5</w:t>
              </w:r>
              <w:r>
                <w:rPr>
                  <w:color w:val="231F20"/>
                  <w:spacing w:val="-12"/>
                  <w:w w:val="90"/>
                  <w:sz w:val="17"/>
                </w:rPr>
                <w:t> </w:t>
              </w:r>
              <w:r>
                <w:rPr>
                  <w:i/>
                  <w:color w:val="231F20"/>
                  <w:spacing w:val="-10"/>
                  <w:sz w:val="17"/>
                </w:rPr>
                <w:t>/</w:t>
              </w:r>
            </w:hyperlink>
          </w:p>
        </w:tc>
        <w:tc>
          <w:tcPr>
            <w:tcW w:w="4191" w:type="dxa"/>
          </w:tcPr>
          <w:p>
            <w:pPr>
              <w:pStyle w:val="TableParagraph"/>
              <w:spacing w:before="74"/>
              <w:ind w:left="43"/>
              <w:rPr>
                <w:rFonts w:ascii="Times New Roman" w:hAnsi="Times New Roman"/>
                <w:sz w:val="17"/>
              </w:rPr>
            </w:pPr>
            <w:hyperlink w:history="true" w:anchor="_bookmark45">
              <w:r>
                <w:rPr>
                  <w:rFonts w:ascii="Times New Roman" w:hAnsi="Times New Roman"/>
                  <w:color w:val="231F20"/>
                  <w:w w:val="115"/>
                  <w:sz w:val="17"/>
                </w:rPr>
                <w:t>Personnalité</w:t>
              </w:r>
              <w:r>
                <w:rPr>
                  <w:rFonts w:ascii="Times New Roman" w:hAnsi="Times New Roman"/>
                  <w:color w:val="231F20"/>
                  <w:spacing w:val="-4"/>
                  <w:w w:val="115"/>
                  <w:sz w:val="17"/>
                </w:rPr>
                <w:t> </w:t>
              </w:r>
              <w:r>
                <w:rPr>
                  <w:rFonts w:ascii="Times New Roman" w:hAnsi="Times New Roman"/>
                  <w:color w:val="231F20"/>
                  <w:w w:val="115"/>
                  <w:sz w:val="17"/>
                </w:rPr>
                <w:t>de</w:t>
              </w:r>
              <w:r>
                <w:rPr>
                  <w:rFonts w:ascii="Times New Roman" w:hAnsi="Times New Roman"/>
                  <w:color w:val="231F20"/>
                  <w:spacing w:val="-4"/>
                  <w:w w:val="115"/>
                  <w:sz w:val="17"/>
                </w:rPr>
                <w:t> </w:t>
              </w:r>
              <w:r>
                <w:rPr>
                  <w:rFonts w:ascii="Times New Roman" w:hAnsi="Times New Roman"/>
                  <w:color w:val="231F20"/>
                  <w:w w:val="115"/>
                  <w:sz w:val="17"/>
                </w:rPr>
                <w:t>type</w:t>
              </w:r>
              <w:r>
                <w:rPr>
                  <w:rFonts w:ascii="Times New Roman" w:hAnsi="Times New Roman"/>
                  <w:color w:val="231F20"/>
                  <w:spacing w:val="-3"/>
                  <w:w w:val="115"/>
                  <w:sz w:val="17"/>
                </w:rPr>
                <w:t> </w:t>
              </w:r>
              <w:r>
                <w:rPr>
                  <w:rFonts w:ascii="Times New Roman" w:hAnsi="Times New Roman"/>
                  <w:color w:val="231F20"/>
                  <w:w w:val="115"/>
                  <w:sz w:val="17"/>
                </w:rPr>
                <w:t>«</w:t>
              </w:r>
              <w:r>
                <w:rPr>
                  <w:rFonts w:ascii="Times New Roman" w:hAnsi="Times New Roman"/>
                  <w:color w:val="231F20"/>
                  <w:spacing w:val="-31"/>
                  <w:w w:val="115"/>
                  <w:sz w:val="17"/>
                </w:rPr>
                <w:t> </w:t>
              </w:r>
              <w:r>
                <w:rPr>
                  <w:rFonts w:ascii="Times New Roman" w:hAnsi="Times New Roman"/>
                  <w:color w:val="231F20"/>
                  <w:w w:val="115"/>
                  <w:sz w:val="17"/>
                </w:rPr>
                <w:t>R»</w:t>
              </w:r>
              <w:r>
                <w:rPr>
                  <w:rFonts w:ascii="Times New Roman" w:hAnsi="Times New Roman"/>
                  <w:color w:val="231F20"/>
                  <w:spacing w:val="73"/>
                  <w:w w:val="150"/>
                  <w:sz w:val="17"/>
                </w:rPr>
                <w:t> </w:t>
              </w:r>
              <w:r>
                <w:rPr>
                  <w:rFonts w:ascii="Times New Roman" w:hAnsi="Times New Roman"/>
                  <w:color w:val="231F20"/>
                  <w:spacing w:val="-2"/>
                  <w:w w:val="115"/>
                  <w:sz w:val="17"/>
                </w:rPr>
                <w:t>...................................</w:t>
              </w:r>
            </w:hyperlink>
          </w:p>
        </w:tc>
        <w:tc>
          <w:tcPr>
            <w:tcW w:w="610" w:type="dxa"/>
          </w:tcPr>
          <w:p>
            <w:pPr>
              <w:pStyle w:val="TableParagraph"/>
              <w:spacing w:before="74"/>
              <w:ind w:right="47"/>
              <w:jc w:val="right"/>
              <w:rPr>
                <w:rFonts w:ascii="Times New Roman"/>
                <w:sz w:val="17"/>
              </w:rPr>
            </w:pPr>
            <w:hyperlink w:history="true" w:anchor="_bookmark45">
              <w:r>
                <w:rPr>
                  <w:rFonts w:ascii="Times New Roman"/>
                  <w:color w:val="231F20"/>
                  <w:spacing w:val="-5"/>
                  <w:w w:val="130"/>
                  <w:sz w:val="17"/>
                </w:rPr>
                <w:t>100</w:t>
              </w:r>
            </w:hyperlink>
          </w:p>
        </w:tc>
      </w:tr>
      <w:tr>
        <w:trPr>
          <w:trHeight w:val="280" w:hRule="atLeast"/>
        </w:trPr>
        <w:tc>
          <w:tcPr>
            <w:tcW w:w="445" w:type="dxa"/>
          </w:tcPr>
          <w:p>
            <w:pPr>
              <w:pStyle w:val="TableParagraph"/>
              <w:rPr>
                <w:rFonts w:ascii="Times New Roman"/>
                <w:sz w:val="16"/>
              </w:rPr>
            </w:pPr>
          </w:p>
        </w:tc>
        <w:tc>
          <w:tcPr>
            <w:tcW w:w="601" w:type="dxa"/>
          </w:tcPr>
          <w:p>
            <w:pPr>
              <w:pStyle w:val="TableParagraph"/>
              <w:spacing w:line="186" w:lineRule="exact" w:before="73"/>
              <w:ind w:left="104"/>
              <w:rPr>
                <w:i/>
                <w:sz w:val="17"/>
              </w:rPr>
            </w:pPr>
            <w:hyperlink w:history="true" w:anchor="_bookmark46">
              <w:r>
                <w:rPr>
                  <w:color w:val="231F20"/>
                  <w:w w:val="90"/>
                  <w:sz w:val="17"/>
                </w:rPr>
                <w:t>3.3.6</w:t>
              </w:r>
              <w:r>
                <w:rPr>
                  <w:color w:val="231F20"/>
                  <w:spacing w:val="-5"/>
                  <w:sz w:val="17"/>
                </w:rPr>
                <w:t> </w:t>
              </w:r>
              <w:r>
                <w:rPr>
                  <w:i/>
                  <w:color w:val="231F20"/>
                  <w:spacing w:val="-10"/>
                  <w:sz w:val="17"/>
                </w:rPr>
                <w:t>/</w:t>
              </w:r>
            </w:hyperlink>
          </w:p>
        </w:tc>
        <w:tc>
          <w:tcPr>
            <w:tcW w:w="4191" w:type="dxa"/>
          </w:tcPr>
          <w:p>
            <w:pPr>
              <w:pStyle w:val="TableParagraph"/>
              <w:spacing w:line="186" w:lineRule="exact" w:before="74"/>
              <w:ind w:left="43"/>
              <w:rPr>
                <w:rFonts w:ascii="Times New Roman" w:hAnsi="Times New Roman"/>
                <w:sz w:val="17"/>
              </w:rPr>
            </w:pPr>
            <w:hyperlink w:history="true" w:anchor="_bookmark46">
              <w:r>
                <w:rPr>
                  <w:rFonts w:ascii="Times New Roman" w:hAnsi="Times New Roman"/>
                  <w:color w:val="231F20"/>
                  <w:w w:val="120"/>
                  <w:sz w:val="17"/>
                </w:rPr>
                <w:t>Cinq</w:t>
              </w:r>
              <w:r>
                <w:rPr>
                  <w:rFonts w:ascii="Times New Roman" w:hAnsi="Times New Roman"/>
                  <w:color w:val="231F20"/>
                  <w:spacing w:val="-13"/>
                  <w:w w:val="120"/>
                  <w:sz w:val="17"/>
                </w:rPr>
                <w:t> </w:t>
              </w:r>
              <w:r>
                <w:rPr>
                  <w:rFonts w:ascii="Times New Roman" w:hAnsi="Times New Roman"/>
                  <w:color w:val="231F20"/>
                  <w:w w:val="120"/>
                  <w:sz w:val="17"/>
                </w:rPr>
                <w:t>grands</w:t>
              </w:r>
              <w:r>
                <w:rPr>
                  <w:rFonts w:ascii="Times New Roman" w:hAnsi="Times New Roman"/>
                  <w:color w:val="231F20"/>
                  <w:spacing w:val="-13"/>
                  <w:w w:val="120"/>
                  <w:sz w:val="17"/>
                </w:rPr>
                <w:t> </w:t>
              </w:r>
              <w:r>
                <w:rPr>
                  <w:rFonts w:ascii="Times New Roman" w:hAnsi="Times New Roman"/>
                  <w:color w:val="231F20"/>
                  <w:w w:val="120"/>
                  <w:sz w:val="17"/>
                </w:rPr>
                <w:t>facteurs</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2"/>
                  <w:w w:val="120"/>
                  <w:sz w:val="17"/>
                </w:rPr>
                <w:t> </w:t>
              </w:r>
              <w:r>
                <w:rPr>
                  <w:rFonts w:ascii="Times New Roman" w:hAnsi="Times New Roman"/>
                  <w:color w:val="231F20"/>
                  <w:w w:val="120"/>
                  <w:sz w:val="17"/>
                </w:rPr>
                <w:t>personnalité</w:t>
              </w:r>
              <w:r>
                <w:rPr>
                  <w:rFonts w:ascii="Times New Roman" w:hAnsi="Times New Roman"/>
                  <w:color w:val="231F20"/>
                  <w:spacing w:val="38"/>
                  <w:w w:val="120"/>
                  <w:sz w:val="17"/>
                </w:rPr>
                <w:t> </w:t>
              </w:r>
              <w:r>
                <w:rPr>
                  <w:rFonts w:ascii="Times New Roman" w:hAnsi="Times New Roman"/>
                  <w:color w:val="231F20"/>
                  <w:spacing w:val="-2"/>
                  <w:w w:val="120"/>
                  <w:sz w:val="17"/>
                </w:rPr>
                <w:t>.................</w:t>
              </w:r>
            </w:hyperlink>
          </w:p>
        </w:tc>
        <w:tc>
          <w:tcPr>
            <w:tcW w:w="610" w:type="dxa"/>
          </w:tcPr>
          <w:p>
            <w:pPr>
              <w:pStyle w:val="TableParagraph"/>
              <w:spacing w:line="186" w:lineRule="exact" w:before="74"/>
              <w:ind w:right="47"/>
              <w:jc w:val="right"/>
              <w:rPr>
                <w:rFonts w:ascii="Times New Roman"/>
                <w:sz w:val="17"/>
              </w:rPr>
            </w:pPr>
            <w:hyperlink w:history="true" w:anchor="_bookmark46">
              <w:r>
                <w:rPr>
                  <w:rFonts w:ascii="Times New Roman"/>
                  <w:color w:val="231F20"/>
                  <w:spacing w:val="-5"/>
                  <w:w w:val="130"/>
                  <w:sz w:val="17"/>
                </w:rPr>
                <w:t>102</w:t>
              </w:r>
            </w:hyperlink>
          </w:p>
        </w:tc>
      </w:tr>
      <w:tr>
        <w:trPr>
          <w:trHeight w:val="310" w:hRule="atLeast"/>
        </w:trPr>
        <w:tc>
          <w:tcPr>
            <w:tcW w:w="5847" w:type="dxa"/>
            <w:gridSpan w:val="4"/>
          </w:tcPr>
          <w:p>
            <w:pPr>
              <w:pStyle w:val="TableParagraph"/>
              <w:tabs>
                <w:tab w:pos="5797" w:val="right" w:leader="none"/>
              </w:tabs>
              <w:spacing w:line="186" w:lineRule="exact" w:before="103"/>
              <w:ind w:left="49"/>
              <w:rPr>
                <w:rFonts w:ascii="Times New Roman" w:hAnsi="Times New Roman"/>
                <w:sz w:val="17"/>
              </w:rPr>
            </w:pPr>
            <w:hyperlink w:history="true" w:anchor="_bookmark47">
              <w:r>
                <w:rPr>
                  <w:color w:val="231F20"/>
                  <w:w w:val="115"/>
                  <w:sz w:val="17"/>
                </w:rPr>
                <w:t>3.4</w:t>
              </w:r>
              <w:r>
                <w:rPr>
                  <w:color w:val="231F20"/>
                  <w:spacing w:val="-19"/>
                  <w:w w:val="115"/>
                  <w:sz w:val="17"/>
                </w:rPr>
                <w:t> </w:t>
              </w:r>
              <w:r>
                <w:rPr>
                  <w:i/>
                  <w:color w:val="231F20"/>
                  <w:w w:val="115"/>
                  <w:sz w:val="17"/>
                </w:rPr>
                <w:t>/</w:t>
              </w:r>
              <w:r>
                <w:rPr>
                  <w:i/>
                  <w:color w:val="231F20"/>
                  <w:spacing w:val="58"/>
                  <w:w w:val="115"/>
                  <w:sz w:val="17"/>
                </w:rPr>
                <w:t>  </w:t>
              </w:r>
              <w:r>
                <w:rPr>
                  <w:rFonts w:ascii="Times New Roman" w:hAnsi="Times New Roman"/>
                  <w:color w:val="231F20"/>
                  <w:w w:val="115"/>
                  <w:sz w:val="17"/>
                </w:rPr>
                <w:t>Conséquences</w:t>
              </w:r>
              <w:r>
                <w:rPr>
                  <w:rFonts w:ascii="Times New Roman" w:hAnsi="Times New Roman"/>
                  <w:color w:val="231F20"/>
                  <w:spacing w:val="-4"/>
                  <w:w w:val="115"/>
                  <w:sz w:val="17"/>
                </w:rPr>
                <w:t> </w:t>
              </w:r>
              <w:r>
                <w:rPr>
                  <w:rFonts w:ascii="Times New Roman" w:hAnsi="Times New Roman"/>
                  <w:color w:val="231F20"/>
                  <w:w w:val="115"/>
                  <w:sz w:val="17"/>
                </w:rPr>
                <w:t>du</w:t>
              </w:r>
              <w:r>
                <w:rPr>
                  <w:rFonts w:ascii="Times New Roman" w:hAnsi="Times New Roman"/>
                  <w:color w:val="231F20"/>
                  <w:spacing w:val="-4"/>
                  <w:w w:val="115"/>
                  <w:sz w:val="17"/>
                </w:rPr>
                <w:t> </w:t>
              </w:r>
              <w:r>
                <w:rPr>
                  <w:rFonts w:ascii="Times New Roman" w:hAnsi="Times New Roman"/>
                  <w:color w:val="231F20"/>
                  <w:w w:val="115"/>
                  <w:sz w:val="17"/>
                </w:rPr>
                <w:t>stress</w:t>
              </w:r>
              <w:r>
                <w:rPr>
                  <w:rFonts w:ascii="Times New Roman" w:hAnsi="Times New Roman"/>
                  <w:color w:val="231F20"/>
                  <w:spacing w:val="-5"/>
                  <w:w w:val="115"/>
                  <w:sz w:val="17"/>
                </w:rPr>
                <w:t> </w:t>
              </w:r>
              <w:r>
                <w:rPr>
                  <w:rFonts w:ascii="Times New Roman" w:hAnsi="Times New Roman"/>
                  <w:color w:val="231F20"/>
                  <w:w w:val="115"/>
                  <w:sz w:val="17"/>
                </w:rPr>
                <w:t>professionnel</w:t>
              </w:r>
              <w:r>
                <w:rPr>
                  <w:rFonts w:ascii="Times New Roman" w:hAnsi="Times New Roman"/>
                  <w:color w:val="231F20"/>
                  <w:spacing w:val="71"/>
                  <w:w w:val="150"/>
                  <w:sz w:val="17"/>
                </w:rPr>
                <w:t> </w:t>
              </w:r>
              <w:r>
                <w:rPr>
                  <w:rFonts w:ascii="Times New Roman" w:hAnsi="Times New Roman"/>
                  <w:color w:val="231F20"/>
                  <w:spacing w:val="-2"/>
                  <w:w w:val="115"/>
                  <w:sz w:val="17"/>
                </w:rPr>
                <w:t>.........................</w:t>
              </w:r>
              <w:r>
                <w:rPr>
                  <w:rFonts w:ascii="Times New Roman" w:hAnsi="Times New Roman"/>
                  <w:color w:val="231F20"/>
                  <w:sz w:val="17"/>
                </w:rPr>
                <w:tab/>
              </w:r>
              <w:r>
                <w:rPr>
                  <w:rFonts w:ascii="Times New Roman" w:hAnsi="Times New Roman"/>
                  <w:color w:val="231F20"/>
                  <w:spacing w:val="-5"/>
                  <w:w w:val="115"/>
                  <w:sz w:val="17"/>
                </w:rPr>
                <w:t>105</w:t>
              </w:r>
            </w:hyperlink>
          </w:p>
        </w:tc>
      </w:tr>
    </w:tbl>
    <w:p>
      <w:pPr>
        <w:pStyle w:val="BodyText"/>
        <w:tabs>
          <w:tab w:pos="6210" w:val="left" w:leader="none"/>
        </w:tabs>
        <w:spacing w:before="105"/>
        <w:ind w:left="1288"/>
      </w:pPr>
      <w:hyperlink w:history="true" w:anchor="_bookmark48">
        <w:r>
          <w:rPr>
            <w:rFonts w:ascii="Arial" w:hAnsi="Arial"/>
            <w:color w:val="231F20"/>
            <w:w w:val="115"/>
          </w:rPr>
          <w:t>3.4.1</w:t>
        </w:r>
        <w:r>
          <w:rPr>
            <w:rFonts w:ascii="Arial" w:hAnsi="Arial"/>
            <w:color w:val="231F20"/>
            <w:spacing w:val="-24"/>
            <w:w w:val="115"/>
          </w:rPr>
          <w:t> </w:t>
        </w:r>
        <w:r>
          <w:rPr>
            <w:rFonts w:ascii="Arial" w:hAnsi="Arial"/>
            <w:i/>
            <w:color w:val="231F20"/>
            <w:w w:val="115"/>
          </w:rPr>
          <w:t>/</w:t>
        </w:r>
        <w:r>
          <w:rPr>
            <w:rFonts w:ascii="Arial" w:hAnsi="Arial"/>
            <w:i/>
            <w:color w:val="231F20"/>
            <w:spacing w:val="51"/>
            <w:w w:val="115"/>
          </w:rPr>
          <w:t> </w:t>
        </w:r>
        <w:r>
          <w:rPr>
            <w:color w:val="231F20"/>
            <w:w w:val="115"/>
          </w:rPr>
          <w:t>Conséquences</w:t>
        </w:r>
        <w:r>
          <w:rPr>
            <w:color w:val="231F20"/>
            <w:spacing w:val="-12"/>
            <w:w w:val="115"/>
          </w:rPr>
          <w:t> </w:t>
        </w:r>
        <w:r>
          <w:rPr>
            <w:color w:val="231F20"/>
            <w:w w:val="115"/>
          </w:rPr>
          <w:t>individuelles</w:t>
        </w:r>
        <w:r>
          <w:rPr>
            <w:color w:val="231F20"/>
            <w:spacing w:val="60"/>
            <w:w w:val="115"/>
          </w:rPr>
          <w:t> </w:t>
        </w:r>
        <w:r>
          <w:rPr>
            <w:color w:val="231F20"/>
            <w:spacing w:val="-2"/>
            <w:w w:val="115"/>
          </w:rPr>
          <w:t>..............................</w:t>
        </w:r>
        <w:r>
          <w:rPr>
            <w:color w:val="231F20"/>
          </w:rPr>
          <w:tab/>
        </w:r>
        <w:r>
          <w:rPr>
            <w:color w:val="231F20"/>
            <w:spacing w:val="-5"/>
            <w:w w:val="115"/>
          </w:rPr>
          <w:t>106</w:t>
        </w:r>
      </w:hyperlink>
    </w:p>
    <w:p>
      <w:pPr>
        <w:spacing w:after="0"/>
        <w:sectPr>
          <w:footerReference w:type="default" r:id="rId13"/>
          <w:pgSz w:w="8640" w:h="12960"/>
          <w:pgMar w:footer="424" w:header="0" w:top="520" w:bottom="405" w:left="460" w:right="1000"/>
        </w:sectPr>
      </w:pPr>
    </w:p>
    <w:sdt>
      <w:sdtPr>
        <w:docPartObj>
          <w:docPartGallery w:val="Table of Contents"/>
          <w:docPartUnique/>
        </w:docPartObj>
      </w:sdtPr>
      <w:sdtEndPr/>
      <w:sdtContent>
        <w:p>
          <w:pPr>
            <w:pStyle w:val="TOC9"/>
            <w:tabs>
              <w:tab w:pos="6210" w:val="left" w:leader="none"/>
            </w:tabs>
            <w:spacing w:before="113"/>
            <w:ind w:left="1288"/>
          </w:pPr>
          <w:hyperlink w:history="true" w:anchor="_bookmark51">
            <w:r>
              <w:rPr>
                <w:rFonts w:ascii="Arial" w:hAnsi="Arial"/>
                <w:color w:val="231F20"/>
                <w:w w:val="115"/>
              </w:rPr>
              <w:t>3.4.2</w:t>
            </w:r>
            <w:r>
              <w:rPr>
                <w:rFonts w:ascii="Arial" w:hAnsi="Arial"/>
                <w:color w:val="231F20"/>
                <w:spacing w:val="-24"/>
                <w:w w:val="115"/>
              </w:rPr>
              <w:t> </w:t>
            </w:r>
            <w:r>
              <w:rPr>
                <w:rFonts w:ascii="Arial" w:hAnsi="Arial"/>
                <w:i/>
                <w:color w:val="231F20"/>
                <w:w w:val="115"/>
              </w:rPr>
              <w:t>/</w:t>
            </w:r>
            <w:r>
              <w:rPr>
                <w:rFonts w:ascii="Arial" w:hAnsi="Arial"/>
                <w:i/>
                <w:color w:val="231F20"/>
                <w:spacing w:val="54"/>
                <w:w w:val="115"/>
              </w:rPr>
              <w:t> </w:t>
            </w:r>
            <w:r>
              <w:rPr>
                <w:color w:val="231F20"/>
                <w:w w:val="115"/>
              </w:rPr>
              <w:t>Conséquences</w:t>
            </w:r>
            <w:r>
              <w:rPr>
                <w:color w:val="231F20"/>
                <w:spacing w:val="-10"/>
                <w:w w:val="115"/>
              </w:rPr>
              <w:t> </w:t>
            </w:r>
            <w:r>
              <w:rPr>
                <w:color w:val="231F20"/>
                <w:w w:val="115"/>
              </w:rPr>
              <w:t>organisationnelles</w:t>
            </w:r>
            <w:r>
              <w:rPr>
                <w:color w:val="231F20"/>
                <w:spacing w:val="56"/>
                <w:w w:val="115"/>
              </w:rPr>
              <w:t> </w:t>
            </w:r>
            <w:r>
              <w:rPr>
                <w:color w:val="231F20"/>
                <w:spacing w:val="-2"/>
                <w:w w:val="115"/>
              </w:rPr>
              <w:t>......................</w:t>
            </w:r>
            <w:r>
              <w:rPr>
                <w:color w:val="231F20"/>
              </w:rPr>
              <w:tab/>
            </w:r>
            <w:r>
              <w:rPr>
                <w:color w:val="231F20"/>
                <w:spacing w:val="-5"/>
                <w:w w:val="115"/>
              </w:rPr>
              <w:t>111</w:t>
            </w:r>
          </w:hyperlink>
        </w:p>
        <w:p>
          <w:pPr>
            <w:pStyle w:val="TOC3"/>
            <w:tabs>
              <w:tab w:pos="1288" w:val="left" w:leader="none"/>
              <w:tab w:pos="6210" w:val="left" w:leader="none"/>
            </w:tabs>
            <w:spacing w:after="240"/>
            <w:ind w:left="788"/>
          </w:pPr>
          <w:hyperlink w:history="true" w:anchor="_bookmark52">
            <w:r>
              <w:rPr>
                <w:rFonts w:ascii="Arial"/>
                <w:color w:val="231F20"/>
                <w:w w:val="85"/>
              </w:rPr>
              <w:t>3.5</w:t>
            </w:r>
            <w:r>
              <w:rPr>
                <w:rFonts w:ascii="Arial"/>
                <w:color w:val="231F20"/>
                <w:spacing w:val="-14"/>
                <w:w w:val="115"/>
              </w:rPr>
              <w:t> </w:t>
            </w:r>
            <w:r>
              <w:rPr>
                <w:rFonts w:ascii="Arial"/>
                <w:i/>
                <w:color w:val="231F20"/>
                <w:spacing w:val="-10"/>
                <w:w w:val="115"/>
              </w:rPr>
              <w:t>/</w:t>
            </w:r>
            <w:r>
              <w:rPr>
                <w:rFonts w:ascii="Arial"/>
                <w:i/>
                <w:color w:val="231F20"/>
              </w:rPr>
              <w:tab/>
            </w:r>
            <w:r>
              <w:rPr>
                <w:color w:val="231F20"/>
                <w:w w:val="115"/>
              </w:rPr>
              <w:t>Post-scriptum</w:t>
            </w:r>
            <w:r>
              <w:rPr>
                <w:color w:val="231F20"/>
                <w:spacing w:val="65"/>
                <w:w w:val="150"/>
              </w:rPr>
              <w:t> </w:t>
            </w:r>
            <w:r>
              <w:rPr>
                <w:color w:val="231F20"/>
                <w:spacing w:val="-2"/>
                <w:w w:val="115"/>
              </w:rPr>
              <w:t>...............................................................</w:t>
            </w:r>
            <w:r>
              <w:rPr>
                <w:color w:val="231F20"/>
              </w:rPr>
              <w:tab/>
            </w:r>
            <w:r>
              <w:rPr>
                <w:color w:val="231F20"/>
                <w:spacing w:val="-5"/>
                <w:w w:val="115"/>
              </w:rPr>
              <w:t>115</w:t>
            </w:r>
          </w:hyperlink>
        </w:p>
        <w:p>
          <w:pPr>
            <w:pStyle w:val="TOC5"/>
          </w:pPr>
          <w:r>
            <w:rPr>
              <w:color w:val="231F20"/>
              <w:w w:val="95"/>
            </w:rPr>
            <w:t>Table</w:t>
          </w:r>
          <w:r>
            <w:rPr>
              <w:color w:val="231F20"/>
              <w:spacing w:val="-2"/>
            </w:rPr>
            <w:t> </w:t>
          </w:r>
          <w:r>
            <w:rPr>
              <w:color w:val="231F20"/>
              <w:w w:val="95"/>
            </w:rPr>
            <w:t>des</w:t>
          </w:r>
          <w:r>
            <w:rPr>
              <w:color w:val="231F20"/>
              <w:spacing w:val="-1"/>
            </w:rPr>
            <w:t> </w:t>
          </w:r>
          <w:r>
            <w:rPr>
              <w:color w:val="231F20"/>
              <w:spacing w:val="-2"/>
              <w:w w:val="95"/>
            </w:rPr>
            <w:t>matières</w:t>
          </w:r>
        </w:p>
        <w:p>
          <w:pPr>
            <w:pStyle w:val="TOC8"/>
            <w:spacing w:before="811"/>
            <w:rPr>
              <w:rFonts w:ascii="Arial"/>
              <w:i/>
            </w:rPr>
          </w:pPr>
          <w:hyperlink w:history="true" w:anchor="_bookmark55">
            <w:r>
              <w:rPr>
                <w:rFonts w:ascii="Arial"/>
                <w:color w:val="231F20"/>
              </w:rPr>
              <w:t>Chapitre</w:t>
            </w:r>
            <w:r>
              <w:rPr>
                <w:rFonts w:ascii="Arial"/>
                <w:color w:val="231F20"/>
                <w:spacing w:val="-5"/>
              </w:rPr>
              <w:t> </w:t>
            </w:r>
            <w:r>
              <w:rPr>
                <w:rFonts w:ascii="Arial"/>
                <w:color w:val="231F20"/>
              </w:rPr>
              <w:t>4</w:t>
            </w:r>
            <w:r>
              <w:rPr>
                <w:rFonts w:ascii="Arial"/>
                <w:color w:val="231F20"/>
                <w:spacing w:val="-15"/>
              </w:rPr>
              <w:t> </w:t>
            </w:r>
            <w:r>
              <w:rPr>
                <w:rFonts w:ascii="Arial"/>
                <w:i/>
                <w:color w:val="231F20"/>
                <w:spacing w:val="-10"/>
              </w:rPr>
              <w:t>/</w:t>
            </w:r>
          </w:hyperlink>
        </w:p>
        <w:p>
          <w:pPr>
            <w:pStyle w:val="TOC7"/>
            <w:tabs>
              <w:tab w:pos="6602" w:val="left" w:leader="none"/>
            </w:tabs>
            <w:spacing w:before="45"/>
            <w:rPr>
              <w:rFonts w:ascii="Times New Roman" w:hAnsi="Times New Roman"/>
              <w:b w:val="0"/>
              <w:sz w:val="17"/>
            </w:rPr>
          </w:pPr>
          <w:hyperlink w:history="true" w:anchor="_bookmark55">
            <w:r>
              <w:rPr>
                <w:color w:val="231F20"/>
                <w:spacing w:val="-2"/>
                <w:w w:val="95"/>
              </w:rPr>
              <w:t>Estime</w:t>
            </w:r>
            <w:r>
              <w:rPr>
                <w:color w:val="231F20"/>
                <w:spacing w:val="-6"/>
                <w:w w:val="95"/>
              </w:rPr>
              <w:t> </w:t>
            </w:r>
            <w:r>
              <w:rPr>
                <w:color w:val="231F20"/>
                <w:spacing w:val="-2"/>
                <w:w w:val="95"/>
              </w:rPr>
              <w:t>de</w:t>
            </w:r>
            <w:r>
              <w:rPr>
                <w:color w:val="231F20"/>
                <w:spacing w:val="-4"/>
                <w:w w:val="95"/>
              </w:rPr>
              <w:t> </w:t>
            </w:r>
            <w:r>
              <w:rPr>
                <w:color w:val="231F20"/>
                <w:spacing w:val="-2"/>
                <w:w w:val="95"/>
              </w:rPr>
              <w:t>soi</w:t>
            </w:r>
            <w:r>
              <w:rPr>
                <w:color w:val="231F20"/>
                <w:spacing w:val="-30"/>
                <w:w w:val="95"/>
              </w:rPr>
              <w:t> </w:t>
            </w:r>
            <w:r>
              <w:rPr>
                <w:color w:val="231F20"/>
                <w:spacing w:val="-2"/>
                <w:w w:val="95"/>
              </w:rPr>
              <w:t>:</w:t>
            </w:r>
            <w:r>
              <w:rPr>
                <w:color w:val="231F20"/>
                <w:spacing w:val="-3"/>
                <w:w w:val="95"/>
              </w:rPr>
              <w:t> </w:t>
            </w:r>
            <w:r>
              <w:rPr>
                <w:color w:val="231F20"/>
                <w:spacing w:val="-2"/>
                <w:w w:val="95"/>
              </w:rPr>
              <w:t>pierre</w:t>
            </w:r>
            <w:r>
              <w:rPr>
                <w:color w:val="231F20"/>
                <w:spacing w:val="-4"/>
                <w:w w:val="95"/>
              </w:rPr>
              <w:t> </w:t>
            </w:r>
            <w:r>
              <w:rPr>
                <w:color w:val="231F20"/>
                <w:spacing w:val="-2"/>
                <w:w w:val="95"/>
              </w:rPr>
              <w:t>angulaire</w:t>
            </w:r>
            <w:r>
              <w:rPr>
                <w:color w:val="231F20"/>
                <w:spacing w:val="-4"/>
                <w:w w:val="95"/>
              </w:rPr>
              <w:t> </w:t>
            </w:r>
            <w:r>
              <w:rPr>
                <w:color w:val="231F20"/>
                <w:spacing w:val="-2"/>
                <w:w w:val="95"/>
              </w:rPr>
              <w:t>de</w:t>
            </w:r>
            <w:r>
              <w:rPr>
                <w:color w:val="231F20"/>
                <w:spacing w:val="-3"/>
                <w:w w:val="95"/>
              </w:rPr>
              <w:t> </w:t>
            </w:r>
            <w:r>
              <w:rPr>
                <w:color w:val="231F20"/>
                <w:spacing w:val="-2"/>
                <w:w w:val="95"/>
              </w:rPr>
              <w:t>la</w:t>
            </w:r>
            <w:r>
              <w:rPr>
                <w:color w:val="231F20"/>
                <w:spacing w:val="-4"/>
                <w:w w:val="95"/>
              </w:rPr>
              <w:t> </w:t>
            </w:r>
            <w:r>
              <w:rPr>
                <w:color w:val="231F20"/>
                <w:spacing w:val="-2"/>
                <w:w w:val="95"/>
              </w:rPr>
              <w:t>santé</w:t>
            </w:r>
            <w:r>
              <w:rPr>
                <w:color w:val="231F20"/>
                <w:spacing w:val="-3"/>
                <w:w w:val="95"/>
              </w:rPr>
              <w:t> </w:t>
            </w:r>
            <w:r>
              <w:rPr>
                <w:color w:val="231F20"/>
                <w:spacing w:val="-2"/>
                <w:w w:val="95"/>
              </w:rPr>
              <w:t>psychologique</w:t>
            </w:r>
            <w:r>
              <w:rPr>
                <w:color w:val="231F20"/>
                <w:spacing w:val="51"/>
              </w:rPr>
              <w:t> </w:t>
            </w:r>
            <w:r>
              <w:rPr>
                <w:rFonts w:ascii="Times New Roman" w:hAnsi="Times New Roman"/>
                <w:b w:val="0"/>
                <w:color w:val="231F20"/>
                <w:spacing w:val="-2"/>
                <w:w w:val="95"/>
                <w:sz w:val="17"/>
              </w:rPr>
              <w:t>.....</w:t>
            </w:r>
            <w:r>
              <w:rPr>
                <w:rFonts w:ascii="Times New Roman" w:hAnsi="Times New Roman"/>
                <w:b w:val="0"/>
                <w:color w:val="231F20"/>
                <w:sz w:val="17"/>
              </w:rPr>
              <w:tab/>
            </w:r>
            <w:r>
              <w:rPr>
                <w:rFonts w:ascii="Times New Roman" w:hAnsi="Times New Roman"/>
                <w:b w:val="0"/>
                <w:color w:val="231F20"/>
                <w:spacing w:val="-5"/>
                <w:w w:val="105"/>
                <w:sz w:val="17"/>
              </w:rPr>
              <w:t>123</w:t>
            </w:r>
          </w:hyperlink>
        </w:p>
        <w:p>
          <w:pPr>
            <w:pStyle w:val="TOC8"/>
            <w:tabs>
              <w:tab w:pos="1679" w:val="left" w:leader="none"/>
              <w:tab w:pos="6601" w:val="left" w:leader="none"/>
            </w:tabs>
            <w:spacing w:before="193"/>
          </w:pPr>
          <w:hyperlink w:history="true" w:anchor="_bookmark55">
            <w:r>
              <w:rPr>
                <w:rFonts w:ascii="Arial" w:hAnsi="Arial"/>
                <w:color w:val="231F20"/>
                <w:w w:val="85"/>
              </w:rPr>
              <w:t>4.1</w:t>
            </w:r>
            <w:r>
              <w:rPr>
                <w:rFonts w:ascii="Arial" w:hAnsi="Arial"/>
                <w:color w:val="231F20"/>
                <w:spacing w:val="-9"/>
                <w:w w:val="85"/>
              </w:rPr>
              <w:t> </w:t>
            </w:r>
            <w:r>
              <w:rPr>
                <w:rFonts w:ascii="Arial" w:hAnsi="Arial"/>
                <w:i/>
                <w:color w:val="231F20"/>
                <w:spacing w:val="-10"/>
                <w:w w:val="115"/>
              </w:rPr>
              <w:t>/</w:t>
            </w:r>
            <w:r>
              <w:rPr>
                <w:rFonts w:ascii="Arial" w:hAnsi="Arial"/>
                <w:i/>
                <w:color w:val="231F20"/>
              </w:rPr>
              <w:tab/>
            </w:r>
            <w:r>
              <w:rPr>
                <w:color w:val="231F20"/>
                <w:w w:val="115"/>
              </w:rPr>
              <w:t>Pourquoi</w:t>
            </w:r>
            <w:r>
              <w:rPr>
                <w:color w:val="231F20"/>
                <w:spacing w:val="-3"/>
                <w:w w:val="115"/>
              </w:rPr>
              <w:t> </w:t>
            </w:r>
            <w:r>
              <w:rPr>
                <w:color w:val="231F20"/>
                <w:w w:val="115"/>
              </w:rPr>
              <w:t>l’estime</w:t>
            </w:r>
            <w:r>
              <w:rPr>
                <w:color w:val="231F20"/>
                <w:spacing w:val="-3"/>
                <w:w w:val="115"/>
              </w:rPr>
              <w:t> </w:t>
            </w:r>
            <w:r>
              <w:rPr>
                <w:color w:val="231F20"/>
                <w:w w:val="115"/>
              </w:rPr>
              <w:t>de</w:t>
            </w:r>
            <w:r>
              <w:rPr>
                <w:color w:val="231F20"/>
                <w:spacing w:val="-3"/>
                <w:w w:val="115"/>
              </w:rPr>
              <w:t> </w:t>
            </w:r>
            <w:r>
              <w:rPr>
                <w:color w:val="231F20"/>
                <w:w w:val="115"/>
              </w:rPr>
              <w:t>soi?</w:t>
            </w:r>
            <w:r>
              <w:rPr>
                <w:color w:val="231F20"/>
                <w:spacing w:val="48"/>
                <w:w w:val="115"/>
              </w:rPr>
              <w:t> </w:t>
            </w:r>
            <w:r>
              <w:rPr>
                <w:color w:val="231F20"/>
                <w:spacing w:val="-2"/>
                <w:w w:val="115"/>
              </w:rPr>
              <w:t>..............................................</w:t>
            </w:r>
            <w:r>
              <w:rPr>
                <w:color w:val="231F20"/>
              </w:rPr>
              <w:tab/>
            </w:r>
            <w:r>
              <w:rPr>
                <w:color w:val="231F20"/>
                <w:spacing w:val="-5"/>
                <w:w w:val="115"/>
              </w:rPr>
              <w:t>123</w:t>
            </w:r>
          </w:hyperlink>
        </w:p>
        <w:p>
          <w:pPr>
            <w:pStyle w:val="TOC6"/>
            <w:tabs>
              <w:tab w:pos="6601" w:val="left" w:leader="none"/>
            </w:tabs>
          </w:pPr>
          <w:hyperlink w:history="true" w:anchor="_bookmark56">
            <w:r>
              <w:rPr>
                <w:rFonts w:ascii="Arial" w:hAnsi="Arial"/>
                <w:color w:val="231F20"/>
                <w:w w:val="115"/>
              </w:rPr>
              <w:t>4.2</w:t>
            </w:r>
            <w:r>
              <w:rPr>
                <w:rFonts w:ascii="Arial" w:hAnsi="Arial"/>
                <w:color w:val="231F20"/>
                <w:spacing w:val="-24"/>
                <w:w w:val="115"/>
              </w:rPr>
              <w:t> </w:t>
            </w:r>
            <w:r>
              <w:rPr>
                <w:rFonts w:ascii="Arial" w:hAnsi="Arial"/>
                <w:i/>
                <w:color w:val="231F20"/>
                <w:w w:val="115"/>
              </w:rPr>
              <w:t>/</w:t>
            </w:r>
            <w:r>
              <w:rPr>
                <w:rFonts w:ascii="Arial" w:hAnsi="Arial"/>
                <w:i/>
                <w:color w:val="231F20"/>
                <w:spacing w:val="33"/>
                <w:w w:val="115"/>
              </w:rPr>
              <w:t>  </w:t>
            </w:r>
            <w:r>
              <w:rPr>
                <w:color w:val="231F20"/>
                <w:w w:val="115"/>
              </w:rPr>
              <w:t>Qu’est-ce</w:t>
            </w:r>
            <w:r>
              <w:rPr>
                <w:color w:val="231F20"/>
                <w:spacing w:val="-12"/>
                <w:w w:val="115"/>
              </w:rPr>
              <w:t> </w:t>
            </w:r>
            <w:r>
              <w:rPr>
                <w:color w:val="231F20"/>
                <w:w w:val="115"/>
              </w:rPr>
              <w:t>que</w:t>
            </w:r>
            <w:r>
              <w:rPr>
                <w:color w:val="231F20"/>
                <w:spacing w:val="-13"/>
                <w:w w:val="115"/>
              </w:rPr>
              <w:t> </w:t>
            </w:r>
            <w:r>
              <w:rPr>
                <w:color w:val="231F20"/>
                <w:w w:val="115"/>
              </w:rPr>
              <w:t>l’estime</w:t>
            </w:r>
            <w:r>
              <w:rPr>
                <w:color w:val="231F20"/>
                <w:spacing w:val="-12"/>
                <w:w w:val="115"/>
              </w:rPr>
              <w:t> </w:t>
            </w:r>
            <w:r>
              <w:rPr>
                <w:color w:val="231F20"/>
                <w:w w:val="115"/>
              </w:rPr>
              <w:t>de</w:t>
            </w:r>
            <w:r>
              <w:rPr>
                <w:color w:val="231F20"/>
                <w:spacing w:val="-12"/>
                <w:w w:val="115"/>
              </w:rPr>
              <w:t> </w:t>
            </w:r>
            <w:r>
              <w:rPr>
                <w:color w:val="231F20"/>
                <w:w w:val="115"/>
              </w:rPr>
              <w:t>soi?</w:t>
            </w:r>
            <w:r>
              <w:rPr>
                <w:color w:val="231F20"/>
                <w:spacing w:val="35"/>
                <w:w w:val="115"/>
              </w:rPr>
              <w:t> </w:t>
            </w:r>
            <w:r>
              <w:rPr>
                <w:color w:val="231F20"/>
                <w:spacing w:val="-2"/>
                <w:w w:val="115"/>
              </w:rPr>
              <w:t>.......................................</w:t>
            </w:r>
            <w:r>
              <w:rPr>
                <w:color w:val="231F20"/>
              </w:rPr>
              <w:tab/>
            </w:r>
            <w:r>
              <w:rPr>
                <w:color w:val="231F20"/>
                <w:spacing w:val="-5"/>
                <w:w w:val="115"/>
              </w:rPr>
              <w:t>125</w:t>
            </w:r>
          </w:hyperlink>
        </w:p>
        <w:p>
          <w:pPr>
            <w:pStyle w:val="TOC6"/>
            <w:tabs>
              <w:tab w:pos="6601" w:val="left" w:leader="none"/>
            </w:tabs>
            <w:spacing w:before="113"/>
          </w:pPr>
          <w:hyperlink w:history="true" w:anchor="_bookmark57">
            <w:r>
              <w:rPr>
                <w:rFonts w:ascii="Arial" w:hAnsi="Arial"/>
                <w:color w:val="231F20"/>
                <w:spacing w:val="-2"/>
                <w:w w:val="120"/>
              </w:rPr>
              <w:t>4.3</w:t>
            </w:r>
            <w:r>
              <w:rPr>
                <w:rFonts w:ascii="Arial" w:hAnsi="Arial"/>
                <w:color w:val="231F20"/>
                <w:spacing w:val="-26"/>
                <w:w w:val="120"/>
              </w:rPr>
              <w:t> </w:t>
            </w:r>
            <w:r>
              <w:rPr>
                <w:rFonts w:ascii="Arial" w:hAnsi="Arial"/>
                <w:i/>
                <w:color w:val="231F20"/>
                <w:spacing w:val="-2"/>
                <w:w w:val="120"/>
              </w:rPr>
              <w:t>/</w:t>
            </w:r>
            <w:r>
              <w:rPr>
                <w:rFonts w:ascii="Arial" w:hAnsi="Arial"/>
                <w:i/>
                <w:color w:val="231F20"/>
                <w:spacing w:val="24"/>
                <w:w w:val="120"/>
              </w:rPr>
              <w:t>  </w:t>
            </w:r>
            <w:r>
              <w:rPr>
                <w:color w:val="231F20"/>
                <w:spacing w:val="-2"/>
                <w:w w:val="120"/>
              </w:rPr>
              <w:t>Multiples</w:t>
            </w:r>
            <w:r>
              <w:rPr>
                <w:color w:val="231F20"/>
                <w:spacing w:val="-13"/>
                <w:w w:val="120"/>
              </w:rPr>
              <w:t> </w:t>
            </w:r>
            <w:r>
              <w:rPr>
                <w:color w:val="231F20"/>
                <w:spacing w:val="-2"/>
                <w:w w:val="120"/>
              </w:rPr>
              <w:t>facettes</w:t>
            </w:r>
            <w:r>
              <w:rPr>
                <w:color w:val="231F20"/>
                <w:spacing w:val="-12"/>
                <w:w w:val="120"/>
              </w:rPr>
              <w:t> </w:t>
            </w:r>
            <w:r>
              <w:rPr>
                <w:color w:val="231F20"/>
                <w:spacing w:val="-2"/>
                <w:w w:val="120"/>
              </w:rPr>
              <w:t>de</w:t>
            </w:r>
            <w:r>
              <w:rPr>
                <w:color w:val="231F20"/>
                <w:spacing w:val="-13"/>
                <w:w w:val="120"/>
              </w:rPr>
              <w:t> </w:t>
            </w:r>
            <w:r>
              <w:rPr>
                <w:color w:val="231F20"/>
                <w:spacing w:val="-2"/>
                <w:w w:val="120"/>
              </w:rPr>
              <w:t>l’estime</w:t>
            </w:r>
            <w:r>
              <w:rPr>
                <w:color w:val="231F20"/>
                <w:spacing w:val="-12"/>
                <w:w w:val="120"/>
              </w:rPr>
              <w:t> </w:t>
            </w:r>
            <w:r>
              <w:rPr>
                <w:color w:val="231F20"/>
                <w:spacing w:val="-2"/>
                <w:w w:val="120"/>
              </w:rPr>
              <w:t>de</w:t>
            </w:r>
            <w:r>
              <w:rPr>
                <w:color w:val="231F20"/>
                <w:spacing w:val="-13"/>
                <w:w w:val="120"/>
              </w:rPr>
              <w:t> </w:t>
            </w:r>
            <w:r>
              <w:rPr>
                <w:color w:val="231F20"/>
                <w:spacing w:val="-2"/>
                <w:w w:val="120"/>
              </w:rPr>
              <w:t>soi</w:t>
            </w:r>
            <w:r>
              <w:rPr>
                <w:color w:val="231F20"/>
                <w:spacing w:val="57"/>
                <w:w w:val="120"/>
              </w:rPr>
              <w:t> </w:t>
            </w:r>
            <w:r>
              <w:rPr>
                <w:color w:val="231F20"/>
                <w:spacing w:val="-2"/>
                <w:w w:val="120"/>
              </w:rPr>
              <w:t>.............................</w:t>
            </w:r>
            <w:r>
              <w:rPr>
                <w:color w:val="231F20"/>
              </w:rPr>
              <w:tab/>
            </w:r>
            <w:r>
              <w:rPr>
                <w:color w:val="231F20"/>
                <w:spacing w:val="-5"/>
                <w:w w:val="120"/>
              </w:rPr>
              <w:t>128</w:t>
            </w:r>
          </w:hyperlink>
        </w:p>
        <w:p>
          <w:pPr>
            <w:pStyle w:val="TOC6"/>
            <w:tabs>
              <w:tab w:pos="6601" w:val="left" w:leader="none"/>
            </w:tabs>
          </w:pPr>
          <w:hyperlink w:history="true" w:anchor="_bookmark58">
            <w:r>
              <w:rPr>
                <w:rFonts w:ascii="Arial" w:hAnsi="Arial"/>
                <w:color w:val="231F20"/>
                <w:w w:val="115"/>
              </w:rPr>
              <w:t>4.4</w:t>
            </w:r>
            <w:r>
              <w:rPr>
                <w:rFonts w:ascii="Arial" w:hAnsi="Arial"/>
                <w:color w:val="231F20"/>
                <w:spacing w:val="-22"/>
                <w:w w:val="115"/>
              </w:rPr>
              <w:t> </w:t>
            </w:r>
            <w:r>
              <w:rPr>
                <w:rFonts w:ascii="Arial" w:hAnsi="Arial"/>
                <w:i/>
                <w:color w:val="231F20"/>
                <w:w w:val="115"/>
              </w:rPr>
              <w:t>/</w:t>
            </w:r>
            <w:r>
              <w:rPr>
                <w:rFonts w:ascii="Arial" w:hAnsi="Arial"/>
                <w:i/>
                <w:color w:val="231F20"/>
                <w:spacing w:val="44"/>
                <w:w w:val="115"/>
              </w:rPr>
              <w:t>  </w:t>
            </w:r>
            <w:r>
              <w:rPr>
                <w:color w:val="231F20"/>
                <w:w w:val="115"/>
              </w:rPr>
              <w:t>Origines</w:t>
            </w:r>
            <w:r>
              <w:rPr>
                <w:color w:val="231F20"/>
                <w:spacing w:val="-9"/>
                <w:w w:val="115"/>
              </w:rPr>
              <w:t> </w:t>
            </w:r>
            <w:r>
              <w:rPr>
                <w:color w:val="231F20"/>
                <w:w w:val="115"/>
              </w:rPr>
              <w:t>et</w:t>
            </w:r>
            <w:r>
              <w:rPr>
                <w:color w:val="231F20"/>
                <w:spacing w:val="-9"/>
                <w:w w:val="115"/>
              </w:rPr>
              <w:t> </w:t>
            </w:r>
            <w:r>
              <w:rPr>
                <w:color w:val="231F20"/>
                <w:w w:val="115"/>
              </w:rPr>
              <w:t>incidences</w:t>
            </w:r>
            <w:r>
              <w:rPr>
                <w:color w:val="231F20"/>
                <w:spacing w:val="-8"/>
                <w:w w:val="115"/>
              </w:rPr>
              <w:t> </w:t>
            </w:r>
            <w:r>
              <w:rPr>
                <w:color w:val="231F20"/>
                <w:w w:val="115"/>
              </w:rPr>
              <w:t>de</w:t>
            </w:r>
            <w:r>
              <w:rPr>
                <w:color w:val="231F20"/>
                <w:spacing w:val="-9"/>
                <w:w w:val="115"/>
              </w:rPr>
              <w:t> </w:t>
            </w:r>
            <w:r>
              <w:rPr>
                <w:color w:val="231F20"/>
                <w:w w:val="115"/>
              </w:rPr>
              <w:t>l’estime</w:t>
            </w:r>
            <w:r>
              <w:rPr>
                <w:color w:val="231F20"/>
                <w:spacing w:val="-9"/>
                <w:w w:val="115"/>
              </w:rPr>
              <w:t> </w:t>
            </w:r>
            <w:r>
              <w:rPr>
                <w:color w:val="231F20"/>
                <w:w w:val="115"/>
              </w:rPr>
              <w:t>de</w:t>
            </w:r>
            <w:r>
              <w:rPr>
                <w:color w:val="231F20"/>
                <w:spacing w:val="-9"/>
                <w:w w:val="115"/>
              </w:rPr>
              <w:t> </w:t>
            </w:r>
            <w:r>
              <w:rPr>
                <w:color w:val="231F20"/>
                <w:w w:val="115"/>
              </w:rPr>
              <w:t>soi</w:t>
            </w:r>
            <w:r>
              <w:rPr>
                <w:color w:val="231F20"/>
                <w:spacing w:val="40"/>
                <w:w w:val="115"/>
              </w:rPr>
              <w:t> </w:t>
            </w:r>
            <w:r>
              <w:rPr>
                <w:color w:val="231F20"/>
                <w:spacing w:val="-2"/>
                <w:w w:val="115"/>
              </w:rPr>
              <w:t>.......................</w:t>
            </w:r>
            <w:r>
              <w:rPr>
                <w:color w:val="231F20"/>
              </w:rPr>
              <w:tab/>
            </w:r>
            <w:r>
              <w:rPr>
                <w:color w:val="231F20"/>
                <w:spacing w:val="-5"/>
                <w:w w:val="120"/>
              </w:rPr>
              <w:t>134</w:t>
            </w:r>
          </w:hyperlink>
        </w:p>
        <w:p>
          <w:pPr>
            <w:tabs>
              <w:tab w:pos="6601" w:val="left" w:leader="none"/>
            </w:tabs>
            <w:spacing w:before="114"/>
            <w:ind w:left="1679" w:right="0" w:firstLine="0"/>
            <w:jc w:val="left"/>
            <w:rPr>
              <w:sz w:val="17"/>
            </w:rPr>
          </w:pPr>
          <w:hyperlink w:history="true" w:anchor="_bookmark59">
            <w:r>
              <w:rPr>
                <w:rFonts w:ascii="Arial" w:hAnsi="Arial"/>
                <w:color w:val="231F20"/>
                <w:w w:val="115"/>
                <w:sz w:val="17"/>
              </w:rPr>
              <w:t>4.4.1</w:t>
            </w:r>
            <w:r>
              <w:rPr>
                <w:rFonts w:ascii="Arial" w:hAnsi="Arial"/>
                <w:color w:val="231F20"/>
                <w:spacing w:val="-24"/>
                <w:w w:val="115"/>
                <w:sz w:val="17"/>
              </w:rPr>
              <w:t> </w:t>
            </w:r>
            <w:r>
              <w:rPr>
                <w:rFonts w:ascii="Arial" w:hAnsi="Arial"/>
                <w:i/>
                <w:color w:val="231F20"/>
                <w:w w:val="115"/>
                <w:sz w:val="17"/>
              </w:rPr>
              <w:t>/</w:t>
            </w:r>
            <w:r>
              <w:rPr>
                <w:rFonts w:ascii="Arial" w:hAnsi="Arial"/>
                <w:i/>
                <w:color w:val="231F20"/>
                <w:spacing w:val="42"/>
                <w:w w:val="115"/>
                <w:sz w:val="17"/>
              </w:rPr>
              <w:t> </w:t>
            </w:r>
            <w:r>
              <w:rPr>
                <w:color w:val="231F20"/>
                <w:w w:val="115"/>
                <w:sz w:val="17"/>
              </w:rPr>
              <w:t>Antécédents</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l’estime</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soi</w:t>
            </w:r>
            <w:r>
              <w:rPr>
                <w:color w:val="231F20"/>
                <w:spacing w:val="44"/>
                <w:w w:val="115"/>
                <w:sz w:val="17"/>
              </w:rPr>
              <w:t> </w:t>
            </w:r>
            <w:r>
              <w:rPr>
                <w:color w:val="231F20"/>
                <w:spacing w:val="-2"/>
                <w:w w:val="115"/>
                <w:sz w:val="17"/>
              </w:rPr>
              <w:t>...........................</w:t>
            </w:r>
            <w:r>
              <w:rPr>
                <w:color w:val="231F20"/>
                <w:sz w:val="17"/>
              </w:rPr>
              <w:tab/>
            </w:r>
            <w:r>
              <w:rPr>
                <w:color w:val="231F20"/>
                <w:spacing w:val="-5"/>
                <w:w w:val="115"/>
                <w:sz w:val="17"/>
              </w:rPr>
              <w:t>135</w:t>
            </w:r>
          </w:hyperlink>
        </w:p>
        <w:p>
          <w:pPr>
            <w:tabs>
              <w:tab w:pos="6601" w:val="left" w:leader="none"/>
            </w:tabs>
            <w:spacing w:before="114"/>
            <w:ind w:left="1679" w:right="0" w:firstLine="0"/>
            <w:jc w:val="left"/>
            <w:rPr>
              <w:sz w:val="17"/>
            </w:rPr>
          </w:pPr>
          <w:hyperlink w:history="true" w:anchor="_bookmark61">
            <w:r>
              <w:rPr>
                <w:rFonts w:ascii="Arial" w:hAnsi="Arial"/>
                <w:color w:val="231F20"/>
                <w:w w:val="115"/>
                <w:sz w:val="17"/>
              </w:rPr>
              <w:t>4.4.2</w:t>
            </w:r>
            <w:r>
              <w:rPr>
                <w:rFonts w:ascii="Arial" w:hAnsi="Arial"/>
                <w:color w:val="231F20"/>
                <w:spacing w:val="-22"/>
                <w:w w:val="115"/>
                <w:sz w:val="17"/>
              </w:rPr>
              <w:t> </w:t>
            </w:r>
            <w:r>
              <w:rPr>
                <w:rFonts w:ascii="Arial" w:hAnsi="Arial"/>
                <w:i/>
                <w:color w:val="231F20"/>
                <w:w w:val="115"/>
                <w:sz w:val="17"/>
              </w:rPr>
              <w:t>/</w:t>
            </w:r>
            <w:r>
              <w:rPr>
                <w:rFonts w:ascii="Arial" w:hAnsi="Arial"/>
                <w:i/>
                <w:color w:val="231F20"/>
                <w:spacing w:val="50"/>
                <w:w w:val="115"/>
                <w:sz w:val="17"/>
              </w:rPr>
              <w:t> </w:t>
            </w:r>
            <w:r>
              <w:rPr>
                <w:color w:val="231F20"/>
                <w:w w:val="115"/>
                <w:sz w:val="17"/>
              </w:rPr>
              <w:t>Conséquences</w:t>
            </w:r>
            <w:r>
              <w:rPr>
                <w:color w:val="231F20"/>
                <w:spacing w:val="-8"/>
                <w:w w:val="115"/>
                <w:sz w:val="17"/>
              </w:rPr>
              <w:t> </w:t>
            </w:r>
            <w:r>
              <w:rPr>
                <w:color w:val="231F20"/>
                <w:w w:val="115"/>
                <w:sz w:val="17"/>
              </w:rPr>
              <w:t>d’une</w:t>
            </w:r>
            <w:r>
              <w:rPr>
                <w:color w:val="231F20"/>
                <w:spacing w:val="-8"/>
                <w:w w:val="115"/>
                <w:sz w:val="17"/>
              </w:rPr>
              <w:t> </w:t>
            </w:r>
            <w:r>
              <w:rPr>
                <w:color w:val="231F20"/>
                <w:w w:val="115"/>
                <w:sz w:val="17"/>
              </w:rPr>
              <w:t>faible</w:t>
            </w:r>
            <w:r>
              <w:rPr>
                <w:color w:val="231F20"/>
                <w:spacing w:val="-8"/>
                <w:w w:val="115"/>
                <w:sz w:val="17"/>
              </w:rPr>
              <w:t> </w:t>
            </w:r>
            <w:r>
              <w:rPr>
                <w:color w:val="231F20"/>
                <w:w w:val="115"/>
                <w:sz w:val="17"/>
              </w:rPr>
              <w:t>estime</w:t>
            </w:r>
            <w:r>
              <w:rPr>
                <w:color w:val="231F20"/>
                <w:spacing w:val="-8"/>
                <w:w w:val="115"/>
                <w:sz w:val="17"/>
              </w:rPr>
              <w:t> </w:t>
            </w:r>
            <w:r>
              <w:rPr>
                <w:color w:val="231F20"/>
                <w:w w:val="115"/>
                <w:sz w:val="17"/>
              </w:rPr>
              <w:t>de</w:t>
            </w:r>
            <w:r>
              <w:rPr>
                <w:color w:val="231F20"/>
                <w:spacing w:val="-8"/>
                <w:w w:val="115"/>
                <w:sz w:val="17"/>
              </w:rPr>
              <w:t> </w:t>
            </w:r>
            <w:r>
              <w:rPr>
                <w:color w:val="231F20"/>
                <w:w w:val="115"/>
                <w:sz w:val="17"/>
              </w:rPr>
              <w:t>soi</w:t>
            </w:r>
            <w:r>
              <w:rPr>
                <w:color w:val="231F20"/>
                <w:spacing w:val="64"/>
                <w:w w:val="115"/>
                <w:sz w:val="17"/>
              </w:rPr>
              <w:t> </w:t>
            </w:r>
            <w:r>
              <w:rPr>
                <w:color w:val="231F20"/>
                <w:spacing w:val="-2"/>
                <w:w w:val="115"/>
                <w:sz w:val="17"/>
              </w:rPr>
              <w:t>...........</w:t>
            </w:r>
            <w:r>
              <w:rPr>
                <w:color w:val="231F20"/>
                <w:sz w:val="17"/>
              </w:rPr>
              <w:tab/>
            </w:r>
            <w:r>
              <w:rPr>
                <w:color w:val="231F20"/>
                <w:spacing w:val="-5"/>
                <w:w w:val="120"/>
                <w:sz w:val="17"/>
              </w:rPr>
              <w:t>137</w:t>
            </w:r>
          </w:hyperlink>
        </w:p>
        <w:p>
          <w:pPr>
            <w:pStyle w:val="TOC6"/>
            <w:tabs>
              <w:tab w:pos="6601" w:val="left" w:leader="none"/>
            </w:tabs>
          </w:pPr>
          <w:hyperlink w:history="true" w:anchor="_bookmark62">
            <w:r>
              <w:rPr>
                <w:rFonts w:ascii="Arial"/>
                <w:color w:val="231F20"/>
                <w:w w:val="120"/>
              </w:rPr>
              <w:t>4.5</w:t>
            </w:r>
            <w:r>
              <w:rPr>
                <w:rFonts w:ascii="Arial"/>
                <w:color w:val="231F20"/>
                <w:spacing w:val="-26"/>
                <w:w w:val="120"/>
              </w:rPr>
              <w:t> </w:t>
            </w:r>
            <w:r>
              <w:rPr>
                <w:rFonts w:ascii="Arial"/>
                <w:i/>
                <w:color w:val="231F20"/>
                <w:w w:val="120"/>
              </w:rPr>
              <w:t>/</w:t>
            </w:r>
            <w:r>
              <w:rPr>
                <w:rFonts w:ascii="Arial"/>
                <w:i/>
                <w:color w:val="231F20"/>
                <w:spacing w:val="67"/>
                <w:w w:val="150"/>
              </w:rPr>
              <w:t> </w:t>
            </w:r>
            <w:r>
              <w:rPr>
                <w:color w:val="231F20"/>
                <w:w w:val="120"/>
              </w:rPr>
              <w:t>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et</w:t>
            </w:r>
            <w:r>
              <w:rPr>
                <w:color w:val="231F20"/>
                <w:spacing w:val="-12"/>
                <w:w w:val="120"/>
              </w:rPr>
              <w:t> </w:t>
            </w:r>
            <w:r>
              <w:rPr>
                <w:color w:val="231F20"/>
                <w:w w:val="120"/>
              </w:rPr>
              <w:t>travail</w:t>
            </w:r>
            <w:r>
              <w:rPr>
                <w:color w:val="231F20"/>
                <w:spacing w:val="48"/>
                <w:w w:val="120"/>
              </w:rPr>
              <w:t> </w:t>
            </w:r>
            <w:r>
              <w:rPr>
                <w:color w:val="231F20"/>
                <w:spacing w:val="-2"/>
                <w:w w:val="120"/>
              </w:rPr>
              <w:t>.................................................</w:t>
            </w:r>
            <w:r>
              <w:rPr>
                <w:color w:val="231F20"/>
              </w:rPr>
              <w:tab/>
            </w:r>
            <w:r>
              <w:rPr>
                <w:color w:val="231F20"/>
                <w:spacing w:val="-5"/>
                <w:w w:val="120"/>
              </w:rPr>
              <w:t>138</w:t>
            </w:r>
          </w:hyperlink>
        </w:p>
        <w:p>
          <w:pPr>
            <w:pStyle w:val="TOC6"/>
            <w:numPr>
              <w:ilvl w:val="1"/>
              <w:numId w:val="4"/>
            </w:numPr>
            <w:tabs>
              <w:tab w:pos="1445" w:val="left" w:leader="none"/>
            </w:tabs>
            <w:spacing w:line="240" w:lineRule="auto" w:before="114" w:after="0"/>
            <w:ind w:left="1444" w:right="0" w:hanging="266"/>
            <w:jc w:val="left"/>
          </w:pPr>
          <w:hyperlink w:history="true" w:anchor="_bookmark65">
            <w:r>
              <w:rPr>
                <w:rFonts w:ascii="Arial" w:hAnsi="Arial"/>
                <w:i/>
                <w:color w:val="231F20"/>
                <w:w w:val="115"/>
              </w:rPr>
              <w:t>/</w:t>
            </w:r>
            <w:r>
              <w:rPr>
                <w:rFonts w:ascii="Arial" w:hAnsi="Arial"/>
                <w:i/>
                <w:color w:val="231F20"/>
                <w:spacing w:val="51"/>
                <w:w w:val="115"/>
              </w:rPr>
              <w:t>  </w:t>
            </w:r>
            <w:r>
              <w:rPr>
                <w:color w:val="231F20"/>
                <w:w w:val="115"/>
              </w:rPr>
              <w:t>Estime</w:t>
            </w:r>
            <w:r>
              <w:rPr>
                <w:color w:val="231F20"/>
                <w:spacing w:val="-6"/>
                <w:w w:val="115"/>
              </w:rPr>
              <w:t> </w:t>
            </w:r>
            <w:r>
              <w:rPr>
                <w:color w:val="231F20"/>
                <w:w w:val="115"/>
              </w:rPr>
              <w:t>de</w:t>
            </w:r>
            <w:r>
              <w:rPr>
                <w:color w:val="231F20"/>
                <w:spacing w:val="-5"/>
                <w:w w:val="115"/>
              </w:rPr>
              <w:t> </w:t>
            </w:r>
            <w:r>
              <w:rPr>
                <w:color w:val="231F20"/>
                <w:w w:val="115"/>
              </w:rPr>
              <w:t>soi</w:t>
            </w:r>
            <w:r>
              <w:rPr>
                <w:color w:val="231F20"/>
                <w:spacing w:val="-5"/>
                <w:w w:val="115"/>
              </w:rPr>
              <w:t> </w:t>
            </w:r>
            <w:r>
              <w:rPr>
                <w:color w:val="231F20"/>
                <w:w w:val="115"/>
              </w:rPr>
              <w:t>–</w:t>
            </w:r>
            <w:r>
              <w:rPr>
                <w:color w:val="231F20"/>
                <w:spacing w:val="-5"/>
                <w:w w:val="115"/>
              </w:rPr>
              <w:t> </w:t>
            </w:r>
            <w:r>
              <w:rPr>
                <w:color w:val="231F20"/>
                <w:w w:val="115"/>
              </w:rPr>
              <w:t>équilibre</w:t>
            </w:r>
            <w:r>
              <w:rPr>
                <w:color w:val="231F20"/>
                <w:spacing w:val="-6"/>
                <w:w w:val="115"/>
              </w:rPr>
              <w:t> </w:t>
            </w:r>
            <w:r>
              <w:rPr>
                <w:color w:val="231F20"/>
                <w:w w:val="115"/>
              </w:rPr>
              <w:t>entre</w:t>
            </w:r>
            <w:r>
              <w:rPr>
                <w:color w:val="231F20"/>
                <w:spacing w:val="-5"/>
                <w:w w:val="115"/>
              </w:rPr>
              <w:t> </w:t>
            </w:r>
            <w:r>
              <w:rPr>
                <w:color w:val="231F20"/>
                <w:spacing w:val="-2"/>
                <w:w w:val="115"/>
              </w:rPr>
              <w:t>accomplissements</w:t>
            </w:r>
          </w:hyperlink>
        </w:p>
        <w:p>
          <w:pPr>
            <w:tabs>
              <w:tab w:pos="6601" w:val="left" w:leader="none"/>
            </w:tabs>
            <w:spacing w:before="54"/>
            <w:ind w:left="1679" w:right="0" w:firstLine="0"/>
            <w:jc w:val="left"/>
            <w:rPr>
              <w:sz w:val="17"/>
            </w:rPr>
          </w:pPr>
          <w:hyperlink w:history="true" w:anchor="_bookmark65">
            <w:r>
              <w:rPr>
                <w:color w:val="231F20"/>
                <w:w w:val="125"/>
                <w:sz w:val="17"/>
              </w:rPr>
              <w:t>et</w:t>
            </w:r>
            <w:r>
              <w:rPr>
                <w:color w:val="231F20"/>
                <w:spacing w:val="-15"/>
                <w:w w:val="125"/>
                <w:sz w:val="17"/>
              </w:rPr>
              <w:t> </w:t>
            </w:r>
            <w:r>
              <w:rPr>
                <w:color w:val="231F20"/>
                <w:w w:val="125"/>
                <w:sz w:val="17"/>
              </w:rPr>
              <w:t>valeurs</w:t>
            </w:r>
            <w:r>
              <w:rPr>
                <w:color w:val="231F20"/>
                <w:spacing w:val="51"/>
                <w:w w:val="125"/>
                <w:sz w:val="17"/>
              </w:rPr>
              <w:t> </w:t>
            </w:r>
            <w:r>
              <w:rPr>
                <w:color w:val="231F20"/>
                <w:spacing w:val="-2"/>
                <w:w w:val="125"/>
                <w:sz w:val="17"/>
              </w:rPr>
              <w:t>.....................................................................</w:t>
            </w:r>
            <w:r>
              <w:rPr>
                <w:color w:val="231F20"/>
                <w:sz w:val="17"/>
              </w:rPr>
              <w:tab/>
            </w:r>
            <w:r>
              <w:rPr>
                <w:color w:val="231F20"/>
                <w:spacing w:val="-5"/>
                <w:w w:val="125"/>
                <w:sz w:val="17"/>
              </w:rPr>
              <w:t>143</w:t>
            </w:r>
          </w:hyperlink>
        </w:p>
        <w:p>
          <w:pPr>
            <w:pStyle w:val="TOC6"/>
            <w:numPr>
              <w:ilvl w:val="1"/>
              <w:numId w:val="4"/>
            </w:numPr>
            <w:tabs>
              <w:tab w:pos="1429" w:val="left" w:leader="none"/>
              <w:tab w:pos="1679" w:val="left" w:leader="none"/>
            </w:tabs>
            <w:spacing w:line="240" w:lineRule="auto" w:before="114" w:after="0"/>
            <w:ind w:left="1428" w:right="0" w:hanging="250"/>
            <w:jc w:val="left"/>
          </w:pPr>
          <w:hyperlink w:history="true" w:anchor="_bookmark67">
            <w:r>
              <w:rPr>
                <w:rFonts w:ascii="Arial" w:hAnsi="Arial"/>
                <w:i/>
                <w:color w:val="231F20"/>
                <w:spacing w:val="-10"/>
                <w:w w:val="120"/>
              </w:rPr>
              <w:t>/</w:t>
            </w:r>
            <w:r>
              <w:rPr>
                <w:rFonts w:ascii="Arial" w:hAnsi="Arial"/>
                <w:i/>
                <w:color w:val="231F20"/>
              </w:rPr>
              <w:tab/>
            </w:r>
            <w:r>
              <w:rPr>
                <w:color w:val="231F20"/>
                <w:w w:val="115"/>
              </w:rPr>
              <w:t>Comment</w:t>
            </w:r>
            <w:r>
              <w:rPr>
                <w:color w:val="231F20"/>
                <w:spacing w:val="4"/>
                <w:w w:val="115"/>
              </w:rPr>
              <w:t> </w:t>
            </w:r>
            <w:r>
              <w:rPr>
                <w:color w:val="231F20"/>
                <w:w w:val="115"/>
              </w:rPr>
              <w:t>développer</w:t>
            </w:r>
            <w:r>
              <w:rPr>
                <w:color w:val="231F20"/>
                <w:spacing w:val="4"/>
                <w:w w:val="115"/>
              </w:rPr>
              <w:t> </w:t>
            </w:r>
            <w:r>
              <w:rPr>
                <w:color w:val="231F20"/>
                <w:w w:val="115"/>
              </w:rPr>
              <w:t>l’estime</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et</w:t>
            </w:r>
            <w:r>
              <w:rPr>
                <w:color w:val="231F20"/>
                <w:spacing w:val="4"/>
                <w:w w:val="115"/>
              </w:rPr>
              <w:t> </w:t>
            </w:r>
            <w:r>
              <w:rPr>
                <w:color w:val="231F20"/>
                <w:spacing w:val="-2"/>
                <w:w w:val="115"/>
              </w:rPr>
              <w:t>éviter</w:t>
            </w:r>
          </w:hyperlink>
        </w:p>
        <w:p>
          <w:pPr>
            <w:tabs>
              <w:tab w:pos="6601" w:val="left" w:leader="none"/>
            </w:tabs>
            <w:spacing w:before="55"/>
            <w:ind w:left="1679" w:right="0" w:firstLine="0"/>
            <w:jc w:val="left"/>
            <w:rPr>
              <w:sz w:val="17"/>
            </w:rPr>
          </w:pPr>
          <w:hyperlink w:history="true" w:anchor="_bookmark67">
            <w:r>
              <w:rPr>
                <w:color w:val="231F20"/>
                <w:w w:val="125"/>
                <w:sz w:val="17"/>
              </w:rPr>
              <w:t>le</w:t>
            </w:r>
            <w:r>
              <w:rPr>
                <w:color w:val="231F20"/>
                <w:spacing w:val="-15"/>
                <w:w w:val="125"/>
                <w:sz w:val="17"/>
              </w:rPr>
              <w:t> </w:t>
            </w:r>
            <w:r>
              <w:rPr>
                <w:color w:val="231F20"/>
                <w:w w:val="125"/>
                <w:sz w:val="17"/>
              </w:rPr>
              <w:t>stress</w:t>
            </w:r>
            <w:r>
              <w:rPr>
                <w:color w:val="231F20"/>
                <w:spacing w:val="38"/>
                <w:w w:val="125"/>
                <w:sz w:val="17"/>
              </w:rPr>
              <w:t> </w:t>
            </w:r>
            <w:r>
              <w:rPr>
                <w:color w:val="231F20"/>
                <w:spacing w:val="-2"/>
                <w:w w:val="125"/>
                <w:sz w:val="17"/>
              </w:rPr>
              <w:t>........................................................................</w:t>
            </w:r>
            <w:r>
              <w:rPr>
                <w:color w:val="231F20"/>
                <w:sz w:val="17"/>
              </w:rPr>
              <w:tab/>
            </w:r>
            <w:r>
              <w:rPr>
                <w:color w:val="231F20"/>
                <w:spacing w:val="-5"/>
                <w:w w:val="125"/>
                <w:sz w:val="17"/>
              </w:rPr>
              <w:t>146</w:t>
            </w:r>
          </w:hyperlink>
        </w:p>
        <w:p>
          <w:pPr>
            <w:pStyle w:val="TOC6"/>
            <w:tabs>
              <w:tab w:pos="6601" w:val="left" w:leader="none"/>
            </w:tabs>
          </w:pPr>
          <w:hyperlink w:history="true" w:anchor="_bookmark68">
            <w:r>
              <w:rPr>
                <w:rFonts w:ascii="Arial"/>
                <w:color w:val="231F20"/>
                <w:w w:val="120"/>
              </w:rPr>
              <w:t>4.8</w:t>
            </w:r>
            <w:r>
              <w:rPr>
                <w:rFonts w:ascii="Arial"/>
                <w:color w:val="231F20"/>
                <w:spacing w:val="-26"/>
                <w:w w:val="120"/>
              </w:rPr>
              <w:t> </w:t>
            </w:r>
            <w:r>
              <w:rPr>
                <w:rFonts w:ascii="Arial"/>
                <w:i/>
                <w:color w:val="231F20"/>
                <w:w w:val="120"/>
              </w:rPr>
              <w:t>/</w:t>
            </w:r>
            <w:r>
              <w:rPr>
                <w:rFonts w:ascii="Arial"/>
                <w:i/>
                <w:color w:val="231F20"/>
                <w:spacing w:val="68"/>
                <w:w w:val="120"/>
              </w:rPr>
              <w:t> </w:t>
            </w:r>
            <w:r>
              <w:rPr>
                <w:color w:val="231F20"/>
                <w:w w:val="120"/>
              </w:rPr>
              <w:t>Estime</w:t>
            </w:r>
            <w:r>
              <w:rPr>
                <w:color w:val="231F20"/>
                <w:spacing w:val="-13"/>
                <w:w w:val="120"/>
              </w:rPr>
              <w:t> </w:t>
            </w:r>
            <w:r>
              <w:rPr>
                <w:color w:val="231F20"/>
                <w:w w:val="120"/>
              </w:rPr>
              <w:t>de</w:t>
            </w:r>
            <w:r>
              <w:rPr>
                <w:color w:val="231F20"/>
                <w:spacing w:val="-12"/>
                <w:w w:val="120"/>
              </w:rPr>
              <w:t> </w:t>
            </w:r>
            <w:r>
              <w:rPr>
                <w:color w:val="231F20"/>
                <w:w w:val="120"/>
              </w:rPr>
              <w:t>soi</w:t>
            </w:r>
            <w:r>
              <w:rPr>
                <w:color w:val="231F20"/>
                <w:spacing w:val="-13"/>
                <w:w w:val="120"/>
              </w:rPr>
              <w:t> </w:t>
            </w:r>
            <w:r>
              <w:rPr>
                <w:color w:val="231F20"/>
                <w:w w:val="120"/>
              </w:rPr>
              <w:t>organisationnelle</w:t>
            </w:r>
            <w:r>
              <w:rPr>
                <w:color w:val="231F20"/>
                <w:spacing w:val="27"/>
                <w:w w:val="120"/>
              </w:rPr>
              <w:t> </w:t>
            </w:r>
            <w:r>
              <w:rPr>
                <w:color w:val="231F20"/>
                <w:spacing w:val="-2"/>
                <w:w w:val="120"/>
              </w:rPr>
              <w:t>....................................</w:t>
            </w:r>
            <w:r>
              <w:rPr>
                <w:color w:val="231F20"/>
              </w:rPr>
              <w:tab/>
            </w:r>
            <w:r>
              <w:rPr>
                <w:color w:val="231F20"/>
                <w:spacing w:val="-5"/>
                <w:w w:val="120"/>
              </w:rPr>
              <w:t>155</w:t>
            </w:r>
          </w:hyperlink>
        </w:p>
        <w:p>
          <w:pPr>
            <w:tabs>
              <w:tab w:pos="6601" w:val="left" w:leader="none"/>
            </w:tabs>
            <w:spacing w:before="113"/>
            <w:ind w:left="1679" w:right="0" w:firstLine="0"/>
            <w:jc w:val="left"/>
            <w:rPr>
              <w:sz w:val="17"/>
            </w:rPr>
          </w:pPr>
          <w:hyperlink w:history="true" w:anchor="_bookmark70">
            <w:r>
              <w:rPr>
                <w:rFonts w:ascii="Arial"/>
                <w:color w:val="231F20"/>
                <w:w w:val="115"/>
                <w:sz w:val="17"/>
              </w:rPr>
              <w:t>4.8.1</w:t>
            </w:r>
            <w:r>
              <w:rPr>
                <w:rFonts w:ascii="Arial"/>
                <w:color w:val="231F20"/>
                <w:spacing w:val="-22"/>
                <w:w w:val="115"/>
                <w:sz w:val="17"/>
              </w:rPr>
              <w:t> </w:t>
            </w:r>
            <w:r>
              <w:rPr>
                <w:rFonts w:ascii="Arial"/>
                <w:i/>
                <w:color w:val="231F20"/>
                <w:w w:val="115"/>
                <w:sz w:val="17"/>
              </w:rPr>
              <w:t>/</w:t>
            </w:r>
            <w:r>
              <w:rPr>
                <w:rFonts w:ascii="Arial"/>
                <w:i/>
                <w:color w:val="231F20"/>
                <w:spacing w:val="66"/>
                <w:w w:val="115"/>
                <w:sz w:val="17"/>
              </w:rPr>
              <w:t> </w:t>
            </w:r>
            <w:r>
              <w:rPr>
                <w:color w:val="231F20"/>
                <w:w w:val="115"/>
                <w:sz w:val="17"/>
              </w:rPr>
              <w:t>Gestion</w:t>
            </w:r>
            <w:r>
              <w:rPr>
                <w:color w:val="231F20"/>
                <w:spacing w:val="-8"/>
                <w:w w:val="115"/>
                <w:sz w:val="17"/>
              </w:rPr>
              <w:t> </w:t>
            </w:r>
            <w:r>
              <w:rPr>
                <w:color w:val="231F20"/>
                <w:w w:val="115"/>
                <w:sz w:val="17"/>
              </w:rPr>
              <w:t>et</w:t>
            </w:r>
            <w:r>
              <w:rPr>
                <w:color w:val="231F20"/>
                <w:spacing w:val="-8"/>
                <w:w w:val="115"/>
                <w:sz w:val="17"/>
              </w:rPr>
              <w:t> </w:t>
            </w:r>
            <w:r>
              <w:rPr>
                <w:color w:val="231F20"/>
                <w:w w:val="115"/>
                <w:sz w:val="17"/>
              </w:rPr>
              <w:t>estime</w:t>
            </w:r>
            <w:r>
              <w:rPr>
                <w:color w:val="231F20"/>
                <w:spacing w:val="-8"/>
                <w:w w:val="115"/>
                <w:sz w:val="17"/>
              </w:rPr>
              <w:t> </w:t>
            </w:r>
            <w:r>
              <w:rPr>
                <w:color w:val="231F20"/>
                <w:w w:val="115"/>
                <w:sz w:val="17"/>
              </w:rPr>
              <w:t>de</w:t>
            </w:r>
            <w:r>
              <w:rPr>
                <w:color w:val="231F20"/>
                <w:spacing w:val="-8"/>
                <w:w w:val="115"/>
                <w:sz w:val="17"/>
              </w:rPr>
              <w:t> </w:t>
            </w:r>
            <w:r>
              <w:rPr>
                <w:color w:val="231F20"/>
                <w:w w:val="115"/>
                <w:sz w:val="17"/>
              </w:rPr>
              <w:t>soi</w:t>
            </w:r>
            <w:r>
              <w:rPr>
                <w:color w:val="231F20"/>
                <w:spacing w:val="-8"/>
                <w:w w:val="115"/>
                <w:sz w:val="17"/>
              </w:rPr>
              <w:t> </w:t>
            </w:r>
            <w:r>
              <w:rPr>
                <w:color w:val="231F20"/>
                <w:w w:val="115"/>
                <w:sz w:val="17"/>
              </w:rPr>
              <w:t>organisationnelle</w:t>
            </w:r>
            <w:r>
              <w:rPr>
                <w:color w:val="231F20"/>
                <w:spacing w:val="57"/>
                <w:w w:val="115"/>
                <w:sz w:val="17"/>
              </w:rPr>
              <w:t> </w:t>
            </w:r>
            <w:r>
              <w:rPr>
                <w:color w:val="231F20"/>
                <w:spacing w:val="-2"/>
                <w:w w:val="115"/>
                <w:sz w:val="17"/>
              </w:rPr>
              <w:t>.........</w:t>
            </w:r>
            <w:r>
              <w:rPr>
                <w:color w:val="231F20"/>
                <w:sz w:val="17"/>
              </w:rPr>
              <w:tab/>
            </w:r>
            <w:r>
              <w:rPr>
                <w:color w:val="231F20"/>
                <w:spacing w:val="-5"/>
                <w:w w:val="115"/>
                <w:sz w:val="17"/>
              </w:rPr>
              <w:t>159</w:t>
            </w:r>
          </w:hyperlink>
        </w:p>
        <w:p>
          <w:pPr>
            <w:tabs>
              <w:tab w:pos="6601" w:val="left" w:leader="none"/>
            </w:tabs>
            <w:spacing w:before="114"/>
            <w:ind w:left="1679" w:right="0" w:firstLine="0"/>
            <w:jc w:val="left"/>
            <w:rPr>
              <w:sz w:val="17"/>
            </w:rPr>
          </w:pPr>
          <w:hyperlink w:history="true" w:anchor="_bookmark71">
            <w:r>
              <w:rPr>
                <w:rFonts w:ascii="Arial"/>
                <w:color w:val="231F20"/>
                <w:w w:val="115"/>
                <w:sz w:val="17"/>
              </w:rPr>
              <w:t>4.8.2</w:t>
            </w:r>
            <w:r>
              <w:rPr>
                <w:rFonts w:ascii="Arial"/>
                <w:color w:val="231F20"/>
                <w:spacing w:val="-24"/>
                <w:w w:val="115"/>
                <w:sz w:val="17"/>
              </w:rPr>
              <w:t> </w:t>
            </w:r>
            <w:r>
              <w:rPr>
                <w:rFonts w:ascii="Arial"/>
                <w:i/>
                <w:color w:val="231F20"/>
                <w:w w:val="115"/>
                <w:sz w:val="17"/>
              </w:rPr>
              <w:t>/</w:t>
            </w:r>
            <w:r>
              <w:rPr>
                <w:rFonts w:ascii="Arial"/>
                <w:i/>
                <w:color w:val="231F20"/>
                <w:spacing w:val="38"/>
                <w:w w:val="115"/>
                <w:sz w:val="17"/>
              </w:rPr>
              <w:t> </w:t>
            </w:r>
            <w:r>
              <w:rPr>
                <w:color w:val="231F20"/>
                <w:w w:val="115"/>
                <w:sz w:val="17"/>
              </w:rPr>
              <w:t>Vers</w:t>
            </w:r>
            <w:r>
              <w:rPr>
                <w:color w:val="231F20"/>
                <w:spacing w:val="-11"/>
                <w:w w:val="115"/>
                <w:sz w:val="17"/>
              </w:rPr>
              <w:t> </w:t>
            </w:r>
            <w:r>
              <w:rPr>
                <w:color w:val="231F20"/>
                <w:w w:val="115"/>
                <w:sz w:val="17"/>
              </w:rPr>
              <w:t>un</w:t>
            </w:r>
            <w:r>
              <w:rPr>
                <w:color w:val="231F20"/>
                <w:spacing w:val="-11"/>
                <w:w w:val="115"/>
                <w:sz w:val="17"/>
              </w:rPr>
              <w:t> </w:t>
            </w:r>
            <w:r>
              <w:rPr>
                <w:color w:val="231F20"/>
                <w:w w:val="115"/>
                <w:sz w:val="17"/>
              </w:rPr>
              <w:t>gestionnaire</w:t>
            </w:r>
            <w:r>
              <w:rPr>
                <w:color w:val="231F20"/>
                <w:spacing w:val="-11"/>
                <w:w w:val="115"/>
                <w:sz w:val="17"/>
              </w:rPr>
              <w:t> </w:t>
            </w:r>
            <w:r>
              <w:rPr>
                <w:color w:val="231F20"/>
                <w:w w:val="115"/>
                <w:sz w:val="17"/>
              </w:rPr>
              <w:t>nouveau</w:t>
            </w:r>
            <w:r>
              <w:rPr>
                <w:color w:val="231F20"/>
                <w:spacing w:val="41"/>
                <w:w w:val="115"/>
                <w:sz w:val="17"/>
              </w:rPr>
              <w:t> </w:t>
            </w:r>
            <w:r>
              <w:rPr>
                <w:color w:val="231F20"/>
                <w:spacing w:val="-2"/>
                <w:w w:val="115"/>
                <w:sz w:val="17"/>
              </w:rPr>
              <w:t>............................</w:t>
            </w:r>
            <w:r>
              <w:rPr>
                <w:color w:val="231F20"/>
                <w:sz w:val="17"/>
              </w:rPr>
              <w:tab/>
            </w:r>
            <w:r>
              <w:rPr>
                <w:color w:val="231F20"/>
                <w:spacing w:val="-5"/>
                <w:w w:val="120"/>
                <w:sz w:val="17"/>
              </w:rPr>
              <w:t>162</w:t>
            </w:r>
          </w:hyperlink>
        </w:p>
        <w:p>
          <w:pPr>
            <w:pStyle w:val="TOC6"/>
            <w:tabs>
              <w:tab w:pos="6601" w:val="left" w:leader="none"/>
            </w:tabs>
          </w:pPr>
          <w:hyperlink w:history="true" w:anchor="_bookmark72">
            <w:r>
              <w:rPr>
                <w:rFonts w:ascii="Arial"/>
                <w:color w:val="231F20"/>
                <w:w w:val="115"/>
              </w:rPr>
              <w:t>4.9</w:t>
            </w:r>
            <w:r>
              <w:rPr>
                <w:rFonts w:ascii="Arial"/>
                <w:color w:val="231F20"/>
                <w:spacing w:val="-24"/>
                <w:w w:val="115"/>
              </w:rPr>
              <w:t> </w:t>
            </w:r>
            <w:r>
              <w:rPr>
                <w:rFonts w:ascii="Arial"/>
                <w:i/>
                <w:color w:val="231F20"/>
                <w:w w:val="115"/>
              </w:rPr>
              <w:t>/</w:t>
            </w:r>
            <w:r>
              <w:rPr>
                <w:rFonts w:ascii="Arial"/>
                <w:i/>
                <w:color w:val="231F20"/>
                <w:spacing w:val="38"/>
                <w:w w:val="115"/>
              </w:rPr>
              <w:t>  </w:t>
            </w:r>
            <w:r>
              <w:rPr>
                <w:color w:val="231F20"/>
                <w:w w:val="115"/>
              </w:rPr>
              <w:t>Post-scriptum</w:t>
            </w:r>
            <w:r>
              <w:rPr>
                <w:color w:val="231F20"/>
                <w:spacing w:val="36"/>
                <w:w w:val="115"/>
              </w:rPr>
              <w:t> </w:t>
            </w:r>
            <w:r>
              <w:rPr>
                <w:color w:val="231F20"/>
                <w:spacing w:val="-2"/>
                <w:w w:val="115"/>
              </w:rPr>
              <w:t>...............................................................</w:t>
            </w:r>
            <w:r>
              <w:rPr>
                <w:color w:val="231F20"/>
              </w:rPr>
              <w:tab/>
            </w:r>
            <w:r>
              <w:rPr>
                <w:color w:val="231F20"/>
                <w:spacing w:val="-5"/>
                <w:w w:val="115"/>
              </w:rPr>
              <w:t>164</w:t>
            </w:r>
          </w:hyperlink>
        </w:p>
        <w:p>
          <w:pPr>
            <w:pStyle w:val="TOC6"/>
            <w:spacing w:before="224"/>
            <w:rPr>
              <w:rFonts w:ascii="Arial"/>
              <w:i/>
            </w:rPr>
          </w:pPr>
          <w:hyperlink w:history="true" w:anchor="_bookmark75">
            <w:r>
              <w:rPr>
                <w:rFonts w:ascii="Arial"/>
                <w:color w:val="231F20"/>
                <w:w w:val="95"/>
              </w:rPr>
              <w:t>Chapitre</w:t>
            </w:r>
            <w:r>
              <w:rPr>
                <w:rFonts w:ascii="Arial"/>
                <w:color w:val="231F20"/>
                <w:spacing w:val="10"/>
              </w:rPr>
              <w:t> </w:t>
            </w:r>
            <w:r>
              <w:rPr>
                <w:rFonts w:ascii="Arial"/>
                <w:color w:val="231F20"/>
                <w:w w:val="95"/>
              </w:rPr>
              <w:t>5</w:t>
            </w:r>
            <w:r>
              <w:rPr>
                <w:rFonts w:ascii="Arial"/>
                <w:color w:val="231F20"/>
                <w:spacing w:val="-2"/>
                <w:w w:val="95"/>
              </w:rPr>
              <w:t> </w:t>
            </w:r>
            <w:r>
              <w:rPr>
                <w:rFonts w:ascii="Arial"/>
                <w:i/>
                <w:color w:val="231F20"/>
                <w:spacing w:val="-10"/>
                <w:w w:val="95"/>
              </w:rPr>
              <w:t>/</w:t>
            </w:r>
          </w:hyperlink>
        </w:p>
        <w:p>
          <w:pPr>
            <w:pStyle w:val="TOC7"/>
          </w:pPr>
          <w:hyperlink w:history="true" w:anchor="_bookmark75">
            <w:r>
              <w:rPr>
                <w:color w:val="231F20"/>
                <w:spacing w:val="-2"/>
                <w:w w:val="95"/>
              </w:rPr>
              <w:t>Stratégies</w:t>
            </w:r>
            <w:r>
              <w:rPr>
                <w:color w:val="231F20"/>
                <w:spacing w:val="-5"/>
              </w:rPr>
              <w:t> </w:t>
            </w:r>
            <w:r>
              <w:rPr>
                <w:color w:val="231F20"/>
                <w:spacing w:val="-2"/>
                <w:w w:val="95"/>
              </w:rPr>
              <w:t>de</w:t>
            </w:r>
            <w:r>
              <w:rPr>
                <w:color w:val="231F20"/>
                <w:spacing w:val="-4"/>
              </w:rPr>
              <w:t> </w:t>
            </w:r>
            <w:r>
              <w:rPr>
                <w:color w:val="231F20"/>
                <w:spacing w:val="-2"/>
                <w:w w:val="95"/>
              </w:rPr>
              <w:t>gestion</w:t>
            </w:r>
            <w:r>
              <w:rPr>
                <w:color w:val="231F20"/>
                <w:spacing w:val="-5"/>
              </w:rPr>
              <w:t> </w:t>
            </w:r>
            <w:r>
              <w:rPr>
                <w:color w:val="231F20"/>
                <w:spacing w:val="-2"/>
                <w:w w:val="95"/>
              </w:rPr>
              <w:t>du</w:t>
            </w:r>
            <w:r>
              <w:rPr>
                <w:color w:val="231F20"/>
                <w:spacing w:val="-4"/>
              </w:rPr>
              <w:t> </w:t>
            </w:r>
            <w:r>
              <w:rPr>
                <w:color w:val="231F20"/>
                <w:spacing w:val="-2"/>
                <w:w w:val="95"/>
              </w:rPr>
              <w:t>stress</w:t>
            </w:r>
            <w:r>
              <w:rPr>
                <w:color w:val="231F20"/>
                <w:spacing w:val="-29"/>
                <w:w w:val="95"/>
              </w:rPr>
              <w:t> </w:t>
            </w:r>
            <w:r>
              <w:rPr>
                <w:color w:val="231F20"/>
                <w:spacing w:val="-2"/>
                <w:w w:val="95"/>
              </w:rPr>
              <w:t>:</w:t>
            </w:r>
            <w:r>
              <w:rPr>
                <w:color w:val="231F20"/>
                <w:spacing w:val="-5"/>
              </w:rPr>
              <w:t> </w:t>
            </w:r>
            <w:r>
              <w:rPr>
                <w:color w:val="231F20"/>
                <w:spacing w:val="-2"/>
                <w:w w:val="95"/>
              </w:rPr>
              <w:t>de</w:t>
            </w:r>
            <w:r>
              <w:rPr>
                <w:color w:val="231F20"/>
                <w:spacing w:val="-4"/>
              </w:rPr>
              <w:t> </w:t>
            </w:r>
            <w:r>
              <w:rPr>
                <w:color w:val="231F20"/>
                <w:spacing w:val="-2"/>
                <w:w w:val="95"/>
              </w:rPr>
              <w:t>l’individu</w:t>
            </w:r>
          </w:hyperlink>
        </w:p>
        <w:p>
          <w:pPr>
            <w:pStyle w:val="TOC8"/>
            <w:tabs>
              <w:tab w:pos="6601" w:val="left" w:leader="none"/>
            </w:tabs>
            <w:spacing w:before="43"/>
          </w:pPr>
          <w:hyperlink w:history="true" w:anchor="_bookmark75">
            <w:r>
              <w:rPr>
                <w:rFonts w:ascii="Arial" w:hAnsi="Arial"/>
                <w:b/>
                <w:color w:val="231F20"/>
                <w:w w:val="95"/>
                <w:sz w:val="18"/>
              </w:rPr>
              <w:t>à</w:t>
            </w:r>
            <w:r>
              <w:rPr>
                <w:rFonts w:ascii="Arial" w:hAnsi="Arial"/>
                <w:b/>
                <w:color w:val="231F20"/>
                <w:spacing w:val="-10"/>
                <w:w w:val="95"/>
                <w:sz w:val="18"/>
              </w:rPr>
              <w:t> </w:t>
            </w:r>
            <w:r>
              <w:rPr>
                <w:rFonts w:ascii="Arial" w:hAnsi="Arial"/>
                <w:b/>
                <w:color w:val="231F20"/>
                <w:w w:val="95"/>
                <w:sz w:val="18"/>
              </w:rPr>
              <w:t>l’organisation</w:t>
            </w:r>
            <w:r>
              <w:rPr>
                <w:rFonts w:ascii="Arial" w:hAnsi="Arial"/>
                <w:b/>
                <w:color w:val="231F20"/>
                <w:spacing w:val="53"/>
                <w:sz w:val="18"/>
              </w:rPr>
              <w:t> </w:t>
            </w:r>
            <w:r>
              <w:rPr>
                <w:color w:val="231F20"/>
                <w:spacing w:val="-2"/>
                <w:w w:val="95"/>
              </w:rPr>
              <w:t>......................................................................</w:t>
            </w:r>
            <w:r>
              <w:rPr>
                <w:color w:val="231F20"/>
              </w:rPr>
              <w:tab/>
            </w:r>
            <w:r>
              <w:rPr>
                <w:color w:val="231F20"/>
                <w:spacing w:val="-5"/>
                <w:w w:val="105"/>
              </w:rPr>
              <w:t>171</w:t>
            </w:r>
          </w:hyperlink>
        </w:p>
        <w:p>
          <w:pPr>
            <w:pStyle w:val="TOC8"/>
            <w:tabs>
              <w:tab w:pos="1679" w:val="left" w:leader="none"/>
              <w:tab w:pos="6601" w:val="left" w:leader="none"/>
            </w:tabs>
            <w:spacing w:before="192"/>
          </w:pPr>
          <w:hyperlink w:history="true" w:anchor="_bookmark75">
            <w:r>
              <w:rPr>
                <w:rFonts w:ascii="Arial" w:hAnsi="Arial"/>
                <w:color w:val="231F20"/>
                <w:w w:val="80"/>
              </w:rPr>
              <w:t>5.1</w:t>
            </w:r>
            <w:r>
              <w:rPr>
                <w:rFonts w:ascii="Arial" w:hAnsi="Arial"/>
                <w:color w:val="231F20"/>
                <w:spacing w:val="-5"/>
                <w:w w:val="80"/>
              </w:rPr>
              <w:t> </w:t>
            </w:r>
            <w:r>
              <w:rPr>
                <w:rFonts w:ascii="Arial" w:hAnsi="Arial"/>
                <w:i/>
                <w:color w:val="231F20"/>
                <w:spacing w:val="-10"/>
                <w:w w:val="120"/>
              </w:rPr>
              <w:t>/</w:t>
            </w:r>
            <w:r>
              <w:rPr>
                <w:rFonts w:ascii="Arial" w:hAnsi="Arial"/>
                <w:i/>
                <w:color w:val="231F20"/>
              </w:rPr>
              <w:tab/>
            </w:r>
            <w:r>
              <w:rPr>
                <w:color w:val="231F20"/>
                <w:w w:val="120"/>
              </w:rPr>
              <w:t>Gérer</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pour</w:t>
            </w:r>
            <w:r>
              <w:rPr>
                <w:color w:val="231F20"/>
                <w:spacing w:val="-12"/>
                <w:w w:val="120"/>
              </w:rPr>
              <w:t> </w:t>
            </w:r>
            <w:r>
              <w:rPr>
                <w:color w:val="231F20"/>
                <w:w w:val="120"/>
              </w:rPr>
              <w:t>mieux</w:t>
            </w:r>
            <w:r>
              <w:rPr>
                <w:color w:val="231F20"/>
                <w:spacing w:val="-13"/>
                <w:w w:val="120"/>
              </w:rPr>
              <w:t> </w:t>
            </w:r>
            <w:r>
              <w:rPr>
                <w:color w:val="231F20"/>
                <w:w w:val="120"/>
              </w:rPr>
              <w:t>performer</w:t>
            </w:r>
            <w:r>
              <w:rPr>
                <w:color w:val="231F20"/>
                <w:spacing w:val="45"/>
                <w:w w:val="120"/>
              </w:rPr>
              <w:t> </w:t>
            </w:r>
            <w:r>
              <w:rPr>
                <w:color w:val="231F20"/>
                <w:spacing w:val="-2"/>
                <w:w w:val="115"/>
              </w:rPr>
              <w:t>...........................</w:t>
            </w:r>
            <w:r>
              <w:rPr>
                <w:color w:val="231F20"/>
              </w:rPr>
              <w:tab/>
            </w:r>
            <w:r>
              <w:rPr>
                <w:color w:val="231F20"/>
                <w:spacing w:val="-5"/>
                <w:w w:val="120"/>
              </w:rPr>
              <w:t>171</w:t>
            </w:r>
          </w:hyperlink>
        </w:p>
        <w:p>
          <w:pPr>
            <w:pStyle w:val="TOC8"/>
            <w:tabs>
              <w:tab w:pos="1679" w:val="left" w:leader="none"/>
              <w:tab w:pos="6601" w:val="left" w:leader="none"/>
            </w:tabs>
            <w:spacing w:before="114"/>
          </w:pPr>
          <w:hyperlink w:history="true" w:anchor="_bookmark76">
            <w:r>
              <w:rPr>
                <w:rFonts w:ascii="Arial" w:hAnsi="Arial"/>
                <w:color w:val="231F20"/>
                <w:w w:val="85"/>
              </w:rPr>
              <w:t>5.2</w:t>
            </w:r>
            <w:r>
              <w:rPr>
                <w:rFonts w:ascii="Arial" w:hAnsi="Arial"/>
                <w:color w:val="231F20"/>
                <w:spacing w:val="-14"/>
                <w:w w:val="115"/>
              </w:rPr>
              <w:t>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3"/>
                <w:w w:val="115"/>
              </w:rPr>
              <w:t> </w:t>
            </w:r>
            <w:r>
              <w:rPr>
                <w:color w:val="231F20"/>
                <w:w w:val="115"/>
              </w:rPr>
              <w:t>individuelles</w:t>
            </w:r>
            <w:r>
              <w:rPr>
                <w:color w:val="231F20"/>
                <w:spacing w:val="24"/>
                <w:w w:val="115"/>
              </w:rPr>
              <w:t>  </w:t>
            </w:r>
            <w:r>
              <w:rPr>
                <w:color w:val="231F20"/>
                <w:spacing w:val="-2"/>
                <w:w w:val="115"/>
              </w:rPr>
              <w:t>................................................</w:t>
            </w:r>
            <w:r>
              <w:rPr>
                <w:color w:val="231F20"/>
              </w:rPr>
              <w:tab/>
            </w:r>
            <w:r>
              <w:rPr>
                <w:color w:val="231F20"/>
                <w:spacing w:val="-5"/>
                <w:w w:val="115"/>
              </w:rPr>
              <w:t>173</w:t>
            </w:r>
          </w:hyperlink>
        </w:p>
        <w:p>
          <w:pPr>
            <w:numPr>
              <w:ilvl w:val="2"/>
              <w:numId w:val="5"/>
            </w:numPr>
            <w:tabs>
              <w:tab w:pos="2035" w:val="left" w:leader="none"/>
              <w:tab w:pos="6601" w:val="left" w:leader="none"/>
            </w:tabs>
            <w:spacing w:before="114"/>
            <w:ind w:left="2034" w:right="0" w:hanging="356"/>
            <w:jc w:val="left"/>
            <w:rPr>
              <w:sz w:val="17"/>
            </w:rPr>
          </w:pPr>
          <w:hyperlink w:history="true" w:anchor="_bookmark77">
            <w:r>
              <w:rPr>
                <w:rFonts w:ascii="Arial"/>
                <w:i/>
                <w:color w:val="231F20"/>
                <w:w w:val="120"/>
                <w:sz w:val="17"/>
              </w:rPr>
              <w:t>/</w:t>
            </w:r>
            <w:r>
              <w:rPr>
                <w:rFonts w:ascii="Arial"/>
                <w:i/>
                <w:color w:val="231F20"/>
                <w:spacing w:val="53"/>
                <w:w w:val="120"/>
                <w:sz w:val="17"/>
              </w:rPr>
              <w:t> </w:t>
            </w:r>
            <w:r>
              <w:rPr>
                <w:color w:val="231F20"/>
                <w:w w:val="120"/>
                <w:sz w:val="17"/>
              </w:rPr>
              <w:t>Gestion</w:t>
            </w:r>
            <w:r>
              <w:rPr>
                <w:color w:val="231F20"/>
                <w:spacing w:val="-12"/>
                <w:w w:val="120"/>
                <w:sz w:val="17"/>
              </w:rPr>
              <w:t> </w:t>
            </w:r>
            <w:r>
              <w:rPr>
                <w:color w:val="231F20"/>
                <w:w w:val="120"/>
                <w:sz w:val="17"/>
              </w:rPr>
              <w:t>des</w:t>
            </w:r>
            <w:r>
              <w:rPr>
                <w:color w:val="231F20"/>
                <w:spacing w:val="-13"/>
                <w:w w:val="120"/>
                <w:sz w:val="17"/>
              </w:rPr>
              <w:t> </w:t>
            </w:r>
            <w:r>
              <w:rPr>
                <w:color w:val="231F20"/>
                <w:w w:val="120"/>
                <w:sz w:val="17"/>
              </w:rPr>
              <w:t>aspects</w:t>
            </w:r>
            <w:r>
              <w:rPr>
                <w:color w:val="231F20"/>
                <w:spacing w:val="-13"/>
                <w:w w:val="120"/>
                <w:sz w:val="17"/>
              </w:rPr>
              <w:t> </w:t>
            </w:r>
            <w:r>
              <w:rPr>
                <w:color w:val="231F20"/>
                <w:w w:val="120"/>
                <w:sz w:val="17"/>
              </w:rPr>
              <w:t>physiologiques</w:t>
            </w:r>
            <w:r>
              <w:rPr>
                <w:color w:val="231F20"/>
                <w:spacing w:val="41"/>
                <w:w w:val="120"/>
                <w:sz w:val="17"/>
              </w:rPr>
              <w:t> </w:t>
            </w:r>
            <w:r>
              <w:rPr>
                <w:color w:val="231F20"/>
                <w:spacing w:val="-2"/>
                <w:w w:val="120"/>
                <w:sz w:val="17"/>
              </w:rPr>
              <w:t>...................</w:t>
            </w:r>
            <w:r>
              <w:rPr>
                <w:color w:val="231F20"/>
                <w:sz w:val="17"/>
              </w:rPr>
              <w:tab/>
            </w:r>
            <w:r>
              <w:rPr>
                <w:color w:val="231F20"/>
                <w:spacing w:val="-5"/>
                <w:w w:val="120"/>
                <w:sz w:val="17"/>
              </w:rPr>
              <w:t>174</w:t>
            </w:r>
          </w:hyperlink>
        </w:p>
        <w:p>
          <w:pPr>
            <w:numPr>
              <w:ilvl w:val="2"/>
              <w:numId w:val="5"/>
            </w:numPr>
            <w:tabs>
              <w:tab w:pos="2054" w:val="left" w:leader="none"/>
            </w:tabs>
            <w:spacing w:before="114"/>
            <w:ind w:left="2053" w:right="0" w:hanging="375"/>
            <w:jc w:val="left"/>
            <w:rPr>
              <w:sz w:val="17"/>
            </w:rPr>
          </w:pPr>
          <w:hyperlink w:history="true" w:anchor="_bookmark79">
            <w:r>
              <w:rPr>
                <w:rFonts w:ascii="Arial" w:hAnsi="Arial"/>
                <w:i/>
                <w:color w:val="231F20"/>
                <w:w w:val="120"/>
                <w:sz w:val="17"/>
              </w:rPr>
              <w:t>/</w:t>
            </w:r>
            <w:r>
              <w:rPr>
                <w:rFonts w:ascii="Arial" w:hAnsi="Arial"/>
                <w:i/>
                <w:color w:val="231F20"/>
                <w:spacing w:val="47"/>
                <w:w w:val="120"/>
                <w:sz w:val="17"/>
              </w:rPr>
              <w:t> </w:t>
            </w:r>
            <w:r>
              <w:rPr>
                <w:color w:val="231F20"/>
                <w:w w:val="120"/>
                <w:sz w:val="17"/>
              </w:rPr>
              <w:t>Stratégies</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gestion</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aspects</w:t>
            </w:r>
            <w:r>
              <w:rPr>
                <w:color w:val="231F20"/>
                <w:spacing w:val="-12"/>
                <w:w w:val="120"/>
                <w:sz w:val="17"/>
              </w:rPr>
              <w:t> </w:t>
            </w:r>
            <w:r>
              <w:rPr>
                <w:color w:val="231F20"/>
                <w:spacing w:val="-2"/>
                <w:w w:val="120"/>
                <w:sz w:val="17"/>
              </w:rPr>
              <w:t>cognitifs</w:t>
            </w:r>
          </w:hyperlink>
        </w:p>
        <w:p>
          <w:pPr>
            <w:tabs>
              <w:tab w:pos="6601" w:val="left" w:leader="none"/>
            </w:tabs>
            <w:spacing w:before="54"/>
            <w:ind w:left="2219" w:right="0" w:firstLine="0"/>
            <w:jc w:val="left"/>
            <w:rPr>
              <w:sz w:val="17"/>
            </w:rPr>
          </w:pPr>
          <w:hyperlink w:history="true" w:anchor="_bookmark79">
            <w:r>
              <w:rPr>
                <w:color w:val="231F20"/>
                <w:w w:val="125"/>
                <w:sz w:val="17"/>
              </w:rPr>
              <w:t>et</w:t>
            </w:r>
            <w:r>
              <w:rPr>
                <w:color w:val="231F20"/>
                <w:spacing w:val="-15"/>
                <w:w w:val="125"/>
                <w:sz w:val="17"/>
              </w:rPr>
              <w:t> </w:t>
            </w:r>
            <w:r>
              <w:rPr>
                <w:color w:val="231F20"/>
                <w:w w:val="125"/>
                <w:sz w:val="17"/>
              </w:rPr>
              <w:t>comportementaux</w:t>
            </w:r>
            <w:r>
              <w:rPr>
                <w:color w:val="231F20"/>
                <w:spacing w:val="27"/>
                <w:w w:val="125"/>
                <w:sz w:val="17"/>
              </w:rPr>
              <w:t> </w:t>
            </w:r>
            <w:r>
              <w:rPr>
                <w:color w:val="231F20"/>
                <w:spacing w:val="-2"/>
                <w:w w:val="125"/>
                <w:sz w:val="17"/>
              </w:rPr>
              <w:t>.........................................</w:t>
            </w:r>
            <w:r>
              <w:rPr>
                <w:color w:val="231F20"/>
                <w:sz w:val="17"/>
              </w:rPr>
              <w:tab/>
            </w:r>
            <w:r>
              <w:rPr>
                <w:color w:val="231F20"/>
                <w:spacing w:val="-5"/>
                <w:w w:val="125"/>
                <w:sz w:val="17"/>
              </w:rPr>
              <w:t>183</w:t>
            </w:r>
          </w:hyperlink>
        </w:p>
        <w:p>
          <w:pPr>
            <w:pStyle w:val="TOC6"/>
            <w:tabs>
              <w:tab w:pos="1679" w:val="left" w:leader="none"/>
              <w:tab w:pos="6601" w:val="left" w:leader="none"/>
            </w:tabs>
          </w:pPr>
          <w:hyperlink w:history="true" w:anchor="_bookmark81">
            <w:r>
              <w:rPr>
                <w:rFonts w:ascii="Arial" w:hAnsi="Arial"/>
                <w:color w:val="231F20"/>
                <w:w w:val="85"/>
              </w:rPr>
              <w:t>5.3</w:t>
            </w:r>
            <w:r>
              <w:rPr>
                <w:rFonts w:ascii="Arial" w:hAnsi="Arial"/>
                <w:color w:val="231F20"/>
                <w:spacing w:val="-14"/>
                <w:w w:val="115"/>
              </w:rPr>
              <w:t>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11"/>
                <w:w w:val="115"/>
              </w:rPr>
              <w:t> </w:t>
            </w:r>
            <w:r>
              <w:rPr>
                <w:color w:val="231F20"/>
                <w:w w:val="115"/>
              </w:rPr>
              <w:t>organisationnelles</w:t>
            </w:r>
            <w:r>
              <w:rPr>
                <w:color w:val="231F20"/>
                <w:spacing w:val="74"/>
                <w:w w:val="150"/>
              </w:rPr>
              <w:t> </w:t>
            </w:r>
            <w:r>
              <w:rPr>
                <w:color w:val="231F20"/>
                <w:spacing w:val="-2"/>
                <w:w w:val="115"/>
              </w:rPr>
              <w:t>........................................</w:t>
            </w:r>
            <w:r>
              <w:rPr>
                <w:color w:val="231F20"/>
              </w:rPr>
              <w:tab/>
            </w:r>
            <w:r>
              <w:rPr>
                <w:color w:val="231F20"/>
                <w:spacing w:val="-5"/>
                <w:w w:val="115"/>
              </w:rPr>
              <w:t>192</w:t>
            </w:r>
          </w:hyperlink>
        </w:p>
        <w:p>
          <w:pPr>
            <w:numPr>
              <w:ilvl w:val="2"/>
              <w:numId w:val="6"/>
            </w:numPr>
            <w:tabs>
              <w:tab w:pos="2034" w:val="left" w:leader="none"/>
            </w:tabs>
            <w:spacing w:before="114"/>
            <w:ind w:left="2033" w:right="0" w:hanging="355"/>
            <w:jc w:val="left"/>
            <w:rPr>
              <w:sz w:val="17"/>
            </w:rPr>
          </w:pPr>
          <w:hyperlink w:history="true" w:anchor="_bookmark82">
            <w:r>
              <w:rPr>
                <w:rFonts w:ascii="Arial" w:hAnsi="Arial"/>
                <w:i/>
                <w:color w:val="231F20"/>
                <w:w w:val="120"/>
                <w:sz w:val="17"/>
              </w:rPr>
              <w:t>/</w:t>
            </w:r>
            <w:r>
              <w:rPr>
                <w:rFonts w:ascii="Arial" w:hAnsi="Arial"/>
                <w:i/>
                <w:color w:val="231F20"/>
                <w:spacing w:val="54"/>
                <w:w w:val="120"/>
                <w:sz w:val="17"/>
              </w:rPr>
              <w:t> </w:t>
            </w:r>
            <w:r>
              <w:rPr>
                <w:color w:val="231F20"/>
                <w:w w:val="120"/>
                <w:sz w:val="17"/>
              </w:rPr>
              <w:t>Principaux</w:t>
            </w:r>
            <w:r>
              <w:rPr>
                <w:color w:val="231F20"/>
                <w:spacing w:val="-13"/>
                <w:w w:val="120"/>
                <w:sz w:val="17"/>
              </w:rPr>
              <w:t> </w:t>
            </w:r>
            <w:r>
              <w:rPr>
                <w:color w:val="231F20"/>
                <w:w w:val="120"/>
                <w:sz w:val="17"/>
              </w:rPr>
              <w:t>obstacles</w:t>
            </w:r>
            <w:r>
              <w:rPr>
                <w:color w:val="231F20"/>
                <w:spacing w:val="-13"/>
                <w:w w:val="120"/>
                <w:sz w:val="17"/>
              </w:rPr>
              <w:t> </w:t>
            </w:r>
            <w:r>
              <w:rPr>
                <w:color w:val="231F20"/>
                <w:w w:val="120"/>
                <w:sz w:val="17"/>
              </w:rPr>
              <w:t>à</w:t>
            </w:r>
            <w:r>
              <w:rPr>
                <w:color w:val="231F20"/>
                <w:spacing w:val="-13"/>
                <w:w w:val="120"/>
                <w:sz w:val="17"/>
              </w:rPr>
              <w:t> </w:t>
            </w:r>
            <w:r>
              <w:rPr>
                <w:color w:val="231F20"/>
                <w:spacing w:val="-2"/>
                <w:w w:val="120"/>
                <w:sz w:val="17"/>
              </w:rPr>
              <w:t>l’intervention</w:t>
            </w:r>
          </w:hyperlink>
        </w:p>
        <w:p>
          <w:pPr>
            <w:tabs>
              <w:tab w:pos="6601" w:val="left" w:leader="none"/>
            </w:tabs>
            <w:spacing w:before="55"/>
            <w:ind w:left="2219" w:right="0" w:firstLine="0"/>
            <w:jc w:val="left"/>
            <w:rPr>
              <w:sz w:val="17"/>
            </w:rPr>
          </w:pPr>
          <w:hyperlink w:history="true" w:anchor="_bookmark82">
            <w:r>
              <w:rPr>
                <w:color w:val="231F20"/>
                <w:w w:val="120"/>
                <w:sz w:val="17"/>
              </w:rPr>
              <w:t>organisationnelle</w:t>
            </w:r>
            <w:r>
              <w:rPr>
                <w:color w:val="231F20"/>
                <w:spacing w:val="37"/>
                <w:w w:val="125"/>
                <w:sz w:val="17"/>
              </w:rPr>
              <w:t> </w:t>
            </w:r>
            <w:r>
              <w:rPr>
                <w:color w:val="231F20"/>
                <w:spacing w:val="-2"/>
                <w:w w:val="125"/>
                <w:sz w:val="17"/>
              </w:rPr>
              <w:t>...............................................</w:t>
            </w:r>
            <w:r>
              <w:rPr>
                <w:color w:val="231F20"/>
                <w:sz w:val="17"/>
              </w:rPr>
              <w:tab/>
            </w:r>
            <w:r>
              <w:rPr>
                <w:color w:val="231F20"/>
                <w:spacing w:val="-5"/>
                <w:w w:val="125"/>
                <w:sz w:val="17"/>
              </w:rPr>
              <w:t>193</w:t>
            </w:r>
          </w:hyperlink>
        </w:p>
        <w:p>
          <w:pPr>
            <w:numPr>
              <w:ilvl w:val="2"/>
              <w:numId w:val="6"/>
            </w:numPr>
            <w:tabs>
              <w:tab w:pos="2053" w:val="left" w:leader="none"/>
              <w:tab w:pos="6601" w:val="left" w:leader="none"/>
            </w:tabs>
            <w:spacing w:before="114"/>
            <w:ind w:left="2052" w:right="0" w:hanging="374"/>
            <w:jc w:val="left"/>
            <w:rPr>
              <w:sz w:val="17"/>
            </w:rPr>
          </w:pPr>
          <w:hyperlink w:history="true" w:anchor="_bookmark83">
            <w:r>
              <w:rPr>
                <w:rFonts w:ascii="Arial"/>
                <w:i/>
                <w:color w:val="231F20"/>
                <w:w w:val="120"/>
                <w:sz w:val="17"/>
              </w:rPr>
              <w:t>/</w:t>
            </w:r>
            <w:r>
              <w:rPr>
                <w:rFonts w:ascii="Arial"/>
                <w:i/>
                <w:color w:val="231F20"/>
                <w:spacing w:val="40"/>
                <w:w w:val="120"/>
                <w:sz w:val="17"/>
              </w:rPr>
              <w:t> </w:t>
            </w:r>
            <w:r>
              <w:rPr>
                <w:color w:val="231F20"/>
                <w:w w:val="120"/>
                <w:sz w:val="17"/>
              </w:rPr>
              <w:t>Processus</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diagnostic</w:t>
            </w:r>
            <w:r>
              <w:rPr>
                <w:color w:val="231F20"/>
                <w:spacing w:val="-13"/>
                <w:w w:val="120"/>
                <w:sz w:val="17"/>
              </w:rPr>
              <w:t> </w:t>
            </w:r>
            <w:r>
              <w:rPr>
                <w:color w:val="231F20"/>
                <w:w w:val="120"/>
                <w:sz w:val="17"/>
              </w:rPr>
              <w:t>organisationnel</w:t>
            </w:r>
            <w:r>
              <w:rPr>
                <w:color w:val="231F20"/>
                <w:spacing w:val="34"/>
                <w:w w:val="120"/>
                <w:sz w:val="17"/>
              </w:rPr>
              <w:t> </w:t>
            </w:r>
            <w:r>
              <w:rPr>
                <w:color w:val="231F20"/>
                <w:spacing w:val="-2"/>
                <w:w w:val="120"/>
                <w:sz w:val="17"/>
              </w:rPr>
              <w:t>............</w:t>
            </w:r>
            <w:r>
              <w:rPr>
                <w:color w:val="231F20"/>
                <w:sz w:val="17"/>
              </w:rPr>
              <w:tab/>
            </w:r>
            <w:r>
              <w:rPr>
                <w:color w:val="231F20"/>
                <w:spacing w:val="-5"/>
                <w:w w:val="120"/>
                <w:sz w:val="17"/>
              </w:rPr>
              <w:t>195</w:t>
            </w:r>
          </w:hyperlink>
        </w:p>
        <w:p>
          <w:pPr>
            <w:numPr>
              <w:ilvl w:val="2"/>
              <w:numId w:val="6"/>
            </w:numPr>
            <w:tabs>
              <w:tab w:pos="2052" w:val="left" w:leader="none"/>
            </w:tabs>
            <w:spacing w:before="113"/>
            <w:ind w:left="2051" w:right="0" w:hanging="373"/>
            <w:jc w:val="left"/>
            <w:rPr>
              <w:sz w:val="17"/>
            </w:rPr>
          </w:pPr>
          <w:hyperlink w:history="true" w:anchor="_bookmark85">
            <w:r>
              <w:rPr>
                <w:rFonts w:ascii="Arial" w:hAnsi="Arial"/>
                <w:i/>
                <w:color w:val="231F20"/>
                <w:w w:val="120"/>
                <w:sz w:val="17"/>
              </w:rPr>
              <w:t>/</w:t>
            </w:r>
            <w:r>
              <w:rPr>
                <w:rFonts w:ascii="Arial" w:hAnsi="Arial"/>
                <w:i/>
                <w:color w:val="231F20"/>
                <w:spacing w:val="62"/>
                <w:w w:val="120"/>
                <w:sz w:val="17"/>
              </w:rPr>
              <w:t> </w:t>
            </w:r>
            <w:r>
              <w:rPr>
                <w:color w:val="231F20"/>
                <w:w w:val="120"/>
                <w:sz w:val="17"/>
              </w:rPr>
              <w:t>Interventions</w:t>
            </w:r>
            <w:r>
              <w:rPr>
                <w:color w:val="231F20"/>
                <w:spacing w:val="-12"/>
                <w:w w:val="120"/>
                <w:sz w:val="17"/>
              </w:rPr>
              <w:t> </w:t>
            </w:r>
            <w:r>
              <w:rPr>
                <w:color w:val="231F20"/>
                <w:w w:val="120"/>
                <w:sz w:val="17"/>
              </w:rPr>
              <w:t>organisationnelles</w:t>
            </w:r>
            <w:r>
              <w:rPr>
                <w:color w:val="231F20"/>
                <w:spacing w:val="-13"/>
                <w:w w:val="120"/>
                <w:sz w:val="17"/>
              </w:rPr>
              <w:t> </w:t>
            </w:r>
            <w:r>
              <w:rPr>
                <w:color w:val="231F20"/>
                <w:w w:val="120"/>
                <w:sz w:val="17"/>
              </w:rPr>
              <w:t>en</w:t>
            </w:r>
            <w:r>
              <w:rPr>
                <w:color w:val="231F20"/>
                <w:spacing w:val="-12"/>
                <w:w w:val="120"/>
                <w:sz w:val="17"/>
              </w:rPr>
              <w:t> </w:t>
            </w:r>
            <w:r>
              <w:rPr>
                <w:color w:val="231F20"/>
                <w:spacing w:val="-2"/>
                <w:w w:val="120"/>
                <w:sz w:val="17"/>
              </w:rPr>
              <w:t>matière</w:t>
            </w:r>
          </w:hyperlink>
        </w:p>
        <w:p>
          <w:pPr>
            <w:tabs>
              <w:tab w:pos="6601" w:val="left" w:leader="none"/>
            </w:tabs>
            <w:spacing w:before="55"/>
            <w:ind w:left="2219" w:right="0" w:firstLine="0"/>
            <w:jc w:val="left"/>
            <w:rPr>
              <w:sz w:val="17"/>
            </w:rPr>
          </w:pPr>
          <w:hyperlink w:history="true" w:anchor="_bookmark85">
            <w:r>
              <w:rPr>
                <w:color w:val="231F20"/>
                <w:w w:val="125"/>
                <w:sz w:val="17"/>
              </w:rPr>
              <w:t>de</w:t>
            </w:r>
            <w:r>
              <w:rPr>
                <w:color w:val="231F20"/>
                <w:spacing w:val="-15"/>
                <w:w w:val="125"/>
                <w:sz w:val="17"/>
              </w:rPr>
              <w:t> </w:t>
            </w:r>
            <w:r>
              <w:rPr>
                <w:color w:val="231F20"/>
                <w:w w:val="125"/>
                <w:sz w:val="17"/>
              </w:rPr>
              <w:t>stress</w:t>
            </w:r>
            <w:r>
              <w:rPr>
                <w:color w:val="231F20"/>
                <w:spacing w:val="15"/>
                <w:w w:val="125"/>
                <w:sz w:val="17"/>
              </w:rPr>
              <w:t> </w:t>
            </w:r>
            <w:r>
              <w:rPr>
                <w:color w:val="231F20"/>
                <w:spacing w:val="-2"/>
                <w:w w:val="125"/>
                <w:sz w:val="17"/>
              </w:rPr>
              <w:t>.............................................................</w:t>
            </w:r>
            <w:r>
              <w:rPr>
                <w:color w:val="231F20"/>
                <w:sz w:val="17"/>
              </w:rPr>
              <w:tab/>
            </w:r>
            <w:r>
              <w:rPr>
                <w:color w:val="231F20"/>
                <w:spacing w:val="-5"/>
                <w:w w:val="125"/>
                <w:sz w:val="17"/>
              </w:rPr>
              <w:t>199</w:t>
            </w:r>
          </w:hyperlink>
        </w:p>
        <w:p>
          <w:pPr>
            <w:numPr>
              <w:ilvl w:val="2"/>
              <w:numId w:val="6"/>
            </w:numPr>
            <w:tabs>
              <w:tab w:pos="2062" w:val="left" w:leader="none"/>
              <w:tab w:pos="6600" w:val="left" w:leader="none"/>
            </w:tabs>
            <w:spacing w:before="114"/>
            <w:ind w:left="2061" w:right="0" w:hanging="383"/>
            <w:jc w:val="left"/>
            <w:rPr>
              <w:sz w:val="17"/>
            </w:rPr>
          </w:pPr>
          <w:hyperlink w:history="true" w:anchor="_bookmark86">
            <w:r>
              <w:rPr>
                <w:rFonts w:ascii="Arial"/>
                <w:i/>
                <w:color w:val="231F20"/>
                <w:w w:val="120"/>
                <w:sz w:val="17"/>
              </w:rPr>
              <w:t>/</w:t>
            </w:r>
            <w:r>
              <w:rPr>
                <w:rFonts w:ascii="Arial"/>
                <w:i/>
                <w:color w:val="231F20"/>
                <w:spacing w:val="54"/>
                <w:w w:val="120"/>
                <w:sz w:val="17"/>
              </w:rPr>
              <w:t> </w:t>
            </w:r>
            <w:r>
              <w:rPr>
                <w:color w:val="231F20"/>
                <w:w w:val="120"/>
                <w:sz w:val="17"/>
              </w:rPr>
              <w:t>Gestion</w:t>
            </w:r>
            <w:r>
              <w:rPr>
                <w:color w:val="231F20"/>
                <w:spacing w:val="-12"/>
                <w:w w:val="120"/>
                <w:sz w:val="17"/>
              </w:rPr>
              <w:t> </w:t>
            </w:r>
            <w:r>
              <w:rPr>
                <w:color w:val="231F20"/>
                <w:w w:val="120"/>
                <w:sz w:val="17"/>
              </w:rPr>
              <w:t>des</w:t>
            </w:r>
            <w:r>
              <w:rPr>
                <w:color w:val="231F20"/>
                <w:spacing w:val="-12"/>
                <w:w w:val="120"/>
                <w:sz w:val="17"/>
              </w:rPr>
              <w:t> </w:t>
            </w:r>
            <w:r>
              <w:rPr>
                <w:color w:val="231F20"/>
                <w:w w:val="120"/>
                <w:sz w:val="17"/>
              </w:rPr>
              <w:t>ressources</w:t>
            </w:r>
            <w:r>
              <w:rPr>
                <w:color w:val="231F20"/>
                <w:spacing w:val="-11"/>
                <w:w w:val="120"/>
                <w:sz w:val="17"/>
              </w:rPr>
              <w:t> </w:t>
            </w:r>
            <w:r>
              <w:rPr>
                <w:color w:val="231F20"/>
                <w:w w:val="120"/>
                <w:sz w:val="17"/>
              </w:rPr>
              <w:t>humaines</w:t>
            </w:r>
            <w:r>
              <w:rPr>
                <w:color w:val="231F20"/>
                <w:spacing w:val="-12"/>
                <w:w w:val="120"/>
                <w:sz w:val="17"/>
              </w:rPr>
              <w:t> </w:t>
            </w:r>
            <w:r>
              <w:rPr>
                <w:color w:val="231F20"/>
                <w:w w:val="120"/>
                <w:sz w:val="17"/>
              </w:rPr>
              <w:t>et</w:t>
            </w:r>
            <w:r>
              <w:rPr>
                <w:color w:val="231F20"/>
                <w:spacing w:val="-12"/>
                <w:w w:val="120"/>
                <w:sz w:val="17"/>
              </w:rPr>
              <w:t> </w:t>
            </w:r>
            <w:r>
              <w:rPr>
                <w:color w:val="231F20"/>
                <w:w w:val="120"/>
                <w:sz w:val="17"/>
              </w:rPr>
              <w:t>stress</w:t>
            </w:r>
            <w:r>
              <w:rPr>
                <w:color w:val="231F20"/>
                <w:spacing w:val="38"/>
                <w:w w:val="120"/>
                <w:sz w:val="17"/>
              </w:rPr>
              <w:t> </w:t>
            </w:r>
            <w:r>
              <w:rPr>
                <w:color w:val="231F20"/>
                <w:spacing w:val="-2"/>
                <w:w w:val="120"/>
                <w:sz w:val="17"/>
              </w:rPr>
              <w:t>.........</w:t>
            </w:r>
            <w:r>
              <w:rPr>
                <w:color w:val="231F20"/>
                <w:sz w:val="17"/>
              </w:rPr>
              <w:tab/>
            </w:r>
            <w:r>
              <w:rPr>
                <w:color w:val="231F20"/>
                <w:spacing w:val="-5"/>
                <w:w w:val="120"/>
                <w:sz w:val="17"/>
              </w:rPr>
              <w:t>206</w:t>
            </w:r>
          </w:hyperlink>
        </w:p>
        <w:p>
          <w:pPr>
            <w:numPr>
              <w:ilvl w:val="2"/>
              <w:numId w:val="6"/>
            </w:numPr>
            <w:tabs>
              <w:tab w:pos="2051" w:val="left" w:leader="none"/>
            </w:tabs>
            <w:spacing w:before="114"/>
            <w:ind w:left="2050" w:right="0" w:hanging="373"/>
            <w:jc w:val="left"/>
            <w:rPr>
              <w:sz w:val="17"/>
            </w:rPr>
          </w:pPr>
          <w:hyperlink w:history="true" w:anchor="_bookmark87">
            <w:r>
              <w:rPr>
                <w:rFonts w:ascii="Arial" w:hAnsi="Arial"/>
                <w:i/>
                <w:color w:val="231F20"/>
                <w:w w:val="120"/>
                <w:sz w:val="17"/>
              </w:rPr>
              <w:t>/</w:t>
            </w:r>
            <w:r>
              <w:rPr>
                <w:rFonts w:ascii="Arial" w:hAnsi="Arial"/>
                <w:i/>
                <w:color w:val="231F20"/>
                <w:spacing w:val="60"/>
                <w:w w:val="120"/>
                <w:sz w:val="17"/>
              </w:rPr>
              <w:t> </w:t>
            </w:r>
            <w:r>
              <w:rPr>
                <w:color w:val="231F20"/>
                <w:w w:val="120"/>
                <w:sz w:val="17"/>
              </w:rPr>
              <w:t>Un</w:t>
            </w:r>
            <w:r>
              <w:rPr>
                <w:color w:val="231F20"/>
                <w:spacing w:val="-12"/>
                <w:w w:val="120"/>
                <w:sz w:val="17"/>
              </w:rPr>
              <w:t> </w:t>
            </w:r>
            <w:r>
              <w:rPr>
                <w:color w:val="231F20"/>
                <w:w w:val="120"/>
                <w:sz w:val="17"/>
              </w:rPr>
              <w:t>mode</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gestion</w:t>
            </w:r>
            <w:r>
              <w:rPr>
                <w:color w:val="231F20"/>
                <w:spacing w:val="-12"/>
                <w:w w:val="120"/>
                <w:sz w:val="17"/>
              </w:rPr>
              <w:t> </w:t>
            </w:r>
            <w:r>
              <w:rPr>
                <w:color w:val="231F20"/>
                <w:w w:val="120"/>
                <w:sz w:val="17"/>
              </w:rPr>
              <w:t>intégré</w:t>
            </w:r>
            <w:r>
              <w:rPr>
                <w:color w:val="231F20"/>
                <w:spacing w:val="-13"/>
                <w:w w:val="120"/>
                <w:sz w:val="17"/>
              </w:rPr>
              <w:t> </w:t>
            </w:r>
            <w:r>
              <w:rPr>
                <w:color w:val="231F20"/>
                <w:w w:val="120"/>
                <w:sz w:val="17"/>
              </w:rPr>
              <w:t>du</w:t>
            </w:r>
            <w:r>
              <w:rPr>
                <w:color w:val="231F20"/>
                <w:spacing w:val="-13"/>
                <w:w w:val="120"/>
                <w:sz w:val="17"/>
              </w:rPr>
              <w:t> </w:t>
            </w:r>
            <w:r>
              <w:rPr>
                <w:color w:val="231F20"/>
                <w:w w:val="120"/>
                <w:sz w:val="17"/>
              </w:rPr>
              <w:t>stress</w:t>
            </w:r>
            <w:r>
              <w:rPr>
                <w:color w:val="231F20"/>
                <w:spacing w:val="-12"/>
                <w:w w:val="120"/>
                <w:sz w:val="17"/>
              </w:rPr>
              <w:t> </w:t>
            </w:r>
            <w:r>
              <w:rPr>
                <w:color w:val="231F20"/>
                <w:spacing w:val="-5"/>
                <w:w w:val="120"/>
                <w:sz w:val="17"/>
              </w:rPr>
              <w:t>et</w:t>
            </w:r>
          </w:hyperlink>
        </w:p>
        <w:p>
          <w:pPr>
            <w:tabs>
              <w:tab w:pos="6600" w:val="left" w:leader="none"/>
            </w:tabs>
            <w:spacing w:before="54" w:after="240"/>
            <w:ind w:left="2218" w:right="0" w:firstLine="0"/>
            <w:jc w:val="left"/>
            <w:rPr>
              <w:sz w:val="17"/>
            </w:rPr>
          </w:pPr>
          <w:hyperlink w:history="true" w:anchor="_bookmark87">
            <w:r>
              <w:rPr>
                <w:color w:val="231F20"/>
                <w:w w:val="120"/>
                <w:sz w:val="17"/>
              </w:rPr>
              <w:t>du</w:t>
            </w:r>
            <w:r>
              <w:rPr>
                <w:color w:val="231F20"/>
                <w:spacing w:val="-10"/>
                <w:w w:val="120"/>
                <w:sz w:val="17"/>
              </w:rPr>
              <w:t> </w:t>
            </w:r>
            <w:r>
              <w:rPr>
                <w:color w:val="231F20"/>
                <w:w w:val="120"/>
                <w:sz w:val="17"/>
              </w:rPr>
              <w:t>bien-être</w:t>
            </w:r>
            <w:r>
              <w:rPr>
                <w:color w:val="231F20"/>
                <w:spacing w:val="-10"/>
                <w:w w:val="120"/>
                <w:sz w:val="17"/>
              </w:rPr>
              <w:t> </w:t>
            </w:r>
            <w:r>
              <w:rPr>
                <w:color w:val="231F20"/>
                <w:w w:val="120"/>
                <w:sz w:val="17"/>
              </w:rPr>
              <w:t>au</w:t>
            </w:r>
            <w:r>
              <w:rPr>
                <w:color w:val="231F20"/>
                <w:spacing w:val="-10"/>
                <w:w w:val="120"/>
                <w:sz w:val="17"/>
              </w:rPr>
              <w:t> </w:t>
            </w:r>
            <w:r>
              <w:rPr>
                <w:color w:val="231F20"/>
                <w:w w:val="120"/>
                <w:sz w:val="17"/>
              </w:rPr>
              <w:t>travail:</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gestion</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valeurs</w:t>
            </w:r>
            <w:r>
              <w:rPr>
                <w:color w:val="231F20"/>
                <w:spacing w:val="66"/>
                <w:w w:val="120"/>
                <w:sz w:val="17"/>
              </w:rPr>
              <w:t> </w:t>
            </w:r>
            <w:r>
              <w:rPr>
                <w:color w:val="231F20"/>
                <w:spacing w:val="-4"/>
                <w:w w:val="120"/>
                <w:sz w:val="17"/>
              </w:rPr>
              <w:t>....</w:t>
            </w:r>
            <w:r>
              <w:rPr>
                <w:color w:val="231F20"/>
                <w:sz w:val="17"/>
              </w:rPr>
              <w:tab/>
            </w:r>
            <w:r>
              <w:rPr>
                <w:color w:val="231F20"/>
                <w:spacing w:val="-5"/>
                <w:w w:val="120"/>
                <w:sz w:val="17"/>
              </w:rPr>
              <w:t>210</w:t>
            </w:r>
          </w:hyperlink>
        </w:p>
        <w:p>
          <w:pPr>
            <w:pStyle w:val="TOC1"/>
            <w:spacing w:before="123"/>
          </w:pPr>
          <w:r>
            <w:rPr>
              <w:color w:val="231F20"/>
            </w:rPr>
            <w:t>Stress,</w:t>
          </w:r>
          <w:r>
            <w:rPr>
              <w:color w:val="231F20"/>
              <w:spacing w:val="-6"/>
            </w:rPr>
            <w:t> </w:t>
          </w:r>
          <w:r>
            <w:rPr>
              <w:color w:val="231F20"/>
            </w:rPr>
            <w:t>santé</w:t>
          </w:r>
          <w:r>
            <w:rPr>
              <w:color w:val="231F20"/>
              <w:spacing w:val="-5"/>
            </w:rPr>
            <w:t> </w:t>
          </w:r>
          <w:r>
            <w:rPr>
              <w:color w:val="231F20"/>
            </w:rPr>
            <w:t>et</w:t>
          </w:r>
          <w:r>
            <w:rPr>
              <w:color w:val="231F20"/>
              <w:spacing w:val="-5"/>
            </w:rPr>
            <w:t> </w:t>
          </w:r>
          <w:r>
            <w:rPr>
              <w:color w:val="231F20"/>
            </w:rPr>
            <w:t>performance</w:t>
          </w:r>
          <w:r>
            <w:rPr>
              <w:color w:val="231F20"/>
              <w:spacing w:val="-6"/>
            </w:rPr>
            <w:t> </w:t>
          </w:r>
          <w:r>
            <w:rPr>
              <w:color w:val="231F20"/>
            </w:rPr>
            <w:t>au</w:t>
          </w:r>
          <w:r>
            <w:rPr>
              <w:color w:val="231F20"/>
              <w:spacing w:val="-5"/>
            </w:rPr>
            <w:t> </w:t>
          </w:r>
          <w:r>
            <w:rPr>
              <w:color w:val="231F20"/>
              <w:spacing w:val="-2"/>
            </w:rPr>
            <w:t>travail</w:t>
          </w:r>
        </w:p>
        <w:p>
          <w:pPr>
            <w:pStyle w:val="TOC9"/>
            <w:numPr>
              <w:ilvl w:val="2"/>
              <w:numId w:val="6"/>
            </w:numPr>
            <w:tabs>
              <w:tab w:pos="1675" w:val="left" w:leader="none"/>
            </w:tabs>
            <w:spacing w:line="240" w:lineRule="auto" w:before="806" w:after="0"/>
            <w:ind w:left="1674" w:right="0" w:hanging="385"/>
            <w:jc w:val="left"/>
          </w:pPr>
          <w:hyperlink w:history="true" w:anchor="_bookmark89">
            <w:r>
              <w:rPr>
                <w:rFonts w:ascii="Arial" w:hAnsi="Arial"/>
                <w:i/>
                <w:color w:val="231F20"/>
                <w:w w:val="120"/>
              </w:rPr>
              <w:t>/</w:t>
            </w:r>
            <w:r>
              <w:rPr>
                <w:rFonts w:ascii="Arial" w:hAnsi="Arial"/>
                <w:i/>
                <w:color w:val="231F20"/>
                <w:spacing w:val="36"/>
                <w:w w:val="120"/>
              </w:rPr>
              <w:t> </w:t>
            </w:r>
            <w:r>
              <w:rPr>
                <w:color w:val="231F20"/>
                <w:w w:val="120"/>
              </w:rPr>
              <w:t>Exemples</w:t>
            </w:r>
            <w:r>
              <w:rPr>
                <w:color w:val="231F20"/>
                <w:spacing w:val="-13"/>
                <w:w w:val="120"/>
              </w:rPr>
              <w:t> </w:t>
            </w:r>
            <w:r>
              <w:rPr>
                <w:color w:val="231F20"/>
                <w:w w:val="120"/>
              </w:rPr>
              <w:t>d’intervention</w:t>
            </w:r>
            <w:r>
              <w:rPr>
                <w:color w:val="231F20"/>
                <w:spacing w:val="-13"/>
                <w:w w:val="120"/>
              </w:rPr>
              <w:t> </w:t>
            </w:r>
            <w:r>
              <w:rPr>
                <w:color w:val="231F20"/>
                <w:w w:val="120"/>
              </w:rPr>
              <w:t>en</w:t>
            </w:r>
            <w:r>
              <w:rPr>
                <w:color w:val="231F20"/>
                <w:spacing w:val="-13"/>
                <w:w w:val="120"/>
              </w:rPr>
              <w:t> </w:t>
            </w:r>
            <w:r>
              <w:rPr>
                <w:color w:val="231F20"/>
                <w:w w:val="120"/>
              </w:rPr>
              <w:t>matière</w:t>
            </w:r>
            <w:r>
              <w:rPr>
                <w:color w:val="231F20"/>
                <w:spacing w:val="-12"/>
                <w:w w:val="120"/>
              </w:rPr>
              <w:t> </w:t>
            </w:r>
            <w:r>
              <w:rPr>
                <w:color w:val="231F20"/>
                <w:w w:val="120"/>
              </w:rPr>
              <w:t>de</w:t>
            </w:r>
            <w:r>
              <w:rPr>
                <w:color w:val="231F20"/>
                <w:spacing w:val="-13"/>
                <w:w w:val="120"/>
              </w:rPr>
              <w:t> </w:t>
            </w:r>
            <w:r>
              <w:rPr>
                <w:color w:val="231F20"/>
                <w:spacing w:val="-2"/>
                <w:w w:val="120"/>
              </w:rPr>
              <w:t>stress</w:t>
            </w:r>
          </w:hyperlink>
        </w:p>
        <w:p>
          <w:pPr>
            <w:tabs>
              <w:tab w:pos="6211" w:val="left" w:leader="none"/>
            </w:tabs>
            <w:spacing w:before="55"/>
            <w:ind w:left="1829" w:right="0" w:firstLine="0"/>
            <w:jc w:val="left"/>
            <w:rPr>
              <w:sz w:val="17"/>
            </w:rPr>
          </w:pPr>
          <w:hyperlink w:history="true" w:anchor="_bookmark89">
            <w:r>
              <w:rPr>
                <w:color w:val="231F20"/>
                <w:w w:val="120"/>
                <w:sz w:val="17"/>
              </w:rPr>
              <w:t>dans</w:t>
            </w:r>
            <w:r>
              <w:rPr>
                <w:color w:val="231F20"/>
                <w:spacing w:val="-13"/>
                <w:w w:val="120"/>
                <w:sz w:val="17"/>
              </w:rPr>
              <w:t> </w:t>
            </w:r>
            <w:r>
              <w:rPr>
                <w:color w:val="231F20"/>
                <w:w w:val="120"/>
                <w:sz w:val="17"/>
              </w:rPr>
              <w:t>les</w:t>
            </w:r>
            <w:r>
              <w:rPr>
                <w:color w:val="231F20"/>
                <w:spacing w:val="-13"/>
                <w:w w:val="120"/>
                <w:sz w:val="17"/>
              </w:rPr>
              <w:t> </w:t>
            </w:r>
            <w:r>
              <w:rPr>
                <w:color w:val="231F20"/>
                <w:w w:val="120"/>
                <w:sz w:val="17"/>
              </w:rPr>
              <w:t>organisations</w:t>
            </w:r>
            <w:r>
              <w:rPr>
                <w:color w:val="231F20"/>
                <w:spacing w:val="37"/>
                <w:w w:val="120"/>
                <w:sz w:val="17"/>
              </w:rPr>
              <w:t> </w:t>
            </w:r>
            <w:r>
              <w:rPr>
                <w:color w:val="231F20"/>
                <w:spacing w:val="-2"/>
                <w:w w:val="120"/>
                <w:sz w:val="17"/>
              </w:rPr>
              <w:t>........................................</w:t>
            </w:r>
            <w:r>
              <w:rPr>
                <w:color w:val="231F20"/>
                <w:sz w:val="17"/>
              </w:rPr>
              <w:tab/>
            </w:r>
            <w:r>
              <w:rPr>
                <w:color w:val="231F20"/>
                <w:spacing w:val="-5"/>
                <w:w w:val="125"/>
                <w:sz w:val="17"/>
              </w:rPr>
              <w:t>214</w:t>
            </w:r>
          </w:hyperlink>
        </w:p>
        <w:p>
          <w:pPr>
            <w:pStyle w:val="TOC3"/>
            <w:tabs>
              <w:tab w:pos="6211" w:val="left" w:leader="none"/>
            </w:tabs>
          </w:pPr>
          <w:hyperlink w:history="true" w:anchor="_bookmark90">
            <w:r>
              <w:rPr>
                <w:rFonts w:ascii="Arial"/>
                <w:color w:val="231F20"/>
                <w:w w:val="120"/>
              </w:rPr>
              <w:t>5.4</w:t>
            </w:r>
            <w:r>
              <w:rPr>
                <w:rFonts w:ascii="Arial"/>
                <w:color w:val="231F20"/>
                <w:spacing w:val="-26"/>
                <w:w w:val="120"/>
              </w:rPr>
              <w:t> </w:t>
            </w:r>
            <w:r>
              <w:rPr>
                <w:rFonts w:ascii="Arial"/>
                <w:i/>
                <w:color w:val="231F20"/>
                <w:w w:val="120"/>
              </w:rPr>
              <w:t>/</w:t>
            </w:r>
            <w:r>
              <w:rPr>
                <w:rFonts w:ascii="Arial"/>
                <w:i/>
                <w:color w:val="231F20"/>
                <w:spacing w:val="73"/>
                <w:w w:val="150"/>
              </w:rPr>
              <w:t> </w:t>
            </w:r>
            <w:r>
              <w:rPr>
                <w:color w:val="231F20"/>
                <w:w w:val="120"/>
              </w:rPr>
              <w:t>Post-scriptum</w:t>
            </w:r>
            <w:r>
              <w:rPr>
                <w:color w:val="231F20"/>
                <w:spacing w:val="13"/>
                <w:w w:val="120"/>
              </w:rPr>
              <w:t> </w:t>
            </w:r>
            <w:r>
              <w:rPr>
                <w:color w:val="231F20"/>
                <w:spacing w:val="-2"/>
                <w:w w:val="120"/>
              </w:rPr>
              <w:t>...............................................................</w:t>
            </w:r>
            <w:r>
              <w:rPr>
                <w:color w:val="231F20"/>
              </w:rPr>
              <w:tab/>
            </w:r>
            <w:r>
              <w:rPr>
                <w:color w:val="231F20"/>
                <w:spacing w:val="-5"/>
                <w:w w:val="120"/>
              </w:rPr>
              <w:t>216</w:t>
            </w:r>
          </w:hyperlink>
        </w:p>
        <w:p>
          <w:pPr>
            <w:pStyle w:val="TOC3"/>
            <w:tabs>
              <w:tab w:pos="6211" w:val="left" w:leader="none"/>
            </w:tabs>
            <w:spacing w:before="303"/>
          </w:pPr>
          <w:hyperlink w:history="true" w:anchor="_bookmark91">
            <w:r>
              <w:rPr>
                <w:rFonts w:ascii="Arial"/>
                <w:color w:val="231F20"/>
              </w:rPr>
              <w:t>Conclusion</w:t>
            </w:r>
            <w:r>
              <w:rPr>
                <w:rFonts w:ascii="Arial"/>
                <w:color w:val="231F20"/>
                <w:spacing w:val="48"/>
                <w:w w:val="120"/>
              </w:rPr>
              <w:t> </w:t>
            </w:r>
            <w:r>
              <w:rPr>
                <w:color w:val="231F20"/>
                <w:spacing w:val="-2"/>
                <w:w w:val="120"/>
              </w:rPr>
              <w:t>..............................................................................</w:t>
            </w:r>
            <w:r>
              <w:rPr>
                <w:color w:val="231F20"/>
              </w:rPr>
              <w:tab/>
            </w:r>
            <w:r>
              <w:rPr>
                <w:color w:val="231F20"/>
                <w:spacing w:val="-5"/>
                <w:w w:val="120"/>
              </w:rPr>
              <w:t>219</w:t>
            </w:r>
          </w:hyperlink>
        </w:p>
        <w:p>
          <w:pPr>
            <w:pStyle w:val="TOC3"/>
            <w:spacing w:before="304"/>
            <w:rPr>
              <w:rFonts w:ascii="Arial"/>
              <w:i/>
            </w:rPr>
          </w:pPr>
          <w:hyperlink w:history="true" w:anchor="_bookmark92">
            <w:r>
              <w:rPr>
                <w:rFonts w:ascii="Arial"/>
                <w:color w:val="231F20"/>
                <w:w w:val="95"/>
              </w:rPr>
              <w:t>Annexe</w:t>
            </w:r>
            <w:r>
              <w:rPr>
                <w:rFonts w:ascii="Arial"/>
                <w:color w:val="231F20"/>
                <w:spacing w:val="-2"/>
                <w:w w:val="95"/>
              </w:rPr>
              <w:t> </w:t>
            </w:r>
            <w:r>
              <w:rPr>
                <w:rFonts w:ascii="Arial"/>
                <w:i/>
                <w:color w:val="231F20"/>
                <w:spacing w:val="-10"/>
              </w:rPr>
              <w:t>/</w:t>
            </w:r>
          </w:hyperlink>
        </w:p>
        <w:p>
          <w:pPr>
            <w:pStyle w:val="TOC2"/>
            <w:spacing w:before="45"/>
          </w:pPr>
          <w:hyperlink w:history="true" w:anchor="_bookmark92">
            <w:r>
              <w:rPr>
                <w:color w:val="231F20"/>
                <w:w w:val="95"/>
              </w:rPr>
              <w:t>Stress,</w:t>
            </w:r>
            <w:r>
              <w:rPr>
                <w:color w:val="231F20"/>
                <w:spacing w:val="-5"/>
                <w:w w:val="95"/>
              </w:rPr>
              <w:t> </w:t>
            </w:r>
            <w:r>
              <w:rPr>
                <w:color w:val="231F20"/>
                <w:w w:val="95"/>
              </w:rPr>
              <w:t>estime</w:t>
            </w:r>
            <w:r>
              <w:rPr>
                <w:color w:val="231F20"/>
                <w:spacing w:val="-5"/>
                <w:w w:val="95"/>
              </w:rPr>
              <w:t> </w:t>
            </w:r>
            <w:r>
              <w:rPr>
                <w:color w:val="231F20"/>
                <w:w w:val="95"/>
              </w:rPr>
              <w:t>de</w:t>
            </w:r>
            <w:r>
              <w:rPr>
                <w:color w:val="231F20"/>
                <w:spacing w:val="-5"/>
                <w:w w:val="95"/>
              </w:rPr>
              <w:t> </w:t>
            </w:r>
            <w:r>
              <w:rPr>
                <w:color w:val="231F20"/>
                <w:w w:val="95"/>
              </w:rPr>
              <w:t>soi,</w:t>
            </w:r>
            <w:r>
              <w:rPr>
                <w:color w:val="231F20"/>
                <w:spacing w:val="-5"/>
                <w:w w:val="95"/>
              </w:rPr>
              <w:t> </w:t>
            </w:r>
            <w:r>
              <w:rPr>
                <w:color w:val="231F20"/>
                <w:w w:val="95"/>
              </w:rPr>
              <w:t>valeurs</w:t>
            </w:r>
            <w:r>
              <w:rPr>
                <w:color w:val="231F20"/>
                <w:spacing w:val="-5"/>
                <w:w w:val="95"/>
              </w:rPr>
              <w:t> </w:t>
            </w:r>
            <w:r>
              <w:rPr>
                <w:color w:val="231F20"/>
                <w:w w:val="95"/>
              </w:rPr>
              <w:t>et</w:t>
            </w:r>
            <w:r>
              <w:rPr>
                <w:color w:val="231F20"/>
                <w:spacing w:val="-5"/>
                <w:w w:val="95"/>
              </w:rPr>
              <w:t> </w:t>
            </w:r>
            <w:r>
              <w:rPr>
                <w:color w:val="231F20"/>
                <w:w w:val="95"/>
              </w:rPr>
              <w:t>bien-être</w:t>
            </w:r>
            <w:r>
              <w:rPr>
                <w:color w:val="231F20"/>
                <w:spacing w:val="-5"/>
                <w:w w:val="95"/>
              </w:rPr>
              <w:t> </w:t>
            </w:r>
            <w:r>
              <w:rPr>
                <w:color w:val="231F20"/>
                <w:spacing w:val="-2"/>
                <w:w w:val="95"/>
              </w:rPr>
              <w:t>psychologique</w:t>
            </w:r>
          </w:hyperlink>
        </w:p>
        <w:p>
          <w:pPr>
            <w:pStyle w:val="TOC4"/>
            <w:tabs>
              <w:tab w:pos="6211" w:val="left" w:leader="none"/>
            </w:tabs>
            <w:rPr>
              <w:b w:val="0"/>
              <w:i w:val="0"/>
              <w:sz w:val="17"/>
            </w:rPr>
          </w:pPr>
          <w:hyperlink w:history="true" w:anchor="_bookmark92">
            <w:r>
              <w:rPr>
                <w:rFonts w:ascii="Arial"/>
                <w:i w:val="0"/>
                <w:color w:val="231F20"/>
                <w:sz w:val="18"/>
              </w:rPr>
              <w:t>en</w:t>
            </w:r>
            <w:r>
              <w:rPr>
                <w:rFonts w:ascii="Arial"/>
                <w:i w:val="0"/>
                <w:color w:val="231F20"/>
                <w:spacing w:val="-13"/>
                <w:sz w:val="18"/>
              </w:rPr>
              <w:t> </w:t>
            </w:r>
            <w:r>
              <w:rPr>
                <w:rFonts w:ascii="Arial"/>
                <w:i w:val="0"/>
                <w:color w:val="231F20"/>
                <w:sz w:val="18"/>
              </w:rPr>
              <w:t>contexte</w:t>
            </w:r>
            <w:r>
              <w:rPr>
                <w:rFonts w:ascii="Arial"/>
                <w:i w:val="0"/>
                <w:color w:val="231F20"/>
                <w:spacing w:val="-12"/>
                <w:sz w:val="18"/>
              </w:rPr>
              <w:t> </w:t>
            </w:r>
            <w:r>
              <w:rPr>
                <w:rFonts w:ascii="Arial"/>
                <w:i w:val="0"/>
                <w:color w:val="231F20"/>
                <w:sz w:val="18"/>
              </w:rPr>
              <w:t>de</w:t>
            </w:r>
            <w:r>
              <w:rPr>
                <w:rFonts w:ascii="Arial"/>
                <w:i w:val="0"/>
                <w:color w:val="231F20"/>
                <w:spacing w:val="-13"/>
                <w:sz w:val="18"/>
              </w:rPr>
              <w:t> </w:t>
            </w:r>
            <w:r>
              <w:rPr>
                <w:rFonts w:ascii="Arial"/>
                <w:i w:val="0"/>
                <w:color w:val="231F20"/>
                <w:sz w:val="18"/>
              </w:rPr>
              <w:t>COVID-19</w:t>
            </w:r>
            <w:r>
              <w:rPr>
                <w:rFonts w:ascii="Arial"/>
                <w:i w:val="0"/>
                <w:color w:val="231F20"/>
                <w:spacing w:val="18"/>
                <w:sz w:val="18"/>
              </w:rPr>
              <w:t> </w:t>
            </w:r>
            <w:r>
              <w:rPr>
                <w:b w:val="0"/>
                <w:i w:val="0"/>
                <w:color w:val="231F20"/>
                <w:spacing w:val="-2"/>
                <w:sz w:val="17"/>
              </w:rPr>
              <w:t>......................................................</w:t>
            </w:r>
            <w:r>
              <w:rPr>
                <w:b w:val="0"/>
                <w:i w:val="0"/>
                <w:color w:val="231F20"/>
                <w:sz w:val="17"/>
              </w:rPr>
              <w:tab/>
            </w:r>
            <w:r>
              <w:rPr>
                <w:b w:val="0"/>
                <w:i w:val="0"/>
                <w:color w:val="231F20"/>
                <w:spacing w:val="-5"/>
                <w:w w:val="110"/>
                <w:sz w:val="17"/>
              </w:rPr>
              <w:t>225</w:t>
            </w:r>
          </w:hyperlink>
        </w:p>
      </w:sdtContent>
    </w:sdt>
    <w:p>
      <w:pPr>
        <w:spacing w:after="0"/>
        <w:rPr>
          <w:sz w:val="17"/>
        </w:rPr>
        <w:sectPr>
          <w:type w:val="continuous"/>
          <w:pgSz w:w="8640" w:h="12960"/>
          <w:pgMar w:header="0" w:footer="424" w:top="500" w:bottom="405" w:left="460" w:right="1000"/>
        </w:sectPr>
      </w:pPr>
    </w:p>
    <w:p>
      <w:pPr>
        <w:pStyle w:val="BodyText"/>
        <w:rPr>
          <w:sz w:val="44"/>
        </w:rPr>
      </w:pPr>
    </w:p>
    <w:p>
      <w:pPr>
        <w:pStyle w:val="BodyText"/>
        <w:spacing w:before="1"/>
        <w:rPr>
          <w:sz w:val="62"/>
        </w:rPr>
      </w:pPr>
    </w:p>
    <w:p>
      <w:pPr>
        <w:pStyle w:val="Heading1"/>
        <w:ind w:left="2685"/>
      </w:pPr>
      <w:bookmarkStart w:name="Liste des exercices" w:id="1"/>
      <w:bookmarkEnd w:id="1"/>
      <w:r>
        <w:rPr>
          <w:b w:val="0"/>
        </w:rPr>
      </w:r>
      <w:bookmarkStart w:name="_bookmark0" w:id="2"/>
      <w:bookmarkEnd w:id="2"/>
      <w:r>
        <w:rPr>
          <w:b w:val="0"/>
        </w:rPr>
      </w:r>
      <w:r>
        <w:rPr>
          <w:color w:val="231F20"/>
          <w:w w:val="90"/>
        </w:rPr>
        <w:t>Liste</w:t>
      </w:r>
      <w:r>
        <w:rPr>
          <w:color w:val="231F20"/>
          <w:spacing w:val="-13"/>
          <w:w w:val="90"/>
        </w:rPr>
        <w:t> </w:t>
      </w:r>
      <w:r>
        <w:rPr>
          <w:color w:val="231F20"/>
          <w:w w:val="90"/>
        </w:rPr>
        <w:t>des</w:t>
      </w:r>
      <w:r>
        <w:rPr>
          <w:color w:val="231F20"/>
          <w:spacing w:val="-13"/>
          <w:w w:val="90"/>
        </w:rPr>
        <w:t> </w:t>
      </w:r>
      <w:r>
        <w:rPr>
          <w:color w:val="231F20"/>
          <w:spacing w:val="-2"/>
          <w:w w:val="90"/>
        </w:rPr>
        <w:t>exercices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tabs>
          <w:tab w:pos="1679" w:val="left" w:leader="none"/>
          <w:tab w:pos="6710" w:val="left" w:leader="none"/>
        </w:tabs>
        <w:spacing w:before="253"/>
        <w:ind w:left="1180"/>
      </w:pPr>
      <w:hyperlink w:history="true" w:anchor="_bookmark13">
        <w:r>
          <w:rPr>
            <w:rFonts w:ascii="Arial" w:hAnsi="Arial"/>
            <w:color w:val="231F20"/>
            <w:w w:val="70"/>
          </w:rPr>
          <w:t>1.1</w:t>
        </w:r>
        <w:r>
          <w:rPr>
            <w:rFonts w:ascii="Arial" w:hAnsi="Arial"/>
            <w:color w:val="231F20"/>
            <w:spacing w:val="-19"/>
            <w:w w:val="120"/>
          </w:rPr>
          <w:t> </w:t>
        </w:r>
        <w:r>
          <w:rPr>
            <w:rFonts w:ascii="Arial" w:hAnsi="Arial"/>
            <w:i/>
            <w:color w:val="231F20"/>
            <w:spacing w:val="-10"/>
            <w:w w:val="120"/>
          </w:rPr>
          <w:t>/</w:t>
        </w:r>
        <w:r>
          <w:rPr>
            <w:rFonts w:ascii="Arial" w:hAnsi="Arial"/>
            <w:i/>
            <w:color w:val="231F20"/>
          </w:rPr>
          <w:tab/>
        </w:r>
        <w:r>
          <w:rPr>
            <w:color w:val="231F20"/>
            <w:w w:val="115"/>
          </w:rPr>
          <w:t>Évaluez</w:t>
        </w:r>
        <w:r>
          <w:rPr>
            <w:color w:val="231F20"/>
            <w:spacing w:val="2"/>
            <w:w w:val="115"/>
          </w:rPr>
          <w:t> </w:t>
        </w:r>
        <w:r>
          <w:rPr>
            <w:color w:val="231F20"/>
            <w:w w:val="115"/>
          </w:rPr>
          <w:t>la</w:t>
        </w:r>
        <w:r>
          <w:rPr>
            <w:color w:val="231F20"/>
            <w:spacing w:val="3"/>
            <w:w w:val="115"/>
          </w:rPr>
          <w:t> </w:t>
        </w:r>
        <w:r>
          <w:rPr>
            <w:color w:val="231F20"/>
            <w:w w:val="115"/>
          </w:rPr>
          <w:t>qualité</w:t>
        </w:r>
        <w:r>
          <w:rPr>
            <w:color w:val="231F20"/>
            <w:spacing w:val="3"/>
            <w:w w:val="115"/>
          </w:rPr>
          <w:t> </w:t>
        </w:r>
        <w:r>
          <w:rPr>
            <w:color w:val="231F20"/>
            <w:w w:val="115"/>
          </w:rPr>
          <w:t>de</w:t>
        </w:r>
        <w:r>
          <w:rPr>
            <w:color w:val="231F20"/>
            <w:spacing w:val="3"/>
            <w:w w:val="115"/>
          </w:rPr>
          <w:t> </w:t>
        </w:r>
        <w:r>
          <w:rPr>
            <w:color w:val="231F20"/>
            <w:w w:val="115"/>
          </w:rPr>
          <w:t>votre</w:t>
        </w:r>
        <w:r>
          <w:rPr>
            <w:color w:val="231F20"/>
            <w:spacing w:val="3"/>
            <w:w w:val="115"/>
          </w:rPr>
          <w:t> </w:t>
        </w:r>
        <w:r>
          <w:rPr>
            <w:color w:val="231F20"/>
            <w:w w:val="115"/>
          </w:rPr>
          <w:t>vie</w:t>
        </w:r>
        <w:r>
          <w:rPr>
            <w:color w:val="231F20"/>
            <w:spacing w:val="3"/>
            <w:w w:val="115"/>
          </w:rPr>
          <w:t> </w:t>
        </w:r>
        <w:r>
          <w:rPr>
            <w:color w:val="231F20"/>
            <w:w w:val="115"/>
          </w:rPr>
          <w:t>au</w:t>
        </w:r>
        <w:r>
          <w:rPr>
            <w:color w:val="231F20"/>
            <w:spacing w:val="3"/>
            <w:w w:val="115"/>
          </w:rPr>
          <w:t> </w:t>
        </w:r>
        <w:r>
          <w:rPr>
            <w:color w:val="231F20"/>
            <w:w w:val="115"/>
          </w:rPr>
          <w:t>travail</w:t>
        </w:r>
        <w:r>
          <w:rPr>
            <w:color w:val="231F20"/>
            <w:spacing w:val="-20"/>
            <w:w w:val="115"/>
          </w:rPr>
          <w:t> </w:t>
        </w:r>
        <w:r>
          <w:rPr>
            <w:color w:val="231F20"/>
            <w:spacing w:val="-2"/>
            <w:w w:val="115"/>
          </w:rPr>
          <w:t>........................</w:t>
        </w:r>
        <w:r>
          <w:rPr>
            <w:color w:val="231F20"/>
          </w:rPr>
          <w:tab/>
        </w:r>
        <w:r>
          <w:rPr>
            <w:color w:val="231F20"/>
            <w:spacing w:val="-5"/>
            <w:w w:val="120"/>
          </w:rPr>
          <w:t>36</w:t>
        </w:r>
      </w:hyperlink>
    </w:p>
    <w:p>
      <w:pPr>
        <w:pStyle w:val="BodyText"/>
        <w:tabs>
          <w:tab w:pos="1679" w:val="left" w:leader="none"/>
          <w:tab w:pos="6710" w:val="left" w:leader="none"/>
        </w:tabs>
        <w:spacing w:before="134"/>
        <w:ind w:left="1180"/>
      </w:pPr>
      <w:hyperlink w:history="true" w:anchor="_bookmark30">
        <w:r>
          <w:rPr>
            <w:rFonts w:ascii="Arial" w:hAnsi="Arial"/>
            <w:color w:val="231F20"/>
            <w:w w:val="80"/>
          </w:rPr>
          <w:t>2.1</w:t>
        </w:r>
        <w:r>
          <w:rPr>
            <w:rFonts w:ascii="Arial" w:hAnsi="Arial"/>
            <w:color w:val="231F20"/>
            <w:spacing w:val="-5"/>
            <w:w w:val="80"/>
          </w:rPr>
          <w:t> </w:t>
        </w:r>
        <w:r>
          <w:rPr>
            <w:rFonts w:ascii="Arial" w:hAnsi="Arial"/>
            <w:i/>
            <w:color w:val="231F20"/>
            <w:spacing w:val="-10"/>
            <w:w w:val="120"/>
          </w:rPr>
          <w:t>/</w:t>
        </w:r>
        <w:r>
          <w:rPr>
            <w:rFonts w:ascii="Arial" w:hAnsi="Arial"/>
            <w:i/>
            <w:color w:val="231F20"/>
          </w:rPr>
          <w:tab/>
        </w:r>
        <w:r>
          <w:rPr>
            <w:color w:val="231F20"/>
            <w:w w:val="115"/>
          </w:rPr>
          <w:t>Évaluez</w:t>
        </w:r>
        <w:r>
          <w:rPr>
            <w:color w:val="231F20"/>
            <w:spacing w:val="11"/>
            <w:w w:val="115"/>
          </w:rPr>
          <w:t> </w:t>
        </w:r>
        <w:r>
          <w:rPr>
            <w:color w:val="231F20"/>
            <w:w w:val="115"/>
          </w:rPr>
          <w:t>votre</w:t>
        </w:r>
        <w:r>
          <w:rPr>
            <w:color w:val="231F20"/>
            <w:spacing w:val="11"/>
            <w:w w:val="115"/>
          </w:rPr>
          <w:t> </w:t>
        </w:r>
        <w:r>
          <w:rPr>
            <w:color w:val="231F20"/>
            <w:w w:val="115"/>
          </w:rPr>
          <w:t>propension</w:t>
        </w:r>
        <w:r>
          <w:rPr>
            <w:color w:val="231F20"/>
            <w:spacing w:val="11"/>
            <w:w w:val="115"/>
          </w:rPr>
          <w:t> </w:t>
        </w:r>
        <w:r>
          <w:rPr>
            <w:color w:val="231F20"/>
            <w:w w:val="115"/>
          </w:rPr>
          <w:t>générale</w:t>
        </w:r>
        <w:r>
          <w:rPr>
            <w:color w:val="231F20"/>
            <w:spacing w:val="11"/>
            <w:w w:val="115"/>
          </w:rPr>
          <w:t> </w:t>
        </w:r>
        <w:r>
          <w:rPr>
            <w:color w:val="231F20"/>
            <w:w w:val="115"/>
          </w:rPr>
          <w:t>au</w:t>
        </w:r>
        <w:r>
          <w:rPr>
            <w:color w:val="231F20"/>
            <w:spacing w:val="11"/>
            <w:w w:val="115"/>
          </w:rPr>
          <w:t> </w:t>
        </w:r>
        <w:r>
          <w:rPr>
            <w:color w:val="231F20"/>
            <w:spacing w:val="-2"/>
            <w:w w:val="115"/>
          </w:rPr>
          <w:t>stress..................</w:t>
        </w:r>
        <w:r>
          <w:rPr>
            <w:color w:val="231F20"/>
          </w:rPr>
          <w:tab/>
        </w:r>
        <w:r>
          <w:rPr>
            <w:color w:val="231F20"/>
            <w:spacing w:val="-5"/>
            <w:w w:val="120"/>
          </w:rPr>
          <w:t>75</w:t>
        </w:r>
      </w:hyperlink>
    </w:p>
    <w:p>
      <w:pPr>
        <w:pStyle w:val="BodyText"/>
        <w:tabs>
          <w:tab w:pos="1679" w:val="left" w:leader="none"/>
          <w:tab w:pos="6710" w:val="left" w:leader="none"/>
        </w:tabs>
        <w:spacing w:before="133"/>
        <w:ind w:left="1180"/>
      </w:pPr>
      <w:hyperlink w:history="true" w:anchor="_bookmark34">
        <w:r>
          <w:rPr>
            <w:rFonts w:ascii="Arial" w:hAnsi="Arial"/>
            <w:color w:val="231F20"/>
            <w:w w:val="80"/>
          </w:rPr>
          <w:t>3.1</w:t>
        </w:r>
        <w:r>
          <w:rPr>
            <w:rFonts w:ascii="Arial" w:hAnsi="Arial"/>
            <w:color w:val="231F20"/>
            <w:spacing w:val="-5"/>
            <w:w w:val="80"/>
          </w:rPr>
          <w:t> </w:t>
        </w:r>
        <w:r>
          <w:rPr>
            <w:rFonts w:ascii="Arial" w:hAnsi="Arial"/>
            <w:i/>
            <w:color w:val="231F20"/>
            <w:spacing w:val="-10"/>
            <w:w w:val="120"/>
          </w:rPr>
          <w:t>/</w:t>
        </w:r>
        <w:r>
          <w:rPr>
            <w:rFonts w:ascii="Arial" w:hAnsi="Arial"/>
            <w:i/>
            <w:color w:val="231F20"/>
          </w:rPr>
          <w:tab/>
        </w:r>
        <w:r>
          <w:rPr>
            <w:color w:val="231F20"/>
            <w:spacing w:val="-2"/>
            <w:w w:val="120"/>
          </w:rPr>
          <w:t>Évaluez</w:t>
        </w:r>
        <w:r>
          <w:rPr>
            <w:color w:val="231F20"/>
            <w:spacing w:val="-3"/>
            <w:w w:val="120"/>
          </w:rPr>
          <w:t> </w:t>
        </w:r>
        <w:r>
          <w:rPr>
            <w:color w:val="231F20"/>
            <w:spacing w:val="-2"/>
            <w:w w:val="120"/>
          </w:rPr>
          <w:t>votre</w:t>
        </w:r>
        <w:r>
          <w:rPr>
            <w:color w:val="231F20"/>
            <w:spacing w:val="-3"/>
            <w:w w:val="120"/>
          </w:rPr>
          <w:t> </w:t>
        </w:r>
        <w:r>
          <w:rPr>
            <w:color w:val="231F20"/>
            <w:spacing w:val="-2"/>
            <w:w w:val="120"/>
          </w:rPr>
          <w:t>niveau</w:t>
        </w:r>
        <w:r>
          <w:rPr>
            <w:color w:val="231F20"/>
            <w:spacing w:val="-3"/>
            <w:w w:val="120"/>
          </w:rPr>
          <w:t> </w:t>
        </w:r>
        <w:r>
          <w:rPr>
            <w:color w:val="231F20"/>
            <w:spacing w:val="-2"/>
            <w:w w:val="120"/>
          </w:rPr>
          <w:t>de stress</w:t>
        </w:r>
        <w:r>
          <w:rPr>
            <w:color w:val="231F20"/>
            <w:spacing w:val="-18"/>
            <w:w w:val="120"/>
          </w:rPr>
          <w:t> </w:t>
        </w:r>
        <w:r>
          <w:rPr>
            <w:color w:val="231F20"/>
            <w:spacing w:val="-2"/>
            <w:w w:val="120"/>
          </w:rPr>
          <w:t>.......................................</w:t>
        </w:r>
        <w:r>
          <w:rPr>
            <w:color w:val="231F20"/>
          </w:rPr>
          <w:tab/>
        </w:r>
        <w:r>
          <w:rPr>
            <w:color w:val="231F20"/>
            <w:spacing w:val="-5"/>
            <w:w w:val="120"/>
          </w:rPr>
          <w:t>83</w:t>
        </w:r>
      </w:hyperlink>
    </w:p>
    <w:p>
      <w:pPr>
        <w:pStyle w:val="BodyText"/>
        <w:tabs>
          <w:tab w:pos="1679" w:val="left" w:leader="none"/>
          <w:tab w:pos="6710" w:val="left" w:leader="none"/>
        </w:tabs>
        <w:spacing w:before="134"/>
        <w:ind w:left="1180"/>
      </w:pPr>
      <w:hyperlink w:history="true" w:anchor="_bookmark40">
        <w:r>
          <w:rPr>
            <w:rFonts w:ascii="Arial" w:hAnsi="Arial"/>
            <w:color w:val="231F20"/>
            <w:w w:val="85"/>
          </w:rPr>
          <w:t>3.2</w:t>
        </w:r>
        <w:r>
          <w:rPr>
            <w:rFonts w:ascii="Arial" w:hAnsi="Arial"/>
            <w:color w:val="231F20"/>
            <w:spacing w:val="-16"/>
            <w:w w:val="120"/>
          </w:rPr>
          <w:t> </w:t>
        </w:r>
        <w:r>
          <w:rPr>
            <w:rFonts w:ascii="Arial" w:hAnsi="Arial"/>
            <w:i/>
            <w:color w:val="231F20"/>
            <w:spacing w:val="-10"/>
            <w:w w:val="120"/>
          </w:rPr>
          <w:t>/</w:t>
        </w:r>
        <w:r>
          <w:rPr>
            <w:rFonts w:ascii="Arial" w:hAnsi="Arial"/>
            <w:i/>
            <w:color w:val="231F20"/>
          </w:rPr>
          <w:tab/>
        </w:r>
        <w:r>
          <w:rPr>
            <w:color w:val="231F20"/>
            <w:w w:val="120"/>
          </w:rPr>
          <w:t>Évaluez</w:t>
        </w:r>
        <w:r>
          <w:rPr>
            <w:color w:val="231F20"/>
            <w:spacing w:val="-13"/>
            <w:w w:val="120"/>
          </w:rPr>
          <w:t> </w:t>
        </w:r>
        <w:r>
          <w:rPr>
            <w:color w:val="231F20"/>
            <w:w w:val="120"/>
          </w:rPr>
          <w:t>votre</w:t>
        </w:r>
        <w:r>
          <w:rPr>
            <w:color w:val="231F20"/>
            <w:spacing w:val="-12"/>
            <w:w w:val="120"/>
          </w:rPr>
          <w:t> </w:t>
        </w:r>
        <w:r>
          <w:rPr>
            <w:color w:val="231F20"/>
            <w:w w:val="120"/>
          </w:rPr>
          <w:t>type</w:t>
        </w:r>
        <w:r>
          <w:rPr>
            <w:color w:val="231F20"/>
            <w:spacing w:val="-12"/>
            <w:w w:val="120"/>
          </w:rPr>
          <w:t> </w:t>
        </w:r>
        <w:r>
          <w:rPr>
            <w:color w:val="231F20"/>
            <w:w w:val="120"/>
          </w:rPr>
          <w:t>de</w:t>
        </w:r>
        <w:r>
          <w:rPr>
            <w:color w:val="231F20"/>
            <w:spacing w:val="-13"/>
            <w:w w:val="120"/>
          </w:rPr>
          <w:t> </w:t>
        </w:r>
        <w:r>
          <w:rPr>
            <w:color w:val="231F20"/>
            <w:w w:val="120"/>
          </w:rPr>
          <w:t>personnalité</w:t>
        </w:r>
        <w:r>
          <w:rPr>
            <w:color w:val="231F20"/>
            <w:spacing w:val="-29"/>
            <w:w w:val="120"/>
          </w:rPr>
          <w:t> </w:t>
        </w:r>
        <w:r>
          <w:rPr>
            <w:color w:val="231F20"/>
            <w:spacing w:val="-2"/>
            <w:w w:val="120"/>
          </w:rPr>
          <w:t>................................</w:t>
        </w:r>
        <w:r>
          <w:rPr>
            <w:color w:val="231F20"/>
          </w:rPr>
          <w:tab/>
        </w:r>
        <w:r>
          <w:rPr>
            <w:color w:val="231F20"/>
            <w:spacing w:val="-5"/>
            <w:w w:val="120"/>
          </w:rPr>
          <w:t>94</w:t>
        </w:r>
      </w:hyperlink>
    </w:p>
    <w:p>
      <w:pPr>
        <w:pStyle w:val="BodyText"/>
        <w:tabs>
          <w:tab w:pos="1679" w:val="left" w:leader="none"/>
          <w:tab w:pos="6710" w:val="left" w:leader="none"/>
        </w:tabs>
        <w:spacing w:before="134"/>
        <w:ind w:left="1180"/>
      </w:pPr>
      <w:hyperlink w:history="true" w:anchor="_bookmark41">
        <w:r>
          <w:rPr>
            <w:rFonts w:ascii="Arial" w:hAnsi="Arial"/>
            <w:color w:val="231F20"/>
            <w:w w:val="85"/>
          </w:rPr>
          <w:t>3.3</w:t>
        </w:r>
        <w:r>
          <w:rPr>
            <w:rFonts w:ascii="Arial" w:hAnsi="Arial"/>
            <w:color w:val="231F20"/>
            <w:spacing w:val="-2"/>
            <w:w w:val="85"/>
          </w:rPr>
          <w:t> </w:t>
        </w:r>
        <w:r>
          <w:rPr>
            <w:rFonts w:ascii="Arial" w:hAnsi="Arial"/>
            <w:i/>
            <w:color w:val="231F20"/>
            <w:spacing w:val="-10"/>
            <w:w w:val="115"/>
          </w:rPr>
          <w:t>/</w:t>
        </w:r>
        <w:r>
          <w:rPr>
            <w:rFonts w:ascii="Arial" w:hAnsi="Arial"/>
            <w:i/>
            <w:color w:val="231F20"/>
          </w:rPr>
          <w:tab/>
        </w:r>
        <w:r>
          <w:rPr>
            <w:color w:val="231F20"/>
            <w:w w:val="115"/>
          </w:rPr>
          <w:t>Avez-vous le contrôle de votre travail?</w:t>
        </w:r>
        <w:r>
          <w:rPr>
            <w:color w:val="231F20"/>
            <w:spacing w:val="7"/>
            <w:w w:val="115"/>
          </w:rPr>
          <w:t> </w:t>
        </w:r>
        <w:r>
          <w:rPr>
            <w:color w:val="231F20"/>
            <w:spacing w:val="-2"/>
            <w:w w:val="115"/>
          </w:rPr>
          <w:t>..........................</w:t>
        </w:r>
        <w:r>
          <w:rPr>
            <w:color w:val="231F20"/>
          </w:rPr>
          <w:tab/>
        </w:r>
        <w:r>
          <w:rPr>
            <w:color w:val="231F20"/>
            <w:spacing w:val="-5"/>
            <w:w w:val="115"/>
          </w:rPr>
          <w:t>95</w:t>
        </w:r>
      </w:hyperlink>
    </w:p>
    <w:p>
      <w:pPr>
        <w:pStyle w:val="BodyText"/>
        <w:tabs>
          <w:tab w:pos="6601" w:val="left" w:leader="none"/>
        </w:tabs>
        <w:spacing w:before="134"/>
        <w:ind w:left="1180"/>
      </w:pPr>
      <w:hyperlink w:history="true" w:anchor="_bookmark54">
        <w:r>
          <w:rPr>
            <w:rFonts w:ascii="Arial"/>
            <w:color w:val="231F20"/>
            <w:spacing w:val="-2"/>
            <w:w w:val="120"/>
          </w:rPr>
          <w:t>3.4</w:t>
        </w:r>
        <w:r>
          <w:rPr>
            <w:rFonts w:ascii="Arial"/>
            <w:color w:val="231F20"/>
            <w:spacing w:val="-26"/>
            <w:w w:val="120"/>
          </w:rPr>
          <w:t> </w:t>
        </w:r>
        <w:r>
          <w:rPr>
            <w:rFonts w:ascii="Arial"/>
            <w:i/>
            <w:color w:val="231F20"/>
            <w:spacing w:val="-2"/>
            <w:w w:val="120"/>
          </w:rPr>
          <w:t>/</w:t>
        </w:r>
        <w:r>
          <w:rPr>
            <w:rFonts w:ascii="Arial"/>
            <w:i/>
            <w:color w:val="231F20"/>
            <w:spacing w:val="27"/>
            <w:w w:val="120"/>
          </w:rPr>
          <w:t>  </w:t>
        </w:r>
        <w:r>
          <w:rPr>
            <w:color w:val="231F20"/>
            <w:spacing w:val="-2"/>
            <w:w w:val="120"/>
          </w:rPr>
          <w:t>Bref</w:t>
        </w:r>
        <w:r>
          <w:rPr>
            <w:color w:val="231F20"/>
            <w:spacing w:val="-11"/>
            <w:w w:val="120"/>
          </w:rPr>
          <w:t> </w:t>
        </w:r>
        <w:r>
          <w:rPr>
            <w:color w:val="231F20"/>
            <w:spacing w:val="-2"/>
            <w:w w:val="120"/>
          </w:rPr>
          <w:t>audit</w:t>
        </w:r>
        <w:r>
          <w:rPr>
            <w:color w:val="231F20"/>
            <w:spacing w:val="-13"/>
            <w:w w:val="120"/>
          </w:rPr>
          <w:t> </w:t>
        </w:r>
        <w:r>
          <w:rPr>
            <w:color w:val="231F20"/>
            <w:spacing w:val="-2"/>
            <w:w w:val="120"/>
          </w:rPr>
          <w:t>du</w:t>
        </w:r>
        <w:r>
          <w:rPr>
            <w:color w:val="231F20"/>
            <w:spacing w:val="-12"/>
            <w:w w:val="120"/>
          </w:rPr>
          <w:t> </w:t>
        </w:r>
        <w:r>
          <w:rPr>
            <w:color w:val="231F20"/>
            <w:spacing w:val="-2"/>
            <w:w w:val="120"/>
          </w:rPr>
          <w:t>stress</w:t>
        </w:r>
        <w:r>
          <w:rPr>
            <w:color w:val="231F20"/>
            <w:spacing w:val="-22"/>
            <w:w w:val="120"/>
          </w:rPr>
          <w:t> </w:t>
        </w:r>
        <w:r>
          <w:rPr>
            <w:color w:val="231F20"/>
            <w:spacing w:val="-2"/>
            <w:w w:val="120"/>
          </w:rPr>
          <w:t>........................................................</w:t>
        </w:r>
        <w:r>
          <w:rPr>
            <w:color w:val="231F20"/>
          </w:rPr>
          <w:tab/>
        </w:r>
        <w:r>
          <w:rPr>
            <w:color w:val="231F20"/>
            <w:spacing w:val="-5"/>
            <w:w w:val="120"/>
          </w:rPr>
          <w:t>118</w:t>
        </w:r>
      </w:hyperlink>
    </w:p>
    <w:p>
      <w:pPr>
        <w:pStyle w:val="BodyText"/>
        <w:tabs>
          <w:tab w:pos="1679" w:val="left" w:leader="none"/>
          <w:tab w:pos="6601" w:val="left" w:leader="none"/>
        </w:tabs>
        <w:spacing w:before="133"/>
        <w:ind w:left="1180"/>
      </w:pPr>
      <w:hyperlink w:history="true" w:anchor="_bookmark73">
        <w:r>
          <w:rPr>
            <w:rFonts w:ascii="Arial" w:hAnsi="Arial"/>
            <w:color w:val="231F20"/>
            <w:w w:val="85"/>
          </w:rPr>
          <w:t>4.1</w:t>
        </w:r>
        <w:r>
          <w:rPr>
            <w:rFonts w:ascii="Arial" w:hAnsi="Arial"/>
            <w:color w:val="231F20"/>
            <w:spacing w:val="-9"/>
            <w:w w:val="85"/>
          </w:rPr>
          <w:t> </w:t>
        </w:r>
        <w:r>
          <w:rPr>
            <w:rFonts w:ascii="Arial" w:hAnsi="Arial"/>
            <w:i/>
            <w:color w:val="231F20"/>
            <w:spacing w:val="-10"/>
            <w:w w:val="115"/>
          </w:rPr>
          <w:t>/</w:t>
        </w:r>
        <w:r>
          <w:rPr>
            <w:rFonts w:ascii="Arial" w:hAnsi="Arial"/>
            <w:i/>
            <w:color w:val="231F20"/>
          </w:rPr>
          <w:tab/>
        </w:r>
        <w:r>
          <w:rPr>
            <w:color w:val="231F20"/>
            <w:w w:val="115"/>
          </w:rPr>
          <w:t>Évaluez</w:t>
        </w:r>
        <w:r>
          <w:rPr>
            <w:color w:val="231F20"/>
            <w:spacing w:val="6"/>
            <w:w w:val="115"/>
          </w:rPr>
          <w:t> </w:t>
        </w:r>
        <w:r>
          <w:rPr>
            <w:color w:val="231F20"/>
            <w:w w:val="115"/>
          </w:rPr>
          <w:t>votre</w:t>
        </w:r>
        <w:r>
          <w:rPr>
            <w:color w:val="231F20"/>
            <w:spacing w:val="7"/>
            <w:w w:val="115"/>
          </w:rPr>
          <w:t> </w:t>
        </w:r>
        <w:r>
          <w:rPr>
            <w:color w:val="231F20"/>
            <w:w w:val="115"/>
          </w:rPr>
          <w:t>estime</w:t>
        </w:r>
        <w:r>
          <w:rPr>
            <w:color w:val="231F20"/>
            <w:spacing w:val="7"/>
            <w:w w:val="115"/>
          </w:rPr>
          <w:t> </w:t>
        </w:r>
        <w:r>
          <w:rPr>
            <w:color w:val="231F20"/>
            <w:w w:val="115"/>
          </w:rPr>
          <w:t>de</w:t>
        </w:r>
        <w:r>
          <w:rPr>
            <w:color w:val="231F20"/>
            <w:spacing w:val="7"/>
            <w:w w:val="115"/>
          </w:rPr>
          <w:t> </w:t>
        </w:r>
        <w:r>
          <w:rPr>
            <w:color w:val="231F20"/>
            <w:spacing w:val="-2"/>
            <w:w w:val="115"/>
          </w:rPr>
          <w:t>soi............................................</w:t>
        </w:r>
        <w:r>
          <w:rPr>
            <w:color w:val="231F20"/>
          </w:rPr>
          <w:tab/>
        </w:r>
        <w:r>
          <w:rPr>
            <w:color w:val="231F20"/>
            <w:spacing w:val="-5"/>
            <w:w w:val="115"/>
          </w:rPr>
          <w:t>165</w:t>
        </w:r>
      </w:hyperlink>
    </w:p>
    <w:p>
      <w:pPr>
        <w:pStyle w:val="BodyText"/>
        <w:tabs>
          <w:tab w:pos="6601" w:val="left" w:leader="none"/>
        </w:tabs>
        <w:spacing w:before="134"/>
        <w:ind w:left="1180"/>
      </w:pPr>
      <w:hyperlink w:history="true" w:anchor="_bookmark74">
        <w:r>
          <w:rPr>
            <w:rFonts w:ascii="Arial" w:hAnsi="Arial"/>
            <w:color w:val="231F20"/>
            <w:w w:val="115"/>
          </w:rPr>
          <w:t>4.2</w:t>
        </w:r>
        <w:r>
          <w:rPr>
            <w:rFonts w:ascii="Arial" w:hAnsi="Arial"/>
            <w:color w:val="231F20"/>
            <w:spacing w:val="-24"/>
            <w:w w:val="115"/>
          </w:rPr>
          <w:t> </w:t>
        </w:r>
        <w:r>
          <w:rPr>
            <w:rFonts w:ascii="Arial" w:hAnsi="Arial"/>
            <w:i/>
            <w:color w:val="231F20"/>
            <w:w w:val="115"/>
          </w:rPr>
          <w:t>/</w:t>
        </w:r>
        <w:r>
          <w:rPr>
            <w:rFonts w:ascii="Arial" w:hAnsi="Arial"/>
            <w:i/>
            <w:color w:val="231F20"/>
            <w:spacing w:val="28"/>
            <w:w w:val="115"/>
          </w:rPr>
          <w:t>  </w:t>
        </w:r>
        <w:r>
          <w:rPr>
            <w:color w:val="231F20"/>
            <w:w w:val="115"/>
          </w:rPr>
          <w:t>Évaluez</w:t>
        </w:r>
        <w:r>
          <w:rPr>
            <w:color w:val="231F20"/>
            <w:spacing w:val="-11"/>
            <w:w w:val="115"/>
          </w:rPr>
          <w:t> </w:t>
        </w:r>
        <w:r>
          <w:rPr>
            <w:color w:val="231F20"/>
            <w:w w:val="115"/>
          </w:rPr>
          <w:t>l’estime</w:t>
        </w:r>
        <w:r>
          <w:rPr>
            <w:color w:val="231F20"/>
            <w:spacing w:val="-12"/>
            <w:w w:val="115"/>
          </w:rPr>
          <w:t> </w:t>
        </w:r>
        <w:r>
          <w:rPr>
            <w:color w:val="231F20"/>
            <w:w w:val="115"/>
          </w:rPr>
          <w:t>de</w:t>
        </w:r>
        <w:r>
          <w:rPr>
            <w:color w:val="231F20"/>
            <w:spacing w:val="-13"/>
            <w:w w:val="115"/>
          </w:rPr>
          <w:t> </w:t>
        </w:r>
        <w:r>
          <w:rPr>
            <w:color w:val="231F20"/>
            <w:w w:val="115"/>
          </w:rPr>
          <w:t>soi</w:t>
        </w:r>
        <w:r>
          <w:rPr>
            <w:color w:val="231F20"/>
            <w:spacing w:val="-12"/>
            <w:w w:val="115"/>
          </w:rPr>
          <w:t> </w:t>
        </w:r>
        <w:r>
          <w:rPr>
            <w:color w:val="231F20"/>
            <w:spacing w:val="-2"/>
            <w:w w:val="115"/>
          </w:rPr>
          <w:t>organisationnelle.......................</w:t>
        </w:r>
        <w:r>
          <w:rPr>
            <w:color w:val="231F20"/>
          </w:rPr>
          <w:tab/>
        </w:r>
        <w:r>
          <w:rPr>
            <w:color w:val="231F20"/>
            <w:spacing w:val="-5"/>
            <w:w w:val="115"/>
          </w:rPr>
          <w:t>167</w:t>
        </w:r>
      </w:hyperlink>
    </w:p>
    <w:p>
      <w:pPr>
        <w:pStyle w:val="BodyText"/>
        <w:tabs>
          <w:tab w:pos="1679" w:val="left" w:leader="none"/>
          <w:tab w:pos="6601" w:val="left" w:leader="none"/>
        </w:tabs>
        <w:spacing w:before="134"/>
        <w:ind w:left="1180"/>
      </w:pPr>
      <w:hyperlink w:history="true" w:anchor="_bookmark80">
        <w:r>
          <w:rPr>
            <w:rFonts w:ascii="Arial" w:hAnsi="Arial"/>
            <w:color w:val="231F20"/>
            <w:w w:val="80"/>
          </w:rPr>
          <w:t>5.1</w:t>
        </w:r>
        <w:r>
          <w:rPr>
            <w:rFonts w:ascii="Arial" w:hAnsi="Arial"/>
            <w:color w:val="231F20"/>
            <w:spacing w:val="-5"/>
            <w:w w:val="80"/>
          </w:rPr>
          <w:t> </w:t>
        </w:r>
        <w:r>
          <w:rPr>
            <w:rFonts w:ascii="Arial" w:hAnsi="Arial"/>
            <w:i/>
            <w:color w:val="231F20"/>
            <w:spacing w:val="-10"/>
            <w:w w:val="110"/>
          </w:rPr>
          <w:t>/</w:t>
        </w:r>
        <w:r>
          <w:rPr>
            <w:rFonts w:ascii="Arial" w:hAnsi="Arial"/>
            <w:i/>
            <w:color w:val="231F20"/>
          </w:rPr>
          <w:tab/>
        </w:r>
        <w:r>
          <w:rPr>
            <w:color w:val="231F20"/>
            <w:w w:val="110"/>
          </w:rPr>
          <w:t>Évaluez</w:t>
        </w:r>
        <w:r>
          <w:rPr>
            <w:color w:val="231F20"/>
            <w:spacing w:val="30"/>
            <w:w w:val="110"/>
          </w:rPr>
          <w:t> </w:t>
        </w:r>
        <w:r>
          <w:rPr>
            <w:color w:val="231F20"/>
            <w:w w:val="110"/>
          </w:rPr>
          <w:t>votre</w:t>
        </w:r>
        <w:r>
          <w:rPr>
            <w:color w:val="231F20"/>
            <w:spacing w:val="31"/>
            <w:w w:val="110"/>
          </w:rPr>
          <w:t> </w:t>
        </w:r>
        <w:r>
          <w:rPr>
            <w:color w:val="231F20"/>
            <w:w w:val="110"/>
          </w:rPr>
          <w:t>niveau</w:t>
        </w:r>
        <w:r>
          <w:rPr>
            <w:color w:val="231F20"/>
            <w:spacing w:val="30"/>
            <w:w w:val="110"/>
          </w:rPr>
          <w:t> </w:t>
        </w:r>
        <w:r>
          <w:rPr>
            <w:color w:val="231F20"/>
            <w:spacing w:val="-2"/>
            <w:w w:val="110"/>
          </w:rPr>
          <w:t>d’assertivité..................................</w:t>
        </w:r>
        <w:r>
          <w:rPr>
            <w:color w:val="231F20"/>
          </w:rPr>
          <w:tab/>
        </w:r>
        <w:r>
          <w:rPr>
            <w:color w:val="231F20"/>
            <w:spacing w:val="-5"/>
            <w:w w:val="105"/>
          </w:rPr>
          <w:t>189</w:t>
        </w:r>
      </w:hyperlink>
    </w:p>
    <w:p>
      <w:pPr>
        <w:spacing w:after="0"/>
        <w:sectPr>
          <w:footerReference w:type="default" r:id="rId14"/>
          <w:pgSz w:w="8640" w:h="12960"/>
          <w:pgMar w:footer="0" w:header="0" w:top="1220" w:bottom="280" w:left="460" w:right="1000"/>
        </w:sectPr>
      </w:pPr>
    </w:p>
    <w:p>
      <w:pPr>
        <w:pStyle w:val="BodyText"/>
        <w:spacing w:before="4"/>
      </w:pPr>
    </w:p>
    <w:p>
      <w:pPr>
        <w:spacing w:after="0"/>
        <w:sectPr>
          <w:footerReference w:type="default" r:id="rId15"/>
          <w:pgSz w:w="8640" w:h="12960"/>
          <w:pgMar w:footer="0" w:header="0" w:top="1220" w:bottom="280" w:left="46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300"/>
        <w:ind w:left="2855"/>
      </w:pPr>
      <w:bookmarkStart w:name="Liste des figures" w:id="3"/>
      <w:bookmarkEnd w:id="3"/>
      <w:r>
        <w:rPr>
          <w:b w:val="0"/>
        </w:rPr>
      </w:r>
      <w:bookmarkStart w:name="_bookmark1" w:id="4"/>
      <w:bookmarkEnd w:id="4"/>
      <w:r>
        <w:rPr>
          <w:b w:val="0"/>
        </w:rPr>
      </w:r>
      <w:r>
        <w:rPr>
          <w:color w:val="231F20"/>
          <w:w w:val="90"/>
        </w:rPr>
        <w:t>Liste</w:t>
      </w:r>
      <w:r>
        <w:rPr>
          <w:color w:val="231F20"/>
          <w:spacing w:val="-13"/>
          <w:w w:val="90"/>
        </w:rPr>
        <w:t> </w:t>
      </w:r>
      <w:r>
        <w:rPr>
          <w:color w:val="231F20"/>
          <w:w w:val="90"/>
        </w:rPr>
        <w:t>des</w:t>
      </w:r>
      <w:r>
        <w:rPr>
          <w:color w:val="231F20"/>
          <w:spacing w:val="-13"/>
          <w:w w:val="90"/>
        </w:rPr>
        <w:t> </w:t>
      </w:r>
      <w:r>
        <w:rPr>
          <w:color w:val="231F20"/>
          <w:spacing w:val="-2"/>
          <w:w w:val="90"/>
        </w:rPr>
        <w:t>figures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tabs>
          <w:tab w:pos="1679" w:val="left" w:leader="none"/>
        </w:tabs>
        <w:spacing w:before="253"/>
        <w:ind w:left="1180"/>
      </w:pPr>
      <w:hyperlink w:history="true" w:anchor="_bookmark6">
        <w:r>
          <w:rPr>
            <w:rFonts w:ascii="Arial" w:hAnsi="Arial"/>
            <w:color w:val="231F20"/>
            <w:w w:val="70"/>
          </w:rPr>
          <w:t>1.1</w:t>
        </w:r>
        <w:r>
          <w:rPr>
            <w:rFonts w:ascii="Arial" w:hAnsi="Arial"/>
            <w:color w:val="231F20"/>
            <w:spacing w:val="-16"/>
            <w:w w:val="115"/>
          </w:rPr>
          <w:t> </w:t>
        </w:r>
        <w:r>
          <w:rPr>
            <w:rFonts w:ascii="Arial" w:hAnsi="Arial"/>
            <w:i/>
            <w:color w:val="231F20"/>
            <w:spacing w:val="-10"/>
            <w:w w:val="115"/>
          </w:rPr>
          <w:t>/</w:t>
        </w:r>
        <w:r>
          <w:rPr>
            <w:rFonts w:ascii="Arial" w:hAnsi="Arial"/>
            <w:i/>
            <w:color w:val="231F20"/>
          </w:rPr>
          <w:tab/>
        </w:r>
        <w:r>
          <w:rPr>
            <w:color w:val="231F20"/>
            <w:w w:val="115"/>
          </w:rPr>
          <w:t>Concept</w:t>
        </w:r>
        <w:r>
          <w:rPr>
            <w:color w:val="231F20"/>
            <w:spacing w:val="3"/>
            <w:w w:val="115"/>
          </w:rPr>
          <w:t> </w:t>
        </w:r>
        <w:r>
          <w:rPr>
            <w:color w:val="231F20"/>
            <w:w w:val="115"/>
          </w:rPr>
          <w:t>de</w:t>
        </w:r>
        <w:r>
          <w:rPr>
            <w:color w:val="231F20"/>
            <w:spacing w:val="-1"/>
            <w:w w:val="115"/>
          </w:rPr>
          <w:t> </w:t>
        </w:r>
        <w:r>
          <w:rPr>
            <w:color w:val="231F20"/>
            <w:w w:val="115"/>
          </w:rPr>
          <w:t>qualité</w:t>
        </w:r>
        <w:r>
          <w:rPr>
            <w:color w:val="231F20"/>
            <w:spacing w:val="4"/>
            <w:w w:val="115"/>
          </w:rPr>
          <w:t> </w:t>
        </w:r>
        <w:r>
          <w:rPr>
            <w:color w:val="231F20"/>
            <w:w w:val="115"/>
          </w:rPr>
          <w:t>de</w:t>
        </w:r>
        <w:r>
          <w:rPr>
            <w:color w:val="231F20"/>
            <w:spacing w:val="3"/>
            <w:w w:val="115"/>
          </w:rPr>
          <w:t> </w:t>
        </w:r>
        <w:r>
          <w:rPr>
            <w:color w:val="231F20"/>
            <w:w w:val="115"/>
          </w:rPr>
          <w:t>vie</w:t>
        </w:r>
        <w:r>
          <w:rPr>
            <w:color w:val="231F20"/>
            <w:spacing w:val="4"/>
            <w:w w:val="115"/>
          </w:rPr>
          <w:t> </w:t>
        </w:r>
        <w:r>
          <w:rPr>
            <w:color w:val="231F20"/>
            <w:w w:val="115"/>
          </w:rPr>
          <w:t>au</w:t>
        </w:r>
        <w:r>
          <w:rPr>
            <w:color w:val="231F20"/>
            <w:spacing w:val="4"/>
            <w:w w:val="115"/>
          </w:rPr>
          <w:t> </w:t>
        </w:r>
        <w:r>
          <w:rPr>
            <w:color w:val="231F20"/>
            <w:spacing w:val="-2"/>
            <w:w w:val="115"/>
          </w:rPr>
          <w:t>travail</w:t>
        </w:r>
      </w:hyperlink>
    </w:p>
    <w:p>
      <w:pPr>
        <w:pStyle w:val="BodyText"/>
        <w:tabs>
          <w:tab w:pos="6928" w:val="right" w:leader="none"/>
        </w:tabs>
        <w:spacing w:before="55"/>
        <w:ind w:left="1679"/>
      </w:pPr>
      <w:hyperlink w:history="true" w:anchor="_bookmark6">
        <w:r>
          <w:rPr>
            <w:color w:val="231F20"/>
            <w:w w:val="120"/>
          </w:rPr>
          <w:t>et</w:t>
        </w:r>
        <w:r>
          <w:rPr>
            <w:color w:val="231F20"/>
            <w:spacing w:val="-13"/>
            <w:w w:val="120"/>
          </w:rPr>
          <w:t> </w:t>
        </w:r>
        <w:r>
          <w:rPr>
            <w:color w:val="231F20"/>
            <w:w w:val="120"/>
          </w:rPr>
          <w:t>ses</w:t>
        </w:r>
        <w:r>
          <w:rPr>
            <w:color w:val="231F20"/>
            <w:spacing w:val="-13"/>
            <w:w w:val="120"/>
          </w:rPr>
          <w:t> </w:t>
        </w:r>
        <w:r>
          <w:rPr>
            <w:color w:val="231F20"/>
            <w:w w:val="120"/>
          </w:rPr>
          <w:t>diverses</w:t>
        </w:r>
        <w:r>
          <w:rPr>
            <w:color w:val="231F20"/>
            <w:spacing w:val="-13"/>
            <w:w w:val="120"/>
          </w:rPr>
          <w:t> </w:t>
        </w:r>
        <w:r>
          <w:rPr>
            <w:color w:val="231F20"/>
            <w:w w:val="120"/>
          </w:rPr>
          <w:t>ramifications</w:t>
        </w:r>
        <w:r>
          <w:rPr>
            <w:color w:val="231F20"/>
            <w:spacing w:val="30"/>
            <w:w w:val="120"/>
          </w:rPr>
          <w:t> </w:t>
        </w:r>
        <w:r>
          <w:rPr>
            <w:color w:val="231F20"/>
            <w:spacing w:val="-2"/>
            <w:w w:val="120"/>
          </w:rPr>
          <w:t>.........................................</w:t>
        </w:r>
        <w:r>
          <w:rPr>
            <w:color w:val="231F20"/>
          </w:rPr>
          <w:tab/>
        </w:r>
        <w:r>
          <w:rPr>
            <w:color w:val="231F20"/>
            <w:spacing w:val="-5"/>
            <w:w w:val="125"/>
          </w:rPr>
          <w:t>18</w:t>
        </w:r>
      </w:hyperlink>
    </w:p>
    <w:p>
      <w:pPr>
        <w:pStyle w:val="BodyText"/>
        <w:tabs>
          <w:tab w:pos="1679" w:val="left" w:leader="none"/>
          <w:tab w:pos="6928" w:val="right" w:leader="none"/>
        </w:tabs>
        <w:spacing w:before="133"/>
        <w:ind w:left="1180"/>
      </w:pPr>
      <w:hyperlink w:history="true" w:anchor="_bookmark15">
        <w:r>
          <w:rPr>
            <w:rFonts w:ascii="Arial" w:hAnsi="Arial"/>
            <w:color w:val="231F20"/>
            <w:w w:val="80"/>
          </w:rPr>
          <w:t>2.1</w:t>
        </w:r>
        <w:r>
          <w:rPr>
            <w:rFonts w:ascii="Arial" w:hAnsi="Arial"/>
            <w:color w:val="231F20"/>
            <w:spacing w:val="-5"/>
            <w:w w:val="80"/>
          </w:rPr>
          <w:t> </w:t>
        </w:r>
        <w:r>
          <w:rPr>
            <w:rFonts w:ascii="Arial" w:hAnsi="Arial"/>
            <w:i/>
            <w:color w:val="231F20"/>
            <w:spacing w:val="-10"/>
            <w:w w:val="120"/>
          </w:rPr>
          <w:t>/</w:t>
        </w:r>
        <w:r>
          <w:rPr>
            <w:rFonts w:ascii="Arial" w:hAnsi="Arial"/>
            <w:i/>
            <w:color w:val="231F20"/>
          </w:rPr>
          <w:tab/>
        </w:r>
        <w:r>
          <w:rPr>
            <w:color w:val="231F20"/>
            <w:w w:val="120"/>
          </w:rPr>
          <w:t>Mosaïque</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35"/>
            <w:w w:val="120"/>
          </w:rPr>
          <w:t> </w:t>
        </w:r>
        <w:r>
          <w:rPr>
            <w:color w:val="231F20"/>
            <w:spacing w:val="-2"/>
            <w:w w:val="120"/>
          </w:rPr>
          <w:t>.......................................................</w:t>
        </w:r>
        <w:r>
          <w:rPr>
            <w:color w:val="231F20"/>
          </w:rPr>
          <w:tab/>
        </w:r>
        <w:r>
          <w:rPr>
            <w:color w:val="231F20"/>
            <w:spacing w:val="-5"/>
            <w:w w:val="120"/>
          </w:rPr>
          <w:t>41</w:t>
        </w:r>
      </w:hyperlink>
    </w:p>
    <w:p>
      <w:pPr>
        <w:pStyle w:val="BodyText"/>
        <w:tabs>
          <w:tab w:pos="1679" w:val="left" w:leader="none"/>
          <w:tab w:pos="6928" w:val="right" w:leader="none"/>
        </w:tabs>
        <w:spacing w:before="134"/>
        <w:ind w:left="1180"/>
      </w:pPr>
      <w:hyperlink w:history="true" w:anchor="_bookmark18">
        <w:r>
          <w:rPr>
            <w:rFonts w:ascii="Arial"/>
            <w:color w:val="231F20"/>
            <w:w w:val="85"/>
          </w:rPr>
          <w:t>2.2</w:t>
        </w:r>
        <w:r>
          <w:rPr>
            <w:rFonts w:ascii="Arial"/>
            <w:color w:val="231F20"/>
            <w:spacing w:val="-14"/>
            <w:w w:val="115"/>
          </w:rPr>
          <w:t> </w:t>
        </w:r>
        <w:r>
          <w:rPr>
            <w:rFonts w:ascii="Arial"/>
            <w:i/>
            <w:color w:val="231F20"/>
            <w:spacing w:val="-10"/>
            <w:w w:val="115"/>
          </w:rPr>
          <w:t>/</w:t>
        </w:r>
        <w:r>
          <w:rPr>
            <w:rFonts w:ascii="Arial"/>
            <w:i/>
            <w:color w:val="231F20"/>
          </w:rPr>
          <w:tab/>
        </w:r>
        <w:r>
          <w:rPr>
            <w:color w:val="231F20"/>
            <w:w w:val="115"/>
          </w:rPr>
          <w:t>Dynamique</w:t>
        </w:r>
        <w:r>
          <w:rPr>
            <w:color w:val="231F20"/>
            <w:spacing w:val="3"/>
            <w:w w:val="115"/>
          </w:rPr>
          <w:t> </w:t>
        </w:r>
        <w:r>
          <w:rPr>
            <w:color w:val="231F20"/>
            <w:w w:val="115"/>
          </w:rPr>
          <w:t>biologique</w:t>
        </w:r>
        <w:r>
          <w:rPr>
            <w:color w:val="231F20"/>
            <w:spacing w:val="3"/>
            <w:w w:val="115"/>
          </w:rPr>
          <w:t> </w:t>
        </w:r>
        <w:r>
          <w:rPr>
            <w:color w:val="231F20"/>
            <w:w w:val="115"/>
          </w:rPr>
          <w:t>du</w:t>
        </w:r>
        <w:r>
          <w:rPr>
            <w:color w:val="231F20"/>
            <w:spacing w:val="3"/>
            <w:w w:val="115"/>
          </w:rPr>
          <w:t> </w:t>
        </w:r>
        <w:r>
          <w:rPr>
            <w:color w:val="231F20"/>
            <w:w w:val="115"/>
          </w:rPr>
          <w:t>stress</w:t>
        </w:r>
        <w:r>
          <w:rPr>
            <w:color w:val="231F20"/>
            <w:spacing w:val="33"/>
            <w:w w:val="115"/>
          </w:rPr>
          <w:t>  </w:t>
        </w:r>
        <w:r>
          <w:rPr>
            <w:color w:val="231F20"/>
            <w:spacing w:val="-2"/>
            <w:w w:val="115"/>
          </w:rPr>
          <w:t>..................................</w:t>
        </w:r>
        <w:r>
          <w:rPr>
            <w:color w:val="231F20"/>
          </w:rPr>
          <w:tab/>
        </w:r>
        <w:r>
          <w:rPr>
            <w:color w:val="231F20"/>
            <w:spacing w:val="-5"/>
            <w:w w:val="115"/>
          </w:rPr>
          <w:t>47</w:t>
        </w:r>
      </w:hyperlink>
    </w:p>
    <w:p>
      <w:pPr>
        <w:pStyle w:val="ListParagraph"/>
        <w:numPr>
          <w:ilvl w:val="1"/>
          <w:numId w:val="7"/>
        </w:numPr>
        <w:tabs>
          <w:tab w:pos="1423" w:val="left" w:leader="none"/>
          <w:tab w:pos="1679" w:val="left" w:leader="none"/>
        </w:tabs>
        <w:spacing w:line="240" w:lineRule="auto" w:before="134" w:after="0"/>
        <w:ind w:left="1422" w:right="0" w:hanging="243"/>
        <w:jc w:val="left"/>
        <w:rPr>
          <w:sz w:val="17"/>
        </w:rPr>
      </w:pPr>
      <w:hyperlink w:history="true" w:anchor="_bookmark19">
        <w:r>
          <w:rPr>
            <w:rFonts w:ascii="Arial" w:hAnsi="Arial"/>
            <w:i/>
            <w:color w:val="231F20"/>
            <w:spacing w:val="-10"/>
            <w:w w:val="125"/>
            <w:sz w:val="17"/>
          </w:rPr>
          <w:t>/</w:t>
        </w:r>
        <w:r>
          <w:rPr>
            <w:rFonts w:ascii="Arial" w:hAnsi="Arial"/>
            <w:i/>
            <w:color w:val="231F20"/>
            <w:sz w:val="17"/>
          </w:rPr>
          <w:tab/>
        </w:r>
        <w:r>
          <w:rPr>
            <w:color w:val="231F20"/>
            <w:spacing w:val="-2"/>
            <w:w w:val="120"/>
            <w:sz w:val="17"/>
          </w:rPr>
          <w:t>Action</w:t>
        </w:r>
        <w:r>
          <w:rPr>
            <w:color w:val="231F20"/>
            <w:spacing w:val="-4"/>
            <w:w w:val="120"/>
            <w:sz w:val="17"/>
          </w:rPr>
          <w:t> </w:t>
        </w:r>
        <w:r>
          <w:rPr>
            <w:color w:val="231F20"/>
            <w:spacing w:val="-2"/>
            <w:w w:val="120"/>
            <w:sz w:val="17"/>
          </w:rPr>
          <w:t>des</w:t>
        </w:r>
        <w:r>
          <w:rPr>
            <w:color w:val="231F20"/>
            <w:spacing w:val="-4"/>
            <w:w w:val="120"/>
            <w:sz w:val="17"/>
          </w:rPr>
          <w:t> </w:t>
        </w:r>
        <w:r>
          <w:rPr>
            <w:color w:val="231F20"/>
            <w:spacing w:val="-2"/>
            <w:w w:val="120"/>
            <w:sz w:val="17"/>
          </w:rPr>
          <w:t>hormones</w:t>
        </w:r>
        <w:r>
          <w:rPr>
            <w:color w:val="231F20"/>
            <w:spacing w:val="-4"/>
            <w:w w:val="120"/>
            <w:sz w:val="17"/>
          </w:rPr>
          <w:t> </w:t>
        </w:r>
        <w:r>
          <w:rPr>
            <w:color w:val="231F20"/>
            <w:spacing w:val="-2"/>
            <w:w w:val="120"/>
            <w:sz w:val="17"/>
          </w:rPr>
          <w:t>lors</w:t>
        </w:r>
        <w:r>
          <w:rPr>
            <w:color w:val="231F20"/>
            <w:spacing w:val="-3"/>
            <w:w w:val="120"/>
            <w:sz w:val="17"/>
          </w:rPr>
          <w:t> </w:t>
        </w:r>
        <w:r>
          <w:rPr>
            <w:color w:val="231F20"/>
            <w:spacing w:val="-2"/>
            <w:w w:val="120"/>
            <w:sz w:val="17"/>
          </w:rPr>
          <w:t>d’un</w:t>
        </w:r>
        <w:r>
          <w:rPr>
            <w:color w:val="231F20"/>
            <w:spacing w:val="-4"/>
            <w:w w:val="120"/>
            <w:sz w:val="17"/>
          </w:rPr>
          <w:t> </w:t>
        </w:r>
        <w:r>
          <w:rPr>
            <w:color w:val="231F20"/>
            <w:spacing w:val="-2"/>
            <w:w w:val="120"/>
            <w:sz w:val="17"/>
          </w:rPr>
          <w:t>stress</w:t>
        </w:r>
        <w:r>
          <w:rPr>
            <w:color w:val="231F20"/>
            <w:spacing w:val="-4"/>
            <w:w w:val="120"/>
            <w:sz w:val="17"/>
          </w:rPr>
          <w:t> </w:t>
        </w:r>
        <w:r>
          <w:rPr>
            <w:color w:val="231F20"/>
            <w:spacing w:val="-2"/>
            <w:w w:val="120"/>
            <w:sz w:val="17"/>
          </w:rPr>
          <w:t>de</w:t>
        </w:r>
        <w:r>
          <w:rPr>
            <w:color w:val="231F20"/>
            <w:spacing w:val="-3"/>
            <w:w w:val="120"/>
            <w:sz w:val="17"/>
          </w:rPr>
          <w:t> </w:t>
        </w:r>
        <w:r>
          <w:rPr>
            <w:color w:val="231F20"/>
            <w:spacing w:val="-2"/>
            <w:w w:val="120"/>
            <w:sz w:val="17"/>
          </w:rPr>
          <w:t>forte</w:t>
        </w:r>
        <w:r>
          <w:rPr>
            <w:color w:val="231F20"/>
            <w:spacing w:val="-4"/>
            <w:w w:val="120"/>
            <w:sz w:val="17"/>
          </w:rPr>
          <w:t> </w:t>
        </w:r>
        <w:r>
          <w:rPr>
            <w:color w:val="231F20"/>
            <w:spacing w:val="-2"/>
            <w:w w:val="120"/>
            <w:sz w:val="17"/>
          </w:rPr>
          <w:t>intensité</w:t>
        </w:r>
      </w:hyperlink>
    </w:p>
    <w:p>
      <w:pPr>
        <w:pStyle w:val="BodyText"/>
        <w:tabs>
          <w:tab w:pos="6928" w:val="right" w:leader="none"/>
        </w:tabs>
        <w:spacing w:before="54"/>
        <w:ind w:left="1679"/>
      </w:pPr>
      <w:hyperlink w:history="true" w:anchor="_bookmark19">
        <w:r>
          <w:rPr>
            <w:color w:val="231F20"/>
            <w:w w:val="125"/>
          </w:rPr>
          <w:t>(saut</w:t>
        </w:r>
        <w:r>
          <w:rPr>
            <w:color w:val="231F20"/>
            <w:spacing w:val="-15"/>
            <w:w w:val="125"/>
          </w:rPr>
          <w:t> </w:t>
        </w:r>
        <w:r>
          <w:rPr>
            <w:color w:val="231F20"/>
            <w:w w:val="125"/>
          </w:rPr>
          <w:t>en</w:t>
        </w:r>
        <w:r>
          <w:rPr>
            <w:color w:val="231F20"/>
            <w:spacing w:val="-15"/>
            <w:w w:val="125"/>
          </w:rPr>
          <w:t> </w:t>
        </w:r>
        <w:r>
          <w:rPr>
            <w:color w:val="231F20"/>
            <w:w w:val="125"/>
          </w:rPr>
          <w:t>parachute)</w:t>
        </w:r>
        <w:r>
          <w:rPr>
            <w:color w:val="231F20"/>
            <w:spacing w:val="36"/>
            <w:w w:val="125"/>
          </w:rPr>
          <w:t> </w:t>
        </w:r>
        <w:r>
          <w:rPr>
            <w:color w:val="231F20"/>
            <w:spacing w:val="-2"/>
            <w:w w:val="125"/>
          </w:rPr>
          <w:t>......................................................</w:t>
        </w:r>
        <w:r>
          <w:rPr>
            <w:color w:val="231F20"/>
          </w:rPr>
          <w:tab/>
        </w:r>
        <w:r>
          <w:rPr>
            <w:color w:val="231F20"/>
            <w:spacing w:val="-5"/>
            <w:w w:val="125"/>
          </w:rPr>
          <w:t>49</w:t>
        </w:r>
      </w:hyperlink>
    </w:p>
    <w:p>
      <w:pPr>
        <w:pStyle w:val="ListParagraph"/>
        <w:numPr>
          <w:ilvl w:val="1"/>
          <w:numId w:val="7"/>
        </w:numPr>
        <w:tabs>
          <w:tab w:pos="1433" w:val="left" w:leader="none"/>
          <w:tab w:pos="6928" w:val="right" w:leader="none"/>
        </w:tabs>
        <w:spacing w:line="240" w:lineRule="auto" w:before="134" w:after="0"/>
        <w:ind w:left="1432" w:right="0" w:hanging="253"/>
        <w:jc w:val="left"/>
        <w:rPr>
          <w:sz w:val="17"/>
        </w:rPr>
      </w:pPr>
      <w:hyperlink w:history="true" w:anchor="_bookmark20">
        <w:r>
          <w:rPr>
            <w:rFonts w:ascii="Arial" w:hAnsi="Arial"/>
            <w:i/>
            <w:color w:val="231F20"/>
            <w:w w:val="120"/>
            <w:sz w:val="17"/>
          </w:rPr>
          <w:t>/</w:t>
        </w:r>
        <w:r>
          <w:rPr>
            <w:rFonts w:ascii="Arial" w:hAnsi="Arial"/>
            <w:i/>
            <w:color w:val="231F20"/>
            <w:spacing w:val="20"/>
            <w:w w:val="120"/>
            <w:sz w:val="17"/>
          </w:rPr>
          <w:t>  </w:t>
        </w:r>
        <w:r>
          <w:rPr>
            <w:color w:val="231F20"/>
            <w:w w:val="120"/>
            <w:sz w:val="17"/>
          </w:rPr>
          <w:t>Syndrome</w:t>
        </w:r>
        <w:r>
          <w:rPr>
            <w:color w:val="231F20"/>
            <w:spacing w:val="-13"/>
            <w:w w:val="120"/>
            <w:sz w:val="17"/>
          </w:rPr>
          <w:t> </w:t>
        </w:r>
        <w:r>
          <w:rPr>
            <w:color w:val="231F20"/>
            <w:w w:val="120"/>
            <w:sz w:val="17"/>
          </w:rPr>
          <w:t>général</w:t>
        </w:r>
        <w:r>
          <w:rPr>
            <w:color w:val="231F20"/>
            <w:spacing w:val="-13"/>
            <w:w w:val="120"/>
            <w:sz w:val="17"/>
          </w:rPr>
          <w:t> </w:t>
        </w:r>
        <w:r>
          <w:rPr>
            <w:color w:val="231F20"/>
            <w:w w:val="120"/>
            <w:sz w:val="17"/>
          </w:rPr>
          <w:t>d’adaptation</w:t>
        </w:r>
        <w:r>
          <w:rPr>
            <w:color w:val="231F20"/>
            <w:spacing w:val="-13"/>
            <w:w w:val="120"/>
            <w:sz w:val="17"/>
          </w:rPr>
          <w:t> </w:t>
        </w:r>
        <w:r>
          <w:rPr>
            <w:color w:val="231F20"/>
            <w:w w:val="120"/>
            <w:sz w:val="17"/>
          </w:rPr>
          <w:t>proposé</w:t>
        </w:r>
        <w:r>
          <w:rPr>
            <w:color w:val="231F20"/>
            <w:spacing w:val="-12"/>
            <w:w w:val="120"/>
            <w:sz w:val="17"/>
          </w:rPr>
          <w:t> </w:t>
        </w:r>
        <w:r>
          <w:rPr>
            <w:color w:val="231F20"/>
            <w:w w:val="120"/>
            <w:sz w:val="17"/>
          </w:rPr>
          <w:t>par</w:t>
        </w:r>
        <w:r>
          <w:rPr>
            <w:color w:val="231F20"/>
            <w:spacing w:val="-13"/>
            <w:w w:val="120"/>
            <w:sz w:val="17"/>
          </w:rPr>
          <w:t> </w:t>
        </w:r>
        <w:r>
          <w:rPr>
            <w:color w:val="231F20"/>
            <w:w w:val="120"/>
            <w:sz w:val="17"/>
          </w:rPr>
          <w:t>Selye</w:t>
        </w:r>
        <w:r>
          <w:rPr>
            <w:color w:val="231F20"/>
            <w:spacing w:val="45"/>
            <w:w w:val="120"/>
            <w:sz w:val="17"/>
          </w:rPr>
          <w:t> </w:t>
        </w:r>
        <w:r>
          <w:rPr>
            <w:color w:val="231F20"/>
            <w:spacing w:val="-2"/>
            <w:w w:val="120"/>
            <w:sz w:val="17"/>
          </w:rPr>
          <w:t>.......</w:t>
        </w:r>
        <w:r>
          <w:rPr>
            <w:color w:val="231F20"/>
            <w:sz w:val="17"/>
          </w:rPr>
          <w:tab/>
        </w:r>
        <w:r>
          <w:rPr>
            <w:color w:val="231F20"/>
            <w:spacing w:val="-5"/>
            <w:w w:val="120"/>
            <w:sz w:val="17"/>
          </w:rPr>
          <w:t>51</w:t>
        </w:r>
      </w:hyperlink>
    </w:p>
    <w:p>
      <w:pPr>
        <w:pStyle w:val="ListParagraph"/>
        <w:numPr>
          <w:ilvl w:val="1"/>
          <w:numId w:val="7"/>
        </w:numPr>
        <w:tabs>
          <w:tab w:pos="1423" w:val="left" w:leader="none"/>
          <w:tab w:pos="1679" w:val="left" w:leader="none"/>
        </w:tabs>
        <w:spacing w:line="240" w:lineRule="auto" w:before="134" w:after="0"/>
        <w:ind w:left="1422" w:right="0" w:hanging="243"/>
        <w:jc w:val="left"/>
        <w:rPr>
          <w:sz w:val="17"/>
        </w:rPr>
      </w:pPr>
      <w:hyperlink w:history="true" w:anchor="_bookmark21">
        <w:r>
          <w:rPr>
            <w:rFonts w:ascii="Arial" w:hAnsi="Arial"/>
            <w:i/>
            <w:color w:val="231F20"/>
            <w:spacing w:val="-10"/>
            <w:w w:val="120"/>
            <w:sz w:val="17"/>
          </w:rPr>
          <w:t>/</w:t>
        </w:r>
        <w:r>
          <w:rPr>
            <w:rFonts w:ascii="Arial" w:hAnsi="Arial"/>
            <w:i/>
            <w:color w:val="231F20"/>
            <w:sz w:val="17"/>
          </w:rPr>
          <w:tab/>
        </w:r>
        <w:r>
          <w:rPr>
            <w:color w:val="231F20"/>
            <w:w w:val="115"/>
            <w:sz w:val="17"/>
          </w:rPr>
          <w:t>Schématisation</w:t>
        </w:r>
        <w:r>
          <w:rPr>
            <w:color w:val="231F20"/>
            <w:spacing w:val="12"/>
            <w:w w:val="115"/>
            <w:sz w:val="17"/>
          </w:rPr>
          <w:t> </w:t>
        </w:r>
        <w:r>
          <w:rPr>
            <w:color w:val="231F20"/>
            <w:w w:val="115"/>
            <w:sz w:val="17"/>
          </w:rPr>
          <w:t>de</w:t>
        </w:r>
        <w:r>
          <w:rPr>
            <w:color w:val="231F20"/>
            <w:spacing w:val="13"/>
            <w:w w:val="115"/>
            <w:sz w:val="17"/>
          </w:rPr>
          <w:t> </w:t>
        </w:r>
        <w:r>
          <w:rPr>
            <w:color w:val="231F20"/>
            <w:w w:val="115"/>
            <w:sz w:val="17"/>
          </w:rPr>
          <w:t>la</w:t>
        </w:r>
        <w:r>
          <w:rPr>
            <w:color w:val="231F20"/>
            <w:spacing w:val="12"/>
            <w:w w:val="115"/>
            <w:sz w:val="17"/>
          </w:rPr>
          <w:t> </w:t>
        </w:r>
        <w:r>
          <w:rPr>
            <w:color w:val="231F20"/>
            <w:w w:val="115"/>
            <w:sz w:val="17"/>
          </w:rPr>
          <w:t>perspective</w:t>
        </w:r>
        <w:r>
          <w:rPr>
            <w:color w:val="231F20"/>
            <w:spacing w:val="13"/>
            <w:w w:val="115"/>
            <w:sz w:val="17"/>
          </w:rPr>
          <w:t> </w:t>
        </w:r>
        <w:r>
          <w:rPr>
            <w:color w:val="231F20"/>
            <w:spacing w:val="-2"/>
            <w:w w:val="115"/>
            <w:sz w:val="17"/>
          </w:rPr>
          <w:t>transactionnelle</w:t>
        </w:r>
      </w:hyperlink>
    </w:p>
    <w:p>
      <w:pPr>
        <w:pStyle w:val="BodyText"/>
        <w:tabs>
          <w:tab w:pos="6928" w:val="right" w:leader="none"/>
        </w:tabs>
        <w:spacing w:before="54"/>
        <w:ind w:left="1679"/>
      </w:pPr>
      <w:hyperlink w:history="true" w:anchor="_bookmark21">
        <w:r>
          <w:rPr>
            <w:color w:val="231F20"/>
            <w:w w:val="125"/>
          </w:rPr>
          <w:t>du</w:t>
        </w:r>
        <w:r>
          <w:rPr>
            <w:color w:val="231F20"/>
            <w:spacing w:val="-15"/>
            <w:w w:val="125"/>
          </w:rPr>
          <w:t> </w:t>
        </w:r>
        <w:r>
          <w:rPr>
            <w:color w:val="231F20"/>
            <w:w w:val="125"/>
          </w:rPr>
          <w:t>stress</w:t>
        </w:r>
        <w:r>
          <w:rPr>
            <w:color w:val="231F20"/>
            <w:spacing w:val="31"/>
            <w:w w:val="125"/>
          </w:rPr>
          <w:t> </w:t>
        </w:r>
        <w:r>
          <w:rPr>
            <w:color w:val="231F20"/>
            <w:spacing w:val="-2"/>
            <w:w w:val="125"/>
          </w:rPr>
          <w:t>.......................................................................</w:t>
        </w:r>
        <w:r>
          <w:rPr>
            <w:color w:val="231F20"/>
          </w:rPr>
          <w:tab/>
        </w:r>
        <w:r>
          <w:rPr>
            <w:color w:val="231F20"/>
            <w:spacing w:val="-5"/>
            <w:w w:val="125"/>
          </w:rPr>
          <w:t>54</w:t>
        </w:r>
      </w:hyperlink>
    </w:p>
    <w:p>
      <w:pPr>
        <w:pStyle w:val="ListParagraph"/>
        <w:numPr>
          <w:ilvl w:val="1"/>
          <w:numId w:val="7"/>
        </w:numPr>
        <w:tabs>
          <w:tab w:pos="1436" w:val="left" w:leader="none"/>
        </w:tabs>
        <w:spacing w:line="240" w:lineRule="auto" w:before="134" w:after="0"/>
        <w:ind w:left="1435" w:right="0" w:hanging="256"/>
        <w:jc w:val="left"/>
        <w:rPr>
          <w:sz w:val="17"/>
        </w:rPr>
      </w:pPr>
      <w:hyperlink w:history="true" w:anchor="_bookmark22">
        <w:r>
          <w:rPr>
            <w:rFonts w:ascii="Arial" w:hAnsi="Arial"/>
            <w:i/>
            <w:color w:val="231F20"/>
            <w:w w:val="115"/>
            <w:sz w:val="17"/>
          </w:rPr>
          <w:t>/</w:t>
        </w:r>
        <w:r>
          <w:rPr>
            <w:rFonts w:ascii="Arial" w:hAnsi="Arial"/>
            <w:i/>
            <w:color w:val="231F20"/>
            <w:spacing w:val="48"/>
            <w:w w:val="115"/>
            <w:sz w:val="17"/>
          </w:rPr>
          <w:t>  </w:t>
        </w:r>
        <w:r>
          <w:rPr>
            <w:color w:val="231F20"/>
            <w:w w:val="115"/>
            <w:sz w:val="17"/>
          </w:rPr>
          <w:t>Modèle</w:t>
        </w:r>
        <w:r>
          <w:rPr>
            <w:color w:val="231F20"/>
            <w:spacing w:val="-7"/>
            <w:w w:val="115"/>
            <w:sz w:val="17"/>
          </w:rPr>
          <w:t> </w:t>
        </w:r>
        <w:r>
          <w:rPr>
            <w:color w:val="231F20"/>
            <w:w w:val="115"/>
            <w:sz w:val="17"/>
          </w:rPr>
          <w:t>cognitif</w:t>
        </w:r>
        <w:r>
          <w:rPr>
            <w:color w:val="231F20"/>
            <w:spacing w:val="-8"/>
            <w:w w:val="115"/>
            <w:sz w:val="17"/>
          </w:rPr>
          <w:t> </w:t>
        </w:r>
        <w:r>
          <w:rPr>
            <w:color w:val="231F20"/>
            <w:w w:val="115"/>
            <w:sz w:val="17"/>
          </w:rPr>
          <w:t>et</w:t>
        </w:r>
        <w:r>
          <w:rPr>
            <w:color w:val="231F20"/>
            <w:spacing w:val="-9"/>
            <w:w w:val="115"/>
            <w:sz w:val="17"/>
          </w:rPr>
          <w:t> </w:t>
        </w:r>
        <w:r>
          <w:rPr>
            <w:color w:val="231F20"/>
            <w:spacing w:val="-2"/>
            <w:w w:val="115"/>
            <w:sz w:val="17"/>
          </w:rPr>
          <w:t>conditionnel</w:t>
        </w:r>
      </w:hyperlink>
    </w:p>
    <w:p>
      <w:pPr>
        <w:pStyle w:val="BodyText"/>
        <w:tabs>
          <w:tab w:pos="6928" w:val="right" w:leader="none"/>
        </w:tabs>
        <w:spacing w:before="55"/>
        <w:ind w:left="1679"/>
      </w:pPr>
      <w:hyperlink w:history="true" w:anchor="_bookmark22">
        <w:r>
          <w:rPr>
            <w:color w:val="231F20"/>
            <w:w w:val="120"/>
          </w:rPr>
          <w:t>du</w:t>
        </w:r>
        <w:r>
          <w:rPr>
            <w:color w:val="231F20"/>
            <w:spacing w:val="-10"/>
            <w:w w:val="120"/>
          </w:rPr>
          <w:t> </w:t>
        </w:r>
        <w:r>
          <w:rPr>
            <w:color w:val="231F20"/>
            <w:w w:val="120"/>
          </w:rPr>
          <w:t>stress</w:t>
        </w:r>
        <w:r>
          <w:rPr>
            <w:color w:val="231F20"/>
            <w:spacing w:val="-10"/>
            <w:w w:val="120"/>
          </w:rPr>
          <w:t> </w:t>
        </w:r>
        <w:r>
          <w:rPr>
            <w:color w:val="231F20"/>
            <w:w w:val="120"/>
          </w:rPr>
          <w:t>professionnel</w:t>
        </w:r>
        <w:r>
          <w:rPr>
            <w:color w:val="231F20"/>
            <w:spacing w:val="40"/>
            <w:w w:val="120"/>
          </w:rPr>
          <w:t> </w:t>
        </w:r>
        <w:r>
          <w:rPr>
            <w:color w:val="231F20"/>
            <w:spacing w:val="-2"/>
            <w:w w:val="120"/>
          </w:rPr>
          <w:t>.................................................</w:t>
        </w:r>
        <w:r>
          <w:rPr>
            <w:color w:val="231F20"/>
          </w:rPr>
          <w:tab/>
        </w:r>
        <w:r>
          <w:rPr>
            <w:color w:val="231F20"/>
            <w:spacing w:val="-5"/>
            <w:w w:val="125"/>
          </w:rPr>
          <w:t>59</w:t>
        </w:r>
      </w:hyperlink>
    </w:p>
    <w:p>
      <w:pPr>
        <w:pStyle w:val="BodyText"/>
        <w:tabs>
          <w:tab w:pos="1679" w:val="left" w:leader="none"/>
          <w:tab w:pos="6928" w:val="right" w:leader="none"/>
        </w:tabs>
        <w:spacing w:before="134"/>
        <w:ind w:left="1180"/>
      </w:pPr>
      <w:hyperlink w:history="true" w:anchor="_bookmark24">
        <w:r>
          <w:rPr>
            <w:rFonts w:ascii="Arial" w:hAnsi="Arial"/>
            <w:color w:val="231F20"/>
            <w:w w:val="85"/>
          </w:rPr>
          <w:t>2.7</w:t>
        </w:r>
        <w:r>
          <w:rPr>
            <w:rFonts w:ascii="Arial" w:hAnsi="Arial"/>
            <w:color w:val="231F20"/>
            <w:spacing w:val="-2"/>
            <w:w w:val="85"/>
          </w:rPr>
          <w:t> </w:t>
        </w:r>
        <w:r>
          <w:rPr>
            <w:rFonts w:ascii="Arial" w:hAnsi="Arial"/>
            <w:i/>
            <w:color w:val="231F20"/>
            <w:spacing w:val="-10"/>
            <w:w w:val="115"/>
          </w:rPr>
          <w:t>/</w:t>
        </w:r>
        <w:r>
          <w:rPr>
            <w:rFonts w:ascii="Arial" w:hAnsi="Arial"/>
            <w:i/>
            <w:color w:val="231F20"/>
          </w:rPr>
          <w:tab/>
        </w:r>
        <w:r>
          <w:rPr>
            <w:color w:val="231F20"/>
            <w:w w:val="115"/>
          </w:rPr>
          <w:t>Modèle</w:t>
        </w:r>
        <w:r>
          <w:rPr>
            <w:color w:val="231F20"/>
            <w:spacing w:val="-13"/>
            <w:w w:val="115"/>
          </w:rPr>
          <w:t> </w:t>
        </w:r>
        <w:r>
          <w:rPr>
            <w:color w:val="231F20"/>
            <w:w w:val="115"/>
          </w:rPr>
          <w:t>DCS</w:t>
        </w:r>
        <w:r>
          <w:rPr>
            <w:color w:val="231F20"/>
            <w:spacing w:val="-12"/>
            <w:w w:val="115"/>
          </w:rPr>
          <w:t> </w:t>
        </w:r>
        <w:r>
          <w:rPr>
            <w:color w:val="231F20"/>
            <w:w w:val="115"/>
          </w:rPr>
          <w:t>de</w:t>
        </w:r>
        <w:r>
          <w:rPr>
            <w:color w:val="231F20"/>
            <w:spacing w:val="-12"/>
            <w:w w:val="115"/>
          </w:rPr>
          <w:t> </w:t>
        </w:r>
        <w:r>
          <w:rPr>
            <w:color w:val="231F20"/>
            <w:w w:val="115"/>
          </w:rPr>
          <w:t>Karasek</w:t>
        </w:r>
        <w:r>
          <w:rPr>
            <w:color w:val="231F20"/>
            <w:spacing w:val="-12"/>
            <w:w w:val="115"/>
          </w:rPr>
          <w:t> </w:t>
        </w:r>
        <w:r>
          <w:rPr>
            <w:color w:val="231F20"/>
            <w:w w:val="115"/>
          </w:rPr>
          <w:t>et</w:t>
        </w:r>
        <w:r>
          <w:rPr>
            <w:color w:val="231F20"/>
            <w:spacing w:val="-13"/>
            <w:w w:val="115"/>
          </w:rPr>
          <w:t> </w:t>
        </w:r>
        <w:r>
          <w:rPr>
            <w:color w:val="231F20"/>
            <w:w w:val="115"/>
          </w:rPr>
          <w:t>Theorell</w:t>
        </w:r>
        <w:r>
          <w:rPr>
            <w:color w:val="231F20"/>
            <w:spacing w:val="57"/>
            <w:w w:val="115"/>
          </w:rPr>
          <w:t> </w:t>
        </w:r>
        <w:r>
          <w:rPr>
            <w:color w:val="231F20"/>
            <w:spacing w:val="-2"/>
            <w:w w:val="115"/>
          </w:rPr>
          <w:t>..............................</w:t>
        </w:r>
        <w:r>
          <w:rPr>
            <w:color w:val="231F20"/>
          </w:rPr>
          <w:tab/>
        </w:r>
        <w:r>
          <w:rPr>
            <w:color w:val="231F20"/>
            <w:spacing w:val="-5"/>
            <w:w w:val="115"/>
          </w:rPr>
          <w:t>61</w:t>
        </w:r>
      </w:hyperlink>
    </w:p>
    <w:p>
      <w:pPr>
        <w:pStyle w:val="BodyText"/>
        <w:tabs>
          <w:tab w:pos="6928" w:val="right" w:leader="none"/>
        </w:tabs>
        <w:spacing w:before="133"/>
        <w:ind w:left="1180"/>
      </w:pPr>
      <w:hyperlink w:history="true" w:anchor="_bookmark25">
        <w:r>
          <w:rPr>
            <w:rFonts w:ascii="Arial" w:hAnsi="Arial"/>
            <w:color w:val="231F20"/>
            <w:w w:val="115"/>
          </w:rPr>
          <w:t>2.8</w:t>
        </w:r>
        <w:r>
          <w:rPr>
            <w:rFonts w:ascii="Arial" w:hAnsi="Arial"/>
            <w:color w:val="231F20"/>
            <w:spacing w:val="-22"/>
            <w:w w:val="115"/>
          </w:rPr>
          <w:t> </w:t>
        </w:r>
        <w:r>
          <w:rPr>
            <w:rFonts w:ascii="Arial" w:hAnsi="Arial"/>
            <w:i/>
            <w:color w:val="231F20"/>
            <w:w w:val="115"/>
          </w:rPr>
          <w:t>/</w:t>
        </w:r>
        <w:r>
          <w:rPr>
            <w:rFonts w:ascii="Arial" w:hAnsi="Arial"/>
            <w:i/>
            <w:color w:val="231F20"/>
            <w:spacing w:val="47"/>
            <w:w w:val="115"/>
          </w:rPr>
          <w:t>  </w:t>
        </w:r>
        <w:r>
          <w:rPr>
            <w:color w:val="231F20"/>
            <w:w w:val="115"/>
          </w:rPr>
          <w:t>Modèle</w:t>
        </w:r>
        <w:r>
          <w:rPr>
            <w:color w:val="231F20"/>
            <w:spacing w:val="-9"/>
            <w:w w:val="115"/>
          </w:rPr>
          <w:t> </w:t>
        </w:r>
        <w:r>
          <w:rPr>
            <w:color w:val="231F20"/>
            <w:w w:val="115"/>
          </w:rPr>
          <w:t>effort/récompense</w:t>
        </w:r>
        <w:r>
          <w:rPr>
            <w:color w:val="231F20"/>
            <w:spacing w:val="-8"/>
            <w:w w:val="115"/>
          </w:rPr>
          <w:t> </w:t>
        </w:r>
        <w:r>
          <w:rPr>
            <w:color w:val="231F20"/>
            <w:w w:val="115"/>
          </w:rPr>
          <w:t>de</w:t>
        </w:r>
        <w:r>
          <w:rPr>
            <w:color w:val="231F20"/>
            <w:spacing w:val="-9"/>
            <w:w w:val="115"/>
          </w:rPr>
          <w:t> </w:t>
        </w:r>
        <w:r>
          <w:rPr>
            <w:color w:val="231F20"/>
            <w:w w:val="115"/>
          </w:rPr>
          <w:t>Siegrist</w:t>
        </w:r>
        <w:r>
          <w:rPr>
            <w:color w:val="231F20"/>
            <w:spacing w:val="74"/>
            <w:w w:val="115"/>
          </w:rPr>
          <w:t> </w:t>
        </w:r>
        <w:r>
          <w:rPr>
            <w:color w:val="231F20"/>
            <w:spacing w:val="-2"/>
            <w:w w:val="115"/>
          </w:rPr>
          <w:t>..........................</w:t>
        </w:r>
        <w:r>
          <w:rPr>
            <w:color w:val="231F20"/>
          </w:rPr>
          <w:tab/>
        </w:r>
        <w:r>
          <w:rPr>
            <w:color w:val="231F20"/>
            <w:spacing w:val="-5"/>
            <w:w w:val="115"/>
          </w:rPr>
          <w:t>62</w:t>
        </w:r>
      </w:hyperlink>
    </w:p>
    <w:p>
      <w:pPr>
        <w:pStyle w:val="ListParagraph"/>
        <w:numPr>
          <w:ilvl w:val="1"/>
          <w:numId w:val="8"/>
        </w:numPr>
        <w:tabs>
          <w:tab w:pos="1404" w:val="left" w:leader="none"/>
          <w:tab w:pos="1679" w:val="left" w:leader="none"/>
        </w:tabs>
        <w:spacing w:line="240" w:lineRule="auto" w:before="134" w:after="0"/>
        <w:ind w:left="1403" w:right="0" w:hanging="224"/>
        <w:jc w:val="left"/>
        <w:rPr>
          <w:sz w:val="17"/>
        </w:rPr>
      </w:pPr>
      <w:hyperlink w:history="true" w:anchor="_bookmark32">
        <w:r>
          <w:rPr>
            <w:rFonts w:ascii="Arial" w:hAnsi="Arial"/>
            <w:i/>
            <w:color w:val="231F20"/>
            <w:spacing w:val="-10"/>
            <w:w w:val="115"/>
            <w:sz w:val="17"/>
          </w:rPr>
          <w:t>/</w:t>
        </w:r>
        <w:r>
          <w:rPr>
            <w:rFonts w:ascii="Arial" w:hAnsi="Arial"/>
            <w:i/>
            <w:color w:val="231F20"/>
            <w:sz w:val="17"/>
          </w:rPr>
          <w:tab/>
        </w:r>
        <w:r>
          <w:rPr>
            <w:color w:val="231F20"/>
            <w:w w:val="115"/>
            <w:sz w:val="17"/>
          </w:rPr>
          <w:t>Courbe</w:t>
        </w:r>
        <w:r>
          <w:rPr>
            <w:color w:val="231F20"/>
            <w:spacing w:val="-7"/>
            <w:w w:val="115"/>
            <w:sz w:val="17"/>
          </w:rPr>
          <w:t> </w:t>
        </w:r>
        <w:r>
          <w:rPr>
            <w:color w:val="231F20"/>
            <w:w w:val="115"/>
            <w:sz w:val="17"/>
          </w:rPr>
          <w:t>en</w:t>
        </w:r>
        <w:r>
          <w:rPr>
            <w:color w:val="231F20"/>
            <w:spacing w:val="-7"/>
            <w:w w:val="115"/>
            <w:sz w:val="17"/>
          </w:rPr>
          <w:t> </w:t>
        </w:r>
        <w:r>
          <w:rPr>
            <w:color w:val="231F20"/>
            <w:w w:val="115"/>
            <w:sz w:val="17"/>
          </w:rPr>
          <w:t>«</w:t>
        </w:r>
        <w:r>
          <w:rPr>
            <w:color w:val="231F20"/>
            <w:spacing w:val="-31"/>
            <w:w w:val="115"/>
            <w:sz w:val="17"/>
          </w:rPr>
          <w:t> </w:t>
        </w:r>
        <w:r>
          <w:rPr>
            <w:color w:val="231F20"/>
            <w:w w:val="115"/>
            <w:sz w:val="17"/>
          </w:rPr>
          <w:t>U»</w:t>
        </w:r>
        <w:r>
          <w:rPr>
            <w:color w:val="231F20"/>
            <w:spacing w:val="-7"/>
            <w:w w:val="115"/>
            <w:sz w:val="17"/>
          </w:rPr>
          <w:t> </w:t>
        </w:r>
        <w:r>
          <w:rPr>
            <w:color w:val="231F20"/>
            <w:w w:val="115"/>
            <w:sz w:val="17"/>
          </w:rPr>
          <w:t>inversé</w:t>
        </w:r>
        <w:r>
          <w:rPr>
            <w:color w:val="231F20"/>
            <w:spacing w:val="-6"/>
            <w:w w:val="115"/>
            <w:sz w:val="17"/>
          </w:rPr>
          <w:t> </w:t>
        </w:r>
        <w:r>
          <w:rPr>
            <w:color w:val="231F20"/>
            <w:w w:val="115"/>
            <w:sz w:val="17"/>
          </w:rPr>
          <w:t>liant</w:t>
        </w:r>
        <w:r>
          <w:rPr>
            <w:color w:val="231F20"/>
            <w:spacing w:val="-7"/>
            <w:w w:val="115"/>
            <w:sz w:val="17"/>
          </w:rPr>
          <w:t> </w:t>
        </w:r>
        <w:r>
          <w:rPr>
            <w:color w:val="231F20"/>
            <w:w w:val="115"/>
            <w:sz w:val="17"/>
          </w:rPr>
          <w:t>la</w:t>
        </w:r>
        <w:r>
          <w:rPr>
            <w:color w:val="231F20"/>
            <w:spacing w:val="-6"/>
            <w:w w:val="115"/>
            <w:sz w:val="17"/>
          </w:rPr>
          <w:t> </w:t>
        </w:r>
        <w:r>
          <w:rPr>
            <w:color w:val="231F20"/>
            <w:spacing w:val="-2"/>
            <w:w w:val="115"/>
            <w:sz w:val="17"/>
          </w:rPr>
          <w:t>stimulation</w:t>
        </w:r>
      </w:hyperlink>
    </w:p>
    <w:p>
      <w:pPr>
        <w:pStyle w:val="BodyText"/>
        <w:tabs>
          <w:tab w:pos="6928" w:val="right" w:leader="none"/>
        </w:tabs>
        <w:spacing w:before="55"/>
        <w:ind w:left="1679"/>
      </w:pPr>
      <w:hyperlink w:history="true" w:anchor="_bookmark32">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performance</w:t>
        </w:r>
        <w:r>
          <w:rPr>
            <w:color w:val="231F20"/>
            <w:spacing w:val="74"/>
            <w:w w:val="120"/>
          </w:rPr>
          <w:t> </w:t>
        </w:r>
        <w:r>
          <w:rPr>
            <w:color w:val="231F20"/>
            <w:spacing w:val="-2"/>
            <w:w w:val="120"/>
          </w:rPr>
          <w:t>..........................................................</w:t>
        </w:r>
        <w:r>
          <w:rPr>
            <w:color w:val="231F20"/>
          </w:rPr>
          <w:tab/>
        </w:r>
        <w:r>
          <w:rPr>
            <w:color w:val="231F20"/>
            <w:spacing w:val="-5"/>
            <w:w w:val="125"/>
          </w:rPr>
          <w:t>80</w:t>
        </w:r>
      </w:hyperlink>
    </w:p>
    <w:p>
      <w:pPr>
        <w:pStyle w:val="ListParagraph"/>
        <w:numPr>
          <w:ilvl w:val="1"/>
          <w:numId w:val="8"/>
        </w:numPr>
        <w:tabs>
          <w:tab w:pos="1423" w:val="left" w:leader="none"/>
          <w:tab w:pos="1679" w:val="left" w:leader="none"/>
        </w:tabs>
        <w:spacing w:line="240" w:lineRule="auto" w:before="133" w:after="0"/>
        <w:ind w:left="1422" w:right="0" w:hanging="243"/>
        <w:jc w:val="left"/>
        <w:rPr>
          <w:sz w:val="17"/>
        </w:rPr>
      </w:pPr>
      <w:hyperlink w:history="true" w:anchor="_bookmark33">
        <w:r>
          <w:rPr>
            <w:rFonts w:ascii="Arial"/>
            <w:i/>
            <w:color w:val="231F20"/>
            <w:spacing w:val="-10"/>
            <w:w w:val="120"/>
            <w:sz w:val="17"/>
          </w:rPr>
          <w:t>/</w:t>
        </w:r>
        <w:r>
          <w:rPr>
            <w:rFonts w:ascii="Arial"/>
            <w:i/>
            <w:color w:val="231F20"/>
            <w:sz w:val="17"/>
          </w:rPr>
          <w:tab/>
        </w:r>
        <w:r>
          <w:rPr>
            <w:color w:val="231F20"/>
            <w:w w:val="120"/>
            <w:sz w:val="17"/>
          </w:rPr>
          <w:t>Illustration</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la</w:t>
        </w:r>
        <w:r>
          <w:rPr>
            <w:color w:val="231F20"/>
            <w:spacing w:val="-12"/>
            <w:w w:val="120"/>
            <w:sz w:val="17"/>
          </w:rPr>
          <w:t> </w:t>
        </w:r>
        <w:r>
          <w:rPr>
            <w:color w:val="231F20"/>
            <w:w w:val="120"/>
            <w:sz w:val="17"/>
          </w:rPr>
          <w:t>conception</w:t>
        </w:r>
        <w:r>
          <w:rPr>
            <w:color w:val="231F20"/>
            <w:spacing w:val="-12"/>
            <w:w w:val="120"/>
            <w:sz w:val="17"/>
          </w:rPr>
          <w:t> </w:t>
        </w:r>
        <w:r>
          <w:rPr>
            <w:color w:val="231F20"/>
            <w:spacing w:val="-2"/>
            <w:w w:val="120"/>
            <w:sz w:val="17"/>
          </w:rPr>
          <w:t>polymorphique</w:t>
        </w:r>
      </w:hyperlink>
    </w:p>
    <w:p>
      <w:pPr>
        <w:pStyle w:val="BodyText"/>
        <w:tabs>
          <w:tab w:pos="6928" w:val="right" w:leader="none"/>
        </w:tabs>
        <w:spacing w:before="55"/>
        <w:ind w:left="1679"/>
      </w:pPr>
      <w:hyperlink w:history="true" w:anchor="_bookmark33">
        <w:r>
          <w:rPr>
            <w:color w:val="231F20"/>
            <w:w w:val="120"/>
          </w:rPr>
          <w:t>de</w:t>
        </w:r>
        <w:r>
          <w:rPr>
            <w:color w:val="231F20"/>
            <w:spacing w:val="-11"/>
            <w:w w:val="120"/>
          </w:rPr>
          <w:t> </w:t>
        </w:r>
        <w:r>
          <w:rPr>
            <w:color w:val="231F20"/>
            <w:w w:val="120"/>
          </w:rPr>
          <w:t>la</w:t>
        </w:r>
        <w:r>
          <w:rPr>
            <w:color w:val="231F20"/>
            <w:spacing w:val="-10"/>
            <w:w w:val="120"/>
          </w:rPr>
          <w:t> </w:t>
        </w:r>
        <w:r>
          <w:rPr>
            <w:color w:val="231F20"/>
            <w:w w:val="120"/>
          </w:rPr>
          <w:t>relation</w:t>
        </w:r>
        <w:r>
          <w:rPr>
            <w:color w:val="231F20"/>
            <w:spacing w:val="-10"/>
            <w:w w:val="120"/>
          </w:rPr>
          <w:t> </w:t>
        </w:r>
        <w:r>
          <w:rPr>
            <w:color w:val="231F20"/>
            <w:w w:val="120"/>
          </w:rPr>
          <w:t>stress/performance</w:t>
        </w:r>
        <w:r>
          <w:rPr>
            <w:color w:val="231F20"/>
            <w:spacing w:val="70"/>
            <w:w w:val="120"/>
          </w:rPr>
          <w:t> </w:t>
        </w:r>
        <w:r>
          <w:rPr>
            <w:color w:val="231F20"/>
            <w:spacing w:val="-2"/>
            <w:w w:val="120"/>
          </w:rPr>
          <w:t>.................................</w:t>
        </w:r>
        <w:r>
          <w:rPr>
            <w:color w:val="231F20"/>
          </w:rPr>
          <w:tab/>
        </w:r>
        <w:r>
          <w:rPr>
            <w:color w:val="231F20"/>
            <w:spacing w:val="-5"/>
            <w:w w:val="125"/>
          </w:rPr>
          <w:t>81</w:t>
        </w:r>
      </w:hyperlink>
    </w:p>
    <w:p>
      <w:pPr>
        <w:pStyle w:val="ListParagraph"/>
        <w:numPr>
          <w:ilvl w:val="1"/>
          <w:numId w:val="8"/>
        </w:numPr>
        <w:tabs>
          <w:tab w:pos="1422" w:val="left" w:leader="none"/>
          <w:tab w:pos="1679" w:val="left" w:leader="none"/>
          <w:tab w:pos="6928" w:val="right" w:leader="none"/>
        </w:tabs>
        <w:spacing w:line="240" w:lineRule="auto" w:before="134" w:after="0"/>
        <w:ind w:left="1421" w:right="0" w:hanging="242"/>
        <w:jc w:val="left"/>
        <w:rPr>
          <w:sz w:val="17"/>
        </w:rPr>
      </w:pPr>
      <w:hyperlink w:history="true" w:anchor="_bookmark36">
        <w:r>
          <w:rPr>
            <w:rFonts w:ascii="Arial" w:hAnsi="Arial"/>
            <w:i/>
            <w:color w:val="231F20"/>
            <w:spacing w:val="-10"/>
            <w:w w:val="120"/>
            <w:sz w:val="17"/>
          </w:rPr>
          <w:t>/</w:t>
        </w:r>
        <w:r>
          <w:rPr>
            <w:rFonts w:ascii="Arial" w:hAnsi="Arial"/>
            <w:i/>
            <w:color w:val="231F20"/>
            <w:sz w:val="17"/>
          </w:rPr>
          <w:tab/>
        </w:r>
        <w:r>
          <w:rPr>
            <w:color w:val="231F20"/>
            <w:w w:val="120"/>
            <w:sz w:val="17"/>
          </w:rPr>
          <w:t>Sources</w:t>
        </w:r>
        <w:r>
          <w:rPr>
            <w:color w:val="231F20"/>
            <w:spacing w:val="-9"/>
            <w:w w:val="120"/>
            <w:sz w:val="17"/>
          </w:rPr>
          <w:t> </w:t>
        </w:r>
        <w:r>
          <w:rPr>
            <w:color w:val="231F20"/>
            <w:w w:val="120"/>
            <w:sz w:val="17"/>
          </w:rPr>
          <w:t>extrinsèques</w:t>
        </w:r>
        <w:r>
          <w:rPr>
            <w:color w:val="231F20"/>
            <w:spacing w:val="-9"/>
            <w:w w:val="120"/>
            <w:sz w:val="17"/>
          </w:rPr>
          <w:t> </w:t>
        </w:r>
        <w:r>
          <w:rPr>
            <w:color w:val="231F20"/>
            <w:w w:val="120"/>
            <w:sz w:val="17"/>
          </w:rPr>
          <w:t>et</w:t>
        </w:r>
        <w:r>
          <w:rPr>
            <w:color w:val="231F20"/>
            <w:spacing w:val="-9"/>
            <w:w w:val="120"/>
            <w:sz w:val="17"/>
          </w:rPr>
          <w:t> </w:t>
        </w:r>
        <w:r>
          <w:rPr>
            <w:color w:val="231F20"/>
            <w:w w:val="120"/>
            <w:sz w:val="17"/>
          </w:rPr>
          <w:t>intrinsèques</w:t>
        </w:r>
        <w:r>
          <w:rPr>
            <w:color w:val="231F20"/>
            <w:spacing w:val="-9"/>
            <w:w w:val="120"/>
            <w:sz w:val="17"/>
          </w:rPr>
          <w:t> </w:t>
        </w:r>
        <w:r>
          <w:rPr>
            <w:color w:val="231F20"/>
            <w:w w:val="120"/>
            <w:sz w:val="17"/>
          </w:rPr>
          <w:t>de</w:t>
        </w:r>
        <w:r>
          <w:rPr>
            <w:color w:val="231F20"/>
            <w:spacing w:val="-8"/>
            <w:w w:val="120"/>
            <w:sz w:val="17"/>
          </w:rPr>
          <w:t> </w:t>
        </w:r>
        <w:r>
          <w:rPr>
            <w:color w:val="231F20"/>
            <w:w w:val="120"/>
            <w:sz w:val="17"/>
          </w:rPr>
          <w:t>stress</w:t>
        </w:r>
        <w:r>
          <w:rPr>
            <w:color w:val="231F20"/>
            <w:spacing w:val="59"/>
            <w:w w:val="120"/>
            <w:sz w:val="17"/>
          </w:rPr>
          <w:t> </w:t>
        </w:r>
        <w:r>
          <w:rPr>
            <w:color w:val="231F20"/>
            <w:spacing w:val="-2"/>
            <w:w w:val="120"/>
            <w:sz w:val="17"/>
          </w:rPr>
          <w:t>.............</w:t>
        </w:r>
        <w:r>
          <w:rPr>
            <w:color w:val="231F20"/>
            <w:sz w:val="17"/>
          </w:rPr>
          <w:tab/>
        </w:r>
        <w:r>
          <w:rPr>
            <w:color w:val="231F20"/>
            <w:spacing w:val="-5"/>
            <w:w w:val="120"/>
            <w:sz w:val="17"/>
          </w:rPr>
          <w:t>87</w:t>
        </w:r>
      </w:hyperlink>
    </w:p>
    <w:p>
      <w:pPr>
        <w:pStyle w:val="ListParagraph"/>
        <w:numPr>
          <w:ilvl w:val="1"/>
          <w:numId w:val="8"/>
        </w:numPr>
        <w:tabs>
          <w:tab w:pos="1432" w:val="left" w:leader="none"/>
          <w:tab w:pos="6928" w:val="right" w:leader="none"/>
        </w:tabs>
        <w:spacing w:line="240" w:lineRule="auto" w:before="133" w:after="0"/>
        <w:ind w:left="1431" w:right="0" w:hanging="252"/>
        <w:jc w:val="left"/>
        <w:rPr>
          <w:sz w:val="17"/>
        </w:rPr>
      </w:pPr>
      <w:hyperlink w:history="true" w:anchor="_bookmark38">
        <w:r>
          <w:rPr>
            <w:rFonts w:ascii="Arial" w:hAnsi="Arial"/>
            <w:i/>
            <w:color w:val="231F20"/>
            <w:w w:val="120"/>
            <w:sz w:val="17"/>
          </w:rPr>
          <w:t>/</w:t>
        </w:r>
        <w:r>
          <w:rPr>
            <w:rFonts w:ascii="Arial" w:hAnsi="Arial"/>
            <w:i/>
            <w:color w:val="231F20"/>
            <w:spacing w:val="20"/>
            <w:w w:val="120"/>
            <w:sz w:val="17"/>
          </w:rPr>
          <w:t>  </w:t>
        </w:r>
        <w:r>
          <w:rPr>
            <w:color w:val="231F20"/>
            <w:w w:val="120"/>
            <w:sz w:val="17"/>
          </w:rPr>
          <w:t>Qu’est-ce</w:t>
        </w:r>
        <w:r>
          <w:rPr>
            <w:color w:val="231F20"/>
            <w:spacing w:val="-12"/>
            <w:w w:val="120"/>
            <w:sz w:val="17"/>
          </w:rPr>
          <w:t> </w:t>
        </w:r>
        <w:r>
          <w:rPr>
            <w:color w:val="231F20"/>
            <w:w w:val="120"/>
            <w:sz w:val="17"/>
          </w:rPr>
          <w:t>qui</w:t>
        </w:r>
        <w:r>
          <w:rPr>
            <w:color w:val="231F20"/>
            <w:spacing w:val="-12"/>
            <w:w w:val="120"/>
            <w:sz w:val="17"/>
          </w:rPr>
          <w:t> </w:t>
        </w:r>
        <w:r>
          <w:rPr>
            <w:color w:val="231F20"/>
            <w:w w:val="120"/>
            <w:sz w:val="17"/>
          </w:rPr>
          <w:t>provoque</w:t>
        </w:r>
        <w:r>
          <w:rPr>
            <w:color w:val="231F20"/>
            <w:spacing w:val="-13"/>
            <w:w w:val="120"/>
            <w:sz w:val="17"/>
          </w:rPr>
          <w:t> </w:t>
        </w:r>
        <w:r>
          <w:rPr>
            <w:color w:val="231F20"/>
            <w:w w:val="120"/>
            <w:sz w:val="17"/>
          </w:rPr>
          <w:t>le</w:t>
        </w:r>
        <w:r>
          <w:rPr>
            <w:color w:val="231F20"/>
            <w:spacing w:val="-13"/>
            <w:w w:val="120"/>
            <w:sz w:val="17"/>
          </w:rPr>
          <w:t> </w:t>
        </w:r>
        <w:r>
          <w:rPr>
            <w:color w:val="231F20"/>
            <w:w w:val="120"/>
            <w:sz w:val="17"/>
          </w:rPr>
          <w:t>stress</w:t>
        </w:r>
        <w:r>
          <w:rPr>
            <w:color w:val="231F20"/>
            <w:spacing w:val="-13"/>
            <w:w w:val="120"/>
            <w:sz w:val="17"/>
          </w:rPr>
          <w:t> </w:t>
        </w:r>
        <w:r>
          <w:rPr>
            <w:color w:val="231F20"/>
            <w:w w:val="120"/>
            <w:sz w:val="17"/>
          </w:rPr>
          <w:t>au</w:t>
        </w:r>
        <w:r>
          <w:rPr>
            <w:color w:val="231F20"/>
            <w:spacing w:val="-12"/>
            <w:w w:val="120"/>
            <w:sz w:val="17"/>
          </w:rPr>
          <w:t> </w:t>
        </w:r>
        <w:r>
          <w:rPr>
            <w:color w:val="231F20"/>
            <w:w w:val="120"/>
            <w:sz w:val="17"/>
          </w:rPr>
          <w:t>travail?</w:t>
        </w:r>
        <w:r>
          <w:rPr>
            <w:color w:val="231F20"/>
            <w:spacing w:val="36"/>
            <w:w w:val="120"/>
            <w:sz w:val="17"/>
          </w:rPr>
          <w:t> </w:t>
        </w:r>
        <w:r>
          <w:rPr>
            <w:color w:val="231F20"/>
            <w:spacing w:val="-2"/>
            <w:w w:val="120"/>
            <w:sz w:val="17"/>
          </w:rPr>
          <w:t>..................</w:t>
        </w:r>
        <w:r>
          <w:rPr>
            <w:color w:val="231F20"/>
            <w:sz w:val="17"/>
          </w:rPr>
          <w:tab/>
        </w:r>
        <w:r>
          <w:rPr>
            <w:color w:val="231F20"/>
            <w:spacing w:val="-5"/>
            <w:w w:val="125"/>
            <w:sz w:val="17"/>
          </w:rPr>
          <w:t>90</w:t>
        </w:r>
      </w:hyperlink>
    </w:p>
    <w:p>
      <w:pPr>
        <w:pStyle w:val="ListParagraph"/>
        <w:numPr>
          <w:ilvl w:val="1"/>
          <w:numId w:val="8"/>
        </w:numPr>
        <w:tabs>
          <w:tab w:pos="1422" w:val="left" w:leader="none"/>
          <w:tab w:pos="1679" w:val="left" w:leader="none"/>
          <w:tab w:pos="6928" w:val="right" w:leader="none"/>
        </w:tabs>
        <w:spacing w:line="240" w:lineRule="auto" w:before="134" w:after="0"/>
        <w:ind w:left="1421" w:right="0" w:hanging="242"/>
        <w:jc w:val="left"/>
        <w:rPr>
          <w:sz w:val="17"/>
        </w:rPr>
      </w:pPr>
      <w:hyperlink w:history="true" w:anchor="_bookmark39">
        <w:r>
          <w:rPr>
            <w:rFonts w:ascii="Arial" w:hAnsi="Arial"/>
            <w:i/>
            <w:color w:val="231F20"/>
            <w:spacing w:val="-10"/>
            <w:w w:val="120"/>
            <w:sz w:val="17"/>
          </w:rPr>
          <w:t>/</w:t>
        </w:r>
        <w:r>
          <w:rPr>
            <w:rFonts w:ascii="Arial" w:hAnsi="Arial"/>
            <w:i/>
            <w:color w:val="231F20"/>
            <w:sz w:val="17"/>
          </w:rPr>
          <w:tab/>
        </w:r>
        <w:r>
          <w:rPr>
            <w:color w:val="231F20"/>
            <w:w w:val="120"/>
            <w:sz w:val="17"/>
          </w:rPr>
          <w:t>Diverses</w:t>
        </w:r>
        <w:r>
          <w:rPr>
            <w:color w:val="231F20"/>
            <w:spacing w:val="-13"/>
            <w:w w:val="120"/>
            <w:sz w:val="17"/>
          </w:rPr>
          <w:t> </w:t>
        </w:r>
        <w:r>
          <w:rPr>
            <w:color w:val="231F20"/>
            <w:w w:val="120"/>
            <w:sz w:val="17"/>
          </w:rPr>
          <w:t>origines</w:t>
        </w:r>
        <w:r>
          <w:rPr>
            <w:color w:val="231F20"/>
            <w:spacing w:val="-13"/>
            <w:w w:val="120"/>
            <w:sz w:val="17"/>
          </w:rPr>
          <w:t> </w:t>
        </w:r>
        <w:r>
          <w:rPr>
            <w:color w:val="231F20"/>
            <w:w w:val="120"/>
            <w:sz w:val="17"/>
          </w:rPr>
          <w:t>structurant</w:t>
        </w:r>
        <w:r>
          <w:rPr>
            <w:color w:val="231F20"/>
            <w:spacing w:val="-13"/>
            <w:w w:val="120"/>
            <w:sz w:val="17"/>
          </w:rPr>
          <w:t> </w:t>
        </w:r>
        <w:r>
          <w:rPr>
            <w:color w:val="231F20"/>
            <w:w w:val="120"/>
            <w:sz w:val="17"/>
          </w:rPr>
          <w:t>la</w:t>
        </w:r>
        <w:r>
          <w:rPr>
            <w:color w:val="231F20"/>
            <w:spacing w:val="-12"/>
            <w:w w:val="120"/>
            <w:sz w:val="17"/>
          </w:rPr>
          <w:t> </w:t>
        </w:r>
        <w:r>
          <w:rPr>
            <w:color w:val="231F20"/>
            <w:w w:val="120"/>
            <w:sz w:val="17"/>
          </w:rPr>
          <w:t>personnalité</w:t>
        </w:r>
        <w:r>
          <w:rPr>
            <w:color w:val="231F20"/>
            <w:spacing w:val="72"/>
            <w:w w:val="120"/>
            <w:sz w:val="17"/>
          </w:rPr>
          <w:t> </w:t>
        </w:r>
        <w:r>
          <w:rPr>
            <w:color w:val="231F20"/>
            <w:spacing w:val="-2"/>
            <w:w w:val="120"/>
            <w:sz w:val="17"/>
          </w:rPr>
          <w:t>...............</w:t>
        </w:r>
        <w:r>
          <w:rPr>
            <w:color w:val="231F20"/>
            <w:sz w:val="17"/>
          </w:rPr>
          <w:tab/>
        </w:r>
        <w:r>
          <w:rPr>
            <w:color w:val="231F20"/>
            <w:spacing w:val="-5"/>
            <w:w w:val="120"/>
            <w:sz w:val="17"/>
          </w:rPr>
          <w:t>91</w:t>
        </w:r>
      </w:hyperlink>
    </w:p>
    <w:p>
      <w:pPr>
        <w:pStyle w:val="BodyText"/>
        <w:tabs>
          <w:tab w:pos="6928" w:val="right" w:leader="none"/>
        </w:tabs>
        <w:spacing w:before="134"/>
        <w:ind w:left="1180"/>
      </w:pPr>
      <w:hyperlink w:history="true" w:anchor="_bookmark43">
        <w:r>
          <w:rPr>
            <w:rFonts w:ascii="Arial" w:hAnsi="Arial"/>
            <w:color w:val="231F20"/>
            <w:w w:val="120"/>
          </w:rPr>
          <w:t>3.6</w:t>
        </w:r>
        <w:r>
          <w:rPr>
            <w:rFonts w:ascii="Arial" w:hAnsi="Arial"/>
            <w:color w:val="231F20"/>
            <w:spacing w:val="-26"/>
            <w:w w:val="120"/>
          </w:rPr>
          <w:t> </w:t>
        </w:r>
        <w:r>
          <w:rPr>
            <w:rFonts w:ascii="Arial" w:hAnsi="Arial"/>
            <w:i/>
            <w:color w:val="231F20"/>
            <w:w w:val="120"/>
          </w:rPr>
          <w:t>/</w:t>
        </w:r>
        <w:r>
          <w:rPr>
            <w:rFonts w:ascii="Arial" w:hAnsi="Arial"/>
            <w:i/>
            <w:color w:val="231F20"/>
            <w:spacing w:val="71"/>
            <w:w w:val="120"/>
          </w:rPr>
          <w:t> </w:t>
        </w:r>
        <w:r>
          <w:rPr>
            <w:color w:val="231F20"/>
            <w:w w:val="120"/>
          </w:rPr>
          <w:t>Modèle</w:t>
        </w:r>
        <w:r>
          <w:rPr>
            <w:color w:val="231F20"/>
            <w:spacing w:val="-13"/>
            <w:w w:val="120"/>
          </w:rPr>
          <w:t> </w:t>
        </w:r>
        <w:r>
          <w:rPr>
            <w:color w:val="231F20"/>
            <w:w w:val="120"/>
          </w:rPr>
          <w:t>combiné</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personnalité</w:t>
        </w:r>
        <w:r>
          <w:rPr>
            <w:color w:val="231F20"/>
            <w:spacing w:val="27"/>
            <w:w w:val="120"/>
          </w:rPr>
          <w:t> </w:t>
        </w:r>
        <w:r>
          <w:rPr>
            <w:color w:val="231F20"/>
            <w:spacing w:val="-2"/>
            <w:w w:val="115"/>
          </w:rPr>
          <w:t>..............................</w:t>
        </w:r>
        <w:r>
          <w:rPr>
            <w:color w:val="231F20"/>
          </w:rPr>
          <w:tab/>
        </w:r>
        <w:r>
          <w:rPr>
            <w:color w:val="231F20"/>
            <w:spacing w:val="-5"/>
            <w:w w:val="120"/>
          </w:rPr>
          <w:t>97</w:t>
        </w:r>
      </w:hyperlink>
    </w:p>
    <w:p>
      <w:pPr>
        <w:pStyle w:val="BodyText"/>
        <w:tabs>
          <w:tab w:pos="1679" w:val="left" w:leader="none"/>
          <w:tab w:pos="6928" w:val="right" w:leader="none"/>
        </w:tabs>
        <w:spacing w:before="134"/>
        <w:ind w:left="1180"/>
      </w:pPr>
      <w:hyperlink w:history="true" w:anchor="_bookmark49">
        <w:r>
          <w:rPr>
            <w:rFonts w:ascii="Arial"/>
            <w:color w:val="231F20"/>
            <w:w w:val="85"/>
          </w:rPr>
          <w:t>3.7</w:t>
        </w:r>
        <w:r>
          <w:rPr>
            <w:rFonts w:ascii="Arial"/>
            <w:color w:val="231F20"/>
            <w:spacing w:val="-5"/>
            <w:w w:val="85"/>
          </w:rPr>
          <w:t> </w:t>
        </w:r>
        <w:r>
          <w:rPr>
            <w:rFonts w:ascii="Arial"/>
            <w:i/>
            <w:color w:val="231F20"/>
            <w:spacing w:val="-10"/>
            <w:w w:val="115"/>
          </w:rPr>
          <w:t>/</w:t>
        </w:r>
        <w:r>
          <w:rPr>
            <w:rFonts w:ascii="Arial"/>
            <w:i/>
            <w:color w:val="231F20"/>
          </w:rPr>
          <w:tab/>
        </w:r>
        <w:r>
          <w:rPr>
            <w:color w:val="231F20"/>
            <w:w w:val="115"/>
          </w:rPr>
          <w:t>Liens</w:t>
        </w:r>
        <w:r>
          <w:rPr>
            <w:color w:val="231F20"/>
            <w:spacing w:val="2"/>
            <w:w w:val="115"/>
          </w:rPr>
          <w:t> </w:t>
        </w:r>
        <w:r>
          <w:rPr>
            <w:color w:val="231F20"/>
            <w:w w:val="115"/>
          </w:rPr>
          <w:t>entre</w:t>
        </w:r>
        <w:r>
          <w:rPr>
            <w:color w:val="231F20"/>
            <w:spacing w:val="2"/>
            <w:w w:val="115"/>
          </w:rPr>
          <w:t> </w:t>
        </w:r>
        <w:r>
          <w:rPr>
            <w:color w:val="231F20"/>
            <w:w w:val="115"/>
          </w:rPr>
          <w:t>le</w:t>
        </w:r>
        <w:r>
          <w:rPr>
            <w:color w:val="231F20"/>
            <w:spacing w:val="2"/>
            <w:w w:val="115"/>
          </w:rPr>
          <w:t> </w:t>
        </w:r>
        <w:r>
          <w:rPr>
            <w:color w:val="231F20"/>
            <w:w w:val="115"/>
          </w:rPr>
          <w:t>stress</w:t>
        </w:r>
        <w:r>
          <w:rPr>
            <w:color w:val="231F20"/>
            <w:spacing w:val="2"/>
            <w:w w:val="115"/>
          </w:rPr>
          <w:t> </w:t>
        </w:r>
        <w:r>
          <w:rPr>
            <w:color w:val="231F20"/>
            <w:w w:val="115"/>
          </w:rPr>
          <w:t>et</w:t>
        </w:r>
        <w:r>
          <w:rPr>
            <w:color w:val="231F20"/>
            <w:spacing w:val="3"/>
            <w:w w:val="115"/>
          </w:rPr>
          <w:t> </w:t>
        </w:r>
        <w:r>
          <w:rPr>
            <w:color w:val="231F20"/>
            <w:w w:val="115"/>
          </w:rPr>
          <w:t>diverses</w:t>
        </w:r>
        <w:r>
          <w:rPr>
            <w:color w:val="231F20"/>
            <w:spacing w:val="2"/>
            <w:w w:val="115"/>
          </w:rPr>
          <w:t> </w:t>
        </w:r>
        <w:r>
          <w:rPr>
            <w:color w:val="231F20"/>
            <w:w w:val="115"/>
          </w:rPr>
          <w:t>maladies</w:t>
        </w:r>
        <w:r>
          <w:rPr>
            <w:color w:val="231F20"/>
            <w:spacing w:val="38"/>
            <w:w w:val="115"/>
          </w:rPr>
          <w:t>  </w:t>
        </w:r>
        <w:r>
          <w:rPr>
            <w:color w:val="231F20"/>
            <w:spacing w:val="-2"/>
            <w:w w:val="115"/>
          </w:rPr>
          <w:t>.....................</w:t>
        </w:r>
        <w:r>
          <w:rPr>
            <w:color w:val="231F20"/>
          </w:rPr>
          <w:tab/>
        </w:r>
        <w:r>
          <w:rPr>
            <w:color w:val="231F20"/>
            <w:spacing w:val="-5"/>
            <w:w w:val="115"/>
          </w:rPr>
          <w:t>107</w:t>
        </w:r>
      </w:hyperlink>
    </w:p>
    <w:p>
      <w:pPr>
        <w:spacing w:after="0"/>
        <w:sectPr>
          <w:footerReference w:type="default" r:id="rId16"/>
          <w:pgSz w:w="8640" w:h="12960"/>
          <w:pgMar w:footer="0" w:header="0" w:top="1220" w:bottom="28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after="1"/>
        <w:rPr>
          <w:rFonts w:ascii="Arial"/>
          <w:sz w:val="26"/>
        </w:rPr>
      </w:pPr>
    </w:p>
    <w:tbl>
      <w:tblPr>
        <w:tblW w:w="0" w:type="auto"/>
        <w:jc w:val="left"/>
        <w:tblInd w:w="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5"/>
        <w:gridCol w:w="4783"/>
        <w:gridCol w:w="609"/>
      </w:tblGrid>
      <w:tr>
        <w:trPr>
          <w:trHeight w:val="290" w:hRule="atLeast"/>
        </w:trPr>
        <w:tc>
          <w:tcPr>
            <w:tcW w:w="455" w:type="dxa"/>
          </w:tcPr>
          <w:p>
            <w:pPr>
              <w:pStyle w:val="TableParagraph"/>
              <w:spacing w:before="43"/>
              <w:ind w:left="50"/>
              <w:rPr>
                <w:i/>
                <w:sz w:val="17"/>
              </w:rPr>
            </w:pPr>
            <w:hyperlink w:history="true" w:anchor="_bookmark53">
              <w:r>
                <w:rPr>
                  <w:color w:val="231F20"/>
                  <w:w w:val="90"/>
                  <w:sz w:val="17"/>
                </w:rPr>
                <w:t>3.8</w:t>
              </w:r>
              <w:r>
                <w:rPr>
                  <w:color w:val="231F20"/>
                  <w:spacing w:val="-2"/>
                  <w:w w:val="90"/>
                  <w:sz w:val="17"/>
                </w:rPr>
                <w:t> </w:t>
              </w:r>
              <w:r>
                <w:rPr>
                  <w:i/>
                  <w:color w:val="231F20"/>
                  <w:spacing w:val="-10"/>
                  <w:w w:val="95"/>
                  <w:sz w:val="17"/>
                </w:rPr>
                <w:t>/</w:t>
              </w:r>
            </w:hyperlink>
          </w:p>
        </w:tc>
        <w:tc>
          <w:tcPr>
            <w:tcW w:w="4783" w:type="dxa"/>
          </w:tcPr>
          <w:p>
            <w:pPr>
              <w:pStyle w:val="TableParagraph"/>
              <w:spacing w:before="44"/>
              <w:ind w:left="95"/>
              <w:rPr>
                <w:rFonts w:ascii="Times New Roman" w:hAnsi="Times New Roman"/>
                <w:sz w:val="17"/>
              </w:rPr>
            </w:pPr>
            <w:hyperlink w:history="true" w:anchor="_bookmark53">
              <w:r>
                <w:rPr>
                  <w:rFonts w:ascii="Times New Roman" w:hAnsi="Times New Roman"/>
                  <w:color w:val="231F20"/>
                  <w:w w:val="120"/>
                  <w:sz w:val="17"/>
                </w:rPr>
                <w:t>Modèle</w:t>
              </w:r>
              <w:r>
                <w:rPr>
                  <w:rFonts w:ascii="Times New Roman" w:hAnsi="Times New Roman"/>
                  <w:color w:val="231F20"/>
                  <w:spacing w:val="-13"/>
                  <w:w w:val="120"/>
                  <w:sz w:val="17"/>
                </w:rPr>
                <w:t> </w:t>
              </w:r>
              <w:r>
                <w:rPr>
                  <w:rFonts w:ascii="Times New Roman" w:hAnsi="Times New Roman"/>
                  <w:color w:val="231F20"/>
                  <w:w w:val="120"/>
                  <w:sz w:val="17"/>
                </w:rPr>
                <w:t>synthèse</w:t>
              </w:r>
              <w:r>
                <w:rPr>
                  <w:rFonts w:ascii="Times New Roman" w:hAnsi="Times New Roman"/>
                  <w:color w:val="231F20"/>
                  <w:spacing w:val="-12"/>
                  <w:w w:val="120"/>
                  <w:sz w:val="17"/>
                </w:rPr>
                <w:t> </w:t>
              </w:r>
              <w:r>
                <w:rPr>
                  <w:rFonts w:ascii="Times New Roman" w:hAnsi="Times New Roman"/>
                  <w:color w:val="231F20"/>
                  <w:w w:val="120"/>
                  <w:sz w:val="17"/>
                </w:rPr>
                <w:t>du</w:t>
              </w:r>
              <w:r>
                <w:rPr>
                  <w:rFonts w:ascii="Times New Roman" w:hAnsi="Times New Roman"/>
                  <w:color w:val="231F20"/>
                  <w:spacing w:val="-12"/>
                  <w:w w:val="120"/>
                  <w:sz w:val="17"/>
                </w:rPr>
                <w:t> </w:t>
              </w:r>
              <w:r>
                <w:rPr>
                  <w:rFonts w:ascii="Times New Roman" w:hAnsi="Times New Roman"/>
                  <w:color w:val="231F20"/>
                  <w:w w:val="120"/>
                  <w:sz w:val="17"/>
                </w:rPr>
                <w:t>stress</w:t>
              </w:r>
              <w:r>
                <w:rPr>
                  <w:rFonts w:ascii="Times New Roman" w:hAnsi="Times New Roman"/>
                  <w:color w:val="231F20"/>
                  <w:spacing w:val="-13"/>
                  <w:w w:val="120"/>
                  <w:sz w:val="17"/>
                </w:rPr>
                <w:t> </w:t>
              </w:r>
              <w:r>
                <w:rPr>
                  <w:rFonts w:ascii="Times New Roman" w:hAnsi="Times New Roman"/>
                  <w:color w:val="231F20"/>
                  <w:w w:val="120"/>
                  <w:sz w:val="17"/>
                </w:rPr>
                <w:t>au</w:t>
              </w:r>
              <w:r>
                <w:rPr>
                  <w:rFonts w:ascii="Times New Roman" w:hAnsi="Times New Roman"/>
                  <w:color w:val="231F20"/>
                  <w:spacing w:val="-12"/>
                  <w:w w:val="120"/>
                  <w:sz w:val="17"/>
                </w:rPr>
                <w:t> </w:t>
              </w:r>
              <w:r>
                <w:rPr>
                  <w:rFonts w:ascii="Times New Roman" w:hAnsi="Times New Roman"/>
                  <w:color w:val="231F20"/>
                  <w:w w:val="120"/>
                  <w:sz w:val="17"/>
                </w:rPr>
                <w:t>travail</w:t>
              </w:r>
              <w:r>
                <w:rPr>
                  <w:rFonts w:ascii="Times New Roman" w:hAnsi="Times New Roman"/>
                  <w:color w:val="231F20"/>
                  <w:spacing w:val="59"/>
                  <w:w w:val="120"/>
                  <w:sz w:val="17"/>
                </w:rPr>
                <w:t> </w:t>
              </w:r>
              <w:r>
                <w:rPr>
                  <w:rFonts w:ascii="Times New Roman" w:hAnsi="Times New Roman"/>
                  <w:color w:val="231F20"/>
                  <w:spacing w:val="-2"/>
                  <w:w w:val="120"/>
                  <w:sz w:val="17"/>
                </w:rPr>
                <w:t>............................</w:t>
              </w:r>
            </w:hyperlink>
          </w:p>
        </w:tc>
        <w:tc>
          <w:tcPr>
            <w:tcW w:w="609" w:type="dxa"/>
          </w:tcPr>
          <w:p>
            <w:pPr>
              <w:pStyle w:val="TableParagraph"/>
              <w:spacing w:before="44"/>
              <w:ind w:right="46"/>
              <w:jc w:val="right"/>
              <w:rPr>
                <w:rFonts w:ascii="Times New Roman"/>
                <w:sz w:val="17"/>
              </w:rPr>
            </w:pPr>
            <w:hyperlink w:history="true" w:anchor="_bookmark53">
              <w:r>
                <w:rPr>
                  <w:rFonts w:ascii="Times New Roman"/>
                  <w:color w:val="231F20"/>
                  <w:spacing w:val="-5"/>
                  <w:w w:val="130"/>
                  <w:sz w:val="17"/>
                </w:rPr>
                <w:t>117</w:t>
              </w:r>
            </w:hyperlink>
          </w:p>
        </w:tc>
      </w:tr>
      <w:tr>
        <w:trPr>
          <w:trHeight w:val="329" w:hRule="atLeast"/>
        </w:trPr>
        <w:tc>
          <w:tcPr>
            <w:tcW w:w="455" w:type="dxa"/>
          </w:tcPr>
          <w:p>
            <w:pPr>
              <w:pStyle w:val="TableParagraph"/>
              <w:spacing w:before="83"/>
              <w:ind w:left="50"/>
              <w:rPr>
                <w:i/>
                <w:sz w:val="17"/>
              </w:rPr>
            </w:pPr>
            <w:hyperlink w:history="true" w:anchor="_bookmark60">
              <w:r>
                <w:rPr>
                  <w:color w:val="231F20"/>
                  <w:w w:val="85"/>
                  <w:sz w:val="17"/>
                </w:rPr>
                <w:t>4.1</w:t>
              </w:r>
              <w:r>
                <w:rPr>
                  <w:color w:val="231F20"/>
                  <w:spacing w:val="-9"/>
                  <w:w w:val="85"/>
                  <w:sz w:val="17"/>
                </w:rPr>
                <w:t> </w:t>
              </w:r>
              <w:r>
                <w:rPr>
                  <w:i/>
                  <w:color w:val="231F20"/>
                  <w:spacing w:val="-10"/>
                  <w:w w:val="95"/>
                  <w:sz w:val="17"/>
                </w:rPr>
                <w:t>/</w:t>
              </w:r>
            </w:hyperlink>
          </w:p>
        </w:tc>
        <w:tc>
          <w:tcPr>
            <w:tcW w:w="4783" w:type="dxa"/>
          </w:tcPr>
          <w:p>
            <w:pPr>
              <w:pStyle w:val="TableParagraph"/>
              <w:spacing w:before="84"/>
              <w:ind w:left="95"/>
              <w:rPr>
                <w:rFonts w:ascii="Times New Roman" w:hAnsi="Times New Roman"/>
                <w:sz w:val="17"/>
              </w:rPr>
            </w:pPr>
            <w:hyperlink w:history="true" w:anchor="_bookmark60">
              <w:r>
                <w:rPr>
                  <w:rFonts w:ascii="Times New Roman" w:hAnsi="Times New Roman"/>
                  <w:color w:val="231F20"/>
                  <w:w w:val="120"/>
                  <w:sz w:val="17"/>
                </w:rPr>
                <w:t>Tenants</w:t>
              </w:r>
              <w:r>
                <w:rPr>
                  <w:rFonts w:ascii="Times New Roman" w:hAnsi="Times New Roman"/>
                  <w:color w:val="231F20"/>
                  <w:spacing w:val="-13"/>
                  <w:w w:val="120"/>
                  <w:sz w:val="17"/>
                </w:rPr>
                <w:t> </w:t>
              </w:r>
              <w:r>
                <w:rPr>
                  <w:rFonts w:ascii="Times New Roman" w:hAnsi="Times New Roman"/>
                  <w:color w:val="231F20"/>
                  <w:w w:val="120"/>
                  <w:sz w:val="17"/>
                </w:rPr>
                <w:t>et</w:t>
              </w:r>
              <w:r>
                <w:rPr>
                  <w:rFonts w:ascii="Times New Roman" w:hAnsi="Times New Roman"/>
                  <w:color w:val="231F20"/>
                  <w:spacing w:val="-13"/>
                  <w:w w:val="120"/>
                  <w:sz w:val="17"/>
                </w:rPr>
                <w:t> </w:t>
              </w:r>
              <w:r>
                <w:rPr>
                  <w:rFonts w:ascii="Times New Roman" w:hAnsi="Times New Roman"/>
                  <w:color w:val="231F20"/>
                  <w:w w:val="120"/>
                  <w:sz w:val="17"/>
                </w:rPr>
                <w:t>aboutissants</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2"/>
                  <w:w w:val="120"/>
                  <w:sz w:val="17"/>
                </w:rPr>
                <w:t> </w:t>
              </w:r>
              <w:r>
                <w:rPr>
                  <w:rFonts w:ascii="Times New Roman" w:hAnsi="Times New Roman"/>
                  <w:color w:val="231F20"/>
                  <w:w w:val="120"/>
                  <w:sz w:val="17"/>
                </w:rPr>
                <w:t>l’estime</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3"/>
                  <w:w w:val="120"/>
                  <w:sz w:val="17"/>
                </w:rPr>
                <w:t> </w:t>
              </w:r>
              <w:r>
                <w:rPr>
                  <w:rFonts w:ascii="Times New Roman" w:hAnsi="Times New Roman"/>
                  <w:color w:val="231F20"/>
                  <w:w w:val="120"/>
                  <w:sz w:val="17"/>
                </w:rPr>
                <w:t>soi</w:t>
              </w:r>
              <w:r>
                <w:rPr>
                  <w:rFonts w:ascii="Times New Roman" w:hAnsi="Times New Roman"/>
                  <w:color w:val="231F20"/>
                  <w:spacing w:val="55"/>
                  <w:w w:val="120"/>
                  <w:sz w:val="17"/>
                </w:rPr>
                <w:t> </w:t>
              </w:r>
              <w:r>
                <w:rPr>
                  <w:rFonts w:ascii="Times New Roman" w:hAnsi="Times New Roman"/>
                  <w:color w:val="231F20"/>
                  <w:spacing w:val="-2"/>
                  <w:w w:val="120"/>
                  <w:sz w:val="17"/>
                </w:rPr>
                <w:t>....................</w:t>
              </w:r>
            </w:hyperlink>
          </w:p>
        </w:tc>
        <w:tc>
          <w:tcPr>
            <w:tcW w:w="609" w:type="dxa"/>
          </w:tcPr>
          <w:p>
            <w:pPr>
              <w:pStyle w:val="TableParagraph"/>
              <w:spacing w:before="84"/>
              <w:ind w:right="46"/>
              <w:jc w:val="right"/>
              <w:rPr>
                <w:rFonts w:ascii="Times New Roman"/>
                <w:sz w:val="17"/>
              </w:rPr>
            </w:pPr>
            <w:hyperlink w:history="true" w:anchor="_bookmark60">
              <w:r>
                <w:rPr>
                  <w:rFonts w:ascii="Times New Roman"/>
                  <w:color w:val="231F20"/>
                  <w:spacing w:val="-5"/>
                  <w:w w:val="130"/>
                  <w:sz w:val="17"/>
                </w:rPr>
                <w:t>136</w:t>
              </w:r>
            </w:hyperlink>
          </w:p>
        </w:tc>
      </w:tr>
      <w:tr>
        <w:trPr>
          <w:trHeight w:val="329" w:hRule="atLeast"/>
        </w:trPr>
        <w:tc>
          <w:tcPr>
            <w:tcW w:w="455" w:type="dxa"/>
          </w:tcPr>
          <w:p>
            <w:pPr>
              <w:pStyle w:val="TableParagraph"/>
              <w:spacing w:before="83"/>
              <w:ind w:left="50"/>
              <w:rPr>
                <w:i/>
                <w:sz w:val="17"/>
              </w:rPr>
            </w:pPr>
            <w:hyperlink w:history="true" w:anchor="_bookmark63">
              <w:r>
                <w:rPr>
                  <w:color w:val="231F20"/>
                  <w:w w:val="90"/>
                  <w:sz w:val="17"/>
                </w:rPr>
                <w:t>4.2</w:t>
              </w:r>
              <w:r>
                <w:rPr>
                  <w:color w:val="231F20"/>
                  <w:spacing w:val="-5"/>
                  <w:w w:val="90"/>
                  <w:sz w:val="17"/>
                </w:rPr>
                <w:t> </w:t>
              </w:r>
              <w:r>
                <w:rPr>
                  <w:i/>
                  <w:color w:val="231F20"/>
                  <w:spacing w:val="-10"/>
                  <w:w w:val="95"/>
                  <w:sz w:val="17"/>
                </w:rPr>
                <w:t>/</w:t>
              </w:r>
            </w:hyperlink>
          </w:p>
        </w:tc>
        <w:tc>
          <w:tcPr>
            <w:tcW w:w="4783" w:type="dxa"/>
          </w:tcPr>
          <w:p>
            <w:pPr>
              <w:pStyle w:val="TableParagraph"/>
              <w:spacing w:before="84"/>
              <w:ind w:left="95"/>
              <w:rPr>
                <w:rFonts w:ascii="Times New Roman" w:hAnsi="Times New Roman"/>
                <w:sz w:val="17"/>
              </w:rPr>
            </w:pPr>
            <w:hyperlink w:history="true" w:anchor="_bookmark63">
              <w:r>
                <w:rPr>
                  <w:rFonts w:ascii="Times New Roman" w:hAnsi="Times New Roman"/>
                  <w:color w:val="231F20"/>
                  <w:w w:val="120"/>
                  <w:sz w:val="17"/>
                </w:rPr>
                <w:t>Interrelation</w:t>
              </w:r>
              <w:r>
                <w:rPr>
                  <w:rFonts w:ascii="Times New Roman" w:hAnsi="Times New Roman"/>
                  <w:color w:val="231F20"/>
                  <w:spacing w:val="-13"/>
                  <w:w w:val="120"/>
                  <w:sz w:val="17"/>
                </w:rPr>
                <w:t> </w:t>
              </w:r>
              <w:r>
                <w:rPr>
                  <w:rFonts w:ascii="Times New Roman" w:hAnsi="Times New Roman"/>
                  <w:color w:val="231F20"/>
                  <w:w w:val="120"/>
                  <w:sz w:val="17"/>
                </w:rPr>
                <w:t>entre</w:t>
              </w:r>
              <w:r>
                <w:rPr>
                  <w:rFonts w:ascii="Times New Roman" w:hAnsi="Times New Roman"/>
                  <w:color w:val="231F20"/>
                  <w:spacing w:val="-13"/>
                  <w:w w:val="120"/>
                  <w:sz w:val="17"/>
                </w:rPr>
                <w:t> </w:t>
              </w:r>
              <w:r>
                <w:rPr>
                  <w:rFonts w:ascii="Times New Roman" w:hAnsi="Times New Roman"/>
                  <w:color w:val="231F20"/>
                  <w:w w:val="120"/>
                  <w:sz w:val="17"/>
                </w:rPr>
                <w:t>l’estime</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2"/>
                  <w:w w:val="120"/>
                  <w:sz w:val="17"/>
                </w:rPr>
                <w:t> </w:t>
              </w:r>
              <w:r>
                <w:rPr>
                  <w:rFonts w:ascii="Times New Roman" w:hAnsi="Times New Roman"/>
                  <w:color w:val="231F20"/>
                  <w:w w:val="120"/>
                  <w:sz w:val="17"/>
                </w:rPr>
                <w:t>soi</w:t>
              </w:r>
              <w:r>
                <w:rPr>
                  <w:rFonts w:ascii="Times New Roman" w:hAnsi="Times New Roman"/>
                  <w:color w:val="231F20"/>
                  <w:spacing w:val="-13"/>
                  <w:w w:val="120"/>
                  <w:sz w:val="17"/>
                </w:rPr>
                <w:t> </w:t>
              </w:r>
              <w:r>
                <w:rPr>
                  <w:rFonts w:ascii="Times New Roman" w:hAnsi="Times New Roman"/>
                  <w:color w:val="231F20"/>
                  <w:w w:val="120"/>
                  <w:sz w:val="17"/>
                </w:rPr>
                <w:t>et</w:t>
              </w:r>
              <w:r>
                <w:rPr>
                  <w:rFonts w:ascii="Times New Roman" w:hAnsi="Times New Roman"/>
                  <w:color w:val="231F20"/>
                  <w:spacing w:val="-13"/>
                  <w:w w:val="120"/>
                  <w:sz w:val="17"/>
                </w:rPr>
                <w:t> </w:t>
              </w:r>
              <w:r>
                <w:rPr>
                  <w:rFonts w:ascii="Times New Roman" w:hAnsi="Times New Roman"/>
                  <w:color w:val="231F20"/>
                  <w:w w:val="120"/>
                  <w:sz w:val="17"/>
                </w:rPr>
                <w:t>le</w:t>
              </w:r>
              <w:r>
                <w:rPr>
                  <w:rFonts w:ascii="Times New Roman" w:hAnsi="Times New Roman"/>
                  <w:color w:val="231F20"/>
                  <w:spacing w:val="-13"/>
                  <w:w w:val="120"/>
                  <w:sz w:val="17"/>
                </w:rPr>
                <w:t> </w:t>
              </w:r>
              <w:r>
                <w:rPr>
                  <w:rFonts w:ascii="Times New Roman" w:hAnsi="Times New Roman"/>
                  <w:color w:val="231F20"/>
                  <w:w w:val="120"/>
                  <w:sz w:val="17"/>
                </w:rPr>
                <w:t>stress</w:t>
              </w:r>
              <w:r>
                <w:rPr>
                  <w:rFonts w:ascii="Times New Roman" w:hAnsi="Times New Roman"/>
                  <w:color w:val="231F20"/>
                  <w:spacing w:val="41"/>
                  <w:w w:val="120"/>
                  <w:sz w:val="17"/>
                </w:rPr>
                <w:t> </w:t>
              </w:r>
              <w:r>
                <w:rPr>
                  <w:rFonts w:ascii="Times New Roman" w:hAnsi="Times New Roman"/>
                  <w:color w:val="231F20"/>
                  <w:spacing w:val="-2"/>
                  <w:w w:val="120"/>
                  <w:sz w:val="17"/>
                </w:rPr>
                <w:t>................</w:t>
              </w:r>
            </w:hyperlink>
          </w:p>
        </w:tc>
        <w:tc>
          <w:tcPr>
            <w:tcW w:w="609" w:type="dxa"/>
          </w:tcPr>
          <w:p>
            <w:pPr>
              <w:pStyle w:val="TableParagraph"/>
              <w:spacing w:before="84"/>
              <w:ind w:right="46"/>
              <w:jc w:val="right"/>
              <w:rPr>
                <w:rFonts w:ascii="Times New Roman"/>
                <w:sz w:val="17"/>
              </w:rPr>
            </w:pPr>
            <w:hyperlink w:history="true" w:anchor="_bookmark63">
              <w:r>
                <w:rPr>
                  <w:rFonts w:ascii="Times New Roman"/>
                  <w:color w:val="231F20"/>
                  <w:spacing w:val="-5"/>
                  <w:w w:val="130"/>
                  <w:sz w:val="17"/>
                </w:rPr>
                <w:t>140</w:t>
              </w:r>
            </w:hyperlink>
          </w:p>
        </w:tc>
      </w:tr>
      <w:tr>
        <w:trPr>
          <w:trHeight w:val="329" w:hRule="atLeast"/>
        </w:trPr>
        <w:tc>
          <w:tcPr>
            <w:tcW w:w="455" w:type="dxa"/>
          </w:tcPr>
          <w:p>
            <w:pPr>
              <w:pStyle w:val="TableParagraph"/>
              <w:spacing w:before="83"/>
              <w:ind w:left="50"/>
              <w:rPr>
                <w:i/>
                <w:sz w:val="17"/>
              </w:rPr>
            </w:pPr>
            <w:hyperlink w:history="true" w:anchor="_bookmark64">
              <w:r>
                <w:rPr>
                  <w:color w:val="231F20"/>
                  <w:w w:val="90"/>
                  <w:sz w:val="17"/>
                </w:rPr>
                <w:t>4.3</w:t>
              </w:r>
              <w:r>
                <w:rPr>
                  <w:color w:val="231F20"/>
                  <w:spacing w:val="-5"/>
                  <w:w w:val="90"/>
                  <w:sz w:val="17"/>
                </w:rPr>
                <w:t> </w:t>
              </w:r>
              <w:r>
                <w:rPr>
                  <w:i/>
                  <w:color w:val="231F20"/>
                  <w:spacing w:val="-10"/>
                  <w:w w:val="95"/>
                  <w:sz w:val="17"/>
                </w:rPr>
                <w:t>/</w:t>
              </w:r>
            </w:hyperlink>
          </w:p>
        </w:tc>
        <w:tc>
          <w:tcPr>
            <w:tcW w:w="4783" w:type="dxa"/>
          </w:tcPr>
          <w:p>
            <w:pPr>
              <w:pStyle w:val="TableParagraph"/>
              <w:spacing w:before="84"/>
              <w:ind w:left="95"/>
              <w:rPr>
                <w:rFonts w:ascii="Times New Roman"/>
                <w:sz w:val="17"/>
              </w:rPr>
            </w:pPr>
            <w:hyperlink w:history="true" w:anchor="_bookmark64">
              <w:r>
                <w:rPr>
                  <w:rFonts w:ascii="Times New Roman"/>
                  <w:color w:val="231F20"/>
                  <w:w w:val="110"/>
                  <w:sz w:val="17"/>
                </w:rPr>
                <w:t>Formule</w:t>
              </w:r>
              <w:r>
                <w:rPr>
                  <w:rFonts w:ascii="Times New Roman"/>
                  <w:color w:val="231F20"/>
                  <w:spacing w:val="32"/>
                  <w:w w:val="110"/>
                  <w:sz w:val="17"/>
                </w:rPr>
                <w:t> </w:t>
              </w:r>
              <w:r>
                <w:rPr>
                  <w:rFonts w:ascii="Times New Roman"/>
                  <w:color w:val="231F20"/>
                  <w:w w:val="110"/>
                  <w:sz w:val="17"/>
                </w:rPr>
                <w:t>CRASH</w:t>
              </w:r>
              <w:r>
                <w:rPr>
                  <w:rFonts w:ascii="Times New Roman"/>
                  <w:color w:val="231F20"/>
                  <w:spacing w:val="68"/>
                  <w:w w:val="150"/>
                  <w:sz w:val="17"/>
                </w:rPr>
                <w:t>  </w:t>
              </w:r>
              <w:r>
                <w:rPr>
                  <w:rFonts w:ascii="Times New Roman"/>
                  <w:color w:val="231F20"/>
                  <w:spacing w:val="-2"/>
                  <w:w w:val="110"/>
                  <w:sz w:val="17"/>
                </w:rPr>
                <w:t>...........................................................</w:t>
              </w:r>
            </w:hyperlink>
          </w:p>
        </w:tc>
        <w:tc>
          <w:tcPr>
            <w:tcW w:w="609" w:type="dxa"/>
          </w:tcPr>
          <w:p>
            <w:pPr>
              <w:pStyle w:val="TableParagraph"/>
              <w:spacing w:before="84"/>
              <w:ind w:right="46"/>
              <w:jc w:val="right"/>
              <w:rPr>
                <w:rFonts w:ascii="Times New Roman"/>
                <w:sz w:val="17"/>
              </w:rPr>
            </w:pPr>
            <w:hyperlink w:history="true" w:anchor="_bookmark64">
              <w:r>
                <w:rPr>
                  <w:rFonts w:ascii="Times New Roman"/>
                  <w:color w:val="231F20"/>
                  <w:spacing w:val="-5"/>
                  <w:w w:val="130"/>
                  <w:sz w:val="17"/>
                </w:rPr>
                <w:t>142</w:t>
              </w:r>
            </w:hyperlink>
          </w:p>
        </w:tc>
      </w:tr>
      <w:tr>
        <w:trPr>
          <w:trHeight w:val="329" w:hRule="atLeast"/>
        </w:trPr>
        <w:tc>
          <w:tcPr>
            <w:tcW w:w="455" w:type="dxa"/>
          </w:tcPr>
          <w:p>
            <w:pPr>
              <w:pStyle w:val="TableParagraph"/>
              <w:spacing w:before="83"/>
              <w:ind w:left="50"/>
              <w:rPr>
                <w:i/>
                <w:sz w:val="17"/>
              </w:rPr>
            </w:pPr>
            <w:hyperlink w:history="true" w:anchor="_bookmark66">
              <w:r>
                <w:rPr>
                  <w:color w:val="231F20"/>
                  <w:w w:val="95"/>
                  <w:sz w:val="17"/>
                </w:rPr>
                <w:t>4.4</w:t>
              </w:r>
              <w:r>
                <w:rPr>
                  <w:color w:val="231F20"/>
                  <w:spacing w:val="-9"/>
                  <w:w w:val="95"/>
                  <w:sz w:val="17"/>
                </w:rPr>
                <w:t> </w:t>
              </w:r>
              <w:r>
                <w:rPr>
                  <w:i/>
                  <w:color w:val="231F20"/>
                  <w:spacing w:val="-10"/>
                  <w:w w:val="95"/>
                  <w:sz w:val="17"/>
                </w:rPr>
                <w:t>/</w:t>
              </w:r>
            </w:hyperlink>
          </w:p>
        </w:tc>
        <w:tc>
          <w:tcPr>
            <w:tcW w:w="4783" w:type="dxa"/>
          </w:tcPr>
          <w:p>
            <w:pPr>
              <w:pStyle w:val="TableParagraph"/>
              <w:spacing w:before="84"/>
              <w:ind w:left="95"/>
              <w:rPr>
                <w:rFonts w:ascii="Times New Roman" w:hAnsi="Times New Roman"/>
                <w:sz w:val="17"/>
              </w:rPr>
            </w:pPr>
            <w:hyperlink w:history="true" w:anchor="_bookmark66">
              <w:r>
                <w:rPr>
                  <w:rFonts w:ascii="Times New Roman" w:hAnsi="Times New Roman"/>
                  <w:color w:val="231F20"/>
                  <w:w w:val="115"/>
                  <w:sz w:val="17"/>
                </w:rPr>
                <w:t>Modèle</w:t>
              </w:r>
              <w:r>
                <w:rPr>
                  <w:rFonts w:ascii="Times New Roman" w:hAnsi="Times New Roman"/>
                  <w:color w:val="231F20"/>
                  <w:spacing w:val="-5"/>
                  <w:w w:val="115"/>
                  <w:sz w:val="17"/>
                </w:rPr>
                <w:t> </w:t>
              </w:r>
              <w:r>
                <w:rPr>
                  <w:rFonts w:ascii="Times New Roman" w:hAnsi="Times New Roman"/>
                  <w:color w:val="231F20"/>
                  <w:w w:val="115"/>
                  <w:sz w:val="17"/>
                </w:rPr>
                <w:t>triaxial</w:t>
              </w:r>
              <w:r>
                <w:rPr>
                  <w:rFonts w:ascii="Times New Roman" w:hAnsi="Times New Roman"/>
                  <w:color w:val="231F20"/>
                  <w:spacing w:val="-5"/>
                  <w:w w:val="115"/>
                  <w:sz w:val="17"/>
                </w:rPr>
                <w:t> </w:t>
              </w:r>
              <w:r>
                <w:rPr>
                  <w:rFonts w:ascii="Times New Roman" w:hAnsi="Times New Roman"/>
                  <w:color w:val="231F20"/>
                  <w:w w:val="115"/>
                  <w:sz w:val="17"/>
                </w:rPr>
                <w:t>de</w:t>
              </w:r>
              <w:r>
                <w:rPr>
                  <w:rFonts w:ascii="Times New Roman" w:hAnsi="Times New Roman"/>
                  <w:color w:val="231F20"/>
                  <w:spacing w:val="-5"/>
                  <w:w w:val="115"/>
                  <w:sz w:val="17"/>
                </w:rPr>
                <w:t> </w:t>
              </w:r>
              <w:r>
                <w:rPr>
                  <w:rFonts w:ascii="Times New Roman" w:hAnsi="Times New Roman"/>
                  <w:color w:val="231F20"/>
                  <w:w w:val="115"/>
                  <w:sz w:val="17"/>
                </w:rPr>
                <w:t>l’estime</w:t>
              </w:r>
              <w:r>
                <w:rPr>
                  <w:rFonts w:ascii="Times New Roman" w:hAnsi="Times New Roman"/>
                  <w:color w:val="231F20"/>
                  <w:spacing w:val="-4"/>
                  <w:w w:val="115"/>
                  <w:sz w:val="17"/>
                </w:rPr>
                <w:t> </w:t>
              </w:r>
              <w:r>
                <w:rPr>
                  <w:rFonts w:ascii="Times New Roman" w:hAnsi="Times New Roman"/>
                  <w:color w:val="231F20"/>
                  <w:w w:val="115"/>
                  <w:sz w:val="17"/>
                </w:rPr>
                <w:t>de</w:t>
              </w:r>
              <w:r>
                <w:rPr>
                  <w:rFonts w:ascii="Times New Roman" w:hAnsi="Times New Roman"/>
                  <w:color w:val="231F20"/>
                  <w:spacing w:val="-5"/>
                  <w:w w:val="115"/>
                  <w:sz w:val="17"/>
                </w:rPr>
                <w:t> </w:t>
              </w:r>
              <w:r>
                <w:rPr>
                  <w:rFonts w:ascii="Times New Roman" w:hAnsi="Times New Roman"/>
                  <w:color w:val="231F20"/>
                  <w:w w:val="115"/>
                  <w:sz w:val="17"/>
                </w:rPr>
                <w:t>soi</w:t>
              </w:r>
              <w:r>
                <w:rPr>
                  <w:rFonts w:ascii="Times New Roman" w:hAnsi="Times New Roman"/>
                  <w:color w:val="231F20"/>
                  <w:spacing w:val="44"/>
                  <w:w w:val="115"/>
                  <w:sz w:val="17"/>
                </w:rPr>
                <w:t> </w:t>
              </w:r>
              <w:r>
                <w:rPr>
                  <w:rFonts w:ascii="Times New Roman" w:hAnsi="Times New Roman"/>
                  <w:color w:val="231F20"/>
                  <w:spacing w:val="-2"/>
                  <w:w w:val="115"/>
                  <w:sz w:val="17"/>
                </w:rPr>
                <w:t>..................................</w:t>
              </w:r>
            </w:hyperlink>
          </w:p>
        </w:tc>
        <w:tc>
          <w:tcPr>
            <w:tcW w:w="609" w:type="dxa"/>
          </w:tcPr>
          <w:p>
            <w:pPr>
              <w:pStyle w:val="TableParagraph"/>
              <w:spacing w:before="84"/>
              <w:ind w:right="46"/>
              <w:jc w:val="right"/>
              <w:rPr>
                <w:rFonts w:ascii="Times New Roman"/>
                <w:sz w:val="17"/>
              </w:rPr>
            </w:pPr>
            <w:hyperlink w:history="true" w:anchor="_bookmark66">
              <w:r>
                <w:rPr>
                  <w:rFonts w:ascii="Times New Roman"/>
                  <w:color w:val="231F20"/>
                  <w:spacing w:val="-5"/>
                  <w:w w:val="130"/>
                  <w:sz w:val="17"/>
                </w:rPr>
                <w:t>145</w:t>
              </w:r>
            </w:hyperlink>
          </w:p>
        </w:tc>
      </w:tr>
      <w:tr>
        <w:trPr>
          <w:trHeight w:val="329" w:hRule="atLeast"/>
        </w:trPr>
        <w:tc>
          <w:tcPr>
            <w:tcW w:w="455" w:type="dxa"/>
          </w:tcPr>
          <w:p>
            <w:pPr>
              <w:pStyle w:val="TableParagraph"/>
              <w:spacing w:before="83"/>
              <w:ind w:left="50"/>
              <w:rPr>
                <w:i/>
                <w:sz w:val="17"/>
              </w:rPr>
            </w:pPr>
            <w:hyperlink w:history="true" w:anchor="_bookmark69">
              <w:r>
                <w:rPr>
                  <w:color w:val="231F20"/>
                  <w:w w:val="90"/>
                  <w:sz w:val="17"/>
                </w:rPr>
                <w:t>4.5</w:t>
              </w:r>
              <w:r>
                <w:rPr>
                  <w:color w:val="231F20"/>
                  <w:spacing w:val="-5"/>
                  <w:w w:val="90"/>
                  <w:sz w:val="17"/>
                </w:rPr>
                <w:t> </w:t>
              </w:r>
              <w:r>
                <w:rPr>
                  <w:i/>
                  <w:color w:val="231F20"/>
                  <w:spacing w:val="-10"/>
                  <w:w w:val="95"/>
                  <w:sz w:val="17"/>
                </w:rPr>
                <w:t>/</w:t>
              </w:r>
            </w:hyperlink>
          </w:p>
        </w:tc>
        <w:tc>
          <w:tcPr>
            <w:tcW w:w="4783" w:type="dxa"/>
          </w:tcPr>
          <w:p>
            <w:pPr>
              <w:pStyle w:val="TableParagraph"/>
              <w:spacing w:before="84"/>
              <w:ind w:left="94"/>
              <w:rPr>
                <w:rFonts w:ascii="Times New Roman" w:hAnsi="Times New Roman"/>
                <w:sz w:val="17"/>
              </w:rPr>
            </w:pPr>
            <w:hyperlink w:history="true" w:anchor="_bookmark69">
              <w:r>
                <w:rPr>
                  <w:rFonts w:ascii="Times New Roman" w:hAnsi="Times New Roman"/>
                  <w:color w:val="231F20"/>
                  <w:spacing w:val="-2"/>
                  <w:w w:val="120"/>
                  <w:sz w:val="17"/>
                </w:rPr>
                <w:t>Vision</w:t>
              </w:r>
              <w:r>
                <w:rPr>
                  <w:rFonts w:ascii="Times New Roman" w:hAnsi="Times New Roman"/>
                  <w:color w:val="231F20"/>
                  <w:spacing w:val="-13"/>
                  <w:w w:val="120"/>
                  <w:sz w:val="17"/>
                </w:rPr>
                <w:t> </w:t>
              </w:r>
              <w:r>
                <w:rPr>
                  <w:rFonts w:ascii="Times New Roman" w:hAnsi="Times New Roman"/>
                  <w:color w:val="231F20"/>
                  <w:spacing w:val="-2"/>
                  <w:w w:val="120"/>
                  <w:sz w:val="17"/>
                </w:rPr>
                <w:t>systémique</w:t>
              </w:r>
              <w:r>
                <w:rPr>
                  <w:rFonts w:ascii="Times New Roman" w:hAnsi="Times New Roman"/>
                  <w:color w:val="231F20"/>
                  <w:spacing w:val="-12"/>
                  <w:w w:val="120"/>
                  <w:sz w:val="17"/>
                </w:rPr>
                <w:t> </w:t>
              </w:r>
              <w:r>
                <w:rPr>
                  <w:rFonts w:ascii="Times New Roman" w:hAnsi="Times New Roman"/>
                  <w:color w:val="231F20"/>
                  <w:spacing w:val="-2"/>
                  <w:w w:val="120"/>
                  <w:sz w:val="17"/>
                </w:rPr>
                <w:t>de</w:t>
              </w:r>
              <w:r>
                <w:rPr>
                  <w:rFonts w:ascii="Times New Roman" w:hAnsi="Times New Roman"/>
                  <w:color w:val="231F20"/>
                  <w:spacing w:val="-12"/>
                  <w:w w:val="120"/>
                  <w:sz w:val="17"/>
                </w:rPr>
                <w:t> </w:t>
              </w:r>
              <w:r>
                <w:rPr>
                  <w:rFonts w:ascii="Times New Roman" w:hAnsi="Times New Roman"/>
                  <w:color w:val="231F20"/>
                  <w:spacing w:val="-2"/>
                  <w:w w:val="120"/>
                  <w:sz w:val="17"/>
                </w:rPr>
                <w:t>l’estime</w:t>
              </w:r>
              <w:r>
                <w:rPr>
                  <w:rFonts w:ascii="Times New Roman" w:hAnsi="Times New Roman"/>
                  <w:color w:val="231F20"/>
                  <w:spacing w:val="-13"/>
                  <w:w w:val="120"/>
                  <w:sz w:val="17"/>
                </w:rPr>
                <w:t> </w:t>
              </w:r>
              <w:r>
                <w:rPr>
                  <w:rFonts w:ascii="Times New Roman" w:hAnsi="Times New Roman"/>
                  <w:color w:val="231F20"/>
                  <w:spacing w:val="-2"/>
                  <w:w w:val="120"/>
                  <w:sz w:val="17"/>
                </w:rPr>
                <w:t>de</w:t>
              </w:r>
              <w:r>
                <w:rPr>
                  <w:rFonts w:ascii="Times New Roman" w:hAnsi="Times New Roman"/>
                  <w:color w:val="231F20"/>
                  <w:spacing w:val="-12"/>
                  <w:w w:val="120"/>
                  <w:sz w:val="17"/>
                </w:rPr>
                <w:t> </w:t>
              </w:r>
              <w:r>
                <w:rPr>
                  <w:rFonts w:ascii="Times New Roman" w:hAnsi="Times New Roman"/>
                  <w:color w:val="231F20"/>
                  <w:spacing w:val="-2"/>
                  <w:w w:val="120"/>
                  <w:sz w:val="17"/>
                </w:rPr>
                <w:t>soi</w:t>
              </w:r>
              <w:r>
                <w:rPr>
                  <w:rFonts w:ascii="Times New Roman" w:hAnsi="Times New Roman"/>
                  <w:color w:val="231F20"/>
                  <w:spacing w:val="75"/>
                  <w:w w:val="120"/>
                  <w:sz w:val="17"/>
                </w:rPr>
                <w:t> </w:t>
              </w:r>
              <w:r>
                <w:rPr>
                  <w:rFonts w:ascii="Times New Roman" w:hAnsi="Times New Roman"/>
                  <w:color w:val="231F20"/>
                  <w:spacing w:val="-2"/>
                  <w:w w:val="120"/>
                  <w:sz w:val="17"/>
                </w:rPr>
                <w:t>............................</w:t>
              </w:r>
            </w:hyperlink>
          </w:p>
        </w:tc>
        <w:tc>
          <w:tcPr>
            <w:tcW w:w="609" w:type="dxa"/>
          </w:tcPr>
          <w:p>
            <w:pPr>
              <w:pStyle w:val="TableParagraph"/>
              <w:spacing w:before="84"/>
              <w:ind w:right="46"/>
              <w:jc w:val="right"/>
              <w:rPr>
                <w:rFonts w:ascii="Times New Roman"/>
                <w:sz w:val="17"/>
              </w:rPr>
            </w:pPr>
            <w:hyperlink w:history="true" w:anchor="_bookmark69">
              <w:r>
                <w:rPr>
                  <w:rFonts w:ascii="Times New Roman"/>
                  <w:color w:val="231F20"/>
                  <w:spacing w:val="-5"/>
                  <w:w w:val="130"/>
                  <w:sz w:val="17"/>
                </w:rPr>
                <w:t>156</w:t>
              </w:r>
            </w:hyperlink>
          </w:p>
        </w:tc>
      </w:tr>
      <w:tr>
        <w:trPr>
          <w:trHeight w:val="329" w:hRule="atLeast"/>
        </w:trPr>
        <w:tc>
          <w:tcPr>
            <w:tcW w:w="455" w:type="dxa"/>
          </w:tcPr>
          <w:p>
            <w:pPr>
              <w:pStyle w:val="TableParagraph"/>
              <w:spacing w:before="83"/>
              <w:ind w:left="50"/>
              <w:rPr>
                <w:i/>
                <w:sz w:val="17"/>
              </w:rPr>
            </w:pPr>
            <w:hyperlink w:history="true" w:anchor="_bookmark84">
              <w:r>
                <w:rPr>
                  <w:color w:val="231F20"/>
                  <w:w w:val="80"/>
                  <w:sz w:val="17"/>
                </w:rPr>
                <w:t>5.1</w:t>
              </w:r>
              <w:r>
                <w:rPr>
                  <w:color w:val="231F20"/>
                  <w:spacing w:val="-5"/>
                  <w:w w:val="80"/>
                  <w:sz w:val="17"/>
                </w:rPr>
                <w:t> </w:t>
              </w:r>
              <w:r>
                <w:rPr>
                  <w:i/>
                  <w:color w:val="231F20"/>
                  <w:spacing w:val="-10"/>
                  <w:w w:val="95"/>
                  <w:sz w:val="17"/>
                </w:rPr>
                <w:t>/</w:t>
              </w:r>
            </w:hyperlink>
          </w:p>
        </w:tc>
        <w:tc>
          <w:tcPr>
            <w:tcW w:w="4783" w:type="dxa"/>
          </w:tcPr>
          <w:p>
            <w:pPr>
              <w:pStyle w:val="TableParagraph"/>
              <w:spacing w:before="84"/>
              <w:ind w:left="94"/>
              <w:rPr>
                <w:rFonts w:ascii="Times New Roman"/>
                <w:sz w:val="17"/>
              </w:rPr>
            </w:pPr>
            <w:hyperlink w:history="true" w:anchor="_bookmark84">
              <w:r>
                <w:rPr>
                  <w:rFonts w:ascii="Times New Roman"/>
                  <w:color w:val="231F20"/>
                  <w:w w:val="120"/>
                  <w:sz w:val="17"/>
                </w:rPr>
                <w:t>Stades</w:t>
              </w:r>
              <w:r>
                <w:rPr>
                  <w:rFonts w:ascii="Times New Roman"/>
                  <w:color w:val="231F20"/>
                  <w:spacing w:val="-13"/>
                  <w:w w:val="120"/>
                  <w:sz w:val="17"/>
                </w:rPr>
                <w:t> </w:t>
              </w:r>
              <w:r>
                <w:rPr>
                  <w:rFonts w:ascii="Times New Roman"/>
                  <w:color w:val="231F20"/>
                  <w:w w:val="120"/>
                  <w:sz w:val="17"/>
                </w:rPr>
                <w:t>du</w:t>
              </w:r>
              <w:r>
                <w:rPr>
                  <w:rFonts w:ascii="Times New Roman"/>
                  <w:color w:val="231F20"/>
                  <w:spacing w:val="-13"/>
                  <w:w w:val="120"/>
                  <w:sz w:val="17"/>
                </w:rPr>
                <w:t> </w:t>
              </w:r>
              <w:r>
                <w:rPr>
                  <w:rFonts w:ascii="Times New Roman"/>
                  <w:color w:val="231F20"/>
                  <w:w w:val="120"/>
                  <w:sz w:val="17"/>
                </w:rPr>
                <w:t>processus</w:t>
              </w:r>
              <w:r>
                <w:rPr>
                  <w:rFonts w:ascii="Times New Roman"/>
                  <w:color w:val="231F20"/>
                  <w:spacing w:val="-13"/>
                  <w:w w:val="120"/>
                  <w:sz w:val="17"/>
                </w:rPr>
                <w:t> </w:t>
              </w:r>
              <w:r>
                <w:rPr>
                  <w:rFonts w:ascii="Times New Roman"/>
                  <w:color w:val="231F20"/>
                  <w:w w:val="120"/>
                  <w:sz w:val="17"/>
                </w:rPr>
                <w:t>de</w:t>
              </w:r>
              <w:r>
                <w:rPr>
                  <w:rFonts w:ascii="Times New Roman"/>
                  <w:color w:val="231F20"/>
                  <w:spacing w:val="-12"/>
                  <w:w w:val="120"/>
                  <w:sz w:val="17"/>
                </w:rPr>
                <w:t> </w:t>
              </w:r>
              <w:r>
                <w:rPr>
                  <w:rFonts w:ascii="Times New Roman"/>
                  <w:color w:val="231F20"/>
                  <w:w w:val="120"/>
                  <w:sz w:val="17"/>
                </w:rPr>
                <w:t>diagnostic</w:t>
              </w:r>
              <w:r>
                <w:rPr>
                  <w:rFonts w:ascii="Times New Roman"/>
                  <w:color w:val="231F20"/>
                  <w:spacing w:val="-13"/>
                  <w:w w:val="120"/>
                  <w:sz w:val="17"/>
                </w:rPr>
                <w:t> </w:t>
              </w:r>
              <w:r>
                <w:rPr>
                  <w:rFonts w:ascii="Times New Roman"/>
                  <w:color w:val="231F20"/>
                  <w:w w:val="120"/>
                  <w:sz w:val="17"/>
                </w:rPr>
                <w:t>organisationnel</w:t>
              </w:r>
              <w:r>
                <w:rPr>
                  <w:rFonts w:ascii="Times New Roman"/>
                  <w:color w:val="231F20"/>
                  <w:spacing w:val="62"/>
                  <w:w w:val="120"/>
                  <w:sz w:val="17"/>
                </w:rPr>
                <w:t> </w:t>
              </w:r>
              <w:r>
                <w:rPr>
                  <w:rFonts w:ascii="Times New Roman"/>
                  <w:color w:val="231F20"/>
                  <w:spacing w:val="-2"/>
                  <w:w w:val="120"/>
                  <w:sz w:val="17"/>
                </w:rPr>
                <w:t>......</w:t>
              </w:r>
            </w:hyperlink>
          </w:p>
        </w:tc>
        <w:tc>
          <w:tcPr>
            <w:tcW w:w="609" w:type="dxa"/>
          </w:tcPr>
          <w:p>
            <w:pPr>
              <w:pStyle w:val="TableParagraph"/>
              <w:spacing w:before="84"/>
              <w:ind w:right="46"/>
              <w:jc w:val="right"/>
              <w:rPr>
                <w:rFonts w:ascii="Times New Roman"/>
                <w:sz w:val="17"/>
              </w:rPr>
            </w:pPr>
            <w:hyperlink w:history="true" w:anchor="_bookmark84">
              <w:r>
                <w:rPr>
                  <w:rFonts w:ascii="Times New Roman"/>
                  <w:color w:val="231F20"/>
                  <w:spacing w:val="-5"/>
                  <w:w w:val="130"/>
                  <w:sz w:val="17"/>
                </w:rPr>
                <w:t>196</w:t>
              </w:r>
            </w:hyperlink>
          </w:p>
        </w:tc>
      </w:tr>
      <w:tr>
        <w:trPr>
          <w:trHeight w:val="329" w:hRule="atLeast"/>
        </w:trPr>
        <w:tc>
          <w:tcPr>
            <w:tcW w:w="455" w:type="dxa"/>
          </w:tcPr>
          <w:p>
            <w:pPr>
              <w:pStyle w:val="TableParagraph"/>
              <w:spacing w:before="83"/>
              <w:ind w:left="50"/>
              <w:rPr>
                <w:i/>
                <w:sz w:val="17"/>
              </w:rPr>
            </w:pPr>
            <w:hyperlink w:history="true" w:anchor="_bookmark88">
              <w:r>
                <w:rPr>
                  <w:color w:val="231F20"/>
                  <w:w w:val="85"/>
                  <w:sz w:val="17"/>
                </w:rPr>
                <w:t>5.2</w:t>
              </w:r>
              <w:r>
                <w:rPr>
                  <w:color w:val="231F20"/>
                  <w:spacing w:val="-5"/>
                  <w:w w:val="95"/>
                  <w:sz w:val="17"/>
                </w:rPr>
                <w:t> </w:t>
              </w:r>
              <w:r>
                <w:rPr>
                  <w:i/>
                  <w:color w:val="231F20"/>
                  <w:spacing w:val="-10"/>
                  <w:w w:val="95"/>
                  <w:sz w:val="17"/>
                </w:rPr>
                <w:t>/</w:t>
              </w:r>
            </w:hyperlink>
          </w:p>
        </w:tc>
        <w:tc>
          <w:tcPr>
            <w:tcW w:w="4783" w:type="dxa"/>
          </w:tcPr>
          <w:p>
            <w:pPr>
              <w:pStyle w:val="TableParagraph"/>
              <w:spacing w:before="84"/>
              <w:ind w:left="94"/>
              <w:rPr>
                <w:rFonts w:ascii="Times New Roman" w:hAnsi="Times New Roman"/>
                <w:sz w:val="17"/>
              </w:rPr>
            </w:pPr>
            <w:hyperlink w:history="true" w:anchor="_bookmark88">
              <w:r>
                <w:rPr>
                  <w:rFonts w:ascii="Times New Roman" w:hAnsi="Times New Roman"/>
                  <w:color w:val="231F20"/>
                  <w:w w:val="120"/>
                  <w:sz w:val="17"/>
                </w:rPr>
                <w:t>Évolution</w:t>
              </w:r>
              <w:r>
                <w:rPr>
                  <w:rFonts w:ascii="Times New Roman" w:hAnsi="Times New Roman"/>
                  <w:color w:val="231F20"/>
                  <w:spacing w:val="-13"/>
                  <w:w w:val="120"/>
                  <w:sz w:val="17"/>
                </w:rPr>
                <w:t> </w:t>
              </w:r>
              <w:r>
                <w:rPr>
                  <w:rFonts w:ascii="Times New Roman" w:hAnsi="Times New Roman"/>
                  <w:color w:val="231F20"/>
                  <w:w w:val="120"/>
                  <w:sz w:val="17"/>
                </w:rPr>
                <w:t>des</w:t>
              </w:r>
              <w:r>
                <w:rPr>
                  <w:rFonts w:ascii="Times New Roman" w:hAnsi="Times New Roman"/>
                  <w:color w:val="231F20"/>
                  <w:spacing w:val="-13"/>
                  <w:w w:val="120"/>
                  <w:sz w:val="17"/>
                </w:rPr>
                <w:t> </w:t>
              </w:r>
              <w:r>
                <w:rPr>
                  <w:rFonts w:ascii="Times New Roman" w:hAnsi="Times New Roman"/>
                  <w:color w:val="231F20"/>
                  <w:w w:val="120"/>
                  <w:sz w:val="17"/>
                </w:rPr>
                <w:t>philosophies</w:t>
              </w:r>
              <w:r>
                <w:rPr>
                  <w:rFonts w:ascii="Times New Roman" w:hAnsi="Times New Roman"/>
                  <w:color w:val="231F20"/>
                  <w:spacing w:val="-13"/>
                  <w:w w:val="120"/>
                  <w:sz w:val="17"/>
                </w:rPr>
                <w:t> </w:t>
              </w:r>
              <w:r>
                <w:rPr>
                  <w:rFonts w:ascii="Times New Roman" w:hAnsi="Times New Roman"/>
                  <w:color w:val="231F20"/>
                  <w:w w:val="120"/>
                  <w:sz w:val="17"/>
                </w:rPr>
                <w:t>de</w:t>
              </w:r>
              <w:r>
                <w:rPr>
                  <w:rFonts w:ascii="Times New Roman" w:hAnsi="Times New Roman"/>
                  <w:color w:val="231F20"/>
                  <w:spacing w:val="-12"/>
                  <w:w w:val="120"/>
                  <w:sz w:val="17"/>
                </w:rPr>
                <w:t> </w:t>
              </w:r>
              <w:r>
                <w:rPr>
                  <w:rFonts w:ascii="Times New Roman" w:hAnsi="Times New Roman"/>
                  <w:color w:val="231F20"/>
                  <w:w w:val="120"/>
                  <w:sz w:val="17"/>
                </w:rPr>
                <w:t>gestion</w:t>
              </w:r>
              <w:r>
                <w:rPr>
                  <w:rFonts w:ascii="Times New Roman" w:hAnsi="Times New Roman"/>
                  <w:color w:val="231F20"/>
                  <w:spacing w:val="60"/>
                  <w:w w:val="120"/>
                  <w:sz w:val="17"/>
                </w:rPr>
                <w:t> </w:t>
              </w:r>
              <w:r>
                <w:rPr>
                  <w:rFonts w:ascii="Times New Roman" w:hAnsi="Times New Roman"/>
                  <w:color w:val="231F20"/>
                  <w:spacing w:val="-2"/>
                  <w:w w:val="120"/>
                  <w:sz w:val="17"/>
                </w:rPr>
                <w:t>.........................</w:t>
              </w:r>
            </w:hyperlink>
          </w:p>
        </w:tc>
        <w:tc>
          <w:tcPr>
            <w:tcW w:w="609" w:type="dxa"/>
          </w:tcPr>
          <w:p>
            <w:pPr>
              <w:pStyle w:val="TableParagraph"/>
              <w:spacing w:before="84"/>
              <w:ind w:right="46"/>
              <w:jc w:val="right"/>
              <w:rPr>
                <w:rFonts w:ascii="Times New Roman"/>
                <w:sz w:val="17"/>
              </w:rPr>
            </w:pPr>
            <w:hyperlink w:history="true" w:anchor="_bookmark88">
              <w:r>
                <w:rPr>
                  <w:rFonts w:ascii="Times New Roman"/>
                  <w:color w:val="231F20"/>
                  <w:spacing w:val="-5"/>
                  <w:w w:val="130"/>
                  <w:sz w:val="17"/>
                </w:rPr>
                <w:t>211</w:t>
              </w:r>
            </w:hyperlink>
          </w:p>
        </w:tc>
      </w:tr>
      <w:tr>
        <w:trPr>
          <w:trHeight w:val="540" w:hRule="atLeast"/>
        </w:trPr>
        <w:tc>
          <w:tcPr>
            <w:tcW w:w="455" w:type="dxa"/>
          </w:tcPr>
          <w:p>
            <w:pPr>
              <w:pStyle w:val="TableParagraph"/>
              <w:spacing w:before="83"/>
              <w:ind w:left="50"/>
              <w:rPr>
                <w:i/>
                <w:sz w:val="17"/>
              </w:rPr>
            </w:pPr>
            <w:hyperlink w:history="true" w:anchor="_bookmark93">
              <w:r>
                <w:rPr>
                  <w:color w:val="231F20"/>
                  <w:w w:val="80"/>
                  <w:sz w:val="17"/>
                </w:rPr>
                <w:t>A.1</w:t>
              </w:r>
              <w:r>
                <w:rPr>
                  <w:color w:val="231F20"/>
                  <w:spacing w:val="-4"/>
                  <w:sz w:val="17"/>
                </w:rPr>
                <w:t> </w:t>
              </w:r>
              <w:r>
                <w:rPr>
                  <w:i/>
                  <w:color w:val="231F20"/>
                  <w:spacing w:val="-10"/>
                  <w:sz w:val="17"/>
                </w:rPr>
                <w:t>/</w:t>
              </w:r>
            </w:hyperlink>
          </w:p>
        </w:tc>
        <w:tc>
          <w:tcPr>
            <w:tcW w:w="4783" w:type="dxa"/>
          </w:tcPr>
          <w:p>
            <w:pPr>
              <w:pStyle w:val="TableParagraph"/>
              <w:spacing w:before="84"/>
              <w:ind w:left="94"/>
              <w:rPr>
                <w:rFonts w:ascii="Times New Roman" w:hAnsi="Times New Roman"/>
                <w:sz w:val="17"/>
              </w:rPr>
            </w:pPr>
            <w:hyperlink w:history="true" w:anchor="_bookmark93">
              <w:r>
                <w:rPr>
                  <w:rFonts w:ascii="Times New Roman" w:hAnsi="Times New Roman"/>
                  <w:color w:val="231F20"/>
                  <w:w w:val="115"/>
                  <w:sz w:val="17"/>
                </w:rPr>
                <w:t>Modèle</w:t>
              </w:r>
              <w:r>
                <w:rPr>
                  <w:rFonts w:ascii="Times New Roman" w:hAnsi="Times New Roman"/>
                  <w:color w:val="231F20"/>
                  <w:spacing w:val="8"/>
                  <w:w w:val="115"/>
                  <w:sz w:val="17"/>
                </w:rPr>
                <w:t> </w:t>
              </w:r>
              <w:r>
                <w:rPr>
                  <w:rFonts w:ascii="Times New Roman" w:hAnsi="Times New Roman"/>
                  <w:color w:val="231F20"/>
                  <w:w w:val="115"/>
                  <w:sz w:val="17"/>
                </w:rPr>
                <w:t>bidimensionnel</w:t>
              </w:r>
              <w:r>
                <w:rPr>
                  <w:rFonts w:ascii="Times New Roman" w:hAnsi="Times New Roman"/>
                  <w:color w:val="231F20"/>
                  <w:spacing w:val="8"/>
                  <w:w w:val="115"/>
                  <w:sz w:val="17"/>
                </w:rPr>
                <w:t> </w:t>
              </w:r>
              <w:r>
                <w:rPr>
                  <w:rFonts w:ascii="Times New Roman" w:hAnsi="Times New Roman"/>
                  <w:color w:val="231F20"/>
                  <w:w w:val="115"/>
                  <w:sz w:val="17"/>
                </w:rPr>
                <w:t>de</w:t>
              </w:r>
              <w:r>
                <w:rPr>
                  <w:rFonts w:ascii="Times New Roman" w:hAnsi="Times New Roman"/>
                  <w:color w:val="231F20"/>
                  <w:spacing w:val="9"/>
                  <w:w w:val="115"/>
                  <w:sz w:val="17"/>
                </w:rPr>
                <w:t> </w:t>
              </w:r>
              <w:r>
                <w:rPr>
                  <w:rFonts w:ascii="Times New Roman" w:hAnsi="Times New Roman"/>
                  <w:color w:val="231F20"/>
                  <w:w w:val="115"/>
                  <w:sz w:val="17"/>
                </w:rPr>
                <w:t>la</w:t>
              </w:r>
              <w:r>
                <w:rPr>
                  <w:rFonts w:ascii="Times New Roman" w:hAnsi="Times New Roman"/>
                  <w:color w:val="231F20"/>
                  <w:spacing w:val="8"/>
                  <w:w w:val="115"/>
                  <w:sz w:val="17"/>
                </w:rPr>
                <w:t> </w:t>
              </w:r>
              <w:r>
                <w:rPr>
                  <w:rFonts w:ascii="Times New Roman" w:hAnsi="Times New Roman"/>
                  <w:color w:val="231F20"/>
                  <w:w w:val="115"/>
                  <w:sz w:val="17"/>
                </w:rPr>
                <w:t>santé</w:t>
              </w:r>
              <w:r>
                <w:rPr>
                  <w:rFonts w:ascii="Times New Roman" w:hAnsi="Times New Roman"/>
                  <w:color w:val="231F20"/>
                  <w:spacing w:val="8"/>
                  <w:w w:val="115"/>
                  <w:sz w:val="17"/>
                </w:rPr>
                <w:t> </w:t>
              </w:r>
              <w:r>
                <w:rPr>
                  <w:rFonts w:ascii="Times New Roman" w:hAnsi="Times New Roman"/>
                  <w:color w:val="231F20"/>
                  <w:spacing w:val="-2"/>
                  <w:w w:val="115"/>
                  <w:sz w:val="17"/>
                </w:rPr>
                <w:t>psychologique</w:t>
              </w:r>
            </w:hyperlink>
          </w:p>
          <w:p>
            <w:pPr>
              <w:pStyle w:val="TableParagraph"/>
              <w:spacing w:line="186" w:lineRule="exact" w:before="55"/>
              <w:ind w:left="94"/>
              <w:rPr>
                <w:rFonts w:ascii="Times New Roman" w:hAnsi="Times New Roman"/>
                <w:sz w:val="17"/>
              </w:rPr>
            </w:pPr>
            <w:hyperlink w:history="true" w:anchor="_bookmark93">
              <w:r>
                <w:rPr>
                  <w:rFonts w:ascii="Times New Roman" w:hAnsi="Times New Roman"/>
                  <w:color w:val="231F20"/>
                  <w:w w:val="125"/>
                  <w:sz w:val="17"/>
                </w:rPr>
                <w:t>et</w:t>
              </w:r>
              <w:r>
                <w:rPr>
                  <w:rFonts w:ascii="Times New Roman" w:hAnsi="Times New Roman"/>
                  <w:color w:val="231F20"/>
                  <w:spacing w:val="-15"/>
                  <w:w w:val="125"/>
                  <w:sz w:val="17"/>
                </w:rPr>
                <w:t> </w:t>
              </w:r>
              <w:r>
                <w:rPr>
                  <w:rFonts w:ascii="Times New Roman" w:hAnsi="Times New Roman"/>
                  <w:color w:val="231F20"/>
                  <w:w w:val="125"/>
                  <w:sz w:val="17"/>
                </w:rPr>
                <w:t>du</w:t>
              </w:r>
              <w:r>
                <w:rPr>
                  <w:rFonts w:ascii="Times New Roman" w:hAnsi="Times New Roman"/>
                  <w:color w:val="231F20"/>
                  <w:spacing w:val="-15"/>
                  <w:w w:val="125"/>
                  <w:sz w:val="17"/>
                </w:rPr>
                <w:t> </w:t>
              </w:r>
              <w:r>
                <w:rPr>
                  <w:rFonts w:ascii="Times New Roman" w:hAnsi="Times New Roman"/>
                  <w:color w:val="231F20"/>
                  <w:w w:val="125"/>
                  <w:sz w:val="17"/>
                </w:rPr>
                <w:t>bien-être</w:t>
              </w:r>
              <w:r>
                <w:rPr>
                  <w:rFonts w:ascii="Times New Roman" w:hAnsi="Times New Roman"/>
                  <w:color w:val="231F20"/>
                  <w:spacing w:val="15"/>
                  <w:w w:val="125"/>
                  <w:sz w:val="17"/>
                </w:rPr>
                <w:t> </w:t>
              </w:r>
              <w:r>
                <w:rPr>
                  <w:rFonts w:ascii="Times New Roman" w:hAnsi="Times New Roman"/>
                  <w:color w:val="231F20"/>
                  <w:spacing w:val="-2"/>
                  <w:w w:val="125"/>
                  <w:sz w:val="17"/>
                </w:rPr>
                <w:t>..............................................................</w:t>
              </w:r>
            </w:hyperlink>
          </w:p>
        </w:tc>
        <w:tc>
          <w:tcPr>
            <w:tcW w:w="609" w:type="dxa"/>
          </w:tcPr>
          <w:p>
            <w:pPr>
              <w:pStyle w:val="TableParagraph"/>
              <w:rPr>
                <w:sz w:val="29"/>
              </w:rPr>
            </w:pPr>
          </w:p>
          <w:p>
            <w:pPr>
              <w:pStyle w:val="TableParagraph"/>
              <w:spacing w:line="186" w:lineRule="exact" w:before="1"/>
              <w:ind w:right="46"/>
              <w:jc w:val="right"/>
              <w:rPr>
                <w:rFonts w:ascii="Times New Roman"/>
                <w:sz w:val="17"/>
              </w:rPr>
            </w:pPr>
            <w:hyperlink w:history="true" w:anchor="_bookmark93">
              <w:r>
                <w:rPr>
                  <w:rFonts w:ascii="Times New Roman"/>
                  <w:color w:val="231F20"/>
                  <w:spacing w:val="-5"/>
                  <w:w w:val="130"/>
                  <w:sz w:val="17"/>
                </w:rPr>
                <w:t>229</w:t>
              </w:r>
            </w:hyperlink>
          </w:p>
        </w:tc>
      </w:tr>
    </w:tbl>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8"/>
        </w:rPr>
      </w:pPr>
    </w:p>
    <w:p>
      <w:pPr>
        <w:spacing w:before="0"/>
        <w:ind w:left="150" w:right="0" w:firstLine="0"/>
        <w:jc w:val="center"/>
        <w:rPr>
          <w:rFonts w:ascii="Arial"/>
          <w:sz w:val="14"/>
        </w:rPr>
      </w:pPr>
      <w:r>
        <w:rPr>
          <w:rFonts w:ascii="Arial"/>
          <w:color w:val="231F20"/>
          <w:spacing w:val="-5"/>
          <w:sz w:val="14"/>
        </w:rPr>
        <w:t>XVI</w:t>
      </w:r>
    </w:p>
    <w:p>
      <w:pPr>
        <w:spacing w:after="0"/>
        <w:jc w:val="center"/>
        <w:rPr>
          <w:rFonts w:ascii="Arial"/>
          <w:sz w:val="14"/>
        </w:rPr>
        <w:sectPr>
          <w:footerReference w:type="default" r:id="rId17"/>
          <w:pgSz w:w="8640" w:h="12960"/>
          <w:pgMar w:footer="0" w:header="0" w:top="520" w:bottom="280" w:left="460" w:right="100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Heading1"/>
        <w:spacing w:before="300"/>
        <w:ind w:left="2724"/>
      </w:pPr>
      <w:bookmarkStart w:name="Liste des tableaux" w:id="5"/>
      <w:bookmarkEnd w:id="5"/>
      <w:r>
        <w:rPr>
          <w:b w:val="0"/>
        </w:rPr>
      </w:r>
      <w:bookmarkStart w:name="_bookmark2" w:id="6"/>
      <w:bookmarkEnd w:id="6"/>
      <w:r>
        <w:rPr>
          <w:b w:val="0"/>
        </w:rPr>
      </w:r>
      <w:r>
        <w:rPr>
          <w:color w:val="231F20"/>
          <w:w w:val="90"/>
        </w:rPr>
        <w:t>Liste</w:t>
      </w:r>
      <w:r>
        <w:rPr>
          <w:color w:val="231F20"/>
          <w:spacing w:val="-13"/>
          <w:w w:val="90"/>
        </w:rPr>
        <w:t> </w:t>
      </w:r>
      <w:r>
        <w:rPr>
          <w:color w:val="231F20"/>
          <w:w w:val="90"/>
        </w:rPr>
        <w:t>des</w:t>
      </w:r>
      <w:r>
        <w:rPr>
          <w:color w:val="231F20"/>
          <w:spacing w:val="-13"/>
          <w:w w:val="90"/>
        </w:rPr>
        <w:t> </w:t>
      </w:r>
      <w:r>
        <w:rPr>
          <w:color w:val="231F20"/>
          <w:spacing w:val="-2"/>
          <w:w w:val="90"/>
        </w:rPr>
        <w:t>tableaux</w:t>
      </w:r>
    </w:p>
    <w:p>
      <w:pPr>
        <w:pStyle w:val="BodyText"/>
        <w:rPr>
          <w:rFonts w:ascii="Arial"/>
          <w:b/>
          <w:sz w:val="44"/>
        </w:rPr>
      </w:pPr>
    </w:p>
    <w:p>
      <w:pPr>
        <w:pStyle w:val="BodyText"/>
        <w:rPr>
          <w:rFonts w:ascii="Arial"/>
          <w:b/>
          <w:sz w:val="44"/>
        </w:rPr>
      </w:pPr>
    </w:p>
    <w:p>
      <w:pPr>
        <w:pStyle w:val="BodyText"/>
        <w:rPr>
          <w:rFonts w:ascii="Arial"/>
          <w:b/>
          <w:sz w:val="44"/>
        </w:rPr>
      </w:pPr>
    </w:p>
    <w:p>
      <w:pPr>
        <w:pStyle w:val="ListParagraph"/>
        <w:numPr>
          <w:ilvl w:val="1"/>
          <w:numId w:val="9"/>
        </w:numPr>
        <w:tabs>
          <w:tab w:pos="1404" w:val="left" w:leader="none"/>
          <w:tab w:pos="1679" w:val="left" w:leader="none"/>
          <w:tab w:pos="6928" w:val="right" w:leader="none"/>
        </w:tabs>
        <w:spacing w:line="240" w:lineRule="auto" w:before="253" w:after="0"/>
        <w:ind w:left="1403" w:right="0" w:hanging="224"/>
        <w:jc w:val="left"/>
        <w:rPr>
          <w:sz w:val="17"/>
        </w:rPr>
      </w:pPr>
      <w:hyperlink w:history="true" w:anchor="_bookmark50">
        <w:r>
          <w:rPr>
            <w:rFonts w:ascii="Arial"/>
            <w:i/>
            <w:color w:val="231F20"/>
            <w:spacing w:val="-10"/>
            <w:w w:val="120"/>
            <w:sz w:val="17"/>
          </w:rPr>
          <w:t>/</w:t>
        </w:r>
        <w:r>
          <w:rPr>
            <w:rFonts w:ascii="Arial"/>
            <w:i/>
            <w:color w:val="231F20"/>
            <w:sz w:val="17"/>
          </w:rPr>
          <w:tab/>
        </w:r>
        <w:r>
          <w:rPr>
            <w:color w:val="231F20"/>
            <w:w w:val="120"/>
            <w:sz w:val="17"/>
          </w:rPr>
          <w:t>Cadre</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Borysenko:</w:t>
        </w:r>
        <w:r>
          <w:rPr>
            <w:color w:val="231F20"/>
            <w:spacing w:val="-13"/>
            <w:w w:val="120"/>
            <w:sz w:val="17"/>
          </w:rPr>
          <w:t> </w:t>
        </w:r>
        <w:r>
          <w:rPr>
            <w:color w:val="231F20"/>
            <w:w w:val="120"/>
            <w:sz w:val="17"/>
          </w:rPr>
          <w:t>liens</w:t>
        </w:r>
        <w:r>
          <w:rPr>
            <w:color w:val="231F20"/>
            <w:spacing w:val="-12"/>
            <w:w w:val="120"/>
            <w:sz w:val="17"/>
          </w:rPr>
          <w:t> </w:t>
        </w:r>
        <w:r>
          <w:rPr>
            <w:color w:val="231F20"/>
            <w:w w:val="120"/>
            <w:sz w:val="17"/>
          </w:rPr>
          <w:t>entre</w:t>
        </w:r>
        <w:r>
          <w:rPr>
            <w:color w:val="231F20"/>
            <w:spacing w:val="-13"/>
            <w:w w:val="120"/>
            <w:sz w:val="17"/>
          </w:rPr>
          <w:t> </w:t>
        </w:r>
        <w:r>
          <w:rPr>
            <w:color w:val="231F20"/>
            <w:w w:val="120"/>
            <w:sz w:val="17"/>
          </w:rPr>
          <w:t>stress</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maladie</w:t>
        </w:r>
        <w:r>
          <w:rPr>
            <w:color w:val="231F20"/>
            <w:spacing w:val="36"/>
            <w:w w:val="120"/>
            <w:sz w:val="17"/>
          </w:rPr>
          <w:t> </w:t>
        </w:r>
        <w:r>
          <w:rPr>
            <w:color w:val="231F20"/>
            <w:spacing w:val="-2"/>
            <w:w w:val="120"/>
            <w:sz w:val="17"/>
          </w:rPr>
          <w:t>........</w:t>
        </w:r>
        <w:r>
          <w:rPr>
            <w:color w:val="231F20"/>
            <w:sz w:val="17"/>
          </w:rPr>
          <w:tab/>
        </w:r>
        <w:r>
          <w:rPr>
            <w:color w:val="231F20"/>
            <w:spacing w:val="-5"/>
            <w:w w:val="120"/>
            <w:sz w:val="17"/>
          </w:rPr>
          <w:t>109</w:t>
        </w:r>
      </w:hyperlink>
    </w:p>
    <w:p>
      <w:pPr>
        <w:pStyle w:val="ListParagraph"/>
        <w:numPr>
          <w:ilvl w:val="1"/>
          <w:numId w:val="9"/>
        </w:numPr>
        <w:tabs>
          <w:tab w:pos="1423" w:val="left" w:leader="none"/>
          <w:tab w:pos="1679" w:val="left" w:leader="none"/>
        </w:tabs>
        <w:spacing w:line="240" w:lineRule="auto" w:before="134" w:after="0"/>
        <w:ind w:left="1422" w:right="0" w:hanging="243"/>
        <w:jc w:val="left"/>
        <w:rPr>
          <w:sz w:val="17"/>
        </w:rPr>
      </w:pPr>
      <w:hyperlink w:history="true" w:anchor="_bookmark50">
        <w:r>
          <w:rPr>
            <w:rFonts w:ascii="Arial" w:hAnsi="Arial"/>
            <w:i/>
            <w:color w:val="231F20"/>
            <w:spacing w:val="-10"/>
            <w:w w:val="120"/>
            <w:sz w:val="17"/>
          </w:rPr>
          <w:t>/</w:t>
        </w:r>
        <w:r>
          <w:rPr>
            <w:rFonts w:ascii="Arial" w:hAnsi="Arial"/>
            <w:i/>
            <w:color w:val="231F20"/>
            <w:sz w:val="17"/>
          </w:rPr>
          <w:tab/>
        </w:r>
        <w:r>
          <w:rPr>
            <w:color w:val="231F20"/>
            <w:spacing w:val="-2"/>
            <w:w w:val="120"/>
            <w:sz w:val="17"/>
          </w:rPr>
          <w:t>Pathologies</w:t>
        </w:r>
        <w:r>
          <w:rPr>
            <w:color w:val="231F20"/>
            <w:spacing w:val="7"/>
            <w:w w:val="120"/>
            <w:sz w:val="17"/>
          </w:rPr>
          <w:t> </w:t>
        </w:r>
        <w:r>
          <w:rPr>
            <w:color w:val="231F20"/>
            <w:spacing w:val="-2"/>
            <w:w w:val="120"/>
            <w:sz w:val="17"/>
          </w:rPr>
          <w:t>physiques</w:t>
        </w:r>
        <w:r>
          <w:rPr>
            <w:color w:val="231F20"/>
            <w:spacing w:val="7"/>
            <w:w w:val="120"/>
            <w:sz w:val="17"/>
          </w:rPr>
          <w:t> </w:t>
        </w:r>
        <w:r>
          <w:rPr>
            <w:color w:val="231F20"/>
            <w:spacing w:val="-2"/>
            <w:w w:val="120"/>
            <w:sz w:val="17"/>
          </w:rPr>
          <w:t>fréquemment</w:t>
        </w:r>
        <w:r>
          <w:rPr>
            <w:color w:val="231F20"/>
            <w:spacing w:val="7"/>
            <w:w w:val="120"/>
            <w:sz w:val="17"/>
          </w:rPr>
          <w:t> </w:t>
        </w:r>
        <w:r>
          <w:rPr>
            <w:color w:val="231F20"/>
            <w:spacing w:val="-2"/>
            <w:w w:val="120"/>
            <w:sz w:val="17"/>
          </w:rPr>
          <w:t>associées</w:t>
        </w:r>
      </w:hyperlink>
    </w:p>
    <w:p>
      <w:pPr>
        <w:pStyle w:val="BodyText"/>
        <w:tabs>
          <w:tab w:pos="6928" w:val="right" w:leader="none"/>
        </w:tabs>
        <w:spacing w:before="54"/>
        <w:ind w:left="1679"/>
      </w:pPr>
      <w:hyperlink w:history="true" w:anchor="_bookmark50">
        <w:r>
          <w:rPr>
            <w:color w:val="231F20"/>
            <w:w w:val="125"/>
          </w:rPr>
          <w:t>au</w:t>
        </w:r>
        <w:r>
          <w:rPr>
            <w:color w:val="231F20"/>
            <w:spacing w:val="-15"/>
            <w:w w:val="125"/>
          </w:rPr>
          <w:t> </w:t>
        </w:r>
        <w:r>
          <w:rPr>
            <w:color w:val="231F20"/>
            <w:w w:val="125"/>
          </w:rPr>
          <w:t>stress</w:t>
        </w:r>
        <w:r>
          <w:rPr>
            <w:color w:val="231F20"/>
            <w:spacing w:val="43"/>
            <w:w w:val="125"/>
          </w:rPr>
          <w:t> </w:t>
        </w:r>
        <w:r>
          <w:rPr>
            <w:color w:val="231F20"/>
            <w:spacing w:val="-2"/>
            <w:w w:val="125"/>
          </w:rPr>
          <w:t>.......................................................................</w:t>
        </w:r>
        <w:r>
          <w:rPr>
            <w:color w:val="231F20"/>
          </w:rPr>
          <w:tab/>
        </w:r>
        <w:r>
          <w:rPr>
            <w:color w:val="231F20"/>
            <w:spacing w:val="-5"/>
            <w:w w:val="125"/>
          </w:rPr>
          <w:t>109</w:t>
        </w:r>
      </w:hyperlink>
    </w:p>
    <w:p>
      <w:pPr>
        <w:pStyle w:val="BodyText"/>
        <w:tabs>
          <w:tab w:pos="1679" w:val="left" w:leader="none"/>
        </w:tabs>
        <w:spacing w:before="134"/>
        <w:ind w:left="1180"/>
      </w:pPr>
      <w:hyperlink w:history="true" w:anchor="_bookmark78">
        <w:r>
          <w:rPr>
            <w:rFonts w:ascii="Arial" w:hAnsi="Arial"/>
            <w:color w:val="231F20"/>
            <w:w w:val="80"/>
          </w:rPr>
          <w:t>5.1</w:t>
        </w:r>
        <w:r>
          <w:rPr>
            <w:rFonts w:ascii="Arial" w:hAnsi="Arial"/>
            <w:color w:val="231F20"/>
            <w:spacing w:val="-5"/>
            <w:w w:val="80"/>
          </w:rPr>
          <w:t>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9"/>
            <w:w w:val="115"/>
          </w:rPr>
          <w:t> </w:t>
        </w:r>
        <w:r>
          <w:rPr>
            <w:color w:val="231F20"/>
            <w:w w:val="115"/>
          </w:rPr>
          <w:t>classiques</w:t>
        </w:r>
        <w:r>
          <w:rPr>
            <w:color w:val="231F20"/>
            <w:spacing w:val="10"/>
            <w:w w:val="115"/>
          </w:rPr>
          <w:t> </w:t>
        </w:r>
        <w:r>
          <w:rPr>
            <w:color w:val="231F20"/>
            <w:w w:val="115"/>
          </w:rPr>
          <w:t>de</w:t>
        </w:r>
        <w:r>
          <w:rPr>
            <w:color w:val="231F20"/>
            <w:spacing w:val="10"/>
            <w:w w:val="115"/>
          </w:rPr>
          <w:t> </w:t>
        </w:r>
        <w:r>
          <w:rPr>
            <w:color w:val="231F20"/>
            <w:w w:val="115"/>
          </w:rPr>
          <w:t>lutte</w:t>
        </w:r>
        <w:r>
          <w:rPr>
            <w:color w:val="231F20"/>
            <w:spacing w:val="10"/>
            <w:w w:val="115"/>
          </w:rPr>
          <w:t> </w:t>
        </w:r>
        <w:r>
          <w:rPr>
            <w:color w:val="231F20"/>
            <w:spacing w:val="-2"/>
            <w:w w:val="115"/>
          </w:rPr>
          <w:t>contre</w:t>
        </w:r>
      </w:hyperlink>
    </w:p>
    <w:p>
      <w:pPr>
        <w:pStyle w:val="BodyText"/>
        <w:tabs>
          <w:tab w:pos="6928" w:val="right" w:leader="none"/>
        </w:tabs>
        <w:spacing w:before="55"/>
        <w:ind w:left="1679"/>
      </w:pPr>
      <w:hyperlink w:history="true" w:anchor="_bookmark78">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professionnel</w:t>
        </w:r>
        <w:r>
          <w:rPr>
            <w:color w:val="231F20"/>
            <w:spacing w:val="51"/>
            <w:w w:val="120"/>
          </w:rPr>
          <w:t> </w:t>
        </w:r>
        <w:r>
          <w:rPr>
            <w:color w:val="231F20"/>
            <w:spacing w:val="-2"/>
            <w:w w:val="120"/>
          </w:rPr>
          <w:t>..................................................</w:t>
        </w:r>
        <w:r>
          <w:rPr>
            <w:color w:val="231F20"/>
          </w:rPr>
          <w:tab/>
        </w:r>
        <w:r>
          <w:rPr>
            <w:color w:val="231F20"/>
            <w:spacing w:val="-5"/>
            <w:w w:val="125"/>
          </w:rPr>
          <w:t>177</w:t>
        </w:r>
      </w:hyperlink>
    </w:p>
    <w:p>
      <w:pPr>
        <w:spacing w:after="0"/>
        <w:sectPr>
          <w:footerReference w:type="default" r:id="rId18"/>
          <w:pgSz w:w="8640" w:h="12960"/>
          <w:pgMar w:footer="0" w:header="0" w:top="1220" w:bottom="280" w:left="460" w:right="1000"/>
        </w:sectPr>
      </w:pPr>
    </w:p>
    <w:p>
      <w:pPr>
        <w:pStyle w:val="BodyText"/>
        <w:spacing w:before="4"/>
      </w:pPr>
    </w:p>
    <w:p>
      <w:pPr>
        <w:spacing w:after="0"/>
        <w:sectPr>
          <w:footerReference w:type="default" r:id="rId19"/>
          <w:pgSz w:w="8640" w:h="12960"/>
          <w:pgMar w:footer="0" w:header="0" w:top="1220" w:bottom="280" w:left="460" w:right="1000"/>
        </w:sectPr>
      </w:pPr>
    </w:p>
    <w:p>
      <w:pPr>
        <w:pStyle w:val="BodyText"/>
        <w:rPr>
          <w:sz w:val="44"/>
        </w:rPr>
      </w:pPr>
    </w:p>
    <w:p>
      <w:pPr>
        <w:pStyle w:val="BodyText"/>
        <w:spacing w:before="1"/>
        <w:rPr>
          <w:sz w:val="62"/>
        </w:rPr>
      </w:pPr>
    </w:p>
    <w:p>
      <w:pPr>
        <w:pStyle w:val="Heading1"/>
        <w:ind w:left="1923"/>
      </w:pPr>
      <w:bookmarkStart w:name="Liste des sigles et acronymes" w:id="7"/>
      <w:bookmarkEnd w:id="7"/>
      <w:r>
        <w:rPr>
          <w:b w:val="0"/>
        </w:rPr>
      </w:r>
      <w:bookmarkStart w:name="_bookmark3" w:id="8"/>
      <w:bookmarkEnd w:id="8"/>
      <w:r>
        <w:rPr>
          <w:b w:val="0"/>
        </w:rPr>
      </w:r>
      <w:r>
        <w:rPr>
          <w:color w:val="231F20"/>
          <w:w w:val="90"/>
        </w:rPr>
        <w:t>Liste</w:t>
      </w:r>
      <w:r>
        <w:rPr>
          <w:color w:val="231F20"/>
          <w:spacing w:val="-8"/>
          <w:w w:val="90"/>
        </w:rPr>
        <w:t> </w:t>
      </w:r>
      <w:r>
        <w:rPr>
          <w:color w:val="231F20"/>
          <w:w w:val="90"/>
        </w:rPr>
        <w:t>des</w:t>
      </w:r>
      <w:r>
        <w:rPr>
          <w:color w:val="231F20"/>
          <w:spacing w:val="-8"/>
          <w:w w:val="90"/>
        </w:rPr>
        <w:t> </w:t>
      </w:r>
      <w:r>
        <w:rPr>
          <w:color w:val="231F20"/>
          <w:w w:val="90"/>
        </w:rPr>
        <w:t>sigles</w:t>
      </w:r>
      <w:r>
        <w:rPr>
          <w:color w:val="231F20"/>
          <w:spacing w:val="-8"/>
          <w:w w:val="90"/>
        </w:rPr>
        <w:t> </w:t>
      </w:r>
      <w:r>
        <w:rPr>
          <w:color w:val="231F20"/>
          <w:w w:val="90"/>
        </w:rPr>
        <w:t>et</w:t>
      </w:r>
      <w:r>
        <w:rPr>
          <w:color w:val="231F20"/>
          <w:spacing w:val="-8"/>
          <w:w w:val="90"/>
        </w:rPr>
        <w:t> </w:t>
      </w:r>
      <w:r>
        <w:rPr>
          <w:color w:val="231F20"/>
          <w:spacing w:val="-2"/>
          <w:w w:val="90"/>
        </w:rPr>
        <w:t>acronymes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tabs>
          <w:tab w:pos="2179" w:val="left" w:leader="none"/>
        </w:tabs>
        <w:spacing w:before="253"/>
        <w:ind w:left="1180"/>
      </w:pPr>
      <w:r>
        <w:rPr>
          <w:rFonts w:ascii="Arial"/>
          <w:b/>
          <w:color w:val="231F20"/>
          <w:spacing w:val="-5"/>
          <w:w w:val="115"/>
        </w:rPr>
        <w:t>G</w:t>
      </w:r>
      <w:r>
        <w:rPr>
          <w:rFonts w:ascii="Arial"/>
          <w:b/>
          <w:color w:val="231F20"/>
          <w:spacing w:val="-5"/>
          <w:w w:val="115"/>
          <w:sz w:val="16"/>
        </w:rPr>
        <w:t>p</w:t>
      </w:r>
      <w:r>
        <w:rPr>
          <w:rFonts w:ascii="Arial"/>
          <w:b/>
          <w:color w:val="231F20"/>
          <w:spacing w:val="-5"/>
          <w:w w:val="115"/>
        </w:rPr>
        <w:t>I</w:t>
      </w:r>
      <w:r>
        <w:rPr>
          <w:rFonts w:ascii="Arial"/>
          <w:b/>
          <w:color w:val="231F20"/>
        </w:rPr>
        <w:tab/>
      </w:r>
      <w:r>
        <w:rPr>
          <w:color w:val="231F20"/>
          <w:w w:val="115"/>
        </w:rPr>
        <w:t>Gestion</w:t>
      </w:r>
      <w:r>
        <w:rPr>
          <w:color w:val="231F20"/>
          <w:spacing w:val="1"/>
          <w:w w:val="115"/>
        </w:rPr>
        <w:t> </w:t>
      </w:r>
      <w:r>
        <w:rPr>
          <w:color w:val="231F20"/>
          <w:w w:val="115"/>
        </w:rPr>
        <w:t>par</w:t>
      </w:r>
      <w:r>
        <w:rPr>
          <w:color w:val="231F20"/>
          <w:spacing w:val="2"/>
          <w:w w:val="115"/>
        </w:rPr>
        <w:t> </w:t>
      </w:r>
      <w:r>
        <w:rPr>
          <w:color w:val="231F20"/>
          <w:spacing w:val="-2"/>
          <w:w w:val="115"/>
        </w:rPr>
        <w:t>instructions</w:t>
      </w:r>
    </w:p>
    <w:p>
      <w:pPr>
        <w:pStyle w:val="BodyText"/>
        <w:tabs>
          <w:tab w:pos="2179" w:val="left" w:leader="none"/>
        </w:tabs>
        <w:spacing w:before="54"/>
        <w:ind w:left="1180"/>
      </w:pPr>
      <w:r>
        <w:rPr>
          <w:rFonts w:ascii="Arial"/>
          <w:b/>
          <w:color w:val="231F20"/>
          <w:spacing w:val="-5"/>
          <w:w w:val="110"/>
        </w:rPr>
        <w:t>G</w:t>
      </w:r>
      <w:r>
        <w:rPr>
          <w:rFonts w:ascii="Arial"/>
          <w:b/>
          <w:color w:val="231F20"/>
          <w:spacing w:val="-5"/>
          <w:w w:val="110"/>
          <w:sz w:val="16"/>
        </w:rPr>
        <w:t>p</w:t>
      </w:r>
      <w:r>
        <w:rPr>
          <w:rFonts w:ascii="Arial"/>
          <w:b/>
          <w:color w:val="231F20"/>
          <w:spacing w:val="-5"/>
          <w:w w:val="110"/>
        </w:rPr>
        <w:t>O</w:t>
      </w:r>
      <w:r>
        <w:rPr>
          <w:rFonts w:ascii="Arial"/>
          <w:b/>
          <w:color w:val="231F20"/>
        </w:rPr>
        <w:tab/>
      </w:r>
      <w:r>
        <w:rPr>
          <w:color w:val="231F20"/>
          <w:w w:val="110"/>
        </w:rPr>
        <w:t>Gestion</w:t>
      </w:r>
      <w:r>
        <w:rPr>
          <w:color w:val="231F20"/>
          <w:spacing w:val="22"/>
          <w:w w:val="110"/>
        </w:rPr>
        <w:t> </w:t>
      </w:r>
      <w:r>
        <w:rPr>
          <w:color w:val="231F20"/>
          <w:w w:val="110"/>
        </w:rPr>
        <w:t>par</w:t>
      </w:r>
      <w:r>
        <w:rPr>
          <w:color w:val="231F20"/>
          <w:spacing w:val="22"/>
          <w:w w:val="110"/>
        </w:rPr>
        <w:t> </w:t>
      </w:r>
      <w:r>
        <w:rPr>
          <w:color w:val="231F20"/>
          <w:spacing w:val="-2"/>
          <w:w w:val="110"/>
        </w:rPr>
        <w:t>objectifs</w:t>
      </w:r>
    </w:p>
    <w:p>
      <w:pPr>
        <w:pStyle w:val="BodyText"/>
        <w:tabs>
          <w:tab w:pos="2179" w:val="left" w:leader="none"/>
        </w:tabs>
        <w:spacing w:before="54"/>
        <w:ind w:left="1180"/>
      </w:pPr>
      <w:r>
        <w:rPr>
          <w:rFonts w:ascii="Arial"/>
          <w:b/>
          <w:color w:val="231F20"/>
          <w:spacing w:val="-5"/>
          <w:w w:val="110"/>
        </w:rPr>
        <w:t>G</w:t>
      </w:r>
      <w:r>
        <w:rPr>
          <w:rFonts w:ascii="Arial"/>
          <w:b/>
          <w:color w:val="231F20"/>
          <w:spacing w:val="-5"/>
          <w:w w:val="110"/>
          <w:sz w:val="16"/>
        </w:rPr>
        <w:t>p</w:t>
      </w:r>
      <w:r>
        <w:rPr>
          <w:rFonts w:ascii="Arial"/>
          <w:b/>
          <w:color w:val="231F20"/>
          <w:spacing w:val="-5"/>
          <w:w w:val="110"/>
        </w:rPr>
        <w:t>V</w:t>
      </w:r>
      <w:r>
        <w:rPr>
          <w:rFonts w:ascii="Arial"/>
          <w:b/>
          <w:color w:val="231F20"/>
        </w:rPr>
        <w:tab/>
      </w:r>
      <w:r>
        <w:rPr>
          <w:color w:val="231F20"/>
          <w:w w:val="110"/>
        </w:rPr>
        <w:t>Gestion</w:t>
      </w:r>
      <w:r>
        <w:rPr>
          <w:color w:val="231F20"/>
          <w:spacing w:val="22"/>
          <w:w w:val="110"/>
        </w:rPr>
        <w:t> </w:t>
      </w:r>
      <w:r>
        <w:rPr>
          <w:color w:val="231F20"/>
          <w:w w:val="110"/>
        </w:rPr>
        <w:t>par</w:t>
      </w:r>
      <w:r>
        <w:rPr>
          <w:color w:val="231F20"/>
          <w:spacing w:val="22"/>
          <w:w w:val="110"/>
        </w:rPr>
        <w:t> </w:t>
      </w:r>
      <w:r>
        <w:rPr>
          <w:color w:val="231F20"/>
          <w:spacing w:val="-2"/>
          <w:w w:val="110"/>
        </w:rPr>
        <w:t>valeurs</w:t>
      </w:r>
    </w:p>
    <w:p>
      <w:pPr>
        <w:pStyle w:val="BodyText"/>
        <w:tabs>
          <w:tab w:pos="2179" w:val="left" w:leader="none"/>
        </w:tabs>
        <w:spacing w:line="307" w:lineRule="auto" w:before="53"/>
        <w:ind w:left="2180" w:right="685" w:hanging="1000"/>
      </w:pPr>
      <w:r>
        <w:rPr>
          <w:rFonts w:ascii="Arial" w:hAnsi="Arial"/>
          <w:b/>
          <w:color w:val="231F20"/>
          <w:spacing w:val="-2"/>
          <w:w w:val="105"/>
        </w:rPr>
        <w:t>IRSST</w:t>
      </w:r>
      <w:r>
        <w:rPr>
          <w:rFonts w:ascii="Arial" w:hAnsi="Arial"/>
          <w:b/>
          <w:color w:val="231F20"/>
        </w:rPr>
        <w:tab/>
      </w:r>
      <w:r>
        <w:rPr>
          <w:color w:val="231F20"/>
          <w:w w:val="120"/>
        </w:rPr>
        <w:t>Institut</w:t>
      </w:r>
      <w:r>
        <w:rPr>
          <w:color w:val="231F20"/>
          <w:spacing w:val="-8"/>
          <w:w w:val="120"/>
        </w:rPr>
        <w:t> </w:t>
      </w:r>
      <w:r>
        <w:rPr>
          <w:color w:val="231F20"/>
          <w:w w:val="120"/>
        </w:rPr>
        <w:t>de</w:t>
      </w:r>
      <w:r>
        <w:rPr>
          <w:color w:val="231F20"/>
          <w:spacing w:val="-8"/>
          <w:w w:val="120"/>
        </w:rPr>
        <w:t> </w:t>
      </w:r>
      <w:r>
        <w:rPr>
          <w:color w:val="231F20"/>
          <w:w w:val="120"/>
        </w:rPr>
        <w:t>recherche</w:t>
      </w:r>
      <w:r>
        <w:rPr>
          <w:color w:val="231F20"/>
          <w:spacing w:val="-8"/>
          <w:w w:val="120"/>
        </w:rPr>
        <w:t> </w:t>
      </w:r>
      <w:r>
        <w:rPr>
          <w:color w:val="231F20"/>
          <w:w w:val="120"/>
        </w:rPr>
        <w:t>sur</w:t>
      </w:r>
      <w:r>
        <w:rPr>
          <w:color w:val="231F20"/>
          <w:spacing w:val="-8"/>
          <w:w w:val="120"/>
        </w:rPr>
        <w:t> </w:t>
      </w:r>
      <w:r>
        <w:rPr>
          <w:color w:val="231F20"/>
          <w:w w:val="120"/>
        </w:rPr>
        <w:t>la</w:t>
      </w:r>
      <w:r>
        <w:rPr>
          <w:color w:val="231F20"/>
          <w:spacing w:val="-8"/>
          <w:w w:val="120"/>
        </w:rPr>
        <w:t> </w:t>
      </w:r>
      <w:r>
        <w:rPr>
          <w:color w:val="231F20"/>
          <w:w w:val="120"/>
        </w:rPr>
        <w:t>santé</w:t>
      </w:r>
      <w:r>
        <w:rPr>
          <w:color w:val="231F20"/>
          <w:spacing w:val="-8"/>
          <w:w w:val="120"/>
        </w:rPr>
        <w:t> </w:t>
      </w:r>
      <w:r>
        <w:rPr>
          <w:color w:val="231F20"/>
          <w:w w:val="120"/>
        </w:rPr>
        <w:t>et</w:t>
      </w:r>
      <w:r>
        <w:rPr>
          <w:color w:val="231F20"/>
          <w:spacing w:val="-8"/>
          <w:w w:val="120"/>
        </w:rPr>
        <w:t> </w:t>
      </w:r>
      <w:r>
        <w:rPr>
          <w:color w:val="231F20"/>
          <w:w w:val="120"/>
        </w:rPr>
        <w:t>sécurité</w:t>
      </w:r>
      <w:r>
        <w:rPr>
          <w:color w:val="231F20"/>
          <w:spacing w:val="-8"/>
          <w:w w:val="120"/>
        </w:rPr>
        <w:t> </w:t>
      </w:r>
      <w:r>
        <w:rPr>
          <w:color w:val="231F20"/>
          <w:w w:val="120"/>
        </w:rPr>
        <w:t>du</w:t>
      </w:r>
      <w:r>
        <w:rPr>
          <w:color w:val="231F20"/>
          <w:spacing w:val="-8"/>
          <w:w w:val="120"/>
        </w:rPr>
        <w:t> </w:t>
      </w:r>
      <w:r>
        <w:rPr>
          <w:color w:val="231F20"/>
          <w:w w:val="120"/>
        </w:rPr>
        <w:t>travail du</w:t>
      </w:r>
      <w:r>
        <w:rPr>
          <w:color w:val="231F20"/>
          <w:spacing w:val="-13"/>
          <w:w w:val="120"/>
        </w:rPr>
        <w:t> </w:t>
      </w:r>
      <w:r>
        <w:rPr>
          <w:color w:val="231F20"/>
          <w:w w:val="120"/>
        </w:rPr>
        <w:t>Québec</w:t>
      </w:r>
    </w:p>
    <w:p>
      <w:pPr>
        <w:pStyle w:val="BodyText"/>
        <w:tabs>
          <w:tab w:pos="2179" w:val="left" w:leader="none"/>
        </w:tabs>
        <w:spacing w:line="195" w:lineRule="exact"/>
        <w:ind w:left="1180"/>
      </w:pPr>
      <w:r>
        <w:rPr>
          <w:rFonts w:ascii="Arial" w:hAnsi="Arial"/>
          <w:b/>
          <w:color w:val="231F20"/>
          <w:spacing w:val="-5"/>
          <w:w w:val="110"/>
        </w:rPr>
        <w:t>QVT</w:t>
      </w:r>
      <w:r>
        <w:rPr>
          <w:rFonts w:ascii="Arial" w:hAnsi="Arial"/>
          <w:b/>
          <w:color w:val="231F20"/>
        </w:rPr>
        <w:tab/>
      </w:r>
      <w:r>
        <w:rPr>
          <w:color w:val="231F20"/>
          <w:w w:val="110"/>
        </w:rPr>
        <w:t>Qualité</w:t>
      </w:r>
      <w:r>
        <w:rPr>
          <w:color w:val="231F20"/>
          <w:spacing w:val="13"/>
          <w:w w:val="110"/>
        </w:rPr>
        <w:t> </w:t>
      </w:r>
      <w:r>
        <w:rPr>
          <w:color w:val="231F20"/>
          <w:w w:val="110"/>
        </w:rPr>
        <w:t>de</w:t>
      </w:r>
      <w:r>
        <w:rPr>
          <w:color w:val="231F20"/>
          <w:spacing w:val="14"/>
          <w:w w:val="110"/>
        </w:rPr>
        <w:t> </w:t>
      </w:r>
      <w:r>
        <w:rPr>
          <w:color w:val="231F20"/>
          <w:w w:val="110"/>
        </w:rPr>
        <w:t>vie</w:t>
      </w:r>
      <w:r>
        <w:rPr>
          <w:color w:val="231F20"/>
          <w:spacing w:val="14"/>
          <w:w w:val="110"/>
        </w:rPr>
        <w:t> </w:t>
      </w:r>
      <w:r>
        <w:rPr>
          <w:color w:val="231F20"/>
          <w:w w:val="110"/>
        </w:rPr>
        <w:t>au</w:t>
      </w:r>
      <w:r>
        <w:rPr>
          <w:color w:val="231F20"/>
          <w:spacing w:val="14"/>
          <w:w w:val="110"/>
        </w:rPr>
        <w:t> </w:t>
      </w:r>
      <w:r>
        <w:rPr>
          <w:color w:val="231F20"/>
          <w:spacing w:val="-2"/>
          <w:w w:val="110"/>
        </w:rPr>
        <w:t>travail</w:t>
      </w:r>
    </w:p>
    <w:p>
      <w:pPr>
        <w:pStyle w:val="BodyText"/>
        <w:tabs>
          <w:tab w:pos="2179" w:val="left" w:leader="none"/>
        </w:tabs>
        <w:spacing w:before="54"/>
        <w:ind w:left="1180"/>
      </w:pPr>
      <w:r>
        <w:rPr>
          <w:rFonts w:ascii="Arial" w:hAnsi="Arial"/>
          <w:b/>
          <w:color w:val="231F20"/>
          <w:spacing w:val="-5"/>
          <w:w w:val="110"/>
        </w:rPr>
        <w:t>SGA</w:t>
      </w:r>
      <w:r>
        <w:rPr>
          <w:rFonts w:ascii="Arial" w:hAnsi="Arial"/>
          <w:b/>
          <w:color w:val="231F20"/>
        </w:rPr>
        <w:tab/>
      </w:r>
      <w:r>
        <w:rPr>
          <w:color w:val="231F20"/>
          <w:w w:val="115"/>
        </w:rPr>
        <w:t>Syndrome</w:t>
      </w:r>
      <w:r>
        <w:rPr>
          <w:color w:val="231F20"/>
          <w:spacing w:val="8"/>
          <w:w w:val="115"/>
        </w:rPr>
        <w:t> </w:t>
      </w:r>
      <w:r>
        <w:rPr>
          <w:color w:val="231F20"/>
          <w:w w:val="115"/>
        </w:rPr>
        <w:t>général</w:t>
      </w:r>
      <w:r>
        <w:rPr>
          <w:color w:val="231F20"/>
          <w:spacing w:val="8"/>
          <w:w w:val="115"/>
        </w:rPr>
        <w:t> </w:t>
      </w:r>
      <w:r>
        <w:rPr>
          <w:color w:val="231F20"/>
          <w:spacing w:val="-2"/>
          <w:w w:val="115"/>
        </w:rPr>
        <w:t>d’adaptation</w:t>
      </w:r>
    </w:p>
    <w:p>
      <w:pPr>
        <w:pStyle w:val="BodyText"/>
        <w:tabs>
          <w:tab w:pos="2179" w:val="left" w:leader="none"/>
        </w:tabs>
        <w:spacing w:before="54"/>
        <w:ind w:left="1180"/>
      </w:pPr>
      <w:r>
        <w:rPr>
          <w:rFonts w:ascii="Arial" w:hAnsi="Arial"/>
          <w:b/>
          <w:color w:val="231F20"/>
          <w:spacing w:val="-5"/>
          <w:w w:val="110"/>
        </w:rPr>
        <w:t>SPT</w:t>
      </w:r>
      <w:r>
        <w:rPr>
          <w:rFonts w:ascii="Arial" w:hAnsi="Arial"/>
          <w:b/>
          <w:color w:val="231F20"/>
        </w:rPr>
        <w:tab/>
      </w:r>
      <w:r>
        <w:rPr>
          <w:color w:val="231F20"/>
          <w:w w:val="115"/>
        </w:rPr>
        <w:t>Santé</w:t>
      </w:r>
      <w:r>
        <w:rPr>
          <w:color w:val="231F20"/>
          <w:spacing w:val="6"/>
          <w:w w:val="115"/>
        </w:rPr>
        <w:t> </w:t>
      </w:r>
      <w:r>
        <w:rPr>
          <w:color w:val="231F20"/>
          <w:w w:val="115"/>
        </w:rPr>
        <w:t>psychologique</w:t>
      </w:r>
      <w:r>
        <w:rPr>
          <w:color w:val="231F20"/>
          <w:spacing w:val="7"/>
          <w:w w:val="115"/>
        </w:rPr>
        <w:t> </w:t>
      </w:r>
      <w:r>
        <w:rPr>
          <w:color w:val="231F20"/>
          <w:w w:val="115"/>
        </w:rPr>
        <w:t>au</w:t>
      </w:r>
      <w:r>
        <w:rPr>
          <w:color w:val="231F20"/>
          <w:spacing w:val="7"/>
          <w:w w:val="115"/>
        </w:rPr>
        <w:t> </w:t>
      </w:r>
      <w:r>
        <w:rPr>
          <w:color w:val="231F20"/>
          <w:spacing w:val="-2"/>
          <w:w w:val="115"/>
        </w:rPr>
        <w:t>travail</w:t>
      </w:r>
    </w:p>
    <w:p>
      <w:pPr>
        <w:spacing w:after="0"/>
        <w:sectPr>
          <w:footerReference w:type="default" r:id="rId20"/>
          <w:pgSz w:w="8640" w:h="12960"/>
          <w:pgMar w:footer="0" w:header="0" w:top="1220" w:bottom="280" w:left="460" w:right="1000"/>
        </w:sectPr>
      </w:pPr>
    </w:p>
    <w:p>
      <w:pPr>
        <w:pStyle w:val="BodyText"/>
        <w:spacing w:before="4"/>
      </w:pPr>
    </w:p>
    <w:p>
      <w:pPr>
        <w:spacing w:after="0"/>
        <w:sectPr>
          <w:footerReference w:type="default" r:id="rId21"/>
          <w:pgSz w:w="8640" w:h="12960"/>
          <w:pgMar w:footer="0" w:header="0" w:top="1220" w:bottom="280" w:left="46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300"/>
        <w:ind w:left="3114"/>
      </w:pPr>
      <w:bookmarkStart w:name="Introduction" w:id="9"/>
      <w:bookmarkEnd w:id="9"/>
      <w:r>
        <w:rPr>
          <w:b w:val="0"/>
        </w:rPr>
      </w:r>
      <w:bookmarkStart w:name="_bookmark4" w:id="10"/>
      <w:bookmarkEnd w:id="10"/>
      <w:r>
        <w:rPr>
          <w:b w:val="0"/>
        </w:rPr>
      </w:r>
      <w:r>
        <w:rPr>
          <w:color w:val="231F20"/>
          <w:spacing w:val="-2"/>
        </w:rPr>
        <w:t>Introduction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rPr>
          <w:rFonts w:ascii="Arial"/>
          <w:b/>
          <w:sz w:val="22"/>
        </w:rPr>
      </w:pPr>
      <w:r>
        <w:rPr/>
        <w:pict>
          <v:shape style="position:absolute;margin-left:82pt;margin-top:13.9104pt;width:87.5pt;height:.1pt;mso-position-horizontal-relative:page;mso-position-vertical-relative:paragraph;z-index:-15722496;mso-wrap-distance-left:0;mso-wrap-distance-right:0" id="docshape20" coordorigin="1640,278" coordsize="1750,0" path="m1640,278l3390,278e" filled="false" stroked="true" strokeweight=".25pt" strokecolor="#231f20">
            <v:path arrowok="t"/>
            <v:stroke dashstyle="solid"/>
            <w10:wrap type="topAndBottom"/>
          </v:shape>
        </w:pict>
      </w:r>
    </w:p>
    <w:p>
      <w:pPr>
        <w:pStyle w:val="BodyText"/>
        <w:spacing w:before="1"/>
        <w:rPr>
          <w:rFonts w:ascii="Arial"/>
          <w:b/>
        </w:rPr>
      </w:pPr>
    </w:p>
    <w:p>
      <w:pPr>
        <w:pStyle w:val="BodyText"/>
        <w:spacing w:line="307" w:lineRule="auto" w:before="145"/>
        <w:ind w:left="1180" w:right="241"/>
        <w:jc w:val="both"/>
      </w:pPr>
      <w:r>
        <w:rPr>
          <w:color w:val="231F20"/>
          <w:w w:val="120"/>
        </w:rPr>
        <w:t>Nous croyons que cette nouvelle édition paraît à point nommé, car le </w:t>
      </w:r>
      <w:r>
        <w:rPr>
          <w:color w:val="231F20"/>
          <w:spacing w:val="-2"/>
          <w:w w:val="120"/>
        </w:rPr>
        <w:t>monde</w:t>
      </w:r>
      <w:r>
        <w:rPr>
          <w:color w:val="231F20"/>
          <w:spacing w:val="-5"/>
          <w:w w:val="120"/>
        </w:rPr>
        <w:t> </w:t>
      </w:r>
      <w:r>
        <w:rPr>
          <w:color w:val="231F20"/>
          <w:spacing w:val="-2"/>
          <w:w w:val="120"/>
        </w:rPr>
        <w:t>organisationnel</w:t>
      </w:r>
      <w:r>
        <w:rPr>
          <w:color w:val="231F20"/>
          <w:spacing w:val="-5"/>
          <w:w w:val="120"/>
        </w:rPr>
        <w:t> </w:t>
      </w:r>
      <w:r>
        <w:rPr>
          <w:color w:val="231F20"/>
          <w:spacing w:val="-2"/>
          <w:w w:val="120"/>
        </w:rPr>
        <w:t>est</w:t>
      </w:r>
      <w:r>
        <w:rPr>
          <w:color w:val="231F20"/>
          <w:spacing w:val="-5"/>
          <w:w w:val="120"/>
        </w:rPr>
        <w:t> </w:t>
      </w:r>
      <w:r>
        <w:rPr>
          <w:color w:val="231F20"/>
          <w:spacing w:val="-2"/>
          <w:w w:val="120"/>
        </w:rPr>
        <w:t>soumis</w:t>
      </w:r>
      <w:r>
        <w:rPr>
          <w:color w:val="231F20"/>
          <w:spacing w:val="-5"/>
          <w:w w:val="120"/>
        </w:rPr>
        <w:t> </w:t>
      </w:r>
      <w:r>
        <w:rPr>
          <w:color w:val="231F20"/>
          <w:spacing w:val="-2"/>
          <w:w w:val="120"/>
        </w:rPr>
        <w:t>à</w:t>
      </w:r>
      <w:r>
        <w:rPr>
          <w:color w:val="231F20"/>
          <w:spacing w:val="-5"/>
          <w:w w:val="120"/>
        </w:rPr>
        <w:t> </w:t>
      </w:r>
      <w:r>
        <w:rPr>
          <w:color w:val="231F20"/>
          <w:spacing w:val="-2"/>
          <w:w w:val="120"/>
        </w:rPr>
        <w:t>des</w:t>
      </w:r>
      <w:r>
        <w:rPr>
          <w:color w:val="231F20"/>
          <w:spacing w:val="-5"/>
          <w:w w:val="120"/>
        </w:rPr>
        <w:t> </w:t>
      </w:r>
      <w:r>
        <w:rPr>
          <w:color w:val="231F20"/>
          <w:spacing w:val="-2"/>
          <w:w w:val="120"/>
        </w:rPr>
        <w:t>exigences</w:t>
      </w:r>
      <w:r>
        <w:rPr>
          <w:color w:val="231F20"/>
          <w:spacing w:val="-5"/>
          <w:w w:val="120"/>
        </w:rPr>
        <w:t> </w:t>
      </w:r>
      <w:r>
        <w:rPr>
          <w:color w:val="231F20"/>
          <w:spacing w:val="-2"/>
          <w:w w:val="120"/>
        </w:rPr>
        <w:t>de</w:t>
      </w:r>
      <w:r>
        <w:rPr>
          <w:color w:val="231F20"/>
          <w:spacing w:val="-5"/>
          <w:w w:val="120"/>
        </w:rPr>
        <w:t> </w:t>
      </w:r>
      <w:r>
        <w:rPr>
          <w:color w:val="231F20"/>
          <w:spacing w:val="-2"/>
          <w:w w:val="120"/>
        </w:rPr>
        <w:t>productivité</w:t>
      </w:r>
      <w:r>
        <w:rPr>
          <w:color w:val="231F20"/>
          <w:spacing w:val="-5"/>
          <w:w w:val="120"/>
        </w:rPr>
        <w:t> </w:t>
      </w:r>
      <w:r>
        <w:rPr>
          <w:color w:val="231F20"/>
          <w:spacing w:val="-2"/>
          <w:w w:val="120"/>
        </w:rPr>
        <w:t>histo- </w:t>
      </w:r>
      <w:r>
        <w:rPr>
          <w:color w:val="231F20"/>
          <w:w w:val="120"/>
        </w:rPr>
        <w:t>riques,</w:t>
      </w:r>
      <w:r>
        <w:rPr>
          <w:color w:val="231F20"/>
          <w:spacing w:val="-11"/>
          <w:w w:val="120"/>
        </w:rPr>
        <w:t> </w:t>
      </w:r>
      <w:r>
        <w:rPr>
          <w:color w:val="231F20"/>
          <w:w w:val="120"/>
        </w:rPr>
        <w:t>exigences</w:t>
      </w:r>
      <w:r>
        <w:rPr>
          <w:color w:val="231F20"/>
          <w:spacing w:val="-11"/>
          <w:w w:val="120"/>
        </w:rPr>
        <w:t> </w:t>
      </w:r>
      <w:r>
        <w:rPr>
          <w:color w:val="231F20"/>
          <w:w w:val="120"/>
        </w:rPr>
        <w:t>qui</w:t>
      </w:r>
      <w:r>
        <w:rPr>
          <w:color w:val="231F20"/>
          <w:spacing w:val="-11"/>
          <w:w w:val="120"/>
        </w:rPr>
        <w:t> </w:t>
      </w:r>
      <w:r>
        <w:rPr>
          <w:color w:val="231F20"/>
          <w:w w:val="120"/>
        </w:rPr>
        <w:t>demeurent,</w:t>
      </w:r>
      <w:r>
        <w:rPr>
          <w:color w:val="231F20"/>
          <w:spacing w:val="-11"/>
          <w:w w:val="120"/>
        </w:rPr>
        <w:t> </w:t>
      </w:r>
      <w:r>
        <w:rPr>
          <w:color w:val="231F20"/>
          <w:w w:val="120"/>
        </w:rPr>
        <w:t>faut-il</w:t>
      </w:r>
      <w:r>
        <w:rPr>
          <w:color w:val="231F20"/>
          <w:spacing w:val="-11"/>
          <w:w w:val="120"/>
        </w:rPr>
        <w:t> </w:t>
      </w:r>
      <w:r>
        <w:rPr>
          <w:color w:val="231F20"/>
          <w:w w:val="120"/>
        </w:rPr>
        <w:t>l’admettre,</w:t>
      </w:r>
      <w:r>
        <w:rPr>
          <w:color w:val="231F20"/>
          <w:spacing w:val="-11"/>
          <w:w w:val="120"/>
        </w:rPr>
        <w:t> </w:t>
      </w:r>
      <w:r>
        <w:rPr>
          <w:color w:val="231F20"/>
          <w:w w:val="120"/>
        </w:rPr>
        <w:t>complexes</w:t>
      </w:r>
      <w:r>
        <w:rPr>
          <w:color w:val="231F20"/>
          <w:spacing w:val="-11"/>
          <w:w w:val="120"/>
        </w:rPr>
        <w:t> </w:t>
      </w:r>
      <w:r>
        <w:rPr>
          <w:color w:val="231F20"/>
          <w:w w:val="120"/>
        </w:rPr>
        <w:t>à</w:t>
      </w:r>
      <w:r>
        <w:rPr>
          <w:color w:val="231F20"/>
          <w:spacing w:val="-11"/>
          <w:w w:val="120"/>
        </w:rPr>
        <w:t> </w:t>
      </w:r>
      <w:r>
        <w:rPr>
          <w:color w:val="231F20"/>
          <w:w w:val="120"/>
        </w:rPr>
        <w:t>conju- guer avec une promotion et un soutien de la santé psychologique au </w:t>
      </w:r>
      <w:r>
        <w:rPr>
          <w:color w:val="231F20"/>
          <w:spacing w:val="-2"/>
          <w:w w:val="120"/>
        </w:rPr>
        <w:t>travail. Si certains cadres envisagent stratégiquement d’accroître la pro- </w:t>
      </w:r>
      <w:r>
        <w:rPr>
          <w:color w:val="231F20"/>
          <w:w w:val="120"/>
        </w:rPr>
        <w:t>ductivité</w:t>
      </w:r>
      <w:r>
        <w:rPr>
          <w:color w:val="231F20"/>
          <w:spacing w:val="-1"/>
          <w:w w:val="120"/>
        </w:rPr>
        <w:t> </w:t>
      </w:r>
      <w:r>
        <w:rPr>
          <w:color w:val="231F20"/>
          <w:w w:val="120"/>
        </w:rPr>
        <w:t>qualitative</w:t>
      </w:r>
      <w:r>
        <w:rPr>
          <w:color w:val="231F20"/>
          <w:spacing w:val="-1"/>
          <w:w w:val="120"/>
        </w:rPr>
        <w:t> </w:t>
      </w:r>
      <w:r>
        <w:rPr>
          <w:color w:val="231F20"/>
          <w:w w:val="120"/>
        </w:rPr>
        <w:t>et</w:t>
      </w:r>
      <w:r>
        <w:rPr>
          <w:color w:val="231F20"/>
          <w:spacing w:val="-1"/>
          <w:w w:val="120"/>
        </w:rPr>
        <w:t> </w:t>
      </w:r>
      <w:r>
        <w:rPr>
          <w:color w:val="231F20"/>
          <w:w w:val="120"/>
        </w:rPr>
        <w:t>quantitative</w:t>
      </w:r>
      <w:r>
        <w:rPr>
          <w:color w:val="231F20"/>
          <w:spacing w:val="-1"/>
          <w:w w:val="120"/>
        </w:rPr>
        <w:t> </w:t>
      </w:r>
      <w:r>
        <w:rPr>
          <w:color w:val="231F20"/>
          <w:w w:val="120"/>
        </w:rPr>
        <w:t>de</w:t>
      </w:r>
      <w:r>
        <w:rPr>
          <w:color w:val="231F20"/>
          <w:spacing w:val="-1"/>
          <w:w w:val="120"/>
        </w:rPr>
        <w:t> </w:t>
      </w:r>
      <w:r>
        <w:rPr>
          <w:color w:val="231F20"/>
          <w:w w:val="120"/>
        </w:rPr>
        <w:t>leur</w:t>
      </w:r>
      <w:r>
        <w:rPr>
          <w:color w:val="231F20"/>
          <w:spacing w:val="-1"/>
          <w:w w:val="120"/>
        </w:rPr>
        <w:t> </w:t>
      </w:r>
      <w:r>
        <w:rPr>
          <w:color w:val="231F20"/>
          <w:w w:val="120"/>
        </w:rPr>
        <w:t>personnel</w:t>
      </w:r>
      <w:r>
        <w:rPr>
          <w:color w:val="231F20"/>
          <w:spacing w:val="-1"/>
          <w:w w:val="120"/>
        </w:rPr>
        <w:t> </w:t>
      </w:r>
      <w:r>
        <w:rPr>
          <w:color w:val="231F20"/>
          <w:w w:val="120"/>
        </w:rPr>
        <w:t>en</w:t>
      </w:r>
      <w:r>
        <w:rPr>
          <w:color w:val="231F20"/>
          <w:spacing w:val="-1"/>
          <w:w w:val="120"/>
        </w:rPr>
        <w:t> </w:t>
      </w:r>
      <w:r>
        <w:rPr>
          <w:color w:val="231F20"/>
          <w:w w:val="120"/>
        </w:rPr>
        <w:t>les</w:t>
      </w:r>
      <w:r>
        <w:rPr>
          <w:color w:val="231F20"/>
          <w:spacing w:val="-1"/>
          <w:w w:val="120"/>
        </w:rPr>
        <w:t> </w:t>
      </w:r>
      <w:r>
        <w:rPr>
          <w:color w:val="231F20"/>
          <w:w w:val="120"/>
        </w:rPr>
        <w:t>poussant</w:t>
      </w:r>
      <w:r>
        <w:rPr>
          <w:color w:val="231F20"/>
          <w:spacing w:val="-1"/>
          <w:w w:val="120"/>
        </w:rPr>
        <w:t> </w:t>
      </w:r>
      <w:r>
        <w:rPr>
          <w:color w:val="231F20"/>
          <w:w w:val="120"/>
        </w:rPr>
        <w:t>à la limite de leurs capacités, trop souvent ces mêmes gestionnaires ont de</w:t>
      </w:r>
      <w:r>
        <w:rPr>
          <w:color w:val="231F20"/>
          <w:spacing w:val="-5"/>
          <w:w w:val="120"/>
        </w:rPr>
        <w:t> </w:t>
      </w:r>
      <w:r>
        <w:rPr>
          <w:color w:val="231F20"/>
          <w:w w:val="120"/>
        </w:rPr>
        <w:t>la</w:t>
      </w:r>
      <w:r>
        <w:rPr>
          <w:color w:val="231F20"/>
          <w:spacing w:val="-5"/>
          <w:w w:val="120"/>
        </w:rPr>
        <w:t> </w:t>
      </w:r>
      <w:r>
        <w:rPr>
          <w:color w:val="231F20"/>
          <w:w w:val="120"/>
        </w:rPr>
        <w:t>difficulté</w:t>
      </w:r>
      <w:r>
        <w:rPr>
          <w:color w:val="231F20"/>
          <w:spacing w:val="-5"/>
          <w:w w:val="120"/>
        </w:rPr>
        <w:t> </w:t>
      </w:r>
      <w:r>
        <w:rPr>
          <w:color w:val="231F20"/>
          <w:w w:val="120"/>
        </w:rPr>
        <w:t>à</w:t>
      </w:r>
      <w:r>
        <w:rPr>
          <w:color w:val="231F20"/>
          <w:spacing w:val="-5"/>
          <w:w w:val="120"/>
        </w:rPr>
        <w:t> </w:t>
      </w:r>
      <w:r>
        <w:rPr>
          <w:color w:val="231F20"/>
          <w:w w:val="120"/>
        </w:rPr>
        <w:t>entrevoir</w:t>
      </w:r>
      <w:r>
        <w:rPr>
          <w:color w:val="231F20"/>
          <w:spacing w:val="-5"/>
          <w:w w:val="120"/>
        </w:rPr>
        <w:t> </w:t>
      </w:r>
      <w:r>
        <w:rPr>
          <w:color w:val="231F20"/>
          <w:w w:val="120"/>
        </w:rPr>
        <w:t>les</w:t>
      </w:r>
      <w:r>
        <w:rPr>
          <w:color w:val="231F20"/>
          <w:spacing w:val="-5"/>
          <w:w w:val="120"/>
        </w:rPr>
        <w:t> </w:t>
      </w:r>
      <w:r>
        <w:rPr>
          <w:color w:val="231F20"/>
          <w:w w:val="120"/>
        </w:rPr>
        <w:t>effets</w:t>
      </w:r>
      <w:r>
        <w:rPr>
          <w:color w:val="231F20"/>
          <w:spacing w:val="-5"/>
          <w:w w:val="120"/>
        </w:rPr>
        <w:t> </w:t>
      </w:r>
      <w:r>
        <w:rPr>
          <w:color w:val="231F20"/>
          <w:w w:val="120"/>
        </w:rPr>
        <w:t>humains</w:t>
      </w:r>
      <w:r>
        <w:rPr>
          <w:color w:val="231F20"/>
          <w:spacing w:val="-5"/>
          <w:w w:val="120"/>
        </w:rPr>
        <w:t> </w:t>
      </w:r>
      <w:r>
        <w:rPr>
          <w:color w:val="231F20"/>
          <w:w w:val="120"/>
        </w:rPr>
        <w:t>collatéraux</w:t>
      </w:r>
      <w:r>
        <w:rPr>
          <w:color w:val="231F20"/>
          <w:spacing w:val="-5"/>
          <w:w w:val="120"/>
        </w:rPr>
        <w:t> </w:t>
      </w:r>
      <w:r>
        <w:rPr>
          <w:color w:val="231F20"/>
          <w:w w:val="120"/>
        </w:rPr>
        <w:t>de</w:t>
      </w:r>
      <w:r>
        <w:rPr>
          <w:color w:val="231F20"/>
          <w:spacing w:val="-5"/>
          <w:w w:val="120"/>
        </w:rPr>
        <w:t> </w:t>
      </w:r>
      <w:r>
        <w:rPr>
          <w:color w:val="231F20"/>
          <w:w w:val="120"/>
        </w:rPr>
        <w:t>cette</w:t>
      </w:r>
      <w:r>
        <w:rPr>
          <w:color w:val="231F20"/>
          <w:spacing w:val="-5"/>
          <w:w w:val="120"/>
        </w:rPr>
        <w:t> </w:t>
      </w:r>
      <w:r>
        <w:rPr>
          <w:color w:val="231F20"/>
          <w:w w:val="120"/>
        </w:rPr>
        <w:t>quête productiviste. Ils ne voient pas (ou simplement, sous-estiment) l’inci- dence</w:t>
      </w:r>
      <w:r>
        <w:rPr>
          <w:color w:val="231F20"/>
          <w:spacing w:val="-13"/>
          <w:w w:val="120"/>
        </w:rPr>
        <w:t> </w:t>
      </w:r>
      <w:r>
        <w:rPr>
          <w:color w:val="231F20"/>
          <w:w w:val="120"/>
        </w:rPr>
        <w:t>directe</w:t>
      </w:r>
      <w:r>
        <w:rPr>
          <w:color w:val="231F20"/>
          <w:spacing w:val="-13"/>
          <w:w w:val="120"/>
        </w:rPr>
        <w:t> </w:t>
      </w:r>
      <w:r>
        <w:rPr>
          <w:color w:val="231F20"/>
          <w:w w:val="120"/>
        </w:rPr>
        <w:t>qu’a</w:t>
      </w:r>
      <w:r>
        <w:rPr>
          <w:color w:val="231F20"/>
          <w:spacing w:val="-12"/>
          <w:w w:val="120"/>
        </w:rPr>
        <w:t> </w:t>
      </w:r>
      <w:r>
        <w:rPr>
          <w:color w:val="231F20"/>
          <w:w w:val="120"/>
        </w:rPr>
        <w:t>sur</w:t>
      </w:r>
      <w:r>
        <w:rPr>
          <w:color w:val="231F20"/>
          <w:spacing w:val="-13"/>
          <w:w w:val="120"/>
        </w:rPr>
        <w:t> </w:t>
      </w:r>
      <w:r>
        <w:rPr>
          <w:color w:val="231F20"/>
          <w:w w:val="120"/>
        </w:rPr>
        <w:t>leur</w:t>
      </w:r>
      <w:r>
        <w:rPr>
          <w:color w:val="231F20"/>
          <w:spacing w:val="-13"/>
          <w:w w:val="120"/>
        </w:rPr>
        <w:t> </w:t>
      </w:r>
      <w:r>
        <w:rPr>
          <w:color w:val="231F20"/>
          <w:w w:val="120"/>
        </w:rPr>
        <w:t>propre</w:t>
      </w:r>
      <w:r>
        <w:rPr>
          <w:color w:val="231F20"/>
          <w:spacing w:val="-12"/>
          <w:w w:val="120"/>
        </w:rPr>
        <w:t> </w:t>
      </w:r>
      <w:r>
        <w:rPr>
          <w:color w:val="231F20"/>
          <w:w w:val="120"/>
        </w:rPr>
        <w:t>vie</w:t>
      </w:r>
      <w:r>
        <w:rPr>
          <w:color w:val="231F20"/>
          <w:spacing w:val="-13"/>
          <w:w w:val="120"/>
        </w:rPr>
        <w:t> </w:t>
      </w:r>
      <w:r>
        <w:rPr>
          <w:color w:val="231F20"/>
          <w:w w:val="120"/>
        </w:rPr>
        <w:t>et</w:t>
      </w:r>
      <w:r>
        <w:rPr>
          <w:color w:val="231F20"/>
          <w:spacing w:val="-13"/>
          <w:w w:val="120"/>
        </w:rPr>
        <w:t> </w:t>
      </w:r>
      <w:r>
        <w:rPr>
          <w:color w:val="231F20"/>
          <w:w w:val="120"/>
        </w:rPr>
        <w:t>leur</w:t>
      </w:r>
      <w:r>
        <w:rPr>
          <w:color w:val="231F20"/>
          <w:spacing w:val="-12"/>
          <w:w w:val="120"/>
        </w:rPr>
        <w:t> </w:t>
      </w:r>
      <w:r>
        <w:rPr>
          <w:color w:val="231F20"/>
          <w:w w:val="120"/>
        </w:rPr>
        <w:t>santé</w:t>
      </w:r>
      <w:r>
        <w:rPr>
          <w:color w:val="231F20"/>
          <w:spacing w:val="-13"/>
          <w:w w:val="120"/>
        </w:rPr>
        <w:t> </w:t>
      </w:r>
      <w:r>
        <w:rPr>
          <w:color w:val="231F20"/>
          <w:w w:val="120"/>
        </w:rPr>
        <w:t>les</w:t>
      </w:r>
      <w:r>
        <w:rPr>
          <w:color w:val="231F20"/>
          <w:spacing w:val="-13"/>
          <w:w w:val="120"/>
        </w:rPr>
        <w:t> </w:t>
      </w:r>
      <w:r>
        <w:rPr>
          <w:color w:val="231F20"/>
          <w:w w:val="120"/>
        </w:rPr>
        <w:t>pressions</w:t>
      </w:r>
      <w:r>
        <w:rPr>
          <w:color w:val="231F20"/>
          <w:spacing w:val="-12"/>
          <w:w w:val="120"/>
        </w:rPr>
        <w:t> </w:t>
      </w:r>
      <w:r>
        <w:rPr>
          <w:color w:val="231F20"/>
          <w:w w:val="120"/>
        </w:rPr>
        <w:t>psycho- </w:t>
      </w:r>
      <w:r>
        <w:rPr>
          <w:color w:val="231F20"/>
          <w:w w:val="115"/>
        </w:rPr>
        <w:t>logiques</w:t>
      </w:r>
      <w:r>
        <w:rPr>
          <w:color w:val="231F20"/>
          <w:spacing w:val="-8"/>
          <w:w w:val="115"/>
        </w:rPr>
        <w:t> </w:t>
      </w:r>
      <w:r>
        <w:rPr>
          <w:color w:val="231F20"/>
          <w:w w:val="115"/>
        </w:rPr>
        <w:t>qu’ils</w:t>
      </w:r>
      <w:r>
        <w:rPr>
          <w:color w:val="231F20"/>
          <w:spacing w:val="-8"/>
          <w:w w:val="115"/>
        </w:rPr>
        <w:t> </w:t>
      </w:r>
      <w:r>
        <w:rPr>
          <w:color w:val="231F20"/>
          <w:w w:val="115"/>
        </w:rPr>
        <w:t>subissent</w:t>
      </w:r>
      <w:r>
        <w:rPr>
          <w:color w:val="231F20"/>
          <w:spacing w:val="-8"/>
          <w:w w:val="115"/>
        </w:rPr>
        <w:t> </w:t>
      </w:r>
      <w:r>
        <w:rPr>
          <w:color w:val="231F20"/>
          <w:w w:val="115"/>
        </w:rPr>
        <w:t>ainsi</w:t>
      </w:r>
      <w:r>
        <w:rPr>
          <w:color w:val="231F20"/>
          <w:spacing w:val="-8"/>
          <w:w w:val="115"/>
        </w:rPr>
        <w:t> </w:t>
      </w:r>
      <w:r>
        <w:rPr>
          <w:color w:val="231F20"/>
          <w:w w:val="115"/>
        </w:rPr>
        <w:t>que</w:t>
      </w:r>
      <w:r>
        <w:rPr>
          <w:color w:val="231F20"/>
          <w:spacing w:val="-8"/>
          <w:w w:val="115"/>
        </w:rPr>
        <w:t> </w:t>
      </w:r>
      <w:r>
        <w:rPr>
          <w:color w:val="231F20"/>
          <w:w w:val="115"/>
        </w:rPr>
        <w:t>celles</w:t>
      </w:r>
      <w:r>
        <w:rPr>
          <w:color w:val="231F20"/>
          <w:spacing w:val="-8"/>
          <w:w w:val="115"/>
        </w:rPr>
        <w:t> </w:t>
      </w:r>
      <w:r>
        <w:rPr>
          <w:color w:val="231F20"/>
          <w:w w:val="115"/>
        </w:rPr>
        <w:t>qu’ils</w:t>
      </w:r>
      <w:r>
        <w:rPr>
          <w:color w:val="231F20"/>
          <w:spacing w:val="-8"/>
          <w:w w:val="115"/>
        </w:rPr>
        <w:t> </w:t>
      </w:r>
      <w:r>
        <w:rPr>
          <w:color w:val="231F20"/>
          <w:w w:val="115"/>
        </w:rPr>
        <w:t>font</w:t>
      </w:r>
      <w:r>
        <w:rPr>
          <w:color w:val="231F20"/>
          <w:spacing w:val="-8"/>
          <w:w w:val="115"/>
        </w:rPr>
        <w:t> </w:t>
      </w:r>
      <w:r>
        <w:rPr>
          <w:color w:val="231F20"/>
          <w:w w:val="115"/>
        </w:rPr>
        <w:t>conséquemment</w:t>
      </w:r>
      <w:r>
        <w:rPr>
          <w:color w:val="231F20"/>
          <w:spacing w:val="-8"/>
          <w:w w:val="115"/>
        </w:rPr>
        <w:t> </w:t>
      </w:r>
      <w:r>
        <w:rPr>
          <w:color w:val="231F20"/>
          <w:w w:val="115"/>
        </w:rPr>
        <w:t>subir </w:t>
      </w:r>
      <w:r>
        <w:rPr>
          <w:color w:val="231F20"/>
          <w:w w:val="120"/>
        </w:rPr>
        <w:t>à</w:t>
      </w:r>
      <w:r>
        <w:rPr>
          <w:color w:val="231F20"/>
          <w:spacing w:val="-13"/>
          <w:w w:val="120"/>
        </w:rPr>
        <w:t> </w:t>
      </w:r>
      <w:r>
        <w:rPr>
          <w:color w:val="231F20"/>
          <w:w w:val="120"/>
        </w:rPr>
        <w:t>leur</w:t>
      </w:r>
      <w:r>
        <w:rPr>
          <w:color w:val="231F20"/>
          <w:spacing w:val="-13"/>
          <w:w w:val="120"/>
        </w:rPr>
        <w:t> </w:t>
      </w:r>
      <w:r>
        <w:rPr>
          <w:color w:val="231F20"/>
          <w:w w:val="120"/>
        </w:rPr>
        <w:t>équipe</w:t>
      </w:r>
      <w:r>
        <w:rPr>
          <w:color w:val="231F20"/>
          <w:spacing w:val="-13"/>
          <w:w w:val="120"/>
        </w:rPr>
        <w:t> </w:t>
      </w:r>
      <w:r>
        <w:rPr>
          <w:color w:val="231F20"/>
          <w:w w:val="120"/>
        </w:rPr>
        <w:t>de</w:t>
      </w:r>
      <w:r>
        <w:rPr>
          <w:color w:val="231F20"/>
          <w:spacing w:val="-12"/>
          <w:w w:val="120"/>
        </w:rPr>
        <w:t> </w:t>
      </w:r>
      <w:r>
        <w:rPr>
          <w:color w:val="231F20"/>
          <w:w w:val="120"/>
        </w:rPr>
        <w:t>travail.</w:t>
      </w:r>
      <w:r>
        <w:rPr>
          <w:color w:val="231F20"/>
          <w:spacing w:val="-13"/>
          <w:w w:val="120"/>
        </w:rPr>
        <w:t> </w:t>
      </w:r>
      <w:r>
        <w:rPr>
          <w:color w:val="231F20"/>
          <w:w w:val="120"/>
        </w:rPr>
        <w:t>Il</w:t>
      </w:r>
      <w:r>
        <w:rPr>
          <w:color w:val="231F20"/>
          <w:spacing w:val="-13"/>
          <w:w w:val="120"/>
        </w:rPr>
        <w:t> </w:t>
      </w:r>
      <w:r>
        <w:rPr>
          <w:color w:val="231F20"/>
          <w:w w:val="120"/>
        </w:rPr>
        <w:t>serait</w:t>
      </w:r>
      <w:r>
        <w:rPr>
          <w:color w:val="231F20"/>
          <w:spacing w:val="-13"/>
          <w:w w:val="120"/>
        </w:rPr>
        <w:t> </w:t>
      </w:r>
      <w:r>
        <w:rPr>
          <w:color w:val="231F20"/>
          <w:w w:val="120"/>
        </w:rPr>
        <w:t>évidemment</w:t>
      </w:r>
      <w:r>
        <w:rPr>
          <w:color w:val="231F20"/>
          <w:spacing w:val="-12"/>
          <w:w w:val="120"/>
        </w:rPr>
        <w:t> </w:t>
      </w:r>
      <w:r>
        <w:rPr>
          <w:color w:val="231F20"/>
          <w:w w:val="120"/>
        </w:rPr>
        <w:t>utopique</w:t>
      </w:r>
      <w:r>
        <w:rPr>
          <w:color w:val="231F20"/>
          <w:spacing w:val="-13"/>
          <w:w w:val="120"/>
        </w:rPr>
        <w:t> </w:t>
      </w:r>
      <w:r>
        <w:rPr>
          <w:color w:val="231F20"/>
          <w:w w:val="120"/>
        </w:rPr>
        <w:t>d’espérer</w:t>
      </w:r>
      <w:r>
        <w:rPr>
          <w:color w:val="231F20"/>
          <w:spacing w:val="-13"/>
          <w:w w:val="120"/>
        </w:rPr>
        <w:t> </w:t>
      </w:r>
      <w:r>
        <w:rPr>
          <w:color w:val="231F20"/>
          <w:w w:val="120"/>
        </w:rPr>
        <w:t>aujour- d’hui rencontrer des contextes de travail exempts de toutes formes de stress.</w:t>
      </w:r>
      <w:r>
        <w:rPr>
          <w:color w:val="231F20"/>
          <w:spacing w:val="-13"/>
          <w:w w:val="120"/>
        </w:rPr>
        <w:t> </w:t>
      </w:r>
      <w:r>
        <w:rPr>
          <w:color w:val="231F20"/>
          <w:w w:val="120"/>
        </w:rPr>
        <w:t>Le</w:t>
      </w:r>
      <w:r>
        <w:rPr>
          <w:color w:val="231F20"/>
          <w:spacing w:val="-13"/>
          <w:w w:val="120"/>
        </w:rPr>
        <w:t> </w:t>
      </w:r>
      <w:r>
        <w:rPr>
          <w:color w:val="231F20"/>
          <w:w w:val="120"/>
        </w:rPr>
        <w:t>père</w:t>
      </w:r>
      <w:r>
        <w:rPr>
          <w:color w:val="231F20"/>
          <w:spacing w:val="-13"/>
          <w:w w:val="120"/>
        </w:rPr>
        <w:t> </w:t>
      </w:r>
      <w:r>
        <w:rPr>
          <w:color w:val="231F20"/>
          <w:w w:val="120"/>
        </w:rPr>
        <w:t>du</w:t>
      </w:r>
      <w:r>
        <w:rPr>
          <w:color w:val="231F20"/>
          <w:spacing w:val="-12"/>
          <w:w w:val="120"/>
        </w:rPr>
        <w:t> </w:t>
      </w:r>
      <w:r>
        <w:rPr>
          <w:color w:val="231F20"/>
          <w:w w:val="120"/>
        </w:rPr>
        <w:t>stress,</w:t>
      </w:r>
      <w:r>
        <w:rPr>
          <w:color w:val="231F20"/>
          <w:spacing w:val="-13"/>
          <w:w w:val="120"/>
        </w:rPr>
        <w:t> </w:t>
      </w:r>
      <w:r>
        <w:rPr>
          <w:color w:val="231F20"/>
          <w:w w:val="120"/>
        </w:rPr>
        <w:t>Hans</w:t>
      </w:r>
      <w:r>
        <w:rPr>
          <w:color w:val="231F20"/>
          <w:spacing w:val="-13"/>
          <w:w w:val="120"/>
        </w:rPr>
        <w:t> </w:t>
      </w:r>
      <w:r>
        <w:rPr>
          <w:color w:val="231F20"/>
          <w:w w:val="120"/>
        </w:rPr>
        <w:t>Selye,</w:t>
      </w:r>
      <w:r>
        <w:rPr>
          <w:color w:val="231F20"/>
          <w:spacing w:val="-13"/>
          <w:w w:val="120"/>
        </w:rPr>
        <w:t> </w:t>
      </w:r>
      <w:r>
        <w:rPr>
          <w:color w:val="231F20"/>
          <w:w w:val="120"/>
        </w:rPr>
        <w:t>l’exprimait</w:t>
      </w:r>
      <w:r>
        <w:rPr>
          <w:color w:val="231F20"/>
          <w:spacing w:val="-12"/>
          <w:w w:val="120"/>
        </w:rPr>
        <w:t> </w:t>
      </w:r>
      <w:r>
        <w:rPr>
          <w:color w:val="231F20"/>
          <w:w w:val="120"/>
        </w:rPr>
        <w:t>assez</w:t>
      </w:r>
      <w:r>
        <w:rPr>
          <w:color w:val="231F20"/>
          <w:spacing w:val="-13"/>
          <w:w w:val="120"/>
        </w:rPr>
        <w:t> </w:t>
      </w:r>
      <w:r>
        <w:rPr>
          <w:color w:val="231F20"/>
          <w:w w:val="120"/>
        </w:rPr>
        <w:t>simplement</w:t>
      </w:r>
      <w:r>
        <w:rPr>
          <w:color w:val="231F20"/>
          <w:spacing w:val="-13"/>
          <w:w w:val="120"/>
        </w:rPr>
        <w:t> </w:t>
      </w:r>
      <w:r>
        <w:rPr>
          <w:color w:val="231F20"/>
          <w:w w:val="120"/>
        </w:rPr>
        <w:t>lors- qu’il</w:t>
      </w:r>
      <w:r>
        <w:rPr>
          <w:color w:val="231F20"/>
          <w:spacing w:val="-12"/>
          <w:w w:val="120"/>
        </w:rPr>
        <w:t> </w:t>
      </w:r>
      <w:r>
        <w:rPr>
          <w:color w:val="231F20"/>
          <w:w w:val="120"/>
        </w:rPr>
        <w:t>mentionnait</w:t>
      </w:r>
      <w:r>
        <w:rPr>
          <w:color w:val="231F20"/>
          <w:spacing w:val="-12"/>
          <w:w w:val="120"/>
        </w:rPr>
        <w:t> </w:t>
      </w:r>
      <w:r>
        <w:rPr>
          <w:color w:val="231F20"/>
          <w:w w:val="120"/>
        </w:rPr>
        <w:t>que</w:t>
      </w:r>
      <w:r>
        <w:rPr>
          <w:color w:val="231F20"/>
          <w:spacing w:val="-12"/>
          <w:w w:val="120"/>
        </w:rPr>
        <w:t> </w:t>
      </w:r>
      <w:r>
        <w:rPr>
          <w:color w:val="231F20"/>
          <w:w w:val="120"/>
        </w:rPr>
        <w:t>seule</w:t>
      </w:r>
      <w:r>
        <w:rPr>
          <w:color w:val="231F20"/>
          <w:spacing w:val="-12"/>
          <w:w w:val="120"/>
        </w:rPr>
        <w:t> </w:t>
      </w:r>
      <w:r>
        <w:rPr>
          <w:color w:val="231F20"/>
          <w:w w:val="120"/>
        </w:rPr>
        <w:t>la</w:t>
      </w:r>
      <w:r>
        <w:rPr>
          <w:color w:val="231F20"/>
          <w:spacing w:val="-12"/>
          <w:w w:val="120"/>
        </w:rPr>
        <w:t> </w:t>
      </w:r>
      <w:r>
        <w:rPr>
          <w:color w:val="231F20"/>
          <w:w w:val="120"/>
        </w:rPr>
        <w:t>mort</w:t>
      </w:r>
      <w:r>
        <w:rPr>
          <w:color w:val="231F20"/>
          <w:spacing w:val="-12"/>
          <w:w w:val="120"/>
        </w:rPr>
        <w:t> </w:t>
      </w:r>
      <w:r>
        <w:rPr>
          <w:color w:val="231F20"/>
          <w:w w:val="120"/>
        </w:rPr>
        <w:t>nous</w:t>
      </w:r>
      <w:r>
        <w:rPr>
          <w:color w:val="231F20"/>
          <w:spacing w:val="-12"/>
          <w:w w:val="120"/>
        </w:rPr>
        <w:t> </w:t>
      </w:r>
      <w:r>
        <w:rPr>
          <w:color w:val="231F20"/>
          <w:w w:val="120"/>
        </w:rPr>
        <w:t>libère</w:t>
      </w:r>
      <w:r>
        <w:rPr>
          <w:color w:val="231F20"/>
          <w:spacing w:val="-12"/>
          <w:w w:val="120"/>
        </w:rPr>
        <w:t> </w:t>
      </w:r>
      <w:r>
        <w:rPr>
          <w:color w:val="231F20"/>
          <w:w w:val="120"/>
        </w:rPr>
        <w:t>complètement</w:t>
      </w:r>
      <w:r>
        <w:rPr>
          <w:color w:val="231F20"/>
          <w:spacing w:val="-12"/>
          <w:w w:val="120"/>
        </w:rPr>
        <w:t> </w:t>
      </w:r>
      <w:r>
        <w:rPr>
          <w:color w:val="231F20"/>
          <w:w w:val="120"/>
        </w:rPr>
        <w:t>du</w:t>
      </w:r>
      <w:r>
        <w:rPr>
          <w:color w:val="231F20"/>
          <w:spacing w:val="-12"/>
          <w:w w:val="120"/>
        </w:rPr>
        <w:t> </w:t>
      </w:r>
      <w:r>
        <w:rPr>
          <w:color w:val="231F20"/>
          <w:w w:val="120"/>
        </w:rPr>
        <w:t>stress, ce</w:t>
      </w:r>
      <w:r>
        <w:rPr>
          <w:color w:val="231F20"/>
          <w:spacing w:val="-3"/>
          <w:w w:val="120"/>
        </w:rPr>
        <w:t> </w:t>
      </w:r>
      <w:r>
        <w:rPr>
          <w:color w:val="231F20"/>
          <w:w w:val="120"/>
        </w:rPr>
        <w:t>qui</w:t>
      </w:r>
      <w:r>
        <w:rPr>
          <w:color w:val="231F20"/>
          <w:spacing w:val="-3"/>
          <w:w w:val="120"/>
        </w:rPr>
        <w:t> </w:t>
      </w:r>
      <w:r>
        <w:rPr>
          <w:color w:val="231F20"/>
          <w:w w:val="120"/>
        </w:rPr>
        <w:t>naturellement</w:t>
      </w:r>
      <w:r>
        <w:rPr>
          <w:color w:val="231F20"/>
          <w:spacing w:val="-3"/>
          <w:w w:val="120"/>
        </w:rPr>
        <w:t> </w:t>
      </w:r>
      <w:r>
        <w:rPr>
          <w:color w:val="231F20"/>
          <w:w w:val="120"/>
        </w:rPr>
        <w:t>s’applique</w:t>
      </w:r>
      <w:r>
        <w:rPr>
          <w:color w:val="231F20"/>
          <w:spacing w:val="-3"/>
          <w:w w:val="120"/>
        </w:rPr>
        <w:t> </w:t>
      </w:r>
      <w:r>
        <w:rPr>
          <w:color w:val="231F20"/>
          <w:w w:val="120"/>
        </w:rPr>
        <w:t>par</w:t>
      </w:r>
      <w:r>
        <w:rPr>
          <w:color w:val="231F20"/>
          <w:spacing w:val="-3"/>
          <w:w w:val="120"/>
        </w:rPr>
        <w:t> </w:t>
      </w:r>
      <w:r>
        <w:rPr>
          <w:color w:val="231F20"/>
          <w:w w:val="120"/>
        </w:rPr>
        <w:t>extension</w:t>
      </w:r>
      <w:r>
        <w:rPr>
          <w:color w:val="231F20"/>
          <w:spacing w:val="-3"/>
          <w:w w:val="120"/>
        </w:rPr>
        <w:t> </w:t>
      </w:r>
      <w:r>
        <w:rPr>
          <w:color w:val="231F20"/>
          <w:w w:val="120"/>
        </w:rPr>
        <w:t>à</w:t>
      </w:r>
      <w:r>
        <w:rPr>
          <w:color w:val="231F20"/>
          <w:spacing w:val="-3"/>
          <w:w w:val="120"/>
        </w:rPr>
        <w:t> </w:t>
      </w:r>
      <w:r>
        <w:rPr>
          <w:color w:val="231F20"/>
          <w:w w:val="120"/>
        </w:rPr>
        <w:t>la</w:t>
      </w:r>
      <w:r>
        <w:rPr>
          <w:color w:val="231F20"/>
          <w:spacing w:val="-3"/>
          <w:w w:val="120"/>
        </w:rPr>
        <w:t> </w:t>
      </w:r>
      <w:r>
        <w:rPr>
          <w:color w:val="231F20"/>
          <w:w w:val="120"/>
        </w:rPr>
        <w:t>réalité</w:t>
      </w:r>
      <w:r>
        <w:rPr>
          <w:color w:val="231F20"/>
          <w:spacing w:val="-3"/>
          <w:w w:val="120"/>
        </w:rPr>
        <w:t> </w:t>
      </w:r>
      <w:r>
        <w:rPr>
          <w:color w:val="231F20"/>
          <w:w w:val="120"/>
        </w:rPr>
        <w:t>organisation- nelle. Cependant, force est de reconnaître que les facteurs de stress semblent</w:t>
      </w:r>
      <w:r>
        <w:rPr>
          <w:color w:val="231F20"/>
          <w:spacing w:val="-13"/>
          <w:w w:val="120"/>
        </w:rPr>
        <w:t> </w:t>
      </w:r>
      <w:r>
        <w:rPr>
          <w:color w:val="231F20"/>
          <w:w w:val="120"/>
        </w:rPr>
        <w:t>prendre</w:t>
      </w:r>
      <w:r>
        <w:rPr>
          <w:color w:val="231F20"/>
          <w:spacing w:val="-13"/>
          <w:w w:val="120"/>
        </w:rPr>
        <w:t> </w:t>
      </w:r>
      <w:r>
        <w:rPr>
          <w:color w:val="231F20"/>
          <w:w w:val="120"/>
        </w:rPr>
        <w:t>de</w:t>
      </w:r>
      <w:r>
        <w:rPr>
          <w:color w:val="231F20"/>
          <w:spacing w:val="-12"/>
          <w:w w:val="120"/>
        </w:rPr>
        <w:t> </w:t>
      </w:r>
      <w:r>
        <w:rPr>
          <w:color w:val="231F20"/>
          <w:w w:val="120"/>
        </w:rPr>
        <w:t>plus</w:t>
      </w:r>
      <w:r>
        <w:rPr>
          <w:color w:val="231F20"/>
          <w:spacing w:val="-13"/>
          <w:w w:val="120"/>
        </w:rPr>
        <w:t> </w:t>
      </w:r>
      <w:r>
        <w:rPr>
          <w:color w:val="231F20"/>
          <w:w w:val="120"/>
        </w:rPr>
        <w:t>en</w:t>
      </w:r>
      <w:r>
        <w:rPr>
          <w:color w:val="231F20"/>
          <w:spacing w:val="-13"/>
          <w:w w:val="120"/>
        </w:rPr>
        <w:t> </w:t>
      </w:r>
      <w:r>
        <w:rPr>
          <w:color w:val="231F20"/>
          <w:w w:val="120"/>
        </w:rPr>
        <w:t>plus</w:t>
      </w:r>
      <w:r>
        <w:rPr>
          <w:color w:val="231F20"/>
          <w:spacing w:val="-12"/>
          <w:w w:val="120"/>
        </w:rPr>
        <w:t> </w:t>
      </w:r>
      <w:r>
        <w:rPr>
          <w:color w:val="231F20"/>
          <w:w w:val="120"/>
        </w:rPr>
        <w:t>de</w:t>
      </w:r>
      <w:r>
        <w:rPr>
          <w:color w:val="231F20"/>
          <w:spacing w:val="-13"/>
          <w:w w:val="120"/>
        </w:rPr>
        <w:t> </w:t>
      </w:r>
      <w:r>
        <w:rPr>
          <w:color w:val="231F20"/>
          <w:w w:val="120"/>
        </w:rPr>
        <w:t>place,</w:t>
      </w:r>
      <w:r>
        <w:rPr>
          <w:color w:val="231F20"/>
          <w:spacing w:val="-13"/>
          <w:w w:val="120"/>
        </w:rPr>
        <w:t> </w:t>
      </w:r>
      <w:r>
        <w:rPr>
          <w:color w:val="231F20"/>
          <w:w w:val="120"/>
        </w:rPr>
        <w:t>soit</w:t>
      </w:r>
      <w:r>
        <w:rPr>
          <w:color w:val="231F20"/>
          <w:spacing w:val="-12"/>
          <w:w w:val="120"/>
        </w:rPr>
        <w:t> </w:t>
      </w:r>
      <w:r>
        <w:rPr>
          <w:color w:val="231F20"/>
          <w:w w:val="120"/>
        </w:rPr>
        <w:t>par</w:t>
      </w:r>
      <w:r>
        <w:rPr>
          <w:color w:val="231F20"/>
          <w:spacing w:val="-13"/>
          <w:w w:val="120"/>
        </w:rPr>
        <w:t> </w:t>
      </w:r>
      <w:r>
        <w:rPr>
          <w:color w:val="231F20"/>
          <w:w w:val="120"/>
        </w:rPr>
        <w:t>un</w:t>
      </w:r>
      <w:r>
        <w:rPr>
          <w:color w:val="231F20"/>
          <w:spacing w:val="-13"/>
          <w:w w:val="120"/>
        </w:rPr>
        <w:t> </w:t>
      </w:r>
      <w:r>
        <w:rPr>
          <w:color w:val="231F20"/>
          <w:w w:val="120"/>
        </w:rPr>
        <w:t>manque</w:t>
      </w:r>
      <w:r>
        <w:rPr>
          <w:color w:val="231F20"/>
          <w:spacing w:val="-12"/>
          <w:w w:val="120"/>
        </w:rPr>
        <w:t> </w:t>
      </w:r>
      <w:r>
        <w:rPr>
          <w:color w:val="231F20"/>
          <w:w w:val="120"/>
        </w:rPr>
        <w:t>de</w:t>
      </w:r>
      <w:r>
        <w:rPr>
          <w:color w:val="231F20"/>
          <w:spacing w:val="-13"/>
          <w:w w:val="120"/>
        </w:rPr>
        <w:t> </w:t>
      </w:r>
      <w:r>
        <w:rPr>
          <w:color w:val="231F20"/>
          <w:w w:val="120"/>
        </w:rPr>
        <w:t>stimu- </w:t>
      </w:r>
      <w:r>
        <w:rPr>
          <w:color w:val="231F20"/>
          <w:spacing w:val="-2"/>
          <w:w w:val="120"/>
        </w:rPr>
        <w:t>lation</w:t>
      </w:r>
      <w:r>
        <w:rPr>
          <w:color w:val="231F20"/>
          <w:spacing w:val="-6"/>
          <w:w w:val="120"/>
        </w:rPr>
        <w:t> </w:t>
      </w:r>
      <w:r>
        <w:rPr>
          <w:color w:val="231F20"/>
          <w:spacing w:val="-2"/>
          <w:w w:val="120"/>
        </w:rPr>
        <w:t>ou</w:t>
      </w:r>
      <w:r>
        <w:rPr>
          <w:color w:val="231F20"/>
          <w:spacing w:val="-6"/>
          <w:w w:val="120"/>
        </w:rPr>
        <w:t> </w:t>
      </w:r>
      <w:r>
        <w:rPr>
          <w:color w:val="231F20"/>
          <w:spacing w:val="-2"/>
          <w:w w:val="120"/>
        </w:rPr>
        <w:t>trop</w:t>
      </w:r>
      <w:r>
        <w:rPr>
          <w:color w:val="231F20"/>
          <w:spacing w:val="-6"/>
          <w:w w:val="120"/>
        </w:rPr>
        <w:t> </w:t>
      </w:r>
      <w:r>
        <w:rPr>
          <w:color w:val="231F20"/>
          <w:spacing w:val="-2"/>
          <w:w w:val="120"/>
        </w:rPr>
        <w:t>souvent</w:t>
      </w:r>
      <w:r>
        <w:rPr>
          <w:color w:val="231F20"/>
          <w:spacing w:val="-6"/>
          <w:w w:val="120"/>
        </w:rPr>
        <w:t> </w:t>
      </w:r>
      <w:r>
        <w:rPr>
          <w:color w:val="231F20"/>
          <w:spacing w:val="-2"/>
          <w:w w:val="120"/>
        </w:rPr>
        <w:t>par</w:t>
      </w:r>
      <w:r>
        <w:rPr>
          <w:color w:val="231F20"/>
          <w:spacing w:val="-6"/>
          <w:w w:val="120"/>
        </w:rPr>
        <w:t> </w:t>
      </w:r>
      <w:r>
        <w:rPr>
          <w:color w:val="231F20"/>
          <w:spacing w:val="-2"/>
          <w:w w:val="120"/>
        </w:rPr>
        <w:t>une</w:t>
      </w:r>
      <w:r>
        <w:rPr>
          <w:color w:val="231F20"/>
          <w:spacing w:val="-6"/>
          <w:w w:val="120"/>
        </w:rPr>
        <w:t> </w:t>
      </w:r>
      <w:r>
        <w:rPr>
          <w:color w:val="231F20"/>
          <w:spacing w:val="-2"/>
          <w:w w:val="120"/>
        </w:rPr>
        <w:t>hyperstimulation</w:t>
      </w:r>
      <w:r>
        <w:rPr>
          <w:color w:val="231F20"/>
          <w:spacing w:val="-6"/>
          <w:w w:val="120"/>
        </w:rPr>
        <w:t> </w:t>
      </w:r>
      <w:r>
        <w:rPr>
          <w:color w:val="231F20"/>
          <w:spacing w:val="-2"/>
          <w:w w:val="120"/>
        </w:rPr>
        <w:t>qu’on</w:t>
      </w:r>
      <w:r>
        <w:rPr>
          <w:color w:val="231F20"/>
          <w:spacing w:val="-6"/>
          <w:w w:val="120"/>
        </w:rPr>
        <w:t> </w:t>
      </w:r>
      <w:r>
        <w:rPr>
          <w:color w:val="231F20"/>
          <w:spacing w:val="-2"/>
          <w:w w:val="120"/>
        </w:rPr>
        <w:t>associe</w:t>
      </w:r>
      <w:r>
        <w:rPr>
          <w:color w:val="231F20"/>
          <w:spacing w:val="-6"/>
          <w:w w:val="120"/>
        </w:rPr>
        <w:t> </w:t>
      </w:r>
      <w:r>
        <w:rPr>
          <w:color w:val="231F20"/>
          <w:spacing w:val="-2"/>
          <w:w w:val="120"/>
        </w:rPr>
        <w:t>à</w:t>
      </w:r>
      <w:r>
        <w:rPr>
          <w:color w:val="231F20"/>
          <w:spacing w:val="-6"/>
          <w:w w:val="120"/>
        </w:rPr>
        <w:t> </w:t>
      </w:r>
      <w:r>
        <w:rPr>
          <w:color w:val="231F20"/>
          <w:spacing w:val="-2"/>
          <w:w w:val="120"/>
        </w:rPr>
        <w:t>une</w:t>
      </w:r>
      <w:r>
        <w:rPr>
          <w:color w:val="231F20"/>
          <w:spacing w:val="-6"/>
          <w:w w:val="120"/>
        </w:rPr>
        <w:t> </w:t>
      </w:r>
      <w:r>
        <w:rPr>
          <w:color w:val="231F20"/>
          <w:spacing w:val="-2"/>
          <w:w w:val="120"/>
        </w:rPr>
        <w:t>sur- </w:t>
      </w:r>
      <w:r>
        <w:rPr>
          <w:color w:val="231F20"/>
          <w:w w:val="115"/>
        </w:rPr>
        <w:t>charge</w:t>
      </w:r>
      <w:r>
        <w:rPr>
          <w:color w:val="231F20"/>
          <w:spacing w:val="-2"/>
          <w:w w:val="115"/>
        </w:rPr>
        <w:t> </w:t>
      </w:r>
      <w:r>
        <w:rPr>
          <w:color w:val="231F20"/>
          <w:w w:val="115"/>
        </w:rPr>
        <w:t>de</w:t>
      </w:r>
      <w:r>
        <w:rPr>
          <w:color w:val="231F20"/>
          <w:spacing w:val="-2"/>
          <w:w w:val="115"/>
        </w:rPr>
        <w:t> </w:t>
      </w:r>
      <w:r>
        <w:rPr>
          <w:color w:val="231F20"/>
          <w:w w:val="115"/>
        </w:rPr>
        <w:t>travail.</w:t>
      </w:r>
      <w:r>
        <w:rPr>
          <w:color w:val="231F20"/>
          <w:spacing w:val="-2"/>
          <w:w w:val="115"/>
        </w:rPr>
        <w:t> </w:t>
      </w:r>
      <w:r>
        <w:rPr>
          <w:color w:val="231F20"/>
          <w:w w:val="115"/>
        </w:rPr>
        <w:t>Sous</w:t>
      </w:r>
      <w:r>
        <w:rPr>
          <w:color w:val="231F20"/>
          <w:spacing w:val="-2"/>
          <w:w w:val="115"/>
        </w:rPr>
        <w:t> </w:t>
      </w:r>
      <w:r>
        <w:rPr>
          <w:color w:val="231F20"/>
          <w:w w:val="115"/>
        </w:rPr>
        <w:t>un</w:t>
      </w:r>
      <w:r>
        <w:rPr>
          <w:color w:val="231F20"/>
          <w:spacing w:val="-2"/>
          <w:w w:val="115"/>
        </w:rPr>
        <w:t> </w:t>
      </w:r>
      <w:r>
        <w:rPr>
          <w:color w:val="231F20"/>
          <w:w w:val="115"/>
        </w:rPr>
        <w:t>angle</w:t>
      </w:r>
      <w:r>
        <w:rPr>
          <w:color w:val="231F20"/>
          <w:spacing w:val="-2"/>
          <w:w w:val="115"/>
        </w:rPr>
        <w:t> </w:t>
      </w:r>
      <w:r>
        <w:rPr>
          <w:color w:val="231F20"/>
          <w:w w:val="115"/>
        </w:rPr>
        <w:t>ou</w:t>
      </w:r>
      <w:r>
        <w:rPr>
          <w:color w:val="231F20"/>
          <w:spacing w:val="-2"/>
          <w:w w:val="115"/>
        </w:rPr>
        <w:t> </w:t>
      </w:r>
      <w:r>
        <w:rPr>
          <w:color w:val="231F20"/>
          <w:w w:val="115"/>
        </w:rPr>
        <w:t>l’autre,</w:t>
      </w:r>
      <w:r>
        <w:rPr>
          <w:color w:val="231F20"/>
          <w:spacing w:val="-2"/>
          <w:w w:val="115"/>
        </w:rPr>
        <w:t> </w:t>
      </w:r>
      <w:r>
        <w:rPr>
          <w:color w:val="231F20"/>
          <w:w w:val="115"/>
        </w:rPr>
        <w:t>la</w:t>
      </w:r>
      <w:r>
        <w:rPr>
          <w:color w:val="231F20"/>
          <w:spacing w:val="-2"/>
          <w:w w:val="115"/>
        </w:rPr>
        <w:t> </w:t>
      </w:r>
      <w:r>
        <w:rPr>
          <w:color w:val="231F20"/>
          <w:w w:val="115"/>
        </w:rPr>
        <w:t>question</w:t>
      </w:r>
      <w:r>
        <w:rPr>
          <w:color w:val="231F20"/>
          <w:spacing w:val="-2"/>
          <w:w w:val="115"/>
        </w:rPr>
        <w:t> </w:t>
      </w:r>
      <w:r>
        <w:rPr>
          <w:color w:val="231F20"/>
          <w:w w:val="115"/>
        </w:rPr>
        <w:t>qui</w:t>
      </w:r>
      <w:r>
        <w:rPr>
          <w:color w:val="231F20"/>
          <w:spacing w:val="-2"/>
          <w:w w:val="115"/>
        </w:rPr>
        <w:t> </w:t>
      </w:r>
      <w:r>
        <w:rPr>
          <w:color w:val="231F20"/>
          <w:w w:val="115"/>
        </w:rPr>
        <w:t>prime</w:t>
      </w:r>
      <w:r>
        <w:rPr>
          <w:color w:val="231F20"/>
          <w:spacing w:val="-2"/>
          <w:w w:val="115"/>
        </w:rPr>
        <w:t> </w:t>
      </w:r>
      <w:r>
        <w:rPr>
          <w:color w:val="231F20"/>
          <w:w w:val="115"/>
        </w:rPr>
        <w:t>est</w:t>
      </w:r>
      <w:r>
        <w:rPr>
          <w:color w:val="231F20"/>
          <w:spacing w:val="-2"/>
          <w:w w:val="115"/>
        </w:rPr>
        <w:t> </w:t>
      </w:r>
      <w:r>
        <w:rPr>
          <w:color w:val="231F20"/>
          <w:w w:val="115"/>
        </w:rPr>
        <w:t>celle </w:t>
      </w:r>
      <w:r>
        <w:rPr>
          <w:color w:val="231F20"/>
          <w:w w:val="120"/>
        </w:rPr>
        <w:t>de l’adaptation et de la nécessaire adéquation entre les conditions de travail et la santé psychologique des travailleurs.</w:t>
      </w:r>
    </w:p>
    <w:p>
      <w:pPr>
        <w:pStyle w:val="BodyText"/>
        <w:spacing w:line="307" w:lineRule="auto" w:before="76"/>
        <w:ind w:left="1180" w:right="243" w:firstLine="250"/>
        <w:jc w:val="both"/>
      </w:pPr>
      <w:r>
        <w:rPr>
          <w:color w:val="231F20"/>
          <w:w w:val="120"/>
        </w:rPr>
        <w:t>Ces</w:t>
      </w:r>
      <w:r>
        <w:rPr>
          <w:color w:val="231F20"/>
          <w:spacing w:val="-13"/>
          <w:w w:val="120"/>
        </w:rPr>
        <w:t> </w:t>
      </w:r>
      <w:r>
        <w:rPr>
          <w:color w:val="231F20"/>
          <w:w w:val="120"/>
        </w:rPr>
        <w:t>transformations</w:t>
      </w:r>
      <w:r>
        <w:rPr>
          <w:color w:val="231F20"/>
          <w:spacing w:val="-12"/>
          <w:w w:val="120"/>
        </w:rPr>
        <w:t> </w:t>
      </w:r>
      <w:r>
        <w:rPr>
          <w:color w:val="231F20"/>
          <w:w w:val="120"/>
        </w:rPr>
        <w:t>du</w:t>
      </w:r>
      <w:r>
        <w:rPr>
          <w:color w:val="231F20"/>
          <w:spacing w:val="-13"/>
          <w:w w:val="120"/>
        </w:rPr>
        <w:t> </w:t>
      </w:r>
      <w:r>
        <w:rPr>
          <w:color w:val="231F20"/>
          <w:w w:val="120"/>
        </w:rPr>
        <w:t>monde</w:t>
      </w:r>
      <w:r>
        <w:rPr>
          <w:color w:val="231F20"/>
          <w:spacing w:val="-12"/>
          <w:w w:val="120"/>
        </w:rPr>
        <w:t> </w:t>
      </w:r>
      <w:r>
        <w:rPr>
          <w:color w:val="231F20"/>
          <w:w w:val="120"/>
        </w:rPr>
        <w:t>du</w:t>
      </w:r>
      <w:r>
        <w:rPr>
          <w:color w:val="231F20"/>
          <w:spacing w:val="-13"/>
          <w:w w:val="120"/>
        </w:rPr>
        <w:t> </w:t>
      </w:r>
      <w:r>
        <w:rPr>
          <w:color w:val="231F20"/>
          <w:w w:val="120"/>
        </w:rPr>
        <w:t>travail</w:t>
      </w:r>
      <w:r>
        <w:rPr>
          <w:color w:val="231F20"/>
          <w:spacing w:val="-12"/>
          <w:w w:val="120"/>
        </w:rPr>
        <w:t> </w:t>
      </w:r>
      <w:r>
        <w:rPr>
          <w:color w:val="231F20"/>
          <w:w w:val="120"/>
        </w:rPr>
        <w:t>s’accompagnent</w:t>
      </w:r>
      <w:r>
        <w:rPr>
          <w:color w:val="231F20"/>
          <w:spacing w:val="-13"/>
          <w:w w:val="120"/>
        </w:rPr>
        <w:t> </w:t>
      </w:r>
      <w:r>
        <w:rPr>
          <w:color w:val="231F20"/>
          <w:w w:val="120"/>
        </w:rPr>
        <w:t>de</w:t>
      </w:r>
      <w:r>
        <w:rPr>
          <w:color w:val="231F20"/>
          <w:spacing w:val="-12"/>
          <w:w w:val="120"/>
        </w:rPr>
        <w:t> </w:t>
      </w:r>
      <w:r>
        <w:rPr>
          <w:color w:val="231F20"/>
          <w:w w:val="120"/>
        </w:rPr>
        <w:t>phéno- mènes mondiaux que peu auraient pu stratégiquement prévoir et qui </w:t>
      </w:r>
      <w:r>
        <w:rPr>
          <w:color w:val="231F20"/>
          <w:spacing w:val="-2"/>
          <w:w w:val="120"/>
        </w:rPr>
        <w:t>touchent maintenant de façon directe et significative la capacité d’adap- </w:t>
      </w:r>
      <w:r>
        <w:rPr>
          <w:color w:val="231F20"/>
          <w:w w:val="120"/>
        </w:rPr>
        <w:t>tation</w:t>
      </w:r>
      <w:r>
        <w:rPr>
          <w:color w:val="231F20"/>
          <w:spacing w:val="-11"/>
          <w:w w:val="120"/>
        </w:rPr>
        <w:t> </w:t>
      </w:r>
      <w:r>
        <w:rPr>
          <w:color w:val="231F20"/>
          <w:w w:val="120"/>
        </w:rPr>
        <w:t>des</w:t>
      </w:r>
      <w:r>
        <w:rPr>
          <w:color w:val="231F20"/>
          <w:spacing w:val="-11"/>
          <w:w w:val="120"/>
        </w:rPr>
        <w:t> </w:t>
      </w:r>
      <w:r>
        <w:rPr>
          <w:color w:val="231F20"/>
          <w:w w:val="120"/>
        </w:rPr>
        <w:t>individus</w:t>
      </w:r>
      <w:r>
        <w:rPr>
          <w:color w:val="231F20"/>
          <w:spacing w:val="-11"/>
          <w:w w:val="120"/>
        </w:rPr>
        <w:t> </w:t>
      </w:r>
      <w:r>
        <w:rPr>
          <w:color w:val="231F20"/>
          <w:w w:val="120"/>
        </w:rPr>
        <w:t>et</w:t>
      </w:r>
      <w:r>
        <w:rPr>
          <w:color w:val="231F20"/>
          <w:spacing w:val="-11"/>
          <w:w w:val="120"/>
        </w:rPr>
        <w:t> </w:t>
      </w:r>
      <w:r>
        <w:rPr>
          <w:color w:val="231F20"/>
          <w:w w:val="120"/>
        </w:rPr>
        <w:t>des</w:t>
      </w:r>
      <w:r>
        <w:rPr>
          <w:color w:val="231F20"/>
          <w:spacing w:val="-11"/>
          <w:w w:val="120"/>
        </w:rPr>
        <w:t> </w:t>
      </w:r>
      <w:r>
        <w:rPr>
          <w:color w:val="231F20"/>
          <w:w w:val="120"/>
        </w:rPr>
        <w:t>organisations.</w:t>
      </w:r>
      <w:r>
        <w:rPr>
          <w:color w:val="231F20"/>
          <w:spacing w:val="-11"/>
          <w:w w:val="120"/>
        </w:rPr>
        <w:t> </w:t>
      </w:r>
      <w:r>
        <w:rPr>
          <w:color w:val="231F20"/>
          <w:w w:val="120"/>
        </w:rPr>
        <w:t>Que</w:t>
      </w:r>
      <w:r>
        <w:rPr>
          <w:color w:val="231F20"/>
          <w:spacing w:val="-11"/>
          <w:w w:val="120"/>
        </w:rPr>
        <w:t> </w:t>
      </w:r>
      <w:r>
        <w:rPr>
          <w:color w:val="231F20"/>
          <w:w w:val="120"/>
        </w:rPr>
        <w:t>l’on</w:t>
      </w:r>
      <w:r>
        <w:rPr>
          <w:color w:val="231F20"/>
          <w:spacing w:val="-11"/>
          <w:w w:val="120"/>
        </w:rPr>
        <w:t> </w:t>
      </w:r>
      <w:r>
        <w:rPr>
          <w:color w:val="231F20"/>
          <w:w w:val="120"/>
        </w:rPr>
        <w:t>pense</w:t>
      </w:r>
      <w:r>
        <w:rPr>
          <w:color w:val="231F20"/>
          <w:spacing w:val="-11"/>
          <w:w w:val="120"/>
        </w:rPr>
        <w:t> </w:t>
      </w: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crise</w:t>
      </w:r>
      <w:r>
        <w:rPr>
          <w:color w:val="231F20"/>
          <w:spacing w:val="-11"/>
          <w:w w:val="120"/>
        </w:rPr>
        <w:t> </w:t>
      </w:r>
      <w:r>
        <w:rPr>
          <w:color w:val="231F20"/>
          <w:w w:val="120"/>
        </w:rPr>
        <w:t>envi- ronnementale qui crée de nouveaux enjeux socio-organisationnels et </w:t>
      </w:r>
      <w:r>
        <w:rPr>
          <w:color w:val="231F20"/>
          <w:w w:val="115"/>
        </w:rPr>
        <w:t>réglementaires</w:t>
      </w:r>
      <w:r>
        <w:rPr>
          <w:color w:val="231F20"/>
          <w:spacing w:val="11"/>
          <w:w w:val="115"/>
        </w:rPr>
        <w:t> </w:t>
      </w:r>
      <w:r>
        <w:rPr>
          <w:color w:val="231F20"/>
          <w:w w:val="115"/>
        </w:rPr>
        <w:t>ou</w:t>
      </w:r>
      <w:r>
        <w:rPr>
          <w:color w:val="231F20"/>
          <w:spacing w:val="11"/>
          <w:w w:val="115"/>
        </w:rPr>
        <w:t> </w:t>
      </w:r>
      <w:r>
        <w:rPr>
          <w:color w:val="231F20"/>
          <w:w w:val="115"/>
        </w:rPr>
        <w:t>encore</w:t>
      </w:r>
      <w:r>
        <w:rPr>
          <w:color w:val="231F20"/>
          <w:spacing w:val="11"/>
          <w:w w:val="115"/>
        </w:rPr>
        <w:t> </w:t>
      </w:r>
      <w:r>
        <w:rPr>
          <w:color w:val="231F20"/>
          <w:w w:val="115"/>
        </w:rPr>
        <w:t>aux</w:t>
      </w:r>
      <w:r>
        <w:rPr>
          <w:color w:val="231F20"/>
          <w:spacing w:val="11"/>
          <w:w w:val="115"/>
        </w:rPr>
        <w:t> </w:t>
      </w:r>
      <w:r>
        <w:rPr>
          <w:color w:val="231F20"/>
          <w:w w:val="115"/>
        </w:rPr>
        <w:t>défis</w:t>
      </w:r>
      <w:r>
        <w:rPr>
          <w:color w:val="231F20"/>
          <w:spacing w:val="12"/>
          <w:w w:val="115"/>
        </w:rPr>
        <w:t> </w:t>
      </w:r>
      <w:r>
        <w:rPr>
          <w:color w:val="231F20"/>
          <w:w w:val="115"/>
        </w:rPr>
        <w:t>qu’occasionnent</w:t>
      </w:r>
      <w:r>
        <w:rPr>
          <w:color w:val="231F20"/>
          <w:spacing w:val="11"/>
          <w:w w:val="115"/>
        </w:rPr>
        <w:t> </w:t>
      </w:r>
      <w:r>
        <w:rPr>
          <w:color w:val="231F20"/>
          <w:w w:val="115"/>
        </w:rPr>
        <w:t>les</w:t>
      </w:r>
      <w:r>
        <w:rPr>
          <w:color w:val="231F20"/>
          <w:spacing w:val="11"/>
          <w:w w:val="115"/>
        </w:rPr>
        <w:t> </w:t>
      </w:r>
      <w:r>
        <w:rPr>
          <w:color w:val="231F20"/>
          <w:w w:val="115"/>
        </w:rPr>
        <w:t>crises</w:t>
      </w:r>
      <w:r>
        <w:rPr>
          <w:color w:val="231F20"/>
          <w:spacing w:val="11"/>
          <w:w w:val="115"/>
        </w:rPr>
        <w:t> </w:t>
      </w:r>
      <w:r>
        <w:rPr>
          <w:color w:val="231F20"/>
          <w:spacing w:val="-2"/>
          <w:w w:val="115"/>
        </w:rPr>
        <w:t>sanitaires</w:t>
      </w:r>
    </w:p>
    <w:p>
      <w:pPr>
        <w:spacing w:after="0" w:line="307" w:lineRule="auto"/>
        <w:jc w:val="both"/>
        <w:sectPr>
          <w:footerReference w:type="default" r:id="rId22"/>
          <w:pgSz w:w="8640" w:h="12960"/>
          <w:pgMar w:footer="0" w:header="0" w:top="1220" w:bottom="28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6"/>
        <w:jc w:val="both"/>
      </w:pPr>
      <w:r>
        <w:rPr>
          <w:color w:val="231F20"/>
          <w:w w:val="120"/>
        </w:rPr>
        <w:t>(p.</w:t>
      </w:r>
      <w:r>
        <w:rPr>
          <w:color w:val="231F20"/>
          <w:spacing w:val="-11"/>
          <w:w w:val="120"/>
        </w:rPr>
        <w:t> </w:t>
      </w:r>
      <w:r>
        <w:rPr>
          <w:color w:val="231F20"/>
          <w:w w:val="120"/>
        </w:rPr>
        <w:t>ex.</w:t>
      </w:r>
      <w:r>
        <w:rPr>
          <w:color w:val="231F20"/>
          <w:spacing w:val="-11"/>
          <w:w w:val="120"/>
        </w:rPr>
        <w:t> </w:t>
      </w:r>
      <w:r>
        <w:rPr>
          <w:color w:val="231F20"/>
          <w:w w:val="120"/>
        </w:rPr>
        <w:t>pandémies)</w:t>
      </w:r>
      <w:r>
        <w:rPr>
          <w:color w:val="231F20"/>
          <w:spacing w:val="-11"/>
          <w:w w:val="120"/>
        </w:rPr>
        <w:t> </w:t>
      </w:r>
      <w:r>
        <w:rPr>
          <w:color w:val="231F20"/>
          <w:w w:val="120"/>
        </w:rPr>
        <w:t>qui</w:t>
      </w:r>
      <w:r>
        <w:rPr>
          <w:color w:val="231F20"/>
          <w:spacing w:val="-11"/>
          <w:w w:val="120"/>
        </w:rPr>
        <w:t> </w:t>
      </w:r>
      <w:r>
        <w:rPr>
          <w:color w:val="231F20"/>
          <w:w w:val="120"/>
        </w:rPr>
        <w:t>bousculent</w:t>
      </w:r>
      <w:r>
        <w:rPr>
          <w:color w:val="231F20"/>
          <w:spacing w:val="-11"/>
          <w:w w:val="120"/>
        </w:rPr>
        <w:t> </w:t>
      </w:r>
      <w:r>
        <w:rPr>
          <w:color w:val="231F20"/>
          <w:w w:val="120"/>
        </w:rPr>
        <w:t>profondément</w:t>
      </w:r>
      <w:r>
        <w:rPr>
          <w:color w:val="231F20"/>
          <w:spacing w:val="-11"/>
          <w:w w:val="120"/>
        </w:rPr>
        <w:t> </w:t>
      </w:r>
      <w:r>
        <w:rPr>
          <w:color w:val="231F20"/>
          <w:w w:val="120"/>
        </w:rPr>
        <w:t>le</w:t>
      </w:r>
      <w:r>
        <w:rPr>
          <w:color w:val="231F20"/>
          <w:spacing w:val="-11"/>
          <w:w w:val="120"/>
        </w:rPr>
        <w:t> </w:t>
      </w:r>
      <w:r>
        <w:rPr>
          <w:color w:val="231F20"/>
          <w:w w:val="120"/>
        </w:rPr>
        <w:t>fonctionnement</w:t>
      </w:r>
      <w:r>
        <w:rPr>
          <w:color w:val="231F20"/>
          <w:spacing w:val="-11"/>
          <w:w w:val="120"/>
        </w:rPr>
        <w:t> </w:t>
      </w:r>
      <w:r>
        <w:rPr>
          <w:color w:val="231F20"/>
          <w:w w:val="120"/>
        </w:rPr>
        <w:t>des sociétés</w:t>
      </w:r>
      <w:r>
        <w:rPr>
          <w:color w:val="231F20"/>
          <w:spacing w:val="-13"/>
          <w:w w:val="120"/>
        </w:rPr>
        <w:t> </w:t>
      </w:r>
      <w:r>
        <w:rPr>
          <w:color w:val="231F20"/>
          <w:w w:val="120"/>
        </w:rPr>
        <w:t>et</w:t>
      </w:r>
      <w:r>
        <w:rPr>
          <w:color w:val="231F20"/>
          <w:spacing w:val="-12"/>
          <w:w w:val="120"/>
        </w:rPr>
        <w:t> </w:t>
      </w:r>
      <w:r>
        <w:rPr>
          <w:color w:val="231F20"/>
          <w:w w:val="120"/>
        </w:rPr>
        <w:t>des</w:t>
      </w:r>
      <w:r>
        <w:rPr>
          <w:color w:val="231F20"/>
          <w:spacing w:val="-13"/>
          <w:w w:val="120"/>
        </w:rPr>
        <w:t> </w:t>
      </w:r>
      <w:r>
        <w:rPr>
          <w:color w:val="231F20"/>
          <w:w w:val="120"/>
        </w:rPr>
        <w:t>organisations.</w:t>
      </w:r>
      <w:r>
        <w:rPr>
          <w:color w:val="231F20"/>
          <w:spacing w:val="-12"/>
          <w:w w:val="120"/>
        </w:rPr>
        <w:t> </w:t>
      </w:r>
      <w:r>
        <w:rPr>
          <w:color w:val="231F20"/>
          <w:w w:val="120"/>
        </w:rPr>
        <w:t>De</w:t>
      </w:r>
      <w:r>
        <w:rPr>
          <w:color w:val="231F20"/>
          <w:spacing w:val="-13"/>
          <w:w w:val="120"/>
        </w:rPr>
        <w:t> </w:t>
      </w:r>
      <w:r>
        <w:rPr>
          <w:color w:val="231F20"/>
          <w:w w:val="120"/>
        </w:rPr>
        <w:t>tels</w:t>
      </w:r>
      <w:r>
        <w:rPr>
          <w:color w:val="231F20"/>
          <w:spacing w:val="-12"/>
          <w:w w:val="120"/>
        </w:rPr>
        <w:t> </w:t>
      </w:r>
      <w:r>
        <w:rPr>
          <w:color w:val="231F20"/>
          <w:w w:val="120"/>
        </w:rPr>
        <w:t>phénomènes</w:t>
      </w:r>
      <w:r>
        <w:rPr>
          <w:color w:val="231F20"/>
          <w:spacing w:val="-13"/>
          <w:w w:val="120"/>
        </w:rPr>
        <w:t> </w:t>
      </w:r>
      <w:r>
        <w:rPr>
          <w:color w:val="231F20"/>
          <w:w w:val="120"/>
        </w:rPr>
        <w:t>globaux</w:t>
      </w:r>
      <w:r>
        <w:rPr>
          <w:color w:val="231F20"/>
          <w:spacing w:val="-12"/>
          <w:w w:val="120"/>
        </w:rPr>
        <w:t> </w:t>
      </w:r>
      <w:r>
        <w:rPr>
          <w:color w:val="231F20"/>
          <w:w w:val="120"/>
        </w:rPr>
        <w:t>remettent</w:t>
      </w:r>
      <w:r>
        <w:rPr>
          <w:color w:val="231F20"/>
          <w:spacing w:val="-13"/>
          <w:w w:val="120"/>
        </w:rPr>
        <w:t> </w:t>
      </w:r>
      <w:r>
        <w:rPr>
          <w:color w:val="231F20"/>
          <w:w w:val="120"/>
        </w:rPr>
        <w:t>en </w:t>
      </w:r>
      <w:r>
        <w:rPr>
          <w:color w:val="231F20"/>
          <w:spacing w:val="-2"/>
          <w:w w:val="120"/>
        </w:rPr>
        <w:t>question</w:t>
      </w:r>
      <w:r>
        <w:rPr>
          <w:color w:val="231F20"/>
          <w:spacing w:val="-7"/>
          <w:w w:val="120"/>
        </w:rPr>
        <w:t> </w:t>
      </w:r>
      <w:r>
        <w:rPr>
          <w:color w:val="231F20"/>
          <w:spacing w:val="-2"/>
          <w:w w:val="120"/>
        </w:rPr>
        <w:t>l’ordre</w:t>
      </w:r>
      <w:r>
        <w:rPr>
          <w:color w:val="231F20"/>
          <w:spacing w:val="-7"/>
          <w:w w:val="120"/>
        </w:rPr>
        <w:t> </w:t>
      </w:r>
      <w:r>
        <w:rPr>
          <w:color w:val="231F20"/>
          <w:spacing w:val="-2"/>
          <w:w w:val="120"/>
        </w:rPr>
        <w:t>établi</w:t>
      </w:r>
      <w:r>
        <w:rPr>
          <w:color w:val="231F20"/>
          <w:spacing w:val="-7"/>
          <w:w w:val="120"/>
        </w:rPr>
        <w:t> </w:t>
      </w:r>
      <w:r>
        <w:rPr>
          <w:color w:val="231F20"/>
          <w:spacing w:val="-2"/>
          <w:w w:val="120"/>
        </w:rPr>
        <w:t>et</w:t>
      </w:r>
      <w:r>
        <w:rPr>
          <w:color w:val="231F20"/>
          <w:spacing w:val="-7"/>
          <w:w w:val="120"/>
        </w:rPr>
        <w:t> </w:t>
      </w:r>
      <w:r>
        <w:rPr>
          <w:color w:val="231F20"/>
          <w:spacing w:val="-2"/>
          <w:w w:val="120"/>
        </w:rPr>
        <w:t>forcent</w:t>
      </w:r>
      <w:r>
        <w:rPr>
          <w:color w:val="231F20"/>
          <w:spacing w:val="-7"/>
          <w:w w:val="120"/>
        </w:rPr>
        <w:t> </w:t>
      </w:r>
      <w:r>
        <w:rPr>
          <w:color w:val="231F20"/>
          <w:spacing w:val="-2"/>
          <w:w w:val="120"/>
        </w:rPr>
        <w:t>les</w:t>
      </w:r>
      <w:r>
        <w:rPr>
          <w:color w:val="231F20"/>
          <w:spacing w:val="-7"/>
          <w:w w:val="120"/>
        </w:rPr>
        <w:t> </w:t>
      </w:r>
      <w:r>
        <w:rPr>
          <w:color w:val="231F20"/>
          <w:spacing w:val="-2"/>
          <w:w w:val="120"/>
        </w:rPr>
        <w:t>organisations</w:t>
      </w:r>
      <w:r>
        <w:rPr>
          <w:color w:val="231F20"/>
          <w:spacing w:val="-7"/>
          <w:w w:val="120"/>
        </w:rPr>
        <w:t> </w:t>
      </w:r>
      <w:r>
        <w:rPr>
          <w:color w:val="231F20"/>
          <w:spacing w:val="-2"/>
          <w:w w:val="120"/>
        </w:rPr>
        <w:t>et</w:t>
      </w:r>
      <w:r>
        <w:rPr>
          <w:color w:val="231F20"/>
          <w:spacing w:val="-7"/>
          <w:w w:val="120"/>
        </w:rPr>
        <w:t> </w:t>
      </w:r>
      <w:r>
        <w:rPr>
          <w:color w:val="231F20"/>
          <w:spacing w:val="-2"/>
          <w:w w:val="120"/>
        </w:rPr>
        <w:t>les</w:t>
      </w:r>
      <w:r>
        <w:rPr>
          <w:color w:val="231F20"/>
          <w:spacing w:val="-7"/>
          <w:w w:val="120"/>
        </w:rPr>
        <w:t> </w:t>
      </w:r>
      <w:r>
        <w:rPr>
          <w:color w:val="231F20"/>
          <w:spacing w:val="-2"/>
          <w:w w:val="120"/>
        </w:rPr>
        <w:t>individus</w:t>
      </w:r>
      <w:r>
        <w:rPr>
          <w:color w:val="231F20"/>
          <w:spacing w:val="-7"/>
          <w:w w:val="120"/>
        </w:rPr>
        <w:t> </w:t>
      </w:r>
      <w:r>
        <w:rPr>
          <w:color w:val="231F20"/>
          <w:spacing w:val="-2"/>
          <w:w w:val="120"/>
        </w:rPr>
        <w:t>qui</w:t>
      </w:r>
      <w:r>
        <w:rPr>
          <w:color w:val="231F20"/>
          <w:spacing w:val="-7"/>
          <w:w w:val="120"/>
        </w:rPr>
        <w:t> </w:t>
      </w:r>
      <w:r>
        <w:rPr>
          <w:color w:val="231F20"/>
          <w:spacing w:val="-2"/>
          <w:w w:val="120"/>
        </w:rPr>
        <w:t>les composent</w:t>
      </w:r>
      <w:r>
        <w:rPr>
          <w:color w:val="231F20"/>
          <w:spacing w:val="-8"/>
          <w:w w:val="120"/>
        </w:rPr>
        <w:t> </w:t>
      </w:r>
      <w:r>
        <w:rPr>
          <w:color w:val="231F20"/>
          <w:spacing w:val="-2"/>
          <w:w w:val="120"/>
        </w:rPr>
        <w:t>à</w:t>
      </w:r>
      <w:r>
        <w:rPr>
          <w:color w:val="231F20"/>
          <w:spacing w:val="-8"/>
          <w:w w:val="120"/>
        </w:rPr>
        <w:t> </w:t>
      </w:r>
      <w:r>
        <w:rPr>
          <w:color w:val="231F20"/>
          <w:spacing w:val="-2"/>
          <w:w w:val="120"/>
        </w:rPr>
        <w:t>faire</w:t>
      </w:r>
      <w:r>
        <w:rPr>
          <w:color w:val="231F20"/>
          <w:spacing w:val="-8"/>
          <w:w w:val="120"/>
        </w:rPr>
        <w:t> </w:t>
      </w:r>
      <w:r>
        <w:rPr>
          <w:color w:val="231F20"/>
          <w:spacing w:val="-2"/>
          <w:w w:val="120"/>
        </w:rPr>
        <w:t>preuve</w:t>
      </w:r>
      <w:r>
        <w:rPr>
          <w:color w:val="231F20"/>
          <w:spacing w:val="-8"/>
          <w:w w:val="120"/>
        </w:rPr>
        <w:t> </w:t>
      </w:r>
      <w:r>
        <w:rPr>
          <w:color w:val="231F20"/>
          <w:spacing w:val="-2"/>
          <w:w w:val="120"/>
        </w:rPr>
        <w:t>d’une</w:t>
      </w:r>
      <w:r>
        <w:rPr>
          <w:color w:val="231F20"/>
          <w:spacing w:val="-8"/>
          <w:w w:val="120"/>
        </w:rPr>
        <w:t> </w:t>
      </w:r>
      <w:r>
        <w:rPr>
          <w:color w:val="231F20"/>
          <w:spacing w:val="-2"/>
          <w:w w:val="120"/>
        </w:rPr>
        <w:t>flexibilité</w:t>
      </w:r>
      <w:r>
        <w:rPr>
          <w:color w:val="231F20"/>
          <w:spacing w:val="-8"/>
          <w:w w:val="120"/>
        </w:rPr>
        <w:t> </w:t>
      </w:r>
      <w:r>
        <w:rPr>
          <w:color w:val="231F20"/>
          <w:spacing w:val="-2"/>
          <w:w w:val="120"/>
        </w:rPr>
        <w:t>et</w:t>
      </w:r>
      <w:r>
        <w:rPr>
          <w:color w:val="231F20"/>
          <w:spacing w:val="-8"/>
          <w:w w:val="120"/>
        </w:rPr>
        <w:t> </w:t>
      </w:r>
      <w:r>
        <w:rPr>
          <w:color w:val="231F20"/>
          <w:spacing w:val="-2"/>
          <w:w w:val="120"/>
        </w:rPr>
        <w:t>d’une</w:t>
      </w:r>
      <w:r>
        <w:rPr>
          <w:color w:val="231F20"/>
          <w:spacing w:val="-8"/>
          <w:w w:val="120"/>
        </w:rPr>
        <w:t> </w:t>
      </w:r>
      <w:r>
        <w:rPr>
          <w:color w:val="231F20"/>
          <w:spacing w:val="-2"/>
          <w:w w:val="120"/>
        </w:rPr>
        <w:t>adaptabilité</w:t>
      </w:r>
      <w:r>
        <w:rPr>
          <w:color w:val="231F20"/>
          <w:spacing w:val="-8"/>
          <w:w w:val="120"/>
        </w:rPr>
        <w:t> </w:t>
      </w:r>
      <w:r>
        <w:rPr>
          <w:color w:val="231F20"/>
          <w:spacing w:val="-2"/>
          <w:w w:val="120"/>
        </w:rPr>
        <w:t>sans</w:t>
      </w:r>
      <w:r>
        <w:rPr>
          <w:color w:val="231F20"/>
          <w:spacing w:val="-8"/>
          <w:w w:val="120"/>
        </w:rPr>
        <w:t> </w:t>
      </w:r>
      <w:r>
        <w:rPr>
          <w:color w:val="231F20"/>
          <w:spacing w:val="-2"/>
          <w:w w:val="120"/>
        </w:rPr>
        <w:t>pré- </w:t>
      </w:r>
      <w:r>
        <w:rPr>
          <w:color w:val="231F20"/>
          <w:w w:val="120"/>
        </w:rPr>
        <w:t>cédent.</w:t>
      </w:r>
      <w:r>
        <w:rPr>
          <w:color w:val="231F20"/>
          <w:spacing w:val="-2"/>
          <w:w w:val="120"/>
        </w:rPr>
        <w:t> </w:t>
      </w:r>
      <w:r>
        <w:rPr>
          <w:color w:val="231F20"/>
          <w:w w:val="120"/>
        </w:rPr>
        <w:t>Bien</w:t>
      </w:r>
      <w:r>
        <w:rPr>
          <w:color w:val="231F20"/>
          <w:spacing w:val="-2"/>
          <w:w w:val="120"/>
        </w:rPr>
        <w:t> </w:t>
      </w:r>
      <w:r>
        <w:rPr>
          <w:color w:val="231F20"/>
          <w:w w:val="120"/>
        </w:rPr>
        <w:t>que</w:t>
      </w:r>
      <w:r>
        <w:rPr>
          <w:color w:val="231F20"/>
          <w:spacing w:val="-2"/>
          <w:w w:val="120"/>
        </w:rPr>
        <w:t> </w:t>
      </w:r>
      <w:r>
        <w:rPr>
          <w:color w:val="231F20"/>
          <w:w w:val="120"/>
        </w:rPr>
        <w:t>le</w:t>
      </w:r>
      <w:r>
        <w:rPr>
          <w:color w:val="231F20"/>
          <w:spacing w:val="-2"/>
          <w:w w:val="120"/>
        </w:rPr>
        <w:t> </w:t>
      </w:r>
      <w:r>
        <w:rPr>
          <w:color w:val="231F20"/>
          <w:w w:val="120"/>
        </w:rPr>
        <w:t>stress</w:t>
      </w:r>
      <w:r>
        <w:rPr>
          <w:color w:val="231F20"/>
          <w:spacing w:val="-2"/>
          <w:w w:val="120"/>
        </w:rPr>
        <w:t> </w:t>
      </w:r>
      <w:r>
        <w:rPr>
          <w:color w:val="231F20"/>
          <w:w w:val="120"/>
        </w:rPr>
        <w:t>vécu</w:t>
      </w:r>
      <w:r>
        <w:rPr>
          <w:color w:val="231F20"/>
          <w:spacing w:val="-2"/>
          <w:w w:val="120"/>
        </w:rPr>
        <w:t> </w:t>
      </w:r>
      <w:r>
        <w:rPr>
          <w:color w:val="231F20"/>
          <w:w w:val="120"/>
        </w:rPr>
        <w:t>par</w:t>
      </w:r>
      <w:r>
        <w:rPr>
          <w:color w:val="231F20"/>
          <w:spacing w:val="-2"/>
          <w:w w:val="120"/>
        </w:rPr>
        <w:t> </w:t>
      </w:r>
      <w:r>
        <w:rPr>
          <w:color w:val="231F20"/>
          <w:w w:val="120"/>
        </w:rPr>
        <w:t>les</w:t>
      </w:r>
      <w:r>
        <w:rPr>
          <w:color w:val="231F20"/>
          <w:spacing w:val="-2"/>
          <w:w w:val="120"/>
        </w:rPr>
        <w:t> </w:t>
      </w:r>
      <w:r>
        <w:rPr>
          <w:color w:val="231F20"/>
          <w:w w:val="120"/>
        </w:rPr>
        <w:t>personnes</w:t>
      </w:r>
      <w:r>
        <w:rPr>
          <w:color w:val="231F20"/>
          <w:spacing w:val="-2"/>
          <w:w w:val="120"/>
        </w:rPr>
        <w:t> </w:t>
      </w:r>
      <w:r>
        <w:rPr>
          <w:color w:val="231F20"/>
          <w:w w:val="120"/>
        </w:rPr>
        <w:t>demeure</w:t>
      </w:r>
      <w:r>
        <w:rPr>
          <w:color w:val="231F20"/>
          <w:spacing w:val="-2"/>
          <w:w w:val="120"/>
        </w:rPr>
        <w:t> </w:t>
      </w:r>
      <w:r>
        <w:rPr>
          <w:color w:val="231F20"/>
          <w:w w:val="120"/>
        </w:rPr>
        <w:t>majoritaire- ment issu des sources organisationnelles, il importe de plus en plus de </w:t>
      </w:r>
      <w:r>
        <w:rPr>
          <w:color w:val="231F20"/>
          <w:spacing w:val="-2"/>
          <w:w w:val="120"/>
        </w:rPr>
        <w:t>considérer</w:t>
      </w:r>
      <w:r>
        <w:rPr>
          <w:color w:val="231F20"/>
          <w:spacing w:val="-8"/>
          <w:w w:val="120"/>
        </w:rPr>
        <w:t> </w:t>
      </w:r>
      <w:r>
        <w:rPr>
          <w:color w:val="231F20"/>
          <w:spacing w:val="-2"/>
          <w:w w:val="120"/>
        </w:rPr>
        <w:t>l’ensemble</w:t>
      </w:r>
      <w:r>
        <w:rPr>
          <w:color w:val="231F20"/>
          <w:spacing w:val="-8"/>
          <w:w w:val="120"/>
        </w:rPr>
        <w:t> </w:t>
      </w:r>
      <w:r>
        <w:rPr>
          <w:color w:val="231F20"/>
          <w:spacing w:val="-2"/>
          <w:w w:val="120"/>
        </w:rPr>
        <w:t>des</w:t>
      </w:r>
      <w:r>
        <w:rPr>
          <w:color w:val="231F20"/>
          <w:spacing w:val="-8"/>
          <w:w w:val="120"/>
        </w:rPr>
        <w:t> </w:t>
      </w:r>
      <w:r>
        <w:rPr>
          <w:color w:val="231F20"/>
          <w:spacing w:val="-2"/>
          <w:w w:val="120"/>
        </w:rPr>
        <w:t>autres</w:t>
      </w:r>
      <w:r>
        <w:rPr>
          <w:color w:val="231F20"/>
          <w:spacing w:val="-8"/>
          <w:w w:val="120"/>
        </w:rPr>
        <w:t> </w:t>
      </w:r>
      <w:r>
        <w:rPr>
          <w:color w:val="231F20"/>
          <w:spacing w:val="-2"/>
          <w:w w:val="120"/>
        </w:rPr>
        <w:t>sources</w:t>
      </w:r>
      <w:r>
        <w:rPr>
          <w:color w:val="231F20"/>
          <w:spacing w:val="-8"/>
          <w:w w:val="120"/>
        </w:rPr>
        <w:t> </w:t>
      </w:r>
      <w:r>
        <w:rPr>
          <w:color w:val="231F20"/>
          <w:spacing w:val="-2"/>
          <w:w w:val="120"/>
        </w:rPr>
        <w:t>de</w:t>
      </w:r>
      <w:r>
        <w:rPr>
          <w:color w:val="231F20"/>
          <w:spacing w:val="-8"/>
          <w:w w:val="120"/>
        </w:rPr>
        <w:t> </w:t>
      </w:r>
      <w:r>
        <w:rPr>
          <w:color w:val="231F20"/>
          <w:spacing w:val="-2"/>
          <w:w w:val="120"/>
        </w:rPr>
        <w:t>stress</w:t>
      </w:r>
      <w:r>
        <w:rPr>
          <w:color w:val="231F20"/>
          <w:spacing w:val="-8"/>
          <w:w w:val="120"/>
        </w:rPr>
        <w:t> </w:t>
      </w:r>
      <w:r>
        <w:rPr>
          <w:color w:val="231F20"/>
          <w:spacing w:val="-2"/>
          <w:w w:val="120"/>
        </w:rPr>
        <w:t>qui</w:t>
      </w:r>
      <w:r>
        <w:rPr>
          <w:color w:val="231F20"/>
          <w:spacing w:val="-8"/>
          <w:w w:val="120"/>
        </w:rPr>
        <w:t> </w:t>
      </w:r>
      <w:r>
        <w:rPr>
          <w:color w:val="231F20"/>
          <w:spacing w:val="-2"/>
          <w:w w:val="120"/>
        </w:rPr>
        <w:t>surcharge</w:t>
      </w:r>
      <w:r>
        <w:rPr>
          <w:color w:val="231F20"/>
          <w:spacing w:val="-8"/>
          <w:w w:val="120"/>
        </w:rPr>
        <w:t> </w:t>
      </w:r>
      <w:r>
        <w:rPr>
          <w:color w:val="231F20"/>
          <w:spacing w:val="-2"/>
          <w:w w:val="120"/>
        </w:rPr>
        <w:t>la</w:t>
      </w:r>
      <w:r>
        <w:rPr>
          <w:color w:val="231F20"/>
          <w:spacing w:val="-8"/>
          <w:w w:val="120"/>
        </w:rPr>
        <w:t> </w:t>
      </w:r>
      <w:r>
        <w:rPr>
          <w:color w:val="231F20"/>
          <w:spacing w:val="-2"/>
          <w:w w:val="120"/>
        </w:rPr>
        <w:t>capa- </w:t>
      </w:r>
      <w:r>
        <w:rPr>
          <w:color w:val="231F20"/>
          <w:w w:val="115"/>
        </w:rPr>
        <w:t>cité</w:t>
      </w:r>
      <w:r>
        <w:rPr>
          <w:color w:val="231F20"/>
          <w:spacing w:val="-9"/>
          <w:w w:val="115"/>
        </w:rPr>
        <w:t> </w:t>
      </w:r>
      <w:r>
        <w:rPr>
          <w:color w:val="231F20"/>
          <w:w w:val="115"/>
        </w:rPr>
        <w:t>adaptative</w:t>
      </w:r>
      <w:r>
        <w:rPr>
          <w:color w:val="231F20"/>
          <w:spacing w:val="-9"/>
          <w:w w:val="115"/>
        </w:rPr>
        <w:t> </w:t>
      </w:r>
      <w:r>
        <w:rPr>
          <w:color w:val="231F20"/>
          <w:w w:val="115"/>
        </w:rPr>
        <w:t>afin</w:t>
      </w:r>
      <w:r>
        <w:rPr>
          <w:color w:val="231F20"/>
          <w:spacing w:val="-9"/>
          <w:w w:val="115"/>
        </w:rPr>
        <w:t> </w:t>
      </w:r>
      <w:r>
        <w:rPr>
          <w:color w:val="231F20"/>
          <w:w w:val="115"/>
        </w:rPr>
        <w:t>de</w:t>
      </w:r>
      <w:r>
        <w:rPr>
          <w:color w:val="231F20"/>
          <w:spacing w:val="-9"/>
          <w:w w:val="115"/>
        </w:rPr>
        <w:t> </w:t>
      </w:r>
      <w:r>
        <w:rPr>
          <w:color w:val="231F20"/>
          <w:w w:val="115"/>
        </w:rPr>
        <w:t>brosser</w:t>
      </w:r>
      <w:r>
        <w:rPr>
          <w:color w:val="231F20"/>
          <w:spacing w:val="-9"/>
          <w:w w:val="115"/>
        </w:rPr>
        <w:t> </w:t>
      </w:r>
      <w:r>
        <w:rPr>
          <w:color w:val="231F20"/>
          <w:w w:val="115"/>
        </w:rPr>
        <w:t>un</w:t>
      </w:r>
      <w:r>
        <w:rPr>
          <w:color w:val="231F20"/>
          <w:spacing w:val="-9"/>
          <w:w w:val="115"/>
        </w:rPr>
        <w:t> </w:t>
      </w:r>
      <w:r>
        <w:rPr>
          <w:color w:val="231F20"/>
          <w:w w:val="115"/>
        </w:rPr>
        <w:t>portrait</w:t>
      </w:r>
      <w:r>
        <w:rPr>
          <w:color w:val="231F20"/>
          <w:spacing w:val="-9"/>
          <w:w w:val="115"/>
        </w:rPr>
        <w:t> </w:t>
      </w:r>
      <w:r>
        <w:rPr>
          <w:color w:val="231F20"/>
          <w:w w:val="115"/>
        </w:rPr>
        <w:t>global</w:t>
      </w:r>
      <w:r>
        <w:rPr>
          <w:color w:val="231F20"/>
          <w:spacing w:val="-9"/>
          <w:w w:val="115"/>
        </w:rPr>
        <w:t> </w:t>
      </w:r>
      <w:r>
        <w:rPr>
          <w:color w:val="231F20"/>
          <w:w w:val="115"/>
        </w:rPr>
        <w:t>de</w:t>
      </w:r>
      <w:r>
        <w:rPr>
          <w:color w:val="231F20"/>
          <w:spacing w:val="-9"/>
          <w:w w:val="115"/>
        </w:rPr>
        <w:t> </w:t>
      </w:r>
      <w:r>
        <w:rPr>
          <w:color w:val="231F20"/>
          <w:w w:val="115"/>
        </w:rPr>
        <w:t>la</w:t>
      </w:r>
      <w:r>
        <w:rPr>
          <w:color w:val="231F20"/>
          <w:spacing w:val="-9"/>
          <w:w w:val="115"/>
        </w:rPr>
        <w:t> </w:t>
      </w:r>
      <w:r>
        <w:rPr>
          <w:color w:val="231F20"/>
          <w:w w:val="115"/>
        </w:rPr>
        <w:t>santé</w:t>
      </w:r>
      <w:r>
        <w:rPr>
          <w:color w:val="231F20"/>
          <w:spacing w:val="-9"/>
          <w:w w:val="115"/>
        </w:rPr>
        <w:t> </w:t>
      </w:r>
      <w:r>
        <w:rPr>
          <w:color w:val="231F20"/>
          <w:w w:val="115"/>
        </w:rPr>
        <w:t>psychologique </w:t>
      </w:r>
      <w:r>
        <w:rPr>
          <w:color w:val="231F20"/>
          <w:w w:val="120"/>
        </w:rPr>
        <w:t>au</w:t>
      </w:r>
      <w:r>
        <w:rPr>
          <w:color w:val="231F20"/>
          <w:spacing w:val="-13"/>
          <w:w w:val="120"/>
        </w:rPr>
        <w:t> </w:t>
      </w:r>
      <w:r>
        <w:rPr>
          <w:color w:val="231F20"/>
          <w:w w:val="120"/>
        </w:rPr>
        <w:t>travail.</w:t>
      </w:r>
    </w:p>
    <w:p>
      <w:pPr>
        <w:pStyle w:val="BodyText"/>
        <w:spacing w:line="307" w:lineRule="auto" w:before="79"/>
        <w:ind w:left="790" w:right="635" w:firstLine="250"/>
        <w:jc w:val="both"/>
      </w:pPr>
      <w:r>
        <w:rPr>
          <w:color w:val="231F20"/>
          <w:w w:val="120"/>
        </w:rPr>
        <w:t>Force</w:t>
      </w:r>
      <w:r>
        <w:rPr>
          <w:color w:val="231F20"/>
          <w:spacing w:val="-2"/>
          <w:w w:val="120"/>
        </w:rPr>
        <w:t> </w:t>
      </w:r>
      <w:r>
        <w:rPr>
          <w:color w:val="231F20"/>
          <w:w w:val="120"/>
        </w:rPr>
        <w:t>est</w:t>
      </w:r>
      <w:r>
        <w:rPr>
          <w:color w:val="231F20"/>
          <w:spacing w:val="-2"/>
          <w:w w:val="120"/>
        </w:rPr>
        <w:t> </w:t>
      </w:r>
      <w:r>
        <w:rPr>
          <w:color w:val="231F20"/>
          <w:w w:val="120"/>
        </w:rPr>
        <w:t>de</w:t>
      </w:r>
      <w:r>
        <w:rPr>
          <w:color w:val="231F20"/>
          <w:spacing w:val="-2"/>
          <w:w w:val="120"/>
        </w:rPr>
        <w:t> </w:t>
      </w:r>
      <w:r>
        <w:rPr>
          <w:color w:val="231F20"/>
          <w:w w:val="120"/>
        </w:rPr>
        <w:t>reconnaître</w:t>
      </w:r>
      <w:r>
        <w:rPr>
          <w:color w:val="231F20"/>
          <w:spacing w:val="-2"/>
          <w:w w:val="120"/>
        </w:rPr>
        <w:t> </w:t>
      </w:r>
      <w:r>
        <w:rPr>
          <w:color w:val="231F20"/>
          <w:w w:val="120"/>
        </w:rPr>
        <w:t>qu’un</w:t>
      </w:r>
      <w:r>
        <w:rPr>
          <w:color w:val="231F20"/>
          <w:spacing w:val="-2"/>
          <w:w w:val="120"/>
        </w:rPr>
        <w:t> </w:t>
      </w:r>
      <w:r>
        <w:rPr>
          <w:color w:val="231F20"/>
          <w:w w:val="120"/>
        </w:rPr>
        <w:t>niveau</w:t>
      </w:r>
      <w:r>
        <w:rPr>
          <w:color w:val="231F20"/>
          <w:spacing w:val="-2"/>
          <w:w w:val="120"/>
        </w:rPr>
        <w:t> </w:t>
      </w:r>
      <w:r>
        <w:rPr>
          <w:color w:val="231F20"/>
          <w:w w:val="120"/>
        </w:rPr>
        <w:t>de</w:t>
      </w:r>
      <w:r>
        <w:rPr>
          <w:color w:val="231F20"/>
          <w:spacing w:val="-2"/>
          <w:w w:val="120"/>
        </w:rPr>
        <w:t> </w:t>
      </w:r>
      <w:r>
        <w:rPr>
          <w:color w:val="231F20"/>
          <w:w w:val="120"/>
        </w:rPr>
        <w:t>stress</w:t>
      </w:r>
      <w:r>
        <w:rPr>
          <w:color w:val="231F20"/>
          <w:spacing w:val="-2"/>
          <w:w w:val="120"/>
        </w:rPr>
        <w:t> </w:t>
      </w:r>
      <w:r>
        <w:rPr>
          <w:color w:val="231F20"/>
          <w:w w:val="120"/>
        </w:rPr>
        <w:t>élevé</w:t>
      </w:r>
      <w:r>
        <w:rPr>
          <w:color w:val="231F20"/>
          <w:spacing w:val="-2"/>
          <w:w w:val="120"/>
        </w:rPr>
        <w:t> </w:t>
      </w:r>
      <w:r>
        <w:rPr>
          <w:color w:val="231F20"/>
          <w:w w:val="120"/>
        </w:rPr>
        <w:t>entraîne</w:t>
      </w:r>
      <w:r>
        <w:rPr>
          <w:color w:val="231F20"/>
          <w:spacing w:val="-2"/>
          <w:w w:val="120"/>
        </w:rPr>
        <w:t> </w:t>
      </w:r>
      <w:r>
        <w:rPr>
          <w:color w:val="231F20"/>
          <w:w w:val="120"/>
        </w:rPr>
        <w:t>habi- tuellement</w:t>
      </w:r>
      <w:r>
        <w:rPr>
          <w:color w:val="231F20"/>
          <w:spacing w:val="-4"/>
          <w:w w:val="120"/>
        </w:rPr>
        <w:t> </w:t>
      </w:r>
      <w:r>
        <w:rPr>
          <w:color w:val="231F20"/>
          <w:w w:val="120"/>
        </w:rPr>
        <w:t>un</w:t>
      </w:r>
      <w:r>
        <w:rPr>
          <w:color w:val="231F20"/>
          <w:spacing w:val="-4"/>
          <w:w w:val="120"/>
        </w:rPr>
        <w:t> </w:t>
      </w:r>
      <w:r>
        <w:rPr>
          <w:color w:val="231F20"/>
          <w:w w:val="120"/>
        </w:rPr>
        <w:t>fléchissement</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performance.</w:t>
      </w:r>
      <w:r>
        <w:rPr>
          <w:color w:val="231F20"/>
          <w:spacing w:val="-4"/>
          <w:w w:val="120"/>
        </w:rPr>
        <w:t> </w:t>
      </w:r>
      <w:r>
        <w:rPr>
          <w:color w:val="231F20"/>
          <w:w w:val="120"/>
        </w:rPr>
        <w:t>Bien</w:t>
      </w:r>
      <w:r>
        <w:rPr>
          <w:color w:val="231F20"/>
          <w:spacing w:val="-4"/>
          <w:w w:val="120"/>
        </w:rPr>
        <w:t> </w:t>
      </w:r>
      <w:r>
        <w:rPr>
          <w:color w:val="231F20"/>
          <w:w w:val="120"/>
        </w:rPr>
        <w:t>que</w:t>
      </w:r>
      <w:r>
        <w:rPr>
          <w:color w:val="231F20"/>
          <w:spacing w:val="-4"/>
          <w:w w:val="120"/>
        </w:rPr>
        <w:t> </w:t>
      </w:r>
      <w:r>
        <w:rPr>
          <w:color w:val="231F20"/>
          <w:w w:val="120"/>
        </w:rPr>
        <w:t>la</w:t>
      </w:r>
      <w:r>
        <w:rPr>
          <w:color w:val="231F20"/>
          <w:spacing w:val="-4"/>
          <w:w w:val="120"/>
        </w:rPr>
        <w:t> </w:t>
      </w:r>
      <w:r>
        <w:rPr>
          <w:color w:val="231F20"/>
          <w:w w:val="120"/>
        </w:rPr>
        <w:t>réalité</w:t>
      </w:r>
      <w:r>
        <w:rPr>
          <w:color w:val="231F20"/>
          <w:spacing w:val="-4"/>
          <w:w w:val="120"/>
        </w:rPr>
        <w:t> </w:t>
      </w:r>
      <w:r>
        <w:rPr>
          <w:color w:val="231F20"/>
          <w:w w:val="120"/>
        </w:rPr>
        <w:t>soit </w:t>
      </w:r>
      <w:r>
        <w:rPr>
          <w:color w:val="231F20"/>
          <w:spacing w:val="-2"/>
          <w:w w:val="120"/>
        </w:rPr>
        <w:t>souvent</w:t>
      </w:r>
      <w:r>
        <w:rPr>
          <w:color w:val="231F20"/>
          <w:spacing w:val="-10"/>
          <w:w w:val="120"/>
        </w:rPr>
        <w:t> </w:t>
      </w:r>
      <w:r>
        <w:rPr>
          <w:color w:val="231F20"/>
          <w:spacing w:val="-2"/>
          <w:w w:val="120"/>
        </w:rPr>
        <w:t>plus</w:t>
      </w:r>
      <w:r>
        <w:rPr>
          <w:color w:val="231F20"/>
          <w:spacing w:val="-10"/>
          <w:w w:val="120"/>
        </w:rPr>
        <w:t> </w:t>
      </w:r>
      <w:r>
        <w:rPr>
          <w:color w:val="231F20"/>
          <w:spacing w:val="-2"/>
          <w:w w:val="120"/>
        </w:rPr>
        <w:t>nuancée,</w:t>
      </w:r>
      <w:r>
        <w:rPr>
          <w:color w:val="231F20"/>
          <w:spacing w:val="-10"/>
          <w:w w:val="120"/>
        </w:rPr>
        <w:t> </w:t>
      </w:r>
      <w:r>
        <w:rPr>
          <w:color w:val="231F20"/>
          <w:spacing w:val="-2"/>
          <w:w w:val="120"/>
        </w:rPr>
        <w:t>la</w:t>
      </w:r>
      <w:r>
        <w:rPr>
          <w:color w:val="231F20"/>
          <w:spacing w:val="-10"/>
          <w:w w:val="120"/>
        </w:rPr>
        <w:t> </w:t>
      </w:r>
      <w:r>
        <w:rPr>
          <w:color w:val="231F20"/>
          <w:spacing w:val="-2"/>
          <w:w w:val="120"/>
        </w:rPr>
        <w:t>pression</w:t>
      </w:r>
      <w:r>
        <w:rPr>
          <w:color w:val="231F20"/>
          <w:spacing w:val="-10"/>
          <w:w w:val="120"/>
        </w:rPr>
        <w:t> </w:t>
      </w:r>
      <w:r>
        <w:rPr>
          <w:color w:val="231F20"/>
          <w:spacing w:val="-2"/>
          <w:w w:val="120"/>
        </w:rPr>
        <w:t>au</w:t>
      </w:r>
      <w:r>
        <w:rPr>
          <w:color w:val="231F20"/>
          <w:spacing w:val="-10"/>
          <w:w w:val="120"/>
        </w:rPr>
        <w:t> </w:t>
      </w:r>
      <w:r>
        <w:rPr>
          <w:color w:val="231F20"/>
          <w:spacing w:val="-2"/>
          <w:w w:val="120"/>
        </w:rPr>
        <w:t>travail</w:t>
      </w:r>
      <w:r>
        <w:rPr>
          <w:color w:val="231F20"/>
          <w:spacing w:val="-10"/>
          <w:w w:val="120"/>
        </w:rPr>
        <w:t> </w:t>
      </w:r>
      <w:r>
        <w:rPr>
          <w:color w:val="231F20"/>
          <w:spacing w:val="-2"/>
          <w:w w:val="120"/>
        </w:rPr>
        <w:t>oblige</w:t>
      </w:r>
      <w:r>
        <w:rPr>
          <w:color w:val="231F20"/>
          <w:spacing w:val="-10"/>
          <w:w w:val="120"/>
        </w:rPr>
        <w:t> </w:t>
      </w:r>
      <w:r>
        <w:rPr>
          <w:color w:val="231F20"/>
          <w:spacing w:val="-2"/>
          <w:w w:val="120"/>
        </w:rPr>
        <w:t>le</w:t>
      </w:r>
      <w:r>
        <w:rPr>
          <w:color w:val="231F20"/>
          <w:spacing w:val="-10"/>
          <w:w w:val="120"/>
        </w:rPr>
        <w:t> </w:t>
      </w:r>
      <w:r>
        <w:rPr>
          <w:color w:val="231F20"/>
          <w:spacing w:val="-2"/>
          <w:w w:val="120"/>
        </w:rPr>
        <w:t>travailleur</w:t>
      </w:r>
      <w:r>
        <w:rPr>
          <w:color w:val="231F20"/>
          <w:spacing w:val="-10"/>
          <w:w w:val="120"/>
        </w:rPr>
        <w:t> </w:t>
      </w:r>
      <w:r>
        <w:rPr>
          <w:color w:val="231F20"/>
          <w:spacing w:val="-2"/>
          <w:w w:val="120"/>
        </w:rPr>
        <w:t>à</w:t>
      </w:r>
      <w:r>
        <w:rPr>
          <w:color w:val="231F20"/>
          <w:spacing w:val="-10"/>
          <w:w w:val="120"/>
        </w:rPr>
        <w:t> </w:t>
      </w:r>
      <w:r>
        <w:rPr>
          <w:color w:val="231F20"/>
          <w:spacing w:val="-2"/>
          <w:w w:val="120"/>
        </w:rPr>
        <w:t>fournir un</w:t>
      </w:r>
      <w:r>
        <w:rPr>
          <w:color w:val="231F20"/>
          <w:spacing w:val="-11"/>
          <w:w w:val="120"/>
        </w:rPr>
        <w:t> </w:t>
      </w:r>
      <w:r>
        <w:rPr>
          <w:color w:val="231F20"/>
          <w:spacing w:val="-2"/>
          <w:w w:val="120"/>
        </w:rPr>
        <w:t>surcroît</w:t>
      </w:r>
      <w:r>
        <w:rPr>
          <w:color w:val="231F20"/>
          <w:spacing w:val="-11"/>
          <w:w w:val="120"/>
        </w:rPr>
        <w:t> </w:t>
      </w:r>
      <w:r>
        <w:rPr>
          <w:color w:val="231F20"/>
          <w:spacing w:val="-2"/>
          <w:w w:val="120"/>
        </w:rPr>
        <w:t>d’effort</w:t>
      </w:r>
      <w:r>
        <w:rPr>
          <w:color w:val="231F20"/>
          <w:spacing w:val="-11"/>
          <w:w w:val="120"/>
        </w:rPr>
        <w:t> </w:t>
      </w:r>
      <w:r>
        <w:rPr>
          <w:color w:val="231F20"/>
          <w:spacing w:val="-2"/>
          <w:w w:val="120"/>
        </w:rPr>
        <w:t>et</w:t>
      </w:r>
      <w:r>
        <w:rPr>
          <w:color w:val="231F20"/>
          <w:spacing w:val="-10"/>
          <w:w w:val="120"/>
        </w:rPr>
        <w:t> </w:t>
      </w:r>
      <w:r>
        <w:rPr>
          <w:color w:val="231F20"/>
          <w:spacing w:val="-2"/>
          <w:w w:val="120"/>
        </w:rPr>
        <w:t>d’attention</w:t>
      </w:r>
      <w:r>
        <w:rPr>
          <w:color w:val="231F20"/>
          <w:spacing w:val="-11"/>
          <w:w w:val="120"/>
        </w:rPr>
        <w:t> </w:t>
      </w:r>
      <w:r>
        <w:rPr>
          <w:color w:val="231F20"/>
          <w:spacing w:val="-2"/>
          <w:w w:val="120"/>
        </w:rPr>
        <w:t>pour</w:t>
      </w:r>
      <w:r>
        <w:rPr>
          <w:color w:val="231F20"/>
          <w:spacing w:val="-11"/>
          <w:w w:val="120"/>
        </w:rPr>
        <w:t> </w:t>
      </w:r>
      <w:r>
        <w:rPr>
          <w:color w:val="231F20"/>
          <w:spacing w:val="-2"/>
          <w:w w:val="120"/>
        </w:rPr>
        <w:t>réaliser</w:t>
      </w:r>
      <w:r>
        <w:rPr>
          <w:color w:val="231F20"/>
          <w:spacing w:val="-11"/>
          <w:w w:val="120"/>
        </w:rPr>
        <w:t> </w:t>
      </w:r>
      <w:r>
        <w:rPr>
          <w:color w:val="231F20"/>
          <w:spacing w:val="-2"/>
          <w:w w:val="120"/>
        </w:rPr>
        <w:t>une</w:t>
      </w:r>
      <w:r>
        <w:rPr>
          <w:color w:val="231F20"/>
          <w:spacing w:val="-10"/>
          <w:w w:val="120"/>
        </w:rPr>
        <w:t> </w:t>
      </w:r>
      <w:r>
        <w:rPr>
          <w:color w:val="231F20"/>
          <w:spacing w:val="-2"/>
          <w:w w:val="120"/>
        </w:rPr>
        <w:t>tâche</w:t>
      </w:r>
      <w:r>
        <w:rPr>
          <w:color w:val="231F20"/>
          <w:spacing w:val="-11"/>
          <w:w w:val="120"/>
        </w:rPr>
        <w:t> </w:t>
      </w:r>
      <w:r>
        <w:rPr>
          <w:color w:val="231F20"/>
          <w:spacing w:val="-2"/>
          <w:w w:val="120"/>
        </w:rPr>
        <w:t>sans</w:t>
      </w:r>
      <w:r>
        <w:rPr>
          <w:color w:val="231F20"/>
          <w:spacing w:val="-11"/>
          <w:w w:val="120"/>
        </w:rPr>
        <w:t> </w:t>
      </w:r>
      <w:r>
        <w:rPr>
          <w:color w:val="231F20"/>
          <w:spacing w:val="-2"/>
          <w:w w:val="120"/>
        </w:rPr>
        <w:t>pour</w:t>
      </w:r>
      <w:r>
        <w:rPr>
          <w:color w:val="231F20"/>
          <w:spacing w:val="-11"/>
          <w:w w:val="120"/>
        </w:rPr>
        <w:t> </w:t>
      </w:r>
      <w:r>
        <w:rPr>
          <w:color w:val="231F20"/>
          <w:spacing w:val="-2"/>
          <w:w w:val="120"/>
        </w:rPr>
        <w:t>autant </w:t>
      </w:r>
      <w:r>
        <w:rPr>
          <w:color w:val="231F20"/>
          <w:w w:val="120"/>
        </w:rPr>
        <w:t>garantir</w:t>
      </w:r>
      <w:r>
        <w:rPr>
          <w:color w:val="231F20"/>
          <w:spacing w:val="-6"/>
          <w:w w:val="120"/>
        </w:rPr>
        <w:t> </w:t>
      </w:r>
      <w:r>
        <w:rPr>
          <w:color w:val="231F20"/>
          <w:w w:val="120"/>
        </w:rPr>
        <w:t>la</w:t>
      </w:r>
      <w:r>
        <w:rPr>
          <w:color w:val="231F20"/>
          <w:spacing w:val="-6"/>
          <w:w w:val="120"/>
        </w:rPr>
        <w:t> </w:t>
      </w:r>
      <w:r>
        <w:rPr>
          <w:color w:val="231F20"/>
          <w:w w:val="120"/>
        </w:rPr>
        <w:t>réussite.</w:t>
      </w:r>
      <w:r>
        <w:rPr>
          <w:color w:val="231F20"/>
          <w:spacing w:val="-6"/>
          <w:w w:val="120"/>
        </w:rPr>
        <w:t> </w:t>
      </w:r>
      <w:r>
        <w:rPr>
          <w:color w:val="231F20"/>
          <w:w w:val="120"/>
        </w:rPr>
        <w:t>Pour</w:t>
      </w:r>
      <w:r>
        <w:rPr>
          <w:color w:val="231F20"/>
          <w:spacing w:val="-6"/>
          <w:w w:val="120"/>
        </w:rPr>
        <w:t> </w:t>
      </w:r>
      <w:r>
        <w:rPr>
          <w:color w:val="231F20"/>
          <w:w w:val="120"/>
        </w:rPr>
        <w:t>répéter</w:t>
      </w:r>
      <w:r>
        <w:rPr>
          <w:color w:val="231F20"/>
          <w:spacing w:val="-6"/>
          <w:w w:val="120"/>
        </w:rPr>
        <w:t> </w:t>
      </w:r>
      <w:r>
        <w:rPr>
          <w:color w:val="231F20"/>
          <w:w w:val="120"/>
        </w:rPr>
        <w:t>un</w:t>
      </w:r>
      <w:r>
        <w:rPr>
          <w:color w:val="231F20"/>
          <w:spacing w:val="-6"/>
          <w:w w:val="120"/>
        </w:rPr>
        <w:t> </w:t>
      </w:r>
      <w:r>
        <w:rPr>
          <w:color w:val="231F20"/>
          <w:w w:val="120"/>
        </w:rPr>
        <w:t>stéréotype</w:t>
      </w:r>
      <w:r>
        <w:rPr>
          <w:color w:val="231F20"/>
          <w:spacing w:val="-6"/>
          <w:w w:val="120"/>
        </w:rPr>
        <w:t> </w:t>
      </w:r>
      <w:r>
        <w:rPr>
          <w:color w:val="231F20"/>
          <w:w w:val="120"/>
        </w:rPr>
        <w:t>bien</w:t>
      </w:r>
      <w:r>
        <w:rPr>
          <w:color w:val="231F20"/>
          <w:spacing w:val="-6"/>
          <w:w w:val="120"/>
        </w:rPr>
        <w:t> </w:t>
      </w:r>
      <w:r>
        <w:rPr>
          <w:color w:val="231F20"/>
          <w:w w:val="120"/>
        </w:rPr>
        <w:t>connu,</w:t>
      </w:r>
      <w:r>
        <w:rPr>
          <w:color w:val="231F20"/>
          <w:spacing w:val="-6"/>
          <w:w w:val="120"/>
        </w:rPr>
        <w:t> </w:t>
      </w:r>
      <w:r>
        <w:rPr>
          <w:color w:val="231F20"/>
          <w:w w:val="120"/>
        </w:rPr>
        <w:t>on</w:t>
      </w:r>
      <w:r>
        <w:rPr>
          <w:color w:val="231F20"/>
          <w:spacing w:val="-6"/>
          <w:w w:val="120"/>
        </w:rPr>
        <w:t> </w:t>
      </w:r>
      <w:r>
        <w:rPr>
          <w:color w:val="231F20"/>
          <w:w w:val="120"/>
        </w:rPr>
        <w:t>peut</w:t>
      </w:r>
      <w:r>
        <w:rPr>
          <w:color w:val="231F20"/>
          <w:spacing w:val="-6"/>
          <w:w w:val="120"/>
        </w:rPr>
        <w:t> </w:t>
      </w:r>
      <w:r>
        <w:rPr>
          <w:color w:val="231F20"/>
          <w:w w:val="120"/>
        </w:rPr>
        <w:t>être un surhomme ou une surfemme pendant une journée, une semaine, voire un mois, mais cela est impossible pendant une année sans hypo- théquer sérieusement sa capacité adaptative. Les efforts surhumains déployés continuellement par les employés entraînent inévitablement un déséquilibre physique ou psychologique qui se solde à moyenne échéance</w:t>
      </w:r>
      <w:r>
        <w:rPr>
          <w:color w:val="231F20"/>
          <w:spacing w:val="-12"/>
          <w:w w:val="120"/>
        </w:rPr>
        <w:t> </w:t>
      </w:r>
      <w:r>
        <w:rPr>
          <w:color w:val="231F20"/>
          <w:w w:val="120"/>
        </w:rPr>
        <w:t>par</w:t>
      </w:r>
      <w:r>
        <w:rPr>
          <w:color w:val="231F20"/>
          <w:spacing w:val="-12"/>
          <w:w w:val="120"/>
        </w:rPr>
        <w:t> </w:t>
      </w:r>
      <w:r>
        <w:rPr>
          <w:color w:val="231F20"/>
          <w:w w:val="120"/>
        </w:rPr>
        <w:t>un</w:t>
      </w:r>
      <w:r>
        <w:rPr>
          <w:color w:val="231F20"/>
          <w:spacing w:val="-12"/>
          <w:w w:val="120"/>
        </w:rPr>
        <w:t> </w:t>
      </w:r>
      <w:r>
        <w:rPr>
          <w:color w:val="231F20"/>
          <w:w w:val="120"/>
        </w:rPr>
        <w:t>état</w:t>
      </w:r>
      <w:r>
        <w:rPr>
          <w:color w:val="231F20"/>
          <w:spacing w:val="-12"/>
          <w:w w:val="120"/>
        </w:rPr>
        <w:t> </w:t>
      </w:r>
      <w:r>
        <w:rPr>
          <w:color w:val="231F20"/>
          <w:w w:val="120"/>
        </w:rPr>
        <w:t>de</w:t>
      </w:r>
      <w:r>
        <w:rPr>
          <w:color w:val="231F20"/>
          <w:spacing w:val="-12"/>
          <w:w w:val="120"/>
        </w:rPr>
        <w:t> </w:t>
      </w:r>
      <w:r>
        <w:rPr>
          <w:color w:val="231F20"/>
          <w:w w:val="120"/>
        </w:rPr>
        <w:t>santé</w:t>
      </w:r>
      <w:r>
        <w:rPr>
          <w:color w:val="231F20"/>
          <w:spacing w:val="-12"/>
          <w:w w:val="120"/>
        </w:rPr>
        <w:t> </w:t>
      </w:r>
      <w:r>
        <w:rPr>
          <w:color w:val="231F20"/>
          <w:w w:val="120"/>
        </w:rPr>
        <w:t>altéré.</w:t>
      </w:r>
      <w:r>
        <w:rPr>
          <w:color w:val="231F20"/>
          <w:spacing w:val="-12"/>
          <w:w w:val="120"/>
        </w:rPr>
        <w:t> </w:t>
      </w:r>
      <w:r>
        <w:rPr>
          <w:color w:val="231F20"/>
          <w:w w:val="120"/>
        </w:rPr>
        <w:t>Un</w:t>
      </w:r>
      <w:r>
        <w:rPr>
          <w:color w:val="231F20"/>
          <w:spacing w:val="-12"/>
          <w:w w:val="120"/>
        </w:rPr>
        <w:t> </w:t>
      </w:r>
      <w:r>
        <w:rPr>
          <w:color w:val="231F20"/>
          <w:w w:val="120"/>
        </w:rPr>
        <w:t>stress</w:t>
      </w:r>
      <w:r>
        <w:rPr>
          <w:color w:val="231F20"/>
          <w:spacing w:val="-12"/>
          <w:w w:val="120"/>
        </w:rPr>
        <w:t> </w:t>
      </w:r>
      <w:r>
        <w:rPr>
          <w:color w:val="231F20"/>
          <w:w w:val="120"/>
        </w:rPr>
        <w:t>excessif</w:t>
      </w:r>
      <w:r>
        <w:rPr>
          <w:color w:val="231F20"/>
          <w:spacing w:val="-12"/>
          <w:w w:val="120"/>
        </w:rPr>
        <w:t> </w:t>
      </w:r>
      <w:r>
        <w:rPr>
          <w:color w:val="231F20"/>
          <w:w w:val="120"/>
        </w:rPr>
        <w:t>subi</w:t>
      </w:r>
      <w:r>
        <w:rPr>
          <w:color w:val="231F20"/>
          <w:spacing w:val="-12"/>
          <w:w w:val="120"/>
        </w:rPr>
        <w:t> </w:t>
      </w:r>
      <w:r>
        <w:rPr>
          <w:color w:val="231F20"/>
          <w:w w:val="120"/>
        </w:rPr>
        <w:t>au</w:t>
      </w:r>
      <w:r>
        <w:rPr>
          <w:color w:val="231F20"/>
          <w:spacing w:val="-12"/>
          <w:w w:val="120"/>
        </w:rPr>
        <w:t> </w:t>
      </w:r>
      <w:r>
        <w:rPr>
          <w:color w:val="231F20"/>
          <w:w w:val="120"/>
        </w:rPr>
        <w:t>travail</w:t>
      </w:r>
      <w:r>
        <w:rPr>
          <w:color w:val="231F20"/>
          <w:spacing w:val="-12"/>
          <w:w w:val="120"/>
        </w:rPr>
        <w:t> </w:t>
      </w:r>
      <w:r>
        <w:rPr>
          <w:color w:val="231F20"/>
          <w:w w:val="120"/>
        </w:rPr>
        <w:t>se </w:t>
      </w:r>
      <w:r>
        <w:rPr>
          <w:color w:val="231F20"/>
          <w:spacing w:val="-2"/>
          <w:w w:val="120"/>
        </w:rPr>
        <w:t>répercute</w:t>
      </w:r>
      <w:r>
        <w:rPr>
          <w:color w:val="231F20"/>
          <w:spacing w:val="-13"/>
          <w:w w:val="120"/>
        </w:rPr>
        <w:t> </w:t>
      </w:r>
      <w:r>
        <w:rPr>
          <w:color w:val="231F20"/>
          <w:spacing w:val="-2"/>
          <w:w w:val="120"/>
        </w:rPr>
        <w:t>aussi</w:t>
      </w:r>
      <w:r>
        <w:rPr>
          <w:color w:val="231F20"/>
          <w:spacing w:val="-11"/>
          <w:w w:val="120"/>
        </w:rPr>
        <w:t> </w:t>
      </w:r>
      <w:r>
        <w:rPr>
          <w:color w:val="231F20"/>
          <w:spacing w:val="-2"/>
          <w:w w:val="120"/>
        </w:rPr>
        <w:t>dans</w:t>
      </w:r>
      <w:r>
        <w:rPr>
          <w:color w:val="231F20"/>
          <w:spacing w:val="-11"/>
          <w:w w:val="120"/>
        </w:rPr>
        <w:t> </w:t>
      </w:r>
      <w:r>
        <w:rPr>
          <w:color w:val="231F20"/>
          <w:spacing w:val="-2"/>
          <w:w w:val="120"/>
        </w:rPr>
        <w:t>la</w:t>
      </w:r>
      <w:r>
        <w:rPr>
          <w:color w:val="231F20"/>
          <w:spacing w:val="-10"/>
          <w:w w:val="120"/>
        </w:rPr>
        <w:t> </w:t>
      </w:r>
      <w:r>
        <w:rPr>
          <w:color w:val="231F20"/>
          <w:spacing w:val="-2"/>
          <w:w w:val="120"/>
        </w:rPr>
        <w:t>vie</w:t>
      </w:r>
      <w:r>
        <w:rPr>
          <w:color w:val="231F20"/>
          <w:spacing w:val="-11"/>
          <w:w w:val="120"/>
        </w:rPr>
        <w:t> </w:t>
      </w:r>
      <w:r>
        <w:rPr>
          <w:color w:val="231F20"/>
          <w:spacing w:val="-2"/>
          <w:w w:val="120"/>
        </w:rPr>
        <w:t>à</w:t>
      </w:r>
      <w:r>
        <w:rPr>
          <w:color w:val="231F20"/>
          <w:spacing w:val="-11"/>
          <w:w w:val="120"/>
        </w:rPr>
        <w:t> </w:t>
      </w:r>
      <w:r>
        <w:rPr>
          <w:color w:val="231F20"/>
          <w:spacing w:val="-2"/>
          <w:w w:val="120"/>
        </w:rPr>
        <w:t>l’extérieur</w:t>
      </w:r>
      <w:r>
        <w:rPr>
          <w:color w:val="231F20"/>
          <w:spacing w:val="-11"/>
          <w:w w:val="120"/>
        </w:rPr>
        <w:t> </w:t>
      </w:r>
      <w:r>
        <w:rPr>
          <w:color w:val="231F20"/>
          <w:spacing w:val="-2"/>
          <w:w w:val="120"/>
        </w:rPr>
        <w:t>du</w:t>
      </w:r>
      <w:r>
        <w:rPr>
          <w:color w:val="231F20"/>
          <w:spacing w:val="-10"/>
          <w:w w:val="120"/>
        </w:rPr>
        <w:t> </w:t>
      </w:r>
      <w:r>
        <w:rPr>
          <w:color w:val="231F20"/>
          <w:spacing w:val="-2"/>
          <w:w w:val="120"/>
        </w:rPr>
        <w:t>milieu</w:t>
      </w:r>
      <w:r>
        <w:rPr>
          <w:color w:val="231F20"/>
          <w:spacing w:val="-11"/>
          <w:w w:val="120"/>
        </w:rPr>
        <w:t> </w:t>
      </w:r>
      <w:r>
        <w:rPr>
          <w:color w:val="231F20"/>
          <w:spacing w:val="-2"/>
          <w:w w:val="120"/>
        </w:rPr>
        <w:t>de</w:t>
      </w:r>
      <w:r>
        <w:rPr>
          <w:color w:val="231F20"/>
          <w:spacing w:val="-11"/>
          <w:w w:val="120"/>
        </w:rPr>
        <w:t> </w:t>
      </w:r>
      <w:r>
        <w:rPr>
          <w:color w:val="231F20"/>
          <w:spacing w:val="-2"/>
          <w:w w:val="120"/>
        </w:rPr>
        <w:t>travail,</w:t>
      </w:r>
      <w:r>
        <w:rPr>
          <w:color w:val="231F20"/>
          <w:spacing w:val="-11"/>
          <w:w w:val="120"/>
        </w:rPr>
        <w:t> </w:t>
      </w:r>
      <w:r>
        <w:rPr>
          <w:color w:val="231F20"/>
          <w:spacing w:val="-2"/>
          <w:w w:val="120"/>
        </w:rPr>
        <w:t>suscitant</w:t>
      </w:r>
      <w:r>
        <w:rPr>
          <w:color w:val="231F20"/>
          <w:spacing w:val="-10"/>
          <w:w w:val="120"/>
        </w:rPr>
        <w:t> </w:t>
      </w:r>
      <w:r>
        <w:rPr>
          <w:color w:val="231F20"/>
          <w:spacing w:val="-2"/>
          <w:w w:val="120"/>
        </w:rPr>
        <w:t>une </w:t>
      </w:r>
      <w:r>
        <w:rPr>
          <w:color w:val="231F20"/>
          <w:spacing w:val="-4"/>
          <w:w w:val="120"/>
        </w:rPr>
        <w:t>baisse</w:t>
      </w:r>
      <w:r>
        <w:rPr>
          <w:color w:val="231F20"/>
          <w:spacing w:val="-9"/>
          <w:w w:val="120"/>
        </w:rPr>
        <w:t> </w:t>
      </w:r>
      <w:r>
        <w:rPr>
          <w:color w:val="231F20"/>
          <w:spacing w:val="-4"/>
          <w:w w:val="120"/>
        </w:rPr>
        <w:t>de</w:t>
      </w:r>
      <w:r>
        <w:rPr>
          <w:color w:val="231F20"/>
          <w:spacing w:val="-8"/>
          <w:w w:val="120"/>
        </w:rPr>
        <w:t> </w:t>
      </w:r>
      <w:r>
        <w:rPr>
          <w:color w:val="231F20"/>
          <w:spacing w:val="-4"/>
          <w:w w:val="120"/>
        </w:rPr>
        <w:t>l’énergie</w:t>
      </w:r>
      <w:r>
        <w:rPr>
          <w:color w:val="231F20"/>
          <w:spacing w:val="-9"/>
          <w:w w:val="120"/>
        </w:rPr>
        <w:t> </w:t>
      </w:r>
      <w:r>
        <w:rPr>
          <w:color w:val="231F20"/>
          <w:spacing w:val="-4"/>
          <w:w w:val="120"/>
        </w:rPr>
        <w:t>et</w:t>
      </w:r>
      <w:r>
        <w:rPr>
          <w:color w:val="231F20"/>
          <w:spacing w:val="-8"/>
          <w:w w:val="120"/>
        </w:rPr>
        <w:t> </w:t>
      </w:r>
      <w:r>
        <w:rPr>
          <w:color w:val="231F20"/>
          <w:spacing w:val="-4"/>
          <w:w w:val="120"/>
        </w:rPr>
        <w:t>rendant</w:t>
      </w:r>
      <w:r>
        <w:rPr>
          <w:color w:val="231F20"/>
          <w:spacing w:val="-9"/>
          <w:w w:val="120"/>
        </w:rPr>
        <w:t> </w:t>
      </w:r>
      <w:r>
        <w:rPr>
          <w:color w:val="231F20"/>
          <w:spacing w:val="-4"/>
          <w:w w:val="120"/>
        </w:rPr>
        <w:t>pratiquement</w:t>
      </w:r>
      <w:r>
        <w:rPr>
          <w:color w:val="231F20"/>
          <w:spacing w:val="-8"/>
          <w:w w:val="120"/>
        </w:rPr>
        <w:t> </w:t>
      </w:r>
      <w:r>
        <w:rPr>
          <w:color w:val="231F20"/>
          <w:spacing w:val="-4"/>
          <w:w w:val="120"/>
        </w:rPr>
        <w:t>impossible</w:t>
      </w:r>
      <w:r>
        <w:rPr>
          <w:color w:val="231F20"/>
          <w:spacing w:val="-9"/>
          <w:w w:val="120"/>
        </w:rPr>
        <w:t> </w:t>
      </w:r>
      <w:r>
        <w:rPr>
          <w:color w:val="231F20"/>
          <w:spacing w:val="-4"/>
          <w:w w:val="120"/>
        </w:rPr>
        <w:t>l’atteinte</w:t>
      </w:r>
      <w:r>
        <w:rPr>
          <w:color w:val="231F20"/>
          <w:spacing w:val="-8"/>
          <w:w w:val="120"/>
        </w:rPr>
        <w:t> </w:t>
      </w:r>
      <w:r>
        <w:rPr>
          <w:color w:val="231F20"/>
          <w:spacing w:val="-4"/>
          <w:w w:val="120"/>
        </w:rPr>
        <w:t>de</w:t>
      </w:r>
      <w:r>
        <w:rPr>
          <w:color w:val="231F20"/>
          <w:spacing w:val="-9"/>
          <w:w w:val="120"/>
        </w:rPr>
        <w:t> </w:t>
      </w:r>
      <w:r>
        <w:rPr>
          <w:color w:val="231F20"/>
          <w:spacing w:val="-4"/>
          <w:w w:val="120"/>
        </w:rPr>
        <w:t>l’équi- </w:t>
      </w:r>
      <w:r>
        <w:rPr>
          <w:color w:val="231F20"/>
          <w:w w:val="120"/>
        </w:rPr>
        <w:t>libre</w:t>
      </w:r>
      <w:r>
        <w:rPr>
          <w:color w:val="231F20"/>
          <w:spacing w:val="-9"/>
          <w:w w:val="120"/>
        </w:rPr>
        <w:t> </w:t>
      </w:r>
      <w:r>
        <w:rPr>
          <w:color w:val="231F20"/>
          <w:w w:val="120"/>
        </w:rPr>
        <w:t>entre</w:t>
      </w:r>
      <w:r>
        <w:rPr>
          <w:color w:val="231F20"/>
          <w:spacing w:val="-9"/>
          <w:w w:val="120"/>
        </w:rPr>
        <w:t> </w:t>
      </w:r>
      <w:r>
        <w:rPr>
          <w:color w:val="231F20"/>
          <w:w w:val="120"/>
        </w:rPr>
        <w:t>le</w:t>
      </w:r>
      <w:r>
        <w:rPr>
          <w:color w:val="231F20"/>
          <w:spacing w:val="-9"/>
          <w:w w:val="120"/>
        </w:rPr>
        <w:t> </w:t>
      </w:r>
      <w:r>
        <w:rPr>
          <w:color w:val="231F20"/>
          <w:w w:val="120"/>
        </w:rPr>
        <w:t>travail</w:t>
      </w:r>
      <w:r>
        <w:rPr>
          <w:color w:val="231F20"/>
          <w:spacing w:val="-9"/>
          <w:w w:val="120"/>
        </w:rPr>
        <w:t> </w:t>
      </w:r>
      <w:r>
        <w:rPr>
          <w:color w:val="231F20"/>
          <w:w w:val="120"/>
        </w:rPr>
        <w:t>et</w:t>
      </w:r>
      <w:r>
        <w:rPr>
          <w:color w:val="231F20"/>
          <w:spacing w:val="-9"/>
          <w:w w:val="120"/>
        </w:rPr>
        <w:t> </w:t>
      </w:r>
      <w:r>
        <w:rPr>
          <w:color w:val="231F20"/>
          <w:w w:val="120"/>
        </w:rPr>
        <w:t>la</w:t>
      </w:r>
      <w:r>
        <w:rPr>
          <w:color w:val="231F20"/>
          <w:spacing w:val="-9"/>
          <w:w w:val="120"/>
        </w:rPr>
        <w:t> </w:t>
      </w:r>
      <w:r>
        <w:rPr>
          <w:color w:val="231F20"/>
          <w:w w:val="120"/>
        </w:rPr>
        <w:t>vie</w:t>
      </w:r>
      <w:r>
        <w:rPr>
          <w:color w:val="231F20"/>
          <w:spacing w:val="-9"/>
          <w:w w:val="120"/>
        </w:rPr>
        <w:t> </w:t>
      </w:r>
      <w:r>
        <w:rPr>
          <w:color w:val="231F20"/>
          <w:w w:val="120"/>
        </w:rPr>
        <w:t>privée.</w:t>
      </w:r>
      <w:r>
        <w:rPr>
          <w:color w:val="231F20"/>
          <w:spacing w:val="-9"/>
          <w:w w:val="120"/>
        </w:rPr>
        <w:t> </w:t>
      </w:r>
      <w:r>
        <w:rPr>
          <w:color w:val="231F20"/>
          <w:w w:val="120"/>
        </w:rPr>
        <w:t>D’où</w:t>
      </w:r>
      <w:r>
        <w:rPr>
          <w:color w:val="231F20"/>
          <w:spacing w:val="-9"/>
          <w:w w:val="120"/>
        </w:rPr>
        <w:t> </w:t>
      </w:r>
      <w:r>
        <w:rPr>
          <w:color w:val="231F20"/>
          <w:w w:val="120"/>
        </w:rPr>
        <w:t>l’importance</w:t>
      </w:r>
      <w:r>
        <w:rPr>
          <w:color w:val="231F20"/>
          <w:spacing w:val="-9"/>
          <w:w w:val="120"/>
        </w:rPr>
        <w:t> </w:t>
      </w:r>
      <w:r>
        <w:rPr>
          <w:color w:val="231F20"/>
          <w:w w:val="120"/>
        </w:rPr>
        <w:t>cruciale</w:t>
      </w:r>
      <w:r>
        <w:rPr>
          <w:color w:val="231F20"/>
          <w:spacing w:val="-9"/>
          <w:w w:val="120"/>
        </w:rPr>
        <w:t> </w:t>
      </w:r>
      <w:r>
        <w:rPr>
          <w:color w:val="231F20"/>
          <w:w w:val="120"/>
        </w:rPr>
        <w:t>de</w:t>
      </w:r>
      <w:r>
        <w:rPr>
          <w:color w:val="231F20"/>
          <w:spacing w:val="-9"/>
          <w:w w:val="120"/>
        </w:rPr>
        <w:t> </w:t>
      </w:r>
      <w:r>
        <w:rPr>
          <w:color w:val="231F20"/>
          <w:w w:val="120"/>
        </w:rPr>
        <w:t>bien gérer</w:t>
      </w:r>
      <w:r>
        <w:rPr>
          <w:color w:val="231F20"/>
          <w:spacing w:val="-12"/>
          <w:w w:val="120"/>
        </w:rPr>
        <w:t> </w:t>
      </w:r>
      <w:r>
        <w:rPr>
          <w:color w:val="231F20"/>
          <w:w w:val="120"/>
        </w:rPr>
        <w:t>les</w:t>
      </w:r>
      <w:r>
        <w:rPr>
          <w:color w:val="231F20"/>
          <w:spacing w:val="-12"/>
          <w:w w:val="120"/>
        </w:rPr>
        <w:t> </w:t>
      </w:r>
      <w:r>
        <w:rPr>
          <w:color w:val="231F20"/>
          <w:w w:val="120"/>
        </w:rPr>
        <w:t>charges</w:t>
      </w:r>
      <w:r>
        <w:rPr>
          <w:color w:val="231F20"/>
          <w:spacing w:val="-12"/>
          <w:w w:val="120"/>
        </w:rPr>
        <w:t> </w:t>
      </w:r>
      <w:r>
        <w:rPr>
          <w:color w:val="231F20"/>
          <w:w w:val="120"/>
        </w:rPr>
        <w:t>de</w:t>
      </w:r>
      <w:r>
        <w:rPr>
          <w:color w:val="231F20"/>
          <w:spacing w:val="-12"/>
          <w:w w:val="120"/>
        </w:rPr>
        <w:t> </w:t>
      </w:r>
      <w:r>
        <w:rPr>
          <w:color w:val="231F20"/>
          <w:w w:val="120"/>
        </w:rPr>
        <w:t>travail</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autres</w:t>
      </w:r>
      <w:r>
        <w:rPr>
          <w:color w:val="231F20"/>
          <w:spacing w:val="-12"/>
          <w:w w:val="120"/>
        </w:rPr>
        <w:t> </w:t>
      </w:r>
      <w:r>
        <w:rPr>
          <w:color w:val="231F20"/>
          <w:w w:val="120"/>
        </w:rPr>
        <w:t>exigences</w:t>
      </w:r>
      <w:r>
        <w:rPr>
          <w:color w:val="231F20"/>
          <w:spacing w:val="-12"/>
          <w:w w:val="120"/>
        </w:rPr>
        <w:t> </w:t>
      </w:r>
      <w:r>
        <w:rPr>
          <w:color w:val="231F20"/>
          <w:w w:val="120"/>
        </w:rPr>
        <w:t>génératrices</w:t>
      </w:r>
      <w:r>
        <w:rPr>
          <w:color w:val="231F20"/>
          <w:spacing w:val="-12"/>
          <w:w w:val="120"/>
        </w:rPr>
        <w:t> </w:t>
      </w:r>
      <w:r>
        <w:rPr>
          <w:color w:val="231F20"/>
          <w:w w:val="120"/>
        </w:rPr>
        <w:t>de</w:t>
      </w:r>
      <w:r>
        <w:rPr>
          <w:color w:val="231F20"/>
          <w:spacing w:val="-12"/>
          <w:w w:val="120"/>
        </w:rPr>
        <w:t> </w:t>
      </w:r>
      <w:r>
        <w:rPr>
          <w:color w:val="231F20"/>
          <w:w w:val="120"/>
        </w:rPr>
        <w:t>stress dans l’environnement professionnel.</w:t>
      </w:r>
    </w:p>
    <w:p>
      <w:pPr>
        <w:pStyle w:val="BodyText"/>
        <w:spacing w:line="307" w:lineRule="auto" w:before="77"/>
        <w:ind w:left="790" w:right="632" w:firstLine="250"/>
        <w:jc w:val="both"/>
      </w:pPr>
      <w:r>
        <w:rPr>
          <w:color w:val="231F20"/>
          <w:w w:val="120"/>
        </w:rPr>
        <w:t>L’estime de soi est l’un des paramètres individuels qui peut servir</w:t>
      </w:r>
      <w:r>
        <w:rPr>
          <w:color w:val="231F20"/>
          <w:spacing w:val="40"/>
          <w:w w:val="120"/>
        </w:rPr>
        <w:t> </w:t>
      </w:r>
      <w:r>
        <w:rPr>
          <w:color w:val="231F20"/>
          <w:w w:val="120"/>
        </w:rPr>
        <w:t>à expliquer la sensibilité au stress et les capacités de résistance fort variables</w:t>
      </w:r>
      <w:r>
        <w:rPr>
          <w:color w:val="231F20"/>
          <w:spacing w:val="-11"/>
          <w:w w:val="120"/>
        </w:rPr>
        <w:t> </w:t>
      </w:r>
      <w:r>
        <w:rPr>
          <w:color w:val="231F20"/>
          <w:w w:val="120"/>
        </w:rPr>
        <w:t>de</w:t>
      </w:r>
      <w:r>
        <w:rPr>
          <w:color w:val="231F20"/>
          <w:spacing w:val="-11"/>
          <w:w w:val="120"/>
        </w:rPr>
        <w:t> </w:t>
      </w:r>
      <w:r>
        <w:rPr>
          <w:color w:val="231F20"/>
          <w:w w:val="120"/>
        </w:rPr>
        <w:t>chacun.</w:t>
      </w:r>
      <w:r>
        <w:rPr>
          <w:color w:val="231F20"/>
          <w:spacing w:val="-11"/>
          <w:w w:val="120"/>
        </w:rPr>
        <w:t> </w:t>
      </w:r>
      <w:r>
        <w:rPr>
          <w:color w:val="231F20"/>
          <w:w w:val="120"/>
        </w:rPr>
        <w:t>En</w:t>
      </w:r>
      <w:r>
        <w:rPr>
          <w:color w:val="231F20"/>
          <w:spacing w:val="-11"/>
          <w:w w:val="120"/>
        </w:rPr>
        <w:t> </w:t>
      </w:r>
      <w:r>
        <w:rPr>
          <w:color w:val="231F20"/>
          <w:w w:val="120"/>
        </w:rPr>
        <w:t>effet,</w:t>
      </w:r>
      <w:r>
        <w:rPr>
          <w:color w:val="231F20"/>
          <w:spacing w:val="-11"/>
          <w:w w:val="120"/>
        </w:rPr>
        <w:t> </w:t>
      </w:r>
      <w:r>
        <w:rPr>
          <w:color w:val="231F20"/>
          <w:w w:val="120"/>
        </w:rPr>
        <w:t>le</w:t>
      </w:r>
      <w:r>
        <w:rPr>
          <w:color w:val="231F20"/>
          <w:spacing w:val="-11"/>
          <w:w w:val="120"/>
        </w:rPr>
        <w:t> </w:t>
      </w:r>
      <w:r>
        <w:rPr>
          <w:color w:val="231F20"/>
          <w:w w:val="120"/>
        </w:rPr>
        <w:t>niveau</w:t>
      </w:r>
      <w:r>
        <w:rPr>
          <w:color w:val="231F20"/>
          <w:spacing w:val="-11"/>
          <w:w w:val="120"/>
        </w:rPr>
        <w:t> </w:t>
      </w:r>
      <w:r>
        <w:rPr>
          <w:color w:val="231F20"/>
          <w:w w:val="120"/>
        </w:rPr>
        <w:t>d’estime</w:t>
      </w:r>
      <w:r>
        <w:rPr>
          <w:color w:val="231F20"/>
          <w:spacing w:val="-11"/>
          <w:w w:val="120"/>
        </w:rPr>
        <w:t>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varie</w:t>
      </w:r>
      <w:r>
        <w:rPr>
          <w:color w:val="231F20"/>
          <w:spacing w:val="-11"/>
          <w:w w:val="120"/>
        </w:rPr>
        <w:t> </w:t>
      </w:r>
      <w:r>
        <w:rPr>
          <w:color w:val="231F20"/>
          <w:w w:val="120"/>
        </w:rPr>
        <w:t>d’une</w:t>
      </w:r>
      <w:r>
        <w:rPr>
          <w:color w:val="231F20"/>
          <w:spacing w:val="-11"/>
          <w:w w:val="120"/>
        </w:rPr>
        <w:t> </w:t>
      </w:r>
      <w:r>
        <w:rPr>
          <w:color w:val="231F20"/>
          <w:w w:val="120"/>
        </w:rPr>
        <w:t>per- sonne</w:t>
      </w:r>
      <w:r>
        <w:rPr>
          <w:color w:val="231F20"/>
          <w:spacing w:val="-3"/>
          <w:w w:val="120"/>
        </w:rPr>
        <w:t> </w:t>
      </w:r>
      <w:r>
        <w:rPr>
          <w:color w:val="231F20"/>
          <w:w w:val="120"/>
        </w:rPr>
        <w:t>à</w:t>
      </w:r>
      <w:r>
        <w:rPr>
          <w:color w:val="231F20"/>
          <w:spacing w:val="-3"/>
          <w:w w:val="120"/>
        </w:rPr>
        <w:t> </w:t>
      </w:r>
      <w:r>
        <w:rPr>
          <w:color w:val="231F20"/>
          <w:w w:val="120"/>
        </w:rPr>
        <w:t>l’autre,</w:t>
      </w:r>
      <w:r>
        <w:rPr>
          <w:color w:val="231F20"/>
          <w:spacing w:val="-3"/>
          <w:w w:val="120"/>
        </w:rPr>
        <w:t> </w:t>
      </w:r>
      <w:r>
        <w:rPr>
          <w:color w:val="231F20"/>
          <w:w w:val="120"/>
        </w:rPr>
        <w:t>et</w:t>
      </w:r>
      <w:r>
        <w:rPr>
          <w:color w:val="231F20"/>
          <w:spacing w:val="-3"/>
          <w:w w:val="120"/>
        </w:rPr>
        <w:t> </w:t>
      </w:r>
      <w:r>
        <w:rPr>
          <w:color w:val="231F20"/>
          <w:w w:val="120"/>
        </w:rPr>
        <w:t>des</w:t>
      </w:r>
      <w:r>
        <w:rPr>
          <w:color w:val="231F20"/>
          <w:spacing w:val="-3"/>
          <w:w w:val="120"/>
        </w:rPr>
        <w:t> </w:t>
      </w:r>
      <w:r>
        <w:rPr>
          <w:color w:val="231F20"/>
          <w:w w:val="120"/>
        </w:rPr>
        <w:t>auteurs</w:t>
      </w:r>
      <w:r>
        <w:rPr>
          <w:color w:val="231F20"/>
          <w:spacing w:val="-3"/>
          <w:w w:val="120"/>
        </w:rPr>
        <w:t> </w:t>
      </w:r>
      <w:r>
        <w:rPr>
          <w:color w:val="231F20"/>
          <w:w w:val="120"/>
        </w:rPr>
        <w:t>font</w:t>
      </w:r>
      <w:r>
        <w:rPr>
          <w:color w:val="231F20"/>
          <w:spacing w:val="-3"/>
          <w:w w:val="120"/>
        </w:rPr>
        <w:t> </w:t>
      </w:r>
      <w:r>
        <w:rPr>
          <w:color w:val="231F20"/>
          <w:w w:val="120"/>
        </w:rPr>
        <w:t>un</w:t>
      </w:r>
      <w:r>
        <w:rPr>
          <w:color w:val="231F20"/>
          <w:spacing w:val="-3"/>
          <w:w w:val="120"/>
        </w:rPr>
        <w:t> </w:t>
      </w:r>
      <w:r>
        <w:rPr>
          <w:color w:val="231F20"/>
          <w:w w:val="120"/>
        </w:rPr>
        <w:t>lien</w:t>
      </w:r>
      <w:r>
        <w:rPr>
          <w:color w:val="231F20"/>
          <w:spacing w:val="-3"/>
          <w:w w:val="120"/>
        </w:rPr>
        <w:t> </w:t>
      </w:r>
      <w:r>
        <w:rPr>
          <w:color w:val="231F20"/>
          <w:w w:val="120"/>
        </w:rPr>
        <w:t>entre</w:t>
      </w:r>
      <w:r>
        <w:rPr>
          <w:color w:val="231F20"/>
          <w:spacing w:val="-3"/>
          <w:w w:val="120"/>
        </w:rPr>
        <w:t> </w:t>
      </w:r>
      <w:r>
        <w:rPr>
          <w:color w:val="231F20"/>
          <w:w w:val="120"/>
        </w:rPr>
        <w:t>des</w:t>
      </w:r>
      <w:r>
        <w:rPr>
          <w:color w:val="231F20"/>
          <w:spacing w:val="-3"/>
          <w:w w:val="120"/>
        </w:rPr>
        <w:t> </w:t>
      </w:r>
      <w:r>
        <w:rPr>
          <w:color w:val="231F20"/>
          <w:w w:val="120"/>
        </w:rPr>
        <w:t>lacunes</w:t>
      </w:r>
      <w:r>
        <w:rPr>
          <w:color w:val="231F20"/>
          <w:spacing w:val="-3"/>
          <w:w w:val="120"/>
        </w:rPr>
        <w:t> </w:t>
      </w:r>
      <w:r>
        <w:rPr>
          <w:color w:val="231F20"/>
          <w:w w:val="120"/>
        </w:rPr>
        <w:t>sur</w:t>
      </w:r>
      <w:r>
        <w:rPr>
          <w:color w:val="231F20"/>
          <w:spacing w:val="-3"/>
          <w:w w:val="120"/>
        </w:rPr>
        <w:t> </w:t>
      </w:r>
      <w:r>
        <w:rPr>
          <w:color w:val="231F20"/>
          <w:w w:val="120"/>
        </w:rPr>
        <w:t>le</w:t>
      </w:r>
      <w:r>
        <w:rPr>
          <w:color w:val="231F20"/>
          <w:spacing w:val="-3"/>
          <w:w w:val="120"/>
        </w:rPr>
        <w:t> </w:t>
      </w:r>
      <w:r>
        <w:rPr>
          <w:color w:val="231F20"/>
          <w:w w:val="120"/>
        </w:rPr>
        <w:t>plan </w:t>
      </w:r>
      <w:r>
        <w:rPr>
          <w:color w:val="231F20"/>
          <w:spacing w:val="-2"/>
          <w:w w:val="120"/>
        </w:rPr>
        <w:t>de</w:t>
      </w:r>
      <w:r>
        <w:rPr>
          <w:color w:val="231F20"/>
          <w:spacing w:val="-5"/>
          <w:w w:val="120"/>
        </w:rPr>
        <w:t> </w:t>
      </w:r>
      <w:r>
        <w:rPr>
          <w:color w:val="231F20"/>
          <w:spacing w:val="-2"/>
          <w:w w:val="120"/>
        </w:rPr>
        <w:t>l’estime</w:t>
      </w:r>
      <w:r>
        <w:rPr>
          <w:color w:val="231F20"/>
          <w:spacing w:val="-5"/>
          <w:w w:val="120"/>
        </w:rPr>
        <w:t> </w:t>
      </w:r>
      <w:r>
        <w:rPr>
          <w:color w:val="231F20"/>
          <w:spacing w:val="-2"/>
          <w:w w:val="120"/>
        </w:rPr>
        <w:t>de</w:t>
      </w:r>
      <w:r>
        <w:rPr>
          <w:color w:val="231F20"/>
          <w:spacing w:val="-5"/>
          <w:w w:val="120"/>
        </w:rPr>
        <w:t> </w:t>
      </w:r>
      <w:r>
        <w:rPr>
          <w:color w:val="231F20"/>
          <w:spacing w:val="-2"/>
          <w:w w:val="120"/>
        </w:rPr>
        <w:t>soi</w:t>
      </w:r>
      <w:r>
        <w:rPr>
          <w:color w:val="231F20"/>
          <w:spacing w:val="-5"/>
          <w:w w:val="120"/>
        </w:rPr>
        <w:t> </w:t>
      </w:r>
      <w:r>
        <w:rPr>
          <w:color w:val="231F20"/>
          <w:spacing w:val="-2"/>
          <w:w w:val="120"/>
        </w:rPr>
        <w:t>et</w:t>
      </w:r>
      <w:r>
        <w:rPr>
          <w:color w:val="231F20"/>
          <w:spacing w:val="-5"/>
          <w:w w:val="120"/>
        </w:rPr>
        <w:t> </w:t>
      </w:r>
      <w:r>
        <w:rPr>
          <w:color w:val="231F20"/>
          <w:spacing w:val="-2"/>
          <w:w w:val="120"/>
        </w:rPr>
        <w:t>le</w:t>
      </w:r>
      <w:r>
        <w:rPr>
          <w:color w:val="231F20"/>
          <w:spacing w:val="-5"/>
          <w:w w:val="120"/>
        </w:rPr>
        <w:t> </w:t>
      </w:r>
      <w:r>
        <w:rPr>
          <w:color w:val="231F20"/>
          <w:spacing w:val="-2"/>
          <w:w w:val="120"/>
        </w:rPr>
        <w:t>stress</w:t>
      </w:r>
      <w:r>
        <w:rPr>
          <w:color w:val="231F20"/>
          <w:spacing w:val="-5"/>
          <w:w w:val="120"/>
        </w:rPr>
        <w:t> </w:t>
      </w:r>
      <w:r>
        <w:rPr>
          <w:color w:val="231F20"/>
          <w:spacing w:val="-2"/>
          <w:w w:val="120"/>
        </w:rPr>
        <w:t>professionnel.</w:t>
      </w:r>
      <w:r>
        <w:rPr>
          <w:color w:val="231F20"/>
          <w:spacing w:val="-5"/>
          <w:w w:val="120"/>
        </w:rPr>
        <w:t> </w:t>
      </w:r>
      <w:r>
        <w:rPr>
          <w:color w:val="231F20"/>
          <w:spacing w:val="-2"/>
          <w:w w:val="120"/>
        </w:rPr>
        <w:t>D’après</w:t>
      </w:r>
      <w:r>
        <w:rPr>
          <w:color w:val="231F20"/>
          <w:spacing w:val="-5"/>
          <w:w w:val="120"/>
        </w:rPr>
        <w:t> </w:t>
      </w:r>
      <w:r>
        <w:rPr>
          <w:color w:val="231F20"/>
          <w:spacing w:val="-2"/>
          <w:w w:val="120"/>
        </w:rPr>
        <w:t>nos</w:t>
      </w:r>
      <w:r>
        <w:rPr>
          <w:color w:val="231F20"/>
          <w:spacing w:val="-5"/>
          <w:w w:val="120"/>
        </w:rPr>
        <w:t> </w:t>
      </w:r>
      <w:r>
        <w:rPr>
          <w:color w:val="231F20"/>
          <w:spacing w:val="-2"/>
          <w:w w:val="120"/>
        </w:rPr>
        <w:t>expériences</w:t>
      </w:r>
      <w:r>
        <w:rPr>
          <w:color w:val="231F20"/>
          <w:spacing w:val="-5"/>
          <w:w w:val="120"/>
        </w:rPr>
        <w:t> </w:t>
      </w:r>
      <w:r>
        <w:rPr>
          <w:color w:val="231F20"/>
          <w:spacing w:val="-2"/>
          <w:w w:val="120"/>
        </w:rPr>
        <w:t>qui reposent</w:t>
      </w:r>
      <w:r>
        <w:rPr>
          <w:color w:val="231F20"/>
          <w:spacing w:val="-9"/>
          <w:w w:val="120"/>
        </w:rPr>
        <w:t> </w:t>
      </w:r>
      <w:r>
        <w:rPr>
          <w:color w:val="231F20"/>
          <w:spacing w:val="-2"/>
          <w:w w:val="120"/>
        </w:rPr>
        <w:t>sur</w:t>
      </w:r>
      <w:r>
        <w:rPr>
          <w:color w:val="231F20"/>
          <w:spacing w:val="-7"/>
          <w:w w:val="120"/>
        </w:rPr>
        <w:t> </w:t>
      </w:r>
      <w:r>
        <w:rPr>
          <w:color w:val="231F20"/>
          <w:spacing w:val="-2"/>
          <w:w w:val="120"/>
        </w:rPr>
        <w:t>des</w:t>
      </w:r>
      <w:r>
        <w:rPr>
          <w:color w:val="231F20"/>
          <w:spacing w:val="-7"/>
          <w:w w:val="120"/>
        </w:rPr>
        <w:t> </w:t>
      </w:r>
      <w:r>
        <w:rPr>
          <w:color w:val="231F20"/>
          <w:spacing w:val="-2"/>
          <w:w w:val="120"/>
        </w:rPr>
        <w:t>centaines</w:t>
      </w:r>
      <w:r>
        <w:rPr>
          <w:color w:val="231F20"/>
          <w:spacing w:val="-7"/>
          <w:w w:val="120"/>
        </w:rPr>
        <w:t> </w:t>
      </w:r>
      <w:r>
        <w:rPr>
          <w:color w:val="231F20"/>
          <w:spacing w:val="-2"/>
          <w:w w:val="120"/>
        </w:rPr>
        <w:t>d’entrevues</w:t>
      </w:r>
      <w:r>
        <w:rPr>
          <w:color w:val="231F20"/>
          <w:spacing w:val="-7"/>
          <w:w w:val="120"/>
        </w:rPr>
        <w:t> </w:t>
      </w:r>
      <w:r>
        <w:rPr>
          <w:color w:val="231F20"/>
          <w:spacing w:val="-2"/>
          <w:w w:val="120"/>
        </w:rPr>
        <w:t>avec</w:t>
      </w:r>
      <w:r>
        <w:rPr>
          <w:color w:val="231F20"/>
          <w:spacing w:val="-7"/>
          <w:w w:val="120"/>
        </w:rPr>
        <w:t> </w:t>
      </w:r>
      <w:r>
        <w:rPr>
          <w:color w:val="231F20"/>
          <w:spacing w:val="-2"/>
          <w:w w:val="120"/>
        </w:rPr>
        <w:t>des</w:t>
      </w:r>
      <w:r>
        <w:rPr>
          <w:color w:val="231F20"/>
          <w:spacing w:val="-7"/>
          <w:w w:val="120"/>
        </w:rPr>
        <w:t> </w:t>
      </w:r>
      <w:r>
        <w:rPr>
          <w:color w:val="231F20"/>
          <w:spacing w:val="-2"/>
          <w:w w:val="120"/>
        </w:rPr>
        <w:t>gestionnaires</w:t>
      </w:r>
      <w:r>
        <w:rPr>
          <w:color w:val="231F20"/>
          <w:spacing w:val="-7"/>
          <w:w w:val="120"/>
        </w:rPr>
        <w:t> </w:t>
      </w:r>
      <w:r>
        <w:rPr>
          <w:color w:val="231F20"/>
          <w:spacing w:val="-2"/>
          <w:w w:val="120"/>
        </w:rPr>
        <w:t>et</w:t>
      </w:r>
      <w:r>
        <w:rPr>
          <w:color w:val="231F20"/>
          <w:spacing w:val="-7"/>
          <w:w w:val="120"/>
        </w:rPr>
        <w:t> </w:t>
      </w:r>
      <w:r>
        <w:rPr>
          <w:color w:val="231F20"/>
          <w:spacing w:val="-2"/>
          <w:w w:val="120"/>
        </w:rPr>
        <w:t>des</w:t>
      </w:r>
      <w:r>
        <w:rPr>
          <w:color w:val="231F20"/>
          <w:spacing w:val="-7"/>
          <w:w w:val="120"/>
        </w:rPr>
        <w:t> </w:t>
      </w:r>
      <w:r>
        <w:rPr>
          <w:color w:val="231F20"/>
          <w:spacing w:val="-2"/>
          <w:w w:val="120"/>
        </w:rPr>
        <w:t>pro- </w:t>
      </w:r>
      <w:r>
        <w:rPr>
          <w:color w:val="231F20"/>
          <w:spacing w:val="-4"/>
          <w:w w:val="120"/>
        </w:rPr>
        <w:t>fessionnels</w:t>
      </w:r>
      <w:r>
        <w:rPr>
          <w:color w:val="231F20"/>
          <w:spacing w:val="-6"/>
          <w:w w:val="120"/>
        </w:rPr>
        <w:t> </w:t>
      </w:r>
      <w:r>
        <w:rPr>
          <w:color w:val="231F20"/>
          <w:spacing w:val="-4"/>
          <w:w w:val="120"/>
        </w:rPr>
        <w:t>d’organisations</w:t>
      </w:r>
      <w:r>
        <w:rPr>
          <w:color w:val="231F20"/>
          <w:spacing w:val="-6"/>
          <w:w w:val="120"/>
        </w:rPr>
        <w:t> </w:t>
      </w:r>
      <w:r>
        <w:rPr>
          <w:color w:val="231F20"/>
          <w:spacing w:val="-4"/>
          <w:w w:val="120"/>
        </w:rPr>
        <w:t>variées</w:t>
      </w:r>
      <w:r>
        <w:rPr>
          <w:color w:val="231F20"/>
          <w:spacing w:val="-6"/>
          <w:w w:val="120"/>
        </w:rPr>
        <w:t> </w:t>
      </w:r>
      <w:r>
        <w:rPr>
          <w:color w:val="231F20"/>
          <w:spacing w:val="-4"/>
          <w:w w:val="120"/>
        </w:rPr>
        <w:t>établies</w:t>
      </w:r>
      <w:r>
        <w:rPr>
          <w:color w:val="231F20"/>
          <w:spacing w:val="-6"/>
          <w:w w:val="120"/>
        </w:rPr>
        <w:t> </w:t>
      </w:r>
      <w:r>
        <w:rPr>
          <w:color w:val="231F20"/>
          <w:spacing w:val="-4"/>
          <w:w w:val="120"/>
        </w:rPr>
        <w:t>un</w:t>
      </w:r>
      <w:r>
        <w:rPr>
          <w:color w:val="231F20"/>
          <w:spacing w:val="-6"/>
          <w:w w:val="120"/>
        </w:rPr>
        <w:t> </w:t>
      </w:r>
      <w:r>
        <w:rPr>
          <w:color w:val="231F20"/>
          <w:spacing w:val="-4"/>
          <w:w w:val="120"/>
        </w:rPr>
        <w:t>peu</w:t>
      </w:r>
      <w:r>
        <w:rPr>
          <w:color w:val="231F20"/>
          <w:spacing w:val="-6"/>
          <w:w w:val="120"/>
        </w:rPr>
        <w:t> </w:t>
      </w:r>
      <w:r>
        <w:rPr>
          <w:color w:val="231F20"/>
          <w:spacing w:val="-4"/>
          <w:w w:val="120"/>
        </w:rPr>
        <w:t>partout</w:t>
      </w:r>
      <w:r>
        <w:rPr>
          <w:color w:val="231F20"/>
          <w:spacing w:val="-6"/>
          <w:w w:val="120"/>
        </w:rPr>
        <w:t> </w:t>
      </w:r>
      <w:r>
        <w:rPr>
          <w:color w:val="231F20"/>
          <w:spacing w:val="-4"/>
          <w:w w:val="120"/>
        </w:rPr>
        <w:t>dans</w:t>
      </w:r>
      <w:r>
        <w:rPr>
          <w:color w:val="231F20"/>
          <w:spacing w:val="-6"/>
          <w:w w:val="120"/>
        </w:rPr>
        <w:t> </w:t>
      </w:r>
      <w:r>
        <w:rPr>
          <w:color w:val="231F20"/>
          <w:spacing w:val="-4"/>
          <w:w w:val="120"/>
        </w:rPr>
        <w:t>le</w:t>
      </w:r>
      <w:r>
        <w:rPr>
          <w:color w:val="231F20"/>
          <w:spacing w:val="-6"/>
          <w:w w:val="120"/>
        </w:rPr>
        <w:t> </w:t>
      </w:r>
      <w:r>
        <w:rPr>
          <w:color w:val="231F20"/>
          <w:spacing w:val="-4"/>
          <w:w w:val="120"/>
        </w:rPr>
        <w:t>monde, </w:t>
      </w:r>
      <w:r>
        <w:rPr>
          <w:color w:val="231F20"/>
          <w:w w:val="120"/>
        </w:rPr>
        <w:t>le manque d’estime de soi produit inévitablement un surcroît de stress </w:t>
      </w:r>
      <w:r>
        <w:rPr>
          <w:color w:val="231F20"/>
          <w:w w:val="115"/>
        </w:rPr>
        <w:t>parce</w:t>
      </w:r>
      <w:r>
        <w:rPr>
          <w:color w:val="231F20"/>
          <w:spacing w:val="-1"/>
          <w:w w:val="115"/>
        </w:rPr>
        <w:t> </w:t>
      </w:r>
      <w:r>
        <w:rPr>
          <w:color w:val="231F20"/>
          <w:w w:val="115"/>
        </w:rPr>
        <w:t>que</w:t>
      </w:r>
      <w:r>
        <w:rPr>
          <w:color w:val="231F20"/>
          <w:spacing w:val="-1"/>
          <w:w w:val="115"/>
        </w:rPr>
        <w:t> </w:t>
      </w:r>
      <w:r>
        <w:rPr>
          <w:color w:val="231F20"/>
          <w:w w:val="115"/>
        </w:rPr>
        <w:t>l’insécurité</w:t>
      </w:r>
      <w:r>
        <w:rPr>
          <w:color w:val="231F20"/>
          <w:spacing w:val="-1"/>
          <w:w w:val="115"/>
        </w:rPr>
        <w:t> </w:t>
      </w:r>
      <w:r>
        <w:rPr>
          <w:color w:val="231F20"/>
          <w:w w:val="115"/>
        </w:rPr>
        <w:t>qui</w:t>
      </w:r>
      <w:r>
        <w:rPr>
          <w:color w:val="231F20"/>
          <w:spacing w:val="-1"/>
          <w:w w:val="115"/>
        </w:rPr>
        <w:t> </w:t>
      </w:r>
      <w:r>
        <w:rPr>
          <w:color w:val="231F20"/>
          <w:w w:val="115"/>
        </w:rPr>
        <w:t>l’accompagne</w:t>
      </w:r>
      <w:r>
        <w:rPr>
          <w:color w:val="231F20"/>
          <w:spacing w:val="-1"/>
          <w:w w:val="115"/>
        </w:rPr>
        <w:t> </w:t>
      </w:r>
      <w:r>
        <w:rPr>
          <w:color w:val="231F20"/>
          <w:w w:val="115"/>
        </w:rPr>
        <w:t>structure</w:t>
      </w:r>
      <w:r>
        <w:rPr>
          <w:color w:val="231F20"/>
          <w:spacing w:val="-1"/>
          <w:w w:val="115"/>
        </w:rPr>
        <w:t> </w:t>
      </w:r>
      <w:r>
        <w:rPr>
          <w:color w:val="231F20"/>
          <w:w w:val="115"/>
        </w:rPr>
        <w:t>la</w:t>
      </w:r>
      <w:r>
        <w:rPr>
          <w:color w:val="231F20"/>
          <w:spacing w:val="-1"/>
          <w:w w:val="115"/>
        </w:rPr>
        <w:t> </w:t>
      </w:r>
      <w:r>
        <w:rPr>
          <w:color w:val="231F20"/>
          <w:w w:val="115"/>
        </w:rPr>
        <w:t>perception</w:t>
      </w:r>
      <w:r>
        <w:rPr>
          <w:color w:val="231F20"/>
          <w:spacing w:val="-1"/>
          <w:w w:val="115"/>
        </w:rPr>
        <w:t> </w:t>
      </w:r>
      <w:r>
        <w:rPr>
          <w:color w:val="231F20"/>
          <w:w w:val="115"/>
        </w:rPr>
        <w:t>de</w:t>
      </w:r>
      <w:r>
        <w:rPr>
          <w:color w:val="231F20"/>
          <w:spacing w:val="-1"/>
          <w:w w:val="115"/>
        </w:rPr>
        <w:t> </w:t>
      </w:r>
      <w:r>
        <w:rPr>
          <w:color w:val="231F20"/>
          <w:w w:val="115"/>
        </w:rPr>
        <w:t>l’envi- </w:t>
      </w:r>
      <w:r>
        <w:rPr>
          <w:color w:val="231F20"/>
          <w:w w:val="120"/>
        </w:rPr>
        <w:t>ronnement.</w:t>
      </w:r>
      <w:r>
        <w:rPr>
          <w:color w:val="231F20"/>
          <w:spacing w:val="-3"/>
          <w:w w:val="120"/>
        </w:rPr>
        <w:t> </w:t>
      </w:r>
      <w:r>
        <w:rPr>
          <w:color w:val="231F20"/>
          <w:w w:val="120"/>
        </w:rPr>
        <w:t>En</w:t>
      </w:r>
      <w:r>
        <w:rPr>
          <w:color w:val="231F20"/>
          <w:spacing w:val="-3"/>
          <w:w w:val="120"/>
        </w:rPr>
        <w:t> </w:t>
      </w:r>
      <w:r>
        <w:rPr>
          <w:color w:val="231F20"/>
          <w:w w:val="120"/>
        </w:rPr>
        <w:t>outre,</w:t>
      </w:r>
      <w:r>
        <w:rPr>
          <w:color w:val="231F20"/>
          <w:spacing w:val="-3"/>
          <w:w w:val="120"/>
        </w:rPr>
        <w:t> </w:t>
      </w:r>
      <w:r>
        <w:rPr>
          <w:color w:val="231F20"/>
          <w:w w:val="120"/>
        </w:rPr>
        <w:t>il</w:t>
      </w:r>
      <w:r>
        <w:rPr>
          <w:color w:val="231F20"/>
          <w:spacing w:val="-3"/>
          <w:w w:val="120"/>
        </w:rPr>
        <w:t> </w:t>
      </w:r>
      <w:r>
        <w:rPr>
          <w:color w:val="231F20"/>
          <w:w w:val="120"/>
        </w:rPr>
        <w:t>arrive</w:t>
      </w:r>
      <w:r>
        <w:rPr>
          <w:color w:val="231F20"/>
          <w:spacing w:val="-3"/>
          <w:w w:val="120"/>
        </w:rPr>
        <w:t> </w:t>
      </w:r>
      <w:r>
        <w:rPr>
          <w:color w:val="231F20"/>
          <w:w w:val="120"/>
        </w:rPr>
        <w:t>souvent</w:t>
      </w:r>
      <w:r>
        <w:rPr>
          <w:color w:val="231F20"/>
          <w:spacing w:val="-3"/>
          <w:w w:val="120"/>
        </w:rPr>
        <w:t> </w:t>
      </w:r>
      <w:r>
        <w:rPr>
          <w:color w:val="231F20"/>
          <w:w w:val="120"/>
        </w:rPr>
        <w:t>que</w:t>
      </w:r>
      <w:r>
        <w:rPr>
          <w:color w:val="231F20"/>
          <w:spacing w:val="-3"/>
          <w:w w:val="120"/>
        </w:rPr>
        <w:t> </w:t>
      </w:r>
      <w:r>
        <w:rPr>
          <w:color w:val="231F20"/>
          <w:w w:val="120"/>
        </w:rPr>
        <w:t>l’environnement</w:t>
      </w:r>
      <w:r>
        <w:rPr>
          <w:color w:val="231F20"/>
          <w:spacing w:val="-3"/>
          <w:w w:val="120"/>
        </w:rPr>
        <w:t> </w:t>
      </w:r>
      <w:r>
        <w:rPr>
          <w:color w:val="231F20"/>
          <w:w w:val="120"/>
        </w:rPr>
        <w:t>de</w:t>
      </w:r>
      <w:r>
        <w:rPr>
          <w:color w:val="231F20"/>
          <w:spacing w:val="-3"/>
          <w:w w:val="120"/>
        </w:rPr>
        <w:t> </w:t>
      </w:r>
      <w:r>
        <w:rPr>
          <w:color w:val="231F20"/>
          <w:w w:val="120"/>
        </w:rPr>
        <w:t>l’entre- </w:t>
      </w:r>
      <w:r>
        <w:rPr>
          <w:color w:val="231F20"/>
          <w:w w:val="115"/>
        </w:rPr>
        <w:t>prise</w:t>
      </w:r>
      <w:r>
        <w:rPr>
          <w:color w:val="231F20"/>
          <w:spacing w:val="-11"/>
          <w:w w:val="115"/>
        </w:rPr>
        <w:t> </w:t>
      </w:r>
      <w:r>
        <w:rPr>
          <w:color w:val="231F20"/>
          <w:w w:val="115"/>
        </w:rPr>
        <w:t>lui-même</w:t>
      </w:r>
      <w:r>
        <w:rPr>
          <w:color w:val="231F20"/>
          <w:spacing w:val="-11"/>
          <w:w w:val="115"/>
        </w:rPr>
        <w:t> </w:t>
      </w:r>
      <w:r>
        <w:rPr>
          <w:color w:val="231F20"/>
          <w:w w:val="115"/>
        </w:rPr>
        <w:t>mine</w:t>
      </w:r>
      <w:r>
        <w:rPr>
          <w:color w:val="231F20"/>
          <w:spacing w:val="-11"/>
          <w:w w:val="115"/>
        </w:rPr>
        <w:t> </w:t>
      </w:r>
      <w:r>
        <w:rPr>
          <w:color w:val="231F20"/>
          <w:w w:val="115"/>
        </w:rPr>
        <w:t>l’estime</w:t>
      </w:r>
      <w:r>
        <w:rPr>
          <w:color w:val="231F20"/>
          <w:spacing w:val="-11"/>
          <w:w w:val="115"/>
        </w:rPr>
        <w:t> </w:t>
      </w:r>
      <w:r>
        <w:rPr>
          <w:color w:val="231F20"/>
          <w:w w:val="115"/>
        </w:rPr>
        <w:t>de</w:t>
      </w:r>
      <w:r>
        <w:rPr>
          <w:color w:val="231F20"/>
          <w:spacing w:val="-11"/>
          <w:w w:val="115"/>
        </w:rPr>
        <w:t> </w:t>
      </w:r>
      <w:r>
        <w:rPr>
          <w:color w:val="231F20"/>
          <w:w w:val="115"/>
        </w:rPr>
        <w:t>soi</w:t>
      </w:r>
      <w:r>
        <w:rPr>
          <w:color w:val="231F20"/>
          <w:spacing w:val="-11"/>
          <w:w w:val="115"/>
        </w:rPr>
        <w:t> </w:t>
      </w:r>
      <w:r>
        <w:rPr>
          <w:color w:val="231F20"/>
          <w:w w:val="115"/>
        </w:rPr>
        <w:t>des</w:t>
      </w:r>
      <w:r>
        <w:rPr>
          <w:color w:val="231F20"/>
          <w:spacing w:val="-11"/>
          <w:w w:val="115"/>
        </w:rPr>
        <w:t> </w:t>
      </w:r>
      <w:r>
        <w:rPr>
          <w:color w:val="231F20"/>
          <w:w w:val="115"/>
        </w:rPr>
        <w:t>travailleurs</w:t>
      </w:r>
      <w:r>
        <w:rPr>
          <w:color w:val="231F20"/>
          <w:spacing w:val="-11"/>
          <w:w w:val="115"/>
        </w:rPr>
        <w:t> </w:t>
      </w:r>
      <w:r>
        <w:rPr>
          <w:color w:val="231F20"/>
          <w:w w:val="115"/>
        </w:rPr>
        <w:t>ou</w:t>
      </w:r>
      <w:r>
        <w:rPr>
          <w:color w:val="231F20"/>
          <w:spacing w:val="-11"/>
          <w:w w:val="115"/>
        </w:rPr>
        <w:t> </w:t>
      </w:r>
      <w:r>
        <w:rPr>
          <w:color w:val="231F20"/>
          <w:w w:val="115"/>
        </w:rPr>
        <w:t>mène</w:t>
      </w:r>
      <w:r>
        <w:rPr>
          <w:color w:val="231F20"/>
          <w:spacing w:val="-11"/>
          <w:w w:val="115"/>
        </w:rPr>
        <w:t> </w:t>
      </w:r>
      <w:r>
        <w:rPr>
          <w:color w:val="231F20"/>
          <w:w w:val="115"/>
        </w:rPr>
        <w:t>à</w:t>
      </w:r>
      <w:r>
        <w:rPr>
          <w:color w:val="231F20"/>
          <w:spacing w:val="-11"/>
          <w:w w:val="115"/>
        </w:rPr>
        <w:t> </w:t>
      </w:r>
      <w:r>
        <w:rPr>
          <w:color w:val="231F20"/>
          <w:w w:val="115"/>
        </w:rPr>
        <w:t>des</w:t>
      </w:r>
      <w:r>
        <w:rPr>
          <w:color w:val="231F20"/>
          <w:spacing w:val="-11"/>
          <w:w w:val="115"/>
        </w:rPr>
        <w:t> </w:t>
      </w:r>
      <w:r>
        <w:rPr>
          <w:color w:val="231F20"/>
          <w:w w:val="115"/>
        </w:rPr>
        <w:t>conflits </w:t>
      </w:r>
      <w:r>
        <w:rPr>
          <w:color w:val="231F20"/>
          <w:spacing w:val="-2"/>
          <w:w w:val="120"/>
        </w:rPr>
        <w:t>d’origine</w:t>
      </w:r>
      <w:r>
        <w:rPr>
          <w:color w:val="231F20"/>
          <w:spacing w:val="-11"/>
          <w:w w:val="120"/>
        </w:rPr>
        <w:t> </w:t>
      </w:r>
      <w:r>
        <w:rPr>
          <w:color w:val="231F20"/>
          <w:spacing w:val="-2"/>
          <w:w w:val="120"/>
        </w:rPr>
        <w:t>émotionnelle,</w:t>
      </w:r>
      <w:r>
        <w:rPr>
          <w:color w:val="231F20"/>
          <w:spacing w:val="-11"/>
          <w:w w:val="120"/>
        </w:rPr>
        <w:t> </w:t>
      </w:r>
      <w:r>
        <w:rPr>
          <w:color w:val="231F20"/>
          <w:spacing w:val="-2"/>
          <w:w w:val="120"/>
        </w:rPr>
        <w:t>lesquels</w:t>
      </w:r>
      <w:r>
        <w:rPr>
          <w:color w:val="231F20"/>
          <w:spacing w:val="-11"/>
          <w:w w:val="120"/>
        </w:rPr>
        <w:t> </w:t>
      </w:r>
      <w:r>
        <w:rPr>
          <w:color w:val="231F20"/>
          <w:spacing w:val="-2"/>
          <w:w w:val="120"/>
        </w:rPr>
        <w:t>sont</w:t>
      </w:r>
      <w:r>
        <w:rPr>
          <w:color w:val="231F20"/>
          <w:spacing w:val="-10"/>
          <w:w w:val="120"/>
        </w:rPr>
        <w:t> </w:t>
      </w:r>
      <w:r>
        <w:rPr>
          <w:color w:val="231F20"/>
          <w:spacing w:val="-2"/>
          <w:w w:val="120"/>
        </w:rPr>
        <w:t>à</w:t>
      </w:r>
      <w:r>
        <w:rPr>
          <w:color w:val="231F20"/>
          <w:spacing w:val="-11"/>
          <w:w w:val="120"/>
        </w:rPr>
        <w:t> </w:t>
      </w:r>
      <w:r>
        <w:rPr>
          <w:color w:val="231F20"/>
          <w:spacing w:val="-2"/>
          <w:w w:val="120"/>
        </w:rPr>
        <w:t>leur</w:t>
      </w:r>
      <w:r>
        <w:rPr>
          <w:color w:val="231F20"/>
          <w:spacing w:val="-11"/>
          <w:w w:val="120"/>
        </w:rPr>
        <w:t> </w:t>
      </w:r>
      <w:r>
        <w:rPr>
          <w:color w:val="231F20"/>
          <w:spacing w:val="-2"/>
          <w:w w:val="120"/>
        </w:rPr>
        <w:t>tour</w:t>
      </w:r>
      <w:r>
        <w:rPr>
          <w:color w:val="231F20"/>
          <w:spacing w:val="-11"/>
          <w:w w:val="120"/>
        </w:rPr>
        <w:t> </w:t>
      </w:r>
      <w:r>
        <w:rPr>
          <w:color w:val="231F20"/>
          <w:spacing w:val="-2"/>
          <w:w w:val="120"/>
        </w:rPr>
        <w:t>une</w:t>
      </w:r>
      <w:r>
        <w:rPr>
          <w:color w:val="231F20"/>
          <w:spacing w:val="-10"/>
          <w:w w:val="120"/>
        </w:rPr>
        <w:t> </w:t>
      </w:r>
      <w:r>
        <w:rPr>
          <w:color w:val="231F20"/>
          <w:spacing w:val="-2"/>
          <w:w w:val="120"/>
        </w:rPr>
        <w:t>source</w:t>
      </w:r>
      <w:r>
        <w:rPr>
          <w:color w:val="231F20"/>
          <w:spacing w:val="-11"/>
          <w:w w:val="120"/>
        </w:rPr>
        <w:t> </w:t>
      </w:r>
      <w:r>
        <w:rPr>
          <w:color w:val="231F20"/>
          <w:spacing w:val="-2"/>
          <w:w w:val="120"/>
        </w:rPr>
        <w:t>de</w:t>
      </w:r>
      <w:r>
        <w:rPr>
          <w:color w:val="231F20"/>
          <w:spacing w:val="-11"/>
          <w:w w:val="120"/>
        </w:rPr>
        <w:t> </w:t>
      </w:r>
      <w:r>
        <w:rPr>
          <w:color w:val="231F20"/>
          <w:spacing w:val="-2"/>
          <w:w w:val="120"/>
        </w:rPr>
        <w:t>stress.</w:t>
      </w:r>
      <w:r>
        <w:rPr>
          <w:color w:val="231F20"/>
          <w:spacing w:val="-11"/>
          <w:w w:val="120"/>
        </w:rPr>
        <w:t> </w:t>
      </w:r>
      <w:r>
        <w:rPr>
          <w:color w:val="231F20"/>
          <w:spacing w:val="-2"/>
          <w:w w:val="120"/>
        </w:rPr>
        <w:t>Les </w:t>
      </w:r>
      <w:r>
        <w:rPr>
          <w:color w:val="231F20"/>
          <w:w w:val="120"/>
        </w:rPr>
        <w:t>personnes pourvues d’une saine estime de soi s’en tirent ainsi souvent mieux dans de telles circonstances.</w:t>
      </w:r>
    </w:p>
    <w:p>
      <w:pPr>
        <w:spacing w:after="0" w:line="307" w:lineRule="auto"/>
        <w:jc w:val="both"/>
        <w:sectPr>
          <w:footerReference w:type="default" r:id="rId23"/>
          <w:pgSz w:w="8640" w:h="12960"/>
          <w:pgMar w:footer="424" w:header="0" w:top="520" w:bottom="620" w:left="460" w:right="1000"/>
        </w:sectPr>
      </w:pPr>
    </w:p>
    <w:p>
      <w:pPr>
        <w:spacing w:before="118"/>
        <w:ind w:left="929" w:right="0" w:firstLine="0"/>
        <w:jc w:val="center"/>
        <w:rPr>
          <w:rFonts w:ascii="Arial"/>
          <w:sz w:val="14"/>
        </w:rPr>
      </w:pPr>
      <w:r>
        <w:rPr>
          <w:rFonts w:ascii="Arial"/>
          <w:color w:val="231F20"/>
          <w:spacing w:val="-2"/>
          <w:w w:val="105"/>
          <w:sz w:val="14"/>
        </w:rPr>
        <w:t>Introduction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79" w:right="245" w:firstLine="250"/>
        <w:jc w:val="both"/>
      </w:pPr>
      <w:r>
        <w:rPr>
          <w:color w:val="231F20"/>
          <w:spacing w:val="-2"/>
          <w:w w:val="120"/>
        </w:rPr>
        <w:t>Les</w:t>
      </w:r>
      <w:r>
        <w:rPr>
          <w:color w:val="231F20"/>
          <w:spacing w:val="-5"/>
          <w:w w:val="120"/>
        </w:rPr>
        <w:t> </w:t>
      </w:r>
      <w:r>
        <w:rPr>
          <w:color w:val="231F20"/>
          <w:spacing w:val="-2"/>
          <w:w w:val="120"/>
        </w:rPr>
        <w:t>constats</w:t>
      </w:r>
      <w:r>
        <w:rPr>
          <w:color w:val="231F20"/>
          <w:spacing w:val="-5"/>
          <w:w w:val="120"/>
        </w:rPr>
        <w:t> </w:t>
      </w:r>
      <w:r>
        <w:rPr>
          <w:color w:val="231F20"/>
          <w:spacing w:val="-2"/>
          <w:w w:val="120"/>
        </w:rPr>
        <w:t>qui</w:t>
      </w:r>
      <w:r>
        <w:rPr>
          <w:color w:val="231F20"/>
          <w:spacing w:val="-5"/>
          <w:w w:val="120"/>
        </w:rPr>
        <w:t> </w:t>
      </w:r>
      <w:r>
        <w:rPr>
          <w:color w:val="231F20"/>
          <w:spacing w:val="-2"/>
          <w:w w:val="120"/>
        </w:rPr>
        <w:t>précèdent</w:t>
      </w:r>
      <w:r>
        <w:rPr>
          <w:color w:val="231F20"/>
          <w:spacing w:val="-5"/>
          <w:w w:val="120"/>
        </w:rPr>
        <w:t> </w:t>
      </w:r>
      <w:r>
        <w:rPr>
          <w:color w:val="231F20"/>
          <w:spacing w:val="-2"/>
          <w:w w:val="120"/>
        </w:rPr>
        <w:t>définissent</w:t>
      </w:r>
      <w:r>
        <w:rPr>
          <w:color w:val="231F20"/>
          <w:spacing w:val="-5"/>
          <w:w w:val="120"/>
        </w:rPr>
        <w:t> </w:t>
      </w:r>
      <w:r>
        <w:rPr>
          <w:color w:val="231F20"/>
          <w:spacing w:val="-2"/>
          <w:w w:val="120"/>
        </w:rPr>
        <w:t>les</w:t>
      </w:r>
      <w:r>
        <w:rPr>
          <w:color w:val="231F20"/>
          <w:spacing w:val="-5"/>
          <w:w w:val="120"/>
        </w:rPr>
        <w:t> </w:t>
      </w:r>
      <w:r>
        <w:rPr>
          <w:color w:val="231F20"/>
          <w:spacing w:val="-2"/>
          <w:w w:val="120"/>
        </w:rPr>
        <w:t>balises</w:t>
      </w:r>
      <w:r>
        <w:rPr>
          <w:color w:val="231F20"/>
          <w:spacing w:val="-5"/>
          <w:w w:val="120"/>
        </w:rPr>
        <w:t> </w:t>
      </w:r>
      <w:r>
        <w:rPr>
          <w:color w:val="231F20"/>
          <w:spacing w:val="-2"/>
          <w:w w:val="120"/>
        </w:rPr>
        <w:t>du</w:t>
      </w:r>
      <w:r>
        <w:rPr>
          <w:color w:val="231F20"/>
          <w:spacing w:val="-5"/>
          <w:w w:val="120"/>
        </w:rPr>
        <w:t> </w:t>
      </w:r>
      <w:r>
        <w:rPr>
          <w:color w:val="231F20"/>
          <w:spacing w:val="-2"/>
          <w:w w:val="120"/>
        </w:rPr>
        <w:t>présent</w:t>
      </w:r>
      <w:r>
        <w:rPr>
          <w:color w:val="231F20"/>
          <w:spacing w:val="-5"/>
          <w:w w:val="120"/>
        </w:rPr>
        <w:t> </w:t>
      </w:r>
      <w:r>
        <w:rPr>
          <w:color w:val="231F20"/>
          <w:spacing w:val="-2"/>
          <w:w w:val="120"/>
        </w:rPr>
        <w:t>ouvrage. </w:t>
      </w:r>
      <w:r>
        <w:rPr>
          <w:color w:val="231F20"/>
          <w:w w:val="120"/>
        </w:rPr>
        <w:t>Nous désirons proposer des modèles conceptuels et pratiques per- mettant</w:t>
      </w:r>
      <w:r>
        <w:rPr>
          <w:color w:val="231F20"/>
          <w:spacing w:val="-3"/>
          <w:w w:val="120"/>
        </w:rPr>
        <w:t> </w:t>
      </w:r>
      <w:r>
        <w:rPr>
          <w:color w:val="231F20"/>
          <w:w w:val="120"/>
        </w:rPr>
        <w:t>de relever l’un des plus grands défis de notre temps</w:t>
      </w:r>
      <w:r>
        <w:rPr>
          <w:color w:val="231F20"/>
          <w:spacing w:val="-13"/>
          <w:w w:val="120"/>
        </w:rPr>
        <w:t> </w:t>
      </w:r>
      <w:r>
        <w:rPr>
          <w:color w:val="231F20"/>
          <w:w w:val="120"/>
        </w:rPr>
        <w:t>: générer la richesse et la santé et créer des emplois dans un contexte mondial hyperconcurrentiel, sans produire de niveaux de stress excessifs.</w:t>
      </w:r>
    </w:p>
    <w:p>
      <w:pPr>
        <w:pStyle w:val="BodyText"/>
        <w:spacing w:line="307" w:lineRule="auto" w:before="79"/>
        <w:ind w:left="1179" w:right="241" w:firstLine="250"/>
        <w:jc w:val="both"/>
      </w:pPr>
      <w:r>
        <w:rPr>
          <w:color w:val="231F20"/>
          <w:w w:val="120"/>
        </w:rPr>
        <w:t>Ce</w:t>
      </w:r>
      <w:r>
        <w:rPr>
          <w:color w:val="231F20"/>
          <w:spacing w:val="-13"/>
          <w:w w:val="120"/>
        </w:rPr>
        <w:t> </w:t>
      </w:r>
      <w:r>
        <w:rPr>
          <w:color w:val="231F20"/>
          <w:w w:val="120"/>
        </w:rPr>
        <w:t>livre</w:t>
      </w:r>
      <w:r>
        <w:rPr>
          <w:color w:val="231F20"/>
          <w:spacing w:val="-13"/>
          <w:w w:val="120"/>
        </w:rPr>
        <w:t> </w:t>
      </w:r>
      <w:r>
        <w:rPr>
          <w:color w:val="231F20"/>
          <w:w w:val="120"/>
        </w:rPr>
        <w:t>s’adresse</w:t>
      </w:r>
      <w:r>
        <w:rPr>
          <w:color w:val="231F20"/>
          <w:spacing w:val="-13"/>
          <w:w w:val="120"/>
        </w:rPr>
        <w:t> </w:t>
      </w:r>
      <w:r>
        <w:rPr>
          <w:color w:val="231F20"/>
          <w:w w:val="120"/>
        </w:rPr>
        <w:t>à</w:t>
      </w:r>
      <w:r>
        <w:rPr>
          <w:color w:val="231F20"/>
          <w:spacing w:val="-12"/>
          <w:w w:val="120"/>
        </w:rPr>
        <w:t> </w:t>
      </w:r>
      <w:r>
        <w:rPr>
          <w:color w:val="231F20"/>
          <w:w w:val="120"/>
        </w:rPr>
        <w:t>tous</w:t>
      </w:r>
      <w:r>
        <w:rPr>
          <w:color w:val="231F20"/>
          <w:spacing w:val="-13"/>
          <w:w w:val="120"/>
        </w:rPr>
        <w:t> </w:t>
      </w:r>
      <w:r>
        <w:rPr>
          <w:color w:val="231F20"/>
          <w:w w:val="120"/>
        </w:rPr>
        <w:t>les</w:t>
      </w:r>
      <w:r>
        <w:rPr>
          <w:color w:val="231F20"/>
          <w:spacing w:val="-13"/>
          <w:w w:val="120"/>
        </w:rPr>
        <w:t> </w:t>
      </w:r>
      <w:r>
        <w:rPr>
          <w:color w:val="231F20"/>
          <w:w w:val="120"/>
        </w:rPr>
        <w:t>intervenants</w:t>
      </w:r>
      <w:r>
        <w:rPr>
          <w:color w:val="231F20"/>
          <w:spacing w:val="-13"/>
          <w:w w:val="120"/>
        </w:rPr>
        <w:t> </w:t>
      </w:r>
      <w:r>
        <w:rPr>
          <w:color w:val="231F20"/>
          <w:w w:val="120"/>
        </w:rPr>
        <w:t>organisationnels.</w:t>
      </w:r>
      <w:r>
        <w:rPr>
          <w:color w:val="231F20"/>
          <w:spacing w:val="-12"/>
          <w:w w:val="120"/>
        </w:rPr>
        <w:t> </w:t>
      </w:r>
      <w:r>
        <w:rPr>
          <w:color w:val="231F20"/>
          <w:w w:val="120"/>
        </w:rPr>
        <w:t>Il</w:t>
      </w:r>
      <w:r>
        <w:rPr>
          <w:color w:val="231F20"/>
          <w:spacing w:val="-13"/>
          <w:w w:val="120"/>
        </w:rPr>
        <w:t> </w:t>
      </w:r>
      <w:r>
        <w:rPr>
          <w:color w:val="231F20"/>
          <w:w w:val="120"/>
        </w:rPr>
        <w:t>offre</w:t>
      </w:r>
      <w:r>
        <w:rPr>
          <w:color w:val="231F20"/>
          <w:spacing w:val="-13"/>
          <w:w w:val="120"/>
        </w:rPr>
        <w:t> </w:t>
      </w:r>
      <w:r>
        <w:rPr>
          <w:color w:val="231F20"/>
          <w:w w:val="120"/>
        </w:rPr>
        <w:t>au lecteur</w:t>
      </w:r>
      <w:r>
        <w:rPr>
          <w:color w:val="231F20"/>
          <w:spacing w:val="-12"/>
          <w:w w:val="120"/>
        </w:rPr>
        <w:t> </w:t>
      </w:r>
      <w:r>
        <w:rPr>
          <w:color w:val="231F20"/>
          <w:w w:val="120"/>
        </w:rPr>
        <w:t>un</w:t>
      </w:r>
      <w:r>
        <w:rPr>
          <w:color w:val="231F20"/>
          <w:spacing w:val="-12"/>
          <w:w w:val="120"/>
        </w:rPr>
        <w:t> </w:t>
      </w:r>
      <w:r>
        <w:rPr>
          <w:color w:val="231F20"/>
          <w:w w:val="120"/>
        </w:rPr>
        <w:t>parcours</w:t>
      </w:r>
      <w:r>
        <w:rPr>
          <w:color w:val="231F20"/>
          <w:spacing w:val="-12"/>
          <w:w w:val="120"/>
        </w:rPr>
        <w:t> </w:t>
      </w:r>
      <w:r>
        <w:rPr>
          <w:color w:val="231F20"/>
          <w:w w:val="120"/>
        </w:rPr>
        <w:t>complet</w:t>
      </w:r>
      <w:r>
        <w:rPr>
          <w:color w:val="231F20"/>
          <w:spacing w:val="-12"/>
          <w:w w:val="120"/>
        </w:rPr>
        <w:t> </w:t>
      </w:r>
      <w:r>
        <w:rPr>
          <w:color w:val="231F20"/>
          <w:w w:val="120"/>
        </w:rPr>
        <w:t>stimulant</w:t>
      </w:r>
      <w:r>
        <w:rPr>
          <w:color w:val="231F20"/>
          <w:spacing w:val="-12"/>
          <w:w w:val="120"/>
        </w:rPr>
        <w:t> </w:t>
      </w:r>
      <w:r>
        <w:rPr>
          <w:color w:val="231F20"/>
          <w:w w:val="120"/>
        </w:rPr>
        <w:t>qui</w:t>
      </w:r>
      <w:r>
        <w:rPr>
          <w:color w:val="231F20"/>
          <w:spacing w:val="-12"/>
          <w:w w:val="120"/>
        </w:rPr>
        <w:t> </w:t>
      </w:r>
      <w:r>
        <w:rPr>
          <w:color w:val="231F20"/>
          <w:w w:val="120"/>
        </w:rPr>
        <w:t>démystifie</w:t>
      </w:r>
      <w:r>
        <w:rPr>
          <w:color w:val="231F20"/>
          <w:spacing w:val="-12"/>
          <w:w w:val="120"/>
        </w:rPr>
        <w:t> </w:t>
      </w:r>
      <w:r>
        <w:rPr>
          <w:color w:val="231F20"/>
          <w:w w:val="120"/>
        </w:rPr>
        <w:t>la</w:t>
      </w:r>
      <w:r>
        <w:rPr>
          <w:color w:val="231F20"/>
          <w:spacing w:val="-12"/>
          <w:w w:val="120"/>
        </w:rPr>
        <w:t> </w:t>
      </w:r>
      <w:r>
        <w:rPr>
          <w:color w:val="231F20"/>
          <w:w w:val="120"/>
        </w:rPr>
        <w:t>notion</w:t>
      </w:r>
      <w:r>
        <w:rPr>
          <w:color w:val="231F20"/>
          <w:spacing w:val="-12"/>
          <w:w w:val="120"/>
        </w:rPr>
        <w:t> </w:t>
      </w:r>
      <w:r>
        <w:rPr>
          <w:color w:val="231F20"/>
          <w:w w:val="120"/>
        </w:rPr>
        <w:t>de</w:t>
      </w:r>
      <w:r>
        <w:rPr>
          <w:color w:val="231F20"/>
          <w:spacing w:val="-12"/>
          <w:w w:val="120"/>
        </w:rPr>
        <w:t> </w:t>
      </w:r>
      <w:r>
        <w:rPr>
          <w:i/>
          <w:color w:val="231F20"/>
          <w:w w:val="120"/>
        </w:rPr>
        <w:t>stress </w:t>
      </w:r>
      <w:r>
        <w:rPr>
          <w:color w:val="231F20"/>
          <w:w w:val="120"/>
        </w:rPr>
        <w:t>et propose des explications accessibles, de même qu’une panoplie de pistes</w:t>
      </w:r>
      <w:r>
        <w:rPr>
          <w:color w:val="231F20"/>
          <w:spacing w:val="-8"/>
          <w:w w:val="120"/>
        </w:rPr>
        <w:t> </w:t>
      </w:r>
      <w:r>
        <w:rPr>
          <w:color w:val="231F20"/>
          <w:w w:val="120"/>
        </w:rPr>
        <w:t>de</w:t>
      </w:r>
      <w:r>
        <w:rPr>
          <w:color w:val="231F20"/>
          <w:spacing w:val="-8"/>
          <w:w w:val="120"/>
        </w:rPr>
        <w:t> </w:t>
      </w:r>
      <w:r>
        <w:rPr>
          <w:color w:val="231F20"/>
          <w:w w:val="120"/>
        </w:rPr>
        <w:t>réflexions</w:t>
      </w:r>
      <w:r>
        <w:rPr>
          <w:color w:val="231F20"/>
          <w:spacing w:val="-8"/>
          <w:w w:val="120"/>
        </w:rPr>
        <w:t> </w:t>
      </w:r>
      <w:r>
        <w:rPr>
          <w:color w:val="231F20"/>
          <w:w w:val="120"/>
        </w:rPr>
        <w:t>et</w:t>
      </w:r>
      <w:r>
        <w:rPr>
          <w:color w:val="231F20"/>
          <w:spacing w:val="-8"/>
          <w:w w:val="120"/>
        </w:rPr>
        <w:t> </w:t>
      </w:r>
      <w:r>
        <w:rPr>
          <w:color w:val="231F20"/>
          <w:w w:val="120"/>
        </w:rPr>
        <w:t>d’outils</w:t>
      </w:r>
      <w:r>
        <w:rPr>
          <w:color w:val="231F20"/>
          <w:spacing w:val="-8"/>
          <w:w w:val="120"/>
        </w:rPr>
        <w:t> </w:t>
      </w:r>
      <w:r>
        <w:rPr>
          <w:color w:val="231F20"/>
          <w:w w:val="120"/>
        </w:rPr>
        <w:t>facilitant</w:t>
      </w:r>
      <w:r>
        <w:rPr>
          <w:color w:val="231F20"/>
          <w:spacing w:val="-8"/>
          <w:w w:val="120"/>
        </w:rPr>
        <w:t> </w:t>
      </w:r>
      <w:r>
        <w:rPr>
          <w:color w:val="231F20"/>
          <w:w w:val="120"/>
        </w:rPr>
        <w:t>la</w:t>
      </w:r>
      <w:r>
        <w:rPr>
          <w:color w:val="231F20"/>
          <w:spacing w:val="-8"/>
          <w:w w:val="120"/>
        </w:rPr>
        <w:t> </w:t>
      </w:r>
      <w:r>
        <w:rPr>
          <w:color w:val="231F20"/>
          <w:w w:val="120"/>
        </w:rPr>
        <w:t>gestion</w:t>
      </w:r>
      <w:r>
        <w:rPr>
          <w:color w:val="231F20"/>
          <w:spacing w:val="-8"/>
          <w:w w:val="120"/>
        </w:rPr>
        <w:t> </w:t>
      </w:r>
      <w:r>
        <w:rPr>
          <w:color w:val="231F20"/>
          <w:w w:val="120"/>
        </w:rPr>
        <w:t>du</w:t>
      </w:r>
      <w:r>
        <w:rPr>
          <w:color w:val="231F20"/>
          <w:spacing w:val="-8"/>
          <w:w w:val="120"/>
        </w:rPr>
        <w:t> </w:t>
      </w:r>
      <w:r>
        <w:rPr>
          <w:color w:val="231F20"/>
          <w:w w:val="120"/>
        </w:rPr>
        <w:t>stress</w:t>
      </w:r>
      <w:r>
        <w:rPr>
          <w:color w:val="231F20"/>
          <w:spacing w:val="-8"/>
          <w:w w:val="120"/>
        </w:rPr>
        <w:t> </w:t>
      </w:r>
      <w:r>
        <w:rPr>
          <w:color w:val="231F20"/>
          <w:w w:val="120"/>
        </w:rPr>
        <w:t>en</w:t>
      </w:r>
      <w:r>
        <w:rPr>
          <w:color w:val="231F20"/>
          <w:spacing w:val="-8"/>
          <w:w w:val="120"/>
        </w:rPr>
        <w:t> </w:t>
      </w:r>
      <w:r>
        <w:rPr>
          <w:color w:val="231F20"/>
          <w:w w:val="120"/>
        </w:rPr>
        <w:t>contexte organisationnel.</w:t>
      </w:r>
      <w:r>
        <w:rPr>
          <w:color w:val="231F20"/>
          <w:spacing w:val="-9"/>
          <w:w w:val="120"/>
        </w:rPr>
        <w:t> </w:t>
      </w:r>
      <w:r>
        <w:rPr>
          <w:color w:val="231F20"/>
          <w:w w:val="120"/>
        </w:rPr>
        <w:t>Dans</w:t>
      </w:r>
      <w:r>
        <w:rPr>
          <w:color w:val="231F20"/>
          <w:spacing w:val="-9"/>
          <w:w w:val="120"/>
        </w:rPr>
        <w:t> </w:t>
      </w:r>
      <w:r>
        <w:rPr>
          <w:color w:val="231F20"/>
          <w:w w:val="120"/>
        </w:rPr>
        <w:t>cette</w:t>
      </w:r>
      <w:r>
        <w:rPr>
          <w:color w:val="231F20"/>
          <w:spacing w:val="-9"/>
          <w:w w:val="120"/>
        </w:rPr>
        <w:t> </w:t>
      </w:r>
      <w:r>
        <w:rPr>
          <w:color w:val="231F20"/>
          <w:w w:val="120"/>
        </w:rPr>
        <w:t>optique,</w:t>
      </w:r>
      <w:r>
        <w:rPr>
          <w:color w:val="231F20"/>
          <w:spacing w:val="-9"/>
          <w:w w:val="120"/>
        </w:rPr>
        <w:t> </w:t>
      </w:r>
      <w:r>
        <w:rPr>
          <w:color w:val="231F20"/>
          <w:w w:val="120"/>
        </w:rPr>
        <w:t>le</w:t>
      </w:r>
      <w:r>
        <w:rPr>
          <w:color w:val="231F20"/>
          <w:spacing w:val="-9"/>
          <w:w w:val="120"/>
        </w:rPr>
        <w:t> </w:t>
      </w:r>
      <w:r>
        <w:rPr>
          <w:color w:val="231F20"/>
          <w:w w:val="120"/>
        </w:rPr>
        <w:t>gestionnaire,</w:t>
      </w:r>
      <w:r>
        <w:rPr>
          <w:color w:val="231F20"/>
          <w:spacing w:val="-9"/>
          <w:w w:val="120"/>
        </w:rPr>
        <w:t> </w:t>
      </w:r>
      <w:r>
        <w:rPr>
          <w:color w:val="231F20"/>
          <w:w w:val="120"/>
        </w:rPr>
        <w:t>le</w:t>
      </w:r>
      <w:r>
        <w:rPr>
          <w:color w:val="231F20"/>
          <w:spacing w:val="-9"/>
          <w:w w:val="120"/>
        </w:rPr>
        <w:t> </w:t>
      </w:r>
      <w:r>
        <w:rPr>
          <w:color w:val="231F20"/>
          <w:w w:val="120"/>
        </w:rPr>
        <w:t>cadre,</w:t>
      </w:r>
      <w:r>
        <w:rPr>
          <w:color w:val="231F20"/>
          <w:spacing w:val="-9"/>
          <w:w w:val="120"/>
        </w:rPr>
        <w:t> </w:t>
      </w:r>
      <w:r>
        <w:rPr>
          <w:color w:val="231F20"/>
          <w:w w:val="120"/>
        </w:rPr>
        <w:t>le</w:t>
      </w:r>
      <w:r>
        <w:rPr>
          <w:color w:val="231F20"/>
          <w:spacing w:val="-9"/>
          <w:w w:val="120"/>
        </w:rPr>
        <w:t> </w:t>
      </w:r>
      <w:r>
        <w:rPr>
          <w:color w:val="231F20"/>
          <w:w w:val="120"/>
        </w:rPr>
        <w:t>spécia- liste en ressources humaines et l’étudiant trouveront dans ce livre un cadre</w:t>
      </w:r>
      <w:r>
        <w:rPr>
          <w:color w:val="231F20"/>
          <w:spacing w:val="-11"/>
          <w:w w:val="120"/>
        </w:rPr>
        <w:t> </w:t>
      </w:r>
      <w:r>
        <w:rPr>
          <w:color w:val="231F20"/>
          <w:w w:val="120"/>
        </w:rPr>
        <w:t>d’analyse</w:t>
      </w:r>
      <w:r>
        <w:rPr>
          <w:color w:val="231F20"/>
          <w:spacing w:val="-11"/>
          <w:w w:val="120"/>
        </w:rPr>
        <w:t> </w:t>
      </w:r>
      <w:r>
        <w:rPr>
          <w:color w:val="231F20"/>
          <w:w w:val="120"/>
        </w:rPr>
        <w:t>pour</w:t>
      </w:r>
      <w:r>
        <w:rPr>
          <w:color w:val="231F20"/>
          <w:spacing w:val="-11"/>
          <w:w w:val="120"/>
        </w:rPr>
        <w:t> </w:t>
      </w:r>
      <w:r>
        <w:rPr>
          <w:color w:val="231F20"/>
          <w:w w:val="120"/>
        </w:rPr>
        <w:t>mieux</w:t>
      </w:r>
      <w:r>
        <w:rPr>
          <w:color w:val="231F20"/>
          <w:spacing w:val="-11"/>
          <w:w w:val="120"/>
        </w:rPr>
        <w:t> </w:t>
      </w:r>
      <w:r>
        <w:rPr>
          <w:color w:val="231F20"/>
          <w:w w:val="120"/>
        </w:rPr>
        <w:t>comprendre</w:t>
      </w:r>
      <w:r>
        <w:rPr>
          <w:color w:val="231F20"/>
          <w:spacing w:val="-11"/>
          <w:w w:val="120"/>
        </w:rPr>
        <w:t> </w:t>
      </w:r>
      <w:r>
        <w:rPr>
          <w:color w:val="231F20"/>
          <w:w w:val="120"/>
        </w:rPr>
        <w:t>les</w:t>
      </w:r>
      <w:r>
        <w:rPr>
          <w:color w:val="231F20"/>
          <w:spacing w:val="-11"/>
          <w:w w:val="120"/>
        </w:rPr>
        <w:t> </w:t>
      </w:r>
      <w:r>
        <w:rPr>
          <w:color w:val="231F20"/>
          <w:w w:val="120"/>
        </w:rPr>
        <w:t>défis</w:t>
      </w:r>
      <w:r>
        <w:rPr>
          <w:color w:val="231F20"/>
          <w:spacing w:val="-11"/>
          <w:w w:val="120"/>
        </w:rPr>
        <w:t> </w:t>
      </w:r>
      <w:r>
        <w:rPr>
          <w:color w:val="231F20"/>
          <w:w w:val="120"/>
        </w:rPr>
        <w:t>du</w:t>
      </w:r>
      <w:r>
        <w:rPr>
          <w:color w:val="231F20"/>
          <w:spacing w:val="-11"/>
          <w:w w:val="120"/>
        </w:rPr>
        <w:t> </w:t>
      </w:r>
      <w:r>
        <w:rPr>
          <w:color w:val="231F20"/>
          <w:w w:val="120"/>
        </w:rPr>
        <w:t>mieux-être</w:t>
      </w:r>
      <w:r>
        <w:rPr>
          <w:color w:val="231F20"/>
          <w:spacing w:val="-11"/>
          <w:w w:val="120"/>
        </w:rPr>
        <w:t> </w:t>
      </w:r>
      <w:r>
        <w:rPr>
          <w:color w:val="231F20"/>
          <w:w w:val="120"/>
        </w:rPr>
        <w:t>et</w:t>
      </w:r>
      <w:r>
        <w:rPr>
          <w:color w:val="231F20"/>
          <w:spacing w:val="-11"/>
          <w:w w:val="120"/>
        </w:rPr>
        <w:t> </w:t>
      </w:r>
      <w:r>
        <w:rPr>
          <w:color w:val="231F20"/>
          <w:w w:val="120"/>
        </w:rPr>
        <w:t>de</w:t>
      </w:r>
      <w:r>
        <w:rPr>
          <w:color w:val="231F20"/>
          <w:spacing w:val="-11"/>
          <w:w w:val="120"/>
        </w:rPr>
        <w:t> </w:t>
      </w:r>
      <w:r>
        <w:rPr>
          <w:color w:val="231F20"/>
          <w:w w:val="120"/>
        </w:rPr>
        <w:t>la santé</w:t>
      </w:r>
      <w:r>
        <w:rPr>
          <w:color w:val="231F20"/>
          <w:spacing w:val="-13"/>
          <w:w w:val="120"/>
        </w:rPr>
        <w:t> </w:t>
      </w:r>
      <w:r>
        <w:rPr>
          <w:color w:val="231F20"/>
          <w:w w:val="120"/>
        </w:rPr>
        <w:t>psychologique</w:t>
      </w:r>
      <w:r>
        <w:rPr>
          <w:color w:val="231F20"/>
          <w:spacing w:val="-13"/>
          <w:w w:val="120"/>
        </w:rPr>
        <w:t> </w:t>
      </w:r>
      <w:r>
        <w:rPr>
          <w:color w:val="231F20"/>
          <w:w w:val="120"/>
        </w:rPr>
        <w:t>au</w:t>
      </w:r>
      <w:r>
        <w:rPr>
          <w:color w:val="231F20"/>
          <w:spacing w:val="-13"/>
          <w:w w:val="120"/>
        </w:rPr>
        <w:t> </w:t>
      </w:r>
      <w:r>
        <w:rPr>
          <w:color w:val="231F20"/>
          <w:w w:val="120"/>
        </w:rPr>
        <w:t>travail</w:t>
      </w:r>
      <w:r>
        <w:rPr>
          <w:color w:val="231F20"/>
          <w:spacing w:val="-12"/>
          <w:w w:val="120"/>
        </w:rPr>
        <w:t> </w:t>
      </w:r>
      <w:r>
        <w:rPr>
          <w:color w:val="231F20"/>
          <w:w w:val="120"/>
        </w:rPr>
        <w:t>et</w:t>
      </w:r>
      <w:r>
        <w:rPr>
          <w:color w:val="231F20"/>
          <w:spacing w:val="-13"/>
          <w:w w:val="120"/>
        </w:rPr>
        <w:t> </w:t>
      </w:r>
      <w:r>
        <w:rPr>
          <w:color w:val="231F20"/>
          <w:w w:val="120"/>
        </w:rPr>
        <w:t>ainsi</w:t>
      </w:r>
      <w:r>
        <w:rPr>
          <w:color w:val="231F20"/>
          <w:spacing w:val="-13"/>
          <w:w w:val="120"/>
        </w:rPr>
        <w:t> </w:t>
      </w:r>
      <w:r>
        <w:rPr>
          <w:color w:val="231F20"/>
          <w:w w:val="120"/>
        </w:rPr>
        <w:t>d’être</w:t>
      </w:r>
      <w:r>
        <w:rPr>
          <w:color w:val="231F20"/>
          <w:spacing w:val="-13"/>
          <w:w w:val="120"/>
        </w:rPr>
        <w:t> </w:t>
      </w:r>
      <w:r>
        <w:rPr>
          <w:color w:val="231F20"/>
          <w:w w:val="120"/>
        </w:rPr>
        <w:t>mieux</w:t>
      </w:r>
      <w:r>
        <w:rPr>
          <w:color w:val="231F20"/>
          <w:spacing w:val="-12"/>
          <w:w w:val="120"/>
        </w:rPr>
        <w:t> </w:t>
      </w:r>
      <w:r>
        <w:rPr>
          <w:color w:val="231F20"/>
          <w:w w:val="120"/>
        </w:rPr>
        <w:t>à</w:t>
      </w:r>
      <w:r>
        <w:rPr>
          <w:color w:val="231F20"/>
          <w:spacing w:val="-13"/>
          <w:w w:val="120"/>
        </w:rPr>
        <w:t> </w:t>
      </w:r>
      <w:r>
        <w:rPr>
          <w:color w:val="231F20"/>
          <w:w w:val="120"/>
        </w:rPr>
        <w:t>même</w:t>
      </w:r>
      <w:r>
        <w:rPr>
          <w:color w:val="231F20"/>
          <w:spacing w:val="-13"/>
          <w:w w:val="120"/>
        </w:rPr>
        <w:t> </w:t>
      </w:r>
      <w:r>
        <w:rPr>
          <w:color w:val="231F20"/>
          <w:w w:val="120"/>
        </w:rPr>
        <w:t>de</w:t>
      </w:r>
      <w:r>
        <w:rPr>
          <w:color w:val="231F20"/>
          <w:spacing w:val="-13"/>
          <w:w w:val="120"/>
        </w:rPr>
        <w:t> </w:t>
      </w:r>
      <w:r>
        <w:rPr>
          <w:color w:val="231F20"/>
          <w:w w:val="120"/>
        </w:rPr>
        <w:t>diagnos- tiquer et d’intervenir dans des contextes particuliers. Afin d’ancrer les propos</w:t>
      </w:r>
      <w:r>
        <w:rPr>
          <w:color w:val="231F20"/>
          <w:spacing w:val="-13"/>
          <w:w w:val="120"/>
        </w:rPr>
        <w:t> </w:t>
      </w:r>
      <w:r>
        <w:rPr>
          <w:color w:val="231F20"/>
          <w:w w:val="120"/>
        </w:rPr>
        <w:t>dans</w:t>
      </w:r>
      <w:r>
        <w:rPr>
          <w:color w:val="231F20"/>
          <w:spacing w:val="-13"/>
          <w:w w:val="120"/>
        </w:rPr>
        <w:t> </w:t>
      </w:r>
      <w:r>
        <w:rPr>
          <w:color w:val="231F20"/>
          <w:w w:val="120"/>
        </w:rPr>
        <w:t>la</w:t>
      </w:r>
      <w:r>
        <w:rPr>
          <w:color w:val="231F20"/>
          <w:spacing w:val="-13"/>
          <w:w w:val="120"/>
        </w:rPr>
        <w:t> </w:t>
      </w:r>
      <w:r>
        <w:rPr>
          <w:color w:val="231F20"/>
          <w:w w:val="120"/>
        </w:rPr>
        <w:t>réalité</w:t>
      </w:r>
      <w:r>
        <w:rPr>
          <w:color w:val="231F20"/>
          <w:spacing w:val="-12"/>
          <w:w w:val="120"/>
        </w:rPr>
        <w:t> </w:t>
      </w:r>
      <w:r>
        <w:rPr>
          <w:color w:val="231F20"/>
          <w:w w:val="120"/>
        </w:rPr>
        <w:t>contemporaine,</w:t>
      </w:r>
      <w:r>
        <w:rPr>
          <w:color w:val="231F20"/>
          <w:spacing w:val="-13"/>
          <w:w w:val="120"/>
        </w:rPr>
        <w:t> </w:t>
      </w:r>
      <w:r>
        <w:rPr>
          <w:color w:val="231F20"/>
          <w:w w:val="120"/>
        </w:rPr>
        <w:t>on</w:t>
      </w:r>
      <w:r>
        <w:rPr>
          <w:color w:val="231F20"/>
          <w:spacing w:val="-13"/>
          <w:w w:val="120"/>
        </w:rPr>
        <w:t> </w:t>
      </w:r>
      <w:r>
        <w:rPr>
          <w:color w:val="231F20"/>
          <w:w w:val="120"/>
        </w:rPr>
        <w:t>trouvera</w:t>
      </w:r>
      <w:r>
        <w:rPr>
          <w:color w:val="231F20"/>
          <w:spacing w:val="-13"/>
          <w:w w:val="120"/>
        </w:rPr>
        <w:t> </w:t>
      </w:r>
      <w:r>
        <w:rPr>
          <w:color w:val="231F20"/>
          <w:w w:val="120"/>
        </w:rPr>
        <w:t>aussi</w:t>
      </w:r>
      <w:r>
        <w:rPr>
          <w:color w:val="231F20"/>
          <w:spacing w:val="-12"/>
          <w:w w:val="120"/>
        </w:rPr>
        <w:t> </w:t>
      </w:r>
      <w:r>
        <w:rPr>
          <w:color w:val="231F20"/>
          <w:w w:val="120"/>
        </w:rPr>
        <w:t>dans</w:t>
      </w:r>
      <w:r>
        <w:rPr>
          <w:color w:val="231F20"/>
          <w:spacing w:val="-13"/>
          <w:w w:val="120"/>
        </w:rPr>
        <w:t> </w:t>
      </w:r>
      <w:r>
        <w:rPr>
          <w:color w:val="231F20"/>
          <w:w w:val="120"/>
        </w:rPr>
        <w:t>ce</w:t>
      </w:r>
      <w:r>
        <w:rPr>
          <w:color w:val="231F20"/>
          <w:spacing w:val="-13"/>
          <w:w w:val="120"/>
        </w:rPr>
        <w:t> </w:t>
      </w:r>
      <w:r>
        <w:rPr>
          <w:color w:val="231F20"/>
          <w:w w:val="120"/>
        </w:rPr>
        <w:t>livre,</w:t>
      </w:r>
      <w:r>
        <w:rPr>
          <w:color w:val="231F20"/>
          <w:spacing w:val="-13"/>
          <w:w w:val="120"/>
        </w:rPr>
        <w:t> </w:t>
      </w:r>
      <w:r>
        <w:rPr>
          <w:color w:val="231F20"/>
          <w:w w:val="120"/>
        </w:rPr>
        <w:t>ici et là, les propos de présidents de multinationales, de chefs de grandes sociétés et d’entreprises, ainsi que de spécialistes des milieux univer- sitaires et scientifiques. Cela permettra, entre autres, d’apprécier la pertinence des solutions proposées dans l’ici et le maintenant.</w:t>
      </w:r>
    </w:p>
    <w:p>
      <w:pPr>
        <w:pStyle w:val="BodyText"/>
        <w:spacing w:line="307" w:lineRule="auto" w:before="78"/>
        <w:ind w:left="1179" w:right="244" w:firstLine="250"/>
        <w:jc w:val="both"/>
      </w:pPr>
      <w:r>
        <w:rPr>
          <w:color w:val="231F20"/>
          <w:w w:val="120"/>
        </w:rPr>
        <w:t>Le contexte actuel, les relocalisations d’entreprises, les fermetures, les</w:t>
      </w:r>
      <w:r>
        <w:rPr>
          <w:color w:val="231F20"/>
          <w:spacing w:val="-12"/>
          <w:w w:val="120"/>
        </w:rPr>
        <w:t> </w:t>
      </w:r>
      <w:r>
        <w:rPr>
          <w:color w:val="231F20"/>
          <w:w w:val="120"/>
        </w:rPr>
        <w:t>fusions,</w:t>
      </w:r>
      <w:r>
        <w:rPr>
          <w:color w:val="231F20"/>
          <w:spacing w:val="-12"/>
          <w:w w:val="120"/>
        </w:rPr>
        <w:t> </w:t>
      </w:r>
      <w:r>
        <w:rPr>
          <w:color w:val="231F20"/>
          <w:w w:val="120"/>
        </w:rPr>
        <w:t>les</w:t>
      </w:r>
      <w:r>
        <w:rPr>
          <w:color w:val="231F20"/>
          <w:spacing w:val="-12"/>
          <w:w w:val="120"/>
        </w:rPr>
        <w:t> </w:t>
      </w:r>
      <w:r>
        <w:rPr>
          <w:color w:val="231F20"/>
          <w:w w:val="120"/>
        </w:rPr>
        <w:t>soubresauts</w:t>
      </w:r>
      <w:r>
        <w:rPr>
          <w:color w:val="231F20"/>
          <w:spacing w:val="-12"/>
          <w:w w:val="120"/>
        </w:rPr>
        <w:t> </w:t>
      </w:r>
      <w:r>
        <w:rPr>
          <w:color w:val="231F20"/>
          <w:w w:val="120"/>
        </w:rPr>
        <w:t>économiques</w:t>
      </w:r>
      <w:r>
        <w:rPr>
          <w:color w:val="231F20"/>
          <w:spacing w:val="-12"/>
          <w:w w:val="120"/>
        </w:rPr>
        <w:t> </w:t>
      </w:r>
      <w:r>
        <w:rPr>
          <w:color w:val="231F20"/>
          <w:w w:val="120"/>
        </w:rPr>
        <w:t>amènent</w:t>
      </w:r>
      <w:r>
        <w:rPr>
          <w:color w:val="231F20"/>
          <w:spacing w:val="-12"/>
          <w:w w:val="120"/>
        </w:rPr>
        <w:t> </w:t>
      </w:r>
      <w:r>
        <w:rPr>
          <w:color w:val="231F20"/>
          <w:w w:val="120"/>
        </w:rPr>
        <w:t>bon</w:t>
      </w:r>
      <w:r>
        <w:rPr>
          <w:color w:val="231F20"/>
          <w:spacing w:val="-12"/>
          <w:w w:val="120"/>
        </w:rPr>
        <w:t> </w:t>
      </w:r>
      <w:r>
        <w:rPr>
          <w:color w:val="231F20"/>
          <w:w w:val="120"/>
        </w:rPr>
        <w:t>nombre</w:t>
      </w:r>
      <w:r>
        <w:rPr>
          <w:color w:val="231F20"/>
          <w:spacing w:val="-12"/>
          <w:w w:val="120"/>
        </w:rPr>
        <w:t> </w:t>
      </w:r>
      <w:r>
        <w:rPr>
          <w:color w:val="231F20"/>
          <w:w w:val="120"/>
        </w:rPr>
        <w:t>de</w:t>
      </w:r>
      <w:r>
        <w:rPr>
          <w:color w:val="231F20"/>
          <w:spacing w:val="-12"/>
          <w:w w:val="120"/>
        </w:rPr>
        <w:t> </w:t>
      </w:r>
      <w:r>
        <w:rPr>
          <w:color w:val="231F20"/>
          <w:w w:val="120"/>
        </w:rPr>
        <w:t>chefs </w:t>
      </w:r>
      <w:r>
        <w:rPr>
          <w:color w:val="231F20"/>
          <w:w w:val="115"/>
        </w:rPr>
        <w:t>de</w:t>
      </w:r>
      <w:r>
        <w:rPr>
          <w:color w:val="231F20"/>
          <w:spacing w:val="-13"/>
          <w:w w:val="115"/>
        </w:rPr>
        <w:t> </w:t>
      </w:r>
      <w:r>
        <w:rPr>
          <w:color w:val="231F20"/>
          <w:w w:val="115"/>
        </w:rPr>
        <w:t>direction</w:t>
      </w:r>
      <w:r>
        <w:rPr>
          <w:color w:val="231F20"/>
          <w:spacing w:val="-12"/>
          <w:w w:val="115"/>
        </w:rPr>
        <w:t> </w:t>
      </w:r>
      <w:r>
        <w:rPr>
          <w:color w:val="231F20"/>
          <w:w w:val="115"/>
        </w:rPr>
        <w:t>à</w:t>
      </w:r>
      <w:r>
        <w:rPr>
          <w:color w:val="231F20"/>
          <w:spacing w:val="-4"/>
          <w:w w:val="115"/>
        </w:rPr>
        <w:t> </w:t>
      </w:r>
      <w:r>
        <w:rPr>
          <w:color w:val="231F20"/>
          <w:w w:val="115"/>
        </w:rPr>
        <w:t>utiliser</w:t>
      </w:r>
      <w:r>
        <w:rPr>
          <w:color w:val="231F20"/>
          <w:spacing w:val="-4"/>
          <w:w w:val="115"/>
        </w:rPr>
        <w:t> </w:t>
      </w:r>
      <w:r>
        <w:rPr>
          <w:color w:val="231F20"/>
          <w:w w:val="115"/>
        </w:rPr>
        <w:t>la</w:t>
      </w:r>
      <w:r>
        <w:rPr>
          <w:color w:val="231F20"/>
          <w:spacing w:val="-4"/>
          <w:w w:val="115"/>
        </w:rPr>
        <w:t> </w:t>
      </w:r>
      <w:r>
        <w:rPr>
          <w:color w:val="231F20"/>
          <w:w w:val="115"/>
        </w:rPr>
        <w:t>même</w:t>
      </w:r>
      <w:r>
        <w:rPr>
          <w:color w:val="231F20"/>
          <w:spacing w:val="-4"/>
          <w:w w:val="115"/>
        </w:rPr>
        <w:t> </w:t>
      </w:r>
      <w:r>
        <w:rPr>
          <w:color w:val="231F20"/>
          <w:w w:val="115"/>
        </w:rPr>
        <w:t>rengaine:</w:t>
      </w:r>
      <w:r>
        <w:rPr>
          <w:color w:val="231F20"/>
          <w:spacing w:val="-4"/>
          <w:w w:val="115"/>
        </w:rPr>
        <w:t> </w:t>
      </w:r>
      <w:r>
        <w:rPr>
          <w:color w:val="231F20"/>
          <w:w w:val="115"/>
        </w:rPr>
        <w:t>«</w:t>
      </w:r>
      <w:r>
        <w:rPr>
          <w:color w:val="231F20"/>
          <w:spacing w:val="-13"/>
          <w:w w:val="115"/>
        </w:rPr>
        <w:t> </w:t>
      </w:r>
      <w:r>
        <w:rPr>
          <w:i/>
          <w:color w:val="231F20"/>
          <w:w w:val="115"/>
        </w:rPr>
        <w:t>Notre</w:t>
      </w:r>
      <w:r>
        <w:rPr>
          <w:i/>
          <w:color w:val="231F20"/>
          <w:spacing w:val="-3"/>
          <w:w w:val="115"/>
        </w:rPr>
        <w:t> </w:t>
      </w:r>
      <w:r>
        <w:rPr>
          <w:i/>
          <w:color w:val="231F20"/>
          <w:w w:val="115"/>
        </w:rPr>
        <w:t>personnel</w:t>
      </w:r>
      <w:r>
        <w:rPr>
          <w:i/>
          <w:color w:val="231F20"/>
          <w:spacing w:val="-4"/>
          <w:w w:val="115"/>
        </w:rPr>
        <w:t> </w:t>
      </w:r>
      <w:r>
        <w:rPr>
          <w:i/>
          <w:color w:val="231F20"/>
          <w:w w:val="115"/>
        </w:rPr>
        <w:t>est</w:t>
      </w:r>
      <w:r>
        <w:rPr>
          <w:i/>
          <w:color w:val="231F20"/>
          <w:spacing w:val="-4"/>
          <w:w w:val="115"/>
        </w:rPr>
        <w:t> </w:t>
      </w:r>
      <w:r>
        <w:rPr>
          <w:i/>
          <w:color w:val="231F20"/>
          <w:w w:val="115"/>
        </w:rPr>
        <w:t>notre</w:t>
      </w:r>
      <w:r>
        <w:rPr>
          <w:i/>
          <w:color w:val="231F20"/>
          <w:spacing w:val="-4"/>
          <w:w w:val="115"/>
        </w:rPr>
        <w:t> </w:t>
      </w:r>
      <w:r>
        <w:rPr>
          <w:i/>
          <w:color w:val="231F20"/>
          <w:w w:val="115"/>
        </w:rPr>
        <w:t>meil- </w:t>
      </w:r>
      <w:r>
        <w:rPr>
          <w:i/>
          <w:color w:val="231F20"/>
          <w:spacing w:val="-2"/>
          <w:w w:val="120"/>
        </w:rPr>
        <w:t>leur</w:t>
      </w:r>
      <w:r>
        <w:rPr>
          <w:i/>
          <w:color w:val="231F20"/>
          <w:spacing w:val="-11"/>
          <w:w w:val="120"/>
        </w:rPr>
        <w:t> </w:t>
      </w:r>
      <w:r>
        <w:rPr>
          <w:i/>
          <w:color w:val="231F20"/>
          <w:spacing w:val="-2"/>
          <w:w w:val="120"/>
        </w:rPr>
        <w:t>atout</w:t>
      </w:r>
      <w:r>
        <w:rPr>
          <w:i/>
          <w:color w:val="231F20"/>
          <w:spacing w:val="-11"/>
          <w:w w:val="120"/>
        </w:rPr>
        <w:t> </w:t>
      </w:r>
      <w:r>
        <w:rPr>
          <w:color w:val="231F20"/>
          <w:spacing w:val="-2"/>
          <w:w w:val="120"/>
        </w:rPr>
        <w:t>».</w:t>
      </w:r>
      <w:r>
        <w:rPr>
          <w:color w:val="231F20"/>
          <w:spacing w:val="-11"/>
          <w:w w:val="120"/>
        </w:rPr>
        <w:t> </w:t>
      </w:r>
      <w:r>
        <w:rPr>
          <w:color w:val="231F20"/>
          <w:spacing w:val="-2"/>
          <w:w w:val="120"/>
        </w:rPr>
        <w:t>La</w:t>
      </w:r>
      <w:r>
        <w:rPr>
          <w:color w:val="231F20"/>
          <w:spacing w:val="-6"/>
          <w:w w:val="120"/>
        </w:rPr>
        <w:t> </w:t>
      </w:r>
      <w:r>
        <w:rPr>
          <w:color w:val="231F20"/>
          <w:spacing w:val="-2"/>
          <w:w w:val="120"/>
        </w:rPr>
        <w:t>réalité,</w:t>
      </w:r>
      <w:r>
        <w:rPr>
          <w:color w:val="231F20"/>
          <w:spacing w:val="-3"/>
          <w:w w:val="120"/>
        </w:rPr>
        <w:t> </w:t>
      </w:r>
      <w:r>
        <w:rPr>
          <w:color w:val="231F20"/>
          <w:spacing w:val="-2"/>
          <w:w w:val="120"/>
        </w:rPr>
        <w:t>toutefois,</w:t>
      </w:r>
      <w:r>
        <w:rPr>
          <w:color w:val="231F20"/>
          <w:spacing w:val="-3"/>
          <w:w w:val="120"/>
        </w:rPr>
        <w:t> </w:t>
      </w:r>
      <w:r>
        <w:rPr>
          <w:color w:val="231F20"/>
          <w:spacing w:val="-2"/>
          <w:w w:val="120"/>
        </w:rPr>
        <w:t>révèle</w:t>
      </w:r>
      <w:r>
        <w:rPr>
          <w:color w:val="231F20"/>
          <w:spacing w:val="-3"/>
          <w:w w:val="120"/>
        </w:rPr>
        <w:t> </w:t>
      </w:r>
      <w:r>
        <w:rPr>
          <w:color w:val="231F20"/>
          <w:spacing w:val="-2"/>
          <w:w w:val="120"/>
        </w:rPr>
        <w:t>que</w:t>
      </w:r>
      <w:r>
        <w:rPr>
          <w:color w:val="231F20"/>
          <w:spacing w:val="-3"/>
          <w:w w:val="120"/>
        </w:rPr>
        <w:t> </w:t>
      </w:r>
      <w:r>
        <w:rPr>
          <w:color w:val="231F20"/>
          <w:spacing w:val="-2"/>
          <w:w w:val="120"/>
        </w:rPr>
        <w:t>cette</w:t>
      </w:r>
      <w:r>
        <w:rPr>
          <w:color w:val="231F20"/>
          <w:spacing w:val="-3"/>
          <w:w w:val="120"/>
        </w:rPr>
        <w:t> </w:t>
      </w:r>
      <w:r>
        <w:rPr>
          <w:color w:val="231F20"/>
          <w:spacing w:val="-2"/>
          <w:w w:val="120"/>
        </w:rPr>
        <w:t>phrase</w:t>
      </w:r>
      <w:r>
        <w:rPr>
          <w:color w:val="231F20"/>
          <w:spacing w:val="-3"/>
          <w:w w:val="120"/>
        </w:rPr>
        <w:t> </w:t>
      </w:r>
      <w:r>
        <w:rPr>
          <w:color w:val="231F20"/>
          <w:spacing w:val="-2"/>
          <w:w w:val="120"/>
        </w:rPr>
        <w:t>représente</w:t>
      </w:r>
      <w:r>
        <w:rPr>
          <w:color w:val="231F20"/>
          <w:spacing w:val="-3"/>
          <w:w w:val="120"/>
        </w:rPr>
        <w:t> </w:t>
      </w:r>
      <w:r>
        <w:rPr>
          <w:color w:val="231F20"/>
          <w:spacing w:val="-2"/>
          <w:w w:val="120"/>
        </w:rPr>
        <w:t>sou- vent</w:t>
      </w:r>
      <w:r>
        <w:rPr>
          <w:color w:val="231F20"/>
          <w:spacing w:val="-10"/>
          <w:w w:val="120"/>
        </w:rPr>
        <w:t> </w:t>
      </w:r>
      <w:r>
        <w:rPr>
          <w:color w:val="231F20"/>
          <w:spacing w:val="-2"/>
          <w:w w:val="120"/>
        </w:rPr>
        <w:t>un</w:t>
      </w:r>
      <w:r>
        <w:rPr>
          <w:color w:val="231F20"/>
          <w:spacing w:val="-10"/>
          <w:w w:val="120"/>
        </w:rPr>
        <w:t> </w:t>
      </w:r>
      <w:r>
        <w:rPr>
          <w:color w:val="231F20"/>
          <w:spacing w:val="-2"/>
          <w:w w:val="120"/>
        </w:rPr>
        <w:t>vœu</w:t>
      </w:r>
      <w:r>
        <w:rPr>
          <w:color w:val="231F20"/>
          <w:spacing w:val="-10"/>
          <w:w w:val="120"/>
        </w:rPr>
        <w:t> </w:t>
      </w:r>
      <w:r>
        <w:rPr>
          <w:color w:val="231F20"/>
          <w:spacing w:val="-2"/>
          <w:w w:val="120"/>
        </w:rPr>
        <w:t>pieux</w:t>
      </w:r>
      <w:r>
        <w:rPr>
          <w:color w:val="231F20"/>
          <w:spacing w:val="-10"/>
          <w:w w:val="120"/>
        </w:rPr>
        <w:t> </w:t>
      </w:r>
      <w:r>
        <w:rPr>
          <w:color w:val="231F20"/>
          <w:spacing w:val="-2"/>
          <w:w w:val="120"/>
        </w:rPr>
        <w:t>et</w:t>
      </w:r>
      <w:r>
        <w:rPr>
          <w:color w:val="231F20"/>
          <w:spacing w:val="-10"/>
          <w:w w:val="120"/>
        </w:rPr>
        <w:t> </w:t>
      </w:r>
      <w:r>
        <w:rPr>
          <w:color w:val="231F20"/>
          <w:spacing w:val="-2"/>
          <w:w w:val="120"/>
        </w:rPr>
        <w:t>qu’il</w:t>
      </w:r>
      <w:r>
        <w:rPr>
          <w:color w:val="231F20"/>
          <w:spacing w:val="-10"/>
          <w:w w:val="120"/>
        </w:rPr>
        <w:t> </w:t>
      </w:r>
      <w:r>
        <w:rPr>
          <w:color w:val="231F20"/>
          <w:spacing w:val="-2"/>
          <w:w w:val="120"/>
        </w:rPr>
        <w:t>existe</w:t>
      </w:r>
      <w:r>
        <w:rPr>
          <w:color w:val="231F20"/>
          <w:spacing w:val="-10"/>
          <w:w w:val="120"/>
        </w:rPr>
        <w:t> </w:t>
      </w:r>
      <w:r>
        <w:rPr>
          <w:color w:val="231F20"/>
          <w:spacing w:val="-2"/>
          <w:w w:val="120"/>
        </w:rPr>
        <w:t>encore</w:t>
      </w:r>
      <w:r>
        <w:rPr>
          <w:color w:val="231F20"/>
          <w:spacing w:val="-10"/>
          <w:w w:val="120"/>
        </w:rPr>
        <w:t> </w:t>
      </w:r>
      <w:r>
        <w:rPr>
          <w:color w:val="231F20"/>
          <w:spacing w:val="-2"/>
          <w:w w:val="120"/>
        </w:rPr>
        <w:t>malheureusement</w:t>
      </w:r>
      <w:r>
        <w:rPr>
          <w:color w:val="231F20"/>
          <w:spacing w:val="-10"/>
          <w:w w:val="120"/>
        </w:rPr>
        <w:t> </w:t>
      </w:r>
      <w:r>
        <w:rPr>
          <w:color w:val="231F20"/>
          <w:spacing w:val="-2"/>
          <w:w w:val="120"/>
        </w:rPr>
        <w:t>un</w:t>
      </w:r>
      <w:r>
        <w:rPr>
          <w:color w:val="231F20"/>
          <w:spacing w:val="-10"/>
          <w:w w:val="120"/>
        </w:rPr>
        <w:t> </w:t>
      </w:r>
      <w:r>
        <w:rPr>
          <w:color w:val="231F20"/>
          <w:spacing w:val="-2"/>
          <w:w w:val="120"/>
        </w:rPr>
        <w:t>large</w:t>
      </w:r>
      <w:r>
        <w:rPr>
          <w:color w:val="231F20"/>
          <w:spacing w:val="-10"/>
          <w:w w:val="120"/>
        </w:rPr>
        <w:t> </w:t>
      </w:r>
      <w:r>
        <w:rPr>
          <w:color w:val="231F20"/>
          <w:spacing w:val="-2"/>
          <w:w w:val="120"/>
        </w:rPr>
        <w:t>fossé </w:t>
      </w:r>
      <w:r>
        <w:rPr>
          <w:color w:val="231F20"/>
          <w:w w:val="120"/>
        </w:rPr>
        <w:t>entre</w:t>
      </w:r>
      <w:r>
        <w:rPr>
          <w:color w:val="231F20"/>
          <w:spacing w:val="-9"/>
          <w:w w:val="120"/>
        </w:rPr>
        <w:t> </w:t>
      </w:r>
      <w:r>
        <w:rPr>
          <w:color w:val="231F20"/>
          <w:w w:val="120"/>
        </w:rPr>
        <w:t>la</w:t>
      </w:r>
      <w:r>
        <w:rPr>
          <w:color w:val="231F20"/>
          <w:spacing w:val="-9"/>
          <w:w w:val="120"/>
        </w:rPr>
        <w:t> </w:t>
      </w:r>
      <w:r>
        <w:rPr>
          <w:color w:val="231F20"/>
          <w:w w:val="120"/>
        </w:rPr>
        <w:t>parole</w:t>
      </w:r>
      <w:r>
        <w:rPr>
          <w:color w:val="231F20"/>
          <w:spacing w:val="-9"/>
          <w:w w:val="120"/>
        </w:rPr>
        <w:t> </w:t>
      </w:r>
      <w:r>
        <w:rPr>
          <w:color w:val="231F20"/>
          <w:w w:val="120"/>
        </w:rPr>
        <w:t>et</w:t>
      </w:r>
      <w:r>
        <w:rPr>
          <w:color w:val="231F20"/>
          <w:spacing w:val="-9"/>
          <w:w w:val="120"/>
        </w:rPr>
        <w:t> </w:t>
      </w:r>
      <w:r>
        <w:rPr>
          <w:color w:val="231F20"/>
          <w:w w:val="120"/>
        </w:rPr>
        <w:t>l’acte.</w:t>
      </w:r>
      <w:r>
        <w:rPr>
          <w:color w:val="231F20"/>
          <w:spacing w:val="-9"/>
          <w:w w:val="120"/>
        </w:rPr>
        <w:t> </w:t>
      </w:r>
      <w:r>
        <w:rPr>
          <w:color w:val="231F20"/>
          <w:w w:val="120"/>
        </w:rPr>
        <w:t>Dans</w:t>
      </w:r>
      <w:r>
        <w:rPr>
          <w:color w:val="231F20"/>
          <w:spacing w:val="-9"/>
          <w:w w:val="120"/>
        </w:rPr>
        <w:t> </w:t>
      </w:r>
      <w:r>
        <w:rPr>
          <w:color w:val="231F20"/>
          <w:w w:val="120"/>
        </w:rPr>
        <w:t>les</w:t>
      </w:r>
      <w:r>
        <w:rPr>
          <w:color w:val="231F20"/>
          <w:spacing w:val="-9"/>
          <w:w w:val="120"/>
        </w:rPr>
        <w:t> </w:t>
      </w:r>
      <w:r>
        <w:rPr>
          <w:color w:val="231F20"/>
          <w:w w:val="120"/>
        </w:rPr>
        <w:t>faits,</w:t>
      </w:r>
      <w:r>
        <w:rPr>
          <w:color w:val="231F20"/>
          <w:spacing w:val="-9"/>
          <w:w w:val="120"/>
        </w:rPr>
        <w:t> </w:t>
      </w:r>
      <w:r>
        <w:rPr>
          <w:color w:val="231F20"/>
          <w:w w:val="120"/>
        </w:rPr>
        <w:t>les</w:t>
      </w:r>
      <w:r>
        <w:rPr>
          <w:color w:val="231F20"/>
          <w:spacing w:val="-9"/>
          <w:w w:val="120"/>
        </w:rPr>
        <w:t> </w:t>
      </w:r>
      <w:r>
        <w:rPr>
          <w:color w:val="231F20"/>
          <w:w w:val="120"/>
        </w:rPr>
        <w:t>investissements</w:t>
      </w:r>
      <w:r>
        <w:rPr>
          <w:color w:val="231F20"/>
          <w:spacing w:val="-9"/>
          <w:w w:val="120"/>
        </w:rPr>
        <w:t> </w:t>
      </w:r>
      <w:r>
        <w:rPr>
          <w:color w:val="231F20"/>
          <w:w w:val="120"/>
        </w:rPr>
        <w:t>dans</w:t>
      </w:r>
      <w:r>
        <w:rPr>
          <w:color w:val="231F20"/>
          <w:spacing w:val="-9"/>
          <w:w w:val="120"/>
        </w:rPr>
        <w:t> </w:t>
      </w:r>
      <w:r>
        <w:rPr>
          <w:color w:val="231F20"/>
          <w:w w:val="120"/>
        </w:rPr>
        <w:t>le</w:t>
      </w:r>
      <w:r>
        <w:rPr>
          <w:color w:val="231F20"/>
          <w:spacing w:val="-9"/>
          <w:w w:val="120"/>
        </w:rPr>
        <w:t> </w:t>
      </w:r>
      <w:r>
        <w:rPr>
          <w:color w:val="231F20"/>
          <w:w w:val="120"/>
        </w:rPr>
        <w:t>bien- être de ce meilleur atout qu’est le personnel demeurent beaucoup trop </w:t>
      </w:r>
      <w:r>
        <w:rPr>
          <w:color w:val="231F20"/>
          <w:w w:val="115"/>
        </w:rPr>
        <w:t>limités</w:t>
      </w:r>
      <w:r>
        <w:rPr>
          <w:color w:val="231F20"/>
          <w:spacing w:val="-3"/>
          <w:w w:val="115"/>
        </w:rPr>
        <w:t> </w:t>
      </w:r>
      <w:r>
        <w:rPr>
          <w:color w:val="231F20"/>
          <w:w w:val="115"/>
        </w:rPr>
        <w:t>et</w:t>
      </w:r>
      <w:r>
        <w:rPr>
          <w:color w:val="231F20"/>
          <w:spacing w:val="-3"/>
          <w:w w:val="115"/>
        </w:rPr>
        <w:t> </w:t>
      </w:r>
      <w:r>
        <w:rPr>
          <w:color w:val="231F20"/>
          <w:w w:val="115"/>
        </w:rPr>
        <w:t>la</w:t>
      </w:r>
      <w:r>
        <w:rPr>
          <w:color w:val="231F20"/>
          <w:spacing w:val="-3"/>
          <w:w w:val="115"/>
        </w:rPr>
        <w:t> </w:t>
      </w:r>
      <w:r>
        <w:rPr>
          <w:color w:val="231F20"/>
          <w:w w:val="115"/>
        </w:rPr>
        <w:t>recherche</w:t>
      </w:r>
      <w:r>
        <w:rPr>
          <w:color w:val="231F20"/>
          <w:spacing w:val="-3"/>
          <w:w w:val="115"/>
        </w:rPr>
        <w:t> </w:t>
      </w:r>
      <w:r>
        <w:rPr>
          <w:color w:val="231F20"/>
          <w:w w:val="115"/>
        </w:rPr>
        <w:t>d’une</w:t>
      </w:r>
      <w:r>
        <w:rPr>
          <w:color w:val="231F20"/>
          <w:spacing w:val="-3"/>
          <w:w w:val="115"/>
        </w:rPr>
        <w:t> </w:t>
      </w:r>
      <w:r>
        <w:rPr>
          <w:color w:val="231F20"/>
          <w:w w:val="115"/>
        </w:rPr>
        <w:t>maximisation</w:t>
      </w:r>
      <w:r>
        <w:rPr>
          <w:color w:val="231F20"/>
          <w:spacing w:val="-3"/>
          <w:w w:val="115"/>
        </w:rPr>
        <w:t> </w:t>
      </w:r>
      <w:r>
        <w:rPr>
          <w:color w:val="231F20"/>
          <w:w w:val="115"/>
        </w:rPr>
        <w:t>des</w:t>
      </w:r>
      <w:r>
        <w:rPr>
          <w:color w:val="231F20"/>
          <w:spacing w:val="-3"/>
          <w:w w:val="115"/>
        </w:rPr>
        <w:t> </w:t>
      </w:r>
      <w:r>
        <w:rPr>
          <w:color w:val="231F20"/>
          <w:w w:val="115"/>
        </w:rPr>
        <w:t>profits</w:t>
      </w:r>
      <w:r>
        <w:rPr>
          <w:color w:val="231F20"/>
          <w:spacing w:val="-3"/>
          <w:w w:val="115"/>
        </w:rPr>
        <w:t> </w:t>
      </w:r>
      <w:r>
        <w:rPr>
          <w:color w:val="231F20"/>
          <w:w w:val="115"/>
        </w:rPr>
        <w:t>prédomine</w:t>
      </w:r>
      <w:r>
        <w:rPr>
          <w:color w:val="231F20"/>
          <w:spacing w:val="-3"/>
          <w:w w:val="115"/>
        </w:rPr>
        <w:t> </w:t>
      </w:r>
      <w:r>
        <w:rPr>
          <w:color w:val="231F20"/>
          <w:w w:val="115"/>
        </w:rPr>
        <w:t>presque </w:t>
      </w:r>
      <w:r>
        <w:rPr>
          <w:color w:val="231F20"/>
          <w:spacing w:val="-2"/>
          <w:w w:val="120"/>
        </w:rPr>
        <w:t>toujours</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santé</w:t>
      </w:r>
      <w:r>
        <w:rPr>
          <w:color w:val="231F20"/>
          <w:spacing w:val="-6"/>
          <w:w w:val="120"/>
        </w:rPr>
        <w:t> </w:t>
      </w:r>
      <w:r>
        <w:rPr>
          <w:color w:val="231F20"/>
          <w:spacing w:val="-2"/>
          <w:w w:val="120"/>
        </w:rPr>
        <w:t>psychologique</w:t>
      </w:r>
      <w:r>
        <w:rPr>
          <w:color w:val="231F20"/>
          <w:spacing w:val="-6"/>
          <w:w w:val="120"/>
        </w:rPr>
        <w:t> </w:t>
      </w:r>
      <w:r>
        <w:rPr>
          <w:color w:val="231F20"/>
          <w:spacing w:val="-2"/>
          <w:w w:val="120"/>
        </w:rPr>
        <w:t>des</w:t>
      </w:r>
      <w:r>
        <w:rPr>
          <w:color w:val="231F20"/>
          <w:spacing w:val="-6"/>
          <w:w w:val="120"/>
        </w:rPr>
        <w:t> </w:t>
      </w:r>
      <w:r>
        <w:rPr>
          <w:color w:val="231F20"/>
          <w:spacing w:val="-2"/>
          <w:w w:val="120"/>
        </w:rPr>
        <w:t>travailleurs.</w:t>
      </w:r>
      <w:r>
        <w:rPr>
          <w:color w:val="231F20"/>
          <w:spacing w:val="-6"/>
          <w:w w:val="120"/>
        </w:rPr>
        <w:t> </w:t>
      </w:r>
      <w:r>
        <w:rPr>
          <w:color w:val="231F20"/>
          <w:spacing w:val="-2"/>
          <w:w w:val="120"/>
        </w:rPr>
        <w:t>Force</w:t>
      </w:r>
      <w:r>
        <w:rPr>
          <w:color w:val="231F20"/>
          <w:spacing w:val="-6"/>
          <w:w w:val="120"/>
        </w:rPr>
        <w:t> </w:t>
      </w:r>
      <w:r>
        <w:rPr>
          <w:color w:val="231F20"/>
          <w:spacing w:val="-2"/>
          <w:w w:val="120"/>
        </w:rPr>
        <w:t>est</w:t>
      </w:r>
      <w:r>
        <w:rPr>
          <w:color w:val="231F20"/>
          <w:spacing w:val="-6"/>
          <w:w w:val="120"/>
        </w:rPr>
        <w:t> </w:t>
      </w:r>
      <w:r>
        <w:rPr>
          <w:color w:val="231F20"/>
          <w:spacing w:val="-2"/>
          <w:w w:val="120"/>
        </w:rPr>
        <w:t>de</w:t>
      </w:r>
      <w:r>
        <w:rPr>
          <w:color w:val="231F20"/>
          <w:spacing w:val="-6"/>
          <w:w w:val="120"/>
        </w:rPr>
        <w:t> </w:t>
      </w:r>
      <w:r>
        <w:rPr>
          <w:color w:val="231F20"/>
          <w:spacing w:val="-2"/>
          <w:w w:val="120"/>
        </w:rPr>
        <w:t>consta- </w:t>
      </w:r>
      <w:r>
        <w:rPr>
          <w:color w:val="231F20"/>
          <w:w w:val="120"/>
        </w:rPr>
        <w:t>ter</w:t>
      </w:r>
      <w:r>
        <w:rPr>
          <w:color w:val="231F20"/>
          <w:spacing w:val="-2"/>
          <w:w w:val="120"/>
        </w:rPr>
        <w:t> </w:t>
      </w:r>
      <w:r>
        <w:rPr>
          <w:color w:val="231F20"/>
          <w:w w:val="120"/>
        </w:rPr>
        <w:t>que</w:t>
      </w:r>
      <w:r>
        <w:rPr>
          <w:color w:val="231F20"/>
          <w:spacing w:val="-2"/>
          <w:w w:val="120"/>
        </w:rPr>
        <w:t> </w:t>
      </w:r>
      <w:r>
        <w:rPr>
          <w:color w:val="231F20"/>
          <w:w w:val="120"/>
        </w:rPr>
        <w:t>dans</w:t>
      </w:r>
      <w:r>
        <w:rPr>
          <w:color w:val="231F20"/>
          <w:spacing w:val="-2"/>
          <w:w w:val="120"/>
        </w:rPr>
        <w:t> </w:t>
      </w:r>
      <w:r>
        <w:rPr>
          <w:color w:val="231F20"/>
          <w:w w:val="120"/>
        </w:rPr>
        <w:t>la</w:t>
      </w:r>
      <w:r>
        <w:rPr>
          <w:color w:val="231F20"/>
          <w:spacing w:val="-2"/>
          <w:w w:val="120"/>
        </w:rPr>
        <w:t> </w:t>
      </w:r>
      <w:r>
        <w:rPr>
          <w:color w:val="231F20"/>
          <w:w w:val="120"/>
        </w:rPr>
        <w:t>plupart</w:t>
      </w:r>
      <w:r>
        <w:rPr>
          <w:color w:val="231F20"/>
          <w:spacing w:val="-2"/>
          <w:w w:val="120"/>
        </w:rPr>
        <w:t> </w:t>
      </w:r>
      <w:r>
        <w:rPr>
          <w:color w:val="231F20"/>
          <w:w w:val="120"/>
        </w:rPr>
        <w:t>des</w:t>
      </w:r>
      <w:r>
        <w:rPr>
          <w:color w:val="231F20"/>
          <w:spacing w:val="-2"/>
          <w:w w:val="120"/>
        </w:rPr>
        <w:t> </w:t>
      </w:r>
      <w:r>
        <w:rPr>
          <w:color w:val="231F20"/>
          <w:w w:val="120"/>
        </w:rPr>
        <w:t>grandes</w:t>
      </w:r>
      <w:r>
        <w:rPr>
          <w:color w:val="231F20"/>
          <w:spacing w:val="-2"/>
          <w:w w:val="120"/>
        </w:rPr>
        <w:t> </w:t>
      </w:r>
      <w:r>
        <w:rPr>
          <w:color w:val="231F20"/>
          <w:w w:val="120"/>
        </w:rPr>
        <w:t>organisations,</w:t>
      </w:r>
      <w:r>
        <w:rPr>
          <w:color w:val="231F20"/>
          <w:spacing w:val="-2"/>
          <w:w w:val="120"/>
        </w:rPr>
        <w:t> </w:t>
      </w:r>
      <w:r>
        <w:rPr>
          <w:color w:val="231F20"/>
          <w:w w:val="120"/>
        </w:rPr>
        <w:t>les</w:t>
      </w:r>
      <w:r>
        <w:rPr>
          <w:color w:val="231F20"/>
          <w:spacing w:val="-2"/>
          <w:w w:val="120"/>
        </w:rPr>
        <w:t> </w:t>
      </w:r>
      <w:r>
        <w:rPr>
          <w:color w:val="231F20"/>
          <w:w w:val="120"/>
        </w:rPr>
        <w:t>niveaux</w:t>
      </w:r>
      <w:r>
        <w:rPr>
          <w:color w:val="231F20"/>
          <w:spacing w:val="-2"/>
          <w:w w:val="120"/>
        </w:rPr>
        <w:t> </w:t>
      </w:r>
      <w:r>
        <w:rPr>
          <w:color w:val="231F20"/>
          <w:w w:val="120"/>
        </w:rPr>
        <w:t>de</w:t>
      </w:r>
      <w:r>
        <w:rPr>
          <w:color w:val="231F20"/>
          <w:spacing w:val="-2"/>
          <w:w w:val="120"/>
        </w:rPr>
        <w:t> </w:t>
      </w:r>
      <w:r>
        <w:rPr>
          <w:color w:val="231F20"/>
          <w:w w:val="120"/>
        </w:rPr>
        <w:t>stress </w:t>
      </w:r>
      <w:r>
        <w:rPr>
          <w:color w:val="231F20"/>
          <w:w w:val="125"/>
        </w:rPr>
        <w:t>semblent</w:t>
      </w:r>
      <w:r>
        <w:rPr>
          <w:color w:val="231F20"/>
          <w:spacing w:val="-6"/>
          <w:w w:val="125"/>
        </w:rPr>
        <w:t> </w:t>
      </w:r>
      <w:r>
        <w:rPr>
          <w:color w:val="231F20"/>
          <w:w w:val="125"/>
        </w:rPr>
        <w:t>avoir</w:t>
      </w:r>
      <w:r>
        <w:rPr>
          <w:color w:val="231F20"/>
          <w:spacing w:val="-6"/>
          <w:w w:val="125"/>
        </w:rPr>
        <w:t> </w:t>
      </w:r>
      <w:r>
        <w:rPr>
          <w:color w:val="231F20"/>
          <w:w w:val="125"/>
        </w:rPr>
        <w:t>atteint</w:t>
      </w:r>
      <w:r>
        <w:rPr>
          <w:color w:val="231F20"/>
          <w:spacing w:val="-6"/>
          <w:w w:val="125"/>
        </w:rPr>
        <w:t> </w:t>
      </w:r>
      <w:r>
        <w:rPr>
          <w:color w:val="231F20"/>
          <w:w w:val="125"/>
        </w:rPr>
        <w:t>des</w:t>
      </w:r>
      <w:r>
        <w:rPr>
          <w:color w:val="231F20"/>
          <w:spacing w:val="-6"/>
          <w:w w:val="125"/>
        </w:rPr>
        <w:t> </w:t>
      </w:r>
      <w:r>
        <w:rPr>
          <w:color w:val="231F20"/>
          <w:w w:val="125"/>
        </w:rPr>
        <w:t>records</w:t>
      </w:r>
      <w:r>
        <w:rPr>
          <w:color w:val="231F20"/>
          <w:spacing w:val="-6"/>
          <w:w w:val="125"/>
        </w:rPr>
        <w:t> </w:t>
      </w:r>
      <w:r>
        <w:rPr>
          <w:color w:val="231F20"/>
          <w:w w:val="125"/>
        </w:rPr>
        <w:t>historiques.</w:t>
      </w:r>
    </w:p>
    <w:p>
      <w:pPr>
        <w:pStyle w:val="BodyText"/>
        <w:spacing w:line="307" w:lineRule="auto" w:before="78"/>
        <w:ind w:left="1179" w:right="245" w:firstLine="250"/>
        <w:jc w:val="both"/>
      </w:pPr>
      <w:r>
        <w:rPr>
          <w:color w:val="231F20"/>
          <w:w w:val="120"/>
        </w:rPr>
        <w:t>Tout</w:t>
      </w:r>
      <w:r>
        <w:rPr>
          <w:color w:val="231F20"/>
          <w:spacing w:val="-11"/>
          <w:w w:val="120"/>
        </w:rPr>
        <w:t> </w:t>
      </w:r>
      <w:r>
        <w:rPr>
          <w:color w:val="231F20"/>
          <w:w w:val="120"/>
        </w:rPr>
        <w:t>cela</w:t>
      </w:r>
      <w:r>
        <w:rPr>
          <w:color w:val="231F20"/>
          <w:spacing w:val="-11"/>
          <w:w w:val="120"/>
        </w:rPr>
        <w:t> </w:t>
      </w:r>
      <w:r>
        <w:rPr>
          <w:color w:val="231F20"/>
          <w:w w:val="120"/>
        </w:rPr>
        <w:t>nous</w:t>
      </w:r>
      <w:r>
        <w:rPr>
          <w:color w:val="231F20"/>
          <w:spacing w:val="-11"/>
          <w:w w:val="120"/>
        </w:rPr>
        <w:t> </w:t>
      </w:r>
      <w:r>
        <w:rPr>
          <w:color w:val="231F20"/>
          <w:w w:val="120"/>
        </w:rPr>
        <w:t>amène</w:t>
      </w:r>
      <w:r>
        <w:rPr>
          <w:color w:val="231F20"/>
          <w:spacing w:val="-11"/>
          <w:w w:val="120"/>
        </w:rPr>
        <w:t> </w:t>
      </w:r>
      <w:r>
        <w:rPr>
          <w:color w:val="231F20"/>
          <w:w w:val="120"/>
        </w:rPr>
        <w:t>à</w:t>
      </w:r>
      <w:r>
        <w:rPr>
          <w:color w:val="231F20"/>
          <w:spacing w:val="-11"/>
          <w:w w:val="120"/>
        </w:rPr>
        <w:t> </w:t>
      </w:r>
      <w:r>
        <w:rPr>
          <w:color w:val="231F20"/>
          <w:w w:val="120"/>
        </w:rPr>
        <w:t>considérer</w:t>
      </w:r>
      <w:r>
        <w:rPr>
          <w:color w:val="231F20"/>
          <w:spacing w:val="-11"/>
          <w:w w:val="120"/>
        </w:rPr>
        <w:t> </w:t>
      </w:r>
      <w:r>
        <w:rPr>
          <w:color w:val="231F20"/>
          <w:w w:val="120"/>
        </w:rPr>
        <w:t>que</w:t>
      </w:r>
      <w:r>
        <w:rPr>
          <w:color w:val="231F20"/>
          <w:spacing w:val="-11"/>
          <w:w w:val="120"/>
        </w:rPr>
        <w:t> </w:t>
      </w:r>
      <w:r>
        <w:rPr>
          <w:color w:val="231F20"/>
          <w:w w:val="120"/>
        </w:rPr>
        <w:t>la</w:t>
      </w:r>
      <w:r>
        <w:rPr>
          <w:color w:val="231F20"/>
          <w:spacing w:val="-11"/>
          <w:w w:val="120"/>
        </w:rPr>
        <w:t> </w:t>
      </w:r>
      <w:r>
        <w:rPr>
          <w:color w:val="231F20"/>
          <w:w w:val="120"/>
        </w:rPr>
        <w:t>clé</w:t>
      </w:r>
      <w:r>
        <w:rPr>
          <w:color w:val="231F20"/>
          <w:spacing w:val="-11"/>
          <w:w w:val="120"/>
        </w:rPr>
        <w:t> </w:t>
      </w:r>
      <w:r>
        <w:rPr>
          <w:color w:val="231F20"/>
          <w:w w:val="120"/>
        </w:rPr>
        <w:t>se</w:t>
      </w:r>
      <w:r>
        <w:rPr>
          <w:color w:val="231F20"/>
          <w:spacing w:val="-11"/>
          <w:w w:val="120"/>
        </w:rPr>
        <w:t> </w:t>
      </w:r>
      <w:r>
        <w:rPr>
          <w:color w:val="231F20"/>
          <w:w w:val="120"/>
        </w:rPr>
        <w:t>trouve</w:t>
      </w:r>
      <w:r>
        <w:rPr>
          <w:color w:val="231F20"/>
          <w:spacing w:val="-11"/>
          <w:w w:val="120"/>
        </w:rPr>
        <w:t> </w:t>
      </w:r>
      <w:r>
        <w:rPr>
          <w:color w:val="231F20"/>
          <w:w w:val="120"/>
        </w:rPr>
        <w:t>possiblement </w:t>
      </w:r>
      <w:r>
        <w:rPr>
          <w:color w:val="231F20"/>
          <w:w w:val="115"/>
        </w:rPr>
        <w:t>dans</w:t>
      </w:r>
      <w:r>
        <w:rPr>
          <w:color w:val="231F20"/>
          <w:spacing w:val="-2"/>
          <w:w w:val="115"/>
        </w:rPr>
        <w:t> </w:t>
      </w:r>
      <w:r>
        <w:rPr>
          <w:color w:val="231F20"/>
          <w:w w:val="115"/>
        </w:rPr>
        <w:t>la</w:t>
      </w:r>
      <w:r>
        <w:rPr>
          <w:color w:val="231F20"/>
          <w:spacing w:val="-2"/>
          <w:w w:val="115"/>
        </w:rPr>
        <w:t> </w:t>
      </w:r>
      <w:r>
        <w:rPr>
          <w:color w:val="231F20"/>
          <w:w w:val="115"/>
        </w:rPr>
        <w:t>notion</w:t>
      </w:r>
      <w:r>
        <w:rPr>
          <w:color w:val="231F20"/>
          <w:spacing w:val="-2"/>
          <w:w w:val="115"/>
        </w:rPr>
        <w:t> </w:t>
      </w:r>
      <w:r>
        <w:rPr>
          <w:color w:val="231F20"/>
          <w:w w:val="115"/>
        </w:rPr>
        <w:t>d’</w:t>
      </w:r>
      <w:r>
        <w:rPr>
          <w:i/>
          <w:color w:val="231F20"/>
          <w:w w:val="115"/>
        </w:rPr>
        <w:t>équilibre</w:t>
      </w:r>
      <w:r>
        <w:rPr>
          <w:i/>
          <w:color w:val="231F20"/>
          <w:spacing w:val="-2"/>
          <w:w w:val="115"/>
        </w:rPr>
        <w:t> </w:t>
      </w:r>
      <w:r>
        <w:rPr>
          <w:color w:val="231F20"/>
          <w:w w:val="115"/>
        </w:rPr>
        <w:t>entre</w:t>
      </w:r>
      <w:r>
        <w:rPr>
          <w:color w:val="231F20"/>
          <w:spacing w:val="-2"/>
          <w:w w:val="115"/>
        </w:rPr>
        <w:t> </w:t>
      </w:r>
      <w:r>
        <w:rPr>
          <w:color w:val="231F20"/>
          <w:w w:val="115"/>
        </w:rPr>
        <w:t>les</w:t>
      </w:r>
      <w:r>
        <w:rPr>
          <w:color w:val="231F20"/>
          <w:spacing w:val="-2"/>
          <w:w w:val="115"/>
        </w:rPr>
        <w:t> </w:t>
      </w:r>
      <w:r>
        <w:rPr>
          <w:color w:val="231F20"/>
          <w:w w:val="115"/>
        </w:rPr>
        <w:t>capacités</w:t>
      </w:r>
      <w:r>
        <w:rPr>
          <w:color w:val="231F20"/>
          <w:spacing w:val="-2"/>
          <w:w w:val="115"/>
        </w:rPr>
        <w:t> </w:t>
      </w:r>
      <w:r>
        <w:rPr>
          <w:color w:val="231F20"/>
          <w:w w:val="115"/>
        </w:rPr>
        <w:t>et</w:t>
      </w:r>
      <w:r>
        <w:rPr>
          <w:color w:val="231F20"/>
          <w:spacing w:val="-2"/>
          <w:w w:val="115"/>
        </w:rPr>
        <w:t> </w:t>
      </w:r>
      <w:r>
        <w:rPr>
          <w:color w:val="231F20"/>
          <w:w w:val="115"/>
        </w:rPr>
        <w:t>les</w:t>
      </w:r>
      <w:r>
        <w:rPr>
          <w:color w:val="231F20"/>
          <w:spacing w:val="-2"/>
          <w:w w:val="115"/>
        </w:rPr>
        <w:t> </w:t>
      </w:r>
      <w:r>
        <w:rPr>
          <w:color w:val="231F20"/>
          <w:w w:val="115"/>
        </w:rPr>
        <w:t>pressions</w:t>
      </w:r>
      <w:r>
        <w:rPr>
          <w:color w:val="231F20"/>
          <w:spacing w:val="-2"/>
          <w:w w:val="115"/>
        </w:rPr>
        <w:t> </w:t>
      </w:r>
      <w:r>
        <w:rPr>
          <w:color w:val="231F20"/>
          <w:w w:val="115"/>
        </w:rPr>
        <w:t>productives, </w:t>
      </w:r>
      <w:r>
        <w:rPr>
          <w:color w:val="231F20"/>
          <w:w w:val="120"/>
        </w:rPr>
        <w:t>clé</w:t>
      </w:r>
      <w:r>
        <w:rPr>
          <w:color w:val="231F20"/>
          <w:spacing w:val="-4"/>
          <w:w w:val="120"/>
        </w:rPr>
        <w:t> </w:t>
      </w:r>
      <w:r>
        <w:rPr>
          <w:color w:val="231F20"/>
          <w:w w:val="120"/>
        </w:rPr>
        <w:t>que</w:t>
      </w:r>
      <w:r>
        <w:rPr>
          <w:color w:val="231F20"/>
          <w:spacing w:val="-4"/>
          <w:w w:val="120"/>
        </w:rPr>
        <w:t> </w:t>
      </w:r>
      <w:r>
        <w:rPr>
          <w:color w:val="231F20"/>
          <w:w w:val="120"/>
        </w:rPr>
        <w:t>ce</w:t>
      </w:r>
      <w:r>
        <w:rPr>
          <w:color w:val="231F20"/>
          <w:spacing w:val="-4"/>
          <w:w w:val="120"/>
        </w:rPr>
        <w:t> </w:t>
      </w:r>
      <w:r>
        <w:rPr>
          <w:color w:val="231F20"/>
          <w:w w:val="120"/>
        </w:rPr>
        <w:t>livre</w:t>
      </w:r>
      <w:r>
        <w:rPr>
          <w:color w:val="231F20"/>
          <w:spacing w:val="-4"/>
          <w:w w:val="120"/>
        </w:rPr>
        <w:t> </w:t>
      </w:r>
      <w:r>
        <w:rPr>
          <w:color w:val="231F20"/>
          <w:w w:val="120"/>
        </w:rPr>
        <w:t>cherchera</w:t>
      </w:r>
      <w:r>
        <w:rPr>
          <w:color w:val="231F20"/>
          <w:spacing w:val="-4"/>
          <w:w w:val="120"/>
        </w:rPr>
        <w:t> </w:t>
      </w:r>
      <w:r>
        <w:rPr>
          <w:color w:val="231F20"/>
          <w:w w:val="120"/>
        </w:rPr>
        <w:t>à</w:t>
      </w:r>
      <w:r>
        <w:rPr>
          <w:color w:val="231F20"/>
          <w:spacing w:val="-4"/>
          <w:w w:val="120"/>
        </w:rPr>
        <w:t> </w:t>
      </w:r>
      <w:r>
        <w:rPr>
          <w:color w:val="231F20"/>
          <w:w w:val="120"/>
        </w:rPr>
        <w:t>préciser</w:t>
      </w:r>
      <w:r>
        <w:rPr>
          <w:color w:val="231F20"/>
          <w:spacing w:val="-4"/>
          <w:w w:val="120"/>
        </w:rPr>
        <w:t> </w:t>
      </w:r>
      <w:r>
        <w:rPr>
          <w:color w:val="231F20"/>
          <w:w w:val="120"/>
        </w:rPr>
        <w:t>et</w:t>
      </w:r>
      <w:r>
        <w:rPr>
          <w:color w:val="231F20"/>
          <w:spacing w:val="-4"/>
          <w:w w:val="120"/>
        </w:rPr>
        <w:t> </w:t>
      </w:r>
      <w:r>
        <w:rPr>
          <w:color w:val="231F20"/>
          <w:w w:val="120"/>
        </w:rPr>
        <w:t>à</w:t>
      </w:r>
      <w:r>
        <w:rPr>
          <w:color w:val="231F20"/>
          <w:spacing w:val="-4"/>
          <w:w w:val="120"/>
        </w:rPr>
        <w:t> </w:t>
      </w:r>
      <w:r>
        <w:rPr>
          <w:color w:val="231F20"/>
          <w:w w:val="120"/>
        </w:rPr>
        <w:t>décrire.</w:t>
      </w:r>
      <w:r>
        <w:rPr>
          <w:color w:val="231F20"/>
          <w:spacing w:val="-4"/>
          <w:w w:val="120"/>
        </w:rPr>
        <w:t> </w:t>
      </w:r>
      <w:r>
        <w:rPr>
          <w:color w:val="231F20"/>
          <w:w w:val="120"/>
        </w:rPr>
        <w:t>En</w:t>
      </w:r>
      <w:r>
        <w:rPr>
          <w:color w:val="231F20"/>
          <w:spacing w:val="-4"/>
          <w:w w:val="120"/>
        </w:rPr>
        <w:t> </w:t>
      </w:r>
      <w:r>
        <w:rPr>
          <w:color w:val="231F20"/>
          <w:w w:val="120"/>
        </w:rPr>
        <w:t>ce</w:t>
      </w:r>
      <w:r>
        <w:rPr>
          <w:color w:val="231F20"/>
          <w:spacing w:val="-4"/>
          <w:w w:val="120"/>
        </w:rPr>
        <w:t> </w:t>
      </w:r>
      <w:r>
        <w:rPr>
          <w:color w:val="231F20"/>
          <w:w w:val="120"/>
        </w:rPr>
        <w:t>sens,</w:t>
      </w:r>
      <w:r>
        <w:rPr>
          <w:color w:val="231F20"/>
          <w:spacing w:val="-4"/>
          <w:w w:val="120"/>
        </w:rPr>
        <w:t> </w:t>
      </w:r>
      <w:r>
        <w:rPr>
          <w:color w:val="231F20"/>
          <w:w w:val="120"/>
        </w:rPr>
        <w:t>les</w:t>
      </w:r>
      <w:r>
        <w:rPr>
          <w:color w:val="231F20"/>
          <w:spacing w:val="-4"/>
          <w:w w:val="120"/>
        </w:rPr>
        <w:t> </w:t>
      </w:r>
      <w:r>
        <w:rPr>
          <w:color w:val="231F20"/>
          <w:w w:val="120"/>
        </w:rPr>
        <w:t>enjeux </w:t>
      </w:r>
      <w:r>
        <w:rPr>
          <w:color w:val="231F20"/>
          <w:spacing w:val="-4"/>
          <w:w w:val="120"/>
        </w:rPr>
        <w:t>structurant la raison d’être de cet ouvrage sont les conséquences liées aux </w:t>
      </w:r>
      <w:r>
        <w:rPr>
          <w:color w:val="231F20"/>
          <w:w w:val="120"/>
        </w:rPr>
        <w:t>efforts</w:t>
      </w:r>
      <w:r>
        <w:rPr>
          <w:color w:val="231F20"/>
          <w:spacing w:val="-12"/>
          <w:w w:val="120"/>
        </w:rPr>
        <w:t> </w:t>
      </w:r>
      <w:r>
        <w:rPr>
          <w:color w:val="231F20"/>
          <w:w w:val="120"/>
        </w:rPr>
        <w:t>répétés</w:t>
      </w:r>
      <w:r>
        <w:rPr>
          <w:color w:val="231F20"/>
          <w:spacing w:val="-12"/>
          <w:w w:val="120"/>
        </w:rPr>
        <w:t> </w:t>
      </w:r>
      <w:r>
        <w:rPr>
          <w:color w:val="231F20"/>
          <w:w w:val="120"/>
        </w:rPr>
        <w:t>pour</w:t>
      </w:r>
      <w:r>
        <w:rPr>
          <w:color w:val="231F20"/>
          <w:spacing w:val="-12"/>
          <w:w w:val="120"/>
        </w:rPr>
        <w:t> </w:t>
      </w:r>
      <w:r>
        <w:rPr>
          <w:color w:val="231F20"/>
          <w:w w:val="120"/>
        </w:rPr>
        <w:t>obtenir</w:t>
      </w:r>
      <w:r>
        <w:rPr>
          <w:color w:val="231F20"/>
          <w:spacing w:val="-12"/>
          <w:w w:val="120"/>
        </w:rPr>
        <w:t> </w:t>
      </w:r>
      <w:r>
        <w:rPr>
          <w:color w:val="231F20"/>
          <w:w w:val="120"/>
        </w:rPr>
        <w:t>une</w:t>
      </w:r>
      <w:r>
        <w:rPr>
          <w:color w:val="231F20"/>
          <w:spacing w:val="-12"/>
          <w:w w:val="120"/>
        </w:rPr>
        <w:t> </w:t>
      </w:r>
      <w:r>
        <w:rPr>
          <w:color w:val="231F20"/>
          <w:w w:val="120"/>
        </w:rPr>
        <w:t>capacité</w:t>
      </w:r>
      <w:r>
        <w:rPr>
          <w:color w:val="231F20"/>
          <w:spacing w:val="-12"/>
          <w:w w:val="120"/>
        </w:rPr>
        <w:t> </w:t>
      </w:r>
      <w:r>
        <w:rPr>
          <w:color w:val="231F20"/>
          <w:w w:val="120"/>
        </w:rPr>
        <w:t>concurrentielle</w:t>
      </w:r>
      <w:r>
        <w:rPr>
          <w:color w:val="231F20"/>
          <w:spacing w:val="-12"/>
          <w:w w:val="120"/>
        </w:rPr>
        <w:t> </w:t>
      </w:r>
      <w:r>
        <w:rPr>
          <w:color w:val="231F20"/>
          <w:w w:val="120"/>
        </w:rPr>
        <w:t>optimale</w:t>
      </w:r>
      <w:r>
        <w:rPr>
          <w:color w:val="231F20"/>
          <w:spacing w:val="-12"/>
          <w:w w:val="120"/>
        </w:rPr>
        <w:t> </w:t>
      </w:r>
      <w:r>
        <w:rPr>
          <w:color w:val="231F20"/>
          <w:w w:val="120"/>
        </w:rPr>
        <w:t>ayant </w:t>
      </w:r>
      <w:r>
        <w:rPr>
          <w:color w:val="231F20"/>
          <w:w w:val="115"/>
        </w:rPr>
        <w:t>été</w:t>
      </w:r>
      <w:r>
        <w:rPr>
          <w:color w:val="231F20"/>
          <w:spacing w:val="-2"/>
          <w:w w:val="115"/>
        </w:rPr>
        <w:t> </w:t>
      </w:r>
      <w:r>
        <w:rPr>
          <w:color w:val="231F20"/>
          <w:w w:val="115"/>
        </w:rPr>
        <w:t>déployés</w:t>
      </w:r>
      <w:r>
        <w:rPr>
          <w:color w:val="231F20"/>
          <w:spacing w:val="-2"/>
          <w:w w:val="115"/>
        </w:rPr>
        <w:t> </w:t>
      </w:r>
      <w:r>
        <w:rPr>
          <w:color w:val="231F20"/>
          <w:w w:val="115"/>
        </w:rPr>
        <w:t>avec</w:t>
      </w:r>
      <w:r>
        <w:rPr>
          <w:color w:val="231F20"/>
          <w:spacing w:val="-2"/>
          <w:w w:val="115"/>
        </w:rPr>
        <w:t> </w:t>
      </w:r>
      <w:r>
        <w:rPr>
          <w:color w:val="231F20"/>
          <w:w w:val="115"/>
        </w:rPr>
        <w:t>plus</w:t>
      </w:r>
      <w:r>
        <w:rPr>
          <w:color w:val="231F20"/>
          <w:spacing w:val="-2"/>
          <w:w w:val="115"/>
        </w:rPr>
        <w:t> </w:t>
      </w:r>
      <w:r>
        <w:rPr>
          <w:color w:val="231F20"/>
          <w:w w:val="115"/>
        </w:rPr>
        <w:t>d’acuité</w:t>
      </w:r>
      <w:r>
        <w:rPr>
          <w:color w:val="231F20"/>
          <w:spacing w:val="-2"/>
          <w:w w:val="115"/>
        </w:rPr>
        <w:t> </w:t>
      </w:r>
      <w:r>
        <w:rPr>
          <w:color w:val="231F20"/>
          <w:w w:val="115"/>
        </w:rPr>
        <w:t>depuis</w:t>
      </w:r>
      <w:r>
        <w:rPr>
          <w:color w:val="231F20"/>
          <w:spacing w:val="-2"/>
          <w:w w:val="115"/>
        </w:rPr>
        <w:t> </w:t>
      </w:r>
      <w:r>
        <w:rPr>
          <w:color w:val="231F20"/>
          <w:w w:val="115"/>
        </w:rPr>
        <w:t>le</w:t>
      </w:r>
      <w:r>
        <w:rPr>
          <w:color w:val="231F20"/>
          <w:spacing w:val="-2"/>
          <w:w w:val="115"/>
        </w:rPr>
        <w:t> </w:t>
      </w:r>
      <w:r>
        <w:rPr>
          <w:color w:val="231F20"/>
          <w:w w:val="115"/>
        </w:rPr>
        <w:t>début</w:t>
      </w:r>
      <w:r>
        <w:rPr>
          <w:color w:val="231F20"/>
          <w:spacing w:val="-2"/>
          <w:w w:val="115"/>
        </w:rPr>
        <w:t> </w:t>
      </w:r>
      <w:r>
        <w:rPr>
          <w:color w:val="231F20"/>
          <w:w w:val="115"/>
        </w:rPr>
        <w:t>du</w:t>
      </w:r>
      <w:r>
        <w:rPr>
          <w:color w:val="231F20"/>
          <w:spacing w:val="-2"/>
          <w:w w:val="115"/>
        </w:rPr>
        <w:t> </w:t>
      </w:r>
      <w:r>
        <w:rPr>
          <w:color w:val="231F20"/>
          <w:w w:val="115"/>
        </w:rPr>
        <w:t>XXI</w:t>
      </w:r>
      <w:r>
        <w:rPr>
          <w:color w:val="231F20"/>
          <w:w w:val="115"/>
          <w:position w:val="6"/>
          <w:sz w:val="10"/>
        </w:rPr>
        <w:t>e</w:t>
      </w:r>
      <w:r>
        <w:rPr>
          <w:color w:val="231F20"/>
          <w:spacing w:val="17"/>
          <w:w w:val="115"/>
          <w:position w:val="6"/>
          <w:sz w:val="10"/>
        </w:rPr>
        <w:t> </w:t>
      </w:r>
      <w:r>
        <w:rPr>
          <w:color w:val="231F20"/>
          <w:w w:val="115"/>
        </w:rPr>
        <w:t>siècle.</w:t>
      </w:r>
      <w:r>
        <w:rPr>
          <w:color w:val="231F20"/>
          <w:spacing w:val="-2"/>
          <w:w w:val="115"/>
        </w:rPr>
        <w:t> </w:t>
      </w:r>
      <w:r>
        <w:rPr>
          <w:color w:val="231F20"/>
          <w:w w:val="115"/>
        </w:rPr>
        <w:t>Bien</w:t>
      </w:r>
      <w:r>
        <w:rPr>
          <w:color w:val="231F20"/>
          <w:spacing w:val="-2"/>
          <w:w w:val="115"/>
        </w:rPr>
        <w:t> </w:t>
      </w:r>
      <w:r>
        <w:rPr>
          <w:color w:val="231F20"/>
          <w:w w:val="115"/>
        </w:rPr>
        <w:t>qu’il </w:t>
      </w:r>
      <w:r>
        <w:rPr>
          <w:color w:val="231F20"/>
          <w:w w:val="120"/>
        </w:rPr>
        <w:t>fût</w:t>
      </w:r>
      <w:r>
        <w:rPr>
          <w:color w:val="231F20"/>
          <w:spacing w:val="-2"/>
          <w:w w:val="120"/>
        </w:rPr>
        <w:t> </w:t>
      </w:r>
      <w:r>
        <w:rPr>
          <w:color w:val="231F20"/>
          <w:w w:val="120"/>
        </w:rPr>
        <w:t>présent</w:t>
      </w:r>
      <w:r>
        <w:rPr>
          <w:color w:val="231F20"/>
          <w:spacing w:val="-2"/>
          <w:w w:val="120"/>
        </w:rPr>
        <w:t> </w:t>
      </w:r>
      <w:r>
        <w:rPr>
          <w:color w:val="231F20"/>
          <w:w w:val="120"/>
        </w:rPr>
        <w:t>différemment</w:t>
      </w:r>
      <w:r>
        <w:rPr>
          <w:color w:val="231F20"/>
          <w:spacing w:val="-2"/>
          <w:w w:val="120"/>
        </w:rPr>
        <w:t> </w:t>
      </w:r>
      <w:r>
        <w:rPr>
          <w:color w:val="231F20"/>
          <w:w w:val="120"/>
        </w:rPr>
        <w:t>à</w:t>
      </w:r>
      <w:r>
        <w:rPr>
          <w:color w:val="231F20"/>
          <w:spacing w:val="-2"/>
          <w:w w:val="120"/>
        </w:rPr>
        <w:t> </w:t>
      </w:r>
      <w:r>
        <w:rPr>
          <w:color w:val="231F20"/>
          <w:w w:val="120"/>
        </w:rPr>
        <w:t>toutes</w:t>
      </w:r>
      <w:r>
        <w:rPr>
          <w:color w:val="231F20"/>
          <w:spacing w:val="-2"/>
          <w:w w:val="120"/>
        </w:rPr>
        <w:t> </w:t>
      </w:r>
      <w:r>
        <w:rPr>
          <w:color w:val="231F20"/>
          <w:w w:val="120"/>
        </w:rPr>
        <w:t>les</w:t>
      </w:r>
      <w:r>
        <w:rPr>
          <w:color w:val="231F20"/>
          <w:spacing w:val="-2"/>
          <w:w w:val="120"/>
        </w:rPr>
        <w:t> </w:t>
      </w:r>
      <w:r>
        <w:rPr>
          <w:color w:val="231F20"/>
          <w:w w:val="120"/>
        </w:rPr>
        <w:t>époques,</w:t>
      </w:r>
      <w:r>
        <w:rPr>
          <w:color w:val="231F20"/>
          <w:spacing w:val="-2"/>
          <w:w w:val="120"/>
        </w:rPr>
        <w:t> </w:t>
      </w:r>
      <w:r>
        <w:rPr>
          <w:color w:val="231F20"/>
          <w:w w:val="120"/>
        </w:rPr>
        <w:t>le</w:t>
      </w:r>
      <w:r>
        <w:rPr>
          <w:color w:val="231F20"/>
          <w:spacing w:val="-2"/>
          <w:w w:val="120"/>
        </w:rPr>
        <w:t> </w:t>
      </w:r>
      <w:r>
        <w:rPr>
          <w:color w:val="231F20"/>
          <w:w w:val="120"/>
        </w:rPr>
        <w:t>productivisme</w:t>
      </w:r>
      <w:r>
        <w:rPr>
          <w:color w:val="231F20"/>
          <w:spacing w:val="-2"/>
          <w:w w:val="120"/>
        </w:rPr>
        <w:t> </w:t>
      </w:r>
      <w:r>
        <w:rPr>
          <w:color w:val="231F20"/>
          <w:w w:val="120"/>
        </w:rPr>
        <w:t>atteint depuis</w:t>
      </w:r>
      <w:r>
        <w:rPr>
          <w:color w:val="231F20"/>
          <w:spacing w:val="-13"/>
          <w:w w:val="120"/>
        </w:rPr>
        <w:t> </w:t>
      </w:r>
      <w:r>
        <w:rPr>
          <w:color w:val="231F20"/>
          <w:w w:val="120"/>
        </w:rPr>
        <w:t>peu,</w:t>
      </w:r>
      <w:r>
        <w:rPr>
          <w:color w:val="231F20"/>
          <w:spacing w:val="-13"/>
          <w:w w:val="120"/>
        </w:rPr>
        <w:t> </w:t>
      </w:r>
      <w:r>
        <w:rPr>
          <w:color w:val="231F20"/>
          <w:w w:val="120"/>
        </w:rPr>
        <w:t>dans</w:t>
      </w:r>
      <w:r>
        <w:rPr>
          <w:color w:val="231F20"/>
          <w:spacing w:val="-13"/>
          <w:w w:val="120"/>
        </w:rPr>
        <w:t> </w:t>
      </w:r>
      <w:r>
        <w:rPr>
          <w:color w:val="231F20"/>
          <w:w w:val="120"/>
        </w:rPr>
        <w:t>une</w:t>
      </w:r>
      <w:r>
        <w:rPr>
          <w:color w:val="231F20"/>
          <w:spacing w:val="-12"/>
          <w:w w:val="120"/>
        </w:rPr>
        <w:t> </w:t>
      </w:r>
      <w:r>
        <w:rPr>
          <w:color w:val="231F20"/>
          <w:w w:val="120"/>
        </w:rPr>
        <w:t>perspective</w:t>
      </w:r>
      <w:r>
        <w:rPr>
          <w:color w:val="231F20"/>
          <w:spacing w:val="-13"/>
          <w:w w:val="120"/>
        </w:rPr>
        <w:t> </w:t>
      </w:r>
      <w:r>
        <w:rPr>
          <w:color w:val="231F20"/>
          <w:w w:val="120"/>
        </w:rPr>
        <w:t>tant</w:t>
      </w:r>
      <w:r>
        <w:rPr>
          <w:color w:val="231F20"/>
          <w:spacing w:val="-13"/>
          <w:w w:val="120"/>
        </w:rPr>
        <w:t> </w:t>
      </w:r>
      <w:r>
        <w:rPr>
          <w:color w:val="231F20"/>
          <w:w w:val="120"/>
        </w:rPr>
        <w:t>organisationnelle</w:t>
      </w:r>
      <w:r>
        <w:rPr>
          <w:color w:val="231F20"/>
          <w:spacing w:val="-13"/>
          <w:w w:val="120"/>
        </w:rPr>
        <w:t> </w:t>
      </w:r>
      <w:r>
        <w:rPr>
          <w:color w:val="231F20"/>
          <w:w w:val="120"/>
        </w:rPr>
        <w:t>que</w:t>
      </w:r>
      <w:r>
        <w:rPr>
          <w:color w:val="231F20"/>
          <w:spacing w:val="-12"/>
          <w:w w:val="120"/>
        </w:rPr>
        <w:t> </w:t>
      </w:r>
      <w:r>
        <w:rPr>
          <w:color w:val="231F20"/>
          <w:w w:val="120"/>
        </w:rPr>
        <w:t>sociale,</w:t>
      </w:r>
      <w:r>
        <w:rPr>
          <w:color w:val="231F20"/>
          <w:spacing w:val="-13"/>
          <w:w w:val="120"/>
        </w:rPr>
        <w:t> </w:t>
      </w:r>
      <w:r>
        <w:rPr>
          <w:color w:val="231F20"/>
          <w:w w:val="120"/>
        </w:rPr>
        <w:t>des sommets</w:t>
      </w:r>
      <w:r>
        <w:rPr>
          <w:color w:val="231F20"/>
          <w:spacing w:val="15"/>
          <w:w w:val="120"/>
        </w:rPr>
        <w:t> </w:t>
      </w:r>
      <w:r>
        <w:rPr>
          <w:color w:val="231F20"/>
          <w:w w:val="120"/>
        </w:rPr>
        <w:t>jusqu’à</w:t>
      </w:r>
      <w:r>
        <w:rPr>
          <w:color w:val="231F20"/>
          <w:spacing w:val="16"/>
          <w:w w:val="120"/>
        </w:rPr>
        <w:t> </w:t>
      </w:r>
      <w:r>
        <w:rPr>
          <w:color w:val="231F20"/>
          <w:w w:val="120"/>
        </w:rPr>
        <w:t>maintenant</w:t>
      </w:r>
      <w:r>
        <w:rPr>
          <w:color w:val="231F20"/>
          <w:spacing w:val="16"/>
          <w:w w:val="120"/>
        </w:rPr>
        <w:t> </w:t>
      </w:r>
      <w:r>
        <w:rPr>
          <w:color w:val="231F20"/>
          <w:w w:val="120"/>
        </w:rPr>
        <w:t>inégalés.</w:t>
      </w:r>
      <w:r>
        <w:rPr>
          <w:color w:val="231F20"/>
          <w:spacing w:val="16"/>
          <w:w w:val="120"/>
        </w:rPr>
        <w:t> </w:t>
      </w:r>
      <w:r>
        <w:rPr>
          <w:color w:val="231F20"/>
          <w:w w:val="120"/>
        </w:rPr>
        <w:t>Ces</w:t>
      </w:r>
      <w:r>
        <w:rPr>
          <w:color w:val="231F20"/>
          <w:spacing w:val="16"/>
          <w:w w:val="120"/>
        </w:rPr>
        <w:t> </w:t>
      </w:r>
      <w:r>
        <w:rPr>
          <w:color w:val="231F20"/>
          <w:w w:val="120"/>
        </w:rPr>
        <w:t>pressions</w:t>
      </w:r>
      <w:r>
        <w:rPr>
          <w:color w:val="231F20"/>
          <w:spacing w:val="16"/>
          <w:w w:val="120"/>
        </w:rPr>
        <w:t> </w:t>
      </w:r>
      <w:r>
        <w:rPr>
          <w:color w:val="231F20"/>
          <w:w w:val="120"/>
        </w:rPr>
        <w:t>s’exercent</w:t>
      </w:r>
      <w:r>
        <w:rPr>
          <w:color w:val="231F20"/>
          <w:spacing w:val="16"/>
          <w:w w:val="120"/>
        </w:rPr>
        <w:t> </w:t>
      </w:r>
      <w:r>
        <w:rPr>
          <w:color w:val="231F20"/>
          <w:spacing w:val="-4"/>
          <w:w w:val="120"/>
        </w:rPr>
        <w:t>sous</w:t>
      </w:r>
    </w:p>
    <w:p>
      <w:pPr>
        <w:spacing w:after="0" w:line="307" w:lineRule="auto"/>
        <w:jc w:val="both"/>
        <w:sectPr>
          <w:footerReference w:type="default" r:id="rId24"/>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2"/>
        <w:jc w:val="both"/>
      </w:pPr>
      <w:r>
        <w:rPr>
          <w:color w:val="231F20"/>
          <w:spacing w:val="-2"/>
          <w:w w:val="120"/>
        </w:rPr>
        <w:t>des</w:t>
      </w:r>
      <w:r>
        <w:rPr>
          <w:color w:val="231F20"/>
          <w:spacing w:val="-4"/>
          <w:w w:val="120"/>
        </w:rPr>
        <w:t> </w:t>
      </w:r>
      <w:r>
        <w:rPr>
          <w:color w:val="231F20"/>
          <w:spacing w:val="-2"/>
          <w:w w:val="120"/>
        </w:rPr>
        <w:t>formes</w:t>
      </w:r>
      <w:r>
        <w:rPr>
          <w:color w:val="231F20"/>
          <w:spacing w:val="-4"/>
          <w:w w:val="120"/>
        </w:rPr>
        <w:t> </w:t>
      </w:r>
      <w:r>
        <w:rPr>
          <w:color w:val="231F20"/>
          <w:spacing w:val="-2"/>
          <w:w w:val="120"/>
        </w:rPr>
        <w:t>variées,</w:t>
      </w:r>
      <w:r>
        <w:rPr>
          <w:color w:val="231F20"/>
          <w:spacing w:val="-4"/>
          <w:w w:val="120"/>
        </w:rPr>
        <w:t> </w:t>
      </w:r>
      <w:r>
        <w:rPr>
          <w:color w:val="231F20"/>
          <w:spacing w:val="-2"/>
          <w:w w:val="120"/>
        </w:rPr>
        <w:t>en</w:t>
      </w:r>
      <w:r>
        <w:rPr>
          <w:color w:val="231F20"/>
          <w:spacing w:val="-4"/>
          <w:w w:val="120"/>
        </w:rPr>
        <w:t> </w:t>
      </w:r>
      <w:r>
        <w:rPr>
          <w:color w:val="231F20"/>
          <w:spacing w:val="-2"/>
          <w:w w:val="120"/>
        </w:rPr>
        <w:t>fonction</w:t>
      </w:r>
      <w:r>
        <w:rPr>
          <w:color w:val="231F20"/>
          <w:spacing w:val="-4"/>
          <w:w w:val="120"/>
        </w:rPr>
        <w:t> </w:t>
      </w:r>
      <w:r>
        <w:rPr>
          <w:color w:val="231F20"/>
          <w:spacing w:val="-2"/>
          <w:w w:val="120"/>
        </w:rPr>
        <w:t>de</w:t>
      </w:r>
      <w:r>
        <w:rPr>
          <w:color w:val="231F20"/>
          <w:spacing w:val="-4"/>
          <w:w w:val="120"/>
        </w:rPr>
        <w:t> </w:t>
      </w:r>
      <w:r>
        <w:rPr>
          <w:color w:val="231F20"/>
          <w:spacing w:val="-2"/>
          <w:w w:val="120"/>
        </w:rPr>
        <w:t>la</w:t>
      </w:r>
      <w:r>
        <w:rPr>
          <w:color w:val="231F20"/>
          <w:spacing w:val="-4"/>
          <w:w w:val="120"/>
        </w:rPr>
        <w:t> </w:t>
      </w:r>
      <w:r>
        <w:rPr>
          <w:color w:val="231F20"/>
          <w:spacing w:val="-2"/>
          <w:w w:val="120"/>
        </w:rPr>
        <w:t>conjoncture</w:t>
      </w:r>
      <w:r>
        <w:rPr>
          <w:color w:val="231F20"/>
          <w:spacing w:val="-4"/>
          <w:w w:val="120"/>
        </w:rPr>
        <w:t> </w:t>
      </w:r>
      <w:r>
        <w:rPr>
          <w:color w:val="231F20"/>
          <w:spacing w:val="-2"/>
          <w:w w:val="120"/>
        </w:rPr>
        <w:t>économique,</w:t>
      </w:r>
      <w:r>
        <w:rPr>
          <w:color w:val="231F20"/>
          <w:spacing w:val="-4"/>
          <w:w w:val="120"/>
        </w:rPr>
        <w:t> </w:t>
      </w:r>
      <w:r>
        <w:rPr>
          <w:color w:val="231F20"/>
          <w:spacing w:val="-2"/>
          <w:w w:val="120"/>
        </w:rPr>
        <w:t>politique </w:t>
      </w:r>
      <w:r>
        <w:rPr>
          <w:color w:val="231F20"/>
          <w:w w:val="115"/>
        </w:rPr>
        <w:t>ou</w:t>
      </w:r>
      <w:r>
        <w:rPr>
          <w:color w:val="231F20"/>
          <w:spacing w:val="-8"/>
          <w:w w:val="115"/>
        </w:rPr>
        <w:t> </w:t>
      </w:r>
      <w:r>
        <w:rPr>
          <w:color w:val="231F20"/>
          <w:w w:val="115"/>
        </w:rPr>
        <w:t>sociale</w:t>
      </w:r>
      <w:r>
        <w:rPr>
          <w:color w:val="231F20"/>
          <w:spacing w:val="-8"/>
          <w:w w:val="115"/>
        </w:rPr>
        <w:t> </w:t>
      </w:r>
      <w:r>
        <w:rPr>
          <w:color w:val="231F20"/>
          <w:w w:val="115"/>
        </w:rPr>
        <w:t>de</w:t>
      </w:r>
      <w:r>
        <w:rPr>
          <w:color w:val="231F20"/>
          <w:spacing w:val="-8"/>
          <w:w w:val="115"/>
        </w:rPr>
        <w:t> </w:t>
      </w:r>
      <w:r>
        <w:rPr>
          <w:color w:val="231F20"/>
          <w:w w:val="115"/>
        </w:rPr>
        <w:t>chaque</w:t>
      </w:r>
      <w:r>
        <w:rPr>
          <w:color w:val="231F20"/>
          <w:spacing w:val="-8"/>
          <w:w w:val="115"/>
        </w:rPr>
        <w:t> </w:t>
      </w:r>
      <w:r>
        <w:rPr>
          <w:color w:val="231F20"/>
          <w:w w:val="115"/>
        </w:rPr>
        <w:t>réalité</w:t>
      </w:r>
      <w:r>
        <w:rPr>
          <w:color w:val="231F20"/>
          <w:spacing w:val="-8"/>
          <w:w w:val="115"/>
        </w:rPr>
        <w:t> </w:t>
      </w:r>
      <w:r>
        <w:rPr>
          <w:color w:val="231F20"/>
          <w:w w:val="115"/>
        </w:rPr>
        <w:t>organisationnelle.</w:t>
      </w:r>
      <w:r>
        <w:rPr>
          <w:color w:val="231F20"/>
          <w:spacing w:val="-8"/>
          <w:w w:val="115"/>
        </w:rPr>
        <w:t> </w:t>
      </w:r>
      <w:r>
        <w:rPr>
          <w:color w:val="231F20"/>
          <w:w w:val="115"/>
        </w:rPr>
        <w:t>Tous</w:t>
      </w:r>
      <w:r>
        <w:rPr>
          <w:color w:val="231F20"/>
          <w:spacing w:val="-8"/>
          <w:w w:val="115"/>
        </w:rPr>
        <w:t> </w:t>
      </w:r>
      <w:r>
        <w:rPr>
          <w:color w:val="231F20"/>
          <w:w w:val="115"/>
        </w:rPr>
        <w:t>les</w:t>
      </w:r>
      <w:r>
        <w:rPr>
          <w:color w:val="231F20"/>
          <w:spacing w:val="-8"/>
          <w:w w:val="115"/>
        </w:rPr>
        <w:t> </w:t>
      </w:r>
      <w:r>
        <w:rPr>
          <w:color w:val="231F20"/>
          <w:w w:val="115"/>
        </w:rPr>
        <w:t>travailleurs</w:t>
      </w:r>
      <w:r>
        <w:rPr>
          <w:color w:val="231F20"/>
          <w:spacing w:val="-8"/>
          <w:w w:val="115"/>
        </w:rPr>
        <w:t> </w:t>
      </w:r>
      <w:r>
        <w:rPr>
          <w:color w:val="231F20"/>
          <w:w w:val="115"/>
        </w:rPr>
        <w:t>savent </w:t>
      </w:r>
      <w:r>
        <w:rPr>
          <w:color w:val="231F20"/>
          <w:w w:val="120"/>
        </w:rPr>
        <w:t>que</w:t>
      </w:r>
      <w:r>
        <w:rPr>
          <w:color w:val="231F20"/>
          <w:spacing w:val="-9"/>
          <w:w w:val="120"/>
        </w:rPr>
        <w:t> </w:t>
      </w:r>
      <w:r>
        <w:rPr>
          <w:color w:val="231F20"/>
          <w:w w:val="120"/>
        </w:rPr>
        <w:t>les</w:t>
      </w:r>
      <w:r>
        <w:rPr>
          <w:color w:val="231F20"/>
          <w:spacing w:val="-9"/>
          <w:w w:val="120"/>
        </w:rPr>
        <w:t> </w:t>
      </w:r>
      <w:r>
        <w:rPr>
          <w:color w:val="231F20"/>
          <w:w w:val="120"/>
        </w:rPr>
        <w:t>exigences</w:t>
      </w:r>
      <w:r>
        <w:rPr>
          <w:color w:val="231F20"/>
          <w:spacing w:val="-9"/>
          <w:w w:val="120"/>
        </w:rPr>
        <w:t> </w:t>
      </w:r>
      <w:r>
        <w:rPr>
          <w:color w:val="231F20"/>
          <w:w w:val="120"/>
        </w:rPr>
        <w:t>du</w:t>
      </w:r>
      <w:r>
        <w:rPr>
          <w:color w:val="231F20"/>
          <w:spacing w:val="-9"/>
          <w:w w:val="120"/>
        </w:rPr>
        <w:t> </w:t>
      </w:r>
      <w:r>
        <w:rPr>
          <w:color w:val="231F20"/>
          <w:w w:val="120"/>
        </w:rPr>
        <w:t>travail</w:t>
      </w:r>
      <w:r>
        <w:rPr>
          <w:color w:val="231F20"/>
          <w:spacing w:val="-9"/>
          <w:w w:val="120"/>
        </w:rPr>
        <w:t> </w:t>
      </w:r>
      <w:r>
        <w:rPr>
          <w:color w:val="231F20"/>
          <w:w w:val="120"/>
        </w:rPr>
        <w:t>et</w:t>
      </w:r>
      <w:r>
        <w:rPr>
          <w:color w:val="231F20"/>
          <w:spacing w:val="-9"/>
          <w:w w:val="120"/>
        </w:rPr>
        <w:t> </w:t>
      </w:r>
      <w:r>
        <w:rPr>
          <w:color w:val="231F20"/>
          <w:w w:val="120"/>
        </w:rPr>
        <w:t>de</w:t>
      </w:r>
      <w:r>
        <w:rPr>
          <w:color w:val="231F20"/>
          <w:spacing w:val="-9"/>
          <w:w w:val="120"/>
        </w:rPr>
        <w:t> </w:t>
      </w:r>
      <w:r>
        <w:rPr>
          <w:color w:val="231F20"/>
          <w:w w:val="120"/>
        </w:rPr>
        <w:t>l’organisation</w:t>
      </w:r>
      <w:r>
        <w:rPr>
          <w:color w:val="231F20"/>
          <w:spacing w:val="-9"/>
          <w:w w:val="120"/>
        </w:rPr>
        <w:t> </w:t>
      </w:r>
      <w:r>
        <w:rPr>
          <w:color w:val="231F20"/>
          <w:w w:val="120"/>
        </w:rPr>
        <w:t>sont</w:t>
      </w:r>
      <w:r>
        <w:rPr>
          <w:color w:val="231F20"/>
          <w:spacing w:val="-9"/>
          <w:w w:val="120"/>
        </w:rPr>
        <w:t> </w:t>
      </w:r>
      <w:r>
        <w:rPr>
          <w:color w:val="231F20"/>
          <w:w w:val="120"/>
        </w:rPr>
        <w:t>une</w:t>
      </w:r>
      <w:r>
        <w:rPr>
          <w:color w:val="231F20"/>
          <w:spacing w:val="-9"/>
          <w:w w:val="120"/>
        </w:rPr>
        <w:t> </w:t>
      </w:r>
      <w:r>
        <w:rPr>
          <w:color w:val="231F20"/>
          <w:w w:val="120"/>
        </w:rPr>
        <w:t>source</w:t>
      </w:r>
      <w:r>
        <w:rPr>
          <w:color w:val="231F20"/>
          <w:spacing w:val="-9"/>
          <w:w w:val="120"/>
        </w:rPr>
        <w:t> </w:t>
      </w:r>
      <w:r>
        <w:rPr>
          <w:color w:val="231F20"/>
          <w:w w:val="120"/>
        </w:rPr>
        <w:t>impor- </w:t>
      </w:r>
      <w:r>
        <w:rPr>
          <w:color w:val="231F20"/>
          <w:spacing w:val="-2"/>
          <w:w w:val="120"/>
        </w:rPr>
        <w:t>tante</w:t>
      </w:r>
      <w:r>
        <w:rPr>
          <w:color w:val="231F20"/>
          <w:spacing w:val="-8"/>
          <w:w w:val="120"/>
        </w:rPr>
        <w:t> </w:t>
      </w:r>
      <w:r>
        <w:rPr>
          <w:color w:val="231F20"/>
          <w:spacing w:val="-2"/>
          <w:w w:val="120"/>
        </w:rPr>
        <w:t>de</w:t>
      </w:r>
      <w:r>
        <w:rPr>
          <w:color w:val="231F20"/>
          <w:spacing w:val="-8"/>
          <w:w w:val="120"/>
        </w:rPr>
        <w:t> </w:t>
      </w:r>
      <w:r>
        <w:rPr>
          <w:color w:val="231F20"/>
          <w:spacing w:val="-2"/>
          <w:w w:val="120"/>
        </w:rPr>
        <w:t>stress</w:t>
      </w:r>
      <w:r>
        <w:rPr>
          <w:color w:val="231F20"/>
          <w:spacing w:val="-8"/>
          <w:w w:val="120"/>
        </w:rPr>
        <w:t> </w:t>
      </w:r>
      <w:r>
        <w:rPr>
          <w:color w:val="231F20"/>
          <w:spacing w:val="-2"/>
          <w:w w:val="120"/>
        </w:rPr>
        <w:t>au</w:t>
      </w:r>
      <w:r>
        <w:rPr>
          <w:color w:val="231F20"/>
          <w:spacing w:val="-8"/>
          <w:w w:val="120"/>
        </w:rPr>
        <w:t> </w:t>
      </w:r>
      <w:r>
        <w:rPr>
          <w:color w:val="231F20"/>
          <w:spacing w:val="-2"/>
          <w:w w:val="120"/>
        </w:rPr>
        <w:t>quotidien.</w:t>
      </w:r>
      <w:r>
        <w:rPr>
          <w:color w:val="231F20"/>
          <w:spacing w:val="-8"/>
          <w:w w:val="120"/>
        </w:rPr>
        <w:t> </w:t>
      </w:r>
      <w:r>
        <w:rPr>
          <w:color w:val="231F20"/>
          <w:spacing w:val="-2"/>
          <w:w w:val="120"/>
        </w:rPr>
        <w:t>De</w:t>
      </w:r>
      <w:r>
        <w:rPr>
          <w:color w:val="231F20"/>
          <w:spacing w:val="-8"/>
          <w:w w:val="120"/>
        </w:rPr>
        <w:t> </w:t>
      </w:r>
      <w:r>
        <w:rPr>
          <w:color w:val="231F20"/>
          <w:spacing w:val="-2"/>
          <w:w w:val="120"/>
        </w:rPr>
        <w:t>nos</w:t>
      </w:r>
      <w:r>
        <w:rPr>
          <w:color w:val="231F20"/>
          <w:spacing w:val="-8"/>
          <w:w w:val="120"/>
        </w:rPr>
        <w:t> </w:t>
      </w:r>
      <w:r>
        <w:rPr>
          <w:color w:val="231F20"/>
          <w:spacing w:val="-2"/>
          <w:w w:val="120"/>
        </w:rPr>
        <w:t>jours,</w:t>
      </w:r>
      <w:r>
        <w:rPr>
          <w:color w:val="231F20"/>
          <w:spacing w:val="-8"/>
          <w:w w:val="120"/>
        </w:rPr>
        <w:t> </w:t>
      </w:r>
      <w:r>
        <w:rPr>
          <w:color w:val="231F20"/>
          <w:spacing w:val="-2"/>
          <w:w w:val="120"/>
        </w:rPr>
        <w:t>la</w:t>
      </w:r>
      <w:r>
        <w:rPr>
          <w:color w:val="231F20"/>
          <w:spacing w:val="-8"/>
          <w:w w:val="120"/>
        </w:rPr>
        <w:t> </w:t>
      </w:r>
      <w:r>
        <w:rPr>
          <w:color w:val="231F20"/>
          <w:spacing w:val="-2"/>
          <w:w w:val="120"/>
        </w:rPr>
        <w:t>plupart</w:t>
      </w:r>
      <w:r>
        <w:rPr>
          <w:color w:val="231F20"/>
          <w:spacing w:val="-8"/>
          <w:w w:val="120"/>
        </w:rPr>
        <w:t> </w:t>
      </w:r>
      <w:r>
        <w:rPr>
          <w:color w:val="231F20"/>
          <w:spacing w:val="-2"/>
          <w:w w:val="120"/>
        </w:rPr>
        <w:t>des</w:t>
      </w:r>
      <w:r>
        <w:rPr>
          <w:color w:val="231F20"/>
          <w:spacing w:val="-8"/>
          <w:w w:val="120"/>
        </w:rPr>
        <w:t> </w:t>
      </w:r>
      <w:r>
        <w:rPr>
          <w:color w:val="231F20"/>
          <w:spacing w:val="-2"/>
          <w:w w:val="120"/>
        </w:rPr>
        <w:t>organisations</w:t>
      </w:r>
      <w:r>
        <w:rPr>
          <w:color w:val="231F20"/>
          <w:spacing w:val="-8"/>
          <w:w w:val="120"/>
        </w:rPr>
        <w:t> </w:t>
      </w:r>
      <w:r>
        <w:rPr>
          <w:color w:val="231F20"/>
          <w:spacing w:val="-2"/>
          <w:w w:val="120"/>
        </w:rPr>
        <w:t>du </w:t>
      </w:r>
      <w:r>
        <w:rPr>
          <w:color w:val="231F20"/>
          <w:w w:val="120"/>
        </w:rPr>
        <w:t>monde</w:t>
      </w:r>
      <w:r>
        <w:rPr>
          <w:color w:val="231F20"/>
          <w:spacing w:val="-13"/>
          <w:w w:val="120"/>
        </w:rPr>
        <w:t> </w:t>
      </w:r>
      <w:r>
        <w:rPr>
          <w:color w:val="231F20"/>
          <w:w w:val="120"/>
        </w:rPr>
        <w:t>emploient</w:t>
      </w:r>
      <w:r>
        <w:rPr>
          <w:color w:val="231F20"/>
          <w:spacing w:val="-13"/>
          <w:w w:val="120"/>
        </w:rPr>
        <w:t> </w:t>
      </w:r>
      <w:r>
        <w:rPr>
          <w:color w:val="231F20"/>
          <w:w w:val="120"/>
        </w:rPr>
        <w:t>la</w:t>
      </w:r>
      <w:r>
        <w:rPr>
          <w:color w:val="231F20"/>
          <w:spacing w:val="-13"/>
          <w:w w:val="120"/>
        </w:rPr>
        <w:t> </w:t>
      </w:r>
      <w:r>
        <w:rPr>
          <w:color w:val="231F20"/>
          <w:w w:val="120"/>
        </w:rPr>
        <w:t>même</w:t>
      </w:r>
      <w:r>
        <w:rPr>
          <w:color w:val="231F20"/>
          <w:spacing w:val="-12"/>
          <w:w w:val="120"/>
        </w:rPr>
        <w:t> </w:t>
      </w:r>
      <w:r>
        <w:rPr>
          <w:color w:val="231F20"/>
          <w:w w:val="120"/>
        </w:rPr>
        <w:t>expression</w:t>
      </w:r>
      <w:r>
        <w:rPr>
          <w:color w:val="231F20"/>
          <w:spacing w:val="-13"/>
          <w:w w:val="120"/>
        </w:rPr>
        <w:t> </w:t>
      </w:r>
      <w:r>
        <w:rPr>
          <w:color w:val="231F20"/>
          <w:w w:val="120"/>
        </w:rPr>
        <w:t>consacrée:</w:t>
      </w:r>
      <w:r>
        <w:rPr>
          <w:color w:val="231F20"/>
          <w:spacing w:val="-13"/>
          <w:w w:val="120"/>
        </w:rPr>
        <w:t> </w:t>
      </w:r>
      <w:r>
        <w:rPr>
          <w:color w:val="231F20"/>
          <w:w w:val="120"/>
        </w:rPr>
        <w:t>«</w:t>
      </w:r>
      <w:r>
        <w:rPr>
          <w:color w:val="231F20"/>
          <w:spacing w:val="-13"/>
          <w:w w:val="120"/>
        </w:rPr>
        <w:t> </w:t>
      </w:r>
      <w:r>
        <w:rPr>
          <w:color w:val="231F20"/>
          <w:w w:val="120"/>
        </w:rPr>
        <w:t>On</w:t>
      </w:r>
      <w:r>
        <w:rPr>
          <w:color w:val="231F20"/>
          <w:spacing w:val="-12"/>
          <w:w w:val="120"/>
        </w:rPr>
        <w:t> </w:t>
      </w:r>
      <w:r>
        <w:rPr>
          <w:color w:val="231F20"/>
          <w:w w:val="120"/>
        </w:rPr>
        <w:t>en</w:t>
      </w:r>
      <w:r>
        <w:rPr>
          <w:color w:val="231F20"/>
          <w:spacing w:val="-13"/>
          <w:w w:val="120"/>
        </w:rPr>
        <w:t> </w:t>
      </w:r>
      <w:r>
        <w:rPr>
          <w:color w:val="231F20"/>
          <w:w w:val="120"/>
        </w:rPr>
        <w:t>a</w:t>
      </w:r>
      <w:r>
        <w:rPr>
          <w:color w:val="231F20"/>
          <w:spacing w:val="-10"/>
          <w:w w:val="120"/>
        </w:rPr>
        <w:t> </w:t>
      </w:r>
      <w:r>
        <w:rPr>
          <w:color w:val="231F20"/>
          <w:w w:val="120"/>
        </w:rPr>
        <w:t>besoin</w:t>
      </w:r>
      <w:r>
        <w:rPr>
          <w:color w:val="231F20"/>
          <w:spacing w:val="-10"/>
          <w:w w:val="120"/>
        </w:rPr>
        <w:t> </w:t>
      </w:r>
      <w:r>
        <w:rPr>
          <w:color w:val="231F20"/>
          <w:w w:val="120"/>
        </w:rPr>
        <w:t>pour </w:t>
      </w:r>
      <w:r>
        <w:rPr>
          <w:color w:val="231F20"/>
          <w:w w:val="115"/>
        </w:rPr>
        <w:t>hier</w:t>
      </w:r>
      <w:r>
        <w:rPr>
          <w:color w:val="231F20"/>
          <w:spacing w:val="-13"/>
          <w:w w:val="115"/>
        </w:rPr>
        <w:t> </w:t>
      </w:r>
      <w:r>
        <w:rPr>
          <w:color w:val="231F20"/>
          <w:w w:val="115"/>
        </w:rPr>
        <w:t>».</w:t>
      </w:r>
      <w:r>
        <w:rPr>
          <w:color w:val="231F20"/>
          <w:spacing w:val="-12"/>
          <w:w w:val="115"/>
        </w:rPr>
        <w:t> </w:t>
      </w:r>
      <w:r>
        <w:rPr>
          <w:color w:val="231F20"/>
          <w:w w:val="115"/>
        </w:rPr>
        <w:t>Chaque</w:t>
      </w:r>
      <w:r>
        <w:rPr>
          <w:color w:val="231F20"/>
          <w:spacing w:val="-11"/>
          <w:w w:val="115"/>
        </w:rPr>
        <w:t> </w:t>
      </w:r>
      <w:r>
        <w:rPr>
          <w:color w:val="231F20"/>
          <w:w w:val="115"/>
        </w:rPr>
        <w:t>jour,</w:t>
      </w:r>
      <w:r>
        <w:rPr>
          <w:color w:val="231F20"/>
          <w:spacing w:val="-3"/>
          <w:w w:val="115"/>
        </w:rPr>
        <w:t> </w:t>
      </w:r>
      <w:r>
        <w:rPr>
          <w:color w:val="231F20"/>
          <w:w w:val="115"/>
        </w:rPr>
        <w:t>les</w:t>
      </w:r>
      <w:r>
        <w:rPr>
          <w:color w:val="231F20"/>
          <w:spacing w:val="-4"/>
          <w:w w:val="115"/>
        </w:rPr>
        <w:t> </w:t>
      </w:r>
      <w:r>
        <w:rPr>
          <w:color w:val="231F20"/>
          <w:w w:val="115"/>
        </w:rPr>
        <w:t>échéanciers,</w:t>
      </w:r>
      <w:r>
        <w:rPr>
          <w:color w:val="231F20"/>
          <w:spacing w:val="-4"/>
          <w:w w:val="115"/>
        </w:rPr>
        <w:t> </w:t>
      </w:r>
      <w:r>
        <w:rPr>
          <w:color w:val="231F20"/>
          <w:w w:val="115"/>
        </w:rPr>
        <w:t>les</w:t>
      </w:r>
      <w:r>
        <w:rPr>
          <w:color w:val="231F20"/>
          <w:spacing w:val="-4"/>
          <w:w w:val="115"/>
        </w:rPr>
        <w:t> </w:t>
      </w:r>
      <w:r>
        <w:rPr>
          <w:color w:val="231F20"/>
          <w:w w:val="115"/>
        </w:rPr>
        <w:t>urgences</w:t>
      </w:r>
      <w:r>
        <w:rPr>
          <w:color w:val="231F20"/>
          <w:spacing w:val="-4"/>
          <w:w w:val="115"/>
        </w:rPr>
        <w:t> </w:t>
      </w:r>
      <w:r>
        <w:rPr>
          <w:color w:val="231F20"/>
          <w:w w:val="115"/>
        </w:rPr>
        <w:t>et</w:t>
      </w:r>
      <w:r>
        <w:rPr>
          <w:color w:val="231F20"/>
          <w:spacing w:val="-4"/>
          <w:w w:val="115"/>
        </w:rPr>
        <w:t> </w:t>
      </w:r>
      <w:r>
        <w:rPr>
          <w:color w:val="231F20"/>
          <w:w w:val="115"/>
        </w:rPr>
        <w:t>les</w:t>
      </w:r>
      <w:r>
        <w:rPr>
          <w:color w:val="231F20"/>
          <w:spacing w:val="-4"/>
          <w:w w:val="115"/>
        </w:rPr>
        <w:t> </w:t>
      </w:r>
      <w:r>
        <w:rPr>
          <w:color w:val="231F20"/>
          <w:w w:val="115"/>
        </w:rPr>
        <w:t>exigences</w:t>
      </w:r>
      <w:r>
        <w:rPr>
          <w:color w:val="231F20"/>
          <w:spacing w:val="-4"/>
          <w:w w:val="115"/>
        </w:rPr>
        <w:t> </w:t>
      </w:r>
      <w:r>
        <w:rPr>
          <w:color w:val="231F20"/>
          <w:w w:val="115"/>
        </w:rPr>
        <w:t>des</w:t>
      </w:r>
      <w:r>
        <w:rPr>
          <w:color w:val="231F20"/>
          <w:spacing w:val="-4"/>
          <w:w w:val="115"/>
        </w:rPr>
        <w:t> </w:t>
      </w:r>
      <w:r>
        <w:rPr>
          <w:color w:val="231F20"/>
          <w:w w:val="115"/>
        </w:rPr>
        <w:t>col- </w:t>
      </w:r>
      <w:r>
        <w:rPr>
          <w:color w:val="231F20"/>
          <w:w w:val="120"/>
        </w:rPr>
        <w:t>lègues, des subordonnés, des superviseurs, des clients gouvernent le rythme de travail des employés, quels que soient leur échelon hiérar- chique,</w:t>
      </w:r>
      <w:r>
        <w:rPr>
          <w:color w:val="231F20"/>
          <w:spacing w:val="-5"/>
          <w:w w:val="120"/>
        </w:rPr>
        <w:t> </w:t>
      </w:r>
      <w:r>
        <w:rPr>
          <w:color w:val="231F20"/>
          <w:w w:val="120"/>
        </w:rPr>
        <w:t>leur</w:t>
      </w:r>
      <w:r>
        <w:rPr>
          <w:color w:val="231F20"/>
          <w:spacing w:val="-5"/>
          <w:w w:val="120"/>
        </w:rPr>
        <w:t> </w:t>
      </w:r>
      <w:r>
        <w:rPr>
          <w:color w:val="231F20"/>
          <w:w w:val="120"/>
        </w:rPr>
        <w:t>catégorie</w:t>
      </w:r>
      <w:r>
        <w:rPr>
          <w:color w:val="231F20"/>
          <w:spacing w:val="-5"/>
          <w:w w:val="120"/>
        </w:rPr>
        <w:t> </w:t>
      </w:r>
      <w:r>
        <w:rPr>
          <w:color w:val="231F20"/>
          <w:w w:val="120"/>
        </w:rPr>
        <w:t>professionnelle</w:t>
      </w:r>
      <w:r>
        <w:rPr>
          <w:color w:val="231F20"/>
          <w:spacing w:val="-5"/>
          <w:w w:val="120"/>
        </w:rPr>
        <w:t> </w:t>
      </w:r>
      <w:r>
        <w:rPr>
          <w:color w:val="231F20"/>
          <w:w w:val="120"/>
        </w:rPr>
        <w:t>ou</w:t>
      </w:r>
      <w:r>
        <w:rPr>
          <w:color w:val="231F20"/>
          <w:spacing w:val="-5"/>
          <w:w w:val="120"/>
        </w:rPr>
        <w:t> </w:t>
      </w:r>
      <w:r>
        <w:rPr>
          <w:color w:val="231F20"/>
          <w:w w:val="120"/>
        </w:rPr>
        <w:t>leur</w:t>
      </w:r>
      <w:r>
        <w:rPr>
          <w:color w:val="231F20"/>
          <w:spacing w:val="-5"/>
          <w:w w:val="120"/>
        </w:rPr>
        <w:t> </w:t>
      </w:r>
      <w:r>
        <w:rPr>
          <w:color w:val="231F20"/>
          <w:w w:val="120"/>
        </w:rPr>
        <w:t>niveau</w:t>
      </w:r>
      <w:r>
        <w:rPr>
          <w:color w:val="231F20"/>
          <w:spacing w:val="-5"/>
          <w:w w:val="120"/>
        </w:rPr>
        <w:t> </w:t>
      </w:r>
      <w:r>
        <w:rPr>
          <w:color w:val="231F20"/>
          <w:w w:val="120"/>
        </w:rPr>
        <w:t>de</w:t>
      </w:r>
      <w:r>
        <w:rPr>
          <w:color w:val="231F20"/>
          <w:spacing w:val="-5"/>
          <w:w w:val="120"/>
        </w:rPr>
        <w:t> </w:t>
      </w:r>
      <w:r>
        <w:rPr>
          <w:color w:val="231F20"/>
          <w:w w:val="120"/>
        </w:rPr>
        <w:t>responsabilité. Il</w:t>
      </w:r>
      <w:r>
        <w:rPr>
          <w:color w:val="231F20"/>
          <w:spacing w:val="-8"/>
          <w:w w:val="120"/>
        </w:rPr>
        <w:t> </w:t>
      </w:r>
      <w:r>
        <w:rPr>
          <w:color w:val="231F20"/>
          <w:w w:val="120"/>
        </w:rPr>
        <w:t>fut</w:t>
      </w:r>
      <w:r>
        <w:rPr>
          <w:color w:val="231F20"/>
          <w:spacing w:val="-8"/>
          <w:w w:val="120"/>
        </w:rPr>
        <w:t> </w:t>
      </w:r>
      <w:r>
        <w:rPr>
          <w:color w:val="231F20"/>
          <w:w w:val="120"/>
        </w:rPr>
        <w:t>un</w:t>
      </w:r>
      <w:r>
        <w:rPr>
          <w:color w:val="231F20"/>
          <w:spacing w:val="-8"/>
          <w:w w:val="120"/>
        </w:rPr>
        <w:t> </w:t>
      </w:r>
      <w:r>
        <w:rPr>
          <w:color w:val="231F20"/>
          <w:w w:val="120"/>
        </w:rPr>
        <w:t>temps</w:t>
      </w:r>
      <w:r>
        <w:rPr>
          <w:color w:val="231F20"/>
          <w:spacing w:val="-8"/>
          <w:w w:val="120"/>
        </w:rPr>
        <w:t> </w:t>
      </w:r>
      <w:r>
        <w:rPr>
          <w:color w:val="231F20"/>
          <w:w w:val="120"/>
        </w:rPr>
        <w:t>où</w:t>
      </w:r>
      <w:r>
        <w:rPr>
          <w:color w:val="231F20"/>
          <w:spacing w:val="-8"/>
          <w:w w:val="120"/>
        </w:rPr>
        <w:t> </w:t>
      </w:r>
      <w:r>
        <w:rPr>
          <w:color w:val="231F20"/>
          <w:w w:val="120"/>
        </w:rPr>
        <w:t>la</w:t>
      </w:r>
      <w:r>
        <w:rPr>
          <w:color w:val="231F20"/>
          <w:spacing w:val="-8"/>
          <w:w w:val="120"/>
        </w:rPr>
        <w:t> </w:t>
      </w:r>
      <w:r>
        <w:rPr>
          <w:color w:val="231F20"/>
          <w:w w:val="120"/>
        </w:rPr>
        <w:t>pénibilité</w:t>
      </w:r>
      <w:r>
        <w:rPr>
          <w:color w:val="231F20"/>
          <w:spacing w:val="-8"/>
          <w:w w:val="120"/>
        </w:rPr>
        <w:t> </w:t>
      </w:r>
      <w:r>
        <w:rPr>
          <w:color w:val="231F20"/>
          <w:w w:val="120"/>
        </w:rPr>
        <w:t>physique</w:t>
      </w:r>
      <w:r>
        <w:rPr>
          <w:color w:val="231F20"/>
          <w:spacing w:val="-8"/>
          <w:w w:val="120"/>
        </w:rPr>
        <w:t> </w:t>
      </w:r>
      <w:r>
        <w:rPr>
          <w:color w:val="231F20"/>
          <w:w w:val="120"/>
        </w:rPr>
        <w:t>du</w:t>
      </w:r>
      <w:r>
        <w:rPr>
          <w:color w:val="231F20"/>
          <w:spacing w:val="-8"/>
          <w:w w:val="120"/>
        </w:rPr>
        <w:t> </w:t>
      </w:r>
      <w:r>
        <w:rPr>
          <w:color w:val="231F20"/>
          <w:w w:val="120"/>
        </w:rPr>
        <w:t>travail</w:t>
      </w:r>
      <w:r>
        <w:rPr>
          <w:color w:val="231F20"/>
          <w:spacing w:val="-8"/>
          <w:w w:val="120"/>
        </w:rPr>
        <w:t> </w:t>
      </w:r>
      <w:r>
        <w:rPr>
          <w:color w:val="231F20"/>
          <w:w w:val="120"/>
        </w:rPr>
        <w:t>était</w:t>
      </w:r>
      <w:r>
        <w:rPr>
          <w:color w:val="231F20"/>
          <w:spacing w:val="-8"/>
          <w:w w:val="120"/>
        </w:rPr>
        <w:t> </w:t>
      </w:r>
      <w:r>
        <w:rPr>
          <w:color w:val="231F20"/>
          <w:w w:val="120"/>
        </w:rPr>
        <w:t>le</w:t>
      </w:r>
      <w:r>
        <w:rPr>
          <w:color w:val="231F20"/>
          <w:spacing w:val="-8"/>
          <w:w w:val="120"/>
        </w:rPr>
        <w:t> </w:t>
      </w:r>
      <w:r>
        <w:rPr>
          <w:color w:val="231F20"/>
          <w:w w:val="120"/>
        </w:rPr>
        <w:t>principal</w:t>
      </w:r>
      <w:r>
        <w:rPr>
          <w:color w:val="231F20"/>
          <w:spacing w:val="-8"/>
          <w:w w:val="120"/>
        </w:rPr>
        <w:t> </w:t>
      </w:r>
      <w:r>
        <w:rPr>
          <w:color w:val="231F20"/>
          <w:w w:val="120"/>
        </w:rPr>
        <w:t>élé- ment qui minait la santé des travailleurs. Alors que la technologie et l’entrée</w:t>
      </w:r>
      <w:r>
        <w:rPr>
          <w:color w:val="231F20"/>
          <w:spacing w:val="-6"/>
          <w:w w:val="120"/>
        </w:rPr>
        <w:t> </w:t>
      </w:r>
      <w:r>
        <w:rPr>
          <w:color w:val="231F20"/>
          <w:w w:val="120"/>
        </w:rPr>
        <w:t>dans</w:t>
      </w:r>
      <w:r>
        <w:rPr>
          <w:color w:val="231F20"/>
          <w:spacing w:val="-6"/>
          <w:w w:val="120"/>
        </w:rPr>
        <w:t> </w:t>
      </w:r>
      <w:r>
        <w:rPr>
          <w:color w:val="231F20"/>
          <w:w w:val="120"/>
        </w:rPr>
        <w:t>une</w:t>
      </w:r>
      <w:r>
        <w:rPr>
          <w:color w:val="231F20"/>
          <w:spacing w:val="-6"/>
          <w:w w:val="120"/>
        </w:rPr>
        <w:t> </w:t>
      </w:r>
      <w:r>
        <w:rPr>
          <w:color w:val="231F20"/>
          <w:w w:val="120"/>
        </w:rPr>
        <w:t>économie</w:t>
      </w:r>
      <w:r>
        <w:rPr>
          <w:color w:val="231F20"/>
          <w:spacing w:val="-6"/>
          <w:w w:val="120"/>
        </w:rPr>
        <w:t> </w:t>
      </w:r>
      <w:r>
        <w:rPr>
          <w:color w:val="231F20"/>
          <w:w w:val="120"/>
        </w:rPr>
        <w:t>du</w:t>
      </w:r>
      <w:r>
        <w:rPr>
          <w:color w:val="231F20"/>
          <w:spacing w:val="-6"/>
          <w:w w:val="120"/>
        </w:rPr>
        <w:t> </w:t>
      </w:r>
      <w:r>
        <w:rPr>
          <w:color w:val="231F20"/>
          <w:w w:val="120"/>
        </w:rPr>
        <w:t>savoir</w:t>
      </w:r>
      <w:r>
        <w:rPr>
          <w:color w:val="231F20"/>
          <w:spacing w:val="-6"/>
          <w:w w:val="120"/>
        </w:rPr>
        <w:t> </w:t>
      </w:r>
      <w:r>
        <w:rPr>
          <w:color w:val="231F20"/>
          <w:w w:val="120"/>
        </w:rPr>
        <w:t>ont</w:t>
      </w:r>
      <w:r>
        <w:rPr>
          <w:color w:val="231F20"/>
          <w:spacing w:val="-6"/>
          <w:w w:val="120"/>
        </w:rPr>
        <w:t> </w:t>
      </w:r>
      <w:r>
        <w:rPr>
          <w:color w:val="231F20"/>
          <w:w w:val="120"/>
        </w:rPr>
        <w:t>libéré</w:t>
      </w:r>
      <w:r>
        <w:rPr>
          <w:color w:val="231F20"/>
          <w:spacing w:val="-6"/>
          <w:w w:val="120"/>
        </w:rPr>
        <w:t> </w:t>
      </w:r>
      <w:r>
        <w:rPr>
          <w:color w:val="231F20"/>
          <w:w w:val="120"/>
        </w:rPr>
        <w:t>une</w:t>
      </w:r>
      <w:r>
        <w:rPr>
          <w:color w:val="231F20"/>
          <w:spacing w:val="-6"/>
          <w:w w:val="120"/>
        </w:rPr>
        <w:t> </w:t>
      </w:r>
      <w:r>
        <w:rPr>
          <w:color w:val="231F20"/>
          <w:w w:val="120"/>
        </w:rPr>
        <w:t>bonne</w:t>
      </w:r>
      <w:r>
        <w:rPr>
          <w:color w:val="231F20"/>
          <w:spacing w:val="-6"/>
          <w:w w:val="120"/>
        </w:rPr>
        <w:t> </w:t>
      </w:r>
      <w:r>
        <w:rPr>
          <w:color w:val="231F20"/>
          <w:w w:val="120"/>
        </w:rPr>
        <w:t>part</w:t>
      </w:r>
      <w:r>
        <w:rPr>
          <w:color w:val="231F20"/>
          <w:spacing w:val="-6"/>
          <w:w w:val="120"/>
        </w:rPr>
        <w:t> </w:t>
      </w:r>
      <w:r>
        <w:rPr>
          <w:color w:val="231F20"/>
          <w:w w:val="120"/>
        </w:rPr>
        <w:t>des</w:t>
      </w:r>
      <w:r>
        <w:rPr>
          <w:color w:val="231F20"/>
          <w:spacing w:val="-6"/>
          <w:w w:val="120"/>
        </w:rPr>
        <w:t> </w:t>
      </w:r>
      <w:r>
        <w:rPr>
          <w:color w:val="231F20"/>
          <w:w w:val="120"/>
        </w:rPr>
        <w:t>tra- </w:t>
      </w:r>
      <w:r>
        <w:rPr>
          <w:color w:val="231F20"/>
          <w:w w:val="115"/>
        </w:rPr>
        <w:t>vailleurs</w:t>
      </w:r>
      <w:r>
        <w:rPr>
          <w:color w:val="231F20"/>
          <w:spacing w:val="-8"/>
          <w:w w:val="115"/>
        </w:rPr>
        <w:t> </w:t>
      </w:r>
      <w:r>
        <w:rPr>
          <w:color w:val="231F20"/>
          <w:w w:val="115"/>
        </w:rPr>
        <w:t>de</w:t>
      </w:r>
      <w:r>
        <w:rPr>
          <w:color w:val="231F20"/>
          <w:spacing w:val="-8"/>
          <w:w w:val="115"/>
        </w:rPr>
        <w:t> </w:t>
      </w:r>
      <w:r>
        <w:rPr>
          <w:color w:val="231F20"/>
          <w:w w:val="115"/>
        </w:rPr>
        <w:t>cette</w:t>
      </w:r>
      <w:r>
        <w:rPr>
          <w:color w:val="231F20"/>
          <w:spacing w:val="-8"/>
          <w:w w:val="115"/>
        </w:rPr>
        <w:t> </w:t>
      </w:r>
      <w:r>
        <w:rPr>
          <w:color w:val="231F20"/>
          <w:w w:val="115"/>
        </w:rPr>
        <w:t>forme</w:t>
      </w:r>
      <w:r>
        <w:rPr>
          <w:color w:val="231F20"/>
          <w:spacing w:val="-8"/>
          <w:w w:val="115"/>
        </w:rPr>
        <w:t> </w:t>
      </w:r>
      <w:r>
        <w:rPr>
          <w:color w:val="231F20"/>
          <w:w w:val="115"/>
        </w:rPr>
        <w:t>de</w:t>
      </w:r>
      <w:r>
        <w:rPr>
          <w:color w:val="231F20"/>
          <w:spacing w:val="-8"/>
          <w:w w:val="115"/>
        </w:rPr>
        <w:t> </w:t>
      </w:r>
      <w:r>
        <w:rPr>
          <w:color w:val="231F20"/>
          <w:w w:val="115"/>
        </w:rPr>
        <w:t>pénibilité,</w:t>
      </w:r>
      <w:r>
        <w:rPr>
          <w:color w:val="231F20"/>
          <w:spacing w:val="-8"/>
          <w:w w:val="115"/>
        </w:rPr>
        <w:t> </w:t>
      </w:r>
      <w:r>
        <w:rPr>
          <w:color w:val="231F20"/>
          <w:w w:val="115"/>
        </w:rPr>
        <w:t>c’est</w:t>
      </w:r>
      <w:r>
        <w:rPr>
          <w:color w:val="231F20"/>
          <w:spacing w:val="-8"/>
          <w:w w:val="115"/>
        </w:rPr>
        <w:t> </w:t>
      </w:r>
      <w:r>
        <w:rPr>
          <w:color w:val="231F20"/>
          <w:w w:val="115"/>
        </w:rPr>
        <w:t>la</w:t>
      </w:r>
      <w:r>
        <w:rPr>
          <w:color w:val="231F20"/>
          <w:spacing w:val="-8"/>
          <w:w w:val="115"/>
        </w:rPr>
        <w:t> </w:t>
      </w:r>
      <w:r>
        <w:rPr>
          <w:color w:val="231F20"/>
          <w:w w:val="115"/>
        </w:rPr>
        <w:t>pénibilité</w:t>
      </w:r>
      <w:r>
        <w:rPr>
          <w:color w:val="231F20"/>
          <w:spacing w:val="-8"/>
          <w:w w:val="115"/>
        </w:rPr>
        <w:t> </w:t>
      </w:r>
      <w:r>
        <w:rPr>
          <w:color w:val="231F20"/>
          <w:w w:val="115"/>
        </w:rPr>
        <w:t>psychologique</w:t>
      </w:r>
      <w:r>
        <w:rPr>
          <w:color w:val="231F20"/>
          <w:spacing w:val="-8"/>
          <w:w w:val="115"/>
        </w:rPr>
        <w:t> </w:t>
      </w:r>
      <w:r>
        <w:rPr>
          <w:color w:val="231F20"/>
          <w:w w:val="115"/>
        </w:rPr>
        <w:t>qui </w:t>
      </w:r>
      <w:r>
        <w:rPr>
          <w:color w:val="231F20"/>
          <w:spacing w:val="-2"/>
          <w:w w:val="120"/>
        </w:rPr>
        <w:t>menace</w:t>
      </w:r>
      <w:r>
        <w:rPr>
          <w:color w:val="231F20"/>
          <w:spacing w:val="-10"/>
          <w:w w:val="120"/>
        </w:rPr>
        <w:t> </w:t>
      </w:r>
      <w:r>
        <w:rPr>
          <w:color w:val="231F20"/>
          <w:spacing w:val="-2"/>
          <w:w w:val="120"/>
        </w:rPr>
        <w:t>maintenant</w:t>
      </w:r>
      <w:r>
        <w:rPr>
          <w:color w:val="231F20"/>
          <w:spacing w:val="-10"/>
          <w:w w:val="120"/>
        </w:rPr>
        <w:t> </w:t>
      </w:r>
      <w:r>
        <w:rPr>
          <w:color w:val="231F20"/>
          <w:spacing w:val="-2"/>
          <w:w w:val="120"/>
        </w:rPr>
        <w:t>la</w:t>
      </w:r>
      <w:r>
        <w:rPr>
          <w:color w:val="231F20"/>
          <w:spacing w:val="-10"/>
          <w:w w:val="120"/>
        </w:rPr>
        <w:t> </w:t>
      </w:r>
      <w:r>
        <w:rPr>
          <w:color w:val="231F20"/>
          <w:spacing w:val="-2"/>
          <w:w w:val="120"/>
        </w:rPr>
        <w:t>santé</w:t>
      </w:r>
      <w:r>
        <w:rPr>
          <w:color w:val="231F20"/>
          <w:spacing w:val="-10"/>
          <w:w w:val="120"/>
        </w:rPr>
        <w:t> </w:t>
      </w:r>
      <w:r>
        <w:rPr>
          <w:color w:val="231F20"/>
          <w:spacing w:val="-2"/>
          <w:w w:val="120"/>
        </w:rPr>
        <w:t>des</w:t>
      </w:r>
      <w:r>
        <w:rPr>
          <w:color w:val="231F20"/>
          <w:spacing w:val="-10"/>
          <w:w w:val="120"/>
        </w:rPr>
        <w:t> </w:t>
      </w:r>
      <w:r>
        <w:rPr>
          <w:color w:val="231F20"/>
          <w:spacing w:val="-2"/>
          <w:w w:val="120"/>
        </w:rPr>
        <w:t>employés.</w:t>
      </w:r>
      <w:r>
        <w:rPr>
          <w:color w:val="231F20"/>
          <w:spacing w:val="-10"/>
          <w:w w:val="120"/>
        </w:rPr>
        <w:t> </w:t>
      </w:r>
      <w:r>
        <w:rPr>
          <w:color w:val="231F20"/>
          <w:spacing w:val="-2"/>
          <w:w w:val="120"/>
        </w:rPr>
        <w:t>Et</w:t>
      </w:r>
      <w:r>
        <w:rPr>
          <w:color w:val="231F20"/>
          <w:spacing w:val="-10"/>
          <w:w w:val="120"/>
        </w:rPr>
        <w:t> </w:t>
      </w:r>
      <w:r>
        <w:rPr>
          <w:color w:val="231F20"/>
          <w:spacing w:val="-2"/>
          <w:w w:val="120"/>
        </w:rPr>
        <w:t>l’origine</w:t>
      </w:r>
      <w:r>
        <w:rPr>
          <w:color w:val="231F20"/>
          <w:spacing w:val="-10"/>
          <w:w w:val="120"/>
        </w:rPr>
        <w:t> </w:t>
      </w:r>
      <w:r>
        <w:rPr>
          <w:color w:val="231F20"/>
          <w:spacing w:val="-2"/>
          <w:w w:val="120"/>
        </w:rPr>
        <w:t>de</w:t>
      </w:r>
      <w:r>
        <w:rPr>
          <w:color w:val="231F20"/>
          <w:spacing w:val="-10"/>
          <w:w w:val="120"/>
        </w:rPr>
        <w:t> </w:t>
      </w:r>
      <w:r>
        <w:rPr>
          <w:color w:val="231F20"/>
          <w:spacing w:val="-2"/>
          <w:w w:val="120"/>
        </w:rPr>
        <w:t>cette</w:t>
      </w:r>
      <w:r>
        <w:rPr>
          <w:color w:val="231F20"/>
          <w:spacing w:val="-10"/>
          <w:w w:val="120"/>
        </w:rPr>
        <w:t> </w:t>
      </w:r>
      <w:r>
        <w:rPr>
          <w:color w:val="231F20"/>
          <w:spacing w:val="-2"/>
          <w:w w:val="120"/>
        </w:rPr>
        <w:t>pénibilité </w:t>
      </w:r>
      <w:r>
        <w:rPr>
          <w:color w:val="231F20"/>
          <w:w w:val="120"/>
        </w:rPr>
        <w:t>psychologique est par définition inévitablement humaine…</w:t>
      </w:r>
    </w:p>
    <w:p>
      <w:pPr>
        <w:pStyle w:val="BodyText"/>
        <w:spacing w:line="307" w:lineRule="auto" w:before="78"/>
        <w:ind w:left="790" w:right="634" w:firstLine="250"/>
        <w:jc w:val="both"/>
      </w:pPr>
      <w:r>
        <w:rPr>
          <w:color w:val="231F20"/>
          <w:w w:val="120"/>
        </w:rPr>
        <w:t>Bien</w:t>
      </w:r>
      <w:r>
        <w:rPr>
          <w:color w:val="231F20"/>
          <w:spacing w:val="-3"/>
          <w:w w:val="120"/>
        </w:rPr>
        <w:t> </w:t>
      </w:r>
      <w:r>
        <w:rPr>
          <w:color w:val="231F20"/>
          <w:w w:val="120"/>
        </w:rPr>
        <w:t>que</w:t>
      </w:r>
      <w:r>
        <w:rPr>
          <w:color w:val="231F20"/>
          <w:spacing w:val="-3"/>
          <w:w w:val="120"/>
        </w:rPr>
        <w:t> </w:t>
      </w:r>
      <w:r>
        <w:rPr>
          <w:color w:val="231F20"/>
          <w:w w:val="120"/>
        </w:rPr>
        <w:t>cela</w:t>
      </w:r>
      <w:r>
        <w:rPr>
          <w:color w:val="231F20"/>
          <w:spacing w:val="-3"/>
          <w:w w:val="120"/>
        </w:rPr>
        <w:t> </w:t>
      </w:r>
      <w:r>
        <w:rPr>
          <w:color w:val="231F20"/>
          <w:w w:val="120"/>
        </w:rPr>
        <w:t>soit</w:t>
      </w:r>
      <w:r>
        <w:rPr>
          <w:color w:val="231F20"/>
          <w:spacing w:val="-3"/>
          <w:w w:val="120"/>
        </w:rPr>
        <w:t> </w:t>
      </w:r>
      <w:r>
        <w:rPr>
          <w:color w:val="231F20"/>
          <w:w w:val="120"/>
        </w:rPr>
        <w:t>paradoxal,</w:t>
      </w:r>
      <w:r>
        <w:rPr>
          <w:color w:val="231F20"/>
          <w:spacing w:val="-3"/>
          <w:w w:val="120"/>
        </w:rPr>
        <w:t> </w:t>
      </w:r>
      <w:r>
        <w:rPr>
          <w:color w:val="231F20"/>
          <w:w w:val="120"/>
        </w:rPr>
        <w:t>malgré</w:t>
      </w:r>
      <w:r>
        <w:rPr>
          <w:color w:val="231F20"/>
          <w:spacing w:val="-3"/>
          <w:w w:val="120"/>
        </w:rPr>
        <w:t> </w:t>
      </w:r>
      <w:r>
        <w:rPr>
          <w:color w:val="231F20"/>
          <w:w w:val="120"/>
        </w:rPr>
        <w:t>les</w:t>
      </w:r>
      <w:r>
        <w:rPr>
          <w:color w:val="231F20"/>
          <w:spacing w:val="-3"/>
          <w:w w:val="120"/>
        </w:rPr>
        <w:t> </w:t>
      </w:r>
      <w:r>
        <w:rPr>
          <w:color w:val="231F20"/>
          <w:w w:val="120"/>
        </w:rPr>
        <w:t>immenses</w:t>
      </w:r>
      <w:r>
        <w:rPr>
          <w:color w:val="231F20"/>
          <w:spacing w:val="-3"/>
          <w:w w:val="120"/>
        </w:rPr>
        <w:t> </w:t>
      </w:r>
      <w:r>
        <w:rPr>
          <w:color w:val="231F20"/>
          <w:w w:val="120"/>
        </w:rPr>
        <w:t>progrès</w:t>
      </w:r>
      <w:r>
        <w:rPr>
          <w:color w:val="231F20"/>
          <w:spacing w:val="-3"/>
          <w:w w:val="120"/>
        </w:rPr>
        <w:t> </w:t>
      </w:r>
      <w:r>
        <w:rPr>
          <w:color w:val="231F20"/>
          <w:w w:val="120"/>
        </w:rPr>
        <w:t>dans</w:t>
      </w:r>
      <w:r>
        <w:rPr>
          <w:color w:val="231F20"/>
          <w:spacing w:val="-3"/>
          <w:w w:val="120"/>
        </w:rPr>
        <w:t> </w:t>
      </w:r>
      <w:r>
        <w:rPr>
          <w:color w:val="231F20"/>
          <w:w w:val="120"/>
        </w:rPr>
        <w:t>les domaines</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médecine</w:t>
      </w:r>
      <w:r>
        <w:rPr>
          <w:color w:val="231F20"/>
          <w:spacing w:val="-10"/>
          <w:w w:val="120"/>
        </w:rPr>
        <w:t> </w:t>
      </w:r>
      <w:r>
        <w:rPr>
          <w:color w:val="231F20"/>
          <w:w w:val="120"/>
        </w:rPr>
        <w:t>et</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psychologie,</w:t>
      </w:r>
      <w:r>
        <w:rPr>
          <w:color w:val="231F20"/>
          <w:spacing w:val="-10"/>
          <w:w w:val="120"/>
        </w:rPr>
        <w:t> </w:t>
      </w:r>
      <w:r>
        <w:rPr>
          <w:color w:val="231F20"/>
          <w:w w:val="120"/>
        </w:rPr>
        <w:t>malgré</w:t>
      </w:r>
      <w:r>
        <w:rPr>
          <w:color w:val="231F20"/>
          <w:spacing w:val="-10"/>
          <w:w w:val="120"/>
        </w:rPr>
        <w:t> </w:t>
      </w:r>
      <w:r>
        <w:rPr>
          <w:color w:val="231F20"/>
          <w:w w:val="120"/>
        </w:rPr>
        <w:t>l’enrichissement </w:t>
      </w:r>
      <w:r>
        <w:rPr>
          <w:color w:val="231F20"/>
          <w:w w:val="115"/>
        </w:rPr>
        <w:t>de nos connaissances scientifiques et socio-organisationnelles, les chefs </w:t>
      </w:r>
      <w:r>
        <w:rPr>
          <w:color w:val="231F20"/>
          <w:w w:val="120"/>
        </w:rPr>
        <w:t>d’entreprise</w:t>
      </w:r>
      <w:r>
        <w:rPr>
          <w:color w:val="231F20"/>
          <w:spacing w:val="-10"/>
          <w:w w:val="120"/>
        </w:rPr>
        <w:t> </w:t>
      </w:r>
      <w:r>
        <w:rPr>
          <w:color w:val="231F20"/>
          <w:w w:val="120"/>
        </w:rPr>
        <w:t>tardent</w:t>
      </w:r>
      <w:r>
        <w:rPr>
          <w:color w:val="231F20"/>
          <w:spacing w:val="-10"/>
          <w:w w:val="120"/>
        </w:rPr>
        <w:t> </w:t>
      </w:r>
      <w:r>
        <w:rPr>
          <w:color w:val="231F20"/>
          <w:w w:val="120"/>
        </w:rPr>
        <w:t>à</w:t>
      </w:r>
      <w:r>
        <w:rPr>
          <w:color w:val="231F20"/>
          <w:spacing w:val="-10"/>
          <w:w w:val="120"/>
        </w:rPr>
        <w:t> </w:t>
      </w:r>
      <w:r>
        <w:rPr>
          <w:color w:val="231F20"/>
          <w:w w:val="120"/>
        </w:rPr>
        <w:t>se</w:t>
      </w:r>
      <w:r>
        <w:rPr>
          <w:color w:val="231F20"/>
          <w:spacing w:val="-10"/>
          <w:w w:val="120"/>
        </w:rPr>
        <w:t> </w:t>
      </w:r>
      <w:r>
        <w:rPr>
          <w:color w:val="231F20"/>
          <w:w w:val="120"/>
        </w:rPr>
        <w:t>rendre</w:t>
      </w:r>
      <w:r>
        <w:rPr>
          <w:color w:val="231F20"/>
          <w:spacing w:val="-10"/>
          <w:w w:val="120"/>
        </w:rPr>
        <w:t> </w:t>
      </w:r>
      <w:r>
        <w:rPr>
          <w:color w:val="231F20"/>
          <w:w w:val="120"/>
        </w:rPr>
        <w:t>compte</w:t>
      </w:r>
      <w:r>
        <w:rPr>
          <w:color w:val="231F20"/>
          <w:spacing w:val="-10"/>
          <w:w w:val="120"/>
        </w:rPr>
        <w:t> </w:t>
      </w:r>
      <w:r>
        <w:rPr>
          <w:color w:val="231F20"/>
          <w:w w:val="120"/>
        </w:rPr>
        <w:t>que</w:t>
      </w:r>
      <w:r>
        <w:rPr>
          <w:color w:val="231F20"/>
          <w:spacing w:val="-10"/>
          <w:w w:val="120"/>
        </w:rPr>
        <w:t> </w:t>
      </w:r>
      <w:r>
        <w:rPr>
          <w:color w:val="231F20"/>
          <w:w w:val="120"/>
        </w:rPr>
        <w:t>les</w:t>
      </w:r>
      <w:r>
        <w:rPr>
          <w:color w:val="231F20"/>
          <w:spacing w:val="-10"/>
          <w:w w:val="120"/>
        </w:rPr>
        <w:t> </w:t>
      </w:r>
      <w:r>
        <w:rPr>
          <w:color w:val="231F20"/>
          <w:w w:val="120"/>
        </w:rPr>
        <w:t>moyens</w:t>
      </w:r>
      <w:r>
        <w:rPr>
          <w:color w:val="231F20"/>
          <w:spacing w:val="-10"/>
          <w:w w:val="120"/>
        </w:rPr>
        <w:t> </w:t>
      </w:r>
      <w:r>
        <w:rPr>
          <w:color w:val="231F20"/>
          <w:w w:val="120"/>
        </w:rPr>
        <w:t>qu’ils</w:t>
      </w:r>
      <w:r>
        <w:rPr>
          <w:color w:val="231F20"/>
          <w:spacing w:val="-10"/>
          <w:w w:val="120"/>
        </w:rPr>
        <w:t> </w:t>
      </w:r>
      <w:r>
        <w:rPr>
          <w:color w:val="231F20"/>
          <w:w w:val="120"/>
        </w:rPr>
        <w:t>déploient afin d’assurer la rentabilité de leur entreprise sont une cause de souf- </w:t>
      </w:r>
      <w:r>
        <w:rPr>
          <w:color w:val="231F20"/>
          <w:spacing w:val="-2"/>
          <w:w w:val="120"/>
        </w:rPr>
        <w:t>france,</w:t>
      </w:r>
      <w:r>
        <w:rPr>
          <w:color w:val="231F20"/>
          <w:spacing w:val="-8"/>
          <w:w w:val="120"/>
        </w:rPr>
        <w:t> </w:t>
      </w:r>
      <w:r>
        <w:rPr>
          <w:color w:val="231F20"/>
          <w:spacing w:val="-2"/>
          <w:w w:val="120"/>
        </w:rPr>
        <w:t>de</w:t>
      </w:r>
      <w:r>
        <w:rPr>
          <w:color w:val="231F20"/>
          <w:spacing w:val="-8"/>
          <w:w w:val="120"/>
        </w:rPr>
        <w:t> </w:t>
      </w:r>
      <w:r>
        <w:rPr>
          <w:color w:val="231F20"/>
          <w:spacing w:val="-2"/>
          <w:w w:val="120"/>
        </w:rPr>
        <w:t>détresse</w:t>
      </w:r>
      <w:r>
        <w:rPr>
          <w:color w:val="231F20"/>
          <w:spacing w:val="-8"/>
          <w:w w:val="120"/>
        </w:rPr>
        <w:t> </w:t>
      </w:r>
      <w:r>
        <w:rPr>
          <w:color w:val="231F20"/>
          <w:spacing w:val="-2"/>
          <w:w w:val="120"/>
        </w:rPr>
        <w:t>et</w:t>
      </w:r>
      <w:r>
        <w:rPr>
          <w:color w:val="231F20"/>
          <w:spacing w:val="-8"/>
          <w:w w:val="120"/>
        </w:rPr>
        <w:t> </w:t>
      </w:r>
      <w:r>
        <w:rPr>
          <w:color w:val="231F20"/>
          <w:spacing w:val="-2"/>
          <w:w w:val="120"/>
        </w:rPr>
        <w:t>d’épuisement</w:t>
      </w:r>
      <w:r>
        <w:rPr>
          <w:color w:val="231F20"/>
          <w:spacing w:val="-8"/>
          <w:w w:val="120"/>
        </w:rPr>
        <w:t> </w:t>
      </w:r>
      <w:r>
        <w:rPr>
          <w:color w:val="231F20"/>
          <w:spacing w:val="-2"/>
          <w:w w:val="120"/>
        </w:rPr>
        <w:t>de</w:t>
      </w:r>
      <w:r>
        <w:rPr>
          <w:color w:val="231F20"/>
          <w:spacing w:val="-8"/>
          <w:w w:val="120"/>
        </w:rPr>
        <w:t> </w:t>
      </w:r>
      <w:r>
        <w:rPr>
          <w:color w:val="231F20"/>
          <w:spacing w:val="-2"/>
          <w:w w:val="120"/>
        </w:rPr>
        <w:t>leurs</w:t>
      </w:r>
      <w:r>
        <w:rPr>
          <w:color w:val="231F20"/>
          <w:spacing w:val="-8"/>
          <w:w w:val="120"/>
        </w:rPr>
        <w:t> </w:t>
      </w:r>
      <w:r>
        <w:rPr>
          <w:color w:val="231F20"/>
          <w:spacing w:val="-2"/>
          <w:w w:val="120"/>
        </w:rPr>
        <w:t>ressources.</w:t>
      </w:r>
      <w:r>
        <w:rPr>
          <w:color w:val="231F20"/>
          <w:spacing w:val="-8"/>
          <w:w w:val="120"/>
        </w:rPr>
        <w:t> </w:t>
      </w:r>
      <w:r>
        <w:rPr>
          <w:color w:val="231F20"/>
          <w:spacing w:val="-2"/>
          <w:w w:val="120"/>
        </w:rPr>
        <w:t>Pourtant,</w:t>
      </w:r>
      <w:r>
        <w:rPr>
          <w:color w:val="231F20"/>
          <w:spacing w:val="-8"/>
          <w:w w:val="120"/>
        </w:rPr>
        <w:t> </w:t>
      </w:r>
      <w:r>
        <w:rPr>
          <w:color w:val="231F20"/>
          <w:spacing w:val="-2"/>
          <w:w w:val="120"/>
        </w:rPr>
        <w:t>ce</w:t>
      </w:r>
      <w:r>
        <w:rPr>
          <w:color w:val="231F20"/>
          <w:spacing w:val="-8"/>
          <w:w w:val="120"/>
        </w:rPr>
        <w:t> </w:t>
      </w:r>
      <w:r>
        <w:rPr>
          <w:color w:val="231F20"/>
          <w:spacing w:val="-2"/>
          <w:w w:val="120"/>
        </w:rPr>
        <w:t>sont </w:t>
      </w:r>
      <w:r>
        <w:rPr>
          <w:color w:val="231F20"/>
          <w:w w:val="120"/>
        </w:rPr>
        <w:t>ces mêmes ressources humaines qui ont permis d’édifier leur organi- sation et dans lesquelles réside leur meilleur gage de rentabilité et de pérennité. Ils ne remarquent pas non plus qu’ils risquent eux-mêmes d’être victimes du stress généré par la culture d’entreprise qu’ils ont contribué à instaurer. Nous devons comprendre, ce qui complique la question,</w:t>
      </w:r>
      <w:r>
        <w:rPr>
          <w:color w:val="231F20"/>
          <w:spacing w:val="-6"/>
          <w:w w:val="120"/>
        </w:rPr>
        <w:t> </w:t>
      </w:r>
      <w:r>
        <w:rPr>
          <w:color w:val="231F20"/>
          <w:w w:val="120"/>
        </w:rPr>
        <w:t>que</w:t>
      </w:r>
      <w:r>
        <w:rPr>
          <w:color w:val="231F20"/>
          <w:spacing w:val="-6"/>
          <w:w w:val="120"/>
        </w:rPr>
        <w:t> </w:t>
      </w:r>
      <w:r>
        <w:rPr>
          <w:color w:val="231F20"/>
          <w:w w:val="120"/>
        </w:rPr>
        <w:t>le</w:t>
      </w:r>
      <w:r>
        <w:rPr>
          <w:color w:val="231F20"/>
          <w:spacing w:val="-6"/>
          <w:w w:val="120"/>
        </w:rPr>
        <w:t> </w:t>
      </w:r>
      <w:r>
        <w:rPr>
          <w:color w:val="231F20"/>
          <w:w w:val="120"/>
        </w:rPr>
        <w:t>stress</w:t>
      </w:r>
      <w:r>
        <w:rPr>
          <w:color w:val="231F20"/>
          <w:spacing w:val="-6"/>
          <w:w w:val="120"/>
        </w:rPr>
        <w:t> </w:t>
      </w:r>
      <w:r>
        <w:rPr>
          <w:color w:val="231F20"/>
          <w:w w:val="120"/>
        </w:rPr>
        <w:t>au</w:t>
      </w:r>
      <w:r>
        <w:rPr>
          <w:color w:val="231F20"/>
          <w:spacing w:val="-6"/>
          <w:w w:val="120"/>
        </w:rPr>
        <w:t> </w:t>
      </w:r>
      <w:r>
        <w:rPr>
          <w:color w:val="231F20"/>
          <w:w w:val="120"/>
        </w:rPr>
        <w:t>travail</w:t>
      </w:r>
      <w:r>
        <w:rPr>
          <w:color w:val="231F20"/>
          <w:spacing w:val="-6"/>
          <w:w w:val="120"/>
        </w:rPr>
        <w:t> </w:t>
      </w:r>
      <w:r>
        <w:rPr>
          <w:color w:val="231F20"/>
          <w:w w:val="120"/>
        </w:rPr>
        <w:t>est</w:t>
      </w:r>
      <w:r>
        <w:rPr>
          <w:color w:val="231F20"/>
          <w:spacing w:val="-6"/>
          <w:w w:val="120"/>
        </w:rPr>
        <w:t> </w:t>
      </w:r>
      <w:r>
        <w:rPr>
          <w:color w:val="231F20"/>
          <w:w w:val="120"/>
        </w:rPr>
        <w:t>un</w:t>
      </w:r>
      <w:r>
        <w:rPr>
          <w:color w:val="231F20"/>
          <w:spacing w:val="-6"/>
          <w:w w:val="120"/>
        </w:rPr>
        <w:t> </w:t>
      </w:r>
      <w:r>
        <w:rPr>
          <w:color w:val="231F20"/>
          <w:w w:val="120"/>
        </w:rPr>
        <w:t>phénomène</w:t>
      </w:r>
      <w:r>
        <w:rPr>
          <w:color w:val="231F20"/>
          <w:spacing w:val="-6"/>
          <w:w w:val="120"/>
        </w:rPr>
        <w:t> </w:t>
      </w:r>
      <w:r>
        <w:rPr>
          <w:color w:val="231F20"/>
          <w:w w:val="120"/>
        </w:rPr>
        <w:t>inodore</w:t>
      </w:r>
      <w:r>
        <w:rPr>
          <w:color w:val="231F20"/>
          <w:spacing w:val="-6"/>
          <w:w w:val="120"/>
        </w:rPr>
        <w:t> </w:t>
      </w:r>
      <w:r>
        <w:rPr>
          <w:color w:val="231F20"/>
          <w:w w:val="120"/>
        </w:rPr>
        <w:t>et</w:t>
      </w:r>
      <w:r>
        <w:rPr>
          <w:color w:val="231F20"/>
          <w:spacing w:val="-6"/>
          <w:w w:val="120"/>
        </w:rPr>
        <w:t> </w:t>
      </w:r>
      <w:r>
        <w:rPr>
          <w:color w:val="231F20"/>
          <w:w w:val="120"/>
        </w:rPr>
        <w:t>incolore, mais</w:t>
      </w:r>
      <w:r>
        <w:rPr>
          <w:color w:val="231F20"/>
          <w:spacing w:val="-13"/>
          <w:w w:val="120"/>
        </w:rPr>
        <w:t> </w:t>
      </w:r>
      <w:r>
        <w:rPr>
          <w:color w:val="231F20"/>
          <w:w w:val="120"/>
        </w:rPr>
        <w:t>qui</w:t>
      </w:r>
      <w:r>
        <w:rPr>
          <w:color w:val="231F20"/>
          <w:spacing w:val="-13"/>
          <w:w w:val="120"/>
        </w:rPr>
        <w:t> </w:t>
      </w:r>
      <w:r>
        <w:rPr>
          <w:color w:val="231F20"/>
          <w:w w:val="120"/>
        </w:rPr>
        <w:t>a</w:t>
      </w:r>
      <w:r>
        <w:rPr>
          <w:color w:val="231F20"/>
          <w:spacing w:val="-13"/>
          <w:w w:val="120"/>
        </w:rPr>
        <w:t> </w:t>
      </w:r>
      <w:r>
        <w:rPr>
          <w:color w:val="231F20"/>
          <w:w w:val="120"/>
        </w:rPr>
        <w:t>des</w:t>
      </w:r>
      <w:r>
        <w:rPr>
          <w:color w:val="231F20"/>
          <w:spacing w:val="-12"/>
          <w:w w:val="120"/>
        </w:rPr>
        <w:t> </w:t>
      </w:r>
      <w:r>
        <w:rPr>
          <w:color w:val="231F20"/>
          <w:w w:val="120"/>
        </w:rPr>
        <w:t>effets</w:t>
      </w:r>
      <w:r>
        <w:rPr>
          <w:color w:val="231F20"/>
          <w:spacing w:val="-13"/>
          <w:w w:val="120"/>
        </w:rPr>
        <w:t> </w:t>
      </w:r>
      <w:r>
        <w:rPr>
          <w:color w:val="231F20"/>
          <w:w w:val="120"/>
        </w:rPr>
        <w:t>potentiellement</w:t>
      </w:r>
      <w:r>
        <w:rPr>
          <w:color w:val="231F20"/>
          <w:spacing w:val="-13"/>
          <w:w w:val="120"/>
        </w:rPr>
        <w:t> </w:t>
      </w:r>
      <w:r>
        <w:rPr>
          <w:color w:val="231F20"/>
          <w:w w:val="120"/>
        </w:rPr>
        <w:t>dévastateurs</w:t>
      </w:r>
      <w:r>
        <w:rPr>
          <w:color w:val="231F20"/>
          <w:spacing w:val="-13"/>
          <w:w w:val="120"/>
        </w:rPr>
        <w:t> </w:t>
      </w:r>
      <w:r>
        <w:rPr>
          <w:color w:val="231F20"/>
          <w:w w:val="120"/>
        </w:rPr>
        <w:t>sur</w:t>
      </w:r>
      <w:r>
        <w:rPr>
          <w:color w:val="231F20"/>
          <w:spacing w:val="-12"/>
          <w:w w:val="120"/>
        </w:rPr>
        <w:t> </w:t>
      </w:r>
      <w:r>
        <w:rPr>
          <w:color w:val="231F20"/>
          <w:w w:val="120"/>
        </w:rPr>
        <w:t>la</w:t>
      </w:r>
      <w:r>
        <w:rPr>
          <w:color w:val="231F20"/>
          <w:spacing w:val="-13"/>
          <w:w w:val="120"/>
        </w:rPr>
        <w:t> </w:t>
      </w:r>
      <w:r>
        <w:rPr>
          <w:color w:val="231F20"/>
          <w:w w:val="120"/>
        </w:rPr>
        <w:t>santé</w:t>
      </w:r>
      <w:r>
        <w:rPr>
          <w:color w:val="231F20"/>
          <w:spacing w:val="-13"/>
          <w:w w:val="120"/>
        </w:rPr>
        <w:t> </w:t>
      </w:r>
      <w:r>
        <w:rPr>
          <w:color w:val="231F20"/>
          <w:w w:val="120"/>
        </w:rPr>
        <w:t>et</w:t>
      </w:r>
      <w:r>
        <w:rPr>
          <w:color w:val="231F20"/>
          <w:spacing w:val="-13"/>
          <w:w w:val="120"/>
        </w:rPr>
        <w:t> </w:t>
      </w:r>
      <w:r>
        <w:rPr>
          <w:color w:val="231F20"/>
          <w:w w:val="120"/>
        </w:rPr>
        <w:t>le</w:t>
      </w:r>
      <w:r>
        <w:rPr>
          <w:color w:val="231F20"/>
          <w:spacing w:val="-12"/>
          <w:w w:val="120"/>
        </w:rPr>
        <w:t> </w:t>
      </w:r>
      <w:r>
        <w:rPr>
          <w:color w:val="231F20"/>
          <w:w w:val="120"/>
        </w:rPr>
        <w:t>bien- </w:t>
      </w:r>
      <w:r>
        <w:rPr>
          <w:color w:val="231F20"/>
          <w:w w:val="115"/>
        </w:rPr>
        <w:t>être des individus comme sur celui des organisations. La maxime formu- </w:t>
      </w:r>
      <w:r>
        <w:rPr>
          <w:color w:val="231F20"/>
          <w:w w:val="110"/>
        </w:rPr>
        <w:t>lée</w:t>
      </w:r>
      <w:r>
        <w:rPr>
          <w:color w:val="231F20"/>
          <w:spacing w:val="-12"/>
          <w:w w:val="110"/>
        </w:rPr>
        <w:t> </w:t>
      </w:r>
      <w:r>
        <w:rPr>
          <w:color w:val="231F20"/>
          <w:w w:val="110"/>
        </w:rPr>
        <w:t>par</w:t>
      </w:r>
      <w:r>
        <w:rPr>
          <w:color w:val="231F20"/>
          <w:spacing w:val="-12"/>
          <w:w w:val="110"/>
        </w:rPr>
        <w:t> </w:t>
      </w:r>
      <w:r>
        <w:rPr>
          <w:color w:val="231F20"/>
          <w:w w:val="110"/>
        </w:rPr>
        <w:t>Thomas Hobbes voulant que l’«</w:t>
      </w:r>
      <w:r>
        <w:rPr>
          <w:color w:val="231F20"/>
          <w:spacing w:val="-12"/>
          <w:w w:val="110"/>
        </w:rPr>
        <w:t> </w:t>
      </w:r>
      <w:r>
        <w:rPr>
          <w:i/>
          <w:color w:val="231F20"/>
          <w:w w:val="110"/>
        </w:rPr>
        <w:t>Homme est un loup pour l’Homme</w:t>
      </w:r>
      <w:r>
        <w:rPr>
          <w:i/>
          <w:color w:val="231F20"/>
          <w:spacing w:val="-12"/>
          <w:w w:val="110"/>
        </w:rPr>
        <w:t> </w:t>
      </w:r>
      <w:r>
        <w:rPr>
          <w:color w:val="231F20"/>
          <w:w w:val="110"/>
        </w:rPr>
        <w:t>» </w:t>
      </w:r>
      <w:r>
        <w:rPr>
          <w:color w:val="231F20"/>
          <w:w w:val="120"/>
        </w:rPr>
        <w:t>nous</w:t>
      </w:r>
      <w:r>
        <w:rPr>
          <w:color w:val="231F20"/>
          <w:spacing w:val="-12"/>
          <w:w w:val="120"/>
        </w:rPr>
        <w:t> </w:t>
      </w:r>
      <w:r>
        <w:rPr>
          <w:color w:val="231F20"/>
          <w:w w:val="120"/>
        </w:rPr>
        <w:t>semble</w:t>
      </w:r>
      <w:r>
        <w:rPr>
          <w:color w:val="231F20"/>
          <w:spacing w:val="-12"/>
          <w:w w:val="120"/>
        </w:rPr>
        <w:t> </w:t>
      </w:r>
      <w:r>
        <w:rPr>
          <w:color w:val="231F20"/>
          <w:w w:val="120"/>
        </w:rPr>
        <w:t>prophétique</w:t>
      </w:r>
      <w:r>
        <w:rPr>
          <w:color w:val="231F20"/>
          <w:spacing w:val="-12"/>
          <w:w w:val="120"/>
        </w:rPr>
        <w:t> </w:t>
      </w:r>
      <w:r>
        <w:rPr>
          <w:color w:val="231F20"/>
          <w:w w:val="120"/>
        </w:rPr>
        <w:t>lorsqu’il</w:t>
      </w:r>
      <w:r>
        <w:rPr>
          <w:color w:val="231F20"/>
          <w:spacing w:val="-12"/>
          <w:w w:val="120"/>
        </w:rPr>
        <w:t> </w:t>
      </w:r>
      <w:r>
        <w:rPr>
          <w:color w:val="231F20"/>
          <w:w w:val="120"/>
        </w:rPr>
        <w:t>est</w:t>
      </w:r>
      <w:r>
        <w:rPr>
          <w:color w:val="231F20"/>
          <w:spacing w:val="-12"/>
          <w:w w:val="120"/>
        </w:rPr>
        <w:t> </w:t>
      </w:r>
      <w:r>
        <w:rPr>
          <w:color w:val="231F20"/>
          <w:w w:val="120"/>
        </w:rPr>
        <w:t>question</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gestion</w:t>
      </w:r>
      <w:r>
        <w:rPr>
          <w:color w:val="231F20"/>
          <w:spacing w:val="-12"/>
          <w:w w:val="120"/>
        </w:rPr>
        <w:t> </w:t>
      </w:r>
      <w:r>
        <w:rPr>
          <w:color w:val="231F20"/>
          <w:w w:val="120"/>
        </w:rPr>
        <w:t>du</w:t>
      </w:r>
      <w:r>
        <w:rPr>
          <w:color w:val="231F20"/>
          <w:spacing w:val="-12"/>
          <w:w w:val="120"/>
        </w:rPr>
        <w:t> </w:t>
      </w:r>
      <w:r>
        <w:rPr>
          <w:color w:val="231F20"/>
          <w:w w:val="120"/>
        </w:rPr>
        <w:t>stress</w:t>
      </w:r>
      <w:r>
        <w:rPr>
          <w:color w:val="231F20"/>
          <w:spacing w:val="-12"/>
          <w:w w:val="120"/>
        </w:rPr>
        <w:t> </w:t>
      </w:r>
      <w:r>
        <w:rPr>
          <w:color w:val="231F20"/>
          <w:w w:val="120"/>
        </w:rPr>
        <w:t>et </w:t>
      </w:r>
      <w:r>
        <w:rPr>
          <w:color w:val="231F20"/>
          <w:w w:val="115"/>
        </w:rPr>
        <w:t>de</w:t>
      </w:r>
      <w:r>
        <w:rPr>
          <w:color w:val="231F20"/>
          <w:spacing w:val="-1"/>
          <w:w w:val="115"/>
        </w:rPr>
        <w:t> </w:t>
      </w:r>
      <w:r>
        <w:rPr>
          <w:color w:val="231F20"/>
          <w:w w:val="115"/>
        </w:rPr>
        <w:t>la</w:t>
      </w:r>
      <w:r>
        <w:rPr>
          <w:color w:val="231F20"/>
          <w:spacing w:val="-1"/>
          <w:w w:val="115"/>
        </w:rPr>
        <w:t> </w:t>
      </w:r>
      <w:r>
        <w:rPr>
          <w:color w:val="231F20"/>
          <w:w w:val="115"/>
        </w:rPr>
        <w:t>santé</w:t>
      </w:r>
      <w:r>
        <w:rPr>
          <w:color w:val="231F20"/>
          <w:spacing w:val="-1"/>
          <w:w w:val="115"/>
        </w:rPr>
        <w:t> </w:t>
      </w:r>
      <w:r>
        <w:rPr>
          <w:color w:val="231F20"/>
          <w:w w:val="115"/>
        </w:rPr>
        <w:t>psychologique</w:t>
      </w:r>
      <w:r>
        <w:rPr>
          <w:color w:val="231F20"/>
          <w:spacing w:val="-1"/>
          <w:w w:val="115"/>
        </w:rPr>
        <w:t> </w:t>
      </w:r>
      <w:r>
        <w:rPr>
          <w:color w:val="231F20"/>
          <w:w w:val="115"/>
        </w:rPr>
        <w:t>au</w:t>
      </w:r>
      <w:r>
        <w:rPr>
          <w:color w:val="231F20"/>
          <w:spacing w:val="-1"/>
          <w:w w:val="115"/>
        </w:rPr>
        <w:t> </w:t>
      </w:r>
      <w:r>
        <w:rPr>
          <w:color w:val="231F20"/>
          <w:w w:val="115"/>
        </w:rPr>
        <w:t>travail.</w:t>
      </w:r>
      <w:r>
        <w:rPr>
          <w:color w:val="231F20"/>
          <w:spacing w:val="-1"/>
          <w:w w:val="115"/>
        </w:rPr>
        <w:t> </w:t>
      </w:r>
      <w:r>
        <w:rPr>
          <w:color w:val="231F20"/>
          <w:w w:val="115"/>
        </w:rPr>
        <w:t>Actuellement,</w:t>
      </w:r>
      <w:r>
        <w:rPr>
          <w:color w:val="231F20"/>
          <w:spacing w:val="-1"/>
          <w:w w:val="115"/>
        </w:rPr>
        <w:t> </w:t>
      </w:r>
      <w:r>
        <w:rPr>
          <w:color w:val="231F20"/>
          <w:w w:val="115"/>
        </w:rPr>
        <w:t>nous</w:t>
      </w:r>
      <w:r>
        <w:rPr>
          <w:color w:val="231F20"/>
          <w:spacing w:val="-1"/>
          <w:w w:val="115"/>
        </w:rPr>
        <w:t> </w:t>
      </w:r>
      <w:r>
        <w:rPr>
          <w:color w:val="231F20"/>
          <w:w w:val="115"/>
        </w:rPr>
        <w:t>sommes</w:t>
      </w:r>
      <w:r>
        <w:rPr>
          <w:color w:val="231F20"/>
          <w:spacing w:val="-1"/>
          <w:w w:val="115"/>
        </w:rPr>
        <w:t> </w:t>
      </w:r>
      <w:r>
        <w:rPr>
          <w:color w:val="231F20"/>
          <w:w w:val="115"/>
        </w:rPr>
        <w:t>obligés </w:t>
      </w:r>
      <w:r>
        <w:rPr>
          <w:color w:val="231F20"/>
          <w:w w:val="120"/>
        </w:rPr>
        <w:t>d’admettre</w:t>
      </w:r>
      <w:r>
        <w:rPr>
          <w:color w:val="231F20"/>
          <w:spacing w:val="-11"/>
          <w:w w:val="120"/>
        </w:rPr>
        <w:t> </w:t>
      </w:r>
      <w:r>
        <w:rPr>
          <w:color w:val="231F20"/>
          <w:w w:val="120"/>
        </w:rPr>
        <w:t>que</w:t>
      </w:r>
      <w:r>
        <w:rPr>
          <w:color w:val="231F20"/>
          <w:spacing w:val="-11"/>
          <w:w w:val="120"/>
        </w:rPr>
        <w:t> </w:t>
      </w:r>
      <w:r>
        <w:rPr>
          <w:color w:val="231F20"/>
          <w:w w:val="120"/>
        </w:rPr>
        <w:t>l’Homme</w:t>
      </w:r>
      <w:r>
        <w:rPr>
          <w:color w:val="231F20"/>
          <w:spacing w:val="-11"/>
          <w:w w:val="120"/>
        </w:rPr>
        <w:t> </w:t>
      </w:r>
      <w:r>
        <w:rPr>
          <w:color w:val="231F20"/>
          <w:w w:val="120"/>
        </w:rPr>
        <w:t>est</w:t>
      </w:r>
      <w:r>
        <w:rPr>
          <w:color w:val="231F20"/>
          <w:spacing w:val="-11"/>
          <w:w w:val="120"/>
        </w:rPr>
        <w:t> </w:t>
      </w:r>
      <w:r>
        <w:rPr>
          <w:color w:val="231F20"/>
          <w:w w:val="120"/>
        </w:rPr>
        <w:t>souvent</w:t>
      </w:r>
      <w:r>
        <w:rPr>
          <w:color w:val="231F20"/>
          <w:spacing w:val="-11"/>
          <w:w w:val="120"/>
        </w:rPr>
        <w:t> </w:t>
      </w:r>
      <w:r>
        <w:rPr>
          <w:color w:val="231F20"/>
          <w:w w:val="120"/>
        </w:rPr>
        <w:t>le</w:t>
      </w:r>
      <w:r>
        <w:rPr>
          <w:color w:val="231F20"/>
          <w:spacing w:val="-11"/>
          <w:w w:val="120"/>
        </w:rPr>
        <w:t> </w:t>
      </w:r>
      <w:r>
        <w:rPr>
          <w:color w:val="231F20"/>
          <w:w w:val="120"/>
        </w:rPr>
        <w:t>plus</w:t>
      </w:r>
      <w:r>
        <w:rPr>
          <w:color w:val="231F20"/>
          <w:spacing w:val="-11"/>
          <w:w w:val="120"/>
        </w:rPr>
        <w:t> </w:t>
      </w:r>
      <w:r>
        <w:rPr>
          <w:color w:val="231F20"/>
          <w:w w:val="120"/>
        </w:rPr>
        <w:t>grand</w:t>
      </w:r>
      <w:r>
        <w:rPr>
          <w:color w:val="231F20"/>
          <w:spacing w:val="-11"/>
          <w:w w:val="120"/>
        </w:rPr>
        <w:t> </w:t>
      </w:r>
      <w:r>
        <w:rPr>
          <w:color w:val="231F20"/>
          <w:w w:val="120"/>
        </w:rPr>
        <w:t>ennemi</w:t>
      </w:r>
      <w:r>
        <w:rPr>
          <w:color w:val="231F20"/>
          <w:spacing w:val="-11"/>
          <w:w w:val="120"/>
        </w:rPr>
        <w:t> </w:t>
      </w:r>
      <w:r>
        <w:rPr>
          <w:color w:val="231F20"/>
          <w:w w:val="120"/>
        </w:rPr>
        <w:t>de</w:t>
      </w:r>
      <w:r>
        <w:rPr>
          <w:color w:val="231F20"/>
          <w:spacing w:val="-11"/>
          <w:w w:val="120"/>
        </w:rPr>
        <w:t> </w:t>
      </w:r>
      <w:r>
        <w:rPr>
          <w:color w:val="231F20"/>
          <w:w w:val="120"/>
        </w:rPr>
        <w:t>sa</w:t>
      </w:r>
      <w:r>
        <w:rPr>
          <w:color w:val="231F20"/>
          <w:spacing w:val="-11"/>
          <w:w w:val="120"/>
        </w:rPr>
        <w:t> </w:t>
      </w:r>
      <w:r>
        <w:rPr>
          <w:color w:val="231F20"/>
          <w:w w:val="120"/>
        </w:rPr>
        <w:t>propre santé psychologique au travail!</w:t>
      </w:r>
    </w:p>
    <w:p>
      <w:pPr>
        <w:pStyle w:val="BodyText"/>
        <w:spacing w:line="307" w:lineRule="auto" w:before="77"/>
        <w:ind w:left="790" w:right="633" w:firstLine="250"/>
        <w:jc w:val="both"/>
      </w:pPr>
      <w:r>
        <w:rPr>
          <w:color w:val="231F20"/>
          <w:w w:val="120"/>
        </w:rPr>
        <w:t>En résumé, depuis le début du XXI</w:t>
      </w:r>
      <w:r>
        <w:rPr>
          <w:color w:val="231F20"/>
          <w:w w:val="120"/>
          <w:position w:val="6"/>
          <w:sz w:val="10"/>
        </w:rPr>
        <w:t>e</w:t>
      </w:r>
      <w:r>
        <w:rPr>
          <w:color w:val="231F20"/>
          <w:spacing w:val="40"/>
          <w:w w:val="120"/>
          <w:position w:val="6"/>
          <w:sz w:val="10"/>
        </w:rPr>
        <w:t> </w:t>
      </w:r>
      <w:r>
        <w:rPr>
          <w:color w:val="231F20"/>
          <w:w w:val="120"/>
        </w:rPr>
        <w:t>siècle, des transformations socio-organisationnelles importantes sont opérées dans la plupart des organisations du monde. Une concurrence accrue, une mondialisation des économies, une entrée massive des technologies de l’information dans les processus productifs sont quelques exemples des facteurs de renouvellement touchant les entreprises. Dans ce contexte, une quête</w:t>
      </w:r>
    </w:p>
    <w:p>
      <w:pPr>
        <w:spacing w:after="0" w:line="307" w:lineRule="auto"/>
        <w:jc w:val="both"/>
        <w:sectPr>
          <w:footerReference w:type="default" r:id="rId25"/>
          <w:pgSz w:w="8640" w:h="12960"/>
          <w:pgMar w:footer="424" w:header="0" w:top="520" w:bottom="620" w:left="460" w:right="1000"/>
        </w:sectPr>
      </w:pPr>
    </w:p>
    <w:p>
      <w:pPr>
        <w:spacing w:before="118"/>
        <w:ind w:left="930" w:right="0" w:firstLine="0"/>
        <w:jc w:val="center"/>
        <w:rPr>
          <w:rFonts w:ascii="Arial"/>
          <w:sz w:val="14"/>
        </w:rPr>
      </w:pPr>
      <w:r>
        <w:rPr>
          <w:rFonts w:ascii="Arial"/>
          <w:color w:val="231F20"/>
          <w:spacing w:val="-2"/>
          <w:w w:val="105"/>
          <w:sz w:val="14"/>
        </w:rPr>
        <w:t>Introduction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6"/>
        <w:jc w:val="both"/>
      </w:pPr>
      <w:r>
        <w:rPr>
          <w:color w:val="231F20"/>
          <w:w w:val="120"/>
        </w:rPr>
        <w:t>historiquement inégalée d’efficacité, d’efficience et de rendement est </w:t>
      </w:r>
      <w:r>
        <w:rPr>
          <w:color w:val="231F20"/>
          <w:spacing w:val="-2"/>
          <w:w w:val="120"/>
        </w:rPr>
        <w:t>instaurée</w:t>
      </w:r>
      <w:r>
        <w:rPr>
          <w:color w:val="231F20"/>
          <w:spacing w:val="-9"/>
          <w:w w:val="120"/>
        </w:rPr>
        <w:t> </w:t>
      </w:r>
      <w:r>
        <w:rPr>
          <w:color w:val="231F20"/>
          <w:spacing w:val="-2"/>
          <w:w w:val="120"/>
        </w:rPr>
        <w:t>par</w:t>
      </w:r>
      <w:r>
        <w:rPr>
          <w:color w:val="231F20"/>
          <w:spacing w:val="-9"/>
          <w:w w:val="120"/>
        </w:rPr>
        <w:t> </w:t>
      </w:r>
      <w:r>
        <w:rPr>
          <w:color w:val="231F20"/>
          <w:spacing w:val="-2"/>
          <w:w w:val="120"/>
        </w:rPr>
        <w:t>les</w:t>
      </w:r>
      <w:r>
        <w:rPr>
          <w:color w:val="231F20"/>
          <w:spacing w:val="-9"/>
          <w:w w:val="120"/>
        </w:rPr>
        <w:t> </w:t>
      </w:r>
      <w:r>
        <w:rPr>
          <w:color w:val="231F20"/>
          <w:spacing w:val="-2"/>
          <w:w w:val="120"/>
        </w:rPr>
        <w:t>gestionnaires,</w:t>
      </w:r>
      <w:r>
        <w:rPr>
          <w:color w:val="231F20"/>
          <w:spacing w:val="-9"/>
          <w:w w:val="120"/>
        </w:rPr>
        <w:t> </w:t>
      </w:r>
      <w:r>
        <w:rPr>
          <w:color w:val="231F20"/>
          <w:spacing w:val="-2"/>
          <w:w w:val="120"/>
        </w:rPr>
        <w:t>quête</w:t>
      </w:r>
      <w:r>
        <w:rPr>
          <w:color w:val="231F20"/>
          <w:spacing w:val="-9"/>
          <w:w w:val="120"/>
        </w:rPr>
        <w:t> </w:t>
      </w:r>
      <w:r>
        <w:rPr>
          <w:color w:val="231F20"/>
          <w:spacing w:val="-2"/>
          <w:w w:val="120"/>
        </w:rPr>
        <w:t>qui</w:t>
      </w:r>
      <w:r>
        <w:rPr>
          <w:color w:val="231F20"/>
          <w:spacing w:val="-9"/>
          <w:w w:val="120"/>
        </w:rPr>
        <w:t> </w:t>
      </w:r>
      <w:r>
        <w:rPr>
          <w:color w:val="231F20"/>
          <w:spacing w:val="-2"/>
          <w:w w:val="120"/>
        </w:rPr>
        <w:t>évidemment</w:t>
      </w:r>
      <w:r>
        <w:rPr>
          <w:color w:val="231F20"/>
          <w:spacing w:val="-9"/>
          <w:w w:val="120"/>
        </w:rPr>
        <w:t> </w:t>
      </w:r>
      <w:r>
        <w:rPr>
          <w:color w:val="231F20"/>
          <w:spacing w:val="-2"/>
          <w:w w:val="120"/>
        </w:rPr>
        <w:t>demande</w:t>
      </w:r>
      <w:r>
        <w:rPr>
          <w:color w:val="231F20"/>
          <w:spacing w:val="-9"/>
          <w:w w:val="120"/>
        </w:rPr>
        <w:t> </w:t>
      </w:r>
      <w:r>
        <w:rPr>
          <w:color w:val="231F20"/>
          <w:spacing w:val="-2"/>
          <w:w w:val="120"/>
        </w:rPr>
        <w:t>un</w:t>
      </w:r>
      <w:r>
        <w:rPr>
          <w:color w:val="231F20"/>
          <w:spacing w:val="-9"/>
          <w:w w:val="120"/>
        </w:rPr>
        <w:t> </w:t>
      </w:r>
      <w:r>
        <w:rPr>
          <w:color w:val="231F20"/>
          <w:spacing w:val="-2"/>
          <w:w w:val="120"/>
        </w:rPr>
        <w:t>enga- gement</w:t>
      </w:r>
      <w:r>
        <w:rPr>
          <w:color w:val="231F20"/>
          <w:spacing w:val="-11"/>
          <w:w w:val="120"/>
        </w:rPr>
        <w:t> </w:t>
      </w:r>
      <w:r>
        <w:rPr>
          <w:color w:val="231F20"/>
          <w:spacing w:val="-2"/>
          <w:w w:val="120"/>
        </w:rPr>
        <w:t>considérable</w:t>
      </w:r>
      <w:r>
        <w:rPr>
          <w:color w:val="231F20"/>
          <w:spacing w:val="-11"/>
          <w:w w:val="120"/>
        </w:rPr>
        <w:t> </w:t>
      </w:r>
      <w:r>
        <w:rPr>
          <w:color w:val="231F20"/>
          <w:spacing w:val="-2"/>
          <w:w w:val="120"/>
        </w:rPr>
        <w:t>et</w:t>
      </w:r>
      <w:r>
        <w:rPr>
          <w:color w:val="231F20"/>
          <w:spacing w:val="-11"/>
          <w:w w:val="120"/>
        </w:rPr>
        <w:t> </w:t>
      </w:r>
      <w:r>
        <w:rPr>
          <w:color w:val="231F20"/>
          <w:spacing w:val="-2"/>
          <w:w w:val="120"/>
        </w:rPr>
        <w:t>des</w:t>
      </w:r>
      <w:r>
        <w:rPr>
          <w:color w:val="231F20"/>
          <w:spacing w:val="-10"/>
          <w:w w:val="120"/>
        </w:rPr>
        <w:t> </w:t>
      </w:r>
      <w:r>
        <w:rPr>
          <w:color w:val="231F20"/>
          <w:spacing w:val="-2"/>
          <w:w w:val="120"/>
        </w:rPr>
        <w:t>efforts</w:t>
      </w:r>
      <w:r>
        <w:rPr>
          <w:color w:val="231F20"/>
          <w:spacing w:val="-11"/>
          <w:w w:val="120"/>
        </w:rPr>
        <w:t> </w:t>
      </w:r>
      <w:r>
        <w:rPr>
          <w:color w:val="231F20"/>
          <w:spacing w:val="-2"/>
          <w:w w:val="120"/>
        </w:rPr>
        <w:t>constants</w:t>
      </w:r>
      <w:r>
        <w:rPr>
          <w:color w:val="231F20"/>
          <w:spacing w:val="-11"/>
          <w:w w:val="120"/>
        </w:rPr>
        <w:t> </w:t>
      </w:r>
      <w:r>
        <w:rPr>
          <w:color w:val="231F20"/>
          <w:spacing w:val="-2"/>
          <w:w w:val="120"/>
        </w:rPr>
        <w:t>aux</w:t>
      </w:r>
      <w:r>
        <w:rPr>
          <w:color w:val="231F20"/>
          <w:spacing w:val="-11"/>
          <w:w w:val="120"/>
        </w:rPr>
        <w:t> </w:t>
      </w:r>
      <w:r>
        <w:rPr>
          <w:color w:val="231F20"/>
          <w:spacing w:val="-2"/>
          <w:w w:val="120"/>
        </w:rPr>
        <w:t>travailleurs</w:t>
      </w:r>
      <w:r>
        <w:rPr>
          <w:color w:val="231F20"/>
          <w:spacing w:val="-10"/>
          <w:w w:val="120"/>
        </w:rPr>
        <w:t> </w:t>
      </w:r>
      <w:r>
        <w:rPr>
          <w:color w:val="231F20"/>
          <w:spacing w:val="-2"/>
          <w:w w:val="120"/>
        </w:rPr>
        <w:t>et</w:t>
      </w:r>
      <w:r>
        <w:rPr>
          <w:color w:val="231F20"/>
          <w:spacing w:val="-11"/>
          <w:w w:val="120"/>
        </w:rPr>
        <w:t> </w:t>
      </w:r>
      <w:r>
        <w:rPr>
          <w:color w:val="231F20"/>
          <w:spacing w:val="-2"/>
          <w:w w:val="120"/>
        </w:rPr>
        <w:t>qui</w:t>
      </w:r>
      <w:r>
        <w:rPr>
          <w:color w:val="231F20"/>
          <w:spacing w:val="-11"/>
          <w:w w:val="120"/>
        </w:rPr>
        <w:t> </w:t>
      </w:r>
      <w:r>
        <w:rPr>
          <w:color w:val="231F20"/>
          <w:spacing w:val="-2"/>
          <w:w w:val="120"/>
        </w:rPr>
        <w:t>se</w:t>
      </w:r>
      <w:r>
        <w:rPr>
          <w:color w:val="231F20"/>
          <w:spacing w:val="-11"/>
          <w:w w:val="120"/>
        </w:rPr>
        <w:t> </w:t>
      </w:r>
      <w:r>
        <w:rPr>
          <w:color w:val="231F20"/>
          <w:spacing w:val="-2"/>
          <w:w w:val="120"/>
        </w:rPr>
        <w:t>fait </w:t>
      </w:r>
      <w:r>
        <w:rPr>
          <w:color w:val="231F20"/>
          <w:w w:val="120"/>
        </w:rPr>
        <w:t>la</w:t>
      </w:r>
      <w:r>
        <w:rPr>
          <w:color w:val="231F20"/>
          <w:spacing w:val="-10"/>
          <w:w w:val="120"/>
        </w:rPr>
        <w:t> </w:t>
      </w:r>
      <w:r>
        <w:rPr>
          <w:color w:val="231F20"/>
          <w:w w:val="120"/>
        </w:rPr>
        <w:t>plupart</w:t>
      </w:r>
      <w:r>
        <w:rPr>
          <w:color w:val="231F20"/>
          <w:spacing w:val="-10"/>
          <w:w w:val="120"/>
        </w:rPr>
        <w:t> </w:t>
      </w:r>
      <w:r>
        <w:rPr>
          <w:color w:val="231F20"/>
          <w:w w:val="120"/>
        </w:rPr>
        <w:t>du</w:t>
      </w:r>
      <w:r>
        <w:rPr>
          <w:color w:val="231F20"/>
          <w:spacing w:val="-10"/>
          <w:w w:val="120"/>
        </w:rPr>
        <w:t> </w:t>
      </w:r>
      <w:r>
        <w:rPr>
          <w:color w:val="231F20"/>
          <w:w w:val="120"/>
        </w:rPr>
        <w:t>temps</w:t>
      </w:r>
      <w:r>
        <w:rPr>
          <w:color w:val="231F20"/>
          <w:spacing w:val="-10"/>
          <w:w w:val="120"/>
        </w:rPr>
        <w:t> </w:t>
      </w:r>
      <w:r>
        <w:rPr>
          <w:color w:val="231F20"/>
          <w:w w:val="120"/>
        </w:rPr>
        <w:t>au</w:t>
      </w:r>
      <w:r>
        <w:rPr>
          <w:color w:val="231F20"/>
          <w:spacing w:val="-10"/>
          <w:w w:val="120"/>
        </w:rPr>
        <w:t> </w:t>
      </w:r>
      <w:r>
        <w:rPr>
          <w:color w:val="231F20"/>
          <w:w w:val="120"/>
        </w:rPr>
        <w:t>détriment</w:t>
      </w:r>
      <w:r>
        <w:rPr>
          <w:color w:val="231F20"/>
          <w:spacing w:val="-10"/>
          <w:w w:val="120"/>
        </w:rPr>
        <w:t> </w:t>
      </w:r>
      <w:r>
        <w:rPr>
          <w:color w:val="231F20"/>
          <w:w w:val="120"/>
        </w:rPr>
        <w:t>de</w:t>
      </w:r>
      <w:r>
        <w:rPr>
          <w:color w:val="231F20"/>
          <w:spacing w:val="-10"/>
          <w:w w:val="120"/>
        </w:rPr>
        <w:t> </w:t>
      </w:r>
      <w:r>
        <w:rPr>
          <w:color w:val="231F20"/>
          <w:w w:val="120"/>
        </w:rPr>
        <w:t>leur</w:t>
      </w:r>
      <w:r>
        <w:rPr>
          <w:color w:val="231F20"/>
          <w:spacing w:val="-10"/>
          <w:w w:val="120"/>
        </w:rPr>
        <w:t> </w:t>
      </w:r>
      <w:r>
        <w:rPr>
          <w:color w:val="231F20"/>
          <w:w w:val="120"/>
        </w:rPr>
        <w:t>santé</w:t>
      </w:r>
      <w:r>
        <w:rPr>
          <w:color w:val="231F20"/>
          <w:spacing w:val="-10"/>
          <w:w w:val="120"/>
        </w:rPr>
        <w:t> </w:t>
      </w:r>
      <w:r>
        <w:rPr>
          <w:color w:val="231F20"/>
          <w:w w:val="120"/>
        </w:rPr>
        <w:t>psychologique.</w:t>
      </w:r>
      <w:r>
        <w:rPr>
          <w:color w:val="231F20"/>
          <w:spacing w:val="-10"/>
          <w:w w:val="120"/>
        </w:rPr>
        <w:t> </w:t>
      </w:r>
      <w:r>
        <w:rPr>
          <w:color w:val="231F20"/>
          <w:w w:val="120"/>
        </w:rPr>
        <w:t>Pourtant, </w:t>
      </w:r>
      <w:r>
        <w:rPr>
          <w:color w:val="231F20"/>
          <w:spacing w:val="-2"/>
          <w:w w:val="120"/>
        </w:rPr>
        <w:t>il</w:t>
      </w:r>
      <w:r>
        <w:rPr>
          <w:color w:val="231F20"/>
          <w:spacing w:val="-4"/>
          <w:w w:val="120"/>
        </w:rPr>
        <w:t> </w:t>
      </w:r>
      <w:r>
        <w:rPr>
          <w:color w:val="231F20"/>
          <w:spacing w:val="-2"/>
          <w:w w:val="120"/>
        </w:rPr>
        <w:t>est</w:t>
      </w:r>
      <w:r>
        <w:rPr>
          <w:color w:val="231F20"/>
          <w:spacing w:val="-4"/>
          <w:w w:val="120"/>
        </w:rPr>
        <w:t> </w:t>
      </w:r>
      <w:r>
        <w:rPr>
          <w:color w:val="231F20"/>
          <w:spacing w:val="-2"/>
          <w:w w:val="120"/>
        </w:rPr>
        <w:t>possible</w:t>
      </w:r>
      <w:r>
        <w:rPr>
          <w:color w:val="231F20"/>
          <w:spacing w:val="-4"/>
          <w:w w:val="120"/>
        </w:rPr>
        <w:t> </w:t>
      </w:r>
      <w:r>
        <w:rPr>
          <w:color w:val="231F20"/>
          <w:spacing w:val="-2"/>
          <w:w w:val="120"/>
        </w:rPr>
        <w:t>de</w:t>
      </w:r>
      <w:r>
        <w:rPr>
          <w:color w:val="231F20"/>
          <w:spacing w:val="-4"/>
          <w:w w:val="120"/>
        </w:rPr>
        <w:t> </w:t>
      </w:r>
      <w:r>
        <w:rPr>
          <w:color w:val="231F20"/>
          <w:spacing w:val="-2"/>
          <w:w w:val="120"/>
        </w:rPr>
        <w:t>réconcilier</w:t>
      </w:r>
      <w:r>
        <w:rPr>
          <w:color w:val="231F20"/>
          <w:spacing w:val="-4"/>
          <w:w w:val="120"/>
        </w:rPr>
        <w:t> </w:t>
      </w:r>
      <w:r>
        <w:rPr>
          <w:color w:val="231F20"/>
          <w:spacing w:val="-2"/>
          <w:w w:val="120"/>
        </w:rPr>
        <w:t>la</w:t>
      </w:r>
      <w:r>
        <w:rPr>
          <w:color w:val="231F20"/>
          <w:spacing w:val="-4"/>
          <w:w w:val="120"/>
        </w:rPr>
        <w:t> </w:t>
      </w:r>
      <w:r>
        <w:rPr>
          <w:color w:val="231F20"/>
          <w:spacing w:val="-2"/>
          <w:w w:val="120"/>
        </w:rPr>
        <w:t>performance</w:t>
      </w:r>
      <w:r>
        <w:rPr>
          <w:color w:val="231F20"/>
          <w:spacing w:val="-4"/>
          <w:w w:val="120"/>
        </w:rPr>
        <w:t> </w:t>
      </w:r>
      <w:r>
        <w:rPr>
          <w:color w:val="231F20"/>
          <w:spacing w:val="-2"/>
          <w:w w:val="120"/>
        </w:rPr>
        <w:t>organisationnelle</w:t>
      </w:r>
      <w:r>
        <w:rPr>
          <w:color w:val="231F20"/>
          <w:spacing w:val="-4"/>
          <w:w w:val="120"/>
        </w:rPr>
        <w:t> </w:t>
      </w:r>
      <w:r>
        <w:rPr>
          <w:color w:val="231F20"/>
          <w:spacing w:val="-2"/>
          <w:w w:val="120"/>
        </w:rPr>
        <w:t>et</w:t>
      </w:r>
      <w:r>
        <w:rPr>
          <w:color w:val="231F20"/>
          <w:spacing w:val="-4"/>
          <w:w w:val="120"/>
        </w:rPr>
        <w:t> </w:t>
      </w:r>
      <w:r>
        <w:rPr>
          <w:color w:val="231F20"/>
          <w:spacing w:val="-2"/>
          <w:w w:val="120"/>
        </w:rPr>
        <w:t>la</w:t>
      </w:r>
      <w:r>
        <w:rPr>
          <w:color w:val="231F20"/>
          <w:spacing w:val="-4"/>
          <w:w w:val="120"/>
        </w:rPr>
        <w:t> </w:t>
      </w:r>
      <w:r>
        <w:rPr>
          <w:color w:val="231F20"/>
          <w:spacing w:val="-2"/>
          <w:w w:val="120"/>
        </w:rPr>
        <w:t>santé </w:t>
      </w:r>
      <w:r>
        <w:rPr>
          <w:color w:val="231F20"/>
          <w:w w:val="115"/>
        </w:rPr>
        <w:t>des</w:t>
      </w:r>
      <w:r>
        <w:rPr>
          <w:color w:val="231F20"/>
          <w:spacing w:val="-3"/>
          <w:w w:val="115"/>
        </w:rPr>
        <w:t> </w:t>
      </w:r>
      <w:r>
        <w:rPr>
          <w:color w:val="231F20"/>
          <w:w w:val="115"/>
        </w:rPr>
        <w:t>travailleurs;</w:t>
      </w:r>
      <w:r>
        <w:rPr>
          <w:color w:val="231F20"/>
          <w:spacing w:val="-3"/>
          <w:w w:val="115"/>
        </w:rPr>
        <w:t> </w:t>
      </w:r>
      <w:r>
        <w:rPr>
          <w:color w:val="231F20"/>
          <w:w w:val="115"/>
        </w:rPr>
        <w:t>réconciliation</w:t>
      </w:r>
      <w:r>
        <w:rPr>
          <w:color w:val="231F20"/>
          <w:spacing w:val="-3"/>
          <w:w w:val="115"/>
        </w:rPr>
        <w:t> </w:t>
      </w:r>
      <w:r>
        <w:rPr>
          <w:color w:val="231F20"/>
          <w:w w:val="115"/>
        </w:rPr>
        <w:t>qui</w:t>
      </w:r>
      <w:r>
        <w:rPr>
          <w:color w:val="231F20"/>
          <w:spacing w:val="-3"/>
          <w:w w:val="115"/>
        </w:rPr>
        <w:t> </w:t>
      </w:r>
      <w:r>
        <w:rPr>
          <w:color w:val="231F20"/>
          <w:w w:val="115"/>
        </w:rPr>
        <w:t>demande</w:t>
      </w:r>
      <w:r>
        <w:rPr>
          <w:color w:val="231F20"/>
          <w:spacing w:val="-3"/>
          <w:w w:val="115"/>
        </w:rPr>
        <w:t> </w:t>
      </w:r>
      <w:r>
        <w:rPr>
          <w:color w:val="231F20"/>
          <w:w w:val="115"/>
        </w:rPr>
        <w:t>d’envisager</w:t>
      </w:r>
      <w:r>
        <w:rPr>
          <w:color w:val="231F20"/>
          <w:spacing w:val="-3"/>
          <w:w w:val="115"/>
        </w:rPr>
        <w:t> </w:t>
      </w:r>
      <w:r>
        <w:rPr>
          <w:color w:val="231F20"/>
          <w:w w:val="115"/>
        </w:rPr>
        <w:t>l’une</w:t>
      </w:r>
      <w:r>
        <w:rPr>
          <w:color w:val="231F20"/>
          <w:spacing w:val="-3"/>
          <w:w w:val="115"/>
        </w:rPr>
        <w:t> </w:t>
      </w:r>
      <w:r>
        <w:rPr>
          <w:color w:val="231F20"/>
          <w:w w:val="115"/>
        </w:rPr>
        <w:t>par</w:t>
      </w:r>
      <w:r>
        <w:rPr>
          <w:color w:val="231F20"/>
          <w:spacing w:val="-3"/>
          <w:w w:val="115"/>
        </w:rPr>
        <w:t> </w:t>
      </w:r>
      <w:r>
        <w:rPr>
          <w:color w:val="231F20"/>
          <w:w w:val="115"/>
        </w:rPr>
        <w:t>l’autre, </w:t>
      </w:r>
      <w:r>
        <w:rPr>
          <w:color w:val="231F20"/>
          <w:spacing w:val="-4"/>
          <w:w w:val="120"/>
        </w:rPr>
        <w:t>c’est-à-dire de voir la santé comme un vecteur de performance pérenne et </w:t>
      </w:r>
      <w:r>
        <w:rPr>
          <w:color w:val="231F20"/>
          <w:w w:val="115"/>
        </w:rPr>
        <w:t>la</w:t>
      </w:r>
      <w:r>
        <w:rPr>
          <w:color w:val="231F20"/>
          <w:spacing w:val="-11"/>
          <w:w w:val="115"/>
        </w:rPr>
        <w:t> </w:t>
      </w:r>
      <w:r>
        <w:rPr>
          <w:color w:val="231F20"/>
          <w:w w:val="115"/>
        </w:rPr>
        <w:t>performance</w:t>
      </w:r>
      <w:r>
        <w:rPr>
          <w:color w:val="231F20"/>
          <w:spacing w:val="-11"/>
          <w:w w:val="115"/>
        </w:rPr>
        <w:t> </w:t>
      </w:r>
      <w:r>
        <w:rPr>
          <w:color w:val="231F20"/>
          <w:w w:val="115"/>
        </w:rPr>
        <w:t>comme</w:t>
      </w:r>
      <w:r>
        <w:rPr>
          <w:color w:val="231F20"/>
          <w:spacing w:val="-11"/>
          <w:w w:val="115"/>
        </w:rPr>
        <w:t> </w:t>
      </w:r>
      <w:r>
        <w:rPr>
          <w:color w:val="231F20"/>
          <w:w w:val="115"/>
        </w:rPr>
        <w:t>un</w:t>
      </w:r>
      <w:r>
        <w:rPr>
          <w:color w:val="231F20"/>
          <w:spacing w:val="-11"/>
          <w:w w:val="115"/>
        </w:rPr>
        <w:t> </w:t>
      </w:r>
      <w:r>
        <w:rPr>
          <w:color w:val="231F20"/>
          <w:w w:val="115"/>
        </w:rPr>
        <w:t>levier</w:t>
      </w:r>
      <w:r>
        <w:rPr>
          <w:color w:val="231F20"/>
          <w:spacing w:val="-11"/>
          <w:w w:val="115"/>
        </w:rPr>
        <w:t> </w:t>
      </w:r>
      <w:r>
        <w:rPr>
          <w:color w:val="231F20"/>
          <w:w w:val="115"/>
        </w:rPr>
        <w:t>au</w:t>
      </w:r>
      <w:r>
        <w:rPr>
          <w:color w:val="231F20"/>
          <w:spacing w:val="-11"/>
          <w:w w:val="115"/>
        </w:rPr>
        <w:t> </w:t>
      </w:r>
      <w:r>
        <w:rPr>
          <w:color w:val="231F20"/>
          <w:w w:val="115"/>
        </w:rPr>
        <w:t>bien-être</w:t>
      </w:r>
      <w:r>
        <w:rPr>
          <w:color w:val="231F20"/>
          <w:spacing w:val="-11"/>
          <w:w w:val="115"/>
        </w:rPr>
        <w:t> </w:t>
      </w:r>
      <w:r>
        <w:rPr>
          <w:color w:val="231F20"/>
          <w:w w:val="115"/>
        </w:rPr>
        <w:t>des</w:t>
      </w:r>
      <w:r>
        <w:rPr>
          <w:color w:val="231F20"/>
          <w:spacing w:val="-11"/>
          <w:w w:val="115"/>
        </w:rPr>
        <w:t> </w:t>
      </w:r>
      <w:r>
        <w:rPr>
          <w:color w:val="231F20"/>
          <w:w w:val="115"/>
        </w:rPr>
        <w:t>acteurs</w:t>
      </w:r>
      <w:r>
        <w:rPr>
          <w:color w:val="231F20"/>
          <w:spacing w:val="-11"/>
          <w:w w:val="115"/>
        </w:rPr>
        <w:t> </w:t>
      </w:r>
      <w:r>
        <w:rPr>
          <w:color w:val="231F20"/>
          <w:w w:val="115"/>
        </w:rPr>
        <w:t>organisationnels. </w:t>
      </w:r>
      <w:r>
        <w:rPr>
          <w:color w:val="231F20"/>
          <w:spacing w:val="-2"/>
          <w:w w:val="120"/>
        </w:rPr>
        <w:t>Ce</w:t>
      </w:r>
      <w:r>
        <w:rPr>
          <w:color w:val="231F20"/>
          <w:spacing w:val="-6"/>
          <w:w w:val="120"/>
        </w:rPr>
        <w:t> </w:t>
      </w:r>
      <w:r>
        <w:rPr>
          <w:color w:val="231F20"/>
          <w:spacing w:val="-2"/>
          <w:w w:val="120"/>
        </w:rPr>
        <w:t>livre</w:t>
      </w:r>
      <w:r>
        <w:rPr>
          <w:color w:val="231F20"/>
          <w:spacing w:val="-6"/>
          <w:w w:val="120"/>
        </w:rPr>
        <w:t> </w:t>
      </w:r>
      <w:r>
        <w:rPr>
          <w:color w:val="231F20"/>
          <w:spacing w:val="-2"/>
          <w:w w:val="120"/>
        </w:rPr>
        <w:t>a</w:t>
      </w:r>
      <w:r>
        <w:rPr>
          <w:color w:val="231F20"/>
          <w:spacing w:val="-6"/>
          <w:w w:val="120"/>
        </w:rPr>
        <w:t> </w:t>
      </w:r>
      <w:r>
        <w:rPr>
          <w:color w:val="231F20"/>
          <w:spacing w:val="-2"/>
          <w:w w:val="120"/>
        </w:rPr>
        <w:t>pour</w:t>
      </w:r>
      <w:r>
        <w:rPr>
          <w:color w:val="231F20"/>
          <w:spacing w:val="-6"/>
          <w:w w:val="120"/>
        </w:rPr>
        <w:t> </w:t>
      </w:r>
      <w:r>
        <w:rPr>
          <w:color w:val="231F20"/>
          <w:spacing w:val="-2"/>
          <w:w w:val="120"/>
        </w:rPr>
        <w:t>principal</w:t>
      </w:r>
      <w:r>
        <w:rPr>
          <w:color w:val="231F20"/>
          <w:spacing w:val="-6"/>
          <w:w w:val="120"/>
        </w:rPr>
        <w:t> </w:t>
      </w:r>
      <w:r>
        <w:rPr>
          <w:color w:val="231F20"/>
          <w:spacing w:val="-2"/>
          <w:w w:val="120"/>
        </w:rPr>
        <w:t>but</w:t>
      </w:r>
      <w:r>
        <w:rPr>
          <w:color w:val="231F20"/>
          <w:spacing w:val="-6"/>
          <w:w w:val="120"/>
        </w:rPr>
        <w:t> </w:t>
      </w:r>
      <w:r>
        <w:rPr>
          <w:color w:val="231F20"/>
          <w:spacing w:val="-2"/>
          <w:w w:val="120"/>
        </w:rPr>
        <w:t>de</w:t>
      </w:r>
      <w:r>
        <w:rPr>
          <w:color w:val="231F20"/>
          <w:spacing w:val="-6"/>
          <w:w w:val="120"/>
        </w:rPr>
        <w:t> </w:t>
      </w:r>
      <w:r>
        <w:rPr>
          <w:color w:val="231F20"/>
          <w:spacing w:val="-2"/>
          <w:w w:val="120"/>
        </w:rPr>
        <w:t>visiter</w:t>
      </w:r>
      <w:r>
        <w:rPr>
          <w:color w:val="231F20"/>
          <w:spacing w:val="-6"/>
          <w:w w:val="120"/>
        </w:rPr>
        <w:t> </w:t>
      </w:r>
      <w:r>
        <w:rPr>
          <w:color w:val="231F20"/>
          <w:spacing w:val="-2"/>
          <w:w w:val="120"/>
        </w:rPr>
        <w:t>les</w:t>
      </w:r>
      <w:r>
        <w:rPr>
          <w:color w:val="231F20"/>
          <w:spacing w:val="-6"/>
          <w:w w:val="120"/>
        </w:rPr>
        <w:t> </w:t>
      </w:r>
      <w:r>
        <w:rPr>
          <w:color w:val="231F20"/>
          <w:spacing w:val="-2"/>
          <w:w w:val="120"/>
        </w:rPr>
        <w:t>paramètres</w:t>
      </w:r>
      <w:r>
        <w:rPr>
          <w:color w:val="231F20"/>
          <w:spacing w:val="-6"/>
          <w:w w:val="120"/>
        </w:rPr>
        <w:t> </w:t>
      </w:r>
      <w:r>
        <w:rPr>
          <w:color w:val="231F20"/>
          <w:spacing w:val="-2"/>
          <w:w w:val="120"/>
        </w:rPr>
        <w:t>de</w:t>
      </w:r>
      <w:r>
        <w:rPr>
          <w:color w:val="231F20"/>
          <w:spacing w:val="-6"/>
          <w:w w:val="120"/>
        </w:rPr>
        <w:t> </w:t>
      </w:r>
      <w:r>
        <w:rPr>
          <w:color w:val="231F20"/>
          <w:spacing w:val="-2"/>
          <w:w w:val="120"/>
        </w:rPr>
        <w:t>cette</w:t>
      </w:r>
      <w:r>
        <w:rPr>
          <w:color w:val="231F20"/>
          <w:spacing w:val="-6"/>
          <w:w w:val="120"/>
        </w:rPr>
        <w:t> </w:t>
      </w:r>
      <w:r>
        <w:rPr>
          <w:color w:val="231F20"/>
          <w:spacing w:val="-2"/>
          <w:w w:val="120"/>
        </w:rPr>
        <w:t>nécessaire </w:t>
      </w:r>
      <w:r>
        <w:rPr>
          <w:color w:val="231F20"/>
          <w:w w:val="120"/>
        </w:rPr>
        <w:t>adéquation</w:t>
      </w:r>
      <w:r>
        <w:rPr>
          <w:color w:val="231F20"/>
          <w:spacing w:val="-6"/>
          <w:w w:val="120"/>
        </w:rPr>
        <w:t> </w:t>
      </w:r>
      <w:r>
        <w:rPr>
          <w:color w:val="231F20"/>
          <w:w w:val="120"/>
        </w:rPr>
        <w:t>afin</w:t>
      </w:r>
      <w:r>
        <w:rPr>
          <w:color w:val="231F20"/>
          <w:spacing w:val="-6"/>
          <w:w w:val="120"/>
        </w:rPr>
        <w:t> </w:t>
      </w:r>
      <w:r>
        <w:rPr>
          <w:color w:val="231F20"/>
          <w:w w:val="120"/>
        </w:rPr>
        <w:t>d’organiser</w:t>
      </w:r>
      <w:r>
        <w:rPr>
          <w:color w:val="231F20"/>
          <w:spacing w:val="-6"/>
          <w:w w:val="120"/>
        </w:rPr>
        <w:t> </w:t>
      </w:r>
      <w:r>
        <w:rPr>
          <w:color w:val="231F20"/>
          <w:w w:val="120"/>
        </w:rPr>
        <w:t>cette</w:t>
      </w:r>
      <w:r>
        <w:rPr>
          <w:color w:val="231F20"/>
          <w:spacing w:val="-6"/>
          <w:w w:val="120"/>
        </w:rPr>
        <w:t> </w:t>
      </w:r>
      <w:r>
        <w:rPr>
          <w:color w:val="231F20"/>
          <w:w w:val="120"/>
        </w:rPr>
        <w:t>quête</w:t>
      </w:r>
      <w:r>
        <w:rPr>
          <w:color w:val="231F20"/>
          <w:spacing w:val="-6"/>
          <w:w w:val="120"/>
        </w:rPr>
        <w:t> </w:t>
      </w:r>
      <w:r>
        <w:rPr>
          <w:color w:val="231F20"/>
          <w:w w:val="120"/>
        </w:rPr>
        <w:t>de</w:t>
      </w:r>
      <w:r>
        <w:rPr>
          <w:color w:val="231F20"/>
          <w:spacing w:val="-6"/>
          <w:w w:val="120"/>
        </w:rPr>
        <w:t> </w:t>
      </w:r>
      <w:r>
        <w:rPr>
          <w:color w:val="231F20"/>
          <w:w w:val="120"/>
        </w:rPr>
        <w:t>productivité</w:t>
      </w:r>
      <w:r>
        <w:rPr>
          <w:color w:val="231F20"/>
          <w:spacing w:val="-6"/>
          <w:w w:val="120"/>
        </w:rPr>
        <w:t> </w:t>
      </w:r>
      <w:r>
        <w:rPr>
          <w:color w:val="231F20"/>
          <w:w w:val="120"/>
        </w:rPr>
        <w:t>dans</w:t>
      </w:r>
      <w:r>
        <w:rPr>
          <w:color w:val="231F20"/>
          <w:spacing w:val="-6"/>
          <w:w w:val="120"/>
        </w:rPr>
        <w:t> </w:t>
      </w:r>
      <w:r>
        <w:rPr>
          <w:color w:val="231F20"/>
          <w:w w:val="120"/>
        </w:rPr>
        <w:t>les</w:t>
      </w:r>
      <w:r>
        <w:rPr>
          <w:color w:val="231F20"/>
          <w:spacing w:val="-6"/>
          <w:w w:val="120"/>
        </w:rPr>
        <w:t> </w:t>
      </w:r>
      <w:r>
        <w:rPr>
          <w:color w:val="231F20"/>
          <w:w w:val="120"/>
        </w:rPr>
        <w:t>balises </w:t>
      </w:r>
      <w:r>
        <w:rPr>
          <w:color w:val="231F20"/>
          <w:spacing w:val="-2"/>
          <w:w w:val="120"/>
        </w:rPr>
        <w:t>des</w:t>
      </w:r>
      <w:r>
        <w:rPr>
          <w:color w:val="231F20"/>
          <w:spacing w:val="-11"/>
          <w:w w:val="120"/>
        </w:rPr>
        <w:t> </w:t>
      </w:r>
      <w:r>
        <w:rPr>
          <w:color w:val="231F20"/>
          <w:spacing w:val="-2"/>
          <w:w w:val="120"/>
        </w:rPr>
        <w:t>capacités</w:t>
      </w:r>
      <w:r>
        <w:rPr>
          <w:color w:val="231F20"/>
          <w:spacing w:val="-11"/>
          <w:w w:val="120"/>
        </w:rPr>
        <w:t> </w:t>
      </w:r>
      <w:r>
        <w:rPr>
          <w:color w:val="231F20"/>
          <w:spacing w:val="-2"/>
          <w:w w:val="120"/>
        </w:rPr>
        <w:t>psychologiques</w:t>
      </w:r>
      <w:r>
        <w:rPr>
          <w:color w:val="231F20"/>
          <w:spacing w:val="-11"/>
          <w:w w:val="120"/>
        </w:rPr>
        <w:t> </w:t>
      </w:r>
      <w:r>
        <w:rPr>
          <w:color w:val="231F20"/>
          <w:spacing w:val="-2"/>
          <w:w w:val="120"/>
        </w:rPr>
        <w:t>de</w:t>
      </w:r>
      <w:r>
        <w:rPr>
          <w:color w:val="231F20"/>
          <w:spacing w:val="-10"/>
          <w:w w:val="120"/>
        </w:rPr>
        <w:t> </w:t>
      </w:r>
      <w:r>
        <w:rPr>
          <w:color w:val="231F20"/>
          <w:spacing w:val="-2"/>
          <w:w w:val="120"/>
        </w:rPr>
        <w:t>la</w:t>
      </w:r>
      <w:r>
        <w:rPr>
          <w:color w:val="231F20"/>
          <w:spacing w:val="-11"/>
          <w:w w:val="120"/>
        </w:rPr>
        <w:t> </w:t>
      </w:r>
      <w:r>
        <w:rPr>
          <w:color w:val="231F20"/>
          <w:spacing w:val="-2"/>
          <w:w w:val="120"/>
        </w:rPr>
        <w:t>ressource</w:t>
      </w:r>
      <w:r>
        <w:rPr>
          <w:color w:val="231F20"/>
          <w:spacing w:val="-11"/>
          <w:w w:val="120"/>
        </w:rPr>
        <w:t> </w:t>
      </w:r>
      <w:r>
        <w:rPr>
          <w:color w:val="231F20"/>
          <w:spacing w:val="-2"/>
          <w:w w:val="120"/>
        </w:rPr>
        <w:t>la</w:t>
      </w:r>
      <w:r>
        <w:rPr>
          <w:color w:val="231F20"/>
          <w:spacing w:val="-11"/>
          <w:w w:val="120"/>
        </w:rPr>
        <w:t> </w:t>
      </w:r>
      <w:r>
        <w:rPr>
          <w:color w:val="231F20"/>
          <w:spacing w:val="-2"/>
          <w:w w:val="120"/>
        </w:rPr>
        <w:t>plus</w:t>
      </w:r>
      <w:r>
        <w:rPr>
          <w:color w:val="231F20"/>
          <w:spacing w:val="-10"/>
          <w:w w:val="120"/>
        </w:rPr>
        <w:t> </w:t>
      </w:r>
      <w:r>
        <w:rPr>
          <w:color w:val="231F20"/>
          <w:spacing w:val="-2"/>
          <w:w w:val="120"/>
        </w:rPr>
        <w:t>importante</w:t>
      </w:r>
      <w:r>
        <w:rPr>
          <w:color w:val="231F20"/>
          <w:spacing w:val="-11"/>
          <w:w w:val="120"/>
        </w:rPr>
        <w:t> </w:t>
      </w:r>
      <w:r>
        <w:rPr>
          <w:color w:val="231F20"/>
          <w:spacing w:val="-2"/>
          <w:w w:val="120"/>
        </w:rPr>
        <w:t>de</w:t>
      </w:r>
      <w:r>
        <w:rPr>
          <w:color w:val="231F20"/>
          <w:spacing w:val="-11"/>
          <w:w w:val="120"/>
        </w:rPr>
        <w:t> </w:t>
      </w:r>
      <w:r>
        <w:rPr>
          <w:color w:val="231F20"/>
          <w:spacing w:val="-2"/>
          <w:w w:val="120"/>
        </w:rPr>
        <w:t>toutes </w:t>
      </w:r>
      <w:r>
        <w:rPr>
          <w:color w:val="231F20"/>
          <w:w w:val="120"/>
        </w:rPr>
        <w:t>organisations,</w:t>
      </w:r>
      <w:r>
        <w:rPr>
          <w:color w:val="231F20"/>
          <w:spacing w:val="-13"/>
          <w:w w:val="120"/>
        </w:rPr>
        <w:t> </w:t>
      </w:r>
      <w:r>
        <w:rPr>
          <w:color w:val="231F20"/>
          <w:w w:val="120"/>
        </w:rPr>
        <w:t>l’humain.</w:t>
      </w:r>
    </w:p>
    <w:p>
      <w:pPr>
        <w:pStyle w:val="BodyText"/>
        <w:spacing w:line="307" w:lineRule="auto" w:before="78"/>
        <w:ind w:left="1180" w:right="244" w:firstLine="250"/>
        <w:jc w:val="both"/>
      </w:pPr>
      <w:r>
        <w:rPr>
          <w:color w:val="231F20"/>
          <w:w w:val="115"/>
        </w:rPr>
        <w:t>Dans</w:t>
      </w:r>
      <w:r>
        <w:rPr>
          <w:color w:val="231F20"/>
          <w:spacing w:val="-9"/>
          <w:w w:val="115"/>
        </w:rPr>
        <w:t> </w:t>
      </w:r>
      <w:r>
        <w:rPr>
          <w:color w:val="231F20"/>
          <w:w w:val="115"/>
        </w:rPr>
        <w:t>le</w:t>
      </w:r>
      <w:r>
        <w:rPr>
          <w:color w:val="231F20"/>
          <w:spacing w:val="-9"/>
          <w:w w:val="115"/>
        </w:rPr>
        <w:t> </w:t>
      </w:r>
      <w:r>
        <w:rPr>
          <w:color w:val="231F20"/>
          <w:w w:val="115"/>
        </w:rPr>
        <w:t>présent</w:t>
      </w:r>
      <w:r>
        <w:rPr>
          <w:color w:val="231F20"/>
          <w:spacing w:val="-9"/>
          <w:w w:val="115"/>
        </w:rPr>
        <w:t> </w:t>
      </w:r>
      <w:r>
        <w:rPr>
          <w:color w:val="231F20"/>
          <w:w w:val="115"/>
        </w:rPr>
        <w:t>ouvrage,</w:t>
      </w:r>
      <w:r>
        <w:rPr>
          <w:color w:val="231F20"/>
          <w:spacing w:val="-9"/>
          <w:w w:val="115"/>
        </w:rPr>
        <w:t> </w:t>
      </w:r>
      <w:r>
        <w:rPr>
          <w:color w:val="231F20"/>
          <w:w w:val="115"/>
        </w:rPr>
        <w:t>nous</w:t>
      </w:r>
      <w:r>
        <w:rPr>
          <w:color w:val="231F20"/>
          <w:spacing w:val="-9"/>
          <w:w w:val="115"/>
        </w:rPr>
        <w:t> </w:t>
      </w:r>
      <w:r>
        <w:rPr>
          <w:color w:val="231F20"/>
          <w:w w:val="115"/>
        </w:rPr>
        <w:t>ne</w:t>
      </w:r>
      <w:r>
        <w:rPr>
          <w:color w:val="231F20"/>
          <w:spacing w:val="-9"/>
          <w:w w:val="115"/>
        </w:rPr>
        <w:t> </w:t>
      </w:r>
      <w:r>
        <w:rPr>
          <w:color w:val="231F20"/>
          <w:w w:val="115"/>
        </w:rPr>
        <w:t>cherchons</w:t>
      </w:r>
      <w:r>
        <w:rPr>
          <w:color w:val="231F20"/>
          <w:spacing w:val="-9"/>
          <w:w w:val="115"/>
        </w:rPr>
        <w:t> </w:t>
      </w:r>
      <w:r>
        <w:rPr>
          <w:color w:val="231F20"/>
          <w:w w:val="115"/>
        </w:rPr>
        <w:t>pas</w:t>
      </w:r>
      <w:r>
        <w:rPr>
          <w:color w:val="231F20"/>
          <w:spacing w:val="-9"/>
          <w:w w:val="115"/>
        </w:rPr>
        <w:t> </w:t>
      </w:r>
      <w:r>
        <w:rPr>
          <w:color w:val="231F20"/>
          <w:w w:val="115"/>
        </w:rPr>
        <w:t>à</w:t>
      </w:r>
      <w:r>
        <w:rPr>
          <w:color w:val="231F20"/>
          <w:spacing w:val="-9"/>
          <w:w w:val="115"/>
        </w:rPr>
        <w:t> </w:t>
      </w:r>
      <w:r>
        <w:rPr>
          <w:color w:val="231F20"/>
          <w:w w:val="115"/>
        </w:rPr>
        <w:t>donner</w:t>
      </w:r>
      <w:r>
        <w:rPr>
          <w:color w:val="231F20"/>
          <w:spacing w:val="-9"/>
          <w:w w:val="115"/>
        </w:rPr>
        <w:t> </w:t>
      </w:r>
      <w:r>
        <w:rPr>
          <w:color w:val="231F20"/>
          <w:w w:val="115"/>
        </w:rPr>
        <w:t>des</w:t>
      </w:r>
      <w:r>
        <w:rPr>
          <w:color w:val="231F20"/>
          <w:spacing w:val="-9"/>
          <w:w w:val="115"/>
        </w:rPr>
        <w:t> </w:t>
      </w:r>
      <w:r>
        <w:rPr>
          <w:color w:val="231F20"/>
          <w:w w:val="115"/>
        </w:rPr>
        <w:t>exemples de</w:t>
      </w:r>
      <w:r>
        <w:rPr>
          <w:color w:val="231F20"/>
          <w:spacing w:val="-5"/>
          <w:w w:val="115"/>
        </w:rPr>
        <w:t> </w:t>
      </w:r>
      <w:r>
        <w:rPr>
          <w:color w:val="231F20"/>
          <w:w w:val="115"/>
        </w:rPr>
        <w:t>la</w:t>
      </w:r>
      <w:r>
        <w:rPr>
          <w:color w:val="231F20"/>
          <w:spacing w:val="-5"/>
          <w:w w:val="115"/>
        </w:rPr>
        <w:t> </w:t>
      </w:r>
      <w:r>
        <w:rPr>
          <w:color w:val="231F20"/>
          <w:w w:val="115"/>
        </w:rPr>
        <w:t>façon</w:t>
      </w:r>
      <w:r>
        <w:rPr>
          <w:color w:val="231F20"/>
          <w:spacing w:val="-5"/>
          <w:w w:val="115"/>
        </w:rPr>
        <w:t> </w:t>
      </w:r>
      <w:r>
        <w:rPr>
          <w:color w:val="231F20"/>
          <w:w w:val="115"/>
        </w:rPr>
        <w:t>parfaite</w:t>
      </w:r>
      <w:r>
        <w:rPr>
          <w:color w:val="231F20"/>
          <w:spacing w:val="-5"/>
          <w:w w:val="115"/>
        </w:rPr>
        <w:t> </w:t>
      </w:r>
      <w:r>
        <w:rPr>
          <w:color w:val="231F20"/>
          <w:w w:val="115"/>
        </w:rPr>
        <w:t>d’endiguer</w:t>
      </w:r>
      <w:r>
        <w:rPr>
          <w:color w:val="231F20"/>
          <w:spacing w:val="-5"/>
          <w:w w:val="115"/>
        </w:rPr>
        <w:t> </w:t>
      </w:r>
      <w:r>
        <w:rPr>
          <w:color w:val="231F20"/>
          <w:w w:val="115"/>
        </w:rPr>
        <w:t>la</w:t>
      </w:r>
      <w:r>
        <w:rPr>
          <w:color w:val="231F20"/>
          <w:spacing w:val="-5"/>
          <w:w w:val="115"/>
        </w:rPr>
        <w:t> </w:t>
      </w:r>
      <w:r>
        <w:rPr>
          <w:color w:val="231F20"/>
          <w:w w:val="115"/>
        </w:rPr>
        <w:t>pression</w:t>
      </w:r>
      <w:r>
        <w:rPr>
          <w:color w:val="231F20"/>
          <w:spacing w:val="-5"/>
          <w:w w:val="115"/>
        </w:rPr>
        <w:t> </w:t>
      </w:r>
      <w:r>
        <w:rPr>
          <w:color w:val="231F20"/>
          <w:w w:val="115"/>
        </w:rPr>
        <w:t>en</w:t>
      </w:r>
      <w:r>
        <w:rPr>
          <w:color w:val="231F20"/>
          <w:spacing w:val="-5"/>
          <w:w w:val="115"/>
        </w:rPr>
        <w:t> </w:t>
      </w:r>
      <w:r>
        <w:rPr>
          <w:color w:val="231F20"/>
          <w:w w:val="115"/>
        </w:rPr>
        <w:t>milieu</w:t>
      </w:r>
      <w:r>
        <w:rPr>
          <w:color w:val="231F20"/>
          <w:spacing w:val="-5"/>
          <w:w w:val="115"/>
        </w:rPr>
        <w:t> </w:t>
      </w:r>
      <w:r>
        <w:rPr>
          <w:color w:val="231F20"/>
          <w:w w:val="115"/>
        </w:rPr>
        <w:t>de</w:t>
      </w:r>
      <w:r>
        <w:rPr>
          <w:color w:val="231F20"/>
          <w:spacing w:val="-5"/>
          <w:w w:val="115"/>
        </w:rPr>
        <w:t> </w:t>
      </w:r>
      <w:r>
        <w:rPr>
          <w:color w:val="231F20"/>
          <w:w w:val="115"/>
        </w:rPr>
        <w:t>travail.</w:t>
      </w:r>
      <w:r>
        <w:rPr>
          <w:color w:val="231F20"/>
          <w:spacing w:val="-5"/>
          <w:w w:val="115"/>
        </w:rPr>
        <w:t> </w:t>
      </w:r>
      <w:r>
        <w:rPr>
          <w:color w:val="231F20"/>
          <w:w w:val="115"/>
        </w:rPr>
        <w:t>En</w:t>
      </w:r>
      <w:r>
        <w:rPr>
          <w:color w:val="231F20"/>
          <w:spacing w:val="-5"/>
          <w:w w:val="115"/>
        </w:rPr>
        <w:t> </w:t>
      </w:r>
      <w:r>
        <w:rPr>
          <w:color w:val="231F20"/>
          <w:w w:val="115"/>
        </w:rPr>
        <w:t>fait,</w:t>
      </w:r>
      <w:r>
        <w:rPr>
          <w:color w:val="231F20"/>
          <w:spacing w:val="-5"/>
          <w:w w:val="115"/>
        </w:rPr>
        <w:t> </w:t>
      </w:r>
      <w:r>
        <w:rPr>
          <w:color w:val="231F20"/>
          <w:w w:val="115"/>
        </w:rPr>
        <w:t>on </w:t>
      </w:r>
      <w:r>
        <w:rPr>
          <w:color w:val="231F20"/>
          <w:w w:val="120"/>
        </w:rPr>
        <w:t>aura beau chercher, il n’existe pas de panacée simple et universelle capable d’éradiquer ce problème ou de le résoudre définitivement. Au contraire,</w:t>
      </w:r>
      <w:r>
        <w:rPr>
          <w:color w:val="231F20"/>
          <w:spacing w:val="-2"/>
          <w:w w:val="120"/>
        </w:rPr>
        <w:t> </w:t>
      </w:r>
      <w:r>
        <w:rPr>
          <w:color w:val="231F20"/>
          <w:w w:val="120"/>
        </w:rPr>
        <w:t>nous</w:t>
      </w:r>
      <w:r>
        <w:rPr>
          <w:color w:val="231F20"/>
          <w:spacing w:val="-2"/>
          <w:w w:val="120"/>
        </w:rPr>
        <w:t> </w:t>
      </w:r>
      <w:r>
        <w:rPr>
          <w:color w:val="231F20"/>
          <w:w w:val="120"/>
        </w:rPr>
        <w:t>entendons</w:t>
      </w:r>
      <w:r>
        <w:rPr>
          <w:color w:val="231F20"/>
          <w:spacing w:val="-2"/>
          <w:w w:val="120"/>
        </w:rPr>
        <w:t> </w:t>
      </w:r>
      <w:r>
        <w:rPr>
          <w:color w:val="231F20"/>
          <w:w w:val="120"/>
        </w:rPr>
        <w:t>présenter</w:t>
      </w:r>
      <w:r>
        <w:rPr>
          <w:color w:val="231F20"/>
          <w:spacing w:val="-2"/>
          <w:w w:val="120"/>
        </w:rPr>
        <w:t> </w:t>
      </w:r>
      <w:r>
        <w:rPr>
          <w:color w:val="231F20"/>
          <w:w w:val="120"/>
        </w:rPr>
        <w:t>tous</w:t>
      </w:r>
      <w:r>
        <w:rPr>
          <w:color w:val="231F20"/>
          <w:spacing w:val="-2"/>
          <w:w w:val="120"/>
        </w:rPr>
        <w:t> </w:t>
      </w:r>
      <w:r>
        <w:rPr>
          <w:color w:val="231F20"/>
          <w:w w:val="120"/>
        </w:rPr>
        <w:t>les</w:t>
      </w:r>
      <w:r>
        <w:rPr>
          <w:color w:val="231F20"/>
          <w:spacing w:val="-2"/>
          <w:w w:val="120"/>
        </w:rPr>
        <w:t> </w:t>
      </w:r>
      <w:r>
        <w:rPr>
          <w:color w:val="231F20"/>
          <w:w w:val="120"/>
        </w:rPr>
        <w:t>éléments</w:t>
      </w:r>
      <w:r>
        <w:rPr>
          <w:color w:val="231F20"/>
          <w:spacing w:val="-2"/>
          <w:w w:val="120"/>
        </w:rPr>
        <w:t> </w:t>
      </w:r>
      <w:r>
        <w:rPr>
          <w:color w:val="231F20"/>
          <w:w w:val="120"/>
        </w:rPr>
        <w:t>complexes</w:t>
      </w:r>
      <w:r>
        <w:rPr>
          <w:color w:val="231F20"/>
          <w:spacing w:val="-2"/>
          <w:w w:val="120"/>
        </w:rPr>
        <w:t> </w:t>
      </w:r>
      <w:r>
        <w:rPr>
          <w:color w:val="231F20"/>
          <w:w w:val="120"/>
        </w:rPr>
        <w:t>de</w:t>
      </w:r>
      <w:r>
        <w:rPr>
          <w:color w:val="231F20"/>
          <w:spacing w:val="-2"/>
          <w:w w:val="120"/>
        </w:rPr>
        <w:t> </w:t>
      </w:r>
      <w:r>
        <w:rPr>
          <w:color w:val="231F20"/>
          <w:w w:val="120"/>
        </w:rPr>
        <w:t>ce phénomène</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façon</w:t>
      </w:r>
      <w:r>
        <w:rPr>
          <w:color w:val="231F20"/>
          <w:spacing w:val="-1"/>
          <w:w w:val="120"/>
        </w:rPr>
        <w:t> </w:t>
      </w:r>
      <w:r>
        <w:rPr>
          <w:color w:val="231F20"/>
          <w:w w:val="120"/>
        </w:rPr>
        <w:t>la</w:t>
      </w:r>
      <w:r>
        <w:rPr>
          <w:color w:val="231F20"/>
          <w:spacing w:val="-1"/>
          <w:w w:val="120"/>
        </w:rPr>
        <w:t> </w:t>
      </w:r>
      <w:r>
        <w:rPr>
          <w:color w:val="231F20"/>
          <w:w w:val="120"/>
        </w:rPr>
        <w:t>plus</w:t>
      </w:r>
      <w:r>
        <w:rPr>
          <w:color w:val="231F20"/>
          <w:spacing w:val="-1"/>
          <w:w w:val="120"/>
        </w:rPr>
        <w:t> </w:t>
      </w:r>
      <w:r>
        <w:rPr>
          <w:color w:val="231F20"/>
          <w:w w:val="120"/>
        </w:rPr>
        <w:t>simple</w:t>
      </w:r>
      <w:r>
        <w:rPr>
          <w:color w:val="231F20"/>
          <w:spacing w:val="-1"/>
          <w:w w:val="120"/>
        </w:rPr>
        <w:t> </w:t>
      </w:r>
      <w:r>
        <w:rPr>
          <w:color w:val="231F20"/>
          <w:w w:val="120"/>
        </w:rPr>
        <w:t>et</w:t>
      </w:r>
      <w:r>
        <w:rPr>
          <w:color w:val="231F20"/>
          <w:spacing w:val="-1"/>
          <w:w w:val="120"/>
        </w:rPr>
        <w:t> </w:t>
      </w:r>
      <w:r>
        <w:rPr>
          <w:color w:val="231F20"/>
          <w:w w:val="120"/>
        </w:rPr>
        <w:t>la</w:t>
      </w:r>
      <w:r>
        <w:rPr>
          <w:color w:val="231F20"/>
          <w:spacing w:val="-1"/>
          <w:w w:val="120"/>
        </w:rPr>
        <w:t> </w:t>
      </w:r>
      <w:r>
        <w:rPr>
          <w:color w:val="231F20"/>
          <w:w w:val="120"/>
        </w:rPr>
        <w:t>plus</w:t>
      </w:r>
      <w:r>
        <w:rPr>
          <w:color w:val="231F20"/>
          <w:spacing w:val="-1"/>
          <w:w w:val="120"/>
        </w:rPr>
        <w:t> </w:t>
      </w:r>
      <w:r>
        <w:rPr>
          <w:color w:val="231F20"/>
          <w:w w:val="120"/>
        </w:rPr>
        <w:t>concise</w:t>
      </w:r>
      <w:r>
        <w:rPr>
          <w:color w:val="231F20"/>
          <w:spacing w:val="-1"/>
          <w:w w:val="120"/>
        </w:rPr>
        <w:t> </w:t>
      </w:r>
      <w:r>
        <w:rPr>
          <w:color w:val="231F20"/>
          <w:w w:val="120"/>
        </w:rPr>
        <w:t>possible,</w:t>
      </w:r>
      <w:r>
        <w:rPr>
          <w:color w:val="231F20"/>
          <w:spacing w:val="-1"/>
          <w:w w:val="120"/>
        </w:rPr>
        <w:t> </w:t>
      </w:r>
      <w:r>
        <w:rPr>
          <w:color w:val="231F20"/>
          <w:w w:val="120"/>
        </w:rPr>
        <w:t>pour bien faire comprendre la nature du stress, son incidence sur la santé et </w:t>
      </w:r>
      <w:r>
        <w:rPr>
          <w:color w:val="231F20"/>
          <w:w w:val="115"/>
        </w:rPr>
        <w:t>les</w:t>
      </w:r>
      <w:r>
        <w:rPr>
          <w:color w:val="231F20"/>
          <w:spacing w:val="-12"/>
          <w:w w:val="115"/>
        </w:rPr>
        <w:t> </w:t>
      </w:r>
      <w:r>
        <w:rPr>
          <w:color w:val="231F20"/>
          <w:w w:val="115"/>
        </w:rPr>
        <w:t>choix</w:t>
      </w:r>
      <w:r>
        <w:rPr>
          <w:color w:val="231F20"/>
          <w:spacing w:val="-12"/>
          <w:w w:val="115"/>
        </w:rPr>
        <w:t> </w:t>
      </w:r>
      <w:r>
        <w:rPr>
          <w:color w:val="231F20"/>
          <w:w w:val="115"/>
        </w:rPr>
        <w:t>qu’il</w:t>
      </w:r>
      <w:r>
        <w:rPr>
          <w:color w:val="231F20"/>
          <w:spacing w:val="-12"/>
          <w:w w:val="115"/>
        </w:rPr>
        <w:t> </w:t>
      </w:r>
      <w:r>
        <w:rPr>
          <w:color w:val="231F20"/>
          <w:w w:val="115"/>
        </w:rPr>
        <w:t>est</w:t>
      </w:r>
      <w:r>
        <w:rPr>
          <w:color w:val="231F20"/>
          <w:spacing w:val="-12"/>
          <w:w w:val="115"/>
        </w:rPr>
        <w:t> </w:t>
      </w:r>
      <w:r>
        <w:rPr>
          <w:color w:val="231F20"/>
          <w:w w:val="115"/>
        </w:rPr>
        <w:t>possible</w:t>
      </w:r>
      <w:r>
        <w:rPr>
          <w:color w:val="231F20"/>
          <w:spacing w:val="-12"/>
          <w:w w:val="115"/>
        </w:rPr>
        <w:t> </w:t>
      </w:r>
      <w:r>
        <w:rPr>
          <w:color w:val="231F20"/>
          <w:w w:val="115"/>
        </w:rPr>
        <w:t>de</w:t>
      </w:r>
      <w:r>
        <w:rPr>
          <w:color w:val="231F20"/>
          <w:spacing w:val="-12"/>
          <w:w w:val="115"/>
        </w:rPr>
        <w:t> </w:t>
      </w:r>
      <w:r>
        <w:rPr>
          <w:color w:val="231F20"/>
          <w:w w:val="115"/>
        </w:rPr>
        <w:t>faire</w:t>
      </w:r>
      <w:r>
        <w:rPr>
          <w:color w:val="231F20"/>
          <w:spacing w:val="-12"/>
          <w:w w:val="115"/>
        </w:rPr>
        <w:t> </w:t>
      </w:r>
      <w:r>
        <w:rPr>
          <w:color w:val="231F20"/>
          <w:w w:val="115"/>
        </w:rPr>
        <w:t>afin</w:t>
      </w:r>
      <w:r>
        <w:rPr>
          <w:color w:val="231F20"/>
          <w:spacing w:val="-12"/>
          <w:w w:val="115"/>
        </w:rPr>
        <w:t> </w:t>
      </w:r>
      <w:r>
        <w:rPr>
          <w:color w:val="231F20"/>
          <w:w w:val="115"/>
        </w:rPr>
        <w:t>de</w:t>
      </w:r>
      <w:r>
        <w:rPr>
          <w:color w:val="231F20"/>
          <w:spacing w:val="-12"/>
          <w:w w:val="115"/>
        </w:rPr>
        <w:t> </w:t>
      </w:r>
      <w:r>
        <w:rPr>
          <w:color w:val="231F20"/>
          <w:w w:val="115"/>
        </w:rPr>
        <w:t>conjuguer</w:t>
      </w:r>
      <w:r>
        <w:rPr>
          <w:color w:val="231F20"/>
          <w:spacing w:val="-12"/>
          <w:w w:val="115"/>
        </w:rPr>
        <w:t> </w:t>
      </w:r>
      <w:r>
        <w:rPr>
          <w:color w:val="231F20"/>
          <w:w w:val="115"/>
        </w:rPr>
        <w:t>la</w:t>
      </w:r>
      <w:r>
        <w:rPr>
          <w:color w:val="231F20"/>
          <w:spacing w:val="-12"/>
          <w:w w:val="115"/>
        </w:rPr>
        <w:t> </w:t>
      </w:r>
      <w:r>
        <w:rPr>
          <w:color w:val="231F20"/>
          <w:w w:val="115"/>
        </w:rPr>
        <w:t>performance</w:t>
      </w:r>
      <w:r>
        <w:rPr>
          <w:color w:val="231F20"/>
          <w:spacing w:val="-12"/>
          <w:w w:val="115"/>
        </w:rPr>
        <w:t> </w:t>
      </w:r>
      <w:r>
        <w:rPr>
          <w:color w:val="231F20"/>
          <w:w w:val="115"/>
        </w:rPr>
        <w:t>d’une </w:t>
      </w:r>
      <w:r>
        <w:rPr>
          <w:color w:val="231F20"/>
          <w:w w:val="120"/>
        </w:rPr>
        <w:t>entreprise</w:t>
      </w:r>
      <w:r>
        <w:rPr>
          <w:color w:val="231F20"/>
          <w:spacing w:val="-9"/>
          <w:w w:val="120"/>
        </w:rPr>
        <w:t> </w:t>
      </w:r>
      <w:r>
        <w:rPr>
          <w:color w:val="231F20"/>
          <w:w w:val="120"/>
        </w:rPr>
        <w:t>au</w:t>
      </w:r>
      <w:r>
        <w:rPr>
          <w:color w:val="231F20"/>
          <w:spacing w:val="-9"/>
          <w:w w:val="120"/>
        </w:rPr>
        <w:t> </w:t>
      </w:r>
      <w:r>
        <w:rPr>
          <w:color w:val="231F20"/>
          <w:w w:val="120"/>
        </w:rPr>
        <w:t>mieux-être</w:t>
      </w:r>
      <w:r>
        <w:rPr>
          <w:color w:val="231F20"/>
          <w:spacing w:val="-9"/>
          <w:w w:val="120"/>
        </w:rPr>
        <w:t> </w:t>
      </w:r>
      <w:r>
        <w:rPr>
          <w:color w:val="231F20"/>
          <w:w w:val="120"/>
        </w:rPr>
        <w:t>de</w:t>
      </w:r>
      <w:r>
        <w:rPr>
          <w:color w:val="231F20"/>
          <w:spacing w:val="-9"/>
          <w:w w:val="120"/>
        </w:rPr>
        <w:t> </w:t>
      </w:r>
      <w:r>
        <w:rPr>
          <w:color w:val="231F20"/>
          <w:w w:val="120"/>
        </w:rPr>
        <w:t>ses</w:t>
      </w:r>
      <w:r>
        <w:rPr>
          <w:color w:val="231F20"/>
          <w:spacing w:val="-9"/>
          <w:w w:val="120"/>
        </w:rPr>
        <w:t> </w:t>
      </w:r>
      <w:r>
        <w:rPr>
          <w:color w:val="231F20"/>
          <w:w w:val="120"/>
        </w:rPr>
        <w:t>travailleurs.</w:t>
      </w:r>
      <w:r>
        <w:rPr>
          <w:color w:val="231F20"/>
          <w:spacing w:val="-9"/>
          <w:w w:val="120"/>
        </w:rPr>
        <w:t> </w:t>
      </w:r>
      <w:r>
        <w:rPr>
          <w:color w:val="231F20"/>
          <w:w w:val="120"/>
        </w:rPr>
        <w:t>Nous</w:t>
      </w:r>
      <w:r>
        <w:rPr>
          <w:color w:val="231F20"/>
          <w:spacing w:val="-9"/>
          <w:w w:val="120"/>
        </w:rPr>
        <w:t> </w:t>
      </w:r>
      <w:r>
        <w:rPr>
          <w:color w:val="231F20"/>
          <w:w w:val="120"/>
        </w:rPr>
        <w:t>mettrons</w:t>
      </w:r>
      <w:r>
        <w:rPr>
          <w:color w:val="231F20"/>
          <w:spacing w:val="-9"/>
          <w:w w:val="120"/>
        </w:rPr>
        <w:t> </w:t>
      </w:r>
      <w:r>
        <w:rPr>
          <w:color w:val="231F20"/>
          <w:w w:val="120"/>
        </w:rPr>
        <w:t>l’accent</w:t>
      </w:r>
      <w:r>
        <w:rPr>
          <w:color w:val="231F20"/>
          <w:spacing w:val="-9"/>
          <w:w w:val="120"/>
        </w:rPr>
        <w:t> </w:t>
      </w:r>
      <w:r>
        <w:rPr>
          <w:color w:val="231F20"/>
          <w:w w:val="120"/>
        </w:rPr>
        <w:t>sur </w:t>
      </w:r>
      <w:r>
        <w:rPr>
          <w:color w:val="231F20"/>
          <w:spacing w:val="-2"/>
          <w:w w:val="120"/>
        </w:rPr>
        <w:t>les</w:t>
      </w:r>
      <w:r>
        <w:rPr>
          <w:color w:val="231F20"/>
          <w:spacing w:val="-6"/>
          <w:w w:val="120"/>
        </w:rPr>
        <w:t> </w:t>
      </w:r>
      <w:r>
        <w:rPr>
          <w:color w:val="231F20"/>
          <w:spacing w:val="-2"/>
          <w:w w:val="120"/>
        </w:rPr>
        <w:t>paramètres</w:t>
      </w:r>
      <w:r>
        <w:rPr>
          <w:color w:val="231F20"/>
          <w:spacing w:val="-6"/>
          <w:w w:val="120"/>
        </w:rPr>
        <w:t> </w:t>
      </w:r>
      <w:r>
        <w:rPr>
          <w:color w:val="231F20"/>
          <w:spacing w:val="-2"/>
          <w:w w:val="120"/>
        </w:rPr>
        <w:t>diagnostiques</w:t>
      </w:r>
      <w:r>
        <w:rPr>
          <w:color w:val="231F20"/>
          <w:spacing w:val="-6"/>
          <w:w w:val="120"/>
        </w:rPr>
        <w:t> </w:t>
      </w:r>
      <w:r>
        <w:rPr>
          <w:color w:val="231F20"/>
          <w:spacing w:val="-2"/>
          <w:w w:val="120"/>
        </w:rPr>
        <w:t>qui</w:t>
      </w:r>
      <w:r>
        <w:rPr>
          <w:color w:val="231F20"/>
          <w:spacing w:val="-7"/>
          <w:w w:val="120"/>
        </w:rPr>
        <w:t> </w:t>
      </w:r>
      <w:r>
        <w:rPr>
          <w:color w:val="231F20"/>
          <w:spacing w:val="-2"/>
          <w:w w:val="120"/>
        </w:rPr>
        <w:t>permettent</w:t>
      </w:r>
      <w:r>
        <w:rPr>
          <w:color w:val="231F20"/>
          <w:spacing w:val="-6"/>
          <w:w w:val="120"/>
        </w:rPr>
        <w:t> </w:t>
      </w:r>
      <w:r>
        <w:rPr>
          <w:color w:val="231F20"/>
          <w:spacing w:val="-2"/>
          <w:w w:val="120"/>
        </w:rPr>
        <w:t>aux</w:t>
      </w:r>
      <w:r>
        <w:rPr>
          <w:color w:val="231F20"/>
          <w:spacing w:val="-6"/>
          <w:w w:val="120"/>
        </w:rPr>
        <w:t> </w:t>
      </w:r>
      <w:r>
        <w:rPr>
          <w:color w:val="231F20"/>
          <w:spacing w:val="-2"/>
          <w:w w:val="120"/>
        </w:rPr>
        <w:t>décideurs</w:t>
      </w:r>
      <w:r>
        <w:rPr>
          <w:color w:val="231F20"/>
          <w:spacing w:val="-6"/>
          <w:w w:val="120"/>
        </w:rPr>
        <w:t> </w:t>
      </w:r>
      <w:r>
        <w:rPr>
          <w:color w:val="231F20"/>
          <w:spacing w:val="-2"/>
          <w:w w:val="120"/>
        </w:rPr>
        <w:t>organisation- </w:t>
      </w:r>
      <w:r>
        <w:rPr>
          <w:color w:val="231F20"/>
          <w:w w:val="120"/>
        </w:rPr>
        <w:t>nels de reconnaître clairement les enjeux et ainsi d’être plus à même </w:t>
      </w:r>
      <w:r>
        <w:rPr>
          <w:color w:val="231F20"/>
          <w:spacing w:val="-2"/>
          <w:w w:val="120"/>
        </w:rPr>
        <w:t>d’opter</w:t>
      </w:r>
      <w:r>
        <w:rPr>
          <w:color w:val="231F20"/>
          <w:spacing w:val="-8"/>
          <w:w w:val="120"/>
        </w:rPr>
        <w:t> </w:t>
      </w:r>
      <w:r>
        <w:rPr>
          <w:color w:val="231F20"/>
          <w:spacing w:val="-2"/>
          <w:w w:val="120"/>
        </w:rPr>
        <w:t>pour</w:t>
      </w:r>
      <w:r>
        <w:rPr>
          <w:color w:val="231F20"/>
          <w:spacing w:val="-8"/>
          <w:w w:val="120"/>
        </w:rPr>
        <w:t> </w:t>
      </w:r>
      <w:r>
        <w:rPr>
          <w:color w:val="231F20"/>
          <w:spacing w:val="-2"/>
          <w:w w:val="120"/>
        </w:rPr>
        <w:t>des</w:t>
      </w:r>
      <w:r>
        <w:rPr>
          <w:color w:val="231F20"/>
          <w:spacing w:val="-8"/>
          <w:w w:val="120"/>
        </w:rPr>
        <w:t> </w:t>
      </w:r>
      <w:r>
        <w:rPr>
          <w:color w:val="231F20"/>
          <w:spacing w:val="-2"/>
          <w:w w:val="120"/>
        </w:rPr>
        <w:t>modes</w:t>
      </w:r>
      <w:r>
        <w:rPr>
          <w:color w:val="231F20"/>
          <w:spacing w:val="-8"/>
          <w:w w:val="120"/>
        </w:rPr>
        <w:t> </w:t>
      </w:r>
      <w:r>
        <w:rPr>
          <w:color w:val="231F20"/>
          <w:spacing w:val="-2"/>
          <w:w w:val="120"/>
        </w:rPr>
        <w:t>de</w:t>
      </w:r>
      <w:r>
        <w:rPr>
          <w:color w:val="231F20"/>
          <w:spacing w:val="-8"/>
          <w:w w:val="120"/>
        </w:rPr>
        <w:t> </w:t>
      </w:r>
      <w:r>
        <w:rPr>
          <w:color w:val="231F20"/>
          <w:spacing w:val="-2"/>
          <w:w w:val="120"/>
        </w:rPr>
        <w:t>gestion</w:t>
      </w:r>
      <w:r>
        <w:rPr>
          <w:color w:val="231F20"/>
          <w:spacing w:val="-8"/>
          <w:w w:val="120"/>
        </w:rPr>
        <w:t> </w:t>
      </w:r>
      <w:r>
        <w:rPr>
          <w:color w:val="231F20"/>
          <w:spacing w:val="-2"/>
          <w:w w:val="120"/>
        </w:rPr>
        <w:t>permettant</w:t>
      </w:r>
      <w:r>
        <w:rPr>
          <w:color w:val="231F20"/>
          <w:spacing w:val="-8"/>
          <w:w w:val="120"/>
        </w:rPr>
        <w:t> </w:t>
      </w:r>
      <w:r>
        <w:rPr>
          <w:color w:val="231F20"/>
          <w:spacing w:val="-2"/>
          <w:w w:val="120"/>
        </w:rPr>
        <w:t>de</w:t>
      </w:r>
      <w:r>
        <w:rPr>
          <w:color w:val="231F20"/>
          <w:spacing w:val="-8"/>
          <w:w w:val="120"/>
        </w:rPr>
        <w:t> </w:t>
      </w:r>
      <w:r>
        <w:rPr>
          <w:color w:val="231F20"/>
          <w:spacing w:val="-2"/>
          <w:w w:val="120"/>
        </w:rPr>
        <w:t>relever</w:t>
      </w:r>
      <w:r>
        <w:rPr>
          <w:color w:val="231F20"/>
          <w:spacing w:val="-8"/>
          <w:w w:val="120"/>
        </w:rPr>
        <w:t> </w:t>
      </w:r>
      <w:r>
        <w:rPr>
          <w:color w:val="231F20"/>
          <w:spacing w:val="-2"/>
          <w:w w:val="120"/>
        </w:rPr>
        <w:t>les</w:t>
      </w:r>
      <w:r>
        <w:rPr>
          <w:color w:val="231F20"/>
          <w:spacing w:val="-8"/>
          <w:w w:val="120"/>
        </w:rPr>
        <w:t> </w:t>
      </w:r>
      <w:r>
        <w:rPr>
          <w:color w:val="231F20"/>
          <w:spacing w:val="-2"/>
          <w:w w:val="120"/>
        </w:rPr>
        <w:t>défis</w:t>
      </w:r>
      <w:r>
        <w:rPr>
          <w:color w:val="231F20"/>
          <w:spacing w:val="-8"/>
          <w:w w:val="120"/>
        </w:rPr>
        <w:t> </w:t>
      </w:r>
      <w:r>
        <w:rPr>
          <w:color w:val="231F20"/>
          <w:spacing w:val="-2"/>
          <w:w w:val="120"/>
        </w:rPr>
        <w:t>de</w:t>
      </w:r>
      <w:r>
        <w:rPr>
          <w:color w:val="231F20"/>
          <w:spacing w:val="-8"/>
          <w:w w:val="120"/>
        </w:rPr>
        <w:t> </w:t>
      </w:r>
      <w:r>
        <w:rPr>
          <w:color w:val="231F20"/>
          <w:spacing w:val="-2"/>
          <w:w w:val="120"/>
        </w:rPr>
        <w:t>leur </w:t>
      </w:r>
      <w:r>
        <w:rPr>
          <w:color w:val="231F20"/>
          <w:w w:val="120"/>
        </w:rPr>
        <w:t>contexte</w:t>
      </w:r>
      <w:r>
        <w:rPr>
          <w:color w:val="231F20"/>
          <w:spacing w:val="-6"/>
          <w:w w:val="120"/>
        </w:rPr>
        <w:t> </w:t>
      </w:r>
      <w:r>
        <w:rPr>
          <w:color w:val="231F20"/>
          <w:w w:val="120"/>
        </w:rPr>
        <w:t>particulier.</w:t>
      </w:r>
      <w:r>
        <w:rPr>
          <w:color w:val="231F20"/>
          <w:spacing w:val="-6"/>
          <w:w w:val="120"/>
        </w:rPr>
        <w:t> </w:t>
      </w:r>
      <w:r>
        <w:rPr>
          <w:color w:val="231F20"/>
          <w:w w:val="120"/>
        </w:rPr>
        <w:t>Bien</w:t>
      </w:r>
      <w:r>
        <w:rPr>
          <w:color w:val="231F20"/>
          <w:spacing w:val="-6"/>
          <w:w w:val="120"/>
        </w:rPr>
        <w:t> </w:t>
      </w:r>
      <w:r>
        <w:rPr>
          <w:color w:val="231F20"/>
          <w:w w:val="120"/>
        </w:rPr>
        <w:t>que</w:t>
      </w:r>
      <w:r>
        <w:rPr>
          <w:color w:val="231F20"/>
          <w:spacing w:val="-6"/>
          <w:w w:val="120"/>
        </w:rPr>
        <w:t> </w:t>
      </w:r>
      <w:r>
        <w:rPr>
          <w:color w:val="231F20"/>
          <w:w w:val="120"/>
        </w:rPr>
        <w:t>plusieurs</w:t>
      </w:r>
      <w:r>
        <w:rPr>
          <w:color w:val="231F20"/>
          <w:spacing w:val="-6"/>
          <w:w w:val="120"/>
        </w:rPr>
        <w:t> </w:t>
      </w:r>
      <w:r>
        <w:rPr>
          <w:color w:val="231F20"/>
          <w:w w:val="120"/>
        </w:rPr>
        <w:t>pistes</w:t>
      </w:r>
      <w:r>
        <w:rPr>
          <w:color w:val="231F20"/>
          <w:spacing w:val="-6"/>
          <w:w w:val="120"/>
        </w:rPr>
        <w:t> </w:t>
      </w:r>
      <w:r>
        <w:rPr>
          <w:color w:val="231F20"/>
          <w:w w:val="120"/>
        </w:rPr>
        <w:t>de</w:t>
      </w:r>
      <w:r>
        <w:rPr>
          <w:color w:val="231F20"/>
          <w:spacing w:val="-6"/>
          <w:w w:val="120"/>
        </w:rPr>
        <w:t> </w:t>
      </w:r>
      <w:r>
        <w:rPr>
          <w:color w:val="231F20"/>
          <w:w w:val="120"/>
        </w:rPr>
        <w:t>solutions</w:t>
      </w:r>
      <w:r>
        <w:rPr>
          <w:color w:val="231F20"/>
          <w:spacing w:val="-6"/>
          <w:w w:val="120"/>
        </w:rPr>
        <w:t> </w:t>
      </w:r>
      <w:r>
        <w:rPr>
          <w:color w:val="231F20"/>
          <w:w w:val="120"/>
        </w:rPr>
        <w:t>soient</w:t>
      </w:r>
      <w:r>
        <w:rPr>
          <w:color w:val="231F20"/>
          <w:spacing w:val="-6"/>
          <w:w w:val="120"/>
        </w:rPr>
        <w:t> </w:t>
      </w:r>
      <w:r>
        <w:rPr>
          <w:color w:val="231F20"/>
          <w:w w:val="120"/>
        </w:rPr>
        <w:t>abor- </w:t>
      </w:r>
      <w:r>
        <w:rPr>
          <w:color w:val="231F20"/>
          <w:w w:val="115"/>
        </w:rPr>
        <w:t>dées,</w:t>
      </w:r>
      <w:r>
        <w:rPr>
          <w:color w:val="231F20"/>
          <w:spacing w:val="-6"/>
          <w:w w:val="115"/>
        </w:rPr>
        <w:t> </w:t>
      </w:r>
      <w:r>
        <w:rPr>
          <w:color w:val="231F20"/>
          <w:w w:val="115"/>
        </w:rPr>
        <w:t>il</w:t>
      </w:r>
      <w:r>
        <w:rPr>
          <w:color w:val="231F20"/>
          <w:spacing w:val="-6"/>
          <w:w w:val="115"/>
        </w:rPr>
        <w:t> </w:t>
      </w:r>
      <w:r>
        <w:rPr>
          <w:color w:val="231F20"/>
          <w:w w:val="115"/>
        </w:rPr>
        <w:t>ne</w:t>
      </w:r>
      <w:r>
        <w:rPr>
          <w:color w:val="231F20"/>
          <w:spacing w:val="-6"/>
          <w:w w:val="115"/>
        </w:rPr>
        <w:t> </w:t>
      </w:r>
      <w:r>
        <w:rPr>
          <w:color w:val="231F20"/>
          <w:w w:val="115"/>
        </w:rPr>
        <w:t>s’agira</w:t>
      </w:r>
      <w:r>
        <w:rPr>
          <w:color w:val="231F20"/>
          <w:spacing w:val="-6"/>
          <w:w w:val="115"/>
        </w:rPr>
        <w:t> </w:t>
      </w:r>
      <w:r>
        <w:rPr>
          <w:color w:val="231F20"/>
          <w:w w:val="115"/>
        </w:rPr>
        <w:t>pas</w:t>
      </w:r>
      <w:r>
        <w:rPr>
          <w:color w:val="231F20"/>
          <w:spacing w:val="-6"/>
          <w:w w:val="115"/>
        </w:rPr>
        <w:t> </w:t>
      </w:r>
      <w:r>
        <w:rPr>
          <w:color w:val="231F20"/>
          <w:w w:val="115"/>
        </w:rPr>
        <w:t>de</w:t>
      </w:r>
      <w:r>
        <w:rPr>
          <w:color w:val="231F20"/>
          <w:spacing w:val="-6"/>
          <w:w w:val="115"/>
        </w:rPr>
        <w:t> </w:t>
      </w:r>
      <w:r>
        <w:rPr>
          <w:color w:val="231F20"/>
          <w:w w:val="115"/>
        </w:rPr>
        <w:t>formuler</w:t>
      </w:r>
      <w:r>
        <w:rPr>
          <w:color w:val="231F20"/>
          <w:spacing w:val="-6"/>
          <w:w w:val="115"/>
        </w:rPr>
        <w:t> </w:t>
      </w:r>
      <w:r>
        <w:rPr>
          <w:color w:val="231F20"/>
          <w:w w:val="115"/>
        </w:rPr>
        <w:t>des</w:t>
      </w:r>
      <w:r>
        <w:rPr>
          <w:color w:val="231F20"/>
          <w:spacing w:val="-6"/>
          <w:w w:val="115"/>
        </w:rPr>
        <w:t> </w:t>
      </w:r>
      <w:r>
        <w:rPr>
          <w:color w:val="231F20"/>
          <w:w w:val="115"/>
        </w:rPr>
        <w:t>recettes</w:t>
      </w:r>
      <w:r>
        <w:rPr>
          <w:color w:val="231F20"/>
          <w:spacing w:val="-6"/>
          <w:w w:val="115"/>
        </w:rPr>
        <w:t> </w:t>
      </w:r>
      <w:r>
        <w:rPr>
          <w:color w:val="231F20"/>
          <w:w w:val="115"/>
        </w:rPr>
        <w:t>préétablies,</w:t>
      </w:r>
      <w:r>
        <w:rPr>
          <w:color w:val="231F20"/>
          <w:spacing w:val="-6"/>
          <w:w w:val="115"/>
        </w:rPr>
        <w:t> </w:t>
      </w:r>
      <w:r>
        <w:rPr>
          <w:color w:val="231F20"/>
          <w:w w:val="115"/>
        </w:rPr>
        <w:t>mais</w:t>
      </w:r>
      <w:r>
        <w:rPr>
          <w:color w:val="231F20"/>
          <w:spacing w:val="-6"/>
          <w:w w:val="115"/>
        </w:rPr>
        <w:t> </w:t>
      </w:r>
      <w:r>
        <w:rPr>
          <w:color w:val="231F20"/>
          <w:w w:val="115"/>
        </w:rPr>
        <w:t>d’illustrer </w:t>
      </w:r>
      <w:r>
        <w:rPr>
          <w:color w:val="231F20"/>
          <w:spacing w:val="-2"/>
          <w:w w:val="120"/>
        </w:rPr>
        <w:t>les éléments d’analyses sous-jacentes à chacune des solutions, éléments permettant</w:t>
      </w:r>
      <w:r>
        <w:rPr>
          <w:color w:val="231F20"/>
          <w:spacing w:val="-11"/>
          <w:w w:val="120"/>
        </w:rPr>
        <w:t> </w:t>
      </w:r>
      <w:r>
        <w:rPr>
          <w:color w:val="231F20"/>
          <w:spacing w:val="-2"/>
          <w:w w:val="120"/>
        </w:rPr>
        <w:t>d’assurer</w:t>
      </w:r>
      <w:r>
        <w:rPr>
          <w:color w:val="231F20"/>
          <w:spacing w:val="-11"/>
          <w:w w:val="120"/>
        </w:rPr>
        <w:t> </w:t>
      </w:r>
      <w:r>
        <w:rPr>
          <w:color w:val="231F20"/>
          <w:spacing w:val="-2"/>
          <w:w w:val="120"/>
        </w:rPr>
        <w:t>la</w:t>
      </w:r>
      <w:r>
        <w:rPr>
          <w:color w:val="231F20"/>
          <w:spacing w:val="-11"/>
          <w:w w:val="120"/>
        </w:rPr>
        <w:t> </w:t>
      </w:r>
      <w:r>
        <w:rPr>
          <w:color w:val="231F20"/>
          <w:spacing w:val="-2"/>
          <w:w w:val="120"/>
        </w:rPr>
        <w:t>meilleure</w:t>
      </w:r>
      <w:r>
        <w:rPr>
          <w:color w:val="231F20"/>
          <w:spacing w:val="-10"/>
          <w:w w:val="120"/>
        </w:rPr>
        <w:t> </w:t>
      </w:r>
      <w:r>
        <w:rPr>
          <w:color w:val="231F20"/>
          <w:spacing w:val="-2"/>
          <w:w w:val="120"/>
        </w:rPr>
        <w:t>efficacité</w:t>
      </w:r>
      <w:r>
        <w:rPr>
          <w:color w:val="231F20"/>
          <w:spacing w:val="-11"/>
          <w:w w:val="120"/>
        </w:rPr>
        <w:t> </w:t>
      </w:r>
      <w:r>
        <w:rPr>
          <w:color w:val="231F20"/>
          <w:spacing w:val="-2"/>
          <w:w w:val="120"/>
        </w:rPr>
        <w:t>dans</w:t>
      </w:r>
      <w:r>
        <w:rPr>
          <w:color w:val="231F20"/>
          <w:spacing w:val="-11"/>
          <w:w w:val="120"/>
        </w:rPr>
        <w:t> </w:t>
      </w:r>
      <w:r>
        <w:rPr>
          <w:color w:val="231F20"/>
          <w:spacing w:val="-2"/>
          <w:w w:val="120"/>
        </w:rPr>
        <w:t>une</w:t>
      </w:r>
      <w:r>
        <w:rPr>
          <w:color w:val="231F20"/>
          <w:spacing w:val="-11"/>
          <w:w w:val="120"/>
        </w:rPr>
        <w:t> </w:t>
      </w:r>
      <w:r>
        <w:rPr>
          <w:color w:val="231F20"/>
          <w:spacing w:val="-2"/>
          <w:w w:val="120"/>
        </w:rPr>
        <w:t>quête</w:t>
      </w:r>
      <w:r>
        <w:rPr>
          <w:color w:val="231F20"/>
          <w:spacing w:val="-10"/>
          <w:w w:val="120"/>
        </w:rPr>
        <w:t> </w:t>
      </w:r>
      <w:r>
        <w:rPr>
          <w:color w:val="231F20"/>
          <w:spacing w:val="-2"/>
          <w:w w:val="120"/>
        </w:rPr>
        <w:t>d’adéquation. </w:t>
      </w:r>
      <w:r>
        <w:rPr>
          <w:color w:val="231F20"/>
          <w:w w:val="120"/>
        </w:rPr>
        <w:t>Pour ce faire, le livre s’articule en cinq chapitres.</w:t>
      </w:r>
    </w:p>
    <w:p>
      <w:pPr>
        <w:pStyle w:val="BodyText"/>
        <w:spacing w:line="307" w:lineRule="auto" w:before="78"/>
        <w:ind w:left="1180" w:right="246" w:firstLine="249"/>
        <w:jc w:val="both"/>
      </w:pPr>
      <w:r>
        <w:rPr>
          <w:color w:val="231F20"/>
          <w:spacing w:val="-2"/>
          <w:w w:val="120"/>
        </w:rPr>
        <w:t>Le</w:t>
      </w:r>
      <w:r>
        <w:rPr>
          <w:color w:val="231F20"/>
          <w:spacing w:val="-6"/>
          <w:w w:val="120"/>
        </w:rPr>
        <w:t> </w:t>
      </w:r>
      <w:r>
        <w:rPr>
          <w:b/>
          <w:color w:val="231F20"/>
          <w:spacing w:val="-2"/>
          <w:w w:val="120"/>
        </w:rPr>
        <w:t>chapitre</w:t>
      </w:r>
      <w:r>
        <w:rPr>
          <w:b/>
          <w:color w:val="231F20"/>
          <w:spacing w:val="-9"/>
          <w:w w:val="120"/>
        </w:rPr>
        <w:t> </w:t>
      </w:r>
      <w:r>
        <w:rPr>
          <w:b/>
          <w:color w:val="231F20"/>
          <w:spacing w:val="-2"/>
          <w:w w:val="120"/>
        </w:rPr>
        <w:t>1</w:t>
      </w:r>
      <w:r>
        <w:rPr>
          <w:b/>
          <w:color w:val="231F20"/>
          <w:spacing w:val="-6"/>
          <w:w w:val="120"/>
        </w:rPr>
        <w:t> </w:t>
      </w:r>
      <w:r>
        <w:rPr>
          <w:color w:val="231F20"/>
          <w:spacing w:val="-2"/>
          <w:w w:val="120"/>
        </w:rPr>
        <w:t>jette</w:t>
      </w:r>
      <w:r>
        <w:rPr>
          <w:color w:val="231F20"/>
          <w:spacing w:val="-6"/>
          <w:w w:val="120"/>
        </w:rPr>
        <w:t> </w:t>
      </w:r>
      <w:r>
        <w:rPr>
          <w:color w:val="231F20"/>
          <w:spacing w:val="-2"/>
          <w:w w:val="120"/>
        </w:rPr>
        <w:t>les</w:t>
      </w:r>
      <w:r>
        <w:rPr>
          <w:color w:val="231F20"/>
          <w:spacing w:val="-6"/>
          <w:w w:val="120"/>
        </w:rPr>
        <w:t> </w:t>
      </w:r>
      <w:r>
        <w:rPr>
          <w:color w:val="231F20"/>
          <w:spacing w:val="-2"/>
          <w:w w:val="120"/>
        </w:rPr>
        <w:t>bases</w:t>
      </w:r>
      <w:r>
        <w:rPr>
          <w:color w:val="231F20"/>
          <w:spacing w:val="-6"/>
          <w:w w:val="120"/>
        </w:rPr>
        <w:t> </w:t>
      </w:r>
      <w:r>
        <w:rPr>
          <w:color w:val="231F20"/>
          <w:spacing w:val="-2"/>
          <w:w w:val="120"/>
        </w:rPr>
        <w:t>d’une</w:t>
      </w:r>
      <w:r>
        <w:rPr>
          <w:color w:val="231F20"/>
          <w:spacing w:val="-6"/>
          <w:w w:val="120"/>
        </w:rPr>
        <w:t> </w:t>
      </w:r>
      <w:r>
        <w:rPr>
          <w:color w:val="231F20"/>
          <w:spacing w:val="-2"/>
          <w:w w:val="120"/>
        </w:rPr>
        <w:t>réflexion</w:t>
      </w:r>
      <w:r>
        <w:rPr>
          <w:color w:val="231F20"/>
          <w:spacing w:val="-6"/>
          <w:w w:val="120"/>
        </w:rPr>
        <w:t> </w:t>
      </w:r>
      <w:r>
        <w:rPr>
          <w:color w:val="231F20"/>
          <w:spacing w:val="-2"/>
          <w:w w:val="120"/>
        </w:rPr>
        <w:t>générale</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nécessité </w:t>
      </w:r>
      <w:r>
        <w:rPr>
          <w:color w:val="231F20"/>
          <w:w w:val="120"/>
        </w:rPr>
        <w:t>de</w:t>
      </w:r>
      <w:r>
        <w:rPr>
          <w:color w:val="231F20"/>
          <w:spacing w:val="-12"/>
          <w:w w:val="120"/>
        </w:rPr>
        <w:t> </w:t>
      </w:r>
      <w:r>
        <w:rPr>
          <w:color w:val="231F20"/>
          <w:w w:val="120"/>
        </w:rPr>
        <w:t>conjuguer</w:t>
      </w:r>
      <w:r>
        <w:rPr>
          <w:color w:val="231F20"/>
          <w:spacing w:val="-12"/>
          <w:w w:val="120"/>
        </w:rPr>
        <w:t> </w:t>
      </w:r>
      <w:r>
        <w:rPr>
          <w:color w:val="231F20"/>
          <w:w w:val="120"/>
        </w:rPr>
        <w:t>la</w:t>
      </w:r>
      <w:r>
        <w:rPr>
          <w:color w:val="231F20"/>
          <w:spacing w:val="-12"/>
          <w:w w:val="120"/>
        </w:rPr>
        <w:t> </w:t>
      </w:r>
      <w:r>
        <w:rPr>
          <w:color w:val="231F20"/>
          <w:w w:val="120"/>
        </w:rPr>
        <w:t>productivité</w:t>
      </w:r>
      <w:r>
        <w:rPr>
          <w:color w:val="231F20"/>
          <w:spacing w:val="-12"/>
          <w:w w:val="120"/>
        </w:rPr>
        <w:t> </w:t>
      </w:r>
      <w:r>
        <w:rPr>
          <w:color w:val="231F20"/>
          <w:w w:val="120"/>
        </w:rPr>
        <w:t>et</w:t>
      </w:r>
      <w:r>
        <w:rPr>
          <w:color w:val="231F20"/>
          <w:spacing w:val="-12"/>
          <w:w w:val="120"/>
        </w:rPr>
        <w:t> </w:t>
      </w:r>
      <w:r>
        <w:rPr>
          <w:color w:val="231F20"/>
          <w:w w:val="120"/>
        </w:rPr>
        <w:t>l’efficience</w:t>
      </w:r>
      <w:r>
        <w:rPr>
          <w:color w:val="231F20"/>
          <w:spacing w:val="-12"/>
          <w:w w:val="120"/>
        </w:rPr>
        <w:t> </w:t>
      </w:r>
      <w:r>
        <w:rPr>
          <w:color w:val="231F20"/>
          <w:w w:val="120"/>
        </w:rPr>
        <w:t>organisationnelles</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santé </w:t>
      </w:r>
      <w:r>
        <w:rPr>
          <w:color w:val="231F20"/>
          <w:spacing w:val="-2"/>
          <w:w w:val="120"/>
        </w:rPr>
        <w:t>psychologique.</w:t>
      </w:r>
      <w:r>
        <w:rPr>
          <w:color w:val="231F20"/>
          <w:spacing w:val="-4"/>
          <w:w w:val="120"/>
        </w:rPr>
        <w:t> </w:t>
      </w:r>
      <w:r>
        <w:rPr>
          <w:color w:val="231F20"/>
          <w:spacing w:val="-2"/>
          <w:w w:val="120"/>
        </w:rPr>
        <w:t>On</w:t>
      </w:r>
      <w:r>
        <w:rPr>
          <w:color w:val="231F20"/>
          <w:spacing w:val="-4"/>
          <w:w w:val="120"/>
        </w:rPr>
        <w:t> </w:t>
      </w:r>
      <w:r>
        <w:rPr>
          <w:color w:val="231F20"/>
          <w:spacing w:val="-2"/>
          <w:w w:val="120"/>
        </w:rPr>
        <w:t>y</w:t>
      </w:r>
      <w:r>
        <w:rPr>
          <w:color w:val="231F20"/>
          <w:spacing w:val="-4"/>
          <w:w w:val="120"/>
        </w:rPr>
        <w:t> </w:t>
      </w:r>
      <w:r>
        <w:rPr>
          <w:color w:val="231F20"/>
          <w:spacing w:val="-2"/>
          <w:w w:val="120"/>
        </w:rPr>
        <w:t>aborde,</w:t>
      </w:r>
      <w:r>
        <w:rPr>
          <w:color w:val="231F20"/>
          <w:spacing w:val="-4"/>
          <w:w w:val="120"/>
        </w:rPr>
        <w:t> </w:t>
      </w:r>
      <w:r>
        <w:rPr>
          <w:color w:val="231F20"/>
          <w:spacing w:val="-2"/>
          <w:w w:val="120"/>
        </w:rPr>
        <w:t>entre</w:t>
      </w:r>
      <w:r>
        <w:rPr>
          <w:color w:val="231F20"/>
          <w:spacing w:val="-4"/>
          <w:w w:val="120"/>
        </w:rPr>
        <w:t> </w:t>
      </w:r>
      <w:r>
        <w:rPr>
          <w:color w:val="231F20"/>
          <w:spacing w:val="-2"/>
          <w:w w:val="120"/>
        </w:rPr>
        <w:t>autres,</w:t>
      </w:r>
      <w:r>
        <w:rPr>
          <w:color w:val="231F20"/>
          <w:spacing w:val="-4"/>
          <w:w w:val="120"/>
        </w:rPr>
        <w:t> </w:t>
      </w:r>
      <w:r>
        <w:rPr>
          <w:color w:val="231F20"/>
          <w:spacing w:val="-2"/>
          <w:w w:val="120"/>
        </w:rPr>
        <w:t>les</w:t>
      </w:r>
      <w:r>
        <w:rPr>
          <w:color w:val="231F20"/>
          <w:spacing w:val="-4"/>
          <w:w w:val="120"/>
        </w:rPr>
        <w:t> </w:t>
      </w:r>
      <w:r>
        <w:rPr>
          <w:color w:val="231F20"/>
          <w:spacing w:val="-2"/>
          <w:w w:val="120"/>
        </w:rPr>
        <w:t>ramifications</w:t>
      </w:r>
      <w:r>
        <w:rPr>
          <w:color w:val="231F20"/>
          <w:spacing w:val="-4"/>
          <w:w w:val="120"/>
        </w:rPr>
        <w:t> </w:t>
      </w:r>
      <w:r>
        <w:rPr>
          <w:color w:val="231F20"/>
          <w:spacing w:val="-2"/>
          <w:w w:val="120"/>
        </w:rPr>
        <w:t>entre</w:t>
      </w:r>
      <w:r>
        <w:rPr>
          <w:color w:val="231F20"/>
          <w:spacing w:val="-4"/>
          <w:w w:val="120"/>
        </w:rPr>
        <w:t> </w:t>
      </w:r>
      <w:r>
        <w:rPr>
          <w:color w:val="231F20"/>
          <w:spacing w:val="-2"/>
          <w:w w:val="120"/>
        </w:rPr>
        <w:t>la</w:t>
      </w:r>
      <w:r>
        <w:rPr>
          <w:color w:val="231F20"/>
          <w:spacing w:val="-4"/>
          <w:w w:val="120"/>
        </w:rPr>
        <w:t> </w:t>
      </w:r>
      <w:r>
        <w:rPr>
          <w:color w:val="231F20"/>
          <w:spacing w:val="-2"/>
          <w:w w:val="120"/>
        </w:rPr>
        <w:t>qua- </w:t>
      </w:r>
      <w:r>
        <w:rPr>
          <w:color w:val="231F20"/>
          <w:w w:val="120"/>
        </w:rPr>
        <w:t>lité</w:t>
      </w:r>
      <w:r>
        <w:rPr>
          <w:color w:val="231F20"/>
          <w:spacing w:val="-13"/>
          <w:w w:val="120"/>
        </w:rPr>
        <w:t> </w:t>
      </w:r>
      <w:r>
        <w:rPr>
          <w:color w:val="231F20"/>
          <w:w w:val="120"/>
        </w:rPr>
        <w:t>de</w:t>
      </w:r>
      <w:r>
        <w:rPr>
          <w:color w:val="231F20"/>
          <w:spacing w:val="-13"/>
          <w:w w:val="120"/>
        </w:rPr>
        <w:t> </w:t>
      </w:r>
      <w:r>
        <w:rPr>
          <w:color w:val="231F20"/>
          <w:w w:val="120"/>
        </w:rPr>
        <w:t>vie</w:t>
      </w:r>
      <w:r>
        <w:rPr>
          <w:color w:val="231F20"/>
          <w:spacing w:val="-13"/>
          <w:w w:val="120"/>
        </w:rPr>
        <w:t> </w:t>
      </w:r>
      <w:r>
        <w:rPr>
          <w:color w:val="231F20"/>
          <w:w w:val="120"/>
        </w:rPr>
        <w:t>au</w:t>
      </w:r>
      <w:r>
        <w:rPr>
          <w:color w:val="231F20"/>
          <w:spacing w:val="-12"/>
          <w:w w:val="120"/>
        </w:rPr>
        <w:t> </w:t>
      </w:r>
      <w:r>
        <w:rPr>
          <w:color w:val="231F20"/>
          <w:w w:val="120"/>
        </w:rPr>
        <w:t>travail</w:t>
      </w:r>
      <w:r>
        <w:rPr>
          <w:color w:val="231F20"/>
          <w:spacing w:val="-13"/>
          <w:w w:val="120"/>
        </w:rPr>
        <w:t> </w:t>
      </w:r>
      <w:r>
        <w:rPr>
          <w:color w:val="231F20"/>
          <w:w w:val="120"/>
        </w:rPr>
        <w:t>et</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2"/>
          <w:w w:val="120"/>
        </w:rPr>
        <w:t> </w:t>
      </w:r>
      <w:r>
        <w:rPr>
          <w:color w:val="231F20"/>
          <w:w w:val="120"/>
        </w:rPr>
        <w:t>dans</w:t>
      </w:r>
      <w:r>
        <w:rPr>
          <w:color w:val="231F20"/>
          <w:spacing w:val="-13"/>
          <w:w w:val="120"/>
        </w:rPr>
        <w:t> </w:t>
      </w:r>
      <w:r>
        <w:rPr>
          <w:color w:val="231F20"/>
          <w:w w:val="120"/>
        </w:rPr>
        <w:t>l’optique</w:t>
      </w:r>
      <w:r>
        <w:rPr>
          <w:color w:val="231F20"/>
          <w:spacing w:val="-13"/>
          <w:w w:val="120"/>
        </w:rPr>
        <w:t> </w:t>
      </w:r>
      <w:r>
        <w:rPr>
          <w:color w:val="231F20"/>
          <w:w w:val="120"/>
        </w:rPr>
        <w:t>de</w:t>
      </w:r>
      <w:r>
        <w:rPr>
          <w:color w:val="231F20"/>
          <w:spacing w:val="-13"/>
          <w:w w:val="120"/>
        </w:rPr>
        <w:t> </w:t>
      </w:r>
      <w:r>
        <w:rPr>
          <w:color w:val="231F20"/>
          <w:w w:val="120"/>
        </w:rPr>
        <w:t>l’émergence</w:t>
      </w:r>
      <w:r>
        <w:rPr>
          <w:color w:val="231F20"/>
          <w:spacing w:val="-12"/>
          <w:w w:val="120"/>
        </w:rPr>
        <w:t> </w:t>
      </w:r>
      <w:r>
        <w:rPr>
          <w:color w:val="231F20"/>
          <w:w w:val="120"/>
        </w:rPr>
        <w:t>d’un</w:t>
      </w:r>
      <w:r>
        <w:rPr>
          <w:color w:val="231F20"/>
          <w:spacing w:val="-13"/>
          <w:w w:val="120"/>
        </w:rPr>
        <w:t> </w:t>
      </w:r>
      <w:r>
        <w:rPr>
          <w:color w:val="231F20"/>
          <w:w w:val="120"/>
        </w:rPr>
        <w:t>nou- veau modèle de gestion. Les grands paradoxes du stress sur lesquels reposent les modes traditionnels de gestion sont aussi présentés.</w:t>
      </w:r>
    </w:p>
    <w:p>
      <w:pPr>
        <w:pStyle w:val="BodyText"/>
        <w:spacing w:line="307" w:lineRule="auto" w:before="79"/>
        <w:ind w:left="1180" w:right="246" w:firstLine="249"/>
        <w:jc w:val="both"/>
      </w:pPr>
      <w:r>
        <w:rPr>
          <w:color w:val="231F20"/>
          <w:w w:val="120"/>
        </w:rPr>
        <w:t>Le</w:t>
      </w:r>
      <w:r>
        <w:rPr>
          <w:color w:val="231F20"/>
          <w:spacing w:val="-8"/>
          <w:w w:val="120"/>
        </w:rPr>
        <w:t> </w:t>
      </w:r>
      <w:r>
        <w:rPr>
          <w:b/>
          <w:color w:val="231F20"/>
          <w:w w:val="120"/>
        </w:rPr>
        <w:t>chapitre</w:t>
      </w:r>
      <w:r>
        <w:rPr>
          <w:b/>
          <w:color w:val="231F20"/>
          <w:spacing w:val="-12"/>
          <w:w w:val="120"/>
        </w:rPr>
        <w:t> </w:t>
      </w:r>
      <w:r>
        <w:rPr>
          <w:b/>
          <w:color w:val="231F20"/>
          <w:w w:val="120"/>
        </w:rPr>
        <w:t>2</w:t>
      </w:r>
      <w:r>
        <w:rPr>
          <w:b/>
          <w:color w:val="231F20"/>
          <w:spacing w:val="-8"/>
          <w:w w:val="120"/>
        </w:rPr>
        <w:t> </w:t>
      </w:r>
      <w:r>
        <w:rPr>
          <w:color w:val="231F20"/>
          <w:w w:val="120"/>
        </w:rPr>
        <w:t>expose</w:t>
      </w:r>
      <w:r>
        <w:rPr>
          <w:color w:val="231F20"/>
          <w:spacing w:val="-8"/>
          <w:w w:val="120"/>
        </w:rPr>
        <w:t> </w:t>
      </w:r>
      <w:r>
        <w:rPr>
          <w:color w:val="231F20"/>
          <w:w w:val="120"/>
        </w:rPr>
        <w:t>le</w:t>
      </w:r>
      <w:r>
        <w:rPr>
          <w:color w:val="231F20"/>
          <w:spacing w:val="-8"/>
          <w:w w:val="120"/>
        </w:rPr>
        <w:t> </w:t>
      </w:r>
      <w:r>
        <w:rPr>
          <w:color w:val="231F20"/>
          <w:w w:val="120"/>
        </w:rPr>
        <w:t>phénomène</w:t>
      </w:r>
      <w:r>
        <w:rPr>
          <w:color w:val="231F20"/>
          <w:spacing w:val="-8"/>
          <w:w w:val="120"/>
        </w:rPr>
        <w:t> </w:t>
      </w:r>
      <w:r>
        <w:rPr>
          <w:color w:val="231F20"/>
          <w:w w:val="120"/>
        </w:rPr>
        <w:t>du</w:t>
      </w:r>
      <w:r>
        <w:rPr>
          <w:color w:val="231F20"/>
          <w:spacing w:val="-8"/>
          <w:w w:val="120"/>
        </w:rPr>
        <w:t> </w:t>
      </w:r>
      <w:r>
        <w:rPr>
          <w:color w:val="231F20"/>
          <w:w w:val="120"/>
        </w:rPr>
        <w:t>stress</w:t>
      </w:r>
      <w:r>
        <w:rPr>
          <w:color w:val="231F20"/>
          <w:spacing w:val="-8"/>
          <w:w w:val="120"/>
        </w:rPr>
        <w:t> </w:t>
      </w:r>
      <w:r>
        <w:rPr>
          <w:color w:val="231F20"/>
          <w:w w:val="120"/>
        </w:rPr>
        <w:t>en</w:t>
      </w:r>
      <w:r>
        <w:rPr>
          <w:color w:val="231F20"/>
          <w:spacing w:val="-8"/>
          <w:w w:val="120"/>
        </w:rPr>
        <w:t> </w:t>
      </w:r>
      <w:r>
        <w:rPr>
          <w:color w:val="231F20"/>
          <w:w w:val="120"/>
        </w:rPr>
        <w:t>général</w:t>
      </w:r>
      <w:r>
        <w:rPr>
          <w:color w:val="231F20"/>
          <w:spacing w:val="-8"/>
          <w:w w:val="120"/>
        </w:rPr>
        <w:t> </w:t>
      </w:r>
      <w:r>
        <w:rPr>
          <w:color w:val="231F20"/>
          <w:w w:val="120"/>
        </w:rPr>
        <w:t>et</w:t>
      </w:r>
      <w:r>
        <w:rPr>
          <w:color w:val="231F20"/>
          <w:spacing w:val="-8"/>
          <w:w w:val="120"/>
        </w:rPr>
        <w:t> </w:t>
      </w:r>
      <w:r>
        <w:rPr>
          <w:color w:val="231F20"/>
          <w:w w:val="120"/>
        </w:rPr>
        <w:t>du</w:t>
      </w:r>
      <w:r>
        <w:rPr>
          <w:color w:val="231F20"/>
          <w:spacing w:val="-8"/>
          <w:w w:val="120"/>
        </w:rPr>
        <w:t> </w:t>
      </w:r>
      <w:r>
        <w:rPr>
          <w:color w:val="231F20"/>
          <w:w w:val="120"/>
        </w:rPr>
        <w:t>stress </w:t>
      </w:r>
      <w:r>
        <w:rPr>
          <w:color w:val="231F20"/>
          <w:spacing w:val="-2"/>
          <w:w w:val="120"/>
        </w:rPr>
        <w:t>professionnel</w:t>
      </w:r>
      <w:r>
        <w:rPr>
          <w:color w:val="231F20"/>
          <w:spacing w:val="-4"/>
          <w:w w:val="120"/>
        </w:rPr>
        <w:t> </w:t>
      </w:r>
      <w:r>
        <w:rPr>
          <w:color w:val="231F20"/>
          <w:spacing w:val="-2"/>
          <w:w w:val="120"/>
        </w:rPr>
        <w:t>en</w:t>
      </w:r>
      <w:r>
        <w:rPr>
          <w:color w:val="231F20"/>
          <w:spacing w:val="-4"/>
          <w:w w:val="120"/>
        </w:rPr>
        <w:t> </w:t>
      </w:r>
      <w:r>
        <w:rPr>
          <w:color w:val="231F20"/>
          <w:spacing w:val="-2"/>
          <w:w w:val="120"/>
        </w:rPr>
        <w:t>particulier</w:t>
      </w:r>
      <w:r>
        <w:rPr>
          <w:color w:val="231F20"/>
          <w:spacing w:val="-4"/>
          <w:w w:val="120"/>
        </w:rPr>
        <w:t> </w:t>
      </w:r>
      <w:r>
        <w:rPr>
          <w:color w:val="231F20"/>
          <w:spacing w:val="-2"/>
          <w:w w:val="120"/>
        </w:rPr>
        <w:t>par</w:t>
      </w:r>
      <w:r>
        <w:rPr>
          <w:color w:val="231F20"/>
          <w:spacing w:val="-4"/>
          <w:w w:val="120"/>
        </w:rPr>
        <w:t> </w:t>
      </w:r>
      <w:r>
        <w:rPr>
          <w:color w:val="231F20"/>
          <w:spacing w:val="-2"/>
          <w:w w:val="120"/>
        </w:rPr>
        <w:t>l’analyse</w:t>
      </w:r>
      <w:r>
        <w:rPr>
          <w:color w:val="231F20"/>
          <w:spacing w:val="-4"/>
          <w:w w:val="120"/>
        </w:rPr>
        <w:t> </w:t>
      </w:r>
      <w:r>
        <w:rPr>
          <w:color w:val="231F20"/>
          <w:spacing w:val="-2"/>
          <w:w w:val="120"/>
        </w:rPr>
        <w:t>de</w:t>
      </w:r>
      <w:r>
        <w:rPr>
          <w:color w:val="231F20"/>
          <w:spacing w:val="-4"/>
          <w:w w:val="120"/>
        </w:rPr>
        <w:t> </w:t>
      </w:r>
      <w:r>
        <w:rPr>
          <w:color w:val="231F20"/>
          <w:spacing w:val="-2"/>
          <w:w w:val="120"/>
        </w:rPr>
        <w:t>ses</w:t>
      </w:r>
      <w:r>
        <w:rPr>
          <w:color w:val="231F20"/>
          <w:spacing w:val="-4"/>
          <w:w w:val="120"/>
        </w:rPr>
        <w:t> </w:t>
      </w:r>
      <w:r>
        <w:rPr>
          <w:color w:val="231F20"/>
          <w:spacing w:val="-2"/>
          <w:w w:val="120"/>
        </w:rPr>
        <w:t>facteurs</w:t>
      </w:r>
      <w:r>
        <w:rPr>
          <w:color w:val="231F20"/>
          <w:spacing w:val="-4"/>
          <w:w w:val="120"/>
        </w:rPr>
        <w:t> </w:t>
      </w:r>
      <w:r>
        <w:rPr>
          <w:color w:val="231F20"/>
          <w:spacing w:val="-2"/>
          <w:w w:val="120"/>
        </w:rPr>
        <w:t>déterminants</w:t>
      </w:r>
      <w:r>
        <w:rPr>
          <w:color w:val="231F20"/>
          <w:spacing w:val="-4"/>
          <w:w w:val="120"/>
        </w:rPr>
        <w:t> </w:t>
      </w:r>
      <w:r>
        <w:rPr>
          <w:color w:val="231F20"/>
          <w:spacing w:val="-2"/>
          <w:w w:val="120"/>
        </w:rPr>
        <w:t>et </w:t>
      </w:r>
      <w:r>
        <w:rPr>
          <w:color w:val="231F20"/>
          <w:w w:val="120"/>
        </w:rPr>
        <w:t>catalyseurs, de leurs symptômes et de leurs conséquences.</w:t>
      </w:r>
    </w:p>
    <w:p>
      <w:pPr>
        <w:spacing w:after="0" w:line="307" w:lineRule="auto"/>
        <w:jc w:val="both"/>
        <w:sectPr>
          <w:footerReference w:type="default" r:id="rId26"/>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89" w:right="636" w:firstLine="250"/>
        <w:jc w:val="both"/>
      </w:pPr>
      <w:r>
        <w:rPr>
          <w:color w:val="231F20"/>
          <w:w w:val="120"/>
        </w:rPr>
        <w:t>Le</w:t>
      </w:r>
      <w:r>
        <w:rPr>
          <w:color w:val="231F20"/>
          <w:spacing w:val="-11"/>
          <w:w w:val="120"/>
        </w:rPr>
        <w:t> </w:t>
      </w:r>
      <w:r>
        <w:rPr>
          <w:b/>
          <w:color w:val="231F20"/>
          <w:w w:val="120"/>
        </w:rPr>
        <w:t>chapitre</w:t>
      </w:r>
      <w:r>
        <w:rPr>
          <w:b/>
          <w:color w:val="231F20"/>
          <w:spacing w:val="-13"/>
          <w:w w:val="120"/>
        </w:rPr>
        <w:t> </w:t>
      </w:r>
      <w:r>
        <w:rPr>
          <w:b/>
          <w:color w:val="231F20"/>
          <w:w w:val="120"/>
        </w:rPr>
        <w:t>3</w:t>
      </w:r>
      <w:r>
        <w:rPr>
          <w:b/>
          <w:color w:val="231F20"/>
          <w:spacing w:val="-10"/>
          <w:w w:val="120"/>
        </w:rPr>
        <w:t> </w:t>
      </w:r>
      <w:r>
        <w:rPr>
          <w:color w:val="231F20"/>
          <w:w w:val="120"/>
        </w:rPr>
        <w:t>examine</w:t>
      </w:r>
      <w:r>
        <w:rPr>
          <w:color w:val="231F20"/>
          <w:spacing w:val="-10"/>
          <w:w w:val="120"/>
        </w:rPr>
        <w:t> </w:t>
      </w:r>
      <w:r>
        <w:rPr>
          <w:color w:val="231F20"/>
          <w:w w:val="120"/>
        </w:rPr>
        <w:t>de</w:t>
      </w:r>
      <w:r>
        <w:rPr>
          <w:color w:val="231F20"/>
          <w:spacing w:val="-10"/>
          <w:w w:val="120"/>
        </w:rPr>
        <w:t> </w:t>
      </w:r>
      <w:r>
        <w:rPr>
          <w:color w:val="231F20"/>
          <w:w w:val="120"/>
        </w:rPr>
        <w:t>plus</w:t>
      </w:r>
      <w:r>
        <w:rPr>
          <w:color w:val="231F20"/>
          <w:spacing w:val="-10"/>
          <w:w w:val="120"/>
        </w:rPr>
        <w:t> </w:t>
      </w:r>
      <w:r>
        <w:rPr>
          <w:color w:val="231F20"/>
          <w:w w:val="120"/>
        </w:rPr>
        <w:t>près</w:t>
      </w:r>
      <w:r>
        <w:rPr>
          <w:color w:val="231F20"/>
          <w:spacing w:val="-10"/>
          <w:w w:val="120"/>
        </w:rPr>
        <w:t> </w:t>
      </w:r>
      <w:r>
        <w:rPr>
          <w:color w:val="231F20"/>
          <w:w w:val="120"/>
        </w:rPr>
        <w:t>les</w:t>
      </w:r>
      <w:r>
        <w:rPr>
          <w:color w:val="231F20"/>
          <w:spacing w:val="-10"/>
          <w:w w:val="120"/>
        </w:rPr>
        <w:t> </w:t>
      </w:r>
      <w:r>
        <w:rPr>
          <w:color w:val="231F20"/>
          <w:w w:val="120"/>
        </w:rPr>
        <w:t>sources</w:t>
      </w:r>
      <w:r>
        <w:rPr>
          <w:color w:val="231F20"/>
          <w:spacing w:val="-10"/>
          <w:w w:val="120"/>
        </w:rPr>
        <w:t> </w:t>
      </w:r>
      <w:r>
        <w:rPr>
          <w:color w:val="231F20"/>
          <w:w w:val="120"/>
        </w:rPr>
        <w:t>et</w:t>
      </w:r>
      <w:r>
        <w:rPr>
          <w:color w:val="231F20"/>
          <w:spacing w:val="-10"/>
          <w:w w:val="120"/>
        </w:rPr>
        <w:t> </w:t>
      </w:r>
      <w:r>
        <w:rPr>
          <w:color w:val="231F20"/>
          <w:w w:val="120"/>
        </w:rPr>
        <w:t>les</w:t>
      </w:r>
      <w:r>
        <w:rPr>
          <w:color w:val="231F20"/>
          <w:spacing w:val="-10"/>
          <w:w w:val="120"/>
        </w:rPr>
        <w:t> </w:t>
      </w:r>
      <w:r>
        <w:rPr>
          <w:color w:val="231F20"/>
          <w:w w:val="120"/>
        </w:rPr>
        <w:t>antécédents</w:t>
      </w:r>
      <w:r>
        <w:rPr>
          <w:color w:val="231F20"/>
          <w:spacing w:val="-10"/>
          <w:w w:val="120"/>
        </w:rPr>
        <w:t> </w:t>
      </w:r>
      <w:r>
        <w:rPr>
          <w:color w:val="231F20"/>
          <w:w w:val="120"/>
        </w:rPr>
        <w:t>du </w:t>
      </w:r>
      <w:r>
        <w:rPr>
          <w:color w:val="231F20"/>
          <w:spacing w:val="-2"/>
          <w:w w:val="120"/>
        </w:rPr>
        <w:t>stress</w:t>
      </w:r>
      <w:r>
        <w:rPr>
          <w:color w:val="231F20"/>
          <w:spacing w:val="-11"/>
          <w:w w:val="120"/>
        </w:rPr>
        <w:t> </w:t>
      </w:r>
      <w:r>
        <w:rPr>
          <w:color w:val="231F20"/>
          <w:spacing w:val="-2"/>
          <w:w w:val="120"/>
        </w:rPr>
        <w:t>professionnel,</w:t>
      </w:r>
      <w:r>
        <w:rPr>
          <w:color w:val="231F20"/>
          <w:spacing w:val="-11"/>
          <w:w w:val="120"/>
        </w:rPr>
        <w:t> </w:t>
      </w:r>
      <w:r>
        <w:rPr>
          <w:color w:val="231F20"/>
          <w:spacing w:val="-2"/>
          <w:w w:val="120"/>
        </w:rPr>
        <w:t>de</w:t>
      </w:r>
      <w:r>
        <w:rPr>
          <w:color w:val="231F20"/>
          <w:spacing w:val="-11"/>
          <w:w w:val="120"/>
        </w:rPr>
        <w:t> </w:t>
      </w:r>
      <w:r>
        <w:rPr>
          <w:color w:val="231F20"/>
          <w:spacing w:val="-2"/>
          <w:w w:val="120"/>
        </w:rPr>
        <w:t>même</w:t>
      </w:r>
      <w:r>
        <w:rPr>
          <w:color w:val="231F20"/>
          <w:spacing w:val="-10"/>
          <w:w w:val="120"/>
        </w:rPr>
        <w:t> </w:t>
      </w:r>
      <w:r>
        <w:rPr>
          <w:color w:val="231F20"/>
          <w:spacing w:val="-2"/>
          <w:w w:val="120"/>
        </w:rPr>
        <w:t>que</w:t>
      </w:r>
      <w:r>
        <w:rPr>
          <w:color w:val="231F20"/>
          <w:spacing w:val="-11"/>
          <w:w w:val="120"/>
        </w:rPr>
        <w:t> </w:t>
      </w:r>
      <w:r>
        <w:rPr>
          <w:color w:val="231F20"/>
          <w:spacing w:val="-2"/>
          <w:w w:val="120"/>
        </w:rPr>
        <w:t>leurs</w:t>
      </w:r>
      <w:r>
        <w:rPr>
          <w:color w:val="231F20"/>
          <w:spacing w:val="-11"/>
          <w:w w:val="120"/>
        </w:rPr>
        <w:t> </w:t>
      </w:r>
      <w:r>
        <w:rPr>
          <w:color w:val="231F20"/>
          <w:spacing w:val="-2"/>
          <w:w w:val="120"/>
        </w:rPr>
        <w:t>coûts</w:t>
      </w:r>
      <w:r>
        <w:rPr>
          <w:color w:val="231F20"/>
          <w:spacing w:val="-11"/>
          <w:w w:val="120"/>
        </w:rPr>
        <w:t> </w:t>
      </w:r>
      <w:r>
        <w:rPr>
          <w:color w:val="231F20"/>
          <w:spacing w:val="-2"/>
          <w:w w:val="120"/>
        </w:rPr>
        <w:t>et</w:t>
      </w:r>
      <w:r>
        <w:rPr>
          <w:color w:val="231F20"/>
          <w:spacing w:val="-10"/>
          <w:w w:val="120"/>
        </w:rPr>
        <w:t> </w:t>
      </w:r>
      <w:r>
        <w:rPr>
          <w:color w:val="231F20"/>
          <w:spacing w:val="-2"/>
          <w:w w:val="120"/>
        </w:rPr>
        <w:t>leurs</w:t>
      </w:r>
      <w:r>
        <w:rPr>
          <w:color w:val="231F20"/>
          <w:spacing w:val="-11"/>
          <w:w w:val="120"/>
        </w:rPr>
        <w:t> </w:t>
      </w:r>
      <w:r>
        <w:rPr>
          <w:color w:val="231F20"/>
          <w:spacing w:val="-2"/>
          <w:w w:val="120"/>
        </w:rPr>
        <w:t>conséquences</w:t>
      </w:r>
      <w:r>
        <w:rPr>
          <w:color w:val="231F20"/>
          <w:spacing w:val="-11"/>
          <w:w w:val="120"/>
        </w:rPr>
        <w:t> </w:t>
      </w:r>
      <w:r>
        <w:rPr>
          <w:color w:val="231F20"/>
          <w:spacing w:val="-2"/>
          <w:w w:val="120"/>
        </w:rPr>
        <w:t>pour </w:t>
      </w:r>
      <w:r>
        <w:rPr>
          <w:color w:val="231F20"/>
          <w:w w:val="120"/>
        </w:rPr>
        <w:t>la</w:t>
      </w:r>
      <w:r>
        <w:rPr>
          <w:color w:val="231F20"/>
          <w:spacing w:val="-3"/>
          <w:w w:val="120"/>
        </w:rPr>
        <w:t> </w:t>
      </w:r>
      <w:r>
        <w:rPr>
          <w:color w:val="231F20"/>
          <w:w w:val="120"/>
        </w:rPr>
        <w:t>santé</w:t>
      </w:r>
      <w:r>
        <w:rPr>
          <w:color w:val="231F20"/>
          <w:spacing w:val="-3"/>
          <w:w w:val="120"/>
        </w:rPr>
        <w:t> </w:t>
      </w:r>
      <w:r>
        <w:rPr>
          <w:color w:val="231F20"/>
          <w:w w:val="120"/>
        </w:rPr>
        <w:t>psychologique</w:t>
      </w:r>
      <w:r>
        <w:rPr>
          <w:color w:val="231F20"/>
          <w:spacing w:val="-3"/>
          <w:w w:val="120"/>
        </w:rPr>
        <w:t> </w:t>
      </w:r>
      <w:r>
        <w:rPr>
          <w:color w:val="231F20"/>
          <w:w w:val="120"/>
        </w:rPr>
        <w:t>des</w:t>
      </w:r>
      <w:r>
        <w:rPr>
          <w:color w:val="231F20"/>
          <w:spacing w:val="-3"/>
          <w:w w:val="120"/>
        </w:rPr>
        <w:t> </w:t>
      </w:r>
      <w:r>
        <w:rPr>
          <w:color w:val="231F20"/>
          <w:w w:val="120"/>
        </w:rPr>
        <w:t>employés</w:t>
      </w:r>
      <w:r>
        <w:rPr>
          <w:color w:val="231F20"/>
          <w:spacing w:val="-3"/>
          <w:w w:val="120"/>
        </w:rPr>
        <w:t> </w:t>
      </w:r>
      <w:r>
        <w:rPr>
          <w:color w:val="231F20"/>
          <w:w w:val="120"/>
        </w:rPr>
        <w:t>et,</w:t>
      </w:r>
      <w:r>
        <w:rPr>
          <w:color w:val="231F20"/>
          <w:spacing w:val="-3"/>
          <w:w w:val="120"/>
        </w:rPr>
        <w:t> </w:t>
      </w:r>
      <w:r>
        <w:rPr>
          <w:color w:val="231F20"/>
          <w:w w:val="120"/>
        </w:rPr>
        <w:t>par</w:t>
      </w:r>
      <w:r>
        <w:rPr>
          <w:color w:val="231F20"/>
          <w:spacing w:val="-3"/>
          <w:w w:val="120"/>
        </w:rPr>
        <w:t> </w:t>
      </w:r>
      <w:r>
        <w:rPr>
          <w:color w:val="231F20"/>
          <w:w w:val="120"/>
        </w:rPr>
        <w:t>ricochet,</w:t>
      </w:r>
      <w:r>
        <w:rPr>
          <w:color w:val="231F20"/>
          <w:spacing w:val="-3"/>
          <w:w w:val="120"/>
        </w:rPr>
        <w:t> </w:t>
      </w:r>
      <w:r>
        <w:rPr>
          <w:color w:val="231F20"/>
          <w:w w:val="120"/>
        </w:rPr>
        <w:t>pour</w:t>
      </w:r>
      <w:r>
        <w:rPr>
          <w:color w:val="231F20"/>
          <w:spacing w:val="-3"/>
          <w:w w:val="120"/>
        </w:rPr>
        <w:t> </w:t>
      </w:r>
      <w:r>
        <w:rPr>
          <w:color w:val="231F20"/>
          <w:w w:val="120"/>
        </w:rPr>
        <w:t>l’efficience de</w:t>
      </w:r>
      <w:r>
        <w:rPr>
          <w:color w:val="231F20"/>
          <w:spacing w:val="-13"/>
          <w:w w:val="120"/>
        </w:rPr>
        <w:t> </w:t>
      </w:r>
      <w:r>
        <w:rPr>
          <w:color w:val="231F20"/>
          <w:w w:val="120"/>
        </w:rPr>
        <w:t>l’entreprise.</w:t>
      </w:r>
    </w:p>
    <w:p>
      <w:pPr>
        <w:pStyle w:val="BodyText"/>
        <w:spacing w:line="307" w:lineRule="auto" w:before="79"/>
        <w:ind w:left="790" w:right="637" w:firstLine="249"/>
        <w:jc w:val="both"/>
      </w:pPr>
      <w:r>
        <w:rPr>
          <w:color w:val="231F20"/>
          <w:w w:val="120"/>
        </w:rPr>
        <w:t>Le</w:t>
      </w:r>
      <w:r>
        <w:rPr>
          <w:color w:val="231F20"/>
          <w:spacing w:val="-9"/>
          <w:w w:val="120"/>
        </w:rPr>
        <w:t> </w:t>
      </w:r>
      <w:r>
        <w:rPr>
          <w:b/>
          <w:color w:val="231F20"/>
          <w:w w:val="120"/>
        </w:rPr>
        <w:t>chapitre</w:t>
      </w:r>
      <w:r>
        <w:rPr>
          <w:b/>
          <w:color w:val="231F20"/>
          <w:spacing w:val="-12"/>
          <w:w w:val="120"/>
        </w:rPr>
        <w:t> </w:t>
      </w:r>
      <w:r>
        <w:rPr>
          <w:b/>
          <w:color w:val="231F20"/>
          <w:w w:val="120"/>
        </w:rPr>
        <w:t>4</w:t>
      </w:r>
      <w:r>
        <w:rPr>
          <w:b/>
          <w:color w:val="231F20"/>
          <w:spacing w:val="-10"/>
          <w:w w:val="120"/>
        </w:rPr>
        <w:t> </w:t>
      </w:r>
      <w:r>
        <w:rPr>
          <w:color w:val="231F20"/>
          <w:w w:val="120"/>
        </w:rPr>
        <w:t>approfondit</w:t>
      </w:r>
      <w:r>
        <w:rPr>
          <w:color w:val="231F20"/>
          <w:spacing w:val="-9"/>
          <w:w w:val="120"/>
        </w:rPr>
        <w:t> </w:t>
      </w:r>
      <w:r>
        <w:rPr>
          <w:color w:val="231F20"/>
          <w:w w:val="120"/>
        </w:rPr>
        <w:t>la</w:t>
      </w:r>
      <w:r>
        <w:rPr>
          <w:color w:val="231F20"/>
          <w:spacing w:val="-9"/>
          <w:w w:val="120"/>
        </w:rPr>
        <w:t> </w:t>
      </w:r>
      <w:r>
        <w:rPr>
          <w:color w:val="231F20"/>
          <w:w w:val="120"/>
        </w:rPr>
        <w:t>notion</w:t>
      </w:r>
      <w:r>
        <w:rPr>
          <w:color w:val="231F20"/>
          <w:spacing w:val="-9"/>
          <w:w w:val="120"/>
        </w:rPr>
        <w:t> </w:t>
      </w:r>
      <w:r>
        <w:rPr>
          <w:color w:val="231F20"/>
          <w:w w:val="120"/>
        </w:rPr>
        <w:t>d’</w:t>
      </w:r>
      <w:r>
        <w:rPr>
          <w:i/>
          <w:color w:val="231F20"/>
          <w:w w:val="120"/>
        </w:rPr>
        <w:t>estime</w:t>
      </w:r>
      <w:r>
        <w:rPr>
          <w:i/>
          <w:color w:val="231F20"/>
          <w:spacing w:val="-9"/>
          <w:w w:val="120"/>
        </w:rPr>
        <w:t> </w:t>
      </w:r>
      <w:r>
        <w:rPr>
          <w:i/>
          <w:color w:val="231F20"/>
          <w:w w:val="120"/>
        </w:rPr>
        <w:t>de</w:t>
      </w:r>
      <w:r>
        <w:rPr>
          <w:i/>
          <w:color w:val="231F20"/>
          <w:spacing w:val="-9"/>
          <w:w w:val="120"/>
        </w:rPr>
        <w:t> </w:t>
      </w:r>
      <w:r>
        <w:rPr>
          <w:i/>
          <w:color w:val="231F20"/>
          <w:w w:val="120"/>
        </w:rPr>
        <w:t>soi</w:t>
      </w:r>
      <w:r>
        <w:rPr>
          <w:i/>
          <w:color w:val="231F20"/>
          <w:spacing w:val="-9"/>
          <w:w w:val="120"/>
        </w:rPr>
        <w:t> </w:t>
      </w:r>
      <w:r>
        <w:rPr>
          <w:color w:val="231F20"/>
          <w:w w:val="120"/>
        </w:rPr>
        <w:t>dans</w:t>
      </w:r>
      <w:r>
        <w:rPr>
          <w:color w:val="231F20"/>
          <w:spacing w:val="-9"/>
          <w:w w:val="120"/>
        </w:rPr>
        <w:t> </w:t>
      </w:r>
      <w:r>
        <w:rPr>
          <w:color w:val="231F20"/>
          <w:w w:val="120"/>
        </w:rPr>
        <w:t>le</w:t>
      </w:r>
      <w:r>
        <w:rPr>
          <w:color w:val="231F20"/>
          <w:spacing w:val="-9"/>
          <w:w w:val="120"/>
        </w:rPr>
        <w:t> </w:t>
      </w:r>
      <w:r>
        <w:rPr>
          <w:color w:val="231F20"/>
          <w:w w:val="120"/>
        </w:rPr>
        <w:t>contexte général du stress et de la santé, en plus de présenter quelques aspects connexes.</w:t>
      </w:r>
      <w:r>
        <w:rPr>
          <w:color w:val="231F20"/>
          <w:spacing w:val="-7"/>
          <w:w w:val="120"/>
        </w:rPr>
        <w:t> </w:t>
      </w:r>
      <w:r>
        <w:rPr>
          <w:color w:val="231F20"/>
          <w:w w:val="120"/>
        </w:rPr>
        <w:t>Il</w:t>
      </w:r>
      <w:r>
        <w:rPr>
          <w:color w:val="231F20"/>
          <w:spacing w:val="-7"/>
          <w:w w:val="120"/>
        </w:rPr>
        <w:t> </w:t>
      </w:r>
      <w:r>
        <w:rPr>
          <w:color w:val="231F20"/>
          <w:w w:val="120"/>
        </w:rPr>
        <w:t>contient</w:t>
      </w:r>
      <w:r>
        <w:rPr>
          <w:color w:val="231F20"/>
          <w:spacing w:val="-7"/>
          <w:w w:val="120"/>
        </w:rPr>
        <w:t> </w:t>
      </w:r>
      <w:r>
        <w:rPr>
          <w:color w:val="231F20"/>
          <w:w w:val="120"/>
        </w:rPr>
        <w:t>aussi</w:t>
      </w:r>
      <w:r>
        <w:rPr>
          <w:color w:val="231F20"/>
          <w:spacing w:val="-7"/>
          <w:w w:val="120"/>
        </w:rPr>
        <w:t> </w:t>
      </w:r>
      <w:r>
        <w:rPr>
          <w:color w:val="231F20"/>
          <w:w w:val="120"/>
        </w:rPr>
        <w:t>des</w:t>
      </w:r>
      <w:r>
        <w:rPr>
          <w:color w:val="231F20"/>
          <w:spacing w:val="-7"/>
          <w:w w:val="120"/>
        </w:rPr>
        <w:t> </w:t>
      </w:r>
      <w:r>
        <w:rPr>
          <w:color w:val="231F20"/>
          <w:w w:val="120"/>
        </w:rPr>
        <w:t>réflexions</w:t>
      </w:r>
      <w:r>
        <w:rPr>
          <w:color w:val="231F20"/>
          <w:spacing w:val="-7"/>
          <w:w w:val="120"/>
        </w:rPr>
        <w:t> </w:t>
      </w:r>
      <w:r>
        <w:rPr>
          <w:color w:val="231F20"/>
          <w:w w:val="120"/>
        </w:rPr>
        <w:t>sur</w:t>
      </w:r>
      <w:r>
        <w:rPr>
          <w:color w:val="231F20"/>
          <w:spacing w:val="-7"/>
          <w:w w:val="120"/>
        </w:rPr>
        <w:t> </w:t>
      </w:r>
      <w:r>
        <w:rPr>
          <w:color w:val="231F20"/>
          <w:w w:val="120"/>
        </w:rPr>
        <w:t>l’estime</w:t>
      </w:r>
      <w:r>
        <w:rPr>
          <w:color w:val="231F20"/>
          <w:spacing w:val="-7"/>
          <w:w w:val="120"/>
        </w:rPr>
        <w:t> </w:t>
      </w:r>
      <w:r>
        <w:rPr>
          <w:color w:val="231F20"/>
          <w:w w:val="120"/>
        </w:rPr>
        <w:t>de</w:t>
      </w:r>
      <w:r>
        <w:rPr>
          <w:color w:val="231F20"/>
          <w:spacing w:val="-7"/>
          <w:w w:val="120"/>
        </w:rPr>
        <w:t> </w:t>
      </w:r>
      <w:r>
        <w:rPr>
          <w:color w:val="231F20"/>
          <w:w w:val="120"/>
        </w:rPr>
        <w:t>soi</w:t>
      </w:r>
      <w:r>
        <w:rPr>
          <w:color w:val="231F20"/>
          <w:spacing w:val="-7"/>
          <w:w w:val="120"/>
        </w:rPr>
        <w:t> </w:t>
      </w:r>
      <w:r>
        <w:rPr>
          <w:color w:val="231F20"/>
          <w:w w:val="120"/>
        </w:rPr>
        <w:t>et</w:t>
      </w:r>
      <w:r>
        <w:rPr>
          <w:color w:val="231F20"/>
          <w:spacing w:val="-7"/>
          <w:w w:val="120"/>
        </w:rPr>
        <w:t> </w:t>
      </w:r>
      <w:r>
        <w:rPr>
          <w:color w:val="231F20"/>
          <w:w w:val="120"/>
        </w:rPr>
        <w:t>d’autres différences individuelles. Ce chapitre se termine sur une analyse des relations entre l’estime de soi et le stress professionnel.</w:t>
      </w:r>
    </w:p>
    <w:p>
      <w:pPr>
        <w:pStyle w:val="BodyText"/>
        <w:spacing w:line="307" w:lineRule="auto" w:before="80"/>
        <w:ind w:left="790" w:right="633" w:firstLine="250"/>
        <w:jc w:val="both"/>
      </w:pPr>
      <w:r>
        <w:rPr>
          <w:color w:val="231F20"/>
          <w:w w:val="120"/>
        </w:rPr>
        <w:t>Le</w:t>
      </w:r>
      <w:r>
        <w:rPr>
          <w:color w:val="231F20"/>
          <w:spacing w:val="-7"/>
          <w:w w:val="120"/>
        </w:rPr>
        <w:t> </w:t>
      </w:r>
      <w:r>
        <w:rPr>
          <w:b/>
          <w:color w:val="231F20"/>
          <w:w w:val="120"/>
        </w:rPr>
        <w:t>chapitre</w:t>
      </w:r>
      <w:r>
        <w:rPr>
          <w:b/>
          <w:color w:val="231F20"/>
          <w:spacing w:val="-11"/>
          <w:w w:val="120"/>
        </w:rPr>
        <w:t> </w:t>
      </w:r>
      <w:r>
        <w:rPr>
          <w:b/>
          <w:color w:val="231F20"/>
          <w:w w:val="120"/>
        </w:rPr>
        <w:t>5</w:t>
      </w:r>
      <w:r>
        <w:rPr>
          <w:b/>
          <w:color w:val="231F20"/>
          <w:spacing w:val="-7"/>
          <w:w w:val="120"/>
        </w:rPr>
        <w:t> </w:t>
      </w:r>
      <w:r>
        <w:rPr>
          <w:color w:val="231F20"/>
          <w:w w:val="120"/>
        </w:rPr>
        <w:t>propose</w:t>
      </w:r>
      <w:r>
        <w:rPr>
          <w:color w:val="231F20"/>
          <w:spacing w:val="-7"/>
          <w:w w:val="120"/>
        </w:rPr>
        <w:t> </w:t>
      </w:r>
      <w:r>
        <w:rPr>
          <w:color w:val="231F20"/>
          <w:w w:val="120"/>
        </w:rPr>
        <w:t>des</w:t>
      </w:r>
      <w:r>
        <w:rPr>
          <w:color w:val="231F20"/>
          <w:spacing w:val="-7"/>
          <w:w w:val="120"/>
        </w:rPr>
        <w:t> </w:t>
      </w:r>
      <w:r>
        <w:rPr>
          <w:color w:val="231F20"/>
          <w:w w:val="120"/>
        </w:rPr>
        <w:t>clés</w:t>
      </w:r>
      <w:r>
        <w:rPr>
          <w:color w:val="231F20"/>
          <w:spacing w:val="-7"/>
          <w:w w:val="120"/>
        </w:rPr>
        <w:t> </w:t>
      </w:r>
      <w:r>
        <w:rPr>
          <w:color w:val="231F20"/>
          <w:w w:val="120"/>
        </w:rPr>
        <w:t>pour</w:t>
      </w:r>
      <w:r>
        <w:rPr>
          <w:color w:val="231F20"/>
          <w:spacing w:val="-7"/>
          <w:w w:val="120"/>
        </w:rPr>
        <w:t> </w:t>
      </w:r>
      <w:r>
        <w:rPr>
          <w:color w:val="231F20"/>
          <w:w w:val="120"/>
        </w:rPr>
        <w:t>l’application</w:t>
      </w:r>
      <w:r>
        <w:rPr>
          <w:color w:val="231F20"/>
          <w:spacing w:val="-7"/>
          <w:w w:val="120"/>
        </w:rPr>
        <w:t> </w:t>
      </w:r>
      <w:r>
        <w:rPr>
          <w:color w:val="231F20"/>
          <w:w w:val="120"/>
        </w:rPr>
        <w:t>de</w:t>
      </w:r>
      <w:r>
        <w:rPr>
          <w:color w:val="231F20"/>
          <w:spacing w:val="-7"/>
          <w:w w:val="120"/>
        </w:rPr>
        <w:t> </w:t>
      </w:r>
      <w:r>
        <w:rPr>
          <w:color w:val="231F20"/>
          <w:w w:val="120"/>
        </w:rPr>
        <w:t>stratégies</w:t>
      </w:r>
      <w:r>
        <w:rPr>
          <w:color w:val="231F20"/>
          <w:spacing w:val="-7"/>
          <w:w w:val="120"/>
        </w:rPr>
        <w:t> </w:t>
      </w:r>
      <w:r>
        <w:rPr>
          <w:color w:val="231F20"/>
          <w:w w:val="120"/>
        </w:rPr>
        <w:t>indi- viduelles de traitement du stress, y compris des indications pour sa prévention par le développement d’une saine santé psychologique. Le chapitre porte aussi sur les stratégies organisationnelles de gestion du stress</w:t>
      </w:r>
      <w:r>
        <w:rPr>
          <w:color w:val="231F20"/>
          <w:spacing w:val="-13"/>
          <w:w w:val="120"/>
        </w:rPr>
        <w:t> </w:t>
      </w:r>
      <w:r>
        <w:rPr>
          <w:color w:val="231F20"/>
          <w:w w:val="120"/>
        </w:rPr>
        <w:t>professionnel.</w:t>
      </w:r>
      <w:r>
        <w:rPr>
          <w:color w:val="231F20"/>
          <w:spacing w:val="-13"/>
          <w:w w:val="120"/>
        </w:rPr>
        <w:t> </w:t>
      </w:r>
      <w:r>
        <w:rPr>
          <w:color w:val="231F20"/>
          <w:w w:val="120"/>
        </w:rPr>
        <w:t>Y</w:t>
      </w:r>
      <w:r>
        <w:rPr>
          <w:color w:val="231F20"/>
          <w:spacing w:val="-13"/>
          <w:w w:val="120"/>
        </w:rPr>
        <w:t> </w:t>
      </w:r>
      <w:r>
        <w:rPr>
          <w:color w:val="231F20"/>
          <w:w w:val="120"/>
        </w:rPr>
        <w:t>sont</w:t>
      </w:r>
      <w:r>
        <w:rPr>
          <w:color w:val="231F20"/>
          <w:spacing w:val="-12"/>
          <w:w w:val="120"/>
        </w:rPr>
        <w:t> </w:t>
      </w:r>
      <w:r>
        <w:rPr>
          <w:color w:val="231F20"/>
          <w:w w:val="120"/>
        </w:rPr>
        <w:t>analysés</w:t>
      </w:r>
      <w:r>
        <w:rPr>
          <w:color w:val="231F20"/>
          <w:spacing w:val="-13"/>
          <w:w w:val="120"/>
        </w:rPr>
        <w:t> </w:t>
      </w:r>
      <w:r>
        <w:rPr>
          <w:color w:val="231F20"/>
          <w:w w:val="120"/>
        </w:rPr>
        <w:t>les</w:t>
      </w:r>
      <w:r>
        <w:rPr>
          <w:color w:val="231F20"/>
          <w:spacing w:val="-13"/>
          <w:w w:val="120"/>
        </w:rPr>
        <w:t> </w:t>
      </w:r>
      <w:r>
        <w:rPr>
          <w:color w:val="231F20"/>
          <w:w w:val="120"/>
        </w:rPr>
        <w:t>obstacles</w:t>
      </w:r>
      <w:r>
        <w:rPr>
          <w:color w:val="231F20"/>
          <w:spacing w:val="-13"/>
          <w:w w:val="120"/>
        </w:rPr>
        <w:t> </w:t>
      </w:r>
      <w:r>
        <w:rPr>
          <w:color w:val="231F20"/>
          <w:w w:val="120"/>
        </w:rPr>
        <w:t>à</w:t>
      </w:r>
      <w:r>
        <w:rPr>
          <w:color w:val="231F20"/>
          <w:spacing w:val="-12"/>
          <w:w w:val="120"/>
        </w:rPr>
        <w:t> </w:t>
      </w:r>
      <w:r>
        <w:rPr>
          <w:color w:val="231F20"/>
          <w:w w:val="120"/>
        </w:rPr>
        <w:t>surmonter</w:t>
      </w:r>
      <w:r>
        <w:rPr>
          <w:color w:val="231F20"/>
          <w:spacing w:val="-13"/>
          <w:w w:val="120"/>
        </w:rPr>
        <w:t> </w:t>
      </w:r>
      <w:r>
        <w:rPr>
          <w:color w:val="231F20"/>
          <w:w w:val="120"/>
        </w:rPr>
        <w:t>ainsi</w:t>
      </w:r>
      <w:r>
        <w:rPr>
          <w:color w:val="231F20"/>
          <w:spacing w:val="-13"/>
          <w:w w:val="120"/>
        </w:rPr>
        <w:t> </w:t>
      </w:r>
      <w:r>
        <w:rPr>
          <w:color w:val="231F20"/>
          <w:w w:val="120"/>
        </w:rPr>
        <w:t>que les divers niveaux d’intervention possibles.</w:t>
      </w:r>
    </w:p>
    <w:p>
      <w:pPr>
        <w:pStyle w:val="BodyText"/>
        <w:spacing w:line="307" w:lineRule="auto" w:before="79"/>
        <w:ind w:left="790" w:right="634" w:firstLine="250"/>
        <w:jc w:val="both"/>
      </w:pPr>
      <w:r>
        <w:rPr>
          <w:color w:val="231F20"/>
          <w:w w:val="120"/>
        </w:rPr>
        <w:t>Nous</w:t>
      </w:r>
      <w:r>
        <w:rPr>
          <w:color w:val="231F20"/>
          <w:spacing w:val="-1"/>
          <w:w w:val="120"/>
        </w:rPr>
        <w:t> </w:t>
      </w:r>
      <w:r>
        <w:rPr>
          <w:color w:val="231F20"/>
          <w:w w:val="120"/>
        </w:rPr>
        <w:t>avons</w:t>
      </w:r>
      <w:r>
        <w:rPr>
          <w:color w:val="231F20"/>
          <w:spacing w:val="-1"/>
          <w:w w:val="120"/>
        </w:rPr>
        <w:t> </w:t>
      </w:r>
      <w:r>
        <w:rPr>
          <w:color w:val="231F20"/>
          <w:w w:val="120"/>
        </w:rPr>
        <w:t>rédigé</w:t>
      </w:r>
      <w:r>
        <w:rPr>
          <w:color w:val="231F20"/>
          <w:spacing w:val="-1"/>
          <w:w w:val="120"/>
        </w:rPr>
        <w:t> </w:t>
      </w:r>
      <w:r>
        <w:rPr>
          <w:i/>
          <w:color w:val="231F20"/>
          <w:w w:val="120"/>
        </w:rPr>
        <w:t>Stress,</w:t>
      </w:r>
      <w:r>
        <w:rPr>
          <w:i/>
          <w:color w:val="231F20"/>
          <w:spacing w:val="-1"/>
          <w:w w:val="120"/>
        </w:rPr>
        <w:t> </w:t>
      </w:r>
      <w:r>
        <w:rPr>
          <w:i/>
          <w:color w:val="231F20"/>
          <w:w w:val="120"/>
        </w:rPr>
        <w:t>santé</w:t>
      </w:r>
      <w:r>
        <w:rPr>
          <w:i/>
          <w:color w:val="231F20"/>
          <w:spacing w:val="-1"/>
          <w:w w:val="120"/>
        </w:rPr>
        <w:t> </w:t>
      </w:r>
      <w:r>
        <w:rPr>
          <w:i/>
          <w:color w:val="231F20"/>
          <w:w w:val="120"/>
        </w:rPr>
        <w:t>et</w:t>
      </w:r>
      <w:r>
        <w:rPr>
          <w:i/>
          <w:color w:val="231F20"/>
          <w:spacing w:val="-1"/>
          <w:w w:val="120"/>
        </w:rPr>
        <w:t> </w:t>
      </w:r>
      <w:r>
        <w:rPr>
          <w:i/>
          <w:color w:val="231F20"/>
          <w:w w:val="120"/>
        </w:rPr>
        <w:t>performance</w:t>
      </w:r>
      <w:r>
        <w:rPr>
          <w:i/>
          <w:color w:val="231F20"/>
          <w:spacing w:val="-1"/>
          <w:w w:val="120"/>
        </w:rPr>
        <w:t> </w:t>
      </w:r>
      <w:r>
        <w:rPr>
          <w:i/>
          <w:color w:val="231F20"/>
          <w:w w:val="120"/>
        </w:rPr>
        <w:t>au</w:t>
      </w:r>
      <w:r>
        <w:rPr>
          <w:i/>
          <w:color w:val="231F20"/>
          <w:spacing w:val="-1"/>
          <w:w w:val="120"/>
        </w:rPr>
        <w:t> </w:t>
      </w:r>
      <w:r>
        <w:rPr>
          <w:i/>
          <w:color w:val="231F20"/>
          <w:w w:val="120"/>
        </w:rPr>
        <w:t>travail</w:t>
      </w:r>
      <w:r>
        <w:rPr>
          <w:i/>
          <w:color w:val="231F20"/>
          <w:spacing w:val="-1"/>
          <w:w w:val="120"/>
        </w:rPr>
        <w:t> </w:t>
      </w:r>
      <w:r>
        <w:rPr>
          <w:color w:val="231F20"/>
          <w:w w:val="120"/>
        </w:rPr>
        <w:t>en</w:t>
      </w:r>
      <w:r>
        <w:rPr>
          <w:color w:val="231F20"/>
          <w:spacing w:val="-1"/>
          <w:w w:val="120"/>
        </w:rPr>
        <w:t> </w:t>
      </w:r>
      <w:r>
        <w:rPr>
          <w:color w:val="231F20"/>
          <w:w w:val="120"/>
        </w:rPr>
        <w:t>ayant quatre</w:t>
      </w:r>
      <w:r>
        <w:rPr>
          <w:color w:val="231F20"/>
          <w:spacing w:val="-2"/>
          <w:w w:val="120"/>
        </w:rPr>
        <w:t> </w:t>
      </w:r>
      <w:r>
        <w:rPr>
          <w:color w:val="231F20"/>
          <w:w w:val="120"/>
        </w:rPr>
        <w:t>objectifs</w:t>
      </w:r>
      <w:r>
        <w:rPr>
          <w:color w:val="231F20"/>
          <w:spacing w:val="-2"/>
          <w:w w:val="120"/>
        </w:rPr>
        <w:t> </w:t>
      </w:r>
      <w:r>
        <w:rPr>
          <w:color w:val="231F20"/>
          <w:w w:val="120"/>
        </w:rPr>
        <w:t>en</w:t>
      </w:r>
      <w:r>
        <w:rPr>
          <w:color w:val="231F20"/>
          <w:spacing w:val="-2"/>
          <w:w w:val="120"/>
        </w:rPr>
        <w:t> </w:t>
      </w:r>
      <w:r>
        <w:rPr>
          <w:color w:val="231F20"/>
          <w:w w:val="120"/>
        </w:rPr>
        <w:t>tête:</w:t>
      </w:r>
      <w:r>
        <w:rPr>
          <w:color w:val="231F20"/>
          <w:spacing w:val="-2"/>
          <w:w w:val="120"/>
        </w:rPr>
        <w:t> </w:t>
      </w:r>
      <w:r>
        <w:rPr>
          <w:color w:val="231F20"/>
          <w:w w:val="120"/>
        </w:rPr>
        <w:t>offrir</w:t>
      </w:r>
      <w:r>
        <w:rPr>
          <w:color w:val="231F20"/>
          <w:spacing w:val="-2"/>
          <w:w w:val="120"/>
        </w:rPr>
        <w:t> </w:t>
      </w:r>
      <w:r>
        <w:rPr>
          <w:color w:val="231F20"/>
          <w:w w:val="120"/>
        </w:rPr>
        <w:t>un</w:t>
      </w:r>
      <w:r>
        <w:rPr>
          <w:color w:val="231F20"/>
          <w:spacing w:val="-2"/>
          <w:w w:val="120"/>
        </w:rPr>
        <w:t> </w:t>
      </w:r>
      <w:r>
        <w:rPr>
          <w:color w:val="231F20"/>
          <w:w w:val="120"/>
        </w:rPr>
        <w:t>ouvrage</w:t>
      </w:r>
      <w:r>
        <w:rPr>
          <w:color w:val="231F20"/>
          <w:spacing w:val="-2"/>
          <w:w w:val="120"/>
        </w:rPr>
        <w:t> </w:t>
      </w:r>
      <w:r>
        <w:rPr>
          <w:color w:val="231F20"/>
          <w:w w:val="120"/>
        </w:rPr>
        <w:t>facile</w:t>
      </w:r>
      <w:r>
        <w:rPr>
          <w:color w:val="231F20"/>
          <w:spacing w:val="-2"/>
          <w:w w:val="120"/>
        </w:rPr>
        <w:t> </w:t>
      </w:r>
      <w:r>
        <w:rPr>
          <w:color w:val="231F20"/>
          <w:w w:val="120"/>
        </w:rPr>
        <w:t>à</w:t>
      </w:r>
      <w:r>
        <w:rPr>
          <w:color w:val="231F20"/>
          <w:spacing w:val="-2"/>
          <w:w w:val="120"/>
        </w:rPr>
        <w:t> </w:t>
      </w:r>
      <w:r>
        <w:rPr>
          <w:color w:val="231F20"/>
          <w:w w:val="120"/>
        </w:rPr>
        <w:t>lire</w:t>
      </w:r>
      <w:r>
        <w:rPr>
          <w:color w:val="231F20"/>
          <w:spacing w:val="-2"/>
          <w:w w:val="120"/>
        </w:rPr>
        <w:t> </w:t>
      </w:r>
      <w:r>
        <w:rPr>
          <w:color w:val="231F20"/>
          <w:w w:val="120"/>
        </w:rPr>
        <w:t>et</w:t>
      </w:r>
      <w:r>
        <w:rPr>
          <w:color w:val="231F20"/>
          <w:spacing w:val="-2"/>
          <w:w w:val="120"/>
        </w:rPr>
        <w:t> </w:t>
      </w:r>
      <w:r>
        <w:rPr>
          <w:color w:val="231F20"/>
          <w:w w:val="120"/>
        </w:rPr>
        <w:t>à</w:t>
      </w:r>
      <w:r>
        <w:rPr>
          <w:color w:val="231F20"/>
          <w:spacing w:val="-2"/>
          <w:w w:val="120"/>
        </w:rPr>
        <w:t> </w:t>
      </w:r>
      <w:r>
        <w:rPr>
          <w:color w:val="231F20"/>
          <w:w w:val="120"/>
        </w:rPr>
        <w:t>comprendre, présenter</w:t>
      </w:r>
      <w:r>
        <w:rPr>
          <w:color w:val="231F20"/>
          <w:spacing w:val="-5"/>
          <w:w w:val="120"/>
        </w:rPr>
        <w:t> </w:t>
      </w:r>
      <w:r>
        <w:rPr>
          <w:color w:val="231F20"/>
          <w:w w:val="120"/>
        </w:rPr>
        <w:t>les</w:t>
      </w:r>
      <w:r>
        <w:rPr>
          <w:color w:val="231F20"/>
          <w:spacing w:val="-5"/>
          <w:w w:val="120"/>
        </w:rPr>
        <w:t> </w:t>
      </w:r>
      <w:r>
        <w:rPr>
          <w:color w:val="231F20"/>
          <w:w w:val="120"/>
        </w:rPr>
        <w:t>éléments</w:t>
      </w:r>
      <w:r>
        <w:rPr>
          <w:color w:val="231F20"/>
          <w:spacing w:val="-5"/>
          <w:w w:val="120"/>
        </w:rPr>
        <w:t> </w:t>
      </w:r>
      <w:r>
        <w:rPr>
          <w:color w:val="231F20"/>
          <w:w w:val="120"/>
        </w:rPr>
        <w:t>essentiels</w:t>
      </w:r>
      <w:r>
        <w:rPr>
          <w:color w:val="231F20"/>
          <w:spacing w:val="-5"/>
          <w:w w:val="120"/>
        </w:rPr>
        <w:t> </w:t>
      </w:r>
      <w:r>
        <w:rPr>
          <w:color w:val="231F20"/>
          <w:w w:val="120"/>
        </w:rPr>
        <w:t>du</w:t>
      </w:r>
      <w:r>
        <w:rPr>
          <w:color w:val="231F20"/>
          <w:spacing w:val="-5"/>
          <w:w w:val="120"/>
        </w:rPr>
        <w:t> </w:t>
      </w:r>
      <w:r>
        <w:rPr>
          <w:color w:val="231F20"/>
          <w:w w:val="120"/>
        </w:rPr>
        <w:t>sujet,</w:t>
      </w:r>
      <w:r>
        <w:rPr>
          <w:color w:val="231F20"/>
          <w:spacing w:val="-5"/>
          <w:w w:val="120"/>
        </w:rPr>
        <w:t> </w:t>
      </w:r>
      <w:r>
        <w:rPr>
          <w:color w:val="231F20"/>
          <w:w w:val="120"/>
        </w:rPr>
        <w:t>adapter</w:t>
      </w:r>
      <w:r>
        <w:rPr>
          <w:color w:val="231F20"/>
          <w:spacing w:val="-5"/>
          <w:w w:val="120"/>
        </w:rPr>
        <w:t> </w:t>
      </w:r>
      <w:r>
        <w:rPr>
          <w:color w:val="231F20"/>
          <w:w w:val="120"/>
        </w:rPr>
        <w:t>le</w:t>
      </w:r>
      <w:r>
        <w:rPr>
          <w:color w:val="231F20"/>
          <w:spacing w:val="-5"/>
          <w:w w:val="120"/>
        </w:rPr>
        <w:t> </w:t>
      </w:r>
      <w:r>
        <w:rPr>
          <w:color w:val="231F20"/>
          <w:w w:val="120"/>
        </w:rPr>
        <w:t>contenu</w:t>
      </w:r>
      <w:r>
        <w:rPr>
          <w:color w:val="231F20"/>
          <w:spacing w:val="-5"/>
          <w:w w:val="120"/>
        </w:rPr>
        <w:t> </w:t>
      </w:r>
      <w:r>
        <w:rPr>
          <w:color w:val="231F20"/>
          <w:w w:val="120"/>
        </w:rPr>
        <w:t>à</w:t>
      </w:r>
      <w:r>
        <w:rPr>
          <w:color w:val="231F20"/>
          <w:spacing w:val="-5"/>
          <w:w w:val="120"/>
        </w:rPr>
        <w:t> </w:t>
      </w:r>
      <w:r>
        <w:rPr>
          <w:color w:val="231F20"/>
          <w:w w:val="120"/>
        </w:rPr>
        <w:t>la</w:t>
      </w:r>
      <w:r>
        <w:rPr>
          <w:color w:val="231F20"/>
          <w:spacing w:val="-5"/>
          <w:w w:val="120"/>
        </w:rPr>
        <w:t> </w:t>
      </w:r>
      <w:r>
        <w:rPr>
          <w:color w:val="231F20"/>
          <w:w w:val="120"/>
        </w:rPr>
        <w:t>situa- </w:t>
      </w:r>
      <w:r>
        <w:rPr>
          <w:color w:val="231F20"/>
          <w:w w:val="115"/>
        </w:rPr>
        <w:t>tion</w:t>
      </w:r>
      <w:r>
        <w:rPr>
          <w:color w:val="231F20"/>
          <w:spacing w:val="-3"/>
          <w:w w:val="115"/>
        </w:rPr>
        <w:t> </w:t>
      </w:r>
      <w:r>
        <w:rPr>
          <w:color w:val="231F20"/>
          <w:w w:val="115"/>
        </w:rPr>
        <w:t>actuelle</w:t>
      </w:r>
      <w:r>
        <w:rPr>
          <w:color w:val="231F20"/>
          <w:spacing w:val="-3"/>
          <w:w w:val="115"/>
        </w:rPr>
        <w:t> </w:t>
      </w:r>
      <w:r>
        <w:rPr>
          <w:color w:val="231F20"/>
          <w:w w:val="115"/>
        </w:rPr>
        <w:t>des</w:t>
      </w:r>
      <w:r>
        <w:rPr>
          <w:color w:val="231F20"/>
          <w:spacing w:val="-3"/>
          <w:w w:val="115"/>
        </w:rPr>
        <w:t> </w:t>
      </w:r>
      <w:r>
        <w:rPr>
          <w:color w:val="231F20"/>
          <w:w w:val="115"/>
        </w:rPr>
        <w:t>organisations</w:t>
      </w:r>
      <w:r>
        <w:rPr>
          <w:color w:val="231F20"/>
          <w:spacing w:val="-3"/>
          <w:w w:val="115"/>
        </w:rPr>
        <w:t> </w:t>
      </w:r>
      <w:r>
        <w:rPr>
          <w:color w:val="231F20"/>
          <w:w w:val="115"/>
        </w:rPr>
        <w:t>et</w:t>
      </w:r>
      <w:r>
        <w:rPr>
          <w:color w:val="231F20"/>
          <w:spacing w:val="-3"/>
          <w:w w:val="115"/>
        </w:rPr>
        <w:t> </w:t>
      </w:r>
      <w:r>
        <w:rPr>
          <w:color w:val="231F20"/>
          <w:w w:val="115"/>
        </w:rPr>
        <w:t>stimuler</w:t>
      </w:r>
      <w:r>
        <w:rPr>
          <w:color w:val="231F20"/>
          <w:spacing w:val="-3"/>
          <w:w w:val="115"/>
        </w:rPr>
        <w:t> </w:t>
      </w:r>
      <w:r>
        <w:rPr>
          <w:color w:val="231F20"/>
          <w:w w:val="115"/>
        </w:rPr>
        <w:t>les</w:t>
      </w:r>
      <w:r>
        <w:rPr>
          <w:color w:val="231F20"/>
          <w:spacing w:val="-3"/>
          <w:w w:val="115"/>
        </w:rPr>
        <w:t> </w:t>
      </w:r>
      <w:r>
        <w:rPr>
          <w:color w:val="231F20"/>
          <w:w w:val="115"/>
        </w:rPr>
        <w:t>lecteurs.</w:t>
      </w:r>
      <w:r>
        <w:rPr>
          <w:color w:val="231F20"/>
          <w:spacing w:val="-3"/>
          <w:w w:val="115"/>
        </w:rPr>
        <w:t> </w:t>
      </w:r>
      <w:r>
        <w:rPr>
          <w:color w:val="231F20"/>
          <w:w w:val="115"/>
        </w:rPr>
        <w:t>Nous</w:t>
      </w:r>
      <w:r>
        <w:rPr>
          <w:color w:val="231F20"/>
          <w:spacing w:val="-3"/>
          <w:w w:val="115"/>
        </w:rPr>
        <w:t> </w:t>
      </w:r>
      <w:r>
        <w:rPr>
          <w:color w:val="231F20"/>
          <w:w w:val="115"/>
        </w:rPr>
        <w:t>espérons</w:t>
      </w:r>
      <w:r>
        <w:rPr>
          <w:color w:val="231F20"/>
          <w:spacing w:val="-3"/>
          <w:w w:val="115"/>
        </w:rPr>
        <w:t> </w:t>
      </w:r>
      <w:r>
        <w:rPr>
          <w:color w:val="231F20"/>
          <w:w w:val="115"/>
        </w:rPr>
        <w:t>que ce</w:t>
      </w:r>
      <w:r>
        <w:rPr>
          <w:color w:val="231F20"/>
          <w:spacing w:val="-11"/>
          <w:w w:val="115"/>
        </w:rPr>
        <w:t> </w:t>
      </w:r>
      <w:r>
        <w:rPr>
          <w:color w:val="231F20"/>
          <w:w w:val="115"/>
        </w:rPr>
        <w:t>livre</w:t>
      </w:r>
      <w:r>
        <w:rPr>
          <w:color w:val="231F20"/>
          <w:spacing w:val="-11"/>
          <w:w w:val="115"/>
        </w:rPr>
        <w:t> </w:t>
      </w:r>
      <w:r>
        <w:rPr>
          <w:color w:val="231F20"/>
          <w:w w:val="115"/>
        </w:rPr>
        <w:t>suscitera</w:t>
      </w:r>
      <w:r>
        <w:rPr>
          <w:color w:val="231F20"/>
          <w:spacing w:val="-11"/>
          <w:w w:val="115"/>
        </w:rPr>
        <w:t> </w:t>
      </w:r>
      <w:r>
        <w:rPr>
          <w:color w:val="231F20"/>
          <w:w w:val="115"/>
        </w:rPr>
        <w:t>la</w:t>
      </w:r>
      <w:r>
        <w:rPr>
          <w:color w:val="231F20"/>
          <w:spacing w:val="-11"/>
          <w:w w:val="115"/>
        </w:rPr>
        <w:t> </w:t>
      </w:r>
      <w:r>
        <w:rPr>
          <w:color w:val="231F20"/>
          <w:w w:val="115"/>
        </w:rPr>
        <w:t>réflexion</w:t>
      </w:r>
      <w:r>
        <w:rPr>
          <w:color w:val="231F20"/>
          <w:spacing w:val="-11"/>
          <w:w w:val="115"/>
        </w:rPr>
        <w:t> </w:t>
      </w:r>
      <w:r>
        <w:rPr>
          <w:color w:val="231F20"/>
          <w:w w:val="115"/>
        </w:rPr>
        <w:t>et</w:t>
      </w:r>
      <w:r>
        <w:rPr>
          <w:color w:val="231F20"/>
          <w:spacing w:val="-11"/>
          <w:w w:val="115"/>
        </w:rPr>
        <w:t> </w:t>
      </w:r>
      <w:r>
        <w:rPr>
          <w:color w:val="231F20"/>
          <w:w w:val="115"/>
        </w:rPr>
        <w:t>la</w:t>
      </w:r>
      <w:r>
        <w:rPr>
          <w:color w:val="231F20"/>
          <w:spacing w:val="-11"/>
          <w:w w:val="115"/>
        </w:rPr>
        <w:t> </w:t>
      </w:r>
      <w:r>
        <w:rPr>
          <w:color w:val="231F20"/>
          <w:w w:val="115"/>
        </w:rPr>
        <w:t>discussion</w:t>
      </w:r>
      <w:r>
        <w:rPr>
          <w:color w:val="231F20"/>
          <w:spacing w:val="-11"/>
          <w:w w:val="115"/>
        </w:rPr>
        <w:t> </w:t>
      </w:r>
      <w:r>
        <w:rPr>
          <w:color w:val="231F20"/>
          <w:w w:val="115"/>
        </w:rPr>
        <w:t>dans</w:t>
      </w:r>
      <w:r>
        <w:rPr>
          <w:color w:val="231F20"/>
          <w:spacing w:val="-11"/>
          <w:w w:val="115"/>
        </w:rPr>
        <w:t> </w:t>
      </w:r>
      <w:r>
        <w:rPr>
          <w:color w:val="231F20"/>
          <w:w w:val="115"/>
        </w:rPr>
        <w:t>le</w:t>
      </w:r>
      <w:r>
        <w:rPr>
          <w:color w:val="231F20"/>
          <w:spacing w:val="-11"/>
          <w:w w:val="115"/>
        </w:rPr>
        <w:t> </w:t>
      </w:r>
      <w:r>
        <w:rPr>
          <w:color w:val="231F20"/>
          <w:w w:val="115"/>
        </w:rPr>
        <w:t>domaine</w:t>
      </w:r>
      <w:r>
        <w:rPr>
          <w:color w:val="231F20"/>
          <w:spacing w:val="-11"/>
          <w:w w:val="115"/>
        </w:rPr>
        <w:t> </w:t>
      </w:r>
      <w:r>
        <w:rPr>
          <w:color w:val="231F20"/>
          <w:w w:val="115"/>
        </w:rPr>
        <w:t>de</w:t>
      </w:r>
      <w:r>
        <w:rPr>
          <w:color w:val="231F20"/>
          <w:spacing w:val="-11"/>
          <w:w w:val="115"/>
        </w:rPr>
        <w:t> </w:t>
      </w:r>
      <w:r>
        <w:rPr>
          <w:color w:val="231F20"/>
          <w:w w:val="115"/>
        </w:rPr>
        <w:t>la</w:t>
      </w:r>
      <w:r>
        <w:rPr>
          <w:color w:val="231F20"/>
          <w:spacing w:val="-11"/>
          <w:w w:val="115"/>
        </w:rPr>
        <w:t> </w:t>
      </w:r>
      <w:r>
        <w:rPr>
          <w:color w:val="231F20"/>
          <w:w w:val="115"/>
        </w:rPr>
        <w:t>gestion du</w:t>
      </w:r>
      <w:r>
        <w:rPr>
          <w:color w:val="231F20"/>
          <w:spacing w:val="-13"/>
          <w:w w:val="115"/>
        </w:rPr>
        <w:t> </w:t>
      </w:r>
      <w:r>
        <w:rPr>
          <w:color w:val="231F20"/>
          <w:w w:val="115"/>
        </w:rPr>
        <w:t>stress</w:t>
      </w:r>
      <w:r>
        <w:rPr>
          <w:color w:val="231F20"/>
          <w:spacing w:val="-12"/>
          <w:w w:val="115"/>
        </w:rPr>
        <w:t> </w:t>
      </w:r>
      <w:r>
        <w:rPr>
          <w:color w:val="231F20"/>
          <w:w w:val="115"/>
        </w:rPr>
        <w:t>professionnel</w:t>
      </w:r>
      <w:r>
        <w:rPr>
          <w:color w:val="231F20"/>
          <w:spacing w:val="-12"/>
          <w:w w:val="115"/>
        </w:rPr>
        <w:t> </w:t>
      </w:r>
      <w:r>
        <w:rPr>
          <w:color w:val="231F20"/>
          <w:w w:val="115"/>
        </w:rPr>
        <w:t>et</w:t>
      </w:r>
      <w:r>
        <w:rPr>
          <w:color w:val="231F20"/>
          <w:spacing w:val="-12"/>
          <w:w w:val="115"/>
        </w:rPr>
        <w:t> </w:t>
      </w:r>
      <w:r>
        <w:rPr>
          <w:color w:val="231F20"/>
          <w:w w:val="115"/>
        </w:rPr>
        <w:t>de</w:t>
      </w:r>
      <w:r>
        <w:rPr>
          <w:color w:val="231F20"/>
          <w:spacing w:val="-13"/>
          <w:w w:val="115"/>
        </w:rPr>
        <w:t> </w:t>
      </w:r>
      <w:r>
        <w:rPr>
          <w:color w:val="231F20"/>
          <w:w w:val="115"/>
        </w:rPr>
        <w:t>la</w:t>
      </w:r>
      <w:r>
        <w:rPr>
          <w:color w:val="231F20"/>
          <w:spacing w:val="-12"/>
          <w:w w:val="115"/>
        </w:rPr>
        <w:t> </w:t>
      </w:r>
      <w:r>
        <w:rPr>
          <w:color w:val="231F20"/>
          <w:w w:val="115"/>
        </w:rPr>
        <w:t>santé</w:t>
      </w:r>
      <w:r>
        <w:rPr>
          <w:color w:val="231F20"/>
          <w:spacing w:val="-12"/>
          <w:w w:val="115"/>
        </w:rPr>
        <w:t> </w:t>
      </w:r>
      <w:r>
        <w:rPr>
          <w:color w:val="231F20"/>
          <w:w w:val="115"/>
        </w:rPr>
        <w:t>psychologique.</w:t>
      </w:r>
      <w:r>
        <w:rPr>
          <w:color w:val="231F20"/>
          <w:spacing w:val="-12"/>
          <w:w w:val="115"/>
        </w:rPr>
        <w:t> </w:t>
      </w:r>
      <w:r>
        <w:rPr>
          <w:color w:val="231F20"/>
          <w:w w:val="115"/>
        </w:rPr>
        <w:t>Cet</w:t>
      </w:r>
      <w:r>
        <w:rPr>
          <w:color w:val="231F20"/>
          <w:spacing w:val="-12"/>
          <w:w w:val="115"/>
        </w:rPr>
        <w:t> </w:t>
      </w:r>
      <w:r>
        <w:rPr>
          <w:color w:val="231F20"/>
          <w:w w:val="115"/>
        </w:rPr>
        <w:t>ouvrage</w:t>
      </w:r>
      <w:r>
        <w:rPr>
          <w:color w:val="231F20"/>
          <w:spacing w:val="-13"/>
          <w:w w:val="115"/>
        </w:rPr>
        <w:t> </w:t>
      </w:r>
      <w:r>
        <w:rPr>
          <w:color w:val="231F20"/>
          <w:w w:val="115"/>
        </w:rPr>
        <w:t>s’adresse </w:t>
      </w:r>
      <w:r>
        <w:rPr>
          <w:color w:val="231F20"/>
          <w:w w:val="120"/>
        </w:rPr>
        <w:t>autant</w:t>
      </w:r>
      <w:r>
        <w:rPr>
          <w:color w:val="231F20"/>
          <w:spacing w:val="-11"/>
          <w:w w:val="120"/>
        </w:rPr>
        <w:t> </w:t>
      </w:r>
      <w:r>
        <w:rPr>
          <w:color w:val="231F20"/>
          <w:w w:val="120"/>
        </w:rPr>
        <w:t>aux</w:t>
      </w:r>
      <w:r>
        <w:rPr>
          <w:color w:val="231F20"/>
          <w:spacing w:val="-11"/>
          <w:w w:val="120"/>
        </w:rPr>
        <w:t> </w:t>
      </w:r>
      <w:r>
        <w:rPr>
          <w:color w:val="231F20"/>
          <w:w w:val="120"/>
        </w:rPr>
        <w:t>entrepreneurs</w:t>
      </w:r>
      <w:r>
        <w:rPr>
          <w:color w:val="231F20"/>
          <w:spacing w:val="-11"/>
          <w:w w:val="120"/>
        </w:rPr>
        <w:t> </w:t>
      </w:r>
      <w:r>
        <w:rPr>
          <w:color w:val="231F20"/>
          <w:w w:val="120"/>
        </w:rPr>
        <w:t>et</w:t>
      </w:r>
      <w:r>
        <w:rPr>
          <w:color w:val="231F20"/>
          <w:spacing w:val="-11"/>
          <w:w w:val="120"/>
        </w:rPr>
        <w:t> </w:t>
      </w:r>
      <w:r>
        <w:rPr>
          <w:color w:val="231F20"/>
          <w:w w:val="120"/>
        </w:rPr>
        <w:t>chefs</w:t>
      </w:r>
      <w:r>
        <w:rPr>
          <w:color w:val="231F20"/>
          <w:spacing w:val="-11"/>
          <w:w w:val="120"/>
        </w:rPr>
        <w:t> </w:t>
      </w:r>
      <w:r>
        <w:rPr>
          <w:color w:val="231F20"/>
          <w:w w:val="120"/>
        </w:rPr>
        <w:t>d’entreprise</w:t>
      </w:r>
      <w:r>
        <w:rPr>
          <w:color w:val="231F20"/>
          <w:spacing w:val="-11"/>
          <w:w w:val="120"/>
        </w:rPr>
        <w:t> </w:t>
      </w:r>
      <w:r>
        <w:rPr>
          <w:color w:val="231F20"/>
          <w:w w:val="120"/>
        </w:rPr>
        <w:t>qu’aux</w:t>
      </w:r>
      <w:r>
        <w:rPr>
          <w:color w:val="231F20"/>
          <w:spacing w:val="-11"/>
          <w:w w:val="120"/>
        </w:rPr>
        <w:t> </w:t>
      </w:r>
      <w:r>
        <w:rPr>
          <w:color w:val="231F20"/>
          <w:w w:val="120"/>
        </w:rPr>
        <w:t>professionnels</w:t>
      </w:r>
      <w:r>
        <w:rPr>
          <w:color w:val="231F20"/>
          <w:spacing w:val="-11"/>
          <w:w w:val="120"/>
        </w:rPr>
        <w:t> </w:t>
      </w:r>
      <w:r>
        <w:rPr>
          <w:color w:val="231F20"/>
          <w:w w:val="120"/>
        </w:rPr>
        <w:t>de la santé au travail et aux futurs gestionnaires en formation.</w:t>
      </w:r>
    </w:p>
    <w:p>
      <w:pPr>
        <w:pStyle w:val="BodyText"/>
        <w:spacing w:line="307" w:lineRule="auto" w:before="78"/>
        <w:ind w:left="790" w:right="639" w:firstLine="250"/>
        <w:jc w:val="both"/>
      </w:pPr>
      <w:r>
        <w:rPr>
          <w:color w:val="231F20"/>
          <w:w w:val="120"/>
        </w:rPr>
        <w:t>Voici quelques-unes des principales caractéristiques du présent </w:t>
      </w:r>
      <w:r>
        <w:rPr>
          <w:color w:val="231F20"/>
          <w:spacing w:val="-2"/>
          <w:w w:val="120"/>
        </w:rPr>
        <w:t>ouvrage:</w:t>
      </w:r>
    </w:p>
    <w:p>
      <w:pPr>
        <w:pStyle w:val="ListParagraph"/>
        <w:numPr>
          <w:ilvl w:val="0"/>
          <w:numId w:val="10"/>
        </w:numPr>
        <w:tabs>
          <w:tab w:pos="1291" w:val="left" w:leader="none"/>
        </w:tabs>
        <w:spacing w:line="307" w:lineRule="auto" w:before="80" w:after="0"/>
        <w:ind w:left="1290" w:right="636" w:hanging="251"/>
        <w:jc w:val="both"/>
        <w:rPr>
          <w:sz w:val="17"/>
        </w:rPr>
      </w:pPr>
      <w:r>
        <w:rPr>
          <w:i/>
          <w:color w:val="231F20"/>
          <w:w w:val="115"/>
          <w:sz w:val="17"/>
        </w:rPr>
        <w:t>Un</w:t>
      </w:r>
      <w:r>
        <w:rPr>
          <w:i/>
          <w:color w:val="231F20"/>
          <w:spacing w:val="-1"/>
          <w:w w:val="115"/>
          <w:sz w:val="17"/>
        </w:rPr>
        <w:t> </w:t>
      </w:r>
      <w:r>
        <w:rPr>
          <w:i/>
          <w:color w:val="231F20"/>
          <w:w w:val="115"/>
          <w:sz w:val="17"/>
        </w:rPr>
        <w:t>langage</w:t>
      </w:r>
      <w:r>
        <w:rPr>
          <w:i/>
          <w:color w:val="231F20"/>
          <w:spacing w:val="-1"/>
          <w:w w:val="115"/>
          <w:sz w:val="17"/>
        </w:rPr>
        <w:t> </w:t>
      </w:r>
      <w:r>
        <w:rPr>
          <w:i/>
          <w:color w:val="231F20"/>
          <w:w w:val="115"/>
          <w:sz w:val="17"/>
        </w:rPr>
        <w:t>et</w:t>
      </w:r>
      <w:r>
        <w:rPr>
          <w:i/>
          <w:color w:val="231F20"/>
          <w:spacing w:val="-1"/>
          <w:w w:val="115"/>
          <w:sz w:val="17"/>
        </w:rPr>
        <w:t> </w:t>
      </w:r>
      <w:r>
        <w:rPr>
          <w:i/>
          <w:color w:val="231F20"/>
          <w:w w:val="115"/>
          <w:sz w:val="17"/>
        </w:rPr>
        <w:t>des</w:t>
      </w:r>
      <w:r>
        <w:rPr>
          <w:i/>
          <w:color w:val="231F20"/>
          <w:spacing w:val="-1"/>
          <w:w w:val="115"/>
          <w:sz w:val="17"/>
        </w:rPr>
        <w:t> </w:t>
      </w:r>
      <w:r>
        <w:rPr>
          <w:i/>
          <w:color w:val="231F20"/>
          <w:w w:val="115"/>
          <w:sz w:val="17"/>
        </w:rPr>
        <w:t>termes</w:t>
      </w:r>
      <w:r>
        <w:rPr>
          <w:i/>
          <w:color w:val="231F20"/>
          <w:spacing w:val="-1"/>
          <w:w w:val="115"/>
          <w:sz w:val="17"/>
        </w:rPr>
        <w:t> </w:t>
      </w:r>
      <w:r>
        <w:rPr>
          <w:i/>
          <w:color w:val="231F20"/>
          <w:w w:val="115"/>
          <w:sz w:val="17"/>
        </w:rPr>
        <w:t>simples</w:t>
      </w:r>
      <w:r>
        <w:rPr>
          <w:color w:val="231F20"/>
          <w:w w:val="115"/>
          <w:sz w:val="17"/>
        </w:rPr>
        <w:t>.</w:t>
      </w:r>
      <w:r>
        <w:rPr>
          <w:color w:val="231F20"/>
          <w:spacing w:val="-1"/>
          <w:w w:val="115"/>
          <w:sz w:val="17"/>
        </w:rPr>
        <w:t> </w:t>
      </w:r>
      <w:r>
        <w:rPr>
          <w:color w:val="231F20"/>
          <w:w w:val="115"/>
          <w:sz w:val="17"/>
        </w:rPr>
        <w:t>En</w:t>
      </w:r>
      <w:r>
        <w:rPr>
          <w:color w:val="231F20"/>
          <w:spacing w:val="-1"/>
          <w:w w:val="115"/>
          <w:sz w:val="17"/>
        </w:rPr>
        <w:t> </w:t>
      </w:r>
      <w:r>
        <w:rPr>
          <w:color w:val="231F20"/>
          <w:w w:val="115"/>
          <w:sz w:val="17"/>
        </w:rPr>
        <w:t>écrivant</w:t>
      </w:r>
      <w:r>
        <w:rPr>
          <w:color w:val="231F20"/>
          <w:spacing w:val="-1"/>
          <w:w w:val="115"/>
          <w:sz w:val="17"/>
        </w:rPr>
        <w:t> </w:t>
      </w:r>
      <w:r>
        <w:rPr>
          <w:color w:val="231F20"/>
          <w:w w:val="115"/>
          <w:sz w:val="17"/>
        </w:rPr>
        <w:t>ce</w:t>
      </w:r>
      <w:r>
        <w:rPr>
          <w:color w:val="231F20"/>
          <w:spacing w:val="-1"/>
          <w:w w:val="115"/>
          <w:sz w:val="17"/>
        </w:rPr>
        <w:t> </w:t>
      </w:r>
      <w:r>
        <w:rPr>
          <w:color w:val="231F20"/>
          <w:w w:val="115"/>
          <w:sz w:val="17"/>
        </w:rPr>
        <w:t>livre,</w:t>
      </w:r>
      <w:r>
        <w:rPr>
          <w:color w:val="231F20"/>
          <w:spacing w:val="-1"/>
          <w:w w:val="115"/>
          <w:sz w:val="17"/>
        </w:rPr>
        <w:t> </w:t>
      </w:r>
      <w:r>
        <w:rPr>
          <w:color w:val="231F20"/>
          <w:w w:val="115"/>
          <w:sz w:val="17"/>
        </w:rPr>
        <w:t>nous</w:t>
      </w:r>
      <w:r>
        <w:rPr>
          <w:color w:val="231F20"/>
          <w:spacing w:val="-1"/>
          <w:w w:val="115"/>
          <w:sz w:val="17"/>
        </w:rPr>
        <w:t> </w:t>
      </w:r>
      <w:r>
        <w:rPr>
          <w:color w:val="231F20"/>
          <w:w w:val="115"/>
          <w:sz w:val="17"/>
        </w:rPr>
        <w:t>avons </w:t>
      </w:r>
      <w:r>
        <w:rPr>
          <w:color w:val="231F20"/>
          <w:w w:val="120"/>
          <w:sz w:val="17"/>
        </w:rPr>
        <w:t>tenté</w:t>
      </w:r>
      <w:r>
        <w:rPr>
          <w:color w:val="231F20"/>
          <w:spacing w:val="-1"/>
          <w:w w:val="120"/>
          <w:sz w:val="17"/>
        </w:rPr>
        <w:t> </w:t>
      </w:r>
      <w:r>
        <w:rPr>
          <w:color w:val="231F20"/>
          <w:w w:val="120"/>
          <w:sz w:val="17"/>
        </w:rPr>
        <w:t>d’employer</w:t>
      </w:r>
      <w:r>
        <w:rPr>
          <w:color w:val="231F20"/>
          <w:spacing w:val="-1"/>
          <w:w w:val="120"/>
          <w:sz w:val="17"/>
        </w:rPr>
        <w:t> </w:t>
      </w:r>
      <w:r>
        <w:rPr>
          <w:color w:val="231F20"/>
          <w:w w:val="120"/>
          <w:sz w:val="17"/>
        </w:rPr>
        <w:t>un</w:t>
      </w:r>
      <w:r>
        <w:rPr>
          <w:color w:val="231F20"/>
          <w:spacing w:val="-1"/>
          <w:w w:val="120"/>
          <w:sz w:val="17"/>
        </w:rPr>
        <w:t> </w:t>
      </w:r>
      <w:r>
        <w:rPr>
          <w:color w:val="231F20"/>
          <w:w w:val="120"/>
          <w:sz w:val="17"/>
        </w:rPr>
        <w:t>langage</w:t>
      </w:r>
      <w:r>
        <w:rPr>
          <w:color w:val="231F20"/>
          <w:spacing w:val="-1"/>
          <w:w w:val="120"/>
          <w:sz w:val="17"/>
        </w:rPr>
        <w:t> </w:t>
      </w:r>
      <w:r>
        <w:rPr>
          <w:color w:val="231F20"/>
          <w:w w:val="120"/>
          <w:sz w:val="17"/>
        </w:rPr>
        <w:t>facile</w:t>
      </w:r>
      <w:r>
        <w:rPr>
          <w:color w:val="231F20"/>
          <w:spacing w:val="-1"/>
          <w:w w:val="120"/>
          <w:sz w:val="17"/>
        </w:rPr>
        <w:t> </w:t>
      </w:r>
      <w:r>
        <w:rPr>
          <w:color w:val="231F20"/>
          <w:w w:val="120"/>
          <w:sz w:val="17"/>
        </w:rPr>
        <w:t>à</w:t>
      </w:r>
      <w:r>
        <w:rPr>
          <w:color w:val="231F20"/>
          <w:spacing w:val="-1"/>
          <w:w w:val="120"/>
          <w:sz w:val="17"/>
        </w:rPr>
        <w:t> </w:t>
      </w:r>
      <w:r>
        <w:rPr>
          <w:color w:val="231F20"/>
          <w:w w:val="120"/>
          <w:sz w:val="17"/>
        </w:rPr>
        <w:t>comprendre</w:t>
      </w:r>
      <w:r>
        <w:rPr>
          <w:color w:val="231F20"/>
          <w:spacing w:val="-1"/>
          <w:w w:val="120"/>
          <w:sz w:val="17"/>
        </w:rPr>
        <w:t> </w:t>
      </w:r>
      <w:r>
        <w:rPr>
          <w:color w:val="231F20"/>
          <w:w w:val="120"/>
          <w:sz w:val="17"/>
        </w:rPr>
        <w:t>par</w:t>
      </w:r>
      <w:r>
        <w:rPr>
          <w:color w:val="231F20"/>
          <w:spacing w:val="-1"/>
          <w:w w:val="120"/>
          <w:sz w:val="17"/>
        </w:rPr>
        <w:t> </w:t>
      </w:r>
      <w:r>
        <w:rPr>
          <w:color w:val="231F20"/>
          <w:w w:val="120"/>
          <w:sz w:val="17"/>
        </w:rPr>
        <w:t>les</w:t>
      </w:r>
      <w:r>
        <w:rPr>
          <w:color w:val="231F20"/>
          <w:spacing w:val="-1"/>
          <w:w w:val="120"/>
          <w:sz w:val="17"/>
        </w:rPr>
        <w:t> </w:t>
      </w:r>
      <w:r>
        <w:rPr>
          <w:color w:val="231F20"/>
          <w:w w:val="120"/>
          <w:sz w:val="17"/>
        </w:rPr>
        <w:t>profes-</w:t>
      </w:r>
      <w:r>
        <w:rPr>
          <w:color w:val="231F20"/>
          <w:w w:val="120"/>
          <w:sz w:val="17"/>
        </w:rPr>
        <w:t> sionnels,</w:t>
      </w:r>
      <w:r>
        <w:rPr>
          <w:color w:val="231F20"/>
          <w:spacing w:val="-11"/>
          <w:w w:val="120"/>
          <w:sz w:val="17"/>
        </w:rPr>
        <w:t> </w:t>
      </w:r>
      <w:r>
        <w:rPr>
          <w:color w:val="231F20"/>
          <w:w w:val="120"/>
          <w:sz w:val="17"/>
        </w:rPr>
        <w:t>en</w:t>
      </w:r>
      <w:r>
        <w:rPr>
          <w:color w:val="231F20"/>
          <w:spacing w:val="-11"/>
          <w:w w:val="120"/>
          <w:sz w:val="17"/>
        </w:rPr>
        <w:t> </w:t>
      </w:r>
      <w:r>
        <w:rPr>
          <w:color w:val="231F20"/>
          <w:w w:val="120"/>
          <w:sz w:val="17"/>
        </w:rPr>
        <w:t>évitant</w:t>
      </w:r>
      <w:r>
        <w:rPr>
          <w:color w:val="231F20"/>
          <w:spacing w:val="-11"/>
          <w:w w:val="120"/>
          <w:sz w:val="17"/>
        </w:rPr>
        <w:t> </w:t>
      </w:r>
      <w:r>
        <w:rPr>
          <w:color w:val="231F20"/>
          <w:w w:val="120"/>
          <w:sz w:val="17"/>
        </w:rPr>
        <w:t>les</w:t>
      </w:r>
      <w:r>
        <w:rPr>
          <w:color w:val="231F20"/>
          <w:spacing w:val="-11"/>
          <w:w w:val="120"/>
          <w:sz w:val="17"/>
        </w:rPr>
        <w:t> </w:t>
      </w:r>
      <w:r>
        <w:rPr>
          <w:color w:val="231F20"/>
          <w:w w:val="120"/>
          <w:sz w:val="17"/>
        </w:rPr>
        <w:t>exemples</w:t>
      </w:r>
      <w:r>
        <w:rPr>
          <w:color w:val="231F20"/>
          <w:spacing w:val="-11"/>
          <w:w w:val="120"/>
          <w:sz w:val="17"/>
        </w:rPr>
        <w:t> </w:t>
      </w:r>
      <w:r>
        <w:rPr>
          <w:color w:val="231F20"/>
          <w:w w:val="120"/>
          <w:sz w:val="17"/>
        </w:rPr>
        <w:t>abstraits</w:t>
      </w:r>
      <w:r>
        <w:rPr>
          <w:color w:val="231F20"/>
          <w:spacing w:val="-11"/>
          <w:w w:val="120"/>
          <w:sz w:val="17"/>
        </w:rPr>
        <w:t> </w:t>
      </w:r>
      <w:r>
        <w:rPr>
          <w:color w:val="231F20"/>
          <w:w w:val="120"/>
          <w:sz w:val="17"/>
        </w:rPr>
        <w:t>ou</w:t>
      </w:r>
      <w:r>
        <w:rPr>
          <w:color w:val="231F20"/>
          <w:spacing w:val="-11"/>
          <w:w w:val="120"/>
          <w:sz w:val="17"/>
        </w:rPr>
        <w:t> </w:t>
      </w:r>
      <w:r>
        <w:rPr>
          <w:color w:val="231F20"/>
          <w:w w:val="120"/>
          <w:sz w:val="17"/>
        </w:rPr>
        <w:t>trop</w:t>
      </w:r>
      <w:r>
        <w:rPr>
          <w:color w:val="231F20"/>
          <w:spacing w:val="-11"/>
          <w:w w:val="120"/>
          <w:sz w:val="17"/>
        </w:rPr>
        <w:t> </w:t>
      </w:r>
      <w:r>
        <w:rPr>
          <w:color w:val="231F20"/>
          <w:w w:val="120"/>
          <w:sz w:val="17"/>
        </w:rPr>
        <w:t>vagues,</w:t>
      </w:r>
      <w:r>
        <w:rPr>
          <w:color w:val="231F20"/>
          <w:spacing w:val="-11"/>
          <w:w w:val="120"/>
          <w:sz w:val="17"/>
        </w:rPr>
        <w:t> </w:t>
      </w:r>
      <w:r>
        <w:rPr>
          <w:color w:val="231F20"/>
          <w:w w:val="120"/>
          <w:sz w:val="17"/>
        </w:rPr>
        <w:t>afin</w:t>
      </w:r>
      <w:r>
        <w:rPr>
          <w:color w:val="231F20"/>
          <w:spacing w:val="-11"/>
          <w:w w:val="120"/>
          <w:sz w:val="17"/>
        </w:rPr>
        <w:t> </w:t>
      </w:r>
      <w:r>
        <w:rPr>
          <w:color w:val="231F20"/>
          <w:w w:val="120"/>
          <w:sz w:val="17"/>
        </w:rPr>
        <w:t>de présenter un texte direct qui se lit facilement et rapidement.</w:t>
      </w:r>
    </w:p>
    <w:p>
      <w:pPr>
        <w:pStyle w:val="ListParagraph"/>
        <w:numPr>
          <w:ilvl w:val="0"/>
          <w:numId w:val="10"/>
        </w:numPr>
        <w:tabs>
          <w:tab w:pos="1291" w:val="left" w:leader="none"/>
        </w:tabs>
        <w:spacing w:line="307" w:lineRule="auto" w:before="0" w:after="0"/>
        <w:ind w:left="1290" w:right="641" w:hanging="251"/>
        <w:jc w:val="both"/>
        <w:rPr>
          <w:sz w:val="17"/>
        </w:rPr>
      </w:pPr>
      <w:r>
        <w:rPr>
          <w:i/>
          <w:color w:val="231F20"/>
          <w:spacing w:val="-2"/>
          <w:w w:val="115"/>
          <w:sz w:val="17"/>
        </w:rPr>
        <w:t>Des</w:t>
      </w:r>
      <w:r>
        <w:rPr>
          <w:i/>
          <w:color w:val="231F20"/>
          <w:spacing w:val="-10"/>
          <w:w w:val="115"/>
          <w:sz w:val="17"/>
        </w:rPr>
        <w:t> </w:t>
      </w:r>
      <w:r>
        <w:rPr>
          <w:i/>
          <w:color w:val="231F20"/>
          <w:spacing w:val="-2"/>
          <w:w w:val="115"/>
          <w:sz w:val="17"/>
        </w:rPr>
        <w:t>exemples</w:t>
      </w:r>
      <w:r>
        <w:rPr>
          <w:i/>
          <w:color w:val="231F20"/>
          <w:spacing w:val="-10"/>
          <w:w w:val="115"/>
          <w:sz w:val="17"/>
        </w:rPr>
        <w:t> </w:t>
      </w:r>
      <w:r>
        <w:rPr>
          <w:i/>
          <w:color w:val="231F20"/>
          <w:spacing w:val="-2"/>
          <w:w w:val="115"/>
          <w:sz w:val="17"/>
        </w:rPr>
        <w:t>actuels</w:t>
      </w:r>
      <w:r>
        <w:rPr>
          <w:color w:val="231F20"/>
          <w:spacing w:val="-2"/>
          <w:w w:val="115"/>
          <w:sz w:val="17"/>
        </w:rPr>
        <w:t>.</w:t>
      </w:r>
      <w:r>
        <w:rPr>
          <w:color w:val="231F20"/>
          <w:spacing w:val="-10"/>
          <w:w w:val="115"/>
          <w:sz w:val="17"/>
        </w:rPr>
        <w:t> </w:t>
      </w:r>
      <w:r>
        <w:rPr>
          <w:color w:val="231F20"/>
          <w:spacing w:val="-2"/>
          <w:w w:val="115"/>
          <w:sz w:val="17"/>
        </w:rPr>
        <w:t>Le</w:t>
      </w:r>
      <w:r>
        <w:rPr>
          <w:color w:val="231F20"/>
          <w:spacing w:val="-10"/>
          <w:w w:val="115"/>
          <w:sz w:val="17"/>
        </w:rPr>
        <w:t> </w:t>
      </w:r>
      <w:r>
        <w:rPr>
          <w:color w:val="231F20"/>
          <w:spacing w:val="-2"/>
          <w:w w:val="115"/>
          <w:sz w:val="17"/>
        </w:rPr>
        <w:t>contenu</w:t>
      </w:r>
      <w:r>
        <w:rPr>
          <w:color w:val="231F20"/>
          <w:spacing w:val="-10"/>
          <w:w w:val="115"/>
          <w:sz w:val="17"/>
        </w:rPr>
        <w:t> </w:t>
      </w:r>
      <w:r>
        <w:rPr>
          <w:color w:val="231F20"/>
          <w:spacing w:val="-2"/>
          <w:w w:val="115"/>
          <w:sz w:val="17"/>
        </w:rPr>
        <w:t>s’accompagne</w:t>
      </w:r>
      <w:r>
        <w:rPr>
          <w:color w:val="231F20"/>
          <w:spacing w:val="-10"/>
          <w:w w:val="115"/>
          <w:sz w:val="17"/>
        </w:rPr>
        <w:t> </w:t>
      </w:r>
      <w:r>
        <w:rPr>
          <w:color w:val="231F20"/>
          <w:spacing w:val="-2"/>
          <w:w w:val="115"/>
          <w:sz w:val="17"/>
        </w:rPr>
        <w:t>de</w:t>
      </w:r>
      <w:r>
        <w:rPr>
          <w:color w:val="231F20"/>
          <w:spacing w:val="-10"/>
          <w:w w:val="115"/>
          <w:sz w:val="17"/>
        </w:rPr>
        <w:t> </w:t>
      </w:r>
      <w:r>
        <w:rPr>
          <w:color w:val="231F20"/>
          <w:spacing w:val="-2"/>
          <w:w w:val="115"/>
          <w:sz w:val="17"/>
        </w:rPr>
        <w:t>cas</w:t>
      </w:r>
      <w:r>
        <w:rPr>
          <w:color w:val="231F20"/>
          <w:spacing w:val="-10"/>
          <w:w w:val="115"/>
          <w:sz w:val="17"/>
        </w:rPr>
        <w:t> </w:t>
      </w:r>
      <w:r>
        <w:rPr>
          <w:color w:val="231F20"/>
          <w:spacing w:val="-2"/>
          <w:w w:val="115"/>
          <w:sz w:val="17"/>
        </w:rPr>
        <w:t>d’entreprises </w:t>
      </w:r>
      <w:r>
        <w:rPr>
          <w:color w:val="231F20"/>
          <w:w w:val="120"/>
          <w:sz w:val="17"/>
        </w:rPr>
        <w:t>et de commentaires de spécialistes reconnus en la matière.</w:t>
      </w:r>
    </w:p>
    <w:p>
      <w:pPr>
        <w:pStyle w:val="ListParagraph"/>
        <w:numPr>
          <w:ilvl w:val="0"/>
          <w:numId w:val="10"/>
        </w:numPr>
        <w:tabs>
          <w:tab w:pos="1291" w:val="left" w:leader="none"/>
        </w:tabs>
        <w:spacing w:line="307" w:lineRule="auto" w:before="0" w:after="0"/>
        <w:ind w:left="1290" w:right="633" w:hanging="251"/>
        <w:jc w:val="both"/>
        <w:rPr>
          <w:sz w:val="17"/>
        </w:rPr>
      </w:pPr>
      <w:r>
        <w:rPr>
          <w:i/>
          <w:color w:val="231F20"/>
          <w:w w:val="120"/>
          <w:sz w:val="17"/>
        </w:rPr>
        <w:t>Des éléments stimulants</w:t>
      </w:r>
      <w:r>
        <w:rPr>
          <w:color w:val="231F20"/>
          <w:w w:val="120"/>
          <w:sz w:val="17"/>
        </w:rPr>
        <w:t>. Chaque chapitre contient des éléments </w:t>
      </w:r>
      <w:r>
        <w:rPr>
          <w:color w:val="231F20"/>
          <w:spacing w:val="-2"/>
          <w:w w:val="120"/>
          <w:sz w:val="17"/>
        </w:rPr>
        <w:t>qui</w:t>
      </w:r>
      <w:r>
        <w:rPr>
          <w:color w:val="231F20"/>
          <w:spacing w:val="-11"/>
          <w:w w:val="120"/>
          <w:sz w:val="17"/>
        </w:rPr>
        <w:t> </w:t>
      </w:r>
      <w:r>
        <w:rPr>
          <w:color w:val="231F20"/>
          <w:spacing w:val="-2"/>
          <w:w w:val="120"/>
          <w:sz w:val="17"/>
        </w:rPr>
        <w:t>peuvent</w:t>
      </w:r>
      <w:r>
        <w:rPr>
          <w:color w:val="231F20"/>
          <w:spacing w:val="-11"/>
          <w:w w:val="120"/>
          <w:sz w:val="17"/>
        </w:rPr>
        <w:t> </w:t>
      </w:r>
      <w:r>
        <w:rPr>
          <w:color w:val="231F20"/>
          <w:spacing w:val="-2"/>
          <w:w w:val="120"/>
          <w:sz w:val="17"/>
        </w:rPr>
        <w:t>servir</w:t>
      </w:r>
      <w:r>
        <w:rPr>
          <w:color w:val="231F20"/>
          <w:spacing w:val="-9"/>
          <w:w w:val="120"/>
          <w:sz w:val="17"/>
        </w:rPr>
        <w:t> </w:t>
      </w:r>
      <w:r>
        <w:rPr>
          <w:color w:val="231F20"/>
          <w:spacing w:val="-2"/>
          <w:w w:val="120"/>
          <w:sz w:val="17"/>
        </w:rPr>
        <w:t>à</w:t>
      </w:r>
      <w:r>
        <w:rPr>
          <w:color w:val="231F20"/>
          <w:spacing w:val="-11"/>
          <w:w w:val="120"/>
          <w:sz w:val="17"/>
        </w:rPr>
        <w:t> </w:t>
      </w:r>
      <w:r>
        <w:rPr>
          <w:color w:val="231F20"/>
          <w:spacing w:val="-2"/>
          <w:w w:val="120"/>
          <w:sz w:val="17"/>
        </w:rPr>
        <w:t>alimenter</w:t>
      </w:r>
      <w:r>
        <w:rPr>
          <w:color w:val="231F20"/>
          <w:spacing w:val="-11"/>
          <w:w w:val="120"/>
          <w:sz w:val="17"/>
        </w:rPr>
        <w:t> </w:t>
      </w:r>
      <w:r>
        <w:rPr>
          <w:color w:val="231F20"/>
          <w:spacing w:val="-2"/>
          <w:w w:val="120"/>
          <w:sz w:val="17"/>
        </w:rPr>
        <w:t>la</w:t>
      </w:r>
      <w:r>
        <w:rPr>
          <w:color w:val="231F20"/>
          <w:spacing w:val="-11"/>
          <w:w w:val="120"/>
          <w:sz w:val="17"/>
        </w:rPr>
        <w:t> </w:t>
      </w:r>
      <w:r>
        <w:rPr>
          <w:color w:val="231F20"/>
          <w:spacing w:val="-2"/>
          <w:w w:val="120"/>
          <w:sz w:val="17"/>
        </w:rPr>
        <w:t>réflexion</w:t>
      </w:r>
      <w:r>
        <w:rPr>
          <w:color w:val="231F20"/>
          <w:spacing w:val="-10"/>
          <w:w w:val="120"/>
          <w:sz w:val="17"/>
        </w:rPr>
        <w:t> </w:t>
      </w:r>
      <w:r>
        <w:rPr>
          <w:color w:val="231F20"/>
          <w:spacing w:val="-2"/>
          <w:w w:val="120"/>
          <w:sz w:val="17"/>
        </w:rPr>
        <w:t>sur</w:t>
      </w:r>
      <w:r>
        <w:rPr>
          <w:color w:val="231F20"/>
          <w:spacing w:val="-11"/>
          <w:w w:val="120"/>
          <w:sz w:val="17"/>
        </w:rPr>
        <w:t> </w:t>
      </w:r>
      <w:r>
        <w:rPr>
          <w:color w:val="231F20"/>
          <w:spacing w:val="-2"/>
          <w:w w:val="120"/>
          <w:sz w:val="17"/>
        </w:rPr>
        <w:t>les</w:t>
      </w:r>
      <w:r>
        <w:rPr>
          <w:color w:val="231F20"/>
          <w:spacing w:val="-11"/>
          <w:w w:val="120"/>
          <w:sz w:val="17"/>
        </w:rPr>
        <w:t> </w:t>
      </w:r>
      <w:r>
        <w:rPr>
          <w:color w:val="231F20"/>
          <w:spacing w:val="-2"/>
          <w:w w:val="120"/>
          <w:sz w:val="17"/>
        </w:rPr>
        <w:t>aspects</w:t>
      </w:r>
      <w:r>
        <w:rPr>
          <w:color w:val="231F20"/>
          <w:spacing w:val="-11"/>
          <w:w w:val="120"/>
          <w:sz w:val="17"/>
        </w:rPr>
        <w:t> </w:t>
      </w:r>
      <w:r>
        <w:rPr>
          <w:color w:val="231F20"/>
          <w:spacing w:val="-2"/>
          <w:w w:val="120"/>
          <w:sz w:val="17"/>
        </w:rPr>
        <w:t>à</w:t>
      </w:r>
      <w:r>
        <w:rPr>
          <w:color w:val="231F20"/>
          <w:spacing w:val="-9"/>
          <w:w w:val="120"/>
          <w:sz w:val="17"/>
        </w:rPr>
        <w:t> </w:t>
      </w:r>
      <w:r>
        <w:rPr>
          <w:color w:val="231F20"/>
          <w:spacing w:val="-2"/>
          <w:w w:val="120"/>
          <w:sz w:val="17"/>
        </w:rPr>
        <w:t>l’étude. </w:t>
      </w:r>
      <w:r>
        <w:rPr>
          <w:color w:val="231F20"/>
          <w:w w:val="120"/>
          <w:sz w:val="17"/>
        </w:rPr>
        <w:t>Les</w:t>
      </w:r>
      <w:r>
        <w:rPr>
          <w:color w:val="231F20"/>
          <w:spacing w:val="-10"/>
          <w:w w:val="120"/>
          <w:sz w:val="17"/>
        </w:rPr>
        <w:t> </w:t>
      </w:r>
      <w:r>
        <w:rPr>
          <w:color w:val="231F20"/>
          <w:w w:val="120"/>
          <w:sz w:val="17"/>
        </w:rPr>
        <w:t>outils</w:t>
      </w:r>
      <w:r>
        <w:rPr>
          <w:color w:val="231F20"/>
          <w:spacing w:val="-10"/>
          <w:w w:val="120"/>
          <w:sz w:val="17"/>
        </w:rPr>
        <w:t> </w:t>
      </w:r>
      <w:r>
        <w:rPr>
          <w:color w:val="231F20"/>
          <w:w w:val="120"/>
          <w:sz w:val="17"/>
        </w:rPr>
        <w:t>d’autoévaluation</w:t>
      </w:r>
      <w:r>
        <w:rPr>
          <w:color w:val="231F20"/>
          <w:spacing w:val="-10"/>
          <w:w w:val="120"/>
          <w:sz w:val="17"/>
        </w:rPr>
        <w:t> </w:t>
      </w:r>
      <w:r>
        <w:rPr>
          <w:color w:val="231F20"/>
          <w:w w:val="120"/>
          <w:sz w:val="17"/>
        </w:rPr>
        <w:t>proposent</w:t>
      </w:r>
      <w:r>
        <w:rPr>
          <w:color w:val="231F20"/>
          <w:spacing w:val="-10"/>
          <w:w w:val="120"/>
          <w:sz w:val="17"/>
        </w:rPr>
        <w:t> </w:t>
      </w:r>
      <w:r>
        <w:rPr>
          <w:color w:val="231F20"/>
          <w:w w:val="120"/>
          <w:sz w:val="17"/>
        </w:rPr>
        <w:t>aux</w:t>
      </w:r>
      <w:r>
        <w:rPr>
          <w:color w:val="231F20"/>
          <w:spacing w:val="-10"/>
          <w:w w:val="120"/>
          <w:sz w:val="17"/>
        </w:rPr>
        <w:t> </w:t>
      </w:r>
      <w:r>
        <w:rPr>
          <w:color w:val="231F20"/>
          <w:w w:val="120"/>
          <w:sz w:val="17"/>
        </w:rPr>
        <w:t>lecteurs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déterminer certaines caractéristiques de leur propre dynamique du stress, et </w:t>
      </w:r>
      <w:r>
        <w:rPr>
          <w:color w:val="231F20"/>
          <w:spacing w:val="-2"/>
          <w:w w:val="120"/>
          <w:sz w:val="17"/>
        </w:rPr>
        <w:t>de</w:t>
      </w:r>
      <w:r>
        <w:rPr>
          <w:color w:val="231F20"/>
          <w:spacing w:val="-15"/>
          <w:w w:val="120"/>
          <w:sz w:val="17"/>
        </w:rPr>
        <w:t> </w:t>
      </w:r>
      <w:r>
        <w:rPr>
          <w:color w:val="231F20"/>
          <w:spacing w:val="-2"/>
          <w:w w:val="120"/>
          <w:sz w:val="17"/>
        </w:rPr>
        <w:t>courtes</w:t>
      </w:r>
      <w:r>
        <w:rPr>
          <w:color w:val="231F20"/>
          <w:spacing w:val="-15"/>
          <w:w w:val="120"/>
          <w:sz w:val="17"/>
        </w:rPr>
        <w:t> </w:t>
      </w:r>
      <w:r>
        <w:rPr>
          <w:color w:val="231F20"/>
          <w:spacing w:val="-2"/>
          <w:w w:val="120"/>
          <w:sz w:val="17"/>
        </w:rPr>
        <w:t>études</w:t>
      </w:r>
      <w:r>
        <w:rPr>
          <w:color w:val="231F20"/>
          <w:spacing w:val="-15"/>
          <w:w w:val="120"/>
          <w:sz w:val="17"/>
        </w:rPr>
        <w:t> </w:t>
      </w:r>
      <w:r>
        <w:rPr>
          <w:color w:val="231F20"/>
          <w:spacing w:val="-2"/>
          <w:w w:val="120"/>
          <w:sz w:val="17"/>
        </w:rPr>
        <w:t>de</w:t>
      </w:r>
      <w:r>
        <w:rPr>
          <w:color w:val="231F20"/>
          <w:spacing w:val="-15"/>
          <w:w w:val="120"/>
          <w:sz w:val="17"/>
        </w:rPr>
        <w:t> </w:t>
      </w:r>
      <w:r>
        <w:rPr>
          <w:color w:val="231F20"/>
          <w:spacing w:val="-2"/>
          <w:w w:val="120"/>
          <w:sz w:val="17"/>
        </w:rPr>
        <w:t>cas</w:t>
      </w:r>
      <w:r>
        <w:rPr>
          <w:color w:val="231F20"/>
          <w:spacing w:val="-15"/>
          <w:w w:val="120"/>
          <w:sz w:val="17"/>
        </w:rPr>
        <w:t> </w:t>
      </w:r>
      <w:r>
        <w:rPr>
          <w:color w:val="231F20"/>
          <w:spacing w:val="-2"/>
          <w:w w:val="120"/>
          <w:sz w:val="17"/>
        </w:rPr>
        <w:t>facilitent</w:t>
      </w:r>
      <w:r>
        <w:rPr>
          <w:color w:val="231F20"/>
          <w:spacing w:val="-15"/>
          <w:w w:val="120"/>
          <w:sz w:val="17"/>
        </w:rPr>
        <w:t> </w:t>
      </w:r>
      <w:r>
        <w:rPr>
          <w:color w:val="231F20"/>
          <w:spacing w:val="-2"/>
          <w:w w:val="120"/>
          <w:sz w:val="17"/>
        </w:rPr>
        <w:t>l’analyse</w:t>
      </w:r>
      <w:r>
        <w:rPr>
          <w:color w:val="231F20"/>
          <w:spacing w:val="-15"/>
          <w:w w:val="120"/>
          <w:sz w:val="17"/>
        </w:rPr>
        <w:t> </w:t>
      </w:r>
      <w:r>
        <w:rPr>
          <w:color w:val="231F20"/>
          <w:spacing w:val="-2"/>
          <w:w w:val="120"/>
          <w:sz w:val="17"/>
        </w:rPr>
        <w:t>de</w:t>
      </w:r>
      <w:r>
        <w:rPr>
          <w:color w:val="231F20"/>
          <w:spacing w:val="-15"/>
          <w:w w:val="120"/>
          <w:sz w:val="17"/>
        </w:rPr>
        <w:t> </w:t>
      </w:r>
      <w:r>
        <w:rPr>
          <w:color w:val="231F20"/>
          <w:spacing w:val="-2"/>
          <w:w w:val="120"/>
          <w:sz w:val="17"/>
        </w:rPr>
        <w:t>situations</w:t>
      </w:r>
      <w:r>
        <w:rPr>
          <w:color w:val="231F20"/>
          <w:spacing w:val="-15"/>
          <w:w w:val="120"/>
          <w:sz w:val="17"/>
        </w:rPr>
        <w:t> </w:t>
      </w:r>
      <w:r>
        <w:rPr>
          <w:color w:val="231F20"/>
          <w:spacing w:val="-2"/>
          <w:w w:val="120"/>
          <w:sz w:val="17"/>
        </w:rPr>
        <w:t>concrètes.</w:t>
      </w:r>
    </w:p>
    <w:p>
      <w:pPr>
        <w:pStyle w:val="BodyText"/>
        <w:spacing w:line="307" w:lineRule="auto" w:before="78"/>
        <w:ind w:left="790" w:right="637"/>
        <w:jc w:val="both"/>
      </w:pPr>
      <w:r>
        <w:rPr>
          <w:color w:val="231F20"/>
          <w:w w:val="120"/>
        </w:rPr>
        <w:t>L’idée</w:t>
      </w:r>
      <w:r>
        <w:rPr>
          <w:color w:val="231F20"/>
          <w:spacing w:val="-2"/>
          <w:w w:val="120"/>
        </w:rPr>
        <w:t> </w:t>
      </w:r>
      <w:r>
        <w:rPr>
          <w:color w:val="231F20"/>
          <w:w w:val="120"/>
        </w:rPr>
        <w:t>originale</w:t>
      </w:r>
      <w:r>
        <w:rPr>
          <w:color w:val="231F20"/>
          <w:spacing w:val="-2"/>
          <w:w w:val="120"/>
        </w:rPr>
        <w:t> </w:t>
      </w:r>
      <w:r>
        <w:rPr>
          <w:color w:val="231F20"/>
          <w:w w:val="120"/>
        </w:rPr>
        <w:t>de</w:t>
      </w:r>
      <w:r>
        <w:rPr>
          <w:color w:val="231F20"/>
          <w:spacing w:val="-2"/>
          <w:w w:val="120"/>
        </w:rPr>
        <w:t> </w:t>
      </w:r>
      <w:r>
        <w:rPr>
          <w:color w:val="231F20"/>
          <w:w w:val="120"/>
        </w:rPr>
        <w:t>cet</w:t>
      </w:r>
      <w:r>
        <w:rPr>
          <w:color w:val="231F20"/>
          <w:spacing w:val="-2"/>
          <w:w w:val="120"/>
        </w:rPr>
        <w:t> </w:t>
      </w:r>
      <w:r>
        <w:rPr>
          <w:color w:val="231F20"/>
          <w:w w:val="120"/>
        </w:rPr>
        <w:t>ouvrage</w:t>
      </w:r>
      <w:r>
        <w:rPr>
          <w:color w:val="231F20"/>
          <w:spacing w:val="-2"/>
          <w:w w:val="120"/>
        </w:rPr>
        <w:t> </w:t>
      </w:r>
      <w:r>
        <w:rPr>
          <w:color w:val="231F20"/>
          <w:w w:val="120"/>
        </w:rPr>
        <w:t>est</w:t>
      </w:r>
      <w:r>
        <w:rPr>
          <w:color w:val="231F20"/>
          <w:spacing w:val="-2"/>
          <w:w w:val="120"/>
        </w:rPr>
        <w:t> </w:t>
      </w:r>
      <w:r>
        <w:rPr>
          <w:color w:val="231F20"/>
          <w:w w:val="120"/>
        </w:rPr>
        <w:t>de</w:t>
      </w:r>
      <w:r>
        <w:rPr>
          <w:color w:val="231F20"/>
          <w:spacing w:val="-2"/>
          <w:w w:val="120"/>
        </w:rPr>
        <w:t> </w:t>
      </w:r>
      <w:r>
        <w:rPr>
          <w:color w:val="231F20"/>
          <w:w w:val="120"/>
        </w:rPr>
        <w:t>susciter</w:t>
      </w:r>
      <w:r>
        <w:rPr>
          <w:color w:val="231F20"/>
          <w:spacing w:val="-2"/>
          <w:w w:val="120"/>
        </w:rPr>
        <w:t> </w:t>
      </w:r>
      <w:r>
        <w:rPr>
          <w:color w:val="231F20"/>
          <w:w w:val="120"/>
        </w:rPr>
        <w:t>une</w:t>
      </w:r>
      <w:r>
        <w:rPr>
          <w:color w:val="231F20"/>
          <w:spacing w:val="-2"/>
          <w:w w:val="120"/>
        </w:rPr>
        <w:t> </w:t>
      </w:r>
      <w:r>
        <w:rPr>
          <w:color w:val="231F20"/>
          <w:w w:val="120"/>
        </w:rPr>
        <w:t>prise</w:t>
      </w:r>
      <w:r>
        <w:rPr>
          <w:color w:val="231F20"/>
          <w:spacing w:val="-2"/>
          <w:w w:val="120"/>
        </w:rPr>
        <w:t> </w:t>
      </w:r>
      <w:r>
        <w:rPr>
          <w:color w:val="231F20"/>
          <w:w w:val="120"/>
        </w:rPr>
        <w:t>de</w:t>
      </w:r>
      <w:r>
        <w:rPr>
          <w:color w:val="231F20"/>
          <w:spacing w:val="-2"/>
          <w:w w:val="120"/>
        </w:rPr>
        <w:t> </w:t>
      </w:r>
      <w:r>
        <w:rPr>
          <w:color w:val="231F20"/>
          <w:w w:val="120"/>
        </w:rPr>
        <w:t>conscience </w:t>
      </w:r>
      <w:r>
        <w:rPr>
          <w:color w:val="231F20"/>
          <w:w w:val="115"/>
        </w:rPr>
        <w:t>chez</w:t>
      </w:r>
      <w:r>
        <w:rPr>
          <w:color w:val="231F20"/>
          <w:spacing w:val="-10"/>
          <w:w w:val="115"/>
        </w:rPr>
        <w:t> </w:t>
      </w:r>
      <w:r>
        <w:rPr>
          <w:color w:val="231F20"/>
          <w:w w:val="115"/>
        </w:rPr>
        <w:t>les</w:t>
      </w:r>
      <w:r>
        <w:rPr>
          <w:color w:val="231F20"/>
          <w:spacing w:val="-10"/>
          <w:w w:val="115"/>
        </w:rPr>
        <w:t> </w:t>
      </w:r>
      <w:r>
        <w:rPr>
          <w:color w:val="231F20"/>
          <w:w w:val="115"/>
        </w:rPr>
        <w:t>dirigeants</w:t>
      </w:r>
      <w:r>
        <w:rPr>
          <w:color w:val="231F20"/>
          <w:spacing w:val="-10"/>
          <w:w w:val="115"/>
        </w:rPr>
        <w:t> </w:t>
      </w:r>
      <w:r>
        <w:rPr>
          <w:color w:val="231F20"/>
          <w:w w:val="115"/>
        </w:rPr>
        <w:t>et</w:t>
      </w:r>
      <w:r>
        <w:rPr>
          <w:color w:val="231F20"/>
          <w:spacing w:val="-10"/>
          <w:w w:val="115"/>
        </w:rPr>
        <w:t> </w:t>
      </w:r>
      <w:r>
        <w:rPr>
          <w:color w:val="231F20"/>
          <w:w w:val="115"/>
        </w:rPr>
        <w:t>les</w:t>
      </w:r>
      <w:r>
        <w:rPr>
          <w:color w:val="231F20"/>
          <w:spacing w:val="-10"/>
          <w:w w:val="115"/>
        </w:rPr>
        <w:t> </w:t>
      </w:r>
      <w:r>
        <w:rPr>
          <w:color w:val="231F20"/>
          <w:w w:val="115"/>
        </w:rPr>
        <w:t>organisations</w:t>
      </w:r>
      <w:r>
        <w:rPr>
          <w:color w:val="231F20"/>
          <w:spacing w:val="-10"/>
          <w:w w:val="115"/>
        </w:rPr>
        <w:t> </w:t>
      </w:r>
      <w:r>
        <w:rPr>
          <w:color w:val="231F20"/>
          <w:w w:val="115"/>
        </w:rPr>
        <w:t>afin</w:t>
      </w:r>
      <w:r>
        <w:rPr>
          <w:color w:val="231F20"/>
          <w:spacing w:val="-10"/>
          <w:w w:val="115"/>
        </w:rPr>
        <w:t> </w:t>
      </w:r>
      <w:r>
        <w:rPr>
          <w:color w:val="231F20"/>
          <w:w w:val="115"/>
        </w:rPr>
        <w:t>qu’ils</w:t>
      </w:r>
      <w:r>
        <w:rPr>
          <w:color w:val="231F20"/>
          <w:spacing w:val="-10"/>
          <w:w w:val="115"/>
        </w:rPr>
        <w:t> </w:t>
      </w:r>
      <w:r>
        <w:rPr>
          <w:color w:val="231F20"/>
          <w:w w:val="115"/>
        </w:rPr>
        <w:t>comprennent</w:t>
      </w:r>
      <w:r>
        <w:rPr>
          <w:color w:val="231F20"/>
          <w:spacing w:val="-10"/>
          <w:w w:val="115"/>
        </w:rPr>
        <w:t> </w:t>
      </w:r>
      <w:r>
        <w:rPr>
          <w:color w:val="231F20"/>
          <w:w w:val="115"/>
        </w:rPr>
        <w:t>tout</w:t>
      </w:r>
      <w:r>
        <w:rPr>
          <w:color w:val="231F20"/>
          <w:spacing w:val="-10"/>
          <w:w w:val="115"/>
        </w:rPr>
        <w:t> </w:t>
      </w:r>
      <w:r>
        <w:rPr>
          <w:color w:val="231F20"/>
          <w:w w:val="115"/>
        </w:rPr>
        <w:t>ce</w:t>
      </w:r>
      <w:r>
        <w:rPr>
          <w:color w:val="231F20"/>
          <w:spacing w:val="-10"/>
          <w:w w:val="115"/>
        </w:rPr>
        <w:t> </w:t>
      </w:r>
      <w:r>
        <w:rPr>
          <w:color w:val="231F20"/>
          <w:w w:val="115"/>
        </w:rPr>
        <w:t>que </w:t>
      </w:r>
      <w:r>
        <w:rPr>
          <w:color w:val="231F20"/>
          <w:w w:val="120"/>
        </w:rPr>
        <w:t>coûte</w:t>
      </w:r>
      <w:r>
        <w:rPr>
          <w:color w:val="231F20"/>
          <w:spacing w:val="-10"/>
          <w:w w:val="120"/>
        </w:rPr>
        <w:t> </w:t>
      </w:r>
      <w:r>
        <w:rPr>
          <w:color w:val="231F20"/>
          <w:w w:val="120"/>
        </w:rPr>
        <w:t>le</w:t>
      </w:r>
      <w:r>
        <w:rPr>
          <w:color w:val="231F20"/>
          <w:spacing w:val="-10"/>
          <w:w w:val="120"/>
        </w:rPr>
        <w:t> </w:t>
      </w:r>
      <w:r>
        <w:rPr>
          <w:color w:val="231F20"/>
          <w:w w:val="120"/>
        </w:rPr>
        <w:t>stress</w:t>
      </w:r>
      <w:r>
        <w:rPr>
          <w:color w:val="231F20"/>
          <w:spacing w:val="-10"/>
          <w:w w:val="120"/>
        </w:rPr>
        <w:t> </w:t>
      </w:r>
      <w:r>
        <w:rPr>
          <w:color w:val="231F20"/>
          <w:w w:val="120"/>
        </w:rPr>
        <w:t>au</w:t>
      </w:r>
      <w:r>
        <w:rPr>
          <w:color w:val="231F20"/>
          <w:spacing w:val="-10"/>
          <w:w w:val="120"/>
        </w:rPr>
        <w:t> </w:t>
      </w:r>
      <w:r>
        <w:rPr>
          <w:color w:val="231F20"/>
          <w:w w:val="120"/>
        </w:rPr>
        <w:t>travail.</w:t>
      </w:r>
      <w:r>
        <w:rPr>
          <w:color w:val="231F20"/>
          <w:spacing w:val="-10"/>
          <w:w w:val="120"/>
        </w:rPr>
        <w:t> </w:t>
      </w:r>
      <w:r>
        <w:rPr>
          <w:color w:val="231F20"/>
          <w:w w:val="120"/>
        </w:rPr>
        <w:t>Nous</w:t>
      </w:r>
      <w:r>
        <w:rPr>
          <w:color w:val="231F20"/>
          <w:spacing w:val="-10"/>
          <w:w w:val="120"/>
        </w:rPr>
        <w:t> </w:t>
      </w:r>
      <w:r>
        <w:rPr>
          <w:color w:val="231F20"/>
          <w:w w:val="120"/>
        </w:rPr>
        <w:t>devons</w:t>
      </w:r>
      <w:r>
        <w:rPr>
          <w:color w:val="231F20"/>
          <w:spacing w:val="-10"/>
          <w:w w:val="120"/>
        </w:rPr>
        <w:t> </w:t>
      </w:r>
      <w:r>
        <w:rPr>
          <w:color w:val="231F20"/>
          <w:w w:val="120"/>
        </w:rPr>
        <w:t>garder</w:t>
      </w:r>
      <w:r>
        <w:rPr>
          <w:color w:val="231F20"/>
          <w:spacing w:val="-10"/>
          <w:w w:val="120"/>
        </w:rPr>
        <w:t> </w:t>
      </w:r>
      <w:r>
        <w:rPr>
          <w:color w:val="231F20"/>
          <w:w w:val="120"/>
        </w:rPr>
        <w:t>à</w:t>
      </w:r>
      <w:r>
        <w:rPr>
          <w:color w:val="231F20"/>
          <w:spacing w:val="-10"/>
          <w:w w:val="120"/>
        </w:rPr>
        <w:t> </w:t>
      </w:r>
      <w:r>
        <w:rPr>
          <w:color w:val="231F20"/>
          <w:w w:val="120"/>
        </w:rPr>
        <w:t>l’esprit</w:t>
      </w:r>
      <w:r>
        <w:rPr>
          <w:color w:val="231F20"/>
          <w:spacing w:val="-10"/>
          <w:w w:val="120"/>
        </w:rPr>
        <w:t> </w:t>
      </w:r>
      <w:r>
        <w:rPr>
          <w:color w:val="231F20"/>
          <w:w w:val="120"/>
        </w:rPr>
        <w:t>que</w:t>
      </w:r>
      <w:r>
        <w:rPr>
          <w:color w:val="231F20"/>
          <w:spacing w:val="-10"/>
          <w:w w:val="120"/>
        </w:rPr>
        <w:t> </w:t>
      </w:r>
      <w:r>
        <w:rPr>
          <w:color w:val="231F20"/>
          <w:w w:val="120"/>
        </w:rPr>
        <w:t>notre</w:t>
      </w:r>
      <w:r>
        <w:rPr>
          <w:color w:val="231F20"/>
          <w:spacing w:val="-10"/>
          <w:w w:val="120"/>
        </w:rPr>
        <w:t> </w:t>
      </w:r>
      <w:r>
        <w:rPr>
          <w:color w:val="231F20"/>
          <w:spacing w:val="-2"/>
          <w:w w:val="120"/>
        </w:rPr>
        <w:t>milieu</w:t>
      </w:r>
    </w:p>
    <w:p>
      <w:pPr>
        <w:spacing w:after="0" w:line="307" w:lineRule="auto"/>
        <w:jc w:val="both"/>
        <w:sectPr>
          <w:footerReference w:type="default" r:id="rId27"/>
          <w:pgSz w:w="8640" w:h="12960"/>
          <w:pgMar w:footer="424" w:header="0" w:top="520" w:bottom="620" w:left="460" w:right="1000"/>
        </w:sectPr>
      </w:pPr>
    </w:p>
    <w:p>
      <w:pPr>
        <w:spacing w:before="118"/>
        <w:ind w:left="930" w:right="0" w:firstLine="0"/>
        <w:jc w:val="center"/>
        <w:rPr>
          <w:rFonts w:ascii="Arial"/>
          <w:sz w:val="14"/>
        </w:rPr>
      </w:pPr>
      <w:r>
        <w:rPr>
          <w:rFonts w:ascii="Arial"/>
          <w:color w:val="231F20"/>
          <w:spacing w:val="-2"/>
          <w:w w:val="105"/>
          <w:sz w:val="14"/>
        </w:rPr>
        <w:t>Introduction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2"/>
        <w:jc w:val="both"/>
      </w:pPr>
      <w:r>
        <w:rPr>
          <w:color w:val="231F20"/>
          <w:w w:val="120"/>
        </w:rPr>
        <w:t>de travail dépend de nous et qu’ensemble, nous pouvons créer des milieux de travail sains, attentifs au bien-être des travailleurs, tout en étant</w:t>
      </w:r>
      <w:r>
        <w:rPr>
          <w:color w:val="231F20"/>
          <w:spacing w:val="-17"/>
          <w:w w:val="120"/>
        </w:rPr>
        <w:t> </w:t>
      </w:r>
      <w:r>
        <w:rPr>
          <w:color w:val="231F20"/>
          <w:w w:val="120"/>
        </w:rPr>
        <w:t>hautement</w:t>
      </w:r>
      <w:r>
        <w:rPr>
          <w:color w:val="231F20"/>
          <w:spacing w:val="-16"/>
          <w:w w:val="120"/>
        </w:rPr>
        <w:t> </w:t>
      </w:r>
      <w:r>
        <w:rPr>
          <w:color w:val="231F20"/>
          <w:w w:val="120"/>
        </w:rPr>
        <w:t>productifs.</w:t>
      </w:r>
      <w:r>
        <w:rPr>
          <w:color w:val="231F20"/>
          <w:spacing w:val="-17"/>
          <w:w w:val="120"/>
        </w:rPr>
        <w:t> </w:t>
      </w:r>
      <w:r>
        <w:rPr>
          <w:color w:val="231F20"/>
          <w:w w:val="120"/>
        </w:rPr>
        <w:t>Sans</w:t>
      </w:r>
      <w:r>
        <w:rPr>
          <w:color w:val="231F20"/>
          <w:spacing w:val="-16"/>
          <w:w w:val="120"/>
        </w:rPr>
        <w:t> </w:t>
      </w:r>
      <w:r>
        <w:rPr>
          <w:color w:val="231F20"/>
          <w:w w:val="120"/>
        </w:rPr>
        <w:t>solidarité,</w:t>
      </w:r>
      <w:r>
        <w:rPr>
          <w:color w:val="231F20"/>
          <w:spacing w:val="-17"/>
          <w:w w:val="120"/>
        </w:rPr>
        <w:t> </w:t>
      </w:r>
      <w:r>
        <w:rPr>
          <w:color w:val="231F20"/>
          <w:w w:val="120"/>
        </w:rPr>
        <w:t>l’humanité</w:t>
      </w:r>
      <w:r>
        <w:rPr>
          <w:color w:val="231F20"/>
          <w:spacing w:val="-16"/>
          <w:w w:val="120"/>
        </w:rPr>
        <w:t> </w:t>
      </w:r>
      <w:r>
        <w:rPr>
          <w:color w:val="231F20"/>
          <w:w w:val="120"/>
        </w:rPr>
        <w:t>n’a</w:t>
      </w:r>
      <w:r>
        <w:rPr>
          <w:color w:val="231F20"/>
          <w:spacing w:val="-17"/>
          <w:w w:val="120"/>
        </w:rPr>
        <w:t> </w:t>
      </w:r>
      <w:r>
        <w:rPr>
          <w:color w:val="231F20"/>
          <w:w w:val="120"/>
        </w:rPr>
        <w:t>pas</w:t>
      </w:r>
      <w:r>
        <w:rPr>
          <w:color w:val="231F20"/>
          <w:spacing w:val="-13"/>
          <w:w w:val="120"/>
        </w:rPr>
        <w:t> </w:t>
      </w:r>
      <w:r>
        <w:rPr>
          <w:color w:val="231F20"/>
          <w:w w:val="120"/>
        </w:rPr>
        <w:t>d’avenir.</w:t>
      </w:r>
    </w:p>
    <w:p>
      <w:pPr>
        <w:pStyle w:val="BodyText"/>
        <w:spacing w:line="307" w:lineRule="auto" w:before="80"/>
        <w:ind w:left="1180" w:right="242" w:firstLine="250"/>
        <w:jc w:val="both"/>
      </w:pPr>
      <w:r>
        <w:rPr>
          <w:color w:val="231F20"/>
          <w:w w:val="120"/>
        </w:rPr>
        <w:t>Pour</w:t>
      </w:r>
      <w:r>
        <w:rPr>
          <w:color w:val="231F20"/>
          <w:spacing w:val="-2"/>
          <w:w w:val="120"/>
        </w:rPr>
        <w:t> </w:t>
      </w:r>
      <w:r>
        <w:rPr>
          <w:color w:val="231F20"/>
          <w:w w:val="120"/>
        </w:rPr>
        <w:t>l’essentiel,</w:t>
      </w:r>
      <w:r>
        <w:rPr>
          <w:color w:val="231F20"/>
          <w:spacing w:val="-2"/>
          <w:w w:val="120"/>
        </w:rPr>
        <w:t> </w:t>
      </w:r>
      <w:r>
        <w:rPr>
          <w:color w:val="231F20"/>
          <w:w w:val="120"/>
        </w:rPr>
        <w:t>les</w:t>
      </w:r>
      <w:r>
        <w:rPr>
          <w:color w:val="231F20"/>
          <w:spacing w:val="-2"/>
          <w:w w:val="120"/>
        </w:rPr>
        <w:t> </w:t>
      </w:r>
      <w:r>
        <w:rPr>
          <w:color w:val="231F20"/>
          <w:w w:val="120"/>
        </w:rPr>
        <w:t>réflexions</w:t>
      </w:r>
      <w:r>
        <w:rPr>
          <w:color w:val="231F20"/>
          <w:spacing w:val="-2"/>
          <w:w w:val="120"/>
        </w:rPr>
        <w:t> </w:t>
      </w:r>
      <w:r>
        <w:rPr>
          <w:color w:val="231F20"/>
          <w:w w:val="120"/>
        </w:rPr>
        <w:t>et</w:t>
      </w:r>
      <w:r>
        <w:rPr>
          <w:color w:val="231F20"/>
          <w:spacing w:val="-2"/>
          <w:w w:val="120"/>
        </w:rPr>
        <w:t> </w:t>
      </w:r>
      <w:r>
        <w:rPr>
          <w:color w:val="231F20"/>
          <w:w w:val="120"/>
        </w:rPr>
        <w:t>les</w:t>
      </w:r>
      <w:r>
        <w:rPr>
          <w:color w:val="231F20"/>
          <w:spacing w:val="-2"/>
          <w:w w:val="120"/>
        </w:rPr>
        <w:t> </w:t>
      </w:r>
      <w:r>
        <w:rPr>
          <w:color w:val="231F20"/>
          <w:w w:val="120"/>
        </w:rPr>
        <w:t>points</w:t>
      </w:r>
      <w:r>
        <w:rPr>
          <w:color w:val="231F20"/>
          <w:spacing w:val="-2"/>
          <w:w w:val="120"/>
        </w:rPr>
        <w:t> </w:t>
      </w:r>
      <w:r>
        <w:rPr>
          <w:color w:val="231F20"/>
          <w:w w:val="120"/>
        </w:rPr>
        <w:t>d’intervention</w:t>
      </w:r>
      <w:r>
        <w:rPr>
          <w:color w:val="231F20"/>
          <w:spacing w:val="-2"/>
          <w:w w:val="120"/>
        </w:rPr>
        <w:t> </w:t>
      </w:r>
      <w:r>
        <w:rPr>
          <w:color w:val="231F20"/>
          <w:w w:val="120"/>
        </w:rPr>
        <w:t>mention- nés dans cet ouvrage sont le fruit de notre expérience personnelle, professionnelle et universitaire.</w:t>
      </w:r>
    </w:p>
    <w:p>
      <w:pPr>
        <w:pStyle w:val="BodyText"/>
        <w:spacing w:before="7"/>
        <w:rPr>
          <w:sz w:val="21"/>
        </w:rPr>
      </w:pPr>
    </w:p>
    <w:p>
      <w:pPr>
        <w:pStyle w:val="BodyText"/>
        <w:spacing w:line="307" w:lineRule="auto"/>
        <w:ind w:left="1179" w:right="245"/>
        <w:jc w:val="both"/>
      </w:pPr>
      <w:r>
        <w:rPr>
          <w:b/>
          <w:color w:val="231F20"/>
          <w:spacing w:val="-4"/>
          <w:w w:val="115"/>
        </w:rPr>
        <w:t>Simon</w:t>
      </w:r>
      <w:r>
        <w:rPr>
          <w:b/>
          <w:color w:val="231F20"/>
          <w:spacing w:val="-9"/>
          <w:w w:val="115"/>
        </w:rPr>
        <w:t> </w:t>
      </w:r>
      <w:r>
        <w:rPr>
          <w:b/>
          <w:color w:val="231F20"/>
          <w:spacing w:val="-4"/>
          <w:w w:val="115"/>
        </w:rPr>
        <w:t>L.</w:t>
      </w:r>
      <w:r>
        <w:rPr>
          <w:b/>
          <w:color w:val="231F20"/>
          <w:spacing w:val="-8"/>
          <w:w w:val="115"/>
        </w:rPr>
        <w:t> </w:t>
      </w:r>
      <w:r>
        <w:rPr>
          <w:b/>
          <w:color w:val="231F20"/>
          <w:spacing w:val="-4"/>
          <w:w w:val="115"/>
        </w:rPr>
        <w:t>Dolan</w:t>
      </w:r>
      <w:r>
        <w:rPr>
          <w:b/>
          <w:color w:val="231F20"/>
          <w:spacing w:val="-8"/>
          <w:w w:val="115"/>
        </w:rPr>
        <w:t> </w:t>
      </w:r>
      <w:r>
        <w:rPr>
          <w:color w:val="231F20"/>
          <w:spacing w:val="-4"/>
          <w:w w:val="115"/>
        </w:rPr>
        <w:t>–</w:t>
      </w:r>
      <w:r>
        <w:rPr>
          <w:color w:val="231F20"/>
          <w:spacing w:val="-7"/>
          <w:w w:val="115"/>
        </w:rPr>
        <w:t> </w:t>
      </w:r>
      <w:r>
        <w:rPr>
          <w:color w:val="231F20"/>
          <w:spacing w:val="-4"/>
          <w:w w:val="115"/>
        </w:rPr>
        <w:t>Simon</w:t>
      </w:r>
      <w:r>
        <w:rPr>
          <w:color w:val="231F20"/>
          <w:spacing w:val="-5"/>
          <w:w w:val="115"/>
        </w:rPr>
        <w:t> </w:t>
      </w:r>
      <w:r>
        <w:rPr>
          <w:color w:val="231F20"/>
          <w:spacing w:val="-4"/>
          <w:w w:val="115"/>
        </w:rPr>
        <w:t>L.</w:t>
      </w:r>
      <w:r>
        <w:rPr>
          <w:color w:val="231F20"/>
          <w:spacing w:val="-5"/>
          <w:w w:val="115"/>
        </w:rPr>
        <w:t> </w:t>
      </w:r>
      <w:r>
        <w:rPr>
          <w:color w:val="231F20"/>
          <w:spacing w:val="-4"/>
          <w:w w:val="115"/>
        </w:rPr>
        <w:t>Dolan</w:t>
      </w:r>
      <w:r>
        <w:rPr>
          <w:color w:val="231F20"/>
          <w:spacing w:val="-5"/>
          <w:w w:val="115"/>
        </w:rPr>
        <w:t> </w:t>
      </w:r>
      <w:r>
        <w:rPr>
          <w:color w:val="231F20"/>
          <w:spacing w:val="-4"/>
          <w:w w:val="115"/>
        </w:rPr>
        <w:t>est</w:t>
      </w:r>
      <w:r>
        <w:rPr>
          <w:color w:val="231F20"/>
          <w:spacing w:val="-5"/>
          <w:w w:val="115"/>
        </w:rPr>
        <w:t> </w:t>
      </w:r>
      <w:r>
        <w:rPr>
          <w:color w:val="231F20"/>
          <w:spacing w:val="-4"/>
          <w:w w:val="115"/>
        </w:rPr>
        <w:t>actuellement</w:t>
      </w:r>
      <w:r>
        <w:rPr>
          <w:color w:val="231F20"/>
          <w:spacing w:val="-5"/>
          <w:w w:val="115"/>
        </w:rPr>
        <w:t> </w:t>
      </w:r>
      <w:r>
        <w:rPr>
          <w:color w:val="231F20"/>
          <w:spacing w:val="-4"/>
          <w:w w:val="115"/>
        </w:rPr>
        <w:t>le</w:t>
      </w:r>
      <w:r>
        <w:rPr>
          <w:color w:val="231F20"/>
          <w:spacing w:val="-5"/>
          <w:w w:val="115"/>
        </w:rPr>
        <w:t> </w:t>
      </w:r>
      <w:r>
        <w:rPr>
          <w:color w:val="231F20"/>
          <w:spacing w:val="-4"/>
          <w:w w:val="115"/>
        </w:rPr>
        <w:t>président</w:t>
      </w:r>
      <w:r>
        <w:rPr>
          <w:color w:val="231F20"/>
          <w:spacing w:val="-5"/>
          <w:w w:val="115"/>
        </w:rPr>
        <w:t> </w:t>
      </w:r>
      <w:r>
        <w:rPr>
          <w:color w:val="231F20"/>
          <w:spacing w:val="-4"/>
          <w:w w:val="115"/>
        </w:rPr>
        <w:t>de</w:t>
      </w:r>
      <w:r>
        <w:rPr>
          <w:color w:val="231F20"/>
          <w:spacing w:val="-5"/>
          <w:w w:val="115"/>
        </w:rPr>
        <w:t> </w:t>
      </w:r>
      <w:r>
        <w:rPr>
          <w:color w:val="231F20"/>
          <w:spacing w:val="-4"/>
          <w:w w:val="115"/>
        </w:rPr>
        <w:t>la</w:t>
      </w:r>
      <w:r>
        <w:rPr>
          <w:color w:val="231F20"/>
          <w:spacing w:val="-5"/>
          <w:w w:val="115"/>
        </w:rPr>
        <w:t> </w:t>
      </w:r>
      <w:r>
        <w:rPr>
          <w:color w:val="231F20"/>
          <w:spacing w:val="-4"/>
          <w:w w:val="115"/>
        </w:rPr>
        <w:t>Global </w:t>
      </w:r>
      <w:r>
        <w:rPr>
          <w:color w:val="231F20"/>
          <w:w w:val="115"/>
        </w:rPr>
        <w:t>Future</w:t>
      </w:r>
      <w:r>
        <w:rPr>
          <w:color w:val="231F20"/>
          <w:spacing w:val="-13"/>
          <w:w w:val="115"/>
        </w:rPr>
        <w:t> </w:t>
      </w:r>
      <w:r>
        <w:rPr>
          <w:color w:val="231F20"/>
          <w:w w:val="115"/>
        </w:rPr>
        <w:t>of</w:t>
      </w:r>
      <w:r>
        <w:rPr>
          <w:color w:val="231F20"/>
          <w:spacing w:val="-12"/>
          <w:w w:val="115"/>
        </w:rPr>
        <w:t> </w:t>
      </w:r>
      <w:r>
        <w:rPr>
          <w:color w:val="231F20"/>
          <w:w w:val="115"/>
        </w:rPr>
        <w:t>Work</w:t>
      </w:r>
      <w:r>
        <w:rPr>
          <w:color w:val="231F20"/>
          <w:spacing w:val="-12"/>
          <w:w w:val="115"/>
        </w:rPr>
        <w:t> </w:t>
      </w:r>
      <w:r>
        <w:rPr>
          <w:color w:val="231F20"/>
          <w:w w:val="115"/>
        </w:rPr>
        <w:t>Foundation</w:t>
      </w:r>
      <w:r>
        <w:rPr>
          <w:color w:val="231F20"/>
          <w:spacing w:val="-12"/>
          <w:w w:val="115"/>
        </w:rPr>
        <w:t> </w:t>
      </w:r>
      <w:r>
        <w:rPr>
          <w:color w:val="231F20"/>
          <w:w w:val="115"/>
        </w:rPr>
        <w:t>(globalfutureofwork.com).</w:t>
      </w:r>
      <w:r>
        <w:rPr>
          <w:color w:val="231F20"/>
          <w:spacing w:val="-13"/>
          <w:w w:val="115"/>
        </w:rPr>
        <w:t> </w:t>
      </w:r>
      <w:r>
        <w:rPr>
          <w:color w:val="231F20"/>
          <w:w w:val="115"/>
        </w:rPr>
        <w:t>Il</w:t>
      </w:r>
      <w:r>
        <w:rPr>
          <w:color w:val="231F20"/>
          <w:spacing w:val="-12"/>
          <w:w w:val="115"/>
        </w:rPr>
        <w:t> </w:t>
      </w:r>
      <w:r>
        <w:rPr>
          <w:color w:val="231F20"/>
          <w:w w:val="115"/>
        </w:rPr>
        <w:t>a</w:t>
      </w:r>
      <w:r>
        <w:rPr>
          <w:color w:val="231F20"/>
          <w:spacing w:val="-12"/>
          <w:w w:val="115"/>
        </w:rPr>
        <w:t> </w:t>
      </w:r>
      <w:r>
        <w:rPr>
          <w:color w:val="231F20"/>
          <w:w w:val="115"/>
        </w:rPr>
        <w:t>développé</w:t>
      </w:r>
      <w:r>
        <w:rPr>
          <w:color w:val="231F20"/>
          <w:spacing w:val="-12"/>
          <w:w w:val="115"/>
        </w:rPr>
        <w:t> </w:t>
      </w:r>
      <w:r>
        <w:rPr>
          <w:color w:val="231F20"/>
          <w:w w:val="115"/>
        </w:rPr>
        <w:t>trois principaux</w:t>
      </w:r>
      <w:r>
        <w:rPr>
          <w:color w:val="231F20"/>
          <w:spacing w:val="-13"/>
          <w:w w:val="115"/>
        </w:rPr>
        <w:t> </w:t>
      </w:r>
      <w:r>
        <w:rPr>
          <w:color w:val="231F20"/>
          <w:w w:val="115"/>
        </w:rPr>
        <w:t>champs d’intérêt au cours de sa longue carrière en recherche</w:t>
      </w:r>
      <w:r>
        <w:rPr>
          <w:color w:val="231F20"/>
          <w:spacing w:val="-13"/>
          <w:w w:val="115"/>
        </w:rPr>
        <w:t> </w:t>
      </w:r>
      <w:r>
        <w:rPr>
          <w:color w:val="231F20"/>
          <w:w w:val="115"/>
        </w:rPr>
        <w:t>: le</w:t>
      </w:r>
      <w:r>
        <w:rPr>
          <w:color w:val="231F20"/>
          <w:spacing w:val="-8"/>
          <w:w w:val="115"/>
        </w:rPr>
        <w:t> </w:t>
      </w:r>
      <w:r>
        <w:rPr>
          <w:color w:val="231F20"/>
          <w:w w:val="115"/>
        </w:rPr>
        <w:t>stress,</w:t>
      </w:r>
      <w:r>
        <w:rPr>
          <w:color w:val="231F20"/>
          <w:spacing w:val="-8"/>
          <w:w w:val="115"/>
        </w:rPr>
        <w:t> </w:t>
      </w:r>
      <w:r>
        <w:rPr>
          <w:color w:val="231F20"/>
          <w:w w:val="115"/>
        </w:rPr>
        <w:t>le</w:t>
      </w:r>
      <w:r>
        <w:rPr>
          <w:color w:val="231F20"/>
          <w:spacing w:val="-8"/>
          <w:w w:val="115"/>
        </w:rPr>
        <w:t> </w:t>
      </w:r>
      <w:r>
        <w:rPr>
          <w:color w:val="231F20"/>
          <w:w w:val="115"/>
        </w:rPr>
        <w:t>coaching</w:t>
      </w:r>
      <w:r>
        <w:rPr>
          <w:color w:val="231F20"/>
          <w:spacing w:val="-8"/>
          <w:w w:val="115"/>
        </w:rPr>
        <w:t> </w:t>
      </w:r>
      <w:r>
        <w:rPr>
          <w:color w:val="231F20"/>
          <w:w w:val="115"/>
        </w:rPr>
        <w:t>et</w:t>
      </w:r>
      <w:r>
        <w:rPr>
          <w:color w:val="231F20"/>
          <w:spacing w:val="-8"/>
          <w:w w:val="115"/>
        </w:rPr>
        <w:t> </w:t>
      </w:r>
      <w:r>
        <w:rPr>
          <w:color w:val="231F20"/>
          <w:w w:val="115"/>
        </w:rPr>
        <w:t>la</w:t>
      </w:r>
      <w:r>
        <w:rPr>
          <w:color w:val="231F20"/>
          <w:spacing w:val="-8"/>
          <w:w w:val="115"/>
        </w:rPr>
        <w:t> </w:t>
      </w:r>
      <w:r>
        <w:rPr>
          <w:color w:val="231F20"/>
          <w:w w:val="115"/>
        </w:rPr>
        <w:t>gestion</w:t>
      </w:r>
      <w:r>
        <w:rPr>
          <w:color w:val="231F20"/>
          <w:spacing w:val="-8"/>
          <w:w w:val="115"/>
        </w:rPr>
        <w:t> </w:t>
      </w:r>
      <w:r>
        <w:rPr>
          <w:color w:val="231F20"/>
          <w:w w:val="115"/>
        </w:rPr>
        <w:t>par</w:t>
      </w:r>
      <w:r>
        <w:rPr>
          <w:color w:val="231F20"/>
          <w:spacing w:val="-8"/>
          <w:w w:val="115"/>
        </w:rPr>
        <w:t> </w:t>
      </w:r>
      <w:r>
        <w:rPr>
          <w:color w:val="231F20"/>
          <w:w w:val="115"/>
        </w:rPr>
        <w:t>valeurs,</w:t>
      </w:r>
      <w:r>
        <w:rPr>
          <w:color w:val="231F20"/>
          <w:spacing w:val="-8"/>
          <w:w w:val="115"/>
        </w:rPr>
        <w:t> </w:t>
      </w:r>
      <w:r>
        <w:rPr>
          <w:color w:val="231F20"/>
          <w:w w:val="115"/>
        </w:rPr>
        <w:t>ainsi</w:t>
      </w:r>
      <w:r>
        <w:rPr>
          <w:color w:val="231F20"/>
          <w:spacing w:val="-8"/>
          <w:w w:val="115"/>
        </w:rPr>
        <w:t> </w:t>
      </w:r>
      <w:r>
        <w:rPr>
          <w:color w:val="231F20"/>
          <w:w w:val="115"/>
        </w:rPr>
        <w:t>que</w:t>
      </w:r>
      <w:r>
        <w:rPr>
          <w:color w:val="231F20"/>
          <w:spacing w:val="-8"/>
          <w:w w:val="115"/>
        </w:rPr>
        <w:t> </w:t>
      </w:r>
      <w:r>
        <w:rPr>
          <w:color w:val="231F20"/>
          <w:w w:val="115"/>
        </w:rPr>
        <w:t>l’avenir</w:t>
      </w:r>
      <w:r>
        <w:rPr>
          <w:color w:val="231F20"/>
          <w:spacing w:val="-8"/>
          <w:w w:val="115"/>
        </w:rPr>
        <w:t> </w:t>
      </w:r>
      <w:r>
        <w:rPr>
          <w:color w:val="231F20"/>
          <w:w w:val="115"/>
        </w:rPr>
        <w:t>du</w:t>
      </w:r>
      <w:r>
        <w:rPr>
          <w:color w:val="231F20"/>
          <w:spacing w:val="-8"/>
          <w:w w:val="115"/>
        </w:rPr>
        <w:t> </w:t>
      </w:r>
      <w:r>
        <w:rPr>
          <w:color w:val="231F20"/>
          <w:w w:val="115"/>
        </w:rPr>
        <w:t>travail. </w:t>
      </w:r>
      <w:r>
        <w:rPr>
          <w:color w:val="231F20"/>
          <w:w w:val="120"/>
        </w:rPr>
        <w:t>Après l’obtention de son doctorat, il a commencé sa recherche sur le </w:t>
      </w:r>
      <w:r>
        <w:rPr>
          <w:color w:val="231F20"/>
          <w:w w:val="115"/>
        </w:rPr>
        <w:t>thème</w:t>
      </w:r>
      <w:r>
        <w:rPr>
          <w:color w:val="231F20"/>
          <w:spacing w:val="-7"/>
          <w:w w:val="115"/>
        </w:rPr>
        <w:t> </w:t>
      </w:r>
      <w:r>
        <w:rPr>
          <w:color w:val="231F20"/>
          <w:w w:val="115"/>
        </w:rPr>
        <w:t>du</w:t>
      </w:r>
      <w:r>
        <w:rPr>
          <w:color w:val="231F20"/>
          <w:spacing w:val="-7"/>
          <w:w w:val="115"/>
        </w:rPr>
        <w:t> </w:t>
      </w:r>
      <w:r>
        <w:rPr>
          <w:color w:val="231F20"/>
          <w:w w:val="115"/>
        </w:rPr>
        <w:t>stress</w:t>
      </w:r>
      <w:r>
        <w:rPr>
          <w:color w:val="231F20"/>
          <w:spacing w:val="-7"/>
          <w:w w:val="115"/>
        </w:rPr>
        <w:t> </w:t>
      </w:r>
      <w:r>
        <w:rPr>
          <w:color w:val="231F20"/>
          <w:w w:val="115"/>
        </w:rPr>
        <w:t>au</w:t>
      </w:r>
      <w:r>
        <w:rPr>
          <w:color w:val="231F20"/>
          <w:spacing w:val="-7"/>
          <w:w w:val="115"/>
        </w:rPr>
        <w:t> </w:t>
      </w:r>
      <w:r>
        <w:rPr>
          <w:color w:val="231F20"/>
          <w:w w:val="115"/>
        </w:rPr>
        <w:t>travail.</w:t>
      </w:r>
      <w:r>
        <w:rPr>
          <w:color w:val="231F20"/>
          <w:spacing w:val="-7"/>
          <w:w w:val="115"/>
        </w:rPr>
        <w:t> </w:t>
      </w:r>
      <w:r>
        <w:rPr>
          <w:color w:val="231F20"/>
          <w:w w:val="115"/>
        </w:rPr>
        <w:t>Pour</w:t>
      </w:r>
      <w:r>
        <w:rPr>
          <w:color w:val="231F20"/>
          <w:spacing w:val="-7"/>
          <w:w w:val="115"/>
        </w:rPr>
        <w:t> </w:t>
      </w:r>
      <w:r>
        <w:rPr>
          <w:color w:val="231F20"/>
          <w:w w:val="115"/>
        </w:rPr>
        <w:t>Simon</w:t>
      </w:r>
      <w:r>
        <w:rPr>
          <w:color w:val="231F20"/>
          <w:spacing w:val="-7"/>
          <w:w w:val="115"/>
        </w:rPr>
        <w:t> </w:t>
      </w:r>
      <w:r>
        <w:rPr>
          <w:color w:val="231F20"/>
          <w:w w:val="115"/>
        </w:rPr>
        <w:t>L.</w:t>
      </w:r>
      <w:r>
        <w:rPr>
          <w:color w:val="231F20"/>
          <w:spacing w:val="-7"/>
          <w:w w:val="115"/>
        </w:rPr>
        <w:t> </w:t>
      </w:r>
      <w:r>
        <w:rPr>
          <w:color w:val="231F20"/>
          <w:w w:val="115"/>
        </w:rPr>
        <w:t>Dolan,</w:t>
      </w:r>
      <w:r>
        <w:rPr>
          <w:color w:val="231F20"/>
          <w:spacing w:val="-7"/>
          <w:w w:val="115"/>
        </w:rPr>
        <w:t> </w:t>
      </w:r>
      <w:r>
        <w:rPr>
          <w:color w:val="231F20"/>
          <w:w w:val="115"/>
        </w:rPr>
        <w:t>l’intérêt</w:t>
      </w:r>
      <w:r>
        <w:rPr>
          <w:color w:val="231F20"/>
          <w:spacing w:val="-7"/>
          <w:w w:val="115"/>
        </w:rPr>
        <w:t> </w:t>
      </w:r>
      <w:r>
        <w:rPr>
          <w:color w:val="231F20"/>
          <w:w w:val="115"/>
        </w:rPr>
        <w:t>pour</w:t>
      </w:r>
      <w:r>
        <w:rPr>
          <w:color w:val="231F20"/>
          <w:spacing w:val="-7"/>
          <w:w w:val="115"/>
        </w:rPr>
        <w:t> </w:t>
      </w:r>
      <w:r>
        <w:rPr>
          <w:color w:val="231F20"/>
          <w:w w:val="115"/>
        </w:rPr>
        <w:t>le</w:t>
      </w:r>
      <w:r>
        <w:rPr>
          <w:color w:val="231F20"/>
          <w:spacing w:val="-7"/>
          <w:w w:val="115"/>
        </w:rPr>
        <w:t> </w:t>
      </w:r>
      <w:r>
        <w:rPr>
          <w:color w:val="231F20"/>
          <w:w w:val="115"/>
        </w:rPr>
        <w:t>domaine du</w:t>
      </w:r>
      <w:r>
        <w:rPr>
          <w:color w:val="231F20"/>
          <w:spacing w:val="-7"/>
          <w:w w:val="115"/>
        </w:rPr>
        <w:t> </w:t>
      </w:r>
      <w:r>
        <w:rPr>
          <w:color w:val="231F20"/>
          <w:w w:val="115"/>
        </w:rPr>
        <w:t>stress</w:t>
      </w:r>
      <w:r>
        <w:rPr>
          <w:color w:val="231F20"/>
          <w:spacing w:val="-7"/>
          <w:w w:val="115"/>
        </w:rPr>
        <w:t> </w:t>
      </w:r>
      <w:r>
        <w:rPr>
          <w:color w:val="231F20"/>
          <w:w w:val="115"/>
        </w:rPr>
        <w:t>professionnel</w:t>
      </w:r>
      <w:r>
        <w:rPr>
          <w:color w:val="231F20"/>
          <w:spacing w:val="-7"/>
          <w:w w:val="115"/>
        </w:rPr>
        <w:t> </w:t>
      </w:r>
      <w:r>
        <w:rPr>
          <w:color w:val="231F20"/>
          <w:w w:val="115"/>
        </w:rPr>
        <w:t>remonte</w:t>
      </w:r>
      <w:r>
        <w:rPr>
          <w:color w:val="231F20"/>
          <w:spacing w:val="-7"/>
          <w:w w:val="115"/>
        </w:rPr>
        <w:t> </w:t>
      </w:r>
      <w:r>
        <w:rPr>
          <w:color w:val="231F20"/>
          <w:w w:val="115"/>
        </w:rPr>
        <w:t>aux</w:t>
      </w:r>
      <w:r>
        <w:rPr>
          <w:color w:val="231F20"/>
          <w:spacing w:val="-7"/>
          <w:w w:val="115"/>
        </w:rPr>
        <w:t> </w:t>
      </w:r>
      <w:r>
        <w:rPr>
          <w:color w:val="231F20"/>
          <w:w w:val="115"/>
        </w:rPr>
        <w:t>années</w:t>
      </w:r>
      <w:r>
        <w:rPr>
          <w:color w:val="231F20"/>
          <w:spacing w:val="-7"/>
          <w:w w:val="115"/>
        </w:rPr>
        <w:t> </w:t>
      </w:r>
      <w:r>
        <w:rPr>
          <w:color w:val="231F20"/>
          <w:w w:val="115"/>
        </w:rPr>
        <w:t>1970</w:t>
      </w:r>
      <w:r>
        <w:rPr>
          <w:color w:val="231F20"/>
          <w:spacing w:val="-7"/>
          <w:w w:val="115"/>
        </w:rPr>
        <w:t> </w:t>
      </w:r>
      <w:r>
        <w:rPr>
          <w:color w:val="231F20"/>
          <w:w w:val="115"/>
        </w:rPr>
        <w:t>et</w:t>
      </w:r>
      <w:r>
        <w:rPr>
          <w:color w:val="231F20"/>
          <w:spacing w:val="-7"/>
          <w:w w:val="115"/>
        </w:rPr>
        <w:t> </w:t>
      </w:r>
      <w:r>
        <w:rPr>
          <w:color w:val="231F20"/>
          <w:w w:val="115"/>
        </w:rPr>
        <w:t>à</w:t>
      </w:r>
      <w:r>
        <w:rPr>
          <w:color w:val="231F20"/>
          <w:spacing w:val="-7"/>
          <w:w w:val="115"/>
        </w:rPr>
        <w:t> </w:t>
      </w:r>
      <w:r>
        <w:rPr>
          <w:color w:val="231F20"/>
          <w:w w:val="115"/>
        </w:rPr>
        <w:t>une</w:t>
      </w:r>
      <w:r>
        <w:rPr>
          <w:color w:val="231F20"/>
          <w:spacing w:val="-7"/>
          <w:w w:val="115"/>
        </w:rPr>
        <w:t> </w:t>
      </w:r>
      <w:r>
        <w:rPr>
          <w:color w:val="231F20"/>
          <w:w w:val="115"/>
        </w:rPr>
        <w:t>expérience</w:t>
      </w:r>
      <w:r>
        <w:rPr>
          <w:color w:val="231F20"/>
          <w:spacing w:val="-7"/>
          <w:w w:val="115"/>
        </w:rPr>
        <w:t> </w:t>
      </w:r>
      <w:r>
        <w:rPr>
          <w:color w:val="231F20"/>
          <w:w w:val="115"/>
        </w:rPr>
        <w:t>qu’il a</w:t>
      </w:r>
      <w:r>
        <w:rPr>
          <w:color w:val="231F20"/>
          <w:spacing w:val="-3"/>
          <w:w w:val="115"/>
        </w:rPr>
        <w:t> </w:t>
      </w:r>
      <w:r>
        <w:rPr>
          <w:color w:val="231F20"/>
          <w:w w:val="115"/>
        </w:rPr>
        <w:t>vécue</w:t>
      </w:r>
      <w:r>
        <w:rPr>
          <w:color w:val="231F20"/>
          <w:spacing w:val="-3"/>
          <w:w w:val="115"/>
        </w:rPr>
        <w:t> </w:t>
      </w:r>
      <w:r>
        <w:rPr>
          <w:color w:val="231F20"/>
          <w:w w:val="115"/>
        </w:rPr>
        <w:t>à</w:t>
      </w:r>
      <w:r>
        <w:rPr>
          <w:color w:val="231F20"/>
          <w:spacing w:val="-3"/>
          <w:w w:val="115"/>
        </w:rPr>
        <w:t> </w:t>
      </w:r>
      <w:r>
        <w:rPr>
          <w:color w:val="231F20"/>
          <w:w w:val="115"/>
        </w:rPr>
        <w:t>la</w:t>
      </w:r>
      <w:r>
        <w:rPr>
          <w:color w:val="231F20"/>
          <w:spacing w:val="-3"/>
          <w:w w:val="115"/>
        </w:rPr>
        <w:t> </w:t>
      </w:r>
      <w:r>
        <w:rPr>
          <w:color w:val="231F20"/>
          <w:w w:val="115"/>
        </w:rPr>
        <w:t>clinique</w:t>
      </w:r>
      <w:r>
        <w:rPr>
          <w:color w:val="231F20"/>
          <w:spacing w:val="-3"/>
          <w:w w:val="115"/>
        </w:rPr>
        <w:t> </w:t>
      </w:r>
      <w:r>
        <w:rPr>
          <w:color w:val="231F20"/>
          <w:w w:val="115"/>
        </w:rPr>
        <w:t>Mayo,</w:t>
      </w:r>
      <w:r>
        <w:rPr>
          <w:color w:val="231F20"/>
          <w:spacing w:val="-3"/>
          <w:w w:val="115"/>
        </w:rPr>
        <w:t> </w:t>
      </w:r>
      <w:r>
        <w:rPr>
          <w:color w:val="231F20"/>
          <w:w w:val="115"/>
        </w:rPr>
        <w:t>au</w:t>
      </w:r>
      <w:r>
        <w:rPr>
          <w:color w:val="231F20"/>
          <w:spacing w:val="-3"/>
          <w:w w:val="115"/>
        </w:rPr>
        <w:t> </w:t>
      </w:r>
      <w:r>
        <w:rPr>
          <w:color w:val="231F20"/>
          <w:w w:val="115"/>
        </w:rPr>
        <w:t>Minnesota.</w:t>
      </w:r>
      <w:r>
        <w:rPr>
          <w:color w:val="231F20"/>
          <w:spacing w:val="-3"/>
          <w:w w:val="115"/>
        </w:rPr>
        <w:t> </w:t>
      </w:r>
      <w:r>
        <w:rPr>
          <w:color w:val="231F20"/>
          <w:w w:val="115"/>
        </w:rPr>
        <w:t>Pendant</w:t>
      </w:r>
      <w:r>
        <w:rPr>
          <w:color w:val="231F20"/>
          <w:spacing w:val="-3"/>
          <w:w w:val="115"/>
        </w:rPr>
        <w:t> </w:t>
      </w:r>
      <w:r>
        <w:rPr>
          <w:color w:val="231F20"/>
          <w:w w:val="115"/>
        </w:rPr>
        <w:t>ses</w:t>
      </w:r>
      <w:r>
        <w:rPr>
          <w:color w:val="231F20"/>
          <w:spacing w:val="-3"/>
          <w:w w:val="115"/>
        </w:rPr>
        <w:t> </w:t>
      </w:r>
      <w:r>
        <w:rPr>
          <w:color w:val="231F20"/>
          <w:w w:val="115"/>
        </w:rPr>
        <w:t>études</w:t>
      </w:r>
      <w:r>
        <w:rPr>
          <w:color w:val="231F20"/>
          <w:spacing w:val="-3"/>
          <w:w w:val="115"/>
        </w:rPr>
        <w:t> </w:t>
      </w:r>
      <w:r>
        <w:rPr>
          <w:color w:val="231F20"/>
          <w:w w:val="115"/>
        </w:rPr>
        <w:t>de</w:t>
      </w:r>
      <w:r>
        <w:rPr>
          <w:color w:val="231F20"/>
          <w:spacing w:val="-3"/>
          <w:w w:val="115"/>
        </w:rPr>
        <w:t> </w:t>
      </w:r>
      <w:r>
        <w:rPr>
          <w:color w:val="231F20"/>
          <w:w w:val="115"/>
        </w:rPr>
        <w:t>doctorat à</w:t>
      </w:r>
      <w:r>
        <w:rPr>
          <w:color w:val="231F20"/>
          <w:spacing w:val="-6"/>
          <w:w w:val="115"/>
        </w:rPr>
        <w:t> </w:t>
      </w:r>
      <w:r>
        <w:rPr>
          <w:color w:val="231F20"/>
          <w:w w:val="115"/>
        </w:rPr>
        <w:t>l’Université</w:t>
      </w:r>
      <w:r>
        <w:rPr>
          <w:color w:val="231F20"/>
          <w:spacing w:val="-6"/>
          <w:w w:val="115"/>
        </w:rPr>
        <w:t> </w:t>
      </w:r>
      <w:r>
        <w:rPr>
          <w:color w:val="231F20"/>
          <w:w w:val="115"/>
        </w:rPr>
        <w:t>du</w:t>
      </w:r>
      <w:r>
        <w:rPr>
          <w:color w:val="231F20"/>
          <w:spacing w:val="-4"/>
          <w:w w:val="115"/>
        </w:rPr>
        <w:t> </w:t>
      </w:r>
      <w:r>
        <w:rPr>
          <w:color w:val="231F20"/>
          <w:w w:val="115"/>
        </w:rPr>
        <w:t>Minnesota,</w:t>
      </w:r>
      <w:r>
        <w:rPr>
          <w:color w:val="231F20"/>
          <w:spacing w:val="-4"/>
          <w:w w:val="115"/>
        </w:rPr>
        <w:t> </w:t>
      </w:r>
      <w:r>
        <w:rPr>
          <w:color w:val="231F20"/>
          <w:w w:val="115"/>
        </w:rPr>
        <w:t>il</w:t>
      </w:r>
      <w:r>
        <w:rPr>
          <w:color w:val="231F20"/>
          <w:spacing w:val="-4"/>
          <w:w w:val="115"/>
        </w:rPr>
        <w:t> </w:t>
      </w:r>
      <w:r>
        <w:rPr>
          <w:color w:val="231F20"/>
          <w:w w:val="115"/>
        </w:rPr>
        <w:t>a</w:t>
      </w:r>
      <w:r>
        <w:rPr>
          <w:color w:val="231F20"/>
          <w:spacing w:val="-4"/>
          <w:w w:val="115"/>
        </w:rPr>
        <w:t> </w:t>
      </w:r>
      <w:r>
        <w:rPr>
          <w:color w:val="231F20"/>
          <w:w w:val="115"/>
        </w:rPr>
        <w:t>collaboré</w:t>
      </w:r>
      <w:r>
        <w:rPr>
          <w:color w:val="231F20"/>
          <w:spacing w:val="-4"/>
          <w:w w:val="115"/>
        </w:rPr>
        <w:t> </w:t>
      </w:r>
      <w:r>
        <w:rPr>
          <w:color w:val="231F20"/>
          <w:w w:val="115"/>
        </w:rPr>
        <w:t>à</w:t>
      </w:r>
      <w:r>
        <w:rPr>
          <w:color w:val="231F20"/>
          <w:spacing w:val="-6"/>
          <w:w w:val="115"/>
        </w:rPr>
        <w:t> </w:t>
      </w:r>
      <w:r>
        <w:rPr>
          <w:color w:val="231F20"/>
          <w:w w:val="115"/>
        </w:rPr>
        <w:t>une</w:t>
      </w:r>
      <w:r>
        <w:rPr>
          <w:color w:val="231F20"/>
          <w:spacing w:val="-6"/>
          <w:w w:val="115"/>
        </w:rPr>
        <w:t> </w:t>
      </w:r>
      <w:r>
        <w:rPr>
          <w:color w:val="231F20"/>
          <w:w w:val="115"/>
        </w:rPr>
        <w:t>recherche</w:t>
      </w:r>
      <w:r>
        <w:rPr>
          <w:color w:val="231F20"/>
          <w:spacing w:val="-4"/>
          <w:w w:val="115"/>
        </w:rPr>
        <w:t> </w:t>
      </w:r>
      <w:r>
        <w:rPr>
          <w:color w:val="231F20"/>
          <w:w w:val="115"/>
        </w:rPr>
        <w:t>sur</w:t>
      </w:r>
      <w:r>
        <w:rPr>
          <w:color w:val="231F20"/>
          <w:spacing w:val="-4"/>
          <w:w w:val="115"/>
        </w:rPr>
        <w:t> </w:t>
      </w:r>
      <w:r>
        <w:rPr>
          <w:color w:val="231F20"/>
          <w:w w:val="115"/>
        </w:rPr>
        <w:t>les</w:t>
      </w:r>
      <w:r>
        <w:rPr>
          <w:color w:val="231F20"/>
          <w:spacing w:val="-6"/>
          <w:w w:val="115"/>
        </w:rPr>
        <w:t> </w:t>
      </w:r>
      <w:r>
        <w:rPr>
          <w:color w:val="231F20"/>
          <w:w w:val="115"/>
        </w:rPr>
        <w:t>percep- </w:t>
      </w:r>
      <w:r>
        <w:rPr>
          <w:color w:val="231F20"/>
          <w:w w:val="120"/>
        </w:rPr>
        <w:t>tions des patients qui avaient survécu à leur première crise cardiaque. </w:t>
      </w:r>
      <w:r>
        <w:rPr>
          <w:color w:val="231F20"/>
          <w:spacing w:val="-2"/>
          <w:w w:val="120"/>
        </w:rPr>
        <w:t>Aucun</w:t>
      </w:r>
      <w:r>
        <w:rPr>
          <w:color w:val="231F20"/>
          <w:spacing w:val="-6"/>
          <w:w w:val="120"/>
        </w:rPr>
        <w:t> </w:t>
      </w:r>
      <w:r>
        <w:rPr>
          <w:color w:val="231F20"/>
          <w:spacing w:val="-2"/>
          <w:w w:val="120"/>
        </w:rPr>
        <w:t>de</w:t>
      </w:r>
      <w:r>
        <w:rPr>
          <w:color w:val="231F20"/>
          <w:spacing w:val="-6"/>
          <w:w w:val="120"/>
        </w:rPr>
        <w:t> </w:t>
      </w:r>
      <w:r>
        <w:rPr>
          <w:color w:val="231F20"/>
          <w:spacing w:val="-2"/>
          <w:w w:val="120"/>
        </w:rPr>
        <w:t>ces</w:t>
      </w:r>
      <w:r>
        <w:rPr>
          <w:color w:val="231F20"/>
          <w:spacing w:val="-6"/>
          <w:w w:val="120"/>
        </w:rPr>
        <w:t> </w:t>
      </w:r>
      <w:r>
        <w:rPr>
          <w:color w:val="231F20"/>
          <w:spacing w:val="-2"/>
          <w:w w:val="120"/>
        </w:rPr>
        <w:t>patients</w:t>
      </w:r>
      <w:r>
        <w:rPr>
          <w:color w:val="231F20"/>
          <w:spacing w:val="-6"/>
          <w:w w:val="120"/>
        </w:rPr>
        <w:t> </w:t>
      </w:r>
      <w:r>
        <w:rPr>
          <w:color w:val="231F20"/>
          <w:spacing w:val="-2"/>
          <w:w w:val="120"/>
        </w:rPr>
        <w:t>n’avait</w:t>
      </w:r>
      <w:r>
        <w:rPr>
          <w:color w:val="231F20"/>
          <w:spacing w:val="-6"/>
          <w:w w:val="120"/>
        </w:rPr>
        <w:t> </w:t>
      </w:r>
      <w:r>
        <w:rPr>
          <w:color w:val="231F20"/>
          <w:spacing w:val="-2"/>
          <w:w w:val="120"/>
        </w:rPr>
        <w:t>d’autre</w:t>
      </w:r>
      <w:r>
        <w:rPr>
          <w:color w:val="231F20"/>
          <w:spacing w:val="-6"/>
          <w:w w:val="120"/>
        </w:rPr>
        <w:t> </w:t>
      </w:r>
      <w:r>
        <w:rPr>
          <w:color w:val="231F20"/>
          <w:spacing w:val="-2"/>
          <w:w w:val="120"/>
        </w:rPr>
        <w:t>antécédent</w:t>
      </w:r>
      <w:r>
        <w:rPr>
          <w:color w:val="231F20"/>
          <w:spacing w:val="-6"/>
          <w:w w:val="120"/>
        </w:rPr>
        <w:t> </w:t>
      </w:r>
      <w:r>
        <w:rPr>
          <w:color w:val="231F20"/>
          <w:spacing w:val="-2"/>
          <w:w w:val="120"/>
        </w:rPr>
        <w:t>de</w:t>
      </w:r>
      <w:r>
        <w:rPr>
          <w:color w:val="231F20"/>
          <w:spacing w:val="-6"/>
          <w:w w:val="120"/>
        </w:rPr>
        <w:t> </w:t>
      </w:r>
      <w:r>
        <w:rPr>
          <w:color w:val="231F20"/>
          <w:spacing w:val="-2"/>
          <w:w w:val="120"/>
        </w:rPr>
        <w:t>cardiopathie,</w:t>
      </w:r>
      <w:r>
        <w:rPr>
          <w:color w:val="231F20"/>
          <w:spacing w:val="-6"/>
          <w:w w:val="120"/>
        </w:rPr>
        <w:t> </w:t>
      </w:r>
      <w:r>
        <w:rPr>
          <w:color w:val="231F20"/>
          <w:spacing w:val="-2"/>
          <w:w w:val="120"/>
        </w:rPr>
        <w:t>et</w:t>
      </w:r>
      <w:r>
        <w:rPr>
          <w:color w:val="231F20"/>
          <w:spacing w:val="-6"/>
          <w:w w:val="120"/>
        </w:rPr>
        <w:t> </w:t>
      </w:r>
      <w:r>
        <w:rPr>
          <w:color w:val="231F20"/>
          <w:spacing w:val="-2"/>
          <w:w w:val="120"/>
        </w:rPr>
        <w:t>tous </w:t>
      </w:r>
      <w:r>
        <w:rPr>
          <w:color w:val="231F20"/>
          <w:w w:val="120"/>
        </w:rPr>
        <w:t>étaient</w:t>
      </w:r>
      <w:r>
        <w:rPr>
          <w:color w:val="231F20"/>
          <w:spacing w:val="-8"/>
          <w:w w:val="120"/>
        </w:rPr>
        <w:t> </w:t>
      </w:r>
      <w:r>
        <w:rPr>
          <w:color w:val="231F20"/>
          <w:w w:val="120"/>
        </w:rPr>
        <w:t>sur</w:t>
      </w:r>
      <w:r>
        <w:rPr>
          <w:color w:val="231F20"/>
          <w:spacing w:val="-8"/>
          <w:w w:val="120"/>
        </w:rPr>
        <w:t> </w:t>
      </w:r>
      <w:r>
        <w:rPr>
          <w:color w:val="231F20"/>
          <w:w w:val="120"/>
        </w:rPr>
        <w:t>le</w:t>
      </w:r>
      <w:r>
        <w:rPr>
          <w:color w:val="231F20"/>
          <w:spacing w:val="-8"/>
          <w:w w:val="120"/>
        </w:rPr>
        <w:t> </w:t>
      </w:r>
      <w:r>
        <w:rPr>
          <w:color w:val="231F20"/>
          <w:w w:val="120"/>
        </w:rPr>
        <w:t>marché</w:t>
      </w:r>
      <w:r>
        <w:rPr>
          <w:color w:val="231F20"/>
          <w:spacing w:val="-8"/>
          <w:w w:val="120"/>
        </w:rPr>
        <w:t> </w:t>
      </w:r>
      <w:r>
        <w:rPr>
          <w:color w:val="231F20"/>
          <w:w w:val="120"/>
        </w:rPr>
        <w:t>du</w:t>
      </w:r>
      <w:r>
        <w:rPr>
          <w:color w:val="231F20"/>
          <w:spacing w:val="-8"/>
          <w:w w:val="120"/>
        </w:rPr>
        <w:t> </w:t>
      </w:r>
      <w:r>
        <w:rPr>
          <w:color w:val="231F20"/>
          <w:w w:val="120"/>
        </w:rPr>
        <w:t>travail;</w:t>
      </w:r>
      <w:r>
        <w:rPr>
          <w:color w:val="231F20"/>
          <w:spacing w:val="-8"/>
          <w:w w:val="120"/>
        </w:rPr>
        <w:t> </w:t>
      </w:r>
      <w:r>
        <w:rPr>
          <w:color w:val="231F20"/>
          <w:w w:val="120"/>
        </w:rPr>
        <w:t>il</w:t>
      </w:r>
      <w:r>
        <w:rPr>
          <w:color w:val="231F20"/>
          <w:spacing w:val="-8"/>
          <w:w w:val="120"/>
        </w:rPr>
        <w:t> </w:t>
      </w:r>
      <w:r>
        <w:rPr>
          <w:color w:val="231F20"/>
          <w:w w:val="120"/>
        </w:rPr>
        <w:t>s’agissait</w:t>
      </w:r>
      <w:r>
        <w:rPr>
          <w:color w:val="231F20"/>
          <w:spacing w:val="-8"/>
          <w:w w:val="120"/>
        </w:rPr>
        <w:t> </w:t>
      </w:r>
      <w:r>
        <w:rPr>
          <w:color w:val="231F20"/>
          <w:w w:val="120"/>
        </w:rPr>
        <w:t>essentiellement</w:t>
      </w:r>
      <w:r>
        <w:rPr>
          <w:color w:val="231F20"/>
          <w:spacing w:val="-8"/>
          <w:w w:val="120"/>
        </w:rPr>
        <w:t> </w:t>
      </w:r>
      <w:r>
        <w:rPr>
          <w:color w:val="231F20"/>
          <w:w w:val="120"/>
        </w:rPr>
        <w:t>de</w:t>
      </w:r>
      <w:r>
        <w:rPr>
          <w:color w:val="231F20"/>
          <w:spacing w:val="-8"/>
          <w:w w:val="120"/>
        </w:rPr>
        <w:t> </w:t>
      </w:r>
      <w:r>
        <w:rPr>
          <w:color w:val="231F20"/>
          <w:w w:val="120"/>
        </w:rPr>
        <w:t>patients </w:t>
      </w:r>
      <w:r>
        <w:rPr>
          <w:color w:val="231F20"/>
          <w:spacing w:val="-2"/>
          <w:w w:val="120"/>
        </w:rPr>
        <w:t>qui</w:t>
      </w:r>
      <w:r>
        <w:rPr>
          <w:color w:val="231F20"/>
          <w:spacing w:val="-9"/>
          <w:w w:val="120"/>
        </w:rPr>
        <w:t> </w:t>
      </w:r>
      <w:r>
        <w:rPr>
          <w:color w:val="231F20"/>
          <w:spacing w:val="-2"/>
          <w:w w:val="120"/>
        </w:rPr>
        <w:t>s’étaient</w:t>
      </w:r>
      <w:r>
        <w:rPr>
          <w:color w:val="231F20"/>
          <w:spacing w:val="-9"/>
          <w:w w:val="120"/>
        </w:rPr>
        <w:t> </w:t>
      </w:r>
      <w:r>
        <w:rPr>
          <w:color w:val="231F20"/>
          <w:spacing w:val="-2"/>
          <w:w w:val="120"/>
        </w:rPr>
        <w:t>considérés</w:t>
      </w:r>
      <w:r>
        <w:rPr>
          <w:color w:val="231F20"/>
          <w:spacing w:val="-9"/>
          <w:w w:val="120"/>
        </w:rPr>
        <w:t> </w:t>
      </w:r>
      <w:r>
        <w:rPr>
          <w:color w:val="231F20"/>
          <w:spacing w:val="-2"/>
          <w:w w:val="120"/>
        </w:rPr>
        <w:t>comme</w:t>
      </w:r>
      <w:r>
        <w:rPr>
          <w:color w:val="231F20"/>
          <w:spacing w:val="-9"/>
          <w:w w:val="120"/>
        </w:rPr>
        <w:t> </w:t>
      </w:r>
      <w:r>
        <w:rPr>
          <w:color w:val="231F20"/>
          <w:spacing w:val="-2"/>
          <w:w w:val="120"/>
        </w:rPr>
        <w:t>étant</w:t>
      </w:r>
      <w:r>
        <w:rPr>
          <w:color w:val="231F20"/>
          <w:spacing w:val="-9"/>
          <w:w w:val="120"/>
        </w:rPr>
        <w:t> </w:t>
      </w:r>
      <w:r>
        <w:rPr>
          <w:color w:val="231F20"/>
          <w:spacing w:val="-2"/>
          <w:w w:val="120"/>
        </w:rPr>
        <w:t>en</w:t>
      </w:r>
      <w:r>
        <w:rPr>
          <w:color w:val="231F20"/>
          <w:spacing w:val="-9"/>
          <w:w w:val="120"/>
        </w:rPr>
        <w:t> </w:t>
      </w:r>
      <w:r>
        <w:rPr>
          <w:color w:val="231F20"/>
          <w:spacing w:val="-2"/>
          <w:w w:val="120"/>
        </w:rPr>
        <w:t>bonne</w:t>
      </w:r>
      <w:r>
        <w:rPr>
          <w:color w:val="231F20"/>
          <w:spacing w:val="-9"/>
          <w:w w:val="120"/>
        </w:rPr>
        <w:t> </w:t>
      </w:r>
      <w:r>
        <w:rPr>
          <w:color w:val="231F20"/>
          <w:spacing w:val="-2"/>
          <w:w w:val="120"/>
        </w:rPr>
        <w:t>santé</w:t>
      </w:r>
      <w:r>
        <w:rPr>
          <w:color w:val="231F20"/>
          <w:spacing w:val="-9"/>
          <w:w w:val="120"/>
        </w:rPr>
        <w:t> </w:t>
      </w:r>
      <w:r>
        <w:rPr>
          <w:color w:val="231F20"/>
          <w:spacing w:val="-2"/>
          <w:w w:val="120"/>
        </w:rPr>
        <w:t>toute</w:t>
      </w:r>
      <w:r>
        <w:rPr>
          <w:color w:val="231F20"/>
          <w:spacing w:val="-9"/>
          <w:w w:val="120"/>
        </w:rPr>
        <w:t> </w:t>
      </w:r>
      <w:r>
        <w:rPr>
          <w:color w:val="231F20"/>
          <w:spacing w:val="-2"/>
          <w:w w:val="120"/>
        </w:rPr>
        <w:t>leur</w:t>
      </w:r>
      <w:r>
        <w:rPr>
          <w:color w:val="231F20"/>
          <w:spacing w:val="-9"/>
          <w:w w:val="120"/>
        </w:rPr>
        <w:t> </w:t>
      </w:r>
      <w:r>
        <w:rPr>
          <w:color w:val="231F20"/>
          <w:spacing w:val="-2"/>
          <w:w w:val="120"/>
        </w:rPr>
        <w:t>vie.</w:t>
      </w:r>
      <w:r>
        <w:rPr>
          <w:color w:val="231F20"/>
          <w:spacing w:val="-9"/>
          <w:w w:val="120"/>
        </w:rPr>
        <w:t> </w:t>
      </w:r>
      <w:r>
        <w:rPr>
          <w:color w:val="231F20"/>
          <w:spacing w:val="-2"/>
          <w:w w:val="120"/>
        </w:rPr>
        <w:t>C’est </w:t>
      </w:r>
      <w:r>
        <w:rPr>
          <w:color w:val="231F20"/>
          <w:w w:val="120"/>
        </w:rPr>
        <w:t>avec</w:t>
      </w:r>
      <w:r>
        <w:rPr>
          <w:color w:val="231F20"/>
          <w:spacing w:val="-13"/>
          <w:w w:val="120"/>
        </w:rPr>
        <w:t> </w:t>
      </w:r>
      <w:r>
        <w:rPr>
          <w:color w:val="231F20"/>
          <w:w w:val="120"/>
        </w:rPr>
        <w:t>surprise</w:t>
      </w:r>
      <w:r>
        <w:rPr>
          <w:color w:val="231F20"/>
          <w:spacing w:val="-13"/>
          <w:w w:val="120"/>
        </w:rPr>
        <w:t> </w:t>
      </w:r>
      <w:r>
        <w:rPr>
          <w:color w:val="231F20"/>
          <w:w w:val="120"/>
        </w:rPr>
        <w:t>que</w:t>
      </w:r>
      <w:r>
        <w:rPr>
          <w:color w:val="231F20"/>
          <w:spacing w:val="-13"/>
          <w:w w:val="120"/>
        </w:rPr>
        <w:t> </w:t>
      </w:r>
      <w:r>
        <w:rPr>
          <w:color w:val="231F20"/>
          <w:w w:val="120"/>
        </w:rPr>
        <w:t>l’équipe</w:t>
      </w:r>
      <w:r>
        <w:rPr>
          <w:color w:val="231F20"/>
          <w:spacing w:val="-12"/>
          <w:w w:val="120"/>
        </w:rPr>
        <w:t> </w:t>
      </w:r>
      <w:r>
        <w:rPr>
          <w:color w:val="231F20"/>
          <w:w w:val="120"/>
        </w:rPr>
        <w:t>de</w:t>
      </w:r>
      <w:r>
        <w:rPr>
          <w:color w:val="231F20"/>
          <w:spacing w:val="-13"/>
          <w:w w:val="120"/>
        </w:rPr>
        <w:t> </w:t>
      </w:r>
      <w:r>
        <w:rPr>
          <w:color w:val="231F20"/>
          <w:w w:val="120"/>
        </w:rPr>
        <w:t>recherche</w:t>
      </w:r>
      <w:r>
        <w:rPr>
          <w:color w:val="231F20"/>
          <w:spacing w:val="-13"/>
          <w:w w:val="120"/>
        </w:rPr>
        <w:t> </w:t>
      </w:r>
      <w:r>
        <w:rPr>
          <w:color w:val="231F20"/>
          <w:w w:val="120"/>
        </w:rPr>
        <w:t>a</w:t>
      </w:r>
      <w:r>
        <w:rPr>
          <w:color w:val="231F20"/>
          <w:spacing w:val="-13"/>
          <w:w w:val="120"/>
        </w:rPr>
        <w:t> </w:t>
      </w:r>
      <w:r>
        <w:rPr>
          <w:color w:val="231F20"/>
          <w:w w:val="120"/>
        </w:rPr>
        <w:t>corroboré</w:t>
      </w:r>
      <w:r>
        <w:rPr>
          <w:color w:val="231F20"/>
          <w:spacing w:val="-12"/>
          <w:w w:val="120"/>
        </w:rPr>
        <w:t> </w:t>
      </w:r>
      <w:r>
        <w:rPr>
          <w:color w:val="231F20"/>
          <w:w w:val="120"/>
        </w:rPr>
        <w:t>que</w:t>
      </w:r>
      <w:r>
        <w:rPr>
          <w:color w:val="231F20"/>
          <w:spacing w:val="-13"/>
          <w:w w:val="120"/>
        </w:rPr>
        <w:t> </w:t>
      </w:r>
      <w:r>
        <w:rPr>
          <w:color w:val="231F20"/>
          <w:w w:val="120"/>
        </w:rPr>
        <w:t>plus</w:t>
      </w:r>
      <w:r>
        <w:rPr>
          <w:color w:val="231F20"/>
          <w:spacing w:val="-13"/>
          <w:w w:val="120"/>
        </w:rPr>
        <w:t> </w:t>
      </w:r>
      <w:r>
        <w:rPr>
          <w:color w:val="231F20"/>
          <w:w w:val="120"/>
        </w:rPr>
        <w:t>de</w:t>
      </w:r>
      <w:r>
        <w:rPr>
          <w:color w:val="231F20"/>
          <w:spacing w:val="-13"/>
          <w:w w:val="120"/>
        </w:rPr>
        <w:t> </w:t>
      </w:r>
      <w:r>
        <w:rPr>
          <w:color w:val="231F20"/>
          <w:w w:val="120"/>
        </w:rPr>
        <w:t>90</w:t>
      </w:r>
      <w:r>
        <w:rPr>
          <w:color w:val="231F20"/>
          <w:spacing w:val="-12"/>
          <w:w w:val="120"/>
        </w:rPr>
        <w:t> </w:t>
      </w:r>
      <w:r>
        <w:rPr>
          <w:color w:val="231F20"/>
          <w:w w:val="120"/>
        </w:rPr>
        <w:t>%</w:t>
      </w:r>
      <w:r>
        <w:rPr>
          <w:color w:val="231F20"/>
          <w:spacing w:val="-13"/>
          <w:w w:val="120"/>
        </w:rPr>
        <w:t> </w:t>
      </w:r>
      <w:r>
        <w:rPr>
          <w:color w:val="231F20"/>
          <w:w w:val="120"/>
        </w:rPr>
        <w:t>de ces</w:t>
      </w:r>
      <w:r>
        <w:rPr>
          <w:color w:val="231F20"/>
          <w:spacing w:val="-11"/>
          <w:w w:val="120"/>
        </w:rPr>
        <w:t> </w:t>
      </w:r>
      <w:r>
        <w:rPr>
          <w:color w:val="231F20"/>
          <w:w w:val="120"/>
        </w:rPr>
        <w:t>210</w:t>
      </w:r>
      <w:r>
        <w:rPr>
          <w:color w:val="231F20"/>
          <w:spacing w:val="-11"/>
          <w:w w:val="120"/>
        </w:rPr>
        <w:t> </w:t>
      </w:r>
      <w:r>
        <w:rPr>
          <w:color w:val="231F20"/>
          <w:w w:val="120"/>
        </w:rPr>
        <w:t>patients</w:t>
      </w:r>
      <w:r>
        <w:rPr>
          <w:color w:val="231F20"/>
          <w:spacing w:val="-11"/>
          <w:w w:val="120"/>
        </w:rPr>
        <w:t> </w:t>
      </w:r>
      <w:r>
        <w:rPr>
          <w:color w:val="231F20"/>
          <w:w w:val="120"/>
        </w:rPr>
        <w:t>attribuaient</w:t>
      </w:r>
      <w:r>
        <w:rPr>
          <w:color w:val="231F20"/>
          <w:spacing w:val="-11"/>
          <w:w w:val="120"/>
        </w:rPr>
        <w:t> </w:t>
      </w:r>
      <w:r>
        <w:rPr>
          <w:color w:val="231F20"/>
          <w:w w:val="120"/>
        </w:rPr>
        <w:t>leur</w:t>
      </w:r>
      <w:r>
        <w:rPr>
          <w:color w:val="231F20"/>
          <w:spacing w:val="-11"/>
          <w:w w:val="120"/>
        </w:rPr>
        <w:t> </w:t>
      </w:r>
      <w:r>
        <w:rPr>
          <w:color w:val="231F20"/>
          <w:w w:val="120"/>
        </w:rPr>
        <w:t>crise</w:t>
      </w:r>
      <w:r>
        <w:rPr>
          <w:color w:val="231F20"/>
          <w:spacing w:val="-11"/>
          <w:w w:val="120"/>
        </w:rPr>
        <w:t> </w:t>
      </w:r>
      <w:r>
        <w:rPr>
          <w:color w:val="231F20"/>
          <w:w w:val="120"/>
        </w:rPr>
        <w:t>cardiaque</w:t>
      </w:r>
      <w:r>
        <w:rPr>
          <w:color w:val="231F20"/>
          <w:spacing w:val="-11"/>
          <w:w w:val="120"/>
        </w:rPr>
        <w:t> </w:t>
      </w:r>
      <w:r>
        <w:rPr>
          <w:color w:val="231F20"/>
          <w:w w:val="120"/>
        </w:rPr>
        <w:t>à</w:t>
      </w:r>
      <w:r>
        <w:rPr>
          <w:color w:val="231F20"/>
          <w:spacing w:val="-11"/>
          <w:w w:val="120"/>
        </w:rPr>
        <w:t> </w:t>
      </w:r>
      <w:r>
        <w:rPr>
          <w:color w:val="231F20"/>
          <w:w w:val="120"/>
        </w:rPr>
        <w:t>leur</w:t>
      </w:r>
      <w:r>
        <w:rPr>
          <w:color w:val="231F20"/>
          <w:spacing w:val="-11"/>
          <w:w w:val="120"/>
        </w:rPr>
        <w:t> </w:t>
      </w:r>
      <w:r>
        <w:rPr>
          <w:color w:val="231F20"/>
          <w:w w:val="120"/>
        </w:rPr>
        <w:t>travail.</w:t>
      </w:r>
      <w:r>
        <w:rPr>
          <w:color w:val="231F20"/>
          <w:spacing w:val="-11"/>
          <w:w w:val="120"/>
        </w:rPr>
        <w:t> </w:t>
      </w:r>
      <w:r>
        <w:rPr>
          <w:color w:val="231F20"/>
          <w:w w:val="120"/>
        </w:rPr>
        <w:t>Évidem- ment, ce constat découlait uniquement de la perception des patients et non</w:t>
      </w:r>
      <w:r>
        <w:rPr>
          <w:color w:val="231F20"/>
          <w:spacing w:val="-8"/>
          <w:w w:val="120"/>
        </w:rPr>
        <w:t> </w:t>
      </w:r>
      <w:r>
        <w:rPr>
          <w:color w:val="231F20"/>
          <w:w w:val="120"/>
        </w:rPr>
        <w:t>d’une</w:t>
      </w:r>
      <w:r>
        <w:rPr>
          <w:color w:val="231F20"/>
          <w:spacing w:val="-8"/>
          <w:w w:val="120"/>
        </w:rPr>
        <w:t> </w:t>
      </w:r>
      <w:r>
        <w:rPr>
          <w:color w:val="231F20"/>
          <w:w w:val="120"/>
        </w:rPr>
        <w:t>constatation</w:t>
      </w:r>
      <w:r>
        <w:rPr>
          <w:color w:val="231F20"/>
          <w:spacing w:val="-8"/>
          <w:w w:val="120"/>
        </w:rPr>
        <w:t> </w:t>
      </w:r>
      <w:r>
        <w:rPr>
          <w:color w:val="231F20"/>
          <w:w w:val="120"/>
        </w:rPr>
        <w:t>objective;</w:t>
      </w:r>
      <w:r>
        <w:rPr>
          <w:color w:val="231F20"/>
          <w:spacing w:val="-8"/>
          <w:w w:val="120"/>
        </w:rPr>
        <w:t> </w:t>
      </w:r>
      <w:r>
        <w:rPr>
          <w:color w:val="231F20"/>
          <w:w w:val="120"/>
        </w:rPr>
        <w:t>il</w:t>
      </w:r>
      <w:r>
        <w:rPr>
          <w:color w:val="231F20"/>
          <w:spacing w:val="-8"/>
          <w:w w:val="120"/>
        </w:rPr>
        <w:t> </w:t>
      </w:r>
      <w:r>
        <w:rPr>
          <w:color w:val="231F20"/>
          <w:w w:val="120"/>
        </w:rPr>
        <w:t>était</w:t>
      </w:r>
      <w:r>
        <w:rPr>
          <w:color w:val="231F20"/>
          <w:spacing w:val="-8"/>
          <w:w w:val="120"/>
        </w:rPr>
        <w:t> </w:t>
      </w:r>
      <w:r>
        <w:rPr>
          <w:color w:val="231F20"/>
          <w:w w:val="120"/>
        </w:rPr>
        <w:t>donc</w:t>
      </w:r>
      <w:r>
        <w:rPr>
          <w:color w:val="231F20"/>
          <w:spacing w:val="-8"/>
          <w:w w:val="120"/>
        </w:rPr>
        <w:t> </w:t>
      </w:r>
      <w:r>
        <w:rPr>
          <w:color w:val="231F20"/>
          <w:w w:val="120"/>
        </w:rPr>
        <w:t>impossible</w:t>
      </w:r>
      <w:r>
        <w:rPr>
          <w:color w:val="231F20"/>
          <w:spacing w:val="-8"/>
          <w:w w:val="120"/>
        </w:rPr>
        <w:t> </w:t>
      </w:r>
      <w:r>
        <w:rPr>
          <w:color w:val="231F20"/>
          <w:w w:val="120"/>
        </w:rPr>
        <w:t>d’en</w:t>
      </w:r>
      <w:r>
        <w:rPr>
          <w:color w:val="231F20"/>
          <w:spacing w:val="-8"/>
          <w:w w:val="120"/>
        </w:rPr>
        <w:t> </w:t>
      </w:r>
      <w:r>
        <w:rPr>
          <w:color w:val="231F20"/>
          <w:w w:val="120"/>
        </w:rPr>
        <w:t>tirer</w:t>
      </w:r>
      <w:r>
        <w:rPr>
          <w:color w:val="231F20"/>
          <w:spacing w:val="-8"/>
          <w:w w:val="120"/>
        </w:rPr>
        <w:t> </w:t>
      </w:r>
      <w:r>
        <w:rPr>
          <w:color w:val="231F20"/>
          <w:w w:val="120"/>
        </w:rPr>
        <w:t>des </w:t>
      </w:r>
      <w:r>
        <w:rPr>
          <w:color w:val="231F20"/>
          <w:spacing w:val="-2"/>
          <w:w w:val="120"/>
        </w:rPr>
        <w:t>conclusions</w:t>
      </w:r>
      <w:r>
        <w:rPr>
          <w:color w:val="231F20"/>
          <w:spacing w:val="-6"/>
          <w:w w:val="120"/>
        </w:rPr>
        <w:t> </w:t>
      </w:r>
      <w:r>
        <w:rPr>
          <w:color w:val="231F20"/>
          <w:spacing w:val="-2"/>
          <w:w w:val="120"/>
        </w:rPr>
        <w:t>définitives.</w:t>
      </w:r>
      <w:r>
        <w:rPr>
          <w:color w:val="231F20"/>
          <w:spacing w:val="-6"/>
          <w:w w:val="120"/>
        </w:rPr>
        <w:t> </w:t>
      </w:r>
      <w:r>
        <w:rPr>
          <w:color w:val="231F20"/>
          <w:spacing w:val="-2"/>
          <w:w w:val="120"/>
        </w:rPr>
        <w:t>Pourtant,</w:t>
      </w:r>
      <w:r>
        <w:rPr>
          <w:color w:val="231F20"/>
          <w:spacing w:val="-6"/>
          <w:w w:val="120"/>
        </w:rPr>
        <w:t> </w:t>
      </w:r>
      <w:r>
        <w:rPr>
          <w:color w:val="231F20"/>
          <w:spacing w:val="-2"/>
          <w:w w:val="120"/>
        </w:rPr>
        <w:t>cette</w:t>
      </w:r>
      <w:r>
        <w:rPr>
          <w:color w:val="231F20"/>
          <w:spacing w:val="-6"/>
          <w:w w:val="120"/>
        </w:rPr>
        <w:t> </w:t>
      </w:r>
      <w:r>
        <w:rPr>
          <w:color w:val="231F20"/>
          <w:spacing w:val="-2"/>
          <w:w w:val="120"/>
        </w:rPr>
        <w:t>révélation</w:t>
      </w:r>
      <w:r>
        <w:rPr>
          <w:color w:val="231F20"/>
          <w:spacing w:val="-6"/>
          <w:w w:val="120"/>
        </w:rPr>
        <w:t> </w:t>
      </w:r>
      <w:r>
        <w:rPr>
          <w:color w:val="231F20"/>
          <w:spacing w:val="-2"/>
          <w:w w:val="120"/>
        </w:rPr>
        <w:t>a</w:t>
      </w:r>
      <w:r>
        <w:rPr>
          <w:color w:val="231F20"/>
          <w:spacing w:val="-6"/>
          <w:w w:val="120"/>
        </w:rPr>
        <w:t> </w:t>
      </w:r>
      <w:r>
        <w:rPr>
          <w:color w:val="231F20"/>
          <w:spacing w:val="-2"/>
          <w:w w:val="120"/>
        </w:rPr>
        <w:t>eu</w:t>
      </w:r>
      <w:r>
        <w:rPr>
          <w:color w:val="231F20"/>
          <w:spacing w:val="-6"/>
          <w:w w:val="120"/>
        </w:rPr>
        <w:t> </w:t>
      </w:r>
      <w:r>
        <w:rPr>
          <w:color w:val="231F20"/>
          <w:spacing w:val="-2"/>
          <w:w w:val="120"/>
        </w:rPr>
        <w:t>assez</w:t>
      </w:r>
      <w:r>
        <w:rPr>
          <w:color w:val="231F20"/>
          <w:spacing w:val="-6"/>
          <w:w w:val="120"/>
        </w:rPr>
        <w:t> </w:t>
      </w:r>
      <w:r>
        <w:rPr>
          <w:color w:val="231F20"/>
          <w:spacing w:val="-2"/>
          <w:w w:val="120"/>
        </w:rPr>
        <w:t>d’incidence sur</w:t>
      </w:r>
      <w:r>
        <w:rPr>
          <w:color w:val="231F20"/>
          <w:spacing w:val="-8"/>
          <w:w w:val="120"/>
        </w:rPr>
        <w:t> </w:t>
      </w:r>
      <w:r>
        <w:rPr>
          <w:color w:val="231F20"/>
          <w:spacing w:val="-2"/>
          <w:w w:val="120"/>
        </w:rPr>
        <w:t>lui</w:t>
      </w:r>
      <w:r>
        <w:rPr>
          <w:color w:val="231F20"/>
          <w:spacing w:val="-8"/>
          <w:w w:val="120"/>
        </w:rPr>
        <w:t> </w:t>
      </w:r>
      <w:r>
        <w:rPr>
          <w:color w:val="231F20"/>
          <w:spacing w:val="-2"/>
          <w:w w:val="120"/>
        </w:rPr>
        <w:t>pour</w:t>
      </w:r>
      <w:r>
        <w:rPr>
          <w:color w:val="231F20"/>
          <w:spacing w:val="-8"/>
          <w:w w:val="120"/>
        </w:rPr>
        <w:t> </w:t>
      </w:r>
      <w:r>
        <w:rPr>
          <w:color w:val="231F20"/>
          <w:spacing w:val="-2"/>
          <w:w w:val="120"/>
        </w:rPr>
        <w:t>qu’il</w:t>
      </w:r>
      <w:r>
        <w:rPr>
          <w:color w:val="231F20"/>
          <w:spacing w:val="-8"/>
          <w:w w:val="120"/>
        </w:rPr>
        <w:t> </w:t>
      </w:r>
      <w:r>
        <w:rPr>
          <w:color w:val="231F20"/>
          <w:spacing w:val="-2"/>
          <w:w w:val="120"/>
        </w:rPr>
        <w:t>consacre</w:t>
      </w:r>
      <w:r>
        <w:rPr>
          <w:color w:val="231F20"/>
          <w:spacing w:val="-8"/>
          <w:w w:val="120"/>
        </w:rPr>
        <w:t> </w:t>
      </w:r>
      <w:r>
        <w:rPr>
          <w:color w:val="231F20"/>
          <w:spacing w:val="-2"/>
          <w:w w:val="120"/>
        </w:rPr>
        <w:t>plus</w:t>
      </w:r>
      <w:r>
        <w:rPr>
          <w:color w:val="231F20"/>
          <w:spacing w:val="-8"/>
          <w:w w:val="120"/>
        </w:rPr>
        <w:t> </w:t>
      </w:r>
      <w:r>
        <w:rPr>
          <w:color w:val="231F20"/>
          <w:spacing w:val="-2"/>
          <w:w w:val="120"/>
        </w:rPr>
        <w:t>de</w:t>
      </w:r>
      <w:r>
        <w:rPr>
          <w:color w:val="231F20"/>
          <w:spacing w:val="-8"/>
          <w:w w:val="120"/>
        </w:rPr>
        <w:t> </w:t>
      </w:r>
      <w:r>
        <w:rPr>
          <w:color w:val="231F20"/>
          <w:spacing w:val="-2"/>
          <w:w w:val="120"/>
        </w:rPr>
        <w:t>40</w:t>
      </w:r>
      <w:r>
        <w:rPr>
          <w:color w:val="231F20"/>
          <w:spacing w:val="-8"/>
          <w:w w:val="120"/>
        </w:rPr>
        <w:t> </w:t>
      </w:r>
      <w:r>
        <w:rPr>
          <w:color w:val="231F20"/>
          <w:spacing w:val="-2"/>
          <w:w w:val="120"/>
        </w:rPr>
        <w:t>ans</w:t>
      </w:r>
      <w:r>
        <w:rPr>
          <w:color w:val="231F20"/>
          <w:spacing w:val="-8"/>
          <w:w w:val="120"/>
        </w:rPr>
        <w:t> </w:t>
      </w:r>
      <w:r>
        <w:rPr>
          <w:color w:val="231F20"/>
          <w:spacing w:val="-2"/>
          <w:w w:val="120"/>
        </w:rPr>
        <w:t>de</w:t>
      </w:r>
      <w:r>
        <w:rPr>
          <w:color w:val="231F20"/>
          <w:spacing w:val="-8"/>
          <w:w w:val="120"/>
        </w:rPr>
        <w:t> </w:t>
      </w:r>
      <w:r>
        <w:rPr>
          <w:color w:val="231F20"/>
          <w:spacing w:val="-2"/>
          <w:w w:val="120"/>
        </w:rPr>
        <w:t>sa</w:t>
      </w:r>
      <w:r>
        <w:rPr>
          <w:color w:val="231F20"/>
          <w:spacing w:val="-8"/>
          <w:w w:val="120"/>
        </w:rPr>
        <w:t> </w:t>
      </w:r>
      <w:r>
        <w:rPr>
          <w:color w:val="231F20"/>
          <w:spacing w:val="-2"/>
          <w:w w:val="120"/>
        </w:rPr>
        <w:t>vie</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recherche</w:t>
      </w:r>
      <w:r>
        <w:rPr>
          <w:color w:val="231F20"/>
          <w:spacing w:val="-8"/>
          <w:w w:val="120"/>
        </w:rPr>
        <w:t> </w:t>
      </w:r>
      <w:r>
        <w:rPr>
          <w:color w:val="231F20"/>
          <w:spacing w:val="-2"/>
          <w:w w:val="120"/>
        </w:rPr>
        <w:t>dans</w:t>
      </w:r>
      <w:r>
        <w:rPr>
          <w:color w:val="231F20"/>
          <w:spacing w:val="-8"/>
          <w:w w:val="120"/>
        </w:rPr>
        <w:t> </w:t>
      </w:r>
      <w:r>
        <w:rPr>
          <w:color w:val="231F20"/>
          <w:spacing w:val="-2"/>
          <w:w w:val="120"/>
        </w:rPr>
        <w:t>ce </w:t>
      </w:r>
      <w:r>
        <w:rPr>
          <w:color w:val="231F20"/>
          <w:w w:val="120"/>
        </w:rPr>
        <w:t>domaine. On peut résumer comme suit l’impulsion qu’a générée cette </w:t>
      </w:r>
      <w:r>
        <w:rPr>
          <w:color w:val="231F20"/>
          <w:w w:val="115"/>
        </w:rPr>
        <w:t>révélation:</w:t>
      </w:r>
      <w:r>
        <w:rPr>
          <w:color w:val="231F20"/>
          <w:spacing w:val="-9"/>
          <w:w w:val="115"/>
        </w:rPr>
        <w:t> </w:t>
      </w:r>
      <w:r>
        <w:rPr>
          <w:color w:val="231F20"/>
          <w:w w:val="115"/>
        </w:rPr>
        <w:t>le</w:t>
      </w:r>
      <w:r>
        <w:rPr>
          <w:color w:val="231F20"/>
          <w:spacing w:val="-9"/>
          <w:w w:val="115"/>
        </w:rPr>
        <w:t> </w:t>
      </w:r>
      <w:r>
        <w:rPr>
          <w:color w:val="231F20"/>
          <w:w w:val="115"/>
        </w:rPr>
        <w:t>travail</w:t>
      </w:r>
      <w:r>
        <w:rPr>
          <w:color w:val="231F20"/>
          <w:spacing w:val="-9"/>
          <w:w w:val="115"/>
        </w:rPr>
        <w:t> </w:t>
      </w:r>
      <w:r>
        <w:rPr>
          <w:color w:val="231F20"/>
          <w:w w:val="115"/>
        </w:rPr>
        <w:t>peut</w:t>
      </w:r>
      <w:r>
        <w:rPr>
          <w:color w:val="231F20"/>
          <w:spacing w:val="-9"/>
          <w:w w:val="115"/>
        </w:rPr>
        <w:t> </w:t>
      </w:r>
      <w:r>
        <w:rPr>
          <w:color w:val="231F20"/>
          <w:w w:val="115"/>
        </w:rPr>
        <w:t>avoir</w:t>
      </w:r>
      <w:r>
        <w:rPr>
          <w:color w:val="231F20"/>
          <w:spacing w:val="-9"/>
          <w:w w:val="115"/>
        </w:rPr>
        <w:t> </w:t>
      </w:r>
      <w:r>
        <w:rPr>
          <w:color w:val="231F20"/>
          <w:w w:val="115"/>
        </w:rPr>
        <w:t>une</w:t>
      </w:r>
      <w:r>
        <w:rPr>
          <w:color w:val="231F20"/>
          <w:spacing w:val="-9"/>
          <w:w w:val="115"/>
        </w:rPr>
        <w:t> </w:t>
      </w:r>
      <w:r>
        <w:rPr>
          <w:color w:val="231F20"/>
          <w:w w:val="115"/>
        </w:rPr>
        <w:t>valeur</w:t>
      </w:r>
      <w:r>
        <w:rPr>
          <w:color w:val="231F20"/>
          <w:spacing w:val="-9"/>
          <w:w w:val="115"/>
        </w:rPr>
        <w:t> </w:t>
      </w:r>
      <w:r>
        <w:rPr>
          <w:color w:val="231F20"/>
          <w:w w:val="115"/>
        </w:rPr>
        <w:t>positive</w:t>
      </w:r>
      <w:r>
        <w:rPr>
          <w:color w:val="231F20"/>
          <w:spacing w:val="-9"/>
          <w:w w:val="115"/>
        </w:rPr>
        <w:t> </w:t>
      </w:r>
      <w:r>
        <w:rPr>
          <w:color w:val="231F20"/>
          <w:w w:val="115"/>
        </w:rPr>
        <w:t>et</w:t>
      </w:r>
      <w:r>
        <w:rPr>
          <w:color w:val="231F20"/>
          <w:spacing w:val="-9"/>
          <w:w w:val="115"/>
        </w:rPr>
        <w:t> </w:t>
      </w:r>
      <w:r>
        <w:rPr>
          <w:color w:val="231F20"/>
          <w:w w:val="115"/>
        </w:rPr>
        <w:t>favoriser</w:t>
      </w:r>
      <w:r>
        <w:rPr>
          <w:color w:val="231F20"/>
          <w:spacing w:val="-9"/>
          <w:w w:val="115"/>
        </w:rPr>
        <w:t> </w:t>
      </w:r>
      <w:r>
        <w:rPr>
          <w:color w:val="231F20"/>
          <w:w w:val="115"/>
        </w:rPr>
        <w:t>le</w:t>
      </w:r>
      <w:r>
        <w:rPr>
          <w:color w:val="231F20"/>
          <w:spacing w:val="-9"/>
          <w:w w:val="115"/>
        </w:rPr>
        <w:t> </w:t>
      </w:r>
      <w:r>
        <w:rPr>
          <w:color w:val="231F20"/>
          <w:w w:val="115"/>
        </w:rPr>
        <w:t>bien-être </w:t>
      </w:r>
      <w:r>
        <w:rPr>
          <w:color w:val="231F20"/>
          <w:w w:val="120"/>
        </w:rPr>
        <w:t>personnel</w:t>
      </w:r>
      <w:r>
        <w:rPr>
          <w:color w:val="231F20"/>
          <w:spacing w:val="-13"/>
          <w:w w:val="120"/>
        </w:rPr>
        <w:t> </w:t>
      </w:r>
      <w:r>
        <w:rPr>
          <w:color w:val="231F20"/>
          <w:w w:val="120"/>
        </w:rPr>
        <w:t>(sur</w:t>
      </w:r>
      <w:r>
        <w:rPr>
          <w:color w:val="231F20"/>
          <w:spacing w:val="-13"/>
          <w:w w:val="120"/>
        </w:rPr>
        <w:t> </w:t>
      </w:r>
      <w:r>
        <w:rPr>
          <w:color w:val="231F20"/>
          <w:w w:val="120"/>
        </w:rPr>
        <w:t>les</w:t>
      </w:r>
      <w:r>
        <w:rPr>
          <w:color w:val="231F20"/>
          <w:spacing w:val="-13"/>
          <w:w w:val="120"/>
        </w:rPr>
        <w:t> </w:t>
      </w:r>
      <w:r>
        <w:rPr>
          <w:color w:val="231F20"/>
          <w:w w:val="120"/>
        </w:rPr>
        <w:t>plans</w:t>
      </w:r>
      <w:r>
        <w:rPr>
          <w:color w:val="231F20"/>
          <w:spacing w:val="-12"/>
          <w:w w:val="120"/>
        </w:rPr>
        <w:t> </w:t>
      </w:r>
      <w:r>
        <w:rPr>
          <w:color w:val="231F20"/>
          <w:w w:val="120"/>
        </w:rPr>
        <w:t>économique,</w:t>
      </w:r>
      <w:r>
        <w:rPr>
          <w:color w:val="231F20"/>
          <w:spacing w:val="-13"/>
          <w:w w:val="120"/>
        </w:rPr>
        <w:t> </w:t>
      </w:r>
      <w:r>
        <w:rPr>
          <w:color w:val="231F20"/>
          <w:w w:val="120"/>
        </w:rPr>
        <w:t>social</w:t>
      </w:r>
      <w:r>
        <w:rPr>
          <w:color w:val="231F20"/>
          <w:spacing w:val="-13"/>
          <w:w w:val="120"/>
        </w:rPr>
        <w:t> </w:t>
      </w:r>
      <w:r>
        <w:rPr>
          <w:color w:val="231F20"/>
          <w:w w:val="120"/>
        </w:rPr>
        <w:t>et</w:t>
      </w:r>
      <w:r>
        <w:rPr>
          <w:color w:val="231F20"/>
          <w:spacing w:val="-13"/>
          <w:w w:val="120"/>
        </w:rPr>
        <w:t> </w:t>
      </w:r>
      <w:r>
        <w:rPr>
          <w:color w:val="231F20"/>
          <w:w w:val="120"/>
        </w:rPr>
        <w:t>psychoémotionnel),</w:t>
      </w:r>
      <w:r>
        <w:rPr>
          <w:color w:val="231F20"/>
          <w:spacing w:val="-12"/>
          <w:w w:val="120"/>
        </w:rPr>
        <w:t> </w:t>
      </w:r>
      <w:r>
        <w:rPr>
          <w:color w:val="231F20"/>
          <w:w w:val="120"/>
        </w:rPr>
        <w:t>mais </w:t>
      </w:r>
      <w:r>
        <w:rPr>
          <w:color w:val="231F20"/>
          <w:w w:val="115"/>
        </w:rPr>
        <w:t>quand</w:t>
      </w:r>
      <w:r>
        <w:rPr>
          <w:color w:val="231F20"/>
          <w:spacing w:val="-6"/>
          <w:w w:val="115"/>
        </w:rPr>
        <w:t> </w:t>
      </w:r>
      <w:r>
        <w:rPr>
          <w:color w:val="231F20"/>
          <w:w w:val="115"/>
        </w:rPr>
        <w:t>tout</w:t>
      </w:r>
      <w:r>
        <w:rPr>
          <w:color w:val="231F20"/>
          <w:spacing w:val="-6"/>
          <w:w w:val="115"/>
        </w:rPr>
        <w:t> </w:t>
      </w:r>
      <w:r>
        <w:rPr>
          <w:color w:val="231F20"/>
          <w:w w:val="115"/>
        </w:rPr>
        <w:t>va</w:t>
      </w:r>
      <w:r>
        <w:rPr>
          <w:color w:val="231F20"/>
          <w:spacing w:val="-6"/>
          <w:w w:val="115"/>
        </w:rPr>
        <w:t> </w:t>
      </w:r>
      <w:r>
        <w:rPr>
          <w:color w:val="231F20"/>
          <w:w w:val="115"/>
        </w:rPr>
        <w:t>mal</w:t>
      </w:r>
      <w:r>
        <w:rPr>
          <w:color w:val="231F20"/>
          <w:spacing w:val="-6"/>
          <w:w w:val="115"/>
        </w:rPr>
        <w:t> </w:t>
      </w:r>
      <w:r>
        <w:rPr>
          <w:color w:val="231F20"/>
          <w:w w:val="115"/>
        </w:rPr>
        <w:t>au</w:t>
      </w:r>
      <w:r>
        <w:rPr>
          <w:color w:val="231F20"/>
          <w:spacing w:val="-6"/>
          <w:w w:val="115"/>
        </w:rPr>
        <w:t> </w:t>
      </w:r>
      <w:r>
        <w:rPr>
          <w:color w:val="231F20"/>
          <w:w w:val="115"/>
        </w:rPr>
        <w:t>travail,</w:t>
      </w:r>
      <w:r>
        <w:rPr>
          <w:color w:val="231F20"/>
          <w:spacing w:val="-6"/>
          <w:w w:val="115"/>
        </w:rPr>
        <w:t> </w:t>
      </w:r>
      <w:r>
        <w:rPr>
          <w:color w:val="231F20"/>
          <w:w w:val="115"/>
        </w:rPr>
        <w:t>l’effet</w:t>
      </w:r>
      <w:r>
        <w:rPr>
          <w:color w:val="231F20"/>
          <w:spacing w:val="-6"/>
          <w:w w:val="115"/>
        </w:rPr>
        <w:t> </w:t>
      </w:r>
      <w:r>
        <w:rPr>
          <w:color w:val="231F20"/>
          <w:w w:val="115"/>
        </w:rPr>
        <w:t>sur</w:t>
      </w:r>
      <w:r>
        <w:rPr>
          <w:color w:val="231F20"/>
          <w:spacing w:val="-6"/>
          <w:w w:val="115"/>
        </w:rPr>
        <w:t> </w:t>
      </w:r>
      <w:r>
        <w:rPr>
          <w:color w:val="231F20"/>
          <w:w w:val="115"/>
        </w:rPr>
        <w:t>la</w:t>
      </w:r>
      <w:r>
        <w:rPr>
          <w:color w:val="231F20"/>
          <w:spacing w:val="-6"/>
          <w:w w:val="115"/>
        </w:rPr>
        <w:t> </w:t>
      </w:r>
      <w:r>
        <w:rPr>
          <w:color w:val="231F20"/>
          <w:w w:val="115"/>
        </w:rPr>
        <w:t>santé</w:t>
      </w:r>
      <w:r>
        <w:rPr>
          <w:color w:val="231F20"/>
          <w:spacing w:val="-6"/>
          <w:w w:val="115"/>
        </w:rPr>
        <w:t> </w:t>
      </w:r>
      <w:r>
        <w:rPr>
          <w:color w:val="231F20"/>
          <w:w w:val="115"/>
        </w:rPr>
        <w:t>est</w:t>
      </w:r>
      <w:r>
        <w:rPr>
          <w:color w:val="231F20"/>
          <w:spacing w:val="-6"/>
          <w:w w:val="115"/>
        </w:rPr>
        <w:t> </w:t>
      </w:r>
      <w:r>
        <w:rPr>
          <w:color w:val="231F20"/>
          <w:w w:val="115"/>
        </w:rPr>
        <w:t>potentiellement</w:t>
      </w:r>
      <w:r>
        <w:rPr>
          <w:color w:val="231F20"/>
          <w:spacing w:val="-6"/>
          <w:w w:val="115"/>
        </w:rPr>
        <w:t> </w:t>
      </w:r>
      <w:r>
        <w:rPr>
          <w:color w:val="231F20"/>
          <w:w w:val="115"/>
        </w:rPr>
        <w:t>dévas- </w:t>
      </w:r>
      <w:r>
        <w:rPr>
          <w:color w:val="231F20"/>
          <w:w w:val="120"/>
        </w:rPr>
        <w:t>tateur.</w:t>
      </w:r>
      <w:r>
        <w:rPr>
          <w:color w:val="231F20"/>
          <w:spacing w:val="-3"/>
          <w:w w:val="120"/>
        </w:rPr>
        <w:t> </w:t>
      </w:r>
      <w:r>
        <w:rPr>
          <w:color w:val="231F20"/>
          <w:w w:val="120"/>
        </w:rPr>
        <w:t>Il</w:t>
      </w:r>
      <w:r>
        <w:rPr>
          <w:color w:val="231F20"/>
          <w:spacing w:val="-3"/>
          <w:w w:val="120"/>
        </w:rPr>
        <w:t> </w:t>
      </w:r>
      <w:r>
        <w:rPr>
          <w:color w:val="231F20"/>
          <w:w w:val="120"/>
        </w:rPr>
        <w:t>en</w:t>
      </w:r>
      <w:r>
        <w:rPr>
          <w:color w:val="231F20"/>
          <w:spacing w:val="-3"/>
          <w:w w:val="120"/>
        </w:rPr>
        <w:t> </w:t>
      </w:r>
      <w:r>
        <w:rPr>
          <w:color w:val="231F20"/>
          <w:w w:val="120"/>
        </w:rPr>
        <w:t>est</w:t>
      </w:r>
      <w:r>
        <w:rPr>
          <w:color w:val="231F20"/>
          <w:spacing w:val="-3"/>
          <w:w w:val="120"/>
        </w:rPr>
        <w:t> </w:t>
      </w:r>
      <w:r>
        <w:rPr>
          <w:color w:val="231F20"/>
          <w:w w:val="120"/>
        </w:rPr>
        <w:t>venu</w:t>
      </w:r>
      <w:r>
        <w:rPr>
          <w:color w:val="231F20"/>
          <w:spacing w:val="-3"/>
          <w:w w:val="120"/>
        </w:rPr>
        <w:t> </w:t>
      </w:r>
      <w:r>
        <w:rPr>
          <w:color w:val="231F20"/>
          <w:w w:val="120"/>
        </w:rPr>
        <w:t>à</w:t>
      </w:r>
      <w:r>
        <w:rPr>
          <w:color w:val="231F20"/>
          <w:spacing w:val="-3"/>
          <w:w w:val="120"/>
        </w:rPr>
        <w:t> </w:t>
      </w:r>
      <w:r>
        <w:rPr>
          <w:color w:val="231F20"/>
          <w:w w:val="120"/>
        </w:rPr>
        <w:t>la</w:t>
      </w:r>
      <w:r>
        <w:rPr>
          <w:color w:val="231F20"/>
          <w:spacing w:val="-3"/>
          <w:w w:val="120"/>
        </w:rPr>
        <w:t> </w:t>
      </w:r>
      <w:r>
        <w:rPr>
          <w:color w:val="231F20"/>
          <w:w w:val="120"/>
        </w:rPr>
        <w:t>conclusion</w:t>
      </w:r>
      <w:r>
        <w:rPr>
          <w:color w:val="231F20"/>
          <w:spacing w:val="-3"/>
          <w:w w:val="120"/>
        </w:rPr>
        <w:t> </w:t>
      </w:r>
      <w:r>
        <w:rPr>
          <w:color w:val="231F20"/>
          <w:w w:val="120"/>
        </w:rPr>
        <w:t>qu’une</w:t>
      </w:r>
      <w:r>
        <w:rPr>
          <w:color w:val="231F20"/>
          <w:spacing w:val="-3"/>
          <w:w w:val="120"/>
        </w:rPr>
        <w:t> </w:t>
      </w:r>
      <w:r>
        <w:rPr>
          <w:color w:val="231F20"/>
          <w:w w:val="120"/>
        </w:rPr>
        <w:t>nouvelle</w:t>
      </w:r>
      <w:r>
        <w:rPr>
          <w:color w:val="231F20"/>
          <w:spacing w:val="-3"/>
          <w:w w:val="120"/>
        </w:rPr>
        <w:t> </w:t>
      </w:r>
      <w:r>
        <w:rPr>
          <w:color w:val="231F20"/>
          <w:w w:val="120"/>
        </w:rPr>
        <w:t>forme</w:t>
      </w:r>
      <w:r>
        <w:rPr>
          <w:color w:val="231F20"/>
          <w:spacing w:val="-3"/>
          <w:w w:val="120"/>
        </w:rPr>
        <w:t> </w:t>
      </w:r>
      <w:r>
        <w:rPr>
          <w:color w:val="231F20"/>
          <w:w w:val="120"/>
        </w:rPr>
        <w:t>de</w:t>
      </w:r>
      <w:r>
        <w:rPr>
          <w:color w:val="231F20"/>
          <w:spacing w:val="-3"/>
          <w:w w:val="120"/>
        </w:rPr>
        <w:t> </w:t>
      </w:r>
      <w:r>
        <w:rPr>
          <w:color w:val="231F20"/>
          <w:w w:val="120"/>
        </w:rPr>
        <w:t>toxicité </w:t>
      </w:r>
      <w:r>
        <w:rPr>
          <w:color w:val="231F20"/>
          <w:w w:val="115"/>
        </w:rPr>
        <w:t>est</w:t>
      </w:r>
      <w:r>
        <w:rPr>
          <w:color w:val="231F20"/>
          <w:spacing w:val="-7"/>
          <w:w w:val="115"/>
        </w:rPr>
        <w:t> </w:t>
      </w:r>
      <w:r>
        <w:rPr>
          <w:color w:val="231F20"/>
          <w:w w:val="115"/>
        </w:rPr>
        <w:t>apparue</w:t>
      </w:r>
      <w:r>
        <w:rPr>
          <w:color w:val="231F20"/>
          <w:spacing w:val="-7"/>
          <w:w w:val="115"/>
        </w:rPr>
        <w:t> </w:t>
      </w:r>
      <w:r>
        <w:rPr>
          <w:color w:val="231F20"/>
          <w:w w:val="115"/>
        </w:rPr>
        <w:t>au</w:t>
      </w:r>
      <w:r>
        <w:rPr>
          <w:color w:val="231F20"/>
          <w:spacing w:val="-7"/>
          <w:w w:val="115"/>
        </w:rPr>
        <w:t> </w:t>
      </w:r>
      <w:r>
        <w:rPr>
          <w:color w:val="231F20"/>
          <w:w w:val="115"/>
        </w:rPr>
        <w:t>XX</w:t>
      </w:r>
      <w:r>
        <w:rPr>
          <w:color w:val="231F20"/>
          <w:w w:val="115"/>
          <w:position w:val="6"/>
          <w:sz w:val="10"/>
        </w:rPr>
        <w:t>e</w:t>
      </w:r>
      <w:r>
        <w:rPr>
          <w:color w:val="231F20"/>
          <w:spacing w:val="13"/>
          <w:w w:val="115"/>
          <w:position w:val="6"/>
          <w:sz w:val="10"/>
        </w:rPr>
        <w:t> </w:t>
      </w:r>
      <w:r>
        <w:rPr>
          <w:color w:val="231F20"/>
          <w:w w:val="115"/>
        </w:rPr>
        <w:t>siècle;</w:t>
      </w:r>
      <w:r>
        <w:rPr>
          <w:color w:val="231F20"/>
          <w:spacing w:val="-7"/>
          <w:w w:val="115"/>
        </w:rPr>
        <w:t> </w:t>
      </w:r>
      <w:r>
        <w:rPr>
          <w:color w:val="231F20"/>
          <w:w w:val="115"/>
        </w:rPr>
        <w:t>elle</w:t>
      </w:r>
      <w:r>
        <w:rPr>
          <w:color w:val="231F20"/>
          <w:spacing w:val="-7"/>
          <w:w w:val="115"/>
        </w:rPr>
        <w:t> </w:t>
      </w:r>
      <w:r>
        <w:rPr>
          <w:color w:val="231F20"/>
          <w:w w:val="115"/>
        </w:rPr>
        <w:t>est</w:t>
      </w:r>
      <w:r>
        <w:rPr>
          <w:color w:val="231F20"/>
          <w:spacing w:val="-7"/>
          <w:w w:val="115"/>
        </w:rPr>
        <w:t> </w:t>
      </w:r>
      <w:r>
        <w:rPr>
          <w:color w:val="231F20"/>
          <w:w w:val="115"/>
        </w:rPr>
        <w:t>incolore</w:t>
      </w:r>
      <w:r>
        <w:rPr>
          <w:color w:val="231F20"/>
          <w:spacing w:val="-7"/>
          <w:w w:val="115"/>
        </w:rPr>
        <w:t> </w:t>
      </w:r>
      <w:r>
        <w:rPr>
          <w:color w:val="231F20"/>
          <w:w w:val="115"/>
        </w:rPr>
        <w:t>et</w:t>
      </w:r>
      <w:r>
        <w:rPr>
          <w:color w:val="231F20"/>
          <w:spacing w:val="-7"/>
          <w:w w:val="115"/>
        </w:rPr>
        <w:t> </w:t>
      </w:r>
      <w:r>
        <w:rPr>
          <w:color w:val="231F20"/>
          <w:w w:val="115"/>
        </w:rPr>
        <w:t>inodore,</w:t>
      </w:r>
      <w:r>
        <w:rPr>
          <w:color w:val="231F20"/>
          <w:spacing w:val="-7"/>
          <w:w w:val="115"/>
        </w:rPr>
        <w:t> </w:t>
      </w:r>
      <w:r>
        <w:rPr>
          <w:color w:val="231F20"/>
          <w:w w:val="115"/>
        </w:rPr>
        <w:t>mais</w:t>
      </w:r>
      <w:r>
        <w:rPr>
          <w:color w:val="231F20"/>
          <w:spacing w:val="-7"/>
          <w:w w:val="115"/>
        </w:rPr>
        <w:t> </w:t>
      </w:r>
      <w:r>
        <w:rPr>
          <w:color w:val="231F20"/>
          <w:w w:val="115"/>
        </w:rPr>
        <w:t>elle</w:t>
      </w:r>
      <w:r>
        <w:rPr>
          <w:color w:val="231F20"/>
          <w:spacing w:val="-7"/>
          <w:w w:val="115"/>
        </w:rPr>
        <w:t> </w:t>
      </w:r>
      <w:r>
        <w:rPr>
          <w:color w:val="231F20"/>
          <w:w w:val="115"/>
        </w:rPr>
        <w:t>peut</w:t>
      </w:r>
      <w:r>
        <w:rPr>
          <w:color w:val="231F20"/>
          <w:spacing w:val="-7"/>
          <w:w w:val="115"/>
        </w:rPr>
        <w:t> </w:t>
      </w:r>
      <w:r>
        <w:rPr>
          <w:color w:val="231F20"/>
          <w:w w:val="115"/>
        </w:rPr>
        <w:t>avoir </w:t>
      </w:r>
      <w:r>
        <w:rPr>
          <w:color w:val="231F20"/>
          <w:spacing w:val="-2"/>
          <w:w w:val="120"/>
        </w:rPr>
        <w:t>un</w:t>
      </w:r>
      <w:r>
        <w:rPr>
          <w:color w:val="231F20"/>
          <w:spacing w:val="-7"/>
          <w:w w:val="120"/>
        </w:rPr>
        <w:t> </w:t>
      </w:r>
      <w:r>
        <w:rPr>
          <w:color w:val="231F20"/>
          <w:spacing w:val="-2"/>
          <w:w w:val="120"/>
        </w:rPr>
        <w:t>effet</w:t>
      </w:r>
      <w:r>
        <w:rPr>
          <w:color w:val="231F20"/>
          <w:spacing w:val="-7"/>
          <w:w w:val="120"/>
        </w:rPr>
        <w:t> </w:t>
      </w:r>
      <w:r>
        <w:rPr>
          <w:color w:val="231F20"/>
          <w:spacing w:val="-2"/>
          <w:w w:val="120"/>
        </w:rPr>
        <w:t>cumulatif</w:t>
      </w:r>
      <w:r>
        <w:rPr>
          <w:color w:val="231F20"/>
          <w:spacing w:val="-7"/>
          <w:w w:val="120"/>
        </w:rPr>
        <w:t> </w:t>
      </w:r>
      <w:r>
        <w:rPr>
          <w:color w:val="231F20"/>
          <w:spacing w:val="-2"/>
          <w:w w:val="120"/>
        </w:rPr>
        <w:t>très</w:t>
      </w:r>
      <w:r>
        <w:rPr>
          <w:color w:val="231F20"/>
          <w:spacing w:val="-7"/>
          <w:w w:val="120"/>
        </w:rPr>
        <w:t> </w:t>
      </w:r>
      <w:r>
        <w:rPr>
          <w:color w:val="231F20"/>
          <w:spacing w:val="-2"/>
          <w:w w:val="120"/>
        </w:rPr>
        <w:t>nocif</w:t>
      </w:r>
      <w:r>
        <w:rPr>
          <w:color w:val="231F20"/>
          <w:spacing w:val="-7"/>
          <w:w w:val="120"/>
        </w:rPr>
        <w:t> </w:t>
      </w:r>
      <w:r>
        <w:rPr>
          <w:color w:val="231F20"/>
          <w:spacing w:val="-2"/>
          <w:w w:val="120"/>
        </w:rPr>
        <w:t>sur</w:t>
      </w:r>
      <w:r>
        <w:rPr>
          <w:color w:val="231F20"/>
          <w:spacing w:val="-7"/>
          <w:w w:val="120"/>
        </w:rPr>
        <w:t> </w:t>
      </w:r>
      <w:r>
        <w:rPr>
          <w:color w:val="231F20"/>
          <w:spacing w:val="-2"/>
          <w:w w:val="120"/>
        </w:rPr>
        <w:t>la</w:t>
      </w:r>
      <w:r>
        <w:rPr>
          <w:color w:val="231F20"/>
          <w:spacing w:val="-7"/>
          <w:w w:val="120"/>
        </w:rPr>
        <w:t> </w:t>
      </w:r>
      <w:r>
        <w:rPr>
          <w:color w:val="231F20"/>
          <w:spacing w:val="-2"/>
          <w:w w:val="120"/>
        </w:rPr>
        <w:t>santé</w:t>
      </w:r>
      <w:r>
        <w:rPr>
          <w:color w:val="231F20"/>
          <w:spacing w:val="-7"/>
          <w:w w:val="120"/>
        </w:rPr>
        <w:t> </w:t>
      </w:r>
      <w:r>
        <w:rPr>
          <w:color w:val="231F20"/>
          <w:spacing w:val="-2"/>
          <w:w w:val="120"/>
        </w:rPr>
        <w:t>individuelle</w:t>
      </w:r>
      <w:r>
        <w:rPr>
          <w:color w:val="231F20"/>
          <w:spacing w:val="-7"/>
          <w:w w:val="120"/>
        </w:rPr>
        <w:t> </w:t>
      </w:r>
      <w:r>
        <w:rPr>
          <w:color w:val="231F20"/>
          <w:spacing w:val="-2"/>
          <w:w w:val="120"/>
        </w:rPr>
        <w:t>et</w:t>
      </w:r>
      <w:r>
        <w:rPr>
          <w:color w:val="231F20"/>
          <w:spacing w:val="-7"/>
          <w:w w:val="120"/>
        </w:rPr>
        <w:t> </w:t>
      </w:r>
      <w:r>
        <w:rPr>
          <w:color w:val="231F20"/>
          <w:spacing w:val="-2"/>
          <w:w w:val="120"/>
        </w:rPr>
        <w:t>le</w:t>
      </w:r>
      <w:r>
        <w:rPr>
          <w:color w:val="231F20"/>
          <w:spacing w:val="-7"/>
          <w:w w:val="120"/>
        </w:rPr>
        <w:t> </w:t>
      </w:r>
      <w:r>
        <w:rPr>
          <w:color w:val="231F20"/>
          <w:spacing w:val="-2"/>
          <w:w w:val="120"/>
        </w:rPr>
        <w:t>bien-être</w:t>
      </w:r>
      <w:r>
        <w:rPr>
          <w:color w:val="231F20"/>
          <w:spacing w:val="-7"/>
          <w:w w:val="120"/>
        </w:rPr>
        <w:t> </w:t>
      </w:r>
      <w:r>
        <w:rPr>
          <w:color w:val="231F20"/>
          <w:spacing w:val="-2"/>
          <w:w w:val="120"/>
        </w:rPr>
        <w:t>orga- </w:t>
      </w:r>
      <w:r>
        <w:rPr>
          <w:color w:val="231F20"/>
          <w:w w:val="120"/>
        </w:rPr>
        <w:t>nisationnel.</w:t>
      </w:r>
      <w:r>
        <w:rPr>
          <w:color w:val="231F20"/>
          <w:spacing w:val="-13"/>
          <w:w w:val="120"/>
        </w:rPr>
        <w:t> </w:t>
      </w:r>
      <w:r>
        <w:rPr>
          <w:color w:val="231F20"/>
          <w:w w:val="120"/>
        </w:rPr>
        <w:t>Ce</w:t>
      </w:r>
      <w:r>
        <w:rPr>
          <w:color w:val="231F20"/>
          <w:spacing w:val="-13"/>
          <w:w w:val="120"/>
        </w:rPr>
        <w:t> </w:t>
      </w:r>
      <w:r>
        <w:rPr>
          <w:color w:val="231F20"/>
          <w:w w:val="120"/>
        </w:rPr>
        <w:t>constat</w:t>
      </w:r>
      <w:r>
        <w:rPr>
          <w:color w:val="231F20"/>
          <w:spacing w:val="-13"/>
          <w:w w:val="120"/>
        </w:rPr>
        <w:t> </w:t>
      </w:r>
      <w:r>
        <w:rPr>
          <w:color w:val="231F20"/>
          <w:w w:val="120"/>
        </w:rPr>
        <w:t>a</w:t>
      </w:r>
      <w:r>
        <w:rPr>
          <w:color w:val="231F20"/>
          <w:spacing w:val="-12"/>
          <w:w w:val="120"/>
        </w:rPr>
        <w:t> </w:t>
      </w:r>
      <w:r>
        <w:rPr>
          <w:color w:val="231F20"/>
          <w:w w:val="120"/>
        </w:rPr>
        <w:t>suscité</w:t>
      </w:r>
      <w:r>
        <w:rPr>
          <w:color w:val="231F20"/>
          <w:spacing w:val="-13"/>
          <w:w w:val="120"/>
        </w:rPr>
        <w:t> </w:t>
      </w:r>
      <w:r>
        <w:rPr>
          <w:color w:val="231F20"/>
          <w:w w:val="120"/>
        </w:rPr>
        <w:t>un</w:t>
      </w:r>
      <w:r>
        <w:rPr>
          <w:color w:val="231F20"/>
          <w:spacing w:val="-13"/>
          <w:w w:val="120"/>
        </w:rPr>
        <w:t> </w:t>
      </w:r>
      <w:r>
        <w:rPr>
          <w:color w:val="231F20"/>
          <w:w w:val="120"/>
        </w:rPr>
        <w:t>nouvel</w:t>
      </w:r>
      <w:r>
        <w:rPr>
          <w:color w:val="231F20"/>
          <w:spacing w:val="-13"/>
          <w:w w:val="120"/>
        </w:rPr>
        <w:t> </w:t>
      </w:r>
      <w:r>
        <w:rPr>
          <w:color w:val="231F20"/>
          <w:w w:val="120"/>
        </w:rPr>
        <w:t>intérêt</w:t>
      </w:r>
      <w:r>
        <w:rPr>
          <w:color w:val="231F20"/>
          <w:spacing w:val="-12"/>
          <w:w w:val="120"/>
        </w:rPr>
        <w:t> </w:t>
      </w:r>
      <w:r>
        <w:rPr>
          <w:color w:val="231F20"/>
          <w:w w:val="120"/>
        </w:rPr>
        <w:t>dans</w:t>
      </w:r>
      <w:r>
        <w:rPr>
          <w:color w:val="231F20"/>
          <w:spacing w:val="-13"/>
          <w:w w:val="120"/>
        </w:rPr>
        <w:t> </w:t>
      </w:r>
      <w:r>
        <w:rPr>
          <w:color w:val="231F20"/>
          <w:w w:val="120"/>
        </w:rPr>
        <w:t>un</w:t>
      </w:r>
      <w:r>
        <w:rPr>
          <w:color w:val="231F20"/>
          <w:spacing w:val="-13"/>
          <w:w w:val="120"/>
        </w:rPr>
        <w:t> </w:t>
      </w:r>
      <w:r>
        <w:rPr>
          <w:color w:val="231F20"/>
          <w:w w:val="120"/>
        </w:rPr>
        <w:t>domaine</w:t>
      </w:r>
      <w:r>
        <w:rPr>
          <w:color w:val="231F20"/>
          <w:spacing w:val="-13"/>
          <w:w w:val="120"/>
        </w:rPr>
        <w:t> </w:t>
      </w:r>
      <w:r>
        <w:rPr>
          <w:color w:val="231F20"/>
          <w:w w:val="120"/>
        </w:rPr>
        <w:t>pro- </w:t>
      </w:r>
      <w:r>
        <w:rPr>
          <w:color w:val="231F20"/>
          <w:w w:val="115"/>
        </w:rPr>
        <w:t>fessionnel</w:t>
      </w:r>
      <w:r>
        <w:rPr>
          <w:color w:val="231F20"/>
          <w:spacing w:val="-2"/>
          <w:w w:val="115"/>
        </w:rPr>
        <w:t> </w:t>
      </w:r>
      <w:r>
        <w:rPr>
          <w:color w:val="231F20"/>
          <w:w w:val="115"/>
        </w:rPr>
        <w:t>qu’on a appelé la «</w:t>
      </w:r>
      <w:r>
        <w:rPr>
          <w:color w:val="231F20"/>
          <w:spacing w:val="-13"/>
          <w:w w:val="115"/>
        </w:rPr>
        <w:t> </w:t>
      </w:r>
      <w:r>
        <w:rPr>
          <w:color w:val="231F20"/>
          <w:w w:val="115"/>
        </w:rPr>
        <w:t>psychotoxicologie du travail</w:t>
      </w:r>
      <w:r>
        <w:rPr>
          <w:color w:val="231F20"/>
          <w:spacing w:val="-13"/>
          <w:w w:val="115"/>
        </w:rPr>
        <w:t> </w:t>
      </w:r>
      <w:r>
        <w:rPr>
          <w:color w:val="231F20"/>
          <w:w w:val="115"/>
        </w:rPr>
        <w:t>». Après ses </w:t>
      </w:r>
      <w:r>
        <w:rPr>
          <w:color w:val="231F20"/>
          <w:w w:val="120"/>
        </w:rPr>
        <w:t>études doctorales au Minnesota, il s’est joint à l’équipe internationale </w:t>
      </w:r>
      <w:r>
        <w:rPr>
          <w:color w:val="231F20"/>
          <w:w w:val="115"/>
        </w:rPr>
        <w:t>dirigée</w:t>
      </w:r>
      <w:r>
        <w:rPr>
          <w:color w:val="231F20"/>
          <w:spacing w:val="-8"/>
          <w:w w:val="115"/>
        </w:rPr>
        <w:t> </w:t>
      </w:r>
      <w:r>
        <w:rPr>
          <w:color w:val="231F20"/>
          <w:w w:val="115"/>
        </w:rPr>
        <w:t>par</w:t>
      </w:r>
      <w:r>
        <w:rPr>
          <w:color w:val="231F20"/>
          <w:spacing w:val="-8"/>
          <w:w w:val="115"/>
        </w:rPr>
        <w:t> </w:t>
      </w:r>
      <w:r>
        <w:rPr>
          <w:color w:val="231F20"/>
          <w:w w:val="115"/>
        </w:rPr>
        <w:t>Hans</w:t>
      </w:r>
      <w:r>
        <w:rPr>
          <w:color w:val="231F20"/>
          <w:spacing w:val="-8"/>
          <w:w w:val="115"/>
        </w:rPr>
        <w:t> </w:t>
      </w:r>
      <w:r>
        <w:rPr>
          <w:color w:val="231F20"/>
          <w:w w:val="115"/>
        </w:rPr>
        <w:t>Selye</w:t>
      </w:r>
      <w:r>
        <w:rPr>
          <w:color w:val="231F20"/>
          <w:spacing w:val="-8"/>
          <w:w w:val="115"/>
        </w:rPr>
        <w:t> </w:t>
      </w:r>
      <w:r>
        <w:rPr>
          <w:color w:val="231F20"/>
          <w:w w:val="115"/>
        </w:rPr>
        <w:t>à</w:t>
      </w:r>
      <w:r>
        <w:rPr>
          <w:color w:val="231F20"/>
          <w:spacing w:val="-8"/>
          <w:w w:val="115"/>
        </w:rPr>
        <w:t> </w:t>
      </w:r>
      <w:r>
        <w:rPr>
          <w:color w:val="231F20"/>
          <w:w w:val="115"/>
        </w:rPr>
        <w:t>Montréal.</w:t>
      </w:r>
      <w:r>
        <w:rPr>
          <w:color w:val="231F20"/>
          <w:spacing w:val="-8"/>
          <w:w w:val="115"/>
        </w:rPr>
        <w:t> </w:t>
      </w:r>
      <w:r>
        <w:rPr>
          <w:color w:val="231F20"/>
          <w:w w:val="115"/>
        </w:rPr>
        <w:t>À</w:t>
      </w:r>
      <w:r>
        <w:rPr>
          <w:color w:val="231F20"/>
          <w:spacing w:val="-8"/>
          <w:w w:val="115"/>
        </w:rPr>
        <w:t> </w:t>
      </w:r>
      <w:r>
        <w:rPr>
          <w:color w:val="231F20"/>
          <w:w w:val="115"/>
        </w:rPr>
        <w:t>cette</w:t>
      </w:r>
      <w:r>
        <w:rPr>
          <w:color w:val="231F20"/>
          <w:spacing w:val="-8"/>
          <w:w w:val="115"/>
        </w:rPr>
        <w:t> </w:t>
      </w:r>
      <w:r>
        <w:rPr>
          <w:color w:val="231F20"/>
          <w:w w:val="115"/>
        </w:rPr>
        <w:t>époque,</w:t>
      </w:r>
      <w:r>
        <w:rPr>
          <w:color w:val="231F20"/>
          <w:spacing w:val="-8"/>
          <w:w w:val="115"/>
        </w:rPr>
        <w:t> </w:t>
      </w:r>
      <w:r>
        <w:rPr>
          <w:color w:val="231F20"/>
          <w:w w:val="115"/>
        </w:rPr>
        <w:t>le</w:t>
      </w:r>
      <w:r>
        <w:rPr>
          <w:color w:val="231F20"/>
          <w:spacing w:val="-8"/>
          <w:w w:val="115"/>
        </w:rPr>
        <w:t> </w:t>
      </w:r>
      <w:r>
        <w:rPr>
          <w:color w:val="231F20"/>
          <w:w w:val="115"/>
        </w:rPr>
        <w:t>D</w:t>
      </w:r>
      <w:r>
        <w:rPr>
          <w:color w:val="231F20"/>
          <w:w w:val="115"/>
          <w:position w:val="6"/>
          <w:sz w:val="10"/>
        </w:rPr>
        <w:t>r</w:t>
      </w:r>
      <w:r>
        <w:rPr>
          <w:color w:val="231F20"/>
          <w:spacing w:val="13"/>
          <w:w w:val="115"/>
          <w:position w:val="6"/>
          <w:sz w:val="10"/>
        </w:rPr>
        <w:t> </w:t>
      </w:r>
      <w:r>
        <w:rPr>
          <w:color w:val="231F20"/>
          <w:w w:val="115"/>
        </w:rPr>
        <w:t>Selye</w:t>
      </w:r>
      <w:r>
        <w:rPr>
          <w:color w:val="231F20"/>
          <w:spacing w:val="-8"/>
          <w:w w:val="115"/>
        </w:rPr>
        <w:t> </w:t>
      </w:r>
      <w:r>
        <w:rPr>
          <w:color w:val="231F20"/>
          <w:w w:val="115"/>
        </w:rPr>
        <w:t>était</w:t>
      </w:r>
      <w:r>
        <w:rPr>
          <w:color w:val="231F20"/>
          <w:spacing w:val="-8"/>
          <w:w w:val="115"/>
        </w:rPr>
        <w:t> </w:t>
      </w:r>
      <w:r>
        <w:rPr>
          <w:color w:val="231F20"/>
          <w:w w:val="115"/>
        </w:rPr>
        <w:t>consi- </w:t>
      </w:r>
      <w:r>
        <w:rPr>
          <w:color w:val="231F20"/>
          <w:w w:val="120"/>
        </w:rPr>
        <w:t>déré</w:t>
      </w:r>
      <w:r>
        <w:rPr>
          <w:color w:val="231F20"/>
          <w:spacing w:val="-13"/>
          <w:w w:val="120"/>
        </w:rPr>
        <w:t> </w:t>
      </w:r>
      <w:r>
        <w:rPr>
          <w:color w:val="231F20"/>
          <w:w w:val="120"/>
        </w:rPr>
        <w:t>comme</w:t>
      </w:r>
      <w:r>
        <w:rPr>
          <w:color w:val="231F20"/>
          <w:spacing w:val="-13"/>
          <w:w w:val="120"/>
        </w:rPr>
        <w:t> </w:t>
      </w:r>
      <w:r>
        <w:rPr>
          <w:color w:val="231F20"/>
          <w:w w:val="120"/>
        </w:rPr>
        <w:t>le</w:t>
      </w:r>
      <w:r>
        <w:rPr>
          <w:color w:val="231F20"/>
          <w:spacing w:val="-12"/>
          <w:w w:val="120"/>
        </w:rPr>
        <w:t> </w:t>
      </w:r>
      <w:r>
        <w:rPr>
          <w:color w:val="231F20"/>
          <w:w w:val="120"/>
        </w:rPr>
        <w:t>«</w:t>
      </w:r>
      <w:r>
        <w:rPr>
          <w:color w:val="231F20"/>
          <w:spacing w:val="-13"/>
          <w:w w:val="120"/>
        </w:rPr>
        <w:t> </w:t>
      </w:r>
      <w:r>
        <w:rPr>
          <w:color w:val="231F20"/>
          <w:w w:val="120"/>
        </w:rPr>
        <w:t>gourou»</w:t>
      </w:r>
      <w:r>
        <w:rPr>
          <w:color w:val="231F20"/>
          <w:spacing w:val="-6"/>
          <w:w w:val="120"/>
        </w:rPr>
        <w:t> </w:t>
      </w:r>
      <w:r>
        <w:rPr>
          <w:color w:val="231F20"/>
          <w:w w:val="120"/>
        </w:rPr>
        <w:t>du</w:t>
      </w:r>
      <w:r>
        <w:rPr>
          <w:color w:val="231F20"/>
          <w:spacing w:val="-6"/>
          <w:w w:val="120"/>
        </w:rPr>
        <w:t> </w:t>
      </w:r>
      <w:r>
        <w:rPr>
          <w:color w:val="231F20"/>
          <w:w w:val="120"/>
        </w:rPr>
        <w:t>domaine</w:t>
      </w:r>
      <w:r>
        <w:rPr>
          <w:color w:val="231F20"/>
          <w:spacing w:val="-6"/>
          <w:w w:val="120"/>
        </w:rPr>
        <w:t> </w:t>
      </w:r>
      <w:r>
        <w:rPr>
          <w:color w:val="231F20"/>
          <w:w w:val="120"/>
        </w:rPr>
        <w:t>du</w:t>
      </w:r>
      <w:r>
        <w:rPr>
          <w:color w:val="231F20"/>
          <w:spacing w:val="-6"/>
          <w:w w:val="120"/>
        </w:rPr>
        <w:t> </w:t>
      </w:r>
      <w:r>
        <w:rPr>
          <w:color w:val="231F20"/>
          <w:w w:val="120"/>
        </w:rPr>
        <w:t>stress;</w:t>
      </w:r>
      <w:r>
        <w:rPr>
          <w:color w:val="231F20"/>
          <w:spacing w:val="-6"/>
          <w:w w:val="120"/>
        </w:rPr>
        <w:t> </w:t>
      </w:r>
      <w:r>
        <w:rPr>
          <w:color w:val="231F20"/>
          <w:w w:val="120"/>
        </w:rPr>
        <w:t>on</w:t>
      </w:r>
      <w:r>
        <w:rPr>
          <w:color w:val="231F20"/>
          <w:spacing w:val="-6"/>
          <w:w w:val="120"/>
        </w:rPr>
        <w:t> </w:t>
      </w:r>
      <w:r>
        <w:rPr>
          <w:color w:val="231F20"/>
          <w:w w:val="120"/>
        </w:rPr>
        <w:t>l’appelait</w:t>
      </w:r>
      <w:r>
        <w:rPr>
          <w:color w:val="231F20"/>
          <w:spacing w:val="-6"/>
          <w:w w:val="120"/>
        </w:rPr>
        <w:t> </w:t>
      </w:r>
      <w:r>
        <w:rPr>
          <w:color w:val="231F20"/>
          <w:w w:val="120"/>
        </w:rPr>
        <w:t>d’ailleurs souvent</w:t>
      </w:r>
      <w:r>
        <w:rPr>
          <w:color w:val="231F20"/>
          <w:spacing w:val="-13"/>
          <w:w w:val="120"/>
        </w:rPr>
        <w:t> </w:t>
      </w:r>
      <w:r>
        <w:rPr>
          <w:color w:val="231F20"/>
          <w:w w:val="120"/>
        </w:rPr>
        <w:t>«</w:t>
      </w:r>
      <w:r>
        <w:rPr>
          <w:color w:val="231F20"/>
          <w:spacing w:val="-13"/>
          <w:w w:val="120"/>
        </w:rPr>
        <w:t> </w:t>
      </w:r>
      <w:r>
        <w:rPr>
          <w:color w:val="231F20"/>
          <w:w w:val="120"/>
        </w:rPr>
        <w:t>le</w:t>
      </w:r>
      <w:r>
        <w:rPr>
          <w:color w:val="231F20"/>
          <w:spacing w:val="-13"/>
          <w:w w:val="120"/>
        </w:rPr>
        <w:t> </w:t>
      </w:r>
      <w:r>
        <w:rPr>
          <w:color w:val="231F20"/>
          <w:w w:val="120"/>
        </w:rPr>
        <w:t>père»</w:t>
      </w:r>
      <w:r>
        <w:rPr>
          <w:color w:val="231F20"/>
          <w:spacing w:val="-12"/>
          <w:w w:val="120"/>
        </w:rPr>
        <w:t> </w:t>
      </w:r>
      <w:r>
        <w:rPr>
          <w:color w:val="231F20"/>
          <w:w w:val="120"/>
        </w:rPr>
        <w:t>du</w:t>
      </w:r>
      <w:r>
        <w:rPr>
          <w:color w:val="231F20"/>
          <w:spacing w:val="-13"/>
          <w:w w:val="120"/>
        </w:rPr>
        <w:t> </w:t>
      </w:r>
      <w:r>
        <w:rPr>
          <w:color w:val="231F20"/>
          <w:w w:val="120"/>
        </w:rPr>
        <w:t>stress.</w:t>
      </w:r>
      <w:r>
        <w:rPr>
          <w:color w:val="231F20"/>
          <w:spacing w:val="-13"/>
          <w:w w:val="120"/>
        </w:rPr>
        <w:t> </w:t>
      </w:r>
      <w:r>
        <w:rPr>
          <w:color w:val="231F20"/>
          <w:w w:val="120"/>
        </w:rPr>
        <w:t>Ce</w:t>
      </w:r>
      <w:r>
        <w:rPr>
          <w:color w:val="231F20"/>
          <w:spacing w:val="-11"/>
          <w:w w:val="120"/>
        </w:rPr>
        <w:t> </w:t>
      </w:r>
      <w:r>
        <w:rPr>
          <w:color w:val="231F20"/>
          <w:w w:val="120"/>
        </w:rPr>
        <w:t>livre</w:t>
      </w:r>
      <w:r>
        <w:rPr>
          <w:color w:val="231F20"/>
          <w:spacing w:val="-9"/>
          <w:w w:val="120"/>
        </w:rPr>
        <w:t> </w:t>
      </w:r>
      <w:r>
        <w:rPr>
          <w:color w:val="231F20"/>
          <w:w w:val="120"/>
        </w:rPr>
        <w:t>repose</w:t>
      </w:r>
      <w:r>
        <w:rPr>
          <w:color w:val="231F20"/>
          <w:spacing w:val="-9"/>
          <w:w w:val="120"/>
        </w:rPr>
        <w:t> </w:t>
      </w:r>
      <w:r>
        <w:rPr>
          <w:color w:val="231F20"/>
          <w:w w:val="120"/>
        </w:rPr>
        <w:t>en</w:t>
      </w:r>
      <w:r>
        <w:rPr>
          <w:color w:val="231F20"/>
          <w:spacing w:val="-9"/>
          <w:w w:val="120"/>
        </w:rPr>
        <w:t> </w:t>
      </w:r>
      <w:r>
        <w:rPr>
          <w:color w:val="231F20"/>
          <w:w w:val="120"/>
        </w:rPr>
        <w:t>grande</w:t>
      </w:r>
      <w:r>
        <w:rPr>
          <w:color w:val="231F20"/>
          <w:spacing w:val="-9"/>
          <w:w w:val="120"/>
        </w:rPr>
        <w:t> </w:t>
      </w:r>
      <w:r>
        <w:rPr>
          <w:color w:val="231F20"/>
          <w:w w:val="120"/>
        </w:rPr>
        <w:t>partie</w:t>
      </w:r>
      <w:r>
        <w:rPr>
          <w:color w:val="231F20"/>
          <w:spacing w:val="-9"/>
          <w:w w:val="120"/>
        </w:rPr>
        <w:t> </w:t>
      </w:r>
      <w:r>
        <w:rPr>
          <w:color w:val="231F20"/>
          <w:w w:val="120"/>
        </w:rPr>
        <w:t>sur</w:t>
      </w:r>
      <w:r>
        <w:rPr>
          <w:color w:val="231F20"/>
          <w:spacing w:val="-9"/>
          <w:w w:val="120"/>
        </w:rPr>
        <w:t> </w:t>
      </w:r>
      <w:r>
        <w:rPr>
          <w:color w:val="231F20"/>
          <w:w w:val="120"/>
        </w:rPr>
        <w:t>les</w:t>
      </w:r>
      <w:r>
        <w:rPr>
          <w:color w:val="231F20"/>
          <w:spacing w:val="-9"/>
          <w:w w:val="120"/>
        </w:rPr>
        <w:t> </w:t>
      </w:r>
      <w:r>
        <w:rPr>
          <w:color w:val="231F20"/>
          <w:w w:val="120"/>
        </w:rPr>
        <w:t>tra- </w:t>
      </w:r>
      <w:r>
        <w:rPr>
          <w:color w:val="231F20"/>
          <w:w w:val="115"/>
        </w:rPr>
        <w:t>vaux</w:t>
      </w:r>
      <w:r>
        <w:rPr>
          <w:color w:val="231F20"/>
          <w:spacing w:val="-9"/>
          <w:w w:val="115"/>
        </w:rPr>
        <w:t> </w:t>
      </w:r>
      <w:r>
        <w:rPr>
          <w:color w:val="231F20"/>
          <w:w w:val="115"/>
        </w:rPr>
        <w:t>qu’il</w:t>
      </w:r>
      <w:r>
        <w:rPr>
          <w:color w:val="231F20"/>
          <w:spacing w:val="-9"/>
          <w:w w:val="115"/>
        </w:rPr>
        <w:t> </w:t>
      </w:r>
      <w:r>
        <w:rPr>
          <w:color w:val="231F20"/>
          <w:w w:val="115"/>
        </w:rPr>
        <w:t>a</w:t>
      </w:r>
      <w:r>
        <w:rPr>
          <w:color w:val="231F20"/>
          <w:spacing w:val="-9"/>
          <w:w w:val="115"/>
        </w:rPr>
        <w:t> </w:t>
      </w:r>
      <w:r>
        <w:rPr>
          <w:color w:val="231F20"/>
          <w:w w:val="115"/>
        </w:rPr>
        <w:t>réalisés</w:t>
      </w:r>
      <w:r>
        <w:rPr>
          <w:color w:val="231F20"/>
          <w:spacing w:val="-9"/>
          <w:w w:val="115"/>
        </w:rPr>
        <w:t> </w:t>
      </w:r>
      <w:r>
        <w:rPr>
          <w:color w:val="231F20"/>
          <w:w w:val="115"/>
        </w:rPr>
        <w:t>avec</w:t>
      </w:r>
      <w:r>
        <w:rPr>
          <w:color w:val="231F20"/>
          <w:spacing w:val="-9"/>
          <w:w w:val="115"/>
        </w:rPr>
        <w:t> </w:t>
      </w:r>
      <w:r>
        <w:rPr>
          <w:color w:val="231F20"/>
          <w:w w:val="115"/>
        </w:rPr>
        <w:t>Hans</w:t>
      </w:r>
      <w:r>
        <w:rPr>
          <w:color w:val="231F20"/>
          <w:spacing w:val="-9"/>
          <w:w w:val="115"/>
        </w:rPr>
        <w:t> </w:t>
      </w:r>
      <w:r>
        <w:rPr>
          <w:color w:val="231F20"/>
          <w:w w:val="115"/>
        </w:rPr>
        <w:t>Selye</w:t>
      </w:r>
      <w:r>
        <w:rPr>
          <w:color w:val="231F20"/>
          <w:spacing w:val="-9"/>
          <w:w w:val="115"/>
        </w:rPr>
        <w:t> </w:t>
      </w:r>
      <w:r>
        <w:rPr>
          <w:color w:val="231F20"/>
          <w:w w:val="115"/>
        </w:rPr>
        <w:t>au</w:t>
      </w:r>
      <w:r>
        <w:rPr>
          <w:color w:val="231F20"/>
          <w:spacing w:val="-9"/>
          <w:w w:val="115"/>
        </w:rPr>
        <w:t> </w:t>
      </w:r>
      <w:r>
        <w:rPr>
          <w:color w:val="231F20"/>
          <w:w w:val="115"/>
        </w:rPr>
        <w:t>début</w:t>
      </w:r>
      <w:r>
        <w:rPr>
          <w:color w:val="231F20"/>
          <w:spacing w:val="-9"/>
          <w:w w:val="115"/>
        </w:rPr>
        <w:t> </w:t>
      </w:r>
      <w:r>
        <w:rPr>
          <w:color w:val="231F20"/>
          <w:w w:val="115"/>
        </w:rPr>
        <w:t>de</w:t>
      </w:r>
      <w:r>
        <w:rPr>
          <w:color w:val="231F20"/>
          <w:spacing w:val="-9"/>
          <w:w w:val="115"/>
        </w:rPr>
        <w:t> </w:t>
      </w:r>
      <w:r>
        <w:rPr>
          <w:color w:val="231F20"/>
          <w:w w:val="115"/>
        </w:rPr>
        <w:t>sa</w:t>
      </w:r>
      <w:r>
        <w:rPr>
          <w:color w:val="231F20"/>
          <w:spacing w:val="-9"/>
          <w:w w:val="115"/>
        </w:rPr>
        <w:t> </w:t>
      </w:r>
      <w:r>
        <w:rPr>
          <w:color w:val="231F20"/>
          <w:w w:val="115"/>
        </w:rPr>
        <w:t>carrière</w:t>
      </w:r>
      <w:r>
        <w:rPr>
          <w:color w:val="231F20"/>
          <w:spacing w:val="-9"/>
          <w:w w:val="115"/>
        </w:rPr>
        <w:t> </w:t>
      </w:r>
      <w:r>
        <w:rPr>
          <w:color w:val="231F20"/>
          <w:w w:val="115"/>
        </w:rPr>
        <w:t>à</w:t>
      </w:r>
      <w:r>
        <w:rPr>
          <w:color w:val="231F20"/>
          <w:spacing w:val="-9"/>
          <w:w w:val="115"/>
        </w:rPr>
        <w:t> </w:t>
      </w:r>
      <w:r>
        <w:rPr>
          <w:color w:val="231F20"/>
          <w:spacing w:val="-2"/>
          <w:w w:val="115"/>
        </w:rPr>
        <w:t>l’Université</w:t>
      </w:r>
    </w:p>
    <w:p>
      <w:pPr>
        <w:spacing w:after="0" w:line="307" w:lineRule="auto"/>
        <w:jc w:val="both"/>
        <w:sectPr>
          <w:footerReference w:type="default" r:id="rId28"/>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4"/>
        <w:jc w:val="both"/>
      </w:pPr>
      <w:r>
        <w:rPr>
          <w:color w:val="231F20"/>
          <w:spacing w:val="-2"/>
          <w:w w:val="120"/>
        </w:rPr>
        <w:t>de</w:t>
      </w:r>
      <w:r>
        <w:rPr>
          <w:color w:val="231F20"/>
          <w:spacing w:val="-3"/>
          <w:w w:val="120"/>
        </w:rPr>
        <w:t> </w:t>
      </w:r>
      <w:r>
        <w:rPr>
          <w:color w:val="231F20"/>
          <w:spacing w:val="-2"/>
          <w:w w:val="120"/>
        </w:rPr>
        <w:t>Montréal;</w:t>
      </w:r>
      <w:r>
        <w:rPr>
          <w:color w:val="231F20"/>
          <w:spacing w:val="-3"/>
          <w:w w:val="120"/>
        </w:rPr>
        <w:t> </w:t>
      </w:r>
      <w:r>
        <w:rPr>
          <w:color w:val="231F20"/>
          <w:spacing w:val="-2"/>
          <w:w w:val="120"/>
        </w:rPr>
        <w:t>il</w:t>
      </w:r>
      <w:r>
        <w:rPr>
          <w:color w:val="231F20"/>
          <w:spacing w:val="-3"/>
          <w:w w:val="120"/>
        </w:rPr>
        <w:t> </w:t>
      </w:r>
      <w:r>
        <w:rPr>
          <w:color w:val="231F20"/>
          <w:spacing w:val="-2"/>
          <w:w w:val="120"/>
        </w:rPr>
        <w:t>porte</w:t>
      </w:r>
      <w:r>
        <w:rPr>
          <w:color w:val="231F20"/>
          <w:spacing w:val="-3"/>
          <w:w w:val="120"/>
        </w:rPr>
        <w:t> </w:t>
      </w:r>
      <w:r>
        <w:rPr>
          <w:color w:val="231F20"/>
          <w:spacing w:val="-2"/>
          <w:w w:val="120"/>
        </w:rPr>
        <w:t>également</w:t>
      </w:r>
      <w:r>
        <w:rPr>
          <w:color w:val="231F20"/>
          <w:spacing w:val="-3"/>
          <w:w w:val="120"/>
        </w:rPr>
        <w:t> </w:t>
      </w:r>
      <w:r>
        <w:rPr>
          <w:color w:val="231F20"/>
          <w:spacing w:val="-2"/>
          <w:w w:val="120"/>
        </w:rPr>
        <w:t>la</w:t>
      </w:r>
      <w:r>
        <w:rPr>
          <w:color w:val="231F20"/>
          <w:spacing w:val="-3"/>
          <w:w w:val="120"/>
        </w:rPr>
        <w:t> </w:t>
      </w:r>
      <w:r>
        <w:rPr>
          <w:color w:val="231F20"/>
          <w:spacing w:val="-2"/>
          <w:w w:val="120"/>
        </w:rPr>
        <w:t>marque</w:t>
      </w:r>
      <w:r>
        <w:rPr>
          <w:color w:val="231F20"/>
          <w:spacing w:val="-3"/>
          <w:w w:val="120"/>
        </w:rPr>
        <w:t> </w:t>
      </w:r>
      <w:r>
        <w:rPr>
          <w:color w:val="231F20"/>
          <w:spacing w:val="-2"/>
          <w:w w:val="120"/>
        </w:rPr>
        <w:t>d’autres</w:t>
      </w:r>
      <w:r>
        <w:rPr>
          <w:color w:val="231F20"/>
          <w:spacing w:val="-3"/>
          <w:w w:val="120"/>
        </w:rPr>
        <w:t> </w:t>
      </w:r>
      <w:r>
        <w:rPr>
          <w:color w:val="231F20"/>
          <w:spacing w:val="-2"/>
          <w:w w:val="120"/>
        </w:rPr>
        <w:t>universitaires</w:t>
      </w:r>
      <w:r>
        <w:rPr>
          <w:color w:val="231F20"/>
          <w:spacing w:val="-3"/>
          <w:w w:val="120"/>
        </w:rPr>
        <w:t> </w:t>
      </w:r>
      <w:r>
        <w:rPr>
          <w:color w:val="231F20"/>
          <w:spacing w:val="-2"/>
          <w:w w:val="120"/>
        </w:rPr>
        <w:t>distin- </w:t>
      </w:r>
      <w:r>
        <w:rPr>
          <w:color w:val="231F20"/>
          <w:w w:val="120"/>
        </w:rPr>
        <w:t>gués</w:t>
      </w:r>
      <w:r>
        <w:rPr>
          <w:color w:val="231F20"/>
          <w:spacing w:val="-3"/>
          <w:w w:val="120"/>
        </w:rPr>
        <w:t> </w:t>
      </w:r>
      <w:r>
        <w:rPr>
          <w:color w:val="231F20"/>
          <w:w w:val="120"/>
        </w:rPr>
        <w:t>avec</w:t>
      </w:r>
      <w:r>
        <w:rPr>
          <w:color w:val="231F20"/>
          <w:spacing w:val="-3"/>
          <w:w w:val="120"/>
        </w:rPr>
        <w:t> </w:t>
      </w:r>
      <w:r>
        <w:rPr>
          <w:color w:val="231F20"/>
          <w:w w:val="120"/>
        </w:rPr>
        <w:t>qui</w:t>
      </w:r>
      <w:r>
        <w:rPr>
          <w:color w:val="231F20"/>
          <w:spacing w:val="-3"/>
          <w:w w:val="120"/>
        </w:rPr>
        <w:t> </w:t>
      </w:r>
      <w:r>
        <w:rPr>
          <w:color w:val="231F20"/>
          <w:w w:val="120"/>
        </w:rPr>
        <w:t>il</w:t>
      </w:r>
      <w:r>
        <w:rPr>
          <w:color w:val="231F20"/>
          <w:spacing w:val="-3"/>
          <w:w w:val="120"/>
        </w:rPr>
        <w:t> </w:t>
      </w:r>
      <w:r>
        <w:rPr>
          <w:color w:val="231F20"/>
          <w:w w:val="120"/>
        </w:rPr>
        <w:t>a</w:t>
      </w:r>
      <w:r>
        <w:rPr>
          <w:color w:val="231F20"/>
          <w:spacing w:val="-3"/>
          <w:w w:val="120"/>
        </w:rPr>
        <w:t> </w:t>
      </w:r>
      <w:r>
        <w:rPr>
          <w:color w:val="231F20"/>
          <w:w w:val="120"/>
        </w:rPr>
        <w:t>collaboré,</w:t>
      </w:r>
      <w:r>
        <w:rPr>
          <w:color w:val="231F20"/>
          <w:spacing w:val="-3"/>
          <w:w w:val="120"/>
        </w:rPr>
        <w:t> </w:t>
      </w:r>
      <w:r>
        <w:rPr>
          <w:color w:val="231F20"/>
          <w:w w:val="120"/>
        </w:rPr>
        <w:t>comme</w:t>
      </w:r>
      <w:r>
        <w:rPr>
          <w:color w:val="231F20"/>
          <w:spacing w:val="-3"/>
          <w:w w:val="120"/>
        </w:rPr>
        <w:t> </w:t>
      </w:r>
      <w:r>
        <w:rPr>
          <w:color w:val="231F20"/>
          <w:w w:val="120"/>
        </w:rPr>
        <w:t>les</w:t>
      </w:r>
      <w:r>
        <w:rPr>
          <w:color w:val="231F20"/>
          <w:spacing w:val="-3"/>
          <w:w w:val="120"/>
        </w:rPr>
        <w:t> </w:t>
      </w:r>
      <w:r>
        <w:rPr>
          <w:color w:val="231F20"/>
          <w:w w:val="120"/>
        </w:rPr>
        <w:t>professeurs</w:t>
      </w:r>
      <w:r>
        <w:rPr>
          <w:color w:val="231F20"/>
          <w:spacing w:val="-3"/>
          <w:w w:val="120"/>
        </w:rPr>
        <w:t> </w:t>
      </w:r>
      <w:r>
        <w:rPr>
          <w:color w:val="231F20"/>
          <w:w w:val="120"/>
        </w:rPr>
        <w:t>Randall</w:t>
      </w:r>
      <w:r>
        <w:rPr>
          <w:color w:val="231F20"/>
          <w:spacing w:val="-3"/>
          <w:w w:val="120"/>
        </w:rPr>
        <w:t> </w:t>
      </w:r>
      <w:r>
        <w:rPr>
          <w:color w:val="231F20"/>
          <w:w w:val="120"/>
        </w:rPr>
        <w:t>Schuler</w:t>
      </w:r>
      <w:r>
        <w:rPr>
          <w:color w:val="231F20"/>
          <w:spacing w:val="-3"/>
          <w:w w:val="120"/>
        </w:rPr>
        <w:t> </w:t>
      </w:r>
      <w:r>
        <w:rPr>
          <w:color w:val="231F20"/>
          <w:w w:val="120"/>
        </w:rPr>
        <w:t>et </w:t>
      </w:r>
      <w:r>
        <w:rPr>
          <w:color w:val="231F20"/>
          <w:w w:val="115"/>
        </w:rPr>
        <w:t>Susan Jackson de l’Université de New York (aujourd’hui à l’Université Rutgers,</w:t>
      </w:r>
      <w:r>
        <w:rPr>
          <w:color w:val="231F20"/>
          <w:spacing w:val="-5"/>
          <w:w w:val="115"/>
        </w:rPr>
        <w:t> </w:t>
      </w:r>
      <w:r>
        <w:rPr>
          <w:color w:val="231F20"/>
          <w:w w:val="115"/>
        </w:rPr>
        <w:t>New</w:t>
      </w:r>
      <w:r>
        <w:rPr>
          <w:color w:val="231F20"/>
          <w:spacing w:val="-5"/>
          <w:w w:val="115"/>
        </w:rPr>
        <w:t> </w:t>
      </w:r>
      <w:r>
        <w:rPr>
          <w:color w:val="231F20"/>
          <w:w w:val="115"/>
        </w:rPr>
        <w:t>Jersey),</w:t>
      </w:r>
      <w:r>
        <w:rPr>
          <w:color w:val="231F20"/>
          <w:spacing w:val="-5"/>
          <w:w w:val="115"/>
        </w:rPr>
        <w:t> </w:t>
      </w:r>
      <w:r>
        <w:rPr>
          <w:color w:val="231F20"/>
          <w:w w:val="115"/>
        </w:rPr>
        <w:t>le</w:t>
      </w:r>
      <w:r>
        <w:rPr>
          <w:color w:val="231F20"/>
          <w:spacing w:val="-5"/>
          <w:w w:val="115"/>
        </w:rPr>
        <w:t> </w:t>
      </w:r>
      <w:r>
        <w:rPr>
          <w:color w:val="231F20"/>
          <w:w w:val="115"/>
        </w:rPr>
        <w:t>professeur</w:t>
      </w:r>
      <w:r>
        <w:rPr>
          <w:color w:val="231F20"/>
          <w:spacing w:val="-5"/>
          <w:w w:val="115"/>
        </w:rPr>
        <w:t> </w:t>
      </w:r>
      <w:r>
        <w:rPr>
          <w:color w:val="231F20"/>
          <w:w w:val="115"/>
        </w:rPr>
        <w:t>Ron</w:t>
      </w:r>
      <w:r>
        <w:rPr>
          <w:color w:val="231F20"/>
          <w:spacing w:val="-6"/>
          <w:w w:val="115"/>
        </w:rPr>
        <w:t> </w:t>
      </w:r>
      <w:r>
        <w:rPr>
          <w:color w:val="231F20"/>
          <w:w w:val="115"/>
        </w:rPr>
        <w:t>Burke</w:t>
      </w:r>
      <w:r>
        <w:rPr>
          <w:color w:val="231F20"/>
          <w:spacing w:val="-5"/>
          <w:w w:val="115"/>
        </w:rPr>
        <w:t> </w:t>
      </w:r>
      <w:r>
        <w:rPr>
          <w:color w:val="231F20"/>
          <w:w w:val="115"/>
        </w:rPr>
        <w:t>de</w:t>
      </w:r>
      <w:r>
        <w:rPr>
          <w:color w:val="231F20"/>
          <w:spacing w:val="-5"/>
          <w:w w:val="115"/>
        </w:rPr>
        <w:t> </w:t>
      </w:r>
      <w:r>
        <w:rPr>
          <w:color w:val="231F20"/>
          <w:w w:val="115"/>
        </w:rPr>
        <w:t>l’Université</w:t>
      </w:r>
      <w:r>
        <w:rPr>
          <w:color w:val="231F20"/>
          <w:spacing w:val="-5"/>
          <w:w w:val="115"/>
        </w:rPr>
        <w:t> </w:t>
      </w:r>
      <w:r>
        <w:rPr>
          <w:color w:val="231F20"/>
          <w:w w:val="115"/>
        </w:rPr>
        <w:t>York</w:t>
      </w:r>
      <w:r>
        <w:rPr>
          <w:color w:val="231F20"/>
          <w:spacing w:val="-5"/>
          <w:w w:val="115"/>
        </w:rPr>
        <w:t> </w:t>
      </w:r>
      <w:r>
        <w:rPr>
          <w:color w:val="231F20"/>
          <w:w w:val="115"/>
        </w:rPr>
        <w:t>ainsi </w:t>
      </w:r>
      <w:r>
        <w:rPr>
          <w:color w:val="231F20"/>
          <w:w w:val="120"/>
        </w:rPr>
        <w:t>que</w:t>
      </w:r>
      <w:r>
        <w:rPr>
          <w:color w:val="231F20"/>
          <w:spacing w:val="-4"/>
          <w:w w:val="120"/>
        </w:rPr>
        <w:t> </w:t>
      </w:r>
      <w:r>
        <w:rPr>
          <w:color w:val="231F20"/>
          <w:w w:val="120"/>
        </w:rPr>
        <w:t>le</w:t>
      </w:r>
      <w:r>
        <w:rPr>
          <w:color w:val="231F20"/>
          <w:spacing w:val="-4"/>
          <w:w w:val="120"/>
        </w:rPr>
        <w:t> </w:t>
      </w:r>
      <w:r>
        <w:rPr>
          <w:color w:val="231F20"/>
          <w:w w:val="120"/>
        </w:rPr>
        <w:t>professeur</w:t>
      </w:r>
      <w:r>
        <w:rPr>
          <w:color w:val="231F20"/>
          <w:spacing w:val="-4"/>
          <w:w w:val="120"/>
        </w:rPr>
        <w:t> </w:t>
      </w:r>
      <w:r>
        <w:rPr>
          <w:color w:val="231F20"/>
          <w:w w:val="120"/>
        </w:rPr>
        <w:t>Cary</w:t>
      </w:r>
      <w:r>
        <w:rPr>
          <w:color w:val="231F20"/>
          <w:spacing w:val="-4"/>
          <w:w w:val="120"/>
        </w:rPr>
        <w:t> </w:t>
      </w:r>
      <w:r>
        <w:rPr>
          <w:color w:val="231F20"/>
          <w:w w:val="120"/>
        </w:rPr>
        <w:t>Cooper</w:t>
      </w:r>
      <w:r>
        <w:rPr>
          <w:color w:val="231F20"/>
          <w:spacing w:val="-4"/>
          <w:w w:val="120"/>
        </w:rPr>
        <w:t> </w:t>
      </w:r>
      <w:r>
        <w:rPr>
          <w:color w:val="231F20"/>
          <w:w w:val="120"/>
        </w:rPr>
        <w:t>de</w:t>
      </w:r>
      <w:r>
        <w:rPr>
          <w:color w:val="231F20"/>
          <w:spacing w:val="-4"/>
          <w:w w:val="120"/>
        </w:rPr>
        <w:t> </w:t>
      </w:r>
      <w:r>
        <w:rPr>
          <w:color w:val="231F20"/>
          <w:w w:val="120"/>
        </w:rPr>
        <w:t>l’Université</w:t>
      </w:r>
      <w:r>
        <w:rPr>
          <w:color w:val="231F20"/>
          <w:spacing w:val="-4"/>
          <w:w w:val="120"/>
        </w:rPr>
        <w:t> </w:t>
      </w:r>
      <w:r>
        <w:rPr>
          <w:color w:val="231F20"/>
          <w:w w:val="120"/>
        </w:rPr>
        <w:t>de</w:t>
      </w:r>
      <w:r>
        <w:rPr>
          <w:color w:val="231F20"/>
          <w:spacing w:val="-4"/>
          <w:w w:val="120"/>
        </w:rPr>
        <w:t> </w:t>
      </w:r>
      <w:r>
        <w:rPr>
          <w:color w:val="231F20"/>
          <w:w w:val="120"/>
        </w:rPr>
        <w:t>Manchester.</w:t>
      </w:r>
    </w:p>
    <w:p>
      <w:pPr>
        <w:pStyle w:val="BodyText"/>
        <w:spacing w:before="8"/>
        <w:rPr>
          <w:sz w:val="21"/>
        </w:rPr>
      </w:pPr>
    </w:p>
    <w:p>
      <w:pPr>
        <w:pStyle w:val="BodyText"/>
        <w:spacing w:line="307" w:lineRule="auto"/>
        <w:ind w:left="790" w:right="632"/>
        <w:jc w:val="both"/>
      </w:pPr>
      <w:r>
        <w:rPr>
          <w:b/>
          <w:color w:val="231F20"/>
          <w:w w:val="115"/>
        </w:rPr>
        <w:t>Eric Gosselin </w:t>
      </w:r>
      <w:r>
        <w:rPr>
          <w:color w:val="231F20"/>
          <w:w w:val="115"/>
        </w:rPr>
        <w:t>– Le professeur Eric Gosselin s’intéresse depuis toujours </w:t>
      </w:r>
      <w:r>
        <w:rPr>
          <w:color w:val="231F20"/>
          <w:w w:val="120"/>
        </w:rPr>
        <w:t>aux phénomènes psychologiques structurant l’adoption des comporte- </w:t>
      </w:r>
      <w:r>
        <w:rPr>
          <w:color w:val="231F20"/>
          <w:w w:val="115"/>
        </w:rPr>
        <w:t>ments.</w:t>
      </w:r>
      <w:r>
        <w:rPr>
          <w:color w:val="231F20"/>
          <w:spacing w:val="-5"/>
          <w:w w:val="115"/>
        </w:rPr>
        <w:t> </w:t>
      </w:r>
      <w:r>
        <w:rPr>
          <w:color w:val="231F20"/>
          <w:w w:val="115"/>
        </w:rPr>
        <w:t>Fort</w:t>
      </w:r>
      <w:r>
        <w:rPr>
          <w:color w:val="231F20"/>
          <w:spacing w:val="-5"/>
          <w:w w:val="115"/>
        </w:rPr>
        <w:t> </w:t>
      </w:r>
      <w:r>
        <w:rPr>
          <w:color w:val="231F20"/>
          <w:w w:val="115"/>
        </w:rPr>
        <w:t>impressionné</w:t>
      </w:r>
      <w:r>
        <w:rPr>
          <w:color w:val="231F20"/>
          <w:spacing w:val="-5"/>
          <w:w w:val="115"/>
        </w:rPr>
        <w:t> </w:t>
      </w:r>
      <w:r>
        <w:rPr>
          <w:color w:val="231F20"/>
          <w:w w:val="115"/>
        </w:rPr>
        <w:t>par</w:t>
      </w:r>
      <w:r>
        <w:rPr>
          <w:color w:val="231F20"/>
          <w:spacing w:val="-5"/>
          <w:w w:val="115"/>
        </w:rPr>
        <w:t> </w:t>
      </w:r>
      <w:r>
        <w:rPr>
          <w:color w:val="231F20"/>
          <w:w w:val="115"/>
        </w:rPr>
        <w:t>les</w:t>
      </w:r>
      <w:r>
        <w:rPr>
          <w:color w:val="231F20"/>
          <w:spacing w:val="-5"/>
          <w:w w:val="115"/>
        </w:rPr>
        <w:t> </w:t>
      </w:r>
      <w:r>
        <w:rPr>
          <w:color w:val="231F20"/>
          <w:w w:val="115"/>
        </w:rPr>
        <w:t>études</w:t>
      </w:r>
      <w:r>
        <w:rPr>
          <w:color w:val="231F20"/>
          <w:spacing w:val="-5"/>
          <w:w w:val="115"/>
        </w:rPr>
        <w:t> </w:t>
      </w:r>
      <w:r>
        <w:rPr>
          <w:color w:val="231F20"/>
          <w:w w:val="115"/>
        </w:rPr>
        <w:t>classiques</w:t>
      </w:r>
      <w:r>
        <w:rPr>
          <w:color w:val="231F20"/>
          <w:spacing w:val="-5"/>
          <w:w w:val="115"/>
        </w:rPr>
        <w:t> </w:t>
      </w:r>
      <w:r>
        <w:rPr>
          <w:color w:val="231F20"/>
          <w:w w:val="115"/>
        </w:rPr>
        <w:t>en</w:t>
      </w:r>
      <w:r>
        <w:rPr>
          <w:color w:val="231F20"/>
          <w:spacing w:val="-5"/>
          <w:w w:val="115"/>
        </w:rPr>
        <w:t> </w:t>
      </w:r>
      <w:r>
        <w:rPr>
          <w:color w:val="231F20"/>
          <w:w w:val="115"/>
        </w:rPr>
        <w:t>psychologie</w:t>
      </w:r>
      <w:r>
        <w:rPr>
          <w:color w:val="231F20"/>
          <w:spacing w:val="-5"/>
          <w:w w:val="115"/>
        </w:rPr>
        <w:t> </w:t>
      </w:r>
      <w:r>
        <w:rPr>
          <w:color w:val="231F20"/>
          <w:w w:val="115"/>
        </w:rPr>
        <w:t>sociale </w:t>
      </w:r>
      <w:r>
        <w:rPr>
          <w:color w:val="231F20"/>
          <w:w w:val="120"/>
        </w:rPr>
        <w:t>(voir</w:t>
      </w:r>
      <w:r>
        <w:rPr>
          <w:color w:val="231F20"/>
          <w:spacing w:val="-12"/>
          <w:w w:val="120"/>
        </w:rPr>
        <w:t> </w:t>
      </w:r>
      <w:r>
        <w:rPr>
          <w:color w:val="231F20"/>
          <w:w w:val="120"/>
        </w:rPr>
        <w:t>Ash,</w:t>
      </w:r>
      <w:r>
        <w:rPr>
          <w:color w:val="231F20"/>
          <w:spacing w:val="-12"/>
          <w:w w:val="120"/>
        </w:rPr>
        <w:t> </w:t>
      </w:r>
      <w:r>
        <w:rPr>
          <w:color w:val="231F20"/>
          <w:w w:val="120"/>
        </w:rPr>
        <w:t>Milgram,</w:t>
      </w:r>
      <w:r>
        <w:rPr>
          <w:color w:val="231F20"/>
          <w:spacing w:val="-12"/>
          <w:w w:val="120"/>
        </w:rPr>
        <w:t> </w:t>
      </w:r>
      <w:r>
        <w:rPr>
          <w:color w:val="231F20"/>
          <w:w w:val="120"/>
        </w:rPr>
        <w:t>Zimbardo)</w:t>
      </w:r>
      <w:r>
        <w:rPr>
          <w:color w:val="231F20"/>
          <w:spacing w:val="-12"/>
          <w:w w:val="120"/>
        </w:rPr>
        <w:t> </w:t>
      </w:r>
      <w:r>
        <w:rPr>
          <w:color w:val="231F20"/>
          <w:w w:val="120"/>
        </w:rPr>
        <w:t>auxquelles</w:t>
      </w:r>
      <w:r>
        <w:rPr>
          <w:color w:val="231F20"/>
          <w:spacing w:val="-12"/>
          <w:w w:val="120"/>
        </w:rPr>
        <w:t> </w:t>
      </w:r>
      <w:r>
        <w:rPr>
          <w:color w:val="231F20"/>
          <w:w w:val="120"/>
        </w:rPr>
        <w:t>il</w:t>
      </w:r>
      <w:r>
        <w:rPr>
          <w:color w:val="231F20"/>
          <w:spacing w:val="-12"/>
          <w:w w:val="120"/>
        </w:rPr>
        <w:t> </w:t>
      </w:r>
      <w:r>
        <w:rPr>
          <w:color w:val="231F20"/>
          <w:w w:val="120"/>
        </w:rPr>
        <w:t>a</w:t>
      </w:r>
      <w:r>
        <w:rPr>
          <w:color w:val="231F20"/>
          <w:spacing w:val="-12"/>
          <w:w w:val="120"/>
        </w:rPr>
        <w:t> </w:t>
      </w:r>
      <w:r>
        <w:rPr>
          <w:color w:val="231F20"/>
          <w:w w:val="120"/>
        </w:rPr>
        <w:t>été</w:t>
      </w:r>
      <w:r>
        <w:rPr>
          <w:color w:val="231F20"/>
          <w:spacing w:val="-12"/>
          <w:w w:val="120"/>
        </w:rPr>
        <w:t> </w:t>
      </w:r>
      <w:r>
        <w:rPr>
          <w:color w:val="231F20"/>
          <w:w w:val="120"/>
        </w:rPr>
        <w:t>initié</w:t>
      </w:r>
      <w:r>
        <w:rPr>
          <w:color w:val="231F20"/>
          <w:spacing w:val="-12"/>
          <w:w w:val="120"/>
        </w:rPr>
        <w:t> </w:t>
      </w:r>
      <w:r>
        <w:rPr>
          <w:color w:val="231F20"/>
          <w:w w:val="120"/>
        </w:rPr>
        <w:t>alors</w:t>
      </w:r>
      <w:r>
        <w:rPr>
          <w:color w:val="231F20"/>
          <w:spacing w:val="-12"/>
          <w:w w:val="120"/>
        </w:rPr>
        <w:t> </w:t>
      </w:r>
      <w:r>
        <w:rPr>
          <w:color w:val="231F20"/>
          <w:w w:val="120"/>
        </w:rPr>
        <w:t>qu’il</w:t>
      </w:r>
      <w:r>
        <w:rPr>
          <w:color w:val="231F20"/>
          <w:spacing w:val="-12"/>
          <w:w w:val="120"/>
        </w:rPr>
        <w:t> </w:t>
      </w:r>
      <w:r>
        <w:rPr>
          <w:color w:val="231F20"/>
          <w:w w:val="120"/>
        </w:rPr>
        <w:t>était cégépien,</w:t>
      </w:r>
      <w:r>
        <w:rPr>
          <w:color w:val="231F20"/>
          <w:spacing w:val="-2"/>
          <w:w w:val="120"/>
        </w:rPr>
        <w:t> </w:t>
      </w:r>
      <w:r>
        <w:rPr>
          <w:color w:val="231F20"/>
          <w:w w:val="120"/>
        </w:rPr>
        <w:t>il</w:t>
      </w:r>
      <w:r>
        <w:rPr>
          <w:color w:val="231F20"/>
          <w:spacing w:val="-2"/>
          <w:w w:val="120"/>
        </w:rPr>
        <w:t> </w:t>
      </w:r>
      <w:r>
        <w:rPr>
          <w:color w:val="231F20"/>
          <w:w w:val="120"/>
        </w:rPr>
        <w:t>s’est</w:t>
      </w:r>
      <w:r>
        <w:rPr>
          <w:color w:val="231F20"/>
          <w:spacing w:val="-2"/>
          <w:w w:val="120"/>
        </w:rPr>
        <w:t> </w:t>
      </w:r>
      <w:r>
        <w:rPr>
          <w:color w:val="231F20"/>
          <w:w w:val="120"/>
        </w:rPr>
        <w:t>rapidement</w:t>
      </w:r>
      <w:r>
        <w:rPr>
          <w:color w:val="231F20"/>
          <w:spacing w:val="-2"/>
          <w:w w:val="120"/>
        </w:rPr>
        <w:t> </w:t>
      </w:r>
      <w:r>
        <w:rPr>
          <w:color w:val="231F20"/>
          <w:w w:val="120"/>
        </w:rPr>
        <w:t>abreuvé</w:t>
      </w:r>
      <w:r>
        <w:rPr>
          <w:color w:val="231F20"/>
          <w:spacing w:val="-2"/>
          <w:w w:val="120"/>
        </w:rPr>
        <w:t> </w:t>
      </w:r>
      <w:r>
        <w:rPr>
          <w:color w:val="231F20"/>
          <w:w w:val="120"/>
        </w:rPr>
        <w:t>aux</w:t>
      </w:r>
      <w:r>
        <w:rPr>
          <w:color w:val="231F20"/>
          <w:spacing w:val="-2"/>
          <w:w w:val="120"/>
        </w:rPr>
        <w:t> </w:t>
      </w:r>
      <w:r>
        <w:rPr>
          <w:color w:val="231F20"/>
          <w:w w:val="120"/>
        </w:rPr>
        <w:t>écrits</w:t>
      </w:r>
      <w:r>
        <w:rPr>
          <w:color w:val="231F20"/>
          <w:spacing w:val="-2"/>
          <w:w w:val="120"/>
        </w:rPr>
        <w:t> </w:t>
      </w:r>
      <w:r>
        <w:rPr>
          <w:color w:val="231F20"/>
          <w:w w:val="120"/>
        </w:rPr>
        <w:t>psychologiques,</w:t>
      </w:r>
      <w:r>
        <w:rPr>
          <w:color w:val="231F20"/>
          <w:spacing w:val="-2"/>
          <w:w w:val="120"/>
        </w:rPr>
        <w:t> </w:t>
      </w:r>
      <w:r>
        <w:rPr>
          <w:color w:val="231F20"/>
          <w:w w:val="120"/>
        </w:rPr>
        <w:t>parti- culièrement psychanalytiques, afin de mieux pénétrer les abysses </w:t>
      </w:r>
      <w:r>
        <w:rPr>
          <w:color w:val="231F20"/>
          <w:w w:val="120"/>
        </w:rPr>
        <w:t>de </w:t>
      </w:r>
      <w:r>
        <w:rPr>
          <w:color w:val="231F20"/>
          <w:w w:val="115"/>
        </w:rPr>
        <w:t>l’action</w:t>
      </w:r>
      <w:r>
        <w:rPr>
          <w:color w:val="231F20"/>
          <w:spacing w:val="-2"/>
          <w:w w:val="115"/>
        </w:rPr>
        <w:t> </w:t>
      </w:r>
      <w:r>
        <w:rPr>
          <w:color w:val="231F20"/>
          <w:w w:val="115"/>
        </w:rPr>
        <w:t>humaine.</w:t>
      </w:r>
      <w:r>
        <w:rPr>
          <w:color w:val="231F20"/>
          <w:spacing w:val="-2"/>
          <w:w w:val="115"/>
        </w:rPr>
        <w:t> </w:t>
      </w:r>
      <w:r>
        <w:rPr>
          <w:color w:val="231F20"/>
          <w:w w:val="115"/>
        </w:rPr>
        <w:t>Après</w:t>
      </w:r>
      <w:r>
        <w:rPr>
          <w:color w:val="231F20"/>
          <w:spacing w:val="-2"/>
          <w:w w:val="115"/>
        </w:rPr>
        <w:t> </w:t>
      </w:r>
      <w:r>
        <w:rPr>
          <w:color w:val="231F20"/>
          <w:w w:val="115"/>
        </w:rPr>
        <w:t>des</w:t>
      </w:r>
      <w:r>
        <w:rPr>
          <w:color w:val="231F20"/>
          <w:spacing w:val="-2"/>
          <w:w w:val="115"/>
        </w:rPr>
        <w:t> </w:t>
      </w:r>
      <w:r>
        <w:rPr>
          <w:color w:val="231F20"/>
          <w:w w:val="115"/>
        </w:rPr>
        <w:t>études</w:t>
      </w:r>
      <w:r>
        <w:rPr>
          <w:color w:val="231F20"/>
          <w:spacing w:val="-2"/>
          <w:w w:val="115"/>
        </w:rPr>
        <w:t> </w:t>
      </w:r>
      <w:r>
        <w:rPr>
          <w:color w:val="231F20"/>
          <w:w w:val="115"/>
        </w:rPr>
        <w:t>universitaires</w:t>
      </w:r>
      <w:r>
        <w:rPr>
          <w:color w:val="231F20"/>
          <w:spacing w:val="-2"/>
          <w:w w:val="115"/>
        </w:rPr>
        <w:t> </w:t>
      </w:r>
      <w:r>
        <w:rPr>
          <w:color w:val="231F20"/>
          <w:w w:val="115"/>
        </w:rPr>
        <w:t>en</w:t>
      </w:r>
      <w:r>
        <w:rPr>
          <w:color w:val="231F20"/>
          <w:spacing w:val="-2"/>
          <w:w w:val="115"/>
        </w:rPr>
        <w:t> </w:t>
      </w:r>
      <w:r>
        <w:rPr>
          <w:color w:val="231F20"/>
          <w:w w:val="115"/>
        </w:rPr>
        <w:t>psychologie</w:t>
      </w:r>
      <w:r>
        <w:rPr>
          <w:color w:val="231F20"/>
          <w:spacing w:val="-2"/>
          <w:w w:val="115"/>
        </w:rPr>
        <w:t> </w:t>
      </w:r>
      <w:r>
        <w:rPr>
          <w:color w:val="231F20"/>
          <w:w w:val="115"/>
        </w:rPr>
        <w:t>à</w:t>
      </w:r>
      <w:r>
        <w:rPr>
          <w:color w:val="231F20"/>
          <w:spacing w:val="-2"/>
          <w:w w:val="115"/>
        </w:rPr>
        <w:t> </w:t>
      </w:r>
      <w:r>
        <w:rPr>
          <w:color w:val="231F20"/>
          <w:w w:val="115"/>
        </w:rPr>
        <w:t>l’Uni- </w:t>
      </w:r>
      <w:r>
        <w:rPr>
          <w:color w:val="231F20"/>
          <w:w w:val="120"/>
        </w:rPr>
        <w:t>versité</w:t>
      </w:r>
      <w:r>
        <w:rPr>
          <w:color w:val="231F20"/>
          <w:spacing w:val="-8"/>
          <w:w w:val="120"/>
        </w:rPr>
        <w:t> </w:t>
      </w:r>
      <w:r>
        <w:rPr>
          <w:color w:val="231F20"/>
          <w:w w:val="120"/>
        </w:rPr>
        <w:t>d’Ottawa,</w:t>
      </w:r>
      <w:r>
        <w:rPr>
          <w:color w:val="231F20"/>
          <w:spacing w:val="-8"/>
          <w:w w:val="120"/>
        </w:rPr>
        <w:t> </w:t>
      </w:r>
      <w:r>
        <w:rPr>
          <w:color w:val="231F20"/>
          <w:w w:val="120"/>
        </w:rPr>
        <w:t>et</w:t>
      </w:r>
      <w:r>
        <w:rPr>
          <w:color w:val="231F20"/>
          <w:spacing w:val="-8"/>
          <w:w w:val="120"/>
        </w:rPr>
        <w:t> </w:t>
      </w:r>
      <w:r>
        <w:rPr>
          <w:color w:val="231F20"/>
          <w:w w:val="120"/>
        </w:rPr>
        <w:t>peu</w:t>
      </w:r>
      <w:r>
        <w:rPr>
          <w:color w:val="231F20"/>
          <w:spacing w:val="-8"/>
          <w:w w:val="120"/>
        </w:rPr>
        <w:t> </w:t>
      </w:r>
      <w:r>
        <w:rPr>
          <w:color w:val="231F20"/>
          <w:w w:val="120"/>
        </w:rPr>
        <w:t>intéressé</w:t>
      </w:r>
      <w:r>
        <w:rPr>
          <w:color w:val="231F20"/>
          <w:spacing w:val="-8"/>
          <w:w w:val="120"/>
        </w:rPr>
        <w:t> </w:t>
      </w:r>
      <w:r>
        <w:rPr>
          <w:color w:val="231F20"/>
          <w:w w:val="120"/>
        </w:rPr>
        <w:t>par</w:t>
      </w:r>
      <w:r>
        <w:rPr>
          <w:color w:val="231F20"/>
          <w:spacing w:val="-8"/>
          <w:w w:val="120"/>
        </w:rPr>
        <w:t> </w:t>
      </w:r>
      <w:r>
        <w:rPr>
          <w:color w:val="231F20"/>
          <w:w w:val="120"/>
        </w:rPr>
        <w:t>la</w:t>
      </w:r>
      <w:r>
        <w:rPr>
          <w:color w:val="231F20"/>
          <w:spacing w:val="-8"/>
          <w:w w:val="120"/>
        </w:rPr>
        <w:t> </w:t>
      </w:r>
      <w:r>
        <w:rPr>
          <w:color w:val="231F20"/>
          <w:w w:val="120"/>
        </w:rPr>
        <w:t>chose</w:t>
      </w:r>
      <w:r>
        <w:rPr>
          <w:color w:val="231F20"/>
          <w:spacing w:val="-8"/>
          <w:w w:val="120"/>
        </w:rPr>
        <w:t> </w:t>
      </w:r>
      <w:r>
        <w:rPr>
          <w:color w:val="231F20"/>
          <w:w w:val="120"/>
        </w:rPr>
        <w:t>clinique</w:t>
      </w:r>
      <w:r>
        <w:rPr>
          <w:color w:val="231F20"/>
          <w:spacing w:val="-8"/>
          <w:w w:val="120"/>
        </w:rPr>
        <w:t> </w:t>
      </w:r>
      <w:r>
        <w:rPr>
          <w:color w:val="231F20"/>
          <w:w w:val="120"/>
        </w:rPr>
        <w:t>qui</w:t>
      </w:r>
      <w:r>
        <w:rPr>
          <w:color w:val="231F20"/>
          <w:spacing w:val="-8"/>
          <w:w w:val="120"/>
        </w:rPr>
        <w:t> </w:t>
      </w:r>
      <w:r>
        <w:rPr>
          <w:color w:val="231F20"/>
          <w:w w:val="120"/>
        </w:rPr>
        <w:t>était</w:t>
      </w:r>
      <w:r>
        <w:rPr>
          <w:color w:val="231F20"/>
          <w:spacing w:val="-8"/>
          <w:w w:val="120"/>
        </w:rPr>
        <w:t> </w:t>
      </w:r>
      <w:r>
        <w:rPr>
          <w:color w:val="231F20"/>
          <w:w w:val="120"/>
        </w:rPr>
        <w:t>alors</w:t>
      </w:r>
      <w:r>
        <w:rPr>
          <w:color w:val="231F20"/>
          <w:spacing w:val="-8"/>
          <w:w w:val="120"/>
        </w:rPr>
        <w:t> </w:t>
      </w:r>
      <w:r>
        <w:rPr>
          <w:color w:val="231F20"/>
          <w:w w:val="120"/>
        </w:rPr>
        <w:t>la principale</w:t>
      </w:r>
      <w:r>
        <w:rPr>
          <w:color w:val="231F20"/>
          <w:spacing w:val="-9"/>
          <w:w w:val="120"/>
        </w:rPr>
        <w:t> </w:t>
      </w:r>
      <w:r>
        <w:rPr>
          <w:color w:val="231F20"/>
          <w:w w:val="120"/>
        </w:rPr>
        <w:t>voie</w:t>
      </w:r>
      <w:r>
        <w:rPr>
          <w:color w:val="231F20"/>
          <w:spacing w:val="-9"/>
          <w:w w:val="120"/>
        </w:rPr>
        <w:t> </w:t>
      </w:r>
      <w:r>
        <w:rPr>
          <w:color w:val="231F20"/>
          <w:w w:val="120"/>
        </w:rPr>
        <w:t>de</w:t>
      </w:r>
      <w:r>
        <w:rPr>
          <w:color w:val="231F20"/>
          <w:spacing w:val="-9"/>
          <w:w w:val="120"/>
        </w:rPr>
        <w:t> </w:t>
      </w:r>
      <w:r>
        <w:rPr>
          <w:color w:val="231F20"/>
          <w:w w:val="120"/>
        </w:rPr>
        <w:t>salut</w:t>
      </w:r>
      <w:r>
        <w:rPr>
          <w:color w:val="231F20"/>
          <w:spacing w:val="-9"/>
          <w:w w:val="120"/>
        </w:rPr>
        <w:t> </w:t>
      </w:r>
      <w:r>
        <w:rPr>
          <w:color w:val="231F20"/>
          <w:w w:val="120"/>
        </w:rPr>
        <w:t>en</w:t>
      </w:r>
      <w:r>
        <w:rPr>
          <w:color w:val="231F20"/>
          <w:spacing w:val="-9"/>
          <w:w w:val="120"/>
        </w:rPr>
        <w:t> </w:t>
      </w:r>
      <w:r>
        <w:rPr>
          <w:color w:val="231F20"/>
          <w:w w:val="120"/>
        </w:rPr>
        <w:t>psychologie,</w:t>
      </w:r>
      <w:r>
        <w:rPr>
          <w:color w:val="231F20"/>
          <w:spacing w:val="-9"/>
          <w:w w:val="120"/>
        </w:rPr>
        <w:t> </w:t>
      </w:r>
      <w:r>
        <w:rPr>
          <w:color w:val="231F20"/>
          <w:w w:val="120"/>
        </w:rPr>
        <w:t>il</w:t>
      </w:r>
      <w:r>
        <w:rPr>
          <w:color w:val="231F20"/>
          <w:spacing w:val="-9"/>
          <w:w w:val="120"/>
        </w:rPr>
        <w:t> </w:t>
      </w:r>
      <w:r>
        <w:rPr>
          <w:color w:val="231F20"/>
          <w:w w:val="120"/>
        </w:rPr>
        <w:t>s’est</w:t>
      </w:r>
      <w:r>
        <w:rPr>
          <w:color w:val="231F20"/>
          <w:spacing w:val="-9"/>
          <w:w w:val="120"/>
        </w:rPr>
        <w:t> </w:t>
      </w:r>
      <w:r>
        <w:rPr>
          <w:color w:val="231F20"/>
          <w:w w:val="120"/>
        </w:rPr>
        <w:t>tourné</w:t>
      </w:r>
      <w:r>
        <w:rPr>
          <w:color w:val="231F20"/>
          <w:spacing w:val="-9"/>
          <w:w w:val="120"/>
        </w:rPr>
        <w:t> </w:t>
      </w:r>
      <w:r>
        <w:rPr>
          <w:color w:val="231F20"/>
          <w:w w:val="120"/>
        </w:rPr>
        <w:t>vers</w:t>
      </w:r>
      <w:r>
        <w:rPr>
          <w:color w:val="231F20"/>
          <w:spacing w:val="-9"/>
          <w:w w:val="120"/>
        </w:rPr>
        <w:t> </w:t>
      </w:r>
      <w:r>
        <w:rPr>
          <w:color w:val="231F20"/>
          <w:w w:val="120"/>
        </w:rPr>
        <w:t>les</w:t>
      </w:r>
      <w:r>
        <w:rPr>
          <w:color w:val="231F20"/>
          <w:spacing w:val="-9"/>
          <w:w w:val="120"/>
        </w:rPr>
        <w:t> </w:t>
      </w:r>
      <w:r>
        <w:rPr>
          <w:color w:val="231F20"/>
          <w:w w:val="120"/>
        </w:rPr>
        <w:t>relations industrielles</w:t>
      </w:r>
      <w:r>
        <w:rPr>
          <w:color w:val="231F20"/>
          <w:spacing w:val="-13"/>
          <w:w w:val="120"/>
        </w:rPr>
        <w:t> </w:t>
      </w:r>
      <w:r>
        <w:rPr>
          <w:color w:val="231F20"/>
          <w:w w:val="120"/>
        </w:rPr>
        <w:t>à</w:t>
      </w:r>
      <w:r>
        <w:rPr>
          <w:color w:val="231F20"/>
          <w:spacing w:val="-13"/>
          <w:w w:val="120"/>
        </w:rPr>
        <w:t> </w:t>
      </w:r>
      <w:r>
        <w:rPr>
          <w:color w:val="231F20"/>
          <w:w w:val="120"/>
        </w:rPr>
        <w:t>l’Université</w:t>
      </w:r>
      <w:r>
        <w:rPr>
          <w:color w:val="231F20"/>
          <w:spacing w:val="-13"/>
          <w:w w:val="120"/>
        </w:rPr>
        <w:t> </w:t>
      </w:r>
      <w:r>
        <w:rPr>
          <w:color w:val="231F20"/>
          <w:w w:val="120"/>
        </w:rPr>
        <w:t>du</w:t>
      </w:r>
      <w:r>
        <w:rPr>
          <w:color w:val="231F20"/>
          <w:spacing w:val="-12"/>
          <w:w w:val="120"/>
        </w:rPr>
        <w:t> </w:t>
      </w:r>
      <w:r>
        <w:rPr>
          <w:color w:val="231F20"/>
          <w:w w:val="120"/>
        </w:rPr>
        <w:t>Québec</w:t>
      </w:r>
      <w:r>
        <w:rPr>
          <w:color w:val="231F20"/>
          <w:spacing w:val="-13"/>
          <w:w w:val="120"/>
        </w:rPr>
        <w:t> </w:t>
      </w:r>
      <w:r>
        <w:rPr>
          <w:color w:val="231F20"/>
          <w:w w:val="120"/>
        </w:rPr>
        <w:t>en</w:t>
      </w:r>
      <w:r>
        <w:rPr>
          <w:color w:val="231F20"/>
          <w:spacing w:val="-13"/>
          <w:w w:val="120"/>
        </w:rPr>
        <w:t> </w:t>
      </w:r>
      <w:r>
        <w:rPr>
          <w:color w:val="231F20"/>
          <w:w w:val="120"/>
        </w:rPr>
        <w:t>Outaouais</w:t>
      </w:r>
      <w:r>
        <w:rPr>
          <w:color w:val="231F20"/>
          <w:spacing w:val="-13"/>
          <w:w w:val="120"/>
        </w:rPr>
        <w:t> </w:t>
      </w:r>
      <w:r>
        <w:rPr>
          <w:color w:val="231F20"/>
          <w:w w:val="120"/>
        </w:rPr>
        <w:t>afin</w:t>
      </w:r>
      <w:r>
        <w:rPr>
          <w:color w:val="231F20"/>
          <w:spacing w:val="-12"/>
          <w:w w:val="120"/>
        </w:rPr>
        <w:t> </w:t>
      </w:r>
      <w:r>
        <w:rPr>
          <w:color w:val="231F20"/>
          <w:w w:val="120"/>
        </w:rPr>
        <w:t>de</w:t>
      </w:r>
      <w:r>
        <w:rPr>
          <w:color w:val="231F20"/>
          <w:spacing w:val="-13"/>
          <w:w w:val="120"/>
        </w:rPr>
        <w:t> </w:t>
      </w:r>
      <w:r>
        <w:rPr>
          <w:color w:val="231F20"/>
          <w:w w:val="120"/>
        </w:rPr>
        <w:t>mieux</w:t>
      </w:r>
      <w:r>
        <w:rPr>
          <w:color w:val="231F20"/>
          <w:spacing w:val="-13"/>
          <w:w w:val="120"/>
        </w:rPr>
        <w:t> </w:t>
      </w:r>
      <w:r>
        <w:rPr>
          <w:color w:val="231F20"/>
          <w:w w:val="120"/>
        </w:rPr>
        <w:t>com- prendre</w:t>
      </w:r>
      <w:r>
        <w:rPr>
          <w:color w:val="231F20"/>
          <w:spacing w:val="-2"/>
          <w:w w:val="120"/>
        </w:rPr>
        <w:t> </w:t>
      </w:r>
      <w:r>
        <w:rPr>
          <w:color w:val="231F20"/>
          <w:w w:val="120"/>
        </w:rPr>
        <w:t>l’</w:t>
      </w:r>
      <w:r>
        <w:rPr>
          <w:i/>
          <w:color w:val="231F20"/>
          <w:w w:val="120"/>
        </w:rPr>
        <w:t>homo</w:t>
      </w:r>
      <w:r>
        <w:rPr>
          <w:i/>
          <w:color w:val="231F20"/>
          <w:spacing w:val="-2"/>
          <w:w w:val="120"/>
        </w:rPr>
        <w:t> </w:t>
      </w:r>
      <w:r>
        <w:rPr>
          <w:i/>
          <w:color w:val="231F20"/>
          <w:w w:val="120"/>
        </w:rPr>
        <w:t>faber</w:t>
      </w:r>
      <w:r>
        <w:rPr>
          <w:color w:val="231F20"/>
          <w:w w:val="120"/>
        </w:rPr>
        <w:t>.</w:t>
      </w:r>
      <w:r>
        <w:rPr>
          <w:color w:val="231F20"/>
          <w:spacing w:val="-2"/>
          <w:w w:val="120"/>
        </w:rPr>
        <w:t> </w:t>
      </w:r>
      <w:r>
        <w:rPr>
          <w:color w:val="231F20"/>
          <w:w w:val="120"/>
        </w:rPr>
        <w:t>Il</w:t>
      </w:r>
      <w:r>
        <w:rPr>
          <w:color w:val="231F20"/>
          <w:spacing w:val="-2"/>
          <w:w w:val="120"/>
        </w:rPr>
        <w:t> </w:t>
      </w:r>
      <w:r>
        <w:rPr>
          <w:color w:val="231F20"/>
          <w:w w:val="120"/>
        </w:rPr>
        <w:t>réalise</w:t>
      </w:r>
      <w:r>
        <w:rPr>
          <w:color w:val="231F20"/>
          <w:spacing w:val="-2"/>
          <w:w w:val="120"/>
        </w:rPr>
        <w:t> </w:t>
      </w:r>
      <w:r>
        <w:rPr>
          <w:color w:val="231F20"/>
          <w:w w:val="120"/>
        </w:rPr>
        <w:t>alors,</w:t>
      </w:r>
      <w:r>
        <w:rPr>
          <w:color w:val="231F20"/>
          <w:spacing w:val="-2"/>
          <w:w w:val="120"/>
        </w:rPr>
        <w:t> </w:t>
      </w:r>
      <w:r>
        <w:rPr>
          <w:color w:val="231F20"/>
          <w:w w:val="120"/>
        </w:rPr>
        <w:t>sous</w:t>
      </w:r>
      <w:r>
        <w:rPr>
          <w:color w:val="231F20"/>
          <w:spacing w:val="-2"/>
          <w:w w:val="120"/>
        </w:rPr>
        <w:t> </w:t>
      </w:r>
      <w:r>
        <w:rPr>
          <w:color w:val="231F20"/>
          <w:w w:val="120"/>
        </w:rPr>
        <w:t>la</w:t>
      </w:r>
      <w:r>
        <w:rPr>
          <w:color w:val="231F20"/>
          <w:spacing w:val="-2"/>
          <w:w w:val="120"/>
        </w:rPr>
        <w:t> </w:t>
      </w:r>
      <w:r>
        <w:rPr>
          <w:color w:val="231F20"/>
          <w:w w:val="120"/>
        </w:rPr>
        <w:t>direction</w:t>
      </w:r>
      <w:r>
        <w:rPr>
          <w:color w:val="231F20"/>
          <w:spacing w:val="-2"/>
          <w:w w:val="120"/>
        </w:rPr>
        <w:t> </w:t>
      </w:r>
      <w:r>
        <w:rPr>
          <w:color w:val="231F20"/>
          <w:w w:val="120"/>
        </w:rPr>
        <w:t>des</w:t>
      </w:r>
      <w:r>
        <w:rPr>
          <w:color w:val="231F20"/>
          <w:spacing w:val="-2"/>
          <w:w w:val="120"/>
        </w:rPr>
        <w:t> </w:t>
      </w:r>
      <w:r>
        <w:rPr>
          <w:color w:val="231F20"/>
          <w:w w:val="120"/>
        </w:rPr>
        <w:t>professeurs Robert-Paul</w:t>
      </w:r>
      <w:r>
        <w:rPr>
          <w:color w:val="231F20"/>
          <w:spacing w:val="-6"/>
          <w:w w:val="120"/>
        </w:rPr>
        <w:t> </w:t>
      </w:r>
      <w:r>
        <w:rPr>
          <w:color w:val="231F20"/>
          <w:w w:val="120"/>
        </w:rPr>
        <w:t>Bourgeois</w:t>
      </w:r>
      <w:r>
        <w:rPr>
          <w:color w:val="231F20"/>
          <w:spacing w:val="-6"/>
          <w:w w:val="120"/>
        </w:rPr>
        <w:t> </w:t>
      </w:r>
      <w:r>
        <w:rPr>
          <w:color w:val="231F20"/>
          <w:w w:val="120"/>
        </w:rPr>
        <w:t>et</w:t>
      </w:r>
      <w:r>
        <w:rPr>
          <w:color w:val="231F20"/>
          <w:spacing w:val="-6"/>
          <w:w w:val="120"/>
        </w:rPr>
        <w:t> </w:t>
      </w:r>
      <w:r>
        <w:rPr>
          <w:color w:val="231F20"/>
          <w:w w:val="120"/>
        </w:rPr>
        <w:t>Francine</w:t>
      </w:r>
      <w:r>
        <w:rPr>
          <w:color w:val="231F20"/>
          <w:spacing w:val="-6"/>
          <w:w w:val="120"/>
        </w:rPr>
        <w:t> </w:t>
      </w:r>
      <w:r>
        <w:rPr>
          <w:color w:val="231F20"/>
          <w:w w:val="120"/>
        </w:rPr>
        <w:t>Rancourt,</w:t>
      </w:r>
      <w:r>
        <w:rPr>
          <w:color w:val="231F20"/>
          <w:spacing w:val="-6"/>
          <w:w w:val="120"/>
        </w:rPr>
        <w:t> </w:t>
      </w:r>
      <w:r>
        <w:rPr>
          <w:color w:val="231F20"/>
          <w:w w:val="120"/>
        </w:rPr>
        <w:t>des</w:t>
      </w:r>
      <w:r>
        <w:rPr>
          <w:color w:val="231F20"/>
          <w:spacing w:val="-6"/>
          <w:w w:val="120"/>
        </w:rPr>
        <w:t> </w:t>
      </w:r>
      <w:r>
        <w:rPr>
          <w:color w:val="231F20"/>
          <w:w w:val="120"/>
        </w:rPr>
        <w:t>travaux</w:t>
      </w:r>
      <w:r>
        <w:rPr>
          <w:color w:val="231F20"/>
          <w:spacing w:val="-6"/>
          <w:w w:val="120"/>
        </w:rPr>
        <w:t> </w:t>
      </w:r>
      <w:r>
        <w:rPr>
          <w:color w:val="231F20"/>
          <w:w w:val="120"/>
        </w:rPr>
        <w:t>de</w:t>
      </w:r>
      <w:r>
        <w:rPr>
          <w:color w:val="231F20"/>
          <w:spacing w:val="-6"/>
          <w:w w:val="120"/>
        </w:rPr>
        <w:t> </w:t>
      </w:r>
      <w:r>
        <w:rPr>
          <w:color w:val="231F20"/>
          <w:w w:val="120"/>
        </w:rPr>
        <w:t>recherche </w:t>
      </w:r>
      <w:r>
        <w:rPr>
          <w:color w:val="231F20"/>
          <w:spacing w:val="-2"/>
          <w:w w:val="120"/>
        </w:rPr>
        <w:t>sur</w:t>
      </w:r>
      <w:r>
        <w:rPr>
          <w:color w:val="231F20"/>
          <w:spacing w:val="-4"/>
          <w:w w:val="120"/>
        </w:rPr>
        <w:t> </w:t>
      </w:r>
      <w:r>
        <w:rPr>
          <w:color w:val="231F20"/>
          <w:spacing w:val="-2"/>
          <w:w w:val="120"/>
        </w:rPr>
        <w:t>les</w:t>
      </w:r>
      <w:r>
        <w:rPr>
          <w:color w:val="231F20"/>
          <w:spacing w:val="-4"/>
          <w:w w:val="120"/>
        </w:rPr>
        <w:t> </w:t>
      </w:r>
      <w:r>
        <w:rPr>
          <w:color w:val="231F20"/>
          <w:spacing w:val="-2"/>
          <w:w w:val="120"/>
        </w:rPr>
        <w:t>facteurs</w:t>
      </w:r>
      <w:r>
        <w:rPr>
          <w:color w:val="231F20"/>
          <w:spacing w:val="-4"/>
          <w:w w:val="120"/>
        </w:rPr>
        <w:t> </w:t>
      </w:r>
      <w:r>
        <w:rPr>
          <w:color w:val="231F20"/>
          <w:spacing w:val="-2"/>
          <w:w w:val="120"/>
        </w:rPr>
        <w:t>sous-jacents</w:t>
      </w:r>
      <w:r>
        <w:rPr>
          <w:color w:val="231F20"/>
          <w:spacing w:val="-4"/>
          <w:w w:val="120"/>
        </w:rPr>
        <w:t> </w:t>
      </w:r>
      <w:r>
        <w:rPr>
          <w:color w:val="231F20"/>
          <w:spacing w:val="-2"/>
          <w:w w:val="120"/>
        </w:rPr>
        <w:t>au</w:t>
      </w:r>
      <w:r>
        <w:rPr>
          <w:color w:val="231F20"/>
          <w:spacing w:val="-4"/>
          <w:w w:val="120"/>
        </w:rPr>
        <w:t> </w:t>
      </w:r>
      <w:r>
        <w:rPr>
          <w:color w:val="231F20"/>
          <w:spacing w:val="-2"/>
          <w:w w:val="120"/>
        </w:rPr>
        <w:t>choix</w:t>
      </w:r>
      <w:r>
        <w:rPr>
          <w:color w:val="231F20"/>
          <w:spacing w:val="-4"/>
          <w:w w:val="120"/>
        </w:rPr>
        <w:t> </w:t>
      </w:r>
      <w:r>
        <w:rPr>
          <w:color w:val="231F20"/>
          <w:spacing w:val="-2"/>
          <w:w w:val="120"/>
        </w:rPr>
        <w:t>et</w:t>
      </w:r>
      <w:r>
        <w:rPr>
          <w:color w:val="231F20"/>
          <w:spacing w:val="-4"/>
          <w:w w:val="120"/>
        </w:rPr>
        <w:t> </w:t>
      </w:r>
      <w:r>
        <w:rPr>
          <w:color w:val="231F20"/>
          <w:spacing w:val="-2"/>
          <w:w w:val="120"/>
        </w:rPr>
        <w:t>à</w:t>
      </w:r>
      <w:r>
        <w:rPr>
          <w:color w:val="231F20"/>
          <w:spacing w:val="-4"/>
          <w:w w:val="120"/>
        </w:rPr>
        <w:t> </w:t>
      </w:r>
      <w:r>
        <w:rPr>
          <w:color w:val="231F20"/>
          <w:spacing w:val="-2"/>
          <w:w w:val="120"/>
        </w:rPr>
        <w:t>l’orientation</w:t>
      </w:r>
      <w:r>
        <w:rPr>
          <w:color w:val="231F20"/>
          <w:spacing w:val="-4"/>
          <w:w w:val="120"/>
        </w:rPr>
        <w:t> </w:t>
      </w:r>
      <w:r>
        <w:rPr>
          <w:color w:val="231F20"/>
          <w:spacing w:val="-2"/>
          <w:w w:val="120"/>
        </w:rPr>
        <w:t>de</w:t>
      </w:r>
      <w:r>
        <w:rPr>
          <w:color w:val="231F20"/>
          <w:spacing w:val="-4"/>
          <w:w w:val="120"/>
        </w:rPr>
        <w:t> </w:t>
      </w:r>
      <w:r>
        <w:rPr>
          <w:color w:val="231F20"/>
          <w:spacing w:val="-2"/>
          <w:w w:val="120"/>
        </w:rPr>
        <w:t>carrière,</w:t>
      </w:r>
      <w:r>
        <w:rPr>
          <w:color w:val="231F20"/>
          <w:spacing w:val="-4"/>
          <w:w w:val="120"/>
        </w:rPr>
        <w:t> </w:t>
      </w:r>
      <w:r>
        <w:rPr>
          <w:color w:val="231F20"/>
          <w:spacing w:val="-2"/>
          <w:w w:val="120"/>
        </w:rPr>
        <w:t>choix </w:t>
      </w:r>
      <w:r>
        <w:rPr>
          <w:color w:val="231F20"/>
          <w:w w:val="120"/>
        </w:rPr>
        <w:t>qu’il</w:t>
      </w:r>
      <w:r>
        <w:rPr>
          <w:color w:val="231F20"/>
          <w:spacing w:val="-8"/>
          <w:w w:val="120"/>
        </w:rPr>
        <w:t> </w:t>
      </w:r>
      <w:r>
        <w:rPr>
          <w:color w:val="231F20"/>
          <w:w w:val="120"/>
        </w:rPr>
        <w:t>inscrit</w:t>
      </w:r>
      <w:r>
        <w:rPr>
          <w:color w:val="231F20"/>
          <w:spacing w:val="-8"/>
          <w:w w:val="120"/>
        </w:rPr>
        <w:t> </w:t>
      </w:r>
      <w:r>
        <w:rPr>
          <w:color w:val="231F20"/>
          <w:w w:val="120"/>
        </w:rPr>
        <w:t>directement</w:t>
      </w:r>
      <w:r>
        <w:rPr>
          <w:color w:val="231F20"/>
          <w:spacing w:val="-8"/>
          <w:w w:val="120"/>
        </w:rPr>
        <w:t> </w:t>
      </w:r>
      <w:r>
        <w:rPr>
          <w:color w:val="231F20"/>
          <w:w w:val="120"/>
        </w:rPr>
        <w:t>dans</w:t>
      </w:r>
      <w:r>
        <w:rPr>
          <w:color w:val="231F20"/>
          <w:spacing w:val="-8"/>
          <w:w w:val="120"/>
        </w:rPr>
        <w:t> </w:t>
      </w:r>
      <w:r>
        <w:rPr>
          <w:color w:val="231F20"/>
          <w:w w:val="120"/>
        </w:rPr>
        <w:t>le</w:t>
      </w:r>
      <w:r>
        <w:rPr>
          <w:color w:val="231F20"/>
          <w:spacing w:val="-8"/>
          <w:w w:val="120"/>
        </w:rPr>
        <w:t> </w:t>
      </w:r>
      <w:r>
        <w:rPr>
          <w:color w:val="231F20"/>
          <w:w w:val="120"/>
        </w:rPr>
        <w:t>prolongement</w:t>
      </w:r>
      <w:r>
        <w:rPr>
          <w:color w:val="231F20"/>
          <w:spacing w:val="-8"/>
          <w:w w:val="120"/>
        </w:rPr>
        <w:t> </w:t>
      </w:r>
      <w:r>
        <w:rPr>
          <w:color w:val="231F20"/>
          <w:w w:val="120"/>
        </w:rPr>
        <w:t>d’une</w:t>
      </w:r>
      <w:r>
        <w:rPr>
          <w:color w:val="231F20"/>
          <w:spacing w:val="-8"/>
          <w:w w:val="120"/>
        </w:rPr>
        <w:t> </w:t>
      </w:r>
      <w:r>
        <w:rPr>
          <w:color w:val="231F20"/>
          <w:w w:val="120"/>
        </w:rPr>
        <w:t>quête</w:t>
      </w:r>
      <w:r>
        <w:rPr>
          <w:color w:val="231F20"/>
          <w:spacing w:val="-8"/>
          <w:w w:val="120"/>
        </w:rPr>
        <w:t> </w:t>
      </w:r>
      <w:r>
        <w:rPr>
          <w:color w:val="231F20"/>
          <w:w w:val="120"/>
        </w:rPr>
        <w:t>d’actualisa- tion et de réalisation de soi. C’est au début de ses études doctorales à </w:t>
      </w:r>
      <w:r>
        <w:rPr>
          <w:color w:val="231F20"/>
          <w:spacing w:val="-2"/>
          <w:w w:val="120"/>
        </w:rPr>
        <w:t>l’Université</w:t>
      </w:r>
      <w:r>
        <w:rPr>
          <w:color w:val="231F20"/>
          <w:spacing w:val="-7"/>
          <w:w w:val="120"/>
        </w:rPr>
        <w:t> </w:t>
      </w:r>
      <w:r>
        <w:rPr>
          <w:color w:val="231F20"/>
          <w:spacing w:val="-2"/>
          <w:w w:val="120"/>
        </w:rPr>
        <w:t>de</w:t>
      </w:r>
      <w:r>
        <w:rPr>
          <w:color w:val="231F20"/>
          <w:spacing w:val="-7"/>
          <w:w w:val="120"/>
        </w:rPr>
        <w:t> </w:t>
      </w:r>
      <w:r>
        <w:rPr>
          <w:color w:val="231F20"/>
          <w:spacing w:val="-2"/>
          <w:w w:val="120"/>
        </w:rPr>
        <w:t>Montréal</w:t>
      </w:r>
      <w:r>
        <w:rPr>
          <w:color w:val="231F20"/>
          <w:spacing w:val="-7"/>
          <w:w w:val="120"/>
        </w:rPr>
        <w:t> </w:t>
      </w:r>
      <w:r>
        <w:rPr>
          <w:color w:val="231F20"/>
          <w:spacing w:val="-2"/>
          <w:w w:val="120"/>
        </w:rPr>
        <w:t>qu’il</w:t>
      </w:r>
      <w:r>
        <w:rPr>
          <w:color w:val="231F20"/>
          <w:spacing w:val="-7"/>
          <w:w w:val="120"/>
        </w:rPr>
        <w:t> </w:t>
      </w:r>
      <w:r>
        <w:rPr>
          <w:color w:val="231F20"/>
          <w:spacing w:val="-2"/>
          <w:w w:val="120"/>
        </w:rPr>
        <w:t>fera</w:t>
      </w:r>
      <w:r>
        <w:rPr>
          <w:color w:val="231F20"/>
          <w:spacing w:val="-7"/>
          <w:w w:val="120"/>
        </w:rPr>
        <w:t> </w:t>
      </w:r>
      <w:r>
        <w:rPr>
          <w:color w:val="231F20"/>
          <w:spacing w:val="-2"/>
          <w:w w:val="120"/>
        </w:rPr>
        <w:t>la</w:t>
      </w:r>
      <w:r>
        <w:rPr>
          <w:color w:val="231F20"/>
          <w:spacing w:val="-7"/>
          <w:w w:val="120"/>
        </w:rPr>
        <w:t> </w:t>
      </w:r>
      <w:r>
        <w:rPr>
          <w:color w:val="231F20"/>
          <w:spacing w:val="-2"/>
          <w:w w:val="120"/>
        </w:rPr>
        <w:t>rencontre</w:t>
      </w:r>
      <w:r>
        <w:rPr>
          <w:color w:val="231F20"/>
          <w:spacing w:val="-7"/>
          <w:w w:val="120"/>
        </w:rPr>
        <w:t> </w:t>
      </w:r>
      <w:r>
        <w:rPr>
          <w:color w:val="231F20"/>
          <w:spacing w:val="-2"/>
          <w:w w:val="120"/>
        </w:rPr>
        <w:t>du</w:t>
      </w:r>
      <w:r>
        <w:rPr>
          <w:color w:val="231F20"/>
          <w:spacing w:val="-7"/>
          <w:w w:val="120"/>
        </w:rPr>
        <w:t> </w:t>
      </w:r>
      <w:r>
        <w:rPr>
          <w:color w:val="231F20"/>
          <w:spacing w:val="-2"/>
          <w:w w:val="120"/>
        </w:rPr>
        <w:t>professeur</w:t>
      </w:r>
      <w:r>
        <w:rPr>
          <w:color w:val="231F20"/>
          <w:spacing w:val="-7"/>
          <w:w w:val="120"/>
        </w:rPr>
        <w:t> </w:t>
      </w:r>
      <w:r>
        <w:rPr>
          <w:color w:val="231F20"/>
          <w:spacing w:val="-2"/>
          <w:w w:val="120"/>
        </w:rPr>
        <w:t>Dolan,</w:t>
      </w:r>
      <w:r>
        <w:rPr>
          <w:color w:val="231F20"/>
          <w:spacing w:val="-7"/>
          <w:w w:val="120"/>
        </w:rPr>
        <w:t> </w:t>
      </w:r>
      <w:r>
        <w:rPr>
          <w:color w:val="231F20"/>
          <w:spacing w:val="-2"/>
          <w:w w:val="120"/>
        </w:rPr>
        <w:t>qui </w:t>
      </w:r>
      <w:r>
        <w:rPr>
          <w:color w:val="231F20"/>
          <w:w w:val="115"/>
        </w:rPr>
        <w:t>en</w:t>
      </w:r>
      <w:r>
        <w:rPr>
          <w:color w:val="231F20"/>
          <w:spacing w:val="-2"/>
          <w:w w:val="115"/>
        </w:rPr>
        <w:t> </w:t>
      </w:r>
      <w:r>
        <w:rPr>
          <w:color w:val="231F20"/>
          <w:w w:val="115"/>
        </w:rPr>
        <w:t>plus</w:t>
      </w:r>
      <w:r>
        <w:rPr>
          <w:color w:val="231F20"/>
          <w:spacing w:val="-2"/>
          <w:w w:val="115"/>
        </w:rPr>
        <w:t> </w:t>
      </w:r>
      <w:r>
        <w:rPr>
          <w:color w:val="231F20"/>
          <w:w w:val="115"/>
        </w:rPr>
        <w:t>d’assumer</w:t>
      </w:r>
      <w:r>
        <w:rPr>
          <w:color w:val="231F20"/>
          <w:spacing w:val="-2"/>
          <w:w w:val="115"/>
        </w:rPr>
        <w:t> </w:t>
      </w:r>
      <w:r>
        <w:rPr>
          <w:color w:val="231F20"/>
          <w:w w:val="115"/>
        </w:rPr>
        <w:t>le</w:t>
      </w:r>
      <w:r>
        <w:rPr>
          <w:color w:val="231F20"/>
          <w:spacing w:val="-2"/>
          <w:w w:val="115"/>
        </w:rPr>
        <w:t> </w:t>
      </w:r>
      <w:r>
        <w:rPr>
          <w:color w:val="231F20"/>
          <w:w w:val="115"/>
        </w:rPr>
        <w:t>rôle</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direction</w:t>
      </w:r>
      <w:r>
        <w:rPr>
          <w:color w:val="231F20"/>
          <w:spacing w:val="-2"/>
          <w:w w:val="115"/>
        </w:rPr>
        <w:t> </w:t>
      </w:r>
      <w:r>
        <w:rPr>
          <w:color w:val="231F20"/>
          <w:w w:val="115"/>
        </w:rPr>
        <w:t>de</w:t>
      </w:r>
      <w:r>
        <w:rPr>
          <w:color w:val="231F20"/>
          <w:spacing w:val="-2"/>
          <w:w w:val="115"/>
        </w:rPr>
        <w:t> </w:t>
      </w:r>
      <w:r>
        <w:rPr>
          <w:color w:val="231F20"/>
          <w:w w:val="115"/>
        </w:rPr>
        <w:t>sa</w:t>
      </w:r>
      <w:r>
        <w:rPr>
          <w:color w:val="231F20"/>
          <w:spacing w:val="-2"/>
          <w:w w:val="115"/>
        </w:rPr>
        <w:t> </w:t>
      </w:r>
      <w:r>
        <w:rPr>
          <w:color w:val="231F20"/>
          <w:w w:val="115"/>
        </w:rPr>
        <w:t>thèse,</w:t>
      </w:r>
      <w:r>
        <w:rPr>
          <w:color w:val="231F20"/>
          <w:spacing w:val="-2"/>
          <w:w w:val="115"/>
        </w:rPr>
        <w:t> </w:t>
      </w:r>
      <w:r>
        <w:rPr>
          <w:color w:val="231F20"/>
          <w:w w:val="115"/>
        </w:rPr>
        <w:t>l’initiera</w:t>
      </w:r>
      <w:r>
        <w:rPr>
          <w:color w:val="231F20"/>
          <w:spacing w:val="-2"/>
          <w:w w:val="115"/>
        </w:rPr>
        <w:t> </w:t>
      </w:r>
      <w:r>
        <w:rPr>
          <w:color w:val="231F20"/>
          <w:w w:val="115"/>
        </w:rPr>
        <w:t>au</w:t>
      </w:r>
      <w:r>
        <w:rPr>
          <w:color w:val="231F20"/>
          <w:spacing w:val="-2"/>
          <w:w w:val="115"/>
        </w:rPr>
        <w:t> </w:t>
      </w:r>
      <w:r>
        <w:rPr>
          <w:color w:val="231F20"/>
          <w:w w:val="115"/>
        </w:rPr>
        <w:t>domaine </w:t>
      </w:r>
      <w:r>
        <w:rPr>
          <w:color w:val="231F20"/>
          <w:w w:val="120"/>
        </w:rPr>
        <w:t>de la santé psychologique et du stress au travail. Il sera ainsi l’un des </w:t>
      </w:r>
      <w:r>
        <w:rPr>
          <w:color w:val="231F20"/>
          <w:spacing w:val="-2"/>
          <w:w w:val="120"/>
        </w:rPr>
        <w:t>derniers</w:t>
      </w:r>
      <w:r>
        <w:rPr>
          <w:color w:val="231F20"/>
          <w:spacing w:val="-7"/>
          <w:w w:val="120"/>
        </w:rPr>
        <w:t> </w:t>
      </w:r>
      <w:r>
        <w:rPr>
          <w:color w:val="231F20"/>
          <w:spacing w:val="-2"/>
          <w:w w:val="120"/>
        </w:rPr>
        <w:t>étudiants</w:t>
      </w:r>
      <w:r>
        <w:rPr>
          <w:color w:val="231F20"/>
          <w:spacing w:val="-7"/>
          <w:w w:val="120"/>
        </w:rPr>
        <w:t> </w:t>
      </w:r>
      <w:r>
        <w:rPr>
          <w:color w:val="231F20"/>
          <w:spacing w:val="-2"/>
          <w:w w:val="120"/>
        </w:rPr>
        <w:t>à</w:t>
      </w:r>
      <w:r>
        <w:rPr>
          <w:color w:val="231F20"/>
          <w:spacing w:val="-7"/>
          <w:w w:val="120"/>
        </w:rPr>
        <w:t> </w:t>
      </w:r>
      <w:r>
        <w:rPr>
          <w:color w:val="231F20"/>
          <w:spacing w:val="-2"/>
          <w:w w:val="120"/>
        </w:rPr>
        <w:t>joindre</w:t>
      </w:r>
      <w:r>
        <w:rPr>
          <w:color w:val="231F20"/>
          <w:spacing w:val="-7"/>
          <w:w w:val="120"/>
        </w:rPr>
        <w:t> </w:t>
      </w:r>
      <w:r>
        <w:rPr>
          <w:color w:val="231F20"/>
          <w:spacing w:val="-2"/>
          <w:w w:val="120"/>
        </w:rPr>
        <w:t>les</w:t>
      </w:r>
      <w:r>
        <w:rPr>
          <w:color w:val="231F20"/>
          <w:spacing w:val="-7"/>
          <w:w w:val="120"/>
        </w:rPr>
        <w:t> </w:t>
      </w:r>
      <w:r>
        <w:rPr>
          <w:color w:val="231F20"/>
          <w:spacing w:val="-2"/>
          <w:w w:val="120"/>
        </w:rPr>
        <w:t>rangs</w:t>
      </w:r>
      <w:r>
        <w:rPr>
          <w:color w:val="231F20"/>
          <w:spacing w:val="-7"/>
          <w:w w:val="120"/>
        </w:rPr>
        <w:t> </w:t>
      </w:r>
      <w:r>
        <w:rPr>
          <w:color w:val="231F20"/>
          <w:spacing w:val="-2"/>
          <w:w w:val="120"/>
        </w:rPr>
        <w:t>du</w:t>
      </w:r>
      <w:r>
        <w:rPr>
          <w:color w:val="231F20"/>
          <w:spacing w:val="-7"/>
          <w:w w:val="120"/>
        </w:rPr>
        <w:t> </w:t>
      </w:r>
      <w:r>
        <w:rPr>
          <w:color w:val="231F20"/>
          <w:spacing w:val="-2"/>
          <w:w w:val="120"/>
        </w:rPr>
        <w:t>Centre</w:t>
      </w:r>
      <w:r>
        <w:rPr>
          <w:color w:val="231F20"/>
          <w:spacing w:val="-7"/>
          <w:w w:val="120"/>
        </w:rPr>
        <w:t> </w:t>
      </w:r>
      <w:r>
        <w:rPr>
          <w:color w:val="231F20"/>
          <w:spacing w:val="-2"/>
          <w:w w:val="120"/>
        </w:rPr>
        <w:t>de</w:t>
      </w:r>
      <w:r>
        <w:rPr>
          <w:color w:val="231F20"/>
          <w:spacing w:val="-7"/>
          <w:w w:val="120"/>
        </w:rPr>
        <w:t> </w:t>
      </w:r>
      <w:r>
        <w:rPr>
          <w:color w:val="231F20"/>
          <w:spacing w:val="-2"/>
          <w:w w:val="120"/>
        </w:rPr>
        <w:t>recherche</w:t>
      </w:r>
      <w:r>
        <w:rPr>
          <w:color w:val="231F20"/>
          <w:spacing w:val="-7"/>
          <w:w w:val="120"/>
        </w:rPr>
        <w:t> </w:t>
      </w:r>
      <w:r>
        <w:rPr>
          <w:color w:val="231F20"/>
          <w:spacing w:val="-2"/>
          <w:w w:val="120"/>
        </w:rPr>
        <w:t>sur</w:t>
      </w:r>
      <w:r>
        <w:rPr>
          <w:color w:val="231F20"/>
          <w:spacing w:val="-7"/>
          <w:w w:val="120"/>
        </w:rPr>
        <w:t> </w:t>
      </w:r>
      <w:r>
        <w:rPr>
          <w:color w:val="231F20"/>
          <w:spacing w:val="-2"/>
          <w:w w:val="120"/>
        </w:rPr>
        <w:t>le</w:t>
      </w:r>
      <w:r>
        <w:rPr>
          <w:color w:val="231F20"/>
          <w:spacing w:val="-7"/>
          <w:w w:val="120"/>
        </w:rPr>
        <w:t> </w:t>
      </w:r>
      <w:r>
        <w:rPr>
          <w:color w:val="231F20"/>
          <w:spacing w:val="-2"/>
          <w:w w:val="120"/>
        </w:rPr>
        <w:t>stress </w:t>
      </w:r>
      <w:r>
        <w:rPr>
          <w:color w:val="231F20"/>
          <w:w w:val="120"/>
        </w:rPr>
        <w:t>et</w:t>
      </w:r>
      <w:r>
        <w:rPr>
          <w:color w:val="231F20"/>
          <w:spacing w:val="-1"/>
          <w:w w:val="120"/>
        </w:rPr>
        <w:t> </w:t>
      </w:r>
      <w:r>
        <w:rPr>
          <w:color w:val="231F20"/>
          <w:w w:val="120"/>
        </w:rPr>
        <w:t>la</w:t>
      </w:r>
      <w:r>
        <w:rPr>
          <w:color w:val="231F20"/>
          <w:spacing w:val="-1"/>
          <w:w w:val="120"/>
        </w:rPr>
        <w:t> </w:t>
      </w:r>
      <w:r>
        <w:rPr>
          <w:color w:val="231F20"/>
          <w:w w:val="120"/>
        </w:rPr>
        <w:t>santé</w:t>
      </w:r>
      <w:r>
        <w:rPr>
          <w:color w:val="231F20"/>
          <w:spacing w:val="-1"/>
          <w:w w:val="120"/>
        </w:rPr>
        <w:t> </w:t>
      </w:r>
      <w:r>
        <w:rPr>
          <w:color w:val="231F20"/>
          <w:w w:val="120"/>
        </w:rPr>
        <w:t>au</w:t>
      </w:r>
      <w:r>
        <w:rPr>
          <w:color w:val="231F20"/>
          <w:spacing w:val="-1"/>
          <w:w w:val="120"/>
        </w:rPr>
        <w:t> </w:t>
      </w:r>
      <w:r>
        <w:rPr>
          <w:color w:val="231F20"/>
          <w:w w:val="120"/>
        </w:rPr>
        <w:t>travail,</w:t>
      </w:r>
      <w:r>
        <w:rPr>
          <w:color w:val="231F20"/>
          <w:spacing w:val="-1"/>
          <w:w w:val="120"/>
        </w:rPr>
        <w:t> </w:t>
      </w:r>
      <w:r>
        <w:rPr>
          <w:color w:val="231F20"/>
          <w:w w:val="120"/>
        </w:rPr>
        <w:t>centre</w:t>
      </w:r>
      <w:r>
        <w:rPr>
          <w:color w:val="231F20"/>
          <w:spacing w:val="-1"/>
          <w:w w:val="120"/>
        </w:rPr>
        <w:t> </w:t>
      </w:r>
      <w:r>
        <w:rPr>
          <w:color w:val="231F20"/>
          <w:w w:val="120"/>
        </w:rPr>
        <w:t>de</w:t>
      </w:r>
      <w:r>
        <w:rPr>
          <w:color w:val="231F20"/>
          <w:spacing w:val="-1"/>
          <w:w w:val="120"/>
        </w:rPr>
        <w:t> </w:t>
      </w:r>
      <w:r>
        <w:rPr>
          <w:color w:val="231F20"/>
          <w:w w:val="120"/>
        </w:rPr>
        <w:t>recherche</w:t>
      </w:r>
      <w:r>
        <w:rPr>
          <w:color w:val="231F20"/>
          <w:spacing w:val="-1"/>
          <w:w w:val="120"/>
        </w:rPr>
        <w:t> </w:t>
      </w:r>
      <w:r>
        <w:rPr>
          <w:color w:val="231F20"/>
          <w:w w:val="120"/>
        </w:rPr>
        <w:t>fondé</w:t>
      </w:r>
      <w:r>
        <w:rPr>
          <w:color w:val="231F20"/>
          <w:spacing w:val="-1"/>
          <w:w w:val="120"/>
        </w:rPr>
        <w:t> </w:t>
      </w:r>
      <w:r>
        <w:rPr>
          <w:color w:val="231F20"/>
          <w:w w:val="120"/>
        </w:rPr>
        <w:t>quelques</w:t>
      </w:r>
      <w:r>
        <w:rPr>
          <w:color w:val="231F20"/>
          <w:spacing w:val="-1"/>
          <w:w w:val="120"/>
        </w:rPr>
        <w:t> </w:t>
      </w:r>
      <w:r>
        <w:rPr>
          <w:color w:val="231F20"/>
          <w:w w:val="120"/>
        </w:rPr>
        <w:t>années</w:t>
      </w:r>
      <w:r>
        <w:rPr>
          <w:color w:val="231F20"/>
          <w:spacing w:val="-1"/>
          <w:w w:val="120"/>
        </w:rPr>
        <w:t> </w:t>
      </w:r>
      <w:r>
        <w:rPr>
          <w:color w:val="231F20"/>
          <w:w w:val="120"/>
        </w:rPr>
        <w:t>aupa- ravant</w:t>
      </w:r>
      <w:r>
        <w:rPr>
          <w:color w:val="231F20"/>
          <w:spacing w:val="-13"/>
          <w:w w:val="120"/>
        </w:rPr>
        <w:t> </w:t>
      </w:r>
      <w:r>
        <w:rPr>
          <w:color w:val="231F20"/>
          <w:w w:val="120"/>
        </w:rPr>
        <w:t>par</w:t>
      </w:r>
      <w:r>
        <w:rPr>
          <w:color w:val="231F20"/>
          <w:spacing w:val="-13"/>
          <w:w w:val="120"/>
        </w:rPr>
        <w:t> </w:t>
      </w:r>
      <w:r>
        <w:rPr>
          <w:color w:val="231F20"/>
          <w:w w:val="120"/>
        </w:rPr>
        <w:t>les</w:t>
      </w:r>
      <w:r>
        <w:rPr>
          <w:color w:val="231F20"/>
          <w:spacing w:val="-13"/>
          <w:w w:val="120"/>
        </w:rPr>
        <w:t> </w:t>
      </w:r>
      <w:r>
        <w:rPr>
          <w:color w:val="231F20"/>
          <w:w w:val="120"/>
        </w:rPr>
        <w:t>professeurs</w:t>
      </w:r>
      <w:r>
        <w:rPr>
          <w:color w:val="231F20"/>
          <w:spacing w:val="-12"/>
          <w:w w:val="120"/>
        </w:rPr>
        <w:t> </w:t>
      </w:r>
      <w:r>
        <w:rPr>
          <w:color w:val="231F20"/>
          <w:w w:val="120"/>
        </w:rPr>
        <w:t>Dolan</w:t>
      </w:r>
      <w:r>
        <w:rPr>
          <w:color w:val="231F20"/>
          <w:spacing w:val="-13"/>
          <w:w w:val="120"/>
        </w:rPr>
        <w:t> </w:t>
      </w:r>
      <w:r>
        <w:rPr>
          <w:color w:val="231F20"/>
          <w:w w:val="120"/>
        </w:rPr>
        <w:t>et</w:t>
      </w:r>
      <w:r>
        <w:rPr>
          <w:color w:val="231F20"/>
          <w:spacing w:val="-13"/>
          <w:w w:val="120"/>
        </w:rPr>
        <w:t> </w:t>
      </w:r>
      <w:r>
        <w:rPr>
          <w:color w:val="231F20"/>
          <w:w w:val="120"/>
        </w:rPr>
        <w:t>Arsenault.</w:t>
      </w:r>
      <w:r>
        <w:rPr>
          <w:color w:val="231F20"/>
          <w:spacing w:val="-13"/>
          <w:w w:val="120"/>
        </w:rPr>
        <w:t> </w:t>
      </w:r>
      <w:r>
        <w:rPr>
          <w:color w:val="231F20"/>
          <w:w w:val="120"/>
        </w:rPr>
        <w:t>Ses</w:t>
      </w:r>
      <w:r>
        <w:rPr>
          <w:color w:val="231F20"/>
          <w:spacing w:val="-12"/>
          <w:w w:val="120"/>
        </w:rPr>
        <w:t> </w:t>
      </w:r>
      <w:r>
        <w:rPr>
          <w:color w:val="231F20"/>
          <w:w w:val="120"/>
        </w:rPr>
        <w:t>années</w:t>
      </w:r>
      <w:r>
        <w:rPr>
          <w:color w:val="231F20"/>
          <w:spacing w:val="-13"/>
          <w:w w:val="120"/>
        </w:rPr>
        <w:t> </w:t>
      </w:r>
      <w:r>
        <w:rPr>
          <w:color w:val="231F20"/>
          <w:w w:val="120"/>
        </w:rPr>
        <w:t>doctorales</w:t>
      </w:r>
      <w:r>
        <w:rPr>
          <w:color w:val="231F20"/>
          <w:spacing w:val="-13"/>
          <w:w w:val="120"/>
        </w:rPr>
        <w:t> </w:t>
      </w:r>
      <w:r>
        <w:rPr>
          <w:color w:val="231F20"/>
          <w:w w:val="120"/>
        </w:rPr>
        <w:t>sur la</w:t>
      </w:r>
      <w:r>
        <w:rPr>
          <w:color w:val="231F20"/>
          <w:spacing w:val="-13"/>
          <w:w w:val="120"/>
        </w:rPr>
        <w:t> </w:t>
      </w:r>
      <w:r>
        <w:rPr>
          <w:color w:val="231F20"/>
          <w:w w:val="120"/>
        </w:rPr>
        <w:t>montagne</w:t>
      </w:r>
      <w:r>
        <w:rPr>
          <w:color w:val="231F20"/>
          <w:spacing w:val="-13"/>
          <w:w w:val="120"/>
        </w:rPr>
        <w:t> </w:t>
      </w:r>
      <w:r>
        <w:rPr>
          <w:color w:val="231F20"/>
          <w:w w:val="120"/>
        </w:rPr>
        <w:t>lui</w:t>
      </w:r>
      <w:r>
        <w:rPr>
          <w:color w:val="231F20"/>
          <w:spacing w:val="-13"/>
          <w:w w:val="120"/>
        </w:rPr>
        <w:t> </w:t>
      </w:r>
      <w:r>
        <w:rPr>
          <w:color w:val="231F20"/>
          <w:w w:val="120"/>
        </w:rPr>
        <w:t>ont</w:t>
      </w:r>
      <w:r>
        <w:rPr>
          <w:color w:val="231F20"/>
          <w:spacing w:val="-12"/>
          <w:w w:val="120"/>
        </w:rPr>
        <w:t> </w:t>
      </w:r>
      <w:r>
        <w:rPr>
          <w:color w:val="231F20"/>
          <w:w w:val="120"/>
        </w:rPr>
        <w:t>permis</w:t>
      </w:r>
      <w:r>
        <w:rPr>
          <w:color w:val="231F20"/>
          <w:spacing w:val="-13"/>
          <w:w w:val="120"/>
        </w:rPr>
        <w:t> </w:t>
      </w:r>
      <w:r>
        <w:rPr>
          <w:color w:val="231F20"/>
          <w:w w:val="120"/>
        </w:rPr>
        <w:t>de</w:t>
      </w:r>
      <w:r>
        <w:rPr>
          <w:color w:val="231F20"/>
          <w:spacing w:val="-13"/>
          <w:w w:val="120"/>
        </w:rPr>
        <w:t> </w:t>
      </w:r>
      <w:r>
        <w:rPr>
          <w:color w:val="231F20"/>
          <w:w w:val="120"/>
        </w:rPr>
        <w:t>découvrir</w:t>
      </w:r>
      <w:r>
        <w:rPr>
          <w:color w:val="231F20"/>
          <w:spacing w:val="-13"/>
          <w:w w:val="120"/>
        </w:rPr>
        <w:t> </w:t>
      </w:r>
      <w:r>
        <w:rPr>
          <w:color w:val="231F20"/>
          <w:w w:val="120"/>
        </w:rPr>
        <w:t>un</w:t>
      </w:r>
      <w:r>
        <w:rPr>
          <w:color w:val="231F20"/>
          <w:spacing w:val="-12"/>
          <w:w w:val="120"/>
        </w:rPr>
        <w:t> </w:t>
      </w:r>
      <w:r>
        <w:rPr>
          <w:color w:val="231F20"/>
          <w:w w:val="120"/>
        </w:rPr>
        <w:t>univers</w:t>
      </w:r>
      <w:r>
        <w:rPr>
          <w:color w:val="231F20"/>
          <w:spacing w:val="-13"/>
          <w:w w:val="120"/>
        </w:rPr>
        <w:t> </w:t>
      </w:r>
      <w:r>
        <w:rPr>
          <w:color w:val="231F20"/>
          <w:w w:val="120"/>
        </w:rPr>
        <w:t>inexploré</w:t>
      </w:r>
      <w:r>
        <w:rPr>
          <w:color w:val="231F20"/>
          <w:spacing w:val="-13"/>
          <w:w w:val="120"/>
        </w:rPr>
        <w:t> </w:t>
      </w:r>
      <w:r>
        <w:rPr>
          <w:color w:val="231F20"/>
          <w:w w:val="120"/>
        </w:rPr>
        <w:t>de</w:t>
      </w:r>
      <w:r>
        <w:rPr>
          <w:color w:val="231F20"/>
          <w:spacing w:val="-13"/>
          <w:w w:val="120"/>
        </w:rPr>
        <w:t> </w:t>
      </w:r>
      <w:r>
        <w:rPr>
          <w:color w:val="231F20"/>
          <w:w w:val="120"/>
        </w:rPr>
        <w:t>savoirs </w:t>
      </w:r>
      <w:r>
        <w:rPr>
          <w:color w:val="231F20"/>
          <w:spacing w:val="-2"/>
          <w:w w:val="120"/>
        </w:rPr>
        <w:t>sur</w:t>
      </w:r>
      <w:r>
        <w:rPr>
          <w:color w:val="231F20"/>
          <w:spacing w:val="-11"/>
          <w:w w:val="120"/>
        </w:rPr>
        <w:t> </w:t>
      </w:r>
      <w:r>
        <w:rPr>
          <w:color w:val="231F20"/>
          <w:spacing w:val="-2"/>
          <w:w w:val="120"/>
        </w:rPr>
        <w:t>la</w:t>
      </w:r>
      <w:r>
        <w:rPr>
          <w:color w:val="231F20"/>
          <w:spacing w:val="-11"/>
          <w:w w:val="120"/>
        </w:rPr>
        <w:t> </w:t>
      </w:r>
      <w:r>
        <w:rPr>
          <w:color w:val="231F20"/>
          <w:spacing w:val="-2"/>
          <w:w w:val="120"/>
        </w:rPr>
        <w:t>santé</w:t>
      </w:r>
      <w:r>
        <w:rPr>
          <w:color w:val="231F20"/>
          <w:spacing w:val="-11"/>
          <w:w w:val="120"/>
        </w:rPr>
        <w:t> </w:t>
      </w:r>
      <w:r>
        <w:rPr>
          <w:color w:val="231F20"/>
          <w:spacing w:val="-2"/>
          <w:w w:val="120"/>
        </w:rPr>
        <w:t>au</w:t>
      </w:r>
      <w:r>
        <w:rPr>
          <w:color w:val="231F20"/>
          <w:spacing w:val="-10"/>
          <w:w w:val="120"/>
        </w:rPr>
        <w:t> </w:t>
      </w:r>
      <w:r>
        <w:rPr>
          <w:color w:val="231F20"/>
          <w:spacing w:val="-2"/>
          <w:w w:val="120"/>
        </w:rPr>
        <w:t>travail</w:t>
      </w:r>
      <w:r>
        <w:rPr>
          <w:color w:val="231F20"/>
          <w:spacing w:val="-11"/>
          <w:w w:val="120"/>
        </w:rPr>
        <w:t> </w:t>
      </w:r>
      <w:r>
        <w:rPr>
          <w:color w:val="231F20"/>
          <w:spacing w:val="-2"/>
          <w:w w:val="120"/>
        </w:rPr>
        <w:t>au</w:t>
      </w:r>
      <w:r>
        <w:rPr>
          <w:color w:val="231F20"/>
          <w:spacing w:val="-11"/>
          <w:w w:val="120"/>
        </w:rPr>
        <w:t> </w:t>
      </w:r>
      <w:r>
        <w:rPr>
          <w:color w:val="231F20"/>
          <w:spacing w:val="-2"/>
          <w:w w:val="120"/>
        </w:rPr>
        <w:t>contact</w:t>
      </w:r>
      <w:r>
        <w:rPr>
          <w:color w:val="231F20"/>
          <w:spacing w:val="-11"/>
          <w:w w:val="120"/>
        </w:rPr>
        <w:t> </w:t>
      </w:r>
      <w:r>
        <w:rPr>
          <w:color w:val="231F20"/>
          <w:spacing w:val="-2"/>
          <w:w w:val="120"/>
        </w:rPr>
        <w:t>de</w:t>
      </w:r>
      <w:r>
        <w:rPr>
          <w:color w:val="231F20"/>
          <w:spacing w:val="-10"/>
          <w:w w:val="120"/>
        </w:rPr>
        <w:t> </w:t>
      </w:r>
      <w:r>
        <w:rPr>
          <w:color w:val="231F20"/>
          <w:spacing w:val="-2"/>
          <w:w w:val="120"/>
        </w:rPr>
        <w:t>son</w:t>
      </w:r>
      <w:r>
        <w:rPr>
          <w:color w:val="231F20"/>
          <w:spacing w:val="-11"/>
          <w:w w:val="120"/>
        </w:rPr>
        <w:t> </w:t>
      </w:r>
      <w:r>
        <w:rPr>
          <w:color w:val="231F20"/>
          <w:spacing w:val="-2"/>
          <w:w w:val="120"/>
        </w:rPr>
        <w:t>directeur,</w:t>
      </w:r>
      <w:r>
        <w:rPr>
          <w:color w:val="231F20"/>
          <w:spacing w:val="-11"/>
          <w:w w:val="120"/>
        </w:rPr>
        <w:t> </w:t>
      </w:r>
      <w:r>
        <w:rPr>
          <w:color w:val="231F20"/>
          <w:spacing w:val="-2"/>
          <w:w w:val="120"/>
        </w:rPr>
        <w:t>et</w:t>
      </w:r>
      <w:r>
        <w:rPr>
          <w:color w:val="231F20"/>
          <w:spacing w:val="-11"/>
          <w:w w:val="120"/>
        </w:rPr>
        <w:t> </w:t>
      </w:r>
      <w:r>
        <w:rPr>
          <w:color w:val="231F20"/>
          <w:spacing w:val="-2"/>
          <w:w w:val="120"/>
        </w:rPr>
        <w:t>mentor,</w:t>
      </w:r>
      <w:r>
        <w:rPr>
          <w:color w:val="231F20"/>
          <w:spacing w:val="-10"/>
          <w:w w:val="120"/>
        </w:rPr>
        <w:t> </w:t>
      </w:r>
      <w:r>
        <w:rPr>
          <w:color w:val="231F20"/>
          <w:spacing w:val="-2"/>
          <w:w w:val="120"/>
        </w:rPr>
        <w:t>le</w:t>
      </w:r>
      <w:r>
        <w:rPr>
          <w:color w:val="231F20"/>
          <w:spacing w:val="-11"/>
          <w:w w:val="120"/>
        </w:rPr>
        <w:t> </w:t>
      </w:r>
      <w:r>
        <w:rPr>
          <w:color w:val="231F20"/>
          <w:spacing w:val="-2"/>
          <w:w w:val="120"/>
        </w:rPr>
        <w:t>professeur Dolan.</w:t>
      </w:r>
      <w:r>
        <w:rPr>
          <w:color w:val="231F20"/>
          <w:spacing w:val="-5"/>
          <w:w w:val="120"/>
        </w:rPr>
        <w:t> </w:t>
      </w:r>
      <w:r>
        <w:rPr>
          <w:color w:val="231F20"/>
          <w:spacing w:val="-2"/>
          <w:w w:val="120"/>
        </w:rPr>
        <w:t>Dès</w:t>
      </w:r>
      <w:r>
        <w:rPr>
          <w:color w:val="231F20"/>
          <w:spacing w:val="-5"/>
          <w:w w:val="120"/>
        </w:rPr>
        <w:t> </w:t>
      </w:r>
      <w:r>
        <w:rPr>
          <w:color w:val="231F20"/>
          <w:spacing w:val="-2"/>
          <w:w w:val="120"/>
        </w:rPr>
        <w:t>lors,</w:t>
      </w:r>
      <w:r>
        <w:rPr>
          <w:color w:val="231F20"/>
          <w:spacing w:val="-5"/>
          <w:w w:val="120"/>
        </w:rPr>
        <w:t> </w:t>
      </w:r>
      <w:r>
        <w:rPr>
          <w:color w:val="231F20"/>
          <w:spacing w:val="-2"/>
          <w:w w:val="120"/>
        </w:rPr>
        <w:t>l’essentiel</w:t>
      </w:r>
      <w:r>
        <w:rPr>
          <w:color w:val="231F20"/>
          <w:spacing w:val="-5"/>
          <w:w w:val="120"/>
        </w:rPr>
        <w:t> </w:t>
      </w:r>
      <w:r>
        <w:rPr>
          <w:color w:val="231F20"/>
          <w:spacing w:val="-2"/>
          <w:w w:val="120"/>
        </w:rPr>
        <w:t>de</w:t>
      </w:r>
      <w:r>
        <w:rPr>
          <w:color w:val="231F20"/>
          <w:spacing w:val="-5"/>
          <w:w w:val="120"/>
        </w:rPr>
        <w:t> </w:t>
      </w:r>
      <w:r>
        <w:rPr>
          <w:color w:val="231F20"/>
          <w:spacing w:val="-2"/>
          <w:w w:val="120"/>
        </w:rPr>
        <w:t>son</w:t>
      </w:r>
      <w:r>
        <w:rPr>
          <w:color w:val="231F20"/>
          <w:spacing w:val="-5"/>
          <w:w w:val="120"/>
        </w:rPr>
        <w:t> </w:t>
      </w:r>
      <w:r>
        <w:rPr>
          <w:color w:val="231F20"/>
          <w:spacing w:val="-2"/>
          <w:w w:val="120"/>
        </w:rPr>
        <w:t>intérêt</w:t>
      </w:r>
      <w:r>
        <w:rPr>
          <w:color w:val="231F20"/>
          <w:spacing w:val="-5"/>
          <w:w w:val="120"/>
        </w:rPr>
        <w:t> </w:t>
      </w:r>
      <w:r>
        <w:rPr>
          <w:color w:val="231F20"/>
          <w:spacing w:val="-2"/>
          <w:w w:val="120"/>
        </w:rPr>
        <w:t>se</w:t>
      </w:r>
      <w:r>
        <w:rPr>
          <w:color w:val="231F20"/>
          <w:spacing w:val="-5"/>
          <w:w w:val="120"/>
        </w:rPr>
        <w:t> </w:t>
      </w:r>
      <w:r>
        <w:rPr>
          <w:color w:val="231F20"/>
          <w:spacing w:val="-2"/>
          <w:w w:val="120"/>
        </w:rPr>
        <w:t>concentrera</w:t>
      </w:r>
      <w:r>
        <w:rPr>
          <w:color w:val="231F20"/>
          <w:spacing w:val="-5"/>
          <w:w w:val="120"/>
        </w:rPr>
        <w:t> </w:t>
      </w:r>
      <w:r>
        <w:rPr>
          <w:color w:val="231F20"/>
          <w:spacing w:val="-2"/>
          <w:w w:val="120"/>
        </w:rPr>
        <w:t>sur</w:t>
      </w:r>
      <w:r>
        <w:rPr>
          <w:color w:val="231F20"/>
          <w:spacing w:val="-5"/>
          <w:w w:val="120"/>
        </w:rPr>
        <w:t> </w:t>
      </w:r>
      <w:r>
        <w:rPr>
          <w:color w:val="231F20"/>
          <w:spacing w:val="-2"/>
          <w:w w:val="120"/>
        </w:rPr>
        <w:t>les</w:t>
      </w:r>
      <w:r>
        <w:rPr>
          <w:color w:val="231F20"/>
          <w:spacing w:val="-5"/>
          <w:w w:val="120"/>
        </w:rPr>
        <w:t> </w:t>
      </w:r>
      <w:r>
        <w:rPr>
          <w:color w:val="231F20"/>
          <w:spacing w:val="-2"/>
          <w:w w:val="120"/>
        </w:rPr>
        <w:t>détermi- </w:t>
      </w:r>
      <w:r>
        <w:rPr>
          <w:color w:val="231F20"/>
          <w:w w:val="120"/>
        </w:rPr>
        <w:t>nants du stress et de la santé psychologique au travail. Pour fermer la boucle, une année postdoctorale passée à l’Institut en santé des popu- lations ainsi qu’à l’École de psychologie de l’Université d’Ottawa lui permettra</w:t>
      </w:r>
      <w:r>
        <w:rPr>
          <w:color w:val="231F20"/>
          <w:spacing w:val="-12"/>
          <w:w w:val="120"/>
        </w:rPr>
        <w:t> </w:t>
      </w:r>
      <w:r>
        <w:rPr>
          <w:color w:val="231F20"/>
          <w:w w:val="120"/>
        </w:rPr>
        <w:t>d’élargir</w:t>
      </w:r>
      <w:r>
        <w:rPr>
          <w:color w:val="231F20"/>
          <w:spacing w:val="-12"/>
          <w:w w:val="120"/>
        </w:rPr>
        <w:t> </w:t>
      </w:r>
      <w:r>
        <w:rPr>
          <w:color w:val="231F20"/>
          <w:w w:val="120"/>
        </w:rPr>
        <w:t>ses</w:t>
      </w:r>
      <w:r>
        <w:rPr>
          <w:color w:val="231F20"/>
          <w:spacing w:val="-12"/>
          <w:w w:val="120"/>
        </w:rPr>
        <w:t> </w:t>
      </w:r>
      <w:r>
        <w:rPr>
          <w:color w:val="231F20"/>
          <w:w w:val="120"/>
        </w:rPr>
        <w:t>perspectives</w:t>
      </w:r>
      <w:r>
        <w:rPr>
          <w:color w:val="231F20"/>
          <w:spacing w:val="-12"/>
          <w:w w:val="120"/>
        </w:rPr>
        <w:t> </w:t>
      </w:r>
      <w:r>
        <w:rPr>
          <w:color w:val="231F20"/>
          <w:w w:val="120"/>
        </w:rPr>
        <w:t>grâce</w:t>
      </w:r>
      <w:r>
        <w:rPr>
          <w:color w:val="231F20"/>
          <w:spacing w:val="-12"/>
          <w:w w:val="120"/>
        </w:rPr>
        <w:t> </w:t>
      </w:r>
      <w:r>
        <w:rPr>
          <w:color w:val="231F20"/>
          <w:w w:val="120"/>
        </w:rPr>
        <w:t>aux</w:t>
      </w:r>
      <w:r>
        <w:rPr>
          <w:color w:val="231F20"/>
          <w:spacing w:val="-12"/>
          <w:w w:val="120"/>
        </w:rPr>
        <w:t> </w:t>
      </w:r>
      <w:r>
        <w:rPr>
          <w:color w:val="231F20"/>
          <w:w w:val="120"/>
        </w:rPr>
        <w:t>enseignements</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pro- </w:t>
      </w:r>
      <w:r>
        <w:rPr>
          <w:color w:val="231F20"/>
          <w:spacing w:val="-2"/>
          <w:w w:val="115"/>
        </w:rPr>
        <w:t>fesseure</w:t>
      </w:r>
      <w:r>
        <w:rPr>
          <w:color w:val="231F20"/>
          <w:spacing w:val="-3"/>
          <w:w w:val="115"/>
        </w:rPr>
        <w:t> </w:t>
      </w:r>
      <w:r>
        <w:rPr>
          <w:color w:val="231F20"/>
          <w:spacing w:val="-2"/>
          <w:w w:val="115"/>
        </w:rPr>
        <w:t>Louise</w:t>
      </w:r>
      <w:r>
        <w:rPr>
          <w:color w:val="231F20"/>
          <w:spacing w:val="-3"/>
          <w:w w:val="115"/>
        </w:rPr>
        <w:t> </w:t>
      </w:r>
      <w:r>
        <w:rPr>
          <w:color w:val="231F20"/>
          <w:spacing w:val="-2"/>
          <w:w w:val="115"/>
        </w:rPr>
        <w:t>Lemyre</w:t>
      </w:r>
      <w:r>
        <w:rPr>
          <w:color w:val="231F20"/>
          <w:spacing w:val="-3"/>
          <w:w w:val="115"/>
        </w:rPr>
        <w:t> </w:t>
      </w:r>
      <w:r>
        <w:rPr>
          <w:color w:val="231F20"/>
          <w:spacing w:val="-2"/>
          <w:w w:val="115"/>
        </w:rPr>
        <w:t>et</w:t>
      </w:r>
      <w:r>
        <w:rPr>
          <w:color w:val="231F20"/>
          <w:spacing w:val="-3"/>
          <w:w w:val="115"/>
        </w:rPr>
        <w:t> </w:t>
      </w:r>
      <w:r>
        <w:rPr>
          <w:color w:val="231F20"/>
          <w:spacing w:val="-2"/>
          <w:w w:val="115"/>
        </w:rPr>
        <w:t>des</w:t>
      </w:r>
      <w:r>
        <w:rPr>
          <w:color w:val="231F20"/>
          <w:spacing w:val="-3"/>
          <w:w w:val="115"/>
        </w:rPr>
        <w:t> </w:t>
      </w:r>
      <w:r>
        <w:rPr>
          <w:color w:val="231F20"/>
          <w:spacing w:val="-2"/>
          <w:w w:val="115"/>
        </w:rPr>
        <w:t>collaborations</w:t>
      </w:r>
      <w:r>
        <w:rPr>
          <w:color w:val="231F20"/>
          <w:spacing w:val="-3"/>
          <w:w w:val="115"/>
        </w:rPr>
        <w:t> </w:t>
      </w:r>
      <w:r>
        <w:rPr>
          <w:color w:val="231F20"/>
          <w:spacing w:val="-2"/>
          <w:w w:val="115"/>
        </w:rPr>
        <w:t>avec</w:t>
      </w:r>
      <w:r>
        <w:rPr>
          <w:color w:val="231F20"/>
          <w:spacing w:val="-3"/>
          <w:w w:val="115"/>
        </w:rPr>
        <w:t> </w:t>
      </w:r>
      <w:r>
        <w:rPr>
          <w:color w:val="231F20"/>
          <w:spacing w:val="-2"/>
          <w:w w:val="115"/>
        </w:rPr>
        <w:t>son</w:t>
      </w:r>
      <w:r>
        <w:rPr>
          <w:color w:val="231F20"/>
          <w:spacing w:val="-3"/>
          <w:w w:val="115"/>
        </w:rPr>
        <w:t> </w:t>
      </w:r>
      <w:r>
        <w:rPr>
          <w:color w:val="231F20"/>
          <w:spacing w:val="-2"/>
          <w:w w:val="115"/>
        </w:rPr>
        <w:t>équipe</w:t>
      </w:r>
      <w:r>
        <w:rPr>
          <w:color w:val="231F20"/>
          <w:spacing w:val="-3"/>
          <w:w w:val="115"/>
        </w:rPr>
        <w:t> </w:t>
      </w:r>
      <w:r>
        <w:rPr>
          <w:color w:val="231F20"/>
          <w:spacing w:val="-2"/>
          <w:w w:val="115"/>
        </w:rPr>
        <w:t>de</w:t>
      </w:r>
      <w:r>
        <w:rPr>
          <w:color w:val="231F20"/>
          <w:spacing w:val="-3"/>
          <w:w w:val="115"/>
        </w:rPr>
        <w:t> </w:t>
      </w:r>
      <w:r>
        <w:rPr>
          <w:color w:val="231F20"/>
          <w:spacing w:val="-2"/>
          <w:w w:val="115"/>
        </w:rPr>
        <w:t>recherche </w:t>
      </w:r>
      <w:r>
        <w:rPr>
          <w:color w:val="231F20"/>
          <w:w w:val="115"/>
        </w:rPr>
        <w:t>du</w:t>
      </w:r>
      <w:r>
        <w:rPr>
          <w:color w:val="231F20"/>
          <w:spacing w:val="-6"/>
          <w:w w:val="115"/>
        </w:rPr>
        <w:t> </w:t>
      </w:r>
      <w:r>
        <w:rPr>
          <w:color w:val="231F20"/>
          <w:w w:val="115"/>
        </w:rPr>
        <w:t>GAP-Santé.</w:t>
      </w:r>
      <w:r>
        <w:rPr>
          <w:color w:val="231F20"/>
          <w:spacing w:val="-6"/>
          <w:w w:val="115"/>
        </w:rPr>
        <w:t> </w:t>
      </w:r>
      <w:r>
        <w:rPr>
          <w:color w:val="231F20"/>
          <w:w w:val="115"/>
        </w:rPr>
        <w:t>Embauché</w:t>
      </w:r>
      <w:r>
        <w:rPr>
          <w:color w:val="231F20"/>
          <w:spacing w:val="-6"/>
          <w:w w:val="115"/>
        </w:rPr>
        <w:t> </w:t>
      </w:r>
      <w:r>
        <w:rPr>
          <w:color w:val="231F20"/>
          <w:w w:val="115"/>
        </w:rPr>
        <w:t>dès</w:t>
      </w:r>
      <w:r>
        <w:rPr>
          <w:color w:val="231F20"/>
          <w:spacing w:val="-6"/>
          <w:w w:val="115"/>
        </w:rPr>
        <w:t> </w:t>
      </w:r>
      <w:r>
        <w:rPr>
          <w:color w:val="231F20"/>
          <w:w w:val="115"/>
        </w:rPr>
        <w:t>1998</w:t>
      </w:r>
      <w:r>
        <w:rPr>
          <w:color w:val="231F20"/>
          <w:spacing w:val="-6"/>
          <w:w w:val="115"/>
        </w:rPr>
        <w:t> </w:t>
      </w:r>
      <w:r>
        <w:rPr>
          <w:color w:val="231F20"/>
          <w:w w:val="115"/>
        </w:rPr>
        <w:t>comme</w:t>
      </w:r>
      <w:r>
        <w:rPr>
          <w:color w:val="231F20"/>
          <w:spacing w:val="-6"/>
          <w:w w:val="115"/>
        </w:rPr>
        <w:t> </w:t>
      </w:r>
      <w:r>
        <w:rPr>
          <w:color w:val="231F20"/>
          <w:w w:val="115"/>
        </w:rPr>
        <w:t>professeur</w:t>
      </w:r>
      <w:r>
        <w:rPr>
          <w:color w:val="231F20"/>
          <w:spacing w:val="-6"/>
          <w:w w:val="115"/>
        </w:rPr>
        <w:t> </w:t>
      </w:r>
      <w:r>
        <w:rPr>
          <w:color w:val="231F20"/>
          <w:w w:val="115"/>
        </w:rPr>
        <w:t>de</w:t>
      </w:r>
      <w:r>
        <w:rPr>
          <w:color w:val="231F20"/>
          <w:spacing w:val="-6"/>
          <w:w w:val="115"/>
        </w:rPr>
        <w:t> </w:t>
      </w:r>
      <w:r>
        <w:rPr>
          <w:color w:val="231F20"/>
          <w:w w:val="115"/>
        </w:rPr>
        <w:t>psychologie</w:t>
      </w:r>
      <w:r>
        <w:rPr>
          <w:color w:val="231F20"/>
          <w:spacing w:val="-6"/>
          <w:w w:val="115"/>
        </w:rPr>
        <w:t> </w:t>
      </w:r>
      <w:r>
        <w:rPr>
          <w:color w:val="231F20"/>
          <w:w w:val="115"/>
        </w:rPr>
        <w:t>du </w:t>
      </w:r>
      <w:r>
        <w:rPr>
          <w:color w:val="231F20"/>
          <w:w w:val="120"/>
        </w:rPr>
        <w:t>travail</w:t>
      </w:r>
      <w:r>
        <w:rPr>
          <w:color w:val="231F20"/>
          <w:spacing w:val="-12"/>
          <w:w w:val="120"/>
        </w:rPr>
        <w:t> </w:t>
      </w:r>
      <w:r>
        <w:rPr>
          <w:color w:val="231F20"/>
          <w:w w:val="120"/>
        </w:rPr>
        <w:t>et</w:t>
      </w:r>
      <w:r>
        <w:rPr>
          <w:color w:val="231F20"/>
          <w:spacing w:val="-12"/>
          <w:w w:val="120"/>
        </w:rPr>
        <w:t> </w:t>
      </w:r>
      <w:r>
        <w:rPr>
          <w:color w:val="231F20"/>
          <w:w w:val="120"/>
        </w:rPr>
        <w:t>des</w:t>
      </w:r>
      <w:r>
        <w:rPr>
          <w:color w:val="231F20"/>
          <w:spacing w:val="-12"/>
          <w:w w:val="120"/>
        </w:rPr>
        <w:t> </w:t>
      </w:r>
      <w:r>
        <w:rPr>
          <w:color w:val="231F20"/>
          <w:w w:val="120"/>
        </w:rPr>
        <w:t>organisations</w:t>
      </w:r>
      <w:r>
        <w:rPr>
          <w:color w:val="231F20"/>
          <w:spacing w:val="-12"/>
          <w:w w:val="120"/>
        </w:rPr>
        <w:t> </w:t>
      </w:r>
      <w:r>
        <w:rPr>
          <w:color w:val="231F20"/>
          <w:w w:val="120"/>
        </w:rPr>
        <w:t>au</w:t>
      </w:r>
      <w:r>
        <w:rPr>
          <w:color w:val="231F20"/>
          <w:spacing w:val="-12"/>
          <w:w w:val="120"/>
        </w:rPr>
        <w:t> </w:t>
      </w:r>
      <w:r>
        <w:rPr>
          <w:color w:val="231F20"/>
          <w:w w:val="120"/>
        </w:rPr>
        <w:t>Département</w:t>
      </w:r>
      <w:r>
        <w:rPr>
          <w:color w:val="231F20"/>
          <w:spacing w:val="-12"/>
          <w:w w:val="120"/>
        </w:rPr>
        <w:t> </w:t>
      </w:r>
      <w:r>
        <w:rPr>
          <w:color w:val="231F20"/>
          <w:w w:val="120"/>
        </w:rPr>
        <w:t>de</w:t>
      </w:r>
      <w:r>
        <w:rPr>
          <w:color w:val="231F20"/>
          <w:spacing w:val="-12"/>
          <w:w w:val="120"/>
        </w:rPr>
        <w:t> </w:t>
      </w:r>
      <w:r>
        <w:rPr>
          <w:color w:val="231F20"/>
          <w:w w:val="120"/>
        </w:rPr>
        <w:t>relations</w:t>
      </w:r>
      <w:r>
        <w:rPr>
          <w:color w:val="231F20"/>
          <w:spacing w:val="-12"/>
          <w:w w:val="120"/>
        </w:rPr>
        <w:t> </w:t>
      </w:r>
      <w:r>
        <w:rPr>
          <w:color w:val="231F20"/>
          <w:w w:val="120"/>
        </w:rPr>
        <w:t>industrielles</w:t>
      </w:r>
      <w:r>
        <w:rPr>
          <w:color w:val="231F20"/>
          <w:spacing w:val="-12"/>
          <w:w w:val="120"/>
        </w:rPr>
        <w:t> </w:t>
      </w:r>
      <w:r>
        <w:rPr>
          <w:color w:val="231F20"/>
          <w:w w:val="120"/>
        </w:rPr>
        <w:t>de </w:t>
      </w:r>
      <w:r>
        <w:rPr>
          <w:color w:val="231F20"/>
          <w:spacing w:val="-2"/>
          <w:w w:val="120"/>
        </w:rPr>
        <w:t>l’Université</w:t>
      </w:r>
      <w:r>
        <w:rPr>
          <w:color w:val="231F20"/>
          <w:spacing w:val="-5"/>
          <w:w w:val="120"/>
        </w:rPr>
        <w:t> </w:t>
      </w:r>
      <w:r>
        <w:rPr>
          <w:color w:val="231F20"/>
          <w:spacing w:val="-2"/>
          <w:w w:val="120"/>
        </w:rPr>
        <w:t>du</w:t>
      </w:r>
      <w:r>
        <w:rPr>
          <w:color w:val="231F20"/>
          <w:spacing w:val="-5"/>
          <w:w w:val="120"/>
        </w:rPr>
        <w:t> </w:t>
      </w:r>
      <w:r>
        <w:rPr>
          <w:color w:val="231F20"/>
          <w:spacing w:val="-2"/>
          <w:w w:val="120"/>
        </w:rPr>
        <w:t>Québec</w:t>
      </w:r>
      <w:r>
        <w:rPr>
          <w:color w:val="231F20"/>
          <w:spacing w:val="-5"/>
          <w:w w:val="120"/>
        </w:rPr>
        <w:t> </w:t>
      </w:r>
      <w:r>
        <w:rPr>
          <w:color w:val="231F20"/>
          <w:spacing w:val="-2"/>
          <w:w w:val="120"/>
        </w:rPr>
        <w:t>en</w:t>
      </w:r>
      <w:r>
        <w:rPr>
          <w:color w:val="231F20"/>
          <w:spacing w:val="-5"/>
          <w:w w:val="120"/>
        </w:rPr>
        <w:t> </w:t>
      </w:r>
      <w:r>
        <w:rPr>
          <w:color w:val="231F20"/>
          <w:spacing w:val="-2"/>
          <w:w w:val="120"/>
        </w:rPr>
        <w:t>Outaouais,</w:t>
      </w:r>
      <w:r>
        <w:rPr>
          <w:color w:val="231F20"/>
          <w:spacing w:val="-5"/>
          <w:w w:val="120"/>
        </w:rPr>
        <w:t> </w:t>
      </w:r>
      <w:r>
        <w:rPr>
          <w:color w:val="231F20"/>
          <w:spacing w:val="-2"/>
          <w:w w:val="120"/>
        </w:rPr>
        <w:t>Eric</w:t>
      </w:r>
      <w:r>
        <w:rPr>
          <w:color w:val="231F20"/>
          <w:spacing w:val="-5"/>
          <w:w w:val="120"/>
        </w:rPr>
        <w:t> </w:t>
      </w:r>
      <w:r>
        <w:rPr>
          <w:color w:val="231F20"/>
          <w:spacing w:val="-2"/>
          <w:w w:val="120"/>
        </w:rPr>
        <w:t>Gosselin</w:t>
      </w:r>
      <w:r>
        <w:rPr>
          <w:color w:val="231F20"/>
          <w:spacing w:val="-5"/>
          <w:w w:val="120"/>
        </w:rPr>
        <w:t> </w:t>
      </w:r>
      <w:r>
        <w:rPr>
          <w:color w:val="231F20"/>
          <w:spacing w:val="-2"/>
          <w:w w:val="120"/>
        </w:rPr>
        <w:t>poursuit</w:t>
      </w:r>
      <w:r>
        <w:rPr>
          <w:color w:val="231F20"/>
          <w:spacing w:val="-5"/>
          <w:w w:val="120"/>
        </w:rPr>
        <w:t> </w:t>
      </w:r>
      <w:r>
        <w:rPr>
          <w:color w:val="231F20"/>
          <w:spacing w:val="-2"/>
          <w:w w:val="120"/>
        </w:rPr>
        <w:t>depuis</w:t>
      </w:r>
      <w:r>
        <w:rPr>
          <w:color w:val="231F20"/>
          <w:spacing w:val="-5"/>
          <w:w w:val="120"/>
        </w:rPr>
        <w:t> </w:t>
      </w:r>
      <w:r>
        <w:rPr>
          <w:color w:val="231F20"/>
          <w:spacing w:val="-2"/>
          <w:w w:val="120"/>
        </w:rPr>
        <w:t>une </w:t>
      </w:r>
      <w:r>
        <w:rPr>
          <w:color w:val="231F20"/>
          <w:w w:val="120"/>
        </w:rPr>
        <w:t>carrière comme chercheur, professeur et consultant dans le domaine</w:t>
      </w:r>
      <w:r>
        <w:rPr>
          <w:color w:val="231F20"/>
          <w:spacing w:val="40"/>
          <w:w w:val="120"/>
        </w:rPr>
        <w:t> </w:t>
      </w:r>
      <w:r>
        <w:rPr>
          <w:color w:val="231F20"/>
          <w:spacing w:val="-2"/>
          <w:w w:val="120"/>
        </w:rPr>
        <w:t>de</w:t>
      </w:r>
      <w:r>
        <w:rPr>
          <w:color w:val="231F20"/>
          <w:spacing w:val="-5"/>
          <w:w w:val="120"/>
        </w:rPr>
        <w:t> </w:t>
      </w:r>
      <w:r>
        <w:rPr>
          <w:color w:val="231F20"/>
          <w:spacing w:val="-2"/>
          <w:w w:val="120"/>
        </w:rPr>
        <w:t>la</w:t>
      </w:r>
      <w:r>
        <w:rPr>
          <w:color w:val="231F20"/>
          <w:spacing w:val="-4"/>
          <w:w w:val="120"/>
        </w:rPr>
        <w:t> </w:t>
      </w:r>
      <w:r>
        <w:rPr>
          <w:color w:val="231F20"/>
          <w:spacing w:val="-2"/>
          <w:w w:val="120"/>
        </w:rPr>
        <w:t>psychologie</w:t>
      </w:r>
      <w:r>
        <w:rPr>
          <w:color w:val="231F20"/>
          <w:spacing w:val="-5"/>
          <w:w w:val="120"/>
        </w:rPr>
        <w:t> </w:t>
      </w:r>
      <w:r>
        <w:rPr>
          <w:color w:val="231F20"/>
          <w:spacing w:val="-2"/>
          <w:w w:val="120"/>
        </w:rPr>
        <w:t>du</w:t>
      </w:r>
      <w:r>
        <w:rPr>
          <w:color w:val="231F20"/>
          <w:spacing w:val="-4"/>
          <w:w w:val="120"/>
        </w:rPr>
        <w:t> </w:t>
      </w:r>
      <w:r>
        <w:rPr>
          <w:color w:val="231F20"/>
          <w:spacing w:val="-2"/>
          <w:w w:val="120"/>
        </w:rPr>
        <w:t>travail.</w:t>
      </w:r>
      <w:r>
        <w:rPr>
          <w:color w:val="231F20"/>
          <w:spacing w:val="-4"/>
          <w:w w:val="120"/>
        </w:rPr>
        <w:t> </w:t>
      </w:r>
      <w:r>
        <w:rPr>
          <w:color w:val="231F20"/>
          <w:spacing w:val="-2"/>
          <w:w w:val="120"/>
        </w:rPr>
        <w:t>Il</w:t>
      </w:r>
      <w:r>
        <w:rPr>
          <w:color w:val="231F20"/>
          <w:spacing w:val="-5"/>
          <w:w w:val="120"/>
        </w:rPr>
        <w:t> </w:t>
      </w:r>
      <w:r>
        <w:rPr>
          <w:color w:val="231F20"/>
          <w:spacing w:val="-2"/>
          <w:w w:val="120"/>
        </w:rPr>
        <w:t>se</w:t>
      </w:r>
      <w:r>
        <w:rPr>
          <w:color w:val="231F20"/>
          <w:spacing w:val="-4"/>
          <w:w w:val="120"/>
        </w:rPr>
        <w:t> </w:t>
      </w:r>
      <w:r>
        <w:rPr>
          <w:color w:val="231F20"/>
          <w:spacing w:val="-2"/>
          <w:w w:val="120"/>
        </w:rPr>
        <w:t>joint</w:t>
      </w:r>
      <w:r>
        <w:rPr>
          <w:color w:val="231F20"/>
          <w:spacing w:val="-5"/>
          <w:w w:val="120"/>
        </w:rPr>
        <w:t> </w:t>
      </w:r>
      <w:r>
        <w:rPr>
          <w:color w:val="231F20"/>
          <w:spacing w:val="-2"/>
          <w:w w:val="120"/>
        </w:rPr>
        <w:t>en</w:t>
      </w:r>
      <w:r>
        <w:rPr>
          <w:color w:val="231F20"/>
          <w:spacing w:val="-4"/>
          <w:w w:val="120"/>
        </w:rPr>
        <w:t> </w:t>
      </w:r>
      <w:r>
        <w:rPr>
          <w:color w:val="231F20"/>
          <w:spacing w:val="-2"/>
          <w:w w:val="120"/>
        </w:rPr>
        <w:t>2010</w:t>
      </w:r>
      <w:r>
        <w:rPr>
          <w:color w:val="231F20"/>
          <w:spacing w:val="-4"/>
          <w:w w:val="120"/>
        </w:rPr>
        <w:t> </w:t>
      </w:r>
      <w:r>
        <w:rPr>
          <w:color w:val="231F20"/>
          <w:spacing w:val="-2"/>
          <w:w w:val="120"/>
        </w:rPr>
        <w:t>au</w:t>
      </w:r>
      <w:r>
        <w:rPr>
          <w:color w:val="231F20"/>
          <w:spacing w:val="-5"/>
          <w:w w:val="120"/>
        </w:rPr>
        <w:t> </w:t>
      </w:r>
      <w:r>
        <w:rPr>
          <w:color w:val="231F20"/>
          <w:spacing w:val="-2"/>
          <w:w w:val="120"/>
        </w:rPr>
        <w:t>Laboratoire</w:t>
      </w:r>
      <w:r>
        <w:rPr>
          <w:color w:val="231F20"/>
          <w:spacing w:val="-4"/>
          <w:w w:val="120"/>
        </w:rPr>
        <w:t> </w:t>
      </w:r>
      <w:r>
        <w:rPr>
          <w:color w:val="231F20"/>
          <w:spacing w:val="-2"/>
          <w:w w:val="120"/>
        </w:rPr>
        <w:t>d’analyse</w:t>
      </w:r>
    </w:p>
    <w:p>
      <w:pPr>
        <w:spacing w:after="0" w:line="307" w:lineRule="auto"/>
        <w:jc w:val="both"/>
        <w:sectPr>
          <w:footerReference w:type="default" r:id="rId29"/>
          <w:pgSz w:w="8640" w:h="12960"/>
          <w:pgMar w:footer="424" w:header="0" w:top="520" w:bottom="620" w:left="460" w:right="1000"/>
        </w:sectPr>
      </w:pPr>
    </w:p>
    <w:p>
      <w:pPr>
        <w:spacing w:before="118"/>
        <w:ind w:left="929" w:right="0" w:firstLine="0"/>
        <w:jc w:val="center"/>
        <w:rPr>
          <w:rFonts w:ascii="Arial"/>
          <w:sz w:val="14"/>
        </w:rPr>
      </w:pPr>
      <w:r>
        <w:rPr>
          <w:rFonts w:ascii="Arial"/>
          <w:color w:val="231F20"/>
          <w:spacing w:val="-2"/>
          <w:w w:val="105"/>
          <w:sz w:val="14"/>
        </w:rPr>
        <w:t>Introduction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2" w:hanging="1"/>
        <w:jc w:val="both"/>
      </w:pPr>
      <w:r>
        <w:rPr>
          <w:color w:val="231F20"/>
          <w:w w:val="115"/>
        </w:rPr>
        <w:t>psychoneuroendocrinologique du stress et de la santé (LAPS</w:t>
      </w:r>
      <w:r>
        <w:rPr>
          <w:color w:val="231F20"/>
          <w:w w:val="115"/>
          <w:position w:val="6"/>
          <w:sz w:val="10"/>
        </w:rPr>
        <w:t>2</w:t>
      </w:r>
      <w:r>
        <w:rPr>
          <w:color w:val="231F20"/>
          <w:w w:val="115"/>
        </w:rPr>
        <w:t>) de l’UQO </w:t>
      </w:r>
      <w:r>
        <w:rPr>
          <w:color w:val="231F20"/>
          <w:w w:val="120"/>
        </w:rPr>
        <w:t>et mène depuis un programme de recherche axé sur les neurosciences organisationnelles. Il a dirigé de nombreux étudiants aux cycles supé- </w:t>
      </w:r>
      <w:r>
        <w:rPr>
          <w:color w:val="231F20"/>
          <w:w w:val="115"/>
        </w:rPr>
        <w:t>rieurs et a publié plusieurs articles scientifiques, dont le livre </w:t>
      </w:r>
      <w:r>
        <w:rPr>
          <w:i/>
          <w:color w:val="231F20"/>
          <w:w w:val="115"/>
        </w:rPr>
        <w:t>Comporte- ment organisationnel </w:t>
      </w:r>
      <w:r>
        <w:rPr>
          <w:color w:val="231F20"/>
          <w:w w:val="115"/>
        </w:rPr>
        <w:t>(Chenelière Éducation) en collaboration avec les professeurs</w:t>
      </w:r>
      <w:r>
        <w:rPr>
          <w:color w:val="231F20"/>
          <w:spacing w:val="-13"/>
          <w:w w:val="115"/>
        </w:rPr>
        <w:t> </w:t>
      </w:r>
      <w:r>
        <w:rPr>
          <w:color w:val="231F20"/>
          <w:w w:val="115"/>
        </w:rPr>
        <w:t>Dolan,</w:t>
      </w:r>
      <w:r>
        <w:rPr>
          <w:color w:val="231F20"/>
          <w:spacing w:val="-12"/>
          <w:w w:val="115"/>
        </w:rPr>
        <w:t> </w:t>
      </w:r>
      <w:r>
        <w:rPr>
          <w:color w:val="231F20"/>
          <w:w w:val="115"/>
        </w:rPr>
        <w:t>Morin</w:t>
      </w:r>
      <w:r>
        <w:rPr>
          <w:color w:val="231F20"/>
          <w:spacing w:val="-12"/>
          <w:w w:val="115"/>
        </w:rPr>
        <w:t> </w:t>
      </w:r>
      <w:r>
        <w:rPr>
          <w:color w:val="231F20"/>
          <w:w w:val="115"/>
        </w:rPr>
        <w:t>et</w:t>
      </w:r>
      <w:r>
        <w:rPr>
          <w:color w:val="231F20"/>
          <w:spacing w:val="-12"/>
          <w:w w:val="115"/>
        </w:rPr>
        <w:t> </w:t>
      </w:r>
      <w:r>
        <w:rPr>
          <w:color w:val="231F20"/>
          <w:w w:val="115"/>
        </w:rPr>
        <w:t>Bélisle.</w:t>
      </w:r>
      <w:r>
        <w:rPr>
          <w:color w:val="231F20"/>
          <w:spacing w:val="-13"/>
          <w:w w:val="115"/>
        </w:rPr>
        <w:t> </w:t>
      </w:r>
      <w:r>
        <w:rPr>
          <w:color w:val="231F20"/>
          <w:w w:val="115"/>
        </w:rPr>
        <w:t>Ses</w:t>
      </w:r>
      <w:r>
        <w:rPr>
          <w:color w:val="231F20"/>
          <w:spacing w:val="-12"/>
          <w:w w:val="115"/>
        </w:rPr>
        <w:t> </w:t>
      </w:r>
      <w:r>
        <w:rPr>
          <w:color w:val="231F20"/>
          <w:w w:val="115"/>
        </w:rPr>
        <w:t>principaux</w:t>
      </w:r>
      <w:r>
        <w:rPr>
          <w:color w:val="231F20"/>
          <w:spacing w:val="-12"/>
          <w:w w:val="115"/>
        </w:rPr>
        <w:t> </w:t>
      </w:r>
      <w:r>
        <w:rPr>
          <w:color w:val="231F20"/>
          <w:w w:val="115"/>
        </w:rPr>
        <w:t>champs</w:t>
      </w:r>
      <w:r>
        <w:rPr>
          <w:color w:val="231F20"/>
          <w:spacing w:val="-12"/>
          <w:w w:val="115"/>
        </w:rPr>
        <w:t> </w:t>
      </w:r>
      <w:r>
        <w:rPr>
          <w:color w:val="231F20"/>
          <w:w w:val="115"/>
        </w:rPr>
        <w:t>d’intervention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recherche</w:t>
      </w:r>
      <w:r>
        <w:rPr>
          <w:color w:val="231F20"/>
          <w:spacing w:val="-13"/>
          <w:w w:val="120"/>
        </w:rPr>
        <w:t> </w:t>
      </w:r>
      <w:r>
        <w:rPr>
          <w:color w:val="231F20"/>
          <w:w w:val="120"/>
        </w:rPr>
        <w:t>portent</w:t>
      </w:r>
      <w:r>
        <w:rPr>
          <w:color w:val="231F20"/>
          <w:spacing w:val="-12"/>
          <w:w w:val="120"/>
        </w:rPr>
        <w:t> </w:t>
      </w:r>
      <w:r>
        <w:rPr>
          <w:color w:val="231F20"/>
          <w:w w:val="120"/>
        </w:rPr>
        <w:t>sur</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3"/>
          <w:w w:val="120"/>
        </w:rPr>
        <w:t> </w:t>
      </w:r>
      <w:r>
        <w:rPr>
          <w:color w:val="231F20"/>
          <w:w w:val="120"/>
        </w:rPr>
        <w:t>psychologique</w:t>
      </w:r>
      <w:r>
        <w:rPr>
          <w:color w:val="231F20"/>
          <w:spacing w:val="-12"/>
          <w:w w:val="120"/>
        </w:rPr>
        <w:t> </w:t>
      </w:r>
      <w:r>
        <w:rPr>
          <w:color w:val="231F20"/>
          <w:w w:val="120"/>
        </w:rPr>
        <w:t>et</w:t>
      </w:r>
      <w:r>
        <w:rPr>
          <w:color w:val="231F20"/>
          <w:spacing w:val="-13"/>
          <w:w w:val="120"/>
        </w:rPr>
        <w:t> </w:t>
      </w:r>
      <w:r>
        <w:rPr>
          <w:color w:val="231F20"/>
          <w:w w:val="120"/>
        </w:rPr>
        <w:t>la</w:t>
      </w:r>
      <w:r>
        <w:rPr>
          <w:color w:val="231F20"/>
          <w:spacing w:val="-13"/>
          <w:w w:val="120"/>
        </w:rPr>
        <w:t> </w:t>
      </w:r>
      <w:r>
        <w:rPr>
          <w:color w:val="231F20"/>
          <w:w w:val="120"/>
        </w:rPr>
        <w:t>gestion</w:t>
      </w:r>
      <w:r>
        <w:rPr>
          <w:color w:val="231F20"/>
          <w:spacing w:val="-13"/>
          <w:w w:val="120"/>
        </w:rPr>
        <w:t> </w:t>
      </w:r>
      <w:r>
        <w:rPr>
          <w:color w:val="231F20"/>
          <w:w w:val="120"/>
        </w:rPr>
        <w:t>du</w:t>
      </w:r>
      <w:r>
        <w:rPr>
          <w:color w:val="231F20"/>
          <w:spacing w:val="-12"/>
          <w:w w:val="120"/>
        </w:rPr>
        <w:t> </w:t>
      </w:r>
      <w:r>
        <w:rPr>
          <w:color w:val="231F20"/>
          <w:w w:val="120"/>
        </w:rPr>
        <w:t>stress </w:t>
      </w:r>
      <w:r>
        <w:rPr>
          <w:color w:val="231F20"/>
          <w:spacing w:val="-2"/>
          <w:w w:val="120"/>
        </w:rPr>
        <w:t>au</w:t>
      </w:r>
      <w:r>
        <w:rPr>
          <w:color w:val="231F20"/>
          <w:spacing w:val="-6"/>
          <w:w w:val="120"/>
        </w:rPr>
        <w:t> </w:t>
      </w:r>
      <w:r>
        <w:rPr>
          <w:color w:val="231F20"/>
          <w:spacing w:val="-2"/>
          <w:w w:val="120"/>
        </w:rPr>
        <w:t>travail,</w:t>
      </w:r>
      <w:r>
        <w:rPr>
          <w:color w:val="231F20"/>
          <w:spacing w:val="-6"/>
          <w:w w:val="120"/>
        </w:rPr>
        <w:t> </w:t>
      </w:r>
      <w:r>
        <w:rPr>
          <w:color w:val="231F20"/>
          <w:spacing w:val="-2"/>
          <w:w w:val="120"/>
        </w:rPr>
        <w:t>le</w:t>
      </w:r>
      <w:r>
        <w:rPr>
          <w:color w:val="231F20"/>
          <w:spacing w:val="-6"/>
          <w:w w:val="120"/>
        </w:rPr>
        <w:t> </w:t>
      </w:r>
      <w:r>
        <w:rPr>
          <w:color w:val="231F20"/>
          <w:spacing w:val="-2"/>
          <w:w w:val="120"/>
        </w:rPr>
        <w:t>présentéisme,</w:t>
      </w:r>
      <w:r>
        <w:rPr>
          <w:color w:val="231F20"/>
          <w:spacing w:val="-6"/>
          <w:w w:val="120"/>
        </w:rPr>
        <w:t> </w:t>
      </w:r>
      <w:r>
        <w:rPr>
          <w:color w:val="231F20"/>
          <w:spacing w:val="-2"/>
          <w:w w:val="120"/>
        </w:rPr>
        <w:t>l’interface</w:t>
      </w:r>
      <w:r>
        <w:rPr>
          <w:color w:val="231F20"/>
          <w:spacing w:val="-6"/>
          <w:w w:val="120"/>
        </w:rPr>
        <w:t> </w:t>
      </w:r>
      <w:r>
        <w:rPr>
          <w:color w:val="231F20"/>
          <w:spacing w:val="-2"/>
          <w:w w:val="120"/>
        </w:rPr>
        <w:t>entre</w:t>
      </w:r>
      <w:r>
        <w:rPr>
          <w:color w:val="231F20"/>
          <w:spacing w:val="-6"/>
          <w:w w:val="120"/>
        </w:rPr>
        <w:t> </w:t>
      </w:r>
      <w:r>
        <w:rPr>
          <w:color w:val="231F20"/>
          <w:spacing w:val="-2"/>
          <w:w w:val="120"/>
        </w:rPr>
        <w:t>la</w:t>
      </w:r>
      <w:r>
        <w:rPr>
          <w:color w:val="231F20"/>
          <w:spacing w:val="-6"/>
          <w:w w:val="120"/>
        </w:rPr>
        <w:t> </w:t>
      </w:r>
      <w:r>
        <w:rPr>
          <w:color w:val="231F20"/>
          <w:spacing w:val="-2"/>
          <w:w w:val="120"/>
        </w:rPr>
        <w:t>satisfaction</w:t>
      </w:r>
      <w:r>
        <w:rPr>
          <w:color w:val="231F20"/>
          <w:spacing w:val="-6"/>
          <w:w w:val="120"/>
        </w:rPr>
        <w:t> </w:t>
      </w:r>
      <w:r>
        <w:rPr>
          <w:color w:val="231F20"/>
          <w:spacing w:val="-2"/>
          <w:w w:val="120"/>
        </w:rPr>
        <w:t>au</w:t>
      </w:r>
      <w:r>
        <w:rPr>
          <w:color w:val="231F20"/>
          <w:spacing w:val="-6"/>
          <w:w w:val="120"/>
        </w:rPr>
        <w:t> </w:t>
      </w:r>
      <w:r>
        <w:rPr>
          <w:color w:val="231F20"/>
          <w:spacing w:val="-2"/>
          <w:w w:val="120"/>
        </w:rPr>
        <w:t>travail</w:t>
      </w:r>
      <w:r>
        <w:rPr>
          <w:color w:val="231F20"/>
          <w:spacing w:val="-6"/>
          <w:w w:val="120"/>
        </w:rPr>
        <w:t> </w:t>
      </w:r>
      <w:r>
        <w:rPr>
          <w:color w:val="231F20"/>
          <w:spacing w:val="-2"/>
          <w:w w:val="120"/>
        </w:rPr>
        <w:t>et</w:t>
      </w:r>
      <w:r>
        <w:rPr>
          <w:color w:val="231F20"/>
          <w:spacing w:val="-6"/>
          <w:w w:val="120"/>
        </w:rPr>
        <w:t> </w:t>
      </w:r>
      <w:r>
        <w:rPr>
          <w:color w:val="231F20"/>
          <w:spacing w:val="-2"/>
          <w:w w:val="120"/>
        </w:rPr>
        <w:t>la </w:t>
      </w:r>
      <w:r>
        <w:rPr>
          <w:color w:val="231F20"/>
          <w:w w:val="120"/>
        </w:rPr>
        <w:t>satisfaction</w:t>
      </w:r>
      <w:r>
        <w:rPr>
          <w:color w:val="231F20"/>
          <w:spacing w:val="-15"/>
          <w:w w:val="120"/>
        </w:rPr>
        <w:t> </w:t>
      </w:r>
      <w:r>
        <w:rPr>
          <w:color w:val="231F20"/>
          <w:w w:val="120"/>
        </w:rPr>
        <w:t>dans</w:t>
      </w:r>
      <w:r>
        <w:rPr>
          <w:color w:val="231F20"/>
          <w:spacing w:val="-13"/>
          <w:w w:val="120"/>
        </w:rPr>
        <w:t> </w:t>
      </w:r>
      <w:r>
        <w:rPr>
          <w:color w:val="231F20"/>
          <w:w w:val="120"/>
        </w:rPr>
        <w:t>la</w:t>
      </w:r>
      <w:r>
        <w:rPr>
          <w:color w:val="231F20"/>
          <w:spacing w:val="-13"/>
          <w:w w:val="120"/>
        </w:rPr>
        <w:t> </w:t>
      </w:r>
      <w:r>
        <w:rPr>
          <w:color w:val="231F20"/>
          <w:w w:val="120"/>
        </w:rPr>
        <w:t>vie</w:t>
      </w:r>
      <w:r>
        <w:rPr>
          <w:color w:val="231F20"/>
          <w:spacing w:val="-12"/>
          <w:w w:val="120"/>
        </w:rPr>
        <w:t> </w:t>
      </w:r>
      <w:r>
        <w:rPr>
          <w:color w:val="231F20"/>
          <w:w w:val="120"/>
        </w:rPr>
        <w:t>et</w:t>
      </w:r>
      <w:r>
        <w:rPr>
          <w:color w:val="231F20"/>
          <w:spacing w:val="-13"/>
          <w:w w:val="120"/>
        </w:rPr>
        <w:t> </w:t>
      </w:r>
      <w:r>
        <w:rPr>
          <w:color w:val="231F20"/>
          <w:w w:val="120"/>
        </w:rPr>
        <w:t>les</w:t>
      </w:r>
      <w:r>
        <w:rPr>
          <w:color w:val="231F20"/>
          <w:spacing w:val="-13"/>
          <w:w w:val="120"/>
        </w:rPr>
        <w:t> </w:t>
      </w:r>
      <w:r>
        <w:rPr>
          <w:color w:val="231F20"/>
          <w:w w:val="120"/>
        </w:rPr>
        <w:t>dynamiques</w:t>
      </w:r>
      <w:r>
        <w:rPr>
          <w:color w:val="231F20"/>
          <w:spacing w:val="-13"/>
          <w:w w:val="120"/>
        </w:rPr>
        <w:t> </w:t>
      </w:r>
      <w:r>
        <w:rPr>
          <w:color w:val="231F20"/>
          <w:w w:val="120"/>
        </w:rPr>
        <w:t>intersubjectives</w:t>
      </w:r>
      <w:r>
        <w:rPr>
          <w:color w:val="231F20"/>
          <w:spacing w:val="-12"/>
          <w:w w:val="120"/>
        </w:rPr>
        <w:t> </w:t>
      </w:r>
      <w:r>
        <w:rPr>
          <w:color w:val="231F20"/>
          <w:w w:val="120"/>
        </w:rPr>
        <w:t>sous-jacentes aux épisodes conflictuels en milieu de travail.</w:t>
      </w:r>
    </w:p>
    <w:p>
      <w:pPr>
        <w:pStyle w:val="BodyText"/>
        <w:spacing w:before="7"/>
        <w:rPr>
          <w:sz w:val="21"/>
        </w:rPr>
      </w:pPr>
    </w:p>
    <w:p>
      <w:pPr>
        <w:pStyle w:val="BodyText"/>
        <w:spacing w:line="307" w:lineRule="auto"/>
        <w:ind w:left="1179" w:right="243"/>
        <w:jc w:val="both"/>
      </w:pPr>
      <w:r>
        <w:rPr>
          <w:b/>
          <w:color w:val="231F20"/>
          <w:w w:val="115"/>
        </w:rPr>
        <w:t>André</w:t>
      </w:r>
      <w:r>
        <w:rPr>
          <w:b/>
          <w:color w:val="231F20"/>
          <w:spacing w:val="-13"/>
          <w:w w:val="115"/>
        </w:rPr>
        <w:t> </w:t>
      </w:r>
      <w:r>
        <w:rPr>
          <w:b/>
          <w:color w:val="231F20"/>
          <w:w w:val="115"/>
        </w:rPr>
        <w:t>Arsenault</w:t>
      </w:r>
      <w:r>
        <w:rPr>
          <w:b/>
          <w:color w:val="231F20"/>
          <w:spacing w:val="-12"/>
          <w:w w:val="115"/>
        </w:rPr>
        <w:t> </w:t>
      </w:r>
      <w:r>
        <w:rPr>
          <w:color w:val="231F20"/>
          <w:w w:val="115"/>
        </w:rPr>
        <w:t>–</w:t>
      </w:r>
      <w:r>
        <w:rPr>
          <w:color w:val="231F20"/>
          <w:spacing w:val="-9"/>
          <w:w w:val="115"/>
        </w:rPr>
        <w:t> </w:t>
      </w:r>
      <w:r>
        <w:rPr>
          <w:color w:val="231F20"/>
          <w:w w:val="115"/>
        </w:rPr>
        <w:t>Pour</w:t>
      </w:r>
      <w:r>
        <w:rPr>
          <w:color w:val="231F20"/>
          <w:spacing w:val="-9"/>
          <w:w w:val="115"/>
        </w:rPr>
        <w:t> </w:t>
      </w:r>
      <w:r>
        <w:rPr>
          <w:color w:val="231F20"/>
          <w:w w:val="115"/>
        </w:rPr>
        <w:t>André</w:t>
      </w:r>
      <w:r>
        <w:rPr>
          <w:color w:val="231F20"/>
          <w:spacing w:val="-10"/>
          <w:w w:val="115"/>
        </w:rPr>
        <w:t> </w:t>
      </w:r>
      <w:r>
        <w:rPr>
          <w:color w:val="231F20"/>
          <w:w w:val="115"/>
        </w:rPr>
        <w:t>Arsenault,</w:t>
      </w:r>
      <w:r>
        <w:rPr>
          <w:color w:val="231F20"/>
          <w:spacing w:val="-9"/>
          <w:w w:val="115"/>
        </w:rPr>
        <w:t> </w:t>
      </w:r>
      <w:r>
        <w:rPr>
          <w:color w:val="231F20"/>
          <w:w w:val="115"/>
        </w:rPr>
        <w:t>l’intérêt</w:t>
      </w:r>
      <w:r>
        <w:rPr>
          <w:color w:val="231F20"/>
          <w:spacing w:val="-10"/>
          <w:w w:val="115"/>
        </w:rPr>
        <w:t> </w:t>
      </w:r>
      <w:r>
        <w:rPr>
          <w:color w:val="231F20"/>
          <w:w w:val="115"/>
        </w:rPr>
        <w:t>pour</w:t>
      </w:r>
      <w:r>
        <w:rPr>
          <w:color w:val="231F20"/>
          <w:spacing w:val="-9"/>
          <w:w w:val="115"/>
        </w:rPr>
        <w:t> </w:t>
      </w:r>
      <w:r>
        <w:rPr>
          <w:color w:val="231F20"/>
          <w:w w:val="115"/>
        </w:rPr>
        <w:t>la</w:t>
      </w:r>
      <w:r>
        <w:rPr>
          <w:color w:val="231F20"/>
          <w:spacing w:val="-10"/>
          <w:w w:val="115"/>
        </w:rPr>
        <w:t> </w:t>
      </w:r>
      <w:r>
        <w:rPr>
          <w:color w:val="231F20"/>
          <w:w w:val="115"/>
        </w:rPr>
        <w:t>médecine</w:t>
      </w:r>
      <w:r>
        <w:rPr>
          <w:color w:val="231F20"/>
          <w:spacing w:val="-9"/>
          <w:w w:val="115"/>
        </w:rPr>
        <w:t> </w:t>
      </w:r>
      <w:r>
        <w:rPr>
          <w:color w:val="231F20"/>
          <w:w w:val="115"/>
        </w:rPr>
        <w:t>psy- </w:t>
      </w:r>
      <w:r>
        <w:rPr>
          <w:color w:val="231F20"/>
          <w:w w:val="120"/>
        </w:rPr>
        <w:t>chosomatique remonte au Collège Sainte-Marie où la lecture de Franz </w:t>
      </w:r>
      <w:r>
        <w:rPr>
          <w:color w:val="231F20"/>
          <w:w w:val="115"/>
        </w:rPr>
        <w:t>Alexander</w:t>
      </w:r>
      <w:r>
        <w:rPr>
          <w:color w:val="231F20"/>
          <w:spacing w:val="-13"/>
          <w:w w:val="115"/>
        </w:rPr>
        <w:t> </w:t>
      </w:r>
      <w:r>
        <w:rPr>
          <w:color w:val="231F20"/>
          <w:w w:val="115"/>
        </w:rPr>
        <w:t>(1891-1964)</w:t>
      </w:r>
      <w:r>
        <w:rPr>
          <w:color w:val="231F20"/>
          <w:spacing w:val="-12"/>
          <w:w w:val="115"/>
        </w:rPr>
        <w:t> </w:t>
      </w:r>
      <w:r>
        <w:rPr>
          <w:color w:val="231F20"/>
          <w:w w:val="115"/>
        </w:rPr>
        <w:t>a</w:t>
      </w:r>
      <w:r>
        <w:rPr>
          <w:color w:val="231F20"/>
          <w:spacing w:val="-12"/>
          <w:w w:val="115"/>
        </w:rPr>
        <w:t> </w:t>
      </w:r>
      <w:r>
        <w:rPr>
          <w:color w:val="231F20"/>
          <w:w w:val="115"/>
        </w:rPr>
        <w:t>marqué</w:t>
      </w:r>
      <w:r>
        <w:rPr>
          <w:color w:val="231F20"/>
          <w:spacing w:val="-12"/>
          <w:w w:val="115"/>
        </w:rPr>
        <w:t> </w:t>
      </w:r>
      <w:r>
        <w:rPr>
          <w:color w:val="231F20"/>
          <w:w w:val="115"/>
        </w:rPr>
        <w:t>son</w:t>
      </w:r>
      <w:r>
        <w:rPr>
          <w:color w:val="231F20"/>
          <w:spacing w:val="-13"/>
          <w:w w:val="115"/>
        </w:rPr>
        <w:t> </w:t>
      </w:r>
      <w:r>
        <w:rPr>
          <w:color w:val="231F20"/>
          <w:w w:val="115"/>
        </w:rPr>
        <w:t>imaginaire</w:t>
      </w:r>
      <w:r>
        <w:rPr>
          <w:color w:val="231F20"/>
          <w:spacing w:val="-12"/>
          <w:w w:val="115"/>
        </w:rPr>
        <w:t> </w:t>
      </w:r>
      <w:r>
        <w:rPr>
          <w:color w:val="231F20"/>
          <w:w w:val="115"/>
        </w:rPr>
        <w:t>et</w:t>
      </w:r>
      <w:r>
        <w:rPr>
          <w:color w:val="231F20"/>
          <w:spacing w:val="-12"/>
          <w:w w:val="115"/>
        </w:rPr>
        <w:t> </w:t>
      </w:r>
      <w:r>
        <w:rPr>
          <w:color w:val="231F20"/>
          <w:w w:val="115"/>
        </w:rPr>
        <w:t>fait</w:t>
      </w:r>
      <w:r>
        <w:rPr>
          <w:color w:val="231F20"/>
          <w:spacing w:val="-12"/>
          <w:w w:val="115"/>
        </w:rPr>
        <w:t> </w:t>
      </w:r>
      <w:r>
        <w:rPr>
          <w:color w:val="231F20"/>
          <w:w w:val="115"/>
        </w:rPr>
        <w:t>changer</w:t>
      </w:r>
      <w:r>
        <w:rPr>
          <w:color w:val="231F20"/>
          <w:spacing w:val="-12"/>
          <w:w w:val="115"/>
        </w:rPr>
        <w:t> </w:t>
      </w:r>
      <w:r>
        <w:rPr>
          <w:color w:val="231F20"/>
          <w:w w:val="115"/>
        </w:rPr>
        <w:t>son</w:t>
      </w:r>
      <w:r>
        <w:rPr>
          <w:color w:val="231F20"/>
          <w:spacing w:val="-13"/>
          <w:w w:val="115"/>
        </w:rPr>
        <w:t> </w:t>
      </w:r>
      <w:r>
        <w:rPr>
          <w:color w:val="231F20"/>
          <w:w w:val="115"/>
        </w:rPr>
        <w:t>option </w:t>
      </w:r>
      <w:r>
        <w:rPr>
          <w:color w:val="231F20"/>
          <w:w w:val="120"/>
        </w:rPr>
        <w:t>de sciences pures pour la médecine. La faculté s’est avérée un milieu fortement</w:t>
      </w:r>
      <w:r>
        <w:rPr>
          <w:color w:val="231F20"/>
          <w:spacing w:val="-1"/>
          <w:w w:val="120"/>
        </w:rPr>
        <w:t> </w:t>
      </w:r>
      <w:r>
        <w:rPr>
          <w:color w:val="231F20"/>
          <w:w w:val="120"/>
        </w:rPr>
        <w:t>aliénant</w:t>
      </w:r>
      <w:r>
        <w:rPr>
          <w:color w:val="231F20"/>
          <w:spacing w:val="-1"/>
          <w:w w:val="120"/>
        </w:rPr>
        <w:t> </w:t>
      </w:r>
      <w:r>
        <w:rPr>
          <w:color w:val="231F20"/>
          <w:w w:val="120"/>
        </w:rPr>
        <w:t>dans</w:t>
      </w:r>
      <w:r>
        <w:rPr>
          <w:color w:val="231F20"/>
          <w:spacing w:val="-1"/>
          <w:w w:val="120"/>
        </w:rPr>
        <w:t> </w:t>
      </w:r>
      <w:r>
        <w:rPr>
          <w:color w:val="231F20"/>
          <w:w w:val="120"/>
        </w:rPr>
        <w:t>un</w:t>
      </w:r>
      <w:r>
        <w:rPr>
          <w:color w:val="231F20"/>
          <w:spacing w:val="-1"/>
          <w:w w:val="120"/>
        </w:rPr>
        <w:t> </w:t>
      </w:r>
      <w:r>
        <w:rPr>
          <w:color w:val="231F20"/>
          <w:w w:val="120"/>
        </w:rPr>
        <w:t>processus</w:t>
      </w:r>
      <w:r>
        <w:rPr>
          <w:color w:val="231F20"/>
          <w:spacing w:val="-1"/>
          <w:w w:val="120"/>
        </w:rPr>
        <w:t> </w:t>
      </w:r>
      <w:r>
        <w:rPr>
          <w:color w:val="231F20"/>
          <w:w w:val="120"/>
        </w:rPr>
        <w:t>de</w:t>
      </w:r>
      <w:r>
        <w:rPr>
          <w:color w:val="231F20"/>
          <w:spacing w:val="-1"/>
          <w:w w:val="120"/>
        </w:rPr>
        <w:t> </w:t>
      </w:r>
      <w:r>
        <w:rPr>
          <w:color w:val="231F20"/>
          <w:w w:val="120"/>
        </w:rPr>
        <w:t>socialisation</w:t>
      </w:r>
      <w:r>
        <w:rPr>
          <w:color w:val="231F20"/>
          <w:spacing w:val="-1"/>
          <w:w w:val="120"/>
        </w:rPr>
        <w:t> </w:t>
      </w:r>
      <w:r>
        <w:rPr>
          <w:color w:val="231F20"/>
          <w:w w:val="120"/>
        </w:rPr>
        <w:t>très</w:t>
      </w:r>
      <w:r>
        <w:rPr>
          <w:color w:val="231F20"/>
          <w:spacing w:val="-1"/>
          <w:w w:val="120"/>
        </w:rPr>
        <w:t> </w:t>
      </w:r>
      <w:r>
        <w:rPr>
          <w:color w:val="231F20"/>
          <w:w w:val="120"/>
        </w:rPr>
        <w:t>centré</w:t>
      </w:r>
      <w:r>
        <w:rPr>
          <w:color w:val="231F20"/>
          <w:spacing w:val="-1"/>
          <w:w w:val="120"/>
        </w:rPr>
        <w:t> </w:t>
      </w:r>
      <w:r>
        <w:rPr>
          <w:color w:val="231F20"/>
          <w:w w:val="120"/>
        </w:rPr>
        <w:t>sur</w:t>
      </w:r>
      <w:r>
        <w:rPr>
          <w:color w:val="231F20"/>
          <w:spacing w:val="-1"/>
          <w:w w:val="120"/>
        </w:rPr>
        <w:t> </w:t>
      </w:r>
      <w:r>
        <w:rPr>
          <w:color w:val="231F20"/>
          <w:w w:val="120"/>
        </w:rPr>
        <w:t>la </w:t>
      </w:r>
      <w:r>
        <w:rPr>
          <w:color w:val="231F20"/>
          <w:spacing w:val="-2"/>
          <w:w w:val="120"/>
        </w:rPr>
        <w:t>maladie</w:t>
      </w:r>
      <w:r>
        <w:rPr>
          <w:color w:val="231F20"/>
          <w:spacing w:val="-13"/>
          <w:w w:val="120"/>
        </w:rPr>
        <w:t> </w:t>
      </w:r>
      <w:r>
        <w:rPr>
          <w:color w:val="231F20"/>
          <w:spacing w:val="-2"/>
          <w:w w:val="120"/>
        </w:rPr>
        <w:t>plutôt</w:t>
      </w:r>
      <w:r>
        <w:rPr>
          <w:color w:val="231F20"/>
          <w:spacing w:val="-11"/>
          <w:w w:val="120"/>
        </w:rPr>
        <w:t> </w:t>
      </w:r>
      <w:r>
        <w:rPr>
          <w:color w:val="231F20"/>
          <w:spacing w:val="-2"/>
          <w:w w:val="120"/>
        </w:rPr>
        <w:t>que</w:t>
      </w:r>
      <w:r>
        <w:rPr>
          <w:color w:val="231F20"/>
          <w:spacing w:val="-11"/>
          <w:w w:val="120"/>
        </w:rPr>
        <w:t> </w:t>
      </w:r>
      <w:r>
        <w:rPr>
          <w:color w:val="231F20"/>
          <w:spacing w:val="-2"/>
          <w:w w:val="120"/>
        </w:rPr>
        <w:t>sur</w:t>
      </w:r>
      <w:r>
        <w:rPr>
          <w:color w:val="231F20"/>
          <w:spacing w:val="-10"/>
          <w:w w:val="120"/>
        </w:rPr>
        <w:t> </w:t>
      </w:r>
      <w:r>
        <w:rPr>
          <w:color w:val="231F20"/>
          <w:spacing w:val="-2"/>
          <w:w w:val="120"/>
        </w:rPr>
        <w:t>le</w:t>
      </w:r>
      <w:r>
        <w:rPr>
          <w:color w:val="231F20"/>
          <w:spacing w:val="-11"/>
          <w:w w:val="120"/>
        </w:rPr>
        <w:t> </w:t>
      </w:r>
      <w:r>
        <w:rPr>
          <w:color w:val="231F20"/>
          <w:spacing w:val="-2"/>
          <w:w w:val="120"/>
        </w:rPr>
        <w:t>malade.</w:t>
      </w:r>
      <w:r>
        <w:rPr>
          <w:color w:val="231F20"/>
          <w:spacing w:val="-11"/>
          <w:w w:val="120"/>
        </w:rPr>
        <w:t> </w:t>
      </w:r>
      <w:r>
        <w:rPr>
          <w:color w:val="231F20"/>
          <w:spacing w:val="-2"/>
          <w:w w:val="120"/>
        </w:rPr>
        <w:t>Quant</w:t>
      </w:r>
      <w:r>
        <w:rPr>
          <w:color w:val="231F20"/>
          <w:spacing w:val="-11"/>
          <w:w w:val="120"/>
        </w:rPr>
        <w:t> </w:t>
      </w:r>
      <w:r>
        <w:rPr>
          <w:color w:val="231F20"/>
          <w:spacing w:val="-2"/>
          <w:w w:val="120"/>
        </w:rPr>
        <w:t>à</w:t>
      </w:r>
      <w:r>
        <w:rPr>
          <w:color w:val="231F20"/>
          <w:spacing w:val="-10"/>
          <w:w w:val="120"/>
        </w:rPr>
        <w:t> </w:t>
      </w:r>
      <w:r>
        <w:rPr>
          <w:color w:val="231F20"/>
          <w:spacing w:val="-2"/>
          <w:w w:val="120"/>
        </w:rPr>
        <w:t>la</w:t>
      </w:r>
      <w:r>
        <w:rPr>
          <w:color w:val="231F20"/>
          <w:spacing w:val="-11"/>
          <w:w w:val="120"/>
        </w:rPr>
        <w:t> </w:t>
      </w:r>
      <w:r>
        <w:rPr>
          <w:color w:val="231F20"/>
          <w:spacing w:val="-2"/>
          <w:w w:val="120"/>
        </w:rPr>
        <w:t>prévention,</w:t>
      </w:r>
      <w:r>
        <w:rPr>
          <w:color w:val="231F20"/>
          <w:spacing w:val="-11"/>
          <w:w w:val="120"/>
        </w:rPr>
        <w:t> </w:t>
      </w:r>
      <w:r>
        <w:rPr>
          <w:color w:val="231F20"/>
          <w:spacing w:val="-2"/>
          <w:w w:val="120"/>
        </w:rPr>
        <w:t>elle</w:t>
      </w:r>
      <w:r>
        <w:rPr>
          <w:color w:val="231F20"/>
          <w:spacing w:val="-11"/>
          <w:w w:val="120"/>
        </w:rPr>
        <w:t> </w:t>
      </w:r>
      <w:r>
        <w:rPr>
          <w:color w:val="231F20"/>
          <w:spacing w:val="-2"/>
          <w:w w:val="120"/>
        </w:rPr>
        <w:t>faisait</w:t>
      </w:r>
      <w:r>
        <w:rPr>
          <w:color w:val="231F20"/>
          <w:spacing w:val="-10"/>
          <w:w w:val="120"/>
        </w:rPr>
        <w:t> </w:t>
      </w:r>
      <w:r>
        <w:rPr>
          <w:color w:val="231F20"/>
          <w:spacing w:val="-2"/>
          <w:w w:val="120"/>
        </w:rPr>
        <w:t>partie </w:t>
      </w:r>
      <w:r>
        <w:rPr>
          <w:color w:val="231F20"/>
          <w:w w:val="120"/>
        </w:rPr>
        <w:t>de l’univers des rêveurs et des utopistes de la santé publique d’alors. </w:t>
      </w:r>
      <w:r>
        <w:rPr>
          <w:color w:val="231F20"/>
          <w:w w:val="115"/>
        </w:rPr>
        <w:t>L’intérêt</w:t>
      </w:r>
      <w:r>
        <w:rPr>
          <w:color w:val="231F20"/>
          <w:spacing w:val="-7"/>
          <w:w w:val="115"/>
        </w:rPr>
        <w:t> </w:t>
      </w:r>
      <w:r>
        <w:rPr>
          <w:color w:val="231F20"/>
          <w:w w:val="115"/>
        </w:rPr>
        <w:t>pour</w:t>
      </w:r>
      <w:r>
        <w:rPr>
          <w:color w:val="231F20"/>
          <w:spacing w:val="-7"/>
          <w:w w:val="115"/>
        </w:rPr>
        <w:t> </w:t>
      </w:r>
      <w:r>
        <w:rPr>
          <w:color w:val="231F20"/>
          <w:w w:val="115"/>
        </w:rPr>
        <w:t>la</w:t>
      </w:r>
      <w:r>
        <w:rPr>
          <w:color w:val="231F20"/>
          <w:spacing w:val="-7"/>
          <w:w w:val="115"/>
        </w:rPr>
        <w:t> </w:t>
      </w:r>
      <w:r>
        <w:rPr>
          <w:color w:val="231F20"/>
          <w:w w:val="115"/>
        </w:rPr>
        <w:t>santé</w:t>
      </w:r>
      <w:r>
        <w:rPr>
          <w:color w:val="231F20"/>
          <w:spacing w:val="-7"/>
          <w:w w:val="115"/>
        </w:rPr>
        <w:t> </w:t>
      </w:r>
      <w:r>
        <w:rPr>
          <w:color w:val="231F20"/>
          <w:w w:val="115"/>
        </w:rPr>
        <w:t>mentale</w:t>
      </w:r>
      <w:r>
        <w:rPr>
          <w:color w:val="231F20"/>
          <w:spacing w:val="-7"/>
          <w:w w:val="115"/>
        </w:rPr>
        <w:t> </w:t>
      </w:r>
      <w:r>
        <w:rPr>
          <w:color w:val="231F20"/>
          <w:w w:val="115"/>
        </w:rPr>
        <w:t>au</w:t>
      </w:r>
      <w:r>
        <w:rPr>
          <w:color w:val="231F20"/>
          <w:spacing w:val="-7"/>
          <w:w w:val="115"/>
        </w:rPr>
        <w:t> </w:t>
      </w:r>
      <w:r>
        <w:rPr>
          <w:color w:val="231F20"/>
          <w:w w:val="115"/>
        </w:rPr>
        <w:t>travail</w:t>
      </w:r>
      <w:r>
        <w:rPr>
          <w:color w:val="231F20"/>
          <w:spacing w:val="-7"/>
          <w:w w:val="115"/>
        </w:rPr>
        <w:t> </w:t>
      </w:r>
      <w:r>
        <w:rPr>
          <w:color w:val="231F20"/>
          <w:w w:val="115"/>
        </w:rPr>
        <w:t>s’est</w:t>
      </w:r>
      <w:r>
        <w:rPr>
          <w:color w:val="231F20"/>
          <w:spacing w:val="-7"/>
          <w:w w:val="115"/>
        </w:rPr>
        <w:t> </w:t>
      </w:r>
      <w:r>
        <w:rPr>
          <w:color w:val="231F20"/>
          <w:w w:val="115"/>
        </w:rPr>
        <w:t>concrétisé</w:t>
      </w:r>
      <w:r>
        <w:rPr>
          <w:color w:val="231F20"/>
          <w:spacing w:val="-7"/>
          <w:w w:val="115"/>
        </w:rPr>
        <w:t> </w:t>
      </w:r>
      <w:r>
        <w:rPr>
          <w:color w:val="231F20"/>
          <w:w w:val="115"/>
        </w:rPr>
        <w:t>à</w:t>
      </w:r>
      <w:r>
        <w:rPr>
          <w:color w:val="231F20"/>
          <w:spacing w:val="-7"/>
          <w:w w:val="115"/>
        </w:rPr>
        <w:t> </w:t>
      </w:r>
      <w:r>
        <w:rPr>
          <w:color w:val="231F20"/>
          <w:w w:val="115"/>
        </w:rPr>
        <w:t>travers</w:t>
      </w:r>
      <w:r>
        <w:rPr>
          <w:color w:val="231F20"/>
          <w:spacing w:val="-7"/>
          <w:w w:val="115"/>
        </w:rPr>
        <w:t> </w:t>
      </w:r>
      <w:r>
        <w:rPr>
          <w:color w:val="231F20"/>
          <w:w w:val="115"/>
        </w:rPr>
        <w:t>l’action </w:t>
      </w:r>
      <w:r>
        <w:rPr>
          <w:color w:val="231F20"/>
          <w:w w:val="120"/>
        </w:rPr>
        <w:t>syndicale comme promoteur de meilleures conditions d’apprentissage </w:t>
      </w:r>
      <w:r>
        <w:rPr>
          <w:color w:val="231F20"/>
          <w:spacing w:val="-2"/>
          <w:w w:val="120"/>
        </w:rPr>
        <w:t>des</w:t>
      </w:r>
      <w:r>
        <w:rPr>
          <w:color w:val="231F20"/>
          <w:spacing w:val="-6"/>
          <w:w w:val="120"/>
        </w:rPr>
        <w:t> </w:t>
      </w:r>
      <w:r>
        <w:rPr>
          <w:color w:val="231F20"/>
          <w:spacing w:val="-2"/>
          <w:w w:val="120"/>
        </w:rPr>
        <w:t>médecins</w:t>
      </w:r>
      <w:r>
        <w:rPr>
          <w:color w:val="231F20"/>
          <w:spacing w:val="-6"/>
          <w:w w:val="120"/>
        </w:rPr>
        <w:t> </w:t>
      </w:r>
      <w:r>
        <w:rPr>
          <w:color w:val="231F20"/>
          <w:spacing w:val="-2"/>
          <w:w w:val="120"/>
        </w:rPr>
        <w:t>en</w:t>
      </w:r>
      <w:r>
        <w:rPr>
          <w:color w:val="231F20"/>
          <w:spacing w:val="-6"/>
          <w:w w:val="120"/>
        </w:rPr>
        <w:t> </w:t>
      </w:r>
      <w:r>
        <w:rPr>
          <w:color w:val="231F20"/>
          <w:spacing w:val="-2"/>
          <w:w w:val="120"/>
        </w:rPr>
        <w:t>formation</w:t>
      </w:r>
      <w:r>
        <w:rPr>
          <w:color w:val="231F20"/>
          <w:spacing w:val="-6"/>
          <w:w w:val="120"/>
        </w:rPr>
        <w:t> </w:t>
      </w:r>
      <w:r>
        <w:rPr>
          <w:color w:val="231F20"/>
          <w:spacing w:val="-2"/>
          <w:w w:val="120"/>
        </w:rPr>
        <w:t>auprès</w:t>
      </w:r>
      <w:r>
        <w:rPr>
          <w:color w:val="231F20"/>
          <w:spacing w:val="-6"/>
          <w:w w:val="120"/>
        </w:rPr>
        <w:t> </w:t>
      </w:r>
      <w:r>
        <w:rPr>
          <w:color w:val="231F20"/>
          <w:spacing w:val="-2"/>
          <w:w w:val="120"/>
        </w:rPr>
        <w:t>de</w:t>
      </w:r>
      <w:r>
        <w:rPr>
          <w:color w:val="231F20"/>
          <w:spacing w:val="-6"/>
          <w:w w:val="120"/>
        </w:rPr>
        <w:t> </w:t>
      </w:r>
      <w:r>
        <w:rPr>
          <w:color w:val="231F20"/>
          <w:spacing w:val="-2"/>
          <w:w w:val="120"/>
        </w:rPr>
        <w:t>la</w:t>
      </w:r>
      <w:r>
        <w:rPr>
          <w:color w:val="231F20"/>
          <w:spacing w:val="-6"/>
          <w:w w:val="120"/>
        </w:rPr>
        <w:t> </w:t>
      </w:r>
      <w:r>
        <w:rPr>
          <w:color w:val="231F20"/>
          <w:spacing w:val="-2"/>
          <w:w w:val="120"/>
        </w:rPr>
        <w:t>Commission</w:t>
      </w:r>
      <w:r>
        <w:rPr>
          <w:color w:val="231F20"/>
          <w:spacing w:val="-6"/>
          <w:w w:val="120"/>
        </w:rPr>
        <w:t> </w:t>
      </w:r>
      <w:r>
        <w:rPr>
          <w:color w:val="231F20"/>
          <w:spacing w:val="-2"/>
          <w:w w:val="120"/>
        </w:rPr>
        <w:t>Castonguay.</w:t>
      </w:r>
      <w:r>
        <w:rPr>
          <w:color w:val="231F20"/>
          <w:spacing w:val="-6"/>
          <w:w w:val="120"/>
        </w:rPr>
        <w:t> </w:t>
      </w:r>
      <w:r>
        <w:rPr>
          <w:color w:val="231F20"/>
          <w:spacing w:val="-2"/>
          <w:w w:val="120"/>
        </w:rPr>
        <w:t>Jeune </w:t>
      </w:r>
      <w:r>
        <w:rPr>
          <w:color w:val="231F20"/>
          <w:w w:val="115"/>
        </w:rPr>
        <w:t>professeur</w:t>
      </w:r>
      <w:r>
        <w:rPr>
          <w:color w:val="231F20"/>
          <w:spacing w:val="-5"/>
          <w:w w:val="115"/>
        </w:rPr>
        <w:t> </w:t>
      </w:r>
      <w:r>
        <w:rPr>
          <w:color w:val="231F20"/>
          <w:w w:val="115"/>
        </w:rPr>
        <w:t>en</w:t>
      </w:r>
      <w:r>
        <w:rPr>
          <w:color w:val="231F20"/>
          <w:spacing w:val="-5"/>
          <w:w w:val="115"/>
        </w:rPr>
        <w:t> </w:t>
      </w:r>
      <w:r>
        <w:rPr>
          <w:color w:val="231F20"/>
          <w:w w:val="115"/>
        </w:rPr>
        <w:t>médecine</w:t>
      </w:r>
      <w:r>
        <w:rPr>
          <w:color w:val="231F20"/>
          <w:spacing w:val="-5"/>
          <w:w w:val="115"/>
        </w:rPr>
        <w:t> </w:t>
      </w:r>
      <w:r>
        <w:rPr>
          <w:color w:val="231F20"/>
          <w:w w:val="115"/>
        </w:rPr>
        <w:t>nucléaire</w:t>
      </w:r>
      <w:r>
        <w:rPr>
          <w:color w:val="231F20"/>
          <w:spacing w:val="-5"/>
          <w:w w:val="115"/>
        </w:rPr>
        <w:t> </w:t>
      </w:r>
      <w:r>
        <w:rPr>
          <w:color w:val="231F20"/>
          <w:w w:val="115"/>
        </w:rPr>
        <w:t>à</w:t>
      </w:r>
      <w:r>
        <w:rPr>
          <w:color w:val="231F20"/>
          <w:spacing w:val="-5"/>
          <w:w w:val="115"/>
        </w:rPr>
        <w:t> </w:t>
      </w:r>
      <w:r>
        <w:rPr>
          <w:color w:val="231F20"/>
          <w:w w:val="115"/>
        </w:rPr>
        <w:t>l’Université</w:t>
      </w:r>
      <w:r>
        <w:rPr>
          <w:color w:val="231F20"/>
          <w:spacing w:val="-5"/>
          <w:w w:val="115"/>
        </w:rPr>
        <w:t> </w:t>
      </w:r>
      <w:r>
        <w:rPr>
          <w:color w:val="231F20"/>
          <w:w w:val="115"/>
        </w:rPr>
        <w:t>de</w:t>
      </w:r>
      <w:r>
        <w:rPr>
          <w:color w:val="231F20"/>
          <w:spacing w:val="-5"/>
          <w:w w:val="115"/>
        </w:rPr>
        <w:t> </w:t>
      </w:r>
      <w:r>
        <w:rPr>
          <w:color w:val="231F20"/>
          <w:w w:val="115"/>
        </w:rPr>
        <w:t>Sherbrooke,</w:t>
      </w:r>
      <w:r>
        <w:rPr>
          <w:color w:val="231F20"/>
          <w:spacing w:val="-5"/>
          <w:w w:val="115"/>
        </w:rPr>
        <w:t> </w:t>
      </w:r>
      <w:r>
        <w:rPr>
          <w:color w:val="231F20"/>
          <w:w w:val="115"/>
        </w:rPr>
        <w:t>il</w:t>
      </w:r>
      <w:r>
        <w:rPr>
          <w:color w:val="231F20"/>
          <w:spacing w:val="-5"/>
          <w:w w:val="115"/>
        </w:rPr>
        <w:t> </w:t>
      </w:r>
      <w:r>
        <w:rPr>
          <w:color w:val="231F20"/>
          <w:w w:val="115"/>
        </w:rPr>
        <w:t>a</w:t>
      </w:r>
      <w:r>
        <w:rPr>
          <w:color w:val="231F20"/>
          <w:spacing w:val="-5"/>
          <w:w w:val="115"/>
        </w:rPr>
        <w:t> </w:t>
      </w:r>
      <w:r>
        <w:rPr>
          <w:color w:val="231F20"/>
          <w:w w:val="115"/>
        </w:rPr>
        <w:t>conti- </w:t>
      </w:r>
      <w:r>
        <w:rPr>
          <w:color w:val="231F20"/>
          <w:w w:val="120"/>
        </w:rPr>
        <w:t>nué à partager ses champs d’intérêt entre la chimie, la physique et les mathématiques,</w:t>
      </w:r>
      <w:r>
        <w:rPr>
          <w:color w:val="231F20"/>
          <w:spacing w:val="-7"/>
          <w:w w:val="120"/>
        </w:rPr>
        <w:t> </w:t>
      </w:r>
      <w:r>
        <w:rPr>
          <w:color w:val="231F20"/>
          <w:w w:val="120"/>
        </w:rPr>
        <w:t>et</w:t>
      </w:r>
      <w:r>
        <w:rPr>
          <w:color w:val="231F20"/>
          <w:spacing w:val="-7"/>
          <w:w w:val="120"/>
        </w:rPr>
        <w:t> </w:t>
      </w:r>
      <w:r>
        <w:rPr>
          <w:color w:val="231F20"/>
          <w:w w:val="120"/>
        </w:rPr>
        <w:t>les</w:t>
      </w:r>
      <w:r>
        <w:rPr>
          <w:color w:val="231F20"/>
          <w:spacing w:val="-7"/>
          <w:w w:val="120"/>
        </w:rPr>
        <w:t> </w:t>
      </w:r>
      <w:r>
        <w:rPr>
          <w:color w:val="231F20"/>
          <w:w w:val="120"/>
        </w:rPr>
        <w:t>sciences</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santé</w:t>
      </w:r>
      <w:r>
        <w:rPr>
          <w:color w:val="231F20"/>
          <w:spacing w:val="-7"/>
          <w:w w:val="120"/>
        </w:rPr>
        <w:t> </w:t>
      </w:r>
      <w:r>
        <w:rPr>
          <w:color w:val="231F20"/>
          <w:w w:val="120"/>
        </w:rPr>
        <w:t>communautaire.</w:t>
      </w:r>
      <w:r>
        <w:rPr>
          <w:color w:val="231F20"/>
          <w:spacing w:val="-7"/>
          <w:w w:val="120"/>
        </w:rPr>
        <w:t> </w:t>
      </w:r>
      <w:r>
        <w:rPr>
          <w:color w:val="231F20"/>
          <w:w w:val="120"/>
        </w:rPr>
        <w:t>Là,</w:t>
      </w:r>
      <w:r>
        <w:rPr>
          <w:color w:val="231F20"/>
          <w:spacing w:val="-7"/>
          <w:w w:val="120"/>
        </w:rPr>
        <w:t> </w:t>
      </w:r>
      <w:r>
        <w:rPr>
          <w:color w:val="231F20"/>
          <w:w w:val="120"/>
        </w:rPr>
        <w:t>l’épidé- </w:t>
      </w:r>
      <w:r>
        <w:rPr>
          <w:color w:val="231F20"/>
          <w:spacing w:val="-2"/>
          <w:w w:val="115"/>
        </w:rPr>
        <w:t>miologie,</w:t>
      </w:r>
      <w:r>
        <w:rPr>
          <w:color w:val="231F20"/>
          <w:spacing w:val="-4"/>
          <w:w w:val="115"/>
        </w:rPr>
        <w:t> </w:t>
      </w:r>
      <w:r>
        <w:rPr>
          <w:color w:val="231F20"/>
          <w:spacing w:val="-2"/>
          <w:w w:val="115"/>
        </w:rPr>
        <w:t>la</w:t>
      </w:r>
      <w:r>
        <w:rPr>
          <w:color w:val="231F20"/>
          <w:spacing w:val="-4"/>
          <w:w w:val="115"/>
        </w:rPr>
        <w:t> </w:t>
      </w:r>
      <w:r>
        <w:rPr>
          <w:color w:val="231F20"/>
          <w:spacing w:val="-2"/>
          <w:w w:val="115"/>
        </w:rPr>
        <w:t>sociologie</w:t>
      </w:r>
      <w:r>
        <w:rPr>
          <w:color w:val="231F20"/>
          <w:spacing w:val="-4"/>
          <w:w w:val="115"/>
        </w:rPr>
        <w:t> </w:t>
      </w:r>
      <w:r>
        <w:rPr>
          <w:color w:val="231F20"/>
          <w:spacing w:val="-2"/>
          <w:w w:val="115"/>
        </w:rPr>
        <w:t>et</w:t>
      </w:r>
      <w:r>
        <w:rPr>
          <w:color w:val="231F20"/>
          <w:spacing w:val="-4"/>
          <w:w w:val="115"/>
        </w:rPr>
        <w:t> </w:t>
      </w:r>
      <w:r>
        <w:rPr>
          <w:color w:val="231F20"/>
          <w:spacing w:val="-2"/>
          <w:w w:val="115"/>
        </w:rPr>
        <w:t>l’économie</w:t>
      </w:r>
      <w:r>
        <w:rPr>
          <w:color w:val="231F20"/>
          <w:spacing w:val="-4"/>
          <w:w w:val="115"/>
        </w:rPr>
        <w:t> </w:t>
      </w:r>
      <w:r>
        <w:rPr>
          <w:color w:val="231F20"/>
          <w:spacing w:val="-2"/>
          <w:w w:val="115"/>
        </w:rPr>
        <w:t>de</w:t>
      </w:r>
      <w:r>
        <w:rPr>
          <w:color w:val="231F20"/>
          <w:spacing w:val="-4"/>
          <w:w w:val="115"/>
        </w:rPr>
        <w:t> </w:t>
      </w:r>
      <w:r>
        <w:rPr>
          <w:color w:val="231F20"/>
          <w:spacing w:val="-2"/>
          <w:w w:val="115"/>
        </w:rPr>
        <w:t>la</w:t>
      </w:r>
      <w:r>
        <w:rPr>
          <w:color w:val="231F20"/>
          <w:spacing w:val="-4"/>
          <w:w w:val="115"/>
        </w:rPr>
        <w:t> </w:t>
      </w:r>
      <w:r>
        <w:rPr>
          <w:color w:val="231F20"/>
          <w:spacing w:val="-2"/>
          <w:w w:val="115"/>
        </w:rPr>
        <w:t>santé</w:t>
      </w:r>
      <w:r>
        <w:rPr>
          <w:color w:val="231F20"/>
          <w:spacing w:val="-4"/>
          <w:w w:val="115"/>
        </w:rPr>
        <w:t> </w:t>
      </w:r>
      <w:r>
        <w:rPr>
          <w:color w:val="231F20"/>
          <w:spacing w:val="-2"/>
          <w:w w:val="115"/>
        </w:rPr>
        <w:t>ont</w:t>
      </w:r>
      <w:r>
        <w:rPr>
          <w:color w:val="231F20"/>
          <w:spacing w:val="-4"/>
          <w:w w:val="115"/>
        </w:rPr>
        <w:t> </w:t>
      </w:r>
      <w:r>
        <w:rPr>
          <w:color w:val="231F20"/>
          <w:spacing w:val="-2"/>
          <w:w w:val="115"/>
        </w:rPr>
        <w:t>alimenté</w:t>
      </w:r>
      <w:r>
        <w:rPr>
          <w:color w:val="231F20"/>
          <w:spacing w:val="-4"/>
          <w:w w:val="115"/>
        </w:rPr>
        <w:t> </w:t>
      </w:r>
      <w:r>
        <w:rPr>
          <w:color w:val="231F20"/>
          <w:spacing w:val="-2"/>
          <w:w w:val="115"/>
        </w:rPr>
        <w:t>une</w:t>
      </w:r>
      <w:r>
        <w:rPr>
          <w:color w:val="231F20"/>
          <w:spacing w:val="-4"/>
          <w:w w:val="115"/>
        </w:rPr>
        <w:t> </w:t>
      </w:r>
      <w:r>
        <w:rPr>
          <w:color w:val="231F20"/>
          <w:spacing w:val="-2"/>
          <w:w w:val="115"/>
        </w:rPr>
        <w:t>réflexion </w:t>
      </w:r>
      <w:r>
        <w:rPr>
          <w:color w:val="231F20"/>
          <w:w w:val="120"/>
        </w:rPr>
        <w:t>sur</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et</w:t>
      </w:r>
      <w:r>
        <w:rPr>
          <w:color w:val="231F20"/>
          <w:spacing w:val="-12"/>
          <w:w w:val="120"/>
        </w:rPr>
        <w:t> </w:t>
      </w:r>
      <w:r>
        <w:rPr>
          <w:color w:val="231F20"/>
          <w:w w:val="120"/>
        </w:rPr>
        <w:t>l’aliénation</w:t>
      </w:r>
      <w:r>
        <w:rPr>
          <w:color w:val="231F20"/>
          <w:spacing w:val="-12"/>
          <w:w w:val="120"/>
        </w:rPr>
        <w:t> </w:t>
      </w:r>
      <w:r>
        <w:rPr>
          <w:color w:val="231F20"/>
          <w:w w:val="120"/>
        </w:rPr>
        <w:t>au</w:t>
      </w:r>
      <w:r>
        <w:rPr>
          <w:color w:val="231F20"/>
          <w:spacing w:val="-12"/>
          <w:w w:val="120"/>
        </w:rPr>
        <w:t> </w:t>
      </w:r>
      <w:r>
        <w:rPr>
          <w:color w:val="231F20"/>
          <w:w w:val="120"/>
        </w:rPr>
        <w:t>sein</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faculté</w:t>
      </w:r>
      <w:r>
        <w:rPr>
          <w:color w:val="231F20"/>
          <w:spacing w:val="-12"/>
          <w:w w:val="120"/>
        </w:rPr>
        <w:t> </w:t>
      </w:r>
      <w:r>
        <w:rPr>
          <w:color w:val="231F20"/>
          <w:w w:val="120"/>
        </w:rPr>
        <w:t>qui</w:t>
      </w:r>
      <w:r>
        <w:rPr>
          <w:color w:val="231F20"/>
          <w:spacing w:val="-12"/>
          <w:w w:val="120"/>
        </w:rPr>
        <w:t> </w:t>
      </w:r>
      <w:r>
        <w:rPr>
          <w:color w:val="231F20"/>
          <w:w w:val="120"/>
        </w:rPr>
        <w:t>affectait</w:t>
      </w:r>
      <w:r>
        <w:rPr>
          <w:color w:val="231F20"/>
          <w:spacing w:val="-12"/>
          <w:w w:val="120"/>
        </w:rPr>
        <w:t> </w:t>
      </w:r>
      <w:r>
        <w:rPr>
          <w:color w:val="231F20"/>
          <w:w w:val="120"/>
        </w:rPr>
        <w:t>la</w:t>
      </w:r>
      <w:r>
        <w:rPr>
          <w:color w:val="231F20"/>
          <w:spacing w:val="-12"/>
          <w:w w:val="120"/>
        </w:rPr>
        <w:t> </w:t>
      </w:r>
      <w:r>
        <w:rPr>
          <w:color w:val="231F20"/>
          <w:w w:val="120"/>
        </w:rPr>
        <w:t>qualité</w:t>
      </w:r>
      <w:r>
        <w:rPr>
          <w:color w:val="231F20"/>
          <w:spacing w:val="-12"/>
          <w:w w:val="120"/>
        </w:rPr>
        <w:t> </w:t>
      </w:r>
      <w:r>
        <w:rPr>
          <w:color w:val="231F20"/>
          <w:w w:val="120"/>
        </w:rPr>
        <w:t>de vie des professeurs, des étudiants et des malades tout autant. Selon le mot lumineux de son ami Rodrigue Johnson, sociologue et camarade de</w:t>
      </w:r>
      <w:r>
        <w:rPr>
          <w:color w:val="231F20"/>
          <w:spacing w:val="-13"/>
          <w:w w:val="120"/>
        </w:rPr>
        <w:t> </w:t>
      </w:r>
      <w:r>
        <w:rPr>
          <w:color w:val="231F20"/>
          <w:w w:val="120"/>
        </w:rPr>
        <w:t>faculté,</w:t>
      </w:r>
      <w:r>
        <w:rPr>
          <w:color w:val="231F20"/>
          <w:spacing w:val="-12"/>
          <w:w w:val="120"/>
        </w:rPr>
        <w:t> </w:t>
      </w:r>
      <w:r>
        <w:rPr>
          <w:color w:val="231F20"/>
          <w:w w:val="120"/>
        </w:rPr>
        <w:t>le</w:t>
      </w:r>
      <w:r>
        <w:rPr>
          <w:color w:val="231F20"/>
          <w:spacing w:val="-13"/>
          <w:w w:val="120"/>
        </w:rPr>
        <w:t> </w:t>
      </w:r>
      <w:r>
        <w:rPr>
          <w:color w:val="231F20"/>
          <w:w w:val="120"/>
        </w:rPr>
        <w:t>patient</w:t>
      </w:r>
      <w:r>
        <w:rPr>
          <w:color w:val="231F20"/>
          <w:spacing w:val="-12"/>
          <w:w w:val="120"/>
        </w:rPr>
        <w:t> </w:t>
      </w:r>
      <w:r>
        <w:rPr>
          <w:color w:val="231F20"/>
          <w:w w:val="120"/>
        </w:rPr>
        <w:t>était</w:t>
      </w:r>
      <w:r>
        <w:rPr>
          <w:color w:val="231F20"/>
          <w:spacing w:val="-13"/>
          <w:w w:val="120"/>
        </w:rPr>
        <w:t> </w:t>
      </w:r>
      <w:r>
        <w:rPr>
          <w:color w:val="231F20"/>
          <w:w w:val="120"/>
        </w:rPr>
        <w:t>et</w:t>
      </w:r>
      <w:r>
        <w:rPr>
          <w:color w:val="231F20"/>
          <w:spacing w:val="-12"/>
          <w:w w:val="120"/>
        </w:rPr>
        <w:t> </w:t>
      </w:r>
      <w:r>
        <w:rPr>
          <w:color w:val="231F20"/>
          <w:w w:val="120"/>
        </w:rPr>
        <w:t>est</w:t>
      </w:r>
      <w:r>
        <w:rPr>
          <w:color w:val="231F20"/>
          <w:spacing w:val="-13"/>
          <w:w w:val="120"/>
        </w:rPr>
        <w:t> </w:t>
      </w:r>
      <w:r>
        <w:rPr>
          <w:color w:val="231F20"/>
          <w:w w:val="120"/>
        </w:rPr>
        <w:t>devenu</w:t>
      </w:r>
      <w:r>
        <w:rPr>
          <w:color w:val="231F20"/>
          <w:spacing w:val="-12"/>
          <w:w w:val="120"/>
        </w:rPr>
        <w:t> </w:t>
      </w:r>
      <w:r>
        <w:rPr>
          <w:color w:val="231F20"/>
          <w:w w:val="120"/>
        </w:rPr>
        <w:t>l’objet</w:t>
      </w:r>
      <w:r>
        <w:rPr>
          <w:color w:val="231F20"/>
          <w:spacing w:val="-13"/>
          <w:w w:val="120"/>
        </w:rPr>
        <w:t> </w:t>
      </w:r>
      <w:r>
        <w:rPr>
          <w:color w:val="231F20"/>
          <w:w w:val="120"/>
        </w:rPr>
        <w:t>d’une</w:t>
      </w:r>
      <w:r>
        <w:rPr>
          <w:color w:val="231F20"/>
          <w:spacing w:val="-12"/>
          <w:w w:val="120"/>
        </w:rPr>
        <w:t> </w:t>
      </w:r>
      <w:r>
        <w:rPr>
          <w:color w:val="231F20"/>
          <w:w w:val="120"/>
        </w:rPr>
        <w:t>intervention</w:t>
      </w:r>
      <w:r>
        <w:rPr>
          <w:color w:val="231F20"/>
          <w:spacing w:val="-13"/>
          <w:w w:val="120"/>
        </w:rPr>
        <w:t> </w:t>
      </w:r>
      <w:r>
        <w:rPr>
          <w:color w:val="231F20"/>
          <w:w w:val="120"/>
        </w:rPr>
        <w:t>et</w:t>
      </w:r>
      <w:r>
        <w:rPr>
          <w:color w:val="231F20"/>
          <w:spacing w:val="-12"/>
          <w:w w:val="120"/>
        </w:rPr>
        <w:t> </w:t>
      </w:r>
      <w:r>
        <w:rPr>
          <w:color w:val="231F20"/>
          <w:w w:val="120"/>
        </w:rPr>
        <w:t>non </w:t>
      </w:r>
      <w:r>
        <w:rPr>
          <w:color w:val="231F20"/>
          <w:spacing w:val="-2"/>
          <w:w w:val="120"/>
        </w:rPr>
        <w:t>pas</w:t>
      </w:r>
      <w:r>
        <w:rPr>
          <w:color w:val="231F20"/>
          <w:spacing w:val="-6"/>
          <w:w w:val="120"/>
        </w:rPr>
        <w:t> </w:t>
      </w:r>
      <w:r>
        <w:rPr>
          <w:color w:val="231F20"/>
          <w:spacing w:val="-2"/>
          <w:w w:val="120"/>
        </w:rPr>
        <w:t>le</w:t>
      </w:r>
      <w:r>
        <w:rPr>
          <w:color w:val="231F20"/>
          <w:spacing w:val="-6"/>
          <w:w w:val="120"/>
        </w:rPr>
        <w:t> </w:t>
      </w:r>
      <w:r>
        <w:rPr>
          <w:color w:val="231F20"/>
          <w:spacing w:val="-2"/>
          <w:w w:val="120"/>
        </w:rPr>
        <w:t>sujet</w:t>
      </w:r>
      <w:r>
        <w:rPr>
          <w:color w:val="231F20"/>
          <w:spacing w:val="-6"/>
          <w:w w:val="120"/>
        </w:rPr>
        <w:t> </w:t>
      </w:r>
      <w:r>
        <w:rPr>
          <w:color w:val="231F20"/>
          <w:spacing w:val="-2"/>
          <w:w w:val="120"/>
        </w:rPr>
        <w:t>de</w:t>
      </w:r>
      <w:r>
        <w:rPr>
          <w:color w:val="231F20"/>
          <w:spacing w:val="-6"/>
          <w:w w:val="120"/>
        </w:rPr>
        <w:t> </w:t>
      </w:r>
      <w:r>
        <w:rPr>
          <w:color w:val="231F20"/>
          <w:spacing w:val="-2"/>
          <w:w w:val="120"/>
        </w:rPr>
        <w:t>sa</w:t>
      </w:r>
      <w:r>
        <w:rPr>
          <w:color w:val="231F20"/>
          <w:spacing w:val="-6"/>
          <w:w w:val="120"/>
        </w:rPr>
        <w:t> </w:t>
      </w:r>
      <w:r>
        <w:rPr>
          <w:color w:val="231F20"/>
          <w:spacing w:val="-2"/>
          <w:w w:val="120"/>
        </w:rPr>
        <w:t>maladie.</w:t>
      </w:r>
      <w:r>
        <w:rPr>
          <w:color w:val="231F20"/>
          <w:spacing w:val="-6"/>
          <w:w w:val="120"/>
        </w:rPr>
        <w:t> </w:t>
      </w:r>
      <w:r>
        <w:rPr>
          <w:color w:val="231F20"/>
          <w:spacing w:val="-2"/>
          <w:w w:val="120"/>
        </w:rPr>
        <w:t>Cette</w:t>
      </w:r>
      <w:r>
        <w:rPr>
          <w:color w:val="231F20"/>
          <w:spacing w:val="-6"/>
          <w:w w:val="120"/>
        </w:rPr>
        <w:t> </w:t>
      </w:r>
      <w:r>
        <w:rPr>
          <w:color w:val="231F20"/>
          <w:spacing w:val="-2"/>
          <w:w w:val="120"/>
        </w:rPr>
        <w:t>crise</w:t>
      </w:r>
      <w:r>
        <w:rPr>
          <w:color w:val="231F20"/>
          <w:spacing w:val="-6"/>
          <w:w w:val="120"/>
        </w:rPr>
        <w:t> </w:t>
      </w:r>
      <w:r>
        <w:rPr>
          <w:color w:val="231F20"/>
          <w:spacing w:val="-2"/>
          <w:w w:val="120"/>
        </w:rPr>
        <w:t>identitaire</w:t>
      </w:r>
      <w:r>
        <w:rPr>
          <w:color w:val="231F20"/>
          <w:spacing w:val="-6"/>
          <w:w w:val="120"/>
        </w:rPr>
        <w:t> </w:t>
      </w:r>
      <w:r>
        <w:rPr>
          <w:color w:val="231F20"/>
          <w:spacing w:val="-2"/>
          <w:w w:val="120"/>
        </w:rPr>
        <w:t>l’a</w:t>
      </w:r>
      <w:r>
        <w:rPr>
          <w:color w:val="231F20"/>
          <w:spacing w:val="-6"/>
          <w:w w:val="120"/>
        </w:rPr>
        <w:t> </w:t>
      </w:r>
      <w:r>
        <w:rPr>
          <w:color w:val="231F20"/>
          <w:spacing w:val="-2"/>
          <w:w w:val="120"/>
        </w:rPr>
        <w:t>amené</w:t>
      </w:r>
      <w:r>
        <w:rPr>
          <w:color w:val="231F20"/>
          <w:spacing w:val="-6"/>
          <w:w w:val="120"/>
        </w:rPr>
        <w:t> </w:t>
      </w:r>
      <w:r>
        <w:rPr>
          <w:color w:val="231F20"/>
          <w:spacing w:val="-2"/>
          <w:w w:val="120"/>
        </w:rPr>
        <w:t>à</w:t>
      </w:r>
      <w:r>
        <w:rPr>
          <w:color w:val="231F20"/>
          <w:spacing w:val="-6"/>
          <w:w w:val="120"/>
        </w:rPr>
        <w:t> </w:t>
      </w:r>
      <w:r>
        <w:rPr>
          <w:color w:val="231F20"/>
          <w:spacing w:val="-2"/>
          <w:w w:val="120"/>
        </w:rPr>
        <w:t>abandonner </w:t>
      </w:r>
      <w:r>
        <w:rPr>
          <w:color w:val="231F20"/>
          <w:w w:val="120"/>
        </w:rPr>
        <w:t>sa carrière de professeur en médecine nucléaire pour devenir médecin </w:t>
      </w:r>
      <w:r>
        <w:rPr>
          <w:color w:val="231F20"/>
          <w:spacing w:val="-2"/>
          <w:w w:val="120"/>
        </w:rPr>
        <w:t>du</w:t>
      </w:r>
      <w:r>
        <w:rPr>
          <w:color w:val="231F20"/>
          <w:spacing w:val="-10"/>
          <w:w w:val="120"/>
        </w:rPr>
        <w:t> </w:t>
      </w:r>
      <w:r>
        <w:rPr>
          <w:color w:val="231F20"/>
          <w:spacing w:val="-2"/>
          <w:w w:val="120"/>
        </w:rPr>
        <w:t>travail</w:t>
      </w:r>
      <w:r>
        <w:rPr>
          <w:color w:val="231F20"/>
          <w:spacing w:val="-10"/>
          <w:w w:val="120"/>
        </w:rPr>
        <w:t> </w:t>
      </w:r>
      <w:r>
        <w:rPr>
          <w:color w:val="231F20"/>
          <w:spacing w:val="-2"/>
          <w:w w:val="120"/>
        </w:rPr>
        <w:t>à</w:t>
      </w:r>
      <w:r>
        <w:rPr>
          <w:color w:val="231F20"/>
          <w:spacing w:val="-10"/>
          <w:w w:val="120"/>
        </w:rPr>
        <w:t> </w:t>
      </w:r>
      <w:r>
        <w:rPr>
          <w:color w:val="231F20"/>
          <w:spacing w:val="-2"/>
          <w:w w:val="120"/>
        </w:rPr>
        <w:t>Hydro-Québec</w:t>
      </w:r>
      <w:r>
        <w:rPr>
          <w:color w:val="231F20"/>
          <w:spacing w:val="-10"/>
          <w:w w:val="120"/>
        </w:rPr>
        <w:t> </w:t>
      </w:r>
      <w:r>
        <w:rPr>
          <w:color w:val="231F20"/>
          <w:spacing w:val="-2"/>
          <w:w w:val="120"/>
        </w:rPr>
        <w:t>dans</w:t>
      </w:r>
      <w:r>
        <w:rPr>
          <w:color w:val="231F20"/>
          <w:spacing w:val="-10"/>
          <w:w w:val="120"/>
        </w:rPr>
        <w:t> </w:t>
      </w:r>
      <w:r>
        <w:rPr>
          <w:color w:val="231F20"/>
          <w:spacing w:val="-2"/>
          <w:w w:val="120"/>
        </w:rPr>
        <w:t>une</w:t>
      </w:r>
      <w:r>
        <w:rPr>
          <w:color w:val="231F20"/>
          <w:spacing w:val="-10"/>
          <w:w w:val="120"/>
        </w:rPr>
        <w:t> </w:t>
      </w:r>
      <w:r>
        <w:rPr>
          <w:color w:val="231F20"/>
          <w:spacing w:val="-2"/>
          <w:w w:val="120"/>
        </w:rPr>
        <w:t>organisation</w:t>
      </w:r>
      <w:r>
        <w:rPr>
          <w:color w:val="231F20"/>
          <w:spacing w:val="-10"/>
          <w:w w:val="120"/>
        </w:rPr>
        <w:t> </w:t>
      </w:r>
      <w:r>
        <w:rPr>
          <w:color w:val="231F20"/>
          <w:spacing w:val="-2"/>
          <w:w w:val="120"/>
        </w:rPr>
        <w:t>où</w:t>
      </w:r>
      <w:r>
        <w:rPr>
          <w:color w:val="231F20"/>
          <w:spacing w:val="-10"/>
          <w:w w:val="120"/>
        </w:rPr>
        <w:t> </w:t>
      </w:r>
      <w:r>
        <w:rPr>
          <w:color w:val="231F20"/>
          <w:spacing w:val="-2"/>
          <w:w w:val="120"/>
        </w:rPr>
        <w:t>la</w:t>
      </w:r>
      <w:r>
        <w:rPr>
          <w:color w:val="231F20"/>
          <w:spacing w:val="-10"/>
          <w:w w:val="120"/>
        </w:rPr>
        <w:t> </w:t>
      </w:r>
      <w:r>
        <w:rPr>
          <w:color w:val="231F20"/>
          <w:spacing w:val="-2"/>
          <w:w w:val="120"/>
        </w:rPr>
        <w:t>prévention</w:t>
      </w:r>
      <w:r>
        <w:rPr>
          <w:color w:val="231F20"/>
          <w:spacing w:val="-10"/>
          <w:w w:val="120"/>
        </w:rPr>
        <w:t> </w:t>
      </w:r>
      <w:r>
        <w:rPr>
          <w:color w:val="231F20"/>
          <w:spacing w:val="-2"/>
          <w:w w:val="120"/>
        </w:rPr>
        <w:t>devait </w:t>
      </w:r>
      <w:r>
        <w:rPr>
          <w:color w:val="231F20"/>
          <w:w w:val="120"/>
        </w:rPr>
        <w:t>être une priorité. Au début des années 1980, la réforme de la santé au travail était dans l’air et Hydro-Québec apparaissait comme un terrain </w:t>
      </w:r>
      <w:r>
        <w:rPr>
          <w:color w:val="231F20"/>
          <w:w w:val="115"/>
        </w:rPr>
        <w:t>fertile.</w:t>
      </w:r>
      <w:r>
        <w:rPr>
          <w:color w:val="231F20"/>
          <w:spacing w:val="-13"/>
          <w:w w:val="115"/>
        </w:rPr>
        <w:t> </w:t>
      </w:r>
      <w:r>
        <w:rPr>
          <w:color w:val="231F20"/>
          <w:w w:val="115"/>
        </w:rPr>
        <w:t>C’est</w:t>
      </w:r>
      <w:r>
        <w:rPr>
          <w:color w:val="231F20"/>
          <w:spacing w:val="-12"/>
          <w:w w:val="115"/>
        </w:rPr>
        <w:t> </w:t>
      </w:r>
      <w:r>
        <w:rPr>
          <w:color w:val="231F20"/>
          <w:w w:val="115"/>
        </w:rPr>
        <w:t>dans</w:t>
      </w:r>
      <w:r>
        <w:rPr>
          <w:color w:val="231F20"/>
          <w:spacing w:val="-8"/>
          <w:w w:val="115"/>
        </w:rPr>
        <w:t> </w:t>
      </w:r>
      <w:r>
        <w:rPr>
          <w:color w:val="231F20"/>
          <w:w w:val="115"/>
        </w:rPr>
        <w:t>ce</w:t>
      </w:r>
      <w:r>
        <w:rPr>
          <w:color w:val="231F20"/>
          <w:spacing w:val="-6"/>
          <w:w w:val="115"/>
        </w:rPr>
        <w:t> </w:t>
      </w:r>
      <w:r>
        <w:rPr>
          <w:color w:val="231F20"/>
          <w:w w:val="115"/>
        </w:rPr>
        <w:t>contexte</w:t>
      </w:r>
      <w:r>
        <w:rPr>
          <w:color w:val="231F20"/>
          <w:spacing w:val="-6"/>
          <w:w w:val="115"/>
        </w:rPr>
        <w:t> </w:t>
      </w:r>
      <w:r>
        <w:rPr>
          <w:color w:val="231F20"/>
          <w:w w:val="115"/>
        </w:rPr>
        <w:t>que</w:t>
      </w:r>
      <w:r>
        <w:rPr>
          <w:color w:val="231F20"/>
          <w:spacing w:val="-6"/>
          <w:w w:val="115"/>
        </w:rPr>
        <w:t> </w:t>
      </w:r>
      <w:r>
        <w:rPr>
          <w:color w:val="231F20"/>
          <w:w w:val="115"/>
        </w:rPr>
        <w:t>s’est</w:t>
      </w:r>
      <w:r>
        <w:rPr>
          <w:color w:val="231F20"/>
          <w:spacing w:val="-6"/>
          <w:w w:val="115"/>
        </w:rPr>
        <w:t> </w:t>
      </w:r>
      <w:r>
        <w:rPr>
          <w:color w:val="231F20"/>
          <w:w w:val="115"/>
        </w:rPr>
        <w:t>produite</w:t>
      </w:r>
      <w:r>
        <w:rPr>
          <w:color w:val="231F20"/>
          <w:spacing w:val="-6"/>
          <w:w w:val="115"/>
        </w:rPr>
        <w:t> </w:t>
      </w:r>
      <w:r>
        <w:rPr>
          <w:color w:val="231F20"/>
          <w:w w:val="115"/>
        </w:rPr>
        <w:t>la</w:t>
      </w:r>
      <w:r>
        <w:rPr>
          <w:color w:val="231F20"/>
          <w:spacing w:val="-6"/>
          <w:w w:val="115"/>
        </w:rPr>
        <w:t> </w:t>
      </w:r>
      <w:r>
        <w:rPr>
          <w:color w:val="231F20"/>
          <w:w w:val="115"/>
        </w:rPr>
        <w:t>rencontre</w:t>
      </w:r>
      <w:r>
        <w:rPr>
          <w:color w:val="231F20"/>
          <w:spacing w:val="-6"/>
          <w:w w:val="115"/>
        </w:rPr>
        <w:t> </w:t>
      </w:r>
      <w:r>
        <w:rPr>
          <w:color w:val="231F20"/>
          <w:w w:val="115"/>
        </w:rPr>
        <w:t>avec</w:t>
      </w:r>
      <w:r>
        <w:rPr>
          <w:color w:val="231F20"/>
          <w:spacing w:val="-6"/>
          <w:w w:val="115"/>
        </w:rPr>
        <w:t> </w:t>
      </w:r>
      <w:r>
        <w:rPr>
          <w:color w:val="231F20"/>
          <w:w w:val="115"/>
        </w:rPr>
        <w:t>Simon</w:t>
      </w:r>
      <w:r>
        <w:rPr>
          <w:color w:val="231F20"/>
          <w:spacing w:val="-13"/>
          <w:w w:val="115"/>
        </w:rPr>
        <w:t> </w:t>
      </w:r>
      <w:r>
        <w:rPr>
          <w:color w:val="231F20"/>
          <w:w w:val="115"/>
        </w:rPr>
        <w:t>; </w:t>
      </w:r>
      <w:r>
        <w:rPr>
          <w:color w:val="231F20"/>
          <w:w w:val="120"/>
        </w:rPr>
        <w:t>ce</w:t>
      </w:r>
      <w:r>
        <w:rPr>
          <w:color w:val="231F20"/>
          <w:spacing w:val="-9"/>
          <w:w w:val="120"/>
        </w:rPr>
        <w:t> </w:t>
      </w:r>
      <w:r>
        <w:rPr>
          <w:color w:val="231F20"/>
          <w:w w:val="120"/>
        </w:rPr>
        <w:t>dernier</w:t>
      </w:r>
      <w:r>
        <w:rPr>
          <w:color w:val="231F20"/>
          <w:spacing w:val="-9"/>
          <w:w w:val="120"/>
        </w:rPr>
        <w:t> </w:t>
      </w:r>
      <w:r>
        <w:rPr>
          <w:color w:val="231F20"/>
          <w:w w:val="120"/>
        </w:rPr>
        <w:t>travaillait</w:t>
      </w:r>
      <w:r>
        <w:rPr>
          <w:color w:val="231F20"/>
          <w:spacing w:val="-9"/>
          <w:w w:val="120"/>
        </w:rPr>
        <w:t> </w:t>
      </w:r>
      <w:r>
        <w:rPr>
          <w:color w:val="231F20"/>
          <w:w w:val="120"/>
        </w:rPr>
        <w:t>sur</w:t>
      </w:r>
      <w:r>
        <w:rPr>
          <w:color w:val="231F20"/>
          <w:spacing w:val="-9"/>
          <w:w w:val="120"/>
        </w:rPr>
        <w:t> </w:t>
      </w:r>
      <w:r>
        <w:rPr>
          <w:color w:val="231F20"/>
          <w:w w:val="120"/>
        </w:rPr>
        <w:t>un</w:t>
      </w:r>
      <w:r>
        <w:rPr>
          <w:color w:val="231F20"/>
          <w:spacing w:val="-9"/>
          <w:w w:val="120"/>
        </w:rPr>
        <w:t> </w:t>
      </w:r>
      <w:r>
        <w:rPr>
          <w:color w:val="231F20"/>
          <w:w w:val="120"/>
        </w:rPr>
        <w:t>cadre</w:t>
      </w:r>
      <w:r>
        <w:rPr>
          <w:color w:val="231F20"/>
          <w:spacing w:val="-9"/>
          <w:w w:val="120"/>
        </w:rPr>
        <w:t> </w:t>
      </w:r>
      <w:r>
        <w:rPr>
          <w:color w:val="231F20"/>
          <w:w w:val="120"/>
        </w:rPr>
        <w:t>théorique</w:t>
      </w:r>
      <w:r>
        <w:rPr>
          <w:color w:val="231F20"/>
          <w:spacing w:val="-9"/>
          <w:w w:val="120"/>
        </w:rPr>
        <w:t> </w:t>
      </w:r>
      <w:r>
        <w:rPr>
          <w:color w:val="231F20"/>
          <w:w w:val="120"/>
        </w:rPr>
        <w:t>et</w:t>
      </w:r>
      <w:r>
        <w:rPr>
          <w:color w:val="231F20"/>
          <w:spacing w:val="-9"/>
          <w:w w:val="120"/>
        </w:rPr>
        <w:t> </w:t>
      </w:r>
      <w:r>
        <w:rPr>
          <w:color w:val="231F20"/>
          <w:w w:val="120"/>
        </w:rPr>
        <w:t>un</w:t>
      </w:r>
      <w:r>
        <w:rPr>
          <w:color w:val="231F20"/>
          <w:spacing w:val="-9"/>
          <w:w w:val="120"/>
        </w:rPr>
        <w:t> </w:t>
      </w:r>
      <w:r>
        <w:rPr>
          <w:color w:val="231F20"/>
          <w:w w:val="120"/>
        </w:rPr>
        <w:t>canevas</w:t>
      </w:r>
      <w:r>
        <w:rPr>
          <w:color w:val="231F20"/>
          <w:spacing w:val="-9"/>
          <w:w w:val="120"/>
        </w:rPr>
        <w:t> </w:t>
      </w:r>
      <w:r>
        <w:rPr>
          <w:color w:val="231F20"/>
          <w:w w:val="120"/>
        </w:rPr>
        <w:t>de</w:t>
      </w:r>
      <w:r>
        <w:rPr>
          <w:color w:val="231F20"/>
          <w:spacing w:val="-9"/>
          <w:w w:val="120"/>
        </w:rPr>
        <w:t> </w:t>
      </w:r>
      <w:r>
        <w:rPr>
          <w:color w:val="231F20"/>
          <w:w w:val="120"/>
        </w:rPr>
        <w:t>recherche- </w:t>
      </w:r>
      <w:r>
        <w:rPr>
          <w:color w:val="231F20"/>
          <w:spacing w:val="-2"/>
          <w:w w:val="120"/>
        </w:rPr>
        <w:t>action</w:t>
      </w:r>
      <w:r>
        <w:rPr>
          <w:color w:val="231F20"/>
          <w:spacing w:val="-10"/>
          <w:w w:val="120"/>
        </w:rPr>
        <w:t> </w:t>
      </w:r>
      <w:r>
        <w:rPr>
          <w:color w:val="231F20"/>
          <w:spacing w:val="-2"/>
          <w:w w:val="120"/>
        </w:rPr>
        <w:t>sur</w:t>
      </w:r>
      <w:r>
        <w:rPr>
          <w:color w:val="231F20"/>
          <w:spacing w:val="-10"/>
          <w:w w:val="120"/>
        </w:rPr>
        <w:t> </w:t>
      </w:r>
      <w:r>
        <w:rPr>
          <w:color w:val="231F20"/>
          <w:spacing w:val="-2"/>
          <w:w w:val="120"/>
        </w:rPr>
        <w:t>le</w:t>
      </w:r>
      <w:r>
        <w:rPr>
          <w:color w:val="231F20"/>
          <w:spacing w:val="-10"/>
          <w:w w:val="120"/>
        </w:rPr>
        <w:t> </w:t>
      </w:r>
      <w:r>
        <w:rPr>
          <w:color w:val="231F20"/>
          <w:spacing w:val="-2"/>
          <w:w w:val="120"/>
        </w:rPr>
        <w:t>stress</w:t>
      </w:r>
      <w:r>
        <w:rPr>
          <w:color w:val="231F20"/>
          <w:spacing w:val="-10"/>
          <w:w w:val="120"/>
        </w:rPr>
        <w:t> </w:t>
      </w:r>
      <w:r>
        <w:rPr>
          <w:color w:val="231F20"/>
          <w:spacing w:val="-2"/>
          <w:w w:val="120"/>
        </w:rPr>
        <w:t>au</w:t>
      </w:r>
      <w:r>
        <w:rPr>
          <w:color w:val="231F20"/>
          <w:spacing w:val="-10"/>
          <w:w w:val="120"/>
        </w:rPr>
        <w:t> </w:t>
      </w:r>
      <w:r>
        <w:rPr>
          <w:color w:val="231F20"/>
          <w:spacing w:val="-2"/>
          <w:w w:val="120"/>
        </w:rPr>
        <w:t>travail,</w:t>
      </w:r>
      <w:r>
        <w:rPr>
          <w:color w:val="231F20"/>
          <w:spacing w:val="-10"/>
          <w:w w:val="120"/>
        </w:rPr>
        <w:t> </w:t>
      </w:r>
      <w:r>
        <w:rPr>
          <w:color w:val="231F20"/>
          <w:spacing w:val="-2"/>
          <w:w w:val="120"/>
        </w:rPr>
        <w:t>et</w:t>
      </w:r>
      <w:r>
        <w:rPr>
          <w:color w:val="231F20"/>
          <w:spacing w:val="-10"/>
          <w:w w:val="120"/>
        </w:rPr>
        <w:t> </w:t>
      </w:r>
      <w:r>
        <w:rPr>
          <w:color w:val="231F20"/>
          <w:spacing w:val="-2"/>
          <w:w w:val="120"/>
        </w:rPr>
        <w:t>André</w:t>
      </w:r>
      <w:r>
        <w:rPr>
          <w:color w:val="231F20"/>
          <w:spacing w:val="-10"/>
          <w:w w:val="120"/>
        </w:rPr>
        <w:t> </w:t>
      </w:r>
      <w:r>
        <w:rPr>
          <w:color w:val="231F20"/>
          <w:spacing w:val="-2"/>
          <w:w w:val="120"/>
        </w:rPr>
        <w:t>se</w:t>
      </w:r>
      <w:r>
        <w:rPr>
          <w:color w:val="231F20"/>
          <w:spacing w:val="-10"/>
          <w:w w:val="120"/>
        </w:rPr>
        <w:t> </w:t>
      </w:r>
      <w:r>
        <w:rPr>
          <w:color w:val="231F20"/>
          <w:spacing w:val="-2"/>
          <w:w w:val="120"/>
        </w:rPr>
        <w:t>trouvait</w:t>
      </w:r>
      <w:r>
        <w:rPr>
          <w:color w:val="231F20"/>
          <w:spacing w:val="-10"/>
          <w:w w:val="120"/>
        </w:rPr>
        <w:t> </w:t>
      </w:r>
      <w:r>
        <w:rPr>
          <w:color w:val="231F20"/>
          <w:spacing w:val="-2"/>
          <w:w w:val="120"/>
        </w:rPr>
        <w:t>dans</w:t>
      </w:r>
      <w:r>
        <w:rPr>
          <w:color w:val="231F20"/>
          <w:spacing w:val="-10"/>
          <w:w w:val="120"/>
        </w:rPr>
        <w:t> </w:t>
      </w:r>
      <w:r>
        <w:rPr>
          <w:color w:val="231F20"/>
          <w:spacing w:val="-2"/>
          <w:w w:val="120"/>
        </w:rPr>
        <w:t>une</w:t>
      </w:r>
      <w:r>
        <w:rPr>
          <w:color w:val="231F20"/>
          <w:spacing w:val="-10"/>
          <w:w w:val="120"/>
        </w:rPr>
        <w:t> </w:t>
      </w:r>
      <w:r>
        <w:rPr>
          <w:color w:val="231F20"/>
          <w:spacing w:val="-2"/>
          <w:w w:val="120"/>
        </w:rPr>
        <w:t>boîte</w:t>
      </w:r>
      <w:r>
        <w:rPr>
          <w:color w:val="231F20"/>
          <w:spacing w:val="-10"/>
          <w:w w:val="120"/>
        </w:rPr>
        <w:t> </w:t>
      </w:r>
      <w:r>
        <w:rPr>
          <w:color w:val="231F20"/>
          <w:spacing w:val="-2"/>
          <w:w w:val="120"/>
        </w:rPr>
        <w:t>en</w:t>
      </w:r>
      <w:r>
        <w:rPr>
          <w:color w:val="231F20"/>
          <w:spacing w:val="-10"/>
          <w:w w:val="120"/>
        </w:rPr>
        <w:t> </w:t>
      </w:r>
      <w:r>
        <w:rPr>
          <w:color w:val="231F20"/>
          <w:spacing w:val="-2"/>
          <w:w w:val="120"/>
        </w:rPr>
        <w:t>proie à</w:t>
      </w:r>
      <w:r>
        <w:rPr>
          <w:color w:val="231F20"/>
          <w:spacing w:val="-11"/>
          <w:w w:val="120"/>
        </w:rPr>
        <w:t> </w:t>
      </w:r>
      <w:r>
        <w:rPr>
          <w:color w:val="231F20"/>
          <w:spacing w:val="-2"/>
          <w:w w:val="120"/>
        </w:rPr>
        <w:t>la</w:t>
      </w:r>
      <w:r>
        <w:rPr>
          <w:color w:val="231F20"/>
          <w:spacing w:val="-11"/>
          <w:w w:val="120"/>
        </w:rPr>
        <w:t> </w:t>
      </w:r>
      <w:r>
        <w:rPr>
          <w:color w:val="231F20"/>
          <w:spacing w:val="-2"/>
          <w:w w:val="120"/>
        </w:rPr>
        <w:t>tourmente</w:t>
      </w:r>
      <w:r>
        <w:rPr>
          <w:color w:val="231F20"/>
          <w:spacing w:val="-11"/>
          <w:w w:val="120"/>
        </w:rPr>
        <w:t> </w:t>
      </w:r>
      <w:r>
        <w:rPr>
          <w:color w:val="231F20"/>
          <w:spacing w:val="-2"/>
          <w:w w:val="120"/>
        </w:rPr>
        <w:t>d’une</w:t>
      </w:r>
      <w:r>
        <w:rPr>
          <w:color w:val="231F20"/>
          <w:spacing w:val="-10"/>
          <w:w w:val="120"/>
        </w:rPr>
        <w:t> </w:t>
      </w:r>
      <w:r>
        <w:rPr>
          <w:color w:val="231F20"/>
          <w:spacing w:val="-2"/>
          <w:w w:val="120"/>
        </w:rPr>
        <w:t>réorganisation</w:t>
      </w:r>
      <w:r>
        <w:rPr>
          <w:color w:val="231F20"/>
          <w:spacing w:val="-7"/>
          <w:w w:val="120"/>
        </w:rPr>
        <w:t> </w:t>
      </w:r>
      <w:r>
        <w:rPr>
          <w:color w:val="231F20"/>
          <w:spacing w:val="-2"/>
          <w:w w:val="120"/>
        </w:rPr>
        <w:t>majeure</w:t>
      </w:r>
      <w:r>
        <w:rPr>
          <w:color w:val="231F20"/>
          <w:spacing w:val="-6"/>
          <w:w w:val="120"/>
        </w:rPr>
        <w:t> </w:t>
      </w:r>
      <w:r>
        <w:rPr>
          <w:color w:val="231F20"/>
          <w:spacing w:val="-2"/>
          <w:w w:val="120"/>
        </w:rPr>
        <w:t>du</w:t>
      </w:r>
      <w:r>
        <w:rPr>
          <w:color w:val="231F20"/>
          <w:spacing w:val="-6"/>
          <w:w w:val="120"/>
        </w:rPr>
        <w:t> </w:t>
      </w:r>
      <w:r>
        <w:rPr>
          <w:color w:val="231F20"/>
          <w:spacing w:val="-2"/>
          <w:w w:val="120"/>
        </w:rPr>
        <w:t>travail</w:t>
      </w:r>
      <w:r>
        <w:rPr>
          <w:color w:val="231F20"/>
          <w:spacing w:val="-11"/>
          <w:w w:val="120"/>
        </w:rPr>
        <w:t> </w:t>
      </w:r>
      <w:r>
        <w:rPr>
          <w:color w:val="231F20"/>
          <w:spacing w:val="-2"/>
          <w:w w:val="120"/>
        </w:rPr>
        <w:t>:</w:t>
      </w:r>
      <w:r>
        <w:rPr>
          <w:color w:val="231F20"/>
          <w:spacing w:val="-6"/>
          <w:w w:val="120"/>
        </w:rPr>
        <w:t> </w:t>
      </w:r>
      <w:r>
        <w:rPr>
          <w:color w:val="231F20"/>
          <w:spacing w:val="-2"/>
          <w:w w:val="120"/>
        </w:rPr>
        <w:t>la</w:t>
      </w:r>
      <w:r>
        <w:rPr>
          <w:color w:val="231F20"/>
          <w:spacing w:val="-6"/>
          <w:w w:val="120"/>
        </w:rPr>
        <w:t> </w:t>
      </w:r>
      <w:r>
        <w:rPr>
          <w:color w:val="231F20"/>
          <w:spacing w:val="-2"/>
          <w:w w:val="120"/>
        </w:rPr>
        <w:t>fin</w:t>
      </w:r>
      <w:r>
        <w:rPr>
          <w:color w:val="231F20"/>
          <w:spacing w:val="-6"/>
          <w:w w:val="120"/>
        </w:rPr>
        <w:t> </w:t>
      </w:r>
      <w:r>
        <w:rPr>
          <w:color w:val="231F20"/>
          <w:spacing w:val="-2"/>
          <w:w w:val="120"/>
        </w:rPr>
        <w:t>des</w:t>
      </w:r>
      <w:r>
        <w:rPr>
          <w:color w:val="231F20"/>
          <w:spacing w:val="-6"/>
          <w:w w:val="120"/>
        </w:rPr>
        <w:t> </w:t>
      </w:r>
      <w:r>
        <w:rPr>
          <w:color w:val="231F20"/>
          <w:spacing w:val="-2"/>
          <w:w w:val="120"/>
        </w:rPr>
        <w:t>grands barrages,</w:t>
      </w:r>
      <w:r>
        <w:rPr>
          <w:color w:val="231F20"/>
          <w:spacing w:val="-8"/>
          <w:w w:val="120"/>
        </w:rPr>
        <w:t> </w:t>
      </w:r>
      <w:r>
        <w:rPr>
          <w:color w:val="231F20"/>
          <w:spacing w:val="-2"/>
          <w:w w:val="120"/>
        </w:rPr>
        <w:t>un</w:t>
      </w:r>
      <w:r>
        <w:rPr>
          <w:color w:val="231F20"/>
          <w:spacing w:val="-8"/>
          <w:w w:val="120"/>
        </w:rPr>
        <w:t> </w:t>
      </w:r>
      <w:r>
        <w:rPr>
          <w:color w:val="231F20"/>
          <w:spacing w:val="-2"/>
          <w:w w:val="120"/>
        </w:rPr>
        <w:t>climat</w:t>
      </w:r>
      <w:r>
        <w:rPr>
          <w:color w:val="231F20"/>
          <w:spacing w:val="-8"/>
          <w:w w:val="120"/>
        </w:rPr>
        <w:t> </w:t>
      </w:r>
      <w:r>
        <w:rPr>
          <w:color w:val="231F20"/>
          <w:spacing w:val="-2"/>
          <w:w w:val="120"/>
        </w:rPr>
        <w:t>d’après</w:t>
      </w:r>
      <w:r>
        <w:rPr>
          <w:color w:val="231F20"/>
          <w:spacing w:val="-8"/>
          <w:w w:val="120"/>
        </w:rPr>
        <w:t> </w:t>
      </w:r>
      <w:r>
        <w:rPr>
          <w:color w:val="231F20"/>
          <w:spacing w:val="-2"/>
          <w:w w:val="120"/>
        </w:rPr>
        <w:t>marathon,</w:t>
      </w:r>
      <w:r>
        <w:rPr>
          <w:color w:val="231F20"/>
          <w:spacing w:val="-8"/>
          <w:w w:val="120"/>
        </w:rPr>
        <w:t> </w:t>
      </w:r>
      <w:r>
        <w:rPr>
          <w:color w:val="231F20"/>
          <w:spacing w:val="-2"/>
          <w:w w:val="120"/>
        </w:rPr>
        <w:t>une</w:t>
      </w:r>
      <w:r>
        <w:rPr>
          <w:color w:val="231F20"/>
          <w:spacing w:val="-8"/>
          <w:w w:val="120"/>
        </w:rPr>
        <w:t> </w:t>
      </w:r>
      <w:r>
        <w:rPr>
          <w:color w:val="231F20"/>
          <w:spacing w:val="-2"/>
          <w:w w:val="120"/>
        </w:rPr>
        <w:t>quantité</w:t>
      </w:r>
      <w:r>
        <w:rPr>
          <w:color w:val="231F20"/>
          <w:spacing w:val="-8"/>
          <w:w w:val="120"/>
        </w:rPr>
        <w:t> </w:t>
      </w:r>
      <w:r>
        <w:rPr>
          <w:color w:val="231F20"/>
          <w:spacing w:val="-2"/>
          <w:w w:val="120"/>
        </w:rPr>
        <w:t>phénoménale</w:t>
      </w:r>
      <w:r>
        <w:rPr>
          <w:color w:val="231F20"/>
          <w:spacing w:val="-8"/>
          <w:w w:val="120"/>
        </w:rPr>
        <w:t> </w:t>
      </w:r>
      <w:r>
        <w:rPr>
          <w:color w:val="231F20"/>
          <w:spacing w:val="-2"/>
          <w:w w:val="120"/>
        </w:rPr>
        <w:t>de</w:t>
      </w:r>
      <w:r>
        <w:rPr>
          <w:color w:val="231F20"/>
          <w:spacing w:val="-8"/>
          <w:w w:val="120"/>
        </w:rPr>
        <w:t> </w:t>
      </w:r>
      <w:r>
        <w:rPr>
          <w:color w:val="231F20"/>
          <w:spacing w:val="-2"/>
          <w:w w:val="120"/>
        </w:rPr>
        <w:t>pro- fessionnels</w:t>
      </w:r>
      <w:r>
        <w:rPr>
          <w:color w:val="231F20"/>
          <w:spacing w:val="-5"/>
          <w:w w:val="120"/>
        </w:rPr>
        <w:t> </w:t>
      </w:r>
      <w:r>
        <w:rPr>
          <w:color w:val="231F20"/>
          <w:spacing w:val="-2"/>
          <w:w w:val="120"/>
        </w:rPr>
        <w:t>qualifiés</w:t>
      </w:r>
      <w:r>
        <w:rPr>
          <w:color w:val="231F20"/>
          <w:spacing w:val="-4"/>
          <w:w w:val="120"/>
        </w:rPr>
        <w:t> </w:t>
      </w:r>
      <w:r>
        <w:rPr>
          <w:color w:val="231F20"/>
          <w:spacing w:val="-2"/>
          <w:w w:val="120"/>
        </w:rPr>
        <w:t>payés</w:t>
      </w:r>
      <w:r>
        <w:rPr>
          <w:color w:val="231F20"/>
          <w:spacing w:val="-5"/>
          <w:w w:val="120"/>
        </w:rPr>
        <w:t> </w:t>
      </w:r>
      <w:r>
        <w:rPr>
          <w:color w:val="231F20"/>
          <w:spacing w:val="-2"/>
          <w:w w:val="120"/>
        </w:rPr>
        <w:t>à</w:t>
      </w:r>
      <w:r>
        <w:rPr>
          <w:color w:val="231F20"/>
          <w:spacing w:val="-4"/>
          <w:w w:val="120"/>
        </w:rPr>
        <w:t> </w:t>
      </w:r>
      <w:r>
        <w:rPr>
          <w:color w:val="231F20"/>
          <w:spacing w:val="-2"/>
          <w:w w:val="120"/>
        </w:rPr>
        <w:t>ne</w:t>
      </w:r>
      <w:r>
        <w:rPr>
          <w:color w:val="231F20"/>
          <w:spacing w:val="-5"/>
          <w:w w:val="120"/>
        </w:rPr>
        <w:t> </w:t>
      </w:r>
      <w:r>
        <w:rPr>
          <w:color w:val="231F20"/>
          <w:spacing w:val="-2"/>
          <w:w w:val="120"/>
        </w:rPr>
        <w:t>rien</w:t>
      </w:r>
      <w:r>
        <w:rPr>
          <w:color w:val="231F20"/>
          <w:spacing w:val="-4"/>
          <w:w w:val="120"/>
        </w:rPr>
        <w:t> </w:t>
      </w:r>
      <w:r>
        <w:rPr>
          <w:color w:val="231F20"/>
          <w:spacing w:val="-2"/>
          <w:w w:val="120"/>
        </w:rPr>
        <w:t>faire</w:t>
      </w:r>
      <w:r>
        <w:rPr>
          <w:color w:val="231F20"/>
          <w:spacing w:val="-5"/>
          <w:w w:val="120"/>
        </w:rPr>
        <w:t> </w:t>
      </w:r>
      <w:r>
        <w:rPr>
          <w:color w:val="231F20"/>
          <w:spacing w:val="-2"/>
          <w:w w:val="120"/>
        </w:rPr>
        <w:t>et</w:t>
      </w:r>
      <w:r>
        <w:rPr>
          <w:color w:val="231F20"/>
          <w:spacing w:val="-4"/>
          <w:w w:val="120"/>
        </w:rPr>
        <w:t> </w:t>
      </w:r>
      <w:r>
        <w:rPr>
          <w:color w:val="231F20"/>
          <w:spacing w:val="-2"/>
          <w:w w:val="120"/>
        </w:rPr>
        <w:t>malades</w:t>
      </w:r>
      <w:r>
        <w:rPr>
          <w:color w:val="231F20"/>
          <w:spacing w:val="-4"/>
          <w:w w:val="120"/>
        </w:rPr>
        <w:t> </w:t>
      </w:r>
      <w:r>
        <w:rPr>
          <w:color w:val="231F20"/>
          <w:spacing w:val="-2"/>
          <w:w w:val="120"/>
        </w:rPr>
        <w:t>d’une</w:t>
      </w:r>
      <w:r>
        <w:rPr>
          <w:color w:val="231F20"/>
          <w:spacing w:val="-5"/>
          <w:w w:val="120"/>
        </w:rPr>
        <w:t> </w:t>
      </w:r>
      <w:r>
        <w:rPr>
          <w:color w:val="231F20"/>
          <w:spacing w:val="-2"/>
          <w:w w:val="120"/>
        </w:rPr>
        <w:t>perte</w:t>
      </w:r>
      <w:r>
        <w:rPr>
          <w:color w:val="231F20"/>
          <w:spacing w:val="-4"/>
          <w:w w:val="120"/>
        </w:rPr>
        <w:t> </w:t>
      </w:r>
      <w:r>
        <w:rPr>
          <w:color w:val="231F20"/>
          <w:spacing w:val="-2"/>
          <w:w w:val="120"/>
        </w:rPr>
        <w:t>de</w:t>
      </w:r>
      <w:r>
        <w:rPr>
          <w:color w:val="231F20"/>
          <w:spacing w:val="-5"/>
          <w:w w:val="120"/>
        </w:rPr>
        <w:t> </w:t>
      </w:r>
      <w:r>
        <w:rPr>
          <w:color w:val="231F20"/>
          <w:spacing w:val="-4"/>
          <w:w w:val="120"/>
        </w:rPr>
        <w:t>sens</w:t>
      </w:r>
    </w:p>
    <w:p>
      <w:pPr>
        <w:spacing w:after="0" w:line="307" w:lineRule="auto"/>
        <w:jc w:val="both"/>
        <w:sectPr>
          <w:footerReference w:type="default" r:id="rId30"/>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2"/>
        <w:jc w:val="both"/>
      </w:pPr>
      <w:r>
        <w:rPr>
          <w:color w:val="231F20"/>
          <w:w w:val="120"/>
        </w:rPr>
        <w:t>de leur quotidien au travail. Ce fut le début d’une passionnante colla- boration. De professeur de médecine, André est devenu professeur en </w:t>
      </w:r>
      <w:r>
        <w:rPr>
          <w:color w:val="231F20"/>
          <w:w w:val="115"/>
        </w:rPr>
        <w:t>relations industrielles à l’invitation de Simon à l’Université de Montréal. </w:t>
      </w:r>
      <w:r>
        <w:rPr>
          <w:color w:val="231F20"/>
          <w:w w:val="120"/>
        </w:rPr>
        <w:t>Pendant 10 ans, créateur et directeur d’une équipe de soutien à la recherche à l’Institut de recherche en santé et sécurité du travail du Québec (IRSST), André Arsenault a soutenu la mise en place d’une </w:t>
      </w:r>
      <w:r>
        <w:rPr>
          <w:color w:val="231F20"/>
          <w:spacing w:val="-2"/>
          <w:w w:val="120"/>
        </w:rPr>
        <w:t>approche</w:t>
      </w:r>
      <w:r>
        <w:rPr>
          <w:color w:val="231F20"/>
          <w:spacing w:val="-6"/>
          <w:w w:val="120"/>
        </w:rPr>
        <w:t> </w:t>
      </w:r>
      <w:r>
        <w:rPr>
          <w:color w:val="231F20"/>
          <w:spacing w:val="-2"/>
          <w:w w:val="120"/>
        </w:rPr>
        <w:t>à</w:t>
      </w:r>
      <w:r>
        <w:rPr>
          <w:color w:val="231F20"/>
          <w:spacing w:val="-6"/>
          <w:w w:val="120"/>
        </w:rPr>
        <w:t> </w:t>
      </w:r>
      <w:r>
        <w:rPr>
          <w:color w:val="231F20"/>
          <w:spacing w:val="-2"/>
          <w:w w:val="120"/>
        </w:rPr>
        <w:t>la</w:t>
      </w:r>
      <w:r>
        <w:rPr>
          <w:color w:val="231F20"/>
          <w:spacing w:val="-6"/>
          <w:w w:val="120"/>
        </w:rPr>
        <w:t> </w:t>
      </w:r>
      <w:r>
        <w:rPr>
          <w:color w:val="231F20"/>
          <w:spacing w:val="-2"/>
          <w:w w:val="120"/>
        </w:rPr>
        <w:t>prévention</w:t>
      </w:r>
      <w:r>
        <w:rPr>
          <w:color w:val="231F20"/>
          <w:spacing w:val="-6"/>
          <w:w w:val="120"/>
        </w:rPr>
        <w:t> </w:t>
      </w:r>
      <w:r>
        <w:rPr>
          <w:color w:val="231F20"/>
          <w:spacing w:val="-2"/>
          <w:w w:val="120"/>
        </w:rPr>
        <w:t>des</w:t>
      </w:r>
      <w:r>
        <w:rPr>
          <w:color w:val="231F20"/>
          <w:spacing w:val="-6"/>
          <w:w w:val="120"/>
        </w:rPr>
        <w:t> </w:t>
      </w:r>
      <w:r>
        <w:rPr>
          <w:color w:val="231F20"/>
          <w:spacing w:val="-2"/>
          <w:w w:val="120"/>
        </w:rPr>
        <w:t>maladies</w:t>
      </w:r>
      <w:r>
        <w:rPr>
          <w:color w:val="231F20"/>
          <w:spacing w:val="-6"/>
          <w:w w:val="120"/>
        </w:rPr>
        <w:t> </w:t>
      </w:r>
      <w:r>
        <w:rPr>
          <w:color w:val="231F20"/>
          <w:spacing w:val="-2"/>
          <w:w w:val="120"/>
        </w:rPr>
        <w:t>et</w:t>
      </w:r>
      <w:r>
        <w:rPr>
          <w:color w:val="231F20"/>
          <w:spacing w:val="-6"/>
          <w:w w:val="120"/>
        </w:rPr>
        <w:t> </w:t>
      </w:r>
      <w:r>
        <w:rPr>
          <w:color w:val="231F20"/>
          <w:spacing w:val="-2"/>
          <w:w w:val="120"/>
        </w:rPr>
        <w:t>des</w:t>
      </w:r>
      <w:r>
        <w:rPr>
          <w:color w:val="231F20"/>
          <w:spacing w:val="-6"/>
          <w:w w:val="120"/>
        </w:rPr>
        <w:t> </w:t>
      </w:r>
      <w:r>
        <w:rPr>
          <w:color w:val="231F20"/>
          <w:spacing w:val="-2"/>
          <w:w w:val="120"/>
        </w:rPr>
        <w:t>accidents</w:t>
      </w:r>
      <w:r>
        <w:rPr>
          <w:color w:val="231F20"/>
          <w:spacing w:val="-6"/>
          <w:w w:val="120"/>
        </w:rPr>
        <w:t> </w:t>
      </w:r>
      <w:r>
        <w:rPr>
          <w:color w:val="231F20"/>
          <w:spacing w:val="-2"/>
          <w:w w:val="120"/>
        </w:rPr>
        <w:t>du</w:t>
      </w:r>
      <w:r>
        <w:rPr>
          <w:color w:val="231F20"/>
          <w:spacing w:val="-6"/>
          <w:w w:val="120"/>
        </w:rPr>
        <w:t> </w:t>
      </w:r>
      <w:r>
        <w:rPr>
          <w:color w:val="231F20"/>
          <w:spacing w:val="-2"/>
          <w:w w:val="120"/>
        </w:rPr>
        <w:t>travail</w:t>
      </w:r>
      <w:r>
        <w:rPr>
          <w:color w:val="231F20"/>
          <w:spacing w:val="-6"/>
          <w:w w:val="120"/>
        </w:rPr>
        <w:t> </w:t>
      </w:r>
      <w:r>
        <w:rPr>
          <w:color w:val="231F20"/>
          <w:spacing w:val="-2"/>
          <w:w w:val="120"/>
        </w:rPr>
        <w:t>centrée </w:t>
      </w:r>
      <w:r>
        <w:rPr>
          <w:color w:val="231F20"/>
          <w:w w:val="120"/>
        </w:rPr>
        <w:t>sur</w:t>
      </w:r>
      <w:r>
        <w:rPr>
          <w:color w:val="231F20"/>
          <w:spacing w:val="-1"/>
          <w:w w:val="120"/>
        </w:rPr>
        <w:t> </w:t>
      </w:r>
      <w:r>
        <w:rPr>
          <w:color w:val="231F20"/>
          <w:w w:val="120"/>
        </w:rPr>
        <w:t>l’appropriation</w:t>
      </w:r>
      <w:r>
        <w:rPr>
          <w:color w:val="231F20"/>
          <w:spacing w:val="-1"/>
          <w:w w:val="120"/>
        </w:rPr>
        <w:t> </w:t>
      </w:r>
      <w:r>
        <w:rPr>
          <w:color w:val="231F20"/>
          <w:w w:val="120"/>
        </w:rPr>
        <w:t>par</w:t>
      </w:r>
      <w:r>
        <w:rPr>
          <w:color w:val="231F20"/>
          <w:spacing w:val="-1"/>
          <w:w w:val="120"/>
        </w:rPr>
        <w:t> </w:t>
      </w:r>
      <w:r>
        <w:rPr>
          <w:color w:val="231F20"/>
          <w:w w:val="120"/>
        </w:rPr>
        <w:t>les</w:t>
      </w:r>
      <w:r>
        <w:rPr>
          <w:color w:val="231F20"/>
          <w:spacing w:val="-1"/>
          <w:w w:val="120"/>
        </w:rPr>
        <w:t> </w:t>
      </w:r>
      <w:r>
        <w:rPr>
          <w:color w:val="231F20"/>
          <w:w w:val="120"/>
        </w:rPr>
        <w:t>acteurs</w:t>
      </w:r>
      <w:r>
        <w:rPr>
          <w:color w:val="231F20"/>
          <w:spacing w:val="-1"/>
          <w:w w:val="120"/>
        </w:rPr>
        <w:t> </w:t>
      </w:r>
      <w:r>
        <w:rPr>
          <w:color w:val="231F20"/>
          <w:w w:val="120"/>
        </w:rPr>
        <w:t>sociaux</w:t>
      </w:r>
      <w:r>
        <w:rPr>
          <w:color w:val="231F20"/>
          <w:spacing w:val="-1"/>
          <w:w w:val="120"/>
        </w:rPr>
        <w:t> </w:t>
      </w:r>
      <w:r>
        <w:rPr>
          <w:color w:val="231F20"/>
          <w:w w:val="120"/>
        </w:rPr>
        <w:t>de</w:t>
      </w:r>
      <w:r>
        <w:rPr>
          <w:color w:val="231F20"/>
          <w:spacing w:val="-1"/>
          <w:w w:val="120"/>
        </w:rPr>
        <w:t> </w:t>
      </w:r>
      <w:r>
        <w:rPr>
          <w:color w:val="231F20"/>
          <w:w w:val="120"/>
        </w:rPr>
        <w:t>l’organisation</w:t>
      </w:r>
      <w:r>
        <w:rPr>
          <w:color w:val="231F20"/>
          <w:spacing w:val="-1"/>
          <w:w w:val="120"/>
        </w:rPr>
        <w:t> </w:t>
      </w:r>
      <w:r>
        <w:rPr>
          <w:color w:val="231F20"/>
          <w:w w:val="120"/>
        </w:rPr>
        <w:t>du</w:t>
      </w:r>
      <w:r>
        <w:rPr>
          <w:color w:val="231F20"/>
          <w:spacing w:val="-1"/>
          <w:w w:val="120"/>
        </w:rPr>
        <w:t> </w:t>
      </w:r>
      <w:r>
        <w:rPr>
          <w:color w:val="231F20"/>
          <w:w w:val="120"/>
        </w:rPr>
        <w:t>travail. Puis</w:t>
      </w:r>
      <w:r>
        <w:rPr>
          <w:color w:val="231F20"/>
          <w:spacing w:val="-6"/>
          <w:w w:val="120"/>
        </w:rPr>
        <w:t> </w:t>
      </w:r>
      <w:r>
        <w:rPr>
          <w:color w:val="231F20"/>
          <w:w w:val="120"/>
        </w:rPr>
        <w:t>ce</w:t>
      </w:r>
      <w:r>
        <w:rPr>
          <w:color w:val="231F20"/>
          <w:spacing w:val="-4"/>
          <w:w w:val="120"/>
        </w:rPr>
        <w:t> </w:t>
      </w:r>
      <w:r>
        <w:rPr>
          <w:color w:val="231F20"/>
          <w:w w:val="120"/>
        </w:rPr>
        <w:t>fut</w:t>
      </w:r>
      <w:r>
        <w:rPr>
          <w:color w:val="231F20"/>
          <w:spacing w:val="-4"/>
          <w:w w:val="120"/>
        </w:rPr>
        <w:t> </w:t>
      </w:r>
      <w:r>
        <w:rPr>
          <w:color w:val="231F20"/>
          <w:w w:val="120"/>
        </w:rPr>
        <w:t>la</w:t>
      </w:r>
      <w:r>
        <w:rPr>
          <w:color w:val="231F20"/>
          <w:spacing w:val="-4"/>
          <w:w w:val="120"/>
        </w:rPr>
        <w:t> </w:t>
      </w:r>
      <w:r>
        <w:rPr>
          <w:color w:val="231F20"/>
          <w:w w:val="120"/>
        </w:rPr>
        <w:t>publication</w:t>
      </w:r>
      <w:r>
        <w:rPr>
          <w:color w:val="231F20"/>
          <w:spacing w:val="-4"/>
          <w:w w:val="120"/>
        </w:rPr>
        <w:t> </w:t>
      </w:r>
      <w:r>
        <w:rPr>
          <w:color w:val="231F20"/>
          <w:w w:val="120"/>
        </w:rPr>
        <w:t>du</w:t>
      </w:r>
      <w:r>
        <w:rPr>
          <w:color w:val="231F20"/>
          <w:spacing w:val="-4"/>
          <w:w w:val="120"/>
        </w:rPr>
        <w:t> </w:t>
      </w:r>
      <w:r>
        <w:rPr>
          <w:color w:val="231F20"/>
          <w:w w:val="120"/>
        </w:rPr>
        <w:t>livre</w:t>
      </w:r>
      <w:r>
        <w:rPr>
          <w:color w:val="231F20"/>
          <w:spacing w:val="-4"/>
          <w:w w:val="120"/>
        </w:rPr>
        <w:t> </w:t>
      </w:r>
      <w:r>
        <w:rPr>
          <w:color w:val="231F20"/>
          <w:w w:val="120"/>
        </w:rPr>
        <w:t>manifeste</w:t>
      </w:r>
      <w:r>
        <w:rPr>
          <w:color w:val="231F20"/>
          <w:spacing w:val="-4"/>
          <w:w w:val="120"/>
        </w:rPr>
        <w:t> </w:t>
      </w:r>
      <w:r>
        <w:rPr>
          <w:color w:val="231F20"/>
          <w:w w:val="120"/>
        </w:rPr>
        <w:t>de</w:t>
      </w:r>
      <w:r>
        <w:rPr>
          <w:color w:val="231F20"/>
          <w:spacing w:val="-4"/>
          <w:w w:val="120"/>
        </w:rPr>
        <w:t> </w:t>
      </w:r>
      <w:r>
        <w:rPr>
          <w:color w:val="231F20"/>
          <w:w w:val="120"/>
        </w:rPr>
        <w:t>leurs</w:t>
      </w:r>
      <w:r>
        <w:rPr>
          <w:color w:val="231F20"/>
          <w:spacing w:val="-4"/>
          <w:w w:val="120"/>
        </w:rPr>
        <w:t> </w:t>
      </w:r>
      <w:r>
        <w:rPr>
          <w:color w:val="231F20"/>
          <w:w w:val="120"/>
        </w:rPr>
        <w:t>consensus,</w:t>
      </w:r>
      <w:r>
        <w:rPr>
          <w:color w:val="231F20"/>
          <w:spacing w:val="-4"/>
          <w:w w:val="120"/>
        </w:rPr>
        <w:t> </w:t>
      </w:r>
      <w:r>
        <w:rPr>
          <w:i/>
          <w:color w:val="231F20"/>
          <w:w w:val="120"/>
        </w:rPr>
        <w:t>Stress, </w:t>
      </w:r>
      <w:r>
        <w:rPr>
          <w:i/>
          <w:color w:val="231F20"/>
          <w:w w:val="115"/>
        </w:rPr>
        <w:t>santé et rendement au travail </w:t>
      </w:r>
      <w:r>
        <w:rPr>
          <w:color w:val="231F20"/>
          <w:w w:val="115"/>
        </w:rPr>
        <w:t>dans lequel ils osaient proposer le terme de </w:t>
      </w:r>
      <w:r>
        <w:rPr>
          <w:i/>
          <w:color w:val="231F20"/>
          <w:w w:val="120"/>
        </w:rPr>
        <w:t>santé du travail</w:t>
      </w:r>
      <w:r>
        <w:rPr>
          <w:color w:val="231F20"/>
          <w:w w:val="120"/>
        </w:rPr>
        <w:t>. Un éminent collègue avait insisté pour qu’ils aban- </w:t>
      </w:r>
      <w:r>
        <w:rPr>
          <w:color w:val="231F20"/>
          <w:w w:val="115"/>
        </w:rPr>
        <w:t>donnent</w:t>
      </w:r>
      <w:r>
        <w:rPr>
          <w:color w:val="231F20"/>
          <w:spacing w:val="-4"/>
          <w:w w:val="115"/>
        </w:rPr>
        <w:t> </w:t>
      </w:r>
      <w:r>
        <w:rPr>
          <w:color w:val="231F20"/>
          <w:w w:val="115"/>
        </w:rPr>
        <w:t>ce</w:t>
      </w:r>
      <w:r>
        <w:rPr>
          <w:color w:val="231F20"/>
          <w:spacing w:val="-4"/>
          <w:w w:val="115"/>
        </w:rPr>
        <w:t> </w:t>
      </w:r>
      <w:r>
        <w:rPr>
          <w:color w:val="231F20"/>
          <w:w w:val="115"/>
        </w:rPr>
        <w:t>terme</w:t>
      </w:r>
      <w:r>
        <w:rPr>
          <w:color w:val="231F20"/>
          <w:spacing w:val="-4"/>
          <w:w w:val="115"/>
        </w:rPr>
        <w:t> </w:t>
      </w:r>
      <w:r>
        <w:rPr>
          <w:color w:val="231F20"/>
          <w:w w:val="115"/>
        </w:rPr>
        <w:t>le</w:t>
      </w:r>
      <w:r>
        <w:rPr>
          <w:color w:val="231F20"/>
          <w:spacing w:val="-4"/>
          <w:w w:val="115"/>
        </w:rPr>
        <w:t> </w:t>
      </w:r>
      <w:r>
        <w:rPr>
          <w:color w:val="231F20"/>
          <w:w w:val="115"/>
        </w:rPr>
        <w:t>jugeant</w:t>
      </w:r>
      <w:r>
        <w:rPr>
          <w:color w:val="231F20"/>
          <w:spacing w:val="-4"/>
          <w:w w:val="115"/>
        </w:rPr>
        <w:t> </w:t>
      </w:r>
      <w:r>
        <w:rPr>
          <w:color w:val="231F20"/>
          <w:w w:val="115"/>
        </w:rPr>
        <w:t>trop</w:t>
      </w:r>
      <w:r>
        <w:rPr>
          <w:color w:val="231F20"/>
          <w:spacing w:val="-4"/>
          <w:w w:val="115"/>
        </w:rPr>
        <w:t> </w:t>
      </w:r>
      <w:r>
        <w:rPr>
          <w:color w:val="231F20"/>
          <w:w w:val="115"/>
        </w:rPr>
        <w:t>audacieux.</w:t>
      </w:r>
      <w:r>
        <w:rPr>
          <w:color w:val="231F20"/>
          <w:spacing w:val="-4"/>
          <w:w w:val="115"/>
        </w:rPr>
        <w:t> </w:t>
      </w:r>
      <w:r>
        <w:rPr>
          <w:color w:val="231F20"/>
          <w:w w:val="115"/>
        </w:rPr>
        <w:t>Mais</w:t>
      </w:r>
      <w:r>
        <w:rPr>
          <w:color w:val="231F20"/>
          <w:spacing w:val="-4"/>
          <w:w w:val="115"/>
        </w:rPr>
        <w:t> </w:t>
      </w:r>
      <w:r>
        <w:rPr>
          <w:color w:val="231F20"/>
          <w:w w:val="115"/>
        </w:rPr>
        <w:t>cet</w:t>
      </w:r>
      <w:r>
        <w:rPr>
          <w:color w:val="231F20"/>
          <w:spacing w:val="-4"/>
          <w:w w:val="115"/>
        </w:rPr>
        <w:t> </w:t>
      </w:r>
      <w:r>
        <w:rPr>
          <w:color w:val="231F20"/>
          <w:w w:val="115"/>
        </w:rPr>
        <w:t>oxymoron</w:t>
      </w:r>
      <w:r>
        <w:rPr>
          <w:color w:val="231F20"/>
          <w:spacing w:val="-4"/>
          <w:w w:val="115"/>
        </w:rPr>
        <w:t> </w:t>
      </w:r>
      <w:r>
        <w:rPr>
          <w:color w:val="231F20"/>
          <w:w w:val="115"/>
        </w:rPr>
        <w:t>a</w:t>
      </w:r>
      <w:r>
        <w:rPr>
          <w:color w:val="231F20"/>
          <w:spacing w:val="-4"/>
          <w:w w:val="115"/>
        </w:rPr>
        <w:t> </w:t>
      </w:r>
      <w:r>
        <w:rPr>
          <w:color w:val="231F20"/>
          <w:w w:val="115"/>
        </w:rPr>
        <w:t>marqué </w:t>
      </w:r>
      <w:r>
        <w:rPr>
          <w:color w:val="231F20"/>
          <w:w w:val="120"/>
        </w:rPr>
        <w:t>le coup d’une suite de travaux sur le stress et l’organisation du travail. </w:t>
      </w:r>
      <w:r>
        <w:rPr>
          <w:color w:val="231F20"/>
          <w:spacing w:val="-2"/>
          <w:w w:val="120"/>
        </w:rPr>
        <w:t>Virage</w:t>
      </w:r>
      <w:r>
        <w:rPr>
          <w:color w:val="231F20"/>
          <w:spacing w:val="-5"/>
          <w:w w:val="120"/>
        </w:rPr>
        <w:t> </w:t>
      </w:r>
      <w:r>
        <w:rPr>
          <w:color w:val="231F20"/>
          <w:spacing w:val="-2"/>
          <w:w w:val="120"/>
        </w:rPr>
        <w:t>additionnel,</w:t>
      </w:r>
      <w:r>
        <w:rPr>
          <w:color w:val="231F20"/>
          <w:spacing w:val="-5"/>
          <w:w w:val="120"/>
        </w:rPr>
        <w:t> </w:t>
      </w:r>
      <w:r>
        <w:rPr>
          <w:color w:val="231F20"/>
          <w:spacing w:val="-2"/>
          <w:w w:val="120"/>
        </w:rPr>
        <w:t>André</w:t>
      </w:r>
      <w:r>
        <w:rPr>
          <w:color w:val="231F20"/>
          <w:spacing w:val="-5"/>
          <w:w w:val="120"/>
        </w:rPr>
        <w:t> </w:t>
      </w:r>
      <w:r>
        <w:rPr>
          <w:color w:val="231F20"/>
          <w:spacing w:val="-2"/>
          <w:w w:val="120"/>
        </w:rPr>
        <w:t>est</w:t>
      </w:r>
      <w:r>
        <w:rPr>
          <w:color w:val="231F20"/>
          <w:spacing w:val="-5"/>
          <w:w w:val="120"/>
        </w:rPr>
        <w:t> </w:t>
      </w:r>
      <w:r>
        <w:rPr>
          <w:color w:val="231F20"/>
          <w:spacing w:val="-2"/>
          <w:w w:val="120"/>
        </w:rPr>
        <w:t>revenu</w:t>
      </w:r>
      <w:r>
        <w:rPr>
          <w:color w:val="231F20"/>
          <w:spacing w:val="-5"/>
          <w:w w:val="120"/>
        </w:rPr>
        <w:t> </w:t>
      </w:r>
      <w:r>
        <w:rPr>
          <w:color w:val="231F20"/>
          <w:spacing w:val="-2"/>
          <w:w w:val="120"/>
        </w:rPr>
        <w:t>à</w:t>
      </w:r>
      <w:r>
        <w:rPr>
          <w:color w:val="231F20"/>
          <w:spacing w:val="-5"/>
          <w:w w:val="120"/>
        </w:rPr>
        <w:t> </w:t>
      </w:r>
      <w:r>
        <w:rPr>
          <w:color w:val="231F20"/>
          <w:spacing w:val="-2"/>
          <w:w w:val="120"/>
        </w:rPr>
        <w:t>la</w:t>
      </w:r>
      <w:r>
        <w:rPr>
          <w:color w:val="231F20"/>
          <w:spacing w:val="-5"/>
          <w:w w:val="120"/>
        </w:rPr>
        <w:t> </w:t>
      </w:r>
      <w:r>
        <w:rPr>
          <w:color w:val="231F20"/>
          <w:spacing w:val="-2"/>
          <w:w w:val="120"/>
        </w:rPr>
        <w:t>médecine</w:t>
      </w:r>
      <w:r>
        <w:rPr>
          <w:color w:val="231F20"/>
          <w:spacing w:val="-5"/>
          <w:w w:val="120"/>
        </w:rPr>
        <w:t> </w:t>
      </w:r>
      <w:r>
        <w:rPr>
          <w:color w:val="231F20"/>
          <w:spacing w:val="-2"/>
          <w:w w:val="120"/>
        </w:rPr>
        <w:t>nucléaire</w:t>
      </w:r>
      <w:r>
        <w:rPr>
          <w:color w:val="231F20"/>
          <w:spacing w:val="-5"/>
          <w:w w:val="120"/>
        </w:rPr>
        <w:t> </w:t>
      </w:r>
      <w:r>
        <w:rPr>
          <w:color w:val="231F20"/>
          <w:spacing w:val="-2"/>
          <w:w w:val="120"/>
        </w:rPr>
        <w:t>à</w:t>
      </w:r>
      <w:r>
        <w:rPr>
          <w:color w:val="231F20"/>
          <w:spacing w:val="-5"/>
          <w:w w:val="120"/>
        </w:rPr>
        <w:t> </w:t>
      </w:r>
      <w:r>
        <w:rPr>
          <w:color w:val="231F20"/>
          <w:spacing w:val="-2"/>
          <w:w w:val="120"/>
        </w:rPr>
        <w:t>l’Institut </w:t>
      </w:r>
      <w:r>
        <w:rPr>
          <w:color w:val="231F20"/>
          <w:spacing w:val="-4"/>
          <w:w w:val="120"/>
        </w:rPr>
        <w:t>de</w:t>
      </w:r>
      <w:r>
        <w:rPr>
          <w:color w:val="231F20"/>
          <w:spacing w:val="-6"/>
          <w:w w:val="120"/>
        </w:rPr>
        <w:t> </w:t>
      </w:r>
      <w:r>
        <w:rPr>
          <w:color w:val="231F20"/>
          <w:spacing w:val="-4"/>
          <w:w w:val="120"/>
        </w:rPr>
        <w:t>cardiologie</w:t>
      </w:r>
      <w:r>
        <w:rPr>
          <w:color w:val="231F20"/>
          <w:spacing w:val="-6"/>
          <w:w w:val="120"/>
        </w:rPr>
        <w:t> </w:t>
      </w:r>
      <w:r>
        <w:rPr>
          <w:color w:val="231F20"/>
          <w:spacing w:val="-4"/>
          <w:w w:val="120"/>
        </w:rPr>
        <w:t>de</w:t>
      </w:r>
      <w:r>
        <w:rPr>
          <w:color w:val="231F20"/>
          <w:spacing w:val="-6"/>
          <w:w w:val="120"/>
        </w:rPr>
        <w:t> </w:t>
      </w:r>
      <w:r>
        <w:rPr>
          <w:color w:val="231F20"/>
          <w:spacing w:val="-4"/>
          <w:w w:val="120"/>
        </w:rPr>
        <w:t>Montréal</w:t>
      </w:r>
      <w:r>
        <w:rPr>
          <w:color w:val="231F20"/>
          <w:spacing w:val="-6"/>
          <w:w w:val="120"/>
        </w:rPr>
        <w:t> </w:t>
      </w:r>
      <w:r>
        <w:rPr>
          <w:color w:val="231F20"/>
          <w:spacing w:val="-4"/>
          <w:w w:val="120"/>
        </w:rPr>
        <w:t>et,</w:t>
      </w:r>
      <w:r>
        <w:rPr>
          <w:color w:val="231F20"/>
          <w:spacing w:val="-6"/>
          <w:w w:val="120"/>
        </w:rPr>
        <w:t> </w:t>
      </w:r>
      <w:r>
        <w:rPr>
          <w:color w:val="231F20"/>
          <w:spacing w:val="-4"/>
          <w:w w:val="120"/>
        </w:rPr>
        <w:t>après</w:t>
      </w:r>
      <w:r>
        <w:rPr>
          <w:color w:val="231F20"/>
          <w:spacing w:val="-6"/>
          <w:w w:val="120"/>
        </w:rPr>
        <w:t> </w:t>
      </w:r>
      <w:r>
        <w:rPr>
          <w:color w:val="231F20"/>
          <w:spacing w:val="-4"/>
          <w:w w:val="120"/>
        </w:rPr>
        <w:t>20</w:t>
      </w:r>
      <w:r>
        <w:rPr>
          <w:color w:val="231F20"/>
          <w:spacing w:val="-6"/>
          <w:w w:val="120"/>
        </w:rPr>
        <w:t> </w:t>
      </w:r>
      <w:r>
        <w:rPr>
          <w:color w:val="231F20"/>
          <w:spacing w:val="-4"/>
          <w:w w:val="120"/>
        </w:rPr>
        <w:t>ans</w:t>
      </w:r>
      <w:r>
        <w:rPr>
          <w:color w:val="231F20"/>
          <w:spacing w:val="-6"/>
          <w:w w:val="120"/>
        </w:rPr>
        <w:t> </w:t>
      </w:r>
      <w:r>
        <w:rPr>
          <w:color w:val="231F20"/>
          <w:spacing w:val="-4"/>
          <w:w w:val="120"/>
        </w:rPr>
        <w:t>de</w:t>
      </w:r>
      <w:r>
        <w:rPr>
          <w:color w:val="231F20"/>
          <w:spacing w:val="-6"/>
          <w:w w:val="120"/>
        </w:rPr>
        <w:t> </w:t>
      </w:r>
      <w:r>
        <w:rPr>
          <w:color w:val="231F20"/>
          <w:spacing w:val="-4"/>
          <w:w w:val="120"/>
        </w:rPr>
        <w:t>travaux</w:t>
      </w:r>
      <w:r>
        <w:rPr>
          <w:color w:val="231F20"/>
          <w:spacing w:val="-6"/>
          <w:w w:val="120"/>
        </w:rPr>
        <w:t> </w:t>
      </w:r>
      <w:r>
        <w:rPr>
          <w:color w:val="231F20"/>
          <w:spacing w:val="-4"/>
          <w:w w:val="120"/>
        </w:rPr>
        <w:t>menés</w:t>
      </w:r>
      <w:r>
        <w:rPr>
          <w:color w:val="231F20"/>
          <w:spacing w:val="-6"/>
          <w:w w:val="120"/>
        </w:rPr>
        <w:t> </w:t>
      </w:r>
      <w:r>
        <w:rPr>
          <w:color w:val="231F20"/>
          <w:spacing w:val="-4"/>
          <w:w w:val="120"/>
        </w:rPr>
        <w:t>séparément, </w:t>
      </w:r>
      <w:r>
        <w:rPr>
          <w:color w:val="231F20"/>
          <w:w w:val="120"/>
        </w:rPr>
        <w:t>leurs routes se croisent à nouveau. Car en ce moment, des travaux sur la maladie cardiovasculaire et les facteurs de risques convergent pour </w:t>
      </w:r>
      <w:r>
        <w:rPr>
          <w:color w:val="231F20"/>
          <w:spacing w:val="-2"/>
          <w:w w:val="120"/>
        </w:rPr>
        <w:t>faire</w:t>
      </w:r>
      <w:r>
        <w:rPr>
          <w:color w:val="231F20"/>
          <w:spacing w:val="-11"/>
          <w:w w:val="120"/>
        </w:rPr>
        <w:t> </w:t>
      </w:r>
      <w:r>
        <w:rPr>
          <w:color w:val="231F20"/>
          <w:spacing w:val="-2"/>
          <w:w w:val="120"/>
        </w:rPr>
        <w:t>du</w:t>
      </w:r>
      <w:r>
        <w:rPr>
          <w:color w:val="231F20"/>
          <w:spacing w:val="-11"/>
          <w:w w:val="120"/>
        </w:rPr>
        <w:t> </w:t>
      </w:r>
      <w:r>
        <w:rPr>
          <w:color w:val="231F20"/>
          <w:spacing w:val="-2"/>
          <w:w w:val="120"/>
        </w:rPr>
        <w:t>milieu</w:t>
      </w:r>
      <w:r>
        <w:rPr>
          <w:color w:val="231F20"/>
          <w:spacing w:val="-11"/>
          <w:w w:val="120"/>
        </w:rPr>
        <w:t> </w:t>
      </w:r>
      <w:r>
        <w:rPr>
          <w:color w:val="231F20"/>
          <w:spacing w:val="-2"/>
          <w:w w:val="120"/>
        </w:rPr>
        <w:t>de</w:t>
      </w:r>
      <w:r>
        <w:rPr>
          <w:color w:val="231F20"/>
          <w:spacing w:val="-10"/>
          <w:w w:val="120"/>
        </w:rPr>
        <w:t> </w:t>
      </w:r>
      <w:r>
        <w:rPr>
          <w:color w:val="231F20"/>
          <w:spacing w:val="-2"/>
          <w:w w:val="120"/>
        </w:rPr>
        <w:t>travail</w:t>
      </w:r>
      <w:r>
        <w:rPr>
          <w:color w:val="231F20"/>
          <w:spacing w:val="-11"/>
          <w:w w:val="120"/>
        </w:rPr>
        <w:t> </w:t>
      </w:r>
      <w:r>
        <w:rPr>
          <w:color w:val="231F20"/>
          <w:spacing w:val="-2"/>
          <w:w w:val="120"/>
        </w:rPr>
        <w:t>un</w:t>
      </w:r>
      <w:r>
        <w:rPr>
          <w:color w:val="231F20"/>
          <w:spacing w:val="-11"/>
          <w:w w:val="120"/>
        </w:rPr>
        <w:t> </w:t>
      </w:r>
      <w:r>
        <w:rPr>
          <w:color w:val="231F20"/>
          <w:spacing w:val="-2"/>
          <w:w w:val="120"/>
        </w:rPr>
        <w:t>bouillon</w:t>
      </w:r>
      <w:r>
        <w:rPr>
          <w:color w:val="231F20"/>
          <w:spacing w:val="-11"/>
          <w:w w:val="120"/>
        </w:rPr>
        <w:t> </w:t>
      </w:r>
      <w:r>
        <w:rPr>
          <w:color w:val="231F20"/>
          <w:spacing w:val="-2"/>
          <w:w w:val="120"/>
        </w:rPr>
        <w:t>de</w:t>
      </w:r>
      <w:r>
        <w:rPr>
          <w:color w:val="231F20"/>
          <w:spacing w:val="-10"/>
          <w:w w:val="120"/>
        </w:rPr>
        <w:t> </w:t>
      </w:r>
      <w:r>
        <w:rPr>
          <w:color w:val="231F20"/>
          <w:spacing w:val="-2"/>
          <w:w w:val="120"/>
        </w:rPr>
        <w:t>culture</w:t>
      </w:r>
      <w:r>
        <w:rPr>
          <w:color w:val="231F20"/>
          <w:spacing w:val="-11"/>
          <w:w w:val="120"/>
        </w:rPr>
        <w:t> </w:t>
      </w:r>
      <w:r>
        <w:rPr>
          <w:color w:val="231F20"/>
          <w:spacing w:val="-2"/>
          <w:w w:val="120"/>
        </w:rPr>
        <w:t>pour</w:t>
      </w:r>
      <w:r>
        <w:rPr>
          <w:color w:val="231F20"/>
          <w:spacing w:val="-11"/>
          <w:w w:val="120"/>
        </w:rPr>
        <w:t> </w:t>
      </w:r>
      <w:r>
        <w:rPr>
          <w:color w:val="231F20"/>
          <w:spacing w:val="-2"/>
          <w:w w:val="120"/>
        </w:rPr>
        <w:t>les</w:t>
      </w:r>
      <w:r>
        <w:rPr>
          <w:color w:val="231F20"/>
          <w:spacing w:val="-11"/>
          <w:w w:val="120"/>
        </w:rPr>
        <w:t> </w:t>
      </w:r>
      <w:r>
        <w:rPr>
          <w:color w:val="231F20"/>
          <w:spacing w:val="-2"/>
          <w:w w:val="120"/>
        </w:rPr>
        <w:t>troubles</w:t>
      </w:r>
      <w:r>
        <w:rPr>
          <w:color w:val="231F20"/>
          <w:spacing w:val="-10"/>
          <w:w w:val="120"/>
        </w:rPr>
        <w:t> </w:t>
      </w:r>
      <w:r>
        <w:rPr>
          <w:color w:val="231F20"/>
          <w:spacing w:val="-2"/>
          <w:w w:val="120"/>
        </w:rPr>
        <w:t>psycho- </w:t>
      </w:r>
      <w:r>
        <w:rPr>
          <w:color w:val="231F20"/>
          <w:w w:val="120"/>
        </w:rPr>
        <w:t>somatiques</w:t>
      </w:r>
      <w:r>
        <w:rPr>
          <w:color w:val="231F20"/>
          <w:spacing w:val="-2"/>
          <w:w w:val="120"/>
        </w:rPr>
        <w:t> </w:t>
      </w:r>
      <w:r>
        <w:rPr>
          <w:color w:val="231F20"/>
          <w:w w:val="120"/>
        </w:rPr>
        <w:t>liés</w:t>
      </w:r>
      <w:r>
        <w:rPr>
          <w:color w:val="231F20"/>
          <w:spacing w:val="-2"/>
          <w:w w:val="120"/>
        </w:rPr>
        <w:t> </w:t>
      </w:r>
      <w:r>
        <w:rPr>
          <w:color w:val="231F20"/>
          <w:w w:val="120"/>
        </w:rPr>
        <w:t>au</w:t>
      </w:r>
      <w:r>
        <w:rPr>
          <w:color w:val="231F20"/>
          <w:spacing w:val="-2"/>
          <w:w w:val="120"/>
        </w:rPr>
        <w:t> </w:t>
      </w:r>
      <w:r>
        <w:rPr>
          <w:color w:val="231F20"/>
          <w:w w:val="120"/>
        </w:rPr>
        <w:t>stress:</w:t>
      </w:r>
      <w:r>
        <w:rPr>
          <w:color w:val="231F20"/>
          <w:spacing w:val="-2"/>
          <w:w w:val="120"/>
        </w:rPr>
        <w:t> </w:t>
      </w:r>
      <w:r>
        <w:rPr>
          <w:color w:val="231F20"/>
          <w:w w:val="120"/>
        </w:rPr>
        <w:t>perte</w:t>
      </w:r>
      <w:r>
        <w:rPr>
          <w:color w:val="231F20"/>
          <w:spacing w:val="-2"/>
          <w:w w:val="120"/>
        </w:rPr>
        <w:t> </w:t>
      </w:r>
      <w:r>
        <w:rPr>
          <w:color w:val="231F20"/>
          <w:w w:val="120"/>
        </w:rPr>
        <w:t>d’estime</w:t>
      </w:r>
      <w:r>
        <w:rPr>
          <w:color w:val="231F20"/>
          <w:spacing w:val="-2"/>
          <w:w w:val="120"/>
        </w:rPr>
        <w:t> </w:t>
      </w:r>
      <w:r>
        <w:rPr>
          <w:color w:val="231F20"/>
          <w:w w:val="120"/>
        </w:rPr>
        <w:t>de</w:t>
      </w:r>
      <w:r>
        <w:rPr>
          <w:color w:val="231F20"/>
          <w:spacing w:val="-2"/>
          <w:w w:val="120"/>
        </w:rPr>
        <w:t> </w:t>
      </w:r>
      <w:r>
        <w:rPr>
          <w:color w:val="231F20"/>
          <w:w w:val="120"/>
        </w:rPr>
        <w:t>soi,</w:t>
      </w:r>
      <w:r>
        <w:rPr>
          <w:color w:val="231F20"/>
          <w:spacing w:val="-2"/>
          <w:w w:val="120"/>
        </w:rPr>
        <w:t> </w:t>
      </w:r>
      <w:r>
        <w:rPr>
          <w:color w:val="231F20"/>
          <w:w w:val="120"/>
        </w:rPr>
        <w:t>habitudes</w:t>
      </w:r>
      <w:r>
        <w:rPr>
          <w:color w:val="231F20"/>
          <w:spacing w:val="-2"/>
          <w:w w:val="120"/>
        </w:rPr>
        <w:t> </w:t>
      </w:r>
      <w:r>
        <w:rPr>
          <w:color w:val="231F20"/>
          <w:w w:val="120"/>
        </w:rPr>
        <w:t>alimentaires </w:t>
      </w:r>
      <w:r>
        <w:rPr>
          <w:color w:val="231F20"/>
          <w:spacing w:val="-2"/>
          <w:w w:val="120"/>
        </w:rPr>
        <w:t>bousculées,</w:t>
      </w:r>
      <w:r>
        <w:rPr>
          <w:color w:val="231F20"/>
          <w:spacing w:val="-9"/>
          <w:w w:val="120"/>
        </w:rPr>
        <w:t> </w:t>
      </w:r>
      <w:r>
        <w:rPr>
          <w:color w:val="231F20"/>
          <w:spacing w:val="-2"/>
          <w:w w:val="120"/>
        </w:rPr>
        <w:t>épidémie</w:t>
      </w:r>
      <w:r>
        <w:rPr>
          <w:color w:val="231F20"/>
          <w:spacing w:val="-9"/>
          <w:w w:val="120"/>
        </w:rPr>
        <w:t> </w:t>
      </w:r>
      <w:r>
        <w:rPr>
          <w:color w:val="231F20"/>
          <w:spacing w:val="-2"/>
          <w:w w:val="120"/>
        </w:rPr>
        <w:t>d’obésité</w:t>
      </w:r>
      <w:r>
        <w:rPr>
          <w:color w:val="231F20"/>
          <w:spacing w:val="-9"/>
          <w:w w:val="120"/>
        </w:rPr>
        <w:t> </w:t>
      </w:r>
      <w:r>
        <w:rPr>
          <w:color w:val="231F20"/>
          <w:spacing w:val="-2"/>
          <w:w w:val="120"/>
        </w:rPr>
        <w:t>et</w:t>
      </w:r>
      <w:r>
        <w:rPr>
          <w:color w:val="231F20"/>
          <w:spacing w:val="-9"/>
          <w:w w:val="120"/>
        </w:rPr>
        <w:t> </w:t>
      </w:r>
      <w:r>
        <w:rPr>
          <w:color w:val="231F20"/>
          <w:spacing w:val="-2"/>
          <w:w w:val="120"/>
        </w:rPr>
        <w:t>de</w:t>
      </w:r>
      <w:r>
        <w:rPr>
          <w:color w:val="231F20"/>
          <w:spacing w:val="-9"/>
          <w:w w:val="120"/>
        </w:rPr>
        <w:t> </w:t>
      </w:r>
      <w:r>
        <w:rPr>
          <w:color w:val="231F20"/>
          <w:spacing w:val="-2"/>
          <w:w w:val="120"/>
        </w:rPr>
        <w:t>troubles</w:t>
      </w:r>
      <w:r>
        <w:rPr>
          <w:color w:val="231F20"/>
          <w:spacing w:val="-9"/>
          <w:w w:val="120"/>
        </w:rPr>
        <w:t> </w:t>
      </w:r>
      <w:r>
        <w:rPr>
          <w:color w:val="231F20"/>
          <w:spacing w:val="-2"/>
          <w:w w:val="120"/>
        </w:rPr>
        <w:t>du</w:t>
      </w:r>
      <w:r>
        <w:rPr>
          <w:color w:val="231F20"/>
          <w:spacing w:val="-9"/>
          <w:w w:val="120"/>
        </w:rPr>
        <w:t> </w:t>
      </w:r>
      <w:r>
        <w:rPr>
          <w:color w:val="231F20"/>
          <w:spacing w:val="-2"/>
          <w:w w:val="120"/>
        </w:rPr>
        <w:t>sommeil,</w:t>
      </w:r>
      <w:r>
        <w:rPr>
          <w:color w:val="231F20"/>
          <w:spacing w:val="-9"/>
          <w:w w:val="120"/>
        </w:rPr>
        <w:t> </w:t>
      </w:r>
      <w:r>
        <w:rPr>
          <w:color w:val="231F20"/>
          <w:spacing w:val="-2"/>
          <w:w w:val="120"/>
        </w:rPr>
        <w:t>hypertension, </w:t>
      </w:r>
      <w:r>
        <w:rPr>
          <w:color w:val="231F20"/>
          <w:w w:val="120"/>
        </w:rPr>
        <w:t>syndrome</w:t>
      </w:r>
      <w:r>
        <w:rPr>
          <w:color w:val="231F20"/>
          <w:spacing w:val="-13"/>
          <w:w w:val="120"/>
        </w:rPr>
        <w:t> </w:t>
      </w:r>
      <w:r>
        <w:rPr>
          <w:color w:val="231F20"/>
          <w:w w:val="120"/>
        </w:rPr>
        <w:t>métabolique.</w:t>
      </w:r>
      <w:r>
        <w:rPr>
          <w:color w:val="231F20"/>
          <w:spacing w:val="-13"/>
          <w:w w:val="120"/>
        </w:rPr>
        <w:t> </w:t>
      </w:r>
      <w:r>
        <w:rPr>
          <w:color w:val="231F20"/>
          <w:w w:val="120"/>
        </w:rPr>
        <w:t>De</w:t>
      </w:r>
      <w:r>
        <w:rPr>
          <w:color w:val="231F20"/>
          <w:spacing w:val="-13"/>
          <w:w w:val="120"/>
        </w:rPr>
        <w:t> </w:t>
      </w:r>
      <w:r>
        <w:rPr>
          <w:color w:val="231F20"/>
          <w:w w:val="120"/>
        </w:rPr>
        <w:t>son</w:t>
      </w:r>
      <w:r>
        <w:rPr>
          <w:color w:val="231F20"/>
          <w:spacing w:val="-12"/>
          <w:w w:val="120"/>
        </w:rPr>
        <w:t> </w:t>
      </w:r>
      <w:r>
        <w:rPr>
          <w:color w:val="231F20"/>
          <w:w w:val="120"/>
        </w:rPr>
        <w:t>côté,</w:t>
      </w:r>
      <w:r>
        <w:rPr>
          <w:color w:val="231F20"/>
          <w:spacing w:val="-13"/>
          <w:w w:val="120"/>
        </w:rPr>
        <w:t> </w:t>
      </w:r>
      <w:r>
        <w:rPr>
          <w:color w:val="231F20"/>
          <w:w w:val="120"/>
        </w:rPr>
        <w:t>Simon</w:t>
      </w:r>
      <w:r>
        <w:rPr>
          <w:color w:val="231F20"/>
          <w:spacing w:val="-13"/>
          <w:w w:val="120"/>
        </w:rPr>
        <w:t> </w:t>
      </w:r>
      <w:r>
        <w:rPr>
          <w:color w:val="231F20"/>
          <w:w w:val="120"/>
        </w:rPr>
        <w:t>se</w:t>
      </w:r>
      <w:r>
        <w:rPr>
          <w:color w:val="231F20"/>
          <w:spacing w:val="-13"/>
          <w:w w:val="120"/>
        </w:rPr>
        <w:t> </w:t>
      </w:r>
      <w:r>
        <w:rPr>
          <w:color w:val="231F20"/>
          <w:w w:val="120"/>
        </w:rPr>
        <w:t>pointe</w:t>
      </w:r>
      <w:r>
        <w:rPr>
          <w:color w:val="231F20"/>
          <w:spacing w:val="-12"/>
          <w:w w:val="120"/>
        </w:rPr>
        <w:t> </w:t>
      </w:r>
      <w:r>
        <w:rPr>
          <w:color w:val="231F20"/>
          <w:w w:val="120"/>
        </w:rPr>
        <w:t>avec</w:t>
      </w:r>
      <w:r>
        <w:rPr>
          <w:color w:val="231F20"/>
          <w:spacing w:val="-13"/>
          <w:w w:val="120"/>
        </w:rPr>
        <w:t> </w:t>
      </w:r>
      <w:r>
        <w:rPr>
          <w:color w:val="231F20"/>
          <w:w w:val="120"/>
        </w:rPr>
        <w:t>des</w:t>
      </w:r>
      <w:r>
        <w:rPr>
          <w:color w:val="231F20"/>
          <w:spacing w:val="-13"/>
          <w:w w:val="120"/>
        </w:rPr>
        <w:t> </w:t>
      </w:r>
      <w:r>
        <w:rPr>
          <w:color w:val="231F20"/>
          <w:w w:val="120"/>
        </w:rPr>
        <w:t>concepts de restructuration organisationnelle centrée sur les valeurs. Mirage ou lueur</w:t>
      </w:r>
      <w:r>
        <w:rPr>
          <w:color w:val="231F20"/>
          <w:spacing w:val="-7"/>
          <w:w w:val="120"/>
        </w:rPr>
        <w:t> </w:t>
      </w:r>
      <w:r>
        <w:rPr>
          <w:color w:val="231F20"/>
          <w:w w:val="120"/>
        </w:rPr>
        <w:t>d’espoir,</w:t>
      </w:r>
      <w:r>
        <w:rPr>
          <w:color w:val="231F20"/>
          <w:spacing w:val="-7"/>
          <w:w w:val="120"/>
        </w:rPr>
        <w:t> </w:t>
      </w:r>
      <w:r>
        <w:rPr>
          <w:color w:val="231F20"/>
          <w:w w:val="120"/>
        </w:rPr>
        <w:t>le</w:t>
      </w:r>
      <w:r>
        <w:rPr>
          <w:color w:val="231F20"/>
          <w:spacing w:val="-7"/>
          <w:w w:val="120"/>
        </w:rPr>
        <w:t> </w:t>
      </w:r>
      <w:r>
        <w:rPr>
          <w:color w:val="231F20"/>
          <w:w w:val="120"/>
        </w:rPr>
        <w:t>concept</w:t>
      </w:r>
      <w:r>
        <w:rPr>
          <w:color w:val="231F20"/>
          <w:spacing w:val="-7"/>
          <w:w w:val="120"/>
        </w:rPr>
        <w:t> </w:t>
      </w:r>
      <w:r>
        <w:rPr>
          <w:color w:val="231F20"/>
          <w:w w:val="120"/>
        </w:rPr>
        <w:t>est</w:t>
      </w:r>
      <w:r>
        <w:rPr>
          <w:color w:val="231F20"/>
          <w:spacing w:val="-7"/>
          <w:w w:val="120"/>
        </w:rPr>
        <w:t> </w:t>
      </w:r>
      <w:r>
        <w:rPr>
          <w:color w:val="231F20"/>
          <w:w w:val="120"/>
        </w:rPr>
        <w:t>au</w:t>
      </w:r>
      <w:r>
        <w:rPr>
          <w:color w:val="231F20"/>
          <w:spacing w:val="-7"/>
          <w:w w:val="120"/>
        </w:rPr>
        <w:t> </w:t>
      </w:r>
      <w:r>
        <w:rPr>
          <w:color w:val="231F20"/>
          <w:w w:val="120"/>
        </w:rPr>
        <w:t>moins</w:t>
      </w:r>
      <w:r>
        <w:rPr>
          <w:color w:val="231F20"/>
          <w:spacing w:val="-7"/>
          <w:w w:val="120"/>
        </w:rPr>
        <w:t> </w:t>
      </w:r>
      <w:r>
        <w:rPr>
          <w:color w:val="231F20"/>
          <w:w w:val="120"/>
        </w:rPr>
        <w:t>à</w:t>
      </w:r>
      <w:r>
        <w:rPr>
          <w:color w:val="231F20"/>
          <w:spacing w:val="-7"/>
          <w:w w:val="120"/>
        </w:rPr>
        <w:t> </w:t>
      </w:r>
      <w:r>
        <w:rPr>
          <w:color w:val="231F20"/>
          <w:w w:val="120"/>
        </w:rPr>
        <w:t>la</w:t>
      </w:r>
      <w:r>
        <w:rPr>
          <w:color w:val="231F20"/>
          <w:spacing w:val="-7"/>
          <w:w w:val="120"/>
        </w:rPr>
        <w:t> </w:t>
      </w:r>
      <w:r>
        <w:rPr>
          <w:color w:val="231F20"/>
          <w:w w:val="120"/>
        </w:rPr>
        <w:t>portée</w:t>
      </w:r>
      <w:r>
        <w:rPr>
          <w:color w:val="231F20"/>
          <w:spacing w:val="-7"/>
          <w:w w:val="120"/>
        </w:rPr>
        <w:t> </w:t>
      </w:r>
      <w:r>
        <w:rPr>
          <w:color w:val="231F20"/>
          <w:w w:val="120"/>
        </w:rPr>
        <w:t>de</w:t>
      </w:r>
      <w:r>
        <w:rPr>
          <w:color w:val="231F20"/>
          <w:spacing w:val="-7"/>
          <w:w w:val="120"/>
        </w:rPr>
        <w:t> </w:t>
      </w:r>
      <w:r>
        <w:rPr>
          <w:color w:val="231F20"/>
          <w:w w:val="120"/>
        </w:rPr>
        <w:t>tous</w:t>
      </w:r>
      <w:r>
        <w:rPr>
          <w:color w:val="231F20"/>
          <w:spacing w:val="-7"/>
          <w:w w:val="120"/>
        </w:rPr>
        <w:t> </w:t>
      </w:r>
      <w:r>
        <w:rPr>
          <w:color w:val="231F20"/>
          <w:w w:val="120"/>
        </w:rPr>
        <w:t>à</w:t>
      </w:r>
      <w:r>
        <w:rPr>
          <w:color w:val="231F20"/>
          <w:spacing w:val="-7"/>
          <w:w w:val="120"/>
        </w:rPr>
        <w:t> </w:t>
      </w:r>
      <w:r>
        <w:rPr>
          <w:color w:val="231F20"/>
          <w:w w:val="120"/>
        </w:rPr>
        <w:t>une</w:t>
      </w:r>
      <w:r>
        <w:rPr>
          <w:color w:val="231F20"/>
          <w:spacing w:val="-7"/>
          <w:w w:val="120"/>
        </w:rPr>
        <w:t> </w:t>
      </w:r>
      <w:r>
        <w:rPr>
          <w:color w:val="231F20"/>
          <w:w w:val="120"/>
        </w:rPr>
        <w:t>époque où</w:t>
      </w:r>
      <w:r>
        <w:rPr>
          <w:color w:val="231F20"/>
          <w:spacing w:val="-13"/>
          <w:w w:val="120"/>
        </w:rPr>
        <w:t> </w:t>
      </w:r>
      <w:r>
        <w:rPr>
          <w:color w:val="231F20"/>
          <w:w w:val="120"/>
        </w:rPr>
        <w:t>l’individu,</w:t>
      </w:r>
      <w:r>
        <w:rPr>
          <w:color w:val="231F20"/>
          <w:spacing w:val="-13"/>
          <w:w w:val="120"/>
        </w:rPr>
        <w:t> </w:t>
      </w:r>
      <w:r>
        <w:rPr>
          <w:color w:val="231F20"/>
          <w:w w:val="120"/>
        </w:rPr>
        <w:t>comme</w:t>
      </w:r>
      <w:r>
        <w:rPr>
          <w:color w:val="231F20"/>
          <w:spacing w:val="-13"/>
          <w:w w:val="120"/>
        </w:rPr>
        <w:t> </w:t>
      </w:r>
      <w:r>
        <w:rPr>
          <w:color w:val="231F20"/>
          <w:w w:val="120"/>
        </w:rPr>
        <w:t>personne,</w:t>
      </w:r>
      <w:r>
        <w:rPr>
          <w:color w:val="231F20"/>
          <w:spacing w:val="-12"/>
          <w:w w:val="120"/>
        </w:rPr>
        <w:t> </w:t>
      </w:r>
      <w:r>
        <w:rPr>
          <w:color w:val="231F20"/>
          <w:w w:val="120"/>
        </w:rPr>
        <w:t>n’a</w:t>
      </w:r>
      <w:r>
        <w:rPr>
          <w:color w:val="231F20"/>
          <w:spacing w:val="-13"/>
          <w:w w:val="120"/>
        </w:rPr>
        <w:t> </w:t>
      </w:r>
      <w:r>
        <w:rPr>
          <w:color w:val="231F20"/>
          <w:w w:val="120"/>
        </w:rPr>
        <w:t>des</w:t>
      </w:r>
      <w:r>
        <w:rPr>
          <w:color w:val="231F20"/>
          <w:spacing w:val="-13"/>
          <w:w w:val="120"/>
        </w:rPr>
        <w:t> </w:t>
      </w:r>
      <w:r>
        <w:rPr>
          <w:color w:val="231F20"/>
          <w:w w:val="120"/>
        </w:rPr>
        <w:t>chances</w:t>
      </w:r>
      <w:r>
        <w:rPr>
          <w:color w:val="231F20"/>
          <w:spacing w:val="-13"/>
          <w:w w:val="120"/>
        </w:rPr>
        <w:t> </w:t>
      </w:r>
      <w:r>
        <w:rPr>
          <w:color w:val="231F20"/>
          <w:w w:val="120"/>
        </w:rPr>
        <w:t>de</w:t>
      </w:r>
      <w:r>
        <w:rPr>
          <w:color w:val="231F20"/>
          <w:spacing w:val="-12"/>
          <w:w w:val="120"/>
        </w:rPr>
        <w:t> </w:t>
      </w:r>
      <w:r>
        <w:rPr>
          <w:color w:val="231F20"/>
          <w:w w:val="120"/>
        </w:rPr>
        <w:t>retrouver</w:t>
      </w:r>
      <w:r>
        <w:rPr>
          <w:color w:val="231F20"/>
          <w:spacing w:val="-13"/>
          <w:w w:val="120"/>
        </w:rPr>
        <w:t> </w:t>
      </w:r>
      <w:r>
        <w:rPr>
          <w:color w:val="231F20"/>
          <w:w w:val="120"/>
        </w:rPr>
        <w:t>un</w:t>
      </w:r>
      <w:r>
        <w:rPr>
          <w:color w:val="231F20"/>
          <w:spacing w:val="-13"/>
          <w:w w:val="120"/>
        </w:rPr>
        <w:t> </w:t>
      </w:r>
      <w:r>
        <w:rPr>
          <w:color w:val="231F20"/>
          <w:w w:val="120"/>
        </w:rPr>
        <w:t>sens</w:t>
      </w:r>
      <w:r>
        <w:rPr>
          <w:color w:val="231F20"/>
          <w:spacing w:val="-13"/>
          <w:w w:val="120"/>
        </w:rPr>
        <w:t> </w:t>
      </w:r>
      <w:r>
        <w:rPr>
          <w:color w:val="231F20"/>
          <w:w w:val="120"/>
        </w:rPr>
        <w:t>au travail</w:t>
      </w:r>
      <w:r>
        <w:rPr>
          <w:color w:val="231F20"/>
          <w:spacing w:val="-1"/>
          <w:w w:val="120"/>
        </w:rPr>
        <w:t> </w:t>
      </w:r>
      <w:r>
        <w:rPr>
          <w:color w:val="231F20"/>
          <w:w w:val="120"/>
        </w:rPr>
        <w:t>que</w:t>
      </w:r>
      <w:r>
        <w:rPr>
          <w:color w:val="231F20"/>
          <w:spacing w:val="-1"/>
          <w:w w:val="120"/>
        </w:rPr>
        <w:t> </w:t>
      </w:r>
      <w:r>
        <w:rPr>
          <w:color w:val="231F20"/>
          <w:w w:val="120"/>
        </w:rPr>
        <w:t>si</w:t>
      </w:r>
      <w:r>
        <w:rPr>
          <w:color w:val="231F20"/>
          <w:spacing w:val="-1"/>
          <w:w w:val="120"/>
        </w:rPr>
        <w:t> </w:t>
      </w:r>
      <w:r>
        <w:rPr>
          <w:color w:val="231F20"/>
          <w:w w:val="120"/>
        </w:rPr>
        <w:t>l’entreprise</w:t>
      </w:r>
      <w:r>
        <w:rPr>
          <w:color w:val="231F20"/>
          <w:spacing w:val="-1"/>
          <w:w w:val="120"/>
        </w:rPr>
        <w:t> </w:t>
      </w:r>
      <w:r>
        <w:rPr>
          <w:color w:val="231F20"/>
          <w:w w:val="120"/>
        </w:rPr>
        <w:t>fait</w:t>
      </w:r>
      <w:r>
        <w:rPr>
          <w:color w:val="231F20"/>
          <w:spacing w:val="-1"/>
          <w:w w:val="120"/>
        </w:rPr>
        <w:t> </w:t>
      </w:r>
      <w:r>
        <w:rPr>
          <w:color w:val="231F20"/>
          <w:w w:val="120"/>
        </w:rPr>
        <w:t>l’objet</w:t>
      </w:r>
      <w:r>
        <w:rPr>
          <w:color w:val="231F20"/>
          <w:spacing w:val="-1"/>
          <w:w w:val="120"/>
        </w:rPr>
        <w:t> </w:t>
      </w:r>
      <w:r>
        <w:rPr>
          <w:color w:val="231F20"/>
          <w:w w:val="120"/>
        </w:rPr>
        <w:t>d’un</w:t>
      </w:r>
      <w:r>
        <w:rPr>
          <w:color w:val="231F20"/>
          <w:spacing w:val="-1"/>
          <w:w w:val="120"/>
        </w:rPr>
        <w:t> </w:t>
      </w:r>
      <w:r>
        <w:rPr>
          <w:color w:val="231F20"/>
          <w:w w:val="120"/>
        </w:rPr>
        <w:t>recentrage</w:t>
      </w:r>
      <w:r>
        <w:rPr>
          <w:color w:val="231F20"/>
          <w:spacing w:val="-1"/>
          <w:w w:val="120"/>
        </w:rPr>
        <w:t> </w:t>
      </w:r>
      <w:r>
        <w:rPr>
          <w:color w:val="231F20"/>
          <w:w w:val="120"/>
        </w:rPr>
        <w:t>sur</w:t>
      </w:r>
      <w:r>
        <w:rPr>
          <w:color w:val="231F20"/>
          <w:spacing w:val="-1"/>
          <w:w w:val="120"/>
        </w:rPr>
        <w:t> </w:t>
      </w:r>
      <w:r>
        <w:rPr>
          <w:color w:val="231F20"/>
          <w:w w:val="120"/>
        </w:rPr>
        <w:t>l’objet</w:t>
      </w:r>
      <w:r>
        <w:rPr>
          <w:color w:val="231F20"/>
          <w:spacing w:val="-1"/>
          <w:w w:val="120"/>
        </w:rPr>
        <w:t> </w:t>
      </w:r>
      <w:r>
        <w:rPr>
          <w:color w:val="231F20"/>
          <w:w w:val="120"/>
        </w:rPr>
        <w:t>de</w:t>
      </w:r>
      <w:r>
        <w:rPr>
          <w:color w:val="231F20"/>
          <w:spacing w:val="-1"/>
          <w:w w:val="120"/>
        </w:rPr>
        <w:t> </w:t>
      </w:r>
      <w:r>
        <w:rPr>
          <w:color w:val="231F20"/>
          <w:w w:val="120"/>
        </w:rPr>
        <w:t>son existence dans sa dimension immatérielle et identitaire.</w:t>
      </w:r>
    </w:p>
    <w:p>
      <w:pPr>
        <w:pStyle w:val="BodyText"/>
        <w:spacing w:line="307" w:lineRule="auto" w:before="76"/>
        <w:ind w:left="789" w:right="631" w:firstLine="250"/>
        <w:jc w:val="both"/>
      </w:pPr>
      <w:r>
        <w:rPr>
          <w:color w:val="231F20"/>
          <w:w w:val="120"/>
        </w:rPr>
        <w:t>Nous voudrions donc dédier cet ouvrage aux collègues à qui nous sommes</w:t>
      </w:r>
      <w:r>
        <w:rPr>
          <w:color w:val="231F20"/>
          <w:spacing w:val="-3"/>
          <w:w w:val="120"/>
        </w:rPr>
        <w:t> </w:t>
      </w:r>
      <w:r>
        <w:rPr>
          <w:color w:val="231F20"/>
          <w:w w:val="120"/>
        </w:rPr>
        <w:t>particulièrement</w:t>
      </w:r>
      <w:r>
        <w:rPr>
          <w:color w:val="231F20"/>
          <w:spacing w:val="-3"/>
          <w:w w:val="120"/>
        </w:rPr>
        <w:t> </w:t>
      </w:r>
      <w:r>
        <w:rPr>
          <w:color w:val="231F20"/>
          <w:w w:val="120"/>
        </w:rPr>
        <w:t>redevables</w:t>
      </w:r>
      <w:r>
        <w:rPr>
          <w:color w:val="231F20"/>
          <w:spacing w:val="-3"/>
          <w:w w:val="120"/>
        </w:rPr>
        <w:t> </w:t>
      </w:r>
      <w:r>
        <w:rPr>
          <w:color w:val="231F20"/>
          <w:w w:val="120"/>
        </w:rPr>
        <w:t>de</w:t>
      </w:r>
      <w:r>
        <w:rPr>
          <w:color w:val="231F20"/>
          <w:spacing w:val="-3"/>
          <w:w w:val="120"/>
        </w:rPr>
        <w:t> </w:t>
      </w:r>
      <w:r>
        <w:rPr>
          <w:color w:val="231F20"/>
          <w:w w:val="120"/>
        </w:rPr>
        <w:t>nous</w:t>
      </w:r>
      <w:r>
        <w:rPr>
          <w:color w:val="231F20"/>
          <w:spacing w:val="-3"/>
          <w:w w:val="120"/>
        </w:rPr>
        <w:t> </w:t>
      </w:r>
      <w:r>
        <w:rPr>
          <w:color w:val="231F20"/>
          <w:w w:val="120"/>
        </w:rPr>
        <w:t>avoir</w:t>
      </w:r>
      <w:r>
        <w:rPr>
          <w:color w:val="231F20"/>
          <w:spacing w:val="-3"/>
          <w:w w:val="120"/>
        </w:rPr>
        <w:t> </w:t>
      </w:r>
      <w:r>
        <w:rPr>
          <w:color w:val="231F20"/>
          <w:w w:val="120"/>
        </w:rPr>
        <w:t>aidés</w:t>
      </w:r>
      <w:r>
        <w:rPr>
          <w:color w:val="231F20"/>
          <w:spacing w:val="-3"/>
          <w:w w:val="120"/>
        </w:rPr>
        <w:t> </w:t>
      </w:r>
      <w:r>
        <w:rPr>
          <w:color w:val="231F20"/>
          <w:w w:val="120"/>
        </w:rPr>
        <w:t>à</w:t>
      </w:r>
      <w:r>
        <w:rPr>
          <w:color w:val="231F20"/>
          <w:spacing w:val="-3"/>
          <w:w w:val="120"/>
        </w:rPr>
        <w:t> </w:t>
      </w:r>
      <w:r>
        <w:rPr>
          <w:color w:val="231F20"/>
          <w:w w:val="120"/>
        </w:rPr>
        <w:t>évoluer</w:t>
      </w:r>
      <w:r>
        <w:rPr>
          <w:color w:val="231F20"/>
          <w:spacing w:val="-3"/>
          <w:w w:val="120"/>
        </w:rPr>
        <w:t> </w:t>
      </w:r>
      <w:r>
        <w:rPr>
          <w:color w:val="231F20"/>
          <w:w w:val="120"/>
        </w:rPr>
        <w:t>et</w:t>
      </w:r>
      <w:r>
        <w:rPr>
          <w:color w:val="231F20"/>
          <w:spacing w:val="-3"/>
          <w:w w:val="120"/>
        </w:rPr>
        <w:t> </w:t>
      </w:r>
      <w:r>
        <w:rPr>
          <w:color w:val="231F20"/>
          <w:w w:val="120"/>
        </w:rPr>
        <w:t>à </w:t>
      </w:r>
      <w:r>
        <w:rPr>
          <w:color w:val="231F20"/>
          <w:w w:val="115"/>
        </w:rPr>
        <w:t>développer ce cadre de référence. Simon L. Dolan veut, dans un premier </w:t>
      </w:r>
      <w:r>
        <w:rPr>
          <w:color w:val="231F20"/>
          <w:spacing w:val="-2"/>
          <w:w w:val="120"/>
        </w:rPr>
        <w:t>temps,</w:t>
      </w:r>
      <w:r>
        <w:rPr>
          <w:color w:val="231F20"/>
          <w:spacing w:val="-11"/>
          <w:w w:val="120"/>
        </w:rPr>
        <w:t> </w:t>
      </w:r>
      <w:r>
        <w:rPr>
          <w:color w:val="231F20"/>
          <w:spacing w:val="-2"/>
          <w:w w:val="120"/>
        </w:rPr>
        <w:t>exprimer</w:t>
      </w:r>
      <w:r>
        <w:rPr>
          <w:color w:val="231F20"/>
          <w:spacing w:val="-11"/>
          <w:w w:val="120"/>
        </w:rPr>
        <w:t> </w:t>
      </w:r>
      <w:r>
        <w:rPr>
          <w:color w:val="231F20"/>
          <w:spacing w:val="-2"/>
          <w:w w:val="120"/>
        </w:rPr>
        <w:t>sa</w:t>
      </w:r>
      <w:r>
        <w:rPr>
          <w:color w:val="231F20"/>
          <w:spacing w:val="-11"/>
          <w:w w:val="120"/>
        </w:rPr>
        <w:t> </w:t>
      </w:r>
      <w:r>
        <w:rPr>
          <w:color w:val="231F20"/>
          <w:spacing w:val="-2"/>
          <w:w w:val="120"/>
        </w:rPr>
        <w:t>gratitude</w:t>
      </w:r>
      <w:r>
        <w:rPr>
          <w:color w:val="231F20"/>
          <w:spacing w:val="-10"/>
          <w:w w:val="120"/>
        </w:rPr>
        <w:t> </w:t>
      </w:r>
      <w:r>
        <w:rPr>
          <w:color w:val="231F20"/>
          <w:spacing w:val="-2"/>
          <w:w w:val="120"/>
        </w:rPr>
        <w:t>à</w:t>
      </w:r>
      <w:r>
        <w:rPr>
          <w:color w:val="231F20"/>
          <w:spacing w:val="-11"/>
          <w:w w:val="120"/>
        </w:rPr>
        <w:t> </w:t>
      </w:r>
      <w:r>
        <w:rPr>
          <w:color w:val="231F20"/>
          <w:spacing w:val="-2"/>
          <w:w w:val="120"/>
        </w:rPr>
        <w:t>son</w:t>
      </w:r>
      <w:r>
        <w:rPr>
          <w:color w:val="231F20"/>
          <w:spacing w:val="-11"/>
          <w:w w:val="120"/>
        </w:rPr>
        <w:t> </w:t>
      </w:r>
      <w:r>
        <w:rPr>
          <w:color w:val="231F20"/>
          <w:spacing w:val="-2"/>
          <w:w w:val="120"/>
        </w:rPr>
        <w:t>mentor</w:t>
      </w:r>
      <w:r>
        <w:rPr>
          <w:color w:val="231F20"/>
          <w:spacing w:val="-11"/>
          <w:w w:val="120"/>
        </w:rPr>
        <w:t> </w:t>
      </w:r>
      <w:r>
        <w:rPr>
          <w:color w:val="231F20"/>
          <w:spacing w:val="-2"/>
          <w:w w:val="120"/>
        </w:rPr>
        <w:t>spirituel,</w:t>
      </w:r>
      <w:r>
        <w:rPr>
          <w:color w:val="231F20"/>
          <w:spacing w:val="-10"/>
          <w:w w:val="120"/>
        </w:rPr>
        <w:t> </w:t>
      </w:r>
      <w:r>
        <w:rPr>
          <w:color w:val="231F20"/>
          <w:spacing w:val="-2"/>
          <w:w w:val="120"/>
        </w:rPr>
        <w:t>le</w:t>
      </w:r>
      <w:r>
        <w:rPr>
          <w:color w:val="231F20"/>
          <w:spacing w:val="-11"/>
          <w:w w:val="120"/>
        </w:rPr>
        <w:t> </w:t>
      </w:r>
      <w:r>
        <w:rPr>
          <w:color w:val="231F20"/>
          <w:spacing w:val="-2"/>
          <w:w w:val="120"/>
        </w:rPr>
        <w:t>regretté</w:t>
      </w:r>
      <w:r>
        <w:rPr>
          <w:color w:val="231F20"/>
          <w:spacing w:val="-11"/>
          <w:w w:val="120"/>
        </w:rPr>
        <w:t> </w:t>
      </w:r>
      <w:r>
        <w:rPr>
          <w:color w:val="231F20"/>
          <w:spacing w:val="-2"/>
          <w:w w:val="120"/>
        </w:rPr>
        <w:t>professeur </w:t>
      </w:r>
      <w:r>
        <w:rPr>
          <w:color w:val="231F20"/>
          <w:w w:val="120"/>
        </w:rPr>
        <w:t>Arie</w:t>
      </w:r>
      <w:r>
        <w:rPr>
          <w:color w:val="231F20"/>
          <w:spacing w:val="-9"/>
          <w:w w:val="120"/>
        </w:rPr>
        <w:t> </w:t>
      </w:r>
      <w:r>
        <w:rPr>
          <w:color w:val="231F20"/>
          <w:w w:val="120"/>
        </w:rPr>
        <w:t>Shirom</w:t>
      </w:r>
      <w:r>
        <w:rPr>
          <w:color w:val="231F20"/>
          <w:spacing w:val="-9"/>
          <w:w w:val="120"/>
        </w:rPr>
        <w:t> </w:t>
      </w:r>
      <w:r>
        <w:rPr>
          <w:color w:val="231F20"/>
          <w:w w:val="120"/>
        </w:rPr>
        <w:t>(de</w:t>
      </w:r>
      <w:r>
        <w:rPr>
          <w:color w:val="231F20"/>
          <w:spacing w:val="-9"/>
          <w:w w:val="120"/>
        </w:rPr>
        <w:t> </w:t>
      </w:r>
      <w:r>
        <w:rPr>
          <w:color w:val="231F20"/>
          <w:w w:val="120"/>
        </w:rPr>
        <w:t>Tel-Aviv)</w:t>
      </w:r>
      <w:r>
        <w:rPr>
          <w:color w:val="231F20"/>
          <w:spacing w:val="-9"/>
          <w:w w:val="120"/>
        </w:rPr>
        <w:t> </w:t>
      </w:r>
      <w:r>
        <w:rPr>
          <w:color w:val="231F20"/>
          <w:w w:val="120"/>
        </w:rPr>
        <w:t>qui</w:t>
      </w:r>
      <w:r>
        <w:rPr>
          <w:color w:val="231F20"/>
          <w:spacing w:val="-9"/>
          <w:w w:val="120"/>
        </w:rPr>
        <w:t> </w:t>
      </w:r>
      <w:r>
        <w:rPr>
          <w:color w:val="231F20"/>
          <w:w w:val="120"/>
        </w:rPr>
        <w:t>l’a</w:t>
      </w:r>
      <w:r>
        <w:rPr>
          <w:color w:val="231F20"/>
          <w:spacing w:val="-9"/>
          <w:w w:val="120"/>
        </w:rPr>
        <w:t> </w:t>
      </w:r>
      <w:r>
        <w:rPr>
          <w:color w:val="231F20"/>
          <w:w w:val="120"/>
        </w:rPr>
        <w:t>initié</w:t>
      </w:r>
      <w:r>
        <w:rPr>
          <w:color w:val="231F20"/>
          <w:spacing w:val="-9"/>
          <w:w w:val="120"/>
        </w:rPr>
        <w:t> </w:t>
      </w:r>
      <w:r>
        <w:rPr>
          <w:color w:val="231F20"/>
          <w:w w:val="120"/>
        </w:rPr>
        <w:t>au</w:t>
      </w:r>
      <w:r>
        <w:rPr>
          <w:color w:val="231F20"/>
          <w:spacing w:val="-9"/>
          <w:w w:val="120"/>
        </w:rPr>
        <w:t> </w:t>
      </w:r>
      <w:r>
        <w:rPr>
          <w:color w:val="231F20"/>
          <w:w w:val="120"/>
        </w:rPr>
        <w:t>champ</w:t>
      </w:r>
      <w:r>
        <w:rPr>
          <w:color w:val="231F20"/>
          <w:spacing w:val="-9"/>
          <w:w w:val="120"/>
        </w:rPr>
        <w:t> </w:t>
      </w:r>
      <w:r>
        <w:rPr>
          <w:color w:val="231F20"/>
          <w:w w:val="120"/>
        </w:rPr>
        <w:t>d’études</w:t>
      </w:r>
      <w:r>
        <w:rPr>
          <w:color w:val="231F20"/>
          <w:spacing w:val="-9"/>
          <w:w w:val="120"/>
        </w:rPr>
        <w:t> </w:t>
      </w:r>
      <w:r>
        <w:rPr>
          <w:color w:val="231F20"/>
          <w:w w:val="120"/>
        </w:rPr>
        <w:t>du</w:t>
      </w:r>
      <w:r>
        <w:rPr>
          <w:color w:val="231F20"/>
          <w:spacing w:val="-9"/>
          <w:w w:val="120"/>
        </w:rPr>
        <w:t> </w:t>
      </w:r>
      <w:r>
        <w:rPr>
          <w:color w:val="231F20"/>
          <w:w w:val="120"/>
        </w:rPr>
        <w:t>stress</w:t>
      </w:r>
      <w:r>
        <w:rPr>
          <w:color w:val="231F20"/>
          <w:spacing w:val="-9"/>
          <w:w w:val="120"/>
        </w:rPr>
        <w:t> </w:t>
      </w:r>
      <w:r>
        <w:rPr>
          <w:color w:val="231F20"/>
          <w:w w:val="120"/>
        </w:rPr>
        <w:t>au travail. Il tient également à exprimer sa reconnaissance la plus sincère au</w:t>
      </w:r>
      <w:r>
        <w:rPr>
          <w:color w:val="231F20"/>
          <w:spacing w:val="-9"/>
          <w:w w:val="120"/>
        </w:rPr>
        <w:t> </w:t>
      </w:r>
      <w:r>
        <w:rPr>
          <w:color w:val="231F20"/>
          <w:w w:val="120"/>
        </w:rPr>
        <w:t>regretté</w:t>
      </w:r>
      <w:r>
        <w:rPr>
          <w:color w:val="231F20"/>
          <w:spacing w:val="-9"/>
          <w:w w:val="120"/>
        </w:rPr>
        <w:t> </w:t>
      </w:r>
      <w:r>
        <w:rPr>
          <w:color w:val="231F20"/>
          <w:w w:val="120"/>
        </w:rPr>
        <w:t>D</w:t>
      </w:r>
      <w:r>
        <w:rPr>
          <w:color w:val="231F20"/>
          <w:w w:val="120"/>
          <w:position w:val="6"/>
          <w:sz w:val="10"/>
        </w:rPr>
        <w:t>r</w:t>
      </w:r>
      <w:r>
        <w:rPr>
          <w:color w:val="231F20"/>
          <w:spacing w:val="12"/>
          <w:w w:val="120"/>
          <w:position w:val="6"/>
          <w:sz w:val="10"/>
        </w:rPr>
        <w:t> </w:t>
      </w:r>
      <w:r>
        <w:rPr>
          <w:color w:val="231F20"/>
          <w:w w:val="120"/>
        </w:rPr>
        <w:t>Hans</w:t>
      </w:r>
      <w:r>
        <w:rPr>
          <w:color w:val="231F20"/>
          <w:spacing w:val="-9"/>
          <w:w w:val="120"/>
        </w:rPr>
        <w:t> </w:t>
      </w:r>
      <w:r>
        <w:rPr>
          <w:color w:val="231F20"/>
          <w:w w:val="120"/>
        </w:rPr>
        <w:t>Selye,</w:t>
      </w:r>
      <w:r>
        <w:rPr>
          <w:color w:val="231F20"/>
          <w:spacing w:val="-9"/>
          <w:w w:val="120"/>
        </w:rPr>
        <w:t> </w:t>
      </w:r>
      <w:r>
        <w:rPr>
          <w:color w:val="231F20"/>
          <w:w w:val="120"/>
        </w:rPr>
        <w:t>qui</w:t>
      </w:r>
      <w:r>
        <w:rPr>
          <w:color w:val="231F20"/>
          <w:spacing w:val="-9"/>
          <w:w w:val="120"/>
        </w:rPr>
        <w:t> </w:t>
      </w:r>
      <w:r>
        <w:rPr>
          <w:color w:val="231F20"/>
          <w:w w:val="120"/>
        </w:rPr>
        <w:t>a</w:t>
      </w:r>
      <w:r>
        <w:rPr>
          <w:color w:val="231F20"/>
          <w:spacing w:val="-9"/>
          <w:w w:val="120"/>
        </w:rPr>
        <w:t> </w:t>
      </w:r>
      <w:r>
        <w:rPr>
          <w:color w:val="231F20"/>
          <w:w w:val="120"/>
        </w:rPr>
        <w:t>cru</w:t>
      </w:r>
      <w:r>
        <w:rPr>
          <w:color w:val="231F20"/>
          <w:spacing w:val="-9"/>
          <w:w w:val="120"/>
        </w:rPr>
        <w:t> </w:t>
      </w:r>
      <w:r>
        <w:rPr>
          <w:color w:val="231F20"/>
          <w:w w:val="120"/>
        </w:rPr>
        <w:t>en</w:t>
      </w:r>
      <w:r>
        <w:rPr>
          <w:color w:val="231F20"/>
          <w:spacing w:val="-9"/>
          <w:w w:val="120"/>
        </w:rPr>
        <w:t> </w:t>
      </w:r>
      <w:r>
        <w:rPr>
          <w:color w:val="231F20"/>
          <w:w w:val="120"/>
        </w:rPr>
        <w:t>lui,</w:t>
      </w:r>
      <w:r>
        <w:rPr>
          <w:color w:val="231F20"/>
          <w:spacing w:val="-9"/>
          <w:w w:val="120"/>
        </w:rPr>
        <w:t> </w:t>
      </w:r>
      <w:r>
        <w:rPr>
          <w:color w:val="231F20"/>
          <w:w w:val="120"/>
        </w:rPr>
        <w:t>lui</w:t>
      </w:r>
      <w:r>
        <w:rPr>
          <w:color w:val="231F20"/>
          <w:spacing w:val="-9"/>
          <w:w w:val="120"/>
        </w:rPr>
        <w:t> </w:t>
      </w:r>
      <w:r>
        <w:rPr>
          <w:color w:val="231F20"/>
          <w:w w:val="120"/>
        </w:rPr>
        <w:t>a</w:t>
      </w:r>
      <w:r>
        <w:rPr>
          <w:color w:val="231F20"/>
          <w:spacing w:val="-9"/>
          <w:w w:val="120"/>
        </w:rPr>
        <w:t> </w:t>
      </w:r>
      <w:r>
        <w:rPr>
          <w:color w:val="231F20"/>
          <w:w w:val="120"/>
        </w:rPr>
        <w:t>donné</w:t>
      </w:r>
      <w:r>
        <w:rPr>
          <w:color w:val="231F20"/>
          <w:spacing w:val="-9"/>
          <w:w w:val="120"/>
        </w:rPr>
        <w:t> </w:t>
      </w:r>
      <w:r>
        <w:rPr>
          <w:color w:val="231F20"/>
          <w:w w:val="120"/>
        </w:rPr>
        <w:t>son</w:t>
      </w:r>
      <w:r>
        <w:rPr>
          <w:color w:val="231F20"/>
          <w:spacing w:val="-9"/>
          <w:w w:val="120"/>
        </w:rPr>
        <w:t> </w:t>
      </w:r>
      <w:r>
        <w:rPr>
          <w:color w:val="231F20"/>
          <w:w w:val="120"/>
        </w:rPr>
        <w:t>appui</w:t>
      </w:r>
      <w:r>
        <w:rPr>
          <w:color w:val="231F20"/>
          <w:spacing w:val="-9"/>
          <w:w w:val="120"/>
        </w:rPr>
        <w:t> </w:t>
      </w:r>
      <w:r>
        <w:rPr>
          <w:color w:val="231F20"/>
          <w:w w:val="120"/>
        </w:rPr>
        <w:t>et</w:t>
      </w:r>
      <w:r>
        <w:rPr>
          <w:color w:val="231F20"/>
          <w:spacing w:val="-9"/>
          <w:w w:val="120"/>
        </w:rPr>
        <w:t> </w:t>
      </w:r>
      <w:r>
        <w:rPr>
          <w:color w:val="231F20"/>
          <w:w w:val="120"/>
        </w:rPr>
        <w:t>lui</w:t>
      </w:r>
      <w:r>
        <w:rPr>
          <w:color w:val="231F20"/>
          <w:spacing w:val="-9"/>
          <w:w w:val="120"/>
        </w:rPr>
        <w:t> </w:t>
      </w:r>
      <w:r>
        <w:rPr>
          <w:color w:val="231F20"/>
          <w:w w:val="120"/>
        </w:rPr>
        <w:t>a ouvert des portes au cours de ses premières années à l’Université de Montréal.</w:t>
      </w:r>
      <w:r>
        <w:rPr>
          <w:color w:val="231F20"/>
          <w:spacing w:val="-12"/>
          <w:w w:val="120"/>
        </w:rPr>
        <w:t> </w:t>
      </w:r>
      <w:r>
        <w:rPr>
          <w:color w:val="231F20"/>
          <w:w w:val="120"/>
        </w:rPr>
        <w:t>Il</w:t>
      </w:r>
      <w:r>
        <w:rPr>
          <w:color w:val="231F20"/>
          <w:spacing w:val="-12"/>
          <w:w w:val="120"/>
        </w:rPr>
        <w:t> </w:t>
      </w:r>
      <w:r>
        <w:rPr>
          <w:color w:val="231F20"/>
          <w:w w:val="120"/>
        </w:rPr>
        <w:t>veut</w:t>
      </w:r>
      <w:r>
        <w:rPr>
          <w:color w:val="231F20"/>
          <w:spacing w:val="-12"/>
          <w:w w:val="120"/>
        </w:rPr>
        <w:t> </w:t>
      </w:r>
      <w:r>
        <w:rPr>
          <w:color w:val="231F20"/>
          <w:w w:val="120"/>
        </w:rPr>
        <w:t>aussi</w:t>
      </w:r>
      <w:r>
        <w:rPr>
          <w:color w:val="231F20"/>
          <w:spacing w:val="-12"/>
          <w:w w:val="120"/>
        </w:rPr>
        <w:t> </w:t>
      </w:r>
      <w:r>
        <w:rPr>
          <w:color w:val="231F20"/>
          <w:w w:val="120"/>
        </w:rPr>
        <w:t>remercier</w:t>
      </w:r>
      <w:r>
        <w:rPr>
          <w:color w:val="231F20"/>
          <w:spacing w:val="-12"/>
          <w:w w:val="120"/>
        </w:rPr>
        <w:t> </w:t>
      </w:r>
      <w:r>
        <w:rPr>
          <w:color w:val="231F20"/>
          <w:w w:val="120"/>
        </w:rPr>
        <w:t>le</w:t>
      </w:r>
      <w:r>
        <w:rPr>
          <w:color w:val="231F20"/>
          <w:spacing w:val="-12"/>
          <w:w w:val="120"/>
        </w:rPr>
        <w:t> </w:t>
      </w:r>
      <w:r>
        <w:rPr>
          <w:color w:val="231F20"/>
          <w:w w:val="120"/>
        </w:rPr>
        <w:t>D</w:t>
      </w:r>
      <w:r>
        <w:rPr>
          <w:color w:val="231F20"/>
          <w:w w:val="120"/>
          <w:position w:val="6"/>
          <w:sz w:val="10"/>
        </w:rPr>
        <w:t>r</w:t>
      </w:r>
      <w:r>
        <w:rPr>
          <w:color w:val="231F20"/>
          <w:spacing w:val="9"/>
          <w:w w:val="120"/>
          <w:position w:val="6"/>
          <w:sz w:val="10"/>
        </w:rPr>
        <w:t> </w:t>
      </w:r>
      <w:r>
        <w:rPr>
          <w:color w:val="231F20"/>
          <w:w w:val="120"/>
        </w:rPr>
        <w:t>André</w:t>
      </w:r>
      <w:r>
        <w:rPr>
          <w:color w:val="231F20"/>
          <w:spacing w:val="-12"/>
          <w:w w:val="120"/>
        </w:rPr>
        <w:t> </w:t>
      </w:r>
      <w:r>
        <w:rPr>
          <w:color w:val="231F20"/>
          <w:w w:val="120"/>
        </w:rPr>
        <w:t>Arsenault,</w:t>
      </w:r>
      <w:r>
        <w:rPr>
          <w:color w:val="231F20"/>
          <w:spacing w:val="-12"/>
          <w:w w:val="120"/>
        </w:rPr>
        <w:t> </w:t>
      </w:r>
      <w:r>
        <w:rPr>
          <w:color w:val="231F20"/>
          <w:w w:val="120"/>
        </w:rPr>
        <w:t>coauteur</w:t>
      </w:r>
      <w:r>
        <w:rPr>
          <w:color w:val="231F20"/>
          <w:spacing w:val="-12"/>
          <w:w w:val="120"/>
        </w:rPr>
        <w:t> </w:t>
      </w:r>
      <w:r>
        <w:rPr>
          <w:color w:val="231F20"/>
          <w:w w:val="120"/>
        </w:rPr>
        <w:t>de</w:t>
      </w:r>
      <w:r>
        <w:rPr>
          <w:color w:val="231F20"/>
          <w:spacing w:val="-12"/>
          <w:w w:val="120"/>
        </w:rPr>
        <w:t> </w:t>
      </w:r>
      <w:r>
        <w:rPr>
          <w:color w:val="231F20"/>
          <w:w w:val="120"/>
        </w:rPr>
        <w:t>cet ouvrage,</w:t>
      </w:r>
      <w:r>
        <w:rPr>
          <w:color w:val="231F20"/>
          <w:spacing w:val="-13"/>
          <w:w w:val="120"/>
        </w:rPr>
        <w:t> </w:t>
      </w:r>
      <w:r>
        <w:rPr>
          <w:color w:val="231F20"/>
          <w:w w:val="120"/>
        </w:rPr>
        <w:t>pour</w:t>
      </w:r>
      <w:r>
        <w:rPr>
          <w:color w:val="231F20"/>
          <w:spacing w:val="-13"/>
          <w:w w:val="120"/>
        </w:rPr>
        <w:t> </w:t>
      </w:r>
      <w:r>
        <w:rPr>
          <w:color w:val="231F20"/>
          <w:w w:val="120"/>
        </w:rPr>
        <w:t>sa</w:t>
      </w:r>
      <w:r>
        <w:rPr>
          <w:color w:val="231F20"/>
          <w:spacing w:val="-13"/>
          <w:w w:val="120"/>
        </w:rPr>
        <w:t> </w:t>
      </w:r>
      <w:r>
        <w:rPr>
          <w:color w:val="231F20"/>
          <w:w w:val="120"/>
        </w:rPr>
        <w:t>confiance</w:t>
      </w:r>
      <w:r>
        <w:rPr>
          <w:color w:val="231F20"/>
          <w:spacing w:val="-12"/>
          <w:w w:val="120"/>
        </w:rPr>
        <w:t> </w:t>
      </w:r>
      <w:r>
        <w:rPr>
          <w:color w:val="231F20"/>
          <w:w w:val="120"/>
        </w:rPr>
        <w:t>et</w:t>
      </w:r>
      <w:r>
        <w:rPr>
          <w:color w:val="231F20"/>
          <w:spacing w:val="-13"/>
          <w:w w:val="120"/>
        </w:rPr>
        <w:t> </w:t>
      </w:r>
      <w:r>
        <w:rPr>
          <w:color w:val="231F20"/>
          <w:w w:val="120"/>
        </w:rPr>
        <w:t>sa</w:t>
      </w:r>
      <w:r>
        <w:rPr>
          <w:color w:val="231F20"/>
          <w:spacing w:val="-13"/>
          <w:w w:val="120"/>
        </w:rPr>
        <w:t> </w:t>
      </w:r>
      <w:r>
        <w:rPr>
          <w:color w:val="231F20"/>
          <w:w w:val="120"/>
        </w:rPr>
        <w:t>collaboration</w:t>
      </w:r>
      <w:r>
        <w:rPr>
          <w:color w:val="231F20"/>
          <w:spacing w:val="-13"/>
          <w:w w:val="120"/>
        </w:rPr>
        <w:t> </w:t>
      </w:r>
      <w:r>
        <w:rPr>
          <w:color w:val="231F20"/>
          <w:w w:val="120"/>
        </w:rPr>
        <w:t>pendant</w:t>
      </w:r>
      <w:r>
        <w:rPr>
          <w:color w:val="231F20"/>
          <w:spacing w:val="-12"/>
          <w:w w:val="120"/>
        </w:rPr>
        <w:t> </w:t>
      </w:r>
      <w:r>
        <w:rPr>
          <w:color w:val="231F20"/>
          <w:w w:val="120"/>
        </w:rPr>
        <w:t>près</w:t>
      </w:r>
      <w:r>
        <w:rPr>
          <w:color w:val="231F20"/>
          <w:spacing w:val="-13"/>
          <w:w w:val="120"/>
        </w:rPr>
        <w:t> </w:t>
      </w:r>
      <w:r>
        <w:rPr>
          <w:color w:val="231F20"/>
          <w:w w:val="120"/>
        </w:rPr>
        <w:t>de</w:t>
      </w:r>
      <w:r>
        <w:rPr>
          <w:color w:val="231F20"/>
          <w:spacing w:val="-13"/>
          <w:w w:val="120"/>
        </w:rPr>
        <w:t> </w:t>
      </w:r>
      <w:r>
        <w:rPr>
          <w:color w:val="231F20"/>
          <w:w w:val="120"/>
        </w:rPr>
        <w:t>20</w:t>
      </w:r>
      <w:r>
        <w:rPr>
          <w:color w:val="231F20"/>
          <w:spacing w:val="-13"/>
          <w:w w:val="120"/>
        </w:rPr>
        <w:t> </w:t>
      </w:r>
      <w:r>
        <w:rPr>
          <w:color w:val="231F20"/>
          <w:w w:val="120"/>
        </w:rPr>
        <w:t>ans</w:t>
      </w:r>
      <w:r>
        <w:rPr>
          <w:color w:val="231F20"/>
          <w:spacing w:val="-12"/>
          <w:w w:val="120"/>
        </w:rPr>
        <w:t> </w:t>
      </w:r>
      <w:r>
        <w:rPr>
          <w:color w:val="231F20"/>
          <w:w w:val="120"/>
        </w:rPr>
        <w:t>de travail</w:t>
      </w:r>
      <w:r>
        <w:rPr>
          <w:color w:val="231F20"/>
          <w:spacing w:val="-13"/>
          <w:w w:val="120"/>
        </w:rPr>
        <w:t> </w:t>
      </w:r>
      <w:r>
        <w:rPr>
          <w:color w:val="231F20"/>
          <w:w w:val="120"/>
        </w:rPr>
        <w:t>commun</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2"/>
          <w:w w:val="120"/>
        </w:rPr>
        <w:t> </w:t>
      </w:r>
      <w:r>
        <w:rPr>
          <w:color w:val="231F20"/>
          <w:w w:val="120"/>
        </w:rPr>
        <w:t>direction</w:t>
      </w:r>
      <w:r>
        <w:rPr>
          <w:color w:val="231F20"/>
          <w:spacing w:val="-13"/>
          <w:w w:val="120"/>
        </w:rPr>
        <w:t> </w:t>
      </w:r>
      <w:r>
        <w:rPr>
          <w:color w:val="231F20"/>
          <w:w w:val="120"/>
        </w:rPr>
        <w:t>conjointe</w:t>
      </w:r>
      <w:r>
        <w:rPr>
          <w:color w:val="231F20"/>
          <w:spacing w:val="-13"/>
          <w:w w:val="120"/>
        </w:rPr>
        <w:t> </w:t>
      </w:r>
      <w:r>
        <w:rPr>
          <w:color w:val="231F20"/>
          <w:w w:val="120"/>
        </w:rPr>
        <w:t>du</w:t>
      </w:r>
      <w:r>
        <w:rPr>
          <w:color w:val="231F20"/>
          <w:spacing w:val="-13"/>
          <w:w w:val="120"/>
        </w:rPr>
        <w:t> </w:t>
      </w:r>
      <w:r>
        <w:rPr>
          <w:color w:val="231F20"/>
          <w:w w:val="120"/>
        </w:rPr>
        <w:t>Groupe</w:t>
      </w:r>
      <w:r>
        <w:rPr>
          <w:color w:val="231F20"/>
          <w:spacing w:val="-12"/>
          <w:w w:val="120"/>
        </w:rPr>
        <w:t> </w:t>
      </w:r>
      <w:r>
        <w:rPr>
          <w:color w:val="231F20"/>
          <w:w w:val="120"/>
        </w:rPr>
        <w:t>de</w:t>
      </w:r>
      <w:r>
        <w:rPr>
          <w:color w:val="231F20"/>
          <w:spacing w:val="-13"/>
          <w:w w:val="120"/>
        </w:rPr>
        <w:t> </w:t>
      </w:r>
      <w:r>
        <w:rPr>
          <w:color w:val="231F20"/>
          <w:w w:val="120"/>
        </w:rPr>
        <w:t>recherche</w:t>
      </w:r>
      <w:r>
        <w:rPr>
          <w:color w:val="231F20"/>
          <w:spacing w:val="-13"/>
          <w:w w:val="120"/>
        </w:rPr>
        <w:t> </w:t>
      </w:r>
      <w:r>
        <w:rPr>
          <w:color w:val="231F20"/>
          <w:w w:val="120"/>
        </w:rPr>
        <w:t>Stress et santé au travail de l’Université de Montréal et le travail commun et </w:t>
      </w:r>
      <w:r>
        <w:rPr>
          <w:color w:val="231F20"/>
          <w:spacing w:val="-2"/>
          <w:w w:val="115"/>
        </w:rPr>
        <w:t>pionnier</w:t>
      </w:r>
      <w:r>
        <w:rPr>
          <w:color w:val="231F20"/>
          <w:spacing w:val="-6"/>
          <w:w w:val="115"/>
        </w:rPr>
        <w:t> </w:t>
      </w:r>
      <w:r>
        <w:rPr>
          <w:color w:val="231F20"/>
          <w:spacing w:val="-2"/>
          <w:w w:val="115"/>
        </w:rPr>
        <w:t>qu’ils</w:t>
      </w:r>
      <w:r>
        <w:rPr>
          <w:color w:val="231F20"/>
          <w:spacing w:val="-6"/>
          <w:w w:val="115"/>
        </w:rPr>
        <w:t> </w:t>
      </w:r>
      <w:r>
        <w:rPr>
          <w:color w:val="231F20"/>
          <w:spacing w:val="-2"/>
          <w:w w:val="115"/>
        </w:rPr>
        <w:t>ont</w:t>
      </w:r>
      <w:r>
        <w:rPr>
          <w:color w:val="231F20"/>
          <w:spacing w:val="-6"/>
          <w:w w:val="115"/>
        </w:rPr>
        <w:t> </w:t>
      </w:r>
      <w:r>
        <w:rPr>
          <w:color w:val="231F20"/>
          <w:spacing w:val="-2"/>
          <w:w w:val="115"/>
        </w:rPr>
        <w:t>fait</w:t>
      </w:r>
      <w:r>
        <w:rPr>
          <w:color w:val="231F20"/>
          <w:spacing w:val="-6"/>
          <w:w w:val="115"/>
        </w:rPr>
        <w:t> </w:t>
      </w:r>
      <w:r>
        <w:rPr>
          <w:color w:val="231F20"/>
          <w:spacing w:val="-2"/>
          <w:w w:val="115"/>
        </w:rPr>
        <w:t>pour</w:t>
      </w:r>
      <w:r>
        <w:rPr>
          <w:color w:val="231F20"/>
          <w:spacing w:val="-6"/>
          <w:w w:val="115"/>
        </w:rPr>
        <w:t> </w:t>
      </w:r>
      <w:r>
        <w:rPr>
          <w:color w:val="231F20"/>
          <w:spacing w:val="-2"/>
          <w:w w:val="115"/>
        </w:rPr>
        <w:t>l’IRSST.</w:t>
      </w:r>
      <w:r>
        <w:rPr>
          <w:color w:val="231F20"/>
          <w:spacing w:val="-6"/>
          <w:w w:val="115"/>
        </w:rPr>
        <w:t> </w:t>
      </w:r>
      <w:r>
        <w:rPr>
          <w:color w:val="231F20"/>
          <w:spacing w:val="-2"/>
          <w:w w:val="115"/>
        </w:rPr>
        <w:t>En</w:t>
      </w:r>
      <w:r>
        <w:rPr>
          <w:color w:val="231F20"/>
          <w:spacing w:val="-6"/>
          <w:w w:val="115"/>
        </w:rPr>
        <w:t> </w:t>
      </w:r>
      <w:r>
        <w:rPr>
          <w:color w:val="231F20"/>
          <w:spacing w:val="-2"/>
          <w:w w:val="115"/>
        </w:rPr>
        <w:t>fait,</w:t>
      </w:r>
      <w:r>
        <w:rPr>
          <w:color w:val="231F20"/>
          <w:spacing w:val="-6"/>
          <w:w w:val="115"/>
        </w:rPr>
        <w:t> </w:t>
      </w:r>
      <w:r>
        <w:rPr>
          <w:color w:val="231F20"/>
          <w:spacing w:val="-2"/>
          <w:w w:val="115"/>
        </w:rPr>
        <w:t>la</w:t>
      </w:r>
      <w:r>
        <w:rPr>
          <w:color w:val="231F20"/>
          <w:spacing w:val="-6"/>
          <w:w w:val="115"/>
        </w:rPr>
        <w:t> </w:t>
      </w:r>
      <w:r>
        <w:rPr>
          <w:color w:val="231F20"/>
          <w:spacing w:val="-2"/>
          <w:w w:val="115"/>
        </w:rPr>
        <w:t>première</w:t>
      </w:r>
      <w:r>
        <w:rPr>
          <w:color w:val="231F20"/>
          <w:spacing w:val="-6"/>
          <w:w w:val="115"/>
        </w:rPr>
        <w:t> </w:t>
      </w:r>
      <w:r>
        <w:rPr>
          <w:color w:val="231F20"/>
          <w:spacing w:val="-2"/>
          <w:w w:val="115"/>
        </w:rPr>
        <w:t>édition</w:t>
      </w:r>
      <w:r>
        <w:rPr>
          <w:color w:val="231F20"/>
          <w:spacing w:val="-6"/>
          <w:w w:val="115"/>
        </w:rPr>
        <w:t> </w:t>
      </w:r>
      <w:r>
        <w:rPr>
          <w:color w:val="231F20"/>
          <w:spacing w:val="-2"/>
          <w:w w:val="115"/>
        </w:rPr>
        <w:t>du</w:t>
      </w:r>
      <w:r>
        <w:rPr>
          <w:color w:val="231F20"/>
          <w:spacing w:val="-6"/>
          <w:w w:val="115"/>
        </w:rPr>
        <w:t> </w:t>
      </w:r>
      <w:r>
        <w:rPr>
          <w:color w:val="231F20"/>
          <w:spacing w:val="-2"/>
          <w:w w:val="115"/>
        </w:rPr>
        <w:t>présent </w:t>
      </w:r>
      <w:r>
        <w:rPr>
          <w:color w:val="231F20"/>
          <w:w w:val="120"/>
        </w:rPr>
        <w:t>ouvrage,</w:t>
      </w:r>
      <w:r>
        <w:rPr>
          <w:color w:val="231F20"/>
          <w:spacing w:val="-12"/>
          <w:w w:val="120"/>
        </w:rPr>
        <w:t> </w:t>
      </w:r>
      <w:r>
        <w:rPr>
          <w:color w:val="231F20"/>
          <w:w w:val="120"/>
        </w:rPr>
        <w:t>rédigée</w:t>
      </w:r>
      <w:r>
        <w:rPr>
          <w:color w:val="231F20"/>
          <w:spacing w:val="-12"/>
          <w:w w:val="120"/>
        </w:rPr>
        <w:t> </w:t>
      </w:r>
      <w:r>
        <w:rPr>
          <w:color w:val="231F20"/>
          <w:w w:val="120"/>
        </w:rPr>
        <w:t>en</w:t>
      </w:r>
      <w:r>
        <w:rPr>
          <w:color w:val="231F20"/>
          <w:spacing w:val="-12"/>
          <w:w w:val="120"/>
        </w:rPr>
        <w:t> </w:t>
      </w:r>
      <w:r>
        <w:rPr>
          <w:color w:val="231F20"/>
          <w:w w:val="120"/>
        </w:rPr>
        <w:t>français</w:t>
      </w:r>
      <w:r>
        <w:rPr>
          <w:color w:val="231F20"/>
          <w:spacing w:val="-12"/>
          <w:w w:val="120"/>
        </w:rPr>
        <w:t> </w:t>
      </w:r>
      <w:r>
        <w:rPr>
          <w:color w:val="231F20"/>
          <w:w w:val="120"/>
        </w:rPr>
        <w:t>avec</w:t>
      </w:r>
      <w:r>
        <w:rPr>
          <w:color w:val="231F20"/>
          <w:spacing w:val="-12"/>
          <w:w w:val="120"/>
        </w:rPr>
        <w:t> </w:t>
      </w:r>
      <w:r>
        <w:rPr>
          <w:color w:val="231F20"/>
          <w:w w:val="120"/>
        </w:rPr>
        <w:t>André</w:t>
      </w:r>
      <w:r>
        <w:rPr>
          <w:color w:val="231F20"/>
          <w:spacing w:val="-12"/>
          <w:w w:val="120"/>
        </w:rPr>
        <w:t> </w:t>
      </w:r>
      <w:r>
        <w:rPr>
          <w:color w:val="231F20"/>
          <w:w w:val="120"/>
        </w:rPr>
        <w:t>Arsenault</w:t>
      </w:r>
      <w:r>
        <w:rPr>
          <w:color w:val="231F20"/>
          <w:spacing w:val="-12"/>
          <w:w w:val="120"/>
        </w:rPr>
        <w:t> </w:t>
      </w:r>
      <w:r>
        <w:rPr>
          <w:color w:val="231F20"/>
          <w:w w:val="120"/>
        </w:rPr>
        <w:t>en</w:t>
      </w:r>
      <w:r>
        <w:rPr>
          <w:color w:val="231F20"/>
          <w:spacing w:val="-12"/>
          <w:w w:val="120"/>
        </w:rPr>
        <w:t> </w:t>
      </w:r>
      <w:r>
        <w:rPr>
          <w:color w:val="231F20"/>
          <w:w w:val="120"/>
        </w:rPr>
        <w:t>1980</w:t>
      </w:r>
      <w:r>
        <w:rPr>
          <w:color w:val="231F20"/>
          <w:spacing w:val="-12"/>
          <w:w w:val="120"/>
        </w:rPr>
        <w:t> </w:t>
      </w:r>
      <w:r>
        <w:rPr>
          <w:color w:val="231F20"/>
          <w:w w:val="120"/>
        </w:rPr>
        <w:t>(et</w:t>
      </w:r>
      <w:r>
        <w:rPr>
          <w:color w:val="231F20"/>
          <w:spacing w:val="-12"/>
          <w:w w:val="120"/>
        </w:rPr>
        <w:t> </w:t>
      </w:r>
      <w:r>
        <w:rPr>
          <w:color w:val="231F20"/>
          <w:w w:val="120"/>
        </w:rPr>
        <w:t>préfacée</w:t>
      </w:r>
    </w:p>
    <w:p>
      <w:pPr>
        <w:spacing w:after="0" w:line="307" w:lineRule="auto"/>
        <w:jc w:val="both"/>
        <w:sectPr>
          <w:footerReference w:type="default" r:id="rId31"/>
          <w:pgSz w:w="8640" w:h="12960"/>
          <w:pgMar w:footer="424" w:header="0" w:top="520" w:bottom="620" w:left="460" w:right="1000"/>
        </w:sectPr>
      </w:pPr>
    </w:p>
    <w:p>
      <w:pPr>
        <w:spacing w:before="118"/>
        <w:ind w:left="930" w:right="0" w:firstLine="0"/>
        <w:jc w:val="center"/>
        <w:rPr>
          <w:rFonts w:ascii="Arial"/>
          <w:sz w:val="14"/>
        </w:rPr>
      </w:pPr>
      <w:r>
        <w:rPr>
          <w:rFonts w:ascii="Arial"/>
          <w:color w:val="231F20"/>
          <w:spacing w:val="-2"/>
          <w:w w:val="105"/>
          <w:sz w:val="14"/>
        </w:rPr>
        <w:t>Introduction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7"/>
        <w:jc w:val="both"/>
      </w:pPr>
      <w:r>
        <w:rPr>
          <w:color w:val="231F20"/>
          <w:w w:val="120"/>
        </w:rPr>
        <w:t>par Hans Selye), est devenue un succès de librairie au Canada1. Le </w:t>
      </w:r>
      <w:r>
        <w:rPr>
          <w:color w:val="231F20"/>
          <w:spacing w:val="-2"/>
          <w:w w:val="120"/>
        </w:rPr>
        <w:t>coauteur</w:t>
      </w:r>
      <w:r>
        <w:rPr>
          <w:color w:val="231F20"/>
          <w:spacing w:val="-9"/>
          <w:w w:val="120"/>
        </w:rPr>
        <w:t> </w:t>
      </w:r>
      <w:r>
        <w:rPr>
          <w:color w:val="231F20"/>
          <w:spacing w:val="-2"/>
          <w:w w:val="120"/>
        </w:rPr>
        <w:t>a</w:t>
      </w:r>
      <w:r>
        <w:rPr>
          <w:color w:val="231F20"/>
          <w:spacing w:val="-9"/>
          <w:w w:val="120"/>
        </w:rPr>
        <w:t> </w:t>
      </w:r>
      <w:r>
        <w:rPr>
          <w:color w:val="231F20"/>
          <w:spacing w:val="-2"/>
          <w:w w:val="120"/>
        </w:rPr>
        <w:t>appris</w:t>
      </w:r>
      <w:r>
        <w:rPr>
          <w:color w:val="231F20"/>
          <w:spacing w:val="-9"/>
          <w:w w:val="120"/>
        </w:rPr>
        <w:t> </w:t>
      </w:r>
      <w:r>
        <w:rPr>
          <w:color w:val="231F20"/>
          <w:spacing w:val="-2"/>
          <w:w w:val="120"/>
        </w:rPr>
        <w:t>énormément</w:t>
      </w:r>
      <w:r>
        <w:rPr>
          <w:color w:val="231F20"/>
          <w:spacing w:val="-9"/>
          <w:w w:val="120"/>
        </w:rPr>
        <w:t> </w:t>
      </w:r>
      <w:r>
        <w:rPr>
          <w:color w:val="231F20"/>
          <w:spacing w:val="-2"/>
          <w:w w:val="120"/>
        </w:rPr>
        <w:t>d’André,</w:t>
      </w:r>
      <w:r>
        <w:rPr>
          <w:color w:val="231F20"/>
          <w:spacing w:val="-9"/>
          <w:w w:val="120"/>
        </w:rPr>
        <w:t> </w:t>
      </w:r>
      <w:r>
        <w:rPr>
          <w:color w:val="231F20"/>
          <w:spacing w:val="-2"/>
          <w:w w:val="120"/>
        </w:rPr>
        <w:t>non</w:t>
      </w:r>
      <w:r>
        <w:rPr>
          <w:color w:val="231F20"/>
          <w:spacing w:val="-9"/>
          <w:w w:val="120"/>
        </w:rPr>
        <w:t> </w:t>
      </w:r>
      <w:r>
        <w:rPr>
          <w:color w:val="231F20"/>
          <w:spacing w:val="-2"/>
          <w:w w:val="120"/>
        </w:rPr>
        <w:t>seulement</w:t>
      </w:r>
      <w:r>
        <w:rPr>
          <w:color w:val="231F20"/>
          <w:spacing w:val="-9"/>
          <w:w w:val="120"/>
        </w:rPr>
        <w:t> </w:t>
      </w:r>
      <w:r>
        <w:rPr>
          <w:color w:val="231F20"/>
          <w:spacing w:val="-2"/>
          <w:w w:val="120"/>
        </w:rPr>
        <w:t>sur</w:t>
      </w:r>
      <w:r>
        <w:rPr>
          <w:color w:val="231F20"/>
          <w:spacing w:val="-9"/>
          <w:w w:val="120"/>
        </w:rPr>
        <w:t> </w:t>
      </w:r>
      <w:r>
        <w:rPr>
          <w:color w:val="231F20"/>
          <w:spacing w:val="-2"/>
          <w:w w:val="120"/>
        </w:rPr>
        <w:t>le</w:t>
      </w:r>
      <w:r>
        <w:rPr>
          <w:color w:val="231F20"/>
          <w:spacing w:val="-9"/>
          <w:w w:val="120"/>
        </w:rPr>
        <w:t> </w:t>
      </w:r>
      <w:r>
        <w:rPr>
          <w:color w:val="231F20"/>
          <w:spacing w:val="-2"/>
          <w:w w:val="120"/>
        </w:rPr>
        <w:t>plan</w:t>
      </w:r>
      <w:r>
        <w:rPr>
          <w:color w:val="231F20"/>
          <w:spacing w:val="-9"/>
          <w:w w:val="120"/>
        </w:rPr>
        <w:t> </w:t>
      </w:r>
      <w:r>
        <w:rPr>
          <w:color w:val="231F20"/>
          <w:spacing w:val="-2"/>
          <w:w w:val="120"/>
        </w:rPr>
        <w:t>scien- </w:t>
      </w:r>
      <w:r>
        <w:rPr>
          <w:color w:val="231F20"/>
          <w:w w:val="120"/>
        </w:rPr>
        <w:t>tifique</w:t>
      </w:r>
      <w:r>
        <w:rPr>
          <w:color w:val="231F20"/>
          <w:spacing w:val="-12"/>
          <w:w w:val="120"/>
        </w:rPr>
        <w:t> </w:t>
      </w:r>
      <w:r>
        <w:rPr>
          <w:color w:val="231F20"/>
          <w:w w:val="120"/>
        </w:rPr>
        <w:t>(André</w:t>
      </w:r>
      <w:r>
        <w:rPr>
          <w:color w:val="231F20"/>
          <w:spacing w:val="-12"/>
          <w:w w:val="120"/>
        </w:rPr>
        <w:t> </w:t>
      </w:r>
      <w:r>
        <w:rPr>
          <w:color w:val="231F20"/>
          <w:w w:val="120"/>
        </w:rPr>
        <w:t>est</w:t>
      </w:r>
      <w:r>
        <w:rPr>
          <w:color w:val="231F20"/>
          <w:spacing w:val="-12"/>
          <w:w w:val="120"/>
        </w:rPr>
        <w:t> </w:t>
      </w:r>
      <w:r>
        <w:rPr>
          <w:color w:val="231F20"/>
          <w:w w:val="120"/>
        </w:rPr>
        <w:t>un</w:t>
      </w:r>
      <w:r>
        <w:rPr>
          <w:color w:val="231F20"/>
          <w:spacing w:val="-12"/>
          <w:w w:val="120"/>
        </w:rPr>
        <w:t> </w:t>
      </w:r>
      <w:r>
        <w:rPr>
          <w:color w:val="231F20"/>
          <w:w w:val="120"/>
        </w:rPr>
        <w:t>brillant</w:t>
      </w:r>
      <w:r>
        <w:rPr>
          <w:color w:val="231F20"/>
          <w:spacing w:val="-12"/>
          <w:w w:val="120"/>
        </w:rPr>
        <w:t> </w:t>
      </w:r>
      <w:r>
        <w:rPr>
          <w:color w:val="231F20"/>
          <w:w w:val="120"/>
        </w:rPr>
        <w:t>statisticien),</w:t>
      </w:r>
      <w:r>
        <w:rPr>
          <w:color w:val="231F20"/>
          <w:spacing w:val="-12"/>
          <w:w w:val="120"/>
        </w:rPr>
        <w:t> </w:t>
      </w:r>
      <w:r>
        <w:rPr>
          <w:color w:val="231F20"/>
          <w:w w:val="120"/>
        </w:rPr>
        <w:t>mais</w:t>
      </w:r>
      <w:r>
        <w:rPr>
          <w:color w:val="231F20"/>
          <w:spacing w:val="-12"/>
          <w:w w:val="120"/>
        </w:rPr>
        <w:t> </w:t>
      </w:r>
      <w:r>
        <w:rPr>
          <w:color w:val="231F20"/>
          <w:w w:val="120"/>
        </w:rPr>
        <w:t>aussi</w:t>
      </w:r>
      <w:r>
        <w:rPr>
          <w:color w:val="231F20"/>
          <w:spacing w:val="-12"/>
          <w:w w:val="120"/>
        </w:rPr>
        <w:t> </w:t>
      </w:r>
      <w:r>
        <w:rPr>
          <w:color w:val="231F20"/>
          <w:w w:val="120"/>
        </w:rPr>
        <w:t>sur</w:t>
      </w:r>
      <w:r>
        <w:rPr>
          <w:color w:val="231F20"/>
          <w:spacing w:val="-12"/>
          <w:w w:val="120"/>
        </w:rPr>
        <w:t> </w:t>
      </w:r>
      <w:r>
        <w:rPr>
          <w:color w:val="231F20"/>
          <w:w w:val="120"/>
        </w:rPr>
        <w:t>le</w:t>
      </w:r>
      <w:r>
        <w:rPr>
          <w:color w:val="231F20"/>
          <w:spacing w:val="-12"/>
          <w:w w:val="120"/>
        </w:rPr>
        <w:t> </w:t>
      </w:r>
      <w:r>
        <w:rPr>
          <w:color w:val="231F20"/>
          <w:w w:val="120"/>
        </w:rPr>
        <w:t>plan</w:t>
      </w:r>
      <w:r>
        <w:rPr>
          <w:color w:val="231F20"/>
          <w:spacing w:val="-12"/>
          <w:w w:val="120"/>
        </w:rPr>
        <w:t> </w:t>
      </w:r>
      <w:r>
        <w:rPr>
          <w:color w:val="231F20"/>
          <w:w w:val="120"/>
        </w:rPr>
        <w:t>humain (André figure parmi les plus grands humanistes qu’il ait rencontrés).</w:t>
      </w:r>
    </w:p>
    <w:p>
      <w:pPr>
        <w:pStyle w:val="BodyText"/>
        <w:spacing w:line="307" w:lineRule="auto" w:before="79"/>
        <w:ind w:left="1180" w:right="243" w:firstLine="250"/>
        <w:jc w:val="both"/>
      </w:pPr>
      <w:r>
        <w:rPr>
          <w:color w:val="231F20"/>
          <w:w w:val="120"/>
        </w:rPr>
        <w:t>André</w:t>
      </w:r>
      <w:r>
        <w:rPr>
          <w:color w:val="231F20"/>
          <w:spacing w:val="22"/>
          <w:w w:val="120"/>
        </w:rPr>
        <w:t> </w:t>
      </w:r>
      <w:r>
        <w:rPr>
          <w:color w:val="231F20"/>
          <w:w w:val="120"/>
        </w:rPr>
        <w:t>Arsenault</w:t>
      </w:r>
      <w:r>
        <w:rPr>
          <w:color w:val="231F20"/>
          <w:spacing w:val="22"/>
          <w:w w:val="120"/>
        </w:rPr>
        <w:t> </w:t>
      </w:r>
      <w:r>
        <w:rPr>
          <w:color w:val="231F20"/>
          <w:w w:val="120"/>
        </w:rPr>
        <w:t>voudrait,</w:t>
      </w:r>
      <w:r>
        <w:rPr>
          <w:color w:val="231F20"/>
          <w:spacing w:val="22"/>
          <w:w w:val="120"/>
        </w:rPr>
        <w:t> </w:t>
      </w:r>
      <w:r>
        <w:rPr>
          <w:color w:val="231F20"/>
          <w:w w:val="120"/>
        </w:rPr>
        <w:t>quant</w:t>
      </w:r>
      <w:r>
        <w:rPr>
          <w:color w:val="231F20"/>
          <w:spacing w:val="22"/>
          <w:w w:val="120"/>
        </w:rPr>
        <w:t> </w:t>
      </w:r>
      <w:r>
        <w:rPr>
          <w:color w:val="231F20"/>
          <w:w w:val="120"/>
        </w:rPr>
        <w:t>à</w:t>
      </w:r>
      <w:r>
        <w:rPr>
          <w:color w:val="231F20"/>
          <w:spacing w:val="22"/>
          <w:w w:val="120"/>
        </w:rPr>
        <w:t> </w:t>
      </w:r>
      <w:r>
        <w:rPr>
          <w:color w:val="231F20"/>
          <w:w w:val="120"/>
        </w:rPr>
        <w:t>lui,</w:t>
      </w:r>
      <w:r>
        <w:rPr>
          <w:color w:val="231F20"/>
          <w:spacing w:val="22"/>
          <w:w w:val="120"/>
        </w:rPr>
        <w:t> </w:t>
      </w:r>
      <w:r>
        <w:rPr>
          <w:color w:val="231F20"/>
          <w:w w:val="120"/>
        </w:rPr>
        <w:t>remercier</w:t>
      </w:r>
      <w:r>
        <w:rPr>
          <w:color w:val="231F20"/>
          <w:spacing w:val="22"/>
          <w:w w:val="120"/>
        </w:rPr>
        <w:t> </w:t>
      </w:r>
      <w:r>
        <w:rPr>
          <w:color w:val="231F20"/>
          <w:w w:val="120"/>
        </w:rPr>
        <w:t>au</w:t>
      </w:r>
      <w:r>
        <w:rPr>
          <w:color w:val="231F20"/>
          <w:spacing w:val="22"/>
          <w:w w:val="120"/>
        </w:rPr>
        <w:t> </w:t>
      </w:r>
      <w:r>
        <w:rPr>
          <w:color w:val="231F20"/>
          <w:w w:val="120"/>
        </w:rPr>
        <w:t>premier</w:t>
      </w:r>
      <w:r>
        <w:rPr>
          <w:color w:val="231F20"/>
          <w:spacing w:val="22"/>
          <w:w w:val="120"/>
        </w:rPr>
        <w:t> </w:t>
      </w:r>
      <w:r>
        <w:rPr>
          <w:color w:val="231F20"/>
          <w:w w:val="120"/>
        </w:rPr>
        <w:t>chef le</w:t>
      </w:r>
      <w:r>
        <w:rPr>
          <w:color w:val="231F20"/>
          <w:spacing w:val="-13"/>
          <w:w w:val="120"/>
        </w:rPr>
        <w:t> </w:t>
      </w:r>
      <w:r>
        <w:rPr>
          <w:color w:val="231F20"/>
          <w:w w:val="120"/>
        </w:rPr>
        <w:t>regretté</w:t>
      </w:r>
      <w:r>
        <w:rPr>
          <w:color w:val="231F20"/>
          <w:spacing w:val="-13"/>
          <w:w w:val="120"/>
        </w:rPr>
        <w:t> </w:t>
      </w:r>
      <w:r>
        <w:rPr>
          <w:color w:val="231F20"/>
          <w:w w:val="120"/>
        </w:rPr>
        <w:t>Fernand</w:t>
      </w:r>
      <w:r>
        <w:rPr>
          <w:color w:val="231F20"/>
          <w:spacing w:val="-13"/>
          <w:w w:val="120"/>
        </w:rPr>
        <w:t> </w:t>
      </w:r>
      <w:r>
        <w:rPr>
          <w:color w:val="231F20"/>
          <w:w w:val="120"/>
        </w:rPr>
        <w:t>Seguin,</w:t>
      </w:r>
      <w:r>
        <w:rPr>
          <w:color w:val="231F20"/>
          <w:spacing w:val="-12"/>
          <w:w w:val="120"/>
        </w:rPr>
        <w:t> </w:t>
      </w:r>
      <w:r>
        <w:rPr>
          <w:color w:val="231F20"/>
          <w:w w:val="120"/>
        </w:rPr>
        <w:t>héros</w:t>
      </w:r>
      <w:r>
        <w:rPr>
          <w:color w:val="231F20"/>
          <w:spacing w:val="-13"/>
          <w:w w:val="120"/>
        </w:rPr>
        <w:t> </w:t>
      </w:r>
      <w:r>
        <w:rPr>
          <w:color w:val="231F20"/>
          <w:w w:val="120"/>
        </w:rPr>
        <w:t>de</w:t>
      </w:r>
      <w:r>
        <w:rPr>
          <w:color w:val="231F20"/>
          <w:spacing w:val="-13"/>
          <w:w w:val="120"/>
        </w:rPr>
        <w:t> </w:t>
      </w:r>
      <w:r>
        <w:rPr>
          <w:color w:val="231F20"/>
          <w:w w:val="120"/>
        </w:rPr>
        <w:t>son</w:t>
      </w:r>
      <w:r>
        <w:rPr>
          <w:color w:val="231F20"/>
          <w:spacing w:val="-13"/>
          <w:w w:val="120"/>
        </w:rPr>
        <w:t> </w:t>
      </w:r>
      <w:r>
        <w:rPr>
          <w:color w:val="231F20"/>
          <w:w w:val="120"/>
        </w:rPr>
        <w:t>enfance</w:t>
      </w:r>
      <w:r>
        <w:rPr>
          <w:color w:val="231F20"/>
          <w:spacing w:val="-12"/>
          <w:w w:val="120"/>
        </w:rPr>
        <w:t> </w:t>
      </w:r>
      <w:r>
        <w:rPr>
          <w:color w:val="231F20"/>
          <w:w w:val="120"/>
        </w:rPr>
        <w:t>«</w:t>
      </w:r>
      <w:r>
        <w:rPr>
          <w:color w:val="231F20"/>
          <w:spacing w:val="-13"/>
          <w:w w:val="120"/>
        </w:rPr>
        <w:t> </w:t>
      </w:r>
      <w:r>
        <w:rPr>
          <w:color w:val="231F20"/>
          <w:w w:val="120"/>
        </w:rPr>
        <w:t>en</w:t>
      </w:r>
      <w:r>
        <w:rPr>
          <w:color w:val="231F20"/>
          <w:spacing w:val="-10"/>
          <w:w w:val="120"/>
        </w:rPr>
        <w:t> </w:t>
      </w:r>
      <w:r>
        <w:rPr>
          <w:color w:val="231F20"/>
          <w:w w:val="120"/>
        </w:rPr>
        <w:t>pantoufles»,</w:t>
      </w:r>
      <w:r>
        <w:rPr>
          <w:color w:val="231F20"/>
          <w:spacing w:val="-10"/>
          <w:w w:val="120"/>
        </w:rPr>
        <w:t> </w:t>
      </w:r>
      <w:r>
        <w:rPr>
          <w:color w:val="231F20"/>
          <w:w w:val="120"/>
        </w:rPr>
        <w:t>qu’il a</w:t>
      </w:r>
      <w:r>
        <w:rPr>
          <w:color w:val="231F20"/>
          <w:spacing w:val="-2"/>
          <w:w w:val="120"/>
        </w:rPr>
        <w:t> </w:t>
      </w:r>
      <w:r>
        <w:rPr>
          <w:color w:val="231F20"/>
          <w:w w:val="120"/>
        </w:rPr>
        <w:t>retrouvé</w:t>
      </w:r>
      <w:r>
        <w:rPr>
          <w:color w:val="231F20"/>
          <w:spacing w:val="-2"/>
          <w:w w:val="120"/>
        </w:rPr>
        <w:t> </w:t>
      </w:r>
      <w:r>
        <w:rPr>
          <w:color w:val="231F20"/>
          <w:w w:val="120"/>
        </w:rPr>
        <w:t>comme</w:t>
      </w:r>
      <w:r>
        <w:rPr>
          <w:color w:val="231F20"/>
          <w:spacing w:val="-2"/>
          <w:w w:val="120"/>
        </w:rPr>
        <w:t> </w:t>
      </w:r>
      <w:r>
        <w:rPr>
          <w:color w:val="231F20"/>
          <w:w w:val="120"/>
        </w:rPr>
        <w:t>membre</w:t>
      </w:r>
      <w:r>
        <w:rPr>
          <w:color w:val="231F20"/>
          <w:spacing w:val="-2"/>
          <w:w w:val="120"/>
        </w:rPr>
        <w:t> </w:t>
      </w:r>
      <w:r>
        <w:rPr>
          <w:color w:val="231F20"/>
          <w:w w:val="120"/>
        </w:rPr>
        <w:t>du</w:t>
      </w:r>
      <w:r>
        <w:rPr>
          <w:color w:val="231F20"/>
          <w:spacing w:val="-2"/>
          <w:w w:val="120"/>
        </w:rPr>
        <w:t> </w:t>
      </w:r>
      <w:r>
        <w:rPr>
          <w:color w:val="231F20"/>
          <w:w w:val="120"/>
        </w:rPr>
        <w:t>comité</w:t>
      </w:r>
      <w:r>
        <w:rPr>
          <w:color w:val="231F20"/>
          <w:spacing w:val="-2"/>
          <w:w w:val="120"/>
        </w:rPr>
        <w:t> </w:t>
      </w:r>
      <w:r>
        <w:rPr>
          <w:color w:val="231F20"/>
          <w:w w:val="120"/>
        </w:rPr>
        <w:t>scientifique</w:t>
      </w:r>
      <w:r>
        <w:rPr>
          <w:color w:val="231F20"/>
          <w:spacing w:val="-2"/>
          <w:w w:val="120"/>
        </w:rPr>
        <w:t> </w:t>
      </w:r>
      <w:r>
        <w:rPr>
          <w:color w:val="231F20"/>
          <w:w w:val="120"/>
        </w:rPr>
        <w:t>de</w:t>
      </w:r>
      <w:r>
        <w:rPr>
          <w:color w:val="231F20"/>
          <w:spacing w:val="-2"/>
          <w:w w:val="120"/>
        </w:rPr>
        <w:t> </w:t>
      </w:r>
      <w:r>
        <w:rPr>
          <w:color w:val="231F20"/>
          <w:w w:val="120"/>
        </w:rPr>
        <w:t>l’IRSST</w:t>
      </w:r>
      <w:r>
        <w:rPr>
          <w:color w:val="231F20"/>
          <w:spacing w:val="-2"/>
          <w:w w:val="120"/>
        </w:rPr>
        <w:t> </w:t>
      </w:r>
      <w:r>
        <w:rPr>
          <w:color w:val="231F20"/>
          <w:w w:val="120"/>
        </w:rPr>
        <w:t>dans</w:t>
      </w:r>
      <w:r>
        <w:rPr>
          <w:color w:val="231F20"/>
          <w:spacing w:val="-2"/>
          <w:w w:val="120"/>
        </w:rPr>
        <w:t> </w:t>
      </w:r>
      <w:r>
        <w:rPr>
          <w:color w:val="231F20"/>
          <w:w w:val="120"/>
        </w:rPr>
        <w:t>les années</w:t>
      </w:r>
      <w:r>
        <w:rPr>
          <w:color w:val="231F20"/>
          <w:spacing w:val="-11"/>
          <w:w w:val="120"/>
        </w:rPr>
        <w:t> </w:t>
      </w:r>
      <w:r>
        <w:rPr>
          <w:color w:val="231F20"/>
          <w:w w:val="120"/>
        </w:rPr>
        <w:t>1980</w:t>
      </w:r>
      <w:r>
        <w:rPr>
          <w:color w:val="231F20"/>
          <w:spacing w:val="-11"/>
          <w:w w:val="120"/>
        </w:rPr>
        <w:t> </w:t>
      </w:r>
      <w:r>
        <w:rPr>
          <w:color w:val="231F20"/>
          <w:w w:val="120"/>
        </w:rPr>
        <w:t>et</w:t>
      </w:r>
      <w:r>
        <w:rPr>
          <w:color w:val="231F20"/>
          <w:spacing w:val="-11"/>
          <w:w w:val="120"/>
        </w:rPr>
        <w:t> </w:t>
      </w:r>
      <w:r>
        <w:rPr>
          <w:color w:val="231F20"/>
          <w:w w:val="120"/>
        </w:rPr>
        <w:t>qui</w:t>
      </w:r>
      <w:r>
        <w:rPr>
          <w:color w:val="231F20"/>
          <w:spacing w:val="-11"/>
          <w:w w:val="120"/>
        </w:rPr>
        <w:t> </w:t>
      </w:r>
      <w:r>
        <w:rPr>
          <w:color w:val="231F20"/>
          <w:w w:val="120"/>
        </w:rPr>
        <w:t>a</w:t>
      </w:r>
      <w:r>
        <w:rPr>
          <w:color w:val="231F20"/>
          <w:spacing w:val="-11"/>
          <w:w w:val="120"/>
        </w:rPr>
        <w:t> </w:t>
      </w:r>
      <w:r>
        <w:rPr>
          <w:color w:val="231F20"/>
          <w:w w:val="120"/>
        </w:rPr>
        <w:t>été</w:t>
      </w:r>
      <w:r>
        <w:rPr>
          <w:color w:val="231F20"/>
          <w:spacing w:val="-11"/>
          <w:w w:val="120"/>
        </w:rPr>
        <w:t> </w:t>
      </w:r>
      <w:r>
        <w:rPr>
          <w:color w:val="231F20"/>
          <w:w w:val="120"/>
        </w:rPr>
        <w:t>un</w:t>
      </w:r>
      <w:r>
        <w:rPr>
          <w:color w:val="231F20"/>
          <w:spacing w:val="-11"/>
          <w:w w:val="120"/>
        </w:rPr>
        <w:t> </w:t>
      </w:r>
      <w:r>
        <w:rPr>
          <w:color w:val="231F20"/>
          <w:w w:val="120"/>
        </w:rPr>
        <w:t>formidable</w:t>
      </w:r>
      <w:r>
        <w:rPr>
          <w:color w:val="231F20"/>
          <w:spacing w:val="-11"/>
          <w:w w:val="120"/>
        </w:rPr>
        <w:t> </w:t>
      </w:r>
      <w:r>
        <w:rPr>
          <w:color w:val="231F20"/>
          <w:w w:val="120"/>
        </w:rPr>
        <w:t>accompagnateur</w:t>
      </w:r>
      <w:r>
        <w:rPr>
          <w:color w:val="231F20"/>
          <w:spacing w:val="-11"/>
          <w:w w:val="120"/>
        </w:rPr>
        <w:t> </w:t>
      </w:r>
      <w:r>
        <w:rPr>
          <w:color w:val="231F20"/>
          <w:w w:val="120"/>
        </w:rPr>
        <w:t>des</w:t>
      </w:r>
      <w:r>
        <w:rPr>
          <w:color w:val="231F20"/>
          <w:spacing w:val="-11"/>
          <w:w w:val="120"/>
        </w:rPr>
        <w:t> </w:t>
      </w:r>
      <w:r>
        <w:rPr>
          <w:color w:val="231F20"/>
          <w:w w:val="120"/>
        </w:rPr>
        <w:t>travaux</w:t>
      </w:r>
      <w:r>
        <w:rPr>
          <w:color w:val="231F20"/>
          <w:spacing w:val="-11"/>
          <w:w w:val="120"/>
        </w:rPr>
        <w:t> </w:t>
      </w:r>
      <w:r>
        <w:rPr>
          <w:color w:val="231F20"/>
          <w:w w:val="120"/>
        </w:rPr>
        <w:t>sur l’organisation</w:t>
      </w:r>
      <w:r>
        <w:rPr>
          <w:color w:val="231F20"/>
          <w:spacing w:val="-6"/>
          <w:w w:val="120"/>
        </w:rPr>
        <w:t> </w:t>
      </w:r>
      <w:r>
        <w:rPr>
          <w:color w:val="231F20"/>
          <w:w w:val="120"/>
        </w:rPr>
        <w:t>du</w:t>
      </w:r>
      <w:r>
        <w:rPr>
          <w:color w:val="231F20"/>
          <w:spacing w:val="-6"/>
          <w:w w:val="120"/>
        </w:rPr>
        <w:t> </w:t>
      </w:r>
      <w:r>
        <w:rPr>
          <w:color w:val="231F20"/>
          <w:w w:val="120"/>
        </w:rPr>
        <w:t>travail</w:t>
      </w:r>
      <w:r>
        <w:rPr>
          <w:color w:val="231F20"/>
          <w:spacing w:val="-6"/>
          <w:w w:val="120"/>
        </w:rPr>
        <w:t> </w:t>
      </w:r>
      <w:r>
        <w:rPr>
          <w:color w:val="231F20"/>
          <w:w w:val="120"/>
        </w:rPr>
        <w:t>et</w:t>
      </w:r>
      <w:r>
        <w:rPr>
          <w:color w:val="231F20"/>
          <w:spacing w:val="-6"/>
          <w:w w:val="120"/>
        </w:rPr>
        <w:t> </w:t>
      </w:r>
      <w:r>
        <w:rPr>
          <w:color w:val="231F20"/>
          <w:w w:val="120"/>
        </w:rPr>
        <w:t>le</w:t>
      </w:r>
      <w:r>
        <w:rPr>
          <w:color w:val="231F20"/>
          <w:spacing w:val="-6"/>
          <w:w w:val="120"/>
        </w:rPr>
        <w:t> </w:t>
      </w:r>
      <w:r>
        <w:rPr>
          <w:color w:val="231F20"/>
          <w:w w:val="120"/>
        </w:rPr>
        <w:t>stress.</w:t>
      </w:r>
      <w:r>
        <w:rPr>
          <w:color w:val="231F20"/>
          <w:spacing w:val="-6"/>
          <w:w w:val="120"/>
        </w:rPr>
        <w:t> </w:t>
      </w:r>
      <w:r>
        <w:rPr>
          <w:color w:val="231F20"/>
          <w:w w:val="120"/>
        </w:rPr>
        <w:t>Il</w:t>
      </w:r>
      <w:r>
        <w:rPr>
          <w:color w:val="231F20"/>
          <w:spacing w:val="-6"/>
          <w:w w:val="120"/>
        </w:rPr>
        <w:t> </w:t>
      </w:r>
      <w:r>
        <w:rPr>
          <w:color w:val="231F20"/>
          <w:w w:val="120"/>
        </w:rPr>
        <w:t>leur</w:t>
      </w:r>
      <w:r>
        <w:rPr>
          <w:color w:val="231F20"/>
          <w:spacing w:val="-6"/>
          <w:w w:val="120"/>
        </w:rPr>
        <w:t> </w:t>
      </w:r>
      <w:r>
        <w:rPr>
          <w:color w:val="231F20"/>
          <w:w w:val="120"/>
        </w:rPr>
        <w:t>avait</w:t>
      </w:r>
      <w:r>
        <w:rPr>
          <w:color w:val="231F20"/>
          <w:spacing w:val="-6"/>
          <w:w w:val="120"/>
        </w:rPr>
        <w:t> </w:t>
      </w:r>
      <w:r>
        <w:rPr>
          <w:color w:val="231F20"/>
          <w:w w:val="120"/>
        </w:rPr>
        <w:t>fait</w:t>
      </w:r>
      <w:r>
        <w:rPr>
          <w:color w:val="231F20"/>
          <w:spacing w:val="-6"/>
          <w:w w:val="120"/>
        </w:rPr>
        <w:t> </w:t>
      </w:r>
      <w:r>
        <w:rPr>
          <w:color w:val="231F20"/>
          <w:w w:val="120"/>
        </w:rPr>
        <w:t>l’honneur</w:t>
      </w:r>
      <w:r>
        <w:rPr>
          <w:color w:val="231F20"/>
          <w:spacing w:val="-6"/>
          <w:w w:val="120"/>
        </w:rPr>
        <w:t> </w:t>
      </w:r>
      <w:r>
        <w:rPr>
          <w:color w:val="231F20"/>
          <w:w w:val="120"/>
        </w:rPr>
        <w:t>de</w:t>
      </w:r>
      <w:r>
        <w:rPr>
          <w:color w:val="231F20"/>
          <w:spacing w:val="-6"/>
          <w:w w:val="120"/>
        </w:rPr>
        <w:t> </w:t>
      </w:r>
      <w:r>
        <w:rPr>
          <w:color w:val="231F20"/>
          <w:w w:val="120"/>
        </w:rPr>
        <w:t>com- </w:t>
      </w:r>
      <w:r>
        <w:rPr>
          <w:color w:val="231F20"/>
          <w:w w:val="115"/>
        </w:rPr>
        <w:t>menter à la radio de Radio-Canada leur ouvrage sur </w:t>
      </w:r>
      <w:r>
        <w:rPr>
          <w:i/>
          <w:color w:val="231F20"/>
          <w:w w:val="115"/>
        </w:rPr>
        <w:t>Le stress et ses effets sur</w:t>
      </w:r>
      <w:r>
        <w:rPr>
          <w:i/>
          <w:color w:val="231F20"/>
          <w:spacing w:val="-6"/>
          <w:w w:val="115"/>
        </w:rPr>
        <w:t> </w:t>
      </w:r>
      <w:r>
        <w:rPr>
          <w:i/>
          <w:color w:val="231F20"/>
          <w:w w:val="115"/>
        </w:rPr>
        <w:t>l’individu</w:t>
      </w:r>
      <w:r>
        <w:rPr>
          <w:i/>
          <w:color w:val="231F20"/>
          <w:spacing w:val="-6"/>
          <w:w w:val="115"/>
        </w:rPr>
        <w:t> </w:t>
      </w:r>
      <w:r>
        <w:rPr>
          <w:i/>
          <w:color w:val="231F20"/>
          <w:w w:val="115"/>
        </w:rPr>
        <w:t>et</w:t>
      </w:r>
      <w:r>
        <w:rPr>
          <w:i/>
          <w:color w:val="231F20"/>
          <w:spacing w:val="-6"/>
          <w:w w:val="115"/>
        </w:rPr>
        <w:t> </w:t>
      </w:r>
      <w:r>
        <w:rPr>
          <w:i/>
          <w:color w:val="231F20"/>
          <w:w w:val="115"/>
        </w:rPr>
        <w:t>l’organisation</w:t>
      </w:r>
      <w:r>
        <w:rPr>
          <w:color w:val="231F20"/>
          <w:w w:val="115"/>
        </w:rPr>
        <w:t>.</w:t>
      </w:r>
      <w:r>
        <w:rPr>
          <w:color w:val="231F20"/>
          <w:spacing w:val="-6"/>
          <w:w w:val="115"/>
        </w:rPr>
        <w:t> </w:t>
      </w:r>
      <w:r>
        <w:rPr>
          <w:color w:val="231F20"/>
          <w:w w:val="115"/>
        </w:rPr>
        <w:t>Lors</w:t>
      </w:r>
      <w:r>
        <w:rPr>
          <w:color w:val="231F20"/>
          <w:spacing w:val="-6"/>
          <w:w w:val="115"/>
        </w:rPr>
        <w:t> </w:t>
      </w:r>
      <w:r>
        <w:rPr>
          <w:color w:val="231F20"/>
          <w:w w:val="115"/>
        </w:rPr>
        <w:t>d’un</w:t>
      </w:r>
      <w:r>
        <w:rPr>
          <w:color w:val="231F20"/>
          <w:spacing w:val="-6"/>
          <w:w w:val="115"/>
        </w:rPr>
        <w:t> </w:t>
      </w:r>
      <w:r>
        <w:rPr>
          <w:color w:val="231F20"/>
          <w:w w:val="115"/>
        </w:rPr>
        <w:t>dîner</w:t>
      </w:r>
      <w:r>
        <w:rPr>
          <w:color w:val="231F20"/>
          <w:spacing w:val="-6"/>
          <w:w w:val="115"/>
        </w:rPr>
        <w:t> </w:t>
      </w:r>
      <w:r>
        <w:rPr>
          <w:color w:val="231F20"/>
          <w:w w:val="115"/>
        </w:rPr>
        <w:t>en</w:t>
      </w:r>
      <w:r>
        <w:rPr>
          <w:color w:val="231F20"/>
          <w:spacing w:val="-6"/>
          <w:w w:val="115"/>
        </w:rPr>
        <w:t> </w:t>
      </w:r>
      <w:r>
        <w:rPr>
          <w:color w:val="231F20"/>
          <w:w w:val="115"/>
        </w:rPr>
        <w:t>tête-à-tête,</w:t>
      </w:r>
      <w:r>
        <w:rPr>
          <w:color w:val="231F20"/>
          <w:spacing w:val="-6"/>
          <w:w w:val="115"/>
        </w:rPr>
        <w:t> </w:t>
      </w:r>
      <w:r>
        <w:rPr>
          <w:color w:val="231F20"/>
          <w:w w:val="115"/>
        </w:rPr>
        <w:t>il</w:t>
      </w:r>
      <w:r>
        <w:rPr>
          <w:color w:val="231F20"/>
          <w:spacing w:val="-6"/>
          <w:w w:val="115"/>
        </w:rPr>
        <w:t> </w:t>
      </w:r>
      <w:r>
        <w:rPr>
          <w:color w:val="231F20"/>
          <w:w w:val="115"/>
        </w:rPr>
        <w:t>leur</w:t>
      </w:r>
      <w:r>
        <w:rPr>
          <w:color w:val="231F20"/>
          <w:spacing w:val="-6"/>
          <w:w w:val="115"/>
        </w:rPr>
        <w:t> </w:t>
      </w:r>
      <w:r>
        <w:rPr>
          <w:color w:val="231F20"/>
          <w:w w:val="115"/>
        </w:rPr>
        <w:t>avait </w:t>
      </w:r>
      <w:r>
        <w:rPr>
          <w:color w:val="231F20"/>
          <w:spacing w:val="-2"/>
          <w:w w:val="120"/>
        </w:rPr>
        <w:t>aussi</w:t>
      </w:r>
      <w:r>
        <w:rPr>
          <w:color w:val="231F20"/>
          <w:spacing w:val="-10"/>
          <w:w w:val="120"/>
        </w:rPr>
        <w:t> </w:t>
      </w:r>
      <w:r>
        <w:rPr>
          <w:color w:val="231F20"/>
          <w:spacing w:val="-2"/>
          <w:w w:val="120"/>
        </w:rPr>
        <w:t>fait</w:t>
      </w:r>
      <w:r>
        <w:rPr>
          <w:color w:val="231F20"/>
          <w:spacing w:val="-10"/>
          <w:w w:val="120"/>
        </w:rPr>
        <w:t> </w:t>
      </w:r>
      <w:r>
        <w:rPr>
          <w:color w:val="231F20"/>
          <w:spacing w:val="-2"/>
          <w:w w:val="120"/>
        </w:rPr>
        <w:t>part</w:t>
      </w:r>
      <w:r>
        <w:rPr>
          <w:color w:val="231F20"/>
          <w:spacing w:val="-10"/>
          <w:w w:val="120"/>
        </w:rPr>
        <w:t> </w:t>
      </w:r>
      <w:r>
        <w:rPr>
          <w:color w:val="231F20"/>
          <w:spacing w:val="-2"/>
          <w:w w:val="120"/>
        </w:rPr>
        <w:t>du</w:t>
      </w:r>
      <w:r>
        <w:rPr>
          <w:color w:val="231F20"/>
          <w:spacing w:val="-10"/>
          <w:w w:val="120"/>
        </w:rPr>
        <w:t> </w:t>
      </w:r>
      <w:r>
        <w:rPr>
          <w:color w:val="231F20"/>
          <w:spacing w:val="-2"/>
          <w:w w:val="120"/>
        </w:rPr>
        <w:t>chemin</w:t>
      </w:r>
      <w:r>
        <w:rPr>
          <w:color w:val="231F20"/>
          <w:spacing w:val="-10"/>
          <w:w w:val="120"/>
        </w:rPr>
        <w:t> </w:t>
      </w:r>
      <w:r>
        <w:rPr>
          <w:color w:val="231F20"/>
          <w:spacing w:val="-2"/>
          <w:w w:val="120"/>
        </w:rPr>
        <w:t>qui</w:t>
      </w:r>
      <w:r>
        <w:rPr>
          <w:color w:val="231F20"/>
          <w:spacing w:val="-10"/>
          <w:w w:val="120"/>
        </w:rPr>
        <w:t> </w:t>
      </w:r>
      <w:r>
        <w:rPr>
          <w:color w:val="231F20"/>
          <w:spacing w:val="-2"/>
          <w:w w:val="120"/>
        </w:rPr>
        <w:t>restait</w:t>
      </w:r>
      <w:r>
        <w:rPr>
          <w:color w:val="231F20"/>
          <w:spacing w:val="-10"/>
          <w:w w:val="120"/>
        </w:rPr>
        <w:t> </w:t>
      </w:r>
      <w:r>
        <w:rPr>
          <w:color w:val="231F20"/>
          <w:spacing w:val="-2"/>
          <w:w w:val="120"/>
        </w:rPr>
        <w:t>à</w:t>
      </w:r>
      <w:r>
        <w:rPr>
          <w:color w:val="231F20"/>
          <w:spacing w:val="-10"/>
          <w:w w:val="120"/>
        </w:rPr>
        <w:t> </w:t>
      </w:r>
      <w:r>
        <w:rPr>
          <w:color w:val="231F20"/>
          <w:spacing w:val="-2"/>
          <w:w w:val="120"/>
        </w:rPr>
        <w:t>parcourir</w:t>
      </w:r>
      <w:r>
        <w:rPr>
          <w:color w:val="231F20"/>
          <w:spacing w:val="-10"/>
          <w:w w:val="120"/>
        </w:rPr>
        <w:t> </w:t>
      </w:r>
      <w:r>
        <w:rPr>
          <w:color w:val="231F20"/>
          <w:spacing w:val="-2"/>
          <w:w w:val="120"/>
        </w:rPr>
        <w:t>pour</w:t>
      </w:r>
      <w:r>
        <w:rPr>
          <w:color w:val="231F20"/>
          <w:spacing w:val="-10"/>
          <w:w w:val="120"/>
        </w:rPr>
        <w:t> </w:t>
      </w:r>
      <w:r>
        <w:rPr>
          <w:color w:val="231F20"/>
          <w:spacing w:val="-2"/>
          <w:w w:val="120"/>
        </w:rPr>
        <w:t>arriver</w:t>
      </w:r>
      <w:r>
        <w:rPr>
          <w:color w:val="231F20"/>
          <w:spacing w:val="-10"/>
          <w:w w:val="120"/>
        </w:rPr>
        <w:t> </w:t>
      </w:r>
      <w:r>
        <w:rPr>
          <w:color w:val="231F20"/>
          <w:spacing w:val="-2"/>
          <w:w w:val="120"/>
        </w:rPr>
        <w:t>à</w:t>
      </w:r>
      <w:r>
        <w:rPr>
          <w:color w:val="231F20"/>
          <w:spacing w:val="-10"/>
          <w:w w:val="120"/>
        </w:rPr>
        <w:t> </w:t>
      </w:r>
      <w:r>
        <w:rPr>
          <w:color w:val="231F20"/>
          <w:spacing w:val="-2"/>
          <w:w w:val="120"/>
        </w:rPr>
        <w:t>cerner</w:t>
      </w:r>
      <w:r>
        <w:rPr>
          <w:color w:val="231F20"/>
          <w:spacing w:val="-10"/>
          <w:w w:val="120"/>
        </w:rPr>
        <w:t> </w:t>
      </w:r>
      <w:r>
        <w:rPr>
          <w:color w:val="231F20"/>
          <w:spacing w:val="-2"/>
          <w:w w:val="120"/>
        </w:rPr>
        <w:t>cette </w:t>
      </w:r>
      <w:r>
        <w:rPr>
          <w:color w:val="231F20"/>
          <w:w w:val="120"/>
        </w:rPr>
        <w:t>réalité dans toute la complexité du rapport entre le sujet, ardoise sur laquelle le stress inscrit les traces de son passage parfois grinçant, et l’environnement</w:t>
      </w:r>
      <w:r>
        <w:rPr>
          <w:color w:val="231F20"/>
          <w:spacing w:val="-12"/>
          <w:w w:val="120"/>
        </w:rPr>
        <w:t> </w:t>
      </w:r>
      <w:r>
        <w:rPr>
          <w:color w:val="231F20"/>
          <w:w w:val="120"/>
        </w:rPr>
        <w:t>qui</w:t>
      </w:r>
      <w:r>
        <w:rPr>
          <w:color w:val="231F20"/>
          <w:spacing w:val="-12"/>
          <w:w w:val="120"/>
        </w:rPr>
        <w:t> </w:t>
      </w:r>
      <w:r>
        <w:rPr>
          <w:color w:val="231F20"/>
          <w:w w:val="120"/>
        </w:rPr>
        <w:t>sollicite</w:t>
      </w:r>
      <w:r>
        <w:rPr>
          <w:color w:val="231F20"/>
          <w:spacing w:val="-12"/>
          <w:w w:val="120"/>
        </w:rPr>
        <w:t> </w:t>
      </w:r>
      <w:r>
        <w:rPr>
          <w:color w:val="231F20"/>
          <w:w w:val="120"/>
        </w:rPr>
        <w:t>et</w:t>
      </w:r>
      <w:r>
        <w:rPr>
          <w:color w:val="231F20"/>
          <w:spacing w:val="-12"/>
          <w:w w:val="120"/>
        </w:rPr>
        <w:t> </w:t>
      </w:r>
      <w:r>
        <w:rPr>
          <w:color w:val="231F20"/>
          <w:w w:val="120"/>
        </w:rPr>
        <w:t>assaille</w:t>
      </w:r>
      <w:r>
        <w:rPr>
          <w:color w:val="231F20"/>
          <w:spacing w:val="-12"/>
          <w:w w:val="120"/>
        </w:rPr>
        <w:t> </w:t>
      </w:r>
      <w:r>
        <w:rPr>
          <w:color w:val="231F20"/>
          <w:w w:val="120"/>
        </w:rPr>
        <w:t>le</w:t>
      </w:r>
      <w:r>
        <w:rPr>
          <w:color w:val="231F20"/>
          <w:spacing w:val="-12"/>
          <w:w w:val="120"/>
        </w:rPr>
        <w:t> </w:t>
      </w:r>
      <w:r>
        <w:rPr>
          <w:color w:val="231F20"/>
          <w:w w:val="120"/>
        </w:rPr>
        <w:t>champ</w:t>
      </w:r>
      <w:r>
        <w:rPr>
          <w:color w:val="231F20"/>
          <w:spacing w:val="-12"/>
          <w:w w:val="120"/>
        </w:rPr>
        <w:t> </w:t>
      </w:r>
      <w:r>
        <w:rPr>
          <w:color w:val="231F20"/>
          <w:w w:val="120"/>
        </w:rPr>
        <w:t>perceptuel</w:t>
      </w:r>
      <w:r>
        <w:rPr>
          <w:color w:val="231F20"/>
          <w:spacing w:val="-12"/>
          <w:w w:val="120"/>
        </w:rPr>
        <w:t> </w:t>
      </w:r>
      <w:r>
        <w:rPr>
          <w:color w:val="231F20"/>
          <w:w w:val="120"/>
        </w:rPr>
        <w:t>du</w:t>
      </w:r>
      <w:r>
        <w:rPr>
          <w:color w:val="231F20"/>
          <w:spacing w:val="-12"/>
          <w:w w:val="120"/>
        </w:rPr>
        <w:t> </w:t>
      </w:r>
      <w:r>
        <w:rPr>
          <w:color w:val="231F20"/>
          <w:w w:val="120"/>
        </w:rPr>
        <w:t>sujet</w:t>
      </w:r>
      <w:r>
        <w:rPr>
          <w:color w:val="231F20"/>
          <w:spacing w:val="-12"/>
          <w:w w:val="120"/>
        </w:rPr>
        <w:t> </w:t>
      </w:r>
      <w:r>
        <w:rPr>
          <w:color w:val="231F20"/>
          <w:w w:val="120"/>
        </w:rPr>
        <w:t>en jouant</w:t>
      </w:r>
      <w:r>
        <w:rPr>
          <w:color w:val="231F20"/>
          <w:spacing w:val="-12"/>
          <w:w w:val="120"/>
        </w:rPr>
        <w:t> </w:t>
      </w:r>
      <w:r>
        <w:rPr>
          <w:color w:val="231F20"/>
          <w:w w:val="120"/>
        </w:rPr>
        <w:t>souvent</w:t>
      </w:r>
      <w:r>
        <w:rPr>
          <w:color w:val="231F20"/>
          <w:spacing w:val="-12"/>
          <w:w w:val="120"/>
        </w:rPr>
        <w:t> </w:t>
      </w:r>
      <w:r>
        <w:rPr>
          <w:color w:val="231F20"/>
          <w:w w:val="120"/>
        </w:rPr>
        <w:t>dans</w:t>
      </w:r>
      <w:r>
        <w:rPr>
          <w:color w:val="231F20"/>
          <w:spacing w:val="-12"/>
          <w:w w:val="120"/>
        </w:rPr>
        <w:t> </w:t>
      </w:r>
      <w:r>
        <w:rPr>
          <w:color w:val="231F20"/>
          <w:w w:val="120"/>
        </w:rPr>
        <w:t>ses</w:t>
      </w:r>
      <w:r>
        <w:rPr>
          <w:color w:val="231F20"/>
          <w:spacing w:val="-12"/>
          <w:w w:val="120"/>
        </w:rPr>
        <w:t> </w:t>
      </w:r>
      <w:r>
        <w:rPr>
          <w:color w:val="231F20"/>
          <w:w w:val="120"/>
        </w:rPr>
        <w:t>angles</w:t>
      </w:r>
      <w:r>
        <w:rPr>
          <w:color w:val="231F20"/>
          <w:spacing w:val="-12"/>
          <w:w w:val="120"/>
        </w:rPr>
        <w:t> </w:t>
      </w:r>
      <w:r>
        <w:rPr>
          <w:color w:val="231F20"/>
          <w:w w:val="120"/>
        </w:rPr>
        <w:t>morts.</w:t>
      </w:r>
      <w:r>
        <w:rPr>
          <w:color w:val="231F20"/>
          <w:spacing w:val="-12"/>
          <w:w w:val="120"/>
        </w:rPr>
        <w:t> </w:t>
      </w:r>
      <w:r>
        <w:rPr>
          <w:color w:val="231F20"/>
          <w:w w:val="120"/>
        </w:rPr>
        <w:t>Rodrigue</w:t>
      </w:r>
      <w:r>
        <w:rPr>
          <w:color w:val="231F20"/>
          <w:spacing w:val="-12"/>
          <w:w w:val="120"/>
        </w:rPr>
        <w:t> </w:t>
      </w:r>
      <w:r>
        <w:rPr>
          <w:color w:val="231F20"/>
          <w:w w:val="120"/>
        </w:rPr>
        <w:t>Johnson,</w:t>
      </w:r>
      <w:r>
        <w:rPr>
          <w:color w:val="231F20"/>
          <w:spacing w:val="-12"/>
          <w:w w:val="120"/>
        </w:rPr>
        <w:t> </w:t>
      </w:r>
      <w:r>
        <w:rPr>
          <w:color w:val="231F20"/>
          <w:w w:val="120"/>
        </w:rPr>
        <w:t>sociologue</w:t>
      </w:r>
      <w:r>
        <w:rPr>
          <w:color w:val="231F20"/>
          <w:spacing w:val="-12"/>
          <w:w w:val="120"/>
        </w:rPr>
        <w:t> </w:t>
      </w:r>
      <w:r>
        <w:rPr>
          <w:color w:val="231F20"/>
          <w:w w:val="120"/>
        </w:rPr>
        <w:t>de la santé, ex-collègue de Sherbrooke, qui a été au cœur d’une mutation dans</w:t>
      </w:r>
      <w:r>
        <w:rPr>
          <w:color w:val="231F20"/>
          <w:spacing w:val="-2"/>
          <w:w w:val="120"/>
        </w:rPr>
        <w:t> </w:t>
      </w:r>
      <w:r>
        <w:rPr>
          <w:color w:val="231F20"/>
          <w:w w:val="120"/>
        </w:rPr>
        <w:t>la</w:t>
      </w:r>
      <w:r>
        <w:rPr>
          <w:color w:val="231F20"/>
          <w:spacing w:val="-2"/>
          <w:w w:val="120"/>
        </w:rPr>
        <w:t> </w:t>
      </w:r>
      <w:r>
        <w:rPr>
          <w:color w:val="231F20"/>
          <w:w w:val="120"/>
        </w:rPr>
        <w:t>carrière</w:t>
      </w:r>
      <w:r>
        <w:rPr>
          <w:color w:val="231F20"/>
          <w:spacing w:val="-2"/>
          <w:w w:val="120"/>
        </w:rPr>
        <w:t> </w:t>
      </w:r>
      <w:r>
        <w:rPr>
          <w:color w:val="231F20"/>
          <w:w w:val="120"/>
        </w:rPr>
        <w:t>d’André</w:t>
      </w:r>
      <w:r>
        <w:rPr>
          <w:color w:val="231F20"/>
          <w:spacing w:val="-2"/>
          <w:w w:val="120"/>
        </w:rPr>
        <w:t> </w:t>
      </w:r>
      <w:r>
        <w:rPr>
          <w:color w:val="231F20"/>
          <w:w w:val="120"/>
        </w:rPr>
        <w:t>et</w:t>
      </w:r>
      <w:r>
        <w:rPr>
          <w:color w:val="231F20"/>
          <w:spacing w:val="-2"/>
          <w:w w:val="120"/>
        </w:rPr>
        <w:t> </w:t>
      </w:r>
      <w:r>
        <w:rPr>
          <w:color w:val="231F20"/>
          <w:w w:val="120"/>
        </w:rPr>
        <w:t>l’a</w:t>
      </w:r>
      <w:r>
        <w:rPr>
          <w:color w:val="231F20"/>
          <w:spacing w:val="-2"/>
          <w:w w:val="120"/>
        </w:rPr>
        <w:t> </w:t>
      </w:r>
      <w:r>
        <w:rPr>
          <w:color w:val="231F20"/>
          <w:w w:val="120"/>
        </w:rPr>
        <w:t>fait</w:t>
      </w:r>
      <w:r>
        <w:rPr>
          <w:color w:val="231F20"/>
          <w:spacing w:val="-2"/>
          <w:w w:val="120"/>
        </w:rPr>
        <w:t> </w:t>
      </w:r>
      <w:r>
        <w:rPr>
          <w:color w:val="231F20"/>
          <w:w w:val="120"/>
        </w:rPr>
        <w:t>virer</w:t>
      </w:r>
      <w:r>
        <w:rPr>
          <w:color w:val="231F20"/>
          <w:spacing w:val="-2"/>
          <w:w w:val="120"/>
        </w:rPr>
        <w:t> </w:t>
      </w:r>
      <w:r>
        <w:rPr>
          <w:color w:val="231F20"/>
          <w:w w:val="120"/>
        </w:rPr>
        <w:t>au</w:t>
      </w:r>
      <w:r>
        <w:rPr>
          <w:color w:val="231F20"/>
          <w:spacing w:val="-2"/>
          <w:w w:val="120"/>
        </w:rPr>
        <w:t> </w:t>
      </w:r>
      <w:r>
        <w:rPr>
          <w:color w:val="231F20"/>
          <w:w w:val="120"/>
        </w:rPr>
        <w:t>social</w:t>
      </w:r>
      <w:r>
        <w:rPr>
          <w:color w:val="231F20"/>
          <w:spacing w:val="-2"/>
          <w:w w:val="120"/>
        </w:rPr>
        <w:t> </w:t>
      </w:r>
      <w:r>
        <w:rPr>
          <w:color w:val="231F20"/>
          <w:w w:val="120"/>
        </w:rPr>
        <w:t>dans</w:t>
      </w:r>
      <w:r>
        <w:rPr>
          <w:color w:val="231F20"/>
          <w:spacing w:val="-2"/>
          <w:w w:val="120"/>
        </w:rPr>
        <w:t> </w:t>
      </w:r>
      <w:r>
        <w:rPr>
          <w:color w:val="231F20"/>
          <w:w w:val="120"/>
        </w:rPr>
        <w:t>sa</w:t>
      </w:r>
      <w:r>
        <w:rPr>
          <w:color w:val="231F20"/>
          <w:spacing w:val="-2"/>
          <w:w w:val="120"/>
        </w:rPr>
        <w:t> </w:t>
      </w:r>
      <w:r>
        <w:rPr>
          <w:color w:val="231F20"/>
          <w:w w:val="120"/>
        </w:rPr>
        <w:t>forme</w:t>
      </w:r>
      <w:r>
        <w:rPr>
          <w:color w:val="231F20"/>
          <w:spacing w:val="-2"/>
          <w:w w:val="120"/>
        </w:rPr>
        <w:t> </w:t>
      </w:r>
      <w:r>
        <w:rPr>
          <w:color w:val="231F20"/>
          <w:w w:val="120"/>
        </w:rPr>
        <w:t>la</w:t>
      </w:r>
      <w:r>
        <w:rPr>
          <w:color w:val="231F20"/>
          <w:spacing w:val="-2"/>
          <w:w w:val="120"/>
        </w:rPr>
        <w:t> </w:t>
      </w:r>
      <w:r>
        <w:rPr>
          <w:color w:val="231F20"/>
          <w:w w:val="120"/>
        </w:rPr>
        <w:t>plus </w:t>
      </w:r>
      <w:r>
        <w:rPr>
          <w:color w:val="231F20"/>
          <w:spacing w:val="-2"/>
          <w:w w:val="120"/>
        </w:rPr>
        <w:t>qualitative</w:t>
      </w:r>
      <w:r>
        <w:rPr>
          <w:color w:val="231F20"/>
          <w:spacing w:val="-6"/>
          <w:w w:val="120"/>
        </w:rPr>
        <w:t> </w:t>
      </w:r>
      <w:r>
        <w:rPr>
          <w:color w:val="231F20"/>
          <w:spacing w:val="-2"/>
          <w:w w:val="120"/>
        </w:rPr>
        <w:t>jetant</w:t>
      </w:r>
      <w:r>
        <w:rPr>
          <w:color w:val="231F20"/>
          <w:spacing w:val="-6"/>
          <w:w w:val="120"/>
        </w:rPr>
        <w:t> </w:t>
      </w:r>
      <w:r>
        <w:rPr>
          <w:color w:val="231F20"/>
          <w:spacing w:val="-2"/>
          <w:w w:val="120"/>
        </w:rPr>
        <w:t>un</w:t>
      </w:r>
      <w:r>
        <w:rPr>
          <w:color w:val="231F20"/>
          <w:spacing w:val="-6"/>
          <w:w w:val="120"/>
        </w:rPr>
        <w:t> </w:t>
      </w:r>
      <w:r>
        <w:rPr>
          <w:color w:val="231F20"/>
          <w:spacing w:val="-2"/>
          <w:w w:val="120"/>
        </w:rPr>
        <w:t>regard</w:t>
      </w:r>
      <w:r>
        <w:rPr>
          <w:color w:val="231F20"/>
          <w:spacing w:val="-6"/>
          <w:w w:val="120"/>
        </w:rPr>
        <w:t> </w:t>
      </w:r>
      <w:r>
        <w:rPr>
          <w:color w:val="231F20"/>
          <w:spacing w:val="-2"/>
          <w:w w:val="120"/>
        </w:rPr>
        <w:t>sur</w:t>
      </w:r>
      <w:r>
        <w:rPr>
          <w:color w:val="231F20"/>
          <w:spacing w:val="-6"/>
          <w:w w:val="120"/>
        </w:rPr>
        <w:t> </w:t>
      </w:r>
      <w:r>
        <w:rPr>
          <w:color w:val="231F20"/>
          <w:spacing w:val="-2"/>
          <w:w w:val="120"/>
        </w:rPr>
        <w:t>le</w:t>
      </w:r>
      <w:r>
        <w:rPr>
          <w:color w:val="231F20"/>
          <w:spacing w:val="-6"/>
          <w:w w:val="120"/>
        </w:rPr>
        <w:t> </w:t>
      </w:r>
      <w:r>
        <w:rPr>
          <w:color w:val="231F20"/>
          <w:spacing w:val="-2"/>
          <w:w w:val="120"/>
        </w:rPr>
        <w:t>sujet</w:t>
      </w:r>
      <w:r>
        <w:rPr>
          <w:color w:val="231F20"/>
          <w:spacing w:val="-6"/>
          <w:w w:val="120"/>
        </w:rPr>
        <w:t> </w:t>
      </w:r>
      <w:r>
        <w:rPr>
          <w:color w:val="231F20"/>
          <w:spacing w:val="-2"/>
          <w:w w:val="120"/>
        </w:rPr>
        <w:t>comme</w:t>
      </w:r>
      <w:r>
        <w:rPr>
          <w:color w:val="231F20"/>
          <w:spacing w:val="-6"/>
          <w:w w:val="120"/>
        </w:rPr>
        <w:t> </w:t>
      </w:r>
      <w:r>
        <w:rPr>
          <w:color w:val="231F20"/>
          <w:spacing w:val="-2"/>
          <w:w w:val="120"/>
        </w:rPr>
        <w:t>un</w:t>
      </w:r>
      <w:r>
        <w:rPr>
          <w:color w:val="231F20"/>
          <w:spacing w:val="-6"/>
          <w:w w:val="120"/>
        </w:rPr>
        <w:t> </w:t>
      </w:r>
      <w:r>
        <w:rPr>
          <w:color w:val="231F20"/>
          <w:spacing w:val="-2"/>
          <w:w w:val="120"/>
        </w:rPr>
        <w:t>être</w:t>
      </w:r>
      <w:r>
        <w:rPr>
          <w:color w:val="231F20"/>
          <w:spacing w:val="-6"/>
          <w:w w:val="120"/>
        </w:rPr>
        <w:t> </w:t>
      </w:r>
      <w:r>
        <w:rPr>
          <w:color w:val="231F20"/>
          <w:spacing w:val="-2"/>
          <w:w w:val="120"/>
        </w:rPr>
        <w:t>malade</w:t>
      </w:r>
      <w:r>
        <w:rPr>
          <w:color w:val="231F20"/>
          <w:spacing w:val="-6"/>
          <w:w w:val="120"/>
        </w:rPr>
        <w:t> </w:t>
      </w:r>
      <w:r>
        <w:rPr>
          <w:color w:val="231F20"/>
          <w:spacing w:val="-2"/>
          <w:w w:val="120"/>
        </w:rPr>
        <w:t>aux</w:t>
      </w:r>
      <w:r>
        <w:rPr>
          <w:color w:val="231F20"/>
          <w:spacing w:val="-6"/>
          <w:w w:val="120"/>
        </w:rPr>
        <w:t> </w:t>
      </w:r>
      <w:r>
        <w:rPr>
          <w:color w:val="231F20"/>
          <w:spacing w:val="-2"/>
          <w:w w:val="120"/>
        </w:rPr>
        <w:t>prises </w:t>
      </w:r>
      <w:r>
        <w:rPr>
          <w:color w:val="231F20"/>
          <w:w w:val="120"/>
        </w:rPr>
        <w:t>avec</w:t>
      </w:r>
      <w:r>
        <w:rPr>
          <w:color w:val="231F20"/>
          <w:spacing w:val="-1"/>
          <w:w w:val="120"/>
        </w:rPr>
        <w:t> </w:t>
      </w:r>
      <w:r>
        <w:rPr>
          <w:color w:val="231F20"/>
          <w:w w:val="120"/>
        </w:rPr>
        <w:t>une</w:t>
      </w:r>
      <w:r>
        <w:rPr>
          <w:color w:val="231F20"/>
          <w:spacing w:val="-1"/>
          <w:w w:val="120"/>
        </w:rPr>
        <w:t> </w:t>
      </w:r>
      <w:r>
        <w:rPr>
          <w:color w:val="231F20"/>
          <w:w w:val="120"/>
        </w:rPr>
        <w:t>perte</w:t>
      </w:r>
      <w:r>
        <w:rPr>
          <w:color w:val="231F20"/>
          <w:spacing w:val="-1"/>
          <w:w w:val="120"/>
        </w:rPr>
        <w:t> </w:t>
      </w:r>
      <w:r>
        <w:rPr>
          <w:color w:val="231F20"/>
          <w:w w:val="120"/>
        </w:rPr>
        <w:t>de</w:t>
      </w:r>
      <w:r>
        <w:rPr>
          <w:color w:val="231F20"/>
          <w:spacing w:val="-1"/>
          <w:w w:val="120"/>
        </w:rPr>
        <w:t> </w:t>
      </w:r>
      <w:r>
        <w:rPr>
          <w:color w:val="231F20"/>
          <w:w w:val="120"/>
        </w:rPr>
        <w:t>sens</w:t>
      </w:r>
      <w:r>
        <w:rPr>
          <w:color w:val="231F20"/>
          <w:spacing w:val="-1"/>
          <w:w w:val="120"/>
        </w:rPr>
        <w:t> </w:t>
      </w:r>
      <w:r>
        <w:rPr>
          <w:color w:val="231F20"/>
          <w:w w:val="120"/>
        </w:rPr>
        <w:t>et</w:t>
      </w:r>
      <w:r>
        <w:rPr>
          <w:color w:val="231F20"/>
          <w:spacing w:val="-1"/>
          <w:w w:val="120"/>
        </w:rPr>
        <w:t> </w:t>
      </w:r>
      <w:r>
        <w:rPr>
          <w:color w:val="231F20"/>
          <w:w w:val="120"/>
        </w:rPr>
        <w:t>une</w:t>
      </w:r>
      <w:r>
        <w:rPr>
          <w:color w:val="231F20"/>
          <w:spacing w:val="-1"/>
          <w:w w:val="120"/>
        </w:rPr>
        <w:t> </w:t>
      </w:r>
      <w:r>
        <w:rPr>
          <w:color w:val="231F20"/>
          <w:w w:val="120"/>
        </w:rPr>
        <w:t>déchirure</w:t>
      </w:r>
      <w:r>
        <w:rPr>
          <w:color w:val="231F20"/>
          <w:spacing w:val="-1"/>
          <w:w w:val="120"/>
        </w:rPr>
        <w:t> </w:t>
      </w:r>
      <w:r>
        <w:rPr>
          <w:color w:val="231F20"/>
          <w:w w:val="120"/>
        </w:rPr>
        <w:t>du</w:t>
      </w:r>
      <w:r>
        <w:rPr>
          <w:color w:val="231F20"/>
          <w:spacing w:val="-1"/>
          <w:w w:val="120"/>
        </w:rPr>
        <w:t> </w:t>
      </w:r>
      <w:r>
        <w:rPr>
          <w:color w:val="231F20"/>
          <w:w w:val="120"/>
        </w:rPr>
        <w:t>vêtement</w:t>
      </w:r>
      <w:r>
        <w:rPr>
          <w:color w:val="231F20"/>
          <w:spacing w:val="-1"/>
          <w:w w:val="120"/>
        </w:rPr>
        <w:t> </w:t>
      </w:r>
      <w:r>
        <w:rPr>
          <w:color w:val="231F20"/>
          <w:w w:val="120"/>
        </w:rPr>
        <w:t>social</w:t>
      </w:r>
      <w:r>
        <w:rPr>
          <w:color w:val="231F20"/>
          <w:spacing w:val="-1"/>
          <w:w w:val="120"/>
        </w:rPr>
        <w:t> </w:t>
      </w:r>
      <w:r>
        <w:rPr>
          <w:color w:val="231F20"/>
          <w:w w:val="120"/>
        </w:rPr>
        <w:t>qui</w:t>
      </w:r>
      <w:r>
        <w:rPr>
          <w:color w:val="231F20"/>
          <w:spacing w:val="-1"/>
          <w:w w:val="120"/>
        </w:rPr>
        <w:t> </w:t>
      </w:r>
      <w:r>
        <w:rPr>
          <w:color w:val="231F20"/>
          <w:w w:val="120"/>
        </w:rPr>
        <w:t>lui</w:t>
      </w:r>
      <w:r>
        <w:rPr>
          <w:color w:val="231F20"/>
          <w:spacing w:val="-1"/>
          <w:w w:val="120"/>
        </w:rPr>
        <w:t> </w:t>
      </w:r>
      <w:r>
        <w:rPr>
          <w:color w:val="231F20"/>
          <w:w w:val="120"/>
        </w:rPr>
        <w:t>per- mettait de jouer la magie des costumes et des masques et le désap- propriait de son autonomie pour le mettre en jaquette fendue dans un </w:t>
      </w:r>
      <w:r>
        <w:rPr>
          <w:color w:val="231F20"/>
          <w:w w:val="115"/>
        </w:rPr>
        <w:t>isoloir,</w:t>
      </w:r>
      <w:r>
        <w:rPr>
          <w:color w:val="231F20"/>
          <w:spacing w:val="-8"/>
          <w:w w:val="115"/>
        </w:rPr>
        <w:t> </w:t>
      </w:r>
      <w:r>
        <w:rPr>
          <w:color w:val="231F20"/>
          <w:w w:val="115"/>
        </w:rPr>
        <w:t>espace</w:t>
      </w:r>
      <w:r>
        <w:rPr>
          <w:color w:val="231F20"/>
          <w:spacing w:val="-8"/>
          <w:w w:val="115"/>
        </w:rPr>
        <w:t> </w:t>
      </w:r>
      <w:r>
        <w:rPr>
          <w:color w:val="231F20"/>
          <w:w w:val="115"/>
        </w:rPr>
        <w:t>de</w:t>
      </w:r>
      <w:r>
        <w:rPr>
          <w:color w:val="231F20"/>
          <w:spacing w:val="-8"/>
          <w:w w:val="115"/>
        </w:rPr>
        <w:t> </w:t>
      </w:r>
      <w:r>
        <w:rPr>
          <w:color w:val="231F20"/>
          <w:w w:val="115"/>
        </w:rPr>
        <w:t>solitude</w:t>
      </w:r>
      <w:r>
        <w:rPr>
          <w:color w:val="231F20"/>
          <w:spacing w:val="-8"/>
          <w:w w:val="115"/>
        </w:rPr>
        <w:t> </w:t>
      </w:r>
      <w:r>
        <w:rPr>
          <w:color w:val="231F20"/>
          <w:w w:val="115"/>
        </w:rPr>
        <w:t>et</w:t>
      </w:r>
      <w:r>
        <w:rPr>
          <w:color w:val="231F20"/>
          <w:spacing w:val="-8"/>
          <w:w w:val="115"/>
        </w:rPr>
        <w:t> </w:t>
      </w:r>
      <w:r>
        <w:rPr>
          <w:color w:val="231F20"/>
          <w:w w:val="115"/>
        </w:rPr>
        <w:t>surtout</w:t>
      </w:r>
      <w:r>
        <w:rPr>
          <w:color w:val="231F20"/>
          <w:spacing w:val="-8"/>
          <w:w w:val="115"/>
        </w:rPr>
        <w:t> </w:t>
      </w:r>
      <w:r>
        <w:rPr>
          <w:color w:val="231F20"/>
          <w:w w:val="115"/>
        </w:rPr>
        <w:t>d’isolement.</w:t>
      </w:r>
      <w:r>
        <w:rPr>
          <w:color w:val="231F20"/>
          <w:spacing w:val="-8"/>
          <w:w w:val="115"/>
        </w:rPr>
        <w:t> </w:t>
      </w:r>
      <w:r>
        <w:rPr>
          <w:color w:val="231F20"/>
          <w:w w:val="115"/>
        </w:rPr>
        <w:t>Et</w:t>
      </w:r>
      <w:r>
        <w:rPr>
          <w:color w:val="231F20"/>
          <w:spacing w:val="-8"/>
          <w:w w:val="115"/>
        </w:rPr>
        <w:t> </w:t>
      </w:r>
      <w:r>
        <w:rPr>
          <w:color w:val="231F20"/>
          <w:w w:val="115"/>
        </w:rPr>
        <w:t>Jean-Marie</w:t>
      </w:r>
      <w:r>
        <w:rPr>
          <w:color w:val="231F20"/>
          <w:spacing w:val="-8"/>
          <w:w w:val="115"/>
        </w:rPr>
        <w:t> </w:t>
      </w:r>
      <w:r>
        <w:rPr>
          <w:color w:val="231F20"/>
          <w:w w:val="115"/>
        </w:rPr>
        <w:t>Romeder, </w:t>
      </w:r>
      <w:r>
        <w:rPr>
          <w:color w:val="231F20"/>
          <w:w w:val="120"/>
        </w:rPr>
        <w:t>mathématicien</w:t>
      </w:r>
      <w:r>
        <w:rPr>
          <w:color w:val="231F20"/>
          <w:spacing w:val="-1"/>
          <w:w w:val="120"/>
        </w:rPr>
        <w:t> </w:t>
      </w:r>
      <w:r>
        <w:rPr>
          <w:color w:val="231F20"/>
          <w:w w:val="120"/>
        </w:rPr>
        <w:t>et</w:t>
      </w:r>
      <w:r>
        <w:rPr>
          <w:color w:val="231F20"/>
          <w:spacing w:val="-1"/>
          <w:w w:val="120"/>
        </w:rPr>
        <w:t> </w:t>
      </w:r>
      <w:r>
        <w:rPr>
          <w:color w:val="231F20"/>
          <w:w w:val="120"/>
        </w:rPr>
        <w:t>épidémiologiste</w:t>
      </w:r>
      <w:r>
        <w:rPr>
          <w:color w:val="231F20"/>
          <w:spacing w:val="-1"/>
          <w:w w:val="120"/>
        </w:rPr>
        <w:t> </w:t>
      </w:r>
      <w:r>
        <w:rPr>
          <w:color w:val="231F20"/>
          <w:w w:val="120"/>
        </w:rPr>
        <w:t>qui</w:t>
      </w:r>
      <w:r>
        <w:rPr>
          <w:color w:val="231F20"/>
          <w:spacing w:val="-1"/>
          <w:w w:val="120"/>
        </w:rPr>
        <w:t> </w:t>
      </w:r>
      <w:r>
        <w:rPr>
          <w:color w:val="231F20"/>
          <w:w w:val="120"/>
        </w:rPr>
        <w:t>a</w:t>
      </w:r>
      <w:r>
        <w:rPr>
          <w:color w:val="231F20"/>
          <w:spacing w:val="-1"/>
          <w:w w:val="120"/>
        </w:rPr>
        <w:t> </w:t>
      </w:r>
      <w:r>
        <w:rPr>
          <w:color w:val="231F20"/>
          <w:w w:val="120"/>
        </w:rPr>
        <w:t>joué</w:t>
      </w:r>
      <w:r>
        <w:rPr>
          <w:color w:val="231F20"/>
          <w:spacing w:val="-1"/>
          <w:w w:val="120"/>
        </w:rPr>
        <w:t> </w:t>
      </w:r>
      <w:r>
        <w:rPr>
          <w:color w:val="231F20"/>
          <w:w w:val="120"/>
        </w:rPr>
        <w:t>dans</w:t>
      </w:r>
      <w:r>
        <w:rPr>
          <w:color w:val="231F20"/>
          <w:spacing w:val="-1"/>
          <w:w w:val="120"/>
        </w:rPr>
        <w:t> </w:t>
      </w:r>
      <w:r>
        <w:rPr>
          <w:color w:val="231F20"/>
          <w:w w:val="120"/>
        </w:rPr>
        <w:t>le</w:t>
      </w:r>
      <w:r>
        <w:rPr>
          <w:color w:val="231F20"/>
          <w:spacing w:val="-1"/>
          <w:w w:val="120"/>
        </w:rPr>
        <w:t> </w:t>
      </w:r>
      <w:r>
        <w:rPr>
          <w:color w:val="231F20"/>
          <w:w w:val="120"/>
        </w:rPr>
        <w:t>tout</w:t>
      </w:r>
      <w:r>
        <w:rPr>
          <w:color w:val="231F20"/>
          <w:spacing w:val="-1"/>
          <w:w w:val="120"/>
        </w:rPr>
        <w:t> </w:t>
      </w:r>
      <w:r>
        <w:rPr>
          <w:color w:val="231F20"/>
          <w:w w:val="120"/>
        </w:rPr>
        <w:t>autre</w:t>
      </w:r>
      <w:r>
        <w:rPr>
          <w:color w:val="231F20"/>
          <w:spacing w:val="-1"/>
          <w:w w:val="120"/>
        </w:rPr>
        <w:t> </w:t>
      </w:r>
      <w:r>
        <w:rPr>
          <w:color w:val="231F20"/>
          <w:w w:val="120"/>
        </w:rPr>
        <w:t>registre des représentations multidimensionnelles du réel à cheval entre les méthodes</w:t>
      </w:r>
      <w:r>
        <w:rPr>
          <w:color w:val="231F20"/>
          <w:spacing w:val="-2"/>
          <w:w w:val="120"/>
        </w:rPr>
        <w:t> </w:t>
      </w:r>
      <w:r>
        <w:rPr>
          <w:color w:val="231F20"/>
          <w:w w:val="120"/>
        </w:rPr>
        <w:t>quantitatives</w:t>
      </w:r>
      <w:r>
        <w:rPr>
          <w:color w:val="231F20"/>
          <w:spacing w:val="-2"/>
          <w:w w:val="120"/>
        </w:rPr>
        <w:t> </w:t>
      </w:r>
      <w:r>
        <w:rPr>
          <w:color w:val="231F20"/>
          <w:w w:val="120"/>
        </w:rPr>
        <w:t>à</w:t>
      </w:r>
      <w:r>
        <w:rPr>
          <w:color w:val="231F20"/>
          <w:spacing w:val="-2"/>
          <w:w w:val="120"/>
        </w:rPr>
        <w:t> </w:t>
      </w:r>
      <w:r>
        <w:rPr>
          <w:color w:val="231F20"/>
          <w:w w:val="120"/>
        </w:rPr>
        <w:t>l’américaine</w:t>
      </w:r>
      <w:r>
        <w:rPr>
          <w:color w:val="231F20"/>
          <w:spacing w:val="-2"/>
          <w:w w:val="120"/>
        </w:rPr>
        <w:t> </w:t>
      </w:r>
      <w:r>
        <w:rPr>
          <w:color w:val="231F20"/>
          <w:w w:val="120"/>
        </w:rPr>
        <w:t>et</w:t>
      </w:r>
      <w:r>
        <w:rPr>
          <w:color w:val="231F20"/>
          <w:spacing w:val="-2"/>
          <w:w w:val="120"/>
        </w:rPr>
        <w:t> </w:t>
      </w:r>
      <w:r>
        <w:rPr>
          <w:color w:val="231F20"/>
          <w:w w:val="120"/>
        </w:rPr>
        <w:t>les</w:t>
      </w:r>
      <w:r>
        <w:rPr>
          <w:color w:val="231F20"/>
          <w:spacing w:val="-2"/>
          <w:w w:val="120"/>
        </w:rPr>
        <w:t> </w:t>
      </w:r>
      <w:r>
        <w:rPr>
          <w:color w:val="231F20"/>
          <w:w w:val="120"/>
        </w:rPr>
        <w:t>méthodes</w:t>
      </w:r>
      <w:r>
        <w:rPr>
          <w:color w:val="231F20"/>
          <w:spacing w:val="-2"/>
          <w:w w:val="120"/>
        </w:rPr>
        <w:t> </w:t>
      </w:r>
      <w:r>
        <w:rPr>
          <w:color w:val="231F20"/>
          <w:w w:val="120"/>
        </w:rPr>
        <w:t>qualitatives</w:t>
      </w:r>
      <w:r>
        <w:rPr>
          <w:color w:val="231F20"/>
          <w:spacing w:val="-2"/>
          <w:w w:val="120"/>
        </w:rPr>
        <w:t> </w:t>
      </w:r>
      <w:r>
        <w:rPr>
          <w:color w:val="231F20"/>
          <w:w w:val="120"/>
        </w:rPr>
        <w:t>à</w:t>
      </w:r>
      <w:r>
        <w:rPr>
          <w:color w:val="231F20"/>
          <w:spacing w:val="-2"/>
          <w:w w:val="120"/>
        </w:rPr>
        <w:t> </w:t>
      </w:r>
      <w:r>
        <w:rPr>
          <w:color w:val="231F20"/>
          <w:w w:val="120"/>
        </w:rPr>
        <w:t>la française. Outillage méthodologique précieux pour aborder le réel en </w:t>
      </w:r>
      <w:r>
        <w:rPr>
          <w:color w:val="231F20"/>
          <w:spacing w:val="-2"/>
          <w:w w:val="120"/>
        </w:rPr>
        <w:t>respectant</w:t>
      </w:r>
      <w:r>
        <w:rPr>
          <w:color w:val="231F20"/>
          <w:spacing w:val="-4"/>
          <w:w w:val="120"/>
        </w:rPr>
        <w:t> </w:t>
      </w:r>
      <w:r>
        <w:rPr>
          <w:color w:val="231F20"/>
          <w:spacing w:val="-2"/>
          <w:w w:val="120"/>
        </w:rPr>
        <w:t>sa</w:t>
      </w:r>
      <w:r>
        <w:rPr>
          <w:color w:val="231F20"/>
          <w:spacing w:val="-4"/>
          <w:w w:val="120"/>
        </w:rPr>
        <w:t> </w:t>
      </w:r>
      <w:r>
        <w:rPr>
          <w:color w:val="231F20"/>
          <w:spacing w:val="-2"/>
          <w:w w:val="120"/>
        </w:rPr>
        <w:t>complexité</w:t>
      </w:r>
      <w:r>
        <w:rPr>
          <w:color w:val="231F20"/>
          <w:spacing w:val="-4"/>
          <w:w w:val="120"/>
        </w:rPr>
        <w:t> </w:t>
      </w:r>
      <w:r>
        <w:rPr>
          <w:color w:val="231F20"/>
          <w:spacing w:val="-2"/>
          <w:w w:val="120"/>
        </w:rPr>
        <w:t>sans</w:t>
      </w:r>
      <w:r>
        <w:rPr>
          <w:color w:val="231F20"/>
          <w:spacing w:val="-4"/>
          <w:w w:val="120"/>
        </w:rPr>
        <w:t> </w:t>
      </w:r>
      <w:r>
        <w:rPr>
          <w:color w:val="231F20"/>
          <w:spacing w:val="-2"/>
          <w:w w:val="120"/>
        </w:rPr>
        <w:t>écarter</w:t>
      </w:r>
      <w:r>
        <w:rPr>
          <w:color w:val="231F20"/>
          <w:spacing w:val="-4"/>
          <w:w w:val="120"/>
        </w:rPr>
        <w:t> </w:t>
      </w:r>
      <w:r>
        <w:rPr>
          <w:color w:val="231F20"/>
          <w:spacing w:val="-2"/>
          <w:w w:val="120"/>
        </w:rPr>
        <w:t>le</w:t>
      </w:r>
      <w:r>
        <w:rPr>
          <w:color w:val="231F20"/>
          <w:spacing w:val="-4"/>
          <w:w w:val="120"/>
        </w:rPr>
        <w:t> </w:t>
      </w:r>
      <w:r>
        <w:rPr>
          <w:color w:val="231F20"/>
          <w:spacing w:val="-2"/>
          <w:w w:val="120"/>
        </w:rPr>
        <w:t>sujet</w:t>
      </w:r>
      <w:r>
        <w:rPr>
          <w:color w:val="231F20"/>
          <w:spacing w:val="-4"/>
          <w:w w:val="120"/>
        </w:rPr>
        <w:t> </w:t>
      </w:r>
      <w:r>
        <w:rPr>
          <w:color w:val="231F20"/>
          <w:spacing w:val="-2"/>
          <w:w w:val="120"/>
        </w:rPr>
        <w:t>et</w:t>
      </w:r>
      <w:r>
        <w:rPr>
          <w:color w:val="231F20"/>
          <w:spacing w:val="-4"/>
          <w:w w:val="120"/>
        </w:rPr>
        <w:t> </w:t>
      </w:r>
      <w:r>
        <w:rPr>
          <w:color w:val="231F20"/>
          <w:spacing w:val="-2"/>
          <w:w w:val="120"/>
        </w:rPr>
        <w:t>sa</w:t>
      </w:r>
      <w:r>
        <w:rPr>
          <w:color w:val="231F20"/>
          <w:spacing w:val="-4"/>
          <w:w w:val="120"/>
        </w:rPr>
        <w:t> </w:t>
      </w:r>
      <w:r>
        <w:rPr>
          <w:color w:val="231F20"/>
          <w:spacing w:val="-2"/>
          <w:w w:val="120"/>
        </w:rPr>
        <w:t>représentation</w:t>
      </w:r>
      <w:r>
        <w:rPr>
          <w:color w:val="231F20"/>
          <w:spacing w:val="-4"/>
          <w:w w:val="120"/>
        </w:rPr>
        <w:t> </w:t>
      </w:r>
      <w:r>
        <w:rPr>
          <w:color w:val="231F20"/>
          <w:spacing w:val="-2"/>
          <w:w w:val="120"/>
        </w:rPr>
        <w:t>unique </w:t>
      </w:r>
      <w:r>
        <w:rPr>
          <w:color w:val="231F20"/>
          <w:w w:val="120"/>
        </w:rPr>
        <w:t>de la réalité.</w:t>
      </w:r>
    </w:p>
    <w:p>
      <w:pPr>
        <w:pStyle w:val="BodyText"/>
        <w:spacing w:line="307" w:lineRule="auto" w:before="77"/>
        <w:ind w:left="1180" w:right="246" w:firstLine="250"/>
        <w:jc w:val="both"/>
      </w:pPr>
      <w:r>
        <w:rPr>
          <w:color w:val="231F20"/>
          <w:w w:val="120"/>
        </w:rPr>
        <w:t>Ensemble,</w:t>
      </w:r>
      <w:r>
        <w:rPr>
          <w:color w:val="231F20"/>
          <w:spacing w:val="-8"/>
          <w:w w:val="120"/>
        </w:rPr>
        <w:t> </w:t>
      </w:r>
      <w:r>
        <w:rPr>
          <w:color w:val="231F20"/>
          <w:w w:val="120"/>
        </w:rPr>
        <w:t>nous</w:t>
      </w:r>
      <w:r>
        <w:rPr>
          <w:color w:val="231F20"/>
          <w:spacing w:val="-8"/>
          <w:w w:val="120"/>
        </w:rPr>
        <w:t> </w:t>
      </w:r>
      <w:r>
        <w:rPr>
          <w:color w:val="231F20"/>
          <w:w w:val="120"/>
        </w:rPr>
        <w:t>avons</w:t>
      </w:r>
      <w:r>
        <w:rPr>
          <w:color w:val="231F20"/>
          <w:spacing w:val="-8"/>
          <w:w w:val="120"/>
        </w:rPr>
        <w:t> </w:t>
      </w:r>
      <w:r>
        <w:rPr>
          <w:color w:val="231F20"/>
          <w:w w:val="120"/>
        </w:rPr>
        <w:t>mis</w:t>
      </w:r>
      <w:r>
        <w:rPr>
          <w:color w:val="231F20"/>
          <w:spacing w:val="-9"/>
          <w:w w:val="120"/>
        </w:rPr>
        <w:t> </w:t>
      </w:r>
      <w:r>
        <w:rPr>
          <w:color w:val="231F20"/>
          <w:w w:val="120"/>
        </w:rPr>
        <w:t>sur</w:t>
      </w:r>
      <w:r>
        <w:rPr>
          <w:color w:val="231F20"/>
          <w:spacing w:val="-8"/>
          <w:w w:val="120"/>
        </w:rPr>
        <w:t> </w:t>
      </w:r>
      <w:r>
        <w:rPr>
          <w:color w:val="231F20"/>
          <w:w w:val="120"/>
        </w:rPr>
        <w:t>pied</w:t>
      </w:r>
      <w:r>
        <w:rPr>
          <w:color w:val="231F20"/>
          <w:spacing w:val="-8"/>
          <w:w w:val="120"/>
        </w:rPr>
        <w:t> </w:t>
      </w:r>
      <w:r>
        <w:rPr>
          <w:color w:val="231F20"/>
          <w:w w:val="120"/>
        </w:rPr>
        <w:t>le</w:t>
      </w:r>
      <w:r>
        <w:rPr>
          <w:color w:val="231F20"/>
          <w:spacing w:val="-8"/>
          <w:w w:val="120"/>
        </w:rPr>
        <w:t> </w:t>
      </w:r>
      <w:r>
        <w:rPr>
          <w:color w:val="231F20"/>
          <w:w w:val="120"/>
        </w:rPr>
        <w:t>Groupe</w:t>
      </w:r>
      <w:r>
        <w:rPr>
          <w:color w:val="231F20"/>
          <w:spacing w:val="-9"/>
          <w:w w:val="120"/>
        </w:rPr>
        <w:t> </w:t>
      </w:r>
      <w:r>
        <w:rPr>
          <w:color w:val="231F20"/>
          <w:w w:val="120"/>
        </w:rPr>
        <w:t>de</w:t>
      </w:r>
      <w:r>
        <w:rPr>
          <w:color w:val="231F20"/>
          <w:spacing w:val="-8"/>
          <w:w w:val="120"/>
        </w:rPr>
        <w:t> </w:t>
      </w:r>
      <w:r>
        <w:rPr>
          <w:color w:val="231F20"/>
          <w:w w:val="120"/>
        </w:rPr>
        <w:t>recherche</w:t>
      </w:r>
      <w:r>
        <w:rPr>
          <w:color w:val="231F20"/>
          <w:spacing w:val="-8"/>
          <w:w w:val="120"/>
        </w:rPr>
        <w:t> </w:t>
      </w:r>
      <w:r>
        <w:rPr>
          <w:color w:val="231F20"/>
          <w:w w:val="120"/>
        </w:rPr>
        <w:t>Stress</w:t>
      </w:r>
      <w:r>
        <w:rPr>
          <w:color w:val="231F20"/>
          <w:spacing w:val="-8"/>
          <w:w w:val="120"/>
        </w:rPr>
        <w:t> </w:t>
      </w:r>
      <w:r>
        <w:rPr>
          <w:color w:val="231F20"/>
          <w:w w:val="120"/>
        </w:rPr>
        <w:t>et </w:t>
      </w:r>
      <w:r>
        <w:rPr>
          <w:color w:val="231F20"/>
          <w:spacing w:val="-4"/>
          <w:w w:val="120"/>
        </w:rPr>
        <w:t>santé</w:t>
      </w:r>
      <w:r>
        <w:rPr>
          <w:color w:val="231F20"/>
          <w:spacing w:val="-5"/>
          <w:w w:val="120"/>
        </w:rPr>
        <w:t> </w:t>
      </w:r>
      <w:r>
        <w:rPr>
          <w:color w:val="231F20"/>
          <w:spacing w:val="-4"/>
          <w:w w:val="120"/>
        </w:rPr>
        <w:t>au</w:t>
      </w:r>
      <w:r>
        <w:rPr>
          <w:color w:val="231F20"/>
          <w:spacing w:val="-5"/>
          <w:w w:val="120"/>
        </w:rPr>
        <w:t> </w:t>
      </w:r>
      <w:r>
        <w:rPr>
          <w:color w:val="231F20"/>
          <w:spacing w:val="-4"/>
          <w:w w:val="120"/>
        </w:rPr>
        <w:t>travail,</w:t>
      </w:r>
      <w:r>
        <w:rPr>
          <w:color w:val="231F20"/>
          <w:spacing w:val="-5"/>
          <w:w w:val="120"/>
        </w:rPr>
        <w:t> </w:t>
      </w:r>
      <w:r>
        <w:rPr>
          <w:color w:val="231F20"/>
          <w:spacing w:val="-4"/>
          <w:w w:val="120"/>
        </w:rPr>
        <w:t>qui</w:t>
      </w:r>
      <w:r>
        <w:rPr>
          <w:color w:val="231F20"/>
          <w:spacing w:val="-5"/>
          <w:w w:val="120"/>
        </w:rPr>
        <w:t> </w:t>
      </w:r>
      <w:r>
        <w:rPr>
          <w:color w:val="231F20"/>
          <w:spacing w:val="-4"/>
          <w:w w:val="120"/>
        </w:rPr>
        <w:t>a</w:t>
      </w:r>
      <w:r>
        <w:rPr>
          <w:color w:val="231F20"/>
          <w:spacing w:val="-5"/>
          <w:w w:val="120"/>
        </w:rPr>
        <w:t> </w:t>
      </w:r>
      <w:r>
        <w:rPr>
          <w:color w:val="231F20"/>
          <w:spacing w:val="-4"/>
          <w:w w:val="120"/>
        </w:rPr>
        <w:t>été</w:t>
      </w:r>
      <w:r>
        <w:rPr>
          <w:color w:val="231F20"/>
          <w:spacing w:val="-5"/>
          <w:w w:val="120"/>
        </w:rPr>
        <w:t> </w:t>
      </w:r>
      <w:r>
        <w:rPr>
          <w:color w:val="231F20"/>
          <w:spacing w:val="-4"/>
          <w:w w:val="120"/>
        </w:rPr>
        <w:t>très</w:t>
      </w:r>
      <w:r>
        <w:rPr>
          <w:color w:val="231F20"/>
          <w:spacing w:val="-5"/>
          <w:w w:val="120"/>
        </w:rPr>
        <w:t> </w:t>
      </w:r>
      <w:r>
        <w:rPr>
          <w:color w:val="231F20"/>
          <w:spacing w:val="-4"/>
          <w:w w:val="120"/>
        </w:rPr>
        <w:t>actif</w:t>
      </w:r>
      <w:r>
        <w:rPr>
          <w:color w:val="231F20"/>
          <w:spacing w:val="-5"/>
          <w:w w:val="120"/>
        </w:rPr>
        <w:t> </w:t>
      </w:r>
      <w:r>
        <w:rPr>
          <w:color w:val="231F20"/>
          <w:spacing w:val="-4"/>
          <w:w w:val="120"/>
        </w:rPr>
        <w:t>et</w:t>
      </w:r>
      <w:r>
        <w:rPr>
          <w:color w:val="231F20"/>
          <w:spacing w:val="-5"/>
          <w:w w:val="120"/>
        </w:rPr>
        <w:t> </w:t>
      </w:r>
      <w:r>
        <w:rPr>
          <w:color w:val="231F20"/>
          <w:spacing w:val="-4"/>
          <w:w w:val="120"/>
        </w:rPr>
        <w:t>a</w:t>
      </w:r>
      <w:r>
        <w:rPr>
          <w:color w:val="231F20"/>
          <w:spacing w:val="-5"/>
          <w:w w:val="120"/>
        </w:rPr>
        <w:t> </w:t>
      </w:r>
      <w:r>
        <w:rPr>
          <w:color w:val="231F20"/>
          <w:spacing w:val="-4"/>
          <w:w w:val="120"/>
        </w:rPr>
        <w:t>produit</w:t>
      </w:r>
      <w:r>
        <w:rPr>
          <w:color w:val="231F20"/>
          <w:spacing w:val="-5"/>
          <w:w w:val="120"/>
        </w:rPr>
        <w:t> </w:t>
      </w:r>
      <w:r>
        <w:rPr>
          <w:color w:val="231F20"/>
          <w:spacing w:val="-4"/>
          <w:w w:val="120"/>
        </w:rPr>
        <w:t>un</w:t>
      </w:r>
      <w:r>
        <w:rPr>
          <w:color w:val="231F20"/>
          <w:spacing w:val="-5"/>
          <w:w w:val="120"/>
        </w:rPr>
        <w:t> </w:t>
      </w:r>
      <w:r>
        <w:rPr>
          <w:color w:val="231F20"/>
          <w:spacing w:val="-4"/>
          <w:w w:val="120"/>
        </w:rPr>
        <w:t>grand</w:t>
      </w:r>
      <w:r>
        <w:rPr>
          <w:color w:val="231F20"/>
          <w:spacing w:val="-5"/>
          <w:w w:val="120"/>
        </w:rPr>
        <w:t> </w:t>
      </w:r>
      <w:r>
        <w:rPr>
          <w:color w:val="231F20"/>
          <w:spacing w:val="-4"/>
          <w:w w:val="120"/>
        </w:rPr>
        <w:t>nombre</w:t>
      </w:r>
      <w:r>
        <w:rPr>
          <w:color w:val="231F20"/>
          <w:spacing w:val="-5"/>
          <w:w w:val="120"/>
        </w:rPr>
        <w:t> </w:t>
      </w:r>
      <w:r>
        <w:rPr>
          <w:color w:val="231F20"/>
          <w:spacing w:val="-4"/>
          <w:w w:val="120"/>
        </w:rPr>
        <w:t>d’œuvres </w:t>
      </w:r>
      <w:r>
        <w:rPr>
          <w:color w:val="231F20"/>
          <w:spacing w:val="-2"/>
          <w:w w:val="120"/>
        </w:rPr>
        <w:t>savantes</w:t>
      </w:r>
      <w:r>
        <w:rPr>
          <w:color w:val="231F20"/>
          <w:spacing w:val="-10"/>
          <w:w w:val="120"/>
        </w:rPr>
        <w:t> </w:t>
      </w:r>
      <w:r>
        <w:rPr>
          <w:color w:val="231F20"/>
          <w:spacing w:val="-2"/>
          <w:w w:val="120"/>
        </w:rPr>
        <w:t>publiées</w:t>
      </w:r>
      <w:r>
        <w:rPr>
          <w:color w:val="231F20"/>
          <w:spacing w:val="-10"/>
          <w:w w:val="120"/>
        </w:rPr>
        <w:t> </w:t>
      </w:r>
      <w:r>
        <w:rPr>
          <w:color w:val="231F20"/>
          <w:spacing w:val="-2"/>
          <w:w w:val="120"/>
        </w:rPr>
        <w:t>sous</w:t>
      </w:r>
      <w:r>
        <w:rPr>
          <w:color w:val="231F20"/>
          <w:spacing w:val="-10"/>
          <w:w w:val="120"/>
        </w:rPr>
        <w:t> </w:t>
      </w:r>
      <w:r>
        <w:rPr>
          <w:color w:val="231F20"/>
          <w:spacing w:val="-2"/>
          <w:w w:val="120"/>
        </w:rPr>
        <w:t>forme</w:t>
      </w:r>
      <w:r>
        <w:rPr>
          <w:color w:val="231F20"/>
          <w:spacing w:val="-10"/>
          <w:w w:val="120"/>
        </w:rPr>
        <w:t> </w:t>
      </w:r>
      <w:r>
        <w:rPr>
          <w:color w:val="231F20"/>
          <w:spacing w:val="-2"/>
          <w:w w:val="120"/>
        </w:rPr>
        <w:t>de</w:t>
      </w:r>
      <w:r>
        <w:rPr>
          <w:color w:val="231F20"/>
          <w:spacing w:val="-10"/>
          <w:w w:val="120"/>
        </w:rPr>
        <w:t> </w:t>
      </w:r>
      <w:r>
        <w:rPr>
          <w:color w:val="231F20"/>
          <w:spacing w:val="-2"/>
          <w:w w:val="120"/>
        </w:rPr>
        <w:t>monographies</w:t>
      </w:r>
      <w:r>
        <w:rPr>
          <w:color w:val="231F20"/>
          <w:spacing w:val="-10"/>
          <w:w w:val="120"/>
        </w:rPr>
        <w:t> </w:t>
      </w:r>
      <w:r>
        <w:rPr>
          <w:color w:val="231F20"/>
          <w:spacing w:val="-2"/>
          <w:w w:val="120"/>
        </w:rPr>
        <w:t>et</w:t>
      </w:r>
      <w:r>
        <w:rPr>
          <w:color w:val="231F20"/>
          <w:spacing w:val="-10"/>
          <w:w w:val="120"/>
        </w:rPr>
        <w:t> </w:t>
      </w:r>
      <w:r>
        <w:rPr>
          <w:color w:val="231F20"/>
          <w:spacing w:val="-2"/>
          <w:w w:val="120"/>
        </w:rPr>
        <w:t>d’articles</w:t>
      </w:r>
      <w:r>
        <w:rPr>
          <w:color w:val="231F20"/>
          <w:spacing w:val="-10"/>
          <w:w w:val="120"/>
        </w:rPr>
        <w:t> </w:t>
      </w:r>
      <w:r>
        <w:rPr>
          <w:color w:val="231F20"/>
          <w:spacing w:val="-2"/>
          <w:w w:val="120"/>
        </w:rPr>
        <w:t>scientifiques </w:t>
      </w:r>
      <w:r>
        <w:rPr>
          <w:color w:val="231F20"/>
          <w:w w:val="120"/>
        </w:rPr>
        <w:t>jusqu’au milieu des années 1990.</w:t>
      </w:r>
    </w:p>
    <w:p>
      <w:pPr>
        <w:pStyle w:val="BodyText"/>
        <w:spacing w:line="307" w:lineRule="auto" w:before="79"/>
        <w:ind w:left="1180" w:right="246" w:firstLine="250"/>
        <w:jc w:val="both"/>
      </w:pPr>
      <w:r>
        <w:rPr>
          <w:color w:val="231F20"/>
          <w:w w:val="120"/>
        </w:rPr>
        <w:t>Eric</w:t>
      </w:r>
      <w:r>
        <w:rPr>
          <w:color w:val="231F20"/>
          <w:spacing w:val="-13"/>
          <w:w w:val="120"/>
        </w:rPr>
        <w:t> </w:t>
      </w:r>
      <w:r>
        <w:rPr>
          <w:color w:val="231F20"/>
          <w:w w:val="120"/>
        </w:rPr>
        <w:t>Gosselin</w:t>
      </w:r>
      <w:r>
        <w:rPr>
          <w:color w:val="231F20"/>
          <w:spacing w:val="-13"/>
          <w:w w:val="120"/>
        </w:rPr>
        <w:t> </w:t>
      </w:r>
      <w:r>
        <w:rPr>
          <w:color w:val="231F20"/>
          <w:w w:val="120"/>
        </w:rPr>
        <w:t>tient</w:t>
      </w:r>
      <w:r>
        <w:rPr>
          <w:color w:val="231F20"/>
          <w:spacing w:val="-13"/>
          <w:w w:val="120"/>
        </w:rPr>
        <w:t> </w:t>
      </w:r>
      <w:r>
        <w:rPr>
          <w:color w:val="231F20"/>
          <w:w w:val="120"/>
        </w:rPr>
        <w:t>à</w:t>
      </w:r>
      <w:r>
        <w:rPr>
          <w:color w:val="231F20"/>
          <w:spacing w:val="-12"/>
          <w:w w:val="120"/>
        </w:rPr>
        <w:t> </w:t>
      </w:r>
      <w:r>
        <w:rPr>
          <w:color w:val="231F20"/>
          <w:w w:val="120"/>
        </w:rPr>
        <w:t>exprimer</w:t>
      </w:r>
      <w:r>
        <w:rPr>
          <w:color w:val="231F20"/>
          <w:spacing w:val="-13"/>
          <w:w w:val="120"/>
        </w:rPr>
        <w:t> </w:t>
      </w:r>
      <w:r>
        <w:rPr>
          <w:color w:val="231F20"/>
          <w:w w:val="120"/>
        </w:rPr>
        <w:t>ses</w:t>
      </w:r>
      <w:r>
        <w:rPr>
          <w:color w:val="231F20"/>
          <w:spacing w:val="-13"/>
          <w:w w:val="120"/>
        </w:rPr>
        <w:t> </w:t>
      </w:r>
      <w:r>
        <w:rPr>
          <w:color w:val="231F20"/>
          <w:w w:val="120"/>
        </w:rPr>
        <w:t>sincères</w:t>
      </w:r>
      <w:r>
        <w:rPr>
          <w:color w:val="231F20"/>
          <w:spacing w:val="-13"/>
          <w:w w:val="120"/>
        </w:rPr>
        <w:t> </w:t>
      </w:r>
      <w:r>
        <w:rPr>
          <w:color w:val="231F20"/>
          <w:w w:val="120"/>
        </w:rPr>
        <w:t>remerciements</w:t>
      </w:r>
      <w:r>
        <w:rPr>
          <w:color w:val="231F20"/>
          <w:spacing w:val="-12"/>
          <w:w w:val="120"/>
        </w:rPr>
        <w:t> </w:t>
      </w:r>
      <w:r>
        <w:rPr>
          <w:color w:val="231F20"/>
          <w:w w:val="120"/>
        </w:rPr>
        <w:t>à</w:t>
      </w:r>
      <w:r>
        <w:rPr>
          <w:color w:val="231F20"/>
          <w:spacing w:val="-13"/>
          <w:w w:val="120"/>
        </w:rPr>
        <w:t> </w:t>
      </w:r>
      <w:r>
        <w:rPr>
          <w:color w:val="231F20"/>
          <w:w w:val="120"/>
        </w:rPr>
        <w:t>ses</w:t>
      </w:r>
      <w:r>
        <w:rPr>
          <w:color w:val="231F20"/>
          <w:spacing w:val="-13"/>
          <w:w w:val="120"/>
        </w:rPr>
        <w:t> </w:t>
      </w:r>
      <w:r>
        <w:rPr>
          <w:color w:val="231F20"/>
          <w:w w:val="120"/>
        </w:rPr>
        <w:t>men- tors</w:t>
      </w:r>
      <w:r>
        <w:rPr>
          <w:color w:val="231F20"/>
          <w:spacing w:val="-13"/>
          <w:w w:val="120"/>
        </w:rPr>
        <w:t> </w:t>
      </w:r>
      <w:r>
        <w:rPr>
          <w:color w:val="231F20"/>
          <w:w w:val="120"/>
        </w:rPr>
        <w:t>scientifiques</w:t>
      </w:r>
      <w:r>
        <w:rPr>
          <w:color w:val="231F20"/>
          <w:spacing w:val="-13"/>
          <w:w w:val="120"/>
        </w:rPr>
        <w:t> </w:t>
      </w:r>
      <w:r>
        <w:rPr>
          <w:color w:val="231F20"/>
          <w:w w:val="120"/>
        </w:rPr>
        <w:t>que</w:t>
      </w:r>
      <w:r>
        <w:rPr>
          <w:color w:val="231F20"/>
          <w:spacing w:val="-13"/>
          <w:w w:val="120"/>
        </w:rPr>
        <w:t> </w:t>
      </w:r>
      <w:r>
        <w:rPr>
          <w:color w:val="231F20"/>
          <w:w w:val="120"/>
        </w:rPr>
        <w:t>sont</w:t>
      </w:r>
      <w:r>
        <w:rPr>
          <w:color w:val="231F20"/>
          <w:spacing w:val="-12"/>
          <w:w w:val="120"/>
        </w:rPr>
        <w:t> </w:t>
      </w:r>
      <w:r>
        <w:rPr>
          <w:color w:val="231F20"/>
          <w:w w:val="120"/>
        </w:rPr>
        <w:t>le</w:t>
      </w:r>
      <w:r>
        <w:rPr>
          <w:color w:val="231F20"/>
          <w:spacing w:val="-13"/>
          <w:w w:val="120"/>
        </w:rPr>
        <w:t> </w:t>
      </w:r>
      <w:r>
        <w:rPr>
          <w:color w:val="231F20"/>
          <w:w w:val="120"/>
        </w:rPr>
        <w:t>regretté</w:t>
      </w:r>
      <w:r>
        <w:rPr>
          <w:color w:val="231F20"/>
          <w:spacing w:val="-13"/>
          <w:w w:val="120"/>
        </w:rPr>
        <w:t> </w:t>
      </w:r>
      <w:r>
        <w:rPr>
          <w:color w:val="231F20"/>
          <w:w w:val="120"/>
        </w:rPr>
        <w:t>professeur</w:t>
      </w:r>
      <w:r>
        <w:rPr>
          <w:color w:val="231F20"/>
          <w:spacing w:val="-13"/>
          <w:w w:val="120"/>
        </w:rPr>
        <w:t> </w:t>
      </w:r>
      <w:r>
        <w:rPr>
          <w:color w:val="231F20"/>
          <w:w w:val="120"/>
        </w:rPr>
        <w:t>Robert-Paul</w:t>
      </w:r>
      <w:r>
        <w:rPr>
          <w:color w:val="231F20"/>
          <w:spacing w:val="-12"/>
          <w:w w:val="120"/>
        </w:rPr>
        <w:t> </w:t>
      </w:r>
      <w:r>
        <w:rPr>
          <w:color w:val="231F20"/>
          <w:w w:val="120"/>
        </w:rPr>
        <w:t>Bourgeois </w:t>
      </w:r>
      <w:r>
        <w:rPr>
          <w:color w:val="231F20"/>
          <w:w w:val="115"/>
        </w:rPr>
        <w:t>et la professeure Francine Rancourt (Université du Québec à Hull), ainsi que</w:t>
      </w:r>
      <w:r>
        <w:rPr>
          <w:color w:val="231F20"/>
          <w:spacing w:val="-18"/>
          <w:w w:val="115"/>
        </w:rPr>
        <w:t> </w:t>
      </w:r>
      <w:r>
        <w:rPr>
          <w:color w:val="231F20"/>
          <w:w w:val="115"/>
        </w:rPr>
        <w:t>le</w:t>
      </w:r>
      <w:r>
        <w:rPr>
          <w:color w:val="231F20"/>
          <w:spacing w:val="-18"/>
          <w:w w:val="115"/>
        </w:rPr>
        <w:t> </w:t>
      </w:r>
      <w:r>
        <w:rPr>
          <w:color w:val="231F20"/>
          <w:w w:val="115"/>
        </w:rPr>
        <w:t>professeur</w:t>
      </w:r>
      <w:r>
        <w:rPr>
          <w:color w:val="231F20"/>
          <w:spacing w:val="-18"/>
          <w:w w:val="115"/>
        </w:rPr>
        <w:t> </w:t>
      </w:r>
      <w:r>
        <w:rPr>
          <w:color w:val="231F20"/>
          <w:w w:val="115"/>
        </w:rPr>
        <w:t>Simon</w:t>
      </w:r>
      <w:r>
        <w:rPr>
          <w:color w:val="231F20"/>
          <w:spacing w:val="-18"/>
          <w:w w:val="115"/>
        </w:rPr>
        <w:t> </w:t>
      </w:r>
      <w:r>
        <w:rPr>
          <w:color w:val="231F20"/>
          <w:w w:val="115"/>
        </w:rPr>
        <w:t>L.</w:t>
      </w:r>
      <w:r>
        <w:rPr>
          <w:color w:val="231F20"/>
          <w:spacing w:val="-18"/>
          <w:w w:val="115"/>
        </w:rPr>
        <w:t> </w:t>
      </w:r>
      <w:r>
        <w:rPr>
          <w:color w:val="231F20"/>
          <w:w w:val="115"/>
        </w:rPr>
        <w:t>Dolan</w:t>
      </w:r>
      <w:r>
        <w:rPr>
          <w:color w:val="231F20"/>
          <w:spacing w:val="-18"/>
          <w:w w:val="115"/>
        </w:rPr>
        <w:t> </w:t>
      </w:r>
      <w:r>
        <w:rPr>
          <w:color w:val="231F20"/>
          <w:w w:val="115"/>
        </w:rPr>
        <w:t>(Université</w:t>
      </w:r>
      <w:r>
        <w:rPr>
          <w:color w:val="231F20"/>
          <w:spacing w:val="-18"/>
          <w:w w:val="115"/>
        </w:rPr>
        <w:t> </w:t>
      </w:r>
      <w:r>
        <w:rPr>
          <w:color w:val="231F20"/>
          <w:w w:val="115"/>
        </w:rPr>
        <w:t>de</w:t>
      </w:r>
      <w:r>
        <w:rPr>
          <w:color w:val="231F20"/>
          <w:spacing w:val="-18"/>
          <w:w w:val="115"/>
        </w:rPr>
        <w:t> </w:t>
      </w:r>
      <w:r>
        <w:rPr>
          <w:color w:val="231F20"/>
          <w:w w:val="115"/>
        </w:rPr>
        <w:t>Montréal).</w:t>
      </w:r>
      <w:r>
        <w:rPr>
          <w:color w:val="231F20"/>
          <w:spacing w:val="-18"/>
          <w:w w:val="115"/>
        </w:rPr>
        <w:t> </w:t>
      </w:r>
      <w:r>
        <w:rPr>
          <w:color w:val="231F20"/>
          <w:w w:val="115"/>
        </w:rPr>
        <w:t>Chacune</w:t>
      </w:r>
      <w:r>
        <w:rPr>
          <w:color w:val="231F20"/>
          <w:spacing w:val="-18"/>
          <w:w w:val="115"/>
        </w:rPr>
        <w:t> </w:t>
      </w:r>
      <w:r>
        <w:rPr>
          <w:color w:val="231F20"/>
          <w:w w:val="115"/>
        </w:rPr>
        <w:t>à</w:t>
      </w:r>
      <w:r>
        <w:rPr>
          <w:color w:val="231F20"/>
          <w:spacing w:val="-18"/>
          <w:w w:val="115"/>
        </w:rPr>
        <w:t> </w:t>
      </w:r>
      <w:r>
        <w:rPr>
          <w:color w:val="231F20"/>
          <w:w w:val="115"/>
        </w:rPr>
        <w:t>leur</w:t>
      </w:r>
    </w:p>
    <w:p>
      <w:pPr>
        <w:pStyle w:val="BodyText"/>
        <w:spacing w:before="3"/>
        <w:rPr>
          <w:sz w:val="19"/>
        </w:rPr>
      </w:pPr>
      <w:r>
        <w:rPr/>
        <w:pict>
          <v:shape style="position:absolute;margin-left:82pt;margin-top:12.298925pt;width:287.5pt;height:.1pt;mso-position-horizontal-relative:page;mso-position-vertical-relative:paragraph;z-index:-15721984;mso-wrap-distance-left:0;mso-wrap-distance-right:0" id="docshape31" coordorigin="1640,246" coordsize="5750,0" path="m1640,246l7390,246e" filled="false" stroked="true" strokeweight=".25pt" strokecolor="#231f20">
            <v:path arrowok="t"/>
            <v:stroke dashstyle="shortdot"/>
            <w10:wrap type="topAndBottom"/>
          </v:shape>
        </w:pict>
      </w:r>
    </w:p>
    <w:p>
      <w:pPr>
        <w:tabs>
          <w:tab w:pos="1179" w:val="left" w:leader="none"/>
        </w:tabs>
        <w:spacing w:line="295" w:lineRule="auto" w:before="135"/>
        <w:ind w:left="1179" w:right="247" w:hanging="328"/>
        <w:jc w:val="left"/>
        <w:rPr>
          <w:rFonts w:ascii="Arial" w:hAnsi="Arial"/>
          <w:sz w:val="12"/>
        </w:rPr>
      </w:pPr>
      <w:r>
        <w:rPr>
          <w:rFonts w:ascii="Arial" w:hAnsi="Arial"/>
          <w:color w:val="231F20"/>
          <w:spacing w:val="-10"/>
          <w:w w:val="105"/>
          <w:sz w:val="12"/>
        </w:rPr>
        <w:t>1</w:t>
      </w:r>
      <w:r>
        <w:rPr>
          <w:rFonts w:ascii="Arial" w:hAnsi="Arial"/>
          <w:color w:val="231F20"/>
          <w:sz w:val="12"/>
        </w:rPr>
        <w:tab/>
        <w:t>Dolan,</w:t>
      </w:r>
      <w:r>
        <w:rPr>
          <w:rFonts w:ascii="Arial" w:hAnsi="Arial"/>
          <w:color w:val="231F20"/>
          <w:spacing w:val="-5"/>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L.</w:t>
      </w:r>
      <w:r>
        <w:rPr>
          <w:rFonts w:ascii="Arial" w:hAnsi="Arial"/>
          <w:color w:val="231F20"/>
          <w:spacing w:val="-5"/>
          <w:sz w:val="12"/>
        </w:rPr>
        <w:t> </w:t>
      </w:r>
      <w:r>
        <w:rPr>
          <w:rFonts w:ascii="Arial" w:hAnsi="Arial"/>
          <w:color w:val="231F20"/>
          <w:sz w:val="12"/>
        </w:rPr>
        <w:t>et</w:t>
      </w:r>
      <w:r>
        <w:rPr>
          <w:rFonts w:ascii="Arial" w:hAnsi="Arial"/>
          <w:color w:val="231F20"/>
          <w:spacing w:val="-5"/>
          <w:sz w:val="12"/>
        </w:rPr>
        <w:t> </w:t>
      </w:r>
      <w:r>
        <w:rPr>
          <w:rFonts w:ascii="Arial" w:hAnsi="Arial"/>
          <w:color w:val="231F20"/>
          <w:sz w:val="12"/>
        </w:rPr>
        <w:t>Arsenault,</w:t>
      </w:r>
      <w:r>
        <w:rPr>
          <w:rFonts w:ascii="Arial" w:hAnsi="Arial"/>
          <w:color w:val="231F20"/>
          <w:spacing w:val="-5"/>
          <w:sz w:val="12"/>
        </w:rPr>
        <w:t> </w:t>
      </w:r>
      <w:r>
        <w:rPr>
          <w:rFonts w:ascii="Arial" w:hAnsi="Arial"/>
          <w:color w:val="231F20"/>
          <w:sz w:val="12"/>
        </w:rPr>
        <w:t>A.</w:t>
      </w:r>
      <w:r>
        <w:rPr>
          <w:rFonts w:ascii="Arial" w:hAnsi="Arial"/>
          <w:color w:val="231F20"/>
          <w:spacing w:val="-5"/>
          <w:sz w:val="12"/>
        </w:rPr>
        <w:t> </w:t>
      </w:r>
      <w:r>
        <w:rPr>
          <w:rFonts w:ascii="Arial" w:hAnsi="Arial"/>
          <w:color w:val="231F20"/>
          <w:sz w:val="12"/>
        </w:rPr>
        <w:t>(1980).</w:t>
      </w:r>
      <w:r>
        <w:rPr>
          <w:rFonts w:ascii="Arial" w:hAnsi="Arial"/>
          <w:color w:val="231F20"/>
          <w:spacing w:val="-5"/>
          <w:sz w:val="12"/>
        </w:rPr>
        <w:t> </w:t>
      </w:r>
      <w:r>
        <w:rPr>
          <w:rFonts w:ascii="Arial" w:hAnsi="Arial"/>
          <w:i/>
          <w:color w:val="231F20"/>
          <w:sz w:val="12"/>
        </w:rPr>
        <w:t>Stress,</w:t>
      </w:r>
      <w:r>
        <w:rPr>
          <w:rFonts w:ascii="Arial" w:hAnsi="Arial"/>
          <w:i/>
          <w:color w:val="231F20"/>
          <w:spacing w:val="-5"/>
          <w:sz w:val="12"/>
        </w:rPr>
        <w:t> </w:t>
      </w:r>
      <w:r>
        <w:rPr>
          <w:rFonts w:ascii="Arial" w:hAnsi="Arial"/>
          <w:i/>
          <w:color w:val="231F20"/>
          <w:sz w:val="12"/>
        </w:rPr>
        <w:t>santé</w:t>
      </w:r>
      <w:r>
        <w:rPr>
          <w:rFonts w:ascii="Arial" w:hAnsi="Arial"/>
          <w:i/>
          <w:color w:val="231F20"/>
          <w:spacing w:val="-5"/>
          <w:sz w:val="12"/>
        </w:rPr>
        <w:t> </w:t>
      </w:r>
      <w:r>
        <w:rPr>
          <w:rFonts w:ascii="Arial" w:hAnsi="Arial"/>
          <w:i/>
          <w:color w:val="231F20"/>
          <w:sz w:val="12"/>
        </w:rPr>
        <w:t>et</w:t>
      </w:r>
      <w:r>
        <w:rPr>
          <w:rFonts w:ascii="Arial" w:hAnsi="Arial"/>
          <w:i/>
          <w:color w:val="231F20"/>
          <w:spacing w:val="-5"/>
          <w:sz w:val="12"/>
        </w:rPr>
        <w:t> </w:t>
      </w:r>
      <w:r>
        <w:rPr>
          <w:rFonts w:ascii="Arial" w:hAnsi="Arial"/>
          <w:i/>
          <w:color w:val="231F20"/>
          <w:sz w:val="12"/>
        </w:rPr>
        <w:t>rendement</w:t>
      </w:r>
      <w:r>
        <w:rPr>
          <w:rFonts w:ascii="Arial" w:hAnsi="Arial"/>
          <w:i/>
          <w:color w:val="231F20"/>
          <w:spacing w:val="-5"/>
          <w:sz w:val="12"/>
        </w:rPr>
        <w:t> </w:t>
      </w:r>
      <w:r>
        <w:rPr>
          <w:rFonts w:ascii="Arial" w:hAnsi="Arial"/>
          <w:i/>
          <w:color w:val="231F20"/>
          <w:sz w:val="12"/>
        </w:rPr>
        <w:t>au</w:t>
      </w:r>
      <w:r>
        <w:rPr>
          <w:rFonts w:ascii="Arial" w:hAnsi="Arial"/>
          <w:i/>
          <w:color w:val="231F20"/>
          <w:spacing w:val="-5"/>
          <w:sz w:val="12"/>
        </w:rPr>
        <w:t> </w:t>
      </w:r>
      <w:r>
        <w:rPr>
          <w:rFonts w:ascii="Arial" w:hAnsi="Arial"/>
          <w:i/>
          <w:color w:val="231F20"/>
          <w:sz w:val="12"/>
        </w:rPr>
        <w:t>travail</w:t>
      </w:r>
      <w:r>
        <w:rPr>
          <w:rFonts w:ascii="Arial" w:hAnsi="Arial"/>
          <w:i/>
          <w:color w:val="231F20"/>
          <w:spacing w:val="-5"/>
          <w:sz w:val="12"/>
        </w:rPr>
        <w:t> </w:t>
      </w:r>
      <w:r>
        <w:rPr>
          <w:rFonts w:ascii="Arial" w:hAnsi="Arial"/>
          <w:color w:val="231F20"/>
          <w:sz w:val="12"/>
        </w:rPr>
        <w:t>(préface</w:t>
      </w:r>
      <w:r>
        <w:rPr>
          <w:rFonts w:ascii="Arial" w:hAnsi="Arial"/>
          <w:color w:val="231F20"/>
          <w:spacing w:val="-5"/>
          <w:sz w:val="12"/>
        </w:rPr>
        <w:t> </w:t>
      </w:r>
      <w:r>
        <w:rPr>
          <w:rFonts w:ascii="Arial" w:hAnsi="Arial"/>
          <w:color w:val="231F20"/>
          <w:sz w:val="12"/>
        </w:rPr>
        <w:t>de</w:t>
      </w:r>
      <w:r>
        <w:rPr>
          <w:rFonts w:ascii="Arial" w:hAnsi="Arial"/>
          <w:color w:val="231F20"/>
          <w:spacing w:val="-5"/>
          <w:sz w:val="12"/>
        </w:rPr>
        <w:t> </w:t>
      </w:r>
      <w:r>
        <w:rPr>
          <w:rFonts w:ascii="Arial" w:hAnsi="Arial"/>
          <w:color w:val="231F20"/>
          <w:sz w:val="12"/>
        </w:rPr>
        <w:t>Hans</w:t>
      </w:r>
      <w:r>
        <w:rPr>
          <w:rFonts w:ascii="Arial" w:hAnsi="Arial"/>
          <w:color w:val="231F20"/>
          <w:spacing w:val="-5"/>
          <w:sz w:val="12"/>
        </w:rPr>
        <w:t> </w:t>
      </w:r>
      <w:r>
        <w:rPr>
          <w:rFonts w:ascii="Arial" w:hAnsi="Arial"/>
          <w:color w:val="231F20"/>
          <w:sz w:val="12"/>
        </w:rPr>
        <w:t>Selye),</w:t>
      </w:r>
      <w:r>
        <w:rPr>
          <w:rFonts w:ascii="Arial" w:hAnsi="Arial"/>
          <w:color w:val="231F20"/>
          <w:spacing w:val="-5"/>
          <w:sz w:val="12"/>
        </w:rPr>
        <w:t> </w:t>
      </w:r>
      <w:r>
        <w:rPr>
          <w:rFonts w:ascii="Arial" w:hAnsi="Arial"/>
          <w:color w:val="231F20"/>
          <w:sz w:val="12"/>
        </w:rPr>
        <w:t>Montréal,</w:t>
      </w:r>
      <w:r>
        <w:rPr>
          <w:rFonts w:ascii="Arial" w:hAnsi="Arial"/>
          <w:color w:val="231F20"/>
          <w:spacing w:val="40"/>
          <w:w w:val="105"/>
          <w:sz w:val="12"/>
        </w:rPr>
        <w:t> </w:t>
      </w:r>
      <w:r>
        <w:rPr>
          <w:rFonts w:ascii="Arial" w:hAnsi="Arial"/>
          <w:color w:val="231F20"/>
          <w:w w:val="105"/>
          <w:sz w:val="12"/>
        </w:rPr>
        <w:t>Monographie</w:t>
      </w:r>
      <w:r>
        <w:rPr>
          <w:rFonts w:ascii="Arial" w:hAnsi="Arial"/>
          <w:color w:val="231F20"/>
          <w:spacing w:val="-8"/>
          <w:w w:val="105"/>
          <w:sz w:val="12"/>
        </w:rPr>
        <w:t> </w:t>
      </w:r>
      <w:r>
        <w:rPr>
          <w:rFonts w:ascii="Arial" w:hAnsi="Arial"/>
          <w:color w:val="231F20"/>
          <w:w w:val="105"/>
          <w:sz w:val="12"/>
        </w:rPr>
        <w:t>n</w:t>
      </w:r>
      <w:r>
        <w:rPr>
          <w:rFonts w:ascii="Arial" w:hAnsi="Arial"/>
          <w:color w:val="231F20"/>
          <w:w w:val="105"/>
          <w:position w:val="4"/>
          <w:sz w:val="7"/>
        </w:rPr>
        <w:t>o</w:t>
      </w:r>
      <w:r>
        <w:rPr>
          <w:rFonts w:ascii="Arial" w:hAnsi="Arial"/>
          <w:color w:val="231F20"/>
          <w:spacing w:val="7"/>
          <w:w w:val="105"/>
          <w:position w:val="4"/>
          <w:sz w:val="7"/>
        </w:rPr>
        <w:t> </w:t>
      </w:r>
      <w:r>
        <w:rPr>
          <w:rFonts w:ascii="Arial" w:hAnsi="Arial"/>
          <w:color w:val="231F20"/>
          <w:w w:val="105"/>
          <w:sz w:val="12"/>
        </w:rPr>
        <w:t>5,</w:t>
      </w:r>
      <w:r>
        <w:rPr>
          <w:rFonts w:ascii="Arial" w:hAnsi="Arial"/>
          <w:color w:val="231F20"/>
          <w:spacing w:val="-8"/>
          <w:w w:val="105"/>
          <w:sz w:val="12"/>
        </w:rPr>
        <w:t> </w:t>
      </w:r>
      <w:r>
        <w:rPr>
          <w:rFonts w:ascii="Arial" w:hAnsi="Arial"/>
          <w:color w:val="231F20"/>
          <w:w w:val="105"/>
          <w:sz w:val="12"/>
        </w:rPr>
        <w:t>École</w:t>
      </w:r>
      <w:r>
        <w:rPr>
          <w:rFonts w:ascii="Arial" w:hAnsi="Arial"/>
          <w:color w:val="231F20"/>
          <w:spacing w:val="-8"/>
          <w:w w:val="105"/>
          <w:sz w:val="12"/>
        </w:rPr>
        <w:t> </w:t>
      </w:r>
      <w:r>
        <w:rPr>
          <w:rFonts w:ascii="Arial" w:hAnsi="Arial"/>
          <w:color w:val="231F20"/>
          <w:w w:val="105"/>
          <w:sz w:val="12"/>
        </w:rPr>
        <w:t>de</w:t>
      </w:r>
      <w:r>
        <w:rPr>
          <w:rFonts w:ascii="Arial" w:hAnsi="Arial"/>
          <w:color w:val="231F20"/>
          <w:spacing w:val="-8"/>
          <w:w w:val="105"/>
          <w:sz w:val="12"/>
        </w:rPr>
        <w:t> </w:t>
      </w:r>
      <w:r>
        <w:rPr>
          <w:rFonts w:ascii="Arial" w:hAnsi="Arial"/>
          <w:color w:val="231F20"/>
          <w:w w:val="105"/>
          <w:sz w:val="12"/>
        </w:rPr>
        <w:t>relations</w:t>
      </w:r>
      <w:r>
        <w:rPr>
          <w:rFonts w:ascii="Arial" w:hAnsi="Arial"/>
          <w:color w:val="231F20"/>
          <w:spacing w:val="-8"/>
          <w:w w:val="105"/>
          <w:sz w:val="12"/>
        </w:rPr>
        <w:t> </w:t>
      </w:r>
      <w:r>
        <w:rPr>
          <w:rFonts w:ascii="Arial" w:hAnsi="Arial"/>
          <w:color w:val="231F20"/>
          <w:w w:val="105"/>
          <w:sz w:val="12"/>
        </w:rPr>
        <w:t>industrielles,</w:t>
      </w:r>
      <w:r>
        <w:rPr>
          <w:rFonts w:ascii="Arial" w:hAnsi="Arial"/>
          <w:color w:val="231F20"/>
          <w:spacing w:val="-8"/>
          <w:w w:val="105"/>
          <w:sz w:val="12"/>
        </w:rPr>
        <w:t> </w:t>
      </w:r>
      <w:r>
        <w:rPr>
          <w:rFonts w:ascii="Arial" w:hAnsi="Arial"/>
          <w:color w:val="231F20"/>
          <w:w w:val="105"/>
          <w:sz w:val="12"/>
        </w:rPr>
        <w:t>Université</w:t>
      </w:r>
      <w:r>
        <w:rPr>
          <w:rFonts w:ascii="Arial" w:hAnsi="Arial"/>
          <w:color w:val="231F20"/>
          <w:spacing w:val="-8"/>
          <w:w w:val="105"/>
          <w:sz w:val="12"/>
        </w:rPr>
        <w:t> </w:t>
      </w:r>
      <w:r>
        <w:rPr>
          <w:rFonts w:ascii="Arial" w:hAnsi="Arial"/>
          <w:color w:val="231F20"/>
          <w:w w:val="105"/>
          <w:sz w:val="12"/>
        </w:rPr>
        <w:t>de</w:t>
      </w:r>
      <w:r>
        <w:rPr>
          <w:rFonts w:ascii="Arial" w:hAnsi="Arial"/>
          <w:color w:val="231F20"/>
          <w:spacing w:val="-8"/>
          <w:w w:val="105"/>
          <w:sz w:val="12"/>
        </w:rPr>
        <w:t> </w:t>
      </w:r>
      <w:r>
        <w:rPr>
          <w:rFonts w:ascii="Arial" w:hAnsi="Arial"/>
          <w:color w:val="231F20"/>
          <w:w w:val="105"/>
          <w:sz w:val="12"/>
        </w:rPr>
        <w:t>Montréal.</w:t>
      </w:r>
    </w:p>
    <w:p>
      <w:pPr>
        <w:spacing w:after="0" w:line="295" w:lineRule="auto"/>
        <w:jc w:val="left"/>
        <w:rPr>
          <w:rFonts w:ascii="Arial" w:hAnsi="Arial"/>
          <w:sz w:val="12"/>
        </w:rPr>
        <w:sectPr>
          <w:footerReference w:type="default" r:id="rId32"/>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790" w:right="635"/>
        <w:jc w:val="both"/>
      </w:pPr>
      <w:r>
        <w:rPr>
          <w:color w:val="231F20"/>
          <w:w w:val="120"/>
        </w:rPr>
        <w:t>façon, au cours de ses années de formation aux cycles supérieurs, ces </w:t>
      </w:r>
      <w:r>
        <w:rPr>
          <w:color w:val="231F20"/>
          <w:spacing w:val="-2"/>
          <w:w w:val="120"/>
        </w:rPr>
        <w:t>personnes</w:t>
      </w:r>
      <w:r>
        <w:rPr>
          <w:color w:val="231F20"/>
          <w:spacing w:val="-7"/>
          <w:w w:val="120"/>
        </w:rPr>
        <w:t> </w:t>
      </w:r>
      <w:r>
        <w:rPr>
          <w:color w:val="231F20"/>
          <w:spacing w:val="-2"/>
          <w:w w:val="120"/>
        </w:rPr>
        <w:t>lui</w:t>
      </w:r>
      <w:r>
        <w:rPr>
          <w:color w:val="231F20"/>
          <w:spacing w:val="-7"/>
          <w:w w:val="120"/>
        </w:rPr>
        <w:t> </w:t>
      </w:r>
      <w:r>
        <w:rPr>
          <w:color w:val="231F20"/>
          <w:spacing w:val="-2"/>
          <w:w w:val="120"/>
        </w:rPr>
        <w:t>ont</w:t>
      </w:r>
      <w:r>
        <w:rPr>
          <w:color w:val="231F20"/>
          <w:spacing w:val="-7"/>
          <w:w w:val="120"/>
        </w:rPr>
        <w:t> </w:t>
      </w:r>
      <w:r>
        <w:rPr>
          <w:color w:val="231F20"/>
          <w:spacing w:val="-2"/>
          <w:w w:val="120"/>
        </w:rPr>
        <w:t>offert</w:t>
      </w:r>
      <w:r>
        <w:rPr>
          <w:color w:val="231F20"/>
          <w:spacing w:val="-7"/>
          <w:w w:val="120"/>
        </w:rPr>
        <w:t> </w:t>
      </w:r>
      <w:r>
        <w:rPr>
          <w:color w:val="231F20"/>
          <w:spacing w:val="-2"/>
          <w:w w:val="120"/>
        </w:rPr>
        <w:t>les</w:t>
      </w:r>
      <w:r>
        <w:rPr>
          <w:color w:val="231F20"/>
          <w:spacing w:val="-7"/>
          <w:w w:val="120"/>
        </w:rPr>
        <w:t> </w:t>
      </w:r>
      <w:r>
        <w:rPr>
          <w:color w:val="231F20"/>
          <w:spacing w:val="-2"/>
          <w:w w:val="120"/>
        </w:rPr>
        <w:t>conseils</w:t>
      </w:r>
      <w:r>
        <w:rPr>
          <w:color w:val="231F20"/>
          <w:spacing w:val="-7"/>
          <w:w w:val="120"/>
        </w:rPr>
        <w:t> </w:t>
      </w:r>
      <w:r>
        <w:rPr>
          <w:color w:val="231F20"/>
          <w:spacing w:val="-2"/>
          <w:w w:val="120"/>
        </w:rPr>
        <w:t>et</w:t>
      </w:r>
      <w:r>
        <w:rPr>
          <w:color w:val="231F20"/>
          <w:spacing w:val="-7"/>
          <w:w w:val="120"/>
        </w:rPr>
        <w:t> </w:t>
      </w:r>
      <w:r>
        <w:rPr>
          <w:color w:val="231F20"/>
          <w:spacing w:val="-2"/>
          <w:w w:val="120"/>
        </w:rPr>
        <w:t>la</w:t>
      </w:r>
      <w:r>
        <w:rPr>
          <w:color w:val="231F20"/>
          <w:spacing w:val="-7"/>
          <w:w w:val="120"/>
        </w:rPr>
        <w:t> </w:t>
      </w:r>
      <w:r>
        <w:rPr>
          <w:color w:val="231F20"/>
          <w:spacing w:val="-2"/>
          <w:w w:val="120"/>
        </w:rPr>
        <w:t>latitude</w:t>
      </w:r>
      <w:r>
        <w:rPr>
          <w:color w:val="231F20"/>
          <w:spacing w:val="-7"/>
          <w:w w:val="120"/>
        </w:rPr>
        <w:t> </w:t>
      </w:r>
      <w:r>
        <w:rPr>
          <w:color w:val="231F20"/>
          <w:spacing w:val="-2"/>
          <w:w w:val="120"/>
        </w:rPr>
        <w:t>nécessaires</w:t>
      </w:r>
      <w:r>
        <w:rPr>
          <w:color w:val="231F20"/>
          <w:spacing w:val="-7"/>
          <w:w w:val="120"/>
        </w:rPr>
        <w:t> </w:t>
      </w:r>
      <w:r>
        <w:rPr>
          <w:color w:val="231F20"/>
          <w:spacing w:val="-2"/>
          <w:w w:val="120"/>
        </w:rPr>
        <w:t>au</w:t>
      </w:r>
      <w:r>
        <w:rPr>
          <w:color w:val="231F20"/>
          <w:spacing w:val="-7"/>
          <w:w w:val="120"/>
        </w:rPr>
        <w:t> </w:t>
      </w:r>
      <w:r>
        <w:rPr>
          <w:color w:val="231F20"/>
          <w:spacing w:val="-2"/>
          <w:w w:val="120"/>
        </w:rPr>
        <w:t>dévelop- </w:t>
      </w:r>
      <w:r>
        <w:rPr>
          <w:color w:val="231F20"/>
          <w:w w:val="120"/>
        </w:rPr>
        <w:t>pement</w:t>
      </w:r>
      <w:r>
        <w:rPr>
          <w:color w:val="231F20"/>
          <w:spacing w:val="-7"/>
          <w:w w:val="120"/>
        </w:rPr>
        <w:t> </w:t>
      </w:r>
      <w:r>
        <w:rPr>
          <w:color w:val="231F20"/>
          <w:w w:val="120"/>
        </w:rPr>
        <w:t>de</w:t>
      </w:r>
      <w:r>
        <w:rPr>
          <w:color w:val="231F20"/>
          <w:spacing w:val="-7"/>
          <w:w w:val="120"/>
        </w:rPr>
        <w:t> </w:t>
      </w:r>
      <w:r>
        <w:rPr>
          <w:color w:val="231F20"/>
          <w:w w:val="120"/>
        </w:rPr>
        <w:t>ses</w:t>
      </w:r>
      <w:r>
        <w:rPr>
          <w:color w:val="231F20"/>
          <w:spacing w:val="-7"/>
          <w:w w:val="120"/>
        </w:rPr>
        <w:t> </w:t>
      </w:r>
      <w:r>
        <w:rPr>
          <w:color w:val="231F20"/>
          <w:w w:val="120"/>
        </w:rPr>
        <w:t>habiletés</w:t>
      </w:r>
      <w:r>
        <w:rPr>
          <w:color w:val="231F20"/>
          <w:spacing w:val="-7"/>
          <w:w w:val="120"/>
        </w:rPr>
        <w:t> </w:t>
      </w:r>
      <w:r>
        <w:rPr>
          <w:color w:val="231F20"/>
          <w:w w:val="120"/>
        </w:rPr>
        <w:t>en</w:t>
      </w:r>
      <w:r>
        <w:rPr>
          <w:color w:val="231F20"/>
          <w:spacing w:val="-7"/>
          <w:w w:val="120"/>
        </w:rPr>
        <w:t> </w:t>
      </w:r>
      <w:r>
        <w:rPr>
          <w:color w:val="231F20"/>
          <w:w w:val="120"/>
        </w:rPr>
        <w:t>recherche</w:t>
      </w:r>
      <w:r>
        <w:rPr>
          <w:color w:val="231F20"/>
          <w:spacing w:val="-7"/>
          <w:w w:val="120"/>
        </w:rPr>
        <w:t> </w:t>
      </w:r>
      <w:r>
        <w:rPr>
          <w:color w:val="231F20"/>
          <w:w w:val="120"/>
        </w:rPr>
        <w:t>et</w:t>
      </w:r>
      <w:r>
        <w:rPr>
          <w:color w:val="231F20"/>
          <w:spacing w:val="-7"/>
          <w:w w:val="120"/>
        </w:rPr>
        <w:t> </w:t>
      </w:r>
      <w:r>
        <w:rPr>
          <w:color w:val="231F20"/>
          <w:w w:val="120"/>
        </w:rPr>
        <w:t>ont</w:t>
      </w:r>
      <w:r>
        <w:rPr>
          <w:color w:val="231F20"/>
          <w:spacing w:val="-7"/>
          <w:w w:val="120"/>
        </w:rPr>
        <w:t> </w:t>
      </w:r>
      <w:r>
        <w:rPr>
          <w:color w:val="231F20"/>
          <w:w w:val="120"/>
        </w:rPr>
        <w:t>été</w:t>
      </w:r>
      <w:r>
        <w:rPr>
          <w:color w:val="231F20"/>
          <w:spacing w:val="-7"/>
          <w:w w:val="120"/>
        </w:rPr>
        <w:t> </w:t>
      </w:r>
      <w:r>
        <w:rPr>
          <w:color w:val="231F20"/>
          <w:w w:val="120"/>
        </w:rPr>
        <w:t>des</w:t>
      </w:r>
      <w:r>
        <w:rPr>
          <w:color w:val="231F20"/>
          <w:spacing w:val="-7"/>
          <w:w w:val="120"/>
        </w:rPr>
        <w:t> </w:t>
      </w:r>
      <w:r>
        <w:rPr>
          <w:color w:val="231F20"/>
          <w:w w:val="120"/>
        </w:rPr>
        <w:t>modèles</w:t>
      </w:r>
      <w:r>
        <w:rPr>
          <w:color w:val="231F20"/>
          <w:spacing w:val="-7"/>
          <w:w w:val="120"/>
        </w:rPr>
        <w:t> </w:t>
      </w:r>
      <w:r>
        <w:rPr>
          <w:color w:val="231F20"/>
          <w:w w:val="120"/>
        </w:rPr>
        <w:t>de</w:t>
      </w:r>
      <w:r>
        <w:rPr>
          <w:color w:val="231F20"/>
          <w:spacing w:val="-7"/>
          <w:w w:val="120"/>
        </w:rPr>
        <w:t> </w:t>
      </w:r>
      <w:r>
        <w:rPr>
          <w:color w:val="231F20"/>
          <w:w w:val="120"/>
        </w:rPr>
        <w:t>rigueur, d’intégrité</w:t>
      </w:r>
      <w:r>
        <w:rPr>
          <w:color w:val="231F20"/>
          <w:spacing w:val="-4"/>
          <w:w w:val="120"/>
        </w:rPr>
        <w:t> </w:t>
      </w:r>
      <w:r>
        <w:rPr>
          <w:color w:val="231F20"/>
          <w:w w:val="120"/>
        </w:rPr>
        <w:t>et</w:t>
      </w:r>
      <w:r>
        <w:rPr>
          <w:color w:val="231F20"/>
          <w:spacing w:val="-4"/>
          <w:w w:val="120"/>
        </w:rPr>
        <w:t> </w:t>
      </w:r>
      <w:r>
        <w:rPr>
          <w:color w:val="231F20"/>
          <w:w w:val="120"/>
        </w:rPr>
        <w:t>d’innovation</w:t>
      </w:r>
      <w:r>
        <w:rPr>
          <w:color w:val="231F20"/>
          <w:spacing w:val="-4"/>
          <w:w w:val="120"/>
        </w:rPr>
        <w:t> </w:t>
      </w:r>
      <w:r>
        <w:rPr>
          <w:color w:val="231F20"/>
          <w:w w:val="120"/>
        </w:rPr>
        <w:t>qui</w:t>
      </w:r>
      <w:r>
        <w:rPr>
          <w:color w:val="231F20"/>
          <w:spacing w:val="-4"/>
          <w:w w:val="120"/>
        </w:rPr>
        <w:t> </w:t>
      </w:r>
      <w:r>
        <w:rPr>
          <w:color w:val="231F20"/>
          <w:w w:val="120"/>
        </w:rPr>
        <w:t>l’ont</w:t>
      </w:r>
      <w:r>
        <w:rPr>
          <w:color w:val="231F20"/>
          <w:spacing w:val="-4"/>
          <w:w w:val="120"/>
        </w:rPr>
        <w:t> </w:t>
      </w:r>
      <w:r>
        <w:rPr>
          <w:color w:val="231F20"/>
          <w:w w:val="120"/>
        </w:rPr>
        <w:t>grandement</w:t>
      </w:r>
      <w:r>
        <w:rPr>
          <w:color w:val="231F20"/>
          <w:spacing w:val="-4"/>
          <w:w w:val="120"/>
        </w:rPr>
        <w:t> </w:t>
      </w:r>
      <w:r>
        <w:rPr>
          <w:color w:val="231F20"/>
          <w:w w:val="120"/>
        </w:rPr>
        <w:t>inspiré.</w:t>
      </w:r>
      <w:r>
        <w:rPr>
          <w:color w:val="231F20"/>
          <w:spacing w:val="-4"/>
          <w:w w:val="120"/>
        </w:rPr>
        <w:t> </w:t>
      </w:r>
      <w:r>
        <w:rPr>
          <w:color w:val="231F20"/>
          <w:w w:val="120"/>
        </w:rPr>
        <w:t>Il</w:t>
      </w:r>
      <w:r>
        <w:rPr>
          <w:color w:val="231F20"/>
          <w:spacing w:val="-4"/>
          <w:w w:val="120"/>
        </w:rPr>
        <w:t> </w:t>
      </w:r>
      <w:r>
        <w:rPr>
          <w:color w:val="231F20"/>
          <w:w w:val="120"/>
        </w:rPr>
        <w:t>tient</w:t>
      </w:r>
      <w:r>
        <w:rPr>
          <w:color w:val="231F20"/>
          <w:spacing w:val="-4"/>
          <w:w w:val="120"/>
        </w:rPr>
        <w:t> </w:t>
      </w:r>
      <w:r>
        <w:rPr>
          <w:color w:val="231F20"/>
          <w:w w:val="120"/>
        </w:rPr>
        <w:t>aussi</w:t>
      </w:r>
      <w:r>
        <w:rPr>
          <w:color w:val="231F20"/>
          <w:spacing w:val="-4"/>
          <w:w w:val="120"/>
        </w:rPr>
        <w:t> </w:t>
      </w:r>
      <w:r>
        <w:rPr>
          <w:color w:val="231F20"/>
          <w:w w:val="120"/>
        </w:rPr>
        <w:t>à souligner l’apport de ses étudiants à la maîtrise et au doctorat des der- </w:t>
      </w:r>
      <w:r>
        <w:rPr>
          <w:color w:val="231F20"/>
          <w:spacing w:val="-2"/>
          <w:w w:val="120"/>
        </w:rPr>
        <w:t>nières</w:t>
      </w:r>
      <w:r>
        <w:rPr>
          <w:color w:val="231F20"/>
          <w:spacing w:val="-8"/>
          <w:w w:val="120"/>
        </w:rPr>
        <w:t> </w:t>
      </w:r>
      <w:r>
        <w:rPr>
          <w:color w:val="231F20"/>
          <w:spacing w:val="-2"/>
          <w:w w:val="120"/>
        </w:rPr>
        <w:t>années</w:t>
      </w:r>
      <w:r>
        <w:rPr>
          <w:color w:val="231F20"/>
          <w:spacing w:val="-8"/>
          <w:w w:val="120"/>
        </w:rPr>
        <w:t> </w:t>
      </w:r>
      <w:r>
        <w:rPr>
          <w:color w:val="231F20"/>
          <w:spacing w:val="-2"/>
          <w:w w:val="120"/>
        </w:rPr>
        <w:t>qui</w:t>
      </w:r>
      <w:r>
        <w:rPr>
          <w:color w:val="231F20"/>
          <w:spacing w:val="-8"/>
          <w:w w:val="120"/>
        </w:rPr>
        <w:t> </w:t>
      </w:r>
      <w:r>
        <w:rPr>
          <w:color w:val="231F20"/>
          <w:spacing w:val="-2"/>
          <w:w w:val="120"/>
        </w:rPr>
        <w:t>l’ont</w:t>
      </w:r>
      <w:r>
        <w:rPr>
          <w:color w:val="231F20"/>
          <w:spacing w:val="-8"/>
          <w:w w:val="120"/>
        </w:rPr>
        <w:t> </w:t>
      </w:r>
      <w:r>
        <w:rPr>
          <w:color w:val="231F20"/>
          <w:spacing w:val="-2"/>
          <w:w w:val="120"/>
        </w:rPr>
        <w:t>ponctuellement</w:t>
      </w:r>
      <w:r>
        <w:rPr>
          <w:color w:val="231F20"/>
          <w:spacing w:val="-8"/>
          <w:w w:val="120"/>
        </w:rPr>
        <w:t> </w:t>
      </w:r>
      <w:r>
        <w:rPr>
          <w:color w:val="231F20"/>
          <w:spacing w:val="-2"/>
          <w:w w:val="120"/>
        </w:rPr>
        <w:t>obligé</w:t>
      </w:r>
      <w:r>
        <w:rPr>
          <w:color w:val="231F20"/>
          <w:spacing w:val="-8"/>
          <w:w w:val="120"/>
        </w:rPr>
        <w:t> </w:t>
      </w:r>
      <w:r>
        <w:rPr>
          <w:color w:val="231F20"/>
          <w:spacing w:val="-2"/>
          <w:w w:val="120"/>
        </w:rPr>
        <w:t>à</w:t>
      </w:r>
      <w:r>
        <w:rPr>
          <w:color w:val="231F20"/>
          <w:spacing w:val="-8"/>
          <w:w w:val="120"/>
        </w:rPr>
        <w:t> </w:t>
      </w:r>
      <w:r>
        <w:rPr>
          <w:color w:val="231F20"/>
          <w:spacing w:val="-2"/>
          <w:w w:val="120"/>
        </w:rPr>
        <w:t>revoir</w:t>
      </w:r>
      <w:r>
        <w:rPr>
          <w:color w:val="231F20"/>
          <w:spacing w:val="-8"/>
          <w:w w:val="120"/>
        </w:rPr>
        <w:t> </w:t>
      </w:r>
      <w:r>
        <w:rPr>
          <w:color w:val="231F20"/>
          <w:spacing w:val="-2"/>
          <w:w w:val="120"/>
        </w:rPr>
        <w:t>ses</w:t>
      </w:r>
      <w:r>
        <w:rPr>
          <w:color w:val="231F20"/>
          <w:spacing w:val="-8"/>
          <w:w w:val="120"/>
        </w:rPr>
        <w:t> </w:t>
      </w:r>
      <w:r>
        <w:rPr>
          <w:color w:val="231F20"/>
          <w:spacing w:val="-2"/>
          <w:w w:val="120"/>
        </w:rPr>
        <w:t>conceptions</w:t>
      </w:r>
      <w:r>
        <w:rPr>
          <w:color w:val="231F20"/>
          <w:spacing w:val="-8"/>
          <w:w w:val="120"/>
        </w:rPr>
        <w:t> </w:t>
      </w:r>
      <w:r>
        <w:rPr>
          <w:color w:val="231F20"/>
          <w:spacing w:val="-2"/>
          <w:w w:val="120"/>
        </w:rPr>
        <w:t>et </w:t>
      </w:r>
      <w:r>
        <w:rPr>
          <w:color w:val="231F20"/>
          <w:w w:val="120"/>
        </w:rPr>
        <w:t>à reconsidérer ce qu’il tenait parfois pour acquis. Ces étudiants, qu’il considère</w:t>
      </w:r>
      <w:r>
        <w:rPr>
          <w:color w:val="231F20"/>
          <w:spacing w:val="-9"/>
          <w:w w:val="120"/>
        </w:rPr>
        <w:t> </w:t>
      </w:r>
      <w:r>
        <w:rPr>
          <w:color w:val="231F20"/>
          <w:w w:val="120"/>
        </w:rPr>
        <w:t>comme</w:t>
      </w:r>
      <w:r>
        <w:rPr>
          <w:color w:val="231F20"/>
          <w:spacing w:val="-9"/>
          <w:w w:val="120"/>
        </w:rPr>
        <w:t> </w:t>
      </w:r>
      <w:r>
        <w:rPr>
          <w:color w:val="231F20"/>
          <w:w w:val="120"/>
        </w:rPr>
        <w:t>autant</w:t>
      </w:r>
      <w:r>
        <w:rPr>
          <w:color w:val="231F20"/>
          <w:spacing w:val="-9"/>
          <w:w w:val="120"/>
        </w:rPr>
        <w:t> </w:t>
      </w:r>
      <w:r>
        <w:rPr>
          <w:color w:val="231F20"/>
          <w:w w:val="120"/>
        </w:rPr>
        <w:t>de</w:t>
      </w:r>
      <w:r>
        <w:rPr>
          <w:color w:val="231F20"/>
          <w:spacing w:val="-9"/>
          <w:w w:val="120"/>
        </w:rPr>
        <w:t> </w:t>
      </w:r>
      <w:r>
        <w:rPr>
          <w:color w:val="231F20"/>
          <w:w w:val="120"/>
        </w:rPr>
        <w:t>collaborateurs,</w:t>
      </w:r>
      <w:r>
        <w:rPr>
          <w:color w:val="231F20"/>
          <w:spacing w:val="-9"/>
          <w:w w:val="120"/>
        </w:rPr>
        <w:t> </w:t>
      </w:r>
      <w:r>
        <w:rPr>
          <w:color w:val="231F20"/>
          <w:w w:val="120"/>
        </w:rPr>
        <w:t>sont</w:t>
      </w:r>
      <w:r>
        <w:rPr>
          <w:color w:val="231F20"/>
          <w:spacing w:val="-9"/>
          <w:w w:val="120"/>
        </w:rPr>
        <w:t> </w:t>
      </w:r>
      <w:r>
        <w:rPr>
          <w:color w:val="231F20"/>
          <w:w w:val="120"/>
        </w:rPr>
        <w:t>une</w:t>
      </w:r>
      <w:r>
        <w:rPr>
          <w:color w:val="231F20"/>
          <w:spacing w:val="-9"/>
          <w:w w:val="120"/>
        </w:rPr>
        <w:t> </w:t>
      </w:r>
      <w:r>
        <w:rPr>
          <w:color w:val="231F20"/>
          <w:w w:val="120"/>
        </w:rPr>
        <w:t>source</w:t>
      </w:r>
      <w:r>
        <w:rPr>
          <w:color w:val="231F20"/>
          <w:spacing w:val="-9"/>
          <w:w w:val="120"/>
        </w:rPr>
        <w:t> </w:t>
      </w:r>
      <w:r>
        <w:rPr>
          <w:color w:val="231F20"/>
          <w:w w:val="120"/>
        </w:rPr>
        <w:t>inépuisable de curiosité et de dépassement.</w:t>
      </w:r>
    </w:p>
    <w:p>
      <w:pPr>
        <w:pStyle w:val="BodyText"/>
        <w:spacing w:line="307" w:lineRule="auto" w:before="78"/>
        <w:ind w:left="790" w:right="638" w:firstLine="250"/>
        <w:jc w:val="both"/>
      </w:pPr>
      <w:r>
        <w:rPr>
          <w:color w:val="231F20"/>
          <w:w w:val="115"/>
        </w:rPr>
        <w:t>Puisse la passion de satisfaire sa curiosité intellectuelle vivre à jamais </w:t>
      </w:r>
      <w:r>
        <w:rPr>
          <w:color w:val="231F20"/>
          <w:w w:val="120"/>
        </w:rPr>
        <w:t>et ses bienfaits pour l’humanité triompher!</w:t>
      </w:r>
    </w:p>
    <w:p>
      <w:pPr>
        <w:pStyle w:val="BodyText"/>
        <w:rPr>
          <w:sz w:val="20"/>
        </w:rPr>
      </w:pPr>
    </w:p>
    <w:p>
      <w:pPr>
        <w:pStyle w:val="BodyText"/>
        <w:spacing w:before="2"/>
        <w:rPr>
          <w:sz w:val="13"/>
        </w:rPr>
      </w:pPr>
      <w:r>
        <w:rPr/>
        <w:pict>
          <v:shape style="position:absolute;margin-left:62.5pt;margin-top:8.784131pt;width:87.5pt;height:.1pt;mso-position-horizontal-relative:page;mso-position-vertical-relative:paragraph;z-index:-15721472;mso-wrap-distance-left:0;mso-wrap-distance-right:0" id="docshape33" coordorigin="1250,176" coordsize="1750,0" path="m1250,176l3000,176e" filled="false" stroked="true" strokeweight=".25pt" strokecolor="#231f20">
            <v:path arrowok="t"/>
            <v:stroke dashstyle="solid"/>
            <w10:wrap type="topAndBottom"/>
          </v:shape>
        </w:pict>
      </w:r>
    </w:p>
    <w:p>
      <w:pPr>
        <w:pStyle w:val="BodyText"/>
        <w:spacing w:before="8"/>
        <w:rPr>
          <w:sz w:val="29"/>
        </w:rPr>
      </w:pPr>
    </w:p>
    <w:p>
      <w:pPr>
        <w:spacing w:line="307" w:lineRule="auto" w:before="0"/>
        <w:ind w:left="790" w:right="5096" w:firstLine="0"/>
        <w:jc w:val="left"/>
        <w:rPr>
          <w:i/>
          <w:sz w:val="17"/>
        </w:rPr>
      </w:pPr>
      <w:r>
        <w:rPr>
          <w:i/>
          <w:color w:val="231F20"/>
          <w:w w:val="115"/>
          <w:sz w:val="17"/>
        </w:rPr>
        <w:t>Simon L. Dolan Eric</w:t>
      </w:r>
      <w:r>
        <w:rPr>
          <w:i/>
          <w:color w:val="231F20"/>
          <w:spacing w:val="-13"/>
          <w:w w:val="115"/>
          <w:sz w:val="17"/>
        </w:rPr>
        <w:t> </w:t>
      </w:r>
      <w:r>
        <w:rPr>
          <w:i/>
          <w:color w:val="231F20"/>
          <w:w w:val="115"/>
          <w:sz w:val="17"/>
        </w:rPr>
        <w:t>Gosselin André</w:t>
      </w:r>
      <w:r>
        <w:rPr>
          <w:i/>
          <w:color w:val="231F20"/>
          <w:spacing w:val="-13"/>
          <w:w w:val="115"/>
          <w:sz w:val="17"/>
        </w:rPr>
        <w:t> </w:t>
      </w:r>
      <w:r>
        <w:rPr>
          <w:i/>
          <w:color w:val="231F20"/>
          <w:w w:val="115"/>
          <w:sz w:val="17"/>
        </w:rPr>
        <w:t>Arsenault</w:t>
      </w:r>
    </w:p>
    <w:p>
      <w:pPr>
        <w:spacing w:after="0" w:line="307" w:lineRule="auto"/>
        <w:jc w:val="left"/>
        <w:rPr>
          <w:sz w:val="17"/>
        </w:rPr>
        <w:sectPr>
          <w:footerReference w:type="default" r:id="rId33"/>
          <w:pgSz w:w="8640" w:h="12960"/>
          <w:pgMar w:footer="424" w:header="0" w:top="520" w:bottom="620" w:left="460" w:right="1000"/>
        </w:sectPr>
      </w:pPr>
    </w:p>
    <w:p>
      <w:pPr>
        <w:pStyle w:val="BodyText"/>
        <w:rPr>
          <w:i/>
          <w:sz w:val="18"/>
        </w:rPr>
      </w:pPr>
    </w:p>
    <w:p>
      <w:pPr>
        <w:spacing w:before="144"/>
        <w:ind w:left="930" w:right="0" w:firstLine="0"/>
        <w:jc w:val="center"/>
        <w:rPr>
          <w:rFonts w:ascii="Arial"/>
          <w:i/>
          <w:sz w:val="19"/>
        </w:rPr>
      </w:pPr>
      <w:bookmarkStart w:name="Chapitre 1 /" w:id="11"/>
      <w:bookmarkEnd w:id="11"/>
      <w:r>
        <w:rPr/>
      </w:r>
      <w:bookmarkStart w:name="Stress, santé et travail : vue d’ensembl" w:id="12"/>
      <w:bookmarkEnd w:id="12"/>
      <w:r>
        <w:rPr/>
      </w:r>
      <w:bookmarkStart w:name=" 1.1 / Peut-on concilier performance et " w:id="13"/>
      <w:bookmarkEnd w:id="13"/>
      <w:r>
        <w:rPr/>
      </w:r>
      <w:bookmarkStart w:name="_bookmark5" w:id="14"/>
      <w:bookmarkEnd w:id="14"/>
      <w:r>
        <w:rPr/>
      </w:r>
      <w:r>
        <w:rPr>
          <w:rFonts w:ascii="Arial"/>
          <w:color w:val="231F20"/>
          <w:spacing w:val="12"/>
          <w:sz w:val="19"/>
        </w:rPr>
        <w:t>Chapitre</w:t>
      </w:r>
      <w:r>
        <w:rPr>
          <w:rFonts w:ascii="Arial"/>
          <w:color w:val="231F20"/>
          <w:spacing w:val="55"/>
          <w:sz w:val="19"/>
        </w:rPr>
        <w:t> </w:t>
      </w:r>
      <w:r>
        <w:rPr>
          <w:rFonts w:ascii="Arial"/>
          <w:color w:val="231F20"/>
          <w:sz w:val="19"/>
        </w:rPr>
        <w:t>1</w:t>
      </w:r>
      <w:r>
        <w:rPr>
          <w:rFonts w:ascii="Arial"/>
          <w:color w:val="231F20"/>
          <w:spacing w:val="37"/>
          <w:sz w:val="19"/>
        </w:rPr>
        <w:t> </w:t>
      </w:r>
      <w:r>
        <w:rPr>
          <w:rFonts w:ascii="Arial"/>
          <w:i/>
          <w:color w:val="231F20"/>
          <w:spacing w:val="-10"/>
          <w:sz w:val="19"/>
        </w:rPr>
        <w:t>/</w:t>
      </w:r>
    </w:p>
    <w:p>
      <w:pPr>
        <w:pStyle w:val="BodyText"/>
        <w:rPr>
          <w:rFonts w:ascii="Arial"/>
          <w:i/>
          <w:sz w:val="26"/>
        </w:rPr>
      </w:pPr>
    </w:p>
    <w:p>
      <w:pPr>
        <w:pStyle w:val="BodyText"/>
        <w:spacing w:before="3"/>
        <w:rPr>
          <w:rFonts w:ascii="Arial"/>
          <w:i/>
          <w:sz w:val="31"/>
        </w:rPr>
      </w:pPr>
    </w:p>
    <w:p>
      <w:pPr>
        <w:pStyle w:val="Heading1"/>
        <w:spacing w:line="237" w:lineRule="auto"/>
        <w:ind w:left="3026" w:right="1303" w:hanging="506"/>
      </w:pPr>
      <w:r>
        <w:rPr>
          <w:color w:val="231F20"/>
          <w:spacing w:val="-2"/>
          <w:w w:val="95"/>
        </w:rPr>
        <w:t>Stress,</w:t>
      </w:r>
      <w:r>
        <w:rPr>
          <w:color w:val="231F20"/>
          <w:spacing w:val="-37"/>
          <w:w w:val="95"/>
        </w:rPr>
        <w:t> </w:t>
      </w:r>
      <w:r>
        <w:rPr>
          <w:color w:val="231F20"/>
          <w:spacing w:val="-2"/>
          <w:w w:val="95"/>
        </w:rPr>
        <w:t>santé</w:t>
      </w:r>
      <w:r>
        <w:rPr>
          <w:color w:val="231F20"/>
          <w:spacing w:val="-36"/>
          <w:w w:val="95"/>
        </w:rPr>
        <w:t> </w:t>
      </w:r>
      <w:r>
        <w:rPr>
          <w:color w:val="231F20"/>
          <w:spacing w:val="-2"/>
          <w:w w:val="95"/>
        </w:rPr>
        <w:t>et</w:t>
      </w:r>
      <w:r>
        <w:rPr>
          <w:color w:val="231F20"/>
          <w:spacing w:val="-37"/>
          <w:w w:val="95"/>
        </w:rPr>
        <w:t> </w:t>
      </w:r>
      <w:r>
        <w:rPr>
          <w:color w:val="231F20"/>
          <w:spacing w:val="-2"/>
          <w:w w:val="95"/>
        </w:rPr>
        <w:t>travail: </w:t>
      </w:r>
      <w:r>
        <w:rPr>
          <w:color w:val="231F20"/>
        </w:rPr>
        <w:t>vue</w:t>
      </w:r>
      <w:r>
        <w:rPr>
          <w:color w:val="231F20"/>
          <w:spacing w:val="-31"/>
        </w:rPr>
        <w:t> </w:t>
      </w:r>
      <w:r>
        <w:rPr>
          <w:color w:val="231F20"/>
        </w:rPr>
        <w:t>d’ensemble</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3"/>
        </w:rPr>
      </w:pPr>
    </w:p>
    <w:p>
      <w:pPr>
        <w:spacing w:line="312" w:lineRule="auto" w:before="0"/>
        <w:ind w:left="1180" w:right="2556" w:firstLine="0"/>
        <w:jc w:val="left"/>
        <w:rPr>
          <w:rFonts w:ascii="Arial" w:hAnsi="Arial"/>
          <w:sz w:val="14"/>
        </w:rPr>
      </w:pPr>
      <w:r>
        <w:rPr>
          <w:rFonts w:ascii="Arial" w:hAnsi="Arial"/>
          <w:color w:val="231F20"/>
          <w:sz w:val="14"/>
        </w:rPr>
        <w:t>J’oublie</w:t>
      </w:r>
      <w:r>
        <w:rPr>
          <w:rFonts w:ascii="Arial" w:hAnsi="Arial"/>
          <w:color w:val="231F20"/>
          <w:spacing w:val="-7"/>
          <w:sz w:val="14"/>
        </w:rPr>
        <w:t> </w:t>
      </w:r>
      <w:r>
        <w:rPr>
          <w:rFonts w:ascii="Arial" w:hAnsi="Arial"/>
          <w:color w:val="231F20"/>
          <w:sz w:val="14"/>
        </w:rPr>
        <w:t>ce</w:t>
      </w:r>
      <w:r>
        <w:rPr>
          <w:rFonts w:ascii="Arial" w:hAnsi="Arial"/>
          <w:color w:val="231F20"/>
          <w:spacing w:val="-7"/>
          <w:sz w:val="14"/>
        </w:rPr>
        <w:t> </w:t>
      </w:r>
      <w:r>
        <w:rPr>
          <w:rFonts w:ascii="Arial" w:hAnsi="Arial"/>
          <w:color w:val="231F20"/>
          <w:sz w:val="14"/>
        </w:rPr>
        <w:t>que</w:t>
      </w:r>
      <w:r>
        <w:rPr>
          <w:rFonts w:ascii="Arial" w:hAnsi="Arial"/>
          <w:color w:val="231F20"/>
          <w:spacing w:val="-7"/>
          <w:sz w:val="14"/>
        </w:rPr>
        <w:t> </w:t>
      </w:r>
      <w:r>
        <w:rPr>
          <w:rFonts w:ascii="Arial" w:hAnsi="Arial"/>
          <w:color w:val="231F20"/>
          <w:sz w:val="14"/>
        </w:rPr>
        <w:t>j’entends,</w:t>
      </w:r>
      <w:r>
        <w:rPr>
          <w:rFonts w:ascii="Arial" w:hAnsi="Arial"/>
          <w:color w:val="231F20"/>
          <w:spacing w:val="-7"/>
          <w:sz w:val="14"/>
        </w:rPr>
        <w:t> </w:t>
      </w:r>
      <w:r>
        <w:rPr>
          <w:rFonts w:ascii="Arial" w:hAnsi="Arial"/>
          <w:color w:val="231F20"/>
          <w:sz w:val="14"/>
        </w:rPr>
        <w:t>je</w:t>
      </w:r>
      <w:r>
        <w:rPr>
          <w:rFonts w:ascii="Arial" w:hAnsi="Arial"/>
          <w:color w:val="231F20"/>
          <w:spacing w:val="-7"/>
          <w:sz w:val="14"/>
        </w:rPr>
        <w:t> </w:t>
      </w:r>
      <w:r>
        <w:rPr>
          <w:rFonts w:ascii="Arial" w:hAnsi="Arial"/>
          <w:color w:val="231F20"/>
          <w:sz w:val="14"/>
        </w:rPr>
        <w:t>me</w:t>
      </w:r>
      <w:r>
        <w:rPr>
          <w:rFonts w:ascii="Arial" w:hAnsi="Arial"/>
          <w:color w:val="231F20"/>
          <w:spacing w:val="-7"/>
          <w:sz w:val="14"/>
        </w:rPr>
        <w:t> </w:t>
      </w:r>
      <w:r>
        <w:rPr>
          <w:rFonts w:ascii="Arial" w:hAnsi="Arial"/>
          <w:color w:val="231F20"/>
          <w:sz w:val="14"/>
        </w:rPr>
        <w:t>rappelle</w:t>
      </w:r>
      <w:r>
        <w:rPr>
          <w:rFonts w:ascii="Arial" w:hAnsi="Arial"/>
          <w:color w:val="231F20"/>
          <w:spacing w:val="-7"/>
          <w:sz w:val="14"/>
        </w:rPr>
        <w:t> </w:t>
      </w:r>
      <w:r>
        <w:rPr>
          <w:rFonts w:ascii="Arial" w:hAnsi="Arial"/>
          <w:color w:val="231F20"/>
          <w:sz w:val="14"/>
        </w:rPr>
        <w:t>ce</w:t>
      </w:r>
      <w:r>
        <w:rPr>
          <w:rFonts w:ascii="Arial" w:hAnsi="Arial"/>
          <w:color w:val="231F20"/>
          <w:spacing w:val="-7"/>
          <w:sz w:val="14"/>
        </w:rPr>
        <w:t> </w:t>
      </w:r>
      <w:r>
        <w:rPr>
          <w:rFonts w:ascii="Arial" w:hAnsi="Arial"/>
          <w:color w:val="231F20"/>
          <w:sz w:val="14"/>
        </w:rPr>
        <w:t>que</w:t>
      </w:r>
      <w:r>
        <w:rPr>
          <w:rFonts w:ascii="Arial" w:hAnsi="Arial"/>
          <w:color w:val="231F20"/>
          <w:spacing w:val="-7"/>
          <w:sz w:val="14"/>
        </w:rPr>
        <w:t> </w:t>
      </w:r>
      <w:r>
        <w:rPr>
          <w:rFonts w:ascii="Arial" w:hAnsi="Arial"/>
          <w:color w:val="231F20"/>
          <w:sz w:val="14"/>
        </w:rPr>
        <w:t>je</w:t>
      </w:r>
      <w:r>
        <w:rPr>
          <w:rFonts w:ascii="Arial" w:hAnsi="Arial"/>
          <w:color w:val="231F20"/>
          <w:spacing w:val="-7"/>
          <w:sz w:val="14"/>
        </w:rPr>
        <w:t> </w:t>
      </w:r>
      <w:r>
        <w:rPr>
          <w:rFonts w:ascii="Arial" w:hAnsi="Arial"/>
          <w:color w:val="231F20"/>
          <w:sz w:val="14"/>
        </w:rPr>
        <w:t>vois,</w:t>
      </w:r>
      <w:r>
        <w:rPr>
          <w:rFonts w:ascii="Arial" w:hAnsi="Arial"/>
          <w:color w:val="231F20"/>
          <w:spacing w:val="40"/>
          <w:sz w:val="14"/>
        </w:rPr>
        <w:t> </w:t>
      </w:r>
      <w:r>
        <w:rPr>
          <w:rFonts w:ascii="Arial" w:hAnsi="Arial"/>
          <w:color w:val="231F20"/>
          <w:sz w:val="14"/>
        </w:rPr>
        <w:t>je comprends ce que je fais.</w:t>
      </w:r>
    </w:p>
    <w:p>
      <w:pPr>
        <w:spacing w:before="161"/>
        <w:ind w:left="1180" w:right="0" w:firstLine="0"/>
        <w:jc w:val="left"/>
        <w:rPr>
          <w:rFonts w:ascii="Arial"/>
          <w:sz w:val="14"/>
        </w:rPr>
      </w:pPr>
      <w:r>
        <w:rPr>
          <w:rFonts w:ascii="Arial"/>
          <w:color w:val="231F20"/>
          <w:spacing w:val="-2"/>
          <w:sz w:val="14"/>
        </w:rPr>
        <w:t>CONFUCIUS</w:t>
      </w:r>
    </w:p>
    <w:p>
      <w:pPr>
        <w:pStyle w:val="BodyText"/>
        <w:rPr>
          <w:rFonts w:ascii="Arial"/>
          <w:sz w:val="20"/>
        </w:rPr>
      </w:pPr>
    </w:p>
    <w:p>
      <w:pPr>
        <w:pStyle w:val="BodyText"/>
        <w:spacing w:before="7"/>
        <w:rPr>
          <w:rFonts w:ascii="Arial"/>
          <w:sz w:val="18"/>
        </w:rPr>
      </w:pPr>
      <w:r>
        <w:rPr/>
        <w:pict>
          <v:shape style="position:absolute;margin-left:82pt;margin-top:11.916723pt;width:87.5pt;height:.1pt;mso-position-horizontal-relative:page;mso-position-vertical-relative:paragraph;z-index:-15720960;mso-wrap-distance-left:0;mso-wrap-distance-right:0" id="docshape34" coordorigin="1640,238" coordsize="1750,0" path="m1640,238l3390,238e" filled="false" stroked="true" strokeweight=".25pt" strokecolor="#231f20">
            <v:path arrowok="t"/>
            <v:stroke dashstyle="solid"/>
            <w10:wrap type="topAndBottom"/>
          </v:shape>
        </w:pict>
      </w:r>
    </w:p>
    <w:p>
      <w:pPr>
        <w:pStyle w:val="BodyText"/>
        <w:spacing w:before="4"/>
        <w:rPr>
          <w:rFonts w:ascii="Arial"/>
          <w:sz w:val="26"/>
        </w:rPr>
      </w:pPr>
    </w:p>
    <w:p>
      <w:pPr>
        <w:pStyle w:val="Heading2"/>
        <w:numPr>
          <w:ilvl w:val="1"/>
          <w:numId w:val="11"/>
        </w:numPr>
        <w:tabs>
          <w:tab w:pos="871" w:val="left" w:leader="none"/>
          <w:tab w:pos="1179" w:val="left" w:leader="none"/>
        </w:tabs>
        <w:spacing w:line="240" w:lineRule="auto" w:before="0" w:after="0"/>
        <w:ind w:left="870" w:right="0" w:hanging="256"/>
        <w:jc w:val="left"/>
      </w:pPr>
      <w:r>
        <w:rPr>
          <w:b w:val="0"/>
          <w:i/>
          <w:color w:val="231F20"/>
          <w:spacing w:val="-10"/>
        </w:rPr>
        <w:t>/</w:t>
      </w:r>
      <w:r>
        <w:rPr>
          <w:b w:val="0"/>
          <w:i/>
          <w:color w:val="231F20"/>
        </w:rPr>
        <w:tab/>
      </w:r>
      <w:r>
        <w:rPr>
          <w:color w:val="231F20"/>
          <w:w w:val="95"/>
        </w:rPr>
        <w:t>Peut-on</w:t>
      </w:r>
      <w:r>
        <w:rPr>
          <w:color w:val="231F20"/>
          <w:spacing w:val="5"/>
        </w:rPr>
        <w:t> </w:t>
      </w:r>
      <w:r>
        <w:rPr>
          <w:color w:val="231F20"/>
          <w:w w:val="95"/>
        </w:rPr>
        <w:t>concilier</w:t>
      </w:r>
      <w:r>
        <w:rPr>
          <w:color w:val="231F20"/>
          <w:spacing w:val="5"/>
        </w:rPr>
        <w:t> </w:t>
      </w:r>
      <w:r>
        <w:rPr>
          <w:color w:val="231F20"/>
          <w:w w:val="95"/>
        </w:rPr>
        <w:t>performance</w:t>
      </w:r>
      <w:r>
        <w:rPr>
          <w:color w:val="231F20"/>
          <w:spacing w:val="5"/>
        </w:rPr>
        <w:t> </w:t>
      </w:r>
      <w:r>
        <w:rPr>
          <w:color w:val="231F20"/>
          <w:w w:val="95"/>
        </w:rPr>
        <w:t>et</w:t>
      </w:r>
      <w:r>
        <w:rPr>
          <w:color w:val="231F20"/>
          <w:spacing w:val="6"/>
        </w:rPr>
        <w:t> </w:t>
      </w:r>
      <w:r>
        <w:rPr>
          <w:color w:val="231F20"/>
          <w:w w:val="95"/>
        </w:rPr>
        <w:t>bien-être</w:t>
      </w:r>
      <w:r>
        <w:rPr>
          <w:color w:val="231F20"/>
          <w:spacing w:val="5"/>
        </w:rPr>
        <w:t> </w:t>
      </w:r>
      <w:r>
        <w:rPr>
          <w:color w:val="231F20"/>
          <w:w w:val="95"/>
        </w:rPr>
        <w:t>au</w:t>
      </w:r>
      <w:r>
        <w:rPr>
          <w:color w:val="231F20"/>
          <w:spacing w:val="5"/>
        </w:rPr>
        <w:t> </w:t>
      </w:r>
      <w:r>
        <w:rPr>
          <w:color w:val="231F20"/>
          <w:w w:val="95"/>
        </w:rPr>
        <w:t>travail</w:t>
      </w:r>
      <w:r>
        <w:rPr>
          <w:color w:val="231F20"/>
          <w:spacing w:val="-26"/>
          <w:w w:val="95"/>
        </w:rPr>
        <w:t> </w:t>
      </w:r>
      <w:r>
        <w:rPr>
          <w:color w:val="231F20"/>
          <w:spacing w:val="-10"/>
          <w:w w:val="95"/>
        </w:rPr>
        <w:t>?</w:t>
      </w:r>
    </w:p>
    <w:p>
      <w:pPr>
        <w:pStyle w:val="BodyText"/>
        <w:spacing w:before="9"/>
        <w:rPr>
          <w:rFonts w:ascii="Arial"/>
          <w:b/>
          <w:sz w:val="25"/>
        </w:rPr>
      </w:pPr>
    </w:p>
    <w:p>
      <w:pPr>
        <w:pStyle w:val="BodyText"/>
        <w:spacing w:line="307" w:lineRule="auto"/>
        <w:ind w:left="1180" w:right="246"/>
        <w:jc w:val="both"/>
      </w:pPr>
      <w:r>
        <w:rPr>
          <w:color w:val="231F20"/>
          <w:w w:val="115"/>
        </w:rPr>
        <w:t>Quiconque a déjà travaillé au sein d’une entreprise connaît l’importance </w:t>
      </w:r>
      <w:r>
        <w:rPr>
          <w:color w:val="231F20"/>
          <w:w w:val="120"/>
        </w:rPr>
        <w:t>d’améliorer la productivité. Alors que pendant longtemps cette quête productiviste visait principalement à accroître la rentabilité de l’entre- </w:t>
      </w:r>
      <w:r>
        <w:rPr>
          <w:color w:val="231F20"/>
          <w:w w:val="115"/>
        </w:rPr>
        <w:t>prise,</w:t>
      </w:r>
      <w:r>
        <w:rPr>
          <w:color w:val="231F20"/>
          <w:spacing w:val="-4"/>
          <w:w w:val="115"/>
        </w:rPr>
        <w:t> </w:t>
      </w:r>
      <w:r>
        <w:rPr>
          <w:color w:val="231F20"/>
          <w:w w:val="115"/>
        </w:rPr>
        <w:t>force</w:t>
      </w:r>
      <w:r>
        <w:rPr>
          <w:color w:val="231F20"/>
          <w:spacing w:val="-4"/>
          <w:w w:val="115"/>
        </w:rPr>
        <w:t> </w:t>
      </w:r>
      <w:r>
        <w:rPr>
          <w:color w:val="231F20"/>
          <w:w w:val="115"/>
        </w:rPr>
        <w:t>est</w:t>
      </w:r>
      <w:r>
        <w:rPr>
          <w:color w:val="231F20"/>
          <w:spacing w:val="-4"/>
          <w:w w:val="115"/>
        </w:rPr>
        <w:t> </w:t>
      </w:r>
      <w:r>
        <w:rPr>
          <w:color w:val="231F20"/>
          <w:w w:val="115"/>
        </w:rPr>
        <w:t>de</w:t>
      </w:r>
      <w:r>
        <w:rPr>
          <w:color w:val="231F20"/>
          <w:spacing w:val="-4"/>
          <w:w w:val="115"/>
        </w:rPr>
        <w:t> </w:t>
      </w:r>
      <w:r>
        <w:rPr>
          <w:color w:val="231F20"/>
          <w:w w:val="115"/>
        </w:rPr>
        <w:t>reconnaître</w:t>
      </w:r>
      <w:r>
        <w:rPr>
          <w:color w:val="231F20"/>
          <w:spacing w:val="-4"/>
          <w:w w:val="115"/>
        </w:rPr>
        <w:t> </w:t>
      </w:r>
      <w:r>
        <w:rPr>
          <w:color w:val="231F20"/>
          <w:w w:val="115"/>
        </w:rPr>
        <w:t>que</w:t>
      </w:r>
      <w:r>
        <w:rPr>
          <w:color w:val="231F20"/>
          <w:spacing w:val="-4"/>
          <w:w w:val="115"/>
        </w:rPr>
        <w:t> </w:t>
      </w:r>
      <w:r>
        <w:rPr>
          <w:color w:val="231F20"/>
          <w:w w:val="115"/>
        </w:rPr>
        <w:t>l’amélioration</w:t>
      </w:r>
      <w:r>
        <w:rPr>
          <w:color w:val="231F20"/>
          <w:spacing w:val="-4"/>
          <w:w w:val="115"/>
        </w:rPr>
        <w:t> </w:t>
      </w:r>
      <w:r>
        <w:rPr>
          <w:color w:val="231F20"/>
          <w:w w:val="115"/>
        </w:rPr>
        <w:t>de</w:t>
      </w:r>
      <w:r>
        <w:rPr>
          <w:color w:val="231F20"/>
          <w:spacing w:val="-4"/>
          <w:w w:val="115"/>
        </w:rPr>
        <w:t> </w:t>
      </w:r>
      <w:r>
        <w:rPr>
          <w:color w:val="231F20"/>
          <w:w w:val="115"/>
        </w:rPr>
        <w:t>l’efficience</w:t>
      </w:r>
      <w:r>
        <w:rPr>
          <w:color w:val="231F20"/>
          <w:spacing w:val="-4"/>
          <w:w w:val="115"/>
        </w:rPr>
        <w:t> </w:t>
      </w:r>
      <w:r>
        <w:rPr>
          <w:color w:val="231F20"/>
          <w:w w:val="115"/>
        </w:rPr>
        <w:t>organisa- </w:t>
      </w:r>
      <w:r>
        <w:rPr>
          <w:color w:val="231F20"/>
          <w:spacing w:val="-2"/>
          <w:w w:val="120"/>
        </w:rPr>
        <w:t>tionnelle</w:t>
      </w:r>
      <w:r>
        <w:rPr>
          <w:color w:val="231F20"/>
          <w:spacing w:val="-8"/>
          <w:w w:val="120"/>
        </w:rPr>
        <w:t> </w:t>
      </w:r>
      <w:r>
        <w:rPr>
          <w:color w:val="231F20"/>
          <w:spacing w:val="-2"/>
          <w:w w:val="120"/>
        </w:rPr>
        <w:t>est</w:t>
      </w:r>
      <w:r>
        <w:rPr>
          <w:color w:val="231F20"/>
          <w:spacing w:val="-8"/>
          <w:w w:val="120"/>
        </w:rPr>
        <w:t> </w:t>
      </w:r>
      <w:r>
        <w:rPr>
          <w:color w:val="231F20"/>
          <w:spacing w:val="-2"/>
          <w:w w:val="120"/>
        </w:rPr>
        <w:t>maintenant</w:t>
      </w:r>
      <w:r>
        <w:rPr>
          <w:color w:val="231F20"/>
          <w:spacing w:val="-8"/>
          <w:w w:val="120"/>
        </w:rPr>
        <w:t> </w:t>
      </w:r>
      <w:r>
        <w:rPr>
          <w:color w:val="231F20"/>
          <w:spacing w:val="-2"/>
          <w:w w:val="120"/>
        </w:rPr>
        <w:t>nécessaire</w:t>
      </w:r>
      <w:r>
        <w:rPr>
          <w:color w:val="231F20"/>
          <w:spacing w:val="-8"/>
          <w:w w:val="120"/>
        </w:rPr>
        <w:t> </w:t>
      </w:r>
      <w:r>
        <w:rPr>
          <w:color w:val="231F20"/>
          <w:spacing w:val="-2"/>
          <w:w w:val="120"/>
        </w:rPr>
        <w:t>pour</w:t>
      </w:r>
      <w:r>
        <w:rPr>
          <w:color w:val="231F20"/>
          <w:spacing w:val="-8"/>
          <w:w w:val="120"/>
        </w:rPr>
        <w:t> </w:t>
      </w:r>
      <w:r>
        <w:rPr>
          <w:color w:val="231F20"/>
          <w:spacing w:val="-2"/>
          <w:w w:val="120"/>
        </w:rPr>
        <w:t>simplement</w:t>
      </w:r>
      <w:r>
        <w:rPr>
          <w:color w:val="231F20"/>
          <w:spacing w:val="-8"/>
          <w:w w:val="120"/>
        </w:rPr>
        <w:t> </w:t>
      </w:r>
      <w:r>
        <w:rPr>
          <w:color w:val="231F20"/>
          <w:spacing w:val="-2"/>
          <w:w w:val="120"/>
        </w:rPr>
        <w:t>assurer</w:t>
      </w:r>
      <w:r>
        <w:rPr>
          <w:color w:val="231F20"/>
          <w:spacing w:val="-8"/>
          <w:w w:val="120"/>
        </w:rPr>
        <w:t> </w:t>
      </w:r>
      <w:r>
        <w:rPr>
          <w:color w:val="231F20"/>
          <w:spacing w:val="-2"/>
          <w:w w:val="120"/>
        </w:rPr>
        <w:t>la</w:t>
      </w:r>
      <w:r>
        <w:rPr>
          <w:color w:val="231F20"/>
          <w:spacing w:val="-8"/>
          <w:w w:val="120"/>
        </w:rPr>
        <w:t> </w:t>
      </w:r>
      <w:r>
        <w:rPr>
          <w:color w:val="231F20"/>
          <w:spacing w:val="-2"/>
          <w:w w:val="120"/>
        </w:rPr>
        <w:t>pérennité </w:t>
      </w:r>
      <w:r>
        <w:rPr>
          <w:color w:val="231F20"/>
          <w:w w:val="120"/>
        </w:rPr>
        <w:t>de</w:t>
      </w:r>
      <w:r>
        <w:rPr>
          <w:color w:val="231F20"/>
          <w:spacing w:val="-11"/>
          <w:w w:val="120"/>
        </w:rPr>
        <w:t> </w:t>
      </w:r>
      <w:r>
        <w:rPr>
          <w:color w:val="231F20"/>
          <w:w w:val="120"/>
        </w:rPr>
        <w:t>l’organisation.</w:t>
      </w:r>
      <w:r>
        <w:rPr>
          <w:color w:val="231F20"/>
          <w:spacing w:val="-11"/>
          <w:w w:val="120"/>
        </w:rPr>
        <w:t> </w:t>
      </w:r>
      <w:r>
        <w:rPr>
          <w:color w:val="231F20"/>
          <w:w w:val="120"/>
        </w:rPr>
        <w:t>Pendant</w:t>
      </w:r>
      <w:r>
        <w:rPr>
          <w:color w:val="231F20"/>
          <w:spacing w:val="-11"/>
          <w:w w:val="120"/>
        </w:rPr>
        <w:t> </w:t>
      </w:r>
      <w:r>
        <w:rPr>
          <w:color w:val="231F20"/>
          <w:w w:val="120"/>
        </w:rPr>
        <w:t>longtemps,</w:t>
      </w:r>
      <w:r>
        <w:rPr>
          <w:color w:val="231F20"/>
          <w:spacing w:val="-11"/>
          <w:w w:val="120"/>
        </w:rPr>
        <w:t> </w:t>
      </w:r>
      <w:r>
        <w:rPr>
          <w:color w:val="231F20"/>
          <w:w w:val="120"/>
        </w:rPr>
        <w:t>les</w:t>
      </w:r>
      <w:r>
        <w:rPr>
          <w:color w:val="231F20"/>
          <w:spacing w:val="-11"/>
          <w:w w:val="120"/>
        </w:rPr>
        <w:t> </w:t>
      </w:r>
      <w:r>
        <w:rPr>
          <w:color w:val="231F20"/>
          <w:w w:val="120"/>
        </w:rPr>
        <w:t>travailleurs,</w:t>
      </w:r>
      <w:r>
        <w:rPr>
          <w:color w:val="231F20"/>
          <w:spacing w:val="-11"/>
          <w:w w:val="120"/>
        </w:rPr>
        <w:t> </w:t>
      </w:r>
      <w:r>
        <w:rPr>
          <w:color w:val="231F20"/>
          <w:w w:val="120"/>
        </w:rPr>
        <w:t>comme</w:t>
      </w:r>
      <w:r>
        <w:rPr>
          <w:color w:val="231F20"/>
          <w:spacing w:val="-11"/>
          <w:w w:val="120"/>
        </w:rPr>
        <w:t> </w:t>
      </w:r>
      <w:r>
        <w:rPr>
          <w:color w:val="231F20"/>
          <w:w w:val="120"/>
        </w:rPr>
        <w:t>les</w:t>
      </w:r>
      <w:r>
        <w:rPr>
          <w:color w:val="231F20"/>
          <w:spacing w:val="-11"/>
          <w:w w:val="120"/>
        </w:rPr>
        <w:t> </w:t>
      </w:r>
      <w:r>
        <w:rPr>
          <w:color w:val="231F20"/>
          <w:w w:val="120"/>
        </w:rPr>
        <w:t>orga- nisations,</w:t>
      </w:r>
      <w:r>
        <w:rPr>
          <w:color w:val="231F20"/>
          <w:spacing w:val="-9"/>
          <w:w w:val="120"/>
        </w:rPr>
        <w:t> </w:t>
      </w:r>
      <w:r>
        <w:rPr>
          <w:color w:val="231F20"/>
          <w:w w:val="120"/>
        </w:rPr>
        <w:t>se</w:t>
      </w:r>
      <w:r>
        <w:rPr>
          <w:color w:val="231F20"/>
          <w:spacing w:val="-9"/>
          <w:w w:val="120"/>
        </w:rPr>
        <w:t> </w:t>
      </w:r>
      <w:r>
        <w:rPr>
          <w:color w:val="231F20"/>
          <w:w w:val="120"/>
        </w:rPr>
        <w:t>sont</w:t>
      </w:r>
      <w:r>
        <w:rPr>
          <w:color w:val="231F20"/>
          <w:spacing w:val="-9"/>
          <w:w w:val="120"/>
        </w:rPr>
        <w:t> </w:t>
      </w:r>
      <w:r>
        <w:rPr>
          <w:color w:val="231F20"/>
          <w:w w:val="120"/>
        </w:rPr>
        <w:t>crus</w:t>
      </w:r>
      <w:r>
        <w:rPr>
          <w:color w:val="231F20"/>
          <w:spacing w:val="-9"/>
          <w:w w:val="120"/>
        </w:rPr>
        <w:t> </w:t>
      </w:r>
      <w:r>
        <w:rPr>
          <w:color w:val="231F20"/>
          <w:w w:val="120"/>
        </w:rPr>
        <w:t>à</w:t>
      </w:r>
      <w:r>
        <w:rPr>
          <w:color w:val="231F20"/>
          <w:spacing w:val="-9"/>
          <w:w w:val="120"/>
        </w:rPr>
        <w:t> </w:t>
      </w:r>
      <w:r>
        <w:rPr>
          <w:color w:val="231F20"/>
          <w:w w:val="120"/>
        </w:rPr>
        <w:t>l’abri</w:t>
      </w:r>
      <w:r>
        <w:rPr>
          <w:color w:val="231F20"/>
          <w:spacing w:val="-9"/>
          <w:w w:val="120"/>
        </w:rPr>
        <w:t> </w:t>
      </w:r>
      <w:r>
        <w:rPr>
          <w:color w:val="231F20"/>
          <w:w w:val="120"/>
        </w:rPr>
        <w:t>de</w:t>
      </w:r>
      <w:r>
        <w:rPr>
          <w:color w:val="231F20"/>
          <w:spacing w:val="-9"/>
          <w:w w:val="120"/>
        </w:rPr>
        <w:t> </w:t>
      </w:r>
      <w:r>
        <w:rPr>
          <w:color w:val="231F20"/>
          <w:w w:val="120"/>
        </w:rPr>
        <w:t>la</w:t>
      </w:r>
      <w:r>
        <w:rPr>
          <w:color w:val="231F20"/>
          <w:spacing w:val="-9"/>
          <w:w w:val="120"/>
        </w:rPr>
        <w:t> </w:t>
      </w:r>
      <w:r>
        <w:rPr>
          <w:color w:val="231F20"/>
          <w:w w:val="120"/>
        </w:rPr>
        <w:t>concurrence</w:t>
      </w:r>
      <w:r>
        <w:rPr>
          <w:color w:val="231F20"/>
          <w:spacing w:val="-9"/>
          <w:w w:val="120"/>
        </w:rPr>
        <w:t> </w:t>
      </w:r>
      <w:r>
        <w:rPr>
          <w:color w:val="231F20"/>
          <w:w w:val="120"/>
        </w:rPr>
        <w:t>mondiale;</w:t>
      </w:r>
      <w:r>
        <w:rPr>
          <w:color w:val="231F20"/>
          <w:spacing w:val="-9"/>
          <w:w w:val="120"/>
        </w:rPr>
        <w:t> </w:t>
      </w:r>
      <w:r>
        <w:rPr>
          <w:color w:val="231F20"/>
          <w:w w:val="120"/>
        </w:rPr>
        <w:t>rares</w:t>
      </w:r>
      <w:r>
        <w:rPr>
          <w:color w:val="231F20"/>
          <w:spacing w:val="-9"/>
          <w:w w:val="120"/>
        </w:rPr>
        <w:t> </w:t>
      </w:r>
      <w:r>
        <w:rPr>
          <w:color w:val="231F20"/>
          <w:w w:val="120"/>
        </w:rPr>
        <w:t>étaient </w:t>
      </w:r>
      <w:r>
        <w:rPr>
          <w:color w:val="231F20"/>
          <w:w w:val="115"/>
        </w:rPr>
        <w:t>donc</w:t>
      </w:r>
      <w:r>
        <w:rPr>
          <w:color w:val="231F20"/>
          <w:spacing w:val="-4"/>
          <w:w w:val="115"/>
        </w:rPr>
        <w:t> </w:t>
      </w:r>
      <w:r>
        <w:rPr>
          <w:color w:val="231F20"/>
          <w:w w:val="115"/>
        </w:rPr>
        <w:t>les</w:t>
      </w:r>
      <w:r>
        <w:rPr>
          <w:color w:val="231F20"/>
          <w:spacing w:val="-4"/>
          <w:w w:val="115"/>
        </w:rPr>
        <w:t> </w:t>
      </w:r>
      <w:r>
        <w:rPr>
          <w:color w:val="231F20"/>
          <w:w w:val="115"/>
        </w:rPr>
        <w:t>mesures</w:t>
      </w:r>
      <w:r>
        <w:rPr>
          <w:color w:val="231F20"/>
          <w:spacing w:val="-4"/>
          <w:w w:val="115"/>
        </w:rPr>
        <w:t> </w:t>
      </w:r>
      <w:r>
        <w:rPr>
          <w:color w:val="231F20"/>
          <w:w w:val="115"/>
        </w:rPr>
        <w:t>incitatives</w:t>
      </w:r>
      <w:r>
        <w:rPr>
          <w:color w:val="231F20"/>
          <w:spacing w:val="-4"/>
          <w:w w:val="115"/>
        </w:rPr>
        <w:t> </w:t>
      </w:r>
      <w:r>
        <w:rPr>
          <w:color w:val="231F20"/>
          <w:w w:val="115"/>
        </w:rPr>
        <w:t>mises</w:t>
      </w:r>
      <w:r>
        <w:rPr>
          <w:color w:val="231F20"/>
          <w:spacing w:val="-4"/>
          <w:w w:val="115"/>
        </w:rPr>
        <w:t> </w:t>
      </w:r>
      <w:r>
        <w:rPr>
          <w:color w:val="231F20"/>
          <w:w w:val="115"/>
        </w:rPr>
        <w:t>en</w:t>
      </w:r>
      <w:r>
        <w:rPr>
          <w:color w:val="231F20"/>
          <w:spacing w:val="-4"/>
          <w:w w:val="115"/>
        </w:rPr>
        <w:t> </w:t>
      </w:r>
      <w:r>
        <w:rPr>
          <w:color w:val="231F20"/>
          <w:w w:val="115"/>
        </w:rPr>
        <w:t>place</w:t>
      </w:r>
      <w:r>
        <w:rPr>
          <w:color w:val="231F20"/>
          <w:spacing w:val="-4"/>
          <w:w w:val="115"/>
        </w:rPr>
        <w:t> </w:t>
      </w:r>
      <w:r>
        <w:rPr>
          <w:color w:val="231F20"/>
          <w:w w:val="115"/>
        </w:rPr>
        <w:t>pour</w:t>
      </w:r>
      <w:r>
        <w:rPr>
          <w:color w:val="231F20"/>
          <w:spacing w:val="-4"/>
          <w:w w:val="115"/>
        </w:rPr>
        <w:t> </w:t>
      </w:r>
      <w:r>
        <w:rPr>
          <w:color w:val="231F20"/>
          <w:w w:val="115"/>
        </w:rPr>
        <w:t>accroître</w:t>
      </w:r>
      <w:r>
        <w:rPr>
          <w:color w:val="231F20"/>
          <w:spacing w:val="-4"/>
          <w:w w:val="115"/>
        </w:rPr>
        <w:t> </w:t>
      </w:r>
      <w:r>
        <w:rPr>
          <w:color w:val="231F20"/>
          <w:w w:val="115"/>
        </w:rPr>
        <w:t>la</w:t>
      </w:r>
      <w:r>
        <w:rPr>
          <w:color w:val="231F20"/>
          <w:spacing w:val="-4"/>
          <w:w w:val="115"/>
        </w:rPr>
        <w:t> </w:t>
      </w:r>
      <w:r>
        <w:rPr>
          <w:color w:val="231F20"/>
          <w:w w:val="115"/>
        </w:rPr>
        <w:t>productivité. </w:t>
      </w:r>
      <w:r>
        <w:rPr>
          <w:color w:val="231F20"/>
          <w:w w:val="120"/>
        </w:rPr>
        <w:t>Or trois facteurs ont, entre autres, rapidement transformé cette réalité:</w:t>
      </w:r>
    </w:p>
    <w:p>
      <w:pPr>
        <w:pStyle w:val="ListParagraph"/>
        <w:numPr>
          <w:ilvl w:val="2"/>
          <w:numId w:val="11"/>
        </w:numPr>
        <w:tabs>
          <w:tab w:pos="1681" w:val="left" w:leader="none"/>
        </w:tabs>
        <w:spacing w:line="240" w:lineRule="auto" w:before="79" w:after="0"/>
        <w:ind w:left="1680" w:right="0" w:hanging="251"/>
        <w:jc w:val="left"/>
        <w:rPr>
          <w:sz w:val="17"/>
        </w:rPr>
      </w:pPr>
      <w:r>
        <w:rPr>
          <w:color w:val="231F20"/>
          <w:w w:val="115"/>
          <w:sz w:val="17"/>
        </w:rPr>
        <w:t>L’allongement</w:t>
      </w:r>
      <w:r>
        <w:rPr>
          <w:color w:val="231F20"/>
          <w:spacing w:val="-7"/>
          <w:w w:val="115"/>
          <w:sz w:val="17"/>
        </w:rPr>
        <w:t> </w:t>
      </w:r>
      <w:r>
        <w:rPr>
          <w:color w:val="231F20"/>
          <w:w w:val="115"/>
          <w:sz w:val="17"/>
        </w:rPr>
        <w:t>des</w:t>
      </w:r>
      <w:r>
        <w:rPr>
          <w:color w:val="231F20"/>
          <w:spacing w:val="-6"/>
          <w:w w:val="115"/>
          <w:sz w:val="17"/>
        </w:rPr>
        <w:t> </w:t>
      </w:r>
      <w:r>
        <w:rPr>
          <w:color w:val="231F20"/>
          <w:w w:val="115"/>
          <w:sz w:val="17"/>
        </w:rPr>
        <w:t>cycles</w:t>
      </w:r>
      <w:r>
        <w:rPr>
          <w:color w:val="231F20"/>
          <w:spacing w:val="-7"/>
          <w:w w:val="115"/>
          <w:sz w:val="17"/>
        </w:rPr>
        <w:t> </w:t>
      </w:r>
      <w:r>
        <w:rPr>
          <w:color w:val="231F20"/>
          <w:w w:val="115"/>
          <w:sz w:val="17"/>
        </w:rPr>
        <w:t>de</w:t>
      </w:r>
      <w:r>
        <w:rPr>
          <w:color w:val="231F20"/>
          <w:spacing w:val="-6"/>
          <w:w w:val="115"/>
          <w:sz w:val="17"/>
        </w:rPr>
        <w:t> </w:t>
      </w:r>
      <w:r>
        <w:rPr>
          <w:color w:val="231F20"/>
          <w:spacing w:val="-2"/>
          <w:w w:val="115"/>
          <w:sz w:val="17"/>
        </w:rPr>
        <w:t>récession;</w:t>
      </w:r>
    </w:p>
    <w:p>
      <w:pPr>
        <w:pStyle w:val="ListParagraph"/>
        <w:numPr>
          <w:ilvl w:val="2"/>
          <w:numId w:val="11"/>
        </w:numPr>
        <w:tabs>
          <w:tab w:pos="1681" w:val="left" w:leader="none"/>
        </w:tabs>
        <w:spacing w:line="307" w:lineRule="auto" w:before="54" w:after="0"/>
        <w:ind w:left="1680" w:right="252" w:hanging="251"/>
        <w:jc w:val="left"/>
        <w:rPr>
          <w:sz w:val="17"/>
        </w:rPr>
      </w:pPr>
      <w:r>
        <w:rPr>
          <w:color w:val="231F20"/>
          <w:spacing w:val="-2"/>
          <w:w w:val="120"/>
          <w:sz w:val="17"/>
        </w:rPr>
        <w:t>La</w:t>
      </w:r>
      <w:r>
        <w:rPr>
          <w:color w:val="231F20"/>
          <w:spacing w:val="-11"/>
          <w:w w:val="120"/>
          <w:sz w:val="17"/>
        </w:rPr>
        <w:t> </w:t>
      </w:r>
      <w:r>
        <w:rPr>
          <w:color w:val="231F20"/>
          <w:spacing w:val="-2"/>
          <w:w w:val="120"/>
          <w:sz w:val="17"/>
        </w:rPr>
        <w:t>mondialisation</w:t>
      </w:r>
      <w:r>
        <w:rPr>
          <w:color w:val="231F20"/>
          <w:spacing w:val="-11"/>
          <w:w w:val="120"/>
          <w:sz w:val="17"/>
        </w:rPr>
        <w:t> </w:t>
      </w:r>
      <w:r>
        <w:rPr>
          <w:color w:val="231F20"/>
          <w:spacing w:val="-2"/>
          <w:w w:val="120"/>
          <w:sz w:val="17"/>
        </w:rPr>
        <w:t>des</w:t>
      </w:r>
      <w:r>
        <w:rPr>
          <w:color w:val="231F20"/>
          <w:spacing w:val="-11"/>
          <w:w w:val="120"/>
          <w:sz w:val="17"/>
        </w:rPr>
        <w:t> </w:t>
      </w:r>
      <w:r>
        <w:rPr>
          <w:color w:val="231F20"/>
          <w:spacing w:val="-2"/>
          <w:w w:val="120"/>
          <w:sz w:val="17"/>
        </w:rPr>
        <w:t>marchés</w:t>
      </w:r>
      <w:r>
        <w:rPr>
          <w:color w:val="231F20"/>
          <w:spacing w:val="-11"/>
          <w:w w:val="120"/>
          <w:sz w:val="17"/>
        </w:rPr>
        <w:t> </w:t>
      </w:r>
      <w:r>
        <w:rPr>
          <w:color w:val="231F20"/>
          <w:spacing w:val="-2"/>
          <w:w w:val="120"/>
          <w:sz w:val="17"/>
        </w:rPr>
        <w:t>et</w:t>
      </w:r>
      <w:r>
        <w:rPr>
          <w:color w:val="231F20"/>
          <w:spacing w:val="-11"/>
          <w:w w:val="120"/>
          <w:sz w:val="17"/>
        </w:rPr>
        <w:t> </w:t>
      </w:r>
      <w:r>
        <w:rPr>
          <w:color w:val="231F20"/>
          <w:spacing w:val="-2"/>
          <w:w w:val="120"/>
          <w:sz w:val="17"/>
        </w:rPr>
        <w:t>le</w:t>
      </w:r>
      <w:r>
        <w:rPr>
          <w:color w:val="231F20"/>
          <w:spacing w:val="-11"/>
          <w:w w:val="120"/>
          <w:sz w:val="17"/>
        </w:rPr>
        <w:t> </w:t>
      </w:r>
      <w:r>
        <w:rPr>
          <w:color w:val="231F20"/>
          <w:spacing w:val="-2"/>
          <w:w w:val="120"/>
          <w:sz w:val="17"/>
        </w:rPr>
        <w:t>dynamisme</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la</w:t>
      </w:r>
      <w:r>
        <w:rPr>
          <w:color w:val="231F20"/>
          <w:spacing w:val="-11"/>
          <w:w w:val="120"/>
          <w:sz w:val="17"/>
        </w:rPr>
        <w:t> </w:t>
      </w:r>
      <w:r>
        <w:rPr>
          <w:color w:val="231F20"/>
          <w:spacing w:val="-2"/>
          <w:w w:val="120"/>
          <w:sz w:val="17"/>
        </w:rPr>
        <w:t>concurrence internationale;</w:t>
      </w:r>
    </w:p>
    <w:p>
      <w:pPr>
        <w:pStyle w:val="ListParagraph"/>
        <w:numPr>
          <w:ilvl w:val="2"/>
          <w:numId w:val="11"/>
        </w:numPr>
        <w:tabs>
          <w:tab w:pos="1681" w:val="left" w:leader="none"/>
        </w:tabs>
        <w:spacing w:line="195" w:lineRule="exact" w:before="0" w:after="0"/>
        <w:ind w:left="1680" w:right="0" w:hanging="251"/>
        <w:jc w:val="left"/>
        <w:rPr>
          <w:sz w:val="17"/>
        </w:rPr>
      </w:pPr>
      <w:r>
        <w:rPr>
          <w:color w:val="231F20"/>
          <w:w w:val="115"/>
          <w:sz w:val="17"/>
        </w:rPr>
        <w:t>La</w:t>
      </w:r>
      <w:r>
        <w:rPr>
          <w:color w:val="231F20"/>
          <w:spacing w:val="4"/>
          <w:w w:val="115"/>
          <w:sz w:val="17"/>
        </w:rPr>
        <w:t> </w:t>
      </w:r>
      <w:r>
        <w:rPr>
          <w:color w:val="231F20"/>
          <w:w w:val="115"/>
          <w:sz w:val="17"/>
        </w:rPr>
        <w:t>pénurie</w:t>
      </w:r>
      <w:r>
        <w:rPr>
          <w:color w:val="231F20"/>
          <w:spacing w:val="5"/>
          <w:w w:val="115"/>
          <w:sz w:val="17"/>
        </w:rPr>
        <w:t> </w:t>
      </w:r>
      <w:r>
        <w:rPr>
          <w:color w:val="231F20"/>
          <w:w w:val="115"/>
          <w:sz w:val="17"/>
        </w:rPr>
        <w:t>de</w:t>
      </w:r>
      <w:r>
        <w:rPr>
          <w:color w:val="231F20"/>
          <w:spacing w:val="4"/>
          <w:w w:val="115"/>
          <w:sz w:val="17"/>
        </w:rPr>
        <w:t> </w:t>
      </w:r>
      <w:r>
        <w:rPr>
          <w:color w:val="231F20"/>
          <w:w w:val="115"/>
          <w:sz w:val="17"/>
        </w:rPr>
        <w:t>main-d’œuvre</w:t>
      </w:r>
      <w:r>
        <w:rPr>
          <w:color w:val="231F20"/>
          <w:spacing w:val="5"/>
          <w:w w:val="115"/>
          <w:sz w:val="17"/>
        </w:rPr>
        <w:t> </w:t>
      </w:r>
      <w:r>
        <w:rPr>
          <w:color w:val="231F20"/>
          <w:w w:val="115"/>
          <w:sz w:val="17"/>
        </w:rPr>
        <w:t>issue</w:t>
      </w:r>
      <w:r>
        <w:rPr>
          <w:color w:val="231F20"/>
          <w:spacing w:val="4"/>
          <w:w w:val="115"/>
          <w:sz w:val="17"/>
        </w:rPr>
        <w:t> </w:t>
      </w:r>
      <w:r>
        <w:rPr>
          <w:color w:val="231F20"/>
          <w:w w:val="115"/>
          <w:sz w:val="17"/>
        </w:rPr>
        <w:t>de</w:t>
      </w:r>
      <w:r>
        <w:rPr>
          <w:color w:val="231F20"/>
          <w:spacing w:val="5"/>
          <w:w w:val="115"/>
          <w:sz w:val="17"/>
        </w:rPr>
        <w:t> </w:t>
      </w:r>
      <w:r>
        <w:rPr>
          <w:color w:val="231F20"/>
          <w:w w:val="115"/>
          <w:sz w:val="17"/>
        </w:rPr>
        <w:t>l’évolution</w:t>
      </w:r>
      <w:r>
        <w:rPr>
          <w:color w:val="231F20"/>
          <w:spacing w:val="4"/>
          <w:w w:val="115"/>
          <w:sz w:val="17"/>
        </w:rPr>
        <w:t> </w:t>
      </w:r>
      <w:r>
        <w:rPr>
          <w:color w:val="231F20"/>
          <w:spacing w:val="-2"/>
          <w:w w:val="115"/>
          <w:sz w:val="17"/>
        </w:rPr>
        <w:t>démographique.</w:t>
      </w:r>
    </w:p>
    <w:p>
      <w:pPr>
        <w:pStyle w:val="BodyText"/>
        <w:spacing w:line="307" w:lineRule="auto" w:before="135"/>
        <w:ind w:left="1180" w:right="246"/>
        <w:jc w:val="both"/>
      </w:pPr>
      <w:r>
        <w:rPr>
          <w:color w:val="231F20"/>
          <w:spacing w:val="-4"/>
          <w:w w:val="120"/>
        </w:rPr>
        <w:t>Les entreprises qui se rendent compte que leur survie est en jeu se sentent </w:t>
      </w:r>
      <w:r>
        <w:rPr>
          <w:color w:val="231F20"/>
          <w:w w:val="115"/>
        </w:rPr>
        <w:t>de</w:t>
      </w:r>
      <w:r>
        <w:rPr>
          <w:color w:val="231F20"/>
          <w:spacing w:val="-10"/>
          <w:w w:val="115"/>
        </w:rPr>
        <w:t> </w:t>
      </w:r>
      <w:r>
        <w:rPr>
          <w:color w:val="231F20"/>
          <w:w w:val="115"/>
        </w:rPr>
        <w:t>plus</w:t>
      </w:r>
      <w:r>
        <w:rPr>
          <w:color w:val="231F20"/>
          <w:spacing w:val="-10"/>
          <w:w w:val="115"/>
        </w:rPr>
        <w:t> </w:t>
      </w:r>
      <w:r>
        <w:rPr>
          <w:color w:val="231F20"/>
          <w:w w:val="115"/>
        </w:rPr>
        <w:t>en</w:t>
      </w:r>
      <w:r>
        <w:rPr>
          <w:color w:val="231F20"/>
          <w:spacing w:val="-10"/>
          <w:w w:val="115"/>
        </w:rPr>
        <w:t> </w:t>
      </w:r>
      <w:r>
        <w:rPr>
          <w:color w:val="231F20"/>
          <w:w w:val="115"/>
        </w:rPr>
        <w:t>plus</w:t>
      </w:r>
      <w:r>
        <w:rPr>
          <w:color w:val="231F20"/>
          <w:spacing w:val="-10"/>
          <w:w w:val="115"/>
        </w:rPr>
        <w:t> </w:t>
      </w:r>
      <w:r>
        <w:rPr>
          <w:color w:val="231F20"/>
          <w:w w:val="115"/>
        </w:rPr>
        <w:t>contraintes</w:t>
      </w:r>
      <w:r>
        <w:rPr>
          <w:color w:val="231F20"/>
          <w:spacing w:val="-10"/>
          <w:w w:val="115"/>
        </w:rPr>
        <w:t> </w:t>
      </w:r>
      <w:r>
        <w:rPr>
          <w:color w:val="231F20"/>
          <w:w w:val="115"/>
        </w:rPr>
        <w:t>d’accroître</w:t>
      </w:r>
      <w:r>
        <w:rPr>
          <w:color w:val="231F20"/>
          <w:spacing w:val="-10"/>
          <w:w w:val="115"/>
        </w:rPr>
        <w:t> </w:t>
      </w:r>
      <w:r>
        <w:rPr>
          <w:color w:val="231F20"/>
          <w:w w:val="115"/>
        </w:rPr>
        <w:t>leur</w:t>
      </w:r>
      <w:r>
        <w:rPr>
          <w:color w:val="231F20"/>
          <w:spacing w:val="-10"/>
          <w:w w:val="115"/>
        </w:rPr>
        <w:t> </w:t>
      </w:r>
      <w:r>
        <w:rPr>
          <w:color w:val="231F20"/>
          <w:w w:val="115"/>
        </w:rPr>
        <w:t>productivité.</w:t>
      </w:r>
      <w:r>
        <w:rPr>
          <w:color w:val="231F20"/>
          <w:spacing w:val="-10"/>
          <w:w w:val="115"/>
        </w:rPr>
        <w:t> </w:t>
      </w:r>
      <w:r>
        <w:rPr>
          <w:color w:val="231F20"/>
          <w:w w:val="115"/>
        </w:rPr>
        <w:t>Beaucoup</w:t>
      </w:r>
      <w:r>
        <w:rPr>
          <w:color w:val="231F20"/>
          <w:spacing w:val="-10"/>
          <w:w w:val="115"/>
        </w:rPr>
        <w:t> </w:t>
      </w:r>
      <w:r>
        <w:rPr>
          <w:color w:val="231F20"/>
          <w:w w:val="115"/>
        </w:rPr>
        <w:t>d’entre </w:t>
      </w:r>
      <w:r>
        <w:rPr>
          <w:color w:val="231F20"/>
          <w:w w:val="120"/>
        </w:rPr>
        <w:t>elles</w:t>
      </w:r>
      <w:r>
        <w:rPr>
          <w:color w:val="231F20"/>
          <w:spacing w:val="-13"/>
          <w:w w:val="120"/>
        </w:rPr>
        <w:t> </w:t>
      </w:r>
      <w:r>
        <w:rPr>
          <w:color w:val="231F20"/>
          <w:w w:val="120"/>
        </w:rPr>
        <w:t>doivent</w:t>
      </w:r>
      <w:r>
        <w:rPr>
          <w:color w:val="231F20"/>
          <w:spacing w:val="-13"/>
          <w:w w:val="120"/>
        </w:rPr>
        <w:t> </w:t>
      </w:r>
      <w:r>
        <w:rPr>
          <w:color w:val="231F20"/>
          <w:w w:val="120"/>
        </w:rPr>
        <w:t>donc</w:t>
      </w:r>
      <w:r>
        <w:rPr>
          <w:color w:val="231F20"/>
          <w:spacing w:val="-13"/>
          <w:w w:val="120"/>
        </w:rPr>
        <w:t> </w:t>
      </w:r>
      <w:r>
        <w:rPr>
          <w:color w:val="231F20"/>
          <w:w w:val="120"/>
        </w:rPr>
        <w:t>se</w:t>
      </w:r>
      <w:r>
        <w:rPr>
          <w:color w:val="231F20"/>
          <w:spacing w:val="-12"/>
          <w:w w:val="120"/>
        </w:rPr>
        <w:t> </w:t>
      </w:r>
      <w:r>
        <w:rPr>
          <w:color w:val="231F20"/>
          <w:w w:val="120"/>
        </w:rPr>
        <w:t>soumettre</w:t>
      </w:r>
      <w:r>
        <w:rPr>
          <w:color w:val="231F20"/>
          <w:spacing w:val="-13"/>
          <w:w w:val="120"/>
        </w:rPr>
        <w:t> </w:t>
      </w:r>
      <w:r>
        <w:rPr>
          <w:color w:val="231F20"/>
          <w:w w:val="120"/>
        </w:rPr>
        <w:t>à</w:t>
      </w:r>
      <w:r>
        <w:rPr>
          <w:color w:val="231F20"/>
          <w:spacing w:val="-13"/>
          <w:w w:val="120"/>
        </w:rPr>
        <w:t> </w:t>
      </w:r>
      <w:r>
        <w:rPr>
          <w:color w:val="231F20"/>
          <w:w w:val="120"/>
        </w:rPr>
        <w:t>l’épreuve</w:t>
      </w:r>
      <w:r>
        <w:rPr>
          <w:color w:val="231F20"/>
          <w:spacing w:val="-13"/>
          <w:w w:val="120"/>
        </w:rPr>
        <w:t> </w:t>
      </w:r>
      <w:r>
        <w:rPr>
          <w:color w:val="231F20"/>
          <w:w w:val="120"/>
        </w:rPr>
        <w:t>ultime</w:t>
      </w:r>
      <w:r>
        <w:rPr>
          <w:color w:val="231F20"/>
          <w:spacing w:val="-12"/>
          <w:w w:val="120"/>
        </w:rPr>
        <w:t> </w:t>
      </w:r>
      <w:r>
        <w:rPr>
          <w:color w:val="231F20"/>
          <w:w w:val="120"/>
        </w:rPr>
        <w:t>de</w:t>
      </w:r>
      <w:r>
        <w:rPr>
          <w:color w:val="231F20"/>
          <w:spacing w:val="-13"/>
          <w:w w:val="120"/>
        </w:rPr>
        <w:t> </w:t>
      </w:r>
      <w:r>
        <w:rPr>
          <w:color w:val="231F20"/>
          <w:w w:val="120"/>
        </w:rPr>
        <w:t>survie:</w:t>
      </w:r>
      <w:r>
        <w:rPr>
          <w:color w:val="231F20"/>
          <w:spacing w:val="-13"/>
          <w:w w:val="120"/>
        </w:rPr>
        <w:t> </w:t>
      </w:r>
      <w:r>
        <w:rPr>
          <w:color w:val="231F20"/>
          <w:w w:val="120"/>
        </w:rPr>
        <w:t>affronter</w:t>
      </w:r>
      <w:r>
        <w:rPr>
          <w:color w:val="231F20"/>
          <w:spacing w:val="-13"/>
          <w:w w:val="120"/>
        </w:rPr>
        <w:t> </w:t>
      </w:r>
      <w:r>
        <w:rPr>
          <w:color w:val="231F20"/>
          <w:w w:val="120"/>
        </w:rPr>
        <w:t>à la</w:t>
      </w:r>
      <w:r>
        <w:rPr>
          <w:color w:val="231F20"/>
          <w:spacing w:val="-10"/>
          <w:w w:val="120"/>
        </w:rPr>
        <w:t> </w:t>
      </w:r>
      <w:r>
        <w:rPr>
          <w:color w:val="231F20"/>
          <w:w w:val="120"/>
        </w:rPr>
        <w:t>fois</w:t>
      </w:r>
      <w:r>
        <w:rPr>
          <w:color w:val="231F20"/>
          <w:spacing w:val="-10"/>
          <w:w w:val="120"/>
        </w:rPr>
        <w:t> </w:t>
      </w:r>
      <w:r>
        <w:rPr>
          <w:color w:val="231F20"/>
          <w:w w:val="120"/>
        </w:rPr>
        <w:t>une</w:t>
      </w:r>
      <w:r>
        <w:rPr>
          <w:color w:val="231F20"/>
          <w:spacing w:val="-10"/>
          <w:w w:val="120"/>
        </w:rPr>
        <w:t> </w:t>
      </w:r>
      <w:r>
        <w:rPr>
          <w:color w:val="231F20"/>
          <w:w w:val="120"/>
        </w:rPr>
        <w:t>situation</w:t>
      </w:r>
      <w:r>
        <w:rPr>
          <w:color w:val="231F20"/>
          <w:spacing w:val="-10"/>
          <w:w w:val="120"/>
        </w:rPr>
        <w:t> </w:t>
      </w:r>
      <w:r>
        <w:rPr>
          <w:color w:val="231F20"/>
          <w:w w:val="120"/>
        </w:rPr>
        <w:t>économique</w:t>
      </w:r>
      <w:r>
        <w:rPr>
          <w:color w:val="231F20"/>
          <w:spacing w:val="-10"/>
          <w:w w:val="120"/>
        </w:rPr>
        <w:t> </w:t>
      </w:r>
      <w:r>
        <w:rPr>
          <w:color w:val="231F20"/>
          <w:w w:val="120"/>
        </w:rPr>
        <w:t>complexe</w:t>
      </w:r>
      <w:r>
        <w:rPr>
          <w:color w:val="231F20"/>
          <w:spacing w:val="-10"/>
          <w:w w:val="120"/>
        </w:rPr>
        <w:t> </w:t>
      </w:r>
      <w:r>
        <w:rPr>
          <w:color w:val="231F20"/>
          <w:w w:val="120"/>
        </w:rPr>
        <w:t>et</w:t>
      </w:r>
      <w:r>
        <w:rPr>
          <w:color w:val="231F20"/>
          <w:spacing w:val="-10"/>
          <w:w w:val="120"/>
        </w:rPr>
        <w:t> </w:t>
      </w:r>
      <w:r>
        <w:rPr>
          <w:color w:val="231F20"/>
          <w:w w:val="120"/>
        </w:rPr>
        <w:t>une</w:t>
      </w:r>
      <w:r>
        <w:rPr>
          <w:color w:val="231F20"/>
          <w:spacing w:val="-10"/>
          <w:w w:val="120"/>
        </w:rPr>
        <w:t> </w:t>
      </w:r>
      <w:r>
        <w:rPr>
          <w:color w:val="231F20"/>
          <w:w w:val="120"/>
        </w:rPr>
        <w:t>productivité</w:t>
      </w:r>
      <w:r>
        <w:rPr>
          <w:color w:val="231F20"/>
          <w:spacing w:val="-10"/>
          <w:w w:val="120"/>
        </w:rPr>
        <w:t> </w:t>
      </w:r>
      <w:r>
        <w:rPr>
          <w:color w:val="231F20"/>
          <w:w w:val="120"/>
        </w:rPr>
        <w:t>subopti- </w:t>
      </w:r>
      <w:r>
        <w:rPr>
          <w:color w:val="231F20"/>
          <w:spacing w:val="-2"/>
          <w:w w:val="120"/>
        </w:rPr>
        <w:t>male.</w:t>
      </w:r>
      <w:r>
        <w:rPr>
          <w:color w:val="231F20"/>
          <w:spacing w:val="-11"/>
          <w:w w:val="120"/>
        </w:rPr>
        <w:t> </w:t>
      </w:r>
      <w:r>
        <w:rPr>
          <w:color w:val="231F20"/>
          <w:spacing w:val="-2"/>
          <w:w w:val="120"/>
        </w:rPr>
        <w:t>Toute</w:t>
      </w:r>
      <w:r>
        <w:rPr>
          <w:color w:val="231F20"/>
          <w:spacing w:val="-11"/>
          <w:w w:val="120"/>
        </w:rPr>
        <w:t> </w:t>
      </w:r>
      <w:r>
        <w:rPr>
          <w:color w:val="231F20"/>
          <w:spacing w:val="-2"/>
          <w:w w:val="120"/>
        </w:rPr>
        <w:t>baisse</w:t>
      </w:r>
      <w:r>
        <w:rPr>
          <w:color w:val="231F20"/>
          <w:spacing w:val="-11"/>
          <w:w w:val="120"/>
        </w:rPr>
        <w:t> </w:t>
      </w:r>
      <w:r>
        <w:rPr>
          <w:color w:val="231F20"/>
          <w:spacing w:val="-2"/>
          <w:w w:val="120"/>
        </w:rPr>
        <w:t>de</w:t>
      </w:r>
      <w:r>
        <w:rPr>
          <w:color w:val="231F20"/>
          <w:spacing w:val="-10"/>
          <w:w w:val="120"/>
        </w:rPr>
        <w:t> </w:t>
      </w:r>
      <w:r>
        <w:rPr>
          <w:color w:val="231F20"/>
          <w:spacing w:val="-2"/>
          <w:w w:val="120"/>
        </w:rPr>
        <w:t>la</w:t>
      </w:r>
      <w:r>
        <w:rPr>
          <w:color w:val="231F20"/>
          <w:spacing w:val="-11"/>
          <w:w w:val="120"/>
        </w:rPr>
        <w:t> </w:t>
      </w:r>
      <w:r>
        <w:rPr>
          <w:color w:val="231F20"/>
          <w:spacing w:val="-2"/>
          <w:w w:val="120"/>
        </w:rPr>
        <w:t>productivité</w:t>
      </w:r>
      <w:r>
        <w:rPr>
          <w:color w:val="231F20"/>
          <w:spacing w:val="-11"/>
          <w:w w:val="120"/>
        </w:rPr>
        <w:t> </w:t>
      </w:r>
      <w:r>
        <w:rPr>
          <w:color w:val="231F20"/>
          <w:spacing w:val="-2"/>
          <w:w w:val="120"/>
        </w:rPr>
        <w:t>se</w:t>
      </w:r>
      <w:r>
        <w:rPr>
          <w:color w:val="231F20"/>
          <w:spacing w:val="-11"/>
          <w:w w:val="120"/>
        </w:rPr>
        <w:t> </w:t>
      </w:r>
      <w:r>
        <w:rPr>
          <w:color w:val="231F20"/>
          <w:spacing w:val="-2"/>
          <w:w w:val="120"/>
        </w:rPr>
        <w:t>répercute</w:t>
      </w:r>
      <w:r>
        <w:rPr>
          <w:color w:val="231F20"/>
          <w:spacing w:val="-10"/>
          <w:w w:val="120"/>
        </w:rPr>
        <w:t> </w:t>
      </w:r>
      <w:r>
        <w:rPr>
          <w:color w:val="231F20"/>
          <w:spacing w:val="-2"/>
          <w:w w:val="120"/>
        </w:rPr>
        <w:t>sur</w:t>
      </w:r>
      <w:r>
        <w:rPr>
          <w:color w:val="231F20"/>
          <w:spacing w:val="-11"/>
          <w:w w:val="120"/>
        </w:rPr>
        <w:t> </w:t>
      </w:r>
      <w:r>
        <w:rPr>
          <w:color w:val="231F20"/>
          <w:spacing w:val="-2"/>
          <w:w w:val="120"/>
        </w:rPr>
        <w:t>le</w:t>
      </w:r>
      <w:r>
        <w:rPr>
          <w:color w:val="231F20"/>
          <w:spacing w:val="-11"/>
          <w:w w:val="120"/>
        </w:rPr>
        <w:t> </w:t>
      </w:r>
      <w:r>
        <w:rPr>
          <w:color w:val="231F20"/>
          <w:spacing w:val="-2"/>
          <w:w w:val="120"/>
        </w:rPr>
        <w:t>niveau</w:t>
      </w:r>
      <w:r>
        <w:rPr>
          <w:color w:val="231F20"/>
          <w:spacing w:val="-11"/>
          <w:w w:val="120"/>
        </w:rPr>
        <w:t> </w:t>
      </w:r>
      <w:r>
        <w:rPr>
          <w:color w:val="231F20"/>
          <w:spacing w:val="-2"/>
          <w:w w:val="120"/>
        </w:rPr>
        <w:t>de</w:t>
      </w:r>
      <w:r>
        <w:rPr>
          <w:color w:val="231F20"/>
          <w:spacing w:val="-10"/>
          <w:w w:val="120"/>
        </w:rPr>
        <w:t> </w:t>
      </w:r>
      <w:r>
        <w:rPr>
          <w:color w:val="231F20"/>
          <w:spacing w:val="-2"/>
          <w:w w:val="120"/>
        </w:rPr>
        <w:t>vie</w:t>
      </w:r>
      <w:r>
        <w:rPr>
          <w:color w:val="231F20"/>
          <w:spacing w:val="-11"/>
          <w:w w:val="120"/>
        </w:rPr>
        <w:t> </w:t>
      </w:r>
      <w:r>
        <w:rPr>
          <w:color w:val="231F20"/>
          <w:spacing w:val="-2"/>
          <w:w w:val="120"/>
        </w:rPr>
        <w:t>des </w:t>
      </w:r>
      <w:r>
        <w:rPr>
          <w:color w:val="231F20"/>
          <w:w w:val="115"/>
        </w:rPr>
        <w:t>travailleurs,</w:t>
      </w:r>
      <w:r>
        <w:rPr>
          <w:color w:val="231F20"/>
          <w:spacing w:val="-1"/>
          <w:w w:val="115"/>
        </w:rPr>
        <w:t> </w:t>
      </w:r>
      <w:r>
        <w:rPr>
          <w:color w:val="231F20"/>
          <w:w w:val="115"/>
        </w:rPr>
        <w:t>sur</w:t>
      </w:r>
      <w:r>
        <w:rPr>
          <w:color w:val="231F20"/>
          <w:spacing w:val="-1"/>
          <w:w w:val="115"/>
        </w:rPr>
        <w:t> </w:t>
      </w:r>
      <w:r>
        <w:rPr>
          <w:color w:val="231F20"/>
          <w:w w:val="115"/>
        </w:rPr>
        <w:t>l’ensemble</w:t>
      </w:r>
      <w:r>
        <w:rPr>
          <w:color w:val="231F20"/>
          <w:spacing w:val="-1"/>
          <w:w w:val="115"/>
        </w:rPr>
        <w:t> </w:t>
      </w:r>
      <w:r>
        <w:rPr>
          <w:color w:val="231F20"/>
          <w:w w:val="115"/>
        </w:rPr>
        <w:t>de</w:t>
      </w:r>
      <w:r>
        <w:rPr>
          <w:color w:val="231F20"/>
          <w:spacing w:val="-1"/>
          <w:w w:val="115"/>
        </w:rPr>
        <w:t> </w:t>
      </w:r>
      <w:r>
        <w:rPr>
          <w:color w:val="231F20"/>
          <w:w w:val="115"/>
        </w:rPr>
        <w:t>la</w:t>
      </w:r>
      <w:r>
        <w:rPr>
          <w:color w:val="231F20"/>
          <w:spacing w:val="-1"/>
          <w:w w:val="115"/>
        </w:rPr>
        <w:t> </w:t>
      </w:r>
      <w:r>
        <w:rPr>
          <w:color w:val="231F20"/>
          <w:w w:val="115"/>
        </w:rPr>
        <w:t>collectivité</w:t>
      </w:r>
      <w:r>
        <w:rPr>
          <w:color w:val="231F20"/>
          <w:spacing w:val="-1"/>
          <w:w w:val="115"/>
        </w:rPr>
        <w:t> </w:t>
      </w:r>
      <w:r>
        <w:rPr>
          <w:color w:val="231F20"/>
          <w:w w:val="115"/>
        </w:rPr>
        <w:t>et</w:t>
      </w:r>
      <w:r>
        <w:rPr>
          <w:color w:val="231F20"/>
          <w:spacing w:val="-1"/>
          <w:w w:val="115"/>
        </w:rPr>
        <w:t> </w:t>
      </w:r>
      <w:r>
        <w:rPr>
          <w:color w:val="231F20"/>
          <w:w w:val="115"/>
        </w:rPr>
        <w:t>sur</w:t>
      </w:r>
      <w:r>
        <w:rPr>
          <w:color w:val="231F20"/>
          <w:spacing w:val="-1"/>
          <w:w w:val="115"/>
        </w:rPr>
        <w:t> </w:t>
      </w:r>
      <w:r>
        <w:rPr>
          <w:color w:val="231F20"/>
          <w:w w:val="115"/>
        </w:rPr>
        <w:t>la</w:t>
      </w:r>
      <w:r>
        <w:rPr>
          <w:color w:val="231F20"/>
          <w:spacing w:val="-1"/>
          <w:w w:val="115"/>
        </w:rPr>
        <w:t> </w:t>
      </w:r>
      <w:r>
        <w:rPr>
          <w:color w:val="231F20"/>
          <w:w w:val="115"/>
        </w:rPr>
        <w:t>capacité</w:t>
      </w:r>
      <w:r>
        <w:rPr>
          <w:color w:val="231F20"/>
          <w:spacing w:val="-1"/>
          <w:w w:val="115"/>
        </w:rPr>
        <w:t> </w:t>
      </w:r>
      <w:r>
        <w:rPr>
          <w:color w:val="231F20"/>
          <w:w w:val="115"/>
        </w:rPr>
        <w:t>concurren- </w:t>
      </w:r>
      <w:r>
        <w:rPr>
          <w:color w:val="231F20"/>
          <w:spacing w:val="-2"/>
          <w:w w:val="120"/>
        </w:rPr>
        <w:t>tielle</w:t>
      </w:r>
      <w:r>
        <w:rPr>
          <w:color w:val="231F20"/>
          <w:spacing w:val="-16"/>
          <w:w w:val="120"/>
        </w:rPr>
        <w:t> </w:t>
      </w:r>
      <w:r>
        <w:rPr>
          <w:color w:val="231F20"/>
          <w:spacing w:val="-2"/>
          <w:w w:val="120"/>
        </w:rPr>
        <w:t>de</w:t>
      </w:r>
      <w:r>
        <w:rPr>
          <w:color w:val="231F20"/>
          <w:spacing w:val="-16"/>
          <w:w w:val="120"/>
        </w:rPr>
        <w:t> </w:t>
      </w:r>
      <w:r>
        <w:rPr>
          <w:color w:val="231F20"/>
          <w:spacing w:val="-2"/>
          <w:w w:val="120"/>
        </w:rPr>
        <w:t>l’entreprise.</w:t>
      </w:r>
      <w:r>
        <w:rPr>
          <w:color w:val="231F20"/>
          <w:spacing w:val="-16"/>
          <w:w w:val="120"/>
        </w:rPr>
        <w:t> </w:t>
      </w:r>
      <w:r>
        <w:rPr>
          <w:color w:val="231F20"/>
          <w:spacing w:val="-2"/>
          <w:w w:val="120"/>
        </w:rPr>
        <w:t>Or</w:t>
      </w:r>
      <w:r>
        <w:rPr>
          <w:color w:val="231F20"/>
          <w:spacing w:val="-15"/>
          <w:w w:val="120"/>
        </w:rPr>
        <w:t> </w:t>
      </w:r>
      <w:r>
        <w:rPr>
          <w:color w:val="231F20"/>
          <w:spacing w:val="-2"/>
          <w:w w:val="120"/>
        </w:rPr>
        <w:t>cette</w:t>
      </w:r>
      <w:r>
        <w:rPr>
          <w:color w:val="231F20"/>
          <w:spacing w:val="-16"/>
          <w:w w:val="120"/>
        </w:rPr>
        <w:t> </w:t>
      </w:r>
      <w:r>
        <w:rPr>
          <w:color w:val="231F20"/>
          <w:spacing w:val="-2"/>
          <w:w w:val="120"/>
        </w:rPr>
        <w:t>quête</w:t>
      </w:r>
      <w:r>
        <w:rPr>
          <w:color w:val="231F20"/>
          <w:spacing w:val="-16"/>
          <w:w w:val="120"/>
        </w:rPr>
        <w:t> </w:t>
      </w:r>
      <w:r>
        <w:rPr>
          <w:color w:val="231F20"/>
          <w:spacing w:val="-2"/>
          <w:w w:val="120"/>
        </w:rPr>
        <w:t>de</w:t>
      </w:r>
      <w:r>
        <w:rPr>
          <w:color w:val="231F20"/>
          <w:spacing w:val="-15"/>
          <w:w w:val="120"/>
        </w:rPr>
        <w:t> </w:t>
      </w:r>
      <w:r>
        <w:rPr>
          <w:color w:val="231F20"/>
          <w:spacing w:val="-2"/>
          <w:w w:val="120"/>
        </w:rPr>
        <w:t>productivité</w:t>
      </w:r>
      <w:r>
        <w:rPr>
          <w:color w:val="231F20"/>
          <w:spacing w:val="-16"/>
          <w:w w:val="120"/>
        </w:rPr>
        <w:t> </w:t>
      </w:r>
      <w:r>
        <w:rPr>
          <w:color w:val="231F20"/>
          <w:spacing w:val="-2"/>
          <w:w w:val="120"/>
        </w:rPr>
        <w:t>survient</w:t>
      </w:r>
      <w:r>
        <w:rPr>
          <w:color w:val="231F20"/>
          <w:spacing w:val="-16"/>
          <w:w w:val="120"/>
        </w:rPr>
        <w:t> </w:t>
      </w:r>
      <w:r>
        <w:rPr>
          <w:color w:val="231F20"/>
          <w:spacing w:val="-2"/>
          <w:w w:val="120"/>
        </w:rPr>
        <w:t>à</w:t>
      </w:r>
      <w:r>
        <w:rPr>
          <w:color w:val="231F20"/>
          <w:spacing w:val="-15"/>
          <w:w w:val="120"/>
        </w:rPr>
        <w:t> </w:t>
      </w:r>
      <w:r>
        <w:rPr>
          <w:color w:val="231F20"/>
          <w:spacing w:val="-2"/>
          <w:w w:val="120"/>
        </w:rPr>
        <w:t>une</w:t>
      </w:r>
      <w:r>
        <w:rPr>
          <w:color w:val="231F20"/>
          <w:spacing w:val="-16"/>
          <w:w w:val="120"/>
        </w:rPr>
        <w:t> </w:t>
      </w:r>
      <w:r>
        <w:rPr>
          <w:color w:val="231F20"/>
          <w:spacing w:val="-2"/>
          <w:w w:val="120"/>
        </w:rPr>
        <w:t>époque</w:t>
      </w:r>
    </w:p>
    <w:p>
      <w:pPr>
        <w:spacing w:after="0" w:line="307" w:lineRule="auto"/>
        <w:jc w:val="both"/>
        <w:sectPr>
          <w:footerReference w:type="default" r:id="rId34"/>
          <w:pgSz w:w="8640" w:h="12960"/>
          <w:pgMar w:footer="0" w:header="0" w:top="1220" w:bottom="28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3"/>
        <w:jc w:val="both"/>
      </w:pPr>
      <w:r>
        <w:rPr>
          <w:color w:val="231F20"/>
          <w:w w:val="120"/>
        </w:rPr>
        <w:t>où</w:t>
      </w:r>
      <w:r>
        <w:rPr>
          <w:color w:val="231F20"/>
          <w:spacing w:val="-1"/>
          <w:w w:val="120"/>
        </w:rPr>
        <w:t> </w:t>
      </w:r>
      <w:r>
        <w:rPr>
          <w:color w:val="231F20"/>
          <w:w w:val="120"/>
        </w:rPr>
        <w:t>la</w:t>
      </w:r>
      <w:r>
        <w:rPr>
          <w:color w:val="231F20"/>
          <w:spacing w:val="-1"/>
          <w:w w:val="120"/>
        </w:rPr>
        <w:t> </w:t>
      </w:r>
      <w:r>
        <w:rPr>
          <w:color w:val="231F20"/>
          <w:w w:val="120"/>
        </w:rPr>
        <w:t>main-d’œuvre,</w:t>
      </w:r>
      <w:r>
        <w:rPr>
          <w:color w:val="231F20"/>
          <w:spacing w:val="-1"/>
          <w:w w:val="120"/>
        </w:rPr>
        <w:t> </w:t>
      </w:r>
      <w:r>
        <w:rPr>
          <w:color w:val="231F20"/>
          <w:w w:val="120"/>
        </w:rPr>
        <w:t>mieux</w:t>
      </w:r>
      <w:r>
        <w:rPr>
          <w:color w:val="231F20"/>
          <w:spacing w:val="-1"/>
          <w:w w:val="120"/>
        </w:rPr>
        <w:t> </w:t>
      </w:r>
      <w:r>
        <w:rPr>
          <w:color w:val="231F20"/>
          <w:w w:val="120"/>
        </w:rPr>
        <w:t>formée</w:t>
      </w:r>
      <w:r>
        <w:rPr>
          <w:color w:val="231F20"/>
          <w:spacing w:val="-1"/>
          <w:w w:val="120"/>
        </w:rPr>
        <w:t> </w:t>
      </w:r>
      <w:r>
        <w:rPr>
          <w:color w:val="231F20"/>
          <w:w w:val="120"/>
        </w:rPr>
        <w:t>qu’auparavant,</w:t>
      </w:r>
      <w:r>
        <w:rPr>
          <w:color w:val="231F20"/>
          <w:spacing w:val="-1"/>
          <w:w w:val="120"/>
        </w:rPr>
        <w:t> </w:t>
      </w:r>
      <w:r>
        <w:rPr>
          <w:color w:val="231F20"/>
          <w:w w:val="120"/>
        </w:rPr>
        <w:t>cherche</w:t>
      </w:r>
      <w:r>
        <w:rPr>
          <w:color w:val="231F20"/>
          <w:spacing w:val="-1"/>
          <w:w w:val="120"/>
        </w:rPr>
        <w:t> </w:t>
      </w:r>
      <w:r>
        <w:rPr>
          <w:color w:val="231F20"/>
          <w:w w:val="120"/>
        </w:rPr>
        <w:t>à</w:t>
      </w:r>
      <w:r>
        <w:rPr>
          <w:color w:val="231F20"/>
          <w:spacing w:val="-1"/>
          <w:w w:val="120"/>
        </w:rPr>
        <w:t> </w:t>
      </w:r>
      <w:r>
        <w:rPr>
          <w:color w:val="231F20"/>
          <w:w w:val="120"/>
        </w:rPr>
        <w:t>maîtriser </w:t>
      </w:r>
      <w:r>
        <w:rPr>
          <w:color w:val="231F20"/>
          <w:w w:val="115"/>
        </w:rPr>
        <w:t>son</w:t>
      </w:r>
      <w:r>
        <w:rPr>
          <w:color w:val="231F20"/>
          <w:spacing w:val="-4"/>
          <w:w w:val="115"/>
        </w:rPr>
        <w:t> </w:t>
      </w:r>
      <w:r>
        <w:rPr>
          <w:color w:val="231F20"/>
          <w:w w:val="115"/>
        </w:rPr>
        <w:t>travail</w:t>
      </w:r>
      <w:r>
        <w:rPr>
          <w:color w:val="231F20"/>
          <w:spacing w:val="-4"/>
          <w:w w:val="115"/>
        </w:rPr>
        <w:t> </w:t>
      </w:r>
      <w:r>
        <w:rPr>
          <w:color w:val="231F20"/>
          <w:w w:val="115"/>
        </w:rPr>
        <w:t>par</w:t>
      </w:r>
      <w:r>
        <w:rPr>
          <w:color w:val="231F20"/>
          <w:spacing w:val="-4"/>
          <w:w w:val="115"/>
        </w:rPr>
        <w:t> </w:t>
      </w:r>
      <w:r>
        <w:rPr>
          <w:color w:val="231F20"/>
          <w:w w:val="115"/>
        </w:rPr>
        <w:t>la</w:t>
      </w:r>
      <w:r>
        <w:rPr>
          <w:color w:val="231F20"/>
          <w:spacing w:val="-4"/>
          <w:w w:val="115"/>
        </w:rPr>
        <w:t> </w:t>
      </w:r>
      <w:r>
        <w:rPr>
          <w:color w:val="231F20"/>
          <w:w w:val="115"/>
        </w:rPr>
        <w:t>participation.</w:t>
      </w:r>
      <w:r>
        <w:rPr>
          <w:color w:val="231F20"/>
          <w:spacing w:val="-4"/>
          <w:w w:val="115"/>
        </w:rPr>
        <w:t> </w:t>
      </w:r>
      <w:r>
        <w:rPr>
          <w:color w:val="231F20"/>
          <w:w w:val="115"/>
        </w:rPr>
        <w:t>Les</w:t>
      </w:r>
      <w:r>
        <w:rPr>
          <w:color w:val="231F20"/>
          <w:spacing w:val="-4"/>
          <w:w w:val="115"/>
        </w:rPr>
        <w:t> </w:t>
      </w:r>
      <w:r>
        <w:rPr>
          <w:color w:val="231F20"/>
          <w:w w:val="115"/>
        </w:rPr>
        <w:t>travailleurs</w:t>
      </w:r>
      <w:r>
        <w:rPr>
          <w:color w:val="231F20"/>
          <w:spacing w:val="-4"/>
          <w:w w:val="115"/>
        </w:rPr>
        <w:t> </w:t>
      </w:r>
      <w:r>
        <w:rPr>
          <w:color w:val="231F20"/>
          <w:w w:val="115"/>
        </w:rPr>
        <w:t>ne</w:t>
      </w:r>
      <w:r>
        <w:rPr>
          <w:color w:val="231F20"/>
          <w:spacing w:val="-4"/>
          <w:w w:val="115"/>
        </w:rPr>
        <w:t> </w:t>
      </w:r>
      <w:r>
        <w:rPr>
          <w:color w:val="231F20"/>
          <w:w w:val="115"/>
        </w:rPr>
        <w:t>veulent</w:t>
      </w:r>
      <w:r>
        <w:rPr>
          <w:color w:val="231F20"/>
          <w:spacing w:val="-4"/>
          <w:w w:val="115"/>
        </w:rPr>
        <w:t> </w:t>
      </w:r>
      <w:r>
        <w:rPr>
          <w:color w:val="231F20"/>
          <w:w w:val="115"/>
        </w:rPr>
        <w:t>plus</w:t>
      </w:r>
      <w:r>
        <w:rPr>
          <w:color w:val="231F20"/>
          <w:spacing w:val="-4"/>
          <w:w w:val="115"/>
        </w:rPr>
        <w:t> </w:t>
      </w:r>
      <w:r>
        <w:rPr>
          <w:color w:val="231F20"/>
          <w:w w:val="115"/>
        </w:rPr>
        <w:t>être</w:t>
      </w:r>
      <w:r>
        <w:rPr>
          <w:color w:val="231F20"/>
          <w:spacing w:val="-4"/>
          <w:w w:val="115"/>
        </w:rPr>
        <w:t> </w:t>
      </w:r>
      <w:r>
        <w:rPr>
          <w:color w:val="231F20"/>
          <w:w w:val="115"/>
        </w:rPr>
        <w:t>consi- </w:t>
      </w:r>
      <w:r>
        <w:rPr>
          <w:color w:val="231F20"/>
          <w:w w:val="120"/>
        </w:rPr>
        <w:t>dérés</w:t>
      </w:r>
      <w:r>
        <w:rPr>
          <w:color w:val="231F20"/>
          <w:spacing w:val="-13"/>
          <w:w w:val="120"/>
        </w:rPr>
        <w:t> </w:t>
      </w:r>
      <w:r>
        <w:rPr>
          <w:color w:val="231F20"/>
          <w:w w:val="120"/>
        </w:rPr>
        <w:t>comme</w:t>
      </w:r>
      <w:r>
        <w:rPr>
          <w:color w:val="231F20"/>
          <w:spacing w:val="-13"/>
          <w:w w:val="120"/>
        </w:rPr>
        <w:t> </w:t>
      </w:r>
      <w:r>
        <w:rPr>
          <w:color w:val="231F20"/>
          <w:w w:val="120"/>
        </w:rPr>
        <w:t>les</w:t>
      </w:r>
      <w:r>
        <w:rPr>
          <w:color w:val="231F20"/>
          <w:spacing w:val="-12"/>
          <w:w w:val="120"/>
        </w:rPr>
        <w:t> </w:t>
      </w:r>
      <w:r>
        <w:rPr>
          <w:color w:val="231F20"/>
          <w:w w:val="120"/>
        </w:rPr>
        <w:t>rouages</w:t>
      </w:r>
      <w:r>
        <w:rPr>
          <w:color w:val="231F20"/>
          <w:spacing w:val="-13"/>
          <w:w w:val="120"/>
        </w:rPr>
        <w:t> </w:t>
      </w:r>
      <w:r>
        <w:rPr>
          <w:color w:val="231F20"/>
          <w:w w:val="120"/>
        </w:rPr>
        <w:t>d’une</w:t>
      </w:r>
      <w:r>
        <w:rPr>
          <w:color w:val="231F20"/>
          <w:spacing w:val="-13"/>
          <w:w w:val="120"/>
        </w:rPr>
        <w:t> </w:t>
      </w:r>
      <w:r>
        <w:rPr>
          <w:color w:val="231F20"/>
          <w:w w:val="120"/>
        </w:rPr>
        <w:t>mécanique</w:t>
      </w:r>
      <w:r>
        <w:rPr>
          <w:color w:val="231F20"/>
          <w:spacing w:val="-12"/>
          <w:w w:val="120"/>
        </w:rPr>
        <w:t> </w:t>
      </w:r>
      <w:r>
        <w:rPr>
          <w:color w:val="231F20"/>
          <w:w w:val="120"/>
        </w:rPr>
        <w:t>de</w:t>
      </w:r>
      <w:r>
        <w:rPr>
          <w:color w:val="231F20"/>
          <w:spacing w:val="-13"/>
          <w:w w:val="120"/>
        </w:rPr>
        <w:t> </w:t>
      </w:r>
      <w:r>
        <w:rPr>
          <w:color w:val="231F20"/>
          <w:w w:val="120"/>
        </w:rPr>
        <w:t>production;</w:t>
      </w:r>
      <w:r>
        <w:rPr>
          <w:color w:val="231F20"/>
          <w:spacing w:val="-13"/>
          <w:w w:val="120"/>
        </w:rPr>
        <w:t> </w:t>
      </w:r>
      <w:r>
        <w:rPr>
          <w:color w:val="231F20"/>
          <w:w w:val="120"/>
        </w:rPr>
        <w:t>ils</w:t>
      </w:r>
      <w:r>
        <w:rPr>
          <w:color w:val="231F20"/>
          <w:spacing w:val="-12"/>
          <w:w w:val="120"/>
        </w:rPr>
        <w:t> </w:t>
      </w:r>
      <w:r>
        <w:rPr>
          <w:color w:val="231F20"/>
          <w:w w:val="120"/>
        </w:rPr>
        <w:t>réclament de</w:t>
      </w:r>
      <w:r>
        <w:rPr>
          <w:color w:val="231F20"/>
          <w:spacing w:val="-13"/>
          <w:w w:val="120"/>
        </w:rPr>
        <w:t> </w:t>
      </w:r>
      <w:r>
        <w:rPr>
          <w:color w:val="231F20"/>
          <w:w w:val="120"/>
        </w:rPr>
        <w:t>nouvelles</w:t>
      </w:r>
      <w:r>
        <w:rPr>
          <w:color w:val="231F20"/>
          <w:spacing w:val="-13"/>
          <w:w w:val="120"/>
        </w:rPr>
        <w:t> </w:t>
      </w:r>
      <w:r>
        <w:rPr>
          <w:color w:val="231F20"/>
          <w:w w:val="120"/>
        </w:rPr>
        <w:t>approches</w:t>
      </w:r>
      <w:r>
        <w:rPr>
          <w:color w:val="231F20"/>
          <w:spacing w:val="-13"/>
          <w:w w:val="120"/>
        </w:rPr>
        <w:t> </w:t>
      </w:r>
      <w:r>
        <w:rPr>
          <w:color w:val="231F20"/>
          <w:w w:val="120"/>
        </w:rPr>
        <w:t>managériales</w:t>
      </w:r>
      <w:r>
        <w:rPr>
          <w:color w:val="231F20"/>
          <w:spacing w:val="-12"/>
          <w:w w:val="120"/>
        </w:rPr>
        <w:t> </w:t>
      </w:r>
      <w:r>
        <w:rPr>
          <w:color w:val="231F20"/>
          <w:w w:val="120"/>
        </w:rPr>
        <w:t>permettant</w:t>
      </w:r>
      <w:r>
        <w:rPr>
          <w:color w:val="231F20"/>
          <w:spacing w:val="-13"/>
          <w:w w:val="120"/>
        </w:rPr>
        <w:t> </w:t>
      </w:r>
      <w:r>
        <w:rPr>
          <w:color w:val="231F20"/>
          <w:w w:val="120"/>
        </w:rPr>
        <w:t>de</w:t>
      </w:r>
      <w:r>
        <w:rPr>
          <w:color w:val="231F20"/>
          <w:spacing w:val="-13"/>
          <w:w w:val="120"/>
        </w:rPr>
        <w:t> </w:t>
      </w:r>
      <w:r>
        <w:rPr>
          <w:color w:val="231F20"/>
          <w:w w:val="120"/>
        </w:rPr>
        <w:t>rehausser</w:t>
      </w:r>
      <w:r>
        <w:rPr>
          <w:color w:val="231F20"/>
          <w:spacing w:val="-13"/>
          <w:w w:val="120"/>
        </w:rPr>
        <w:t> </w:t>
      </w:r>
      <w:r>
        <w:rPr>
          <w:color w:val="231F20"/>
          <w:w w:val="120"/>
        </w:rPr>
        <w:t>du</w:t>
      </w:r>
      <w:r>
        <w:rPr>
          <w:color w:val="231F20"/>
          <w:spacing w:val="-12"/>
          <w:w w:val="120"/>
        </w:rPr>
        <w:t> </w:t>
      </w:r>
      <w:r>
        <w:rPr>
          <w:color w:val="231F20"/>
          <w:w w:val="120"/>
        </w:rPr>
        <w:t>même coup leur qualité de vie au travail et leur </w:t>
      </w:r>
      <w:r>
        <w:rPr>
          <w:color w:val="231F20"/>
          <w:w w:val="124"/>
        </w:rPr>
        <w:t>p</w:t>
      </w:r>
      <w:r>
        <w:rPr>
          <w:color w:val="231F20"/>
          <w:spacing w:val="-1"/>
          <w:w w:val="124"/>
        </w:rPr>
        <w:t>r</w:t>
      </w:r>
      <w:r>
        <w:rPr>
          <w:color w:val="231F20"/>
          <w:w w:val="123"/>
        </w:rPr>
        <w:t>odu</w:t>
      </w:r>
      <w:r>
        <w:rPr>
          <w:color w:val="231F20"/>
          <w:spacing w:val="1"/>
          <w:w w:val="123"/>
        </w:rPr>
        <w:t>c</w:t>
      </w:r>
      <w:r>
        <w:rPr>
          <w:color w:val="231F20"/>
          <w:w w:val="126"/>
        </w:rPr>
        <w:t>t</w:t>
      </w:r>
      <w:r>
        <w:rPr>
          <w:color w:val="231F20"/>
          <w:spacing w:val="-2"/>
          <w:w w:val="126"/>
        </w:rPr>
        <w:t>i</w:t>
      </w:r>
      <w:r>
        <w:rPr>
          <w:color w:val="231F20"/>
          <w:spacing w:val="2"/>
          <w:w w:val="119"/>
        </w:rPr>
        <w:t>v</w:t>
      </w:r>
      <w:r>
        <w:rPr>
          <w:color w:val="231F20"/>
          <w:spacing w:val="-2"/>
          <w:w w:val="112"/>
        </w:rPr>
        <w:t>i</w:t>
      </w:r>
      <w:r>
        <w:rPr>
          <w:color w:val="231F20"/>
          <w:spacing w:val="-1"/>
          <w:w w:val="139"/>
        </w:rPr>
        <w:t>t</w:t>
      </w:r>
      <w:r>
        <w:rPr>
          <w:color w:val="231F20"/>
          <w:w w:val="124"/>
        </w:rPr>
        <w:t>é</w:t>
      </w:r>
      <w:r>
        <w:rPr>
          <w:color w:val="231F20"/>
          <w:w w:val="65"/>
        </w:rPr>
        <w:t>1</w:t>
      </w:r>
      <w:r>
        <w:rPr>
          <w:color w:val="231F20"/>
          <w:w w:val="126"/>
        </w:rPr>
        <w:t>.</w:t>
      </w:r>
    </w:p>
    <w:p>
      <w:pPr>
        <w:pStyle w:val="BodyText"/>
        <w:spacing w:line="307" w:lineRule="auto" w:before="79"/>
        <w:ind w:left="790" w:right="632" w:firstLine="250"/>
        <w:jc w:val="both"/>
      </w:pPr>
      <w:r>
        <w:rPr>
          <w:color w:val="231F20"/>
          <w:w w:val="120"/>
        </w:rPr>
        <w:t>Le</w:t>
      </w:r>
      <w:r>
        <w:rPr>
          <w:color w:val="231F20"/>
          <w:spacing w:val="-8"/>
          <w:w w:val="120"/>
        </w:rPr>
        <w:t> </w:t>
      </w:r>
      <w:r>
        <w:rPr>
          <w:color w:val="231F20"/>
          <w:w w:val="120"/>
        </w:rPr>
        <w:t>présent</w:t>
      </w:r>
      <w:r>
        <w:rPr>
          <w:color w:val="231F20"/>
          <w:spacing w:val="-8"/>
          <w:w w:val="120"/>
        </w:rPr>
        <w:t> </w:t>
      </w:r>
      <w:r>
        <w:rPr>
          <w:color w:val="231F20"/>
          <w:w w:val="120"/>
        </w:rPr>
        <w:t>chapitre</w:t>
      </w:r>
      <w:r>
        <w:rPr>
          <w:color w:val="231F20"/>
          <w:spacing w:val="-8"/>
          <w:w w:val="120"/>
        </w:rPr>
        <w:t> </w:t>
      </w:r>
      <w:r>
        <w:rPr>
          <w:color w:val="231F20"/>
          <w:w w:val="120"/>
        </w:rPr>
        <w:t>porte</w:t>
      </w:r>
      <w:r>
        <w:rPr>
          <w:color w:val="231F20"/>
          <w:spacing w:val="-8"/>
          <w:w w:val="120"/>
        </w:rPr>
        <w:t> </w:t>
      </w:r>
      <w:r>
        <w:rPr>
          <w:color w:val="231F20"/>
          <w:w w:val="120"/>
        </w:rPr>
        <w:t>sur</w:t>
      </w:r>
      <w:r>
        <w:rPr>
          <w:color w:val="231F20"/>
          <w:spacing w:val="-8"/>
          <w:w w:val="120"/>
        </w:rPr>
        <w:t> </w:t>
      </w:r>
      <w:r>
        <w:rPr>
          <w:color w:val="231F20"/>
          <w:w w:val="120"/>
        </w:rPr>
        <w:t>certains</w:t>
      </w:r>
      <w:r>
        <w:rPr>
          <w:color w:val="231F20"/>
          <w:spacing w:val="-8"/>
          <w:w w:val="120"/>
        </w:rPr>
        <w:t> </w:t>
      </w:r>
      <w:r>
        <w:rPr>
          <w:color w:val="231F20"/>
          <w:w w:val="120"/>
        </w:rPr>
        <w:t>changements</w:t>
      </w:r>
      <w:r>
        <w:rPr>
          <w:color w:val="231F20"/>
          <w:spacing w:val="-8"/>
          <w:w w:val="120"/>
        </w:rPr>
        <w:t> </w:t>
      </w:r>
      <w:r>
        <w:rPr>
          <w:color w:val="231F20"/>
          <w:w w:val="120"/>
        </w:rPr>
        <w:t>organisationnels </w:t>
      </w:r>
      <w:r>
        <w:rPr>
          <w:color w:val="231F20"/>
          <w:spacing w:val="-2"/>
          <w:w w:val="120"/>
        </w:rPr>
        <w:t>qui</w:t>
      </w:r>
      <w:r>
        <w:rPr>
          <w:color w:val="231F20"/>
          <w:spacing w:val="-11"/>
          <w:w w:val="120"/>
        </w:rPr>
        <w:t> </w:t>
      </w:r>
      <w:r>
        <w:rPr>
          <w:color w:val="231F20"/>
          <w:spacing w:val="-2"/>
          <w:w w:val="120"/>
        </w:rPr>
        <w:t>permettent</w:t>
      </w:r>
      <w:r>
        <w:rPr>
          <w:color w:val="231F20"/>
          <w:spacing w:val="-11"/>
          <w:w w:val="120"/>
        </w:rPr>
        <w:t> </w:t>
      </w:r>
      <w:r>
        <w:rPr>
          <w:color w:val="231F20"/>
          <w:spacing w:val="-2"/>
          <w:w w:val="120"/>
        </w:rPr>
        <w:t>d’améliorer</w:t>
      </w:r>
      <w:r>
        <w:rPr>
          <w:color w:val="231F20"/>
          <w:spacing w:val="-10"/>
          <w:w w:val="120"/>
        </w:rPr>
        <w:t> </w:t>
      </w:r>
      <w:r>
        <w:rPr>
          <w:color w:val="231F20"/>
          <w:spacing w:val="-2"/>
          <w:w w:val="120"/>
        </w:rPr>
        <w:t>la</w:t>
      </w:r>
      <w:r>
        <w:rPr>
          <w:color w:val="231F20"/>
          <w:spacing w:val="-11"/>
          <w:w w:val="120"/>
        </w:rPr>
        <w:t> </w:t>
      </w:r>
      <w:r>
        <w:rPr>
          <w:color w:val="231F20"/>
          <w:spacing w:val="-2"/>
          <w:w w:val="120"/>
        </w:rPr>
        <w:t>qualité</w:t>
      </w:r>
      <w:r>
        <w:rPr>
          <w:color w:val="231F20"/>
          <w:spacing w:val="-11"/>
          <w:w w:val="120"/>
        </w:rPr>
        <w:t> </w:t>
      </w:r>
      <w:r>
        <w:rPr>
          <w:color w:val="231F20"/>
          <w:spacing w:val="-2"/>
          <w:w w:val="120"/>
        </w:rPr>
        <w:t>de</w:t>
      </w:r>
      <w:r>
        <w:rPr>
          <w:color w:val="231F20"/>
          <w:spacing w:val="-10"/>
          <w:w w:val="120"/>
        </w:rPr>
        <w:t> </w:t>
      </w:r>
      <w:r>
        <w:rPr>
          <w:color w:val="231F20"/>
          <w:spacing w:val="-2"/>
          <w:w w:val="120"/>
        </w:rPr>
        <w:t>vie</w:t>
      </w:r>
      <w:r>
        <w:rPr>
          <w:color w:val="231F20"/>
          <w:spacing w:val="-11"/>
          <w:w w:val="120"/>
        </w:rPr>
        <w:t> </w:t>
      </w:r>
      <w:r>
        <w:rPr>
          <w:color w:val="231F20"/>
          <w:spacing w:val="-2"/>
          <w:w w:val="120"/>
        </w:rPr>
        <w:t>au</w:t>
      </w:r>
      <w:r>
        <w:rPr>
          <w:color w:val="231F20"/>
          <w:spacing w:val="-11"/>
          <w:w w:val="120"/>
        </w:rPr>
        <w:t> </w:t>
      </w:r>
      <w:r>
        <w:rPr>
          <w:color w:val="231F20"/>
          <w:spacing w:val="-2"/>
          <w:w w:val="120"/>
        </w:rPr>
        <w:t>travail</w:t>
      </w:r>
      <w:r>
        <w:rPr>
          <w:color w:val="231F20"/>
          <w:spacing w:val="-10"/>
          <w:w w:val="120"/>
        </w:rPr>
        <w:t> </w:t>
      </w:r>
      <w:r>
        <w:rPr>
          <w:color w:val="231F20"/>
          <w:spacing w:val="-2"/>
          <w:w w:val="120"/>
        </w:rPr>
        <w:t>sans</w:t>
      </w:r>
      <w:r>
        <w:rPr>
          <w:color w:val="231F20"/>
          <w:spacing w:val="-11"/>
          <w:w w:val="120"/>
        </w:rPr>
        <w:t> </w:t>
      </w:r>
      <w:r>
        <w:rPr>
          <w:color w:val="231F20"/>
          <w:spacing w:val="-2"/>
          <w:w w:val="120"/>
        </w:rPr>
        <w:t>compromettre </w:t>
      </w:r>
      <w:r>
        <w:rPr>
          <w:color w:val="231F20"/>
          <w:w w:val="120"/>
        </w:rPr>
        <w:t>la productivité de l’organisation. En fait, il permettra de considérer la qualité de vie et la santé psychologique au travail comme des leviers de maximisation de la performance, et non comme des antagonistes </w:t>
      </w:r>
      <w:r>
        <w:rPr>
          <w:color w:val="231F20"/>
          <w:spacing w:val="-2"/>
          <w:w w:val="120"/>
        </w:rPr>
        <w:t>naturels.</w:t>
      </w:r>
      <w:r>
        <w:rPr>
          <w:color w:val="231F20"/>
          <w:spacing w:val="-6"/>
          <w:w w:val="120"/>
        </w:rPr>
        <w:t> </w:t>
      </w:r>
      <w:r>
        <w:rPr>
          <w:color w:val="231F20"/>
          <w:spacing w:val="-2"/>
          <w:w w:val="120"/>
        </w:rPr>
        <w:t>C’est</w:t>
      </w:r>
      <w:r>
        <w:rPr>
          <w:color w:val="231F20"/>
          <w:spacing w:val="-6"/>
          <w:w w:val="120"/>
        </w:rPr>
        <w:t> </w:t>
      </w:r>
      <w:r>
        <w:rPr>
          <w:color w:val="231F20"/>
          <w:spacing w:val="-2"/>
          <w:w w:val="120"/>
        </w:rPr>
        <w:t>d’ailleurs</w:t>
      </w:r>
      <w:r>
        <w:rPr>
          <w:color w:val="231F20"/>
          <w:spacing w:val="-6"/>
          <w:w w:val="120"/>
        </w:rPr>
        <w:t> </w:t>
      </w:r>
      <w:r>
        <w:rPr>
          <w:color w:val="231F20"/>
          <w:spacing w:val="-2"/>
          <w:w w:val="120"/>
        </w:rPr>
        <w:t>la</w:t>
      </w:r>
      <w:r>
        <w:rPr>
          <w:color w:val="231F20"/>
          <w:spacing w:val="-6"/>
          <w:w w:val="120"/>
        </w:rPr>
        <w:t> </w:t>
      </w:r>
      <w:r>
        <w:rPr>
          <w:color w:val="231F20"/>
          <w:spacing w:val="-2"/>
          <w:w w:val="120"/>
        </w:rPr>
        <w:t>vision</w:t>
      </w:r>
      <w:r>
        <w:rPr>
          <w:color w:val="231F20"/>
          <w:spacing w:val="-6"/>
          <w:w w:val="120"/>
        </w:rPr>
        <w:t> </w:t>
      </w:r>
      <w:r>
        <w:rPr>
          <w:color w:val="231F20"/>
          <w:spacing w:val="-2"/>
          <w:w w:val="120"/>
        </w:rPr>
        <w:t>qui</w:t>
      </w:r>
      <w:r>
        <w:rPr>
          <w:color w:val="231F20"/>
          <w:spacing w:val="-6"/>
          <w:w w:val="120"/>
        </w:rPr>
        <w:t> </w:t>
      </w:r>
      <w:r>
        <w:rPr>
          <w:color w:val="231F20"/>
          <w:spacing w:val="-2"/>
          <w:w w:val="120"/>
        </w:rPr>
        <w:t>est</w:t>
      </w:r>
      <w:r>
        <w:rPr>
          <w:color w:val="231F20"/>
          <w:spacing w:val="-6"/>
          <w:w w:val="120"/>
        </w:rPr>
        <w:t> </w:t>
      </w:r>
      <w:r>
        <w:rPr>
          <w:color w:val="231F20"/>
          <w:spacing w:val="-2"/>
          <w:w w:val="120"/>
        </w:rPr>
        <w:t>de</w:t>
      </w:r>
      <w:r>
        <w:rPr>
          <w:color w:val="231F20"/>
          <w:spacing w:val="-6"/>
          <w:w w:val="120"/>
        </w:rPr>
        <w:t> </w:t>
      </w:r>
      <w:r>
        <w:rPr>
          <w:color w:val="231F20"/>
          <w:spacing w:val="-2"/>
          <w:w w:val="120"/>
        </w:rPr>
        <w:t>plus</w:t>
      </w:r>
      <w:r>
        <w:rPr>
          <w:color w:val="231F20"/>
          <w:spacing w:val="-6"/>
          <w:w w:val="120"/>
        </w:rPr>
        <w:t> </w:t>
      </w:r>
      <w:r>
        <w:rPr>
          <w:color w:val="231F20"/>
          <w:spacing w:val="-2"/>
          <w:w w:val="120"/>
        </w:rPr>
        <w:t>en</w:t>
      </w:r>
      <w:r>
        <w:rPr>
          <w:color w:val="231F20"/>
          <w:spacing w:val="-6"/>
          <w:w w:val="120"/>
        </w:rPr>
        <w:t> </w:t>
      </w:r>
      <w:r>
        <w:rPr>
          <w:color w:val="231F20"/>
          <w:spacing w:val="-2"/>
          <w:w w:val="120"/>
        </w:rPr>
        <w:t>plus</w:t>
      </w:r>
      <w:r>
        <w:rPr>
          <w:color w:val="231F20"/>
          <w:spacing w:val="-6"/>
          <w:w w:val="120"/>
        </w:rPr>
        <w:t> </w:t>
      </w:r>
      <w:r>
        <w:rPr>
          <w:color w:val="231F20"/>
          <w:spacing w:val="-2"/>
          <w:w w:val="120"/>
        </w:rPr>
        <w:t>partagée</w:t>
      </w:r>
      <w:r>
        <w:rPr>
          <w:color w:val="231F20"/>
          <w:spacing w:val="-6"/>
          <w:w w:val="120"/>
        </w:rPr>
        <w:t> </w:t>
      </w:r>
      <w:r>
        <w:rPr>
          <w:color w:val="231F20"/>
          <w:spacing w:val="-2"/>
          <w:w w:val="120"/>
        </w:rPr>
        <w:t>par</w:t>
      </w:r>
      <w:r>
        <w:rPr>
          <w:color w:val="231F20"/>
          <w:spacing w:val="-6"/>
          <w:w w:val="120"/>
        </w:rPr>
        <w:t> </w:t>
      </w:r>
      <w:r>
        <w:rPr>
          <w:color w:val="231F20"/>
          <w:spacing w:val="-2"/>
          <w:w w:val="120"/>
        </w:rPr>
        <w:t>un </w:t>
      </w:r>
      <w:r>
        <w:rPr>
          <w:color w:val="231F20"/>
          <w:w w:val="120"/>
        </w:rPr>
        <w:t>bon nombre d’entreprises2.</w:t>
      </w:r>
    </w:p>
    <w:p>
      <w:pPr>
        <w:pStyle w:val="BodyText"/>
        <w:spacing w:line="307" w:lineRule="auto" w:before="79"/>
        <w:ind w:left="790" w:right="633" w:firstLine="250"/>
        <w:jc w:val="both"/>
      </w:pPr>
      <w:r>
        <w:rPr>
          <w:color w:val="231F20"/>
          <w:spacing w:val="-2"/>
          <w:w w:val="120"/>
        </w:rPr>
        <w:t>Par</w:t>
      </w:r>
      <w:r>
        <w:rPr>
          <w:color w:val="231F20"/>
          <w:spacing w:val="-8"/>
          <w:w w:val="120"/>
        </w:rPr>
        <w:t> </w:t>
      </w:r>
      <w:r>
        <w:rPr>
          <w:color w:val="231F20"/>
          <w:spacing w:val="-2"/>
          <w:w w:val="120"/>
        </w:rPr>
        <w:t>le</w:t>
      </w:r>
      <w:r>
        <w:rPr>
          <w:color w:val="231F20"/>
          <w:spacing w:val="-8"/>
          <w:w w:val="120"/>
        </w:rPr>
        <w:t> </w:t>
      </w:r>
      <w:r>
        <w:rPr>
          <w:color w:val="231F20"/>
          <w:spacing w:val="-2"/>
          <w:w w:val="120"/>
        </w:rPr>
        <w:t>passé,</w:t>
      </w:r>
      <w:r>
        <w:rPr>
          <w:color w:val="231F20"/>
          <w:spacing w:val="-8"/>
          <w:w w:val="120"/>
        </w:rPr>
        <w:t> </w:t>
      </w:r>
      <w:r>
        <w:rPr>
          <w:color w:val="231F20"/>
          <w:spacing w:val="-2"/>
          <w:w w:val="120"/>
        </w:rPr>
        <w:t>les</w:t>
      </w:r>
      <w:r>
        <w:rPr>
          <w:color w:val="231F20"/>
          <w:spacing w:val="-8"/>
          <w:w w:val="120"/>
        </w:rPr>
        <w:t> </w:t>
      </w:r>
      <w:r>
        <w:rPr>
          <w:color w:val="231F20"/>
          <w:spacing w:val="-2"/>
          <w:w w:val="120"/>
        </w:rPr>
        <w:t>efforts</w:t>
      </w:r>
      <w:r>
        <w:rPr>
          <w:color w:val="231F20"/>
          <w:spacing w:val="-8"/>
          <w:w w:val="120"/>
        </w:rPr>
        <w:t> </w:t>
      </w:r>
      <w:r>
        <w:rPr>
          <w:color w:val="231F20"/>
          <w:spacing w:val="-2"/>
          <w:w w:val="120"/>
        </w:rPr>
        <w:t>déployés</w:t>
      </w:r>
      <w:r>
        <w:rPr>
          <w:color w:val="231F20"/>
          <w:spacing w:val="-8"/>
          <w:w w:val="120"/>
        </w:rPr>
        <w:t> </w:t>
      </w:r>
      <w:r>
        <w:rPr>
          <w:color w:val="231F20"/>
          <w:spacing w:val="-2"/>
          <w:w w:val="120"/>
        </w:rPr>
        <w:t>pour</w:t>
      </w:r>
      <w:r>
        <w:rPr>
          <w:color w:val="231F20"/>
          <w:spacing w:val="-8"/>
          <w:w w:val="120"/>
        </w:rPr>
        <w:t> </w:t>
      </w:r>
      <w:r>
        <w:rPr>
          <w:color w:val="231F20"/>
          <w:spacing w:val="-2"/>
          <w:w w:val="120"/>
        </w:rPr>
        <w:t>accroître</w:t>
      </w:r>
      <w:r>
        <w:rPr>
          <w:color w:val="231F20"/>
          <w:spacing w:val="-8"/>
          <w:w w:val="120"/>
        </w:rPr>
        <w:t> </w:t>
      </w:r>
      <w:r>
        <w:rPr>
          <w:color w:val="231F20"/>
          <w:spacing w:val="-2"/>
          <w:w w:val="120"/>
        </w:rPr>
        <w:t>la</w:t>
      </w:r>
      <w:r>
        <w:rPr>
          <w:color w:val="231F20"/>
          <w:spacing w:val="-8"/>
          <w:w w:val="120"/>
        </w:rPr>
        <w:t> </w:t>
      </w:r>
      <w:r>
        <w:rPr>
          <w:color w:val="231F20"/>
          <w:spacing w:val="-2"/>
          <w:w w:val="120"/>
        </w:rPr>
        <w:t>productivité</w:t>
      </w:r>
      <w:r>
        <w:rPr>
          <w:color w:val="231F20"/>
          <w:spacing w:val="-8"/>
          <w:w w:val="120"/>
        </w:rPr>
        <w:t> </w:t>
      </w:r>
      <w:r>
        <w:rPr>
          <w:color w:val="231F20"/>
          <w:spacing w:val="-2"/>
          <w:w w:val="120"/>
        </w:rPr>
        <w:t>étaient </w:t>
      </w:r>
      <w:r>
        <w:rPr>
          <w:color w:val="231F20"/>
          <w:w w:val="120"/>
        </w:rPr>
        <w:t>axés</w:t>
      </w:r>
      <w:r>
        <w:rPr>
          <w:color w:val="231F20"/>
          <w:spacing w:val="-5"/>
          <w:w w:val="120"/>
        </w:rPr>
        <w:t> </w:t>
      </w:r>
      <w:r>
        <w:rPr>
          <w:color w:val="231F20"/>
          <w:w w:val="120"/>
        </w:rPr>
        <w:t>sur</w:t>
      </w:r>
      <w:r>
        <w:rPr>
          <w:color w:val="231F20"/>
          <w:spacing w:val="-5"/>
          <w:w w:val="120"/>
        </w:rPr>
        <w:t> </w:t>
      </w:r>
      <w:r>
        <w:rPr>
          <w:color w:val="231F20"/>
          <w:w w:val="120"/>
        </w:rPr>
        <w:t>les</w:t>
      </w:r>
      <w:r>
        <w:rPr>
          <w:color w:val="231F20"/>
          <w:spacing w:val="-5"/>
          <w:w w:val="120"/>
        </w:rPr>
        <w:t> </w:t>
      </w:r>
      <w:r>
        <w:rPr>
          <w:color w:val="231F20"/>
          <w:w w:val="120"/>
        </w:rPr>
        <w:t>changements</w:t>
      </w:r>
      <w:r>
        <w:rPr>
          <w:color w:val="231F20"/>
          <w:spacing w:val="-5"/>
          <w:w w:val="120"/>
        </w:rPr>
        <w:t> </w:t>
      </w:r>
      <w:r>
        <w:rPr>
          <w:color w:val="231F20"/>
          <w:w w:val="120"/>
        </w:rPr>
        <w:t>technologiques;</w:t>
      </w:r>
      <w:r>
        <w:rPr>
          <w:color w:val="231F20"/>
          <w:spacing w:val="-5"/>
          <w:w w:val="120"/>
        </w:rPr>
        <w:t> </w:t>
      </w:r>
      <w:r>
        <w:rPr>
          <w:color w:val="231F20"/>
          <w:w w:val="120"/>
        </w:rPr>
        <w:t>avec</w:t>
      </w:r>
      <w:r>
        <w:rPr>
          <w:color w:val="231F20"/>
          <w:spacing w:val="-5"/>
          <w:w w:val="120"/>
        </w:rPr>
        <w:t> </w:t>
      </w:r>
      <w:r>
        <w:rPr>
          <w:color w:val="231F20"/>
          <w:w w:val="120"/>
        </w:rPr>
        <w:t>le</w:t>
      </w:r>
      <w:r>
        <w:rPr>
          <w:color w:val="231F20"/>
          <w:spacing w:val="-5"/>
          <w:w w:val="120"/>
        </w:rPr>
        <w:t> </w:t>
      </w:r>
      <w:r>
        <w:rPr>
          <w:color w:val="231F20"/>
          <w:w w:val="120"/>
        </w:rPr>
        <w:t>temps,</w:t>
      </w:r>
      <w:r>
        <w:rPr>
          <w:color w:val="231F20"/>
          <w:spacing w:val="-5"/>
          <w:w w:val="120"/>
        </w:rPr>
        <w:t> </w:t>
      </w:r>
      <w:r>
        <w:rPr>
          <w:color w:val="231F20"/>
          <w:w w:val="120"/>
        </w:rPr>
        <w:t>ces</w:t>
      </w:r>
      <w:r>
        <w:rPr>
          <w:color w:val="231F20"/>
          <w:spacing w:val="-5"/>
          <w:w w:val="120"/>
        </w:rPr>
        <w:t> </w:t>
      </w:r>
      <w:r>
        <w:rPr>
          <w:color w:val="231F20"/>
          <w:w w:val="120"/>
        </w:rPr>
        <w:t>tentatives ont eu un effet secondaire notable: la détérioration de la qualité de vie au</w:t>
      </w:r>
      <w:r>
        <w:rPr>
          <w:color w:val="231F20"/>
          <w:spacing w:val="-13"/>
          <w:w w:val="120"/>
        </w:rPr>
        <w:t> </w:t>
      </w:r>
      <w:r>
        <w:rPr>
          <w:color w:val="231F20"/>
          <w:w w:val="120"/>
        </w:rPr>
        <w:t>travail</w:t>
      </w:r>
      <w:r>
        <w:rPr>
          <w:color w:val="231F20"/>
          <w:spacing w:val="-13"/>
          <w:w w:val="120"/>
        </w:rPr>
        <w:t> </w:t>
      </w:r>
      <w:r>
        <w:rPr>
          <w:color w:val="231F20"/>
          <w:w w:val="120"/>
        </w:rPr>
        <w:t>chez</w:t>
      </w:r>
      <w:r>
        <w:rPr>
          <w:color w:val="231F20"/>
          <w:spacing w:val="-13"/>
          <w:w w:val="120"/>
        </w:rPr>
        <w:t> </w:t>
      </w:r>
      <w:r>
        <w:rPr>
          <w:color w:val="231F20"/>
          <w:w w:val="120"/>
        </w:rPr>
        <w:t>un</w:t>
      </w:r>
      <w:r>
        <w:rPr>
          <w:color w:val="231F20"/>
          <w:spacing w:val="-12"/>
          <w:w w:val="120"/>
        </w:rPr>
        <w:t> </w:t>
      </w:r>
      <w:r>
        <w:rPr>
          <w:color w:val="231F20"/>
          <w:w w:val="120"/>
        </w:rPr>
        <w:t>nombre</w:t>
      </w:r>
      <w:r>
        <w:rPr>
          <w:color w:val="231F20"/>
          <w:spacing w:val="-13"/>
          <w:w w:val="120"/>
        </w:rPr>
        <w:t> </w:t>
      </w:r>
      <w:r>
        <w:rPr>
          <w:color w:val="231F20"/>
          <w:w w:val="120"/>
        </w:rPr>
        <w:t>croissant</w:t>
      </w:r>
      <w:r>
        <w:rPr>
          <w:color w:val="231F20"/>
          <w:spacing w:val="-13"/>
          <w:w w:val="120"/>
        </w:rPr>
        <w:t> </w:t>
      </w:r>
      <w:r>
        <w:rPr>
          <w:color w:val="231F20"/>
          <w:w w:val="120"/>
        </w:rPr>
        <w:t>d’employés.</w:t>
      </w:r>
      <w:r>
        <w:rPr>
          <w:color w:val="231F20"/>
          <w:spacing w:val="-13"/>
          <w:w w:val="120"/>
        </w:rPr>
        <w:t> </w:t>
      </w:r>
      <w:r>
        <w:rPr>
          <w:color w:val="231F20"/>
          <w:w w:val="120"/>
        </w:rPr>
        <w:t>En</w:t>
      </w:r>
      <w:r>
        <w:rPr>
          <w:color w:val="231F20"/>
          <w:spacing w:val="-12"/>
          <w:w w:val="120"/>
        </w:rPr>
        <w:t> </w:t>
      </w:r>
      <w:r>
        <w:rPr>
          <w:color w:val="231F20"/>
          <w:w w:val="120"/>
        </w:rPr>
        <w:t>général,</w:t>
      </w:r>
      <w:r>
        <w:rPr>
          <w:color w:val="231F20"/>
          <w:spacing w:val="-13"/>
          <w:w w:val="120"/>
        </w:rPr>
        <w:t> </w:t>
      </w:r>
      <w:r>
        <w:rPr>
          <w:color w:val="231F20"/>
          <w:w w:val="120"/>
        </w:rPr>
        <w:t>on</w:t>
      </w:r>
      <w:r>
        <w:rPr>
          <w:color w:val="231F20"/>
          <w:spacing w:val="-13"/>
          <w:w w:val="120"/>
        </w:rPr>
        <w:t> </w:t>
      </w:r>
      <w:r>
        <w:rPr>
          <w:color w:val="231F20"/>
          <w:w w:val="120"/>
        </w:rPr>
        <w:t>deman- dait</w:t>
      </w:r>
      <w:r>
        <w:rPr>
          <w:color w:val="231F20"/>
          <w:spacing w:val="-13"/>
          <w:w w:val="120"/>
        </w:rPr>
        <w:t> </w:t>
      </w:r>
      <w:r>
        <w:rPr>
          <w:color w:val="231F20"/>
          <w:w w:val="120"/>
        </w:rPr>
        <w:t>au</w:t>
      </w:r>
      <w:r>
        <w:rPr>
          <w:color w:val="231F20"/>
          <w:spacing w:val="-13"/>
          <w:w w:val="120"/>
        </w:rPr>
        <w:t> </w:t>
      </w:r>
      <w:r>
        <w:rPr>
          <w:color w:val="231F20"/>
          <w:w w:val="120"/>
        </w:rPr>
        <w:t>personnel</w:t>
      </w:r>
      <w:r>
        <w:rPr>
          <w:color w:val="231F20"/>
          <w:spacing w:val="-13"/>
          <w:w w:val="120"/>
        </w:rPr>
        <w:t> </w:t>
      </w:r>
      <w:r>
        <w:rPr>
          <w:color w:val="231F20"/>
          <w:w w:val="120"/>
        </w:rPr>
        <w:t>de</w:t>
      </w:r>
      <w:r>
        <w:rPr>
          <w:color w:val="231F20"/>
          <w:spacing w:val="-12"/>
          <w:w w:val="120"/>
        </w:rPr>
        <w:t> </w:t>
      </w:r>
      <w:r>
        <w:rPr>
          <w:color w:val="231F20"/>
          <w:w w:val="120"/>
        </w:rPr>
        <w:t>travailler</w:t>
      </w:r>
      <w:r>
        <w:rPr>
          <w:color w:val="231F20"/>
          <w:spacing w:val="-13"/>
          <w:w w:val="120"/>
        </w:rPr>
        <w:t> </w:t>
      </w:r>
      <w:r>
        <w:rPr>
          <w:color w:val="231F20"/>
          <w:w w:val="120"/>
        </w:rPr>
        <w:t>plus</w:t>
      </w:r>
      <w:r>
        <w:rPr>
          <w:color w:val="231F20"/>
          <w:spacing w:val="-13"/>
          <w:w w:val="120"/>
        </w:rPr>
        <w:t> </w:t>
      </w:r>
      <w:r>
        <w:rPr>
          <w:color w:val="231F20"/>
          <w:w w:val="120"/>
        </w:rPr>
        <w:t>rapidement,</w:t>
      </w:r>
      <w:r>
        <w:rPr>
          <w:color w:val="231F20"/>
          <w:spacing w:val="-13"/>
          <w:w w:val="120"/>
        </w:rPr>
        <w:t> </w:t>
      </w:r>
      <w:r>
        <w:rPr>
          <w:color w:val="231F20"/>
          <w:w w:val="120"/>
        </w:rPr>
        <w:t>d’être</w:t>
      </w:r>
      <w:r>
        <w:rPr>
          <w:color w:val="231F20"/>
          <w:spacing w:val="-12"/>
          <w:w w:val="120"/>
        </w:rPr>
        <w:t> </w:t>
      </w:r>
      <w:r>
        <w:rPr>
          <w:color w:val="231F20"/>
          <w:w w:val="120"/>
        </w:rPr>
        <w:t>plus</w:t>
      </w:r>
      <w:r>
        <w:rPr>
          <w:color w:val="231F20"/>
          <w:spacing w:val="-13"/>
          <w:w w:val="120"/>
        </w:rPr>
        <w:t> </w:t>
      </w:r>
      <w:r>
        <w:rPr>
          <w:color w:val="231F20"/>
          <w:w w:val="120"/>
        </w:rPr>
        <w:t>productif,</w:t>
      </w:r>
      <w:r>
        <w:rPr>
          <w:color w:val="231F20"/>
          <w:spacing w:val="-13"/>
          <w:w w:val="120"/>
        </w:rPr>
        <w:t> </w:t>
      </w:r>
      <w:r>
        <w:rPr>
          <w:color w:val="231F20"/>
          <w:w w:val="120"/>
        </w:rPr>
        <w:t>de passer</w:t>
      </w:r>
      <w:r>
        <w:rPr>
          <w:color w:val="231F20"/>
          <w:spacing w:val="-8"/>
          <w:w w:val="120"/>
        </w:rPr>
        <w:t> </w:t>
      </w:r>
      <w:r>
        <w:rPr>
          <w:color w:val="231F20"/>
          <w:w w:val="120"/>
        </w:rPr>
        <w:t>moins</w:t>
      </w:r>
      <w:r>
        <w:rPr>
          <w:color w:val="231F20"/>
          <w:spacing w:val="-8"/>
          <w:w w:val="120"/>
        </w:rPr>
        <w:t> </w:t>
      </w:r>
      <w:r>
        <w:rPr>
          <w:color w:val="231F20"/>
          <w:w w:val="120"/>
        </w:rPr>
        <w:t>de</w:t>
      </w:r>
      <w:r>
        <w:rPr>
          <w:color w:val="231F20"/>
          <w:spacing w:val="-8"/>
          <w:w w:val="120"/>
        </w:rPr>
        <w:t> </w:t>
      </w:r>
      <w:r>
        <w:rPr>
          <w:color w:val="231F20"/>
          <w:w w:val="120"/>
        </w:rPr>
        <w:t>temps</w:t>
      </w:r>
      <w:r>
        <w:rPr>
          <w:color w:val="231F20"/>
          <w:spacing w:val="-8"/>
          <w:w w:val="120"/>
        </w:rPr>
        <w:t> </w:t>
      </w:r>
      <w:r>
        <w:rPr>
          <w:color w:val="231F20"/>
          <w:w w:val="120"/>
        </w:rPr>
        <w:t>à</w:t>
      </w:r>
      <w:r>
        <w:rPr>
          <w:color w:val="231F20"/>
          <w:spacing w:val="-8"/>
          <w:w w:val="120"/>
        </w:rPr>
        <w:t> </w:t>
      </w:r>
      <w:r>
        <w:rPr>
          <w:color w:val="231F20"/>
          <w:w w:val="120"/>
        </w:rPr>
        <w:t>réfléchir</w:t>
      </w:r>
      <w:r>
        <w:rPr>
          <w:color w:val="231F20"/>
          <w:spacing w:val="-8"/>
          <w:w w:val="120"/>
        </w:rPr>
        <w:t> </w:t>
      </w:r>
      <w:r>
        <w:rPr>
          <w:color w:val="231F20"/>
          <w:w w:val="120"/>
        </w:rPr>
        <w:t>et</w:t>
      </w:r>
      <w:r>
        <w:rPr>
          <w:color w:val="231F20"/>
          <w:spacing w:val="-8"/>
          <w:w w:val="120"/>
        </w:rPr>
        <w:t> </w:t>
      </w:r>
      <w:r>
        <w:rPr>
          <w:color w:val="231F20"/>
          <w:w w:val="120"/>
        </w:rPr>
        <w:t>de</w:t>
      </w:r>
      <w:r>
        <w:rPr>
          <w:color w:val="231F20"/>
          <w:spacing w:val="-8"/>
          <w:w w:val="120"/>
        </w:rPr>
        <w:t> </w:t>
      </w:r>
      <w:r>
        <w:rPr>
          <w:color w:val="231F20"/>
          <w:w w:val="120"/>
        </w:rPr>
        <w:t>programmer</w:t>
      </w:r>
      <w:r>
        <w:rPr>
          <w:color w:val="231F20"/>
          <w:spacing w:val="-8"/>
          <w:w w:val="120"/>
        </w:rPr>
        <w:t> </w:t>
      </w:r>
      <w:r>
        <w:rPr>
          <w:color w:val="231F20"/>
          <w:w w:val="120"/>
        </w:rPr>
        <w:t>leurs</w:t>
      </w:r>
      <w:r>
        <w:rPr>
          <w:color w:val="231F20"/>
          <w:spacing w:val="-8"/>
          <w:w w:val="120"/>
        </w:rPr>
        <w:t> </w:t>
      </w:r>
      <w:r>
        <w:rPr>
          <w:color w:val="231F20"/>
          <w:w w:val="120"/>
        </w:rPr>
        <w:t>activités</w:t>
      </w:r>
      <w:r>
        <w:rPr>
          <w:color w:val="231F20"/>
          <w:spacing w:val="-8"/>
          <w:w w:val="120"/>
        </w:rPr>
        <w:t> </w:t>
      </w:r>
      <w:r>
        <w:rPr>
          <w:color w:val="231F20"/>
          <w:w w:val="120"/>
        </w:rPr>
        <w:t>pro- fessionnelles</w:t>
      </w:r>
      <w:r>
        <w:rPr>
          <w:color w:val="231F20"/>
          <w:spacing w:val="-9"/>
          <w:w w:val="120"/>
        </w:rPr>
        <w:t> </w:t>
      </w:r>
      <w:r>
        <w:rPr>
          <w:color w:val="231F20"/>
          <w:w w:val="120"/>
        </w:rPr>
        <w:t>en</w:t>
      </w:r>
      <w:r>
        <w:rPr>
          <w:color w:val="231F20"/>
          <w:spacing w:val="-9"/>
          <w:w w:val="120"/>
        </w:rPr>
        <w:t> </w:t>
      </w:r>
      <w:r>
        <w:rPr>
          <w:color w:val="231F20"/>
          <w:w w:val="120"/>
        </w:rPr>
        <w:t>fonction</w:t>
      </w:r>
      <w:r>
        <w:rPr>
          <w:color w:val="231F20"/>
          <w:spacing w:val="-9"/>
          <w:w w:val="120"/>
        </w:rPr>
        <w:t> </w:t>
      </w:r>
      <w:r>
        <w:rPr>
          <w:color w:val="231F20"/>
          <w:w w:val="120"/>
        </w:rPr>
        <w:t>des</w:t>
      </w:r>
      <w:r>
        <w:rPr>
          <w:color w:val="231F20"/>
          <w:spacing w:val="-9"/>
          <w:w w:val="120"/>
        </w:rPr>
        <w:t> </w:t>
      </w:r>
      <w:r>
        <w:rPr>
          <w:color w:val="231F20"/>
          <w:w w:val="120"/>
        </w:rPr>
        <w:t>technologies</w:t>
      </w:r>
      <w:r>
        <w:rPr>
          <w:color w:val="231F20"/>
          <w:spacing w:val="-9"/>
          <w:w w:val="120"/>
        </w:rPr>
        <w:t> </w:t>
      </w:r>
      <w:r>
        <w:rPr>
          <w:color w:val="231F20"/>
          <w:w w:val="120"/>
        </w:rPr>
        <w:t>en</w:t>
      </w:r>
      <w:r>
        <w:rPr>
          <w:color w:val="231F20"/>
          <w:spacing w:val="-9"/>
          <w:w w:val="120"/>
        </w:rPr>
        <w:t> </w:t>
      </w:r>
      <w:r>
        <w:rPr>
          <w:color w:val="231F20"/>
          <w:w w:val="120"/>
        </w:rPr>
        <w:t>place.</w:t>
      </w:r>
      <w:r>
        <w:rPr>
          <w:color w:val="231F20"/>
          <w:spacing w:val="-9"/>
          <w:w w:val="120"/>
        </w:rPr>
        <w:t> </w:t>
      </w:r>
      <w:r>
        <w:rPr>
          <w:color w:val="231F20"/>
          <w:w w:val="120"/>
        </w:rPr>
        <w:t>Si</w:t>
      </w:r>
      <w:r>
        <w:rPr>
          <w:color w:val="231F20"/>
          <w:spacing w:val="-9"/>
          <w:w w:val="120"/>
        </w:rPr>
        <w:t> </w:t>
      </w:r>
      <w:r>
        <w:rPr>
          <w:color w:val="231F20"/>
          <w:w w:val="120"/>
        </w:rPr>
        <w:t>cette</w:t>
      </w:r>
      <w:r>
        <w:rPr>
          <w:color w:val="231F20"/>
          <w:spacing w:val="-9"/>
          <w:w w:val="120"/>
        </w:rPr>
        <w:t> </w:t>
      </w:r>
      <w:r>
        <w:rPr>
          <w:color w:val="231F20"/>
          <w:w w:val="120"/>
        </w:rPr>
        <w:t>approche</w:t>
      </w:r>
      <w:r>
        <w:rPr>
          <w:color w:val="231F20"/>
          <w:spacing w:val="-9"/>
          <w:w w:val="120"/>
        </w:rPr>
        <w:t> </w:t>
      </w:r>
      <w:r>
        <w:rPr>
          <w:color w:val="231F20"/>
          <w:w w:val="120"/>
        </w:rPr>
        <w:t>a </w:t>
      </w:r>
      <w:r>
        <w:rPr>
          <w:color w:val="231F20"/>
          <w:spacing w:val="-2"/>
          <w:w w:val="120"/>
        </w:rPr>
        <w:t>pu</w:t>
      </w:r>
      <w:r>
        <w:rPr>
          <w:color w:val="231F20"/>
          <w:spacing w:val="-8"/>
          <w:w w:val="120"/>
        </w:rPr>
        <w:t> </w:t>
      </w:r>
      <w:r>
        <w:rPr>
          <w:color w:val="231F20"/>
          <w:spacing w:val="-2"/>
          <w:w w:val="120"/>
        </w:rPr>
        <w:t>paraître</w:t>
      </w:r>
      <w:r>
        <w:rPr>
          <w:color w:val="231F20"/>
          <w:spacing w:val="-8"/>
          <w:w w:val="120"/>
        </w:rPr>
        <w:t> </w:t>
      </w:r>
      <w:r>
        <w:rPr>
          <w:color w:val="231F20"/>
          <w:spacing w:val="-2"/>
          <w:w w:val="120"/>
        </w:rPr>
        <w:t>efficace</w:t>
      </w:r>
      <w:r>
        <w:rPr>
          <w:color w:val="231F20"/>
          <w:spacing w:val="-8"/>
          <w:w w:val="120"/>
        </w:rPr>
        <w:t> </w:t>
      </w:r>
      <w:r>
        <w:rPr>
          <w:color w:val="231F20"/>
          <w:spacing w:val="-2"/>
          <w:w w:val="120"/>
        </w:rPr>
        <w:t>initialement,</w:t>
      </w:r>
      <w:r>
        <w:rPr>
          <w:color w:val="231F20"/>
          <w:spacing w:val="-8"/>
          <w:w w:val="120"/>
        </w:rPr>
        <w:t> </w:t>
      </w:r>
      <w:r>
        <w:rPr>
          <w:color w:val="231F20"/>
          <w:spacing w:val="-2"/>
          <w:w w:val="120"/>
        </w:rPr>
        <w:t>nous</w:t>
      </w:r>
      <w:r>
        <w:rPr>
          <w:color w:val="231F20"/>
          <w:spacing w:val="-8"/>
          <w:w w:val="120"/>
        </w:rPr>
        <w:t> </w:t>
      </w:r>
      <w:r>
        <w:rPr>
          <w:color w:val="231F20"/>
          <w:spacing w:val="-2"/>
          <w:w w:val="120"/>
        </w:rPr>
        <w:t>savons</w:t>
      </w:r>
      <w:r>
        <w:rPr>
          <w:color w:val="231F20"/>
          <w:spacing w:val="-8"/>
          <w:w w:val="120"/>
        </w:rPr>
        <w:t> </w:t>
      </w:r>
      <w:r>
        <w:rPr>
          <w:color w:val="231F20"/>
          <w:spacing w:val="-2"/>
          <w:w w:val="120"/>
        </w:rPr>
        <w:t>maintenant</w:t>
      </w:r>
      <w:r>
        <w:rPr>
          <w:color w:val="231F20"/>
          <w:spacing w:val="-8"/>
          <w:w w:val="120"/>
        </w:rPr>
        <w:t> </w:t>
      </w:r>
      <w:r>
        <w:rPr>
          <w:color w:val="231F20"/>
          <w:spacing w:val="-2"/>
          <w:w w:val="120"/>
        </w:rPr>
        <w:t>qu’elle</w:t>
      </w:r>
      <w:r>
        <w:rPr>
          <w:color w:val="231F20"/>
          <w:spacing w:val="-8"/>
          <w:w w:val="120"/>
        </w:rPr>
        <w:t> </w:t>
      </w:r>
      <w:r>
        <w:rPr>
          <w:color w:val="231F20"/>
          <w:spacing w:val="-2"/>
          <w:w w:val="120"/>
        </w:rPr>
        <w:t>ne</w:t>
      </w:r>
      <w:r>
        <w:rPr>
          <w:color w:val="231F20"/>
          <w:spacing w:val="-8"/>
          <w:w w:val="120"/>
        </w:rPr>
        <w:t> </w:t>
      </w:r>
      <w:r>
        <w:rPr>
          <w:color w:val="231F20"/>
          <w:spacing w:val="-2"/>
          <w:w w:val="120"/>
        </w:rPr>
        <w:t>l’est </w:t>
      </w:r>
      <w:r>
        <w:rPr>
          <w:color w:val="231F20"/>
          <w:w w:val="120"/>
        </w:rPr>
        <w:t>plus. Ainsi, les employés cherchent désormais à mieux contrôler leurs tâches, à exercer une latitude décisionnelle, à élargir leurs possibilités d’autodétermination,</w:t>
      </w:r>
      <w:r>
        <w:rPr>
          <w:color w:val="231F20"/>
          <w:spacing w:val="-2"/>
          <w:w w:val="120"/>
        </w:rPr>
        <w:t> </w:t>
      </w:r>
      <w:r>
        <w:rPr>
          <w:color w:val="231F20"/>
          <w:w w:val="120"/>
        </w:rPr>
        <w:t>à</w:t>
      </w:r>
      <w:r>
        <w:rPr>
          <w:color w:val="231F20"/>
          <w:spacing w:val="-2"/>
          <w:w w:val="120"/>
        </w:rPr>
        <w:t> </w:t>
      </w:r>
      <w:r>
        <w:rPr>
          <w:color w:val="231F20"/>
          <w:w w:val="120"/>
        </w:rPr>
        <w:t>trouver</w:t>
      </w:r>
      <w:r>
        <w:rPr>
          <w:color w:val="231F20"/>
          <w:spacing w:val="-2"/>
          <w:w w:val="120"/>
        </w:rPr>
        <w:t> </w:t>
      </w:r>
      <w:r>
        <w:rPr>
          <w:color w:val="231F20"/>
          <w:w w:val="120"/>
        </w:rPr>
        <w:t>du</w:t>
      </w:r>
      <w:r>
        <w:rPr>
          <w:color w:val="231F20"/>
          <w:spacing w:val="-2"/>
          <w:w w:val="120"/>
        </w:rPr>
        <w:t> </w:t>
      </w:r>
      <w:r>
        <w:rPr>
          <w:color w:val="231F20"/>
          <w:w w:val="120"/>
        </w:rPr>
        <w:t>sens</w:t>
      </w:r>
      <w:r>
        <w:rPr>
          <w:color w:val="231F20"/>
          <w:spacing w:val="-2"/>
          <w:w w:val="120"/>
        </w:rPr>
        <w:t> </w:t>
      </w:r>
      <w:r>
        <w:rPr>
          <w:color w:val="231F20"/>
          <w:w w:val="120"/>
        </w:rPr>
        <w:t>dans</w:t>
      </w:r>
      <w:r>
        <w:rPr>
          <w:color w:val="231F20"/>
          <w:spacing w:val="-2"/>
          <w:w w:val="120"/>
        </w:rPr>
        <w:t> </w:t>
      </w:r>
      <w:r>
        <w:rPr>
          <w:color w:val="231F20"/>
          <w:w w:val="120"/>
        </w:rPr>
        <w:t>leurs</w:t>
      </w:r>
      <w:r>
        <w:rPr>
          <w:color w:val="231F20"/>
          <w:spacing w:val="-2"/>
          <w:w w:val="120"/>
        </w:rPr>
        <w:t> </w:t>
      </w:r>
      <w:r>
        <w:rPr>
          <w:color w:val="231F20"/>
          <w:w w:val="120"/>
        </w:rPr>
        <w:t>tâches</w:t>
      </w:r>
      <w:r>
        <w:rPr>
          <w:color w:val="231F20"/>
          <w:spacing w:val="-2"/>
          <w:w w:val="120"/>
        </w:rPr>
        <w:t> </w:t>
      </w:r>
      <w:r>
        <w:rPr>
          <w:color w:val="231F20"/>
          <w:w w:val="120"/>
        </w:rPr>
        <w:t>et</w:t>
      </w:r>
      <w:r>
        <w:rPr>
          <w:color w:val="231F20"/>
          <w:spacing w:val="-2"/>
          <w:w w:val="120"/>
        </w:rPr>
        <w:t> </w:t>
      </w:r>
      <w:r>
        <w:rPr>
          <w:color w:val="231F20"/>
          <w:w w:val="120"/>
        </w:rPr>
        <w:t>à</w:t>
      </w:r>
      <w:r>
        <w:rPr>
          <w:color w:val="231F20"/>
          <w:spacing w:val="-2"/>
          <w:w w:val="120"/>
        </w:rPr>
        <w:t> </w:t>
      </w:r>
      <w:r>
        <w:rPr>
          <w:color w:val="231F20"/>
          <w:w w:val="120"/>
        </w:rPr>
        <w:t>s’investir dans tous les aspects de leur travail.</w:t>
      </w:r>
    </w:p>
    <w:p>
      <w:pPr>
        <w:pStyle w:val="BodyText"/>
        <w:spacing w:line="307" w:lineRule="auto" w:before="78"/>
        <w:ind w:left="790" w:right="632" w:firstLine="250"/>
        <w:jc w:val="both"/>
      </w:pPr>
      <w:r>
        <w:rPr>
          <w:color w:val="231F20"/>
          <w:w w:val="120"/>
        </w:rPr>
        <w:t>C’est pourquoi, depuis près de 50 ans, on cherche à concevoir une </w:t>
      </w:r>
      <w:r>
        <w:rPr>
          <w:color w:val="231F20"/>
          <w:w w:val="115"/>
        </w:rPr>
        <w:t>approche</w:t>
      </w:r>
      <w:r>
        <w:rPr>
          <w:color w:val="231F20"/>
          <w:spacing w:val="-3"/>
          <w:w w:val="115"/>
        </w:rPr>
        <w:t> </w:t>
      </w:r>
      <w:r>
        <w:rPr>
          <w:color w:val="231F20"/>
          <w:w w:val="115"/>
        </w:rPr>
        <w:t>plus</w:t>
      </w:r>
      <w:r>
        <w:rPr>
          <w:color w:val="231F20"/>
          <w:spacing w:val="-3"/>
          <w:w w:val="115"/>
        </w:rPr>
        <w:t> </w:t>
      </w:r>
      <w:r>
        <w:rPr>
          <w:color w:val="231F20"/>
          <w:w w:val="115"/>
        </w:rPr>
        <w:t>globale</w:t>
      </w:r>
      <w:r>
        <w:rPr>
          <w:color w:val="231F20"/>
          <w:spacing w:val="-3"/>
          <w:w w:val="115"/>
        </w:rPr>
        <w:t> </w:t>
      </w:r>
      <w:r>
        <w:rPr>
          <w:color w:val="231F20"/>
          <w:w w:val="115"/>
        </w:rPr>
        <w:t>afin</w:t>
      </w:r>
      <w:r>
        <w:rPr>
          <w:color w:val="231F20"/>
          <w:spacing w:val="-3"/>
          <w:w w:val="115"/>
        </w:rPr>
        <w:t> </w:t>
      </w:r>
      <w:r>
        <w:rPr>
          <w:color w:val="231F20"/>
          <w:w w:val="115"/>
        </w:rPr>
        <w:t>d’accroître</w:t>
      </w:r>
      <w:r>
        <w:rPr>
          <w:color w:val="231F20"/>
          <w:spacing w:val="-3"/>
          <w:w w:val="115"/>
        </w:rPr>
        <w:t> </w:t>
      </w:r>
      <w:r>
        <w:rPr>
          <w:color w:val="231F20"/>
          <w:w w:val="115"/>
        </w:rPr>
        <w:t>la</w:t>
      </w:r>
      <w:r>
        <w:rPr>
          <w:color w:val="231F20"/>
          <w:spacing w:val="-3"/>
          <w:w w:val="115"/>
        </w:rPr>
        <w:t> </w:t>
      </w:r>
      <w:r>
        <w:rPr>
          <w:color w:val="231F20"/>
          <w:w w:val="115"/>
        </w:rPr>
        <w:t>productivité</w:t>
      </w:r>
      <w:r>
        <w:rPr>
          <w:color w:val="231F20"/>
          <w:spacing w:val="-3"/>
          <w:w w:val="115"/>
        </w:rPr>
        <w:t> </w:t>
      </w:r>
      <w:r>
        <w:rPr>
          <w:color w:val="231F20"/>
          <w:w w:val="115"/>
        </w:rPr>
        <w:t>des</w:t>
      </w:r>
      <w:r>
        <w:rPr>
          <w:color w:val="231F20"/>
          <w:spacing w:val="-3"/>
          <w:w w:val="115"/>
        </w:rPr>
        <w:t> </w:t>
      </w:r>
      <w:r>
        <w:rPr>
          <w:color w:val="231F20"/>
          <w:w w:val="115"/>
        </w:rPr>
        <w:t>entreprises</w:t>
      </w:r>
      <w:r>
        <w:rPr>
          <w:color w:val="231F20"/>
          <w:spacing w:val="-3"/>
          <w:w w:val="115"/>
        </w:rPr>
        <w:t> </w:t>
      </w:r>
      <w:r>
        <w:rPr>
          <w:color w:val="231F20"/>
          <w:w w:val="115"/>
        </w:rPr>
        <w:t>sans compromettre</w:t>
      </w:r>
      <w:r>
        <w:rPr>
          <w:color w:val="231F20"/>
          <w:spacing w:val="-10"/>
          <w:w w:val="115"/>
        </w:rPr>
        <w:t> </w:t>
      </w:r>
      <w:r>
        <w:rPr>
          <w:color w:val="231F20"/>
          <w:w w:val="115"/>
        </w:rPr>
        <w:t>le</w:t>
      </w:r>
      <w:r>
        <w:rPr>
          <w:color w:val="231F20"/>
          <w:spacing w:val="-10"/>
          <w:w w:val="115"/>
        </w:rPr>
        <w:t> </w:t>
      </w:r>
      <w:r>
        <w:rPr>
          <w:color w:val="231F20"/>
          <w:w w:val="115"/>
        </w:rPr>
        <w:t>bien-être</w:t>
      </w:r>
      <w:r>
        <w:rPr>
          <w:color w:val="231F20"/>
          <w:spacing w:val="-10"/>
          <w:w w:val="115"/>
        </w:rPr>
        <w:t> </w:t>
      </w:r>
      <w:r>
        <w:rPr>
          <w:color w:val="231F20"/>
          <w:w w:val="115"/>
        </w:rPr>
        <w:t>physique</w:t>
      </w:r>
      <w:r>
        <w:rPr>
          <w:color w:val="231F20"/>
          <w:spacing w:val="-10"/>
          <w:w w:val="115"/>
        </w:rPr>
        <w:t> </w:t>
      </w:r>
      <w:r>
        <w:rPr>
          <w:color w:val="231F20"/>
          <w:w w:val="115"/>
        </w:rPr>
        <w:t>et</w:t>
      </w:r>
      <w:r>
        <w:rPr>
          <w:color w:val="231F20"/>
          <w:spacing w:val="-10"/>
          <w:w w:val="115"/>
        </w:rPr>
        <w:t> </w:t>
      </w:r>
      <w:r>
        <w:rPr>
          <w:color w:val="231F20"/>
          <w:w w:val="115"/>
        </w:rPr>
        <w:t>psychologique</w:t>
      </w:r>
      <w:r>
        <w:rPr>
          <w:color w:val="231F20"/>
          <w:spacing w:val="-10"/>
          <w:w w:val="115"/>
        </w:rPr>
        <w:t> </w:t>
      </w:r>
      <w:r>
        <w:rPr>
          <w:color w:val="231F20"/>
          <w:w w:val="115"/>
        </w:rPr>
        <w:t>de</w:t>
      </w:r>
      <w:r>
        <w:rPr>
          <w:color w:val="231F20"/>
          <w:spacing w:val="-10"/>
          <w:w w:val="115"/>
        </w:rPr>
        <w:t> </w:t>
      </w:r>
      <w:r>
        <w:rPr>
          <w:color w:val="231F20"/>
          <w:w w:val="115"/>
        </w:rPr>
        <w:t>la</w:t>
      </w:r>
      <w:r>
        <w:rPr>
          <w:color w:val="231F20"/>
          <w:spacing w:val="-10"/>
          <w:w w:val="115"/>
        </w:rPr>
        <w:t> </w:t>
      </w:r>
      <w:r>
        <w:rPr>
          <w:color w:val="231F20"/>
          <w:w w:val="115"/>
        </w:rPr>
        <w:t>main-d’œuvre. </w:t>
      </w:r>
      <w:r>
        <w:rPr>
          <w:color w:val="231F20"/>
          <w:w w:val="120"/>
        </w:rPr>
        <w:t>Cette</w:t>
      </w:r>
      <w:r>
        <w:rPr>
          <w:color w:val="231F20"/>
          <w:spacing w:val="-11"/>
          <w:w w:val="120"/>
        </w:rPr>
        <w:t> </w:t>
      </w:r>
      <w:r>
        <w:rPr>
          <w:color w:val="231F20"/>
          <w:w w:val="120"/>
        </w:rPr>
        <w:t>approche</w:t>
      </w:r>
      <w:r>
        <w:rPr>
          <w:color w:val="231F20"/>
          <w:spacing w:val="-11"/>
          <w:w w:val="120"/>
        </w:rPr>
        <w:t> </w:t>
      </w:r>
      <w:r>
        <w:rPr>
          <w:color w:val="231F20"/>
          <w:w w:val="120"/>
        </w:rPr>
        <w:t>repose</w:t>
      </w:r>
      <w:r>
        <w:rPr>
          <w:color w:val="231F20"/>
          <w:spacing w:val="-11"/>
          <w:w w:val="120"/>
        </w:rPr>
        <w:t> </w:t>
      </w:r>
      <w:r>
        <w:rPr>
          <w:color w:val="231F20"/>
          <w:w w:val="120"/>
        </w:rPr>
        <w:t>particulièrement</w:t>
      </w:r>
      <w:r>
        <w:rPr>
          <w:color w:val="231F20"/>
          <w:spacing w:val="-11"/>
          <w:w w:val="120"/>
        </w:rPr>
        <w:t> </w:t>
      </w:r>
      <w:r>
        <w:rPr>
          <w:color w:val="231F20"/>
          <w:w w:val="120"/>
        </w:rPr>
        <w:t>sur</w:t>
      </w:r>
      <w:r>
        <w:rPr>
          <w:color w:val="231F20"/>
          <w:spacing w:val="-11"/>
          <w:w w:val="120"/>
        </w:rPr>
        <w:t> </w:t>
      </w:r>
      <w:r>
        <w:rPr>
          <w:color w:val="231F20"/>
          <w:w w:val="120"/>
        </w:rPr>
        <w:t>les</w:t>
      </w:r>
      <w:r>
        <w:rPr>
          <w:color w:val="231F20"/>
          <w:spacing w:val="-11"/>
          <w:w w:val="120"/>
        </w:rPr>
        <w:t> </w:t>
      </w:r>
      <w:r>
        <w:rPr>
          <w:color w:val="231F20"/>
          <w:w w:val="120"/>
        </w:rPr>
        <w:t>notions</w:t>
      </w:r>
      <w:r>
        <w:rPr>
          <w:color w:val="231F20"/>
          <w:spacing w:val="-11"/>
          <w:w w:val="120"/>
        </w:rPr>
        <w:t> </w:t>
      </w:r>
      <w:r>
        <w:rPr>
          <w:color w:val="231F20"/>
          <w:w w:val="120"/>
        </w:rPr>
        <w:t>de</w:t>
      </w:r>
      <w:r>
        <w:rPr>
          <w:color w:val="231F20"/>
          <w:spacing w:val="-11"/>
          <w:w w:val="120"/>
        </w:rPr>
        <w:t> </w:t>
      </w:r>
      <w:r>
        <w:rPr>
          <w:i/>
          <w:color w:val="231F20"/>
          <w:w w:val="120"/>
        </w:rPr>
        <w:t>qualité</w:t>
      </w:r>
      <w:r>
        <w:rPr>
          <w:i/>
          <w:color w:val="231F20"/>
          <w:spacing w:val="-11"/>
          <w:w w:val="120"/>
        </w:rPr>
        <w:t> </w:t>
      </w:r>
      <w:r>
        <w:rPr>
          <w:i/>
          <w:color w:val="231F20"/>
          <w:w w:val="120"/>
        </w:rPr>
        <w:t>de</w:t>
      </w:r>
      <w:r>
        <w:rPr>
          <w:i/>
          <w:color w:val="231F20"/>
          <w:spacing w:val="-11"/>
          <w:w w:val="120"/>
        </w:rPr>
        <w:t> </w:t>
      </w:r>
      <w:r>
        <w:rPr>
          <w:i/>
          <w:color w:val="231F20"/>
          <w:w w:val="120"/>
        </w:rPr>
        <w:t>vie </w:t>
      </w:r>
      <w:r>
        <w:rPr>
          <w:i/>
          <w:color w:val="231F20"/>
          <w:w w:val="115"/>
        </w:rPr>
        <w:t>au</w:t>
      </w:r>
      <w:r>
        <w:rPr>
          <w:i/>
          <w:color w:val="231F20"/>
          <w:spacing w:val="-13"/>
          <w:w w:val="115"/>
        </w:rPr>
        <w:t> </w:t>
      </w:r>
      <w:r>
        <w:rPr>
          <w:i/>
          <w:color w:val="231F20"/>
          <w:w w:val="115"/>
        </w:rPr>
        <w:t>travail</w:t>
      </w:r>
      <w:r>
        <w:rPr>
          <w:i/>
          <w:color w:val="231F20"/>
          <w:spacing w:val="-12"/>
          <w:w w:val="115"/>
        </w:rPr>
        <w:t> </w:t>
      </w:r>
      <w:r>
        <w:rPr>
          <w:color w:val="231F20"/>
          <w:w w:val="115"/>
        </w:rPr>
        <w:t>(QVT)</w:t>
      </w:r>
      <w:r>
        <w:rPr>
          <w:color w:val="231F20"/>
          <w:spacing w:val="-12"/>
          <w:w w:val="115"/>
        </w:rPr>
        <w:t> </w:t>
      </w:r>
      <w:r>
        <w:rPr>
          <w:color w:val="231F20"/>
          <w:w w:val="115"/>
        </w:rPr>
        <w:t>et</w:t>
      </w:r>
      <w:r>
        <w:rPr>
          <w:color w:val="231F20"/>
          <w:spacing w:val="-12"/>
          <w:w w:val="115"/>
        </w:rPr>
        <w:t> </w:t>
      </w:r>
      <w:r>
        <w:rPr>
          <w:color w:val="231F20"/>
          <w:w w:val="115"/>
        </w:rPr>
        <w:t>de</w:t>
      </w:r>
      <w:r>
        <w:rPr>
          <w:color w:val="231F20"/>
          <w:spacing w:val="-13"/>
          <w:w w:val="115"/>
        </w:rPr>
        <w:t> </w:t>
      </w:r>
      <w:r>
        <w:rPr>
          <w:i/>
          <w:color w:val="231F20"/>
          <w:w w:val="115"/>
        </w:rPr>
        <w:t>santé</w:t>
      </w:r>
      <w:r>
        <w:rPr>
          <w:i/>
          <w:color w:val="231F20"/>
          <w:spacing w:val="-12"/>
          <w:w w:val="115"/>
        </w:rPr>
        <w:t> </w:t>
      </w:r>
      <w:r>
        <w:rPr>
          <w:i/>
          <w:color w:val="231F20"/>
          <w:w w:val="115"/>
        </w:rPr>
        <w:t>psychologique</w:t>
      </w:r>
      <w:r>
        <w:rPr>
          <w:color w:val="231F20"/>
          <w:w w:val="115"/>
        </w:rPr>
        <w:t>.</w:t>
      </w:r>
      <w:r>
        <w:rPr>
          <w:color w:val="231F20"/>
          <w:spacing w:val="-12"/>
          <w:w w:val="115"/>
        </w:rPr>
        <w:t> </w:t>
      </w:r>
      <w:r>
        <w:rPr>
          <w:color w:val="231F20"/>
          <w:w w:val="115"/>
        </w:rPr>
        <w:t>Malgré</w:t>
      </w:r>
      <w:r>
        <w:rPr>
          <w:color w:val="231F20"/>
          <w:spacing w:val="-12"/>
          <w:w w:val="115"/>
        </w:rPr>
        <w:t> </w:t>
      </w:r>
      <w:r>
        <w:rPr>
          <w:color w:val="231F20"/>
          <w:w w:val="115"/>
        </w:rPr>
        <w:t>les</w:t>
      </w:r>
      <w:r>
        <w:rPr>
          <w:color w:val="231F20"/>
          <w:spacing w:val="-12"/>
          <w:w w:val="115"/>
        </w:rPr>
        <w:t> </w:t>
      </w:r>
      <w:r>
        <w:rPr>
          <w:color w:val="231F20"/>
          <w:w w:val="115"/>
        </w:rPr>
        <w:t>intentions</w:t>
      </w:r>
      <w:r>
        <w:rPr>
          <w:color w:val="231F20"/>
          <w:spacing w:val="-13"/>
          <w:w w:val="115"/>
        </w:rPr>
        <w:t> </w:t>
      </w:r>
      <w:r>
        <w:rPr>
          <w:color w:val="231F20"/>
          <w:w w:val="115"/>
        </w:rPr>
        <w:t>louables </w:t>
      </w:r>
      <w:r>
        <w:rPr>
          <w:color w:val="231F20"/>
          <w:w w:val="120"/>
        </w:rPr>
        <w:t>et humanistes de ce mode de fonctionnement, force est de reconnaître que la qualité de vie au travail n’est évidemment pas le but ultime des </w:t>
      </w:r>
      <w:r>
        <w:rPr>
          <w:color w:val="231F20"/>
          <w:spacing w:val="-2"/>
          <w:w w:val="120"/>
        </w:rPr>
        <w:t>organisations.</w:t>
      </w:r>
      <w:r>
        <w:rPr>
          <w:color w:val="231F20"/>
          <w:spacing w:val="-13"/>
          <w:w w:val="120"/>
        </w:rPr>
        <w:t> </w:t>
      </w:r>
      <w:r>
        <w:rPr>
          <w:color w:val="231F20"/>
          <w:spacing w:val="-2"/>
          <w:w w:val="120"/>
        </w:rPr>
        <w:t>Les</w:t>
      </w:r>
      <w:r>
        <w:rPr>
          <w:color w:val="231F20"/>
          <w:spacing w:val="-11"/>
          <w:w w:val="120"/>
        </w:rPr>
        <w:t> </w:t>
      </w:r>
      <w:r>
        <w:rPr>
          <w:color w:val="231F20"/>
          <w:spacing w:val="-2"/>
          <w:w w:val="120"/>
        </w:rPr>
        <w:t>entreprises</w:t>
      </w:r>
      <w:r>
        <w:rPr>
          <w:color w:val="231F20"/>
          <w:spacing w:val="-11"/>
          <w:w w:val="120"/>
        </w:rPr>
        <w:t> </w:t>
      </w:r>
      <w:r>
        <w:rPr>
          <w:color w:val="231F20"/>
          <w:spacing w:val="-2"/>
          <w:w w:val="120"/>
        </w:rPr>
        <w:t>ont</w:t>
      </w:r>
      <w:r>
        <w:rPr>
          <w:color w:val="231F20"/>
          <w:spacing w:val="-10"/>
          <w:w w:val="120"/>
        </w:rPr>
        <w:t> </w:t>
      </w:r>
      <w:r>
        <w:rPr>
          <w:color w:val="231F20"/>
          <w:spacing w:val="-2"/>
          <w:w w:val="120"/>
        </w:rPr>
        <w:t>pour</w:t>
      </w:r>
      <w:r>
        <w:rPr>
          <w:color w:val="231F20"/>
          <w:spacing w:val="-11"/>
          <w:w w:val="120"/>
        </w:rPr>
        <w:t> </w:t>
      </w:r>
      <w:r>
        <w:rPr>
          <w:color w:val="231F20"/>
          <w:spacing w:val="-2"/>
          <w:w w:val="120"/>
        </w:rPr>
        <w:t>objectifs</w:t>
      </w:r>
      <w:r>
        <w:rPr>
          <w:color w:val="231F20"/>
          <w:spacing w:val="-11"/>
          <w:w w:val="120"/>
        </w:rPr>
        <w:t> </w:t>
      </w:r>
      <w:r>
        <w:rPr>
          <w:color w:val="231F20"/>
          <w:spacing w:val="-2"/>
          <w:w w:val="120"/>
        </w:rPr>
        <w:t>stratégiques</w:t>
      </w:r>
      <w:r>
        <w:rPr>
          <w:color w:val="231F20"/>
          <w:spacing w:val="-11"/>
          <w:w w:val="120"/>
        </w:rPr>
        <w:t> </w:t>
      </w:r>
      <w:r>
        <w:rPr>
          <w:color w:val="231F20"/>
          <w:spacing w:val="-2"/>
          <w:w w:val="120"/>
        </w:rPr>
        <w:t>de</w:t>
      </w:r>
      <w:r>
        <w:rPr>
          <w:color w:val="231F20"/>
          <w:spacing w:val="-10"/>
          <w:w w:val="120"/>
        </w:rPr>
        <w:t> </w:t>
      </w:r>
      <w:r>
        <w:rPr>
          <w:color w:val="231F20"/>
          <w:spacing w:val="-2"/>
          <w:w w:val="120"/>
        </w:rPr>
        <w:t>survivre, </w:t>
      </w:r>
      <w:r>
        <w:rPr>
          <w:color w:val="231F20"/>
          <w:w w:val="120"/>
        </w:rPr>
        <w:t>de croître, de réaliser des bénéfices ou d’offrir des services de qua- lité,</w:t>
      </w:r>
      <w:r>
        <w:rPr>
          <w:color w:val="231F20"/>
          <w:spacing w:val="1"/>
          <w:w w:val="120"/>
        </w:rPr>
        <w:t> </w:t>
      </w:r>
      <w:r>
        <w:rPr>
          <w:color w:val="231F20"/>
          <w:w w:val="120"/>
        </w:rPr>
        <w:t>donc</w:t>
      </w:r>
      <w:r>
        <w:rPr>
          <w:color w:val="231F20"/>
          <w:spacing w:val="1"/>
          <w:w w:val="120"/>
        </w:rPr>
        <w:t> </w:t>
      </w:r>
      <w:r>
        <w:rPr>
          <w:color w:val="231F20"/>
          <w:w w:val="120"/>
        </w:rPr>
        <w:t>d’être</w:t>
      </w:r>
      <w:r>
        <w:rPr>
          <w:color w:val="231F20"/>
          <w:spacing w:val="2"/>
          <w:w w:val="120"/>
        </w:rPr>
        <w:t> </w:t>
      </w:r>
      <w:r>
        <w:rPr>
          <w:color w:val="231F20"/>
          <w:w w:val="120"/>
        </w:rPr>
        <w:t>productives.</w:t>
      </w:r>
      <w:r>
        <w:rPr>
          <w:color w:val="231F20"/>
          <w:spacing w:val="1"/>
          <w:w w:val="120"/>
        </w:rPr>
        <w:t> </w:t>
      </w:r>
      <w:r>
        <w:rPr>
          <w:color w:val="231F20"/>
          <w:w w:val="120"/>
        </w:rPr>
        <w:t>L’intérêt</w:t>
      </w:r>
      <w:r>
        <w:rPr>
          <w:color w:val="231F20"/>
          <w:spacing w:val="2"/>
          <w:w w:val="120"/>
        </w:rPr>
        <w:t> </w:t>
      </w:r>
      <w:r>
        <w:rPr>
          <w:color w:val="231F20"/>
          <w:w w:val="120"/>
        </w:rPr>
        <w:t>pour</w:t>
      </w:r>
      <w:r>
        <w:rPr>
          <w:color w:val="231F20"/>
          <w:spacing w:val="1"/>
          <w:w w:val="120"/>
        </w:rPr>
        <w:t> </w:t>
      </w:r>
      <w:r>
        <w:rPr>
          <w:color w:val="231F20"/>
          <w:w w:val="120"/>
        </w:rPr>
        <w:t>la</w:t>
      </w:r>
      <w:r>
        <w:rPr>
          <w:color w:val="231F20"/>
          <w:spacing w:val="2"/>
          <w:w w:val="120"/>
        </w:rPr>
        <w:t> </w:t>
      </w:r>
      <w:r>
        <w:rPr>
          <w:color w:val="231F20"/>
          <w:w w:val="120"/>
        </w:rPr>
        <w:t>qualité</w:t>
      </w:r>
      <w:r>
        <w:rPr>
          <w:color w:val="231F20"/>
          <w:spacing w:val="1"/>
          <w:w w:val="120"/>
        </w:rPr>
        <w:t> </w:t>
      </w:r>
      <w:r>
        <w:rPr>
          <w:color w:val="231F20"/>
          <w:w w:val="120"/>
        </w:rPr>
        <w:t>de</w:t>
      </w:r>
      <w:r>
        <w:rPr>
          <w:color w:val="231F20"/>
          <w:spacing w:val="1"/>
          <w:w w:val="120"/>
        </w:rPr>
        <w:t> </w:t>
      </w:r>
      <w:r>
        <w:rPr>
          <w:color w:val="231F20"/>
          <w:w w:val="120"/>
        </w:rPr>
        <w:t>vie</w:t>
      </w:r>
      <w:r>
        <w:rPr>
          <w:color w:val="231F20"/>
          <w:spacing w:val="2"/>
          <w:w w:val="120"/>
        </w:rPr>
        <w:t> </w:t>
      </w:r>
      <w:r>
        <w:rPr>
          <w:color w:val="231F20"/>
          <w:w w:val="120"/>
        </w:rPr>
        <w:t>au</w:t>
      </w:r>
      <w:r>
        <w:rPr>
          <w:color w:val="231F20"/>
          <w:spacing w:val="1"/>
          <w:w w:val="120"/>
        </w:rPr>
        <w:t> </w:t>
      </w:r>
      <w:r>
        <w:rPr>
          <w:color w:val="231F20"/>
          <w:spacing w:val="-2"/>
          <w:w w:val="120"/>
        </w:rPr>
        <w:t>travail</w:t>
      </w:r>
    </w:p>
    <w:p>
      <w:pPr>
        <w:pStyle w:val="BodyText"/>
        <w:rPr>
          <w:sz w:val="20"/>
        </w:rPr>
      </w:pPr>
    </w:p>
    <w:p>
      <w:pPr>
        <w:pStyle w:val="BodyText"/>
        <w:spacing w:before="1"/>
        <w:rPr>
          <w:sz w:val="20"/>
        </w:rPr>
      </w:pPr>
      <w:r>
        <w:rPr/>
        <w:pict>
          <v:shape style="position:absolute;margin-left:62.5pt;margin-top:12.782715pt;width:287.5pt;height:.1pt;mso-position-horizontal-relative:page;mso-position-vertical-relative:paragraph;z-index:-15720448;mso-wrap-distance-left:0;mso-wrap-distance-right:0" id="docshape36" coordorigin="1250,256" coordsize="5750,0" path="m1250,256l7000,256e" filled="false" stroked="true" strokeweight=".25pt" strokecolor="#231f20">
            <v:path arrowok="t"/>
            <v:stroke dashstyle="shortdot"/>
            <w10:wrap type="topAndBottom"/>
          </v:shape>
        </w:pict>
      </w:r>
    </w:p>
    <w:p>
      <w:pPr>
        <w:pStyle w:val="ListParagraph"/>
        <w:numPr>
          <w:ilvl w:val="0"/>
          <w:numId w:val="12"/>
        </w:numPr>
        <w:tabs>
          <w:tab w:pos="790" w:val="left" w:leader="none"/>
        </w:tabs>
        <w:spacing w:line="295" w:lineRule="auto" w:before="135" w:after="0"/>
        <w:ind w:left="789" w:right="638" w:hanging="328"/>
        <w:jc w:val="both"/>
        <w:rPr>
          <w:rFonts w:ascii="Arial" w:hAnsi="Arial"/>
          <w:sz w:val="12"/>
        </w:rPr>
      </w:pPr>
      <w:r>
        <w:rPr>
          <w:rFonts w:ascii="Arial" w:hAnsi="Arial"/>
          <w:color w:val="231F20"/>
          <w:sz w:val="12"/>
        </w:rPr>
        <w:t>Leitão, J., Pereira, D. et Gonçalves, A. (2019). Quality of work life and organizational performance: Workers</w:t>
      </w:r>
      <w:r>
        <w:rPr>
          <w:rFonts w:ascii="Arial" w:hAnsi="Arial"/>
          <w:color w:val="231F20"/>
          <w:spacing w:val="40"/>
          <w:sz w:val="12"/>
        </w:rPr>
        <w:t> </w:t>
      </w:r>
      <w:r>
        <w:rPr>
          <w:rFonts w:ascii="Arial" w:hAnsi="Arial"/>
          <w:color w:val="231F20"/>
          <w:sz w:val="12"/>
        </w:rPr>
        <w:t>feelings of contributing, or not, to the organization’s productivity, </w:t>
      </w:r>
      <w:r>
        <w:rPr>
          <w:rFonts w:ascii="Arial" w:hAnsi="Arial"/>
          <w:i/>
          <w:color w:val="231F20"/>
          <w:sz w:val="12"/>
        </w:rPr>
        <w:t>International Journal of Environmental</w:t>
      </w:r>
      <w:r>
        <w:rPr>
          <w:rFonts w:ascii="Arial" w:hAnsi="Arial"/>
          <w:i/>
          <w:color w:val="231F20"/>
          <w:spacing w:val="40"/>
          <w:sz w:val="12"/>
        </w:rPr>
        <w:t> </w:t>
      </w:r>
      <w:r>
        <w:rPr>
          <w:rFonts w:ascii="Arial" w:hAnsi="Arial"/>
          <w:i/>
          <w:color w:val="231F20"/>
          <w:sz w:val="12"/>
        </w:rPr>
        <w:t>Research and Public Health</w:t>
      </w:r>
      <w:r>
        <w:rPr>
          <w:rFonts w:ascii="Arial" w:hAnsi="Arial"/>
          <w:color w:val="231F20"/>
          <w:sz w:val="12"/>
        </w:rPr>
        <w:t>, </w:t>
      </w:r>
      <w:r>
        <w:rPr>
          <w:rFonts w:ascii="Arial" w:hAnsi="Arial"/>
          <w:i/>
          <w:color w:val="231F20"/>
          <w:sz w:val="12"/>
        </w:rPr>
        <w:t>16</w:t>
      </w:r>
      <w:r>
        <w:rPr>
          <w:rFonts w:ascii="Arial" w:hAnsi="Arial"/>
          <w:color w:val="231F20"/>
          <w:sz w:val="12"/>
        </w:rPr>
        <w:t>, 1-18.</w:t>
      </w:r>
    </w:p>
    <w:p>
      <w:pPr>
        <w:pStyle w:val="ListParagraph"/>
        <w:numPr>
          <w:ilvl w:val="0"/>
          <w:numId w:val="12"/>
        </w:numPr>
        <w:tabs>
          <w:tab w:pos="790" w:val="left" w:leader="none"/>
        </w:tabs>
        <w:spacing w:line="295" w:lineRule="auto" w:before="1" w:after="0"/>
        <w:ind w:left="789" w:right="638" w:hanging="328"/>
        <w:jc w:val="both"/>
        <w:rPr>
          <w:rFonts w:ascii="Arial" w:hAnsi="Arial"/>
          <w:sz w:val="12"/>
        </w:rPr>
      </w:pPr>
      <w:r>
        <w:rPr>
          <w:rFonts w:ascii="Arial" w:hAnsi="Arial"/>
          <w:color w:val="231F20"/>
          <w:sz w:val="12"/>
        </w:rPr>
        <w:t>Levet,</w:t>
      </w:r>
      <w:r>
        <w:rPr>
          <w:rFonts w:ascii="Arial" w:hAnsi="Arial"/>
          <w:color w:val="231F20"/>
          <w:spacing w:val="-7"/>
          <w:sz w:val="12"/>
        </w:rPr>
        <w:t> </w:t>
      </w:r>
      <w:r>
        <w:rPr>
          <w:rFonts w:ascii="Arial" w:hAnsi="Arial"/>
          <w:color w:val="231F20"/>
          <w:sz w:val="12"/>
        </w:rPr>
        <w:t>P.</w:t>
      </w:r>
      <w:r>
        <w:rPr>
          <w:rFonts w:ascii="Arial" w:hAnsi="Arial"/>
          <w:color w:val="231F20"/>
          <w:spacing w:val="-7"/>
          <w:sz w:val="12"/>
        </w:rPr>
        <w:t> </w:t>
      </w:r>
      <w:r>
        <w:rPr>
          <w:rFonts w:ascii="Arial" w:hAnsi="Arial"/>
          <w:color w:val="231F20"/>
          <w:sz w:val="12"/>
        </w:rPr>
        <w:t>(2013).</w:t>
      </w:r>
      <w:r>
        <w:rPr>
          <w:rFonts w:ascii="Arial" w:hAnsi="Arial"/>
          <w:color w:val="231F20"/>
          <w:spacing w:val="-7"/>
          <w:sz w:val="12"/>
        </w:rPr>
        <w:t> </w:t>
      </w:r>
      <w:r>
        <w:rPr>
          <w:rFonts w:ascii="Arial" w:hAnsi="Arial"/>
          <w:color w:val="231F20"/>
          <w:sz w:val="12"/>
        </w:rPr>
        <w:t>Des</w:t>
      </w:r>
      <w:r>
        <w:rPr>
          <w:rFonts w:ascii="Arial" w:hAnsi="Arial"/>
          <w:color w:val="231F20"/>
          <w:spacing w:val="-7"/>
          <w:sz w:val="12"/>
        </w:rPr>
        <w:t> </w:t>
      </w:r>
      <w:r>
        <w:rPr>
          <w:rFonts w:ascii="Arial" w:hAnsi="Arial"/>
          <w:color w:val="231F20"/>
          <w:sz w:val="12"/>
        </w:rPr>
        <w:t>risques</w:t>
      </w:r>
      <w:r>
        <w:rPr>
          <w:rFonts w:ascii="Arial" w:hAnsi="Arial"/>
          <w:color w:val="231F20"/>
          <w:spacing w:val="-7"/>
          <w:sz w:val="12"/>
        </w:rPr>
        <w:t> </w:t>
      </w:r>
      <w:r>
        <w:rPr>
          <w:rFonts w:ascii="Arial" w:hAnsi="Arial"/>
          <w:color w:val="231F20"/>
          <w:sz w:val="12"/>
        </w:rPr>
        <w:t>psychosociaux</w:t>
      </w:r>
      <w:r>
        <w:rPr>
          <w:rFonts w:ascii="Arial" w:hAnsi="Arial"/>
          <w:color w:val="231F20"/>
          <w:spacing w:val="-7"/>
          <w:sz w:val="12"/>
        </w:rPr>
        <w:t> </w:t>
      </w:r>
      <w:r>
        <w:rPr>
          <w:rFonts w:ascii="Arial" w:hAnsi="Arial"/>
          <w:color w:val="231F20"/>
          <w:sz w:val="12"/>
        </w:rPr>
        <w:t>à</w:t>
      </w:r>
      <w:r>
        <w:rPr>
          <w:rFonts w:ascii="Arial" w:hAnsi="Arial"/>
          <w:color w:val="231F20"/>
          <w:spacing w:val="-7"/>
          <w:sz w:val="12"/>
        </w:rPr>
        <w:t> </w:t>
      </w:r>
      <w:r>
        <w:rPr>
          <w:rFonts w:ascii="Arial" w:hAnsi="Arial"/>
          <w:color w:val="231F20"/>
          <w:sz w:val="12"/>
        </w:rPr>
        <w:t>la</w:t>
      </w:r>
      <w:r>
        <w:rPr>
          <w:rFonts w:ascii="Arial" w:hAnsi="Arial"/>
          <w:color w:val="231F20"/>
          <w:spacing w:val="-7"/>
          <w:sz w:val="12"/>
        </w:rPr>
        <w:t> </w:t>
      </w:r>
      <w:r>
        <w:rPr>
          <w:rFonts w:ascii="Arial" w:hAnsi="Arial"/>
          <w:color w:val="231F20"/>
          <w:sz w:val="12"/>
        </w:rPr>
        <w:t>qualité</w:t>
      </w:r>
      <w:r>
        <w:rPr>
          <w:rFonts w:ascii="Arial" w:hAnsi="Arial"/>
          <w:color w:val="231F20"/>
          <w:spacing w:val="-7"/>
          <w:sz w:val="12"/>
        </w:rPr>
        <w:t> </w:t>
      </w:r>
      <w:r>
        <w:rPr>
          <w:rFonts w:ascii="Arial" w:hAnsi="Arial"/>
          <w:color w:val="231F20"/>
          <w:sz w:val="12"/>
        </w:rPr>
        <w:t>de</w:t>
      </w:r>
      <w:r>
        <w:rPr>
          <w:rFonts w:ascii="Arial" w:hAnsi="Arial"/>
          <w:color w:val="231F20"/>
          <w:spacing w:val="-7"/>
          <w:sz w:val="12"/>
        </w:rPr>
        <w:t> </w:t>
      </w:r>
      <w:r>
        <w:rPr>
          <w:rFonts w:ascii="Arial" w:hAnsi="Arial"/>
          <w:color w:val="231F20"/>
          <w:sz w:val="12"/>
        </w:rPr>
        <w:t>vie</w:t>
      </w:r>
      <w:r>
        <w:rPr>
          <w:rFonts w:ascii="Arial" w:hAnsi="Arial"/>
          <w:color w:val="231F20"/>
          <w:spacing w:val="-7"/>
          <w:sz w:val="12"/>
        </w:rPr>
        <w:t> </w:t>
      </w:r>
      <w:r>
        <w:rPr>
          <w:rFonts w:ascii="Arial" w:hAnsi="Arial"/>
          <w:color w:val="231F20"/>
          <w:sz w:val="12"/>
        </w:rPr>
        <w:t>au</w:t>
      </w:r>
      <w:r>
        <w:rPr>
          <w:rFonts w:ascii="Arial" w:hAnsi="Arial"/>
          <w:color w:val="231F20"/>
          <w:spacing w:val="-7"/>
          <w:sz w:val="12"/>
        </w:rPr>
        <w:t> </w:t>
      </w:r>
      <w:r>
        <w:rPr>
          <w:rFonts w:ascii="Arial" w:hAnsi="Arial"/>
          <w:color w:val="231F20"/>
          <w:sz w:val="12"/>
        </w:rPr>
        <w:t>travail:</w:t>
      </w:r>
      <w:r>
        <w:rPr>
          <w:rFonts w:ascii="Arial" w:hAnsi="Arial"/>
          <w:color w:val="231F20"/>
          <w:spacing w:val="-7"/>
          <w:sz w:val="12"/>
        </w:rPr>
        <w:t> </w:t>
      </w:r>
      <w:r>
        <w:rPr>
          <w:rFonts w:ascii="Arial" w:hAnsi="Arial"/>
          <w:color w:val="231F20"/>
          <w:sz w:val="12"/>
        </w:rPr>
        <w:t>équiper</w:t>
      </w:r>
      <w:r>
        <w:rPr>
          <w:rFonts w:ascii="Arial" w:hAnsi="Arial"/>
          <w:color w:val="231F20"/>
          <w:spacing w:val="-7"/>
          <w:sz w:val="12"/>
        </w:rPr>
        <w:t> </w:t>
      </w:r>
      <w:r>
        <w:rPr>
          <w:rFonts w:ascii="Arial" w:hAnsi="Arial"/>
          <w:color w:val="231F20"/>
          <w:sz w:val="12"/>
        </w:rPr>
        <w:t>les</w:t>
      </w:r>
      <w:r>
        <w:rPr>
          <w:rFonts w:ascii="Arial" w:hAnsi="Arial"/>
          <w:color w:val="231F20"/>
          <w:spacing w:val="-7"/>
          <w:sz w:val="12"/>
        </w:rPr>
        <w:t> </w:t>
      </w:r>
      <w:r>
        <w:rPr>
          <w:rFonts w:ascii="Arial" w:hAnsi="Arial"/>
          <w:color w:val="231F20"/>
          <w:sz w:val="12"/>
        </w:rPr>
        <w:t>acteurs</w:t>
      </w:r>
      <w:r>
        <w:rPr>
          <w:rFonts w:ascii="Arial" w:hAnsi="Arial"/>
          <w:color w:val="231F20"/>
          <w:spacing w:val="-7"/>
          <w:sz w:val="12"/>
        </w:rPr>
        <w:t> </w:t>
      </w:r>
      <w:r>
        <w:rPr>
          <w:rFonts w:ascii="Arial" w:hAnsi="Arial"/>
          <w:color w:val="231F20"/>
          <w:sz w:val="12"/>
        </w:rPr>
        <w:t>pour</w:t>
      </w:r>
      <w:r>
        <w:rPr>
          <w:rFonts w:ascii="Arial" w:hAnsi="Arial"/>
          <w:color w:val="231F20"/>
          <w:spacing w:val="-7"/>
          <w:sz w:val="12"/>
        </w:rPr>
        <w:t> </w:t>
      </w:r>
      <w:r>
        <w:rPr>
          <w:rFonts w:ascii="Arial" w:hAnsi="Arial"/>
          <w:color w:val="231F20"/>
          <w:sz w:val="12"/>
        </w:rPr>
        <w:t>négocier</w:t>
      </w:r>
      <w:r>
        <w:rPr>
          <w:rFonts w:ascii="Arial" w:hAnsi="Arial"/>
          <w:color w:val="231F20"/>
          <w:spacing w:val="-7"/>
          <w:sz w:val="12"/>
        </w:rPr>
        <w:t> </w:t>
      </w:r>
      <w:r>
        <w:rPr>
          <w:rFonts w:ascii="Arial" w:hAnsi="Arial"/>
          <w:color w:val="231F20"/>
          <w:sz w:val="12"/>
        </w:rPr>
        <w:t>le</w:t>
      </w:r>
      <w:r>
        <w:rPr>
          <w:rFonts w:ascii="Arial" w:hAnsi="Arial"/>
          <w:color w:val="231F20"/>
          <w:spacing w:val="40"/>
          <w:sz w:val="12"/>
        </w:rPr>
        <w:t> </w:t>
      </w:r>
      <w:r>
        <w:rPr>
          <w:rFonts w:ascii="Arial" w:hAnsi="Arial"/>
          <w:color w:val="231F20"/>
          <w:sz w:val="12"/>
        </w:rPr>
        <w:t>travail, l’expérience de l’ANACT, </w:t>
      </w:r>
      <w:r>
        <w:rPr>
          <w:rFonts w:ascii="Arial" w:hAnsi="Arial"/>
          <w:i/>
          <w:color w:val="231F20"/>
          <w:sz w:val="12"/>
        </w:rPr>
        <w:t>Négociations</w:t>
      </w:r>
      <w:r>
        <w:rPr>
          <w:rFonts w:ascii="Arial" w:hAnsi="Arial"/>
          <w:color w:val="231F20"/>
          <w:sz w:val="12"/>
        </w:rPr>
        <w:t>, </w:t>
      </w:r>
      <w:r>
        <w:rPr>
          <w:rFonts w:ascii="Arial" w:hAnsi="Arial"/>
          <w:i/>
          <w:color w:val="231F20"/>
          <w:sz w:val="12"/>
        </w:rPr>
        <w:t>1</w:t>
      </w:r>
      <w:r>
        <w:rPr>
          <w:rFonts w:ascii="Arial" w:hAnsi="Arial"/>
          <w:color w:val="231F20"/>
          <w:sz w:val="12"/>
        </w:rPr>
        <w:t>, 134.</w:t>
      </w:r>
    </w:p>
    <w:p>
      <w:pPr>
        <w:spacing w:after="0" w:line="295" w:lineRule="auto"/>
        <w:jc w:val="both"/>
        <w:rPr>
          <w:rFonts w:ascii="Arial" w:hAnsi="Arial"/>
          <w:sz w:val="12"/>
        </w:rPr>
        <w:sectPr>
          <w:footerReference w:type="default" r:id="rId35"/>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80" w:right="242"/>
        <w:jc w:val="both"/>
      </w:pPr>
      <w:r>
        <w:rPr>
          <w:color w:val="231F20"/>
          <w:w w:val="120"/>
        </w:rPr>
        <w:t>présuppose que cette amélioration se conjugue avec des gains pour la santé, le bien-être et la satisfaction des employés, et que ces derniers pourront alors, dans ce contexte, devenir plus productifs.</w:t>
      </w:r>
    </w:p>
    <w:p>
      <w:pPr>
        <w:pStyle w:val="BodyText"/>
        <w:spacing w:before="7"/>
        <w:rPr>
          <w:sz w:val="11"/>
        </w:rPr>
      </w:pPr>
      <w:r>
        <w:rPr/>
        <w:pict>
          <v:group style="position:absolute;margin-left:82pt;margin-top:7.920703pt;width:287.5pt;height:269.25pt;mso-position-horizontal-relative:page;mso-position-vertical-relative:paragraph;z-index:-15719936;mso-wrap-distance-left:0;mso-wrap-distance-right:0" id="docshapegroup38" coordorigin="1640,158" coordsize="5750,5385">
            <v:rect style="position:absolute;left:1640;top:158;width:5750;height:705" id="docshape39" filled="true" fillcolor="#e2e3e4" stroked="false">
              <v:fill type="solid"/>
            </v:rect>
            <v:line style="position:absolute" from="1890,706" to="7140,706" stroked="true" strokeweight=".25pt" strokecolor="#231f20">
              <v:stroke dashstyle="shortdot"/>
            </v:line>
            <v:shape style="position:absolute;left:1640;top:783;width:5750;height:4760" id="docshape40" coordorigin="1640,783" coordsize="5750,4760" path="m7390,783l1640,783,1640,2943,1640,3283,1640,4533,1640,4613,1640,5543,7390,5543,7390,4613,7390,4533,7390,3283,7390,2943,7390,783xe" filled="true" fillcolor="#e2e3e4" stroked="false">
              <v:path arrowok="t"/>
              <v:fill type="solid"/>
            </v:shape>
            <v:line style="position:absolute" from="1890,4531" to="7140,4531" stroked="true" strokeweight=".25pt" strokecolor="#231f20">
              <v:stroke dashstyle="shortdot"/>
            </v:line>
            <v:shape style="position:absolute;left:1640;top:158;width:5750;height:5385" type="#_x0000_t202" id="docshape41" filled="false" stroked="false">
              <v:textbox inset="0,0,0,0">
                <w:txbxContent>
                  <w:p>
                    <w:pPr>
                      <w:spacing w:before="215"/>
                      <w:ind w:left="250" w:right="0" w:firstLine="0"/>
                      <w:jc w:val="both"/>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6"/>
                      <w:rPr>
                        <w:rFonts w:ascii="Arial"/>
                        <w:sz w:val="26"/>
                      </w:rPr>
                    </w:pPr>
                  </w:p>
                  <w:p>
                    <w:pPr>
                      <w:spacing w:line="307" w:lineRule="auto" w:before="0"/>
                      <w:ind w:left="250" w:right="244" w:firstLine="0"/>
                      <w:jc w:val="both"/>
                      <w:rPr>
                        <w:rFonts w:ascii="Arial" w:hAnsi="Arial"/>
                        <w:sz w:val="17"/>
                      </w:rPr>
                    </w:pPr>
                    <w:r>
                      <w:rPr>
                        <w:rFonts w:ascii="Arial" w:hAnsi="Arial"/>
                        <w:color w:val="231F20"/>
                        <w:sz w:val="17"/>
                      </w:rPr>
                      <w:t>La</w:t>
                    </w:r>
                    <w:r>
                      <w:rPr>
                        <w:rFonts w:ascii="Arial" w:hAnsi="Arial"/>
                        <w:color w:val="231F20"/>
                        <w:spacing w:val="-12"/>
                        <w:sz w:val="17"/>
                      </w:rPr>
                      <w:t> </w:t>
                    </w:r>
                    <w:r>
                      <w:rPr>
                        <w:rFonts w:ascii="Arial" w:hAnsi="Arial"/>
                        <w:color w:val="231F20"/>
                        <w:sz w:val="17"/>
                      </w:rPr>
                      <w:t>QVT</w:t>
                    </w:r>
                    <w:r>
                      <w:rPr>
                        <w:rFonts w:ascii="Arial" w:hAnsi="Arial"/>
                        <w:color w:val="231F20"/>
                        <w:spacing w:val="-12"/>
                        <w:sz w:val="17"/>
                      </w:rPr>
                      <w:t> </w:t>
                    </w:r>
                    <w:r>
                      <w:rPr>
                        <w:rFonts w:ascii="Arial" w:hAnsi="Arial"/>
                        <w:color w:val="231F20"/>
                        <w:sz w:val="17"/>
                      </w:rPr>
                      <w:t>est</w:t>
                    </w:r>
                    <w:r>
                      <w:rPr>
                        <w:rFonts w:ascii="Arial" w:hAnsi="Arial"/>
                        <w:color w:val="231F20"/>
                        <w:spacing w:val="-12"/>
                        <w:sz w:val="17"/>
                      </w:rPr>
                      <w:t> </w:t>
                    </w:r>
                    <w:r>
                      <w:rPr>
                        <w:rFonts w:ascii="Arial" w:hAnsi="Arial"/>
                        <w:color w:val="231F20"/>
                        <w:sz w:val="17"/>
                      </w:rPr>
                      <w:t>un</w:t>
                    </w:r>
                    <w:r>
                      <w:rPr>
                        <w:rFonts w:ascii="Arial" w:hAnsi="Arial"/>
                        <w:color w:val="231F20"/>
                        <w:spacing w:val="-12"/>
                        <w:sz w:val="17"/>
                      </w:rPr>
                      <w:t> </w:t>
                    </w:r>
                    <w:r>
                      <w:rPr>
                        <w:rFonts w:ascii="Arial" w:hAnsi="Arial"/>
                        <w:color w:val="231F20"/>
                        <w:sz w:val="17"/>
                      </w:rPr>
                      <w:t>concept</w:t>
                    </w:r>
                    <w:r>
                      <w:rPr>
                        <w:rFonts w:ascii="Arial" w:hAnsi="Arial"/>
                        <w:color w:val="231F20"/>
                        <w:spacing w:val="-12"/>
                        <w:sz w:val="17"/>
                      </w:rPr>
                      <w:t> </w:t>
                    </w:r>
                    <w:r>
                      <w:rPr>
                        <w:rFonts w:ascii="Arial" w:hAnsi="Arial"/>
                        <w:color w:val="231F20"/>
                        <w:sz w:val="17"/>
                      </w:rPr>
                      <w:t>large</w:t>
                    </w:r>
                    <w:r>
                      <w:rPr>
                        <w:rFonts w:ascii="Arial" w:hAnsi="Arial"/>
                        <w:color w:val="231F20"/>
                        <w:spacing w:val="-11"/>
                        <w:sz w:val="17"/>
                      </w:rPr>
                      <w:t> </w:t>
                    </w:r>
                    <w:r>
                      <w:rPr>
                        <w:rFonts w:ascii="Arial" w:hAnsi="Arial"/>
                        <w:color w:val="231F20"/>
                        <w:sz w:val="17"/>
                      </w:rPr>
                      <w:t>qui</w:t>
                    </w:r>
                    <w:r>
                      <w:rPr>
                        <w:rFonts w:ascii="Arial" w:hAnsi="Arial"/>
                        <w:color w:val="231F20"/>
                        <w:spacing w:val="-12"/>
                        <w:sz w:val="17"/>
                      </w:rPr>
                      <w:t> </w:t>
                    </w:r>
                    <w:r>
                      <w:rPr>
                        <w:rFonts w:ascii="Arial" w:hAnsi="Arial"/>
                        <w:color w:val="231F20"/>
                        <w:sz w:val="17"/>
                      </w:rPr>
                      <w:t>intègre</w:t>
                    </w:r>
                    <w:r>
                      <w:rPr>
                        <w:rFonts w:ascii="Arial" w:hAnsi="Arial"/>
                        <w:color w:val="231F20"/>
                        <w:spacing w:val="-12"/>
                        <w:sz w:val="17"/>
                      </w:rPr>
                      <w:t> </w:t>
                    </w:r>
                    <w:r>
                      <w:rPr>
                        <w:rFonts w:ascii="Arial" w:hAnsi="Arial"/>
                        <w:color w:val="231F20"/>
                        <w:sz w:val="17"/>
                      </w:rPr>
                      <w:t>notamment</w:t>
                    </w:r>
                    <w:r>
                      <w:rPr>
                        <w:rFonts w:ascii="Arial" w:hAnsi="Arial"/>
                        <w:color w:val="231F20"/>
                        <w:spacing w:val="-12"/>
                        <w:sz w:val="17"/>
                      </w:rPr>
                      <w:t> </w:t>
                    </w:r>
                    <w:r>
                      <w:rPr>
                        <w:rFonts w:ascii="Arial" w:hAnsi="Arial"/>
                        <w:color w:val="231F20"/>
                        <w:sz w:val="17"/>
                      </w:rPr>
                      <w:t>la</w:t>
                    </w:r>
                    <w:r>
                      <w:rPr>
                        <w:rFonts w:ascii="Arial" w:hAnsi="Arial"/>
                        <w:color w:val="231F20"/>
                        <w:spacing w:val="-12"/>
                        <w:sz w:val="17"/>
                      </w:rPr>
                      <w:t> </w:t>
                    </w:r>
                    <w:r>
                      <w:rPr>
                        <w:rFonts w:ascii="Arial" w:hAnsi="Arial"/>
                        <w:color w:val="231F20"/>
                        <w:sz w:val="17"/>
                      </w:rPr>
                      <w:t>santé</w:t>
                    </w:r>
                    <w:r>
                      <w:rPr>
                        <w:rFonts w:ascii="Arial" w:hAnsi="Arial"/>
                        <w:color w:val="231F20"/>
                        <w:spacing w:val="-11"/>
                        <w:sz w:val="17"/>
                      </w:rPr>
                      <w:t> </w:t>
                    </w:r>
                    <w:r>
                      <w:rPr>
                        <w:rFonts w:ascii="Arial" w:hAnsi="Arial"/>
                        <w:color w:val="231F20"/>
                        <w:sz w:val="17"/>
                      </w:rPr>
                      <w:t>et</w:t>
                    </w:r>
                    <w:r>
                      <w:rPr>
                        <w:rFonts w:ascii="Arial" w:hAnsi="Arial"/>
                        <w:color w:val="231F20"/>
                        <w:spacing w:val="-12"/>
                        <w:sz w:val="17"/>
                      </w:rPr>
                      <w:t> </w:t>
                    </w:r>
                    <w:r>
                      <w:rPr>
                        <w:rFonts w:ascii="Arial" w:hAnsi="Arial"/>
                        <w:color w:val="231F20"/>
                        <w:sz w:val="17"/>
                      </w:rPr>
                      <w:t>la</w:t>
                    </w:r>
                    <w:r>
                      <w:rPr>
                        <w:rFonts w:ascii="Arial" w:hAnsi="Arial"/>
                        <w:color w:val="231F20"/>
                        <w:spacing w:val="-12"/>
                        <w:sz w:val="17"/>
                      </w:rPr>
                      <w:t> </w:t>
                    </w:r>
                    <w:r>
                      <w:rPr>
                        <w:rFonts w:ascii="Arial" w:hAnsi="Arial"/>
                        <w:color w:val="231F20"/>
                        <w:sz w:val="17"/>
                      </w:rPr>
                      <w:t>sécu- rité au travail, la rémunération, la qualité de l’emploi, la formation et</w:t>
                    </w:r>
                    <w:r>
                      <w:rPr>
                        <w:rFonts w:ascii="Arial" w:hAnsi="Arial"/>
                        <w:color w:val="231F20"/>
                        <w:spacing w:val="80"/>
                        <w:sz w:val="17"/>
                      </w:rPr>
                      <w:t> </w:t>
                    </w:r>
                    <w:r>
                      <w:rPr>
                        <w:rFonts w:ascii="Arial" w:hAnsi="Arial"/>
                        <w:color w:val="231F20"/>
                        <w:sz w:val="17"/>
                      </w:rPr>
                      <w:t>le</w:t>
                    </w:r>
                    <w:r>
                      <w:rPr>
                        <w:rFonts w:ascii="Arial" w:hAnsi="Arial"/>
                        <w:color w:val="231F20"/>
                        <w:spacing w:val="-11"/>
                        <w:sz w:val="17"/>
                      </w:rPr>
                      <w:t> </w:t>
                    </w:r>
                    <w:r>
                      <w:rPr>
                        <w:rFonts w:ascii="Arial" w:hAnsi="Arial"/>
                        <w:color w:val="231F20"/>
                        <w:sz w:val="17"/>
                      </w:rPr>
                      <w:t>développement</w:t>
                    </w:r>
                    <w:r>
                      <w:rPr>
                        <w:rFonts w:ascii="Arial" w:hAnsi="Arial"/>
                        <w:color w:val="231F20"/>
                        <w:spacing w:val="-11"/>
                        <w:sz w:val="17"/>
                      </w:rPr>
                      <w:t> </w:t>
                    </w:r>
                    <w:r>
                      <w:rPr>
                        <w:rFonts w:ascii="Arial" w:hAnsi="Arial"/>
                        <w:color w:val="231F20"/>
                        <w:sz w:val="17"/>
                      </w:rPr>
                      <w:t>de</w:t>
                    </w:r>
                    <w:r>
                      <w:rPr>
                        <w:rFonts w:ascii="Arial" w:hAnsi="Arial"/>
                        <w:color w:val="231F20"/>
                        <w:spacing w:val="-11"/>
                        <w:sz w:val="17"/>
                      </w:rPr>
                      <w:t> </w:t>
                    </w:r>
                    <w:r>
                      <w:rPr>
                        <w:rFonts w:ascii="Arial" w:hAnsi="Arial"/>
                        <w:color w:val="231F20"/>
                        <w:sz w:val="17"/>
                      </w:rPr>
                      <w:t>carrière,</w:t>
                    </w:r>
                    <w:r>
                      <w:rPr>
                        <w:rFonts w:ascii="Arial" w:hAnsi="Arial"/>
                        <w:color w:val="231F20"/>
                        <w:spacing w:val="-11"/>
                        <w:sz w:val="17"/>
                      </w:rPr>
                      <w:t> </w:t>
                    </w:r>
                    <w:r>
                      <w:rPr>
                        <w:rFonts w:ascii="Arial" w:hAnsi="Arial"/>
                        <w:color w:val="231F20"/>
                        <w:sz w:val="17"/>
                      </w:rPr>
                      <w:t>l’égalité,</w:t>
                    </w:r>
                    <w:r>
                      <w:rPr>
                        <w:rFonts w:ascii="Arial" w:hAnsi="Arial"/>
                        <w:color w:val="231F20"/>
                        <w:spacing w:val="-11"/>
                        <w:sz w:val="17"/>
                      </w:rPr>
                      <w:t> </w:t>
                    </w:r>
                    <w:r>
                      <w:rPr>
                        <w:rFonts w:ascii="Arial" w:hAnsi="Arial"/>
                        <w:color w:val="231F20"/>
                        <w:sz w:val="17"/>
                      </w:rPr>
                      <w:t>les</w:t>
                    </w:r>
                    <w:r>
                      <w:rPr>
                        <w:rFonts w:ascii="Arial" w:hAnsi="Arial"/>
                        <w:color w:val="231F20"/>
                        <w:spacing w:val="-11"/>
                        <w:sz w:val="17"/>
                      </w:rPr>
                      <w:t> </w:t>
                    </w:r>
                    <w:r>
                      <w:rPr>
                        <w:rFonts w:ascii="Arial" w:hAnsi="Arial"/>
                        <w:color w:val="231F20"/>
                        <w:sz w:val="17"/>
                      </w:rPr>
                      <w:t>relations</w:t>
                    </w:r>
                    <w:r>
                      <w:rPr>
                        <w:rFonts w:ascii="Arial" w:hAnsi="Arial"/>
                        <w:color w:val="231F20"/>
                        <w:spacing w:val="-11"/>
                        <w:sz w:val="17"/>
                      </w:rPr>
                      <w:t> </w:t>
                    </w:r>
                    <w:r>
                      <w:rPr>
                        <w:rFonts w:ascii="Arial" w:hAnsi="Arial"/>
                        <w:color w:val="231F20"/>
                        <w:sz w:val="17"/>
                      </w:rPr>
                      <w:t>avec</w:t>
                    </w:r>
                    <w:r>
                      <w:rPr>
                        <w:rFonts w:ascii="Arial" w:hAnsi="Arial"/>
                        <w:color w:val="231F20"/>
                        <w:spacing w:val="-11"/>
                        <w:sz w:val="17"/>
                      </w:rPr>
                      <w:t> </w:t>
                    </w:r>
                    <w:r>
                      <w:rPr>
                        <w:rFonts w:ascii="Arial" w:hAnsi="Arial"/>
                        <w:color w:val="231F20"/>
                        <w:sz w:val="17"/>
                      </w:rPr>
                      <w:t>les</w:t>
                    </w:r>
                    <w:r>
                      <w:rPr>
                        <w:rFonts w:ascii="Arial" w:hAnsi="Arial"/>
                        <w:color w:val="231F20"/>
                        <w:spacing w:val="-11"/>
                        <w:sz w:val="17"/>
                      </w:rPr>
                      <w:t> </w:t>
                    </w:r>
                    <w:r>
                      <w:rPr>
                        <w:rFonts w:ascii="Arial" w:hAnsi="Arial"/>
                        <w:color w:val="231F20"/>
                        <w:sz w:val="17"/>
                      </w:rPr>
                      <w:t>collègues et</w:t>
                    </w:r>
                    <w:r>
                      <w:rPr>
                        <w:rFonts w:ascii="Arial" w:hAnsi="Arial"/>
                        <w:color w:val="231F20"/>
                        <w:spacing w:val="-7"/>
                        <w:sz w:val="17"/>
                      </w:rPr>
                      <w:t> </w:t>
                    </w:r>
                    <w:r>
                      <w:rPr>
                        <w:rFonts w:ascii="Arial" w:hAnsi="Arial"/>
                        <w:color w:val="231F20"/>
                        <w:sz w:val="17"/>
                      </w:rPr>
                      <w:t>les</w:t>
                    </w:r>
                    <w:r>
                      <w:rPr>
                        <w:rFonts w:ascii="Arial" w:hAnsi="Arial"/>
                        <w:color w:val="231F20"/>
                        <w:spacing w:val="-7"/>
                        <w:sz w:val="17"/>
                      </w:rPr>
                      <w:t> </w:t>
                    </w:r>
                    <w:r>
                      <w:rPr>
                        <w:rFonts w:ascii="Arial" w:hAnsi="Arial"/>
                        <w:color w:val="231F20"/>
                        <w:sz w:val="17"/>
                      </w:rPr>
                      <w:t>supérieurs,</w:t>
                    </w:r>
                    <w:r>
                      <w:rPr>
                        <w:rFonts w:ascii="Arial" w:hAnsi="Arial"/>
                        <w:color w:val="231F20"/>
                        <w:spacing w:val="-7"/>
                        <w:sz w:val="17"/>
                      </w:rPr>
                      <w:t> </w:t>
                    </w:r>
                    <w:r>
                      <w:rPr>
                        <w:rFonts w:ascii="Arial" w:hAnsi="Arial"/>
                        <w:color w:val="231F20"/>
                        <w:sz w:val="17"/>
                      </w:rPr>
                      <w:t>la</w:t>
                    </w:r>
                    <w:r>
                      <w:rPr>
                        <w:rFonts w:ascii="Arial" w:hAnsi="Arial"/>
                        <w:color w:val="231F20"/>
                        <w:spacing w:val="-7"/>
                        <w:sz w:val="17"/>
                      </w:rPr>
                      <w:t> </w:t>
                    </w:r>
                    <w:r>
                      <w:rPr>
                        <w:rFonts w:ascii="Arial" w:hAnsi="Arial"/>
                        <w:color w:val="231F20"/>
                        <w:sz w:val="17"/>
                      </w:rPr>
                      <w:t>reconnaissance,</w:t>
                    </w:r>
                    <w:r>
                      <w:rPr>
                        <w:rFonts w:ascii="Arial" w:hAnsi="Arial"/>
                        <w:color w:val="231F20"/>
                        <w:spacing w:val="-7"/>
                        <w:sz w:val="17"/>
                      </w:rPr>
                      <w:t> </w:t>
                    </w:r>
                    <w:r>
                      <w:rPr>
                        <w:rFonts w:ascii="Arial" w:hAnsi="Arial"/>
                        <w:color w:val="231F20"/>
                        <w:sz w:val="17"/>
                      </w:rPr>
                      <w:t>l’autonomie,</w:t>
                    </w:r>
                    <w:r>
                      <w:rPr>
                        <w:rFonts w:ascii="Arial" w:hAnsi="Arial"/>
                        <w:color w:val="231F20"/>
                        <w:spacing w:val="-7"/>
                        <w:sz w:val="17"/>
                      </w:rPr>
                      <w:t> </w:t>
                    </w:r>
                    <w:r>
                      <w:rPr>
                        <w:rFonts w:ascii="Arial" w:hAnsi="Arial"/>
                        <w:color w:val="231F20"/>
                        <w:sz w:val="17"/>
                      </w:rPr>
                      <w:t>l’équilibre</w:t>
                    </w:r>
                    <w:r>
                      <w:rPr>
                        <w:rFonts w:ascii="Arial" w:hAnsi="Arial"/>
                        <w:color w:val="231F20"/>
                        <w:spacing w:val="-7"/>
                        <w:sz w:val="17"/>
                      </w:rPr>
                      <w:t> </w:t>
                    </w:r>
                    <w:r>
                      <w:rPr>
                        <w:rFonts w:ascii="Arial" w:hAnsi="Arial"/>
                        <w:color w:val="231F20"/>
                        <w:sz w:val="17"/>
                      </w:rPr>
                      <w:t>travail-vie personnelle,</w:t>
                    </w:r>
                    <w:r>
                      <w:rPr>
                        <w:rFonts w:ascii="Arial" w:hAnsi="Arial"/>
                        <w:color w:val="231F20"/>
                        <w:spacing w:val="-2"/>
                        <w:sz w:val="17"/>
                      </w:rPr>
                      <w:t> </w:t>
                    </w:r>
                    <w:r>
                      <w:rPr>
                        <w:rFonts w:ascii="Arial" w:hAnsi="Arial"/>
                        <w:color w:val="231F20"/>
                        <w:sz w:val="17"/>
                      </w:rPr>
                      <w:t>les</w:t>
                    </w:r>
                    <w:r>
                      <w:rPr>
                        <w:rFonts w:ascii="Arial" w:hAnsi="Arial"/>
                        <w:color w:val="231F20"/>
                        <w:spacing w:val="-2"/>
                        <w:sz w:val="17"/>
                      </w:rPr>
                      <w:t> </w:t>
                    </w:r>
                    <w:r>
                      <w:rPr>
                        <w:rFonts w:ascii="Arial" w:hAnsi="Arial"/>
                        <w:color w:val="231F20"/>
                        <w:sz w:val="17"/>
                      </w:rPr>
                      <w:t>saines</w:t>
                    </w:r>
                    <w:r>
                      <w:rPr>
                        <w:rFonts w:ascii="Arial" w:hAnsi="Arial"/>
                        <w:color w:val="231F20"/>
                        <w:spacing w:val="-2"/>
                        <w:sz w:val="17"/>
                      </w:rPr>
                      <w:t> </w:t>
                    </w:r>
                    <w:r>
                      <w:rPr>
                        <w:rFonts w:ascii="Arial" w:hAnsi="Arial"/>
                        <w:color w:val="231F20"/>
                        <w:sz w:val="17"/>
                      </w:rPr>
                      <w:t>habitudes</w:t>
                    </w:r>
                    <w:r>
                      <w:rPr>
                        <w:rFonts w:ascii="Arial" w:hAnsi="Arial"/>
                        <w:color w:val="231F20"/>
                        <w:spacing w:val="-2"/>
                        <w:sz w:val="17"/>
                      </w:rPr>
                      <w:t> </w:t>
                    </w:r>
                    <w:r>
                      <w:rPr>
                        <w:rFonts w:ascii="Arial" w:hAnsi="Arial"/>
                        <w:color w:val="231F20"/>
                        <w:sz w:val="17"/>
                      </w:rPr>
                      <w:t>et</w:t>
                    </w:r>
                    <w:r>
                      <w:rPr>
                        <w:rFonts w:ascii="Arial" w:hAnsi="Arial"/>
                        <w:color w:val="231F20"/>
                        <w:spacing w:val="-2"/>
                        <w:sz w:val="17"/>
                      </w:rPr>
                      <w:t> </w:t>
                    </w:r>
                    <w:r>
                      <w:rPr>
                        <w:rFonts w:ascii="Arial" w:hAnsi="Arial"/>
                        <w:color w:val="231F20"/>
                        <w:sz w:val="17"/>
                      </w:rPr>
                      <w:t>la</w:t>
                    </w:r>
                    <w:r>
                      <w:rPr>
                        <w:rFonts w:ascii="Arial" w:hAnsi="Arial"/>
                        <w:color w:val="231F20"/>
                        <w:spacing w:val="-2"/>
                        <w:sz w:val="17"/>
                      </w:rPr>
                      <w:t> </w:t>
                    </w:r>
                    <w:r>
                      <w:rPr>
                        <w:rFonts w:ascii="Arial" w:hAnsi="Arial"/>
                        <w:color w:val="231F20"/>
                        <w:sz w:val="17"/>
                      </w:rPr>
                      <w:t>performance.</w:t>
                    </w:r>
                    <w:r>
                      <w:rPr>
                        <w:rFonts w:ascii="Arial" w:hAnsi="Arial"/>
                        <w:color w:val="231F20"/>
                        <w:spacing w:val="-2"/>
                        <w:sz w:val="17"/>
                      </w:rPr>
                      <w:t> </w:t>
                    </w:r>
                    <w:r>
                      <w:rPr>
                        <w:rFonts w:ascii="Arial" w:hAnsi="Arial"/>
                        <w:color w:val="231F20"/>
                        <w:sz w:val="17"/>
                      </w:rPr>
                      <w:t>Mais,</w:t>
                    </w:r>
                    <w:r>
                      <w:rPr>
                        <w:rFonts w:ascii="Arial" w:hAnsi="Arial"/>
                        <w:color w:val="231F20"/>
                        <w:spacing w:val="-2"/>
                        <w:sz w:val="17"/>
                      </w:rPr>
                      <w:t> </w:t>
                    </w:r>
                    <w:r>
                      <w:rPr>
                        <w:rFonts w:ascii="Arial" w:hAnsi="Arial"/>
                        <w:color w:val="231F20"/>
                        <w:sz w:val="17"/>
                      </w:rPr>
                      <w:t>avant</w:t>
                    </w:r>
                    <w:r>
                      <w:rPr>
                        <w:rFonts w:ascii="Arial" w:hAnsi="Arial"/>
                        <w:color w:val="231F20"/>
                        <w:spacing w:val="-2"/>
                        <w:sz w:val="17"/>
                      </w:rPr>
                      <w:t> </w:t>
                    </w:r>
                    <w:r>
                      <w:rPr>
                        <w:rFonts w:ascii="Arial" w:hAnsi="Arial"/>
                        <w:color w:val="231F20"/>
                        <w:sz w:val="17"/>
                      </w:rPr>
                      <w:t>tout, c’est</w:t>
                    </w:r>
                    <w:r>
                      <w:rPr>
                        <w:rFonts w:ascii="Arial" w:hAnsi="Arial"/>
                        <w:color w:val="231F20"/>
                        <w:spacing w:val="-12"/>
                        <w:sz w:val="17"/>
                      </w:rPr>
                      <w:t> </w:t>
                    </w:r>
                    <w:r>
                      <w:rPr>
                        <w:rFonts w:ascii="Arial" w:hAnsi="Arial"/>
                        <w:color w:val="231F20"/>
                        <w:sz w:val="17"/>
                      </w:rPr>
                      <w:t>une</w:t>
                    </w:r>
                    <w:r>
                      <w:rPr>
                        <w:rFonts w:ascii="Arial" w:hAnsi="Arial"/>
                        <w:color w:val="231F20"/>
                        <w:spacing w:val="-12"/>
                        <w:sz w:val="17"/>
                      </w:rPr>
                      <w:t> </w:t>
                    </w:r>
                    <w:r>
                      <w:rPr>
                        <w:rFonts w:ascii="Arial" w:hAnsi="Arial"/>
                        <w:color w:val="231F20"/>
                        <w:sz w:val="17"/>
                      </w:rPr>
                      <w:t>approche</w:t>
                    </w:r>
                    <w:r>
                      <w:rPr>
                        <w:rFonts w:ascii="Arial" w:hAnsi="Arial"/>
                        <w:color w:val="231F20"/>
                        <w:spacing w:val="-12"/>
                        <w:sz w:val="17"/>
                      </w:rPr>
                      <w:t> </w:t>
                    </w:r>
                    <w:r>
                      <w:rPr>
                        <w:rFonts w:ascii="Arial" w:hAnsi="Arial"/>
                        <w:color w:val="231F20"/>
                        <w:sz w:val="17"/>
                      </w:rPr>
                      <w:t>qui</w:t>
                    </w:r>
                    <w:r>
                      <w:rPr>
                        <w:rFonts w:ascii="Arial" w:hAnsi="Arial"/>
                        <w:color w:val="231F20"/>
                        <w:spacing w:val="-12"/>
                        <w:sz w:val="17"/>
                      </w:rPr>
                      <w:t> </w:t>
                    </w:r>
                    <w:r>
                      <w:rPr>
                        <w:rFonts w:ascii="Arial" w:hAnsi="Arial"/>
                        <w:color w:val="231F20"/>
                        <w:sz w:val="17"/>
                      </w:rPr>
                      <w:t>va</w:t>
                    </w:r>
                    <w:r>
                      <w:rPr>
                        <w:rFonts w:ascii="Arial" w:hAnsi="Arial"/>
                        <w:color w:val="231F20"/>
                        <w:spacing w:val="-12"/>
                        <w:sz w:val="17"/>
                      </w:rPr>
                      <w:t> </w:t>
                    </w:r>
                    <w:r>
                      <w:rPr>
                        <w:rFonts w:ascii="Arial" w:hAnsi="Arial"/>
                        <w:color w:val="231F20"/>
                        <w:sz w:val="17"/>
                      </w:rPr>
                      <w:t>au-delà</w:t>
                    </w:r>
                    <w:r>
                      <w:rPr>
                        <w:rFonts w:ascii="Arial" w:hAnsi="Arial"/>
                        <w:color w:val="231F20"/>
                        <w:spacing w:val="-11"/>
                        <w:sz w:val="17"/>
                      </w:rPr>
                      <w:t> </w:t>
                    </w:r>
                    <w:r>
                      <w:rPr>
                        <w:rFonts w:ascii="Arial" w:hAnsi="Arial"/>
                        <w:color w:val="231F20"/>
                        <w:sz w:val="17"/>
                      </w:rPr>
                      <w:t>de</w:t>
                    </w:r>
                    <w:r>
                      <w:rPr>
                        <w:rFonts w:ascii="Arial" w:hAnsi="Arial"/>
                        <w:color w:val="231F20"/>
                        <w:spacing w:val="-12"/>
                        <w:sz w:val="17"/>
                      </w:rPr>
                      <w:t> </w:t>
                    </w:r>
                    <w:r>
                      <w:rPr>
                        <w:rFonts w:ascii="Arial" w:hAnsi="Arial"/>
                        <w:color w:val="231F20"/>
                        <w:sz w:val="17"/>
                      </w:rPr>
                      <w:t>la</w:t>
                    </w:r>
                    <w:r>
                      <w:rPr>
                        <w:rFonts w:ascii="Arial" w:hAnsi="Arial"/>
                        <w:color w:val="231F20"/>
                        <w:spacing w:val="-12"/>
                        <w:sz w:val="17"/>
                      </w:rPr>
                      <w:t> </w:t>
                    </w:r>
                    <w:r>
                      <w:rPr>
                        <w:rFonts w:ascii="Arial" w:hAnsi="Arial"/>
                        <w:color w:val="231F20"/>
                        <w:sz w:val="17"/>
                      </w:rPr>
                      <w:t>prise</w:t>
                    </w:r>
                    <w:r>
                      <w:rPr>
                        <w:rFonts w:ascii="Arial" w:hAnsi="Arial"/>
                        <w:color w:val="231F20"/>
                        <w:spacing w:val="-12"/>
                        <w:sz w:val="17"/>
                      </w:rPr>
                      <w:t> </w:t>
                    </w:r>
                    <w:r>
                      <w:rPr>
                        <w:rFonts w:ascii="Arial" w:hAnsi="Arial"/>
                        <w:color w:val="231F20"/>
                        <w:sz w:val="17"/>
                      </w:rPr>
                      <w:t>en</w:t>
                    </w:r>
                    <w:r>
                      <w:rPr>
                        <w:rFonts w:ascii="Arial" w:hAnsi="Arial"/>
                        <w:color w:val="231F20"/>
                        <w:spacing w:val="-12"/>
                        <w:sz w:val="17"/>
                      </w:rPr>
                      <w:t> </w:t>
                    </w:r>
                    <w:r>
                      <w:rPr>
                        <w:rFonts w:ascii="Arial" w:hAnsi="Arial"/>
                        <w:color w:val="231F20"/>
                        <w:sz w:val="17"/>
                      </w:rPr>
                      <w:t>compte</w:t>
                    </w:r>
                    <w:r>
                      <w:rPr>
                        <w:rFonts w:ascii="Arial" w:hAnsi="Arial"/>
                        <w:color w:val="231F20"/>
                        <w:spacing w:val="-11"/>
                        <w:sz w:val="17"/>
                      </w:rPr>
                      <w:t> </w:t>
                    </w:r>
                    <w:r>
                      <w:rPr>
                        <w:rFonts w:ascii="Arial" w:hAnsi="Arial"/>
                        <w:color w:val="231F20"/>
                        <w:sz w:val="17"/>
                      </w:rPr>
                      <w:t>des</w:t>
                    </w:r>
                    <w:r>
                      <w:rPr>
                        <w:rFonts w:ascii="Arial" w:hAnsi="Arial"/>
                        <w:color w:val="231F20"/>
                        <w:spacing w:val="-12"/>
                        <w:sz w:val="17"/>
                      </w:rPr>
                      <w:t> </w:t>
                    </w:r>
                    <w:r>
                      <w:rPr>
                        <w:rFonts w:ascii="Arial" w:hAnsi="Arial"/>
                        <w:color w:val="231F20"/>
                        <w:sz w:val="17"/>
                      </w:rPr>
                      <w:t>risques</w:t>
                    </w:r>
                    <w:r>
                      <w:rPr>
                        <w:rFonts w:ascii="Arial" w:hAnsi="Arial"/>
                        <w:color w:val="231F20"/>
                        <w:spacing w:val="-12"/>
                        <w:sz w:val="17"/>
                      </w:rPr>
                      <w:t> </w:t>
                    </w:r>
                    <w:r>
                      <w:rPr>
                        <w:rFonts w:ascii="Arial" w:hAnsi="Arial"/>
                        <w:color w:val="231F20"/>
                        <w:sz w:val="17"/>
                      </w:rPr>
                      <w:t>au travail</w:t>
                    </w:r>
                    <w:r>
                      <w:rPr>
                        <w:rFonts w:ascii="Arial" w:hAnsi="Arial"/>
                        <w:color w:val="231F20"/>
                        <w:spacing w:val="-7"/>
                        <w:sz w:val="17"/>
                      </w:rPr>
                      <w:t> </w:t>
                    </w:r>
                    <w:r>
                      <w:rPr>
                        <w:rFonts w:ascii="Arial" w:hAnsi="Arial"/>
                        <w:color w:val="231F20"/>
                        <w:sz w:val="17"/>
                      </w:rPr>
                      <w:t>pour</w:t>
                    </w:r>
                    <w:r>
                      <w:rPr>
                        <w:rFonts w:ascii="Arial" w:hAnsi="Arial"/>
                        <w:color w:val="231F20"/>
                        <w:spacing w:val="-7"/>
                        <w:sz w:val="17"/>
                      </w:rPr>
                      <w:t> </w:t>
                    </w:r>
                    <w:r>
                      <w:rPr>
                        <w:rFonts w:ascii="Arial" w:hAnsi="Arial"/>
                        <w:color w:val="231F20"/>
                        <w:sz w:val="17"/>
                      </w:rPr>
                      <w:t>s’intéresser</w:t>
                    </w:r>
                    <w:r>
                      <w:rPr>
                        <w:rFonts w:ascii="Arial" w:hAnsi="Arial"/>
                        <w:color w:val="231F20"/>
                        <w:spacing w:val="-7"/>
                        <w:sz w:val="17"/>
                      </w:rPr>
                      <w:t> </w:t>
                    </w:r>
                    <w:r>
                      <w:rPr>
                        <w:rFonts w:ascii="Arial" w:hAnsi="Arial"/>
                        <w:color w:val="231F20"/>
                        <w:sz w:val="17"/>
                      </w:rPr>
                      <w:t>aux</w:t>
                    </w:r>
                    <w:r>
                      <w:rPr>
                        <w:rFonts w:ascii="Arial" w:hAnsi="Arial"/>
                        <w:color w:val="231F20"/>
                        <w:spacing w:val="-7"/>
                        <w:sz w:val="17"/>
                      </w:rPr>
                      <w:t> </w:t>
                    </w:r>
                    <w:r>
                      <w:rPr>
                        <w:rFonts w:ascii="Arial" w:hAnsi="Arial"/>
                        <w:color w:val="231F20"/>
                        <w:sz w:val="17"/>
                      </w:rPr>
                      <w:t>leviers</w:t>
                    </w:r>
                    <w:r>
                      <w:rPr>
                        <w:rFonts w:ascii="Arial" w:hAnsi="Arial"/>
                        <w:color w:val="231F20"/>
                        <w:spacing w:val="-7"/>
                        <w:sz w:val="17"/>
                      </w:rPr>
                      <w:t> </w:t>
                    </w:r>
                    <w:r>
                      <w:rPr>
                        <w:rFonts w:ascii="Arial" w:hAnsi="Arial"/>
                        <w:color w:val="231F20"/>
                        <w:sz w:val="17"/>
                      </w:rPr>
                      <w:t>qui</w:t>
                    </w:r>
                    <w:r>
                      <w:rPr>
                        <w:rFonts w:ascii="Arial" w:hAnsi="Arial"/>
                        <w:color w:val="231F20"/>
                        <w:spacing w:val="-7"/>
                        <w:sz w:val="17"/>
                      </w:rPr>
                      <w:t> </w:t>
                    </w:r>
                    <w:r>
                      <w:rPr>
                        <w:rFonts w:ascii="Arial" w:hAnsi="Arial"/>
                        <w:color w:val="231F20"/>
                        <w:sz w:val="17"/>
                      </w:rPr>
                      <w:t>génèrent</w:t>
                    </w:r>
                    <w:r>
                      <w:rPr>
                        <w:rFonts w:ascii="Arial" w:hAnsi="Arial"/>
                        <w:color w:val="231F20"/>
                        <w:spacing w:val="-7"/>
                        <w:sz w:val="17"/>
                      </w:rPr>
                      <w:t> </w:t>
                    </w:r>
                    <w:r>
                      <w:rPr>
                        <w:rFonts w:ascii="Arial" w:hAnsi="Arial"/>
                        <w:color w:val="231F20"/>
                        <w:sz w:val="17"/>
                      </w:rPr>
                      <w:t>et</w:t>
                    </w:r>
                    <w:r>
                      <w:rPr>
                        <w:rFonts w:ascii="Arial" w:hAnsi="Arial"/>
                        <w:color w:val="231F20"/>
                        <w:spacing w:val="-7"/>
                        <w:sz w:val="17"/>
                      </w:rPr>
                      <w:t> </w:t>
                    </w:r>
                    <w:r>
                      <w:rPr>
                        <w:rFonts w:ascii="Arial" w:hAnsi="Arial"/>
                        <w:color w:val="231F20"/>
                        <w:sz w:val="17"/>
                      </w:rPr>
                      <w:t>améliorent</w:t>
                    </w:r>
                    <w:r>
                      <w:rPr>
                        <w:rFonts w:ascii="Arial" w:hAnsi="Arial"/>
                        <w:color w:val="231F20"/>
                        <w:spacing w:val="-7"/>
                        <w:sz w:val="17"/>
                      </w:rPr>
                      <w:t> </w:t>
                    </w:r>
                    <w:r>
                      <w:rPr>
                        <w:rFonts w:ascii="Arial" w:hAnsi="Arial"/>
                        <w:color w:val="231F20"/>
                        <w:sz w:val="17"/>
                      </w:rPr>
                      <w:t>la</w:t>
                    </w:r>
                    <w:r>
                      <w:rPr>
                        <w:rFonts w:ascii="Arial" w:hAnsi="Arial"/>
                        <w:color w:val="231F20"/>
                        <w:spacing w:val="-7"/>
                        <w:sz w:val="17"/>
                      </w:rPr>
                      <w:t> </w:t>
                    </w:r>
                    <w:r>
                      <w:rPr>
                        <w:rFonts w:ascii="Arial" w:hAnsi="Arial"/>
                        <w:color w:val="231F20"/>
                        <w:sz w:val="17"/>
                      </w:rPr>
                      <w:t>santé au travail. Un peu comme une entreprise qui souhaite non </w:t>
                    </w:r>
                    <w:r>
                      <w:rPr>
                        <w:rFonts w:ascii="Arial" w:hAnsi="Arial"/>
                        <w:color w:val="231F20"/>
                        <w:sz w:val="17"/>
                      </w:rPr>
                      <w:t>seulement ne pas avoir de pertes, mais également réaliser des profits.</w:t>
                    </w:r>
                  </w:p>
                  <w:p>
                    <w:pPr>
                      <w:spacing w:before="78"/>
                      <w:ind w:left="500" w:right="0" w:firstLine="0"/>
                      <w:jc w:val="both"/>
                      <w:rPr>
                        <w:rFonts w:ascii="Arial" w:hAnsi="Arial"/>
                        <w:sz w:val="17"/>
                      </w:rPr>
                    </w:pPr>
                    <w:r>
                      <w:rPr>
                        <w:rFonts w:ascii="Arial" w:hAnsi="Arial"/>
                        <w:color w:val="231F20"/>
                        <w:sz w:val="17"/>
                      </w:rPr>
                      <w:t>La</w:t>
                    </w:r>
                    <w:r>
                      <w:rPr>
                        <w:rFonts w:ascii="Arial" w:hAnsi="Arial"/>
                        <w:color w:val="231F20"/>
                        <w:spacing w:val="-11"/>
                        <w:sz w:val="17"/>
                      </w:rPr>
                      <w:t> </w:t>
                    </w:r>
                    <w:r>
                      <w:rPr>
                        <w:rFonts w:ascii="Arial" w:hAnsi="Arial"/>
                        <w:color w:val="231F20"/>
                        <w:sz w:val="17"/>
                      </w:rPr>
                      <w:t>QVT,</w:t>
                    </w:r>
                    <w:r>
                      <w:rPr>
                        <w:rFonts w:ascii="Arial" w:hAnsi="Arial"/>
                        <w:color w:val="231F20"/>
                        <w:spacing w:val="-7"/>
                        <w:sz w:val="17"/>
                      </w:rPr>
                      <w:t> </w:t>
                    </w:r>
                    <w:r>
                      <w:rPr>
                        <w:rFonts w:ascii="Arial" w:hAnsi="Arial"/>
                        <w:color w:val="231F20"/>
                        <w:sz w:val="17"/>
                      </w:rPr>
                      <w:t>ce</w:t>
                    </w:r>
                    <w:r>
                      <w:rPr>
                        <w:rFonts w:ascii="Arial" w:hAnsi="Arial"/>
                        <w:color w:val="231F20"/>
                        <w:spacing w:val="-6"/>
                        <w:sz w:val="17"/>
                      </w:rPr>
                      <w:t> </w:t>
                    </w:r>
                    <w:r>
                      <w:rPr>
                        <w:rFonts w:ascii="Arial" w:hAnsi="Arial"/>
                        <w:color w:val="231F20"/>
                        <w:sz w:val="17"/>
                      </w:rPr>
                      <w:t>n’est</w:t>
                    </w:r>
                    <w:r>
                      <w:rPr>
                        <w:rFonts w:ascii="Arial" w:hAnsi="Arial"/>
                        <w:color w:val="231F20"/>
                        <w:spacing w:val="-6"/>
                        <w:sz w:val="17"/>
                      </w:rPr>
                      <w:t> </w:t>
                    </w:r>
                    <w:r>
                      <w:rPr>
                        <w:rFonts w:ascii="Arial" w:hAnsi="Arial"/>
                        <w:color w:val="231F20"/>
                        <w:sz w:val="17"/>
                      </w:rPr>
                      <w:t>pas</w:t>
                    </w:r>
                    <w:r>
                      <w:rPr>
                        <w:rFonts w:ascii="Arial" w:hAnsi="Arial"/>
                        <w:color w:val="231F20"/>
                        <w:spacing w:val="-7"/>
                        <w:sz w:val="17"/>
                      </w:rPr>
                      <w:t> </w:t>
                    </w:r>
                    <w:r>
                      <w:rPr>
                        <w:rFonts w:ascii="Arial" w:hAnsi="Arial"/>
                        <w:color w:val="231F20"/>
                        <w:sz w:val="17"/>
                      </w:rPr>
                      <w:t>seulement</w:t>
                    </w:r>
                    <w:r>
                      <w:rPr>
                        <w:rFonts w:ascii="Arial" w:hAnsi="Arial"/>
                        <w:color w:val="231F20"/>
                        <w:spacing w:val="-6"/>
                        <w:sz w:val="17"/>
                      </w:rPr>
                      <w:t> </w:t>
                    </w:r>
                    <w:r>
                      <w:rPr>
                        <w:rFonts w:ascii="Arial" w:hAnsi="Arial"/>
                        <w:color w:val="231F20"/>
                        <w:sz w:val="17"/>
                      </w:rPr>
                      <w:t>«</w:t>
                    </w:r>
                    <w:r>
                      <w:rPr>
                        <w:rFonts w:ascii="Arial" w:hAnsi="Arial"/>
                        <w:color w:val="231F20"/>
                        <w:spacing w:val="-31"/>
                        <w:sz w:val="17"/>
                      </w:rPr>
                      <w:t> </w:t>
                    </w:r>
                    <w:r>
                      <w:rPr>
                        <w:rFonts w:ascii="Arial" w:hAnsi="Arial"/>
                        <w:color w:val="231F20"/>
                        <w:sz w:val="17"/>
                      </w:rPr>
                      <w:t>ne</w:t>
                    </w:r>
                    <w:r>
                      <w:rPr>
                        <w:rFonts w:ascii="Arial" w:hAnsi="Arial"/>
                        <w:color w:val="231F20"/>
                        <w:spacing w:val="-6"/>
                        <w:sz w:val="17"/>
                      </w:rPr>
                      <w:t> </w:t>
                    </w:r>
                    <w:r>
                      <w:rPr>
                        <w:rFonts w:ascii="Arial" w:hAnsi="Arial"/>
                        <w:color w:val="231F20"/>
                        <w:sz w:val="17"/>
                      </w:rPr>
                      <w:t>pas</w:t>
                    </w:r>
                    <w:r>
                      <w:rPr>
                        <w:rFonts w:ascii="Arial" w:hAnsi="Arial"/>
                        <w:color w:val="231F20"/>
                        <w:spacing w:val="-7"/>
                        <w:sz w:val="17"/>
                      </w:rPr>
                      <w:t> </w:t>
                    </w:r>
                    <w:r>
                      <w:rPr>
                        <w:rFonts w:ascii="Arial" w:hAnsi="Arial"/>
                        <w:color w:val="231F20"/>
                        <w:sz w:val="17"/>
                      </w:rPr>
                      <w:t>être</w:t>
                    </w:r>
                    <w:r>
                      <w:rPr>
                        <w:rFonts w:ascii="Arial" w:hAnsi="Arial"/>
                        <w:color w:val="231F20"/>
                        <w:spacing w:val="-6"/>
                        <w:sz w:val="17"/>
                      </w:rPr>
                      <w:t> </w:t>
                    </w:r>
                    <w:r>
                      <w:rPr>
                        <w:rFonts w:ascii="Arial" w:hAnsi="Arial"/>
                        <w:color w:val="231F20"/>
                        <w:sz w:val="17"/>
                      </w:rPr>
                      <w:t>mal</w:t>
                    </w:r>
                    <w:r>
                      <w:rPr>
                        <w:rFonts w:ascii="Arial" w:hAnsi="Arial"/>
                        <w:color w:val="231F20"/>
                        <w:spacing w:val="-7"/>
                        <w:sz w:val="17"/>
                      </w:rPr>
                      <w:t> </w:t>
                    </w:r>
                    <w:r>
                      <w:rPr>
                        <w:rFonts w:ascii="Arial" w:hAnsi="Arial"/>
                        <w:color w:val="231F20"/>
                        <w:sz w:val="17"/>
                      </w:rPr>
                      <w:t>au</w:t>
                    </w:r>
                    <w:r>
                      <w:rPr>
                        <w:rFonts w:ascii="Arial" w:hAnsi="Arial"/>
                        <w:color w:val="231F20"/>
                        <w:spacing w:val="-6"/>
                        <w:sz w:val="17"/>
                      </w:rPr>
                      <w:t> </w:t>
                    </w:r>
                    <w:r>
                      <w:rPr>
                        <w:rFonts w:ascii="Arial" w:hAnsi="Arial"/>
                        <w:color w:val="231F20"/>
                        <w:sz w:val="17"/>
                      </w:rPr>
                      <w:t>travail</w:t>
                    </w:r>
                    <w:r>
                      <w:rPr>
                        <w:rFonts w:ascii="Arial" w:hAnsi="Arial"/>
                        <w:color w:val="231F20"/>
                        <w:spacing w:val="-31"/>
                        <w:sz w:val="17"/>
                      </w:rPr>
                      <w:t> </w:t>
                    </w:r>
                    <w:r>
                      <w:rPr>
                        <w:rFonts w:ascii="Arial" w:hAnsi="Arial"/>
                        <w:color w:val="231F20"/>
                        <w:sz w:val="17"/>
                      </w:rPr>
                      <w:t>»,</w:t>
                    </w:r>
                    <w:r>
                      <w:rPr>
                        <w:rFonts w:ascii="Arial" w:hAnsi="Arial"/>
                        <w:color w:val="231F20"/>
                        <w:spacing w:val="-6"/>
                        <w:sz w:val="17"/>
                      </w:rPr>
                      <w:t> </w:t>
                    </w:r>
                    <w:r>
                      <w:rPr>
                        <w:rFonts w:ascii="Arial" w:hAnsi="Arial"/>
                        <w:color w:val="231F20"/>
                        <w:spacing w:val="-4"/>
                        <w:sz w:val="17"/>
                      </w:rPr>
                      <w:t>c’est</w:t>
                    </w:r>
                  </w:p>
                  <w:p>
                    <w:pPr>
                      <w:spacing w:line="307" w:lineRule="auto" w:before="55"/>
                      <w:ind w:left="250" w:right="245" w:firstLine="0"/>
                      <w:jc w:val="both"/>
                      <w:rPr>
                        <w:rFonts w:ascii="Arial" w:hAnsi="Arial"/>
                        <w:sz w:val="17"/>
                      </w:rPr>
                    </w:pPr>
                    <w:r>
                      <w:rPr>
                        <w:rFonts w:ascii="Arial" w:hAnsi="Arial"/>
                        <w:color w:val="231F20"/>
                        <w:w w:val="95"/>
                        <w:sz w:val="17"/>
                      </w:rPr>
                      <w:t>«</w:t>
                    </w:r>
                    <w:r>
                      <w:rPr>
                        <w:rFonts w:ascii="Arial" w:hAnsi="Arial"/>
                        <w:color w:val="231F20"/>
                        <w:spacing w:val="-10"/>
                        <w:w w:val="95"/>
                        <w:sz w:val="17"/>
                      </w:rPr>
                      <w:t> </w:t>
                    </w:r>
                    <w:r>
                      <w:rPr>
                        <w:rFonts w:ascii="Arial" w:hAnsi="Arial"/>
                        <w:color w:val="231F20"/>
                        <w:w w:val="95"/>
                        <w:sz w:val="17"/>
                      </w:rPr>
                      <w:t>être</w:t>
                    </w:r>
                    <w:r>
                      <w:rPr>
                        <w:rFonts w:ascii="Arial" w:hAnsi="Arial"/>
                        <w:color w:val="231F20"/>
                        <w:spacing w:val="-9"/>
                        <w:w w:val="95"/>
                        <w:sz w:val="17"/>
                      </w:rPr>
                      <w:t> </w:t>
                    </w:r>
                    <w:r>
                      <w:rPr>
                        <w:rFonts w:ascii="Arial" w:hAnsi="Arial"/>
                        <w:color w:val="231F20"/>
                        <w:w w:val="95"/>
                        <w:sz w:val="17"/>
                      </w:rPr>
                      <w:t>bien</w:t>
                    </w:r>
                    <w:r>
                      <w:rPr>
                        <w:rFonts w:ascii="Arial" w:hAnsi="Arial"/>
                        <w:color w:val="231F20"/>
                        <w:spacing w:val="-10"/>
                        <w:w w:val="95"/>
                        <w:sz w:val="17"/>
                      </w:rPr>
                      <w:t> </w:t>
                    </w:r>
                    <w:r>
                      <w:rPr>
                        <w:rFonts w:ascii="Arial" w:hAnsi="Arial"/>
                        <w:color w:val="231F20"/>
                        <w:w w:val="95"/>
                        <w:sz w:val="17"/>
                      </w:rPr>
                      <w:t>au</w:t>
                    </w:r>
                    <w:r>
                      <w:rPr>
                        <w:rFonts w:ascii="Arial" w:hAnsi="Arial"/>
                        <w:color w:val="231F20"/>
                        <w:spacing w:val="-9"/>
                        <w:w w:val="95"/>
                        <w:sz w:val="17"/>
                      </w:rPr>
                      <w:t> </w:t>
                    </w:r>
                    <w:r>
                      <w:rPr>
                        <w:rFonts w:ascii="Arial" w:hAnsi="Arial"/>
                        <w:color w:val="231F20"/>
                        <w:w w:val="95"/>
                        <w:sz w:val="17"/>
                      </w:rPr>
                      <w:t>travail</w:t>
                    </w:r>
                    <w:r>
                      <w:rPr>
                        <w:rFonts w:ascii="Arial" w:hAnsi="Arial"/>
                        <w:color w:val="231F20"/>
                        <w:spacing w:val="-10"/>
                        <w:w w:val="95"/>
                        <w:sz w:val="17"/>
                      </w:rPr>
                      <w:t> </w:t>
                    </w:r>
                    <w:r>
                      <w:rPr>
                        <w:rFonts w:ascii="Arial" w:hAnsi="Arial"/>
                        <w:color w:val="231F20"/>
                        <w:w w:val="95"/>
                        <w:sz w:val="17"/>
                      </w:rPr>
                      <w:t>».</w:t>
                    </w:r>
                    <w:r>
                      <w:rPr>
                        <w:rFonts w:ascii="Arial" w:hAnsi="Arial"/>
                        <w:color w:val="231F20"/>
                        <w:spacing w:val="-7"/>
                        <w:w w:val="95"/>
                        <w:sz w:val="17"/>
                      </w:rPr>
                      <w:t> </w:t>
                    </w:r>
                    <w:r>
                      <w:rPr>
                        <w:rFonts w:ascii="Arial" w:hAnsi="Arial"/>
                        <w:color w:val="231F20"/>
                        <w:w w:val="95"/>
                        <w:sz w:val="17"/>
                      </w:rPr>
                      <w:t>Sa perception dépend des critères de la personne </w:t>
                    </w:r>
                    <w:r>
                      <w:rPr>
                        <w:rFonts w:ascii="Arial" w:hAnsi="Arial"/>
                        <w:color w:val="231F20"/>
                        <w:sz w:val="17"/>
                      </w:rPr>
                      <w:t>en fonction de ses aspirations, de l’étape où en est sa carrière et des variables de l’organisation. Les critères d’évaluation de la QVT sont donc à la fois subjectifs et objectifs.</w:t>
                    </w:r>
                  </w:p>
                  <w:p>
                    <w:pPr>
                      <w:spacing w:line="295" w:lineRule="auto" w:before="215"/>
                      <w:ind w:left="250" w:right="245"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Tornare,</w:t>
                    </w:r>
                    <w:r>
                      <w:rPr>
                        <w:rFonts w:ascii="Arial" w:hAnsi="Arial"/>
                        <w:color w:val="231F20"/>
                        <w:spacing w:val="-3"/>
                        <w:sz w:val="12"/>
                      </w:rPr>
                      <w:t> </w:t>
                    </w:r>
                    <w:r>
                      <w:rPr>
                        <w:rFonts w:ascii="Arial" w:hAnsi="Arial"/>
                        <w:color w:val="231F20"/>
                        <w:sz w:val="12"/>
                      </w:rPr>
                      <w:t>J., Rinfret, N. et Privé, C. (2018). Qualité de vie au travail</w:t>
                    </w:r>
                    <w:r>
                      <w:rPr>
                        <w:rFonts w:ascii="Arial" w:hAnsi="Arial"/>
                        <w:color w:val="231F20"/>
                        <w:spacing w:val="-9"/>
                        <w:sz w:val="12"/>
                      </w:rPr>
                      <w:t> </w:t>
                    </w:r>
                    <w:r>
                      <w:rPr>
                        <w:rFonts w:ascii="Arial" w:hAnsi="Arial"/>
                        <w:color w:val="231F20"/>
                        <w:sz w:val="12"/>
                      </w:rPr>
                      <w:t>: comment 40 ans de</w:t>
                    </w:r>
                    <w:r>
                      <w:rPr>
                        <w:rFonts w:ascii="Arial" w:hAnsi="Arial"/>
                        <w:color w:val="231F20"/>
                        <w:spacing w:val="40"/>
                        <w:sz w:val="12"/>
                      </w:rPr>
                      <w:t> </w:t>
                    </w:r>
                    <w:r>
                      <w:rPr>
                        <w:rFonts w:ascii="Arial" w:hAnsi="Arial"/>
                        <w:color w:val="231F20"/>
                        <w:sz w:val="12"/>
                      </w:rPr>
                      <w:t>recherches</w:t>
                    </w:r>
                    <w:r>
                      <w:rPr>
                        <w:rFonts w:ascii="Arial" w:hAnsi="Arial"/>
                        <w:color w:val="231F20"/>
                        <w:spacing w:val="15"/>
                        <w:sz w:val="12"/>
                      </w:rPr>
                      <w:t> </w:t>
                    </w:r>
                    <w:r>
                      <w:rPr>
                        <w:rFonts w:ascii="Arial" w:hAnsi="Arial"/>
                        <w:color w:val="231F20"/>
                        <w:sz w:val="12"/>
                      </w:rPr>
                      <w:t>scientifiques</w:t>
                    </w:r>
                    <w:r>
                      <w:rPr>
                        <w:rFonts w:ascii="Arial" w:hAnsi="Arial"/>
                        <w:color w:val="231F20"/>
                        <w:spacing w:val="16"/>
                        <w:sz w:val="12"/>
                      </w:rPr>
                      <w:t> </w:t>
                    </w:r>
                    <w:r>
                      <w:rPr>
                        <w:rFonts w:ascii="Arial" w:hAnsi="Arial"/>
                        <w:color w:val="231F20"/>
                        <w:sz w:val="12"/>
                      </w:rPr>
                      <w:t>peuvent</w:t>
                    </w:r>
                    <w:r>
                      <w:rPr>
                        <w:rFonts w:ascii="Arial" w:hAnsi="Arial"/>
                        <w:color w:val="231F20"/>
                        <w:spacing w:val="16"/>
                        <w:sz w:val="12"/>
                      </w:rPr>
                      <w:t> </w:t>
                    </w:r>
                    <w:r>
                      <w:rPr>
                        <w:rFonts w:ascii="Arial" w:hAnsi="Arial"/>
                        <w:color w:val="231F20"/>
                        <w:sz w:val="12"/>
                      </w:rPr>
                      <w:t>vous</w:t>
                    </w:r>
                    <w:r>
                      <w:rPr>
                        <w:rFonts w:ascii="Arial" w:hAnsi="Arial"/>
                        <w:color w:val="231F20"/>
                        <w:spacing w:val="16"/>
                        <w:sz w:val="12"/>
                      </w:rPr>
                      <w:t> </w:t>
                    </w:r>
                    <w:r>
                      <w:rPr>
                        <w:rFonts w:ascii="Arial" w:hAnsi="Arial"/>
                        <w:color w:val="231F20"/>
                        <w:sz w:val="12"/>
                      </w:rPr>
                      <w:t>amener</w:t>
                    </w:r>
                    <w:r>
                      <w:rPr>
                        <w:rFonts w:ascii="Arial" w:hAnsi="Arial"/>
                        <w:color w:val="231F20"/>
                        <w:spacing w:val="16"/>
                        <w:sz w:val="12"/>
                      </w:rPr>
                      <w:t> </w:t>
                    </w:r>
                    <w:r>
                      <w:rPr>
                        <w:rFonts w:ascii="Arial" w:hAnsi="Arial"/>
                        <w:color w:val="231F20"/>
                        <w:sz w:val="12"/>
                      </w:rPr>
                      <w:t>à</w:t>
                    </w:r>
                    <w:r>
                      <w:rPr>
                        <w:rFonts w:ascii="Arial" w:hAnsi="Arial"/>
                        <w:color w:val="231F20"/>
                        <w:spacing w:val="16"/>
                        <w:sz w:val="12"/>
                      </w:rPr>
                      <w:t> </w:t>
                    </w:r>
                    <w:r>
                      <w:rPr>
                        <w:rFonts w:ascii="Arial" w:hAnsi="Arial"/>
                        <w:color w:val="231F20"/>
                        <w:sz w:val="12"/>
                      </w:rPr>
                      <w:t>convaincre</w:t>
                    </w:r>
                    <w:r>
                      <w:rPr>
                        <w:rFonts w:ascii="Arial" w:hAnsi="Arial"/>
                        <w:color w:val="231F20"/>
                        <w:spacing w:val="15"/>
                        <w:sz w:val="12"/>
                      </w:rPr>
                      <w:t> </w:t>
                    </w:r>
                    <w:r>
                      <w:rPr>
                        <w:rFonts w:ascii="Arial" w:hAnsi="Arial"/>
                        <w:color w:val="231F20"/>
                        <w:sz w:val="12"/>
                      </w:rPr>
                      <w:t>votre</w:t>
                    </w:r>
                    <w:r>
                      <w:rPr>
                        <w:rFonts w:ascii="Arial" w:hAnsi="Arial"/>
                        <w:color w:val="231F20"/>
                        <w:spacing w:val="16"/>
                        <w:sz w:val="12"/>
                      </w:rPr>
                      <w:t> </w:t>
                    </w:r>
                    <w:r>
                      <w:rPr>
                        <w:rFonts w:ascii="Arial" w:hAnsi="Arial"/>
                        <w:color w:val="231F20"/>
                        <w:sz w:val="12"/>
                      </w:rPr>
                      <w:t>direction,</w:t>
                    </w:r>
                    <w:r>
                      <w:rPr>
                        <w:rFonts w:ascii="Arial" w:hAnsi="Arial"/>
                        <w:color w:val="231F20"/>
                        <w:spacing w:val="16"/>
                        <w:sz w:val="12"/>
                      </w:rPr>
                      <w:t> </w:t>
                    </w:r>
                    <w:r>
                      <w:rPr>
                        <w:rFonts w:ascii="Arial" w:hAnsi="Arial"/>
                        <w:i/>
                        <w:color w:val="231F20"/>
                        <w:sz w:val="12"/>
                      </w:rPr>
                      <w:t>Revue</w:t>
                    </w:r>
                    <w:r>
                      <w:rPr>
                        <w:rFonts w:ascii="Arial" w:hAnsi="Arial"/>
                        <w:i/>
                        <w:color w:val="231F20"/>
                        <w:spacing w:val="16"/>
                        <w:sz w:val="12"/>
                      </w:rPr>
                      <w:t> </w:t>
                    </w:r>
                    <w:r>
                      <w:rPr>
                        <w:rFonts w:ascii="Arial" w:hAnsi="Arial"/>
                        <w:i/>
                        <w:color w:val="231F20"/>
                        <w:sz w:val="12"/>
                      </w:rPr>
                      <w:t>RH</w:t>
                    </w:r>
                    <w:r>
                      <w:rPr>
                        <w:rFonts w:ascii="Arial" w:hAnsi="Arial"/>
                        <w:color w:val="231F20"/>
                        <w:sz w:val="12"/>
                      </w:rPr>
                      <w:t>,</w:t>
                    </w:r>
                    <w:r>
                      <w:rPr>
                        <w:rFonts w:ascii="Arial" w:hAnsi="Arial"/>
                        <w:color w:val="231F20"/>
                        <w:spacing w:val="12"/>
                        <w:sz w:val="12"/>
                      </w:rPr>
                      <w:t> </w:t>
                    </w:r>
                    <w:r>
                      <w:rPr>
                        <w:rFonts w:ascii="Arial" w:hAnsi="Arial"/>
                        <w:i/>
                        <w:color w:val="231F20"/>
                        <w:spacing w:val="-2"/>
                        <w:sz w:val="12"/>
                      </w:rPr>
                      <w:t>21</w:t>
                    </w:r>
                    <w:r>
                      <w:rPr>
                        <w:rFonts w:ascii="Arial" w:hAnsi="Arial"/>
                        <w:color w:val="231F20"/>
                        <w:spacing w:val="-2"/>
                        <w:sz w:val="12"/>
                      </w:rPr>
                      <w:t>(3),</w:t>
                    </w:r>
                  </w:p>
                  <w:p>
                    <w:pPr>
                      <w:spacing w:line="295" w:lineRule="auto" w:before="1"/>
                      <w:ind w:left="250" w:right="250" w:firstLine="0"/>
                      <w:jc w:val="both"/>
                      <w:rPr>
                        <w:rFonts w:ascii="Arial" w:hAnsi="Arial"/>
                        <w:sz w:val="12"/>
                      </w:rPr>
                    </w:pPr>
                    <w:r>
                      <w:rPr>
                        <w:rFonts w:ascii="Arial" w:hAnsi="Arial"/>
                        <w:color w:val="231F20"/>
                        <w:spacing w:val="-2"/>
                        <w:w w:val="105"/>
                        <w:sz w:val="12"/>
                      </w:rPr>
                      <w:t>&lt;https://ordrecrha.org/ressources/revue-rh/volume-21-no-3/comment-40-ans-recherches-</w:t>
                    </w:r>
                    <w:r>
                      <w:rPr>
                        <w:rFonts w:ascii="Arial" w:hAnsi="Arial"/>
                        <w:color w:val="231F20"/>
                        <w:spacing w:val="40"/>
                        <w:w w:val="105"/>
                        <w:sz w:val="12"/>
                      </w:rPr>
                      <w:t> </w:t>
                    </w:r>
                    <w:r>
                      <w:rPr>
                        <w:rFonts w:ascii="Arial" w:hAnsi="Arial"/>
                        <w:color w:val="231F20"/>
                        <w:w w:val="105"/>
                        <w:sz w:val="12"/>
                      </w:rPr>
                      <w:t>peuvent-convaincre-direction&gt;, consulté le 15 novembre 2021.</w:t>
                    </w:r>
                  </w:p>
                </w:txbxContent>
              </v:textbox>
              <w10:wrap type="none"/>
            </v:shape>
            <w10:wrap type="topAndBottom"/>
          </v:group>
        </w:pict>
      </w:r>
    </w:p>
    <w:p>
      <w:pPr>
        <w:pStyle w:val="BodyText"/>
        <w:spacing w:before="1"/>
      </w:pPr>
    </w:p>
    <w:p>
      <w:pPr>
        <w:pStyle w:val="BodyText"/>
        <w:spacing w:line="307" w:lineRule="auto" w:before="145"/>
        <w:ind w:left="1180" w:right="241"/>
        <w:jc w:val="both"/>
      </w:pPr>
      <w:r>
        <w:rPr>
          <w:color w:val="231F20"/>
          <w:w w:val="115"/>
        </w:rPr>
        <w:t>Il</w:t>
      </w:r>
      <w:r>
        <w:rPr>
          <w:color w:val="231F20"/>
          <w:spacing w:val="-1"/>
          <w:w w:val="115"/>
        </w:rPr>
        <w:t> </w:t>
      </w:r>
      <w:r>
        <w:rPr>
          <w:color w:val="231F20"/>
          <w:w w:val="115"/>
        </w:rPr>
        <w:t>est</w:t>
      </w:r>
      <w:r>
        <w:rPr>
          <w:color w:val="231F20"/>
          <w:spacing w:val="-1"/>
          <w:w w:val="115"/>
        </w:rPr>
        <w:t> </w:t>
      </w:r>
      <w:r>
        <w:rPr>
          <w:color w:val="231F20"/>
          <w:w w:val="115"/>
        </w:rPr>
        <w:t>difficile</w:t>
      </w:r>
      <w:r>
        <w:rPr>
          <w:color w:val="231F20"/>
          <w:spacing w:val="-1"/>
          <w:w w:val="115"/>
        </w:rPr>
        <w:t> </w:t>
      </w:r>
      <w:r>
        <w:rPr>
          <w:color w:val="231F20"/>
          <w:w w:val="115"/>
        </w:rPr>
        <w:t>de</w:t>
      </w:r>
      <w:r>
        <w:rPr>
          <w:color w:val="231F20"/>
          <w:spacing w:val="-1"/>
          <w:w w:val="115"/>
        </w:rPr>
        <w:t> </w:t>
      </w:r>
      <w:r>
        <w:rPr>
          <w:color w:val="231F20"/>
          <w:w w:val="115"/>
        </w:rPr>
        <w:t>circonscrire</w:t>
      </w:r>
      <w:r>
        <w:rPr>
          <w:color w:val="231F20"/>
          <w:spacing w:val="-1"/>
          <w:w w:val="115"/>
        </w:rPr>
        <w:t> </w:t>
      </w:r>
      <w:r>
        <w:rPr>
          <w:color w:val="231F20"/>
          <w:w w:val="115"/>
        </w:rPr>
        <w:t>les</w:t>
      </w:r>
      <w:r>
        <w:rPr>
          <w:color w:val="231F20"/>
          <w:spacing w:val="-1"/>
          <w:w w:val="115"/>
        </w:rPr>
        <w:t> </w:t>
      </w:r>
      <w:r>
        <w:rPr>
          <w:color w:val="231F20"/>
          <w:w w:val="115"/>
        </w:rPr>
        <w:t>notions</w:t>
      </w:r>
      <w:r>
        <w:rPr>
          <w:color w:val="231F20"/>
          <w:spacing w:val="-1"/>
          <w:w w:val="115"/>
        </w:rPr>
        <w:t> </w:t>
      </w:r>
      <w:r>
        <w:rPr>
          <w:color w:val="231F20"/>
          <w:w w:val="115"/>
        </w:rPr>
        <w:t>de</w:t>
      </w:r>
      <w:r>
        <w:rPr>
          <w:color w:val="231F20"/>
          <w:spacing w:val="-1"/>
          <w:w w:val="115"/>
        </w:rPr>
        <w:t> </w:t>
      </w:r>
      <w:r>
        <w:rPr>
          <w:i/>
          <w:color w:val="231F20"/>
          <w:w w:val="115"/>
        </w:rPr>
        <w:t>qualité</w:t>
      </w:r>
      <w:r>
        <w:rPr>
          <w:i/>
          <w:color w:val="231F20"/>
          <w:spacing w:val="-1"/>
          <w:w w:val="115"/>
        </w:rPr>
        <w:t> </w:t>
      </w:r>
      <w:r>
        <w:rPr>
          <w:i/>
          <w:color w:val="231F20"/>
          <w:w w:val="115"/>
        </w:rPr>
        <w:t>de</w:t>
      </w:r>
      <w:r>
        <w:rPr>
          <w:i/>
          <w:color w:val="231F20"/>
          <w:spacing w:val="-1"/>
          <w:w w:val="115"/>
        </w:rPr>
        <w:t> </w:t>
      </w:r>
      <w:r>
        <w:rPr>
          <w:i/>
          <w:color w:val="231F20"/>
          <w:w w:val="115"/>
        </w:rPr>
        <w:t>vie</w:t>
      </w:r>
      <w:r>
        <w:rPr>
          <w:i/>
          <w:color w:val="231F20"/>
          <w:spacing w:val="-1"/>
          <w:w w:val="115"/>
        </w:rPr>
        <w:t> </w:t>
      </w:r>
      <w:r>
        <w:rPr>
          <w:i/>
          <w:color w:val="231F20"/>
          <w:w w:val="115"/>
        </w:rPr>
        <w:t>au</w:t>
      </w:r>
      <w:r>
        <w:rPr>
          <w:i/>
          <w:color w:val="231F20"/>
          <w:spacing w:val="-1"/>
          <w:w w:val="115"/>
        </w:rPr>
        <w:t> </w:t>
      </w:r>
      <w:r>
        <w:rPr>
          <w:i/>
          <w:color w:val="231F20"/>
          <w:w w:val="115"/>
        </w:rPr>
        <w:t>travail</w:t>
      </w:r>
      <w:r>
        <w:rPr>
          <w:i/>
          <w:color w:val="231F20"/>
          <w:spacing w:val="-1"/>
          <w:w w:val="115"/>
        </w:rPr>
        <w:t> </w:t>
      </w:r>
      <w:r>
        <w:rPr>
          <w:color w:val="231F20"/>
          <w:w w:val="115"/>
        </w:rPr>
        <w:t>et</w:t>
      </w:r>
      <w:r>
        <w:rPr>
          <w:color w:val="231F20"/>
          <w:spacing w:val="-1"/>
          <w:w w:val="115"/>
        </w:rPr>
        <w:t> </w:t>
      </w:r>
      <w:r>
        <w:rPr>
          <w:color w:val="231F20"/>
          <w:w w:val="115"/>
        </w:rPr>
        <w:t>de </w:t>
      </w:r>
      <w:r>
        <w:rPr>
          <w:i/>
          <w:color w:val="231F20"/>
          <w:w w:val="115"/>
        </w:rPr>
        <w:t>santé psychologique</w:t>
      </w:r>
      <w:r>
        <w:rPr>
          <w:color w:val="231F20"/>
          <w:w w:val="115"/>
        </w:rPr>
        <w:t>. Le présent chapitre traite d’un processus qui amène </w:t>
      </w:r>
      <w:r>
        <w:rPr>
          <w:color w:val="231F20"/>
          <w:w w:val="120"/>
        </w:rPr>
        <w:t>tous</w:t>
      </w:r>
      <w:r>
        <w:rPr>
          <w:color w:val="231F20"/>
          <w:w w:val="120"/>
        </w:rPr>
        <w:t> les</w:t>
      </w:r>
      <w:r>
        <w:rPr>
          <w:color w:val="231F20"/>
          <w:w w:val="120"/>
        </w:rPr>
        <w:t> membres</w:t>
      </w:r>
      <w:r>
        <w:rPr>
          <w:color w:val="231F20"/>
          <w:w w:val="120"/>
        </w:rPr>
        <w:t> de</w:t>
      </w:r>
      <w:r>
        <w:rPr>
          <w:color w:val="231F20"/>
          <w:w w:val="120"/>
        </w:rPr>
        <w:t> l’organisation</w:t>
      </w:r>
      <w:r>
        <w:rPr>
          <w:color w:val="231F20"/>
          <w:w w:val="120"/>
        </w:rPr>
        <w:t> à</w:t>
      </w:r>
      <w:r>
        <w:rPr>
          <w:color w:val="231F20"/>
          <w:w w:val="120"/>
        </w:rPr>
        <w:t> participer</w:t>
      </w:r>
      <w:r>
        <w:rPr>
          <w:color w:val="231F20"/>
          <w:w w:val="120"/>
        </w:rPr>
        <w:t> aux</w:t>
      </w:r>
      <w:r>
        <w:rPr>
          <w:color w:val="231F20"/>
          <w:w w:val="120"/>
        </w:rPr>
        <w:t> décisions</w:t>
      </w:r>
      <w:r>
        <w:rPr>
          <w:color w:val="231F20"/>
          <w:w w:val="120"/>
        </w:rPr>
        <w:t> qui concernent leur emploi en particulier et leur milieu de travail en géné- ral. Ce processus repose sur des voies de communication ouvertes et appropriées</w:t>
      </w:r>
      <w:r>
        <w:rPr>
          <w:color w:val="231F20"/>
          <w:spacing w:val="-11"/>
          <w:w w:val="120"/>
        </w:rPr>
        <w:t> </w:t>
      </w:r>
      <w:r>
        <w:rPr>
          <w:color w:val="231F20"/>
          <w:w w:val="120"/>
        </w:rPr>
        <w:t>qui</w:t>
      </w:r>
      <w:r>
        <w:rPr>
          <w:color w:val="231F20"/>
          <w:spacing w:val="-11"/>
          <w:w w:val="120"/>
        </w:rPr>
        <w:t> </w:t>
      </w:r>
      <w:r>
        <w:rPr>
          <w:color w:val="231F20"/>
          <w:w w:val="120"/>
        </w:rPr>
        <w:t>stimulent</w:t>
      </w:r>
      <w:r>
        <w:rPr>
          <w:color w:val="231F20"/>
          <w:spacing w:val="-11"/>
          <w:w w:val="120"/>
        </w:rPr>
        <w:t> </w:t>
      </w:r>
      <w:r>
        <w:rPr>
          <w:color w:val="231F20"/>
          <w:w w:val="120"/>
        </w:rPr>
        <w:t>l’engagement</w:t>
      </w:r>
      <w:r>
        <w:rPr>
          <w:color w:val="231F20"/>
          <w:spacing w:val="-11"/>
          <w:w w:val="120"/>
        </w:rPr>
        <w:t> </w:t>
      </w:r>
      <w:r>
        <w:rPr>
          <w:color w:val="231F20"/>
          <w:w w:val="120"/>
        </w:rPr>
        <w:t>au</w:t>
      </w:r>
      <w:r>
        <w:rPr>
          <w:color w:val="231F20"/>
          <w:spacing w:val="-11"/>
          <w:w w:val="120"/>
        </w:rPr>
        <w:t> </w:t>
      </w:r>
      <w:r>
        <w:rPr>
          <w:color w:val="231F20"/>
          <w:w w:val="120"/>
        </w:rPr>
        <w:t>travail</w:t>
      </w:r>
      <w:r>
        <w:rPr>
          <w:color w:val="231F20"/>
          <w:spacing w:val="-11"/>
          <w:w w:val="120"/>
        </w:rPr>
        <w:t> </w:t>
      </w:r>
      <w:r>
        <w:rPr>
          <w:color w:val="231F20"/>
          <w:w w:val="120"/>
        </w:rPr>
        <w:t>et</w:t>
      </w:r>
      <w:r>
        <w:rPr>
          <w:color w:val="231F20"/>
          <w:spacing w:val="-11"/>
          <w:w w:val="120"/>
        </w:rPr>
        <w:t> </w:t>
      </w:r>
      <w:r>
        <w:rPr>
          <w:color w:val="231F20"/>
          <w:w w:val="120"/>
        </w:rPr>
        <w:t>la</w:t>
      </w:r>
      <w:r>
        <w:rPr>
          <w:color w:val="231F20"/>
          <w:spacing w:val="-11"/>
          <w:w w:val="120"/>
        </w:rPr>
        <w:t> </w:t>
      </w:r>
      <w:r>
        <w:rPr>
          <w:color w:val="231F20"/>
          <w:w w:val="120"/>
        </w:rPr>
        <w:t>satisfaction</w:t>
      </w:r>
      <w:r>
        <w:rPr>
          <w:color w:val="231F20"/>
          <w:spacing w:val="-11"/>
          <w:w w:val="120"/>
        </w:rPr>
        <w:t> </w:t>
      </w:r>
      <w:r>
        <w:rPr>
          <w:color w:val="231F20"/>
          <w:w w:val="120"/>
        </w:rPr>
        <w:t>pro- </w:t>
      </w:r>
      <w:r>
        <w:rPr>
          <w:color w:val="231F20"/>
          <w:spacing w:val="-2"/>
          <w:w w:val="120"/>
        </w:rPr>
        <w:t>fessionnelle</w:t>
      </w:r>
      <w:r>
        <w:rPr>
          <w:color w:val="231F20"/>
          <w:spacing w:val="-8"/>
          <w:w w:val="120"/>
        </w:rPr>
        <w:t> </w:t>
      </w:r>
      <w:r>
        <w:rPr>
          <w:color w:val="231F20"/>
          <w:spacing w:val="-2"/>
          <w:w w:val="120"/>
        </w:rPr>
        <w:t>tout</w:t>
      </w:r>
      <w:r>
        <w:rPr>
          <w:color w:val="231F20"/>
          <w:spacing w:val="-8"/>
          <w:w w:val="120"/>
        </w:rPr>
        <w:t> </w:t>
      </w:r>
      <w:r>
        <w:rPr>
          <w:color w:val="231F20"/>
          <w:spacing w:val="-2"/>
          <w:w w:val="120"/>
        </w:rPr>
        <w:t>en</w:t>
      </w:r>
      <w:r>
        <w:rPr>
          <w:color w:val="231F20"/>
          <w:spacing w:val="-8"/>
          <w:w w:val="120"/>
        </w:rPr>
        <w:t> </w:t>
      </w:r>
      <w:r>
        <w:rPr>
          <w:color w:val="231F20"/>
          <w:spacing w:val="-2"/>
          <w:w w:val="120"/>
        </w:rPr>
        <w:t>réduisant</w:t>
      </w:r>
      <w:r>
        <w:rPr>
          <w:color w:val="231F20"/>
          <w:spacing w:val="-8"/>
          <w:w w:val="120"/>
        </w:rPr>
        <w:t> </w:t>
      </w:r>
      <w:r>
        <w:rPr>
          <w:color w:val="231F20"/>
          <w:spacing w:val="-2"/>
          <w:w w:val="120"/>
        </w:rPr>
        <w:t>le</w:t>
      </w:r>
      <w:r>
        <w:rPr>
          <w:color w:val="231F20"/>
          <w:spacing w:val="-8"/>
          <w:w w:val="120"/>
        </w:rPr>
        <w:t> </w:t>
      </w:r>
      <w:r>
        <w:rPr>
          <w:color w:val="231F20"/>
          <w:spacing w:val="-2"/>
          <w:w w:val="120"/>
        </w:rPr>
        <w:t>niveau</w:t>
      </w:r>
      <w:r>
        <w:rPr>
          <w:color w:val="231F20"/>
          <w:spacing w:val="-8"/>
          <w:w w:val="120"/>
        </w:rPr>
        <w:t> </w:t>
      </w:r>
      <w:r>
        <w:rPr>
          <w:color w:val="231F20"/>
          <w:spacing w:val="-2"/>
          <w:w w:val="120"/>
        </w:rPr>
        <w:t>de</w:t>
      </w:r>
      <w:r>
        <w:rPr>
          <w:color w:val="231F20"/>
          <w:spacing w:val="-8"/>
          <w:w w:val="120"/>
        </w:rPr>
        <w:t> </w:t>
      </w:r>
      <w:r>
        <w:rPr>
          <w:color w:val="231F20"/>
          <w:spacing w:val="-2"/>
          <w:w w:val="120"/>
        </w:rPr>
        <w:t>stress</w:t>
      </w:r>
      <w:r>
        <w:rPr>
          <w:color w:val="231F20"/>
          <w:spacing w:val="-8"/>
          <w:w w:val="120"/>
        </w:rPr>
        <w:t> </w:t>
      </w:r>
      <w:r>
        <w:rPr>
          <w:color w:val="231F20"/>
          <w:spacing w:val="-2"/>
          <w:w w:val="120"/>
        </w:rPr>
        <w:t>et</w:t>
      </w:r>
      <w:r>
        <w:rPr>
          <w:color w:val="231F20"/>
          <w:spacing w:val="-8"/>
          <w:w w:val="120"/>
        </w:rPr>
        <w:t> </w:t>
      </w:r>
      <w:r>
        <w:rPr>
          <w:color w:val="231F20"/>
          <w:spacing w:val="-2"/>
          <w:w w:val="120"/>
        </w:rPr>
        <w:t>d’épuisement.</w:t>
      </w:r>
      <w:r>
        <w:rPr>
          <w:color w:val="231F20"/>
          <w:spacing w:val="-8"/>
          <w:w w:val="120"/>
        </w:rPr>
        <w:t> </w:t>
      </w:r>
      <w:r>
        <w:rPr>
          <w:color w:val="231F20"/>
          <w:spacing w:val="-2"/>
          <w:w w:val="120"/>
        </w:rPr>
        <w:t>Essen- </w:t>
      </w:r>
      <w:r>
        <w:rPr>
          <w:color w:val="231F20"/>
          <w:w w:val="120"/>
        </w:rPr>
        <w:t>tiellement, la qualité de vie et la santé psychologique au travail sont associées</w:t>
      </w:r>
      <w:r>
        <w:rPr>
          <w:color w:val="231F20"/>
          <w:spacing w:val="-8"/>
          <w:w w:val="120"/>
        </w:rPr>
        <w:t> </w:t>
      </w:r>
      <w:r>
        <w:rPr>
          <w:color w:val="231F20"/>
          <w:w w:val="120"/>
        </w:rPr>
        <w:t>à</w:t>
      </w:r>
      <w:r>
        <w:rPr>
          <w:color w:val="231F20"/>
          <w:spacing w:val="-8"/>
          <w:w w:val="120"/>
        </w:rPr>
        <w:t> </w:t>
      </w:r>
      <w:r>
        <w:rPr>
          <w:color w:val="231F20"/>
          <w:w w:val="120"/>
        </w:rPr>
        <w:t>une</w:t>
      </w:r>
      <w:r>
        <w:rPr>
          <w:color w:val="231F20"/>
          <w:spacing w:val="-8"/>
          <w:w w:val="120"/>
        </w:rPr>
        <w:t> </w:t>
      </w:r>
      <w:r>
        <w:rPr>
          <w:color w:val="231F20"/>
          <w:w w:val="120"/>
        </w:rPr>
        <w:t>culture</w:t>
      </w:r>
      <w:r>
        <w:rPr>
          <w:color w:val="231F20"/>
          <w:spacing w:val="-8"/>
          <w:w w:val="120"/>
        </w:rPr>
        <w:t> </w:t>
      </w:r>
      <w:r>
        <w:rPr>
          <w:color w:val="231F20"/>
          <w:w w:val="120"/>
        </w:rPr>
        <w:t>organisationnelle</w:t>
      </w:r>
      <w:r>
        <w:rPr>
          <w:color w:val="231F20"/>
          <w:spacing w:val="-8"/>
          <w:w w:val="120"/>
        </w:rPr>
        <w:t> </w:t>
      </w:r>
      <w:r>
        <w:rPr>
          <w:color w:val="231F20"/>
          <w:w w:val="120"/>
        </w:rPr>
        <w:t>ou</w:t>
      </w:r>
      <w:r>
        <w:rPr>
          <w:color w:val="231F20"/>
          <w:spacing w:val="-8"/>
          <w:w w:val="120"/>
        </w:rPr>
        <w:t> </w:t>
      </w:r>
      <w:r>
        <w:rPr>
          <w:color w:val="231F20"/>
          <w:w w:val="120"/>
        </w:rPr>
        <w:t>à</w:t>
      </w:r>
      <w:r>
        <w:rPr>
          <w:color w:val="231F20"/>
          <w:spacing w:val="-8"/>
          <w:w w:val="120"/>
        </w:rPr>
        <w:t> </w:t>
      </w:r>
      <w:r>
        <w:rPr>
          <w:color w:val="231F20"/>
          <w:w w:val="120"/>
        </w:rPr>
        <w:t>un</w:t>
      </w:r>
      <w:r>
        <w:rPr>
          <w:color w:val="231F20"/>
          <w:spacing w:val="-8"/>
          <w:w w:val="120"/>
        </w:rPr>
        <w:t> </w:t>
      </w:r>
      <w:r>
        <w:rPr>
          <w:color w:val="231F20"/>
          <w:w w:val="120"/>
        </w:rPr>
        <w:t>style</w:t>
      </w:r>
      <w:r>
        <w:rPr>
          <w:color w:val="231F20"/>
          <w:spacing w:val="-8"/>
          <w:w w:val="120"/>
        </w:rPr>
        <w:t> </w:t>
      </w:r>
      <w:r>
        <w:rPr>
          <w:color w:val="231F20"/>
          <w:w w:val="120"/>
        </w:rPr>
        <w:t>de</w:t>
      </w:r>
      <w:r>
        <w:rPr>
          <w:color w:val="231F20"/>
          <w:spacing w:val="-8"/>
          <w:w w:val="120"/>
        </w:rPr>
        <w:t> </w:t>
      </w:r>
      <w:r>
        <w:rPr>
          <w:color w:val="231F20"/>
          <w:w w:val="120"/>
        </w:rPr>
        <w:t>gestion</w:t>
      </w:r>
      <w:r>
        <w:rPr>
          <w:color w:val="231F20"/>
          <w:spacing w:val="-8"/>
          <w:w w:val="120"/>
        </w:rPr>
        <w:t> </w:t>
      </w:r>
      <w:r>
        <w:rPr>
          <w:color w:val="231F20"/>
          <w:w w:val="120"/>
        </w:rPr>
        <w:t>nova- teur</w:t>
      </w:r>
      <w:r>
        <w:rPr>
          <w:color w:val="231F20"/>
          <w:spacing w:val="-13"/>
          <w:w w:val="120"/>
        </w:rPr>
        <w:t> </w:t>
      </w:r>
      <w:r>
        <w:rPr>
          <w:color w:val="231F20"/>
          <w:w w:val="120"/>
        </w:rPr>
        <w:t>qui</w:t>
      </w:r>
      <w:r>
        <w:rPr>
          <w:color w:val="231F20"/>
          <w:spacing w:val="-13"/>
          <w:w w:val="120"/>
        </w:rPr>
        <w:t> </w:t>
      </w:r>
      <w:r>
        <w:rPr>
          <w:color w:val="231F20"/>
          <w:w w:val="120"/>
        </w:rPr>
        <w:t>nourrit</w:t>
      </w:r>
      <w:r>
        <w:rPr>
          <w:color w:val="231F20"/>
          <w:spacing w:val="-13"/>
          <w:w w:val="120"/>
        </w:rPr>
        <w:t> </w:t>
      </w:r>
      <w:r>
        <w:rPr>
          <w:color w:val="231F20"/>
          <w:w w:val="120"/>
        </w:rPr>
        <w:t>un</w:t>
      </w:r>
      <w:r>
        <w:rPr>
          <w:color w:val="231F20"/>
          <w:spacing w:val="-12"/>
          <w:w w:val="120"/>
        </w:rPr>
        <w:t> </w:t>
      </w:r>
      <w:r>
        <w:rPr>
          <w:color w:val="231F20"/>
          <w:w w:val="120"/>
        </w:rPr>
        <w:t>sentiment</w:t>
      </w:r>
      <w:r>
        <w:rPr>
          <w:color w:val="231F20"/>
          <w:spacing w:val="-13"/>
          <w:w w:val="120"/>
        </w:rPr>
        <w:t> </w:t>
      </w:r>
      <w:r>
        <w:rPr>
          <w:color w:val="231F20"/>
          <w:w w:val="120"/>
        </w:rPr>
        <w:t>d’appartenance</w:t>
      </w:r>
      <w:r>
        <w:rPr>
          <w:color w:val="231F20"/>
          <w:spacing w:val="-13"/>
          <w:w w:val="120"/>
        </w:rPr>
        <w:t> </w:t>
      </w:r>
      <w:r>
        <w:rPr>
          <w:color w:val="231F20"/>
          <w:w w:val="120"/>
        </w:rPr>
        <w:t>et</w:t>
      </w:r>
      <w:r>
        <w:rPr>
          <w:color w:val="231F20"/>
          <w:spacing w:val="-13"/>
          <w:w w:val="120"/>
        </w:rPr>
        <w:t> </w:t>
      </w:r>
      <w:r>
        <w:rPr>
          <w:color w:val="231F20"/>
          <w:w w:val="120"/>
        </w:rPr>
        <w:t>la</w:t>
      </w:r>
      <w:r>
        <w:rPr>
          <w:color w:val="231F20"/>
          <w:spacing w:val="-12"/>
          <w:w w:val="120"/>
        </w:rPr>
        <w:t> </w:t>
      </w:r>
      <w:r>
        <w:rPr>
          <w:color w:val="231F20"/>
          <w:w w:val="120"/>
        </w:rPr>
        <w:t>dignité</w:t>
      </w:r>
      <w:r>
        <w:rPr>
          <w:color w:val="231F20"/>
          <w:spacing w:val="-13"/>
          <w:w w:val="120"/>
        </w:rPr>
        <w:t> </w:t>
      </w:r>
      <w:r>
        <w:rPr>
          <w:color w:val="231F20"/>
          <w:w w:val="120"/>
        </w:rPr>
        <w:t>des</w:t>
      </w:r>
      <w:r>
        <w:rPr>
          <w:color w:val="231F20"/>
          <w:spacing w:val="-13"/>
          <w:w w:val="120"/>
        </w:rPr>
        <w:t> </w:t>
      </w:r>
      <w:r>
        <w:rPr>
          <w:color w:val="231F20"/>
          <w:w w:val="120"/>
        </w:rPr>
        <w:t>employés, les responsabilisent et leur donnent voix au chapitre. Généralement, l’organisation</w:t>
      </w:r>
      <w:r>
        <w:rPr>
          <w:color w:val="231F20"/>
          <w:spacing w:val="-13"/>
          <w:w w:val="120"/>
        </w:rPr>
        <w:t> </w:t>
      </w:r>
      <w:r>
        <w:rPr>
          <w:color w:val="231F20"/>
          <w:w w:val="120"/>
        </w:rPr>
        <w:t>qui</w:t>
      </w:r>
      <w:r>
        <w:rPr>
          <w:color w:val="231F20"/>
          <w:spacing w:val="-13"/>
          <w:w w:val="120"/>
        </w:rPr>
        <w:t> </w:t>
      </w:r>
      <w:r>
        <w:rPr>
          <w:color w:val="231F20"/>
          <w:w w:val="120"/>
        </w:rPr>
        <w:t>se</w:t>
      </w:r>
      <w:r>
        <w:rPr>
          <w:color w:val="231F20"/>
          <w:spacing w:val="-12"/>
          <w:w w:val="120"/>
        </w:rPr>
        <w:t> </w:t>
      </w:r>
      <w:r>
        <w:rPr>
          <w:color w:val="231F20"/>
          <w:w w:val="120"/>
        </w:rPr>
        <w:t>distingue</w:t>
      </w:r>
      <w:r>
        <w:rPr>
          <w:color w:val="231F20"/>
          <w:spacing w:val="-13"/>
          <w:w w:val="120"/>
        </w:rPr>
        <w:t> </w:t>
      </w:r>
      <w:r>
        <w:rPr>
          <w:color w:val="231F20"/>
          <w:w w:val="120"/>
        </w:rPr>
        <w:t>par</w:t>
      </w:r>
      <w:r>
        <w:rPr>
          <w:color w:val="231F20"/>
          <w:spacing w:val="-13"/>
          <w:w w:val="120"/>
        </w:rPr>
        <w:t> </w:t>
      </w:r>
      <w:r>
        <w:rPr>
          <w:color w:val="231F20"/>
          <w:w w:val="120"/>
        </w:rPr>
        <w:t>sa</w:t>
      </w:r>
      <w:r>
        <w:rPr>
          <w:color w:val="231F20"/>
          <w:spacing w:val="-12"/>
          <w:w w:val="120"/>
        </w:rPr>
        <w:t> </w:t>
      </w:r>
      <w:r>
        <w:rPr>
          <w:color w:val="231F20"/>
          <w:w w:val="120"/>
        </w:rPr>
        <w:t>qualité</w:t>
      </w:r>
      <w:r>
        <w:rPr>
          <w:color w:val="231F20"/>
          <w:spacing w:val="-13"/>
          <w:w w:val="120"/>
        </w:rPr>
        <w:t> </w:t>
      </w:r>
      <w:r>
        <w:rPr>
          <w:color w:val="231F20"/>
          <w:w w:val="120"/>
        </w:rPr>
        <w:t>de</w:t>
      </w:r>
      <w:r>
        <w:rPr>
          <w:color w:val="231F20"/>
          <w:spacing w:val="-13"/>
          <w:w w:val="120"/>
        </w:rPr>
        <w:t> </w:t>
      </w:r>
      <w:r>
        <w:rPr>
          <w:color w:val="231F20"/>
          <w:w w:val="120"/>
        </w:rPr>
        <w:t>vie</w:t>
      </w:r>
      <w:r>
        <w:rPr>
          <w:color w:val="231F20"/>
          <w:spacing w:val="-12"/>
          <w:w w:val="120"/>
        </w:rPr>
        <w:t> </w:t>
      </w:r>
      <w:r>
        <w:rPr>
          <w:color w:val="231F20"/>
          <w:w w:val="120"/>
        </w:rPr>
        <w:t>au</w:t>
      </w:r>
      <w:r>
        <w:rPr>
          <w:color w:val="231F20"/>
          <w:spacing w:val="-13"/>
          <w:w w:val="120"/>
        </w:rPr>
        <w:t> </w:t>
      </w:r>
      <w:r>
        <w:rPr>
          <w:color w:val="231F20"/>
          <w:w w:val="120"/>
        </w:rPr>
        <w:t>travail</w:t>
      </w:r>
      <w:r>
        <w:rPr>
          <w:color w:val="231F20"/>
          <w:spacing w:val="-13"/>
          <w:w w:val="120"/>
        </w:rPr>
        <w:t> </w:t>
      </w:r>
      <w:r>
        <w:rPr>
          <w:color w:val="231F20"/>
          <w:w w:val="120"/>
        </w:rPr>
        <w:t>favorise</w:t>
      </w:r>
      <w:r>
        <w:rPr>
          <w:color w:val="231F20"/>
          <w:spacing w:val="-12"/>
          <w:w w:val="120"/>
        </w:rPr>
        <w:t> </w:t>
      </w:r>
      <w:r>
        <w:rPr>
          <w:color w:val="231F20"/>
          <w:w w:val="120"/>
        </w:rPr>
        <w:t>la démocratie</w:t>
      </w:r>
      <w:r>
        <w:rPr>
          <w:color w:val="231F20"/>
          <w:spacing w:val="-12"/>
          <w:w w:val="120"/>
        </w:rPr>
        <w:t> </w:t>
      </w:r>
      <w:r>
        <w:rPr>
          <w:color w:val="231F20"/>
          <w:w w:val="120"/>
        </w:rPr>
        <w:t>organisationnelle</w:t>
      </w:r>
      <w:r>
        <w:rPr>
          <w:color w:val="231F20"/>
          <w:spacing w:val="-13"/>
          <w:w w:val="120"/>
        </w:rPr>
        <w:t> </w:t>
      </w:r>
      <w:r>
        <w:rPr>
          <w:color w:val="231F20"/>
          <w:w w:val="120"/>
        </w:rPr>
        <w:t>: les suggestions, les questions et les cri- tiques</w:t>
      </w:r>
      <w:r>
        <w:rPr>
          <w:color w:val="231F20"/>
          <w:spacing w:val="-9"/>
          <w:w w:val="120"/>
        </w:rPr>
        <w:t> </w:t>
      </w:r>
      <w:r>
        <w:rPr>
          <w:color w:val="231F20"/>
          <w:w w:val="120"/>
        </w:rPr>
        <w:t>y</w:t>
      </w:r>
      <w:r>
        <w:rPr>
          <w:color w:val="231F20"/>
          <w:spacing w:val="-8"/>
          <w:w w:val="120"/>
        </w:rPr>
        <w:t> </w:t>
      </w:r>
      <w:r>
        <w:rPr>
          <w:color w:val="231F20"/>
          <w:w w:val="120"/>
        </w:rPr>
        <w:t>sont</w:t>
      </w:r>
      <w:r>
        <w:rPr>
          <w:color w:val="231F20"/>
          <w:spacing w:val="-8"/>
          <w:w w:val="120"/>
        </w:rPr>
        <w:t> </w:t>
      </w:r>
      <w:r>
        <w:rPr>
          <w:color w:val="231F20"/>
          <w:w w:val="120"/>
        </w:rPr>
        <w:t>perçues</w:t>
      </w:r>
      <w:r>
        <w:rPr>
          <w:color w:val="231F20"/>
          <w:spacing w:val="-9"/>
          <w:w w:val="120"/>
        </w:rPr>
        <w:t> </w:t>
      </w:r>
      <w:r>
        <w:rPr>
          <w:color w:val="231F20"/>
          <w:w w:val="120"/>
        </w:rPr>
        <w:t>comme</w:t>
      </w:r>
      <w:r>
        <w:rPr>
          <w:color w:val="231F20"/>
          <w:spacing w:val="-8"/>
          <w:w w:val="120"/>
        </w:rPr>
        <w:t> </w:t>
      </w:r>
      <w:r>
        <w:rPr>
          <w:color w:val="231F20"/>
          <w:w w:val="120"/>
        </w:rPr>
        <w:t>autant</w:t>
      </w:r>
      <w:r>
        <w:rPr>
          <w:color w:val="231F20"/>
          <w:spacing w:val="-8"/>
          <w:w w:val="120"/>
        </w:rPr>
        <w:t> </w:t>
      </w:r>
      <w:r>
        <w:rPr>
          <w:color w:val="231F20"/>
          <w:w w:val="120"/>
        </w:rPr>
        <w:t>de</w:t>
      </w:r>
      <w:r>
        <w:rPr>
          <w:color w:val="231F20"/>
          <w:spacing w:val="-8"/>
          <w:w w:val="120"/>
        </w:rPr>
        <w:t> </w:t>
      </w:r>
      <w:r>
        <w:rPr>
          <w:color w:val="231F20"/>
          <w:w w:val="120"/>
        </w:rPr>
        <w:t>pistes</w:t>
      </w:r>
      <w:r>
        <w:rPr>
          <w:color w:val="231F20"/>
          <w:spacing w:val="-9"/>
          <w:w w:val="120"/>
        </w:rPr>
        <w:t> </w:t>
      </w:r>
      <w:r>
        <w:rPr>
          <w:color w:val="231F20"/>
          <w:w w:val="120"/>
        </w:rPr>
        <w:t>pour</w:t>
      </w:r>
      <w:r>
        <w:rPr>
          <w:color w:val="231F20"/>
          <w:spacing w:val="-8"/>
          <w:w w:val="120"/>
        </w:rPr>
        <w:t> </w:t>
      </w:r>
      <w:r>
        <w:rPr>
          <w:color w:val="231F20"/>
          <w:w w:val="120"/>
        </w:rPr>
        <w:t>l’amélioration.</w:t>
      </w:r>
      <w:r>
        <w:rPr>
          <w:color w:val="231F20"/>
          <w:spacing w:val="-8"/>
          <w:w w:val="120"/>
        </w:rPr>
        <w:t> </w:t>
      </w:r>
      <w:r>
        <w:rPr>
          <w:color w:val="231F20"/>
          <w:spacing w:val="-4"/>
          <w:w w:val="120"/>
        </w:rPr>
        <w:t>Dans</w:t>
      </w:r>
    </w:p>
    <w:p>
      <w:pPr>
        <w:spacing w:after="0" w:line="307" w:lineRule="auto"/>
        <w:jc w:val="both"/>
        <w:sectPr>
          <w:footerReference w:type="default" r:id="rId36"/>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4"/>
        <w:jc w:val="both"/>
      </w:pPr>
      <w:r>
        <w:rPr>
          <w:color w:val="231F20"/>
          <w:w w:val="120"/>
        </w:rPr>
        <w:t>ce genre de milieu, le désaccord constructif est considéré comme une </w:t>
      </w:r>
      <w:r>
        <w:rPr>
          <w:color w:val="231F20"/>
          <w:spacing w:val="-2"/>
          <w:w w:val="120"/>
        </w:rPr>
        <w:t>marque</w:t>
      </w:r>
      <w:r>
        <w:rPr>
          <w:color w:val="231F20"/>
          <w:spacing w:val="-11"/>
          <w:w w:val="120"/>
        </w:rPr>
        <w:t> </w:t>
      </w:r>
      <w:r>
        <w:rPr>
          <w:color w:val="231F20"/>
          <w:spacing w:val="-2"/>
          <w:w w:val="120"/>
        </w:rPr>
        <w:t>d’intérêt</w:t>
      </w:r>
      <w:r>
        <w:rPr>
          <w:color w:val="231F20"/>
          <w:spacing w:val="-11"/>
          <w:w w:val="120"/>
        </w:rPr>
        <w:t> </w:t>
      </w:r>
      <w:r>
        <w:rPr>
          <w:color w:val="231F20"/>
          <w:spacing w:val="-2"/>
          <w:w w:val="120"/>
        </w:rPr>
        <w:t>pour</w:t>
      </w:r>
      <w:r>
        <w:rPr>
          <w:color w:val="231F20"/>
          <w:spacing w:val="-11"/>
          <w:w w:val="120"/>
        </w:rPr>
        <w:t> </w:t>
      </w:r>
      <w:r>
        <w:rPr>
          <w:color w:val="231F20"/>
          <w:spacing w:val="-2"/>
          <w:w w:val="120"/>
        </w:rPr>
        <w:t>l’organisation</w:t>
      </w:r>
      <w:r>
        <w:rPr>
          <w:color w:val="231F20"/>
          <w:spacing w:val="-10"/>
          <w:w w:val="120"/>
        </w:rPr>
        <w:t> </w:t>
      </w:r>
      <w:r>
        <w:rPr>
          <w:color w:val="231F20"/>
          <w:spacing w:val="-2"/>
          <w:w w:val="120"/>
        </w:rPr>
        <w:t>et</w:t>
      </w:r>
      <w:r>
        <w:rPr>
          <w:color w:val="231F20"/>
          <w:spacing w:val="-11"/>
          <w:w w:val="120"/>
        </w:rPr>
        <w:t> </w:t>
      </w:r>
      <w:r>
        <w:rPr>
          <w:color w:val="231F20"/>
          <w:spacing w:val="-2"/>
          <w:w w:val="120"/>
        </w:rPr>
        <w:t>non</w:t>
      </w:r>
      <w:r>
        <w:rPr>
          <w:color w:val="231F20"/>
          <w:spacing w:val="-11"/>
          <w:w w:val="120"/>
        </w:rPr>
        <w:t> </w:t>
      </w:r>
      <w:r>
        <w:rPr>
          <w:color w:val="231F20"/>
          <w:spacing w:val="-2"/>
          <w:w w:val="120"/>
        </w:rPr>
        <w:t>comme</w:t>
      </w:r>
      <w:r>
        <w:rPr>
          <w:color w:val="231F20"/>
          <w:spacing w:val="-11"/>
          <w:w w:val="120"/>
        </w:rPr>
        <w:t> </w:t>
      </w:r>
      <w:r>
        <w:rPr>
          <w:color w:val="231F20"/>
          <w:spacing w:val="-2"/>
          <w:w w:val="120"/>
        </w:rPr>
        <w:t>une</w:t>
      </w:r>
      <w:r>
        <w:rPr>
          <w:color w:val="231F20"/>
          <w:spacing w:val="-10"/>
          <w:w w:val="120"/>
        </w:rPr>
        <w:t> </w:t>
      </w:r>
      <w:r>
        <w:rPr>
          <w:color w:val="231F20"/>
          <w:spacing w:val="-2"/>
          <w:w w:val="120"/>
        </w:rPr>
        <w:t>critique.</w:t>
      </w:r>
      <w:r>
        <w:rPr>
          <w:color w:val="231F20"/>
          <w:spacing w:val="-11"/>
          <w:w w:val="120"/>
        </w:rPr>
        <w:t> </w:t>
      </w:r>
      <w:r>
        <w:rPr>
          <w:color w:val="231F20"/>
          <w:spacing w:val="-2"/>
          <w:w w:val="120"/>
        </w:rPr>
        <w:t>Les</w:t>
      </w:r>
      <w:r>
        <w:rPr>
          <w:color w:val="231F20"/>
          <w:spacing w:val="-11"/>
          <w:w w:val="120"/>
        </w:rPr>
        <w:t> </w:t>
      </w:r>
      <w:r>
        <w:rPr>
          <w:color w:val="231F20"/>
          <w:spacing w:val="-2"/>
          <w:w w:val="120"/>
        </w:rPr>
        <w:t>ges- </w:t>
      </w:r>
      <w:r>
        <w:rPr>
          <w:color w:val="231F20"/>
          <w:w w:val="120"/>
        </w:rPr>
        <w:t>tionnaires qui promeuvent ce type de participation font souvent jaillir </w:t>
      </w:r>
      <w:r>
        <w:rPr>
          <w:color w:val="231F20"/>
          <w:w w:val="115"/>
        </w:rPr>
        <w:t>des</w:t>
      </w:r>
      <w:r>
        <w:rPr>
          <w:color w:val="231F20"/>
          <w:spacing w:val="-8"/>
          <w:w w:val="115"/>
        </w:rPr>
        <w:t> </w:t>
      </w:r>
      <w:r>
        <w:rPr>
          <w:color w:val="231F20"/>
          <w:w w:val="115"/>
        </w:rPr>
        <w:t>idées</w:t>
      </w:r>
      <w:r>
        <w:rPr>
          <w:color w:val="231F20"/>
          <w:spacing w:val="-8"/>
          <w:w w:val="115"/>
        </w:rPr>
        <w:t> </w:t>
      </w:r>
      <w:r>
        <w:rPr>
          <w:color w:val="231F20"/>
          <w:w w:val="115"/>
        </w:rPr>
        <w:t>et</w:t>
      </w:r>
      <w:r>
        <w:rPr>
          <w:color w:val="231F20"/>
          <w:spacing w:val="-8"/>
          <w:w w:val="115"/>
        </w:rPr>
        <w:t> </w:t>
      </w:r>
      <w:r>
        <w:rPr>
          <w:color w:val="231F20"/>
          <w:w w:val="115"/>
        </w:rPr>
        <w:t>des</w:t>
      </w:r>
      <w:r>
        <w:rPr>
          <w:color w:val="231F20"/>
          <w:spacing w:val="-8"/>
          <w:w w:val="115"/>
        </w:rPr>
        <w:t> </w:t>
      </w:r>
      <w:r>
        <w:rPr>
          <w:color w:val="231F20"/>
          <w:w w:val="115"/>
        </w:rPr>
        <w:t>mesures</w:t>
      </w:r>
      <w:r>
        <w:rPr>
          <w:color w:val="231F20"/>
          <w:spacing w:val="-8"/>
          <w:w w:val="115"/>
        </w:rPr>
        <w:t> </w:t>
      </w:r>
      <w:r>
        <w:rPr>
          <w:color w:val="231F20"/>
          <w:w w:val="115"/>
        </w:rPr>
        <w:t>propices</w:t>
      </w:r>
      <w:r>
        <w:rPr>
          <w:color w:val="231F20"/>
          <w:spacing w:val="-8"/>
          <w:w w:val="115"/>
        </w:rPr>
        <w:t> </w:t>
      </w:r>
      <w:r>
        <w:rPr>
          <w:color w:val="231F20"/>
          <w:w w:val="115"/>
        </w:rPr>
        <w:t>à</w:t>
      </w:r>
      <w:r>
        <w:rPr>
          <w:color w:val="231F20"/>
          <w:spacing w:val="-8"/>
          <w:w w:val="115"/>
        </w:rPr>
        <w:t> </w:t>
      </w:r>
      <w:r>
        <w:rPr>
          <w:color w:val="231F20"/>
          <w:w w:val="115"/>
        </w:rPr>
        <w:t>améliorer</w:t>
      </w:r>
      <w:r>
        <w:rPr>
          <w:color w:val="231F20"/>
          <w:spacing w:val="-8"/>
          <w:w w:val="115"/>
        </w:rPr>
        <w:t> </w:t>
      </w:r>
      <w:r>
        <w:rPr>
          <w:color w:val="231F20"/>
          <w:w w:val="115"/>
        </w:rPr>
        <w:t>l’efficience</w:t>
      </w:r>
      <w:r>
        <w:rPr>
          <w:color w:val="231F20"/>
          <w:spacing w:val="-8"/>
          <w:w w:val="115"/>
        </w:rPr>
        <w:t> </w:t>
      </w:r>
      <w:r>
        <w:rPr>
          <w:color w:val="231F20"/>
          <w:w w:val="115"/>
        </w:rPr>
        <w:t>et</w:t>
      </w:r>
      <w:r>
        <w:rPr>
          <w:color w:val="231F20"/>
          <w:spacing w:val="-8"/>
          <w:w w:val="115"/>
        </w:rPr>
        <w:t> </w:t>
      </w:r>
      <w:r>
        <w:rPr>
          <w:color w:val="231F20"/>
          <w:w w:val="115"/>
        </w:rPr>
        <w:t>l’efficacité</w:t>
      </w:r>
      <w:r>
        <w:rPr>
          <w:color w:val="231F20"/>
          <w:spacing w:val="-8"/>
          <w:w w:val="115"/>
        </w:rPr>
        <w:t> </w:t>
      </w:r>
      <w:r>
        <w:rPr>
          <w:color w:val="231F20"/>
          <w:w w:val="115"/>
        </w:rPr>
        <w:t>de </w:t>
      </w:r>
      <w:r>
        <w:rPr>
          <w:color w:val="231F20"/>
          <w:spacing w:val="-2"/>
          <w:w w:val="120"/>
        </w:rPr>
        <w:t>fonctionnement</w:t>
      </w:r>
      <w:r>
        <w:rPr>
          <w:color w:val="231F20"/>
          <w:spacing w:val="-10"/>
          <w:w w:val="120"/>
        </w:rPr>
        <w:t> </w:t>
      </w:r>
      <w:r>
        <w:rPr>
          <w:color w:val="231F20"/>
          <w:spacing w:val="-2"/>
          <w:w w:val="120"/>
        </w:rPr>
        <w:t>de</w:t>
      </w:r>
      <w:r>
        <w:rPr>
          <w:color w:val="231F20"/>
          <w:spacing w:val="-10"/>
          <w:w w:val="120"/>
        </w:rPr>
        <w:t> </w:t>
      </w:r>
      <w:r>
        <w:rPr>
          <w:color w:val="231F20"/>
          <w:spacing w:val="-2"/>
          <w:w w:val="120"/>
        </w:rPr>
        <w:t>l’organisation,</w:t>
      </w:r>
      <w:r>
        <w:rPr>
          <w:color w:val="231F20"/>
          <w:spacing w:val="-10"/>
          <w:w w:val="120"/>
        </w:rPr>
        <w:t> </w:t>
      </w:r>
      <w:r>
        <w:rPr>
          <w:color w:val="231F20"/>
          <w:spacing w:val="-2"/>
          <w:w w:val="120"/>
        </w:rPr>
        <w:t>ce</w:t>
      </w:r>
      <w:r>
        <w:rPr>
          <w:color w:val="231F20"/>
          <w:spacing w:val="-10"/>
          <w:w w:val="120"/>
        </w:rPr>
        <w:t> </w:t>
      </w:r>
      <w:r>
        <w:rPr>
          <w:color w:val="231F20"/>
          <w:spacing w:val="-2"/>
          <w:w w:val="120"/>
        </w:rPr>
        <w:t>qui</w:t>
      </w:r>
      <w:r>
        <w:rPr>
          <w:color w:val="231F20"/>
          <w:spacing w:val="-10"/>
          <w:w w:val="120"/>
        </w:rPr>
        <w:t> </w:t>
      </w:r>
      <w:r>
        <w:rPr>
          <w:color w:val="231F20"/>
          <w:spacing w:val="-2"/>
          <w:w w:val="120"/>
        </w:rPr>
        <w:t>améliore</w:t>
      </w:r>
      <w:r>
        <w:rPr>
          <w:color w:val="231F20"/>
          <w:spacing w:val="-10"/>
          <w:w w:val="120"/>
        </w:rPr>
        <w:t> </w:t>
      </w:r>
      <w:r>
        <w:rPr>
          <w:color w:val="231F20"/>
          <w:spacing w:val="-2"/>
          <w:w w:val="120"/>
        </w:rPr>
        <w:t>à</w:t>
      </w:r>
      <w:r>
        <w:rPr>
          <w:color w:val="231F20"/>
          <w:spacing w:val="-10"/>
          <w:w w:val="120"/>
        </w:rPr>
        <w:t> </w:t>
      </w:r>
      <w:r>
        <w:rPr>
          <w:color w:val="231F20"/>
          <w:spacing w:val="-2"/>
          <w:w w:val="120"/>
        </w:rPr>
        <w:t>la</w:t>
      </w:r>
      <w:r>
        <w:rPr>
          <w:color w:val="231F20"/>
          <w:spacing w:val="-10"/>
          <w:w w:val="120"/>
        </w:rPr>
        <w:t> </w:t>
      </w:r>
      <w:r>
        <w:rPr>
          <w:color w:val="231F20"/>
          <w:spacing w:val="-2"/>
          <w:w w:val="120"/>
        </w:rPr>
        <w:t>fois</w:t>
      </w:r>
      <w:r>
        <w:rPr>
          <w:color w:val="231F20"/>
          <w:spacing w:val="-10"/>
          <w:w w:val="120"/>
        </w:rPr>
        <w:t> </w:t>
      </w:r>
      <w:r>
        <w:rPr>
          <w:color w:val="231F20"/>
          <w:spacing w:val="-2"/>
          <w:w w:val="120"/>
        </w:rPr>
        <w:t>les</w:t>
      </w:r>
      <w:r>
        <w:rPr>
          <w:color w:val="231F20"/>
          <w:spacing w:val="-10"/>
          <w:w w:val="120"/>
        </w:rPr>
        <w:t> </w:t>
      </w:r>
      <w:r>
        <w:rPr>
          <w:color w:val="231F20"/>
          <w:spacing w:val="-2"/>
          <w:w w:val="120"/>
        </w:rPr>
        <w:t>conditions </w:t>
      </w:r>
      <w:r>
        <w:rPr>
          <w:color w:val="231F20"/>
          <w:w w:val="120"/>
        </w:rPr>
        <w:t>et</w:t>
      </w:r>
      <w:r>
        <w:rPr>
          <w:color w:val="231F20"/>
          <w:spacing w:val="-12"/>
          <w:w w:val="120"/>
        </w:rPr>
        <w:t> </w:t>
      </w:r>
      <w:r>
        <w:rPr>
          <w:color w:val="231F20"/>
          <w:w w:val="120"/>
        </w:rPr>
        <w:t>le</w:t>
      </w:r>
      <w:r>
        <w:rPr>
          <w:color w:val="231F20"/>
          <w:spacing w:val="-12"/>
          <w:w w:val="120"/>
        </w:rPr>
        <w:t> </w:t>
      </w:r>
      <w:r>
        <w:rPr>
          <w:color w:val="231F20"/>
          <w:w w:val="120"/>
        </w:rPr>
        <w:t>climat</w:t>
      </w:r>
      <w:r>
        <w:rPr>
          <w:color w:val="231F20"/>
          <w:spacing w:val="-12"/>
          <w:w w:val="120"/>
        </w:rPr>
        <w:t> </w:t>
      </w:r>
      <w:r>
        <w:rPr>
          <w:color w:val="231F20"/>
          <w:w w:val="120"/>
        </w:rPr>
        <w:t>de</w:t>
      </w:r>
      <w:r>
        <w:rPr>
          <w:color w:val="231F20"/>
          <w:spacing w:val="-12"/>
          <w:w w:val="120"/>
        </w:rPr>
        <w:t> </w:t>
      </w:r>
      <w:r>
        <w:rPr>
          <w:color w:val="231F20"/>
          <w:w w:val="120"/>
        </w:rPr>
        <w:t>travail.</w:t>
      </w:r>
      <w:r>
        <w:rPr>
          <w:color w:val="231F20"/>
          <w:spacing w:val="-12"/>
          <w:w w:val="120"/>
        </w:rPr>
        <w:t> </w:t>
      </w:r>
      <w:r>
        <w:rPr>
          <w:color w:val="231F20"/>
          <w:w w:val="120"/>
        </w:rPr>
        <w:t>Simplement</w:t>
      </w:r>
      <w:r>
        <w:rPr>
          <w:color w:val="231F20"/>
          <w:spacing w:val="-12"/>
          <w:w w:val="120"/>
        </w:rPr>
        <w:t> </w:t>
      </w:r>
      <w:r>
        <w:rPr>
          <w:color w:val="231F20"/>
          <w:w w:val="120"/>
        </w:rPr>
        <w:t>dit,</w:t>
      </w:r>
      <w:r>
        <w:rPr>
          <w:color w:val="231F20"/>
          <w:spacing w:val="-12"/>
          <w:w w:val="120"/>
        </w:rPr>
        <w:t> </w:t>
      </w:r>
      <w:r>
        <w:rPr>
          <w:color w:val="231F20"/>
          <w:w w:val="120"/>
        </w:rPr>
        <w:t>ce</w:t>
      </w:r>
      <w:r>
        <w:rPr>
          <w:color w:val="231F20"/>
          <w:spacing w:val="-12"/>
          <w:w w:val="120"/>
        </w:rPr>
        <w:t> </w:t>
      </w:r>
      <w:r>
        <w:rPr>
          <w:color w:val="231F20"/>
          <w:w w:val="120"/>
        </w:rPr>
        <w:t>style</w:t>
      </w:r>
      <w:r>
        <w:rPr>
          <w:color w:val="231F20"/>
          <w:spacing w:val="-12"/>
          <w:w w:val="120"/>
        </w:rPr>
        <w:t> </w:t>
      </w:r>
      <w:r>
        <w:rPr>
          <w:color w:val="231F20"/>
          <w:w w:val="120"/>
        </w:rPr>
        <w:t>de</w:t>
      </w:r>
      <w:r>
        <w:rPr>
          <w:color w:val="231F20"/>
          <w:spacing w:val="-12"/>
          <w:w w:val="120"/>
        </w:rPr>
        <w:t> </w:t>
      </w:r>
      <w:r>
        <w:rPr>
          <w:color w:val="231F20"/>
          <w:w w:val="120"/>
        </w:rPr>
        <w:t>gestion</w:t>
      </w:r>
      <w:r>
        <w:rPr>
          <w:color w:val="231F20"/>
          <w:spacing w:val="-12"/>
          <w:w w:val="120"/>
        </w:rPr>
        <w:t> </w:t>
      </w:r>
      <w:r>
        <w:rPr>
          <w:color w:val="231F20"/>
          <w:w w:val="120"/>
        </w:rPr>
        <w:t>considère</w:t>
      </w:r>
      <w:r>
        <w:rPr>
          <w:color w:val="231F20"/>
          <w:spacing w:val="-12"/>
          <w:w w:val="120"/>
        </w:rPr>
        <w:t> </w:t>
      </w:r>
      <w:r>
        <w:rPr>
          <w:color w:val="231F20"/>
          <w:w w:val="120"/>
        </w:rPr>
        <w:t>que le</w:t>
      </w:r>
      <w:r>
        <w:rPr>
          <w:color w:val="231F20"/>
          <w:spacing w:val="-13"/>
          <w:w w:val="120"/>
        </w:rPr>
        <w:t> </w:t>
      </w:r>
      <w:r>
        <w:rPr>
          <w:color w:val="231F20"/>
          <w:w w:val="120"/>
        </w:rPr>
        <w:t>plus</w:t>
      </w:r>
      <w:r>
        <w:rPr>
          <w:color w:val="231F20"/>
          <w:spacing w:val="-13"/>
          <w:w w:val="120"/>
        </w:rPr>
        <w:t> </w:t>
      </w:r>
      <w:r>
        <w:rPr>
          <w:color w:val="231F20"/>
          <w:w w:val="120"/>
        </w:rPr>
        <w:t>grand</w:t>
      </w:r>
      <w:r>
        <w:rPr>
          <w:color w:val="231F20"/>
          <w:spacing w:val="-13"/>
          <w:w w:val="120"/>
        </w:rPr>
        <w:t> </w:t>
      </w:r>
      <w:r>
        <w:rPr>
          <w:color w:val="231F20"/>
          <w:w w:val="120"/>
        </w:rPr>
        <w:t>expert</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tâche</w:t>
      </w:r>
      <w:r>
        <w:rPr>
          <w:color w:val="231F20"/>
          <w:spacing w:val="-13"/>
          <w:w w:val="120"/>
        </w:rPr>
        <w:t> </w:t>
      </w:r>
      <w:r>
        <w:rPr>
          <w:color w:val="231F20"/>
          <w:w w:val="120"/>
        </w:rPr>
        <w:t>est</w:t>
      </w:r>
      <w:r>
        <w:rPr>
          <w:color w:val="231F20"/>
          <w:spacing w:val="-12"/>
          <w:w w:val="120"/>
        </w:rPr>
        <w:t> </w:t>
      </w:r>
      <w:r>
        <w:rPr>
          <w:color w:val="231F20"/>
          <w:w w:val="120"/>
        </w:rPr>
        <w:t>celui</w:t>
      </w:r>
      <w:r>
        <w:rPr>
          <w:color w:val="231F20"/>
          <w:spacing w:val="-13"/>
          <w:w w:val="120"/>
        </w:rPr>
        <w:t> </w:t>
      </w:r>
      <w:r>
        <w:rPr>
          <w:color w:val="231F20"/>
          <w:w w:val="120"/>
        </w:rPr>
        <w:t>qui</w:t>
      </w:r>
      <w:r>
        <w:rPr>
          <w:color w:val="231F20"/>
          <w:spacing w:val="-13"/>
          <w:w w:val="120"/>
        </w:rPr>
        <w:t> </w:t>
      </w:r>
      <w:r>
        <w:rPr>
          <w:color w:val="231F20"/>
          <w:w w:val="120"/>
        </w:rPr>
        <w:t>l’effectue</w:t>
      </w:r>
      <w:r>
        <w:rPr>
          <w:color w:val="231F20"/>
          <w:spacing w:val="-13"/>
          <w:w w:val="120"/>
        </w:rPr>
        <w:t> </w:t>
      </w:r>
      <w:r>
        <w:rPr>
          <w:color w:val="231F20"/>
          <w:w w:val="120"/>
        </w:rPr>
        <w:t>quotidiennement, </w:t>
      </w:r>
      <w:r>
        <w:rPr>
          <w:color w:val="231F20"/>
          <w:w w:val="125"/>
        </w:rPr>
        <w:t>bien</w:t>
      </w:r>
      <w:r>
        <w:rPr>
          <w:color w:val="231F20"/>
          <w:spacing w:val="-4"/>
          <w:w w:val="125"/>
        </w:rPr>
        <w:t> </w:t>
      </w:r>
      <w:r>
        <w:rPr>
          <w:color w:val="231F20"/>
          <w:w w:val="125"/>
        </w:rPr>
        <w:t>plus</w:t>
      </w:r>
      <w:r>
        <w:rPr>
          <w:color w:val="231F20"/>
          <w:spacing w:val="-4"/>
          <w:w w:val="125"/>
        </w:rPr>
        <w:t> </w:t>
      </w:r>
      <w:r>
        <w:rPr>
          <w:color w:val="231F20"/>
          <w:w w:val="125"/>
        </w:rPr>
        <w:t>que</w:t>
      </w:r>
      <w:r>
        <w:rPr>
          <w:color w:val="231F20"/>
          <w:spacing w:val="-4"/>
          <w:w w:val="125"/>
        </w:rPr>
        <w:t> </w:t>
      </w:r>
      <w:r>
        <w:rPr>
          <w:color w:val="231F20"/>
          <w:w w:val="125"/>
        </w:rPr>
        <w:t>celui</w:t>
      </w:r>
      <w:r>
        <w:rPr>
          <w:color w:val="231F20"/>
          <w:spacing w:val="-4"/>
          <w:w w:val="125"/>
        </w:rPr>
        <w:t> </w:t>
      </w:r>
      <w:r>
        <w:rPr>
          <w:color w:val="231F20"/>
          <w:w w:val="125"/>
        </w:rPr>
        <w:t>qui</w:t>
      </w:r>
      <w:r>
        <w:rPr>
          <w:color w:val="231F20"/>
          <w:spacing w:val="-4"/>
          <w:w w:val="125"/>
        </w:rPr>
        <w:t> </w:t>
      </w:r>
      <w:r>
        <w:rPr>
          <w:color w:val="231F20"/>
          <w:w w:val="125"/>
        </w:rPr>
        <w:t>le</w:t>
      </w:r>
      <w:r>
        <w:rPr>
          <w:color w:val="231F20"/>
          <w:spacing w:val="-4"/>
          <w:w w:val="125"/>
        </w:rPr>
        <w:t> </w:t>
      </w:r>
      <w:r>
        <w:rPr>
          <w:color w:val="231F20"/>
          <w:w w:val="125"/>
        </w:rPr>
        <w:t>supervise.</w:t>
      </w:r>
    </w:p>
    <w:p>
      <w:pPr>
        <w:pStyle w:val="BodyText"/>
        <w:spacing w:line="307" w:lineRule="auto" w:before="79"/>
        <w:ind w:left="789" w:right="632" w:firstLine="250"/>
        <w:jc w:val="both"/>
      </w:pPr>
      <w:r>
        <w:rPr>
          <w:color w:val="231F20"/>
          <w:w w:val="115"/>
        </w:rPr>
        <w:t>La</w:t>
      </w:r>
      <w:r>
        <w:rPr>
          <w:color w:val="231F20"/>
          <w:spacing w:val="-13"/>
          <w:w w:val="115"/>
        </w:rPr>
        <w:t> </w:t>
      </w:r>
      <w:r>
        <w:rPr>
          <w:b/>
          <w:color w:val="231F20"/>
          <w:w w:val="115"/>
        </w:rPr>
        <w:t>qualité</w:t>
      </w:r>
      <w:r>
        <w:rPr>
          <w:b/>
          <w:color w:val="231F20"/>
          <w:spacing w:val="-12"/>
          <w:w w:val="115"/>
        </w:rPr>
        <w:t> </w:t>
      </w:r>
      <w:r>
        <w:rPr>
          <w:b/>
          <w:color w:val="231F20"/>
          <w:w w:val="115"/>
        </w:rPr>
        <w:t>de</w:t>
      </w:r>
      <w:r>
        <w:rPr>
          <w:b/>
          <w:color w:val="231F20"/>
          <w:spacing w:val="-12"/>
          <w:w w:val="115"/>
        </w:rPr>
        <w:t> </w:t>
      </w:r>
      <w:r>
        <w:rPr>
          <w:b/>
          <w:color w:val="231F20"/>
          <w:w w:val="115"/>
        </w:rPr>
        <w:t>vie</w:t>
      </w:r>
      <w:r>
        <w:rPr>
          <w:b/>
          <w:color w:val="231F20"/>
          <w:spacing w:val="-12"/>
          <w:w w:val="115"/>
        </w:rPr>
        <w:t> </w:t>
      </w:r>
      <w:r>
        <w:rPr>
          <w:b/>
          <w:color w:val="231F20"/>
          <w:w w:val="115"/>
        </w:rPr>
        <w:t>au</w:t>
      </w:r>
      <w:r>
        <w:rPr>
          <w:b/>
          <w:color w:val="231F20"/>
          <w:spacing w:val="-13"/>
          <w:w w:val="115"/>
        </w:rPr>
        <w:t> </w:t>
      </w:r>
      <w:r>
        <w:rPr>
          <w:b/>
          <w:color w:val="231F20"/>
          <w:w w:val="115"/>
        </w:rPr>
        <w:t>travail</w:t>
      </w:r>
      <w:r>
        <w:rPr>
          <w:b/>
          <w:color w:val="231F20"/>
          <w:spacing w:val="-12"/>
          <w:w w:val="115"/>
        </w:rPr>
        <w:t> </w:t>
      </w:r>
      <w:r>
        <w:rPr>
          <w:b/>
          <w:color w:val="231F20"/>
          <w:w w:val="115"/>
        </w:rPr>
        <w:t>(QVT)</w:t>
      </w:r>
      <w:r>
        <w:rPr>
          <w:b/>
          <w:color w:val="231F20"/>
          <w:spacing w:val="-12"/>
          <w:w w:val="115"/>
        </w:rPr>
        <w:t> </w:t>
      </w:r>
      <w:r>
        <w:rPr>
          <w:color w:val="231F20"/>
          <w:w w:val="115"/>
        </w:rPr>
        <w:t>est</w:t>
      </w:r>
      <w:r>
        <w:rPr>
          <w:color w:val="231F20"/>
          <w:spacing w:val="-12"/>
          <w:w w:val="115"/>
        </w:rPr>
        <w:t> </w:t>
      </w:r>
      <w:r>
        <w:rPr>
          <w:color w:val="231F20"/>
          <w:w w:val="115"/>
        </w:rPr>
        <w:t>un</w:t>
      </w:r>
      <w:r>
        <w:rPr>
          <w:color w:val="231F20"/>
          <w:spacing w:val="-9"/>
          <w:w w:val="115"/>
        </w:rPr>
        <w:t> </w:t>
      </w:r>
      <w:r>
        <w:rPr>
          <w:color w:val="231F20"/>
          <w:w w:val="115"/>
        </w:rPr>
        <w:t>processus</w:t>
      </w:r>
      <w:r>
        <w:rPr>
          <w:color w:val="231F20"/>
          <w:spacing w:val="-9"/>
          <w:w w:val="115"/>
        </w:rPr>
        <w:t> </w:t>
      </w:r>
      <w:r>
        <w:rPr>
          <w:color w:val="231F20"/>
          <w:w w:val="115"/>
        </w:rPr>
        <w:t>par</w:t>
      </w:r>
      <w:r>
        <w:rPr>
          <w:color w:val="231F20"/>
          <w:spacing w:val="-9"/>
          <w:w w:val="115"/>
        </w:rPr>
        <w:t> </w:t>
      </w:r>
      <w:r>
        <w:rPr>
          <w:color w:val="231F20"/>
          <w:w w:val="115"/>
        </w:rPr>
        <w:t>lequel</w:t>
      </w:r>
      <w:r>
        <w:rPr>
          <w:color w:val="231F20"/>
          <w:spacing w:val="-9"/>
          <w:w w:val="115"/>
        </w:rPr>
        <w:t> </w:t>
      </w:r>
      <w:r>
        <w:rPr>
          <w:color w:val="231F20"/>
          <w:w w:val="115"/>
        </w:rPr>
        <w:t>tous</w:t>
      </w:r>
      <w:r>
        <w:rPr>
          <w:color w:val="231F20"/>
          <w:spacing w:val="-9"/>
          <w:w w:val="115"/>
        </w:rPr>
        <w:t> </w:t>
      </w:r>
      <w:r>
        <w:rPr>
          <w:color w:val="231F20"/>
          <w:w w:val="115"/>
        </w:rPr>
        <w:t>les </w:t>
      </w:r>
      <w:r>
        <w:rPr>
          <w:color w:val="231F20"/>
          <w:w w:val="120"/>
        </w:rPr>
        <w:t>membres d’une organisation, grâce à des voies de communication ouvertes et accessibles, influencent et commentent les décisions qui touchent</w:t>
      </w:r>
      <w:r>
        <w:rPr>
          <w:color w:val="231F20"/>
          <w:spacing w:val="-5"/>
          <w:w w:val="120"/>
        </w:rPr>
        <w:t> </w:t>
      </w:r>
      <w:r>
        <w:rPr>
          <w:color w:val="231F20"/>
          <w:w w:val="120"/>
        </w:rPr>
        <w:t>leur</w:t>
      </w:r>
      <w:r>
        <w:rPr>
          <w:color w:val="231F20"/>
          <w:spacing w:val="-5"/>
          <w:w w:val="120"/>
        </w:rPr>
        <w:t> </w:t>
      </w:r>
      <w:r>
        <w:rPr>
          <w:color w:val="231F20"/>
          <w:w w:val="120"/>
        </w:rPr>
        <w:t>emploi</w:t>
      </w:r>
      <w:r>
        <w:rPr>
          <w:color w:val="231F20"/>
          <w:spacing w:val="-5"/>
          <w:w w:val="120"/>
        </w:rPr>
        <w:t> </w:t>
      </w:r>
      <w:r>
        <w:rPr>
          <w:color w:val="231F20"/>
          <w:w w:val="120"/>
        </w:rPr>
        <w:t>et</w:t>
      </w:r>
      <w:r>
        <w:rPr>
          <w:color w:val="231F20"/>
          <w:spacing w:val="-5"/>
          <w:w w:val="120"/>
        </w:rPr>
        <w:t> </w:t>
      </w:r>
      <w:r>
        <w:rPr>
          <w:color w:val="231F20"/>
          <w:w w:val="120"/>
        </w:rPr>
        <w:t>leur</w:t>
      </w:r>
      <w:r>
        <w:rPr>
          <w:color w:val="231F20"/>
          <w:spacing w:val="-5"/>
          <w:w w:val="120"/>
        </w:rPr>
        <w:t> </w:t>
      </w:r>
      <w:r>
        <w:rPr>
          <w:color w:val="231F20"/>
          <w:w w:val="120"/>
        </w:rPr>
        <w:t>milieu</w:t>
      </w:r>
      <w:r>
        <w:rPr>
          <w:color w:val="231F20"/>
          <w:spacing w:val="-5"/>
          <w:w w:val="120"/>
        </w:rPr>
        <w:t> </w:t>
      </w:r>
      <w:r>
        <w:rPr>
          <w:color w:val="231F20"/>
          <w:w w:val="120"/>
        </w:rPr>
        <w:t>de</w:t>
      </w:r>
      <w:r>
        <w:rPr>
          <w:color w:val="231F20"/>
          <w:spacing w:val="-5"/>
          <w:w w:val="120"/>
        </w:rPr>
        <w:t> </w:t>
      </w:r>
      <w:r>
        <w:rPr>
          <w:color w:val="231F20"/>
          <w:w w:val="120"/>
        </w:rPr>
        <w:t>travail,</w:t>
      </w:r>
      <w:r>
        <w:rPr>
          <w:color w:val="231F20"/>
          <w:spacing w:val="-5"/>
          <w:w w:val="120"/>
        </w:rPr>
        <w:t> </w:t>
      </w:r>
      <w:r>
        <w:rPr>
          <w:color w:val="231F20"/>
          <w:w w:val="120"/>
        </w:rPr>
        <w:t>ce</w:t>
      </w:r>
      <w:r>
        <w:rPr>
          <w:color w:val="231F20"/>
          <w:spacing w:val="-5"/>
          <w:w w:val="120"/>
        </w:rPr>
        <w:t> </w:t>
      </w:r>
      <w:r>
        <w:rPr>
          <w:color w:val="231F20"/>
          <w:w w:val="120"/>
        </w:rPr>
        <w:t>qui</w:t>
      </w:r>
      <w:r>
        <w:rPr>
          <w:color w:val="231F20"/>
          <w:spacing w:val="-5"/>
          <w:w w:val="120"/>
        </w:rPr>
        <w:t> </w:t>
      </w:r>
      <w:r>
        <w:rPr>
          <w:color w:val="231F20"/>
          <w:w w:val="120"/>
        </w:rPr>
        <w:t>favorise</w:t>
      </w:r>
      <w:r>
        <w:rPr>
          <w:color w:val="231F20"/>
          <w:spacing w:val="-5"/>
          <w:w w:val="120"/>
        </w:rPr>
        <w:t> </w:t>
      </w:r>
      <w:r>
        <w:rPr>
          <w:color w:val="231F20"/>
          <w:w w:val="120"/>
        </w:rPr>
        <w:t>l’engage- ment</w:t>
      </w:r>
      <w:r>
        <w:rPr>
          <w:color w:val="231F20"/>
          <w:spacing w:val="-6"/>
          <w:w w:val="120"/>
        </w:rPr>
        <w:t> </w:t>
      </w:r>
      <w:r>
        <w:rPr>
          <w:color w:val="231F20"/>
          <w:w w:val="120"/>
        </w:rPr>
        <w:t>et</w:t>
      </w:r>
      <w:r>
        <w:rPr>
          <w:color w:val="231F20"/>
          <w:spacing w:val="-6"/>
          <w:w w:val="120"/>
        </w:rPr>
        <w:t> </w:t>
      </w:r>
      <w:r>
        <w:rPr>
          <w:color w:val="231F20"/>
          <w:w w:val="120"/>
        </w:rPr>
        <w:t>la</w:t>
      </w:r>
      <w:r>
        <w:rPr>
          <w:color w:val="231F20"/>
          <w:spacing w:val="-6"/>
          <w:w w:val="120"/>
        </w:rPr>
        <w:t> </w:t>
      </w:r>
      <w:r>
        <w:rPr>
          <w:color w:val="231F20"/>
          <w:w w:val="120"/>
        </w:rPr>
        <w:t>satisfaction</w:t>
      </w:r>
      <w:r>
        <w:rPr>
          <w:color w:val="231F20"/>
          <w:spacing w:val="-6"/>
          <w:w w:val="120"/>
        </w:rPr>
        <w:t> </w:t>
      </w:r>
      <w:r>
        <w:rPr>
          <w:color w:val="231F20"/>
          <w:w w:val="120"/>
        </w:rPr>
        <w:t>du</w:t>
      </w:r>
      <w:r>
        <w:rPr>
          <w:color w:val="231F20"/>
          <w:spacing w:val="-6"/>
          <w:w w:val="120"/>
        </w:rPr>
        <w:t> </w:t>
      </w:r>
      <w:r>
        <w:rPr>
          <w:color w:val="231F20"/>
          <w:w w:val="120"/>
        </w:rPr>
        <w:t>personnel</w:t>
      </w:r>
      <w:r>
        <w:rPr>
          <w:color w:val="231F20"/>
          <w:spacing w:val="-6"/>
          <w:w w:val="120"/>
        </w:rPr>
        <w:t> </w:t>
      </w:r>
      <w:r>
        <w:rPr>
          <w:color w:val="231F20"/>
          <w:w w:val="120"/>
        </w:rPr>
        <w:t>et</w:t>
      </w:r>
      <w:r>
        <w:rPr>
          <w:color w:val="231F20"/>
          <w:spacing w:val="-6"/>
          <w:w w:val="120"/>
        </w:rPr>
        <w:t> </w:t>
      </w:r>
      <w:r>
        <w:rPr>
          <w:color w:val="231F20"/>
          <w:w w:val="120"/>
        </w:rPr>
        <w:t>atténue</w:t>
      </w:r>
      <w:r>
        <w:rPr>
          <w:color w:val="231F20"/>
          <w:spacing w:val="-6"/>
          <w:w w:val="120"/>
        </w:rPr>
        <w:t> </w:t>
      </w:r>
      <w:r>
        <w:rPr>
          <w:color w:val="231F20"/>
          <w:w w:val="120"/>
        </w:rPr>
        <w:t>la</w:t>
      </w:r>
      <w:r>
        <w:rPr>
          <w:color w:val="231F20"/>
          <w:spacing w:val="-6"/>
          <w:w w:val="120"/>
        </w:rPr>
        <w:t> </w:t>
      </w:r>
      <w:r>
        <w:rPr>
          <w:color w:val="231F20"/>
          <w:w w:val="120"/>
        </w:rPr>
        <w:t>pénibilité</w:t>
      </w:r>
      <w:r>
        <w:rPr>
          <w:color w:val="231F20"/>
          <w:spacing w:val="-6"/>
          <w:w w:val="120"/>
        </w:rPr>
        <w:t> </w:t>
      </w:r>
      <w:r>
        <w:rPr>
          <w:color w:val="231F20"/>
          <w:w w:val="120"/>
        </w:rPr>
        <w:t>de</w:t>
      </w:r>
      <w:r>
        <w:rPr>
          <w:color w:val="231F20"/>
          <w:spacing w:val="-6"/>
          <w:w w:val="120"/>
        </w:rPr>
        <w:t> </w:t>
      </w:r>
      <w:r>
        <w:rPr>
          <w:color w:val="231F20"/>
          <w:w w:val="120"/>
        </w:rPr>
        <w:t>l’emploi. </w:t>
      </w:r>
      <w:r>
        <w:rPr>
          <w:color w:val="231F20"/>
          <w:w w:val="115"/>
        </w:rPr>
        <w:t>Le</w:t>
      </w:r>
      <w:r>
        <w:rPr>
          <w:color w:val="231F20"/>
          <w:spacing w:val="-10"/>
          <w:w w:val="115"/>
        </w:rPr>
        <w:t> </w:t>
      </w:r>
      <w:r>
        <w:rPr>
          <w:color w:val="231F20"/>
          <w:w w:val="115"/>
        </w:rPr>
        <w:t>concept</w:t>
      </w:r>
      <w:r>
        <w:rPr>
          <w:color w:val="231F20"/>
          <w:spacing w:val="-10"/>
          <w:w w:val="115"/>
        </w:rPr>
        <w:t> </w:t>
      </w:r>
      <w:r>
        <w:rPr>
          <w:color w:val="231F20"/>
          <w:w w:val="115"/>
        </w:rPr>
        <w:t>de</w:t>
      </w:r>
      <w:r>
        <w:rPr>
          <w:color w:val="231F20"/>
          <w:spacing w:val="-10"/>
          <w:w w:val="115"/>
        </w:rPr>
        <w:t> </w:t>
      </w:r>
      <w:r>
        <w:rPr>
          <w:i/>
          <w:color w:val="231F20"/>
          <w:w w:val="115"/>
        </w:rPr>
        <w:t>qualité</w:t>
      </w:r>
      <w:r>
        <w:rPr>
          <w:i/>
          <w:color w:val="231F20"/>
          <w:spacing w:val="-10"/>
          <w:w w:val="115"/>
        </w:rPr>
        <w:t> </w:t>
      </w:r>
      <w:r>
        <w:rPr>
          <w:i/>
          <w:color w:val="231F20"/>
          <w:w w:val="115"/>
        </w:rPr>
        <w:t>de</w:t>
      </w:r>
      <w:r>
        <w:rPr>
          <w:i/>
          <w:color w:val="231F20"/>
          <w:spacing w:val="-10"/>
          <w:w w:val="115"/>
        </w:rPr>
        <w:t> </w:t>
      </w:r>
      <w:r>
        <w:rPr>
          <w:i/>
          <w:color w:val="231F20"/>
          <w:w w:val="115"/>
        </w:rPr>
        <w:t>vie</w:t>
      </w:r>
      <w:r>
        <w:rPr>
          <w:i/>
          <w:color w:val="231F20"/>
          <w:spacing w:val="-10"/>
          <w:w w:val="115"/>
        </w:rPr>
        <w:t> </w:t>
      </w:r>
      <w:r>
        <w:rPr>
          <w:i/>
          <w:color w:val="231F20"/>
          <w:w w:val="115"/>
        </w:rPr>
        <w:t>au</w:t>
      </w:r>
      <w:r>
        <w:rPr>
          <w:i/>
          <w:color w:val="231F20"/>
          <w:spacing w:val="-10"/>
          <w:w w:val="115"/>
        </w:rPr>
        <w:t> </w:t>
      </w:r>
      <w:r>
        <w:rPr>
          <w:i/>
          <w:color w:val="231F20"/>
          <w:w w:val="115"/>
        </w:rPr>
        <w:t>travail</w:t>
      </w:r>
      <w:r>
        <w:rPr>
          <w:i/>
          <w:color w:val="231F20"/>
          <w:spacing w:val="-12"/>
          <w:w w:val="115"/>
        </w:rPr>
        <w:t> </w:t>
      </w:r>
      <w:r>
        <w:rPr>
          <w:color w:val="231F20"/>
          <w:w w:val="115"/>
        </w:rPr>
        <w:t>est</w:t>
      </w:r>
      <w:r>
        <w:rPr>
          <w:color w:val="231F20"/>
          <w:spacing w:val="-10"/>
          <w:w w:val="115"/>
        </w:rPr>
        <w:t> </w:t>
      </w:r>
      <w:r>
        <w:rPr>
          <w:color w:val="231F20"/>
          <w:w w:val="115"/>
        </w:rPr>
        <w:t>une</w:t>
      </w:r>
      <w:r>
        <w:rPr>
          <w:color w:val="231F20"/>
          <w:spacing w:val="-10"/>
          <w:w w:val="115"/>
        </w:rPr>
        <w:t> </w:t>
      </w:r>
      <w:r>
        <w:rPr>
          <w:color w:val="231F20"/>
          <w:w w:val="115"/>
        </w:rPr>
        <w:t>notion</w:t>
      </w:r>
      <w:r>
        <w:rPr>
          <w:color w:val="231F20"/>
          <w:spacing w:val="-10"/>
          <w:w w:val="115"/>
        </w:rPr>
        <w:t> </w:t>
      </w:r>
      <w:r>
        <w:rPr>
          <w:color w:val="231F20"/>
          <w:w w:val="115"/>
        </w:rPr>
        <w:t>synthèse</w:t>
      </w:r>
      <w:r>
        <w:rPr>
          <w:color w:val="231F20"/>
          <w:spacing w:val="-10"/>
          <w:w w:val="115"/>
        </w:rPr>
        <w:t> </w:t>
      </w:r>
      <w:r>
        <w:rPr>
          <w:color w:val="231F20"/>
          <w:w w:val="115"/>
        </w:rPr>
        <w:t>qui</w:t>
      </w:r>
      <w:r>
        <w:rPr>
          <w:color w:val="231F20"/>
          <w:spacing w:val="-10"/>
          <w:w w:val="115"/>
        </w:rPr>
        <w:t> </w:t>
      </w:r>
      <w:r>
        <w:rPr>
          <w:color w:val="231F20"/>
          <w:w w:val="115"/>
        </w:rPr>
        <w:t>englobe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fois</w:t>
      </w:r>
      <w:r>
        <w:rPr>
          <w:color w:val="231F20"/>
          <w:spacing w:val="-4"/>
          <w:w w:val="120"/>
        </w:rPr>
        <w:t> </w:t>
      </w:r>
      <w:r>
        <w:rPr>
          <w:color w:val="231F20"/>
          <w:w w:val="120"/>
        </w:rPr>
        <w:t>des</w:t>
      </w:r>
      <w:r>
        <w:rPr>
          <w:color w:val="231F20"/>
          <w:spacing w:val="-4"/>
          <w:w w:val="120"/>
        </w:rPr>
        <w:t> </w:t>
      </w:r>
      <w:r>
        <w:rPr>
          <w:color w:val="231F20"/>
          <w:w w:val="120"/>
        </w:rPr>
        <w:t>dimensions</w:t>
      </w:r>
      <w:r>
        <w:rPr>
          <w:color w:val="231F20"/>
          <w:spacing w:val="-4"/>
          <w:w w:val="120"/>
        </w:rPr>
        <w:t> </w:t>
      </w:r>
      <w:r>
        <w:rPr>
          <w:color w:val="231F20"/>
          <w:w w:val="120"/>
        </w:rPr>
        <w:t>liées</w:t>
      </w:r>
      <w:r>
        <w:rPr>
          <w:color w:val="231F20"/>
          <w:spacing w:val="-4"/>
          <w:w w:val="120"/>
        </w:rPr>
        <w:t> </w:t>
      </w:r>
      <w:r>
        <w:rPr>
          <w:color w:val="231F20"/>
          <w:w w:val="120"/>
        </w:rPr>
        <w:t>au</w:t>
      </w:r>
      <w:r>
        <w:rPr>
          <w:color w:val="231F20"/>
          <w:spacing w:val="-4"/>
          <w:w w:val="120"/>
        </w:rPr>
        <w:t> </w:t>
      </w:r>
      <w:r>
        <w:rPr>
          <w:color w:val="231F20"/>
          <w:w w:val="120"/>
        </w:rPr>
        <w:t>stress,</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santé</w:t>
      </w:r>
      <w:r>
        <w:rPr>
          <w:color w:val="231F20"/>
          <w:spacing w:val="-4"/>
          <w:w w:val="120"/>
        </w:rPr>
        <w:t> </w:t>
      </w:r>
      <w:r>
        <w:rPr>
          <w:color w:val="231F20"/>
          <w:w w:val="120"/>
        </w:rPr>
        <w:t>psychologique</w:t>
      </w:r>
      <w:r>
        <w:rPr>
          <w:color w:val="231F20"/>
          <w:spacing w:val="-4"/>
          <w:w w:val="120"/>
        </w:rPr>
        <w:t> </w:t>
      </w:r>
      <w:r>
        <w:rPr>
          <w:color w:val="231F20"/>
          <w:w w:val="120"/>
        </w:rPr>
        <w:t>et</w:t>
      </w:r>
      <w:r>
        <w:rPr>
          <w:color w:val="231F20"/>
          <w:spacing w:val="-4"/>
          <w:w w:val="120"/>
        </w:rPr>
        <w:t> </w:t>
      </w:r>
      <w:r>
        <w:rPr>
          <w:color w:val="231F20"/>
          <w:w w:val="120"/>
        </w:rPr>
        <w:t>aux </w:t>
      </w:r>
      <w:r>
        <w:rPr>
          <w:color w:val="231F20"/>
          <w:spacing w:val="-2"/>
          <w:w w:val="120"/>
        </w:rPr>
        <w:t>attitudes,</w:t>
      </w:r>
      <w:r>
        <w:rPr>
          <w:color w:val="231F20"/>
          <w:spacing w:val="-13"/>
          <w:w w:val="120"/>
        </w:rPr>
        <w:t> </w:t>
      </w:r>
      <w:r>
        <w:rPr>
          <w:color w:val="231F20"/>
          <w:spacing w:val="-2"/>
          <w:w w:val="120"/>
        </w:rPr>
        <w:t>en</w:t>
      </w:r>
      <w:r>
        <w:rPr>
          <w:color w:val="231F20"/>
          <w:spacing w:val="-11"/>
          <w:w w:val="120"/>
        </w:rPr>
        <w:t> </w:t>
      </w:r>
      <w:r>
        <w:rPr>
          <w:color w:val="231F20"/>
          <w:spacing w:val="-2"/>
          <w:w w:val="120"/>
        </w:rPr>
        <w:t>prenant</w:t>
      </w:r>
      <w:r>
        <w:rPr>
          <w:color w:val="231F20"/>
          <w:spacing w:val="-11"/>
          <w:w w:val="120"/>
        </w:rPr>
        <w:t> </w:t>
      </w:r>
      <w:r>
        <w:rPr>
          <w:color w:val="231F20"/>
          <w:spacing w:val="-2"/>
          <w:w w:val="120"/>
        </w:rPr>
        <w:t>en</w:t>
      </w:r>
      <w:r>
        <w:rPr>
          <w:color w:val="231F20"/>
          <w:spacing w:val="-10"/>
          <w:w w:val="120"/>
        </w:rPr>
        <w:t> </w:t>
      </w:r>
      <w:r>
        <w:rPr>
          <w:color w:val="231F20"/>
          <w:spacing w:val="-2"/>
          <w:w w:val="120"/>
        </w:rPr>
        <w:t>considération</w:t>
      </w:r>
      <w:r>
        <w:rPr>
          <w:color w:val="231F20"/>
          <w:spacing w:val="-11"/>
          <w:w w:val="120"/>
        </w:rPr>
        <w:t> </w:t>
      </w:r>
      <w:r>
        <w:rPr>
          <w:color w:val="231F20"/>
          <w:spacing w:val="-2"/>
          <w:w w:val="120"/>
        </w:rPr>
        <w:t>les</w:t>
      </w:r>
      <w:r>
        <w:rPr>
          <w:color w:val="231F20"/>
          <w:spacing w:val="-11"/>
          <w:w w:val="120"/>
        </w:rPr>
        <w:t> </w:t>
      </w:r>
      <w:r>
        <w:rPr>
          <w:color w:val="231F20"/>
          <w:spacing w:val="-2"/>
          <w:w w:val="120"/>
        </w:rPr>
        <w:t>divers</w:t>
      </w:r>
      <w:r>
        <w:rPr>
          <w:color w:val="231F20"/>
          <w:spacing w:val="-11"/>
          <w:w w:val="120"/>
        </w:rPr>
        <w:t> </w:t>
      </w:r>
      <w:r>
        <w:rPr>
          <w:color w:val="231F20"/>
          <w:spacing w:val="-2"/>
          <w:w w:val="120"/>
        </w:rPr>
        <w:t>facteurs</w:t>
      </w:r>
      <w:r>
        <w:rPr>
          <w:color w:val="231F20"/>
          <w:spacing w:val="-10"/>
          <w:w w:val="120"/>
        </w:rPr>
        <w:t> </w:t>
      </w:r>
      <w:r>
        <w:rPr>
          <w:color w:val="231F20"/>
          <w:spacing w:val="-2"/>
          <w:w w:val="120"/>
        </w:rPr>
        <w:t>organisationnels </w:t>
      </w:r>
      <w:r>
        <w:rPr>
          <w:color w:val="231F20"/>
          <w:w w:val="120"/>
        </w:rPr>
        <w:t>qui</w:t>
      </w:r>
      <w:r>
        <w:rPr>
          <w:color w:val="231F20"/>
          <w:spacing w:val="-11"/>
          <w:w w:val="120"/>
        </w:rPr>
        <w:t> </w:t>
      </w:r>
      <w:r>
        <w:rPr>
          <w:color w:val="231F20"/>
          <w:w w:val="120"/>
        </w:rPr>
        <w:t>les</w:t>
      </w:r>
      <w:r>
        <w:rPr>
          <w:color w:val="231F20"/>
          <w:spacing w:val="-11"/>
          <w:w w:val="120"/>
        </w:rPr>
        <w:t> </w:t>
      </w:r>
      <w:r>
        <w:rPr>
          <w:color w:val="231F20"/>
          <w:w w:val="120"/>
        </w:rPr>
        <w:t>influencent3.</w:t>
      </w:r>
      <w:r>
        <w:rPr>
          <w:color w:val="231F20"/>
          <w:spacing w:val="-11"/>
          <w:w w:val="120"/>
        </w:rPr>
        <w:t> </w:t>
      </w:r>
      <w:r>
        <w:rPr>
          <w:color w:val="231F20"/>
          <w:w w:val="120"/>
        </w:rPr>
        <w:t>Le</w:t>
      </w:r>
      <w:r>
        <w:rPr>
          <w:color w:val="231F20"/>
          <w:spacing w:val="-11"/>
          <w:w w:val="120"/>
        </w:rPr>
        <w:t> </w:t>
      </w:r>
      <w:r>
        <w:rPr>
          <w:color w:val="231F20"/>
          <w:w w:val="120"/>
        </w:rPr>
        <w:t>style</w:t>
      </w:r>
      <w:r>
        <w:rPr>
          <w:color w:val="231F20"/>
          <w:spacing w:val="-11"/>
          <w:w w:val="120"/>
        </w:rPr>
        <w:t> </w:t>
      </w:r>
      <w:r>
        <w:rPr>
          <w:color w:val="231F20"/>
          <w:w w:val="120"/>
        </w:rPr>
        <w:t>de</w:t>
      </w:r>
      <w:r>
        <w:rPr>
          <w:color w:val="231F20"/>
          <w:spacing w:val="-11"/>
          <w:w w:val="120"/>
        </w:rPr>
        <w:t> </w:t>
      </w:r>
      <w:r>
        <w:rPr>
          <w:color w:val="231F20"/>
          <w:w w:val="120"/>
        </w:rPr>
        <w:t>gestion</w:t>
      </w:r>
      <w:r>
        <w:rPr>
          <w:color w:val="231F20"/>
          <w:spacing w:val="-11"/>
          <w:w w:val="120"/>
        </w:rPr>
        <w:t> </w:t>
      </w:r>
      <w:r>
        <w:rPr>
          <w:color w:val="231F20"/>
          <w:w w:val="120"/>
        </w:rPr>
        <w:t>axé</w:t>
      </w:r>
      <w:r>
        <w:rPr>
          <w:color w:val="231F20"/>
          <w:spacing w:val="-11"/>
          <w:w w:val="120"/>
        </w:rPr>
        <w:t> </w:t>
      </w:r>
      <w:r>
        <w:rPr>
          <w:color w:val="231F20"/>
          <w:w w:val="120"/>
        </w:rPr>
        <w:t>sur</w:t>
      </w:r>
      <w:r>
        <w:rPr>
          <w:color w:val="231F20"/>
          <w:spacing w:val="-11"/>
          <w:w w:val="120"/>
        </w:rPr>
        <w:t> </w:t>
      </w:r>
      <w:r>
        <w:rPr>
          <w:color w:val="231F20"/>
          <w:w w:val="120"/>
        </w:rPr>
        <w:t>la</w:t>
      </w:r>
      <w:r>
        <w:rPr>
          <w:color w:val="231F20"/>
          <w:spacing w:val="-11"/>
          <w:w w:val="120"/>
        </w:rPr>
        <w:t> </w:t>
      </w:r>
      <w:r>
        <w:rPr>
          <w:color w:val="231F20"/>
          <w:w w:val="120"/>
        </w:rPr>
        <w:t>QVT</w:t>
      </w:r>
      <w:r>
        <w:rPr>
          <w:color w:val="231F20"/>
          <w:spacing w:val="-11"/>
          <w:w w:val="120"/>
        </w:rPr>
        <w:t> </w:t>
      </w:r>
      <w:r>
        <w:rPr>
          <w:color w:val="231F20"/>
          <w:w w:val="120"/>
        </w:rPr>
        <w:t>suscite</w:t>
      </w:r>
      <w:r>
        <w:rPr>
          <w:color w:val="231F20"/>
          <w:spacing w:val="-11"/>
          <w:w w:val="120"/>
        </w:rPr>
        <w:t> </w:t>
      </w:r>
      <w:r>
        <w:rPr>
          <w:color w:val="231F20"/>
          <w:w w:val="120"/>
        </w:rPr>
        <w:t>chez</w:t>
      </w:r>
      <w:r>
        <w:rPr>
          <w:color w:val="231F20"/>
          <w:spacing w:val="-11"/>
          <w:w w:val="120"/>
        </w:rPr>
        <w:t> </w:t>
      </w:r>
      <w:r>
        <w:rPr>
          <w:color w:val="231F20"/>
          <w:w w:val="120"/>
        </w:rPr>
        <w:t>les employés</w:t>
      </w:r>
      <w:r>
        <w:rPr>
          <w:color w:val="231F20"/>
          <w:spacing w:val="-13"/>
          <w:w w:val="120"/>
        </w:rPr>
        <w:t> </w:t>
      </w:r>
      <w:r>
        <w:rPr>
          <w:color w:val="231F20"/>
          <w:w w:val="120"/>
        </w:rPr>
        <w:t>un</w:t>
      </w:r>
      <w:r>
        <w:rPr>
          <w:color w:val="231F20"/>
          <w:spacing w:val="-13"/>
          <w:w w:val="120"/>
        </w:rPr>
        <w:t> </w:t>
      </w:r>
      <w:r>
        <w:rPr>
          <w:color w:val="231F20"/>
          <w:w w:val="120"/>
        </w:rPr>
        <w:t>sentiment</w:t>
      </w:r>
      <w:r>
        <w:rPr>
          <w:color w:val="231F20"/>
          <w:spacing w:val="-13"/>
          <w:w w:val="120"/>
        </w:rPr>
        <w:t> </w:t>
      </w:r>
      <w:r>
        <w:rPr>
          <w:color w:val="231F20"/>
          <w:w w:val="120"/>
        </w:rPr>
        <w:t>de</w:t>
      </w:r>
      <w:r>
        <w:rPr>
          <w:color w:val="231F20"/>
          <w:spacing w:val="-12"/>
          <w:w w:val="120"/>
        </w:rPr>
        <w:t> </w:t>
      </w:r>
      <w:r>
        <w:rPr>
          <w:color w:val="231F20"/>
          <w:w w:val="120"/>
        </w:rPr>
        <w:t>maîtrise</w:t>
      </w:r>
      <w:r>
        <w:rPr>
          <w:color w:val="231F20"/>
          <w:spacing w:val="-13"/>
          <w:w w:val="120"/>
        </w:rPr>
        <w:t> </w:t>
      </w:r>
      <w:r>
        <w:rPr>
          <w:color w:val="231F20"/>
          <w:w w:val="120"/>
        </w:rPr>
        <w:t>et</w:t>
      </w:r>
      <w:r>
        <w:rPr>
          <w:color w:val="231F20"/>
          <w:spacing w:val="-13"/>
          <w:w w:val="120"/>
        </w:rPr>
        <w:t> </w:t>
      </w:r>
      <w:r>
        <w:rPr>
          <w:color w:val="231F20"/>
          <w:w w:val="120"/>
        </w:rPr>
        <w:t>d’estime</w:t>
      </w:r>
      <w:r>
        <w:rPr>
          <w:color w:val="231F20"/>
          <w:spacing w:val="-13"/>
          <w:w w:val="120"/>
        </w:rPr>
        <w:t> </w:t>
      </w:r>
      <w:r>
        <w:rPr>
          <w:color w:val="231F20"/>
          <w:w w:val="120"/>
        </w:rPr>
        <w:t>de</w:t>
      </w:r>
      <w:r>
        <w:rPr>
          <w:color w:val="231F20"/>
          <w:spacing w:val="-12"/>
          <w:w w:val="120"/>
        </w:rPr>
        <w:t> </w:t>
      </w:r>
      <w:r>
        <w:rPr>
          <w:color w:val="231F20"/>
          <w:w w:val="120"/>
        </w:rPr>
        <w:t>soi,</w:t>
      </w:r>
      <w:r>
        <w:rPr>
          <w:color w:val="231F20"/>
          <w:spacing w:val="-13"/>
          <w:w w:val="120"/>
        </w:rPr>
        <w:t> </w:t>
      </w:r>
      <w:r>
        <w:rPr>
          <w:color w:val="231F20"/>
          <w:w w:val="120"/>
        </w:rPr>
        <w:t>d’appartenance</w:t>
      </w:r>
      <w:r>
        <w:rPr>
          <w:color w:val="231F20"/>
          <w:spacing w:val="-13"/>
          <w:w w:val="120"/>
        </w:rPr>
        <w:t> </w:t>
      </w:r>
      <w:r>
        <w:rPr>
          <w:color w:val="231F20"/>
          <w:w w:val="120"/>
        </w:rPr>
        <w:t>et de</w:t>
      </w:r>
      <w:r>
        <w:rPr>
          <w:color w:val="231F20"/>
          <w:spacing w:val="-10"/>
          <w:w w:val="120"/>
        </w:rPr>
        <w:t> </w:t>
      </w:r>
      <w:r>
        <w:rPr>
          <w:color w:val="231F20"/>
          <w:w w:val="120"/>
        </w:rPr>
        <w:t>responsabilité.</w:t>
      </w:r>
      <w:r>
        <w:rPr>
          <w:color w:val="231F20"/>
          <w:spacing w:val="-10"/>
          <w:w w:val="120"/>
        </w:rPr>
        <w:t> </w:t>
      </w:r>
      <w:r>
        <w:rPr>
          <w:color w:val="231F20"/>
          <w:w w:val="120"/>
        </w:rPr>
        <w:t>Les</w:t>
      </w:r>
      <w:r>
        <w:rPr>
          <w:color w:val="231F20"/>
          <w:spacing w:val="-10"/>
          <w:w w:val="120"/>
        </w:rPr>
        <w:t> </w:t>
      </w:r>
      <w:r>
        <w:rPr>
          <w:color w:val="231F20"/>
          <w:w w:val="120"/>
        </w:rPr>
        <w:t>organisations</w:t>
      </w:r>
      <w:r>
        <w:rPr>
          <w:color w:val="231F20"/>
          <w:spacing w:val="-10"/>
          <w:w w:val="120"/>
        </w:rPr>
        <w:t> </w:t>
      </w:r>
      <w:r>
        <w:rPr>
          <w:color w:val="231F20"/>
          <w:w w:val="120"/>
        </w:rPr>
        <w:t>qui</w:t>
      </w:r>
      <w:r>
        <w:rPr>
          <w:color w:val="231F20"/>
          <w:spacing w:val="-10"/>
          <w:w w:val="120"/>
        </w:rPr>
        <w:t> </w:t>
      </w:r>
      <w:r>
        <w:rPr>
          <w:color w:val="231F20"/>
          <w:w w:val="120"/>
        </w:rPr>
        <w:t>offrent</w:t>
      </w:r>
      <w:r>
        <w:rPr>
          <w:color w:val="231F20"/>
          <w:spacing w:val="-10"/>
          <w:w w:val="120"/>
        </w:rPr>
        <w:t> </w:t>
      </w:r>
      <w:r>
        <w:rPr>
          <w:color w:val="231F20"/>
          <w:w w:val="120"/>
        </w:rPr>
        <w:t>une</w:t>
      </w:r>
      <w:r>
        <w:rPr>
          <w:color w:val="231F20"/>
          <w:spacing w:val="-10"/>
          <w:w w:val="120"/>
        </w:rPr>
        <w:t> </w:t>
      </w:r>
      <w:r>
        <w:rPr>
          <w:color w:val="231F20"/>
          <w:w w:val="120"/>
        </w:rPr>
        <w:t>bonne</w:t>
      </w:r>
      <w:r>
        <w:rPr>
          <w:color w:val="231F20"/>
          <w:spacing w:val="-10"/>
          <w:w w:val="120"/>
        </w:rPr>
        <w:t> </w:t>
      </w:r>
      <w:r>
        <w:rPr>
          <w:color w:val="231F20"/>
          <w:w w:val="120"/>
        </w:rPr>
        <w:t>QVT</w:t>
      </w:r>
      <w:r>
        <w:rPr>
          <w:color w:val="231F20"/>
          <w:spacing w:val="-10"/>
          <w:w w:val="120"/>
        </w:rPr>
        <w:t> </w:t>
      </w:r>
      <w:r>
        <w:rPr>
          <w:color w:val="231F20"/>
          <w:w w:val="120"/>
        </w:rPr>
        <w:t>encou- ragent</w:t>
      </w:r>
      <w:r>
        <w:rPr>
          <w:color w:val="231F20"/>
          <w:spacing w:val="-6"/>
          <w:w w:val="120"/>
        </w:rPr>
        <w:t> </w:t>
      </w:r>
      <w:r>
        <w:rPr>
          <w:color w:val="231F20"/>
          <w:w w:val="120"/>
        </w:rPr>
        <w:t>la</w:t>
      </w:r>
      <w:r>
        <w:rPr>
          <w:color w:val="231F20"/>
          <w:spacing w:val="-6"/>
          <w:w w:val="120"/>
        </w:rPr>
        <w:t> </w:t>
      </w:r>
      <w:r>
        <w:rPr>
          <w:color w:val="231F20"/>
          <w:w w:val="120"/>
        </w:rPr>
        <w:t>démocratie</w:t>
      </w:r>
      <w:r>
        <w:rPr>
          <w:color w:val="231F20"/>
          <w:spacing w:val="-6"/>
          <w:w w:val="120"/>
        </w:rPr>
        <w:t> </w:t>
      </w:r>
      <w:r>
        <w:rPr>
          <w:color w:val="231F20"/>
          <w:w w:val="120"/>
        </w:rPr>
        <w:t>organisationnelle</w:t>
      </w:r>
      <w:r>
        <w:rPr>
          <w:color w:val="231F20"/>
          <w:spacing w:val="-6"/>
          <w:w w:val="120"/>
        </w:rPr>
        <w:t> </w:t>
      </w:r>
      <w:r>
        <w:rPr>
          <w:color w:val="231F20"/>
          <w:w w:val="120"/>
        </w:rPr>
        <w:t>et</w:t>
      </w:r>
      <w:r>
        <w:rPr>
          <w:color w:val="231F20"/>
          <w:spacing w:val="-6"/>
          <w:w w:val="120"/>
        </w:rPr>
        <w:t> </w:t>
      </w:r>
      <w:r>
        <w:rPr>
          <w:color w:val="231F20"/>
          <w:w w:val="120"/>
        </w:rPr>
        <w:t>accueillent</w:t>
      </w:r>
      <w:r>
        <w:rPr>
          <w:color w:val="231F20"/>
          <w:spacing w:val="-6"/>
          <w:w w:val="120"/>
        </w:rPr>
        <w:t> </w:t>
      </w:r>
      <w:r>
        <w:rPr>
          <w:color w:val="231F20"/>
          <w:w w:val="120"/>
        </w:rPr>
        <w:t>favorablement</w:t>
      </w:r>
      <w:r>
        <w:rPr>
          <w:color w:val="231F20"/>
          <w:spacing w:val="-6"/>
          <w:w w:val="120"/>
        </w:rPr>
        <w:t> </w:t>
      </w:r>
      <w:r>
        <w:rPr>
          <w:color w:val="231F20"/>
          <w:w w:val="120"/>
        </w:rPr>
        <w:t>les suggestions, les questions et les critiques susceptibles d’alimenter des améliorations de toutes sortes. Le mécontentement constructif, preuve d’un engagement du travailleur, y est perçu comme une opportunité d’amélioration</w:t>
      </w:r>
      <w:r>
        <w:rPr>
          <w:color w:val="231F20"/>
          <w:spacing w:val="-7"/>
          <w:w w:val="120"/>
        </w:rPr>
        <w:t> </w:t>
      </w:r>
      <w:r>
        <w:rPr>
          <w:color w:val="231F20"/>
          <w:w w:val="120"/>
        </w:rPr>
        <w:t>organisationnelle</w:t>
      </w:r>
      <w:r>
        <w:rPr>
          <w:color w:val="231F20"/>
          <w:spacing w:val="-7"/>
          <w:w w:val="120"/>
        </w:rPr>
        <w:t> </w:t>
      </w:r>
      <w:r>
        <w:rPr>
          <w:color w:val="231F20"/>
          <w:w w:val="120"/>
        </w:rPr>
        <w:t>plutôt</w:t>
      </w:r>
      <w:r>
        <w:rPr>
          <w:color w:val="231F20"/>
          <w:spacing w:val="-7"/>
          <w:w w:val="120"/>
        </w:rPr>
        <w:t> </w:t>
      </w:r>
      <w:r>
        <w:rPr>
          <w:color w:val="231F20"/>
          <w:w w:val="120"/>
        </w:rPr>
        <w:t>que</w:t>
      </w:r>
      <w:r>
        <w:rPr>
          <w:color w:val="231F20"/>
          <w:spacing w:val="-7"/>
          <w:w w:val="120"/>
        </w:rPr>
        <w:t> </w:t>
      </w:r>
      <w:r>
        <w:rPr>
          <w:color w:val="231F20"/>
          <w:w w:val="120"/>
        </w:rPr>
        <w:t>comme</w:t>
      </w:r>
      <w:r>
        <w:rPr>
          <w:color w:val="231F20"/>
          <w:spacing w:val="-7"/>
          <w:w w:val="120"/>
        </w:rPr>
        <w:t> </w:t>
      </w:r>
      <w:r>
        <w:rPr>
          <w:color w:val="231F20"/>
          <w:w w:val="120"/>
        </w:rPr>
        <w:t>un</w:t>
      </w:r>
      <w:r>
        <w:rPr>
          <w:color w:val="231F20"/>
          <w:spacing w:val="-7"/>
          <w:w w:val="120"/>
        </w:rPr>
        <w:t> </w:t>
      </w:r>
      <w:r>
        <w:rPr>
          <w:color w:val="231F20"/>
          <w:w w:val="120"/>
        </w:rPr>
        <w:t>ronchonnement nuisible</w:t>
      </w:r>
      <w:r>
        <w:rPr>
          <w:color w:val="231F20"/>
          <w:spacing w:val="-6"/>
          <w:w w:val="120"/>
        </w:rPr>
        <w:t> </w:t>
      </w:r>
      <w:r>
        <w:rPr>
          <w:color w:val="231F20"/>
          <w:w w:val="120"/>
        </w:rPr>
        <w:t>et</w:t>
      </w:r>
      <w:r>
        <w:rPr>
          <w:color w:val="231F20"/>
          <w:spacing w:val="-6"/>
          <w:w w:val="120"/>
        </w:rPr>
        <w:t> </w:t>
      </w:r>
      <w:r>
        <w:rPr>
          <w:color w:val="231F20"/>
          <w:w w:val="120"/>
        </w:rPr>
        <w:t>inapproprié.</w:t>
      </w:r>
      <w:r>
        <w:rPr>
          <w:color w:val="231F20"/>
          <w:spacing w:val="-6"/>
          <w:w w:val="120"/>
        </w:rPr>
        <w:t> </w:t>
      </w:r>
      <w:r>
        <w:rPr>
          <w:color w:val="231F20"/>
          <w:w w:val="120"/>
        </w:rPr>
        <w:t>L’ouverture</w:t>
      </w:r>
      <w:r>
        <w:rPr>
          <w:color w:val="231F20"/>
          <w:spacing w:val="-6"/>
          <w:w w:val="120"/>
        </w:rPr>
        <w:t>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direction</w:t>
      </w:r>
      <w:r>
        <w:rPr>
          <w:color w:val="231F20"/>
          <w:spacing w:val="-6"/>
          <w:w w:val="120"/>
        </w:rPr>
        <w:t> </w:t>
      </w:r>
      <w:r>
        <w:rPr>
          <w:color w:val="231F20"/>
          <w:w w:val="120"/>
        </w:rPr>
        <w:t>à</w:t>
      </w:r>
      <w:r>
        <w:rPr>
          <w:color w:val="231F20"/>
          <w:spacing w:val="-6"/>
          <w:w w:val="120"/>
        </w:rPr>
        <w:t> </w:t>
      </w:r>
      <w:r>
        <w:rPr>
          <w:color w:val="231F20"/>
          <w:w w:val="120"/>
        </w:rPr>
        <w:t>de</w:t>
      </w:r>
      <w:r>
        <w:rPr>
          <w:color w:val="231F20"/>
          <w:spacing w:val="-6"/>
          <w:w w:val="120"/>
        </w:rPr>
        <w:t> </w:t>
      </w:r>
      <w:r>
        <w:rPr>
          <w:color w:val="231F20"/>
          <w:w w:val="120"/>
        </w:rPr>
        <w:t>tels</w:t>
      </w:r>
      <w:r>
        <w:rPr>
          <w:color w:val="231F20"/>
          <w:spacing w:val="-6"/>
          <w:w w:val="120"/>
        </w:rPr>
        <w:t> </w:t>
      </w:r>
      <w:r>
        <w:rPr>
          <w:color w:val="231F20"/>
          <w:w w:val="120"/>
        </w:rPr>
        <w:t>sentiments </w:t>
      </w:r>
      <w:r>
        <w:rPr>
          <w:color w:val="231F20"/>
          <w:w w:val="115"/>
        </w:rPr>
        <w:t>d’engagement favorise souvent l’émergence d’idées et d’actions propres </w:t>
      </w:r>
      <w:r>
        <w:rPr>
          <w:color w:val="231F20"/>
          <w:w w:val="120"/>
        </w:rPr>
        <w:t>à</w:t>
      </w:r>
      <w:r>
        <w:rPr>
          <w:color w:val="231F20"/>
          <w:spacing w:val="-1"/>
          <w:w w:val="120"/>
        </w:rPr>
        <w:t> </w:t>
      </w:r>
      <w:r>
        <w:rPr>
          <w:color w:val="231F20"/>
          <w:w w:val="120"/>
        </w:rPr>
        <w:t>améliorer</w:t>
      </w:r>
      <w:r>
        <w:rPr>
          <w:color w:val="231F20"/>
          <w:spacing w:val="-1"/>
          <w:w w:val="120"/>
        </w:rPr>
        <w:t> </w:t>
      </w:r>
      <w:r>
        <w:rPr>
          <w:color w:val="231F20"/>
          <w:w w:val="120"/>
        </w:rPr>
        <w:t>l’efficacité</w:t>
      </w:r>
      <w:r>
        <w:rPr>
          <w:color w:val="231F20"/>
          <w:spacing w:val="-1"/>
          <w:w w:val="120"/>
        </w:rPr>
        <w:t> </w:t>
      </w:r>
      <w:r>
        <w:rPr>
          <w:color w:val="231F20"/>
          <w:w w:val="120"/>
        </w:rPr>
        <w:t>de</w:t>
      </w:r>
      <w:r>
        <w:rPr>
          <w:color w:val="231F20"/>
          <w:spacing w:val="-1"/>
          <w:w w:val="120"/>
        </w:rPr>
        <w:t> </w:t>
      </w:r>
      <w:r>
        <w:rPr>
          <w:color w:val="231F20"/>
          <w:w w:val="120"/>
        </w:rPr>
        <w:t>l’organisation.</w:t>
      </w:r>
      <w:r>
        <w:rPr>
          <w:color w:val="231F20"/>
          <w:spacing w:val="-1"/>
          <w:w w:val="120"/>
        </w:rPr>
        <w:t> </w:t>
      </w:r>
      <w:r>
        <w:rPr>
          <w:color w:val="231F20"/>
          <w:w w:val="120"/>
        </w:rPr>
        <w:t>Un</w:t>
      </w:r>
      <w:r>
        <w:rPr>
          <w:color w:val="231F20"/>
          <w:spacing w:val="-1"/>
          <w:w w:val="120"/>
        </w:rPr>
        <w:t> </w:t>
      </w:r>
      <w:r>
        <w:rPr>
          <w:color w:val="231F20"/>
          <w:w w:val="120"/>
        </w:rPr>
        <w:t>environnement</w:t>
      </w:r>
      <w:r>
        <w:rPr>
          <w:color w:val="231F20"/>
          <w:spacing w:val="-1"/>
          <w:w w:val="120"/>
        </w:rPr>
        <w:t> </w:t>
      </w:r>
      <w:r>
        <w:rPr>
          <w:color w:val="231F20"/>
          <w:w w:val="120"/>
        </w:rPr>
        <w:t>de</w:t>
      </w:r>
      <w:r>
        <w:rPr>
          <w:color w:val="231F20"/>
          <w:spacing w:val="-1"/>
          <w:w w:val="120"/>
        </w:rPr>
        <w:t> </w:t>
      </w:r>
      <w:r>
        <w:rPr>
          <w:color w:val="231F20"/>
          <w:w w:val="120"/>
        </w:rPr>
        <w:t>travail de</w:t>
      </w:r>
      <w:r>
        <w:rPr>
          <w:color w:val="231F20"/>
          <w:spacing w:val="-11"/>
          <w:w w:val="120"/>
        </w:rPr>
        <w:t> </w:t>
      </w:r>
      <w:r>
        <w:rPr>
          <w:color w:val="231F20"/>
          <w:w w:val="120"/>
        </w:rPr>
        <w:t>qualité</w:t>
      </w:r>
      <w:r>
        <w:rPr>
          <w:color w:val="231F20"/>
          <w:spacing w:val="-11"/>
          <w:w w:val="120"/>
        </w:rPr>
        <w:t> </w:t>
      </w:r>
      <w:r>
        <w:rPr>
          <w:color w:val="231F20"/>
          <w:w w:val="120"/>
        </w:rPr>
        <w:t>implique</w:t>
      </w:r>
      <w:r>
        <w:rPr>
          <w:color w:val="231F20"/>
          <w:spacing w:val="-11"/>
          <w:w w:val="120"/>
        </w:rPr>
        <w:t> </w:t>
      </w:r>
      <w:r>
        <w:rPr>
          <w:color w:val="231F20"/>
          <w:w w:val="120"/>
        </w:rPr>
        <w:t>par</w:t>
      </w:r>
      <w:r>
        <w:rPr>
          <w:color w:val="231F20"/>
          <w:spacing w:val="-11"/>
          <w:w w:val="120"/>
        </w:rPr>
        <w:t> </w:t>
      </w:r>
      <w:r>
        <w:rPr>
          <w:color w:val="231F20"/>
          <w:w w:val="120"/>
        </w:rPr>
        <w:t>définition</w:t>
      </w:r>
      <w:r>
        <w:rPr>
          <w:color w:val="231F20"/>
          <w:spacing w:val="-11"/>
          <w:w w:val="120"/>
        </w:rPr>
        <w:t> </w:t>
      </w:r>
      <w:r>
        <w:rPr>
          <w:color w:val="231F20"/>
          <w:w w:val="120"/>
        </w:rPr>
        <w:t>une</w:t>
      </w:r>
      <w:r>
        <w:rPr>
          <w:color w:val="231F20"/>
          <w:spacing w:val="-11"/>
          <w:w w:val="120"/>
        </w:rPr>
        <w:t> </w:t>
      </w:r>
      <w:r>
        <w:rPr>
          <w:color w:val="231F20"/>
          <w:w w:val="120"/>
        </w:rPr>
        <w:t>organisation</w:t>
      </w:r>
      <w:r>
        <w:rPr>
          <w:color w:val="231F20"/>
          <w:spacing w:val="-11"/>
          <w:w w:val="120"/>
        </w:rPr>
        <w:t> </w:t>
      </w:r>
      <w:r>
        <w:rPr>
          <w:color w:val="231F20"/>
          <w:w w:val="120"/>
        </w:rPr>
        <w:t>qui</w:t>
      </w:r>
      <w:r>
        <w:rPr>
          <w:color w:val="231F20"/>
          <w:spacing w:val="-11"/>
          <w:w w:val="120"/>
        </w:rPr>
        <w:t> </w:t>
      </w:r>
      <w:r>
        <w:rPr>
          <w:color w:val="231F20"/>
          <w:w w:val="120"/>
        </w:rPr>
        <w:t>favorise</w:t>
      </w:r>
      <w:r>
        <w:rPr>
          <w:color w:val="231F20"/>
          <w:spacing w:val="-11"/>
          <w:w w:val="120"/>
        </w:rPr>
        <w:t> </w:t>
      </w:r>
      <w:r>
        <w:rPr>
          <w:color w:val="231F20"/>
          <w:w w:val="120"/>
        </w:rPr>
        <w:t>la</w:t>
      </w:r>
      <w:r>
        <w:rPr>
          <w:color w:val="231F20"/>
          <w:spacing w:val="-11"/>
          <w:w w:val="120"/>
        </w:rPr>
        <w:t> </w:t>
      </w:r>
      <w:r>
        <w:rPr>
          <w:color w:val="231F20"/>
          <w:w w:val="120"/>
        </w:rPr>
        <w:t>santé psychologique</w:t>
      </w:r>
      <w:r>
        <w:rPr>
          <w:color w:val="231F20"/>
          <w:spacing w:val="-2"/>
          <w:w w:val="120"/>
        </w:rPr>
        <w:t> </w:t>
      </w:r>
      <w:r>
        <w:rPr>
          <w:color w:val="231F20"/>
          <w:w w:val="120"/>
        </w:rPr>
        <w:t>de</w:t>
      </w:r>
      <w:r>
        <w:rPr>
          <w:color w:val="231F20"/>
          <w:spacing w:val="-2"/>
          <w:w w:val="120"/>
        </w:rPr>
        <w:t> </w:t>
      </w:r>
      <w:r>
        <w:rPr>
          <w:color w:val="231F20"/>
          <w:w w:val="120"/>
        </w:rPr>
        <w:t>ses</w:t>
      </w:r>
      <w:r>
        <w:rPr>
          <w:color w:val="231F20"/>
          <w:spacing w:val="-2"/>
          <w:w w:val="120"/>
        </w:rPr>
        <w:t> </w:t>
      </w:r>
      <w:r>
        <w:rPr>
          <w:color w:val="231F20"/>
          <w:w w:val="120"/>
        </w:rPr>
        <w:t>travailleurs</w:t>
      </w:r>
      <w:r>
        <w:rPr>
          <w:color w:val="231F20"/>
          <w:spacing w:val="-2"/>
          <w:w w:val="120"/>
        </w:rPr>
        <w:t> </w:t>
      </w:r>
      <w:r>
        <w:rPr>
          <w:color w:val="231F20"/>
          <w:w w:val="120"/>
        </w:rPr>
        <w:t>et</w:t>
      </w:r>
      <w:r>
        <w:rPr>
          <w:color w:val="231F20"/>
          <w:spacing w:val="-2"/>
          <w:w w:val="120"/>
        </w:rPr>
        <w:t> </w:t>
      </w:r>
      <w:r>
        <w:rPr>
          <w:color w:val="231F20"/>
          <w:w w:val="120"/>
        </w:rPr>
        <w:t>qui</w:t>
      </w:r>
      <w:r>
        <w:rPr>
          <w:color w:val="231F20"/>
          <w:spacing w:val="-2"/>
          <w:w w:val="120"/>
        </w:rPr>
        <w:t> </w:t>
      </w:r>
      <w:r>
        <w:rPr>
          <w:color w:val="231F20"/>
          <w:w w:val="120"/>
        </w:rPr>
        <w:t>ainsi</w:t>
      </w:r>
      <w:r>
        <w:rPr>
          <w:color w:val="231F20"/>
          <w:spacing w:val="-2"/>
          <w:w w:val="120"/>
        </w:rPr>
        <w:t> </w:t>
      </w:r>
      <w:r>
        <w:rPr>
          <w:color w:val="231F20"/>
          <w:w w:val="120"/>
        </w:rPr>
        <w:t>leur</w:t>
      </w:r>
      <w:r>
        <w:rPr>
          <w:color w:val="231F20"/>
          <w:spacing w:val="-2"/>
          <w:w w:val="120"/>
        </w:rPr>
        <w:t> </w:t>
      </w:r>
      <w:r>
        <w:rPr>
          <w:color w:val="231F20"/>
          <w:w w:val="120"/>
        </w:rPr>
        <w:t>permet,</w:t>
      </w:r>
      <w:r>
        <w:rPr>
          <w:color w:val="231F20"/>
          <w:spacing w:val="-2"/>
          <w:w w:val="120"/>
        </w:rPr>
        <w:t> </w:t>
      </w:r>
      <w:r>
        <w:rPr>
          <w:color w:val="231F20"/>
          <w:w w:val="120"/>
        </w:rPr>
        <w:t>entre</w:t>
      </w:r>
      <w:r>
        <w:rPr>
          <w:color w:val="231F20"/>
          <w:spacing w:val="-2"/>
          <w:w w:val="120"/>
        </w:rPr>
        <w:t> </w:t>
      </w:r>
      <w:r>
        <w:rPr>
          <w:color w:val="231F20"/>
          <w:w w:val="120"/>
        </w:rPr>
        <w:t>autres, de</w:t>
      </w:r>
      <w:r>
        <w:rPr>
          <w:color w:val="231F20"/>
          <w:spacing w:val="-1"/>
          <w:w w:val="120"/>
        </w:rPr>
        <w:t> </w:t>
      </w:r>
      <w:r>
        <w:rPr>
          <w:color w:val="231F20"/>
          <w:w w:val="120"/>
        </w:rPr>
        <w:t>vivre</w:t>
      </w:r>
      <w:r>
        <w:rPr>
          <w:color w:val="231F20"/>
          <w:spacing w:val="-1"/>
          <w:w w:val="120"/>
        </w:rPr>
        <w:t> </w:t>
      </w:r>
      <w:r>
        <w:rPr>
          <w:color w:val="231F20"/>
          <w:w w:val="120"/>
        </w:rPr>
        <w:t>moins</w:t>
      </w:r>
      <w:r>
        <w:rPr>
          <w:color w:val="231F20"/>
          <w:spacing w:val="-1"/>
          <w:w w:val="120"/>
        </w:rPr>
        <w:t> </w:t>
      </w:r>
      <w:r>
        <w:rPr>
          <w:color w:val="231F20"/>
          <w:w w:val="120"/>
        </w:rPr>
        <w:t>de</w:t>
      </w:r>
      <w:r>
        <w:rPr>
          <w:color w:val="231F20"/>
          <w:spacing w:val="-1"/>
          <w:w w:val="120"/>
        </w:rPr>
        <w:t> </w:t>
      </w:r>
      <w:r>
        <w:rPr>
          <w:color w:val="231F20"/>
          <w:w w:val="120"/>
        </w:rPr>
        <w:t>stress</w:t>
      </w:r>
      <w:r>
        <w:rPr>
          <w:color w:val="231F20"/>
          <w:spacing w:val="-1"/>
          <w:w w:val="120"/>
        </w:rPr>
        <w:t> </w:t>
      </w:r>
      <w:r>
        <w:rPr>
          <w:color w:val="231F20"/>
          <w:w w:val="120"/>
        </w:rPr>
        <w:t>au</w:t>
      </w:r>
      <w:r>
        <w:rPr>
          <w:color w:val="231F20"/>
          <w:spacing w:val="-1"/>
          <w:w w:val="120"/>
        </w:rPr>
        <w:t> </w:t>
      </w:r>
      <w:r>
        <w:rPr>
          <w:color w:val="231F20"/>
          <w:w w:val="120"/>
        </w:rPr>
        <w:t>travail,</w:t>
      </w:r>
      <w:r>
        <w:rPr>
          <w:color w:val="231F20"/>
          <w:spacing w:val="-1"/>
          <w:w w:val="120"/>
        </w:rPr>
        <w:t> </w:t>
      </w:r>
      <w:r>
        <w:rPr>
          <w:color w:val="231F20"/>
          <w:w w:val="120"/>
        </w:rPr>
        <w:t>d’entretenir</w:t>
      </w:r>
      <w:r>
        <w:rPr>
          <w:color w:val="231F20"/>
          <w:spacing w:val="-1"/>
          <w:w w:val="120"/>
        </w:rPr>
        <w:t> </w:t>
      </w:r>
      <w:r>
        <w:rPr>
          <w:color w:val="231F20"/>
          <w:w w:val="120"/>
        </w:rPr>
        <w:t>de</w:t>
      </w:r>
      <w:r>
        <w:rPr>
          <w:color w:val="231F20"/>
          <w:spacing w:val="-1"/>
          <w:w w:val="120"/>
        </w:rPr>
        <w:t> </w:t>
      </w:r>
      <w:r>
        <w:rPr>
          <w:color w:val="231F20"/>
          <w:w w:val="120"/>
        </w:rPr>
        <w:t>meilleures</w:t>
      </w:r>
      <w:r>
        <w:rPr>
          <w:color w:val="231F20"/>
          <w:spacing w:val="-1"/>
          <w:w w:val="120"/>
        </w:rPr>
        <w:t> </w:t>
      </w:r>
      <w:r>
        <w:rPr>
          <w:color w:val="231F20"/>
          <w:w w:val="120"/>
        </w:rPr>
        <w:t>relations interpersonnelles, d’atteindre de meilleurs niveaux de satisfaction, d’engagement et d’implication au travail4.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r>
        <w:rPr/>
        <w:pict>
          <v:shape style="position:absolute;margin-left:62.5pt;margin-top:16.658497pt;width:287.5pt;height:.1pt;mso-position-horizontal-relative:page;mso-position-vertical-relative:paragraph;z-index:-15719424;mso-wrap-distance-left:0;mso-wrap-distance-right:0" id="docshape43" coordorigin="1250,333" coordsize="5750,0" path="m1250,333l7000,333e" filled="false" stroked="true" strokeweight=".25pt" strokecolor="#231f20">
            <v:path arrowok="t"/>
            <v:stroke dashstyle="shortdot"/>
            <w10:wrap type="topAndBottom"/>
          </v:shape>
        </w:pict>
      </w:r>
    </w:p>
    <w:p>
      <w:pPr>
        <w:pStyle w:val="ListParagraph"/>
        <w:numPr>
          <w:ilvl w:val="0"/>
          <w:numId w:val="12"/>
        </w:numPr>
        <w:tabs>
          <w:tab w:pos="789" w:val="left" w:leader="none"/>
          <w:tab w:pos="790" w:val="left" w:leader="none"/>
        </w:tabs>
        <w:spacing w:line="295" w:lineRule="auto" w:before="135" w:after="0"/>
        <w:ind w:left="789" w:right="637" w:hanging="328"/>
        <w:jc w:val="left"/>
        <w:rPr>
          <w:rFonts w:ascii="Arial" w:hAnsi="Arial"/>
          <w:sz w:val="12"/>
        </w:rPr>
      </w:pPr>
      <w:r>
        <w:rPr>
          <w:rFonts w:ascii="Arial" w:hAnsi="Arial"/>
          <w:color w:val="231F20"/>
          <w:sz w:val="12"/>
        </w:rPr>
        <w:t>Dupuis, G., Martel, J.-P., Voirol, C., Bibeau, L. et Hébert-Bonneville, N. (2009). </w:t>
      </w:r>
      <w:r>
        <w:rPr>
          <w:rFonts w:ascii="Arial" w:hAnsi="Arial"/>
          <w:i/>
          <w:color w:val="231F20"/>
          <w:sz w:val="12"/>
        </w:rPr>
        <w:t>La qualité de vie au travail:</w:t>
      </w:r>
      <w:r>
        <w:rPr>
          <w:rFonts w:ascii="Arial" w:hAnsi="Arial"/>
          <w:i/>
          <w:color w:val="231F20"/>
          <w:spacing w:val="40"/>
          <w:sz w:val="12"/>
        </w:rPr>
        <w:t> </w:t>
      </w:r>
      <w:r>
        <w:rPr>
          <w:rFonts w:ascii="Arial" w:hAnsi="Arial"/>
          <w:i/>
          <w:color w:val="231F20"/>
          <w:sz w:val="12"/>
        </w:rPr>
        <w:t>bilan des connaissances</w:t>
      </w:r>
      <w:r>
        <w:rPr>
          <w:rFonts w:ascii="Arial" w:hAnsi="Arial"/>
          <w:color w:val="231F20"/>
          <w:sz w:val="12"/>
        </w:rPr>
        <w:t>, Centre de liaison sur l’intervention et la prévention psychosociales (CLIPP).</w:t>
      </w:r>
    </w:p>
    <w:p>
      <w:pPr>
        <w:pStyle w:val="ListParagraph"/>
        <w:numPr>
          <w:ilvl w:val="0"/>
          <w:numId w:val="12"/>
        </w:numPr>
        <w:tabs>
          <w:tab w:pos="789" w:val="left" w:leader="none"/>
          <w:tab w:pos="790" w:val="left" w:leader="none"/>
        </w:tabs>
        <w:spacing w:line="240" w:lineRule="auto" w:before="0" w:after="0"/>
        <w:ind w:left="789" w:right="0" w:hanging="328"/>
        <w:jc w:val="left"/>
        <w:rPr>
          <w:rFonts w:ascii="Arial"/>
          <w:sz w:val="12"/>
        </w:rPr>
      </w:pPr>
      <w:r>
        <w:rPr>
          <w:rFonts w:ascii="Arial"/>
          <w:color w:val="231F20"/>
          <w:sz w:val="12"/>
        </w:rPr>
        <w:t>Ahmad,</w:t>
      </w:r>
      <w:r>
        <w:rPr>
          <w:rFonts w:ascii="Arial"/>
          <w:color w:val="231F20"/>
          <w:spacing w:val="-4"/>
          <w:sz w:val="12"/>
        </w:rPr>
        <w:t> </w:t>
      </w:r>
      <w:r>
        <w:rPr>
          <w:rFonts w:ascii="Arial"/>
          <w:color w:val="231F20"/>
          <w:sz w:val="12"/>
        </w:rPr>
        <w:t>S.</w:t>
      </w:r>
      <w:r>
        <w:rPr>
          <w:rFonts w:ascii="Arial"/>
          <w:color w:val="231F20"/>
          <w:spacing w:val="-4"/>
          <w:sz w:val="12"/>
        </w:rPr>
        <w:t> </w:t>
      </w:r>
      <w:r>
        <w:rPr>
          <w:rFonts w:ascii="Arial"/>
          <w:color w:val="231F20"/>
          <w:sz w:val="12"/>
        </w:rPr>
        <w:t>(2013).</w:t>
      </w:r>
      <w:r>
        <w:rPr>
          <w:rFonts w:ascii="Arial"/>
          <w:color w:val="231F20"/>
          <w:spacing w:val="-4"/>
          <w:sz w:val="12"/>
        </w:rPr>
        <w:t> </w:t>
      </w:r>
      <w:r>
        <w:rPr>
          <w:rFonts w:ascii="Arial"/>
          <w:color w:val="231F20"/>
          <w:sz w:val="12"/>
        </w:rPr>
        <w:t>Paradigms</w:t>
      </w:r>
      <w:r>
        <w:rPr>
          <w:rFonts w:ascii="Arial"/>
          <w:color w:val="231F20"/>
          <w:spacing w:val="-3"/>
          <w:sz w:val="12"/>
        </w:rPr>
        <w:t> </w:t>
      </w:r>
      <w:r>
        <w:rPr>
          <w:rFonts w:ascii="Arial"/>
          <w:color w:val="231F20"/>
          <w:sz w:val="12"/>
        </w:rPr>
        <w:t>of</w:t>
      </w:r>
      <w:r>
        <w:rPr>
          <w:rFonts w:ascii="Arial"/>
          <w:color w:val="231F20"/>
          <w:spacing w:val="-4"/>
          <w:sz w:val="12"/>
        </w:rPr>
        <w:t> </w:t>
      </w:r>
      <w:r>
        <w:rPr>
          <w:rFonts w:ascii="Arial"/>
          <w:color w:val="231F20"/>
          <w:sz w:val="12"/>
        </w:rPr>
        <w:t>quality</w:t>
      </w:r>
      <w:r>
        <w:rPr>
          <w:rFonts w:ascii="Arial"/>
          <w:color w:val="231F20"/>
          <w:spacing w:val="-4"/>
          <w:sz w:val="12"/>
        </w:rPr>
        <w:t> </w:t>
      </w:r>
      <w:r>
        <w:rPr>
          <w:rFonts w:ascii="Arial"/>
          <w:color w:val="231F20"/>
          <w:sz w:val="12"/>
        </w:rPr>
        <w:t>of</w:t>
      </w:r>
      <w:r>
        <w:rPr>
          <w:rFonts w:ascii="Arial"/>
          <w:color w:val="231F20"/>
          <w:spacing w:val="-4"/>
          <w:sz w:val="12"/>
        </w:rPr>
        <w:t> </w:t>
      </w:r>
      <w:r>
        <w:rPr>
          <w:rFonts w:ascii="Arial"/>
          <w:color w:val="231F20"/>
          <w:sz w:val="12"/>
        </w:rPr>
        <w:t>work</w:t>
      </w:r>
      <w:r>
        <w:rPr>
          <w:rFonts w:ascii="Arial"/>
          <w:color w:val="231F20"/>
          <w:spacing w:val="-3"/>
          <w:sz w:val="12"/>
        </w:rPr>
        <w:t> </w:t>
      </w:r>
      <w:r>
        <w:rPr>
          <w:rFonts w:ascii="Arial"/>
          <w:color w:val="231F20"/>
          <w:sz w:val="12"/>
        </w:rPr>
        <w:t>life,</w:t>
      </w:r>
      <w:r>
        <w:rPr>
          <w:rFonts w:ascii="Arial"/>
          <w:color w:val="231F20"/>
          <w:spacing w:val="-4"/>
          <w:sz w:val="12"/>
        </w:rPr>
        <w:t> </w:t>
      </w:r>
      <w:r>
        <w:rPr>
          <w:rFonts w:ascii="Arial"/>
          <w:i/>
          <w:color w:val="231F20"/>
          <w:sz w:val="12"/>
        </w:rPr>
        <w:t>Journal</w:t>
      </w:r>
      <w:r>
        <w:rPr>
          <w:rFonts w:ascii="Arial"/>
          <w:i/>
          <w:color w:val="231F20"/>
          <w:spacing w:val="-4"/>
          <w:sz w:val="12"/>
        </w:rPr>
        <w:t> </w:t>
      </w:r>
      <w:r>
        <w:rPr>
          <w:rFonts w:ascii="Arial"/>
          <w:i/>
          <w:color w:val="231F20"/>
          <w:sz w:val="12"/>
        </w:rPr>
        <w:t>of</w:t>
      </w:r>
      <w:r>
        <w:rPr>
          <w:rFonts w:ascii="Arial"/>
          <w:i/>
          <w:color w:val="231F20"/>
          <w:spacing w:val="-4"/>
          <w:sz w:val="12"/>
        </w:rPr>
        <w:t> </w:t>
      </w:r>
      <w:r>
        <w:rPr>
          <w:rFonts w:ascii="Arial"/>
          <w:i/>
          <w:color w:val="231F20"/>
          <w:sz w:val="12"/>
        </w:rPr>
        <w:t>Human</w:t>
      </w:r>
      <w:r>
        <w:rPr>
          <w:rFonts w:ascii="Arial"/>
          <w:i/>
          <w:color w:val="231F20"/>
          <w:spacing w:val="-3"/>
          <w:sz w:val="12"/>
        </w:rPr>
        <w:t> </w:t>
      </w:r>
      <w:r>
        <w:rPr>
          <w:rFonts w:ascii="Arial"/>
          <w:i/>
          <w:color w:val="231F20"/>
          <w:sz w:val="12"/>
        </w:rPr>
        <w:t>Values</w:t>
      </w:r>
      <w:r>
        <w:rPr>
          <w:rFonts w:ascii="Arial"/>
          <w:color w:val="231F20"/>
          <w:sz w:val="12"/>
        </w:rPr>
        <w:t>,</w:t>
      </w:r>
      <w:r>
        <w:rPr>
          <w:rFonts w:ascii="Arial"/>
          <w:color w:val="231F20"/>
          <w:spacing w:val="-4"/>
          <w:sz w:val="12"/>
        </w:rPr>
        <w:t> </w:t>
      </w:r>
      <w:r>
        <w:rPr>
          <w:rFonts w:ascii="Arial"/>
          <w:i/>
          <w:color w:val="231F20"/>
          <w:sz w:val="12"/>
        </w:rPr>
        <w:t>19</w:t>
      </w:r>
      <w:r>
        <w:rPr>
          <w:rFonts w:ascii="Arial"/>
          <w:color w:val="231F20"/>
          <w:sz w:val="12"/>
        </w:rPr>
        <w:t>,</w:t>
      </w:r>
      <w:r>
        <w:rPr>
          <w:rFonts w:ascii="Arial"/>
          <w:color w:val="231F20"/>
          <w:spacing w:val="-4"/>
          <w:sz w:val="12"/>
        </w:rPr>
        <w:t> </w:t>
      </w:r>
      <w:r>
        <w:rPr>
          <w:rFonts w:ascii="Arial"/>
          <w:color w:val="231F20"/>
          <w:sz w:val="12"/>
        </w:rPr>
        <w:t>73-</w:t>
      </w:r>
      <w:r>
        <w:rPr>
          <w:rFonts w:ascii="Arial"/>
          <w:color w:val="231F20"/>
          <w:spacing w:val="-5"/>
          <w:sz w:val="12"/>
        </w:rPr>
        <w:t>82.</w:t>
      </w:r>
    </w:p>
    <w:p>
      <w:pPr>
        <w:spacing w:after="0" w:line="240" w:lineRule="auto"/>
        <w:jc w:val="left"/>
        <w:rPr>
          <w:rFonts w:ascii="Arial"/>
          <w:sz w:val="12"/>
        </w:rPr>
        <w:sectPr>
          <w:footerReference w:type="default" r:id="rId37"/>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spacing w:before="8"/>
        <w:rPr>
          <w:rFonts w:ascii="Arial"/>
          <w:sz w:val="29"/>
        </w:rPr>
      </w:pPr>
      <w:r>
        <w:rPr/>
        <w:pict>
          <v:group style="position:absolute;margin-left:82pt;margin-top:18.301661pt;width:287.5pt;height:169.25pt;mso-position-horizontal-relative:page;mso-position-vertical-relative:paragraph;z-index:-15718912;mso-wrap-distance-left:0;mso-wrap-distance-right:0" id="docshapegroup45" coordorigin="1640,366" coordsize="5750,3385">
            <v:rect style="position:absolute;left:1640;top:366;width:5750;height:705" id="docshape46" filled="true" fillcolor="#e2e3e4" stroked="false">
              <v:fill type="solid"/>
            </v:rect>
            <v:line style="position:absolute" from="1890,914" to="7140,914" stroked="true" strokeweight=".25pt" strokecolor="#231f20">
              <v:stroke dashstyle="shortdot"/>
            </v:line>
            <v:shape style="position:absolute;left:1640;top:991;width:5750;height:2760" id="docshape47" coordorigin="1640,991" coordsize="5750,2760" path="m7390,991l1640,991,1640,2911,1640,2991,1640,3751,7390,3751,7390,2991,7390,2911,7390,991xe" filled="true" fillcolor="#e2e3e4" stroked="false">
              <v:path arrowok="t"/>
              <v:fill type="solid"/>
            </v:shape>
            <v:line style="position:absolute" from="1890,2909" to="7140,2909" stroked="true" strokeweight=".25pt" strokecolor="#231f20">
              <v:stroke dashstyle="shortdot"/>
            </v:line>
            <v:shape style="position:absolute;left:1640;top:366;width:5750;height:3385" type="#_x0000_t202" id="docshape48" filled="false" stroked="false">
              <v:textbox inset="0,0,0,0">
                <w:txbxContent>
                  <w:p>
                    <w:pPr>
                      <w:spacing w:before="215"/>
                      <w:ind w:left="250" w:right="0" w:firstLine="0"/>
                      <w:jc w:val="both"/>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6"/>
                      <w:rPr>
                        <w:rFonts w:ascii="Arial"/>
                        <w:sz w:val="26"/>
                      </w:rPr>
                    </w:pPr>
                  </w:p>
                  <w:p>
                    <w:pPr>
                      <w:spacing w:line="307" w:lineRule="auto" w:before="0"/>
                      <w:ind w:left="250" w:right="243" w:firstLine="0"/>
                      <w:jc w:val="both"/>
                      <w:rPr>
                        <w:rFonts w:ascii="Arial" w:hAnsi="Arial"/>
                        <w:sz w:val="17"/>
                      </w:rPr>
                    </w:pPr>
                    <w:r>
                      <w:rPr>
                        <w:rFonts w:ascii="Arial" w:hAnsi="Arial"/>
                        <w:color w:val="231F20"/>
                        <w:sz w:val="17"/>
                      </w:rPr>
                      <w:t>La</w:t>
                    </w:r>
                    <w:r>
                      <w:rPr>
                        <w:rFonts w:ascii="Arial" w:hAnsi="Arial"/>
                        <w:color w:val="231F20"/>
                        <w:spacing w:val="-5"/>
                        <w:sz w:val="17"/>
                      </w:rPr>
                      <w:t> </w:t>
                    </w:r>
                    <w:r>
                      <w:rPr>
                        <w:rFonts w:ascii="Arial" w:hAnsi="Arial"/>
                        <w:color w:val="231F20"/>
                        <w:sz w:val="17"/>
                      </w:rPr>
                      <w:t>qualité</w:t>
                    </w:r>
                    <w:r>
                      <w:rPr>
                        <w:rFonts w:ascii="Arial" w:hAnsi="Arial"/>
                        <w:color w:val="231F20"/>
                        <w:spacing w:val="-5"/>
                        <w:sz w:val="17"/>
                      </w:rPr>
                      <w:t> </w:t>
                    </w:r>
                    <w:r>
                      <w:rPr>
                        <w:rFonts w:ascii="Arial" w:hAnsi="Arial"/>
                        <w:color w:val="231F20"/>
                        <w:sz w:val="17"/>
                      </w:rPr>
                      <w:t>de</w:t>
                    </w:r>
                    <w:r>
                      <w:rPr>
                        <w:rFonts w:ascii="Arial" w:hAnsi="Arial"/>
                        <w:color w:val="231F20"/>
                        <w:spacing w:val="-5"/>
                        <w:sz w:val="17"/>
                      </w:rPr>
                      <w:t> </w:t>
                    </w:r>
                    <w:r>
                      <w:rPr>
                        <w:rFonts w:ascii="Arial" w:hAnsi="Arial"/>
                        <w:color w:val="231F20"/>
                        <w:sz w:val="17"/>
                      </w:rPr>
                      <w:t>vie</w:t>
                    </w:r>
                    <w:r>
                      <w:rPr>
                        <w:rFonts w:ascii="Arial" w:hAnsi="Arial"/>
                        <w:color w:val="231F20"/>
                        <w:spacing w:val="-5"/>
                        <w:sz w:val="17"/>
                      </w:rPr>
                      <w:t> </w:t>
                    </w:r>
                    <w:r>
                      <w:rPr>
                        <w:rFonts w:ascii="Arial" w:hAnsi="Arial"/>
                        <w:color w:val="231F20"/>
                        <w:sz w:val="17"/>
                      </w:rPr>
                      <w:t>au</w:t>
                    </w:r>
                    <w:r>
                      <w:rPr>
                        <w:rFonts w:ascii="Arial" w:hAnsi="Arial"/>
                        <w:color w:val="231F20"/>
                        <w:spacing w:val="-5"/>
                        <w:sz w:val="17"/>
                      </w:rPr>
                      <w:t> </w:t>
                    </w:r>
                    <w:r>
                      <w:rPr>
                        <w:rFonts w:ascii="Arial" w:hAnsi="Arial"/>
                        <w:color w:val="231F20"/>
                        <w:sz w:val="17"/>
                      </w:rPr>
                      <w:t>travail</w:t>
                    </w:r>
                    <w:r>
                      <w:rPr>
                        <w:rFonts w:ascii="Arial" w:hAnsi="Arial"/>
                        <w:color w:val="231F20"/>
                        <w:spacing w:val="-5"/>
                        <w:sz w:val="17"/>
                      </w:rPr>
                      <w:t> </w:t>
                    </w:r>
                    <w:r>
                      <w:rPr>
                        <w:rFonts w:ascii="Arial" w:hAnsi="Arial"/>
                        <w:color w:val="231F20"/>
                        <w:sz w:val="17"/>
                      </w:rPr>
                      <w:t>est</w:t>
                    </w:r>
                    <w:r>
                      <w:rPr>
                        <w:rFonts w:ascii="Arial" w:hAnsi="Arial"/>
                        <w:color w:val="231F20"/>
                        <w:spacing w:val="-5"/>
                        <w:sz w:val="17"/>
                      </w:rPr>
                      <w:t> </w:t>
                    </w:r>
                    <w:r>
                      <w:rPr>
                        <w:rFonts w:ascii="Arial" w:hAnsi="Arial"/>
                        <w:color w:val="231F20"/>
                        <w:sz w:val="17"/>
                      </w:rPr>
                      <w:t>un</w:t>
                    </w:r>
                    <w:r>
                      <w:rPr>
                        <w:rFonts w:ascii="Arial" w:hAnsi="Arial"/>
                        <w:color w:val="231F20"/>
                        <w:spacing w:val="-5"/>
                        <w:sz w:val="17"/>
                      </w:rPr>
                      <w:t> </w:t>
                    </w:r>
                    <w:r>
                      <w:rPr>
                        <w:rFonts w:ascii="Arial" w:hAnsi="Arial"/>
                        <w:color w:val="231F20"/>
                        <w:sz w:val="17"/>
                      </w:rPr>
                      <w:t>sujet</w:t>
                    </w:r>
                    <w:r>
                      <w:rPr>
                        <w:rFonts w:ascii="Arial" w:hAnsi="Arial"/>
                        <w:color w:val="231F20"/>
                        <w:spacing w:val="-5"/>
                        <w:sz w:val="17"/>
                      </w:rPr>
                      <w:t> </w:t>
                    </w:r>
                    <w:r>
                      <w:rPr>
                        <w:rFonts w:ascii="Arial" w:hAnsi="Arial"/>
                        <w:color w:val="231F20"/>
                        <w:sz w:val="17"/>
                      </w:rPr>
                      <w:t>d’actualité,</w:t>
                    </w:r>
                    <w:r>
                      <w:rPr>
                        <w:rFonts w:ascii="Arial" w:hAnsi="Arial"/>
                        <w:color w:val="231F20"/>
                        <w:spacing w:val="-5"/>
                        <w:sz w:val="17"/>
                      </w:rPr>
                      <w:t> </w:t>
                    </w:r>
                    <w:r>
                      <w:rPr>
                        <w:rFonts w:ascii="Arial" w:hAnsi="Arial"/>
                        <w:color w:val="231F20"/>
                        <w:sz w:val="17"/>
                      </w:rPr>
                      <w:t>car</w:t>
                    </w:r>
                    <w:r>
                      <w:rPr>
                        <w:rFonts w:ascii="Arial" w:hAnsi="Arial"/>
                        <w:color w:val="231F20"/>
                        <w:spacing w:val="-5"/>
                        <w:sz w:val="17"/>
                      </w:rPr>
                      <w:t> </w:t>
                    </w:r>
                    <w:r>
                      <w:rPr>
                        <w:rFonts w:ascii="Arial" w:hAnsi="Arial"/>
                        <w:color w:val="231F20"/>
                        <w:sz w:val="17"/>
                      </w:rPr>
                      <w:t>elle</w:t>
                    </w:r>
                    <w:r>
                      <w:rPr>
                        <w:rFonts w:ascii="Arial" w:hAnsi="Arial"/>
                        <w:color w:val="231F20"/>
                        <w:spacing w:val="-5"/>
                        <w:sz w:val="17"/>
                      </w:rPr>
                      <w:t> </w:t>
                    </w:r>
                    <w:r>
                      <w:rPr>
                        <w:rFonts w:ascii="Arial" w:hAnsi="Arial"/>
                        <w:color w:val="231F20"/>
                        <w:sz w:val="17"/>
                      </w:rPr>
                      <w:t>concerne</w:t>
                    </w:r>
                    <w:r>
                      <w:rPr>
                        <w:rFonts w:ascii="Arial" w:hAnsi="Arial"/>
                        <w:color w:val="231F20"/>
                        <w:spacing w:val="-5"/>
                        <w:sz w:val="17"/>
                      </w:rPr>
                      <w:t> </w:t>
                    </w:r>
                    <w:r>
                      <w:rPr>
                        <w:rFonts w:ascii="Arial" w:hAnsi="Arial"/>
                        <w:color w:val="231F20"/>
                        <w:sz w:val="17"/>
                      </w:rPr>
                      <w:t>le bien-être</w:t>
                    </w:r>
                    <w:r>
                      <w:rPr>
                        <w:rFonts w:ascii="Arial" w:hAnsi="Arial"/>
                        <w:color w:val="231F20"/>
                        <w:spacing w:val="-3"/>
                        <w:sz w:val="17"/>
                      </w:rPr>
                      <w:t> </w:t>
                    </w:r>
                    <w:r>
                      <w:rPr>
                        <w:rFonts w:ascii="Arial" w:hAnsi="Arial"/>
                        <w:color w:val="231F20"/>
                        <w:sz w:val="17"/>
                      </w:rPr>
                      <w:t>des</w:t>
                    </w:r>
                    <w:r>
                      <w:rPr>
                        <w:rFonts w:ascii="Arial" w:hAnsi="Arial"/>
                        <w:color w:val="231F20"/>
                        <w:spacing w:val="-3"/>
                        <w:sz w:val="17"/>
                      </w:rPr>
                      <w:t> </w:t>
                    </w:r>
                    <w:r>
                      <w:rPr>
                        <w:rFonts w:ascii="Arial" w:hAnsi="Arial"/>
                        <w:color w:val="231F20"/>
                        <w:sz w:val="17"/>
                      </w:rPr>
                      <w:t>personnes</w:t>
                    </w:r>
                    <w:r>
                      <w:rPr>
                        <w:rFonts w:ascii="Arial" w:hAnsi="Arial"/>
                        <w:color w:val="231F20"/>
                        <w:spacing w:val="-3"/>
                        <w:sz w:val="17"/>
                      </w:rPr>
                      <w:t> </w:t>
                    </w:r>
                    <w:r>
                      <w:rPr>
                        <w:rFonts w:ascii="Arial" w:hAnsi="Arial"/>
                        <w:color w:val="231F20"/>
                        <w:sz w:val="17"/>
                      </w:rPr>
                      <w:t>dans</w:t>
                    </w:r>
                    <w:r>
                      <w:rPr>
                        <w:rFonts w:ascii="Arial" w:hAnsi="Arial"/>
                        <w:color w:val="231F20"/>
                        <w:spacing w:val="-3"/>
                        <w:sz w:val="17"/>
                      </w:rPr>
                      <w:t> </w:t>
                    </w:r>
                    <w:r>
                      <w:rPr>
                        <w:rFonts w:ascii="Arial" w:hAnsi="Arial"/>
                        <w:color w:val="231F20"/>
                        <w:sz w:val="17"/>
                      </w:rPr>
                      <w:t>les</w:t>
                    </w:r>
                    <w:r>
                      <w:rPr>
                        <w:rFonts w:ascii="Arial" w:hAnsi="Arial"/>
                        <w:color w:val="231F20"/>
                        <w:spacing w:val="-3"/>
                        <w:sz w:val="17"/>
                      </w:rPr>
                      <w:t> </w:t>
                    </w:r>
                    <w:r>
                      <w:rPr>
                        <w:rFonts w:ascii="Arial" w:hAnsi="Arial"/>
                        <w:color w:val="231F20"/>
                        <w:sz w:val="17"/>
                      </w:rPr>
                      <w:t>organisations.</w:t>
                    </w:r>
                    <w:r>
                      <w:rPr>
                        <w:rFonts w:ascii="Arial" w:hAnsi="Arial"/>
                        <w:color w:val="231F20"/>
                        <w:spacing w:val="-3"/>
                        <w:sz w:val="17"/>
                      </w:rPr>
                      <w:t> </w:t>
                    </w:r>
                    <w:r>
                      <w:rPr>
                        <w:rFonts w:ascii="Arial" w:hAnsi="Arial"/>
                        <w:color w:val="231F20"/>
                        <w:sz w:val="17"/>
                      </w:rPr>
                      <w:t>Plusieurs</w:t>
                    </w:r>
                    <w:r>
                      <w:rPr>
                        <w:rFonts w:ascii="Arial" w:hAnsi="Arial"/>
                        <w:color w:val="231F20"/>
                        <w:spacing w:val="-3"/>
                        <w:sz w:val="17"/>
                      </w:rPr>
                      <w:t> </w:t>
                    </w:r>
                    <w:r>
                      <w:rPr>
                        <w:rFonts w:ascii="Arial" w:hAnsi="Arial"/>
                        <w:color w:val="231F20"/>
                        <w:sz w:val="17"/>
                      </w:rPr>
                      <w:t>indicateurs servent à l’évaluer, mais les principaux sont la santé mentale et phy- sique des employés, la force de leur engagement dans leur travail et l’équilibre travail-vie privée. Pour assurer la qualité de vie au travail, il faut organiser le travail de manière à ce qu’il ait un sens et que les conditions soient saines et sécuritaires.</w:t>
                    </w:r>
                  </w:p>
                  <w:p>
                    <w:pPr>
                      <w:spacing w:line="295" w:lineRule="auto" w:before="215"/>
                      <w:ind w:left="250" w:right="244"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(s.</w:t>
                    </w:r>
                    <w:r>
                      <w:rPr>
                        <w:rFonts w:ascii="Arial" w:hAnsi="Arial"/>
                        <w:color w:val="231F20"/>
                        <w:spacing w:val="-4"/>
                        <w:sz w:val="12"/>
                      </w:rPr>
                      <w:t> </w:t>
                    </w:r>
                    <w:r>
                      <w:rPr>
                        <w:rFonts w:ascii="Arial" w:hAnsi="Arial"/>
                        <w:color w:val="231F20"/>
                        <w:sz w:val="12"/>
                      </w:rPr>
                      <w:t>a.) (2016). Donner un sens au travail pour stimuler la qualité de vie au travail, </w:t>
                    </w:r>
                    <w:r>
                      <w:rPr>
                        <w:rFonts w:ascii="Arial" w:hAnsi="Arial"/>
                        <w:i/>
                        <w:color w:val="231F20"/>
                        <w:sz w:val="12"/>
                      </w:rPr>
                      <w:t>Gestion</w:t>
                    </w:r>
                    <w:r>
                      <w:rPr>
                        <w:rFonts w:ascii="Arial" w:hAnsi="Arial"/>
                        <w:color w:val="231F20"/>
                        <w:sz w:val="12"/>
                      </w:rPr>
                      <w:t>,</w:t>
                    </w:r>
                    <w:r>
                      <w:rPr>
                        <w:rFonts w:ascii="Arial" w:hAnsi="Arial"/>
                        <w:color w:val="231F20"/>
                        <w:spacing w:val="40"/>
                        <w:w w:val="105"/>
                        <w:sz w:val="12"/>
                      </w:rPr>
                      <w:t> </w:t>
                    </w:r>
                    <w:r>
                      <w:rPr>
                        <w:rFonts w:ascii="Arial" w:hAnsi="Arial"/>
                        <w:color w:val="231F20"/>
                        <w:w w:val="105"/>
                        <w:sz w:val="12"/>
                      </w:rPr>
                      <w:t>14</w:t>
                    </w:r>
                    <w:r>
                      <w:rPr>
                        <w:rFonts w:ascii="Arial" w:hAnsi="Arial"/>
                        <w:color w:val="231F20"/>
                        <w:spacing w:val="-7"/>
                        <w:w w:val="105"/>
                        <w:sz w:val="12"/>
                      </w:rPr>
                      <w:t> </w:t>
                    </w:r>
                    <w:r>
                      <w:rPr>
                        <w:rFonts w:ascii="Arial" w:hAnsi="Arial"/>
                        <w:color w:val="231F20"/>
                        <w:w w:val="105"/>
                        <w:sz w:val="12"/>
                      </w:rPr>
                      <w:t>juillet,</w:t>
                    </w:r>
                    <w:r>
                      <w:rPr>
                        <w:rFonts w:ascii="Arial" w:hAnsi="Arial"/>
                        <w:color w:val="231F20"/>
                        <w:spacing w:val="-6"/>
                        <w:w w:val="105"/>
                        <w:sz w:val="12"/>
                      </w:rPr>
                      <w:t> </w:t>
                    </w:r>
                    <w:r>
                      <w:rPr>
                        <w:rFonts w:ascii="Arial" w:hAnsi="Arial"/>
                        <w:color w:val="231F20"/>
                        <w:w w:val="105"/>
                        <w:sz w:val="12"/>
                      </w:rPr>
                      <w:t>&lt;https://</w:t>
                    </w:r>
                    <w:hyperlink r:id="rId39">
                      <w:r>
                        <w:rPr>
                          <w:rFonts w:ascii="Arial" w:hAnsi="Arial"/>
                          <w:color w:val="231F20"/>
                          <w:w w:val="105"/>
                          <w:sz w:val="12"/>
                        </w:rPr>
                        <w:t>www.revuegestion.ca/donner-un-sens-au-travail-pour-stimuler-la-qualite-</w:t>
                      </w:r>
                      <w:r>
                        <w:rPr>
                          <w:rFonts w:ascii="Arial" w:hAnsi="Arial"/>
                          <w:color w:val="231F20"/>
                          <w:spacing w:val="-5"/>
                          <w:w w:val="105"/>
                          <w:sz w:val="12"/>
                        </w:rPr>
                        <w:t>de-</w:t>
                      </w:r>
                    </w:hyperlink>
                  </w:p>
                  <w:p>
                    <w:pPr>
                      <w:spacing w:before="1"/>
                      <w:ind w:left="250" w:right="0" w:firstLine="0"/>
                      <w:jc w:val="both"/>
                      <w:rPr>
                        <w:rFonts w:ascii="Arial" w:hAnsi="Arial"/>
                        <w:sz w:val="12"/>
                      </w:rPr>
                    </w:pPr>
                    <w:r>
                      <w:rPr>
                        <w:rFonts w:ascii="Arial" w:hAnsi="Arial"/>
                        <w:color w:val="231F20"/>
                        <w:w w:val="105"/>
                        <w:sz w:val="12"/>
                      </w:rPr>
                      <w:t>vie-au-travail&gt;,</w:t>
                    </w:r>
                    <w:r>
                      <w:rPr>
                        <w:rFonts w:ascii="Arial" w:hAnsi="Arial"/>
                        <w:color w:val="231F20"/>
                        <w:spacing w:val="-8"/>
                        <w:w w:val="105"/>
                        <w:sz w:val="12"/>
                      </w:rPr>
                      <w:t> </w:t>
                    </w:r>
                    <w:r>
                      <w:rPr>
                        <w:rFonts w:ascii="Arial" w:hAnsi="Arial"/>
                        <w:color w:val="231F20"/>
                        <w:w w:val="105"/>
                        <w:sz w:val="12"/>
                      </w:rPr>
                      <w:t>consulté</w:t>
                    </w:r>
                    <w:r>
                      <w:rPr>
                        <w:rFonts w:ascii="Arial" w:hAnsi="Arial"/>
                        <w:color w:val="231F20"/>
                        <w:spacing w:val="-8"/>
                        <w:w w:val="105"/>
                        <w:sz w:val="12"/>
                      </w:rPr>
                      <w:t> </w:t>
                    </w:r>
                    <w:r>
                      <w:rPr>
                        <w:rFonts w:ascii="Arial" w:hAnsi="Arial"/>
                        <w:color w:val="231F20"/>
                        <w:w w:val="105"/>
                        <w:sz w:val="12"/>
                      </w:rPr>
                      <w:t>le</w:t>
                    </w:r>
                    <w:r>
                      <w:rPr>
                        <w:rFonts w:ascii="Arial" w:hAnsi="Arial"/>
                        <w:color w:val="231F20"/>
                        <w:spacing w:val="-7"/>
                        <w:w w:val="105"/>
                        <w:sz w:val="12"/>
                      </w:rPr>
                      <w:t> </w:t>
                    </w:r>
                    <w:r>
                      <w:rPr>
                        <w:rFonts w:ascii="Arial" w:hAnsi="Arial"/>
                        <w:color w:val="231F20"/>
                        <w:w w:val="105"/>
                        <w:sz w:val="12"/>
                      </w:rPr>
                      <w:t>22</w:t>
                    </w:r>
                    <w:r>
                      <w:rPr>
                        <w:rFonts w:ascii="Arial" w:hAnsi="Arial"/>
                        <w:color w:val="231F20"/>
                        <w:spacing w:val="-8"/>
                        <w:w w:val="105"/>
                        <w:sz w:val="12"/>
                      </w:rPr>
                      <w:t> </w:t>
                    </w:r>
                    <w:r>
                      <w:rPr>
                        <w:rFonts w:ascii="Arial" w:hAnsi="Arial"/>
                        <w:color w:val="231F20"/>
                        <w:w w:val="105"/>
                        <w:sz w:val="12"/>
                      </w:rPr>
                      <w:t>octobre</w:t>
                    </w:r>
                    <w:r>
                      <w:rPr>
                        <w:rFonts w:ascii="Arial" w:hAnsi="Arial"/>
                        <w:color w:val="231F20"/>
                        <w:spacing w:val="-7"/>
                        <w:w w:val="105"/>
                        <w:sz w:val="12"/>
                      </w:rPr>
                      <w:t> </w:t>
                    </w:r>
                    <w:r>
                      <w:rPr>
                        <w:rFonts w:ascii="Arial" w:hAnsi="Arial"/>
                        <w:color w:val="231F20"/>
                        <w:spacing w:val="-2"/>
                        <w:w w:val="105"/>
                        <w:sz w:val="12"/>
                      </w:rPr>
                      <w:t>2021.</w:t>
                    </w:r>
                  </w:p>
                </w:txbxContent>
              </v:textbox>
              <w10:wrap type="none"/>
            </v:shape>
            <w10:wrap type="topAndBottom"/>
          </v:group>
        </w:pict>
      </w:r>
    </w:p>
    <w:p>
      <w:pPr>
        <w:pStyle w:val="BodyText"/>
        <w:spacing w:before="1"/>
        <w:rPr>
          <w:rFonts w:ascii="Arial"/>
        </w:rPr>
      </w:pPr>
    </w:p>
    <w:p>
      <w:pPr>
        <w:pStyle w:val="BodyText"/>
        <w:spacing w:line="307" w:lineRule="auto" w:before="145"/>
        <w:ind w:left="1180" w:right="244"/>
        <w:jc w:val="both"/>
      </w:pPr>
      <w:r>
        <w:rPr>
          <w:color w:val="231F20"/>
          <w:w w:val="115"/>
        </w:rPr>
        <w:t>La</w:t>
      </w:r>
      <w:r>
        <w:rPr>
          <w:color w:val="231F20"/>
          <w:spacing w:val="-13"/>
          <w:w w:val="115"/>
        </w:rPr>
        <w:t> </w:t>
      </w:r>
      <w:r>
        <w:rPr>
          <w:b/>
          <w:color w:val="231F20"/>
          <w:w w:val="115"/>
        </w:rPr>
        <w:t>santé</w:t>
      </w:r>
      <w:r>
        <w:rPr>
          <w:b/>
          <w:color w:val="231F20"/>
          <w:spacing w:val="-12"/>
          <w:w w:val="115"/>
        </w:rPr>
        <w:t> </w:t>
      </w:r>
      <w:r>
        <w:rPr>
          <w:b/>
          <w:color w:val="231F20"/>
          <w:w w:val="115"/>
        </w:rPr>
        <w:t>psychologique</w:t>
      </w:r>
      <w:r>
        <w:rPr>
          <w:b/>
          <w:color w:val="231F20"/>
          <w:spacing w:val="-12"/>
          <w:w w:val="115"/>
        </w:rPr>
        <w:t> </w:t>
      </w:r>
      <w:r>
        <w:rPr>
          <w:b/>
          <w:color w:val="231F20"/>
          <w:w w:val="115"/>
        </w:rPr>
        <w:t>au</w:t>
      </w:r>
      <w:r>
        <w:rPr>
          <w:b/>
          <w:color w:val="231F20"/>
          <w:spacing w:val="-12"/>
          <w:w w:val="115"/>
        </w:rPr>
        <w:t> </w:t>
      </w:r>
      <w:r>
        <w:rPr>
          <w:b/>
          <w:color w:val="231F20"/>
          <w:w w:val="115"/>
        </w:rPr>
        <w:t>travail</w:t>
      </w:r>
      <w:r>
        <w:rPr>
          <w:b/>
          <w:color w:val="231F20"/>
          <w:spacing w:val="-13"/>
          <w:w w:val="115"/>
        </w:rPr>
        <w:t> </w:t>
      </w:r>
      <w:r>
        <w:rPr>
          <w:b/>
          <w:color w:val="231F20"/>
          <w:w w:val="115"/>
        </w:rPr>
        <w:t>(SPT)</w:t>
      </w:r>
      <w:r>
        <w:rPr>
          <w:b/>
          <w:color w:val="231F20"/>
          <w:spacing w:val="-12"/>
          <w:w w:val="115"/>
        </w:rPr>
        <w:t> </w:t>
      </w:r>
      <w:r>
        <w:rPr>
          <w:color w:val="231F20"/>
          <w:w w:val="115"/>
        </w:rPr>
        <w:t>est</w:t>
      </w:r>
      <w:r>
        <w:rPr>
          <w:color w:val="231F20"/>
          <w:spacing w:val="-12"/>
          <w:w w:val="115"/>
        </w:rPr>
        <w:t> </w:t>
      </w:r>
      <w:r>
        <w:rPr>
          <w:color w:val="231F20"/>
          <w:w w:val="115"/>
        </w:rPr>
        <w:t>l’une</w:t>
      </w:r>
      <w:r>
        <w:rPr>
          <w:color w:val="231F20"/>
          <w:spacing w:val="-12"/>
          <w:w w:val="115"/>
        </w:rPr>
        <w:t> </w:t>
      </w:r>
      <w:r>
        <w:rPr>
          <w:color w:val="231F20"/>
          <w:w w:val="115"/>
        </w:rPr>
        <w:t>des</w:t>
      </w:r>
      <w:r>
        <w:rPr>
          <w:color w:val="231F20"/>
          <w:spacing w:val="-12"/>
          <w:w w:val="115"/>
        </w:rPr>
        <w:t> </w:t>
      </w:r>
      <w:r>
        <w:rPr>
          <w:color w:val="231F20"/>
          <w:w w:val="115"/>
        </w:rPr>
        <w:t>résultantes</w:t>
      </w:r>
      <w:r>
        <w:rPr>
          <w:color w:val="231F20"/>
          <w:spacing w:val="-13"/>
          <w:w w:val="115"/>
        </w:rPr>
        <w:t> </w:t>
      </w:r>
      <w:r>
        <w:rPr>
          <w:color w:val="231F20"/>
          <w:w w:val="115"/>
        </w:rPr>
        <w:t>les</w:t>
      </w:r>
      <w:r>
        <w:rPr>
          <w:color w:val="231F20"/>
          <w:spacing w:val="-12"/>
          <w:w w:val="115"/>
        </w:rPr>
        <w:t> </w:t>
      </w:r>
      <w:r>
        <w:rPr>
          <w:color w:val="231F20"/>
          <w:w w:val="115"/>
        </w:rPr>
        <w:t>plus </w:t>
      </w:r>
      <w:r>
        <w:rPr>
          <w:color w:val="231F20"/>
          <w:spacing w:val="-2"/>
          <w:w w:val="120"/>
        </w:rPr>
        <w:t>importantes</w:t>
      </w:r>
      <w:r>
        <w:rPr>
          <w:color w:val="231F20"/>
          <w:spacing w:val="-10"/>
          <w:w w:val="120"/>
        </w:rPr>
        <w:t> </w:t>
      </w:r>
      <w:r>
        <w:rPr>
          <w:color w:val="231F20"/>
          <w:spacing w:val="-2"/>
          <w:w w:val="120"/>
        </w:rPr>
        <w:t>d’une</w:t>
      </w:r>
      <w:r>
        <w:rPr>
          <w:color w:val="231F20"/>
          <w:spacing w:val="-10"/>
          <w:w w:val="120"/>
        </w:rPr>
        <w:t> </w:t>
      </w:r>
      <w:r>
        <w:rPr>
          <w:color w:val="231F20"/>
          <w:spacing w:val="-2"/>
          <w:w w:val="120"/>
        </w:rPr>
        <w:t>bonne</w:t>
      </w:r>
      <w:r>
        <w:rPr>
          <w:color w:val="231F20"/>
          <w:spacing w:val="-10"/>
          <w:w w:val="120"/>
        </w:rPr>
        <w:t> </w:t>
      </w:r>
      <w:r>
        <w:rPr>
          <w:color w:val="231F20"/>
          <w:spacing w:val="-2"/>
          <w:w w:val="120"/>
        </w:rPr>
        <w:t>qualité</w:t>
      </w:r>
      <w:r>
        <w:rPr>
          <w:color w:val="231F20"/>
          <w:spacing w:val="-10"/>
          <w:w w:val="120"/>
        </w:rPr>
        <w:t> </w:t>
      </w:r>
      <w:r>
        <w:rPr>
          <w:color w:val="231F20"/>
          <w:spacing w:val="-2"/>
          <w:w w:val="120"/>
        </w:rPr>
        <w:t>de</w:t>
      </w:r>
      <w:r>
        <w:rPr>
          <w:color w:val="231F20"/>
          <w:spacing w:val="-10"/>
          <w:w w:val="120"/>
        </w:rPr>
        <w:t> </w:t>
      </w:r>
      <w:r>
        <w:rPr>
          <w:color w:val="231F20"/>
          <w:spacing w:val="-2"/>
          <w:w w:val="120"/>
        </w:rPr>
        <w:t>vie</w:t>
      </w:r>
      <w:r>
        <w:rPr>
          <w:color w:val="231F20"/>
          <w:spacing w:val="-10"/>
          <w:w w:val="120"/>
        </w:rPr>
        <w:t> </w:t>
      </w:r>
      <w:r>
        <w:rPr>
          <w:color w:val="231F20"/>
          <w:spacing w:val="-2"/>
          <w:w w:val="120"/>
        </w:rPr>
        <w:t>au</w:t>
      </w:r>
      <w:r>
        <w:rPr>
          <w:color w:val="231F20"/>
          <w:spacing w:val="-10"/>
          <w:w w:val="120"/>
        </w:rPr>
        <w:t> </w:t>
      </w:r>
      <w:r>
        <w:rPr>
          <w:color w:val="231F20"/>
          <w:spacing w:val="-2"/>
          <w:w w:val="120"/>
        </w:rPr>
        <w:t>travail.</w:t>
      </w:r>
      <w:r>
        <w:rPr>
          <w:color w:val="231F20"/>
          <w:spacing w:val="-10"/>
          <w:w w:val="120"/>
        </w:rPr>
        <w:t> </w:t>
      </w:r>
      <w:r>
        <w:rPr>
          <w:color w:val="231F20"/>
          <w:spacing w:val="-2"/>
          <w:w w:val="120"/>
        </w:rPr>
        <w:t>Bien</w:t>
      </w:r>
      <w:r>
        <w:rPr>
          <w:color w:val="231F20"/>
          <w:spacing w:val="-10"/>
          <w:w w:val="120"/>
        </w:rPr>
        <w:t> </w:t>
      </w:r>
      <w:r>
        <w:rPr>
          <w:color w:val="231F20"/>
          <w:spacing w:val="-2"/>
          <w:w w:val="120"/>
        </w:rPr>
        <w:t>qu’il</w:t>
      </w:r>
      <w:r>
        <w:rPr>
          <w:color w:val="231F20"/>
          <w:spacing w:val="-10"/>
          <w:w w:val="120"/>
        </w:rPr>
        <w:t> </w:t>
      </w:r>
      <w:r>
        <w:rPr>
          <w:color w:val="231F20"/>
          <w:spacing w:val="-2"/>
          <w:w w:val="120"/>
        </w:rPr>
        <w:t>existe</w:t>
      </w:r>
      <w:r>
        <w:rPr>
          <w:color w:val="231F20"/>
          <w:spacing w:val="-10"/>
          <w:w w:val="120"/>
        </w:rPr>
        <w:t> </w:t>
      </w:r>
      <w:r>
        <w:rPr>
          <w:color w:val="231F20"/>
          <w:spacing w:val="-2"/>
          <w:w w:val="120"/>
        </w:rPr>
        <w:t>diffé- rentes</w:t>
      </w:r>
      <w:r>
        <w:rPr>
          <w:color w:val="231F20"/>
          <w:spacing w:val="-3"/>
          <w:w w:val="120"/>
        </w:rPr>
        <w:t> </w:t>
      </w:r>
      <w:r>
        <w:rPr>
          <w:color w:val="231F20"/>
          <w:spacing w:val="-2"/>
          <w:w w:val="120"/>
        </w:rPr>
        <w:t>façons</w:t>
      </w:r>
      <w:r>
        <w:rPr>
          <w:color w:val="231F20"/>
          <w:spacing w:val="-3"/>
          <w:w w:val="120"/>
        </w:rPr>
        <w:t> </w:t>
      </w:r>
      <w:r>
        <w:rPr>
          <w:color w:val="231F20"/>
          <w:spacing w:val="-2"/>
          <w:w w:val="120"/>
        </w:rPr>
        <w:t>de</w:t>
      </w:r>
      <w:r>
        <w:rPr>
          <w:color w:val="231F20"/>
          <w:spacing w:val="-3"/>
          <w:w w:val="120"/>
        </w:rPr>
        <w:t> </w:t>
      </w:r>
      <w:r>
        <w:rPr>
          <w:color w:val="231F20"/>
          <w:spacing w:val="-2"/>
          <w:w w:val="120"/>
        </w:rPr>
        <w:t>circonscrire</w:t>
      </w:r>
      <w:r>
        <w:rPr>
          <w:color w:val="231F20"/>
          <w:spacing w:val="-3"/>
          <w:w w:val="120"/>
        </w:rPr>
        <w:t> </w:t>
      </w:r>
      <w:r>
        <w:rPr>
          <w:color w:val="231F20"/>
          <w:spacing w:val="-2"/>
          <w:w w:val="120"/>
        </w:rPr>
        <w:t>cette</w:t>
      </w:r>
      <w:r>
        <w:rPr>
          <w:color w:val="231F20"/>
          <w:spacing w:val="-3"/>
          <w:w w:val="120"/>
        </w:rPr>
        <w:t> </w:t>
      </w:r>
      <w:r>
        <w:rPr>
          <w:color w:val="231F20"/>
          <w:spacing w:val="-2"/>
          <w:w w:val="120"/>
        </w:rPr>
        <w:t>notion,</w:t>
      </w:r>
      <w:r>
        <w:rPr>
          <w:color w:val="231F20"/>
          <w:spacing w:val="-3"/>
          <w:w w:val="120"/>
        </w:rPr>
        <w:t> </w:t>
      </w:r>
      <w:r>
        <w:rPr>
          <w:color w:val="231F20"/>
          <w:spacing w:val="-2"/>
          <w:w w:val="120"/>
        </w:rPr>
        <w:t>l’Organisation</w:t>
      </w:r>
      <w:r>
        <w:rPr>
          <w:color w:val="231F20"/>
          <w:spacing w:val="-3"/>
          <w:w w:val="120"/>
        </w:rPr>
        <w:t> </w:t>
      </w:r>
      <w:r>
        <w:rPr>
          <w:color w:val="231F20"/>
          <w:spacing w:val="-2"/>
          <w:w w:val="120"/>
        </w:rPr>
        <w:t>mondiale</w:t>
      </w:r>
      <w:r>
        <w:rPr>
          <w:color w:val="231F20"/>
          <w:spacing w:val="-3"/>
          <w:w w:val="120"/>
        </w:rPr>
        <w:t> </w:t>
      </w:r>
      <w:r>
        <w:rPr>
          <w:color w:val="231F20"/>
          <w:spacing w:val="-2"/>
          <w:w w:val="120"/>
        </w:rPr>
        <w:t>de</w:t>
      </w:r>
      <w:r>
        <w:rPr>
          <w:color w:val="231F20"/>
          <w:spacing w:val="-3"/>
          <w:w w:val="120"/>
        </w:rPr>
        <w:t> </w:t>
      </w:r>
      <w:r>
        <w:rPr>
          <w:color w:val="231F20"/>
          <w:spacing w:val="-2"/>
          <w:w w:val="120"/>
        </w:rPr>
        <w:t>la </w:t>
      </w:r>
      <w:r>
        <w:rPr>
          <w:color w:val="231F20"/>
          <w:w w:val="115"/>
        </w:rPr>
        <w:t>santé</w:t>
      </w:r>
      <w:r>
        <w:rPr>
          <w:color w:val="231F20"/>
          <w:spacing w:val="-13"/>
          <w:w w:val="115"/>
        </w:rPr>
        <w:t> </w:t>
      </w:r>
      <w:r>
        <w:rPr>
          <w:color w:val="231F20"/>
          <w:w w:val="115"/>
        </w:rPr>
        <w:t>(OMS)5</w:t>
      </w:r>
      <w:r>
        <w:rPr>
          <w:color w:val="231F20"/>
          <w:spacing w:val="-2"/>
          <w:w w:val="115"/>
        </w:rPr>
        <w:t> </w:t>
      </w:r>
      <w:r>
        <w:rPr>
          <w:color w:val="231F20"/>
          <w:w w:val="115"/>
        </w:rPr>
        <w:t>considère que la santé psychologique est un «</w:t>
      </w:r>
      <w:r>
        <w:rPr>
          <w:color w:val="231F20"/>
          <w:spacing w:val="-13"/>
          <w:w w:val="115"/>
        </w:rPr>
        <w:t> </w:t>
      </w:r>
      <w:r>
        <w:rPr>
          <w:color w:val="231F20"/>
          <w:w w:val="115"/>
        </w:rPr>
        <w:t>état de bien- </w:t>
      </w:r>
      <w:r>
        <w:rPr>
          <w:color w:val="231F20"/>
          <w:w w:val="120"/>
        </w:rPr>
        <w:t>être dans lequel une personne peut se réaliser, surmonter les tensions normales</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vie,</w:t>
      </w:r>
      <w:r>
        <w:rPr>
          <w:color w:val="231F20"/>
          <w:spacing w:val="-4"/>
          <w:w w:val="120"/>
        </w:rPr>
        <w:t> </w:t>
      </w:r>
      <w:r>
        <w:rPr>
          <w:color w:val="231F20"/>
          <w:w w:val="120"/>
        </w:rPr>
        <w:t>accomplir</w:t>
      </w:r>
      <w:r>
        <w:rPr>
          <w:color w:val="231F20"/>
          <w:spacing w:val="-4"/>
          <w:w w:val="120"/>
        </w:rPr>
        <w:t> </w:t>
      </w:r>
      <w:r>
        <w:rPr>
          <w:color w:val="231F20"/>
          <w:w w:val="120"/>
        </w:rPr>
        <w:t>un</w:t>
      </w:r>
      <w:r>
        <w:rPr>
          <w:color w:val="231F20"/>
          <w:spacing w:val="-4"/>
          <w:w w:val="120"/>
        </w:rPr>
        <w:t> </w:t>
      </w:r>
      <w:r>
        <w:rPr>
          <w:color w:val="231F20"/>
          <w:w w:val="120"/>
        </w:rPr>
        <w:t>travail</w:t>
      </w:r>
      <w:r>
        <w:rPr>
          <w:color w:val="231F20"/>
          <w:spacing w:val="-4"/>
          <w:w w:val="120"/>
        </w:rPr>
        <w:t> </w:t>
      </w:r>
      <w:r>
        <w:rPr>
          <w:color w:val="231F20"/>
          <w:w w:val="120"/>
        </w:rPr>
        <w:t>productif</w:t>
      </w:r>
      <w:r>
        <w:rPr>
          <w:color w:val="231F20"/>
          <w:spacing w:val="-4"/>
          <w:w w:val="120"/>
        </w:rPr>
        <w:t> </w:t>
      </w:r>
      <w:r>
        <w:rPr>
          <w:color w:val="231F20"/>
          <w:w w:val="120"/>
        </w:rPr>
        <w:t>et</w:t>
      </w:r>
      <w:r>
        <w:rPr>
          <w:color w:val="231F20"/>
          <w:spacing w:val="-4"/>
          <w:w w:val="120"/>
        </w:rPr>
        <w:t> </w:t>
      </w:r>
      <w:r>
        <w:rPr>
          <w:color w:val="231F20"/>
          <w:w w:val="120"/>
        </w:rPr>
        <w:t>contribuer</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vie de sa communauté». Transposer à l’environnement de travail, la santé </w:t>
      </w:r>
      <w:r>
        <w:rPr>
          <w:color w:val="231F20"/>
          <w:spacing w:val="-2"/>
          <w:w w:val="120"/>
        </w:rPr>
        <w:t>psychologique</w:t>
      </w:r>
      <w:r>
        <w:rPr>
          <w:color w:val="231F20"/>
          <w:spacing w:val="-8"/>
          <w:w w:val="120"/>
        </w:rPr>
        <w:t> </w:t>
      </w:r>
      <w:r>
        <w:rPr>
          <w:color w:val="231F20"/>
          <w:spacing w:val="-2"/>
          <w:w w:val="120"/>
        </w:rPr>
        <w:t>peut</w:t>
      </w:r>
      <w:r>
        <w:rPr>
          <w:color w:val="231F20"/>
          <w:spacing w:val="-8"/>
          <w:w w:val="120"/>
        </w:rPr>
        <w:t> </w:t>
      </w:r>
      <w:r>
        <w:rPr>
          <w:color w:val="231F20"/>
          <w:spacing w:val="-2"/>
          <w:w w:val="120"/>
        </w:rPr>
        <w:t>être</w:t>
      </w:r>
      <w:r>
        <w:rPr>
          <w:color w:val="231F20"/>
          <w:spacing w:val="-8"/>
          <w:w w:val="120"/>
        </w:rPr>
        <w:t> </w:t>
      </w:r>
      <w:r>
        <w:rPr>
          <w:color w:val="231F20"/>
          <w:spacing w:val="-2"/>
          <w:w w:val="120"/>
        </w:rPr>
        <w:t>associée</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capacité</w:t>
      </w:r>
      <w:r>
        <w:rPr>
          <w:color w:val="231F20"/>
          <w:spacing w:val="-8"/>
          <w:w w:val="120"/>
        </w:rPr>
        <w:t> </w:t>
      </w:r>
      <w:r>
        <w:rPr>
          <w:color w:val="231F20"/>
          <w:spacing w:val="-2"/>
          <w:w w:val="120"/>
        </w:rPr>
        <w:t>d’adaptation</w:t>
      </w:r>
      <w:r>
        <w:rPr>
          <w:color w:val="231F20"/>
          <w:spacing w:val="-8"/>
          <w:w w:val="120"/>
        </w:rPr>
        <w:t> </w:t>
      </w:r>
      <w:r>
        <w:rPr>
          <w:color w:val="231F20"/>
          <w:spacing w:val="-2"/>
          <w:w w:val="120"/>
        </w:rPr>
        <w:t>de</w:t>
      </w:r>
      <w:r>
        <w:rPr>
          <w:color w:val="231F20"/>
          <w:spacing w:val="-8"/>
          <w:w w:val="120"/>
        </w:rPr>
        <w:t> </w:t>
      </w:r>
      <w:r>
        <w:rPr>
          <w:color w:val="231F20"/>
          <w:spacing w:val="-2"/>
          <w:w w:val="120"/>
        </w:rPr>
        <w:t>l’individu </w:t>
      </w:r>
      <w:r>
        <w:rPr>
          <w:color w:val="231F20"/>
          <w:w w:val="115"/>
        </w:rPr>
        <w:t>à</w:t>
      </w:r>
      <w:r>
        <w:rPr>
          <w:color w:val="231F20"/>
          <w:spacing w:val="-2"/>
          <w:w w:val="115"/>
        </w:rPr>
        <w:t> </w:t>
      </w:r>
      <w:r>
        <w:rPr>
          <w:color w:val="231F20"/>
          <w:w w:val="115"/>
        </w:rPr>
        <w:t>son</w:t>
      </w:r>
      <w:r>
        <w:rPr>
          <w:color w:val="231F20"/>
          <w:spacing w:val="-2"/>
          <w:w w:val="115"/>
        </w:rPr>
        <w:t> </w:t>
      </w:r>
      <w:r>
        <w:rPr>
          <w:color w:val="231F20"/>
          <w:w w:val="115"/>
        </w:rPr>
        <w:t>travail</w:t>
      </w:r>
      <w:r>
        <w:rPr>
          <w:color w:val="231F20"/>
          <w:spacing w:val="-2"/>
          <w:w w:val="115"/>
        </w:rPr>
        <w:t> </w:t>
      </w:r>
      <w:r>
        <w:rPr>
          <w:color w:val="231F20"/>
          <w:w w:val="115"/>
        </w:rPr>
        <w:t>et</w:t>
      </w:r>
      <w:r>
        <w:rPr>
          <w:color w:val="231F20"/>
          <w:spacing w:val="-2"/>
          <w:w w:val="115"/>
        </w:rPr>
        <w:t> </w:t>
      </w:r>
      <w:r>
        <w:rPr>
          <w:color w:val="231F20"/>
          <w:w w:val="115"/>
        </w:rPr>
        <w:t>au</w:t>
      </w:r>
      <w:r>
        <w:rPr>
          <w:color w:val="231F20"/>
          <w:spacing w:val="-2"/>
          <w:w w:val="115"/>
        </w:rPr>
        <w:t> </w:t>
      </w:r>
      <w:r>
        <w:rPr>
          <w:color w:val="231F20"/>
          <w:w w:val="115"/>
        </w:rPr>
        <w:t>milieu</w:t>
      </w:r>
      <w:r>
        <w:rPr>
          <w:color w:val="231F20"/>
          <w:spacing w:val="-2"/>
          <w:w w:val="115"/>
        </w:rPr>
        <w:t> </w:t>
      </w:r>
      <w:r>
        <w:rPr>
          <w:color w:val="231F20"/>
          <w:w w:val="115"/>
        </w:rPr>
        <w:t>dans</w:t>
      </w:r>
      <w:r>
        <w:rPr>
          <w:color w:val="231F20"/>
          <w:spacing w:val="-2"/>
          <w:w w:val="115"/>
        </w:rPr>
        <w:t> </w:t>
      </w:r>
      <w:r>
        <w:rPr>
          <w:color w:val="231F20"/>
          <w:w w:val="115"/>
        </w:rPr>
        <w:t>lequel</w:t>
      </w:r>
      <w:r>
        <w:rPr>
          <w:color w:val="231F20"/>
          <w:spacing w:val="-2"/>
          <w:w w:val="115"/>
        </w:rPr>
        <w:t> </w:t>
      </w:r>
      <w:r>
        <w:rPr>
          <w:color w:val="231F20"/>
          <w:w w:val="115"/>
        </w:rPr>
        <w:t>celui-ci</w:t>
      </w:r>
      <w:r>
        <w:rPr>
          <w:color w:val="231F20"/>
          <w:spacing w:val="-2"/>
          <w:w w:val="115"/>
        </w:rPr>
        <w:t> </w:t>
      </w:r>
      <w:r>
        <w:rPr>
          <w:color w:val="231F20"/>
          <w:w w:val="115"/>
        </w:rPr>
        <w:t>est</w:t>
      </w:r>
      <w:r>
        <w:rPr>
          <w:color w:val="231F20"/>
          <w:spacing w:val="-2"/>
          <w:w w:val="115"/>
        </w:rPr>
        <w:t> </w:t>
      </w:r>
      <w:r>
        <w:rPr>
          <w:color w:val="231F20"/>
          <w:w w:val="115"/>
        </w:rPr>
        <w:t>réalisé.</w:t>
      </w:r>
      <w:r>
        <w:rPr>
          <w:color w:val="231F20"/>
          <w:spacing w:val="-2"/>
          <w:w w:val="115"/>
        </w:rPr>
        <w:t> </w:t>
      </w:r>
      <w:r>
        <w:rPr>
          <w:color w:val="231F20"/>
          <w:w w:val="115"/>
        </w:rPr>
        <w:t>Ainsi,</w:t>
      </w:r>
      <w:r>
        <w:rPr>
          <w:color w:val="231F20"/>
          <w:spacing w:val="-2"/>
          <w:w w:val="115"/>
        </w:rPr>
        <w:t> </w:t>
      </w:r>
      <w:r>
        <w:rPr>
          <w:color w:val="231F20"/>
          <w:w w:val="115"/>
        </w:rPr>
        <w:t>la</w:t>
      </w:r>
      <w:r>
        <w:rPr>
          <w:color w:val="231F20"/>
          <w:spacing w:val="-2"/>
          <w:w w:val="115"/>
        </w:rPr>
        <w:t> </w:t>
      </w:r>
      <w:r>
        <w:rPr>
          <w:color w:val="231F20"/>
          <w:w w:val="115"/>
        </w:rPr>
        <w:t>SPT</w:t>
      </w:r>
      <w:r>
        <w:rPr>
          <w:color w:val="231F20"/>
          <w:spacing w:val="-2"/>
          <w:w w:val="115"/>
        </w:rPr>
        <w:t> </w:t>
      </w:r>
      <w:r>
        <w:rPr>
          <w:color w:val="231F20"/>
          <w:w w:val="115"/>
        </w:rPr>
        <w:t>est </w:t>
      </w:r>
      <w:r>
        <w:rPr>
          <w:color w:val="231F20"/>
          <w:spacing w:val="-4"/>
          <w:w w:val="120"/>
        </w:rPr>
        <w:t>un concept intégrateur qui comprend tant des indicateurs liés au bien-être </w:t>
      </w:r>
      <w:r>
        <w:rPr>
          <w:color w:val="231F20"/>
          <w:w w:val="120"/>
        </w:rPr>
        <w:t>au travail que des indicateurs liés à la détresse. Parmi les indicateurs </w:t>
      </w:r>
      <w:r>
        <w:rPr>
          <w:color w:val="231F20"/>
          <w:spacing w:val="-4"/>
          <w:w w:val="120"/>
        </w:rPr>
        <w:t>d’une</w:t>
      </w:r>
      <w:r>
        <w:rPr>
          <w:color w:val="231F20"/>
          <w:spacing w:val="-5"/>
          <w:w w:val="120"/>
        </w:rPr>
        <w:t> </w:t>
      </w:r>
      <w:r>
        <w:rPr>
          <w:color w:val="231F20"/>
          <w:spacing w:val="-4"/>
          <w:w w:val="120"/>
        </w:rPr>
        <w:t>bonne</w:t>
      </w:r>
      <w:r>
        <w:rPr>
          <w:color w:val="231F20"/>
          <w:spacing w:val="-5"/>
          <w:w w:val="120"/>
        </w:rPr>
        <w:t> </w:t>
      </w:r>
      <w:r>
        <w:rPr>
          <w:color w:val="231F20"/>
          <w:spacing w:val="-4"/>
          <w:w w:val="120"/>
        </w:rPr>
        <w:t>santé</w:t>
      </w:r>
      <w:r>
        <w:rPr>
          <w:color w:val="231F20"/>
          <w:spacing w:val="-5"/>
          <w:w w:val="120"/>
        </w:rPr>
        <w:t> </w:t>
      </w:r>
      <w:r>
        <w:rPr>
          <w:color w:val="231F20"/>
          <w:spacing w:val="-4"/>
          <w:w w:val="120"/>
        </w:rPr>
        <w:t>psychologique</w:t>
      </w:r>
      <w:r>
        <w:rPr>
          <w:color w:val="231F20"/>
          <w:spacing w:val="-5"/>
          <w:w w:val="120"/>
        </w:rPr>
        <w:t> </w:t>
      </w:r>
      <w:r>
        <w:rPr>
          <w:color w:val="231F20"/>
          <w:spacing w:val="-4"/>
          <w:w w:val="120"/>
        </w:rPr>
        <w:t>d’un</w:t>
      </w:r>
      <w:r>
        <w:rPr>
          <w:color w:val="231F20"/>
          <w:spacing w:val="-5"/>
          <w:w w:val="120"/>
        </w:rPr>
        <w:t> </w:t>
      </w:r>
      <w:r>
        <w:rPr>
          <w:color w:val="231F20"/>
          <w:spacing w:val="-4"/>
          <w:w w:val="120"/>
        </w:rPr>
        <w:t>travailleur,</w:t>
      </w:r>
      <w:r>
        <w:rPr>
          <w:color w:val="231F20"/>
          <w:spacing w:val="-5"/>
          <w:w w:val="120"/>
        </w:rPr>
        <w:t> </w:t>
      </w:r>
      <w:r>
        <w:rPr>
          <w:color w:val="231F20"/>
          <w:spacing w:val="-4"/>
          <w:w w:val="120"/>
        </w:rPr>
        <w:t>on</w:t>
      </w:r>
      <w:r>
        <w:rPr>
          <w:color w:val="231F20"/>
          <w:spacing w:val="-5"/>
          <w:w w:val="120"/>
        </w:rPr>
        <w:t> </w:t>
      </w:r>
      <w:r>
        <w:rPr>
          <w:color w:val="231F20"/>
          <w:spacing w:val="-4"/>
          <w:w w:val="120"/>
        </w:rPr>
        <w:t>retrouve</w:t>
      </w:r>
      <w:r>
        <w:rPr>
          <w:color w:val="231F20"/>
          <w:spacing w:val="-5"/>
          <w:w w:val="120"/>
        </w:rPr>
        <w:t> </w:t>
      </w:r>
      <w:r>
        <w:rPr>
          <w:color w:val="231F20"/>
          <w:spacing w:val="-4"/>
          <w:w w:val="120"/>
        </w:rPr>
        <w:t>son</w:t>
      </w:r>
      <w:r>
        <w:rPr>
          <w:color w:val="231F20"/>
          <w:spacing w:val="-5"/>
          <w:w w:val="120"/>
        </w:rPr>
        <w:t> </w:t>
      </w:r>
      <w:r>
        <w:rPr>
          <w:color w:val="231F20"/>
          <w:spacing w:val="-4"/>
          <w:w w:val="120"/>
        </w:rPr>
        <w:t>niveau </w:t>
      </w:r>
      <w:r>
        <w:rPr>
          <w:color w:val="231F20"/>
          <w:spacing w:val="-2"/>
          <w:w w:val="120"/>
        </w:rPr>
        <w:t>de</w:t>
      </w:r>
      <w:r>
        <w:rPr>
          <w:color w:val="231F20"/>
          <w:spacing w:val="-10"/>
          <w:w w:val="120"/>
        </w:rPr>
        <w:t> </w:t>
      </w:r>
      <w:r>
        <w:rPr>
          <w:color w:val="231F20"/>
          <w:spacing w:val="-2"/>
          <w:w w:val="120"/>
        </w:rPr>
        <w:t>motivation</w:t>
      </w:r>
      <w:r>
        <w:rPr>
          <w:color w:val="231F20"/>
          <w:spacing w:val="-10"/>
          <w:w w:val="120"/>
        </w:rPr>
        <w:t> </w:t>
      </w:r>
      <w:r>
        <w:rPr>
          <w:color w:val="231F20"/>
          <w:spacing w:val="-2"/>
          <w:w w:val="120"/>
        </w:rPr>
        <w:t>au</w:t>
      </w:r>
      <w:r>
        <w:rPr>
          <w:color w:val="231F20"/>
          <w:spacing w:val="-10"/>
          <w:w w:val="120"/>
        </w:rPr>
        <w:t> </w:t>
      </w:r>
      <w:r>
        <w:rPr>
          <w:color w:val="231F20"/>
          <w:spacing w:val="-2"/>
          <w:w w:val="120"/>
        </w:rPr>
        <w:t>travail,</w:t>
      </w:r>
      <w:r>
        <w:rPr>
          <w:color w:val="231F20"/>
          <w:spacing w:val="-10"/>
          <w:w w:val="120"/>
        </w:rPr>
        <w:t> </w:t>
      </w:r>
      <w:r>
        <w:rPr>
          <w:color w:val="231F20"/>
          <w:spacing w:val="-2"/>
          <w:w w:val="120"/>
        </w:rPr>
        <w:t>son</w:t>
      </w:r>
      <w:r>
        <w:rPr>
          <w:color w:val="231F20"/>
          <w:spacing w:val="-10"/>
          <w:w w:val="120"/>
        </w:rPr>
        <w:t> </w:t>
      </w:r>
      <w:r>
        <w:rPr>
          <w:color w:val="231F20"/>
          <w:spacing w:val="-2"/>
          <w:w w:val="120"/>
        </w:rPr>
        <w:t>engagement</w:t>
      </w:r>
      <w:r>
        <w:rPr>
          <w:color w:val="231F20"/>
          <w:spacing w:val="-10"/>
          <w:w w:val="120"/>
        </w:rPr>
        <w:t> </w:t>
      </w:r>
      <w:r>
        <w:rPr>
          <w:color w:val="231F20"/>
          <w:spacing w:val="-2"/>
          <w:w w:val="120"/>
        </w:rPr>
        <w:t>organisationnel,</w:t>
      </w:r>
      <w:r>
        <w:rPr>
          <w:color w:val="231F20"/>
          <w:spacing w:val="-10"/>
          <w:w w:val="120"/>
        </w:rPr>
        <w:t> </w:t>
      </w:r>
      <w:r>
        <w:rPr>
          <w:color w:val="231F20"/>
          <w:spacing w:val="-2"/>
          <w:w w:val="120"/>
        </w:rPr>
        <w:t>sa</w:t>
      </w:r>
      <w:r>
        <w:rPr>
          <w:color w:val="231F20"/>
          <w:spacing w:val="-10"/>
          <w:w w:val="120"/>
        </w:rPr>
        <w:t> </w:t>
      </w:r>
      <w:r>
        <w:rPr>
          <w:color w:val="231F20"/>
          <w:spacing w:val="-2"/>
          <w:w w:val="120"/>
        </w:rPr>
        <w:t>satisfaction </w:t>
      </w:r>
      <w:r>
        <w:rPr>
          <w:color w:val="231F20"/>
          <w:w w:val="120"/>
        </w:rPr>
        <w:t>au</w:t>
      </w:r>
      <w:r>
        <w:rPr>
          <w:color w:val="231F20"/>
          <w:spacing w:val="-10"/>
          <w:w w:val="120"/>
        </w:rPr>
        <w:t> </w:t>
      </w:r>
      <w:r>
        <w:rPr>
          <w:color w:val="231F20"/>
          <w:w w:val="120"/>
        </w:rPr>
        <w:t>travail,</w:t>
      </w:r>
      <w:r>
        <w:rPr>
          <w:color w:val="231F20"/>
          <w:spacing w:val="-10"/>
          <w:w w:val="120"/>
        </w:rPr>
        <w:t> </w:t>
      </w:r>
      <w:r>
        <w:rPr>
          <w:color w:val="231F20"/>
          <w:w w:val="120"/>
        </w:rPr>
        <w:t>son</w:t>
      </w:r>
      <w:r>
        <w:rPr>
          <w:color w:val="231F20"/>
          <w:spacing w:val="-10"/>
          <w:w w:val="120"/>
        </w:rPr>
        <w:t> </w:t>
      </w:r>
      <w:r>
        <w:rPr>
          <w:color w:val="231F20"/>
          <w:w w:val="120"/>
        </w:rPr>
        <w:t>estime</w:t>
      </w:r>
      <w:r>
        <w:rPr>
          <w:color w:val="231F20"/>
          <w:spacing w:val="-10"/>
          <w:w w:val="120"/>
        </w:rPr>
        <w:t> </w:t>
      </w:r>
      <w:r>
        <w:rPr>
          <w:color w:val="231F20"/>
          <w:w w:val="120"/>
        </w:rPr>
        <w:t>de</w:t>
      </w:r>
      <w:r>
        <w:rPr>
          <w:color w:val="231F20"/>
          <w:spacing w:val="-10"/>
          <w:w w:val="120"/>
        </w:rPr>
        <w:t> </w:t>
      </w:r>
      <w:r>
        <w:rPr>
          <w:color w:val="231F20"/>
          <w:w w:val="120"/>
        </w:rPr>
        <w:t>soi</w:t>
      </w:r>
      <w:r>
        <w:rPr>
          <w:color w:val="231F20"/>
          <w:spacing w:val="-10"/>
          <w:w w:val="120"/>
        </w:rPr>
        <w:t> </w:t>
      </w:r>
      <w:r>
        <w:rPr>
          <w:color w:val="231F20"/>
          <w:w w:val="120"/>
        </w:rPr>
        <w:t>professionnelle</w:t>
      </w:r>
      <w:r>
        <w:rPr>
          <w:color w:val="231F20"/>
          <w:spacing w:val="-10"/>
          <w:w w:val="120"/>
        </w:rPr>
        <w:t> </w:t>
      </w:r>
      <w:r>
        <w:rPr>
          <w:color w:val="231F20"/>
          <w:w w:val="120"/>
        </w:rPr>
        <w:t>et</w:t>
      </w:r>
      <w:r>
        <w:rPr>
          <w:color w:val="231F20"/>
          <w:spacing w:val="-10"/>
          <w:w w:val="120"/>
        </w:rPr>
        <w:t> </w:t>
      </w:r>
      <w:r>
        <w:rPr>
          <w:color w:val="231F20"/>
          <w:w w:val="120"/>
        </w:rPr>
        <w:t>sa</w:t>
      </w:r>
      <w:r>
        <w:rPr>
          <w:color w:val="231F20"/>
          <w:spacing w:val="-10"/>
          <w:w w:val="120"/>
        </w:rPr>
        <w:t> </w:t>
      </w:r>
      <w:r>
        <w:rPr>
          <w:color w:val="231F20"/>
          <w:w w:val="120"/>
        </w:rPr>
        <w:t>loyauté</w:t>
      </w:r>
      <w:r>
        <w:rPr>
          <w:color w:val="231F20"/>
          <w:spacing w:val="-10"/>
          <w:w w:val="120"/>
        </w:rPr>
        <w:t> </w:t>
      </w:r>
      <w:r>
        <w:rPr>
          <w:color w:val="231F20"/>
          <w:w w:val="120"/>
        </w:rPr>
        <w:t>envers</w:t>
      </w:r>
      <w:r>
        <w:rPr>
          <w:color w:val="231F20"/>
          <w:spacing w:val="-10"/>
          <w:w w:val="120"/>
        </w:rPr>
        <w:t> </w:t>
      </w:r>
      <w:r>
        <w:rPr>
          <w:color w:val="231F20"/>
          <w:w w:val="120"/>
        </w:rPr>
        <w:t>l’orga- nisation, dont son intention de demeurer membre de l’organisation. </w:t>
      </w:r>
      <w:r>
        <w:rPr>
          <w:color w:val="231F20"/>
          <w:w w:val="115"/>
        </w:rPr>
        <w:t>D’ailleurs,</w:t>
      </w:r>
      <w:r>
        <w:rPr>
          <w:color w:val="231F20"/>
          <w:spacing w:val="-13"/>
          <w:w w:val="115"/>
        </w:rPr>
        <w:t> </w:t>
      </w:r>
      <w:r>
        <w:rPr>
          <w:color w:val="231F20"/>
          <w:w w:val="115"/>
        </w:rPr>
        <w:t>des</w:t>
      </w:r>
      <w:r>
        <w:rPr>
          <w:color w:val="231F20"/>
          <w:spacing w:val="-12"/>
          <w:w w:val="115"/>
        </w:rPr>
        <w:t> </w:t>
      </w:r>
      <w:r>
        <w:rPr>
          <w:color w:val="231F20"/>
          <w:w w:val="115"/>
        </w:rPr>
        <w:t>niveaux</w:t>
      </w:r>
      <w:r>
        <w:rPr>
          <w:color w:val="231F20"/>
          <w:spacing w:val="-12"/>
          <w:w w:val="115"/>
        </w:rPr>
        <w:t> </w:t>
      </w:r>
      <w:r>
        <w:rPr>
          <w:color w:val="231F20"/>
          <w:w w:val="115"/>
        </w:rPr>
        <w:t>faibles</w:t>
      </w:r>
      <w:r>
        <w:rPr>
          <w:color w:val="231F20"/>
          <w:spacing w:val="-12"/>
          <w:w w:val="115"/>
        </w:rPr>
        <w:t> </w:t>
      </w:r>
      <w:r>
        <w:rPr>
          <w:color w:val="231F20"/>
          <w:w w:val="115"/>
        </w:rPr>
        <w:t>de</w:t>
      </w:r>
      <w:r>
        <w:rPr>
          <w:color w:val="231F20"/>
          <w:spacing w:val="-13"/>
          <w:w w:val="115"/>
        </w:rPr>
        <w:t> </w:t>
      </w:r>
      <w:r>
        <w:rPr>
          <w:color w:val="231F20"/>
          <w:w w:val="115"/>
        </w:rPr>
        <w:t>santé</w:t>
      </w:r>
      <w:r>
        <w:rPr>
          <w:color w:val="231F20"/>
          <w:spacing w:val="-12"/>
          <w:w w:val="115"/>
        </w:rPr>
        <w:t> </w:t>
      </w:r>
      <w:r>
        <w:rPr>
          <w:color w:val="231F20"/>
          <w:w w:val="115"/>
        </w:rPr>
        <w:t>psychologique</w:t>
      </w:r>
      <w:r>
        <w:rPr>
          <w:color w:val="231F20"/>
          <w:spacing w:val="-12"/>
          <w:w w:val="115"/>
        </w:rPr>
        <w:t> </w:t>
      </w:r>
      <w:r>
        <w:rPr>
          <w:color w:val="231F20"/>
          <w:w w:val="115"/>
        </w:rPr>
        <w:t>chez</w:t>
      </w:r>
      <w:r>
        <w:rPr>
          <w:color w:val="231F20"/>
          <w:spacing w:val="-12"/>
          <w:w w:val="115"/>
        </w:rPr>
        <w:t> </w:t>
      </w:r>
      <w:r>
        <w:rPr>
          <w:color w:val="231F20"/>
          <w:w w:val="115"/>
        </w:rPr>
        <w:t>les</w:t>
      </w:r>
      <w:r>
        <w:rPr>
          <w:color w:val="231F20"/>
          <w:spacing w:val="-12"/>
          <w:w w:val="115"/>
        </w:rPr>
        <w:t> </w:t>
      </w:r>
      <w:r>
        <w:rPr>
          <w:color w:val="231F20"/>
          <w:w w:val="115"/>
        </w:rPr>
        <w:t>travailleurs </w:t>
      </w:r>
      <w:r>
        <w:rPr>
          <w:color w:val="231F20"/>
          <w:w w:val="120"/>
        </w:rPr>
        <w:t>sont une préoccupation croissante dans de nombreux pays6.</w:t>
      </w:r>
    </w:p>
    <w:p>
      <w:pPr>
        <w:pStyle w:val="BodyText"/>
        <w:spacing w:line="307" w:lineRule="auto" w:before="77"/>
        <w:ind w:left="1180" w:right="246" w:firstLine="250"/>
        <w:jc w:val="both"/>
      </w:pPr>
      <w:r>
        <w:rPr>
          <w:color w:val="231F20"/>
          <w:w w:val="115"/>
        </w:rPr>
        <w:t>Peu</w:t>
      </w:r>
      <w:r>
        <w:rPr>
          <w:color w:val="231F20"/>
          <w:spacing w:val="-8"/>
          <w:w w:val="115"/>
        </w:rPr>
        <w:t> </w:t>
      </w:r>
      <w:r>
        <w:rPr>
          <w:color w:val="231F20"/>
          <w:w w:val="115"/>
        </w:rPr>
        <w:t>importe</w:t>
      </w:r>
      <w:r>
        <w:rPr>
          <w:color w:val="231F20"/>
          <w:spacing w:val="-8"/>
          <w:w w:val="115"/>
        </w:rPr>
        <w:t> </w:t>
      </w:r>
      <w:r>
        <w:rPr>
          <w:color w:val="231F20"/>
          <w:w w:val="115"/>
        </w:rPr>
        <w:t>sa</w:t>
      </w:r>
      <w:r>
        <w:rPr>
          <w:color w:val="231F20"/>
          <w:spacing w:val="-8"/>
          <w:w w:val="115"/>
        </w:rPr>
        <w:t> </w:t>
      </w:r>
      <w:r>
        <w:rPr>
          <w:color w:val="231F20"/>
          <w:w w:val="115"/>
        </w:rPr>
        <w:t>nature,</w:t>
      </w:r>
      <w:r>
        <w:rPr>
          <w:color w:val="231F20"/>
          <w:spacing w:val="-8"/>
          <w:w w:val="115"/>
        </w:rPr>
        <w:t> </w:t>
      </w:r>
      <w:r>
        <w:rPr>
          <w:color w:val="231F20"/>
          <w:w w:val="115"/>
        </w:rPr>
        <w:t>ou</w:t>
      </w:r>
      <w:r>
        <w:rPr>
          <w:color w:val="231F20"/>
          <w:spacing w:val="-8"/>
          <w:w w:val="115"/>
        </w:rPr>
        <w:t> </w:t>
      </w:r>
      <w:r>
        <w:rPr>
          <w:color w:val="231F20"/>
          <w:w w:val="115"/>
        </w:rPr>
        <w:t>encore</w:t>
      </w:r>
      <w:r>
        <w:rPr>
          <w:color w:val="231F20"/>
          <w:spacing w:val="-8"/>
          <w:w w:val="115"/>
        </w:rPr>
        <w:t> </w:t>
      </w:r>
      <w:r>
        <w:rPr>
          <w:color w:val="231F20"/>
          <w:w w:val="115"/>
        </w:rPr>
        <w:t>le</w:t>
      </w:r>
      <w:r>
        <w:rPr>
          <w:color w:val="231F20"/>
          <w:spacing w:val="-8"/>
          <w:w w:val="115"/>
        </w:rPr>
        <w:t> </w:t>
      </w:r>
      <w:r>
        <w:rPr>
          <w:color w:val="231F20"/>
          <w:w w:val="115"/>
        </w:rPr>
        <w:t>nom</w:t>
      </w:r>
      <w:r>
        <w:rPr>
          <w:color w:val="231F20"/>
          <w:spacing w:val="-8"/>
          <w:w w:val="115"/>
        </w:rPr>
        <w:t> </w:t>
      </w:r>
      <w:r>
        <w:rPr>
          <w:color w:val="231F20"/>
          <w:w w:val="115"/>
        </w:rPr>
        <w:t>qu’on</w:t>
      </w:r>
      <w:r>
        <w:rPr>
          <w:color w:val="231F20"/>
          <w:spacing w:val="-8"/>
          <w:w w:val="115"/>
        </w:rPr>
        <w:t> </w:t>
      </w:r>
      <w:r>
        <w:rPr>
          <w:color w:val="231F20"/>
          <w:w w:val="115"/>
        </w:rPr>
        <w:t>lui</w:t>
      </w:r>
      <w:r>
        <w:rPr>
          <w:color w:val="231F20"/>
          <w:spacing w:val="-8"/>
          <w:w w:val="115"/>
        </w:rPr>
        <w:t> </w:t>
      </w:r>
      <w:r>
        <w:rPr>
          <w:color w:val="231F20"/>
          <w:w w:val="115"/>
        </w:rPr>
        <w:t>accole,</w:t>
      </w:r>
      <w:r>
        <w:rPr>
          <w:color w:val="231F20"/>
          <w:spacing w:val="-8"/>
          <w:w w:val="115"/>
        </w:rPr>
        <w:t> </w:t>
      </w:r>
      <w:r>
        <w:rPr>
          <w:color w:val="231F20"/>
          <w:w w:val="115"/>
        </w:rPr>
        <w:t>productivité, performance,</w:t>
      </w:r>
      <w:r>
        <w:rPr>
          <w:color w:val="231F20"/>
          <w:spacing w:val="-7"/>
          <w:w w:val="115"/>
        </w:rPr>
        <w:t> </w:t>
      </w:r>
      <w:r>
        <w:rPr>
          <w:color w:val="231F20"/>
          <w:w w:val="115"/>
        </w:rPr>
        <w:t>rendement,</w:t>
      </w:r>
      <w:r>
        <w:rPr>
          <w:color w:val="231F20"/>
          <w:spacing w:val="-7"/>
          <w:w w:val="115"/>
        </w:rPr>
        <w:t> </w:t>
      </w:r>
      <w:r>
        <w:rPr>
          <w:color w:val="231F20"/>
          <w:w w:val="115"/>
        </w:rPr>
        <w:t>efficacité</w:t>
      </w:r>
      <w:r>
        <w:rPr>
          <w:color w:val="231F20"/>
          <w:spacing w:val="-7"/>
          <w:w w:val="115"/>
        </w:rPr>
        <w:t> </w:t>
      </w:r>
      <w:r>
        <w:rPr>
          <w:color w:val="231F20"/>
          <w:w w:val="115"/>
        </w:rPr>
        <w:t>ou</w:t>
      </w:r>
      <w:r>
        <w:rPr>
          <w:color w:val="231F20"/>
          <w:spacing w:val="-7"/>
          <w:w w:val="115"/>
        </w:rPr>
        <w:t> </w:t>
      </w:r>
      <w:r>
        <w:rPr>
          <w:color w:val="231F20"/>
          <w:w w:val="115"/>
        </w:rPr>
        <w:t>efficience,</w:t>
      </w:r>
      <w:r>
        <w:rPr>
          <w:color w:val="231F20"/>
          <w:spacing w:val="-7"/>
          <w:w w:val="115"/>
        </w:rPr>
        <w:t> </w:t>
      </w:r>
      <w:r>
        <w:rPr>
          <w:color w:val="231F20"/>
          <w:w w:val="115"/>
        </w:rPr>
        <w:t>les</w:t>
      </w:r>
      <w:r>
        <w:rPr>
          <w:color w:val="231F20"/>
          <w:spacing w:val="-7"/>
          <w:w w:val="115"/>
        </w:rPr>
        <w:t> </w:t>
      </w:r>
      <w:r>
        <w:rPr>
          <w:color w:val="231F20"/>
          <w:w w:val="115"/>
        </w:rPr>
        <w:t>extrants</w:t>
      </w:r>
      <w:r>
        <w:rPr>
          <w:color w:val="231F20"/>
          <w:spacing w:val="-7"/>
          <w:w w:val="115"/>
        </w:rPr>
        <w:t> </w:t>
      </w:r>
      <w:r>
        <w:rPr>
          <w:color w:val="231F20"/>
          <w:w w:val="115"/>
        </w:rPr>
        <w:t>seront</w:t>
      </w:r>
      <w:r>
        <w:rPr>
          <w:color w:val="231F20"/>
          <w:spacing w:val="-7"/>
          <w:w w:val="115"/>
        </w:rPr>
        <w:t> </w:t>
      </w:r>
      <w:r>
        <w:rPr>
          <w:color w:val="231F20"/>
          <w:w w:val="115"/>
        </w:rPr>
        <w:t>meil- </w:t>
      </w:r>
      <w:r>
        <w:rPr>
          <w:color w:val="231F20"/>
          <w:spacing w:val="-2"/>
          <w:w w:val="120"/>
        </w:rPr>
        <w:t>leurs</w:t>
      </w:r>
      <w:r>
        <w:rPr>
          <w:color w:val="231F20"/>
          <w:spacing w:val="-8"/>
          <w:w w:val="120"/>
        </w:rPr>
        <w:t> </w:t>
      </w:r>
      <w:r>
        <w:rPr>
          <w:color w:val="231F20"/>
          <w:spacing w:val="-2"/>
          <w:w w:val="120"/>
        </w:rPr>
        <w:t>lorsque</w:t>
      </w:r>
      <w:r>
        <w:rPr>
          <w:color w:val="231F20"/>
          <w:spacing w:val="-8"/>
          <w:w w:val="120"/>
        </w:rPr>
        <w:t> </w:t>
      </w:r>
      <w:r>
        <w:rPr>
          <w:color w:val="231F20"/>
          <w:spacing w:val="-2"/>
          <w:w w:val="120"/>
        </w:rPr>
        <w:t>l’employé</w:t>
      </w:r>
      <w:r>
        <w:rPr>
          <w:color w:val="231F20"/>
          <w:spacing w:val="-8"/>
          <w:w w:val="120"/>
        </w:rPr>
        <w:t> </w:t>
      </w:r>
      <w:r>
        <w:rPr>
          <w:color w:val="231F20"/>
          <w:spacing w:val="-2"/>
          <w:w w:val="120"/>
        </w:rPr>
        <w:t>pourra</w:t>
      </w:r>
      <w:r>
        <w:rPr>
          <w:color w:val="231F20"/>
          <w:spacing w:val="-8"/>
          <w:w w:val="120"/>
        </w:rPr>
        <w:t> </w:t>
      </w:r>
      <w:r>
        <w:rPr>
          <w:color w:val="231F20"/>
          <w:spacing w:val="-2"/>
          <w:w w:val="120"/>
        </w:rPr>
        <w:t>travailler</w:t>
      </w:r>
      <w:r>
        <w:rPr>
          <w:color w:val="231F20"/>
          <w:spacing w:val="-8"/>
          <w:w w:val="120"/>
        </w:rPr>
        <w:t> </w:t>
      </w:r>
      <w:r>
        <w:rPr>
          <w:color w:val="231F20"/>
          <w:spacing w:val="-2"/>
          <w:w w:val="120"/>
        </w:rPr>
        <w:t>dans</w:t>
      </w:r>
      <w:r>
        <w:rPr>
          <w:color w:val="231F20"/>
          <w:spacing w:val="-8"/>
          <w:w w:val="120"/>
        </w:rPr>
        <w:t> </w:t>
      </w:r>
      <w:r>
        <w:rPr>
          <w:color w:val="231F20"/>
          <w:spacing w:val="-2"/>
          <w:w w:val="120"/>
        </w:rPr>
        <w:t>un</w:t>
      </w:r>
      <w:r>
        <w:rPr>
          <w:color w:val="231F20"/>
          <w:spacing w:val="-8"/>
          <w:w w:val="120"/>
        </w:rPr>
        <w:t> </w:t>
      </w:r>
      <w:r>
        <w:rPr>
          <w:color w:val="231F20"/>
          <w:spacing w:val="-2"/>
          <w:w w:val="120"/>
        </w:rPr>
        <w:t>environnement</w:t>
      </w:r>
      <w:r>
        <w:rPr>
          <w:color w:val="231F20"/>
          <w:spacing w:val="-8"/>
          <w:w w:val="120"/>
        </w:rPr>
        <w:t> </w:t>
      </w:r>
      <w:r>
        <w:rPr>
          <w:color w:val="231F20"/>
          <w:spacing w:val="-2"/>
          <w:w w:val="120"/>
        </w:rPr>
        <w:t>de</w:t>
      </w:r>
      <w:r>
        <w:rPr>
          <w:color w:val="231F20"/>
          <w:spacing w:val="-8"/>
          <w:w w:val="120"/>
        </w:rPr>
        <w:t> </w:t>
      </w:r>
      <w:r>
        <w:rPr>
          <w:color w:val="231F20"/>
          <w:spacing w:val="-2"/>
          <w:w w:val="120"/>
        </w:rPr>
        <w:t>qua- lité.</w:t>
      </w:r>
      <w:r>
        <w:rPr>
          <w:color w:val="231F20"/>
          <w:spacing w:val="-8"/>
          <w:w w:val="120"/>
        </w:rPr>
        <w:t> </w:t>
      </w:r>
      <w:r>
        <w:rPr>
          <w:color w:val="231F20"/>
          <w:spacing w:val="-2"/>
          <w:w w:val="120"/>
        </w:rPr>
        <w:t>Le</w:t>
      </w:r>
      <w:r>
        <w:rPr>
          <w:color w:val="231F20"/>
          <w:spacing w:val="-8"/>
          <w:w w:val="120"/>
        </w:rPr>
        <w:t> </w:t>
      </w:r>
      <w:r>
        <w:rPr>
          <w:color w:val="231F20"/>
          <w:spacing w:val="-2"/>
          <w:w w:val="120"/>
        </w:rPr>
        <w:t>travailleur</w:t>
      </w:r>
      <w:r>
        <w:rPr>
          <w:color w:val="231F20"/>
          <w:spacing w:val="-8"/>
          <w:w w:val="120"/>
        </w:rPr>
        <w:t> </w:t>
      </w:r>
      <w:r>
        <w:rPr>
          <w:color w:val="231F20"/>
          <w:spacing w:val="-2"/>
          <w:w w:val="120"/>
        </w:rPr>
        <w:t>offrira</w:t>
      </w:r>
      <w:r>
        <w:rPr>
          <w:color w:val="231F20"/>
          <w:spacing w:val="-8"/>
          <w:w w:val="120"/>
        </w:rPr>
        <w:t> </w:t>
      </w:r>
      <w:r>
        <w:rPr>
          <w:color w:val="231F20"/>
          <w:spacing w:val="-2"/>
          <w:w w:val="120"/>
        </w:rPr>
        <w:t>généralement</w:t>
      </w:r>
      <w:r>
        <w:rPr>
          <w:color w:val="231F20"/>
          <w:spacing w:val="-8"/>
          <w:w w:val="120"/>
        </w:rPr>
        <w:t> </w:t>
      </w:r>
      <w:r>
        <w:rPr>
          <w:color w:val="231F20"/>
          <w:spacing w:val="-2"/>
          <w:w w:val="120"/>
        </w:rPr>
        <w:t>des</w:t>
      </w:r>
      <w:r>
        <w:rPr>
          <w:color w:val="231F20"/>
          <w:spacing w:val="-8"/>
          <w:w w:val="120"/>
        </w:rPr>
        <w:t> </w:t>
      </w:r>
      <w:r>
        <w:rPr>
          <w:color w:val="231F20"/>
          <w:spacing w:val="-2"/>
          <w:w w:val="120"/>
        </w:rPr>
        <w:t>efforts</w:t>
      </w:r>
      <w:r>
        <w:rPr>
          <w:color w:val="231F20"/>
          <w:spacing w:val="-8"/>
          <w:w w:val="120"/>
        </w:rPr>
        <w:t> </w:t>
      </w:r>
      <w:r>
        <w:rPr>
          <w:color w:val="231F20"/>
          <w:spacing w:val="-2"/>
          <w:w w:val="120"/>
        </w:rPr>
        <w:t>supérieurs</w:t>
      </w:r>
      <w:r>
        <w:rPr>
          <w:color w:val="231F20"/>
          <w:spacing w:val="-8"/>
          <w:w w:val="120"/>
        </w:rPr>
        <w:t> </w:t>
      </w:r>
      <w:r>
        <w:rPr>
          <w:color w:val="231F20"/>
          <w:spacing w:val="-2"/>
          <w:w w:val="120"/>
        </w:rPr>
        <w:t>lorsque</w:t>
      </w:r>
      <w:r>
        <w:rPr>
          <w:color w:val="231F20"/>
          <w:spacing w:val="-8"/>
          <w:w w:val="120"/>
        </w:rPr>
        <w:t> </w:t>
      </w:r>
      <w:r>
        <w:rPr>
          <w:color w:val="231F20"/>
          <w:spacing w:val="-2"/>
          <w:w w:val="120"/>
        </w:rPr>
        <w:t>les </w:t>
      </w:r>
      <w:r>
        <w:rPr>
          <w:color w:val="231F20"/>
          <w:w w:val="120"/>
        </w:rPr>
        <w:t>paramètres</w:t>
      </w:r>
      <w:r>
        <w:rPr>
          <w:color w:val="231F20"/>
          <w:spacing w:val="-2"/>
          <w:w w:val="120"/>
        </w:rPr>
        <w:t> </w:t>
      </w:r>
      <w:r>
        <w:rPr>
          <w:color w:val="231F20"/>
          <w:w w:val="120"/>
        </w:rPr>
        <w:t>de</w:t>
      </w:r>
      <w:r>
        <w:rPr>
          <w:color w:val="231F20"/>
          <w:spacing w:val="-2"/>
          <w:w w:val="120"/>
        </w:rPr>
        <w:t> </w:t>
      </w:r>
      <w:r>
        <w:rPr>
          <w:color w:val="231F20"/>
          <w:w w:val="120"/>
        </w:rPr>
        <w:t>son</w:t>
      </w:r>
      <w:r>
        <w:rPr>
          <w:color w:val="231F20"/>
          <w:spacing w:val="-1"/>
          <w:w w:val="120"/>
        </w:rPr>
        <w:t> </w:t>
      </w:r>
      <w:r>
        <w:rPr>
          <w:color w:val="231F20"/>
          <w:w w:val="120"/>
        </w:rPr>
        <w:t>environnement</w:t>
      </w:r>
      <w:r>
        <w:rPr>
          <w:color w:val="231F20"/>
          <w:spacing w:val="-2"/>
          <w:w w:val="120"/>
        </w:rPr>
        <w:t> </w:t>
      </w:r>
      <w:r>
        <w:rPr>
          <w:color w:val="231F20"/>
          <w:w w:val="120"/>
        </w:rPr>
        <w:t>de</w:t>
      </w:r>
      <w:r>
        <w:rPr>
          <w:color w:val="231F20"/>
          <w:spacing w:val="-1"/>
          <w:w w:val="120"/>
        </w:rPr>
        <w:t> </w:t>
      </w:r>
      <w:r>
        <w:rPr>
          <w:color w:val="231F20"/>
          <w:w w:val="120"/>
        </w:rPr>
        <w:t>travail</w:t>
      </w:r>
      <w:r>
        <w:rPr>
          <w:color w:val="231F20"/>
          <w:spacing w:val="-2"/>
          <w:w w:val="120"/>
        </w:rPr>
        <w:t> </w:t>
      </w:r>
      <w:r>
        <w:rPr>
          <w:color w:val="231F20"/>
          <w:w w:val="120"/>
        </w:rPr>
        <w:t>répondent</w:t>
      </w:r>
      <w:r>
        <w:rPr>
          <w:color w:val="231F20"/>
          <w:spacing w:val="-1"/>
          <w:w w:val="120"/>
        </w:rPr>
        <w:t> </w:t>
      </w:r>
      <w:r>
        <w:rPr>
          <w:color w:val="231F20"/>
          <w:w w:val="120"/>
        </w:rPr>
        <w:t>à</w:t>
      </w:r>
      <w:r>
        <w:rPr>
          <w:color w:val="231F20"/>
          <w:spacing w:val="-2"/>
          <w:w w:val="120"/>
        </w:rPr>
        <w:t> </w:t>
      </w:r>
      <w:r>
        <w:rPr>
          <w:color w:val="231F20"/>
          <w:w w:val="120"/>
        </w:rPr>
        <w:t>ses</w:t>
      </w:r>
      <w:r>
        <w:rPr>
          <w:color w:val="231F20"/>
          <w:spacing w:val="-1"/>
          <w:w w:val="120"/>
        </w:rPr>
        <w:t> </w:t>
      </w:r>
      <w:r>
        <w:rPr>
          <w:color w:val="231F20"/>
          <w:w w:val="120"/>
        </w:rPr>
        <w:t>besoins,</w:t>
      </w:r>
      <w:r>
        <w:rPr>
          <w:color w:val="231F20"/>
          <w:spacing w:val="-2"/>
          <w:w w:val="120"/>
        </w:rPr>
        <w:t> </w:t>
      </w:r>
      <w:r>
        <w:rPr>
          <w:color w:val="231F20"/>
          <w:spacing w:val="-10"/>
          <w:w w:val="120"/>
        </w:rPr>
        <w:t>à</w:t>
      </w:r>
    </w:p>
    <w:p>
      <w:pPr>
        <w:pStyle w:val="BodyText"/>
        <w:spacing w:before="6"/>
        <w:rPr>
          <w:sz w:val="24"/>
        </w:rPr>
      </w:pPr>
      <w:r>
        <w:rPr/>
        <w:pict>
          <v:shape style="position:absolute;margin-left:82pt;margin-top:15.335205pt;width:287.5pt;height:.1pt;mso-position-horizontal-relative:page;mso-position-vertical-relative:paragraph;z-index:-15718400;mso-wrap-distance-left:0;mso-wrap-distance-right:0" id="docshape49" coordorigin="1640,307" coordsize="5750,0" path="m1640,307l7390,307e" filled="false" stroked="true" strokeweight=".25pt" strokecolor="#231f20">
            <v:path arrowok="t"/>
            <v:stroke dashstyle="shortdot"/>
            <w10:wrap type="topAndBottom"/>
          </v:shape>
        </w:pict>
      </w:r>
    </w:p>
    <w:p>
      <w:pPr>
        <w:pStyle w:val="ListParagraph"/>
        <w:numPr>
          <w:ilvl w:val="0"/>
          <w:numId w:val="12"/>
        </w:numPr>
        <w:tabs>
          <w:tab w:pos="1179" w:val="left" w:leader="none"/>
          <w:tab w:pos="1180" w:val="left" w:leader="none"/>
        </w:tabs>
        <w:spacing w:line="295" w:lineRule="auto" w:before="135" w:after="0"/>
        <w:ind w:left="1179" w:right="251" w:hanging="328"/>
        <w:jc w:val="left"/>
        <w:rPr>
          <w:rFonts w:ascii="Arial" w:hAnsi="Arial"/>
          <w:sz w:val="12"/>
        </w:rPr>
      </w:pPr>
      <w:r>
        <w:rPr>
          <w:rFonts w:ascii="Arial" w:hAnsi="Arial"/>
          <w:color w:val="231F20"/>
          <w:w w:val="105"/>
          <w:sz w:val="12"/>
        </w:rPr>
        <w:t>Santé</w:t>
      </w:r>
      <w:r>
        <w:rPr>
          <w:rFonts w:ascii="Arial" w:hAnsi="Arial"/>
          <w:color w:val="231F20"/>
          <w:spacing w:val="-7"/>
          <w:w w:val="105"/>
          <w:sz w:val="12"/>
        </w:rPr>
        <w:t> </w:t>
      </w:r>
      <w:r>
        <w:rPr>
          <w:rFonts w:ascii="Arial" w:hAnsi="Arial"/>
          <w:color w:val="231F20"/>
          <w:w w:val="105"/>
          <w:sz w:val="12"/>
        </w:rPr>
        <w:t>mentale</w:t>
      </w:r>
      <w:r>
        <w:rPr>
          <w:rFonts w:ascii="Arial" w:hAnsi="Arial"/>
          <w:color w:val="231F20"/>
          <w:spacing w:val="-24"/>
          <w:w w:val="105"/>
          <w:sz w:val="12"/>
        </w:rPr>
        <w:t> </w:t>
      </w:r>
      <w:r>
        <w:rPr>
          <w:rFonts w:ascii="Arial" w:hAnsi="Arial"/>
          <w:color w:val="231F20"/>
          <w:w w:val="105"/>
          <w:sz w:val="12"/>
        </w:rPr>
        <w:t>:</w:t>
      </w:r>
      <w:r>
        <w:rPr>
          <w:rFonts w:ascii="Arial" w:hAnsi="Arial"/>
          <w:color w:val="231F20"/>
          <w:spacing w:val="-5"/>
          <w:w w:val="105"/>
          <w:sz w:val="12"/>
        </w:rPr>
        <w:t> </w:t>
      </w:r>
      <w:r>
        <w:rPr>
          <w:rFonts w:ascii="Arial" w:hAnsi="Arial"/>
          <w:color w:val="231F20"/>
          <w:w w:val="105"/>
          <w:sz w:val="12"/>
        </w:rPr>
        <w:t>renforcer</w:t>
      </w:r>
      <w:r>
        <w:rPr>
          <w:rFonts w:ascii="Arial" w:hAnsi="Arial"/>
          <w:color w:val="231F20"/>
          <w:spacing w:val="-6"/>
          <w:w w:val="105"/>
          <w:sz w:val="12"/>
        </w:rPr>
        <w:t> </w:t>
      </w:r>
      <w:r>
        <w:rPr>
          <w:rFonts w:ascii="Arial" w:hAnsi="Arial"/>
          <w:color w:val="231F20"/>
          <w:w w:val="105"/>
          <w:sz w:val="12"/>
        </w:rPr>
        <w:t>notre</w:t>
      </w:r>
      <w:r>
        <w:rPr>
          <w:rFonts w:ascii="Arial" w:hAnsi="Arial"/>
          <w:color w:val="231F20"/>
          <w:spacing w:val="-6"/>
          <w:w w:val="105"/>
          <w:sz w:val="12"/>
        </w:rPr>
        <w:t> </w:t>
      </w:r>
      <w:r>
        <w:rPr>
          <w:rFonts w:ascii="Arial" w:hAnsi="Arial"/>
          <w:color w:val="231F20"/>
          <w:w w:val="105"/>
          <w:sz w:val="12"/>
        </w:rPr>
        <w:t>action.</w:t>
      </w:r>
      <w:r>
        <w:rPr>
          <w:rFonts w:ascii="Arial" w:hAnsi="Arial"/>
          <w:color w:val="231F20"/>
          <w:spacing w:val="-6"/>
          <w:w w:val="105"/>
          <w:sz w:val="12"/>
        </w:rPr>
        <w:t> </w:t>
      </w:r>
      <w:r>
        <w:rPr>
          <w:rFonts w:ascii="Arial" w:hAnsi="Arial"/>
          <w:color w:val="231F20"/>
          <w:w w:val="105"/>
          <w:sz w:val="12"/>
        </w:rPr>
        <w:t>Organisation</w:t>
      </w:r>
      <w:r>
        <w:rPr>
          <w:rFonts w:ascii="Arial" w:hAnsi="Arial"/>
          <w:color w:val="231F20"/>
          <w:spacing w:val="-6"/>
          <w:w w:val="105"/>
          <w:sz w:val="12"/>
        </w:rPr>
        <w:t> </w:t>
      </w:r>
      <w:r>
        <w:rPr>
          <w:rFonts w:ascii="Arial" w:hAnsi="Arial"/>
          <w:color w:val="231F20"/>
          <w:w w:val="105"/>
          <w:sz w:val="12"/>
        </w:rPr>
        <w:t>mondiale</w:t>
      </w:r>
      <w:r>
        <w:rPr>
          <w:rFonts w:ascii="Arial" w:hAnsi="Arial"/>
          <w:color w:val="231F20"/>
          <w:spacing w:val="-6"/>
          <w:w w:val="105"/>
          <w:sz w:val="12"/>
        </w:rPr>
        <w:t> </w:t>
      </w:r>
      <w:r>
        <w:rPr>
          <w:rFonts w:ascii="Arial" w:hAnsi="Arial"/>
          <w:color w:val="231F20"/>
          <w:w w:val="105"/>
          <w:sz w:val="12"/>
        </w:rPr>
        <w:t>de</w:t>
      </w:r>
      <w:r>
        <w:rPr>
          <w:rFonts w:ascii="Arial" w:hAnsi="Arial"/>
          <w:color w:val="231F20"/>
          <w:spacing w:val="-6"/>
          <w:w w:val="105"/>
          <w:sz w:val="12"/>
        </w:rPr>
        <w:t> </w:t>
      </w:r>
      <w:r>
        <w:rPr>
          <w:rFonts w:ascii="Arial" w:hAnsi="Arial"/>
          <w:color w:val="231F20"/>
          <w:w w:val="105"/>
          <w:sz w:val="12"/>
        </w:rPr>
        <w:t>la</w:t>
      </w:r>
      <w:r>
        <w:rPr>
          <w:rFonts w:ascii="Arial" w:hAnsi="Arial"/>
          <w:color w:val="231F20"/>
          <w:spacing w:val="-6"/>
          <w:w w:val="105"/>
          <w:sz w:val="12"/>
        </w:rPr>
        <w:t> </w:t>
      </w:r>
      <w:r>
        <w:rPr>
          <w:rFonts w:ascii="Arial" w:hAnsi="Arial"/>
          <w:color w:val="231F20"/>
          <w:w w:val="105"/>
          <w:sz w:val="12"/>
        </w:rPr>
        <w:t>santé,</w:t>
      </w:r>
      <w:r>
        <w:rPr>
          <w:rFonts w:ascii="Arial" w:hAnsi="Arial"/>
          <w:color w:val="231F20"/>
          <w:spacing w:val="-6"/>
          <w:w w:val="105"/>
          <w:sz w:val="12"/>
        </w:rPr>
        <w:t> </w:t>
      </w:r>
      <w:r>
        <w:rPr>
          <w:rFonts w:ascii="Arial" w:hAnsi="Arial"/>
          <w:color w:val="231F20"/>
          <w:w w:val="105"/>
          <w:sz w:val="12"/>
        </w:rPr>
        <w:t>2018.</w:t>
      </w:r>
      <w:r>
        <w:rPr>
          <w:rFonts w:ascii="Arial" w:hAnsi="Arial"/>
          <w:color w:val="231F20"/>
          <w:spacing w:val="-6"/>
          <w:w w:val="105"/>
          <w:sz w:val="12"/>
        </w:rPr>
        <w:t> </w:t>
      </w:r>
      <w:r>
        <w:rPr>
          <w:rFonts w:ascii="Arial" w:hAnsi="Arial"/>
          <w:color w:val="231F20"/>
          <w:w w:val="105"/>
          <w:sz w:val="12"/>
        </w:rPr>
        <w:t>(https://</w:t>
      </w:r>
      <w:hyperlink r:id="rId40">
        <w:r>
          <w:rPr>
            <w:rFonts w:ascii="Arial" w:hAnsi="Arial"/>
            <w:color w:val="231F20"/>
            <w:w w:val="105"/>
            <w:sz w:val="12"/>
          </w:rPr>
          <w:t>www.who.int/fr/</w:t>
        </w:r>
      </w:hyperlink>
      <w:r>
        <w:rPr>
          <w:rFonts w:ascii="Arial" w:hAnsi="Arial"/>
          <w:color w:val="231F20"/>
          <w:spacing w:val="40"/>
          <w:w w:val="105"/>
          <w:sz w:val="12"/>
        </w:rPr>
        <w:t> </w:t>
      </w:r>
      <w:r>
        <w:rPr>
          <w:rFonts w:ascii="Arial" w:hAnsi="Arial"/>
          <w:color w:val="231F20"/>
          <w:spacing w:val="-2"/>
          <w:w w:val="105"/>
          <w:sz w:val="12"/>
        </w:rPr>
        <w:t>news-room/fact-sheets/detail/mental-health-strengthening-our-response)</w:t>
      </w:r>
    </w:p>
    <w:p>
      <w:pPr>
        <w:pStyle w:val="ListParagraph"/>
        <w:numPr>
          <w:ilvl w:val="0"/>
          <w:numId w:val="12"/>
        </w:numPr>
        <w:tabs>
          <w:tab w:pos="1179" w:val="left" w:leader="none"/>
          <w:tab w:pos="1180" w:val="left" w:leader="none"/>
        </w:tabs>
        <w:spacing w:line="295" w:lineRule="auto" w:before="0" w:after="0"/>
        <w:ind w:left="1179" w:right="251" w:hanging="328"/>
        <w:jc w:val="left"/>
        <w:rPr>
          <w:rFonts w:ascii="Arial"/>
          <w:sz w:val="12"/>
        </w:rPr>
      </w:pPr>
      <w:r>
        <w:rPr>
          <w:rFonts w:ascii="Arial"/>
          <w:color w:val="231F20"/>
          <w:sz w:val="12"/>
        </w:rPr>
        <w:t>Kotera, Y. et Vione, K. C. (2020). Psychological impacts of the new ways of working (NWW)</w:t>
      </w:r>
      <w:r>
        <w:rPr>
          <w:rFonts w:ascii="Arial"/>
          <w:color w:val="231F20"/>
          <w:spacing w:val="-22"/>
          <w:sz w:val="12"/>
        </w:rPr>
        <w:t> </w:t>
      </w:r>
      <w:r>
        <w:rPr>
          <w:rFonts w:ascii="Arial"/>
          <w:color w:val="231F20"/>
          <w:sz w:val="12"/>
        </w:rPr>
        <w:t>: A systematic</w:t>
      </w:r>
      <w:r>
        <w:rPr>
          <w:rFonts w:ascii="Arial"/>
          <w:color w:val="231F20"/>
          <w:spacing w:val="40"/>
          <w:sz w:val="12"/>
        </w:rPr>
        <w:t> </w:t>
      </w:r>
      <w:r>
        <w:rPr>
          <w:rFonts w:ascii="Arial"/>
          <w:color w:val="231F20"/>
          <w:sz w:val="12"/>
        </w:rPr>
        <w:t>review,</w:t>
      </w:r>
      <w:r>
        <w:rPr>
          <w:rFonts w:ascii="Arial"/>
          <w:color w:val="231F20"/>
          <w:spacing w:val="-4"/>
          <w:sz w:val="12"/>
        </w:rPr>
        <w:t> </w:t>
      </w:r>
      <w:r>
        <w:rPr>
          <w:rFonts w:ascii="Arial"/>
          <w:i/>
          <w:color w:val="231F20"/>
          <w:sz w:val="12"/>
        </w:rPr>
        <w:t>International</w:t>
      </w:r>
      <w:r>
        <w:rPr>
          <w:rFonts w:ascii="Arial"/>
          <w:i/>
          <w:color w:val="231F20"/>
          <w:spacing w:val="-4"/>
          <w:sz w:val="12"/>
        </w:rPr>
        <w:t> </w:t>
      </w:r>
      <w:r>
        <w:rPr>
          <w:rFonts w:ascii="Arial"/>
          <w:i/>
          <w:color w:val="231F20"/>
          <w:sz w:val="12"/>
        </w:rPr>
        <w:t>Journal</w:t>
      </w:r>
      <w:r>
        <w:rPr>
          <w:rFonts w:ascii="Arial"/>
          <w:i/>
          <w:color w:val="231F20"/>
          <w:spacing w:val="-4"/>
          <w:sz w:val="12"/>
        </w:rPr>
        <w:t> </w:t>
      </w:r>
      <w:r>
        <w:rPr>
          <w:rFonts w:ascii="Arial"/>
          <w:i/>
          <w:color w:val="231F20"/>
          <w:sz w:val="12"/>
        </w:rPr>
        <w:t>of</w:t>
      </w:r>
      <w:r>
        <w:rPr>
          <w:rFonts w:ascii="Arial"/>
          <w:i/>
          <w:color w:val="231F20"/>
          <w:spacing w:val="-4"/>
          <w:sz w:val="12"/>
        </w:rPr>
        <w:t> </w:t>
      </w:r>
      <w:r>
        <w:rPr>
          <w:rFonts w:ascii="Arial"/>
          <w:i/>
          <w:color w:val="231F20"/>
          <w:sz w:val="12"/>
        </w:rPr>
        <w:t>Environmental</w:t>
      </w:r>
      <w:r>
        <w:rPr>
          <w:rFonts w:ascii="Arial"/>
          <w:i/>
          <w:color w:val="231F20"/>
          <w:spacing w:val="-4"/>
          <w:sz w:val="12"/>
        </w:rPr>
        <w:t> </w:t>
      </w:r>
      <w:r>
        <w:rPr>
          <w:rFonts w:ascii="Arial"/>
          <w:i/>
          <w:color w:val="231F20"/>
          <w:sz w:val="12"/>
        </w:rPr>
        <w:t>Research</w:t>
      </w:r>
      <w:r>
        <w:rPr>
          <w:rFonts w:ascii="Arial"/>
          <w:i/>
          <w:color w:val="231F20"/>
          <w:spacing w:val="-4"/>
          <w:sz w:val="12"/>
        </w:rPr>
        <w:t> </w:t>
      </w:r>
      <w:r>
        <w:rPr>
          <w:rFonts w:ascii="Arial"/>
          <w:i/>
          <w:color w:val="231F20"/>
          <w:sz w:val="12"/>
        </w:rPr>
        <w:t>and</w:t>
      </w:r>
      <w:r>
        <w:rPr>
          <w:rFonts w:ascii="Arial"/>
          <w:i/>
          <w:color w:val="231F20"/>
          <w:spacing w:val="-4"/>
          <w:sz w:val="12"/>
        </w:rPr>
        <w:t> </w:t>
      </w:r>
      <w:r>
        <w:rPr>
          <w:rFonts w:ascii="Arial"/>
          <w:i/>
          <w:color w:val="231F20"/>
          <w:sz w:val="12"/>
        </w:rPr>
        <w:t>Public</w:t>
      </w:r>
      <w:r>
        <w:rPr>
          <w:rFonts w:ascii="Arial"/>
          <w:i/>
          <w:color w:val="231F20"/>
          <w:spacing w:val="-4"/>
          <w:sz w:val="12"/>
        </w:rPr>
        <w:t> </w:t>
      </w:r>
      <w:r>
        <w:rPr>
          <w:rFonts w:ascii="Arial"/>
          <w:i/>
          <w:color w:val="231F20"/>
          <w:sz w:val="12"/>
        </w:rPr>
        <w:t>Health</w:t>
      </w:r>
      <w:r>
        <w:rPr>
          <w:rFonts w:ascii="Arial"/>
          <w:i/>
          <w:color w:val="231F20"/>
          <w:spacing w:val="-4"/>
          <w:sz w:val="12"/>
        </w:rPr>
        <w:t> </w:t>
      </w:r>
      <w:r>
        <w:rPr>
          <w:rFonts w:ascii="Arial"/>
          <w:i/>
          <w:color w:val="231F20"/>
          <w:sz w:val="12"/>
        </w:rPr>
        <w:t>Review</w:t>
      </w:r>
      <w:r>
        <w:rPr>
          <w:rFonts w:ascii="Arial"/>
          <w:color w:val="231F20"/>
          <w:sz w:val="12"/>
        </w:rPr>
        <w:t>,</w:t>
      </w:r>
      <w:r>
        <w:rPr>
          <w:rFonts w:ascii="Arial"/>
          <w:color w:val="231F20"/>
          <w:spacing w:val="-4"/>
          <w:sz w:val="12"/>
        </w:rPr>
        <w:t> </w:t>
      </w:r>
      <w:r>
        <w:rPr>
          <w:rFonts w:ascii="Arial"/>
          <w:i/>
          <w:color w:val="231F20"/>
          <w:sz w:val="12"/>
        </w:rPr>
        <w:t>17</w:t>
      </w:r>
      <w:r>
        <w:rPr>
          <w:rFonts w:ascii="Arial"/>
          <w:color w:val="231F20"/>
          <w:sz w:val="12"/>
        </w:rPr>
        <w:t>,</w:t>
      </w:r>
      <w:r>
        <w:rPr>
          <w:rFonts w:ascii="Arial"/>
          <w:color w:val="231F20"/>
          <w:spacing w:val="-4"/>
          <w:sz w:val="12"/>
        </w:rPr>
        <w:t> </w:t>
      </w:r>
      <w:r>
        <w:rPr>
          <w:rFonts w:ascii="Arial"/>
          <w:color w:val="231F20"/>
          <w:sz w:val="12"/>
        </w:rPr>
        <w:t>1-13.</w:t>
      </w:r>
    </w:p>
    <w:p>
      <w:pPr>
        <w:spacing w:after="0" w:line="295" w:lineRule="auto"/>
        <w:jc w:val="left"/>
        <w:rPr>
          <w:rFonts w:ascii="Arial"/>
          <w:sz w:val="12"/>
        </w:rPr>
        <w:sectPr>
          <w:footerReference w:type="default" r:id="rId38"/>
          <w:pgSz w:w="8640" w:h="12960"/>
          <w:pgMar w:footer="424" w:header="0" w:top="500" w:bottom="620" w:left="460" w:right="1000"/>
        </w:sectPr>
      </w:pPr>
    </w:p>
    <w:p>
      <w:pPr>
        <w:spacing w:before="103"/>
        <w:ind w:left="150" w:right="0" w:firstLine="0"/>
        <w:jc w:val="center"/>
        <w:rPr>
          <w:rFonts w:ascii="Arial" w:hAnsi="Arial"/>
          <w:sz w:val="14"/>
        </w:rPr>
      </w:pPr>
      <w:bookmarkStart w:name=" 1.2 / Qu’est-ce que la qualité de vie a" w:id="15"/>
      <w:bookmarkEnd w:id="15"/>
      <w:r>
        <w:rPr/>
      </w:r>
      <w:bookmarkStart w:name="Figure 1.1 / Concept de qualité de vie a" w:id="16"/>
      <w:bookmarkEnd w:id="16"/>
      <w:r>
        <w:rPr/>
      </w:r>
      <w:bookmarkStart w:name="_bookmark6" w:id="17"/>
      <w:bookmarkEnd w:id="17"/>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790" w:right="634"/>
        <w:jc w:val="both"/>
      </w:pPr>
      <w:r>
        <w:rPr>
          <w:color w:val="231F20"/>
          <w:w w:val="115"/>
        </w:rPr>
        <w:t>ses</w:t>
      </w:r>
      <w:r>
        <w:rPr>
          <w:color w:val="231F20"/>
          <w:spacing w:val="-6"/>
          <w:w w:val="115"/>
        </w:rPr>
        <w:t> </w:t>
      </w:r>
      <w:r>
        <w:rPr>
          <w:color w:val="231F20"/>
          <w:w w:val="115"/>
        </w:rPr>
        <w:t>aspirations,</w:t>
      </w:r>
      <w:r>
        <w:rPr>
          <w:color w:val="231F20"/>
          <w:spacing w:val="-6"/>
          <w:w w:val="115"/>
        </w:rPr>
        <w:t> </w:t>
      </w:r>
      <w:r>
        <w:rPr>
          <w:color w:val="231F20"/>
          <w:w w:val="115"/>
        </w:rPr>
        <w:t>à</w:t>
      </w:r>
      <w:r>
        <w:rPr>
          <w:color w:val="231F20"/>
          <w:spacing w:val="-6"/>
          <w:w w:val="115"/>
        </w:rPr>
        <w:t> </w:t>
      </w:r>
      <w:r>
        <w:rPr>
          <w:color w:val="231F20"/>
          <w:w w:val="115"/>
        </w:rPr>
        <w:t>ses</w:t>
      </w:r>
      <w:r>
        <w:rPr>
          <w:color w:val="231F20"/>
          <w:spacing w:val="-6"/>
          <w:w w:val="115"/>
        </w:rPr>
        <w:t> </w:t>
      </w:r>
      <w:r>
        <w:rPr>
          <w:color w:val="231F20"/>
          <w:w w:val="115"/>
        </w:rPr>
        <w:t>désirs,</w:t>
      </w:r>
      <w:r>
        <w:rPr>
          <w:color w:val="231F20"/>
          <w:spacing w:val="-6"/>
          <w:w w:val="115"/>
        </w:rPr>
        <w:t> </w:t>
      </w:r>
      <w:r>
        <w:rPr>
          <w:color w:val="231F20"/>
          <w:w w:val="115"/>
        </w:rPr>
        <w:t>à</w:t>
      </w:r>
      <w:r>
        <w:rPr>
          <w:color w:val="231F20"/>
          <w:spacing w:val="-6"/>
          <w:w w:val="115"/>
        </w:rPr>
        <w:t> </w:t>
      </w:r>
      <w:r>
        <w:rPr>
          <w:color w:val="231F20"/>
          <w:w w:val="115"/>
        </w:rPr>
        <w:t>ses</w:t>
      </w:r>
      <w:r>
        <w:rPr>
          <w:color w:val="231F20"/>
          <w:spacing w:val="-6"/>
          <w:w w:val="115"/>
        </w:rPr>
        <w:t> </w:t>
      </w:r>
      <w:r>
        <w:rPr>
          <w:color w:val="231F20"/>
          <w:w w:val="115"/>
        </w:rPr>
        <w:t>valeurs7.</w:t>
      </w:r>
      <w:r>
        <w:rPr>
          <w:color w:val="231F20"/>
          <w:spacing w:val="-6"/>
          <w:w w:val="115"/>
        </w:rPr>
        <w:t> </w:t>
      </w:r>
      <w:r>
        <w:rPr>
          <w:color w:val="231F20"/>
          <w:w w:val="115"/>
        </w:rPr>
        <w:t>Pour</w:t>
      </w:r>
      <w:r>
        <w:rPr>
          <w:color w:val="231F20"/>
          <w:spacing w:val="-6"/>
          <w:w w:val="115"/>
        </w:rPr>
        <w:t> </w:t>
      </w:r>
      <w:r>
        <w:rPr>
          <w:color w:val="231F20"/>
          <w:w w:val="115"/>
        </w:rPr>
        <w:t>ce</w:t>
      </w:r>
      <w:r>
        <w:rPr>
          <w:color w:val="231F20"/>
          <w:spacing w:val="-6"/>
          <w:w w:val="115"/>
        </w:rPr>
        <w:t> </w:t>
      </w:r>
      <w:r>
        <w:rPr>
          <w:color w:val="231F20"/>
          <w:w w:val="115"/>
        </w:rPr>
        <w:t>faire,</w:t>
      </w:r>
      <w:r>
        <w:rPr>
          <w:color w:val="231F20"/>
          <w:spacing w:val="-6"/>
          <w:w w:val="115"/>
        </w:rPr>
        <w:t> </w:t>
      </w:r>
      <w:r>
        <w:rPr>
          <w:color w:val="231F20"/>
          <w:w w:val="115"/>
        </w:rPr>
        <w:t>il</w:t>
      </w:r>
      <w:r>
        <w:rPr>
          <w:color w:val="231F20"/>
          <w:spacing w:val="-6"/>
          <w:w w:val="115"/>
        </w:rPr>
        <w:t> </w:t>
      </w:r>
      <w:r>
        <w:rPr>
          <w:color w:val="231F20"/>
          <w:w w:val="115"/>
        </w:rPr>
        <w:t>faut</w:t>
      </w:r>
      <w:r>
        <w:rPr>
          <w:color w:val="231F20"/>
          <w:spacing w:val="-6"/>
          <w:w w:val="115"/>
        </w:rPr>
        <w:t> </w:t>
      </w:r>
      <w:r>
        <w:rPr>
          <w:color w:val="231F20"/>
          <w:w w:val="115"/>
        </w:rPr>
        <w:t>cependant </w:t>
      </w:r>
      <w:r>
        <w:rPr>
          <w:color w:val="231F20"/>
          <w:w w:val="120"/>
        </w:rPr>
        <w:t>savoir</w:t>
      </w:r>
      <w:r>
        <w:rPr>
          <w:color w:val="231F20"/>
          <w:spacing w:val="-13"/>
          <w:w w:val="120"/>
        </w:rPr>
        <w:t> </w:t>
      </w:r>
      <w:r>
        <w:rPr>
          <w:color w:val="231F20"/>
          <w:w w:val="120"/>
        </w:rPr>
        <w:t>conjuguer</w:t>
      </w:r>
      <w:r>
        <w:rPr>
          <w:color w:val="231F20"/>
          <w:spacing w:val="-13"/>
          <w:w w:val="120"/>
        </w:rPr>
        <w:t> </w:t>
      </w:r>
      <w:r>
        <w:rPr>
          <w:color w:val="231F20"/>
          <w:w w:val="120"/>
        </w:rPr>
        <w:t>l’atteinte</w:t>
      </w:r>
      <w:r>
        <w:rPr>
          <w:color w:val="231F20"/>
          <w:spacing w:val="-13"/>
          <w:w w:val="120"/>
        </w:rPr>
        <w:t> </w:t>
      </w:r>
      <w:r>
        <w:rPr>
          <w:color w:val="231F20"/>
          <w:w w:val="120"/>
        </w:rPr>
        <w:t>des</w:t>
      </w:r>
      <w:r>
        <w:rPr>
          <w:color w:val="231F20"/>
          <w:spacing w:val="-12"/>
          <w:w w:val="120"/>
        </w:rPr>
        <w:t> </w:t>
      </w:r>
      <w:r>
        <w:rPr>
          <w:color w:val="231F20"/>
          <w:w w:val="120"/>
        </w:rPr>
        <w:t>objectifs</w:t>
      </w:r>
      <w:r>
        <w:rPr>
          <w:color w:val="231F20"/>
          <w:spacing w:val="-13"/>
          <w:w w:val="120"/>
        </w:rPr>
        <w:t> </w:t>
      </w:r>
      <w:r>
        <w:rPr>
          <w:color w:val="231F20"/>
          <w:w w:val="120"/>
        </w:rPr>
        <w:t>organisationnels</w:t>
      </w:r>
      <w:r>
        <w:rPr>
          <w:color w:val="231F20"/>
          <w:spacing w:val="-13"/>
          <w:w w:val="120"/>
        </w:rPr>
        <w:t> </w:t>
      </w:r>
      <w:r>
        <w:rPr>
          <w:color w:val="231F20"/>
          <w:w w:val="120"/>
        </w:rPr>
        <w:t>à</w:t>
      </w:r>
      <w:r>
        <w:rPr>
          <w:color w:val="231F20"/>
          <w:spacing w:val="-13"/>
          <w:w w:val="120"/>
        </w:rPr>
        <w:t> </w:t>
      </w:r>
      <w:r>
        <w:rPr>
          <w:color w:val="231F20"/>
          <w:w w:val="120"/>
        </w:rPr>
        <w:t>ceux</w:t>
      </w:r>
      <w:r>
        <w:rPr>
          <w:color w:val="231F20"/>
          <w:spacing w:val="-12"/>
          <w:w w:val="120"/>
        </w:rPr>
        <w:t> </w:t>
      </w:r>
      <w:r>
        <w:rPr>
          <w:color w:val="231F20"/>
          <w:w w:val="120"/>
        </w:rPr>
        <w:t>des</w:t>
      </w:r>
      <w:r>
        <w:rPr>
          <w:color w:val="231F20"/>
          <w:spacing w:val="-13"/>
          <w:w w:val="120"/>
        </w:rPr>
        <w:t> </w:t>
      </w:r>
      <w:r>
        <w:rPr>
          <w:color w:val="231F20"/>
          <w:w w:val="120"/>
        </w:rPr>
        <w:t>tra- </w:t>
      </w:r>
      <w:r>
        <w:rPr>
          <w:color w:val="231F20"/>
          <w:w w:val="115"/>
        </w:rPr>
        <w:t>vailleurs.</w:t>
      </w:r>
      <w:r>
        <w:rPr>
          <w:color w:val="231F20"/>
          <w:spacing w:val="-2"/>
          <w:w w:val="115"/>
        </w:rPr>
        <w:t> </w:t>
      </w:r>
      <w:r>
        <w:rPr>
          <w:color w:val="231F20"/>
          <w:w w:val="115"/>
        </w:rPr>
        <w:t>Quoique</w:t>
      </w:r>
      <w:r>
        <w:rPr>
          <w:color w:val="231F20"/>
          <w:spacing w:val="-2"/>
          <w:w w:val="115"/>
        </w:rPr>
        <w:t> </w:t>
      </w:r>
      <w:r>
        <w:rPr>
          <w:color w:val="231F20"/>
          <w:w w:val="115"/>
        </w:rPr>
        <w:t>l’incidence</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qualité</w:t>
      </w:r>
      <w:r>
        <w:rPr>
          <w:color w:val="231F20"/>
          <w:spacing w:val="-2"/>
          <w:w w:val="115"/>
        </w:rPr>
        <w:t> </w:t>
      </w:r>
      <w:r>
        <w:rPr>
          <w:color w:val="231F20"/>
          <w:w w:val="115"/>
        </w:rPr>
        <w:t>de</w:t>
      </w:r>
      <w:r>
        <w:rPr>
          <w:color w:val="231F20"/>
          <w:spacing w:val="-2"/>
          <w:w w:val="115"/>
        </w:rPr>
        <w:t> </w:t>
      </w:r>
      <w:r>
        <w:rPr>
          <w:color w:val="231F20"/>
          <w:w w:val="115"/>
        </w:rPr>
        <w:t>vie</w:t>
      </w:r>
      <w:r>
        <w:rPr>
          <w:color w:val="231F20"/>
          <w:spacing w:val="-2"/>
          <w:w w:val="115"/>
        </w:rPr>
        <w:t> </w:t>
      </w:r>
      <w:r>
        <w:rPr>
          <w:color w:val="231F20"/>
          <w:w w:val="115"/>
        </w:rPr>
        <w:t>au</w:t>
      </w:r>
      <w:r>
        <w:rPr>
          <w:color w:val="231F20"/>
          <w:spacing w:val="-2"/>
          <w:w w:val="115"/>
        </w:rPr>
        <w:t> </w:t>
      </w:r>
      <w:r>
        <w:rPr>
          <w:color w:val="231F20"/>
          <w:w w:val="115"/>
        </w:rPr>
        <w:t>travail</w:t>
      </w:r>
      <w:r>
        <w:rPr>
          <w:color w:val="231F20"/>
          <w:spacing w:val="-2"/>
          <w:w w:val="115"/>
        </w:rPr>
        <w:t> </w:t>
      </w:r>
      <w:r>
        <w:rPr>
          <w:color w:val="231F20"/>
          <w:w w:val="115"/>
        </w:rPr>
        <w:t>sur</w:t>
      </w:r>
      <w:r>
        <w:rPr>
          <w:color w:val="231F20"/>
          <w:spacing w:val="-2"/>
          <w:w w:val="115"/>
        </w:rPr>
        <w:t> </w:t>
      </w:r>
      <w:r>
        <w:rPr>
          <w:color w:val="231F20"/>
          <w:w w:val="115"/>
        </w:rPr>
        <w:t>la</w:t>
      </w:r>
      <w:r>
        <w:rPr>
          <w:color w:val="231F20"/>
          <w:spacing w:val="-2"/>
          <w:w w:val="115"/>
        </w:rPr>
        <w:t> </w:t>
      </w:r>
      <w:r>
        <w:rPr>
          <w:color w:val="231F20"/>
          <w:w w:val="115"/>
        </w:rPr>
        <w:t>perfor- </w:t>
      </w:r>
      <w:r>
        <w:rPr>
          <w:color w:val="231F20"/>
          <w:w w:val="120"/>
        </w:rPr>
        <w:t>mance soit une évidence maintes fois démontrée scientifiquement, les conditions</w:t>
      </w:r>
      <w:r>
        <w:rPr>
          <w:color w:val="231F20"/>
          <w:spacing w:val="-3"/>
          <w:w w:val="120"/>
        </w:rPr>
        <w:t> </w:t>
      </w:r>
      <w:r>
        <w:rPr>
          <w:color w:val="231F20"/>
          <w:w w:val="120"/>
        </w:rPr>
        <w:t>menant</w:t>
      </w:r>
      <w:r>
        <w:rPr>
          <w:color w:val="231F20"/>
          <w:spacing w:val="-3"/>
          <w:w w:val="120"/>
        </w:rPr>
        <w:t> </w:t>
      </w:r>
      <w:r>
        <w:rPr>
          <w:color w:val="231F20"/>
          <w:w w:val="120"/>
        </w:rPr>
        <w:t>de</w:t>
      </w:r>
      <w:r>
        <w:rPr>
          <w:color w:val="231F20"/>
          <w:spacing w:val="-3"/>
          <w:w w:val="120"/>
        </w:rPr>
        <w:t> </w:t>
      </w:r>
      <w:r>
        <w:rPr>
          <w:color w:val="231F20"/>
          <w:w w:val="120"/>
        </w:rPr>
        <w:t>l’une</w:t>
      </w:r>
      <w:r>
        <w:rPr>
          <w:color w:val="231F20"/>
          <w:spacing w:val="-3"/>
          <w:w w:val="120"/>
        </w:rPr>
        <w:t> </w:t>
      </w:r>
      <w:r>
        <w:rPr>
          <w:color w:val="231F20"/>
          <w:w w:val="120"/>
        </w:rPr>
        <w:t>à</w:t>
      </w:r>
      <w:r>
        <w:rPr>
          <w:color w:val="231F20"/>
          <w:spacing w:val="-3"/>
          <w:w w:val="120"/>
        </w:rPr>
        <w:t> </w:t>
      </w:r>
      <w:r>
        <w:rPr>
          <w:color w:val="231F20"/>
          <w:w w:val="120"/>
        </w:rPr>
        <w:t>l’autre</w:t>
      </w:r>
      <w:r>
        <w:rPr>
          <w:color w:val="231F20"/>
          <w:spacing w:val="-3"/>
          <w:w w:val="120"/>
        </w:rPr>
        <w:t> </w:t>
      </w:r>
      <w:r>
        <w:rPr>
          <w:color w:val="231F20"/>
          <w:w w:val="120"/>
        </w:rPr>
        <w:t>demeurent</w:t>
      </w:r>
      <w:r>
        <w:rPr>
          <w:color w:val="231F20"/>
          <w:spacing w:val="-3"/>
          <w:w w:val="120"/>
        </w:rPr>
        <w:t> </w:t>
      </w:r>
      <w:r>
        <w:rPr>
          <w:color w:val="231F20"/>
          <w:w w:val="120"/>
        </w:rPr>
        <w:t>un</w:t>
      </w:r>
      <w:r>
        <w:rPr>
          <w:color w:val="231F20"/>
          <w:spacing w:val="-3"/>
          <w:w w:val="120"/>
        </w:rPr>
        <w:t> </w:t>
      </w:r>
      <w:r>
        <w:rPr>
          <w:color w:val="231F20"/>
          <w:w w:val="120"/>
        </w:rPr>
        <w:t>sujet</w:t>
      </w:r>
      <w:r>
        <w:rPr>
          <w:color w:val="231F20"/>
          <w:spacing w:val="-3"/>
          <w:w w:val="120"/>
        </w:rPr>
        <w:t> </w:t>
      </w:r>
      <w:r>
        <w:rPr>
          <w:color w:val="231F20"/>
          <w:w w:val="120"/>
        </w:rPr>
        <w:t>de</w:t>
      </w:r>
      <w:r>
        <w:rPr>
          <w:color w:val="231F20"/>
          <w:spacing w:val="-3"/>
          <w:w w:val="120"/>
        </w:rPr>
        <w:t> </w:t>
      </w:r>
      <w:r>
        <w:rPr>
          <w:color w:val="231F20"/>
          <w:w w:val="120"/>
        </w:rPr>
        <w:t>discussion. </w:t>
      </w:r>
      <w:r>
        <w:rPr>
          <w:color w:val="231F20"/>
          <w:w w:val="115"/>
        </w:rPr>
        <w:t>C’est l’élucidation de ces conditions qui est l’un des principaux objectifs de</w:t>
      </w:r>
      <w:r>
        <w:rPr>
          <w:color w:val="231F20"/>
          <w:spacing w:val="-7"/>
          <w:w w:val="115"/>
        </w:rPr>
        <w:t> </w:t>
      </w:r>
      <w:r>
        <w:rPr>
          <w:color w:val="231F20"/>
          <w:w w:val="115"/>
        </w:rPr>
        <w:t>ce</w:t>
      </w:r>
      <w:r>
        <w:rPr>
          <w:color w:val="231F20"/>
          <w:spacing w:val="-7"/>
          <w:w w:val="115"/>
        </w:rPr>
        <w:t> </w:t>
      </w:r>
      <w:r>
        <w:rPr>
          <w:color w:val="231F20"/>
          <w:w w:val="115"/>
        </w:rPr>
        <w:t>livre.</w:t>
      </w:r>
      <w:r>
        <w:rPr>
          <w:color w:val="231F20"/>
          <w:spacing w:val="-7"/>
          <w:w w:val="115"/>
        </w:rPr>
        <w:t> </w:t>
      </w:r>
      <w:r>
        <w:rPr>
          <w:color w:val="231F20"/>
          <w:w w:val="115"/>
        </w:rPr>
        <w:t>La</w:t>
      </w:r>
      <w:r>
        <w:rPr>
          <w:color w:val="231F20"/>
          <w:spacing w:val="-7"/>
          <w:w w:val="115"/>
        </w:rPr>
        <w:t> </w:t>
      </w:r>
      <w:r>
        <w:rPr>
          <w:color w:val="231F20"/>
          <w:w w:val="115"/>
        </w:rPr>
        <w:t>figure</w:t>
      </w:r>
      <w:r>
        <w:rPr>
          <w:color w:val="231F20"/>
          <w:spacing w:val="-7"/>
          <w:w w:val="115"/>
        </w:rPr>
        <w:t> </w:t>
      </w:r>
      <w:r>
        <w:rPr>
          <w:color w:val="231F20"/>
          <w:w w:val="115"/>
        </w:rPr>
        <w:t>1.1</w:t>
      </w:r>
      <w:r>
        <w:rPr>
          <w:color w:val="231F20"/>
          <w:spacing w:val="-7"/>
          <w:w w:val="115"/>
        </w:rPr>
        <w:t> </w:t>
      </w:r>
      <w:r>
        <w:rPr>
          <w:color w:val="231F20"/>
          <w:w w:val="115"/>
        </w:rPr>
        <w:t>présente</w:t>
      </w:r>
      <w:r>
        <w:rPr>
          <w:color w:val="231F20"/>
          <w:spacing w:val="-7"/>
          <w:w w:val="115"/>
        </w:rPr>
        <w:t> </w:t>
      </w:r>
      <w:r>
        <w:rPr>
          <w:color w:val="231F20"/>
          <w:w w:val="115"/>
        </w:rPr>
        <w:t>les</w:t>
      </w:r>
      <w:r>
        <w:rPr>
          <w:color w:val="231F20"/>
          <w:spacing w:val="-7"/>
          <w:w w:val="115"/>
        </w:rPr>
        <w:t> </w:t>
      </w:r>
      <w:r>
        <w:rPr>
          <w:color w:val="231F20"/>
          <w:w w:val="115"/>
        </w:rPr>
        <w:t>diverses</w:t>
      </w:r>
      <w:r>
        <w:rPr>
          <w:color w:val="231F20"/>
          <w:spacing w:val="-7"/>
          <w:w w:val="115"/>
        </w:rPr>
        <w:t> </w:t>
      </w:r>
      <w:r>
        <w:rPr>
          <w:color w:val="231F20"/>
          <w:w w:val="115"/>
        </w:rPr>
        <w:t>ramifications</w:t>
      </w:r>
      <w:r>
        <w:rPr>
          <w:color w:val="231F20"/>
          <w:spacing w:val="-7"/>
          <w:w w:val="115"/>
        </w:rPr>
        <w:t> </w:t>
      </w:r>
      <w:r>
        <w:rPr>
          <w:color w:val="231F20"/>
          <w:w w:val="115"/>
        </w:rPr>
        <w:t>du</w:t>
      </w:r>
      <w:r>
        <w:rPr>
          <w:color w:val="231F20"/>
          <w:spacing w:val="-7"/>
          <w:w w:val="115"/>
        </w:rPr>
        <w:t> </w:t>
      </w:r>
      <w:r>
        <w:rPr>
          <w:color w:val="231F20"/>
          <w:w w:val="115"/>
        </w:rPr>
        <w:t>concept</w:t>
      </w:r>
      <w:r>
        <w:rPr>
          <w:color w:val="231F20"/>
          <w:spacing w:val="-7"/>
          <w:w w:val="115"/>
        </w:rPr>
        <w:t> </w:t>
      </w:r>
      <w:r>
        <w:rPr>
          <w:color w:val="231F20"/>
          <w:w w:val="115"/>
        </w:rPr>
        <w:t>de </w:t>
      </w:r>
      <w:r>
        <w:rPr>
          <w:i/>
          <w:color w:val="231F20"/>
          <w:w w:val="120"/>
        </w:rPr>
        <w:t>qualité de vie au travail</w:t>
      </w:r>
      <w:r>
        <w:rPr>
          <w:color w:val="231F20"/>
          <w:w w:val="120"/>
        </w:rPr>
        <w:t>.</w:t>
      </w:r>
    </w:p>
    <w:p>
      <w:pPr>
        <w:pStyle w:val="BodyText"/>
        <w:spacing w:before="6"/>
        <w:rPr>
          <w:sz w:val="11"/>
        </w:rPr>
      </w:pPr>
      <w:r>
        <w:rPr/>
        <w:pict>
          <v:group style="position:absolute;margin-left:62.5pt;margin-top:7.840967pt;width:287.5pt;height:236.15pt;mso-position-horizontal-relative:page;mso-position-vertical-relative:paragraph;z-index:-15717888;mso-wrap-distance-left:0;mso-wrap-distance-right:0" id="docshapegroup51" coordorigin="1250,157" coordsize="5750,4723">
            <v:shape style="position:absolute;left:1250;top:156;width:5750;height:4723" id="docshape52" coordorigin="1250,157" coordsize="5750,4723" path="m7000,157l1250,157,1250,952,1250,1112,1250,4880,7000,4880,7000,1112,7000,952,7000,157xe" filled="true" fillcolor="#e2e3e4" stroked="false">
              <v:path arrowok="t"/>
              <v:fill type="solid"/>
            </v:shape>
            <v:shape style="position:absolute;left:1500;top:1025;width:5250;height:3559" id="docshape53" coordorigin="1500,1026" coordsize="5250,3559" path="m2386,4061l1500,4061,1500,4584,2386,4584,2386,4061xm3530,4061l2430,4061,2430,4584,3530,4584,3530,4061xm4514,4061l3574,4061,3574,4584,4514,4584,4514,4061xm4993,1026l3256,1026,3256,1339,4993,1339,4993,1026xm5579,4061l4559,4061,4559,4584,5579,4584,5579,4061xm5987,3258l4250,3258,4250,3581,5987,3581,5987,3258xm6750,4061l5623,4061,5623,4584,6750,4584,6750,4061xe" filled="true" fillcolor="#c7c8ca" stroked="false">
              <v:path arrowok="t"/>
              <v:fill type="solid"/>
            </v:shape>
            <v:rect style="position:absolute;left:2776;top:2698;width:2697;height:324" id="docshape54" filled="true" fillcolor="#636466" stroked="false">
              <v:fill type="solid"/>
            </v:rect>
            <v:rect style="position:absolute;left:2776;top:1575;width:2697;height:324" id="docshape55" filled="true" fillcolor="#c7c8ca" stroked="false">
              <v:fill type="solid"/>
            </v:rect>
            <v:line style="position:absolute" from="4124,1335" to="4124,1528" stroked="true" strokeweight=".25pt" strokecolor="#231f20">
              <v:stroke dashstyle="solid"/>
            </v:line>
            <v:shape style="position:absolute;left:4092;top:1518;width:65;height:57" id="docshape56" coordorigin="4092,1519" coordsize="65,57" path="m4157,1519l4092,1519,4124,1575,4157,1519xe" filled="true" fillcolor="#231f20" stroked="false">
              <v:path arrowok="t"/>
              <v:fill type="solid"/>
            </v:shape>
            <v:line style="position:absolute" from="4124,1898" to="4124,2092" stroked="true" strokeweight=".25pt" strokecolor="#231f20">
              <v:stroke dashstyle="solid"/>
            </v:line>
            <v:shape style="position:absolute;left:4092;top:2082;width:65;height:57" id="docshape57" coordorigin="4092,2082" coordsize="65,57" path="m4157,2082l4092,2082,4124,2138,4157,2082xe" filled="true" fillcolor="#231f20" stroked="false">
              <v:path arrowok="t"/>
              <v:fill type="solid"/>
            </v:shape>
            <v:line style="position:absolute" from="5119,1898" to="5119,1908" stroked="true" strokeweight=".25pt" strokecolor="#231f20">
              <v:stroke dashstyle="solid"/>
            </v:line>
            <v:line style="position:absolute" from="5119,1950" to="5119,2052" stroked="true" strokeweight=".25pt" strokecolor="#231f20">
              <v:stroke dashstyle="dot"/>
            </v:line>
            <v:line style="position:absolute" from="5119,2073" to="5119,2608" stroked="true" strokeweight=".25pt" strokecolor="#231f20">
              <v:stroke dashstyle="dot"/>
            </v:line>
            <v:line style="position:absolute" from="5119,2629" to="5119,2639" stroked="true" strokeweight=".25pt" strokecolor="#231f20">
              <v:stroke dashstyle="solid"/>
            </v:line>
            <v:shape style="position:absolute;left:5086;top:2629;width:65;height:57" id="docshape58" coordorigin="5086,2629" coordsize="65,57" path="m5151,2629l5086,2629,5119,2685,5151,2629xe" filled="true" fillcolor="#231f20" stroked="false">
              <v:path arrowok="t"/>
              <v:fill type="solid"/>
            </v:shape>
            <v:line style="position:absolute" from="2536,3209" to="2536,3199" stroked="true" strokeweight=".25pt" strokecolor="#231f20">
              <v:stroke dashstyle="solid"/>
            </v:line>
            <v:line style="position:absolute" from="2536,3159" to="2536,3058" stroked="true" strokeweight=".25pt" strokecolor="#231f20">
              <v:stroke dashstyle="shortdot"/>
            </v:line>
            <v:line style="position:absolute" from="2536,3038" to="2536,2330" stroked="true" strokeweight=".25pt" strokecolor="#231f20">
              <v:stroke dashstyle="shortdot"/>
            </v:line>
            <v:shape style="position:absolute;left:2536;top:2299;width:10;height:10" id="docshape59" coordorigin="2536,2300" coordsize="10,10" path="m2536,2310l2536,2300,2546,2300e" filled="false" stroked="true" strokeweight=".25pt" strokecolor="#231f20">
              <v:path arrowok="t"/>
              <v:stroke dashstyle="solid"/>
            </v:shape>
            <v:line style="position:absolute" from="2586,2300" to="2686,2300" stroked="true" strokeweight=".25pt" strokecolor="#231f20">
              <v:stroke dashstyle="dot"/>
            </v:line>
            <v:line style="position:absolute" from="2706,2300" to="3226,2300" stroked="true" strokeweight=".25pt" strokecolor="#231f20">
              <v:stroke dashstyle="dot"/>
            </v:line>
            <v:line style="position:absolute" from="3246,2300" to="3256,2300" stroked="true" strokeweight=".25pt" strokecolor="#231f20">
              <v:stroke dashstyle="solid"/>
            </v:line>
            <v:shape style="position:absolute;left:2503;top:3199;width:65;height:57" id="docshape60" coordorigin="2504,3200" coordsize="65,57" path="m2569,3200l2504,3200,2536,3256,2569,3200xe" filled="true" fillcolor="#231f20" stroked="false">
              <v:path arrowok="t"/>
              <v:fill type="solid"/>
            </v:shape>
            <v:shape style="position:absolute;left:5472;top:1736;width:235;height:1473" id="docshape61" coordorigin="5473,1737" coordsize="235,1473" path="m5707,3209l5707,1737,5473,1737e" filled="false" stroked="true" strokeweight=".25pt" strokecolor="#231f20">
              <v:path arrowok="t"/>
              <v:stroke dashstyle="solid"/>
            </v:shape>
            <v:shape style="position:absolute;left:5674;top:3199;width:65;height:57" id="docshape62" coordorigin="5675,3200" coordsize="65,57" path="m5739,3200l5675,3200,5707,3256,5739,3200xe" filled="true" fillcolor="#231f20" stroked="false">
              <v:path arrowok="t"/>
              <v:fill type="solid"/>
            </v:shape>
            <v:line style="position:absolute" from="4124,2458" to="4124,2651" stroked="true" strokeweight=".25pt" strokecolor="#231f20">
              <v:stroke dashstyle="solid"/>
            </v:line>
            <v:shape style="position:absolute;left:4092;top:2641;width:65;height:57" id="docshape63" coordorigin="4092,2642" coordsize="65,57" path="m4157,2642l4092,2642,4124,2698,4157,2642xe" filled="true" fillcolor="#231f20" stroked="false">
              <v:path arrowok="t"/>
              <v:fill type="solid"/>
            </v:shape>
            <v:line style="position:absolute" from="3130,3018" to="3130,3211" stroked="true" strokeweight=".25pt" strokecolor="#231f20">
              <v:stroke dashstyle="solid"/>
            </v:line>
            <v:shape style="position:absolute;left:3097;top:3201;width:65;height:57" id="docshape64" coordorigin="3098,3201" coordsize="65,57" path="m3163,3201l3098,3201,3130,3258,3163,3201xe" filled="true" fillcolor="#231f20" stroked="false">
              <v:path arrowok="t"/>
              <v:fill type="solid"/>
            </v:shape>
            <v:line style="position:absolute" from="5119,3018" to="5119,3211" stroked="true" strokeweight=".25pt" strokecolor="#231f20">
              <v:stroke dashstyle="solid"/>
            </v:line>
            <v:shape style="position:absolute;left:5086;top:3201;width:65;height:57" id="docshape65" coordorigin="5086,3201" coordsize="65,57" path="m5151,3201l5086,3201,5119,3258,5151,3201xe" filled="true" fillcolor="#231f20" stroked="false">
              <v:path arrowok="t"/>
              <v:fill type="solid"/>
            </v:shape>
            <v:line style="position:absolute" from="4204,3419" to="4045,3419" stroked="true" strokeweight=".25pt" strokecolor="#231f20">
              <v:stroke dashstyle="solid"/>
            </v:line>
            <v:shape style="position:absolute;left:3998;top:3386;width:252;height:65" id="docshape66" coordorigin="3999,3387" coordsize="252,65" path="m4055,3387l3999,3419,4055,3452,4055,3387xm4250,3419l4194,3387,4194,3452,4250,3419xe" filled="true" fillcolor="#231f20" stroked="false">
              <v:path arrowok="t"/>
              <v:fill type="solid"/>
            </v:shape>
            <v:line style="position:absolute" from="1936,3825" to="1936,4018" stroked="true" strokeweight=".25pt" strokecolor="#231f20">
              <v:stroke dashstyle="solid"/>
            </v:line>
            <v:shape style="position:absolute;left:1903;top:4008;width:65;height:57" id="docshape67" coordorigin="1903,4008" coordsize="65,57" path="m1968,4008l1903,4008,1936,4065,1968,4008xe" filled="true" fillcolor="#231f20" stroked="false">
              <v:path arrowok="t"/>
              <v:fill type="solid"/>
            </v:shape>
            <v:line style="position:absolute" from="2980,3825" to="2980,4018" stroked="true" strokeweight=".25pt" strokecolor="#231f20">
              <v:stroke dashstyle="solid"/>
            </v:line>
            <v:shape style="position:absolute;left:2947;top:4008;width:65;height:57" id="docshape68" coordorigin="2948,4008" coordsize="65,57" path="m3012,4008l2948,4008,2980,4065,3012,4008xe" filled="true" fillcolor="#231f20" stroked="false">
              <v:path arrowok="t"/>
              <v:fill type="solid"/>
            </v:shape>
            <v:line style="position:absolute" from="4004,3825" to="4004,4018" stroked="true" strokeweight=".25pt" strokecolor="#231f20">
              <v:stroke dashstyle="solid"/>
            </v:line>
            <v:shape style="position:absolute;left:3972;top:4008;width:65;height:57" id="docshape69" coordorigin="3972,4008" coordsize="65,57" path="m4037,4008l3972,4008,4004,4065,4037,4008xe" filled="true" fillcolor="#231f20" stroked="false">
              <v:path arrowok="t"/>
              <v:fill type="solid"/>
            </v:shape>
            <v:line style="position:absolute" from="5069,3825" to="5069,4018" stroked="true" strokeweight=".25pt" strokecolor="#231f20">
              <v:stroke dashstyle="solid"/>
            </v:line>
            <v:shape style="position:absolute;left:5036;top:4008;width:65;height:57" id="docshape70" coordorigin="5036,4008" coordsize="65,57" path="m5101,4008l5036,4008,5069,4065,5101,4008xe" filled="true" fillcolor="#231f20" stroked="false">
              <v:path arrowok="t"/>
              <v:fill type="solid"/>
            </v:shape>
            <v:line style="position:absolute" from="6193,3825" to="6193,4018" stroked="true" strokeweight=".25pt" strokecolor="#231f20">
              <v:stroke dashstyle="solid"/>
            </v:line>
            <v:shape style="position:absolute;left:6160;top:4008;width:65;height:57" id="docshape71" coordorigin="6161,4008" coordsize="65,57" path="m6226,4008l6161,4008,6193,4065,6226,4008xe" filled="true" fillcolor="#231f20" stroked="false">
              <v:path arrowok="t"/>
              <v:fill type="solid"/>
            </v:shape>
            <v:line style="position:absolute" from="3130,3581" to="3130,3821" stroked="true" strokeweight=".25pt" strokecolor="#231f20">
              <v:stroke dashstyle="solid"/>
            </v:line>
            <v:line style="position:absolute" from="1931,3821" to="6198,3821" stroked="true" strokeweight=".25pt" strokecolor="#231f20">
              <v:stroke dashstyle="solid"/>
            </v:line>
            <v:shape style="position:absolute;left:1500;top:328;width:3634;height:1496" type="#_x0000_t202" id="docshape72" filled="false" stroked="false">
              <v:textbox inset="0,0,0,0">
                <w:txbxContent>
                  <w:p>
                    <w:pPr>
                      <w:spacing w:line="307" w:lineRule="auto" w:before="44"/>
                      <w:ind w:left="0" w:right="0" w:firstLine="0"/>
                      <w:jc w:val="left"/>
                      <w:rPr>
                        <w:rFonts w:ascii="Arial" w:hAnsi="Arial"/>
                        <w:b/>
                        <w:sz w:val="17"/>
                      </w:rPr>
                    </w:pPr>
                    <w:r>
                      <w:rPr>
                        <w:rFonts w:ascii="Arial" w:hAnsi="Arial"/>
                        <w:color w:val="231F20"/>
                        <w:w w:val="95"/>
                        <w:sz w:val="17"/>
                      </w:rPr>
                      <w:t>Figure 1.1</w:t>
                    </w:r>
                    <w:r>
                      <w:rPr>
                        <w:rFonts w:ascii="Arial" w:hAnsi="Arial"/>
                        <w:color w:val="231F20"/>
                        <w:spacing w:val="-11"/>
                        <w:w w:val="95"/>
                        <w:sz w:val="17"/>
                      </w:rPr>
                      <w:t> </w:t>
                    </w:r>
                    <w:r>
                      <w:rPr>
                        <w:rFonts w:ascii="Arial" w:hAnsi="Arial"/>
                        <w:i/>
                        <w:color w:val="231F20"/>
                        <w:w w:val="95"/>
                        <w:sz w:val="17"/>
                      </w:rPr>
                      <w:t>/</w:t>
                    </w:r>
                    <w:r>
                      <w:rPr>
                        <w:rFonts w:ascii="Arial" w:hAnsi="Arial"/>
                        <w:i/>
                        <w:color w:val="231F20"/>
                        <w:spacing w:val="40"/>
                        <w:sz w:val="17"/>
                      </w:rPr>
                      <w:t> </w:t>
                    </w:r>
                    <w:r>
                      <w:rPr>
                        <w:rFonts w:ascii="Arial" w:hAnsi="Arial"/>
                        <w:b/>
                        <w:color w:val="231F20"/>
                        <w:w w:val="95"/>
                        <w:sz w:val="17"/>
                      </w:rPr>
                      <w:t>Concept</w:t>
                    </w:r>
                    <w:r>
                      <w:rPr>
                        <w:rFonts w:ascii="Arial" w:hAnsi="Arial"/>
                        <w:b/>
                        <w:color w:val="231F20"/>
                        <w:spacing w:val="-5"/>
                        <w:w w:val="95"/>
                        <w:sz w:val="17"/>
                      </w:rPr>
                      <w:t> </w:t>
                    </w:r>
                    <w:r>
                      <w:rPr>
                        <w:rFonts w:ascii="Arial" w:hAnsi="Arial"/>
                        <w:b/>
                        <w:color w:val="231F20"/>
                        <w:w w:val="95"/>
                        <w:sz w:val="17"/>
                      </w:rPr>
                      <w:t>de</w:t>
                    </w:r>
                    <w:r>
                      <w:rPr>
                        <w:rFonts w:ascii="Arial" w:hAnsi="Arial"/>
                        <w:b/>
                        <w:color w:val="231F20"/>
                        <w:spacing w:val="-5"/>
                        <w:w w:val="95"/>
                        <w:sz w:val="17"/>
                      </w:rPr>
                      <w:t> </w:t>
                    </w:r>
                    <w:r>
                      <w:rPr>
                        <w:rFonts w:ascii="Arial" w:hAnsi="Arial"/>
                        <w:b/>
                        <w:color w:val="231F20"/>
                        <w:w w:val="95"/>
                        <w:sz w:val="17"/>
                      </w:rPr>
                      <w:t>qualité</w:t>
                    </w:r>
                    <w:r>
                      <w:rPr>
                        <w:rFonts w:ascii="Arial" w:hAnsi="Arial"/>
                        <w:b/>
                        <w:color w:val="231F20"/>
                        <w:spacing w:val="-5"/>
                        <w:w w:val="95"/>
                        <w:sz w:val="17"/>
                      </w:rPr>
                      <w:t> </w:t>
                    </w:r>
                    <w:r>
                      <w:rPr>
                        <w:rFonts w:ascii="Arial" w:hAnsi="Arial"/>
                        <w:b/>
                        <w:color w:val="231F20"/>
                        <w:w w:val="95"/>
                        <w:sz w:val="17"/>
                      </w:rPr>
                      <w:t>de</w:t>
                    </w:r>
                    <w:r>
                      <w:rPr>
                        <w:rFonts w:ascii="Arial" w:hAnsi="Arial"/>
                        <w:b/>
                        <w:color w:val="231F20"/>
                        <w:spacing w:val="-5"/>
                        <w:w w:val="95"/>
                        <w:sz w:val="17"/>
                      </w:rPr>
                      <w:t> </w:t>
                    </w:r>
                    <w:r>
                      <w:rPr>
                        <w:rFonts w:ascii="Arial" w:hAnsi="Arial"/>
                        <w:b/>
                        <w:color w:val="231F20"/>
                        <w:w w:val="95"/>
                        <w:sz w:val="17"/>
                      </w:rPr>
                      <w:t>vie</w:t>
                    </w:r>
                    <w:r>
                      <w:rPr>
                        <w:rFonts w:ascii="Arial" w:hAnsi="Arial"/>
                        <w:b/>
                        <w:color w:val="231F20"/>
                        <w:spacing w:val="-5"/>
                        <w:w w:val="95"/>
                        <w:sz w:val="17"/>
                      </w:rPr>
                      <w:t> </w:t>
                    </w:r>
                    <w:r>
                      <w:rPr>
                        <w:rFonts w:ascii="Arial" w:hAnsi="Arial"/>
                        <w:b/>
                        <w:color w:val="231F20"/>
                        <w:w w:val="95"/>
                        <w:sz w:val="17"/>
                      </w:rPr>
                      <w:t>au</w:t>
                    </w:r>
                    <w:r>
                      <w:rPr>
                        <w:rFonts w:ascii="Arial" w:hAnsi="Arial"/>
                        <w:b/>
                        <w:color w:val="231F20"/>
                        <w:spacing w:val="-5"/>
                        <w:w w:val="95"/>
                        <w:sz w:val="17"/>
                      </w:rPr>
                      <w:t> </w:t>
                    </w:r>
                    <w:r>
                      <w:rPr>
                        <w:rFonts w:ascii="Arial" w:hAnsi="Arial"/>
                        <w:b/>
                        <w:color w:val="231F20"/>
                        <w:w w:val="95"/>
                        <w:sz w:val="17"/>
                      </w:rPr>
                      <w:t>travail </w:t>
                    </w:r>
                    <w:r>
                      <w:rPr>
                        <w:rFonts w:ascii="Arial" w:hAnsi="Arial"/>
                        <w:b/>
                        <w:color w:val="231F20"/>
                        <w:sz w:val="17"/>
                      </w:rPr>
                      <w:t>et</w:t>
                    </w:r>
                    <w:r>
                      <w:rPr>
                        <w:rFonts w:ascii="Arial" w:hAnsi="Arial"/>
                        <w:b/>
                        <w:color w:val="231F20"/>
                        <w:spacing w:val="-4"/>
                        <w:sz w:val="17"/>
                      </w:rPr>
                      <w:t> </w:t>
                    </w:r>
                    <w:r>
                      <w:rPr>
                        <w:rFonts w:ascii="Arial" w:hAnsi="Arial"/>
                        <w:b/>
                        <w:color w:val="231F20"/>
                        <w:sz w:val="17"/>
                      </w:rPr>
                      <w:t>ses</w:t>
                    </w:r>
                    <w:r>
                      <w:rPr>
                        <w:rFonts w:ascii="Arial" w:hAnsi="Arial"/>
                        <w:b/>
                        <w:color w:val="231F20"/>
                        <w:spacing w:val="-4"/>
                        <w:sz w:val="17"/>
                      </w:rPr>
                      <w:t> </w:t>
                    </w:r>
                    <w:r>
                      <w:rPr>
                        <w:rFonts w:ascii="Arial" w:hAnsi="Arial"/>
                        <w:b/>
                        <w:color w:val="231F20"/>
                        <w:sz w:val="17"/>
                      </w:rPr>
                      <w:t>diverses</w:t>
                    </w:r>
                    <w:r>
                      <w:rPr>
                        <w:rFonts w:ascii="Arial" w:hAnsi="Arial"/>
                        <w:b/>
                        <w:color w:val="231F20"/>
                        <w:spacing w:val="-4"/>
                        <w:sz w:val="17"/>
                      </w:rPr>
                      <w:t> </w:t>
                    </w:r>
                    <w:r>
                      <w:rPr>
                        <w:rFonts w:ascii="Arial" w:hAnsi="Arial"/>
                        <w:b/>
                        <w:color w:val="231F20"/>
                        <w:sz w:val="17"/>
                      </w:rPr>
                      <w:t>ramifications</w:t>
                    </w:r>
                  </w:p>
                  <w:p>
                    <w:pPr>
                      <w:spacing w:line="240" w:lineRule="auto" w:before="0"/>
                      <w:rPr>
                        <w:rFonts w:ascii="Arial"/>
                        <w:b/>
                        <w:sz w:val="19"/>
                      </w:rPr>
                    </w:pPr>
                  </w:p>
                  <w:p>
                    <w:pPr>
                      <w:spacing w:before="0"/>
                      <w:ind w:left="1669" w:right="54" w:firstLine="0"/>
                      <w:jc w:val="center"/>
                      <w:rPr>
                        <w:rFonts w:ascii="Arial"/>
                        <w:sz w:val="15"/>
                      </w:rPr>
                    </w:pPr>
                    <w:r>
                      <w:rPr>
                        <w:rFonts w:ascii="Arial"/>
                        <w:color w:val="231F20"/>
                        <w:w w:val="90"/>
                        <w:sz w:val="15"/>
                      </w:rPr>
                      <w:t>Organisation</w:t>
                    </w:r>
                    <w:r>
                      <w:rPr>
                        <w:rFonts w:ascii="Arial"/>
                        <w:color w:val="231F20"/>
                        <w:sz w:val="15"/>
                      </w:rPr>
                      <w:t> </w:t>
                    </w:r>
                    <w:r>
                      <w:rPr>
                        <w:rFonts w:ascii="Arial"/>
                        <w:color w:val="231F20"/>
                        <w:w w:val="90"/>
                        <w:sz w:val="15"/>
                      </w:rPr>
                      <w:t>du</w:t>
                    </w:r>
                    <w:r>
                      <w:rPr>
                        <w:rFonts w:ascii="Arial"/>
                        <w:color w:val="231F20"/>
                        <w:spacing w:val="1"/>
                        <w:sz w:val="15"/>
                      </w:rPr>
                      <w:t> </w:t>
                    </w:r>
                    <w:r>
                      <w:rPr>
                        <w:rFonts w:ascii="Arial"/>
                        <w:color w:val="231F20"/>
                        <w:spacing w:val="-2"/>
                        <w:w w:val="90"/>
                        <w:sz w:val="15"/>
                      </w:rPr>
                      <w:t>travail</w:t>
                    </w:r>
                  </w:p>
                  <w:p>
                    <w:pPr>
                      <w:spacing w:line="240" w:lineRule="auto" w:before="0"/>
                      <w:rPr>
                        <w:rFonts w:ascii="Arial"/>
                        <w:sz w:val="18"/>
                      </w:rPr>
                    </w:pPr>
                  </w:p>
                  <w:p>
                    <w:pPr>
                      <w:spacing w:line="240" w:lineRule="auto" w:before="7"/>
                      <w:rPr>
                        <w:rFonts w:ascii="Arial"/>
                        <w:sz w:val="15"/>
                      </w:rPr>
                    </w:pPr>
                  </w:p>
                  <w:p>
                    <w:pPr>
                      <w:spacing w:before="0"/>
                      <w:ind w:left="1669" w:right="54" w:firstLine="0"/>
                      <w:jc w:val="center"/>
                      <w:rPr>
                        <w:rFonts w:ascii="Arial"/>
                        <w:sz w:val="15"/>
                      </w:rPr>
                    </w:pPr>
                    <w:r>
                      <w:rPr>
                        <w:rFonts w:ascii="Arial"/>
                        <w:color w:val="231F20"/>
                        <w:w w:val="90"/>
                        <w:sz w:val="15"/>
                      </w:rPr>
                      <w:t>Conditions</w:t>
                    </w:r>
                    <w:r>
                      <w:rPr>
                        <w:rFonts w:ascii="Arial"/>
                        <w:color w:val="231F20"/>
                        <w:spacing w:val="3"/>
                        <w:sz w:val="15"/>
                      </w:rPr>
                      <w:t> </w:t>
                    </w:r>
                    <w:r>
                      <w:rPr>
                        <w:rFonts w:ascii="Arial"/>
                        <w:color w:val="231F20"/>
                        <w:w w:val="90"/>
                        <w:sz w:val="15"/>
                      </w:rPr>
                      <w:t>objectives</w:t>
                    </w:r>
                    <w:r>
                      <w:rPr>
                        <w:rFonts w:ascii="Arial"/>
                        <w:color w:val="231F20"/>
                        <w:spacing w:val="4"/>
                        <w:sz w:val="15"/>
                      </w:rPr>
                      <w:t> </w:t>
                    </w:r>
                    <w:r>
                      <w:rPr>
                        <w:rFonts w:ascii="Arial"/>
                        <w:color w:val="231F20"/>
                        <w:w w:val="90"/>
                        <w:sz w:val="15"/>
                      </w:rPr>
                      <w:t>de</w:t>
                    </w:r>
                    <w:r>
                      <w:rPr>
                        <w:rFonts w:ascii="Arial"/>
                        <w:color w:val="231F20"/>
                        <w:spacing w:val="4"/>
                        <w:sz w:val="15"/>
                      </w:rPr>
                      <w:t> </w:t>
                    </w:r>
                    <w:r>
                      <w:rPr>
                        <w:rFonts w:ascii="Arial"/>
                        <w:color w:val="231F20"/>
                        <w:spacing w:val="-2"/>
                        <w:w w:val="90"/>
                        <w:sz w:val="15"/>
                      </w:rPr>
                      <w:t>travail</w:t>
                    </w:r>
                  </w:p>
                </w:txbxContent>
              </v:textbox>
              <w10:wrap type="none"/>
            </v:shape>
            <v:shape style="position:absolute;left:3161;top:2752;width:2448;height:755" type="#_x0000_t202" id="docshape73" filled="false" stroked="false">
              <v:textbox inset="0,0,0,0">
                <w:txbxContent>
                  <w:p>
                    <w:pPr>
                      <w:spacing w:before="21"/>
                      <w:ind w:left="0" w:right="0" w:firstLine="0"/>
                      <w:jc w:val="left"/>
                      <w:rPr>
                        <w:rFonts w:ascii="Arial" w:hAnsi="Arial"/>
                        <w:b/>
                        <w:sz w:val="15"/>
                      </w:rPr>
                    </w:pPr>
                    <w:r>
                      <w:rPr>
                        <w:rFonts w:ascii="Arial" w:hAnsi="Arial"/>
                        <w:b/>
                        <w:color w:val="FFFFFF"/>
                        <w:w w:val="90"/>
                        <w:sz w:val="15"/>
                      </w:rPr>
                      <w:t>Qualité</w:t>
                    </w:r>
                    <w:r>
                      <w:rPr>
                        <w:rFonts w:ascii="Arial" w:hAnsi="Arial"/>
                        <w:b/>
                        <w:color w:val="FFFFFF"/>
                        <w:spacing w:val="-6"/>
                        <w:w w:val="90"/>
                        <w:sz w:val="15"/>
                      </w:rPr>
                      <w:t> </w:t>
                    </w:r>
                    <w:r>
                      <w:rPr>
                        <w:rFonts w:ascii="Arial" w:hAnsi="Arial"/>
                        <w:b/>
                        <w:color w:val="FFFFFF"/>
                        <w:w w:val="90"/>
                        <w:sz w:val="15"/>
                      </w:rPr>
                      <w:t>de</w:t>
                    </w:r>
                    <w:r>
                      <w:rPr>
                        <w:rFonts w:ascii="Arial" w:hAnsi="Arial"/>
                        <w:b/>
                        <w:color w:val="FFFFFF"/>
                        <w:spacing w:val="-5"/>
                        <w:w w:val="90"/>
                        <w:sz w:val="15"/>
                      </w:rPr>
                      <w:t> </w:t>
                    </w:r>
                    <w:r>
                      <w:rPr>
                        <w:rFonts w:ascii="Arial" w:hAnsi="Arial"/>
                        <w:b/>
                        <w:color w:val="FFFFFF"/>
                        <w:w w:val="90"/>
                        <w:sz w:val="15"/>
                      </w:rPr>
                      <w:t>vie</w:t>
                    </w:r>
                    <w:r>
                      <w:rPr>
                        <w:rFonts w:ascii="Arial" w:hAnsi="Arial"/>
                        <w:b/>
                        <w:color w:val="FFFFFF"/>
                        <w:spacing w:val="-5"/>
                        <w:w w:val="90"/>
                        <w:sz w:val="15"/>
                      </w:rPr>
                      <w:t> </w:t>
                    </w:r>
                    <w:r>
                      <w:rPr>
                        <w:rFonts w:ascii="Arial" w:hAnsi="Arial"/>
                        <w:b/>
                        <w:color w:val="FFFFFF"/>
                        <w:w w:val="90"/>
                        <w:sz w:val="15"/>
                      </w:rPr>
                      <w:t>au</w:t>
                    </w:r>
                    <w:r>
                      <w:rPr>
                        <w:rFonts w:ascii="Arial" w:hAnsi="Arial"/>
                        <w:b/>
                        <w:color w:val="FFFFFF"/>
                        <w:spacing w:val="-5"/>
                        <w:w w:val="90"/>
                        <w:sz w:val="15"/>
                      </w:rPr>
                      <w:t> </w:t>
                    </w:r>
                    <w:r>
                      <w:rPr>
                        <w:rFonts w:ascii="Arial" w:hAnsi="Arial"/>
                        <w:b/>
                        <w:color w:val="FFFFFF"/>
                        <w:w w:val="90"/>
                        <w:sz w:val="15"/>
                      </w:rPr>
                      <w:t>travail</w:t>
                    </w:r>
                    <w:r>
                      <w:rPr>
                        <w:rFonts w:ascii="Arial" w:hAnsi="Arial"/>
                        <w:b/>
                        <w:color w:val="FFFFFF"/>
                        <w:spacing w:val="-6"/>
                        <w:w w:val="90"/>
                        <w:sz w:val="15"/>
                      </w:rPr>
                      <w:t> </w:t>
                    </w:r>
                    <w:r>
                      <w:rPr>
                        <w:rFonts w:ascii="Arial" w:hAnsi="Arial"/>
                        <w:b/>
                        <w:color w:val="FFFFFF"/>
                        <w:spacing w:val="-4"/>
                        <w:w w:val="90"/>
                        <w:sz w:val="15"/>
                      </w:rPr>
                      <w:t>(QVT)</w:t>
                    </w:r>
                  </w:p>
                  <w:p>
                    <w:pPr>
                      <w:spacing w:line="240" w:lineRule="auto" w:before="0"/>
                      <w:rPr>
                        <w:rFonts w:ascii="Arial"/>
                        <w:b/>
                        <w:sz w:val="20"/>
                      </w:rPr>
                    </w:pPr>
                  </w:p>
                  <w:p>
                    <w:pPr>
                      <w:spacing w:before="157"/>
                      <w:ind w:left="1486" w:right="0" w:firstLine="0"/>
                      <w:jc w:val="left"/>
                      <w:rPr>
                        <w:rFonts w:ascii="Arial" w:hAnsi="Arial"/>
                        <w:sz w:val="15"/>
                      </w:rPr>
                    </w:pPr>
                    <w:r>
                      <w:rPr>
                        <w:rFonts w:ascii="Arial" w:hAnsi="Arial"/>
                        <w:color w:val="231F20"/>
                        <w:w w:val="85"/>
                        <w:sz w:val="15"/>
                      </w:rPr>
                      <w:t>Santé</w:t>
                    </w:r>
                    <w:r>
                      <w:rPr>
                        <w:rFonts w:ascii="Arial" w:hAnsi="Arial"/>
                        <w:color w:val="231F20"/>
                        <w:spacing w:val="2"/>
                        <w:sz w:val="15"/>
                      </w:rPr>
                      <w:t> </w:t>
                    </w:r>
                    <w:r>
                      <w:rPr>
                        <w:rFonts w:ascii="Arial" w:hAnsi="Arial"/>
                        <w:color w:val="231F20"/>
                        <w:spacing w:val="-2"/>
                        <w:w w:val="95"/>
                        <w:sz w:val="15"/>
                      </w:rPr>
                      <w:t>physique</w:t>
                    </w:r>
                  </w:p>
                </w:txbxContent>
              </v:textbox>
              <w10:wrap type="none"/>
            </v:shape>
            <v:shape style="position:absolute;left:1600;top:4128;width:3893;height:192" type="#_x0000_t202" id="docshape74" filled="false" stroked="false">
              <v:textbox inset="0,0,0,0">
                <w:txbxContent>
                  <w:p>
                    <w:pPr>
                      <w:tabs>
                        <w:tab w:pos="987" w:val="left" w:leader="none"/>
                        <w:tab w:pos="2084" w:val="left" w:leader="none"/>
                        <w:tab w:pos="3064" w:val="left" w:leader="none"/>
                      </w:tabs>
                      <w:spacing w:before="18"/>
                      <w:ind w:left="0" w:right="0" w:firstLine="0"/>
                      <w:jc w:val="left"/>
                      <w:rPr>
                        <w:rFonts w:ascii="Arial"/>
                        <w:sz w:val="15"/>
                      </w:rPr>
                    </w:pPr>
                    <w:r>
                      <w:rPr>
                        <w:rFonts w:ascii="Arial"/>
                        <w:color w:val="231F20"/>
                        <w:spacing w:val="-2"/>
                        <w:sz w:val="15"/>
                      </w:rPr>
                      <w:t>Motivation</w:t>
                    </w:r>
                    <w:r>
                      <w:rPr>
                        <w:rFonts w:ascii="Arial"/>
                        <w:color w:val="231F20"/>
                        <w:sz w:val="15"/>
                      </w:rPr>
                      <w:tab/>
                    </w:r>
                    <w:r>
                      <w:rPr>
                        <w:rFonts w:ascii="Arial"/>
                        <w:color w:val="231F20"/>
                        <w:spacing w:val="-2"/>
                        <w:sz w:val="15"/>
                      </w:rPr>
                      <w:t>Engagement</w:t>
                    </w:r>
                    <w:r>
                      <w:rPr>
                        <w:rFonts w:ascii="Arial"/>
                        <w:color w:val="231F20"/>
                        <w:sz w:val="15"/>
                      </w:rPr>
                      <w:tab/>
                    </w:r>
                    <w:r>
                      <w:rPr>
                        <w:rFonts w:ascii="Arial"/>
                        <w:color w:val="231F20"/>
                        <w:spacing w:val="-2"/>
                        <w:w w:val="95"/>
                        <w:sz w:val="15"/>
                      </w:rPr>
                      <w:t>Satisfaction</w:t>
                    </w:r>
                    <w:r>
                      <w:rPr>
                        <w:rFonts w:ascii="Arial"/>
                        <w:color w:val="231F20"/>
                        <w:sz w:val="15"/>
                      </w:rPr>
                      <w:tab/>
                    </w:r>
                    <w:r>
                      <w:rPr>
                        <w:rFonts w:ascii="Arial"/>
                        <w:color w:val="231F20"/>
                        <w:w w:val="90"/>
                        <w:sz w:val="15"/>
                      </w:rPr>
                      <w:t>Estime</w:t>
                    </w:r>
                    <w:r>
                      <w:rPr>
                        <w:rFonts w:ascii="Arial"/>
                        <w:color w:val="231F20"/>
                        <w:spacing w:val="-5"/>
                        <w:w w:val="90"/>
                        <w:sz w:val="15"/>
                      </w:rPr>
                      <w:t> </w:t>
                    </w:r>
                    <w:r>
                      <w:rPr>
                        <w:rFonts w:ascii="Arial"/>
                        <w:color w:val="231F20"/>
                        <w:w w:val="90"/>
                        <w:sz w:val="15"/>
                      </w:rPr>
                      <w:t>de</w:t>
                    </w:r>
                    <w:r>
                      <w:rPr>
                        <w:rFonts w:ascii="Arial"/>
                        <w:color w:val="231F20"/>
                        <w:spacing w:val="-4"/>
                        <w:w w:val="90"/>
                        <w:sz w:val="15"/>
                      </w:rPr>
                      <w:t> </w:t>
                    </w:r>
                    <w:r>
                      <w:rPr>
                        <w:rFonts w:ascii="Arial"/>
                        <w:color w:val="231F20"/>
                        <w:spacing w:val="-5"/>
                        <w:w w:val="90"/>
                        <w:sz w:val="15"/>
                      </w:rPr>
                      <w:t>soi</w:t>
                    </w:r>
                  </w:p>
                </w:txbxContent>
              </v:textbox>
              <w10:wrap type="none"/>
            </v:shape>
            <v:shape style="position:absolute;left:5945;top:4128;width:516;height:192" type="#_x0000_t202" id="docshape75" filled="false" stroked="false">
              <v:textbox inset="0,0,0,0">
                <w:txbxContent>
                  <w:p>
                    <w:pPr>
                      <w:spacing w:before="18"/>
                      <w:ind w:left="0" w:right="0" w:firstLine="0"/>
                      <w:jc w:val="left"/>
                      <w:rPr>
                        <w:rFonts w:ascii="Arial" w:hAnsi="Arial"/>
                        <w:sz w:val="15"/>
                      </w:rPr>
                    </w:pPr>
                    <w:r>
                      <w:rPr>
                        <w:rFonts w:ascii="Arial" w:hAnsi="Arial"/>
                        <w:color w:val="231F20"/>
                        <w:spacing w:val="-2"/>
                        <w:w w:val="95"/>
                        <w:sz w:val="15"/>
                      </w:rPr>
                      <w:t>Loyauté</w:t>
                    </w:r>
                  </w:p>
                </w:txbxContent>
              </v:textbox>
              <w10:wrap type="none"/>
            </v:shape>
            <v:shape style="position:absolute;left:1657;top:4308;width:5086;height:192" type="#_x0000_t202" id="docshape76" filled="false" stroked="false">
              <v:textbox inset="0,0,0,0">
                <w:txbxContent>
                  <w:p>
                    <w:pPr>
                      <w:tabs>
                        <w:tab w:pos="845" w:val="left" w:leader="none"/>
                        <w:tab w:pos="2108" w:val="left" w:leader="none"/>
                        <w:tab w:pos="2939" w:val="left" w:leader="none"/>
                      </w:tabs>
                      <w:spacing w:before="18"/>
                      <w:ind w:left="0" w:right="0" w:firstLine="0"/>
                      <w:jc w:val="left"/>
                      <w:rPr>
                        <w:rFonts w:ascii="Arial"/>
                        <w:sz w:val="15"/>
                      </w:rPr>
                    </w:pPr>
                    <w:r>
                      <w:rPr>
                        <w:rFonts w:ascii="Arial"/>
                        <w:color w:val="231F20"/>
                        <w:w w:val="85"/>
                        <w:sz w:val="15"/>
                      </w:rPr>
                      <w:t>au</w:t>
                    </w:r>
                    <w:r>
                      <w:rPr>
                        <w:rFonts w:ascii="Arial"/>
                        <w:color w:val="231F20"/>
                        <w:spacing w:val="-1"/>
                        <w:w w:val="85"/>
                        <w:sz w:val="15"/>
                      </w:rPr>
                      <w:t> </w:t>
                    </w:r>
                    <w:r>
                      <w:rPr>
                        <w:rFonts w:ascii="Arial"/>
                        <w:color w:val="231F20"/>
                        <w:spacing w:val="-2"/>
                        <w:sz w:val="15"/>
                      </w:rPr>
                      <w:t>travail</w:t>
                    </w:r>
                    <w:r>
                      <w:rPr>
                        <w:rFonts w:ascii="Arial"/>
                        <w:color w:val="231F20"/>
                        <w:sz w:val="15"/>
                      </w:rPr>
                      <w:tab/>
                    </w:r>
                    <w:r>
                      <w:rPr>
                        <w:rFonts w:ascii="Arial"/>
                        <w:color w:val="231F20"/>
                        <w:spacing w:val="-2"/>
                        <w:sz w:val="15"/>
                      </w:rPr>
                      <w:t>organisationnel</w:t>
                    </w:r>
                    <w:r>
                      <w:rPr>
                        <w:rFonts w:ascii="Arial"/>
                        <w:color w:val="231F20"/>
                        <w:sz w:val="15"/>
                      </w:rPr>
                      <w:tab/>
                    </w:r>
                    <w:r>
                      <w:rPr>
                        <w:rFonts w:ascii="Arial"/>
                        <w:color w:val="231F20"/>
                        <w:w w:val="85"/>
                        <w:sz w:val="15"/>
                      </w:rPr>
                      <w:t>au</w:t>
                    </w:r>
                    <w:r>
                      <w:rPr>
                        <w:rFonts w:ascii="Arial"/>
                        <w:color w:val="231F20"/>
                        <w:spacing w:val="-1"/>
                        <w:w w:val="85"/>
                        <w:sz w:val="15"/>
                      </w:rPr>
                      <w:t> </w:t>
                    </w:r>
                    <w:r>
                      <w:rPr>
                        <w:rFonts w:ascii="Arial"/>
                        <w:color w:val="231F20"/>
                        <w:spacing w:val="-2"/>
                        <w:sz w:val="15"/>
                      </w:rPr>
                      <w:t>travail</w:t>
                    </w:r>
                    <w:r>
                      <w:rPr>
                        <w:rFonts w:ascii="Arial"/>
                        <w:color w:val="231F20"/>
                        <w:sz w:val="15"/>
                      </w:rPr>
                      <w:tab/>
                    </w:r>
                    <w:r>
                      <w:rPr>
                        <w:rFonts w:ascii="Arial"/>
                        <w:color w:val="231F20"/>
                        <w:w w:val="95"/>
                        <w:sz w:val="15"/>
                      </w:rPr>
                      <w:t>professionnelle</w:t>
                    </w:r>
                    <w:r>
                      <w:rPr>
                        <w:rFonts w:ascii="Arial"/>
                        <w:color w:val="231F20"/>
                        <w:spacing w:val="60"/>
                        <w:sz w:val="15"/>
                      </w:rPr>
                      <w:t> </w:t>
                    </w:r>
                    <w:r>
                      <w:rPr>
                        <w:rFonts w:ascii="Arial"/>
                        <w:color w:val="231F20"/>
                        <w:spacing w:val="-2"/>
                        <w:w w:val="95"/>
                        <w:sz w:val="15"/>
                      </w:rPr>
                      <w:t>organisationnelle</w:t>
                    </w:r>
                  </w:p>
                </w:txbxContent>
              </v:textbox>
              <w10:wrap type="none"/>
            </v:shape>
            <v:shape style="position:absolute;left:2261;top:3257;width:1737;height:324" type="#_x0000_t202" id="docshape77" filled="true" fillcolor="#636466" stroked="false">
              <v:textbox inset="0,0,0,0">
                <w:txbxContent>
                  <w:p>
                    <w:pPr>
                      <w:spacing w:before="76"/>
                      <w:ind w:left="194" w:right="0" w:firstLine="0"/>
                      <w:jc w:val="left"/>
                      <w:rPr>
                        <w:rFonts w:ascii="Arial" w:hAnsi="Arial"/>
                        <w:b/>
                        <w:color w:val="000000"/>
                        <w:sz w:val="15"/>
                      </w:rPr>
                    </w:pPr>
                    <w:r>
                      <w:rPr>
                        <w:rFonts w:ascii="Arial" w:hAnsi="Arial"/>
                        <w:b/>
                        <w:color w:val="FFFFFF"/>
                        <w:w w:val="90"/>
                        <w:sz w:val="15"/>
                      </w:rPr>
                      <w:t>Santé</w:t>
                    </w:r>
                    <w:r>
                      <w:rPr>
                        <w:rFonts w:ascii="Arial" w:hAnsi="Arial"/>
                        <w:b/>
                        <w:color w:val="FFFFFF"/>
                        <w:spacing w:val="-8"/>
                        <w:w w:val="90"/>
                        <w:sz w:val="15"/>
                      </w:rPr>
                      <w:t> </w:t>
                    </w:r>
                    <w:r>
                      <w:rPr>
                        <w:rFonts w:ascii="Arial" w:hAnsi="Arial"/>
                        <w:b/>
                        <w:color w:val="FFFFFF"/>
                        <w:spacing w:val="-2"/>
                        <w:w w:val="95"/>
                        <w:sz w:val="15"/>
                      </w:rPr>
                      <w:t>psychologique</w:t>
                    </w:r>
                  </w:p>
                </w:txbxContent>
              </v:textbox>
              <v:fill type="solid"/>
              <w10:wrap type="none"/>
            </v:shape>
            <v:shape style="position:absolute;left:3256;top:2138;width:1737;height:324" type="#_x0000_t202" id="docshape78" filled="true" fillcolor="#636466" stroked="false">
              <v:textbox inset="0,0,0,0">
                <w:txbxContent>
                  <w:p>
                    <w:pPr>
                      <w:spacing w:before="76"/>
                      <w:ind w:left="191" w:right="0" w:firstLine="0"/>
                      <w:jc w:val="left"/>
                      <w:rPr>
                        <w:rFonts w:ascii="Arial"/>
                        <w:b/>
                        <w:color w:val="000000"/>
                        <w:sz w:val="15"/>
                      </w:rPr>
                    </w:pPr>
                    <w:r>
                      <w:rPr>
                        <w:rFonts w:ascii="Arial"/>
                        <w:b/>
                        <w:color w:val="FFFFFF"/>
                        <w:w w:val="85"/>
                        <w:sz w:val="15"/>
                      </w:rPr>
                      <w:t>Stress</w:t>
                    </w:r>
                    <w:r>
                      <w:rPr>
                        <w:rFonts w:ascii="Arial"/>
                        <w:b/>
                        <w:color w:val="FFFFFF"/>
                        <w:spacing w:val="-4"/>
                        <w:w w:val="85"/>
                        <w:sz w:val="15"/>
                      </w:rPr>
                      <w:t> </w:t>
                    </w:r>
                    <w:r>
                      <w:rPr>
                        <w:rFonts w:ascii="Arial"/>
                        <w:b/>
                        <w:color w:val="FFFFFF"/>
                        <w:spacing w:val="-2"/>
                        <w:w w:val="95"/>
                        <w:sz w:val="15"/>
                      </w:rPr>
                      <w:t>occupationnel</w:t>
                    </w:r>
                  </w:p>
                </w:txbxContent>
              </v:textbox>
              <v:fill type="solid"/>
              <w10:wrap type="none"/>
            </v:shape>
            <w10:wrap type="topAndBottom"/>
          </v:group>
        </w:pict>
      </w:r>
    </w:p>
    <w:p>
      <w:pPr>
        <w:pStyle w:val="BodyText"/>
        <w:rPr>
          <w:sz w:val="20"/>
        </w:rPr>
      </w:pPr>
    </w:p>
    <w:p>
      <w:pPr>
        <w:pStyle w:val="BodyText"/>
        <w:spacing w:before="5"/>
        <w:rPr>
          <w:sz w:val="25"/>
        </w:rPr>
      </w:pPr>
    </w:p>
    <w:p>
      <w:pPr>
        <w:pStyle w:val="Heading2"/>
        <w:numPr>
          <w:ilvl w:val="1"/>
          <w:numId w:val="11"/>
        </w:numPr>
        <w:tabs>
          <w:tab w:pos="481" w:val="left" w:leader="none"/>
          <w:tab w:pos="789" w:val="left" w:leader="none"/>
        </w:tabs>
        <w:spacing w:line="240" w:lineRule="auto" w:before="0" w:after="0"/>
        <w:ind w:left="480" w:right="0" w:hanging="279"/>
        <w:jc w:val="left"/>
      </w:pPr>
      <w:r>
        <w:rPr>
          <w:b w:val="0"/>
          <w:i/>
          <w:color w:val="231F20"/>
          <w:spacing w:val="-10"/>
        </w:rPr>
        <w:t>/</w:t>
      </w:r>
      <w:r>
        <w:rPr>
          <w:b w:val="0"/>
          <w:i/>
          <w:color w:val="231F20"/>
        </w:rPr>
        <w:tab/>
      </w:r>
      <w:r>
        <w:rPr>
          <w:color w:val="231F20"/>
          <w:w w:val="95"/>
        </w:rPr>
        <w:t>Qu’est-ce</w:t>
      </w:r>
      <w:r>
        <w:rPr>
          <w:color w:val="231F20"/>
          <w:spacing w:val="-7"/>
          <w:w w:val="95"/>
        </w:rPr>
        <w:t> </w:t>
      </w:r>
      <w:r>
        <w:rPr>
          <w:color w:val="231F20"/>
          <w:w w:val="95"/>
        </w:rPr>
        <w:t>que</w:t>
      </w:r>
      <w:r>
        <w:rPr>
          <w:color w:val="231F20"/>
          <w:spacing w:val="-6"/>
          <w:w w:val="95"/>
        </w:rPr>
        <w:t> </w:t>
      </w:r>
      <w:r>
        <w:rPr>
          <w:color w:val="231F20"/>
          <w:w w:val="95"/>
        </w:rPr>
        <w:t>la</w:t>
      </w:r>
      <w:r>
        <w:rPr>
          <w:color w:val="231F20"/>
          <w:spacing w:val="-7"/>
          <w:w w:val="95"/>
        </w:rPr>
        <w:t> </w:t>
      </w:r>
      <w:r>
        <w:rPr>
          <w:color w:val="231F20"/>
          <w:w w:val="95"/>
        </w:rPr>
        <w:t>qualité</w:t>
      </w:r>
      <w:r>
        <w:rPr>
          <w:color w:val="231F20"/>
          <w:spacing w:val="-6"/>
          <w:w w:val="95"/>
        </w:rPr>
        <w:t> </w:t>
      </w:r>
      <w:r>
        <w:rPr>
          <w:color w:val="231F20"/>
          <w:w w:val="95"/>
        </w:rPr>
        <w:t>de</w:t>
      </w:r>
      <w:r>
        <w:rPr>
          <w:color w:val="231F20"/>
          <w:spacing w:val="-7"/>
          <w:w w:val="95"/>
        </w:rPr>
        <w:t> </w:t>
      </w:r>
      <w:r>
        <w:rPr>
          <w:color w:val="231F20"/>
          <w:w w:val="95"/>
        </w:rPr>
        <w:t>vie</w:t>
      </w:r>
      <w:r>
        <w:rPr>
          <w:color w:val="231F20"/>
          <w:spacing w:val="-6"/>
          <w:w w:val="95"/>
        </w:rPr>
        <w:t> </w:t>
      </w:r>
      <w:r>
        <w:rPr>
          <w:color w:val="231F20"/>
          <w:w w:val="95"/>
        </w:rPr>
        <w:t>au</w:t>
      </w:r>
      <w:r>
        <w:rPr>
          <w:color w:val="231F20"/>
          <w:spacing w:val="-6"/>
          <w:w w:val="95"/>
        </w:rPr>
        <w:t> </w:t>
      </w:r>
      <w:r>
        <w:rPr>
          <w:color w:val="231F20"/>
          <w:w w:val="95"/>
        </w:rPr>
        <w:t>travail</w:t>
      </w:r>
      <w:r>
        <w:rPr>
          <w:color w:val="231F20"/>
          <w:spacing w:val="-33"/>
          <w:w w:val="95"/>
        </w:rPr>
        <w:t> </w:t>
      </w:r>
      <w:r>
        <w:rPr>
          <w:color w:val="231F20"/>
          <w:spacing w:val="-10"/>
          <w:w w:val="95"/>
        </w:rPr>
        <w:t>?</w:t>
      </w:r>
    </w:p>
    <w:p>
      <w:pPr>
        <w:pStyle w:val="BodyText"/>
        <w:spacing w:before="9"/>
        <w:rPr>
          <w:rFonts w:ascii="Arial"/>
          <w:b/>
          <w:sz w:val="25"/>
        </w:rPr>
      </w:pPr>
    </w:p>
    <w:p>
      <w:pPr>
        <w:pStyle w:val="BodyText"/>
        <w:spacing w:line="307" w:lineRule="auto" w:before="1"/>
        <w:ind w:left="790" w:right="634"/>
        <w:jc w:val="both"/>
      </w:pPr>
      <w:r>
        <w:rPr>
          <w:color w:val="231F20"/>
          <w:w w:val="120"/>
        </w:rPr>
        <w:t>La</w:t>
      </w:r>
      <w:r>
        <w:rPr>
          <w:color w:val="231F20"/>
          <w:spacing w:val="-2"/>
          <w:w w:val="120"/>
        </w:rPr>
        <w:t> </w:t>
      </w:r>
      <w:r>
        <w:rPr>
          <w:color w:val="231F20"/>
          <w:w w:val="120"/>
        </w:rPr>
        <w:t>qualité</w:t>
      </w:r>
      <w:r>
        <w:rPr>
          <w:color w:val="231F20"/>
          <w:spacing w:val="-2"/>
          <w:w w:val="120"/>
        </w:rPr>
        <w:t> </w:t>
      </w:r>
      <w:r>
        <w:rPr>
          <w:color w:val="231F20"/>
          <w:w w:val="120"/>
        </w:rPr>
        <w:t>de</w:t>
      </w:r>
      <w:r>
        <w:rPr>
          <w:color w:val="231F20"/>
          <w:spacing w:val="-2"/>
          <w:w w:val="120"/>
        </w:rPr>
        <w:t> </w:t>
      </w:r>
      <w:r>
        <w:rPr>
          <w:color w:val="231F20"/>
          <w:w w:val="120"/>
        </w:rPr>
        <w:t>vie</w:t>
      </w:r>
      <w:r>
        <w:rPr>
          <w:color w:val="231F20"/>
          <w:spacing w:val="-2"/>
          <w:w w:val="120"/>
        </w:rPr>
        <w:t> </w:t>
      </w:r>
      <w:r>
        <w:rPr>
          <w:color w:val="231F20"/>
          <w:w w:val="120"/>
        </w:rPr>
        <w:t>au</w:t>
      </w:r>
      <w:r>
        <w:rPr>
          <w:color w:val="231F20"/>
          <w:spacing w:val="-2"/>
          <w:w w:val="120"/>
        </w:rPr>
        <w:t> </w:t>
      </w:r>
      <w:r>
        <w:rPr>
          <w:color w:val="231F20"/>
          <w:w w:val="120"/>
        </w:rPr>
        <w:t>travail</w:t>
      </w:r>
      <w:r>
        <w:rPr>
          <w:color w:val="231F20"/>
          <w:spacing w:val="-2"/>
          <w:w w:val="120"/>
        </w:rPr>
        <w:t> </w:t>
      </w:r>
      <w:r>
        <w:rPr>
          <w:color w:val="231F20"/>
          <w:w w:val="120"/>
        </w:rPr>
        <w:t>est</w:t>
      </w:r>
      <w:r>
        <w:rPr>
          <w:color w:val="231F20"/>
          <w:spacing w:val="-2"/>
          <w:w w:val="120"/>
        </w:rPr>
        <w:t> </w:t>
      </w:r>
      <w:r>
        <w:rPr>
          <w:color w:val="231F20"/>
          <w:w w:val="120"/>
        </w:rPr>
        <w:t>un</w:t>
      </w:r>
      <w:r>
        <w:rPr>
          <w:color w:val="231F20"/>
          <w:spacing w:val="-2"/>
          <w:w w:val="120"/>
        </w:rPr>
        <w:t> </w:t>
      </w:r>
      <w:r>
        <w:rPr>
          <w:color w:val="231F20"/>
          <w:w w:val="120"/>
        </w:rPr>
        <w:t>concept</w:t>
      </w:r>
      <w:r>
        <w:rPr>
          <w:color w:val="231F20"/>
          <w:spacing w:val="-2"/>
          <w:w w:val="120"/>
        </w:rPr>
        <w:t> </w:t>
      </w:r>
      <w:r>
        <w:rPr>
          <w:color w:val="231F20"/>
          <w:w w:val="120"/>
        </w:rPr>
        <w:t>multidimensionnel</w:t>
      </w:r>
      <w:r>
        <w:rPr>
          <w:color w:val="231F20"/>
          <w:spacing w:val="-2"/>
          <w:w w:val="120"/>
        </w:rPr>
        <w:t> </w:t>
      </w:r>
      <w:r>
        <w:rPr>
          <w:color w:val="231F20"/>
          <w:w w:val="120"/>
        </w:rPr>
        <w:t>et</w:t>
      </w:r>
      <w:r>
        <w:rPr>
          <w:color w:val="231F20"/>
          <w:spacing w:val="-2"/>
          <w:w w:val="120"/>
        </w:rPr>
        <w:t> </w:t>
      </w:r>
      <w:r>
        <w:rPr>
          <w:color w:val="231F20"/>
          <w:w w:val="120"/>
        </w:rPr>
        <w:t>multi- facette,</w:t>
      </w:r>
      <w:r>
        <w:rPr>
          <w:color w:val="231F20"/>
          <w:spacing w:val="-6"/>
          <w:w w:val="120"/>
        </w:rPr>
        <w:t> </w:t>
      </w:r>
      <w:r>
        <w:rPr>
          <w:color w:val="231F20"/>
          <w:w w:val="120"/>
        </w:rPr>
        <w:t>une</w:t>
      </w:r>
      <w:r>
        <w:rPr>
          <w:color w:val="231F20"/>
          <w:spacing w:val="-6"/>
          <w:w w:val="120"/>
        </w:rPr>
        <w:t> </w:t>
      </w:r>
      <w:r>
        <w:rPr>
          <w:color w:val="231F20"/>
          <w:w w:val="120"/>
        </w:rPr>
        <w:t>philosophie</w:t>
      </w:r>
      <w:r>
        <w:rPr>
          <w:color w:val="231F20"/>
          <w:spacing w:val="-6"/>
          <w:w w:val="120"/>
        </w:rPr>
        <w:t> </w:t>
      </w:r>
      <w:r>
        <w:rPr>
          <w:color w:val="231F20"/>
          <w:w w:val="120"/>
        </w:rPr>
        <w:t>qui</w:t>
      </w:r>
      <w:r>
        <w:rPr>
          <w:color w:val="231F20"/>
          <w:spacing w:val="-6"/>
          <w:w w:val="120"/>
        </w:rPr>
        <w:t> </w:t>
      </w:r>
      <w:r>
        <w:rPr>
          <w:color w:val="231F20"/>
          <w:w w:val="120"/>
        </w:rPr>
        <w:t>vise</w:t>
      </w:r>
      <w:r>
        <w:rPr>
          <w:color w:val="231F20"/>
          <w:spacing w:val="-6"/>
          <w:w w:val="120"/>
        </w:rPr>
        <w:t> </w:t>
      </w:r>
      <w:r>
        <w:rPr>
          <w:color w:val="231F20"/>
          <w:w w:val="120"/>
        </w:rPr>
        <w:t>à</w:t>
      </w:r>
      <w:r>
        <w:rPr>
          <w:color w:val="231F20"/>
          <w:spacing w:val="-6"/>
          <w:w w:val="120"/>
        </w:rPr>
        <w:t> </w:t>
      </w:r>
      <w:r>
        <w:rPr>
          <w:color w:val="231F20"/>
          <w:w w:val="120"/>
        </w:rPr>
        <w:t>améliorer</w:t>
      </w:r>
      <w:r>
        <w:rPr>
          <w:color w:val="231F20"/>
          <w:spacing w:val="-6"/>
          <w:w w:val="120"/>
        </w:rPr>
        <w:t> </w:t>
      </w:r>
      <w:r>
        <w:rPr>
          <w:color w:val="231F20"/>
          <w:w w:val="120"/>
        </w:rPr>
        <w:t>la</w:t>
      </w:r>
      <w:r>
        <w:rPr>
          <w:color w:val="231F20"/>
          <w:spacing w:val="-6"/>
          <w:w w:val="120"/>
        </w:rPr>
        <w:t> </w:t>
      </w:r>
      <w:r>
        <w:rPr>
          <w:color w:val="231F20"/>
          <w:w w:val="120"/>
        </w:rPr>
        <w:t>vie</w:t>
      </w:r>
      <w:r>
        <w:rPr>
          <w:color w:val="231F20"/>
          <w:spacing w:val="-6"/>
          <w:w w:val="120"/>
        </w:rPr>
        <w:t> </w:t>
      </w:r>
      <w:r>
        <w:rPr>
          <w:color w:val="231F20"/>
          <w:w w:val="120"/>
        </w:rPr>
        <w:t>des</w:t>
      </w:r>
      <w:r>
        <w:rPr>
          <w:color w:val="231F20"/>
          <w:spacing w:val="-6"/>
          <w:w w:val="120"/>
        </w:rPr>
        <w:t> </w:t>
      </w:r>
      <w:r>
        <w:rPr>
          <w:color w:val="231F20"/>
          <w:w w:val="120"/>
        </w:rPr>
        <w:t>employés</w:t>
      </w:r>
      <w:r>
        <w:rPr>
          <w:color w:val="231F20"/>
          <w:spacing w:val="-6"/>
          <w:w w:val="120"/>
        </w:rPr>
        <w:t> </w:t>
      </w:r>
      <w:r>
        <w:rPr>
          <w:color w:val="231F20"/>
          <w:w w:val="120"/>
        </w:rPr>
        <w:t>d’une organisation</w:t>
      </w:r>
      <w:r>
        <w:rPr>
          <w:color w:val="231F20"/>
          <w:spacing w:val="-11"/>
          <w:w w:val="120"/>
        </w:rPr>
        <w:t> </w:t>
      </w:r>
      <w:r>
        <w:rPr>
          <w:color w:val="231F20"/>
          <w:w w:val="120"/>
        </w:rPr>
        <w:t>et</w:t>
      </w:r>
      <w:r>
        <w:rPr>
          <w:color w:val="231F20"/>
          <w:spacing w:val="-11"/>
          <w:w w:val="120"/>
        </w:rPr>
        <w:t> </w:t>
      </w:r>
      <w:r>
        <w:rPr>
          <w:color w:val="231F20"/>
          <w:w w:val="120"/>
        </w:rPr>
        <w:t>qui</w:t>
      </w:r>
      <w:r>
        <w:rPr>
          <w:color w:val="231F20"/>
          <w:spacing w:val="-11"/>
          <w:w w:val="120"/>
        </w:rPr>
        <w:t> </w:t>
      </w:r>
      <w:r>
        <w:rPr>
          <w:color w:val="231F20"/>
          <w:w w:val="120"/>
        </w:rPr>
        <w:t>intègre</w:t>
      </w:r>
      <w:r>
        <w:rPr>
          <w:color w:val="231F20"/>
          <w:spacing w:val="-11"/>
          <w:w w:val="120"/>
        </w:rPr>
        <w:t> </w:t>
      </w:r>
      <w:r>
        <w:rPr>
          <w:color w:val="231F20"/>
          <w:w w:val="120"/>
        </w:rPr>
        <w:t>diverses</w:t>
      </w:r>
      <w:r>
        <w:rPr>
          <w:color w:val="231F20"/>
          <w:spacing w:val="-11"/>
          <w:w w:val="120"/>
        </w:rPr>
        <w:t> </w:t>
      </w:r>
      <w:r>
        <w:rPr>
          <w:color w:val="231F20"/>
          <w:w w:val="120"/>
        </w:rPr>
        <w:t>notions,</w:t>
      </w:r>
      <w:r>
        <w:rPr>
          <w:color w:val="231F20"/>
          <w:spacing w:val="-11"/>
          <w:w w:val="120"/>
        </w:rPr>
        <w:t> </w:t>
      </w:r>
      <w:r>
        <w:rPr>
          <w:color w:val="231F20"/>
          <w:w w:val="120"/>
        </w:rPr>
        <w:t>dont</w:t>
      </w:r>
      <w:r>
        <w:rPr>
          <w:color w:val="231F20"/>
          <w:spacing w:val="-11"/>
          <w:w w:val="120"/>
        </w:rPr>
        <w:t> </w:t>
      </w:r>
      <w:r>
        <w:rPr>
          <w:color w:val="231F20"/>
          <w:w w:val="120"/>
        </w:rPr>
        <w:t>celle</w:t>
      </w:r>
      <w:r>
        <w:rPr>
          <w:color w:val="231F20"/>
          <w:spacing w:val="-11"/>
          <w:w w:val="120"/>
        </w:rPr>
        <w:t> </w:t>
      </w:r>
      <w:r>
        <w:rPr>
          <w:color w:val="231F20"/>
          <w:w w:val="120"/>
        </w:rPr>
        <w:t>de</w:t>
      </w:r>
      <w:r>
        <w:rPr>
          <w:color w:val="231F20"/>
          <w:spacing w:val="-9"/>
          <w:w w:val="120"/>
        </w:rPr>
        <w:t> </w:t>
      </w:r>
      <w:r>
        <w:rPr>
          <w:i/>
          <w:color w:val="231F20"/>
          <w:w w:val="120"/>
        </w:rPr>
        <w:t>santé</w:t>
      </w:r>
      <w:r>
        <w:rPr>
          <w:i/>
          <w:color w:val="231F20"/>
          <w:spacing w:val="-11"/>
          <w:w w:val="120"/>
        </w:rPr>
        <w:t> </w:t>
      </w:r>
      <w:r>
        <w:rPr>
          <w:i/>
          <w:color w:val="231F20"/>
          <w:w w:val="120"/>
        </w:rPr>
        <w:t>psycho- </w:t>
      </w:r>
      <w:r>
        <w:rPr>
          <w:i/>
          <w:color w:val="231F20"/>
          <w:w w:val="115"/>
        </w:rPr>
        <w:t>logique</w:t>
      </w:r>
      <w:r>
        <w:rPr>
          <w:color w:val="231F20"/>
          <w:w w:val="115"/>
        </w:rPr>
        <w:t>. Simplement dit, la qualité de vie au travail est un effort concerté </w:t>
      </w:r>
      <w:r>
        <w:rPr>
          <w:color w:val="231F20"/>
          <w:w w:val="120"/>
        </w:rPr>
        <w:t>afin de créer une «</w:t>
      </w:r>
      <w:r>
        <w:rPr>
          <w:color w:val="231F20"/>
          <w:spacing w:val="-28"/>
          <w:w w:val="120"/>
        </w:rPr>
        <w:t> </w:t>
      </w:r>
      <w:r>
        <w:rPr>
          <w:color w:val="231F20"/>
          <w:w w:val="120"/>
        </w:rPr>
        <w:t>qualité de l’expérience humaine au travail8</w:t>
      </w:r>
      <w:r>
        <w:rPr>
          <w:color w:val="231F20"/>
          <w:spacing w:val="-30"/>
          <w:w w:val="120"/>
        </w:rPr>
        <w:t> </w:t>
      </w:r>
      <w:r>
        <w:rPr>
          <w:color w:val="231F20"/>
          <w:w w:val="120"/>
        </w:rPr>
        <w:t>». Pour</w:t>
      </w:r>
    </w:p>
    <w:p>
      <w:pPr>
        <w:pStyle w:val="BodyText"/>
        <w:spacing w:before="8"/>
        <w:rPr>
          <w:sz w:val="15"/>
        </w:rPr>
      </w:pPr>
      <w:r>
        <w:rPr/>
        <w:pict>
          <v:shape style="position:absolute;margin-left:62.5pt;margin-top:10.224556pt;width:287.5pt;height:.1pt;mso-position-horizontal-relative:page;mso-position-vertical-relative:paragraph;z-index:-15717376;mso-wrap-distance-left:0;mso-wrap-distance-right:0" id="docshape79" coordorigin="1250,204" coordsize="5750,0" path="m1250,204l7000,204e" filled="false" stroked="true" strokeweight=".25pt" strokecolor="#231f20">
            <v:path arrowok="t"/>
            <v:stroke dashstyle="shortdot"/>
            <w10:wrap type="topAndBottom"/>
          </v:shape>
        </w:pict>
      </w:r>
    </w:p>
    <w:p>
      <w:pPr>
        <w:pStyle w:val="ListParagraph"/>
        <w:numPr>
          <w:ilvl w:val="0"/>
          <w:numId w:val="12"/>
        </w:numPr>
        <w:tabs>
          <w:tab w:pos="790" w:val="left" w:leader="none"/>
        </w:tabs>
        <w:spacing w:line="295" w:lineRule="auto" w:before="135" w:after="0"/>
        <w:ind w:left="789" w:right="634" w:hanging="328"/>
        <w:jc w:val="both"/>
        <w:rPr>
          <w:rFonts w:ascii="Arial"/>
          <w:sz w:val="12"/>
        </w:rPr>
      </w:pPr>
      <w:r>
        <w:rPr>
          <w:rFonts w:ascii="Arial"/>
          <w:color w:val="231F20"/>
          <w:w w:val="95"/>
          <w:sz w:val="12"/>
        </w:rPr>
        <w:t>Boudrias,</w:t>
      </w:r>
      <w:r>
        <w:rPr>
          <w:rFonts w:ascii="Arial"/>
          <w:color w:val="231F20"/>
          <w:spacing w:val="-5"/>
          <w:w w:val="95"/>
          <w:sz w:val="12"/>
        </w:rPr>
        <w:t> </w:t>
      </w:r>
      <w:r>
        <w:rPr>
          <w:rFonts w:ascii="Arial"/>
          <w:color w:val="231F20"/>
          <w:w w:val="95"/>
          <w:sz w:val="12"/>
        </w:rPr>
        <w:t>J.</w:t>
      </w:r>
      <w:r>
        <w:rPr>
          <w:rFonts w:ascii="Arial"/>
          <w:color w:val="231F20"/>
          <w:spacing w:val="-5"/>
          <w:w w:val="95"/>
          <w:sz w:val="12"/>
        </w:rPr>
        <w:t> </w:t>
      </w:r>
      <w:r>
        <w:rPr>
          <w:rFonts w:ascii="Arial"/>
          <w:color w:val="231F20"/>
          <w:w w:val="95"/>
          <w:sz w:val="12"/>
        </w:rPr>
        <w:t>S.,</w:t>
      </w:r>
      <w:r>
        <w:rPr>
          <w:rFonts w:ascii="Arial"/>
          <w:color w:val="231F20"/>
          <w:spacing w:val="-5"/>
          <w:w w:val="95"/>
          <w:sz w:val="12"/>
        </w:rPr>
        <w:t> </w:t>
      </w:r>
      <w:r>
        <w:rPr>
          <w:rFonts w:ascii="Arial"/>
          <w:color w:val="231F20"/>
          <w:w w:val="95"/>
          <w:sz w:val="12"/>
        </w:rPr>
        <w:t>Desrumaux,</w:t>
      </w:r>
      <w:r>
        <w:rPr>
          <w:rFonts w:ascii="Arial"/>
          <w:color w:val="231F20"/>
          <w:spacing w:val="-5"/>
          <w:w w:val="95"/>
          <w:sz w:val="12"/>
        </w:rPr>
        <w:t> </w:t>
      </w:r>
      <w:r>
        <w:rPr>
          <w:rFonts w:ascii="Arial"/>
          <w:color w:val="231F20"/>
          <w:w w:val="95"/>
          <w:sz w:val="12"/>
        </w:rPr>
        <w:t>P.,</w:t>
      </w:r>
      <w:r>
        <w:rPr>
          <w:rFonts w:ascii="Arial"/>
          <w:color w:val="231F20"/>
          <w:spacing w:val="-5"/>
          <w:w w:val="95"/>
          <w:sz w:val="12"/>
        </w:rPr>
        <w:t> </w:t>
      </w:r>
      <w:r>
        <w:rPr>
          <w:rFonts w:ascii="Arial"/>
          <w:color w:val="231F20"/>
          <w:w w:val="95"/>
          <w:sz w:val="12"/>
        </w:rPr>
        <w:t>Gaudreau,</w:t>
      </w:r>
      <w:r>
        <w:rPr>
          <w:rFonts w:ascii="Arial"/>
          <w:color w:val="231F20"/>
          <w:spacing w:val="-5"/>
          <w:w w:val="95"/>
          <w:sz w:val="12"/>
        </w:rPr>
        <w:t> </w:t>
      </w:r>
      <w:r>
        <w:rPr>
          <w:rFonts w:ascii="Arial"/>
          <w:color w:val="231F20"/>
          <w:w w:val="95"/>
          <w:sz w:val="12"/>
        </w:rPr>
        <w:t>P.,</w:t>
      </w:r>
      <w:r>
        <w:rPr>
          <w:rFonts w:ascii="Arial"/>
          <w:color w:val="231F20"/>
          <w:spacing w:val="-5"/>
          <w:w w:val="95"/>
          <w:sz w:val="12"/>
        </w:rPr>
        <w:t> </w:t>
      </w:r>
      <w:r>
        <w:rPr>
          <w:rFonts w:ascii="Arial"/>
          <w:color w:val="231F20"/>
          <w:w w:val="95"/>
          <w:sz w:val="12"/>
        </w:rPr>
        <w:t>Nelson,</w:t>
      </w:r>
      <w:r>
        <w:rPr>
          <w:rFonts w:ascii="Arial"/>
          <w:color w:val="231F20"/>
          <w:spacing w:val="-5"/>
          <w:w w:val="95"/>
          <w:sz w:val="12"/>
        </w:rPr>
        <w:t> </w:t>
      </w:r>
      <w:r>
        <w:rPr>
          <w:rFonts w:ascii="Arial"/>
          <w:color w:val="231F20"/>
          <w:w w:val="95"/>
          <w:sz w:val="12"/>
        </w:rPr>
        <w:t>K.,</w:t>
      </w:r>
      <w:r>
        <w:rPr>
          <w:rFonts w:ascii="Arial"/>
          <w:color w:val="231F20"/>
          <w:spacing w:val="-5"/>
          <w:w w:val="95"/>
          <w:sz w:val="12"/>
        </w:rPr>
        <w:t> </w:t>
      </w:r>
      <w:r>
        <w:rPr>
          <w:rFonts w:ascii="Arial"/>
          <w:color w:val="231F20"/>
          <w:w w:val="95"/>
          <w:sz w:val="12"/>
        </w:rPr>
        <w:t>Brunet,</w:t>
      </w:r>
      <w:r>
        <w:rPr>
          <w:rFonts w:ascii="Arial"/>
          <w:color w:val="231F20"/>
          <w:spacing w:val="-5"/>
          <w:w w:val="95"/>
          <w:sz w:val="12"/>
        </w:rPr>
        <w:t> </w:t>
      </w:r>
      <w:r>
        <w:rPr>
          <w:rFonts w:ascii="Arial"/>
          <w:color w:val="231F20"/>
          <w:w w:val="95"/>
          <w:sz w:val="12"/>
        </w:rPr>
        <w:t>L.</w:t>
      </w:r>
      <w:r>
        <w:rPr>
          <w:rFonts w:ascii="Arial"/>
          <w:color w:val="231F20"/>
          <w:spacing w:val="-5"/>
          <w:w w:val="95"/>
          <w:sz w:val="12"/>
        </w:rPr>
        <w:t> </w:t>
      </w:r>
      <w:r>
        <w:rPr>
          <w:rFonts w:ascii="Arial"/>
          <w:color w:val="231F20"/>
          <w:w w:val="95"/>
          <w:sz w:val="12"/>
        </w:rPr>
        <w:t>et</w:t>
      </w:r>
      <w:r>
        <w:rPr>
          <w:rFonts w:ascii="Arial"/>
          <w:color w:val="231F20"/>
          <w:spacing w:val="-5"/>
          <w:w w:val="95"/>
          <w:sz w:val="12"/>
        </w:rPr>
        <w:t> </w:t>
      </w:r>
      <w:r>
        <w:rPr>
          <w:rFonts w:ascii="Arial"/>
          <w:color w:val="231F20"/>
          <w:w w:val="95"/>
          <w:sz w:val="12"/>
        </w:rPr>
        <w:t>Savoie,</w:t>
      </w:r>
      <w:r>
        <w:rPr>
          <w:rFonts w:ascii="Arial"/>
          <w:color w:val="231F20"/>
          <w:spacing w:val="-5"/>
          <w:w w:val="95"/>
          <w:sz w:val="12"/>
        </w:rPr>
        <w:t> </w:t>
      </w:r>
      <w:r>
        <w:rPr>
          <w:rFonts w:ascii="Arial"/>
          <w:color w:val="231F20"/>
          <w:w w:val="95"/>
          <w:sz w:val="12"/>
        </w:rPr>
        <w:t>A.</w:t>
      </w:r>
      <w:r>
        <w:rPr>
          <w:rFonts w:ascii="Arial"/>
          <w:color w:val="231F20"/>
          <w:spacing w:val="-5"/>
          <w:w w:val="95"/>
          <w:sz w:val="12"/>
        </w:rPr>
        <w:t> </w:t>
      </w:r>
      <w:r>
        <w:rPr>
          <w:rFonts w:ascii="Arial"/>
          <w:color w:val="231F20"/>
          <w:w w:val="95"/>
          <w:sz w:val="12"/>
        </w:rPr>
        <w:t>(2011).</w:t>
      </w:r>
      <w:r>
        <w:rPr>
          <w:rFonts w:ascii="Arial"/>
          <w:color w:val="231F20"/>
          <w:spacing w:val="-5"/>
          <w:w w:val="95"/>
          <w:sz w:val="12"/>
        </w:rPr>
        <w:t> </w:t>
      </w:r>
      <w:r>
        <w:rPr>
          <w:rFonts w:ascii="Arial"/>
          <w:color w:val="231F20"/>
          <w:w w:val="95"/>
          <w:sz w:val="12"/>
        </w:rPr>
        <w:t>Modeling</w:t>
      </w:r>
      <w:r>
        <w:rPr>
          <w:rFonts w:ascii="Arial"/>
          <w:color w:val="231F20"/>
          <w:spacing w:val="-5"/>
          <w:w w:val="95"/>
          <w:sz w:val="12"/>
        </w:rPr>
        <w:t> </w:t>
      </w:r>
      <w:r>
        <w:rPr>
          <w:rFonts w:ascii="Arial"/>
          <w:color w:val="231F20"/>
          <w:w w:val="95"/>
          <w:sz w:val="12"/>
        </w:rPr>
        <w:t>the</w:t>
      </w:r>
      <w:r>
        <w:rPr>
          <w:rFonts w:ascii="Arial"/>
          <w:color w:val="231F20"/>
          <w:spacing w:val="-5"/>
          <w:w w:val="95"/>
          <w:sz w:val="12"/>
        </w:rPr>
        <w:t> </w:t>
      </w:r>
      <w:r>
        <w:rPr>
          <w:rFonts w:ascii="Arial"/>
          <w:color w:val="231F20"/>
          <w:w w:val="95"/>
          <w:sz w:val="12"/>
        </w:rPr>
        <w:t>experience</w:t>
      </w:r>
      <w:r>
        <w:rPr>
          <w:rFonts w:ascii="Arial"/>
          <w:color w:val="231F20"/>
          <w:spacing w:val="40"/>
          <w:sz w:val="12"/>
        </w:rPr>
        <w:t> </w:t>
      </w:r>
      <w:r>
        <w:rPr>
          <w:rFonts w:ascii="Arial"/>
          <w:color w:val="231F20"/>
          <w:sz w:val="12"/>
        </w:rPr>
        <w:t>of psychological health at work</w:t>
      </w:r>
      <w:r>
        <w:rPr>
          <w:rFonts w:ascii="Arial"/>
          <w:color w:val="231F20"/>
          <w:spacing w:val="-9"/>
          <w:sz w:val="12"/>
        </w:rPr>
        <w:t> </w:t>
      </w:r>
      <w:r>
        <w:rPr>
          <w:rFonts w:ascii="Arial"/>
          <w:color w:val="231F20"/>
          <w:sz w:val="12"/>
        </w:rPr>
        <w:t>: The role of personal resources social-organizational resources, and job</w:t>
      </w:r>
      <w:r>
        <w:rPr>
          <w:rFonts w:ascii="Arial"/>
          <w:color w:val="231F20"/>
          <w:spacing w:val="40"/>
          <w:sz w:val="12"/>
        </w:rPr>
        <w:t> </w:t>
      </w:r>
      <w:r>
        <w:rPr>
          <w:rFonts w:ascii="Arial"/>
          <w:color w:val="231F20"/>
          <w:sz w:val="12"/>
        </w:rPr>
        <w:t>demands, </w:t>
      </w:r>
      <w:r>
        <w:rPr>
          <w:rFonts w:ascii="Arial"/>
          <w:i/>
          <w:color w:val="231F20"/>
          <w:sz w:val="12"/>
        </w:rPr>
        <w:t>International Journal of Stress Management</w:t>
      </w:r>
      <w:r>
        <w:rPr>
          <w:rFonts w:ascii="Arial"/>
          <w:color w:val="231F20"/>
          <w:sz w:val="12"/>
        </w:rPr>
        <w:t>, </w:t>
      </w:r>
      <w:r>
        <w:rPr>
          <w:rFonts w:ascii="Arial"/>
          <w:i/>
          <w:color w:val="231F20"/>
          <w:sz w:val="12"/>
        </w:rPr>
        <w:t>18</w:t>
      </w:r>
      <w:r>
        <w:rPr>
          <w:rFonts w:ascii="Arial"/>
          <w:color w:val="231F20"/>
          <w:sz w:val="12"/>
        </w:rPr>
        <w:t>, 372-395.</w:t>
      </w:r>
    </w:p>
    <w:p>
      <w:pPr>
        <w:pStyle w:val="ListParagraph"/>
        <w:numPr>
          <w:ilvl w:val="0"/>
          <w:numId w:val="12"/>
        </w:numPr>
        <w:tabs>
          <w:tab w:pos="790" w:val="left" w:leader="none"/>
        </w:tabs>
        <w:spacing w:line="240" w:lineRule="auto" w:before="1" w:after="0"/>
        <w:ind w:left="789" w:right="0" w:hanging="328"/>
        <w:jc w:val="both"/>
        <w:rPr>
          <w:rFonts w:ascii="Arial"/>
          <w:sz w:val="12"/>
        </w:rPr>
      </w:pPr>
      <w:r>
        <w:rPr>
          <w:rFonts w:ascii="Arial"/>
          <w:color w:val="231F20"/>
          <w:sz w:val="12"/>
        </w:rPr>
        <w:t>Walton,</w:t>
      </w:r>
      <w:r>
        <w:rPr>
          <w:rFonts w:ascii="Arial"/>
          <w:color w:val="231F20"/>
          <w:spacing w:val="-9"/>
          <w:sz w:val="12"/>
        </w:rPr>
        <w:t> </w:t>
      </w:r>
      <w:r>
        <w:rPr>
          <w:rFonts w:ascii="Arial"/>
          <w:color w:val="231F20"/>
          <w:sz w:val="12"/>
        </w:rPr>
        <w:t>R.</w:t>
      </w:r>
      <w:r>
        <w:rPr>
          <w:rFonts w:ascii="Arial"/>
          <w:color w:val="231F20"/>
          <w:spacing w:val="-7"/>
          <w:sz w:val="12"/>
        </w:rPr>
        <w:t> </w:t>
      </w:r>
      <w:r>
        <w:rPr>
          <w:rFonts w:ascii="Arial"/>
          <w:color w:val="231F20"/>
          <w:sz w:val="12"/>
        </w:rPr>
        <w:t>E.</w:t>
      </w:r>
      <w:r>
        <w:rPr>
          <w:rFonts w:ascii="Arial"/>
          <w:color w:val="231F20"/>
          <w:spacing w:val="-7"/>
          <w:sz w:val="12"/>
        </w:rPr>
        <w:t> </w:t>
      </w:r>
      <w:r>
        <w:rPr>
          <w:rFonts w:ascii="Arial"/>
          <w:color w:val="231F20"/>
          <w:sz w:val="12"/>
        </w:rPr>
        <w:t>(1973).</w:t>
      </w:r>
      <w:r>
        <w:rPr>
          <w:rFonts w:ascii="Arial"/>
          <w:color w:val="231F20"/>
          <w:spacing w:val="-7"/>
          <w:sz w:val="12"/>
        </w:rPr>
        <w:t> </w:t>
      </w:r>
      <w:r>
        <w:rPr>
          <w:rFonts w:ascii="Arial"/>
          <w:color w:val="231F20"/>
          <w:sz w:val="12"/>
        </w:rPr>
        <w:t>Quality</w:t>
      </w:r>
      <w:r>
        <w:rPr>
          <w:rFonts w:ascii="Arial"/>
          <w:color w:val="231F20"/>
          <w:spacing w:val="-7"/>
          <w:sz w:val="12"/>
        </w:rPr>
        <w:t> </w:t>
      </w:r>
      <w:r>
        <w:rPr>
          <w:rFonts w:ascii="Arial"/>
          <w:color w:val="231F20"/>
          <w:sz w:val="12"/>
        </w:rPr>
        <w:t>of</w:t>
      </w:r>
      <w:r>
        <w:rPr>
          <w:rFonts w:ascii="Arial"/>
          <w:color w:val="231F20"/>
          <w:spacing w:val="-8"/>
          <w:sz w:val="12"/>
        </w:rPr>
        <w:t> </w:t>
      </w:r>
      <w:r>
        <w:rPr>
          <w:rFonts w:ascii="Arial"/>
          <w:color w:val="231F20"/>
          <w:sz w:val="12"/>
        </w:rPr>
        <w:t>working</w:t>
      </w:r>
      <w:r>
        <w:rPr>
          <w:rFonts w:ascii="Arial"/>
          <w:color w:val="231F20"/>
          <w:spacing w:val="-7"/>
          <w:sz w:val="12"/>
        </w:rPr>
        <w:t> </w:t>
      </w:r>
      <w:r>
        <w:rPr>
          <w:rFonts w:ascii="Arial"/>
          <w:color w:val="231F20"/>
          <w:sz w:val="12"/>
        </w:rPr>
        <w:t>life</w:t>
      </w:r>
      <w:r>
        <w:rPr>
          <w:rFonts w:ascii="Arial"/>
          <w:color w:val="231F20"/>
          <w:spacing w:val="-23"/>
          <w:sz w:val="12"/>
        </w:rPr>
        <w:t> </w:t>
      </w:r>
      <w:r>
        <w:rPr>
          <w:rFonts w:ascii="Arial"/>
          <w:color w:val="231F20"/>
          <w:sz w:val="12"/>
        </w:rPr>
        <w:t>:</w:t>
      </w:r>
      <w:r>
        <w:rPr>
          <w:rFonts w:ascii="Arial"/>
          <w:color w:val="231F20"/>
          <w:spacing w:val="-7"/>
          <w:sz w:val="12"/>
        </w:rPr>
        <w:t> </w:t>
      </w:r>
      <w:r>
        <w:rPr>
          <w:rFonts w:ascii="Arial"/>
          <w:color w:val="231F20"/>
          <w:sz w:val="12"/>
        </w:rPr>
        <w:t>What</w:t>
      </w:r>
      <w:r>
        <w:rPr>
          <w:rFonts w:ascii="Arial"/>
          <w:color w:val="231F20"/>
          <w:spacing w:val="-7"/>
          <w:sz w:val="12"/>
        </w:rPr>
        <w:t> </w:t>
      </w:r>
      <w:r>
        <w:rPr>
          <w:rFonts w:ascii="Arial"/>
          <w:color w:val="231F20"/>
          <w:sz w:val="12"/>
        </w:rPr>
        <w:t>is</w:t>
      </w:r>
      <w:r>
        <w:rPr>
          <w:rFonts w:ascii="Arial"/>
          <w:color w:val="231F20"/>
          <w:spacing w:val="-7"/>
          <w:sz w:val="12"/>
        </w:rPr>
        <w:t> </w:t>
      </w:r>
      <w:r>
        <w:rPr>
          <w:rFonts w:ascii="Arial"/>
          <w:color w:val="231F20"/>
          <w:sz w:val="12"/>
        </w:rPr>
        <w:t>it?,</w:t>
      </w:r>
      <w:r>
        <w:rPr>
          <w:rFonts w:ascii="Arial"/>
          <w:color w:val="231F20"/>
          <w:spacing w:val="-8"/>
          <w:sz w:val="12"/>
        </w:rPr>
        <w:t> </w:t>
      </w:r>
      <w:r>
        <w:rPr>
          <w:rFonts w:ascii="Arial"/>
          <w:i/>
          <w:color w:val="231F20"/>
          <w:sz w:val="12"/>
        </w:rPr>
        <w:t>Sloan</w:t>
      </w:r>
      <w:r>
        <w:rPr>
          <w:rFonts w:ascii="Arial"/>
          <w:i/>
          <w:color w:val="231F20"/>
          <w:spacing w:val="-7"/>
          <w:sz w:val="12"/>
        </w:rPr>
        <w:t> </w:t>
      </w:r>
      <w:r>
        <w:rPr>
          <w:rFonts w:ascii="Arial"/>
          <w:i/>
          <w:color w:val="231F20"/>
          <w:sz w:val="12"/>
        </w:rPr>
        <w:t>Management</w:t>
      </w:r>
      <w:r>
        <w:rPr>
          <w:rFonts w:ascii="Arial"/>
          <w:i/>
          <w:color w:val="231F20"/>
          <w:spacing w:val="-7"/>
          <w:sz w:val="12"/>
        </w:rPr>
        <w:t> </w:t>
      </w:r>
      <w:r>
        <w:rPr>
          <w:rFonts w:ascii="Arial"/>
          <w:i/>
          <w:color w:val="231F20"/>
          <w:sz w:val="12"/>
        </w:rPr>
        <w:t>Review</w:t>
      </w:r>
      <w:r>
        <w:rPr>
          <w:rFonts w:ascii="Arial"/>
          <w:color w:val="231F20"/>
          <w:sz w:val="12"/>
        </w:rPr>
        <w:t>,</w:t>
      </w:r>
      <w:r>
        <w:rPr>
          <w:rFonts w:ascii="Arial"/>
          <w:color w:val="231F20"/>
          <w:spacing w:val="-7"/>
          <w:sz w:val="12"/>
        </w:rPr>
        <w:t> </w:t>
      </w:r>
      <w:r>
        <w:rPr>
          <w:rFonts w:ascii="Arial"/>
          <w:i/>
          <w:color w:val="231F20"/>
          <w:sz w:val="12"/>
        </w:rPr>
        <w:t>15</w:t>
      </w:r>
      <w:r>
        <w:rPr>
          <w:rFonts w:ascii="Arial"/>
          <w:color w:val="231F20"/>
          <w:sz w:val="12"/>
        </w:rPr>
        <w:t>,</w:t>
      </w:r>
      <w:r>
        <w:rPr>
          <w:rFonts w:ascii="Arial"/>
          <w:color w:val="231F20"/>
          <w:spacing w:val="-7"/>
          <w:sz w:val="12"/>
        </w:rPr>
        <w:t> </w:t>
      </w:r>
      <w:r>
        <w:rPr>
          <w:rFonts w:ascii="Arial"/>
          <w:color w:val="231F20"/>
          <w:sz w:val="12"/>
        </w:rPr>
        <w:t>11-</w:t>
      </w:r>
      <w:r>
        <w:rPr>
          <w:rFonts w:ascii="Arial"/>
          <w:color w:val="231F20"/>
          <w:spacing w:val="-5"/>
          <w:sz w:val="12"/>
        </w:rPr>
        <w:t>21.</w:t>
      </w:r>
    </w:p>
    <w:p>
      <w:pPr>
        <w:spacing w:after="0" w:line="240" w:lineRule="auto"/>
        <w:jc w:val="both"/>
        <w:rPr>
          <w:rFonts w:ascii="Arial"/>
          <w:sz w:val="12"/>
        </w:rPr>
        <w:sectPr>
          <w:footerReference w:type="default" r:id="rId41"/>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80" w:right="243"/>
        <w:jc w:val="both"/>
      </w:pPr>
      <w:r>
        <w:rPr>
          <w:color w:val="231F20"/>
          <w:w w:val="120"/>
        </w:rPr>
        <w:t>atteindre</w:t>
      </w:r>
      <w:r>
        <w:rPr>
          <w:color w:val="231F20"/>
          <w:spacing w:val="-9"/>
          <w:w w:val="120"/>
        </w:rPr>
        <w:t> </w:t>
      </w:r>
      <w:r>
        <w:rPr>
          <w:color w:val="231F20"/>
          <w:w w:val="120"/>
        </w:rPr>
        <w:t>cette</w:t>
      </w:r>
      <w:r>
        <w:rPr>
          <w:color w:val="231F20"/>
          <w:spacing w:val="-9"/>
          <w:w w:val="120"/>
        </w:rPr>
        <w:t> </w:t>
      </w:r>
      <w:r>
        <w:rPr>
          <w:color w:val="231F20"/>
          <w:w w:val="120"/>
        </w:rPr>
        <w:t>cible,</w:t>
      </w:r>
      <w:r>
        <w:rPr>
          <w:color w:val="231F20"/>
          <w:spacing w:val="-9"/>
          <w:w w:val="120"/>
        </w:rPr>
        <w:t> </w:t>
      </w:r>
      <w:r>
        <w:rPr>
          <w:color w:val="231F20"/>
          <w:w w:val="120"/>
        </w:rPr>
        <w:t>ses</w:t>
      </w:r>
      <w:r>
        <w:rPr>
          <w:color w:val="231F20"/>
          <w:spacing w:val="-9"/>
          <w:w w:val="120"/>
        </w:rPr>
        <w:t> </w:t>
      </w:r>
      <w:r>
        <w:rPr>
          <w:color w:val="231F20"/>
          <w:w w:val="120"/>
        </w:rPr>
        <w:t>promoteurs</w:t>
      </w:r>
      <w:r>
        <w:rPr>
          <w:color w:val="231F20"/>
          <w:spacing w:val="-9"/>
          <w:w w:val="120"/>
        </w:rPr>
        <w:t> </w:t>
      </w:r>
      <w:r>
        <w:rPr>
          <w:color w:val="231F20"/>
          <w:w w:val="120"/>
        </w:rPr>
        <w:t>recourent</w:t>
      </w:r>
      <w:r>
        <w:rPr>
          <w:color w:val="231F20"/>
          <w:spacing w:val="-9"/>
          <w:w w:val="120"/>
        </w:rPr>
        <w:t> </w:t>
      </w:r>
      <w:r>
        <w:rPr>
          <w:color w:val="231F20"/>
          <w:w w:val="120"/>
        </w:rPr>
        <w:t>à</w:t>
      </w:r>
      <w:r>
        <w:rPr>
          <w:color w:val="231F20"/>
          <w:spacing w:val="-9"/>
          <w:w w:val="120"/>
        </w:rPr>
        <w:t> </w:t>
      </w:r>
      <w:r>
        <w:rPr>
          <w:color w:val="231F20"/>
          <w:w w:val="120"/>
        </w:rPr>
        <w:t>des</w:t>
      </w:r>
      <w:r>
        <w:rPr>
          <w:color w:val="231F20"/>
          <w:spacing w:val="-9"/>
          <w:w w:val="120"/>
        </w:rPr>
        <w:t> </w:t>
      </w:r>
      <w:r>
        <w:rPr>
          <w:color w:val="231F20"/>
          <w:w w:val="120"/>
        </w:rPr>
        <w:t>méthodes,</w:t>
      </w:r>
      <w:r>
        <w:rPr>
          <w:color w:val="231F20"/>
          <w:spacing w:val="-9"/>
          <w:w w:val="120"/>
        </w:rPr>
        <w:t> </w:t>
      </w:r>
      <w:r>
        <w:rPr>
          <w:color w:val="231F20"/>
          <w:w w:val="120"/>
        </w:rPr>
        <w:t>des</w:t>
      </w:r>
      <w:r>
        <w:rPr>
          <w:color w:val="231F20"/>
          <w:spacing w:val="-9"/>
          <w:w w:val="120"/>
        </w:rPr>
        <w:t> </w:t>
      </w:r>
      <w:r>
        <w:rPr>
          <w:color w:val="231F20"/>
          <w:w w:val="120"/>
        </w:rPr>
        <w:t>pra- </w:t>
      </w:r>
      <w:r>
        <w:rPr>
          <w:color w:val="231F20"/>
          <w:spacing w:val="-2"/>
          <w:w w:val="120"/>
        </w:rPr>
        <w:t>tiques</w:t>
      </w:r>
      <w:r>
        <w:rPr>
          <w:color w:val="231F20"/>
          <w:spacing w:val="-9"/>
          <w:w w:val="120"/>
        </w:rPr>
        <w:t> </w:t>
      </w:r>
      <w:r>
        <w:rPr>
          <w:color w:val="231F20"/>
          <w:spacing w:val="-2"/>
          <w:w w:val="120"/>
        </w:rPr>
        <w:t>et</w:t>
      </w:r>
      <w:r>
        <w:rPr>
          <w:color w:val="231F20"/>
          <w:spacing w:val="-9"/>
          <w:w w:val="120"/>
        </w:rPr>
        <w:t> </w:t>
      </w:r>
      <w:r>
        <w:rPr>
          <w:color w:val="231F20"/>
          <w:spacing w:val="-2"/>
          <w:w w:val="120"/>
        </w:rPr>
        <w:t>des</w:t>
      </w:r>
      <w:r>
        <w:rPr>
          <w:color w:val="231F20"/>
          <w:spacing w:val="-9"/>
          <w:w w:val="120"/>
        </w:rPr>
        <w:t> </w:t>
      </w:r>
      <w:r>
        <w:rPr>
          <w:color w:val="231F20"/>
          <w:spacing w:val="-2"/>
          <w:w w:val="120"/>
        </w:rPr>
        <w:t>activités</w:t>
      </w:r>
      <w:r>
        <w:rPr>
          <w:color w:val="231F20"/>
          <w:spacing w:val="-9"/>
          <w:w w:val="120"/>
        </w:rPr>
        <w:t> </w:t>
      </w:r>
      <w:r>
        <w:rPr>
          <w:color w:val="231F20"/>
          <w:spacing w:val="-2"/>
          <w:w w:val="120"/>
        </w:rPr>
        <w:t>variées</w:t>
      </w:r>
      <w:r>
        <w:rPr>
          <w:color w:val="231F20"/>
          <w:spacing w:val="-9"/>
          <w:w w:val="120"/>
        </w:rPr>
        <w:t> </w:t>
      </w:r>
      <w:r>
        <w:rPr>
          <w:color w:val="231F20"/>
          <w:spacing w:val="-2"/>
          <w:w w:val="120"/>
        </w:rPr>
        <w:t>qui</w:t>
      </w:r>
      <w:r>
        <w:rPr>
          <w:color w:val="231F20"/>
          <w:spacing w:val="-9"/>
          <w:w w:val="120"/>
        </w:rPr>
        <w:t> </w:t>
      </w:r>
      <w:r>
        <w:rPr>
          <w:color w:val="231F20"/>
          <w:spacing w:val="-2"/>
          <w:w w:val="120"/>
        </w:rPr>
        <w:t>vont</w:t>
      </w:r>
      <w:r>
        <w:rPr>
          <w:color w:val="231F20"/>
          <w:spacing w:val="-9"/>
          <w:w w:val="120"/>
        </w:rPr>
        <w:t> </w:t>
      </w:r>
      <w:r>
        <w:rPr>
          <w:color w:val="231F20"/>
          <w:spacing w:val="-2"/>
          <w:w w:val="120"/>
        </w:rPr>
        <w:t>des</w:t>
      </w:r>
      <w:r>
        <w:rPr>
          <w:color w:val="231F20"/>
          <w:spacing w:val="-9"/>
          <w:w w:val="120"/>
        </w:rPr>
        <w:t> </w:t>
      </w:r>
      <w:r>
        <w:rPr>
          <w:color w:val="231F20"/>
          <w:spacing w:val="-2"/>
          <w:w w:val="120"/>
        </w:rPr>
        <w:t>processus</w:t>
      </w:r>
      <w:r>
        <w:rPr>
          <w:color w:val="231F20"/>
          <w:spacing w:val="-9"/>
          <w:w w:val="120"/>
        </w:rPr>
        <w:t> </w:t>
      </w:r>
      <w:r>
        <w:rPr>
          <w:color w:val="231F20"/>
          <w:spacing w:val="-2"/>
          <w:w w:val="120"/>
        </w:rPr>
        <w:t>complexes</w:t>
      </w:r>
      <w:r>
        <w:rPr>
          <w:color w:val="231F20"/>
          <w:spacing w:val="-9"/>
          <w:w w:val="120"/>
        </w:rPr>
        <w:t> </w:t>
      </w:r>
      <w:r>
        <w:rPr>
          <w:color w:val="231F20"/>
          <w:spacing w:val="-2"/>
          <w:w w:val="120"/>
        </w:rPr>
        <w:t>de</w:t>
      </w:r>
      <w:r>
        <w:rPr>
          <w:color w:val="231F20"/>
          <w:spacing w:val="-9"/>
          <w:w w:val="120"/>
        </w:rPr>
        <w:t> </w:t>
      </w:r>
      <w:r>
        <w:rPr>
          <w:color w:val="231F20"/>
          <w:spacing w:val="-2"/>
          <w:w w:val="120"/>
        </w:rPr>
        <w:t>chan- </w:t>
      </w:r>
      <w:r>
        <w:rPr>
          <w:color w:val="231F20"/>
          <w:spacing w:val="-4"/>
          <w:w w:val="120"/>
        </w:rPr>
        <w:t>gement</w:t>
      </w:r>
      <w:r>
        <w:rPr>
          <w:color w:val="231F20"/>
          <w:spacing w:val="-7"/>
          <w:w w:val="120"/>
        </w:rPr>
        <w:t> </w:t>
      </w:r>
      <w:r>
        <w:rPr>
          <w:color w:val="231F20"/>
          <w:spacing w:val="-4"/>
          <w:w w:val="120"/>
        </w:rPr>
        <w:t>continu</w:t>
      </w:r>
      <w:r>
        <w:rPr>
          <w:color w:val="231F20"/>
          <w:spacing w:val="-7"/>
          <w:w w:val="120"/>
        </w:rPr>
        <w:t> </w:t>
      </w:r>
      <w:r>
        <w:rPr>
          <w:color w:val="231F20"/>
          <w:spacing w:val="-4"/>
          <w:w w:val="120"/>
        </w:rPr>
        <w:t>mis</w:t>
      </w:r>
      <w:r>
        <w:rPr>
          <w:color w:val="231F20"/>
          <w:spacing w:val="-7"/>
          <w:w w:val="120"/>
        </w:rPr>
        <w:t> </w:t>
      </w:r>
      <w:r>
        <w:rPr>
          <w:color w:val="231F20"/>
          <w:spacing w:val="-4"/>
          <w:w w:val="120"/>
        </w:rPr>
        <w:t>de</w:t>
      </w:r>
      <w:r>
        <w:rPr>
          <w:color w:val="231F20"/>
          <w:spacing w:val="-7"/>
          <w:w w:val="120"/>
        </w:rPr>
        <w:t> </w:t>
      </w:r>
      <w:r>
        <w:rPr>
          <w:color w:val="231F20"/>
          <w:spacing w:val="-4"/>
          <w:w w:val="120"/>
        </w:rPr>
        <w:t>l’avant</w:t>
      </w:r>
      <w:r>
        <w:rPr>
          <w:color w:val="231F20"/>
          <w:spacing w:val="-7"/>
          <w:w w:val="120"/>
        </w:rPr>
        <w:t> </w:t>
      </w:r>
      <w:r>
        <w:rPr>
          <w:color w:val="231F20"/>
          <w:spacing w:val="-4"/>
          <w:w w:val="120"/>
        </w:rPr>
        <w:t>par</w:t>
      </w:r>
      <w:r>
        <w:rPr>
          <w:color w:val="231F20"/>
          <w:spacing w:val="-7"/>
          <w:w w:val="120"/>
        </w:rPr>
        <w:t> </w:t>
      </w:r>
      <w:r>
        <w:rPr>
          <w:color w:val="231F20"/>
          <w:spacing w:val="-4"/>
          <w:w w:val="120"/>
        </w:rPr>
        <w:t>le</w:t>
      </w:r>
      <w:r>
        <w:rPr>
          <w:color w:val="231F20"/>
          <w:spacing w:val="-7"/>
          <w:w w:val="120"/>
        </w:rPr>
        <w:t> </w:t>
      </w:r>
      <w:r>
        <w:rPr>
          <w:color w:val="231F20"/>
          <w:spacing w:val="-4"/>
          <w:w w:val="120"/>
        </w:rPr>
        <w:t>mouvement</w:t>
      </w:r>
      <w:r>
        <w:rPr>
          <w:color w:val="231F20"/>
          <w:spacing w:val="-7"/>
          <w:w w:val="120"/>
        </w:rPr>
        <w:t> </w:t>
      </w:r>
      <w:r>
        <w:rPr>
          <w:color w:val="231F20"/>
          <w:spacing w:val="-4"/>
          <w:w w:val="120"/>
        </w:rPr>
        <w:t>sociotechnique</w:t>
      </w:r>
      <w:r>
        <w:rPr>
          <w:color w:val="231F20"/>
          <w:spacing w:val="-7"/>
          <w:w w:val="120"/>
        </w:rPr>
        <w:t> </w:t>
      </w:r>
      <w:r>
        <w:rPr>
          <w:color w:val="231F20"/>
          <w:spacing w:val="-4"/>
          <w:w w:val="120"/>
        </w:rPr>
        <w:t>jusqu’au </w:t>
      </w:r>
      <w:r>
        <w:rPr>
          <w:color w:val="231F20"/>
          <w:w w:val="120"/>
        </w:rPr>
        <w:t>modelage</w:t>
      </w:r>
      <w:r>
        <w:rPr>
          <w:color w:val="231F20"/>
          <w:spacing w:val="-5"/>
          <w:w w:val="120"/>
        </w:rPr>
        <w:t> </w:t>
      </w:r>
      <w:r>
        <w:rPr>
          <w:color w:val="231F20"/>
          <w:w w:val="120"/>
        </w:rPr>
        <w:t>des</w:t>
      </w:r>
      <w:r>
        <w:rPr>
          <w:color w:val="231F20"/>
          <w:spacing w:val="-5"/>
          <w:w w:val="120"/>
        </w:rPr>
        <w:t> </w:t>
      </w:r>
      <w:r>
        <w:rPr>
          <w:color w:val="231F20"/>
          <w:w w:val="120"/>
        </w:rPr>
        <w:t>procédés</w:t>
      </w:r>
      <w:r>
        <w:rPr>
          <w:color w:val="231F20"/>
          <w:spacing w:val="-5"/>
          <w:w w:val="120"/>
        </w:rPr>
        <w:t> </w:t>
      </w:r>
      <w:r>
        <w:rPr>
          <w:color w:val="231F20"/>
          <w:w w:val="120"/>
        </w:rPr>
        <w:t>cher</w:t>
      </w:r>
      <w:r>
        <w:rPr>
          <w:color w:val="231F20"/>
          <w:spacing w:val="-5"/>
          <w:w w:val="120"/>
        </w:rPr>
        <w:t> </w:t>
      </w:r>
      <w:r>
        <w:rPr>
          <w:color w:val="231F20"/>
          <w:w w:val="120"/>
        </w:rPr>
        <w:t>aux</w:t>
      </w:r>
      <w:r>
        <w:rPr>
          <w:color w:val="231F20"/>
          <w:spacing w:val="-5"/>
          <w:w w:val="120"/>
        </w:rPr>
        <w:t> </w:t>
      </w:r>
      <w:r>
        <w:rPr>
          <w:color w:val="231F20"/>
          <w:w w:val="120"/>
        </w:rPr>
        <w:t>tenants</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conception</w:t>
      </w:r>
      <w:r>
        <w:rPr>
          <w:color w:val="231F20"/>
          <w:spacing w:val="-5"/>
          <w:w w:val="120"/>
        </w:rPr>
        <w:t> </w:t>
      </w:r>
      <w:r>
        <w:rPr>
          <w:color w:val="231F20"/>
          <w:w w:val="120"/>
        </w:rPr>
        <w:t>des</w:t>
      </w:r>
      <w:r>
        <w:rPr>
          <w:color w:val="231F20"/>
          <w:spacing w:val="-5"/>
          <w:w w:val="120"/>
        </w:rPr>
        <w:t> </w:t>
      </w:r>
      <w:r>
        <w:rPr>
          <w:color w:val="231F20"/>
          <w:w w:val="120"/>
        </w:rPr>
        <w:t>systèmes et</w:t>
      </w:r>
      <w:r>
        <w:rPr>
          <w:color w:val="231F20"/>
          <w:spacing w:val="-13"/>
          <w:w w:val="120"/>
        </w:rPr>
        <w:t> </w:t>
      </w:r>
      <w:r>
        <w:rPr>
          <w:color w:val="231F20"/>
          <w:w w:val="120"/>
        </w:rPr>
        <w:t>des</w:t>
      </w:r>
      <w:r>
        <w:rPr>
          <w:color w:val="231F20"/>
          <w:spacing w:val="-13"/>
          <w:w w:val="120"/>
        </w:rPr>
        <w:t> </w:t>
      </w:r>
      <w:r>
        <w:rPr>
          <w:color w:val="231F20"/>
          <w:w w:val="120"/>
        </w:rPr>
        <w:t>théories</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contingence.</w:t>
      </w:r>
      <w:r>
        <w:rPr>
          <w:color w:val="231F20"/>
          <w:spacing w:val="-13"/>
          <w:w w:val="120"/>
        </w:rPr>
        <w:t> </w:t>
      </w:r>
      <w:r>
        <w:rPr>
          <w:color w:val="231F20"/>
          <w:w w:val="120"/>
        </w:rPr>
        <w:t>Le</w:t>
      </w:r>
      <w:r>
        <w:rPr>
          <w:color w:val="231F20"/>
          <w:spacing w:val="-13"/>
          <w:w w:val="120"/>
        </w:rPr>
        <w:t> </w:t>
      </w:r>
      <w:r>
        <w:rPr>
          <w:color w:val="231F20"/>
          <w:w w:val="120"/>
        </w:rPr>
        <w:t>concept</w:t>
      </w:r>
      <w:r>
        <w:rPr>
          <w:color w:val="231F20"/>
          <w:spacing w:val="-12"/>
          <w:w w:val="120"/>
        </w:rPr>
        <w:t> </w:t>
      </w:r>
      <w:r>
        <w:rPr>
          <w:color w:val="231F20"/>
          <w:w w:val="120"/>
        </w:rPr>
        <w:t>de</w:t>
      </w:r>
      <w:r>
        <w:rPr>
          <w:color w:val="231F20"/>
          <w:spacing w:val="-13"/>
          <w:w w:val="120"/>
        </w:rPr>
        <w:t> </w:t>
      </w:r>
      <w:r>
        <w:rPr>
          <w:i/>
          <w:color w:val="231F20"/>
          <w:w w:val="120"/>
        </w:rPr>
        <w:t>qualité</w:t>
      </w:r>
      <w:r>
        <w:rPr>
          <w:i/>
          <w:color w:val="231F20"/>
          <w:spacing w:val="-13"/>
          <w:w w:val="120"/>
        </w:rPr>
        <w:t> </w:t>
      </w:r>
      <w:r>
        <w:rPr>
          <w:i/>
          <w:color w:val="231F20"/>
          <w:w w:val="120"/>
        </w:rPr>
        <w:t>de</w:t>
      </w:r>
      <w:r>
        <w:rPr>
          <w:i/>
          <w:color w:val="231F20"/>
          <w:spacing w:val="-13"/>
          <w:w w:val="120"/>
        </w:rPr>
        <w:t> </w:t>
      </w:r>
      <w:r>
        <w:rPr>
          <w:i/>
          <w:color w:val="231F20"/>
          <w:w w:val="120"/>
        </w:rPr>
        <w:t>vie</w:t>
      </w:r>
      <w:r>
        <w:rPr>
          <w:i/>
          <w:color w:val="231F20"/>
          <w:spacing w:val="-12"/>
          <w:w w:val="120"/>
        </w:rPr>
        <w:t> </w:t>
      </w:r>
      <w:r>
        <w:rPr>
          <w:i/>
          <w:color w:val="231F20"/>
          <w:w w:val="120"/>
        </w:rPr>
        <w:t>au</w:t>
      </w:r>
      <w:r>
        <w:rPr>
          <w:i/>
          <w:color w:val="231F20"/>
          <w:spacing w:val="-13"/>
          <w:w w:val="120"/>
        </w:rPr>
        <w:t> </w:t>
      </w:r>
      <w:r>
        <w:rPr>
          <w:i/>
          <w:color w:val="231F20"/>
          <w:w w:val="120"/>
        </w:rPr>
        <w:t>travail </w:t>
      </w:r>
      <w:r>
        <w:rPr>
          <w:color w:val="231F20"/>
          <w:w w:val="120"/>
        </w:rPr>
        <w:t>peut s’exprimer en termes opérationnels et s’appliquer sous forme de programmes adaptés à la situation particulière d’une organisation. Certains de ces programmes ont une portée particulière et restreinte</w:t>
      </w:r>
      <w:r>
        <w:rPr>
          <w:color w:val="231F20"/>
          <w:spacing w:val="-13"/>
          <w:w w:val="120"/>
        </w:rPr>
        <w:t> </w:t>
      </w:r>
      <w:r>
        <w:rPr>
          <w:color w:val="231F20"/>
          <w:w w:val="120"/>
        </w:rPr>
        <w:t>; d’autres</w:t>
      </w:r>
      <w:r>
        <w:rPr>
          <w:color w:val="231F20"/>
          <w:spacing w:val="-3"/>
          <w:w w:val="120"/>
        </w:rPr>
        <w:t> </w:t>
      </w:r>
      <w:r>
        <w:rPr>
          <w:color w:val="231F20"/>
          <w:w w:val="120"/>
        </w:rPr>
        <w:t>ont</w:t>
      </w:r>
      <w:r>
        <w:rPr>
          <w:color w:val="231F20"/>
          <w:spacing w:val="-3"/>
          <w:w w:val="120"/>
        </w:rPr>
        <w:t> </w:t>
      </w:r>
      <w:r>
        <w:rPr>
          <w:color w:val="231F20"/>
          <w:w w:val="120"/>
        </w:rPr>
        <w:t>pour</w:t>
      </w:r>
      <w:r>
        <w:rPr>
          <w:color w:val="231F20"/>
          <w:spacing w:val="-3"/>
          <w:w w:val="120"/>
        </w:rPr>
        <w:t> </w:t>
      </w:r>
      <w:r>
        <w:rPr>
          <w:color w:val="231F20"/>
          <w:w w:val="120"/>
        </w:rPr>
        <w:t>objectif</w:t>
      </w:r>
      <w:r>
        <w:rPr>
          <w:color w:val="231F20"/>
          <w:spacing w:val="-3"/>
          <w:w w:val="120"/>
        </w:rPr>
        <w:t> </w:t>
      </w:r>
      <w:r>
        <w:rPr>
          <w:color w:val="231F20"/>
          <w:w w:val="120"/>
        </w:rPr>
        <w:t>d’opérer</w:t>
      </w:r>
      <w:r>
        <w:rPr>
          <w:color w:val="231F20"/>
          <w:spacing w:val="-3"/>
          <w:w w:val="120"/>
        </w:rPr>
        <w:t> </w:t>
      </w:r>
      <w:r>
        <w:rPr>
          <w:color w:val="231F20"/>
          <w:w w:val="120"/>
        </w:rPr>
        <w:t>des</w:t>
      </w:r>
      <w:r>
        <w:rPr>
          <w:color w:val="231F20"/>
          <w:spacing w:val="-3"/>
          <w:w w:val="120"/>
        </w:rPr>
        <w:t> </w:t>
      </w:r>
      <w:r>
        <w:rPr>
          <w:color w:val="231F20"/>
          <w:w w:val="120"/>
        </w:rPr>
        <w:t>changements</w:t>
      </w:r>
      <w:r>
        <w:rPr>
          <w:color w:val="231F20"/>
          <w:spacing w:val="-3"/>
          <w:w w:val="120"/>
        </w:rPr>
        <w:t> </w:t>
      </w:r>
      <w:r>
        <w:rPr>
          <w:color w:val="231F20"/>
          <w:w w:val="120"/>
        </w:rPr>
        <w:t>multiples</w:t>
      </w:r>
      <w:r>
        <w:rPr>
          <w:color w:val="231F20"/>
          <w:spacing w:val="-3"/>
          <w:w w:val="120"/>
        </w:rPr>
        <w:t> </w:t>
      </w:r>
      <w:r>
        <w:rPr>
          <w:color w:val="231F20"/>
          <w:w w:val="120"/>
        </w:rPr>
        <w:t>dans</w:t>
      </w:r>
      <w:r>
        <w:rPr>
          <w:color w:val="231F20"/>
          <w:spacing w:val="-3"/>
          <w:w w:val="120"/>
        </w:rPr>
        <w:t> </w:t>
      </w:r>
      <w:r>
        <w:rPr>
          <w:color w:val="231F20"/>
          <w:w w:val="120"/>
        </w:rPr>
        <w:t>un large</w:t>
      </w:r>
      <w:r>
        <w:rPr>
          <w:color w:val="231F20"/>
          <w:spacing w:val="-5"/>
          <w:w w:val="120"/>
        </w:rPr>
        <w:t> </w:t>
      </w:r>
      <w:r>
        <w:rPr>
          <w:color w:val="231F20"/>
          <w:w w:val="120"/>
        </w:rPr>
        <w:t>éventail</w:t>
      </w:r>
      <w:r>
        <w:rPr>
          <w:color w:val="231F20"/>
          <w:spacing w:val="-5"/>
          <w:w w:val="120"/>
        </w:rPr>
        <w:t> </w:t>
      </w:r>
      <w:r>
        <w:rPr>
          <w:color w:val="231F20"/>
          <w:w w:val="120"/>
        </w:rPr>
        <w:t>de</w:t>
      </w:r>
      <w:r>
        <w:rPr>
          <w:color w:val="231F20"/>
          <w:spacing w:val="-5"/>
          <w:w w:val="120"/>
        </w:rPr>
        <w:t> </w:t>
      </w:r>
      <w:r>
        <w:rPr>
          <w:color w:val="231F20"/>
          <w:w w:val="120"/>
        </w:rPr>
        <w:t>secteurs</w:t>
      </w:r>
      <w:r>
        <w:rPr>
          <w:color w:val="231F20"/>
          <w:spacing w:val="-5"/>
          <w:w w:val="120"/>
        </w:rPr>
        <w:t> </w:t>
      </w:r>
      <w:r>
        <w:rPr>
          <w:color w:val="231F20"/>
          <w:w w:val="120"/>
        </w:rPr>
        <w:t>de</w:t>
      </w:r>
      <w:r>
        <w:rPr>
          <w:color w:val="231F20"/>
          <w:spacing w:val="-5"/>
          <w:w w:val="120"/>
        </w:rPr>
        <w:t> </w:t>
      </w:r>
      <w:r>
        <w:rPr>
          <w:color w:val="231F20"/>
          <w:w w:val="120"/>
        </w:rPr>
        <w:t>l’entreprise.</w:t>
      </w:r>
      <w:r>
        <w:rPr>
          <w:color w:val="231F20"/>
          <w:spacing w:val="-5"/>
          <w:w w:val="120"/>
        </w:rPr>
        <w:t> </w:t>
      </w:r>
      <w:r>
        <w:rPr>
          <w:color w:val="231F20"/>
          <w:w w:val="120"/>
        </w:rPr>
        <w:t>Pour</w:t>
      </w:r>
      <w:r>
        <w:rPr>
          <w:color w:val="231F20"/>
          <w:spacing w:val="-5"/>
          <w:w w:val="120"/>
        </w:rPr>
        <w:t> </w:t>
      </w:r>
      <w:r>
        <w:rPr>
          <w:color w:val="231F20"/>
          <w:w w:val="120"/>
        </w:rPr>
        <w:t>bien</w:t>
      </w:r>
      <w:r>
        <w:rPr>
          <w:color w:val="231F20"/>
          <w:spacing w:val="-5"/>
          <w:w w:val="120"/>
        </w:rPr>
        <w:t> </w:t>
      </w:r>
      <w:r>
        <w:rPr>
          <w:color w:val="231F20"/>
          <w:w w:val="120"/>
        </w:rPr>
        <w:t>comprendre</w:t>
      </w:r>
      <w:r>
        <w:rPr>
          <w:color w:val="231F20"/>
          <w:spacing w:val="-5"/>
          <w:w w:val="120"/>
        </w:rPr>
        <w:t> </w:t>
      </w:r>
      <w:r>
        <w:rPr>
          <w:color w:val="231F20"/>
          <w:w w:val="120"/>
        </w:rPr>
        <w:t>le</w:t>
      </w:r>
      <w:r>
        <w:rPr>
          <w:color w:val="231F20"/>
          <w:spacing w:val="-5"/>
          <w:w w:val="120"/>
        </w:rPr>
        <w:t> </w:t>
      </w:r>
      <w:r>
        <w:rPr>
          <w:color w:val="231F20"/>
          <w:w w:val="120"/>
        </w:rPr>
        <w:t>rôle des</w:t>
      </w:r>
      <w:r>
        <w:rPr>
          <w:color w:val="231F20"/>
          <w:spacing w:val="-11"/>
          <w:w w:val="120"/>
        </w:rPr>
        <w:t> </w:t>
      </w:r>
      <w:r>
        <w:rPr>
          <w:color w:val="231F20"/>
          <w:w w:val="120"/>
        </w:rPr>
        <w:t>programmes</w:t>
      </w:r>
      <w:r>
        <w:rPr>
          <w:color w:val="231F20"/>
          <w:spacing w:val="-11"/>
          <w:w w:val="120"/>
        </w:rPr>
        <w:t> </w:t>
      </w:r>
      <w:r>
        <w:rPr>
          <w:color w:val="231F20"/>
          <w:w w:val="120"/>
        </w:rPr>
        <w:t>de</w:t>
      </w:r>
      <w:r>
        <w:rPr>
          <w:color w:val="231F20"/>
          <w:spacing w:val="-11"/>
          <w:w w:val="120"/>
        </w:rPr>
        <w:t> </w:t>
      </w:r>
      <w:r>
        <w:rPr>
          <w:color w:val="231F20"/>
          <w:w w:val="120"/>
        </w:rPr>
        <w:t>qualité</w:t>
      </w:r>
      <w:r>
        <w:rPr>
          <w:color w:val="231F20"/>
          <w:spacing w:val="-11"/>
          <w:w w:val="120"/>
        </w:rPr>
        <w:t> </w:t>
      </w:r>
      <w:r>
        <w:rPr>
          <w:color w:val="231F20"/>
          <w:w w:val="120"/>
        </w:rPr>
        <w:t>de</w:t>
      </w:r>
      <w:r>
        <w:rPr>
          <w:color w:val="231F20"/>
          <w:spacing w:val="-11"/>
          <w:w w:val="120"/>
        </w:rPr>
        <w:t> </w:t>
      </w:r>
      <w:r>
        <w:rPr>
          <w:color w:val="231F20"/>
          <w:w w:val="120"/>
        </w:rPr>
        <w:t>vie</w:t>
      </w:r>
      <w:r>
        <w:rPr>
          <w:color w:val="231F20"/>
          <w:spacing w:val="-11"/>
          <w:w w:val="120"/>
        </w:rPr>
        <w:t> </w:t>
      </w:r>
      <w:r>
        <w:rPr>
          <w:color w:val="231F20"/>
          <w:w w:val="120"/>
        </w:rPr>
        <w:t>au</w:t>
      </w:r>
      <w:r>
        <w:rPr>
          <w:color w:val="231F20"/>
          <w:spacing w:val="-11"/>
          <w:w w:val="120"/>
        </w:rPr>
        <w:t> </w:t>
      </w:r>
      <w:r>
        <w:rPr>
          <w:color w:val="231F20"/>
          <w:w w:val="120"/>
        </w:rPr>
        <w:t>travail,</w:t>
      </w:r>
      <w:r>
        <w:rPr>
          <w:color w:val="231F20"/>
          <w:spacing w:val="-11"/>
          <w:w w:val="120"/>
        </w:rPr>
        <w:t> </w:t>
      </w:r>
      <w:r>
        <w:rPr>
          <w:color w:val="231F20"/>
          <w:w w:val="120"/>
        </w:rPr>
        <w:t>nous</w:t>
      </w:r>
      <w:r>
        <w:rPr>
          <w:color w:val="231F20"/>
          <w:spacing w:val="-11"/>
          <w:w w:val="120"/>
        </w:rPr>
        <w:t> </w:t>
      </w:r>
      <w:r>
        <w:rPr>
          <w:color w:val="231F20"/>
          <w:w w:val="120"/>
        </w:rPr>
        <w:t>décrirons</w:t>
      </w:r>
      <w:r>
        <w:rPr>
          <w:color w:val="231F20"/>
          <w:spacing w:val="-11"/>
          <w:w w:val="120"/>
        </w:rPr>
        <w:t> </w:t>
      </w:r>
      <w:r>
        <w:rPr>
          <w:color w:val="231F20"/>
          <w:w w:val="120"/>
        </w:rPr>
        <w:t>brièvement les liens de la QVT avec les autres domaines de la gestion en visitant certains concepts des théories de l’organisation du travail.</w:t>
      </w:r>
    </w:p>
    <w:p>
      <w:pPr>
        <w:pStyle w:val="BodyText"/>
        <w:rPr>
          <w:sz w:val="24"/>
        </w:rPr>
      </w:pPr>
    </w:p>
    <w:p>
      <w:pPr>
        <w:spacing w:before="141"/>
        <w:ind w:left="1180" w:right="0" w:firstLine="0"/>
        <w:jc w:val="both"/>
        <w:rPr>
          <w:rFonts w:ascii="Arial" w:hAnsi="Arial"/>
          <w:b/>
          <w:sz w:val="17"/>
        </w:rPr>
      </w:pPr>
      <w:r>
        <w:rPr/>
        <w:pict>
          <v:shape style="position:absolute;margin-left:82pt;margin-top:19.107403pt;width:287.5pt;height:.1pt;mso-position-horizontal-relative:page;mso-position-vertical-relative:paragraph;z-index:-15716864;mso-wrap-distance-left:0;mso-wrap-distance-right:0" id="docshape81" coordorigin="1640,382" coordsize="5750,0" path="m1640,382l7390,382e" filled="false" stroked="true" strokeweight=".25pt" strokecolor="#231f20">
            <v:path arrowok="t"/>
            <v:stroke dashstyle="shortdot"/>
            <w10:wrap type="topAndBottom"/>
          </v:shape>
        </w:pict>
      </w:r>
      <w:r>
        <w:rPr>
          <w:rFonts w:ascii="Arial" w:hAnsi="Arial"/>
          <w:color w:val="231F20"/>
          <w:sz w:val="17"/>
        </w:rPr>
        <w:t>Matière</w:t>
      </w:r>
      <w:r>
        <w:rPr>
          <w:rFonts w:ascii="Arial" w:hAnsi="Arial"/>
          <w:color w:val="231F20"/>
          <w:spacing w:val="3"/>
          <w:sz w:val="17"/>
        </w:rPr>
        <w:t> </w:t>
      </w:r>
      <w:r>
        <w:rPr>
          <w:rFonts w:ascii="Arial" w:hAnsi="Arial"/>
          <w:color w:val="231F20"/>
          <w:sz w:val="17"/>
        </w:rPr>
        <w:t>à</w:t>
      </w:r>
      <w:r>
        <w:rPr>
          <w:rFonts w:ascii="Arial" w:hAnsi="Arial"/>
          <w:color w:val="231F20"/>
          <w:spacing w:val="3"/>
          <w:sz w:val="17"/>
        </w:rPr>
        <w:t> </w:t>
      </w:r>
      <w:r>
        <w:rPr>
          <w:rFonts w:ascii="Arial" w:hAnsi="Arial"/>
          <w:color w:val="231F20"/>
          <w:sz w:val="17"/>
        </w:rPr>
        <w:t>réFlexion</w:t>
      </w:r>
      <w:r>
        <w:rPr>
          <w:rFonts w:ascii="Arial" w:hAnsi="Arial"/>
          <w:color w:val="231F20"/>
          <w:spacing w:val="-10"/>
          <w:sz w:val="17"/>
        </w:rPr>
        <w:t> </w:t>
      </w:r>
      <w:r>
        <w:rPr>
          <w:rFonts w:ascii="Arial" w:hAnsi="Arial"/>
          <w:i/>
          <w:color w:val="231F20"/>
          <w:sz w:val="17"/>
        </w:rPr>
        <w:t>/</w:t>
      </w:r>
      <w:r>
        <w:rPr>
          <w:rFonts w:ascii="Arial" w:hAnsi="Arial"/>
          <w:i/>
          <w:color w:val="231F20"/>
          <w:spacing w:val="53"/>
          <w:sz w:val="17"/>
        </w:rPr>
        <w:t> </w:t>
      </w:r>
      <w:r>
        <w:rPr>
          <w:rFonts w:ascii="Arial" w:hAnsi="Arial"/>
          <w:b/>
          <w:color w:val="231F20"/>
          <w:sz w:val="17"/>
        </w:rPr>
        <w:t>Les</w:t>
      </w:r>
      <w:r>
        <w:rPr>
          <w:rFonts w:ascii="Arial" w:hAnsi="Arial"/>
          <w:b/>
          <w:color w:val="231F20"/>
          <w:spacing w:val="-6"/>
          <w:sz w:val="17"/>
        </w:rPr>
        <w:t> </w:t>
      </w:r>
      <w:r>
        <w:rPr>
          <w:rFonts w:ascii="Arial" w:hAnsi="Arial"/>
          <w:b/>
          <w:color w:val="231F20"/>
          <w:sz w:val="17"/>
        </w:rPr>
        <w:t>trois</w:t>
      </w:r>
      <w:r>
        <w:rPr>
          <w:rFonts w:ascii="Arial" w:hAnsi="Arial"/>
          <w:b/>
          <w:color w:val="231F20"/>
          <w:spacing w:val="-7"/>
          <w:sz w:val="17"/>
        </w:rPr>
        <w:t> </w:t>
      </w:r>
      <w:r>
        <w:rPr>
          <w:rFonts w:ascii="Arial" w:hAnsi="Arial"/>
          <w:b/>
          <w:color w:val="231F20"/>
          <w:sz w:val="17"/>
        </w:rPr>
        <w:t>dimensions</w:t>
      </w:r>
      <w:r>
        <w:rPr>
          <w:rFonts w:ascii="Arial" w:hAnsi="Arial"/>
          <w:b/>
          <w:color w:val="231F20"/>
          <w:spacing w:val="-6"/>
          <w:sz w:val="17"/>
        </w:rPr>
        <w:t> </w:t>
      </w:r>
      <w:r>
        <w:rPr>
          <w:rFonts w:ascii="Arial" w:hAnsi="Arial"/>
          <w:b/>
          <w:color w:val="231F20"/>
          <w:sz w:val="17"/>
        </w:rPr>
        <w:t>de</w:t>
      </w:r>
      <w:r>
        <w:rPr>
          <w:rFonts w:ascii="Arial" w:hAnsi="Arial"/>
          <w:b/>
          <w:color w:val="231F20"/>
          <w:spacing w:val="-6"/>
          <w:sz w:val="17"/>
        </w:rPr>
        <w:t> </w:t>
      </w:r>
      <w:r>
        <w:rPr>
          <w:rFonts w:ascii="Arial" w:hAnsi="Arial"/>
          <w:b/>
          <w:color w:val="231F20"/>
          <w:sz w:val="17"/>
        </w:rPr>
        <w:t>la</w:t>
      </w:r>
      <w:r>
        <w:rPr>
          <w:rFonts w:ascii="Arial" w:hAnsi="Arial"/>
          <w:b/>
          <w:color w:val="231F20"/>
          <w:spacing w:val="-7"/>
          <w:sz w:val="17"/>
        </w:rPr>
        <w:t> </w:t>
      </w:r>
      <w:r>
        <w:rPr>
          <w:rFonts w:ascii="Arial" w:hAnsi="Arial"/>
          <w:b/>
          <w:color w:val="231F20"/>
          <w:sz w:val="17"/>
        </w:rPr>
        <w:t>qualité</w:t>
      </w:r>
      <w:r>
        <w:rPr>
          <w:rFonts w:ascii="Arial" w:hAnsi="Arial"/>
          <w:b/>
          <w:color w:val="231F20"/>
          <w:spacing w:val="-6"/>
          <w:sz w:val="17"/>
        </w:rPr>
        <w:t> </w:t>
      </w:r>
      <w:r>
        <w:rPr>
          <w:rFonts w:ascii="Arial" w:hAnsi="Arial"/>
          <w:b/>
          <w:color w:val="231F20"/>
          <w:sz w:val="17"/>
        </w:rPr>
        <w:t>de</w:t>
      </w:r>
      <w:r>
        <w:rPr>
          <w:rFonts w:ascii="Arial" w:hAnsi="Arial"/>
          <w:b/>
          <w:color w:val="231F20"/>
          <w:spacing w:val="-7"/>
          <w:sz w:val="17"/>
        </w:rPr>
        <w:t> </w:t>
      </w:r>
      <w:r>
        <w:rPr>
          <w:rFonts w:ascii="Arial" w:hAnsi="Arial"/>
          <w:b/>
          <w:color w:val="231F20"/>
          <w:spacing w:val="-5"/>
          <w:sz w:val="17"/>
        </w:rPr>
        <w:t>vie</w:t>
      </w:r>
    </w:p>
    <w:p>
      <w:pPr>
        <w:pStyle w:val="BodyText"/>
        <w:spacing w:before="6"/>
        <w:rPr>
          <w:rFonts w:ascii="Arial"/>
          <w:b/>
          <w:sz w:val="20"/>
        </w:rPr>
      </w:pPr>
    </w:p>
    <w:p>
      <w:pPr>
        <w:pStyle w:val="BodyText"/>
        <w:spacing w:line="307" w:lineRule="auto"/>
        <w:ind w:left="1180" w:right="497"/>
        <w:jc w:val="both"/>
        <w:rPr>
          <w:rFonts w:ascii="Arial" w:hAnsi="Arial"/>
        </w:rPr>
      </w:pPr>
      <w:r>
        <w:rPr>
          <w:rFonts w:ascii="Arial" w:hAnsi="Arial"/>
          <w:color w:val="231F20"/>
        </w:rPr>
        <w:t>La</w:t>
      </w:r>
      <w:r>
        <w:rPr>
          <w:rFonts w:ascii="Arial" w:hAnsi="Arial"/>
          <w:color w:val="231F20"/>
          <w:spacing w:val="-6"/>
        </w:rPr>
        <w:t> </w:t>
      </w:r>
      <w:r>
        <w:rPr>
          <w:rFonts w:ascii="Arial" w:hAnsi="Arial"/>
          <w:color w:val="231F20"/>
        </w:rPr>
        <w:t>qualité</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vie</w:t>
      </w:r>
      <w:r>
        <w:rPr>
          <w:rFonts w:ascii="Arial" w:hAnsi="Arial"/>
          <w:color w:val="231F20"/>
          <w:spacing w:val="-6"/>
        </w:rPr>
        <w:t> </w:t>
      </w:r>
      <w:r>
        <w:rPr>
          <w:rFonts w:ascii="Arial" w:hAnsi="Arial"/>
          <w:color w:val="231F20"/>
        </w:rPr>
        <w:t>trouve</w:t>
      </w:r>
      <w:r>
        <w:rPr>
          <w:rFonts w:ascii="Arial" w:hAnsi="Arial"/>
          <w:color w:val="231F20"/>
          <w:spacing w:val="-6"/>
        </w:rPr>
        <w:t> </w:t>
      </w:r>
      <w:r>
        <w:rPr>
          <w:rFonts w:ascii="Arial" w:hAnsi="Arial"/>
          <w:color w:val="231F20"/>
        </w:rPr>
        <w:t>son</w:t>
      </w:r>
      <w:r>
        <w:rPr>
          <w:rFonts w:ascii="Arial" w:hAnsi="Arial"/>
          <w:color w:val="231F20"/>
          <w:spacing w:val="-6"/>
        </w:rPr>
        <w:t> </w:t>
      </w:r>
      <w:r>
        <w:rPr>
          <w:rFonts w:ascii="Arial" w:hAnsi="Arial"/>
          <w:color w:val="231F20"/>
        </w:rPr>
        <w:t>expression</w:t>
      </w:r>
      <w:r>
        <w:rPr>
          <w:rFonts w:ascii="Arial" w:hAnsi="Arial"/>
          <w:color w:val="231F20"/>
          <w:spacing w:val="-6"/>
        </w:rPr>
        <w:t> </w:t>
      </w:r>
      <w:r>
        <w:rPr>
          <w:rFonts w:ascii="Arial" w:hAnsi="Arial"/>
          <w:color w:val="231F20"/>
        </w:rPr>
        <w:t>maximale</w:t>
      </w:r>
      <w:r>
        <w:rPr>
          <w:rFonts w:ascii="Arial" w:hAnsi="Arial"/>
          <w:color w:val="231F20"/>
          <w:spacing w:val="-6"/>
        </w:rPr>
        <w:t> </w:t>
      </w:r>
      <w:r>
        <w:rPr>
          <w:rFonts w:ascii="Arial" w:hAnsi="Arial"/>
          <w:color w:val="231F20"/>
        </w:rPr>
        <w:t>dans</w:t>
      </w:r>
      <w:r>
        <w:rPr>
          <w:rFonts w:ascii="Arial" w:hAnsi="Arial"/>
          <w:color w:val="231F20"/>
          <w:spacing w:val="-6"/>
        </w:rPr>
        <w:t> </w:t>
      </w:r>
      <w:r>
        <w:rPr>
          <w:rFonts w:ascii="Arial" w:hAnsi="Arial"/>
          <w:color w:val="231F20"/>
        </w:rPr>
        <w:t>ses</w:t>
      </w:r>
      <w:r>
        <w:rPr>
          <w:rFonts w:ascii="Arial" w:hAnsi="Arial"/>
          <w:color w:val="231F20"/>
          <w:spacing w:val="-6"/>
        </w:rPr>
        <w:t> </w:t>
      </w:r>
      <w:r>
        <w:rPr>
          <w:rFonts w:ascii="Arial" w:hAnsi="Arial"/>
          <w:color w:val="231F20"/>
        </w:rPr>
        <w:t>aspects</w:t>
      </w:r>
      <w:r>
        <w:rPr>
          <w:rFonts w:ascii="Arial" w:hAnsi="Arial"/>
          <w:color w:val="231F20"/>
          <w:spacing w:val="-6"/>
        </w:rPr>
        <w:t> </w:t>
      </w:r>
      <w:r>
        <w:rPr>
          <w:rFonts w:ascii="Arial" w:hAnsi="Arial"/>
          <w:color w:val="231F20"/>
        </w:rPr>
        <w:t>liés</w:t>
      </w:r>
      <w:r>
        <w:rPr>
          <w:rFonts w:ascii="Arial" w:hAnsi="Arial"/>
          <w:color w:val="231F20"/>
          <w:spacing w:val="-6"/>
        </w:rPr>
        <w:t> </w:t>
      </w:r>
      <w:r>
        <w:rPr>
          <w:rFonts w:ascii="Arial" w:hAnsi="Arial"/>
          <w:color w:val="231F20"/>
        </w:rPr>
        <w:t>à la santé. Les trois dimensions qui structurent la qualité de vie sont:</w:t>
      </w:r>
    </w:p>
    <w:p>
      <w:pPr>
        <w:pStyle w:val="BodyText"/>
        <w:spacing w:line="307" w:lineRule="auto" w:before="80"/>
        <w:ind w:left="1180" w:right="495"/>
        <w:jc w:val="both"/>
        <w:rPr>
          <w:rFonts w:ascii="Arial" w:hAnsi="Arial"/>
        </w:rPr>
      </w:pPr>
      <w:r>
        <w:rPr>
          <w:rFonts w:ascii="Arial" w:hAnsi="Arial"/>
          <w:b/>
          <w:color w:val="231F20"/>
        </w:rPr>
        <w:t>La dimension physique</w:t>
      </w:r>
      <w:r>
        <w:rPr>
          <w:rFonts w:ascii="Arial" w:hAnsi="Arial"/>
          <w:color w:val="231F20"/>
        </w:rPr>
        <w:t>, soit la perception de l’état de santé physique, compris</w:t>
      </w:r>
      <w:r>
        <w:rPr>
          <w:rFonts w:ascii="Arial" w:hAnsi="Arial"/>
          <w:color w:val="231F20"/>
          <w:spacing w:val="-6"/>
        </w:rPr>
        <w:t> </w:t>
      </w:r>
      <w:r>
        <w:rPr>
          <w:rFonts w:ascii="Arial" w:hAnsi="Arial"/>
          <w:color w:val="231F20"/>
        </w:rPr>
        <w:t>comme</w:t>
      </w:r>
      <w:r>
        <w:rPr>
          <w:rFonts w:ascii="Arial" w:hAnsi="Arial"/>
          <w:color w:val="231F20"/>
          <w:spacing w:val="-6"/>
        </w:rPr>
        <w:t> </w:t>
      </w:r>
      <w:r>
        <w:rPr>
          <w:rFonts w:ascii="Arial" w:hAnsi="Arial"/>
          <w:color w:val="231F20"/>
        </w:rPr>
        <w:t>l’absence</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tout</w:t>
      </w:r>
      <w:r>
        <w:rPr>
          <w:rFonts w:ascii="Arial" w:hAnsi="Arial"/>
          <w:color w:val="231F20"/>
          <w:spacing w:val="-6"/>
        </w:rPr>
        <w:t> </w:t>
      </w:r>
      <w:r>
        <w:rPr>
          <w:rFonts w:ascii="Arial" w:hAnsi="Arial"/>
          <w:color w:val="231F20"/>
        </w:rPr>
        <w:t>malaise</w:t>
      </w:r>
      <w:r>
        <w:rPr>
          <w:rFonts w:ascii="Arial" w:hAnsi="Arial"/>
          <w:color w:val="231F20"/>
          <w:spacing w:val="-6"/>
        </w:rPr>
        <w:t> </w:t>
      </w:r>
      <w:r>
        <w:rPr>
          <w:rFonts w:ascii="Arial" w:hAnsi="Arial"/>
          <w:color w:val="231F20"/>
        </w:rPr>
        <w:t>produit</w:t>
      </w:r>
      <w:r>
        <w:rPr>
          <w:rFonts w:ascii="Arial" w:hAnsi="Arial"/>
          <w:color w:val="231F20"/>
          <w:spacing w:val="-6"/>
        </w:rPr>
        <w:t> </w:t>
      </w:r>
      <w:r>
        <w:rPr>
          <w:rFonts w:ascii="Arial" w:hAnsi="Arial"/>
          <w:color w:val="231F20"/>
        </w:rPr>
        <w:t>par</w:t>
      </w:r>
      <w:r>
        <w:rPr>
          <w:rFonts w:ascii="Arial" w:hAnsi="Arial"/>
          <w:color w:val="231F20"/>
          <w:spacing w:val="-6"/>
        </w:rPr>
        <w:t> </w:t>
      </w:r>
      <w:r>
        <w:rPr>
          <w:rFonts w:ascii="Arial" w:hAnsi="Arial"/>
          <w:color w:val="231F20"/>
        </w:rPr>
        <w:t>une</w:t>
      </w:r>
      <w:r>
        <w:rPr>
          <w:rFonts w:ascii="Arial" w:hAnsi="Arial"/>
          <w:color w:val="231F20"/>
          <w:spacing w:val="-6"/>
        </w:rPr>
        <w:t> </w:t>
      </w:r>
      <w:r>
        <w:rPr>
          <w:rFonts w:ascii="Arial" w:hAnsi="Arial"/>
          <w:color w:val="231F20"/>
        </w:rPr>
        <w:t>maladie</w:t>
      </w:r>
      <w:r>
        <w:rPr>
          <w:rFonts w:ascii="Arial" w:hAnsi="Arial"/>
          <w:color w:val="231F20"/>
          <w:spacing w:val="-6"/>
        </w:rPr>
        <w:t> </w:t>
      </w:r>
      <w:r>
        <w:rPr>
          <w:rFonts w:ascii="Arial" w:hAnsi="Arial"/>
          <w:color w:val="231F20"/>
        </w:rPr>
        <w:t>ou</w:t>
      </w:r>
      <w:r>
        <w:rPr>
          <w:rFonts w:ascii="Arial" w:hAnsi="Arial"/>
          <w:color w:val="231F20"/>
          <w:spacing w:val="-6"/>
        </w:rPr>
        <w:t> </w:t>
      </w:r>
      <w:r>
        <w:rPr>
          <w:rFonts w:ascii="Arial" w:hAnsi="Arial"/>
          <w:color w:val="231F20"/>
        </w:rPr>
        <w:t>par les</w:t>
      </w:r>
      <w:r>
        <w:rPr>
          <w:rFonts w:ascii="Arial" w:hAnsi="Arial"/>
          <w:color w:val="231F20"/>
          <w:spacing w:val="-12"/>
        </w:rPr>
        <w:t> </w:t>
      </w:r>
      <w:r>
        <w:rPr>
          <w:rFonts w:ascii="Arial" w:hAnsi="Arial"/>
          <w:color w:val="231F20"/>
        </w:rPr>
        <w:t>effets</w:t>
      </w:r>
      <w:r>
        <w:rPr>
          <w:rFonts w:ascii="Arial" w:hAnsi="Arial"/>
          <w:color w:val="231F20"/>
          <w:spacing w:val="-12"/>
        </w:rPr>
        <w:t> </w:t>
      </w:r>
      <w:r>
        <w:rPr>
          <w:rFonts w:ascii="Arial" w:hAnsi="Arial"/>
          <w:color w:val="231F20"/>
        </w:rPr>
        <w:t>négatifs</w:t>
      </w:r>
      <w:r>
        <w:rPr>
          <w:rFonts w:ascii="Arial" w:hAnsi="Arial"/>
          <w:color w:val="231F20"/>
          <w:spacing w:val="-5"/>
        </w:rPr>
        <w:t> </w:t>
      </w:r>
      <w:r>
        <w:rPr>
          <w:rFonts w:ascii="Arial" w:hAnsi="Arial"/>
          <w:color w:val="231F20"/>
        </w:rPr>
        <w:t>de</w:t>
      </w:r>
      <w:r>
        <w:rPr>
          <w:rFonts w:ascii="Arial" w:hAnsi="Arial"/>
          <w:color w:val="231F20"/>
          <w:spacing w:val="-4"/>
        </w:rPr>
        <w:t> </w:t>
      </w:r>
      <w:r>
        <w:rPr>
          <w:rFonts w:ascii="Arial" w:hAnsi="Arial"/>
          <w:color w:val="231F20"/>
        </w:rPr>
        <w:t>son</w:t>
      </w:r>
      <w:r>
        <w:rPr>
          <w:rFonts w:ascii="Arial" w:hAnsi="Arial"/>
          <w:color w:val="231F20"/>
          <w:spacing w:val="-4"/>
        </w:rPr>
        <w:t> </w:t>
      </w:r>
      <w:r>
        <w:rPr>
          <w:rFonts w:ascii="Arial" w:hAnsi="Arial"/>
          <w:color w:val="231F20"/>
        </w:rPr>
        <w:t>traitement.</w:t>
      </w:r>
      <w:r>
        <w:rPr>
          <w:rFonts w:ascii="Arial" w:hAnsi="Arial"/>
          <w:color w:val="231F20"/>
          <w:spacing w:val="-4"/>
        </w:rPr>
        <w:t> </w:t>
      </w:r>
      <w:r>
        <w:rPr>
          <w:rFonts w:ascii="Arial" w:hAnsi="Arial"/>
          <w:color w:val="231F20"/>
        </w:rPr>
        <w:t>Il</w:t>
      </w:r>
      <w:r>
        <w:rPr>
          <w:rFonts w:ascii="Arial" w:hAnsi="Arial"/>
          <w:color w:val="231F20"/>
          <w:spacing w:val="-4"/>
        </w:rPr>
        <w:t> </w:t>
      </w:r>
      <w:r>
        <w:rPr>
          <w:rFonts w:ascii="Arial" w:hAnsi="Arial"/>
          <w:color w:val="231F20"/>
        </w:rPr>
        <w:t>n’y</w:t>
      </w:r>
      <w:r>
        <w:rPr>
          <w:rFonts w:ascii="Arial" w:hAnsi="Arial"/>
          <w:color w:val="231F20"/>
          <w:spacing w:val="-4"/>
        </w:rPr>
        <w:t> </w:t>
      </w:r>
      <w:r>
        <w:rPr>
          <w:rFonts w:ascii="Arial" w:hAnsi="Arial"/>
          <w:color w:val="231F20"/>
        </w:rPr>
        <w:t>a</w:t>
      </w:r>
      <w:r>
        <w:rPr>
          <w:rFonts w:ascii="Arial" w:hAnsi="Arial"/>
          <w:color w:val="231F20"/>
          <w:spacing w:val="-4"/>
        </w:rPr>
        <w:t> </w:t>
      </w:r>
      <w:r>
        <w:rPr>
          <w:rFonts w:ascii="Arial" w:hAnsi="Arial"/>
          <w:color w:val="231F20"/>
        </w:rPr>
        <w:t>pas</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doute</w:t>
      </w:r>
      <w:r>
        <w:rPr>
          <w:rFonts w:ascii="Arial" w:hAnsi="Arial"/>
          <w:color w:val="231F20"/>
          <w:spacing w:val="-12"/>
        </w:rPr>
        <w:t> </w:t>
      </w:r>
      <w:r>
        <w:rPr>
          <w:rFonts w:ascii="Arial" w:hAnsi="Arial"/>
          <w:color w:val="231F20"/>
        </w:rPr>
        <w:t>:</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santé</w:t>
      </w:r>
      <w:r>
        <w:rPr>
          <w:rFonts w:ascii="Arial" w:hAnsi="Arial"/>
          <w:color w:val="231F20"/>
          <w:spacing w:val="-4"/>
        </w:rPr>
        <w:t> </w:t>
      </w:r>
      <w:r>
        <w:rPr>
          <w:rFonts w:ascii="Arial" w:hAnsi="Arial"/>
          <w:color w:val="231F20"/>
        </w:rPr>
        <w:t>est</w:t>
      </w:r>
      <w:r>
        <w:rPr>
          <w:rFonts w:ascii="Arial" w:hAnsi="Arial"/>
          <w:color w:val="231F20"/>
          <w:spacing w:val="-4"/>
        </w:rPr>
        <w:t> </w:t>
      </w:r>
      <w:r>
        <w:rPr>
          <w:rFonts w:ascii="Arial" w:hAnsi="Arial"/>
          <w:color w:val="231F20"/>
        </w:rPr>
        <w:t>un élément essentiel de la qualité de vie.</w:t>
      </w:r>
    </w:p>
    <w:p>
      <w:pPr>
        <w:pStyle w:val="BodyText"/>
        <w:spacing w:line="307" w:lineRule="auto" w:before="79"/>
        <w:ind w:left="1180" w:right="493"/>
        <w:jc w:val="both"/>
        <w:rPr>
          <w:rFonts w:ascii="Arial" w:hAnsi="Arial"/>
        </w:rPr>
      </w:pPr>
      <w:r>
        <w:rPr>
          <w:rFonts w:ascii="Arial" w:hAnsi="Arial"/>
          <w:b/>
          <w:color w:val="231F20"/>
        </w:rPr>
        <w:t>La dimension psychologique</w:t>
      </w:r>
      <w:r>
        <w:rPr>
          <w:rFonts w:ascii="Arial" w:hAnsi="Arial"/>
          <w:color w:val="231F20"/>
        </w:rPr>
        <w:t>, soit la perception des états cognitifs et affectifs</w:t>
      </w:r>
      <w:r>
        <w:rPr>
          <w:rFonts w:ascii="Arial" w:hAnsi="Arial"/>
          <w:color w:val="231F20"/>
          <w:spacing w:val="-3"/>
        </w:rPr>
        <w:t> </w:t>
      </w:r>
      <w:r>
        <w:rPr>
          <w:rFonts w:ascii="Arial" w:hAnsi="Arial"/>
          <w:color w:val="231F20"/>
        </w:rPr>
        <w:t>tels</w:t>
      </w:r>
      <w:r>
        <w:rPr>
          <w:rFonts w:ascii="Arial" w:hAnsi="Arial"/>
          <w:color w:val="231F20"/>
          <w:spacing w:val="-3"/>
        </w:rPr>
        <w:t> </w:t>
      </w:r>
      <w:r>
        <w:rPr>
          <w:rFonts w:ascii="Arial" w:hAnsi="Arial"/>
          <w:color w:val="231F20"/>
        </w:rPr>
        <w:t>que</w:t>
      </w:r>
      <w:r>
        <w:rPr>
          <w:rFonts w:ascii="Arial" w:hAnsi="Arial"/>
          <w:color w:val="231F20"/>
          <w:spacing w:val="-3"/>
        </w:rPr>
        <w:t> </w:t>
      </w:r>
      <w:r>
        <w:rPr>
          <w:rFonts w:ascii="Arial" w:hAnsi="Arial"/>
          <w:color w:val="231F20"/>
        </w:rPr>
        <w:t>la</w:t>
      </w:r>
      <w:r>
        <w:rPr>
          <w:rFonts w:ascii="Arial" w:hAnsi="Arial"/>
          <w:color w:val="231F20"/>
          <w:spacing w:val="-3"/>
        </w:rPr>
        <w:t> </w:t>
      </w:r>
      <w:r>
        <w:rPr>
          <w:rFonts w:ascii="Arial" w:hAnsi="Arial"/>
          <w:color w:val="231F20"/>
        </w:rPr>
        <w:t>peur,</w:t>
      </w:r>
      <w:r>
        <w:rPr>
          <w:rFonts w:ascii="Arial" w:hAnsi="Arial"/>
          <w:color w:val="231F20"/>
          <w:spacing w:val="-3"/>
        </w:rPr>
        <w:t> </w:t>
      </w:r>
      <w:r>
        <w:rPr>
          <w:rFonts w:ascii="Arial" w:hAnsi="Arial"/>
          <w:color w:val="231F20"/>
        </w:rPr>
        <w:t>l’anxiété,</w:t>
      </w:r>
      <w:r>
        <w:rPr>
          <w:rFonts w:ascii="Arial" w:hAnsi="Arial"/>
          <w:color w:val="231F20"/>
          <w:spacing w:val="-3"/>
        </w:rPr>
        <w:t> </w:t>
      </w:r>
      <w:r>
        <w:rPr>
          <w:rFonts w:ascii="Arial" w:hAnsi="Arial"/>
          <w:color w:val="231F20"/>
        </w:rPr>
        <w:t>le</w:t>
      </w:r>
      <w:r>
        <w:rPr>
          <w:rFonts w:ascii="Arial" w:hAnsi="Arial"/>
          <w:color w:val="231F20"/>
          <w:spacing w:val="-3"/>
        </w:rPr>
        <w:t> </w:t>
      </w:r>
      <w:r>
        <w:rPr>
          <w:rFonts w:ascii="Arial" w:hAnsi="Arial"/>
          <w:color w:val="231F20"/>
        </w:rPr>
        <w:t>manque</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communication,</w:t>
      </w:r>
      <w:r>
        <w:rPr>
          <w:rFonts w:ascii="Arial" w:hAnsi="Arial"/>
          <w:color w:val="231F20"/>
          <w:spacing w:val="-3"/>
        </w:rPr>
        <w:t> </w:t>
      </w:r>
      <w:r>
        <w:rPr>
          <w:rFonts w:ascii="Arial" w:hAnsi="Arial"/>
          <w:color w:val="231F20"/>
        </w:rPr>
        <w:t>la</w:t>
      </w:r>
      <w:r>
        <w:rPr>
          <w:rFonts w:ascii="Arial" w:hAnsi="Arial"/>
          <w:color w:val="231F20"/>
          <w:spacing w:val="-3"/>
        </w:rPr>
        <w:t> </w:t>
      </w:r>
      <w:r>
        <w:rPr>
          <w:rFonts w:ascii="Arial" w:hAnsi="Arial"/>
          <w:color w:val="231F20"/>
        </w:rPr>
        <w:t>perte d’estime de soi et l’incertitude face à l’avenir. Cette dimension englobe également les convictions personnelles et spirituelles, y compris le sens de la vie et les attitudes à l’égard du bien-être.</w:t>
      </w:r>
    </w:p>
    <w:p>
      <w:pPr>
        <w:pStyle w:val="BodyText"/>
        <w:spacing w:line="307" w:lineRule="auto" w:before="79"/>
        <w:ind w:left="1180" w:right="496"/>
        <w:jc w:val="both"/>
        <w:rPr>
          <w:rFonts w:ascii="Arial" w:hAnsi="Arial"/>
        </w:rPr>
      </w:pPr>
      <w:r>
        <w:rPr>
          <w:rFonts w:ascii="Arial" w:hAnsi="Arial"/>
          <w:b/>
          <w:color w:val="231F20"/>
        </w:rPr>
        <w:t>La</w:t>
      </w:r>
      <w:r>
        <w:rPr>
          <w:rFonts w:ascii="Arial" w:hAnsi="Arial"/>
          <w:b/>
          <w:color w:val="231F20"/>
          <w:spacing w:val="-9"/>
        </w:rPr>
        <w:t> </w:t>
      </w:r>
      <w:r>
        <w:rPr>
          <w:rFonts w:ascii="Arial" w:hAnsi="Arial"/>
          <w:b/>
          <w:color w:val="231F20"/>
        </w:rPr>
        <w:t>dimension</w:t>
      </w:r>
      <w:r>
        <w:rPr>
          <w:rFonts w:ascii="Arial" w:hAnsi="Arial"/>
          <w:b/>
          <w:color w:val="231F20"/>
          <w:spacing w:val="-9"/>
        </w:rPr>
        <w:t> </w:t>
      </w:r>
      <w:r>
        <w:rPr>
          <w:rFonts w:ascii="Arial" w:hAnsi="Arial"/>
          <w:b/>
          <w:color w:val="231F20"/>
        </w:rPr>
        <w:t>sociale</w:t>
      </w:r>
      <w:r>
        <w:rPr>
          <w:rFonts w:ascii="Arial" w:hAnsi="Arial"/>
          <w:color w:val="231F20"/>
        </w:rPr>
        <w:t>,</w:t>
      </w:r>
      <w:r>
        <w:rPr>
          <w:rFonts w:ascii="Arial" w:hAnsi="Arial"/>
          <w:color w:val="231F20"/>
          <w:spacing w:val="-4"/>
        </w:rPr>
        <w:t> </w:t>
      </w:r>
      <w:r>
        <w:rPr>
          <w:rFonts w:ascii="Arial" w:hAnsi="Arial"/>
          <w:color w:val="231F20"/>
        </w:rPr>
        <w:t>soit</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perception</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qualité</w:t>
      </w:r>
      <w:r>
        <w:rPr>
          <w:rFonts w:ascii="Arial" w:hAnsi="Arial"/>
          <w:color w:val="231F20"/>
          <w:spacing w:val="-4"/>
        </w:rPr>
        <w:t> </w:t>
      </w:r>
      <w:r>
        <w:rPr>
          <w:rFonts w:ascii="Arial" w:hAnsi="Arial"/>
          <w:color w:val="231F20"/>
        </w:rPr>
        <w:t>des</w:t>
      </w:r>
      <w:r>
        <w:rPr>
          <w:rFonts w:ascii="Arial" w:hAnsi="Arial"/>
          <w:color w:val="231F20"/>
          <w:spacing w:val="-4"/>
        </w:rPr>
        <w:t> </w:t>
      </w:r>
      <w:r>
        <w:rPr>
          <w:rFonts w:ascii="Arial" w:hAnsi="Arial"/>
          <w:color w:val="231F20"/>
        </w:rPr>
        <w:t>relations</w:t>
      </w:r>
      <w:r>
        <w:rPr>
          <w:rFonts w:ascii="Arial" w:hAnsi="Arial"/>
          <w:color w:val="231F20"/>
          <w:spacing w:val="-4"/>
        </w:rPr>
        <w:t> </w:t>
      </w:r>
      <w:r>
        <w:rPr>
          <w:rFonts w:ascii="Arial" w:hAnsi="Arial"/>
          <w:color w:val="231F20"/>
        </w:rPr>
        <w:t>inter- </w:t>
      </w:r>
      <w:r>
        <w:rPr>
          <w:rFonts w:ascii="Arial" w:hAnsi="Arial"/>
          <w:color w:val="231F20"/>
          <w:spacing w:val="-2"/>
        </w:rPr>
        <w:t>personnelles</w:t>
      </w:r>
      <w:r>
        <w:rPr>
          <w:rFonts w:ascii="Arial" w:hAnsi="Arial"/>
          <w:color w:val="231F20"/>
          <w:spacing w:val="-5"/>
        </w:rPr>
        <w:t> </w:t>
      </w:r>
      <w:r>
        <w:rPr>
          <w:rFonts w:ascii="Arial" w:hAnsi="Arial"/>
          <w:color w:val="231F20"/>
          <w:spacing w:val="-2"/>
        </w:rPr>
        <w:t>et</w:t>
      </w:r>
      <w:r>
        <w:rPr>
          <w:rFonts w:ascii="Arial" w:hAnsi="Arial"/>
          <w:color w:val="231F20"/>
          <w:spacing w:val="-5"/>
        </w:rPr>
        <w:t> </w:t>
      </w:r>
      <w:r>
        <w:rPr>
          <w:rFonts w:ascii="Arial" w:hAnsi="Arial"/>
          <w:color w:val="231F20"/>
          <w:spacing w:val="-2"/>
        </w:rPr>
        <w:t>de</w:t>
      </w:r>
      <w:r>
        <w:rPr>
          <w:rFonts w:ascii="Arial" w:hAnsi="Arial"/>
          <w:color w:val="231F20"/>
          <w:spacing w:val="-5"/>
        </w:rPr>
        <w:t> </w:t>
      </w:r>
      <w:r>
        <w:rPr>
          <w:rFonts w:ascii="Arial" w:hAnsi="Arial"/>
          <w:color w:val="231F20"/>
          <w:spacing w:val="-2"/>
        </w:rPr>
        <w:t>l’adéquation</w:t>
      </w:r>
      <w:r>
        <w:rPr>
          <w:rFonts w:ascii="Arial" w:hAnsi="Arial"/>
          <w:color w:val="231F20"/>
          <w:spacing w:val="-5"/>
        </w:rPr>
        <w:t> </w:t>
      </w:r>
      <w:r>
        <w:rPr>
          <w:rFonts w:ascii="Arial" w:hAnsi="Arial"/>
          <w:color w:val="231F20"/>
          <w:spacing w:val="-2"/>
        </w:rPr>
        <w:t>des</w:t>
      </w:r>
      <w:r>
        <w:rPr>
          <w:rFonts w:ascii="Arial" w:hAnsi="Arial"/>
          <w:color w:val="231F20"/>
          <w:spacing w:val="-5"/>
        </w:rPr>
        <w:t> </w:t>
      </w:r>
      <w:r>
        <w:rPr>
          <w:rFonts w:ascii="Arial" w:hAnsi="Arial"/>
          <w:color w:val="231F20"/>
          <w:spacing w:val="-2"/>
        </w:rPr>
        <w:t>rôles</w:t>
      </w:r>
      <w:r>
        <w:rPr>
          <w:rFonts w:ascii="Arial" w:hAnsi="Arial"/>
          <w:color w:val="231F20"/>
          <w:spacing w:val="-5"/>
        </w:rPr>
        <w:t> </w:t>
      </w:r>
      <w:r>
        <w:rPr>
          <w:rFonts w:ascii="Arial" w:hAnsi="Arial"/>
          <w:color w:val="231F20"/>
          <w:spacing w:val="-2"/>
        </w:rPr>
        <w:t>sociaux,</w:t>
      </w:r>
      <w:r>
        <w:rPr>
          <w:rFonts w:ascii="Arial" w:hAnsi="Arial"/>
          <w:color w:val="231F20"/>
          <w:spacing w:val="-5"/>
        </w:rPr>
        <w:t> </w:t>
      </w:r>
      <w:r>
        <w:rPr>
          <w:rFonts w:ascii="Arial" w:hAnsi="Arial"/>
          <w:color w:val="231F20"/>
          <w:spacing w:val="-2"/>
        </w:rPr>
        <w:t>comme</w:t>
      </w:r>
      <w:r>
        <w:rPr>
          <w:rFonts w:ascii="Arial" w:hAnsi="Arial"/>
          <w:color w:val="231F20"/>
          <w:spacing w:val="-5"/>
        </w:rPr>
        <w:t> </w:t>
      </w:r>
      <w:r>
        <w:rPr>
          <w:rFonts w:ascii="Arial" w:hAnsi="Arial"/>
          <w:color w:val="231F20"/>
          <w:spacing w:val="-2"/>
        </w:rPr>
        <w:t>celui</w:t>
      </w:r>
      <w:r>
        <w:rPr>
          <w:rFonts w:ascii="Arial" w:hAnsi="Arial"/>
          <w:color w:val="231F20"/>
          <w:spacing w:val="-5"/>
        </w:rPr>
        <w:t> </w:t>
      </w:r>
      <w:r>
        <w:rPr>
          <w:rFonts w:ascii="Arial" w:hAnsi="Arial"/>
          <w:color w:val="231F20"/>
          <w:spacing w:val="-2"/>
        </w:rPr>
        <w:t>de</w:t>
      </w:r>
      <w:r>
        <w:rPr>
          <w:rFonts w:ascii="Arial" w:hAnsi="Arial"/>
          <w:color w:val="231F20"/>
          <w:spacing w:val="-5"/>
        </w:rPr>
        <w:t> </w:t>
      </w:r>
      <w:r>
        <w:rPr>
          <w:rFonts w:ascii="Arial" w:hAnsi="Arial"/>
          <w:color w:val="231F20"/>
          <w:spacing w:val="-2"/>
        </w:rPr>
        <w:t>citoyen, </w:t>
      </w:r>
      <w:r>
        <w:rPr>
          <w:rFonts w:ascii="Arial" w:hAnsi="Arial"/>
          <w:color w:val="231F20"/>
        </w:rPr>
        <w:t>d’ami, de conjoint, de parent et, bien sûr, celui de travailleur.</w:t>
      </w:r>
    </w:p>
    <w:p>
      <w:pPr>
        <w:pStyle w:val="BodyText"/>
        <w:spacing w:before="4"/>
        <w:rPr>
          <w:rFonts w:ascii="Arial"/>
          <w:sz w:val="21"/>
        </w:rPr>
      </w:pPr>
      <w:r>
        <w:rPr/>
        <w:pict>
          <v:shape style="position:absolute;margin-left:82pt;margin-top:13.522852pt;width:71.5pt;height:.1pt;mso-position-horizontal-relative:page;mso-position-vertical-relative:paragraph;z-index:-15716352;mso-wrap-distance-left:0;mso-wrap-distance-right:0" id="docshape82" coordorigin="1640,270" coordsize="1430,0" path="m1640,270l3070,270e" filled="false" stroked="true" strokeweight=".25pt" strokecolor="#231f20">
            <v:path arrowok="t"/>
            <v:stroke dashstyle="shortdot"/>
            <w10:wrap type="topAndBottom"/>
          </v:shape>
        </w:pict>
      </w:r>
    </w:p>
    <w:p>
      <w:pPr>
        <w:pStyle w:val="BodyText"/>
        <w:spacing w:before="1"/>
        <w:rPr>
          <w:rFonts w:ascii="Arial"/>
          <w:sz w:val="31"/>
        </w:rPr>
      </w:pPr>
    </w:p>
    <w:p>
      <w:pPr>
        <w:pStyle w:val="BodyText"/>
        <w:spacing w:line="307" w:lineRule="auto"/>
        <w:ind w:left="1180" w:right="243"/>
        <w:jc w:val="both"/>
      </w:pPr>
      <w:r>
        <w:rPr>
          <w:color w:val="231F20"/>
          <w:w w:val="115"/>
        </w:rPr>
        <w:t>Bien</w:t>
      </w:r>
      <w:r>
        <w:rPr>
          <w:color w:val="231F20"/>
          <w:spacing w:val="-2"/>
          <w:w w:val="115"/>
        </w:rPr>
        <w:t> </w:t>
      </w:r>
      <w:r>
        <w:rPr>
          <w:color w:val="231F20"/>
          <w:w w:val="115"/>
        </w:rPr>
        <w:t>que</w:t>
      </w:r>
      <w:r>
        <w:rPr>
          <w:color w:val="231F20"/>
          <w:spacing w:val="-2"/>
          <w:w w:val="115"/>
        </w:rPr>
        <w:t> </w:t>
      </w:r>
      <w:r>
        <w:rPr>
          <w:color w:val="231F20"/>
          <w:w w:val="115"/>
        </w:rPr>
        <w:t>certains</w:t>
      </w:r>
      <w:r>
        <w:rPr>
          <w:color w:val="231F20"/>
          <w:spacing w:val="-2"/>
          <w:w w:val="115"/>
        </w:rPr>
        <w:t> </w:t>
      </w:r>
      <w:r>
        <w:rPr>
          <w:color w:val="231F20"/>
          <w:w w:val="115"/>
        </w:rPr>
        <w:t>fassent</w:t>
      </w:r>
      <w:r>
        <w:rPr>
          <w:color w:val="231F20"/>
          <w:spacing w:val="-2"/>
          <w:w w:val="115"/>
        </w:rPr>
        <w:t> </w:t>
      </w:r>
      <w:r>
        <w:rPr>
          <w:color w:val="231F20"/>
          <w:w w:val="115"/>
        </w:rPr>
        <w:t>remonter</w:t>
      </w:r>
      <w:r>
        <w:rPr>
          <w:color w:val="231F20"/>
          <w:spacing w:val="-2"/>
          <w:w w:val="115"/>
        </w:rPr>
        <w:t> </w:t>
      </w:r>
      <w:r>
        <w:rPr>
          <w:color w:val="231F20"/>
          <w:w w:val="115"/>
        </w:rPr>
        <w:t>l’origine</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qualité</w:t>
      </w:r>
      <w:r>
        <w:rPr>
          <w:color w:val="231F20"/>
          <w:spacing w:val="-2"/>
          <w:w w:val="115"/>
        </w:rPr>
        <w:t> </w:t>
      </w:r>
      <w:r>
        <w:rPr>
          <w:color w:val="231F20"/>
          <w:w w:val="115"/>
        </w:rPr>
        <w:t>de</w:t>
      </w:r>
      <w:r>
        <w:rPr>
          <w:color w:val="231F20"/>
          <w:spacing w:val="-2"/>
          <w:w w:val="115"/>
        </w:rPr>
        <w:t> </w:t>
      </w:r>
      <w:r>
        <w:rPr>
          <w:color w:val="231F20"/>
          <w:w w:val="115"/>
        </w:rPr>
        <w:t>vie</w:t>
      </w:r>
      <w:r>
        <w:rPr>
          <w:color w:val="231F20"/>
          <w:spacing w:val="-2"/>
          <w:w w:val="115"/>
        </w:rPr>
        <w:t> </w:t>
      </w:r>
      <w:r>
        <w:rPr>
          <w:color w:val="231F20"/>
          <w:w w:val="115"/>
        </w:rPr>
        <w:t>au</w:t>
      </w:r>
      <w:r>
        <w:rPr>
          <w:color w:val="231F20"/>
          <w:spacing w:val="-2"/>
          <w:w w:val="115"/>
        </w:rPr>
        <w:t> </w:t>
      </w:r>
      <w:r>
        <w:rPr>
          <w:color w:val="231F20"/>
          <w:w w:val="115"/>
        </w:rPr>
        <w:t>travail </w:t>
      </w:r>
      <w:r>
        <w:rPr>
          <w:color w:val="231F20"/>
          <w:spacing w:val="-2"/>
          <w:w w:val="120"/>
        </w:rPr>
        <w:t>aux</w:t>
      </w:r>
      <w:r>
        <w:rPr>
          <w:color w:val="231F20"/>
          <w:spacing w:val="-9"/>
          <w:w w:val="120"/>
        </w:rPr>
        <w:t> </w:t>
      </w:r>
      <w:r>
        <w:rPr>
          <w:color w:val="231F20"/>
          <w:spacing w:val="-2"/>
          <w:w w:val="120"/>
        </w:rPr>
        <w:t>travaux</w:t>
      </w:r>
      <w:r>
        <w:rPr>
          <w:color w:val="231F20"/>
          <w:spacing w:val="-9"/>
          <w:w w:val="120"/>
        </w:rPr>
        <w:t> </w:t>
      </w:r>
      <w:r>
        <w:rPr>
          <w:color w:val="231F20"/>
          <w:spacing w:val="-2"/>
          <w:w w:val="120"/>
        </w:rPr>
        <w:t>de</w:t>
      </w:r>
      <w:r>
        <w:rPr>
          <w:color w:val="231F20"/>
          <w:spacing w:val="-9"/>
          <w:w w:val="120"/>
        </w:rPr>
        <w:t> </w:t>
      </w:r>
      <w:r>
        <w:rPr>
          <w:color w:val="231F20"/>
          <w:spacing w:val="-2"/>
          <w:w w:val="120"/>
        </w:rPr>
        <w:t>l’École</w:t>
      </w:r>
      <w:r>
        <w:rPr>
          <w:color w:val="231F20"/>
          <w:spacing w:val="-9"/>
          <w:w w:val="120"/>
        </w:rPr>
        <w:t> </w:t>
      </w:r>
      <w:r>
        <w:rPr>
          <w:color w:val="231F20"/>
          <w:spacing w:val="-2"/>
          <w:w w:val="120"/>
        </w:rPr>
        <w:t>des</w:t>
      </w:r>
      <w:r>
        <w:rPr>
          <w:color w:val="231F20"/>
          <w:spacing w:val="-9"/>
          <w:w w:val="120"/>
        </w:rPr>
        <w:t> </w:t>
      </w:r>
      <w:r>
        <w:rPr>
          <w:color w:val="231F20"/>
          <w:spacing w:val="-2"/>
          <w:w w:val="120"/>
        </w:rPr>
        <w:t>relations</w:t>
      </w:r>
      <w:r>
        <w:rPr>
          <w:color w:val="231F20"/>
          <w:spacing w:val="-9"/>
          <w:w w:val="120"/>
        </w:rPr>
        <w:t> </w:t>
      </w:r>
      <w:r>
        <w:rPr>
          <w:color w:val="231F20"/>
          <w:spacing w:val="-2"/>
          <w:w w:val="120"/>
        </w:rPr>
        <w:t>humaines,</w:t>
      </w:r>
      <w:r>
        <w:rPr>
          <w:color w:val="231F20"/>
          <w:spacing w:val="-9"/>
          <w:w w:val="120"/>
        </w:rPr>
        <w:t> </w:t>
      </w:r>
      <w:r>
        <w:rPr>
          <w:color w:val="231F20"/>
          <w:spacing w:val="-2"/>
          <w:w w:val="120"/>
        </w:rPr>
        <w:t>il</w:t>
      </w:r>
      <w:r>
        <w:rPr>
          <w:color w:val="231F20"/>
          <w:spacing w:val="-9"/>
          <w:w w:val="120"/>
        </w:rPr>
        <w:t> </w:t>
      </w:r>
      <w:r>
        <w:rPr>
          <w:color w:val="231F20"/>
          <w:spacing w:val="-2"/>
          <w:w w:val="120"/>
        </w:rPr>
        <w:t>faut</w:t>
      </w:r>
      <w:r>
        <w:rPr>
          <w:color w:val="231F20"/>
          <w:spacing w:val="-9"/>
          <w:w w:val="120"/>
        </w:rPr>
        <w:t> </w:t>
      </w:r>
      <w:r>
        <w:rPr>
          <w:color w:val="231F20"/>
          <w:spacing w:val="-2"/>
          <w:w w:val="120"/>
        </w:rPr>
        <w:t>reconnaître</w:t>
      </w:r>
      <w:r>
        <w:rPr>
          <w:color w:val="231F20"/>
          <w:spacing w:val="-9"/>
          <w:w w:val="120"/>
        </w:rPr>
        <w:t> </w:t>
      </w:r>
      <w:r>
        <w:rPr>
          <w:color w:val="231F20"/>
          <w:spacing w:val="-2"/>
          <w:w w:val="120"/>
        </w:rPr>
        <w:t>qu’his- </w:t>
      </w:r>
      <w:r>
        <w:rPr>
          <w:color w:val="231F20"/>
          <w:w w:val="120"/>
        </w:rPr>
        <w:t>toriquement,</w:t>
      </w:r>
      <w:r>
        <w:rPr>
          <w:color w:val="231F20"/>
          <w:spacing w:val="-1"/>
          <w:w w:val="120"/>
        </w:rPr>
        <w:t> </w:t>
      </w:r>
      <w:r>
        <w:rPr>
          <w:color w:val="231F20"/>
          <w:w w:val="120"/>
        </w:rPr>
        <w:t>le</w:t>
      </w:r>
      <w:r>
        <w:rPr>
          <w:color w:val="231F20"/>
          <w:spacing w:val="-1"/>
          <w:w w:val="120"/>
        </w:rPr>
        <w:t> </w:t>
      </w:r>
      <w:r>
        <w:rPr>
          <w:color w:val="231F20"/>
          <w:w w:val="120"/>
        </w:rPr>
        <w:t>terme</w:t>
      </w:r>
      <w:r>
        <w:rPr>
          <w:color w:val="231F20"/>
          <w:spacing w:val="-1"/>
          <w:w w:val="120"/>
        </w:rPr>
        <w:t> </w:t>
      </w:r>
      <w:r>
        <w:rPr>
          <w:color w:val="231F20"/>
          <w:w w:val="120"/>
        </w:rPr>
        <w:t>de</w:t>
      </w:r>
      <w:r>
        <w:rPr>
          <w:color w:val="231F20"/>
          <w:spacing w:val="-1"/>
          <w:w w:val="120"/>
        </w:rPr>
        <w:t> </w:t>
      </w:r>
      <w:r>
        <w:rPr>
          <w:i/>
          <w:color w:val="231F20"/>
          <w:w w:val="120"/>
        </w:rPr>
        <w:t>qualité</w:t>
      </w:r>
      <w:r>
        <w:rPr>
          <w:i/>
          <w:color w:val="231F20"/>
          <w:spacing w:val="-1"/>
          <w:w w:val="120"/>
        </w:rPr>
        <w:t> </w:t>
      </w:r>
      <w:r>
        <w:rPr>
          <w:i/>
          <w:color w:val="231F20"/>
          <w:w w:val="120"/>
        </w:rPr>
        <w:t>de</w:t>
      </w:r>
      <w:r>
        <w:rPr>
          <w:i/>
          <w:color w:val="231F20"/>
          <w:spacing w:val="-1"/>
          <w:w w:val="120"/>
        </w:rPr>
        <w:t> </w:t>
      </w:r>
      <w:r>
        <w:rPr>
          <w:i/>
          <w:color w:val="231F20"/>
          <w:w w:val="120"/>
        </w:rPr>
        <w:t>vie</w:t>
      </w:r>
      <w:r>
        <w:rPr>
          <w:i/>
          <w:color w:val="231F20"/>
          <w:spacing w:val="-1"/>
          <w:w w:val="120"/>
        </w:rPr>
        <w:t> </w:t>
      </w:r>
      <w:r>
        <w:rPr>
          <w:i/>
          <w:color w:val="231F20"/>
          <w:w w:val="120"/>
        </w:rPr>
        <w:t>au</w:t>
      </w:r>
      <w:r>
        <w:rPr>
          <w:i/>
          <w:color w:val="231F20"/>
          <w:spacing w:val="-1"/>
          <w:w w:val="120"/>
        </w:rPr>
        <w:t> </w:t>
      </w:r>
      <w:r>
        <w:rPr>
          <w:i/>
          <w:color w:val="231F20"/>
          <w:w w:val="120"/>
        </w:rPr>
        <w:t>travail</w:t>
      </w:r>
      <w:r>
        <w:rPr>
          <w:i/>
          <w:color w:val="231F20"/>
          <w:spacing w:val="-1"/>
          <w:w w:val="120"/>
        </w:rPr>
        <w:t> </w:t>
      </w:r>
      <w:r>
        <w:rPr>
          <w:color w:val="231F20"/>
          <w:w w:val="120"/>
        </w:rPr>
        <w:t>(QVT)</w:t>
      </w:r>
      <w:r>
        <w:rPr>
          <w:color w:val="231F20"/>
          <w:spacing w:val="-1"/>
          <w:w w:val="120"/>
        </w:rPr>
        <w:t> </w:t>
      </w:r>
      <w:r>
        <w:rPr>
          <w:color w:val="231F20"/>
          <w:w w:val="120"/>
        </w:rPr>
        <w:t>tire</w:t>
      </w:r>
      <w:r>
        <w:rPr>
          <w:color w:val="231F20"/>
          <w:spacing w:val="-1"/>
          <w:w w:val="120"/>
        </w:rPr>
        <w:t> </w:t>
      </w:r>
      <w:r>
        <w:rPr>
          <w:color w:val="231F20"/>
          <w:w w:val="120"/>
        </w:rPr>
        <w:t>sa</w:t>
      </w:r>
      <w:r>
        <w:rPr>
          <w:color w:val="231F20"/>
          <w:spacing w:val="-1"/>
          <w:w w:val="120"/>
        </w:rPr>
        <w:t> </w:t>
      </w:r>
      <w:r>
        <w:rPr>
          <w:color w:val="231F20"/>
          <w:w w:val="120"/>
        </w:rPr>
        <w:t>source d’une série de conférences parrainées par le ministère du Travail des États-Unis</w:t>
      </w:r>
      <w:r>
        <w:rPr>
          <w:color w:val="231F20"/>
          <w:spacing w:val="-4"/>
          <w:w w:val="120"/>
        </w:rPr>
        <w:t> </w:t>
      </w:r>
      <w:r>
        <w:rPr>
          <w:color w:val="231F20"/>
          <w:w w:val="120"/>
        </w:rPr>
        <w:t>et</w:t>
      </w:r>
      <w:r>
        <w:rPr>
          <w:color w:val="231F20"/>
          <w:spacing w:val="-4"/>
          <w:w w:val="120"/>
        </w:rPr>
        <w:t> </w:t>
      </w:r>
      <w:r>
        <w:rPr>
          <w:color w:val="231F20"/>
          <w:w w:val="120"/>
        </w:rPr>
        <w:t>la</w:t>
      </w:r>
      <w:r>
        <w:rPr>
          <w:color w:val="231F20"/>
          <w:spacing w:val="-4"/>
          <w:w w:val="120"/>
        </w:rPr>
        <w:t> </w:t>
      </w:r>
      <w:r>
        <w:rPr>
          <w:color w:val="231F20"/>
          <w:w w:val="120"/>
        </w:rPr>
        <w:t>Fondation</w:t>
      </w:r>
      <w:r>
        <w:rPr>
          <w:color w:val="231F20"/>
          <w:spacing w:val="-4"/>
          <w:w w:val="120"/>
        </w:rPr>
        <w:t> </w:t>
      </w:r>
      <w:r>
        <w:rPr>
          <w:color w:val="231F20"/>
          <w:w w:val="120"/>
        </w:rPr>
        <w:t>Ford</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fin</w:t>
      </w:r>
      <w:r>
        <w:rPr>
          <w:color w:val="231F20"/>
          <w:spacing w:val="-4"/>
          <w:w w:val="120"/>
        </w:rPr>
        <w:t> </w:t>
      </w:r>
      <w:r>
        <w:rPr>
          <w:color w:val="231F20"/>
          <w:w w:val="120"/>
        </w:rPr>
        <w:t>des</w:t>
      </w:r>
      <w:r>
        <w:rPr>
          <w:color w:val="231F20"/>
          <w:spacing w:val="-4"/>
          <w:w w:val="120"/>
        </w:rPr>
        <w:t> </w:t>
      </w:r>
      <w:r>
        <w:rPr>
          <w:color w:val="231F20"/>
          <w:w w:val="120"/>
        </w:rPr>
        <w:t>années</w:t>
      </w:r>
      <w:r>
        <w:rPr>
          <w:color w:val="231F20"/>
          <w:spacing w:val="-4"/>
          <w:w w:val="120"/>
        </w:rPr>
        <w:t> </w:t>
      </w:r>
      <w:r>
        <w:rPr>
          <w:color w:val="231F20"/>
          <w:w w:val="120"/>
        </w:rPr>
        <w:t>1960</w:t>
      </w:r>
      <w:r>
        <w:rPr>
          <w:color w:val="231F20"/>
          <w:spacing w:val="-4"/>
          <w:w w:val="120"/>
        </w:rPr>
        <w:t> </w:t>
      </w:r>
      <w:r>
        <w:rPr>
          <w:color w:val="231F20"/>
          <w:w w:val="120"/>
        </w:rPr>
        <w:t>et</w:t>
      </w:r>
      <w:r>
        <w:rPr>
          <w:color w:val="231F20"/>
          <w:spacing w:val="-4"/>
          <w:w w:val="120"/>
        </w:rPr>
        <w:t> </w:t>
      </w:r>
      <w:r>
        <w:rPr>
          <w:color w:val="231F20"/>
          <w:w w:val="120"/>
        </w:rPr>
        <w:t>au</w:t>
      </w:r>
      <w:r>
        <w:rPr>
          <w:color w:val="231F20"/>
          <w:spacing w:val="-4"/>
          <w:w w:val="120"/>
        </w:rPr>
        <w:t> </w:t>
      </w:r>
      <w:r>
        <w:rPr>
          <w:color w:val="231F20"/>
          <w:w w:val="120"/>
        </w:rPr>
        <w:t>début</w:t>
      </w:r>
      <w:r>
        <w:rPr>
          <w:color w:val="231F20"/>
          <w:spacing w:val="-4"/>
          <w:w w:val="120"/>
        </w:rPr>
        <w:t> </w:t>
      </w:r>
      <w:r>
        <w:rPr>
          <w:color w:val="231F20"/>
          <w:w w:val="120"/>
        </w:rPr>
        <w:t>de la décennie suivante. Ces conférences portaient sur un concept très populaire</w:t>
      </w:r>
      <w:r>
        <w:rPr>
          <w:color w:val="231F20"/>
          <w:spacing w:val="-9"/>
          <w:w w:val="120"/>
        </w:rPr>
        <w:t> </w:t>
      </w:r>
      <w:r>
        <w:rPr>
          <w:color w:val="231F20"/>
          <w:w w:val="120"/>
        </w:rPr>
        <w:t>à</w:t>
      </w:r>
      <w:r>
        <w:rPr>
          <w:color w:val="231F20"/>
          <w:spacing w:val="-9"/>
          <w:w w:val="120"/>
        </w:rPr>
        <w:t> </w:t>
      </w:r>
      <w:r>
        <w:rPr>
          <w:color w:val="231F20"/>
          <w:w w:val="120"/>
        </w:rPr>
        <w:t>l’époque,</w:t>
      </w:r>
      <w:r>
        <w:rPr>
          <w:color w:val="231F20"/>
          <w:spacing w:val="-9"/>
          <w:w w:val="120"/>
        </w:rPr>
        <w:t> </w:t>
      </w:r>
      <w:r>
        <w:rPr>
          <w:color w:val="231F20"/>
          <w:w w:val="120"/>
        </w:rPr>
        <w:t>celui</w:t>
      </w:r>
      <w:r>
        <w:rPr>
          <w:color w:val="231F20"/>
          <w:spacing w:val="-9"/>
          <w:w w:val="120"/>
        </w:rPr>
        <w:t> </w:t>
      </w:r>
      <w:r>
        <w:rPr>
          <w:color w:val="231F20"/>
          <w:w w:val="120"/>
        </w:rPr>
        <w:t>de</w:t>
      </w:r>
      <w:r>
        <w:rPr>
          <w:color w:val="231F20"/>
          <w:spacing w:val="-9"/>
          <w:w w:val="120"/>
        </w:rPr>
        <w:t> </w:t>
      </w:r>
      <w:r>
        <w:rPr>
          <w:color w:val="231F20"/>
          <w:w w:val="120"/>
        </w:rPr>
        <w:t>l’</w:t>
      </w:r>
      <w:r>
        <w:rPr>
          <w:i/>
          <w:color w:val="231F20"/>
          <w:w w:val="120"/>
        </w:rPr>
        <w:t>aliénation</w:t>
      </w:r>
      <w:r>
        <w:rPr>
          <w:i/>
          <w:color w:val="231F20"/>
          <w:spacing w:val="-9"/>
          <w:w w:val="120"/>
        </w:rPr>
        <w:t> </w:t>
      </w:r>
      <w:r>
        <w:rPr>
          <w:i/>
          <w:color w:val="231F20"/>
          <w:w w:val="120"/>
        </w:rPr>
        <w:t>des</w:t>
      </w:r>
      <w:r>
        <w:rPr>
          <w:i/>
          <w:color w:val="231F20"/>
          <w:spacing w:val="-9"/>
          <w:w w:val="120"/>
        </w:rPr>
        <w:t> </w:t>
      </w:r>
      <w:r>
        <w:rPr>
          <w:i/>
          <w:color w:val="231F20"/>
          <w:w w:val="120"/>
        </w:rPr>
        <w:t>travailleurs</w:t>
      </w:r>
      <w:r>
        <w:rPr>
          <w:color w:val="231F20"/>
          <w:w w:val="120"/>
        </w:rPr>
        <w:t>.</w:t>
      </w:r>
    </w:p>
    <w:p>
      <w:pPr>
        <w:spacing w:after="0" w:line="307" w:lineRule="auto"/>
        <w:jc w:val="both"/>
        <w:sectPr>
          <w:footerReference w:type="default" r:id="rId42"/>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89" w:right="630" w:firstLine="250"/>
        <w:jc w:val="both"/>
      </w:pPr>
      <w:r>
        <w:rPr>
          <w:color w:val="231F20"/>
          <w:w w:val="120"/>
        </w:rPr>
        <w:t>Bon</w:t>
      </w:r>
      <w:r>
        <w:rPr>
          <w:color w:val="231F20"/>
          <w:spacing w:val="-10"/>
          <w:w w:val="120"/>
        </w:rPr>
        <w:t> </w:t>
      </w:r>
      <w:r>
        <w:rPr>
          <w:color w:val="231F20"/>
          <w:w w:val="120"/>
        </w:rPr>
        <w:t>nombre</w:t>
      </w:r>
      <w:r>
        <w:rPr>
          <w:color w:val="231F20"/>
          <w:spacing w:val="-10"/>
          <w:w w:val="120"/>
        </w:rPr>
        <w:t> </w:t>
      </w:r>
      <w:r>
        <w:rPr>
          <w:color w:val="231F20"/>
          <w:w w:val="120"/>
        </w:rPr>
        <w:t>des</w:t>
      </w:r>
      <w:r>
        <w:rPr>
          <w:color w:val="231F20"/>
          <w:spacing w:val="-10"/>
          <w:w w:val="120"/>
        </w:rPr>
        <w:t> </w:t>
      </w:r>
      <w:r>
        <w:rPr>
          <w:color w:val="231F20"/>
          <w:w w:val="120"/>
        </w:rPr>
        <w:t>facteurs</w:t>
      </w:r>
      <w:r>
        <w:rPr>
          <w:color w:val="231F20"/>
          <w:spacing w:val="-10"/>
          <w:w w:val="120"/>
        </w:rPr>
        <w:t> </w:t>
      </w:r>
      <w:r>
        <w:rPr>
          <w:color w:val="231F20"/>
          <w:w w:val="120"/>
        </w:rPr>
        <w:t>d’aliénation</w:t>
      </w:r>
      <w:r>
        <w:rPr>
          <w:color w:val="231F20"/>
          <w:spacing w:val="-10"/>
          <w:w w:val="120"/>
        </w:rPr>
        <w:t> </w:t>
      </w:r>
      <w:r>
        <w:rPr>
          <w:color w:val="231F20"/>
          <w:w w:val="120"/>
        </w:rPr>
        <w:t>et</w:t>
      </w:r>
      <w:r>
        <w:rPr>
          <w:color w:val="231F20"/>
          <w:spacing w:val="-10"/>
          <w:w w:val="120"/>
        </w:rPr>
        <w:t> </w:t>
      </w:r>
      <w:r>
        <w:rPr>
          <w:color w:val="231F20"/>
          <w:w w:val="120"/>
        </w:rPr>
        <w:t>de</w:t>
      </w:r>
      <w:r>
        <w:rPr>
          <w:color w:val="231F20"/>
          <w:spacing w:val="-10"/>
          <w:w w:val="120"/>
        </w:rPr>
        <w:t> </w:t>
      </w:r>
      <w:r>
        <w:rPr>
          <w:color w:val="231F20"/>
          <w:w w:val="120"/>
        </w:rPr>
        <w:t>mécontentement</w:t>
      </w:r>
      <w:r>
        <w:rPr>
          <w:color w:val="231F20"/>
          <w:spacing w:val="-10"/>
          <w:w w:val="120"/>
        </w:rPr>
        <w:t> </w:t>
      </w:r>
      <w:r>
        <w:rPr>
          <w:color w:val="231F20"/>
          <w:w w:val="120"/>
        </w:rPr>
        <w:t>des</w:t>
      </w:r>
      <w:r>
        <w:rPr>
          <w:color w:val="231F20"/>
          <w:spacing w:val="-10"/>
          <w:w w:val="120"/>
        </w:rPr>
        <w:t> </w:t>
      </w:r>
      <w:r>
        <w:rPr>
          <w:color w:val="231F20"/>
          <w:w w:val="120"/>
        </w:rPr>
        <w:t>tra- </w:t>
      </w:r>
      <w:r>
        <w:rPr>
          <w:color w:val="231F20"/>
          <w:w w:val="115"/>
        </w:rPr>
        <w:t>vailleurs</w:t>
      </w:r>
      <w:r>
        <w:rPr>
          <w:color w:val="231F20"/>
          <w:spacing w:val="-7"/>
          <w:w w:val="115"/>
        </w:rPr>
        <w:t> </w:t>
      </w:r>
      <w:r>
        <w:rPr>
          <w:color w:val="231F20"/>
          <w:w w:val="115"/>
        </w:rPr>
        <w:t>étaient</w:t>
      </w:r>
      <w:r>
        <w:rPr>
          <w:color w:val="231F20"/>
          <w:spacing w:val="-7"/>
          <w:w w:val="115"/>
        </w:rPr>
        <w:t> </w:t>
      </w:r>
      <w:r>
        <w:rPr>
          <w:color w:val="231F20"/>
          <w:w w:val="115"/>
        </w:rPr>
        <w:t>réunis</w:t>
      </w:r>
      <w:r>
        <w:rPr>
          <w:color w:val="231F20"/>
          <w:spacing w:val="-7"/>
          <w:w w:val="115"/>
        </w:rPr>
        <w:t> </w:t>
      </w:r>
      <w:r>
        <w:rPr>
          <w:color w:val="231F20"/>
          <w:w w:val="115"/>
        </w:rPr>
        <w:t>dans</w:t>
      </w:r>
      <w:r>
        <w:rPr>
          <w:color w:val="231F20"/>
          <w:spacing w:val="-7"/>
          <w:w w:val="115"/>
        </w:rPr>
        <w:t> </w:t>
      </w:r>
      <w:r>
        <w:rPr>
          <w:color w:val="231F20"/>
          <w:w w:val="115"/>
        </w:rPr>
        <w:t>la</w:t>
      </w:r>
      <w:r>
        <w:rPr>
          <w:color w:val="231F20"/>
          <w:spacing w:val="-7"/>
          <w:w w:val="115"/>
        </w:rPr>
        <w:t> </w:t>
      </w:r>
      <w:r>
        <w:rPr>
          <w:color w:val="231F20"/>
          <w:w w:val="115"/>
        </w:rPr>
        <w:t>tristement</w:t>
      </w:r>
      <w:r>
        <w:rPr>
          <w:color w:val="231F20"/>
          <w:spacing w:val="-7"/>
          <w:w w:val="115"/>
        </w:rPr>
        <w:t> </w:t>
      </w:r>
      <w:r>
        <w:rPr>
          <w:color w:val="231F20"/>
          <w:w w:val="115"/>
        </w:rPr>
        <w:t>célèbre</w:t>
      </w:r>
      <w:r>
        <w:rPr>
          <w:color w:val="231F20"/>
          <w:spacing w:val="-7"/>
          <w:w w:val="115"/>
        </w:rPr>
        <w:t> </w:t>
      </w:r>
      <w:r>
        <w:rPr>
          <w:color w:val="231F20"/>
          <w:w w:val="115"/>
        </w:rPr>
        <w:t>usine</w:t>
      </w:r>
      <w:r>
        <w:rPr>
          <w:color w:val="231F20"/>
          <w:spacing w:val="-7"/>
          <w:w w:val="115"/>
        </w:rPr>
        <w:t> </w:t>
      </w:r>
      <w:r>
        <w:rPr>
          <w:color w:val="231F20"/>
          <w:w w:val="115"/>
        </w:rPr>
        <w:t>de</w:t>
      </w:r>
      <w:r>
        <w:rPr>
          <w:color w:val="231F20"/>
          <w:spacing w:val="-7"/>
          <w:w w:val="115"/>
        </w:rPr>
        <w:t> </w:t>
      </w:r>
      <w:r>
        <w:rPr>
          <w:color w:val="231F20"/>
          <w:w w:val="115"/>
        </w:rPr>
        <w:t>General</w:t>
      </w:r>
      <w:r>
        <w:rPr>
          <w:color w:val="231F20"/>
          <w:spacing w:val="-7"/>
          <w:w w:val="115"/>
        </w:rPr>
        <w:t> </w:t>
      </w:r>
      <w:r>
        <w:rPr>
          <w:color w:val="231F20"/>
          <w:w w:val="115"/>
        </w:rPr>
        <w:t>Motors </w:t>
      </w:r>
      <w:r>
        <w:rPr>
          <w:color w:val="231F20"/>
          <w:w w:val="120"/>
        </w:rPr>
        <w:t>à Lordstown, en Ohio. Cette usine moderne et automatisée avait été conçue</w:t>
      </w:r>
      <w:r>
        <w:rPr>
          <w:color w:val="231F20"/>
          <w:spacing w:val="-8"/>
          <w:w w:val="120"/>
        </w:rPr>
        <w:t> </w:t>
      </w:r>
      <w:r>
        <w:rPr>
          <w:color w:val="231F20"/>
          <w:w w:val="120"/>
        </w:rPr>
        <w:t>par</w:t>
      </w:r>
      <w:r>
        <w:rPr>
          <w:color w:val="231F20"/>
          <w:spacing w:val="-8"/>
          <w:w w:val="120"/>
        </w:rPr>
        <w:t> </w:t>
      </w:r>
      <w:r>
        <w:rPr>
          <w:color w:val="231F20"/>
          <w:w w:val="120"/>
        </w:rPr>
        <w:t>des</w:t>
      </w:r>
      <w:r>
        <w:rPr>
          <w:color w:val="231F20"/>
          <w:spacing w:val="-8"/>
          <w:w w:val="120"/>
        </w:rPr>
        <w:t> </w:t>
      </w:r>
      <w:r>
        <w:rPr>
          <w:color w:val="231F20"/>
          <w:w w:val="120"/>
        </w:rPr>
        <w:t>ingénieurs</w:t>
      </w:r>
      <w:r>
        <w:rPr>
          <w:color w:val="231F20"/>
          <w:spacing w:val="-8"/>
          <w:w w:val="120"/>
        </w:rPr>
        <w:t> </w:t>
      </w:r>
      <w:r>
        <w:rPr>
          <w:color w:val="231F20"/>
          <w:w w:val="120"/>
        </w:rPr>
        <w:t>en</w:t>
      </w:r>
      <w:r>
        <w:rPr>
          <w:color w:val="231F20"/>
          <w:spacing w:val="-8"/>
          <w:w w:val="120"/>
        </w:rPr>
        <w:t> </w:t>
      </w:r>
      <w:r>
        <w:rPr>
          <w:color w:val="231F20"/>
          <w:w w:val="120"/>
        </w:rPr>
        <w:t>mécanique</w:t>
      </w:r>
      <w:r>
        <w:rPr>
          <w:color w:val="231F20"/>
          <w:spacing w:val="-8"/>
          <w:w w:val="120"/>
        </w:rPr>
        <w:t> </w:t>
      </w:r>
      <w:r>
        <w:rPr>
          <w:color w:val="231F20"/>
          <w:w w:val="120"/>
        </w:rPr>
        <w:t>automobile</w:t>
      </w:r>
      <w:r>
        <w:rPr>
          <w:color w:val="231F20"/>
          <w:spacing w:val="-8"/>
          <w:w w:val="120"/>
        </w:rPr>
        <w:t> </w:t>
      </w:r>
      <w:r>
        <w:rPr>
          <w:color w:val="231F20"/>
          <w:w w:val="120"/>
        </w:rPr>
        <w:t>à</w:t>
      </w:r>
      <w:r>
        <w:rPr>
          <w:color w:val="231F20"/>
          <w:spacing w:val="-8"/>
          <w:w w:val="120"/>
        </w:rPr>
        <w:t> </w:t>
      </w:r>
      <w:r>
        <w:rPr>
          <w:color w:val="231F20"/>
          <w:w w:val="120"/>
        </w:rPr>
        <w:t>la</w:t>
      </w:r>
      <w:r>
        <w:rPr>
          <w:color w:val="231F20"/>
          <w:spacing w:val="-8"/>
          <w:w w:val="120"/>
        </w:rPr>
        <w:t> </w:t>
      </w:r>
      <w:r>
        <w:rPr>
          <w:color w:val="231F20"/>
          <w:w w:val="120"/>
        </w:rPr>
        <w:t>fin</w:t>
      </w:r>
      <w:r>
        <w:rPr>
          <w:color w:val="231F20"/>
          <w:spacing w:val="-8"/>
          <w:w w:val="120"/>
        </w:rPr>
        <w:t> </w:t>
      </w:r>
      <w:r>
        <w:rPr>
          <w:color w:val="231F20"/>
          <w:w w:val="120"/>
        </w:rPr>
        <w:t>des</w:t>
      </w:r>
      <w:r>
        <w:rPr>
          <w:color w:val="231F20"/>
          <w:spacing w:val="-8"/>
          <w:w w:val="120"/>
        </w:rPr>
        <w:t> </w:t>
      </w:r>
      <w:r>
        <w:rPr>
          <w:color w:val="231F20"/>
          <w:w w:val="120"/>
        </w:rPr>
        <w:t>années </w:t>
      </w:r>
      <w:r>
        <w:rPr>
          <w:color w:val="231F20"/>
          <w:w w:val="115"/>
        </w:rPr>
        <w:t>1960 dans le but de maximiser l’efficience de la production d’un modèle </w:t>
      </w:r>
      <w:r>
        <w:rPr>
          <w:color w:val="231F20"/>
          <w:w w:val="120"/>
        </w:rPr>
        <w:t>de</w:t>
      </w:r>
      <w:r>
        <w:rPr>
          <w:color w:val="231F20"/>
          <w:spacing w:val="-6"/>
          <w:w w:val="120"/>
        </w:rPr>
        <w:t> </w:t>
      </w:r>
      <w:r>
        <w:rPr>
          <w:color w:val="231F20"/>
          <w:w w:val="120"/>
        </w:rPr>
        <w:t>petite</w:t>
      </w:r>
      <w:r>
        <w:rPr>
          <w:color w:val="231F20"/>
          <w:spacing w:val="-6"/>
          <w:w w:val="120"/>
        </w:rPr>
        <w:t> </w:t>
      </w:r>
      <w:r>
        <w:rPr>
          <w:color w:val="231F20"/>
          <w:w w:val="120"/>
        </w:rPr>
        <w:t>voiture</w:t>
      </w:r>
      <w:r>
        <w:rPr>
          <w:color w:val="231F20"/>
          <w:spacing w:val="-6"/>
          <w:w w:val="120"/>
        </w:rPr>
        <w:t> </w:t>
      </w:r>
      <w:r>
        <w:rPr>
          <w:color w:val="231F20"/>
          <w:w w:val="120"/>
        </w:rPr>
        <w:t>bon</w:t>
      </w:r>
      <w:r>
        <w:rPr>
          <w:color w:val="231F20"/>
          <w:spacing w:val="-6"/>
          <w:w w:val="120"/>
        </w:rPr>
        <w:t> </w:t>
      </w:r>
      <w:r>
        <w:rPr>
          <w:color w:val="231F20"/>
          <w:w w:val="120"/>
        </w:rPr>
        <w:t>marché.</w:t>
      </w:r>
      <w:r>
        <w:rPr>
          <w:color w:val="231F20"/>
          <w:spacing w:val="-6"/>
          <w:w w:val="120"/>
        </w:rPr>
        <w:t> </w:t>
      </w:r>
      <w:r>
        <w:rPr>
          <w:color w:val="231F20"/>
          <w:w w:val="120"/>
        </w:rPr>
        <w:t>General</w:t>
      </w:r>
      <w:r>
        <w:rPr>
          <w:color w:val="231F20"/>
          <w:spacing w:val="-6"/>
          <w:w w:val="120"/>
        </w:rPr>
        <w:t> </w:t>
      </w:r>
      <w:r>
        <w:rPr>
          <w:color w:val="231F20"/>
          <w:w w:val="120"/>
        </w:rPr>
        <w:t>Motors</w:t>
      </w:r>
      <w:r>
        <w:rPr>
          <w:color w:val="231F20"/>
          <w:spacing w:val="-6"/>
          <w:w w:val="120"/>
        </w:rPr>
        <w:t> </w:t>
      </w:r>
      <w:r>
        <w:rPr>
          <w:color w:val="231F20"/>
          <w:w w:val="120"/>
        </w:rPr>
        <w:t>cherchait</w:t>
      </w:r>
      <w:r>
        <w:rPr>
          <w:color w:val="231F20"/>
          <w:spacing w:val="-6"/>
          <w:w w:val="120"/>
        </w:rPr>
        <w:t> </w:t>
      </w:r>
      <w:r>
        <w:rPr>
          <w:color w:val="231F20"/>
          <w:w w:val="120"/>
        </w:rPr>
        <w:t>ainsi</w:t>
      </w:r>
      <w:r>
        <w:rPr>
          <w:color w:val="231F20"/>
          <w:spacing w:val="-6"/>
          <w:w w:val="120"/>
        </w:rPr>
        <w:t> </w:t>
      </w:r>
      <w:r>
        <w:rPr>
          <w:color w:val="231F20"/>
          <w:w w:val="120"/>
        </w:rPr>
        <w:t>à</w:t>
      </w:r>
      <w:r>
        <w:rPr>
          <w:color w:val="231F20"/>
          <w:spacing w:val="-6"/>
          <w:w w:val="120"/>
        </w:rPr>
        <w:t> </w:t>
      </w:r>
      <w:r>
        <w:rPr>
          <w:color w:val="231F20"/>
          <w:w w:val="120"/>
        </w:rPr>
        <w:t>concur- rencer les</w:t>
      </w:r>
      <w:r>
        <w:rPr>
          <w:color w:val="231F20"/>
          <w:spacing w:val="-1"/>
          <w:w w:val="120"/>
        </w:rPr>
        <w:t> </w:t>
      </w:r>
      <w:r>
        <w:rPr>
          <w:color w:val="231F20"/>
          <w:w w:val="120"/>
        </w:rPr>
        <w:t>constructeurs</w:t>
      </w:r>
      <w:r>
        <w:rPr>
          <w:color w:val="231F20"/>
          <w:spacing w:val="-1"/>
          <w:w w:val="120"/>
        </w:rPr>
        <w:t> </w:t>
      </w:r>
      <w:r>
        <w:rPr>
          <w:color w:val="231F20"/>
          <w:w w:val="120"/>
        </w:rPr>
        <w:t>étrangers de voitures compactes qui</w:t>
      </w:r>
      <w:r>
        <w:rPr>
          <w:color w:val="231F20"/>
          <w:spacing w:val="-1"/>
          <w:w w:val="120"/>
        </w:rPr>
        <w:t> </w:t>
      </w:r>
      <w:r>
        <w:rPr>
          <w:color w:val="231F20"/>
          <w:w w:val="120"/>
        </w:rPr>
        <w:t>commen- </w:t>
      </w:r>
      <w:r>
        <w:rPr>
          <w:color w:val="231F20"/>
          <w:w w:val="115"/>
        </w:rPr>
        <w:t>çaient</w:t>
      </w:r>
      <w:r>
        <w:rPr>
          <w:color w:val="231F20"/>
          <w:spacing w:val="-9"/>
          <w:w w:val="115"/>
        </w:rPr>
        <w:t> </w:t>
      </w:r>
      <w:r>
        <w:rPr>
          <w:color w:val="231F20"/>
          <w:w w:val="115"/>
        </w:rPr>
        <w:t>à</w:t>
      </w:r>
      <w:r>
        <w:rPr>
          <w:color w:val="231F20"/>
          <w:spacing w:val="-9"/>
          <w:w w:val="115"/>
        </w:rPr>
        <w:t> </w:t>
      </w:r>
      <w:r>
        <w:rPr>
          <w:color w:val="231F20"/>
          <w:w w:val="115"/>
        </w:rPr>
        <w:t>accaparer</w:t>
      </w:r>
      <w:r>
        <w:rPr>
          <w:color w:val="231F20"/>
          <w:spacing w:val="-9"/>
          <w:w w:val="115"/>
        </w:rPr>
        <w:t> </w:t>
      </w:r>
      <w:r>
        <w:rPr>
          <w:color w:val="231F20"/>
          <w:w w:val="115"/>
        </w:rPr>
        <w:t>des</w:t>
      </w:r>
      <w:r>
        <w:rPr>
          <w:color w:val="231F20"/>
          <w:spacing w:val="-9"/>
          <w:w w:val="115"/>
        </w:rPr>
        <w:t> </w:t>
      </w:r>
      <w:r>
        <w:rPr>
          <w:color w:val="231F20"/>
          <w:w w:val="115"/>
        </w:rPr>
        <w:t>parts</w:t>
      </w:r>
      <w:r>
        <w:rPr>
          <w:color w:val="231F20"/>
          <w:spacing w:val="-9"/>
          <w:w w:val="115"/>
        </w:rPr>
        <w:t> </w:t>
      </w:r>
      <w:r>
        <w:rPr>
          <w:color w:val="231F20"/>
          <w:w w:val="115"/>
        </w:rPr>
        <w:t>du</w:t>
      </w:r>
      <w:r>
        <w:rPr>
          <w:color w:val="231F20"/>
          <w:spacing w:val="-9"/>
          <w:w w:val="115"/>
        </w:rPr>
        <w:t> </w:t>
      </w:r>
      <w:r>
        <w:rPr>
          <w:color w:val="231F20"/>
          <w:w w:val="115"/>
        </w:rPr>
        <w:t>marché</w:t>
      </w:r>
      <w:r>
        <w:rPr>
          <w:color w:val="231F20"/>
          <w:spacing w:val="-9"/>
          <w:w w:val="115"/>
        </w:rPr>
        <w:t> </w:t>
      </w:r>
      <w:r>
        <w:rPr>
          <w:color w:val="231F20"/>
          <w:w w:val="115"/>
        </w:rPr>
        <w:t>américain</w:t>
      </w:r>
      <w:r>
        <w:rPr>
          <w:color w:val="231F20"/>
          <w:spacing w:val="-9"/>
          <w:w w:val="115"/>
        </w:rPr>
        <w:t> </w:t>
      </w:r>
      <w:r>
        <w:rPr>
          <w:color w:val="231F20"/>
          <w:w w:val="115"/>
        </w:rPr>
        <w:t>de</w:t>
      </w:r>
      <w:r>
        <w:rPr>
          <w:color w:val="231F20"/>
          <w:spacing w:val="-9"/>
          <w:w w:val="115"/>
        </w:rPr>
        <w:t> </w:t>
      </w:r>
      <w:r>
        <w:rPr>
          <w:color w:val="231F20"/>
          <w:w w:val="115"/>
        </w:rPr>
        <w:t>l’automobile.</w:t>
      </w:r>
      <w:r>
        <w:rPr>
          <w:color w:val="231F20"/>
          <w:spacing w:val="-9"/>
          <w:w w:val="115"/>
        </w:rPr>
        <w:t> </w:t>
      </w:r>
      <w:r>
        <w:rPr>
          <w:color w:val="231F20"/>
          <w:w w:val="115"/>
        </w:rPr>
        <w:t>L’usine </w:t>
      </w:r>
      <w:r>
        <w:rPr>
          <w:color w:val="231F20"/>
          <w:w w:val="120"/>
        </w:rPr>
        <w:t>de Lordstown commença alors à produire un modèle qui se voulait </w:t>
      </w:r>
      <w:r>
        <w:rPr>
          <w:color w:val="231F20"/>
          <w:spacing w:val="-2"/>
          <w:w w:val="120"/>
        </w:rPr>
        <w:t>concurrentiel,</w:t>
      </w:r>
      <w:r>
        <w:rPr>
          <w:color w:val="231F20"/>
          <w:spacing w:val="-3"/>
          <w:w w:val="120"/>
        </w:rPr>
        <w:t> </w:t>
      </w:r>
      <w:r>
        <w:rPr>
          <w:color w:val="231F20"/>
          <w:spacing w:val="-2"/>
          <w:w w:val="120"/>
        </w:rPr>
        <w:t>la</w:t>
      </w:r>
      <w:r>
        <w:rPr>
          <w:color w:val="231F20"/>
          <w:spacing w:val="-3"/>
          <w:w w:val="120"/>
        </w:rPr>
        <w:t> </w:t>
      </w:r>
      <w:r>
        <w:rPr>
          <w:color w:val="231F20"/>
          <w:spacing w:val="-2"/>
          <w:w w:val="120"/>
        </w:rPr>
        <w:t>Chevrolet</w:t>
      </w:r>
      <w:r>
        <w:rPr>
          <w:color w:val="231F20"/>
          <w:spacing w:val="-3"/>
          <w:w w:val="120"/>
        </w:rPr>
        <w:t> </w:t>
      </w:r>
      <w:r>
        <w:rPr>
          <w:color w:val="231F20"/>
          <w:spacing w:val="-2"/>
          <w:w w:val="120"/>
        </w:rPr>
        <w:t>Vega.</w:t>
      </w:r>
      <w:r>
        <w:rPr>
          <w:color w:val="231F20"/>
          <w:spacing w:val="-3"/>
          <w:w w:val="120"/>
        </w:rPr>
        <w:t> </w:t>
      </w:r>
      <w:r>
        <w:rPr>
          <w:color w:val="231F20"/>
          <w:spacing w:val="-2"/>
          <w:w w:val="120"/>
        </w:rPr>
        <w:t>Grâce</w:t>
      </w:r>
      <w:r>
        <w:rPr>
          <w:color w:val="231F20"/>
          <w:spacing w:val="-3"/>
          <w:w w:val="120"/>
        </w:rPr>
        <w:t> </w:t>
      </w:r>
      <w:r>
        <w:rPr>
          <w:color w:val="231F20"/>
          <w:spacing w:val="-2"/>
          <w:w w:val="120"/>
        </w:rPr>
        <w:t>à</w:t>
      </w:r>
      <w:r>
        <w:rPr>
          <w:color w:val="231F20"/>
          <w:spacing w:val="-3"/>
          <w:w w:val="120"/>
        </w:rPr>
        <w:t> </w:t>
      </w:r>
      <w:r>
        <w:rPr>
          <w:color w:val="231F20"/>
          <w:spacing w:val="-2"/>
          <w:w w:val="120"/>
        </w:rPr>
        <w:t>l’automatisation,</w:t>
      </w:r>
      <w:r>
        <w:rPr>
          <w:color w:val="231F20"/>
          <w:spacing w:val="-3"/>
          <w:w w:val="120"/>
        </w:rPr>
        <w:t> </w:t>
      </w:r>
      <w:r>
        <w:rPr>
          <w:color w:val="231F20"/>
          <w:spacing w:val="-2"/>
          <w:w w:val="120"/>
        </w:rPr>
        <w:t>la</w:t>
      </w:r>
      <w:r>
        <w:rPr>
          <w:color w:val="231F20"/>
          <w:spacing w:val="-3"/>
          <w:w w:val="120"/>
        </w:rPr>
        <w:t> </w:t>
      </w:r>
      <w:r>
        <w:rPr>
          <w:color w:val="231F20"/>
          <w:spacing w:val="-2"/>
          <w:w w:val="120"/>
        </w:rPr>
        <w:t>vitesse</w:t>
      </w:r>
      <w:r>
        <w:rPr>
          <w:color w:val="231F20"/>
          <w:spacing w:val="-3"/>
          <w:w w:val="120"/>
        </w:rPr>
        <w:t> </w:t>
      </w:r>
      <w:r>
        <w:rPr>
          <w:color w:val="231F20"/>
          <w:spacing w:val="-2"/>
          <w:w w:val="120"/>
        </w:rPr>
        <w:t>de </w:t>
      </w:r>
      <w:r>
        <w:rPr>
          <w:color w:val="231F20"/>
          <w:w w:val="120"/>
        </w:rPr>
        <w:t>sa</w:t>
      </w:r>
      <w:r>
        <w:rPr>
          <w:color w:val="231F20"/>
          <w:spacing w:val="-4"/>
          <w:w w:val="120"/>
        </w:rPr>
        <w:t> </w:t>
      </w:r>
      <w:r>
        <w:rPr>
          <w:color w:val="231F20"/>
          <w:w w:val="120"/>
        </w:rPr>
        <w:t>chaîne</w:t>
      </w:r>
      <w:r>
        <w:rPr>
          <w:color w:val="231F20"/>
          <w:spacing w:val="-4"/>
          <w:w w:val="120"/>
        </w:rPr>
        <w:t> </w:t>
      </w:r>
      <w:r>
        <w:rPr>
          <w:color w:val="231F20"/>
          <w:w w:val="120"/>
        </w:rPr>
        <w:t>de</w:t>
      </w:r>
      <w:r>
        <w:rPr>
          <w:color w:val="231F20"/>
          <w:spacing w:val="-4"/>
          <w:w w:val="120"/>
        </w:rPr>
        <w:t> </w:t>
      </w:r>
      <w:r>
        <w:rPr>
          <w:color w:val="231F20"/>
          <w:w w:val="120"/>
        </w:rPr>
        <w:t>montage</w:t>
      </w:r>
      <w:r>
        <w:rPr>
          <w:color w:val="231F20"/>
          <w:spacing w:val="-4"/>
          <w:w w:val="120"/>
        </w:rPr>
        <w:t> </w:t>
      </w:r>
      <w:r>
        <w:rPr>
          <w:color w:val="231F20"/>
          <w:w w:val="120"/>
        </w:rPr>
        <w:t>dépassait</w:t>
      </w:r>
      <w:r>
        <w:rPr>
          <w:color w:val="231F20"/>
          <w:spacing w:val="-4"/>
          <w:w w:val="120"/>
        </w:rPr>
        <w:t> </w:t>
      </w:r>
      <w:r>
        <w:rPr>
          <w:color w:val="231F20"/>
          <w:w w:val="120"/>
        </w:rPr>
        <w:t>considérablement</w:t>
      </w:r>
      <w:r>
        <w:rPr>
          <w:color w:val="231F20"/>
          <w:spacing w:val="-4"/>
          <w:w w:val="120"/>
        </w:rPr>
        <w:t> </w:t>
      </w:r>
      <w:r>
        <w:rPr>
          <w:color w:val="231F20"/>
          <w:w w:val="120"/>
        </w:rPr>
        <w:t>celle</w:t>
      </w:r>
      <w:r>
        <w:rPr>
          <w:color w:val="231F20"/>
          <w:spacing w:val="-4"/>
          <w:w w:val="120"/>
        </w:rPr>
        <w:t> </w:t>
      </w:r>
      <w:r>
        <w:rPr>
          <w:color w:val="231F20"/>
          <w:w w:val="120"/>
        </w:rPr>
        <w:t>des</w:t>
      </w:r>
      <w:r>
        <w:rPr>
          <w:color w:val="231F20"/>
          <w:spacing w:val="-4"/>
          <w:w w:val="120"/>
        </w:rPr>
        <w:t> </w:t>
      </w:r>
      <w:r>
        <w:rPr>
          <w:color w:val="231F20"/>
          <w:w w:val="120"/>
        </w:rPr>
        <w:t>usines</w:t>
      </w:r>
      <w:r>
        <w:rPr>
          <w:color w:val="231F20"/>
          <w:spacing w:val="-4"/>
          <w:w w:val="120"/>
        </w:rPr>
        <w:t> </w:t>
      </w:r>
      <w:r>
        <w:rPr>
          <w:color w:val="231F20"/>
          <w:w w:val="120"/>
        </w:rPr>
        <w:t>plus </w:t>
      </w:r>
      <w:r>
        <w:rPr>
          <w:color w:val="231F20"/>
          <w:w w:val="115"/>
        </w:rPr>
        <w:t>anciennes,</w:t>
      </w:r>
      <w:r>
        <w:rPr>
          <w:color w:val="231F20"/>
          <w:spacing w:val="-13"/>
          <w:w w:val="115"/>
        </w:rPr>
        <w:t> </w:t>
      </w:r>
      <w:r>
        <w:rPr>
          <w:color w:val="231F20"/>
          <w:w w:val="115"/>
        </w:rPr>
        <w:t>à telle enseigne que Lordstown en vint à symboliser le «</w:t>
      </w:r>
      <w:r>
        <w:rPr>
          <w:color w:val="231F20"/>
          <w:spacing w:val="-13"/>
          <w:w w:val="115"/>
        </w:rPr>
        <w:t> </w:t>
      </w:r>
      <w:r>
        <w:rPr>
          <w:color w:val="231F20"/>
          <w:w w:val="115"/>
        </w:rPr>
        <w:t>blues </w:t>
      </w:r>
      <w:r>
        <w:rPr>
          <w:color w:val="231F20"/>
          <w:w w:val="120"/>
        </w:rPr>
        <w:t>du</w:t>
      </w:r>
      <w:r>
        <w:rPr>
          <w:color w:val="231F20"/>
          <w:spacing w:val="-7"/>
          <w:w w:val="120"/>
        </w:rPr>
        <w:t> </w:t>
      </w:r>
      <w:r>
        <w:rPr>
          <w:color w:val="231F20"/>
          <w:w w:val="120"/>
        </w:rPr>
        <w:t>col</w:t>
      </w:r>
      <w:r>
        <w:rPr>
          <w:color w:val="231F20"/>
          <w:spacing w:val="-7"/>
          <w:w w:val="120"/>
        </w:rPr>
        <w:t> </w:t>
      </w:r>
      <w:r>
        <w:rPr>
          <w:color w:val="231F20"/>
          <w:w w:val="120"/>
        </w:rPr>
        <w:t>bleu»,</w:t>
      </w:r>
      <w:r>
        <w:rPr>
          <w:color w:val="231F20"/>
          <w:spacing w:val="-7"/>
          <w:w w:val="120"/>
        </w:rPr>
        <w:t> </w:t>
      </w:r>
      <w:r>
        <w:rPr>
          <w:color w:val="231F20"/>
          <w:w w:val="120"/>
        </w:rPr>
        <w:t>c’est-à-dire</w:t>
      </w:r>
      <w:r>
        <w:rPr>
          <w:color w:val="231F20"/>
          <w:spacing w:val="-7"/>
          <w:w w:val="120"/>
        </w:rPr>
        <w:t> </w:t>
      </w:r>
      <w:r>
        <w:rPr>
          <w:color w:val="231F20"/>
          <w:w w:val="120"/>
        </w:rPr>
        <w:t>le</w:t>
      </w:r>
      <w:r>
        <w:rPr>
          <w:color w:val="231F20"/>
          <w:spacing w:val="-7"/>
          <w:w w:val="120"/>
        </w:rPr>
        <w:t> </w:t>
      </w:r>
      <w:r>
        <w:rPr>
          <w:color w:val="231F20"/>
          <w:w w:val="120"/>
        </w:rPr>
        <w:t>mécontentement</w:t>
      </w:r>
      <w:r>
        <w:rPr>
          <w:color w:val="231F20"/>
          <w:spacing w:val="-7"/>
          <w:w w:val="120"/>
        </w:rPr>
        <w:t> </w:t>
      </w:r>
      <w:r>
        <w:rPr>
          <w:color w:val="231F20"/>
          <w:w w:val="120"/>
        </w:rPr>
        <w:t>et</w:t>
      </w:r>
      <w:r>
        <w:rPr>
          <w:color w:val="231F20"/>
          <w:spacing w:val="-7"/>
          <w:w w:val="120"/>
        </w:rPr>
        <w:t> </w:t>
      </w:r>
      <w:r>
        <w:rPr>
          <w:color w:val="231F20"/>
          <w:w w:val="120"/>
        </w:rPr>
        <w:t>l’aliénation</w:t>
      </w:r>
      <w:r>
        <w:rPr>
          <w:color w:val="231F20"/>
          <w:spacing w:val="-7"/>
          <w:w w:val="120"/>
        </w:rPr>
        <w:t> </w:t>
      </w:r>
      <w:r>
        <w:rPr>
          <w:color w:val="231F20"/>
          <w:w w:val="120"/>
        </w:rPr>
        <w:t>des</w:t>
      </w:r>
      <w:r>
        <w:rPr>
          <w:color w:val="231F20"/>
          <w:spacing w:val="-7"/>
          <w:w w:val="120"/>
        </w:rPr>
        <w:t> </w:t>
      </w:r>
      <w:r>
        <w:rPr>
          <w:color w:val="231F20"/>
          <w:w w:val="120"/>
        </w:rPr>
        <w:t>travail- leurs</w:t>
      </w:r>
      <w:r>
        <w:rPr>
          <w:color w:val="231F20"/>
          <w:spacing w:val="-5"/>
          <w:w w:val="120"/>
        </w:rPr>
        <w:t> </w:t>
      </w:r>
      <w:r>
        <w:rPr>
          <w:color w:val="231F20"/>
          <w:w w:val="120"/>
        </w:rPr>
        <w:t>à</w:t>
      </w:r>
      <w:r>
        <w:rPr>
          <w:color w:val="231F20"/>
          <w:spacing w:val="-5"/>
          <w:w w:val="120"/>
        </w:rPr>
        <w:t> </w:t>
      </w:r>
      <w:r>
        <w:rPr>
          <w:color w:val="231F20"/>
          <w:w w:val="120"/>
        </w:rPr>
        <w:t>l’ère</w:t>
      </w:r>
      <w:r>
        <w:rPr>
          <w:color w:val="231F20"/>
          <w:spacing w:val="-5"/>
          <w:w w:val="120"/>
        </w:rPr>
        <w:t> </w:t>
      </w:r>
      <w:r>
        <w:rPr>
          <w:color w:val="231F20"/>
          <w:w w:val="120"/>
        </w:rPr>
        <w:t>industrielle</w:t>
      </w:r>
      <w:r>
        <w:rPr>
          <w:color w:val="231F20"/>
          <w:spacing w:val="-5"/>
          <w:w w:val="120"/>
        </w:rPr>
        <w:t> </w:t>
      </w:r>
      <w:r>
        <w:rPr>
          <w:color w:val="231F20"/>
          <w:w w:val="120"/>
        </w:rPr>
        <w:t>de</w:t>
      </w:r>
      <w:r>
        <w:rPr>
          <w:color w:val="231F20"/>
          <w:spacing w:val="-5"/>
          <w:w w:val="120"/>
        </w:rPr>
        <w:t> </w:t>
      </w:r>
      <w:r>
        <w:rPr>
          <w:color w:val="231F20"/>
          <w:w w:val="120"/>
        </w:rPr>
        <w:t>l’automobile,</w:t>
      </w:r>
      <w:r>
        <w:rPr>
          <w:color w:val="231F20"/>
          <w:spacing w:val="-5"/>
          <w:w w:val="120"/>
        </w:rPr>
        <w:t> </w:t>
      </w:r>
      <w:r>
        <w:rPr>
          <w:color w:val="231F20"/>
          <w:w w:val="120"/>
        </w:rPr>
        <w:t>cristallisant</w:t>
      </w:r>
      <w:r>
        <w:rPr>
          <w:color w:val="231F20"/>
          <w:spacing w:val="-5"/>
          <w:w w:val="120"/>
        </w:rPr>
        <w:t> </w:t>
      </w:r>
      <w:r>
        <w:rPr>
          <w:color w:val="231F20"/>
          <w:w w:val="120"/>
        </w:rPr>
        <w:t>du</w:t>
      </w:r>
      <w:r>
        <w:rPr>
          <w:color w:val="231F20"/>
          <w:spacing w:val="-5"/>
          <w:w w:val="120"/>
        </w:rPr>
        <w:t> </w:t>
      </w:r>
      <w:r>
        <w:rPr>
          <w:color w:val="231F20"/>
          <w:w w:val="120"/>
        </w:rPr>
        <w:t>même</w:t>
      </w:r>
      <w:r>
        <w:rPr>
          <w:color w:val="231F20"/>
          <w:spacing w:val="-5"/>
          <w:w w:val="120"/>
        </w:rPr>
        <w:t> </w:t>
      </w:r>
      <w:r>
        <w:rPr>
          <w:color w:val="231F20"/>
          <w:w w:val="120"/>
        </w:rPr>
        <w:t>coup</w:t>
      </w:r>
      <w:r>
        <w:rPr>
          <w:color w:val="231F20"/>
          <w:spacing w:val="-5"/>
          <w:w w:val="120"/>
        </w:rPr>
        <w:t> </w:t>
      </w:r>
      <w:r>
        <w:rPr>
          <w:color w:val="231F20"/>
          <w:w w:val="120"/>
        </w:rPr>
        <w:t>le militantisme de la jeune classe ouvrière de l’époque. Les souvenirs de quelques travailleurs de l’automobile de Lordstown ont été recueillis dans</w:t>
      </w:r>
      <w:r>
        <w:rPr>
          <w:color w:val="231F20"/>
          <w:spacing w:val="-4"/>
          <w:w w:val="120"/>
        </w:rPr>
        <w:t> </w:t>
      </w:r>
      <w:r>
        <w:rPr>
          <w:color w:val="231F20"/>
          <w:w w:val="120"/>
        </w:rPr>
        <w:t>le</w:t>
      </w:r>
      <w:r>
        <w:rPr>
          <w:color w:val="231F20"/>
          <w:spacing w:val="-4"/>
          <w:w w:val="120"/>
        </w:rPr>
        <w:t> </w:t>
      </w:r>
      <w:r>
        <w:rPr>
          <w:color w:val="231F20"/>
          <w:w w:val="120"/>
        </w:rPr>
        <w:t>cadre</w:t>
      </w:r>
      <w:r>
        <w:rPr>
          <w:color w:val="231F20"/>
          <w:spacing w:val="-4"/>
          <w:w w:val="120"/>
        </w:rPr>
        <w:t> </w:t>
      </w:r>
      <w:r>
        <w:rPr>
          <w:color w:val="231F20"/>
          <w:w w:val="120"/>
        </w:rPr>
        <w:t>d’un</w:t>
      </w:r>
      <w:r>
        <w:rPr>
          <w:color w:val="231F20"/>
          <w:spacing w:val="-4"/>
          <w:w w:val="120"/>
        </w:rPr>
        <w:t> </w:t>
      </w:r>
      <w:r>
        <w:rPr>
          <w:color w:val="231F20"/>
          <w:w w:val="120"/>
        </w:rPr>
        <w:t>projet</w:t>
      </w:r>
      <w:r>
        <w:rPr>
          <w:color w:val="231F20"/>
          <w:spacing w:val="-4"/>
          <w:w w:val="120"/>
        </w:rPr>
        <w:t> </w:t>
      </w:r>
      <w:r>
        <w:rPr>
          <w:color w:val="231F20"/>
          <w:w w:val="120"/>
        </w:rPr>
        <w:t>d’histoire</w:t>
      </w:r>
      <w:r>
        <w:rPr>
          <w:color w:val="231F20"/>
          <w:spacing w:val="-4"/>
          <w:w w:val="120"/>
        </w:rPr>
        <w:t> </w:t>
      </w:r>
      <w:r>
        <w:rPr>
          <w:color w:val="231F20"/>
          <w:w w:val="120"/>
        </w:rPr>
        <w:t>orale</w:t>
      </w:r>
      <w:r>
        <w:rPr>
          <w:color w:val="231F20"/>
          <w:spacing w:val="-4"/>
          <w:w w:val="120"/>
        </w:rPr>
        <w:t> </w:t>
      </w:r>
      <w:r>
        <w:rPr>
          <w:color w:val="231F20"/>
          <w:w w:val="120"/>
        </w:rPr>
        <w:t>mené</w:t>
      </w:r>
      <w:r>
        <w:rPr>
          <w:color w:val="231F20"/>
          <w:spacing w:val="-4"/>
          <w:w w:val="120"/>
        </w:rPr>
        <w:t> </w:t>
      </w:r>
      <w:r>
        <w:rPr>
          <w:color w:val="231F20"/>
          <w:w w:val="120"/>
        </w:rPr>
        <w:t>à</w:t>
      </w:r>
      <w:r>
        <w:rPr>
          <w:color w:val="231F20"/>
          <w:spacing w:val="-4"/>
          <w:w w:val="120"/>
        </w:rPr>
        <w:t> </w:t>
      </w:r>
      <w:r>
        <w:rPr>
          <w:color w:val="231F20"/>
          <w:w w:val="120"/>
        </w:rPr>
        <w:t>l’Université</w:t>
      </w:r>
      <w:r>
        <w:rPr>
          <w:color w:val="231F20"/>
          <w:spacing w:val="-4"/>
          <w:w w:val="120"/>
        </w:rPr>
        <w:t> </w:t>
      </w:r>
      <w:r>
        <w:rPr>
          <w:color w:val="231F20"/>
          <w:w w:val="120"/>
        </w:rPr>
        <w:t>d’État</w:t>
      </w:r>
      <w:r>
        <w:rPr>
          <w:color w:val="231F20"/>
          <w:spacing w:val="-4"/>
          <w:w w:val="120"/>
        </w:rPr>
        <w:t> </w:t>
      </w:r>
      <w:r>
        <w:rPr>
          <w:color w:val="231F20"/>
          <w:w w:val="120"/>
        </w:rPr>
        <w:t>de Youngstown.</w:t>
      </w:r>
      <w:r>
        <w:rPr>
          <w:color w:val="231F20"/>
          <w:spacing w:val="-13"/>
          <w:w w:val="120"/>
        </w:rPr>
        <w:t> </w:t>
      </w:r>
      <w:r>
        <w:rPr>
          <w:color w:val="231F20"/>
          <w:w w:val="120"/>
        </w:rPr>
        <w:t>Jim</w:t>
      </w:r>
      <w:r>
        <w:rPr>
          <w:color w:val="231F20"/>
          <w:spacing w:val="-13"/>
          <w:w w:val="120"/>
        </w:rPr>
        <w:t> </w:t>
      </w:r>
      <w:r>
        <w:rPr>
          <w:color w:val="231F20"/>
          <w:w w:val="120"/>
        </w:rPr>
        <w:t>Graham,</w:t>
      </w:r>
      <w:r>
        <w:rPr>
          <w:color w:val="231F20"/>
          <w:spacing w:val="-13"/>
          <w:w w:val="120"/>
        </w:rPr>
        <w:t> </w:t>
      </w:r>
      <w:r>
        <w:rPr>
          <w:color w:val="231F20"/>
          <w:w w:val="120"/>
        </w:rPr>
        <w:t>un</w:t>
      </w:r>
      <w:r>
        <w:rPr>
          <w:color w:val="231F20"/>
          <w:spacing w:val="-12"/>
          <w:w w:val="120"/>
        </w:rPr>
        <w:t> </w:t>
      </w:r>
      <w:r>
        <w:rPr>
          <w:color w:val="231F20"/>
          <w:w w:val="120"/>
        </w:rPr>
        <w:t>militant</w:t>
      </w:r>
      <w:r>
        <w:rPr>
          <w:color w:val="231F20"/>
          <w:spacing w:val="-13"/>
          <w:w w:val="120"/>
        </w:rPr>
        <w:t> </w:t>
      </w:r>
      <w:r>
        <w:rPr>
          <w:color w:val="231F20"/>
          <w:w w:val="120"/>
        </w:rPr>
        <w:t>syndical</w:t>
      </w:r>
      <w:r>
        <w:rPr>
          <w:color w:val="231F20"/>
          <w:spacing w:val="-13"/>
          <w:w w:val="120"/>
        </w:rPr>
        <w:t> </w:t>
      </w:r>
      <w:r>
        <w:rPr>
          <w:color w:val="231F20"/>
          <w:w w:val="120"/>
        </w:rPr>
        <w:t>né</w:t>
      </w:r>
      <w:r>
        <w:rPr>
          <w:color w:val="231F20"/>
          <w:spacing w:val="-13"/>
          <w:w w:val="120"/>
        </w:rPr>
        <w:t> </w:t>
      </w:r>
      <w:r>
        <w:rPr>
          <w:color w:val="231F20"/>
          <w:w w:val="120"/>
        </w:rPr>
        <w:t>en</w:t>
      </w:r>
      <w:r>
        <w:rPr>
          <w:color w:val="231F20"/>
          <w:spacing w:val="-12"/>
          <w:w w:val="120"/>
        </w:rPr>
        <w:t> </w:t>
      </w:r>
      <w:r>
        <w:rPr>
          <w:color w:val="231F20"/>
          <w:w w:val="120"/>
        </w:rPr>
        <w:t>Grèce,</w:t>
      </w:r>
      <w:r>
        <w:rPr>
          <w:color w:val="231F20"/>
          <w:spacing w:val="-13"/>
          <w:w w:val="120"/>
        </w:rPr>
        <w:t> </w:t>
      </w:r>
      <w:r>
        <w:rPr>
          <w:color w:val="231F20"/>
          <w:w w:val="120"/>
        </w:rPr>
        <w:t>y</w:t>
      </w:r>
      <w:r>
        <w:rPr>
          <w:color w:val="231F20"/>
          <w:spacing w:val="-13"/>
          <w:w w:val="120"/>
        </w:rPr>
        <w:t> </w:t>
      </w:r>
      <w:r>
        <w:rPr>
          <w:color w:val="231F20"/>
          <w:w w:val="120"/>
        </w:rPr>
        <w:t>reprenait </w:t>
      </w:r>
      <w:r>
        <w:rPr>
          <w:color w:val="231F20"/>
          <w:w w:val="115"/>
        </w:rPr>
        <w:t>à son compte la formule consacrée selon laquelle les travailleurs de l’au- </w:t>
      </w:r>
      <w:r>
        <w:rPr>
          <w:color w:val="231F20"/>
          <w:w w:val="120"/>
        </w:rPr>
        <w:t>tomobile n’avaient plus besoin de cerveau pour exécuter leurs tâches. Interrogé sur les grèves sauvages du début des années 1970, Graham </w:t>
      </w:r>
      <w:r>
        <w:rPr>
          <w:color w:val="231F20"/>
          <w:w w:val="115"/>
        </w:rPr>
        <w:t>raconta</w:t>
      </w:r>
      <w:r>
        <w:rPr>
          <w:color w:val="231F20"/>
          <w:spacing w:val="-13"/>
          <w:w w:val="115"/>
        </w:rPr>
        <w:t> </w:t>
      </w:r>
      <w:r>
        <w:rPr>
          <w:color w:val="231F20"/>
          <w:w w:val="115"/>
        </w:rPr>
        <w:t>que</w:t>
      </w:r>
      <w:r>
        <w:rPr>
          <w:color w:val="231F20"/>
          <w:spacing w:val="-12"/>
          <w:w w:val="115"/>
        </w:rPr>
        <w:t> </w:t>
      </w:r>
      <w:r>
        <w:rPr>
          <w:color w:val="231F20"/>
          <w:w w:val="115"/>
        </w:rPr>
        <w:t>les</w:t>
      </w:r>
      <w:r>
        <w:rPr>
          <w:color w:val="231F20"/>
          <w:spacing w:val="-12"/>
          <w:w w:val="115"/>
        </w:rPr>
        <w:t> </w:t>
      </w:r>
      <w:r>
        <w:rPr>
          <w:color w:val="231F20"/>
          <w:w w:val="115"/>
        </w:rPr>
        <w:t>cadres</w:t>
      </w:r>
      <w:r>
        <w:rPr>
          <w:color w:val="231F20"/>
          <w:spacing w:val="-12"/>
          <w:w w:val="115"/>
        </w:rPr>
        <w:t> </w:t>
      </w:r>
      <w:r>
        <w:rPr>
          <w:color w:val="231F20"/>
          <w:w w:val="115"/>
        </w:rPr>
        <w:t>avaient</w:t>
      </w:r>
      <w:r>
        <w:rPr>
          <w:color w:val="231F20"/>
          <w:spacing w:val="-13"/>
          <w:w w:val="115"/>
        </w:rPr>
        <w:t> </w:t>
      </w:r>
      <w:r>
        <w:rPr>
          <w:color w:val="231F20"/>
          <w:w w:val="115"/>
        </w:rPr>
        <w:t>dit</w:t>
      </w:r>
      <w:r>
        <w:rPr>
          <w:color w:val="231F20"/>
          <w:spacing w:val="-12"/>
          <w:w w:val="115"/>
        </w:rPr>
        <w:t> </w:t>
      </w:r>
      <w:r>
        <w:rPr>
          <w:color w:val="231F20"/>
          <w:w w:val="115"/>
        </w:rPr>
        <w:t>un</w:t>
      </w:r>
      <w:r>
        <w:rPr>
          <w:color w:val="231F20"/>
          <w:spacing w:val="-12"/>
          <w:w w:val="115"/>
        </w:rPr>
        <w:t> </w:t>
      </w:r>
      <w:r>
        <w:rPr>
          <w:color w:val="231F20"/>
          <w:w w:val="115"/>
        </w:rPr>
        <w:t>jour</w:t>
      </w:r>
      <w:r>
        <w:rPr>
          <w:color w:val="231F20"/>
          <w:spacing w:val="-12"/>
          <w:w w:val="115"/>
        </w:rPr>
        <w:t> </w:t>
      </w:r>
      <w:r>
        <w:rPr>
          <w:color w:val="231F20"/>
          <w:w w:val="115"/>
        </w:rPr>
        <w:t>aux</w:t>
      </w:r>
      <w:r>
        <w:rPr>
          <w:color w:val="231F20"/>
          <w:spacing w:val="-12"/>
          <w:w w:val="115"/>
        </w:rPr>
        <w:t> </w:t>
      </w:r>
      <w:r>
        <w:rPr>
          <w:color w:val="231F20"/>
          <w:w w:val="115"/>
        </w:rPr>
        <w:t>ouvriers:</w:t>
      </w:r>
      <w:r>
        <w:rPr>
          <w:color w:val="231F20"/>
          <w:spacing w:val="-13"/>
          <w:w w:val="115"/>
        </w:rPr>
        <w:t> </w:t>
      </w:r>
      <w:r>
        <w:rPr>
          <w:color w:val="231F20"/>
          <w:w w:val="115"/>
        </w:rPr>
        <w:t>«</w:t>
      </w:r>
      <w:r>
        <w:rPr>
          <w:color w:val="231F20"/>
          <w:spacing w:val="-12"/>
          <w:w w:val="115"/>
        </w:rPr>
        <w:t> </w:t>
      </w:r>
      <w:r>
        <w:rPr>
          <w:i/>
          <w:color w:val="231F20"/>
          <w:w w:val="115"/>
        </w:rPr>
        <w:t>Quand</w:t>
      </w:r>
      <w:r>
        <w:rPr>
          <w:i/>
          <w:color w:val="231F20"/>
          <w:spacing w:val="-12"/>
          <w:w w:val="115"/>
        </w:rPr>
        <w:t> </w:t>
      </w:r>
      <w:r>
        <w:rPr>
          <w:i/>
          <w:color w:val="231F20"/>
          <w:w w:val="115"/>
        </w:rPr>
        <w:t>vous</w:t>
      </w:r>
      <w:r>
        <w:rPr>
          <w:i/>
          <w:color w:val="231F20"/>
          <w:spacing w:val="-12"/>
          <w:w w:val="115"/>
        </w:rPr>
        <w:t> </w:t>
      </w:r>
      <w:r>
        <w:rPr>
          <w:i/>
          <w:color w:val="231F20"/>
          <w:w w:val="115"/>
        </w:rPr>
        <w:t>venez à</w:t>
      </w:r>
      <w:r>
        <w:rPr>
          <w:i/>
          <w:color w:val="231F20"/>
          <w:spacing w:val="-3"/>
          <w:w w:val="115"/>
        </w:rPr>
        <w:t> </w:t>
      </w:r>
      <w:r>
        <w:rPr>
          <w:i/>
          <w:color w:val="231F20"/>
          <w:w w:val="115"/>
        </w:rPr>
        <w:t>l’usine,</w:t>
      </w:r>
      <w:r>
        <w:rPr>
          <w:i/>
          <w:color w:val="231F20"/>
          <w:spacing w:val="-3"/>
          <w:w w:val="115"/>
        </w:rPr>
        <w:t> </w:t>
      </w:r>
      <w:r>
        <w:rPr>
          <w:i/>
          <w:color w:val="231F20"/>
          <w:w w:val="115"/>
        </w:rPr>
        <w:t>laissez</w:t>
      </w:r>
      <w:r>
        <w:rPr>
          <w:i/>
          <w:color w:val="231F20"/>
          <w:spacing w:val="-3"/>
          <w:w w:val="115"/>
        </w:rPr>
        <w:t> </w:t>
      </w:r>
      <w:r>
        <w:rPr>
          <w:i/>
          <w:color w:val="231F20"/>
          <w:w w:val="115"/>
        </w:rPr>
        <w:t>votre</w:t>
      </w:r>
      <w:r>
        <w:rPr>
          <w:i/>
          <w:color w:val="231F20"/>
          <w:spacing w:val="-3"/>
          <w:w w:val="115"/>
        </w:rPr>
        <w:t> </w:t>
      </w:r>
      <w:r>
        <w:rPr>
          <w:i/>
          <w:color w:val="231F20"/>
          <w:w w:val="115"/>
        </w:rPr>
        <w:t>cerveau</w:t>
      </w:r>
      <w:r>
        <w:rPr>
          <w:i/>
          <w:color w:val="231F20"/>
          <w:spacing w:val="-3"/>
          <w:w w:val="115"/>
        </w:rPr>
        <w:t> </w:t>
      </w:r>
      <w:r>
        <w:rPr>
          <w:i/>
          <w:color w:val="231F20"/>
          <w:w w:val="115"/>
        </w:rPr>
        <w:t>à</w:t>
      </w:r>
      <w:r>
        <w:rPr>
          <w:i/>
          <w:color w:val="231F20"/>
          <w:spacing w:val="-3"/>
          <w:w w:val="115"/>
        </w:rPr>
        <w:t> </w:t>
      </w:r>
      <w:r>
        <w:rPr>
          <w:i/>
          <w:color w:val="231F20"/>
          <w:w w:val="115"/>
        </w:rPr>
        <w:t>la</w:t>
      </w:r>
      <w:r>
        <w:rPr>
          <w:i/>
          <w:color w:val="231F20"/>
          <w:spacing w:val="-3"/>
          <w:w w:val="115"/>
        </w:rPr>
        <w:t> </w:t>
      </w:r>
      <w:r>
        <w:rPr>
          <w:i/>
          <w:color w:val="231F20"/>
          <w:w w:val="115"/>
        </w:rPr>
        <w:t>porte</w:t>
      </w:r>
      <w:r>
        <w:rPr>
          <w:i/>
          <w:color w:val="231F20"/>
          <w:spacing w:val="-3"/>
          <w:w w:val="115"/>
        </w:rPr>
        <w:t> </w:t>
      </w:r>
      <w:r>
        <w:rPr>
          <w:i/>
          <w:color w:val="231F20"/>
          <w:w w:val="115"/>
        </w:rPr>
        <w:t>et</w:t>
      </w:r>
      <w:r>
        <w:rPr>
          <w:i/>
          <w:color w:val="231F20"/>
          <w:spacing w:val="-3"/>
          <w:w w:val="115"/>
        </w:rPr>
        <w:t> </w:t>
      </w:r>
      <w:r>
        <w:rPr>
          <w:i/>
          <w:color w:val="231F20"/>
          <w:w w:val="115"/>
        </w:rPr>
        <w:t>n’entrez</w:t>
      </w:r>
      <w:r>
        <w:rPr>
          <w:i/>
          <w:color w:val="231F20"/>
          <w:spacing w:val="-3"/>
          <w:w w:val="115"/>
        </w:rPr>
        <w:t> </w:t>
      </w:r>
      <w:r>
        <w:rPr>
          <w:i/>
          <w:color w:val="231F20"/>
          <w:w w:val="115"/>
        </w:rPr>
        <w:t>qu’avec</w:t>
      </w:r>
      <w:r>
        <w:rPr>
          <w:i/>
          <w:color w:val="231F20"/>
          <w:spacing w:val="-3"/>
          <w:w w:val="115"/>
        </w:rPr>
        <w:t> </w:t>
      </w:r>
      <w:r>
        <w:rPr>
          <w:i/>
          <w:color w:val="231F20"/>
          <w:w w:val="115"/>
        </w:rPr>
        <w:t>votre</w:t>
      </w:r>
      <w:r>
        <w:rPr>
          <w:i/>
          <w:color w:val="231F20"/>
          <w:spacing w:val="-3"/>
          <w:w w:val="115"/>
        </w:rPr>
        <w:t> </w:t>
      </w:r>
      <w:r>
        <w:rPr>
          <w:i/>
          <w:color w:val="231F20"/>
          <w:w w:val="115"/>
        </w:rPr>
        <w:t>corps, parce</w:t>
      </w:r>
      <w:r>
        <w:rPr>
          <w:i/>
          <w:color w:val="231F20"/>
          <w:spacing w:val="-1"/>
          <w:w w:val="115"/>
        </w:rPr>
        <w:t> </w:t>
      </w:r>
      <w:r>
        <w:rPr>
          <w:i/>
          <w:color w:val="231F20"/>
          <w:w w:val="115"/>
        </w:rPr>
        <w:t>qu’on</w:t>
      </w:r>
      <w:r>
        <w:rPr>
          <w:i/>
          <w:color w:val="231F20"/>
          <w:spacing w:val="-1"/>
          <w:w w:val="115"/>
        </w:rPr>
        <w:t> </w:t>
      </w:r>
      <w:r>
        <w:rPr>
          <w:i/>
          <w:color w:val="231F20"/>
          <w:w w:val="115"/>
        </w:rPr>
        <w:t>n’a</w:t>
      </w:r>
      <w:r>
        <w:rPr>
          <w:i/>
          <w:color w:val="231F20"/>
          <w:spacing w:val="-1"/>
          <w:w w:val="115"/>
        </w:rPr>
        <w:t> </w:t>
      </w:r>
      <w:r>
        <w:rPr>
          <w:i/>
          <w:color w:val="231F20"/>
          <w:w w:val="115"/>
        </w:rPr>
        <w:t>besoin</w:t>
      </w:r>
      <w:r>
        <w:rPr>
          <w:i/>
          <w:color w:val="231F20"/>
          <w:spacing w:val="-1"/>
          <w:w w:val="115"/>
        </w:rPr>
        <w:t> </w:t>
      </w:r>
      <w:r>
        <w:rPr>
          <w:i/>
          <w:color w:val="231F20"/>
          <w:w w:val="115"/>
        </w:rPr>
        <w:t>de</w:t>
      </w:r>
      <w:r>
        <w:rPr>
          <w:i/>
          <w:color w:val="231F20"/>
          <w:spacing w:val="-1"/>
          <w:w w:val="115"/>
        </w:rPr>
        <w:t> </w:t>
      </w:r>
      <w:r>
        <w:rPr>
          <w:i/>
          <w:color w:val="231F20"/>
          <w:w w:val="115"/>
        </w:rPr>
        <w:t>rien</w:t>
      </w:r>
      <w:r>
        <w:rPr>
          <w:i/>
          <w:color w:val="231F20"/>
          <w:spacing w:val="-1"/>
          <w:w w:val="115"/>
        </w:rPr>
        <w:t> </w:t>
      </w:r>
      <w:r>
        <w:rPr>
          <w:i/>
          <w:color w:val="231F20"/>
          <w:w w:val="115"/>
        </w:rPr>
        <w:t>d’autre.</w:t>
      </w:r>
      <w:r>
        <w:rPr>
          <w:i/>
          <w:color w:val="231F20"/>
          <w:spacing w:val="-1"/>
          <w:w w:val="115"/>
        </w:rPr>
        <w:t> </w:t>
      </w:r>
      <w:r>
        <w:rPr>
          <w:i/>
          <w:color w:val="231F20"/>
          <w:w w:val="115"/>
        </w:rPr>
        <w:t>Laissez</w:t>
      </w:r>
      <w:r>
        <w:rPr>
          <w:i/>
          <w:color w:val="231F20"/>
          <w:spacing w:val="-1"/>
          <w:w w:val="115"/>
        </w:rPr>
        <w:t> </w:t>
      </w:r>
      <w:r>
        <w:rPr>
          <w:i/>
          <w:color w:val="231F20"/>
          <w:w w:val="115"/>
        </w:rPr>
        <w:t>votre</w:t>
      </w:r>
      <w:r>
        <w:rPr>
          <w:i/>
          <w:color w:val="231F20"/>
          <w:spacing w:val="-1"/>
          <w:w w:val="115"/>
        </w:rPr>
        <w:t> </w:t>
      </w:r>
      <w:r>
        <w:rPr>
          <w:i/>
          <w:color w:val="231F20"/>
          <w:w w:val="115"/>
        </w:rPr>
        <w:t>cerveau</w:t>
      </w:r>
      <w:r>
        <w:rPr>
          <w:i/>
          <w:color w:val="231F20"/>
          <w:spacing w:val="-1"/>
          <w:w w:val="115"/>
        </w:rPr>
        <w:t> </w:t>
      </w:r>
      <w:r>
        <w:rPr>
          <w:i/>
          <w:color w:val="231F20"/>
          <w:w w:val="115"/>
        </w:rPr>
        <w:t>en</w:t>
      </w:r>
      <w:r>
        <w:rPr>
          <w:i/>
          <w:color w:val="231F20"/>
          <w:spacing w:val="-1"/>
          <w:w w:val="115"/>
        </w:rPr>
        <w:t> </w:t>
      </w:r>
      <w:r>
        <w:rPr>
          <w:i/>
          <w:color w:val="231F20"/>
          <w:w w:val="115"/>
        </w:rPr>
        <w:t>entrant, </w:t>
      </w:r>
      <w:r>
        <w:rPr>
          <w:i/>
          <w:color w:val="231F20"/>
          <w:w w:val="120"/>
        </w:rPr>
        <w:t>nous vous dirons quoi faire, comment le faire, quand manger, quand prendre un café.</w:t>
      </w:r>
      <w:r>
        <w:rPr>
          <w:i/>
          <w:color w:val="231F20"/>
          <w:spacing w:val="-27"/>
          <w:w w:val="120"/>
        </w:rPr>
        <w:t> </w:t>
      </w:r>
      <w:r>
        <w:rPr>
          <w:color w:val="231F20"/>
          <w:w w:val="120"/>
        </w:rPr>
        <w:t>»</w:t>
      </w:r>
    </w:p>
    <w:p>
      <w:pPr>
        <w:pStyle w:val="BodyText"/>
        <w:spacing w:line="307" w:lineRule="auto" w:before="76"/>
        <w:ind w:left="789" w:right="633" w:firstLine="250"/>
        <w:jc w:val="both"/>
      </w:pPr>
      <w:r>
        <w:rPr>
          <w:color w:val="231F20"/>
          <w:spacing w:val="-2"/>
          <w:w w:val="120"/>
        </w:rPr>
        <w:t>Les</w:t>
      </w:r>
      <w:r>
        <w:rPr>
          <w:color w:val="231F20"/>
          <w:spacing w:val="-5"/>
          <w:w w:val="120"/>
        </w:rPr>
        <w:t> </w:t>
      </w:r>
      <w:r>
        <w:rPr>
          <w:color w:val="231F20"/>
          <w:spacing w:val="-2"/>
          <w:w w:val="120"/>
        </w:rPr>
        <w:t>participants</w:t>
      </w:r>
      <w:r>
        <w:rPr>
          <w:color w:val="231F20"/>
          <w:spacing w:val="-5"/>
          <w:w w:val="120"/>
        </w:rPr>
        <w:t> </w:t>
      </w:r>
      <w:r>
        <w:rPr>
          <w:color w:val="231F20"/>
          <w:spacing w:val="-2"/>
          <w:w w:val="120"/>
        </w:rPr>
        <w:t>à</w:t>
      </w:r>
      <w:r>
        <w:rPr>
          <w:color w:val="231F20"/>
          <w:spacing w:val="-5"/>
          <w:w w:val="120"/>
        </w:rPr>
        <w:t> </w:t>
      </w:r>
      <w:r>
        <w:rPr>
          <w:color w:val="231F20"/>
          <w:spacing w:val="-2"/>
          <w:w w:val="120"/>
        </w:rPr>
        <w:t>cette</w:t>
      </w:r>
      <w:r>
        <w:rPr>
          <w:color w:val="231F20"/>
          <w:spacing w:val="-5"/>
          <w:w w:val="120"/>
        </w:rPr>
        <w:t> </w:t>
      </w:r>
      <w:r>
        <w:rPr>
          <w:color w:val="231F20"/>
          <w:spacing w:val="-2"/>
          <w:w w:val="120"/>
        </w:rPr>
        <w:t>série</w:t>
      </w:r>
      <w:r>
        <w:rPr>
          <w:color w:val="231F20"/>
          <w:spacing w:val="-5"/>
          <w:w w:val="120"/>
        </w:rPr>
        <w:t> </w:t>
      </w:r>
      <w:r>
        <w:rPr>
          <w:color w:val="231F20"/>
          <w:spacing w:val="-2"/>
          <w:w w:val="120"/>
        </w:rPr>
        <w:t>de</w:t>
      </w:r>
      <w:r>
        <w:rPr>
          <w:color w:val="231F20"/>
          <w:spacing w:val="-5"/>
          <w:w w:val="120"/>
        </w:rPr>
        <w:t> </w:t>
      </w:r>
      <w:r>
        <w:rPr>
          <w:color w:val="231F20"/>
          <w:spacing w:val="-2"/>
          <w:w w:val="120"/>
        </w:rPr>
        <w:t>conférences</w:t>
      </w:r>
      <w:r>
        <w:rPr>
          <w:color w:val="231F20"/>
          <w:spacing w:val="-5"/>
          <w:w w:val="120"/>
        </w:rPr>
        <w:t> </w:t>
      </w:r>
      <w:r>
        <w:rPr>
          <w:color w:val="231F20"/>
          <w:spacing w:val="-2"/>
          <w:w w:val="120"/>
        </w:rPr>
        <w:t>ont</w:t>
      </w:r>
      <w:r>
        <w:rPr>
          <w:color w:val="231F20"/>
          <w:spacing w:val="-5"/>
          <w:w w:val="120"/>
        </w:rPr>
        <w:t> </w:t>
      </w:r>
      <w:r>
        <w:rPr>
          <w:color w:val="231F20"/>
          <w:spacing w:val="-2"/>
          <w:w w:val="120"/>
        </w:rPr>
        <w:t>conclu</w:t>
      </w:r>
      <w:r>
        <w:rPr>
          <w:color w:val="231F20"/>
          <w:spacing w:val="-5"/>
          <w:w w:val="120"/>
        </w:rPr>
        <w:t> </w:t>
      </w:r>
      <w:r>
        <w:rPr>
          <w:color w:val="231F20"/>
          <w:spacing w:val="-2"/>
          <w:w w:val="120"/>
        </w:rPr>
        <w:t>qu’un</w:t>
      </w:r>
      <w:r>
        <w:rPr>
          <w:color w:val="231F20"/>
          <w:spacing w:val="-5"/>
          <w:w w:val="120"/>
        </w:rPr>
        <w:t> </w:t>
      </w:r>
      <w:r>
        <w:rPr>
          <w:color w:val="231F20"/>
          <w:spacing w:val="-2"/>
          <w:w w:val="120"/>
        </w:rPr>
        <w:t>emploi </w:t>
      </w:r>
      <w:r>
        <w:rPr>
          <w:color w:val="231F20"/>
          <w:w w:val="120"/>
        </w:rPr>
        <w:t>ne</w:t>
      </w:r>
      <w:r>
        <w:rPr>
          <w:color w:val="231F20"/>
          <w:spacing w:val="-7"/>
          <w:w w:val="120"/>
        </w:rPr>
        <w:t> </w:t>
      </w:r>
      <w:r>
        <w:rPr>
          <w:color w:val="231F20"/>
          <w:w w:val="120"/>
        </w:rPr>
        <w:t>se</w:t>
      </w:r>
      <w:r>
        <w:rPr>
          <w:color w:val="231F20"/>
          <w:spacing w:val="-7"/>
          <w:w w:val="120"/>
        </w:rPr>
        <w:t> </w:t>
      </w:r>
      <w:r>
        <w:rPr>
          <w:color w:val="231F20"/>
          <w:w w:val="120"/>
        </w:rPr>
        <w:t>borne</w:t>
      </w:r>
      <w:r>
        <w:rPr>
          <w:color w:val="231F20"/>
          <w:spacing w:val="-7"/>
          <w:w w:val="120"/>
        </w:rPr>
        <w:t> </w:t>
      </w:r>
      <w:r>
        <w:rPr>
          <w:color w:val="231F20"/>
          <w:w w:val="120"/>
        </w:rPr>
        <w:t>pas</w:t>
      </w:r>
      <w:r>
        <w:rPr>
          <w:color w:val="231F20"/>
          <w:spacing w:val="-7"/>
          <w:w w:val="120"/>
        </w:rPr>
        <w:t> </w:t>
      </w:r>
      <w:r>
        <w:rPr>
          <w:color w:val="231F20"/>
          <w:w w:val="120"/>
        </w:rPr>
        <w:t>simplement</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salaire,</w:t>
      </w:r>
      <w:r>
        <w:rPr>
          <w:color w:val="231F20"/>
          <w:spacing w:val="-7"/>
          <w:w w:val="120"/>
        </w:rPr>
        <w:t> </w:t>
      </w:r>
      <w:r>
        <w:rPr>
          <w:color w:val="231F20"/>
          <w:w w:val="120"/>
        </w:rPr>
        <w:t>à</w:t>
      </w:r>
      <w:r>
        <w:rPr>
          <w:color w:val="231F20"/>
          <w:spacing w:val="-7"/>
          <w:w w:val="120"/>
        </w:rPr>
        <w:t> </w:t>
      </w:r>
      <w:r>
        <w:rPr>
          <w:color w:val="231F20"/>
          <w:w w:val="120"/>
        </w:rPr>
        <w:t>une</w:t>
      </w:r>
      <w:r>
        <w:rPr>
          <w:color w:val="231F20"/>
          <w:spacing w:val="-7"/>
          <w:w w:val="120"/>
        </w:rPr>
        <w:t> </w:t>
      </w:r>
      <w:r>
        <w:rPr>
          <w:color w:val="231F20"/>
          <w:w w:val="120"/>
        </w:rPr>
        <w:t>répétition</w:t>
      </w:r>
      <w:r>
        <w:rPr>
          <w:color w:val="231F20"/>
          <w:spacing w:val="-7"/>
          <w:w w:val="120"/>
        </w:rPr>
        <w:t> </w:t>
      </w:r>
      <w:r>
        <w:rPr>
          <w:color w:val="231F20"/>
          <w:w w:val="120"/>
        </w:rPr>
        <w:t>de</w:t>
      </w:r>
      <w:r>
        <w:rPr>
          <w:color w:val="231F20"/>
          <w:spacing w:val="-7"/>
          <w:w w:val="120"/>
        </w:rPr>
        <w:t> </w:t>
      </w:r>
      <w:r>
        <w:rPr>
          <w:color w:val="231F20"/>
          <w:w w:val="120"/>
        </w:rPr>
        <w:t>tâches</w:t>
      </w:r>
      <w:r>
        <w:rPr>
          <w:color w:val="231F20"/>
          <w:spacing w:val="-7"/>
          <w:w w:val="120"/>
        </w:rPr>
        <w:t> </w:t>
      </w:r>
      <w:r>
        <w:rPr>
          <w:color w:val="231F20"/>
          <w:w w:val="120"/>
        </w:rPr>
        <w:t>rou- tinières</w:t>
      </w:r>
      <w:r>
        <w:rPr>
          <w:color w:val="231F20"/>
          <w:spacing w:val="-1"/>
          <w:w w:val="120"/>
        </w:rPr>
        <w:t> </w:t>
      </w:r>
      <w:r>
        <w:rPr>
          <w:color w:val="231F20"/>
          <w:w w:val="120"/>
        </w:rPr>
        <w:t>et</w:t>
      </w:r>
      <w:r>
        <w:rPr>
          <w:color w:val="231F20"/>
          <w:spacing w:val="-1"/>
          <w:w w:val="120"/>
        </w:rPr>
        <w:t> </w:t>
      </w:r>
      <w:r>
        <w:rPr>
          <w:color w:val="231F20"/>
          <w:w w:val="120"/>
        </w:rPr>
        <w:t>à</w:t>
      </w:r>
      <w:r>
        <w:rPr>
          <w:color w:val="231F20"/>
          <w:spacing w:val="-1"/>
          <w:w w:val="120"/>
        </w:rPr>
        <w:t> </w:t>
      </w:r>
      <w:r>
        <w:rPr>
          <w:color w:val="231F20"/>
          <w:w w:val="120"/>
        </w:rPr>
        <w:t>une</w:t>
      </w:r>
      <w:r>
        <w:rPr>
          <w:color w:val="231F20"/>
          <w:spacing w:val="-1"/>
          <w:w w:val="120"/>
        </w:rPr>
        <w:t> </w:t>
      </w:r>
      <w:r>
        <w:rPr>
          <w:color w:val="231F20"/>
          <w:w w:val="120"/>
        </w:rPr>
        <w:t>exécution</w:t>
      </w:r>
      <w:r>
        <w:rPr>
          <w:color w:val="231F20"/>
          <w:spacing w:val="-1"/>
          <w:w w:val="120"/>
        </w:rPr>
        <w:t> </w:t>
      </w:r>
      <w:r>
        <w:rPr>
          <w:color w:val="231F20"/>
          <w:w w:val="120"/>
        </w:rPr>
        <w:t>des</w:t>
      </w:r>
      <w:r>
        <w:rPr>
          <w:color w:val="231F20"/>
          <w:spacing w:val="-1"/>
          <w:w w:val="120"/>
        </w:rPr>
        <w:t> </w:t>
      </w:r>
      <w:r>
        <w:rPr>
          <w:color w:val="231F20"/>
          <w:w w:val="120"/>
        </w:rPr>
        <w:t>directives.</w:t>
      </w:r>
      <w:r>
        <w:rPr>
          <w:color w:val="231F20"/>
          <w:spacing w:val="-1"/>
          <w:w w:val="120"/>
        </w:rPr>
        <w:t> </w:t>
      </w:r>
      <w:r>
        <w:rPr>
          <w:color w:val="231F20"/>
          <w:w w:val="120"/>
        </w:rPr>
        <w:t>Pour</w:t>
      </w:r>
      <w:r>
        <w:rPr>
          <w:color w:val="231F20"/>
          <w:spacing w:val="-1"/>
          <w:w w:val="120"/>
        </w:rPr>
        <w:t> </w:t>
      </w:r>
      <w:r>
        <w:rPr>
          <w:color w:val="231F20"/>
          <w:w w:val="120"/>
        </w:rPr>
        <w:t>eux,</w:t>
      </w:r>
      <w:r>
        <w:rPr>
          <w:color w:val="231F20"/>
          <w:spacing w:val="-1"/>
          <w:w w:val="120"/>
        </w:rPr>
        <w:t> </w:t>
      </w:r>
      <w:r>
        <w:rPr>
          <w:color w:val="231F20"/>
          <w:w w:val="120"/>
        </w:rPr>
        <w:t>la</w:t>
      </w:r>
      <w:r>
        <w:rPr>
          <w:color w:val="231F20"/>
          <w:spacing w:val="-1"/>
          <w:w w:val="120"/>
        </w:rPr>
        <w:t> </w:t>
      </w:r>
      <w:r>
        <w:rPr>
          <w:color w:val="231F20"/>
          <w:w w:val="120"/>
        </w:rPr>
        <w:t>notion</w:t>
      </w:r>
      <w:r>
        <w:rPr>
          <w:color w:val="231F20"/>
          <w:spacing w:val="-1"/>
          <w:w w:val="120"/>
        </w:rPr>
        <w:t> </w:t>
      </w:r>
      <w:r>
        <w:rPr>
          <w:color w:val="231F20"/>
          <w:w w:val="120"/>
        </w:rPr>
        <w:t>d’</w:t>
      </w:r>
      <w:r>
        <w:rPr>
          <w:i/>
          <w:color w:val="231F20"/>
          <w:w w:val="120"/>
        </w:rPr>
        <w:t>emploi </w:t>
      </w:r>
      <w:r>
        <w:rPr>
          <w:color w:val="231F20"/>
          <w:spacing w:val="-2"/>
          <w:w w:val="120"/>
        </w:rPr>
        <w:t>dépasse</w:t>
      </w:r>
      <w:r>
        <w:rPr>
          <w:color w:val="231F20"/>
          <w:spacing w:val="-11"/>
          <w:w w:val="120"/>
        </w:rPr>
        <w:t> </w:t>
      </w:r>
      <w:r>
        <w:rPr>
          <w:color w:val="231F20"/>
          <w:spacing w:val="-2"/>
          <w:w w:val="120"/>
        </w:rPr>
        <w:t>la</w:t>
      </w:r>
      <w:r>
        <w:rPr>
          <w:color w:val="231F20"/>
          <w:spacing w:val="-11"/>
          <w:w w:val="120"/>
        </w:rPr>
        <w:t> </w:t>
      </w:r>
      <w:r>
        <w:rPr>
          <w:color w:val="231F20"/>
          <w:spacing w:val="-2"/>
          <w:w w:val="120"/>
        </w:rPr>
        <w:t>simple</w:t>
      </w:r>
      <w:r>
        <w:rPr>
          <w:color w:val="231F20"/>
          <w:spacing w:val="-11"/>
          <w:w w:val="120"/>
        </w:rPr>
        <w:t> </w:t>
      </w:r>
      <w:r>
        <w:rPr>
          <w:color w:val="231F20"/>
          <w:spacing w:val="-2"/>
          <w:w w:val="120"/>
        </w:rPr>
        <w:t>prestation</w:t>
      </w:r>
      <w:r>
        <w:rPr>
          <w:color w:val="231F20"/>
          <w:spacing w:val="-6"/>
          <w:w w:val="120"/>
        </w:rPr>
        <w:t> </w:t>
      </w:r>
      <w:r>
        <w:rPr>
          <w:color w:val="231F20"/>
          <w:spacing w:val="-2"/>
          <w:w w:val="120"/>
        </w:rPr>
        <w:t>de</w:t>
      </w:r>
      <w:r>
        <w:rPr>
          <w:color w:val="231F20"/>
          <w:spacing w:val="-5"/>
          <w:w w:val="120"/>
        </w:rPr>
        <w:t> </w:t>
      </w:r>
      <w:r>
        <w:rPr>
          <w:color w:val="231F20"/>
          <w:spacing w:val="-2"/>
          <w:w w:val="120"/>
        </w:rPr>
        <w:t>travail</w:t>
      </w:r>
      <w:r>
        <w:rPr>
          <w:color w:val="231F20"/>
          <w:spacing w:val="-5"/>
          <w:w w:val="120"/>
        </w:rPr>
        <w:t> </w:t>
      </w:r>
      <w:r>
        <w:rPr>
          <w:color w:val="231F20"/>
          <w:spacing w:val="-2"/>
          <w:w w:val="120"/>
        </w:rPr>
        <w:t>et</w:t>
      </w:r>
      <w:r>
        <w:rPr>
          <w:color w:val="231F20"/>
          <w:spacing w:val="-5"/>
          <w:w w:val="120"/>
        </w:rPr>
        <w:t> </w:t>
      </w:r>
      <w:r>
        <w:rPr>
          <w:color w:val="231F20"/>
          <w:spacing w:val="-2"/>
          <w:w w:val="120"/>
        </w:rPr>
        <w:t>englobe</w:t>
      </w:r>
      <w:r>
        <w:rPr>
          <w:color w:val="231F20"/>
          <w:spacing w:val="-5"/>
          <w:w w:val="120"/>
        </w:rPr>
        <w:t> </w:t>
      </w:r>
      <w:r>
        <w:rPr>
          <w:color w:val="231F20"/>
          <w:spacing w:val="-2"/>
          <w:w w:val="120"/>
        </w:rPr>
        <w:t>d’autres</w:t>
      </w:r>
      <w:r>
        <w:rPr>
          <w:color w:val="231F20"/>
          <w:spacing w:val="-5"/>
          <w:w w:val="120"/>
        </w:rPr>
        <w:t> </w:t>
      </w:r>
      <w:r>
        <w:rPr>
          <w:color w:val="231F20"/>
          <w:spacing w:val="-2"/>
          <w:w w:val="120"/>
        </w:rPr>
        <w:t>concepts</w:t>
      </w:r>
      <w:r>
        <w:rPr>
          <w:color w:val="231F20"/>
          <w:spacing w:val="-11"/>
          <w:w w:val="120"/>
        </w:rPr>
        <w:t> </w:t>
      </w:r>
      <w:r>
        <w:rPr>
          <w:color w:val="231F20"/>
          <w:spacing w:val="-2"/>
          <w:w w:val="120"/>
        </w:rPr>
        <w:t>:</w:t>
      </w:r>
      <w:r>
        <w:rPr>
          <w:color w:val="231F20"/>
          <w:spacing w:val="-5"/>
          <w:w w:val="120"/>
        </w:rPr>
        <w:t> </w:t>
      </w:r>
      <w:r>
        <w:rPr>
          <w:color w:val="231F20"/>
          <w:spacing w:val="-2"/>
          <w:w w:val="120"/>
        </w:rPr>
        <w:t>une certaine</w:t>
      </w:r>
      <w:r>
        <w:rPr>
          <w:color w:val="231F20"/>
          <w:spacing w:val="-11"/>
          <w:w w:val="120"/>
        </w:rPr>
        <w:t> </w:t>
      </w:r>
      <w:r>
        <w:rPr>
          <w:color w:val="231F20"/>
          <w:spacing w:val="-2"/>
          <w:w w:val="120"/>
        </w:rPr>
        <w:t>participation</w:t>
      </w:r>
      <w:r>
        <w:rPr>
          <w:color w:val="231F20"/>
          <w:spacing w:val="-11"/>
          <w:w w:val="120"/>
        </w:rPr>
        <w:t> </w:t>
      </w:r>
      <w:r>
        <w:rPr>
          <w:color w:val="231F20"/>
          <w:spacing w:val="-2"/>
          <w:w w:val="120"/>
        </w:rPr>
        <w:t>aux</w:t>
      </w:r>
      <w:r>
        <w:rPr>
          <w:color w:val="231F20"/>
          <w:spacing w:val="-6"/>
          <w:w w:val="120"/>
        </w:rPr>
        <w:t> </w:t>
      </w:r>
      <w:r>
        <w:rPr>
          <w:color w:val="231F20"/>
          <w:spacing w:val="-2"/>
          <w:w w:val="120"/>
        </w:rPr>
        <w:t>processus</w:t>
      </w:r>
      <w:r>
        <w:rPr>
          <w:color w:val="231F20"/>
          <w:spacing w:val="-3"/>
          <w:w w:val="120"/>
        </w:rPr>
        <w:t> </w:t>
      </w:r>
      <w:r>
        <w:rPr>
          <w:color w:val="231F20"/>
          <w:spacing w:val="-2"/>
          <w:w w:val="120"/>
        </w:rPr>
        <w:t>décisionnels</w:t>
      </w:r>
      <w:r>
        <w:rPr>
          <w:color w:val="231F20"/>
          <w:spacing w:val="-11"/>
          <w:w w:val="120"/>
        </w:rPr>
        <w:t> </w:t>
      </w:r>
      <w:r>
        <w:rPr>
          <w:color w:val="231F20"/>
          <w:spacing w:val="-2"/>
          <w:w w:val="120"/>
        </w:rPr>
        <w:t>;</w:t>
      </w:r>
      <w:r>
        <w:rPr>
          <w:color w:val="231F20"/>
          <w:spacing w:val="-3"/>
          <w:w w:val="120"/>
        </w:rPr>
        <w:t> </w:t>
      </w:r>
      <w:r>
        <w:rPr>
          <w:color w:val="231F20"/>
          <w:spacing w:val="-2"/>
          <w:w w:val="120"/>
        </w:rPr>
        <w:t>une</w:t>
      </w:r>
      <w:r>
        <w:rPr>
          <w:color w:val="231F20"/>
          <w:spacing w:val="-3"/>
          <w:w w:val="120"/>
        </w:rPr>
        <w:t> </w:t>
      </w:r>
      <w:r>
        <w:rPr>
          <w:color w:val="231F20"/>
          <w:spacing w:val="-2"/>
          <w:w w:val="120"/>
        </w:rPr>
        <w:t>plus</w:t>
      </w:r>
      <w:r>
        <w:rPr>
          <w:color w:val="231F20"/>
          <w:spacing w:val="-3"/>
          <w:w w:val="120"/>
        </w:rPr>
        <w:t> </w:t>
      </w:r>
      <w:r>
        <w:rPr>
          <w:color w:val="231F20"/>
          <w:spacing w:val="-2"/>
          <w:w w:val="120"/>
        </w:rPr>
        <w:t>grande</w:t>
      </w:r>
      <w:r>
        <w:rPr>
          <w:color w:val="231F20"/>
          <w:spacing w:val="-3"/>
          <w:w w:val="120"/>
        </w:rPr>
        <w:t> </w:t>
      </w:r>
      <w:r>
        <w:rPr>
          <w:color w:val="231F20"/>
          <w:spacing w:val="-2"/>
          <w:w w:val="120"/>
        </w:rPr>
        <w:t>auto- </w:t>
      </w:r>
      <w:r>
        <w:rPr>
          <w:color w:val="231F20"/>
          <w:w w:val="120"/>
        </w:rPr>
        <w:t>nomie quant aux horaires de travail quotidiens</w:t>
      </w:r>
      <w:r>
        <w:rPr>
          <w:color w:val="231F20"/>
          <w:spacing w:val="-13"/>
          <w:w w:val="120"/>
        </w:rPr>
        <w:t> </w:t>
      </w:r>
      <w:r>
        <w:rPr>
          <w:color w:val="231F20"/>
          <w:w w:val="120"/>
        </w:rPr>
        <w:t>; enfin, une nouvelle conception</w:t>
      </w:r>
      <w:r>
        <w:rPr>
          <w:color w:val="231F20"/>
          <w:spacing w:val="-8"/>
          <w:w w:val="120"/>
        </w:rPr>
        <w:t> </w:t>
      </w:r>
      <w:r>
        <w:rPr>
          <w:color w:val="231F20"/>
          <w:w w:val="120"/>
        </w:rPr>
        <w:t>des</w:t>
      </w:r>
      <w:r>
        <w:rPr>
          <w:color w:val="231F20"/>
          <w:spacing w:val="-8"/>
          <w:w w:val="120"/>
        </w:rPr>
        <w:t> </w:t>
      </w:r>
      <w:r>
        <w:rPr>
          <w:color w:val="231F20"/>
          <w:w w:val="120"/>
        </w:rPr>
        <w:t>tâches,</w:t>
      </w:r>
      <w:r>
        <w:rPr>
          <w:color w:val="231F20"/>
          <w:spacing w:val="-8"/>
          <w:w w:val="120"/>
        </w:rPr>
        <w:t> </w:t>
      </w:r>
      <w:r>
        <w:rPr>
          <w:color w:val="231F20"/>
          <w:w w:val="120"/>
        </w:rPr>
        <w:t>des</w:t>
      </w:r>
      <w:r>
        <w:rPr>
          <w:color w:val="231F20"/>
          <w:spacing w:val="-8"/>
          <w:w w:val="120"/>
        </w:rPr>
        <w:t> </w:t>
      </w:r>
      <w:r>
        <w:rPr>
          <w:color w:val="231F20"/>
          <w:w w:val="120"/>
        </w:rPr>
        <w:t>systèmes</w:t>
      </w:r>
      <w:r>
        <w:rPr>
          <w:color w:val="231F20"/>
          <w:spacing w:val="-8"/>
          <w:w w:val="120"/>
        </w:rPr>
        <w:t> </w:t>
      </w:r>
      <w:r>
        <w:rPr>
          <w:color w:val="231F20"/>
          <w:w w:val="120"/>
        </w:rPr>
        <w:t>et</w:t>
      </w:r>
      <w:r>
        <w:rPr>
          <w:color w:val="231F20"/>
          <w:spacing w:val="-8"/>
          <w:w w:val="120"/>
        </w:rPr>
        <w:t> </w:t>
      </w:r>
      <w:r>
        <w:rPr>
          <w:color w:val="231F20"/>
          <w:w w:val="120"/>
        </w:rPr>
        <w:t>des</w:t>
      </w:r>
      <w:r>
        <w:rPr>
          <w:color w:val="231F20"/>
          <w:spacing w:val="-8"/>
          <w:w w:val="120"/>
        </w:rPr>
        <w:t> </w:t>
      </w:r>
      <w:r>
        <w:rPr>
          <w:color w:val="231F20"/>
          <w:w w:val="120"/>
        </w:rPr>
        <w:t>structures</w:t>
      </w:r>
      <w:r>
        <w:rPr>
          <w:color w:val="231F20"/>
          <w:spacing w:val="-8"/>
          <w:w w:val="120"/>
        </w:rPr>
        <w:t> </w:t>
      </w:r>
      <w:r>
        <w:rPr>
          <w:color w:val="231F20"/>
          <w:w w:val="120"/>
        </w:rPr>
        <w:t>de</w:t>
      </w:r>
      <w:r>
        <w:rPr>
          <w:color w:val="231F20"/>
          <w:spacing w:val="-8"/>
          <w:w w:val="120"/>
        </w:rPr>
        <w:t> </w:t>
      </w:r>
      <w:r>
        <w:rPr>
          <w:color w:val="231F20"/>
          <w:w w:val="120"/>
        </w:rPr>
        <w:t>l’organisation, </w:t>
      </w:r>
      <w:r>
        <w:rPr>
          <w:color w:val="231F20"/>
          <w:w w:val="115"/>
        </w:rPr>
        <w:t>qui</w:t>
      </w:r>
      <w:r>
        <w:rPr>
          <w:color w:val="231F20"/>
          <w:spacing w:val="-1"/>
          <w:w w:val="115"/>
        </w:rPr>
        <w:t> </w:t>
      </w:r>
      <w:r>
        <w:rPr>
          <w:color w:val="231F20"/>
          <w:w w:val="115"/>
        </w:rPr>
        <w:t>stimule</w:t>
      </w:r>
      <w:r>
        <w:rPr>
          <w:color w:val="231F20"/>
          <w:spacing w:val="-1"/>
          <w:w w:val="115"/>
        </w:rPr>
        <w:t> </w:t>
      </w:r>
      <w:r>
        <w:rPr>
          <w:color w:val="231F20"/>
          <w:w w:val="115"/>
        </w:rPr>
        <w:t>l’apprentissage</w:t>
      </w:r>
      <w:r>
        <w:rPr>
          <w:color w:val="231F20"/>
          <w:spacing w:val="-1"/>
          <w:w w:val="115"/>
        </w:rPr>
        <w:t> </w:t>
      </w:r>
      <w:r>
        <w:rPr>
          <w:color w:val="231F20"/>
          <w:w w:val="115"/>
        </w:rPr>
        <w:t>chez</w:t>
      </w:r>
      <w:r>
        <w:rPr>
          <w:color w:val="231F20"/>
          <w:spacing w:val="-1"/>
          <w:w w:val="115"/>
        </w:rPr>
        <w:t> </w:t>
      </w:r>
      <w:r>
        <w:rPr>
          <w:color w:val="231F20"/>
          <w:w w:val="115"/>
        </w:rPr>
        <w:t>les</w:t>
      </w:r>
      <w:r>
        <w:rPr>
          <w:color w:val="231F20"/>
          <w:spacing w:val="-1"/>
          <w:w w:val="115"/>
        </w:rPr>
        <w:t> </w:t>
      </w:r>
      <w:r>
        <w:rPr>
          <w:color w:val="231F20"/>
          <w:w w:val="115"/>
        </w:rPr>
        <w:t>employés</w:t>
      </w:r>
      <w:r>
        <w:rPr>
          <w:color w:val="231F20"/>
          <w:spacing w:val="-1"/>
          <w:w w:val="115"/>
        </w:rPr>
        <w:t> </w:t>
      </w:r>
      <w:r>
        <w:rPr>
          <w:color w:val="231F20"/>
          <w:w w:val="115"/>
        </w:rPr>
        <w:t>et</w:t>
      </w:r>
      <w:r>
        <w:rPr>
          <w:color w:val="231F20"/>
          <w:spacing w:val="-1"/>
          <w:w w:val="115"/>
        </w:rPr>
        <w:t> </w:t>
      </w:r>
      <w:r>
        <w:rPr>
          <w:color w:val="231F20"/>
          <w:w w:val="115"/>
        </w:rPr>
        <w:t>favorise</w:t>
      </w:r>
      <w:r>
        <w:rPr>
          <w:color w:val="231F20"/>
          <w:spacing w:val="-1"/>
          <w:w w:val="115"/>
        </w:rPr>
        <w:t> </w:t>
      </w:r>
      <w:r>
        <w:rPr>
          <w:color w:val="231F20"/>
          <w:w w:val="115"/>
        </w:rPr>
        <w:t>un</w:t>
      </w:r>
      <w:r>
        <w:rPr>
          <w:color w:val="231F20"/>
          <w:spacing w:val="-1"/>
          <w:w w:val="115"/>
        </w:rPr>
        <w:t> </w:t>
      </w:r>
      <w:r>
        <w:rPr>
          <w:color w:val="231F20"/>
          <w:w w:val="115"/>
        </w:rPr>
        <w:t>niveau</w:t>
      </w:r>
      <w:r>
        <w:rPr>
          <w:color w:val="231F20"/>
          <w:spacing w:val="-1"/>
          <w:w w:val="115"/>
        </w:rPr>
        <w:t> </w:t>
      </w:r>
      <w:r>
        <w:rPr>
          <w:color w:val="231F20"/>
          <w:w w:val="115"/>
        </w:rPr>
        <w:t>satis- </w:t>
      </w:r>
      <w:r>
        <w:rPr>
          <w:color w:val="231F20"/>
          <w:w w:val="120"/>
        </w:rPr>
        <w:t>faisant d’intérêt et d’engagement du personnel à l’égard des enjeux</w:t>
      </w:r>
      <w:r>
        <w:rPr>
          <w:color w:val="231F20"/>
          <w:spacing w:val="80"/>
          <w:w w:val="120"/>
        </w:rPr>
        <w:t> </w:t>
      </w:r>
      <w:r>
        <w:rPr>
          <w:color w:val="231F20"/>
          <w:w w:val="120"/>
        </w:rPr>
        <w:t>du</w:t>
      </w:r>
      <w:r>
        <w:rPr>
          <w:color w:val="231F20"/>
          <w:spacing w:val="-13"/>
          <w:w w:val="120"/>
        </w:rPr>
        <w:t> </w:t>
      </w:r>
      <w:r>
        <w:rPr>
          <w:color w:val="231F20"/>
          <w:w w:val="120"/>
        </w:rPr>
        <w:t>travail9.</w:t>
      </w:r>
    </w:p>
    <w:p>
      <w:pPr>
        <w:pStyle w:val="BodyText"/>
        <w:rPr>
          <w:sz w:val="20"/>
        </w:rPr>
      </w:pPr>
    </w:p>
    <w:p>
      <w:pPr>
        <w:pStyle w:val="BodyText"/>
        <w:rPr>
          <w:sz w:val="20"/>
        </w:rPr>
      </w:pPr>
    </w:p>
    <w:p>
      <w:pPr>
        <w:pStyle w:val="BodyText"/>
        <w:spacing w:before="10"/>
        <w:rPr>
          <w:sz w:val="14"/>
        </w:rPr>
      </w:pPr>
      <w:r>
        <w:rPr/>
        <w:pict>
          <v:shape style="position:absolute;margin-left:62.5pt;margin-top:9.761816pt;width:287.5pt;height:.1pt;mso-position-horizontal-relative:page;mso-position-vertical-relative:paragraph;z-index:-15715840;mso-wrap-distance-left:0;mso-wrap-distance-right:0" id="docshape84" coordorigin="1250,195" coordsize="5750,0" path="m1250,195l7000,195e" filled="false" stroked="true" strokeweight=".25pt" strokecolor="#231f20">
            <v:path arrowok="t"/>
            <v:stroke dashstyle="shortdot"/>
            <w10:wrap type="topAndBottom"/>
          </v:shape>
        </w:pict>
      </w:r>
    </w:p>
    <w:p>
      <w:pPr>
        <w:pStyle w:val="ListParagraph"/>
        <w:numPr>
          <w:ilvl w:val="0"/>
          <w:numId w:val="12"/>
        </w:numPr>
        <w:tabs>
          <w:tab w:pos="789" w:val="left" w:leader="none"/>
          <w:tab w:pos="790" w:val="left" w:leader="none"/>
        </w:tabs>
        <w:spacing w:line="295" w:lineRule="auto" w:before="135" w:after="0"/>
        <w:ind w:left="789" w:right="633" w:hanging="328"/>
        <w:jc w:val="left"/>
        <w:rPr>
          <w:rFonts w:ascii="Arial"/>
          <w:sz w:val="12"/>
        </w:rPr>
      </w:pPr>
      <w:r>
        <w:rPr>
          <w:rFonts w:ascii="Arial"/>
          <w:color w:val="231F20"/>
          <w:w w:val="105"/>
          <w:sz w:val="12"/>
        </w:rPr>
        <w:t>Martel, J.-P. et Dupuis, G. (2006). Quality of work life</w:t>
      </w:r>
      <w:r>
        <w:rPr>
          <w:rFonts w:ascii="Arial"/>
          <w:color w:val="231F20"/>
          <w:spacing w:val="-19"/>
          <w:w w:val="105"/>
          <w:sz w:val="12"/>
        </w:rPr>
        <w:t> </w:t>
      </w:r>
      <w:r>
        <w:rPr>
          <w:rFonts w:ascii="Arial"/>
          <w:color w:val="231F20"/>
          <w:w w:val="105"/>
          <w:sz w:val="12"/>
        </w:rPr>
        <w:t>: Theoretical and methodological problems and</w:t>
      </w:r>
      <w:r>
        <w:rPr>
          <w:rFonts w:ascii="Arial"/>
          <w:color w:val="231F20"/>
          <w:spacing w:val="40"/>
          <w:w w:val="105"/>
          <w:sz w:val="12"/>
        </w:rPr>
        <w:t> </w:t>
      </w:r>
      <w:r>
        <w:rPr>
          <w:rFonts w:ascii="Arial"/>
          <w:color w:val="231F20"/>
          <w:sz w:val="12"/>
        </w:rPr>
        <w:t>presentation of a new model and measuring instrument, </w:t>
      </w:r>
      <w:r>
        <w:rPr>
          <w:rFonts w:ascii="Arial"/>
          <w:i/>
          <w:color w:val="231F20"/>
          <w:sz w:val="12"/>
        </w:rPr>
        <w:t>Social Indicators Research</w:t>
      </w:r>
      <w:r>
        <w:rPr>
          <w:rFonts w:ascii="Arial"/>
          <w:color w:val="231F20"/>
          <w:sz w:val="12"/>
        </w:rPr>
        <w:t>, </w:t>
      </w:r>
      <w:r>
        <w:rPr>
          <w:rFonts w:ascii="Arial"/>
          <w:i/>
          <w:color w:val="231F20"/>
          <w:sz w:val="12"/>
        </w:rPr>
        <w:t>77</w:t>
      </w:r>
      <w:r>
        <w:rPr>
          <w:rFonts w:ascii="Arial"/>
          <w:color w:val="231F20"/>
          <w:sz w:val="12"/>
        </w:rPr>
        <w:t>, 333-368.</w:t>
      </w:r>
    </w:p>
    <w:p>
      <w:pPr>
        <w:spacing w:after="0" w:line="295" w:lineRule="auto"/>
        <w:jc w:val="left"/>
        <w:rPr>
          <w:rFonts w:ascii="Arial"/>
          <w:sz w:val="12"/>
        </w:rPr>
        <w:sectPr>
          <w:footerReference w:type="default" r:id="rId43"/>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spacing w:before="8"/>
        <w:rPr>
          <w:rFonts w:ascii="Arial"/>
          <w:sz w:val="29"/>
        </w:rPr>
      </w:pPr>
      <w:r>
        <w:rPr/>
        <w:pict>
          <v:group style="position:absolute;margin-left:82pt;margin-top:18.301661pt;width:287.5pt;height:289.75pt;mso-position-horizontal-relative:page;mso-position-vertical-relative:paragraph;z-index:-15715328;mso-wrap-distance-left:0;mso-wrap-distance-right:0" id="docshapegroup86" coordorigin="1640,366" coordsize="5750,5795">
            <v:rect style="position:absolute;left:1640;top:366;width:5750;height:705" id="docshape87" filled="true" fillcolor="#e2e3e4" stroked="false">
              <v:fill type="solid"/>
            </v:rect>
            <v:line style="position:absolute" from="1890,914" to="7140,914" stroked="true" strokeweight=".25pt" strokecolor="#231f20">
              <v:stroke dashstyle="shortdot"/>
            </v:line>
            <v:shape style="position:absolute;left:1640;top:991;width:5750;height:5170" id="docshape88" coordorigin="1640,991" coordsize="5750,5170" path="m7390,991l1640,991,1640,3401,1640,3741,1640,5491,1640,5571,1640,6161,7390,6161,7390,5571,7390,5491,7390,3741,7390,3401,7390,991xe" filled="true" fillcolor="#e2e3e4" stroked="false">
              <v:path arrowok="t"/>
              <v:fill type="solid"/>
            </v:shape>
            <v:line style="position:absolute" from="1890,5489" to="7140,5489" stroked="true" strokeweight=".25pt" strokecolor="#231f20">
              <v:stroke dashstyle="shortdot"/>
            </v:line>
            <v:shape style="position:absolute;left:1640;top:366;width:5750;height:5795" type="#_x0000_t202" id="docshape89" filled="false" stroked="false">
              <v:textbox inset="0,0,0,0">
                <w:txbxContent>
                  <w:p>
                    <w:pPr>
                      <w:spacing w:before="215"/>
                      <w:ind w:left="250" w:right="0" w:firstLine="0"/>
                      <w:jc w:val="both"/>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6"/>
                      <w:rPr>
                        <w:rFonts w:ascii="Arial"/>
                        <w:sz w:val="26"/>
                      </w:rPr>
                    </w:pPr>
                  </w:p>
                  <w:p>
                    <w:pPr>
                      <w:spacing w:line="307" w:lineRule="auto" w:before="0"/>
                      <w:ind w:left="250" w:right="247" w:firstLine="0"/>
                      <w:jc w:val="both"/>
                      <w:rPr>
                        <w:rFonts w:ascii="Arial" w:hAnsi="Arial"/>
                        <w:sz w:val="17"/>
                      </w:rPr>
                    </w:pPr>
                    <w:r>
                      <w:rPr>
                        <w:rFonts w:ascii="Arial" w:hAnsi="Arial"/>
                        <w:color w:val="231F20"/>
                        <w:sz w:val="17"/>
                      </w:rPr>
                      <w:t>Plusieurs</w:t>
                    </w:r>
                    <w:r>
                      <w:rPr>
                        <w:rFonts w:ascii="Arial" w:hAnsi="Arial"/>
                        <w:color w:val="231F20"/>
                        <w:spacing w:val="-8"/>
                        <w:sz w:val="17"/>
                      </w:rPr>
                      <w:t> </w:t>
                    </w:r>
                    <w:r>
                      <w:rPr>
                        <w:rFonts w:ascii="Arial" w:hAnsi="Arial"/>
                        <w:color w:val="231F20"/>
                        <w:sz w:val="17"/>
                      </w:rPr>
                      <w:t>considèrent</w:t>
                    </w:r>
                    <w:r>
                      <w:rPr>
                        <w:rFonts w:ascii="Arial" w:hAnsi="Arial"/>
                        <w:color w:val="231F20"/>
                        <w:spacing w:val="-8"/>
                        <w:sz w:val="17"/>
                      </w:rPr>
                      <w:t> </w:t>
                    </w:r>
                    <w:r>
                      <w:rPr>
                        <w:rFonts w:ascii="Arial" w:hAnsi="Arial"/>
                        <w:color w:val="231F20"/>
                        <w:sz w:val="17"/>
                      </w:rPr>
                      <w:t>que</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longues</w:t>
                    </w:r>
                    <w:r>
                      <w:rPr>
                        <w:rFonts w:ascii="Arial" w:hAnsi="Arial"/>
                        <w:color w:val="231F20"/>
                        <w:spacing w:val="-8"/>
                        <w:sz w:val="17"/>
                      </w:rPr>
                      <w:t> </w:t>
                    </w:r>
                    <w:r>
                      <w:rPr>
                        <w:rFonts w:ascii="Arial" w:hAnsi="Arial"/>
                        <w:color w:val="231F20"/>
                        <w:sz w:val="17"/>
                      </w:rPr>
                      <w:t>heures</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travail</w:t>
                    </w:r>
                    <w:r>
                      <w:rPr>
                        <w:rFonts w:ascii="Arial" w:hAnsi="Arial"/>
                        <w:color w:val="231F20"/>
                        <w:spacing w:val="-8"/>
                        <w:sz w:val="17"/>
                      </w:rPr>
                      <w:t> </w:t>
                    </w:r>
                    <w:r>
                      <w:rPr>
                        <w:rFonts w:ascii="Arial" w:hAnsi="Arial"/>
                        <w:color w:val="231F20"/>
                        <w:sz w:val="17"/>
                      </w:rPr>
                      <w:t>entraînent</w:t>
                    </w:r>
                    <w:r>
                      <w:rPr>
                        <w:rFonts w:ascii="Arial" w:hAnsi="Arial"/>
                        <w:color w:val="231F20"/>
                        <w:spacing w:val="-8"/>
                        <w:sz w:val="17"/>
                      </w:rPr>
                      <w:t> </w:t>
                    </w:r>
                    <w:r>
                      <w:rPr>
                        <w:rFonts w:ascii="Arial" w:hAnsi="Arial"/>
                        <w:color w:val="231F20"/>
                        <w:sz w:val="17"/>
                      </w:rPr>
                      <w:t>une meilleure productivité, mais cela n’est qu’un mythe. Dans les faits, de </w:t>
                    </w:r>
                    <w:r>
                      <w:rPr>
                        <w:rFonts w:ascii="Arial" w:hAnsi="Arial"/>
                        <w:color w:val="231F20"/>
                        <w:spacing w:val="-2"/>
                        <w:sz w:val="17"/>
                      </w:rPr>
                      <w:t>longues</w:t>
                    </w:r>
                    <w:r>
                      <w:rPr>
                        <w:rFonts w:ascii="Arial" w:hAnsi="Arial"/>
                        <w:color w:val="231F20"/>
                        <w:spacing w:val="-10"/>
                        <w:sz w:val="17"/>
                      </w:rPr>
                      <w:t> </w:t>
                    </w:r>
                    <w:r>
                      <w:rPr>
                        <w:rFonts w:ascii="Arial" w:hAnsi="Arial"/>
                        <w:color w:val="231F20"/>
                        <w:spacing w:val="-2"/>
                        <w:sz w:val="17"/>
                      </w:rPr>
                      <w:t>heures</w:t>
                    </w:r>
                    <w:r>
                      <w:rPr>
                        <w:rFonts w:ascii="Arial" w:hAnsi="Arial"/>
                        <w:color w:val="231F20"/>
                        <w:spacing w:val="-10"/>
                        <w:sz w:val="17"/>
                      </w:rPr>
                      <w:t> </w:t>
                    </w:r>
                    <w:r>
                      <w:rPr>
                        <w:rFonts w:ascii="Arial" w:hAnsi="Arial"/>
                        <w:color w:val="231F20"/>
                        <w:spacing w:val="-2"/>
                        <w:sz w:val="17"/>
                      </w:rPr>
                      <w:t>de</w:t>
                    </w:r>
                    <w:r>
                      <w:rPr>
                        <w:rFonts w:ascii="Arial" w:hAnsi="Arial"/>
                        <w:color w:val="231F20"/>
                        <w:spacing w:val="-10"/>
                        <w:sz w:val="17"/>
                      </w:rPr>
                      <w:t> </w:t>
                    </w:r>
                    <w:r>
                      <w:rPr>
                        <w:rFonts w:ascii="Arial" w:hAnsi="Arial"/>
                        <w:color w:val="231F20"/>
                        <w:spacing w:val="-2"/>
                        <w:sz w:val="17"/>
                      </w:rPr>
                      <w:t>travail</w:t>
                    </w:r>
                    <w:r>
                      <w:rPr>
                        <w:rFonts w:ascii="Arial" w:hAnsi="Arial"/>
                        <w:color w:val="231F20"/>
                        <w:spacing w:val="-10"/>
                        <w:sz w:val="17"/>
                      </w:rPr>
                      <w:t> </w:t>
                    </w:r>
                    <w:r>
                      <w:rPr>
                        <w:rFonts w:ascii="Arial" w:hAnsi="Arial"/>
                        <w:color w:val="231F20"/>
                        <w:spacing w:val="-2"/>
                        <w:sz w:val="17"/>
                      </w:rPr>
                      <w:t>sont</w:t>
                    </w:r>
                    <w:r>
                      <w:rPr>
                        <w:rFonts w:ascii="Arial" w:hAnsi="Arial"/>
                        <w:color w:val="231F20"/>
                        <w:spacing w:val="-10"/>
                        <w:sz w:val="17"/>
                      </w:rPr>
                      <w:t> </w:t>
                    </w:r>
                    <w:r>
                      <w:rPr>
                        <w:rFonts w:ascii="Arial" w:hAnsi="Arial"/>
                        <w:color w:val="231F20"/>
                        <w:spacing w:val="-2"/>
                        <w:sz w:val="17"/>
                      </w:rPr>
                      <w:t>généralement</w:t>
                    </w:r>
                    <w:r>
                      <w:rPr>
                        <w:rFonts w:ascii="Arial" w:hAnsi="Arial"/>
                        <w:color w:val="231F20"/>
                        <w:spacing w:val="-9"/>
                        <w:sz w:val="17"/>
                      </w:rPr>
                      <w:t> </w:t>
                    </w:r>
                    <w:r>
                      <w:rPr>
                        <w:rFonts w:ascii="Arial" w:hAnsi="Arial"/>
                        <w:color w:val="231F20"/>
                        <w:spacing w:val="-2"/>
                        <w:sz w:val="17"/>
                      </w:rPr>
                      <w:t>associées</w:t>
                    </w:r>
                    <w:r>
                      <w:rPr>
                        <w:rFonts w:ascii="Arial" w:hAnsi="Arial"/>
                        <w:color w:val="231F20"/>
                        <w:spacing w:val="-10"/>
                        <w:sz w:val="17"/>
                      </w:rPr>
                      <w:t> </w:t>
                    </w:r>
                    <w:r>
                      <w:rPr>
                        <w:rFonts w:ascii="Arial" w:hAnsi="Arial"/>
                        <w:color w:val="231F20"/>
                        <w:spacing w:val="-2"/>
                        <w:sz w:val="17"/>
                      </w:rPr>
                      <w:t>à</w:t>
                    </w:r>
                    <w:r>
                      <w:rPr>
                        <w:rFonts w:ascii="Arial" w:hAnsi="Arial"/>
                        <w:color w:val="231F20"/>
                        <w:spacing w:val="-10"/>
                        <w:sz w:val="17"/>
                      </w:rPr>
                      <w:t> </w:t>
                    </w:r>
                    <w:r>
                      <w:rPr>
                        <w:rFonts w:ascii="Arial" w:hAnsi="Arial"/>
                        <w:color w:val="231F20"/>
                        <w:spacing w:val="-2"/>
                        <w:sz w:val="17"/>
                      </w:rPr>
                      <w:t>une</w:t>
                    </w:r>
                    <w:r>
                      <w:rPr>
                        <w:rFonts w:ascii="Arial" w:hAnsi="Arial"/>
                        <w:color w:val="231F20"/>
                        <w:spacing w:val="-10"/>
                        <w:sz w:val="17"/>
                      </w:rPr>
                      <w:t> </w:t>
                    </w:r>
                    <w:r>
                      <w:rPr>
                        <w:rFonts w:ascii="Arial" w:hAnsi="Arial"/>
                        <w:color w:val="231F20"/>
                        <w:spacing w:val="-2"/>
                        <w:sz w:val="17"/>
                      </w:rPr>
                      <w:t>plus</w:t>
                    </w:r>
                    <w:r>
                      <w:rPr>
                        <w:rFonts w:ascii="Arial" w:hAnsi="Arial"/>
                        <w:color w:val="231F20"/>
                        <w:spacing w:val="-10"/>
                        <w:sz w:val="17"/>
                      </w:rPr>
                      <w:t> </w:t>
                    </w:r>
                    <w:r>
                      <w:rPr>
                        <w:rFonts w:ascii="Arial" w:hAnsi="Arial"/>
                        <w:color w:val="231F20"/>
                        <w:spacing w:val="-2"/>
                        <w:sz w:val="17"/>
                      </w:rPr>
                      <w:t>faible </w:t>
                    </w:r>
                    <w:r>
                      <w:rPr>
                        <w:rFonts w:ascii="Arial" w:hAnsi="Arial"/>
                        <w:color w:val="231F20"/>
                        <w:sz w:val="17"/>
                      </w:rPr>
                      <w:t>productivité des unités de travail, alors qu’une durée plus limitée des heures de travail est liée à une plus grande productivité. Travailler un </w:t>
                    </w:r>
                    <w:r>
                      <w:rPr>
                        <w:rFonts w:ascii="Arial" w:hAnsi="Arial"/>
                        <w:color w:val="231F20"/>
                        <w:w w:val="95"/>
                        <w:sz w:val="17"/>
                      </w:rPr>
                      <w:t>nombre</w:t>
                    </w:r>
                    <w:r>
                      <w:rPr>
                        <w:rFonts w:ascii="Arial" w:hAnsi="Arial"/>
                        <w:color w:val="231F20"/>
                        <w:spacing w:val="-4"/>
                        <w:w w:val="95"/>
                        <w:sz w:val="17"/>
                      </w:rPr>
                      <w:t> </w:t>
                    </w:r>
                    <w:r>
                      <w:rPr>
                        <w:rFonts w:ascii="Arial" w:hAnsi="Arial"/>
                        <w:color w:val="231F20"/>
                        <w:w w:val="95"/>
                        <w:sz w:val="17"/>
                      </w:rPr>
                      <w:t>d’heures</w:t>
                    </w:r>
                    <w:r>
                      <w:rPr>
                        <w:rFonts w:ascii="Arial" w:hAnsi="Arial"/>
                        <w:color w:val="231F20"/>
                        <w:spacing w:val="-4"/>
                        <w:w w:val="95"/>
                        <w:sz w:val="17"/>
                      </w:rPr>
                      <w:t> </w:t>
                    </w:r>
                    <w:r>
                      <w:rPr>
                        <w:rFonts w:ascii="Arial" w:hAnsi="Arial"/>
                        <w:color w:val="231F20"/>
                        <w:w w:val="95"/>
                        <w:sz w:val="17"/>
                      </w:rPr>
                      <w:t>excessif</w:t>
                    </w:r>
                    <w:r>
                      <w:rPr>
                        <w:rFonts w:ascii="Arial" w:hAnsi="Arial"/>
                        <w:color w:val="231F20"/>
                        <w:spacing w:val="-4"/>
                        <w:w w:val="95"/>
                        <w:sz w:val="17"/>
                      </w:rPr>
                      <w:t> </w:t>
                    </w:r>
                    <w:r>
                      <w:rPr>
                        <w:rFonts w:ascii="Arial" w:hAnsi="Arial"/>
                        <w:color w:val="231F20"/>
                        <w:w w:val="95"/>
                        <w:sz w:val="17"/>
                      </w:rPr>
                      <w:t>sur</w:t>
                    </w:r>
                    <w:r>
                      <w:rPr>
                        <w:rFonts w:ascii="Arial" w:hAnsi="Arial"/>
                        <w:color w:val="231F20"/>
                        <w:spacing w:val="-4"/>
                        <w:w w:val="95"/>
                        <w:sz w:val="17"/>
                      </w:rPr>
                      <w:t> </w:t>
                    </w:r>
                    <w:r>
                      <w:rPr>
                        <w:rFonts w:ascii="Arial" w:hAnsi="Arial"/>
                        <w:color w:val="231F20"/>
                        <w:w w:val="95"/>
                        <w:sz w:val="17"/>
                      </w:rPr>
                      <w:t>une</w:t>
                    </w:r>
                    <w:r>
                      <w:rPr>
                        <w:rFonts w:ascii="Arial" w:hAnsi="Arial"/>
                        <w:color w:val="231F20"/>
                        <w:spacing w:val="-4"/>
                        <w:w w:val="95"/>
                        <w:sz w:val="17"/>
                      </w:rPr>
                      <w:t> </w:t>
                    </w:r>
                    <w:r>
                      <w:rPr>
                        <w:rFonts w:ascii="Arial" w:hAnsi="Arial"/>
                        <w:color w:val="231F20"/>
                        <w:w w:val="95"/>
                        <w:sz w:val="17"/>
                      </w:rPr>
                      <w:t>base</w:t>
                    </w:r>
                    <w:r>
                      <w:rPr>
                        <w:rFonts w:ascii="Arial" w:hAnsi="Arial"/>
                        <w:color w:val="231F20"/>
                        <w:spacing w:val="-4"/>
                        <w:w w:val="95"/>
                        <w:sz w:val="17"/>
                      </w:rPr>
                      <w:t> </w:t>
                    </w:r>
                    <w:r>
                      <w:rPr>
                        <w:rFonts w:ascii="Arial" w:hAnsi="Arial"/>
                        <w:color w:val="231F20"/>
                        <w:w w:val="95"/>
                        <w:sz w:val="17"/>
                      </w:rPr>
                      <w:t>régulière</w:t>
                    </w:r>
                    <w:r>
                      <w:rPr>
                        <w:rFonts w:ascii="Arial" w:hAnsi="Arial"/>
                        <w:color w:val="231F20"/>
                        <w:spacing w:val="-4"/>
                        <w:w w:val="95"/>
                        <w:sz w:val="17"/>
                      </w:rPr>
                      <w:t> </w:t>
                    </w:r>
                    <w:r>
                      <w:rPr>
                        <w:rFonts w:ascii="Arial" w:hAnsi="Arial"/>
                        <w:color w:val="231F20"/>
                        <w:w w:val="95"/>
                        <w:sz w:val="17"/>
                      </w:rPr>
                      <w:t>est</w:t>
                    </w:r>
                    <w:r>
                      <w:rPr>
                        <w:rFonts w:ascii="Arial" w:hAnsi="Arial"/>
                        <w:color w:val="231F20"/>
                        <w:spacing w:val="-4"/>
                        <w:w w:val="95"/>
                        <w:sz w:val="17"/>
                      </w:rPr>
                      <w:t> </w:t>
                    </w:r>
                    <w:r>
                      <w:rPr>
                        <w:rFonts w:ascii="Arial" w:hAnsi="Arial"/>
                        <w:color w:val="231F20"/>
                        <w:w w:val="95"/>
                        <w:sz w:val="17"/>
                      </w:rPr>
                      <w:t>corrélé</w:t>
                    </w:r>
                    <w:r>
                      <w:rPr>
                        <w:rFonts w:ascii="Arial" w:hAnsi="Arial"/>
                        <w:color w:val="231F20"/>
                        <w:spacing w:val="-4"/>
                        <w:w w:val="95"/>
                        <w:sz w:val="17"/>
                      </w:rPr>
                      <w:t> </w:t>
                    </w:r>
                    <w:r>
                      <w:rPr>
                        <w:rFonts w:ascii="Arial" w:hAnsi="Arial"/>
                        <w:color w:val="231F20"/>
                        <w:w w:val="95"/>
                        <w:sz w:val="17"/>
                      </w:rPr>
                      <w:t>à</w:t>
                    </w:r>
                    <w:r>
                      <w:rPr>
                        <w:rFonts w:ascii="Arial" w:hAnsi="Arial"/>
                        <w:color w:val="231F20"/>
                        <w:spacing w:val="-4"/>
                        <w:w w:val="95"/>
                        <w:sz w:val="17"/>
                      </w:rPr>
                      <w:t> </w:t>
                    </w:r>
                    <w:r>
                      <w:rPr>
                        <w:rFonts w:ascii="Arial" w:hAnsi="Arial"/>
                        <w:color w:val="231F20"/>
                        <w:w w:val="95"/>
                        <w:sz w:val="17"/>
                      </w:rPr>
                      <w:t>une</w:t>
                    </w:r>
                    <w:r>
                      <w:rPr>
                        <w:rFonts w:ascii="Arial" w:hAnsi="Arial"/>
                        <w:color w:val="231F20"/>
                        <w:spacing w:val="-4"/>
                        <w:w w:val="95"/>
                        <w:sz w:val="17"/>
                      </w:rPr>
                      <w:t> </w:t>
                    </w:r>
                    <w:r>
                      <w:rPr>
                        <w:rFonts w:ascii="Arial" w:hAnsi="Arial"/>
                        <w:color w:val="231F20"/>
                        <w:w w:val="95"/>
                        <w:sz w:val="17"/>
                      </w:rPr>
                      <w:t>baisse </w:t>
                    </w:r>
                    <w:r>
                      <w:rPr>
                        <w:rFonts w:ascii="Arial" w:hAnsi="Arial"/>
                        <w:color w:val="231F20"/>
                        <w:spacing w:val="-2"/>
                        <w:sz w:val="17"/>
                      </w:rPr>
                      <w:t>de</w:t>
                    </w:r>
                    <w:r>
                      <w:rPr>
                        <w:rFonts w:ascii="Arial" w:hAnsi="Arial"/>
                        <w:color w:val="231F20"/>
                        <w:spacing w:val="-7"/>
                        <w:sz w:val="17"/>
                      </w:rPr>
                      <w:t> </w:t>
                    </w:r>
                    <w:r>
                      <w:rPr>
                        <w:rFonts w:ascii="Arial" w:hAnsi="Arial"/>
                        <w:color w:val="231F20"/>
                        <w:spacing w:val="-2"/>
                        <w:sz w:val="17"/>
                      </w:rPr>
                      <w:t>la</w:t>
                    </w:r>
                    <w:r>
                      <w:rPr>
                        <w:rFonts w:ascii="Arial" w:hAnsi="Arial"/>
                        <w:color w:val="231F20"/>
                        <w:spacing w:val="-7"/>
                        <w:sz w:val="17"/>
                      </w:rPr>
                      <w:t> </w:t>
                    </w:r>
                    <w:r>
                      <w:rPr>
                        <w:rFonts w:ascii="Arial" w:hAnsi="Arial"/>
                        <w:color w:val="231F20"/>
                        <w:spacing w:val="-2"/>
                        <w:sz w:val="17"/>
                      </w:rPr>
                      <w:t>productivité</w:t>
                    </w:r>
                    <w:r>
                      <w:rPr>
                        <w:rFonts w:ascii="Arial" w:hAnsi="Arial"/>
                        <w:color w:val="231F20"/>
                        <w:spacing w:val="-7"/>
                        <w:sz w:val="17"/>
                      </w:rPr>
                      <w:t> </w:t>
                    </w:r>
                    <w:r>
                      <w:rPr>
                        <w:rFonts w:ascii="Arial" w:hAnsi="Arial"/>
                        <w:color w:val="231F20"/>
                        <w:spacing w:val="-2"/>
                        <w:sz w:val="17"/>
                      </w:rPr>
                      <w:t>causée</w:t>
                    </w:r>
                    <w:r>
                      <w:rPr>
                        <w:rFonts w:ascii="Arial" w:hAnsi="Arial"/>
                        <w:color w:val="231F20"/>
                        <w:spacing w:val="-7"/>
                        <w:sz w:val="17"/>
                      </w:rPr>
                      <w:t> </w:t>
                    </w:r>
                    <w:r>
                      <w:rPr>
                        <w:rFonts w:ascii="Arial" w:hAnsi="Arial"/>
                        <w:color w:val="231F20"/>
                        <w:spacing w:val="-2"/>
                        <w:sz w:val="17"/>
                      </w:rPr>
                      <w:t>par</w:t>
                    </w:r>
                    <w:r>
                      <w:rPr>
                        <w:rFonts w:ascii="Arial" w:hAnsi="Arial"/>
                        <w:color w:val="231F20"/>
                        <w:spacing w:val="-7"/>
                        <w:sz w:val="17"/>
                      </w:rPr>
                      <w:t> </w:t>
                    </w:r>
                    <w:r>
                      <w:rPr>
                        <w:rFonts w:ascii="Arial" w:hAnsi="Arial"/>
                        <w:color w:val="231F20"/>
                        <w:spacing w:val="-2"/>
                        <w:sz w:val="17"/>
                      </w:rPr>
                      <w:t>une</w:t>
                    </w:r>
                    <w:r>
                      <w:rPr>
                        <w:rFonts w:ascii="Arial" w:hAnsi="Arial"/>
                        <w:color w:val="231F20"/>
                        <w:spacing w:val="-7"/>
                        <w:sz w:val="17"/>
                      </w:rPr>
                      <w:t> </w:t>
                    </w:r>
                    <w:r>
                      <w:rPr>
                        <w:rFonts w:ascii="Arial" w:hAnsi="Arial"/>
                        <w:color w:val="231F20"/>
                        <w:spacing w:val="-2"/>
                        <w:sz w:val="17"/>
                      </w:rPr>
                      <w:t>plus</w:t>
                    </w:r>
                    <w:r>
                      <w:rPr>
                        <w:rFonts w:ascii="Arial" w:hAnsi="Arial"/>
                        <w:color w:val="231F20"/>
                        <w:spacing w:val="-7"/>
                        <w:sz w:val="17"/>
                      </w:rPr>
                      <w:t> </w:t>
                    </w:r>
                    <w:r>
                      <w:rPr>
                        <w:rFonts w:ascii="Arial" w:hAnsi="Arial"/>
                        <w:color w:val="231F20"/>
                        <w:spacing w:val="-2"/>
                        <w:sz w:val="17"/>
                      </w:rPr>
                      <w:t>grande</w:t>
                    </w:r>
                    <w:r>
                      <w:rPr>
                        <w:rFonts w:ascii="Arial" w:hAnsi="Arial"/>
                        <w:color w:val="231F20"/>
                        <w:spacing w:val="-7"/>
                        <w:sz w:val="17"/>
                      </w:rPr>
                      <w:t> </w:t>
                    </w:r>
                    <w:r>
                      <w:rPr>
                        <w:rFonts w:ascii="Arial" w:hAnsi="Arial"/>
                        <w:color w:val="231F20"/>
                        <w:spacing w:val="-2"/>
                        <w:sz w:val="17"/>
                      </w:rPr>
                      <w:t>fatigue,</w:t>
                    </w:r>
                    <w:r>
                      <w:rPr>
                        <w:rFonts w:ascii="Arial" w:hAnsi="Arial"/>
                        <w:color w:val="231F20"/>
                        <w:spacing w:val="-7"/>
                        <w:sz w:val="17"/>
                      </w:rPr>
                      <w:t> </w:t>
                    </w:r>
                    <w:r>
                      <w:rPr>
                        <w:rFonts w:ascii="Arial" w:hAnsi="Arial"/>
                        <w:color w:val="231F20"/>
                        <w:spacing w:val="-2"/>
                        <w:sz w:val="17"/>
                      </w:rPr>
                      <w:t>et</w:t>
                    </w:r>
                    <w:r>
                      <w:rPr>
                        <w:rFonts w:ascii="Arial" w:hAnsi="Arial"/>
                        <w:color w:val="231F20"/>
                        <w:spacing w:val="-7"/>
                        <w:sz w:val="17"/>
                      </w:rPr>
                      <w:t> </w:t>
                    </w:r>
                    <w:r>
                      <w:rPr>
                        <w:rFonts w:ascii="Arial" w:hAnsi="Arial"/>
                        <w:color w:val="231F20"/>
                        <w:spacing w:val="-2"/>
                        <w:sz w:val="17"/>
                      </w:rPr>
                      <w:t>ces</w:t>
                    </w:r>
                    <w:r>
                      <w:rPr>
                        <w:rFonts w:ascii="Arial" w:hAnsi="Arial"/>
                        <w:color w:val="231F20"/>
                        <w:spacing w:val="-7"/>
                        <w:sz w:val="17"/>
                      </w:rPr>
                      <w:t> </w:t>
                    </w:r>
                    <w:r>
                      <w:rPr>
                        <w:rFonts w:ascii="Arial" w:hAnsi="Arial"/>
                        <w:color w:val="231F20"/>
                        <w:spacing w:val="-2"/>
                        <w:sz w:val="17"/>
                      </w:rPr>
                      <w:t>travailleurs </w:t>
                    </w:r>
                    <w:r>
                      <w:rPr>
                        <w:rFonts w:ascii="Arial" w:hAnsi="Arial"/>
                        <w:color w:val="231F20"/>
                        <w:sz w:val="17"/>
                      </w:rPr>
                      <w:t>aux longues heures de travail et à la grande charge de travail rap- portent</w:t>
                    </w:r>
                    <w:r>
                      <w:rPr>
                        <w:rFonts w:ascii="Arial" w:hAnsi="Arial"/>
                        <w:color w:val="231F20"/>
                        <w:spacing w:val="-6"/>
                        <w:sz w:val="17"/>
                      </w:rPr>
                      <w:t> </w:t>
                    </w:r>
                    <w:r>
                      <w:rPr>
                        <w:rFonts w:ascii="Arial" w:hAnsi="Arial"/>
                        <w:color w:val="231F20"/>
                        <w:sz w:val="17"/>
                      </w:rPr>
                      <w:t>une</w:t>
                    </w:r>
                    <w:r>
                      <w:rPr>
                        <w:rFonts w:ascii="Arial" w:hAnsi="Arial"/>
                        <w:color w:val="231F20"/>
                        <w:spacing w:val="-6"/>
                        <w:sz w:val="17"/>
                      </w:rPr>
                      <w:t> </w:t>
                    </w:r>
                    <w:r>
                      <w:rPr>
                        <w:rFonts w:ascii="Arial" w:hAnsi="Arial"/>
                        <w:color w:val="231F20"/>
                        <w:sz w:val="17"/>
                      </w:rPr>
                      <w:t>baisse</w:t>
                    </w:r>
                    <w:r>
                      <w:rPr>
                        <w:rFonts w:ascii="Arial" w:hAnsi="Arial"/>
                        <w:color w:val="231F20"/>
                        <w:spacing w:val="-6"/>
                        <w:sz w:val="17"/>
                      </w:rPr>
                      <w:t> </w:t>
                    </w:r>
                    <w:r>
                      <w:rPr>
                        <w:rFonts w:ascii="Arial" w:hAnsi="Arial"/>
                        <w:color w:val="231F20"/>
                        <w:sz w:val="17"/>
                      </w:rPr>
                      <w:t>de</w:t>
                    </w:r>
                    <w:r>
                      <w:rPr>
                        <w:rFonts w:ascii="Arial" w:hAnsi="Arial"/>
                        <w:color w:val="231F20"/>
                        <w:spacing w:val="-6"/>
                        <w:sz w:val="17"/>
                      </w:rPr>
                      <w:t> </w:t>
                    </w:r>
                    <w:r>
                      <w:rPr>
                        <w:rFonts w:ascii="Arial" w:hAnsi="Arial"/>
                        <w:color w:val="231F20"/>
                        <w:sz w:val="17"/>
                      </w:rPr>
                      <w:t>la</w:t>
                    </w:r>
                    <w:r>
                      <w:rPr>
                        <w:rFonts w:ascii="Arial" w:hAnsi="Arial"/>
                        <w:color w:val="231F20"/>
                        <w:spacing w:val="-6"/>
                        <w:sz w:val="17"/>
                      </w:rPr>
                      <w:t> </w:t>
                    </w:r>
                    <w:r>
                      <w:rPr>
                        <w:rFonts w:ascii="Arial" w:hAnsi="Arial"/>
                        <w:color w:val="231F20"/>
                        <w:sz w:val="17"/>
                      </w:rPr>
                      <w:t>satisfaction</w:t>
                    </w:r>
                    <w:r>
                      <w:rPr>
                        <w:rFonts w:ascii="Arial" w:hAnsi="Arial"/>
                        <w:color w:val="231F20"/>
                        <w:spacing w:val="-6"/>
                        <w:sz w:val="17"/>
                      </w:rPr>
                      <w:t> </w:t>
                    </w:r>
                    <w:r>
                      <w:rPr>
                        <w:rFonts w:ascii="Arial" w:hAnsi="Arial"/>
                        <w:color w:val="231F20"/>
                        <w:sz w:val="17"/>
                      </w:rPr>
                      <w:t>et</w:t>
                    </w:r>
                    <w:r>
                      <w:rPr>
                        <w:rFonts w:ascii="Arial" w:hAnsi="Arial"/>
                        <w:color w:val="231F20"/>
                        <w:spacing w:val="-6"/>
                        <w:sz w:val="17"/>
                      </w:rPr>
                      <w:t> </w:t>
                    </w:r>
                    <w:r>
                      <w:rPr>
                        <w:rFonts w:ascii="Arial" w:hAnsi="Arial"/>
                        <w:color w:val="231F20"/>
                        <w:sz w:val="17"/>
                      </w:rPr>
                      <w:t>de</w:t>
                    </w:r>
                    <w:r>
                      <w:rPr>
                        <w:rFonts w:ascii="Arial" w:hAnsi="Arial"/>
                        <w:color w:val="231F20"/>
                        <w:spacing w:val="-6"/>
                        <w:sz w:val="17"/>
                      </w:rPr>
                      <w:t> </w:t>
                    </w:r>
                    <w:r>
                      <w:rPr>
                        <w:rFonts w:ascii="Arial" w:hAnsi="Arial"/>
                        <w:color w:val="231F20"/>
                        <w:sz w:val="17"/>
                      </w:rPr>
                      <w:t>la</w:t>
                    </w:r>
                    <w:r>
                      <w:rPr>
                        <w:rFonts w:ascii="Arial" w:hAnsi="Arial"/>
                        <w:color w:val="231F20"/>
                        <w:spacing w:val="-6"/>
                        <w:sz w:val="17"/>
                      </w:rPr>
                      <w:t> </w:t>
                    </w:r>
                    <w:r>
                      <w:rPr>
                        <w:rFonts w:ascii="Arial" w:hAnsi="Arial"/>
                        <w:color w:val="231F20"/>
                        <w:sz w:val="17"/>
                      </w:rPr>
                      <w:t>motivation</w:t>
                    </w:r>
                    <w:r>
                      <w:rPr>
                        <w:rFonts w:ascii="Arial" w:hAnsi="Arial"/>
                        <w:color w:val="231F20"/>
                        <w:spacing w:val="-6"/>
                        <w:sz w:val="17"/>
                      </w:rPr>
                      <w:t> </w:t>
                    </w:r>
                    <w:r>
                      <w:rPr>
                        <w:rFonts w:ascii="Arial" w:hAnsi="Arial"/>
                        <w:color w:val="231F20"/>
                        <w:sz w:val="17"/>
                      </w:rPr>
                      <w:t>au</w:t>
                    </w:r>
                    <w:r>
                      <w:rPr>
                        <w:rFonts w:ascii="Arial" w:hAnsi="Arial"/>
                        <w:color w:val="231F20"/>
                        <w:spacing w:val="-6"/>
                        <w:sz w:val="17"/>
                      </w:rPr>
                      <w:t> </w:t>
                    </w:r>
                    <w:r>
                      <w:rPr>
                        <w:rFonts w:ascii="Arial" w:hAnsi="Arial"/>
                        <w:color w:val="231F20"/>
                        <w:sz w:val="17"/>
                      </w:rPr>
                      <w:t>travail</w:t>
                    </w:r>
                    <w:r>
                      <w:rPr>
                        <w:rFonts w:ascii="Arial" w:hAnsi="Arial"/>
                        <w:color w:val="231F20"/>
                        <w:spacing w:val="-6"/>
                        <w:sz w:val="17"/>
                      </w:rPr>
                      <w:t> </w:t>
                    </w:r>
                    <w:r>
                      <w:rPr>
                        <w:rFonts w:ascii="Arial" w:hAnsi="Arial"/>
                        <w:color w:val="231F20"/>
                        <w:sz w:val="17"/>
                      </w:rPr>
                      <w:t>ainsi que des taux plus élevés d’absentéisme et de roulement.</w:t>
                    </w:r>
                  </w:p>
                  <w:p>
                    <w:pPr>
                      <w:spacing w:line="307" w:lineRule="auto" w:before="78"/>
                      <w:ind w:left="250" w:right="241" w:firstLine="250"/>
                      <w:jc w:val="both"/>
                      <w:rPr>
                        <w:rFonts w:ascii="Arial" w:hAnsi="Arial"/>
                        <w:sz w:val="17"/>
                      </w:rPr>
                    </w:pPr>
                    <w:r>
                      <w:rPr>
                        <w:rFonts w:ascii="Arial" w:hAnsi="Arial"/>
                        <w:color w:val="231F20"/>
                        <w:sz w:val="17"/>
                      </w:rPr>
                      <w:t>De</w:t>
                    </w:r>
                    <w:r>
                      <w:rPr>
                        <w:rFonts w:ascii="Arial" w:hAnsi="Arial"/>
                        <w:color w:val="231F20"/>
                        <w:spacing w:val="-4"/>
                        <w:sz w:val="17"/>
                      </w:rPr>
                      <w:t> </w:t>
                    </w:r>
                    <w:r>
                      <w:rPr>
                        <w:rFonts w:ascii="Arial" w:hAnsi="Arial"/>
                        <w:color w:val="231F20"/>
                        <w:sz w:val="17"/>
                      </w:rPr>
                      <w:t>très</w:t>
                    </w:r>
                    <w:r>
                      <w:rPr>
                        <w:rFonts w:ascii="Arial" w:hAnsi="Arial"/>
                        <w:color w:val="231F20"/>
                        <w:spacing w:val="-4"/>
                        <w:sz w:val="17"/>
                      </w:rPr>
                      <w:t> </w:t>
                    </w:r>
                    <w:r>
                      <w:rPr>
                        <w:rFonts w:ascii="Arial" w:hAnsi="Arial"/>
                        <w:color w:val="231F20"/>
                        <w:sz w:val="17"/>
                      </w:rPr>
                      <w:t>longues</w:t>
                    </w:r>
                    <w:r>
                      <w:rPr>
                        <w:rFonts w:ascii="Arial" w:hAnsi="Arial"/>
                        <w:color w:val="231F20"/>
                        <w:spacing w:val="-4"/>
                        <w:sz w:val="17"/>
                      </w:rPr>
                      <w:t> </w:t>
                    </w:r>
                    <w:r>
                      <w:rPr>
                        <w:rFonts w:ascii="Arial" w:hAnsi="Arial"/>
                        <w:color w:val="231F20"/>
                        <w:sz w:val="17"/>
                      </w:rPr>
                      <w:t>heures</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travail</w:t>
                    </w:r>
                    <w:r>
                      <w:rPr>
                        <w:rFonts w:ascii="Arial" w:hAnsi="Arial"/>
                        <w:color w:val="231F20"/>
                        <w:spacing w:val="-4"/>
                        <w:sz w:val="17"/>
                      </w:rPr>
                      <w:t> </w:t>
                    </w:r>
                    <w:r>
                      <w:rPr>
                        <w:rFonts w:ascii="Arial" w:hAnsi="Arial"/>
                        <w:color w:val="231F20"/>
                        <w:sz w:val="17"/>
                      </w:rPr>
                      <w:t>hebdomadaire</w:t>
                    </w:r>
                    <w:r>
                      <w:rPr>
                        <w:rFonts w:ascii="Arial" w:hAnsi="Arial"/>
                        <w:color w:val="231F20"/>
                        <w:spacing w:val="-4"/>
                        <w:sz w:val="17"/>
                      </w:rPr>
                      <w:t> </w:t>
                    </w:r>
                    <w:r>
                      <w:rPr>
                        <w:rFonts w:ascii="Arial" w:hAnsi="Arial"/>
                        <w:color w:val="231F20"/>
                        <w:sz w:val="17"/>
                      </w:rPr>
                      <w:t>sont</w:t>
                    </w:r>
                    <w:r>
                      <w:rPr>
                        <w:rFonts w:ascii="Arial" w:hAnsi="Arial"/>
                        <w:color w:val="231F20"/>
                        <w:spacing w:val="-4"/>
                        <w:sz w:val="17"/>
                      </w:rPr>
                      <w:t> </w:t>
                    </w:r>
                    <w:r>
                      <w:rPr>
                        <w:rFonts w:ascii="Arial" w:hAnsi="Arial"/>
                        <w:color w:val="231F20"/>
                        <w:sz w:val="17"/>
                      </w:rPr>
                      <w:t>positivement associées</w:t>
                    </w:r>
                    <w:r>
                      <w:rPr>
                        <w:rFonts w:ascii="Arial" w:hAnsi="Arial"/>
                        <w:color w:val="231F20"/>
                        <w:spacing w:val="-11"/>
                        <w:sz w:val="17"/>
                      </w:rPr>
                      <w:t> </w:t>
                    </w:r>
                    <w:r>
                      <w:rPr>
                        <w:rFonts w:ascii="Arial" w:hAnsi="Arial"/>
                        <w:color w:val="231F20"/>
                        <w:sz w:val="17"/>
                      </w:rPr>
                      <w:t>à</w:t>
                    </w:r>
                    <w:r>
                      <w:rPr>
                        <w:rFonts w:ascii="Arial" w:hAnsi="Arial"/>
                        <w:color w:val="231F20"/>
                        <w:spacing w:val="-11"/>
                        <w:sz w:val="17"/>
                      </w:rPr>
                      <w:t> </w:t>
                    </w:r>
                    <w:r>
                      <w:rPr>
                        <w:rFonts w:ascii="Arial" w:hAnsi="Arial"/>
                        <w:color w:val="231F20"/>
                        <w:sz w:val="17"/>
                      </w:rPr>
                      <w:t>de</w:t>
                    </w:r>
                    <w:r>
                      <w:rPr>
                        <w:rFonts w:ascii="Arial" w:hAnsi="Arial"/>
                        <w:color w:val="231F20"/>
                        <w:spacing w:val="-11"/>
                        <w:sz w:val="17"/>
                      </w:rPr>
                      <w:t> </w:t>
                    </w:r>
                    <w:r>
                      <w:rPr>
                        <w:rFonts w:ascii="Arial" w:hAnsi="Arial"/>
                        <w:color w:val="231F20"/>
                        <w:sz w:val="17"/>
                      </w:rPr>
                      <w:t>la</w:t>
                    </w:r>
                    <w:r>
                      <w:rPr>
                        <w:rFonts w:ascii="Arial" w:hAnsi="Arial"/>
                        <w:color w:val="231F20"/>
                        <w:spacing w:val="-11"/>
                        <w:sz w:val="17"/>
                      </w:rPr>
                      <w:t> </w:t>
                    </w:r>
                    <w:r>
                      <w:rPr>
                        <w:rFonts w:ascii="Arial" w:hAnsi="Arial"/>
                        <w:color w:val="231F20"/>
                        <w:sz w:val="17"/>
                      </w:rPr>
                      <w:t>fatigue</w:t>
                    </w:r>
                    <w:r>
                      <w:rPr>
                        <w:rFonts w:ascii="Arial" w:hAnsi="Arial"/>
                        <w:color w:val="231F20"/>
                        <w:spacing w:val="-11"/>
                        <w:sz w:val="17"/>
                      </w:rPr>
                      <w:t> </w:t>
                    </w:r>
                    <w:r>
                      <w:rPr>
                        <w:rFonts w:ascii="Arial" w:hAnsi="Arial"/>
                        <w:color w:val="231F20"/>
                        <w:sz w:val="17"/>
                      </w:rPr>
                      <w:t>chronique,</w:t>
                    </w:r>
                    <w:r>
                      <w:rPr>
                        <w:rFonts w:ascii="Arial" w:hAnsi="Arial"/>
                        <w:color w:val="231F20"/>
                        <w:spacing w:val="-11"/>
                        <w:sz w:val="17"/>
                      </w:rPr>
                      <w:t> </w:t>
                    </w:r>
                    <w:r>
                      <w:rPr>
                        <w:rFonts w:ascii="Arial" w:hAnsi="Arial"/>
                        <w:color w:val="231F20"/>
                        <w:sz w:val="17"/>
                      </w:rPr>
                      <w:t>menant</w:t>
                    </w:r>
                    <w:r>
                      <w:rPr>
                        <w:rFonts w:ascii="Arial" w:hAnsi="Arial"/>
                        <w:color w:val="231F20"/>
                        <w:spacing w:val="-11"/>
                        <w:sz w:val="17"/>
                      </w:rPr>
                      <w:t> </w:t>
                    </w:r>
                    <w:r>
                      <w:rPr>
                        <w:rFonts w:ascii="Arial" w:hAnsi="Arial"/>
                        <w:color w:val="231F20"/>
                        <w:sz w:val="17"/>
                      </w:rPr>
                      <w:t>à</w:t>
                    </w:r>
                    <w:r>
                      <w:rPr>
                        <w:rFonts w:ascii="Arial" w:hAnsi="Arial"/>
                        <w:color w:val="231F20"/>
                        <w:spacing w:val="-11"/>
                        <w:sz w:val="17"/>
                      </w:rPr>
                      <w:t> </w:t>
                    </w:r>
                    <w:r>
                      <w:rPr>
                        <w:rFonts w:ascii="Arial" w:hAnsi="Arial"/>
                        <w:color w:val="231F20"/>
                        <w:sz w:val="17"/>
                      </w:rPr>
                      <w:t>des</w:t>
                    </w:r>
                    <w:r>
                      <w:rPr>
                        <w:rFonts w:ascii="Arial" w:hAnsi="Arial"/>
                        <w:color w:val="231F20"/>
                        <w:spacing w:val="-11"/>
                        <w:sz w:val="17"/>
                      </w:rPr>
                      <w:t> </w:t>
                    </w:r>
                    <w:r>
                      <w:rPr>
                        <w:rFonts w:ascii="Arial" w:hAnsi="Arial"/>
                        <w:color w:val="231F20"/>
                        <w:sz w:val="17"/>
                      </w:rPr>
                      <w:t>problèmes</w:t>
                    </w:r>
                    <w:r>
                      <w:rPr>
                        <w:rFonts w:ascii="Arial" w:hAnsi="Arial"/>
                        <w:color w:val="231F20"/>
                        <w:spacing w:val="-11"/>
                        <w:sz w:val="17"/>
                      </w:rPr>
                      <w:t> </w:t>
                    </w:r>
                    <w:r>
                      <w:rPr>
                        <w:rFonts w:ascii="Arial" w:hAnsi="Arial"/>
                        <w:color w:val="231F20"/>
                        <w:sz w:val="17"/>
                      </w:rPr>
                      <w:t>de</w:t>
                    </w:r>
                    <w:r>
                      <w:rPr>
                        <w:rFonts w:ascii="Arial" w:hAnsi="Arial"/>
                        <w:color w:val="231F20"/>
                        <w:spacing w:val="-11"/>
                        <w:sz w:val="17"/>
                      </w:rPr>
                      <w:t> </w:t>
                    </w:r>
                    <w:r>
                      <w:rPr>
                        <w:rFonts w:ascii="Arial" w:hAnsi="Arial"/>
                        <w:color w:val="231F20"/>
                        <w:sz w:val="17"/>
                      </w:rPr>
                      <w:t>santé tels les maladies cardiovasculaires, les troubles gastro-intestinaux, et même</w:t>
                    </w:r>
                    <w:r>
                      <w:rPr>
                        <w:rFonts w:ascii="Arial" w:hAnsi="Arial"/>
                        <w:color w:val="231F20"/>
                        <w:spacing w:val="-9"/>
                        <w:sz w:val="17"/>
                      </w:rPr>
                      <w:t> </w:t>
                    </w:r>
                    <w:r>
                      <w:rPr>
                        <w:rFonts w:ascii="Arial" w:hAnsi="Arial"/>
                        <w:color w:val="231F20"/>
                        <w:sz w:val="17"/>
                      </w:rPr>
                      <w:t>à</w:t>
                    </w:r>
                    <w:r>
                      <w:rPr>
                        <w:rFonts w:ascii="Arial" w:hAnsi="Arial"/>
                        <w:color w:val="231F20"/>
                        <w:spacing w:val="-9"/>
                        <w:sz w:val="17"/>
                      </w:rPr>
                      <w:t> </w:t>
                    </w:r>
                    <w:r>
                      <w:rPr>
                        <w:rFonts w:ascii="Arial" w:hAnsi="Arial"/>
                        <w:color w:val="231F20"/>
                        <w:sz w:val="17"/>
                      </w:rPr>
                      <w:t>la</w:t>
                    </w:r>
                    <w:r>
                      <w:rPr>
                        <w:rFonts w:ascii="Arial" w:hAnsi="Arial"/>
                        <w:color w:val="231F20"/>
                        <w:spacing w:val="-9"/>
                        <w:sz w:val="17"/>
                      </w:rPr>
                      <w:t> </w:t>
                    </w:r>
                    <w:r>
                      <w:rPr>
                        <w:rFonts w:ascii="Arial" w:hAnsi="Arial"/>
                        <w:color w:val="231F20"/>
                        <w:sz w:val="17"/>
                      </w:rPr>
                      <w:t>mortalité</w:t>
                    </w:r>
                    <w:r>
                      <w:rPr>
                        <w:rFonts w:ascii="Arial" w:hAnsi="Arial"/>
                        <w:color w:val="231F20"/>
                        <w:spacing w:val="-9"/>
                        <w:sz w:val="17"/>
                      </w:rPr>
                      <w:t> </w:t>
                    </w:r>
                    <w:r>
                      <w:rPr>
                        <w:rFonts w:ascii="Arial" w:hAnsi="Arial"/>
                        <w:color w:val="231F20"/>
                        <w:sz w:val="17"/>
                      </w:rPr>
                      <w:t>(p.</w:t>
                    </w:r>
                    <w:r>
                      <w:rPr>
                        <w:rFonts w:ascii="Arial" w:hAnsi="Arial"/>
                        <w:color w:val="231F20"/>
                        <w:spacing w:val="-9"/>
                        <w:sz w:val="17"/>
                      </w:rPr>
                      <w:t> </w:t>
                    </w:r>
                    <w:r>
                      <w:rPr>
                        <w:rFonts w:ascii="Arial" w:hAnsi="Arial"/>
                        <w:color w:val="231F20"/>
                        <w:sz w:val="17"/>
                      </w:rPr>
                      <w:t>ex.</w:t>
                    </w:r>
                    <w:r>
                      <w:rPr>
                        <w:rFonts w:ascii="Arial" w:hAnsi="Arial"/>
                        <w:color w:val="231F20"/>
                        <w:spacing w:val="-9"/>
                        <w:sz w:val="17"/>
                      </w:rPr>
                      <w:t> </w:t>
                    </w:r>
                    <w:r>
                      <w:rPr>
                        <w:rFonts w:ascii="Arial" w:hAnsi="Arial"/>
                        <w:i/>
                        <w:color w:val="231F20"/>
                        <w:sz w:val="17"/>
                      </w:rPr>
                      <w:t>karoshi</w:t>
                    </w:r>
                    <w:r>
                      <w:rPr>
                        <w:rFonts w:ascii="Arial" w:hAnsi="Arial"/>
                        <w:i/>
                        <w:color w:val="231F20"/>
                        <w:spacing w:val="-9"/>
                        <w:sz w:val="17"/>
                      </w:rPr>
                      <w:t> </w:t>
                    </w:r>
                    <w:r>
                      <w:rPr>
                        <w:rFonts w:ascii="Arial" w:hAnsi="Arial"/>
                        <w:color w:val="231F20"/>
                        <w:sz w:val="17"/>
                      </w:rPr>
                      <w:t>au</w:t>
                    </w:r>
                    <w:r>
                      <w:rPr>
                        <w:rFonts w:ascii="Arial" w:hAnsi="Arial"/>
                        <w:color w:val="231F20"/>
                        <w:spacing w:val="-9"/>
                        <w:sz w:val="17"/>
                      </w:rPr>
                      <w:t> </w:t>
                    </w:r>
                    <w:r>
                      <w:rPr>
                        <w:rFonts w:ascii="Arial" w:hAnsi="Arial"/>
                        <w:color w:val="231F20"/>
                        <w:sz w:val="17"/>
                      </w:rPr>
                      <w:t>Japon).</w:t>
                    </w:r>
                    <w:r>
                      <w:rPr>
                        <w:rFonts w:ascii="Arial" w:hAnsi="Arial"/>
                        <w:color w:val="231F20"/>
                        <w:spacing w:val="-9"/>
                        <w:sz w:val="17"/>
                      </w:rPr>
                      <w:t> </w:t>
                    </w:r>
                    <w:r>
                      <w:rPr>
                        <w:rFonts w:ascii="Arial" w:hAnsi="Arial"/>
                        <w:color w:val="231F20"/>
                        <w:sz w:val="17"/>
                      </w:rPr>
                      <w:t>De</w:t>
                    </w:r>
                    <w:r>
                      <w:rPr>
                        <w:rFonts w:ascii="Arial" w:hAnsi="Arial"/>
                        <w:color w:val="231F20"/>
                        <w:spacing w:val="-9"/>
                        <w:sz w:val="17"/>
                      </w:rPr>
                      <w:t> </w:t>
                    </w:r>
                    <w:r>
                      <w:rPr>
                        <w:rFonts w:ascii="Arial" w:hAnsi="Arial"/>
                        <w:color w:val="231F20"/>
                        <w:sz w:val="17"/>
                      </w:rPr>
                      <w:t>longues</w:t>
                    </w:r>
                    <w:r>
                      <w:rPr>
                        <w:rFonts w:ascii="Arial" w:hAnsi="Arial"/>
                        <w:color w:val="231F20"/>
                        <w:spacing w:val="-9"/>
                        <w:sz w:val="17"/>
                      </w:rPr>
                      <w:t> </w:t>
                    </w:r>
                    <w:r>
                      <w:rPr>
                        <w:rFonts w:ascii="Arial" w:hAnsi="Arial"/>
                        <w:color w:val="231F20"/>
                        <w:sz w:val="17"/>
                      </w:rPr>
                      <w:t>heures</w:t>
                    </w:r>
                    <w:r>
                      <w:rPr>
                        <w:rFonts w:ascii="Arial" w:hAnsi="Arial"/>
                        <w:color w:val="231F20"/>
                        <w:spacing w:val="-9"/>
                        <w:sz w:val="17"/>
                      </w:rPr>
                      <w:t> </w:t>
                    </w:r>
                    <w:r>
                      <w:rPr>
                        <w:rFonts w:ascii="Arial" w:hAnsi="Arial"/>
                        <w:color w:val="231F20"/>
                        <w:sz w:val="17"/>
                      </w:rPr>
                      <w:t>heb- domadaires de travail sont aussi positivement associées à un état dégradé de santé mentale, c’est-à-dire à des niveaux plus élevés d’anxiété, de dépression et de problèmes de sommeil.</w:t>
                    </w:r>
                  </w:p>
                  <w:p>
                    <w:pPr>
                      <w:spacing w:line="295" w:lineRule="auto" w:before="215"/>
                      <w:ind w:left="250" w:right="247"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Messenger,</w:t>
                    </w:r>
                    <w:r>
                      <w:rPr>
                        <w:rFonts w:ascii="Arial" w:hAnsi="Arial"/>
                        <w:color w:val="231F20"/>
                        <w:spacing w:val="-8"/>
                        <w:sz w:val="12"/>
                      </w:rPr>
                      <w:t> </w:t>
                    </w:r>
                    <w:r>
                      <w:rPr>
                        <w:rFonts w:ascii="Arial" w:hAnsi="Arial"/>
                        <w:color w:val="231F20"/>
                        <w:sz w:val="12"/>
                      </w:rPr>
                      <w:t>J.</w:t>
                    </w:r>
                    <w:r>
                      <w:rPr>
                        <w:rFonts w:ascii="Arial" w:hAnsi="Arial"/>
                        <w:color w:val="231F20"/>
                        <w:spacing w:val="-9"/>
                        <w:sz w:val="12"/>
                      </w:rPr>
                      <w:t> </w:t>
                    </w:r>
                    <w:r>
                      <w:rPr>
                        <w:rFonts w:ascii="Arial" w:hAnsi="Arial"/>
                        <w:color w:val="231F20"/>
                        <w:sz w:val="12"/>
                      </w:rPr>
                      <w:t>(2018).</w:t>
                    </w:r>
                    <w:r>
                      <w:rPr>
                        <w:rFonts w:ascii="Arial" w:hAnsi="Arial"/>
                        <w:color w:val="231F20"/>
                        <w:spacing w:val="-8"/>
                        <w:sz w:val="12"/>
                      </w:rPr>
                      <w:t> </w:t>
                    </w:r>
                    <w:r>
                      <w:rPr>
                        <w:rFonts w:ascii="Arial" w:hAnsi="Arial"/>
                        <w:i/>
                        <w:color w:val="231F20"/>
                        <w:sz w:val="12"/>
                      </w:rPr>
                      <w:t>Working</w:t>
                    </w:r>
                    <w:r>
                      <w:rPr>
                        <w:rFonts w:ascii="Arial" w:hAnsi="Arial"/>
                        <w:i/>
                        <w:color w:val="231F20"/>
                        <w:spacing w:val="-8"/>
                        <w:sz w:val="12"/>
                      </w:rPr>
                      <w:t> </w:t>
                    </w:r>
                    <w:r>
                      <w:rPr>
                        <w:rFonts w:ascii="Arial" w:hAnsi="Arial"/>
                        <w:i/>
                        <w:color w:val="231F20"/>
                        <w:sz w:val="12"/>
                      </w:rPr>
                      <w:t>Time</w:t>
                    </w:r>
                    <w:r>
                      <w:rPr>
                        <w:rFonts w:ascii="Arial" w:hAnsi="Arial"/>
                        <w:i/>
                        <w:color w:val="231F20"/>
                        <w:spacing w:val="-9"/>
                        <w:sz w:val="12"/>
                      </w:rPr>
                      <w:t> </w:t>
                    </w:r>
                    <w:r>
                      <w:rPr>
                        <w:rFonts w:ascii="Arial" w:hAnsi="Arial"/>
                        <w:i/>
                        <w:color w:val="231F20"/>
                        <w:sz w:val="12"/>
                      </w:rPr>
                      <w:t>and</w:t>
                    </w:r>
                    <w:r>
                      <w:rPr>
                        <w:rFonts w:ascii="Arial" w:hAnsi="Arial"/>
                        <w:i/>
                        <w:color w:val="231F20"/>
                        <w:spacing w:val="-8"/>
                        <w:sz w:val="12"/>
                      </w:rPr>
                      <w:t> </w:t>
                    </w:r>
                    <w:r>
                      <w:rPr>
                        <w:rFonts w:ascii="Arial" w:hAnsi="Arial"/>
                        <w:i/>
                        <w:color w:val="231F20"/>
                        <w:sz w:val="12"/>
                      </w:rPr>
                      <w:t>the</w:t>
                    </w:r>
                    <w:r>
                      <w:rPr>
                        <w:rFonts w:ascii="Arial" w:hAnsi="Arial"/>
                        <w:i/>
                        <w:color w:val="231F20"/>
                        <w:spacing w:val="-9"/>
                        <w:sz w:val="12"/>
                      </w:rPr>
                      <w:t> </w:t>
                    </w:r>
                    <w:r>
                      <w:rPr>
                        <w:rFonts w:ascii="Arial" w:hAnsi="Arial"/>
                        <w:i/>
                        <w:color w:val="231F20"/>
                        <w:sz w:val="12"/>
                      </w:rPr>
                      <w:t>Future</w:t>
                    </w:r>
                    <w:r>
                      <w:rPr>
                        <w:rFonts w:ascii="Arial" w:hAnsi="Arial"/>
                        <w:i/>
                        <w:color w:val="231F20"/>
                        <w:spacing w:val="-8"/>
                        <w:sz w:val="12"/>
                      </w:rPr>
                      <w:t> </w:t>
                    </w:r>
                    <w:r>
                      <w:rPr>
                        <w:rFonts w:ascii="Arial" w:hAnsi="Arial"/>
                        <w:i/>
                        <w:color w:val="231F20"/>
                        <w:sz w:val="12"/>
                      </w:rPr>
                      <w:t>of</w:t>
                    </w:r>
                    <w:r>
                      <w:rPr>
                        <w:rFonts w:ascii="Arial" w:hAnsi="Arial"/>
                        <w:i/>
                        <w:color w:val="231F20"/>
                        <w:spacing w:val="-8"/>
                        <w:sz w:val="12"/>
                      </w:rPr>
                      <w:t> </w:t>
                    </w:r>
                    <w:r>
                      <w:rPr>
                        <w:rFonts w:ascii="Arial" w:hAnsi="Arial"/>
                        <w:i/>
                        <w:color w:val="231F20"/>
                        <w:sz w:val="12"/>
                      </w:rPr>
                      <w:t>Work.</w:t>
                    </w:r>
                    <w:r>
                      <w:rPr>
                        <w:rFonts w:ascii="Arial" w:hAnsi="Arial"/>
                        <w:i/>
                        <w:color w:val="231F20"/>
                        <w:spacing w:val="-9"/>
                        <w:sz w:val="12"/>
                      </w:rPr>
                      <w:t> </w:t>
                    </w:r>
                    <w:r>
                      <w:rPr>
                        <w:rFonts w:ascii="Arial" w:hAnsi="Arial"/>
                        <w:i/>
                        <w:color w:val="231F20"/>
                        <w:sz w:val="12"/>
                      </w:rPr>
                      <w:t>ILO</w:t>
                    </w:r>
                    <w:r>
                      <w:rPr>
                        <w:rFonts w:ascii="Arial" w:hAnsi="Arial"/>
                        <w:i/>
                        <w:color w:val="231F20"/>
                        <w:spacing w:val="-8"/>
                        <w:sz w:val="12"/>
                      </w:rPr>
                      <w:t> </w:t>
                    </w:r>
                    <w:r>
                      <w:rPr>
                        <w:rFonts w:ascii="Arial" w:hAnsi="Arial"/>
                        <w:i/>
                        <w:color w:val="231F20"/>
                        <w:sz w:val="12"/>
                      </w:rPr>
                      <w:t>Future</w:t>
                    </w:r>
                    <w:r>
                      <w:rPr>
                        <w:rFonts w:ascii="Arial" w:hAnsi="Arial"/>
                        <w:i/>
                        <w:color w:val="231F20"/>
                        <w:spacing w:val="-7"/>
                        <w:sz w:val="12"/>
                      </w:rPr>
                      <w:t> </w:t>
                    </w:r>
                    <w:r>
                      <w:rPr>
                        <w:rFonts w:ascii="Arial" w:hAnsi="Arial"/>
                        <w:i/>
                        <w:color w:val="231F20"/>
                        <w:sz w:val="12"/>
                      </w:rPr>
                      <w:t>Of</w:t>
                    </w:r>
                    <w:r>
                      <w:rPr>
                        <w:rFonts w:ascii="Arial" w:hAnsi="Arial"/>
                        <w:i/>
                        <w:color w:val="231F20"/>
                        <w:spacing w:val="-7"/>
                        <w:sz w:val="12"/>
                      </w:rPr>
                      <w:t> </w:t>
                    </w:r>
                    <w:r>
                      <w:rPr>
                        <w:rFonts w:ascii="Arial" w:hAnsi="Arial"/>
                        <w:i/>
                        <w:color w:val="231F20"/>
                        <w:sz w:val="12"/>
                      </w:rPr>
                      <w:t>Work</w:t>
                    </w:r>
                    <w:r>
                      <w:rPr>
                        <w:rFonts w:ascii="Arial" w:hAnsi="Arial"/>
                        <w:i/>
                        <w:color w:val="231F20"/>
                        <w:spacing w:val="-7"/>
                        <w:sz w:val="12"/>
                      </w:rPr>
                      <w:t> </w:t>
                    </w:r>
                    <w:r>
                      <w:rPr>
                        <w:rFonts w:ascii="Arial" w:hAnsi="Arial"/>
                        <w:i/>
                        <w:color w:val="231F20"/>
                        <w:sz w:val="12"/>
                      </w:rPr>
                      <w:t>Research</w:t>
                    </w:r>
                    <w:r>
                      <w:rPr>
                        <w:rFonts w:ascii="Arial" w:hAnsi="Arial"/>
                        <w:i/>
                        <w:color w:val="231F20"/>
                        <w:spacing w:val="40"/>
                        <w:sz w:val="12"/>
                      </w:rPr>
                      <w:t> </w:t>
                    </w:r>
                    <w:r>
                      <w:rPr>
                        <w:rFonts w:ascii="Arial" w:hAnsi="Arial"/>
                        <w:i/>
                        <w:color w:val="231F20"/>
                        <w:sz w:val="12"/>
                      </w:rPr>
                      <w:t>Paper Series 6</w:t>
                    </w:r>
                    <w:r>
                      <w:rPr>
                        <w:rFonts w:ascii="Arial" w:hAnsi="Arial"/>
                        <w:color w:val="231F20"/>
                        <w:sz w:val="12"/>
                      </w:rPr>
                      <w:t>. Genève, International Labour Organization, 12-13 (traduction libre).</w:t>
                    </w:r>
                  </w:p>
                </w:txbxContent>
              </v:textbox>
              <w10:wrap type="none"/>
            </v:shape>
            <w10:wrap type="topAndBottom"/>
          </v:group>
        </w:pict>
      </w:r>
    </w:p>
    <w:p>
      <w:pPr>
        <w:pStyle w:val="BodyText"/>
        <w:spacing w:before="1"/>
        <w:rPr>
          <w:rFonts w:ascii="Arial"/>
        </w:rPr>
      </w:pPr>
    </w:p>
    <w:p>
      <w:pPr>
        <w:pStyle w:val="BodyText"/>
        <w:spacing w:line="307" w:lineRule="auto" w:before="145"/>
        <w:ind w:left="1180" w:right="241"/>
        <w:jc w:val="both"/>
      </w:pPr>
      <w:r>
        <w:rPr>
          <w:color w:val="231F20"/>
          <w:w w:val="115"/>
        </w:rPr>
        <w:t>Le</w:t>
      </w:r>
      <w:r>
        <w:rPr>
          <w:color w:val="231F20"/>
          <w:spacing w:val="-6"/>
          <w:w w:val="115"/>
        </w:rPr>
        <w:t> </w:t>
      </w:r>
      <w:r>
        <w:rPr>
          <w:color w:val="231F20"/>
          <w:w w:val="115"/>
        </w:rPr>
        <w:t>terme</w:t>
      </w:r>
      <w:r>
        <w:rPr>
          <w:color w:val="231F20"/>
          <w:spacing w:val="-6"/>
          <w:w w:val="115"/>
        </w:rPr>
        <w:t> </w:t>
      </w:r>
      <w:r>
        <w:rPr>
          <w:i/>
          <w:color w:val="231F20"/>
          <w:w w:val="115"/>
        </w:rPr>
        <w:t>qualité</w:t>
      </w:r>
      <w:r>
        <w:rPr>
          <w:i/>
          <w:color w:val="231F20"/>
          <w:spacing w:val="-6"/>
          <w:w w:val="115"/>
        </w:rPr>
        <w:t> </w:t>
      </w:r>
      <w:r>
        <w:rPr>
          <w:i/>
          <w:color w:val="231F20"/>
          <w:w w:val="115"/>
        </w:rPr>
        <w:t>de</w:t>
      </w:r>
      <w:r>
        <w:rPr>
          <w:i/>
          <w:color w:val="231F20"/>
          <w:spacing w:val="-6"/>
          <w:w w:val="115"/>
        </w:rPr>
        <w:t> </w:t>
      </w:r>
      <w:r>
        <w:rPr>
          <w:i/>
          <w:color w:val="231F20"/>
          <w:w w:val="115"/>
        </w:rPr>
        <w:t>vie</w:t>
      </w:r>
      <w:r>
        <w:rPr>
          <w:i/>
          <w:color w:val="231F20"/>
          <w:spacing w:val="-6"/>
          <w:w w:val="115"/>
        </w:rPr>
        <w:t> </w:t>
      </w:r>
      <w:r>
        <w:rPr>
          <w:i/>
          <w:color w:val="231F20"/>
          <w:w w:val="115"/>
        </w:rPr>
        <w:t>au</w:t>
      </w:r>
      <w:r>
        <w:rPr>
          <w:i/>
          <w:color w:val="231F20"/>
          <w:spacing w:val="-6"/>
          <w:w w:val="115"/>
        </w:rPr>
        <w:t> </w:t>
      </w:r>
      <w:r>
        <w:rPr>
          <w:i/>
          <w:color w:val="231F20"/>
          <w:w w:val="115"/>
        </w:rPr>
        <w:t>travail</w:t>
      </w:r>
      <w:r>
        <w:rPr>
          <w:i/>
          <w:color w:val="231F20"/>
          <w:spacing w:val="-6"/>
          <w:w w:val="115"/>
        </w:rPr>
        <w:t> </w:t>
      </w:r>
      <w:r>
        <w:rPr>
          <w:color w:val="231F20"/>
          <w:w w:val="115"/>
        </w:rPr>
        <w:t>est</w:t>
      </w:r>
      <w:r>
        <w:rPr>
          <w:color w:val="231F20"/>
          <w:spacing w:val="-6"/>
          <w:w w:val="115"/>
        </w:rPr>
        <w:t> </w:t>
      </w:r>
      <w:r>
        <w:rPr>
          <w:color w:val="231F20"/>
          <w:w w:val="115"/>
        </w:rPr>
        <w:t>longtemps</w:t>
      </w:r>
      <w:r>
        <w:rPr>
          <w:color w:val="231F20"/>
          <w:spacing w:val="-6"/>
          <w:w w:val="115"/>
        </w:rPr>
        <w:t> </w:t>
      </w:r>
      <w:r>
        <w:rPr>
          <w:color w:val="231F20"/>
          <w:w w:val="115"/>
        </w:rPr>
        <w:t>demeuré</w:t>
      </w:r>
      <w:r>
        <w:rPr>
          <w:color w:val="231F20"/>
          <w:spacing w:val="-6"/>
          <w:w w:val="115"/>
        </w:rPr>
        <w:t> </w:t>
      </w:r>
      <w:r>
        <w:rPr>
          <w:color w:val="231F20"/>
          <w:w w:val="115"/>
        </w:rPr>
        <w:t>ambigu,</w:t>
      </w:r>
      <w:r>
        <w:rPr>
          <w:color w:val="231F20"/>
          <w:spacing w:val="-6"/>
          <w:w w:val="115"/>
        </w:rPr>
        <w:t> </w:t>
      </w:r>
      <w:r>
        <w:rPr>
          <w:color w:val="231F20"/>
          <w:w w:val="115"/>
        </w:rPr>
        <w:t>jusqu’à ce qu’une poignée de sociétés, notamment Procter &amp; Gamble et General Motors aux États-Unis ainsi que Volvo en Scandinavie, manifestent leur </w:t>
      </w:r>
      <w:r>
        <w:rPr>
          <w:color w:val="231F20"/>
          <w:w w:val="120"/>
        </w:rPr>
        <w:t>intérêt de mettre ce concept en pratique. La mise en œuvre, dans leurs nouvelles</w:t>
      </w:r>
      <w:r>
        <w:rPr>
          <w:color w:val="231F20"/>
          <w:spacing w:val="-2"/>
          <w:w w:val="120"/>
        </w:rPr>
        <w:t> </w:t>
      </w:r>
      <w:r>
        <w:rPr>
          <w:color w:val="231F20"/>
          <w:w w:val="120"/>
        </w:rPr>
        <w:t>usines,</w:t>
      </w:r>
      <w:r>
        <w:rPr>
          <w:color w:val="231F20"/>
          <w:spacing w:val="-2"/>
          <w:w w:val="120"/>
        </w:rPr>
        <w:t> </w:t>
      </w:r>
      <w:r>
        <w:rPr>
          <w:color w:val="231F20"/>
          <w:w w:val="120"/>
        </w:rPr>
        <w:t>de</w:t>
      </w:r>
      <w:r>
        <w:rPr>
          <w:color w:val="231F20"/>
          <w:spacing w:val="-2"/>
          <w:w w:val="120"/>
        </w:rPr>
        <w:t> </w:t>
      </w:r>
      <w:r>
        <w:rPr>
          <w:color w:val="231F20"/>
          <w:w w:val="120"/>
        </w:rPr>
        <w:t>programmes</w:t>
      </w:r>
      <w:r>
        <w:rPr>
          <w:color w:val="231F20"/>
          <w:spacing w:val="-2"/>
          <w:w w:val="120"/>
        </w:rPr>
        <w:t> </w:t>
      </w:r>
      <w:r>
        <w:rPr>
          <w:color w:val="231F20"/>
          <w:w w:val="120"/>
        </w:rPr>
        <w:t>destinés</w:t>
      </w:r>
      <w:r>
        <w:rPr>
          <w:color w:val="231F20"/>
          <w:spacing w:val="-2"/>
          <w:w w:val="120"/>
        </w:rPr>
        <w:t> </w:t>
      </w:r>
      <w:r>
        <w:rPr>
          <w:color w:val="231F20"/>
          <w:w w:val="120"/>
        </w:rPr>
        <w:t>à</w:t>
      </w:r>
      <w:r>
        <w:rPr>
          <w:color w:val="231F20"/>
          <w:spacing w:val="-2"/>
          <w:w w:val="120"/>
        </w:rPr>
        <w:t> </w:t>
      </w:r>
      <w:r>
        <w:rPr>
          <w:color w:val="231F20"/>
          <w:w w:val="120"/>
        </w:rPr>
        <w:t>améliorer</w:t>
      </w:r>
      <w:r>
        <w:rPr>
          <w:color w:val="231F20"/>
          <w:spacing w:val="-2"/>
          <w:w w:val="120"/>
        </w:rPr>
        <w:t> </w:t>
      </w:r>
      <w:r>
        <w:rPr>
          <w:color w:val="231F20"/>
          <w:w w:val="120"/>
        </w:rPr>
        <w:t>la</w:t>
      </w:r>
      <w:r>
        <w:rPr>
          <w:color w:val="231F20"/>
          <w:spacing w:val="-2"/>
          <w:w w:val="120"/>
        </w:rPr>
        <w:t> </w:t>
      </w:r>
      <w:r>
        <w:rPr>
          <w:color w:val="231F20"/>
          <w:w w:val="120"/>
        </w:rPr>
        <w:t>qualité</w:t>
      </w:r>
      <w:r>
        <w:rPr>
          <w:color w:val="231F20"/>
          <w:spacing w:val="-2"/>
          <w:w w:val="120"/>
        </w:rPr>
        <w:t> </w:t>
      </w:r>
      <w:r>
        <w:rPr>
          <w:color w:val="231F20"/>
          <w:w w:val="120"/>
        </w:rPr>
        <w:t>de</w:t>
      </w:r>
      <w:r>
        <w:rPr>
          <w:color w:val="231F20"/>
          <w:spacing w:val="-2"/>
          <w:w w:val="120"/>
        </w:rPr>
        <w:t> </w:t>
      </w:r>
      <w:r>
        <w:rPr>
          <w:color w:val="231F20"/>
          <w:w w:val="120"/>
        </w:rPr>
        <w:t>vie au travail produisit des résultats positifs, à la suite desquels d’autres sociétés, dont Ford, lancèrent des initiatives semblables à la fin de la </w:t>
      </w:r>
      <w:r>
        <w:rPr>
          <w:color w:val="231F20"/>
          <w:spacing w:val="-2"/>
          <w:w w:val="120"/>
        </w:rPr>
        <w:t>même</w:t>
      </w:r>
      <w:r>
        <w:rPr>
          <w:color w:val="231F20"/>
          <w:spacing w:val="-6"/>
          <w:w w:val="120"/>
        </w:rPr>
        <w:t> </w:t>
      </w:r>
      <w:r>
        <w:rPr>
          <w:color w:val="231F20"/>
          <w:spacing w:val="-2"/>
          <w:w w:val="120"/>
        </w:rPr>
        <w:t>décennie,</w:t>
      </w:r>
      <w:r>
        <w:rPr>
          <w:color w:val="231F20"/>
          <w:spacing w:val="-6"/>
          <w:w w:val="120"/>
        </w:rPr>
        <w:t> </w:t>
      </w:r>
      <w:r>
        <w:rPr>
          <w:color w:val="231F20"/>
          <w:spacing w:val="-2"/>
          <w:w w:val="120"/>
        </w:rPr>
        <w:t>obtenant</w:t>
      </w:r>
      <w:r>
        <w:rPr>
          <w:color w:val="231F20"/>
          <w:spacing w:val="-6"/>
          <w:w w:val="120"/>
        </w:rPr>
        <w:t> </w:t>
      </w:r>
      <w:r>
        <w:rPr>
          <w:color w:val="231F20"/>
          <w:spacing w:val="-2"/>
          <w:w w:val="120"/>
        </w:rPr>
        <w:t>elles</w:t>
      </w:r>
      <w:r>
        <w:rPr>
          <w:color w:val="231F20"/>
          <w:spacing w:val="-6"/>
          <w:w w:val="120"/>
        </w:rPr>
        <w:t> </w:t>
      </w:r>
      <w:r>
        <w:rPr>
          <w:color w:val="231F20"/>
          <w:spacing w:val="-2"/>
          <w:w w:val="120"/>
        </w:rPr>
        <w:t>aussi</w:t>
      </w:r>
      <w:r>
        <w:rPr>
          <w:color w:val="231F20"/>
          <w:spacing w:val="-6"/>
          <w:w w:val="120"/>
        </w:rPr>
        <w:t> </w:t>
      </w:r>
      <w:r>
        <w:rPr>
          <w:color w:val="231F20"/>
          <w:spacing w:val="-2"/>
          <w:w w:val="120"/>
        </w:rPr>
        <w:t>de</w:t>
      </w:r>
      <w:r>
        <w:rPr>
          <w:color w:val="231F20"/>
          <w:spacing w:val="-6"/>
          <w:w w:val="120"/>
        </w:rPr>
        <w:t> </w:t>
      </w:r>
      <w:r>
        <w:rPr>
          <w:color w:val="231F20"/>
          <w:spacing w:val="-2"/>
          <w:w w:val="120"/>
        </w:rPr>
        <w:t>bons</w:t>
      </w:r>
      <w:r>
        <w:rPr>
          <w:color w:val="231F20"/>
          <w:spacing w:val="-6"/>
          <w:w w:val="120"/>
        </w:rPr>
        <w:t> </w:t>
      </w:r>
      <w:r>
        <w:rPr>
          <w:color w:val="231F20"/>
          <w:spacing w:val="-2"/>
          <w:w w:val="120"/>
        </w:rPr>
        <w:t>résultats.</w:t>
      </w:r>
      <w:r>
        <w:rPr>
          <w:color w:val="231F20"/>
          <w:spacing w:val="-6"/>
          <w:w w:val="120"/>
        </w:rPr>
        <w:t> </w:t>
      </w:r>
      <w:r>
        <w:rPr>
          <w:color w:val="231F20"/>
          <w:spacing w:val="-2"/>
          <w:w w:val="120"/>
        </w:rPr>
        <w:t>Puis</w:t>
      </w:r>
      <w:r>
        <w:rPr>
          <w:color w:val="231F20"/>
          <w:spacing w:val="-6"/>
          <w:w w:val="120"/>
        </w:rPr>
        <w:t> </w:t>
      </w:r>
      <w:r>
        <w:rPr>
          <w:color w:val="231F20"/>
          <w:spacing w:val="-2"/>
          <w:w w:val="120"/>
        </w:rPr>
        <w:t>au</w:t>
      </w:r>
      <w:r>
        <w:rPr>
          <w:color w:val="231F20"/>
          <w:spacing w:val="-6"/>
          <w:w w:val="120"/>
        </w:rPr>
        <w:t> </w:t>
      </w:r>
      <w:r>
        <w:rPr>
          <w:color w:val="231F20"/>
          <w:spacing w:val="-2"/>
          <w:w w:val="120"/>
        </w:rPr>
        <w:t>début</w:t>
      </w:r>
      <w:r>
        <w:rPr>
          <w:color w:val="231F20"/>
          <w:spacing w:val="-6"/>
          <w:w w:val="120"/>
        </w:rPr>
        <w:t> </w:t>
      </w:r>
      <w:r>
        <w:rPr>
          <w:color w:val="231F20"/>
          <w:spacing w:val="-2"/>
          <w:w w:val="120"/>
        </w:rPr>
        <w:t>des </w:t>
      </w:r>
      <w:r>
        <w:rPr>
          <w:color w:val="231F20"/>
          <w:w w:val="120"/>
        </w:rPr>
        <w:t>années 1980, les États-Unis connaissent une profonde récession. La </w:t>
      </w:r>
      <w:r>
        <w:rPr>
          <w:color w:val="231F20"/>
          <w:spacing w:val="-2"/>
          <w:w w:val="120"/>
        </w:rPr>
        <w:t>concurrence</w:t>
      </w:r>
      <w:r>
        <w:rPr>
          <w:color w:val="231F20"/>
          <w:spacing w:val="-6"/>
          <w:w w:val="120"/>
        </w:rPr>
        <w:t> </w:t>
      </w:r>
      <w:r>
        <w:rPr>
          <w:color w:val="231F20"/>
          <w:spacing w:val="-2"/>
          <w:w w:val="120"/>
        </w:rPr>
        <w:t>asiatique,</w:t>
      </w:r>
      <w:r>
        <w:rPr>
          <w:color w:val="231F20"/>
          <w:spacing w:val="-6"/>
          <w:w w:val="120"/>
        </w:rPr>
        <w:t> </w:t>
      </w:r>
      <w:r>
        <w:rPr>
          <w:color w:val="231F20"/>
          <w:spacing w:val="-2"/>
          <w:w w:val="120"/>
        </w:rPr>
        <w:t>qui</w:t>
      </w:r>
      <w:r>
        <w:rPr>
          <w:color w:val="231F20"/>
          <w:spacing w:val="-6"/>
          <w:w w:val="120"/>
        </w:rPr>
        <w:t> </w:t>
      </w:r>
      <w:r>
        <w:rPr>
          <w:color w:val="231F20"/>
          <w:spacing w:val="-2"/>
          <w:w w:val="120"/>
        </w:rPr>
        <w:t>offre</w:t>
      </w:r>
      <w:r>
        <w:rPr>
          <w:color w:val="231F20"/>
          <w:spacing w:val="-6"/>
          <w:w w:val="120"/>
        </w:rPr>
        <w:t> </w:t>
      </w:r>
      <w:r>
        <w:rPr>
          <w:color w:val="231F20"/>
          <w:spacing w:val="-2"/>
          <w:w w:val="120"/>
        </w:rPr>
        <w:t>des</w:t>
      </w:r>
      <w:r>
        <w:rPr>
          <w:color w:val="231F20"/>
          <w:spacing w:val="-6"/>
          <w:w w:val="120"/>
        </w:rPr>
        <w:t> </w:t>
      </w:r>
      <w:r>
        <w:rPr>
          <w:color w:val="231F20"/>
          <w:spacing w:val="-2"/>
          <w:w w:val="120"/>
        </w:rPr>
        <w:t>produits</w:t>
      </w:r>
      <w:r>
        <w:rPr>
          <w:color w:val="231F20"/>
          <w:spacing w:val="-6"/>
          <w:w w:val="120"/>
        </w:rPr>
        <w:t> </w:t>
      </w:r>
      <w:r>
        <w:rPr>
          <w:color w:val="231F20"/>
          <w:spacing w:val="-2"/>
          <w:w w:val="120"/>
        </w:rPr>
        <w:t>bon</w:t>
      </w:r>
      <w:r>
        <w:rPr>
          <w:color w:val="231F20"/>
          <w:spacing w:val="-6"/>
          <w:w w:val="120"/>
        </w:rPr>
        <w:t> </w:t>
      </w:r>
      <w:r>
        <w:rPr>
          <w:color w:val="231F20"/>
          <w:spacing w:val="-2"/>
          <w:w w:val="120"/>
        </w:rPr>
        <w:t>marché</w:t>
      </w:r>
      <w:r>
        <w:rPr>
          <w:color w:val="231F20"/>
          <w:spacing w:val="-6"/>
          <w:w w:val="120"/>
        </w:rPr>
        <w:t> </w:t>
      </w:r>
      <w:r>
        <w:rPr>
          <w:color w:val="231F20"/>
          <w:spacing w:val="-2"/>
          <w:w w:val="120"/>
        </w:rPr>
        <w:t>de</w:t>
      </w:r>
      <w:r>
        <w:rPr>
          <w:color w:val="231F20"/>
          <w:spacing w:val="-6"/>
          <w:w w:val="120"/>
        </w:rPr>
        <w:t> </w:t>
      </w:r>
      <w:r>
        <w:rPr>
          <w:color w:val="231F20"/>
          <w:spacing w:val="-2"/>
          <w:w w:val="120"/>
        </w:rPr>
        <w:t>grande</w:t>
      </w:r>
      <w:r>
        <w:rPr>
          <w:color w:val="231F20"/>
          <w:spacing w:val="-6"/>
          <w:w w:val="120"/>
        </w:rPr>
        <w:t> </w:t>
      </w:r>
      <w:r>
        <w:rPr>
          <w:color w:val="231F20"/>
          <w:spacing w:val="-2"/>
          <w:w w:val="120"/>
        </w:rPr>
        <w:t>qua- </w:t>
      </w:r>
      <w:r>
        <w:rPr>
          <w:color w:val="231F20"/>
          <w:w w:val="120"/>
        </w:rPr>
        <w:t>lité, se met à inquiéter sérieusement les dirigeants des sociétés améri- caines, ce qui amène bon nombre d’entre eux, de même que divers </w:t>
      </w:r>
      <w:r>
        <w:rPr>
          <w:color w:val="231F20"/>
          <w:spacing w:val="-2"/>
          <w:w w:val="120"/>
        </w:rPr>
        <w:t>organismes</w:t>
      </w:r>
      <w:r>
        <w:rPr>
          <w:color w:val="231F20"/>
          <w:spacing w:val="-11"/>
          <w:w w:val="120"/>
        </w:rPr>
        <w:t> </w:t>
      </w:r>
      <w:r>
        <w:rPr>
          <w:color w:val="231F20"/>
          <w:spacing w:val="-2"/>
          <w:w w:val="120"/>
        </w:rPr>
        <w:t>publics,</w:t>
      </w:r>
      <w:r>
        <w:rPr>
          <w:color w:val="231F20"/>
          <w:spacing w:val="-11"/>
          <w:w w:val="120"/>
        </w:rPr>
        <w:t> </w:t>
      </w:r>
      <w:r>
        <w:rPr>
          <w:color w:val="231F20"/>
          <w:spacing w:val="-2"/>
          <w:w w:val="120"/>
        </w:rPr>
        <w:t>à</w:t>
      </w:r>
      <w:r>
        <w:rPr>
          <w:color w:val="231F20"/>
          <w:spacing w:val="-11"/>
          <w:w w:val="120"/>
        </w:rPr>
        <w:t> </w:t>
      </w:r>
      <w:r>
        <w:rPr>
          <w:color w:val="231F20"/>
          <w:spacing w:val="-2"/>
          <w:w w:val="120"/>
        </w:rPr>
        <w:t>opter</w:t>
      </w:r>
      <w:r>
        <w:rPr>
          <w:color w:val="231F20"/>
          <w:spacing w:val="-10"/>
          <w:w w:val="120"/>
        </w:rPr>
        <w:t> </w:t>
      </w:r>
      <w:r>
        <w:rPr>
          <w:color w:val="231F20"/>
          <w:spacing w:val="-2"/>
          <w:w w:val="120"/>
        </w:rPr>
        <w:t>pour</w:t>
      </w:r>
      <w:r>
        <w:rPr>
          <w:color w:val="231F20"/>
          <w:spacing w:val="-11"/>
          <w:w w:val="120"/>
        </w:rPr>
        <w:t> </w:t>
      </w:r>
      <w:r>
        <w:rPr>
          <w:color w:val="231F20"/>
          <w:spacing w:val="-2"/>
          <w:w w:val="120"/>
        </w:rPr>
        <w:t>la</w:t>
      </w:r>
      <w:r>
        <w:rPr>
          <w:color w:val="231F20"/>
          <w:spacing w:val="-11"/>
          <w:w w:val="120"/>
        </w:rPr>
        <w:t> </w:t>
      </w:r>
      <w:r>
        <w:rPr>
          <w:color w:val="231F20"/>
          <w:spacing w:val="-2"/>
          <w:w w:val="120"/>
        </w:rPr>
        <w:t>qualité</w:t>
      </w:r>
      <w:r>
        <w:rPr>
          <w:color w:val="231F20"/>
          <w:spacing w:val="-11"/>
          <w:w w:val="120"/>
        </w:rPr>
        <w:t> </w:t>
      </w:r>
      <w:r>
        <w:rPr>
          <w:color w:val="231F20"/>
          <w:spacing w:val="-2"/>
          <w:w w:val="120"/>
        </w:rPr>
        <w:t>et</w:t>
      </w:r>
      <w:r>
        <w:rPr>
          <w:color w:val="231F20"/>
          <w:spacing w:val="-10"/>
          <w:w w:val="120"/>
        </w:rPr>
        <w:t> </w:t>
      </w:r>
      <w:r>
        <w:rPr>
          <w:color w:val="231F20"/>
          <w:spacing w:val="-2"/>
          <w:w w:val="120"/>
        </w:rPr>
        <w:t>à</w:t>
      </w:r>
      <w:r>
        <w:rPr>
          <w:color w:val="231F20"/>
          <w:spacing w:val="-11"/>
          <w:w w:val="120"/>
        </w:rPr>
        <w:t> </w:t>
      </w:r>
      <w:r>
        <w:rPr>
          <w:color w:val="231F20"/>
          <w:spacing w:val="-2"/>
          <w:w w:val="120"/>
        </w:rPr>
        <w:t>instaurer</w:t>
      </w:r>
      <w:r>
        <w:rPr>
          <w:color w:val="231F20"/>
          <w:spacing w:val="-11"/>
          <w:w w:val="120"/>
        </w:rPr>
        <w:t> </w:t>
      </w:r>
      <w:r>
        <w:rPr>
          <w:color w:val="231F20"/>
          <w:spacing w:val="-2"/>
          <w:w w:val="120"/>
        </w:rPr>
        <w:t>des</w:t>
      </w:r>
      <w:r>
        <w:rPr>
          <w:color w:val="231F20"/>
          <w:spacing w:val="-11"/>
          <w:w w:val="120"/>
        </w:rPr>
        <w:t> </w:t>
      </w:r>
      <w:r>
        <w:rPr>
          <w:color w:val="231F20"/>
          <w:spacing w:val="-2"/>
          <w:w w:val="120"/>
        </w:rPr>
        <w:t>programmes </w:t>
      </w:r>
      <w:r>
        <w:rPr>
          <w:color w:val="231F20"/>
          <w:w w:val="120"/>
        </w:rPr>
        <w:t>de qualité de vie au travail.</w:t>
      </w:r>
    </w:p>
    <w:p>
      <w:pPr>
        <w:pStyle w:val="BodyText"/>
        <w:spacing w:line="307" w:lineRule="auto" w:before="77"/>
        <w:ind w:left="1180" w:right="244" w:firstLine="250"/>
        <w:jc w:val="both"/>
      </w:pPr>
      <w:r>
        <w:rPr>
          <w:color w:val="231F20"/>
          <w:w w:val="120"/>
        </w:rPr>
        <w:t>Malgré un historique riche et varié, malgré maintes </w:t>
      </w:r>
      <w:r>
        <w:rPr>
          <w:color w:val="231F20"/>
          <w:w w:val="120"/>
        </w:rPr>
        <w:t>tergiversations </w:t>
      </w:r>
      <w:r>
        <w:rPr>
          <w:color w:val="231F20"/>
          <w:spacing w:val="-2"/>
          <w:w w:val="120"/>
        </w:rPr>
        <w:t>théoriques</w:t>
      </w:r>
      <w:r>
        <w:rPr>
          <w:color w:val="231F20"/>
          <w:spacing w:val="-13"/>
          <w:w w:val="120"/>
        </w:rPr>
        <w:t> </w:t>
      </w:r>
      <w:r>
        <w:rPr>
          <w:color w:val="231F20"/>
          <w:spacing w:val="-2"/>
          <w:w w:val="120"/>
        </w:rPr>
        <w:t>et</w:t>
      </w:r>
      <w:r>
        <w:rPr>
          <w:color w:val="231F20"/>
          <w:spacing w:val="-11"/>
          <w:w w:val="120"/>
        </w:rPr>
        <w:t> </w:t>
      </w:r>
      <w:r>
        <w:rPr>
          <w:color w:val="231F20"/>
          <w:spacing w:val="-2"/>
          <w:w w:val="120"/>
        </w:rPr>
        <w:t>conceptuelles,</w:t>
      </w:r>
      <w:r>
        <w:rPr>
          <w:color w:val="231F20"/>
          <w:spacing w:val="-11"/>
          <w:w w:val="120"/>
        </w:rPr>
        <w:t> </w:t>
      </w:r>
      <w:r>
        <w:rPr>
          <w:color w:val="231F20"/>
          <w:spacing w:val="-2"/>
          <w:w w:val="120"/>
        </w:rPr>
        <w:t>la</w:t>
      </w:r>
      <w:r>
        <w:rPr>
          <w:color w:val="231F20"/>
          <w:spacing w:val="-10"/>
          <w:w w:val="120"/>
        </w:rPr>
        <w:t> </w:t>
      </w:r>
      <w:r>
        <w:rPr>
          <w:color w:val="231F20"/>
          <w:spacing w:val="-2"/>
          <w:w w:val="120"/>
        </w:rPr>
        <w:t>notion</w:t>
      </w:r>
      <w:r>
        <w:rPr>
          <w:color w:val="231F20"/>
          <w:spacing w:val="-11"/>
          <w:w w:val="120"/>
        </w:rPr>
        <w:t> </w:t>
      </w:r>
      <w:r>
        <w:rPr>
          <w:color w:val="231F20"/>
          <w:spacing w:val="-2"/>
          <w:w w:val="120"/>
        </w:rPr>
        <w:t>de</w:t>
      </w:r>
      <w:r>
        <w:rPr>
          <w:color w:val="231F20"/>
          <w:spacing w:val="-11"/>
          <w:w w:val="120"/>
        </w:rPr>
        <w:t> </w:t>
      </w:r>
      <w:r>
        <w:rPr>
          <w:i/>
          <w:color w:val="231F20"/>
          <w:spacing w:val="-2"/>
          <w:w w:val="120"/>
        </w:rPr>
        <w:t>qualité</w:t>
      </w:r>
      <w:r>
        <w:rPr>
          <w:i/>
          <w:color w:val="231F20"/>
          <w:spacing w:val="-11"/>
          <w:w w:val="120"/>
        </w:rPr>
        <w:t> </w:t>
      </w:r>
      <w:r>
        <w:rPr>
          <w:i/>
          <w:color w:val="231F20"/>
          <w:spacing w:val="-2"/>
          <w:w w:val="120"/>
        </w:rPr>
        <w:t>de</w:t>
      </w:r>
      <w:r>
        <w:rPr>
          <w:i/>
          <w:color w:val="231F20"/>
          <w:spacing w:val="-10"/>
          <w:w w:val="120"/>
        </w:rPr>
        <w:t> </w:t>
      </w:r>
      <w:r>
        <w:rPr>
          <w:i/>
          <w:color w:val="231F20"/>
          <w:spacing w:val="-2"/>
          <w:w w:val="120"/>
        </w:rPr>
        <w:t>vie</w:t>
      </w:r>
      <w:r>
        <w:rPr>
          <w:i/>
          <w:color w:val="231F20"/>
          <w:spacing w:val="-11"/>
          <w:w w:val="120"/>
        </w:rPr>
        <w:t> </w:t>
      </w:r>
      <w:r>
        <w:rPr>
          <w:color w:val="231F20"/>
          <w:spacing w:val="-2"/>
          <w:w w:val="120"/>
        </w:rPr>
        <w:t>a</w:t>
      </w:r>
      <w:r>
        <w:rPr>
          <w:color w:val="231F20"/>
          <w:spacing w:val="-11"/>
          <w:w w:val="120"/>
        </w:rPr>
        <w:t> </w:t>
      </w:r>
      <w:r>
        <w:rPr>
          <w:color w:val="231F20"/>
          <w:spacing w:val="-2"/>
          <w:w w:val="120"/>
        </w:rPr>
        <w:t>traversé</w:t>
      </w:r>
      <w:r>
        <w:rPr>
          <w:color w:val="231F20"/>
          <w:spacing w:val="-11"/>
          <w:w w:val="120"/>
        </w:rPr>
        <w:t> </w:t>
      </w:r>
      <w:r>
        <w:rPr>
          <w:color w:val="231F20"/>
          <w:spacing w:val="-2"/>
          <w:w w:val="120"/>
        </w:rPr>
        <w:t>le</w:t>
      </w:r>
      <w:r>
        <w:rPr>
          <w:color w:val="231F20"/>
          <w:spacing w:val="-10"/>
          <w:w w:val="120"/>
        </w:rPr>
        <w:t> </w:t>
      </w:r>
      <w:r>
        <w:rPr>
          <w:color w:val="231F20"/>
          <w:spacing w:val="-2"/>
          <w:w w:val="120"/>
        </w:rPr>
        <w:t>temps </w:t>
      </w:r>
      <w:r>
        <w:rPr>
          <w:color w:val="231F20"/>
          <w:spacing w:val="-4"/>
          <w:w w:val="120"/>
        </w:rPr>
        <w:t>et</w:t>
      </w:r>
      <w:r>
        <w:rPr>
          <w:color w:val="231F20"/>
          <w:spacing w:val="-8"/>
          <w:w w:val="120"/>
        </w:rPr>
        <w:t> </w:t>
      </w:r>
      <w:r>
        <w:rPr>
          <w:color w:val="231F20"/>
          <w:spacing w:val="-4"/>
          <w:w w:val="120"/>
        </w:rPr>
        <w:t>demeure</w:t>
      </w:r>
      <w:r>
        <w:rPr>
          <w:color w:val="231F20"/>
          <w:spacing w:val="-8"/>
          <w:w w:val="120"/>
        </w:rPr>
        <w:t> </w:t>
      </w:r>
      <w:r>
        <w:rPr>
          <w:color w:val="231F20"/>
          <w:spacing w:val="-4"/>
          <w:w w:val="120"/>
        </w:rPr>
        <w:t>encore</w:t>
      </w:r>
      <w:r>
        <w:rPr>
          <w:color w:val="231F20"/>
          <w:spacing w:val="-8"/>
          <w:w w:val="120"/>
        </w:rPr>
        <w:t> </w:t>
      </w:r>
      <w:r>
        <w:rPr>
          <w:color w:val="231F20"/>
          <w:spacing w:val="-4"/>
          <w:w w:val="120"/>
        </w:rPr>
        <w:t>aujourd’hui</w:t>
      </w:r>
      <w:r>
        <w:rPr>
          <w:color w:val="231F20"/>
          <w:spacing w:val="-8"/>
          <w:w w:val="120"/>
        </w:rPr>
        <w:t> </w:t>
      </w:r>
      <w:r>
        <w:rPr>
          <w:color w:val="231F20"/>
          <w:spacing w:val="-4"/>
          <w:w w:val="120"/>
        </w:rPr>
        <w:t>pleinement</w:t>
      </w:r>
      <w:r>
        <w:rPr>
          <w:color w:val="231F20"/>
          <w:spacing w:val="-8"/>
          <w:w w:val="120"/>
        </w:rPr>
        <w:t> </w:t>
      </w:r>
      <w:r>
        <w:rPr>
          <w:color w:val="231F20"/>
          <w:spacing w:val="-4"/>
          <w:w w:val="120"/>
        </w:rPr>
        <w:t>d’actualité</w:t>
      </w:r>
      <w:r>
        <w:rPr>
          <w:color w:val="231F20"/>
          <w:spacing w:val="-8"/>
          <w:w w:val="120"/>
        </w:rPr>
        <w:t> </w:t>
      </w:r>
      <w:r>
        <w:rPr>
          <w:color w:val="231F20"/>
          <w:spacing w:val="-4"/>
          <w:w w:val="120"/>
        </w:rPr>
        <w:t>puisqu’elle</w:t>
      </w:r>
      <w:r>
        <w:rPr>
          <w:color w:val="231F20"/>
          <w:spacing w:val="-8"/>
          <w:w w:val="120"/>
        </w:rPr>
        <w:t> </w:t>
      </w:r>
      <w:r>
        <w:rPr>
          <w:color w:val="231F20"/>
          <w:spacing w:val="-4"/>
          <w:w w:val="120"/>
        </w:rPr>
        <w:t>favorise</w:t>
      </w:r>
    </w:p>
    <w:p>
      <w:pPr>
        <w:spacing w:after="0" w:line="307" w:lineRule="auto"/>
        <w:jc w:val="both"/>
        <w:sectPr>
          <w:footerReference w:type="default" r:id="rId44"/>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3"/>
        <w:jc w:val="both"/>
      </w:pPr>
      <w:r>
        <w:rPr>
          <w:color w:val="231F20"/>
          <w:w w:val="115"/>
        </w:rPr>
        <w:t>le dialogue entre l’organisation, ses employés et la communauté. La qua- </w:t>
      </w:r>
      <w:r>
        <w:rPr>
          <w:color w:val="231F20"/>
          <w:w w:val="120"/>
        </w:rPr>
        <w:t>lité de vie au travail interpelle nécessairement l’ensemble des acteurs </w:t>
      </w:r>
      <w:r>
        <w:rPr>
          <w:color w:val="231F20"/>
          <w:w w:val="115"/>
        </w:rPr>
        <w:t>sociaux</w:t>
      </w:r>
      <w:r>
        <w:rPr>
          <w:color w:val="231F20"/>
          <w:spacing w:val="-13"/>
          <w:w w:val="115"/>
        </w:rPr>
        <w:t> </w:t>
      </w:r>
      <w:r>
        <w:rPr>
          <w:color w:val="231F20"/>
          <w:w w:val="115"/>
        </w:rPr>
        <w:t>:</w:t>
      </w:r>
      <w:r>
        <w:rPr>
          <w:color w:val="231F20"/>
          <w:spacing w:val="-12"/>
          <w:w w:val="115"/>
        </w:rPr>
        <w:t> </w:t>
      </w:r>
      <w:r>
        <w:rPr>
          <w:color w:val="231F20"/>
          <w:w w:val="115"/>
        </w:rPr>
        <w:t>les</w:t>
      </w:r>
      <w:r>
        <w:rPr>
          <w:color w:val="231F20"/>
          <w:spacing w:val="-1"/>
          <w:w w:val="115"/>
        </w:rPr>
        <w:t> </w:t>
      </w:r>
      <w:r>
        <w:rPr>
          <w:color w:val="231F20"/>
          <w:w w:val="115"/>
        </w:rPr>
        <w:t>entreprises, les gestionnaires, les travailleurs, l’État, les syn- </w:t>
      </w:r>
      <w:r>
        <w:rPr>
          <w:color w:val="231F20"/>
          <w:w w:val="120"/>
        </w:rPr>
        <w:t>dicats,</w:t>
      </w:r>
      <w:r>
        <w:rPr>
          <w:color w:val="231F20"/>
          <w:spacing w:val="-8"/>
          <w:w w:val="120"/>
        </w:rPr>
        <w:t> </w:t>
      </w:r>
      <w:r>
        <w:rPr>
          <w:color w:val="231F20"/>
          <w:w w:val="120"/>
        </w:rPr>
        <w:t>etc.</w:t>
      </w:r>
      <w:r>
        <w:rPr>
          <w:color w:val="231F20"/>
          <w:spacing w:val="-8"/>
          <w:w w:val="120"/>
        </w:rPr>
        <w:t> </w:t>
      </w:r>
      <w:r>
        <w:rPr>
          <w:color w:val="231F20"/>
          <w:w w:val="120"/>
        </w:rPr>
        <w:t>D’ailleurs,</w:t>
      </w:r>
      <w:r>
        <w:rPr>
          <w:color w:val="231F20"/>
          <w:spacing w:val="-8"/>
          <w:w w:val="120"/>
        </w:rPr>
        <w:t> </w:t>
      </w:r>
      <w:r>
        <w:rPr>
          <w:color w:val="231F20"/>
          <w:w w:val="120"/>
        </w:rPr>
        <w:t>plusieurs</w:t>
      </w:r>
      <w:r>
        <w:rPr>
          <w:color w:val="231F20"/>
          <w:spacing w:val="-8"/>
          <w:w w:val="120"/>
        </w:rPr>
        <w:t> </w:t>
      </w:r>
      <w:r>
        <w:rPr>
          <w:color w:val="231F20"/>
          <w:w w:val="120"/>
        </w:rPr>
        <w:t>auteurs</w:t>
      </w:r>
      <w:r>
        <w:rPr>
          <w:color w:val="231F20"/>
          <w:spacing w:val="-8"/>
          <w:w w:val="120"/>
        </w:rPr>
        <w:t> </w:t>
      </w:r>
      <w:r>
        <w:rPr>
          <w:color w:val="231F20"/>
          <w:w w:val="120"/>
        </w:rPr>
        <w:t>en</w:t>
      </w:r>
      <w:r>
        <w:rPr>
          <w:color w:val="231F20"/>
          <w:spacing w:val="-8"/>
          <w:w w:val="120"/>
        </w:rPr>
        <w:t> </w:t>
      </w:r>
      <w:r>
        <w:rPr>
          <w:color w:val="231F20"/>
          <w:w w:val="120"/>
        </w:rPr>
        <w:t>appellent</w:t>
      </w:r>
      <w:r>
        <w:rPr>
          <w:color w:val="231F20"/>
          <w:spacing w:val="-8"/>
          <w:w w:val="120"/>
        </w:rPr>
        <w:t> </w:t>
      </w:r>
      <w:r>
        <w:rPr>
          <w:color w:val="231F20"/>
          <w:w w:val="120"/>
        </w:rPr>
        <w:t>à</w:t>
      </w:r>
      <w:r>
        <w:rPr>
          <w:color w:val="231F20"/>
          <w:spacing w:val="-8"/>
          <w:w w:val="120"/>
        </w:rPr>
        <w:t> </w:t>
      </w:r>
      <w:r>
        <w:rPr>
          <w:color w:val="231F20"/>
          <w:w w:val="120"/>
        </w:rPr>
        <w:t>un</w:t>
      </w:r>
      <w:r>
        <w:rPr>
          <w:color w:val="231F20"/>
          <w:spacing w:val="-8"/>
          <w:w w:val="120"/>
        </w:rPr>
        <w:t> </w:t>
      </w:r>
      <w:r>
        <w:rPr>
          <w:color w:val="231F20"/>
          <w:w w:val="120"/>
        </w:rPr>
        <w:t>renouveau</w:t>
      </w:r>
      <w:r>
        <w:rPr>
          <w:color w:val="231F20"/>
          <w:spacing w:val="-8"/>
          <w:w w:val="120"/>
        </w:rPr>
        <w:t> </w:t>
      </w:r>
      <w:r>
        <w:rPr>
          <w:color w:val="231F20"/>
          <w:w w:val="120"/>
        </w:rPr>
        <w:t>de la qualité de vie au travail dans les organisations10.</w:t>
      </w:r>
    </w:p>
    <w:p>
      <w:pPr>
        <w:pStyle w:val="BodyText"/>
        <w:spacing w:line="307" w:lineRule="auto" w:before="79"/>
        <w:ind w:left="790" w:right="630" w:firstLine="250"/>
        <w:jc w:val="both"/>
      </w:pPr>
      <w:r>
        <w:rPr>
          <w:color w:val="231F20"/>
          <w:spacing w:val="-2"/>
          <w:w w:val="120"/>
        </w:rPr>
        <w:t>Il</w:t>
      </w:r>
      <w:r>
        <w:rPr>
          <w:color w:val="231F20"/>
          <w:spacing w:val="-8"/>
          <w:w w:val="120"/>
        </w:rPr>
        <w:t> </w:t>
      </w:r>
      <w:r>
        <w:rPr>
          <w:color w:val="231F20"/>
          <w:spacing w:val="-2"/>
          <w:w w:val="120"/>
        </w:rPr>
        <w:t>y</w:t>
      </w:r>
      <w:r>
        <w:rPr>
          <w:color w:val="231F20"/>
          <w:spacing w:val="-8"/>
          <w:w w:val="120"/>
        </w:rPr>
        <w:t> </w:t>
      </w:r>
      <w:r>
        <w:rPr>
          <w:color w:val="231F20"/>
          <w:spacing w:val="-2"/>
          <w:w w:val="120"/>
        </w:rPr>
        <w:t>a</w:t>
      </w:r>
      <w:r>
        <w:rPr>
          <w:color w:val="231F20"/>
          <w:spacing w:val="-8"/>
          <w:w w:val="120"/>
        </w:rPr>
        <w:t> </w:t>
      </w:r>
      <w:r>
        <w:rPr>
          <w:color w:val="231F20"/>
          <w:spacing w:val="-2"/>
          <w:w w:val="120"/>
        </w:rPr>
        <w:t>bien</w:t>
      </w:r>
      <w:r>
        <w:rPr>
          <w:color w:val="231F20"/>
          <w:spacing w:val="-8"/>
          <w:w w:val="120"/>
        </w:rPr>
        <w:t> </w:t>
      </w:r>
      <w:r>
        <w:rPr>
          <w:color w:val="231F20"/>
          <w:spacing w:val="-2"/>
          <w:w w:val="120"/>
        </w:rPr>
        <w:t>des</w:t>
      </w:r>
      <w:r>
        <w:rPr>
          <w:color w:val="231F20"/>
          <w:spacing w:val="-8"/>
          <w:w w:val="120"/>
        </w:rPr>
        <w:t> </w:t>
      </w:r>
      <w:r>
        <w:rPr>
          <w:color w:val="231F20"/>
          <w:spacing w:val="-2"/>
          <w:w w:val="120"/>
        </w:rPr>
        <w:t>façons</w:t>
      </w:r>
      <w:r>
        <w:rPr>
          <w:color w:val="231F20"/>
          <w:spacing w:val="-8"/>
          <w:w w:val="120"/>
        </w:rPr>
        <w:t> </w:t>
      </w:r>
      <w:r>
        <w:rPr>
          <w:color w:val="231F20"/>
          <w:spacing w:val="-2"/>
          <w:w w:val="120"/>
        </w:rPr>
        <w:t>de</w:t>
      </w:r>
      <w:r>
        <w:rPr>
          <w:color w:val="231F20"/>
          <w:spacing w:val="-8"/>
          <w:w w:val="120"/>
        </w:rPr>
        <w:t> </w:t>
      </w:r>
      <w:r>
        <w:rPr>
          <w:color w:val="231F20"/>
          <w:spacing w:val="-2"/>
          <w:w w:val="120"/>
        </w:rPr>
        <w:t>définir</w:t>
      </w:r>
      <w:r>
        <w:rPr>
          <w:color w:val="231F20"/>
          <w:spacing w:val="-8"/>
          <w:w w:val="120"/>
        </w:rPr>
        <w:t> </w:t>
      </w:r>
      <w:r>
        <w:rPr>
          <w:color w:val="231F20"/>
          <w:spacing w:val="-2"/>
          <w:w w:val="120"/>
        </w:rPr>
        <w:t>la</w:t>
      </w:r>
      <w:r>
        <w:rPr>
          <w:color w:val="231F20"/>
          <w:spacing w:val="-8"/>
          <w:w w:val="120"/>
        </w:rPr>
        <w:t> </w:t>
      </w:r>
      <w:r>
        <w:rPr>
          <w:color w:val="231F20"/>
          <w:spacing w:val="-2"/>
          <w:w w:val="120"/>
        </w:rPr>
        <w:t>qualité</w:t>
      </w:r>
      <w:r>
        <w:rPr>
          <w:color w:val="231F20"/>
          <w:spacing w:val="-8"/>
          <w:w w:val="120"/>
        </w:rPr>
        <w:t> </w:t>
      </w:r>
      <w:r>
        <w:rPr>
          <w:color w:val="231F20"/>
          <w:spacing w:val="-2"/>
          <w:w w:val="120"/>
        </w:rPr>
        <w:t>de</w:t>
      </w:r>
      <w:r>
        <w:rPr>
          <w:color w:val="231F20"/>
          <w:spacing w:val="-8"/>
          <w:w w:val="120"/>
        </w:rPr>
        <w:t> </w:t>
      </w:r>
      <w:r>
        <w:rPr>
          <w:color w:val="231F20"/>
          <w:spacing w:val="-2"/>
          <w:w w:val="120"/>
        </w:rPr>
        <w:t>vie</w:t>
      </w:r>
      <w:r>
        <w:rPr>
          <w:color w:val="231F20"/>
          <w:spacing w:val="-8"/>
          <w:w w:val="120"/>
        </w:rPr>
        <w:t> </w:t>
      </w:r>
      <w:r>
        <w:rPr>
          <w:color w:val="231F20"/>
          <w:spacing w:val="-2"/>
          <w:w w:val="120"/>
        </w:rPr>
        <w:t>au</w:t>
      </w:r>
      <w:r>
        <w:rPr>
          <w:color w:val="231F20"/>
          <w:spacing w:val="-8"/>
          <w:w w:val="120"/>
        </w:rPr>
        <w:t> </w:t>
      </w:r>
      <w:r>
        <w:rPr>
          <w:color w:val="231F20"/>
          <w:spacing w:val="-2"/>
          <w:w w:val="120"/>
        </w:rPr>
        <w:t>travail,</w:t>
      </w:r>
      <w:r>
        <w:rPr>
          <w:color w:val="231F20"/>
          <w:spacing w:val="-8"/>
          <w:w w:val="120"/>
        </w:rPr>
        <w:t> </w:t>
      </w:r>
      <w:r>
        <w:rPr>
          <w:color w:val="231F20"/>
          <w:spacing w:val="-2"/>
          <w:w w:val="120"/>
        </w:rPr>
        <w:t>disons</w:t>
      </w:r>
      <w:r>
        <w:rPr>
          <w:color w:val="231F20"/>
          <w:spacing w:val="-8"/>
          <w:w w:val="120"/>
        </w:rPr>
        <w:t> </w:t>
      </w:r>
      <w:r>
        <w:rPr>
          <w:color w:val="231F20"/>
          <w:spacing w:val="-2"/>
          <w:w w:val="120"/>
        </w:rPr>
        <w:t>que </w:t>
      </w:r>
      <w:r>
        <w:rPr>
          <w:color w:val="231F20"/>
          <w:w w:val="120"/>
        </w:rPr>
        <w:t>c’est</w:t>
      </w:r>
      <w:r>
        <w:rPr>
          <w:color w:val="231F20"/>
          <w:spacing w:val="-10"/>
          <w:w w:val="120"/>
        </w:rPr>
        <w:t> </w:t>
      </w:r>
      <w:r>
        <w:rPr>
          <w:color w:val="231F20"/>
          <w:w w:val="120"/>
        </w:rPr>
        <w:t>un</w:t>
      </w:r>
      <w:r>
        <w:rPr>
          <w:color w:val="231F20"/>
          <w:spacing w:val="-10"/>
          <w:w w:val="120"/>
        </w:rPr>
        <w:t> </w:t>
      </w:r>
      <w:r>
        <w:rPr>
          <w:color w:val="231F20"/>
          <w:w w:val="120"/>
        </w:rPr>
        <w:t>concept</w:t>
      </w:r>
      <w:r>
        <w:rPr>
          <w:color w:val="231F20"/>
          <w:spacing w:val="-10"/>
          <w:w w:val="120"/>
        </w:rPr>
        <w:t> </w:t>
      </w:r>
      <w:r>
        <w:rPr>
          <w:color w:val="231F20"/>
          <w:w w:val="120"/>
        </w:rPr>
        <w:t>dont</w:t>
      </w:r>
      <w:r>
        <w:rPr>
          <w:color w:val="231F20"/>
          <w:spacing w:val="-10"/>
          <w:w w:val="120"/>
        </w:rPr>
        <w:t> </w:t>
      </w:r>
      <w:r>
        <w:rPr>
          <w:color w:val="231F20"/>
          <w:w w:val="120"/>
        </w:rPr>
        <w:t>les</w:t>
      </w:r>
      <w:r>
        <w:rPr>
          <w:color w:val="231F20"/>
          <w:spacing w:val="-10"/>
          <w:w w:val="120"/>
        </w:rPr>
        <w:t> </w:t>
      </w:r>
      <w:r>
        <w:rPr>
          <w:color w:val="231F20"/>
          <w:w w:val="120"/>
        </w:rPr>
        <w:t>frontières</w:t>
      </w:r>
      <w:r>
        <w:rPr>
          <w:color w:val="231F20"/>
          <w:spacing w:val="-10"/>
          <w:w w:val="120"/>
        </w:rPr>
        <w:t> </w:t>
      </w:r>
      <w:r>
        <w:rPr>
          <w:color w:val="231F20"/>
          <w:w w:val="120"/>
        </w:rPr>
        <w:t>sont</w:t>
      </w:r>
      <w:r>
        <w:rPr>
          <w:color w:val="231F20"/>
          <w:spacing w:val="-10"/>
          <w:w w:val="120"/>
        </w:rPr>
        <w:t> </w:t>
      </w:r>
      <w:r>
        <w:rPr>
          <w:color w:val="231F20"/>
          <w:w w:val="120"/>
        </w:rPr>
        <w:t>difficiles</w:t>
      </w:r>
      <w:r>
        <w:rPr>
          <w:color w:val="231F20"/>
          <w:spacing w:val="-10"/>
          <w:w w:val="120"/>
        </w:rPr>
        <w:t> </w:t>
      </w:r>
      <w:r>
        <w:rPr>
          <w:color w:val="231F20"/>
          <w:w w:val="120"/>
        </w:rPr>
        <w:t>à</w:t>
      </w:r>
      <w:r>
        <w:rPr>
          <w:color w:val="231F20"/>
          <w:spacing w:val="-10"/>
          <w:w w:val="120"/>
        </w:rPr>
        <w:t> </w:t>
      </w:r>
      <w:r>
        <w:rPr>
          <w:color w:val="231F20"/>
          <w:w w:val="120"/>
        </w:rPr>
        <w:t>tracer</w:t>
      </w:r>
      <w:r>
        <w:rPr>
          <w:color w:val="231F20"/>
          <w:spacing w:val="-10"/>
          <w:w w:val="120"/>
        </w:rPr>
        <w:t> </w:t>
      </w:r>
      <w:r>
        <w:rPr>
          <w:color w:val="231F20"/>
          <w:w w:val="123"/>
        </w:rPr>
        <w:t>clai</w:t>
      </w:r>
      <w:r>
        <w:rPr>
          <w:color w:val="231F20"/>
          <w:spacing w:val="-1"/>
          <w:w w:val="123"/>
        </w:rPr>
        <w:t>r</w:t>
      </w:r>
      <w:r>
        <w:rPr>
          <w:color w:val="231F20"/>
          <w:w w:val="131"/>
        </w:rPr>
        <w:t>eme</w:t>
      </w:r>
      <w:r>
        <w:rPr>
          <w:color w:val="231F20"/>
          <w:spacing w:val="-3"/>
          <w:w w:val="131"/>
        </w:rPr>
        <w:t>n</w:t>
      </w:r>
      <w:r>
        <w:rPr>
          <w:color w:val="231F20"/>
          <w:w w:val="145"/>
        </w:rPr>
        <w:t>t</w:t>
      </w:r>
      <w:r>
        <w:rPr>
          <w:color w:val="231F20"/>
          <w:w w:val="71"/>
        </w:rPr>
        <w:t>11</w:t>
      </w:r>
      <w:r>
        <w:rPr>
          <w:color w:val="231F20"/>
          <w:spacing w:val="-1"/>
          <w:w w:val="132"/>
        </w:rPr>
        <w:t>.</w:t>
      </w:r>
      <w:r>
        <w:rPr>
          <w:color w:val="231F20"/>
          <w:spacing w:val="-1"/>
          <w:w w:val="119"/>
        </w:rPr>
        <w:t> </w:t>
      </w:r>
      <w:r>
        <w:rPr>
          <w:color w:val="231F20"/>
          <w:w w:val="120"/>
        </w:rPr>
        <w:t>Ainsi,</w:t>
      </w:r>
      <w:r>
        <w:rPr>
          <w:color w:val="231F20"/>
          <w:spacing w:val="-13"/>
          <w:w w:val="120"/>
        </w:rPr>
        <w:t> </w:t>
      </w:r>
      <w:r>
        <w:rPr>
          <w:color w:val="231F20"/>
          <w:w w:val="120"/>
        </w:rPr>
        <w:t>le</w:t>
      </w:r>
      <w:r>
        <w:rPr>
          <w:color w:val="231F20"/>
          <w:spacing w:val="-13"/>
          <w:w w:val="120"/>
        </w:rPr>
        <w:t> </w:t>
      </w:r>
      <w:r>
        <w:rPr>
          <w:color w:val="231F20"/>
          <w:w w:val="120"/>
        </w:rPr>
        <w:t>concept</w:t>
      </w:r>
      <w:r>
        <w:rPr>
          <w:color w:val="231F20"/>
          <w:spacing w:val="-13"/>
          <w:w w:val="120"/>
        </w:rPr>
        <w:t> </w:t>
      </w:r>
      <w:r>
        <w:rPr>
          <w:color w:val="231F20"/>
          <w:w w:val="120"/>
        </w:rPr>
        <w:t>de</w:t>
      </w:r>
      <w:r>
        <w:rPr>
          <w:color w:val="231F20"/>
          <w:spacing w:val="-12"/>
          <w:w w:val="120"/>
        </w:rPr>
        <w:t> </w:t>
      </w:r>
      <w:r>
        <w:rPr>
          <w:color w:val="231F20"/>
          <w:w w:val="120"/>
        </w:rPr>
        <w:t>QVT</w:t>
      </w:r>
      <w:r>
        <w:rPr>
          <w:color w:val="231F20"/>
          <w:spacing w:val="-13"/>
          <w:w w:val="120"/>
        </w:rPr>
        <w:t> </w:t>
      </w:r>
      <w:r>
        <w:rPr>
          <w:color w:val="231F20"/>
          <w:w w:val="120"/>
        </w:rPr>
        <w:t>peut</w:t>
      </w:r>
      <w:r>
        <w:rPr>
          <w:color w:val="231F20"/>
          <w:spacing w:val="-13"/>
          <w:w w:val="120"/>
        </w:rPr>
        <w:t> </w:t>
      </w:r>
      <w:r>
        <w:rPr>
          <w:color w:val="231F20"/>
          <w:w w:val="120"/>
        </w:rPr>
        <w:t>inclure,</w:t>
      </w:r>
      <w:r>
        <w:rPr>
          <w:color w:val="231F20"/>
          <w:spacing w:val="-13"/>
          <w:w w:val="120"/>
        </w:rPr>
        <w:t> </w:t>
      </w:r>
      <w:r>
        <w:rPr>
          <w:color w:val="231F20"/>
          <w:w w:val="120"/>
        </w:rPr>
        <w:t>entre</w:t>
      </w:r>
      <w:r>
        <w:rPr>
          <w:color w:val="231F20"/>
          <w:spacing w:val="-12"/>
          <w:w w:val="120"/>
        </w:rPr>
        <w:t> </w:t>
      </w:r>
      <w:r>
        <w:rPr>
          <w:color w:val="231F20"/>
          <w:w w:val="120"/>
        </w:rPr>
        <w:t>autres,</w:t>
      </w:r>
      <w:r>
        <w:rPr>
          <w:color w:val="231F20"/>
          <w:spacing w:val="-13"/>
          <w:w w:val="120"/>
        </w:rPr>
        <w:t> </w:t>
      </w:r>
      <w:r>
        <w:rPr>
          <w:color w:val="231F20"/>
          <w:w w:val="120"/>
        </w:rPr>
        <w:t>la</w:t>
      </w:r>
      <w:r>
        <w:rPr>
          <w:color w:val="231F20"/>
          <w:spacing w:val="-13"/>
          <w:w w:val="120"/>
        </w:rPr>
        <w:t> </w:t>
      </w:r>
      <w:r>
        <w:rPr>
          <w:color w:val="231F20"/>
          <w:w w:val="120"/>
        </w:rPr>
        <w:t>rémunération,</w:t>
      </w:r>
      <w:r>
        <w:rPr>
          <w:color w:val="231F20"/>
          <w:spacing w:val="-13"/>
          <w:w w:val="120"/>
        </w:rPr>
        <w:t> </w:t>
      </w:r>
      <w:r>
        <w:rPr>
          <w:color w:val="231F20"/>
          <w:w w:val="120"/>
        </w:rPr>
        <w:t>les </w:t>
      </w:r>
      <w:r>
        <w:rPr>
          <w:color w:val="231F20"/>
          <w:w w:val="115"/>
        </w:rPr>
        <w:t>avantages</w:t>
      </w:r>
      <w:r>
        <w:rPr>
          <w:color w:val="231F20"/>
          <w:spacing w:val="-4"/>
          <w:w w:val="115"/>
        </w:rPr>
        <w:t> </w:t>
      </w:r>
      <w:r>
        <w:rPr>
          <w:color w:val="231F20"/>
          <w:w w:val="115"/>
        </w:rPr>
        <w:t>collectifs,</w:t>
      </w:r>
      <w:r>
        <w:rPr>
          <w:color w:val="231F20"/>
          <w:spacing w:val="-5"/>
          <w:w w:val="115"/>
        </w:rPr>
        <w:t> </w:t>
      </w:r>
      <w:r>
        <w:rPr>
          <w:color w:val="231F20"/>
          <w:w w:val="115"/>
        </w:rPr>
        <w:t>les</w:t>
      </w:r>
      <w:r>
        <w:rPr>
          <w:color w:val="231F20"/>
          <w:spacing w:val="-4"/>
          <w:w w:val="115"/>
        </w:rPr>
        <w:t> </w:t>
      </w:r>
      <w:r>
        <w:rPr>
          <w:color w:val="231F20"/>
          <w:w w:val="115"/>
        </w:rPr>
        <w:t>occasions</w:t>
      </w:r>
      <w:r>
        <w:rPr>
          <w:color w:val="231F20"/>
          <w:spacing w:val="-5"/>
          <w:w w:val="115"/>
        </w:rPr>
        <w:t> </w:t>
      </w:r>
      <w:r>
        <w:rPr>
          <w:color w:val="231F20"/>
          <w:w w:val="115"/>
        </w:rPr>
        <w:t>de</w:t>
      </w:r>
      <w:r>
        <w:rPr>
          <w:color w:val="231F20"/>
          <w:spacing w:val="-4"/>
          <w:w w:val="115"/>
        </w:rPr>
        <w:t> </w:t>
      </w:r>
      <w:r>
        <w:rPr>
          <w:color w:val="231F20"/>
          <w:w w:val="115"/>
        </w:rPr>
        <w:t>formation,</w:t>
      </w:r>
      <w:r>
        <w:rPr>
          <w:color w:val="231F20"/>
          <w:spacing w:val="-5"/>
          <w:w w:val="115"/>
        </w:rPr>
        <w:t> </w:t>
      </w:r>
      <w:r>
        <w:rPr>
          <w:color w:val="231F20"/>
          <w:w w:val="115"/>
        </w:rPr>
        <w:t>les</w:t>
      </w:r>
      <w:r>
        <w:rPr>
          <w:color w:val="231F20"/>
          <w:spacing w:val="-4"/>
          <w:w w:val="115"/>
        </w:rPr>
        <w:t> </w:t>
      </w:r>
      <w:r>
        <w:rPr>
          <w:color w:val="231F20"/>
          <w:w w:val="115"/>
        </w:rPr>
        <w:t>congés,</w:t>
      </w:r>
      <w:r>
        <w:rPr>
          <w:color w:val="231F20"/>
          <w:spacing w:val="-5"/>
          <w:w w:val="115"/>
        </w:rPr>
        <w:t> </w:t>
      </w:r>
      <w:r>
        <w:rPr>
          <w:color w:val="231F20"/>
          <w:w w:val="115"/>
        </w:rPr>
        <w:t>la</w:t>
      </w:r>
      <w:r>
        <w:rPr>
          <w:color w:val="231F20"/>
          <w:spacing w:val="-4"/>
          <w:w w:val="115"/>
        </w:rPr>
        <w:t> </w:t>
      </w:r>
      <w:r>
        <w:rPr>
          <w:color w:val="231F20"/>
          <w:w w:val="115"/>
        </w:rPr>
        <w:t>stabilité</w:t>
      </w:r>
      <w:r>
        <w:rPr>
          <w:color w:val="231F20"/>
          <w:spacing w:val="-5"/>
          <w:w w:val="115"/>
        </w:rPr>
        <w:t> </w:t>
      </w:r>
      <w:r>
        <w:rPr>
          <w:color w:val="231F20"/>
          <w:w w:val="115"/>
        </w:rPr>
        <w:t>de l’emploi et, bien sûr, l’équilibre emploi-famille12. Cependant, une façon </w:t>
      </w:r>
      <w:r>
        <w:rPr>
          <w:color w:val="231F20"/>
          <w:w w:val="120"/>
        </w:rPr>
        <w:t>plus intégrative et holistique de circonscrire la QVT combine quatre éléments inspirés des attentes et de points de vue exprimés par les travailleurs eux-mêmes à l’égard de leur entreprise:</w:t>
      </w:r>
    </w:p>
    <w:p>
      <w:pPr>
        <w:pStyle w:val="ListParagraph"/>
        <w:numPr>
          <w:ilvl w:val="1"/>
          <w:numId w:val="12"/>
        </w:numPr>
        <w:tabs>
          <w:tab w:pos="1291" w:val="left" w:leader="none"/>
        </w:tabs>
        <w:spacing w:line="307" w:lineRule="auto" w:before="78" w:after="0"/>
        <w:ind w:left="1290" w:right="634" w:hanging="251"/>
        <w:jc w:val="both"/>
        <w:rPr>
          <w:sz w:val="17"/>
        </w:rPr>
      </w:pPr>
      <w:r>
        <w:rPr>
          <w:b/>
          <w:color w:val="231F20"/>
          <w:w w:val="120"/>
          <w:sz w:val="17"/>
        </w:rPr>
        <w:t>Le</w:t>
      </w:r>
      <w:r>
        <w:rPr>
          <w:b/>
          <w:color w:val="231F20"/>
          <w:w w:val="120"/>
          <w:sz w:val="17"/>
        </w:rPr>
        <w:t> sentiment</w:t>
      </w:r>
      <w:r>
        <w:rPr>
          <w:b/>
          <w:color w:val="231F20"/>
          <w:w w:val="120"/>
          <w:sz w:val="17"/>
        </w:rPr>
        <w:t> d’être</w:t>
      </w:r>
      <w:r>
        <w:rPr>
          <w:b/>
          <w:color w:val="231F20"/>
          <w:w w:val="120"/>
          <w:sz w:val="17"/>
        </w:rPr>
        <w:t> soutenu</w:t>
      </w:r>
      <w:r>
        <w:rPr>
          <w:b/>
          <w:color w:val="231F20"/>
          <w:w w:val="120"/>
          <w:sz w:val="17"/>
        </w:rPr>
        <w:t> et</w:t>
      </w:r>
      <w:r>
        <w:rPr>
          <w:b/>
          <w:color w:val="231F20"/>
          <w:w w:val="120"/>
          <w:sz w:val="17"/>
        </w:rPr>
        <w:t> bien</w:t>
      </w:r>
      <w:r>
        <w:rPr>
          <w:b/>
          <w:color w:val="231F20"/>
          <w:w w:val="120"/>
          <w:sz w:val="17"/>
        </w:rPr>
        <w:t> traité</w:t>
      </w:r>
      <w:r>
        <w:rPr>
          <w:b/>
          <w:color w:val="231F20"/>
          <w:w w:val="120"/>
          <w:sz w:val="17"/>
        </w:rPr>
        <w:t> par</w:t>
      </w:r>
      <w:r>
        <w:rPr>
          <w:b/>
          <w:color w:val="231F20"/>
          <w:w w:val="120"/>
          <w:sz w:val="17"/>
        </w:rPr>
        <w:t> l’entreprise</w:t>
      </w:r>
      <w:r>
        <w:rPr>
          <w:color w:val="231F20"/>
          <w:w w:val="120"/>
          <w:sz w:val="17"/>
        </w:rPr>
        <w:t>. </w:t>
      </w:r>
      <w:r>
        <w:rPr>
          <w:color w:val="231F20"/>
          <w:spacing w:val="-2"/>
          <w:w w:val="120"/>
          <w:sz w:val="17"/>
        </w:rPr>
        <w:t>Certaines</w:t>
      </w:r>
      <w:r>
        <w:rPr>
          <w:color w:val="231F20"/>
          <w:spacing w:val="-4"/>
          <w:w w:val="120"/>
          <w:sz w:val="17"/>
        </w:rPr>
        <w:t> </w:t>
      </w:r>
      <w:r>
        <w:rPr>
          <w:color w:val="231F20"/>
          <w:spacing w:val="-2"/>
          <w:w w:val="120"/>
          <w:sz w:val="17"/>
        </w:rPr>
        <w:t>entreprises</w:t>
      </w:r>
      <w:r>
        <w:rPr>
          <w:color w:val="231F20"/>
          <w:spacing w:val="-4"/>
          <w:w w:val="120"/>
          <w:sz w:val="17"/>
        </w:rPr>
        <w:t> </w:t>
      </w:r>
      <w:r>
        <w:rPr>
          <w:color w:val="231F20"/>
          <w:spacing w:val="-2"/>
          <w:w w:val="120"/>
          <w:sz w:val="17"/>
        </w:rPr>
        <w:t>offrent</w:t>
      </w:r>
      <w:r>
        <w:rPr>
          <w:color w:val="231F20"/>
          <w:spacing w:val="-4"/>
          <w:w w:val="120"/>
          <w:sz w:val="17"/>
        </w:rPr>
        <w:t> </w:t>
      </w:r>
      <w:r>
        <w:rPr>
          <w:color w:val="231F20"/>
          <w:spacing w:val="-2"/>
          <w:w w:val="120"/>
          <w:sz w:val="17"/>
        </w:rPr>
        <w:t>à</w:t>
      </w:r>
      <w:r>
        <w:rPr>
          <w:color w:val="231F20"/>
          <w:spacing w:val="-4"/>
          <w:w w:val="120"/>
          <w:sz w:val="17"/>
        </w:rPr>
        <w:t> </w:t>
      </w:r>
      <w:r>
        <w:rPr>
          <w:color w:val="231F20"/>
          <w:spacing w:val="-2"/>
          <w:w w:val="120"/>
          <w:sz w:val="17"/>
        </w:rPr>
        <w:t>leurs</w:t>
      </w:r>
      <w:r>
        <w:rPr>
          <w:color w:val="231F20"/>
          <w:spacing w:val="-4"/>
          <w:w w:val="120"/>
          <w:sz w:val="17"/>
        </w:rPr>
        <w:t> </w:t>
      </w:r>
      <w:r>
        <w:rPr>
          <w:color w:val="231F20"/>
          <w:spacing w:val="-2"/>
          <w:w w:val="120"/>
          <w:sz w:val="17"/>
        </w:rPr>
        <w:t>employés</w:t>
      </w:r>
      <w:r>
        <w:rPr>
          <w:color w:val="231F20"/>
          <w:spacing w:val="-4"/>
          <w:w w:val="120"/>
          <w:sz w:val="17"/>
        </w:rPr>
        <w:t> </w:t>
      </w:r>
      <w:r>
        <w:rPr>
          <w:color w:val="231F20"/>
          <w:spacing w:val="-2"/>
          <w:w w:val="120"/>
          <w:sz w:val="17"/>
        </w:rPr>
        <w:t>un</w:t>
      </w:r>
      <w:r>
        <w:rPr>
          <w:color w:val="231F20"/>
          <w:spacing w:val="-4"/>
          <w:w w:val="120"/>
          <w:sz w:val="17"/>
        </w:rPr>
        <w:t> </w:t>
      </w:r>
      <w:r>
        <w:rPr>
          <w:color w:val="231F20"/>
          <w:spacing w:val="-2"/>
          <w:w w:val="120"/>
          <w:sz w:val="17"/>
        </w:rPr>
        <w:t>train</w:t>
      </w:r>
      <w:r>
        <w:rPr>
          <w:color w:val="231F20"/>
          <w:spacing w:val="-4"/>
          <w:w w:val="120"/>
          <w:sz w:val="17"/>
        </w:rPr>
        <w:t> </w:t>
      </w:r>
      <w:r>
        <w:rPr>
          <w:color w:val="231F20"/>
          <w:spacing w:val="-2"/>
          <w:w w:val="120"/>
          <w:sz w:val="17"/>
        </w:rPr>
        <w:t>de</w:t>
      </w:r>
      <w:r>
        <w:rPr>
          <w:color w:val="231F20"/>
          <w:spacing w:val="-4"/>
          <w:w w:val="120"/>
          <w:sz w:val="17"/>
        </w:rPr>
        <w:t> </w:t>
      </w:r>
      <w:r>
        <w:rPr>
          <w:color w:val="231F20"/>
          <w:spacing w:val="-2"/>
          <w:w w:val="120"/>
          <w:sz w:val="17"/>
        </w:rPr>
        <w:t>services </w:t>
      </w:r>
      <w:r>
        <w:rPr>
          <w:color w:val="231F20"/>
          <w:w w:val="120"/>
          <w:sz w:val="17"/>
        </w:rPr>
        <w:t>personnels</w:t>
      </w:r>
      <w:r>
        <w:rPr>
          <w:color w:val="231F20"/>
          <w:spacing w:val="-15"/>
          <w:w w:val="120"/>
          <w:sz w:val="17"/>
        </w:rPr>
        <w:t> </w:t>
      </w:r>
      <w:r>
        <w:rPr>
          <w:color w:val="231F20"/>
          <w:w w:val="120"/>
          <w:sz w:val="17"/>
        </w:rPr>
        <w:t>qui</w:t>
      </w:r>
      <w:r>
        <w:rPr>
          <w:color w:val="231F20"/>
          <w:spacing w:val="-13"/>
          <w:w w:val="120"/>
          <w:sz w:val="17"/>
        </w:rPr>
        <w:t> </w:t>
      </w:r>
      <w:r>
        <w:rPr>
          <w:color w:val="231F20"/>
          <w:w w:val="120"/>
          <w:sz w:val="17"/>
        </w:rPr>
        <w:t>s’ajoutent</w:t>
      </w:r>
      <w:r>
        <w:rPr>
          <w:color w:val="231F20"/>
          <w:spacing w:val="-13"/>
          <w:w w:val="120"/>
          <w:sz w:val="17"/>
        </w:rPr>
        <w:t> </w:t>
      </w:r>
      <w:r>
        <w:rPr>
          <w:color w:val="231F20"/>
          <w:w w:val="120"/>
          <w:sz w:val="17"/>
        </w:rPr>
        <w:t>à</w:t>
      </w:r>
      <w:r>
        <w:rPr>
          <w:color w:val="231F20"/>
          <w:spacing w:val="-12"/>
          <w:w w:val="120"/>
          <w:sz w:val="17"/>
        </w:rPr>
        <w:t> </w:t>
      </w:r>
      <w:r>
        <w:rPr>
          <w:color w:val="231F20"/>
          <w:w w:val="120"/>
          <w:sz w:val="17"/>
        </w:rPr>
        <w:t>leurs</w:t>
      </w:r>
      <w:r>
        <w:rPr>
          <w:color w:val="231F20"/>
          <w:spacing w:val="-13"/>
          <w:w w:val="120"/>
          <w:sz w:val="17"/>
        </w:rPr>
        <w:t> </w:t>
      </w:r>
      <w:r>
        <w:rPr>
          <w:color w:val="231F20"/>
          <w:w w:val="120"/>
          <w:sz w:val="17"/>
        </w:rPr>
        <w:t>avantages</w:t>
      </w:r>
      <w:r>
        <w:rPr>
          <w:color w:val="231F20"/>
          <w:spacing w:val="-13"/>
          <w:w w:val="120"/>
          <w:sz w:val="17"/>
        </w:rPr>
        <w:t> </w:t>
      </w:r>
      <w:r>
        <w:rPr>
          <w:color w:val="231F20"/>
          <w:w w:val="120"/>
          <w:sz w:val="17"/>
        </w:rPr>
        <w:t>sociaux.</w:t>
      </w:r>
      <w:r>
        <w:rPr>
          <w:color w:val="231F20"/>
          <w:spacing w:val="-13"/>
          <w:w w:val="120"/>
          <w:sz w:val="17"/>
        </w:rPr>
        <w:t> </w:t>
      </w:r>
      <w:r>
        <w:rPr>
          <w:color w:val="231F20"/>
          <w:w w:val="120"/>
          <w:sz w:val="17"/>
        </w:rPr>
        <w:t>En</w:t>
      </w:r>
      <w:r>
        <w:rPr>
          <w:color w:val="231F20"/>
          <w:spacing w:val="-12"/>
          <w:w w:val="120"/>
          <w:sz w:val="17"/>
        </w:rPr>
        <w:t> </w:t>
      </w:r>
      <w:r>
        <w:rPr>
          <w:color w:val="231F20"/>
          <w:w w:val="120"/>
          <w:sz w:val="17"/>
        </w:rPr>
        <w:t>Belgique, par exemple, il est de pratique courante d’offrir des services juridiques gratuits aux employés en instance de divorce.</w:t>
      </w:r>
    </w:p>
    <w:p>
      <w:pPr>
        <w:pStyle w:val="ListParagraph"/>
        <w:numPr>
          <w:ilvl w:val="1"/>
          <w:numId w:val="12"/>
        </w:numPr>
        <w:tabs>
          <w:tab w:pos="1291" w:val="left" w:leader="none"/>
        </w:tabs>
        <w:spacing w:line="307" w:lineRule="auto" w:before="79" w:after="0"/>
        <w:ind w:left="1290" w:right="636" w:hanging="251"/>
        <w:jc w:val="both"/>
        <w:rPr>
          <w:sz w:val="17"/>
        </w:rPr>
      </w:pPr>
      <w:r>
        <w:rPr>
          <w:b/>
          <w:color w:val="231F20"/>
          <w:w w:val="115"/>
          <w:sz w:val="17"/>
        </w:rPr>
        <w:t>Le</w:t>
      </w:r>
      <w:r>
        <w:rPr>
          <w:b/>
          <w:color w:val="231F20"/>
          <w:spacing w:val="-3"/>
          <w:w w:val="115"/>
          <w:sz w:val="17"/>
        </w:rPr>
        <w:t> </w:t>
      </w:r>
      <w:r>
        <w:rPr>
          <w:b/>
          <w:color w:val="231F20"/>
          <w:w w:val="115"/>
          <w:sz w:val="17"/>
        </w:rPr>
        <w:t>souci</w:t>
      </w:r>
      <w:r>
        <w:rPr>
          <w:b/>
          <w:color w:val="231F20"/>
          <w:spacing w:val="-3"/>
          <w:w w:val="115"/>
          <w:sz w:val="17"/>
        </w:rPr>
        <w:t> </w:t>
      </w:r>
      <w:r>
        <w:rPr>
          <w:b/>
          <w:color w:val="231F20"/>
          <w:w w:val="115"/>
          <w:sz w:val="17"/>
        </w:rPr>
        <w:t>qu’a</w:t>
      </w:r>
      <w:r>
        <w:rPr>
          <w:b/>
          <w:color w:val="231F20"/>
          <w:spacing w:val="-3"/>
          <w:w w:val="115"/>
          <w:sz w:val="17"/>
        </w:rPr>
        <w:t> </w:t>
      </w:r>
      <w:r>
        <w:rPr>
          <w:b/>
          <w:color w:val="231F20"/>
          <w:w w:val="115"/>
          <w:sz w:val="17"/>
        </w:rPr>
        <w:t>l’entreprise</w:t>
      </w:r>
      <w:r>
        <w:rPr>
          <w:b/>
          <w:color w:val="231F20"/>
          <w:spacing w:val="-3"/>
          <w:w w:val="115"/>
          <w:sz w:val="17"/>
        </w:rPr>
        <w:t> </w:t>
      </w:r>
      <w:r>
        <w:rPr>
          <w:b/>
          <w:color w:val="231F20"/>
          <w:w w:val="115"/>
          <w:sz w:val="17"/>
        </w:rPr>
        <w:t>de</w:t>
      </w:r>
      <w:r>
        <w:rPr>
          <w:b/>
          <w:color w:val="231F20"/>
          <w:spacing w:val="-3"/>
          <w:w w:val="115"/>
          <w:sz w:val="17"/>
        </w:rPr>
        <w:t> </w:t>
      </w:r>
      <w:r>
        <w:rPr>
          <w:b/>
          <w:color w:val="231F20"/>
          <w:w w:val="115"/>
          <w:sz w:val="17"/>
        </w:rPr>
        <w:t>faciliter</w:t>
      </w:r>
      <w:r>
        <w:rPr>
          <w:b/>
          <w:color w:val="231F20"/>
          <w:spacing w:val="-3"/>
          <w:w w:val="115"/>
          <w:sz w:val="17"/>
        </w:rPr>
        <w:t> </w:t>
      </w:r>
      <w:r>
        <w:rPr>
          <w:b/>
          <w:color w:val="231F20"/>
          <w:w w:val="115"/>
          <w:sz w:val="17"/>
        </w:rPr>
        <w:t>la</w:t>
      </w:r>
      <w:r>
        <w:rPr>
          <w:b/>
          <w:color w:val="231F20"/>
          <w:spacing w:val="-3"/>
          <w:w w:val="115"/>
          <w:sz w:val="17"/>
        </w:rPr>
        <w:t> </w:t>
      </w:r>
      <w:r>
        <w:rPr>
          <w:b/>
          <w:color w:val="231F20"/>
          <w:w w:val="115"/>
          <w:sz w:val="17"/>
        </w:rPr>
        <w:t>vie</w:t>
      </w:r>
      <w:r>
        <w:rPr>
          <w:b/>
          <w:color w:val="231F20"/>
          <w:spacing w:val="-3"/>
          <w:w w:val="115"/>
          <w:sz w:val="17"/>
        </w:rPr>
        <w:t> </w:t>
      </w:r>
      <w:r>
        <w:rPr>
          <w:b/>
          <w:color w:val="231F20"/>
          <w:w w:val="115"/>
          <w:sz w:val="17"/>
        </w:rPr>
        <w:t>de</w:t>
      </w:r>
      <w:r>
        <w:rPr>
          <w:b/>
          <w:color w:val="231F20"/>
          <w:spacing w:val="-3"/>
          <w:w w:val="115"/>
          <w:sz w:val="17"/>
        </w:rPr>
        <w:t> </w:t>
      </w:r>
      <w:r>
        <w:rPr>
          <w:b/>
          <w:color w:val="231F20"/>
          <w:w w:val="115"/>
          <w:sz w:val="17"/>
        </w:rPr>
        <w:t>ses</w:t>
      </w:r>
      <w:r>
        <w:rPr>
          <w:b/>
          <w:color w:val="231F20"/>
          <w:spacing w:val="-3"/>
          <w:w w:val="115"/>
          <w:sz w:val="17"/>
        </w:rPr>
        <w:t> </w:t>
      </w:r>
      <w:r>
        <w:rPr>
          <w:b/>
          <w:color w:val="231F20"/>
          <w:w w:val="115"/>
          <w:sz w:val="17"/>
        </w:rPr>
        <w:t>employés</w:t>
      </w:r>
      <w:r>
        <w:rPr>
          <w:color w:val="231F20"/>
          <w:w w:val="115"/>
          <w:sz w:val="17"/>
        </w:rPr>
        <w:t>. En </w:t>
      </w:r>
      <w:r>
        <w:rPr>
          <w:color w:val="231F20"/>
          <w:w w:val="120"/>
          <w:sz w:val="17"/>
        </w:rPr>
        <w:t>Suède,</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sociétés</w:t>
      </w:r>
      <w:r>
        <w:rPr>
          <w:color w:val="231F20"/>
          <w:spacing w:val="-12"/>
          <w:w w:val="120"/>
          <w:sz w:val="17"/>
        </w:rPr>
        <w:t> </w:t>
      </w:r>
      <w:r>
        <w:rPr>
          <w:color w:val="231F20"/>
          <w:w w:val="120"/>
          <w:sz w:val="17"/>
        </w:rPr>
        <w:t>ont</w:t>
      </w:r>
      <w:r>
        <w:rPr>
          <w:color w:val="231F20"/>
          <w:spacing w:val="-13"/>
          <w:w w:val="120"/>
          <w:sz w:val="17"/>
        </w:rPr>
        <w:t> </w:t>
      </w:r>
      <w:r>
        <w:rPr>
          <w:color w:val="231F20"/>
          <w:w w:val="120"/>
          <w:sz w:val="17"/>
        </w:rPr>
        <w:t>conclu</w:t>
      </w:r>
      <w:r>
        <w:rPr>
          <w:color w:val="231F20"/>
          <w:spacing w:val="-13"/>
          <w:w w:val="120"/>
          <w:sz w:val="17"/>
        </w:rPr>
        <w:t> </w:t>
      </w:r>
      <w:r>
        <w:rPr>
          <w:color w:val="231F20"/>
          <w:w w:val="120"/>
          <w:sz w:val="17"/>
        </w:rPr>
        <w:t>avec</w:t>
      </w:r>
      <w:r>
        <w:rPr>
          <w:color w:val="231F20"/>
          <w:spacing w:val="-12"/>
          <w:w w:val="120"/>
          <w:sz w:val="17"/>
        </w:rPr>
        <w:t> </w:t>
      </w:r>
      <w:r>
        <w:rPr>
          <w:color w:val="231F20"/>
          <w:w w:val="120"/>
          <w:sz w:val="17"/>
        </w:rPr>
        <w:t>certains</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leurs</w:t>
      </w:r>
      <w:r>
        <w:rPr>
          <w:color w:val="231F20"/>
          <w:spacing w:val="-12"/>
          <w:w w:val="120"/>
          <w:sz w:val="17"/>
        </w:rPr>
        <w:t> </w:t>
      </w:r>
      <w:r>
        <w:rPr>
          <w:color w:val="231F20"/>
          <w:w w:val="120"/>
          <w:sz w:val="17"/>
        </w:rPr>
        <w:t>fournisseurs des ententes permettant à leurs employés de faire des achats par </w:t>
      </w:r>
      <w:r>
        <w:rPr>
          <w:color w:val="231F20"/>
          <w:spacing w:val="-2"/>
          <w:w w:val="120"/>
          <w:sz w:val="17"/>
        </w:rPr>
        <w:t>l’intranet</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l’entreprise</w:t>
      </w:r>
      <w:r>
        <w:rPr>
          <w:color w:val="231F20"/>
          <w:spacing w:val="-11"/>
          <w:w w:val="120"/>
          <w:sz w:val="17"/>
        </w:rPr>
        <w:t> </w:t>
      </w:r>
      <w:r>
        <w:rPr>
          <w:color w:val="231F20"/>
          <w:spacing w:val="-2"/>
          <w:w w:val="120"/>
          <w:sz w:val="17"/>
        </w:rPr>
        <w:t>et</w:t>
      </w:r>
      <w:r>
        <w:rPr>
          <w:color w:val="231F20"/>
          <w:spacing w:val="-10"/>
          <w:w w:val="120"/>
          <w:sz w:val="17"/>
        </w:rPr>
        <w:t> </w:t>
      </w:r>
      <w:r>
        <w:rPr>
          <w:color w:val="231F20"/>
          <w:spacing w:val="-2"/>
          <w:w w:val="120"/>
          <w:sz w:val="17"/>
        </w:rPr>
        <w:t>de</w:t>
      </w:r>
      <w:r>
        <w:rPr>
          <w:color w:val="231F20"/>
          <w:spacing w:val="-11"/>
          <w:w w:val="120"/>
          <w:sz w:val="17"/>
        </w:rPr>
        <w:t> </w:t>
      </w:r>
      <w:r>
        <w:rPr>
          <w:color w:val="231F20"/>
          <w:spacing w:val="-2"/>
          <w:w w:val="120"/>
          <w:sz w:val="17"/>
        </w:rPr>
        <w:t>profiter</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rabais</w:t>
      </w:r>
      <w:r>
        <w:rPr>
          <w:color w:val="231F20"/>
          <w:spacing w:val="-10"/>
          <w:w w:val="120"/>
          <w:sz w:val="17"/>
        </w:rPr>
        <w:t> </w:t>
      </w:r>
      <w:r>
        <w:rPr>
          <w:color w:val="231F20"/>
          <w:spacing w:val="-2"/>
          <w:w w:val="120"/>
          <w:sz w:val="17"/>
        </w:rPr>
        <w:t>considérables</w:t>
      </w:r>
      <w:r>
        <w:rPr>
          <w:color w:val="231F20"/>
          <w:spacing w:val="-11"/>
          <w:w w:val="120"/>
          <w:sz w:val="17"/>
        </w:rPr>
        <w:t> </w:t>
      </w:r>
      <w:r>
        <w:rPr>
          <w:color w:val="231F20"/>
          <w:spacing w:val="-2"/>
          <w:w w:val="120"/>
          <w:sz w:val="17"/>
        </w:rPr>
        <w:t>et</w:t>
      </w:r>
      <w:r>
        <w:rPr>
          <w:color w:val="231F20"/>
          <w:spacing w:val="-11"/>
          <w:w w:val="120"/>
          <w:sz w:val="17"/>
        </w:rPr>
        <w:t> </w:t>
      </w:r>
      <w:r>
        <w:rPr>
          <w:color w:val="231F20"/>
          <w:spacing w:val="-2"/>
          <w:w w:val="120"/>
          <w:sz w:val="17"/>
        </w:rPr>
        <w:t>de </w:t>
      </w:r>
      <w:r>
        <w:rPr>
          <w:color w:val="231F20"/>
          <w:w w:val="120"/>
          <w:sz w:val="17"/>
        </w:rPr>
        <w:t>la livraison gratuite des biens à domicile ou au lieu de travail.</w:t>
      </w:r>
    </w:p>
    <w:p>
      <w:pPr>
        <w:pStyle w:val="ListParagraph"/>
        <w:numPr>
          <w:ilvl w:val="1"/>
          <w:numId w:val="12"/>
        </w:numPr>
        <w:tabs>
          <w:tab w:pos="1291" w:val="left" w:leader="none"/>
        </w:tabs>
        <w:spacing w:line="307" w:lineRule="auto" w:before="78" w:after="0"/>
        <w:ind w:left="1290" w:right="636" w:hanging="251"/>
        <w:jc w:val="both"/>
        <w:rPr>
          <w:sz w:val="17"/>
        </w:rPr>
      </w:pPr>
      <w:r>
        <w:rPr>
          <w:b/>
          <w:color w:val="231F20"/>
          <w:w w:val="115"/>
          <w:sz w:val="17"/>
        </w:rPr>
        <w:t>La</w:t>
      </w:r>
      <w:r>
        <w:rPr>
          <w:b/>
          <w:color w:val="231F20"/>
          <w:spacing w:val="-3"/>
          <w:w w:val="115"/>
          <w:sz w:val="17"/>
        </w:rPr>
        <w:t> </w:t>
      </w:r>
      <w:r>
        <w:rPr>
          <w:b/>
          <w:color w:val="231F20"/>
          <w:w w:val="115"/>
          <w:sz w:val="17"/>
        </w:rPr>
        <w:t>nécessité</w:t>
      </w:r>
      <w:r>
        <w:rPr>
          <w:b/>
          <w:color w:val="231F20"/>
          <w:spacing w:val="-3"/>
          <w:w w:val="115"/>
          <w:sz w:val="17"/>
        </w:rPr>
        <w:t> </w:t>
      </w:r>
      <w:r>
        <w:rPr>
          <w:b/>
          <w:color w:val="231F20"/>
          <w:w w:val="115"/>
          <w:sz w:val="17"/>
        </w:rPr>
        <w:t>de</w:t>
      </w:r>
      <w:r>
        <w:rPr>
          <w:b/>
          <w:color w:val="231F20"/>
          <w:spacing w:val="-3"/>
          <w:w w:val="115"/>
          <w:sz w:val="17"/>
        </w:rPr>
        <w:t> </w:t>
      </w:r>
      <w:r>
        <w:rPr>
          <w:b/>
          <w:color w:val="231F20"/>
          <w:w w:val="115"/>
          <w:sz w:val="17"/>
        </w:rPr>
        <w:t>combler</w:t>
      </w:r>
      <w:r>
        <w:rPr>
          <w:b/>
          <w:color w:val="231F20"/>
          <w:spacing w:val="-3"/>
          <w:w w:val="115"/>
          <w:sz w:val="17"/>
        </w:rPr>
        <w:t> </w:t>
      </w:r>
      <w:r>
        <w:rPr>
          <w:b/>
          <w:color w:val="231F20"/>
          <w:w w:val="115"/>
          <w:sz w:val="17"/>
        </w:rPr>
        <w:t>ses</w:t>
      </w:r>
      <w:r>
        <w:rPr>
          <w:b/>
          <w:color w:val="231F20"/>
          <w:spacing w:val="-3"/>
          <w:w w:val="115"/>
          <w:sz w:val="17"/>
        </w:rPr>
        <w:t> </w:t>
      </w:r>
      <w:r>
        <w:rPr>
          <w:b/>
          <w:color w:val="231F20"/>
          <w:w w:val="115"/>
          <w:sz w:val="17"/>
        </w:rPr>
        <w:t>besoins</w:t>
      </w:r>
      <w:r>
        <w:rPr>
          <w:b/>
          <w:color w:val="231F20"/>
          <w:spacing w:val="-3"/>
          <w:w w:val="115"/>
          <w:sz w:val="17"/>
        </w:rPr>
        <w:t> </w:t>
      </w:r>
      <w:r>
        <w:rPr>
          <w:b/>
          <w:color w:val="231F20"/>
          <w:w w:val="115"/>
          <w:sz w:val="17"/>
        </w:rPr>
        <w:t>personnels</w:t>
      </w:r>
      <w:r>
        <w:rPr>
          <w:color w:val="231F20"/>
          <w:w w:val="115"/>
          <w:sz w:val="17"/>
        </w:rPr>
        <w:t>. De plus en plus, </w:t>
      </w:r>
      <w:r>
        <w:rPr>
          <w:color w:val="231F20"/>
          <w:w w:val="120"/>
          <w:sz w:val="17"/>
        </w:rPr>
        <w:t>les employés demandent que leur vie personnelle soit prise en compte au travail. L’entreprise peut alors leur offrir un éventail d’activités</w:t>
      </w:r>
      <w:r>
        <w:rPr>
          <w:color w:val="231F20"/>
          <w:spacing w:val="-7"/>
          <w:w w:val="120"/>
          <w:sz w:val="17"/>
        </w:rPr>
        <w:t> </w:t>
      </w:r>
      <w:r>
        <w:rPr>
          <w:color w:val="231F20"/>
          <w:w w:val="120"/>
          <w:sz w:val="17"/>
        </w:rPr>
        <w:t>qui</w:t>
      </w:r>
      <w:r>
        <w:rPr>
          <w:color w:val="231F20"/>
          <w:spacing w:val="-7"/>
          <w:w w:val="120"/>
          <w:sz w:val="17"/>
        </w:rPr>
        <w:t> </w:t>
      </w:r>
      <w:r>
        <w:rPr>
          <w:color w:val="231F20"/>
          <w:w w:val="120"/>
          <w:sz w:val="17"/>
        </w:rPr>
        <w:t>contribuent</w:t>
      </w:r>
      <w:r>
        <w:rPr>
          <w:color w:val="231F20"/>
          <w:spacing w:val="-7"/>
          <w:w w:val="120"/>
          <w:sz w:val="17"/>
        </w:rPr>
        <w:t> </w:t>
      </w:r>
      <w:r>
        <w:rPr>
          <w:color w:val="231F20"/>
          <w:w w:val="120"/>
          <w:sz w:val="17"/>
        </w:rPr>
        <w:t>à</w:t>
      </w:r>
      <w:r>
        <w:rPr>
          <w:color w:val="231F20"/>
          <w:spacing w:val="-7"/>
          <w:w w:val="120"/>
          <w:sz w:val="17"/>
        </w:rPr>
        <w:t> </w:t>
      </w:r>
      <w:r>
        <w:rPr>
          <w:color w:val="231F20"/>
          <w:w w:val="120"/>
          <w:sz w:val="17"/>
        </w:rPr>
        <w:t>réduire</w:t>
      </w:r>
      <w:r>
        <w:rPr>
          <w:color w:val="231F20"/>
          <w:spacing w:val="-7"/>
          <w:w w:val="120"/>
          <w:sz w:val="17"/>
        </w:rPr>
        <w:t> </w:t>
      </w:r>
      <w:r>
        <w:rPr>
          <w:color w:val="231F20"/>
          <w:w w:val="120"/>
          <w:sz w:val="17"/>
        </w:rPr>
        <w:t>le</w:t>
      </w:r>
      <w:r>
        <w:rPr>
          <w:color w:val="231F20"/>
          <w:spacing w:val="-7"/>
          <w:w w:val="120"/>
          <w:sz w:val="17"/>
        </w:rPr>
        <w:t> </w:t>
      </w:r>
      <w:r>
        <w:rPr>
          <w:color w:val="231F20"/>
          <w:w w:val="120"/>
          <w:sz w:val="17"/>
        </w:rPr>
        <w:t>stress</w:t>
      </w:r>
      <w:r>
        <w:rPr>
          <w:color w:val="231F20"/>
          <w:spacing w:val="-7"/>
          <w:w w:val="120"/>
          <w:sz w:val="17"/>
        </w:rPr>
        <w:t> </w:t>
      </w:r>
      <w:r>
        <w:rPr>
          <w:color w:val="231F20"/>
          <w:w w:val="120"/>
          <w:sz w:val="17"/>
        </w:rPr>
        <w:t>chez</w:t>
      </w:r>
      <w:r>
        <w:rPr>
          <w:color w:val="231F20"/>
          <w:spacing w:val="-7"/>
          <w:w w:val="120"/>
          <w:sz w:val="17"/>
        </w:rPr>
        <w:t> </w:t>
      </w:r>
      <w:r>
        <w:rPr>
          <w:color w:val="231F20"/>
          <w:w w:val="120"/>
          <w:sz w:val="17"/>
        </w:rPr>
        <w:t>le</w:t>
      </w:r>
      <w:r>
        <w:rPr>
          <w:color w:val="231F20"/>
          <w:spacing w:val="-7"/>
          <w:w w:val="120"/>
          <w:sz w:val="17"/>
        </w:rPr>
        <w:t> </w:t>
      </w:r>
      <w:r>
        <w:rPr>
          <w:color w:val="231F20"/>
          <w:w w:val="120"/>
          <w:sz w:val="17"/>
        </w:rPr>
        <w:t>personnel</w:t>
      </w:r>
      <w:r>
        <w:rPr>
          <w:color w:val="231F20"/>
          <w:spacing w:val="-7"/>
          <w:w w:val="120"/>
          <w:sz w:val="17"/>
        </w:rPr>
        <w:t> </w:t>
      </w:r>
      <w:r>
        <w:rPr>
          <w:color w:val="231F20"/>
          <w:w w:val="120"/>
          <w:sz w:val="17"/>
        </w:rPr>
        <w:t>et à</w:t>
      </w:r>
      <w:r>
        <w:rPr>
          <w:color w:val="231F20"/>
          <w:spacing w:val="-13"/>
          <w:w w:val="120"/>
          <w:sz w:val="17"/>
        </w:rPr>
        <w:t> </w:t>
      </w:r>
      <w:r>
        <w:rPr>
          <w:color w:val="231F20"/>
          <w:w w:val="120"/>
          <w:sz w:val="17"/>
        </w:rPr>
        <w:t>accroître</w:t>
      </w:r>
      <w:r>
        <w:rPr>
          <w:color w:val="231F20"/>
          <w:spacing w:val="-13"/>
          <w:w w:val="120"/>
          <w:sz w:val="17"/>
        </w:rPr>
        <w:t> </w:t>
      </w:r>
      <w:r>
        <w:rPr>
          <w:color w:val="231F20"/>
          <w:w w:val="120"/>
          <w:sz w:val="17"/>
        </w:rPr>
        <w:t>la</w:t>
      </w:r>
      <w:r>
        <w:rPr>
          <w:color w:val="231F20"/>
          <w:spacing w:val="-12"/>
          <w:w w:val="120"/>
          <w:sz w:val="17"/>
        </w:rPr>
        <w:t> </w:t>
      </w:r>
      <w:r>
        <w:rPr>
          <w:color w:val="231F20"/>
          <w:w w:val="120"/>
          <w:sz w:val="17"/>
        </w:rPr>
        <w:t>productivité.</w:t>
      </w:r>
      <w:r>
        <w:rPr>
          <w:color w:val="231F20"/>
          <w:spacing w:val="-13"/>
          <w:w w:val="120"/>
          <w:sz w:val="17"/>
        </w:rPr>
        <w:t> </w:t>
      </w:r>
      <w:r>
        <w:rPr>
          <w:color w:val="231F20"/>
          <w:w w:val="120"/>
          <w:sz w:val="17"/>
        </w:rPr>
        <w:t>On</w:t>
      </w:r>
      <w:r>
        <w:rPr>
          <w:color w:val="231F20"/>
          <w:spacing w:val="-13"/>
          <w:w w:val="120"/>
          <w:sz w:val="17"/>
        </w:rPr>
        <w:t> </w:t>
      </w:r>
      <w:r>
        <w:rPr>
          <w:color w:val="231F20"/>
          <w:w w:val="120"/>
          <w:sz w:val="17"/>
        </w:rPr>
        <w:t>pense</w:t>
      </w:r>
      <w:r>
        <w:rPr>
          <w:color w:val="231F20"/>
          <w:spacing w:val="-12"/>
          <w:w w:val="120"/>
          <w:sz w:val="17"/>
        </w:rPr>
        <w:t> </w:t>
      </w:r>
      <w:r>
        <w:rPr>
          <w:color w:val="231F20"/>
          <w:w w:val="120"/>
          <w:sz w:val="17"/>
        </w:rPr>
        <w:t>par</w:t>
      </w:r>
      <w:r>
        <w:rPr>
          <w:color w:val="231F20"/>
          <w:spacing w:val="-13"/>
          <w:w w:val="120"/>
          <w:sz w:val="17"/>
        </w:rPr>
        <w:t> </w:t>
      </w:r>
      <w:r>
        <w:rPr>
          <w:color w:val="231F20"/>
          <w:w w:val="120"/>
          <w:sz w:val="17"/>
        </w:rPr>
        <w:t>exemple</w:t>
      </w:r>
      <w:r>
        <w:rPr>
          <w:color w:val="231F20"/>
          <w:spacing w:val="-13"/>
          <w:w w:val="120"/>
          <w:sz w:val="17"/>
        </w:rPr>
        <w:t> </w:t>
      </w:r>
      <w:r>
        <w:rPr>
          <w:color w:val="231F20"/>
          <w:w w:val="120"/>
          <w:sz w:val="17"/>
        </w:rPr>
        <w:t>aux</w:t>
      </w:r>
      <w:r>
        <w:rPr>
          <w:color w:val="231F20"/>
          <w:spacing w:val="-12"/>
          <w:w w:val="120"/>
          <w:sz w:val="17"/>
        </w:rPr>
        <w:t> </w:t>
      </w:r>
      <w:r>
        <w:rPr>
          <w:color w:val="231F20"/>
          <w:w w:val="120"/>
          <w:sz w:val="17"/>
        </w:rPr>
        <w:t>possibilités de télétravail ou même à la mise à disposition jour et nuit d’une ligne d’aide aux ressources humaines.</w:t>
      </w:r>
    </w:p>
    <w:p>
      <w:pPr>
        <w:pStyle w:val="ListParagraph"/>
        <w:numPr>
          <w:ilvl w:val="1"/>
          <w:numId w:val="12"/>
        </w:numPr>
        <w:tabs>
          <w:tab w:pos="1291" w:val="left" w:leader="none"/>
        </w:tabs>
        <w:spacing w:line="307" w:lineRule="auto" w:before="78" w:after="0"/>
        <w:ind w:left="1290" w:right="634" w:hanging="251"/>
        <w:jc w:val="both"/>
        <w:rPr>
          <w:sz w:val="17"/>
        </w:rPr>
      </w:pPr>
      <w:r>
        <w:rPr>
          <w:b/>
          <w:color w:val="231F20"/>
          <w:w w:val="115"/>
          <w:sz w:val="17"/>
        </w:rPr>
        <w:t>La</w:t>
      </w:r>
      <w:r>
        <w:rPr>
          <w:b/>
          <w:color w:val="231F20"/>
          <w:spacing w:val="-13"/>
          <w:w w:val="115"/>
          <w:sz w:val="17"/>
        </w:rPr>
        <w:t> </w:t>
      </w:r>
      <w:r>
        <w:rPr>
          <w:b/>
          <w:color w:val="231F20"/>
          <w:w w:val="115"/>
          <w:sz w:val="17"/>
        </w:rPr>
        <w:t>nécessité</w:t>
      </w:r>
      <w:r>
        <w:rPr>
          <w:b/>
          <w:color w:val="231F20"/>
          <w:spacing w:val="-12"/>
          <w:w w:val="115"/>
          <w:sz w:val="17"/>
        </w:rPr>
        <w:t> </w:t>
      </w:r>
      <w:r>
        <w:rPr>
          <w:b/>
          <w:color w:val="231F20"/>
          <w:w w:val="115"/>
          <w:sz w:val="17"/>
        </w:rPr>
        <w:t>de</w:t>
      </w:r>
      <w:r>
        <w:rPr>
          <w:b/>
          <w:color w:val="231F20"/>
          <w:spacing w:val="-12"/>
          <w:w w:val="115"/>
          <w:sz w:val="17"/>
        </w:rPr>
        <w:t> </w:t>
      </w:r>
      <w:r>
        <w:rPr>
          <w:b/>
          <w:color w:val="231F20"/>
          <w:w w:val="115"/>
          <w:sz w:val="17"/>
        </w:rPr>
        <w:t>maintenir</w:t>
      </w:r>
      <w:r>
        <w:rPr>
          <w:b/>
          <w:color w:val="231F20"/>
          <w:spacing w:val="-12"/>
          <w:w w:val="115"/>
          <w:sz w:val="17"/>
        </w:rPr>
        <w:t> </w:t>
      </w:r>
      <w:r>
        <w:rPr>
          <w:b/>
          <w:color w:val="231F20"/>
          <w:w w:val="115"/>
          <w:sz w:val="17"/>
        </w:rPr>
        <w:t>de</w:t>
      </w:r>
      <w:r>
        <w:rPr>
          <w:b/>
          <w:color w:val="231F20"/>
          <w:spacing w:val="-13"/>
          <w:w w:val="115"/>
          <w:sz w:val="17"/>
        </w:rPr>
        <w:t> </w:t>
      </w:r>
      <w:r>
        <w:rPr>
          <w:b/>
          <w:color w:val="231F20"/>
          <w:w w:val="115"/>
          <w:sz w:val="17"/>
        </w:rPr>
        <w:t>bonnes</w:t>
      </w:r>
      <w:r>
        <w:rPr>
          <w:b/>
          <w:color w:val="231F20"/>
          <w:spacing w:val="-12"/>
          <w:w w:val="115"/>
          <w:sz w:val="17"/>
        </w:rPr>
        <w:t> </w:t>
      </w:r>
      <w:r>
        <w:rPr>
          <w:b/>
          <w:color w:val="231F20"/>
          <w:w w:val="115"/>
          <w:sz w:val="17"/>
        </w:rPr>
        <w:t>relations</w:t>
      </w:r>
      <w:r>
        <w:rPr>
          <w:b/>
          <w:color w:val="231F20"/>
          <w:spacing w:val="-12"/>
          <w:w w:val="115"/>
          <w:sz w:val="17"/>
        </w:rPr>
        <w:t> </w:t>
      </w:r>
      <w:r>
        <w:rPr>
          <w:b/>
          <w:color w:val="231F20"/>
          <w:w w:val="115"/>
          <w:sz w:val="17"/>
        </w:rPr>
        <w:t>interpersonnelles</w:t>
      </w:r>
      <w:r>
        <w:rPr>
          <w:color w:val="231F20"/>
          <w:w w:val="115"/>
          <w:sz w:val="17"/>
        </w:rPr>
        <w:t>. La reconnaissance par l’entreprise de chacun de ses employés contribue</w:t>
      </w:r>
      <w:r>
        <w:rPr>
          <w:color w:val="231F20"/>
          <w:spacing w:val="-4"/>
          <w:w w:val="115"/>
          <w:sz w:val="17"/>
        </w:rPr>
        <w:t> </w:t>
      </w:r>
      <w:r>
        <w:rPr>
          <w:color w:val="231F20"/>
          <w:w w:val="115"/>
          <w:sz w:val="17"/>
        </w:rPr>
        <w:t>à</w:t>
      </w:r>
      <w:r>
        <w:rPr>
          <w:color w:val="231F20"/>
          <w:spacing w:val="-4"/>
          <w:w w:val="115"/>
          <w:sz w:val="17"/>
        </w:rPr>
        <w:t> </w:t>
      </w:r>
      <w:r>
        <w:rPr>
          <w:color w:val="231F20"/>
          <w:w w:val="115"/>
          <w:sz w:val="17"/>
        </w:rPr>
        <w:t>maintenir</w:t>
      </w:r>
      <w:r>
        <w:rPr>
          <w:color w:val="231F20"/>
          <w:spacing w:val="-4"/>
          <w:w w:val="115"/>
          <w:sz w:val="17"/>
        </w:rPr>
        <w:t> </w:t>
      </w:r>
      <w:r>
        <w:rPr>
          <w:color w:val="231F20"/>
          <w:w w:val="115"/>
          <w:sz w:val="17"/>
        </w:rPr>
        <w:t>de</w:t>
      </w:r>
      <w:r>
        <w:rPr>
          <w:color w:val="231F20"/>
          <w:spacing w:val="-4"/>
          <w:w w:val="115"/>
          <w:sz w:val="17"/>
        </w:rPr>
        <w:t> </w:t>
      </w:r>
      <w:r>
        <w:rPr>
          <w:color w:val="231F20"/>
          <w:w w:val="115"/>
          <w:sz w:val="17"/>
        </w:rPr>
        <w:t>bonnes</w:t>
      </w:r>
      <w:r>
        <w:rPr>
          <w:color w:val="231F20"/>
          <w:spacing w:val="-4"/>
          <w:w w:val="115"/>
          <w:sz w:val="17"/>
        </w:rPr>
        <w:t> </w:t>
      </w:r>
      <w:r>
        <w:rPr>
          <w:color w:val="231F20"/>
          <w:w w:val="115"/>
          <w:sz w:val="17"/>
        </w:rPr>
        <w:t>relations</w:t>
      </w:r>
      <w:r>
        <w:rPr>
          <w:color w:val="231F20"/>
          <w:spacing w:val="-4"/>
          <w:w w:val="115"/>
          <w:sz w:val="17"/>
        </w:rPr>
        <w:t> </w:t>
      </w:r>
      <w:r>
        <w:rPr>
          <w:color w:val="231F20"/>
          <w:w w:val="115"/>
          <w:sz w:val="17"/>
        </w:rPr>
        <w:t>de</w:t>
      </w:r>
      <w:r>
        <w:rPr>
          <w:color w:val="231F20"/>
          <w:spacing w:val="-4"/>
          <w:w w:val="115"/>
          <w:sz w:val="17"/>
        </w:rPr>
        <w:t> </w:t>
      </w:r>
      <w:r>
        <w:rPr>
          <w:color w:val="231F20"/>
          <w:w w:val="115"/>
          <w:sz w:val="17"/>
        </w:rPr>
        <w:t>travail,</w:t>
      </w:r>
      <w:r>
        <w:rPr>
          <w:color w:val="231F20"/>
          <w:spacing w:val="-4"/>
          <w:w w:val="115"/>
          <w:sz w:val="17"/>
        </w:rPr>
        <w:t> </w:t>
      </w:r>
      <w:r>
        <w:rPr>
          <w:color w:val="231F20"/>
          <w:w w:val="115"/>
          <w:sz w:val="17"/>
        </w:rPr>
        <w:t>non</w:t>
      </w:r>
      <w:r>
        <w:rPr>
          <w:color w:val="231F20"/>
          <w:spacing w:val="-4"/>
          <w:w w:val="115"/>
          <w:sz w:val="17"/>
        </w:rPr>
        <w:t> </w:t>
      </w:r>
      <w:r>
        <w:rPr>
          <w:color w:val="231F20"/>
          <w:w w:val="115"/>
          <w:sz w:val="17"/>
        </w:rPr>
        <w:t>seulement avec la direction, mais aussi entre collègues.</w:t>
      </w:r>
    </w:p>
    <w:p>
      <w:pPr>
        <w:pStyle w:val="BodyText"/>
        <w:spacing w:before="3"/>
        <w:rPr>
          <w:sz w:val="26"/>
        </w:rPr>
      </w:pPr>
      <w:r>
        <w:rPr/>
        <w:pict>
          <v:shape style="position:absolute;margin-left:62.500099pt;margin-top:16.332325pt;width:287.5pt;height:.1pt;mso-position-horizontal-relative:page;mso-position-vertical-relative:paragraph;z-index:-15714816;mso-wrap-distance-left:0;mso-wrap-distance-right:0" id="docshape91" coordorigin="1250,327" coordsize="5750,0" path="m1250,327l7000,327e" filled="false" stroked="true" strokeweight=".25pt" strokecolor="#231f20">
            <v:path arrowok="t"/>
            <v:stroke dashstyle="shortdot"/>
            <w10:wrap type="topAndBottom"/>
          </v:shape>
        </w:pict>
      </w:r>
    </w:p>
    <w:p>
      <w:pPr>
        <w:pStyle w:val="ListParagraph"/>
        <w:numPr>
          <w:ilvl w:val="0"/>
          <w:numId w:val="12"/>
        </w:numPr>
        <w:tabs>
          <w:tab w:pos="789" w:val="left" w:leader="none"/>
          <w:tab w:pos="790" w:val="left" w:leader="none"/>
        </w:tabs>
        <w:spacing w:line="240" w:lineRule="auto" w:before="135" w:after="0"/>
        <w:ind w:left="789" w:right="0" w:hanging="406"/>
        <w:jc w:val="left"/>
        <w:rPr>
          <w:rFonts w:ascii="Arial"/>
          <w:sz w:val="12"/>
        </w:rPr>
      </w:pPr>
      <w:r>
        <w:rPr>
          <w:rFonts w:ascii="Arial"/>
          <w:color w:val="231F20"/>
          <w:sz w:val="12"/>
        </w:rPr>
        <w:t>Warhurst, C. et Knox, A. (2020). Manifesto</w:t>
      </w:r>
      <w:r>
        <w:rPr>
          <w:rFonts w:ascii="Arial"/>
          <w:color w:val="231F20"/>
          <w:spacing w:val="1"/>
          <w:sz w:val="12"/>
        </w:rPr>
        <w:t> </w:t>
      </w:r>
      <w:r>
        <w:rPr>
          <w:rFonts w:ascii="Arial"/>
          <w:color w:val="231F20"/>
          <w:sz w:val="12"/>
        </w:rPr>
        <w:t>for a new quality of working life,</w:t>
      </w:r>
      <w:r>
        <w:rPr>
          <w:rFonts w:ascii="Arial"/>
          <w:color w:val="231F20"/>
          <w:spacing w:val="1"/>
          <w:sz w:val="12"/>
        </w:rPr>
        <w:t> </w:t>
      </w:r>
      <w:r>
        <w:rPr>
          <w:rFonts w:ascii="Arial"/>
          <w:i/>
          <w:color w:val="231F20"/>
          <w:sz w:val="12"/>
        </w:rPr>
        <w:t>Human Relations</w:t>
      </w:r>
      <w:r>
        <w:rPr>
          <w:rFonts w:ascii="Arial"/>
          <w:color w:val="231F20"/>
          <w:sz w:val="12"/>
        </w:rPr>
        <w:t>, 1-</w:t>
      </w:r>
      <w:r>
        <w:rPr>
          <w:rFonts w:ascii="Arial"/>
          <w:color w:val="231F20"/>
          <w:spacing w:val="-5"/>
          <w:sz w:val="12"/>
        </w:rPr>
        <w:t>18.</w:t>
      </w:r>
    </w:p>
    <w:p>
      <w:pPr>
        <w:pStyle w:val="ListParagraph"/>
        <w:numPr>
          <w:ilvl w:val="0"/>
          <w:numId w:val="12"/>
        </w:numPr>
        <w:tabs>
          <w:tab w:pos="789" w:val="left" w:leader="none"/>
          <w:tab w:pos="790" w:val="left" w:leader="none"/>
        </w:tabs>
        <w:spacing w:line="295" w:lineRule="auto" w:before="32" w:after="0"/>
        <w:ind w:left="789" w:right="637" w:hanging="406"/>
        <w:jc w:val="left"/>
        <w:rPr>
          <w:rFonts w:ascii="Arial"/>
          <w:sz w:val="12"/>
        </w:rPr>
      </w:pPr>
      <w:r>
        <w:rPr>
          <w:rFonts w:ascii="Arial"/>
          <w:color w:val="231F20"/>
          <w:sz w:val="12"/>
        </w:rPr>
        <w:t>Klein,</w:t>
      </w:r>
      <w:r>
        <w:rPr>
          <w:rFonts w:ascii="Arial"/>
          <w:color w:val="231F20"/>
          <w:spacing w:val="-4"/>
          <w:sz w:val="12"/>
        </w:rPr>
        <w:t> </w:t>
      </w:r>
      <w:r>
        <w:rPr>
          <w:rFonts w:ascii="Arial"/>
          <w:color w:val="231F20"/>
          <w:sz w:val="12"/>
        </w:rPr>
        <w:t>L.</w:t>
      </w:r>
      <w:r>
        <w:rPr>
          <w:rFonts w:ascii="Arial"/>
          <w:color w:val="231F20"/>
          <w:spacing w:val="-4"/>
          <w:sz w:val="12"/>
        </w:rPr>
        <w:t> </w:t>
      </w:r>
      <w:r>
        <w:rPr>
          <w:rFonts w:ascii="Arial"/>
          <w:color w:val="231F20"/>
          <w:sz w:val="12"/>
        </w:rPr>
        <w:t>L.,</w:t>
      </w:r>
      <w:r>
        <w:rPr>
          <w:rFonts w:ascii="Arial"/>
          <w:color w:val="231F20"/>
          <w:spacing w:val="-4"/>
          <w:sz w:val="12"/>
        </w:rPr>
        <w:t> </w:t>
      </w:r>
      <w:r>
        <w:rPr>
          <w:rFonts w:ascii="Arial"/>
          <w:color w:val="231F20"/>
          <w:sz w:val="12"/>
        </w:rPr>
        <w:t>Pereira,</w:t>
      </w:r>
      <w:r>
        <w:rPr>
          <w:rFonts w:ascii="Arial"/>
          <w:color w:val="231F20"/>
          <w:spacing w:val="-4"/>
          <w:sz w:val="12"/>
        </w:rPr>
        <w:t> </w:t>
      </w:r>
      <w:r>
        <w:rPr>
          <w:rFonts w:ascii="Arial"/>
          <w:color w:val="231F20"/>
          <w:sz w:val="12"/>
        </w:rPr>
        <w:t>B.</w:t>
      </w:r>
      <w:r>
        <w:rPr>
          <w:rFonts w:ascii="Arial"/>
          <w:color w:val="231F20"/>
          <w:spacing w:val="-4"/>
          <w:sz w:val="12"/>
        </w:rPr>
        <w:t> </w:t>
      </w:r>
      <w:r>
        <w:rPr>
          <w:rFonts w:ascii="Arial"/>
          <w:color w:val="231F20"/>
          <w:sz w:val="12"/>
        </w:rPr>
        <w:t>A.</w:t>
      </w:r>
      <w:r>
        <w:rPr>
          <w:rFonts w:ascii="Arial"/>
          <w:color w:val="231F20"/>
          <w:spacing w:val="-4"/>
          <w:sz w:val="12"/>
        </w:rPr>
        <w:t> </w:t>
      </w:r>
      <w:r>
        <w:rPr>
          <w:rFonts w:ascii="Arial"/>
          <w:color w:val="231F20"/>
          <w:sz w:val="12"/>
        </w:rPr>
        <w:t>D.</w:t>
      </w:r>
      <w:r>
        <w:rPr>
          <w:rFonts w:ascii="Arial"/>
          <w:color w:val="231F20"/>
          <w:spacing w:val="-4"/>
          <w:sz w:val="12"/>
        </w:rPr>
        <w:t> </w:t>
      </w:r>
      <w:r>
        <w:rPr>
          <w:rFonts w:ascii="Arial"/>
          <w:color w:val="231F20"/>
          <w:sz w:val="12"/>
        </w:rPr>
        <w:t>et</w:t>
      </w:r>
      <w:r>
        <w:rPr>
          <w:rFonts w:ascii="Arial"/>
          <w:color w:val="231F20"/>
          <w:spacing w:val="-4"/>
          <w:sz w:val="12"/>
        </w:rPr>
        <w:t> </w:t>
      </w:r>
      <w:r>
        <w:rPr>
          <w:rFonts w:ascii="Arial"/>
          <w:color w:val="231F20"/>
          <w:sz w:val="12"/>
        </w:rPr>
        <w:t>Lemos,</w:t>
      </w:r>
      <w:r>
        <w:rPr>
          <w:rFonts w:ascii="Arial"/>
          <w:color w:val="231F20"/>
          <w:spacing w:val="-4"/>
          <w:sz w:val="12"/>
        </w:rPr>
        <w:t> </w:t>
      </w:r>
      <w:r>
        <w:rPr>
          <w:rFonts w:ascii="Arial"/>
          <w:color w:val="231F20"/>
          <w:sz w:val="12"/>
        </w:rPr>
        <w:t>R.</w:t>
      </w:r>
      <w:r>
        <w:rPr>
          <w:rFonts w:ascii="Arial"/>
          <w:color w:val="231F20"/>
          <w:spacing w:val="-4"/>
          <w:sz w:val="12"/>
        </w:rPr>
        <w:t> </w:t>
      </w:r>
      <w:r>
        <w:rPr>
          <w:rFonts w:ascii="Arial"/>
          <w:color w:val="231F20"/>
          <w:sz w:val="12"/>
        </w:rPr>
        <w:t>B.</w:t>
      </w:r>
      <w:r>
        <w:rPr>
          <w:rFonts w:ascii="Arial"/>
          <w:color w:val="231F20"/>
          <w:spacing w:val="-4"/>
          <w:sz w:val="12"/>
        </w:rPr>
        <w:t> </w:t>
      </w:r>
      <w:r>
        <w:rPr>
          <w:rFonts w:ascii="Arial"/>
          <w:color w:val="231F20"/>
          <w:sz w:val="12"/>
        </w:rPr>
        <w:t>(2019).</w:t>
      </w:r>
      <w:r>
        <w:rPr>
          <w:rFonts w:ascii="Arial"/>
          <w:color w:val="231F20"/>
          <w:spacing w:val="-4"/>
          <w:sz w:val="12"/>
        </w:rPr>
        <w:t> </w:t>
      </w:r>
      <w:r>
        <w:rPr>
          <w:rFonts w:ascii="Arial"/>
          <w:color w:val="231F20"/>
          <w:sz w:val="12"/>
        </w:rPr>
        <w:t>Quality</w:t>
      </w:r>
      <w:r>
        <w:rPr>
          <w:rFonts w:ascii="Arial"/>
          <w:color w:val="231F20"/>
          <w:spacing w:val="-4"/>
          <w:sz w:val="12"/>
        </w:rPr>
        <w:t> </w:t>
      </w:r>
      <w:r>
        <w:rPr>
          <w:rFonts w:ascii="Arial"/>
          <w:color w:val="231F20"/>
          <w:sz w:val="12"/>
        </w:rPr>
        <w:t>of</w:t>
      </w:r>
      <w:r>
        <w:rPr>
          <w:rFonts w:ascii="Arial"/>
          <w:color w:val="231F20"/>
          <w:spacing w:val="-4"/>
          <w:sz w:val="12"/>
        </w:rPr>
        <w:t> </w:t>
      </w:r>
      <w:r>
        <w:rPr>
          <w:rFonts w:ascii="Arial"/>
          <w:color w:val="231F20"/>
          <w:sz w:val="12"/>
        </w:rPr>
        <w:t>working</w:t>
      </w:r>
      <w:r>
        <w:rPr>
          <w:rFonts w:ascii="Arial"/>
          <w:color w:val="231F20"/>
          <w:spacing w:val="-4"/>
          <w:sz w:val="12"/>
        </w:rPr>
        <w:t> </w:t>
      </w:r>
      <w:r>
        <w:rPr>
          <w:rFonts w:ascii="Arial"/>
          <w:color w:val="231F20"/>
          <w:sz w:val="12"/>
        </w:rPr>
        <w:t>life</w:t>
      </w:r>
      <w:r>
        <w:rPr>
          <w:rFonts w:ascii="Arial"/>
          <w:color w:val="231F20"/>
          <w:spacing w:val="-23"/>
          <w:sz w:val="12"/>
        </w:rPr>
        <w:t> </w:t>
      </w:r>
      <w:r>
        <w:rPr>
          <w:rFonts w:ascii="Arial"/>
          <w:color w:val="231F20"/>
          <w:sz w:val="12"/>
        </w:rPr>
        <w:t>:</w:t>
      </w:r>
      <w:r>
        <w:rPr>
          <w:rFonts w:ascii="Arial"/>
          <w:color w:val="231F20"/>
          <w:spacing w:val="-4"/>
          <w:sz w:val="12"/>
        </w:rPr>
        <w:t> </w:t>
      </w:r>
      <w:r>
        <w:rPr>
          <w:rFonts w:ascii="Arial"/>
          <w:color w:val="231F20"/>
          <w:sz w:val="12"/>
        </w:rPr>
        <w:t>Parameters</w:t>
      </w:r>
      <w:r>
        <w:rPr>
          <w:rFonts w:ascii="Arial"/>
          <w:color w:val="231F20"/>
          <w:spacing w:val="-4"/>
          <w:sz w:val="12"/>
        </w:rPr>
        <w:t> </w:t>
      </w:r>
      <w:r>
        <w:rPr>
          <w:rFonts w:ascii="Arial"/>
          <w:color w:val="231F20"/>
          <w:sz w:val="12"/>
        </w:rPr>
        <w:t>and</w:t>
      </w:r>
      <w:r>
        <w:rPr>
          <w:rFonts w:ascii="Arial"/>
          <w:color w:val="231F20"/>
          <w:spacing w:val="-4"/>
          <w:sz w:val="12"/>
        </w:rPr>
        <w:t> </w:t>
      </w:r>
      <w:r>
        <w:rPr>
          <w:rFonts w:ascii="Arial"/>
          <w:color w:val="231F20"/>
          <w:sz w:val="12"/>
        </w:rPr>
        <w:t>evaluation</w:t>
      </w:r>
      <w:r>
        <w:rPr>
          <w:rFonts w:ascii="Arial"/>
          <w:color w:val="231F20"/>
          <w:spacing w:val="-4"/>
          <w:sz w:val="12"/>
        </w:rPr>
        <w:t> </w:t>
      </w:r>
      <w:r>
        <w:rPr>
          <w:rFonts w:ascii="Arial"/>
          <w:color w:val="231F20"/>
          <w:sz w:val="12"/>
        </w:rPr>
        <w:t>in</w:t>
      </w:r>
      <w:r>
        <w:rPr>
          <w:rFonts w:ascii="Arial"/>
          <w:color w:val="231F20"/>
          <w:spacing w:val="-4"/>
          <w:sz w:val="12"/>
        </w:rPr>
        <w:t> </w:t>
      </w:r>
      <w:r>
        <w:rPr>
          <w:rFonts w:ascii="Arial"/>
          <w:color w:val="231F20"/>
          <w:sz w:val="12"/>
        </w:rPr>
        <w:t>the</w:t>
      </w:r>
      <w:r>
        <w:rPr>
          <w:rFonts w:ascii="Arial"/>
          <w:color w:val="231F20"/>
          <w:spacing w:val="40"/>
          <w:sz w:val="12"/>
        </w:rPr>
        <w:t> </w:t>
      </w:r>
      <w:r>
        <w:rPr>
          <w:rFonts w:ascii="Arial"/>
          <w:color w:val="231F20"/>
          <w:sz w:val="12"/>
        </w:rPr>
        <w:t>public service, </w:t>
      </w:r>
      <w:r>
        <w:rPr>
          <w:rFonts w:ascii="Arial"/>
          <w:i/>
          <w:color w:val="231F20"/>
          <w:sz w:val="12"/>
        </w:rPr>
        <w:t>Human and Social Management</w:t>
      </w:r>
      <w:r>
        <w:rPr>
          <w:rFonts w:ascii="Arial"/>
          <w:color w:val="231F20"/>
          <w:sz w:val="12"/>
        </w:rPr>
        <w:t>, </w:t>
      </w:r>
      <w:r>
        <w:rPr>
          <w:rFonts w:ascii="Arial"/>
          <w:i/>
          <w:color w:val="231F20"/>
          <w:sz w:val="12"/>
        </w:rPr>
        <w:t>20</w:t>
      </w:r>
      <w:r>
        <w:rPr>
          <w:rFonts w:ascii="Arial"/>
          <w:color w:val="231F20"/>
          <w:sz w:val="12"/>
        </w:rPr>
        <w:t>, 3-33.</w:t>
      </w:r>
    </w:p>
    <w:p>
      <w:pPr>
        <w:pStyle w:val="ListParagraph"/>
        <w:numPr>
          <w:ilvl w:val="0"/>
          <w:numId w:val="12"/>
        </w:numPr>
        <w:tabs>
          <w:tab w:pos="789" w:val="left" w:leader="none"/>
          <w:tab w:pos="790" w:val="left" w:leader="none"/>
        </w:tabs>
        <w:spacing w:line="295" w:lineRule="auto" w:before="0" w:after="0"/>
        <w:ind w:left="789" w:right="637" w:hanging="406"/>
        <w:jc w:val="left"/>
        <w:rPr>
          <w:rFonts w:ascii="Arial" w:hAnsi="Arial"/>
          <w:sz w:val="12"/>
        </w:rPr>
      </w:pPr>
      <w:r>
        <w:rPr>
          <w:rFonts w:ascii="Arial" w:hAnsi="Arial"/>
          <w:color w:val="231F20"/>
          <w:sz w:val="12"/>
        </w:rPr>
        <w:t>Jebli,</w:t>
      </w:r>
      <w:r>
        <w:rPr>
          <w:rFonts w:ascii="Arial" w:hAnsi="Arial"/>
          <w:color w:val="231F20"/>
          <w:spacing w:val="-8"/>
          <w:sz w:val="12"/>
        </w:rPr>
        <w:t> </w:t>
      </w:r>
      <w:r>
        <w:rPr>
          <w:rFonts w:ascii="Arial" w:hAnsi="Arial"/>
          <w:color w:val="231F20"/>
          <w:sz w:val="12"/>
        </w:rPr>
        <w:t>F.</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Tremblay,</w:t>
      </w:r>
      <w:r>
        <w:rPr>
          <w:rFonts w:ascii="Arial" w:hAnsi="Arial"/>
          <w:color w:val="231F20"/>
          <w:spacing w:val="-7"/>
          <w:sz w:val="12"/>
        </w:rPr>
        <w:t> </w:t>
      </w:r>
      <w:r>
        <w:rPr>
          <w:rFonts w:ascii="Arial" w:hAnsi="Arial"/>
          <w:color w:val="231F20"/>
          <w:sz w:val="12"/>
        </w:rPr>
        <w:t>D.-G.</w:t>
      </w:r>
      <w:r>
        <w:rPr>
          <w:rFonts w:ascii="Arial" w:hAnsi="Arial"/>
          <w:color w:val="231F20"/>
          <w:spacing w:val="-7"/>
          <w:sz w:val="12"/>
        </w:rPr>
        <w:t> </w:t>
      </w:r>
      <w:r>
        <w:rPr>
          <w:rFonts w:ascii="Arial" w:hAnsi="Arial"/>
          <w:color w:val="231F20"/>
          <w:sz w:val="12"/>
        </w:rPr>
        <w:t>(2016).</w:t>
      </w:r>
      <w:r>
        <w:rPr>
          <w:rFonts w:ascii="Arial" w:hAnsi="Arial"/>
          <w:color w:val="231F20"/>
          <w:spacing w:val="-7"/>
          <w:sz w:val="12"/>
        </w:rPr>
        <w:t> </w:t>
      </w:r>
      <w:r>
        <w:rPr>
          <w:rFonts w:ascii="Arial" w:hAnsi="Arial"/>
          <w:color w:val="231F20"/>
          <w:sz w:val="12"/>
        </w:rPr>
        <w:t>La</w:t>
      </w:r>
      <w:r>
        <w:rPr>
          <w:rFonts w:ascii="Arial" w:hAnsi="Arial"/>
          <w:color w:val="231F20"/>
          <w:spacing w:val="-7"/>
          <w:sz w:val="12"/>
        </w:rPr>
        <w:t> </w:t>
      </w:r>
      <w:r>
        <w:rPr>
          <w:rFonts w:ascii="Arial" w:hAnsi="Arial"/>
          <w:color w:val="231F20"/>
          <w:sz w:val="12"/>
        </w:rPr>
        <w:t>QVT</w:t>
      </w:r>
      <w:r>
        <w:rPr>
          <w:rFonts w:ascii="Arial" w:hAnsi="Arial"/>
          <w:color w:val="231F20"/>
          <w:spacing w:val="-7"/>
          <w:sz w:val="12"/>
        </w:rPr>
        <w:t> </w:t>
      </w:r>
      <w:r>
        <w:rPr>
          <w:rFonts w:ascii="Arial" w:hAnsi="Arial"/>
          <w:color w:val="231F20"/>
          <w:sz w:val="12"/>
        </w:rPr>
        <w:t>au</w:t>
      </w:r>
      <w:r>
        <w:rPr>
          <w:rFonts w:ascii="Arial" w:hAnsi="Arial"/>
          <w:color w:val="231F20"/>
          <w:spacing w:val="-7"/>
          <w:sz w:val="12"/>
        </w:rPr>
        <w:t> </w:t>
      </w:r>
      <w:r>
        <w:rPr>
          <w:rFonts w:ascii="Arial" w:hAnsi="Arial"/>
          <w:color w:val="231F20"/>
          <w:sz w:val="12"/>
        </w:rPr>
        <w:t>Québec</w:t>
      </w:r>
      <w:r>
        <w:rPr>
          <w:rFonts w:ascii="Arial" w:hAnsi="Arial"/>
          <w:color w:val="231F20"/>
          <w:spacing w:val="-23"/>
          <w:sz w:val="12"/>
        </w:rPr>
        <w:t> </w:t>
      </w:r>
      <w:r>
        <w:rPr>
          <w:rFonts w:ascii="Arial" w:hAnsi="Arial"/>
          <w:color w:val="231F20"/>
          <w:sz w:val="12"/>
        </w:rPr>
        <w:t>:</w:t>
      </w:r>
      <w:r>
        <w:rPr>
          <w:rFonts w:ascii="Arial" w:hAnsi="Arial"/>
          <w:color w:val="231F20"/>
          <w:spacing w:val="-7"/>
          <w:sz w:val="12"/>
        </w:rPr>
        <w:t> </w:t>
      </w:r>
      <w:r>
        <w:rPr>
          <w:rFonts w:ascii="Arial" w:hAnsi="Arial"/>
          <w:color w:val="231F20"/>
          <w:sz w:val="12"/>
        </w:rPr>
        <w:t>enjeux,</w:t>
      </w:r>
      <w:r>
        <w:rPr>
          <w:rFonts w:ascii="Arial" w:hAnsi="Arial"/>
          <w:color w:val="231F20"/>
          <w:spacing w:val="-7"/>
          <w:sz w:val="12"/>
        </w:rPr>
        <w:t> </w:t>
      </w:r>
      <w:r>
        <w:rPr>
          <w:rFonts w:ascii="Arial" w:hAnsi="Arial"/>
          <w:color w:val="231F20"/>
          <w:sz w:val="12"/>
        </w:rPr>
        <w:t>attentes</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réalités</w:t>
      </w:r>
      <w:r>
        <w:rPr>
          <w:rFonts w:ascii="Arial" w:hAnsi="Arial"/>
          <w:color w:val="231F20"/>
          <w:spacing w:val="-7"/>
          <w:sz w:val="12"/>
        </w:rPr>
        <w:t> </w:t>
      </w:r>
      <w:r>
        <w:rPr>
          <w:rFonts w:ascii="Arial" w:hAnsi="Arial"/>
          <w:color w:val="231F20"/>
          <w:sz w:val="12"/>
        </w:rPr>
        <w:t>organisationnelles,</w:t>
      </w:r>
      <w:r>
        <w:rPr>
          <w:rFonts w:ascii="Arial" w:hAnsi="Arial"/>
          <w:color w:val="231F20"/>
          <w:spacing w:val="-7"/>
          <w:sz w:val="12"/>
        </w:rPr>
        <w:t> </w:t>
      </w:r>
      <w:r>
        <w:rPr>
          <w:rFonts w:ascii="Arial" w:hAnsi="Arial"/>
          <w:i/>
          <w:color w:val="231F20"/>
          <w:sz w:val="12"/>
        </w:rPr>
        <w:t>Revue</w:t>
      </w:r>
      <w:r>
        <w:rPr>
          <w:rFonts w:ascii="Arial" w:hAnsi="Arial"/>
          <w:i/>
          <w:color w:val="231F20"/>
          <w:spacing w:val="40"/>
          <w:sz w:val="12"/>
        </w:rPr>
        <w:t> </w:t>
      </w:r>
      <w:r>
        <w:rPr>
          <w:rFonts w:ascii="Arial" w:hAnsi="Arial"/>
          <w:i/>
          <w:color w:val="231F20"/>
          <w:sz w:val="12"/>
        </w:rPr>
        <w:t>des conditions de travail</w:t>
      </w:r>
      <w:r>
        <w:rPr>
          <w:rFonts w:ascii="Arial" w:hAnsi="Arial"/>
          <w:color w:val="231F20"/>
          <w:sz w:val="12"/>
        </w:rPr>
        <w:t>, ANACT, 33-42.</w:t>
      </w:r>
    </w:p>
    <w:p>
      <w:pPr>
        <w:spacing w:after="0" w:line="295" w:lineRule="auto"/>
        <w:jc w:val="left"/>
        <w:rPr>
          <w:rFonts w:ascii="Arial" w:hAnsi="Arial"/>
          <w:sz w:val="12"/>
        </w:rPr>
        <w:sectPr>
          <w:footerReference w:type="default" r:id="rId45"/>
          <w:pgSz w:w="8640" w:h="12960"/>
          <w:pgMar w:footer="424" w:header="0" w:top="520" w:bottom="620" w:left="460" w:right="1000"/>
        </w:sectPr>
      </w:pPr>
    </w:p>
    <w:p>
      <w:pPr>
        <w:spacing w:before="118"/>
        <w:ind w:left="2462" w:right="0" w:firstLine="0"/>
        <w:jc w:val="left"/>
        <w:rPr>
          <w:rFonts w:ascii="Arial" w:hAnsi="Arial"/>
          <w:sz w:val="14"/>
        </w:rPr>
      </w:pPr>
      <w:bookmarkStart w:name=" 1.3 / Qualité de vie et stress au trava" w:id="18"/>
      <w:bookmarkEnd w:id="18"/>
      <w:r>
        <w:rPr/>
      </w:r>
      <w:bookmarkStart w:name="_bookmark7" w:id="19"/>
      <w:bookmarkEnd w:id="19"/>
      <w:r>
        <w:rPr/>
      </w: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5"/>
        <w:jc w:val="both"/>
      </w:pPr>
      <w:r>
        <w:rPr>
          <w:color w:val="231F20"/>
          <w:w w:val="120"/>
        </w:rPr>
        <w:t>Il</w:t>
      </w:r>
      <w:r>
        <w:rPr>
          <w:color w:val="231F20"/>
          <w:spacing w:val="-7"/>
          <w:w w:val="120"/>
        </w:rPr>
        <w:t> </w:t>
      </w:r>
      <w:r>
        <w:rPr>
          <w:color w:val="231F20"/>
          <w:w w:val="120"/>
        </w:rPr>
        <w:t>y</w:t>
      </w:r>
      <w:r>
        <w:rPr>
          <w:color w:val="231F20"/>
          <w:spacing w:val="-7"/>
          <w:w w:val="120"/>
        </w:rPr>
        <w:t> </w:t>
      </w:r>
      <w:r>
        <w:rPr>
          <w:color w:val="231F20"/>
          <w:w w:val="120"/>
        </w:rPr>
        <w:t>a</w:t>
      </w:r>
      <w:r>
        <w:rPr>
          <w:color w:val="231F20"/>
          <w:spacing w:val="-7"/>
          <w:w w:val="120"/>
        </w:rPr>
        <w:t> </w:t>
      </w:r>
      <w:r>
        <w:rPr>
          <w:color w:val="231F20"/>
          <w:w w:val="120"/>
        </w:rPr>
        <w:t>bien</w:t>
      </w:r>
      <w:r>
        <w:rPr>
          <w:color w:val="231F20"/>
          <w:spacing w:val="-7"/>
          <w:w w:val="120"/>
        </w:rPr>
        <w:t> </w:t>
      </w:r>
      <w:r>
        <w:rPr>
          <w:color w:val="231F20"/>
          <w:w w:val="120"/>
        </w:rPr>
        <w:t>des</w:t>
      </w:r>
      <w:r>
        <w:rPr>
          <w:color w:val="231F20"/>
          <w:spacing w:val="-7"/>
          <w:w w:val="120"/>
        </w:rPr>
        <w:t> </w:t>
      </w:r>
      <w:r>
        <w:rPr>
          <w:color w:val="231F20"/>
          <w:w w:val="120"/>
        </w:rPr>
        <w:t>orientations</w:t>
      </w:r>
      <w:r>
        <w:rPr>
          <w:color w:val="231F20"/>
          <w:spacing w:val="-7"/>
          <w:w w:val="120"/>
        </w:rPr>
        <w:t> </w:t>
      </w:r>
      <w:r>
        <w:rPr>
          <w:color w:val="231F20"/>
          <w:w w:val="120"/>
        </w:rPr>
        <w:t>susceptibles</w:t>
      </w:r>
      <w:r>
        <w:rPr>
          <w:color w:val="231F20"/>
          <w:spacing w:val="-7"/>
          <w:w w:val="120"/>
        </w:rPr>
        <w:t> </w:t>
      </w:r>
      <w:r>
        <w:rPr>
          <w:color w:val="231F20"/>
          <w:w w:val="120"/>
        </w:rPr>
        <w:t>d’améliorer</w:t>
      </w:r>
      <w:r>
        <w:rPr>
          <w:color w:val="231F20"/>
          <w:spacing w:val="-7"/>
          <w:w w:val="120"/>
        </w:rPr>
        <w:t> </w:t>
      </w:r>
      <w:r>
        <w:rPr>
          <w:color w:val="231F20"/>
          <w:w w:val="120"/>
        </w:rPr>
        <w:t>la</w:t>
      </w:r>
      <w:r>
        <w:rPr>
          <w:color w:val="231F20"/>
          <w:spacing w:val="-7"/>
          <w:w w:val="120"/>
        </w:rPr>
        <w:t> </w:t>
      </w:r>
      <w:r>
        <w:rPr>
          <w:color w:val="231F20"/>
          <w:w w:val="120"/>
        </w:rPr>
        <w:t>qualité</w:t>
      </w:r>
      <w:r>
        <w:rPr>
          <w:color w:val="231F20"/>
          <w:spacing w:val="-7"/>
          <w:w w:val="120"/>
        </w:rPr>
        <w:t> </w:t>
      </w:r>
      <w:r>
        <w:rPr>
          <w:color w:val="231F20"/>
          <w:w w:val="120"/>
        </w:rPr>
        <w:t>de</w:t>
      </w:r>
      <w:r>
        <w:rPr>
          <w:color w:val="231F20"/>
          <w:spacing w:val="-7"/>
          <w:w w:val="120"/>
        </w:rPr>
        <w:t> </w:t>
      </w:r>
      <w:r>
        <w:rPr>
          <w:color w:val="231F20"/>
          <w:w w:val="120"/>
        </w:rPr>
        <w:t>vie</w:t>
      </w:r>
      <w:r>
        <w:rPr>
          <w:color w:val="231F20"/>
          <w:spacing w:val="-7"/>
          <w:w w:val="120"/>
        </w:rPr>
        <w:t> </w:t>
      </w:r>
      <w:r>
        <w:rPr>
          <w:color w:val="231F20"/>
          <w:w w:val="120"/>
        </w:rPr>
        <w:t>au </w:t>
      </w:r>
      <w:r>
        <w:rPr>
          <w:color w:val="231F20"/>
          <w:spacing w:val="-4"/>
          <w:w w:val="120"/>
        </w:rPr>
        <w:t>travail et les stratégies d’implantation doivent s’ajuster à chaque contexte organisationnel. Cependant, parmi les stratégies fréquemment observées, </w:t>
      </w:r>
      <w:r>
        <w:rPr>
          <w:color w:val="231F20"/>
          <w:w w:val="115"/>
        </w:rPr>
        <w:t>on</w:t>
      </w:r>
      <w:r>
        <w:rPr>
          <w:color w:val="231F20"/>
          <w:spacing w:val="-13"/>
          <w:w w:val="115"/>
        </w:rPr>
        <w:t> </w:t>
      </w:r>
      <w:r>
        <w:rPr>
          <w:color w:val="231F20"/>
          <w:w w:val="115"/>
        </w:rPr>
        <w:t>retrouve</w:t>
      </w:r>
      <w:r>
        <w:rPr>
          <w:color w:val="231F20"/>
          <w:spacing w:val="-12"/>
          <w:w w:val="115"/>
        </w:rPr>
        <w:t> </w:t>
      </w:r>
      <w:r>
        <w:rPr>
          <w:color w:val="231F20"/>
          <w:w w:val="115"/>
        </w:rPr>
        <w:t>: la réingénierie des emplois et la réorganisation du travail, la </w:t>
      </w:r>
      <w:r>
        <w:rPr>
          <w:color w:val="231F20"/>
          <w:w w:val="120"/>
        </w:rPr>
        <w:t>participation des employés, le soutien au développement de carrière, </w:t>
      </w:r>
      <w:r>
        <w:rPr>
          <w:color w:val="231F20"/>
          <w:spacing w:val="-2"/>
          <w:w w:val="120"/>
        </w:rPr>
        <w:t>l’amélioration</w:t>
      </w:r>
      <w:r>
        <w:rPr>
          <w:color w:val="231F20"/>
          <w:spacing w:val="-13"/>
          <w:w w:val="120"/>
        </w:rPr>
        <w:t> </w:t>
      </w:r>
      <w:r>
        <w:rPr>
          <w:color w:val="231F20"/>
          <w:spacing w:val="-2"/>
          <w:w w:val="120"/>
        </w:rPr>
        <w:t>des</w:t>
      </w:r>
      <w:r>
        <w:rPr>
          <w:color w:val="231F20"/>
          <w:spacing w:val="-11"/>
          <w:w w:val="120"/>
        </w:rPr>
        <w:t> </w:t>
      </w:r>
      <w:r>
        <w:rPr>
          <w:color w:val="231F20"/>
          <w:spacing w:val="-2"/>
          <w:w w:val="120"/>
        </w:rPr>
        <w:t>relations</w:t>
      </w:r>
      <w:r>
        <w:rPr>
          <w:color w:val="231F20"/>
          <w:spacing w:val="-11"/>
          <w:w w:val="120"/>
        </w:rPr>
        <w:t> </w:t>
      </w:r>
      <w:r>
        <w:rPr>
          <w:color w:val="231F20"/>
          <w:spacing w:val="-2"/>
          <w:w w:val="120"/>
        </w:rPr>
        <w:t>interpersonnelles,</w:t>
      </w:r>
      <w:r>
        <w:rPr>
          <w:color w:val="231F20"/>
          <w:spacing w:val="-10"/>
          <w:w w:val="120"/>
        </w:rPr>
        <w:t> </w:t>
      </w:r>
      <w:r>
        <w:rPr>
          <w:color w:val="231F20"/>
          <w:spacing w:val="-2"/>
          <w:w w:val="120"/>
        </w:rPr>
        <w:t>les</w:t>
      </w:r>
      <w:r>
        <w:rPr>
          <w:color w:val="231F20"/>
          <w:spacing w:val="-11"/>
          <w:w w:val="120"/>
        </w:rPr>
        <w:t> </w:t>
      </w:r>
      <w:r>
        <w:rPr>
          <w:color w:val="231F20"/>
          <w:spacing w:val="-2"/>
          <w:w w:val="120"/>
        </w:rPr>
        <w:t>équipes</w:t>
      </w:r>
      <w:r>
        <w:rPr>
          <w:color w:val="231F20"/>
          <w:spacing w:val="-11"/>
          <w:w w:val="120"/>
        </w:rPr>
        <w:t> </w:t>
      </w:r>
      <w:r>
        <w:rPr>
          <w:color w:val="231F20"/>
          <w:spacing w:val="-2"/>
          <w:w w:val="120"/>
        </w:rPr>
        <w:t>de</w:t>
      </w:r>
      <w:r>
        <w:rPr>
          <w:color w:val="231F20"/>
          <w:spacing w:val="-11"/>
          <w:w w:val="120"/>
        </w:rPr>
        <w:t> </w:t>
      </w:r>
      <w:r>
        <w:rPr>
          <w:color w:val="231F20"/>
          <w:spacing w:val="-2"/>
          <w:w w:val="120"/>
        </w:rPr>
        <w:t>travail</w:t>
      </w:r>
      <w:r>
        <w:rPr>
          <w:color w:val="231F20"/>
          <w:spacing w:val="-10"/>
          <w:w w:val="120"/>
        </w:rPr>
        <w:t> </w:t>
      </w:r>
      <w:r>
        <w:rPr>
          <w:color w:val="231F20"/>
          <w:spacing w:val="-2"/>
          <w:w w:val="120"/>
        </w:rPr>
        <w:t>auto- </w:t>
      </w:r>
      <w:r>
        <w:rPr>
          <w:color w:val="231F20"/>
          <w:w w:val="120"/>
        </w:rPr>
        <w:t>gérées,</w:t>
      </w:r>
      <w:r>
        <w:rPr>
          <w:color w:val="231F20"/>
          <w:spacing w:val="-12"/>
          <w:w w:val="120"/>
        </w:rPr>
        <w:t> </w:t>
      </w:r>
      <w:r>
        <w:rPr>
          <w:color w:val="231F20"/>
          <w:w w:val="120"/>
        </w:rPr>
        <w:t>une</w:t>
      </w:r>
      <w:r>
        <w:rPr>
          <w:color w:val="231F20"/>
          <w:spacing w:val="-12"/>
          <w:w w:val="120"/>
        </w:rPr>
        <w:t> </w:t>
      </w:r>
      <w:r>
        <w:rPr>
          <w:color w:val="231F20"/>
          <w:w w:val="120"/>
        </w:rPr>
        <w:t>promotion</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reconnaissance,</w:t>
      </w:r>
      <w:r>
        <w:rPr>
          <w:color w:val="231F20"/>
          <w:spacing w:val="-12"/>
          <w:w w:val="120"/>
        </w:rPr>
        <w:t> </w:t>
      </w:r>
      <w:r>
        <w:rPr>
          <w:color w:val="231F20"/>
          <w:w w:val="120"/>
        </w:rPr>
        <w:t>une</w:t>
      </w:r>
      <w:r>
        <w:rPr>
          <w:color w:val="231F20"/>
          <w:spacing w:val="-12"/>
          <w:w w:val="120"/>
        </w:rPr>
        <w:t> </w:t>
      </w:r>
      <w:r>
        <w:rPr>
          <w:color w:val="231F20"/>
          <w:w w:val="120"/>
        </w:rPr>
        <w:t>flexibilité</w:t>
      </w:r>
      <w:r>
        <w:rPr>
          <w:color w:val="231F20"/>
          <w:spacing w:val="-12"/>
          <w:w w:val="120"/>
        </w:rPr>
        <w:t> </w:t>
      </w:r>
      <w:r>
        <w:rPr>
          <w:color w:val="231F20"/>
          <w:w w:val="120"/>
        </w:rPr>
        <w:t>des</w:t>
      </w:r>
      <w:r>
        <w:rPr>
          <w:color w:val="231F20"/>
          <w:spacing w:val="-12"/>
          <w:w w:val="120"/>
        </w:rPr>
        <w:t> </w:t>
      </w:r>
      <w:r>
        <w:rPr>
          <w:color w:val="231F20"/>
          <w:w w:val="120"/>
        </w:rPr>
        <w:t>horaires de</w:t>
      </w:r>
      <w:r>
        <w:rPr>
          <w:color w:val="231F20"/>
          <w:spacing w:val="-7"/>
          <w:w w:val="120"/>
        </w:rPr>
        <w:t> </w:t>
      </w:r>
      <w:r>
        <w:rPr>
          <w:color w:val="231F20"/>
          <w:w w:val="120"/>
        </w:rPr>
        <w:t>travail</w:t>
      </w:r>
      <w:r>
        <w:rPr>
          <w:color w:val="231F20"/>
          <w:spacing w:val="-7"/>
          <w:w w:val="120"/>
        </w:rPr>
        <w:t> </w:t>
      </w:r>
      <w:r>
        <w:rPr>
          <w:color w:val="231F20"/>
          <w:w w:val="120"/>
        </w:rPr>
        <w:t>et</w:t>
      </w:r>
      <w:r>
        <w:rPr>
          <w:color w:val="231F20"/>
          <w:spacing w:val="-7"/>
          <w:w w:val="120"/>
        </w:rPr>
        <w:t> </w:t>
      </w:r>
      <w:r>
        <w:rPr>
          <w:color w:val="231F20"/>
          <w:w w:val="120"/>
        </w:rPr>
        <w:t>une</w:t>
      </w:r>
      <w:r>
        <w:rPr>
          <w:color w:val="231F20"/>
          <w:spacing w:val="-7"/>
          <w:w w:val="120"/>
        </w:rPr>
        <w:t> </w:t>
      </w:r>
      <w:r>
        <w:rPr>
          <w:color w:val="231F20"/>
          <w:w w:val="120"/>
        </w:rPr>
        <w:t>culture</w:t>
      </w:r>
      <w:r>
        <w:rPr>
          <w:color w:val="231F20"/>
          <w:spacing w:val="-7"/>
          <w:w w:val="120"/>
        </w:rPr>
        <w:t> </w:t>
      </w:r>
      <w:r>
        <w:rPr>
          <w:color w:val="231F20"/>
          <w:w w:val="120"/>
        </w:rPr>
        <w:t>organisationnelle</w:t>
      </w:r>
      <w:r>
        <w:rPr>
          <w:color w:val="231F20"/>
          <w:spacing w:val="-7"/>
          <w:w w:val="120"/>
        </w:rPr>
        <w:t> </w:t>
      </w:r>
      <w:r>
        <w:rPr>
          <w:color w:val="231F20"/>
          <w:w w:val="120"/>
        </w:rPr>
        <w:t>axée</w:t>
      </w:r>
      <w:r>
        <w:rPr>
          <w:color w:val="231F20"/>
          <w:spacing w:val="-7"/>
          <w:w w:val="120"/>
        </w:rPr>
        <w:t> </w:t>
      </w:r>
      <w:r>
        <w:rPr>
          <w:color w:val="231F20"/>
          <w:w w:val="120"/>
        </w:rPr>
        <w:t>vers</w:t>
      </w:r>
      <w:r>
        <w:rPr>
          <w:color w:val="231F20"/>
          <w:spacing w:val="-7"/>
          <w:w w:val="120"/>
        </w:rPr>
        <w:t> </w:t>
      </w:r>
      <w:r>
        <w:rPr>
          <w:color w:val="231F20"/>
          <w:w w:val="120"/>
        </w:rPr>
        <w:t>la</w:t>
      </w:r>
      <w:r>
        <w:rPr>
          <w:color w:val="231F20"/>
          <w:spacing w:val="-7"/>
          <w:w w:val="120"/>
        </w:rPr>
        <w:t> </w:t>
      </w:r>
      <w:r>
        <w:rPr>
          <w:color w:val="231F20"/>
          <w:w w:val="120"/>
        </w:rPr>
        <w:t>collaboration13.</w:t>
      </w:r>
    </w:p>
    <w:p>
      <w:pPr>
        <w:pStyle w:val="BodyText"/>
        <w:rPr>
          <w:sz w:val="24"/>
        </w:rPr>
      </w:pPr>
    </w:p>
    <w:p>
      <w:pPr>
        <w:pStyle w:val="Heading2"/>
        <w:numPr>
          <w:ilvl w:val="1"/>
          <w:numId w:val="11"/>
        </w:numPr>
        <w:tabs>
          <w:tab w:pos="871" w:val="left" w:leader="none"/>
          <w:tab w:pos="1179" w:val="left" w:leader="none"/>
        </w:tabs>
        <w:spacing w:line="240" w:lineRule="auto" w:before="184" w:after="0"/>
        <w:ind w:left="870" w:right="0" w:hanging="278"/>
        <w:jc w:val="left"/>
      </w:pPr>
      <w:r>
        <w:rPr>
          <w:b w:val="0"/>
          <w:i/>
          <w:color w:val="231F20"/>
          <w:spacing w:val="-10"/>
        </w:rPr>
        <w:t>/</w:t>
      </w:r>
      <w:r>
        <w:rPr>
          <w:b w:val="0"/>
          <w:i/>
          <w:color w:val="231F20"/>
        </w:rPr>
        <w:tab/>
      </w:r>
      <w:r>
        <w:rPr>
          <w:color w:val="231F20"/>
          <w:w w:val="95"/>
        </w:rPr>
        <w:t>Qualité</w:t>
      </w:r>
      <w:r>
        <w:rPr>
          <w:color w:val="231F20"/>
          <w:spacing w:val="-7"/>
          <w:w w:val="95"/>
        </w:rPr>
        <w:t> </w:t>
      </w:r>
      <w:r>
        <w:rPr>
          <w:color w:val="231F20"/>
          <w:w w:val="95"/>
        </w:rPr>
        <w:t>de</w:t>
      </w:r>
      <w:r>
        <w:rPr>
          <w:color w:val="231F20"/>
          <w:spacing w:val="-6"/>
          <w:w w:val="95"/>
        </w:rPr>
        <w:t> </w:t>
      </w:r>
      <w:r>
        <w:rPr>
          <w:color w:val="231F20"/>
          <w:w w:val="95"/>
        </w:rPr>
        <w:t>vie</w:t>
      </w:r>
      <w:r>
        <w:rPr>
          <w:color w:val="231F20"/>
          <w:spacing w:val="-6"/>
          <w:w w:val="95"/>
        </w:rPr>
        <w:t> </w:t>
      </w:r>
      <w:r>
        <w:rPr>
          <w:color w:val="231F20"/>
          <w:w w:val="95"/>
        </w:rPr>
        <w:t>et</w:t>
      </w:r>
      <w:r>
        <w:rPr>
          <w:color w:val="231F20"/>
          <w:spacing w:val="-6"/>
          <w:w w:val="95"/>
        </w:rPr>
        <w:t> </w:t>
      </w:r>
      <w:r>
        <w:rPr>
          <w:color w:val="231F20"/>
          <w:w w:val="95"/>
        </w:rPr>
        <w:t>stress</w:t>
      </w:r>
      <w:r>
        <w:rPr>
          <w:color w:val="231F20"/>
          <w:spacing w:val="-6"/>
          <w:w w:val="95"/>
        </w:rPr>
        <w:t> </w:t>
      </w:r>
      <w:r>
        <w:rPr>
          <w:color w:val="231F20"/>
          <w:w w:val="95"/>
        </w:rPr>
        <w:t>au</w:t>
      </w:r>
      <w:r>
        <w:rPr>
          <w:color w:val="231F20"/>
          <w:spacing w:val="-6"/>
          <w:w w:val="95"/>
        </w:rPr>
        <w:t> </w:t>
      </w:r>
      <w:r>
        <w:rPr>
          <w:color w:val="231F20"/>
          <w:spacing w:val="-2"/>
          <w:w w:val="95"/>
        </w:rPr>
        <w:t>travail</w:t>
      </w:r>
    </w:p>
    <w:p>
      <w:pPr>
        <w:pStyle w:val="BodyText"/>
        <w:spacing w:before="9"/>
        <w:rPr>
          <w:rFonts w:ascii="Arial"/>
          <w:b/>
          <w:sz w:val="25"/>
        </w:rPr>
      </w:pPr>
    </w:p>
    <w:p>
      <w:pPr>
        <w:pStyle w:val="BodyText"/>
        <w:spacing w:line="307" w:lineRule="auto"/>
        <w:ind w:left="1180" w:right="244"/>
        <w:jc w:val="both"/>
      </w:pPr>
      <w:r>
        <w:rPr>
          <w:color w:val="231F20"/>
          <w:spacing w:val="-4"/>
          <w:w w:val="120"/>
        </w:rPr>
        <w:t>La qualité de vie au travail entraîne d’importantes répercussions sur l’état </w:t>
      </w:r>
      <w:r>
        <w:rPr>
          <w:color w:val="231F20"/>
          <w:w w:val="115"/>
        </w:rPr>
        <w:t>émotionnel</w:t>
      </w:r>
      <w:r>
        <w:rPr>
          <w:color w:val="231F20"/>
          <w:spacing w:val="-7"/>
          <w:w w:val="115"/>
        </w:rPr>
        <w:t> </w:t>
      </w:r>
      <w:r>
        <w:rPr>
          <w:color w:val="231F20"/>
          <w:w w:val="115"/>
        </w:rPr>
        <w:t>ainsi</w:t>
      </w:r>
      <w:r>
        <w:rPr>
          <w:color w:val="231F20"/>
          <w:spacing w:val="-7"/>
          <w:w w:val="115"/>
        </w:rPr>
        <w:t> </w:t>
      </w:r>
      <w:r>
        <w:rPr>
          <w:color w:val="231F20"/>
          <w:w w:val="115"/>
        </w:rPr>
        <w:t>que</w:t>
      </w:r>
      <w:r>
        <w:rPr>
          <w:color w:val="231F20"/>
          <w:spacing w:val="-7"/>
          <w:w w:val="115"/>
        </w:rPr>
        <w:t> </w:t>
      </w:r>
      <w:r>
        <w:rPr>
          <w:color w:val="231F20"/>
          <w:w w:val="115"/>
        </w:rPr>
        <w:t>sur</w:t>
      </w:r>
      <w:r>
        <w:rPr>
          <w:color w:val="231F20"/>
          <w:spacing w:val="-7"/>
          <w:w w:val="115"/>
        </w:rPr>
        <w:t> </w:t>
      </w:r>
      <w:r>
        <w:rPr>
          <w:color w:val="231F20"/>
          <w:w w:val="115"/>
        </w:rPr>
        <w:t>la</w:t>
      </w:r>
      <w:r>
        <w:rPr>
          <w:color w:val="231F20"/>
          <w:spacing w:val="-7"/>
          <w:w w:val="115"/>
        </w:rPr>
        <w:t> </w:t>
      </w:r>
      <w:r>
        <w:rPr>
          <w:color w:val="231F20"/>
          <w:w w:val="115"/>
        </w:rPr>
        <w:t>possibilité</w:t>
      </w:r>
      <w:r>
        <w:rPr>
          <w:color w:val="231F20"/>
          <w:spacing w:val="-7"/>
          <w:w w:val="115"/>
        </w:rPr>
        <w:t> </w:t>
      </w:r>
      <w:r>
        <w:rPr>
          <w:color w:val="231F20"/>
          <w:w w:val="115"/>
        </w:rPr>
        <w:t>pour</w:t>
      </w:r>
      <w:r>
        <w:rPr>
          <w:color w:val="231F20"/>
          <w:spacing w:val="-7"/>
          <w:w w:val="115"/>
        </w:rPr>
        <w:t> </w:t>
      </w:r>
      <w:r>
        <w:rPr>
          <w:color w:val="231F20"/>
          <w:w w:val="115"/>
        </w:rPr>
        <w:t>l’individu</w:t>
      </w:r>
      <w:r>
        <w:rPr>
          <w:color w:val="231F20"/>
          <w:spacing w:val="-7"/>
          <w:w w:val="115"/>
        </w:rPr>
        <w:t> </w:t>
      </w:r>
      <w:r>
        <w:rPr>
          <w:color w:val="231F20"/>
          <w:w w:val="115"/>
        </w:rPr>
        <w:t>d’atteindre</w:t>
      </w:r>
      <w:r>
        <w:rPr>
          <w:color w:val="231F20"/>
          <w:spacing w:val="-7"/>
          <w:w w:val="115"/>
        </w:rPr>
        <w:t> </w:t>
      </w:r>
      <w:r>
        <w:rPr>
          <w:color w:val="231F20"/>
          <w:w w:val="115"/>
        </w:rPr>
        <w:t>un</w:t>
      </w:r>
      <w:r>
        <w:rPr>
          <w:color w:val="231F20"/>
          <w:spacing w:val="-7"/>
          <w:w w:val="115"/>
        </w:rPr>
        <w:t> </w:t>
      </w:r>
      <w:r>
        <w:rPr>
          <w:color w:val="231F20"/>
          <w:w w:val="115"/>
        </w:rPr>
        <w:t>équi- </w:t>
      </w:r>
      <w:r>
        <w:rPr>
          <w:color w:val="231F20"/>
          <w:spacing w:val="-2"/>
          <w:w w:val="120"/>
        </w:rPr>
        <w:t>libre</w:t>
      </w:r>
      <w:r>
        <w:rPr>
          <w:color w:val="231F20"/>
          <w:spacing w:val="-5"/>
          <w:w w:val="120"/>
        </w:rPr>
        <w:t> </w:t>
      </w:r>
      <w:r>
        <w:rPr>
          <w:color w:val="231F20"/>
          <w:spacing w:val="-2"/>
          <w:w w:val="120"/>
        </w:rPr>
        <w:t>socioaffectif.</w:t>
      </w:r>
      <w:r>
        <w:rPr>
          <w:color w:val="231F20"/>
          <w:spacing w:val="-5"/>
          <w:w w:val="120"/>
        </w:rPr>
        <w:t> </w:t>
      </w:r>
      <w:r>
        <w:rPr>
          <w:color w:val="231F20"/>
          <w:spacing w:val="-2"/>
          <w:w w:val="120"/>
        </w:rPr>
        <w:t>Bien</w:t>
      </w:r>
      <w:r>
        <w:rPr>
          <w:color w:val="231F20"/>
          <w:spacing w:val="-5"/>
          <w:w w:val="120"/>
        </w:rPr>
        <w:t> </w:t>
      </w:r>
      <w:r>
        <w:rPr>
          <w:color w:val="231F20"/>
          <w:spacing w:val="-2"/>
          <w:w w:val="120"/>
        </w:rPr>
        <w:t>des</w:t>
      </w:r>
      <w:r>
        <w:rPr>
          <w:color w:val="231F20"/>
          <w:spacing w:val="-5"/>
          <w:w w:val="120"/>
        </w:rPr>
        <w:t> </w:t>
      </w:r>
      <w:r>
        <w:rPr>
          <w:color w:val="231F20"/>
          <w:spacing w:val="-2"/>
          <w:w w:val="120"/>
        </w:rPr>
        <w:t>gens</w:t>
      </w:r>
      <w:r>
        <w:rPr>
          <w:color w:val="231F20"/>
          <w:spacing w:val="-5"/>
          <w:w w:val="120"/>
        </w:rPr>
        <w:t> </w:t>
      </w:r>
      <w:r>
        <w:rPr>
          <w:color w:val="231F20"/>
          <w:spacing w:val="-2"/>
          <w:w w:val="120"/>
        </w:rPr>
        <w:t>considèrent</w:t>
      </w:r>
      <w:r>
        <w:rPr>
          <w:color w:val="231F20"/>
          <w:spacing w:val="-5"/>
          <w:w w:val="120"/>
        </w:rPr>
        <w:t> </w:t>
      </w:r>
      <w:r>
        <w:rPr>
          <w:color w:val="231F20"/>
          <w:spacing w:val="-2"/>
          <w:w w:val="120"/>
        </w:rPr>
        <w:t>le</w:t>
      </w:r>
      <w:r>
        <w:rPr>
          <w:color w:val="231F20"/>
          <w:spacing w:val="-5"/>
          <w:w w:val="120"/>
        </w:rPr>
        <w:t> </w:t>
      </w:r>
      <w:r>
        <w:rPr>
          <w:color w:val="231F20"/>
          <w:spacing w:val="-2"/>
          <w:w w:val="120"/>
        </w:rPr>
        <w:t>travail</w:t>
      </w:r>
      <w:r>
        <w:rPr>
          <w:color w:val="231F20"/>
          <w:spacing w:val="-5"/>
          <w:w w:val="120"/>
        </w:rPr>
        <w:t> </w:t>
      </w:r>
      <w:r>
        <w:rPr>
          <w:color w:val="231F20"/>
          <w:spacing w:val="-2"/>
          <w:w w:val="120"/>
        </w:rPr>
        <w:t>comme</w:t>
      </w:r>
      <w:r>
        <w:rPr>
          <w:color w:val="231F20"/>
          <w:spacing w:val="-5"/>
          <w:w w:val="120"/>
        </w:rPr>
        <w:t> </w:t>
      </w:r>
      <w:r>
        <w:rPr>
          <w:color w:val="231F20"/>
          <w:spacing w:val="-2"/>
          <w:w w:val="120"/>
        </w:rPr>
        <w:t>l’une</w:t>
      </w:r>
      <w:r>
        <w:rPr>
          <w:color w:val="231F20"/>
          <w:spacing w:val="-5"/>
          <w:w w:val="120"/>
        </w:rPr>
        <w:t> </w:t>
      </w:r>
      <w:r>
        <w:rPr>
          <w:color w:val="231F20"/>
          <w:spacing w:val="-2"/>
          <w:w w:val="120"/>
        </w:rPr>
        <w:t>des </w:t>
      </w:r>
      <w:r>
        <w:rPr>
          <w:color w:val="231F20"/>
          <w:w w:val="120"/>
        </w:rPr>
        <w:t>activités fondamentales de l’existence humaine, celle qui nous permet </w:t>
      </w:r>
      <w:r>
        <w:rPr>
          <w:color w:val="231F20"/>
          <w:w w:val="115"/>
        </w:rPr>
        <w:t>de</w:t>
      </w:r>
      <w:r>
        <w:rPr>
          <w:color w:val="231F20"/>
          <w:spacing w:val="-4"/>
          <w:w w:val="115"/>
        </w:rPr>
        <w:t> </w:t>
      </w:r>
      <w:r>
        <w:rPr>
          <w:color w:val="231F20"/>
          <w:w w:val="115"/>
        </w:rPr>
        <w:t>produire</w:t>
      </w:r>
      <w:r>
        <w:rPr>
          <w:color w:val="231F20"/>
          <w:spacing w:val="-4"/>
          <w:w w:val="115"/>
        </w:rPr>
        <w:t> </w:t>
      </w:r>
      <w:r>
        <w:rPr>
          <w:color w:val="231F20"/>
          <w:w w:val="115"/>
        </w:rPr>
        <w:t>les</w:t>
      </w:r>
      <w:r>
        <w:rPr>
          <w:color w:val="231F20"/>
          <w:spacing w:val="-4"/>
          <w:w w:val="115"/>
        </w:rPr>
        <w:t> </w:t>
      </w:r>
      <w:r>
        <w:rPr>
          <w:color w:val="231F20"/>
          <w:w w:val="115"/>
        </w:rPr>
        <w:t>biens</w:t>
      </w:r>
      <w:r>
        <w:rPr>
          <w:color w:val="231F20"/>
          <w:spacing w:val="-4"/>
          <w:w w:val="115"/>
        </w:rPr>
        <w:t> </w:t>
      </w:r>
      <w:r>
        <w:rPr>
          <w:color w:val="231F20"/>
          <w:w w:val="115"/>
        </w:rPr>
        <w:t>et</w:t>
      </w:r>
      <w:r>
        <w:rPr>
          <w:color w:val="231F20"/>
          <w:spacing w:val="-4"/>
          <w:w w:val="115"/>
        </w:rPr>
        <w:t> </w:t>
      </w:r>
      <w:r>
        <w:rPr>
          <w:color w:val="231F20"/>
          <w:w w:val="115"/>
        </w:rPr>
        <w:t>les</w:t>
      </w:r>
      <w:r>
        <w:rPr>
          <w:color w:val="231F20"/>
          <w:spacing w:val="-4"/>
          <w:w w:val="115"/>
        </w:rPr>
        <w:t> </w:t>
      </w:r>
      <w:r>
        <w:rPr>
          <w:color w:val="231F20"/>
          <w:w w:val="115"/>
        </w:rPr>
        <w:t>services</w:t>
      </w:r>
      <w:r>
        <w:rPr>
          <w:color w:val="231F20"/>
          <w:spacing w:val="-4"/>
          <w:w w:val="115"/>
        </w:rPr>
        <w:t> </w:t>
      </w:r>
      <w:r>
        <w:rPr>
          <w:color w:val="231F20"/>
          <w:w w:val="115"/>
        </w:rPr>
        <w:t>indispensables</w:t>
      </w:r>
      <w:r>
        <w:rPr>
          <w:color w:val="231F20"/>
          <w:spacing w:val="-4"/>
          <w:w w:val="115"/>
        </w:rPr>
        <w:t> </w:t>
      </w:r>
      <w:r>
        <w:rPr>
          <w:color w:val="231F20"/>
          <w:w w:val="115"/>
        </w:rPr>
        <w:t>à</w:t>
      </w:r>
      <w:r>
        <w:rPr>
          <w:color w:val="231F20"/>
          <w:spacing w:val="-4"/>
          <w:w w:val="115"/>
        </w:rPr>
        <w:t> </w:t>
      </w:r>
      <w:r>
        <w:rPr>
          <w:color w:val="231F20"/>
          <w:w w:val="115"/>
        </w:rPr>
        <w:t>la</w:t>
      </w:r>
      <w:r>
        <w:rPr>
          <w:color w:val="231F20"/>
          <w:spacing w:val="-4"/>
          <w:w w:val="115"/>
        </w:rPr>
        <w:t> </w:t>
      </w:r>
      <w:r>
        <w:rPr>
          <w:color w:val="231F20"/>
          <w:w w:val="115"/>
        </w:rPr>
        <w:t>vie</w:t>
      </w:r>
      <w:r>
        <w:rPr>
          <w:color w:val="231F20"/>
          <w:spacing w:val="-4"/>
          <w:w w:val="115"/>
        </w:rPr>
        <w:t> </w:t>
      </w:r>
      <w:r>
        <w:rPr>
          <w:color w:val="231F20"/>
          <w:w w:val="115"/>
        </w:rPr>
        <w:t>moderne,</w:t>
      </w:r>
      <w:r>
        <w:rPr>
          <w:color w:val="231F20"/>
          <w:spacing w:val="-4"/>
          <w:w w:val="115"/>
        </w:rPr>
        <w:t> </w:t>
      </w:r>
      <w:r>
        <w:rPr>
          <w:color w:val="231F20"/>
          <w:w w:val="115"/>
        </w:rPr>
        <w:t>celle </w:t>
      </w:r>
      <w:r>
        <w:rPr>
          <w:color w:val="231F20"/>
          <w:w w:val="120"/>
        </w:rPr>
        <w:t>qui</w:t>
      </w:r>
      <w:r>
        <w:rPr>
          <w:color w:val="231F20"/>
          <w:spacing w:val="-10"/>
          <w:w w:val="120"/>
        </w:rPr>
        <w:t> </w:t>
      </w:r>
      <w:r>
        <w:rPr>
          <w:color w:val="231F20"/>
          <w:w w:val="120"/>
        </w:rPr>
        <w:t>régule</w:t>
      </w:r>
      <w:r>
        <w:rPr>
          <w:color w:val="231F20"/>
          <w:spacing w:val="-10"/>
          <w:w w:val="120"/>
        </w:rPr>
        <w:t> </w:t>
      </w:r>
      <w:r>
        <w:rPr>
          <w:color w:val="231F20"/>
          <w:w w:val="120"/>
        </w:rPr>
        <w:t>nos</w:t>
      </w:r>
      <w:r>
        <w:rPr>
          <w:color w:val="231F20"/>
          <w:spacing w:val="-10"/>
          <w:w w:val="120"/>
        </w:rPr>
        <w:t> </w:t>
      </w:r>
      <w:r>
        <w:rPr>
          <w:color w:val="231F20"/>
          <w:w w:val="120"/>
        </w:rPr>
        <w:t>temps</w:t>
      </w:r>
      <w:r>
        <w:rPr>
          <w:color w:val="231F20"/>
          <w:spacing w:val="-10"/>
          <w:w w:val="120"/>
        </w:rPr>
        <w:t> </w:t>
      </w:r>
      <w:r>
        <w:rPr>
          <w:color w:val="231F20"/>
          <w:w w:val="120"/>
        </w:rPr>
        <w:t>sociaux,</w:t>
      </w:r>
      <w:r>
        <w:rPr>
          <w:color w:val="231F20"/>
          <w:spacing w:val="-10"/>
          <w:w w:val="120"/>
        </w:rPr>
        <w:t> </w:t>
      </w:r>
      <w:r>
        <w:rPr>
          <w:color w:val="231F20"/>
          <w:w w:val="120"/>
        </w:rPr>
        <w:t>celle</w:t>
      </w:r>
      <w:r>
        <w:rPr>
          <w:color w:val="231F20"/>
          <w:spacing w:val="-10"/>
          <w:w w:val="120"/>
        </w:rPr>
        <w:t> </w:t>
      </w:r>
      <w:r>
        <w:rPr>
          <w:color w:val="231F20"/>
          <w:w w:val="120"/>
        </w:rPr>
        <w:t>qui</w:t>
      </w:r>
      <w:r>
        <w:rPr>
          <w:color w:val="231F20"/>
          <w:spacing w:val="-10"/>
          <w:w w:val="120"/>
        </w:rPr>
        <w:t> </w:t>
      </w:r>
      <w:r>
        <w:rPr>
          <w:color w:val="231F20"/>
          <w:w w:val="120"/>
        </w:rPr>
        <w:t>nous</w:t>
      </w:r>
      <w:r>
        <w:rPr>
          <w:color w:val="231F20"/>
          <w:spacing w:val="-10"/>
          <w:w w:val="120"/>
        </w:rPr>
        <w:t> </w:t>
      </w:r>
      <w:r>
        <w:rPr>
          <w:color w:val="231F20"/>
          <w:w w:val="120"/>
        </w:rPr>
        <w:t>permet</w:t>
      </w:r>
      <w:r>
        <w:rPr>
          <w:color w:val="231F20"/>
          <w:spacing w:val="-10"/>
          <w:w w:val="120"/>
        </w:rPr>
        <w:t> </w:t>
      </w:r>
      <w:r>
        <w:rPr>
          <w:color w:val="231F20"/>
          <w:w w:val="120"/>
        </w:rPr>
        <w:t>de</w:t>
      </w:r>
      <w:r>
        <w:rPr>
          <w:color w:val="231F20"/>
          <w:spacing w:val="-10"/>
          <w:w w:val="120"/>
        </w:rPr>
        <w:t> </w:t>
      </w:r>
      <w:r>
        <w:rPr>
          <w:color w:val="231F20"/>
          <w:w w:val="120"/>
        </w:rPr>
        <w:t>nous</w:t>
      </w:r>
      <w:r>
        <w:rPr>
          <w:color w:val="231F20"/>
          <w:spacing w:val="-10"/>
          <w:w w:val="120"/>
        </w:rPr>
        <w:t> </w:t>
      </w:r>
      <w:r>
        <w:rPr>
          <w:color w:val="231F20"/>
          <w:w w:val="120"/>
        </w:rPr>
        <w:t>intégrer</w:t>
      </w:r>
      <w:r>
        <w:rPr>
          <w:color w:val="231F20"/>
          <w:spacing w:val="-10"/>
          <w:w w:val="120"/>
        </w:rPr>
        <w:t> </w:t>
      </w:r>
      <w:r>
        <w:rPr>
          <w:color w:val="231F20"/>
          <w:w w:val="120"/>
        </w:rPr>
        <w:t>au tissu social que représente notre réseau de relations professionnelles.</w:t>
      </w:r>
    </w:p>
    <w:p>
      <w:pPr>
        <w:pStyle w:val="BodyText"/>
        <w:spacing w:line="307" w:lineRule="auto" w:before="79"/>
        <w:ind w:left="1180" w:right="243" w:firstLine="250"/>
        <w:jc w:val="both"/>
      </w:pPr>
      <w:r>
        <w:rPr>
          <w:color w:val="231F20"/>
          <w:w w:val="120"/>
        </w:rPr>
        <w:t>En</w:t>
      </w:r>
      <w:r>
        <w:rPr>
          <w:color w:val="231F20"/>
          <w:spacing w:val="-2"/>
          <w:w w:val="120"/>
        </w:rPr>
        <w:t> </w:t>
      </w:r>
      <w:r>
        <w:rPr>
          <w:color w:val="231F20"/>
          <w:w w:val="120"/>
        </w:rPr>
        <w:t>offrant</w:t>
      </w:r>
      <w:r>
        <w:rPr>
          <w:color w:val="231F20"/>
          <w:spacing w:val="-2"/>
          <w:w w:val="120"/>
        </w:rPr>
        <w:t> </w:t>
      </w:r>
      <w:r>
        <w:rPr>
          <w:color w:val="231F20"/>
          <w:w w:val="120"/>
        </w:rPr>
        <w:t>des</w:t>
      </w:r>
      <w:r>
        <w:rPr>
          <w:color w:val="231F20"/>
          <w:spacing w:val="-2"/>
          <w:w w:val="120"/>
        </w:rPr>
        <w:t> </w:t>
      </w:r>
      <w:r>
        <w:rPr>
          <w:color w:val="231F20"/>
          <w:w w:val="120"/>
        </w:rPr>
        <w:t>emplois</w:t>
      </w:r>
      <w:r>
        <w:rPr>
          <w:color w:val="231F20"/>
          <w:spacing w:val="-2"/>
          <w:w w:val="120"/>
        </w:rPr>
        <w:t> </w:t>
      </w:r>
      <w:r>
        <w:rPr>
          <w:color w:val="231F20"/>
          <w:w w:val="120"/>
        </w:rPr>
        <w:t>adéquats</w:t>
      </w:r>
      <w:r>
        <w:rPr>
          <w:color w:val="231F20"/>
          <w:spacing w:val="-2"/>
          <w:w w:val="120"/>
        </w:rPr>
        <w:t> </w:t>
      </w:r>
      <w:r>
        <w:rPr>
          <w:color w:val="231F20"/>
          <w:w w:val="120"/>
        </w:rPr>
        <w:t>et</w:t>
      </w:r>
      <w:r>
        <w:rPr>
          <w:color w:val="231F20"/>
          <w:spacing w:val="-2"/>
          <w:w w:val="120"/>
        </w:rPr>
        <w:t> </w:t>
      </w:r>
      <w:r>
        <w:rPr>
          <w:color w:val="231F20"/>
          <w:w w:val="120"/>
        </w:rPr>
        <w:t>épanouissants,</w:t>
      </w:r>
      <w:r>
        <w:rPr>
          <w:color w:val="231F20"/>
          <w:spacing w:val="-2"/>
          <w:w w:val="120"/>
        </w:rPr>
        <w:t> </w:t>
      </w:r>
      <w:r>
        <w:rPr>
          <w:color w:val="231F20"/>
          <w:w w:val="120"/>
        </w:rPr>
        <w:t>les</w:t>
      </w:r>
      <w:r>
        <w:rPr>
          <w:color w:val="231F20"/>
          <w:spacing w:val="-2"/>
          <w:w w:val="120"/>
        </w:rPr>
        <w:t> </w:t>
      </w:r>
      <w:r>
        <w:rPr>
          <w:color w:val="231F20"/>
          <w:w w:val="120"/>
        </w:rPr>
        <w:t>sociétés</w:t>
      </w:r>
      <w:r>
        <w:rPr>
          <w:color w:val="231F20"/>
          <w:spacing w:val="-2"/>
          <w:w w:val="120"/>
        </w:rPr>
        <w:t> </w:t>
      </w:r>
      <w:r>
        <w:rPr>
          <w:color w:val="231F20"/>
          <w:w w:val="120"/>
        </w:rPr>
        <w:t>amé- liorent</w:t>
      </w:r>
      <w:r>
        <w:rPr>
          <w:color w:val="231F20"/>
          <w:spacing w:val="-1"/>
          <w:w w:val="120"/>
        </w:rPr>
        <w:t> </w:t>
      </w:r>
      <w:r>
        <w:rPr>
          <w:color w:val="231F20"/>
          <w:w w:val="120"/>
        </w:rPr>
        <w:t>la</w:t>
      </w:r>
      <w:r>
        <w:rPr>
          <w:color w:val="231F20"/>
          <w:spacing w:val="-1"/>
          <w:w w:val="120"/>
        </w:rPr>
        <w:t> </w:t>
      </w:r>
      <w:r>
        <w:rPr>
          <w:color w:val="231F20"/>
          <w:w w:val="120"/>
        </w:rPr>
        <w:t>qualité</w:t>
      </w:r>
      <w:r>
        <w:rPr>
          <w:color w:val="231F20"/>
          <w:spacing w:val="-1"/>
          <w:w w:val="120"/>
        </w:rPr>
        <w:t> </w:t>
      </w:r>
      <w:r>
        <w:rPr>
          <w:color w:val="231F20"/>
          <w:w w:val="120"/>
        </w:rPr>
        <w:t>de</w:t>
      </w:r>
      <w:r>
        <w:rPr>
          <w:color w:val="231F20"/>
          <w:spacing w:val="-1"/>
          <w:w w:val="120"/>
        </w:rPr>
        <w:t> </w:t>
      </w:r>
      <w:r>
        <w:rPr>
          <w:color w:val="231F20"/>
          <w:w w:val="120"/>
        </w:rPr>
        <w:t>vie</w:t>
      </w:r>
      <w:r>
        <w:rPr>
          <w:color w:val="231F20"/>
          <w:spacing w:val="-1"/>
          <w:w w:val="120"/>
        </w:rPr>
        <w:t> </w:t>
      </w:r>
      <w:r>
        <w:rPr>
          <w:color w:val="231F20"/>
          <w:w w:val="120"/>
        </w:rPr>
        <w:t>au</w:t>
      </w:r>
      <w:r>
        <w:rPr>
          <w:color w:val="231F20"/>
          <w:spacing w:val="-1"/>
          <w:w w:val="120"/>
        </w:rPr>
        <w:t> </w:t>
      </w:r>
      <w:r>
        <w:rPr>
          <w:color w:val="231F20"/>
          <w:w w:val="120"/>
        </w:rPr>
        <w:t>travail</w:t>
      </w:r>
      <w:r>
        <w:rPr>
          <w:color w:val="231F20"/>
          <w:spacing w:val="-1"/>
          <w:w w:val="120"/>
        </w:rPr>
        <w:t> </w:t>
      </w:r>
      <w:r>
        <w:rPr>
          <w:color w:val="231F20"/>
          <w:w w:val="120"/>
        </w:rPr>
        <w:t>et</w:t>
      </w:r>
      <w:r>
        <w:rPr>
          <w:color w:val="231F20"/>
          <w:spacing w:val="-1"/>
          <w:w w:val="120"/>
        </w:rPr>
        <w:t> </w:t>
      </w:r>
      <w:r>
        <w:rPr>
          <w:color w:val="231F20"/>
          <w:w w:val="120"/>
        </w:rPr>
        <w:t>sociale;</w:t>
      </w:r>
      <w:r>
        <w:rPr>
          <w:color w:val="231F20"/>
          <w:spacing w:val="-1"/>
          <w:w w:val="120"/>
        </w:rPr>
        <w:t> </w:t>
      </w:r>
      <w:r>
        <w:rPr>
          <w:color w:val="231F20"/>
          <w:w w:val="120"/>
        </w:rPr>
        <w:t>les</w:t>
      </w:r>
      <w:r>
        <w:rPr>
          <w:color w:val="231F20"/>
          <w:spacing w:val="-1"/>
          <w:w w:val="120"/>
        </w:rPr>
        <w:t> </w:t>
      </w:r>
      <w:r>
        <w:rPr>
          <w:color w:val="231F20"/>
          <w:w w:val="120"/>
        </w:rPr>
        <w:t>travailleurs</w:t>
      </w:r>
      <w:r>
        <w:rPr>
          <w:color w:val="231F20"/>
          <w:spacing w:val="-1"/>
          <w:w w:val="120"/>
        </w:rPr>
        <w:t> </w:t>
      </w:r>
      <w:r>
        <w:rPr>
          <w:color w:val="231F20"/>
          <w:w w:val="120"/>
        </w:rPr>
        <w:t>obtiennent ainsi</w:t>
      </w:r>
      <w:r>
        <w:rPr>
          <w:color w:val="231F20"/>
          <w:spacing w:val="-10"/>
          <w:w w:val="120"/>
        </w:rPr>
        <w:t> </w:t>
      </w:r>
      <w:r>
        <w:rPr>
          <w:color w:val="231F20"/>
          <w:w w:val="120"/>
        </w:rPr>
        <w:t>la</w:t>
      </w:r>
      <w:r>
        <w:rPr>
          <w:color w:val="231F20"/>
          <w:spacing w:val="-10"/>
          <w:w w:val="120"/>
        </w:rPr>
        <w:t> </w:t>
      </w:r>
      <w:r>
        <w:rPr>
          <w:color w:val="231F20"/>
          <w:w w:val="120"/>
        </w:rPr>
        <w:t>possibilité</w:t>
      </w:r>
      <w:r>
        <w:rPr>
          <w:color w:val="231F20"/>
          <w:spacing w:val="-10"/>
          <w:w w:val="120"/>
        </w:rPr>
        <w:t> </w:t>
      </w:r>
      <w:r>
        <w:rPr>
          <w:color w:val="231F20"/>
          <w:w w:val="120"/>
        </w:rPr>
        <w:t>de</w:t>
      </w:r>
      <w:r>
        <w:rPr>
          <w:color w:val="231F20"/>
          <w:spacing w:val="-10"/>
          <w:w w:val="120"/>
        </w:rPr>
        <w:t> </w:t>
      </w:r>
      <w:r>
        <w:rPr>
          <w:color w:val="231F20"/>
          <w:w w:val="120"/>
        </w:rPr>
        <w:t>satisfaire</w:t>
      </w:r>
      <w:r>
        <w:rPr>
          <w:color w:val="231F20"/>
          <w:spacing w:val="-10"/>
          <w:w w:val="120"/>
        </w:rPr>
        <w:t> </w:t>
      </w:r>
      <w:r>
        <w:rPr>
          <w:color w:val="231F20"/>
          <w:w w:val="120"/>
        </w:rPr>
        <w:t>les</w:t>
      </w:r>
      <w:r>
        <w:rPr>
          <w:color w:val="231F20"/>
          <w:spacing w:val="-10"/>
          <w:w w:val="120"/>
        </w:rPr>
        <w:t> </w:t>
      </w:r>
      <w:r>
        <w:rPr>
          <w:color w:val="231F20"/>
          <w:w w:val="120"/>
        </w:rPr>
        <w:t>besoins,</w:t>
      </w:r>
      <w:r>
        <w:rPr>
          <w:color w:val="231F20"/>
          <w:spacing w:val="-10"/>
          <w:w w:val="120"/>
        </w:rPr>
        <w:t> </w:t>
      </w:r>
      <w:r>
        <w:rPr>
          <w:color w:val="231F20"/>
          <w:w w:val="120"/>
        </w:rPr>
        <w:t>les</w:t>
      </w:r>
      <w:r>
        <w:rPr>
          <w:color w:val="231F20"/>
          <w:spacing w:val="-10"/>
          <w:w w:val="120"/>
        </w:rPr>
        <w:t> </w:t>
      </w:r>
      <w:r>
        <w:rPr>
          <w:color w:val="231F20"/>
          <w:w w:val="120"/>
        </w:rPr>
        <w:t>aspirations</w:t>
      </w:r>
      <w:r>
        <w:rPr>
          <w:color w:val="231F20"/>
          <w:spacing w:val="-10"/>
          <w:w w:val="120"/>
        </w:rPr>
        <w:t> </w:t>
      </w:r>
      <w:r>
        <w:rPr>
          <w:color w:val="231F20"/>
          <w:w w:val="120"/>
        </w:rPr>
        <w:t>et</w:t>
      </w:r>
      <w:r>
        <w:rPr>
          <w:color w:val="231F20"/>
          <w:spacing w:val="-10"/>
          <w:w w:val="120"/>
        </w:rPr>
        <w:t> </w:t>
      </w:r>
      <w:r>
        <w:rPr>
          <w:color w:val="231F20"/>
          <w:w w:val="120"/>
        </w:rPr>
        <w:t>les</w:t>
      </w:r>
      <w:r>
        <w:rPr>
          <w:color w:val="231F20"/>
          <w:spacing w:val="-10"/>
          <w:w w:val="120"/>
        </w:rPr>
        <w:t> </w:t>
      </w:r>
      <w:r>
        <w:rPr>
          <w:color w:val="231F20"/>
          <w:w w:val="120"/>
        </w:rPr>
        <w:t>valeurs qu’ils recherchent dans leur vie professionnelle, familiale et sociale.</w:t>
      </w:r>
    </w:p>
    <w:p>
      <w:pPr>
        <w:pStyle w:val="BodyText"/>
        <w:spacing w:line="307" w:lineRule="auto" w:before="80"/>
        <w:ind w:left="1180" w:right="243" w:firstLine="250"/>
        <w:jc w:val="both"/>
      </w:pPr>
      <w:r>
        <w:rPr>
          <w:color w:val="231F20"/>
          <w:w w:val="120"/>
        </w:rPr>
        <w:t>Étant donné le nombre d’heures que nous passons à travailler, il importe d’avoir conscience des répercussions et des conséquences </w:t>
      </w:r>
      <w:r>
        <w:rPr>
          <w:color w:val="231F20"/>
          <w:w w:val="120"/>
        </w:rPr>
        <w:t>du </w:t>
      </w:r>
      <w:r>
        <w:rPr>
          <w:color w:val="231F20"/>
          <w:w w:val="115"/>
        </w:rPr>
        <w:t>travail</w:t>
      </w:r>
      <w:r>
        <w:rPr>
          <w:color w:val="231F20"/>
          <w:spacing w:val="-6"/>
          <w:w w:val="115"/>
        </w:rPr>
        <w:t> </w:t>
      </w:r>
      <w:r>
        <w:rPr>
          <w:color w:val="231F20"/>
          <w:w w:val="115"/>
        </w:rPr>
        <w:t>sur</w:t>
      </w:r>
      <w:r>
        <w:rPr>
          <w:color w:val="231F20"/>
          <w:spacing w:val="-6"/>
          <w:w w:val="115"/>
        </w:rPr>
        <w:t> </w:t>
      </w:r>
      <w:r>
        <w:rPr>
          <w:color w:val="231F20"/>
          <w:w w:val="115"/>
        </w:rPr>
        <w:t>notre</w:t>
      </w:r>
      <w:r>
        <w:rPr>
          <w:color w:val="231F20"/>
          <w:spacing w:val="-6"/>
          <w:w w:val="115"/>
        </w:rPr>
        <w:t> </w:t>
      </w:r>
      <w:r>
        <w:rPr>
          <w:color w:val="231F20"/>
          <w:w w:val="115"/>
        </w:rPr>
        <w:t>vie.</w:t>
      </w:r>
      <w:r>
        <w:rPr>
          <w:color w:val="231F20"/>
          <w:spacing w:val="-6"/>
          <w:w w:val="115"/>
        </w:rPr>
        <w:t> </w:t>
      </w:r>
      <w:r>
        <w:rPr>
          <w:color w:val="231F20"/>
          <w:w w:val="115"/>
        </w:rPr>
        <w:t>Ce</w:t>
      </w:r>
      <w:r>
        <w:rPr>
          <w:color w:val="231F20"/>
          <w:spacing w:val="-6"/>
          <w:w w:val="115"/>
        </w:rPr>
        <w:t> </w:t>
      </w:r>
      <w:r>
        <w:rPr>
          <w:color w:val="231F20"/>
          <w:w w:val="115"/>
        </w:rPr>
        <w:t>constat</w:t>
      </w:r>
      <w:r>
        <w:rPr>
          <w:color w:val="231F20"/>
          <w:spacing w:val="-6"/>
          <w:w w:val="115"/>
        </w:rPr>
        <w:t> </w:t>
      </w:r>
      <w:r>
        <w:rPr>
          <w:color w:val="231F20"/>
          <w:w w:val="115"/>
        </w:rPr>
        <w:t>vaut</w:t>
      </w:r>
      <w:r>
        <w:rPr>
          <w:color w:val="231F20"/>
          <w:spacing w:val="-6"/>
          <w:w w:val="115"/>
        </w:rPr>
        <w:t> </w:t>
      </w:r>
      <w:r>
        <w:rPr>
          <w:color w:val="231F20"/>
          <w:w w:val="115"/>
        </w:rPr>
        <w:t>pour</w:t>
      </w:r>
      <w:r>
        <w:rPr>
          <w:color w:val="231F20"/>
          <w:spacing w:val="-6"/>
          <w:w w:val="115"/>
        </w:rPr>
        <w:t> </w:t>
      </w:r>
      <w:r>
        <w:rPr>
          <w:color w:val="231F20"/>
          <w:w w:val="115"/>
        </w:rPr>
        <w:t>n’importe</w:t>
      </w:r>
      <w:r>
        <w:rPr>
          <w:color w:val="231F20"/>
          <w:spacing w:val="-6"/>
          <w:w w:val="115"/>
        </w:rPr>
        <w:t> </w:t>
      </w:r>
      <w:r>
        <w:rPr>
          <w:color w:val="231F20"/>
          <w:w w:val="115"/>
        </w:rPr>
        <w:t>quel</w:t>
      </w:r>
      <w:r>
        <w:rPr>
          <w:color w:val="231F20"/>
          <w:spacing w:val="-6"/>
          <w:w w:val="115"/>
        </w:rPr>
        <w:t> </w:t>
      </w:r>
      <w:r>
        <w:rPr>
          <w:color w:val="231F20"/>
          <w:w w:val="115"/>
        </w:rPr>
        <w:t>type</w:t>
      </w:r>
      <w:r>
        <w:rPr>
          <w:color w:val="231F20"/>
          <w:spacing w:val="-6"/>
          <w:w w:val="115"/>
        </w:rPr>
        <w:t> </w:t>
      </w:r>
      <w:r>
        <w:rPr>
          <w:color w:val="231F20"/>
          <w:w w:val="115"/>
        </w:rPr>
        <w:t>de</w:t>
      </w:r>
      <w:r>
        <w:rPr>
          <w:color w:val="231F20"/>
          <w:spacing w:val="-6"/>
          <w:w w:val="115"/>
        </w:rPr>
        <w:t> </w:t>
      </w:r>
      <w:r>
        <w:rPr>
          <w:color w:val="231F20"/>
          <w:w w:val="115"/>
        </w:rPr>
        <w:t>relations </w:t>
      </w:r>
      <w:r>
        <w:rPr>
          <w:color w:val="231F20"/>
          <w:spacing w:val="-2"/>
          <w:w w:val="120"/>
        </w:rPr>
        <w:t>de</w:t>
      </w:r>
      <w:r>
        <w:rPr>
          <w:color w:val="231F20"/>
          <w:spacing w:val="-8"/>
          <w:w w:val="120"/>
        </w:rPr>
        <w:t> </w:t>
      </w:r>
      <w:r>
        <w:rPr>
          <w:color w:val="231F20"/>
          <w:spacing w:val="-2"/>
          <w:w w:val="120"/>
        </w:rPr>
        <w:t>travail,</w:t>
      </w:r>
      <w:r>
        <w:rPr>
          <w:color w:val="231F20"/>
          <w:spacing w:val="-8"/>
          <w:w w:val="120"/>
        </w:rPr>
        <w:t> </w:t>
      </w:r>
      <w:r>
        <w:rPr>
          <w:color w:val="231F20"/>
          <w:spacing w:val="-2"/>
          <w:w w:val="120"/>
        </w:rPr>
        <w:t>que</w:t>
      </w:r>
      <w:r>
        <w:rPr>
          <w:color w:val="231F20"/>
          <w:spacing w:val="-8"/>
          <w:w w:val="120"/>
        </w:rPr>
        <w:t> </w:t>
      </w:r>
      <w:r>
        <w:rPr>
          <w:color w:val="231F20"/>
          <w:spacing w:val="-2"/>
          <w:w w:val="120"/>
        </w:rPr>
        <w:t>ce</w:t>
      </w:r>
      <w:r>
        <w:rPr>
          <w:color w:val="231F20"/>
          <w:spacing w:val="-8"/>
          <w:w w:val="120"/>
        </w:rPr>
        <w:t> </w:t>
      </w:r>
      <w:r>
        <w:rPr>
          <w:color w:val="231F20"/>
          <w:spacing w:val="-2"/>
          <w:w w:val="120"/>
        </w:rPr>
        <w:t>soit</w:t>
      </w:r>
      <w:r>
        <w:rPr>
          <w:color w:val="231F20"/>
          <w:spacing w:val="-8"/>
          <w:w w:val="120"/>
        </w:rPr>
        <w:t> </w:t>
      </w:r>
      <w:r>
        <w:rPr>
          <w:color w:val="231F20"/>
          <w:spacing w:val="-2"/>
          <w:w w:val="120"/>
        </w:rPr>
        <w:t>au</w:t>
      </w:r>
      <w:r>
        <w:rPr>
          <w:color w:val="231F20"/>
          <w:spacing w:val="-8"/>
          <w:w w:val="120"/>
        </w:rPr>
        <w:t> </w:t>
      </w:r>
      <w:r>
        <w:rPr>
          <w:color w:val="231F20"/>
          <w:spacing w:val="-2"/>
          <w:w w:val="120"/>
        </w:rPr>
        <w:t>sein</w:t>
      </w:r>
      <w:r>
        <w:rPr>
          <w:color w:val="231F20"/>
          <w:spacing w:val="-9"/>
          <w:w w:val="120"/>
        </w:rPr>
        <w:t> </w:t>
      </w:r>
      <w:r>
        <w:rPr>
          <w:color w:val="231F20"/>
          <w:spacing w:val="-2"/>
          <w:w w:val="120"/>
        </w:rPr>
        <w:t>d’un</w:t>
      </w:r>
      <w:r>
        <w:rPr>
          <w:color w:val="231F20"/>
          <w:spacing w:val="-8"/>
          <w:w w:val="120"/>
        </w:rPr>
        <w:t> </w:t>
      </w:r>
      <w:r>
        <w:rPr>
          <w:color w:val="231F20"/>
          <w:spacing w:val="-2"/>
          <w:w w:val="120"/>
        </w:rPr>
        <w:t>groupe</w:t>
      </w:r>
      <w:r>
        <w:rPr>
          <w:color w:val="231F20"/>
          <w:spacing w:val="-8"/>
          <w:w w:val="120"/>
        </w:rPr>
        <w:t> </w:t>
      </w:r>
      <w:r>
        <w:rPr>
          <w:color w:val="231F20"/>
          <w:spacing w:val="-2"/>
          <w:w w:val="120"/>
        </w:rPr>
        <w:t>de</w:t>
      </w:r>
      <w:r>
        <w:rPr>
          <w:color w:val="231F20"/>
          <w:spacing w:val="-8"/>
          <w:w w:val="120"/>
        </w:rPr>
        <w:t> </w:t>
      </w:r>
      <w:r>
        <w:rPr>
          <w:color w:val="231F20"/>
          <w:spacing w:val="-2"/>
          <w:w w:val="120"/>
        </w:rPr>
        <w:t>professionnels,</w:t>
      </w:r>
      <w:r>
        <w:rPr>
          <w:color w:val="231F20"/>
          <w:spacing w:val="-8"/>
          <w:w w:val="120"/>
        </w:rPr>
        <w:t> </w:t>
      </w:r>
      <w:r>
        <w:rPr>
          <w:color w:val="231F20"/>
          <w:spacing w:val="-2"/>
          <w:w w:val="120"/>
        </w:rPr>
        <w:t>d’une</w:t>
      </w:r>
      <w:r>
        <w:rPr>
          <w:color w:val="231F20"/>
          <w:spacing w:val="-8"/>
          <w:w w:val="120"/>
        </w:rPr>
        <w:t> </w:t>
      </w:r>
      <w:r>
        <w:rPr>
          <w:color w:val="231F20"/>
          <w:spacing w:val="-2"/>
          <w:w w:val="120"/>
        </w:rPr>
        <w:t>firme </w:t>
      </w:r>
      <w:r>
        <w:rPr>
          <w:color w:val="231F20"/>
          <w:w w:val="115"/>
        </w:rPr>
        <w:t>d’experts-conseils,</w:t>
      </w:r>
      <w:r>
        <w:rPr>
          <w:color w:val="231F20"/>
          <w:spacing w:val="-12"/>
          <w:w w:val="115"/>
        </w:rPr>
        <w:t> </w:t>
      </w:r>
      <w:r>
        <w:rPr>
          <w:color w:val="231F20"/>
          <w:w w:val="115"/>
        </w:rPr>
        <w:t>d’une</w:t>
      </w:r>
      <w:r>
        <w:rPr>
          <w:color w:val="231F20"/>
          <w:spacing w:val="-12"/>
          <w:w w:val="115"/>
        </w:rPr>
        <w:t> </w:t>
      </w:r>
      <w:r>
        <w:rPr>
          <w:color w:val="231F20"/>
          <w:w w:val="115"/>
        </w:rPr>
        <w:t>microentreprise</w:t>
      </w:r>
      <w:r>
        <w:rPr>
          <w:color w:val="231F20"/>
          <w:spacing w:val="-12"/>
          <w:w w:val="115"/>
        </w:rPr>
        <w:t> </w:t>
      </w:r>
      <w:r>
        <w:rPr>
          <w:color w:val="231F20"/>
          <w:w w:val="115"/>
        </w:rPr>
        <w:t>ou</w:t>
      </w:r>
      <w:r>
        <w:rPr>
          <w:color w:val="231F20"/>
          <w:spacing w:val="-12"/>
          <w:w w:val="115"/>
        </w:rPr>
        <w:t> </w:t>
      </w:r>
      <w:r>
        <w:rPr>
          <w:color w:val="231F20"/>
          <w:w w:val="115"/>
        </w:rPr>
        <w:t>d’une</w:t>
      </w:r>
      <w:r>
        <w:rPr>
          <w:color w:val="231F20"/>
          <w:spacing w:val="-12"/>
          <w:w w:val="115"/>
        </w:rPr>
        <w:t> </w:t>
      </w:r>
      <w:r>
        <w:rPr>
          <w:color w:val="231F20"/>
          <w:w w:val="115"/>
        </w:rPr>
        <w:t>grande</w:t>
      </w:r>
      <w:r>
        <w:rPr>
          <w:color w:val="231F20"/>
          <w:spacing w:val="-12"/>
          <w:w w:val="115"/>
        </w:rPr>
        <w:t> </w:t>
      </w:r>
      <w:r>
        <w:rPr>
          <w:color w:val="231F20"/>
          <w:w w:val="115"/>
        </w:rPr>
        <w:t>société.</w:t>
      </w:r>
      <w:r>
        <w:rPr>
          <w:color w:val="231F20"/>
          <w:spacing w:val="-12"/>
          <w:w w:val="115"/>
        </w:rPr>
        <w:t> </w:t>
      </w:r>
      <w:r>
        <w:rPr>
          <w:color w:val="231F20"/>
          <w:w w:val="115"/>
        </w:rPr>
        <w:t>Certes, la</w:t>
      </w:r>
      <w:r>
        <w:rPr>
          <w:color w:val="231F20"/>
          <w:spacing w:val="-3"/>
          <w:w w:val="115"/>
        </w:rPr>
        <w:t> </w:t>
      </w:r>
      <w:r>
        <w:rPr>
          <w:color w:val="231F20"/>
          <w:w w:val="115"/>
        </w:rPr>
        <w:t>dynamique</w:t>
      </w:r>
      <w:r>
        <w:rPr>
          <w:color w:val="231F20"/>
          <w:spacing w:val="-3"/>
          <w:w w:val="115"/>
        </w:rPr>
        <w:t> </w:t>
      </w:r>
      <w:r>
        <w:rPr>
          <w:color w:val="231F20"/>
          <w:w w:val="115"/>
        </w:rPr>
        <w:t>des</w:t>
      </w:r>
      <w:r>
        <w:rPr>
          <w:color w:val="231F20"/>
          <w:spacing w:val="-3"/>
          <w:w w:val="115"/>
        </w:rPr>
        <w:t> </w:t>
      </w:r>
      <w:r>
        <w:rPr>
          <w:color w:val="231F20"/>
          <w:w w:val="115"/>
        </w:rPr>
        <w:t>relations</w:t>
      </w:r>
      <w:r>
        <w:rPr>
          <w:color w:val="231F20"/>
          <w:spacing w:val="-3"/>
          <w:w w:val="115"/>
        </w:rPr>
        <w:t> </w:t>
      </w:r>
      <w:r>
        <w:rPr>
          <w:color w:val="231F20"/>
          <w:w w:val="115"/>
        </w:rPr>
        <w:t>interpersonnelles</w:t>
      </w:r>
      <w:r>
        <w:rPr>
          <w:color w:val="231F20"/>
          <w:spacing w:val="-3"/>
          <w:w w:val="115"/>
        </w:rPr>
        <w:t> </w:t>
      </w:r>
      <w:r>
        <w:rPr>
          <w:color w:val="231F20"/>
          <w:w w:val="115"/>
        </w:rPr>
        <w:t>diffère</w:t>
      </w:r>
      <w:r>
        <w:rPr>
          <w:color w:val="231F20"/>
          <w:spacing w:val="-3"/>
          <w:w w:val="115"/>
        </w:rPr>
        <w:t> </w:t>
      </w:r>
      <w:r>
        <w:rPr>
          <w:color w:val="231F20"/>
          <w:w w:val="115"/>
        </w:rPr>
        <w:t>d’un</w:t>
      </w:r>
      <w:r>
        <w:rPr>
          <w:color w:val="231F20"/>
          <w:spacing w:val="-3"/>
          <w:w w:val="115"/>
        </w:rPr>
        <w:t> </w:t>
      </w:r>
      <w:r>
        <w:rPr>
          <w:color w:val="231F20"/>
          <w:w w:val="115"/>
        </w:rPr>
        <w:t>milieu</w:t>
      </w:r>
      <w:r>
        <w:rPr>
          <w:color w:val="231F20"/>
          <w:spacing w:val="-3"/>
          <w:w w:val="115"/>
        </w:rPr>
        <w:t> </w:t>
      </w:r>
      <w:r>
        <w:rPr>
          <w:color w:val="231F20"/>
          <w:w w:val="115"/>
        </w:rPr>
        <w:t>à</w:t>
      </w:r>
      <w:r>
        <w:rPr>
          <w:color w:val="231F20"/>
          <w:spacing w:val="-3"/>
          <w:w w:val="115"/>
        </w:rPr>
        <w:t> </w:t>
      </w:r>
      <w:r>
        <w:rPr>
          <w:color w:val="231F20"/>
          <w:w w:val="115"/>
        </w:rPr>
        <w:t>l’autre, </w:t>
      </w:r>
      <w:r>
        <w:rPr>
          <w:color w:val="231F20"/>
          <w:w w:val="120"/>
        </w:rPr>
        <w:t>compte tenu du lien étroit entre la structure organisationnelle et ses processus psychosociaux inhérents.</w:t>
      </w:r>
    </w:p>
    <w:p>
      <w:pPr>
        <w:pStyle w:val="BodyText"/>
        <w:spacing w:line="307" w:lineRule="auto" w:before="78"/>
        <w:ind w:left="1180" w:right="247" w:firstLine="250"/>
        <w:jc w:val="both"/>
      </w:pPr>
      <w:r>
        <w:rPr>
          <w:color w:val="231F20"/>
          <w:w w:val="120"/>
        </w:rPr>
        <w:t>De tout temps, les travailleurs ont aspiré à établir des relations per- sonnelles positives, dans leur vie en général, et particulièrement dans </w:t>
      </w:r>
      <w:r>
        <w:rPr>
          <w:color w:val="231F20"/>
          <w:w w:val="115"/>
        </w:rPr>
        <w:t>leur</w:t>
      </w:r>
      <w:r>
        <w:rPr>
          <w:color w:val="231F20"/>
          <w:spacing w:val="-10"/>
          <w:w w:val="115"/>
        </w:rPr>
        <w:t> </w:t>
      </w:r>
      <w:r>
        <w:rPr>
          <w:color w:val="231F20"/>
          <w:w w:val="115"/>
        </w:rPr>
        <w:t>milieu</w:t>
      </w:r>
      <w:r>
        <w:rPr>
          <w:color w:val="231F20"/>
          <w:spacing w:val="-10"/>
          <w:w w:val="115"/>
        </w:rPr>
        <w:t> </w:t>
      </w:r>
      <w:r>
        <w:rPr>
          <w:color w:val="231F20"/>
          <w:w w:val="115"/>
        </w:rPr>
        <w:t>de</w:t>
      </w:r>
      <w:r>
        <w:rPr>
          <w:color w:val="231F20"/>
          <w:spacing w:val="-10"/>
          <w:w w:val="115"/>
        </w:rPr>
        <w:t> </w:t>
      </w:r>
      <w:r>
        <w:rPr>
          <w:color w:val="231F20"/>
          <w:w w:val="115"/>
        </w:rPr>
        <w:t>travail.</w:t>
      </w:r>
      <w:r>
        <w:rPr>
          <w:color w:val="231F20"/>
          <w:spacing w:val="-10"/>
          <w:w w:val="115"/>
        </w:rPr>
        <w:t> </w:t>
      </w:r>
      <w:r>
        <w:rPr>
          <w:color w:val="231F20"/>
          <w:w w:val="115"/>
        </w:rPr>
        <w:t>Les</w:t>
      </w:r>
      <w:r>
        <w:rPr>
          <w:color w:val="231F20"/>
          <w:spacing w:val="-10"/>
          <w:w w:val="115"/>
        </w:rPr>
        <w:t> </w:t>
      </w:r>
      <w:r>
        <w:rPr>
          <w:color w:val="231F20"/>
          <w:w w:val="115"/>
        </w:rPr>
        <w:t>personnes</w:t>
      </w:r>
      <w:r>
        <w:rPr>
          <w:color w:val="231F20"/>
          <w:spacing w:val="-10"/>
          <w:w w:val="115"/>
        </w:rPr>
        <w:t> </w:t>
      </w:r>
      <w:r>
        <w:rPr>
          <w:color w:val="231F20"/>
          <w:w w:val="115"/>
        </w:rPr>
        <w:t>versées</w:t>
      </w:r>
      <w:r>
        <w:rPr>
          <w:color w:val="231F20"/>
          <w:spacing w:val="-10"/>
          <w:w w:val="115"/>
        </w:rPr>
        <w:t> </w:t>
      </w:r>
      <w:r>
        <w:rPr>
          <w:color w:val="231F20"/>
          <w:w w:val="115"/>
        </w:rPr>
        <w:t>dans</w:t>
      </w:r>
      <w:r>
        <w:rPr>
          <w:color w:val="231F20"/>
          <w:spacing w:val="-10"/>
          <w:w w:val="115"/>
        </w:rPr>
        <w:t> </w:t>
      </w:r>
      <w:r>
        <w:rPr>
          <w:color w:val="231F20"/>
          <w:w w:val="115"/>
        </w:rPr>
        <w:t>l’art</w:t>
      </w:r>
      <w:r>
        <w:rPr>
          <w:color w:val="231F20"/>
          <w:spacing w:val="-10"/>
          <w:w w:val="115"/>
        </w:rPr>
        <w:t> </w:t>
      </w:r>
      <w:r>
        <w:rPr>
          <w:color w:val="231F20"/>
          <w:w w:val="115"/>
        </w:rPr>
        <w:t>de</w:t>
      </w:r>
      <w:r>
        <w:rPr>
          <w:color w:val="231F20"/>
          <w:spacing w:val="-10"/>
          <w:w w:val="115"/>
        </w:rPr>
        <w:t> </w:t>
      </w:r>
      <w:r>
        <w:rPr>
          <w:color w:val="231F20"/>
          <w:w w:val="115"/>
        </w:rPr>
        <w:t>combiner</w:t>
      </w:r>
      <w:r>
        <w:rPr>
          <w:color w:val="231F20"/>
          <w:spacing w:val="-10"/>
          <w:w w:val="115"/>
        </w:rPr>
        <w:t> </w:t>
      </w:r>
      <w:r>
        <w:rPr>
          <w:color w:val="231F20"/>
          <w:w w:val="115"/>
        </w:rPr>
        <w:t>travail et</w:t>
      </w:r>
      <w:r>
        <w:rPr>
          <w:color w:val="231F20"/>
          <w:spacing w:val="-2"/>
          <w:w w:val="115"/>
        </w:rPr>
        <w:t> </w:t>
      </w:r>
      <w:r>
        <w:rPr>
          <w:color w:val="231F20"/>
          <w:w w:val="115"/>
        </w:rPr>
        <w:t>amitié</w:t>
      </w:r>
      <w:r>
        <w:rPr>
          <w:color w:val="231F20"/>
          <w:spacing w:val="-2"/>
          <w:w w:val="115"/>
        </w:rPr>
        <w:t> </w:t>
      </w:r>
      <w:r>
        <w:rPr>
          <w:color w:val="231F20"/>
          <w:w w:val="115"/>
        </w:rPr>
        <w:t>–</w:t>
      </w:r>
      <w:r>
        <w:rPr>
          <w:color w:val="231F20"/>
          <w:spacing w:val="-2"/>
          <w:w w:val="115"/>
        </w:rPr>
        <w:t> </w:t>
      </w:r>
      <w:r>
        <w:rPr>
          <w:color w:val="231F20"/>
          <w:w w:val="115"/>
        </w:rPr>
        <w:t>la</w:t>
      </w:r>
      <w:r>
        <w:rPr>
          <w:color w:val="231F20"/>
          <w:spacing w:val="-2"/>
          <w:w w:val="115"/>
        </w:rPr>
        <w:t> </w:t>
      </w:r>
      <w:r>
        <w:rPr>
          <w:color w:val="231F20"/>
          <w:w w:val="115"/>
        </w:rPr>
        <w:t>camaraderie</w:t>
      </w:r>
      <w:r>
        <w:rPr>
          <w:color w:val="231F20"/>
          <w:spacing w:val="-2"/>
          <w:w w:val="115"/>
        </w:rPr>
        <w:t> </w:t>
      </w:r>
      <w:r>
        <w:rPr>
          <w:color w:val="231F20"/>
          <w:w w:val="115"/>
        </w:rPr>
        <w:t>–</w:t>
      </w:r>
      <w:r>
        <w:rPr>
          <w:color w:val="231F20"/>
          <w:spacing w:val="-2"/>
          <w:w w:val="115"/>
        </w:rPr>
        <w:t> </w:t>
      </w:r>
      <w:r>
        <w:rPr>
          <w:color w:val="231F20"/>
          <w:w w:val="115"/>
        </w:rPr>
        <w:t>sont</w:t>
      </w:r>
      <w:r>
        <w:rPr>
          <w:color w:val="231F20"/>
          <w:spacing w:val="-2"/>
          <w:w w:val="115"/>
        </w:rPr>
        <w:t> </w:t>
      </w:r>
      <w:r>
        <w:rPr>
          <w:color w:val="231F20"/>
          <w:w w:val="115"/>
        </w:rPr>
        <w:t>autant</w:t>
      </w:r>
      <w:r>
        <w:rPr>
          <w:color w:val="231F20"/>
          <w:spacing w:val="-2"/>
          <w:w w:val="115"/>
        </w:rPr>
        <w:t> </w:t>
      </w:r>
      <w:r>
        <w:rPr>
          <w:color w:val="231F20"/>
          <w:w w:val="115"/>
        </w:rPr>
        <w:t>d’exemples</w:t>
      </w:r>
      <w:r>
        <w:rPr>
          <w:color w:val="231F20"/>
          <w:spacing w:val="-2"/>
          <w:w w:val="115"/>
        </w:rPr>
        <w:t> </w:t>
      </w:r>
      <w:r>
        <w:rPr>
          <w:color w:val="231F20"/>
          <w:w w:val="115"/>
        </w:rPr>
        <w:t>tirés</w:t>
      </w:r>
      <w:r>
        <w:rPr>
          <w:color w:val="231F20"/>
          <w:spacing w:val="-2"/>
          <w:w w:val="115"/>
        </w:rPr>
        <w:t> </w:t>
      </w:r>
      <w:r>
        <w:rPr>
          <w:color w:val="231F20"/>
          <w:w w:val="115"/>
        </w:rPr>
        <w:t>du</w:t>
      </w:r>
      <w:r>
        <w:rPr>
          <w:color w:val="231F20"/>
          <w:spacing w:val="-2"/>
          <w:w w:val="115"/>
        </w:rPr>
        <w:t> </w:t>
      </w:r>
      <w:r>
        <w:rPr>
          <w:color w:val="231F20"/>
          <w:w w:val="115"/>
        </w:rPr>
        <w:t>quotidien</w:t>
      </w:r>
      <w:r>
        <w:rPr>
          <w:color w:val="231F20"/>
          <w:spacing w:val="-2"/>
          <w:w w:val="115"/>
        </w:rPr>
        <w:t> </w:t>
      </w:r>
      <w:r>
        <w:rPr>
          <w:color w:val="231F20"/>
          <w:w w:val="115"/>
        </w:rPr>
        <w:t>qui </w:t>
      </w:r>
      <w:r>
        <w:rPr>
          <w:color w:val="231F20"/>
          <w:w w:val="120"/>
        </w:rPr>
        <w:t>nous</w:t>
      </w:r>
      <w:r>
        <w:rPr>
          <w:color w:val="231F20"/>
          <w:spacing w:val="-4"/>
          <w:w w:val="120"/>
        </w:rPr>
        <w:t> </w:t>
      </w:r>
      <w:r>
        <w:rPr>
          <w:color w:val="231F20"/>
          <w:w w:val="120"/>
        </w:rPr>
        <w:t>aident</w:t>
      </w:r>
      <w:r>
        <w:rPr>
          <w:color w:val="231F20"/>
          <w:spacing w:val="-4"/>
          <w:w w:val="120"/>
        </w:rPr>
        <w:t> </w:t>
      </w:r>
      <w:r>
        <w:rPr>
          <w:color w:val="231F20"/>
          <w:w w:val="120"/>
        </w:rPr>
        <w:t>à</w:t>
      </w:r>
      <w:r>
        <w:rPr>
          <w:color w:val="231F20"/>
          <w:spacing w:val="-4"/>
          <w:w w:val="120"/>
        </w:rPr>
        <w:t> </w:t>
      </w:r>
      <w:r>
        <w:rPr>
          <w:color w:val="231F20"/>
          <w:w w:val="120"/>
        </w:rPr>
        <w:t>renouveler</w:t>
      </w:r>
      <w:r>
        <w:rPr>
          <w:color w:val="231F20"/>
          <w:spacing w:val="-4"/>
          <w:w w:val="120"/>
        </w:rPr>
        <w:t> </w:t>
      </w:r>
      <w:r>
        <w:rPr>
          <w:color w:val="231F20"/>
          <w:w w:val="120"/>
        </w:rPr>
        <w:t>et</w:t>
      </w:r>
      <w:r>
        <w:rPr>
          <w:color w:val="231F20"/>
          <w:spacing w:val="-4"/>
          <w:w w:val="120"/>
        </w:rPr>
        <w:t> </w:t>
      </w:r>
      <w:r>
        <w:rPr>
          <w:color w:val="231F20"/>
          <w:w w:val="120"/>
        </w:rPr>
        <w:t>à</w:t>
      </w:r>
      <w:r>
        <w:rPr>
          <w:color w:val="231F20"/>
          <w:spacing w:val="-4"/>
          <w:w w:val="120"/>
        </w:rPr>
        <w:t> </w:t>
      </w:r>
      <w:r>
        <w:rPr>
          <w:color w:val="231F20"/>
          <w:w w:val="120"/>
        </w:rPr>
        <w:t>remodeler</w:t>
      </w:r>
      <w:r>
        <w:rPr>
          <w:color w:val="231F20"/>
          <w:spacing w:val="-4"/>
          <w:w w:val="120"/>
        </w:rPr>
        <w:t> </w:t>
      </w:r>
      <w:r>
        <w:rPr>
          <w:color w:val="231F20"/>
          <w:w w:val="120"/>
        </w:rPr>
        <w:t>notre</w:t>
      </w:r>
      <w:r>
        <w:rPr>
          <w:color w:val="231F20"/>
          <w:spacing w:val="-4"/>
          <w:w w:val="120"/>
        </w:rPr>
        <w:t> </w:t>
      </w:r>
      <w:r>
        <w:rPr>
          <w:color w:val="231F20"/>
          <w:w w:val="120"/>
        </w:rPr>
        <w:t>confiance</w:t>
      </w:r>
      <w:r>
        <w:rPr>
          <w:color w:val="231F20"/>
          <w:spacing w:val="-4"/>
          <w:w w:val="120"/>
        </w:rPr>
        <w:t> </w:t>
      </w:r>
      <w:r>
        <w:rPr>
          <w:color w:val="231F20"/>
          <w:w w:val="120"/>
        </w:rPr>
        <w:t>et</w:t>
      </w:r>
      <w:r>
        <w:rPr>
          <w:color w:val="231F20"/>
          <w:spacing w:val="-4"/>
          <w:w w:val="120"/>
        </w:rPr>
        <w:t> </w:t>
      </w:r>
      <w:r>
        <w:rPr>
          <w:color w:val="231F20"/>
          <w:w w:val="120"/>
        </w:rPr>
        <w:t>notre</w:t>
      </w:r>
      <w:r>
        <w:rPr>
          <w:color w:val="231F20"/>
          <w:spacing w:val="-4"/>
          <w:w w:val="120"/>
        </w:rPr>
        <w:t> </w:t>
      </w:r>
      <w:r>
        <w:rPr>
          <w:color w:val="231F20"/>
          <w:w w:val="120"/>
        </w:rPr>
        <w:t>espoir </w:t>
      </w:r>
      <w:r>
        <w:rPr>
          <w:color w:val="231F20"/>
          <w:spacing w:val="-2"/>
          <w:w w:val="120"/>
        </w:rPr>
        <w:t>dans</w:t>
      </w:r>
      <w:r>
        <w:rPr>
          <w:color w:val="231F20"/>
          <w:spacing w:val="-21"/>
          <w:w w:val="120"/>
        </w:rPr>
        <w:t> </w:t>
      </w:r>
      <w:r>
        <w:rPr>
          <w:color w:val="231F20"/>
          <w:spacing w:val="-2"/>
          <w:w w:val="120"/>
        </w:rPr>
        <w:t>la</w:t>
      </w:r>
      <w:r>
        <w:rPr>
          <w:color w:val="231F20"/>
          <w:spacing w:val="-20"/>
          <w:w w:val="120"/>
        </w:rPr>
        <w:t> </w:t>
      </w:r>
      <w:r>
        <w:rPr>
          <w:color w:val="231F20"/>
          <w:spacing w:val="-2"/>
          <w:w w:val="120"/>
        </w:rPr>
        <w:t>possibilité</w:t>
      </w:r>
      <w:r>
        <w:rPr>
          <w:color w:val="231F20"/>
          <w:spacing w:val="-21"/>
          <w:w w:val="120"/>
        </w:rPr>
        <w:t> </w:t>
      </w:r>
      <w:r>
        <w:rPr>
          <w:color w:val="231F20"/>
          <w:spacing w:val="-2"/>
          <w:w w:val="120"/>
        </w:rPr>
        <w:t>d’établir</w:t>
      </w:r>
      <w:r>
        <w:rPr>
          <w:color w:val="231F20"/>
          <w:spacing w:val="-20"/>
          <w:w w:val="120"/>
        </w:rPr>
        <w:t> </w:t>
      </w:r>
      <w:r>
        <w:rPr>
          <w:color w:val="231F20"/>
          <w:spacing w:val="-2"/>
          <w:w w:val="120"/>
        </w:rPr>
        <w:t>des</w:t>
      </w:r>
      <w:r>
        <w:rPr>
          <w:color w:val="231F20"/>
          <w:spacing w:val="-21"/>
          <w:w w:val="120"/>
        </w:rPr>
        <w:t> </w:t>
      </w:r>
      <w:r>
        <w:rPr>
          <w:color w:val="231F20"/>
          <w:spacing w:val="-2"/>
          <w:w w:val="120"/>
        </w:rPr>
        <w:t>relations</w:t>
      </w:r>
      <w:r>
        <w:rPr>
          <w:color w:val="231F20"/>
          <w:spacing w:val="-20"/>
          <w:w w:val="120"/>
        </w:rPr>
        <w:t> </w:t>
      </w:r>
      <w:r>
        <w:rPr>
          <w:color w:val="231F20"/>
          <w:spacing w:val="-2"/>
          <w:w w:val="120"/>
        </w:rPr>
        <w:t>humaines</w:t>
      </w:r>
      <w:r>
        <w:rPr>
          <w:color w:val="231F20"/>
          <w:spacing w:val="-21"/>
          <w:w w:val="120"/>
        </w:rPr>
        <w:t> </w:t>
      </w:r>
      <w:r>
        <w:rPr>
          <w:color w:val="231F20"/>
          <w:spacing w:val="-2"/>
          <w:w w:val="120"/>
        </w:rPr>
        <w:t>positives</w:t>
      </w:r>
      <w:r>
        <w:rPr>
          <w:color w:val="231F20"/>
          <w:spacing w:val="-20"/>
          <w:w w:val="120"/>
        </w:rPr>
        <w:t> </w:t>
      </w:r>
      <w:r>
        <w:rPr>
          <w:color w:val="231F20"/>
          <w:spacing w:val="-2"/>
          <w:w w:val="120"/>
        </w:rPr>
        <w:t>et</w:t>
      </w:r>
      <w:r>
        <w:rPr>
          <w:color w:val="231F20"/>
          <w:spacing w:val="-21"/>
          <w:w w:val="120"/>
        </w:rPr>
        <w:t> </w:t>
      </w:r>
      <w:r>
        <w:rPr>
          <w:color w:val="231F20"/>
          <w:spacing w:val="-2"/>
          <w:w w:val="120"/>
        </w:rPr>
        <w:t>gratifiantes</w:t>
      </w:r>
    </w:p>
    <w:p>
      <w:pPr>
        <w:pStyle w:val="BodyText"/>
        <w:rPr>
          <w:sz w:val="20"/>
        </w:rPr>
      </w:pPr>
    </w:p>
    <w:p>
      <w:pPr>
        <w:pStyle w:val="BodyText"/>
        <w:spacing w:before="1"/>
        <w:rPr>
          <w:sz w:val="14"/>
        </w:rPr>
      </w:pPr>
      <w:r>
        <w:rPr/>
        <w:pict>
          <v:shape style="position:absolute;margin-left:82pt;margin-top:9.347071pt;width:287.5pt;height:.1pt;mso-position-horizontal-relative:page;mso-position-vertical-relative:paragraph;z-index:-15714304;mso-wrap-distance-left:0;mso-wrap-distance-right:0" id="docshape93" coordorigin="1640,187" coordsize="5750,0" path="m1640,187l7390,187e" filled="false" stroked="true" strokeweight=".25pt" strokecolor="#231f20">
            <v:path arrowok="t"/>
            <v:stroke dashstyle="shortdot"/>
            <w10:wrap type="topAndBottom"/>
          </v:shape>
        </w:pict>
      </w:r>
    </w:p>
    <w:p>
      <w:pPr>
        <w:pStyle w:val="ListParagraph"/>
        <w:numPr>
          <w:ilvl w:val="0"/>
          <w:numId w:val="12"/>
        </w:numPr>
        <w:tabs>
          <w:tab w:pos="1179" w:val="left" w:leader="none"/>
          <w:tab w:pos="1180" w:val="left" w:leader="none"/>
        </w:tabs>
        <w:spacing w:line="240" w:lineRule="auto" w:before="135" w:after="0"/>
        <w:ind w:left="1179" w:right="0" w:hanging="406"/>
        <w:jc w:val="left"/>
        <w:rPr>
          <w:rFonts w:ascii="Arial"/>
          <w:sz w:val="12"/>
        </w:rPr>
      </w:pPr>
      <w:r>
        <w:rPr>
          <w:rFonts w:ascii="Arial"/>
          <w:color w:val="231F20"/>
          <w:sz w:val="12"/>
        </w:rPr>
        <w:t>Ahmad,</w:t>
      </w:r>
      <w:r>
        <w:rPr>
          <w:rFonts w:ascii="Arial"/>
          <w:color w:val="231F20"/>
          <w:spacing w:val="-4"/>
          <w:sz w:val="12"/>
        </w:rPr>
        <w:t> </w:t>
      </w:r>
      <w:r>
        <w:rPr>
          <w:rFonts w:ascii="Arial"/>
          <w:color w:val="231F20"/>
          <w:sz w:val="12"/>
        </w:rPr>
        <w:t>S.</w:t>
      </w:r>
      <w:r>
        <w:rPr>
          <w:rFonts w:ascii="Arial"/>
          <w:color w:val="231F20"/>
          <w:spacing w:val="-4"/>
          <w:sz w:val="12"/>
        </w:rPr>
        <w:t> </w:t>
      </w:r>
      <w:r>
        <w:rPr>
          <w:rFonts w:ascii="Arial"/>
          <w:color w:val="231F20"/>
          <w:sz w:val="12"/>
        </w:rPr>
        <w:t>(2013).</w:t>
      </w:r>
      <w:r>
        <w:rPr>
          <w:rFonts w:ascii="Arial"/>
          <w:color w:val="231F20"/>
          <w:spacing w:val="-4"/>
          <w:sz w:val="12"/>
        </w:rPr>
        <w:t> </w:t>
      </w:r>
      <w:r>
        <w:rPr>
          <w:rFonts w:ascii="Arial"/>
          <w:color w:val="231F20"/>
          <w:sz w:val="12"/>
        </w:rPr>
        <w:t>Paradigms</w:t>
      </w:r>
      <w:r>
        <w:rPr>
          <w:rFonts w:ascii="Arial"/>
          <w:color w:val="231F20"/>
          <w:spacing w:val="-3"/>
          <w:sz w:val="12"/>
        </w:rPr>
        <w:t> </w:t>
      </w:r>
      <w:r>
        <w:rPr>
          <w:rFonts w:ascii="Arial"/>
          <w:color w:val="231F20"/>
          <w:sz w:val="12"/>
        </w:rPr>
        <w:t>of</w:t>
      </w:r>
      <w:r>
        <w:rPr>
          <w:rFonts w:ascii="Arial"/>
          <w:color w:val="231F20"/>
          <w:spacing w:val="-4"/>
          <w:sz w:val="12"/>
        </w:rPr>
        <w:t> </w:t>
      </w:r>
      <w:r>
        <w:rPr>
          <w:rFonts w:ascii="Arial"/>
          <w:color w:val="231F20"/>
          <w:sz w:val="12"/>
        </w:rPr>
        <w:t>quality</w:t>
      </w:r>
      <w:r>
        <w:rPr>
          <w:rFonts w:ascii="Arial"/>
          <w:color w:val="231F20"/>
          <w:spacing w:val="-4"/>
          <w:sz w:val="12"/>
        </w:rPr>
        <w:t> </w:t>
      </w:r>
      <w:r>
        <w:rPr>
          <w:rFonts w:ascii="Arial"/>
          <w:color w:val="231F20"/>
          <w:sz w:val="12"/>
        </w:rPr>
        <w:t>of</w:t>
      </w:r>
      <w:r>
        <w:rPr>
          <w:rFonts w:ascii="Arial"/>
          <w:color w:val="231F20"/>
          <w:spacing w:val="-4"/>
          <w:sz w:val="12"/>
        </w:rPr>
        <w:t> </w:t>
      </w:r>
      <w:r>
        <w:rPr>
          <w:rFonts w:ascii="Arial"/>
          <w:color w:val="231F20"/>
          <w:sz w:val="12"/>
        </w:rPr>
        <w:t>work</w:t>
      </w:r>
      <w:r>
        <w:rPr>
          <w:rFonts w:ascii="Arial"/>
          <w:color w:val="231F20"/>
          <w:spacing w:val="-3"/>
          <w:sz w:val="12"/>
        </w:rPr>
        <w:t> </w:t>
      </w:r>
      <w:r>
        <w:rPr>
          <w:rFonts w:ascii="Arial"/>
          <w:color w:val="231F20"/>
          <w:sz w:val="12"/>
        </w:rPr>
        <w:t>life,</w:t>
      </w:r>
      <w:r>
        <w:rPr>
          <w:rFonts w:ascii="Arial"/>
          <w:color w:val="231F20"/>
          <w:spacing w:val="-4"/>
          <w:sz w:val="12"/>
        </w:rPr>
        <w:t> </w:t>
      </w:r>
      <w:r>
        <w:rPr>
          <w:rFonts w:ascii="Arial"/>
          <w:i/>
          <w:color w:val="231F20"/>
          <w:sz w:val="12"/>
        </w:rPr>
        <w:t>Journal</w:t>
      </w:r>
      <w:r>
        <w:rPr>
          <w:rFonts w:ascii="Arial"/>
          <w:i/>
          <w:color w:val="231F20"/>
          <w:spacing w:val="-4"/>
          <w:sz w:val="12"/>
        </w:rPr>
        <w:t> </w:t>
      </w:r>
      <w:r>
        <w:rPr>
          <w:rFonts w:ascii="Arial"/>
          <w:i/>
          <w:color w:val="231F20"/>
          <w:sz w:val="12"/>
        </w:rPr>
        <w:t>of</w:t>
      </w:r>
      <w:r>
        <w:rPr>
          <w:rFonts w:ascii="Arial"/>
          <w:i/>
          <w:color w:val="231F20"/>
          <w:spacing w:val="-4"/>
          <w:sz w:val="12"/>
        </w:rPr>
        <w:t> </w:t>
      </w:r>
      <w:r>
        <w:rPr>
          <w:rFonts w:ascii="Arial"/>
          <w:i/>
          <w:color w:val="231F20"/>
          <w:sz w:val="12"/>
        </w:rPr>
        <w:t>Human</w:t>
      </w:r>
      <w:r>
        <w:rPr>
          <w:rFonts w:ascii="Arial"/>
          <w:i/>
          <w:color w:val="231F20"/>
          <w:spacing w:val="-3"/>
          <w:sz w:val="12"/>
        </w:rPr>
        <w:t> </w:t>
      </w:r>
      <w:r>
        <w:rPr>
          <w:rFonts w:ascii="Arial"/>
          <w:i/>
          <w:color w:val="231F20"/>
          <w:sz w:val="12"/>
        </w:rPr>
        <w:t>Values</w:t>
      </w:r>
      <w:r>
        <w:rPr>
          <w:rFonts w:ascii="Arial"/>
          <w:color w:val="231F20"/>
          <w:sz w:val="12"/>
        </w:rPr>
        <w:t>,</w:t>
      </w:r>
      <w:r>
        <w:rPr>
          <w:rFonts w:ascii="Arial"/>
          <w:color w:val="231F20"/>
          <w:spacing w:val="-4"/>
          <w:sz w:val="12"/>
        </w:rPr>
        <w:t> </w:t>
      </w:r>
      <w:r>
        <w:rPr>
          <w:rFonts w:ascii="Arial"/>
          <w:i/>
          <w:color w:val="231F20"/>
          <w:sz w:val="12"/>
        </w:rPr>
        <w:t>19</w:t>
      </w:r>
      <w:r>
        <w:rPr>
          <w:rFonts w:ascii="Arial"/>
          <w:color w:val="231F20"/>
          <w:sz w:val="12"/>
        </w:rPr>
        <w:t>,</w:t>
      </w:r>
      <w:r>
        <w:rPr>
          <w:rFonts w:ascii="Arial"/>
          <w:color w:val="231F20"/>
          <w:spacing w:val="-4"/>
          <w:sz w:val="12"/>
        </w:rPr>
        <w:t> </w:t>
      </w:r>
      <w:r>
        <w:rPr>
          <w:rFonts w:ascii="Arial"/>
          <w:color w:val="231F20"/>
          <w:sz w:val="12"/>
        </w:rPr>
        <w:t>73-</w:t>
      </w:r>
      <w:r>
        <w:rPr>
          <w:rFonts w:ascii="Arial"/>
          <w:color w:val="231F20"/>
          <w:spacing w:val="-5"/>
          <w:sz w:val="12"/>
        </w:rPr>
        <w:t>82.</w:t>
      </w:r>
    </w:p>
    <w:p>
      <w:pPr>
        <w:spacing w:after="0" w:line="240" w:lineRule="auto"/>
        <w:jc w:val="left"/>
        <w:rPr>
          <w:rFonts w:ascii="Arial"/>
          <w:sz w:val="12"/>
        </w:rPr>
        <w:sectPr>
          <w:footerReference w:type="default" r:id="rId46"/>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790" w:right="637"/>
        <w:jc w:val="both"/>
      </w:pPr>
      <w:r>
        <w:rPr>
          <w:color w:val="231F20"/>
          <w:w w:val="120"/>
        </w:rPr>
        <w:t>au travail. Comme le considérait Aristote, l’être humain est un </w:t>
      </w:r>
      <w:r>
        <w:rPr>
          <w:color w:val="231F20"/>
          <w:w w:val="120"/>
        </w:rPr>
        <w:t>animal grégaire</w:t>
      </w:r>
      <w:r>
        <w:rPr>
          <w:color w:val="231F20"/>
          <w:spacing w:val="-1"/>
          <w:w w:val="120"/>
        </w:rPr>
        <w:t> </w:t>
      </w:r>
      <w:r>
        <w:rPr>
          <w:color w:val="231F20"/>
          <w:w w:val="120"/>
        </w:rPr>
        <w:t>et</w:t>
      </w:r>
      <w:r>
        <w:rPr>
          <w:color w:val="231F20"/>
          <w:spacing w:val="-1"/>
          <w:w w:val="120"/>
        </w:rPr>
        <w:t> </w:t>
      </w:r>
      <w:r>
        <w:rPr>
          <w:color w:val="231F20"/>
          <w:w w:val="120"/>
        </w:rPr>
        <w:t>l’actualisation</w:t>
      </w:r>
      <w:r>
        <w:rPr>
          <w:color w:val="231F20"/>
          <w:spacing w:val="-1"/>
          <w:w w:val="120"/>
        </w:rPr>
        <w:t> </w:t>
      </w:r>
      <w:r>
        <w:rPr>
          <w:color w:val="231F20"/>
          <w:w w:val="120"/>
        </w:rPr>
        <w:t>positive</w:t>
      </w:r>
      <w:r>
        <w:rPr>
          <w:color w:val="231F20"/>
          <w:spacing w:val="-1"/>
          <w:w w:val="120"/>
        </w:rPr>
        <w:t> </w:t>
      </w:r>
      <w:r>
        <w:rPr>
          <w:color w:val="231F20"/>
          <w:w w:val="120"/>
        </w:rPr>
        <w:t>de</w:t>
      </w:r>
      <w:r>
        <w:rPr>
          <w:color w:val="231F20"/>
          <w:spacing w:val="-1"/>
          <w:w w:val="120"/>
        </w:rPr>
        <w:t> </w:t>
      </w:r>
      <w:r>
        <w:rPr>
          <w:color w:val="231F20"/>
          <w:w w:val="120"/>
        </w:rPr>
        <w:t>cette</w:t>
      </w:r>
      <w:r>
        <w:rPr>
          <w:color w:val="231F20"/>
          <w:spacing w:val="-1"/>
          <w:w w:val="120"/>
        </w:rPr>
        <w:t> </w:t>
      </w:r>
      <w:r>
        <w:rPr>
          <w:color w:val="231F20"/>
          <w:w w:val="120"/>
        </w:rPr>
        <w:t>grégarité</w:t>
      </w:r>
      <w:r>
        <w:rPr>
          <w:color w:val="231F20"/>
          <w:spacing w:val="-1"/>
          <w:w w:val="120"/>
        </w:rPr>
        <w:t> </w:t>
      </w:r>
      <w:r>
        <w:rPr>
          <w:color w:val="231F20"/>
          <w:w w:val="120"/>
        </w:rPr>
        <w:t>est</w:t>
      </w:r>
      <w:r>
        <w:rPr>
          <w:color w:val="231F20"/>
          <w:spacing w:val="-1"/>
          <w:w w:val="120"/>
        </w:rPr>
        <w:t> </w:t>
      </w:r>
      <w:r>
        <w:rPr>
          <w:color w:val="231F20"/>
          <w:w w:val="120"/>
        </w:rPr>
        <w:t>pour</w:t>
      </w:r>
      <w:r>
        <w:rPr>
          <w:color w:val="231F20"/>
          <w:spacing w:val="-1"/>
          <w:w w:val="120"/>
        </w:rPr>
        <w:t> </w:t>
      </w:r>
      <w:r>
        <w:rPr>
          <w:color w:val="231F20"/>
          <w:w w:val="120"/>
        </w:rPr>
        <w:t>plusieurs une condition essentielle de bien-être.</w:t>
      </w:r>
    </w:p>
    <w:p>
      <w:pPr>
        <w:pStyle w:val="BodyText"/>
        <w:spacing w:line="307" w:lineRule="auto" w:before="79"/>
        <w:ind w:left="790" w:right="632" w:firstLine="250"/>
        <w:jc w:val="both"/>
      </w:pPr>
      <w:r>
        <w:rPr>
          <w:color w:val="231F20"/>
          <w:w w:val="120"/>
        </w:rPr>
        <w:t>Nous</w:t>
      </w:r>
      <w:r>
        <w:rPr>
          <w:color w:val="231F20"/>
          <w:spacing w:val="-12"/>
          <w:w w:val="120"/>
        </w:rPr>
        <w:t> </w:t>
      </w:r>
      <w:r>
        <w:rPr>
          <w:color w:val="231F20"/>
          <w:w w:val="120"/>
        </w:rPr>
        <w:t>devons</w:t>
      </w:r>
      <w:r>
        <w:rPr>
          <w:color w:val="231F20"/>
          <w:spacing w:val="-12"/>
          <w:w w:val="120"/>
        </w:rPr>
        <w:t> </w:t>
      </w:r>
      <w:r>
        <w:rPr>
          <w:color w:val="231F20"/>
          <w:w w:val="120"/>
        </w:rPr>
        <w:t>garder</w:t>
      </w:r>
      <w:r>
        <w:rPr>
          <w:color w:val="231F20"/>
          <w:spacing w:val="-12"/>
          <w:w w:val="120"/>
        </w:rPr>
        <w:t> </w:t>
      </w:r>
      <w:r>
        <w:rPr>
          <w:color w:val="231F20"/>
          <w:w w:val="120"/>
        </w:rPr>
        <w:t>à</w:t>
      </w:r>
      <w:r>
        <w:rPr>
          <w:color w:val="231F20"/>
          <w:spacing w:val="-12"/>
          <w:w w:val="120"/>
        </w:rPr>
        <w:t> </w:t>
      </w:r>
      <w:r>
        <w:rPr>
          <w:color w:val="231F20"/>
          <w:w w:val="120"/>
        </w:rPr>
        <w:t>l’esprit</w:t>
      </w:r>
      <w:r>
        <w:rPr>
          <w:color w:val="231F20"/>
          <w:spacing w:val="-12"/>
          <w:w w:val="120"/>
        </w:rPr>
        <w:t> </w:t>
      </w:r>
      <w:r>
        <w:rPr>
          <w:color w:val="231F20"/>
          <w:w w:val="120"/>
        </w:rPr>
        <w:t>que</w:t>
      </w:r>
      <w:r>
        <w:rPr>
          <w:color w:val="231F20"/>
          <w:spacing w:val="-12"/>
          <w:w w:val="120"/>
        </w:rPr>
        <w:t> </w:t>
      </w:r>
      <w:r>
        <w:rPr>
          <w:color w:val="231F20"/>
          <w:w w:val="120"/>
        </w:rPr>
        <w:t>le</w:t>
      </w:r>
      <w:r>
        <w:rPr>
          <w:color w:val="231F20"/>
          <w:spacing w:val="-12"/>
          <w:w w:val="120"/>
        </w:rPr>
        <w:t> </w:t>
      </w:r>
      <w:r>
        <w:rPr>
          <w:color w:val="231F20"/>
          <w:w w:val="120"/>
        </w:rPr>
        <w:t>nœud</w:t>
      </w:r>
      <w:r>
        <w:rPr>
          <w:color w:val="231F20"/>
          <w:spacing w:val="-12"/>
          <w:w w:val="120"/>
        </w:rPr>
        <w:t> </w:t>
      </w:r>
      <w:r>
        <w:rPr>
          <w:color w:val="231F20"/>
          <w:w w:val="120"/>
        </w:rPr>
        <w:t>du</w:t>
      </w:r>
      <w:r>
        <w:rPr>
          <w:color w:val="231F20"/>
          <w:spacing w:val="-12"/>
          <w:w w:val="120"/>
        </w:rPr>
        <w:t> </w:t>
      </w:r>
      <w:r>
        <w:rPr>
          <w:color w:val="231F20"/>
          <w:w w:val="120"/>
        </w:rPr>
        <w:t>problème</w:t>
      </w:r>
      <w:r>
        <w:rPr>
          <w:color w:val="231F20"/>
          <w:spacing w:val="-12"/>
          <w:w w:val="120"/>
        </w:rPr>
        <w:t> </w:t>
      </w:r>
      <w:r>
        <w:rPr>
          <w:color w:val="231F20"/>
          <w:w w:val="120"/>
        </w:rPr>
        <w:t>se</w:t>
      </w:r>
      <w:r>
        <w:rPr>
          <w:color w:val="231F20"/>
          <w:spacing w:val="-12"/>
          <w:w w:val="120"/>
        </w:rPr>
        <w:t> </w:t>
      </w:r>
      <w:r>
        <w:rPr>
          <w:color w:val="231F20"/>
          <w:w w:val="120"/>
        </w:rPr>
        <w:t>situe</w:t>
      </w:r>
      <w:r>
        <w:rPr>
          <w:color w:val="231F20"/>
          <w:spacing w:val="-12"/>
          <w:w w:val="120"/>
        </w:rPr>
        <w:t> </w:t>
      </w:r>
      <w:r>
        <w:rPr>
          <w:color w:val="231F20"/>
          <w:w w:val="120"/>
        </w:rPr>
        <w:t>dans la</w:t>
      </w:r>
      <w:r>
        <w:rPr>
          <w:color w:val="231F20"/>
          <w:spacing w:val="-13"/>
          <w:w w:val="120"/>
        </w:rPr>
        <w:t> </w:t>
      </w:r>
      <w:r>
        <w:rPr>
          <w:color w:val="231F20"/>
          <w:w w:val="120"/>
        </w:rPr>
        <w:t>perception</w:t>
      </w:r>
      <w:r>
        <w:rPr>
          <w:color w:val="231F20"/>
          <w:spacing w:val="-13"/>
          <w:w w:val="120"/>
        </w:rPr>
        <w:t> </w:t>
      </w:r>
      <w:r>
        <w:rPr>
          <w:color w:val="231F20"/>
          <w:w w:val="120"/>
        </w:rPr>
        <w:t>d’un</w:t>
      </w:r>
      <w:r>
        <w:rPr>
          <w:color w:val="231F20"/>
          <w:spacing w:val="-12"/>
          <w:w w:val="120"/>
        </w:rPr>
        <w:t> </w:t>
      </w:r>
      <w:r>
        <w:rPr>
          <w:color w:val="231F20"/>
          <w:w w:val="120"/>
        </w:rPr>
        <w:t>danger</w:t>
      </w:r>
      <w:r>
        <w:rPr>
          <w:color w:val="231F20"/>
          <w:spacing w:val="-13"/>
          <w:w w:val="120"/>
        </w:rPr>
        <w:t> </w:t>
      </w:r>
      <w:r>
        <w:rPr>
          <w:color w:val="231F20"/>
          <w:w w:val="120"/>
        </w:rPr>
        <w:t>ou</w:t>
      </w:r>
      <w:r>
        <w:rPr>
          <w:color w:val="231F20"/>
          <w:spacing w:val="-13"/>
          <w:w w:val="120"/>
        </w:rPr>
        <w:t> </w:t>
      </w:r>
      <w:r>
        <w:rPr>
          <w:color w:val="231F20"/>
          <w:w w:val="120"/>
        </w:rPr>
        <w:t>d’une</w:t>
      </w:r>
      <w:r>
        <w:rPr>
          <w:color w:val="231F20"/>
          <w:spacing w:val="-12"/>
          <w:w w:val="120"/>
        </w:rPr>
        <w:t> </w:t>
      </w:r>
      <w:r>
        <w:rPr>
          <w:color w:val="231F20"/>
          <w:w w:val="120"/>
        </w:rPr>
        <w:t>perturbation</w:t>
      </w:r>
      <w:r>
        <w:rPr>
          <w:color w:val="231F20"/>
          <w:spacing w:val="-13"/>
          <w:w w:val="120"/>
        </w:rPr>
        <w:t> </w:t>
      </w:r>
      <w:r>
        <w:rPr>
          <w:color w:val="231F20"/>
          <w:w w:val="120"/>
        </w:rPr>
        <w:t>considérée</w:t>
      </w:r>
      <w:r>
        <w:rPr>
          <w:color w:val="231F20"/>
          <w:spacing w:val="-13"/>
          <w:w w:val="120"/>
        </w:rPr>
        <w:t> </w:t>
      </w:r>
      <w:r>
        <w:rPr>
          <w:color w:val="231F20"/>
          <w:w w:val="120"/>
        </w:rPr>
        <w:t>comme</w:t>
      </w:r>
      <w:r>
        <w:rPr>
          <w:color w:val="231F20"/>
          <w:spacing w:val="-12"/>
          <w:w w:val="120"/>
        </w:rPr>
        <w:t> </w:t>
      </w:r>
      <w:r>
        <w:rPr>
          <w:color w:val="231F20"/>
          <w:w w:val="120"/>
        </w:rPr>
        <w:t>une menace au même titre qu’une catastrophe naturelle, une pandémie ou </w:t>
      </w:r>
      <w:r>
        <w:rPr>
          <w:color w:val="231F20"/>
          <w:spacing w:val="-2"/>
          <w:w w:val="120"/>
        </w:rPr>
        <w:t>une</w:t>
      </w:r>
      <w:r>
        <w:rPr>
          <w:color w:val="231F20"/>
          <w:spacing w:val="-8"/>
          <w:w w:val="120"/>
        </w:rPr>
        <w:t> </w:t>
      </w:r>
      <w:r>
        <w:rPr>
          <w:color w:val="231F20"/>
          <w:spacing w:val="-2"/>
          <w:w w:val="120"/>
        </w:rPr>
        <w:t>perte</w:t>
      </w:r>
      <w:r>
        <w:rPr>
          <w:color w:val="231F20"/>
          <w:spacing w:val="-8"/>
          <w:w w:val="120"/>
        </w:rPr>
        <w:t> </w:t>
      </w:r>
      <w:r>
        <w:rPr>
          <w:color w:val="231F20"/>
          <w:spacing w:val="-2"/>
          <w:w w:val="120"/>
        </w:rPr>
        <w:t>émotionnelle</w:t>
      </w:r>
      <w:r>
        <w:rPr>
          <w:color w:val="231F20"/>
          <w:spacing w:val="-8"/>
          <w:w w:val="120"/>
        </w:rPr>
        <w:t> </w:t>
      </w:r>
      <w:r>
        <w:rPr>
          <w:color w:val="231F20"/>
          <w:spacing w:val="-2"/>
          <w:w w:val="120"/>
        </w:rPr>
        <w:t>(décès</w:t>
      </w:r>
      <w:r>
        <w:rPr>
          <w:color w:val="231F20"/>
          <w:spacing w:val="-8"/>
          <w:w w:val="120"/>
        </w:rPr>
        <w:t> </w:t>
      </w:r>
      <w:r>
        <w:rPr>
          <w:color w:val="231F20"/>
          <w:spacing w:val="-2"/>
          <w:w w:val="120"/>
        </w:rPr>
        <w:t>d’un</w:t>
      </w:r>
      <w:r>
        <w:rPr>
          <w:color w:val="231F20"/>
          <w:spacing w:val="-8"/>
          <w:w w:val="120"/>
        </w:rPr>
        <w:t> </w:t>
      </w:r>
      <w:r>
        <w:rPr>
          <w:color w:val="231F20"/>
          <w:spacing w:val="-2"/>
          <w:w w:val="120"/>
        </w:rPr>
        <w:t>être</w:t>
      </w:r>
      <w:r>
        <w:rPr>
          <w:color w:val="231F20"/>
          <w:spacing w:val="-8"/>
          <w:w w:val="120"/>
        </w:rPr>
        <w:t> </w:t>
      </w:r>
      <w:r>
        <w:rPr>
          <w:color w:val="231F20"/>
          <w:spacing w:val="-2"/>
          <w:w w:val="120"/>
        </w:rPr>
        <w:t>cher,</w:t>
      </w:r>
      <w:r>
        <w:rPr>
          <w:color w:val="231F20"/>
          <w:spacing w:val="-8"/>
          <w:w w:val="120"/>
        </w:rPr>
        <w:t> </w:t>
      </w:r>
      <w:r>
        <w:rPr>
          <w:color w:val="231F20"/>
          <w:spacing w:val="-2"/>
          <w:w w:val="120"/>
        </w:rPr>
        <w:t>séparation,</w:t>
      </w:r>
      <w:r>
        <w:rPr>
          <w:color w:val="231F20"/>
          <w:spacing w:val="-8"/>
          <w:w w:val="120"/>
        </w:rPr>
        <w:t> </w:t>
      </w:r>
      <w:r>
        <w:rPr>
          <w:color w:val="231F20"/>
          <w:spacing w:val="-2"/>
          <w:w w:val="120"/>
        </w:rPr>
        <w:t>perte</w:t>
      </w:r>
      <w:r>
        <w:rPr>
          <w:color w:val="231F20"/>
          <w:spacing w:val="-8"/>
          <w:w w:val="120"/>
        </w:rPr>
        <w:t> </w:t>
      </w:r>
      <w:r>
        <w:rPr>
          <w:color w:val="231F20"/>
          <w:spacing w:val="-2"/>
          <w:w w:val="120"/>
        </w:rPr>
        <w:t>d’emploi, </w:t>
      </w:r>
      <w:r>
        <w:rPr>
          <w:color w:val="231F20"/>
          <w:w w:val="120"/>
        </w:rPr>
        <w:t>retraite).</w:t>
      </w:r>
      <w:r>
        <w:rPr>
          <w:color w:val="231F20"/>
          <w:spacing w:val="-9"/>
          <w:w w:val="120"/>
        </w:rPr>
        <w:t> </w:t>
      </w:r>
      <w:r>
        <w:rPr>
          <w:color w:val="231F20"/>
          <w:w w:val="120"/>
        </w:rPr>
        <w:t>Aujourd’hui</w:t>
      </w:r>
      <w:r>
        <w:rPr>
          <w:color w:val="231F20"/>
          <w:spacing w:val="-9"/>
          <w:w w:val="120"/>
        </w:rPr>
        <w:t> </w:t>
      </w:r>
      <w:r>
        <w:rPr>
          <w:color w:val="231F20"/>
          <w:w w:val="120"/>
        </w:rPr>
        <w:t>pourtant,</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lié</w:t>
      </w:r>
      <w:r>
        <w:rPr>
          <w:color w:val="231F20"/>
          <w:spacing w:val="-9"/>
          <w:w w:val="120"/>
        </w:rPr>
        <w:t> </w:t>
      </w:r>
      <w:r>
        <w:rPr>
          <w:color w:val="231F20"/>
          <w:w w:val="120"/>
        </w:rPr>
        <w:t>au</w:t>
      </w:r>
      <w:r>
        <w:rPr>
          <w:color w:val="231F20"/>
          <w:spacing w:val="-9"/>
          <w:w w:val="120"/>
        </w:rPr>
        <w:t> </w:t>
      </w:r>
      <w:r>
        <w:rPr>
          <w:color w:val="231F20"/>
          <w:w w:val="120"/>
        </w:rPr>
        <w:t>travail</w:t>
      </w:r>
      <w:r>
        <w:rPr>
          <w:color w:val="231F20"/>
          <w:spacing w:val="-9"/>
          <w:w w:val="120"/>
        </w:rPr>
        <w:t> </w:t>
      </w:r>
      <w:r>
        <w:rPr>
          <w:color w:val="231F20"/>
          <w:w w:val="120"/>
        </w:rPr>
        <w:t>revêt</w:t>
      </w:r>
      <w:r>
        <w:rPr>
          <w:color w:val="231F20"/>
          <w:spacing w:val="-9"/>
          <w:w w:val="120"/>
        </w:rPr>
        <w:t> </w:t>
      </w:r>
      <w:r>
        <w:rPr>
          <w:color w:val="231F20"/>
          <w:w w:val="120"/>
        </w:rPr>
        <w:t>un</w:t>
      </w:r>
      <w:r>
        <w:rPr>
          <w:color w:val="231F20"/>
          <w:spacing w:val="-9"/>
          <w:w w:val="120"/>
        </w:rPr>
        <w:t> </w:t>
      </w:r>
      <w:r>
        <w:rPr>
          <w:color w:val="231F20"/>
          <w:w w:val="120"/>
        </w:rPr>
        <w:t>sens</w:t>
      </w:r>
      <w:r>
        <w:rPr>
          <w:color w:val="231F20"/>
          <w:spacing w:val="-9"/>
          <w:w w:val="120"/>
        </w:rPr>
        <w:t> </w:t>
      </w:r>
      <w:r>
        <w:rPr>
          <w:color w:val="231F20"/>
          <w:w w:val="120"/>
        </w:rPr>
        <w:t>par- ticulier. Chacun peut avoir sa propre perception des stimuli ou des perturbations</w:t>
      </w:r>
      <w:r>
        <w:rPr>
          <w:color w:val="231F20"/>
          <w:spacing w:val="-4"/>
          <w:w w:val="120"/>
        </w:rPr>
        <w:t> </w:t>
      </w:r>
      <w:r>
        <w:rPr>
          <w:color w:val="231F20"/>
          <w:w w:val="120"/>
        </w:rPr>
        <w:t>associés</w:t>
      </w:r>
      <w:r>
        <w:rPr>
          <w:color w:val="231F20"/>
          <w:spacing w:val="-4"/>
          <w:w w:val="120"/>
        </w:rPr>
        <w:t> </w:t>
      </w:r>
      <w:r>
        <w:rPr>
          <w:color w:val="231F20"/>
          <w:w w:val="120"/>
        </w:rPr>
        <w:t>à</w:t>
      </w:r>
      <w:r>
        <w:rPr>
          <w:color w:val="231F20"/>
          <w:spacing w:val="-4"/>
          <w:w w:val="120"/>
        </w:rPr>
        <w:t> </w:t>
      </w:r>
      <w:r>
        <w:rPr>
          <w:color w:val="231F20"/>
          <w:w w:val="120"/>
        </w:rPr>
        <w:t>son</w:t>
      </w:r>
      <w:r>
        <w:rPr>
          <w:color w:val="231F20"/>
          <w:spacing w:val="-4"/>
          <w:w w:val="120"/>
        </w:rPr>
        <w:t> </w:t>
      </w:r>
      <w:r>
        <w:rPr>
          <w:color w:val="231F20"/>
          <w:w w:val="120"/>
        </w:rPr>
        <w:t>lieu</w:t>
      </w:r>
      <w:r>
        <w:rPr>
          <w:color w:val="231F20"/>
          <w:spacing w:val="-4"/>
          <w:w w:val="120"/>
        </w:rPr>
        <w:t> </w:t>
      </w:r>
      <w:r>
        <w:rPr>
          <w:color w:val="231F20"/>
          <w:w w:val="120"/>
        </w:rPr>
        <w:t>de</w:t>
      </w:r>
      <w:r>
        <w:rPr>
          <w:color w:val="231F20"/>
          <w:spacing w:val="-4"/>
          <w:w w:val="120"/>
        </w:rPr>
        <w:t> </w:t>
      </w:r>
      <w:r>
        <w:rPr>
          <w:color w:val="231F20"/>
          <w:w w:val="120"/>
        </w:rPr>
        <w:t>travail:</w:t>
      </w:r>
      <w:r>
        <w:rPr>
          <w:color w:val="231F20"/>
          <w:spacing w:val="-4"/>
          <w:w w:val="120"/>
        </w:rPr>
        <w:t> </w:t>
      </w:r>
      <w:r>
        <w:rPr>
          <w:color w:val="231F20"/>
          <w:w w:val="120"/>
        </w:rPr>
        <w:t>ce</w:t>
      </w:r>
      <w:r>
        <w:rPr>
          <w:color w:val="231F20"/>
          <w:spacing w:val="-4"/>
          <w:w w:val="120"/>
        </w:rPr>
        <w:t> </w:t>
      </w:r>
      <w:r>
        <w:rPr>
          <w:color w:val="231F20"/>
          <w:w w:val="120"/>
        </w:rPr>
        <w:t>que</w:t>
      </w:r>
      <w:r>
        <w:rPr>
          <w:color w:val="231F20"/>
          <w:spacing w:val="-4"/>
          <w:w w:val="120"/>
        </w:rPr>
        <w:t> </w:t>
      </w:r>
      <w:r>
        <w:rPr>
          <w:color w:val="231F20"/>
          <w:w w:val="120"/>
        </w:rPr>
        <w:t>certains</w:t>
      </w:r>
      <w:r>
        <w:rPr>
          <w:color w:val="231F20"/>
          <w:spacing w:val="-4"/>
          <w:w w:val="120"/>
        </w:rPr>
        <w:t> </w:t>
      </w:r>
      <w:r>
        <w:rPr>
          <w:color w:val="231F20"/>
          <w:w w:val="120"/>
        </w:rPr>
        <w:t>considèrent comme</w:t>
      </w:r>
      <w:r>
        <w:rPr>
          <w:color w:val="231F20"/>
          <w:spacing w:val="-4"/>
          <w:w w:val="120"/>
        </w:rPr>
        <w:t> </w:t>
      </w:r>
      <w:r>
        <w:rPr>
          <w:color w:val="231F20"/>
          <w:w w:val="120"/>
        </w:rPr>
        <w:t>un</w:t>
      </w:r>
      <w:r>
        <w:rPr>
          <w:color w:val="231F20"/>
          <w:spacing w:val="-4"/>
          <w:w w:val="120"/>
        </w:rPr>
        <w:t> </w:t>
      </w:r>
      <w:r>
        <w:rPr>
          <w:color w:val="231F20"/>
          <w:w w:val="120"/>
        </w:rPr>
        <w:t>défi</w:t>
      </w:r>
      <w:r>
        <w:rPr>
          <w:color w:val="231F20"/>
          <w:spacing w:val="-4"/>
          <w:w w:val="120"/>
        </w:rPr>
        <w:t> </w:t>
      </w:r>
      <w:r>
        <w:rPr>
          <w:color w:val="231F20"/>
          <w:w w:val="120"/>
        </w:rPr>
        <w:t>qui</w:t>
      </w:r>
      <w:r>
        <w:rPr>
          <w:color w:val="231F20"/>
          <w:spacing w:val="-4"/>
          <w:w w:val="120"/>
        </w:rPr>
        <w:t> </w:t>
      </w:r>
      <w:r>
        <w:rPr>
          <w:color w:val="231F20"/>
          <w:w w:val="120"/>
        </w:rPr>
        <w:t>stimule</w:t>
      </w:r>
      <w:r>
        <w:rPr>
          <w:color w:val="231F20"/>
          <w:spacing w:val="-4"/>
          <w:w w:val="120"/>
        </w:rPr>
        <w:t> </w:t>
      </w:r>
      <w:r>
        <w:rPr>
          <w:color w:val="231F20"/>
          <w:w w:val="120"/>
        </w:rPr>
        <w:t>l’amélioration</w:t>
      </w:r>
      <w:r>
        <w:rPr>
          <w:color w:val="231F20"/>
          <w:spacing w:val="-4"/>
          <w:w w:val="120"/>
        </w:rPr>
        <w:t> </w:t>
      </w:r>
      <w:r>
        <w:rPr>
          <w:color w:val="231F20"/>
          <w:w w:val="120"/>
        </w:rPr>
        <w:t>et</w:t>
      </w:r>
      <w:r>
        <w:rPr>
          <w:color w:val="231F20"/>
          <w:spacing w:val="-4"/>
          <w:w w:val="120"/>
        </w:rPr>
        <w:t> </w:t>
      </w:r>
      <w:r>
        <w:rPr>
          <w:color w:val="231F20"/>
          <w:w w:val="120"/>
        </w:rPr>
        <w:t>le</w:t>
      </w:r>
      <w:r>
        <w:rPr>
          <w:color w:val="231F20"/>
          <w:spacing w:val="-4"/>
          <w:w w:val="120"/>
        </w:rPr>
        <w:t> </w:t>
      </w:r>
      <w:r>
        <w:rPr>
          <w:color w:val="231F20"/>
          <w:w w:val="120"/>
        </w:rPr>
        <w:t>développement</w:t>
      </w:r>
      <w:r>
        <w:rPr>
          <w:color w:val="231F20"/>
          <w:spacing w:val="-4"/>
          <w:w w:val="120"/>
        </w:rPr>
        <w:t> </w:t>
      </w:r>
      <w:r>
        <w:rPr>
          <w:color w:val="231F20"/>
          <w:w w:val="120"/>
        </w:rPr>
        <w:t>person- </w:t>
      </w:r>
      <w:r>
        <w:rPr>
          <w:color w:val="231F20"/>
          <w:spacing w:val="-2"/>
          <w:w w:val="120"/>
        </w:rPr>
        <w:t>nels</w:t>
      </w:r>
      <w:r>
        <w:rPr>
          <w:color w:val="231F20"/>
          <w:spacing w:val="-5"/>
          <w:w w:val="120"/>
        </w:rPr>
        <w:t> </w:t>
      </w:r>
      <w:r>
        <w:rPr>
          <w:color w:val="231F20"/>
          <w:spacing w:val="-2"/>
          <w:w w:val="120"/>
        </w:rPr>
        <w:t>est</w:t>
      </w:r>
      <w:r>
        <w:rPr>
          <w:color w:val="231F20"/>
          <w:spacing w:val="-5"/>
          <w:w w:val="120"/>
        </w:rPr>
        <w:t> </w:t>
      </w:r>
      <w:r>
        <w:rPr>
          <w:color w:val="231F20"/>
          <w:spacing w:val="-2"/>
          <w:w w:val="120"/>
        </w:rPr>
        <w:t>perçu</w:t>
      </w:r>
      <w:r>
        <w:rPr>
          <w:color w:val="231F20"/>
          <w:spacing w:val="-5"/>
          <w:w w:val="120"/>
        </w:rPr>
        <w:t> </w:t>
      </w:r>
      <w:r>
        <w:rPr>
          <w:color w:val="231F20"/>
          <w:spacing w:val="-2"/>
          <w:w w:val="120"/>
        </w:rPr>
        <w:t>par</w:t>
      </w:r>
      <w:r>
        <w:rPr>
          <w:color w:val="231F20"/>
          <w:spacing w:val="-5"/>
          <w:w w:val="120"/>
        </w:rPr>
        <w:t> </w:t>
      </w:r>
      <w:r>
        <w:rPr>
          <w:color w:val="231F20"/>
          <w:spacing w:val="-2"/>
          <w:w w:val="120"/>
        </w:rPr>
        <w:t>d’autres</w:t>
      </w:r>
      <w:r>
        <w:rPr>
          <w:color w:val="231F20"/>
          <w:spacing w:val="-5"/>
          <w:w w:val="120"/>
        </w:rPr>
        <w:t> </w:t>
      </w:r>
      <w:r>
        <w:rPr>
          <w:color w:val="231F20"/>
          <w:spacing w:val="-2"/>
          <w:w w:val="120"/>
        </w:rPr>
        <w:t>comme</w:t>
      </w:r>
      <w:r>
        <w:rPr>
          <w:color w:val="231F20"/>
          <w:spacing w:val="-5"/>
          <w:w w:val="120"/>
        </w:rPr>
        <w:t> </w:t>
      </w:r>
      <w:r>
        <w:rPr>
          <w:color w:val="231F20"/>
          <w:spacing w:val="-2"/>
          <w:w w:val="120"/>
        </w:rPr>
        <w:t>une</w:t>
      </w:r>
      <w:r>
        <w:rPr>
          <w:color w:val="231F20"/>
          <w:spacing w:val="-5"/>
          <w:w w:val="120"/>
        </w:rPr>
        <w:t> </w:t>
      </w:r>
      <w:r>
        <w:rPr>
          <w:color w:val="231F20"/>
          <w:spacing w:val="-2"/>
          <w:w w:val="120"/>
        </w:rPr>
        <w:t>terrible</w:t>
      </w:r>
      <w:r>
        <w:rPr>
          <w:color w:val="231F20"/>
          <w:spacing w:val="-5"/>
          <w:w w:val="120"/>
        </w:rPr>
        <w:t> </w:t>
      </w:r>
      <w:r>
        <w:rPr>
          <w:color w:val="231F20"/>
          <w:spacing w:val="-2"/>
          <w:w w:val="120"/>
        </w:rPr>
        <w:t>menace.</w:t>
      </w:r>
      <w:r>
        <w:rPr>
          <w:color w:val="231F20"/>
          <w:spacing w:val="-5"/>
          <w:w w:val="120"/>
        </w:rPr>
        <w:t> </w:t>
      </w:r>
      <w:r>
        <w:rPr>
          <w:color w:val="231F20"/>
          <w:spacing w:val="-2"/>
          <w:w w:val="120"/>
        </w:rPr>
        <w:t>Cette</w:t>
      </w:r>
      <w:r>
        <w:rPr>
          <w:color w:val="231F20"/>
          <w:spacing w:val="-5"/>
          <w:w w:val="120"/>
        </w:rPr>
        <w:t> </w:t>
      </w:r>
      <w:r>
        <w:rPr>
          <w:color w:val="231F20"/>
          <w:spacing w:val="-2"/>
          <w:w w:val="120"/>
        </w:rPr>
        <w:t>distinction </w:t>
      </w:r>
      <w:r>
        <w:rPr>
          <w:color w:val="231F20"/>
          <w:w w:val="120"/>
        </w:rPr>
        <w:t>prend</w:t>
      </w:r>
      <w:r>
        <w:rPr>
          <w:color w:val="231F20"/>
          <w:spacing w:val="-7"/>
          <w:w w:val="120"/>
        </w:rPr>
        <w:t> </w:t>
      </w:r>
      <w:r>
        <w:rPr>
          <w:color w:val="231F20"/>
          <w:w w:val="120"/>
        </w:rPr>
        <w:t>toute</w:t>
      </w:r>
      <w:r>
        <w:rPr>
          <w:color w:val="231F20"/>
          <w:spacing w:val="-7"/>
          <w:w w:val="120"/>
        </w:rPr>
        <w:t> </w:t>
      </w:r>
      <w:r>
        <w:rPr>
          <w:color w:val="231F20"/>
          <w:w w:val="120"/>
        </w:rPr>
        <w:t>son</w:t>
      </w:r>
      <w:r>
        <w:rPr>
          <w:color w:val="231F20"/>
          <w:spacing w:val="-7"/>
          <w:w w:val="120"/>
        </w:rPr>
        <w:t> </w:t>
      </w:r>
      <w:r>
        <w:rPr>
          <w:color w:val="231F20"/>
          <w:w w:val="120"/>
        </w:rPr>
        <w:t>importance</w:t>
      </w:r>
      <w:r>
        <w:rPr>
          <w:color w:val="231F20"/>
          <w:spacing w:val="-7"/>
          <w:w w:val="120"/>
        </w:rPr>
        <w:t> </w:t>
      </w:r>
      <w:r>
        <w:rPr>
          <w:color w:val="231F20"/>
          <w:w w:val="120"/>
        </w:rPr>
        <w:t>lorsqu’il</w:t>
      </w:r>
      <w:r>
        <w:rPr>
          <w:color w:val="231F20"/>
          <w:spacing w:val="-7"/>
          <w:w w:val="120"/>
        </w:rPr>
        <w:t> </w:t>
      </w:r>
      <w:r>
        <w:rPr>
          <w:color w:val="231F20"/>
          <w:w w:val="120"/>
        </w:rPr>
        <w:t>s’agit</w:t>
      </w:r>
      <w:r>
        <w:rPr>
          <w:color w:val="231F20"/>
          <w:spacing w:val="-7"/>
          <w:w w:val="120"/>
        </w:rPr>
        <w:t> </w:t>
      </w:r>
      <w:r>
        <w:rPr>
          <w:color w:val="231F20"/>
          <w:w w:val="120"/>
        </w:rPr>
        <w:t>d’évaluer</w:t>
      </w:r>
      <w:r>
        <w:rPr>
          <w:color w:val="231F20"/>
          <w:spacing w:val="-7"/>
          <w:w w:val="120"/>
        </w:rPr>
        <w:t> </w:t>
      </w:r>
      <w:r>
        <w:rPr>
          <w:color w:val="231F20"/>
          <w:w w:val="120"/>
        </w:rPr>
        <w:t>l’estime</w:t>
      </w:r>
      <w:r>
        <w:rPr>
          <w:color w:val="231F20"/>
          <w:spacing w:val="-7"/>
          <w:w w:val="120"/>
        </w:rPr>
        <w:t> </w:t>
      </w:r>
      <w:r>
        <w:rPr>
          <w:color w:val="231F20"/>
          <w:w w:val="120"/>
        </w:rPr>
        <w:t>de</w:t>
      </w:r>
      <w:r>
        <w:rPr>
          <w:color w:val="231F20"/>
          <w:spacing w:val="-7"/>
          <w:w w:val="120"/>
        </w:rPr>
        <w:t> </w:t>
      </w:r>
      <w:r>
        <w:rPr>
          <w:color w:val="231F20"/>
          <w:w w:val="120"/>
        </w:rPr>
        <w:t>soi,</w:t>
      </w:r>
      <w:r>
        <w:rPr>
          <w:color w:val="231F20"/>
          <w:spacing w:val="-7"/>
          <w:w w:val="120"/>
        </w:rPr>
        <w:t> </w:t>
      </w:r>
      <w:r>
        <w:rPr>
          <w:color w:val="231F20"/>
          <w:w w:val="120"/>
        </w:rPr>
        <w:t>la tolérance à la frustration, l’optimisme, la créativité et le sentiment de sécurité – interne et externe – obtenus, entre autres, grâce aux réseaux de soutien social, que ce soutien soit émotionnel, d’estime, informatif ou</w:t>
      </w:r>
      <w:r>
        <w:rPr>
          <w:color w:val="231F20"/>
          <w:spacing w:val="-13"/>
          <w:w w:val="120"/>
        </w:rPr>
        <w:t> </w:t>
      </w:r>
      <w:r>
        <w:rPr>
          <w:color w:val="231F20"/>
          <w:w w:val="120"/>
        </w:rPr>
        <w:t>matériel.</w:t>
      </w:r>
    </w:p>
    <w:p>
      <w:pPr>
        <w:pStyle w:val="BodyText"/>
        <w:spacing w:line="307" w:lineRule="auto" w:before="78"/>
        <w:ind w:left="790" w:right="635" w:firstLine="250"/>
        <w:jc w:val="both"/>
      </w:pPr>
      <w:r>
        <w:rPr>
          <w:color w:val="231F20"/>
          <w:w w:val="115"/>
        </w:rPr>
        <w:t>Si</w:t>
      </w:r>
      <w:r>
        <w:rPr>
          <w:color w:val="231F20"/>
          <w:spacing w:val="-11"/>
          <w:w w:val="115"/>
        </w:rPr>
        <w:t> </w:t>
      </w:r>
      <w:r>
        <w:rPr>
          <w:color w:val="231F20"/>
          <w:w w:val="115"/>
        </w:rPr>
        <w:t>l’on</w:t>
      </w:r>
      <w:r>
        <w:rPr>
          <w:color w:val="231F20"/>
          <w:spacing w:val="-11"/>
          <w:w w:val="115"/>
        </w:rPr>
        <w:t> </w:t>
      </w:r>
      <w:r>
        <w:rPr>
          <w:color w:val="231F20"/>
          <w:w w:val="115"/>
        </w:rPr>
        <w:t>transpose</w:t>
      </w:r>
      <w:r>
        <w:rPr>
          <w:color w:val="231F20"/>
          <w:spacing w:val="-11"/>
          <w:w w:val="115"/>
        </w:rPr>
        <w:t> </w:t>
      </w:r>
      <w:r>
        <w:rPr>
          <w:color w:val="231F20"/>
          <w:w w:val="115"/>
        </w:rPr>
        <w:t>cette</w:t>
      </w:r>
      <w:r>
        <w:rPr>
          <w:color w:val="231F20"/>
          <w:spacing w:val="-11"/>
          <w:w w:val="115"/>
        </w:rPr>
        <w:t> </w:t>
      </w:r>
      <w:r>
        <w:rPr>
          <w:color w:val="231F20"/>
          <w:w w:val="115"/>
        </w:rPr>
        <w:t>situation</w:t>
      </w:r>
      <w:r>
        <w:rPr>
          <w:color w:val="231F20"/>
          <w:spacing w:val="-11"/>
          <w:w w:val="115"/>
        </w:rPr>
        <w:t> </w:t>
      </w:r>
      <w:r>
        <w:rPr>
          <w:color w:val="231F20"/>
          <w:w w:val="115"/>
        </w:rPr>
        <w:t>au</w:t>
      </w:r>
      <w:r>
        <w:rPr>
          <w:color w:val="231F20"/>
          <w:spacing w:val="-11"/>
          <w:w w:val="115"/>
        </w:rPr>
        <w:t> </w:t>
      </w:r>
      <w:r>
        <w:rPr>
          <w:color w:val="231F20"/>
          <w:w w:val="115"/>
        </w:rPr>
        <w:t>travail</w:t>
      </w:r>
      <w:r>
        <w:rPr>
          <w:color w:val="231F20"/>
          <w:spacing w:val="-11"/>
          <w:w w:val="115"/>
        </w:rPr>
        <w:t> </w:t>
      </w:r>
      <w:r>
        <w:rPr>
          <w:color w:val="231F20"/>
          <w:w w:val="115"/>
        </w:rPr>
        <w:t>et</w:t>
      </w:r>
      <w:r>
        <w:rPr>
          <w:color w:val="231F20"/>
          <w:spacing w:val="-11"/>
          <w:w w:val="115"/>
        </w:rPr>
        <w:t> </w:t>
      </w:r>
      <w:r>
        <w:rPr>
          <w:color w:val="231F20"/>
          <w:w w:val="115"/>
        </w:rPr>
        <w:t>à</w:t>
      </w:r>
      <w:r>
        <w:rPr>
          <w:color w:val="231F20"/>
          <w:spacing w:val="-11"/>
          <w:w w:val="115"/>
        </w:rPr>
        <w:t> </w:t>
      </w:r>
      <w:r>
        <w:rPr>
          <w:color w:val="231F20"/>
          <w:w w:val="115"/>
        </w:rPr>
        <w:t>sa</w:t>
      </w:r>
      <w:r>
        <w:rPr>
          <w:color w:val="231F20"/>
          <w:spacing w:val="-11"/>
          <w:w w:val="115"/>
        </w:rPr>
        <w:t> </w:t>
      </w:r>
      <w:r>
        <w:rPr>
          <w:color w:val="231F20"/>
          <w:w w:val="115"/>
        </w:rPr>
        <w:t>relation</w:t>
      </w:r>
      <w:r>
        <w:rPr>
          <w:color w:val="231F20"/>
          <w:spacing w:val="-11"/>
          <w:w w:val="115"/>
        </w:rPr>
        <w:t> </w:t>
      </w:r>
      <w:r>
        <w:rPr>
          <w:color w:val="231F20"/>
          <w:w w:val="115"/>
        </w:rPr>
        <w:t>avec</w:t>
      </w:r>
      <w:r>
        <w:rPr>
          <w:color w:val="231F20"/>
          <w:spacing w:val="-11"/>
          <w:w w:val="115"/>
        </w:rPr>
        <w:t> </w:t>
      </w:r>
      <w:r>
        <w:rPr>
          <w:color w:val="231F20"/>
          <w:w w:val="115"/>
        </w:rPr>
        <w:t>la</w:t>
      </w:r>
      <w:r>
        <w:rPr>
          <w:color w:val="231F20"/>
          <w:spacing w:val="-11"/>
          <w:w w:val="115"/>
        </w:rPr>
        <w:t> </w:t>
      </w:r>
      <w:r>
        <w:rPr>
          <w:color w:val="231F20"/>
          <w:w w:val="115"/>
        </w:rPr>
        <w:t>qualité de</w:t>
      </w:r>
      <w:r>
        <w:rPr>
          <w:color w:val="231F20"/>
          <w:spacing w:val="-4"/>
          <w:w w:val="115"/>
        </w:rPr>
        <w:t> </w:t>
      </w:r>
      <w:r>
        <w:rPr>
          <w:color w:val="231F20"/>
          <w:w w:val="115"/>
        </w:rPr>
        <w:t>vie,</w:t>
      </w:r>
      <w:r>
        <w:rPr>
          <w:color w:val="231F20"/>
          <w:spacing w:val="-4"/>
          <w:w w:val="115"/>
        </w:rPr>
        <w:t> </w:t>
      </w:r>
      <w:r>
        <w:rPr>
          <w:color w:val="231F20"/>
          <w:w w:val="115"/>
        </w:rPr>
        <w:t>il</w:t>
      </w:r>
      <w:r>
        <w:rPr>
          <w:color w:val="231F20"/>
          <w:spacing w:val="-4"/>
          <w:w w:val="115"/>
        </w:rPr>
        <w:t> </w:t>
      </w:r>
      <w:r>
        <w:rPr>
          <w:color w:val="231F20"/>
          <w:w w:val="115"/>
        </w:rPr>
        <w:t>tombe</w:t>
      </w:r>
      <w:r>
        <w:rPr>
          <w:color w:val="231F20"/>
          <w:spacing w:val="-4"/>
          <w:w w:val="115"/>
        </w:rPr>
        <w:t> </w:t>
      </w:r>
      <w:r>
        <w:rPr>
          <w:color w:val="231F20"/>
          <w:w w:val="115"/>
        </w:rPr>
        <w:t>sous</w:t>
      </w:r>
      <w:r>
        <w:rPr>
          <w:color w:val="231F20"/>
          <w:spacing w:val="-4"/>
          <w:w w:val="115"/>
        </w:rPr>
        <w:t> </w:t>
      </w:r>
      <w:r>
        <w:rPr>
          <w:color w:val="231F20"/>
          <w:w w:val="115"/>
        </w:rPr>
        <w:t>le</w:t>
      </w:r>
      <w:r>
        <w:rPr>
          <w:color w:val="231F20"/>
          <w:spacing w:val="-4"/>
          <w:w w:val="115"/>
        </w:rPr>
        <w:t> </w:t>
      </w:r>
      <w:r>
        <w:rPr>
          <w:color w:val="231F20"/>
          <w:w w:val="115"/>
        </w:rPr>
        <w:t>sens</w:t>
      </w:r>
      <w:r>
        <w:rPr>
          <w:color w:val="231F20"/>
          <w:spacing w:val="-4"/>
          <w:w w:val="115"/>
        </w:rPr>
        <w:t> </w:t>
      </w:r>
      <w:r>
        <w:rPr>
          <w:color w:val="231F20"/>
          <w:w w:val="115"/>
        </w:rPr>
        <w:t>que</w:t>
      </w:r>
      <w:r>
        <w:rPr>
          <w:color w:val="231F20"/>
          <w:spacing w:val="-4"/>
          <w:w w:val="115"/>
        </w:rPr>
        <w:t> </w:t>
      </w:r>
      <w:r>
        <w:rPr>
          <w:color w:val="231F20"/>
          <w:w w:val="115"/>
        </w:rPr>
        <w:t>la</w:t>
      </w:r>
      <w:r>
        <w:rPr>
          <w:color w:val="231F20"/>
          <w:spacing w:val="-4"/>
          <w:w w:val="115"/>
        </w:rPr>
        <w:t> </w:t>
      </w:r>
      <w:r>
        <w:rPr>
          <w:color w:val="231F20"/>
          <w:w w:val="115"/>
        </w:rPr>
        <w:t>présence</w:t>
      </w:r>
      <w:r>
        <w:rPr>
          <w:color w:val="231F20"/>
          <w:spacing w:val="-4"/>
          <w:w w:val="115"/>
        </w:rPr>
        <w:t> </w:t>
      </w:r>
      <w:r>
        <w:rPr>
          <w:color w:val="231F20"/>
          <w:w w:val="115"/>
        </w:rPr>
        <w:t>d’exigences</w:t>
      </w:r>
      <w:r>
        <w:rPr>
          <w:color w:val="231F20"/>
          <w:spacing w:val="-4"/>
          <w:w w:val="115"/>
        </w:rPr>
        <w:t> </w:t>
      </w:r>
      <w:r>
        <w:rPr>
          <w:color w:val="231F20"/>
          <w:w w:val="115"/>
        </w:rPr>
        <w:t>de</w:t>
      </w:r>
      <w:r>
        <w:rPr>
          <w:color w:val="231F20"/>
          <w:spacing w:val="-4"/>
          <w:w w:val="115"/>
        </w:rPr>
        <w:t> </w:t>
      </w:r>
      <w:r>
        <w:rPr>
          <w:color w:val="231F20"/>
          <w:w w:val="115"/>
        </w:rPr>
        <w:t>travail</w:t>
      </w:r>
      <w:r>
        <w:rPr>
          <w:color w:val="231F20"/>
          <w:spacing w:val="-4"/>
          <w:w w:val="115"/>
        </w:rPr>
        <w:t> </w:t>
      </w:r>
      <w:r>
        <w:rPr>
          <w:color w:val="231F20"/>
          <w:w w:val="115"/>
        </w:rPr>
        <w:t>démo- </w:t>
      </w:r>
      <w:r>
        <w:rPr>
          <w:color w:val="231F20"/>
          <w:w w:val="120"/>
        </w:rPr>
        <w:t>tivantes, insatisfaisantes, démoralisantes peut se répercuter sur le rendement</w:t>
      </w:r>
      <w:r>
        <w:rPr>
          <w:color w:val="231F20"/>
          <w:spacing w:val="-12"/>
          <w:w w:val="120"/>
        </w:rPr>
        <w:t> </w:t>
      </w:r>
      <w:r>
        <w:rPr>
          <w:color w:val="231F20"/>
          <w:w w:val="120"/>
        </w:rPr>
        <w:t>et</w:t>
      </w:r>
      <w:r>
        <w:rPr>
          <w:color w:val="231F20"/>
          <w:spacing w:val="-13"/>
          <w:w w:val="120"/>
        </w:rPr>
        <w:t> </w:t>
      </w:r>
      <w:r>
        <w:rPr>
          <w:color w:val="231F20"/>
          <w:w w:val="120"/>
        </w:rPr>
        <w:t>perturber</w:t>
      </w:r>
      <w:r>
        <w:rPr>
          <w:color w:val="231F20"/>
          <w:spacing w:val="-12"/>
          <w:w w:val="120"/>
        </w:rPr>
        <w:t> </w:t>
      </w:r>
      <w:r>
        <w:rPr>
          <w:color w:val="231F20"/>
          <w:w w:val="120"/>
        </w:rPr>
        <w:t>par</w:t>
      </w:r>
      <w:r>
        <w:rPr>
          <w:color w:val="231F20"/>
          <w:spacing w:val="-12"/>
          <w:w w:val="120"/>
        </w:rPr>
        <w:t> </w:t>
      </w:r>
      <w:r>
        <w:rPr>
          <w:color w:val="231F20"/>
          <w:w w:val="120"/>
        </w:rPr>
        <w:t>un</w:t>
      </w:r>
      <w:r>
        <w:rPr>
          <w:color w:val="231F20"/>
          <w:spacing w:val="-13"/>
          <w:w w:val="120"/>
        </w:rPr>
        <w:t> </w:t>
      </w:r>
      <w:r>
        <w:rPr>
          <w:color w:val="231F20"/>
          <w:w w:val="120"/>
        </w:rPr>
        <w:t>processus</w:t>
      </w:r>
      <w:r>
        <w:rPr>
          <w:color w:val="231F20"/>
          <w:spacing w:val="-12"/>
          <w:w w:val="120"/>
        </w:rPr>
        <w:t> </w:t>
      </w:r>
      <w:r>
        <w:rPr>
          <w:color w:val="231F20"/>
          <w:w w:val="120"/>
        </w:rPr>
        <w:t>d’entraînement,</w:t>
      </w:r>
      <w:r>
        <w:rPr>
          <w:color w:val="231F20"/>
          <w:spacing w:val="-12"/>
          <w:w w:val="120"/>
        </w:rPr>
        <w:t> </w:t>
      </w:r>
      <w:r>
        <w:rPr>
          <w:color w:val="231F20"/>
          <w:w w:val="120"/>
        </w:rPr>
        <w:t>voire</w:t>
      </w:r>
      <w:r>
        <w:rPr>
          <w:color w:val="231F20"/>
          <w:spacing w:val="-13"/>
          <w:w w:val="120"/>
        </w:rPr>
        <w:t> </w:t>
      </w:r>
      <w:r>
        <w:rPr>
          <w:color w:val="231F20"/>
          <w:w w:val="120"/>
        </w:rPr>
        <w:t>de</w:t>
      </w:r>
      <w:r>
        <w:rPr>
          <w:color w:val="231F20"/>
          <w:spacing w:val="-12"/>
          <w:w w:val="120"/>
        </w:rPr>
        <w:t> </w:t>
      </w:r>
      <w:r>
        <w:rPr>
          <w:color w:val="231F20"/>
          <w:w w:val="120"/>
        </w:rPr>
        <w:t>géné- </w:t>
      </w:r>
      <w:r>
        <w:rPr>
          <w:color w:val="231F20"/>
          <w:spacing w:val="-2"/>
          <w:w w:val="115"/>
        </w:rPr>
        <w:t>ralisation,</w:t>
      </w:r>
      <w:r>
        <w:rPr>
          <w:color w:val="231F20"/>
          <w:spacing w:val="-5"/>
          <w:w w:val="115"/>
        </w:rPr>
        <w:t> </w:t>
      </w:r>
      <w:r>
        <w:rPr>
          <w:color w:val="231F20"/>
          <w:spacing w:val="-2"/>
          <w:w w:val="115"/>
        </w:rPr>
        <w:t>l’évolution</w:t>
      </w:r>
      <w:r>
        <w:rPr>
          <w:color w:val="231F20"/>
          <w:spacing w:val="-5"/>
          <w:w w:val="115"/>
        </w:rPr>
        <w:t> </w:t>
      </w:r>
      <w:r>
        <w:rPr>
          <w:color w:val="231F20"/>
          <w:spacing w:val="-2"/>
          <w:w w:val="115"/>
        </w:rPr>
        <w:t>de</w:t>
      </w:r>
      <w:r>
        <w:rPr>
          <w:color w:val="231F20"/>
          <w:spacing w:val="-5"/>
          <w:w w:val="115"/>
        </w:rPr>
        <w:t> </w:t>
      </w:r>
      <w:r>
        <w:rPr>
          <w:color w:val="231F20"/>
          <w:spacing w:val="-2"/>
          <w:w w:val="115"/>
        </w:rPr>
        <w:t>la</w:t>
      </w:r>
      <w:r>
        <w:rPr>
          <w:color w:val="231F20"/>
          <w:spacing w:val="-5"/>
          <w:w w:val="115"/>
        </w:rPr>
        <w:t> </w:t>
      </w:r>
      <w:r>
        <w:rPr>
          <w:color w:val="231F20"/>
          <w:spacing w:val="-2"/>
          <w:w w:val="115"/>
        </w:rPr>
        <w:t>vie</w:t>
      </w:r>
      <w:r>
        <w:rPr>
          <w:color w:val="231F20"/>
          <w:spacing w:val="-5"/>
          <w:w w:val="115"/>
        </w:rPr>
        <w:t> </w:t>
      </w:r>
      <w:r>
        <w:rPr>
          <w:color w:val="231F20"/>
          <w:spacing w:val="-2"/>
          <w:w w:val="115"/>
        </w:rPr>
        <w:t>personnelle,</w:t>
      </w:r>
      <w:r>
        <w:rPr>
          <w:color w:val="231F20"/>
          <w:spacing w:val="-5"/>
          <w:w w:val="115"/>
        </w:rPr>
        <w:t> </w:t>
      </w:r>
      <w:r>
        <w:rPr>
          <w:color w:val="231F20"/>
          <w:spacing w:val="-2"/>
          <w:w w:val="115"/>
        </w:rPr>
        <w:t>familiale</w:t>
      </w:r>
      <w:r>
        <w:rPr>
          <w:color w:val="231F20"/>
          <w:spacing w:val="-5"/>
          <w:w w:val="115"/>
        </w:rPr>
        <w:t> </w:t>
      </w:r>
      <w:r>
        <w:rPr>
          <w:color w:val="231F20"/>
          <w:spacing w:val="-2"/>
          <w:w w:val="115"/>
        </w:rPr>
        <w:t>et</w:t>
      </w:r>
      <w:r>
        <w:rPr>
          <w:color w:val="231F20"/>
          <w:spacing w:val="-5"/>
          <w:w w:val="115"/>
        </w:rPr>
        <w:t> </w:t>
      </w:r>
      <w:r>
        <w:rPr>
          <w:color w:val="231F20"/>
          <w:spacing w:val="-2"/>
          <w:w w:val="115"/>
        </w:rPr>
        <w:t>sociale.</w:t>
      </w:r>
      <w:r>
        <w:rPr>
          <w:color w:val="231F20"/>
          <w:spacing w:val="-5"/>
          <w:w w:val="115"/>
        </w:rPr>
        <w:t> </w:t>
      </w:r>
      <w:r>
        <w:rPr>
          <w:color w:val="231F20"/>
          <w:spacing w:val="-2"/>
          <w:w w:val="115"/>
        </w:rPr>
        <w:t>L’équilibre </w:t>
      </w:r>
      <w:r>
        <w:rPr>
          <w:color w:val="231F20"/>
          <w:w w:val="120"/>
        </w:rPr>
        <w:t>entre le travail et la famille, l’existence d’un bon climat de travail, un environnement</w:t>
      </w:r>
      <w:r>
        <w:rPr>
          <w:color w:val="231F20"/>
          <w:spacing w:val="-1"/>
          <w:w w:val="120"/>
        </w:rPr>
        <w:t> </w:t>
      </w:r>
      <w:r>
        <w:rPr>
          <w:color w:val="231F20"/>
          <w:w w:val="120"/>
        </w:rPr>
        <w:t>de</w:t>
      </w:r>
      <w:r>
        <w:rPr>
          <w:color w:val="231F20"/>
          <w:spacing w:val="-1"/>
          <w:w w:val="120"/>
        </w:rPr>
        <w:t> </w:t>
      </w:r>
      <w:r>
        <w:rPr>
          <w:color w:val="231F20"/>
          <w:w w:val="120"/>
        </w:rPr>
        <w:t>travail</w:t>
      </w:r>
      <w:r>
        <w:rPr>
          <w:color w:val="231F20"/>
          <w:spacing w:val="-1"/>
          <w:w w:val="120"/>
        </w:rPr>
        <w:t> </w:t>
      </w:r>
      <w:r>
        <w:rPr>
          <w:color w:val="231F20"/>
          <w:w w:val="120"/>
        </w:rPr>
        <w:t>psychologiquement</w:t>
      </w:r>
      <w:r>
        <w:rPr>
          <w:color w:val="231F20"/>
          <w:spacing w:val="-1"/>
          <w:w w:val="120"/>
        </w:rPr>
        <w:t> </w:t>
      </w:r>
      <w:r>
        <w:rPr>
          <w:color w:val="231F20"/>
          <w:w w:val="120"/>
        </w:rPr>
        <w:t>sain,</w:t>
      </w:r>
      <w:r>
        <w:rPr>
          <w:color w:val="231F20"/>
          <w:spacing w:val="-1"/>
          <w:w w:val="120"/>
        </w:rPr>
        <w:t> </w:t>
      </w:r>
      <w:r>
        <w:rPr>
          <w:color w:val="231F20"/>
          <w:w w:val="120"/>
        </w:rPr>
        <w:t>la</w:t>
      </w:r>
      <w:r>
        <w:rPr>
          <w:color w:val="231F20"/>
          <w:spacing w:val="-1"/>
          <w:w w:val="120"/>
        </w:rPr>
        <w:t> </w:t>
      </w:r>
      <w:r>
        <w:rPr>
          <w:color w:val="231F20"/>
          <w:w w:val="120"/>
        </w:rPr>
        <w:t>mise</w:t>
      </w:r>
      <w:r>
        <w:rPr>
          <w:color w:val="231F20"/>
          <w:spacing w:val="-1"/>
          <w:w w:val="120"/>
        </w:rPr>
        <w:t> </w:t>
      </w:r>
      <w:r>
        <w:rPr>
          <w:color w:val="231F20"/>
          <w:w w:val="120"/>
        </w:rPr>
        <w:t>en</w:t>
      </w:r>
      <w:r>
        <w:rPr>
          <w:color w:val="231F20"/>
          <w:spacing w:val="-1"/>
          <w:w w:val="120"/>
        </w:rPr>
        <w:t> </w:t>
      </w:r>
      <w:r>
        <w:rPr>
          <w:color w:val="231F20"/>
          <w:w w:val="120"/>
        </w:rPr>
        <w:t>place</w:t>
      </w:r>
      <w:r>
        <w:rPr>
          <w:color w:val="231F20"/>
          <w:spacing w:val="-1"/>
          <w:w w:val="120"/>
        </w:rPr>
        <w:t> </w:t>
      </w:r>
      <w:r>
        <w:rPr>
          <w:color w:val="231F20"/>
          <w:w w:val="120"/>
        </w:rPr>
        <w:t>de programmes de prévention des risques et un faible taux d’accidents et de maladies professionnelles sont autant de facteurs qui réduisent au minimum la prévalence du stress chronique et pathologique.</w:t>
      </w:r>
    </w:p>
    <w:p>
      <w:pPr>
        <w:pStyle w:val="BodyText"/>
        <w:rPr>
          <w:sz w:val="24"/>
        </w:rPr>
      </w:pPr>
    </w:p>
    <w:p>
      <w:pPr>
        <w:pStyle w:val="BodyText"/>
        <w:spacing w:before="181"/>
        <w:ind w:left="790"/>
        <w:jc w:val="both"/>
        <w:rPr>
          <w:rFonts w:ascii="Arial" w:hAnsi="Arial"/>
        </w:rPr>
      </w:pPr>
      <w:r>
        <w:rPr/>
        <w:pict>
          <v:shape style="position:absolute;margin-left:62.5pt;margin-top:21.070904pt;width:287.5pt;height:.1pt;mso-position-horizontal-relative:page;mso-position-vertical-relative:paragraph;z-index:-15713792;mso-wrap-distance-left:0;mso-wrap-distance-right:0" id="docshape95" coordorigin="1250,421" coordsize="5750,0" path="m1250,421l7000,421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4"/>
        <w:rPr>
          <w:rFonts w:ascii="Arial"/>
          <w:sz w:val="22"/>
        </w:rPr>
      </w:pPr>
    </w:p>
    <w:p>
      <w:pPr>
        <w:pStyle w:val="BodyText"/>
        <w:spacing w:line="307" w:lineRule="auto"/>
        <w:ind w:left="790" w:right="881"/>
        <w:jc w:val="both"/>
        <w:rPr>
          <w:rFonts w:ascii="Arial" w:hAnsi="Arial"/>
        </w:rPr>
      </w:pPr>
      <w:r>
        <w:rPr>
          <w:rFonts w:ascii="Arial" w:hAnsi="Arial"/>
          <w:color w:val="231F20"/>
        </w:rPr>
        <w:t>Dans l’analyse des conditions de travail, faire référence au stress et aux risques psychosociaux traduit une démarche de prévention. Par contre, parler</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qualité</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vie</w:t>
      </w:r>
      <w:r>
        <w:rPr>
          <w:rFonts w:ascii="Arial" w:hAnsi="Arial"/>
          <w:color w:val="231F20"/>
          <w:spacing w:val="-5"/>
        </w:rPr>
        <w:t> </w:t>
      </w:r>
      <w:r>
        <w:rPr>
          <w:rFonts w:ascii="Arial" w:hAnsi="Arial"/>
          <w:color w:val="231F20"/>
        </w:rPr>
        <w:t>au</w:t>
      </w:r>
      <w:r>
        <w:rPr>
          <w:rFonts w:ascii="Arial" w:hAnsi="Arial"/>
          <w:color w:val="231F20"/>
          <w:spacing w:val="-5"/>
        </w:rPr>
        <w:t> </w:t>
      </w:r>
      <w:r>
        <w:rPr>
          <w:rFonts w:ascii="Arial" w:hAnsi="Arial"/>
          <w:color w:val="231F20"/>
        </w:rPr>
        <w:t>travail</w:t>
      </w:r>
      <w:r>
        <w:rPr>
          <w:rFonts w:ascii="Arial" w:hAnsi="Arial"/>
          <w:color w:val="231F20"/>
          <w:spacing w:val="-5"/>
        </w:rPr>
        <w:t> </w:t>
      </w:r>
      <w:r>
        <w:rPr>
          <w:rFonts w:ascii="Arial" w:hAnsi="Arial"/>
          <w:color w:val="231F20"/>
        </w:rPr>
        <w:t>suppose</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s’inscrire</w:t>
      </w:r>
      <w:r>
        <w:rPr>
          <w:rFonts w:ascii="Arial" w:hAnsi="Arial"/>
          <w:color w:val="231F20"/>
          <w:spacing w:val="-5"/>
        </w:rPr>
        <w:t> </w:t>
      </w:r>
      <w:r>
        <w:rPr>
          <w:rFonts w:ascii="Arial" w:hAnsi="Arial"/>
          <w:color w:val="231F20"/>
        </w:rPr>
        <w:t>dans</w:t>
      </w:r>
      <w:r>
        <w:rPr>
          <w:rFonts w:ascii="Arial" w:hAnsi="Arial"/>
          <w:color w:val="231F20"/>
          <w:spacing w:val="-5"/>
        </w:rPr>
        <w:t> </w:t>
      </w:r>
      <w:r>
        <w:rPr>
          <w:rFonts w:ascii="Arial" w:hAnsi="Arial"/>
          <w:color w:val="231F20"/>
        </w:rPr>
        <w:t>une</w:t>
      </w:r>
      <w:r>
        <w:rPr>
          <w:rFonts w:ascii="Arial" w:hAnsi="Arial"/>
          <w:color w:val="231F20"/>
          <w:spacing w:val="-5"/>
        </w:rPr>
        <w:t> </w:t>
      </w:r>
      <w:r>
        <w:rPr>
          <w:rFonts w:ascii="Arial" w:hAnsi="Arial"/>
          <w:color w:val="231F20"/>
        </w:rPr>
        <w:t>visée</w:t>
      </w:r>
      <w:r>
        <w:rPr>
          <w:rFonts w:ascii="Arial" w:hAnsi="Arial"/>
          <w:color w:val="231F20"/>
          <w:spacing w:val="-5"/>
        </w:rPr>
        <w:t> </w:t>
      </w:r>
      <w:r>
        <w:rPr>
          <w:rFonts w:ascii="Arial" w:hAnsi="Arial"/>
          <w:color w:val="231F20"/>
        </w:rPr>
        <w:t>de </w:t>
      </w:r>
      <w:r>
        <w:rPr>
          <w:rFonts w:ascii="Arial" w:hAnsi="Arial"/>
          <w:color w:val="231F20"/>
          <w:w w:val="105"/>
        </w:rPr>
        <w:t>promotion</w:t>
      </w:r>
      <w:r>
        <w:rPr>
          <w:rFonts w:ascii="Arial" w:hAnsi="Arial"/>
          <w:color w:val="231F20"/>
          <w:spacing w:val="-3"/>
          <w:w w:val="105"/>
        </w:rPr>
        <w:t> </w:t>
      </w:r>
      <w:r>
        <w:rPr>
          <w:rFonts w:ascii="Arial" w:hAnsi="Arial"/>
          <w:color w:val="231F20"/>
          <w:w w:val="105"/>
        </w:rPr>
        <w:t>de</w:t>
      </w:r>
      <w:r>
        <w:rPr>
          <w:rFonts w:ascii="Arial" w:hAnsi="Arial"/>
          <w:color w:val="231F20"/>
          <w:spacing w:val="-3"/>
          <w:w w:val="105"/>
        </w:rPr>
        <w:t> </w:t>
      </w:r>
      <w:r>
        <w:rPr>
          <w:rFonts w:ascii="Arial" w:hAnsi="Arial"/>
          <w:color w:val="231F20"/>
          <w:w w:val="105"/>
        </w:rPr>
        <w:t>la</w:t>
      </w:r>
      <w:r>
        <w:rPr>
          <w:rFonts w:ascii="Arial" w:hAnsi="Arial"/>
          <w:color w:val="231F20"/>
          <w:spacing w:val="-3"/>
          <w:w w:val="105"/>
        </w:rPr>
        <w:t> </w:t>
      </w:r>
      <w:r>
        <w:rPr>
          <w:rFonts w:ascii="Arial" w:hAnsi="Arial"/>
          <w:color w:val="231F20"/>
          <w:w w:val="105"/>
        </w:rPr>
        <w:t>santé</w:t>
      </w:r>
      <w:r>
        <w:rPr>
          <w:rFonts w:ascii="Arial" w:hAnsi="Arial"/>
          <w:color w:val="231F20"/>
          <w:spacing w:val="-3"/>
          <w:w w:val="105"/>
        </w:rPr>
        <w:t> </w:t>
      </w:r>
      <w:r>
        <w:rPr>
          <w:rFonts w:ascii="Arial" w:hAnsi="Arial"/>
          <w:color w:val="231F20"/>
          <w:w w:val="105"/>
        </w:rPr>
        <w:t>au</w:t>
      </w:r>
      <w:r>
        <w:rPr>
          <w:rFonts w:ascii="Arial" w:hAnsi="Arial"/>
          <w:color w:val="231F20"/>
          <w:spacing w:val="-3"/>
          <w:w w:val="105"/>
        </w:rPr>
        <w:t> </w:t>
      </w:r>
      <w:r>
        <w:rPr>
          <w:rFonts w:ascii="Arial" w:hAnsi="Arial"/>
          <w:color w:val="231F20"/>
          <w:w w:val="105"/>
        </w:rPr>
        <w:t>travail.</w:t>
      </w:r>
      <w:r>
        <w:rPr>
          <w:rFonts w:ascii="Arial" w:hAnsi="Arial"/>
          <w:color w:val="231F20"/>
          <w:spacing w:val="-3"/>
          <w:w w:val="105"/>
        </w:rPr>
        <w:t> </w:t>
      </w:r>
      <w:r>
        <w:rPr>
          <w:rFonts w:ascii="Arial" w:hAnsi="Arial"/>
          <w:color w:val="231F20"/>
          <w:w w:val="105"/>
        </w:rPr>
        <w:t>Ce</w:t>
      </w:r>
      <w:r>
        <w:rPr>
          <w:rFonts w:ascii="Arial" w:hAnsi="Arial"/>
          <w:color w:val="231F20"/>
          <w:spacing w:val="-3"/>
          <w:w w:val="105"/>
        </w:rPr>
        <w:t> </w:t>
      </w:r>
      <w:r>
        <w:rPr>
          <w:rFonts w:ascii="Arial" w:hAnsi="Arial"/>
          <w:color w:val="231F20"/>
          <w:w w:val="105"/>
        </w:rPr>
        <w:t>renversement</w:t>
      </w:r>
      <w:r>
        <w:rPr>
          <w:rFonts w:ascii="Arial" w:hAnsi="Arial"/>
          <w:color w:val="231F20"/>
          <w:spacing w:val="-3"/>
          <w:w w:val="105"/>
        </w:rPr>
        <w:t> </w:t>
      </w:r>
      <w:r>
        <w:rPr>
          <w:rFonts w:ascii="Arial" w:hAnsi="Arial"/>
          <w:color w:val="231F20"/>
          <w:w w:val="105"/>
        </w:rPr>
        <w:t>de</w:t>
      </w:r>
      <w:r>
        <w:rPr>
          <w:rFonts w:ascii="Arial" w:hAnsi="Arial"/>
          <w:color w:val="231F20"/>
          <w:spacing w:val="-3"/>
          <w:w w:val="105"/>
        </w:rPr>
        <w:t> </w:t>
      </w:r>
      <w:r>
        <w:rPr>
          <w:rFonts w:ascii="Arial" w:hAnsi="Arial"/>
          <w:color w:val="231F20"/>
          <w:w w:val="105"/>
        </w:rPr>
        <w:t>paradigme</w:t>
      </w:r>
      <w:r>
        <w:rPr>
          <w:rFonts w:ascii="Arial" w:hAnsi="Arial"/>
          <w:color w:val="231F20"/>
          <w:spacing w:val="-3"/>
          <w:w w:val="105"/>
        </w:rPr>
        <w:t> </w:t>
      </w:r>
      <w:r>
        <w:rPr>
          <w:rFonts w:ascii="Arial" w:hAnsi="Arial"/>
          <w:color w:val="231F20"/>
          <w:w w:val="105"/>
        </w:rPr>
        <w:t>peut </w:t>
      </w:r>
      <w:r>
        <w:rPr>
          <w:rFonts w:ascii="Arial" w:hAnsi="Arial"/>
          <w:color w:val="231F20"/>
        </w:rPr>
        <w:t>paraître</w:t>
      </w:r>
      <w:r>
        <w:rPr>
          <w:rFonts w:ascii="Arial" w:hAnsi="Arial"/>
          <w:color w:val="231F20"/>
          <w:spacing w:val="-5"/>
        </w:rPr>
        <w:t> </w:t>
      </w:r>
      <w:r>
        <w:rPr>
          <w:rFonts w:ascii="Arial" w:hAnsi="Arial"/>
          <w:color w:val="231F20"/>
        </w:rPr>
        <w:t>difficile</w:t>
      </w:r>
      <w:r>
        <w:rPr>
          <w:rFonts w:ascii="Arial" w:hAnsi="Arial"/>
          <w:color w:val="231F20"/>
          <w:spacing w:val="-5"/>
        </w:rPr>
        <w:t> </w:t>
      </w:r>
      <w:r>
        <w:rPr>
          <w:rFonts w:ascii="Arial" w:hAnsi="Arial"/>
          <w:color w:val="231F20"/>
        </w:rPr>
        <w:t>et</w:t>
      </w:r>
      <w:r>
        <w:rPr>
          <w:rFonts w:ascii="Arial" w:hAnsi="Arial"/>
          <w:color w:val="231F20"/>
          <w:spacing w:val="-5"/>
        </w:rPr>
        <w:t> </w:t>
      </w:r>
      <w:r>
        <w:rPr>
          <w:rFonts w:ascii="Arial" w:hAnsi="Arial"/>
          <w:color w:val="231F20"/>
        </w:rPr>
        <w:t>incertain,</w:t>
      </w:r>
      <w:r>
        <w:rPr>
          <w:rFonts w:ascii="Arial" w:hAnsi="Arial"/>
          <w:color w:val="231F20"/>
          <w:spacing w:val="-5"/>
        </w:rPr>
        <w:t> </w:t>
      </w:r>
      <w:r>
        <w:rPr>
          <w:rFonts w:ascii="Arial" w:hAnsi="Arial"/>
          <w:color w:val="231F20"/>
        </w:rPr>
        <w:t>mais</w:t>
      </w:r>
      <w:r>
        <w:rPr>
          <w:rFonts w:ascii="Arial" w:hAnsi="Arial"/>
          <w:color w:val="231F20"/>
          <w:spacing w:val="-5"/>
        </w:rPr>
        <w:t> </w:t>
      </w:r>
      <w:r>
        <w:rPr>
          <w:rFonts w:ascii="Arial" w:hAnsi="Arial"/>
          <w:color w:val="231F20"/>
        </w:rPr>
        <w:t>il</w:t>
      </w:r>
      <w:r>
        <w:rPr>
          <w:rFonts w:ascii="Arial" w:hAnsi="Arial"/>
          <w:color w:val="231F20"/>
          <w:spacing w:val="-5"/>
        </w:rPr>
        <w:t> </w:t>
      </w:r>
      <w:r>
        <w:rPr>
          <w:rFonts w:ascii="Arial" w:hAnsi="Arial"/>
          <w:color w:val="231F20"/>
        </w:rPr>
        <w:t>est</w:t>
      </w:r>
      <w:r>
        <w:rPr>
          <w:rFonts w:ascii="Arial" w:hAnsi="Arial"/>
          <w:color w:val="231F20"/>
          <w:spacing w:val="-5"/>
        </w:rPr>
        <w:t> </w:t>
      </w:r>
      <w:r>
        <w:rPr>
          <w:rFonts w:ascii="Arial" w:hAnsi="Arial"/>
          <w:color w:val="231F20"/>
        </w:rPr>
        <w:t>indispensable</w:t>
      </w:r>
      <w:r>
        <w:rPr>
          <w:rFonts w:ascii="Arial" w:hAnsi="Arial"/>
          <w:color w:val="231F20"/>
          <w:spacing w:val="-5"/>
        </w:rPr>
        <w:t> </w:t>
      </w:r>
      <w:r>
        <w:rPr>
          <w:rFonts w:ascii="Arial" w:hAnsi="Arial"/>
          <w:color w:val="231F20"/>
        </w:rPr>
        <w:t>quand</w:t>
      </w:r>
      <w:r>
        <w:rPr>
          <w:rFonts w:ascii="Arial" w:hAnsi="Arial"/>
          <w:color w:val="231F20"/>
          <w:spacing w:val="-5"/>
        </w:rPr>
        <w:t> </w:t>
      </w:r>
      <w:r>
        <w:rPr>
          <w:rFonts w:ascii="Arial" w:hAnsi="Arial"/>
          <w:color w:val="231F20"/>
        </w:rPr>
        <w:t>on</w:t>
      </w:r>
      <w:r>
        <w:rPr>
          <w:rFonts w:ascii="Arial" w:hAnsi="Arial"/>
          <w:color w:val="231F20"/>
          <w:spacing w:val="-5"/>
        </w:rPr>
        <w:t> </w:t>
      </w:r>
      <w:r>
        <w:rPr>
          <w:rFonts w:ascii="Arial" w:hAnsi="Arial"/>
          <w:color w:val="231F20"/>
        </w:rPr>
        <w:t>cherche</w:t>
      </w:r>
      <w:r>
        <w:rPr>
          <w:rFonts w:ascii="Arial" w:hAnsi="Arial"/>
          <w:color w:val="231F20"/>
          <w:spacing w:val="-5"/>
        </w:rPr>
        <w:t> </w:t>
      </w:r>
      <w:r>
        <w:rPr>
          <w:rFonts w:ascii="Arial" w:hAnsi="Arial"/>
          <w:color w:val="231F20"/>
        </w:rPr>
        <w:t>à </w:t>
      </w:r>
      <w:r>
        <w:rPr>
          <w:rFonts w:ascii="Arial" w:hAnsi="Arial"/>
          <w:color w:val="231F20"/>
          <w:w w:val="105"/>
        </w:rPr>
        <w:t>créer</w:t>
      </w:r>
      <w:r>
        <w:rPr>
          <w:rFonts w:ascii="Arial" w:hAnsi="Arial"/>
          <w:color w:val="231F20"/>
          <w:spacing w:val="-11"/>
          <w:w w:val="105"/>
        </w:rPr>
        <w:t> </w:t>
      </w:r>
      <w:r>
        <w:rPr>
          <w:rFonts w:ascii="Arial" w:hAnsi="Arial"/>
          <w:color w:val="231F20"/>
          <w:w w:val="105"/>
        </w:rPr>
        <w:t>un</w:t>
      </w:r>
      <w:r>
        <w:rPr>
          <w:rFonts w:ascii="Arial" w:hAnsi="Arial"/>
          <w:color w:val="231F20"/>
          <w:spacing w:val="-11"/>
          <w:w w:val="105"/>
        </w:rPr>
        <w:t> </w:t>
      </w:r>
      <w:r>
        <w:rPr>
          <w:rFonts w:ascii="Arial" w:hAnsi="Arial"/>
          <w:color w:val="231F20"/>
          <w:w w:val="105"/>
        </w:rPr>
        <w:t>environnement</w:t>
      </w:r>
      <w:r>
        <w:rPr>
          <w:rFonts w:ascii="Arial" w:hAnsi="Arial"/>
          <w:color w:val="231F20"/>
          <w:spacing w:val="-11"/>
          <w:w w:val="105"/>
        </w:rPr>
        <w:t> </w:t>
      </w:r>
      <w:r>
        <w:rPr>
          <w:rFonts w:ascii="Arial" w:hAnsi="Arial"/>
          <w:color w:val="231F20"/>
          <w:w w:val="105"/>
        </w:rPr>
        <w:t>physique</w:t>
      </w:r>
      <w:r>
        <w:rPr>
          <w:rFonts w:ascii="Arial" w:hAnsi="Arial"/>
          <w:color w:val="231F20"/>
          <w:spacing w:val="-11"/>
          <w:w w:val="105"/>
        </w:rPr>
        <w:t> </w:t>
      </w:r>
      <w:r>
        <w:rPr>
          <w:rFonts w:ascii="Arial" w:hAnsi="Arial"/>
          <w:color w:val="231F20"/>
          <w:w w:val="105"/>
        </w:rPr>
        <w:t>et</w:t>
      </w:r>
      <w:r>
        <w:rPr>
          <w:rFonts w:ascii="Arial" w:hAnsi="Arial"/>
          <w:color w:val="231F20"/>
          <w:spacing w:val="-11"/>
          <w:w w:val="105"/>
        </w:rPr>
        <w:t> </w:t>
      </w:r>
      <w:r>
        <w:rPr>
          <w:rFonts w:ascii="Arial" w:hAnsi="Arial"/>
          <w:color w:val="231F20"/>
          <w:w w:val="105"/>
        </w:rPr>
        <w:t>psychologique</w:t>
      </w:r>
      <w:r>
        <w:rPr>
          <w:rFonts w:ascii="Arial" w:hAnsi="Arial"/>
          <w:color w:val="231F20"/>
          <w:spacing w:val="-11"/>
          <w:w w:val="105"/>
        </w:rPr>
        <w:t> </w:t>
      </w:r>
      <w:r>
        <w:rPr>
          <w:rFonts w:ascii="Arial" w:hAnsi="Arial"/>
          <w:color w:val="231F20"/>
          <w:w w:val="105"/>
        </w:rPr>
        <w:t>favorable,</w:t>
      </w:r>
      <w:r>
        <w:rPr>
          <w:rFonts w:ascii="Arial" w:hAnsi="Arial"/>
          <w:color w:val="231F20"/>
          <w:spacing w:val="-11"/>
          <w:w w:val="105"/>
        </w:rPr>
        <w:t> </w:t>
      </w:r>
      <w:r>
        <w:rPr>
          <w:rFonts w:ascii="Arial" w:hAnsi="Arial"/>
          <w:color w:val="231F20"/>
          <w:w w:val="105"/>
        </w:rPr>
        <w:t>en</w:t>
      </w:r>
      <w:r>
        <w:rPr>
          <w:rFonts w:ascii="Arial" w:hAnsi="Arial"/>
          <w:color w:val="231F20"/>
          <w:spacing w:val="-11"/>
          <w:w w:val="105"/>
        </w:rPr>
        <w:t> </w:t>
      </w:r>
      <w:r>
        <w:rPr>
          <w:rFonts w:ascii="Arial" w:hAnsi="Arial"/>
          <w:color w:val="231F20"/>
          <w:w w:val="105"/>
        </w:rPr>
        <w:t>privi- </w:t>
      </w:r>
      <w:r>
        <w:rPr>
          <w:rFonts w:ascii="Arial" w:hAnsi="Arial"/>
          <w:color w:val="231F20"/>
        </w:rPr>
        <w:t>légiant</w:t>
      </w:r>
      <w:r>
        <w:rPr>
          <w:rFonts w:ascii="Arial" w:hAnsi="Arial"/>
          <w:color w:val="231F20"/>
          <w:spacing w:val="15"/>
        </w:rPr>
        <w:t> </w:t>
      </w:r>
      <w:r>
        <w:rPr>
          <w:rFonts w:ascii="Arial" w:hAnsi="Arial"/>
          <w:color w:val="231F20"/>
        </w:rPr>
        <w:t>la</w:t>
      </w:r>
      <w:r>
        <w:rPr>
          <w:rFonts w:ascii="Arial" w:hAnsi="Arial"/>
          <w:color w:val="231F20"/>
          <w:spacing w:val="16"/>
        </w:rPr>
        <w:t> </w:t>
      </w:r>
      <w:r>
        <w:rPr>
          <w:rFonts w:ascii="Arial" w:hAnsi="Arial"/>
          <w:color w:val="231F20"/>
        </w:rPr>
        <w:t>cohérence</w:t>
      </w:r>
      <w:r>
        <w:rPr>
          <w:rFonts w:ascii="Arial" w:hAnsi="Arial"/>
          <w:color w:val="231F20"/>
          <w:spacing w:val="16"/>
        </w:rPr>
        <w:t> </w:t>
      </w:r>
      <w:r>
        <w:rPr>
          <w:rFonts w:ascii="Arial" w:hAnsi="Arial"/>
          <w:color w:val="231F20"/>
        </w:rPr>
        <w:t>et</w:t>
      </w:r>
      <w:r>
        <w:rPr>
          <w:rFonts w:ascii="Arial" w:hAnsi="Arial"/>
          <w:color w:val="231F20"/>
          <w:spacing w:val="15"/>
        </w:rPr>
        <w:t> </w:t>
      </w:r>
      <w:r>
        <w:rPr>
          <w:rFonts w:ascii="Arial" w:hAnsi="Arial"/>
          <w:color w:val="231F20"/>
        </w:rPr>
        <w:t>la</w:t>
      </w:r>
      <w:r>
        <w:rPr>
          <w:rFonts w:ascii="Arial" w:hAnsi="Arial"/>
          <w:color w:val="231F20"/>
          <w:spacing w:val="16"/>
        </w:rPr>
        <w:t> </w:t>
      </w:r>
      <w:r>
        <w:rPr>
          <w:rFonts w:ascii="Arial" w:hAnsi="Arial"/>
          <w:color w:val="231F20"/>
        </w:rPr>
        <w:t>continuité,</w:t>
      </w:r>
      <w:r>
        <w:rPr>
          <w:rFonts w:ascii="Arial" w:hAnsi="Arial"/>
          <w:color w:val="231F20"/>
          <w:spacing w:val="16"/>
        </w:rPr>
        <w:t> </w:t>
      </w:r>
      <w:r>
        <w:rPr>
          <w:rFonts w:ascii="Arial" w:hAnsi="Arial"/>
          <w:color w:val="231F20"/>
        </w:rPr>
        <w:t>qui</w:t>
      </w:r>
      <w:r>
        <w:rPr>
          <w:rFonts w:ascii="Arial" w:hAnsi="Arial"/>
          <w:color w:val="231F20"/>
          <w:spacing w:val="16"/>
        </w:rPr>
        <w:t> </w:t>
      </w:r>
      <w:r>
        <w:rPr>
          <w:rFonts w:ascii="Arial" w:hAnsi="Arial"/>
          <w:color w:val="231F20"/>
        </w:rPr>
        <w:t>passe</w:t>
      </w:r>
      <w:r>
        <w:rPr>
          <w:rFonts w:ascii="Arial" w:hAnsi="Arial"/>
          <w:color w:val="231F20"/>
          <w:spacing w:val="15"/>
        </w:rPr>
        <w:t> </w:t>
      </w:r>
      <w:r>
        <w:rPr>
          <w:rFonts w:ascii="Arial" w:hAnsi="Arial"/>
          <w:color w:val="231F20"/>
        </w:rPr>
        <w:t>par</w:t>
      </w:r>
      <w:r>
        <w:rPr>
          <w:rFonts w:ascii="Arial" w:hAnsi="Arial"/>
          <w:color w:val="231F20"/>
          <w:spacing w:val="16"/>
        </w:rPr>
        <w:t> </w:t>
      </w:r>
      <w:r>
        <w:rPr>
          <w:rFonts w:ascii="Arial" w:hAnsi="Arial"/>
          <w:color w:val="231F20"/>
        </w:rPr>
        <w:t>une</w:t>
      </w:r>
      <w:r>
        <w:rPr>
          <w:rFonts w:ascii="Arial" w:hAnsi="Arial"/>
          <w:color w:val="231F20"/>
          <w:spacing w:val="16"/>
        </w:rPr>
        <w:t> </w:t>
      </w:r>
      <w:r>
        <w:rPr>
          <w:rFonts w:ascii="Arial" w:hAnsi="Arial"/>
          <w:color w:val="231F20"/>
          <w:spacing w:val="-2"/>
        </w:rPr>
        <w:t>coconstruction</w:t>
      </w:r>
    </w:p>
    <w:p>
      <w:pPr>
        <w:spacing w:after="0" w:line="307" w:lineRule="auto"/>
        <w:jc w:val="both"/>
        <w:rPr>
          <w:rFonts w:ascii="Arial" w:hAnsi="Arial"/>
        </w:rPr>
        <w:sectPr>
          <w:footerReference w:type="default" r:id="rId47"/>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BodyText"/>
        <w:spacing w:line="307" w:lineRule="auto" w:before="139"/>
        <w:ind w:left="1180" w:right="490"/>
        <w:jc w:val="both"/>
        <w:rPr>
          <w:rFonts w:ascii="Arial" w:hAnsi="Arial"/>
        </w:rPr>
      </w:pPr>
      <w:r>
        <w:rPr>
          <w:rFonts w:ascii="Arial" w:hAnsi="Arial"/>
          <w:color w:val="231F20"/>
        </w:rPr>
        <w:t>collective et qui engage l’ensemble des acteurs de l’entreprise pour atteindre le bien-être et la satisfaction des individus, pour que le travail</w:t>
      </w:r>
      <w:r>
        <w:rPr>
          <w:rFonts w:ascii="Arial" w:hAnsi="Arial"/>
          <w:color w:val="231F20"/>
          <w:spacing w:val="40"/>
        </w:rPr>
        <w:t> </w:t>
      </w:r>
      <w:r>
        <w:rPr>
          <w:rFonts w:ascii="Arial" w:hAnsi="Arial"/>
          <w:color w:val="231F20"/>
        </w:rPr>
        <w:t>ne soit pas une souffrance, mais créateur de valeurs individuelles et sociales ainsi qu’un vecteur de développement de l’individu.</w:t>
      </w:r>
    </w:p>
    <w:p>
      <w:pPr>
        <w:pStyle w:val="BodyText"/>
        <w:spacing w:before="6"/>
        <w:rPr>
          <w:rFonts w:ascii="Arial"/>
          <w:sz w:val="4"/>
        </w:rPr>
      </w:pPr>
      <w:r>
        <w:rPr/>
        <w:pict>
          <v:shape style="position:absolute;margin-left:82pt;margin-top:3.834766pt;width:287.5pt;height:.1pt;mso-position-horizontal-relative:page;mso-position-vertical-relative:paragraph;z-index:-15713280;mso-wrap-distance-left:0;mso-wrap-distance-right:0" id="docshape97" coordorigin="1640,77" coordsize="5750,0" path="m1640,77l7390,77e" filled="false" stroked="true" strokeweight=".25pt" strokecolor="#231f20">
            <v:path arrowok="t"/>
            <v:stroke dashstyle="shortdot"/>
            <w10:wrap type="topAndBottom"/>
          </v:shape>
        </w:pict>
      </w:r>
    </w:p>
    <w:p>
      <w:pPr>
        <w:spacing w:line="295" w:lineRule="auto" w:before="137"/>
        <w:ind w:left="1180" w:right="495"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Salès-Wuillemin,</w:t>
      </w:r>
      <w:r>
        <w:rPr>
          <w:rFonts w:ascii="Arial" w:hAnsi="Arial"/>
          <w:color w:val="231F20"/>
          <w:spacing w:val="-8"/>
          <w:sz w:val="12"/>
        </w:rPr>
        <w:t> </w:t>
      </w:r>
      <w:r>
        <w:rPr>
          <w:rFonts w:ascii="Arial" w:hAnsi="Arial"/>
          <w:color w:val="231F20"/>
          <w:sz w:val="12"/>
        </w:rPr>
        <w:t>E.</w:t>
      </w:r>
      <w:r>
        <w:rPr>
          <w:rFonts w:ascii="Arial" w:hAnsi="Arial"/>
          <w:color w:val="231F20"/>
          <w:spacing w:val="-9"/>
          <w:sz w:val="12"/>
        </w:rPr>
        <w:t> </w:t>
      </w:r>
      <w:r>
        <w:rPr>
          <w:rFonts w:ascii="Arial" w:hAnsi="Arial"/>
          <w:color w:val="231F20"/>
          <w:sz w:val="12"/>
        </w:rPr>
        <w:t>(2018). Le stress, les risques psychosociaux et la qualité de vie au travail</w:t>
      </w:r>
      <w:r>
        <w:rPr>
          <w:rFonts w:ascii="Arial" w:hAnsi="Arial"/>
          <w:color w:val="231F20"/>
          <w:spacing w:val="-9"/>
          <w:sz w:val="12"/>
        </w:rPr>
        <w:t> </w:t>
      </w:r>
      <w:r>
        <w:rPr>
          <w:rFonts w:ascii="Arial" w:hAnsi="Arial"/>
          <w:color w:val="231F20"/>
          <w:sz w:val="12"/>
        </w:rPr>
        <w:t>:</w:t>
      </w:r>
      <w:r>
        <w:rPr>
          <w:rFonts w:ascii="Arial" w:hAnsi="Arial"/>
          <w:color w:val="231F20"/>
          <w:spacing w:val="40"/>
          <w:sz w:val="12"/>
        </w:rPr>
        <w:t> </w:t>
      </w:r>
      <w:r>
        <w:rPr>
          <w:rFonts w:ascii="Arial" w:hAnsi="Arial"/>
          <w:color w:val="231F20"/>
          <w:sz w:val="12"/>
        </w:rPr>
        <w:t>des concepts au cœur de la prévention et de la promotion de la santé, </w:t>
      </w:r>
      <w:r>
        <w:rPr>
          <w:rFonts w:ascii="Arial" w:hAnsi="Arial"/>
          <w:i/>
          <w:color w:val="231F20"/>
          <w:sz w:val="12"/>
        </w:rPr>
        <w:t>Revue ADSP</w:t>
      </w:r>
      <w:r>
        <w:rPr>
          <w:rFonts w:ascii="Arial" w:hAnsi="Arial"/>
          <w:color w:val="231F20"/>
          <w:sz w:val="12"/>
        </w:rPr>
        <w:t>, (103), 28.</w:t>
      </w:r>
    </w:p>
    <w:p>
      <w:pPr>
        <w:pStyle w:val="BodyText"/>
        <w:rPr>
          <w:rFonts w:ascii="Arial"/>
          <w:sz w:val="16"/>
        </w:rPr>
      </w:pPr>
    </w:p>
    <w:p>
      <w:pPr>
        <w:pStyle w:val="BodyText"/>
        <w:spacing w:line="307" w:lineRule="auto" w:before="101"/>
        <w:ind w:left="1180" w:right="244"/>
        <w:jc w:val="both"/>
      </w:pPr>
      <w:r>
        <w:rPr>
          <w:color w:val="231F20"/>
          <w:w w:val="115"/>
        </w:rPr>
        <w:t>De</w:t>
      </w:r>
      <w:r>
        <w:rPr>
          <w:color w:val="231F20"/>
          <w:spacing w:val="-3"/>
          <w:w w:val="115"/>
        </w:rPr>
        <w:t> </w:t>
      </w:r>
      <w:r>
        <w:rPr>
          <w:color w:val="231F20"/>
          <w:w w:val="115"/>
        </w:rPr>
        <w:t>nos</w:t>
      </w:r>
      <w:r>
        <w:rPr>
          <w:color w:val="231F20"/>
          <w:spacing w:val="-3"/>
          <w:w w:val="115"/>
        </w:rPr>
        <w:t> </w:t>
      </w:r>
      <w:r>
        <w:rPr>
          <w:color w:val="231F20"/>
          <w:w w:val="115"/>
        </w:rPr>
        <w:t>jours,</w:t>
      </w:r>
      <w:r>
        <w:rPr>
          <w:color w:val="231F20"/>
          <w:spacing w:val="-3"/>
          <w:w w:val="115"/>
        </w:rPr>
        <w:t> </w:t>
      </w:r>
      <w:r>
        <w:rPr>
          <w:color w:val="231F20"/>
          <w:w w:val="115"/>
        </w:rPr>
        <w:t>il</w:t>
      </w:r>
      <w:r>
        <w:rPr>
          <w:color w:val="231F20"/>
          <w:spacing w:val="-3"/>
          <w:w w:val="115"/>
        </w:rPr>
        <w:t> </w:t>
      </w:r>
      <w:r>
        <w:rPr>
          <w:color w:val="231F20"/>
          <w:w w:val="115"/>
        </w:rPr>
        <w:t>est</w:t>
      </w:r>
      <w:r>
        <w:rPr>
          <w:color w:val="231F20"/>
          <w:spacing w:val="-3"/>
          <w:w w:val="115"/>
        </w:rPr>
        <w:t> </w:t>
      </w:r>
      <w:r>
        <w:rPr>
          <w:color w:val="231F20"/>
          <w:w w:val="115"/>
        </w:rPr>
        <w:t>question</w:t>
      </w:r>
      <w:r>
        <w:rPr>
          <w:color w:val="231F20"/>
          <w:spacing w:val="-3"/>
          <w:w w:val="115"/>
        </w:rPr>
        <w:t> </w:t>
      </w:r>
      <w:r>
        <w:rPr>
          <w:color w:val="231F20"/>
          <w:w w:val="115"/>
        </w:rPr>
        <w:t>de</w:t>
      </w:r>
      <w:r>
        <w:rPr>
          <w:color w:val="231F20"/>
          <w:spacing w:val="-3"/>
          <w:w w:val="115"/>
        </w:rPr>
        <w:t> </w:t>
      </w:r>
      <w:r>
        <w:rPr>
          <w:color w:val="231F20"/>
          <w:w w:val="115"/>
        </w:rPr>
        <w:t>nouvelles</w:t>
      </w:r>
      <w:r>
        <w:rPr>
          <w:color w:val="231F20"/>
          <w:spacing w:val="-3"/>
          <w:w w:val="115"/>
        </w:rPr>
        <w:t> </w:t>
      </w:r>
      <w:r>
        <w:rPr>
          <w:color w:val="231F20"/>
          <w:w w:val="115"/>
        </w:rPr>
        <w:t>sources</w:t>
      </w:r>
      <w:r>
        <w:rPr>
          <w:color w:val="231F20"/>
          <w:spacing w:val="-3"/>
          <w:w w:val="115"/>
        </w:rPr>
        <w:t> </w:t>
      </w:r>
      <w:r>
        <w:rPr>
          <w:color w:val="231F20"/>
          <w:w w:val="115"/>
        </w:rPr>
        <w:t>de</w:t>
      </w:r>
      <w:r>
        <w:rPr>
          <w:color w:val="231F20"/>
          <w:spacing w:val="-3"/>
          <w:w w:val="115"/>
        </w:rPr>
        <w:t> </w:t>
      </w:r>
      <w:r>
        <w:rPr>
          <w:color w:val="231F20"/>
          <w:w w:val="115"/>
        </w:rPr>
        <w:t>stress</w:t>
      </w:r>
      <w:r>
        <w:rPr>
          <w:color w:val="231F20"/>
          <w:spacing w:val="-3"/>
          <w:w w:val="115"/>
        </w:rPr>
        <w:t> </w:t>
      </w:r>
      <w:r>
        <w:rPr>
          <w:color w:val="231F20"/>
          <w:w w:val="115"/>
        </w:rPr>
        <w:t>liées</w:t>
      </w:r>
      <w:r>
        <w:rPr>
          <w:color w:val="231F20"/>
          <w:spacing w:val="-3"/>
          <w:w w:val="115"/>
        </w:rPr>
        <w:t> </w:t>
      </w:r>
      <w:r>
        <w:rPr>
          <w:color w:val="231F20"/>
          <w:w w:val="115"/>
        </w:rPr>
        <w:t>au</w:t>
      </w:r>
      <w:r>
        <w:rPr>
          <w:color w:val="231F20"/>
          <w:spacing w:val="-3"/>
          <w:w w:val="115"/>
        </w:rPr>
        <w:t> </w:t>
      </w:r>
      <w:r>
        <w:rPr>
          <w:color w:val="231F20"/>
          <w:w w:val="115"/>
        </w:rPr>
        <w:t>travail </w:t>
      </w:r>
      <w:r>
        <w:rPr>
          <w:color w:val="231F20"/>
          <w:w w:val="120"/>
        </w:rPr>
        <w:t>telles</w:t>
      </w:r>
      <w:r>
        <w:rPr>
          <w:color w:val="231F20"/>
          <w:spacing w:val="-1"/>
          <w:w w:val="120"/>
        </w:rPr>
        <w:t> </w:t>
      </w:r>
      <w:r>
        <w:rPr>
          <w:color w:val="231F20"/>
          <w:w w:val="120"/>
        </w:rPr>
        <w:t>que</w:t>
      </w:r>
      <w:r>
        <w:rPr>
          <w:color w:val="231F20"/>
          <w:spacing w:val="-1"/>
          <w:w w:val="120"/>
        </w:rPr>
        <w:t> </w:t>
      </w:r>
      <w:r>
        <w:rPr>
          <w:color w:val="231F20"/>
          <w:w w:val="120"/>
        </w:rPr>
        <w:t>la</w:t>
      </w:r>
      <w:r>
        <w:rPr>
          <w:color w:val="231F20"/>
          <w:spacing w:val="-1"/>
          <w:w w:val="120"/>
        </w:rPr>
        <w:t> </w:t>
      </w:r>
      <w:r>
        <w:rPr>
          <w:color w:val="231F20"/>
          <w:w w:val="120"/>
        </w:rPr>
        <w:t>précarité</w:t>
      </w:r>
      <w:r>
        <w:rPr>
          <w:color w:val="231F20"/>
          <w:spacing w:val="-1"/>
          <w:w w:val="120"/>
        </w:rPr>
        <w:t> </w:t>
      </w:r>
      <w:r>
        <w:rPr>
          <w:color w:val="231F20"/>
          <w:w w:val="120"/>
        </w:rPr>
        <w:t>d’emploi,</w:t>
      </w:r>
      <w:r>
        <w:rPr>
          <w:color w:val="231F20"/>
          <w:spacing w:val="-1"/>
          <w:w w:val="120"/>
        </w:rPr>
        <w:t> </w:t>
      </w:r>
      <w:r>
        <w:rPr>
          <w:color w:val="231F20"/>
          <w:w w:val="120"/>
        </w:rPr>
        <w:t>l’hyperactivité</w:t>
      </w:r>
      <w:r>
        <w:rPr>
          <w:color w:val="231F20"/>
          <w:spacing w:val="-2"/>
          <w:w w:val="120"/>
        </w:rPr>
        <w:t> </w:t>
      </w:r>
      <w:r>
        <w:rPr>
          <w:color w:val="231F20"/>
          <w:w w:val="120"/>
        </w:rPr>
        <w:t>dans</w:t>
      </w:r>
      <w:r>
        <w:rPr>
          <w:color w:val="231F20"/>
          <w:spacing w:val="-1"/>
          <w:w w:val="120"/>
        </w:rPr>
        <w:t> </w:t>
      </w:r>
      <w:r>
        <w:rPr>
          <w:color w:val="231F20"/>
          <w:w w:val="120"/>
        </w:rPr>
        <w:t>les</w:t>
      </w:r>
      <w:r>
        <w:rPr>
          <w:color w:val="231F20"/>
          <w:spacing w:val="-1"/>
          <w:w w:val="120"/>
        </w:rPr>
        <w:t> </w:t>
      </w:r>
      <w:r>
        <w:rPr>
          <w:color w:val="231F20"/>
          <w:w w:val="120"/>
        </w:rPr>
        <w:t>trajectoires</w:t>
      </w:r>
      <w:r>
        <w:rPr>
          <w:color w:val="231F20"/>
          <w:spacing w:val="-1"/>
          <w:w w:val="120"/>
        </w:rPr>
        <w:t> </w:t>
      </w:r>
      <w:r>
        <w:rPr>
          <w:color w:val="231F20"/>
          <w:w w:val="120"/>
        </w:rPr>
        <w:t>de </w:t>
      </w:r>
      <w:r>
        <w:rPr>
          <w:color w:val="231F20"/>
          <w:spacing w:val="-2"/>
          <w:w w:val="120"/>
        </w:rPr>
        <w:t>carrière, l’avènement technologique, les préoccupations environnemen- </w:t>
      </w:r>
      <w:r>
        <w:rPr>
          <w:color w:val="231F20"/>
          <w:w w:val="120"/>
        </w:rPr>
        <w:t>tales,</w:t>
      </w:r>
      <w:r>
        <w:rPr>
          <w:color w:val="231F20"/>
          <w:spacing w:val="-13"/>
          <w:w w:val="120"/>
        </w:rPr>
        <w:t> </w:t>
      </w:r>
      <w:r>
        <w:rPr>
          <w:color w:val="231F20"/>
          <w:w w:val="120"/>
        </w:rPr>
        <w:t>les</w:t>
      </w:r>
      <w:r>
        <w:rPr>
          <w:color w:val="231F20"/>
          <w:spacing w:val="-13"/>
          <w:w w:val="120"/>
        </w:rPr>
        <w:t> </w:t>
      </w:r>
      <w:r>
        <w:rPr>
          <w:color w:val="231F20"/>
          <w:w w:val="120"/>
        </w:rPr>
        <w:t>risques</w:t>
      </w:r>
      <w:r>
        <w:rPr>
          <w:color w:val="231F20"/>
          <w:spacing w:val="-13"/>
          <w:w w:val="120"/>
        </w:rPr>
        <w:t> </w:t>
      </w:r>
      <w:r>
        <w:rPr>
          <w:color w:val="231F20"/>
          <w:w w:val="120"/>
        </w:rPr>
        <w:t>sanitaires,</w:t>
      </w:r>
      <w:r>
        <w:rPr>
          <w:color w:val="231F20"/>
          <w:spacing w:val="-12"/>
          <w:w w:val="120"/>
        </w:rPr>
        <w:t> </w:t>
      </w:r>
      <w:r>
        <w:rPr>
          <w:color w:val="231F20"/>
          <w:w w:val="120"/>
        </w:rPr>
        <w:t>pour</w:t>
      </w:r>
      <w:r>
        <w:rPr>
          <w:color w:val="231F20"/>
          <w:spacing w:val="-13"/>
          <w:w w:val="120"/>
        </w:rPr>
        <w:t> </w:t>
      </w:r>
      <w:r>
        <w:rPr>
          <w:color w:val="231F20"/>
          <w:w w:val="120"/>
        </w:rPr>
        <w:t>n’en</w:t>
      </w:r>
      <w:r>
        <w:rPr>
          <w:color w:val="231F20"/>
          <w:spacing w:val="-13"/>
          <w:w w:val="120"/>
        </w:rPr>
        <w:t> </w:t>
      </w:r>
      <w:r>
        <w:rPr>
          <w:color w:val="231F20"/>
          <w:w w:val="120"/>
        </w:rPr>
        <w:t>nommer</w:t>
      </w:r>
      <w:r>
        <w:rPr>
          <w:color w:val="231F20"/>
          <w:spacing w:val="-13"/>
          <w:w w:val="120"/>
        </w:rPr>
        <w:t> </w:t>
      </w:r>
      <w:r>
        <w:rPr>
          <w:color w:val="231F20"/>
          <w:w w:val="120"/>
        </w:rPr>
        <w:t>que</w:t>
      </w:r>
      <w:r>
        <w:rPr>
          <w:color w:val="231F20"/>
          <w:spacing w:val="-12"/>
          <w:w w:val="120"/>
        </w:rPr>
        <w:t> </w:t>
      </w:r>
      <w:r>
        <w:rPr>
          <w:color w:val="231F20"/>
          <w:w w:val="120"/>
        </w:rPr>
        <w:t>quelques-uns.</w:t>
      </w:r>
      <w:r>
        <w:rPr>
          <w:color w:val="231F20"/>
          <w:spacing w:val="-13"/>
          <w:w w:val="120"/>
        </w:rPr>
        <w:t> </w:t>
      </w:r>
      <w:r>
        <w:rPr>
          <w:color w:val="231F20"/>
          <w:w w:val="120"/>
        </w:rPr>
        <w:t>D’une part,</w:t>
      </w:r>
      <w:r>
        <w:rPr>
          <w:color w:val="231F20"/>
          <w:spacing w:val="-2"/>
          <w:w w:val="120"/>
        </w:rPr>
        <w:t> </w:t>
      </w:r>
      <w:r>
        <w:rPr>
          <w:color w:val="231F20"/>
          <w:w w:val="120"/>
        </w:rPr>
        <w:t>la</w:t>
      </w:r>
      <w:r>
        <w:rPr>
          <w:color w:val="231F20"/>
          <w:spacing w:val="-2"/>
          <w:w w:val="120"/>
        </w:rPr>
        <w:t> </w:t>
      </w:r>
      <w:r>
        <w:rPr>
          <w:color w:val="231F20"/>
          <w:w w:val="120"/>
        </w:rPr>
        <w:t>précarité</w:t>
      </w:r>
      <w:r>
        <w:rPr>
          <w:color w:val="231F20"/>
          <w:spacing w:val="-2"/>
          <w:w w:val="120"/>
        </w:rPr>
        <w:t> </w:t>
      </w:r>
      <w:r>
        <w:rPr>
          <w:color w:val="231F20"/>
          <w:w w:val="120"/>
        </w:rPr>
        <w:t>issue</w:t>
      </w:r>
      <w:r>
        <w:rPr>
          <w:color w:val="231F20"/>
          <w:spacing w:val="-2"/>
          <w:w w:val="120"/>
        </w:rPr>
        <w:t> </w:t>
      </w:r>
      <w:r>
        <w:rPr>
          <w:color w:val="231F20"/>
          <w:w w:val="120"/>
        </w:rPr>
        <w:t>d’un</w:t>
      </w:r>
      <w:r>
        <w:rPr>
          <w:color w:val="231F20"/>
          <w:spacing w:val="-2"/>
          <w:w w:val="120"/>
        </w:rPr>
        <w:t> </w:t>
      </w:r>
      <w:r>
        <w:rPr>
          <w:color w:val="231F20"/>
          <w:w w:val="120"/>
        </w:rPr>
        <w:t>contrat</w:t>
      </w:r>
      <w:r>
        <w:rPr>
          <w:color w:val="231F20"/>
          <w:spacing w:val="-2"/>
          <w:w w:val="120"/>
        </w:rPr>
        <w:t> </w:t>
      </w:r>
      <w:r>
        <w:rPr>
          <w:color w:val="231F20"/>
          <w:w w:val="120"/>
        </w:rPr>
        <w:t>psychologique</w:t>
      </w:r>
      <w:r>
        <w:rPr>
          <w:color w:val="231F20"/>
          <w:spacing w:val="-2"/>
          <w:w w:val="120"/>
        </w:rPr>
        <w:t> </w:t>
      </w:r>
      <w:r>
        <w:rPr>
          <w:color w:val="231F20"/>
          <w:w w:val="120"/>
        </w:rPr>
        <w:t>transactionnel</w:t>
      </w:r>
      <w:r>
        <w:rPr>
          <w:color w:val="231F20"/>
          <w:spacing w:val="-2"/>
          <w:w w:val="120"/>
        </w:rPr>
        <w:t> </w:t>
      </w:r>
      <w:r>
        <w:rPr>
          <w:color w:val="231F20"/>
          <w:w w:val="120"/>
        </w:rPr>
        <w:t>entre </w:t>
      </w:r>
      <w:r>
        <w:rPr>
          <w:color w:val="231F20"/>
          <w:spacing w:val="-2"/>
          <w:w w:val="120"/>
        </w:rPr>
        <w:t>l’employeur</w:t>
      </w:r>
      <w:r>
        <w:rPr>
          <w:color w:val="231F20"/>
          <w:spacing w:val="-7"/>
          <w:w w:val="120"/>
        </w:rPr>
        <w:t> </w:t>
      </w:r>
      <w:r>
        <w:rPr>
          <w:color w:val="231F20"/>
          <w:spacing w:val="-2"/>
          <w:w w:val="120"/>
        </w:rPr>
        <w:t>et</w:t>
      </w:r>
      <w:r>
        <w:rPr>
          <w:color w:val="231F20"/>
          <w:spacing w:val="-7"/>
          <w:w w:val="120"/>
        </w:rPr>
        <w:t> </w:t>
      </w:r>
      <w:r>
        <w:rPr>
          <w:color w:val="231F20"/>
          <w:spacing w:val="-2"/>
          <w:w w:val="120"/>
        </w:rPr>
        <w:t>l’employé</w:t>
      </w:r>
      <w:r>
        <w:rPr>
          <w:color w:val="231F20"/>
          <w:spacing w:val="-7"/>
          <w:w w:val="120"/>
        </w:rPr>
        <w:t> </w:t>
      </w:r>
      <w:r>
        <w:rPr>
          <w:color w:val="231F20"/>
          <w:spacing w:val="-2"/>
          <w:w w:val="120"/>
        </w:rPr>
        <w:t>compromet</w:t>
      </w:r>
      <w:r>
        <w:rPr>
          <w:color w:val="231F20"/>
          <w:spacing w:val="-7"/>
          <w:w w:val="120"/>
        </w:rPr>
        <w:t> </w:t>
      </w:r>
      <w:r>
        <w:rPr>
          <w:color w:val="231F20"/>
          <w:spacing w:val="-2"/>
          <w:w w:val="120"/>
        </w:rPr>
        <w:t>les</w:t>
      </w:r>
      <w:r>
        <w:rPr>
          <w:color w:val="231F20"/>
          <w:spacing w:val="-7"/>
          <w:w w:val="120"/>
        </w:rPr>
        <w:t> </w:t>
      </w:r>
      <w:r>
        <w:rPr>
          <w:color w:val="231F20"/>
          <w:spacing w:val="-2"/>
          <w:w w:val="120"/>
        </w:rPr>
        <w:t>projets</w:t>
      </w:r>
      <w:r>
        <w:rPr>
          <w:color w:val="231F20"/>
          <w:spacing w:val="-7"/>
          <w:w w:val="120"/>
        </w:rPr>
        <w:t> </w:t>
      </w:r>
      <w:r>
        <w:rPr>
          <w:color w:val="231F20"/>
          <w:spacing w:val="-2"/>
          <w:w w:val="120"/>
        </w:rPr>
        <w:t>personnels</w:t>
      </w:r>
      <w:r>
        <w:rPr>
          <w:color w:val="231F20"/>
          <w:spacing w:val="-7"/>
          <w:w w:val="120"/>
        </w:rPr>
        <w:t> </w:t>
      </w:r>
      <w:r>
        <w:rPr>
          <w:color w:val="231F20"/>
          <w:spacing w:val="-2"/>
          <w:w w:val="120"/>
        </w:rPr>
        <w:t>et</w:t>
      </w:r>
      <w:r>
        <w:rPr>
          <w:color w:val="231F20"/>
          <w:spacing w:val="-7"/>
          <w:w w:val="120"/>
        </w:rPr>
        <w:t> </w:t>
      </w:r>
      <w:r>
        <w:rPr>
          <w:color w:val="231F20"/>
          <w:spacing w:val="-2"/>
          <w:w w:val="120"/>
        </w:rPr>
        <w:t>familiaux </w:t>
      </w:r>
      <w:r>
        <w:rPr>
          <w:color w:val="231F20"/>
          <w:w w:val="115"/>
        </w:rPr>
        <w:t>à</w:t>
      </w:r>
      <w:r>
        <w:rPr>
          <w:color w:val="231F20"/>
          <w:spacing w:val="-7"/>
          <w:w w:val="115"/>
        </w:rPr>
        <w:t> </w:t>
      </w:r>
      <w:r>
        <w:rPr>
          <w:color w:val="231F20"/>
          <w:w w:val="115"/>
        </w:rPr>
        <w:t>long</w:t>
      </w:r>
      <w:r>
        <w:rPr>
          <w:color w:val="231F20"/>
          <w:spacing w:val="-7"/>
          <w:w w:val="115"/>
        </w:rPr>
        <w:t> </w:t>
      </w:r>
      <w:r>
        <w:rPr>
          <w:color w:val="231F20"/>
          <w:w w:val="115"/>
        </w:rPr>
        <w:t>terme;</w:t>
      </w:r>
      <w:r>
        <w:rPr>
          <w:color w:val="231F20"/>
          <w:spacing w:val="-7"/>
          <w:w w:val="115"/>
        </w:rPr>
        <w:t> </w:t>
      </w:r>
      <w:r>
        <w:rPr>
          <w:color w:val="231F20"/>
          <w:w w:val="115"/>
        </w:rPr>
        <w:t>d’autre</w:t>
      </w:r>
      <w:r>
        <w:rPr>
          <w:color w:val="231F20"/>
          <w:spacing w:val="-7"/>
          <w:w w:val="115"/>
        </w:rPr>
        <w:t> </w:t>
      </w:r>
      <w:r>
        <w:rPr>
          <w:color w:val="231F20"/>
          <w:w w:val="115"/>
        </w:rPr>
        <w:t>part,</w:t>
      </w:r>
      <w:r>
        <w:rPr>
          <w:color w:val="231F20"/>
          <w:spacing w:val="-7"/>
          <w:w w:val="115"/>
        </w:rPr>
        <w:t> </w:t>
      </w:r>
      <w:r>
        <w:rPr>
          <w:color w:val="231F20"/>
          <w:w w:val="115"/>
        </w:rPr>
        <w:t>elle</w:t>
      </w:r>
      <w:r>
        <w:rPr>
          <w:color w:val="231F20"/>
          <w:spacing w:val="-7"/>
          <w:w w:val="115"/>
        </w:rPr>
        <w:t> </w:t>
      </w:r>
      <w:r>
        <w:rPr>
          <w:color w:val="231F20"/>
          <w:w w:val="115"/>
        </w:rPr>
        <w:t>fait</w:t>
      </w:r>
      <w:r>
        <w:rPr>
          <w:color w:val="231F20"/>
          <w:spacing w:val="-7"/>
          <w:w w:val="115"/>
        </w:rPr>
        <w:t> </w:t>
      </w:r>
      <w:r>
        <w:rPr>
          <w:color w:val="231F20"/>
          <w:w w:val="115"/>
        </w:rPr>
        <w:t>obstacle</w:t>
      </w:r>
      <w:r>
        <w:rPr>
          <w:color w:val="231F20"/>
          <w:spacing w:val="-7"/>
          <w:w w:val="115"/>
        </w:rPr>
        <w:t> </w:t>
      </w:r>
      <w:r>
        <w:rPr>
          <w:color w:val="231F20"/>
          <w:w w:val="115"/>
        </w:rPr>
        <w:t>à</w:t>
      </w:r>
      <w:r>
        <w:rPr>
          <w:color w:val="231F20"/>
          <w:spacing w:val="-7"/>
          <w:w w:val="115"/>
        </w:rPr>
        <w:t> </w:t>
      </w:r>
      <w:r>
        <w:rPr>
          <w:color w:val="231F20"/>
          <w:w w:val="115"/>
        </w:rPr>
        <w:t>la</w:t>
      </w:r>
      <w:r>
        <w:rPr>
          <w:color w:val="231F20"/>
          <w:spacing w:val="-7"/>
          <w:w w:val="115"/>
        </w:rPr>
        <w:t> </w:t>
      </w:r>
      <w:r>
        <w:rPr>
          <w:color w:val="231F20"/>
          <w:w w:val="115"/>
        </w:rPr>
        <w:t>loyauté</w:t>
      </w:r>
      <w:r>
        <w:rPr>
          <w:color w:val="231F20"/>
          <w:spacing w:val="-7"/>
          <w:w w:val="115"/>
        </w:rPr>
        <w:t> </w:t>
      </w:r>
      <w:r>
        <w:rPr>
          <w:color w:val="231F20"/>
          <w:w w:val="115"/>
        </w:rPr>
        <w:t>et</w:t>
      </w:r>
      <w:r>
        <w:rPr>
          <w:color w:val="231F20"/>
          <w:spacing w:val="-7"/>
          <w:w w:val="115"/>
        </w:rPr>
        <w:t> </w:t>
      </w:r>
      <w:r>
        <w:rPr>
          <w:color w:val="231F20"/>
          <w:w w:val="115"/>
        </w:rPr>
        <w:t>à</w:t>
      </w:r>
      <w:r>
        <w:rPr>
          <w:color w:val="231F20"/>
          <w:spacing w:val="-7"/>
          <w:w w:val="115"/>
        </w:rPr>
        <w:t> </w:t>
      </w:r>
      <w:r>
        <w:rPr>
          <w:color w:val="231F20"/>
          <w:w w:val="115"/>
        </w:rPr>
        <w:t>l’engagement, </w:t>
      </w:r>
      <w:r>
        <w:rPr>
          <w:color w:val="231F20"/>
          <w:w w:val="120"/>
        </w:rPr>
        <w:t>à la socialisation, à la solidarité et tout particulièrement à la confiance mutuelle.</w:t>
      </w:r>
      <w:r>
        <w:rPr>
          <w:color w:val="231F20"/>
          <w:spacing w:val="-7"/>
          <w:w w:val="120"/>
        </w:rPr>
        <w:t> </w:t>
      </w:r>
      <w:r>
        <w:rPr>
          <w:color w:val="231F20"/>
          <w:w w:val="120"/>
        </w:rPr>
        <w:t>S’ajoutent</w:t>
      </w:r>
      <w:r>
        <w:rPr>
          <w:color w:val="231F20"/>
          <w:spacing w:val="-7"/>
          <w:w w:val="120"/>
        </w:rPr>
        <w:t> </w:t>
      </w:r>
      <w:r>
        <w:rPr>
          <w:color w:val="231F20"/>
          <w:w w:val="120"/>
        </w:rPr>
        <w:t>à</w:t>
      </w:r>
      <w:r>
        <w:rPr>
          <w:color w:val="231F20"/>
          <w:spacing w:val="-7"/>
          <w:w w:val="120"/>
        </w:rPr>
        <w:t> </w:t>
      </w:r>
      <w:r>
        <w:rPr>
          <w:color w:val="231F20"/>
          <w:w w:val="120"/>
        </w:rPr>
        <w:t>cela</w:t>
      </w:r>
      <w:r>
        <w:rPr>
          <w:color w:val="231F20"/>
          <w:spacing w:val="-7"/>
          <w:w w:val="120"/>
        </w:rPr>
        <w:t> </w:t>
      </w:r>
      <w:r>
        <w:rPr>
          <w:color w:val="231F20"/>
          <w:w w:val="120"/>
        </w:rPr>
        <w:t>d’autres</w:t>
      </w:r>
      <w:r>
        <w:rPr>
          <w:color w:val="231F20"/>
          <w:spacing w:val="-7"/>
          <w:w w:val="120"/>
        </w:rPr>
        <w:t> </w:t>
      </w:r>
      <w:r>
        <w:rPr>
          <w:color w:val="231F20"/>
          <w:w w:val="120"/>
        </w:rPr>
        <w:t>facteurs</w:t>
      </w:r>
      <w:r>
        <w:rPr>
          <w:color w:val="231F20"/>
          <w:spacing w:val="-7"/>
          <w:w w:val="120"/>
        </w:rPr>
        <w:t> </w:t>
      </w:r>
      <w:r>
        <w:rPr>
          <w:color w:val="231F20"/>
          <w:w w:val="120"/>
        </w:rPr>
        <w:t>tels</w:t>
      </w:r>
      <w:r>
        <w:rPr>
          <w:color w:val="231F20"/>
          <w:spacing w:val="-7"/>
          <w:w w:val="120"/>
        </w:rPr>
        <w:t> </w:t>
      </w:r>
      <w:r>
        <w:rPr>
          <w:color w:val="231F20"/>
          <w:w w:val="120"/>
        </w:rPr>
        <w:t>que</w:t>
      </w:r>
      <w:r>
        <w:rPr>
          <w:color w:val="231F20"/>
          <w:spacing w:val="-7"/>
          <w:w w:val="120"/>
        </w:rPr>
        <w:t> </w:t>
      </w:r>
      <w:r>
        <w:rPr>
          <w:color w:val="231F20"/>
          <w:w w:val="120"/>
        </w:rPr>
        <w:t>le</w:t>
      </w:r>
      <w:r>
        <w:rPr>
          <w:color w:val="231F20"/>
          <w:spacing w:val="-7"/>
          <w:w w:val="120"/>
        </w:rPr>
        <w:t> </w:t>
      </w:r>
      <w:r>
        <w:rPr>
          <w:color w:val="231F20"/>
          <w:w w:val="120"/>
        </w:rPr>
        <w:t>besoin</w:t>
      </w:r>
      <w:r>
        <w:rPr>
          <w:color w:val="231F20"/>
          <w:spacing w:val="-7"/>
          <w:w w:val="120"/>
        </w:rPr>
        <w:t> </w:t>
      </w:r>
      <w:r>
        <w:rPr>
          <w:color w:val="231F20"/>
          <w:w w:val="120"/>
        </w:rPr>
        <w:t>de</w:t>
      </w:r>
      <w:r>
        <w:rPr>
          <w:color w:val="231F20"/>
          <w:spacing w:val="-7"/>
          <w:w w:val="120"/>
        </w:rPr>
        <w:t> </w:t>
      </w:r>
      <w:r>
        <w:rPr>
          <w:color w:val="231F20"/>
          <w:w w:val="120"/>
        </w:rPr>
        <w:t>chan- </w:t>
      </w:r>
      <w:r>
        <w:rPr>
          <w:color w:val="231F20"/>
          <w:spacing w:val="-2"/>
          <w:w w:val="120"/>
        </w:rPr>
        <w:t>gement permanent, une dépendance extrême à l’informatique (le virtuel </w:t>
      </w:r>
      <w:r>
        <w:rPr>
          <w:color w:val="231F20"/>
          <w:w w:val="120"/>
        </w:rPr>
        <w:t>remplaçant les contacts interpersonnels) et la difficulté de trouver un </w:t>
      </w:r>
      <w:r>
        <w:rPr>
          <w:color w:val="231F20"/>
          <w:spacing w:val="-2"/>
          <w:w w:val="120"/>
        </w:rPr>
        <w:t>moment</w:t>
      </w:r>
      <w:r>
        <w:rPr>
          <w:color w:val="231F20"/>
          <w:spacing w:val="-11"/>
          <w:w w:val="120"/>
        </w:rPr>
        <w:t> </w:t>
      </w:r>
      <w:r>
        <w:rPr>
          <w:color w:val="231F20"/>
          <w:spacing w:val="-2"/>
          <w:w w:val="120"/>
        </w:rPr>
        <w:t>de</w:t>
      </w:r>
      <w:r>
        <w:rPr>
          <w:color w:val="231F20"/>
          <w:spacing w:val="-11"/>
          <w:w w:val="120"/>
        </w:rPr>
        <w:t> </w:t>
      </w:r>
      <w:r>
        <w:rPr>
          <w:color w:val="231F20"/>
          <w:spacing w:val="-2"/>
          <w:w w:val="120"/>
        </w:rPr>
        <w:t>quiétude</w:t>
      </w:r>
      <w:r>
        <w:rPr>
          <w:color w:val="231F20"/>
          <w:spacing w:val="-11"/>
          <w:w w:val="120"/>
        </w:rPr>
        <w:t> </w:t>
      </w:r>
      <w:r>
        <w:rPr>
          <w:color w:val="231F20"/>
          <w:spacing w:val="-2"/>
          <w:w w:val="120"/>
        </w:rPr>
        <w:t>au</w:t>
      </w:r>
      <w:r>
        <w:rPr>
          <w:color w:val="231F20"/>
          <w:spacing w:val="-10"/>
          <w:w w:val="120"/>
        </w:rPr>
        <w:t> </w:t>
      </w:r>
      <w:r>
        <w:rPr>
          <w:color w:val="231F20"/>
          <w:spacing w:val="-2"/>
          <w:w w:val="120"/>
        </w:rPr>
        <w:t>milieu</w:t>
      </w:r>
      <w:r>
        <w:rPr>
          <w:color w:val="231F20"/>
          <w:spacing w:val="-11"/>
          <w:w w:val="120"/>
        </w:rPr>
        <w:t> </w:t>
      </w:r>
      <w:r>
        <w:rPr>
          <w:color w:val="231F20"/>
          <w:spacing w:val="-2"/>
          <w:w w:val="120"/>
        </w:rPr>
        <w:t>des</w:t>
      </w:r>
      <w:r>
        <w:rPr>
          <w:color w:val="231F20"/>
          <w:spacing w:val="-11"/>
          <w:w w:val="120"/>
        </w:rPr>
        <w:t> </w:t>
      </w:r>
      <w:r>
        <w:rPr>
          <w:color w:val="231F20"/>
          <w:spacing w:val="-2"/>
          <w:w w:val="120"/>
        </w:rPr>
        <w:t>événements</w:t>
      </w:r>
      <w:r>
        <w:rPr>
          <w:color w:val="231F20"/>
          <w:spacing w:val="-11"/>
          <w:w w:val="120"/>
        </w:rPr>
        <w:t> </w:t>
      </w:r>
      <w:r>
        <w:rPr>
          <w:color w:val="231F20"/>
          <w:spacing w:val="-2"/>
          <w:w w:val="120"/>
        </w:rPr>
        <w:t>techniques,</w:t>
      </w:r>
      <w:r>
        <w:rPr>
          <w:color w:val="231F20"/>
          <w:spacing w:val="-10"/>
          <w:w w:val="120"/>
        </w:rPr>
        <w:t> </w:t>
      </w:r>
      <w:r>
        <w:rPr>
          <w:color w:val="231F20"/>
          <w:spacing w:val="-2"/>
          <w:w w:val="120"/>
        </w:rPr>
        <w:t>économiques </w:t>
      </w:r>
      <w:r>
        <w:rPr>
          <w:color w:val="231F20"/>
          <w:w w:val="120"/>
        </w:rPr>
        <w:t>et culturels qui se succèdent à un rythme effréné.</w:t>
      </w:r>
    </w:p>
    <w:p>
      <w:pPr>
        <w:pStyle w:val="BodyText"/>
        <w:spacing w:line="307" w:lineRule="auto" w:before="78"/>
        <w:ind w:left="1180" w:right="242" w:firstLine="250"/>
        <w:jc w:val="both"/>
      </w:pPr>
      <w:r>
        <w:rPr>
          <w:color w:val="231F20"/>
          <w:w w:val="120"/>
        </w:rPr>
        <w:t>Le</w:t>
      </w:r>
      <w:r>
        <w:rPr>
          <w:color w:val="231F20"/>
          <w:spacing w:val="-5"/>
          <w:w w:val="120"/>
        </w:rPr>
        <w:t> </w:t>
      </w:r>
      <w:r>
        <w:rPr>
          <w:color w:val="231F20"/>
          <w:w w:val="120"/>
        </w:rPr>
        <w:t>lien</w:t>
      </w:r>
      <w:r>
        <w:rPr>
          <w:color w:val="231F20"/>
          <w:spacing w:val="-5"/>
          <w:w w:val="120"/>
        </w:rPr>
        <w:t> </w:t>
      </w:r>
      <w:r>
        <w:rPr>
          <w:color w:val="231F20"/>
          <w:w w:val="120"/>
        </w:rPr>
        <w:t>de</w:t>
      </w:r>
      <w:r>
        <w:rPr>
          <w:color w:val="231F20"/>
          <w:spacing w:val="-5"/>
          <w:w w:val="120"/>
        </w:rPr>
        <w:t> </w:t>
      </w:r>
      <w:r>
        <w:rPr>
          <w:color w:val="231F20"/>
          <w:w w:val="120"/>
        </w:rPr>
        <w:t>concomitance</w:t>
      </w:r>
      <w:r>
        <w:rPr>
          <w:color w:val="231F20"/>
          <w:spacing w:val="-5"/>
          <w:w w:val="120"/>
        </w:rPr>
        <w:t> </w:t>
      </w:r>
      <w:r>
        <w:rPr>
          <w:color w:val="231F20"/>
          <w:w w:val="120"/>
        </w:rPr>
        <w:t>que</w:t>
      </w:r>
      <w:r>
        <w:rPr>
          <w:color w:val="231F20"/>
          <w:spacing w:val="-5"/>
          <w:w w:val="120"/>
        </w:rPr>
        <w:t> </w:t>
      </w:r>
      <w:r>
        <w:rPr>
          <w:color w:val="231F20"/>
          <w:w w:val="120"/>
        </w:rPr>
        <w:t>l’on</w:t>
      </w:r>
      <w:r>
        <w:rPr>
          <w:color w:val="231F20"/>
          <w:spacing w:val="-5"/>
          <w:w w:val="120"/>
        </w:rPr>
        <w:t> </w:t>
      </w:r>
      <w:r>
        <w:rPr>
          <w:color w:val="231F20"/>
          <w:w w:val="120"/>
        </w:rPr>
        <w:t>observe</w:t>
      </w:r>
      <w:r>
        <w:rPr>
          <w:color w:val="231F20"/>
          <w:spacing w:val="-5"/>
          <w:w w:val="120"/>
        </w:rPr>
        <w:t> </w:t>
      </w:r>
      <w:r>
        <w:rPr>
          <w:color w:val="231F20"/>
          <w:w w:val="120"/>
        </w:rPr>
        <w:t>aujourd’hui</w:t>
      </w:r>
      <w:r>
        <w:rPr>
          <w:color w:val="231F20"/>
          <w:spacing w:val="-5"/>
          <w:w w:val="120"/>
        </w:rPr>
        <w:t> </w:t>
      </w:r>
      <w:r>
        <w:rPr>
          <w:color w:val="231F20"/>
          <w:w w:val="120"/>
        </w:rPr>
        <w:t>entre</w:t>
      </w:r>
      <w:r>
        <w:rPr>
          <w:color w:val="231F20"/>
          <w:spacing w:val="-5"/>
          <w:w w:val="120"/>
        </w:rPr>
        <w:t> </w:t>
      </w:r>
      <w:r>
        <w:rPr>
          <w:color w:val="231F20"/>
          <w:w w:val="120"/>
        </w:rPr>
        <w:t>la</w:t>
      </w:r>
      <w:r>
        <w:rPr>
          <w:color w:val="231F20"/>
          <w:spacing w:val="-5"/>
          <w:w w:val="120"/>
        </w:rPr>
        <w:t> </w:t>
      </w:r>
      <w:r>
        <w:rPr>
          <w:color w:val="231F20"/>
          <w:w w:val="120"/>
        </w:rPr>
        <w:t>frag- mentation des sphères personnelle, familiale et professionnelle, d’une part, et la disparition des sphères spirituelle et culturelle des lieux de travail, d’autre part, concourt à accentuer la perte de sens du </w:t>
      </w:r>
      <w:r>
        <w:rPr>
          <w:color w:val="231F20"/>
          <w:w w:val="120"/>
        </w:rPr>
        <w:t>travail. Depuis quelques décennies, le rythme de tous les aspects de la vie s’accélère</w:t>
      </w:r>
      <w:r>
        <w:rPr>
          <w:color w:val="231F20"/>
          <w:spacing w:val="-13"/>
          <w:w w:val="120"/>
        </w:rPr>
        <w:t> </w:t>
      </w:r>
      <w:r>
        <w:rPr>
          <w:color w:val="231F20"/>
          <w:w w:val="120"/>
        </w:rPr>
        <w:t>et</w:t>
      </w:r>
      <w:r>
        <w:rPr>
          <w:color w:val="231F20"/>
          <w:spacing w:val="-13"/>
          <w:w w:val="120"/>
        </w:rPr>
        <w:t> </w:t>
      </w:r>
      <w:r>
        <w:rPr>
          <w:color w:val="231F20"/>
          <w:w w:val="120"/>
        </w:rPr>
        <w:t>expose</w:t>
      </w:r>
      <w:r>
        <w:rPr>
          <w:color w:val="231F20"/>
          <w:spacing w:val="-13"/>
          <w:w w:val="120"/>
        </w:rPr>
        <w:t> </w:t>
      </w:r>
      <w:r>
        <w:rPr>
          <w:color w:val="231F20"/>
          <w:w w:val="120"/>
        </w:rPr>
        <w:t>les</w:t>
      </w:r>
      <w:r>
        <w:rPr>
          <w:color w:val="231F20"/>
          <w:spacing w:val="-12"/>
          <w:w w:val="120"/>
        </w:rPr>
        <w:t> </w:t>
      </w:r>
      <w:r>
        <w:rPr>
          <w:color w:val="231F20"/>
          <w:w w:val="120"/>
        </w:rPr>
        <w:t>travailleurs</w:t>
      </w:r>
      <w:r>
        <w:rPr>
          <w:color w:val="231F20"/>
          <w:spacing w:val="-13"/>
          <w:w w:val="120"/>
        </w:rPr>
        <w:t> </w:t>
      </w:r>
      <w:r>
        <w:rPr>
          <w:color w:val="231F20"/>
          <w:w w:val="120"/>
        </w:rPr>
        <w:t>à</w:t>
      </w:r>
      <w:r>
        <w:rPr>
          <w:color w:val="231F20"/>
          <w:spacing w:val="-13"/>
          <w:w w:val="120"/>
        </w:rPr>
        <w:t> </w:t>
      </w:r>
      <w:r>
        <w:rPr>
          <w:color w:val="231F20"/>
          <w:w w:val="120"/>
        </w:rPr>
        <w:t>des</w:t>
      </w:r>
      <w:r>
        <w:rPr>
          <w:color w:val="231F20"/>
          <w:spacing w:val="-13"/>
          <w:w w:val="120"/>
        </w:rPr>
        <w:t> </w:t>
      </w:r>
      <w:r>
        <w:rPr>
          <w:color w:val="231F20"/>
          <w:w w:val="120"/>
        </w:rPr>
        <w:t>pressions</w:t>
      </w:r>
      <w:r>
        <w:rPr>
          <w:color w:val="231F20"/>
          <w:spacing w:val="-12"/>
          <w:w w:val="120"/>
        </w:rPr>
        <w:t> </w:t>
      </w:r>
      <w:r>
        <w:rPr>
          <w:color w:val="231F20"/>
          <w:w w:val="120"/>
        </w:rPr>
        <w:t>accrues.</w:t>
      </w:r>
      <w:r>
        <w:rPr>
          <w:color w:val="231F20"/>
          <w:spacing w:val="-13"/>
          <w:w w:val="120"/>
        </w:rPr>
        <w:t> </w:t>
      </w:r>
      <w:r>
        <w:rPr>
          <w:color w:val="231F20"/>
          <w:w w:val="120"/>
        </w:rPr>
        <w:t>On</w:t>
      </w:r>
      <w:r>
        <w:rPr>
          <w:color w:val="231F20"/>
          <w:spacing w:val="-13"/>
          <w:w w:val="120"/>
        </w:rPr>
        <w:t> </w:t>
      </w:r>
      <w:r>
        <w:rPr>
          <w:color w:val="231F20"/>
          <w:w w:val="120"/>
        </w:rPr>
        <w:t>s’attend à</w:t>
      </w:r>
      <w:r>
        <w:rPr>
          <w:color w:val="231F20"/>
          <w:spacing w:val="-9"/>
          <w:w w:val="120"/>
        </w:rPr>
        <w:t> </w:t>
      </w:r>
      <w:r>
        <w:rPr>
          <w:color w:val="231F20"/>
          <w:w w:val="120"/>
        </w:rPr>
        <w:t>ce</w:t>
      </w:r>
      <w:r>
        <w:rPr>
          <w:color w:val="231F20"/>
          <w:spacing w:val="-9"/>
          <w:w w:val="120"/>
        </w:rPr>
        <w:t> </w:t>
      </w:r>
      <w:r>
        <w:rPr>
          <w:color w:val="231F20"/>
          <w:w w:val="120"/>
        </w:rPr>
        <w:t>qu’ils</w:t>
      </w:r>
      <w:r>
        <w:rPr>
          <w:color w:val="231F20"/>
          <w:spacing w:val="-9"/>
          <w:w w:val="120"/>
        </w:rPr>
        <w:t> </w:t>
      </w:r>
      <w:r>
        <w:rPr>
          <w:color w:val="231F20"/>
          <w:w w:val="120"/>
        </w:rPr>
        <w:t>produisent</w:t>
      </w:r>
      <w:r>
        <w:rPr>
          <w:color w:val="231F20"/>
          <w:spacing w:val="-9"/>
          <w:w w:val="120"/>
        </w:rPr>
        <w:t> </w:t>
      </w:r>
      <w:r>
        <w:rPr>
          <w:color w:val="231F20"/>
          <w:w w:val="120"/>
        </w:rPr>
        <w:t>un</w:t>
      </w:r>
      <w:r>
        <w:rPr>
          <w:color w:val="231F20"/>
          <w:spacing w:val="-9"/>
          <w:w w:val="120"/>
        </w:rPr>
        <w:t> </w:t>
      </w:r>
      <w:r>
        <w:rPr>
          <w:color w:val="231F20"/>
          <w:w w:val="120"/>
        </w:rPr>
        <w:t>travail</w:t>
      </w:r>
      <w:r>
        <w:rPr>
          <w:color w:val="231F20"/>
          <w:spacing w:val="-9"/>
          <w:w w:val="120"/>
        </w:rPr>
        <w:t> </w:t>
      </w:r>
      <w:r>
        <w:rPr>
          <w:color w:val="231F20"/>
          <w:w w:val="120"/>
        </w:rPr>
        <w:t>de</w:t>
      </w:r>
      <w:r>
        <w:rPr>
          <w:color w:val="231F20"/>
          <w:spacing w:val="-9"/>
          <w:w w:val="120"/>
        </w:rPr>
        <w:t> </w:t>
      </w:r>
      <w:r>
        <w:rPr>
          <w:color w:val="231F20"/>
          <w:w w:val="120"/>
        </w:rPr>
        <w:t>meilleure</w:t>
      </w:r>
      <w:r>
        <w:rPr>
          <w:color w:val="231F20"/>
          <w:spacing w:val="-9"/>
          <w:w w:val="120"/>
        </w:rPr>
        <w:t> </w:t>
      </w:r>
      <w:r>
        <w:rPr>
          <w:color w:val="231F20"/>
          <w:w w:val="120"/>
        </w:rPr>
        <w:t>qualité</w:t>
      </w:r>
      <w:r>
        <w:rPr>
          <w:color w:val="231F20"/>
          <w:spacing w:val="-9"/>
          <w:w w:val="120"/>
        </w:rPr>
        <w:t> </w:t>
      </w:r>
      <w:r>
        <w:rPr>
          <w:color w:val="231F20"/>
          <w:w w:val="120"/>
        </w:rPr>
        <w:t>en</w:t>
      </w:r>
      <w:r>
        <w:rPr>
          <w:color w:val="231F20"/>
          <w:spacing w:val="-9"/>
          <w:w w:val="120"/>
        </w:rPr>
        <w:t> </w:t>
      </w:r>
      <w:r>
        <w:rPr>
          <w:color w:val="231F20"/>
          <w:w w:val="120"/>
        </w:rPr>
        <w:t>moins</w:t>
      </w:r>
      <w:r>
        <w:rPr>
          <w:color w:val="231F20"/>
          <w:spacing w:val="-9"/>
          <w:w w:val="120"/>
        </w:rPr>
        <w:t> </w:t>
      </w:r>
      <w:r>
        <w:rPr>
          <w:color w:val="231F20"/>
          <w:w w:val="120"/>
        </w:rPr>
        <w:t>de</w:t>
      </w:r>
      <w:r>
        <w:rPr>
          <w:color w:val="231F20"/>
          <w:spacing w:val="-9"/>
          <w:w w:val="120"/>
        </w:rPr>
        <w:t> </w:t>
      </w:r>
      <w:r>
        <w:rPr>
          <w:color w:val="231F20"/>
          <w:w w:val="120"/>
        </w:rPr>
        <w:t>temps et en consommant moins de ressources.</w:t>
      </w:r>
    </w:p>
    <w:p>
      <w:pPr>
        <w:pStyle w:val="BodyText"/>
        <w:spacing w:line="307" w:lineRule="auto" w:before="78"/>
        <w:ind w:left="1180" w:right="243" w:firstLine="250"/>
        <w:jc w:val="both"/>
      </w:pPr>
      <w:r>
        <w:rPr>
          <w:color w:val="231F20"/>
          <w:w w:val="115"/>
        </w:rPr>
        <w:t>Les effets délétères du stress sur la santé acquièrent de plus en plus</w:t>
      </w:r>
      <w:r>
        <w:rPr>
          <w:color w:val="231F20"/>
          <w:spacing w:val="80"/>
          <w:w w:val="115"/>
        </w:rPr>
        <w:t> </w:t>
      </w:r>
      <w:r>
        <w:rPr>
          <w:color w:val="231F20"/>
          <w:w w:val="115"/>
        </w:rPr>
        <w:t>de preuves. D’après la sixième enquête européenne sur les conditions de travail</w:t>
      </w:r>
      <w:r>
        <w:rPr>
          <w:color w:val="231F20"/>
          <w:spacing w:val="-5"/>
          <w:w w:val="115"/>
        </w:rPr>
        <w:t> </w:t>
      </w:r>
      <w:r>
        <w:rPr>
          <w:color w:val="231F20"/>
          <w:w w:val="115"/>
        </w:rPr>
        <w:t>menée</w:t>
      </w:r>
      <w:r>
        <w:rPr>
          <w:color w:val="231F20"/>
          <w:spacing w:val="-5"/>
          <w:w w:val="115"/>
        </w:rPr>
        <w:t> </w:t>
      </w:r>
      <w:r>
        <w:rPr>
          <w:color w:val="231F20"/>
          <w:w w:val="115"/>
        </w:rPr>
        <w:t>par</w:t>
      </w:r>
      <w:r>
        <w:rPr>
          <w:color w:val="231F20"/>
          <w:spacing w:val="-5"/>
          <w:w w:val="115"/>
        </w:rPr>
        <w:t> </w:t>
      </w:r>
      <w:r>
        <w:rPr>
          <w:color w:val="231F20"/>
          <w:w w:val="115"/>
        </w:rPr>
        <w:t>la</w:t>
      </w:r>
      <w:r>
        <w:rPr>
          <w:color w:val="231F20"/>
          <w:spacing w:val="-5"/>
          <w:w w:val="115"/>
        </w:rPr>
        <w:t> </w:t>
      </w:r>
      <w:r>
        <w:rPr>
          <w:color w:val="231F20"/>
          <w:w w:val="115"/>
        </w:rPr>
        <w:t>Fondation</w:t>
      </w:r>
      <w:r>
        <w:rPr>
          <w:color w:val="231F20"/>
          <w:spacing w:val="-5"/>
          <w:w w:val="115"/>
        </w:rPr>
        <w:t> </w:t>
      </w:r>
      <w:r>
        <w:rPr>
          <w:color w:val="231F20"/>
          <w:w w:val="115"/>
        </w:rPr>
        <w:t>européenne</w:t>
      </w:r>
      <w:r>
        <w:rPr>
          <w:color w:val="231F20"/>
          <w:spacing w:val="-5"/>
          <w:w w:val="115"/>
        </w:rPr>
        <w:t> </w:t>
      </w:r>
      <w:r>
        <w:rPr>
          <w:color w:val="231F20"/>
          <w:w w:val="115"/>
        </w:rPr>
        <w:t>pour</w:t>
      </w:r>
      <w:r>
        <w:rPr>
          <w:color w:val="231F20"/>
          <w:spacing w:val="-5"/>
          <w:w w:val="115"/>
        </w:rPr>
        <w:t> </w:t>
      </w:r>
      <w:r>
        <w:rPr>
          <w:color w:val="231F20"/>
          <w:w w:val="115"/>
        </w:rPr>
        <w:t>l’amélioration</w:t>
      </w:r>
      <w:r>
        <w:rPr>
          <w:color w:val="231F20"/>
          <w:spacing w:val="-5"/>
          <w:w w:val="115"/>
        </w:rPr>
        <w:t> </w:t>
      </w:r>
      <w:r>
        <w:rPr>
          <w:color w:val="231F20"/>
          <w:w w:val="115"/>
        </w:rPr>
        <w:t>des</w:t>
      </w:r>
      <w:r>
        <w:rPr>
          <w:color w:val="231F20"/>
          <w:spacing w:val="-5"/>
          <w:w w:val="115"/>
        </w:rPr>
        <w:t> </w:t>
      </w:r>
      <w:r>
        <w:rPr>
          <w:color w:val="231F20"/>
          <w:w w:val="115"/>
        </w:rPr>
        <w:t>condi- tions de vie et de travail, l’organisation du travail a subi des transfor- mations</w:t>
      </w:r>
      <w:r>
        <w:rPr>
          <w:color w:val="231F20"/>
          <w:spacing w:val="-3"/>
          <w:w w:val="115"/>
        </w:rPr>
        <w:t> </w:t>
      </w:r>
      <w:r>
        <w:rPr>
          <w:color w:val="231F20"/>
          <w:w w:val="115"/>
        </w:rPr>
        <w:t>en Europe. Entre autres, selon cette étude, 33</w:t>
      </w:r>
      <w:r>
        <w:rPr>
          <w:color w:val="231F20"/>
          <w:spacing w:val="-13"/>
          <w:w w:val="115"/>
        </w:rPr>
        <w:t> </w:t>
      </w:r>
      <w:r>
        <w:rPr>
          <w:color w:val="231F20"/>
          <w:w w:val="115"/>
        </w:rPr>
        <w:t>% des travailleurs de</w:t>
      </w:r>
      <w:r>
        <w:rPr>
          <w:color w:val="231F20"/>
          <w:spacing w:val="-11"/>
          <w:w w:val="115"/>
        </w:rPr>
        <w:t> </w:t>
      </w:r>
      <w:r>
        <w:rPr>
          <w:color w:val="231F20"/>
          <w:w w:val="115"/>
        </w:rPr>
        <w:t>l’UE</w:t>
      </w:r>
      <w:r>
        <w:rPr>
          <w:color w:val="231F20"/>
          <w:spacing w:val="-11"/>
          <w:w w:val="115"/>
        </w:rPr>
        <w:t> </w:t>
      </w:r>
      <w:r>
        <w:rPr>
          <w:color w:val="231F20"/>
          <w:w w:val="115"/>
        </w:rPr>
        <w:t>devaient</w:t>
      </w:r>
      <w:r>
        <w:rPr>
          <w:color w:val="231F20"/>
          <w:spacing w:val="-11"/>
          <w:w w:val="115"/>
        </w:rPr>
        <w:t> </w:t>
      </w:r>
      <w:r>
        <w:rPr>
          <w:color w:val="231F20"/>
          <w:w w:val="115"/>
        </w:rPr>
        <w:t>respecter</w:t>
      </w:r>
      <w:r>
        <w:rPr>
          <w:color w:val="231F20"/>
          <w:spacing w:val="-11"/>
          <w:w w:val="115"/>
        </w:rPr>
        <w:t> </w:t>
      </w:r>
      <w:r>
        <w:rPr>
          <w:color w:val="231F20"/>
          <w:w w:val="115"/>
        </w:rPr>
        <w:t>des</w:t>
      </w:r>
      <w:r>
        <w:rPr>
          <w:color w:val="231F20"/>
          <w:spacing w:val="-11"/>
          <w:w w:val="115"/>
        </w:rPr>
        <w:t> </w:t>
      </w:r>
      <w:r>
        <w:rPr>
          <w:color w:val="231F20"/>
          <w:w w:val="115"/>
        </w:rPr>
        <w:t>délais</w:t>
      </w:r>
      <w:r>
        <w:rPr>
          <w:color w:val="231F20"/>
          <w:spacing w:val="-11"/>
          <w:w w:val="115"/>
        </w:rPr>
        <w:t> </w:t>
      </w:r>
      <w:r>
        <w:rPr>
          <w:color w:val="231F20"/>
          <w:w w:val="115"/>
        </w:rPr>
        <w:t>très</w:t>
      </w:r>
      <w:r>
        <w:rPr>
          <w:color w:val="231F20"/>
          <w:spacing w:val="-11"/>
          <w:w w:val="115"/>
        </w:rPr>
        <w:t> </w:t>
      </w:r>
      <w:r>
        <w:rPr>
          <w:color w:val="231F20"/>
          <w:w w:val="115"/>
        </w:rPr>
        <w:t>courts</w:t>
      </w:r>
      <w:r>
        <w:rPr>
          <w:color w:val="231F20"/>
          <w:spacing w:val="-11"/>
          <w:w w:val="115"/>
        </w:rPr>
        <w:t> </w:t>
      </w:r>
      <w:r>
        <w:rPr>
          <w:color w:val="231F20"/>
          <w:w w:val="115"/>
        </w:rPr>
        <w:t>et</w:t>
      </w:r>
      <w:r>
        <w:rPr>
          <w:color w:val="231F20"/>
          <w:spacing w:val="-11"/>
          <w:w w:val="115"/>
        </w:rPr>
        <w:t> </w:t>
      </w:r>
      <w:r>
        <w:rPr>
          <w:color w:val="231F20"/>
          <w:w w:val="115"/>
        </w:rPr>
        <w:t>travailler</w:t>
      </w:r>
      <w:r>
        <w:rPr>
          <w:color w:val="231F20"/>
          <w:spacing w:val="-11"/>
          <w:w w:val="115"/>
        </w:rPr>
        <w:t> </w:t>
      </w:r>
      <w:r>
        <w:rPr>
          <w:color w:val="231F20"/>
          <w:w w:val="115"/>
        </w:rPr>
        <w:t>à</w:t>
      </w:r>
      <w:r>
        <w:rPr>
          <w:color w:val="231F20"/>
          <w:spacing w:val="-11"/>
          <w:w w:val="115"/>
        </w:rPr>
        <w:t> </w:t>
      </w:r>
      <w:r>
        <w:rPr>
          <w:color w:val="231F20"/>
          <w:w w:val="115"/>
        </w:rPr>
        <w:t>une</w:t>
      </w:r>
      <w:r>
        <w:rPr>
          <w:color w:val="231F20"/>
          <w:spacing w:val="-11"/>
          <w:w w:val="115"/>
        </w:rPr>
        <w:t> </w:t>
      </w:r>
      <w:r>
        <w:rPr>
          <w:color w:val="231F20"/>
          <w:w w:val="115"/>
        </w:rPr>
        <w:t>cadence élevée; 57</w:t>
      </w:r>
      <w:r>
        <w:rPr>
          <w:color w:val="231F20"/>
          <w:spacing w:val="-13"/>
          <w:w w:val="115"/>
        </w:rPr>
        <w:t> </w:t>
      </w:r>
      <w:r>
        <w:rPr>
          <w:color w:val="231F20"/>
          <w:w w:val="115"/>
        </w:rPr>
        <w:t>% des travailleurs avaient des horaires de travail irréguliers; plus d’un travailleur sur cinq (22</w:t>
      </w:r>
      <w:r>
        <w:rPr>
          <w:color w:val="231F20"/>
          <w:spacing w:val="-13"/>
          <w:w w:val="115"/>
        </w:rPr>
        <w:t> </w:t>
      </w:r>
      <w:r>
        <w:rPr>
          <w:color w:val="231F20"/>
          <w:w w:val="115"/>
        </w:rPr>
        <w:t>%) devait travailler durant son temps libre</w:t>
      </w:r>
      <w:r>
        <w:rPr>
          <w:color w:val="231F20"/>
          <w:spacing w:val="10"/>
          <w:w w:val="115"/>
        </w:rPr>
        <w:t> </w:t>
      </w:r>
      <w:r>
        <w:rPr>
          <w:color w:val="231F20"/>
          <w:w w:val="115"/>
        </w:rPr>
        <w:t>pour</w:t>
      </w:r>
      <w:r>
        <w:rPr>
          <w:color w:val="231F20"/>
          <w:spacing w:val="10"/>
          <w:w w:val="115"/>
        </w:rPr>
        <w:t> </w:t>
      </w:r>
      <w:r>
        <w:rPr>
          <w:color w:val="231F20"/>
          <w:w w:val="115"/>
        </w:rPr>
        <w:t>satisfaire</w:t>
      </w:r>
      <w:r>
        <w:rPr>
          <w:color w:val="231F20"/>
          <w:spacing w:val="10"/>
          <w:w w:val="115"/>
        </w:rPr>
        <w:t> </w:t>
      </w:r>
      <w:r>
        <w:rPr>
          <w:color w:val="231F20"/>
          <w:w w:val="115"/>
        </w:rPr>
        <w:t>aux</w:t>
      </w:r>
      <w:r>
        <w:rPr>
          <w:color w:val="231F20"/>
          <w:spacing w:val="10"/>
          <w:w w:val="115"/>
        </w:rPr>
        <w:t> </w:t>
      </w:r>
      <w:r>
        <w:rPr>
          <w:color w:val="231F20"/>
          <w:w w:val="115"/>
        </w:rPr>
        <w:t>exigences</w:t>
      </w:r>
      <w:r>
        <w:rPr>
          <w:color w:val="231F20"/>
          <w:spacing w:val="10"/>
          <w:w w:val="115"/>
        </w:rPr>
        <w:t> </w:t>
      </w:r>
      <w:r>
        <w:rPr>
          <w:color w:val="231F20"/>
          <w:w w:val="115"/>
        </w:rPr>
        <w:t>de</w:t>
      </w:r>
      <w:r>
        <w:rPr>
          <w:color w:val="231F20"/>
          <w:spacing w:val="10"/>
          <w:w w:val="115"/>
        </w:rPr>
        <w:t> </w:t>
      </w:r>
      <w:r>
        <w:rPr>
          <w:color w:val="231F20"/>
          <w:w w:val="115"/>
        </w:rPr>
        <w:t>son</w:t>
      </w:r>
      <w:r>
        <w:rPr>
          <w:color w:val="231F20"/>
          <w:spacing w:val="10"/>
          <w:w w:val="115"/>
        </w:rPr>
        <w:t> </w:t>
      </w:r>
      <w:r>
        <w:rPr>
          <w:color w:val="231F20"/>
          <w:w w:val="115"/>
        </w:rPr>
        <w:t>travail</w:t>
      </w:r>
      <w:r>
        <w:rPr>
          <w:color w:val="231F20"/>
          <w:spacing w:val="10"/>
          <w:w w:val="115"/>
        </w:rPr>
        <w:t> </w:t>
      </w:r>
      <w:r>
        <w:rPr>
          <w:color w:val="231F20"/>
          <w:w w:val="115"/>
        </w:rPr>
        <w:t>plusieurs</w:t>
      </w:r>
      <w:r>
        <w:rPr>
          <w:color w:val="231F20"/>
          <w:spacing w:val="11"/>
          <w:w w:val="115"/>
        </w:rPr>
        <w:t> </w:t>
      </w:r>
      <w:r>
        <w:rPr>
          <w:color w:val="231F20"/>
          <w:w w:val="115"/>
        </w:rPr>
        <w:t>fois</w:t>
      </w:r>
      <w:r>
        <w:rPr>
          <w:color w:val="231F20"/>
          <w:spacing w:val="10"/>
          <w:w w:val="115"/>
        </w:rPr>
        <w:t> </w:t>
      </w:r>
      <w:r>
        <w:rPr>
          <w:color w:val="231F20"/>
          <w:w w:val="115"/>
        </w:rPr>
        <w:t>par</w:t>
      </w:r>
      <w:r>
        <w:rPr>
          <w:color w:val="231F20"/>
          <w:spacing w:val="10"/>
          <w:w w:val="115"/>
        </w:rPr>
        <w:t> </w:t>
      </w:r>
      <w:r>
        <w:rPr>
          <w:color w:val="231F20"/>
          <w:spacing w:val="-4"/>
          <w:w w:val="115"/>
        </w:rPr>
        <w:t>mois</w:t>
      </w:r>
    </w:p>
    <w:p>
      <w:pPr>
        <w:spacing w:after="0" w:line="307" w:lineRule="auto"/>
        <w:jc w:val="both"/>
        <w:sectPr>
          <w:footerReference w:type="default" r:id="rId48"/>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7"/>
        <w:jc w:val="both"/>
      </w:pPr>
      <w:r>
        <w:rPr>
          <w:color w:val="231F20"/>
          <w:spacing w:val="-2"/>
          <w:w w:val="120"/>
        </w:rPr>
        <w:t>et</w:t>
      </w:r>
      <w:r>
        <w:rPr>
          <w:color w:val="231F20"/>
          <w:spacing w:val="-11"/>
          <w:w w:val="120"/>
        </w:rPr>
        <w:t> </w:t>
      </w:r>
      <w:r>
        <w:rPr>
          <w:color w:val="231F20"/>
          <w:spacing w:val="-2"/>
          <w:w w:val="120"/>
        </w:rPr>
        <w:t>environ</w:t>
      </w:r>
      <w:r>
        <w:rPr>
          <w:color w:val="231F20"/>
          <w:spacing w:val="-11"/>
          <w:w w:val="120"/>
        </w:rPr>
        <w:t> </w:t>
      </w:r>
      <w:r>
        <w:rPr>
          <w:color w:val="231F20"/>
          <w:spacing w:val="-2"/>
          <w:w w:val="120"/>
        </w:rPr>
        <w:t>16</w:t>
      </w:r>
      <w:r>
        <w:rPr>
          <w:color w:val="231F20"/>
          <w:spacing w:val="-11"/>
          <w:w w:val="120"/>
        </w:rPr>
        <w:t> </w:t>
      </w:r>
      <w:r>
        <w:rPr>
          <w:color w:val="231F20"/>
          <w:spacing w:val="-2"/>
          <w:w w:val="120"/>
        </w:rPr>
        <w:t>%</w:t>
      </w:r>
      <w:r>
        <w:rPr>
          <w:color w:val="231F20"/>
          <w:spacing w:val="-10"/>
          <w:w w:val="120"/>
        </w:rPr>
        <w:t> </w:t>
      </w:r>
      <w:r>
        <w:rPr>
          <w:color w:val="231F20"/>
          <w:spacing w:val="-2"/>
          <w:w w:val="120"/>
        </w:rPr>
        <w:t>des</w:t>
      </w:r>
      <w:r>
        <w:rPr>
          <w:color w:val="231F20"/>
          <w:spacing w:val="-4"/>
          <w:w w:val="120"/>
        </w:rPr>
        <w:t> </w:t>
      </w:r>
      <w:r>
        <w:rPr>
          <w:color w:val="231F20"/>
          <w:spacing w:val="-2"/>
          <w:w w:val="120"/>
        </w:rPr>
        <w:t>travailleurs</w:t>
      </w:r>
      <w:r>
        <w:rPr>
          <w:color w:val="231F20"/>
          <w:spacing w:val="-4"/>
          <w:w w:val="120"/>
        </w:rPr>
        <w:t> </w:t>
      </w:r>
      <w:r>
        <w:rPr>
          <w:color w:val="231F20"/>
          <w:spacing w:val="-2"/>
          <w:w w:val="120"/>
        </w:rPr>
        <w:t>déclaraient</w:t>
      </w:r>
      <w:r>
        <w:rPr>
          <w:color w:val="231F20"/>
          <w:spacing w:val="-4"/>
          <w:w w:val="120"/>
        </w:rPr>
        <w:t> </w:t>
      </w:r>
      <w:r>
        <w:rPr>
          <w:color w:val="231F20"/>
          <w:spacing w:val="-2"/>
          <w:w w:val="120"/>
        </w:rPr>
        <w:t>être</w:t>
      </w:r>
      <w:r>
        <w:rPr>
          <w:color w:val="231F20"/>
          <w:spacing w:val="-4"/>
          <w:w w:val="120"/>
        </w:rPr>
        <w:t> </w:t>
      </w:r>
      <w:r>
        <w:rPr>
          <w:color w:val="231F20"/>
          <w:spacing w:val="-2"/>
          <w:w w:val="120"/>
        </w:rPr>
        <w:t>exposés</w:t>
      </w:r>
      <w:r>
        <w:rPr>
          <w:color w:val="231F20"/>
          <w:spacing w:val="-4"/>
          <w:w w:val="120"/>
        </w:rPr>
        <w:t> </w:t>
      </w:r>
      <w:r>
        <w:rPr>
          <w:color w:val="231F20"/>
          <w:spacing w:val="-2"/>
          <w:w w:val="120"/>
        </w:rPr>
        <w:t>à</w:t>
      </w:r>
      <w:r>
        <w:rPr>
          <w:color w:val="231F20"/>
          <w:spacing w:val="-4"/>
          <w:w w:val="120"/>
        </w:rPr>
        <w:t> </w:t>
      </w:r>
      <w:r>
        <w:rPr>
          <w:color w:val="231F20"/>
          <w:spacing w:val="-2"/>
          <w:w w:val="120"/>
        </w:rPr>
        <w:t>des</w:t>
      </w:r>
      <w:r>
        <w:rPr>
          <w:color w:val="231F20"/>
          <w:spacing w:val="-4"/>
          <w:w w:val="120"/>
        </w:rPr>
        <w:t> </w:t>
      </w:r>
      <w:r>
        <w:rPr>
          <w:color w:val="231F20"/>
          <w:spacing w:val="-2"/>
          <w:w w:val="120"/>
        </w:rPr>
        <w:t>incivilités </w:t>
      </w:r>
      <w:r>
        <w:rPr>
          <w:color w:val="231F20"/>
          <w:w w:val="120"/>
        </w:rPr>
        <w:t>et</w:t>
      </w:r>
      <w:r>
        <w:rPr>
          <w:color w:val="231F20"/>
          <w:spacing w:val="-7"/>
          <w:w w:val="120"/>
        </w:rPr>
        <w:t> </w:t>
      </w:r>
      <w:r>
        <w:rPr>
          <w:color w:val="231F20"/>
          <w:w w:val="120"/>
        </w:rPr>
        <w:t>à</w:t>
      </w:r>
      <w:r>
        <w:rPr>
          <w:color w:val="231F20"/>
          <w:spacing w:val="-7"/>
          <w:w w:val="120"/>
        </w:rPr>
        <w:t> </w:t>
      </w:r>
      <w:r>
        <w:rPr>
          <w:color w:val="231F20"/>
          <w:w w:val="120"/>
        </w:rPr>
        <w:t>des</w:t>
      </w:r>
      <w:r>
        <w:rPr>
          <w:color w:val="231F20"/>
          <w:spacing w:val="-7"/>
          <w:w w:val="120"/>
        </w:rPr>
        <w:t> </w:t>
      </w:r>
      <w:r>
        <w:rPr>
          <w:color w:val="231F20"/>
          <w:w w:val="120"/>
        </w:rPr>
        <w:t>incidences</w:t>
      </w:r>
      <w:r>
        <w:rPr>
          <w:color w:val="231F20"/>
          <w:spacing w:val="-7"/>
          <w:w w:val="120"/>
        </w:rPr>
        <w:t> </w:t>
      </w:r>
      <w:r>
        <w:rPr>
          <w:color w:val="231F20"/>
          <w:w w:val="120"/>
        </w:rPr>
        <w:t>de</w:t>
      </w:r>
      <w:r>
        <w:rPr>
          <w:color w:val="231F20"/>
          <w:spacing w:val="-7"/>
          <w:w w:val="120"/>
        </w:rPr>
        <w:t> </w:t>
      </w:r>
      <w:r>
        <w:rPr>
          <w:color w:val="231F20"/>
          <w:w w:val="120"/>
        </w:rPr>
        <w:t>violence</w:t>
      </w:r>
      <w:r>
        <w:rPr>
          <w:color w:val="231F20"/>
          <w:spacing w:val="-7"/>
          <w:w w:val="120"/>
        </w:rPr>
        <w:t> </w:t>
      </w:r>
      <w:r>
        <w:rPr>
          <w:color w:val="231F20"/>
          <w:w w:val="120"/>
        </w:rPr>
        <w:t>au</w:t>
      </w:r>
      <w:r>
        <w:rPr>
          <w:color w:val="231F20"/>
          <w:spacing w:val="-7"/>
          <w:w w:val="120"/>
        </w:rPr>
        <w:t> </w:t>
      </w:r>
      <w:r>
        <w:rPr>
          <w:color w:val="231F20"/>
          <w:w w:val="120"/>
        </w:rPr>
        <w:t>travail.</w:t>
      </w:r>
      <w:r>
        <w:rPr>
          <w:color w:val="231F20"/>
          <w:spacing w:val="-7"/>
          <w:w w:val="120"/>
        </w:rPr>
        <w:t> </w:t>
      </w:r>
      <w:r>
        <w:rPr>
          <w:color w:val="231F20"/>
          <w:w w:val="120"/>
        </w:rPr>
        <w:t>Globalement,</w:t>
      </w:r>
      <w:r>
        <w:rPr>
          <w:color w:val="231F20"/>
          <w:spacing w:val="-7"/>
          <w:w w:val="120"/>
        </w:rPr>
        <w:t> </w:t>
      </w:r>
      <w:r>
        <w:rPr>
          <w:color w:val="231F20"/>
          <w:w w:val="120"/>
        </w:rPr>
        <w:t>les</w:t>
      </w:r>
      <w:r>
        <w:rPr>
          <w:color w:val="231F20"/>
          <w:spacing w:val="-7"/>
          <w:w w:val="120"/>
        </w:rPr>
        <w:t> </w:t>
      </w:r>
      <w:r>
        <w:rPr>
          <w:color w:val="231F20"/>
          <w:w w:val="120"/>
        </w:rPr>
        <w:t>résultats</w:t>
      </w:r>
      <w:r>
        <w:rPr>
          <w:color w:val="231F20"/>
          <w:spacing w:val="-7"/>
          <w:w w:val="120"/>
        </w:rPr>
        <w:t> </w:t>
      </w:r>
      <w:r>
        <w:rPr>
          <w:color w:val="231F20"/>
          <w:w w:val="120"/>
        </w:rPr>
        <w:t>de cette enquête illustrent:</w:t>
      </w:r>
    </w:p>
    <w:p>
      <w:pPr>
        <w:pStyle w:val="BodyText"/>
        <w:spacing w:before="8"/>
        <w:rPr>
          <w:sz w:val="21"/>
        </w:rPr>
      </w:pPr>
    </w:p>
    <w:p>
      <w:pPr>
        <w:pStyle w:val="BodyText"/>
        <w:spacing w:line="307" w:lineRule="auto"/>
        <w:ind w:left="1040" w:right="885"/>
        <w:jc w:val="both"/>
      </w:pPr>
      <w:r>
        <w:rPr>
          <w:color w:val="231F20"/>
          <w:w w:val="120"/>
        </w:rPr>
        <w:t>l’importance</w:t>
      </w:r>
      <w:r>
        <w:rPr>
          <w:color w:val="231F20"/>
          <w:spacing w:val="-1"/>
          <w:w w:val="120"/>
        </w:rPr>
        <w:t> </w:t>
      </w:r>
      <w:r>
        <w:rPr>
          <w:color w:val="231F20"/>
          <w:w w:val="120"/>
        </w:rPr>
        <w:t>des</w:t>
      </w:r>
      <w:r>
        <w:rPr>
          <w:color w:val="231F20"/>
          <w:spacing w:val="-1"/>
          <w:w w:val="120"/>
        </w:rPr>
        <w:t> </w:t>
      </w:r>
      <w:r>
        <w:rPr>
          <w:color w:val="231F20"/>
          <w:w w:val="120"/>
        </w:rPr>
        <w:t>pratiques</w:t>
      </w:r>
      <w:r>
        <w:rPr>
          <w:color w:val="231F20"/>
          <w:spacing w:val="-1"/>
          <w:w w:val="120"/>
        </w:rPr>
        <w:t> </w:t>
      </w:r>
      <w:r>
        <w:rPr>
          <w:color w:val="231F20"/>
          <w:w w:val="120"/>
        </w:rPr>
        <w:t>des</w:t>
      </w:r>
      <w:r>
        <w:rPr>
          <w:color w:val="231F20"/>
          <w:spacing w:val="-1"/>
          <w:w w:val="120"/>
        </w:rPr>
        <w:t> </w:t>
      </w:r>
      <w:r>
        <w:rPr>
          <w:color w:val="231F20"/>
          <w:w w:val="120"/>
        </w:rPr>
        <w:t>entreprises</w:t>
      </w:r>
      <w:r>
        <w:rPr>
          <w:color w:val="231F20"/>
          <w:spacing w:val="-1"/>
          <w:w w:val="120"/>
        </w:rPr>
        <w:t> </w:t>
      </w:r>
      <w:r>
        <w:rPr>
          <w:color w:val="231F20"/>
          <w:w w:val="120"/>
        </w:rPr>
        <w:t>et</w:t>
      </w:r>
      <w:r>
        <w:rPr>
          <w:color w:val="231F20"/>
          <w:spacing w:val="-1"/>
          <w:w w:val="120"/>
        </w:rPr>
        <w:t> </w:t>
      </w:r>
      <w:r>
        <w:rPr>
          <w:color w:val="231F20"/>
          <w:w w:val="120"/>
        </w:rPr>
        <w:t>des</w:t>
      </w:r>
      <w:r>
        <w:rPr>
          <w:color w:val="231F20"/>
          <w:spacing w:val="-1"/>
          <w:w w:val="120"/>
        </w:rPr>
        <w:t> </w:t>
      </w:r>
      <w:r>
        <w:rPr>
          <w:color w:val="231F20"/>
          <w:w w:val="120"/>
        </w:rPr>
        <w:t>lieux</w:t>
      </w:r>
      <w:r>
        <w:rPr>
          <w:color w:val="231F20"/>
          <w:spacing w:val="-1"/>
          <w:w w:val="120"/>
        </w:rPr>
        <w:t> </w:t>
      </w:r>
      <w:r>
        <w:rPr>
          <w:color w:val="231F20"/>
          <w:w w:val="120"/>
        </w:rPr>
        <w:t>de</w:t>
      </w:r>
      <w:r>
        <w:rPr>
          <w:color w:val="231F20"/>
          <w:spacing w:val="-1"/>
          <w:w w:val="120"/>
        </w:rPr>
        <w:t> </w:t>
      </w:r>
      <w:r>
        <w:rPr>
          <w:color w:val="231F20"/>
          <w:w w:val="120"/>
        </w:rPr>
        <w:t>travail pour préserver la santé et la sécurité (en incluant notamment les </w:t>
      </w:r>
      <w:r>
        <w:rPr>
          <w:color w:val="231F20"/>
          <w:w w:val="115"/>
        </w:rPr>
        <w:t>risques psychosociaux), améliorer l’équilibre entre vie profession- </w:t>
      </w:r>
      <w:r>
        <w:rPr>
          <w:color w:val="231F20"/>
          <w:spacing w:val="-2"/>
          <w:w w:val="120"/>
        </w:rPr>
        <w:t>nelle</w:t>
      </w:r>
      <w:r>
        <w:rPr>
          <w:color w:val="231F20"/>
          <w:spacing w:val="-6"/>
          <w:w w:val="120"/>
        </w:rPr>
        <w:t> </w:t>
      </w:r>
      <w:r>
        <w:rPr>
          <w:color w:val="231F20"/>
          <w:spacing w:val="-2"/>
          <w:w w:val="120"/>
        </w:rPr>
        <w:t>et</w:t>
      </w:r>
      <w:r>
        <w:rPr>
          <w:color w:val="231F20"/>
          <w:spacing w:val="-6"/>
          <w:w w:val="120"/>
        </w:rPr>
        <w:t> </w:t>
      </w:r>
      <w:r>
        <w:rPr>
          <w:color w:val="231F20"/>
          <w:spacing w:val="-2"/>
          <w:w w:val="120"/>
        </w:rPr>
        <w:t>vie</w:t>
      </w:r>
      <w:r>
        <w:rPr>
          <w:color w:val="231F20"/>
          <w:spacing w:val="-6"/>
          <w:w w:val="120"/>
        </w:rPr>
        <w:t> </w:t>
      </w:r>
      <w:r>
        <w:rPr>
          <w:color w:val="231F20"/>
          <w:spacing w:val="-2"/>
          <w:w w:val="120"/>
        </w:rPr>
        <w:t>privée,</w:t>
      </w:r>
      <w:r>
        <w:rPr>
          <w:color w:val="231F20"/>
          <w:spacing w:val="-6"/>
          <w:w w:val="120"/>
        </w:rPr>
        <w:t> </w:t>
      </w:r>
      <w:r>
        <w:rPr>
          <w:color w:val="231F20"/>
          <w:spacing w:val="-2"/>
          <w:w w:val="120"/>
        </w:rPr>
        <w:t>soutenir</w:t>
      </w:r>
      <w:r>
        <w:rPr>
          <w:color w:val="231F20"/>
          <w:spacing w:val="-6"/>
          <w:w w:val="120"/>
        </w:rPr>
        <w:t> </w:t>
      </w:r>
      <w:r>
        <w:rPr>
          <w:color w:val="231F20"/>
          <w:spacing w:val="-2"/>
          <w:w w:val="120"/>
        </w:rPr>
        <w:t>le</w:t>
      </w:r>
      <w:r>
        <w:rPr>
          <w:color w:val="231F20"/>
          <w:spacing w:val="-6"/>
          <w:w w:val="120"/>
        </w:rPr>
        <w:t> </w:t>
      </w:r>
      <w:r>
        <w:rPr>
          <w:color w:val="231F20"/>
          <w:spacing w:val="-2"/>
          <w:w w:val="120"/>
        </w:rPr>
        <w:t>déroulement</w:t>
      </w:r>
      <w:r>
        <w:rPr>
          <w:color w:val="231F20"/>
          <w:spacing w:val="-6"/>
          <w:w w:val="120"/>
        </w:rPr>
        <w:t> </w:t>
      </w:r>
      <w:r>
        <w:rPr>
          <w:color w:val="231F20"/>
          <w:spacing w:val="-2"/>
          <w:w w:val="120"/>
        </w:rPr>
        <w:t>des</w:t>
      </w:r>
      <w:r>
        <w:rPr>
          <w:color w:val="231F20"/>
          <w:spacing w:val="-6"/>
          <w:w w:val="120"/>
        </w:rPr>
        <w:t> </w:t>
      </w:r>
      <w:r>
        <w:rPr>
          <w:color w:val="231F20"/>
          <w:spacing w:val="-2"/>
          <w:w w:val="120"/>
        </w:rPr>
        <w:t>carrières,</w:t>
      </w:r>
      <w:r>
        <w:rPr>
          <w:color w:val="231F20"/>
          <w:spacing w:val="-6"/>
          <w:w w:val="120"/>
        </w:rPr>
        <w:t> </w:t>
      </w:r>
      <w:r>
        <w:rPr>
          <w:color w:val="231F20"/>
          <w:spacing w:val="-2"/>
          <w:w w:val="120"/>
        </w:rPr>
        <w:t>favoriser l’utilisation</w:t>
      </w:r>
      <w:r>
        <w:rPr>
          <w:color w:val="231F20"/>
          <w:spacing w:val="-6"/>
          <w:w w:val="120"/>
        </w:rPr>
        <w:t> </w:t>
      </w:r>
      <w:r>
        <w:rPr>
          <w:color w:val="231F20"/>
          <w:spacing w:val="-2"/>
          <w:w w:val="120"/>
        </w:rPr>
        <w:t>et</w:t>
      </w:r>
      <w:r>
        <w:rPr>
          <w:color w:val="231F20"/>
          <w:spacing w:val="-6"/>
          <w:w w:val="120"/>
        </w:rPr>
        <w:t> </w:t>
      </w:r>
      <w:r>
        <w:rPr>
          <w:color w:val="231F20"/>
          <w:spacing w:val="-2"/>
          <w:w w:val="120"/>
        </w:rPr>
        <w:t>le</w:t>
      </w:r>
      <w:r>
        <w:rPr>
          <w:color w:val="231F20"/>
          <w:spacing w:val="-6"/>
          <w:w w:val="120"/>
        </w:rPr>
        <w:t> </w:t>
      </w:r>
      <w:r>
        <w:rPr>
          <w:color w:val="231F20"/>
          <w:spacing w:val="-2"/>
          <w:w w:val="120"/>
        </w:rPr>
        <w:t>développement</w:t>
      </w:r>
      <w:r>
        <w:rPr>
          <w:color w:val="231F20"/>
          <w:spacing w:val="-6"/>
          <w:w w:val="120"/>
        </w:rPr>
        <w:t> </w:t>
      </w:r>
      <w:r>
        <w:rPr>
          <w:color w:val="231F20"/>
          <w:spacing w:val="-2"/>
          <w:w w:val="120"/>
        </w:rPr>
        <w:t>des</w:t>
      </w:r>
      <w:r>
        <w:rPr>
          <w:color w:val="231F20"/>
          <w:spacing w:val="-6"/>
          <w:w w:val="120"/>
        </w:rPr>
        <w:t> </w:t>
      </w:r>
      <w:r>
        <w:rPr>
          <w:color w:val="231F20"/>
          <w:spacing w:val="-2"/>
          <w:w w:val="120"/>
        </w:rPr>
        <w:t>compétences,</w:t>
      </w:r>
      <w:r>
        <w:rPr>
          <w:color w:val="231F20"/>
          <w:spacing w:val="-6"/>
          <w:w w:val="120"/>
        </w:rPr>
        <w:t> </w:t>
      </w:r>
      <w:r>
        <w:rPr>
          <w:color w:val="231F20"/>
          <w:spacing w:val="-2"/>
          <w:w w:val="120"/>
        </w:rPr>
        <w:t>gérer</w:t>
      </w:r>
      <w:r>
        <w:rPr>
          <w:color w:val="231F20"/>
          <w:spacing w:val="-6"/>
          <w:w w:val="120"/>
        </w:rPr>
        <w:t> </w:t>
      </w:r>
      <w:r>
        <w:rPr>
          <w:color w:val="231F20"/>
          <w:spacing w:val="-2"/>
          <w:w w:val="120"/>
        </w:rPr>
        <w:t>la</w:t>
      </w:r>
      <w:r>
        <w:rPr>
          <w:color w:val="231F20"/>
          <w:spacing w:val="-6"/>
          <w:w w:val="120"/>
        </w:rPr>
        <w:t> </w:t>
      </w:r>
      <w:r>
        <w:rPr>
          <w:color w:val="231F20"/>
          <w:spacing w:val="-2"/>
          <w:w w:val="120"/>
        </w:rPr>
        <w:t>charge de</w:t>
      </w:r>
      <w:r>
        <w:rPr>
          <w:color w:val="231F20"/>
          <w:spacing w:val="-6"/>
          <w:w w:val="120"/>
        </w:rPr>
        <w:t> </w:t>
      </w:r>
      <w:r>
        <w:rPr>
          <w:color w:val="231F20"/>
          <w:spacing w:val="-2"/>
          <w:w w:val="120"/>
        </w:rPr>
        <w:t>travail</w:t>
      </w:r>
      <w:r>
        <w:rPr>
          <w:color w:val="231F20"/>
          <w:spacing w:val="-6"/>
          <w:w w:val="120"/>
        </w:rPr>
        <w:t> </w:t>
      </w:r>
      <w:r>
        <w:rPr>
          <w:color w:val="231F20"/>
          <w:spacing w:val="-2"/>
          <w:w w:val="120"/>
        </w:rPr>
        <w:t>et</w:t>
      </w:r>
      <w:r>
        <w:rPr>
          <w:color w:val="231F20"/>
          <w:spacing w:val="-6"/>
          <w:w w:val="120"/>
        </w:rPr>
        <w:t> </w:t>
      </w:r>
      <w:r>
        <w:rPr>
          <w:color w:val="231F20"/>
          <w:spacing w:val="-2"/>
          <w:w w:val="120"/>
        </w:rPr>
        <w:t>concevoir</w:t>
      </w:r>
      <w:r>
        <w:rPr>
          <w:color w:val="231F20"/>
          <w:spacing w:val="-6"/>
          <w:w w:val="120"/>
        </w:rPr>
        <w:t> </w:t>
      </w:r>
      <w:r>
        <w:rPr>
          <w:color w:val="231F20"/>
          <w:spacing w:val="-2"/>
          <w:w w:val="120"/>
        </w:rPr>
        <w:t>des</w:t>
      </w:r>
      <w:r>
        <w:rPr>
          <w:color w:val="231F20"/>
          <w:spacing w:val="-6"/>
          <w:w w:val="120"/>
        </w:rPr>
        <w:t> </w:t>
      </w:r>
      <w:r>
        <w:rPr>
          <w:color w:val="231F20"/>
          <w:spacing w:val="-2"/>
          <w:w w:val="120"/>
        </w:rPr>
        <w:t>postes</w:t>
      </w:r>
      <w:r>
        <w:rPr>
          <w:color w:val="231F20"/>
          <w:spacing w:val="-6"/>
          <w:w w:val="120"/>
        </w:rPr>
        <w:t> </w:t>
      </w:r>
      <w:r>
        <w:rPr>
          <w:color w:val="231F20"/>
          <w:spacing w:val="-2"/>
          <w:w w:val="120"/>
        </w:rPr>
        <w:t>de</w:t>
      </w:r>
      <w:r>
        <w:rPr>
          <w:color w:val="231F20"/>
          <w:spacing w:val="-6"/>
          <w:w w:val="120"/>
        </w:rPr>
        <w:t> </w:t>
      </w:r>
      <w:r>
        <w:rPr>
          <w:color w:val="231F20"/>
          <w:spacing w:val="-2"/>
          <w:w w:val="120"/>
        </w:rPr>
        <w:t>travail</w:t>
      </w:r>
      <w:r>
        <w:rPr>
          <w:color w:val="231F20"/>
          <w:spacing w:val="-6"/>
          <w:w w:val="120"/>
        </w:rPr>
        <w:t> </w:t>
      </w:r>
      <w:r>
        <w:rPr>
          <w:color w:val="231F20"/>
          <w:spacing w:val="-2"/>
          <w:w w:val="120"/>
        </w:rPr>
        <w:t>intéressants</w:t>
      </w:r>
      <w:r>
        <w:rPr>
          <w:color w:val="231F20"/>
          <w:spacing w:val="-6"/>
          <w:w w:val="120"/>
        </w:rPr>
        <w:t> </w:t>
      </w:r>
      <w:r>
        <w:rPr>
          <w:color w:val="231F20"/>
          <w:spacing w:val="-2"/>
          <w:w w:val="120"/>
        </w:rPr>
        <w:t>pour</w:t>
      </w:r>
      <w:r>
        <w:rPr>
          <w:color w:val="231F20"/>
          <w:spacing w:val="-6"/>
          <w:w w:val="120"/>
        </w:rPr>
        <w:t> </w:t>
      </w:r>
      <w:r>
        <w:rPr>
          <w:color w:val="231F20"/>
          <w:spacing w:val="-2"/>
          <w:w w:val="120"/>
        </w:rPr>
        <w:t>ceux </w:t>
      </w:r>
      <w:r>
        <w:rPr>
          <w:color w:val="231F20"/>
          <w:w w:val="120"/>
        </w:rPr>
        <w:t>qui les occupent14.</w:t>
      </w:r>
    </w:p>
    <w:p>
      <w:pPr>
        <w:pStyle w:val="BodyText"/>
        <w:spacing w:before="7"/>
        <w:rPr>
          <w:sz w:val="21"/>
        </w:rPr>
      </w:pPr>
    </w:p>
    <w:p>
      <w:pPr>
        <w:pStyle w:val="BodyText"/>
        <w:spacing w:line="307" w:lineRule="auto"/>
        <w:ind w:left="790" w:right="634"/>
        <w:jc w:val="both"/>
      </w:pPr>
      <w:r>
        <w:rPr>
          <w:color w:val="231F20"/>
          <w:w w:val="120"/>
        </w:rPr>
        <w:t>Il</w:t>
      </w:r>
      <w:r>
        <w:rPr>
          <w:color w:val="231F20"/>
          <w:spacing w:val="-6"/>
          <w:w w:val="120"/>
        </w:rPr>
        <w:t> </w:t>
      </w:r>
      <w:r>
        <w:rPr>
          <w:color w:val="231F20"/>
          <w:w w:val="120"/>
        </w:rPr>
        <w:t>semble</w:t>
      </w:r>
      <w:r>
        <w:rPr>
          <w:color w:val="231F20"/>
          <w:spacing w:val="-6"/>
          <w:w w:val="120"/>
        </w:rPr>
        <w:t> </w:t>
      </w:r>
      <w:r>
        <w:rPr>
          <w:color w:val="231F20"/>
          <w:w w:val="120"/>
        </w:rPr>
        <w:t>clair</w:t>
      </w:r>
      <w:r>
        <w:rPr>
          <w:color w:val="231F20"/>
          <w:spacing w:val="-6"/>
          <w:w w:val="120"/>
        </w:rPr>
        <w:t> </w:t>
      </w:r>
      <w:r>
        <w:rPr>
          <w:color w:val="231F20"/>
          <w:w w:val="120"/>
        </w:rPr>
        <w:t>que</w:t>
      </w:r>
      <w:r>
        <w:rPr>
          <w:color w:val="231F20"/>
          <w:spacing w:val="-6"/>
          <w:w w:val="120"/>
        </w:rPr>
        <w:t> </w:t>
      </w:r>
      <w:r>
        <w:rPr>
          <w:color w:val="231F20"/>
          <w:w w:val="120"/>
        </w:rPr>
        <w:t>le</w:t>
      </w:r>
      <w:r>
        <w:rPr>
          <w:color w:val="231F20"/>
          <w:spacing w:val="-6"/>
          <w:w w:val="120"/>
        </w:rPr>
        <w:t> </w:t>
      </w:r>
      <w:r>
        <w:rPr>
          <w:color w:val="231F20"/>
          <w:w w:val="120"/>
        </w:rPr>
        <w:t>traitement</w:t>
      </w:r>
      <w:r>
        <w:rPr>
          <w:color w:val="231F20"/>
          <w:spacing w:val="-6"/>
          <w:w w:val="120"/>
        </w:rPr>
        <w:t> </w:t>
      </w:r>
      <w:r>
        <w:rPr>
          <w:color w:val="231F20"/>
          <w:w w:val="120"/>
        </w:rPr>
        <w:t>des</w:t>
      </w:r>
      <w:r>
        <w:rPr>
          <w:color w:val="231F20"/>
          <w:spacing w:val="-6"/>
          <w:w w:val="120"/>
        </w:rPr>
        <w:t> </w:t>
      </w:r>
      <w:r>
        <w:rPr>
          <w:color w:val="231F20"/>
          <w:w w:val="120"/>
        </w:rPr>
        <w:t>problèmes</w:t>
      </w:r>
      <w:r>
        <w:rPr>
          <w:color w:val="231F20"/>
          <w:spacing w:val="-6"/>
          <w:w w:val="120"/>
        </w:rPr>
        <w:t> </w:t>
      </w:r>
      <w:r>
        <w:rPr>
          <w:color w:val="231F20"/>
          <w:w w:val="120"/>
        </w:rPr>
        <w:t>de</w:t>
      </w:r>
      <w:r>
        <w:rPr>
          <w:color w:val="231F20"/>
          <w:spacing w:val="-6"/>
          <w:w w:val="120"/>
        </w:rPr>
        <w:t> </w:t>
      </w:r>
      <w:r>
        <w:rPr>
          <w:color w:val="231F20"/>
          <w:w w:val="120"/>
        </w:rPr>
        <w:t>santé</w:t>
      </w:r>
      <w:r>
        <w:rPr>
          <w:color w:val="231F20"/>
          <w:spacing w:val="-6"/>
          <w:w w:val="120"/>
        </w:rPr>
        <w:t> </w:t>
      </w:r>
      <w:r>
        <w:rPr>
          <w:color w:val="231F20"/>
          <w:w w:val="120"/>
        </w:rPr>
        <w:t>psychologique </w:t>
      </w:r>
      <w:r>
        <w:rPr>
          <w:color w:val="231F20"/>
          <w:spacing w:val="-2"/>
          <w:w w:val="115"/>
        </w:rPr>
        <w:t>représente encore un enjeu organisationnel prioritaire et que l’amélioration </w:t>
      </w:r>
      <w:r>
        <w:rPr>
          <w:color w:val="231F20"/>
          <w:w w:val="120"/>
        </w:rPr>
        <w:t>de la qualité de vie au travail demeure un défi contemporain.</w:t>
      </w:r>
    </w:p>
    <w:p>
      <w:pPr>
        <w:pStyle w:val="BodyText"/>
        <w:spacing w:line="307" w:lineRule="auto" w:before="80"/>
        <w:ind w:left="790" w:right="633" w:firstLine="250"/>
        <w:jc w:val="both"/>
      </w:pPr>
      <w:r>
        <w:rPr>
          <w:color w:val="231F20"/>
          <w:w w:val="120"/>
        </w:rPr>
        <w:t>Les</w:t>
      </w:r>
      <w:r>
        <w:rPr>
          <w:color w:val="231F20"/>
          <w:spacing w:val="-5"/>
          <w:w w:val="120"/>
        </w:rPr>
        <w:t> </w:t>
      </w:r>
      <w:r>
        <w:rPr>
          <w:color w:val="231F20"/>
          <w:w w:val="120"/>
        </w:rPr>
        <w:t>avis</w:t>
      </w:r>
      <w:r>
        <w:rPr>
          <w:color w:val="231F20"/>
          <w:spacing w:val="-5"/>
          <w:w w:val="120"/>
        </w:rPr>
        <w:t> </w:t>
      </w:r>
      <w:r>
        <w:rPr>
          <w:color w:val="231F20"/>
          <w:w w:val="120"/>
        </w:rPr>
        <w:t>sont</w:t>
      </w:r>
      <w:r>
        <w:rPr>
          <w:color w:val="231F20"/>
          <w:spacing w:val="-5"/>
          <w:w w:val="120"/>
        </w:rPr>
        <w:t> </w:t>
      </w:r>
      <w:r>
        <w:rPr>
          <w:color w:val="231F20"/>
          <w:w w:val="120"/>
        </w:rPr>
        <w:t>partagés</w:t>
      </w:r>
      <w:r>
        <w:rPr>
          <w:color w:val="231F20"/>
          <w:spacing w:val="-5"/>
          <w:w w:val="120"/>
        </w:rPr>
        <w:t> </w:t>
      </w:r>
      <w:r>
        <w:rPr>
          <w:color w:val="231F20"/>
          <w:w w:val="120"/>
        </w:rPr>
        <w:t>quant</w:t>
      </w:r>
      <w:r>
        <w:rPr>
          <w:color w:val="231F20"/>
          <w:spacing w:val="-5"/>
          <w:w w:val="120"/>
        </w:rPr>
        <w:t> </w:t>
      </w:r>
      <w:r>
        <w:rPr>
          <w:color w:val="231F20"/>
          <w:w w:val="120"/>
        </w:rPr>
        <w:t>à</w:t>
      </w:r>
      <w:r>
        <w:rPr>
          <w:color w:val="231F20"/>
          <w:spacing w:val="-5"/>
          <w:w w:val="120"/>
        </w:rPr>
        <w:t> </w:t>
      </w:r>
      <w:r>
        <w:rPr>
          <w:color w:val="231F20"/>
          <w:w w:val="120"/>
        </w:rPr>
        <w:t>la</w:t>
      </w:r>
      <w:r>
        <w:rPr>
          <w:color w:val="231F20"/>
          <w:spacing w:val="-5"/>
          <w:w w:val="120"/>
        </w:rPr>
        <w:t> </w:t>
      </w:r>
      <w:r>
        <w:rPr>
          <w:color w:val="231F20"/>
          <w:w w:val="120"/>
        </w:rPr>
        <w:t>nécessité</w:t>
      </w:r>
      <w:r>
        <w:rPr>
          <w:color w:val="231F20"/>
          <w:spacing w:val="-5"/>
          <w:w w:val="120"/>
        </w:rPr>
        <w:t> </w:t>
      </w:r>
      <w:r>
        <w:rPr>
          <w:color w:val="231F20"/>
          <w:w w:val="120"/>
        </w:rPr>
        <w:t>pour</w:t>
      </w:r>
      <w:r>
        <w:rPr>
          <w:color w:val="231F20"/>
          <w:spacing w:val="-5"/>
          <w:w w:val="120"/>
        </w:rPr>
        <w:t> </w:t>
      </w:r>
      <w:r>
        <w:rPr>
          <w:color w:val="231F20"/>
          <w:w w:val="120"/>
        </w:rPr>
        <w:t>les</w:t>
      </w:r>
      <w:r>
        <w:rPr>
          <w:color w:val="231F20"/>
          <w:spacing w:val="-5"/>
          <w:w w:val="120"/>
        </w:rPr>
        <w:t> </w:t>
      </w:r>
      <w:r>
        <w:rPr>
          <w:color w:val="231F20"/>
          <w:w w:val="120"/>
        </w:rPr>
        <w:t>organisations</w:t>
      </w:r>
      <w:r>
        <w:rPr>
          <w:color w:val="231F20"/>
          <w:spacing w:val="-5"/>
          <w:w w:val="120"/>
        </w:rPr>
        <w:t> </w:t>
      </w:r>
      <w:r>
        <w:rPr>
          <w:color w:val="231F20"/>
          <w:w w:val="120"/>
        </w:rPr>
        <w:t>de se soucier des émotions de leurs employés. Pour résumer la question, voici</w:t>
      </w:r>
      <w:r>
        <w:rPr>
          <w:color w:val="231F20"/>
          <w:spacing w:val="-12"/>
          <w:w w:val="120"/>
        </w:rPr>
        <w:t> </w:t>
      </w:r>
      <w:r>
        <w:rPr>
          <w:color w:val="231F20"/>
          <w:w w:val="120"/>
        </w:rPr>
        <w:t>trois</w:t>
      </w:r>
      <w:r>
        <w:rPr>
          <w:color w:val="231F20"/>
          <w:spacing w:val="-12"/>
          <w:w w:val="120"/>
        </w:rPr>
        <w:t> </w:t>
      </w:r>
      <w:r>
        <w:rPr>
          <w:color w:val="231F20"/>
          <w:w w:val="120"/>
        </w:rPr>
        <w:t>raisons</w:t>
      </w:r>
      <w:r>
        <w:rPr>
          <w:color w:val="231F20"/>
          <w:spacing w:val="-12"/>
          <w:w w:val="120"/>
        </w:rPr>
        <w:t> </w:t>
      </w:r>
      <w:r>
        <w:rPr>
          <w:color w:val="231F20"/>
          <w:w w:val="120"/>
        </w:rPr>
        <w:t>qui</w:t>
      </w:r>
      <w:r>
        <w:rPr>
          <w:color w:val="231F20"/>
          <w:spacing w:val="-12"/>
          <w:w w:val="120"/>
        </w:rPr>
        <w:t> </w:t>
      </w:r>
      <w:r>
        <w:rPr>
          <w:color w:val="231F20"/>
          <w:w w:val="120"/>
        </w:rPr>
        <w:t>devraient</w:t>
      </w:r>
      <w:r>
        <w:rPr>
          <w:color w:val="231F20"/>
          <w:spacing w:val="-12"/>
          <w:w w:val="120"/>
        </w:rPr>
        <w:t> </w:t>
      </w:r>
      <w:r>
        <w:rPr>
          <w:color w:val="231F20"/>
          <w:w w:val="120"/>
        </w:rPr>
        <w:t>inciter</w:t>
      </w:r>
      <w:r>
        <w:rPr>
          <w:color w:val="231F20"/>
          <w:spacing w:val="-12"/>
          <w:w w:val="120"/>
        </w:rPr>
        <w:t> </w:t>
      </w:r>
      <w:r>
        <w:rPr>
          <w:color w:val="231F20"/>
          <w:w w:val="120"/>
        </w:rPr>
        <w:t>les</w:t>
      </w:r>
      <w:r>
        <w:rPr>
          <w:color w:val="231F20"/>
          <w:spacing w:val="-12"/>
          <w:w w:val="120"/>
        </w:rPr>
        <w:t> </w:t>
      </w:r>
      <w:r>
        <w:rPr>
          <w:color w:val="231F20"/>
          <w:w w:val="120"/>
        </w:rPr>
        <w:t>cadres</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dirigeants</w:t>
      </w:r>
      <w:r>
        <w:rPr>
          <w:color w:val="231F20"/>
          <w:spacing w:val="-12"/>
          <w:w w:val="120"/>
        </w:rPr>
        <w:t> </w:t>
      </w:r>
      <w:r>
        <w:rPr>
          <w:color w:val="231F20"/>
          <w:w w:val="120"/>
        </w:rPr>
        <w:t>d’une organisation à tenir compte des émotions vécues par leurs employés puisqu’elles sont susceptibles de nourrir le stress et la tension:</w:t>
      </w:r>
    </w:p>
    <w:p>
      <w:pPr>
        <w:pStyle w:val="ListParagraph"/>
        <w:numPr>
          <w:ilvl w:val="0"/>
          <w:numId w:val="13"/>
        </w:numPr>
        <w:tabs>
          <w:tab w:pos="1291" w:val="left" w:leader="none"/>
        </w:tabs>
        <w:spacing w:line="307" w:lineRule="auto" w:before="78" w:after="0"/>
        <w:ind w:left="1290" w:right="636" w:hanging="251"/>
        <w:jc w:val="both"/>
        <w:rPr>
          <w:sz w:val="17"/>
        </w:rPr>
      </w:pPr>
      <w:r>
        <w:rPr>
          <w:color w:val="231F20"/>
          <w:w w:val="120"/>
          <w:sz w:val="17"/>
        </w:rPr>
        <w:t>Du</w:t>
      </w:r>
      <w:r>
        <w:rPr>
          <w:color w:val="231F20"/>
          <w:spacing w:val="-13"/>
          <w:w w:val="120"/>
          <w:sz w:val="17"/>
        </w:rPr>
        <w:t> </w:t>
      </w:r>
      <w:r>
        <w:rPr>
          <w:color w:val="231F20"/>
          <w:w w:val="120"/>
          <w:sz w:val="17"/>
        </w:rPr>
        <w:t>point</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vue</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la</w:t>
      </w:r>
      <w:r>
        <w:rPr>
          <w:color w:val="231F20"/>
          <w:spacing w:val="-12"/>
          <w:w w:val="120"/>
          <w:sz w:val="17"/>
        </w:rPr>
        <w:t> </w:t>
      </w:r>
      <w:r>
        <w:rPr>
          <w:color w:val="231F20"/>
          <w:w w:val="120"/>
          <w:sz w:val="17"/>
        </w:rPr>
        <w:t>qualité</w:t>
      </w:r>
      <w:r>
        <w:rPr>
          <w:color w:val="231F20"/>
          <w:spacing w:val="-13"/>
          <w:w w:val="120"/>
          <w:sz w:val="17"/>
        </w:rPr>
        <w:t> </w:t>
      </w:r>
      <w:r>
        <w:rPr>
          <w:color w:val="231F20"/>
          <w:w w:val="120"/>
          <w:sz w:val="17"/>
        </w:rPr>
        <w:t>du</w:t>
      </w:r>
      <w:r>
        <w:rPr>
          <w:color w:val="231F20"/>
          <w:spacing w:val="-12"/>
          <w:w w:val="120"/>
          <w:sz w:val="17"/>
        </w:rPr>
        <w:t> </w:t>
      </w:r>
      <w:r>
        <w:rPr>
          <w:color w:val="231F20"/>
          <w:w w:val="120"/>
          <w:sz w:val="17"/>
        </w:rPr>
        <w:t>travail,</w:t>
      </w:r>
      <w:r>
        <w:rPr>
          <w:color w:val="231F20"/>
          <w:spacing w:val="-13"/>
          <w:w w:val="120"/>
          <w:sz w:val="17"/>
        </w:rPr>
        <w:t> </w:t>
      </w:r>
      <w:r>
        <w:rPr>
          <w:color w:val="231F20"/>
          <w:w w:val="120"/>
          <w:sz w:val="17"/>
        </w:rPr>
        <w:t>les</w:t>
      </w:r>
      <w:r>
        <w:rPr>
          <w:color w:val="231F20"/>
          <w:spacing w:val="-12"/>
          <w:w w:val="120"/>
          <w:sz w:val="17"/>
        </w:rPr>
        <w:t> </w:t>
      </w:r>
      <w:r>
        <w:rPr>
          <w:color w:val="231F20"/>
          <w:w w:val="120"/>
          <w:sz w:val="17"/>
        </w:rPr>
        <w:t>travailleurs</w:t>
      </w:r>
      <w:r>
        <w:rPr>
          <w:color w:val="231F20"/>
          <w:spacing w:val="-13"/>
          <w:w w:val="120"/>
          <w:sz w:val="17"/>
        </w:rPr>
        <w:t> </w:t>
      </w:r>
      <w:r>
        <w:rPr>
          <w:color w:val="231F20"/>
          <w:w w:val="120"/>
          <w:sz w:val="17"/>
        </w:rPr>
        <w:t>éprouvent davantage</w:t>
      </w:r>
      <w:r>
        <w:rPr>
          <w:color w:val="231F20"/>
          <w:w w:val="120"/>
          <w:sz w:val="17"/>
        </w:rPr>
        <w:t> de</w:t>
      </w:r>
      <w:r>
        <w:rPr>
          <w:color w:val="231F20"/>
          <w:w w:val="120"/>
          <w:sz w:val="17"/>
        </w:rPr>
        <w:t> satisfaction</w:t>
      </w:r>
      <w:r>
        <w:rPr>
          <w:color w:val="231F20"/>
          <w:w w:val="120"/>
          <w:sz w:val="17"/>
        </w:rPr>
        <w:t> lorsque</w:t>
      </w:r>
      <w:r>
        <w:rPr>
          <w:color w:val="231F20"/>
          <w:w w:val="120"/>
          <w:sz w:val="17"/>
        </w:rPr>
        <w:t> leur</w:t>
      </w:r>
      <w:r>
        <w:rPr>
          <w:color w:val="231F20"/>
          <w:w w:val="120"/>
          <w:sz w:val="17"/>
        </w:rPr>
        <w:t> milieu</w:t>
      </w:r>
      <w:r>
        <w:rPr>
          <w:color w:val="231F20"/>
          <w:w w:val="120"/>
          <w:sz w:val="17"/>
        </w:rPr>
        <w:t> de</w:t>
      </w:r>
      <w:r>
        <w:rPr>
          <w:color w:val="231F20"/>
          <w:w w:val="120"/>
          <w:sz w:val="17"/>
        </w:rPr>
        <w:t> travail</w:t>
      </w:r>
      <w:r>
        <w:rPr>
          <w:color w:val="231F20"/>
          <w:w w:val="120"/>
          <w:sz w:val="17"/>
        </w:rPr>
        <w:t> est sécuritaire et confortable.</w:t>
      </w:r>
    </w:p>
    <w:p>
      <w:pPr>
        <w:pStyle w:val="ListParagraph"/>
        <w:numPr>
          <w:ilvl w:val="0"/>
          <w:numId w:val="13"/>
        </w:numPr>
        <w:tabs>
          <w:tab w:pos="1291" w:val="left" w:leader="none"/>
        </w:tabs>
        <w:spacing w:line="307" w:lineRule="auto" w:before="79" w:after="0"/>
        <w:ind w:left="1290" w:right="636" w:hanging="251"/>
        <w:jc w:val="both"/>
        <w:rPr>
          <w:sz w:val="17"/>
        </w:rPr>
      </w:pPr>
      <w:r>
        <w:rPr>
          <w:color w:val="231F20"/>
          <w:w w:val="120"/>
          <w:sz w:val="17"/>
        </w:rPr>
        <w:t>Les</w:t>
      </w:r>
      <w:r>
        <w:rPr>
          <w:color w:val="231F20"/>
          <w:spacing w:val="-9"/>
          <w:w w:val="120"/>
          <w:sz w:val="17"/>
        </w:rPr>
        <w:t> </w:t>
      </w:r>
      <w:r>
        <w:rPr>
          <w:color w:val="231F20"/>
          <w:w w:val="120"/>
          <w:sz w:val="17"/>
        </w:rPr>
        <w:t>gestionnaires</w:t>
      </w:r>
      <w:r>
        <w:rPr>
          <w:color w:val="231F20"/>
          <w:spacing w:val="-9"/>
          <w:w w:val="120"/>
          <w:sz w:val="17"/>
        </w:rPr>
        <w:t> </w:t>
      </w:r>
      <w:r>
        <w:rPr>
          <w:color w:val="231F20"/>
          <w:w w:val="120"/>
          <w:sz w:val="17"/>
        </w:rPr>
        <w:t>devraient</w:t>
      </w:r>
      <w:r>
        <w:rPr>
          <w:color w:val="231F20"/>
          <w:spacing w:val="-9"/>
          <w:w w:val="120"/>
          <w:sz w:val="17"/>
        </w:rPr>
        <w:t> </w:t>
      </w:r>
      <w:r>
        <w:rPr>
          <w:color w:val="231F20"/>
          <w:w w:val="120"/>
          <w:sz w:val="17"/>
        </w:rPr>
        <w:t>s’efforcer</w:t>
      </w:r>
      <w:r>
        <w:rPr>
          <w:color w:val="231F20"/>
          <w:spacing w:val="-9"/>
          <w:w w:val="120"/>
          <w:sz w:val="17"/>
        </w:rPr>
        <w:t> </w:t>
      </w:r>
      <w:r>
        <w:rPr>
          <w:color w:val="231F20"/>
          <w:w w:val="120"/>
          <w:sz w:val="17"/>
        </w:rPr>
        <w:t>de</w:t>
      </w:r>
      <w:r>
        <w:rPr>
          <w:color w:val="231F20"/>
          <w:spacing w:val="-9"/>
          <w:w w:val="120"/>
          <w:sz w:val="17"/>
        </w:rPr>
        <w:t> </w:t>
      </w:r>
      <w:r>
        <w:rPr>
          <w:color w:val="231F20"/>
          <w:w w:val="120"/>
          <w:sz w:val="17"/>
        </w:rPr>
        <w:t>réduire</w:t>
      </w:r>
      <w:r>
        <w:rPr>
          <w:color w:val="231F20"/>
          <w:spacing w:val="-9"/>
          <w:w w:val="120"/>
          <w:sz w:val="17"/>
        </w:rPr>
        <w:t> </w:t>
      </w:r>
      <w:r>
        <w:rPr>
          <w:color w:val="231F20"/>
          <w:w w:val="120"/>
          <w:sz w:val="17"/>
        </w:rPr>
        <w:t>le</w:t>
      </w:r>
      <w:r>
        <w:rPr>
          <w:color w:val="231F20"/>
          <w:spacing w:val="-9"/>
          <w:w w:val="120"/>
          <w:sz w:val="17"/>
        </w:rPr>
        <w:t> </w:t>
      </w:r>
      <w:r>
        <w:rPr>
          <w:color w:val="231F20"/>
          <w:w w:val="120"/>
          <w:sz w:val="17"/>
        </w:rPr>
        <w:t>stress</w:t>
      </w:r>
      <w:r>
        <w:rPr>
          <w:color w:val="231F20"/>
          <w:spacing w:val="-9"/>
          <w:w w:val="120"/>
          <w:sz w:val="17"/>
        </w:rPr>
        <w:t> </w:t>
      </w:r>
      <w:r>
        <w:rPr>
          <w:color w:val="231F20"/>
          <w:w w:val="120"/>
          <w:sz w:val="17"/>
        </w:rPr>
        <w:t>profes- sionnel,</w:t>
      </w:r>
      <w:r>
        <w:rPr>
          <w:color w:val="231F20"/>
          <w:spacing w:val="-3"/>
          <w:w w:val="120"/>
          <w:sz w:val="17"/>
        </w:rPr>
        <w:t> </w:t>
      </w:r>
      <w:r>
        <w:rPr>
          <w:color w:val="231F20"/>
          <w:w w:val="120"/>
          <w:sz w:val="17"/>
        </w:rPr>
        <w:t>un</w:t>
      </w:r>
      <w:r>
        <w:rPr>
          <w:color w:val="231F20"/>
          <w:spacing w:val="-3"/>
          <w:w w:val="120"/>
          <w:sz w:val="17"/>
        </w:rPr>
        <w:t> </w:t>
      </w:r>
      <w:r>
        <w:rPr>
          <w:color w:val="231F20"/>
          <w:w w:val="120"/>
          <w:sz w:val="17"/>
        </w:rPr>
        <w:t>facteur</w:t>
      </w:r>
      <w:r>
        <w:rPr>
          <w:color w:val="231F20"/>
          <w:spacing w:val="-3"/>
          <w:w w:val="120"/>
          <w:sz w:val="17"/>
        </w:rPr>
        <w:t> </w:t>
      </w:r>
      <w:r>
        <w:rPr>
          <w:color w:val="231F20"/>
          <w:w w:val="120"/>
          <w:sz w:val="17"/>
        </w:rPr>
        <w:t>qui</w:t>
      </w:r>
      <w:r>
        <w:rPr>
          <w:color w:val="231F20"/>
          <w:spacing w:val="-3"/>
          <w:w w:val="120"/>
          <w:sz w:val="17"/>
        </w:rPr>
        <w:t> </w:t>
      </w:r>
      <w:r>
        <w:rPr>
          <w:color w:val="231F20"/>
          <w:w w:val="120"/>
          <w:sz w:val="17"/>
        </w:rPr>
        <w:t>produit</w:t>
      </w:r>
      <w:r>
        <w:rPr>
          <w:color w:val="231F20"/>
          <w:spacing w:val="-3"/>
          <w:w w:val="120"/>
          <w:sz w:val="17"/>
        </w:rPr>
        <w:t> </w:t>
      </w:r>
      <w:r>
        <w:rPr>
          <w:color w:val="231F20"/>
          <w:w w:val="120"/>
          <w:sz w:val="17"/>
        </w:rPr>
        <w:t>des</w:t>
      </w:r>
      <w:r>
        <w:rPr>
          <w:color w:val="231F20"/>
          <w:spacing w:val="-3"/>
          <w:w w:val="120"/>
          <w:sz w:val="17"/>
        </w:rPr>
        <w:t> </w:t>
      </w:r>
      <w:r>
        <w:rPr>
          <w:color w:val="231F20"/>
          <w:w w:val="120"/>
          <w:sz w:val="17"/>
        </w:rPr>
        <w:t>résultats</w:t>
      </w:r>
      <w:r>
        <w:rPr>
          <w:color w:val="231F20"/>
          <w:spacing w:val="-3"/>
          <w:w w:val="120"/>
          <w:sz w:val="17"/>
        </w:rPr>
        <w:t> </w:t>
      </w:r>
      <w:r>
        <w:rPr>
          <w:color w:val="231F20"/>
          <w:w w:val="120"/>
          <w:sz w:val="17"/>
        </w:rPr>
        <w:t>négatifs.</w:t>
      </w:r>
      <w:r>
        <w:rPr>
          <w:color w:val="231F20"/>
          <w:spacing w:val="-3"/>
          <w:w w:val="120"/>
          <w:sz w:val="17"/>
        </w:rPr>
        <w:t> </w:t>
      </w:r>
      <w:r>
        <w:rPr>
          <w:color w:val="231F20"/>
          <w:w w:val="120"/>
          <w:sz w:val="17"/>
        </w:rPr>
        <w:t>Les</w:t>
      </w:r>
      <w:r>
        <w:rPr>
          <w:color w:val="231F20"/>
          <w:spacing w:val="-3"/>
          <w:w w:val="120"/>
          <w:sz w:val="17"/>
        </w:rPr>
        <w:t> </w:t>
      </w:r>
      <w:r>
        <w:rPr>
          <w:color w:val="231F20"/>
          <w:w w:val="120"/>
          <w:sz w:val="17"/>
        </w:rPr>
        <w:t>spécia- </w:t>
      </w:r>
      <w:r>
        <w:rPr>
          <w:color w:val="231F20"/>
          <w:w w:val="115"/>
          <w:sz w:val="17"/>
        </w:rPr>
        <w:t>listes</w:t>
      </w:r>
      <w:r>
        <w:rPr>
          <w:color w:val="231F20"/>
          <w:spacing w:val="-13"/>
          <w:w w:val="115"/>
          <w:sz w:val="17"/>
        </w:rPr>
        <w:t> </w:t>
      </w:r>
      <w:r>
        <w:rPr>
          <w:color w:val="231F20"/>
          <w:w w:val="115"/>
          <w:sz w:val="17"/>
        </w:rPr>
        <w:t>en</w:t>
      </w:r>
      <w:r>
        <w:rPr>
          <w:color w:val="231F20"/>
          <w:spacing w:val="-5"/>
          <w:w w:val="115"/>
          <w:sz w:val="17"/>
        </w:rPr>
        <w:t> </w:t>
      </w:r>
      <w:r>
        <w:rPr>
          <w:color w:val="231F20"/>
          <w:w w:val="115"/>
          <w:sz w:val="17"/>
        </w:rPr>
        <w:t>santé</w:t>
      </w:r>
      <w:r>
        <w:rPr>
          <w:color w:val="231F20"/>
          <w:spacing w:val="-1"/>
          <w:w w:val="115"/>
          <w:sz w:val="17"/>
        </w:rPr>
        <w:t> </w:t>
      </w:r>
      <w:r>
        <w:rPr>
          <w:color w:val="231F20"/>
          <w:w w:val="115"/>
          <w:sz w:val="17"/>
        </w:rPr>
        <w:t>mentale</w:t>
      </w:r>
      <w:r>
        <w:rPr>
          <w:color w:val="231F20"/>
          <w:spacing w:val="-1"/>
          <w:w w:val="115"/>
          <w:sz w:val="17"/>
        </w:rPr>
        <w:t> </w:t>
      </w:r>
      <w:r>
        <w:rPr>
          <w:color w:val="231F20"/>
          <w:w w:val="115"/>
          <w:sz w:val="17"/>
        </w:rPr>
        <w:t>estiment</w:t>
      </w:r>
      <w:r>
        <w:rPr>
          <w:color w:val="231F20"/>
          <w:spacing w:val="-1"/>
          <w:w w:val="115"/>
          <w:sz w:val="17"/>
        </w:rPr>
        <w:t> </w:t>
      </w:r>
      <w:r>
        <w:rPr>
          <w:color w:val="231F20"/>
          <w:w w:val="115"/>
          <w:sz w:val="17"/>
        </w:rPr>
        <w:t>que</w:t>
      </w:r>
      <w:r>
        <w:rPr>
          <w:color w:val="231F20"/>
          <w:spacing w:val="-1"/>
          <w:w w:val="115"/>
          <w:sz w:val="17"/>
        </w:rPr>
        <w:t> </w:t>
      </w:r>
      <w:r>
        <w:rPr>
          <w:color w:val="231F20"/>
          <w:w w:val="115"/>
          <w:sz w:val="17"/>
        </w:rPr>
        <w:t>10</w:t>
      </w:r>
      <w:r>
        <w:rPr>
          <w:color w:val="231F20"/>
          <w:spacing w:val="-13"/>
          <w:w w:val="115"/>
          <w:sz w:val="17"/>
        </w:rPr>
        <w:t> </w:t>
      </w:r>
      <w:r>
        <w:rPr>
          <w:color w:val="231F20"/>
          <w:w w:val="115"/>
          <w:sz w:val="17"/>
        </w:rPr>
        <w:t>% des</w:t>
      </w:r>
      <w:r>
        <w:rPr>
          <w:color w:val="231F20"/>
          <w:spacing w:val="-1"/>
          <w:w w:val="115"/>
          <w:sz w:val="17"/>
        </w:rPr>
        <w:t> </w:t>
      </w:r>
      <w:r>
        <w:rPr>
          <w:color w:val="231F20"/>
          <w:w w:val="115"/>
          <w:sz w:val="17"/>
        </w:rPr>
        <w:t>travailleurs</w:t>
      </w:r>
      <w:r>
        <w:rPr>
          <w:color w:val="231F20"/>
          <w:spacing w:val="-1"/>
          <w:w w:val="115"/>
          <w:sz w:val="17"/>
        </w:rPr>
        <w:t> </w:t>
      </w:r>
      <w:r>
        <w:rPr>
          <w:color w:val="231F20"/>
          <w:w w:val="115"/>
          <w:sz w:val="17"/>
        </w:rPr>
        <w:t>souffrent </w:t>
      </w:r>
      <w:r>
        <w:rPr>
          <w:color w:val="231F20"/>
          <w:w w:val="120"/>
          <w:sz w:val="17"/>
        </w:rPr>
        <w:t>de</w:t>
      </w:r>
      <w:r>
        <w:rPr>
          <w:color w:val="231F20"/>
          <w:spacing w:val="-15"/>
          <w:w w:val="120"/>
          <w:sz w:val="17"/>
        </w:rPr>
        <w:t> </w:t>
      </w:r>
      <w:r>
        <w:rPr>
          <w:color w:val="231F20"/>
          <w:w w:val="120"/>
          <w:sz w:val="17"/>
        </w:rPr>
        <w:t>dépression</w:t>
      </w:r>
      <w:r>
        <w:rPr>
          <w:color w:val="231F20"/>
          <w:spacing w:val="-13"/>
          <w:w w:val="120"/>
          <w:sz w:val="17"/>
        </w:rPr>
        <w:t> </w:t>
      </w:r>
      <w:r>
        <w:rPr>
          <w:color w:val="231F20"/>
          <w:w w:val="120"/>
          <w:sz w:val="17"/>
        </w:rPr>
        <w:t>ou</w:t>
      </w:r>
      <w:r>
        <w:rPr>
          <w:color w:val="231F20"/>
          <w:spacing w:val="-13"/>
          <w:w w:val="120"/>
          <w:sz w:val="17"/>
        </w:rPr>
        <w:t> </w:t>
      </w:r>
      <w:r>
        <w:rPr>
          <w:color w:val="231F20"/>
          <w:w w:val="120"/>
          <w:sz w:val="17"/>
        </w:rPr>
        <w:t>d’un</w:t>
      </w:r>
      <w:r>
        <w:rPr>
          <w:color w:val="231F20"/>
          <w:spacing w:val="-12"/>
          <w:w w:val="120"/>
          <w:sz w:val="17"/>
        </w:rPr>
        <w:t> </w:t>
      </w:r>
      <w:r>
        <w:rPr>
          <w:color w:val="231F20"/>
          <w:w w:val="120"/>
          <w:sz w:val="17"/>
        </w:rPr>
        <w:t>niveau</w:t>
      </w:r>
      <w:r>
        <w:rPr>
          <w:color w:val="231F20"/>
          <w:spacing w:val="-13"/>
          <w:w w:val="120"/>
          <w:sz w:val="17"/>
        </w:rPr>
        <w:t> </w:t>
      </w:r>
      <w:r>
        <w:rPr>
          <w:color w:val="231F20"/>
          <w:w w:val="120"/>
          <w:sz w:val="17"/>
        </w:rPr>
        <w:t>élevé</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stress,</w:t>
      </w:r>
      <w:r>
        <w:rPr>
          <w:color w:val="231F20"/>
          <w:spacing w:val="-12"/>
          <w:w w:val="120"/>
          <w:sz w:val="17"/>
        </w:rPr>
        <w:t> </w:t>
      </w:r>
      <w:r>
        <w:rPr>
          <w:color w:val="231F20"/>
          <w:w w:val="120"/>
          <w:sz w:val="17"/>
        </w:rPr>
        <w:t>ce</w:t>
      </w:r>
      <w:r>
        <w:rPr>
          <w:color w:val="231F20"/>
          <w:spacing w:val="-13"/>
          <w:w w:val="120"/>
          <w:sz w:val="17"/>
        </w:rPr>
        <w:t> </w:t>
      </w:r>
      <w:r>
        <w:rPr>
          <w:color w:val="231F20"/>
          <w:w w:val="120"/>
          <w:sz w:val="17"/>
        </w:rPr>
        <w:t>qui</w:t>
      </w:r>
      <w:r>
        <w:rPr>
          <w:color w:val="231F20"/>
          <w:spacing w:val="-13"/>
          <w:w w:val="120"/>
          <w:sz w:val="17"/>
        </w:rPr>
        <w:t> </w:t>
      </w:r>
      <w:r>
        <w:rPr>
          <w:color w:val="231F20"/>
          <w:w w:val="120"/>
          <w:sz w:val="17"/>
        </w:rPr>
        <w:t>finit</w:t>
      </w:r>
      <w:r>
        <w:rPr>
          <w:color w:val="231F20"/>
          <w:spacing w:val="-13"/>
          <w:w w:val="120"/>
          <w:sz w:val="17"/>
        </w:rPr>
        <w:t> </w:t>
      </w:r>
      <w:r>
        <w:rPr>
          <w:color w:val="231F20"/>
          <w:w w:val="120"/>
          <w:sz w:val="17"/>
        </w:rPr>
        <w:t>par</w:t>
      </w:r>
      <w:r>
        <w:rPr>
          <w:color w:val="231F20"/>
          <w:spacing w:val="-12"/>
          <w:w w:val="120"/>
          <w:sz w:val="17"/>
        </w:rPr>
        <w:t> </w:t>
      </w:r>
      <w:r>
        <w:rPr>
          <w:color w:val="231F20"/>
          <w:w w:val="120"/>
          <w:sz w:val="17"/>
        </w:rPr>
        <w:t>nuire à leur rendement.</w:t>
      </w:r>
    </w:p>
    <w:p>
      <w:pPr>
        <w:pStyle w:val="ListParagraph"/>
        <w:numPr>
          <w:ilvl w:val="0"/>
          <w:numId w:val="13"/>
        </w:numPr>
        <w:tabs>
          <w:tab w:pos="1291" w:val="left" w:leader="none"/>
        </w:tabs>
        <w:spacing w:line="307" w:lineRule="auto" w:before="78" w:after="0"/>
        <w:ind w:left="1290" w:right="634" w:hanging="251"/>
        <w:jc w:val="both"/>
        <w:rPr>
          <w:sz w:val="17"/>
        </w:rPr>
      </w:pPr>
      <w:r>
        <w:rPr>
          <w:color w:val="231F20"/>
          <w:w w:val="115"/>
          <w:sz w:val="17"/>
        </w:rPr>
        <w:t>Le</w:t>
      </w:r>
      <w:r>
        <w:rPr>
          <w:color w:val="231F20"/>
          <w:spacing w:val="-6"/>
          <w:w w:val="115"/>
          <w:sz w:val="17"/>
        </w:rPr>
        <w:t> </w:t>
      </w:r>
      <w:r>
        <w:rPr>
          <w:color w:val="231F20"/>
          <w:w w:val="115"/>
          <w:sz w:val="17"/>
        </w:rPr>
        <w:t>stress</w:t>
      </w:r>
      <w:r>
        <w:rPr>
          <w:color w:val="231F20"/>
          <w:spacing w:val="-6"/>
          <w:w w:val="115"/>
          <w:sz w:val="17"/>
        </w:rPr>
        <w:t> </w:t>
      </w:r>
      <w:r>
        <w:rPr>
          <w:color w:val="231F20"/>
          <w:w w:val="115"/>
          <w:sz w:val="17"/>
        </w:rPr>
        <w:t>a</w:t>
      </w:r>
      <w:r>
        <w:rPr>
          <w:color w:val="231F20"/>
          <w:spacing w:val="-6"/>
          <w:w w:val="115"/>
          <w:sz w:val="17"/>
        </w:rPr>
        <w:t> </w:t>
      </w:r>
      <w:r>
        <w:rPr>
          <w:color w:val="231F20"/>
          <w:w w:val="115"/>
          <w:sz w:val="17"/>
        </w:rPr>
        <w:t>d’énormes</w:t>
      </w:r>
      <w:r>
        <w:rPr>
          <w:color w:val="231F20"/>
          <w:spacing w:val="-6"/>
          <w:w w:val="115"/>
          <w:sz w:val="17"/>
        </w:rPr>
        <w:t> </w:t>
      </w:r>
      <w:r>
        <w:rPr>
          <w:color w:val="231F20"/>
          <w:w w:val="115"/>
          <w:sz w:val="17"/>
        </w:rPr>
        <w:t>coûts</w:t>
      </w:r>
      <w:r>
        <w:rPr>
          <w:color w:val="231F20"/>
          <w:spacing w:val="-6"/>
          <w:w w:val="115"/>
          <w:sz w:val="17"/>
        </w:rPr>
        <w:t> </w:t>
      </w:r>
      <w:r>
        <w:rPr>
          <w:color w:val="231F20"/>
          <w:w w:val="115"/>
          <w:sz w:val="17"/>
        </w:rPr>
        <w:t>sociaux</w:t>
      </w:r>
      <w:r>
        <w:rPr>
          <w:color w:val="231F20"/>
          <w:spacing w:val="-6"/>
          <w:w w:val="115"/>
          <w:sz w:val="17"/>
        </w:rPr>
        <w:t> </w:t>
      </w:r>
      <w:r>
        <w:rPr>
          <w:color w:val="231F20"/>
          <w:w w:val="115"/>
          <w:sz w:val="17"/>
        </w:rPr>
        <w:t>et</w:t>
      </w:r>
      <w:r>
        <w:rPr>
          <w:color w:val="231F20"/>
          <w:spacing w:val="-6"/>
          <w:w w:val="115"/>
          <w:sz w:val="17"/>
        </w:rPr>
        <w:t> </w:t>
      </w:r>
      <w:r>
        <w:rPr>
          <w:color w:val="231F20"/>
          <w:w w:val="115"/>
          <w:sz w:val="17"/>
        </w:rPr>
        <w:t>économiques;</w:t>
      </w:r>
      <w:r>
        <w:rPr>
          <w:color w:val="231F20"/>
          <w:spacing w:val="-6"/>
          <w:w w:val="115"/>
          <w:sz w:val="17"/>
        </w:rPr>
        <w:t> </w:t>
      </w:r>
      <w:r>
        <w:rPr>
          <w:color w:val="231F20"/>
          <w:w w:val="115"/>
          <w:sz w:val="17"/>
        </w:rPr>
        <w:t>on</w:t>
      </w:r>
      <w:r>
        <w:rPr>
          <w:color w:val="231F20"/>
          <w:spacing w:val="-6"/>
          <w:w w:val="115"/>
          <w:sz w:val="17"/>
        </w:rPr>
        <w:t> </w:t>
      </w:r>
      <w:r>
        <w:rPr>
          <w:color w:val="231F20"/>
          <w:w w:val="115"/>
          <w:sz w:val="17"/>
        </w:rPr>
        <w:t>estime</w:t>
      </w:r>
      <w:r>
        <w:rPr>
          <w:color w:val="231F20"/>
          <w:spacing w:val="-6"/>
          <w:w w:val="115"/>
          <w:sz w:val="17"/>
        </w:rPr>
        <w:t> </w:t>
      </w:r>
      <w:r>
        <w:rPr>
          <w:color w:val="231F20"/>
          <w:w w:val="115"/>
          <w:sz w:val="17"/>
        </w:rPr>
        <w:t>que </w:t>
      </w:r>
      <w:r>
        <w:rPr>
          <w:color w:val="231F20"/>
          <w:w w:val="120"/>
          <w:sz w:val="17"/>
        </w:rPr>
        <w:t>les</w:t>
      </w:r>
      <w:r>
        <w:rPr>
          <w:color w:val="231F20"/>
          <w:spacing w:val="-5"/>
          <w:w w:val="120"/>
          <w:sz w:val="17"/>
        </w:rPr>
        <w:t> </w:t>
      </w:r>
      <w:r>
        <w:rPr>
          <w:color w:val="231F20"/>
          <w:w w:val="120"/>
          <w:sz w:val="17"/>
        </w:rPr>
        <w:t>dépenses</w:t>
      </w:r>
      <w:r>
        <w:rPr>
          <w:color w:val="231F20"/>
          <w:spacing w:val="-5"/>
          <w:w w:val="120"/>
          <w:sz w:val="17"/>
        </w:rPr>
        <w:t> </w:t>
      </w:r>
      <w:r>
        <w:rPr>
          <w:color w:val="231F20"/>
          <w:w w:val="120"/>
          <w:sz w:val="17"/>
        </w:rPr>
        <w:t>occasionnées</w:t>
      </w:r>
      <w:r>
        <w:rPr>
          <w:color w:val="231F20"/>
          <w:spacing w:val="-5"/>
          <w:w w:val="120"/>
          <w:sz w:val="17"/>
        </w:rPr>
        <w:t> </w:t>
      </w:r>
      <w:r>
        <w:rPr>
          <w:color w:val="231F20"/>
          <w:w w:val="120"/>
          <w:sz w:val="17"/>
        </w:rPr>
        <w:t>par</w:t>
      </w:r>
      <w:r>
        <w:rPr>
          <w:color w:val="231F20"/>
          <w:spacing w:val="-5"/>
          <w:w w:val="120"/>
          <w:sz w:val="17"/>
        </w:rPr>
        <w:t> </w:t>
      </w:r>
      <w:r>
        <w:rPr>
          <w:color w:val="231F20"/>
          <w:w w:val="120"/>
          <w:sz w:val="17"/>
        </w:rPr>
        <w:t>les</w:t>
      </w:r>
      <w:r>
        <w:rPr>
          <w:color w:val="231F20"/>
          <w:spacing w:val="-5"/>
          <w:w w:val="120"/>
          <w:sz w:val="17"/>
        </w:rPr>
        <w:t> </w:t>
      </w:r>
      <w:r>
        <w:rPr>
          <w:color w:val="231F20"/>
          <w:w w:val="120"/>
          <w:sz w:val="17"/>
        </w:rPr>
        <w:t>maladies</w:t>
      </w:r>
      <w:r>
        <w:rPr>
          <w:color w:val="231F20"/>
          <w:spacing w:val="-5"/>
          <w:w w:val="120"/>
          <w:sz w:val="17"/>
        </w:rPr>
        <w:t> </w:t>
      </w:r>
      <w:r>
        <w:rPr>
          <w:color w:val="231F20"/>
          <w:w w:val="120"/>
          <w:sz w:val="17"/>
        </w:rPr>
        <w:t>liées</w:t>
      </w:r>
      <w:r>
        <w:rPr>
          <w:color w:val="231F20"/>
          <w:spacing w:val="-5"/>
          <w:w w:val="120"/>
          <w:sz w:val="17"/>
        </w:rPr>
        <w:t> </w:t>
      </w:r>
      <w:r>
        <w:rPr>
          <w:color w:val="231F20"/>
          <w:w w:val="120"/>
          <w:sz w:val="17"/>
        </w:rPr>
        <w:t>au</w:t>
      </w:r>
      <w:r>
        <w:rPr>
          <w:color w:val="231F20"/>
          <w:spacing w:val="-5"/>
          <w:w w:val="120"/>
          <w:sz w:val="17"/>
        </w:rPr>
        <w:t> </w:t>
      </w:r>
      <w:r>
        <w:rPr>
          <w:color w:val="231F20"/>
          <w:w w:val="120"/>
          <w:sz w:val="17"/>
        </w:rPr>
        <w:t>stress</w:t>
      </w:r>
      <w:r>
        <w:rPr>
          <w:color w:val="231F20"/>
          <w:spacing w:val="-5"/>
          <w:w w:val="120"/>
          <w:sz w:val="17"/>
        </w:rPr>
        <w:t> </w:t>
      </w:r>
      <w:r>
        <w:rPr>
          <w:color w:val="231F20"/>
          <w:w w:val="120"/>
          <w:sz w:val="17"/>
        </w:rPr>
        <w:t>au</w:t>
      </w:r>
      <w:r>
        <w:rPr>
          <w:color w:val="231F20"/>
          <w:spacing w:val="-5"/>
          <w:w w:val="120"/>
          <w:sz w:val="17"/>
        </w:rPr>
        <w:t> </w:t>
      </w:r>
      <w:r>
        <w:rPr>
          <w:color w:val="231F20"/>
          <w:w w:val="120"/>
          <w:sz w:val="17"/>
        </w:rPr>
        <w:t>tra- </w:t>
      </w:r>
      <w:r>
        <w:rPr>
          <w:color w:val="231F20"/>
          <w:spacing w:val="-2"/>
          <w:w w:val="120"/>
          <w:sz w:val="17"/>
        </w:rPr>
        <w:t>vail</w:t>
      </w:r>
      <w:r>
        <w:rPr>
          <w:color w:val="231F20"/>
          <w:spacing w:val="-8"/>
          <w:w w:val="120"/>
          <w:sz w:val="17"/>
        </w:rPr>
        <w:t> </w:t>
      </w:r>
      <w:r>
        <w:rPr>
          <w:color w:val="231F20"/>
          <w:spacing w:val="-2"/>
          <w:w w:val="120"/>
          <w:sz w:val="17"/>
        </w:rPr>
        <w:t>atteignent</w:t>
      </w:r>
      <w:r>
        <w:rPr>
          <w:color w:val="231F20"/>
          <w:spacing w:val="-8"/>
          <w:w w:val="120"/>
          <w:sz w:val="17"/>
        </w:rPr>
        <w:t> </w:t>
      </w:r>
      <w:r>
        <w:rPr>
          <w:color w:val="231F20"/>
          <w:spacing w:val="-2"/>
          <w:w w:val="120"/>
          <w:sz w:val="17"/>
        </w:rPr>
        <w:t>25,4</w:t>
      </w:r>
      <w:r>
        <w:rPr>
          <w:color w:val="231F20"/>
          <w:spacing w:val="-8"/>
          <w:w w:val="120"/>
          <w:sz w:val="17"/>
        </w:rPr>
        <w:t> </w:t>
      </w:r>
      <w:r>
        <w:rPr>
          <w:color w:val="231F20"/>
          <w:spacing w:val="-2"/>
          <w:w w:val="120"/>
          <w:sz w:val="17"/>
        </w:rPr>
        <w:t>milliards</w:t>
      </w:r>
      <w:r>
        <w:rPr>
          <w:color w:val="231F20"/>
          <w:spacing w:val="-8"/>
          <w:w w:val="120"/>
          <w:sz w:val="17"/>
        </w:rPr>
        <w:t> </w:t>
      </w:r>
      <w:r>
        <w:rPr>
          <w:color w:val="231F20"/>
          <w:spacing w:val="-2"/>
          <w:w w:val="120"/>
          <w:sz w:val="17"/>
        </w:rPr>
        <w:t>d’euros</w:t>
      </w:r>
      <w:r>
        <w:rPr>
          <w:color w:val="231F20"/>
          <w:spacing w:val="-8"/>
          <w:w w:val="120"/>
          <w:sz w:val="17"/>
        </w:rPr>
        <w:t> </w:t>
      </w:r>
      <w:r>
        <w:rPr>
          <w:color w:val="231F20"/>
          <w:spacing w:val="-2"/>
          <w:w w:val="120"/>
          <w:sz w:val="17"/>
        </w:rPr>
        <w:t>par</w:t>
      </w:r>
      <w:r>
        <w:rPr>
          <w:color w:val="231F20"/>
          <w:spacing w:val="-8"/>
          <w:w w:val="120"/>
          <w:sz w:val="17"/>
        </w:rPr>
        <w:t> </w:t>
      </w:r>
      <w:r>
        <w:rPr>
          <w:color w:val="231F20"/>
          <w:spacing w:val="-2"/>
          <w:w w:val="120"/>
          <w:sz w:val="17"/>
        </w:rPr>
        <w:t>an</w:t>
      </w:r>
      <w:r>
        <w:rPr>
          <w:color w:val="231F20"/>
          <w:spacing w:val="-8"/>
          <w:w w:val="120"/>
          <w:sz w:val="17"/>
        </w:rPr>
        <w:t> </w:t>
      </w:r>
      <w:r>
        <w:rPr>
          <w:color w:val="231F20"/>
          <w:spacing w:val="-2"/>
          <w:w w:val="120"/>
          <w:sz w:val="17"/>
        </w:rPr>
        <w:t>en</w:t>
      </w:r>
      <w:r>
        <w:rPr>
          <w:color w:val="231F20"/>
          <w:spacing w:val="-8"/>
          <w:w w:val="120"/>
          <w:sz w:val="17"/>
        </w:rPr>
        <w:t> </w:t>
      </w:r>
      <w:r>
        <w:rPr>
          <w:color w:val="231F20"/>
          <w:spacing w:val="-2"/>
          <w:w w:val="120"/>
          <w:sz w:val="17"/>
        </w:rPr>
        <w:t>Europe,</w:t>
      </w:r>
      <w:r>
        <w:rPr>
          <w:color w:val="231F20"/>
          <w:spacing w:val="-8"/>
          <w:w w:val="120"/>
          <w:sz w:val="17"/>
        </w:rPr>
        <w:t> </w:t>
      </w:r>
      <w:r>
        <w:rPr>
          <w:color w:val="231F20"/>
          <w:spacing w:val="-2"/>
          <w:w w:val="120"/>
          <w:sz w:val="17"/>
        </w:rPr>
        <w:t>entre</w:t>
      </w:r>
      <w:r>
        <w:rPr>
          <w:color w:val="231F20"/>
          <w:spacing w:val="-8"/>
          <w:w w:val="120"/>
          <w:sz w:val="17"/>
        </w:rPr>
        <w:t> </w:t>
      </w:r>
      <w:r>
        <w:rPr>
          <w:color w:val="231F20"/>
          <w:spacing w:val="-2"/>
          <w:w w:val="120"/>
          <w:sz w:val="17"/>
        </w:rPr>
        <w:t>17</w:t>
      </w:r>
      <w:r>
        <w:rPr>
          <w:color w:val="231F20"/>
          <w:spacing w:val="-8"/>
          <w:w w:val="120"/>
          <w:sz w:val="17"/>
        </w:rPr>
        <w:t> </w:t>
      </w:r>
      <w:r>
        <w:rPr>
          <w:color w:val="231F20"/>
          <w:spacing w:val="-2"/>
          <w:w w:val="120"/>
          <w:sz w:val="17"/>
        </w:rPr>
        <w:t>et </w:t>
      </w:r>
      <w:r>
        <w:rPr>
          <w:color w:val="231F20"/>
          <w:w w:val="120"/>
          <w:sz w:val="17"/>
        </w:rPr>
        <w:t>36 milliards de dollars au Canada et 300 milliards de dollars</w:t>
      </w:r>
      <w:r>
        <w:rPr>
          <w:color w:val="231F20"/>
          <w:spacing w:val="40"/>
          <w:w w:val="120"/>
          <w:sz w:val="17"/>
        </w:rPr>
        <w:t> </w:t>
      </w:r>
      <w:r>
        <w:rPr>
          <w:color w:val="231F20"/>
          <w:w w:val="120"/>
          <w:sz w:val="17"/>
        </w:rPr>
        <w:t>aux</w:t>
      </w:r>
      <w:r>
        <w:rPr>
          <w:color w:val="231F20"/>
          <w:spacing w:val="-13"/>
          <w:w w:val="120"/>
          <w:sz w:val="17"/>
        </w:rPr>
        <w:t> </w:t>
      </w:r>
      <w:r>
        <w:rPr>
          <w:color w:val="231F20"/>
          <w:w w:val="120"/>
          <w:sz w:val="17"/>
        </w:rPr>
        <w:t>États-Unis15.</w:t>
      </w:r>
    </w:p>
    <w:p>
      <w:pPr>
        <w:pStyle w:val="BodyText"/>
        <w:rPr>
          <w:sz w:val="20"/>
        </w:rPr>
      </w:pPr>
    </w:p>
    <w:p>
      <w:pPr>
        <w:pStyle w:val="BodyText"/>
        <w:rPr>
          <w:sz w:val="20"/>
        </w:rPr>
      </w:pPr>
    </w:p>
    <w:p>
      <w:pPr>
        <w:pStyle w:val="BodyText"/>
        <w:rPr>
          <w:sz w:val="15"/>
        </w:rPr>
      </w:pPr>
      <w:r>
        <w:rPr/>
        <w:pict>
          <v:shape style="position:absolute;margin-left:62.5pt;margin-top:9.856494pt;width:287.5pt;height:.1pt;mso-position-horizontal-relative:page;mso-position-vertical-relative:paragraph;z-index:-15712768;mso-wrap-distance-left:0;mso-wrap-distance-right:0" id="docshape99" coordorigin="1250,197" coordsize="5750,0" path="m1250,197l7000,197e" filled="false" stroked="true" strokeweight=".25pt" strokecolor="#231f20">
            <v:path arrowok="t"/>
            <v:stroke dashstyle="shortdot"/>
            <w10:wrap type="topAndBottom"/>
          </v:shape>
        </w:pict>
      </w:r>
    </w:p>
    <w:p>
      <w:pPr>
        <w:pStyle w:val="ListParagraph"/>
        <w:numPr>
          <w:ilvl w:val="0"/>
          <w:numId w:val="12"/>
        </w:numPr>
        <w:tabs>
          <w:tab w:pos="790" w:val="left" w:leader="none"/>
        </w:tabs>
        <w:spacing w:line="295" w:lineRule="auto" w:before="135" w:after="0"/>
        <w:ind w:left="789" w:right="637" w:hanging="406"/>
        <w:jc w:val="both"/>
        <w:rPr>
          <w:rFonts w:ascii="Arial" w:hAnsi="Arial"/>
          <w:sz w:val="12"/>
        </w:rPr>
      </w:pPr>
      <w:r>
        <w:rPr>
          <w:rFonts w:ascii="Arial" w:hAnsi="Arial"/>
          <w:color w:val="231F20"/>
          <w:spacing w:val="-2"/>
          <w:sz w:val="12"/>
        </w:rPr>
        <w:t>Rapport de la sixième enquête européenne sur les conditions de travail – synthèse exécutive (2015). Fondation</w:t>
      </w:r>
      <w:r>
        <w:rPr>
          <w:rFonts w:ascii="Arial" w:hAnsi="Arial"/>
          <w:color w:val="231F20"/>
          <w:spacing w:val="40"/>
          <w:sz w:val="12"/>
        </w:rPr>
        <w:t> </w:t>
      </w:r>
      <w:r>
        <w:rPr>
          <w:rFonts w:ascii="Arial" w:hAnsi="Arial"/>
          <w:color w:val="231F20"/>
          <w:sz w:val="12"/>
        </w:rPr>
        <w:t>européenne pour l’amélioration des conditions de vie et de travail.</w:t>
      </w:r>
    </w:p>
    <w:p>
      <w:pPr>
        <w:pStyle w:val="ListParagraph"/>
        <w:numPr>
          <w:ilvl w:val="0"/>
          <w:numId w:val="12"/>
        </w:numPr>
        <w:tabs>
          <w:tab w:pos="790" w:val="left" w:leader="none"/>
        </w:tabs>
        <w:spacing w:line="295" w:lineRule="auto" w:before="0" w:after="0"/>
        <w:ind w:left="789" w:right="635" w:hanging="406"/>
        <w:jc w:val="both"/>
        <w:rPr>
          <w:rFonts w:ascii="Arial" w:hAnsi="Arial"/>
          <w:sz w:val="12"/>
        </w:rPr>
      </w:pPr>
      <w:r>
        <w:rPr>
          <w:rFonts w:ascii="Arial" w:hAnsi="Arial"/>
          <w:color w:val="231F20"/>
          <w:sz w:val="12"/>
        </w:rPr>
        <w:t>Hassard,</w:t>
      </w:r>
      <w:r>
        <w:rPr>
          <w:rFonts w:ascii="Arial" w:hAnsi="Arial"/>
          <w:color w:val="231F20"/>
          <w:spacing w:val="-3"/>
          <w:sz w:val="12"/>
        </w:rPr>
        <w:t> </w:t>
      </w:r>
      <w:r>
        <w:rPr>
          <w:rFonts w:ascii="Arial" w:hAnsi="Arial"/>
          <w:color w:val="231F20"/>
          <w:sz w:val="12"/>
        </w:rPr>
        <w:t>J.,</w:t>
      </w:r>
      <w:r>
        <w:rPr>
          <w:rFonts w:ascii="Arial" w:hAnsi="Arial"/>
          <w:color w:val="231F20"/>
          <w:spacing w:val="-3"/>
          <w:sz w:val="12"/>
        </w:rPr>
        <w:t> </w:t>
      </w:r>
      <w:r>
        <w:rPr>
          <w:rFonts w:ascii="Arial" w:hAnsi="Arial"/>
          <w:color w:val="231F20"/>
          <w:sz w:val="12"/>
        </w:rPr>
        <w:t>Teoh,</w:t>
      </w:r>
      <w:r>
        <w:rPr>
          <w:rFonts w:ascii="Arial" w:hAnsi="Arial"/>
          <w:color w:val="231F20"/>
          <w:spacing w:val="-3"/>
          <w:sz w:val="12"/>
        </w:rPr>
        <w:t> </w:t>
      </w:r>
      <w:r>
        <w:rPr>
          <w:rFonts w:ascii="Arial" w:hAnsi="Arial"/>
          <w:color w:val="231F20"/>
          <w:sz w:val="12"/>
        </w:rPr>
        <w:t>K.,</w:t>
      </w:r>
      <w:r>
        <w:rPr>
          <w:rFonts w:ascii="Arial" w:hAnsi="Arial"/>
          <w:color w:val="231F20"/>
          <w:spacing w:val="-3"/>
          <w:sz w:val="12"/>
        </w:rPr>
        <w:t> </w:t>
      </w:r>
      <w:r>
        <w:rPr>
          <w:rFonts w:ascii="Arial" w:hAnsi="Arial"/>
          <w:color w:val="231F20"/>
          <w:sz w:val="12"/>
        </w:rPr>
        <w:t>Cox,</w:t>
      </w:r>
      <w:r>
        <w:rPr>
          <w:rFonts w:ascii="Arial" w:hAnsi="Arial"/>
          <w:color w:val="231F20"/>
          <w:spacing w:val="-3"/>
          <w:sz w:val="12"/>
        </w:rPr>
        <w:t> </w:t>
      </w:r>
      <w:r>
        <w:rPr>
          <w:rFonts w:ascii="Arial" w:hAnsi="Arial"/>
          <w:color w:val="231F20"/>
          <w:sz w:val="12"/>
        </w:rPr>
        <w:t>T.,</w:t>
      </w:r>
      <w:r>
        <w:rPr>
          <w:rFonts w:ascii="Arial" w:hAnsi="Arial"/>
          <w:color w:val="231F20"/>
          <w:spacing w:val="-3"/>
          <w:sz w:val="12"/>
        </w:rPr>
        <w:t> </w:t>
      </w:r>
      <w:r>
        <w:rPr>
          <w:rFonts w:ascii="Arial" w:hAnsi="Arial"/>
          <w:color w:val="231F20"/>
          <w:sz w:val="12"/>
        </w:rPr>
        <w:t>Dewe,</w:t>
      </w:r>
      <w:r>
        <w:rPr>
          <w:rFonts w:ascii="Arial" w:hAnsi="Arial"/>
          <w:color w:val="231F20"/>
          <w:spacing w:val="-3"/>
          <w:sz w:val="12"/>
        </w:rPr>
        <w:t> </w:t>
      </w:r>
      <w:r>
        <w:rPr>
          <w:rFonts w:ascii="Arial" w:hAnsi="Arial"/>
          <w:color w:val="231F20"/>
          <w:sz w:val="12"/>
        </w:rPr>
        <w:t>P.,</w:t>
      </w:r>
      <w:r>
        <w:rPr>
          <w:rFonts w:ascii="Arial" w:hAnsi="Arial"/>
          <w:color w:val="231F20"/>
          <w:spacing w:val="-3"/>
          <w:sz w:val="12"/>
        </w:rPr>
        <w:t> </w:t>
      </w:r>
      <w:r>
        <w:rPr>
          <w:rFonts w:ascii="Arial" w:hAnsi="Arial"/>
          <w:color w:val="231F20"/>
          <w:sz w:val="12"/>
        </w:rPr>
        <w:t>Cosmar,</w:t>
      </w:r>
      <w:r>
        <w:rPr>
          <w:rFonts w:ascii="Arial" w:hAnsi="Arial"/>
          <w:color w:val="231F20"/>
          <w:spacing w:val="-3"/>
          <w:sz w:val="12"/>
        </w:rPr>
        <w:t> </w:t>
      </w:r>
      <w:r>
        <w:rPr>
          <w:rFonts w:ascii="Arial" w:hAnsi="Arial"/>
          <w:color w:val="231F20"/>
          <w:sz w:val="12"/>
        </w:rPr>
        <w:t>M.,</w:t>
      </w:r>
      <w:r>
        <w:rPr>
          <w:rFonts w:ascii="Arial" w:hAnsi="Arial"/>
          <w:color w:val="231F20"/>
          <w:spacing w:val="-3"/>
          <w:sz w:val="12"/>
        </w:rPr>
        <w:t> </w:t>
      </w:r>
      <w:r>
        <w:rPr>
          <w:rFonts w:ascii="Arial" w:hAnsi="Arial"/>
          <w:color w:val="231F20"/>
          <w:sz w:val="12"/>
        </w:rPr>
        <w:t>Gründler,</w:t>
      </w:r>
      <w:r>
        <w:rPr>
          <w:rFonts w:ascii="Arial" w:hAnsi="Arial"/>
          <w:color w:val="231F20"/>
          <w:spacing w:val="-3"/>
          <w:sz w:val="12"/>
        </w:rPr>
        <w:t> </w:t>
      </w:r>
      <w:r>
        <w:rPr>
          <w:rFonts w:ascii="Arial" w:hAnsi="Arial"/>
          <w:color w:val="231F20"/>
          <w:sz w:val="12"/>
        </w:rPr>
        <w:t>R.,</w:t>
      </w:r>
      <w:r>
        <w:rPr>
          <w:rFonts w:ascii="Arial" w:hAnsi="Arial"/>
          <w:color w:val="231F20"/>
          <w:spacing w:val="-3"/>
          <w:sz w:val="12"/>
        </w:rPr>
        <w:t> </w:t>
      </w:r>
      <w:r>
        <w:rPr>
          <w:rFonts w:ascii="Arial" w:hAnsi="Arial"/>
          <w:color w:val="231F20"/>
          <w:sz w:val="12"/>
        </w:rPr>
        <w:t>Flemming,</w:t>
      </w:r>
      <w:r>
        <w:rPr>
          <w:rFonts w:ascii="Arial" w:hAnsi="Arial"/>
          <w:color w:val="231F20"/>
          <w:spacing w:val="-3"/>
          <w:sz w:val="12"/>
        </w:rPr>
        <w:t> </w:t>
      </w:r>
      <w:r>
        <w:rPr>
          <w:rFonts w:ascii="Arial" w:hAnsi="Arial"/>
          <w:color w:val="231F20"/>
          <w:sz w:val="12"/>
        </w:rPr>
        <w:t>D.,</w:t>
      </w:r>
      <w:r>
        <w:rPr>
          <w:rFonts w:ascii="Arial" w:hAnsi="Arial"/>
          <w:color w:val="231F20"/>
          <w:spacing w:val="-3"/>
          <w:sz w:val="12"/>
        </w:rPr>
        <w:t> </w:t>
      </w:r>
      <w:r>
        <w:rPr>
          <w:rFonts w:ascii="Arial" w:hAnsi="Arial"/>
          <w:color w:val="231F20"/>
          <w:sz w:val="12"/>
        </w:rPr>
        <w:t>Cosemans,</w:t>
      </w:r>
      <w:r>
        <w:rPr>
          <w:rFonts w:ascii="Arial" w:hAnsi="Arial"/>
          <w:color w:val="231F20"/>
          <w:spacing w:val="-3"/>
          <w:sz w:val="12"/>
        </w:rPr>
        <w:t> </w:t>
      </w:r>
      <w:r>
        <w:rPr>
          <w:rFonts w:ascii="Arial" w:hAnsi="Arial"/>
          <w:color w:val="231F20"/>
          <w:sz w:val="12"/>
        </w:rPr>
        <w:t>B.</w:t>
      </w:r>
      <w:r>
        <w:rPr>
          <w:rFonts w:ascii="Arial" w:hAnsi="Arial"/>
          <w:color w:val="231F20"/>
          <w:spacing w:val="-3"/>
          <w:sz w:val="12"/>
        </w:rPr>
        <w:t> </w:t>
      </w:r>
      <w:r>
        <w:rPr>
          <w:rFonts w:ascii="Arial" w:hAnsi="Arial"/>
          <w:color w:val="231F20"/>
          <w:sz w:val="12"/>
        </w:rPr>
        <w:t>et</w:t>
      </w:r>
      <w:r>
        <w:rPr>
          <w:rFonts w:ascii="Arial" w:hAnsi="Arial"/>
          <w:color w:val="231F20"/>
          <w:spacing w:val="-3"/>
          <w:sz w:val="12"/>
        </w:rPr>
        <w:t> </w:t>
      </w:r>
      <w:r>
        <w:rPr>
          <w:rFonts w:ascii="Arial" w:hAnsi="Arial"/>
          <w:color w:val="231F20"/>
          <w:sz w:val="12"/>
        </w:rPr>
        <w:t>Van</w:t>
      </w:r>
      <w:r>
        <w:rPr>
          <w:rFonts w:ascii="Arial" w:hAnsi="Arial"/>
          <w:color w:val="231F20"/>
          <w:spacing w:val="-3"/>
          <w:sz w:val="12"/>
        </w:rPr>
        <w:t> </w:t>
      </w:r>
      <w:r>
        <w:rPr>
          <w:rFonts w:ascii="Arial" w:hAnsi="Arial"/>
          <w:color w:val="231F20"/>
          <w:sz w:val="12"/>
        </w:rPr>
        <w:t>den</w:t>
      </w:r>
      <w:r>
        <w:rPr>
          <w:rFonts w:ascii="Arial" w:hAnsi="Arial"/>
          <w:color w:val="231F20"/>
          <w:spacing w:val="40"/>
          <w:sz w:val="12"/>
        </w:rPr>
        <w:t> </w:t>
      </w:r>
      <w:r>
        <w:rPr>
          <w:rFonts w:ascii="Arial" w:hAnsi="Arial"/>
          <w:color w:val="231F20"/>
          <w:sz w:val="12"/>
        </w:rPr>
        <w:t>Broek,</w:t>
      </w:r>
      <w:r>
        <w:rPr>
          <w:rFonts w:ascii="Arial" w:hAnsi="Arial"/>
          <w:color w:val="231F20"/>
          <w:spacing w:val="-5"/>
          <w:sz w:val="12"/>
        </w:rPr>
        <w:t> </w:t>
      </w:r>
      <w:r>
        <w:rPr>
          <w:rFonts w:ascii="Arial" w:hAnsi="Arial"/>
          <w:color w:val="231F20"/>
          <w:sz w:val="12"/>
        </w:rPr>
        <w:t>K.</w:t>
      </w:r>
      <w:r>
        <w:rPr>
          <w:rFonts w:ascii="Arial" w:hAnsi="Arial"/>
          <w:color w:val="231F20"/>
          <w:spacing w:val="-5"/>
          <w:sz w:val="12"/>
        </w:rPr>
        <w:t> </w:t>
      </w:r>
      <w:r>
        <w:rPr>
          <w:rFonts w:ascii="Arial" w:hAnsi="Arial"/>
          <w:color w:val="231F20"/>
          <w:sz w:val="12"/>
        </w:rPr>
        <w:t>(2014).</w:t>
      </w:r>
      <w:r>
        <w:rPr>
          <w:rFonts w:ascii="Arial" w:hAnsi="Arial"/>
          <w:color w:val="231F20"/>
          <w:spacing w:val="-5"/>
          <w:sz w:val="12"/>
        </w:rPr>
        <w:t> </w:t>
      </w:r>
      <w:r>
        <w:rPr>
          <w:rFonts w:ascii="Arial" w:hAnsi="Arial"/>
          <w:i/>
          <w:color w:val="231F20"/>
          <w:sz w:val="12"/>
        </w:rPr>
        <w:t>Calculating</w:t>
      </w:r>
      <w:r>
        <w:rPr>
          <w:rFonts w:ascii="Arial" w:hAnsi="Arial"/>
          <w:i/>
          <w:color w:val="231F20"/>
          <w:spacing w:val="-5"/>
          <w:sz w:val="12"/>
        </w:rPr>
        <w:t> </w:t>
      </w:r>
      <w:r>
        <w:rPr>
          <w:rFonts w:ascii="Arial" w:hAnsi="Arial"/>
          <w:i/>
          <w:color w:val="231F20"/>
          <w:sz w:val="12"/>
        </w:rPr>
        <w:t>the</w:t>
      </w:r>
      <w:r>
        <w:rPr>
          <w:rFonts w:ascii="Arial" w:hAnsi="Arial"/>
          <w:i/>
          <w:color w:val="231F20"/>
          <w:spacing w:val="-5"/>
          <w:sz w:val="12"/>
        </w:rPr>
        <w:t> </w:t>
      </w:r>
      <w:r>
        <w:rPr>
          <w:rFonts w:ascii="Arial" w:hAnsi="Arial"/>
          <w:i/>
          <w:color w:val="231F20"/>
          <w:sz w:val="12"/>
        </w:rPr>
        <w:t>Cost</w:t>
      </w:r>
      <w:r>
        <w:rPr>
          <w:rFonts w:ascii="Arial" w:hAnsi="Arial"/>
          <w:i/>
          <w:color w:val="231F20"/>
          <w:spacing w:val="-5"/>
          <w:sz w:val="12"/>
        </w:rPr>
        <w:t> </w:t>
      </w:r>
      <w:r>
        <w:rPr>
          <w:rFonts w:ascii="Arial" w:hAnsi="Arial"/>
          <w:i/>
          <w:color w:val="231F20"/>
          <w:sz w:val="12"/>
        </w:rPr>
        <w:t>of</w:t>
      </w:r>
      <w:r>
        <w:rPr>
          <w:rFonts w:ascii="Arial" w:hAnsi="Arial"/>
          <w:i/>
          <w:color w:val="231F20"/>
          <w:spacing w:val="-5"/>
          <w:sz w:val="12"/>
        </w:rPr>
        <w:t> </w:t>
      </w:r>
      <w:r>
        <w:rPr>
          <w:rFonts w:ascii="Arial" w:hAnsi="Arial"/>
          <w:i/>
          <w:color w:val="231F20"/>
          <w:sz w:val="12"/>
        </w:rPr>
        <w:t>Work-Related</w:t>
      </w:r>
      <w:r>
        <w:rPr>
          <w:rFonts w:ascii="Arial" w:hAnsi="Arial"/>
          <w:i/>
          <w:color w:val="231F20"/>
          <w:spacing w:val="-5"/>
          <w:sz w:val="12"/>
        </w:rPr>
        <w:t> </w:t>
      </w:r>
      <w:r>
        <w:rPr>
          <w:rFonts w:ascii="Arial" w:hAnsi="Arial"/>
          <w:i/>
          <w:color w:val="231F20"/>
          <w:sz w:val="12"/>
        </w:rPr>
        <w:t>Stress</w:t>
      </w:r>
      <w:r>
        <w:rPr>
          <w:rFonts w:ascii="Arial" w:hAnsi="Arial"/>
          <w:i/>
          <w:color w:val="231F20"/>
          <w:spacing w:val="-5"/>
          <w:sz w:val="12"/>
        </w:rPr>
        <w:t> </w:t>
      </w:r>
      <w:r>
        <w:rPr>
          <w:rFonts w:ascii="Arial" w:hAnsi="Arial"/>
          <w:i/>
          <w:color w:val="231F20"/>
          <w:sz w:val="12"/>
        </w:rPr>
        <w:t>and</w:t>
      </w:r>
      <w:r>
        <w:rPr>
          <w:rFonts w:ascii="Arial" w:hAnsi="Arial"/>
          <w:i/>
          <w:color w:val="231F20"/>
          <w:spacing w:val="-5"/>
          <w:sz w:val="12"/>
        </w:rPr>
        <w:t> </w:t>
      </w:r>
      <w:r>
        <w:rPr>
          <w:rFonts w:ascii="Arial" w:hAnsi="Arial"/>
          <w:i/>
          <w:color w:val="231F20"/>
          <w:sz w:val="12"/>
        </w:rPr>
        <w:t>Psychosocial</w:t>
      </w:r>
      <w:r>
        <w:rPr>
          <w:rFonts w:ascii="Arial" w:hAnsi="Arial"/>
          <w:i/>
          <w:color w:val="231F20"/>
          <w:spacing w:val="-5"/>
          <w:sz w:val="12"/>
        </w:rPr>
        <w:t> </w:t>
      </w:r>
      <w:r>
        <w:rPr>
          <w:rFonts w:ascii="Arial" w:hAnsi="Arial"/>
          <w:i/>
          <w:color w:val="231F20"/>
          <w:sz w:val="12"/>
        </w:rPr>
        <w:t>Risks</w:t>
      </w:r>
      <w:r>
        <w:rPr>
          <w:rFonts w:ascii="Arial" w:hAnsi="Arial"/>
          <w:color w:val="231F20"/>
          <w:sz w:val="12"/>
        </w:rPr>
        <w:t>,</w:t>
      </w:r>
      <w:r>
        <w:rPr>
          <w:rFonts w:ascii="Arial" w:hAnsi="Arial"/>
          <w:color w:val="231F20"/>
          <w:spacing w:val="-5"/>
          <w:sz w:val="12"/>
        </w:rPr>
        <w:t> </w:t>
      </w:r>
      <w:r>
        <w:rPr>
          <w:rFonts w:ascii="Arial" w:hAnsi="Arial"/>
          <w:color w:val="231F20"/>
          <w:sz w:val="12"/>
        </w:rPr>
        <w:t>European</w:t>
      </w:r>
      <w:r>
        <w:rPr>
          <w:rFonts w:ascii="Arial" w:hAnsi="Arial"/>
          <w:color w:val="231F20"/>
          <w:spacing w:val="-5"/>
          <w:sz w:val="12"/>
        </w:rPr>
        <w:t> </w:t>
      </w:r>
      <w:r>
        <w:rPr>
          <w:rFonts w:ascii="Arial" w:hAnsi="Arial"/>
          <w:color w:val="231F20"/>
          <w:sz w:val="12"/>
        </w:rPr>
        <w:t>Agency</w:t>
      </w:r>
      <w:r>
        <w:rPr>
          <w:rFonts w:ascii="Arial" w:hAnsi="Arial"/>
          <w:color w:val="231F20"/>
          <w:spacing w:val="-5"/>
          <w:sz w:val="12"/>
        </w:rPr>
        <w:t> </w:t>
      </w:r>
      <w:r>
        <w:rPr>
          <w:rFonts w:ascii="Arial" w:hAnsi="Arial"/>
          <w:color w:val="231F20"/>
          <w:sz w:val="12"/>
        </w:rPr>
        <w:t>for</w:t>
      </w:r>
      <w:r>
        <w:rPr>
          <w:rFonts w:ascii="Arial" w:hAnsi="Arial"/>
          <w:color w:val="231F20"/>
          <w:spacing w:val="40"/>
          <w:sz w:val="12"/>
        </w:rPr>
        <w:t> </w:t>
      </w:r>
      <w:r>
        <w:rPr>
          <w:rFonts w:ascii="Arial" w:hAnsi="Arial"/>
          <w:color w:val="231F20"/>
          <w:sz w:val="12"/>
        </w:rPr>
        <w:t>Safety and Health at Work.</w:t>
      </w:r>
    </w:p>
    <w:p>
      <w:pPr>
        <w:spacing w:after="0" w:line="295" w:lineRule="auto"/>
        <w:jc w:val="both"/>
        <w:rPr>
          <w:rFonts w:ascii="Arial" w:hAnsi="Arial"/>
          <w:sz w:val="12"/>
        </w:rPr>
        <w:sectPr>
          <w:footerReference w:type="default" r:id="rId49"/>
          <w:pgSz w:w="8640" w:h="12960"/>
          <w:pgMar w:footer="424" w:header="0" w:top="520" w:bottom="620" w:left="460" w:right="1000"/>
        </w:sectPr>
      </w:pPr>
    </w:p>
    <w:p>
      <w:pPr>
        <w:spacing w:before="118"/>
        <w:ind w:left="2462" w:right="0" w:firstLine="0"/>
        <w:jc w:val="left"/>
        <w:rPr>
          <w:rFonts w:ascii="Arial" w:hAnsi="Arial"/>
          <w:sz w:val="14"/>
        </w:rPr>
      </w:pPr>
      <w:bookmarkStart w:name=" 1.4 / Stress, santé psychologique et tr" w:id="20"/>
      <w:bookmarkEnd w:id="20"/>
      <w:r>
        <w:rPr/>
      </w:r>
      <w:bookmarkStart w:name="_bookmark8" w:id="21"/>
      <w:bookmarkEnd w:id="21"/>
      <w:r>
        <w:rPr/>
      </w: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spacing w:before="3"/>
        <w:rPr>
          <w:rFonts w:ascii="Arial"/>
          <w:sz w:val="27"/>
        </w:rPr>
      </w:pPr>
    </w:p>
    <w:p>
      <w:pPr>
        <w:pStyle w:val="Heading2"/>
        <w:numPr>
          <w:ilvl w:val="1"/>
          <w:numId w:val="11"/>
        </w:numPr>
        <w:tabs>
          <w:tab w:pos="871" w:val="left" w:leader="none"/>
          <w:tab w:pos="1179" w:val="left" w:leader="none"/>
        </w:tabs>
        <w:spacing w:line="240" w:lineRule="auto" w:before="0" w:after="0"/>
        <w:ind w:left="870" w:right="0" w:hanging="290"/>
        <w:jc w:val="left"/>
      </w:pPr>
      <w:r>
        <w:rPr>
          <w:b w:val="0"/>
          <w:i/>
          <w:color w:val="231F20"/>
          <w:spacing w:val="-10"/>
        </w:rPr>
        <w:t>/</w:t>
      </w:r>
      <w:r>
        <w:rPr>
          <w:b w:val="0"/>
          <w:i/>
          <w:color w:val="231F20"/>
        </w:rPr>
        <w:tab/>
      </w:r>
      <w:r>
        <w:rPr>
          <w:color w:val="231F20"/>
          <w:w w:val="95"/>
        </w:rPr>
        <w:t>Stress,</w:t>
      </w:r>
      <w:r>
        <w:rPr>
          <w:color w:val="231F20"/>
          <w:spacing w:val="-13"/>
          <w:w w:val="95"/>
        </w:rPr>
        <w:t> </w:t>
      </w:r>
      <w:r>
        <w:rPr>
          <w:color w:val="231F20"/>
          <w:w w:val="95"/>
        </w:rPr>
        <w:t>santé</w:t>
      </w:r>
      <w:r>
        <w:rPr>
          <w:color w:val="231F20"/>
          <w:spacing w:val="-13"/>
          <w:w w:val="95"/>
        </w:rPr>
        <w:t> </w:t>
      </w:r>
      <w:r>
        <w:rPr>
          <w:color w:val="231F20"/>
          <w:w w:val="95"/>
        </w:rPr>
        <w:t>psychologique</w:t>
      </w:r>
      <w:r>
        <w:rPr>
          <w:color w:val="231F20"/>
          <w:spacing w:val="-13"/>
          <w:w w:val="95"/>
        </w:rPr>
        <w:t> </w:t>
      </w:r>
      <w:r>
        <w:rPr>
          <w:color w:val="231F20"/>
          <w:w w:val="95"/>
        </w:rPr>
        <w:t>et</w:t>
      </w:r>
      <w:r>
        <w:rPr>
          <w:color w:val="231F20"/>
          <w:spacing w:val="-13"/>
          <w:w w:val="95"/>
        </w:rPr>
        <w:t> </w:t>
      </w:r>
      <w:r>
        <w:rPr>
          <w:color w:val="231F20"/>
          <w:spacing w:val="-2"/>
          <w:w w:val="95"/>
        </w:rPr>
        <w:t>travail</w:t>
      </w:r>
    </w:p>
    <w:p>
      <w:pPr>
        <w:pStyle w:val="BodyText"/>
        <w:spacing w:before="1"/>
        <w:rPr>
          <w:rFonts w:ascii="Arial"/>
          <w:b/>
          <w:sz w:val="24"/>
        </w:rPr>
      </w:pPr>
    </w:p>
    <w:p>
      <w:pPr>
        <w:pStyle w:val="BodyText"/>
        <w:spacing w:line="307" w:lineRule="auto"/>
        <w:ind w:left="1180" w:right="247"/>
        <w:jc w:val="both"/>
      </w:pPr>
      <w:r>
        <w:rPr/>
        <w:pict>
          <v:group style="position:absolute;margin-left:82pt;margin-top:120.435547pt;width:287.5pt;height:326.75pt;mso-position-horizontal-relative:page;mso-position-vertical-relative:paragraph;z-index:-20992512" id="docshapegroup101" coordorigin="1640,2409" coordsize="5750,6535">
            <v:rect style="position:absolute;left:1640;top:2408;width:5750;height:705" id="docshape102" filled="true" fillcolor="#e2e3e4" stroked="false">
              <v:fill type="solid"/>
            </v:rect>
            <v:line style="position:absolute" from="1890,2956" to="7140,2956" stroked="true" strokeweight=".25pt" strokecolor="#231f20">
              <v:stroke dashstyle="shortdot"/>
            </v:line>
            <v:shape style="position:absolute;left:1640;top:3013;width:5750;height:5930" id="docshape103" coordorigin="1640,3014" coordsize="5750,5930" path="m7390,3014l1640,3014,1640,4699,1640,5014,1640,8944,7390,8944,7390,4699,7390,3014xe" filled="true" fillcolor="#e2e3e4" stroked="false">
              <v:path arrowok="t"/>
              <v:fill type="solid"/>
            </v:shape>
            <w10:wrap type="none"/>
          </v:group>
        </w:pict>
      </w:r>
      <w:r>
        <w:rPr>
          <w:color w:val="231F20"/>
          <w:spacing w:val="-2"/>
          <w:w w:val="115"/>
        </w:rPr>
        <w:t>Selon</w:t>
      </w:r>
      <w:r>
        <w:rPr>
          <w:color w:val="231F20"/>
          <w:spacing w:val="-11"/>
          <w:w w:val="115"/>
        </w:rPr>
        <w:t> </w:t>
      </w:r>
      <w:r>
        <w:rPr>
          <w:color w:val="231F20"/>
          <w:spacing w:val="-2"/>
          <w:w w:val="115"/>
        </w:rPr>
        <w:t>la</w:t>
      </w:r>
      <w:r>
        <w:rPr>
          <w:color w:val="231F20"/>
          <w:spacing w:val="-10"/>
          <w:w w:val="115"/>
        </w:rPr>
        <w:t> </w:t>
      </w:r>
      <w:r>
        <w:rPr>
          <w:color w:val="231F20"/>
          <w:spacing w:val="-2"/>
          <w:w w:val="115"/>
        </w:rPr>
        <w:t>définition</w:t>
      </w:r>
      <w:r>
        <w:rPr>
          <w:color w:val="231F20"/>
          <w:spacing w:val="-10"/>
          <w:w w:val="115"/>
        </w:rPr>
        <w:t> </w:t>
      </w:r>
      <w:r>
        <w:rPr>
          <w:color w:val="231F20"/>
          <w:spacing w:val="-2"/>
          <w:w w:val="115"/>
        </w:rPr>
        <w:t>qu’en</w:t>
      </w:r>
      <w:r>
        <w:rPr>
          <w:color w:val="231F20"/>
          <w:spacing w:val="-10"/>
          <w:w w:val="115"/>
        </w:rPr>
        <w:t> </w:t>
      </w:r>
      <w:r>
        <w:rPr>
          <w:color w:val="231F20"/>
          <w:spacing w:val="-2"/>
          <w:w w:val="115"/>
        </w:rPr>
        <w:t>donne</w:t>
      </w:r>
      <w:r>
        <w:rPr>
          <w:color w:val="231F20"/>
          <w:spacing w:val="-11"/>
          <w:w w:val="115"/>
        </w:rPr>
        <w:t> </w:t>
      </w:r>
      <w:r>
        <w:rPr>
          <w:color w:val="231F20"/>
          <w:spacing w:val="-2"/>
          <w:w w:val="115"/>
        </w:rPr>
        <w:t>l’Organisation</w:t>
      </w:r>
      <w:r>
        <w:rPr>
          <w:color w:val="231F20"/>
          <w:spacing w:val="-10"/>
          <w:w w:val="115"/>
        </w:rPr>
        <w:t> </w:t>
      </w:r>
      <w:r>
        <w:rPr>
          <w:color w:val="231F20"/>
          <w:spacing w:val="-2"/>
          <w:w w:val="115"/>
        </w:rPr>
        <w:t>mondiale</w:t>
      </w:r>
      <w:r>
        <w:rPr>
          <w:color w:val="231F20"/>
          <w:spacing w:val="-10"/>
          <w:w w:val="115"/>
        </w:rPr>
        <w:t> </w:t>
      </w:r>
      <w:r>
        <w:rPr>
          <w:color w:val="231F20"/>
          <w:spacing w:val="-2"/>
          <w:w w:val="115"/>
        </w:rPr>
        <w:t>de</w:t>
      </w:r>
      <w:r>
        <w:rPr>
          <w:color w:val="231F20"/>
          <w:spacing w:val="-10"/>
          <w:w w:val="115"/>
        </w:rPr>
        <w:t> </w:t>
      </w:r>
      <w:r>
        <w:rPr>
          <w:color w:val="231F20"/>
          <w:spacing w:val="-2"/>
          <w:w w:val="115"/>
        </w:rPr>
        <w:t>la</w:t>
      </w:r>
      <w:r>
        <w:rPr>
          <w:color w:val="231F20"/>
          <w:spacing w:val="-10"/>
          <w:w w:val="115"/>
        </w:rPr>
        <w:t> </w:t>
      </w:r>
      <w:r>
        <w:rPr>
          <w:color w:val="231F20"/>
          <w:spacing w:val="-2"/>
          <w:w w:val="115"/>
        </w:rPr>
        <w:t>santé</w:t>
      </w:r>
      <w:r>
        <w:rPr>
          <w:color w:val="231F20"/>
          <w:spacing w:val="-11"/>
          <w:w w:val="115"/>
        </w:rPr>
        <w:t> </w:t>
      </w:r>
      <w:r>
        <w:rPr>
          <w:color w:val="231F20"/>
          <w:spacing w:val="-2"/>
          <w:w w:val="115"/>
        </w:rPr>
        <w:t>(OMS), </w:t>
      </w:r>
      <w:r>
        <w:rPr>
          <w:color w:val="231F20"/>
          <w:w w:val="120"/>
        </w:rPr>
        <w:t>la</w:t>
      </w:r>
      <w:r>
        <w:rPr>
          <w:color w:val="231F20"/>
          <w:spacing w:val="-6"/>
          <w:w w:val="120"/>
        </w:rPr>
        <w:t> </w:t>
      </w:r>
      <w:r>
        <w:rPr>
          <w:color w:val="231F20"/>
          <w:w w:val="120"/>
        </w:rPr>
        <w:t>promotion</w:t>
      </w:r>
      <w:r>
        <w:rPr>
          <w:color w:val="231F20"/>
          <w:spacing w:val="-6"/>
          <w:w w:val="120"/>
        </w:rPr>
        <w:t>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santé</w:t>
      </w:r>
      <w:r>
        <w:rPr>
          <w:color w:val="231F20"/>
          <w:spacing w:val="-6"/>
          <w:w w:val="120"/>
        </w:rPr>
        <w:t> </w:t>
      </w:r>
      <w:r>
        <w:rPr>
          <w:color w:val="231F20"/>
          <w:w w:val="120"/>
        </w:rPr>
        <w:t>englobe</w:t>
      </w:r>
      <w:r>
        <w:rPr>
          <w:color w:val="231F20"/>
          <w:spacing w:val="-6"/>
          <w:w w:val="120"/>
        </w:rPr>
        <w:t> </w:t>
      </w:r>
      <w:r>
        <w:rPr>
          <w:color w:val="231F20"/>
          <w:w w:val="120"/>
        </w:rPr>
        <w:t>toutes</w:t>
      </w:r>
      <w:r>
        <w:rPr>
          <w:color w:val="231F20"/>
          <w:spacing w:val="-6"/>
          <w:w w:val="120"/>
        </w:rPr>
        <w:t> </w:t>
      </w:r>
      <w:r>
        <w:rPr>
          <w:color w:val="231F20"/>
          <w:w w:val="120"/>
        </w:rPr>
        <w:t>les</w:t>
      </w:r>
      <w:r>
        <w:rPr>
          <w:color w:val="231F20"/>
          <w:spacing w:val="-6"/>
          <w:w w:val="120"/>
        </w:rPr>
        <w:t> </w:t>
      </w:r>
      <w:r>
        <w:rPr>
          <w:color w:val="231F20"/>
          <w:w w:val="120"/>
        </w:rPr>
        <w:t>mesures</w:t>
      </w:r>
      <w:r>
        <w:rPr>
          <w:color w:val="231F20"/>
          <w:spacing w:val="-6"/>
          <w:w w:val="120"/>
        </w:rPr>
        <w:t> </w:t>
      </w:r>
      <w:r>
        <w:rPr>
          <w:color w:val="231F20"/>
          <w:w w:val="120"/>
        </w:rPr>
        <w:t>qui</w:t>
      </w:r>
      <w:r>
        <w:rPr>
          <w:color w:val="231F20"/>
          <w:spacing w:val="-6"/>
          <w:w w:val="120"/>
        </w:rPr>
        <w:t> </w:t>
      </w:r>
      <w:r>
        <w:rPr>
          <w:color w:val="231F20"/>
          <w:w w:val="120"/>
        </w:rPr>
        <w:t>permettent</w:t>
      </w:r>
      <w:r>
        <w:rPr>
          <w:color w:val="231F20"/>
          <w:spacing w:val="-6"/>
          <w:w w:val="120"/>
        </w:rPr>
        <w:t> </w:t>
      </w:r>
      <w:r>
        <w:rPr>
          <w:color w:val="231F20"/>
          <w:w w:val="120"/>
        </w:rPr>
        <w:t>aux personnes,</w:t>
      </w:r>
      <w:r>
        <w:rPr>
          <w:color w:val="231F20"/>
          <w:spacing w:val="-11"/>
          <w:w w:val="120"/>
        </w:rPr>
        <w:t> </w:t>
      </w:r>
      <w:r>
        <w:rPr>
          <w:color w:val="231F20"/>
          <w:w w:val="120"/>
        </w:rPr>
        <w:t>aux</w:t>
      </w:r>
      <w:r>
        <w:rPr>
          <w:color w:val="231F20"/>
          <w:spacing w:val="-11"/>
          <w:w w:val="120"/>
        </w:rPr>
        <w:t> </w:t>
      </w:r>
      <w:r>
        <w:rPr>
          <w:color w:val="231F20"/>
          <w:w w:val="120"/>
        </w:rPr>
        <w:t>groupes</w:t>
      </w:r>
      <w:r>
        <w:rPr>
          <w:color w:val="231F20"/>
          <w:spacing w:val="-11"/>
          <w:w w:val="120"/>
        </w:rPr>
        <w:t> </w:t>
      </w:r>
      <w:r>
        <w:rPr>
          <w:color w:val="231F20"/>
          <w:w w:val="120"/>
        </w:rPr>
        <w:t>et</w:t>
      </w:r>
      <w:r>
        <w:rPr>
          <w:color w:val="231F20"/>
          <w:spacing w:val="-11"/>
          <w:w w:val="120"/>
        </w:rPr>
        <w:t> </w:t>
      </w:r>
      <w:r>
        <w:rPr>
          <w:color w:val="231F20"/>
          <w:w w:val="120"/>
        </w:rPr>
        <w:t>aux</w:t>
      </w:r>
      <w:r>
        <w:rPr>
          <w:color w:val="231F20"/>
          <w:spacing w:val="-11"/>
          <w:w w:val="120"/>
        </w:rPr>
        <w:t> </w:t>
      </w:r>
      <w:r>
        <w:rPr>
          <w:color w:val="231F20"/>
          <w:w w:val="120"/>
        </w:rPr>
        <w:t>organisations</w:t>
      </w:r>
      <w:r>
        <w:rPr>
          <w:color w:val="231F20"/>
          <w:spacing w:val="-11"/>
          <w:w w:val="120"/>
        </w:rPr>
        <w:t> </w:t>
      </w:r>
      <w:r>
        <w:rPr>
          <w:color w:val="231F20"/>
          <w:w w:val="120"/>
        </w:rPr>
        <w:t>de</w:t>
      </w:r>
      <w:r>
        <w:rPr>
          <w:color w:val="231F20"/>
          <w:spacing w:val="-11"/>
          <w:w w:val="120"/>
        </w:rPr>
        <w:t> </w:t>
      </w:r>
      <w:r>
        <w:rPr>
          <w:color w:val="231F20"/>
          <w:w w:val="120"/>
        </w:rPr>
        <w:t>mieux</w:t>
      </w:r>
      <w:r>
        <w:rPr>
          <w:color w:val="231F20"/>
          <w:spacing w:val="-11"/>
          <w:w w:val="120"/>
        </w:rPr>
        <w:t> </w:t>
      </w:r>
      <w:r>
        <w:rPr>
          <w:color w:val="231F20"/>
          <w:w w:val="120"/>
        </w:rPr>
        <w:t>maîtriser</w:t>
      </w:r>
      <w:r>
        <w:rPr>
          <w:color w:val="231F20"/>
          <w:spacing w:val="-11"/>
          <w:w w:val="120"/>
        </w:rPr>
        <w:t> </w:t>
      </w:r>
      <w:r>
        <w:rPr>
          <w:color w:val="231F20"/>
          <w:w w:val="120"/>
        </w:rPr>
        <w:t>les</w:t>
      </w:r>
      <w:r>
        <w:rPr>
          <w:color w:val="231F20"/>
          <w:spacing w:val="-11"/>
          <w:w w:val="120"/>
        </w:rPr>
        <w:t> </w:t>
      </w:r>
      <w:r>
        <w:rPr>
          <w:color w:val="231F20"/>
          <w:w w:val="120"/>
        </w:rPr>
        <w:t>fac- </w:t>
      </w:r>
      <w:r>
        <w:rPr>
          <w:color w:val="231F20"/>
          <w:w w:val="115"/>
        </w:rPr>
        <w:t>teurs</w:t>
      </w:r>
      <w:r>
        <w:rPr>
          <w:color w:val="231F20"/>
          <w:spacing w:val="-3"/>
          <w:w w:val="115"/>
        </w:rPr>
        <w:t> </w:t>
      </w:r>
      <w:r>
        <w:rPr>
          <w:color w:val="231F20"/>
          <w:w w:val="115"/>
        </w:rPr>
        <w:t>de</w:t>
      </w:r>
      <w:r>
        <w:rPr>
          <w:color w:val="231F20"/>
          <w:spacing w:val="-3"/>
          <w:w w:val="115"/>
        </w:rPr>
        <w:t> </w:t>
      </w:r>
      <w:r>
        <w:rPr>
          <w:color w:val="231F20"/>
          <w:w w:val="115"/>
        </w:rPr>
        <w:t>risque</w:t>
      </w:r>
      <w:r>
        <w:rPr>
          <w:color w:val="231F20"/>
          <w:spacing w:val="-3"/>
          <w:w w:val="115"/>
        </w:rPr>
        <w:t> </w:t>
      </w:r>
      <w:r>
        <w:rPr>
          <w:color w:val="231F20"/>
          <w:w w:val="115"/>
        </w:rPr>
        <w:t>pour</w:t>
      </w:r>
      <w:r>
        <w:rPr>
          <w:color w:val="231F20"/>
          <w:spacing w:val="-3"/>
          <w:w w:val="115"/>
        </w:rPr>
        <w:t> </w:t>
      </w:r>
      <w:r>
        <w:rPr>
          <w:color w:val="231F20"/>
          <w:w w:val="115"/>
        </w:rPr>
        <w:t>leur</w:t>
      </w:r>
      <w:r>
        <w:rPr>
          <w:color w:val="231F20"/>
          <w:spacing w:val="-3"/>
          <w:w w:val="115"/>
        </w:rPr>
        <w:t> </w:t>
      </w:r>
      <w:r>
        <w:rPr>
          <w:color w:val="231F20"/>
          <w:w w:val="115"/>
        </w:rPr>
        <w:t>santé.</w:t>
      </w:r>
      <w:r>
        <w:rPr>
          <w:color w:val="231F20"/>
          <w:spacing w:val="-3"/>
          <w:w w:val="115"/>
        </w:rPr>
        <w:t> </w:t>
      </w:r>
      <w:r>
        <w:rPr>
          <w:color w:val="231F20"/>
          <w:w w:val="115"/>
        </w:rPr>
        <w:t>Ces</w:t>
      </w:r>
      <w:r>
        <w:rPr>
          <w:color w:val="231F20"/>
          <w:spacing w:val="-3"/>
          <w:w w:val="115"/>
        </w:rPr>
        <w:t> </w:t>
      </w:r>
      <w:r>
        <w:rPr>
          <w:color w:val="231F20"/>
          <w:w w:val="115"/>
        </w:rPr>
        <w:t>mesures</w:t>
      </w:r>
      <w:r>
        <w:rPr>
          <w:color w:val="231F20"/>
          <w:spacing w:val="-3"/>
          <w:w w:val="115"/>
        </w:rPr>
        <w:t> </w:t>
      </w:r>
      <w:r>
        <w:rPr>
          <w:color w:val="231F20"/>
          <w:w w:val="115"/>
        </w:rPr>
        <w:t>ont</w:t>
      </w:r>
      <w:r>
        <w:rPr>
          <w:color w:val="231F20"/>
          <w:spacing w:val="-3"/>
          <w:w w:val="115"/>
        </w:rPr>
        <w:t> </w:t>
      </w:r>
      <w:r>
        <w:rPr>
          <w:color w:val="231F20"/>
          <w:w w:val="115"/>
        </w:rPr>
        <w:t>pour</w:t>
      </w:r>
      <w:r>
        <w:rPr>
          <w:color w:val="231F20"/>
          <w:spacing w:val="-3"/>
          <w:w w:val="115"/>
        </w:rPr>
        <w:t> </w:t>
      </w:r>
      <w:r>
        <w:rPr>
          <w:color w:val="231F20"/>
          <w:w w:val="115"/>
        </w:rPr>
        <w:t>objectif</w:t>
      </w:r>
      <w:r>
        <w:rPr>
          <w:color w:val="231F20"/>
          <w:spacing w:val="-3"/>
          <w:w w:val="115"/>
        </w:rPr>
        <w:t> </w:t>
      </w:r>
      <w:r>
        <w:rPr>
          <w:color w:val="231F20"/>
          <w:w w:val="115"/>
        </w:rPr>
        <w:t>d’améliorer la</w:t>
      </w:r>
      <w:r>
        <w:rPr>
          <w:color w:val="231F20"/>
          <w:spacing w:val="-4"/>
          <w:w w:val="115"/>
        </w:rPr>
        <w:t> </w:t>
      </w:r>
      <w:r>
        <w:rPr>
          <w:color w:val="231F20"/>
          <w:w w:val="115"/>
        </w:rPr>
        <w:t>santé</w:t>
      </w:r>
      <w:r>
        <w:rPr>
          <w:color w:val="231F20"/>
          <w:spacing w:val="-4"/>
          <w:w w:val="115"/>
        </w:rPr>
        <w:t> </w:t>
      </w:r>
      <w:r>
        <w:rPr>
          <w:color w:val="231F20"/>
          <w:w w:val="115"/>
        </w:rPr>
        <w:t>des</w:t>
      </w:r>
      <w:r>
        <w:rPr>
          <w:color w:val="231F20"/>
          <w:spacing w:val="-4"/>
          <w:w w:val="115"/>
        </w:rPr>
        <w:t> </w:t>
      </w:r>
      <w:r>
        <w:rPr>
          <w:color w:val="231F20"/>
          <w:w w:val="115"/>
        </w:rPr>
        <w:t>personnes,</w:t>
      </w:r>
      <w:r>
        <w:rPr>
          <w:color w:val="231F20"/>
          <w:spacing w:val="-4"/>
          <w:w w:val="115"/>
        </w:rPr>
        <w:t> </w:t>
      </w:r>
      <w:r>
        <w:rPr>
          <w:color w:val="231F20"/>
          <w:w w:val="115"/>
        </w:rPr>
        <w:t>des</w:t>
      </w:r>
      <w:r>
        <w:rPr>
          <w:color w:val="231F20"/>
          <w:spacing w:val="-4"/>
          <w:w w:val="115"/>
        </w:rPr>
        <w:t> </w:t>
      </w:r>
      <w:r>
        <w:rPr>
          <w:color w:val="231F20"/>
          <w:w w:val="115"/>
        </w:rPr>
        <w:t>groupes,</w:t>
      </w:r>
      <w:r>
        <w:rPr>
          <w:color w:val="231F20"/>
          <w:spacing w:val="-4"/>
          <w:w w:val="115"/>
        </w:rPr>
        <w:t> </w:t>
      </w:r>
      <w:r>
        <w:rPr>
          <w:color w:val="231F20"/>
          <w:w w:val="115"/>
        </w:rPr>
        <w:t>des</w:t>
      </w:r>
      <w:r>
        <w:rPr>
          <w:color w:val="231F20"/>
          <w:spacing w:val="-4"/>
          <w:w w:val="115"/>
        </w:rPr>
        <w:t> </w:t>
      </w:r>
      <w:r>
        <w:rPr>
          <w:color w:val="231F20"/>
          <w:w w:val="115"/>
        </w:rPr>
        <w:t>organisations</w:t>
      </w:r>
      <w:r>
        <w:rPr>
          <w:color w:val="231F20"/>
          <w:spacing w:val="-4"/>
          <w:w w:val="115"/>
        </w:rPr>
        <w:t> </w:t>
      </w:r>
      <w:r>
        <w:rPr>
          <w:color w:val="231F20"/>
          <w:w w:val="115"/>
        </w:rPr>
        <w:t>et</w:t>
      </w:r>
      <w:r>
        <w:rPr>
          <w:color w:val="231F20"/>
          <w:spacing w:val="-4"/>
          <w:w w:val="115"/>
        </w:rPr>
        <w:t> </w:t>
      </w:r>
      <w:r>
        <w:rPr>
          <w:color w:val="231F20"/>
          <w:w w:val="115"/>
        </w:rPr>
        <w:t>des</w:t>
      </w:r>
      <w:r>
        <w:rPr>
          <w:color w:val="231F20"/>
          <w:spacing w:val="-4"/>
          <w:w w:val="115"/>
        </w:rPr>
        <w:t> </w:t>
      </w:r>
      <w:r>
        <w:rPr>
          <w:color w:val="231F20"/>
          <w:w w:val="115"/>
        </w:rPr>
        <w:t>collectivités. Ainsi,</w:t>
      </w:r>
      <w:r>
        <w:rPr>
          <w:color w:val="231F20"/>
          <w:spacing w:val="-6"/>
          <w:w w:val="115"/>
        </w:rPr>
        <w:t> </w:t>
      </w:r>
      <w:r>
        <w:rPr>
          <w:color w:val="231F20"/>
          <w:w w:val="115"/>
        </w:rPr>
        <w:t>la</w:t>
      </w:r>
      <w:r>
        <w:rPr>
          <w:color w:val="231F20"/>
          <w:spacing w:val="-6"/>
          <w:w w:val="115"/>
        </w:rPr>
        <w:t> </w:t>
      </w:r>
      <w:r>
        <w:rPr>
          <w:color w:val="231F20"/>
          <w:w w:val="115"/>
        </w:rPr>
        <w:t>santé</w:t>
      </w:r>
      <w:r>
        <w:rPr>
          <w:color w:val="231F20"/>
          <w:spacing w:val="-6"/>
          <w:w w:val="115"/>
        </w:rPr>
        <w:t> </w:t>
      </w:r>
      <w:r>
        <w:rPr>
          <w:color w:val="231F20"/>
          <w:w w:val="115"/>
        </w:rPr>
        <w:t>psychologique</w:t>
      </w:r>
      <w:r>
        <w:rPr>
          <w:color w:val="231F20"/>
          <w:spacing w:val="-6"/>
          <w:w w:val="115"/>
        </w:rPr>
        <w:t> </w:t>
      </w:r>
      <w:r>
        <w:rPr>
          <w:color w:val="231F20"/>
          <w:w w:val="115"/>
        </w:rPr>
        <w:t>implique</w:t>
      </w:r>
      <w:r>
        <w:rPr>
          <w:color w:val="231F20"/>
          <w:spacing w:val="-6"/>
          <w:w w:val="115"/>
        </w:rPr>
        <w:t> </w:t>
      </w:r>
      <w:r>
        <w:rPr>
          <w:color w:val="231F20"/>
          <w:w w:val="115"/>
        </w:rPr>
        <w:t>la</w:t>
      </w:r>
      <w:r>
        <w:rPr>
          <w:color w:val="231F20"/>
          <w:spacing w:val="-6"/>
          <w:w w:val="115"/>
        </w:rPr>
        <w:t> </w:t>
      </w:r>
      <w:r>
        <w:rPr>
          <w:color w:val="231F20"/>
          <w:w w:val="115"/>
        </w:rPr>
        <w:t>présence</w:t>
      </w:r>
      <w:r>
        <w:rPr>
          <w:color w:val="231F20"/>
          <w:spacing w:val="-6"/>
          <w:w w:val="115"/>
        </w:rPr>
        <w:t> </w:t>
      </w:r>
      <w:r>
        <w:rPr>
          <w:color w:val="231F20"/>
          <w:w w:val="115"/>
        </w:rPr>
        <w:t>de</w:t>
      </w:r>
      <w:r>
        <w:rPr>
          <w:color w:val="231F20"/>
          <w:spacing w:val="-6"/>
          <w:w w:val="115"/>
        </w:rPr>
        <w:t> </w:t>
      </w:r>
      <w:r>
        <w:rPr>
          <w:color w:val="231F20"/>
          <w:w w:val="115"/>
        </w:rPr>
        <w:t>symptômes</w:t>
      </w:r>
      <w:r>
        <w:rPr>
          <w:color w:val="231F20"/>
          <w:spacing w:val="-6"/>
          <w:w w:val="115"/>
        </w:rPr>
        <w:t> </w:t>
      </w:r>
      <w:r>
        <w:rPr>
          <w:color w:val="231F20"/>
          <w:w w:val="115"/>
        </w:rPr>
        <w:t>positifs </w:t>
      </w:r>
      <w:r>
        <w:rPr>
          <w:color w:val="231F20"/>
          <w:spacing w:val="-2"/>
          <w:w w:val="120"/>
        </w:rPr>
        <w:t>(p.</w:t>
      </w:r>
      <w:r>
        <w:rPr>
          <w:color w:val="231F20"/>
          <w:spacing w:val="-5"/>
          <w:w w:val="120"/>
        </w:rPr>
        <w:t> </w:t>
      </w:r>
      <w:r>
        <w:rPr>
          <w:color w:val="231F20"/>
          <w:spacing w:val="-2"/>
          <w:w w:val="120"/>
        </w:rPr>
        <w:t>ex.</w:t>
      </w:r>
      <w:r>
        <w:rPr>
          <w:color w:val="231F20"/>
          <w:spacing w:val="-5"/>
          <w:w w:val="120"/>
        </w:rPr>
        <w:t> </w:t>
      </w:r>
      <w:r>
        <w:rPr>
          <w:color w:val="231F20"/>
          <w:spacing w:val="-2"/>
          <w:w w:val="120"/>
        </w:rPr>
        <w:t>bien-être)</w:t>
      </w:r>
      <w:r>
        <w:rPr>
          <w:color w:val="231F20"/>
          <w:spacing w:val="-5"/>
          <w:w w:val="120"/>
        </w:rPr>
        <w:t> </w:t>
      </w:r>
      <w:r>
        <w:rPr>
          <w:color w:val="231F20"/>
          <w:spacing w:val="-2"/>
          <w:w w:val="120"/>
        </w:rPr>
        <w:t>et</w:t>
      </w:r>
      <w:r>
        <w:rPr>
          <w:color w:val="231F20"/>
          <w:spacing w:val="-5"/>
          <w:w w:val="120"/>
        </w:rPr>
        <w:t> </w:t>
      </w:r>
      <w:r>
        <w:rPr>
          <w:color w:val="231F20"/>
          <w:spacing w:val="-2"/>
          <w:w w:val="120"/>
        </w:rPr>
        <w:t>l’absence</w:t>
      </w:r>
      <w:r>
        <w:rPr>
          <w:color w:val="231F20"/>
          <w:spacing w:val="-5"/>
          <w:w w:val="120"/>
        </w:rPr>
        <w:t> </w:t>
      </w:r>
      <w:r>
        <w:rPr>
          <w:color w:val="231F20"/>
          <w:spacing w:val="-2"/>
          <w:w w:val="120"/>
        </w:rPr>
        <w:t>de</w:t>
      </w:r>
      <w:r>
        <w:rPr>
          <w:color w:val="231F20"/>
          <w:spacing w:val="-5"/>
          <w:w w:val="120"/>
        </w:rPr>
        <w:t> </w:t>
      </w:r>
      <w:r>
        <w:rPr>
          <w:color w:val="231F20"/>
          <w:spacing w:val="-2"/>
          <w:w w:val="120"/>
        </w:rPr>
        <w:t>symptômes</w:t>
      </w:r>
      <w:r>
        <w:rPr>
          <w:color w:val="231F20"/>
          <w:spacing w:val="-5"/>
          <w:w w:val="120"/>
        </w:rPr>
        <w:t> </w:t>
      </w:r>
      <w:r>
        <w:rPr>
          <w:color w:val="231F20"/>
          <w:spacing w:val="-2"/>
          <w:w w:val="120"/>
        </w:rPr>
        <w:t>négatifs</w:t>
      </w:r>
      <w:r>
        <w:rPr>
          <w:color w:val="231F20"/>
          <w:spacing w:val="-5"/>
          <w:w w:val="120"/>
        </w:rPr>
        <w:t> </w:t>
      </w:r>
      <w:r>
        <w:rPr>
          <w:color w:val="231F20"/>
          <w:spacing w:val="-2"/>
          <w:w w:val="120"/>
        </w:rPr>
        <w:t>(p.</w:t>
      </w:r>
      <w:r>
        <w:rPr>
          <w:color w:val="231F20"/>
          <w:spacing w:val="-5"/>
          <w:w w:val="120"/>
        </w:rPr>
        <w:t> </w:t>
      </w:r>
      <w:r>
        <w:rPr>
          <w:color w:val="231F20"/>
          <w:spacing w:val="-2"/>
          <w:w w:val="120"/>
        </w:rPr>
        <w:t>ex.</w:t>
      </w:r>
      <w:r>
        <w:rPr>
          <w:color w:val="231F20"/>
          <w:spacing w:val="-5"/>
          <w:w w:val="120"/>
        </w:rPr>
        <w:t> </w:t>
      </w:r>
      <w:r>
        <w:rPr>
          <w:color w:val="231F20"/>
          <w:spacing w:val="-2"/>
          <w:w w:val="120"/>
        </w:rPr>
        <w:t>détresse),</w:t>
      </w:r>
      <w:r>
        <w:rPr>
          <w:color w:val="231F20"/>
          <w:spacing w:val="-5"/>
          <w:w w:val="120"/>
        </w:rPr>
        <w:t> </w:t>
      </w:r>
      <w:r>
        <w:rPr>
          <w:color w:val="231F20"/>
          <w:spacing w:val="-2"/>
          <w:w w:val="120"/>
        </w:rPr>
        <w:t>la </w:t>
      </w:r>
      <w:r>
        <w:rPr>
          <w:color w:val="231F20"/>
          <w:w w:val="120"/>
        </w:rPr>
        <w:t>santé</w:t>
      </w:r>
      <w:r>
        <w:rPr>
          <w:color w:val="231F20"/>
          <w:spacing w:val="-10"/>
          <w:w w:val="120"/>
        </w:rPr>
        <w:t> </w:t>
      </w:r>
      <w:r>
        <w:rPr>
          <w:color w:val="231F20"/>
          <w:w w:val="120"/>
        </w:rPr>
        <w:t>et</w:t>
      </w:r>
      <w:r>
        <w:rPr>
          <w:color w:val="231F20"/>
          <w:spacing w:val="-10"/>
          <w:w w:val="120"/>
        </w:rPr>
        <w:t> </w:t>
      </w:r>
      <w:r>
        <w:rPr>
          <w:color w:val="231F20"/>
          <w:w w:val="120"/>
        </w:rPr>
        <w:t>la</w:t>
      </w:r>
      <w:r>
        <w:rPr>
          <w:color w:val="231F20"/>
          <w:spacing w:val="-10"/>
          <w:w w:val="120"/>
        </w:rPr>
        <w:t> </w:t>
      </w:r>
      <w:r>
        <w:rPr>
          <w:color w:val="231F20"/>
          <w:w w:val="120"/>
        </w:rPr>
        <w:t>maladie</w:t>
      </w:r>
      <w:r>
        <w:rPr>
          <w:color w:val="231F20"/>
          <w:spacing w:val="-10"/>
          <w:w w:val="120"/>
        </w:rPr>
        <w:t> </w:t>
      </w:r>
      <w:r>
        <w:rPr>
          <w:color w:val="231F20"/>
          <w:w w:val="120"/>
        </w:rPr>
        <w:t>n’étant</w:t>
      </w:r>
      <w:r>
        <w:rPr>
          <w:color w:val="231F20"/>
          <w:spacing w:val="-10"/>
          <w:w w:val="120"/>
        </w:rPr>
        <w:t> </w:t>
      </w:r>
      <w:r>
        <w:rPr>
          <w:color w:val="231F20"/>
          <w:w w:val="120"/>
        </w:rPr>
        <w:t>pas</w:t>
      </w:r>
      <w:r>
        <w:rPr>
          <w:color w:val="231F20"/>
          <w:spacing w:val="-10"/>
          <w:w w:val="120"/>
        </w:rPr>
        <w:t> </w:t>
      </w:r>
      <w:r>
        <w:rPr>
          <w:color w:val="231F20"/>
          <w:w w:val="120"/>
        </w:rPr>
        <w:t>des</w:t>
      </w:r>
      <w:r>
        <w:rPr>
          <w:color w:val="231F20"/>
          <w:spacing w:val="-10"/>
          <w:w w:val="120"/>
        </w:rPr>
        <w:t> </w:t>
      </w:r>
      <w:r>
        <w:rPr>
          <w:color w:val="231F20"/>
          <w:w w:val="120"/>
        </w:rPr>
        <w:t>pôles</w:t>
      </w:r>
      <w:r>
        <w:rPr>
          <w:color w:val="231F20"/>
          <w:spacing w:val="-10"/>
          <w:w w:val="120"/>
        </w:rPr>
        <w:t> </w:t>
      </w:r>
      <w:r>
        <w:rPr>
          <w:color w:val="231F20"/>
          <w:w w:val="120"/>
        </w:rPr>
        <w:t>nécessairement</w:t>
      </w:r>
      <w:r>
        <w:rPr>
          <w:color w:val="231F20"/>
          <w:spacing w:val="-10"/>
          <w:w w:val="120"/>
        </w:rPr>
        <w:t> </w:t>
      </w:r>
      <w:r>
        <w:rPr>
          <w:color w:val="231F20"/>
          <w:w w:val="120"/>
        </w:rPr>
        <w:t>opposés</w:t>
      </w:r>
      <w:r>
        <w:rPr>
          <w:color w:val="231F20"/>
          <w:spacing w:val="-10"/>
          <w:w w:val="120"/>
        </w:rPr>
        <w:t> </w:t>
      </w:r>
      <w:r>
        <w:rPr>
          <w:color w:val="231F20"/>
          <w:w w:val="120"/>
        </w:rPr>
        <w:t>sur</w:t>
      </w:r>
      <w:r>
        <w:rPr>
          <w:color w:val="231F20"/>
          <w:spacing w:val="-10"/>
          <w:w w:val="120"/>
        </w:rPr>
        <w:t> </w:t>
      </w:r>
      <w:r>
        <w:rPr>
          <w:color w:val="231F20"/>
          <w:w w:val="120"/>
        </w:rPr>
        <w:t>un même</w:t>
      </w:r>
      <w:r>
        <w:rPr>
          <w:color w:val="231F20"/>
          <w:spacing w:val="-13"/>
          <w:w w:val="120"/>
        </w:rPr>
        <w:t> </w:t>
      </w:r>
      <w:r>
        <w:rPr>
          <w:color w:val="231F20"/>
          <w:w w:val="120"/>
        </w:rPr>
        <w:t>continuum16.</w:t>
      </w:r>
    </w:p>
    <w:p>
      <w:pPr>
        <w:pStyle w:val="BodyText"/>
        <w:spacing w:before="5"/>
        <w:rPr>
          <w:sz w:val="32"/>
        </w:rPr>
      </w:pPr>
    </w:p>
    <w:p>
      <w:pPr>
        <w:spacing w:before="0"/>
        <w:ind w:left="1430" w:right="0" w:firstLine="0"/>
        <w:jc w:val="both"/>
        <w:rPr>
          <w:rFonts w:ascii="Arial" w:hAnsi="Arial"/>
          <w:b/>
          <w:sz w:val="17"/>
        </w:rPr>
      </w:pPr>
      <w:r>
        <w:rPr>
          <w:rFonts w:ascii="Arial" w:hAnsi="Arial"/>
          <w:color w:val="231F20"/>
          <w:sz w:val="17"/>
        </w:rPr>
        <w:t>à</w:t>
      </w:r>
      <w:r>
        <w:rPr>
          <w:rFonts w:ascii="Arial" w:hAnsi="Arial"/>
          <w:color w:val="231F20"/>
          <w:spacing w:val="-6"/>
          <w:sz w:val="17"/>
        </w:rPr>
        <w:t> </w:t>
      </w:r>
      <w:r>
        <w:rPr>
          <w:rFonts w:ascii="Arial" w:hAnsi="Arial"/>
          <w:color w:val="231F20"/>
          <w:sz w:val="17"/>
        </w:rPr>
        <w:t>la</w:t>
      </w:r>
      <w:r>
        <w:rPr>
          <w:rFonts w:ascii="Arial" w:hAnsi="Arial"/>
          <w:color w:val="231F20"/>
          <w:spacing w:val="-5"/>
          <w:sz w:val="17"/>
        </w:rPr>
        <w:t> </w:t>
      </w:r>
      <w:r>
        <w:rPr>
          <w:rFonts w:ascii="Arial" w:hAnsi="Arial"/>
          <w:color w:val="231F20"/>
          <w:sz w:val="17"/>
        </w:rPr>
        <w:t>une</w:t>
      </w:r>
      <w:r>
        <w:rPr>
          <w:rFonts w:ascii="Arial" w:hAnsi="Arial"/>
          <w:color w:val="231F20"/>
          <w:spacing w:val="-16"/>
          <w:sz w:val="17"/>
        </w:rPr>
        <w:t> </w:t>
      </w:r>
      <w:r>
        <w:rPr>
          <w:rFonts w:ascii="Arial" w:hAnsi="Arial"/>
          <w:i/>
          <w:color w:val="231F20"/>
          <w:sz w:val="17"/>
        </w:rPr>
        <w:t>/</w:t>
      </w:r>
      <w:r>
        <w:rPr>
          <w:rFonts w:ascii="Arial" w:hAnsi="Arial"/>
          <w:i/>
          <w:color w:val="231F20"/>
          <w:spacing w:val="36"/>
          <w:sz w:val="17"/>
        </w:rPr>
        <w:t> </w:t>
      </w:r>
      <w:r>
        <w:rPr>
          <w:rFonts w:ascii="Arial" w:hAnsi="Arial"/>
          <w:b/>
          <w:color w:val="231F20"/>
          <w:sz w:val="17"/>
        </w:rPr>
        <w:t>Pour</w:t>
      </w:r>
      <w:r>
        <w:rPr>
          <w:rFonts w:ascii="Arial" w:hAnsi="Arial"/>
          <w:b/>
          <w:color w:val="231F20"/>
          <w:spacing w:val="-10"/>
          <w:sz w:val="17"/>
        </w:rPr>
        <w:t> </w:t>
      </w:r>
      <w:r>
        <w:rPr>
          <w:rFonts w:ascii="Arial" w:hAnsi="Arial"/>
          <w:b/>
          <w:color w:val="231F20"/>
          <w:sz w:val="17"/>
        </w:rPr>
        <w:t>un</w:t>
      </w:r>
      <w:r>
        <w:rPr>
          <w:rFonts w:ascii="Arial" w:hAnsi="Arial"/>
          <w:b/>
          <w:color w:val="231F20"/>
          <w:spacing w:val="-10"/>
          <w:sz w:val="17"/>
        </w:rPr>
        <w:t> </w:t>
      </w:r>
      <w:r>
        <w:rPr>
          <w:rFonts w:ascii="Arial" w:hAnsi="Arial"/>
          <w:b/>
          <w:color w:val="231F20"/>
          <w:sz w:val="17"/>
        </w:rPr>
        <w:t>milieu</w:t>
      </w:r>
      <w:r>
        <w:rPr>
          <w:rFonts w:ascii="Arial" w:hAnsi="Arial"/>
          <w:b/>
          <w:color w:val="231F20"/>
          <w:spacing w:val="-10"/>
          <w:sz w:val="17"/>
        </w:rPr>
        <w:t> </w:t>
      </w:r>
      <w:r>
        <w:rPr>
          <w:rFonts w:ascii="Arial" w:hAnsi="Arial"/>
          <w:b/>
          <w:color w:val="231F20"/>
          <w:sz w:val="17"/>
        </w:rPr>
        <w:t>de</w:t>
      </w:r>
      <w:r>
        <w:rPr>
          <w:rFonts w:ascii="Arial" w:hAnsi="Arial"/>
          <w:b/>
          <w:color w:val="231F20"/>
          <w:spacing w:val="-11"/>
          <w:sz w:val="17"/>
        </w:rPr>
        <w:t> </w:t>
      </w:r>
      <w:r>
        <w:rPr>
          <w:rFonts w:ascii="Arial" w:hAnsi="Arial"/>
          <w:b/>
          <w:color w:val="231F20"/>
          <w:sz w:val="17"/>
        </w:rPr>
        <w:t>travail</w:t>
      </w:r>
      <w:r>
        <w:rPr>
          <w:rFonts w:ascii="Arial" w:hAnsi="Arial"/>
          <w:b/>
          <w:color w:val="231F20"/>
          <w:spacing w:val="-10"/>
          <w:sz w:val="17"/>
        </w:rPr>
        <w:t> </w:t>
      </w:r>
      <w:r>
        <w:rPr>
          <w:rFonts w:ascii="Arial" w:hAnsi="Arial"/>
          <w:b/>
          <w:color w:val="231F20"/>
          <w:spacing w:val="-2"/>
          <w:sz w:val="17"/>
        </w:rPr>
        <w:t>stimulant</w:t>
      </w:r>
    </w:p>
    <w:p>
      <w:pPr>
        <w:pStyle w:val="BodyText"/>
        <w:spacing w:before="8"/>
        <w:rPr>
          <w:rFonts w:ascii="Arial"/>
          <w:b/>
          <w:sz w:val="24"/>
        </w:rPr>
      </w:pPr>
    </w:p>
    <w:p>
      <w:pPr>
        <w:pStyle w:val="BodyText"/>
        <w:spacing w:line="307" w:lineRule="auto" w:before="1"/>
        <w:ind w:left="1430" w:right="491"/>
        <w:jc w:val="both"/>
        <w:rPr>
          <w:rFonts w:ascii="Arial" w:hAnsi="Arial"/>
        </w:rPr>
      </w:pPr>
      <w:r>
        <w:rPr>
          <w:rFonts w:ascii="Arial" w:hAnsi="Arial"/>
          <w:color w:val="231F20"/>
          <w:w w:val="95"/>
        </w:rPr>
        <w:t>Si</w:t>
      </w:r>
      <w:r>
        <w:rPr>
          <w:rFonts w:ascii="Arial" w:hAnsi="Arial"/>
          <w:color w:val="231F20"/>
          <w:spacing w:val="-3"/>
          <w:w w:val="95"/>
        </w:rPr>
        <w:t> </w:t>
      </w:r>
      <w:r>
        <w:rPr>
          <w:rFonts w:ascii="Arial" w:hAnsi="Arial"/>
          <w:color w:val="231F20"/>
          <w:w w:val="95"/>
        </w:rPr>
        <w:t>ça</w:t>
      </w:r>
      <w:r>
        <w:rPr>
          <w:rFonts w:ascii="Arial" w:hAnsi="Arial"/>
          <w:color w:val="231F20"/>
          <w:spacing w:val="-3"/>
          <w:w w:val="95"/>
        </w:rPr>
        <w:t> </w:t>
      </w:r>
      <w:r>
        <w:rPr>
          <w:rFonts w:ascii="Arial" w:hAnsi="Arial"/>
          <w:color w:val="231F20"/>
          <w:w w:val="95"/>
        </w:rPr>
        <w:t>ne</w:t>
      </w:r>
      <w:r>
        <w:rPr>
          <w:rFonts w:ascii="Arial" w:hAnsi="Arial"/>
          <w:color w:val="231F20"/>
          <w:spacing w:val="-3"/>
          <w:w w:val="95"/>
        </w:rPr>
        <w:t> </w:t>
      </w:r>
      <w:r>
        <w:rPr>
          <w:rFonts w:ascii="Arial" w:hAnsi="Arial"/>
          <w:color w:val="231F20"/>
          <w:w w:val="95"/>
        </w:rPr>
        <w:t>va</w:t>
      </w:r>
      <w:r>
        <w:rPr>
          <w:rFonts w:ascii="Arial" w:hAnsi="Arial"/>
          <w:color w:val="231F20"/>
          <w:spacing w:val="-3"/>
          <w:w w:val="95"/>
        </w:rPr>
        <w:t> </w:t>
      </w:r>
      <w:r>
        <w:rPr>
          <w:rFonts w:ascii="Arial" w:hAnsi="Arial"/>
          <w:color w:val="231F20"/>
          <w:w w:val="95"/>
        </w:rPr>
        <w:t>pas</w:t>
      </w:r>
      <w:r>
        <w:rPr>
          <w:rFonts w:ascii="Arial" w:hAnsi="Arial"/>
          <w:color w:val="231F20"/>
          <w:spacing w:val="-3"/>
          <w:w w:val="95"/>
        </w:rPr>
        <w:t> </w:t>
      </w:r>
      <w:r>
        <w:rPr>
          <w:rFonts w:ascii="Arial" w:hAnsi="Arial"/>
          <w:color w:val="231F20"/>
          <w:w w:val="95"/>
        </w:rPr>
        <w:t>bien</w:t>
      </w:r>
      <w:r>
        <w:rPr>
          <w:rFonts w:ascii="Arial" w:hAnsi="Arial"/>
          <w:color w:val="231F20"/>
          <w:spacing w:val="-3"/>
          <w:w w:val="95"/>
        </w:rPr>
        <w:t> </w:t>
      </w:r>
      <w:r>
        <w:rPr>
          <w:rFonts w:ascii="Arial" w:hAnsi="Arial"/>
          <w:color w:val="231F20"/>
          <w:w w:val="95"/>
        </w:rPr>
        <w:t>au</w:t>
      </w:r>
      <w:r>
        <w:rPr>
          <w:rFonts w:ascii="Arial" w:hAnsi="Arial"/>
          <w:color w:val="231F20"/>
          <w:spacing w:val="-3"/>
          <w:w w:val="95"/>
        </w:rPr>
        <w:t> </w:t>
      </w:r>
      <w:r>
        <w:rPr>
          <w:rFonts w:ascii="Arial" w:hAnsi="Arial"/>
          <w:color w:val="231F20"/>
          <w:w w:val="95"/>
        </w:rPr>
        <w:t>bureau,</w:t>
      </w:r>
      <w:r>
        <w:rPr>
          <w:rFonts w:ascii="Arial" w:hAnsi="Arial"/>
          <w:color w:val="231F20"/>
          <w:spacing w:val="-3"/>
          <w:w w:val="95"/>
        </w:rPr>
        <w:t> </w:t>
      </w:r>
      <w:r>
        <w:rPr>
          <w:rFonts w:ascii="Arial" w:hAnsi="Arial"/>
          <w:color w:val="231F20"/>
          <w:w w:val="95"/>
        </w:rPr>
        <w:t>il</w:t>
      </w:r>
      <w:r>
        <w:rPr>
          <w:rFonts w:ascii="Arial" w:hAnsi="Arial"/>
          <w:color w:val="231F20"/>
          <w:spacing w:val="-3"/>
          <w:w w:val="95"/>
        </w:rPr>
        <w:t> </w:t>
      </w:r>
      <w:r>
        <w:rPr>
          <w:rFonts w:ascii="Arial" w:hAnsi="Arial"/>
          <w:color w:val="231F20"/>
          <w:w w:val="95"/>
        </w:rPr>
        <w:t>y</w:t>
      </w:r>
      <w:r>
        <w:rPr>
          <w:rFonts w:ascii="Arial" w:hAnsi="Arial"/>
          <w:color w:val="231F20"/>
          <w:spacing w:val="-3"/>
          <w:w w:val="95"/>
        </w:rPr>
        <w:t> </w:t>
      </w:r>
      <w:r>
        <w:rPr>
          <w:rFonts w:ascii="Arial" w:hAnsi="Arial"/>
          <w:color w:val="231F20"/>
          <w:w w:val="95"/>
        </w:rPr>
        <w:t>a</w:t>
      </w:r>
      <w:r>
        <w:rPr>
          <w:rFonts w:ascii="Arial" w:hAnsi="Arial"/>
          <w:color w:val="231F20"/>
          <w:spacing w:val="-3"/>
          <w:w w:val="95"/>
        </w:rPr>
        <w:t> </w:t>
      </w:r>
      <w:r>
        <w:rPr>
          <w:rFonts w:ascii="Arial" w:hAnsi="Arial"/>
          <w:color w:val="231F20"/>
          <w:w w:val="95"/>
        </w:rPr>
        <w:t>de</w:t>
      </w:r>
      <w:r>
        <w:rPr>
          <w:rFonts w:ascii="Arial" w:hAnsi="Arial"/>
          <w:color w:val="231F20"/>
          <w:spacing w:val="-3"/>
          <w:w w:val="95"/>
        </w:rPr>
        <w:t> </w:t>
      </w:r>
      <w:r>
        <w:rPr>
          <w:rFonts w:ascii="Arial" w:hAnsi="Arial"/>
          <w:color w:val="231F20"/>
          <w:w w:val="95"/>
        </w:rPr>
        <w:t>fortes</w:t>
      </w:r>
      <w:r>
        <w:rPr>
          <w:rFonts w:ascii="Arial" w:hAnsi="Arial"/>
          <w:color w:val="231F20"/>
          <w:spacing w:val="-3"/>
          <w:w w:val="95"/>
        </w:rPr>
        <w:t> </w:t>
      </w:r>
      <w:r>
        <w:rPr>
          <w:rFonts w:ascii="Arial" w:hAnsi="Arial"/>
          <w:color w:val="231F20"/>
          <w:w w:val="95"/>
        </w:rPr>
        <w:t>chances</w:t>
      </w:r>
      <w:r>
        <w:rPr>
          <w:rFonts w:ascii="Arial" w:hAnsi="Arial"/>
          <w:color w:val="231F20"/>
          <w:spacing w:val="-3"/>
          <w:w w:val="95"/>
        </w:rPr>
        <w:t> </w:t>
      </w:r>
      <w:r>
        <w:rPr>
          <w:rFonts w:ascii="Arial" w:hAnsi="Arial"/>
          <w:color w:val="231F20"/>
          <w:w w:val="95"/>
        </w:rPr>
        <w:t>que</w:t>
      </w:r>
      <w:r>
        <w:rPr>
          <w:rFonts w:ascii="Arial" w:hAnsi="Arial"/>
          <w:color w:val="231F20"/>
          <w:spacing w:val="-3"/>
          <w:w w:val="95"/>
        </w:rPr>
        <w:t> </w:t>
      </w:r>
      <w:r>
        <w:rPr>
          <w:rFonts w:ascii="Arial" w:hAnsi="Arial"/>
          <w:color w:val="231F20"/>
          <w:w w:val="95"/>
        </w:rPr>
        <w:t>cela</w:t>
      </w:r>
      <w:r>
        <w:rPr>
          <w:rFonts w:ascii="Arial" w:hAnsi="Arial"/>
          <w:color w:val="231F20"/>
          <w:spacing w:val="-3"/>
          <w:w w:val="95"/>
        </w:rPr>
        <w:t> </w:t>
      </w:r>
      <w:r>
        <w:rPr>
          <w:rFonts w:ascii="Arial" w:hAnsi="Arial"/>
          <w:color w:val="231F20"/>
          <w:w w:val="95"/>
        </w:rPr>
        <w:t>entraîne </w:t>
      </w:r>
      <w:r>
        <w:rPr>
          <w:rFonts w:ascii="Arial" w:hAnsi="Arial"/>
          <w:color w:val="231F20"/>
          <w:spacing w:val="-2"/>
        </w:rPr>
        <w:t>des</w:t>
      </w:r>
      <w:r>
        <w:rPr>
          <w:rFonts w:ascii="Arial" w:hAnsi="Arial"/>
          <w:color w:val="231F20"/>
          <w:spacing w:val="-10"/>
        </w:rPr>
        <w:t> </w:t>
      </w:r>
      <w:r>
        <w:rPr>
          <w:rFonts w:ascii="Arial" w:hAnsi="Arial"/>
          <w:color w:val="231F20"/>
          <w:spacing w:val="-2"/>
        </w:rPr>
        <w:t>répercussions</w:t>
      </w:r>
      <w:r>
        <w:rPr>
          <w:rFonts w:ascii="Arial" w:hAnsi="Arial"/>
          <w:color w:val="231F20"/>
          <w:spacing w:val="-10"/>
        </w:rPr>
        <w:t> </w:t>
      </w:r>
      <w:r>
        <w:rPr>
          <w:rFonts w:ascii="Arial" w:hAnsi="Arial"/>
          <w:color w:val="231F20"/>
          <w:spacing w:val="-2"/>
        </w:rPr>
        <w:t>sur</w:t>
      </w:r>
      <w:r>
        <w:rPr>
          <w:rFonts w:ascii="Arial" w:hAnsi="Arial"/>
          <w:color w:val="231F20"/>
          <w:spacing w:val="-10"/>
        </w:rPr>
        <w:t> </w:t>
      </w:r>
      <w:r>
        <w:rPr>
          <w:rFonts w:ascii="Arial" w:hAnsi="Arial"/>
          <w:color w:val="231F20"/>
          <w:spacing w:val="-2"/>
        </w:rPr>
        <w:t>la</w:t>
      </w:r>
      <w:r>
        <w:rPr>
          <w:rFonts w:ascii="Arial" w:hAnsi="Arial"/>
          <w:color w:val="231F20"/>
          <w:spacing w:val="-10"/>
        </w:rPr>
        <w:t> </w:t>
      </w:r>
      <w:r>
        <w:rPr>
          <w:rFonts w:ascii="Arial" w:hAnsi="Arial"/>
          <w:color w:val="231F20"/>
          <w:spacing w:val="-2"/>
        </w:rPr>
        <w:t>vie</w:t>
      </w:r>
      <w:r>
        <w:rPr>
          <w:rFonts w:ascii="Arial" w:hAnsi="Arial"/>
          <w:color w:val="231F20"/>
          <w:spacing w:val="-10"/>
        </w:rPr>
        <w:t> </w:t>
      </w:r>
      <w:r>
        <w:rPr>
          <w:rFonts w:ascii="Arial" w:hAnsi="Arial"/>
          <w:color w:val="231F20"/>
          <w:spacing w:val="-2"/>
        </w:rPr>
        <w:t>personnelle.</w:t>
      </w:r>
      <w:r>
        <w:rPr>
          <w:rFonts w:ascii="Arial" w:hAnsi="Arial"/>
          <w:color w:val="231F20"/>
          <w:spacing w:val="-9"/>
        </w:rPr>
        <w:t> </w:t>
      </w:r>
      <w:r>
        <w:rPr>
          <w:rFonts w:ascii="Arial" w:hAnsi="Arial"/>
          <w:color w:val="231F20"/>
          <w:spacing w:val="-2"/>
        </w:rPr>
        <w:t>Il</w:t>
      </w:r>
      <w:r>
        <w:rPr>
          <w:rFonts w:ascii="Arial" w:hAnsi="Arial"/>
          <w:color w:val="231F20"/>
          <w:spacing w:val="-10"/>
        </w:rPr>
        <w:t> </w:t>
      </w:r>
      <w:r>
        <w:rPr>
          <w:rFonts w:ascii="Arial" w:hAnsi="Arial"/>
          <w:color w:val="231F20"/>
          <w:spacing w:val="-2"/>
        </w:rPr>
        <w:t>est</w:t>
      </w:r>
      <w:r>
        <w:rPr>
          <w:rFonts w:ascii="Arial" w:hAnsi="Arial"/>
          <w:color w:val="231F20"/>
          <w:spacing w:val="-10"/>
        </w:rPr>
        <w:t> </w:t>
      </w:r>
      <w:r>
        <w:rPr>
          <w:rFonts w:ascii="Arial" w:hAnsi="Arial"/>
          <w:color w:val="231F20"/>
          <w:spacing w:val="-2"/>
        </w:rPr>
        <w:t>par</w:t>
      </w:r>
      <w:r>
        <w:rPr>
          <w:rFonts w:ascii="Arial" w:hAnsi="Arial"/>
          <w:color w:val="231F20"/>
          <w:spacing w:val="-10"/>
        </w:rPr>
        <w:t> </w:t>
      </w:r>
      <w:r>
        <w:rPr>
          <w:rFonts w:ascii="Arial" w:hAnsi="Arial"/>
          <w:color w:val="231F20"/>
          <w:spacing w:val="-2"/>
        </w:rPr>
        <w:t>ailleurs</w:t>
      </w:r>
      <w:r>
        <w:rPr>
          <w:rFonts w:ascii="Arial" w:hAnsi="Arial"/>
          <w:color w:val="231F20"/>
          <w:spacing w:val="-10"/>
        </w:rPr>
        <w:t> </w:t>
      </w:r>
      <w:r>
        <w:rPr>
          <w:rFonts w:ascii="Arial" w:hAnsi="Arial"/>
          <w:color w:val="231F20"/>
          <w:spacing w:val="-2"/>
        </w:rPr>
        <w:t>encourageant </w:t>
      </w:r>
      <w:r>
        <w:rPr>
          <w:rFonts w:ascii="Arial" w:hAnsi="Arial"/>
          <w:color w:val="231F20"/>
        </w:rPr>
        <w:t>d’observer</w:t>
      </w:r>
      <w:r>
        <w:rPr>
          <w:rFonts w:ascii="Arial" w:hAnsi="Arial"/>
          <w:color w:val="231F20"/>
          <w:spacing w:val="-3"/>
        </w:rPr>
        <w:t> </w:t>
      </w:r>
      <w:r>
        <w:rPr>
          <w:rFonts w:ascii="Arial" w:hAnsi="Arial"/>
          <w:color w:val="231F20"/>
        </w:rPr>
        <w:t>que</w:t>
      </w:r>
      <w:r>
        <w:rPr>
          <w:rFonts w:ascii="Arial" w:hAnsi="Arial"/>
          <w:color w:val="231F20"/>
          <w:spacing w:val="-3"/>
        </w:rPr>
        <w:t> </w:t>
      </w:r>
      <w:r>
        <w:rPr>
          <w:rFonts w:ascii="Arial" w:hAnsi="Arial"/>
          <w:color w:val="231F20"/>
        </w:rPr>
        <w:t>les</w:t>
      </w:r>
      <w:r>
        <w:rPr>
          <w:rFonts w:ascii="Arial" w:hAnsi="Arial"/>
          <w:color w:val="231F20"/>
          <w:spacing w:val="-3"/>
        </w:rPr>
        <w:t> </w:t>
      </w:r>
      <w:r>
        <w:rPr>
          <w:rFonts w:ascii="Arial" w:hAnsi="Arial"/>
          <w:color w:val="231F20"/>
        </w:rPr>
        <w:t>entreprises</w:t>
      </w:r>
      <w:r>
        <w:rPr>
          <w:rFonts w:ascii="Arial" w:hAnsi="Arial"/>
          <w:color w:val="231F20"/>
          <w:spacing w:val="-3"/>
        </w:rPr>
        <w:t> </w:t>
      </w:r>
      <w:r>
        <w:rPr>
          <w:rFonts w:ascii="Arial" w:hAnsi="Arial"/>
          <w:color w:val="231F20"/>
        </w:rPr>
        <w:t>se</w:t>
      </w:r>
      <w:r>
        <w:rPr>
          <w:rFonts w:ascii="Arial" w:hAnsi="Arial"/>
          <w:color w:val="231F20"/>
          <w:spacing w:val="-3"/>
        </w:rPr>
        <w:t> </w:t>
      </w:r>
      <w:r>
        <w:rPr>
          <w:rFonts w:ascii="Arial" w:hAnsi="Arial"/>
          <w:color w:val="231F20"/>
        </w:rPr>
        <w:t>préoccupent</w:t>
      </w:r>
      <w:r>
        <w:rPr>
          <w:rFonts w:ascii="Arial" w:hAnsi="Arial"/>
          <w:color w:val="231F20"/>
          <w:spacing w:val="-3"/>
        </w:rPr>
        <w:t> </w:t>
      </w:r>
      <w:r>
        <w:rPr>
          <w:rFonts w:ascii="Arial" w:hAnsi="Arial"/>
          <w:color w:val="231F20"/>
        </w:rPr>
        <w:t>davantage</w:t>
      </w:r>
      <w:r>
        <w:rPr>
          <w:rFonts w:ascii="Arial" w:hAnsi="Arial"/>
          <w:color w:val="231F20"/>
          <w:spacing w:val="-3"/>
        </w:rPr>
        <w:t> </w:t>
      </w:r>
      <w:r>
        <w:rPr>
          <w:rFonts w:ascii="Arial" w:hAnsi="Arial"/>
          <w:color w:val="231F20"/>
        </w:rPr>
        <w:t>du</w:t>
      </w:r>
      <w:r>
        <w:rPr>
          <w:rFonts w:ascii="Arial" w:hAnsi="Arial"/>
          <w:color w:val="231F20"/>
          <w:spacing w:val="-3"/>
        </w:rPr>
        <w:t> </w:t>
      </w:r>
      <w:r>
        <w:rPr>
          <w:rFonts w:ascii="Arial" w:hAnsi="Arial"/>
          <w:color w:val="231F20"/>
        </w:rPr>
        <w:t>bonheur de</w:t>
      </w:r>
      <w:r>
        <w:rPr>
          <w:rFonts w:ascii="Arial" w:hAnsi="Arial"/>
          <w:color w:val="231F20"/>
          <w:spacing w:val="-12"/>
        </w:rPr>
        <w:t> </w:t>
      </w:r>
      <w:r>
        <w:rPr>
          <w:rFonts w:ascii="Arial" w:hAnsi="Arial"/>
          <w:color w:val="231F20"/>
        </w:rPr>
        <w:t>leurs</w:t>
      </w:r>
      <w:r>
        <w:rPr>
          <w:rFonts w:ascii="Arial" w:hAnsi="Arial"/>
          <w:color w:val="231F20"/>
          <w:spacing w:val="-12"/>
        </w:rPr>
        <w:t> </w:t>
      </w:r>
      <w:r>
        <w:rPr>
          <w:rFonts w:ascii="Arial" w:hAnsi="Arial"/>
          <w:color w:val="231F20"/>
        </w:rPr>
        <w:t>employés</w:t>
      </w:r>
      <w:r>
        <w:rPr>
          <w:rFonts w:ascii="Arial" w:hAnsi="Arial"/>
          <w:color w:val="231F20"/>
          <w:spacing w:val="-12"/>
        </w:rPr>
        <w:t> </w:t>
      </w:r>
      <w:r>
        <w:rPr>
          <w:rFonts w:ascii="Arial" w:hAnsi="Arial"/>
          <w:color w:val="231F20"/>
        </w:rPr>
        <w:t>depuis</w:t>
      </w:r>
      <w:r>
        <w:rPr>
          <w:rFonts w:ascii="Arial" w:hAnsi="Arial"/>
          <w:color w:val="231F20"/>
          <w:spacing w:val="-12"/>
        </w:rPr>
        <w:t> </w:t>
      </w:r>
      <w:r>
        <w:rPr>
          <w:rFonts w:ascii="Arial" w:hAnsi="Arial"/>
          <w:color w:val="231F20"/>
        </w:rPr>
        <w:t>quelques</w:t>
      </w:r>
      <w:r>
        <w:rPr>
          <w:rFonts w:ascii="Arial" w:hAnsi="Arial"/>
          <w:color w:val="231F20"/>
          <w:spacing w:val="-12"/>
        </w:rPr>
        <w:t> </w:t>
      </w:r>
      <w:r>
        <w:rPr>
          <w:rFonts w:ascii="Arial" w:hAnsi="Arial"/>
          <w:color w:val="231F20"/>
        </w:rPr>
        <w:t>années.</w:t>
      </w:r>
      <w:r>
        <w:rPr>
          <w:rFonts w:ascii="Arial" w:hAnsi="Arial"/>
          <w:color w:val="231F20"/>
          <w:spacing w:val="-11"/>
        </w:rPr>
        <w:t> </w:t>
      </w:r>
      <w:r>
        <w:rPr>
          <w:rFonts w:ascii="Arial" w:hAnsi="Arial"/>
          <w:color w:val="231F20"/>
        </w:rPr>
        <w:t>Il</w:t>
      </w:r>
      <w:r>
        <w:rPr>
          <w:rFonts w:ascii="Arial" w:hAnsi="Arial"/>
          <w:color w:val="231F20"/>
          <w:spacing w:val="-12"/>
        </w:rPr>
        <w:t> </w:t>
      </w:r>
      <w:r>
        <w:rPr>
          <w:rFonts w:ascii="Arial" w:hAnsi="Arial"/>
          <w:color w:val="231F20"/>
        </w:rPr>
        <w:t>est</w:t>
      </w:r>
      <w:r>
        <w:rPr>
          <w:rFonts w:ascii="Arial" w:hAnsi="Arial"/>
          <w:color w:val="231F20"/>
          <w:spacing w:val="-12"/>
        </w:rPr>
        <w:t> </w:t>
      </w:r>
      <w:r>
        <w:rPr>
          <w:rFonts w:ascii="Arial" w:hAnsi="Arial"/>
          <w:color w:val="231F20"/>
        </w:rPr>
        <w:t>même</w:t>
      </w:r>
      <w:r>
        <w:rPr>
          <w:rFonts w:ascii="Arial" w:hAnsi="Arial"/>
          <w:color w:val="231F20"/>
          <w:spacing w:val="-12"/>
        </w:rPr>
        <w:t> </w:t>
      </w:r>
      <w:r>
        <w:rPr>
          <w:rFonts w:ascii="Arial" w:hAnsi="Arial"/>
          <w:color w:val="231F20"/>
        </w:rPr>
        <w:t>devenu</w:t>
      </w:r>
      <w:r>
        <w:rPr>
          <w:rFonts w:ascii="Arial" w:hAnsi="Arial"/>
          <w:color w:val="231F20"/>
          <w:spacing w:val="-12"/>
        </w:rPr>
        <w:t> </w:t>
      </w:r>
      <w:r>
        <w:rPr>
          <w:rFonts w:ascii="Arial" w:hAnsi="Arial"/>
          <w:color w:val="231F20"/>
        </w:rPr>
        <w:t>assez fréquent</w:t>
      </w:r>
      <w:r>
        <w:rPr>
          <w:rFonts w:ascii="Arial" w:hAnsi="Arial"/>
          <w:color w:val="231F20"/>
          <w:spacing w:val="34"/>
        </w:rPr>
        <w:t> </w:t>
      </w:r>
      <w:r>
        <w:rPr>
          <w:rFonts w:ascii="Arial" w:hAnsi="Arial"/>
          <w:color w:val="231F20"/>
        </w:rPr>
        <w:t>qu’une</w:t>
      </w:r>
      <w:r>
        <w:rPr>
          <w:rFonts w:ascii="Arial" w:hAnsi="Arial"/>
          <w:color w:val="231F20"/>
          <w:spacing w:val="34"/>
        </w:rPr>
        <w:t> </w:t>
      </w:r>
      <w:r>
        <w:rPr>
          <w:rFonts w:ascii="Arial" w:hAnsi="Arial"/>
          <w:color w:val="231F20"/>
        </w:rPr>
        <w:t>compagnie</w:t>
      </w:r>
      <w:r>
        <w:rPr>
          <w:rFonts w:ascii="Arial" w:hAnsi="Arial"/>
          <w:color w:val="231F20"/>
          <w:spacing w:val="34"/>
        </w:rPr>
        <w:t> </w:t>
      </w:r>
      <w:r>
        <w:rPr>
          <w:rFonts w:ascii="Arial" w:hAnsi="Arial"/>
          <w:color w:val="231F20"/>
        </w:rPr>
        <w:t>fasse</w:t>
      </w:r>
      <w:r>
        <w:rPr>
          <w:rFonts w:ascii="Arial" w:hAnsi="Arial"/>
          <w:color w:val="231F20"/>
          <w:spacing w:val="34"/>
        </w:rPr>
        <w:t> </w:t>
      </w:r>
      <w:r>
        <w:rPr>
          <w:rFonts w:ascii="Arial" w:hAnsi="Arial"/>
          <w:color w:val="231F20"/>
        </w:rPr>
        <w:t>une</w:t>
      </w:r>
      <w:r>
        <w:rPr>
          <w:rFonts w:ascii="Arial" w:hAnsi="Arial"/>
          <w:color w:val="231F20"/>
          <w:spacing w:val="34"/>
        </w:rPr>
        <w:t> </w:t>
      </w:r>
      <w:r>
        <w:rPr>
          <w:rFonts w:ascii="Arial" w:hAnsi="Arial"/>
          <w:color w:val="231F20"/>
        </w:rPr>
        <w:t>publicité</w:t>
      </w:r>
      <w:r>
        <w:rPr>
          <w:rFonts w:ascii="Arial" w:hAnsi="Arial"/>
          <w:color w:val="231F20"/>
          <w:spacing w:val="34"/>
        </w:rPr>
        <w:t> </w:t>
      </w:r>
      <w:r>
        <w:rPr>
          <w:rFonts w:ascii="Arial" w:hAnsi="Arial"/>
          <w:color w:val="231F20"/>
        </w:rPr>
        <w:t>non</w:t>
      </w:r>
      <w:r>
        <w:rPr>
          <w:rFonts w:ascii="Arial" w:hAnsi="Arial"/>
          <w:color w:val="231F20"/>
          <w:spacing w:val="34"/>
        </w:rPr>
        <w:t> </w:t>
      </w:r>
      <w:r>
        <w:rPr>
          <w:rFonts w:ascii="Arial" w:hAnsi="Arial"/>
          <w:color w:val="231F20"/>
        </w:rPr>
        <w:t>plus</w:t>
      </w:r>
      <w:r>
        <w:rPr>
          <w:rFonts w:ascii="Arial" w:hAnsi="Arial"/>
          <w:color w:val="231F20"/>
          <w:spacing w:val="34"/>
        </w:rPr>
        <w:t> </w:t>
      </w:r>
      <w:r>
        <w:rPr>
          <w:rFonts w:ascii="Arial" w:hAnsi="Arial"/>
          <w:color w:val="231F20"/>
        </w:rPr>
        <w:t>axée</w:t>
      </w:r>
      <w:r>
        <w:rPr>
          <w:rFonts w:ascii="Arial" w:hAnsi="Arial"/>
          <w:color w:val="231F20"/>
          <w:spacing w:val="34"/>
        </w:rPr>
        <w:t> </w:t>
      </w:r>
      <w:r>
        <w:rPr>
          <w:rFonts w:ascii="Arial" w:hAnsi="Arial"/>
          <w:color w:val="231F20"/>
        </w:rPr>
        <w:t>sur la qualité d’un produit X, mais plutôt sur le fait qu’elle est un bon employeur, une tendance de plus en plus à la mode.</w:t>
      </w:r>
    </w:p>
    <w:p>
      <w:pPr>
        <w:pStyle w:val="BodyText"/>
        <w:spacing w:line="307" w:lineRule="auto" w:before="58"/>
        <w:ind w:left="1430" w:right="495"/>
        <w:jc w:val="both"/>
        <w:rPr>
          <w:rFonts w:ascii="Arial" w:hAnsi="Arial"/>
        </w:rPr>
      </w:pPr>
      <w:r>
        <w:rPr>
          <w:rFonts w:ascii="Arial" w:hAnsi="Arial"/>
          <w:color w:val="231F20"/>
        </w:rPr>
        <w:t>Avoir la chance de travailler dans un milieu qui nous anime, nous sti- mule</w:t>
      </w:r>
      <w:r>
        <w:rPr>
          <w:rFonts w:ascii="Arial" w:hAnsi="Arial"/>
          <w:color w:val="231F20"/>
          <w:spacing w:val="-7"/>
        </w:rPr>
        <w:t> </w:t>
      </w:r>
      <w:r>
        <w:rPr>
          <w:rFonts w:ascii="Arial" w:hAnsi="Arial"/>
          <w:color w:val="231F20"/>
        </w:rPr>
        <w:t>et</w:t>
      </w:r>
      <w:r>
        <w:rPr>
          <w:rFonts w:ascii="Arial" w:hAnsi="Arial"/>
          <w:color w:val="231F20"/>
          <w:spacing w:val="-7"/>
        </w:rPr>
        <w:t> </w:t>
      </w:r>
      <w:r>
        <w:rPr>
          <w:rFonts w:ascii="Arial" w:hAnsi="Arial"/>
          <w:color w:val="231F20"/>
        </w:rPr>
        <w:t>facilite</w:t>
      </w:r>
      <w:r>
        <w:rPr>
          <w:rFonts w:ascii="Arial" w:hAnsi="Arial"/>
          <w:color w:val="231F20"/>
          <w:spacing w:val="-7"/>
        </w:rPr>
        <w:t> </w:t>
      </w:r>
      <w:r>
        <w:rPr>
          <w:rFonts w:ascii="Arial" w:hAnsi="Arial"/>
          <w:color w:val="231F20"/>
        </w:rPr>
        <w:t>notre</w:t>
      </w:r>
      <w:r>
        <w:rPr>
          <w:rFonts w:ascii="Arial" w:hAnsi="Arial"/>
          <w:color w:val="231F20"/>
          <w:spacing w:val="-7"/>
        </w:rPr>
        <w:t> </w:t>
      </w:r>
      <w:r>
        <w:rPr>
          <w:rFonts w:ascii="Arial" w:hAnsi="Arial"/>
          <w:color w:val="231F20"/>
        </w:rPr>
        <w:t>lever</w:t>
      </w:r>
      <w:r>
        <w:rPr>
          <w:rFonts w:ascii="Arial" w:hAnsi="Arial"/>
          <w:color w:val="231F20"/>
          <w:spacing w:val="-7"/>
        </w:rPr>
        <w:t> </w:t>
      </w:r>
      <w:r>
        <w:rPr>
          <w:rFonts w:ascii="Arial" w:hAnsi="Arial"/>
          <w:color w:val="231F20"/>
        </w:rPr>
        <w:t>matinal,</w:t>
      </w:r>
      <w:r>
        <w:rPr>
          <w:rFonts w:ascii="Arial" w:hAnsi="Arial"/>
          <w:color w:val="231F20"/>
          <w:spacing w:val="-7"/>
        </w:rPr>
        <w:t> </w:t>
      </w:r>
      <w:r>
        <w:rPr>
          <w:rFonts w:ascii="Arial" w:hAnsi="Arial"/>
          <w:color w:val="231F20"/>
        </w:rPr>
        <w:t>ce</w:t>
      </w:r>
      <w:r>
        <w:rPr>
          <w:rFonts w:ascii="Arial" w:hAnsi="Arial"/>
          <w:color w:val="231F20"/>
          <w:spacing w:val="-7"/>
        </w:rPr>
        <w:t> </w:t>
      </w:r>
      <w:r>
        <w:rPr>
          <w:rFonts w:ascii="Arial" w:hAnsi="Arial"/>
          <w:color w:val="231F20"/>
        </w:rPr>
        <w:t>n’est</w:t>
      </w:r>
      <w:r>
        <w:rPr>
          <w:rFonts w:ascii="Arial" w:hAnsi="Arial"/>
          <w:color w:val="231F20"/>
          <w:spacing w:val="-7"/>
        </w:rPr>
        <w:t> </w:t>
      </w:r>
      <w:r>
        <w:rPr>
          <w:rFonts w:ascii="Arial" w:hAnsi="Arial"/>
          <w:color w:val="231F20"/>
        </w:rPr>
        <w:t>pas</w:t>
      </w:r>
      <w:r>
        <w:rPr>
          <w:rFonts w:ascii="Arial" w:hAnsi="Arial"/>
          <w:color w:val="231F20"/>
          <w:spacing w:val="-7"/>
        </w:rPr>
        <w:t> </w:t>
      </w:r>
      <w:r>
        <w:rPr>
          <w:rFonts w:ascii="Arial" w:hAnsi="Arial"/>
          <w:color w:val="231F20"/>
        </w:rPr>
        <w:t>donné</w:t>
      </w:r>
      <w:r>
        <w:rPr>
          <w:rFonts w:ascii="Arial" w:hAnsi="Arial"/>
          <w:color w:val="231F20"/>
          <w:spacing w:val="-7"/>
        </w:rPr>
        <w:t> </w:t>
      </w:r>
      <w:r>
        <w:rPr>
          <w:rFonts w:ascii="Arial" w:hAnsi="Arial"/>
          <w:color w:val="231F20"/>
        </w:rPr>
        <w:t>à</w:t>
      </w:r>
      <w:r>
        <w:rPr>
          <w:rFonts w:ascii="Arial" w:hAnsi="Arial"/>
          <w:color w:val="231F20"/>
          <w:spacing w:val="-7"/>
        </w:rPr>
        <w:t> </w:t>
      </w:r>
      <w:r>
        <w:rPr>
          <w:rFonts w:ascii="Arial" w:hAnsi="Arial"/>
          <w:color w:val="231F20"/>
        </w:rPr>
        <w:t>tous.</w:t>
      </w:r>
      <w:r>
        <w:rPr>
          <w:rFonts w:ascii="Arial" w:hAnsi="Arial"/>
          <w:color w:val="231F20"/>
          <w:spacing w:val="-7"/>
        </w:rPr>
        <w:t> </w:t>
      </w:r>
      <w:r>
        <w:rPr>
          <w:rFonts w:ascii="Arial" w:hAnsi="Arial"/>
          <w:color w:val="231F20"/>
        </w:rPr>
        <w:t>Or,</w:t>
      </w:r>
      <w:r>
        <w:rPr>
          <w:rFonts w:ascii="Arial" w:hAnsi="Arial"/>
          <w:color w:val="231F20"/>
          <w:spacing w:val="-7"/>
        </w:rPr>
        <w:t> </w:t>
      </w:r>
      <w:r>
        <w:rPr>
          <w:rFonts w:ascii="Arial" w:hAnsi="Arial"/>
          <w:color w:val="231F20"/>
        </w:rPr>
        <w:t>avec un peu de volonté et d’imagination, il est possible de transformer </w:t>
      </w:r>
      <w:r>
        <w:rPr>
          <w:rFonts w:ascii="Arial" w:hAnsi="Arial"/>
          <w:color w:val="231F20"/>
        </w:rPr>
        <w:t>les labeurs du quotidien en un environnement professionnel valorisant et agréable</w:t>
      </w:r>
      <w:r>
        <w:rPr>
          <w:rFonts w:ascii="Arial" w:hAnsi="Arial"/>
          <w:color w:val="231F20"/>
          <w:spacing w:val="-9"/>
        </w:rPr>
        <w:t> </w:t>
      </w:r>
      <w:r>
        <w:rPr>
          <w:rFonts w:ascii="Arial" w:hAnsi="Arial"/>
          <w:color w:val="231F20"/>
        </w:rPr>
        <w:t>qui</w:t>
      </w:r>
      <w:r>
        <w:rPr>
          <w:rFonts w:ascii="Arial" w:hAnsi="Arial"/>
          <w:color w:val="231F20"/>
          <w:spacing w:val="-9"/>
        </w:rPr>
        <w:t> </w:t>
      </w:r>
      <w:r>
        <w:rPr>
          <w:rFonts w:ascii="Arial" w:hAnsi="Arial"/>
          <w:color w:val="231F20"/>
        </w:rPr>
        <w:t>stimule</w:t>
      </w:r>
      <w:r>
        <w:rPr>
          <w:rFonts w:ascii="Arial" w:hAnsi="Arial"/>
          <w:color w:val="231F20"/>
          <w:spacing w:val="-9"/>
        </w:rPr>
        <w:t> </w:t>
      </w:r>
      <w:r>
        <w:rPr>
          <w:rFonts w:ascii="Arial" w:hAnsi="Arial"/>
          <w:color w:val="231F20"/>
        </w:rPr>
        <w:t>l’ambition.</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même,</w:t>
      </w:r>
      <w:r>
        <w:rPr>
          <w:rFonts w:ascii="Arial" w:hAnsi="Arial"/>
          <w:color w:val="231F20"/>
          <w:spacing w:val="-9"/>
        </w:rPr>
        <w:t> </w:t>
      </w:r>
      <w:r>
        <w:rPr>
          <w:rFonts w:ascii="Arial" w:hAnsi="Arial"/>
          <w:color w:val="231F20"/>
        </w:rPr>
        <w:t>les</w:t>
      </w:r>
      <w:r>
        <w:rPr>
          <w:rFonts w:ascii="Arial" w:hAnsi="Arial"/>
          <w:color w:val="231F20"/>
          <w:spacing w:val="-9"/>
        </w:rPr>
        <w:t> </w:t>
      </w:r>
      <w:r>
        <w:rPr>
          <w:rFonts w:ascii="Arial" w:hAnsi="Arial"/>
          <w:color w:val="231F20"/>
        </w:rPr>
        <w:t>employeurs</w:t>
      </w:r>
      <w:r>
        <w:rPr>
          <w:rFonts w:ascii="Arial" w:hAnsi="Arial"/>
          <w:color w:val="231F20"/>
          <w:spacing w:val="-9"/>
        </w:rPr>
        <w:t> </w:t>
      </w:r>
      <w:r>
        <w:rPr>
          <w:rFonts w:ascii="Arial" w:hAnsi="Arial"/>
          <w:color w:val="231F20"/>
        </w:rPr>
        <w:t>en</w:t>
      </w:r>
      <w:r>
        <w:rPr>
          <w:rFonts w:ascii="Arial" w:hAnsi="Arial"/>
          <w:color w:val="231F20"/>
          <w:spacing w:val="-9"/>
        </w:rPr>
        <w:t> </w:t>
      </w:r>
      <w:r>
        <w:rPr>
          <w:rFonts w:ascii="Arial" w:hAnsi="Arial"/>
          <w:color w:val="231F20"/>
        </w:rPr>
        <w:t>quête</w:t>
      </w:r>
      <w:r>
        <w:rPr>
          <w:rFonts w:ascii="Arial" w:hAnsi="Arial"/>
          <w:color w:val="231F20"/>
          <w:spacing w:val="-9"/>
        </w:rPr>
        <w:t> </w:t>
      </w:r>
      <w:r>
        <w:rPr>
          <w:rFonts w:ascii="Arial" w:hAnsi="Arial"/>
          <w:color w:val="231F20"/>
        </w:rPr>
        <w:t>de productivité</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d’amélioration</w:t>
      </w:r>
      <w:r>
        <w:rPr>
          <w:rFonts w:ascii="Arial" w:hAnsi="Arial"/>
          <w:color w:val="231F20"/>
          <w:spacing w:val="-3"/>
        </w:rPr>
        <w:t> </w:t>
      </w:r>
      <w:r>
        <w:rPr>
          <w:rFonts w:ascii="Arial" w:hAnsi="Arial"/>
          <w:color w:val="231F20"/>
        </w:rPr>
        <w:t>du</w:t>
      </w:r>
      <w:r>
        <w:rPr>
          <w:rFonts w:ascii="Arial" w:hAnsi="Arial"/>
          <w:color w:val="231F20"/>
          <w:spacing w:val="-3"/>
        </w:rPr>
        <w:t> </w:t>
      </w:r>
      <w:r>
        <w:rPr>
          <w:rFonts w:ascii="Arial" w:hAnsi="Arial"/>
          <w:color w:val="231F20"/>
        </w:rPr>
        <w:t>taux</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rétention</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leurs</w:t>
      </w:r>
      <w:r>
        <w:rPr>
          <w:rFonts w:ascii="Arial" w:hAnsi="Arial"/>
          <w:color w:val="231F20"/>
          <w:spacing w:val="-3"/>
        </w:rPr>
        <w:t> </w:t>
      </w:r>
      <w:r>
        <w:rPr>
          <w:rFonts w:ascii="Arial" w:hAnsi="Arial"/>
          <w:color w:val="231F20"/>
        </w:rPr>
        <w:t>travailleurs auraient</w:t>
      </w:r>
      <w:r>
        <w:rPr>
          <w:rFonts w:ascii="Arial" w:hAnsi="Arial"/>
          <w:color w:val="231F20"/>
          <w:spacing w:val="-11"/>
        </w:rPr>
        <w:t> </w:t>
      </w:r>
      <w:r>
        <w:rPr>
          <w:rFonts w:ascii="Arial" w:hAnsi="Arial"/>
          <w:color w:val="231F20"/>
        </w:rPr>
        <w:t>intérêt</w:t>
      </w:r>
      <w:r>
        <w:rPr>
          <w:rFonts w:ascii="Arial" w:hAnsi="Arial"/>
          <w:color w:val="231F20"/>
          <w:spacing w:val="-11"/>
        </w:rPr>
        <w:t> </w:t>
      </w:r>
      <w:r>
        <w:rPr>
          <w:rFonts w:ascii="Arial" w:hAnsi="Arial"/>
          <w:color w:val="231F20"/>
        </w:rPr>
        <w:t>à</w:t>
      </w:r>
      <w:r>
        <w:rPr>
          <w:rFonts w:ascii="Arial" w:hAnsi="Arial"/>
          <w:color w:val="231F20"/>
          <w:spacing w:val="-11"/>
        </w:rPr>
        <w:t> </w:t>
      </w:r>
      <w:r>
        <w:rPr>
          <w:rFonts w:ascii="Arial" w:hAnsi="Arial"/>
          <w:color w:val="231F20"/>
        </w:rPr>
        <w:t>s’interroger</w:t>
      </w:r>
      <w:r>
        <w:rPr>
          <w:rFonts w:ascii="Arial" w:hAnsi="Arial"/>
          <w:color w:val="231F20"/>
          <w:spacing w:val="-11"/>
        </w:rPr>
        <w:t> </w:t>
      </w:r>
      <w:r>
        <w:rPr>
          <w:rFonts w:ascii="Arial" w:hAnsi="Arial"/>
          <w:color w:val="231F20"/>
        </w:rPr>
        <w:t>sur</w:t>
      </w:r>
      <w:r>
        <w:rPr>
          <w:rFonts w:ascii="Arial" w:hAnsi="Arial"/>
          <w:color w:val="231F20"/>
          <w:spacing w:val="-11"/>
        </w:rPr>
        <w:t> </w:t>
      </w:r>
      <w:r>
        <w:rPr>
          <w:rFonts w:ascii="Arial" w:hAnsi="Arial"/>
          <w:color w:val="231F20"/>
        </w:rPr>
        <w:t>l’ensemble</w:t>
      </w:r>
      <w:r>
        <w:rPr>
          <w:rFonts w:ascii="Arial" w:hAnsi="Arial"/>
          <w:color w:val="231F20"/>
          <w:spacing w:val="-11"/>
        </w:rPr>
        <w:t> </w:t>
      </w:r>
      <w:r>
        <w:rPr>
          <w:rFonts w:ascii="Arial" w:hAnsi="Arial"/>
          <w:color w:val="231F20"/>
        </w:rPr>
        <w:t>des</w:t>
      </w:r>
      <w:r>
        <w:rPr>
          <w:rFonts w:ascii="Arial" w:hAnsi="Arial"/>
          <w:color w:val="231F20"/>
          <w:spacing w:val="-11"/>
        </w:rPr>
        <w:t> </w:t>
      </w:r>
      <w:r>
        <w:rPr>
          <w:rFonts w:ascii="Arial" w:hAnsi="Arial"/>
          <w:color w:val="231F20"/>
        </w:rPr>
        <w:t>aspects</w:t>
      </w:r>
      <w:r>
        <w:rPr>
          <w:rFonts w:ascii="Arial" w:hAnsi="Arial"/>
          <w:color w:val="231F20"/>
          <w:spacing w:val="-11"/>
        </w:rPr>
        <w:t> </w:t>
      </w:r>
      <w:r>
        <w:rPr>
          <w:rFonts w:ascii="Arial" w:hAnsi="Arial"/>
          <w:color w:val="231F20"/>
        </w:rPr>
        <w:t>–</w:t>
      </w:r>
      <w:r>
        <w:rPr>
          <w:rFonts w:ascii="Arial" w:hAnsi="Arial"/>
          <w:color w:val="231F20"/>
          <w:spacing w:val="-11"/>
        </w:rPr>
        <w:t> </w:t>
      </w:r>
      <w:r>
        <w:rPr>
          <w:rFonts w:ascii="Arial" w:hAnsi="Arial"/>
          <w:color w:val="231F20"/>
        </w:rPr>
        <w:t>tant</w:t>
      </w:r>
      <w:r>
        <w:rPr>
          <w:rFonts w:ascii="Arial" w:hAnsi="Arial"/>
          <w:color w:val="231F20"/>
          <w:spacing w:val="-11"/>
        </w:rPr>
        <w:t> </w:t>
      </w:r>
      <w:r>
        <w:rPr>
          <w:rFonts w:ascii="Arial" w:hAnsi="Arial"/>
          <w:color w:val="231F20"/>
        </w:rPr>
        <w:t>positifs qu’irritants – qui compose[nt] une journée au boulot.</w:t>
      </w:r>
    </w:p>
    <w:p>
      <w:pPr>
        <w:pStyle w:val="BodyText"/>
        <w:spacing w:line="307" w:lineRule="auto" w:before="59"/>
        <w:ind w:left="1430" w:right="493"/>
        <w:jc w:val="both"/>
        <w:rPr>
          <w:rFonts w:ascii="Arial" w:hAnsi="Arial"/>
        </w:rPr>
      </w:pPr>
      <w:r>
        <w:rPr>
          <w:rFonts w:ascii="Arial" w:hAnsi="Arial"/>
          <w:color w:val="231F20"/>
        </w:rPr>
        <w:t>La capacité à innover d’une entreprise repose sur ses ressources </w:t>
      </w:r>
      <w:r>
        <w:rPr>
          <w:rFonts w:ascii="Arial" w:hAnsi="Arial"/>
          <w:color w:val="231F20"/>
          <w:w w:val="105"/>
        </w:rPr>
        <w:t>humaines. Il est par conséquent primordial de porter une attention </w:t>
      </w:r>
      <w:r>
        <w:rPr>
          <w:rFonts w:ascii="Arial" w:hAnsi="Arial"/>
          <w:color w:val="231F20"/>
        </w:rPr>
        <w:t>particulière à l’environnement dans lequel les gens travaillent, ce qui </w:t>
      </w:r>
      <w:r>
        <w:rPr>
          <w:rFonts w:ascii="Arial" w:hAnsi="Arial"/>
          <w:color w:val="231F20"/>
          <w:w w:val="105"/>
        </w:rPr>
        <w:t>ne</w:t>
      </w:r>
      <w:r>
        <w:rPr>
          <w:rFonts w:ascii="Arial" w:hAnsi="Arial"/>
          <w:color w:val="231F20"/>
          <w:spacing w:val="-4"/>
          <w:w w:val="105"/>
        </w:rPr>
        <w:t> </w:t>
      </w:r>
      <w:r>
        <w:rPr>
          <w:rFonts w:ascii="Arial" w:hAnsi="Arial"/>
          <w:color w:val="231F20"/>
          <w:w w:val="105"/>
        </w:rPr>
        <w:t>manquera</w:t>
      </w:r>
      <w:r>
        <w:rPr>
          <w:rFonts w:ascii="Arial" w:hAnsi="Arial"/>
          <w:color w:val="231F20"/>
          <w:spacing w:val="-4"/>
          <w:w w:val="105"/>
        </w:rPr>
        <w:t> </w:t>
      </w:r>
      <w:r>
        <w:rPr>
          <w:rFonts w:ascii="Arial" w:hAnsi="Arial"/>
          <w:color w:val="231F20"/>
          <w:w w:val="105"/>
        </w:rPr>
        <w:t>pas</w:t>
      </w:r>
      <w:r>
        <w:rPr>
          <w:rFonts w:ascii="Arial" w:hAnsi="Arial"/>
          <w:color w:val="231F20"/>
          <w:spacing w:val="-4"/>
          <w:w w:val="105"/>
        </w:rPr>
        <w:t> </w:t>
      </w:r>
      <w:r>
        <w:rPr>
          <w:rFonts w:ascii="Arial" w:hAnsi="Arial"/>
          <w:color w:val="231F20"/>
          <w:w w:val="105"/>
        </w:rPr>
        <w:t>d’influencer</w:t>
      </w:r>
      <w:r>
        <w:rPr>
          <w:rFonts w:ascii="Arial" w:hAnsi="Arial"/>
          <w:color w:val="231F20"/>
          <w:spacing w:val="-4"/>
          <w:w w:val="105"/>
        </w:rPr>
        <w:t> </w:t>
      </w:r>
      <w:r>
        <w:rPr>
          <w:rFonts w:ascii="Arial" w:hAnsi="Arial"/>
          <w:color w:val="231F20"/>
          <w:w w:val="105"/>
        </w:rPr>
        <w:t>leur</w:t>
      </w:r>
      <w:r>
        <w:rPr>
          <w:rFonts w:ascii="Arial" w:hAnsi="Arial"/>
          <w:color w:val="231F20"/>
          <w:spacing w:val="-4"/>
          <w:w w:val="105"/>
        </w:rPr>
        <w:t> </w:t>
      </w:r>
      <w:r>
        <w:rPr>
          <w:rFonts w:ascii="Arial" w:hAnsi="Arial"/>
          <w:color w:val="231F20"/>
          <w:w w:val="105"/>
        </w:rPr>
        <w:t>degré</w:t>
      </w:r>
      <w:r>
        <w:rPr>
          <w:rFonts w:ascii="Arial" w:hAnsi="Arial"/>
          <w:color w:val="231F20"/>
          <w:spacing w:val="-4"/>
          <w:w w:val="105"/>
        </w:rPr>
        <w:t> </w:t>
      </w:r>
      <w:r>
        <w:rPr>
          <w:rFonts w:ascii="Arial" w:hAnsi="Arial"/>
          <w:color w:val="231F20"/>
          <w:w w:val="105"/>
        </w:rPr>
        <w:t>de</w:t>
      </w:r>
      <w:r>
        <w:rPr>
          <w:rFonts w:ascii="Arial" w:hAnsi="Arial"/>
          <w:color w:val="231F20"/>
          <w:spacing w:val="-4"/>
          <w:w w:val="105"/>
        </w:rPr>
        <w:t> </w:t>
      </w:r>
      <w:r>
        <w:rPr>
          <w:rFonts w:ascii="Arial" w:hAnsi="Arial"/>
          <w:color w:val="231F20"/>
          <w:w w:val="105"/>
        </w:rPr>
        <w:t>créativité.</w:t>
      </w:r>
    </w:p>
    <w:p>
      <w:pPr>
        <w:pStyle w:val="BodyText"/>
        <w:spacing w:line="307" w:lineRule="auto" w:before="60"/>
        <w:ind w:left="1430" w:right="495"/>
        <w:jc w:val="both"/>
        <w:rPr>
          <w:rFonts w:ascii="Arial" w:hAnsi="Arial"/>
        </w:rPr>
      </w:pPr>
      <w:r>
        <w:rPr>
          <w:rFonts w:ascii="Arial" w:hAnsi="Arial"/>
          <w:color w:val="231F20"/>
        </w:rPr>
        <w:t>Si</w:t>
      </w:r>
      <w:r>
        <w:rPr>
          <w:rFonts w:ascii="Arial" w:hAnsi="Arial"/>
          <w:color w:val="231F20"/>
          <w:spacing w:val="-10"/>
        </w:rPr>
        <w:t> </w:t>
      </w:r>
      <w:r>
        <w:rPr>
          <w:rFonts w:ascii="Arial" w:hAnsi="Arial"/>
          <w:color w:val="231F20"/>
        </w:rPr>
        <w:t>autant</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compagnies</w:t>
      </w:r>
      <w:r>
        <w:rPr>
          <w:rFonts w:ascii="Arial" w:hAnsi="Arial"/>
          <w:color w:val="231F20"/>
          <w:spacing w:val="-10"/>
        </w:rPr>
        <w:t> </w:t>
      </w:r>
      <w:r>
        <w:rPr>
          <w:rFonts w:ascii="Arial" w:hAnsi="Arial"/>
          <w:color w:val="231F20"/>
        </w:rPr>
        <w:t>investissent</w:t>
      </w:r>
      <w:r>
        <w:rPr>
          <w:rFonts w:ascii="Arial" w:hAnsi="Arial"/>
          <w:color w:val="231F20"/>
          <w:spacing w:val="-10"/>
        </w:rPr>
        <w:t> </w:t>
      </w:r>
      <w:r>
        <w:rPr>
          <w:rFonts w:ascii="Arial" w:hAnsi="Arial"/>
          <w:color w:val="231F20"/>
        </w:rPr>
        <w:t>temps</w:t>
      </w:r>
      <w:r>
        <w:rPr>
          <w:rFonts w:ascii="Arial" w:hAnsi="Arial"/>
          <w:color w:val="231F20"/>
          <w:spacing w:val="-10"/>
        </w:rPr>
        <w:t> </w:t>
      </w:r>
      <w:r>
        <w:rPr>
          <w:rFonts w:ascii="Arial" w:hAnsi="Arial"/>
          <w:color w:val="231F20"/>
        </w:rPr>
        <w:t>et</w:t>
      </w:r>
      <w:r>
        <w:rPr>
          <w:rFonts w:ascii="Arial" w:hAnsi="Arial"/>
          <w:color w:val="231F20"/>
          <w:spacing w:val="-10"/>
        </w:rPr>
        <w:t> </w:t>
      </w:r>
      <w:r>
        <w:rPr>
          <w:rFonts w:ascii="Arial" w:hAnsi="Arial"/>
          <w:color w:val="231F20"/>
        </w:rPr>
        <w:t>ressources</w:t>
      </w:r>
      <w:r>
        <w:rPr>
          <w:rFonts w:ascii="Arial" w:hAnsi="Arial"/>
          <w:color w:val="231F20"/>
          <w:spacing w:val="-10"/>
        </w:rPr>
        <w:t> </w:t>
      </w:r>
      <w:r>
        <w:rPr>
          <w:rFonts w:ascii="Arial" w:hAnsi="Arial"/>
          <w:color w:val="231F20"/>
        </w:rPr>
        <w:t>dans</w:t>
      </w:r>
      <w:r>
        <w:rPr>
          <w:rFonts w:ascii="Arial" w:hAnsi="Arial"/>
          <w:color w:val="231F20"/>
          <w:spacing w:val="-10"/>
        </w:rPr>
        <w:t> </w:t>
      </w:r>
      <w:r>
        <w:rPr>
          <w:rFonts w:ascii="Arial" w:hAnsi="Arial"/>
          <w:color w:val="231F20"/>
        </w:rPr>
        <w:t>la</w:t>
      </w:r>
      <w:r>
        <w:rPr>
          <w:rFonts w:ascii="Arial" w:hAnsi="Arial"/>
          <w:color w:val="231F20"/>
          <w:spacing w:val="-10"/>
        </w:rPr>
        <w:t> </w:t>
      </w:r>
      <w:r>
        <w:rPr>
          <w:rFonts w:ascii="Arial" w:hAnsi="Arial"/>
          <w:color w:val="231F20"/>
        </w:rPr>
        <w:t>pla- nification</w:t>
      </w:r>
      <w:r>
        <w:rPr>
          <w:rFonts w:ascii="Arial" w:hAnsi="Arial"/>
          <w:color w:val="231F20"/>
          <w:spacing w:val="-1"/>
        </w:rPr>
        <w:t> </w:t>
      </w:r>
      <w:r>
        <w:rPr>
          <w:rFonts w:ascii="Arial" w:hAnsi="Arial"/>
          <w:color w:val="231F20"/>
        </w:rPr>
        <w:t>et</w:t>
      </w:r>
      <w:r>
        <w:rPr>
          <w:rFonts w:ascii="Arial" w:hAnsi="Arial"/>
          <w:color w:val="231F20"/>
          <w:spacing w:val="-1"/>
        </w:rPr>
        <w:t> </w:t>
      </w:r>
      <w:r>
        <w:rPr>
          <w:rFonts w:ascii="Arial" w:hAnsi="Arial"/>
          <w:color w:val="231F20"/>
        </w:rPr>
        <w:t>l’aménagement</w:t>
      </w:r>
      <w:r>
        <w:rPr>
          <w:rFonts w:ascii="Arial" w:hAnsi="Arial"/>
          <w:color w:val="231F20"/>
          <w:spacing w:val="-1"/>
        </w:rPr>
        <w:t> </w:t>
      </w:r>
      <w:r>
        <w:rPr>
          <w:rFonts w:ascii="Arial" w:hAnsi="Arial"/>
          <w:color w:val="231F20"/>
        </w:rPr>
        <w:t>d’un</w:t>
      </w:r>
      <w:r>
        <w:rPr>
          <w:rFonts w:ascii="Arial" w:hAnsi="Arial"/>
          <w:color w:val="231F20"/>
          <w:spacing w:val="-1"/>
        </w:rPr>
        <w:t> </w:t>
      </w:r>
      <w:r>
        <w:rPr>
          <w:rFonts w:ascii="Arial" w:hAnsi="Arial"/>
          <w:color w:val="231F20"/>
        </w:rPr>
        <w:t>espace</w:t>
      </w:r>
      <w:r>
        <w:rPr>
          <w:rFonts w:ascii="Arial" w:hAnsi="Arial"/>
          <w:color w:val="231F20"/>
          <w:spacing w:val="-1"/>
        </w:rPr>
        <w:t> </w:t>
      </w:r>
      <w:r>
        <w:rPr>
          <w:rFonts w:ascii="Arial" w:hAnsi="Arial"/>
          <w:color w:val="231F20"/>
        </w:rPr>
        <w:t>de</w:t>
      </w:r>
      <w:r>
        <w:rPr>
          <w:rFonts w:ascii="Arial" w:hAnsi="Arial"/>
          <w:color w:val="231F20"/>
          <w:spacing w:val="-3"/>
        </w:rPr>
        <w:t> </w:t>
      </w:r>
      <w:r>
        <w:rPr>
          <w:rFonts w:ascii="Arial" w:hAnsi="Arial"/>
          <w:color w:val="231F20"/>
        </w:rPr>
        <w:t>travail</w:t>
      </w:r>
      <w:r>
        <w:rPr>
          <w:rFonts w:ascii="Arial" w:hAnsi="Arial"/>
          <w:color w:val="231F20"/>
          <w:spacing w:val="-3"/>
        </w:rPr>
        <w:t> </w:t>
      </w:r>
      <w:r>
        <w:rPr>
          <w:rFonts w:ascii="Arial" w:hAnsi="Arial"/>
          <w:color w:val="231F20"/>
        </w:rPr>
        <w:t>confortable</w:t>
      </w:r>
      <w:r>
        <w:rPr>
          <w:rFonts w:ascii="Arial" w:hAnsi="Arial"/>
          <w:color w:val="231F20"/>
          <w:spacing w:val="-3"/>
        </w:rPr>
        <w:t> </w:t>
      </w:r>
      <w:r>
        <w:rPr>
          <w:rFonts w:ascii="Arial" w:hAnsi="Arial"/>
          <w:color w:val="231F20"/>
        </w:rPr>
        <w:t>et</w:t>
      </w:r>
      <w:r>
        <w:rPr>
          <w:rFonts w:ascii="Arial" w:hAnsi="Arial"/>
          <w:color w:val="231F20"/>
          <w:spacing w:val="-1"/>
        </w:rPr>
        <w:t> </w:t>
      </w:r>
      <w:r>
        <w:rPr>
          <w:rFonts w:ascii="Arial" w:hAnsi="Arial"/>
          <w:color w:val="231F20"/>
        </w:rPr>
        <w:t>spa- cieux,</w:t>
      </w:r>
      <w:r>
        <w:rPr>
          <w:rFonts w:ascii="Arial" w:hAnsi="Arial"/>
          <w:color w:val="231F20"/>
          <w:spacing w:val="9"/>
        </w:rPr>
        <w:t> </w:t>
      </w:r>
      <w:r>
        <w:rPr>
          <w:rFonts w:ascii="Arial" w:hAnsi="Arial"/>
          <w:color w:val="231F20"/>
        </w:rPr>
        <w:t>c’est</w:t>
      </w:r>
      <w:r>
        <w:rPr>
          <w:rFonts w:ascii="Arial" w:hAnsi="Arial"/>
          <w:color w:val="231F20"/>
          <w:spacing w:val="9"/>
        </w:rPr>
        <w:t> </w:t>
      </w:r>
      <w:r>
        <w:rPr>
          <w:rFonts w:ascii="Arial" w:hAnsi="Arial"/>
          <w:color w:val="231F20"/>
        </w:rPr>
        <w:t>qu’elles</w:t>
      </w:r>
      <w:r>
        <w:rPr>
          <w:rFonts w:ascii="Arial" w:hAnsi="Arial"/>
          <w:color w:val="231F20"/>
          <w:spacing w:val="10"/>
        </w:rPr>
        <w:t> </w:t>
      </w:r>
      <w:r>
        <w:rPr>
          <w:rFonts w:ascii="Arial" w:hAnsi="Arial"/>
          <w:color w:val="231F20"/>
        </w:rPr>
        <w:t>sont</w:t>
      </w:r>
      <w:r>
        <w:rPr>
          <w:rFonts w:ascii="Arial" w:hAnsi="Arial"/>
          <w:color w:val="231F20"/>
          <w:spacing w:val="9"/>
        </w:rPr>
        <w:t> </w:t>
      </w:r>
      <w:r>
        <w:rPr>
          <w:rFonts w:ascii="Arial" w:hAnsi="Arial"/>
          <w:color w:val="231F20"/>
        </w:rPr>
        <w:t>convaincues</w:t>
      </w:r>
      <w:r>
        <w:rPr>
          <w:rFonts w:ascii="Arial" w:hAnsi="Arial"/>
          <w:color w:val="231F20"/>
          <w:spacing w:val="9"/>
        </w:rPr>
        <w:t> </w:t>
      </w:r>
      <w:r>
        <w:rPr>
          <w:rFonts w:ascii="Arial" w:hAnsi="Arial"/>
          <w:color w:val="231F20"/>
        </w:rPr>
        <w:t>qu’il</w:t>
      </w:r>
      <w:r>
        <w:rPr>
          <w:rFonts w:ascii="Arial" w:hAnsi="Arial"/>
          <w:color w:val="231F20"/>
          <w:spacing w:val="10"/>
        </w:rPr>
        <w:t> </w:t>
      </w:r>
      <w:r>
        <w:rPr>
          <w:rFonts w:ascii="Arial" w:hAnsi="Arial"/>
          <w:color w:val="231F20"/>
        </w:rPr>
        <w:t>y</w:t>
      </w:r>
      <w:r>
        <w:rPr>
          <w:rFonts w:ascii="Arial" w:hAnsi="Arial"/>
          <w:color w:val="231F20"/>
          <w:spacing w:val="9"/>
        </w:rPr>
        <w:t> </w:t>
      </w:r>
      <w:r>
        <w:rPr>
          <w:rFonts w:ascii="Arial" w:hAnsi="Arial"/>
          <w:color w:val="231F20"/>
        </w:rPr>
        <w:t>a</w:t>
      </w:r>
      <w:r>
        <w:rPr>
          <w:rFonts w:ascii="Arial" w:hAnsi="Arial"/>
          <w:color w:val="231F20"/>
          <w:spacing w:val="9"/>
        </w:rPr>
        <w:t> </w:t>
      </w:r>
      <w:r>
        <w:rPr>
          <w:rFonts w:ascii="Arial" w:hAnsi="Arial"/>
          <w:color w:val="231F20"/>
        </w:rPr>
        <w:t>d’importants</w:t>
      </w:r>
      <w:r>
        <w:rPr>
          <w:rFonts w:ascii="Arial" w:hAnsi="Arial"/>
          <w:color w:val="231F20"/>
          <w:spacing w:val="10"/>
        </w:rPr>
        <w:t> </w:t>
      </w:r>
      <w:r>
        <w:rPr>
          <w:rFonts w:ascii="Arial" w:hAnsi="Arial"/>
          <w:color w:val="231F20"/>
        </w:rPr>
        <w:t>gains</w:t>
      </w:r>
      <w:r>
        <w:rPr>
          <w:rFonts w:ascii="Arial" w:hAnsi="Arial"/>
          <w:color w:val="231F20"/>
          <w:spacing w:val="9"/>
        </w:rPr>
        <w:t> </w:t>
      </w:r>
      <w:r>
        <w:rPr>
          <w:rFonts w:ascii="Arial" w:hAnsi="Arial"/>
          <w:color w:val="231F20"/>
          <w:spacing w:val="-5"/>
        </w:rPr>
        <w:t>en</w:t>
      </w:r>
    </w:p>
    <w:p>
      <w:pPr>
        <w:pStyle w:val="BodyText"/>
        <w:spacing w:before="1"/>
        <w:rPr>
          <w:rFonts w:ascii="Arial"/>
          <w:sz w:val="24"/>
        </w:rPr>
      </w:pPr>
      <w:r>
        <w:rPr/>
        <w:pict>
          <v:shape style="position:absolute;margin-left:82pt;margin-top:15.095654pt;width:287.5pt;height:.1pt;mso-position-horizontal-relative:page;mso-position-vertical-relative:paragraph;z-index:-15712256;mso-wrap-distance-left:0;mso-wrap-distance-right:0" id="docshape104" coordorigin="1640,302" coordsize="5750,0" path="m1640,302l7390,302e" filled="false" stroked="true" strokeweight=".25pt" strokecolor="#231f20">
            <v:path arrowok="t"/>
            <v:stroke dashstyle="shortdot"/>
            <w10:wrap type="topAndBottom"/>
          </v:shape>
        </w:pict>
      </w:r>
    </w:p>
    <w:p>
      <w:pPr>
        <w:pStyle w:val="ListParagraph"/>
        <w:numPr>
          <w:ilvl w:val="0"/>
          <w:numId w:val="12"/>
        </w:numPr>
        <w:tabs>
          <w:tab w:pos="1180" w:val="left" w:leader="none"/>
        </w:tabs>
        <w:spacing w:line="295" w:lineRule="auto" w:before="135" w:after="0"/>
        <w:ind w:left="1179" w:right="246" w:hanging="406"/>
        <w:jc w:val="both"/>
        <w:rPr>
          <w:rFonts w:ascii="Arial"/>
          <w:sz w:val="12"/>
        </w:rPr>
      </w:pPr>
      <w:r>
        <w:rPr>
          <w:rFonts w:ascii="Arial"/>
          <w:color w:val="231F20"/>
          <w:w w:val="95"/>
          <w:sz w:val="12"/>
        </w:rPr>
        <w:t>Boudrias,</w:t>
      </w:r>
      <w:r>
        <w:rPr>
          <w:rFonts w:ascii="Arial"/>
          <w:color w:val="231F20"/>
          <w:spacing w:val="-5"/>
          <w:w w:val="95"/>
          <w:sz w:val="12"/>
        </w:rPr>
        <w:t> </w:t>
      </w:r>
      <w:r>
        <w:rPr>
          <w:rFonts w:ascii="Arial"/>
          <w:color w:val="231F20"/>
          <w:w w:val="95"/>
          <w:sz w:val="12"/>
        </w:rPr>
        <w:t>J.</w:t>
      </w:r>
      <w:r>
        <w:rPr>
          <w:rFonts w:ascii="Arial"/>
          <w:color w:val="231F20"/>
          <w:spacing w:val="-5"/>
          <w:w w:val="95"/>
          <w:sz w:val="12"/>
        </w:rPr>
        <w:t> </w:t>
      </w:r>
      <w:r>
        <w:rPr>
          <w:rFonts w:ascii="Arial"/>
          <w:color w:val="231F20"/>
          <w:w w:val="95"/>
          <w:sz w:val="12"/>
        </w:rPr>
        <w:t>S.,</w:t>
      </w:r>
      <w:r>
        <w:rPr>
          <w:rFonts w:ascii="Arial"/>
          <w:color w:val="231F20"/>
          <w:spacing w:val="-5"/>
          <w:w w:val="95"/>
          <w:sz w:val="12"/>
        </w:rPr>
        <w:t> </w:t>
      </w:r>
      <w:r>
        <w:rPr>
          <w:rFonts w:ascii="Arial"/>
          <w:color w:val="231F20"/>
          <w:w w:val="95"/>
          <w:sz w:val="12"/>
        </w:rPr>
        <w:t>Desrumaux,</w:t>
      </w:r>
      <w:r>
        <w:rPr>
          <w:rFonts w:ascii="Arial"/>
          <w:color w:val="231F20"/>
          <w:spacing w:val="-5"/>
          <w:w w:val="95"/>
          <w:sz w:val="12"/>
        </w:rPr>
        <w:t> </w:t>
      </w:r>
      <w:r>
        <w:rPr>
          <w:rFonts w:ascii="Arial"/>
          <w:color w:val="231F20"/>
          <w:w w:val="95"/>
          <w:sz w:val="12"/>
        </w:rPr>
        <w:t>P.,</w:t>
      </w:r>
      <w:r>
        <w:rPr>
          <w:rFonts w:ascii="Arial"/>
          <w:color w:val="231F20"/>
          <w:spacing w:val="-5"/>
          <w:w w:val="95"/>
          <w:sz w:val="12"/>
        </w:rPr>
        <w:t> </w:t>
      </w:r>
      <w:r>
        <w:rPr>
          <w:rFonts w:ascii="Arial"/>
          <w:color w:val="231F20"/>
          <w:w w:val="95"/>
          <w:sz w:val="12"/>
        </w:rPr>
        <w:t>Gaudreau,</w:t>
      </w:r>
      <w:r>
        <w:rPr>
          <w:rFonts w:ascii="Arial"/>
          <w:color w:val="231F20"/>
          <w:spacing w:val="-5"/>
          <w:w w:val="95"/>
          <w:sz w:val="12"/>
        </w:rPr>
        <w:t> </w:t>
      </w:r>
      <w:r>
        <w:rPr>
          <w:rFonts w:ascii="Arial"/>
          <w:color w:val="231F20"/>
          <w:w w:val="95"/>
          <w:sz w:val="12"/>
        </w:rPr>
        <w:t>P.,</w:t>
      </w:r>
      <w:r>
        <w:rPr>
          <w:rFonts w:ascii="Arial"/>
          <w:color w:val="231F20"/>
          <w:spacing w:val="-5"/>
          <w:w w:val="95"/>
          <w:sz w:val="12"/>
        </w:rPr>
        <w:t> </w:t>
      </w:r>
      <w:r>
        <w:rPr>
          <w:rFonts w:ascii="Arial"/>
          <w:color w:val="231F20"/>
          <w:w w:val="95"/>
          <w:sz w:val="12"/>
        </w:rPr>
        <w:t>Nelson,</w:t>
      </w:r>
      <w:r>
        <w:rPr>
          <w:rFonts w:ascii="Arial"/>
          <w:color w:val="231F20"/>
          <w:spacing w:val="-5"/>
          <w:w w:val="95"/>
          <w:sz w:val="12"/>
        </w:rPr>
        <w:t> </w:t>
      </w:r>
      <w:r>
        <w:rPr>
          <w:rFonts w:ascii="Arial"/>
          <w:color w:val="231F20"/>
          <w:w w:val="95"/>
          <w:sz w:val="12"/>
        </w:rPr>
        <w:t>K.,</w:t>
      </w:r>
      <w:r>
        <w:rPr>
          <w:rFonts w:ascii="Arial"/>
          <w:color w:val="231F20"/>
          <w:spacing w:val="-5"/>
          <w:w w:val="95"/>
          <w:sz w:val="12"/>
        </w:rPr>
        <w:t> </w:t>
      </w:r>
      <w:r>
        <w:rPr>
          <w:rFonts w:ascii="Arial"/>
          <w:color w:val="231F20"/>
          <w:w w:val="95"/>
          <w:sz w:val="12"/>
        </w:rPr>
        <w:t>Brunet,</w:t>
      </w:r>
      <w:r>
        <w:rPr>
          <w:rFonts w:ascii="Arial"/>
          <w:color w:val="231F20"/>
          <w:spacing w:val="-5"/>
          <w:w w:val="95"/>
          <w:sz w:val="12"/>
        </w:rPr>
        <w:t> </w:t>
      </w:r>
      <w:r>
        <w:rPr>
          <w:rFonts w:ascii="Arial"/>
          <w:color w:val="231F20"/>
          <w:w w:val="95"/>
          <w:sz w:val="12"/>
        </w:rPr>
        <w:t>L.</w:t>
      </w:r>
      <w:r>
        <w:rPr>
          <w:rFonts w:ascii="Arial"/>
          <w:color w:val="231F20"/>
          <w:spacing w:val="-5"/>
          <w:w w:val="95"/>
          <w:sz w:val="12"/>
        </w:rPr>
        <w:t> </w:t>
      </w:r>
      <w:r>
        <w:rPr>
          <w:rFonts w:ascii="Arial"/>
          <w:color w:val="231F20"/>
          <w:w w:val="95"/>
          <w:sz w:val="12"/>
        </w:rPr>
        <w:t>et</w:t>
      </w:r>
      <w:r>
        <w:rPr>
          <w:rFonts w:ascii="Arial"/>
          <w:color w:val="231F20"/>
          <w:spacing w:val="-5"/>
          <w:w w:val="95"/>
          <w:sz w:val="12"/>
        </w:rPr>
        <w:t> </w:t>
      </w:r>
      <w:r>
        <w:rPr>
          <w:rFonts w:ascii="Arial"/>
          <w:color w:val="231F20"/>
          <w:w w:val="95"/>
          <w:sz w:val="12"/>
        </w:rPr>
        <w:t>Savoie,</w:t>
      </w:r>
      <w:r>
        <w:rPr>
          <w:rFonts w:ascii="Arial"/>
          <w:color w:val="231F20"/>
          <w:spacing w:val="-5"/>
          <w:w w:val="95"/>
          <w:sz w:val="12"/>
        </w:rPr>
        <w:t> </w:t>
      </w:r>
      <w:r>
        <w:rPr>
          <w:rFonts w:ascii="Arial"/>
          <w:color w:val="231F20"/>
          <w:w w:val="95"/>
          <w:sz w:val="12"/>
        </w:rPr>
        <w:t>A.</w:t>
      </w:r>
      <w:r>
        <w:rPr>
          <w:rFonts w:ascii="Arial"/>
          <w:color w:val="231F20"/>
          <w:spacing w:val="-5"/>
          <w:w w:val="95"/>
          <w:sz w:val="12"/>
        </w:rPr>
        <w:t> </w:t>
      </w:r>
      <w:r>
        <w:rPr>
          <w:rFonts w:ascii="Arial"/>
          <w:color w:val="231F20"/>
          <w:w w:val="95"/>
          <w:sz w:val="12"/>
        </w:rPr>
        <w:t>(2011).</w:t>
      </w:r>
      <w:r>
        <w:rPr>
          <w:rFonts w:ascii="Arial"/>
          <w:color w:val="231F20"/>
          <w:spacing w:val="-5"/>
          <w:w w:val="95"/>
          <w:sz w:val="12"/>
        </w:rPr>
        <w:t> </w:t>
      </w:r>
      <w:r>
        <w:rPr>
          <w:rFonts w:ascii="Arial"/>
          <w:color w:val="231F20"/>
          <w:w w:val="95"/>
          <w:sz w:val="12"/>
        </w:rPr>
        <w:t>Modeling</w:t>
      </w:r>
      <w:r>
        <w:rPr>
          <w:rFonts w:ascii="Arial"/>
          <w:color w:val="231F20"/>
          <w:spacing w:val="-5"/>
          <w:w w:val="95"/>
          <w:sz w:val="12"/>
        </w:rPr>
        <w:t> </w:t>
      </w:r>
      <w:r>
        <w:rPr>
          <w:rFonts w:ascii="Arial"/>
          <w:color w:val="231F20"/>
          <w:w w:val="95"/>
          <w:sz w:val="12"/>
        </w:rPr>
        <w:t>the</w:t>
      </w:r>
      <w:r>
        <w:rPr>
          <w:rFonts w:ascii="Arial"/>
          <w:color w:val="231F20"/>
          <w:spacing w:val="-5"/>
          <w:w w:val="95"/>
          <w:sz w:val="12"/>
        </w:rPr>
        <w:t> </w:t>
      </w:r>
      <w:r>
        <w:rPr>
          <w:rFonts w:ascii="Arial"/>
          <w:color w:val="231F20"/>
          <w:w w:val="95"/>
          <w:sz w:val="12"/>
        </w:rPr>
        <w:t>experience</w:t>
      </w:r>
      <w:r>
        <w:rPr>
          <w:rFonts w:ascii="Arial"/>
          <w:color w:val="231F20"/>
          <w:spacing w:val="40"/>
          <w:sz w:val="12"/>
        </w:rPr>
        <w:t> </w:t>
      </w:r>
      <w:r>
        <w:rPr>
          <w:rFonts w:ascii="Arial"/>
          <w:color w:val="231F20"/>
          <w:sz w:val="12"/>
        </w:rPr>
        <w:t>of psychological health at work</w:t>
      </w:r>
      <w:r>
        <w:rPr>
          <w:rFonts w:ascii="Arial"/>
          <w:color w:val="231F20"/>
          <w:spacing w:val="-9"/>
          <w:sz w:val="12"/>
        </w:rPr>
        <w:t> </w:t>
      </w:r>
      <w:r>
        <w:rPr>
          <w:rFonts w:ascii="Arial"/>
          <w:color w:val="231F20"/>
          <w:sz w:val="12"/>
        </w:rPr>
        <w:t>: The role of personal resources, social-organizational resources, and job</w:t>
      </w:r>
      <w:r>
        <w:rPr>
          <w:rFonts w:ascii="Arial"/>
          <w:color w:val="231F20"/>
          <w:spacing w:val="40"/>
          <w:sz w:val="12"/>
        </w:rPr>
        <w:t> </w:t>
      </w:r>
      <w:r>
        <w:rPr>
          <w:rFonts w:ascii="Arial"/>
          <w:color w:val="231F20"/>
          <w:sz w:val="12"/>
        </w:rPr>
        <w:t>demands. </w:t>
      </w:r>
      <w:r>
        <w:rPr>
          <w:rFonts w:ascii="Arial"/>
          <w:i/>
          <w:color w:val="231F20"/>
          <w:sz w:val="12"/>
        </w:rPr>
        <w:t>International Journal of Stress Management</w:t>
      </w:r>
      <w:r>
        <w:rPr>
          <w:rFonts w:ascii="Arial"/>
          <w:color w:val="231F20"/>
          <w:sz w:val="12"/>
        </w:rPr>
        <w:t>, </w:t>
      </w:r>
      <w:r>
        <w:rPr>
          <w:rFonts w:ascii="Arial"/>
          <w:i/>
          <w:color w:val="231F20"/>
          <w:sz w:val="12"/>
        </w:rPr>
        <w:t>18</w:t>
      </w:r>
      <w:r>
        <w:rPr>
          <w:rFonts w:ascii="Arial"/>
          <w:color w:val="231F20"/>
          <w:sz w:val="12"/>
        </w:rPr>
        <w:t>, 372-395.</w:t>
      </w:r>
    </w:p>
    <w:p>
      <w:pPr>
        <w:spacing w:after="0" w:line="295" w:lineRule="auto"/>
        <w:jc w:val="both"/>
        <w:rPr>
          <w:rFonts w:ascii="Arial"/>
          <w:sz w:val="12"/>
        </w:rPr>
        <w:sectPr>
          <w:footerReference w:type="default" r:id="rId50"/>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39"/>
        <w:ind w:left="1040" w:right="884"/>
        <w:jc w:val="both"/>
        <w:rPr>
          <w:rFonts w:ascii="Arial" w:hAnsi="Arial"/>
        </w:rPr>
      </w:pPr>
      <w:r>
        <w:rPr/>
        <w:pict>
          <v:group style="position:absolute;margin-left:62.5pt;margin-top:-3.8271pt;width:287.5pt;height:318.75pt;mso-position-horizontal-relative:page;mso-position-vertical-relative:paragraph;z-index:-20992000" id="docshapegroup106" coordorigin="1250,-77" coordsize="5750,6375">
            <v:shape style="position:absolute;left:1250;top:-77;width:5750;height:6375" id="docshape107" coordorigin="1250,-77" coordsize="5750,6375" path="m7000,-77l1250,-77,1250,2128,1250,2298,1250,6298,7000,6298,7000,2128,7000,-77xe" filled="true" fillcolor="#e2e3e4" stroked="false">
              <v:path arrowok="t"/>
              <v:fill type="solid"/>
            </v:shape>
            <v:line style="position:absolute" from="1500,5626" to="6750,5626" stroked="true" strokeweight=".25pt" strokecolor="#231f20">
              <v:stroke dashstyle="shortdot"/>
            </v:line>
            <w10:wrap type="none"/>
          </v:group>
        </w:pict>
      </w:r>
      <w:r>
        <w:rPr>
          <w:rFonts w:ascii="Arial" w:hAnsi="Arial"/>
          <w:color w:val="231F20"/>
          <w:spacing w:val="-2"/>
          <w:w w:val="105"/>
        </w:rPr>
        <w:t>performance</w:t>
      </w:r>
      <w:r>
        <w:rPr>
          <w:rFonts w:ascii="Arial" w:hAnsi="Arial"/>
          <w:color w:val="231F20"/>
          <w:spacing w:val="-5"/>
          <w:w w:val="105"/>
        </w:rPr>
        <w:t> </w:t>
      </w:r>
      <w:r>
        <w:rPr>
          <w:rFonts w:ascii="Arial" w:hAnsi="Arial"/>
          <w:color w:val="231F20"/>
          <w:spacing w:val="-2"/>
          <w:w w:val="105"/>
        </w:rPr>
        <w:t>à</w:t>
      </w:r>
      <w:r>
        <w:rPr>
          <w:rFonts w:ascii="Arial" w:hAnsi="Arial"/>
          <w:color w:val="231F20"/>
          <w:spacing w:val="-5"/>
          <w:w w:val="105"/>
        </w:rPr>
        <w:t> </w:t>
      </w:r>
      <w:r>
        <w:rPr>
          <w:rFonts w:ascii="Arial" w:hAnsi="Arial"/>
          <w:color w:val="231F20"/>
          <w:spacing w:val="-2"/>
          <w:w w:val="105"/>
        </w:rPr>
        <w:t>réaliser.</w:t>
      </w:r>
      <w:r>
        <w:rPr>
          <w:rFonts w:ascii="Arial" w:hAnsi="Arial"/>
          <w:color w:val="231F20"/>
          <w:spacing w:val="-5"/>
          <w:w w:val="105"/>
        </w:rPr>
        <w:t> </w:t>
      </w:r>
      <w:r>
        <w:rPr>
          <w:rFonts w:ascii="Arial" w:hAnsi="Arial"/>
          <w:color w:val="231F20"/>
          <w:spacing w:val="-2"/>
          <w:w w:val="105"/>
        </w:rPr>
        <w:t>[De</w:t>
      </w:r>
      <w:r>
        <w:rPr>
          <w:rFonts w:ascii="Arial" w:hAnsi="Arial"/>
          <w:color w:val="231F20"/>
          <w:spacing w:val="-5"/>
          <w:w w:val="105"/>
        </w:rPr>
        <w:t> </w:t>
      </w:r>
      <w:r>
        <w:rPr>
          <w:rFonts w:ascii="Arial" w:hAnsi="Arial"/>
          <w:color w:val="231F20"/>
          <w:spacing w:val="-2"/>
          <w:w w:val="105"/>
        </w:rPr>
        <w:t>plus],</w:t>
      </w:r>
      <w:r>
        <w:rPr>
          <w:rFonts w:ascii="Arial" w:hAnsi="Arial"/>
          <w:color w:val="231F20"/>
          <w:spacing w:val="-5"/>
          <w:w w:val="105"/>
        </w:rPr>
        <w:t> </w:t>
      </w:r>
      <w:r>
        <w:rPr>
          <w:rFonts w:ascii="Arial" w:hAnsi="Arial"/>
          <w:color w:val="231F20"/>
          <w:spacing w:val="-2"/>
          <w:w w:val="105"/>
        </w:rPr>
        <w:t>l’implantation</w:t>
      </w:r>
      <w:r>
        <w:rPr>
          <w:rFonts w:ascii="Arial" w:hAnsi="Arial"/>
          <w:color w:val="231F20"/>
          <w:spacing w:val="-5"/>
          <w:w w:val="105"/>
        </w:rPr>
        <w:t> </w:t>
      </w:r>
      <w:r>
        <w:rPr>
          <w:rFonts w:ascii="Arial" w:hAnsi="Arial"/>
          <w:color w:val="231F20"/>
          <w:spacing w:val="-2"/>
          <w:w w:val="105"/>
        </w:rPr>
        <w:t>d’une</w:t>
      </w:r>
      <w:r>
        <w:rPr>
          <w:rFonts w:ascii="Arial" w:hAnsi="Arial"/>
          <w:color w:val="231F20"/>
          <w:spacing w:val="-5"/>
          <w:w w:val="105"/>
        </w:rPr>
        <w:t> </w:t>
      </w:r>
      <w:r>
        <w:rPr>
          <w:rFonts w:ascii="Arial" w:hAnsi="Arial"/>
          <w:color w:val="231F20"/>
          <w:spacing w:val="-2"/>
          <w:w w:val="105"/>
        </w:rPr>
        <w:t>salle</w:t>
      </w:r>
      <w:r>
        <w:rPr>
          <w:rFonts w:ascii="Arial" w:hAnsi="Arial"/>
          <w:color w:val="231F20"/>
          <w:spacing w:val="-5"/>
          <w:w w:val="105"/>
        </w:rPr>
        <w:t> </w:t>
      </w:r>
      <w:r>
        <w:rPr>
          <w:rFonts w:ascii="Arial" w:hAnsi="Arial"/>
          <w:color w:val="231F20"/>
          <w:spacing w:val="-2"/>
          <w:w w:val="105"/>
        </w:rPr>
        <w:t>de</w:t>
      </w:r>
      <w:r>
        <w:rPr>
          <w:rFonts w:ascii="Arial" w:hAnsi="Arial"/>
          <w:color w:val="231F20"/>
          <w:spacing w:val="-5"/>
          <w:w w:val="105"/>
        </w:rPr>
        <w:t> </w:t>
      </w:r>
      <w:r>
        <w:rPr>
          <w:rFonts w:ascii="Arial" w:hAnsi="Arial"/>
          <w:color w:val="231F20"/>
          <w:spacing w:val="-2"/>
          <w:w w:val="105"/>
        </w:rPr>
        <w:t>repos </w:t>
      </w:r>
      <w:r>
        <w:rPr>
          <w:rFonts w:ascii="Arial" w:hAnsi="Arial"/>
          <w:color w:val="231F20"/>
          <w:spacing w:val="-2"/>
        </w:rPr>
        <w:t>avec</w:t>
      </w:r>
      <w:r>
        <w:rPr>
          <w:rFonts w:ascii="Arial" w:hAnsi="Arial"/>
          <w:color w:val="231F20"/>
          <w:spacing w:val="-10"/>
        </w:rPr>
        <w:t> </w:t>
      </w:r>
      <w:r>
        <w:rPr>
          <w:rFonts w:ascii="Arial" w:hAnsi="Arial"/>
          <w:color w:val="231F20"/>
          <w:spacing w:val="-2"/>
        </w:rPr>
        <w:t>une</w:t>
      </w:r>
      <w:r>
        <w:rPr>
          <w:rFonts w:ascii="Arial" w:hAnsi="Arial"/>
          <w:color w:val="231F20"/>
          <w:spacing w:val="-10"/>
        </w:rPr>
        <w:t> </w:t>
      </w:r>
      <w:r>
        <w:rPr>
          <w:rFonts w:ascii="Arial" w:hAnsi="Arial"/>
          <w:color w:val="231F20"/>
          <w:spacing w:val="-2"/>
        </w:rPr>
        <w:t>aire</w:t>
      </w:r>
      <w:r>
        <w:rPr>
          <w:rFonts w:ascii="Arial" w:hAnsi="Arial"/>
          <w:color w:val="231F20"/>
          <w:spacing w:val="-10"/>
        </w:rPr>
        <w:t> </w:t>
      </w:r>
      <w:r>
        <w:rPr>
          <w:rFonts w:ascii="Arial" w:hAnsi="Arial"/>
          <w:color w:val="231F20"/>
          <w:spacing w:val="-2"/>
        </w:rPr>
        <w:t>de</w:t>
      </w:r>
      <w:r>
        <w:rPr>
          <w:rFonts w:ascii="Arial" w:hAnsi="Arial"/>
          <w:color w:val="231F20"/>
          <w:spacing w:val="-10"/>
        </w:rPr>
        <w:t> </w:t>
      </w:r>
      <w:r>
        <w:rPr>
          <w:rFonts w:ascii="Arial" w:hAnsi="Arial"/>
          <w:color w:val="231F20"/>
          <w:spacing w:val="-2"/>
        </w:rPr>
        <w:t>jeux,</w:t>
      </w:r>
      <w:r>
        <w:rPr>
          <w:rFonts w:ascii="Arial" w:hAnsi="Arial"/>
          <w:color w:val="231F20"/>
          <w:spacing w:val="-10"/>
        </w:rPr>
        <w:t> </w:t>
      </w:r>
      <w:r>
        <w:rPr>
          <w:rFonts w:ascii="Arial" w:hAnsi="Arial"/>
          <w:color w:val="231F20"/>
          <w:spacing w:val="-2"/>
        </w:rPr>
        <w:t>par</w:t>
      </w:r>
      <w:r>
        <w:rPr>
          <w:rFonts w:ascii="Arial" w:hAnsi="Arial"/>
          <w:color w:val="231F20"/>
          <w:spacing w:val="-9"/>
        </w:rPr>
        <w:t> </w:t>
      </w:r>
      <w:r>
        <w:rPr>
          <w:rFonts w:ascii="Arial" w:hAnsi="Arial"/>
          <w:color w:val="231F20"/>
          <w:spacing w:val="-2"/>
        </w:rPr>
        <w:t>exemple,</w:t>
      </w:r>
      <w:r>
        <w:rPr>
          <w:rFonts w:ascii="Arial" w:hAnsi="Arial"/>
          <w:color w:val="231F20"/>
          <w:spacing w:val="-10"/>
        </w:rPr>
        <w:t> </w:t>
      </w:r>
      <w:r>
        <w:rPr>
          <w:rFonts w:ascii="Arial" w:hAnsi="Arial"/>
          <w:color w:val="231F20"/>
          <w:spacing w:val="-2"/>
        </w:rPr>
        <w:t>permet</w:t>
      </w:r>
      <w:r>
        <w:rPr>
          <w:rFonts w:ascii="Arial" w:hAnsi="Arial"/>
          <w:color w:val="231F20"/>
          <w:spacing w:val="-10"/>
        </w:rPr>
        <w:t> </w:t>
      </w:r>
      <w:r>
        <w:rPr>
          <w:rFonts w:ascii="Arial" w:hAnsi="Arial"/>
          <w:color w:val="231F20"/>
          <w:spacing w:val="-2"/>
        </w:rPr>
        <w:t>aux</w:t>
      </w:r>
      <w:r>
        <w:rPr>
          <w:rFonts w:ascii="Arial" w:hAnsi="Arial"/>
          <w:color w:val="231F20"/>
          <w:spacing w:val="-10"/>
        </w:rPr>
        <w:t> </w:t>
      </w:r>
      <w:r>
        <w:rPr>
          <w:rFonts w:ascii="Arial" w:hAnsi="Arial"/>
          <w:color w:val="231F20"/>
          <w:spacing w:val="-2"/>
        </w:rPr>
        <w:t>employés</w:t>
      </w:r>
      <w:r>
        <w:rPr>
          <w:rFonts w:ascii="Arial" w:hAnsi="Arial"/>
          <w:color w:val="231F20"/>
          <w:spacing w:val="-10"/>
        </w:rPr>
        <w:t> </w:t>
      </w:r>
      <w:r>
        <w:rPr>
          <w:rFonts w:ascii="Arial" w:hAnsi="Arial"/>
          <w:color w:val="231F20"/>
          <w:spacing w:val="-2"/>
        </w:rPr>
        <w:t>de</w:t>
      </w:r>
      <w:r>
        <w:rPr>
          <w:rFonts w:ascii="Arial" w:hAnsi="Arial"/>
          <w:color w:val="231F20"/>
          <w:spacing w:val="-9"/>
        </w:rPr>
        <w:t> </w:t>
      </w:r>
      <w:r>
        <w:rPr>
          <w:rFonts w:ascii="Arial" w:hAnsi="Arial"/>
          <w:color w:val="231F20"/>
          <w:spacing w:val="-2"/>
        </w:rPr>
        <w:t>réellement </w:t>
      </w:r>
      <w:r>
        <w:rPr>
          <w:rFonts w:ascii="Arial" w:hAnsi="Arial"/>
          <w:color w:val="231F20"/>
        </w:rPr>
        <w:t>décrocher</w:t>
      </w:r>
      <w:r>
        <w:rPr>
          <w:rFonts w:ascii="Arial" w:hAnsi="Arial"/>
          <w:color w:val="231F20"/>
          <w:spacing w:val="-6"/>
        </w:rPr>
        <w:t> </w:t>
      </w:r>
      <w:r>
        <w:rPr>
          <w:rFonts w:ascii="Arial" w:hAnsi="Arial"/>
          <w:color w:val="231F20"/>
        </w:rPr>
        <w:t>et</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se</w:t>
      </w:r>
      <w:r>
        <w:rPr>
          <w:rFonts w:ascii="Arial" w:hAnsi="Arial"/>
          <w:color w:val="231F20"/>
          <w:spacing w:val="-6"/>
        </w:rPr>
        <w:t> </w:t>
      </w:r>
      <w:r>
        <w:rPr>
          <w:rFonts w:ascii="Arial" w:hAnsi="Arial"/>
          <w:color w:val="231F20"/>
        </w:rPr>
        <w:t>ressourcer</w:t>
      </w:r>
      <w:r>
        <w:rPr>
          <w:rFonts w:ascii="Arial" w:hAnsi="Arial"/>
          <w:color w:val="231F20"/>
          <w:spacing w:val="-6"/>
        </w:rPr>
        <w:t> </w:t>
      </w:r>
      <w:r>
        <w:rPr>
          <w:rFonts w:ascii="Arial" w:hAnsi="Arial"/>
          <w:color w:val="231F20"/>
        </w:rPr>
        <w:t>durant</w:t>
      </w:r>
      <w:r>
        <w:rPr>
          <w:rFonts w:ascii="Arial" w:hAnsi="Arial"/>
          <w:color w:val="231F20"/>
          <w:spacing w:val="-6"/>
        </w:rPr>
        <w:t> </w:t>
      </w:r>
      <w:r>
        <w:rPr>
          <w:rFonts w:ascii="Arial" w:hAnsi="Arial"/>
          <w:color w:val="231F20"/>
        </w:rPr>
        <w:t>leurs</w:t>
      </w:r>
      <w:r>
        <w:rPr>
          <w:rFonts w:ascii="Arial" w:hAnsi="Arial"/>
          <w:color w:val="231F20"/>
          <w:spacing w:val="-6"/>
        </w:rPr>
        <w:t> </w:t>
      </w:r>
      <w:r>
        <w:rPr>
          <w:rFonts w:ascii="Arial" w:hAnsi="Arial"/>
          <w:color w:val="231F20"/>
        </w:rPr>
        <w:t>pauses,</w:t>
      </w:r>
      <w:r>
        <w:rPr>
          <w:rFonts w:ascii="Arial" w:hAnsi="Arial"/>
          <w:color w:val="231F20"/>
          <w:spacing w:val="-6"/>
        </w:rPr>
        <w:t> </w:t>
      </w:r>
      <w:r>
        <w:rPr>
          <w:rFonts w:ascii="Arial" w:hAnsi="Arial"/>
          <w:color w:val="231F20"/>
        </w:rPr>
        <w:t>tout</w:t>
      </w:r>
      <w:r>
        <w:rPr>
          <w:rFonts w:ascii="Arial" w:hAnsi="Arial"/>
          <w:color w:val="231F20"/>
          <w:spacing w:val="-6"/>
        </w:rPr>
        <w:t> </w:t>
      </w:r>
      <w:r>
        <w:rPr>
          <w:rFonts w:ascii="Arial" w:hAnsi="Arial"/>
          <w:color w:val="231F20"/>
        </w:rPr>
        <w:t>en</w:t>
      </w:r>
      <w:r>
        <w:rPr>
          <w:rFonts w:ascii="Arial" w:hAnsi="Arial"/>
          <w:color w:val="231F20"/>
          <w:spacing w:val="-6"/>
        </w:rPr>
        <w:t> </w:t>
      </w:r>
      <w:r>
        <w:rPr>
          <w:rFonts w:ascii="Arial" w:hAnsi="Arial"/>
          <w:color w:val="231F20"/>
        </w:rPr>
        <w:t>tissant</w:t>
      </w:r>
      <w:r>
        <w:rPr>
          <w:rFonts w:ascii="Arial" w:hAnsi="Arial"/>
          <w:color w:val="231F20"/>
          <w:spacing w:val="-6"/>
        </w:rPr>
        <w:t> </w:t>
      </w:r>
      <w:r>
        <w:rPr>
          <w:rFonts w:ascii="Arial" w:hAnsi="Arial"/>
          <w:color w:val="231F20"/>
        </w:rPr>
        <w:t>des </w:t>
      </w:r>
      <w:r>
        <w:rPr>
          <w:rFonts w:ascii="Arial" w:hAnsi="Arial"/>
          <w:color w:val="231F20"/>
          <w:w w:val="95"/>
        </w:rPr>
        <w:t>liens</w:t>
      </w:r>
      <w:r>
        <w:rPr>
          <w:rFonts w:ascii="Arial" w:hAnsi="Arial"/>
          <w:color w:val="231F20"/>
          <w:spacing w:val="-8"/>
          <w:w w:val="95"/>
        </w:rPr>
        <w:t> </w:t>
      </w:r>
      <w:r>
        <w:rPr>
          <w:rFonts w:ascii="Arial" w:hAnsi="Arial"/>
          <w:color w:val="231F20"/>
          <w:w w:val="95"/>
        </w:rPr>
        <w:t>entre</w:t>
      </w:r>
      <w:r>
        <w:rPr>
          <w:rFonts w:ascii="Arial" w:hAnsi="Arial"/>
          <w:color w:val="231F20"/>
          <w:spacing w:val="-8"/>
          <w:w w:val="95"/>
        </w:rPr>
        <w:t> </w:t>
      </w:r>
      <w:r>
        <w:rPr>
          <w:rFonts w:ascii="Arial" w:hAnsi="Arial"/>
          <w:color w:val="231F20"/>
          <w:w w:val="95"/>
        </w:rPr>
        <w:t>eux,</w:t>
      </w:r>
      <w:r>
        <w:rPr>
          <w:rFonts w:ascii="Arial" w:hAnsi="Arial"/>
          <w:color w:val="231F20"/>
          <w:spacing w:val="-8"/>
          <w:w w:val="95"/>
        </w:rPr>
        <w:t> </w:t>
      </w:r>
      <w:r>
        <w:rPr>
          <w:rFonts w:ascii="Arial" w:hAnsi="Arial"/>
          <w:color w:val="231F20"/>
          <w:w w:val="95"/>
        </w:rPr>
        <w:t>une</w:t>
      </w:r>
      <w:r>
        <w:rPr>
          <w:rFonts w:ascii="Arial" w:hAnsi="Arial"/>
          <w:color w:val="231F20"/>
          <w:spacing w:val="-8"/>
          <w:w w:val="95"/>
        </w:rPr>
        <w:t> </w:t>
      </w:r>
      <w:r>
        <w:rPr>
          <w:rFonts w:ascii="Arial" w:hAnsi="Arial"/>
          <w:color w:val="231F20"/>
          <w:w w:val="95"/>
        </w:rPr>
        <w:t>avenue</w:t>
      </w:r>
      <w:r>
        <w:rPr>
          <w:rFonts w:ascii="Arial" w:hAnsi="Arial"/>
          <w:color w:val="231F20"/>
          <w:spacing w:val="-8"/>
          <w:w w:val="95"/>
        </w:rPr>
        <w:t> </w:t>
      </w:r>
      <w:r>
        <w:rPr>
          <w:rFonts w:ascii="Arial" w:hAnsi="Arial"/>
          <w:color w:val="231F20"/>
          <w:w w:val="95"/>
        </w:rPr>
        <w:t>très</w:t>
      </w:r>
      <w:r>
        <w:rPr>
          <w:rFonts w:ascii="Arial" w:hAnsi="Arial"/>
          <w:color w:val="231F20"/>
          <w:spacing w:val="-8"/>
          <w:w w:val="95"/>
        </w:rPr>
        <w:t> </w:t>
      </w:r>
      <w:r>
        <w:rPr>
          <w:rFonts w:ascii="Arial" w:hAnsi="Arial"/>
          <w:color w:val="231F20"/>
          <w:w w:val="95"/>
        </w:rPr>
        <w:t>populaire</w:t>
      </w:r>
      <w:r>
        <w:rPr>
          <w:rFonts w:ascii="Arial" w:hAnsi="Arial"/>
          <w:color w:val="231F20"/>
          <w:spacing w:val="-8"/>
          <w:w w:val="95"/>
        </w:rPr>
        <w:t> </w:t>
      </w:r>
      <w:r>
        <w:rPr>
          <w:rFonts w:ascii="Arial" w:hAnsi="Arial"/>
          <w:color w:val="231F20"/>
          <w:w w:val="95"/>
        </w:rPr>
        <w:t>chez</w:t>
      </w:r>
      <w:r>
        <w:rPr>
          <w:rFonts w:ascii="Arial" w:hAnsi="Arial"/>
          <w:color w:val="231F20"/>
          <w:spacing w:val="-8"/>
          <w:w w:val="95"/>
        </w:rPr>
        <w:t> </w:t>
      </w:r>
      <w:r>
        <w:rPr>
          <w:rFonts w:ascii="Arial" w:hAnsi="Arial"/>
          <w:color w:val="231F20"/>
          <w:w w:val="95"/>
        </w:rPr>
        <w:t>les</w:t>
      </w:r>
      <w:r>
        <w:rPr>
          <w:rFonts w:ascii="Arial" w:hAnsi="Arial"/>
          <w:color w:val="231F20"/>
          <w:spacing w:val="-8"/>
          <w:w w:val="95"/>
        </w:rPr>
        <w:t> </w:t>
      </w:r>
      <w:r>
        <w:rPr>
          <w:rFonts w:ascii="Arial" w:hAnsi="Arial"/>
          <w:color w:val="231F20"/>
          <w:w w:val="95"/>
        </w:rPr>
        <w:t>PME.</w:t>
      </w:r>
      <w:r>
        <w:rPr>
          <w:rFonts w:ascii="Arial" w:hAnsi="Arial"/>
          <w:color w:val="231F20"/>
          <w:spacing w:val="-8"/>
          <w:w w:val="95"/>
        </w:rPr>
        <w:t> </w:t>
      </w:r>
      <w:r>
        <w:rPr>
          <w:rFonts w:ascii="Arial" w:hAnsi="Arial"/>
          <w:color w:val="231F20"/>
          <w:w w:val="95"/>
        </w:rPr>
        <w:t>L’aménagement </w:t>
      </w:r>
      <w:r>
        <w:rPr>
          <w:rFonts w:ascii="Arial" w:hAnsi="Arial"/>
          <w:color w:val="231F20"/>
        </w:rPr>
        <w:t>d’un</w:t>
      </w:r>
      <w:r>
        <w:rPr>
          <w:rFonts w:ascii="Arial" w:hAnsi="Arial"/>
          <w:color w:val="231F20"/>
          <w:spacing w:val="-12"/>
        </w:rPr>
        <w:t> </w:t>
      </w:r>
      <w:r>
        <w:rPr>
          <w:rFonts w:ascii="Arial" w:hAnsi="Arial"/>
          <w:color w:val="231F20"/>
        </w:rPr>
        <w:t>salon</w:t>
      </w:r>
      <w:r>
        <w:rPr>
          <w:rFonts w:ascii="Arial" w:hAnsi="Arial"/>
          <w:color w:val="231F20"/>
          <w:spacing w:val="-12"/>
        </w:rPr>
        <w:t> </w:t>
      </w:r>
      <w:r>
        <w:rPr>
          <w:rFonts w:ascii="Arial" w:hAnsi="Arial"/>
          <w:color w:val="231F20"/>
        </w:rPr>
        <w:t>avec</w:t>
      </w:r>
      <w:r>
        <w:rPr>
          <w:rFonts w:ascii="Arial" w:hAnsi="Arial"/>
          <w:color w:val="231F20"/>
          <w:spacing w:val="-12"/>
        </w:rPr>
        <w:t> </w:t>
      </w:r>
      <w:r>
        <w:rPr>
          <w:rFonts w:ascii="Arial" w:hAnsi="Arial"/>
          <w:color w:val="231F20"/>
        </w:rPr>
        <w:t>divertissements</w:t>
      </w:r>
      <w:r>
        <w:rPr>
          <w:rFonts w:ascii="Arial" w:hAnsi="Arial"/>
          <w:color w:val="231F20"/>
          <w:spacing w:val="-12"/>
        </w:rPr>
        <w:t> </w:t>
      </w:r>
      <w:r>
        <w:rPr>
          <w:rFonts w:ascii="Arial" w:hAnsi="Arial"/>
          <w:color w:val="231F20"/>
        </w:rPr>
        <w:t>n’est</w:t>
      </w:r>
      <w:r>
        <w:rPr>
          <w:rFonts w:ascii="Arial" w:hAnsi="Arial"/>
          <w:color w:val="231F20"/>
          <w:spacing w:val="-12"/>
        </w:rPr>
        <w:t> </w:t>
      </w:r>
      <w:r>
        <w:rPr>
          <w:rFonts w:ascii="Arial" w:hAnsi="Arial"/>
          <w:color w:val="231F20"/>
        </w:rPr>
        <w:t>pas</w:t>
      </w:r>
      <w:r>
        <w:rPr>
          <w:rFonts w:ascii="Arial" w:hAnsi="Arial"/>
          <w:color w:val="231F20"/>
          <w:spacing w:val="-11"/>
        </w:rPr>
        <w:t> </w:t>
      </w:r>
      <w:r>
        <w:rPr>
          <w:rFonts w:ascii="Arial" w:hAnsi="Arial"/>
          <w:color w:val="231F20"/>
        </w:rPr>
        <w:t>une</w:t>
      </w:r>
      <w:r>
        <w:rPr>
          <w:rFonts w:ascii="Arial" w:hAnsi="Arial"/>
          <w:color w:val="231F20"/>
          <w:spacing w:val="-12"/>
        </w:rPr>
        <w:t> </w:t>
      </w:r>
      <w:r>
        <w:rPr>
          <w:rFonts w:ascii="Arial" w:hAnsi="Arial"/>
          <w:color w:val="231F20"/>
        </w:rPr>
        <w:t>folle</w:t>
      </w:r>
      <w:r>
        <w:rPr>
          <w:rFonts w:ascii="Arial" w:hAnsi="Arial"/>
          <w:color w:val="231F20"/>
          <w:spacing w:val="-12"/>
        </w:rPr>
        <w:t> </w:t>
      </w:r>
      <w:r>
        <w:rPr>
          <w:rFonts w:ascii="Arial" w:hAnsi="Arial"/>
          <w:color w:val="231F20"/>
        </w:rPr>
        <w:t>dépense</w:t>
      </w:r>
      <w:r>
        <w:rPr>
          <w:rFonts w:ascii="Arial" w:hAnsi="Arial"/>
          <w:color w:val="231F20"/>
          <w:spacing w:val="-12"/>
        </w:rPr>
        <w:t> </w:t>
      </w:r>
      <w:r>
        <w:rPr>
          <w:rFonts w:ascii="Arial" w:hAnsi="Arial"/>
          <w:color w:val="231F20"/>
        </w:rPr>
        <w:t>d’un</w:t>
      </w:r>
      <w:r>
        <w:rPr>
          <w:rFonts w:ascii="Arial" w:hAnsi="Arial"/>
          <w:color w:val="231F20"/>
          <w:spacing w:val="-12"/>
        </w:rPr>
        <w:t> </w:t>
      </w:r>
      <w:r>
        <w:rPr>
          <w:rFonts w:ascii="Arial" w:hAnsi="Arial"/>
          <w:color w:val="231F20"/>
        </w:rPr>
        <w:t>jeune </w:t>
      </w:r>
      <w:r>
        <w:rPr>
          <w:rFonts w:ascii="Arial" w:hAnsi="Arial"/>
          <w:color w:val="231F20"/>
          <w:w w:val="105"/>
        </w:rPr>
        <w:t>dirigeant</w:t>
      </w:r>
      <w:r>
        <w:rPr>
          <w:rFonts w:ascii="Arial" w:hAnsi="Arial"/>
          <w:color w:val="231F20"/>
          <w:spacing w:val="-13"/>
          <w:w w:val="105"/>
        </w:rPr>
        <w:t> </w:t>
      </w:r>
      <w:r>
        <w:rPr>
          <w:rFonts w:ascii="Arial" w:hAnsi="Arial"/>
          <w:color w:val="231F20"/>
          <w:w w:val="105"/>
        </w:rPr>
        <w:t>écervelé,</w:t>
      </w:r>
      <w:r>
        <w:rPr>
          <w:rFonts w:ascii="Arial" w:hAnsi="Arial"/>
          <w:color w:val="231F20"/>
          <w:spacing w:val="-12"/>
          <w:w w:val="105"/>
        </w:rPr>
        <w:t> </w:t>
      </w:r>
      <w:r>
        <w:rPr>
          <w:rFonts w:ascii="Arial" w:hAnsi="Arial"/>
          <w:color w:val="231F20"/>
          <w:w w:val="105"/>
        </w:rPr>
        <w:t>mais</w:t>
      </w:r>
      <w:r>
        <w:rPr>
          <w:rFonts w:ascii="Arial" w:hAnsi="Arial"/>
          <w:color w:val="231F20"/>
          <w:spacing w:val="-13"/>
          <w:w w:val="105"/>
        </w:rPr>
        <w:t> </w:t>
      </w:r>
      <w:r>
        <w:rPr>
          <w:rFonts w:ascii="Arial" w:hAnsi="Arial"/>
          <w:color w:val="231F20"/>
          <w:w w:val="105"/>
        </w:rPr>
        <w:t>doit</w:t>
      </w:r>
      <w:r>
        <w:rPr>
          <w:rFonts w:ascii="Arial" w:hAnsi="Arial"/>
          <w:color w:val="231F20"/>
          <w:spacing w:val="-12"/>
          <w:w w:val="105"/>
        </w:rPr>
        <w:t> </w:t>
      </w:r>
      <w:r>
        <w:rPr>
          <w:rFonts w:ascii="Arial" w:hAnsi="Arial"/>
          <w:color w:val="231F20"/>
          <w:w w:val="105"/>
        </w:rPr>
        <w:t>plutôt</w:t>
      </w:r>
      <w:r>
        <w:rPr>
          <w:rFonts w:ascii="Arial" w:hAnsi="Arial"/>
          <w:color w:val="231F20"/>
          <w:spacing w:val="-12"/>
          <w:w w:val="105"/>
        </w:rPr>
        <w:t> </w:t>
      </w:r>
      <w:r>
        <w:rPr>
          <w:rFonts w:ascii="Arial" w:hAnsi="Arial"/>
          <w:color w:val="231F20"/>
          <w:w w:val="105"/>
        </w:rPr>
        <w:t>être</w:t>
      </w:r>
      <w:r>
        <w:rPr>
          <w:rFonts w:ascii="Arial" w:hAnsi="Arial"/>
          <w:color w:val="231F20"/>
          <w:spacing w:val="-13"/>
          <w:w w:val="105"/>
        </w:rPr>
        <w:t> </w:t>
      </w:r>
      <w:r>
        <w:rPr>
          <w:rFonts w:ascii="Arial" w:hAnsi="Arial"/>
          <w:color w:val="231F20"/>
          <w:w w:val="105"/>
        </w:rPr>
        <w:t>perçu</w:t>
      </w:r>
      <w:r>
        <w:rPr>
          <w:rFonts w:ascii="Arial" w:hAnsi="Arial"/>
          <w:color w:val="231F20"/>
          <w:spacing w:val="-12"/>
          <w:w w:val="105"/>
        </w:rPr>
        <w:t> </w:t>
      </w:r>
      <w:r>
        <w:rPr>
          <w:rFonts w:ascii="Arial" w:hAnsi="Arial"/>
          <w:color w:val="231F20"/>
          <w:w w:val="105"/>
        </w:rPr>
        <w:t>comme</w:t>
      </w:r>
      <w:r>
        <w:rPr>
          <w:rFonts w:ascii="Arial" w:hAnsi="Arial"/>
          <w:color w:val="231F20"/>
          <w:spacing w:val="-13"/>
          <w:w w:val="105"/>
        </w:rPr>
        <w:t> </w:t>
      </w:r>
      <w:r>
        <w:rPr>
          <w:rFonts w:ascii="Arial" w:hAnsi="Arial"/>
          <w:color w:val="231F20"/>
          <w:w w:val="105"/>
        </w:rPr>
        <w:t>un</w:t>
      </w:r>
      <w:r>
        <w:rPr>
          <w:rFonts w:ascii="Arial" w:hAnsi="Arial"/>
          <w:color w:val="231F20"/>
          <w:spacing w:val="-12"/>
          <w:w w:val="105"/>
        </w:rPr>
        <w:t> </w:t>
      </w:r>
      <w:r>
        <w:rPr>
          <w:rFonts w:ascii="Arial" w:hAnsi="Arial"/>
          <w:color w:val="231F20"/>
          <w:w w:val="105"/>
        </w:rPr>
        <w:t>investisse- ment payant à court, à moyen et à long terme afin de faciliter son recrutement et favoriser son taux de rétention.</w:t>
      </w:r>
    </w:p>
    <w:p>
      <w:pPr>
        <w:pStyle w:val="BodyText"/>
        <w:spacing w:line="307" w:lineRule="auto" w:before="79"/>
        <w:ind w:left="1040" w:right="883"/>
        <w:jc w:val="both"/>
        <w:rPr>
          <w:rFonts w:ascii="Arial" w:hAnsi="Arial"/>
        </w:rPr>
      </w:pPr>
      <w:r>
        <w:rPr>
          <w:rFonts w:ascii="Arial" w:hAnsi="Arial"/>
          <w:color w:val="231F20"/>
        </w:rPr>
        <w:t>Nul</w:t>
      </w:r>
      <w:r>
        <w:rPr>
          <w:rFonts w:ascii="Arial" w:hAnsi="Arial"/>
          <w:color w:val="231F20"/>
          <w:spacing w:val="-4"/>
        </w:rPr>
        <w:t> </w:t>
      </w:r>
      <w:r>
        <w:rPr>
          <w:rFonts w:ascii="Arial" w:hAnsi="Arial"/>
          <w:color w:val="231F20"/>
        </w:rPr>
        <w:t>besoin</w:t>
      </w:r>
      <w:r>
        <w:rPr>
          <w:rFonts w:ascii="Arial" w:hAnsi="Arial"/>
          <w:color w:val="231F20"/>
          <w:spacing w:val="-4"/>
        </w:rPr>
        <w:t> </w:t>
      </w:r>
      <w:r>
        <w:rPr>
          <w:rFonts w:ascii="Arial" w:hAnsi="Arial"/>
          <w:color w:val="231F20"/>
        </w:rPr>
        <w:t>d’engager</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folles</w:t>
      </w:r>
      <w:r>
        <w:rPr>
          <w:rFonts w:ascii="Arial" w:hAnsi="Arial"/>
          <w:color w:val="231F20"/>
          <w:spacing w:val="-4"/>
        </w:rPr>
        <w:t> </w:t>
      </w:r>
      <w:r>
        <w:rPr>
          <w:rFonts w:ascii="Arial" w:hAnsi="Arial"/>
          <w:color w:val="231F20"/>
        </w:rPr>
        <w:t>dépenses</w:t>
      </w:r>
      <w:r>
        <w:rPr>
          <w:rFonts w:ascii="Arial" w:hAnsi="Arial"/>
          <w:color w:val="231F20"/>
          <w:spacing w:val="-4"/>
        </w:rPr>
        <w:t> </w:t>
      </w:r>
      <w:r>
        <w:rPr>
          <w:rFonts w:ascii="Arial" w:hAnsi="Arial"/>
          <w:color w:val="231F20"/>
        </w:rPr>
        <w:t>pour</w:t>
      </w:r>
      <w:r>
        <w:rPr>
          <w:rFonts w:ascii="Arial" w:hAnsi="Arial"/>
          <w:color w:val="231F20"/>
          <w:spacing w:val="-4"/>
        </w:rPr>
        <w:t> </w:t>
      </w:r>
      <w:r>
        <w:rPr>
          <w:rFonts w:ascii="Arial" w:hAnsi="Arial"/>
          <w:color w:val="231F20"/>
        </w:rPr>
        <w:t>redessiner</w:t>
      </w:r>
      <w:r>
        <w:rPr>
          <w:rFonts w:ascii="Arial" w:hAnsi="Arial"/>
          <w:color w:val="231F20"/>
          <w:spacing w:val="-4"/>
        </w:rPr>
        <w:t> </w:t>
      </w:r>
      <w:r>
        <w:rPr>
          <w:rFonts w:ascii="Arial" w:hAnsi="Arial"/>
          <w:color w:val="231F20"/>
        </w:rPr>
        <w:t>les</w:t>
      </w:r>
      <w:r>
        <w:rPr>
          <w:rFonts w:ascii="Arial" w:hAnsi="Arial"/>
          <w:color w:val="231F20"/>
          <w:spacing w:val="-4"/>
        </w:rPr>
        <w:t> </w:t>
      </w:r>
      <w:r>
        <w:rPr>
          <w:rFonts w:ascii="Arial" w:hAnsi="Arial"/>
          <w:color w:val="231F20"/>
        </w:rPr>
        <w:t>espaces de travail si les budgets ne s’y prêtent pas. De petits gestes peuvent </w:t>
      </w:r>
      <w:r>
        <w:rPr>
          <w:rFonts w:ascii="Arial" w:hAnsi="Arial"/>
          <w:color w:val="231F20"/>
          <w:spacing w:val="-2"/>
        </w:rPr>
        <w:t>suffire</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motiver</w:t>
      </w:r>
      <w:r>
        <w:rPr>
          <w:rFonts w:ascii="Arial" w:hAnsi="Arial"/>
          <w:color w:val="231F20"/>
          <w:spacing w:val="-9"/>
        </w:rPr>
        <w:t> </w:t>
      </w:r>
      <w:r>
        <w:rPr>
          <w:rFonts w:ascii="Arial" w:hAnsi="Arial"/>
          <w:color w:val="231F20"/>
          <w:spacing w:val="-2"/>
        </w:rPr>
        <w:t>les</w:t>
      </w:r>
      <w:r>
        <w:rPr>
          <w:rFonts w:ascii="Arial" w:hAnsi="Arial"/>
          <w:color w:val="231F20"/>
          <w:spacing w:val="-9"/>
        </w:rPr>
        <w:t> </w:t>
      </w:r>
      <w:r>
        <w:rPr>
          <w:rFonts w:ascii="Arial" w:hAnsi="Arial"/>
          <w:color w:val="231F20"/>
          <w:spacing w:val="-2"/>
        </w:rPr>
        <w:t>troupes.</w:t>
      </w:r>
      <w:r>
        <w:rPr>
          <w:rFonts w:ascii="Arial" w:hAnsi="Arial"/>
          <w:color w:val="231F20"/>
          <w:spacing w:val="-9"/>
        </w:rPr>
        <w:t> </w:t>
      </w:r>
      <w:r>
        <w:rPr>
          <w:rFonts w:ascii="Arial" w:hAnsi="Arial"/>
          <w:color w:val="231F20"/>
          <w:spacing w:val="-2"/>
        </w:rPr>
        <w:t>Pensons</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la</w:t>
      </w:r>
      <w:r>
        <w:rPr>
          <w:rFonts w:ascii="Arial" w:hAnsi="Arial"/>
          <w:color w:val="231F20"/>
          <w:spacing w:val="-9"/>
        </w:rPr>
        <w:t> </w:t>
      </w:r>
      <w:r>
        <w:rPr>
          <w:rFonts w:ascii="Arial" w:hAnsi="Arial"/>
          <w:color w:val="231F20"/>
          <w:spacing w:val="-2"/>
        </w:rPr>
        <w:t>décoration</w:t>
      </w:r>
      <w:r>
        <w:rPr>
          <w:rFonts w:ascii="Arial" w:hAnsi="Arial"/>
          <w:color w:val="231F20"/>
          <w:spacing w:val="-9"/>
        </w:rPr>
        <w:t> </w:t>
      </w:r>
      <w:r>
        <w:rPr>
          <w:rFonts w:ascii="Arial" w:hAnsi="Arial"/>
          <w:color w:val="231F20"/>
          <w:spacing w:val="-2"/>
        </w:rPr>
        <w:t>des</w:t>
      </w:r>
      <w:r>
        <w:rPr>
          <w:rFonts w:ascii="Arial" w:hAnsi="Arial"/>
          <w:color w:val="231F20"/>
          <w:spacing w:val="-9"/>
        </w:rPr>
        <w:t> </w:t>
      </w:r>
      <w:r>
        <w:rPr>
          <w:rFonts w:ascii="Arial" w:hAnsi="Arial"/>
          <w:color w:val="231F20"/>
          <w:spacing w:val="-2"/>
        </w:rPr>
        <w:t>espaces</w:t>
      </w:r>
      <w:r>
        <w:rPr>
          <w:rFonts w:ascii="Arial" w:hAnsi="Arial"/>
          <w:color w:val="231F20"/>
          <w:spacing w:val="-9"/>
        </w:rPr>
        <w:t> </w:t>
      </w:r>
      <w:r>
        <w:rPr>
          <w:rFonts w:ascii="Arial" w:hAnsi="Arial"/>
          <w:color w:val="231F20"/>
          <w:spacing w:val="-2"/>
        </w:rPr>
        <w:t>com- </w:t>
      </w:r>
      <w:r>
        <w:rPr>
          <w:rFonts w:ascii="Arial" w:hAnsi="Arial"/>
          <w:color w:val="231F20"/>
        </w:rPr>
        <w:t>muns</w:t>
      </w:r>
      <w:r>
        <w:rPr>
          <w:rFonts w:ascii="Arial" w:hAnsi="Arial"/>
          <w:color w:val="231F20"/>
          <w:spacing w:val="-12"/>
        </w:rPr>
        <w:t> </w:t>
      </w:r>
      <w:r>
        <w:rPr>
          <w:rFonts w:ascii="Arial" w:hAnsi="Arial"/>
          <w:color w:val="231F20"/>
        </w:rPr>
        <w:t>et</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l’entrée</w:t>
      </w:r>
      <w:r>
        <w:rPr>
          <w:rFonts w:ascii="Arial" w:hAnsi="Arial"/>
          <w:color w:val="231F20"/>
          <w:spacing w:val="-12"/>
        </w:rPr>
        <w:t> </w:t>
      </w:r>
      <w:r>
        <w:rPr>
          <w:rFonts w:ascii="Arial" w:hAnsi="Arial"/>
          <w:color w:val="231F20"/>
        </w:rPr>
        <w:t>des</w:t>
      </w:r>
      <w:r>
        <w:rPr>
          <w:rFonts w:ascii="Arial" w:hAnsi="Arial"/>
          <w:color w:val="231F20"/>
          <w:spacing w:val="-12"/>
        </w:rPr>
        <w:t> </w:t>
      </w:r>
      <w:r>
        <w:rPr>
          <w:rFonts w:ascii="Arial" w:hAnsi="Arial"/>
          <w:color w:val="231F20"/>
        </w:rPr>
        <w:t>bureaux</w:t>
      </w:r>
      <w:r>
        <w:rPr>
          <w:rFonts w:ascii="Arial" w:hAnsi="Arial"/>
          <w:color w:val="231F20"/>
          <w:spacing w:val="-11"/>
        </w:rPr>
        <w:t> </w:t>
      </w:r>
      <w:r>
        <w:rPr>
          <w:rFonts w:ascii="Arial" w:hAnsi="Arial"/>
          <w:color w:val="231F20"/>
        </w:rPr>
        <w:t>à</w:t>
      </w:r>
      <w:r>
        <w:rPr>
          <w:rFonts w:ascii="Arial" w:hAnsi="Arial"/>
          <w:color w:val="231F20"/>
          <w:spacing w:val="-12"/>
        </w:rPr>
        <w:t> </w:t>
      </w:r>
      <w:r>
        <w:rPr>
          <w:rFonts w:ascii="Arial" w:hAnsi="Arial"/>
          <w:color w:val="231F20"/>
        </w:rPr>
        <w:t>cloisons,</w:t>
      </w:r>
      <w:r>
        <w:rPr>
          <w:rFonts w:ascii="Arial" w:hAnsi="Arial"/>
          <w:color w:val="231F20"/>
          <w:spacing w:val="-12"/>
        </w:rPr>
        <w:t> </w:t>
      </w:r>
      <w:r>
        <w:rPr>
          <w:rFonts w:ascii="Arial" w:hAnsi="Arial"/>
          <w:color w:val="231F20"/>
        </w:rPr>
        <w:t>un</w:t>
      </w:r>
      <w:r>
        <w:rPr>
          <w:rFonts w:ascii="Arial" w:hAnsi="Arial"/>
          <w:color w:val="231F20"/>
          <w:spacing w:val="-12"/>
        </w:rPr>
        <w:t> </w:t>
      </w:r>
      <w:r>
        <w:rPr>
          <w:rFonts w:ascii="Arial" w:hAnsi="Arial"/>
          <w:color w:val="231F20"/>
        </w:rPr>
        <w:t>moyen</w:t>
      </w:r>
      <w:r>
        <w:rPr>
          <w:rFonts w:ascii="Arial" w:hAnsi="Arial"/>
          <w:color w:val="231F20"/>
          <w:spacing w:val="-12"/>
        </w:rPr>
        <w:t> </w:t>
      </w:r>
      <w:r>
        <w:rPr>
          <w:rFonts w:ascii="Arial" w:hAnsi="Arial"/>
          <w:color w:val="231F20"/>
        </w:rPr>
        <w:t>ludique</w:t>
      </w:r>
      <w:r>
        <w:rPr>
          <w:rFonts w:ascii="Arial" w:hAnsi="Arial"/>
          <w:color w:val="231F20"/>
          <w:spacing w:val="-11"/>
        </w:rPr>
        <w:t> </w:t>
      </w:r>
      <w:r>
        <w:rPr>
          <w:rFonts w:ascii="Arial" w:hAnsi="Arial"/>
          <w:color w:val="231F20"/>
        </w:rPr>
        <w:t>d’encou- </w:t>
      </w:r>
      <w:r>
        <w:rPr>
          <w:rFonts w:ascii="Arial" w:hAnsi="Arial"/>
          <w:color w:val="231F20"/>
          <w:spacing w:val="-2"/>
        </w:rPr>
        <w:t>rager</w:t>
      </w:r>
      <w:r>
        <w:rPr>
          <w:rFonts w:ascii="Arial" w:hAnsi="Arial"/>
          <w:color w:val="231F20"/>
          <w:spacing w:val="-9"/>
        </w:rPr>
        <w:t> </w:t>
      </w:r>
      <w:r>
        <w:rPr>
          <w:rFonts w:ascii="Arial" w:hAnsi="Arial"/>
          <w:color w:val="231F20"/>
          <w:spacing w:val="-2"/>
        </w:rPr>
        <w:t>chacun</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exprimer</w:t>
      </w:r>
      <w:r>
        <w:rPr>
          <w:rFonts w:ascii="Arial" w:hAnsi="Arial"/>
          <w:color w:val="231F20"/>
          <w:spacing w:val="-9"/>
        </w:rPr>
        <w:t> </w:t>
      </w:r>
      <w:r>
        <w:rPr>
          <w:rFonts w:ascii="Arial" w:hAnsi="Arial"/>
          <w:color w:val="231F20"/>
          <w:spacing w:val="-2"/>
        </w:rPr>
        <w:t>sa</w:t>
      </w:r>
      <w:r>
        <w:rPr>
          <w:rFonts w:ascii="Arial" w:hAnsi="Arial"/>
          <w:color w:val="231F20"/>
          <w:spacing w:val="-9"/>
        </w:rPr>
        <w:t> </w:t>
      </w:r>
      <w:r>
        <w:rPr>
          <w:rFonts w:ascii="Arial" w:hAnsi="Arial"/>
          <w:color w:val="231F20"/>
          <w:spacing w:val="-2"/>
        </w:rPr>
        <w:t>créativité</w:t>
      </w:r>
      <w:r>
        <w:rPr>
          <w:rFonts w:ascii="Arial" w:hAnsi="Arial"/>
          <w:color w:val="231F20"/>
          <w:spacing w:val="-9"/>
        </w:rPr>
        <w:t> </w:t>
      </w:r>
      <w:r>
        <w:rPr>
          <w:rFonts w:ascii="Arial" w:hAnsi="Arial"/>
          <w:color w:val="231F20"/>
          <w:spacing w:val="-2"/>
        </w:rPr>
        <w:t>et</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personnaliser</w:t>
      </w:r>
      <w:r>
        <w:rPr>
          <w:rFonts w:ascii="Arial" w:hAnsi="Arial"/>
          <w:color w:val="231F20"/>
          <w:spacing w:val="-9"/>
        </w:rPr>
        <w:t> </w:t>
      </w:r>
      <w:r>
        <w:rPr>
          <w:rFonts w:ascii="Arial" w:hAnsi="Arial"/>
          <w:color w:val="231F20"/>
          <w:spacing w:val="-2"/>
        </w:rPr>
        <w:t>le</w:t>
      </w:r>
      <w:r>
        <w:rPr>
          <w:rFonts w:ascii="Arial" w:hAnsi="Arial"/>
          <w:color w:val="231F20"/>
          <w:spacing w:val="-9"/>
        </w:rPr>
        <w:t> </w:t>
      </w:r>
      <w:r>
        <w:rPr>
          <w:rFonts w:ascii="Arial" w:hAnsi="Arial"/>
          <w:color w:val="231F20"/>
          <w:spacing w:val="-2"/>
        </w:rPr>
        <w:t>lieu</w:t>
      </w:r>
      <w:r>
        <w:rPr>
          <w:rFonts w:ascii="Arial" w:hAnsi="Arial"/>
          <w:color w:val="231F20"/>
          <w:spacing w:val="-9"/>
        </w:rPr>
        <w:t> </w:t>
      </w:r>
      <w:r>
        <w:rPr>
          <w:rFonts w:ascii="Arial" w:hAnsi="Arial"/>
          <w:color w:val="231F20"/>
          <w:spacing w:val="-2"/>
        </w:rPr>
        <w:t>où,</w:t>
      </w:r>
      <w:r>
        <w:rPr>
          <w:rFonts w:ascii="Arial" w:hAnsi="Arial"/>
          <w:color w:val="231F20"/>
          <w:spacing w:val="-9"/>
        </w:rPr>
        <w:t> </w:t>
      </w:r>
      <w:r>
        <w:rPr>
          <w:rFonts w:ascii="Arial" w:hAnsi="Arial"/>
          <w:color w:val="231F20"/>
          <w:spacing w:val="-2"/>
        </w:rPr>
        <w:t>après </w:t>
      </w:r>
      <w:r>
        <w:rPr>
          <w:rFonts w:ascii="Arial" w:hAnsi="Arial"/>
          <w:color w:val="231F20"/>
        </w:rPr>
        <w:t>tout, il passe le plus clair de son temps. Le fait de souligner les anni- </w:t>
      </w:r>
      <w:r>
        <w:rPr>
          <w:rFonts w:ascii="Arial" w:hAnsi="Arial"/>
          <w:color w:val="231F20"/>
          <w:spacing w:val="-2"/>
        </w:rPr>
        <w:t>versaires</w:t>
      </w:r>
      <w:r>
        <w:rPr>
          <w:rFonts w:ascii="Arial" w:hAnsi="Arial"/>
          <w:color w:val="231F20"/>
          <w:spacing w:val="-8"/>
        </w:rPr>
        <w:t> </w:t>
      </w:r>
      <w:r>
        <w:rPr>
          <w:rFonts w:ascii="Arial" w:hAnsi="Arial"/>
          <w:color w:val="231F20"/>
          <w:spacing w:val="-2"/>
        </w:rPr>
        <w:t>par</w:t>
      </w:r>
      <w:r>
        <w:rPr>
          <w:rFonts w:ascii="Arial" w:hAnsi="Arial"/>
          <w:color w:val="231F20"/>
          <w:spacing w:val="-8"/>
        </w:rPr>
        <w:t> </w:t>
      </w:r>
      <w:r>
        <w:rPr>
          <w:rFonts w:ascii="Arial" w:hAnsi="Arial"/>
          <w:color w:val="231F20"/>
          <w:spacing w:val="-2"/>
        </w:rPr>
        <w:t>un</w:t>
      </w:r>
      <w:r>
        <w:rPr>
          <w:rFonts w:ascii="Arial" w:hAnsi="Arial"/>
          <w:color w:val="231F20"/>
          <w:spacing w:val="-8"/>
        </w:rPr>
        <w:t> </w:t>
      </w:r>
      <w:r>
        <w:rPr>
          <w:rFonts w:ascii="Arial" w:hAnsi="Arial"/>
          <w:color w:val="231F20"/>
          <w:spacing w:val="-2"/>
        </w:rPr>
        <w:t>gâteau</w:t>
      </w:r>
      <w:r>
        <w:rPr>
          <w:rFonts w:ascii="Arial" w:hAnsi="Arial"/>
          <w:color w:val="231F20"/>
          <w:spacing w:val="-8"/>
        </w:rPr>
        <w:t> </w:t>
      </w:r>
      <w:r>
        <w:rPr>
          <w:rFonts w:ascii="Arial" w:hAnsi="Arial"/>
          <w:color w:val="231F20"/>
          <w:spacing w:val="-2"/>
        </w:rPr>
        <w:t>et</w:t>
      </w:r>
      <w:r>
        <w:rPr>
          <w:rFonts w:ascii="Arial" w:hAnsi="Arial"/>
          <w:color w:val="231F20"/>
          <w:spacing w:val="-8"/>
        </w:rPr>
        <w:t> </w:t>
      </w:r>
      <w:r>
        <w:rPr>
          <w:rFonts w:ascii="Arial" w:hAnsi="Arial"/>
          <w:color w:val="231F20"/>
          <w:spacing w:val="-2"/>
        </w:rPr>
        <w:t>quelques</w:t>
      </w:r>
      <w:r>
        <w:rPr>
          <w:rFonts w:ascii="Arial" w:hAnsi="Arial"/>
          <w:color w:val="231F20"/>
          <w:spacing w:val="-8"/>
        </w:rPr>
        <w:t> </w:t>
      </w:r>
      <w:r>
        <w:rPr>
          <w:rFonts w:ascii="Arial" w:hAnsi="Arial"/>
          <w:color w:val="231F20"/>
          <w:spacing w:val="-2"/>
        </w:rPr>
        <w:t>guirlandes</w:t>
      </w:r>
      <w:r>
        <w:rPr>
          <w:rFonts w:ascii="Arial" w:hAnsi="Arial"/>
          <w:color w:val="231F20"/>
          <w:spacing w:val="-8"/>
        </w:rPr>
        <w:t> </w:t>
      </w:r>
      <w:r>
        <w:rPr>
          <w:rFonts w:ascii="Arial" w:hAnsi="Arial"/>
          <w:color w:val="231F20"/>
          <w:spacing w:val="-2"/>
        </w:rPr>
        <w:t>est</w:t>
      </w:r>
      <w:r>
        <w:rPr>
          <w:rFonts w:ascii="Arial" w:hAnsi="Arial"/>
          <w:color w:val="231F20"/>
          <w:spacing w:val="-8"/>
        </w:rPr>
        <w:t> </w:t>
      </w:r>
      <w:r>
        <w:rPr>
          <w:rFonts w:ascii="Arial" w:hAnsi="Arial"/>
          <w:color w:val="231F20"/>
          <w:spacing w:val="-2"/>
        </w:rPr>
        <w:t>aussi</w:t>
      </w:r>
      <w:r>
        <w:rPr>
          <w:rFonts w:ascii="Arial" w:hAnsi="Arial"/>
          <w:color w:val="231F20"/>
          <w:spacing w:val="-8"/>
        </w:rPr>
        <w:t> </w:t>
      </w:r>
      <w:r>
        <w:rPr>
          <w:rFonts w:ascii="Arial" w:hAnsi="Arial"/>
          <w:color w:val="231F20"/>
          <w:spacing w:val="-2"/>
        </w:rPr>
        <w:t>une</w:t>
      </w:r>
      <w:r>
        <w:rPr>
          <w:rFonts w:ascii="Arial" w:hAnsi="Arial"/>
          <w:color w:val="231F20"/>
          <w:spacing w:val="-8"/>
        </w:rPr>
        <w:t> </w:t>
      </w:r>
      <w:r>
        <w:rPr>
          <w:rFonts w:ascii="Arial" w:hAnsi="Arial"/>
          <w:color w:val="231F20"/>
          <w:spacing w:val="-2"/>
        </w:rPr>
        <w:t>astuce</w:t>
      </w:r>
      <w:r>
        <w:rPr>
          <w:rFonts w:ascii="Arial" w:hAnsi="Arial"/>
          <w:color w:val="231F20"/>
          <w:spacing w:val="-8"/>
        </w:rPr>
        <w:t> </w:t>
      </w:r>
      <w:r>
        <w:rPr>
          <w:rFonts w:ascii="Arial" w:hAnsi="Arial"/>
          <w:color w:val="231F20"/>
          <w:spacing w:val="-2"/>
        </w:rPr>
        <w:t>qui </w:t>
      </w:r>
      <w:r>
        <w:rPr>
          <w:rFonts w:ascii="Arial" w:hAnsi="Arial"/>
          <w:color w:val="231F20"/>
        </w:rPr>
        <w:t>garantit une valorisation des employés et une manière simple de rompre avec la monotonie de la routine.</w:t>
      </w:r>
    </w:p>
    <w:p>
      <w:pPr>
        <w:pStyle w:val="BodyText"/>
        <w:spacing w:line="307" w:lineRule="auto" w:before="79"/>
        <w:ind w:left="1040" w:right="885"/>
        <w:jc w:val="both"/>
        <w:rPr>
          <w:rFonts w:ascii="Arial" w:hAnsi="Arial"/>
        </w:rPr>
      </w:pPr>
      <w:r>
        <w:rPr>
          <w:rFonts w:ascii="Arial" w:hAnsi="Arial"/>
          <w:color w:val="231F20"/>
          <w:spacing w:val="-2"/>
        </w:rPr>
        <w:t>Finalement,</w:t>
      </w:r>
      <w:r>
        <w:rPr>
          <w:rFonts w:ascii="Arial" w:hAnsi="Arial"/>
          <w:color w:val="231F20"/>
          <w:spacing w:val="-4"/>
        </w:rPr>
        <w:t> </w:t>
      </w:r>
      <w:r>
        <w:rPr>
          <w:rFonts w:ascii="Arial" w:hAnsi="Arial"/>
          <w:color w:val="231F20"/>
          <w:spacing w:val="-2"/>
        </w:rPr>
        <w:t>malgré</w:t>
      </w:r>
      <w:r>
        <w:rPr>
          <w:rFonts w:ascii="Arial" w:hAnsi="Arial"/>
          <w:color w:val="231F20"/>
          <w:spacing w:val="-4"/>
        </w:rPr>
        <w:t> </w:t>
      </w:r>
      <w:r>
        <w:rPr>
          <w:rFonts w:ascii="Arial" w:hAnsi="Arial"/>
          <w:color w:val="231F20"/>
          <w:spacing w:val="-2"/>
        </w:rPr>
        <w:t>l’ampleur</w:t>
      </w:r>
      <w:r>
        <w:rPr>
          <w:rFonts w:ascii="Arial" w:hAnsi="Arial"/>
          <w:color w:val="231F20"/>
          <w:spacing w:val="-4"/>
        </w:rPr>
        <w:t> </w:t>
      </w:r>
      <w:r>
        <w:rPr>
          <w:rFonts w:ascii="Arial" w:hAnsi="Arial"/>
          <w:color w:val="231F20"/>
          <w:spacing w:val="-2"/>
        </w:rPr>
        <w:t>des</w:t>
      </w:r>
      <w:r>
        <w:rPr>
          <w:rFonts w:ascii="Arial" w:hAnsi="Arial"/>
          <w:color w:val="231F20"/>
          <w:spacing w:val="-4"/>
        </w:rPr>
        <w:t> </w:t>
      </w:r>
      <w:r>
        <w:rPr>
          <w:rFonts w:ascii="Arial" w:hAnsi="Arial"/>
          <w:color w:val="231F20"/>
          <w:spacing w:val="-2"/>
        </w:rPr>
        <w:t>tâches</w:t>
      </w:r>
      <w:r>
        <w:rPr>
          <w:rFonts w:ascii="Arial" w:hAnsi="Arial"/>
          <w:color w:val="231F20"/>
          <w:spacing w:val="-4"/>
        </w:rPr>
        <w:t> </w:t>
      </w:r>
      <w:r>
        <w:rPr>
          <w:rFonts w:ascii="Arial" w:hAnsi="Arial"/>
          <w:color w:val="231F20"/>
          <w:spacing w:val="-2"/>
        </w:rPr>
        <w:t>à</w:t>
      </w:r>
      <w:r>
        <w:rPr>
          <w:rFonts w:ascii="Arial" w:hAnsi="Arial"/>
          <w:color w:val="231F20"/>
          <w:spacing w:val="-4"/>
        </w:rPr>
        <w:t> </w:t>
      </w:r>
      <w:r>
        <w:rPr>
          <w:rFonts w:ascii="Arial" w:hAnsi="Arial"/>
          <w:color w:val="231F20"/>
          <w:spacing w:val="-2"/>
        </w:rPr>
        <w:t>accomplir</w:t>
      </w:r>
      <w:r>
        <w:rPr>
          <w:rFonts w:ascii="Arial" w:hAnsi="Arial"/>
          <w:color w:val="231F20"/>
          <w:spacing w:val="-4"/>
        </w:rPr>
        <w:t> </w:t>
      </w:r>
      <w:r>
        <w:rPr>
          <w:rFonts w:ascii="Arial" w:hAnsi="Arial"/>
          <w:color w:val="231F20"/>
          <w:spacing w:val="-2"/>
        </w:rPr>
        <w:t>et</w:t>
      </w:r>
      <w:r>
        <w:rPr>
          <w:rFonts w:ascii="Arial" w:hAnsi="Arial"/>
          <w:color w:val="231F20"/>
          <w:spacing w:val="-4"/>
        </w:rPr>
        <w:t> </w:t>
      </w:r>
      <w:r>
        <w:rPr>
          <w:rFonts w:ascii="Arial" w:hAnsi="Arial"/>
          <w:color w:val="231F20"/>
          <w:spacing w:val="-2"/>
        </w:rPr>
        <w:t>l’importance</w:t>
      </w:r>
      <w:r>
        <w:rPr>
          <w:rFonts w:ascii="Arial" w:hAnsi="Arial"/>
          <w:color w:val="231F20"/>
          <w:spacing w:val="-4"/>
        </w:rPr>
        <w:t> </w:t>
      </w:r>
      <w:r>
        <w:rPr>
          <w:rFonts w:ascii="Arial" w:hAnsi="Arial"/>
          <w:color w:val="231F20"/>
          <w:spacing w:val="-2"/>
        </w:rPr>
        <w:t>de </w:t>
      </w:r>
      <w:r>
        <w:rPr>
          <w:rFonts w:ascii="Arial" w:hAnsi="Arial"/>
          <w:color w:val="231F20"/>
        </w:rPr>
        <w:t>respecter</w:t>
      </w:r>
      <w:r>
        <w:rPr>
          <w:rFonts w:ascii="Arial" w:hAnsi="Arial"/>
          <w:color w:val="231F20"/>
          <w:spacing w:val="-5"/>
        </w:rPr>
        <w:t> </w:t>
      </w:r>
      <w:r>
        <w:rPr>
          <w:rFonts w:ascii="Arial" w:hAnsi="Arial"/>
          <w:color w:val="231F20"/>
        </w:rPr>
        <w:t>les</w:t>
      </w:r>
      <w:r>
        <w:rPr>
          <w:rFonts w:ascii="Arial" w:hAnsi="Arial"/>
          <w:color w:val="231F20"/>
          <w:spacing w:val="-5"/>
        </w:rPr>
        <w:t> </w:t>
      </w:r>
      <w:r>
        <w:rPr>
          <w:rFonts w:ascii="Arial" w:hAnsi="Arial"/>
          <w:color w:val="231F20"/>
        </w:rPr>
        <w:t>délais,</w:t>
      </w:r>
      <w:r>
        <w:rPr>
          <w:rFonts w:ascii="Arial" w:hAnsi="Arial"/>
          <w:color w:val="231F20"/>
          <w:spacing w:val="-5"/>
        </w:rPr>
        <w:t> </w:t>
      </w:r>
      <w:r>
        <w:rPr>
          <w:rFonts w:ascii="Arial" w:hAnsi="Arial"/>
          <w:color w:val="231F20"/>
        </w:rPr>
        <w:t>un</w:t>
      </w:r>
      <w:r>
        <w:rPr>
          <w:rFonts w:ascii="Arial" w:hAnsi="Arial"/>
          <w:color w:val="231F20"/>
          <w:spacing w:val="-5"/>
        </w:rPr>
        <w:t> </w:t>
      </w:r>
      <w:r>
        <w:rPr>
          <w:rFonts w:ascii="Arial" w:hAnsi="Arial"/>
          <w:color w:val="231F20"/>
        </w:rPr>
        <w:t>peu</w:t>
      </w:r>
      <w:r>
        <w:rPr>
          <w:rFonts w:ascii="Arial" w:hAnsi="Arial"/>
          <w:color w:val="231F20"/>
          <w:spacing w:val="-5"/>
        </w:rPr>
        <w:t> </w:t>
      </w:r>
      <w:r>
        <w:rPr>
          <w:rFonts w:ascii="Arial" w:hAnsi="Arial"/>
          <w:color w:val="231F20"/>
        </w:rPr>
        <w:t>d’humour</w:t>
      </w:r>
      <w:r>
        <w:rPr>
          <w:rFonts w:ascii="Arial" w:hAnsi="Arial"/>
          <w:color w:val="231F20"/>
          <w:spacing w:val="-5"/>
        </w:rPr>
        <w:t> </w:t>
      </w:r>
      <w:r>
        <w:rPr>
          <w:rFonts w:ascii="Arial" w:hAnsi="Arial"/>
          <w:color w:val="231F20"/>
        </w:rPr>
        <w:t>et</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complicité</w:t>
      </w:r>
      <w:r>
        <w:rPr>
          <w:rFonts w:ascii="Arial" w:hAnsi="Arial"/>
          <w:color w:val="231F20"/>
          <w:spacing w:val="-5"/>
        </w:rPr>
        <w:t> </w:t>
      </w:r>
      <w:r>
        <w:rPr>
          <w:rFonts w:ascii="Arial" w:hAnsi="Arial"/>
          <w:color w:val="231F20"/>
        </w:rPr>
        <w:t>entre</w:t>
      </w:r>
      <w:r>
        <w:rPr>
          <w:rFonts w:ascii="Arial" w:hAnsi="Arial"/>
          <w:color w:val="231F20"/>
          <w:spacing w:val="-5"/>
        </w:rPr>
        <w:t> </w:t>
      </w:r>
      <w:r>
        <w:rPr>
          <w:rFonts w:ascii="Arial" w:hAnsi="Arial"/>
          <w:color w:val="231F20"/>
        </w:rPr>
        <w:t>collègues sont</w:t>
      </w:r>
      <w:r>
        <w:rPr>
          <w:rFonts w:ascii="Arial" w:hAnsi="Arial"/>
          <w:color w:val="231F20"/>
          <w:spacing w:val="-10"/>
        </w:rPr>
        <w:t> </w:t>
      </w:r>
      <w:r>
        <w:rPr>
          <w:rFonts w:ascii="Arial" w:hAnsi="Arial"/>
          <w:color w:val="231F20"/>
        </w:rPr>
        <w:t>susceptibles</w:t>
      </w:r>
      <w:r>
        <w:rPr>
          <w:rFonts w:ascii="Arial" w:hAnsi="Arial"/>
          <w:color w:val="231F20"/>
          <w:spacing w:val="-10"/>
        </w:rPr>
        <w:t> </w:t>
      </w:r>
      <w:r>
        <w:rPr>
          <w:rFonts w:ascii="Arial" w:hAnsi="Arial"/>
          <w:color w:val="231F20"/>
        </w:rPr>
        <w:t>d’améliorer</w:t>
      </w:r>
      <w:r>
        <w:rPr>
          <w:rFonts w:ascii="Arial" w:hAnsi="Arial"/>
          <w:color w:val="231F20"/>
          <w:spacing w:val="-10"/>
        </w:rPr>
        <w:t> </w:t>
      </w:r>
      <w:r>
        <w:rPr>
          <w:rFonts w:ascii="Arial" w:hAnsi="Arial"/>
          <w:color w:val="231F20"/>
        </w:rPr>
        <w:t>les</w:t>
      </w:r>
      <w:r>
        <w:rPr>
          <w:rFonts w:ascii="Arial" w:hAnsi="Arial"/>
          <w:color w:val="231F20"/>
          <w:spacing w:val="-10"/>
        </w:rPr>
        <w:t> </w:t>
      </w:r>
      <w:r>
        <w:rPr>
          <w:rFonts w:ascii="Arial" w:hAnsi="Arial"/>
          <w:color w:val="231F20"/>
        </w:rPr>
        <w:t>performances.</w:t>
      </w:r>
      <w:r>
        <w:rPr>
          <w:rFonts w:ascii="Arial" w:hAnsi="Arial"/>
          <w:color w:val="231F20"/>
          <w:spacing w:val="-10"/>
        </w:rPr>
        <w:t> </w:t>
      </w:r>
      <w:r>
        <w:rPr>
          <w:rFonts w:ascii="Arial" w:hAnsi="Arial"/>
          <w:color w:val="231F20"/>
        </w:rPr>
        <w:t>Ne</w:t>
      </w:r>
      <w:r>
        <w:rPr>
          <w:rFonts w:ascii="Arial" w:hAnsi="Arial"/>
          <w:color w:val="231F20"/>
          <w:spacing w:val="-10"/>
        </w:rPr>
        <w:t> </w:t>
      </w:r>
      <w:r>
        <w:rPr>
          <w:rFonts w:ascii="Arial" w:hAnsi="Arial"/>
          <w:color w:val="231F20"/>
        </w:rPr>
        <w:t>perdons</w:t>
      </w:r>
      <w:r>
        <w:rPr>
          <w:rFonts w:ascii="Arial" w:hAnsi="Arial"/>
          <w:color w:val="231F20"/>
          <w:spacing w:val="-10"/>
        </w:rPr>
        <w:t> </w:t>
      </w:r>
      <w:r>
        <w:rPr>
          <w:rFonts w:ascii="Arial" w:hAnsi="Arial"/>
          <w:color w:val="231F20"/>
        </w:rPr>
        <w:t>jamais</w:t>
      </w:r>
      <w:r>
        <w:rPr>
          <w:rFonts w:ascii="Arial" w:hAnsi="Arial"/>
          <w:color w:val="231F20"/>
          <w:spacing w:val="-10"/>
        </w:rPr>
        <w:t> </w:t>
      </w:r>
      <w:r>
        <w:rPr>
          <w:rFonts w:ascii="Arial" w:hAnsi="Arial"/>
          <w:color w:val="231F20"/>
        </w:rPr>
        <w:t>de vue</w:t>
      </w:r>
      <w:r>
        <w:rPr>
          <w:rFonts w:ascii="Arial" w:hAnsi="Arial"/>
          <w:color w:val="231F20"/>
          <w:spacing w:val="-10"/>
        </w:rPr>
        <w:t> </w:t>
      </w:r>
      <w:r>
        <w:rPr>
          <w:rFonts w:ascii="Arial" w:hAnsi="Arial"/>
          <w:color w:val="231F20"/>
        </w:rPr>
        <w:t>qu’un</w:t>
      </w:r>
      <w:r>
        <w:rPr>
          <w:rFonts w:ascii="Arial" w:hAnsi="Arial"/>
          <w:color w:val="231F20"/>
          <w:spacing w:val="-10"/>
        </w:rPr>
        <w:t> </w:t>
      </w:r>
      <w:r>
        <w:rPr>
          <w:rFonts w:ascii="Arial" w:hAnsi="Arial"/>
          <w:color w:val="231F20"/>
        </w:rPr>
        <w:t>milieu</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travail</w:t>
      </w:r>
      <w:r>
        <w:rPr>
          <w:rFonts w:ascii="Arial" w:hAnsi="Arial"/>
          <w:color w:val="231F20"/>
          <w:spacing w:val="-9"/>
        </w:rPr>
        <w:t> </w:t>
      </w:r>
      <w:r>
        <w:rPr>
          <w:rFonts w:ascii="Arial" w:hAnsi="Arial"/>
          <w:color w:val="231F20"/>
        </w:rPr>
        <w:t>où</w:t>
      </w:r>
      <w:r>
        <w:rPr>
          <w:rFonts w:ascii="Arial" w:hAnsi="Arial"/>
          <w:color w:val="231F20"/>
          <w:spacing w:val="-10"/>
        </w:rPr>
        <w:t> </w:t>
      </w:r>
      <w:r>
        <w:rPr>
          <w:rFonts w:ascii="Arial" w:hAnsi="Arial"/>
          <w:color w:val="231F20"/>
        </w:rPr>
        <w:t>l’on</w:t>
      </w:r>
      <w:r>
        <w:rPr>
          <w:rFonts w:ascii="Arial" w:hAnsi="Arial"/>
          <w:color w:val="231F20"/>
          <w:spacing w:val="-10"/>
        </w:rPr>
        <w:t> </w:t>
      </w:r>
      <w:r>
        <w:rPr>
          <w:rFonts w:ascii="Arial" w:hAnsi="Arial"/>
          <w:color w:val="231F20"/>
        </w:rPr>
        <w:t>rit</w:t>
      </w:r>
      <w:r>
        <w:rPr>
          <w:rFonts w:ascii="Arial" w:hAnsi="Arial"/>
          <w:color w:val="231F20"/>
          <w:spacing w:val="-10"/>
        </w:rPr>
        <w:t> </w:t>
      </w:r>
      <w:r>
        <w:rPr>
          <w:rFonts w:ascii="Arial" w:hAnsi="Arial"/>
          <w:color w:val="231F20"/>
        </w:rPr>
        <w:t>est</w:t>
      </w:r>
      <w:r>
        <w:rPr>
          <w:rFonts w:ascii="Arial" w:hAnsi="Arial"/>
          <w:color w:val="231F20"/>
          <w:spacing w:val="-10"/>
        </w:rPr>
        <w:t> </w:t>
      </w:r>
      <w:r>
        <w:rPr>
          <w:rFonts w:ascii="Arial" w:hAnsi="Arial"/>
          <w:color w:val="231F20"/>
        </w:rPr>
        <w:t>un</w:t>
      </w:r>
      <w:r>
        <w:rPr>
          <w:rFonts w:ascii="Arial" w:hAnsi="Arial"/>
          <w:color w:val="231F20"/>
          <w:spacing w:val="-9"/>
        </w:rPr>
        <w:t> </w:t>
      </w:r>
      <w:r>
        <w:rPr>
          <w:rFonts w:ascii="Arial" w:hAnsi="Arial"/>
          <w:color w:val="231F20"/>
        </w:rPr>
        <w:t>endroit</w:t>
      </w:r>
      <w:r>
        <w:rPr>
          <w:rFonts w:ascii="Arial" w:hAnsi="Arial"/>
          <w:color w:val="231F20"/>
          <w:spacing w:val="-10"/>
        </w:rPr>
        <w:t> </w:t>
      </w:r>
      <w:r>
        <w:rPr>
          <w:rFonts w:ascii="Arial" w:hAnsi="Arial"/>
          <w:color w:val="231F20"/>
        </w:rPr>
        <w:t>où</w:t>
      </w:r>
      <w:r>
        <w:rPr>
          <w:rFonts w:ascii="Arial" w:hAnsi="Arial"/>
          <w:color w:val="231F20"/>
          <w:spacing w:val="-10"/>
        </w:rPr>
        <w:t> </w:t>
      </w:r>
      <w:r>
        <w:rPr>
          <w:rFonts w:ascii="Arial" w:hAnsi="Arial"/>
          <w:color w:val="231F20"/>
        </w:rPr>
        <w:t>l’on</w:t>
      </w:r>
      <w:r>
        <w:rPr>
          <w:rFonts w:ascii="Arial" w:hAnsi="Arial"/>
          <w:color w:val="231F20"/>
          <w:spacing w:val="-10"/>
        </w:rPr>
        <w:t> </w:t>
      </w:r>
      <w:r>
        <w:rPr>
          <w:rFonts w:ascii="Arial" w:hAnsi="Arial"/>
          <w:color w:val="231F20"/>
        </w:rPr>
        <w:t>est</w:t>
      </w:r>
      <w:r>
        <w:rPr>
          <w:rFonts w:ascii="Arial" w:hAnsi="Arial"/>
          <w:color w:val="231F20"/>
          <w:spacing w:val="-10"/>
        </w:rPr>
        <w:t> </w:t>
      </w:r>
      <w:r>
        <w:rPr>
          <w:rFonts w:ascii="Arial" w:hAnsi="Arial"/>
          <w:color w:val="231F20"/>
        </w:rPr>
        <w:t>heureux</w:t>
      </w:r>
      <w:r>
        <w:rPr>
          <w:rFonts w:ascii="Arial" w:hAnsi="Arial"/>
          <w:color w:val="231F20"/>
          <w:spacing w:val="-33"/>
        </w:rPr>
        <w:t> </w:t>
      </w:r>
      <w:r>
        <w:rPr>
          <w:rFonts w:ascii="Arial" w:hAnsi="Arial"/>
          <w:color w:val="231F20"/>
          <w:spacing w:val="-12"/>
        </w:rPr>
        <w:t>!</w:t>
      </w:r>
    </w:p>
    <w:p>
      <w:pPr>
        <w:spacing w:line="295" w:lineRule="auto" w:before="215"/>
        <w:ind w:left="1040" w:right="888" w:firstLine="0"/>
        <w:jc w:val="both"/>
        <w:rPr>
          <w:rFonts w:ascii="Arial" w:hAnsi="Arial"/>
          <w:sz w:val="12"/>
        </w:rPr>
      </w:pPr>
      <w:r>
        <w:rPr>
          <w:rFonts w:ascii="Arial" w:hAnsi="Arial"/>
          <w:color w:val="231F20"/>
          <w:spacing w:val="-2"/>
          <w:w w:val="105"/>
          <w:sz w:val="12"/>
        </w:rPr>
        <w:t>Source</w:t>
      </w:r>
      <w:r>
        <w:rPr>
          <w:rFonts w:ascii="Arial" w:hAnsi="Arial"/>
          <w:color w:val="231F20"/>
          <w:spacing w:val="-7"/>
          <w:w w:val="105"/>
          <w:sz w:val="12"/>
        </w:rPr>
        <w:t> </w:t>
      </w:r>
      <w:r>
        <w:rPr>
          <w:rFonts w:ascii="Arial" w:hAnsi="Arial"/>
          <w:color w:val="231F20"/>
          <w:spacing w:val="-2"/>
          <w:w w:val="105"/>
          <w:sz w:val="12"/>
        </w:rPr>
        <w:t>:</w:t>
      </w:r>
      <w:r>
        <w:rPr>
          <w:rFonts w:ascii="Arial" w:hAnsi="Arial"/>
          <w:color w:val="231F20"/>
          <w:spacing w:val="-7"/>
          <w:w w:val="105"/>
          <w:sz w:val="12"/>
        </w:rPr>
        <w:t> </w:t>
      </w:r>
      <w:r>
        <w:rPr>
          <w:rFonts w:ascii="Arial" w:hAnsi="Arial"/>
          <w:color w:val="231F20"/>
          <w:spacing w:val="-2"/>
          <w:w w:val="105"/>
          <w:sz w:val="12"/>
        </w:rPr>
        <w:t>Jobillico, 31 mars 2016. &lt;https://</w:t>
      </w:r>
      <w:hyperlink r:id="rId52">
        <w:r>
          <w:rPr>
            <w:rFonts w:ascii="Arial" w:hAnsi="Arial"/>
            <w:color w:val="231F20"/>
            <w:spacing w:val="-2"/>
            <w:w w:val="105"/>
            <w:sz w:val="12"/>
          </w:rPr>
          <w:t>www.envirocompetences.org/nouvelles/pour-un-milieu-</w:t>
        </w:r>
      </w:hyperlink>
      <w:r>
        <w:rPr>
          <w:rFonts w:ascii="Arial" w:hAnsi="Arial"/>
          <w:color w:val="231F20"/>
          <w:spacing w:val="40"/>
          <w:w w:val="105"/>
          <w:sz w:val="12"/>
        </w:rPr>
        <w:t> </w:t>
      </w:r>
      <w:r>
        <w:rPr>
          <w:rFonts w:ascii="Arial" w:hAnsi="Arial"/>
          <w:color w:val="231F20"/>
          <w:w w:val="105"/>
          <w:sz w:val="12"/>
        </w:rPr>
        <w:t>de-travail-stimulant/&gt;, consulté le 22 octobre 2021.</w:t>
      </w:r>
    </w:p>
    <w:p>
      <w:pPr>
        <w:pStyle w:val="BodyText"/>
        <w:rPr>
          <w:rFonts w:ascii="Arial"/>
          <w:sz w:val="16"/>
        </w:rPr>
      </w:pPr>
    </w:p>
    <w:p>
      <w:pPr>
        <w:pStyle w:val="BodyText"/>
        <w:rPr>
          <w:rFonts w:ascii="Arial"/>
          <w:sz w:val="16"/>
        </w:rPr>
      </w:pPr>
    </w:p>
    <w:p>
      <w:pPr>
        <w:pStyle w:val="BodyText"/>
        <w:spacing w:before="5"/>
        <w:rPr>
          <w:rFonts w:ascii="Arial"/>
          <w:sz w:val="14"/>
        </w:rPr>
      </w:pPr>
    </w:p>
    <w:p>
      <w:pPr>
        <w:pStyle w:val="BodyText"/>
        <w:spacing w:line="307" w:lineRule="auto"/>
        <w:ind w:left="790" w:right="636"/>
        <w:jc w:val="both"/>
      </w:pPr>
      <w:r>
        <w:rPr>
          <w:color w:val="231F20"/>
          <w:w w:val="120"/>
        </w:rPr>
        <w:t>On</w:t>
      </w:r>
      <w:r>
        <w:rPr>
          <w:color w:val="231F20"/>
          <w:spacing w:val="-5"/>
          <w:w w:val="120"/>
        </w:rPr>
        <w:t> </w:t>
      </w:r>
      <w:r>
        <w:rPr>
          <w:color w:val="231F20"/>
          <w:w w:val="120"/>
        </w:rPr>
        <w:t>peut</w:t>
      </w:r>
      <w:r>
        <w:rPr>
          <w:color w:val="231F20"/>
          <w:spacing w:val="-5"/>
          <w:w w:val="120"/>
        </w:rPr>
        <w:t> </w:t>
      </w:r>
      <w:r>
        <w:rPr>
          <w:color w:val="231F20"/>
          <w:w w:val="120"/>
        </w:rPr>
        <w:t>donc</w:t>
      </w:r>
      <w:r>
        <w:rPr>
          <w:color w:val="231F20"/>
          <w:spacing w:val="-5"/>
          <w:w w:val="120"/>
        </w:rPr>
        <w:t> </w:t>
      </w:r>
      <w:r>
        <w:rPr>
          <w:color w:val="231F20"/>
          <w:w w:val="120"/>
        </w:rPr>
        <w:t>définir</w:t>
      </w:r>
      <w:r>
        <w:rPr>
          <w:color w:val="231F20"/>
          <w:spacing w:val="-5"/>
          <w:w w:val="120"/>
        </w:rPr>
        <w:t> </w:t>
      </w:r>
      <w:r>
        <w:rPr>
          <w:color w:val="231F20"/>
          <w:w w:val="120"/>
        </w:rPr>
        <w:t>la</w:t>
      </w:r>
      <w:r>
        <w:rPr>
          <w:color w:val="231F20"/>
          <w:spacing w:val="-5"/>
          <w:w w:val="120"/>
        </w:rPr>
        <w:t> </w:t>
      </w:r>
      <w:r>
        <w:rPr>
          <w:color w:val="231F20"/>
          <w:w w:val="120"/>
        </w:rPr>
        <w:t>promotion</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santé</w:t>
      </w:r>
      <w:r>
        <w:rPr>
          <w:color w:val="231F20"/>
          <w:spacing w:val="-5"/>
          <w:w w:val="120"/>
        </w:rPr>
        <w:t> </w:t>
      </w:r>
      <w:r>
        <w:rPr>
          <w:color w:val="231F20"/>
          <w:w w:val="120"/>
        </w:rPr>
        <w:t>comme</w:t>
      </w:r>
      <w:r>
        <w:rPr>
          <w:color w:val="231F20"/>
          <w:spacing w:val="-5"/>
          <w:w w:val="120"/>
        </w:rPr>
        <w:t> </w:t>
      </w:r>
      <w:r>
        <w:rPr>
          <w:color w:val="231F20"/>
          <w:w w:val="120"/>
        </w:rPr>
        <w:t>un</w:t>
      </w:r>
      <w:r>
        <w:rPr>
          <w:color w:val="231F20"/>
          <w:spacing w:val="-5"/>
          <w:w w:val="120"/>
        </w:rPr>
        <w:t> </w:t>
      </w:r>
      <w:r>
        <w:rPr>
          <w:color w:val="231F20"/>
          <w:w w:val="120"/>
        </w:rPr>
        <w:t>processus</w:t>
      </w:r>
      <w:r>
        <w:rPr>
          <w:color w:val="231F20"/>
          <w:spacing w:val="-5"/>
          <w:w w:val="120"/>
        </w:rPr>
        <w:t> </w:t>
      </w:r>
      <w:r>
        <w:rPr>
          <w:color w:val="231F20"/>
          <w:w w:val="120"/>
        </w:rPr>
        <w:t>qui </w:t>
      </w:r>
      <w:r>
        <w:rPr>
          <w:color w:val="231F20"/>
          <w:spacing w:val="-2"/>
          <w:w w:val="120"/>
        </w:rPr>
        <w:t>permet</w:t>
      </w:r>
      <w:r>
        <w:rPr>
          <w:color w:val="231F20"/>
          <w:spacing w:val="-8"/>
          <w:w w:val="120"/>
        </w:rPr>
        <w:t> </w:t>
      </w:r>
      <w:r>
        <w:rPr>
          <w:color w:val="231F20"/>
          <w:spacing w:val="-2"/>
          <w:w w:val="120"/>
        </w:rPr>
        <w:t>à</w:t>
      </w:r>
      <w:r>
        <w:rPr>
          <w:color w:val="231F20"/>
          <w:spacing w:val="-8"/>
          <w:w w:val="120"/>
        </w:rPr>
        <w:t> </w:t>
      </w:r>
      <w:r>
        <w:rPr>
          <w:color w:val="231F20"/>
          <w:spacing w:val="-2"/>
          <w:w w:val="120"/>
        </w:rPr>
        <w:t>chacun</w:t>
      </w:r>
      <w:r>
        <w:rPr>
          <w:color w:val="231F20"/>
          <w:spacing w:val="-8"/>
          <w:w w:val="120"/>
        </w:rPr>
        <w:t> </w:t>
      </w:r>
      <w:r>
        <w:rPr>
          <w:color w:val="231F20"/>
          <w:spacing w:val="-2"/>
          <w:w w:val="120"/>
        </w:rPr>
        <w:t>d’élever</w:t>
      </w:r>
      <w:r>
        <w:rPr>
          <w:color w:val="231F20"/>
          <w:spacing w:val="-8"/>
          <w:w w:val="120"/>
        </w:rPr>
        <w:t> </w:t>
      </w:r>
      <w:r>
        <w:rPr>
          <w:color w:val="231F20"/>
          <w:spacing w:val="-2"/>
          <w:w w:val="120"/>
        </w:rPr>
        <w:t>son</w:t>
      </w:r>
      <w:r>
        <w:rPr>
          <w:color w:val="231F20"/>
          <w:spacing w:val="-8"/>
          <w:w w:val="120"/>
        </w:rPr>
        <w:t> </w:t>
      </w:r>
      <w:r>
        <w:rPr>
          <w:color w:val="231F20"/>
          <w:spacing w:val="-2"/>
          <w:w w:val="120"/>
        </w:rPr>
        <w:t>niveau</w:t>
      </w:r>
      <w:r>
        <w:rPr>
          <w:color w:val="231F20"/>
          <w:spacing w:val="-8"/>
          <w:w w:val="120"/>
        </w:rPr>
        <w:t> </w:t>
      </w:r>
      <w:r>
        <w:rPr>
          <w:color w:val="231F20"/>
          <w:spacing w:val="-2"/>
          <w:w w:val="120"/>
        </w:rPr>
        <w:t>d’estime</w:t>
      </w:r>
      <w:r>
        <w:rPr>
          <w:color w:val="231F20"/>
          <w:spacing w:val="-8"/>
          <w:w w:val="120"/>
        </w:rPr>
        <w:t> </w:t>
      </w:r>
      <w:r>
        <w:rPr>
          <w:color w:val="231F20"/>
          <w:spacing w:val="-2"/>
          <w:w w:val="120"/>
        </w:rPr>
        <w:t>de</w:t>
      </w:r>
      <w:r>
        <w:rPr>
          <w:color w:val="231F20"/>
          <w:spacing w:val="-8"/>
          <w:w w:val="120"/>
        </w:rPr>
        <w:t> </w:t>
      </w:r>
      <w:r>
        <w:rPr>
          <w:color w:val="231F20"/>
          <w:spacing w:val="-2"/>
          <w:w w:val="120"/>
        </w:rPr>
        <w:t>soi</w:t>
      </w:r>
      <w:r>
        <w:rPr>
          <w:color w:val="231F20"/>
          <w:spacing w:val="-8"/>
          <w:w w:val="120"/>
        </w:rPr>
        <w:t> </w:t>
      </w:r>
      <w:r>
        <w:rPr>
          <w:color w:val="231F20"/>
          <w:spacing w:val="-2"/>
          <w:w w:val="120"/>
        </w:rPr>
        <w:t>en</w:t>
      </w:r>
      <w:r>
        <w:rPr>
          <w:color w:val="231F20"/>
          <w:spacing w:val="-8"/>
          <w:w w:val="120"/>
        </w:rPr>
        <w:t> </w:t>
      </w:r>
      <w:r>
        <w:rPr>
          <w:color w:val="231F20"/>
          <w:spacing w:val="-2"/>
          <w:w w:val="120"/>
        </w:rPr>
        <w:t>ce</w:t>
      </w:r>
      <w:r>
        <w:rPr>
          <w:color w:val="231F20"/>
          <w:spacing w:val="-8"/>
          <w:w w:val="120"/>
        </w:rPr>
        <w:t> </w:t>
      </w:r>
      <w:r>
        <w:rPr>
          <w:color w:val="231F20"/>
          <w:spacing w:val="-2"/>
          <w:w w:val="120"/>
        </w:rPr>
        <w:t>qui</w:t>
      </w:r>
      <w:r>
        <w:rPr>
          <w:color w:val="231F20"/>
          <w:spacing w:val="-8"/>
          <w:w w:val="120"/>
        </w:rPr>
        <w:t> </w:t>
      </w:r>
      <w:r>
        <w:rPr>
          <w:color w:val="231F20"/>
          <w:spacing w:val="-2"/>
          <w:w w:val="120"/>
        </w:rPr>
        <w:t>a</w:t>
      </w:r>
      <w:r>
        <w:rPr>
          <w:color w:val="231F20"/>
          <w:spacing w:val="-8"/>
          <w:w w:val="120"/>
        </w:rPr>
        <w:t> </w:t>
      </w:r>
      <w:r>
        <w:rPr>
          <w:color w:val="231F20"/>
          <w:spacing w:val="-2"/>
          <w:w w:val="120"/>
        </w:rPr>
        <w:t>trait</w:t>
      </w:r>
      <w:r>
        <w:rPr>
          <w:color w:val="231F20"/>
          <w:spacing w:val="-8"/>
          <w:w w:val="120"/>
        </w:rPr>
        <w:t> </w:t>
      </w:r>
      <w:r>
        <w:rPr>
          <w:color w:val="231F20"/>
          <w:spacing w:val="-2"/>
          <w:w w:val="120"/>
        </w:rPr>
        <w:t>à</w:t>
      </w:r>
      <w:r>
        <w:rPr>
          <w:color w:val="231F20"/>
          <w:spacing w:val="-8"/>
          <w:w w:val="120"/>
        </w:rPr>
        <w:t> </w:t>
      </w:r>
      <w:r>
        <w:rPr>
          <w:color w:val="231F20"/>
          <w:spacing w:val="-2"/>
          <w:w w:val="120"/>
        </w:rPr>
        <w:t>sa </w:t>
      </w:r>
      <w:r>
        <w:rPr>
          <w:color w:val="231F20"/>
          <w:w w:val="120"/>
        </w:rPr>
        <w:t>santé.</w:t>
      </w:r>
      <w:r>
        <w:rPr>
          <w:color w:val="231F20"/>
          <w:spacing w:val="-10"/>
          <w:w w:val="120"/>
        </w:rPr>
        <w:t> </w:t>
      </w:r>
      <w:r>
        <w:rPr>
          <w:color w:val="231F20"/>
          <w:w w:val="120"/>
        </w:rPr>
        <w:t>En</w:t>
      </w:r>
      <w:r>
        <w:rPr>
          <w:color w:val="231F20"/>
          <w:spacing w:val="-10"/>
          <w:w w:val="120"/>
        </w:rPr>
        <w:t> </w:t>
      </w:r>
      <w:r>
        <w:rPr>
          <w:color w:val="231F20"/>
          <w:w w:val="120"/>
        </w:rPr>
        <w:t>ce</w:t>
      </w:r>
      <w:r>
        <w:rPr>
          <w:color w:val="231F20"/>
          <w:spacing w:val="-10"/>
          <w:w w:val="120"/>
        </w:rPr>
        <w:t> </w:t>
      </w:r>
      <w:r>
        <w:rPr>
          <w:color w:val="231F20"/>
          <w:w w:val="120"/>
        </w:rPr>
        <w:t>sens,</w:t>
      </w:r>
      <w:r>
        <w:rPr>
          <w:color w:val="231F20"/>
          <w:spacing w:val="-10"/>
          <w:w w:val="120"/>
        </w:rPr>
        <w:t> </w:t>
      </w:r>
      <w:r>
        <w:rPr>
          <w:color w:val="231F20"/>
          <w:w w:val="120"/>
        </w:rPr>
        <w:t>la</w:t>
      </w:r>
      <w:r>
        <w:rPr>
          <w:color w:val="231F20"/>
          <w:spacing w:val="-10"/>
          <w:w w:val="120"/>
        </w:rPr>
        <w:t> </w:t>
      </w:r>
      <w:r>
        <w:rPr>
          <w:color w:val="231F20"/>
          <w:w w:val="120"/>
        </w:rPr>
        <w:t>santé</w:t>
      </w:r>
      <w:r>
        <w:rPr>
          <w:color w:val="231F20"/>
          <w:spacing w:val="-10"/>
          <w:w w:val="120"/>
        </w:rPr>
        <w:t> </w:t>
      </w:r>
      <w:r>
        <w:rPr>
          <w:color w:val="231F20"/>
          <w:w w:val="120"/>
        </w:rPr>
        <w:t>représente</w:t>
      </w:r>
      <w:r>
        <w:rPr>
          <w:color w:val="231F20"/>
          <w:spacing w:val="-10"/>
          <w:w w:val="120"/>
        </w:rPr>
        <w:t> </w:t>
      </w:r>
      <w:r>
        <w:rPr>
          <w:color w:val="231F20"/>
          <w:w w:val="120"/>
        </w:rPr>
        <w:t>une</w:t>
      </w:r>
      <w:r>
        <w:rPr>
          <w:color w:val="231F20"/>
          <w:spacing w:val="-10"/>
          <w:w w:val="120"/>
        </w:rPr>
        <w:t> </w:t>
      </w:r>
      <w:r>
        <w:rPr>
          <w:color w:val="231F20"/>
          <w:w w:val="120"/>
        </w:rPr>
        <w:t>ressource</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vie</w:t>
      </w:r>
      <w:r>
        <w:rPr>
          <w:color w:val="231F20"/>
          <w:spacing w:val="-10"/>
          <w:w w:val="120"/>
        </w:rPr>
        <w:t> </w:t>
      </w:r>
      <w:r>
        <w:rPr>
          <w:color w:val="231F20"/>
          <w:w w:val="120"/>
        </w:rPr>
        <w:t>usuelle</w:t>
      </w:r>
      <w:r>
        <w:rPr>
          <w:color w:val="231F20"/>
          <w:spacing w:val="-10"/>
          <w:w w:val="120"/>
        </w:rPr>
        <w:t> </w:t>
      </w:r>
      <w:r>
        <w:rPr>
          <w:color w:val="231F20"/>
          <w:w w:val="120"/>
        </w:rPr>
        <w:t>qui aide</w:t>
      </w:r>
      <w:r>
        <w:rPr>
          <w:color w:val="231F20"/>
          <w:spacing w:val="-13"/>
          <w:w w:val="120"/>
        </w:rPr>
        <w:t> </w:t>
      </w:r>
      <w:r>
        <w:rPr>
          <w:color w:val="231F20"/>
          <w:w w:val="120"/>
        </w:rPr>
        <w:t>les</w:t>
      </w:r>
      <w:r>
        <w:rPr>
          <w:color w:val="231F20"/>
          <w:spacing w:val="-13"/>
          <w:w w:val="120"/>
        </w:rPr>
        <w:t> </w:t>
      </w:r>
      <w:r>
        <w:rPr>
          <w:color w:val="231F20"/>
          <w:w w:val="120"/>
        </w:rPr>
        <w:t>personnes</w:t>
      </w:r>
      <w:r>
        <w:rPr>
          <w:color w:val="231F20"/>
          <w:spacing w:val="-13"/>
          <w:w w:val="120"/>
        </w:rPr>
        <w:t> </w:t>
      </w:r>
      <w:r>
        <w:rPr>
          <w:color w:val="231F20"/>
          <w:w w:val="120"/>
        </w:rPr>
        <w:t>et</w:t>
      </w:r>
      <w:r>
        <w:rPr>
          <w:color w:val="231F20"/>
          <w:spacing w:val="-12"/>
          <w:w w:val="120"/>
        </w:rPr>
        <w:t> </w:t>
      </w:r>
      <w:r>
        <w:rPr>
          <w:color w:val="231F20"/>
          <w:w w:val="120"/>
        </w:rPr>
        <w:t>les</w:t>
      </w:r>
      <w:r>
        <w:rPr>
          <w:color w:val="231F20"/>
          <w:spacing w:val="-13"/>
          <w:w w:val="120"/>
        </w:rPr>
        <w:t> </w:t>
      </w:r>
      <w:r>
        <w:rPr>
          <w:color w:val="231F20"/>
          <w:w w:val="120"/>
        </w:rPr>
        <w:t>groupes</w:t>
      </w:r>
      <w:r>
        <w:rPr>
          <w:color w:val="231F20"/>
          <w:spacing w:val="-13"/>
          <w:w w:val="120"/>
        </w:rPr>
        <w:t> </w:t>
      </w:r>
      <w:r>
        <w:rPr>
          <w:color w:val="231F20"/>
          <w:w w:val="120"/>
        </w:rPr>
        <w:t>à</w:t>
      </w:r>
      <w:r>
        <w:rPr>
          <w:color w:val="231F20"/>
          <w:spacing w:val="-13"/>
          <w:w w:val="120"/>
        </w:rPr>
        <w:t> </w:t>
      </w:r>
      <w:r>
        <w:rPr>
          <w:color w:val="231F20"/>
          <w:w w:val="120"/>
        </w:rPr>
        <w:t>combler</w:t>
      </w:r>
      <w:r>
        <w:rPr>
          <w:color w:val="231F20"/>
          <w:spacing w:val="-12"/>
          <w:w w:val="120"/>
        </w:rPr>
        <w:t> </w:t>
      </w:r>
      <w:r>
        <w:rPr>
          <w:color w:val="231F20"/>
          <w:w w:val="120"/>
        </w:rPr>
        <w:t>leurs</w:t>
      </w:r>
      <w:r>
        <w:rPr>
          <w:color w:val="231F20"/>
          <w:spacing w:val="-13"/>
          <w:w w:val="120"/>
        </w:rPr>
        <w:t> </w:t>
      </w:r>
      <w:r>
        <w:rPr>
          <w:color w:val="231F20"/>
          <w:w w:val="120"/>
        </w:rPr>
        <w:t>attentes</w:t>
      </w:r>
      <w:r>
        <w:rPr>
          <w:color w:val="231F20"/>
          <w:spacing w:val="-13"/>
          <w:w w:val="120"/>
        </w:rPr>
        <w:t> </w:t>
      </w:r>
      <w:r>
        <w:rPr>
          <w:color w:val="231F20"/>
          <w:w w:val="120"/>
        </w:rPr>
        <w:t>et</w:t>
      </w:r>
      <w:r>
        <w:rPr>
          <w:color w:val="231F20"/>
          <w:spacing w:val="-13"/>
          <w:w w:val="120"/>
        </w:rPr>
        <w:t> </w:t>
      </w:r>
      <w:r>
        <w:rPr>
          <w:color w:val="231F20"/>
          <w:w w:val="120"/>
        </w:rPr>
        <w:t>leur</w:t>
      </w:r>
      <w:r>
        <w:rPr>
          <w:color w:val="231F20"/>
          <w:spacing w:val="-12"/>
          <w:w w:val="120"/>
        </w:rPr>
        <w:t> </w:t>
      </w:r>
      <w:r>
        <w:rPr>
          <w:color w:val="231F20"/>
          <w:w w:val="120"/>
        </w:rPr>
        <w:t>désir</w:t>
      </w:r>
      <w:r>
        <w:rPr>
          <w:color w:val="231F20"/>
          <w:spacing w:val="-13"/>
          <w:w w:val="120"/>
        </w:rPr>
        <w:t> </w:t>
      </w:r>
      <w:r>
        <w:rPr>
          <w:color w:val="231F20"/>
          <w:w w:val="120"/>
        </w:rPr>
        <w:t>de passer à l’action, de mobiliser les autres et de changer leur monde. La </w:t>
      </w:r>
      <w:r>
        <w:rPr>
          <w:color w:val="231F20"/>
          <w:spacing w:val="-2"/>
          <w:w w:val="120"/>
        </w:rPr>
        <w:t>promotion</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santé</w:t>
      </w:r>
      <w:r>
        <w:rPr>
          <w:color w:val="231F20"/>
          <w:spacing w:val="-8"/>
          <w:w w:val="120"/>
        </w:rPr>
        <w:t> </w:t>
      </w:r>
      <w:r>
        <w:rPr>
          <w:color w:val="231F20"/>
          <w:spacing w:val="-2"/>
          <w:w w:val="120"/>
        </w:rPr>
        <w:t>en</w:t>
      </w:r>
      <w:r>
        <w:rPr>
          <w:color w:val="231F20"/>
          <w:spacing w:val="-8"/>
          <w:w w:val="120"/>
        </w:rPr>
        <w:t> </w:t>
      </w:r>
      <w:r>
        <w:rPr>
          <w:color w:val="231F20"/>
          <w:spacing w:val="-2"/>
          <w:w w:val="120"/>
        </w:rPr>
        <w:t>milieu</w:t>
      </w:r>
      <w:r>
        <w:rPr>
          <w:color w:val="231F20"/>
          <w:spacing w:val="-8"/>
          <w:w w:val="120"/>
        </w:rPr>
        <w:t> </w:t>
      </w:r>
      <w:r>
        <w:rPr>
          <w:color w:val="231F20"/>
          <w:spacing w:val="-2"/>
          <w:w w:val="120"/>
        </w:rPr>
        <w:t>de</w:t>
      </w:r>
      <w:r>
        <w:rPr>
          <w:color w:val="231F20"/>
          <w:spacing w:val="-8"/>
          <w:w w:val="120"/>
        </w:rPr>
        <w:t> </w:t>
      </w:r>
      <w:r>
        <w:rPr>
          <w:color w:val="231F20"/>
          <w:spacing w:val="-2"/>
          <w:w w:val="120"/>
        </w:rPr>
        <w:t>travail</w:t>
      </w:r>
      <w:r>
        <w:rPr>
          <w:color w:val="231F20"/>
          <w:spacing w:val="-8"/>
          <w:w w:val="120"/>
        </w:rPr>
        <w:t> </w:t>
      </w:r>
      <w:r>
        <w:rPr>
          <w:color w:val="231F20"/>
          <w:spacing w:val="-2"/>
          <w:w w:val="120"/>
        </w:rPr>
        <w:t>suppose</w:t>
      </w:r>
      <w:r>
        <w:rPr>
          <w:color w:val="231F20"/>
          <w:spacing w:val="-8"/>
          <w:w w:val="120"/>
        </w:rPr>
        <w:t> </w:t>
      </w:r>
      <w:r>
        <w:rPr>
          <w:color w:val="231F20"/>
          <w:spacing w:val="-2"/>
          <w:w w:val="120"/>
        </w:rPr>
        <w:t>un</w:t>
      </w:r>
      <w:r>
        <w:rPr>
          <w:color w:val="231F20"/>
          <w:spacing w:val="-8"/>
          <w:w w:val="120"/>
        </w:rPr>
        <w:t> </w:t>
      </w:r>
      <w:r>
        <w:rPr>
          <w:color w:val="231F20"/>
          <w:spacing w:val="-2"/>
          <w:w w:val="120"/>
        </w:rPr>
        <w:t>effort</w:t>
      </w:r>
      <w:r>
        <w:rPr>
          <w:color w:val="231F20"/>
          <w:spacing w:val="-8"/>
          <w:w w:val="120"/>
        </w:rPr>
        <w:t> </w:t>
      </w:r>
      <w:r>
        <w:rPr>
          <w:color w:val="231F20"/>
          <w:spacing w:val="-2"/>
          <w:w w:val="120"/>
        </w:rPr>
        <w:t>concerté</w:t>
      </w:r>
      <w:r>
        <w:rPr>
          <w:color w:val="231F20"/>
          <w:spacing w:val="-8"/>
          <w:w w:val="120"/>
        </w:rPr>
        <w:t> </w:t>
      </w:r>
      <w:r>
        <w:rPr>
          <w:color w:val="231F20"/>
          <w:spacing w:val="-2"/>
          <w:w w:val="120"/>
        </w:rPr>
        <w:t>des </w:t>
      </w:r>
      <w:r>
        <w:rPr>
          <w:color w:val="231F20"/>
          <w:w w:val="120"/>
        </w:rPr>
        <w:t>entreprises,</w:t>
      </w:r>
      <w:r>
        <w:rPr>
          <w:color w:val="231F20"/>
          <w:spacing w:val="-13"/>
          <w:w w:val="120"/>
        </w:rPr>
        <w:t> </w:t>
      </w:r>
      <w:r>
        <w:rPr>
          <w:color w:val="231F20"/>
          <w:w w:val="120"/>
        </w:rPr>
        <w:t>des</w:t>
      </w:r>
      <w:r>
        <w:rPr>
          <w:color w:val="231F20"/>
          <w:spacing w:val="-13"/>
          <w:w w:val="120"/>
        </w:rPr>
        <w:t> </w:t>
      </w:r>
      <w:r>
        <w:rPr>
          <w:color w:val="231F20"/>
          <w:w w:val="120"/>
        </w:rPr>
        <w:t>travailleurs,</w:t>
      </w:r>
      <w:r>
        <w:rPr>
          <w:color w:val="231F20"/>
          <w:spacing w:val="-13"/>
          <w:w w:val="120"/>
        </w:rPr>
        <w:t> </w:t>
      </w:r>
      <w:r>
        <w:rPr>
          <w:color w:val="231F20"/>
          <w:w w:val="120"/>
        </w:rPr>
        <w:t>des</w:t>
      </w:r>
      <w:r>
        <w:rPr>
          <w:color w:val="231F20"/>
          <w:spacing w:val="-12"/>
          <w:w w:val="120"/>
        </w:rPr>
        <w:t> </w:t>
      </w:r>
      <w:r>
        <w:rPr>
          <w:color w:val="231F20"/>
          <w:w w:val="120"/>
        </w:rPr>
        <w:t>syndicats</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l’ensemble</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société dans</w:t>
      </w:r>
      <w:r>
        <w:rPr>
          <w:color w:val="231F20"/>
          <w:spacing w:val="-2"/>
          <w:w w:val="120"/>
        </w:rPr>
        <w:t> </w:t>
      </w:r>
      <w:r>
        <w:rPr>
          <w:color w:val="231F20"/>
          <w:w w:val="120"/>
        </w:rPr>
        <w:t>le</w:t>
      </w:r>
      <w:r>
        <w:rPr>
          <w:color w:val="231F20"/>
          <w:spacing w:val="-2"/>
          <w:w w:val="120"/>
        </w:rPr>
        <w:t> </w:t>
      </w:r>
      <w:r>
        <w:rPr>
          <w:color w:val="231F20"/>
          <w:w w:val="120"/>
        </w:rPr>
        <w:t>but</w:t>
      </w:r>
      <w:r>
        <w:rPr>
          <w:color w:val="231F20"/>
          <w:spacing w:val="-2"/>
          <w:w w:val="120"/>
        </w:rPr>
        <w:t> </w:t>
      </w:r>
      <w:r>
        <w:rPr>
          <w:color w:val="231F20"/>
          <w:w w:val="120"/>
        </w:rPr>
        <w:t>d’améliorer</w:t>
      </w:r>
      <w:r>
        <w:rPr>
          <w:color w:val="231F20"/>
          <w:spacing w:val="-2"/>
          <w:w w:val="120"/>
        </w:rPr>
        <w:t> </w:t>
      </w:r>
      <w:r>
        <w:rPr>
          <w:color w:val="231F20"/>
          <w:w w:val="120"/>
        </w:rPr>
        <w:t>la</w:t>
      </w:r>
      <w:r>
        <w:rPr>
          <w:color w:val="231F20"/>
          <w:spacing w:val="-2"/>
          <w:w w:val="120"/>
        </w:rPr>
        <w:t> </w:t>
      </w:r>
      <w:r>
        <w:rPr>
          <w:color w:val="231F20"/>
          <w:w w:val="120"/>
        </w:rPr>
        <w:t>santé</w:t>
      </w:r>
      <w:r>
        <w:rPr>
          <w:color w:val="231F20"/>
          <w:spacing w:val="-2"/>
          <w:w w:val="120"/>
        </w:rPr>
        <w:t> </w:t>
      </w:r>
      <w:r>
        <w:rPr>
          <w:color w:val="231F20"/>
          <w:w w:val="120"/>
        </w:rPr>
        <w:t>et</w:t>
      </w:r>
      <w:r>
        <w:rPr>
          <w:color w:val="231F20"/>
          <w:spacing w:val="-2"/>
          <w:w w:val="120"/>
        </w:rPr>
        <w:t> </w:t>
      </w:r>
      <w:r>
        <w:rPr>
          <w:color w:val="231F20"/>
          <w:w w:val="120"/>
        </w:rPr>
        <w:t>le</w:t>
      </w:r>
      <w:r>
        <w:rPr>
          <w:color w:val="231F20"/>
          <w:spacing w:val="-2"/>
          <w:w w:val="120"/>
        </w:rPr>
        <w:t> </w:t>
      </w:r>
      <w:r>
        <w:rPr>
          <w:color w:val="231F20"/>
          <w:w w:val="120"/>
        </w:rPr>
        <w:t>bien-être</w:t>
      </w:r>
      <w:r>
        <w:rPr>
          <w:color w:val="231F20"/>
          <w:spacing w:val="-2"/>
          <w:w w:val="120"/>
        </w:rPr>
        <w:t> </w:t>
      </w:r>
      <w:r>
        <w:rPr>
          <w:color w:val="231F20"/>
          <w:w w:val="120"/>
        </w:rPr>
        <w:t>des</w:t>
      </w:r>
      <w:r>
        <w:rPr>
          <w:color w:val="231F20"/>
          <w:spacing w:val="-2"/>
          <w:w w:val="120"/>
        </w:rPr>
        <w:t> </w:t>
      </w:r>
      <w:r>
        <w:rPr>
          <w:color w:val="231F20"/>
          <w:w w:val="120"/>
        </w:rPr>
        <w:t>individus</w:t>
      </w:r>
      <w:r>
        <w:rPr>
          <w:color w:val="231F20"/>
          <w:spacing w:val="-2"/>
          <w:w w:val="120"/>
        </w:rPr>
        <w:t> </w:t>
      </w:r>
      <w:r>
        <w:rPr>
          <w:color w:val="231F20"/>
          <w:w w:val="120"/>
        </w:rPr>
        <w:t>au</w:t>
      </w:r>
      <w:r>
        <w:rPr>
          <w:color w:val="231F20"/>
          <w:spacing w:val="-2"/>
          <w:w w:val="120"/>
        </w:rPr>
        <w:t> </w:t>
      </w:r>
      <w:r>
        <w:rPr>
          <w:color w:val="231F20"/>
          <w:w w:val="120"/>
        </w:rPr>
        <w:t>travail. Cette promotion se fait à travers un ensemble de mesures, dont:</w:t>
      </w:r>
    </w:p>
    <w:p>
      <w:pPr>
        <w:pStyle w:val="ListParagraph"/>
        <w:numPr>
          <w:ilvl w:val="0"/>
          <w:numId w:val="14"/>
        </w:numPr>
        <w:tabs>
          <w:tab w:pos="1291" w:val="left" w:leader="none"/>
        </w:tabs>
        <w:spacing w:line="307" w:lineRule="auto" w:before="79" w:after="0"/>
        <w:ind w:left="1290" w:right="1493" w:hanging="251"/>
        <w:jc w:val="left"/>
        <w:rPr>
          <w:sz w:val="17"/>
        </w:rPr>
      </w:pPr>
      <w:r>
        <w:rPr>
          <w:color w:val="231F20"/>
          <w:w w:val="115"/>
          <w:sz w:val="17"/>
        </w:rPr>
        <w:t>Améliorer l’organisation des tâches et l’environnement </w:t>
      </w:r>
      <w:r>
        <w:rPr>
          <w:color w:val="231F20"/>
          <w:w w:val="120"/>
          <w:sz w:val="17"/>
        </w:rPr>
        <w:t>de</w:t>
      </w:r>
      <w:r>
        <w:rPr>
          <w:color w:val="231F20"/>
          <w:spacing w:val="-13"/>
          <w:w w:val="120"/>
          <w:sz w:val="17"/>
        </w:rPr>
        <w:t> </w:t>
      </w:r>
      <w:r>
        <w:rPr>
          <w:color w:val="231F20"/>
          <w:w w:val="120"/>
          <w:sz w:val="17"/>
        </w:rPr>
        <w:t>travail;</w:t>
      </w:r>
    </w:p>
    <w:p>
      <w:pPr>
        <w:pStyle w:val="ListParagraph"/>
        <w:numPr>
          <w:ilvl w:val="0"/>
          <w:numId w:val="14"/>
        </w:numPr>
        <w:tabs>
          <w:tab w:pos="1291" w:val="left" w:leader="none"/>
        </w:tabs>
        <w:spacing w:line="307" w:lineRule="auto" w:before="0" w:after="0"/>
        <w:ind w:left="1290" w:right="1842" w:hanging="251"/>
        <w:jc w:val="left"/>
        <w:rPr>
          <w:sz w:val="17"/>
        </w:rPr>
      </w:pPr>
      <w:r>
        <w:rPr>
          <w:color w:val="231F20"/>
          <w:w w:val="120"/>
          <w:sz w:val="17"/>
        </w:rPr>
        <w:t>Encourager</w:t>
      </w:r>
      <w:r>
        <w:rPr>
          <w:color w:val="231F20"/>
          <w:spacing w:val="-13"/>
          <w:w w:val="120"/>
          <w:sz w:val="17"/>
        </w:rPr>
        <w:t> </w:t>
      </w:r>
      <w:r>
        <w:rPr>
          <w:color w:val="231F20"/>
          <w:w w:val="120"/>
          <w:sz w:val="17"/>
        </w:rPr>
        <w:t>une</w:t>
      </w:r>
      <w:r>
        <w:rPr>
          <w:color w:val="231F20"/>
          <w:spacing w:val="-13"/>
          <w:w w:val="120"/>
          <w:sz w:val="17"/>
        </w:rPr>
        <w:t> </w:t>
      </w:r>
      <w:r>
        <w:rPr>
          <w:color w:val="231F20"/>
          <w:w w:val="120"/>
          <w:sz w:val="17"/>
        </w:rPr>
        <w:t>participation</w:t>
      </w:r>
      <w:r>
        <w:rPr>
          <w:color w:val="231F20"/>
          <w:spacing w:val="-13"/>
          <w:w w:val="120"/>
          <w:sz w:val="17"/>
        </w:rPr>
        <w:t> </w:t>
      </w:r>
      <w:r>
        <w:rPr>
          <w:color w:val="231F20"/>
          <w:w w:val="120"/>
          <w:sz w:val="17"/>
        </w:rPr>
        <w:t>active</w:t>
      </w:r>
      <w:r>
        <w:rPr>
          <w:color w:val="231F20"/>
          <w:spacing w:val="-12"/>
          <w:w w:val="120"/>
          <w:sz w:val="17"/>
        </w:rPr>
        <w:t> </w:t>
      </w:r>
      <w:r>
        <w:rPr>
          <w:color w:val="231F20"/>
          <w:w w:val="120"/>
          <w:sz w:val="17"/>
        </w:rPr>
        <w:t>aux</w:t>
      </w:r>
      <w:r>
        <w:rPr>
          <w:color w:val="231F20"/>
          <w:spacing w:val="-13"/>
          <w:w w:val="120"/>
          <w:sz w:val="17"/>
        </w:rPr>
        <w:t> </w:t>
      </w:r>
      <w:r>
        <w:rPr>
          <w:color w:val="231F20"/>
          <w:w w:val="120"/>
          <w:sz w:val="17"/>
        </w:rPr>
        <w:t>processus </w:t>
      </w:r>
      <w:r>
        <w:rPr>
          <w:color w:val="231F20"/>
          <w:spacing w:val="-2"/>
          <w:w w:val="120"/>
          <w:sz w:val="17"/>
        </w:rPr>
        <w:t>organisationnels;</w:t>
      </w:r>
    </w:p>
    <w:p>
      <w:pPr>
        <w:pStyle w:val="ListParagraph"/>
        <w:numPr>
          <w:ilvl w:val="0"/>
          <w:numId w:val="14"/>
        </w:numPr>
        <w:tabs>
          <w:tab w:pos="1291" w:val="left" w:leader="none"/>
        </w:tabs>
        <w:spacing w:line="195" w:lineRule="exact" w:before="0" w:after="0"/>
        <w:ind w:left="1290" w:right="0" w:hanging="251"/>
        <w:jc w:val="left"/>
        <w:rPr>
          <w:sz w:val="17"/>
        </w:rPr>
      </w:pPr>
      <w:r>
        <w:rPr>
          <w:color w:val="231F20"/>
          <w:spacing w:val="-2"/>
          <w:w w:val="120"/>
          <w:sz w:val="17"/>
        </w:rPr>
        <w:t>Promouvoir</w:t>
      </w:r>
      <w:r>
        <w:rPr>
          <w:color w:val="231F20"/>
          <w:spacing w:val="2"/>
          <w:w w:val="120"/>
          <w:sz w:val="17"/>
        </w:rPr>
        <w:t> </w:t>
      </w:r>
      <w:r>
        <w:rPr>
          <w:color w:val="231F20"/>
          <w:spacing w:val="-2"/>
          <w:w w:val="120"/>
          <w:sz w:val="17"/>
        </w:rPr>
        <w:t>le</w:t>
      </w:r>
      <w:r>
        <w:rPr>
          <w:color w:val="231F20"/>
          <w:spacing w:val="2"/>
          <w:w w:val="120"/>
          <w:sz w:val="17"/>
        </w:rPr>
        <w:t> </w:t>
      </w:r>
      <w:r>
        <w:rPr>
          <w:color w:val="231F20"/>
          <w:spacing w:val="-2"/>
          <w:w w:val="120"/>
          <w:sz w:val="17"/>
        </w:rPr>
        <w:t>développement</w:t>
      </w:r>
      <w:r>
        <w:rPr>
          <w:color w:val="231F20"/>
          <w:spacing w:val="2"/>
          <w:w w:val="120"/>
          <w:sz w:val="17"/>
        </w:rPr>
        <w:t> </w:t>
      </w:r>
      <w:r>
        <w:rPr>
          <w:color w:val="231F20"/>
          <w:spacing w:val="-2"/>
          <w:w w:val="120"/>
          <w:sz w:val="17"/>
        </w:rPr>
        <w:t>professionnel</w:t>
      </w:r>
      <w:r>
        <w:rPr>
          <w:color w:val="231F20"/>
          <w:spacing w:val="2"/>
          <w:w w:val="120"/>
          <w:sz w:val="17"/>
        </w:rPr>
        <w:t> </w:t>
      </w:r>
      <w:r>
        <w:rPr>
          <w:color w:val="231F20"/>
          <w:spacing w:val="-2"/>
          <w:w w:val="120"/>
          <w:sz w:val="17"/>
        </w:rPr>
        <w:t>et</w:t>
      </w:r>
      <w:r>
        <w:rPr>
          <w:color w:val="231F20"/>
          <w:spacing w:val="2"/>
          <w:w w:val="120"/>
          <w:sz w:val="17"/>
        </w:rPr>
        <w:t> </w:t>
      </w:r>
      <w:r>
        <w:rPr>
          <w:color w:val="231F20"/>
          <w:spacing w:val="-2"/>
          <w:w w:val="120"/>
          <w:sz w:val="17"/>
        </w:rPr>
        <w:t>personnel.</w:t>
      </w:r>
    </w:p>
    <w:p>
      <w:pPr>
        <w:spacing w:after="0" w:line="195" w:lineRule="exact"/>
        <w:jc w:val="left"/>
        <w:rPr>
          <w:sz w:val="17"/>
        </w:rPr>
        <w:sectPr>
          <w:footerReference w:type="default" r:id="rId51"/>
          <w:pgSz w:w="8640" w:h="12960"/>
          <w:pgMar w:footer="424" w:header="0" w:top="520" w:bottom="620" w:left="460" w:right="1000"/>
        </w:sectPr>
      </w:pPr>
    </w:p>
    <w:p>
      <w:pPr>
        <w:spacing w:before="118"/>
        <w:ind w:left="2462"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5"/>
        <w:jc w:val="both"/>
      </w:pPr>
      <w:r>
        <w:rPr>
          <w:color w:val="231F20"/>
          <w:spacing w:val="-2"/>
          <w:w w:val="120"/>
        </w:rPr>
        <w:t>Le</w:t>
      </w:r>
      <w:r>
        <w:rPr>
          <w:color w:val="231F20"/>
          <w:spacing w:val="-7"/>
          <w:w w:val="120"/>
        </w:rPr>
        <w:t> </w:t>
      </w:r>
      <w:r>
        <w:rPr>
          <w:color w:val="231F20"/>
          <w:spacing w:val="-2"/>
          <w:w w:val="120"/>
        </w:rPr>
        <w:t>fait</w:t>
      </w:r>
      <w:r>
        <w:rPr>
          <w:color w:val="231F20"/>
          <w:spacing w:val="-7"/>
          <w:w w:val="120"/>
        </w:rPr>
        <w:t> </w:t>
      </w:r>
      <w:r>
        <w:rPr>
          <w:color w:val="231F20"/>
          <w:spacing w:val="-2"/>
          <w:w w:val="120"/>
        </w:rPr>
        <w:t>de</w:t>
      </w:r>
      <w:r>
        <w:rPr>
          <w:color w:val="231F20"/>
          <w:spacing w:val="-7"/>
          <w:w w:val="120"/>
        </w:rPr>
        <w:t> </w:t>
      </w:r>
      <w:r>
        <w:rPr>
          <w:color w:val="231F20"/>
          <w:spacing w:val="-2"/>
          <w:w w:val="120"/>
        </w:rPr>
        <w:t>disposer</w:t>
      </w:r>
      <w:r>
        <w:rPr>
          <w:color w:val="231F20"/>
          <w:spacing w:val="-7"/>
          <w:w w:val="120"/>
        </w:rPr>
        <w:t> </w:t>
      </w:r>
      <w:r>
        <w:rPr>
          <w:color w:val="231F20"/>
          <w:spacing w:val="-2"/>
          <w:w w:val="120"/>
        </w:rPr>
        <w:t>d’une</w:t>
      </w:r>
      <w:r>
        <w:rPr>
          <w:color w:val="231F20"/>
          <w:spacing w:val="-7"/>
          <w:w w:val="120"/>
        </w:rPr>
        <w:t> </w:t>
      </w:r>
      <w:r>
        <w:rPr>
          <w:color w:val="231F20"/>
          <w:spacing w:val="-2"/>
          <w:w w:val="120"/>
        </w:rPr>
        <w:t>main-d’œuvre</w:t>
      </w:r>
      <w:r>
        <w:rPr>
          <w:color w:val="231F20"/>
          <w:spacing w:val="-7"/>
          <w:w w:val="120"/>
        </w:rPr>
        <w:t> </w:t>
      </w:r>
      <w:r>
        <w:rPr>
          <w:color w:val="231F20"/>
          <w:spacing w:val="-2"/>
          <w:w w:val="120"/>
        </w:rPr>
        <w:t>active,</w:t>
      </w:r>
      <w:r>
        <w:rPr>
          <w:color w:val="231F20"/>
          <w:spacing w:val="-7"/>
          <w:w w:val="120"/>
        </w:rPr>
        <w:t> </w:t>
      </w:r>
      <w:r>
        <w:rPr>
          <w:color w:val="231F20"/>
          <w:spacing w:val="-2"/>
          <w:w w:val="120"/>
        </w:rPr>
        <w:t>en</w:t>
      </w:r>
      <w:r>
        <w:rPr>
          <w:color w:val="231F20"/>
          <w:spacing w:val="-7"/>
          <w:w w:val="120"/>
        </w:rPr>
        <w:t> </w:t>
      </w:r>
      <w:r>
        <w:rPr>
          <w:color w:val="231F20"/>
          <w:spacing w:val="-2"/>
          <w:w w:val="120"/>
        </w:rPr>
        <w:t>santé,</w:t>
      </w:r>
      <w:r>
        <w:rPr>
          <w:color w:val="231F20"/>
          <w:spacing w:val="-7"/>
          <w:w w:val="120"/>
        </w:rPr>
        <w:t> </w:t>
      </w:r>
      <w:r>
        <w:rPr>
          <w:color w:val="231F20"/>
          <w:spacing w:val="-2"/>
          <w:w w:val="120"/>
        </w:rPr>
        <w:t>motivée</w:t>
      </w:r>
      <w:r>
        <w:rPr>
          <w:color w:val="231F20"/>
          <w:spacing w:val="-7"/>
          <w:w w:val="120"/>
        </w:rPr>
        <w:t> </w:t>
      </w:r>
      <w:r>
        <w:rPr>
          <w:color w:val="231F20"/>
          <w:spacing w:val="-2"/>
          <w:w w:val="120"/>
        </w:rPr>
        <w:t>et</w:t>
      </w:r>
      <w:r>
        <w:rPr>
          <w:color w:val="231F20"/>
          <w:spacing w:val="-7"/>
          <w:w w:val="120"/>
        </w:rPr>
        <w:t> </w:t>
      </w:r>
      <w:r>
        <w:rPr>
          <w:color w:val="231F20"/>
          <w:spacing w:val="-2"/>
          <w:w w:val="120"/>
        </w:rPr>
        <w:t>qua- </w:t>
      </w:r>
      <w:r>
        <w:rPr>
          <w:color w:val="231F20"/>
          <w:w w:val="120"/>
        </w:rPr>
        <w:t>lifiée</w:t>
      </w:r>
      <w:r>
        <w:rPr>
          <w:color w:val="231F20"/>
          <w:spacing w:val="-7"/>
          <w:w w:val="120"/>
        </w:rPr>
        <w:t> </w:t>
      </w:r>
      <w:r>
        <w:rPr>
          <w:color w:val="231F20"/>
          <w:w w:val="120"/>
        </w:rPr>
        <w:t>constitue</w:t>
      </w:r>
      <w:r>
        <w:rPr>
          <w:color w:val="231F20"/>
          <w:spacing w:val="-7"/>
          <w:w w:val="120"/>
        </w:rPr>
        <w:t> </w:t>
      </w:r>
      <w:r>
        <w:rPr>
          <w:color w:val="231F20"/>
          <w:w w:val="120"/>
        </w:rPr>
        <w:t>un</w:t>
      </w:r>
      <w:r>
        <w:rPr>
          <w:color w:val="231F20"/>
          <w:spacing w:val="-7"/>
          <w:w w:val="120"/>
        </w:rPr>
        <w:t> </w:t>
      </w:r>
      <w:r>
        <w:rPr>
          <w:color w:val="231F20"/>
          <w:w w:val="120"/>
        </w:rPr>
        <w:t>atout</w:t>
      </w:r>
      <w:r>
        <w:rPr>
          <w:color w:val="231F20"/>
          <w:spacing w:val="-7"/>
          <w:w w:val="120"/>
        </w:rPr>
        <w:t> </w:t>
      </w:r>
      <w:r>
        <w:rPr>
          <w:color w:val="231F20"/>
          <w:w w:val="120"/>
        </w:rPr>
        <w:t>essentiel</w:t>
      </w:r>
      <w:r>
        <w:rPr>
          <w:color w:val="231F20"/>
          <w:spacing w:val="-7"/>
          <w:w w:val="120"/>
        </w:rPr>
        <w:t> </w:t>
      </w:r>
      <w:r>
        <w:rPr>
          <w:color w:val="231F20"/>
          <w:w w:val="120"/>
        </w:rPr>
        <w:t>pour</w:t>
      </w:r>
      <w:r>
        <w:rPr>
          <w:color w:val="231F20"/>
          <w:spacing w:val="-7"/>
          <w:w w:val="120"/>
        </w:rPr>
        <w:t> </w:t>
      </w:r>
      <w:r>
        <w:rPr>
          <w:color w:val="231F20"/>
          <w:w w:val="120"/>
        </w:rPr>
        <w:t>les</w:t>
      </w:r>
      <w:r>
        <w:rPr>
          <w:color w:val="231F20"/>
          <w:spacing w:val="-7"/>
          <w:w w:val="120"/>
        </w:rPr>
        <w:t> </w:t>
      </w:r>
      <w:r>
        <w:rPr>
          <w:color w:val="231F20"/>
          <w:w w:val="120"/>
        </w:rPr>
        <w:t>entreprises</w:t>
      </w:r>
      <w:r>
        <w:rPr>
          <w:color w:val="231F20"/>
          <w:spacing w:val="-7"/>
          <w:w w:val="120"/>
        </w:rPr>
        <w:t> </w:t>
      </w:r>
      <w:r>
        <w:rPr>
          <w:color w:val="231F20"/>
          <w:w w:val="120"/>
        </w:rPr>
        <w:t>du</w:t>
      </w:r>
      <w:r>
        <w:rPr>
          <w:color w:val="231F20"/>
          <w:spacing w:val="-7"/>
          <w:w w:val="120"/>
        </w:rPr>
        <w:t> </w:t>
      </w:r>
      <w:r>
        <w:rPr>
          <w:color w:val="231F20"/>
          <w:w w:val="120"/>
        </w:rPr>
        <w:t>xxi</w:t>
      </w:r>
      <w:r>
        <w:rPr>
          <w:color w:val="231F20"/>
          <w:w w:val="120"/>
          <w:position w:val="6"/>
          <w:sz w:val="10"/>
        </w:rPr>
        <w:t>e</w:t>
      </w:r>
      <w:r>
        <w:rPr>
          <w:color w:val="231F20"/>
          <w:spacing w:val="14"/>
          <w:w w:val="120"/>
          <w:position w:val="6"/>
          <w:sz w:val="10"/>
        </w:rPr>
        <w:t> </w:t>
      </w:r>
      <w:r>
        <w:rPr>
          <w:color w:val="231F20"/>
          <w:w w:val="120"/>
        </w:rPr>
        <w:t>siècle.</w:t>
      </w:r>
      <w:r>
        <w:rPr>
          <w:color w:val="231F20"/>
          <w:spacing w:val="-7"/>
          <w:w w:val="120"/>
        </w:rPr>
        <w:t> </w:t>
      </w:r>
      <w:r>
        <w:rPr>
          <w:color w:val="231F20"/>
          <w:w w:val="120"/>
        </w:rPr>
        <w:t>De plus</w:t>
      </w:r>
      <w:r>
        <w:rPr>
          <w:color w:val="231F20"/>
          <w:spacing w:val="-13"/>
          <w:w w:val="120"/>
        </w:rPr>
        <w:t> </w:t>
      </w:r>
      <w:r>
        <w:rPr>
          <w:color w:val="231F20"/>
          <w:w w:val="120"/>
        </w:rPr>
        <w:t>en</w:t>
      </w:r>
      <w:r>
        <w:rPr>
          <w:color w:val="231F20"/>
          <w:spacing w:val="-13"/>
          <w:w w:val="120"/>
        </w:rPr>
        <w:t> </w:t>
      </w:r>
      <w:r>
        <w:rPr>
          <w:color w:val="231F20"/>
          <w:w w:val="120"/>
        </w:rPr>
        <w:t>plus,</w:t>
      </w:r>
      <w:r>
        <w:rPr>
          <w:color w:val="231F20"/>
          <w:spacing w:val="-13"/>
          <w:w w:val="120"/>
        </w:rPr>
        <w:t> </w:t>
      </w:r>
      <w:r>
        <w:rPr>
          <w:color w:val="231F20"/>
          <w:w w:val="120"/>
        </w:rPr>
        <w:t>les</w:t>
      </w:r>
      <w:r>
        <w:rPr>
          <w:color w:val="231F20"/>
          <w:spacing w:val="-12"/>
          <w:w w:val="120"/>
        </w:rPr>
        <w:t> </w:t>
      </w:r>
      <w:r>
        <w:rPr>
          <w:color w:val="231F20"/>
          <w:w w:val="120"/>
        </w:rPr>
        <w:t>observations</w:t>
      </w:r>
      <w:r>
        <w:rPr>
          <w:color w:val="231F20"/>
          <w:spacing w:val="-13"/>
          <w:w w:val="120"/>
        </w:rPr>
        <w:t> </w:t>
      </w:r>
      <w:r>
        <w:rPr>
          <w:color w:val="231F20"/>
          <w:w w:val="120"/>
        </w:rPr>
        <w:t>soutiennent</w:t>
      </w:r>
      <w:r>
        <w:rPr>
          <w:color w:val="231F20"/>
          <w:spacing w:val="-13"/>
          <w:w w:val="120"/>
        </w:rPr>
        <w:t> </w:t>
      </w:r>
      <w:r>
        <w:rPr>
          <w:color w:val="231F20"/>
          <w:w w:val="120"/>
        </w:rPr>
        <w:t>que</w:t>
      </w:r>
      <w:r>
        <w:rPr>
          <w:color w:val="231F20"/>
          <w:spacing w:val="-13"/>
          <w:w w:val="120"/>
        </w:rPr>
        <w:t> </w:t>
      </w:r>
      <w:r>
        <w:rPr>
          <w:color w:val="231F20"/>
          <w:w w:val="120"/>
        </w:rPr>
        <w:t>l’amélioration</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santé </w:t>
      </w:r>
      <w:r>
        <w:rPr>
          <w:color w:val="231F20"/>
          <w:w w:val="115"/>
        </w:rPr>
        <w:t>au</w:t>
      </w:r>
      <w:r>
        <w:rPr>
          <w:color w:val="231F20"/>
          <w:spacing w:val="-5"/>
          <w:w w:val="115"/>
        </w:rPr>
        <w:t> </w:t>
      </w:r>
      <w:r>
        <w:rPr>
          <w:color w:val="231F20"/>
          <w:w w:val="115"/>
        </w:rPr>
        <w:t>travail</w:t>
      </w:r>
      <w:r>
        <w:rPr>
          <w:color w:val="231F20"/>
          <w:spacing w:val="-5"/>
          <w:w w:val="115"/>
        </w:rPr>
        <w:t> </w:t>
      </w:r>
      <w:r>
        <w:rPr>
          <w:color w:val="231F20"/>
          <w:w w:val="115"/>
        </w:rPr>
        <w:t>est</w:t>
      </w:r>
      <w:r>
        <w:rPr>
          <w:color w:val="231F20"/>
          <w:spacing w:val="-5"/>
          <w:w w:val="115"/>
        </w:rPr>
        <w:t> </w:t>
      </w:r>
      <w:r>
        <w:rPr>
          <w:color w:val="231F20"/>
          <w:w w:val="115"/>
        </w:rPr>
        <w:t>un</w:t>
      </w:r>
      <w:r>
        <w:rPr>
          <w:color w:val="231F20"/>
          <w:spacing w:val="-5"/>
          <w:w w:val="115"/>
        </w:rPr>
        <w:t> </w:t>
      </w:r>
      <w:r>
        <w:rPr>
          <w:color w:val="231F20"/>
          <w:w w:val="115"/>
        </w:rPr>
        <w:t>facteur</w:t>
      </w:r>
      <w:r>
        <w:rPr>
          <w:color w:val="231F20"/>
          <w:spacing w:val="-5"/>
          <w:w w:val="115"/>
        </w:rPr>
        <w:t> </w:t>
      </w:r>
      <w:r>
        <w:rPr>
          <w:color w:val="231F20"/>
          <w:w w:val="115"/>
        </w:rPr>
        <w:t>clé</w:t>
      </w:r>
      <w:r>
        <w:rPr>
          <w:color w:val="231F20"/>
          <w:spacing w:val="-5"/>
          <w:w w:val="115"/>
        </w:rPr>
        <w:t> </w:t>
      </w:r>
      <w:r>
        <w:rPr>
          <w:color w:val="231F20"/>
          <w:w w:val="115"/>
        </w:rPr>
        <w:t>de</w:t>
      </w:r>
      <w:r>
        <w:rPr>
          <w:color w:val="231F20"/>
          <w:spacing w:val="-5"/>
          <w:w w:val="115"/>
        </w:rPr>
        <w:t> </w:t>
      </w:r>
      <w:r>
        <w:rPr>
          <w:color w:val="231F20"/>
          <w:w w:val="115"/>
        </w:rPr>
        <w:t>l’efficacité</w:t>
      </w:r>
      <w:r>
        <w:rPr>
          <w:color w:val="231F20"/>
          <w:spacing w:val="-5"/>
          <w:w w:val="115"/>
        </w:rPr>
        <w:t> </w:t>
      </w:r>
      <w:r>
        <w:rPr>
          <w:color w:val="231F20"/>
          <w:w w:val="115"/>
        </w:rPr>
        <w:t>et</w:t>
      </w:r>
      <w:r>
        <w:rPr>
          <w:color w:val="231F20"/>
          <w:spacing w:val="-5"/>
          <w:w w:val="115"/>
        </w:rPr>
        <w:t> </w:t>
      </w:r>
      <w:r>
        <w:rPr>
          <w:color w:val="231F20"/>
          <w:w w:val="115"/>
        </w:rPr>
        <w:t>de</w:t>
      </w:r>
      <w:r>
        <w:rPr>
          <w:color w:val="231F20"/>
          <w:spacing w:val="-5"/>
          <w:w w:val="115"/>
        </w:rPr>
        <w:t> </w:t>
      </w:r>
      <w:r>
        <w:rPr>
          <w:color w:val="231F20"/>
          <w:w w:val="115"/>
        </w:rPr>
        <w:t>la</w:t>
      </w:r>
      <w:r>
        <w:rPr>
          <w:color w:val="231F20"/>
          <w:spacing w:val="-5"/>
          <w:w w:val="115"/>
        </w:rPr>
        <w:t> </w:t>
      </w:r>
      <w:r>
        <w:rPr>
          <w:color w:val="231F20"/>
          <w:w w:val="115"/>
        </w:rPr>
        <w:t>capacité</w:t>
      </w:r>
      <w:r>
        <w:rPr>
          <w:color w:val="231F20"/>
          <w:spacing w:val="-5"/>
          <w:w w:val="115"/>
        </w:rPr>
        <w:t> </w:t>
      </w:r>
      <w:r>
        <w:rPr>
          <w:color w:val="231F20"/>
          <w:w w:val="115"/>
        </w:rPr>
        <w:t>concurrentielle </w:t>
      </w:r>
      <w:r>
        <w:rPr>
          <w:color w:val="231F20"/>
          <w:w w:val="120"/>
        </w:rPr>
        <w:t>d’une</w:t>
      </w:r>
      <w:r>
        <w:rPr>
          <w:color w:val="231F20"/>
          <w:spacing w:val="-13"/>
          <w:w w:val="120"/>
        </w:rPr>
        <w:t> </w:t>
      </w:r>
      <w:r>
        <w:rPr>
          <w:color w:val="231F20"/>
          <w:w w:val="120"/>
        </w:rPr>
        <w:t>entreprise,</w:t>
      </w:r>
      <w:r>
        <w:rPr>
          <w:color w:val="231F20"/>
          <w:spacing w:val="-13"/>
          <w:w w:val="120"/>
        </w:rPr>
        <w:t> </w:t>
      </w:r>
      <w:r>
        <w:rPr>
          <w:color w:val="231F20"/>
          <w:w w:val="120"/>
        </w:rPr>
        <w:t>puisqu’une</w:t>
      </w:r>
      <w:r>
        <w:rPr>
          <w:color w:val="231F20"/>
          <w:spacing w:val="-13"/>
          <w:w w:val="120"/>
        </w:rPr>
        <w:t> </w:t>
      </w:r>
      <w:r>
        <w:rPr>
          <w:color w:val="231F20"/>
          <w:w w:val="120"/>
        </w:rPr>
        <w:t>part</w:t>
      </w:r>
      <w:r>
        <w:rPr>
          <w:color w:val="231F20"/>
          <w:spacing w:val="-12"/>
          <w:w w:val="120"/>
        </w:rPr>
        <w:t> </w:t>
      </w:r>
      <w:r>
        <w:rPr>
          <w:color w:val="231F20"/>
          <w:w w:val="120"/>
        </w:rPr>
        <w:t>des</w:t>
      </w:r>
      <w:r>
        <w:rPr>
          <w:color w:val="231F20"/>
          <w:spacing w:val="-13"/>
          <w:w w:val="120"/>
        </w:rPr>
        <w:t> </w:t>
      </w:r>
      <w:r>
        <w:rPr>
          <w:color w:val="231F20"/>
          <w:w w:val="120"/>
        </w:rPr>
        <w:t>avantages</w:t>
      </w:r>
      <w:r>
        <w:rPr>
          <w:color w:val="231F20"/>
          <w:spacing w:val="-13"/>
          <w:w w:val="120"/>
        </w:rPr>
        <w:t> </w:t>
      </w:r>
      <w:r>
        <w:rPr>
          <w:color w:val="231F20"/>
          <w:w w:val="120"/>
        </w:rPr>
        <w:t>compétitifs</w:t>
      </w:r>
      <w:r>
        <w:rPr>
          <w:color w:val="231F20"/>
          <w:spacing w:val="-13"/>
          <w:w w:val="120"/>
        </w:rPr>
        <w:t> </w:t>
      </w:r>
      <w:r>
        <w:rPr>
          <w:color w:val="231F20"/>
          <w:w w:val="120"/>
        </w:rPr>
        <w:t>d’une</w:t>
      </w:r>
      <w:r>
        <w:rPr>
          <w:color w:val="231F20"/>
          <w:spacing w:val="-12"/>
          <w:w w:val="120"/>
        </w:rPr>
        <w:t> </w:t>
      </w:r>
      <w:r>
        <w:rPr>
          <w:color w:val="231F20"/>
          <w:w w:val="120"/>
        </w:rPr>
        <w:t>orga- nisation réside intrinsèquement dans les caractéristiques de ses res- sources humaines. Dans les entreprises novatrices, la qualité de vie au travail et la qualité des produits ou des services font partie intégrante d’un même alignement stratégique.</w:t>
      </w:r>
    </w:p>
    <w:p>
      <w:pPr>
        <w:pStyle w:val="BodyText"/>
        <w:spacing w:line="307" w:lineRule="auto" w:before="79"/>
        <w:ind w:left="1180" w:right="242" w:firstLine="250"/>
        <w:jc w:val="both"/>
      </w:pPr>
      <w:r>
        <w:rPr>
          <w:color w:val="231F20"/>
          <w:spacing w:val="-2"/>
          <w:w w:val="120"/>
        </w:rPr>
        <w:t>La</w:t>
      </w:r>
      <w:r>
        <w:rPr>
          <w:color w:val="231F20"/>
          <w:spacing w:val="-11"/>
          <w:w w:val="120"/>
        </w:rPr>
        <w:t> </w:t>
      </w:r>
      <w:r>
        <w:rPr>
          <w:color w:val="231F20"/>
          <w:spacing w:val="-2"/>
          <w:w w:val="120"/>
        </w:rPr>
        <w:t>promotion</w:t>
      </w:r>
      <w:r>
        <w:rPr>
          <w:color w:val="231F20"/>
          <w:spacing w:val="-11"/>
          <w:w w:val="120"/>
        </w:rPr>
        <w:t> </w:t>
      </w:r>
      <w:r>
        <w:rPr>
          <w:color w:val="231F20"/>
          <w:spacing w:val="-2"/>
          <w:w w:val="120"/>
        </w:rPr>
        <w:t>de</w:t>
      </w:r>
      <w:r>
        <w:rPr>
          <w:color w:val="231F20"/>
          <w:spacing w:val="-11"/>
          <w:w w:val="120"/>
        </w:rPr>
        <w:t> </w:t>
      </w:r>
      <w:r>
        <w:rPr>
          <w:color w:val="231F20"/>
          <w:spacing w:val="-2"/>
          <w:w w:val="120"/>
        </w:rPr>
        <w:t>la</w:t>
      </w:r>
      <w:r>
        <w:rPr>
          <w:color w:val="231F20"/>
          <w:spacing w:val="-10"/>
          <w:w w:val="120"/>
        </w:rPr>
        <w:t> </w:t>
      </w:r>
      <w:r>
        <w:rPr>
          <w:color w:val="231F20"/>
          <w:spacing w:val="-2"/>
          <w:w w:val="120"/>
        </w:rPr>
        <w:t>santé</w:t>
      </w:r>
      <w:r>
        <w:rPr>
          <w:color w:val="231F20"/>
          <w:spacing w:val="-11"/>
          <w:w w:val="120"/>
        </w:rPr>
        <w:t> </w:t>
      </w:r>
      <w:r>
        <w:rPr>
          <w:color w:val="231F20"/>
          <w:spacing w:val="-2"/>
          <w:w w:val="120"/>
        </w:rPr>
        <w:t>en</w:t>
      </w:r>
      <w:r>
        <w:rPr>
          <w:color w:val="231F20"/>
          <w:spacing w:val="-11"/>
          <w:w w:val="120"/>
        </w:rPr>
        <w:t> </w:t>
      </w:r>
      <w:r>
        <w:rPr>
          <w:color w:val="231F20"/>
          <w:spacing w:val="-2"/>
          <w:w w:val="120"/>
        </w:rPr>
        <w:t>milieu</w:t>
      </w:r>
      <w:r>
        <w:rPr>
          <w:color w:val="231F20"/>
          <w:spacing w:val="-11"/>
          <w:w w:val="120"/>
        </w:rPr>
        <w:t> </w:t>
      </w:r>
      <w:r>
        <w:rPr>
          <w:color w:val="231F20"/>
          <w:spacing w:val="-2"/>
          <w:w w:val="120"/>
        </w:rPr>
        <w:t>de</w:t>
      </w:r>
      <w:r>
        <w:rPr>
          <w:color w:val="231F20"/>
          <w:spacing w:val="-10"/>
          <w:w w:val="120"/>
        </w:rPr>
        <w:t> </w:t>
      </w:r>
      <w:r>
        <w:rPr>
          <w:color w:val="231F20"/>
          <w:spacing w:val="-2"/>
          <w:w w:val="120"/>
        </w:rPr>
        <w:t>travail</w:t>
      </w:r>
      <w:r>
        <w:rPr>
          <w:color w:val="231F20"/>
          <w:spacing w:val="-11"/>
          <w:w w:val="120"/>
        </w:rPr>
        <w:t> </w:t>
      </w:r>
      <w:r>
        <w:rPr>
          <w:color w:val="231F20"/>
          <w:spacing w:val="-2"/>
          <w:w w:val="120"/>
        </w:rPr>
        <w:t>passe</w:t>
      </w:r>
      <w:r>
        <w:rPr>
          <w:color w:val="231F20"/>
          <w:spacing w:val="-11"/>
          <w:w w:val="120"/>
        </w:rPr>
        <w:t> </w:t>
      </w:r>
      <w:r>
        <w:rPr>
          <w:color w:val="231F20"/>
          <w:spacing w:val="-2"/>
          <w:w w:val="120"/>
        </w:rPr>
        <w:t>inévitablement</w:t>
      </w:r>
      <w:r>
        <w:rPr>
          <w:color w:val="231F20"/>
          <w:spacing w:val="-11"/>
          <w:w w:val="120"/>
        </w:rPr>
        <w:t> </w:t>
      </w:r>
      <w:r>
        <w:rPr>
          <w:color w:val="231F20"/>
          <w:spacing w:val="-2"/>
          <w:w w:val="120"/>
        </w:rPr>
        <w:t>par </w:t>
      </w:r>
      <w:r>
        <w:rPr>
          <w:color w:val="231F20"/>
          <w:w w:val="120"/>
        </w:rPr>
        <w:t>une</w:t>
      </w:r>
      <w:r>
        <w:rPr>
          <w:color w:val="231F20"/>
          <w:spacing w:val="-7"/>
          <w:w w:val="120"/>
        </w:rPr>
        <w:t> </w:t>
      </w:r>
      <w:r>
        <w:rPr>
          <w:color w:val="231F20"/>
          <w:w w:val="120"/>
        </w:rPr>
        <w:t>réduction</w:t>
      </w:r>
      <w:r>
        <w:rPr>
          <w:color w:val="231F20"/>
          <w:spacing w:val="-7"/>
          <w:w w:val="120"/>
        </w:rPr>
        <w:t> </w:t>
      </w:r>
      <w:r>
        <w:rPr>
          <w:color w:val="231F20"/>
          <w:w w:val="120"/>
        </w:rPr>
        <w:t>du</w:t>
      </w:r>
      <w:r>
        <w:rPr>
          <w:color w:val="231F20"/>
          <w:spacing w:val="-7"/>
          <w:w w:val="120"/>
        </w:rPr>
        <w:t> </w:t>
      </w:r>
      <w:r>
        <w:rPr>
          <w:color w:val="231F20"/>
          <w:w w:val="120"/>
        </w:rPr>
        <w:t>stress</w:t>
      </w:r>
      <w:r>
        <w:rPr>
          <w:color w:val="231F20"/>
          <w:spacing w:val="-7"/>
          <w:w w:val="120"/>
        </w:rPr>
        <w:t> </w:t>
      </w:r>
      <w:r>
        <w:rPr>
          <w:color w:val="231F20"/>
          <w:w w:val="120"/>
        </w:rPr>
        <w:t>professionnel;</w:t>
      </w:r>
      <w:r>
        <w:rPr>
          <w:color w:val="231F20"/>
          <w:spacing w:val="-7"/>
          <w:w w:val="120"/>
        </w:rPr>
        <w:t> </w:t>
      </w:r>
      <w:r>
        <w:rPr>
          <w:color w:val="231F20"/>
          <w:w w:val="120"/>
        </w:rPr>
        <w:t>le</w:t>
      </w:r>
      <w:r>
        <w:rPr>
          <w:color w:val="231F20"/>
          <w:spacing w:val="-7"/>
          <w:w w:val="120"/>
        </w:rPr>
        <w:t> </w:t>
      </w:r>
      <w:r>
        <w:rPr>
          <w:color w:val="231F20"/>
          <w:w w:val="120"/>
        </w:rPr>
        <w:t>stress</w:t>
      </w:r>
      <w:r>
        <w:rPr>
          <w:color w:val="231F20"/>
          <w:spacing w:val="-7"/>
          <w:w w:val="120"/>
        </w:rPr>
        <w:t> </w:t>
      </w:r>
      <w:r>
        <w:rPr>
          <w:color w:val="231F20"/>
          <w:w w:val="120"/>
        </w:rPr>
        <w:t>occupationnel</w:t>
      </w:r>
      <w:r>
        <w:rPr>
          <w:color w:val="231F20"/>
          <w:spacing w:val="-7"/>
          <w:w w:val="120"/>
        </w:rPr>
        <w:t> </w:t>
      </w:r>
      <w:r>
        <w:rPr>
          <w:color w:val="231F20"/>
          <w:w w:val="120"/>
        </w:rPr>
        <w:t>étant</w:t>
      </w:r>
      <w:r>
        <w:rPr>
          <w:color w:val="231F20"/>
          <w:spacing w:val="-7"/>
          <w:w w:val="120"/>
        </w:rPr>
        <w:t> </w:t>
      </w:r>
      <w:r>
        <w:rPr>
          <w:color w:val="231F20"/>
          <w:w w:val="120"/>
        </w:rPr>
        <w:t>une </w:t>
      </w:r>
      <w:r>
        <w:rPr>
          <w:color w:val="231F20"/>
          <w:w w:val="115"/>
        </w:rPr>
        <w:t>composante</w:t>
      </w:r>
      <w:r>
        <w:rPr>
          <w:color w:val="231F20"/>
          <w:spacing w:val="-9"/>
          <w:w w:val="115"/>
        </w:rPr>
        <w:t> </w:t>
      </w:r>
      <w:r>
        <w:rPr>
          <w:color w:val="231F20"/>
          <w:w w:val="115"/>
        </w:rPr>
        <w:t>importante</w:t>
      </w:r>
      <w:r>
        <w:rPr>
          <w:color w:val="231F20"/>
          <w:spacing w:val="-9"/>
          <w:w w:val="115"/>
        </w:rPr>
        <w:t> </w:t>
      </w:r>
      <w:r>
        <w:rPr>
          <w:color w:val="231F20"/>
          <w:w w:val="115"/>
        </w:rPr>
        <w:t>de</w:t>
      </w:r>
      <w:r>
        <w:rPr>
          <w:color w:val="231F20"/>
          <w:spacing w:val="-9"/>
          <w:w w:val="115"/>
        </w:rPr>
        <w:t> </w:t>
      </w:r>
      <w:r>
        <w:rPr>
          <w:color w:val="231F20"/>
          <w:w w:val="115"/>
        </w:rPr>
        <w:t>la</w:t>
      </w:r>
      <w:r>
        <w:rPr>
          <w:color w:val="231F20"/>
          <w:spacing w:val="-9"/>
          <w:w w:val="115"/>
        </w:rPr>
        <w:t> </w:t>
      </w:r>
      <w:r>
        <w:rPr>
          <w:color w:val="231F20"/>
          <w:w w:val="115"/>
        </w:rPr>
        <w:t>qualité</w:t>
      </w:r>
      <w:r>
        <w:rPr>
          <w:color w:val="231F20"/>
          <w:spacing w:val="-9"/>
          <w:w w:val="115"/>
        </w:rPr>
        <w:t> </w:t>
      </w:r>
      <w:r>
        <w:rPr>
          <w:color w:val="231F20"/>
          <w:w w:val="115"/>
        </w:rPr>
        <w:t>de</w:t>
      </w:r>
      <w:r>
        <w:rPr>
          <w:color w:val="231F20"/>
          <w:spacing w:val="-9"/>
          <w:w w:val="115"/>
        </w:rPr>
        <w:t> </w:t>
      </w:r>
      <w:r>
        <w:rPr>
          <w:color w:val="231F20"/>
          <w:w w:val="115"/>
        </w:rPr>
        <w:t>vie</w:t>
      </w:r>
      <w:r>
        <w:rPr>
          <w:color w:val="231F20"/>
          <w:spacing w:val="-9"/>
          <w:w w:val="115"/>
        </w:rPr>
        <w:t> </w:t>
      </w:r>
      <w:r>
        <w:rPr>
          <w:color w:val="231F20"/>
          <w:w w:val="115"/>
        </w:rPr>
        <w:t>au</w:t>
      </w:r>
      <w:r>
        <w:rPr>
          <w:color w:val="231F20"/>
          <w:spacing w:val="-9"/>
          <w:w w:val="115"/>
        </w:rPr>
        <w:t> </w:t>
      </w:r>
      <w:r>
        <w:rPr>
          <w:color w:val="231F20"/>
          <w:w w:val="115"/>
        </w:rPr>
        <w:t>travail17.</w:t>
      </w:r>
      <w:r>
        <w:rPr>
          <w:color w:val="231F20"/>
          <w:spacing w:val="-9"/>
          <w:w w:val="115"/>
        </w:rPr>
        <w:t> </w:t>
      </w:r>
      <w:r>
        <w:rPr>
          <w:color w:val="231F20"/>
          <w:w w:val="115"/>
        </w:rPr>
        <w:t>Elle</w:t>
      </w:r>
      <w:r>
        <w:rPr>
          <w:color w:val="231F20"/>
          <w:spacing w:val="-9"/>
          <w:w w:val="115"/>
        </w:rPr>
        <w:t> </w:t>
      </w:r>
      <w:r>
        <w:rPr>
          <w:color w:val="231F20"/>
          <w:w w:val="115"/>
        </w:rPr>
        <w:t>a</w:t>
      </w:r>
      <w:r>
        <w:rPr>
          <w:color w:val="231F20"/>
          <w:spacing w:val="-9"/>
          <w:w w:val="115"/>
        </w:rPr>
        <w:t> </w:t>
      </w:r>
      <w:r>
        <w:rPr>
          <w:color w:val="231F20"/>
          <w:w w:val="115"/>
        </w:rPr>
        <w:t>pour</w:t>
      </w:r>
      <w:r>
        <w:rPr>
          <w:color w:val="231F20"/>
          <w:spacing w:val="-9"/>
          <w:w w:val="115"/>
        </w:rPr>
        <w:t> </w:t>
      </w:r>
      <w:r>
        <w:rPr>
          <w:color w:val="231F20"/>
          <w:w w:val="115"/>
        </w:rPr>
        <w:t>objec- </w:t>
      </w:r>
      <w:r>
        <w:rPr>
          <w:color w:val="231F20"/>
          <w:w w:val="120"/>
        </w:rPr>
        <w:t>tif</w:t>
      </w:r>
      <w:r>
        <w:rPr>
          <w:color w:val="231F20"/>
          <w:spacing w:val="-7"/>
          <w:w w:val="120"/>
        </w:rPr>
        <w:t> </w:t>
      </w:r>
      <w:r>
        <w:rPr>
          <w:color w:val="231F20"/>
          <w:w w:val="120"/>
        </w:rPr>
        <w:t>de</w:t>
      </w:r>
      <w:r>
        <w:rPr>
          <w:color w:val="231F20"/>
          <w:spacing w:val="-7"/>
          <w:w w:val="120"/>
        </w:rPr>
        <w:t> </w:t>
      </w:r>
      <w:r>
        <w:rPr>
          <w:color w:val="231F20"/>
          <w:w w:val="120"/>
        </w:rPr>
        <w:t>maximiser</w:t>
      </w:r>
      <w:r>
        <w:rPr>
          <w:color w:val="231F20"/>
          <w:spacing w:val="-7"/>
          <w:w w:val="120"/>
        </w:rPr>
        <w:t> </w:t>
      </w:r>
      <w:r>
        <w:rPr>
          <w:color w:val="231F20"/>
          <w:w w:val="120"/>
        </w:rPr>
        <w:t>la</w:t>
      </w:r>
      <w:r>
        <w:rPr>
          <w:color w:val="231F20"/>
          <w:spacing w:val="-7"/>
          <w:w w:val="120"/>
        </w:rPr>
        <w:t> </w:t>
      </w:r>
      <w:r>
        <w:rPr>
          <w:color w:val="231F20"/>
          <w:w w:val="120"/>
        </w:rPr>
        <w:t>présence</w:t>
      </w:r>
      <w:r>
        <w:rPr>
          <w:color w:val="231F20"/>
          <w:spacing w:val="-7"/>
          <w:w w:val="120"/>
        </w:rPr>
        <w:t> </w:t>
      </w:r>
      <w:r>
        <w:rPr>
          <w:color w:val="231F20"/>
          <w:w w:val="120"/>
        </w:rPr>
        <w:t>des</w:t>
      </w:r>
      <w:r>
        <w:rPr>
          <w:color w:val="231F20"/>
          <w:spacing w:val="-7"/>
          <w:w w:val="120"/>
        </w:rPr>
        <w:t> </w:t>
      </w:r>
      <w:r>
        <w:rPr>
          <w:color w:val="231F20"/>
          <w:w w:val="120"/>
        </w:rPr>
        <w:t>facteurs</w:t>
      </w:r>
      <w:r>
        <w:rPr>
          <w:color w:val="231F20"/>
          <w:spacing w:val="-7"/>
          <w:w w:val="120"/>
        </w:rPr>
        <w:t> </w:t>
      </w:r>
      <w:r>
        <w:rPr>
          <w:color w:val="231F20"/>
          <w:w w:val="120"/>
        </w:rPr>
        <w:t>qui</w:t>
      </w:r>
      <w:r>
        <w:rPr>
          <w:color w:val="231F20"/>
          <w:spacing w:val="-7"/>
          <w:w w:val="120"/>
        </w:rPr>
        <w:t> </w:t>
      </w:r>
      <w:r>
        <w:rPr>
          <w:color w:val="231F20"/>
          <w:w w:val="120"/>
        </w:rPr>
        <w:t>favorisent</w:t>
      </w:r>
      <w:r>
        <w:rPr>
          <w:color w:val="231F20"/>
          <w:spacing w:val="-7"/>
          <w:w w:val="120"/>
        </w:rPr>
        <w:t> </w:t>
      </w:r>
      <w:r>
        <w:rPr>
          <w:color w:val="231F20"/>
          <w:w w:val="120"/>
        </w:rPr>
        <w:t>la</w:t>
      </w:r>
      <w:r>
        <w:rPr>
          <w:color w:val="231F20"/>
          <w:spacing w:val="-7"/>
          <w:w w:val="120"/>
        </w:rPr>
        <w:t> </w:t>
      </w:r>
      <w:r>
        <w:rPr>
          <w:color w:val="231F20"/>
          <w:w w:val="120"/>
        </w:rPr>
        <w:t>santé</w:t>
      </w:r>
      <w:r>
        <w:rPr>
          <w:color w:val="231F20"/>
          <w:spacing w:val="-7"/>
          <w:w w:val="120"/>
        </w:rPr>
        <w:t> </w:t>
      </w:r>
      <w:r>
        <w:rPr>
          <w:color w:val="231F20"/>
          <w:w w:val="120"/>
        </w:rPr>
        <w:t>du</w:t>
      </w:r>
      <w:r>
        <w:rPr>
          <w:color w:val="231F20"/>
          <w:spacing w:val="-7"/>
          <w:w w:val="120"/>
        </w:rPr>
        <w:t> </w:t>
      </w:r>
      <w:r>
        <w:rPr>
          <w:color w:val="231F20"/>
          <w:w w:val="120"/>
        </w:rPr>
        <w:t>per- </w:t>
      </w:r>
      <w:r>
        <w:rPr>
          <w:color w:val="231F20"/>
          <w:w w:val="115"/>
        </w:rPr>
        <w:t>sonnel.</w:t>
      </w:r>
      <w:r>
        <w:rPr>
          <w:color w:val="231F20"/>
          <w:spacing w:val="-12"/>
          <w:w w:val="115"/>
        </w:rPr>
        <w:t> </w:t>
      </w:r>
      <w:r>
        <w:rPr>
          <w:color w:val="231F20"/>
          <w:w w:val="115"/>
        </w:rPr>
        <w:t>L’atteinte</w:t>
      </w:r>
      <w:r>
        <w:rPr>
          <w:color w:val="231F20"/>
          <w:spacing w:val="-12"/>
          <w:w w:val="115"/>
        </w:rPr>
        <w:t> </w:t>
      </w:r>
      <w:r>
        <w:rPr>
          <w:color w:val="231F20"/>
          <w:w w:val="115"/>
        </w:rPr>
        <w:t>de</w:t>
      </w:r>
      <w:r>
        <w:rPr>
          <w:color w:val="231F20"/>
          <w:spacing w:val="-12"/>
          <w:w w:val="115"/>
        </w:rPr>
        <w:t> </w:t>
      </w:r>
      <w:r>
        <w:rPr>
          <w:color w:val="231F20"/>
          <w:w w:val="115"/>
        </w:rPr>
        <w:t>cet</w:t>
      </w:r>
      <w:r>
        <w:rPr>
          <w:color w:val="231F20"/>
          <w:spacing w:val="-12"/>
          <w:w w:val="115"/>
        </w:rPr>
        <w:t> </w:t>
      </w:r>
      <w:r>
        <w:rPr>
          <w:color w:val="231F20"/>
          <w:w w:val="115"/>
        </w:rPr>
        <w:t>objectif</w:t>
      </w:r>
      <w:r>
        <w:rPr>
          <w:color w:val="231F20"/>
          <w:spacing w:val="-12"/>
          <w:w w:val="115"/>
        </w:rPr>
        <w:t> </w:t>
      </w:r>
      <w:r>
        <w:rPr>
          <w:color w:val="231F20"/>
          <w:w w:val="115"/>
        </w:rPr>
        <w:t>passe</w:t>
      </w:r>
      <w:r>
        <w:rPr>
          <w:color w:val="231F20"/>
          <w:spacing w:val="-12"/>
          <w:w w:val="115"/>
        </w:rPr>
        <w:t> </w:t>
      </w:r>
      <w:r>
        <w:rPr>
          <w:color w:val="231F20"/>
          <w:w w:val="115"/>
        </w:rPr>
        <w:t>par</w:t>
      </w:r>
      <w:r>
        <w:rPr>
          <w:color w:val="231F20"/>
          <w:spacing w:val="-12"/>
          <w:w w:val="115"/>
        </w:rPr>
        <w:t> </w:t>
      </w:r>
      <w:r>
        <w:rPr>
          <w:color w:val="231F20"/>
          <w:w w:val="115"/>
        </w:rPr>
        <w:t>une</w:t>
      </w:r>
      <w:r>
        <w:rPr>
          <w:color w:val="231F20"/>
          <w:spacing w:val="-12"/>
          <w:w w:val="115"/>
        </w:rPr>
        <w:t> </w:t>
      </w:r>
      <w:r>
        <w:rPr>
          <w:color w:val="231F20"/>
          <w:w w:val="115"/>
        </w:rPr>
        <w:t>amélioration</w:t>
      </w:r>
      <w:r>
        <w:rPr>
          <w:color w:val="231F20"/>
          <w:spacing w:val="-12"/>
          <w:w w:val="115"/>
        </w:rPr>
        <w:t> </w:t>
      </w:r>
      <w:r>
        <w:rPr>
          <w:color w:val="231F20"/>
          <w:w w:val="115"/>
        </w:rPr>
        <w:t>des</w:t>
      </w:r>
      <w:r>
        <w:rPr>
          <w:color w:val="231F20"/>
          <w:spacing w:val="-12"/>
          <w:w w:val="115"/>
        </w:rPr>
        <w:t> </w:t>
      </w:r>
      <w:r>
        <w:rPr>
          <w:color w:val="231F20"/>
          <w:w w:val="115"/>
        </w:rPr>
        <w:t>conditions </w:t>
      </w:r>
      <w:r>
        <w:rPr>
          <w:color w:val="231F20"/>
          <w:w w:val="120"/>
        </w:rPr>
        <w:t>de</w:t>
      </w:r>
      <w:r>
        <w:rPr>
          <w:color w:val="231F20"/>
          <w:spacing w:val="-13"/>
          <w:w w:val="120"/>
        </w:rPr>
        <w:t> </w:t>
      </w:r>
      <w:r>
        <w:rPr>
          <w:color w:val="231F20"/>
          <w:w w:val="120"/>
        </w:rPr>
        <w:t>travail,</w:t>
      </w:r>
      <w:r>
        <w:rPr>
          <w:color w:val="231F20"/>
          <w:spacing w:val="-13"/>
          <w:w w:val="120"/>
        </w:rPr>
        <w:t> </w:t>
      </w:r>
      <w:r>
        <w:rPr>
          <w:color w:val="231F20"/>
          <w:w w:val="120"/>
        </w:rPr>
        <w:t>l’incitation</w:t>
      </w:r>
      <w:r>
        <w:rPr>
          <w:color w:val="231F20"/>
          <w:spacing w:val="-13"/>
          <w:w w:val="120"/>
        </w:rPr>
        <w:t> </w:t>
      </w:r>
      <w:r>
        <w:rPr>
          <w:color w:val="231F20"/>
          <w:w w:val="120"/>
        </w:rPr>
        <w:t>des</w:t>
      </w:r>
      <w:r>
        <w:rPr>
          <w:color w:val="231F20"/>
          <w:spacing w:val="-12"/>
          <w:w w:val="120"/>
        </w:rPr>
        <w:t> </w:t>
      </w:r>
      <w:r>
        <w:rPr>
          <w:color w:val="231F20"/>
          <w:w w:val="120"/>
        </w:rPr>
        <w:t>travailleurs</w:t>
      </w:r>
      <w:r>
        <w:rPr>
          <w:color w:val="231F20"/>
          <w:spacing w:val="-13"/>
          <w:w w:val="120"/>
        </w:rPr>
        <w:t> </w:t>
      </w:r>
      <w:r>
        <w:rPr>
          <w:color w:val="231F20"/>
          <w:w w:val="120"/>
        </w:rPr>
        <w:t>à</w:t>
      </w:r>
      <w:r>
        <w:rPr>
          <w:color w:val="231F20"/>
          <w:spacing w:val="-13"/>
          <w:w w:val="120"/>
        </w:rPr>
        <w:t> </w:t>
      </w:r>
      <w:r>
        <w:rPr>
          <w:color w:val="231F20"/>
          <w:w w:val="120"/>
        </w:rPr>
        <w:t>participer</w:t>
      </w:r>
      <w:r>
        <w:rPr>
          <w:color w:val="231F20"/>
          <w:spacing w:val="-13"/>
          <w:w w:val="120"/>
        </w:rPr>
        <w:t> </w:t>
      </w:r>
      <w:r>
        <w:rPr>
          <w:color w:val="231F20"/>
          <w:w w:val="120"/>
        </w:rPr>
        <w:t>et</w:t>
      </w:r>
      <w:r>
        <w:rPr>
          <w:color w:val="231F20"/>
          <w:spacing w:val="-12"/>
          <w:w w:val="120"/>
        </w:rPr>
        <w:t> </w:t>
      </w:r>
      <w:r>
        <w:rPr>
          <w:color w:val="231F20"/>
          <w:w w:val="120"/>
        </w:rPr>
        <w:t>le</w:t>
      </w:r>
      <w:r>
        <w:rPr>
          <w:color w:val="231F20"/>
          <w:spacing w:val="-13"/>
          <w:w w:val="120"/>
        </w:rPr>
        <w:t> </w:t>
      </w:r>
      <w:r>
        <w:rPr>
          <w:color w:val="231F20"/>
          <w:w w:val="120"/>
        </w:rPr>
        <w:t>soutien</w:t>
      </w:r>
      <w:r>
        <w:rPr>
          <w:color w:val="231F20"/>
          <w:spacing w:val="-13"/>
          <w:w w:val="120"/>
        </w:rPr>
        <w:t> </w:t>
      </w:r>
      <w:r>
        <w:rPr>
          <w:color w:val="231F20"/>
          <w:w w:val="120"/>
        </w:rPr>
        <w:t>des</w:t>
      </w:r>
      <w:r>
        <w:rPr>
          <w:color w:val="231F20"/>
          <w:spacing w:val="-13"/>
          <w:w w:val="120"/>
        </w:rPr>
        <w:t> </w:t>
      </w:r>
      <w:r>
        <w:rPr>
          <w:color w:val="231F20"/>
          <w:w w:val="120"/>
        </w:rPr>
        <w:t>com- </w:t>
      </w:r>
      <w:r>
        <w:rPr>
          <w:color w:val="231F20"/>
          <w:w w:val="115"/>
        </w:rPr>
        <w:t>pétences</w:t>
      </w:r>
      <w:r>
        <w:rPr>
          <w:color w:val="231F20"/>
          <w:spacing w:val="-13"/>
          <w:w w:val="115"/>
        </w:rPr>
        <w:t> </w:t>
      </w:r>
      <w:r>
        <w:rPr>
          <w:color w:val="231F20"/>
          <w:w w:val="115"/>
        </w:rPr>
        <w:t>professionnelles.</w:t>
      </w:r>
      <w:r>
        <w:rPr>
          <w:color w:val="231F20"/>
          <w:spacing w:val="-12"/>
          <w:w w:val="115"/>
        </w:rPr>
        <w:t> </w:t>
      </w:r>
      <w:r>
        <w:rPr>
          <w:color w:val="231F20"/>
          <w:w w:val="115"/>
        </w:rPr>
        <w:t>Les</w:t>
      </w:r>
      <w:r>
        <w:rPr>
          <w:color w:val="231F20"/>
          <w:spacing w:val="-12"/>
          <w:w w:val="115"/>
        </w:rPr>
        <w:t> </w:t>
      </w:r>
      <w:r>
        <w:rPr>
          <w:color w:val="231F20"/>
          <w:w w:val="115"/>
        </w:rPr>
        <w:t>approches</w:t>
      </w:r>
      <w:r>
        <w:rPr>
          <w:color w:val="231F20"/>
          <w:spacing w:val="-12"/>
          <w:w w:val="115"/>
        </w:rPr>
        <w:t> </w:t>
      </w:r>
      <w:r>
        <w:rPr>
          <w:color w:val="231F20"/>
          <w:w w:val="115"/>
        </w:rPr>
        <w:t>et</w:t>
      </w:r>
      <w:r>
        <w:rPr>
          <w:color w:val="231F20"/>
          <w:spacing w:val="-13"/>
          <w:w w:val="115"/>
        </w:rPr>
        <w:t> </w:t>
      </w:r>
      <w:r>
        <w:rPr>
          <w:color w:val="231F20"/>
          <w:w w:val="115"/>
        </w:rPr>
        <w:t>les</w:t>
      </w:r>
      <w:r>
        <w:rPr>
          <w:color w:val="231F20"/>
          <w:spacing w:val="-12"/>
          <w:w w:val="115"/>
        </w:rPr>
        <w:t> </w:t>
      </w:r>
      <w:r>
        <w:rPr>
          <w:color w:val="231F20"/>
          <w:w w:val="115"/>
        </w:rPr>
        <w:t>procédés</w:t>
      </w:r>
      <w:r>
        <w:rPr>
          <w:color w:val="231F20"/>
          <w:spacing w:val="-12"/>
          <w:w w:val="115"/>
        </w:rPr>
        <w:t> </w:t>
      </w:r>
      <w:r>
        <w:rPr>
          <w:color w:val="231F20"/>
          <w:w w:val="115"/>
        </w:rPr>
        <w:t>méthodologiques </w:t>
      </w:r>
      <w:r>
        <w:rPr>
          <w:color w:val="231F20"/>
          <w:w w:val="120"/>
        </w:rPr>
        <w:t>comptent parmi les principaux éléments nécessaires à la promotion de </w:t>
      </w:r>
      <w:r>
        <w:rPr>
          <w:color w:val="231F20"/>
          <w:spacing w:val="-2"/>
          <w:w w:val="120"/>
        </w:rPr>
        <w:t>la</w:t>
      </w:r>
      <w:r>
        <w:rPr>
          <w:color w:val="231F20"/>
          <w:spacing w:val="-5"/>
          <w:w w:val="120"/>
        </w:rPr>
        <w:t> </w:t>
      </w:r>
      <w:r>
        <w:rPr>
          <w:color w:val="231F20"/>
          <w:spacing w:val="-2"/>
          <w:w w:val="120"/>
        </w:rPr>
        <w:t>santé</w:t>
      </w:r>
      <w:r>
        <w:rPr>
          <w:color w:val="231F20"/>
          <w:spacing w:val="-5"/>
          <w:w w:val="120"/>
        </w:rPr>
        <w:t> </w:t>
      </w:r>
      <w:r>
        <w:rPr>
          <w:color w:val="231F20"/>
          <w:spacing w:val="-2"/>
          <w:w w:val="120"/>
        </w:rPr>
        <w:t>au</w:t>
      </w:r>
      <w:r>
        <w:rPr>
          <w:color w:val="231F20"/>
          <w:spacing w:val="-5"/>
          <w:w w:val="120"/>
        </w:rPr>
        <w:t> </w:t>
      </w:r>
      <w:r>
        <w:rPr>
          <w:color w:val="231F20"/>
          <w:spacing w:val="-2"/>
          <w:w w:val="120"/>
        </w:rPr>
        <w:t>sein</w:t>
      </w:r>
      <w:r>
        <w:rPr>
          <w:color w:val="231F20"/>
          <w:spacing w:val="-5"/>
          <w:w w:val="120"/>
        </w:rPr>
        <w:t> </w:t>
      </w:r>
      <w:r>
        <w:rPr>
          <w:color w:val="231F20"/>
          <w:spacing w:val="-2"/>
          <w:w w:val="120"/>
        </w:rPr>
        <w:t>de</w:t>
      </w:r>
      <w:r>
        <w:rPr>
          <w:color w:val="231F20"/>
          <w:spacing w:val="-5"/>
          <w:w w:val="120"/>
        </w:rPr>
        <w:t> </w:t>
      </w:r>
      <w:r>
        <w:rPr>
          <w:color w:val="231F20"/>
          <w:spacing w:val="-2"/>
          <w:w w:val="120"/>
        </w:rPr>
        <w:t>l’entreprise.</w:t>
      </w:r>
      <w:r>
        <w:rPr>
          <w:color w:val="231F20"/>
          <w:spacing w:val="-5"/>
          <w:w w:val="120"/>
        </w:rPr>
        <w:t> </w:t>
      </w:r>
      <w:r>
        <w:rPr>
          <w:color w:val="231F20"/>
          <w:spacing w:val="-2"/>
          <w:w w:val="120"/>
        </w:rPr>
        <w:t>Pour</w:t>
      </w:r>
      <w:r>
        <w:rPr>
          <w:color w:val="231F20"/>
          <w:spacing w:val="-5"/>
          <w:w w:val="120"/>
        </w:rPr>
        <w:t> </w:t>
      </w:r>
      <w:r>
        <w:rPr>
          <w:color w:val="231F20"/>
          <w:spacing w:val="-2"/>
          <w:w w:val="120"/>
        </w:rPr>
        <w:t>obtenir</w:t>
      </w:r>
      <w:r>
        <w:rPr>
          <w:color w:val="231F20"/>
          <w:spacing w:val="-5"/>
          <w:w w:val="120"/>
        </w:rPr>
        <w:t> </w:t>
      </w:r>
      <w:r>
        <w:rPr>
          <w:color w:val="231F20"/>
          <w:spacing w:val="-2"/>
          <w:w w:val="120"/>
        </w:rPr>
        <w:t>des</w:t>
      </w:r>
      <w:r>
        <w:rPr>
          <w:color w:val="231F20"/>
          <w:spacing w:val="-5"/>
          <w:w w:val="120"/>
        </w:rPr>
        <w:t> </w:t>
      </w:r>
      <w:r>
        <w:rPr>
          <w:color w:val="231F20"/>
          <w:spacing w:val="-2"/>
          <w:w w:val="120"/>
        </w:rPr>
        <w:t>valeurs</w:t>
      </w:r>
      <w:r>
        <w:rPr>
          <w:color w:val="231F20"/>
          <w:spacing w:val="-5"/>
          <w:w w:val="120"/>
        </w:rPr>
        <w:t> </w:t>
      </w:r>
      <w:r>
        <w:rPr>
          <w:color w:val="231F20"/>
          <w:spacing w:val="-2"/>
          <w:w w:val="120"/>
        </w:rPr>
        <w:t>de</w:t>
      </w:r>
      <w:r>
        <w:rPr>
          <w:color w:val="231F20"/>
          <w:spacing w:val="-5"/>
          <w:w w:val="120"/>
        </w:rPr>
        <w:t> </w:t>
      </w:r>
      <w:r>
        <w:rPr>
          <w:color w:val="231F20"/>
          <w:spacing w:val="-2"/>
          <w:w w:val="120"/>
        </w:rPr>
        <w:t>référence,</w:t>
      </w:r>
      <w:r>
        <w:rPr>
          <w:color w:val="231F20"/>
          <w:spacing w:val="-5"/>
          <w:w w:val="120"/>
        </w:rPr>
        <w:t> </w:t>
      </w:r>
      <w:r>
        <w:rPr>
          <w:color w:val="231F20"/>
          <w:spacing w:val="-2"/>
          <w:w w:val="120"/>
        </w:rPr>
        <w:t>on </w:t>
      </w:r>
      <w:r>
        <w:rPr>
          <w:color w:val="231F20"/>
          <w:w w:val="120"/>
        </w:rPr>
        <w:t>mesure</w:t>
      </w:r>
      <w:r>
        <w:rPr>
          <w:color w:val="231F20"/>
          <w:spacing w:val="5"/>
          <w:w w:val="120"/>
        </w:rPr>
        <w:t> </w:t>
      </w:r>
      <w:r>
        <w:rPr>
          <w:color w:val="231F20"/>
          <w:w w:val="120"/>
        </w:rPr>
        <w:t>la</w:t>
      </w:r>
      <w:r>
        <w:rPr>
          <w:color w:val="231F20"/>
          <w:spacing w:val="6"/>
          <w:w w:val="120"/>
        </w:rPr>
        <w:t> </w:t>
      </w:r>
      <w:r>
        <w:rPr>
          <w:color w:val="231F20"/>
          <w:w w:val="120"/>
        </w:rPr>
        <w:t>charge</w:t>
      </w:r>
      <w:r>
        <w:rPr>
          <w:color w:val="231F20"/>
          <w:spacing w:val="6"/>
          <w:w w:val="120"/>
        </w:rPr>
        <w:t> </w:t>
      </w:r>
      <w:r>
        <w:rPr>
          <w:color w:val="231F20"/>
          <w:w w:val="120"/>
        </w:rPr>
        <w:t>de</w:t>
      </w:r>
      <w:r>
        <w:rPr>
          <w:color w:val="231F20"/>
          <w:spacing w:val="6"/>
          <w:w w:val="120"/>
        </w:rPr>
        <w:t> </w:t>
      </w:r>
      <w:r>
        <w:rPr>
          <w:color w:val="231F20"/>
          <w:w w:val="120"/>
        </w:rPr>
        <w:t>travail</w:t>
      </w:r>
      <w:r>
        <w:rPr>
          <w:color w:val="231F20"/>
          <w:spacing w:val="6"/>
          <w:w w:val="120"/>
        </w:rPr>
        <w:t> </w:t>
      </w:r>
      <w:r>
        <w:rPr>
          <w:color w:val="231F20"/>
          <w:w w:val="120"/>
        </w:rPr>
        <w:t>et</w:t>
      </w:r>
      <w:r>
        <w:rPr>
          <w:color w:val="231F20"/>
          <w:spacing w:val="6"/>
          <w:w w:val="120"/>
        </w:rPr>
        <w:t> </w:t>
      </w:r>
      <w:r>
        <w:rPr>
          <w:color w:val="231F20"/>
          <w:w w:val="120"/>
        </w:rPr>
        <w:t>ses</w:t>
      </w:r>
      <w:r>
        <w:rPr>
          <w:color w:val="231F20"/>
          <w:spacing w:val="5"/>
          <w:w w:val="120"/>
        </w:rPr>
        <w:t> </w:t>
      </w:r>
      <w:r>
        <w:rPr>
          <w:color w:val="231F20"/>
          <w:w w:val="120"/>
        </w:rPr>
        <w:t>effets</w:t>
      </w:r>
      <w:r>
        <w:rPr>
          <w:color w:val="231F20"/>
          <w:spacing w:val="6"/>
          <w:w w:val="120"/>
        </w:rPr>
        <w:t> </w:t>
      </w:r>
      <w:r>
        <w:rPr>
          <w:color w:val="231F20"/>
          <w:w w:val="120"/>
        </w:rPr>
        <w:t>subjectifs</w:t>
      </w:r>
      <w:r>
        <w:rPr>
          <w:color w:val="231F20"/>
          <w:spacing w:val="6"/>
          <w:w w:val="120"/>
        </w:rPr>
        <w:t> </w:t>
      </w:r>
      <w:r>
        <w:rPr>
          <w:color w:val="231F20"/>
          <w:w w:val="120"/>
        </w:rPr>
        <w:t>sur</w:t>
      </w:r>
      <w:r>
        <w:rPr>
          <w:color w:val="231F20"/>
          <w:spacing w:val="6"/>
          <w:w w:val="120"/>
        </w:rPr>
        <w:t> </w:t>
      </w:r>
      <w:r>
        <w:rPr>
          <w:color w:val="231F20"/>
          <w:w w:val="120"/>
        </w:rPr>
        <w:t>le</w:t>
      </w:r>
      <w:r>
        <w:rPr>
          <w:color w:val="231F20"/>
          <w:spacing w:val="6"/>
          <w:w w:val="120"/>
        </w:rPr>
        <w:t> </w:t>
      </w:r>
      <w:r>
        <w:rPr>
          <w:color w:val="231F20"/>
          <w:w w:val="120"/>
        </w:rPr>
        <w:t>bien-être</w:t>
      </w:r>
      <w:r>
        <w:rPr>
          <w:color w:val="231F20"/>
          <w:spacing w:val="6"/>
          <w:w w:val="120"/>
        </w:rPr>
        <w:t> </w:t>
      </w:r>
      <w:r>
        <w:rPr>
          <w:color w:val="231F20"/>
          <w:spacing w:val="-5"/>
          <w:w w:val="120"/>
        </w:rPr>
        <w:t>par</w:t>
      </w:r>
    </w:p>
    <w:p>
      <w:pPr>
        <w:pStyle w:val="BodyText"/>
        <w:spacing w:line="194" w:lineRule="exact"/>
        <w:ind w:left="3180"/>
        <w:jc w:val="both"/>
      </w:pPr>
      <w:r>
        <w:rPr>
          <w:color w:val="231F20"/>
          <w:w w:val="120"/>
        </w:rPr>
        <w:t>divers</w:t>
      </w:r>
      <w:r>
        <w:rPr>
          <w:color w:val="231F20"/>
          <w:spacing w:val="-12"/>
          <w:w w:val="120"/>
        </w:rPr>
        <w:t> </w:t>
      </w:r>
      <w:r>
        <w:rPr>
          <w:color w:val="231F20"/>
          <w:w w:val="120"/>
        </w:rPr>
        <w:t>moyens,</w:t>
      </w:r>
      <w:r>
        <w:rPr>
          <w:color w:val="231F20"/>
          <w:spacing w:val="-11"/>
          <w:w w:val="120"/>
        </w:rPr>
        <w:t> </w:t>
      </w:r>
      <w:r>
        <w:rPr>
          <w:color w:val="231F20"/>
          <w:w w:val="120"/>
        </w:rPr>
        <w:t>notamment</w:t>
      </w:r>
      <w:r>
        <w:rPr>
          <w:color w:val="231F20"/>
          <w:spacing w:val="-12"/>
          <w:w w:val="120"/>
        </w:rPr>
        <w:t> </w:t>
      </w:r>
      <w:r>
        <w:rPr>
          <w:color w:val="231F20"/>
          <w:w w:val="120"/>
        </w:rPr>
        <w:t>les</w:t>
      </w:r>
      <w:r>
        <w:rPr>
          <w:color w:val="231F20"/>
          <w:spacing w:val="-11"/>
          <w:w w:val="120"/>
        </w:rPr>
        <w:t> </w:t>
      </w:r>
      <w:r>
        <w:rPr>
          <w:color w:val="231F20"/>
          <w:spacing w:val="-2"/>
          <w:w w:val="120"/>
        </w:rPr>
        <w:t>questionnaires,</w:t>
      </w:r>
    </w:p>
    <w:p>
      <w:pPr>
        <w:spacing w:after="0" w:line="194" w:lineRule="exact"/>
        <w:jc w:val="both"/>
        <w:sectPr>
          <w:footerReference w:type="default" r:id="rId53"/>
          <w:pgSz w:w="8640" w:h="12960"/>
          <w:pgMar w:footer="424" w:header="0" w:top="500" w:bottom="620" w:left="460" w:right="1000"/>
        </w:sectPr>
      </w:pPr>
    </w:p>
    <w:p>
      <w:pPr>
        <w:spacing w:line="268" w:lineRule="auto" w:before="70"/>
        <w:ind w:left="1252" w:right="0" w:firstLine="264"/>
        <w:jc w:val="right"/>
        <w:rPr>
          <w:rFonts w:ascii="Arial"/>
          <w:sz w:val="14"/>
        </w:rPr>
      </w:pPr>
      <w:r>
        <w:rPr>
          <w:rFonts w:ascii="Arial"/>
          <w:color w:val="231F20"/>
          <w:spacing w:val="-2"/>
          <w:sz w:val="14"/>
        </w:rPr>
        <w:t>Le</w:t>
      </w:r>
      <w:r>
        <w:rPr>
          <w:rFonts w:ascii="Arial"/>
          <w:color w:val="231F20"/>
          <w:spacing w:val="-8"/>
          <w:sz w:val="14"/>
        </w:rPr>
        <w:t> </w:t>
      </w:r>
      <w:r>
        <w:rPr>
          <w:rFonts w:ascii="Arial"/>
          <w:color w:val="231F20"/>
          <w:spacing w:val="-2"/>
          <w:sz w:val="14"/>
        </w:rPr>
        <w:t>stress</w:t>
      </w:r>
      <w:r>
        <w:rPr>
          <w:rFonts w:ascii="Arial"/>
          <w:color w:val="231F20"/>
          <w:spacing w:val="-8"/>
          <w:sz w:val="14"/>
        </w:rPr>
        <w:t> </w:t>
      </w:r>
      <w:r>
        <w:rPr>
          <w:rFonts w:ascii="Arial"/>
          <w:color w:val="231F20"/>
          <w:spacing w:val="-2"/>
          <w:sz w:val="14"/>
        </w:rPr>
        <w:t>est</w:t>
      </w:r>
      <w:r>
        <w:rPr>
          <w:rFonts w:ascii="Arial"/>
          <w:color w:val="231F20"/>
          <w:spacing w:val="-8"/>
          <w:sz w:val="14"/>
        </w:rPr>
        <w:t> </w:t>
      </w:r>
      <w:r>
        <w:rPr>
          <w:rFonts w:ascii="Arial"/>
          <w:color w:val="231F20"/>
          <w:spacing w:val="-2"/>
          <w:sz w:val="14"/>
        </w:rPr>
        <w:t>une</w:t>
      </w:r>
      <w:r>
        <w:rPr>
          <w:rFonts w:ascii="Arial"/>
          <w:color w:val="231F20"/>
          <w:spacing w:val="-7"/>
          <w:sz w:val="14"/>
        </w:rPr>
        <w:t> </w:t>
      </w:r>
      <w:r>
        <w:rPr>
          <w:rFonts w:ascii="Arial"/>
          <w:color w:val="231F20"/>
          <w:spacing w:val="-2"/>
          <w:sz w:val="14"/>
        </w:rPr>
        <w:t>cause</w:t>
      </w:r>
      <w:r>
        <w:rPr>
          <w:rFonts w:ascii="Arial"/>
          <w:color w:val="231F20"/>
          <w:spacing w:val="40"/>
          <w:sz w:val="14"/>
        </w:rPr>
        <w:t> </w:t>
      </w:r>
      <w:r>
        <w:rPr>
          <w:rFonts w:ascii="Arial"/>
          <w:color w:val="231F20"/>
          <w:sz w:val="14"/>
        </w:rPr>
        <w:t>directe</w:t>
      </w:r>
      <w:r>
        <w:rPr>
          <w:rFonts w:ascii="Arial"/>
          <w:color w:val="231F20"/>
          <w:spacing w:val="-9"/>
          <w:sz w:val="14"/>
        </w:rPr>
        <w:t> </w:t>
      </w:r>
      <w:r>
        <w:rPr>
          <w:rFonts w:ascii="Arial"/>
          <w:color w:val="231F20"/>
          <w:sz w:val="14"/>
        </w:rPr>
        <w:t>ou</w:t>
      </w:r>
      <w:r>
        <w:rPr>
          <w:rFonts w:ascii="Arial"/>
          <w:color w:val="231F20"/>
          <w:spacing w:val="-9"/>
          <w:sz w:val="14"/>
        </w:rPr>
        <w:t> </w:t>
      </w:r>
      <w:r>
        <w:rPr>
          <w:rFonts w:ascii="Arial"/>
          <w:color w:val="231F20"/>
          <w:sz w:val="14"/>
        </w:rPr>
        <w:t>un</w:t>
      </w:r>
      <w:r>
        <w:rPr>
          <w:rFonts w:ascii="Arial"/>
          <w:color w:val="231F20"/>
          <w:spacing w:val="-9"/>
          <w:sz w:val="14"/>
        </w:rPr>
        <w:t> </w:t>
      </w:r>
      <w:r>
        <w:rPr>
          <w:rFonts w:ascii="Arial"/>
          <w:color w:val="231F20"/>
          <w:sz w:val="14"/>
        </w:rPr>
        <w:t>catalyseur</w:t>
      </w:r>
      <w:r>
        <w:rPr>
          <w:rFonts w:ascii="Arial"/>
          <w:color w:val="231F20"/>
          <w:spacing w:val="-9"/>
          <w:sz w:val="14"/>
        </w:rPr>
        <w:t> </w:t>
      </w:r>
      <w:r>
        <w:rPr>
          <w:rFonts w:ascii="Arial"/>
          <w:color w:val="231F20"/>
          <w:sz w:val="14"/>
        </w:rPr>
        <w:t>de</w:t>
      </w:r>
      <w:r>
        <w:rPr>
          <w:rFonts w:ascii="Arial"/>
          <w:color w:val="231F20"/>
          <w:spacing w:val="40"/>
          <w:sz w:val="14"/>
        </w:rPr>
        <w:t> </w:t>
      </w:r>
      <w:r>
        <w:rPr>
          <w:rFonts w:ascii="Arial"/>
          <w:color w:val="231F20"/>
          <w:sz w:val="14"/>
        </w:rPr>
        <w:t>plusieurs des maladies</w:t>
      </w:r>
      <w:r>
        <w:rPr>
          <w:rFonts w:ascii="Arial"/>
          <w:color w:val="231F20"/>
          <w:spacing w:val="40"/>
          <w:sz w:val="14"/>
        </w:rPr>
        <w:t> </w:t>
      </w:r>
      <w:r>
        <w:rPr>
          <w:rFonts w:ascii="Arial"/>
          <w:color w:val="231F20"/>
          <w:sz w:val="14"/>
        </w:rPr>
        <w:t>psychologiques</w:t>
      </w:r>
      <w:r>
        <w:rPr>
          <w:rFonts w:ascii="Arial"/>
          <w:color w:val="231F20"/>
          <w:spacing w:val="-10"/>
          <w:sz w:val="14"/>
        </w:rPr>
        <w:t> </w:t>
      </w:r>
      <w:r>
        <w:rPr>
          <w:rFonts w:ascii="Arial"/>
          <w:color w:val="231F20"/>
          <w:sz w:val="14"/>
        </w:rPr>
        <w:t>et</w:t>
      </w:r>
      <w:r>
        <w:rPr>
          <w:rFonts w:ascii="Arial"/>
          <w:color w:val="231F20"/>
          <w:spacing w:val="40"/>
          <w:sz w:val="14"/>
        </w:rPr>
        <w:t> </w:t>
      </w:r>
      <w:r>
        <w:rPr>
          <w:rFonts w:ascii="Arial"/>
          <w:color w:val="231F20"/>
          <w:sz w:val="14"/>
        </w:rPr>
        <w:t>physiologiques les plus</w:t>
      </w:r>
    </w:p>
    <w:p>
      <w:pPr>
        <w:spacing w:line="268" w:lineRule="auto" w:before="0"/>
        <w:ind w:left="1690" w:right="0" w:firstLine="258"/>
        <w:jc w:val="right"/>
        <w:rPr>
          <w:rFonts w:ascii="Arial" w:hAnsi="Arial"/>
          <w:sz w:val="14"/>
        </w:rPr>
      </w:pPr>
      <w:r>
        <w:rPr>
          <w:rFonts w:ascii="Arial" w:hAnsi="Arial"/>
          <w:color w:val="231F20"/>
          <w:sz w:val="14"/>
        </w:rPr>
        <w:t>courantes</w:t>
      </w:r>
      <w:r>
        <w:rPr>
          <w:rFonts w:ascii="Arial" w:hAnsi="Arial"/>
          <w:color w:val="231F20"/>
          <w:spacing w:val="-10"/>
          <w:sz w:val="14"/>
        </w:rPr>
        <w:t> </w:t>
      </w:r>
      <w:r>
        <w:rPr>
          <w:rFonts w:ascii="Arial" w:hAnsi="Arial"/>
          <w:color w:val="231F20"/>
          <w:sz w:val="14"/>
        </w:rPr>
        <w:t>et</w:t>
      </w:r>
      <w:r>
        <w:rPr>
          <w:rFonts w:ascii="Arial" w:hAnsi="Arial"/>
          <w:color w:val="231F20"/>
          <w:spacing w:val="-10"/>
          <w:sz w:val="14"/>
        </w:rPr>
        <w:t> </w:t>
      </w:r>
      <w:r>
        <w:rPr>
          <w:rFonts w:ascii="Arial" w:hAnsi="Arial"/>
          <w:color w:val="231F20"/>
          <w:sz w:val="14"/>
        </w:rPr>
        <w:t>les</w:t>
      </w:r>
      <w:r>
        <w:rPr>
          <w:rFonts w:ascii="Arial" w:hAnsi="Arial"/>
          <w:color w:val="231F20"/>
          <w:spacing w:val="40"/>
          <w:sz w:val="14"/>
        </w:rPr>
        <w:t> </w:t>
      </w:r>
      <w:r>
        <w:rPr>
          <w:rFonts w:ascii="Arial" w:hAnsi="Arial"/>
          <w:color w:val="231F20"/>
          <w:spacing w:val="-2"/>
          <w:sz w:val="14"/>
        </w:rPr>
        <w:t>plus</w:t>
      </w:r>
      <w:r>
        <w:rPr>
          <w:rFonts w:ascii="Arial" w:hAnsi="Arial"/>
          <w:color w:val="231F20"/>
          <w:spacing w:val="-8"/>
          <w:sz w:val="14"/>
        </w:rPr>
        <w:t> </w:t>
      </w:r>
      <w:r>
        <w:rPr>
          <w:rFonts w:ascii="Arial" w:hAnsi="Arial"/>
          <w:color w:val="231F20"/>
          <w:spacing w:val="-2"/>
          <w:sz w:val="14"/>
        </w:rPr>
        <w:t>dommageables</w:t>
      </w:r>
      <w:r>
        <w:rPr>
          <w:rFonts w:ascii="Arial" w:hAnsi="Arial"/>
          <w:color w:val="231F20"/>
          <w:spacing w:val="40"/>
          <w:sz w:val="14"/>
        </w:rPr>
        <w:t> </w:t>
      </w:r>
      <w:r>
        <w:rPr>
          <w:rFonts w:ascii="Arial" w:hAnsi="Arial"/>
          <w:color w:val="231F20"/>
          <w:sz w:val="14"/>
        </w:rPr>
        <w:t>pour</w:t>
      </w:r>
      <w:r>
        <w:rPr>
          <w:rFonts w:ascii="Arial" w:hAnsi="Arial"/>
          <w:color w:val="231F20"/>
          <w:spacing w:val="-10"/>
          <w:sz w:val="14"/>
        </w:rPr>
        <w:t> </w:t>
      </w:r>
      <w:r>
        <w:rPr>
          <w:rFonts w:ascii="Arial" w:hAnsi="Arial"/>
          <w:color w:val="231F20"/>
          <w:sz w:val="14"/>
        </w:rPr>
        <w:t>l’humain.</w:t>
      </w:r>
    </w:p>
    <w:p>
      <w:pPr>
        <w:pStyle w:val="BodyText"/>
        <w:spacing w:line="307" w:lineRule="auto" w:before="54"/>
        <w:ind w:left="200" w:right="245"/>
        <w:jc w:val="both"/>
      </w:pPr>
      <w:r>
        <w:rPr/>
        <w:br w:type="column"/>
      </w:r>
      <w:r>
        <w:rPr>
          <w:color w:val="231F20"/>
          <w:spacing w:val="-2"/>
          <w:w w:val="115"/>
        </w:rPr>
        <w:t>les</w:t>
      </w:r>
      <w:r>
        <w:rPr>
          <w:color w:val="231F20"/>
          <w:spacing w:val="-6"/>
          <w:w w:val="115"/>
        </w:rPr>
        <w:t> </w:t>
      </w:r>
      <w:r>
        <w:rPr>
          <w:color w:val="231F20"/>
          <w:spacing w:val="-2"/>
          <w:w w:val="115"/>
        </w:rPr>
        <w:t>outils</w:t>
      </w:r>
      <w:r>
        <w:rPr>
          <w:color w:val="231F20"/>
          <w:spacing w:val="-6"/>
          <w:w w:val="115"/>
        </w:rPr>
        <w:t> </w:t>
      </w:r>
      <w:r>
        <w:rPr>
          <w:color w:val="231F20"/>
          <w:spacing w:val="-2"/>
          <w:w w:val="115"/>
        </w:rPr>
        <w:t>de</w:t>
      </w:r>
      <w:r>
        <w:rPr>
          <w:color w:val="231F20"/>
          <w:spacing w:val="-6"/>
          <w:w w:val="115"/>
        </w:rPr>
        <w:t> </w:t>
      </w:r>
      <w:r>
        <w:rPr>
          <w:color w:val="231F20"/>
          <w:spacing w:val="-2"/>
          <w:w w:val="115"/>
        </w:rPr>
        <w:t>détection</w:t>
      </w:r>
      <w:r>
        <w:rPr>
          <w:color w:val="231F20"/>
          <w:spacing w:val="-6"/>
          <w:w w:val="115"/>
        </w:rPr>
        <w:t> </w:t>
      </w:r>
      <w:r>
        <w:rPr>
          <w:color w:val="231F20"/>
          <w:spacing w:val="-2"/>
          <w:w w:val="115"/>
        </w:rPr>
        <w:t>des</w:t>
      </w:r>
      <w:r>
        <w:rPr>
          <w:color w:val="231F20"/>
          <w:spacing w:val="-6"/>
          <w:w w:val="115"/>
        </w:rPr>
        <w:t> </w:t>
      </w:r>
      <w:r>
        <w:rPr>
          <w:color w:val="231F20"/>
          <w:spacing w:val="-2"/>
          <w:w w:val="115"/>
        </w:rPr>
        <w:t>facteurs</w:t>
      </w:r>
      <w:r>
        <w:rPr>
          <w:color w:val="231F20"/>
          <w:spacing w:val="-6"/>
          <w:w w:val="115"/>
        </w:rPr>
        <w:t> </w:t>
      </w:r>
      <w:r>
        <w:rPr>
          <w:color w:val="231F20"/>
          <w:spacing w:val="-2"/>
          <w:w w:val="115"/>
        </w:rPr>
        <w:t>de</w:t>
      </w:r>
      <w:r>
        <w:rPr>
          <w:color w:val="231F20"/>
          <w:spacing w:val="-6"/>
          <w:w w:val="115"/>
        </w:rPr>
        <w:t> </w:t>
      </w:r>
      <w:r>
        <w:rPr>
          <w:color w:val="231F20"/>
          <w:spacing w:val="-2"/>
          <w:w w:val="115"/>
        </w:rPr>
        <w:t>risque</w:t>
      </w:r>
      <w:r>
        <w:rPr>
          <w:color w:val="231F20"/>
          <w:spacing w:val="-6"/>
          <w:w w:val="115"/>
        </w:rPr>
        <w:t> </w:t>
      </w:r>
      <w:r>
        <w:rPr>
          <w:color w:val="231F20"/>
          <w:spacing w:val="-2"/>
          <w:w w:val="115"/>
        </w:rPr>
        <w:t>pour </w:t>
      </w:r>
      <w:r>
        <w:rPr>
          <w:color w:val="231F20"/>
          <w:w w:val="115"/>
        </w:rPr>
        <w:t>la</w:t>
      </w:r>
      <w:r>
        <w:rPr>
          <w:color w:val="231F20"/>
          <w:spacing w:val="-13"/>
          <w:w w:val="115"/>
        </w:rPr>
        <w:t> </w:t>
      </w:r>
      <w:r>
        <w:rPr>
          <w:color w:val="231F20"/>
          <w:w w:val="115"/>
        </w:rPr>
        <w:t>santé et les «</w:t>
      </w:r>
      <w:r>
        <w:rPr>
          <w:color w:val="231F20"/>
          <w:spacing w:val="-13"/>
          <w:w w:val="115"/>
        </w:rPr>
        <w:t> </w:t>
      </w:r>
      <w:r>
        <w:rPr>
          <w:color w:val="231F20"/>
          <w:w w:val="115"/>
        </w:rPr>
        <w:t>cercles de santé». À l’instar des </w:t>
      </w:r>
      <w:r>
        <w:rPr>
          <w:color w:val="231F20"/>
          <w:w w:val="120"/>
        </w:rPr>
        <w:t>traditionnels</w:t>
      </w:r>
      <w:r>
        <w:rPr>
          <w:color w:val="231F20"/>
          <w:spacing w:val="-5"/>
          <w:w w:val="120"/>
        </w:rPr>
        <w:t> </w:t>
      </w:r>
      <w:r>
        <w:rPr>
          <w:color w:val="231F20"/>
          <w:w w:val="120"/>
        </w:rPr>
        <w:t>cercles</w:t>
      </w:r>
      <w:r>
        <w:rPr>
          <w:color w:val="231F20"/>
          <w:spacing w:val="-5"/>
          <w:w w:val="120"/>
        </w:rPr>
        <w:t> </w:t>
      </w:r>
      <w:r>
        <w:rPr>
          <w:color w:val="231F20"/>
          <w:w w:val="120"/>
        </w:rPr>
        <w:t>de</w:t>
      </w:r>
      <w:r>
        <w:rPr>
          <w:color w:val="231F20"/>
          <w:spacing w:val="-5"/>
          <w:w w:val="120"/>
        </w:rPr>
        <w:t> </w:t>
      </w:r>
      <w:r>
        <w:rPr>
          <w:color w:val="231F20"/>
          <w:w w:val="120"/>
        </w:rPr>
        <w:t>qualité</w:t>
      </w:r>
      <w:r>
        <w:rPr>
          <w:color w:val="231F20"/>
          <w:spacing w:val="-5"/>
          <w:w w:val="120"/>
        </w:rPr>
        <w:t> </w:t>
      </w:r>
      <w:r>
        <w:rPr>
          <w:color w:val="231F20"/>
          <w:w w:val="120"/>
        </w:rPr>
        <w:t>sur</w:t>
      </w:r>
      <w:r>
        <w:rPr>
          <w:color w:val="231F20"/>
          <w:spacing w:val="-5"/>
          <w:w w:val="120"/>
        </w:rPr>
        <w:t> </w:t>
      </w:r>
      <w:r>
        <w:rPr>
          <w:color w:val="231F20"/>
          <w:w w:val="120"/>
        </w:rPr>
        <w:t>lesquels</w:t>
      </w:r>
      <w:r>
        <w:rPr>
          <w:color w:val="231F20"/>
          <w:spacing w:val="-5"/>
          <w:w w:val="120"/>
        </w:rPr>
        <w:t> </w:t>
      </w:r>
      <w:r>
        <w:rPr>
          <w:color w:val="231F20"/>
          <w:w w:val="120"/>
        </w:rPr>
        <w:t>ils </w:t>
      </w:r>
      <w:r>
        <w:rPr>
          <w:color w:val="231F20"/>
          <w:w w:val="115"/>
        </w:rPr>
        <w:t>se</w:t>
      </w:r>
      <w:r>
        <w:rPr>
          <w:color w:val="231F20"/>
          <w:spacing w:val="-13"/>
          <w:w w:val="115"/>
        </w:rPr>
        <w:t> </w:t>
      </w:r>
      <w:r>
        <w:rPr>
          <w:color w:val="231F20"/>
          <w:w w:val="115"/>
        </w:rPr>
        <w:t>fondent,</w:t>
      </w:r>
      <w:r>
        <w:rPr>
          <w:color w:val="231F20"/>
          <w:spacing w:val="-12"/>
          <w:w w:val="115"/>
        </w:rPr>
        <w:t> </w:t>
      </w:r>
      <w:r>
        <w:rPr>
          <w:color w:val="231F20"/>
          <w:w w:val="115"/>
        </w:rPr>
        <w:t>les</w:t>
      </w:r>
      <w:r>
        <w:rPr>
          <w:color w:val="231F20"/>
          <w:spacing w:val="-12"/>
          <w:w w:val="115"/>
        </w:rPr>
        <w:t> </w:t>
      </w:r>
      <w:r>
        <w:rPr>
          <w:color w:val="231F20"/>
          <w:w w:val="115"/>
        </w:rPr>
        <w:t>cercles</w:t>
      </w:r>
      <w:r>
        <w:rPr>
          <w:color w:val="231F20"/>
          <w:spacing w:val="-12"/>
          <w:w w:val="115"/>
        </w:rPr>
        <w:t> </w:t>
      </w:r>
      <w:r>
        <w:rPr>
          <w:color w:val="231F20"/>
          <w:w w:val="115"/>
        </w:rPr>
        <w:t>de</w:t>
      </w:r>
      <w:r>
        <w:rPr>
          <w:color w:val="231F20"/>
          <w:spacing w:val="-13"/>
          <w:w w:val="115"/>
        </w:rPr>
        <w:t> </w:t>
      </w:r>
      <w:r>
        <w:rPr>
          <w:color w:val="231F20"/>
          <w:w w:val="115"/>
        </w:rPr>
        <w:t>santé</w:t>
      </w:r>
      <w:r>
        <w:rPr>
          <w:color w:val="231F20"/>
          <w:spacing w:val="-12"/>
          <w:w w:val="115"/>
        </w:rPr>
        <w:t> </w:t>
      </w:r>
      <w:r>
        <w:rPr>
          <w:color w:val="231F20"/>
          <w:w w:val="115"/>
        </w:rPr>
        <w:t>donnent</w:t>
      </w:r>
      <w:r>
        <w:rPr>
          <w:color w:val="231F20"/>
          <w:spacing w:val="-12"/>
          <w:w w:val="115"/>
        </w:rPr>
        <w:t> </w:t>
      </w:r>
      <w:r>
        <w:rPr>
          <w:color w:val="231F20"/>
          <w:w w:val="115"/>
        </w:rPr>
        <w:t>à</w:t>
      </w:r>
      <w:r>
        <w:rPr>
          <w:color w:val="231F20"/>
          <w:spacing w:val="-12"/>
          <w:w w:val="115"/>
        </w:rPr>
        <w:t> </w:t>
      </w:r>
      <w:r>
        <w:rPr>
          <w:color w:val="231F20"/>
          <w:w w:val="115"/>
        </w:rPr>
        <w:t>chaque employé</w:t>
      </w:r>
      <w:r>
        <w:rPr>
          <w:color w:val="231F20"/>
          <w:spacing w:val="-13"/>
          <w:w w:val="115"/>
        </w:rPr>
        <w:t> </w:t>
      </w:r>
      <w:r>
        <w:rPr>
          <w:color w:val="231F20"/>
          <w:w w:val="115"/>
        </w:rPr>
        <w:t>l’occasion</w:t>
      </w:r>
      <w:r>
        <w:rPr>
          <w:color w:val="231F20"/>
          <w:spacing w:val="-12"/>
          <w:w w:val="115"/>
        </w:rPr>
        <w:t> </w:t>
      </w:r>
      <w:r>
        <w:rPr>
          <w:color w:val="231F20"/>
          <w:w w:val="115"/>
        </w:rPr>
        <w:t>de</w:t>
      </w:r>
      <w:r>
        <w:rPr>
          <w:color w:val="231F20"/>
          <w:spacing w:val="-12"/>
          <w:w w:val="115"/>
        </w:rPr>
        <w:t> </w:t>
      </w:r>
      <w:r>
        <w:rPr>
          <w:color w:val="231F20"/>
          <w:w w:val="115"/>
        </w:rPr>
        <w:t>participer,</w:t>
      </w:r>
      <w:r>
        <w:rPr>
          <w:color w:val="231F20"/>
          <w:spacing w:val="-12"/>
          <w:w w:val="115"/>
        </w:rPr>
        <w:t> </w:t>
      </w:r>
      <w:r>
        <w:rPr>
          <w:color w:val="231F20"/>
          <w:w w:val="115"/>
        </w:rPr>
        <w:t>à</w:t>
      </w:r>
      <w:r>
        <w:rPr>
          <w:color w:val="231F20"/>
          <w:spacing w:val="-13"/>
          <w:w w:val="115"/>
        </w:rPr>
        <w:t> </w:t>
      </w:r>
      <w:r>
        <w:rPr>
          <w:color w:val="231F20"/>
          <w:w w:val="115"/>
        </w:rPr>
        <w:t>titre</w:t>
      </w:r>
      <w:r>
        <w:rPr>
          <w:color w:val="231F20"/>
          <w:spacing w:val="-12"/>
          <w:w w:val="115"/>
        </w:rPr>
        <w:t> </w:t>
      </w:r>
      <w:r>
        <w:rPr>
          <w:color w:val="231F20"/>
          <w:w w:val="115"/>
        </w:rPr>
        <w:t>d’expert </w:t>
      </w:r>
      <w:r>
        <w:rPr>
          <w:color w:val="231F20"/>
          <w:w w:val="120"/>
        </w:rPr>
        <w:t>dans son domaine, au processus de réduction du stress associé à ses propres fonctions.</w:t>
      </w:r>
    </w:p>
    <w:p>
      <w:pPr>
        <w:spacing w:after="0" w:line="307" w:lineRule="auto"/>
        <w:jc w:val="both"/>
        <w:sectPr>
          <w:type w:val="continuous"/>
          <w:pgSz w:w="8640" w:h="12960"/>
          <w:pgMar w:header="0" w:footer="424" w:top="1220" w:bottom="280" w:left="460" w:right="1000"/>
          <w:cols w:num="2" w:equalWidth="0">
            <w:col w:w="2941" w:space="40"/>
            <w:col w:w="4199"/>
          </w:cols>
        </w:sectPr>
      </w:pPr>
    </w:p>
    <w:p>
      <w:pPr>
        <w:pStyle w:val="BodyText"/>
        <w:spacing w:line="307" w:lineRule="auto" w:before="79"/>
        <w:ind w:left="1180" w:right="244" w:firstLine="250"/>
        <w:jc w:val="both"/>
      </w:pPr>
      <w:r>
        <w:rPr>
          <w:color w:val="231F20"/>
          <w:w w:val="120"/>
        </w:rPr>
        <w:t>Il convient de mentionner que les épisodes de stress courts ou peu fréquents, qui apparaissent ponctuellement dans les entreprises, com- </w:t>
      </w:r>
      <w:r>
        <w:rPr>
          <w:color w:val="231F20"/>
          <w:spacing w:val="-2"/>
          <w:w w:val="120"/>
        </w:rPr>
        <w:t>portent</w:t>
      </w:r>
      <w:r>
        <w:rPr>
          <w:color w:val="231F20"/>
          <w:spacing w:val="-13"/>
          <w:w w:val="120"/>
        </w:rPr>
        <w:t> </w:t>
      </w:r>
      <w:r>
        <w:rPr>
          <w:color w:val="231F20"/>
          <w:spacing w:val="-2"/>
          <w:w w:val="120"/>
        </w:rPr>
        <w:t>peu</w:t>
      </w:r>
      <w:r>
        <w:rPr>
          <w:color w:val="231F20"/>
          <w:spacing w:val="-11"/>
          <w:w w:val="120"/>
        </w:rPr>
        <w:t> </w:t>
      </w:r>
      <w:r>
        <w:rPr>
          <w:color w:val="231F20"/>
          <w:spacing w:val="-2"/>
          <w:w w:val="120"/>
        </w:rPr>
        <w:t>de</w:t>
      </w:r>
      <w:r>
        <w:rPr>
          <w:color w:val="231F20"/>
          <w:spacing w:val="-11"/>
          <w:w w:val="120"/>
        </w:rPr>
        <w:t> </w:t>
      </w:r>
      <w:r>
        <w:rPr>
          <w:color w:val="231F20"/>
          <w:spacing w:val="-2"/>
          <w:w w:val="120"/>
        </w:rPr>
        <w:t>risques</w:t>
      </w:r>
      <w:r>
        <w:rPr>
          <w:color w:val="231F20"/>
          <w:spacing w:val="-10"/>
          <w:w w:val="120"/>
        </w:rPr>
        <w:t> </w:t>
      </w:r>
      <w:r>
        <w:rPr>
          <w:color w:val="231F20"/>
          <w:spacing w:val="-2"/>
          <w:w w:val="120"/>
        </w:rPr>
        <w:t>pour</w:t>
      </w:r>
      <w:r>
        <w:rPr>
          <w:color w:val="231F20"/>
          <w:spacing w:val="-11"/>
          <w:w w:val="120"/>
        </w:rPr>
        <w:t> </w:t>
      </w:r>
      <w:r>
        <w:rPr>
          <w:color w:val="231F20"/>
          <w:spacing w:val="-2"/>
          <w:w w:val="120"/>
        </w:rPr>
        <w:t>la</w:t>
      </w:r>
      <w:r>
        <w:rPr>
          <w:color w:val="231F20"/>
          <w:spacing w:val="-11"/>
          <w:w w:val="120"/>
        </w:rPr>
        <w:t> </w:t>
      </w:r>
      <w:r>
        <w:rPr>
          <w:color w:val="231F20"/>
          <w:spacing w:val="-2"/>
          <w:w w:val="120"/>
        </w:rPr>
        <w:t>santé.</w:t>
      </w:r>
      <w:r>
        <w:rPr>
          <w:color w:val="231F20"/>
          <w:spacing w:val="-11"/>
          <w:w w:val="120"/>
        </w:rPr>
        <w:t> </w:t>
      </w:r>
      <w:r>
        <w:rPr>
          <w:color w:val="231F20"/>
          <w:spacing w:val="-2"/>
          <w:w w:val="120"/>
        </w:rPr>
        <w:t>Mais</w:t>
      </w:r>
      <w:r>
        <w:rPr>
          <w:color w:val="231F20"/>
          <w:spacing w:val="-10"/>
          <w:w w:val="120"/>
        </w:rPr>
        <w:t> </w:t>
      </w:r>
      <w:r>
        <w:rPr>
          <w:color w:val="231F20"/>
          <w:spacing w:val="-2"/>
          <w:w w:val="120"/>
        </w:rPr>
        <w:t>en</w:t>
      </w:r>
      <w:r>
        <w:rPr>
          <w:color w:val="231F20"/>
          <w:spacing w:val="-11"/>
          <w:w w:val="120"/>
        </w:rPr>
        <w:t> </w:t>
      </w:r>
      <w:r>
        <w:rPr>
          <w:color w:val="231F20"/>
          <w:spacing w:val="-2"/>
          <w:w w:val="120"/>
        </w:rPr>
        <w:t>présence</w:t>
      </w:r>
      <w:r>
        <w:rPr>
          <w:color w:val="231F20"/>
          <w:spacing w:val="-11"/>
          <w:w w:val="120"/>
        </w:rPr>
        <w:t> </w:t>
      </w:r>
      <w:r>
        <w:rPr>
          <w:color w:val="231F20"/>
          <w:spacing w:val="-2"/>
          <w:w w:val="120"/>
        </w:rPr>
        <w:t>de</w:t>
      </w:r>
      <w:r>
        <w:rPr>
          <w:color w:val="231F20"/>
          <w:spacing w:val="-11"/>
          <w:w w:val="120"/>
        </w:rPr>
        <w:t> </w:t>
      </w:r>
      <w:r>
        <w:rPr>
          <w:color w:val="231F20"/>
          <w:spacing w:val="-2"/>
          <w:w w:val="120"/>
        </w:rPr>
        <w:t>situations</w:t>
      </w:r>
      <w:r>
        <w:rPr>
          <w:color w:val="231F20"/>
          <w:spacing w:val="-10"/>
          <w:w w:val="120"/>
        </w:rPr>
        <w:t> </w:t>
      </w:r>
      <w:r>
        <w:rPr>
          <w:color w:val="231F20"/>
          <w:spacing w:val="-2"/>
          <w:w w:val="120"/>
        </w:rPr>
        <w:t>stres- santes</w:t>
      </w:r>
      <w:r>
        <w:rPr>
          <w:color w:val="231F20"/>
          <w:spacing w:val="-7"/>
          <w:w w:val="120"/>
        </w:rPr>
        <w:t> </w:t>
      </w:r>
      <w:r>
        <w:rPr>
          <w:color w:val="231F20"/>
          <w:spacing w:val="-2"/>
          <w:w w:val="120"/>
        </w:rPr>
        <w:t>continues,</w:t>
      </w:r>
      <w:r>
        <w:rPr>
          <w:color w:val="231F20"/>
          <w:spacing w:val="-7"/>
          <w:w w:val="120"/>
        </w:rPr>
        <w:t> </w:t>
      </w:r>
      <w:r>
        <w:rPr>
          <w:color w:val="231F20"/>
          <w:spacing w:val="-2"/>
          <w:w w:val="120"/>
        </w:rPr>
        <w:t>l’organisme</w:t>
      </w:r>
      <w:r>
        <w:rPr>
          <w:color w:val="231F20"/>
          <w:spacing w:val="-7"/>
          <w:w w:val="120"/>
        </w:rPr>
        <w:t> </w:t>
      </w:r>
      <w:r>
        <w:rPr>
          <w:color w:val="231F20"/>
          <w:spacing w:val="-2"/>
          <w:w w:val="120"/>
        </w:rPr>
        <w:t>demeure</w:t>
      </w:r>
      <w:r>
        <w:rPr>
          <w:color w:val="231F20"/>
          <w:spacing w:val="-7"/>
          <w:w w:val="120"/>
        </w:rPr>
        <w:t> </w:t>
      </w:r>
      <w:r>
        <w:rPr>
          <w:color w:val="231F20"/>
          <w:spacing w:val="-2"/>
          <w:w w:val="120"/>
        </w:rPr>
        <w:t>dans</w:t>
      </w:r>
      <w:r>
        <w:rPr>
          <w:color w:val="231F20"/>
          <w:spacing w:val="-7"/>
          <w:w w:val="120"/>
        </w:rPr>
        <w:t> </w:t>
      </w:r>
      <w:r>
        <w:rPr>
          <w:color w:val="231F20"/>
          <w:spacing w:val="-2"/>
          <w:w w:val="120"/>
        </w:rPr>
        <w:t>un</w:t>
      </w:r>
      <w:r>
        <w:rPr>
          <w:color w:val="231F20"/>
          <w:spacing w:val="-7"/>
          <w:w w:val="120"/>
        </w:rPr>
        <w:t> </w:t>
      </w:r>
      <w:r>
        <w:rPr>
          <w:color w:val="231F20"/>
          <w:spacing w:val="-2"/>
          <w:w w:val="120"/>
        </w:rPr>
        <w:t>état</w:t>
      </w:r>
      <w:r>
        <w:rPr>
          <w:color w:val="231F20"/>
          <w:spacing w:val="-7"/>
          <w:w w:val="120"/>
        </w:rPr>
        <w:t> </w:t>
      </w:r>
      <w:r>
        <w:rPr>
          <w:color w:val="231F20"/>
          <w:spacing w:val="-2"/>
          <w:w w:val="120"/>
        </w:rPr>
        <w:t>d’alerte</w:t>
      </w:r>
      <w:r>
        <w:rPr>
          <w:color w:val="231F20"/>
          <w:spacing w:val="-7"/>
          <w:w w:val="120"/>
        </w:rPr>
        <w:t> </w:t>
      </w:r>
      <w:r>
        <w:rPr>
          <w:color w:val="231F20"/>
          <w:spacing w:val="-2"/>
          <w:w w:val="120"/>
        </w:rPr>
        <w:t>constant</w:t>
      </w:r>
      <w:r>
        <w:rPr>
          <w:color w:val="231F20"/>
          <w:spacing w:val="-7"/>
          <w:w w:val="120"/>
        </w:rPr>
        <w:t> </w:t>
      </w:r>
      <w:r>
        <w:rPr>
          <w:color w:val="231F20"/>
          <w:spacing w:val="-2"/>
          <w:w w:val="120"/>
        </w:rPr>
        <w:t>qui </w:t>
      </w:r>
      <w:r>
        <w:rPr>
          <w:color w:val="231F20"/>
          <w:w w:val="120"/>
        </w:rPr>
        <w:t>accélère</w:t>
      </w:r>
      <w:r>
        <w:rPr>
          <w:color w:val="231F20"/>
          <w:spacing w:val="-10"/>
          <w:w w:val="120"/>
        </w:rPr>
        <w:t> </w:t>
      </w:r>
      <w:r>
        <w:rPr>
          <w:color w:val="231F20"/>
          <w:w w:val="120"/>
        </w:rPr>
        <w:t>l’usure</w:t>
      </w:r>
      <w:r>
        <w:rPr>
          <w:color w:val="231F20"/>
          <w:spacing w:val="-10"/>
          <w:w w:val="120"/>
        </w:rPr>
        <w:t> </w:t>
      </w:r>
      <w:r>
        <w:rPr>
          <w:color w:val="231F20"/>
          <w:w w:val="120"/>
        </w:rPr>
        <w:t>des</w:t>
      </w:r>
      <w:r>
        <w:rPr>
          <w:color w:val="231F20"/>
          <w:spacing w:val="-10"/>
          <w:w w:val="120"/>
        </w:rPr>
        <w:t> </w:t>
      </w:r>
      <w:r>
        <w:rPr>
          <w:color w:val="231F20"/>
          <w:w w:val="120"/>
        </w:rPr>
        <w:t>systèmes</w:t>
      </w:r>
      <w:r>
        <w:rPr>
          <w:color w:val="231F20"/>
          <w:spacing w:val="-10"/>
          <w:w w:val="120"/>
        </w:rPr>
        <w:t> </w:t>
      </w:r>
      <w:r>
        <w:rPr>
          <w:color w:val="231F20"/>
          <w:w w:val="120"/>
        </w:rPr>
        <w:t>biologiques.</w:t>
      </w:r>
      <w:r>
        <w:rPr>
          <w:color w:val="231F20"/>
          <w:spacing w:val="-10"/>
          <w:w w:val="120"/>
        </w:rPr>
        <w:t> </w:t>
      </w:r>
      <w:r>
        <w:rPr>
          <w:color w:val="231F20"/>
          <w:w w:val="120"/>
        </w:rPr>
        <w:t>À</w:t>
      </w:r>
      <w:r>
        <w:rPr>
          <w:color w:val="231F20"/>
          <w:spacing w:val="-10"/>
          <w:w w:val="120"/>
        </w:rPr>
        <w:t> </w:t>
      </w:r>
      <w:r>
        <w:rPr>
          <w:color w:val="231F20"/>
          <w:w w:val="120"/>
        </w:rPr>
        <w:t>la</w:t>
      </w:r>
      <w:r>
        <w:rPr>
          <w:color w:val="231F20"/>
          <w:spacing w:val="-10"/>
          <w:w w:val="120"/>
        </w:rPr>
        <w:t> </w:t>
      </w:r>
      <w:r>
        <w:rPr>
          <w:color w:val="231F20"/>
          <w:w w:val="120"/>
        </w:rPr>
        <w:t>longue,</w:t>
      </w:r>
      <w:r>
        <w:rPr>
          <w:color w:val="231F20"/>
          <w:spacing w:val="-10"/>
          <w:w w:val="120"/>
        </w:rPr>
        <w:t> </w:t>
      </w:r>
      <w:r>
        <w:rPr>
          <w:color w:val="231F20"/>
          <w:w w:val="120"/>
        </w:rPr>
        <w:t>cet</w:t>
      </w:r>
      <w:r>
        <w:rPr>
          <w:color w:val="231F20"/>
          <w:spacing w:val="-10"/>
          <w:w w:val="120"/>
        </w:rPr>
        <w:t> </w:t>
      </w:r>
      <w:r>
        <w:rPr>
          <w:color w:val="231F20"/>
          <w:w w:val="120"/>
        </w:rPr>
        <w:t>état</w:t>
      </w:r>
      <w:r>
        <w:rPr>
          <w:color w:val="231F20"/>
          <w:spacing w:val="-10"/>
          <w:w w:val="120"/>
        </w:rPr>
        <w:t> </w:t>
      </w:r>
      <w:r>
        <w:rPr>
          <w:color w:val="231F20"/>
          <w:w w:val="120"/>
        </w:rPr>
        <w:t>d’alerte </w:t>
      </w:r>
      <w:r>
        <w:rPr>
          <w:color w:val="231F20"/>
          <w:w w:val="115"/>
        </w:rPr>
        <w:t>peut</w:t>
      </w:r>
      <w:r>
        <w:rPr>
          <w:color w:val="231F20"/>
          <w:spacing w:val="-7"/>
          <w:w w:val="115"/>
        </w:rPr>
        <w:t> </w:t>
      </w:r>
      <w:r>
        <w:rPr>
          <w:color w:val="231F20"/>
          <w:w w:val="115"/>
        </w:rPr>
        <w:t>mener</w:t>
      </w:r>
      <w:r>
        <w:rPr>
          <w:color w:val="231F20"/>
          <w:spacing w:val="-7"/>
          <w:w w:val="115"/>
        </w:rPr>
        <w:t> </w:t>
      </w:r>
      <w:r>
        <w:rPr>
          <w:color w:val="231F20"/>
          <w:w w:val="115"/>
        </w:rPr>
        <w:t>à</w:t>
      </w:r>
      <w:r>
        <w:rPr>
          <w:color w:val="231F20"/>
          <w:spacing w:val="-7"/>
          <w:w w:val="115"/>
        </w:rPr>
        <w:t> </w:t>
      </w:r>
      <w:r>
        <w:rPr>
          <w:color w:val="231F20"/>
          <w:w w:val="115"/>
        </w:rPr>
        <w:t>l’épuisement</w:t>
      </w:r>
      <w:r>
        <w:rPr>
          <w:color w:val="231F20"/>
          <w:spacing w:val="-7"/>
          <w:w w:val="115"/>
        </w:rPr>
        <w:t> </w:t>
      </w:r>
      <w:r>
        <w:rPr>
          <w:color w:val="231F20"/>
          <w:w w:val="115"/>
        </w:rPr>
        <w:t>ou</w:t>
      </w:r>
      <w:r>
        <w:rPr>
          <w:color w:val="231F20"/>
          <w:spacing w:val="-7"/>
          <w:w w:val="115"/>
        </w:rPr>
        <w:t> </w:t>
      </w:r>
      <w:r>
        <w:rPr>
          <w:color w:val="231F20"/>
          <w:w w:val="115"/>
        </w:rPr>
        <w:t>occasionner</w:t>
      </w:r>
      <w:r>
        <w:rPr>
          <w:color w:val="231F20"/>
          <w:spacing w:val="-7"/>
          <w:w w:val="115"/>
        </w:rPr>
        <w:t> </w:t>
      </w:r>
      <w:r>
        <w:rPr>
          <w:color w:val="231F20"/>
          <w:w w:val="115"/>
        </w:rPr>
        <w:t>des</w:t>
      </w:r>
      <w:r>
        <w:rPr>
          <w:color w:val="231F20"/>
          <w:spacing w:val="-7"/>
          <w:w w:val="115"/>
        </w:rPr>
        <w:t> </w:t>
      </w:r>
      <w:r>
        <w:rPr>
          <w:color w:val="231F20"/>
          <w:w w:val="115"/>
        </w:rPr>
        <w:t>troubles,</w:t>
      </w:r>
      <w:r>
        <w:rPr>
          <w:color w:val="231F20"/>
          <w:spacing w:val="-7"/>
          <w:w w:val="115"/>
        </w:rPr>
        <w:t> </w:t>
      </w:r>
      <w:r>
        <w:rPr>
          <w:color w:val="231F20"/>
          <w:w w:val="115"/>
        </w:rPr>
        <w:t>en</w:t>
      </w:r>
      <w:r>
        <w:rPr>
          <w:color w:val="231F20"/>
          <w:spacing w:val="-7"/>
          <w:w w:val="115"/>
        </w:rPr>
        <w:t> </w:t>
      </w:r>
      <w:r>
        <w:rPr>
          <w:color w:val="231F20"/>
          <w:w w:val="115"/>
        </w:rPr>
        <w:t>plus</w:t>
      </w:r>
      <w:r>
        <w:rPr>
          <w:color w:val="231F20"/>
          <w:spacing w:val="-7"/>
          <w:w w:val="115"/>
        </w:rPr>
        <w:t> </w:t>
      </w:r>
      <w:r>
        <w:rPr>
          <w:color w:val="231F20"/>
          <w:w w:val="115"/>
        </w:rPr>
        <w:t>d’affaiblir </w:t>
      </w:r>
      <w:r>
        <w:rPr>
          <w:color w:val="231F20"/>
          <w:w w:val="120"/>
        </w:rPr>
        <w:t>gravement les mécanismes de défense de l’organisme. Le risque de maladie ou d’accident s’en trouve donc alors accru.</w:t>
      </w:r>
    </w:p>
    <w:p>
      <w:pPr>
        <w:pStyle w:val="BodyText"/>
        <w:rPr>
          <w:sz w:val="20"/>
        </w:rPr>
      </w:pPr>
    </w:p>
    <w:p>
      <w:pPr>
        <w:pStyle w:val="BodyText"/>
        <w:rPr>
          <w:sz w:val="20"/>
        </w:rPr>
      </w:pPr>
    </w:p>
    <w:p>
      <w:pPr>
        <w:pStyle w:val="BodyText"/>
        <w:rPr>
          <w:sz w:val="20"/>
        </w:rPr>
      </w:pPr>
    </w:p>
    <w:p>
      <w:pPr>
        <w:pStyle w:val="BodyText"/>
        <w:spacing w:before="5"/>
        <w:rPr>
          <w:sz w:val="24"/>
        </w:rPr>
      </w:pPr>
      <w:r>
        <w:rPr/>
        <w:pict>
          <v:shape style="position:absolute;margin-left:82pt;margin-top:15.284769pt;width:287.5pt;height:.1pt;mso-position-horizontal-relative:page;mso-position-vertical-relative:paragraph;z-index:-15710720;mso-wrap-distance-left:0;mso-wrap-distance-right:0" id="docshape109" coordorigin="1640,306" coordsize="5750,0" path="m1640,306l7390,306e" filled="false" stroked="true" strokeweight=".25pt" strokecolor="#231f20">
            <v:path arrowok="t"/>
            <v:stroke dashstyle="shortdot"/>
            <w10:wrap type="topAndBottom"/>
          </v:shape>
        </w:pict>
      </w:r>
    </w:p>
    <w:p>
      <w:pPr>
        <w:pStyle w:val="ListParagraph"/>
        <w:numPr>
          <w:ilvl w:val="0"/>
          <w:numId w:val="12"/>
        </w:numPr>
        <w:tabs>
          <w:tab w:pos="1179" w:val="left" w:leader="none"/>
          <w:tab w:pos="1180" w:val="left" w:leader="none"/>
        </w:tabs>
        <w:spacing w:line="240" w:lineRule="auto" w:before="135" w:after="0"/>
        <w:ind w:left="1179" w:right="0" w:hanging="406"/>
        <w:jc w:val="left"/>
        <w:rPr>
          <w:rFonts w:ascii="Arial"/>
          <w:sz w:val="12"/>
        </w:rPr>
      </w:pPr>
      <w:r>
        <w:rPr>
          <w:rFonts w:ascii="Arial"/>
          <w:color w:val="231F20"/>
          <w:sz w:val="12"/>
        </w:rPr>
        <w:t>Ahmad,</w:t>
      </w:r>
      <w:r>
        <w:rPr>
          <w:rFonts w:ascii="Arial"/>
          <w:color w:val="231F20"/>
          <w:spacing w:val="-4"/>
          <w:sz w:val="12"/>
        </w:rPr>
        <w:t> </w:t>
      </w:r>
      <w:r>
        <w:rPr>
          <w:rFonts w:ascii="Arial"/>
          <w:color w:val="231F20"/>
          <w:sz w:val="12"/>
        </w:rPr>
        <w:t>S.</w:t>
      </w:r>
      <w:r>
        <w:rPr>
          <w:rFonts w:ascii="Arial"/>
          <w:color w:val="231F20"/>
          <w:spacing w:val="-4"/>
          <w:sz w:val="12"/>
        </w:rPr>
        <w:t> </w:t>
      </w:r>
      <w:r>
        <w:rPr>
          <w:rFonts w:ascii="Arial"/>
          <w:color w:val="231F20"/>
          <w:sz w:val="12"/>
        </w:rPr>
        <w:t>(2013).</w:t>
      </w:r>
      <w:r>
        <w:rPr>
          <w:rFonts w:ascii="Arial"/>
          <w:color w:val="231F20"/>
          <w:spacing w:val="-4"/>
          <w:sz w:val="12"/>
        </w:rPr>
        <w:t> </w:t>
      </w:r>
      <w:r>
        <w:rPr>
          <w:rFonts w:ascii="Arial"/>
          <w:color w:val="231F20"/>
          <w:sz w:val="12"/>
        </w:rPr>
        <w:t>Paradigms</w:t>
      </w:r>
      <w:r>
        <w:rPr>
          <w:rFonts w:ascii="Arial"/>
          <w:color w:val="231F20"/>
          <w:spacing w:val="-3"/>
          <w:sz w:val="12"/>
        </w:rPr>
        <w:t> </w:t>
      </w:r>
      <w:r>
        <w:rPr>
          <w:rFonts w:ascii="Arial"/>
          <w:color w:val="231F20"/>
          <w:sz w:val="12"/>
        </w:rPr>
        <w:t>of</w:t>
      </w:r>
      <w:r>
        <w:rPr>
          <w:rFonts w:ascii="Arial"/>
          <w:color w:val="231F20"/>
          <w:spacing w:val="-4"/>
          <w:sz w:val="12"/>
        </w:rPr>
        <w:t> </w:t>
      </w:r>
      <w:r>
        <w:rPr>
          <w:rFonts w:ascii="Arial"/>
          <w:color w:val="231F20"/>
          <w:sz w:val="12"/>
        </w:rPr>
        <w:t>quality</w:t>
      </w:r>
      <w:r>
        <w:rPr>
          <w:rFonts w:ascii="Arial"/>
          <w:color w:val="231F20"/>
          <w:spacing w:val="-4"/>
          <w:sz w:val="12"/>
        </w:rPr>
        <w:t> </w:t>
      </w:r>
      <w:r>
        <w:rPr>
          <w:rFonts w:ascii="Arial"/>
          <w:color w:val="231F20"/>
          <w:sz w:val="12"/>
        </w:rPr>
        <w:t>of</w:t>
      </w:r>
      <w:r>
        <w:rPr>
          <w:rFonts w:ascii="Arial"/>
          <w:color w:val="231F20"/>
          <w:spacing w:val="-4"/>
          <w:sz w:val="12"/>
        </w:rPr>
        <w:t> </w:t>
      </w:r>
      <w:r>
        <w:rPr>
          <w:rFonts w:ascii="Arial"/>
          <w:color w:val="231F20"/>
          <w:sz w:val="12"/>
        </w:rPr>
        <w:t>work</w:t>
      </w:r>
      <w:r>
        <w:rPr>
          <w:rFonts w:ascii="Arial"/>
          <w:color w:val="231F20"/>
          <w:spacing w:val="-3"/>
          <w:sz w:val="12"/>
        </w:rPr>
        <w:t> </w:t>
      </w:r>
      <w:r>
        <w:rPr>
          <w:rFonts w:ascii="Arial"/>
          <w:color w:val="231F20"/>
          <w:sz w:val="12"/>
        </w:rPr>
        <w:t>life,</w:t>
      </w:r>
      <w:r>
        <w:rPr>
          <w:rFonts w:ascii="Arial"/>
          <w:color w:val="231F20"/>
          <w:spacing w:val="-4"/>
          <w:sz w:val="12"/>
        </w:rPr>
        <w:t> </w:t>
      </w:r>
      <w:r>
        <w:rPr>
          <w:rFonts w:ascii="Arial"/>
          <w:i/>
          <w:color w:val="231F20"/>
          <w:sz w:val="12"/>
        </w:rPr>
        <w:t>Journal</w:t>
      </w:r>
      <w:r>
        <w:rPr>
          <w:rFonts w:ascii="Arial"/>
          <w:i/>
          <w:color w:val="231F20"/>
          <w:spacing w:val="-4"/>
          <w:sz w:val="12"/>
        </w:rPr>
        <w:t> </w:t>
      </w:r>
      <w:r>
        <w:rPr>
          <w:rFonts w:ascii="Arial"/>
          <w:i/>
          <w:color w:val="231F20"/>
          <w:sz w:val="12"/>
        </w:rPr>
        <w:t>of</w:t>
      </w:r>
      <w:r>
        <w:rPr>
          <w:rFonts w:ascii="Arial"/>
          <w:i/>
          <w:color w:val="231F20"/>
          <w:spacing w:val="-4"/>
          <w:sz w:val="12"/>
        </w:rPr>
        <w:t> </w:t>
      </w:r>
      <w:r>
        <w:rPr>
          <w:rFonts w:ascii="Arial"/>
          <w:i/>
          <w:color w:val="231F20"/>
          <w:sz w:val="12"/>
        </w:rPr>
        <w:t>Human</w:t>
      </w:r>
      <w:r>
        <w:rPr>
          <w:rFonts w:ascii="Arial"/>
          <w:i/>
          <w:color w:val="231F20"/>
          <w:spacing w:val="-3"/>
          <w:sz w:val="12"/>
        </w:rPr>
        <w:t> </w:t>
      </w:r>
      <w:r>
        <w:rPr>
          <w:rFonts w:ascii="Arial"/>
          <w:i/>
          <w:color w:val="231F20"/>
          <w:sz w:val="12"/>
        </w:rPr>
        <w:t>Values</w:t>
      </w:r>
      <w:r>
        <w:rPr>
          <w:rFonts w:ascii="Arial"/>
          <w:color w:val="231F20"/>
          <w:sz w:val="12"/>
        </w:rPr>
        <w:t>,</w:t>
      </w:r>
      <w:r>
        <w:rPr>
          <w:rFonts w:ascii="Arial"/>
          <w:color w:val="231F20"/>
          <w:spacing w:val="-4"/>
          <w:sz w:val="12"/>
        </w:rPr>
        <w:t> </w:t>
      </w:r>
      <w:r>
        <w:rPr>
          <w:rFonts w:ascii="Arial"/>
          <w:i/>
          <w:color w:val="231F20"/>
          <w:sz w:val="12"/>
        </w:rPr>
        <w:t>19</w:t>
      </w:r>
      <w:r>
        <w:rPr>
          <w:rFonts w:ascii="Arial"/>
          <w:color w:val="231F20"/>
          <w:sz w:val="12"/>
        </w:rPr>
        <w:t>,</w:t>
      </w:r>
      <w:r>
        <w:rPr>
          <w:rFonts w:ascii="Arial"/>
          <w:color w:val="231F20"/>
          <w:spacing w:val="-4"/>
          <w:sz w:val="12"/>
        </w:rPr>
        <w:t> </w:t>
      </w:r>
      <w:r>
        <w:rPr>
          <w:rFonts w:ascii="Arial"/>
          <w:color w:val="231F20"/>
          <w:sz w:val="12"/>
        </w:rPr>
        <w:t>73-</w:t>
      </w:r>
      <w:r>
        <w:rPr>
          <w:rFonts w:ascii="Arial"/>
          <w:color w:val="231F20"/>
          <w:spacing w:val="-5"/>
          <w:sz w:val="12"/>
        </w:rPr>
        <w:t>82.</w:t>
      </w:r>
    </w:p>
    <w:p>
      <w:pPr>
        <w:spacing w:after="0" w:line="240" w:lineRule="auto"/>
        <w:jc w:val="left"/>
        <w:rPr>
          <w:rFonts w:ascii="Arial"/>
          <w:sz w:val="12"/>
        </w:rPr>
        <w:sectPr>
          <w:type w:val="continuous"/>
          <w:pgSz w:w="8640" w:h="12960"/>
          <w:pgMar w:header="0" w:footer="424" w:top="1220" w:bottom="280" w:left="460" w:right="1000"/>
        </w:sectPr>
      </w:pPr>
    </w:p>
    <w:p>
      <w:pPr>
        <w:spacing w:before="103"/>
        <w:ind w:left="150" w:right="0" w:firstLine="0"/>
        <w:jc w:val="center"/>
        <w:rPr>
          <w:rFonts w:ascii="Arial" w:hAnsi="Arial"/>
          <w:sz w:val="14"/>
        </w:rPr>
      </w:pPr>
      <w:bookmarkStart w:name=" 1.5 / Grands paradoxes du stress" w:id="22"/>
      <w:bookmarkEnd w:id="22"/>
      <w:r>
        <w:rPr/>
      </w:r>
      <w:bookmarkStart w:name=" 1.5.1 / Premier paradoxe – la banalisat" w:id="23"/>
      <w:bookmarkEnd w:id="23"/>
      <w:r>
        <w:rPr/>
      </w:r>
      <w:bookmarkStart w:name="_bookmark9" w:id="24"/>
      <w:bookmarkEnd w:id="2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89" w:right="632" w:firstLine="250"/>
        <w:jc w:val="both"/>
      </w:pPr>
      <w:r>
        <w:rPr>
          <w:color w:val="231F20"/>
          <w:w w:val="120"/>
        </w:rPr>
        <w:t>Au</w:t>
      </w:r>
      <w:r>
        <w:rPr>
          <w:color w:val="231F20"/>
          <w:spacing w:val="-1"/>
          <w:w w:val="120"/>
        </w:rPr>
        <w:t> </w:t>
      </w:r>
      <w:r>
        <w:rPr>
          <w:color w:val="231F20"/>
          <w:w w:val="120"/>
        </w:rPr>
        <w:t>cours</w:t>
      </w:r>
      <w:r>
        <w:rPr>
          <w:color w:val="231F20"/>
          <w:spacing w:val="-1"/>
          <w:w w:val="120"/>
        </w:rPr>
        <w:t> </w:t>
      </w:r>
      <w:r>
        <w:rPr>
          <w:color w:val="231F20"/>
          <w:w w:val="120"/>
        </w:rPr>
        <w:t>des</w:t>
      </w:r>
      <w:r>
        <w:rPr>
          <w:color w:val="231F20"/>
          <w:spacing w:val="-1"/>
          <w:w w:val="120"/>
        </w:rPr>
        <w:t> </w:t>
      </w:r>
      <w:r>
        <w:rPr>
          <w:color w:val="231F20"/>
          <w:w w:val="120"/>
        </w:rPr>
        <w:t>20</w:t>
      </w:r>
      <w:r>
        <w:rPr>
          <w:color w:val="231F20"/>
          <w:spacing w:val="-1"/>
          <w:w w:val="120"/>
        </w:rPr>
        <w:t> </w:t>
      </w:r>
      <w:r>
        <w:rPr>
          <w:color w:val="231F20"/>
          <w:w w:val="120"/>
        </w:rPr>
        <w:t>dernières</w:t>
      </w:r>
      <w:r>
        <w:rPr>
          <w:color w:val="231F20"/>
          <w:spacing w:val="-1"/>
          <w:w w:val="120"/>
        </w:rPr>
        <w:t> </w:t>
      </w:r>
      <w:r>
        <w:rPr>
          <w:color w:val="231F20"/>
          <w:w w:val="120"/>
        </w:rPr>
        <w:t>années,</w:t>
      </w:r>
      <w:r>
        <w:rPr>
          <w:color w:val="231F20"/>
          <w:spacing w:val="-1"/>
          <w:w w:val="120"/>
        </w:rPr>
        <w:t> </w:t>
      </w:r>
      <w:r>
        <w:rPr>
          <w:color w:val="231F20"/>
          <w:w w:val="120"/>
        </w:rPr>
        <w:t>nombre</w:t>
      </w:r>
      <w:r>
        <w:rPr>
          <w:color w:val="231F20"/>
          <w:spacing w:val="-1"/>
          <w:w w:val="120"/>
        </w:rPr>
        <w:t> </w:t>
      </w:r>
      <w:r>
        <w:rPr>
          <w:color w:val="231F20"/>
          <w:w w:val="120"/>
        </w:rPr>
        <w:t>d’études</w:t>
      </w:r>
      <w:r>
        <w:rPr>
          <w:color w:val="231F20"/>
          <w:spacing w:val="-1"/>
          <w:w w:val="120"/>
        </w:rPr>
        <w:t> </w:t>
      </w:r>
      <w:r>
        <w:rPr>
          <w:color w:val="231F20"/>
          <w:w w:val="120"/>
        </w:rPr>
        <w:t>ont</w:t>
      </w:r>
      <w:r>
        <w:rPr>
          <w:color w:val="231F20"/>
          <w:spacing w:val="-1"/>
          <w:w w:val="120"/>
        </w:rPr>
        <w:t> </w:t>
      </w:r>
      <w:r>
        <w:rPr>
          <w:color w:val="231F20"/>
          <w:w w:val="120"/>
        </w:rPr>
        <w:t>porté</w:t>
      </w:r>
      <w:r>
        <w:rPr>
          <w:color w:val="231F20"/>
          <w:spacing w:val="-1"/>
          <w:w w:val="120"/>
        </w:rPr>
        <w:t> </w:t>
      </w:r>
      <w:r>
        <w:rPr>
          <w:color w:val="231F20"/>
          <w:w w:val="120"/>
        </w:rPr>
        <w:t>sur</w:t>
      </w:r>
      <w:r>
        <w:rPr>
          <w:color w:val="231F20"/>
          <w:spacing w:val="-1"/>
          <w:w w:val="120"/>
        </w:rPr>
        <w:t> </w:t>
      </w:r>
      <w:r>
        <w:rPr>
          <w:color w:val="231F20"/>
          <w:w w:val="120"/>
        </w:rPr>
        <w:t>le lien entre le stress professionnel et diverses maladies. D’après ce que </w:t>
      </w:r>
      <w:r>
        <w:rPr>
          <w:color w:val="231F20"/>
          <w:spacing w:val="-4"/>
          <w:w w:val="120"/>
        </w:rPr>
        <w:t>révèlent ces études, les changements d’humeur, la perturbation des cycles </w:t>
      </w:r>
      <w:r>
        <w:rPr>
          <w:color w:val="231F20"/>
          <w:w w:val="120"/>
        </w:rPr>
        <w:t>du</w:t>
      </w:r>
      <w:r>
        <w:rPr>
          <w:color w:val="231F20"/>
          <w:spacing w:val="-13"/>
          <w:w w:val="120"/>
        </w:rPr>
        <w:t> </w:t>
      </w:r>
      <w:r>
        <w:rPr>
          <w:color w:val="231F20"/>
          <w:w w:val="120"/>
        </w:rPr>
        <w:t>sommeil,</w:t>
      </w:r>
      <w:r>
        <w:rPr>
          <w:color w:val="231F20"/>
          <w:spacing w:val="-13"/>
          <w:w w:val="120"/>
        </w:rPr>
        <w:t> </w:t>
      </w:r>
      <w:r>
        <w:rPr>
          <w:color w:val="231F20"/>
          <w:w w:val="120"/>
        </w:rPr>
        <w:t>les</w:t>
      </w:r>
      <w:r>
        <w:rPr>
          <w:color w:val="231F20"/>
          <w:spacing w:val="-13"/>
          <w:w w:val="120"/>
        </w:rPr>
        <w:t> </w:t>
      </w:r>
      <w:r>
        <w:rPr>
          <w:color w:val="231F20"/>
          <w:w w:val="120"/>
        </w:rPr>
        <w:t>troubles</w:t>
      </w:r>
      <w:r>
        <w:rPr>
          <w:color w:val="231F20"/>
          <w:spacing w:val="-12"/>
          <w:w w:val="120"/>
        </w:rPr>
        <w:t> </w:t>
      </w:r>
      <w:r>
        <w:rPr>
          <w:color w:val="231F20"/>
          <w:w w:val="120"/>
        </w:rPr>
        <w:t>gastro-intestinaux,</w:t>
      </w:r>
      <w:r>
        <w:rPr>
          <w:color w:val="231F20"/>
          <w:spacing w:val="-13"/>
          <w:w w:val="120"/>
        </w:rPr>
        <w:t> </w:t>
      </w:r>
      <w:r>
        <w:rPr>
          <w:color w:val="231F20"/>
          <w:w w:val="120"/>
        </w:rPr>
        <w:t>les</w:t>
      </w:r>
      <w:r>
        <w:rPr>
          <w:color w:val="231F20"/>
          <w:spacing w:val="-13"/>
          <w:w w:val="120"/>
        </w:rPr>
        <w:t> </w:t>
      </w:r>
      <w:r>
        <w:rPr>
          <w:color w:val="231F20"/>
          <w:w w:val="120"/>
        </w:rPr>
        <w:t>céphalées</w:t>
      </w:r>
      <w:r>
        <w:rPr>
          <w:color w:val="231F20"/>
          <w:spacing w:val="-13"/>
          <w:w w:val="120"/>
        </w:rPr>
        <w:t> </w:t>
      </w:r>
      <w:r>
        <w:rPr>
          <w:color w:val="231F20"/>
          <w:w w:val="120"/>
        </w:rPr>
        <w:t>et</w:t>
      </w:r>
      <w:r>
        <w:rPr>
          <w:color w:val="231F20"/>
          <w:spacing w:val="-12"/>
          <w:w w:val="120"/>
        </w:rPr>
        <w:t> </w:t>
      </w:r>
      <w:r>
        <w:rPr>
          <w:color w:val="231F20"/>
          <w:w w:val="120"/>
        </w:rPr>
        <w:t>les</w:t>
      </w:r>
      <w:r>
        <w:rPr>
          <w:color w:val="231F20"/>
          <w:spacing w:val="-13"/>
          <w:w w:val="120"/>
        </w:rPr>
        <w:t> </w:t>
      </w:r>
      <w:r>
        <w:rPr>
          <w:color w:val="231F20"/>
          <w:w w:val="120"/>
        </w:rPr>
        <w:t>change- ments</w:t>
      </w:r>
      <w:r>
        <w:rPr>
          <w:color w:val="231F20"/>
          <w:spacing w:val="-3"/>
          <w:w w:val="120"/>
        </w:rPr>
        <w:t> </w:t>
      </w:r>
      <w:r>
        <w:rPr>
          <w:color w:val="231F20"/>
          <w:w w:val="120"/>
        </w:rPr>
        <w:t>de</w:t>
      </w:r>
      <w:r>
        <w:rPr>
          <w:color w:val="231F20"/>
          <w:spacing w:val="-3"/>
          <w:w w:val="120"/>
        </w:rPr>
        <w:t> </w:t>
      </w:r>
      <w:r>
        <w:rPr>
          <w:color w:val="231F20"/>
          <w:w w:val="120"/>
        </w:rPr>
        <w:t>comportements</w:t>
      </w:r>
      <w:r>
        <w:rPr>
          <w:color w:val="231F20"/>
          <w:spacing w:val="-3"/>
          <w:w w:val="120"/>
        </w:rPr>
        <w:t> </w:t>
      </w:r>
      <w:r>
        <w:rPr>
          <w:color w:val="231F20"/>
          <w:w w:val="120"/>
        </w:rPr>
        <w:t>sociaux</w:t>
      </w:r>
      <w:r>
        <w:rPr>
          <w:color w:val="231F20"/>
          <w:spacing w:val="-3"/>
          <w:w w:val="120"/>
        </w:rPr>
        <w:t> </w:t>
      </w:r>
      <w:r>
        <w:rPr>
          <w:color w:val="231F20"/>
          <w:w w:val="120"/>
        </w:rPr>
        <w:t>envers</w:t>
      </w:r>
      <w:r>
        <w:rPr>
          <w:color w:val="231F20"/>
          <w:spacing w:val="-3"/>
          <w:w w:val="120"/>
        </w:rPr>
        <w:t> </w:t>
      </w:r>
      <w:r>
        <w:rPr>
          <w:color w:val="231F20"/>
          <w:w w:val="120"/>
        </w:rPr>
        <w:t>la</w:t>
      </w:r>
      <w:r>
        <w:rPr>
          <w:color w:val="231F20"/>
          <w:spacing w:val="-3"/>
          <w:w w:val="120"/>
        </w:rPr>
        <w:t> </w:t>
      </w:r>
      <w:r>
        <w:rPr>
          <w:color w:val="231F20"/>
          <w:w w:val="120"/>
        </w:rPr>
        <w:t>famille</w:t>
      </w:r>
      <w:r>
        <w:rPr>
          <w:color w:val="231F20"/>
          <w:spacing w:val="-3"/>
          <w:w w:val="120"/>
        </w:rPr>
        <w:t> </w:t>
      </w:r>
      <w:r>
        <w:rPr>
          <w:color w:val="231F20"/>
          <w:w w:val="120"/>
        </w:rPr>
        <w:t>et</w:t>
      </w:r>
      <w:r>
        <w:rPr>
          <w:color w:val="231F20"/>
          <w:spacing w:val="-3"/>
          <w:w w:val="120"/>
        </w:rPr>
        <w:t> </w:t>
      </w:r>
      <w:r>
        <w:rPr>
          <w:color w:val="231F20"/>
          <w:w w:val="120"/>
        </w:rPr>
        <w:t>les</w:t>
      </w:r>
      <w:r>
        <w:rPr>
          <w:color w:val="231F20"/>
          <w:spacing w:val="-3"/>
          <w:w w:val="120"/>
        </w:rPr>
        <w:t> </w:t>
      </w:r>
      <w:r>
        <w:rPr>
          <w:color w:val="231F20"/>
          <w:w w:val="120"/>
        </w:rPr>
        <w:t>amis</w:t>
      </w:r>
      <w:r>
        <w:rPr>
          <w:color w:val="231F20"/>
          <w:spacing w:val="-3"/>
          <w:w w:val="120"/>
        </w:rPr>
        <w:t> </w:t>
      </w:r>
      <w:r>
        <w:rPr>
          <w:color w:val="231F20"/>
          <w:w w:val="120"/>
        </w:rPr>
        <w:t>sont</w:t>
      </w:r>
      <w:r>
        <w:rPr>
          <w:color w:val="231F20"/>
          <w:spacing w:val="-3"/>
          <w:w w:val="120"/>
        </w:rPr>
        <w:t> </w:t>
      </w:r>
      <w:r>
        <w:rPr>
          <w:color w:val="231F20"/>
          <w:w w:val="120"/>
        </w:rPr>
        <w:t>des problèmes</w:t>
      </w:r>
      <w:r>
        <w:rPr>
          <w:color w:val="231F20"/>
          <w:spacing w:val="-13"/>
          <w:w w:val="120"/>
        </w:rPr>
        <w:t> </w:t>
      </w:r>
      <w:r>
        <w:rPr>
          <w:color w:val="231F20"/>
          <w:w w:val="120"/>
        </w:rPr>
        <w:t>fréquemment</w:t>
      </w:r>
      <w:r>
        <w:rPr>
          <w:color w:val="231F20"/>
          <w:spacing w:val="-13"/>
          <w:w w:val="120"/>
        </w:rPr>
        <w:t> </w:t>
      </w:r>
      <w:r>
        <w:rPr>
          <w:color w:val="231F20"/>
          <w:w w:val="120"/>
        </w:rPr>
        <w:t>associés</w:t>
      </w:r>
      <w:r>
        <w:rPr>
          <w:color w:val="231F20"/>
          <w:spacing w:val="-13"/>
          <w:w w:val="120"/>
        </w:rPr>
        <w:t> </w:t>
      </w:r>
      <w:r>
        <w:rPr>
          <w:color w:val="231F20"/>
          <w:w w:val="120"/>
        </w:rPr>
        <w:t>au</w:t>
      </w:r>
      <w:r>
        <w:rPr>
          <w:color w:val="231F20"/>
          <w:spacing w:val="-12"/>
          <w:w w:val="120"/>
        </w:rPr>
        <w:t> </w:t>
      </w:r>
      <w:r>
        <w:rPr>
          <w:color w:val="231F20"/>
          <w:w w:val="120"/>
        </w:rPr>
        <w:t>stress</w:t>
      </w:r>
      <w:r>
        <w:rPr>
          <w:color w:val="231F20"/>
          <w:spacing w:val="-13"/>
          <w:w w:val="120"/>
        </w:rPr>
        <w:t> </w:t>
      </w:r>
      <w:r>
        <w:rPr>
          <w:color w:val="231F20"/>
          <w:w w:val="120"/>
        </w:rPr>
        <w:t>et</w:t>
      </w:r>
      <w:r>
        <w:rPr>
          <w:color w:val="231F20"/>
          <w:spacing w:val="-13"/>
          <w:w w:val="120"/>
        </w:rPr>
        <w:t> </w:t>
      </w:r>
      <w:r>
        <w:rPr>
          <w:color w:val="231F20"/>
          <w:w w:val="120"/>
        </w:rPr>
        <w:t>qui</w:t>
      </w:r>
      <w:r>
        <w:rPr>
          <w:color w:val="231F20"/>
          <w:spacing w:val="-13"/>
          <w:w w:val="120"/>
        </w:rPr>
        <w:t> </w:t>
      </w:r>
      <w:r>
        <w:rPr>
          <w:color w:val="231F20"/>
          <w:w w:val="120"/>
        </w:rPr>
        <w:t>se</w:t>
      </w:r>
      <w:r>
        <w:rPr>
          <w:color w:val="231F20"/>
          <w:spacing w:val="-12"/>
          <w:w w:val="120"/>
        </w:rPr>
        <w:t> </w:t>
      </w:r>
      <w:r>
        <w:rPr>
          <w:color w:val="231F20"/>
          <w:w w:val="120"/>
        </w:rPr>
        <w:t>développent</w:t>
      </w:r>
      <w:r>
        <w:rPr>
          <w:color w:val="231F20"/>
          <w:spacing w:val="-13"/>
          <w:w w:val="120"/>
        </w:rPr>
        <w:t> </w:t>
      </w:r>
      <w:r>
        <w:rPr>
          <w:color w:val="231F20"/>
          <w:w w:val="120"/>
        </w:rPr>
        <w:t>rapide- ment. Ces symptômes précoces du stress lié au travail sont habituelle- ment faciles à reconnaître. Mais le lien entre le stress professionnel et l’apparition de maladies chroniques est plus difficile à établir, car ces affections se développent lentement et peuvent dépendre d’une multi- tude</w:t>
      </w:r>
      <w:r>
        <w:rPr>
          <w:color w:val="231F20"/>
          <w:spacing w:val="-6"/>
          <w:w w:val="120"/>
        </w:rPr>
        <w:t> </w:t>
      </w:r>
      <w:r>
        <w:rPr>
          <w:color w:val="231F20"/>
          <w:w w:val="120"/>
        </w:rPr>
        <w:t>d’autres</w:t>
      </w:r>
      <w:r>
        <w:rPr>
          <w:color w:val="231F20"/>
          <w:spacing w:val="-6"/>
          <w:w w:val="120"/>
        </w:rPr>
        <w:t> </w:t>
      </w:r>
      <w:r>
        <w:rPr>
          <w:color w:val="231F20"/>
          <w:w w:val="120"/>
        </w:rPr>
        <w:t>facteurs.</w:t>
      </w:r>
      <w:r>
        <w:rPr>
          <w:color w:val="231F20"/>
          <w:spacing w:val="-6"/>
          <w:w w:val="120"/>
        </w:rPr>
        <w:t> </w:t>
      </w:r>
      <w:r>
        <w:rPr>
          <w:color w:val="231F20"/>
          <w:w w:val="120"/>
        </w:rPr>
        <w:t>Cependant,</w:t>
      </w:r>
      <w:r>
        <w:rPr>
          <w:color w:val="231F20"/>
          <w:spacing w:val="-6"/>
          <w:w w:val="120"/>
        </w:rPr>
        <w:t> </w:t>
      </w:r>
      <w:r>
        <w:rPr>
          <w:color w:val="231F20"/>
          <w:w w:val="120"/>
        </w:rPr>
        <w:t>les</w:t>
      </w:r>
      <w:r>
        <w:rPr>
          <w:color w:val="231F20"/>
          <w:spacing w:val="-6"/>
          <w:w w:val="120"/>
        </w:rPr>
        <w:t> </w:t>
      </w:r>
      <w:r>
        <w:rPr>
          <w:color w:val="231F20"/>
          <w:w w:val="120"/>
        </w:rPr>
        <w:t>données</w:t>
      </w:r>
      <w:r>
        <w:rPr>
          <w:color w:val="231F20"/>
          <w:spacing w:val="-6"/>
          <w:w w:val="120"/>
        </w:rPr>
        <w:t> </w:t>
      </w:r>
      <w:r>
        <w:rPr>
          <w:color w:val="231F20"/>
          <w:w w:val="120"/>
        </w:rPr>
        <w:t>sur</w:t>
      </w:r>
      <w:r>
        <w:rPr>
          <w:color w:val="231F20"/>
          <w:spacing w:val="-6"/>
          <w:w w:val="120"/>
        </w:rPr>
        <w:t> </w:t>
      </w:r>
      <w:r>
        <w:rPr>
          <w:color w:val="231F20"/>
          <w:w w:val="120"/>
        </w:rPr>
        <w:t>le</w:t>
      </w:r>
      <w:r>
        <w:rPr>
          <w:color w:val="231F20"/>
          <w:spacing w:val="-6"/>
          <w:w w:val="120"/>
        </w:rPr>
        <w:t> </w:t>
      </w:r>
      <w:r>
        <w:rPr>
          <w:color w:val="231F20"/>
          <w:w w:val="120"/>
        </w:rPr>
        <w:t>sujet</w:t>
      </w:r>
      <w:r>
        <w:rPr>
          <w:color w:val="231F20"/>
          <w:spacing w:val="-6"/>
          <w:w w:val="120"/>
        </w:rPr>
        <w:t> </w:t>
      </w:r>
      <w:r>
        <w:rPr>
          <w:color w:val="231F20"/>
          <w:w w:val="120"/>
        </w:rPr>
        <w:t>nous</w:t>
      </w:r>
      <w:r>
        <w:rPr>
          <w:color w:val="231F20"/>
          <w:spacing w:val="-6"/>
          <w:w w:val="120"/>
        </w:rPr>
        <w:t> </w:t>
      </w:r>
      <w:r>
        <w:rPr>
          <w:color w:val="231F20"/>
          <w:w w:val="120"/>
        </w:rPr>
        <w:t>portent de</w:t>
      </w:r>
      <w:r>
        <w:rPr>
          <w:color w:val="231F20"/>
          <w:spacing w:val="-4"/>
          <w:w w:val="120"/>
        </w:rPr>
        <w:t> </w:t>
      </w:r>
      <w:r>
        <w:rPr>
          <w:color w:val="231F20"/>
          <w:w w:val="120"/>
        </w:rPr>
        <w:t>plus</w:t>
      </w:r>
      <w:r>
        <w:rPr>
          <w:color w:val="231F20"/>
          <w:spacing w:val="-4"/>
          <w:w w:val="120"/>
        </w:rPr>
        <w:t> </w:t>
      </w:r>
      <w:r>
        <w:rPr>
          <w:color w:val="231F20"/>
          <w:w w:val="120"/>
        </w:rPr>
        <w:t>en</w:t>
      </w:r>
      <w:r>
        <w:rPr>
          <w:color w:val="231F20"/>
          <w:spacing w:val="-4"/>
          <w:w w:val="120"/>
        </w:rPr>
        <w:t> </w:t>
      </w:r>
      <w:r>
        <w:rPr>
          <w:color w:val="231F20"/>
          <w:w w:val="120"/>
        </w:rPr>
        <w:t>plus</w:t>
      </w:r>
      <w:r>
        <w:rPr>
          <w:color w:val="231F20"/>
          <w:spacing w:val="-4"/>
          <w:w w:val="120"/>
        </w:rPr>
        <w:t> </w:t>
      </w:r>
      <w:r>
        <w:rPr>
          <w:color w:val="231F20"/>
          <w:w w:val="120"/>
        </w:rPr>
        <w:t>à</w:t>
      </w:r>
      <w:r>
        <w:rPr>
          <w:color w:val="231F20"/>
          <w:spacing w:val="-4"/>
          <w:w w:val="120"/>
        </w:rPr>
        <w:t> </w:t>
      </w:r>
      <w:r>
        <w:rPr>
          <w:color w:val="231F20"/>
          <w:w w:val="120"/>
        </w:rPr>
        <w:t>considérer</w:t>
      </w:r>
      <w:r>
        <w:rPr>
          <w:color w:val="231F20"/>
          <w:spacing w:val="-4"/>
          <w:w w:val="120"/>
        </w:rPr>
        <w:t> </w:t>
      </w:r>
      <w:r>
        <w:rPr>
          <w:color w:val="231F20"/>
          <w:w w:val="120"/>
        </w:rPr>
        <w:t>que</w:t>
      </w:r>
      <w:r>
        <w:rPr>
          <w:color w:val="231F20"/>
          <w:spacing w:val="-4"/>
          <w:w w:val="120"/>
        </w:rPr>
        <w:t> </w:t>
      </w:r>
      <w:r>
        <w:rPr>
          <w:color w:val="231F20"/>
          <w:w w:val="120"/>
        </w:rPr>
        <w:t>le</w:t>
      </w:r>
      <w:r>
        <w:rPr>
          <w:color w:val="231F20"/>
          <w:spacing w:val="-4"/>
          <w:w w:val="120"/>
        </w:rPr>
        <w:t> </w:t>
      </w:r>
      <w:r>
        <w:rPr>
          <w:color w:val="231F20"/>
          <w:w w:val="120"/>
        </w:rPr>
        <w:t>stress</w:t>
      </w:r>
      <w:r>
        <w:rPr>
          <w:color w:val="231F20"/>
          <w:spacing w:val="-4"/>
          <w:w w:val="120"/>
        </w:rPr>
        <w:t> </w:t>
      </w:r>
      <w:r>
        <w:rPr>
          <w:color w:val="231F20"/>
          <w:w w:val="120"/>
        </w:rPr>
        <w:t>joue</w:t>
      </w:r>
      <w:r>
        <w:rPr>
          <w:color w:val="231F20"/>
          <w:spacing w:val="-4"/>
          <w:w w:val="120"/>
        </w:rPr>
        <w:t> </w:t>
      </w:r>
      <w:r>
        <w:rPr>
          <w:color w:val="231F20"/>
          <w:w w:val="120"/>
        </w:rPr>
        <w:t>un</w:t>
      </w:r>
      <w:r>
        <w:rPr>
          <w:color w:val="231F20"/>
          <w:spacing w:val="-4"/>
          <w:w w:val="120"/>
        </w:rPr>
        <w:t> </w:t>
      </w:r>
      <w:r>
        <w:rPr>
          <w:color w:val="231F20"/>
          <w:w w:val="120"/>
        </w:rPr>
        <w:t>rôle</w:t>
      </w:r>
      <w:r>
        <w:rPr>
          <w:color w:val="231F20"/>
          <w:spacing w:val="-4"/>
          <w:w w:val="120"/>
        </w:rPr>
        <w:t> </w:t>
      </w:r>
      <w:r>
        <w:rPr>
          <w:color w:val="231F20"/>
          <w:w w:val="120"/>
        </w:rPr>
        <w:t>dans</w:t>
      </w:r>
      <w:r>
        <w:rPr>
          <w:color w:val="231F20"/>
          <w:spacing w:val="-4"/>
          <w:w w:val="120"/>
        </w:rPr>
        <w:t> </w:t>
      </w:r>
      <w:r>
        <w:rPr>
          <w:color w:val="231F20"/>
          <w:w w:val="120"/>
        </w:rPr>
        <w:t>l’apparition </w:t>
      </w:r>
      <w:r>
        <w:rPr>
          <w:color w:val="231F20"/>
          <w:spacing w:val="-2"/>
          <w:w w:val="120"/>
        </w:rPr>
        <w:t>de</w:t>
      </w:r>
      <w:r>
        <w:rPr>
          <w:color w:val="231F20"/>
          <w:spacing w:val="-5"/>
          <w:w w:val="120"/>
        </w:rPr>
        <w:t> </w:t>
      </w:r>
      <w:r>
        <w:rPr>
          <w:color w:val="231F20"/>
          <w:spacing w:val="-2"/>
          <w:w w:val="120"/>
        </w:rPr>
        <w:t>divers</w:t>
      </w:r>
      <w:r>
        <w:rPr>
          <w:color w:val="231F20"/>
          <w:spacing w:val="-5"/>
          <w:w w:val="120"/>
        </w:rPr>
        <w:t> </w:t>
      </w:r>
      <w:r>
        <w:rPr>
          <w:color w:val="231F20"/>
          <w:spacing w:val="-2"/>
          <w:w w:val="120"/>
        </w:rPr>
        <w:t>problèmes</w:t>
      </w:r>
      <w:r>
        <w:rPr>
          <w:color w:val="231F20"/>
          <w:spacing w:val="-5"/>
          <w:w w:val="120"/>
        </w:rPr>
        <w:t> </w:t>
      </w:r>
      <w:r>
        <w:rPr>
          <w:color w:val="231F20"/>
          <w:spacing w:val="-2"/>
          <w:w w:val="120"/>
        </w:rPr>
        <w:t>de</w:t>
      </w:r>
      <w:r>
        <w:rPr>
          <w:color w:val="231F20"/>
          <w:spacing w:val="-5"/>
          <w:w w:val="120"/>
        </w:rPr>
        <w:t> </w:t>
      </w:r>
      <w:r>
        <w:rPr>
          <w:color w:val="231F20"/>
          <w:spacing w:val="-2"/>
          <w:w w:val="120"/>
        </w:rPr>
        <w:t>santé,</w:t>
      </w:r>
      <w:r>
        <w:rPr>
          <w:color w:val="231F20"/>
          <w:spacing w:val="-5"/>
          <w:w w:val="120"/>
        </w:rPr>
        <w:t> </w:t>
      </w:r>
      <w:r>
        <w:rPr>
          <w:color w:val="231F20"/>
          <w:spacing w:val="-2"/>
          <w:w w:val="120"/>
        </w:rPr>
        <w:t>notamment</w:t>
      </w:r>
      <w:r>
        <w:rPr>
          <w:color w:val="231F20"/>
          <w:spacing w:val="-5"/>
          <w:w w:val="120"/>
        </w:rPr>
        <w:t> </w:t>
      </w:r>
      <w:r>
        <w:rPr>
          <w:color w:val="231F20"/>
          <w:spacing w:val="-2"/>
          <w:w w:val="120"/>
        </w:rPr>
        <w:t>les</w:t>
      </w:r>
      <w:r>
        <w:rPr>
          <w:color w:val="231F20"/>
          <w:spacing w:val="-5"/>
          <w:w w:val="120"/>
        </w:rPr>
        <w:t> </w:t>
      </w:r>
      <w:r>
        <w:rPr>
          <w:color w:val="231F20"/>
          <w:spacing w:val="-2"/>
          <w:w w:val="120"/>
        </w:rPr>
        <w:t>troubles</w:t>
      </w:r>
      <w:r>
        <w:rPr>
          <w:color w:val="231F20"/>
          <w:spacing w:val="-5"/>
          <w:w w:val="120"/>
        </w:rPr>
        <w:t> </w:t>
      </w:r>
      <w:r>
        <w:rPr>
          <w:color w:val="231F20"/>
          <w:spacing w:val="-2"/>
          <w:w w:val="120"/>
        </w:rPr>
        <w:t>cardiovasculaires, </w:t>
      </w:r>
      <w:r>
        <w:rPr>
          <w:color w:val="231F20"/>
          <w:w w:val="120"/>
        </w:rPr>
        <w:t>musculosquelettiques et psychologiques.</w:t>
      </w:r>
    </w:p>
    <w:p>
      <w:pPr>
        <w:pStyle w:val="BodyText"/>
        <w:rPr>
          <w:sz w:val="24"/>
        </w:rPr>
      </w:pPr>
    </w:p>
    <w:p>
      <w:pPr>
        <w:pStyle w:val="Heading2"/>
        <w:numPr>
          <w:ilvl w:val="1"/>
          <w:numId w:val="11"/>
        </w:numPr>
        <w:tabs>
          <w:tab w:pos="481" w:val="left" w:leader="none"/>
          <w:tab w:pos="789" w:val="left" w:leader="none"/>
        </w:tabs>
        <w:spacing w:line="240" w:lineRule="auto" w:before="183" w:after="0"/>
        <w:ind w:left="480" w:right="0" w:hanging="278"/>
        <w:jc w:val="left"/>
      </w:pPr>
      <w:r>
        <w:rPr>
          <w:b w:val="0"/>
          <w:i/>
          <w:color w:val="231F20"/>
          <w:spacing w:val="-10"/>
        </w:rPr>
        <w:t>/</w:t>
      </w:r>
      <w:r>
        <w:rPr>
          <w:b w:val="0"/>
          <w:i/>
          <w:color w:val="231F20"/>
        </w:rPr>
        <w:tab/>
      </w:r>
      <w:r>
        <w:rPr>
          <w:color w:val="231F20"/>
          <w:w w:val="90"/>
        </w:rPr>
        <w:t>Grands</w:t>
      </w:r>
      <w:r>
        <w:rPr>
          <w:color w:val="231F20"/>
          <w:spacing w:val="7"/>
        </w:rPr>
        <w:t> </w:t>
      </w:r>
      <w:r>
        <w:rPr>
          <w:color w:val="231F20"/>
          <w:w w:val="90"/>
        </w:rPr>
        <w:t>paradoxes</w:t>
      </w:r>
      <w:r>
        <w:rPr>
          <w:color w:val="231F20"/>
          <w:spacing w:val="7"/>
        </w:rPr>
        <w:t> </w:t>
      </w:r>
      <w:r>
        <w:rPr>
          <w:color w:val="231F20"/>
          <w:w w:val="90"/>
        </w:rPr>
        <w:t>du</w:t>
      </w:r>
      <w:r>
        <w:rPr>
          <w:color w:val="231F20"/>
          <w:spacing w:val="7"/>
        </w:rPr>
        <w:t> </w:t>
      </w:r>
      <w:r>
        <w:rPr>
          <w:color w:val="231F20"/>
          <w:spacing w:val="-2"/>
          <w:w w:val="90"/>
        </w:rPr>
        <w:t>stress</w:t>
      </w:r>
    </w:p>
    <w:p>
      <w:pPr>
        <w:pStyle w:val="BodyText"/>
        <w:spacing w:before="9"/>
        <w:rPr>
          <w:rFonts w:ascii="Arial"/>
          <w:b/>
          <w:sz w:val="25"/>
        </w:rPr>
      </w:pPr>
    </w:p>
    <w:p>
      <w:pPr>
        <w:pStyle w:val="BodyText"/>
        <w:spacing w:line="307" w:lineRule="auto"/>
        <w:ind w:left="790" w:right="631"/>
        <w:jc w:val="both"/>
      </w:pPr>
      <w:r>
        <w:rPr>
          <w:color w:val="231F20"/>
          <w:w w:val="115"/>
        </w:rPr>
        <w:t>Le</w:t>
      </w:r>
      <w:r>
        <w:rPr>
          <w:color w:val="231F20"/>
          <w:spacing w:val="-9"/>
          <w:w w:val="115"/>
        </w:rPr>
        <w:t> </w:t>
      </w:r>
      <w:r>
        <w:rPr>
          <w:color w:val="231F20"/>
          <w:w w:val="115"/>
        </w:rPr>
        <w:t>stress</w:t>
      </w:r>
      <w:r>
        <w:rPr>
          <w:color w:val="231F20"/>
          <w:spacing w:val="-9"/>
          <w:w w:val="115"/>
        </w:rPr>
        <w:t> </w:t>
      </w:r>
      <w:r>
        <w:rPr>
          <w:color w:val="231F20"/>
          <w:w w:val="115"/>
        </w:rPr>
        <w:t>est</w:t>
      </w:r>
      <w:r>
        <w:rPr>
          <w:color w:val="231F20"/>
          <w:spacing w:val="-9"/>
          <w:w w:val="115"/>
        </w:rPr>
        <w:t> </w:t>
      </w:r>
      <w:r>
        <w:rPr>
          <w:color w:val="231F20"/>
          <w:w w:val="115"/>
        </w:rPr>
        <w:t>sans</w:t>
      </w:r>
      <w:r>
        <w:rPr>
          <w:color w:val="231F20"/>
          <w:spacing w:val="-9"/>
          <w:w w:val="115"/>
        </w:rPr>
        <w:t> </w:t>
      </w:r>
      <w:r>
        <w:rPr>
          <w:color w:val="231F20"/>
          <w:w w:val="115"/>
        </w:rPr>
        <w:t>aucun</w:t>
      </w:r>
      <w:r>
        <w:rPr>
          <w:color w:val="231F20"/>
          <w:spacing w:val="-9"/>
          <w:w w:val="115"/>
        </w:rPr>
        <w:t> </w:t>
      </w:r>
      <w:r>
        <w:rPr>
          <w:color w:val="231F20"/>
          <w:w w:val="115"/>
        </w:rPr>
        <w:t>doute</w:t>
      </w:r>
      <w:r>
        <w:rPr>
          <w:color w:val="231F20"/>
          <w:spacing w:val="-9"/>
          <w:w w:val="115"/>
        </w:rPr>
        <w:t> </w:t>
      </w:r>
      <w:r>
        <w:rPr>
          <w:color w:val="231F20"/>
          <w:w w:val="115"/>
        </w:rPr>
        <w:t>l’un</w:t>
      </w:r>
      <w:r>
        <w:rPr>
          <w:color w:val="231F20"/>
          <w:spacing w:val="-9"/>
          <w:w w:val="115"/>
        </w:rPr>
        <w:t> </w:t>
      </w:r>
      <w:r>
        <w:rPr>
          <w:color w:val="231F20"/>
          <w:w w:val="115"/>
        </w:rPr>
        <w:t>des</w:t>
      </w:r>
      <w:r>
        <w:rPr>
          <w:color w:val="231F20"/>
          <w:spacing w:val="-9"/>
          <w:w w:val="115"/>
        </w:rPr>
        <w:t> </w:t>
      </w:r>
      <w:r>
        <w:rPr>
          <w:color w:val="231F20"/>
          <w:w w:val="115"/>
        </w:rPr>
        <w:t>concepts</w:t>
      </w:r>
      <w:r>
        <w:rPr>
          <w:color w:val="231F20"/>
          <w:spacing w:val="-9"/>
          <w:w w:val="115"/>
        </w:rPr>
        <w:t> </w:t>
      </w:r>
      <w:r>
        <w:rPr>
          <w:color w:val="231F20"/>
          <w:w w:val="115"/>
        </w:rPr>
        <w:t>psychologiques</w:t>
      </w:r>
      <w:r>
        <w:rPr>
          <w:color w:val="231F20"/>
          <w:spacing w:val="-9"/>
          <w:w w:val="115"/>
        </w:rPr>
        <w:t> </w:t>
      </w:r>
      <w:r>
        <w:rPr>
          <w:color w:val="231F20"/>
          <w:w w:val="115"/>
        </w:rPr>
        <w:t>les</w:t>
      </w:r>
      <w:r>
        <w:rPr>
          <w:color w:val="231F20"/>
          <w:spacing w:val="-9"/>
          <w:w w:val="115"/>
        </w:rPr>
        <w:t> </w:t>
      </w:r>
      <w:r>
        <w:rPr>
          <w:color w:val="231F20"/>
          <w:w w:val="115"/>
        </w:rPr>
        <w:t>mieux </w:t>
      </w:r>
      <w:r>
        <w:rPr>
          <w:color w:val="231F20"/>
          <w:spacing w:val="-2"/>
          <w:w w:val="120"/>
        </w:rPr>
        <w:t>connus</w:t>
      </w:r>
      <w:r>
        <w:rPr>
          <w:color w:val="231F20"/>
          <w:spacing w:val="-5"/>
          <w:w w:val="120"/>
        </w:rPr>
        <w:t> </w:t>
      </w:r>
      <w:r>
        <w:rPr>
          <w:color w:val="231F20"/>
          <w:spacing w:val="-2"/>
          <w:w w:val="120"/>
        </w:rPr>
        <w:t>par</w:t>
      </w:r>
      <w:r>
        <w:rPr>
          <w:color w:val="231F20"/>
          <w:spacing w:val="-5"/>
          <w:w w:val="120"/>
        </w:rPr>
        <w:t> </w:t>
      </w:r>
      <w:r>
        <w:rPr>
          <w:color w:val="231F20"/>
          <w:spacing w:val="-2"/>
          <w:w w:val="120"/>
        </w:rPr>
        <w:t>la</w:t>
      </w:r>
      <w:r>
        <w:rPr>
          <w:color w:val="231F20"/>
          <w:spacing w:val="-5"/>
          <w:w w:val="120"/>
        </w:rPr>
        <w:t> </w:t>
      </w:r>
      <w:r>
        <w:rPr>
          <w:color w:val="231F20"/>
          <w:spacing w:val="-2"/>
          <w:w w:val="120"/>
        </w:rPr>
        <w:t>population</w:t>
      </w:r>
      <w:r>
        <w:rPr>
          <w:color w:val="231F20"/>
          <w:spacing w:val="-5"/>
          <w:w w:val="120"/>
        </w:rPr>
        <w:t> </w:t>
      </w:r>
      <w:r>
        <w:rPr>
          <w:color w:val="231F20"/>
          <w:spacing w:val="-2"/>
          <w:w w:val="120"/>
        </w:rPr>
        <w:t>en</w:t>
      </w:r>
      <w:r>
        <w:rPr>
          <w:color w:val="231F20"/>
          <w:spacing w:val="-5"/>
          <w:w w:val="120"/>
        </w:rPr>
        <w:t> </w:t>
      </w:r>
      <w:r>
        <w:rPr>
          <w:color w:val="231F20"/>
          <w:spacing w:val="-2"/>
          <w:w w:val="120"/>
        </w:rPr>
        <w:t>général,</w:t>
      </w:r>
      <w:r>
        <w:rPr>
          <w:color w:val="231F20"/>
          <w:spacing w:val="-5"/>
          <w:w w:val="120"/>
        </w:rPr>
        <w:t> </w:t>
      </w:r>
      <w:r>
        <w:rPr>
          <w:color w:val="231F20"/>
          <w:spacing w:val="-2"/>
          <w:w w:val="120"/>
        </w:rPr>
        <w:t>et</w:t>
      </w:r>
      <w:r>
        <w:rPr>
          <w:color w:val="231F20"/>
          <w:spacing w:val="-5"/>
          <w:w w:val="120"/>
        </w:rPr>
        <w:t> </w:t>
      </w:r>
      <w:r>
        <w:rPr>
          <w:color w:val="231F20"/>
          <w:spacing w:val="-2"/>
          <w:w w:val="120"/>
        </w:rPr>
        <w:t>par</w:t>
      </w:r>
      <w:r>
        <w:rPr>
          <w:color w:val="231F20"/>
          <w:spacing w:val="-5"/>
          <w:w w:val="120"/>
        </w:rPr>
        <w:t> </w:t>
      </w:r>
      <w:r>
        <w:rPr>
          <w:color w:val="231F20"/>
          <w:spacing w:val="-2"/>
          <w:w w:val="120"/>
        </w:rPr>
        <w:t>les</w:t>
      </w:r>
      <w:r>
        <w:rPr>
          <w:color w:val="231F20"/>
          <w:spacing w:val="-5"/>
          <w:w w:val="120"/>
        </w:rPr>
        <w:t> </w:t>
      </w:r>
      <w:r>
        <w:rPr>
          <w:color w:val="231F20"/>
          <w:spacing w:val="-2"/>
          <w:w w:val="120"/>
        </w:rPr>
        <w:t>travailleurs</w:t>
      </w:r>
      <w:r>
        <w:rPr>
          <w:color w:val="231F20"/>
          <w:spacing w:val="-5"/>
          <w:w w:val="120"/>
        </w:rPr>
        <w:t> </w:t>
      </w:r>
      <w:r>
        <w:rPr>
          <w:color w:val="231F20"/>
          <w:spacing w:val="-2"/>
          <w:w w:val="120"/>
        </w:rPr>
        <w:t>en</w:t>
      </w:r>
      <w:r>
        <w:rPr>
          <w:color w:val="231F20"/>
          <w:spacing w:val="-5"/>
          <w:w w:val="120"/>
        </w:rPr>
        <w:t> </w:t>
      </w:r>
      <w:r>
        <w:rPr>
          <w:color w:val="231F20"/>
          <w:spacing w:val="-2"/>
          <w:w w:val="120"/>
        </w:rPr>
        <w:t>particulier. </w:t>
      </w:r>
      <w:r>
        <w:rPr>
          <w:color w:val="231F20"/>
          <w:w w:val="120"/>
        </w:rPr>
        <w:t>Cela</w:t>
      </w:r>
      <w:r>
        <w:rPr>
          <w:color w:val="231F20"/>
          <w:spacing w:val="-6"/>
          <w:w w:val="120"/>
        </w:rPr>
        <w:t> </w:t>
      </w:r>
      <w:r>
        <w:rPr>
          <w:color w:val="231F20"/>
          <w:w w:val="120"/>
        </w:rPr>
        <w:t>est</w:t>
      </w:r>
      <w:r>
        <w:rPr>
          <w:color w:val="231F20"/>
          <w:spacing w:val="-6"/>
          <w:w w:val="120"/>
        </w:rPr>
        <w:t> </w:t>
      </w:r>
      <w:r>
        <w:rPr>
          <w:color w:val="231F20"/>
          <w:w w:val="120"/>
        </w:rPr>
        <w:t>tellement</w:t>
      </w:r>
      <w:r>
        <w:rPr>
          <w:color w:val="231F20"/>
          <w:spacing w:val="-6"/>
          <w:w w:val="120"/>
        </w:rPr>
        <w:t> </w:t>
      </w:r>
      <w:r>
        <w:rPr>
          <w:color w:val="231F20"/>
          <w:w w:val="120"/>
        </w:rPr>
        <w:t>vrai</w:t>
      </w:r>
      <w:r>
        <w:rPr>
          <w:color w:val="231F20"/>
          <w:spacing w:val="-6"/>
          <w:w w:val="120"/>
        </w:rPr>
        <w:t> </w:t>
      </w:r>
      <w:r>
        <w:rPr>
          <w:color w:val="231F20"/>
          <w:w w:val="120"/>
        </w:rPr>
        <w:t>que</w:t>
      </w:r>
      <w:r>
        <w:rPr>
          <w:color w:val="231F20"/>
          <w:spacing w:val="-6"/>
          <w:w w:val="120"/>
        </w:rPr>
        <w:t> </w:t>
      </w:r>
      <w:r>
        <w:rPr>
          <w:color w:val="231F20"/>
          <w:w w:val="120"/>
        </w:rPr>
        <w:t>la</w:t>
      </w:r>
      <w:r>
        <w:rPr>
          <w:color w:val="231F20"/>
          <w:spacing w:val="-6"/>
          <w:w w:val="120"/>
        </w:rPr>
        <w:t> </w:t>
      </w:r>
      <w:r>
        <w:rPr>
          <w:color w:val="231F20"/>
          <w:w w:val="120"/>
        </w:rPr>
        <w:t>notion</w:t>
      </w:r>
      <w:r>
        <w:rPr>
          <w:color w:val="231F20"/>
          <w:spacing w:val="-6"/>
          <w:w w:val="120"/>
        </w:rPr>
        <w:t> </w:t>
      </w:r>
      <w:r>
        <w:rPr>
          <w:color w:val="231F20"/>
          <w:w w:val="120"/>
        </w:rPr>
        <w:t>de</w:t>
      </w:r>
      <w:r>
        <w:rPr>
          <w:color w:val="231F20"/>
          <w:spacing w:val="-6"/>
          <w:w w:val="120"/>
        </w:rPr>
        <w:t> </w:t>
      </w:r>
      <w:r>
        <w:rPr>
          <w:i/>
          <w:color w:val="231F20"/>
          <w:w w:val="120"/>
        </w:rPr>
        <w:t>stress</w:t>
      </w:r>
      <w:r>
        <w:rPr>
          <w:i/>
          <w:color w:val="231F20"/>
          <w:spacing w:val="-6"/>
          <w:w w:val="120"/>
        </w:rPr>
        <w:t> </w:t>
      </w:r>
      <w:r>
        <w:rPr>
          <w:color w:val="231F20"/>
          <w:w w:val="120"/>
        </w:rPr>
        <w:t>est</w:t>
      </w:r>
      <w:r>
        <w:rPr>
          <w:color w:val="231F20"/>
          <w:spacing w:val="-6"/>
          <w:w w:val="120"/>
        </w:rPr>
        <w:t> </w:t>
      </w:r>
      <w:r>
        <w:rPr>
          <w:color w:val="231F20"/>
          <w:w w:val="120"/>
        </w:rPr>
        <w:t>souvent</w:t>
      </w:r>
      <w:r>
        <w:rPr>
          <w:color w:val="231F20"/>
          <w:spacing w:val="-6"/>
          <w:w w:val="120"/>
        </w:rPr>
        <w:t> </w:t>
      </w:r>
      <w:r>
        <w:rPr>
          <w:color w:val="231F20"/>
          <w:w w:val="120"/>
        </w:rPr>
        <w:t>utilisée</w:t>
      </w:r>
      <w:r>
        <w:rPr>
          <w:color w:val="231F20"/>
          <w:spacing w:val="-6"/>
          <w:w w:val="120"/>
        </w:rPr>
        <w:t> </w:t>
      </w:r>
      <w:r>
        <w:rPr>
          <w:color w:val="231F20"/>
          <w:w w:val="120"/>
        </w:rPr>
        <w:t>à</w:t>
      </w:r>
      <w:r>
        <w:rPr>
          <w:color w:val="231F20"/>
          <w:spacing w:val="-6"/>
          <w:w w:val="120"/>
        </w:rPr>
        <w:t> </w:t>
      </w:r>
      <w:r>
        <w:rPr>
          <w:color w:val="231F20"/>
          <w:w w:val="120"/>
        </w:rPr>
        <w:t>tort et à travers et est un terme largement galvaudé. La connaissance d’un concept</w:t>
      </w:r>
      <w:r>
        <w:rPr>
          <w:color w:val="231F20"/>
          <w:spacing w:val="-6"/>
          <w:w w:val="120"/>
        </w:rPr>
        <w:t> </w:t>
      </w:r>
      <w:r>
        <w:rPr>
          <w:color w:val="231F20"/>
          <w:w w:val="120"/>
        </w:rPr>
        <w:t>ne</w:t>
      </w:r>
      <w:r>
        <w:rPr>
          <w:color w:val="231F20"/>
          <w:spacing w:val="-6"/>
          <w:w w:val="120"/>
        </w:rPr>
        <w:t> </w:t>
      </w:r>
      <w:r>
        <w:rPr>
          <w:color w:val="231F20"/>
          <w:w w:val="120"/>
        </w:rPr>
        <w:t>veut</w:t>
      </w:r>
      <w:r>
        <w:rPr>
          <w:color w:val="231F20"/>
          <w:spacing w:val="-6"/>
          <w:w w:val="120"/>
        </w:rPr>
        <w:t> </w:t>
      </w:r>
      <w:r>
        <w:rPr>
          <w:color w:val="231F20"/>
          <w:w w:val="120"/>
        </w:rPr>
        <w:t>pas</w:t>
      </w:r>
      <w:r>
        <w:rPr>
          <w:color w:val="231F20"/>
          <w:spacing w:val="-6"/>
          <w:w w:val="120"/>
        </w:rPr>
        <w:t> </w:t>
      </w:r>
      <w:r>
        <w:rPr>
          <w:color w:val="231F20"/>
          <w:w w:val="120"/>
        </w:rPr>
        <w:t>dire</w:t>
      </w:r>
      <w:r>
        <w:rPr>
          <w:color w:val="231F20"/>
          <w:spacing w:val="-6"/>
          <w:w w:val="120"/>
        </w:rPr>
        <w:t> </w:t>
      </w:r>
      <w:r>
        <w:rPr>
          <w:color w:val="231F20"/>
          <w:w w:val="120"/>
        </w:rPr>
        <w:t>sa</w:t>
      </w:r>
      <w:r>
        <w:rPr>
          <w:color w:val="231F20"/>
          <w:spacing w:val="-6"/>
          <w:w w:val="120"/>
        </w:rPr>
        <w:t> </w:t>
      </w:r>
      <w:r>
        <w:rPr>
          <w:color w:val="231F20"/>
          <w:w w:val="120"/>
        </w:rPr>
        <w:t>compréhension,</w:t>
      </w:r>
      <w:r>
        <w:rPr>
          <w:color w:val="231F20"/>
          <w:spacing w:val="-6"/>
          <w:w w:val="120"/>
        </w:rPr>
        <w:t> </w:t>
      </w:r>
      <w:r>
        <w:rPr>
          <w:color w:val="231F20"/>
          <w:w w:val="120"/>
        </w:rPr>
        <w:t>et</w:t>
      </w:r>
      <w:r>
        <w:rPr>
          <w:color w:val="231F20"/>
          <w:spacing w:val="-6"/>
          <w:w w:val="120"/>
        </w:rPr>
        <w:t> </w:t>
      </w:r>
      <w:r>
        <w:rPr>
          <w:color w:val="231F20"/>
          <w:w w:val="120"/>
        </w:rPr>
        <w:t>on</w:t>
      </w:r>
      <w:r>
        <w:rPr>
          <w:color w:val="231F20"/>
          <w:spacing w:val="-6"/>
          <w:w w:val="120"/>
        </w:rPr>
        <w:t> </w:t>
      </w:r>
      <w:r>
        <w:rPr>
          <w:color w:val="231F20"/>
          <w:w w:val="120"/>
        </w:rPr>
        <w:t>constate</w:t>
      </w:r>
      <w:r>
        <w:rPr>
          <w:color w:val="231F20"/>
          <w:spacing w:val="-6"/>
          <w:w w:val="120"/>
        </w:rPr>
        <w:t> </w:t>
      </w:r>
      <w:r>
        <w:rPr>
          <w:color w:val="231F20"/>
          <w:w w:val="120"/>
        </w:rPr>
        <w:t>cela</w:t>
      </w:r>
      <w:r>
        <w:rPr>
          <w:color w:val="231F20"/>
          <w:spacing w:val="-6"/>
          <w:w w:val="120"/>
        </w:rPr>
        <w:t> </w:t>
      </w:r>
      <w:r>
        <w:rPr>
          <w:color w:val="231F20"/>
          <w:w w:val="120"/>
        </w:rPr>
        <w:t>réguliè- rement dans les conversations mondaines avec des personnes de notre entourage. Pourtant, tous affirment, sans trop de gêne, bien saisir les particularités de cette notion complexe qu’est le stress. Nous présen- tons ci-après trois paradoxes qui nous semblent bien dépeindre cette ambivalence quant à la notion de </w:t>
      </w:r>
      <w:r>
        <w:rPr>
          <w:i/>
          <w:color w:val="231F20"/>
          <w:w w:val="120"/>
        </w:rPr>
        <w:t>stress</w:t>
      </w:r>
      <w:r>
        <w:rPr>
          <w:i/>
          <w:color w:val="231F20"/>
          <w:spacing w:val="-13"/>
          <w:w w:val="120"/>
        </w:rPr>
        <w:t> </w:t>
      </w:r>
      <w:r>
        <w:rPr>
          <w:color w:val="231F20"/>
          <w:w w:val="120"/>
        </w:rPr>
        <w:t>; trois paradoxes sociaux et organisationnels qu’il convient de déboulonner.</w:t>
      </w:r>
    </w:p>
    <w:p>
      <w:pPr>
        <w:pStyle w:val="BodyText"/>
        <w:spacing w:before="8"/>
        <w:rPr>
          <w:sz w:val="26"/>
        </w:rPr>
      </w:pPr>
    </w:p>
    <w:p>
      <w:pPr>
        <w:pStyle w:val="Heading4"/>
        <w:numPr>
          <w:ilvl w:val="2"/>
          <w:numId w:val="15"/>
        </w:numPr>
        <w:tabs>
          <w:tab w:pos="489" w:val="left" w:leader="none"/>
          <w:tab w:pos="789" w:val="left" w:leader="none"/>
        </w:tabs>
        <w:spacing w:line="240" w:lineRule="auto" w:before="1" w:after="0"/>
        <w:ind w:left="488" w:right="0" w:hanging="356"/>
        <w:jc w:val="left"/>
      </w:pPr>
      <w:r>
        <w:rPr>
          <w:b w:val="0"/>
          <w:i/>
          <w:color w:val="231F20"/>
          <w:spacing w:val="-10"/>
        </w:rPr>
        <w:t>/</w:t>
      </w:r>
      <w:r>
        <w:rPr>
          <w:b w:val="0"/>
          <w:i/>
          <w:color w:val="231F20"/>
        </w:rPr>
        <w:tab/>
      </w:r>
      <w:r>
        <w:rPr>
          <w:color w:val="231F20"/>
          <w:w w:val="90"/>
        </w:rPr>
        <w:t>Premier</w:t>
      </w:r>
      <w:r>
        <w:rPr>
          <w:color w:val="231F20"/>
          <w:spacing w:val="7"/>
        </w:rPr>
        <w:t> </w:t>
      </w:r>
      <w:r>
        <w:rPr>
          <w:color w:val="231F20"/>
          <w:w w:val="90"/>
        </w:rPr>
        <w:t>paradoxe</w:t>
      </w:r>
      <w:r>
        <w:rPr>
          <w:color w:val="231F20"/>
          <w:spacing w:val="8"/>
        </w:rPr>
        <w:t> </w:t>
      </w:r>
      <w:r>
        <w:rPr>
          <w:color w:val="231F20"/>
          <w:w w:val="90"/>
        </w:rPr>
        <w:t>–</w:t>
      </w:r>
      <w:r>
        <w:rPr>
          <w:color w:val="231F20"/>
          <w:spacing w:val="7"/>
        </w:rPr>
        <w:t> </w:t>
      </w:r>
      <w:r>
        <w:rPr>
          <w:color w:val="231F20"/>
          <w:w w:val="90"/>
        </w:rPr>
        <w:t>la</w:t>
      </w:r>
      <w:r>
        <w:rPr>
          <w:color w:val="231F20"/>
          <w:spacing w:val="8"/>
        </w:rPr>
        <w:t> </w:t>
      </w:r>
      <w:r>
        <w:rPr>
          <w:color w:val="231F20"/>
          <w:w w:val="90"/>
        </w:rPr>
        <w:t>banalisation</w:t>
      </w:r>
      <w:r>
        <w:rPr>
          <w:color w:val="231F20"/>
          <w:spacing w:val="7"/>
        </w:rPr>
        <w:t> </w:t>
      </w:r>
      <w:r>
        <w:rPr>
          <w:color w:val="231F20"/>
          <w:w w:val="90"/>
        </w:rPr>
        <w:t>sociale</w:t>
      </w:r>
      <w:r>
        <w:rPr>
          <w:color w:val="231F20"/>
          <w:spacing w:val="8"/>
        </w:rPr>
        <w:t> </w:t>
      </w:r>
      <w:r>
        <w:rPr>
          <w:color w:val="231F20"/>
          <w:w w:val="90"/>
        </w:rPr>
        <w:t>du</w:t>
      </w:r>
      <w:r>
        <w:rPr>
          <w:color w:val="231F20"/>
          <w:spacing w:val="7"/>
        </w:rPr>
        <w:t> </w:t>
      </w:r>
      <w:r>
        <w:rPr>
          <w:color w:val="231F20"/>
          <w:spacing w:val="-2"/>
          <w:w w:val="90"/>
        </w:rPr>
        <w:t>phénomène</w:t>
      </w:r>
    </w:p>
    <w:p>
      <w:pPr>
        <w:pStyle w:val="BodyText"/>
        <w:spacing w:line="307" w:lineRule="auto" w:before="233"/>
        <w:ind w:left="790" w:right="634"/>
        <w:jc w:val="both"/>
      </w:pPr>
      <w:r>
        <w:rPr>
          <w:color w:val="231F20"/>
          <w:spacing w:val="-2"/>
          <w:w w:val="120"/>
        </w:rPr>
        <w:t>Le</w:t>
      </w:r>
      <w:r>
        <w:rPr>
          <w:color w:val="231F20"/>
          <w:spacing w:val="-11"/>
          <w:w w:val="120"/>
        </w:rPr>
        <w:t> </w:t>
      </w:r>
      <w:r>
        <w:rPr>
          <w:color w:val="231F20"/>
          <w:spacing w:val="-2"/>
          <w:w w:val="120"/>
        </w:rPr>
        <w:t>stress</w:t>
      </w:r>
      <w:r>
        <w:rPr>
          <w:color w:val="231F20"/>
          <w:spacing w:val="-11"/>
          <w:w w:val="120"/>
        </w:rPr>
        <w:t> </w:t>
      </w:r>
      <w:r>
        <w:rPr>
          <w:color w:val="231F20"/>
          <w:spacing w:val="-2"/>
          <w:w w:val="120"/>
        </w:rPr>
        <w:t>est,</w:t>
      </w:r>
      <w:r>
        <w:rPr>
          <w:color w:val="231F20"/>
          <w:spacing w:val="-11"/>
          <w:w w:val="120"/>
        </w:rPr>
        <w:t> </w:t>
      </w:r>
      <w:r>
        <w:rPr>
          <w:color w:val="231F20"/>
          <w:spacing w:val="-2"/>
          <w:w w:val="120"/>
        </w:rPr>
        <w:t>de</w:t>
      </w:r>
      <w:r>
        <w:rPr>
          <w:color w:val="231F20"/>
          <w:spacing w:val="-10"/>
          <w:w w:val="120"/>
        </w:rPr>
        <w:t> </w:t>
      </w:r>
      <w:r>
        <w:rPr>
          <w:color w:val="231F20"/>
          <w:spacing w:val="-2"/>
          <w:w w:val="120"/>
        </w:rPr>
        <w:t>toute</w:t>
      </w:r>
      <w:r>
        <w:rPr>
          <w:color w:val="231F20"/>
          <w:spacing w:val="-11"/>
          <w:w w:val="120"/>
        </w:rPr>
        <w:t> </w:t>
      </w:r>
      <w:r>
        <w:rPr>
          <w:color w:val="231F20"/>
          <w:spacing w:val="-2"/>
          <w:w w:val="120"/>
        </w:rPr>
        <w:t>évidence,</w:t>
      </w:r>
      <w:r>
        <w:rPr>
          <w:color w:val="231F20"/>
          <w:spacing w:val="-11"/>
          <w:w w:val="120"/>
        </w:rPr>
        <w:t> </w:t>
      </w:r>
      <w:r>
        <w:rPr>
          <w:color w:val="231F20"/>
          <w:spacing w:val="-2"/>
          <w:w w:val="120"/>
        </w:rPr>
        <w:t>dans</w:t>
      </w:r>
      <w:r>
        <w:rPr>
          <w:color w:val="231F20"/>
          <w:spacing w:val="-11"/>
          <w:w w:val="120"/>
        </w:rPr>
        <w:t> </w:t>
      </w:r>
      <w:r>
        <w:rPr>
          <w:color w:val="231F20"/>
          <w:spacing w:val="-2"/>
          <w:w w:val="120"/>
        </w:rPr>
        <w:t>les</w:t>
      </w:r>
      <w:r>
        <w:rPr>
          <w:color w:val="231F20"/>
          <w:spacing w:val="-10"/>
          <w:w w:val="120"/>
        </w:rPr>
        <w:t> </w:t>
      </w:r>
      <w:r>
        <w:rPr>
          <w:color w:val="231F20"/>
          <w:spacing w:val="-2"/>
          <w:w w:val="120"/>
        </w:rPr>
        <w:t>sociétés</w:t>
      </w:r>
      <w:r>
        <w:rPr>
          <w:color w:val="231F20"/>
          <w:spacing w:val="-11"/>
          <w:w w:val="120"/>
        </w:rPr>
        <w:t> </w:t>
      </w:r>
      <w:r>
        <w:rPr>
          <w:color w:val="231F20"/>
          <w:spacing w:val="-2"/>
          <w:w w:val="120"/>
        </w:rPr>
        <w:t>industrialisées,</w:t>
      </w:r>
      <w:r>
        <w:rPr>
          <w:color w:val="231F20"/>
          <w:spacing w:val="-11"/>
          <w:w w:val="120"/>
        </w:rPr>
        <w:t> </w:t>
      </w:r>
      <w:r>
        <w:rPr>
          <w:color w:val="231F20"/>
          <w:spacing w:val="-2"/>
          <w:w w:val="120"/>
        </w:rPr>
        <w:t>un</w:t>
      </w:r>
      <w:r>
        <w:rPr>
          <w:color w:val="231F20"/>
          <w:spacing w:val="-11"/>
          <w:w w:val="120"/>
        </w:rPr>
        <w:t> </w:t>
      </w:r>
      <w:r>
        <w:rPr>
          <w:color w:val="231F20"/>
          <w:spacing w:val="-2"/>
          <w:w w:val="120"/>
        </w:rPr>
        <w:t>enjeu majeur</w:t>
      </w:r>
      <w:r>
        <w:rPr>
          <w:color w:val="231F20"/>
          <w:spacing w:val="-8"/>
          <w:w w:val="120"/>
        </w:rPr>
        <w:t> </w:t>
      </w:r>
      <w:r>
        <w:rPr>
          <w:color w:val="231F20"/>
          <w:spacing w:val="-2"/>
          <w:w w:val="120"/>
        </w:rPr>
        <w:t>de</w:t>
      </w:r>
      <w:r>
        <w:rPr>
          <w:color w:val="231F20"/>
          <w:spacing w:val="-8"/>
          <w:w w:val="120"/>
        </w:rPr>
        <w:t> </w:t>
      </w:r>
      <w:r>
        <w:rPr>
          <w:color w:val="231F20"/>
          <w:spacing w:val="-2"/>
          <w:w w:val="120"/>
        </w:rPr>
        <w:t>santé</w:t>
      </w:r>
      <w:r>
        <w:rPr>
          <w:color w:val="231F20"/>
          <w:spacing w:val="-8"/>
          <w:w w:val="120"/>
        </w:rPr>
        <w:t> </w:t>
      </w:r>
      <w:r>
        <w:rPr>
          <w:color w:val="231F20"/>
          <w:spacing w:val="-2"/>
          <w:w w:val="120"/>
        </w:rPr>
        <w:t>publique.</w:t>
      </w:r>
      <w:r>
        <w:rPr>
          <w:color w:val="231F20"/>
          <w:spacing w:val="-8"/>
          <w:w w:val="120"/>
        </w:rPr>
        <w:t> </w:t>
      </w:r>
      <w:r>
        <w:rPr>
          <w:color w:val="231F20"/>
          <w:spacing w:val="-2"/>
          <w:w w:val="120"/>
        </w:rPr>
        <w:t>Que</w:t>
      </w:r>
      <w:r>
        <w:rPr>
          <w:color w:val="231F20"/>
          <w:spacing w:val="-8"/>
          <w:w w:val="120"/>
        </w:rPr>
        <w:t> </w:t>
      </w:r>
      <w:r>
        <w:rPr>
          <w:color w:val="231F20"/>
          <w:spacing w:val="-2"/>
          <w:w w:val="120"/>
        </w:rPr>
        <w:t>son</w:t>
      </w:r>
      <w:r>
        <w:rPr>
          <w:color w:val="231F20"/>
          <w:spacing w:val="-8"/>
          <w:w w:val="120"/>
        </w:rPr>
        <w:t> </w:t>
      </w:r>
      <w:r>
        <w:rPr>
          <w:color w:val="231F20"/>
          <w:spacing w:val="-2"/>
          <w:w w:val="120"/>
        </w:rPr>
        <w:t>origine</w:t>
      </w:r>
      <w:r>
        <w:rPr>
          <w:color w:val="231F20"/>
          <w:spacing w:val="-8"/>
          <w:w w:val="120"/>
        </w:rPr>
        <w:t> </w:t>
      </w:r>
      <w:r>
        <w:rPr>
          <w:color w:val="231F20"/>
          <w:spacing w:val="-2"/>
          <w:w w:val="120"/>
        </w:rPr>
        <w:t>soit</w:t>
      </w:r>
      <w:r>
        <w:rPr>
          <w:color w:val="231F20"/>
          <w:spacing w:val="-8"/>
          <w:w w:val="120"/>
        </w:rPr>
        <w:t> </w:t>
      </w:r>
      <w:r>
        <w:rPr>
          <w:color w:val="231F20"/>
          <w:spacing w:val="-2"/>
          <w:w w:val="120"/>
        </w:rPr>
        <w:t>liée</w:t>
      </w:r>
      <w:r>
        <w:rPr>
          <w:color w:val="231F20"/>
          <w:spacing w:val="-8"/>
          <w:w w:val="120"/>
        </w:rPr>
        <w:t> </w:t>
      </w:r>
      <w:r>
        <w:rPr>
          <w:color w:val="231F20"/>
          <w:spacing w:val="-2"/>
          <w:w w:val="120"/>
        </w:rPr>
        <w:t>à</w:t>
      </w:r>
      <w:r>
        <w:rPr>
          <w:color w:val="231F20"/>
          <w:spacing w:val="-8"/>
          <w:w w:val="120"/>
        </w:rPr>
        <w:t> </w:t>
      </w:r>
      <w:r>
        <w:rPr>
          <w:color w:val="231F20"/>
          <w:spacing w:val="-2"/>
          <w:w w:val="120"/>
        </w:rPr>
        <w:t>l’environnement</w:t>
      </w:r>
      <w:r>
        <w:rPr>
          <w:color w:val="231F20"/>
          <w:spacing w:val="-8"/>
          <w:w w:val="120"/>
        </w:rPr>
        <w:t> </w:t>
      </w:r>
      <w:r>
        <w:rPr>
          <w:color w:val="231F20"/>
          <w:spacing w:val="-2"/>
          <w:w w:val="120"/>
        </w:rPr>
        <w:t>de </w:t>
      </w:r>
      <w:r>
        <w:rPr>
          <w:color w:val="231F20"/>
          <w:w w:val="120"/>
        </w:rPr>
        <w:t>travail,</w:t>
      </w:r>
      <w:r>
        <w:rPr>
          <w:color w:val="231F20"/>
          <w:spacing w:val="-1"/>
          <w:w w:val="120"/>
        </w:rPr>
        <w:t> </w:t>
      </w:r>
      <w:r>
        <w:rPr>
          <w:color w:val="231F20"/>
          <w:w w:val="120"/>
        </w:rPr>
        <w:t>qui</w:t>
      </w:r>
      <w:r>
        <w:rPr>
          <w:color w:val="231F20"/>
          <w:spacing w:val="-1"/>
          <w:w w:val="120"/>
        </w:rPr>
        <w:t> </w:t>
      </w:r>
      <w:r>
        <w:rPr>
          <w:color w:val="231F20"/>
          <w:w w:val="120"/>
        </w:rPr>
        <w:t>est</w:t>
      </w:r>
      <w:r>
        <w:rPr>
          <w:color w:val="231F20"/>
          <w:spacing w:val="-1"/>
          <w:w w:val="120"/>
        </w:rPr>
        <w:t> </w:t>
      </w:r>
      <w:r>
        <w:rPr>
          <w:color w:val="231F20"/>
          <w:w w:val="120"/>
        </w:rPr>
        <w:t>l’environnement</w:t>
      </w:r>
      <w:r>
        <w:rPr>
          <w:color w:val="231F20"/>
          <w:spacing w:val="-1"/>
          <w:w w:val="120"/>
        </w:rPr>
        <w:t> </w:t>
      </w:r>
      <w:r>
        <w:rPr>
          <w:color w:val="231F20"/>
          <w:w w:val="120"/>
        </w:rPr>
        <w:t>le</w:t>
      </w:r>
      <w:r>
        <w:rPr>
          <w:color w:val="231F20"/>
          <w:spacing w:val="-1"/>
          <w:w w:val="120"/>
        </w:rPr>
        <w:t> </w:t>
      </w:r>
      <w:r>
        <w:rPr>
          <w:color w:val="231F20"/>
          <w:w w:val="120"/>
        </w:rPr>
        <w:t>plus</w:t>
      </w:r>
      <w:r>
        <w:rPr>
          <w:color w:val="231F20"/>
          <w:spacing w:val="-1"/>
          <w:w w:val="120"/>
        </w:rPr>
        <w:t> </w:t>
      </w:r>
      <w:r>
        <w:rPr>
          <w:color w:val="231F20"/>
          <w:w w:val="120"/>
        </w:rPr>
        <w:t>stressogène</w:t>
      </w:r>
      <w:r>
        <w:rPr>
          <w:color w:val="231F20"/>
          <w:spacing w:val="-1"/>
          <w:w w:val="120"/>
        </w:rPr>
        <w:t> </w:t>
      </w:r>
      <w:r>
        <w:rPr>
          <w:color w:val="231F20"/>
          <w:w w:val="120"/>
        </w:rPr>
        <w:t>pour</w:t>
      </w:r>
      <w:r>
        <w:rPr>
          <w:color w:val="231F20"/>
          <w:spacing w:val="-1"/>
          <w:w w:val="120"/>
        </w:rPr>
        <w:t> </w:t>
      </w:r>
      <w:r>
        <w:rPr>
          <w:color w:val="231F20"/>
          <w:w w:val="120"/>
        </w:rPr>
        <w:t>la</w:t>
      </w:r>
      <w:r>
        <w:rPr>
          <w:color w:val="231F20"/>
          <w:spacing w:val="-1"/>
          <w:w w:val="120"/>
        </w:rPr>
        <w:t> </w:t>
      </w:r>
      <w:r>
        <w:rPr>
          <w:color w:val="231F20"/>
          <w:w w:val="120"/>
        </w:rPr>
        <w:t>plupart</w:t>
      </w:r>
      <w:r>
        <w:rPr>
          <w:color w:val="231F20"/>
          <w:spacing w:val="-1"/>
          <w:w w:val="120"/>
        </w:rPr>
        <w:t> </w:t>
      </w:r>
      <w:r>
        <w:rPr>
          <w:color w:val="231F20"/>
          <w:w w:val="120"/>
        </w:rPr>
        <w:t>des individus, ou à d’autres sphères d’activités, le stress est la cause d’un </w:t>
      </w:r>
      <w:r>
        <w:rPr>
          <w:color w:val="231F20"/>
          <w:w w:val="115"/>
        </w:rPr>
        <w:t>nombre</w:t>
      </w:r>
      <w:r>
        <w:rPr>
          <w:color w:val="231F20"/>
          <w:spacing w:val="-4"/>
          <w:w w:val="115"/>
        </w:rPr>
        <w:t> </w:t>
      </w:r>
      <w:r>
        <w:rPr>
          <w:color w:val="231F20"/>
          <w:w w:val="115"/>
        </w:rPr>
        <w:t>croissant</w:t>
      </w:r>
      <w:r>
        <w:rPr>
          <w:color w:val="231F20"/>
          <w:spacing w:val="-4"/>
          <w:w w:val="115"/>
        </w:rPr>
        <w:t> </w:t>
      </w:r>
      <w:r>
        <w:rPr>
          <w:color w:val="231F20"/>
          <w:w w:val="115"/>
        </w:rPr>
        <w:t>de</w:t>
      </w:r>
      <w:r>
        <w:rPr>
          <w:color w:val="231F20"/>
          <w:spacing w:val="-4"/>
          <w:w w:val="115"/>
        </w:rPr>
        <w:t> </w:t>
      </w:r>
      <w:r>
        <w:rPr>
          <w:color w:val="231F20"/>
          <w:w w:val="115"/>
        </w:rPr>
        <w:t>problèmes</w:t>
      </w:r>
      <w:r>
        <w:rPr>
          <w:color w:val="231F20"/>
          <w:spacing w:val="-4"/>
          <w:w w:val="115"/>
        </w:rPr>
        <w:t> </w:t>
      </w:r>
      <w:r>
        <w:rPr>
          <w:color w:val="231F20"/>
          <w:w w:val="115"/>
        </w:rPr>
        <w:t>de</w:t>
      </w:r>
      <w:r>
        <w:rPr>
          <w:color w:val="231F20"/>
          <w:spacing w:val="-4"/>
          <w:w w:val="115"/>
        </w:rPr>
        <w:t> </w:t>
      </w:r>
      <w:r>
        <w:rPr>
          <w:color w:val="231F20"/>
          <w:w w:val="115"/>
        </w:rPr>
        <w:t>santé</w:t>
      </w:r>
      <w:r>
        <w:rPr>
          <w:color w:val="231F20"/>
          <w:spacing w:val="-4"/>
          <w:w w:val="115"/>
        </w:rPr>
        <w:t> </w:t>
      </w:r>
      <w:r>
        <w:rPr>
          <w:color w:val="231F20"/>
          <w:w w:val="115"/>
        </w:rPr>
        <w:t>physique</w:t>
      </w:r>
      <w:r>
        <w:rPr>
          <w:color w:val="231F20"/>
          <w:spacing w:val="-4"/>
          <w:w w:val="115"/>
        </w:rPr>
        <w:t> </w:t>
      </w:r>
      <w:r>
        <w:rPr>
          <w:color w:val="231F20"/>
          <w:w w:val="115"/>
        </w:rPr>
        <w:t>et</w:t>
      </w:r>
      <w:r>
        <w:rPr>
          <w:color w:val="231F20"/>
          <w:spacing w:val="-4"/>
          <w:w w:val="115"/>
        </w:rPr>
        <w:t> </w:t>
      </w:r>
      <w:r>
        <w:rPr>
          <w:color w:val="231F20"/>
          <w:w w:val="115"/>
        </w:rPr>
        <w:t>psychologique.</w:t>
      </w:r>
      <w:r>
        <w:rPr>
          <w:color w:val="231F20"/>
          <w:spacing w:val="-4"/>
          <w:w w:val="115"/>
        </w:rPr>
        <w:t> </w:t>
      </w:r>
      <w:r>
        <w:rPr>
          <w:color w:val="231F20"/>
          <w:w w:val="115"/>
        </w:rPr>
        <w:t>Tous </w:t>
      </w:r>
      <w:r>
        <w:rPr>
          <w:color w:val="231F20"/>
          <w:w w:val="120"/>
        </w:rPr>
        <w:t>le reconnaissent, le stress coûte des milliards de dollars annuellement en</w:t>
      </w:r>
      <w:r>
        <w:rPr>
          <w:color w:val="231F20"/>
          <w:spacing w:val="-13"/>
          <w:w w:val="120"/>
        </w:rPr>
        <w:t> </w:t>
      </w:r>
      <w:r>
        <w:rPr>
          <w:color w:val="231F20"/>
          <w:w w:val="120"/>
        </w:rPr>
        <w:t>raison</w:t>
      </w:r>
      <w:r>
        <w:rPr>
          <w:color w:val="231F20"/>
          <w:spacing w:val="-13"/>
          <w:w w:val="120"/>
        </w:rPr>
        <w:t> </w:t>
      </w:r>
      <w:r>
        <w:rPr>
          <w:color w:val="231F20"/>
          <w:w w:val="120"/>
        </w:rPr>
        <w:t>des</w:t>
      </w:r>
      <w:r>
        <w:rPr>
          <w:color w:val="231F20"/>
          <w:spacing w:val="-13"/>
          <w:w w:val="120"/>
        </w:rPr>
        <w:t> </w:t>
      </w:r>
      <w:r>
        <w:rPr>
          <w:color w:val="231F20"/>
          <w:w w:val="120"/>
        </w:rPr>
        <w:t>soins</w:t>
      </w:r>
      <w:r>
        <w:rPr>
          <w:color w:val="231F20"/>
          <w:spacing w:val="-12"/>
          <w:w w:val="120"/>
        </w:rPr>
        <w:t> </w:t>
      </w:r>
      <w:r>
        <w:rPr>
          <w:color w:val="231F20"/>
          <w:w w:val="120"/>
        </w:rPr>
        <w:t>de</w:t>
      </w:r>
      <w:r>
        <w:rPr>
          <w:color w:val="231F20"/>
          <w:spacing w:val="-13"/>
          <w:w w:val="120"/>
        </w:rPr>
        <w:t> </w:t>
      </w:r>
      <w:r>
        <w:rPr>
          <w:color w:val="231F20"/>
          <w:w w:val="120"/>
        </w:rPr>
        <w:t>santé,</w:t>
      </w:r>
      <w:r>
        <w:rPr>
          <w:color w:val="231F20"/>
          <w:spacing w:val="-13"/>
          <w:w w:val="120"/>
        </w:rPr>
        <w:t> </w:t>
      </w:r>
      <w:r>
        <w:rPr>
          <w:color w:val="231F20"/>
          <w:w w:val="120"/>
        </w:rPr>
        <w:t>de</w:t>
      </w:r>
      <w:r>
        <w:rPr>
          <w:color w:val="231F20"/>
          <w:spacing w:val="-13"/>
          <w:w w:val="120"/>
        </w:rPr>
        <w:t> </w:t>
      </w:r>
      <w:r>
        <w:rPr>
          <w:color w:val="231F20"/>
          <w:w w:val="120"/>
        </w:rPr>
        <w:t>l’improductivité</w:t>
      </w:r>
      <w:r>
        <w:rPr>
          <w:color w:val="231F20"/>
          <w:spacing w:val="-12"/>
          <w:w w:val="120"/>
        </w:rPr>
        <w:t> </w:t>
      </w:r>
      <w:r>
        <w:rPr>
          <w:color w:val="231F20"/>
          <w:w w:val="120"/>
        </w:rPr>
        <w:t>ou</w:t>
      </w:r>
      <w:r>
        <w:rPr>
          <w:color w:val="231F20"/>
          <w:spacing w:val="-13"/>
          <w:w w:val="120"/>
        </w:rPr>
        <w:t> </w:t>
      </w:r>
      <w:r>
        <w:rPr>
          <w:color w:val="231F20"/>
          <w:w w:val="120"/>
        </w:rPr>
        <w:t>encore</w:t>
      </w:r>
      <w:r>
        <w:rPr>
          <w:color w:val="231F20"/>
          <w:spacing w:val="-13"/>
          <w:w w:val="120"/>
        </w:rPr>
        <w:t> </w:t>
      </w:r>
      <w:r>
        <w:rPr>
          <w:color w:val="231F20"/>
          <w:w w:val="120"/>
        </w:rPr>
        <w:t>des</w:t>
      </w:r>
      <w:r>
        <w:rPr>
          <w:color w:val="231F20"/>
          <w:spacing w:val="-13"/>
          <w:w w:val="120"/>
        </w:rPr>
        <w:t> </w:t>
      </w:r>
      <w:r>
        <w:rPr>
          <w:color w:val="231F20"/>
          <w:w w:val="120"/>
        </w:rPr>
        <w:t>absences </w:t>
      </w:r>
      <w:r>
        <w:rPr>
          <w:color w:val="231F20"/>
          <w:spacing w:val="-2"/>
          <w:w w:val="120"/>
        </w:rPr>
        <w:t>qu’il</w:t>
      </w:r>
      <w:r>
        <w:rPr>
          <w:color w:val="231F20"/>
          <w:spacing w:val="-8"/>
          <w:w w:val="120"/>
        </w:rPr>
        <w:t> </w:t>
      </w:r>
      <w:r>
        <w:rPr>
          <w:color w:val="231F20"/>
          <w:spacing w:val="-2"/>
          <w:w w:val="120"/>
        </w:rPr>
        <w:t>génère.</w:t>
      </w:r>
      <w:r>
        <w:rPr>
          <w:color w:val="231F20"/>
          <w:spacing w:val="-8"/>
          <w:w w:val="120"/>
        </w:rPr>
        <w:t> </w:t>
      </w:r>
      <w:r>
        <w:rPr>
          <w:color w:val="231F20"/>
          <w:spacing w:val="-2"/>
          <w:w w:val="120"/>
        </w:rPr>
        <w:t>Plusieurs</w:t>
      </w:r>
      <w:r>
        <w:rPr>
          <w:color w:val="231F20"/>
          <w:spacing w:val="-8"/>
          <w:w w:val="120"/>
        </w:rPr>
        <w:t> </w:t>
      </w:r>
      <w:r>
        <w:rPr>
          <w:color w:val="231F20"/>
          <w:spacing w:val="-2"/>
          <w:w w:val="120"/>
        </w:rPr>
        <w:t>sociétés</w:t>
      </w:r>
      <w:r>
        <w:rPr>
          <w:color w:val="231F20"/>
          <w:spacing w:val="-8"/>
          <w:w w:val="120"/>
        </w:rPr>
        <w:t> </w:t>
      </w:r>
      <w:r>
        <w:rPr>
          <w:color w:val="231F20"/>
          <w:spacing w:val="-2"/>
          <w:w w:val="120"/>
        </w:rPr>
        <w:t>ont</w:t>
      </w:r>
      <w:r>
        <w:rPr>
          <w:color w:val="231F20"/>
          <w:spacing w:val="-8"/>
          <w:w w:val="120"/>
        </w:rPr>
        <w:t> </w:t>
      </w:r>
      <w:r>
        <w:rPr>
          <w:color w:val="231F20"/>
          <w:spacing w:val="-2"/>
          <w:w w:val="120"/>
        </w:rPr>
        <w:t>mis</w:t>
      </w:r>
      <w:r>
        <w:rPr>
          <w:color w:val="231F20"/>
          <w:spacing w:val="-8"/>
          <w:w w:val="120"/>
        </w:rPr>
        <w:t> </w:t>
      </w:r>
      <w:r>
        <w:rPr>
          <w:color w:val="231F20"/>
          <w:spacing w:val="-2"/>
          <w:w w:val="120"/>
        </w:rPr>
        <w:t>en</w:t>
      </w:r>
      <w:r>
        <w:rPr>
          <w:color w:val="231F20"/>
          <w:spacing w:val="-8"/>
          <w:w w:val="120"/>
        </w:rPr>
        <w:t> </w:t>
      </w:r>
      <w:r>
        <w:rPr>
          <w:color w:val="231F20"/>
          <w:spacing w:val="-2"/>
          <w:w w:val="120"/>
        </w:rPr>
        <w:t>place</w:t>
      </w:r>
      <w:r>
        <w:rPr>
          <w:color w:val="231F20"/>
          <w:spacing w:val="-8"/>
          <w:w w:val="120"/>
        </w:rPr>
        <w:t> </w:t>
      </w:r>
      <w:r>
        <w:rPr>
          <w:color w:val="231F20"/>
          <w:spacing w:val="-2"/>
          <w:w w:val="120"/>
        </w:rPr>
        <w:t>des</w:t>
      </w:r>
      <w:r>
        <w:rPr>
          <w:color w:val="231F20"/>
          <w:spacing w:val="-8"/>
          <w:w w:val="120"/>
        </w:rPr>
        <w:t> </w:t>
      </w:r>
      <w:r>
        <w:rPr>
          <w:color w:val="231F20"/>
          <w:spacing w:val="-2"/>
          <w:w w:val="120"/>
        </w:rPr>
        <w:t>programmes</w:t>
      </w:r>
      <w:r>
        <w:rPr>
          <w:color w:val="231F20"/>
          <w:spacing w:val="-8"/>
          <w:w w:val="120"/>
        </w:rPr>
        <w:t> </w:t>
      </w:r>
      <w:r>
        <w:rPr>
          <w:color w:val="231F20"/>
          <w:spacing w:val="-2"/>
          <w:w w:val="120"/>
        </w:rPr>
        <w:t>de</w:t>
      </w:r>
      <w:r>
        <w:rPr>
          <w:color w:val="231F20"/>
          <w:spacing w:val="-8"/>
          <w:w w:val="120"/>
        </w:rPr>
        <w:t> </w:t>
      </w:r>
      <w:r>
        <w:rPr>
          <w:color w:val="231F20"/>
          <w:spacing w:val="-2"/>
          <w:w w:val="120"/>
        </w:rPr>
        <w:t>pré- </w:t>
      </w:r>
      <w:r>
        <w:rPr>
          <w:color w:val="231F20"/>
          <w:w w:val="120"/>
        </w:rPr>
        <w:t>vention,</w:t>
      </w:r>
      <w:r>
        <w:rPr>
          <w:color w:val="231F20"/>
          <w:spacing w:val="-8"/>
          <w:w w:val="120"/>
        </w:rPr>
        <w:t> </w:t>
      </w:r>
      <w:r>
        <w:rPr>
          <w:color w:val="231F20"/>
          <w:w w:val="120"/>
        </w:rPr>
        <w:t>de</w:t>
      </w:r>
      <w:r>
        <w:rPr>
          <w:color w:val="231F20"/>
          <w:spacing w:val="-7"/>
          <w:w w:val="120"/>
        </w:rPr>
        <w:t> </w:t>
      </w:r>
      <w:r>
        <w:rPr>
          <w:color w:val="231F20"/>
          <w:w w:val="120"/>
        </w:rPr>
        <w:t>sensibilisation</w:t>
      </w:r>
      <w:r>
        <w:rPr>
          <w:color w:val="231F20"/>
          <w:spacing w:val="-8"/>
          <w:w w:val="120"/>
        </w:rPr>
        <w:t> </w:t>
      </w:r>
      <w:r>
        <w:rPr>
          <w:color w:val="231F20"/>
          <w:w w:val="120"/>
        </w:rPr>
        <w:t>et</w:t>
      </w:r>
      <w:r>
        <w:rPr>
          <w:color w:val="231F20"/>
          <w:spacing w:val="-7"/>
          <w:w w:val="120"/>
        </w:rPr>
        <w:t> </w:t>
      </w:r>
      <w:r>
        <w:rPr>
          <w:color w:val="231F20"/>
          <w:w w:val="120"/>
        </w:rPr>
        <w:t>d’intervention</w:t>
      </w:r>
      <w:r>
        <w:rPr>
          <w:color w:val="231F20"/>
          <w:spacing w:val="-7"/>
          <w:w w:val="120"/>
        </w:rPr>
        <w:t> </w:t>
      </w:r>
      <w:r>
        <w:rPr>
          <w:color w:val="231F20"/>
          <w:w w:val="120"/>
        </w:rPr>
        <w:t>afin</w:t>
      </w:r>
      <w:r>
        <w:rPr>
          <w:color w:val="231F20"/>
          <w:spacing w:val="-8"/>
          <w:w w:val="120"/>
        </w:rPr>
        <w:t> </w:t>
      </w:r>
      <w:r>
        <w:rPr>
          <w:color w:val="231F20"/>
          <w:w w:val="120"/>
        </w:rPr>
        <w:t>de</w:t>
      </w:r>
      <w:r>
        <w:rPr>
          <w:color w:val="231F20"/>
          <w:spacing w:val="-7"/>
          <w:w w:val="120"/>
        </w:rPr>
        <w:t> </w:t>
      </w:r>
      <w:r>
        <w:rPr>
          <w:color w:val="231F20"/>
          <w:w w:val="120"/>
        </w:rPr>
        <w:t>contrer</w:t>
      </w:r>
      <w:r>
        <w:rPr>
          <w:color w:val="231F20"/>
          <w:spacing w:val="-8"/>
          <w:w w:val="120"/>
        </w:rPr>
        <w:t> </w:t>
      </w:r>
      <w:r>
        <w:rPr>
          <w:color w:val="231F20"/>
          <w:w w:val="120"/>
        </w:rPr>
        <w:t>ce</w:t>
      </w:r>
      <w:r>
        <w:rPr>
          <w:color w:val="231F20"/>
          <w:spacing w:val="-7"/>
          <w:w w:val="120"/>
        </w:rPr>
        <w:t> </w:t>
      </w:r>
      <w:r>
        <w:rPr>
          <w:color w:val="231F20"/>
          <w:w w:val="120"/>
        </w:rPr>
        <w:t>fléau</w:t>
      </w:r>
      <w:r>
        <w:rPr>
          <w:color w:val="231F20"/>
          <w:spacing w:val="-7"/>
          <w:w w:val="120"/>
        </w:rPr>
        <w:t> </w:t>
      </w:r>
      <w:r>
        <w:rPr>
          <w:color w:val="231F20"/>
          <w:spacing w:val="-5"/>
          <w:w w:val="120"/>
        </w:rPr>
        <w:t>qui</w:t>
      </w:r>
    </w:p>
    <w:p>
      <w:pPr>
        <w:spacing w:after="0" w:line="307" w:lineRule="auto"/>
        <w:jc w:val="both"/>
        <w:sectPr>
          <w:footerReference w:type="default" r:id="rId54"/>
          <w:pgSz w:w="8640" w:h="12960"/>
          <w:pgMar w:footer="424" w:header="0" w:top="520" w:bottom="620" w:left="460" w:right="1000"/>
        </w:sectPr>
      </w:pPr>
    </w:p>
    <w:p>
      <w:pPr>
        <w:spacing w:before="118"/>
        <w:ind w:left="2462" w:right="0" w:firstLine="0"/>
        <w:jc w:val="left"/>
        <w:rPr>
          <w:rFonts w:ascii="Arial" w:hAnsi="Arial"/>
          <w:sz w:val="14"/>
        </w:rPr>
      </w:pPr>
      <w:bookmarkStart w:name=" 1.5.2 / Deuxième paradoxe – l’absence d" w:id="25"/>
      <w:bookmarkEnd w:id="25"/>
      <w:r>
        <w:rPr/>
      </w:r>
      <w:bookmarkStart w:name="_bookmark10" w:id="26"/>
      <w:bookmarkEnd w:id="26"/>
      <w:r>
        <w:rPr/>
      </w: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180" w:right="243"/>
        <w:jc w:val="both"/>
      </w:pPr>
      <w:r>
        <w:rPr>
          <w:color w:val="231F20"/>
          <w:w w:val="120"/>
        </w:rPr>
        <w:t>met en péril le bon fonctionnement et le développement social d’un nombre</w:t>
      </w:r>
      <w:r>
        <w:rPr>
          <w:color w:val="231F20"/>
          <w:spacing w:val="-13"/>
          <w:w w:val="120"/>
        </w:rPr>
        <w:t> </w:t>
      </w:r>
      <w:r>
        <w:rPr>
          <w:color w:val="231F20"/>
          <w:w w:val="120"/>
        </w:rPr>
        <w:t>grandissant</w:t>
      </w:r>
      <w:r>
        <w:rPr>
          <w:color w:val="231F20"/>
          <w:spacing w:val="-13"/>
          <w:w w:val="120"/>
        </w:rPr>
        <w:t> </w:t>
      </w:r>
      <w:r>
        <w:rPr>
          <w:color w:val="231F20"/>
          <w:w w:val="120"/>
        </w:rPr>
        <w:t>de</w:t>
      </w:r>
      <w:r>
        <w:rPr>
          <w:color w:val="231F20"/>
          <w:spacing w:val="-13"/>
          <w:w w:val="120"/>
        </w:rPr>
        <w:t> </w:t>
      </w:r>
      <w:r>
        <w:rPr>
          <w:color w:val="231F20"/>
          <w:w w:val="120"/>
        </w:rPr>
        <w:t>pays.</w:t>
      </w:r>
      <w:r>
        <w:rPr>
          <w:color w:val="231F20"/>
          <w:spacing w:val="-12"/>
          <w:w w:val="120"/>
        </w:rPr>
        <w:t> </w:t>
      </w:r>
      <w:r>
        <w:rPr>
          <w:color w:val="231F20"/>
          <w:w w:val="120"/>
        </w:rPr>
        <w:t>Comme</w:t>
      </w:r>
      <w:r>
        <w:rPr>
          <w:color w:val="231F20"/>
          <w:spacing w:val="-13"/>
          <w:w w:val="120"/>
        </w:rPr>
        <w:t> </w:t>
      </w:r>
      <w:r>
        <w:rPr>
          <w:color w:val="231F20"/>
          <w:w w:val="120"/>
        </w:rPr>
        <w:t>plusieurs</w:t>
      </w:r>
      <w:r>
        <w:rPr>
          <w:color w:val="231F20"/>
          <w:spacing w:val="-13"/>
          <w:w w:val="120"/>
        </w:rPr>
        <w:t> </w:t>
      </w:r>
      <w:r>
        <w:rPr>
          <w:color w:val="231F20"/>
          <w:w w:val="120"/>
        </w:rPr>
        <w:t>le</w:t>
      </w:r>
      <w:r>
        <w:rPr>
          <w:color w:val="231F20"/>
          <w:spacing w:val="-13"/>
          <w:w w:val="120"/>
        </w:rPr>
        <w:t> </w:t>
      </w:r>
      <w:r>
        <w:rPr>
          <w:color w:val="231F20"/>
          <w:w w:val="120"/>
        </w:rPr>
        <w:t>mentionnent,</w:t>
      </w:r>
      <w:r>
        <w:rPr>
          <w:color w:val="231F20"/>
          <w:spacing w:val="-12"/>
          <w:w w:val="120"/>
        </w:rPr>
        <w:t> </w:t>
      </w:r>
      <w:r>
        <w:rPr>
          <w:color w:val="231F20"/>
          <w:w w:val="120"/>
        </w:rPr>
        <w:t>le</w:t>
      </w:r>
      <w:r>
        <w:rPr>
          <w:color w:val="231F20"/>
          <w:spacing w:val="-13"/>
          <w:w w:val="120"/>
        </w:rPr>
        <w:t> </w:t>
      </w:r>
      <w:r>
        <w:rPr>
          <w:color w:val="231F20"/>
          <w:w w:val="120"/>
        </w:rPr>
        <w:t>stress est le mal du siècle.</w:t>
      </w:r>
    </w:p>
    <w:p>
      <w:pPr>
        <w:pStyle w:val="BodyText"/>
        <w:spacing w:line="307" w:lineRule="auto" w:before="80"/>
        <w:ind w:left="1180" w:right="243" w:firstLine="250"/>
        <w:jc w:val="both"/>
      </w:pPr>
      <w:r>
        <w:rPr>
          <w:color w:val="231F20"/>
          <w:spacing w:val="-2"/>
          <w:w w:val="120"/>
        </w:rPr>
        <w:t>Malgré</w:t>
      </w:r>
      <w:r>
        <w:rPr>
          <w:color w:val="231F20"/>
          <w:spacing w:val="-5"/>
          <w:w w:val="120"/>
        </w:rPr>
        <w:t> </w:t>
      </w:r>
      <w:r>
        <w:rPr>
          <w:color w:val="231F20"/>
          <w:spacing w:val="-2"/>
          <w:w w:val="120"/>
        </w:rPr>
        <w:t>cet</w:t>
      </w:r>
      <w:r>
        <w:rPr>
          <w:color w:val="231F20"/>
          <w:spacing w:val="-5"/>
          <w:w w:val="120"/>
        </w:rPr>
        <w:t> </w:t>
      </w:r>
      <w:r>
        <w:rPr>
          <w:color w:val="231F20"/>
          <w:spacing w:val="-2"/>
          <w:w w:val="120"/>
        </w:rPr>
        <w:t>état</w:t>
      </w:r>
      <w:r>
        <w:rPr>
          <w:color w:val="231F20"/>
          <w:spacing w:val="-5"/>
          <w:w w:val="120"/>
        </w:rPr>
        <w:t> </w:t>
      </w:r>
      <w:r>
        <w:rPr>
          <w:color w:val="231F20"/>
          <w:spacing w:val="-2"/>
          <w:w w:val="120"/>
        </w:rPr>
        <w:t>de</w:t>
      </w:r>
      <w:r>
        <w:rPr>
          <w:color w:val="231F20"/>
          <w:spacing w:val="-5"/>
          <w:w w:val="120"/>
        </w:rPr>
        <w:t> </w:t>
      </w:r>
      <w:r>
        <w:rPr>
          <w:color w:val="231F20"/>
          <w:spacing w:val="-2"/>
          <w:w w:val="120"/>
        </w:rPr>
        <w:t>fait,</w:t>
      </w:r>
      <w:r>
        <w:rPr>
          <w:color w:val="231F20"/>
          <w:spacing w:val="-5"/>
          <w:w w:val="120"/>
        </w:rPr>
        <w:t> </w:t>
      </w:r>
      <w:r>
        <w:rPr>
          <w:color w:val="231F20"/>
          <w:spacing w:val="-2"/>
          <w:w w:val="120"/>
        </w:rPr>
        <w:t>force</w:t>
      </w:r>
      <w:r>
        <w:rPr>
          <w:color w:val="231F20"/>
          <w:spacing w:val="-5"/>
          <w:w w:val="120"/>
        </w:rPr>
        <w:t> </w:t>
      </w:r>
      <w:r>
        <w:rPr>
          <w:color w:val="231F20"/>
          <w:spacing w:val="-2"/>
          <w:w w:val="120"/>
        </w:rPr>
        <w:t>est</w:t>
      </w:r>
      <w:r>
        <w:rPr>
          <w:color w:val="231F20"/>
          <w:spacing w:val="-5"/>
          <w:w w:val="120"/>
        </w:rPr>
        <w:t> </w:t>
      </w:r>
      <w:r>
        <w:rPr>
          <w:color w:val="231F20"/>
          <w:spacing w:val="-2"/>
          <w:w w:val="120"/>
        </w:rPr>
        <w:t>de</w:t>
      </w:r>
      <w:r>
        <w:rPr>
          <w:color w:val="231F20"/>
          <w:spacing w:val="-5"/>
          <w:w w:val="120"/>
        </w:rPr>
        <w:t> </w:t>
      </w:r>
      <w:r>
        <w:rPr>
          <w:color w:val="231F20"/>
          <w:spacing w:val="-2"/>
          <w:w w:val="120"/>
        </w:rPr>
        <w:t>reconnaître</w:t>
      </w:r>
      <w:r>
        <w:rPr>
          <w:color w:val="231F20"/>
          <w:spacing w:val="-5"/>
          <w:w w:val="120"/>
        </w:rPr>
        <w:t> </w:t>
      </w:r>
      <w:r>
        <w:rPr>
          <w:color w:val="231F20"/>
          <w:spacing w:val="-2"/>
          <w:w w:val="120"/>
        </w:rPr>
        <w:t>qu’on</w:t>
      </w:r>
      <w:r>
        <w:rPr>
          <w:color w:val="231F20"/>
          <w:spacing w:val="-5"/>
          <w:w w:val="120"/>
        </w:rPr>
        <w:t> </w:t>
      </w:r>
      <w:r>
        <w:rPr>
          <w:color w:val="231F20"/>
          <w:spacing w:val="-2"/>
          <w:w w:val="120"/>
        </w:rPr>
        <w:t>banalise</w:t>
      </w:r>
      <w:r>
        <w:rPr>
          <w:color w:val="231F20"/>
          <w:spacing w:val="-5"/>
          <w:w w:val="120"/>
        </w:rPr>
        <w:t> </w:t>
      </w:r>
      <w:r>
        <w:rPr>
          <w:color w:val="231F20"/>
          <w:spacing w:val="-2"/>
          <w:w w:val="120"/>
        </w:rPr>
        <w:t>encore </w:t>
      </w:r>
      <w:r>
        <w:rPr>
          <w:color w:val="231F20"/>
          <w:w w:val="120"/>
        </w:rPr>
        <w:t>trop souvent le phénomène. À titre d’exemple, il convient de décrier une</w:t>
      </w:r>
      <w:r>
        <w:rPr>
          <w:color w:val="231F20"/>
          <w:spacing w:val="-13"/>
          <w:w w:val="120"/>
        </w:rPr>
        <w:t> </w:t>
      </w:r>
      <w:r>
        <w:rPr>
          <w:color w:val="231F20"/>
          <w:w w:val="120"/>
        </w:rPr>
        <w:t>marchandisation</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2"/>
          <w:w w:val="120"/>
        </w:rPr>
        <w:t> </w:t>
      </w:r>
      <w:r>
        <w:rPr>
          <w:color w:val="231F20"/>
          <w:w w:val="120"/>
        </w:rPr>
        <w:t>où</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est</w:t>
      </w:r>
      <w:r>
        <w:rPr>
          <w:color w:val="231F20"/>
          <w:spacing w:val="-12"/>
          <w:w w:val="120"/>
        </w:rPr>
        <w:t> </w:t>
      </w:r>
      <w:r>
        <w:rPr>
          <w:color w:val="231F20"/>
          <w:w w:val="120"/>
        </w:rPr>
        <w:t>parfois</w:t>
      </w:r>
      <w:r>
        <w:rPr>
          <w:color w:val="231F20"/>
          <w:spacing w:val="-13"/>
          <w:w w:val="120"/>
        </w:rPr>
        <w:t> </w:t>
      </w:r>
      <w:r>
        <w:rPr>
          <w:color w:val="231F20"/>
          <w:w w:val="120"/>
        </w:rPr>
        <w:t>perçu</w:t>
      </w:r>
      <w:r>
        <w:rPr>
          <w:color w:val="231F20"/>
          <w:spacing w:val="-13"/>
          <w:w w:val="120"/>
        </w:rPr>
        <w:t> </w:t>
      </w:r>
      <w:r>
        <w:rPr>
          <w:color w:val="231F20"/>
          <w:w w:val="120"/>
        </w:rPr>
        <w:t>comme</w:t>
      </w:r>
      <w:r>
        <w:rPr>
          <w:color w:val="231F20"/>
          <w:spacing w:val="-13"/>
          <w:w w:val="120"/>
        </w:rPr>
        <w:t> </w:t>
      </w:r>
      <w:r>
        <w:rPr>
          <w:color w:val="231F20"/>
          <w:w w:val="120"/>
        </w:rPr>
        <w:t>une </w:t>
      </w:r>
      <w:r>
        <w:rPr>
          <w:color w:val="231F20"/>
          <w:w w:val="115"/>
        </w:rPr>
        <w:t>bonne</w:t>
      </w:r>
      <w:r>
        <w:rPr>
          <w:color w:val="231F20"/>
          <w:spacing w:val="-5"/>
          <w:w w:val="115"/>
        </w:rPr>
        <w:t> </w:t>
      </w:r>
      <w:r>
        <w:rPr>
          <w:color w:val="231F20"/>
          <w:w w:val="115"/>
        </w:rPr>
        <w:t>occasion</w:t>
      </w:r>
      <w:r>
        <w:rPr>
          <w:color w:val="231F20"/>
          <w:spacing w:val="-5"/>
          <w:w w:val="115"/>
        </w:rPr>
        <w:t> </w:t>
      </w:r>
      <w:r>
        <w:rPr>
          <w:color w:val="231F20"/>
          <w:w w:val="115"/>
        </w:rPr>
        <w:t>commerciale.</w:t>
      </w:r>
      <w:r>
        <w:rPr>
          <w:color w:val="231F20"/>
          <w:spacing w:val="-5"/>
          <w:w w:val="115"/>
        </w:rPr>
        <w:t> </w:t>
      </w:r>
      <w:r>
        <w:rPr>
          <w:color w:val="231F20"/>
          <w:w w:val="115"/>
        </w:rPr>
        <w:t>On</w:t>
      </w:r>
      <w:r>
        <w:rPr>
          <w:color w:val="231F20"/>
          <w:spacing w:val="-5"/>
          <w:w w:val="115"/>
        </w:rPr>
        <w:t> </w:t>
      </w:r>
      <w:r>
        <w:rPr>
          <w:color w:val="231F20"/>
          <w:w w:val="115"/>
        </w:rPr>
        <w:t>retrouve</w:t>
      </w:r>
      <w:r>
        <w:rPr>
          <w:color w:val="231F20"/>
          <w:spacing w:val="-5"/>
          <w:w w:val="115"/>
        </w:rPr>
        <w:t> </w:t>
      </w:r>
      <w:r>
        <w:rPr>
          <w:color w:val="231F20"/>
          <w:w w:val="115"/>
        </w:rPr>
        <w:t>la</w:t>
      </w:r>
      <w:r>
        <w:rPr>
          <w:color w:val="231F20"/>
          <w:spacing w:val="-5"/>
          <w:w w:val="115"/>
        </w:rPr>
        <w:t> </w:t>
      </w:r>
      <w:r>
        <w:rPr>
          <w:color w:val="231F20"/>
          <w:w w:val="115"/>
        </w:rPr>
        <w:t>preuve</w:t>
      </w:r>
      <w:r>
        <w:rPr>
          <w:color w:val="231F20"/>
          <w:spacing w:val="-5"/>
          <w:w w:val="115"/>
        </w:rPr>
        <w:t> </w:t>
      </w:r>
      <w:r>
        <w:rPr>
          <w:color w:val="231F20"/>
          <w:w w:val="115"/>
        </w:rPr>
        <w:t>de</w:t>
      </w:r>
      <w:r>
        <w:rPr>
          <w:color w:val="231F20"/>
          <w:spacing w:val="-5"/>
          <w:w w:val="115"/>
        </w:rPr>
        <w:t> </w:t>
      </w:r>
      <w:r>
        <w:rPr>
          <w:color w:val="231F20"/>
          <w:w w:val="115"/>
        </w:rPr>
        <w:t>cela</w:t>
      </w:r>
      <w:r>
        <w:rPr>
          <w:color w:val="231F20"/>
          <w:spacing w:val="-5"/>
          <w:w w:val="115"/>
        </w:rPr>
        <w:t> </w:t>
      </w:r>
      <w:r>
        <w:rPr>
          <w:color w:val="231F20"/>
          <w:w w:val="115"/>
        </w:rPr>
        <w:t>dans</w:t>
      </w:r>
      <w:r>
        <w:rPr>
          <w:color w:val="231F20"/>
          <w:spacing w:val="-5"/>
          <w:w w:val="115"/>
        </w:rPr>
        <w:t> </w:t>
      </w:r>
      <w:r>
        <w:rPr>
          <w:color w:val="231F20"/>
          <w:w w:val="115"/>
        </w:rPr>
        <w:t>les</w:t>
      </w:r>
      <w:r>
        <w:rPr>
          <w:color w:val="231F20"/>
          <w:spacing w:val="-5"/>
          <w:w w:val="115"/>
        </w:rPr>
        <w:t> </w:t>
      </w:r>
      <w:r>
        <w:rPr>
          <w:color w:val="231F20"/>
          <w:w w:val="115"/>
        </w:rPr>
        <w:t>mul- </w:t>
      </w:r>
      <w:r>
        <w:rPr>
          <w:color w:val="231F20"/>
          <w:w w:val="120"/>
        </w:rPr>
        <w:t>tiples</w:t>
      </w:r>
      <w:r>
        <w:rPr>
          <w:color w:val="231F20"/>
          <w:spacing w:val="-1"/>
          <w:w w:val="120"/>
        </w:rPr>
        <w:t> </w:t>
      </w:r>
      <w:r>
        <w:rPr>
          <w:color w:val="231F20"/>
          <w:w w:val="120"/>
        </w:rPr>
        <w:t>produits</w:t>
      </w:r>
      <w:r>
        <w:rPr>
          <w:color w:val="231F20"/>
          <w:spacing w:val="-1"/>
          <w:w w:val="120"/>
        </w:rPr>
        <w:t> </w:t>
      </w:r>
      <w:r>
        <w:rPr>
          <w:color w:val="231F20"/>
          <w:w w:val="120"/>
        </w:rPr>
        <w:t>actuellement</w:t>
      </w:r>
      <w:r>
        <w:rPr>
          <w:color w:val="231F20"/>
          <w:spacing w:val="-1"/>
          <w:w w:val="120"/>
        </w:rPr>
        <w:t> </w:t>
      </w:r>
      <w:r>
        <w:rPr>
          <w:color w:val="231F20"/>
          <w:w w:val="120"/>
        </w:rPr>
        <w:t>sur</w:t>
      </w:r>
      <w:r>
        <w:rPr>
          <w:color w:val="231F20"/>
          <w:spacing w:val="-1"/>
          <w:w w:val="120"/>
        </w:rPr>
        <w:t> </w:t>
      </w:r>
      <w:r>
        <w:rPr>
          <w:color w:val="231F20"/>
          <w:w w:val="120"/>
        </w:rPr>
        <w:t>le</w:t>
      </w:r>
      <w:r>
        <w:rPr>
          <w:color w:val="231F20"/>
          <w:spacing w:val="-1"/>
          <w:w w:val="120"/>
        </w:rPr>
        <w:t> </w:t>
      </w:r>
      <w:r>
        <w:rPr>
          <w:color w:val="231F20"/>
          <w:w w:val="120"/>
        </w:rPr>
        <w:t>marché</w:t>
      </w:r>
      <w:r>
        <w:rPr>
          <w:color w:val="231F20"/>
          <w:spacing w:val="-1"/>
          <w:w w:val="120"/>
        </w:rPr>
        <w:t> </w:t>
      </w:r>
      <w:r>
        <w:rPr>
          <w:color w:val="231F20"/>
          <w:w w:val="120"/>
        </w:rPr>
        <w:t>auxquels</w:t>
      </w:r>
      <w:r>
        <w:rPr>
          <w:color w:val="231F20"/>
          <w:spacing w:val="-1"/>
          <w:w w:val="120"/>
        </w:rPr>
        <w:t> </w:t>
      </w:r>
      <w:r>
        <w:rPr>
          <w:color w:val="231F20"/>
          <w:w w:val="120"/>
        </w:rPr>
        <w:t>on</w:t>
      </w:r>
      <w:r>
        <w:rPr>
          <w:color w:val="231F20"/>
          <w:spacing w:val="-1"/>
          <w:w w:val="120"/>
        </w:rPr>
        <w:t> </w:t>
      </w:r>
      <w:r>
        <w:rPr>
          <w:color w:val="231F20"/>
          <w:w w:val="120"/>
        </w:rPr>
        <w:t>accole</w:t>
      </w:r>
      <w:r>
        <w:rPr>
          <w:color w:val="231F20"/>
          <w:spacing w:val="-1"/>
          <w:w w:val="120"/>
        </w:rPr>
        <w:t> </w:t>
      </w:r>
      <w:r>
        <w:rPr>
          <w:color w:val="231F20"/>
          <w:w w:val="120"/>
        </w:rPr>
        <w:t>des</w:t>
      </w:r>
      <w:r>
        <w:rPr>
          <w:color w:val="231F20"/>
          <w:spacing w:val="-1"/>
          <w:w w:val="120"/>
        </w:rPr>
        <w:t> </w:t>
      </w:r>
      <w:r>
        <w:rPr>
          <w:color w:val="231F20"/>
          <w:w w:val="120"/>
        </w:rPr>
        <w:t>pro- priétés antistress. Des chemises n’ayant pas besoin de repassage, aux souliers</w:t>
      </w:r>
      <w:r>
        <w:rPr>
          <w:color w:val="231F20"/>
          <w:spacing w:val="-13"/>
          <w:w w:val="120"/>
        </w:rPr>
        <w:t> </w:t>
      </w:r>
      <w:r>
        <w:rPr>
          <w:color w:val="231F20"/>
          <w:w w:val="120"/>
        </w:rPr>
        <w:t>offrant</w:t>
      </w:r>
      <w:r>
        <w:rPr>
          <w:color w:val="231F20"/>
          <w:spacing w:val="-13"/>
          <w:w w:val="120"/>
        </w:rPr>
        <w:t> </w:t>
      </w:r>
      <w:r>
        <w:rPr>
          <w:color w:val="231F20"/>
          <w:w w:val="120"/>
        </w:rPr>
        <w:t>un</w:t>
      </w:r>
      <w:r>
        <w:rPr>
          <w:color w:val="231F20"/>
          <w:spacing w:val="-13"/>
          <w:w w:val="120"/>
        </w:rPr>
        <w:t> </w:t>
      </w:r>
      <w:r>
        <w:rPr>
          <w:color w:val="231F20"/>
          <w:w w:val="120"/>
        </w:rPr>
        <w:t>bon</w:t>
      </w:r>
      <w:r>
        <w:rPr>
          <w:color w:val="231F20"/>
          <w:spacing w:val="-12"/>
          <w:w w:val="120"/>
        </w:rPr>
        <w:t> </w:t>
      </w:r>
      <w:r>
        <w:rPr>
          <w:color w:val="231F20"/>
          <w:w w:val="120"/>
        </w:rPr>
        <w:t>confort,</w:t>
      </w:r>
      <w:r>
        <w:rPr>
          <w:color w:val="231F20"/>
          <w:spacing w:val="-13"/>
          <w:w w:val="120"/>
        </w:rPr>
        <w:t> </w:t>
      </w:r>
      <w:r>
        <w:rPr>
          <w:color w:val="231F20"/>
          <w:w w:val="120"/>
        </w:rPr>
        <w:t>en</w:t>
      </w:r>
      <w:r>
        <w:rPr>
          <w:color w:val="231F20"/>
          <w:spacing w:val="-13"/>
          <w:w w:val="120"/>
        </w:rPr>
        <w:t> </w:t>
      </w:r>
      <w:r>
        <w:rPr>
          <w:color w:val="231F20"/>
          <w:w w:val="120"/>
        </w:rPr>
        <w:t>passant</w:t>
      </w:r>
      <w:r>
        <w:rPr>
          <w:color w:val="231F20"/>
          <w:spacing w:val="-13"/>
          <w:w w:val="120"/>
        </w:rPr>
        <w:t> </w:t>
      </w:r>
      <w:r>
        <w:rPr>
          <w:color w:val="231F20"/>
          <w:w w:val="120"/>
        </w:rPr>
        <w:t>par</w:t>
      </w:r>
      <w:r>
        <w:rPr>
          <w:color w:val="231F20"/>
          <w:spacing w:val="-12"/>
          <w:w w:val="120"/>
        </w:rPr>
        <w:t> </w:t>
      </w:r>
      <w:r>
        <w:rPr>
          <w:color w:val="231F20"/>
          <w:w w:val="120"/>
        </w:rPr>
        <w:t>nombre</w:t>
      </w:r>
      <w:r>
        <w:rPr>
          <w:color w:val="231F20"/>
          <w:spacing w:val="-13"/>
          <w:w w:val="120"/>
        </w:rPr>
        <w:t> </w:t>
      </w:r>
      <w:r>
        <w:rPr>
          <w:color w:val="231F20"/>
          <w:w w:val="120"/>
        </w:rPr>
        <w:t>de</w:t>
      </w:r>
      <w:r>
        <w:rPr>
          <w:color w:val="231F20"/>
          <w:spacing w:val="-13"/>
          <w:w w:val="120"/>
        </w:rPr>
        <w:t> </w:t>
      </w:r>
      <w:r>
        <w:rPr>
          <w:color w:val="231F20"/>
          <w:w w:val="120"/>
        </w:rPr>
        <w:t>boissons</w:t>
      </w:r>
      <w:r>
        <w:rPr>
          <w:color w:val="231F20"/>
          <w:spacing w:val="-13"/>
          <w:w w:val="120"/>
        </w:rPr>
        <w:t> </w:t>
      </w:r>
      <w:r>
        <w:rPr>
          <w:color w:val="231F20"/>
          <w:w w:val="120"/>
        </w:rPr>
        <w:t>dites </w:t>
      </w:r>
      <w:r>
        <w:rPr>
          <w:color w:val="231F20"/>
          <w:w w:val="115"/>
        </w:rPr>
        <w:t>relaxantes,</w:t>
      </w:r>
      <w:r>
        <w:rPr>
          <w:color w:val="231F20"/>
          <w:spacing w:val="-7"/>
          <w:w w:val="115"/>
        </w:rPr>
        <w:t> </w:t>
      </w:r>
      <w:r>
        <w:rPr>
          <w:color w:val="231F20"/>
          <w:w w:val="115"/>
        </w:rPr>
        <w:t>toutes</w:t>
      </w:r>
      <w:r>
        <w:rPr>
          <w:color w:val="231F20"/>
          <w:spacing w:val="-7"/>
          <w:w w:val="115"/>
        </w:rPr>
        <w:t> </w:t>
      </w:r>
      <w:r>
        <w:rPr>
          <w:color w:val="231F20"/>
          <w:w w:val="115"/>
        </w:rPr>
        <w:t>les</w:t>
      </w:r>
      <w:r>
        <w:rPr>
          <w:color w:val="231F20"/>
          <w:spacing w:val="-7"/>
          <w:w w:val="115"/>
        </w:rPr>
        <w:t> </w:t>
      </w:r>
      <w:r>
        <w:rPr>
          <w:color w:val="231F20"/>
          <w:w w:val="115"/>
        </w:rPr>
        <w:t>occasions</w:t>
      </w:r>
      <w:r>
        <w:rPr>
          <w:color w:val="231F20"/>
          <w:spacing w:val="-7"/>
          <w:w w:val="115"/>
        </w:rPr>
        <w:t> </w:t>
      </w:r>
      <w:r>
        <w:rPr>
          <w:color w:val="231F20"/>
          <w:w w:val="115"/>
        </w:rPr>
        <w:t>sont</w:t>
      </w:r>
      <w:r>
        <w:rPr>
          <w:color w:val="231F20"/>
          <w:spacing w:val="-7"/>
          <w:w w:val="115"/>
        </w:rPr>
        <w:t> </w:t>
      </w:r>
      <w:r>
        <w:rPr>
          <w:color w:val="231F20"/>
          <w:w w:val="115"/>
        </w:rPr>
        <w:t>bonnes</w:t>
      </w:r>
      <w:r>
        <w:rPr>
          <w:color w:val="231F20"/>
          <w:spacing w:val="-7"/>
          <w:w w:val="115"/>
        </w:rPr>
        <w:t> </w:t>
      </w:r>
      <w:r>
        <w:rPr>
          <w:color w:val="231F20"/>
          <w:w w:val="115"/>
        </w:rPr>
        <w:t>pour</w:t>
      </w:r>
      <w:r>
        <w:rPr>
          <w:color w:val="231F20"/>
          <w:spacing w:val="-7"/>
          <w:w w:val="115"/>
        </w:rPr>
        <w:t> </w:t>
      </w:r>
      <w:r>
        <w:rPr>
          <w:color w:val="231F20"/>
          <w:w w:val="115"/>
        </w:rPr>
        <w:t>commercialiser</w:t>
      </w:r>
      <w:r>
        <w:rPr>
          <w:color w:val="231F20"/>
          <w:spacing w:val="-7"/>
          <w:w w:val="115"/>
        </w:rPr>
        <w:t> </w:t>
      </w:r>
      <w:r>
        <w:rPr>
          <w:color w:val="231F20"/>
          <w:w w:val="115"/>
        </w:rPr>
        <w:t>ce</w:t>
      </w:r>
      <w:r>
        <w:rPr>
          <w:color w:val="231F20"/>
          <w:spacing w:val="-7"/>
          <w:w w:val="115"/>
        </w:rPr>
        <w:t> </w:t>
      </w:r>
      <w:r>
        <w:rPr>
          <w:color w:val="231F20"/>
          <w:w w:val="115"/>
        </w:rPr>
        <w:t>grave </w:t>
      </w:r>
      <w:r>
        <w:rPr>
          <w:color w:val="231F20"/>
          <w:w w:val="120"/>
        </w:rPr>
        <w:t>fléau social en accolant des propriétés antistress à des produits de tout acabit.</w:t>
      </w:r>
      <w:r>
        <w:rPr>
          <w:color w:val="231F20"/>
          <w:spacing w:val="-10"/>
          <w:w w:val="120"/>
        </w:rPr>
        <w:t> </w:t>
      </w:r>
      <w:r>
        <w:rPr>
          <w:color w:val="231F20"/>
          <w:w w:val="120"/>
        </w:rPr>
        <w:t>L’appellation</w:t>
      </w:r>
      <w:r>
        <w:rPr>
          <w:color w:val="231F20"/>
          <w:spacing w:val="-10"/>
          <w:w w:val="120"/>
        </w:rPr>
        <w:t> </w:t>
      </w:r>
      <w:r>
        <w:rPr>
          <w:i/>
          <w:color w:val="231F20"/>
          <w:w w:val="120"/>
        </w:rPr>
        <w:t>antistress</w:t>
      </w:r>
      <w:r>
        <w:rPr>
          <w:i/>
          <w:color w:val="231F20"/>
          <w:spacing w:val="-10"/>
          <w:w w:val="120"/>
        </w:rPr>
        <w:t> </w:t>
      </w:r>
      <w:r>
        <w:rPr>
          <w:color w:val="231F20"/>
          <w:w w:val="120"/>
        </w:rPr>
        <w:t>n’est</w:t>
      </w:r>
      <w:r>
        <w:rPr>
          <w:color w:val="231F20"/>
          <w:spacing w:val="-10"/>
          <w:w w:val="120"/>
        </w:rPr>
        <w:t> </w:t>
      </w:r>
      <w:r>
        <w:rPr>
          <w:color w:val="231F20"/>
          <w:w w:val="120"/>
        </w:rPr>
        <w:t>soumise</w:t>
      </w:r>
      <w:r>
        <w:rPr>
          <w:color w:val="231F20"/>
          <w:spacing w:val="-10"/>
          <w:w w:val="120"/>
        </w:rPr>
        <w:t> </w:t>
      </w:r>
      <w:r>
        <w:rPr>
          <w:color w:val="231F20"/>
          <w:w w:val="120"/>
        </w:rPr>
        <w:t>à</w:t>
      </w:r>
      <w:r>
        <w:rPr>
          <w:color w:val="231F20"/>
          <w:spacing w:val="-10"/>
          <w:w w:val="120"/>
        </w:rPr>
        <w:t> </w:t>
      </w:r>
      <w:r>
        <w:rPr>
          <w:color w:val="231F20"/>
          <w:w w:val="120"/>
        </w:rPr>
        <w:t>aucune</w:t>
      </w:r>
      <w:r>
        <w:rPr>
          <w:color w:val="231F20"/>
          <w:spacing w:val="-10"/>
          <w:w w:val="120"/>
        </w:rPr>
        <w:t> </w:t>
      </w:r>
      <w:r>
        <w:rPr>
          <w:color w:val="231F20"/>
          <w:w w:val="120"/>
        </w:rPr>
        <w:t>législation</w:t>
      </w:r>
      <w:r>
        <w:rPr>
          <w:color w:val="231F20"/>
          <w:spacing w:val="-10"/>
          <w:w w:val="120"/>
        </w:rPr>
        <w:t> </w:t>
      </w:r>
      <w:r>
        <w:rPr>
          <w:color w:val="231F20"/>
          <w:w w:val="120"/>
        </w:rPr>
        <w:t>obli- </w:t>
      </w:r>
      <w:r>
        <w:rPr>
          <w:color w:val="231F20"/>
          <w:w w:val="115"/>
        </w:rPr>
        <w:t>geant</w:t>
      </w:r>
      <w:r>
        <w:rPr>
          <w:color w:val="231F20"/>
          <w:spacing w:val="-4"/>
          <w:w w:val="115"/>
        </w:rPr>
        <w:t> </w:t>
      </w:r>
      <w:r>
        <w:rPr>
          <w:color w:val="231F20"/>
          <w:w w:val="115"/>
        </w:rPr>
        <w:t>les</w:t>
      </w:r>
      <w:r>
        <w:rPr>
          <w:color w:val="231F20"/>
          <w:spacing w:val="-4"/>
          <w:w w:val="115"/>
        </w:rPr>
        <w:t> </w:t>
      </w:r>
      <w:r>
        <w:rPr>
          <w:color w:val="231F20"/>
          <w:w w:val="115"/>
        </w:rPr>
        <w:t>promoteurs</w:t>
      </w:r>
      <w:r>
        <w:rPr>
          <w:color w:val="231F20"/>
          <w:spacing w:val="-4"/>
          <w:w w:val="115"/>
        </w:rPr>
        <w:t> </w:t>
      </w:r>
      <w:r>
        <w:rPr>
          <w:color w:val="231F20"/>
          <w:w w:val="115"/>
        </w:rPr>
        <w:t>à</w:t>
      </w:r>
      <w:r>
        <w:rPr>
          <w:color w:val="231F20"/>
          <w:spacing w:val="-4"/>
          <w:w w:val="115"/>
        </w:rPr>
        <w:t> </w:t>
      </w:r>
      <w:r>
        <w:rPr>
          <w:color w:val="231F20"/>
          <w:w w:val="115"/>
        </w:rPr>
        <w:t>faire</w:t>
      </w:r>
      <w:r>
        <w:rPr>
          <w:color w:val="231F20"/>
          <w:spacing w:val="-4"/>
          <w:w w:val="115"/>
        </w:rPr>
        <w:t> </w:t>
      </w:r>
      <w:r>
        <w:rPr>
          <w:color w:val="231F20"/>
          <w:w w:val="115"/>
        </w:rPr>
        <w:t>une</w:t>
      </w:r>
      <w:r>
        <w:rPr>
          <w:color w:val="231F20"/>
          <w:spacing w:val="-4"/>
          <w:w w:val="115"/>
        </w:rPr>
        <w:t> </w:t>
      </w:r>
      <w:r>
        <w:rPr>
          <w:color w:val="231F20"/>
          <w:w w:val="115"/>
        </w:rPr>
        <w:t>quelconque</w:t>
      </w:r>
      <w:r>
        <w:rPr>
          <w:color w:val="231F20"/>
          <w:spacing w:val="-4"/>
          <w:w w:val="115"/>
        </w:rPr>
        <w:t> </w:t>
      </w:r>
      <w:r>
        <w:rPr>
          <w:color w:val="231F20"/>
          <w:w w:val="115"/>
        </w:rPr>
        <w:t>démonstration</w:t>
      </w:r>
      <w:r>
        <w:rPr>
          <w:color w:val="231F20"/>
          <w:spacing w:val="-4"/>
          <w:w w:val="115"/>
        </w:rPr>
        <w:t> </w:t>
      </w:r>
      <w:r>
        <w:rPr>
          <w:color w:val="231F20"/>
          <w:w w:val="115"/>
        </w:rPr>
        <w:t>de</w:t>
      </w:r>
      <w:r>
        <w:rPr>
          <w:color w:val="231F20"/>
          <w:spacing w:val="-4"/>
          <w:w w:val="115"/>
        </w:rPr>
        <w:t> </w:t>
      </w:r>
      <w:r>
        <w:rPr>
          <w:color w:val="231F20"/>
          <w:w w:val="115"/>
        </w:rPr>
        <w:t>l’efficacité </w:t>
      </w:r>
      <w:r>
        <w:rPr>
          <w:color w:val="231F20"/>
          <w:w w:val="120"/>
        </w:rPr>
        <w:t>de</w:t>
      </w:r>
      <w:r>
        <w:rPr>
          <w:color w:val="231F20"/>
          <w:spacing w:val="-13"/>
          <w:w w:val="120"/>
        </w:rPr>
        <w:t> </w:t>
      </w:r>
      <w:r>
        <w:rPr>
          <w:color w:val="231F20"/>
          <w:w w:val="120"/>
        </w:rPr>
        <w:t>leur</w:t>
      </w:r>
      <w:r>
        <w:rPr>
          <w:color w:val="231F20"/>
          <w:spacing w:val="-13"/>
          <w:w w:val="120"/>
        </w:rPr>
        <w:t> </w:t>
      </w:r>
      <w:r>
        <w:rPr>
          <w:color w:val="231F20"/>
          <w:w w:val="120"/>
        </w:rPr>
        <w:t>produit.</w:t>
      </w:r>
      <w:r>
        <w:rPr>
          <w:color w:val="231F20"/>
          <w:spacing w:val="-13"/>
          <w:w w:val="120"/>
        </w:rPr>
        <w:t> </w:t>
      </w:r>
      <w:r>
        <w:rPr>
          <w:color w:val="231F20"/>
          <w:w w:val="120"/>
        </w:rPr>
        <w:t>Aucune</w:t>
      </w:r>
      <w:r>
        <w:rPr>
          <w:color w:val="231F20"/>
          <w:spacing w:val="-12"/>
          <w:w w:val="120"/>
        </w:rPr>
        <w:t> </w:t>
      </w:r>
      <w:r>
        <w:rPr>
          <w:color w:val="231F20"/>
          <w:w w:val="120"/>
        </w:rPr>
        <w:t>vérification,</w:t>
      </w:r>
      <w:r>
        <w:rPr>
          <w:color w:val="231F20"/>
          <w:spacing w:val="-13"/>
          <w:w w:val="120"/>
        </w:rPr>
        <w:t> </w:t>
      </w:r>
      <w:r>
        <w:rPr>
          <w:color w:val="231F20"/>
          <w:w w:val="120"/>
        </w:rPr>
        <w:t>aucun</w:t>
      </w:r>
      <w:r>
        <w:rPr>
          <w:color w:val="231F20"/>
          <w:spacing w:val="-13"/>
          <w:w w:val="120"/>
        </w:rPr>
        <w:t> </w:t>
      </w:r>
      <w:r>
        <w:rPr>
          <w:color w:val="231F20"/>
          <w:w w:val="120"/>
        </w:rPr>
        <w:t>test</w:t>
      </w:r>
      <w:r>
        <w:rPr>
          <w:color w:val="231F20"/>
          <w:spacing w:val="-13"/>
          <w:w w:val="120"/>
        </w:rPr>
        <w:t> </w:t>
      </w:r>
      <w:r>
        <w:rPr>
          <w:color w:val="231F20"/>
          <w:w w:val="120"/>
        </w:rPr>
        <w:t>clinique,</w:t>
      </w:r>
      <w:r>
        <w:rPr>
          <w:color w:val="231F20"/>
          <w:spacing w:val="-12"/>
          <w:w w:val="120"/>
        </w:rPr>
        <w:t> </w:t>
      </w:r>
      <w:r>
        <w:rPr>
          <w:color w:val="231F20"/>
          <w:w w:val="120"/>
        </w:rPr>
        <w:t>aucune</w:t>
      </w:r>
      <w:r>
        <w:rPr>
          <w:color w:val="231F20"/>
          <w:spacing w:val="-13"/>
          <w:w w:val="120"/>
        </w:rPr>
        <w:t> </w:t>
      </w:r>
      <w:r>
        <w:rPr>
          <w:color w:val="231F20"/>
          <w:w w:val="120"/>
        </w:rPr>
        <w:t>preuve n’est</w:t>
      </w:r>
      <w:r>
        <w:rPr>
          <w:color w:val="231F20"/>
          <w:spacing w:val="-13"/>
          <w:w w:val="120"/>
        </w:rPr>
        <w:t> </w:t>
      </w:r>
      <w:r>
        <w:rPr>
          <w:color w:val="231F20"/>
          <w:w w:val="120"/>
        </w:rPr>
        <w:t>nécessaire</w:t>
      </w:r>
      <w:r>
        <w:rPr>
          <w:color w:val="231F20"/>
          <w:spacing w:val="-13"/>
          <w:w w:val="120"/>
        </w:rPr>
        <w:t> </w:t>
      </w:r>
      <w:r>
        <w:rPr>
          <w:color w:val="231F20"/>
          <w:w w:val="120"/>
        </w:rPr>
        <w:t>et</w:t>
      </w:r>
      <w:r>
        <w:rPr>
          <w:color w:val="231F20"/>
          <w:spacing w:val="-13"/>
          <w:w w:val="120"/>
        </w:rPr>
        <w:t> </w:t>
      </w:r>
      <w:r>
        <w:rPr>
          <w:color w:val="231F20"/>
          <w:w w:val="120"/>
        </w:rPr>
        <w:t>tout</w:t>
      </w:r>
      <w:r>
        <w:rPr>
          <w:color w:val="231F20"/>
          <w:spacing w:val="-12"/>
          <w:w w:val="120"/>
        </w:rPr>
        <w:t> </w:t>
      </w:r>
      <w:r>
        <w:rPr>
          <w:color w:val="231F20"/>
          <w:w w:val="120"/>
        </w:rPr>
        <w:t>un</w:t>
      </w:r>
      <w:r>
        <w:rPr>
          <w:color w:val="231F20"/>
          <w:spacing w:val="-13"/>
          <w:w w:val="120"/>
        </w:rPr>
        <w:t> </w:t>
      </w:r>
      <w:r>
        <w:rPr>
          <w:color w:val="231F20"/>
          <w:w w:val="120"/>
        </w:rPr>
        <w:t>chacun</w:t>
      </w:r>
      <w:r>
        <w:rPr>
          <w:color w:val="231F20"/>
          <w:spacing w:val="-13"/>
          <w:w w:val="120"/>
        </w:rPr>
        <w:t> </w:t>
      </w:r>
      <w:r>
        <w:rPr>
          <w:color w:val="231F20"/>
          <w:w w:val="120"/>
        </w:rPr>
        <w:t>peut,</w:t>
      </w:r>
      <w:r>
        <w:rPr>
          <w:color w:val="231F20"/>
          <w:spacing w:val="-13"/>
          <w:w w:val="120"/>
        </w:rPr>
        <w:t> </w:t>
      </w:r>
      <w:r>
        <w:rPr>
          <w:color w:val="231F20"/>
          <w:w w:val="120"/>
        </w:rPr>
        <w:t>s’il</w:t>
      </w:r>
      <w:r>
        <w:rPr>
          <w:color w:val="231F20"/>
          <w:spacing w:val="-12"/>
          <w:w w:val="120"/>
        </w:rPr>
        <w:t> </w:t>
      </w:r>
      <w:r>
        <w:rPr>
          <w:color w:val="231F20"/>
          <w:w w:val="120"/>
        </w:rPr>
        <w:t>considère</w:t>
      </w:r>
      <w:r>
        <w:rPr>
          <w:color w:val="231F20"/>
          <w:spacing w:val="-13"/>
          <w:w w:val="120"/>
        </w:rPr>
        <w:t> </w:t>
      </w:r>
      <w:r>
        <w:rPr>
          <w:color w:val="231F20"/>
          <w:w w:val="120"/>
        </w:rPr>
        <w:t>que</w:t>
      </w:r>
      <w:r>
        <w:rPr>
          <w:color w:val="231F20"/>
          <w:spacing w:val="-13"/>
          <w:w w:val="120"/>
        </w:rPr>
        <w:t> </w:t>
      </w:r>
      <w:r>
        <w:rPr>
          <w:color w:val="231F20"/>
          <w:w w:val="120"/>
        </w:rPr>
        <w:t>cela</w:t>
      </w:r>
      <w:r>
        <w:rPr>
          <w:color w:val="231F20"/>
          <w:spacing w:val="-13"/>
          <w:w w:val="120"/>
        </w:rPr>
        <w:t> </w:t>
      </w:r>
      <w:r>
        <w:rPr>
          <w:color w:val="231F20"/>
          <w:w w:val="120"/>
        </w:rPr>
        <w:t>moussera ses ventes, apposer sur son produit l’étiquette «</w:t>
      </w:r>
      <w:r>
        <w:rPr>
          <w:color w:val="231F20"/>
          <w:spacing w:val="-26"/>
          <w:w w:val="120"/>
        </w:rPr>
        <w:t> </w:t>
      </w:r>
      <w:r>
        <w:rPr>
          <w:color w:val="231F20"/>
          <w:w w:val="120"/>
        </w:rPr>
        <w:t>antistress».</w:t>
      </w:r>
    </w:p>
    <w:p>
      <w:pPr>
        <w:pStyle w:val="BodyText"/>
        <w:spacing w:line="307" w:lineRule="auto" w:before="77"/>
        <w:ind w:left="1180" w:right="243" w:firstLine="250"/>
        <w:jc w:val="both"/>
      </w:pPr>
      <w:r>
        <w:rPr>
          <w:color w:val="231F20"/>
          <w:w w:val="120"/>
        </w:rPr>
        <w:t>Bien</w:t>
      </w:r>
      <w:r>
        <w:rPr>
          <w:color w:val="231F20"/>
          <w:spacing w:val="-4"/>
          <w:w w:val="120"/>
        </w:rPr>
        <w:t> </w:t>
      </w:r>
      <w:r>
        <w:rPr>
          <w:color w:val="231F20"/>
          <w:w w:val="120"/>
        </w:rPr>
        <w:t>que</w:t>
      </w:r>
      <w:r>
        <w:rPr>
          <w:color w:val="231F20"/>
          <w:spacing w:val="-4"/>
          <w:w w:val="120"/>
        </w:rPr>
        <w:t> </w:t>
      </w:r>
      <w:r>
        <w:rPr>
          <w:color w:val="231F20"/>
          <w:w w:val="120"/>
        </w:rPr>
        <w:t>le</w:t>
      </w:r>
      <w:r>
        <w:rPr>
          <w:color w:val="231F20"/>
          <w:spacing w:val="-4"/>
          <w:w w:val="120"/>
        </w:rPr>
        <w:t> </w:t>
      </w:r>
      <w:r>
        <w:rPr>
          <w:color w:val="231F20"/>
          <w:w w:val="120"/>
        </w:rPr>
        <w:t>stress</w:t>
      </w:r>
      <w:r>
        <w:rPr>
          <w:color w:val="231F20"/>
          <w:spacing w:val="-4"/>
          <w:w w:val="120"/>
        </w:rPr>
        <w:t> </w:t>
      </w:r>
      <w:r>
        <w:rPr>
          <w:color w:val="231F20"/>
          <w:w w:val="120"/>
        </w:rPr>
        <w:t>soit</w:t>
      </w:r>
      <w:r>
        <w:rPr>
          <w:color w:val="231F20"/>
          <w:spacing w:val="-4"/>
          <w:w w:val="120"/>
        </w:rPr>
        <w:t> </w:t>
      </w:r>
      <w:r>
        <w:rPr>
          <w:color w:val="231F20"/>
          <w:w w:val="120"/>
        </w:rPr>
        <w:t>un</w:t>
      </w:r>
      <w:r>
        <w:rPr>
          <w:color w:val="231F20"/>
          <w:spacing w:val="-4"/>
          <w:w w:val="120"/>
        </w:rPr>
        <w:t> </w:t>
      </w:r>
      <w:r>
        <w:rPr>
          <w:color w:val="231F20"/>
          <w:w w:val="120"/>
        </w:rPr>
        <w:t>fléau</w:t>
      </w:r>
      <w:r>
        <w:rPr>
          <w:color w:val="231F20"/>
          <w:spacing w:val="-4"/>
          <w:w w:val="120"/>
        </w:rPr>
        <w:t> </w:t>
      </w:r>
      <w:r>
        <w:rPr>
          <w:color w:val="231F20"/>
          <w:w w:val="120"/>
        </w:rPr>
        <w:t>social,</w:t>
      </w:r>
      <w:r>
        <w:rPr>
          <w:color w:val="231F20"/>
          <w:spacing w:val="-4"/>
          <w:w w:val="120"/>
        </w:rPr>
        <w:t> </w:t>
      </w:r>
      <w:r>
        <w:rPr>
          <w:color w:val="231F20"/>
          <w:w w:val="120"/>
        </w:rPr>
        <w:t>un</w:t>
      </w:r>
      <w:r>
        <w:rPr>
          <w:color w:val="231F20"/>
          <w:spacing w:val="-4"/>
          <w:w w:val="120"/>
        </w:rPr>
        <w:t> </w:t>
      </w:r>
      <w:r>
        <w:rPr>
          <w:color w:val="231F20"/>
          <w:w w:val="120"/>
        </w:rPr>
        <w:t>mal</w:t>
      </w:r>
      <w:r>
        <w:rPr>
          <w:color w:val="231F20"/>
          <w:spacing w:val="-4"/>
          <w:w w:val="120"/>
        </w:rPr>
        <w:t> </w:t>
      </w:r>
      <w:r>
        <w:rPr>
          <w:color w:val="231F20"/>
          <w:w w:val="120"/>
        </w:rPr>
        <w:t>qui</w:t>
      </w:r>
      <w:r>
        <w:rPr>
          <w:color w:val="231F20"/>
          <w:spacing w:val="-4"/>
          <w:w w:val="120"/>
        </w:rPr>
        <w:t> </w:t>
      </w:r>
      <w:r>
        <w:rPr>
          <w:color w:val="231F20"/>
          <w:w w:val="120"/>
        </w:rPr>
        <w:t>touche</w:t>
      </w:r>
      <w:r>
        <w:rPr>
          <w:color w:val="231F20"/>
          <w:spacing w:val="-4"/>
          <w:w w:val="120"/>
        </w:rPr>
        <w:t> </w:t>
      </w:r>
      <w:r>
        <w:rPr>
          <w:color w:val="231F20"/>
          <w:w w:val="120"/>
        </w:rPr>
        <w:t>un</w:t>
      </w:r>
      <w:r>
        <w:rPr>
          <w:color w:val="231F20"/>
          <w:spacing w:val="-4"/>
          <w:w w:val="120"/>
        </w:rPr>
        <w:t> </w:t>
      </w:r>
      <w:r>
        <w:rPr>
          <w:color w:val="231F20"/>
          <w:w w:val="120"/>
        </w:rPr>
        <w:t>nombre </w:t>
      </w:r>
      <w:r>
        <w:rPr>
          <w:color w:val="231F20"/>
          <w:spacing w:val="-2"/>
          <w:w w:val="120"/>
        </w:rPr>
        <w:t>important</w:t>
      </w:r>
      <w:r>
        <w:rPr>
          <w:color w:val="231F20"/>
          <w:spacing w:val="-8"/>
          <w:w w:val="120"/>
        </w:rPr>
        <w:t> </w:t>
      </w:r>
      <w:r>
        <w:rPr>
          <w:color w:val="231F20"/>
          <w:spacing w:val="-2"/>
          <w:w w:val="120"/>
        </w:rPr>
        <w:t>de</w:t>
      </w:r>
      <w:r>
        <w:rPr>
          <w:color w:val="231F20"/>
          <w:spacing w:val="-8"/>
          <w:w w:val="120"/>
        </w:rPr>
        <w:t> </w:t>
      </w:r>
      <w:r>
        <w:rPr>
          <w:color w:val="231F20"/>
          <w:spacing w:val="-2"/>
          <w:w w:val="120"/>
        </w:rPr>
        <w:t>personnes,</w:t>
      </w:r>
      <w:r>
        <w:rPr>
          <w:color w:val="231F20"/>
          <w:spacing w:val="-8"/>
          <w:w w:val="120"/>
        </w:rPr>
        <w:t> </w:t>
      </w:r>
      <w:r>
        <w:rPr>
          <w:color w:val="231F20"/>
          <w:spacing w:val="-2"/>
          <w:w w:val="120"/>
        </w:rPr>
        <w:t>il</w:t>
      </w:r>
      <w:r>
        <w:rPr>
          <w:color w:val="231F20"/>
          <w:spacing w:val="-8"/>
          <w:w w:val="120"/>
        </w:rPr>
        <w:t> </w:t>
      </w:r>
      <w:r>
        <w:rPr>
          <w:color w:val="231F20"/>
          <w:spacing w:val="-2"/>
          <w:w w:val="120"/>
        </w:rPr>
        <w:t>y</w:t>
      </w:r>
      <w:r>
        <w:rPr>
          <w:color w:val="231F20"/>
          <w:spacing w:val="-8"/>
          <w:w w:val="120"/>
        </w:rPr>
        <w:t> </w:t>
      </w:r>
      <w:r>
        <w:rPr>
          <w:color w:val="231F20"/>
          <w:spacing w:val="-2"/>
          <w:w w:val="120"/>
        </w:rPr>
        <w:t>a</w:t>
      </w:r>
      <w:r>
        <w:rPr>
          <w:color w:val="231F20"/>
          <w:spacing w:val="-8"/>
          <w:w w:val="120"/>
        </w:rPr>
        <w:t> </w:t>
      </w:r>
      <w:r>
        <w:rPr>
          <w:color w:val="231F20"/>
          <w:spacing w:val="-2"/>
          <w:w w:val="120"/>
        </w:rPr>
        <w:t>une</w:t>
      </w:r>
      <w:r>
        <w:rPr>
          <w:color w:val="231F20"/>
          <w:spacing w:val="-8"/>
          <w:w w:val="120"/>
        </w:rPr>
        <w:t> </w:t>
      </w:r>
      <w:r>
        <w:rPr>
          <w:color w:val="231F20"/>
          <w:spacing w:val="-2"/>
          <w:w w:val="120"/>
        </w:rPr>
        <w:t>banalisation</w:t>
      </w:r>
      <w:r>
        <w:rPr>
          <w:color w:val="231F20"/>
          <w:spacing w:val="-8"/>
          <w:w w:val="120"/>
        </w:rPr>
        <w:t> </w:t>
      </w:r>
      <w:r>
        <w:rPr>
          <w:color w:val="231F20"/>
          <w:spacing w:val="-2"/>
          <w:w w:val="120"/>
        </w:rPr>
        <w:t>des</w:t>
      </w:r>
      <w:r>
        <w:rPr>
          <w:color w:val="231F20"/>
          <w:spacing w:val="-8"/>
          <w:w w:val="120"/>
        </w:rPr>
        <w:t> </w:t>
      </w:r>
      <w:r>
        <w:rPr>
          <w:color w:val="231F20"/>
          <w:spacing w:val="-2"/>
          <w:w w:val="120"/>
        </w:rPr>
        <w:t>solutions</w:t>
      </w:r>
      <w:r>
        <w:rPr>
          <w:color w:val="231F20"/>
          <w:spacing w:val="-8"/>
          <w:w w:val="120"/>
        </w:rPr>
        <w:t> </w:t>
      </w:r>
      <w:r>
        <w:rPr>
          <w:color w:val="231F20"/>
          <w:spacing w:val="-2"/>
          <w:w w:val="120"/>
        </w:rPr>
        <w:t>offertes</w:t>
      </w:r>
      <w:r>
        <w:rPr>
          <w:color w:val="231F20"/>
          <w:spacing w:val="-8"/>
          <w:w w:val="120"/>
        </w:rPr>
        <w:t> </w:t>
      </w:r>
      <w:r>
        <w:rPr>
          <w:color w:val="231F20"/>
          <w:spacing w:val="-2"/>
          <w:w w:val="120"/>
        </w:rPr>
        <w:t>aux </w:t>
      </w:r>
      <w:r>
        <w:rPr>
          <w:color w:val="231F20"/>
          <w:w w:val="120"/>
        </w:rPr>
        <w:t>individus</w:t>
      </w:r>
      <w:r>
        <w:rPr>
          <w:color w:val="231F20"/>
          <w:spacing w:val="-8"/>
          <w:w w:val="120"/>
        </w:rPr>
        <w:t> </w:t>
      </w:r>
      <w:r>
        <w:rPr>
          <w:color w:val="231F20"/>
          <w:w w:val="120"/>
        </w:rPr>
        <w:t>pour</w:t>
      </w:r>
      <w:r>
        <w:rPr>
          <w:color w:val="231F20"/>
          <w:spacing w:val="-8"/>
          <w:w w:val="120"/>
        </w:rPr>
        <w:t> </w:t>
      </w:r>
      <w:r>
        <w:rPr>
          <w:color w:val="231F20"/>
          <w:w w:val="120"/>
        </w:rPr>
        <w:t>faire</w:t>
      </w:r>
      <w:r>
        <w:rPr>
          <w:color w:val="231F20"/>
          <w:spacing w:val="-8"/>
          <w:w w:val="120"/>
        </w:rPr>
        <w:t> </w:t>
      </w:r>
      <w:r>
        <w:rPr>
          <w:color w:val="231F20"/>
          <w:w w:val="120"/>
        </w:rPr>
        <w:t>face</w:t>
      </w:r>
      <w:r>
        <w:rPr>
          <w:color w:val="231F20"/>
          <w:spacing w:val="-8"/>
          <w:w w:val="120"/>
        </w:rPr>
        <w:t> </w:t>
      </w:r>
      <w:r>
        <w:rPr>
          <w:color w:val="231F20"/>
          <w:w w:val="120"/>
        </w:rPr>
        <w:t>aux</w:t>
      </w:r>
      <w:r>
        <w:rPr>
          <w:color w:val="231F20"/>
          <w:spacing w:val="-8"/>
          <w:w w:val="120"/>
        </w:rPr>
        <w:t> </w:t>
      </w:r>
      <w:r>
        <w:rPr>
          <w:color w:val="231F20"/>
          <w:w w:val="120"/>
        </w:rPr>
        <w:t>problématiques</w:t>
      </w:r>
      <w:r>
        <w:rPr>
          <w:color w:val="231F20"/>
          <w:spacing w:val="-8"/>
          <w:w w:val="120"/>
        </w:rPr>
        <w:t> </w:t>
      </w:r>
      <w:r>
        <w:rPr>
          <w:color w:val="231F20"/>
          <w:w w:val="120"/>
        </w:rPr>
        <w:t>qui</w:t>
      </w:r>
      <w:r>
        <w:rPr>
          <w:color w:val="231F20"/>
          <w:spacing w:val="-8"/>
          <w:w w:val="120"/>
        </w:rPr>
        <w:t> </w:t>
      </w:r>
      <w:r>
        <w:rPr>
          <w:color w:val="231F20"/>
          <w:w w:val="120"/>
        </w:rPr>
        <w:t>en</w:t>
      </w:r>
      <w:r>
        <w:rPr>
          <w:color w:val="231F20"/>
          <w:spacing w:val="-8"/>
          <w:w w:val="120"/>
        </w:rPr>
        <w:t> </w:t>
      </w:r>
      <w:r>
        <w:rPr>
          <w:color w:val="231F20"/>
          <w:w w:val="120"/>
        </w:rPr>
        <w:t>découlent.</w:t>
      </w:r>
      <w:r>
        <w:rPr>
          <w:color w:val="231F20"/>
          <w:spacing w:val="-8"/>
          <w:w w:val="120"/>
        </w:rPr>
        <w:t> </w:t>
      </w:r>
      <w:r>
        <w:rPr>
          <w:color w:val="231F20"/>
          <w:w w:val="120"/>
        </w:rPr>
        <w:t>Si</w:t>
      </w:r>
      <w:r>
        <w:rPr>
          <w:color w:val="231F20"/>
          <w:spacing w:val="-8"/>
          <w:w w:val="120"/>
        </w:rPr>
        <w:t> </w:t>
      </w:r>
      <w:r>
        <w:rPr>
          <w:color w:val="231F20"/>
          <w:w w:val="120"/>
        </w:rPr>
        <w:t>votre travail</w:t>
      </w:r>
      <w:r>
        <w:rPr>
          <w:color w:val="231F20"/>
          <w:spacing w:val="-2"/>
          <w:w w:val="120"/>
        </w:rPr>
        <w:t> </w:t>
      </w:r>
      <w:r>
        <w:rPr>
          <w:color w:val="231F20"/>
          <w:w w:val="120"/>
        </w:rPr>
        <w:t>est</w:t>
      </w:r>
      <w:r>
        <w:rPr>
          <w:color w:val="231F20"/>
          <w:spacing w:val="-2"/>
          <w:w w:val="120"/>
        </w:rPr>
        <w:t> </w:t>
      </w:r>
      <w:r>
        <w:rPr>
          <w:color w:val="231F20"/>
          <w:w w:val="120"/>
        </w:rPr>
        <w:t>trop</w:t>
      </w:r>
      <w:r>
        <w:rPr>
          <w:color w:val="231F20"/>
          <w:spacing w:val="-2"/>
          <w:w w:val="120"/>
        </w:rPr>
        <w:t> </w:t>
      </w:r>
      <w:r>
        <w:rPr>
          <w:color w:val="231F20"/>
          <w:w w:val="120"/>
        </w:rPr>
        <w:t>stressant,</w:t>
      </w:r>
      <w:r>
        <w:rPr>
          <w:color w:val="231F20"/>
          <w:spacing w:val="-2"/>
          <w:w w:val="120"/>
        </w:rPr>
        <w:t> </w:t>
      </w:r>
      <w:r>
        <w:rPr>
          <w:color w:val="231F20"/>
          <w:w w:val="120"/>
        </w:rPr>
        <w:t>si</w:t>
      </w:r>
      <w:r>
        <w:rPr>
          <w:color w:val="231F20"/>
          <w:spacing w:val="-2"/>
          <w:w w:val="120"/>
        </w:rPr>
        <w:t> </w:t>
      </w:r>
      <w:r>
        <w:rPr>
          <w:color w:val="231F20"/>
          <w:w w:val="120"/>
        </w:rPr>
        <w:t>votre</w:t>
      </w:r>
      <w:r>
        <w:rPr>
          <w:color w:val="231F20"/>
          <w:spacing w:val="-2"/>
          <w:w w:val="120"/>
        </w:rPr>
        <w:t> </w:t>
      </w:r>
      <w:r>
        <w:rPr>
          <w:color w:val="231F20"/>
          <w:w w:val="120"/>
        </w:rPr>
        <w:t>vie</w:t>
      </w:r>
      <w:r>
        <w:rPr>
          <w:color w:val="231F20"/>
          <w:spacing w:val="-2"/>
          <w:w w:val="120"/>
        </w:rPr>
        <w:t> </w:t>
      </w:r>
      <w:r>
        <w:rPr>
          <w:color w:val="231F20"/>
          <w:w w:val="120"/>
        </w:rPr>
        <w:t>génère</w:t>
      </w:r>
      <w:r>
        <w:rPr>
          <w:color w:val="231F20"/>
          <w:spacing w:val="-2"/>
          <w:w w:val="120"/>
        </w:rPr>
        <w:t> </w:t>
      </w:r>
      <w:r>
        <w:rPr>
          <w:color w:val="231F20"/>
          <w:w w:val="120"/>
        </w:rPr>
        <w:t>trop</w:t>
      </w:r>
      <w:r>
        <w:rPr>
          <w:color w:val="231F20"/>
          <w:spacing w:val="-2"/>
          <w:w w:val="120"/>
        </w:rPr>
        <w:t> </w:t>
      </w:r>
      <w:r>
        <w:rPr>
          <w:color w:val="231F20"/>
          <w:w w:val="120"/>
        </w:rPr>
        <w:t>d’anxiété,</w:t>
      </w:r>
      <w:r>
        <w:rPr>
          <w:color w:val="231F20"/>
          <w:spacing w:val="-2"/>
          <w:w w:val="120"/>
        </w:rPr>
        <w:t> </w:t>
      </w:r>
      <w:r>
        <w:rPr>
          <w:color w:val="231F20"/>
          <w:w w:val="120"/>
        </w:rPr>
        <w:t>pas</w:t>
      </w:r>
      <w:r>
        <w:rPr>
          <w:color w:val="231F20"/>
          <w:spacing w:val="-2"/>
          <w:w w:val="120"/>
        </w:rPr>
        <w:t> </w:t>
      </w:r>
      <w:r>
        <w:rPr>
          <w:color w:val="231F20"/>
          <w:w w:val="120"/>
        </w:rPr>
        <w:t>de</w:t>
      </w:r>
      <w:r>
        <w:rPr>
          <w:color w:val="231F20"/>
          <w:spacing w:val="-2"/>
          <w:w w:val="120"/>
        </w:rPr>
        <w:t> </w:t>
      </w:r>
      <w:r>
        <w:rPr>
          <w:color w:val="231F20"/>
          <w:w w:val="120"/>
        </w:rPr>
        <w:t>pro- blème… certains proposent sans gêne nombre de produits capables de </w:t>
      </w:r>
      <w:r>
        <w:rPr>
          <w:color w:val="231F20"/>
          <w:spacing w:val="-2"/>
          <w:w w:val="120"/>
        </w:rPr>
        <w:t>corriger miraculeusement la situation. Cette marchandisation est dange- </w:t>
      </w:r>
      <w:r>
        <w:rPr>
          <w:color w:val="231F20"/>
          <w:w w:val="120"/>
        </w:rPr>
        <w:t>reuse, et il n’y a aucun avantage à banaliser les solutions à cette grave calamité</w:t>
      </w:r>
      <w:r>
        <w:rPr>
          <w:color w:val="231F20"/>
          <w:spacing w:val="-13"/>
          <w:w w:val="120"/>
        </w:rPr>
        <w:t> </w:t>
      </w:r>
      <w:r>
        <w:rPr>
          <w:color w:val="231F20"/>
          <w:w w:val="120"/>
        </w:rPr>
        <w:t>sociale.</w:t>
      </w:r>
    </w:p>
    <w:p>
      <w:pPr>
        <w:pStyle w:val="BodyText"/>
        <w:spacing w:before="8"/>
        <w:rPr>
          <w:sz w:val="26"/>
        </w:rPr>
      </w:pPr>
    </w:p>
    <w:p>
      <w:pPr>
        <w:pStyle w:val="Heading4"/>
        <w:numPr>
          <w:ilvl w:val="2"/>
          <w:numId w:val="15"/>
        </w:numPr>
        <w:tabs>
          <w:tab w:pos="879" w:val="left" w:leader="none"/>
          <w:tab w:pos="1179" w:val="left" w:leader="none"/>
        </w:tabs>
        <w:spacing w:line="240" w:lineRule="auto" w:before="0" w:after="0"/>
        <w:ind w:left="878" w:right="0" w:hanging="376"/>
        <w:jc w:val="left"/>
      </w:pPr>
      <w:r>
        <w:rPr>
          <w:b w:val="0"/>
          <w:i/>
          <w:color w:val="231F20"/>
          <w:spacing w:val="-10"/>
        </w:rPr>
        <w:t>/</w:t>
      </w:r>
      <w:r>
        <w:rPr>
          <w:b w:val="0"/>
          <w:i/>
          <w:color w:val="231F20"/>
        </w:rPr>
        <w:tab/>
      </w:r>
      <w:r>
        <w:rPr>
          <w:color w:val="231F20"/>
          <w:spacing w:val="-2"/>
          <w:w w:val="95"/>
        </w:rPr>
        <w:t>Deuxième</w:t>
      </w:r>
      <w:r>
        <w:rPr>
          <w:color w:val="231F20"/>
          <w:spacing w:val="-3"/>
        </w:rPr>
        <w:t> </w:t>
      </w:r>
      <w:r>
        <w:rPr>
          <w:color w:val="231F20"/>
          <w:spacing w:val="-2"/>
          <w:w w:val="95"/>
        </w:rPr>
        <w:t>paradoxe</w:t>
      </w:r>
      <w:r>
        <w:rPr>
          <w:color w:val="231F20"/>
          <w:spacing w:val="-2"/>
        </w:rPr>
        <w:t> </w:t>
      </w:r>
      <w:r>
        <w:rPr>
          <w:color w:val="231F20"/>
          <w:spacing w:val="-2"/>
          <w:w w:val="95"/>
        </w:rPr>
        <w:t>–</w:t>
      </w:r>
      <w:r>
        <w:rPr>
          <w:color w:val="231F20"/>
          <w:spacing w:val="-2"/>
        </w:rPr>
        <w:t> </w:t>
      </w:r>
      <w:r>
        <w:rPr>
          <w:color w:val="231F20"/>
          <w:spacing w:val="-2"/>
          <w:w w:val="95"/>
        </w:rPr>
        <w:t>l’absence</w:t>
      </w:r>
      <w:r>
        <w:rPr>
          <w:color w:val="231F20"/>
          <w:spacing w:val="-2"/>
        </w:rPr>
        <w:t> </w:t>
      </w:r>
      <w:r>
        <w:rPr>
          <w:color w:val="231F20"/>
          <w:spacing w:val="-2"/>
          <w:w w:val="95"/>
        </w:rPr>
        <w:t>d’une</w:t>
      </w:r>
      <w:r>
        <w:rPr>
          <w:color w:val="231F20"/>
          <w:spacing w:val="-2"/>
        </w:rPr>
        <w:t> </w:t>
      </w:r>
      <w:r>
        <w:rPr>
          <w:color w:val="231F20"/>
          <w:spacing w:val="-2"/>
          <w:w w:val="95"/>
        </w:rPr>
        <w:t>réelle</w:t>
      </w:r>
      <w:r>
        <w:rPr>
          <w:color w:val="231F20"/>
          <w:spacing w:val="-2"/>
        </w:rPr>
        <w:t> </w:t>
      </w:r>
      <w:r>
        <w:rPr>
          <w:color w:val="231F20"/>
          <w:spacing w:val="-2"/>
          <w:w w:val="95"/>
        </w:rPr>
        <w:t>volonté</w:t>
      </w:r>
      <w:r>
        <w:rPr>
          <w:color w:val="231F20"/>
          <w:spacing w:val="-2"/>
        </w:rPr>
        <w:t> </w:t>
      </w:r>
      <w:r>
        <w:rPr>
          <w:color w:val="231F20"/>
          <w:spacing w:val="-2"/>
          <w:w w:val="95"/>
        </w:rPr>
        <w:t>d’intervention</w:t>
      </w:r>
    </w:p>
    <w:p>
      <w:pPr>
        <w:pStyle w:val="BodyText"/>
        <w:spacing w:line="307" w:lineRule="auto" w:before="234"/>
        <w:ind w:left="1180" w:right="243"/>
        <w:jc w:val="both"/>
      </w:pPr>
      <w:r>
        <w:rPr>
          <w:color w:val="231F20"/>
          <w:w w:val="120"/>
        </w:rPr>
        <w:t>Malgré les vives tensions et les pressions psychologiques croissantes vécues chaque jour au travail, on persiste à associer la santé au travail </w:t>
      </w:r>
      <w:r>
        <w:rPr>
          <w:color w:val="231F20"/>
          <w:spacing w:val="-2"/>
          <w:w w:val="120"/>
        </w:rPr>
        <w:t>principalement</w:t>
      </w:r>
      <w:r>
        <w:rPr>
          <w:color w:val="231F20"/>
          <w:spacing w:val="-11"/>
          <w:w w:val="120"/>
        </w:rPr>
        <w:t> </w:t>
      </w:r>
      <w:r>
        <w:rPr>
          <w:color w:val="231F20"/>
          <w:spacing w:val="-2"/>
          <w:w w:val="120"/>
        </w:rPr>
        <w:t>à</w:t>
      </w:r>
      <w:r>
        <w:rPr>
          <w:color w:val="231F20"/>
          <w:spacing w:val="-11"/>
          <w:w w:val="120"/>
        </w:rPr>
        <w:t> </w:t>
      </w:r>
      <w:r>
        <w:rPr>
          <w:color w:val="231F20"/>
          <w:spacing w:val="-2"/>
          <w:w w:val="120"/>
        </w:rPr>
        <w:t>la</w:t>
      </w:r>
      <w:r>
        <w:rPr>
          <w:color w:val="231F20"/>
          <w:spacing w:val="-11"/>
          <w:w w:val="120"/>
        </w:rPr>
        <w:t> </w:t>
      </w:r>
      <w:r>
        <w:rPr>
          <w:color w:val="231F20"/>
          <w:spacing w:val="-2"/>
          <w:w w:val="120"/>
        </w:rPr>
        <w:t>sécurité</w:t>
      </w:r>
      <w:r>
        <w:rPr>
          <w:color w:val="231F20"/>
          <w:spacing w:val="-10"/>
          <w:w w:val="120"/>
        </w:rPr>
        <w:t> </w:t>
      </w:r>
      <w:r>
        <w:rPr>
          <w:color w:val="231F20"/>
          <w:spacing w:val="-2"/>
          <w:w w:val="120"/>
        </w:rPr>
        <w:t>et</w:t>
      </w:r>
      <w:r>
        <w:rPr>
          <w:color w:val="231F20"/>
          <w:spacing w:val="-11"/>
          <w:w w:val="120"/>
        </w:rPr>
        <w:t> </w:t>
      </w:r>
      <w:r>
        <w:rPr>
          <w:color w:val="231F20"/>
          <w:spacing w:val="-2"/>
          <w:w w:val="120"/>
        </w:rPr>
        <w:t>à</w:t>
      </w:r>
      <w:r>
        <w:rPr>
          <w:color w:val="231F20"/>
          <w:spacing w:val="-11"/>
          <w:w w:val="120"/>
        </w:rPr>
        <w:t> </w:t>
      </w:r>
      <w:r>
        <w:rPr>
          <w:color w:val="231F20"/>
          <w:spacing w:val="-2"/>
          <w:w w:val="120"/>
        </w:rPr>
        <w:t>l’hygiène.</w:t>
      </w:r>
      <w:r>
        <w:rPr>
          <w:color w:val="231F20"/>
          <w:spacing w:val="-11"/>
          <w:w w:val="120"/>
        </w:rPr>
        <w:t> </w:t>
      </w:r>
      <w:r>
        <w:rPr>
          <w:color w:val="231F20"/>
          <w:spacing w:val="-2"/>
          <w:w w:val="120"/>
        </w:rPr>
        <w:t>Pourtant,</w:t>
      </w:r>
      <w:r>
        <w:rPr>
          <w:color w:val="231F20"/>
          <w:spacing w:val="-10"/>
          <w:w w:val="120"/>
        </w:rPr>
        <w:t> </w:t>
      </w:r>
      <w:r>
        <w:rPr>
          <w:color w:val="231F20"/>
          <w:spacing w:val="-2"/>
          <w:w w:val="120"/>
        </w:rPr>
        <w:t>le</w:t>
      </w:r>
      <w:r>
        <w:rPr>
          <w:color w:val="231F20"/>
          <w:spacing w:val="-11"/>
          <w:w w:val="120"/>
        </w:rPr>
        <w:t> </w:t>
      </w:r>
      <w:r>
        <w:rPr>
          <w:color w:val="231F20"/>
          <w:spacing w:val="-2"/>
          <w:w w:val="120"/>
        </w:rPr>
        <w:t>contexte</w:t>
      </w:r>
      <w:r>
        <w:rPr>
          <w:color w:val="231F20"/>
          <w:spacing w:val="-11"/>
          <w:w w:val="120"/>
        </w:rPr>
        <w:t> </w:t>
      </w:r>
      <w:r>
        <w:rPr>
          <w:color w:val="231F20"/>
          <w:spacing w:val="-2"/>
          <w:w w:val="120"/>
        </w:rPr>
        <w:t>fluctuant </w:t>
      </w:r>
      <w:r>
        <w:rPr>
          <w:color w:val="231F20"/>
          <w:w w:val="120"/>
        </w:rPr>
        <w:t>dans lequel les organisations évoluent actuellement et l’incertitude du </w:t>
      </w:r>
      <w:r>
        <w:rPr>
          <w:color w:val="231F20"/>
          <w:spacing w:val="-2"/>
          <w:w w:val="120"/>
        </w:rPr>
        <w:t>marché</w:t>
      </w:r>
      <w:r>
        <w:rPr>
          <w:color w:val="231F20"/>
          <w:spacing w:val="-7"/>
          <w:w w:val="120"/>
        </w:rPr>
        <w:t> </w:t>
      </w:r>
      <w:r>
        <w:rPr>
          <w:color w:val="231F20"/>
          <w:spacing w:val="-2"/>
          <w:w w:val="120"/>
        </w:rPr>
        <w:t>du</w:t>
      </w:r>
      <w:r>
        <w:rPr>
          <w:color w:val="231F20"/>
          <w:spacing w:val="-7"/>
          <w:w w:val="120"/>
        </w:rPr>
        <w:t> </w:t>
      </w:r>
      <w:r>
        <w:rPr>
          <w:color w:val="231F20"/>
          <w:spacing w:val="-2"/>
          <w:w w:val="120"/>
        </w:rPr>
        <w:t>travail</w:t>
      </w:r>
      <w:r>
        <w:rPr>
          <w:color w:val="231F20"/>
          <w:spacing w:val="-7"/>
          <w:w w:val="120"/>
        </w:rPr>
        <w:t> </w:t>
      </w:r>
      <w:r>
        <w:rPr>
          <w:color w:val="231F20"/>
          <w:spacing w:val="-2"/>
          <w:w w:val="120"/>
        </w:rPr>
        <w:t>avec</w:t>
      </w:r>
      <w:r>
        <w:rPr>
          <w:color w:val="231F20"/>
          <w:spacing w:val="-7"/>
          <w:w w:val="120"/>
        </w:rPr>
        <w:t> </w:t>
      </w:r>
      <w:r>
        <w:rPr>
          <w:color w:val="231F20"/>
          <w:spacing w:val="-2"/>
          <w:w w:val="120"/>
        </w:rPr>
        <w:t>laquelle</w:t>
      </w:r>
      <w:r>
        <w:rPr>
          <w:color w:val="231F20"/>
          <w:spacing w:val="-7"/>
          <w:w w:val="120"/>
        </w:rPr>
        <w:t> </w:t>
      </w:r>
      <w:r>
        <w:rPr>
          <w:color w:val="231F20"/>
          <w:spacing w:val="-2"/>
          <w:w w:val="120"/>
        </w:rPr>
        <w:t>les</w:t>
      </w:r>
      <w:r>
        <w:rPr>
          <w:color w:val="231F20"/>
          <w:spacing w:val="-7"/>
          <w:w w:val="120"/>
        </w:rPr>
        <w:t> </w:t>
      </w:r>
      <w:r>
        <w:rPr>
          <w:color w:val="231F20"/>
          <w:spacing w:val="-2"/>
          <w:w w:val="120"/>
        </w:rPr>
        <w:t>entreprises</w:t>
      </w:r>
      <w:r>
        <w:rPr>
          <w:color w:val="231F20"/>
          <w:spacing w:val="-7"/>
          <w:w w:val="120"/>
        </w:rPr>
        <w:t> </w:t>
      </w:r>
      <w:r>
        <w:rPr>
          <w:color w:val="231F20"/>
          <w:spacing w:val="-2"/>
          <w:w w:val="120"/>
        </w:rPr>
        <w:t>doivent</w:t>
      </w:r>
      <w:r>
        <w:rPr>
          <w:color w:val="231F20"/>
          <w:spacing w:val="-7"/>
          <w:w w:val="120"/>
        </w:rPr>
        <w:t> </w:t>
      </w:r>
      <w:r>
        <w:rPr>
          <w:color w:val="231F20"/>
          <w:spacing w:val="-2"/>
          <w:w w:val="120"/>
        </w:rPr>
        <w:t>composer</w:t>
      </w:r>
      <w:r>
        <w:rPr>
          <w:color w:val="231F20"/>
          <w:spacing w:val="-7"/>
          <w:w w:val="120"/>
        </w:rPr>
        <w:t> </w:t>
      </w:r>
      <w:r>
        <w:rPr>
          <w:color w:val="231F20"/>
          <w:spacing w:val="-2"/>
          <w:w w:val="120"/>
        </w:rPr>
        <w:t>ont</w:t>
      </w:r>
      <w:r>
        <w:rPr>
          <w:color w:val="231F20"/>
          <w:spacing w:val="-7"/>
          <w:w w:val="120"/>
        </w:rPr>
        <w:t> </w:t>
      </w:r>
      <w:r>
        <w:rPr>
          <w:color w:val="231F20"/>
          <w:spacing w:val="-2"/>
          <w:w w:val="120"/>
        </w:rPr>
        <w:t>des </w:t>
      </w:r>
      <w:r>
        <w:rPr>
          <w:color w:val="231F20"/>
          <w:w w:val="120"/>
        </w:rPr>
        <w:t>effets</w:t>
      </w:r>
      <w:r>
        <w:rPr>
          <w:color w:val="231F20"/>
          <w:spacing w:val="-4"/>
          <w:w w:val="120"/>
        </w:rPr>
        <w:t> </w:t>
      </w:r>
      <w:r>
        <w:rPr>
          <w:color w:val="231F20"/>
          <w:w w:val="120"/>
        </w:rPr>
        <w:t>directs</w:t>
      </w:r>
      <w:r>
        <w:rPr>
          <w:color w:val="231F20"/>
          <w:spacing w:val="-4"/>
          <w:w w:val="120"/>
        </w:rPr>
        <w:t> </w:t>
      </w:r>
      <w:r>
        <w:rPr>
          <w:color w:val="231F20"/>
          <w:w w:val="120"/>
        </w:rPr>
        <w:t>sur</w:t>
      </w:r>
      <w:r>
        <w:rPr>
          <w:color w:val="231F20"/>
          <w:spacing w:val="-4"/>
          <w:w w:val="120"/>
        </w:rPr>
        <w:t> </w:t>
      </w:r>
      <w:r>
        <w:rPr>
          <w:color w:val="231F20"/>
          <w:w w:val="120"/>
        </w:rPr>
        <w:t>le</w:t>
      </w:r>
      <w:r>
        <w:rPr>
          <w:color w:val="231F20"/>
          <w:spacing w:val="-4"/>
          <w:w w:val="120"/>
        </w:rPr>
        <w:t> </w:t>
      </w:r>
      <w:r>
        <w:rPr>
          <w:color w:val="231F20"/>
          <w:w w:val="120"/>
        </w:rPr>
        <w:t>bien-être</w:t>
      </w:r>
      <w:r>
        <w:rPr>
          <w:color w:val="231F20"/>
          <w:spacing w:val="-4"/>
          <w:w w:val="120"/>
        </w:rPr>
        <w:t> </w:t>
      </w:r>
      <w:r>
        <w:rPr>
          <w:color w:val="231F20"/>
          <w:w w:val="120"/>
        </w:rPr>
        <w:t>et</w:t>
      </w:r>
      <w:r>
        <w:rPr>
          <w:color w:val="231F20"/>
          <w:spacing w:val="-4"/>
          <w:w w:val="120"/>
        </w:rPr>
        <w:t> </w:t>
      </w:r>
      <w:r>
        <w:rPr>
          <w:color w:val="231F20"/>
          <w:w w:val="120"/>
        </w:rPr>
        <w:t>la</w:t>
      </w:r>
      <w:r>
        <w:rPr>
          <w:color w:val="231F20"/>
          <w:spacing w:val="-4"/>
          <w:w w:val="120"/>
        </w:rPr>
        <w:t> </w:t>
      </w:r>
      <w:r>
        <w:rPr>
          <w:color w:val="231F20"/>
          <w:w w:val="120"/>
        </w:rPr>
        <w:t>santé</w:t>
      </w:r>
      <w:r>
        <w:rPr>
          <w:color w:val="231F20"/>
          <w:spacing w:val="-4"/>
          <w:w w:val="120"/>
        </w:rPr>
        <w:t> </w:t>
      </w:r>
      <w:r>
        <w:rPr>
          <w:color w:val="231F20"/>
          <w:w w:val="120"/>
        </w:rPr>
        <w:t>psychologique</w:t>
      </w:r>
      <w:r>
        <w:rPr>
          <w:color w:val="231F20"/>
          <w:spacing w:val="-4"/>
          <w:w w:val="120"/>
        </w:rPr>
        <w:t> </w:t>
      </w:r>
      <w:r>
        <w:rPr>
          <w:color w:val="231F20"/>
          <w:w w:val="120"/>
        </w:rPr>
        <w:t>de</w:t>
      </w:r>
      <w:r>
        <w:rPr>
          <w:color w:val="231F20"/>
          <w:spacing w:val="-4"/>
          <w:w w:val="120"/>
        </w:rPr>
        <w:t> </w:t>
      </w:r>
      <w:r>
        <w:rPr>
          <w:color w:val="231F20"/>
          <w:w w:val="120"/>
        </w:rPr>
        <w:t>leurs</w:t>
      </w:r>
      <w:r>
        <w:rPr>
          <w:color w:val="231F20"/>
          <w:spacing w:val="-4"/>
          <w:w w:val="120"/>
        </w:rPr>
        <w:t> </w:t>
      </w:r>
      <w:r>
        <w:rPr>
          <w:color w:val="231F20"/>
          <w:w w:val="120"/>
        </w:rPr>
        <w:t>travail- leurs.</w:t>
      </w:r>
      <w:r>
        <w:rPr>
          <w:color w:val="231F20"/>
          <w:spacing w:val="-13"/>
          <w:w w:val="120"/>
        </w:rPr>
        <w:t> </w:t>
      </w:r>
      <w:r>
        <w:rPr>
          <w:color w:val="231F20"/>
          <w:w w:val="120"/>
        </w:rPr>
        <w:t>Les</w:t>
      </w:r>
      <w:r>
        <w:rPr>
          <w:color w:val="231F20"/>
          <w:spacing w:val="-13"/>
          <w:w w:val="120"/>
        </w:rPr>
        <w:t> </w:t>
      </w:r>
      <w:r>
        <w:rPr>
          <w:color w:val="231F20"/>
          <w:w w:val="120"/>
        </w:rPr>
        <w:t>effets</w:t>
      </w:r>
      <w:r>
        <w:rPr>
          <w:color w:val="231F20"/>
          <w:spacing w:val="-13"/>
          <w:w w:val="120"/>
        </w:rPr>
        <w:t> </w:t>
      </w:r>
      <w:r>
        <w:rPr>
          <w:color w:val="231F20"/>
          <w:w w:val="120"/>
        </w:rPr>
        <w:t>du</w:t>
      </w:r>
      <w:r>
        <w:rPr>
          <w:color w:val="231F20"/>
          <w:spacing w:val="-12"/>
          <w:w w:val="120"/>
        </w:rPr>
        <w:t> </w:t>
      </w:r>
      <w:r>
        <w:rPr>
          <w:color w:val="231F20"/>
          <w:w w:val="120"/>
        </w:rPr>
        <w:t>stress</w:t>
      </w:r>
      <w:r>
        <w:rPr>
          <w:color w:val="231F20"/>
          <w:spacing w:val="-13"/>
          <w:w w:val="120"/>
        </w:rPr>
        <w:t> </w:t>
      </w:r>
      <w:r>
        <w:rPr>
          <w:color w:val="231F20"/>
          <w:w w:val="120"/>
        </w:rPr>
        <w:t>sur</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2"/>
          <w:w w:val="120"/>
        </w:rPr>
        <w:t> </w:t>
      </w:r>
      <w:r>
        <w:rPr>
          <w:color w:val="231F20"/>
          <w:w w:val="120"/>
        </w:rPr>
        <w:t>sont</w:t>
      </w:r>
      <w:r>
        <w:rPr>
          <w:color w:val="231F20"/>
          <w:spacing w:val="-13"/>
          <w:w w:val="120"/>
        </w:rPr>
        <w:t> </w:t>
      </w:r>
      <w:r>
        <w:rPr>
          <w:color w:val="231F20"/>
          <w:w w:val="120"/>
        </w:rPr>
        <w:t>de</w:t>
      </w:r>
      <w:r>
        <w:rPr>
          <w:color w:val="231F20"/>
          <w:spacing w:val="-13"/>
          <w:w w:val="120"/>
        </w:rPr>
        <w:t> </w:t>
      </w:r>
      <w:r>
        <w:rPr>
          <w:color w:val="231F20"/>
          <w:w w:val="120"/>
        </w:rPr>
        <w:t>plus</w:t>
      </w:r>
      <w:r>
        <w:rPr>
          <w:color w:val="231F20"/>
          <w:spacing w:val="-13"/>
          <w:w w:val="120"/>
        </w:rPr>
        <w:t> </w:t>
      </w:r>
      <w:r>
        <w:rPr>
          <w:color w:val="231F20"/>
          <w:w w:val="120"/>
        </w:rPr>
        <w:t>en</w:t>
      </w:r>
      <w:r>
        <w:rPr>
          <w:color w:val="231F20"/>
          <w:spacing w:val="-12"/>
          <w:w w:val="120"/>
        </w:rPr>
        <w:t> </w:t>
      </w:r>
      <w:r>
        <w:rPr>
          <w:color w:val="231F20"/>
          <w:w w:val="120"/>
        </w:rPr>
        <w:t>plus</w:t>
      </w:r>
      <w:r>
        <w:rPr>
          <w:color w:val="231F20"/>
          <w:spacing w:val="-13"/>
          <w:w w:val="120"/>
        </w:rPr>
        <w:t> </w:t>
      </w:r>
      <w:r>
        <w:rPr>
          <w:color w:val="231F20"/>
          <w:w w:val="120"/>
        </w:rPr>
        <w:t>visibles</w:t>
      </w:r>
      <w:r>
        <w:rPr>
          <w:color w:val="231F20"/>
          <w:spacing w:val="-13"/>
          <w:w w:val="120"/>
        </w:rPr>
        <w:t> </w:t>
      </w:r>
      <w:r>
        <w:rPr>
          <w:color w:val="231F20"/>
          <w:w w:val="120"/>
        </w:rPr>
        <w:t>et</w:t>
      </w:r>
      <w:r>
        <w:rPr>
          <w:color w:val="231F20"/>
          <w:spacing w:val="-13"/>
          <w:w w:val="120"/>
        </w:rPr>
        <w:t> </w:t>
      </w:r>
      <w:r>
        <w:rPr>
          <w:color w:val="231F20"/>
          <w:w w:val="120"/>
        </w:rPr>
        <w:t>évi- </w:t>
      </w:r>
      <w:r>
        <w:rPr>
          <w:color w:val="231F20"/>
          <w:spacing w:val="-4"/>
          <w:w w:val="120"/>
        </w:rPr>
        <w:t>dents18.</w:t>
      </w:r>
      <w:r>
        <w:rPr>
          <w:color w:val="231F20"/>
          <w:spacing w:val="-23"/>
          <w:w w:val="120"/>
        </w:rPr>
        <w:t> </w:t>
      </w:r>
      <w:r>
        <w:rPr>
          <w:color w:val="231F20"/>
          <w:spacing w:val="-4"/>
          <w:w w:val="120"/>
        </w:rPr>
        <w:t>Ainsi,</w:t>
      </w:r>
      <w:r>
        <w:rPr>
          <w:color w:val="231F20"/>
          <w:spacing w:val="-22"/>
          <w:w w:val="120"/>
        </w:rPr>
        <w:t> </w:t>
      </w:r>
      <w:r>
        <w:rPr>
          <w:color w:val="231F20"/>
          <w:spacing w:val="-4"/>
          <w:w w:val="120"/>
        </w:rPr>
        <w:t>pour</w:t>
      </w:r>
      <w:r>
        <w:rPr>
          <w:color w:val="231F20"/>
          <w:spacing w:val="-23"/>
          <w:w w:val="120"/>
        </w:rPr>
        <w:t> </w:t>
      </w:r>
      <w:r>
        <w:rPr>
          <w:color w:val="231F20"/>
          <w:spacing w:val="-4"/>
          <w:w w:val="120"/>
        </w:rPr>
        <w:t>efficacement</w:t>
      </w:r>
      <w:r>
        <w:rPr>
          <w:color w:val="231F20"/>
          <w:spacing w:val="-22"/>
          <w:w w:val="120"/>
        </w:rPr>
        <w:t> </w:t>
      </w:r>
      <w:r>
        <w:rPr>
          <w:color w:val="231F20"/>
          <w:spacing w:val="-4"/>
          <w:w w:val="120"/>
        </w:rPr>
        <w:t>s’attaquer</w:t>
      </w:r>
      <w:r>
        <w:rPr>
          <w:color w:val="231F20"/>
          <w:spacing w:val="-23"/>
          <w:w w:val="120"/>
        </w:rPr>
        <w:t> </w:t>
      </w:r>
      <w:r>
        <w:rPr>
          <w:color w:val="231F20"/>
          <w:spacing w:val="-4"/>
          <w:w w:val="120"/>
        </w:rPr>
        <w:t>aux</w:t>
      </w:r>
      <w:r>
        <w:rPr>
          <w:color w:val="231F20"/>
          <w:spacing w:val="-22"/>
          <w:w w:val="120"/>
        </w:rPr>
        <w:t> </w:t>
      </w:r>
      <w:r>
        <w:rPr>
          <w:color w:val="231F20"/>
          <w:spacing w:val="-4"/>
          <w:w w:val="120"/>
        </w:rPr>
        <w:t>problèmes</w:t>
      </w:r>
      <w:r>
        <w:rPr>
          <w:color w:val="231F20"/>
          <w:spacing w:val="-23"/>
          <w:w w:val="120"/>
        </w:rPr>
        <w:t> </w:t>
      </w:r>
      <w:r>
        <w:rPr>
          <w:color w:val="231F20"/>
          <w:spacing w:val="-4"/>
          <w:w w:val="120"/>
        </w:rPr>
        <w:t>de</w:t>
      </w:r>
      <w:r>
        <w:rPr>
          <w:color w:val="231F20"/>
          <w:spacing w:val="-22"/>
          <w:w w:val="120"/>
        </w:rPr>
        <w:t> </w:t>
      </w:r>
      <w:r>
        <w:rPr>
          <w:color w:val="231F20"/>
          <w:spacing w:val="-4"/>
          <w:w w:val="120"/>
        </w:rPr>
        <w:t>santé</w:t>
      </w:r>
      <w:r>
        <w:rPr>
          <w:color w:val="231F20"/>
          <w:spacing w:val="-23"/>
          <w:w w:val="120"/>
        </w:rPr>
        <w:t> </w:t>
      </w:r>
      <w:r>
        <w:rPr>
          <w:color w:val="231F20"/>
          <w:spacing w:val="-4"/>
          <w:w w:val="120"/>
        </w:rPr>
        <w:t>actuels</w:t>
      </w:r>
    </w:p>
    <w:p>
      <w:pPr>
        <w:pStyle w:val="BodyText"/>
        <w:rPr>
          <w:sz w:val="20"/>
        </w:rPr>
      </w:pPr>
    </w:p>
    <w:p>
      <w:pPr>
        <w:pStyle w:val="BodyText"/>
        <w:spacing w:before="3"/>
        <w:rPr>
          <w:sz w:val="13"/>
        </w:rPr>
      </w:pPr>
      <w:r>
        <w:rPr/>
        <w:pict>
          <v:shape style="position:absolute;margin-left:82pt;margin-top:8.8458pt;width:287.5pt;height:.1pt;mso-position-horizontal-relative:page;mso-position-vertical-relative:paragraph;z-index:-15710208;mso-wrap-distance-left:0;mso-wrap-distance-right:0" id="docshape112" coordorigin="1640,177" coordsize="5750,0" path="m1640,177l7390,177e" filled="false" stroked="true" strokeweight=".25pt" strokecolor="#231f20">
            <v:path arrowok="t"/>
            <v:stroke dashstyle="shortdot"/>
            <w10:wrap type="topAndBottom"/>
          </v:shape>
        </w:pict>
      </w:r>
    </w:p>
    <w:p>
      <w:pPr>
        <w:pStyle w:val="ListParagraph"/>
        <w:numPr>
          <w:ilvl w:val="0"/>
          <w:numId w:val="12"/>
        </w:numPr>
        <w:tabs>
          <w:tab w:pos="1180" w:val="left" w:leader="none"/>
        </w:tabs>
        <w:spacing w:line="295" w:lineRule="auto" w:before="135" w:after="0"/>
        <w:ind w:left="1179" w:right="246" w:hanging="406"/>
        <w:jc w:val="both"/>
        <w:rPr>
          <w:rFonts w:ascii="Arial"/>
          <w:sz w:val="12"/>
        </w:rPr>
      </w:pPr>
      <w:r>
        <w:rPr>
          <w:rFonts w:ascii="Arial"/>
          <w:color w:val="231F20"/>
          <w:sz w:val="12"/>
        </w:rPr>
        <w:t>Tran,</w:t>
      </w:r>
      <w:r>
        <w:rPr>
          <w:rFonts w:ascii="Arial"/>
          <w:color w:val="231F20"/>
          <w:spacing w:val="-2"/>
          <w:sz w:val="12"/>
        </w:rPr>
        <w:t> </w:t>
      </w:r>
      <w:r>
        <w:rPr>
          <w:rFonts w:ascii="Arial"/>
          <w:color w:val="231F20"/>
          <w:sz w:val="12"/>
        </w:rPr>
        <w:t>C.</w:t>
      </w:r>
      <w:r>
        <w:rPr>
          <w:rFonts w:ascii="Arial"/>
          <w:color w:val="231F20"/>
          <w:spacing w:val="-2"/>
          <w:sz w:val="12"/>
        </w:rPr>
        <w:t> </w:t>
      </w:r>
      <w:r>
        <w:rPr>
          <w:rFonts w:ascii="Arial"/>
          <w:color w:val="231F20"/>
          <w:sz w:val="12"/>
        </w:rPr>
        <w:t>T.</w:t>
      </w:r>
      <w:r>
        <w:rPr>
          <w:rFonts w:ascii="Arial"/>
          <w:color w:val="231F20"/>
          <w:spacing w:val="-2"/>
          <w:sz w:val="12"/>
        </w:rPr>
        <w:t> </w:t>
      </w:r>
      <w:r>
        <w:rPr>
          <w:rFonts w:ascii="Arial"/>
          <w:color w:val="231F20"/>
          <w:sz w:val="12"/>
        </w:rPr>
        <w:t>H.,</w:t>
      </w:r>
      <w:r>
        <w:rPr>
          <w:rFonts w:ascii="Arial"/>
          <w:color w:val="231F20"/>
          <w:spacing w:val="-2"/>
          <w:sz w:val="12"/>
        </w:rPr>
        <w:t> </w:t>
      </w:r>
      <w:r>
        <w:rPr>
          <w:rFonts w:ascii="Arial"/>
          <w:color w:val="231F20"/>
          <w:sz w:val="12"/>
        </w:rPr>
        <w:t>Tran,</w:t>
      </w:r>
      <w:r>
        <w:rPr>
          <w:rFonts w:ascii="Arial"/>
          <w:color w:val="231F20"/>
          <w:spacing w:val="-2"/>
          <w:sz w:val="12"/>
        </w:rPr>
        <w:t> </w:t>
      </w:r>
      <w:r>
        <w:rPr>
          <w:rFonts w:ascii="Arial"/>
          <w:color w:val="231F20"/>
          <w:sz w:val="12"/>
        </w:rPr>
        <w:t>H.</w:t>
      </w:r>
      <w:r>
        <w:rPr>
          <w:rFonts w:ascii="Arial"/>
          <w:color w:val="231F20"/>
          <w:spacing w:val="-2"/>
          <w:sz w:val="12"/>
        </w:rPr>
        <w:t> </w:t>
      </w:r>
      <w:r>
        <w:rPr>
          <w:rFonts w:ascii="Arial"/>
          <w:color w:val="231F20"/>
          <w:sz w:val="12"/>
        </w:rPr>
        <w:t>T.</w:t>
      </w:r>
      <w:r>
        <w:rPr>
          <w:rFonts w:ascii="Arial"/>
          <w:color w:val="231F20"/>
          <w:spacing w:val="-2"/>
          <w:sz w:val="12"/>
        </w:rPr>
        <w:t> </w:t>
      </w:r>
      <w:r>
        <w:rPr>
          <w:rFonts w:ascii="Arial"/>
          <w:color w:val="231F20"/>
          <w:sz w:val="12"/>
        </w:rPr>
        <w:t>M.,</w:t>
      </w:r>
      <w:r>
        <w:rPr>
          <w:rFonts w:ascii="Arial"/>
          <w:color w:val="231F20"/>
          <w:spacing w:val="-2"/>
          <w:sz w:val="12"/>
        </w:rPr>
        <w:t> </w:t>
      </w:r>
      <w:r>
        <w:rPr>
          <w:rFonts w:ascii="Arial"/>
          <w:color w:val="231F20"/>
          <w:sz w:val="12"/>
        </w:rPr>
        <w:t>Nguyen,</w:t>
      </w:r>
      <w:r>
        <w:rPr>
          <w:rFonts w:ascii="Arial"/>
          <w:color w:val="231F20"/>
          <w:spacing w:val="-2"/>
          <w:sz w:val="12"/>
        </w:rPr>
        <w:t> </w:t>
      </w:r>
      <w:r>
        <w:rPr>
          <w:rFonts w:ascii="Arial"/>
          <w:color w:val="231F20"/>
          <w:sz w:val="12"/>
        </w:rPr>
        <w:t>H.</w:t>
      </w:r>
      <w:r>
        <w:rPr>
          <w:rFonts w:ascii="Arial"/>
          <w:color w:val="231F20"/>
          <w:spacing w:val="-2"/>
          <w:sz w:val="12"/>
        </w:rPr>
        <w:t> </w:t>
      </w:r>
      <w:r>
        <w:rPr>
          <w:rFonts w:ascii="Arial"/>
          <w:color w:val="231F20"/>
          <w:sz w:val="12"/>
        </w:rPr>
        <w:t>T.</w:t>
      </w:r>
      <w:r>
        <w:rPr>
          <w:rFonts w:ascii="Arial"/>
          <w:color w:val="231F20"/>
          <w:spacing w:val="-2"/>
          <w:sz w:val="12"/>
        </w:rPr>
        <w:t> </w:t>
      </w:r>
      <w:r>
        <w:rPr>
          <w:rFonts w:ascii="Arial"/>
          <w:color w:val="231F20"/>
          <w:sz w:val="12"/>
        </w:rPr>
        <w:t>N.,</w:t>
      </w:r>
      <w:r>
        <w:rPr>
          <w:rFonts w:ascii="Arial"/>
          <w:color w:val="231F20"/>
          <w:spacing w:val="-2"/>
          <w:sz w:val="12"/>
        </w:rPr>
        <w:t> </w:t>
      </w:r>
      <w:r>
        <w:rPr>
          <w:rFonts w:ascii="Arial"/>
          <w:color w:val="231F20"/>
          <w:sz w:val="12"/>
        </w:rPr>
        <w:t>Mach,</w:t>
      </w:r>
      <w:r>
        <w:rPr>
          <w:rFonts w:ascii="Arial"/>
          <w:color w:val="231F20"/>
          <w:spacing w:val="-2"/>
          <w:sz w:val="12"/>
        </w:rPr>
        <w:t> </w:t>
      </w:r>
      <w:r>
        <w:rPr>
          <w:rFonts w:ascii="Arial"/>
          <w:color w:val="231F20"/>
          <w:sz w:val="12"/>
        </w:rPr>
        <w:t>D.</w:t>
      </w:r>
      <w:r>
        <w:rPr>
          <w:rFonts w:ascii="Arial"/>
          <w:color w:val="231F20"/>
          <w:spacing w:val="-2"/>
          <w:sz w:val="12"/>
        </w:rPr>
        <w:t> </w:t>
      </w:r>
      <w:r>
        <w:rPr>
          <w:rFonts w:ascii="Arial"/>
          <w:color w:val="231F20"/>
          <w:sz w:val="12"/>
        </w:rPr>
        <w:t>H.,</w:t>
      </w:r>
      <w:r>
        <w:rPr>
          <w:rFonts w:ascii="Arial"/>
          <w:color w:val="231F20"/>
          <w:spacing w:val="-2"/>
          <w:sz w:val="12"/>
        </w:rPr>
        <w:t> </w:t>
      </w:r>
      <w:r>
        <w:rPr>
          <w:rFonts w:ascii="Arial"/>
          <w:color w:val="231F20"/>
          <w:sz w:val="12"/>
        </w:rPr>
        <w:t>Phan,</w:t>
      </w:r>
      <w:r>
        <w:rPr>
          <w:rFonts w:ascii="Arial"/>
          <w:color w:val="231F20"/>
          <w:spacing w:val="-2"/>
          <w:sz w:val="12"/>
        </w:rPr>
        <w:t> </w:t>
      </w:r>
      <w:r>
        <w:rPr>
          <w:rFonts w:ascii="Arial"/>
          <w:color w:val="231F20"/>
          <w:sz w:val="12"/>
        </w:rPr>
        <w:t>H.</w:t>
      </w:r>
      <w:r>
        <w:rPr>
          <w:rFonts w:ascii="Arial"/>
          <w:color w:val="231F20"/>
          <w:spacing w:val="-2"/>
          <w:sz w:val="12"/>
        </w:rPr>
        <w:t> </w:t>
      </w:r>
      <w:r>
        <w:rPr>
          <w:rFonts w:ascii="Arial"/>
          <w:color w:val="231F20"/>
          <w:sz w:val="12"/>
        </w:rPr>
        <w:t>S.</w:t>
      </w:r>
      <w:r>
        <w:rPr>
          <w:rFonts w:ascii="Arial"/>
          <w:color w:val="231F20"/>
          <w:spacing w:val="-2"/>
          <w:sz w:val="12"/>
        </w:rPr>
        <w:t> </w:t>
      </w:r>
      <w:r>
        <w:rPr>
          <w:rFonts w:ascii="Arial"/>
          <w:color w:val="231F20"/>
          <w:sz w:val="12"/>
        </w:rPr>
        <w:t>P.</w:t>
      </w:r>
      <w:r>
        <w:rPr>
          <w:rFonts w:ascii="Arial"/>
          <w:color w:val="231F20"/>
          <w:spacing w:val="-2"/>
          <w:sz w:val="12"/>
        </w:rPr>
        <w:t> </w:t>
      </w:r>
      <w:r>
        <w:rPr>
          <w:rFonts w:ascii="Arial"/>
          <w:color w:val="231F20"/>
          <w:sz w:val="12"/>
        </w:rPr>
        <w:t>et</w:t>
      </w:r>
      <w:r>
        <w:rPr>
          <w:rFonts w:ascii="Arial"/>
          <w:color w:val="231F20"/>
          <w:spacing w:val="-2"/>
          <w:sz w:val="12"/>
        </w:rPr>
        <w:t> </w:t>
      </w:r>
      <w:r>
        <w:rPr>
          <w:rFonts w:ascii="Arial"/>
          <w:color w:val="231F20"/>
          <w:sz w:val="12"/>
        </w:rPr>
        <w:t>Mujtaba,</w:t>
      </w:r>
      <w:r>
        <w:rPr>
          <w:rFonts w:ascii="Arial"/>
          <w:color w:val="231F20"/>
          <w:spacing w:val="-2"/>
          <w:sz w:val="12"/>
        </w:rPr>
        <w:t> </w:t>
      </w:r>
      <w:r>
        <w:rPr>
          <w:rFonts w:ascii="Arial"/>
          <w:color w:val="231F20"/>
          <w:sz w:val="12"/>
        </w:rPr>
        <w:t>B.</w:t>
      </w:r>
      <w:r>
        <w:rPr>
          <w:rFonts w:ascii="Arial"/>
          <w:color w:val="231F20"/>
          <w:spacing w:val="-2"/>
          <w:sz w:val="12"/>
        </w:rPr>
        <w:t> </w:t>
      </w:r>
      <w:r>
        <w:rPr>
          <w:rFonts w:ascii="Arial"/>
          <w:color w:val="231F20"/>
          <w:sz w:val="12"/>
        </w:rPr>
        <w:t>G.</w:t>
      </w:r>
      <w:r>
        <w:rPr>
          <w:rFonts w:ascii="Arial"/>
          <w:color w:val="231F20"/>
          <w:spacing w:val="-2"/>
          <w:sz w:val="12"/>
        </w:rPr>
        <w:t> </w:t>
      </w:r>
      <w:r>
        <w:rPr>
          <w:rFonts w:ascii="Arial"/>
          <w:color w:val="231F20"/>
          <w:sz w:val="12"/>
        </w:rPr>
        <w:t>(2020).</w:t>
      </w:r>
      <w:r>
        <w:rPr>
          <w:rFonts w:ascii="Arial"/>
          <w:color w:val="231F20"/>
          <w:spacing w:val="-2"/>
          <w:sz w:val="12"/>
        </w:rPr>
        <w:t> </w:t>
      </w:r>
      <w:r>
        <w:rPr>
          <w:rFonts w:ascii="Arial"/>
          <w:color w:val="231F20"/>
          <w:sz w:val="12"/>
        </w:rPr>
        <w:t>Stress</w:t>
      </w:r>
      <w:r>
        <w:rPr>
          <w:rFonts w:ascii="Arial"/>
          <w:color w:val="231F20"/>
          <w:spacing w:val="40"/>
          <w:sz w:val="12"/>
        </w:rPr>
        <w:t> </w:t>
      </w:r>
      <w:r>
        <w:rPr>
          <w:rFonts w:ascii="Arial"/>
          <w:color w:val="231F20"/>
          <w:sz w:val="12"/>
        </w:rPr>
        <w:t>management in the modern workplace and the role of human resource professionals, </w:t>
      </w:r>
      <w:r>
        <w:rPr>
          <w:rFonts w:ascii="Arial"/>
          <w:i/>
          <w:color w:val="231F20"/>
          <w:sz w:val="12"/>
        </w:rPr>
        <w:t>Business Ethics and</w:t>
      </w:r>
      <w:r>
        <w:rPr>
          <w:rFonts w:ascii="Arial"/>
          <w:i/>
          <w:color w:val="231F20"/>
          <w:spacing w:val="40"/>
          <w:sz w:val="12"/>
        </w:rPr>
        <w:t> </w:t>
      </w:r>
      <w:r>
        <w:rPr>
          <w:rFonts w:ascii="Arial"/>
          <w:i/>
          <w:color w:val="231F20"/>
          <w:sz w:val="12"/>
        </w:rPr>
        <w:t>Leadership</w:t>
      </w:r>
      <w:r>
        <w:rPr>
          <w:rFonts w:ascii="Arial"/>
          <w:color w:val="231F20"/>
          <w:sz w:val="12"/>
        </w:rPr>
        <w:t>, </w:t>
      </w:r>
      <w:r>
        <w:rPr>
          <w:rFonts w:ascii="Arial"/>
          <w:i/>
          <w:color w:val="231F20"/>
          <w:sz w:val="12"/>
        </w:rPr>
        <w:t>4</w:t>
      </w:r>
      <w:r>
        <w:rPr>
          <w:rFonts w:ascii="Arial"/>
          <w:color w:val="231F20"/>
          <w:sz w:val="12"/>
        </w:rPr>
        <w:t>, 26-40.</w:t>
      </w:r>
    </w:p>
    <w:p>
      <w:pPr>
        <w:spacing w:after="0" w:line="295" w:lineRule="auto"/>
        <w:jc w:val="both"/>
        <w:rPr>
          <w:rFonts w:ascii="Arial"/>
          <w:sz w:val="12"/>
        </w:rPr>
        <w:sectPr>
          <w:footerReference w:type="default" r:id="rId55"/>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2"/>
        <w:jc w:val="both"/>
      </w:pPr>
      <w:r>
        <w:rPr>
          <w:color w:val="231F20"/>
          <w:w w:val="120"/>
        </w:rPr>
        <w:t>des travailleurs, il faut décloisonner la notion de </w:t>
      </w:r>
      <w:r>
        <w:rPr>
          <w:i/>
          <w:color w:val="231F20"/>
          <w:w w:val="120"/>
        </w:rPr>
        <w:t>santé au travail </w:t>
      </w:r>
      <w:r>
        <w:rPr>
          <w:color w:val="231F20"/>
          <w:w w:val="120"/>
        </w:rPr>
        <w:t>afin </w:t>
      </w:r>
      <w:r>
        <w:rPr>
          <w:color w:val="231F20"/>
          <w:spacing w:val="-2"/>
          <w:w w:val="120"/>
        </w:rPr>
        <w:t>qu’elle</w:t>
      </w:r>
      <w:r>
        <w:rPr>
          <w:color w:val="231F20"/>
          <w:spacing w:val="-11"/>
          <w:w w:val="120"/>
        </w:rPr>
        <w:t> </w:t>
      </w:r>
      <w:r>
        <w:rPr>
          <w:color w:val="231F20"/>
          <w:spacing w:val="-2"/>
          <w:w w:val="120"/>
        </w:rPr>
        <w:t>englobe</w:t>
      </w:r>
      <w:r>
        <w:rPr>
          <w:color w:val="231F20"/>
          <w:spacing w:val="-11"/>
          <w:w w:val="120"/>
        </w:rPr>
        <w:t> </w:t>
      </w:r>
      <w:r>
        <w:rPr>
          <w:color w:val="231F20"/>
          <w:spacing w:val="-2"/>
          <w:w w:val="120"/>
        </w:rPr>
        <w:t>non</w:t>
      </w:r>
      <w:r>
        <w:rPr>
          <w:color w:val="231F20"/>
          <w:spacing w:val="-10"/>
          <w:w w:val="120"/>
        </w:rPr>
        <w:t> </w:t>
      </w:r>
      <w:r>
        <w:rPr>
          <w:color w:val="231F20"/>
          <w:spacing w:val="-2"/>
          <w:w w:val="120"/>
        </w:rPr>
        <w:t>seulement</w:t>
      </w:r>
      <w:r>
        <w:rPr>
          <w:color w:val="231F20"/>
          <w:spacing w:val="-11"/>
          <w:w w:val="120"/>
        </w:rPr>
        <w:t> </w:t>
      </w:r>
      <w:r>
        <w:rPr>
          <w:color w:val="231F20"/>
          <w:spacing w:val="-2"/>
          <w:w w:val="120"/>
        </w:rPr>
        <w:t>le</w:t>
      </w:r>
      <w:r>
        <w:rPr>
          <w:color w:val="231F20"/>
          <w:spacing w:val="-11"/>
          <w:w w:val="120"/>
        </w:rPr>
        <w:t> </w:t>
      </w:r>
      <w:r>
        <w:rPr>
          <w:color w:val="231F20"/>
          <w:spacing w:val="-2"/>
          <w:w w:val="120"/>
        </w:rPr>
        <w:t>bien-être</w:t>
      </w:r>
      <w:r>
        <w:rPr>
          <w:color w:val="231F20"/>
          <w:spacing w:val="-10"/>
          <w:w w:val="120"/>
        </w:rPr>
        <w:t> </w:t>
      </w:r>
      <w:r>
        <w:rPr>
          <w:color w:val="231F20"/>
          <w:spacing w:val="-2"/>
          <w:w w:val="120"/>
        </w:rPr>
        <w:t>physique,</w:t>
      </w:r>
      <w:r>
        <w:rPr>
          <w:color w:val="231F20"/>
          <w:spacing w:val="-11"/>
          <w:w w:val="120"/>
        </w:rPr>
        <w:t> </w:t>
      </w:r>
      <w:r>
        <w:rPr>
          <w:color w:val="231F20"/>
          <w:spacing w:val="-2"/>
          <w:w w:val="120"/>
        </w:rPr>
        <w:t>mais,</w:t>
      </w:r>
      <w:r>
        <w:rPr>
          <w:color w:val="231F20"/>
          <w:spacing w:val="-11"/>
          <w:w w:val="120"/>
        </w:rPr>
        <w:t> </w:t>
      </w:r>
      <w:r>
        <w:rPr>
          <w:color w:val="231F20"/>
          <w:spacing w:val="-2"/>
          <w:w w:val="120"/>
        </w:rPr>
        <w:t>autant</w:t>
      </w:r>
      <w:r>
        <w:rPr>
          <w:color w:val="231F20"/>
          <w:spacing w:val="-10"/>
          <w:w w:val="120"/>
        </w:rPr>
        <w:t> </w:t>
      </w:r>
      <w:r>
        <w:rPr>
          <w:color w:val="231F20"/>
          <w:spacing w:val="-2"/>
          <w:w w:val="120"/>
        </w:rPr>
        <w:t>et</w:t>
      </w:r>
      <w:r>
        <w:rPr>
          <w:color w:val="231F20"/>
          <w:spacing w:val="-11"/>
          <w:w w:val="120"/>
        </w:rPr>
        <w:t> </w:t>
      </w:r>
      <w:r>
        <w:rPr>
          <w:color w:val="231F20"/>
          <w:spacing w:val="-2"/>
          <w:w w:val="120"/>
        </w:rPr>
        <w:t>éga- </w:t>
      </w:r>
      <w:r>
        <w:rPr>
          <w:color w:val="231F20"/>
          <w:spacing w:val="-4"/>
          <w:w w:val="120"/>
        </w:rPr>
        <w:t>lement, le bien-être psychologique. Il y a lieu de reconnaître que dans des </w:t>
      </w:r>
      <w:r>
        <w:rPr>
          <w:color w:val="231F20"/>
          <w:w w:val="115"/>
        </w:rPr>
        <w:t>économies plus axées vers le savoir, la traditionnelle pénibilité physique </w:t>
      </w:r>
      <w:r>
        <w:rPr>
          <w:color w:val="231F20"/>
          <w:w w:val="120"/>
        </w:rPr>
        <w:t>du travail devient de plus en plus une pénibilité psychologique.</w:t>
      </w:r>
    </w:p>
    <w:p>
      <w:pPr>
        <w:pStyle w:val="BodyText"/>
        <w:spacing w:line="307" w:lineRule="auto" w:before="79"/>
        <w:ind w:left="790" w:right="631" w:firstLine="250"/>
        <w:jc w:val="both"/>
      </w:pPr>
      <w:r>
        <w:rPr>
          <w:color w:val="231F20"/>
          <w:w w:val="120"/>
        </w:rPr>
        <w:t>Les opinions divergent sur l’importance pour l’organisation de se soucier</w:t>
      </w:r>
      <w:r>
        <w:rPr>
          <w:color w:val="231F20"/>
          <w:spacing w:val="-5"/>
          <w:w w:val="120"/>
        </w:rPr>
        <w:t> </w:t>
      </w:r>
      <w:r>
        <w:rPr>
          <w:color w:val="231F20"/>
          <w:w w:val="120"/>
        </w:rPr>
        <w:t>des</w:t>
      </w:r>
      <w:r>
        <w:rPr>
          <w:color w:val="231F20"/>
          <w:spacing w:val="-5"/>
          <w:w w:val="120"/>
        </w:rPr>
        <w:t> </w:t>
      </w:r>
      <w:r>
        <w:rPr>
          <w:color w:val="231F20"/>
          <w:w w:val="120"/>
        </w:rPr>
        <w:t>émotions</w:t>
      </w:r>
      <w:r>
        <w:rPr>
          <w:color w:val="231F20"/>
          <w:spacing w:val="-5"/>
          <w:w w:val="120"/>
        </w:rPr>
        <w:t> </w:t>
      </w:r>
      <w:r>
        <w:rPr>
          <w:color w:val="231F20"/>
          <w:w w:val="120"/>
        </w:rPr>
        <w:t>et</w:t>
      </w:r>
      <w:r>
        <w:rPr>
          <w:color w:val="231F20"/>
          <w:spacing w:val="-5"/>
          <w:w w:val="120"/>
        </w:rPr>
        <w:t> </w:t>
      </w:r>
      <w:r>
        <w:rPr>
          <w:color w:val="231F20"/>
          <w:w w:val="120"/>
        </w:rPr>
        <w:t>des</w:t>
      </w:r>
      <w:r>
        <w:rPr>
          <w:color w:val="231F20"/>
          <w:spacing w:val="-5"/>
          <w:w w:val="120"/>
        </w:rPr>
        <w:t> </w:t>
      </w:r>
      <w:r>
        <w:rPr>
          <w:color w:val="231F20"/>
          <w:w w:val="120"/>
        </w:rPr>
        <w:t>états</w:t>
      </w:r>
      <w:r>
        <w:rPr>
          <w:color w:val="231F20"/>
          <w:spacing w:val="-5"/>
          <w:w w:val="120"/>
        </w:rPr>
        <w:t> </w:t>
      </w:r>
      <w:r>
        <w:rPr>
          <w:color w:val="231F20"/>
          <w:w w:val="120"/>
        </w:rPr>
        <w:t>d’âme</w:t>
      </w:r>
      <w:r>
        <w:rPr>
          <w:color w:val="231F20"/>
          <w:spacing w:val="-5"/>
          <w:w w:val="120"/>
        </w:rPr>
        <w:t> </w:t>
      </w:r>
      <w:r>
        <w:rPr>
          <w:color w:val="231F20"/>
          <w:w w:val="120"/>
        </w:rPr>
        <w:t>de</w:t>
      </w:r>
      <w:r>
        <w:rPr>
          <w:color w:val="231F20"/>
          <w:spacing w:val="-5"/>
          <w:w w:val="120"/>
        </w:rPr>
        <w:t> </w:t>
      </w:r>
      <w:r>
        <w:rPr>
          <w:color w:val="231F20"/>
          <w:w w:val="120"/>
        </w:rPr>
        <w:t>son</w:t>
      </w:r>
      <w:r>
        <w:rPr>
          <w:color w:val="231F20"/>
          <w:spacing w:val="-5"/>
          <w:w w:val="120"/>
        </w:rPr>
        <w:t> </w:t>
      </w:r>
      <w:r>
        <w:rPr>
          <w:color w:val="231F20"/>
          <w:w w:val="120"/>
        </w:rPr>
        <w:t>personnel.</w:t>
      </w:r>
      <w:r>
        <w:rPr>
          <w:color w:val="231F20"/>
          <w:spacing w:val="-5"/>
          <w:w w:val="120"/>
        </w:rPr>
        <w:t> </w:t>
      </w:r>
      <w:r>
        <w:rPr>
          <w:color w:val="231F20"/>
          <w:w w:val="120"/>
        </w:rPr>
        <w:t>Les</w:t>
      </w:r>
      <w:r>
        <w:rPr>
          <w:color w:val="231F20"/>
          <w:spacing w:val="-5"/>
          <w:w w:val="120"/>
        </w:rPr>
        <w:t> </w:t>
      </w:r>
      <w:r>
        <w:rPr>
          <w:color w:val="231F20"/>
          <w:w w:val="120"/>
        </w:rPr>
        <w:t>modèles traditionnels de gestion ancrés dans des principes de rationalité pure sous-estiment</w:t>
      </w:r>
      <w:r>
        <w:rPr>
          <w:color w:val="231F20"/>
          <w:spacing w:val="-5"/>
          <w:w w:val="120"/>
        </w:rPr>
        <w:t> </w:t>
      </w:r>
      <w:r>
        <w:rPr>
          <w:color w:val="231F20"/>
          <w:w w:val="120"/>
        </w:rPr>
        <w:t>l’importance</w:t>
      </w:r>
      <w:r>
        <w:rPr>
          <w:color w:val="231F20"/>
          <w:spacing w:val="-5"/>
          <w:w w:val="120"/>
        </w:rPr>
        <w:t> </w:t>
      </w:r>
      <w:r>
        <w:rPr>
          <w:color w:val="231F20"/>
          <w:w w:val="120"/>
        </w:rPr>
        <w:t>et</w:t>
      </w:r>
      <w:r>
        <w:rPr>
          <w:color w:val="231F20"/>
          <w:spacing w:val="-5"/>
          <w:w w:val="120"/>
        </w:rPr>
        <w:t> </w:t>
      </w:r>
      <w:r>
        <w:rPr>
          <w:color w:val="231F20"/>
          <w:w w:val="120"/>
        </w:rPr>
        <w:t>la</w:t>
      </w:r>
      <w:r>
        <w:rPr>
          <w:color w:val="231F20"/>
          <w:spacing w:val="-5"/>
          <w:w w:val="120"/>
        </w:rPr>
        <w:t> </w:t>
      </w:r>
      <w:r>
        <w:rPr>
          <w:color w:val="231F20"/>
          <w:w w:val="120"/>
        </w:rPr>
        <w:t>place</w:t>
      </w:r>
      <w:r>
        <w:rPr>
          <w:color w:val="231F20"/>
          <w:spacing w:val="-5"/>
          <w:w w:val="120"/>
        </w:rPr>
        <w:t> </w:t>
      </w:r>
      <w:r>
        <w:rPr>
          <w:color w:val="231F20"/>
          <w:w w:val="120"/>
        </w:rPr>
        <w:t>des</w:t>
      </w:r>
      <w:r>
        <w:rPr>
          <w:color w:val="231F20"/>
          <w:spacing w:val="-5"/>
          <w:w w:val="120"/>
        </w:rPr>
        <w:t> </w:t>
      </w:r>
      <w:r>
        <w:rPr>
          <w:color w:val="231F20"/>
          <w:w w:val="120"/>
        </w:rPr>
        <w:t>émotions</w:t>
      </w:r>
      <w:r>
        <w:rPr>
          <w:color w:val="231F20"/>
          <w:spacing w:val="-5"/>
          <w:w w:val="120"/>
        </w:rPr>
        <w:t> </w:t>
      </w:r>
      <w:r>
        <w:rPr>
          <w:color w:val="231F20"/>
          <w:w w:val="120"/>
        </w:rPr>
        <w:t>dans</w:t>
      </w:r>
      <w:r>
        <w:rPr>
          <w:color w:val="231F20"/>
          <w:spacing w:val="-5"/>
          <w:w w:val="120"/>
        </w:rPr>
        <w:t> </w:t>
      </w:r>
      <w:r>
        <w:rPr>
          <w:color w:val="231F20"/>
          <w:w w:val="120"/>
        </w:rPr>
        <w:t>les</w:t>
      </w:r>
      <w:r>
        <w:rPr>
          <w:color w:val="231F20"/>
          <w:spacing w:val="-5"/>
          <w:w w:val="120"/>
        </w:rPr>
        <w:t> </w:t>
      </w:r>
      <w:r>
        <w:rPr>
          <w:color w:val="231F20"/>
          <w:w w:val="120"/>
        </w:rPr>
        <w:t>processus décisionnels et productifs. Les nouveaux modèles de gestion recon- naissent</w:t>
      </w:r>
      <w:r>
        <w:rPr>
          <w:color w:val="231F20"/>
          <w:spacing w:val="-13"/>
          <w:w w:val="120"/>
        </w:rPr>
        <w:t> </w:t>
      </w:r>
      <w:r>
        <w:rPr>
          <w:color w:val="231F20"/>
          <w:w w:val="120"/>
        </w:rPr>
        <w:t>que</w:t>
      </w:r>
      <w:r>
        <w:rPr>
          <w:color w:val="231F20"/>
          <w:spacing w:val="-13"/>
          <w:w w:val="120"/>
        </w:rPr>
        <w:t> </w:t>
      </w:r>
      <w:r>
        <w:rPr>
          <w:color w:val="231F20"/>
          <w:w w:val="120"/>
        </w:rPr>
        <w:t>les</w:t>
      </w:r>
      <w:r>
        <w:rPr>
          <w:color w:val="231F20"/>
          <w:spacing w:val="-13"/>
          <w:w w:val="120"/>
        </w:rPr>
        <w:t> </w:t>
      </w:r>
      <w:r>
        <w:rPr>
          <w:color w:val="231F20"/>
          <w:w w:val="120"/>
        </w:rPr>
        <w:t>émotions</w:t>
      </w:r>
      <w:r>
        <w:rPr>
          <w:color w:val="231F20"/>
          <w:spacing w:val="-12"/>
          <w:w w:val="120"/>
        </w:rPr>
        <w:t> </w:t>
      </w:r>
      <w:r>
        <w:rPr>
          <w:color w:val="231F20"/>
          <w:w w:val="120"/>
        </w:rPr>
        <w:t>sont</w:t>
      </w:r>
      <w:r>
        <w:rPr>
          <w:color w:val="231F20"/>
          <w:spacing w:val="-13"/>
          <w:w w:val="120"/>
        </w:rPr>
        <w:t> </w:t>
      </w:r>
      <w:r>
        <w:rPr>
          <w:color w:val="231F20"/>
          <w:w w:val="120"/>
        </w:rPr>
        <w:t>un</w:t>
      </w:r>
      <w:r>
        <w:rPr>
          <w:color w:val="231F20"/>
          <w:spacing w:val="-13"/>
          <w:w w:val="120"/>
        </w:rPr>
        <w:t> </w:t>
      </w:r>
      <w:r>
        <w:rPr>
          <w:color w:val="231F20"/>
          <w:w w:val="120"/>
        </w:rPr>
        <w:t>facteur</w:t>
      </w:r>
      <w:r>
        <w:rPr>
          <w:color w:val="231F20"/>
          <w:spacing w:val="-13"/>
          <w:w w:val="120"/>
        </w:rPr>
        <w:t> </w:t>
      </w:r>
      <w:r>
        <w:rPr>
          <w:color w:val="231F20"/>
          <w:w w:val="120"/>
        </w:rPr>
        <w:t>incontournable</w:t>
      </w:r>
      <w:r>
        <w:rPr>
          <w:color w:val="231F20"/>
          <w:spacing w:val="-12"/>
          <w:w w:val="120"/>
        </w:rPr>
        <w:t> </w:t>
      </w:r>
      <w:r>
        <w:rPr>
          <w:color w:val="231F20"/>
          <w:w w:val="120"/>
        </w:rPr>
        <w:t>et</w:t>
      </w:r>
      <w:r>
        <w:rPr>
          <w:color w:val="231F20"/>
          <w:spacing w:val="-13"/>
          <w:w w:val="120"/>
        </w:rPr>
        <w:t> </w:t>
      </w:r>
      <w:r>
        <w:rPr>
          <w:color w:val="231F20"/>
          <w:w w:val="120"/>
        </w:rPr>
        <w:t>nécessaire</w:t>
      </w:r>
      <w:r>
        <w:rPr>
          <w:color w:val="231F20"/>
          <w:spacing w:val="-13"/>
          <w:w w:val="120"/>
        </w:rPr>
        <w:t> </w:t>
      </w:r>
      <w:r>
        <w:rPr>
          <w:color w:val="231F20"/>
          <w:w w:val="120"/>
        </w:rPr>
        <w:t>à une</w:t>
      </w:r>
      <w:r>
        <w:rPr>
          <w:color w:val="231F20"/>
          <w:spacing w:val="-12"/>
          <w:w w:val="120"/>
        </w:rPr>
        <w:t> </w:t>
      </w:r>
      <w:r>
        <w:rPr>
          <w:color w:val="231F20"/>
          <w:w w:val="120"/>
        </w:rPr>
        <w:t>saine</w:t>
      </w:r>
      <w:r>
        <w:rPr>
          <w:color w:val="231F20"/>
          <w:spacing w:val="-12"/>
          <w:w w:val="120"/>
        </w:rPr>
        <w:t> </w:t>
      </w:r>
      <w:r>
        <w:rPr>
          <w:color w:val="231F20"/>
          <w:w w:val="120"/>
        </w:rPr>
        <w:t>gestion</w:t>
      </w:r>
      <w:r>
        <w:rPr>
          <w:color w:val="231F20"/>
          <w:spacing w:val="-12"/>
          <w:w w:val="120"/>
        </w:rPr>
        <w:t> </w:t>
      </w:r>
      <w:r>
        <w:rPr>
          <w:color w:val="231F20"/>
          <w:w w:val="120"/>
        </w:rPr>
        <w:t>organisationnelle.</w:t>
      </w:r>
      <w:r>
        <w:rPr>
          <w:color w:val="231F20"/>
          <w:spacing w:val="-12"/>
          <w:w w:val="120"/>
        </w:rPr>
        <w:t> </w:t>
      </w:r>
      <w:r>
        <w:rPr>
          <w:color w:val="231F20"/>
          <w:w w:val="120"/>
        </w:rPr>
        <w:t>La</w:t>
      </w:r>
      <w:r>
        <w:rPr>
          <w:color w:val="231F20"/>
          <w:spacing w:val="-12"/>
          <w:w w:val="120"/>
        </w:rPr>
        <w:t> </w:t>
      </w:r>
      <w:r>
        <w:rPr>
          <w:color w:val="231F20"/>
          <w:w w:val="120"/>
        </w:rPr>
        <w:t>reconnaissance</w:t>
      </w:r>
      <w:r>
        <w:rPr>
          <w:color w:val="231F20"/>
          <w:spacing w:val="-12"/>
          <w:w w:val="120"/>
        </w:rPr>
        <w:t> </w:t>
      </w:r>
      <w:r>
        <w:rPr>
          <w:color w:val="231F20"/>
          <w:w w:val="120"/>
        </w:rPr>
        <w:t>de</w:t>
      </w:r>
      <w:r>
        <w:rPr>
          <w:color w:val="231F20"/>
          <w:spacing w:val="-12"/>
          <w:w w:val="120"/>
        </w:rPr>
        <w:t> </w:t>
      </w:r>
      <w:r>
        <w:rPr>
          <w:color w:val="231F20"/>
          <w:w w:val="120"/>
        </w:rPr>
        <w:t>l’importance de notions, tels la passion au travail, le courage managérial ou encore </w:t>
      </w:r>
      <w:r>
        <w:rPr>
          <w:color w:val="231F20"/>
          <w:spacing w:val="-2"/>
          <w:w w:val="120"/>
        </w:rPr>
        <w:t>l’intelligence</w:t>
      </w:r>
      <w:r>
        <w:rPr>
          <w:color w:val="231F20"/>
          <w:spacing w:val="-4"/>
          <w:w w:val="120"/>
        </w:rPr>
        <w:t> </w:t>
      </w:r>
      <w:r>
        <w:rPr>
          <w:color w:val="231F20"/>
          <w:spacing w:val="-2"/>
          <w:w w:val="120"/>
        </w:rPr>
        <w:t>émotionnelle,</w:t>
      </w:r>
      <w:r>
        <w:rPr>
          <w:color w:val="231F20"/>
          <w:spacing w:val="-4"/>
          <w:w w:val="120"/>
        </w:rPr>
        <w:t> </w:t>
      </w:r>
      <w:r>
        <w:rPr>
          <w:color w:val="231F20"/>
          <w:spacing w:val="-2"/>
          <w:w w:val="120"/>
        </w:rPr>
        <w:t>permet</w:t>
      </w:r>
      <w:r>
        <w:rPr>
          <w:color w:val="231F20"/>
          <w:spacing w:val="-4"/>
          <w:w w:val="120"/>
        </w:rPr>
        <w:t> </w:t>
      </w:r>
      <w:r>
        <w:rPr>
          <w:color w:val="231F20"/>
          <w:spacing w:val="-2"/>
          <w:w w:val="120"/>
        </w:rPr>
        <w:t>d’entrevoir</w:t>
      </w:r>
      <w:r>
        <w:rPr>
          <w:color w:val="231F20"/>
          <w:spacing w:val="-4"/>
          <w:w w:val="120"/>
        </w:rPr>
        <w:t> </w:t>
      </w:r>
      <w:r>
        <w:rPr>
          <w:color w:val="231F20"/>
          <w:spacing w:val="-2"/>
          <w:w w:val="120"/>
        </w:rPr>
        <w:t>le</w:t>
      </w:r>
      <w:r>
        <w:rPr>
          <w:color w:val="231F20"/>
          <w:spacing w:val="-4"/>
          <w:w w:val="120"/>
        </w:rPr>
        <w:t> </w:t>
      </w:r>
      <w:r>
        <w:rPr>
          <w:color w:val="231F20"/>
          <w:spacing w:val="-2"/>
          <w:w w:val="120"/>
        </w:rPr>
        <w:t>rôle</w:t>
      </w:r>
      <w:r>
        <w:rPr>
          <w:color w:val="231F20"/>
          <w:spacing w:val="-4"/>
          <w:w w:val="120"/>
        </w:rPr>
        <w:t> </w:t>
      </w:r>
      <w:r>
        <w:rPr>
          <w:color w:val="231F20"/>
          <w:spacing w:val="-2"/>
          <w:w w:val="120"/>
        </w:rPr>
        <w:t>essentiel</w:t>
      </w:r>
      <w:r>
        <w:rPr>
          <w:color w:val="231F20"/>
          <w:spacing w:val="-4"/>
          <w:w w:val="120"/>
        </w:rPr>
        <w:t> </w:t>
      </w:r>
      <w:r>
        <w:rPr>
          <w:color w:val="231F20"/>
          <w:spacing w:val="-2"/>
          <w:w w:val="120"/>
        </w:rPr>
        <w:t>de</w:t>
      </w:r>
      <w:r>
        <w:rPr>
          <w:color w:val="231F20"/>
          <w:spacing w:val="-4"/>
          <w:w w:val="120"/>
        </w:rPr>
        <w:t> </w:t>
      </w:r>
      <w:r>
        <w:rPr>
          <w:color w:val="231F20"/>
          <w:spacing w:val="-2"/>
          <w:w w:val="120"/>
        </w:rPr>
        <w:t>la</w:t>
      </w:r>
      <w:r>
        <w:rPr>
          <w:color w:val="231F20"/>
          <w:spacing w:val="-4"/>
          <w:w w:val="120"/>
        </w:rPr>
        <w:t> </w:t>
      </w:r>
      <w:r>
        <w:rPr>
          <w:color w:val="231F20"/>
          <w:spacing w:val="-2"/>
          <w:w w:val="120"/>
        </w:rPr>
        <w:t>vie </w:t>
      </w:r>
      <w:r>
        <w:rPr>
          <w:color w:val="231F20"/>
          <w:w w:val="120"/>
        </w:rPr>
        <w:t>affective tant pour les gestionnaires que pour les employés. Générale- ment, on avance quatre motifs qui devraient inciter les dirigeants et</w:t>
      </w:r>
      <w:r>
        <w:rPr>
          <w:color w:val="231F20"/>
          <w:spacing w:val="40"/>
          <w:w w:val="120"/>
        </w:rPr>
        <w:t> </w:t>
      </w:r>
      <w:r>
        <w:rPr>
          <w:color w:val="231F20"/>
          <w:w w:val="120"/>
        </w:rPr>
        <w:t>les</w:t>
      </w:r>
      <w:r>
        <w:rPr>
          <w:color w:val="231F20"/>
          <w:spacing w:val="30"/>
          <w:w w:val="120"/>
        </w:rPr>
        <w:t> </w:t>
      </w:r>
      <w:r>
        <w:rPr>
          <w:color w:val="231F20"/>
          <w:w w:val="120"/>
        </w:rPr>
        <w:t>gestionnaires</w:t>
      </w:r>
      <w:r>
        <w:rPr>
          <w:color w:val="231F20"/>
          <w:spacing w:val="30"/>
          <w:w w:val="120"/>
        </w:rPr>
        <w:t> </w:t>
      </w:r>
      <w:r>
        <w:rPr>
          <w:color w:val="231F20"/>
          <w:w w:val="120"/>
        </w:rPr>
        <w:t>à</w:t>
      </w:r>
      <w:r>
        <w:rPr>
          <w:color w:val="231F20"/>
          <w:spacing w:val="30"/>
          <w:w w:val="120"/>
        </w:rPr>
        <w:t> </w:t>
      </w:r>
      <w:r>
        <w:rPr>
          <w:color w:val="231F20"/>
          <w:w w:val="120"/>
        </w:rPr>
        <w:t>intégrer</w:t>
      </w:r>
      <w:r>
        <w:rPr>
          <w:color w:val="231F20"/>
          <w:spacing w:val="30"/>
          <w:w w:val="120"/>
        </w:rPr>
        <w:t> </w:t>
      </w:r>
      <w:r>
        <w:rPr>
          <w:color w:val="231F20"/>
          <w:w w:val="120"/>
        </w:rPr>
        <w:t>les</w:t>
      </w:r>
      <w:r>
        <w:rPr>
          <w:color w:val="231F20"/>
          <w:spacing w:val="30"/>
          <w:w w:val="120"/>
        </w:rPr>
        <w:t> </w:t>
      </w:r>
      <w:r>
        <w:rPr>
          <w:color w:val="231F20"/>
          <w:w w:val="120"/>
        </w:rPr>
        <w:t>aspects</w:t>
      </w:r>
      <w:r>
        <w:rPr>
          <w:color w:val="231F20"/>
          <w:spacing w:val="30"/>
          <w:w w:val="120"/>
        </w:rPr>
        <w:t> </w:t>
      </w:r>
      <w:r>
        <w:rPr>
          <w:color w:val="231F20"/>
          <w:w w:val="120"/>
        </w:rPr>
        <w:t>émotionnels</w:t>
      </w:r>
      <w:r>
        <w:rPr>
          <w:color w:val="231F20"/>
          <w:spacing w:val="30"/>
          <w:w w:val="120"/>
        </w:rPr>
        <w:t> </w:t>
      </w:r>
      <w:r>
        <w:rPr>
          <w:color w:val="231F20"/>
          <w:w w:val="120"/>
        </w:rPr>
        <w:t>dans</w:t>
      </w:r>
      <w:r>
        <w:rPr>
          <w:color w:val="231F20"/>
          <w:spacing w:val="30"/>
          <w:w w:val="120"/>
        </w:rPr>
        <w:t> </w:t>
      </w:r>
      <w:r>
        <w:rPr>
          <w:color w:val="231F20"/>
          <w:w w:val="120"/>
        </w:rPr>
        <w:t>leur</w:t>
      </w:r>
      <w:r>
        <w:rPr>
          <w:color w:val="231F20"/>
          <w:spacing w:val="30"/>
          <w:w w:val="120"/>
        </w:rPr>
        <w:t> </w:t>
      </w:r>
      <w:r>
        <w:rPr>
          <w:color w:val="231F20"/>
          <w:w w:val="120"/>
        </w:rPr>
        <w:t>mode de</w:t>
      </w:r>
      <w:r>
        <w:rPr>
          <w:color w:val="231F20"/>
          <w:spacing w:val="-13"/>
          <w:w w:val="120"/>
        </w:rPr>
        <w:t> </w:t>
      </w:r>
      <w:r>
        <w:rPr>
          <w:color w:val="231F20"/>
          <w:w w:val="120"/>
        </w:rPr>
        <w:t>gestion:</w:t>
      </w:r>
    </w:p>
    <w:p>
      <w:pPr>
        <w:pStyle w:val="ListParagraph"/>
        <w:numPr>
          <w:ilvl w:val="0"/>
          <w:numId w:val="16"/>
        </w:numPr>
        <w:tabs>
          <w:tab w:pos="1291" w:val="left" w:leader="none"/>
        </w:tabs>
        <w:spacing w:line="307" w:lineRule="auto" w:before="78" w:after="0"/>
        <w:ind w:left="1290" w:right="635" w:hanging="251"/>
        <w:jc w:val="both"/>
        <w:rPr>
          <w:sz w:val="17"/>
        </w:rPr>
      </w:pPr>
      <w:r>
        <w:rPr>
          <w:color w:val="231F20"/>
          <w:w w:val="120"/>
          <w:sz w:val="17"/>
        </w:rPr>
        <w:t>Les</w:t>
      </w:r>
      <w:r>
        <w:rPr>
          <w:color w:val="231F20"/>
          <w:spacing w:val="-6"/>
          <w:w w:val="120"/>
          <w:sz w:val="17"/>
        </w:rPr>
        <w:t> </w:t>
      </w:r>
      <w:r>
        <w:rPr>
          <w:color w:val="231F20"/>
          <w:w w:val="120"/>
          <w:sz w:val="17"/>
        </w:rPr>
        <w:t>travailleurs</w:t>
      </w:r>
      <w:r>
        <w:rPr>
          <w:color w:val="231F20"/>
          <w:spacing w:val="-6"/>
          <w:w w:val="120"/>
          <w:sz w:val="17"/>
        </w:rPr>
        <w:t> </w:t>
      </w:r>
      <w:r>
        <w:rPr>
          <w:color w:val="231F20"/>
          <w:w w:val="120"/>
          <w:sz w:val="17"/>
        </w:rPr>
        <w:t>ressentent</w:t>
      </w:r>
      <w:r>
        <w:rPr>
          <w:color w:val="231F20"/>
          <w:spacing w:val="-6"/>
          <w:w w:val="120"/>
          <w:sz w:val="17"/>
        </w:rPr>
        <w:t> </w:t>
      </w:r>
      <w:r>
        <w:rPr>
          <w:color w:val="231F20"/>
          <w:w w:val="120"/>
          <w:sz w:val="17"/>
        </w:rPr>
        <w:t>davantage</w:t>
      </w:r>
      <w:r>
        <w:rPr>
          <w:color w:val="231F20"/>
          <w:spacing w:val="-6"/>
          <w:w w:val="120"/>
          <w:sz w:val="17"/>
        </w:rPr>
        <w:t> </w:t>
      </w:r>
      <w:r>
        <w:rPr>
          <w:color w:val="231F20"/>
          <w:w w:val="120"/>
          <w:sz w:val="17"/>
        </w:rPr>
        <w:t>de</w:t>
      </w:r>
      <w:r>
        <w:rPr>
          <w:color w:val="231F20"/>
          <w:spacing w:val="-6"/>
          <w:w w:val="120"/>
          <w:sz w:val="17"/>
        </w:rPr>
        <w:t> </w:t>
      </w:r>
      <w:r>
        <w:rPr>
          <w:color w:val="231F20"/>
          <w:w w:val="120"/>
          <w:sz w:val="17"/>
        </w:rPr>
        <w:t>satisfaction</w:t>
      </w:r>
      <w:r>
        <w:rPr>
          <w:color w:val="231F20"/>
          <w:spacing w:val="-6"/>
          <w:w w:val="120"/>
          <w:sz w:val="17"/>
        </w:rPr>
        <w:t> </w:t>
      </w:r>
      <w:r>
        <w:rPr>
          <w:color w:val="231F20"/>
          <w:w w:val="120"/>
          <w:sz w:val="17"/>
        </w:rPr>
        <w:t>lorsque</w:t>
      </w:r>
      <w:r>
        <w:rPr>
          <w:color w:val="231F20"/>
          <w:spacing w:val="-6"/>
          <w:w w:val="120"/>
          <w:sz w:val="17"/>
        </w:rPr>
        <w:t> </w:t>
      </w:r>
      <w:r>
        <w:rPr>
          <w:color w:val="231F20"/>
          <w:w w:val="120"/>
          <w:sz w:val="17"/>
        </w:rPr>
        <w:t>leur milieu de travail est sécuritaire et confortable, ce qui accroît la qualité de leur travail.</w:t>
      </w:r>
    </w:p>
    <w:p>
      <w:pPr>
        <w:pStyle w:val="ListParagraph"/>
        <w:numPr>
          <w:ilvl w:val="0"/>
          <w:numId w:val="16"/>
        </w:numPr>
        <w:tabs>
          <w:tab w:pos="1291" w:val="left" w:leader="none"/>
        </w:tabs>
        <w:spacing w:line="307" w:lineRule="auto" w:before="0" w:after="0"/>
        <w:ind w:left="1290" w:right="638" w:hanging="251"/>
        <w:jc w:val="both"/>
        <w:rPr>
          <w:sz w:val="17"/>
        </w:rPr>
      </w:pPr>
      <w:r>
        <w:rPr>
          <w:color w:val="231F20"/>
          <w:w w:val="120"/>
          <w:sz w:val="17"/>
        </w:rPr>
        <w:t>Le stress professionnel entraîne des effets délétères qui ont une incidence directe sur le rendement et la productivité.</w:t>
      </w:r>
    </w:p>
    <w:p>
      <w:pPr>
        <w:pStyle w:val="ListParagraph"/>
        <w:numPr>
          <w:ilvl w:val="0"/>
          <w:numId w:val="16"/>
        </w:numPr>
        <w:tabs>
          <w:tab w:pos="1291" w:val="left" w:leader="none"/>
        </w:tabs>
        <w:spacing w:line="195" w:lineRule="exact" w:before="0" w:after="0"/>
        <w:ind w:left="1290" w:right="0" w:hanging="251"/>
        <w:jc w:val="both"/>
        <w:rPr>
          <w:sz w:val="17"/>
        </w:rPr>
      </w:pPr>
      <w:r>
        <w:rPr>
          <w:color w:val="231F20"/>
          <w:w w:val="120"/>
          <w:sz w:val="17"/>
        </w:rPr>
        <w:t>Le</w:t>
      </w:r>
      <w:r>
        <w:rPr>
          <w:color w:val="231F20"/>
          <w:spacing w:val="-13"/>
          <w:w w:val="120"/>
          <w:sz w:val="17"/>
        </w:rPr>
        <w:t> </w:t>
      </w:r>
      <w:r>
        <w:rPr>
          <w:color w:val="231F20"/>
          <w:w w:val="120"/>
          <w:sz w:val="17"/>
        </w:rPr>
        <w:t>stress</w:t>
      </w:r>
      <w:r>
        <w:rPr>
          <w:color w:val="231F20"/>
          <w:spacing w:val="-12"/>
          <w:w w:val="120"/>
          <w:sz w:val="17"/>
        </w:rPr>
        <w:t> </w:t>
      </w:r>
      <w:r>
        <w:rPr>
          <w:color w:val="231F20"/>
          <w:w w:val="120"/>
          <w:sz w:val="17"/>
        </w:rPr>
        <w:t>coûte</w:t>
      </w:r>
      <w:r>
        <w:rPr>
          <w:color w:val="231F20"/>
          <w:spacing w:val="-12"/>
          <w:w w:val="120"/>
          <w:sz w:val="17"/>
        </w:rPr>
        <w:t> </w:t>
      </w:r>
      <w:r>
        <w:rPr>
          <w:color w:val="231F20"/>
          <w:w w:val="120"/>
          <w:sz w:val="17"/>
        </w:rPr>
        <w:t>très</w:t>
      </w:r>
      <w:r>
        <w:rPr>
          <w:color w:val="231F20"/>
          <w:spacing w:val="-12"/>
          <w:w w:val="120"/>
          <w:sz w:val="17"/>
        </w:rPr>
        <w:t> </w:t>
      </w:r>
      <w:r>
        <w:rPr>
          <w:color w:val="231F20"/>
          <w:w w:val="120"/>
          <w:sz w:val="17"/>
        </w:rPr>
        <w:t>cher</w:t>
      </w:r>
      <w:r>
        <w:rPr>
          <w:color w:val="231F20"/>
          <w:spacing w:val="-12"/>
          <w:w w:val="120"/>
          <w:sz w:val="17"/>
        </w:rPr>
        <w:t> </w:t>
      </w:r>
      <w:r>
        <w:rPr>
          <w:color w:val="231F20"/>
          <w:w w:val="120"/>
          <w:sz w:val="17"/>
        </w:rPr>
        <w:t>à</w:t>
      </w:r>
      <w:r>
        <w:rPr>
          <w:color w:val="231F20"/>
          <w:spacing w:val="-12"/>
          <w:w w:val="120"/>
          <w:sz w:val="17"/>
        </w:rPr>
        <w:t> </w:t>
      </w:r>
      <w:r>
        <w:rPr>
          <w:color w:val="231F20"/>
          <w:spacing w:val="-2"/>
          <w:w w:val="120"/>
          <w:sz w:val="17"/>
        </w:rPr>
        <w:t>l’entreprise.</w:t>
      </w:r>
    </w:p>
    <w:p>
      <w:pPr>
        <w:pStyle w:val="ListParagraph"/>
        <w:numPr>
          <w:ilvl w:val="0"/>
          <w:numId w:val="16"/>
        </w:numPr>
        <w:tabs>
          <w:tab w:pos="1291" w:val="left" w:leader="none"/>
        </w:tabs>
        <w:spacing w:line="307" w:lineRule="auto" w:before="54" w:after="0"/>
        <w:ind w:left="1290" w:right="635" w:hanging="251"/>
        <w:jc w:val="both"/>
        <w:rPr>
          <w:sz w:val="17"/>
        </w:rPr>
      </w:pPr>
      <w:r>
        <w:rPr>
          <w:color w:val="231F20"/>
          <w:spacing w:val="-2"/>
          <w:w w:val="120"/>
          <w:sz w:val="17"/>
        </w:rPr>
        <w:t>Les</w:t>
      </w:r>
      <w:r>
        <w:rPr>
          <w:color w:val="231F20"/>
          <w:spacing w:val="-11"/>
          <w:w w:val="120"/>
          <w:sz w:val="17"/>
        </w:rPr>
        <w:t> </w:t>
      </w:r>
      <w:r>
        <w:rPr>
          <w:color w:val="231F20"/>
          <w:spacing w:val="-2"/>
          <w:w w:val="120"/>
          <w:sz w:val="17"/>
        </w:rPr>
        <w:t>organisations</w:t>
      </w:r>
      <w:r>
        <w:rPr>
          <w:color w:val="231F20"/>
          <w:spacing w:val="-11"/>
          <w:w w:val="120"/>
          <w:sz w:val="17"/>
        </w:rPr>
        <w:t> </w:t>
      </w:r>
      <w:r>
        <w:rPr>
          <w:color w:val="231F20"/>
          <w:spacing w:val="-2"/>
          <w:w w:val="120"/>
          <w:sz w:val="17"/>
        </w:rPr>
        <w:t>commencent</w:t>
      </w:r>
      <w:r>
        <w:rPr>
          <w:color w:val="231F20"/>
          <w:spacing w:val="-11"/>
          <w:w w:val="120"/>
          <w:sz w:val="17"/>
        </w:rPr>
        <w:t> </w:t>
      </w:r>
      <w:r>
        <w:rPr>
          <w:color w:val="231F20"/>
          <w:spacing w:val="-2"/>
          <w:w w:val="120"/>
          <w:sz w:val="17"/>
        </w:rPr>
        <w:t>à</w:t>
      </w:r>
      <w:r>
        <w:rPr>
          <w:color w:val="231F20"/>
          <w:spacing w:val="-10"/>
          <w:w w:val="120"/>
          <w:sz w:val="17"/>
        </w:rPr>
        <w:t> </w:t>
      </w:r>
      <w:r>
        <w:rPr>
          <w:color w:val="231F20"/>
          <w:spacing w:val="-2"/>
          <w:w w:val="120"/>
          <w:sz w:val="17"/>
        </w:rPr>
        <w:t>être</w:t>
      </w:r>
      <w:r>
        <w:rPr>
          <w:color w:val="231F20"/>
          <w:spacing w:val="-11"/>
          <w:w w:val="120"/>
          <w:sz w:val="17"/>
        </w:rPr>
        <w:t> </w:t>
      </w:r>
      <w:r>
        <w:rPr>
          <w:color w:val="231F20"/>
          <w:spacing w:val="-2"/>
          <w:w w:val="120"/>
          <w:sz w:val="17"/>
        </w:rPr>
        <w:t>tenues</w:t>
      </w:r>
      <w:r>
        <w:rPr>
          <w:color w:val="231F20"/>
          <w:spacing w:val="-11"/>
          <w:w w:val="120"/>
          <w:sz w:val="17"/>
        </w:rPr>
        <w:t> </w:t>
      </w:r>
      <w:r>
        <w:rPr>
          <w:color w:val="231F20"/>
          <w:spacing w:val="-2"/>
          <w:w w:val="120"/>
          <w:sz w:val="17"/>
        </w:rPr>
        <w:t>solidairement</w:t>
      </w:r>
      <w:r>
        <w:rPr>
          <w:color w:val="231F20"/>
          <w:spacing w:val="-11"/>
          <w:w w:val="120"/>
          <w:sz w:val="17"/>
        </w:rPr>
        <w:t> </w:t>
      </w:r>
      <w:r>
        <w:rPr>
          <w:color w:val="231F20"/>
          <w:spacing w:val="-2"/>
          <w:w w:val="120"/>
          <w:sz w:val="17"/>
        </w:rPr>
        <w:t>respon- </w:t>
      </w:r>
      <w:r>
        <w:rPr>
          <w:color w:val="231F20"/>
          <w:w w:val="120"/>
          <w:sz w:val="17"/>
        </w:rPr>
        <w:t>sables du stress de leurs employés et de ses conséquences éven- tuelles</w:t>
      </w:r>
      <w:r>
        <w:rPr>
          <w:color w:val="231F20"/>
          <w:spacing w:val="-10"/>
          <w:w w:val="120"/>
          <w:sz w:val="17"/>
        </w:rPr>
        <w:t> </w:t>
      </w:r>
      <w:r>
        <w:rPr>
          <w:color w:val="231F20"/>
          <w:w w:val="120"/>
          <w:sz w:val="17"/>
        </w:rPr>
        <w:t>sur</w:t>
      </w:r>
      <w:r>
        <w:rPr>
          <w:color w:val="231F20"/>
          <w:spacing w:val="-10"/>
          <w:w w:val="120"/>
          <w:sz w:val="17"/>
        </w:rPr>
        <w:t> </w:t>
      </w:r>
      <w:r>
        <w:rPr>
          <w:color w:val="231F20"/>
          <w:w w:val="120"/>
          <w:sz w:val="17"/>
        </w:rPr>
        <w:t>leur</w:t>
      </w:r>
      <w:r>
        <w:rPr>
          <w:color w:val="231F20"/>
          <w:spacing w:val="-10"/>
          <w:w w:val="120"/>
          <w:sz w:val="17"/>
        </w:rPr>
        <w:t> </w:t>
      </w:r>
      <w:r>
        <w:rPr>
          <w:color w:val="231F20"/>
          <w:w w:val="120"/>
          <w:sz w:val="17"/>
        </w:rPr>
        <w:t>santé,</w:t>
      </w:r>
      <w:r>
        <w:rPr>
          <w:color w:val="231F20"/>
          <w:spacing w:val="-10"/>
          <w:w w:val="120"/>
          <w:sz w:val="17"/>
        </w:rPr>
        <w:t> </w:t>
      </w:r>
      <w:r>
        <w:rPr>
          <w:color w:val="231F20"/>
          <w:w w:val="120"/>
          <w:sz w:val="17"/>
        </w:rPr>
        <w:t>dans</w:t>
      </w:r>
      <w:r>
        <w:rPr>
          <w:color w:val="231F20"/>
          <w:spacing w:val="-10"/>
          <w:w w:val="120"/>
          <w:sz w:val="17"/>
        </w:rPr>
        <w:t> </w:t>
      </w:r>
      <w:r>
        <w:rPr>
          <w:color w:val="231F20"/>
          <w:w w:val="120"/>
          <w:sz w:val="17"/>
        </w:rPr>
        <w:t>plusieurs</w:t>
      </w:r>
      <w:r>
        <w:rPr>
          <w:color w:val="231F20"/>
          <w:spacing w:val="-10"/>
          <w:w w:val="120"/>
          <w:sz w:val="17"/>
        </w:rPr>
        <w:t> </w:t>
      </w:r>
      <w:r>
        <w:rPr>
          <w:color w:val="231F20"/>
          <w:w w:val="120"/>
          <w:sz w:val="17"/>
        </w:rPr>
        <w:t>pays,</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le</w:t>
      </w:r>
      <w:r>
        <w:rPr>
          <w:color w:val="231F20"/>
          <w:spacing w:val="-10"/>
          <w:w w:val="120"/>
          <w:sz w:val="17"/>
        </w:rPr>
        <w:t> </w:t>
      </w:r>
      <w:r>
        <w:rPr>
          <w:color w:val="231F20"/>
          <w:w w:val="120"/>
          <w:sz w:val="17"/>
        </w:rPr>
        <w:t>biais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diverses </w:t>
      </w:r>
      <w:r>
        <w:rPr>
          <w:color w:val="231F20"/>
          <w:spacing w:val="-2"/>
          <w:w w:val="120"/>
          <w:sz w:val="17"/>
        </w:rPr>
        <w:t>législations.</w:t>
      </w:r>
    </w:p>
    <w:p>
      <w:pPr>
        <w:pStyle w:val="BodyText"/>
        <w:spacing w:line="307" w:lineRule="auto" w:before="80"/>
        <w:ind w:left="790" w:right="633"/>
        <w:jc w:val="both"/>
      </w:pPr>
      <w:r>
        <w:rPr>
          <w:color w:val="231F20"/>
          <w:w w:val="120"/>
        </w:rPr>
        <w:t>Aujourd’hui, nous avons des données probantes qui démontrent </w:t>
      </w:r>
      <w:r>
        <w:rPr>
          <w:color w:val="231F20"/>
          <w:w w:val="120"/>
        </w:rPr>
        <w:t>que</w:t>
      </w:r>
      <w:r>
        <w:rPr>
          <w:color w:val="231F20"/>
          <w:spacing w:val="80"/>
          <w:w w:val="120"/>
        </w:rPr>
        <w:t> </w:t>
      </w:r>
      <w:r>
        <w:rPr>
          <w:color w:val="231F20"/>
          <w:w w:val="120"/>
        </w:rPr>
        <w:t>le stress est une cause directe ou un catalyseur des troubles psycholo- </w:t>
      </w:r>
      <w:r>
        <w:rPr>
          <w:color w:val="231F20"/>
          <w:w w:val="115"/>
        </w:rPr>
        <w:t>giques et physiologiques les plus courants et les plus graves qui affligent </w:t>
      </w:r>
      <w:r>
        <w:rPr>
          <w:color w:val="231F20"/>
          <w:w w:val="120"/>
        </w:rPr>
        <w:t>les pays industrialisés ou en développement</w:t>
      </w:r>
      <w:r>
        <w:rPr>
          <w:color w:val="231F20"/>
          <w:spacing w:val="-13"/>
          <w:w w:val="120"/>
        </w:rPr>
        <w:t> </w:t>
      </w:r>
      <w:r>
        <w:rPr>
          <w:color w:val="231F20"/>
          <w:w w:val="120"/>
        </w:rPr>
        <w:t>: les maladies cardiovas- </w:t>
      </w:r>
      <w:r>
        <w:rPr>
          <w:color w:val="231F20"/>
          <w:spacing w:val="-2"/>
          <w:w w:val="120"/>
        </w:rPr>
        <w:t>culaires,</w:t>
      </w:r>
      <w:r>
        <w:rPr>
          <w:color w:val="231F20"/>
          <w:spacing w:val="-3"/>
          <w:w w:val="120"/>
        </w:rPr>
        <w:t> </w:t>
      </w:r>
      <w:r>
        <w:rPr>
          <w:color w:val="231F20"/>
          <w:spacing w:val="-2"/>
          <w:w w:val="120"/>
        </w:rPr>
        <w:t>le</w:t>
      </w:r>
      <w:r>
        <w:rPr>
          <w:color w:val="231F20"/>
          <w:spacing w:val="-3"/>
          <w:w w:val="120"/>
        </w:rPr>
        <w:t> </w:t>
      </w:r>
      <w:r>
        <w:rPr>
          <w:color w:val="231F20"/>
          <w:spacing w:val="-2"/>
          <w:w w:val="120"/>
        </w:rPr>
        <w:t>diabète,</w:t>
      </w:r>
      <w:r>
        <w:rPr>
          <w:color w:val="231F20"/>
          <w:spacing w:val="-3"/>
          <w:w w:val="120"/>
        </w:rPr>
        <w:t> </w:t>
      </w:r>
      <w:r>
        <w:rPr>
          <w:color w:val="231F20"/>
          <w:spacing w:val="-2"/>
          <w:w w:val="120"/>
        </w:rPr>
        <w:t>l’asthme,</w:t>
      </w:r>
      <w:r>
        <w:rPr>
          <w:color w:val="231F20"/>
          <w:spacing w:val="-3"/>
          <w:w w:val="120"/>
        </w:rPr>
        <w:t> </w:t>
      </w:r>
      <w:r>
        <w:rPr>
          <w:color w:val="231F20"/>
          <w:spacing w:val="-2"/>
          <w:w w:val="120"/>
        </w:rPr>
        <w:t>l’hypertension,</w:t>
      </w:r>
      <w:r>
        <w:rPr>
          <w:color w:val="231F20"/>
          <w:spacing w:val="-3"/>
          <w:w w:val="120"/>
        </w:rPr>
        <w:t> </w:t>
      </w:r>
      <w:r>
        <w:rPr>
          <w:color w:val="231F20"/>
          <w:spacing w:val="-2"/>
          <w:w w:val="120"/>
        </w:rPr>
        <w:t>l’ostéoporose,</w:t>
      </w:r>
      <w:r>
        <w:rPr>
          <w:color w:val="231F20"/>
          <w:spacing w:val="-3"/>
          <w:w w:val="120"/>
        </w:rPr>
        <w:t> </w:t>
      </w:r>
      <w:r>
        <w:rPr>
          <w:color w:val="231F20"/>
          <w:spacing w:val="-2"/>
          <w:w w:val="120"/>
        </w:rPr>
        <w:t>l’anxiété,</w:t>
      </w:r>
      <w:r>
        <w:rPr>
          <w:color w:val="231F20"/>
          <w:spacing w:val="-3"/>
          <w:w w:val="120"/>
        </w:rPr>
        <w:t> </w:t>
      </w:r>
      <w:r>
        <w:rPr>
          <w:color w:val="231F20"/>
          <w:spacing w:val="-2"/>
          <w:w w:val="120"/>
        </w:rPr>
        <w:t>la dépression,</w:t>
      </w:r>
      <w:r>
        <w:rPr>
          <w:color w:val="231F20"/>
          <w:spacing w:val="-9"/>
          <w:w w:val="120"/>
        </w:rPr>
        <w:t> </w:t>
      </w:r>
      <w:r>
        <w:rPr>
          <w:color w:val="231F20"/>
          <w:spacing w:val="-2"/>
          <w:w w:val="120"/>
        </w:rPr>
        <w:t>l’insomnie,</w:t>
      </w:r>
      <w:r>
        <w:rPr>
          <w:color w:val="231F20"/>
          <w:spacing w:val="-9"/>
          <w:w w:val="120"/>
        </w:rPr>
        <w:t> </w:t>
      </w:r>
      <w:r>
        <w:rPr>
          <w:color w:val="231F20"/>
          <w:spacing w:val="-2"/>
          <w:w w:val="120"/>
        </w:rPr>
        <w:t>les</w:t>
      </w:r>
      <w:r>
        <w:rPr>
          <w:color w:val="231F20"/>
          <w:spacing w:val="-9"/>
          <w:w w:val="120"/>
        </w:rPr>
        <w:t> </w:t>
      </w:r>
      <w:r>
        <w:rPr>
          <w:color w:val="231F20"/>
          <w:spacing w:val="-2"/>
          <w:w w:val="120"/>
        </w:rPr>
        <w:t>troubles</w:t>
      </w:r>
      <w:r>
        <w:rPr>
          <w:color w:val="231F20"/>
          <w:spacing w:val="-9"/>
          <w:w w:val="120"/>
        </w:rPr>
        <w:t> </w:t>
      </w:r>
      <w:r>
        <w:rPr>
          <w:color w:val="231F20"/>
          <w:spacing w:val="-2"/>
          <w:w w:val="120"/>
        </w:rPr>
        <w:t>cognitifs</w:t>
      </w:r>
      <w:r>
        <w:rPr>
          <w:color w:val="231F20"/>
          <w:spacing w:val="-9"/>
          <w:w w:val="120"/>
        </w:rPr>
        <w:t> </w:t>
      </w:r>
      <w:r>
        <w:rPr>
          <w:color w:val="231F20"/>
          <w:spacing w:val="-2"/>
          <w:w w:val="120"/>
        </w:rPr>
        <w:t>ou</w:t>
      </w:r>
      <w:r>
        <w:rPr>
          <w:color w:val="231F20"/>
          <w:spacing w:val="-9"/>
          <w:w w:val="120"/>
        </w:rPr>
        <w:t> </w:t>
      </w:r>
      <w:r>
        <w:rPr>
          <w:color w:val="231F20"/>
          <w:spacing w:val="-2"/>
          <w:w w:val="120"/>
        </w:rPr>
        <w:t>le</w:t>
      </w:r>
      <w:r>
        <w:rPr>
          <w:color w:val="231F20"/>
          <w:spacing w:val="-9"/>
          <w:w w:val="120"/>
        </w:rPr>
        <w:t> </w:t>
      </w:r>
      <w:r>
        <w:rPr>
          <w:color w:val="231F20"/>
          <w:spacing w:val="-2"/>
          <w:w w:val="120"/>
        </w:rPr>
        <w:t>vieillissement</w:t>
      </w:r>
      <w:r>
        <w:rPr>
          <w:color w:val="231F20"/>
          <w:spacing w:val="-9"/>
          <w:w w:val="120"/>
        </w:rPr>
        <w:t> </w:t>
      </w:r>
      <w:r>
        <w:rPr>
          <w:color w:val="231F20"/>
          <w:spacing w:val="-2"/>
          <w:w w:val="120"/>
        </w:rPr>
        <w:t>préma- </w:t>
      </w:r>
      <w:r>
        <w:rPr>
          <w:color w:val="231F20"/>
          <w:w w:val="120"/>
        </w:rPr>
        <w:t>turé. Dans le monde de la santé et de la sécurité au travail, à l’échelle internationale et plus particulièrement en Europe, on assiste depuis </w:t>
      </w:r>
      <w:r>
        <w:rPr>
          <w:color w:val="231F20"/>
          <w:w w:val="115"/>
        </w:rPr>
        <w:t>quelques</w:t>
      </w:r>
      <w:r>
        <w:rPr>
          <w:color w:val="231F20"/>
          <w:spacing w:val="-6"/>
          <w:w w:val="115"/>
        </w:rPr>
        <w:t> </w:t>
      </w:r>
      <w:r>
        <w:rPr>
          <w:color w:val="231F20"/>
          <w:w w:val="115"/>
        </w:rPr>
        <w:t>années</w:t>
      </w:r>
      <w:r>
        <w:rPr>
          <w:color w:val="231F20"/>
          <w:spacing w:val="-6"/>
          <w:w w:val="115"/>
        </w:rPr>
        <w:t> </w:t>
      </w:r>
      <w:r>
        <w:rPr>
          <w:color w:val="231F20"/>
          <w:w w:val="115"/>
        </w:rPr>
        <w:t>à</w:t>
      </w:r>
      <w:r>
        <w:rPr>
          <w:color w:val="231F20"/>
          <w:spacing w:val="-6"/>
          <w:w w:val="115"/>
        </w:rPr>
        <w:t> </w:t>
      </w:r>
      <w:r>
        <w:rPr>
          <w:color w:val="231F20"/>
          <w:w w:val="115"/>
        </w:rPr>
        <w:t>l’émergence</w:t>
      </w:r>
      <w:r>
        <w:rPr>
          <w:color w:val="231F20"/>
          <w:spacing w:val="-6"/>
          <w:w w:val="115"/>
        </w:rPr>
        <w:t> </w:t>
      </w:r>
      <w:r>
        <w:rPr>
          <w:color w:val="231F20"/>
          <w:w w:val="115"/>
        </w:rPr>
        <w:t>d’études</w:t>
      </w:r>
      <w:r>
        <w:rPr>
          <w:color w:val="231F20"/>
          <w:spacing w:val="-6"/>
          <w:w w:val="115"/>
        </w:rPr>
        <w:t> </w:t>
      </w:r>
      <w:r>
        <w:rPr>
          <w:color w:val="231F20"/>
          <w:w w:val="115"/>
        </w:rPr>
        <w:t>et</w:t>
      </w:r>
      <w:r>
        <w:rPr>
          <w:color w:val="231F20"/>
          <w:spacing w:val="-6"/>
          <w:w w:val="115"/>
        </w:rPr>
        <w:t> </w:t>
      </w:r>
      <w:r>
        <w:rPr>
          <w:color w:val="231F20"/>
          <w:w w:val="115"/>
        </w:rPr>
        <w:t>d’analyses</w:t>
      </w:r>
      <w:r>
        <w:rPr>
          <w:color w:val="231F20"/>
          <w:spacing w:val="-6"/>
          <w:w w:val="115"/>
        </w:rPr>
        <w:t> </w:t>
      </w:r>
      <w:r>
        <w:rPr>
          <w:color w:val="231F20"/>
          <w:w w:val="115"/>
        </w:rPr>
        <w:t>de</w:t>
      </w:r>
      <w:r>
        <w:rPr>
          <w:color w:val="231F20"/>
          <w:spacing w:val="-6"/>
          <w:w w:val="115"/>
        </w:rPr>
        <w:t> </w:t>
      </w:r>
      <w:r>
        <w:rPr>
          <w:color w:val="231F20"/>
          <w:w w:val="115"/>
        </w:rPr>
        <w:t>ce</w:t>
      </w:r>
      <w:r>
        <w:rPr>
          <w:color w:val="231F20"/>
          <w:spacing w:val="-6"/>
          <w:w w:val="115"/>
        </w:rPr>
        <w:t> </w:t>
      </w:r>
      <w:r>
        <w:rPr>
          <w:color w:val="231F20"/>
          <w:w w:val="115"/>
        </w:rPr>
        <w:t>qu’on</w:t>
      </w:r>
      <w:r>
        <w:rPr>
          <w:color w:val="231F20"/>
          <w:spacing w:val="-6"/>
          <w:w w:val="115"/>
        </w:rPr>
        <w:t> </w:t>
      </w:r>
      <w:r>
        <w:rPr>
          <w:color w:val="231F20"/>
          <w:w w:val="115"/>
        </w:rPr>
        <w:t>appelle </w:t>
      </w:r>
      <w:r>
        <w:rPr>
          <w:color w:val="231F20"/>
          <w:w w:val="120"/>
        </w:rPr>
        <w:t>les</w:t>
      </w:r>
      <w:r>
        <w:rPr>
          <w:color w:val="231F20"/>
          <w:spacing w:val="-13"/>
          <w:w w:val="120"/>
        </w:rPr>
        <w:t> </w:t>
      </w:r>
      <w:r>
        <w:rPr>
          <w:color w:val="231F20"/>
          <w:w w:val="120"/>
        </w:rPr>
        <w:t>«</w:t>
      </w:r>
      <w:r>
        <w:rPr>
          <w:color w:val="231F20"/>
          <w:spacing w:val="-13"/>
          <w:w w:val="120"/>
        </w:rPr>
        <w:t> </w:t>
      </w:r>
      <w:r>
        <w:rPr>
          <w:color w:val="231F20"/>
          <w:w w:val="120"/>
        </w:rPr>
        <w:t>nouveaux</w:t>
      </w:r>
      <w:r>
        <w:rPr>
          <w:color w:val="231F20"/>
          <w:spacing w:val="-13"/>
          <w:w w:val="120"/>
        </w:rPr>
        <w:t> </w:t>
      </w:r>
      <w:r>
        <w:rPr>
          <w:color w:val="231F20"/>
          <w:w w:val="120"/>
        </w:rPr>
        <w:t>risques»,</w:t>
      </w:r>
      <w:r>
        <w:rPr>
          <w:color w:val="231F20"/>
          <w:spacing w:val="-12"/>
          <w:w w:val="120"/>
        </w:rPr>
        <w:t> </w:t>
      </w:r>
      <w:r>
        <w:rPr>
          <w:color w:val="231F20"/>
          <w:w w:val="120"/>
        </w:rPr>
        <w:t>dont</w:t>
      </w:r>
      <w:r>
        <w:rPr>
          <w:color w:val="231F20"/>
          <w:spacing w:val="-13"/>
          <w:w w:val="120"/>
        </w:rPr>
        <w:t> </w:t>
      </w:r>
      <w:r>
        <w:rPr>
          <w:color w:val="231F20"/>
          <w:w w:val="120"/>
        </w:rPr>
        <w:t>plusieurs</w:t>
      </w:r>
      <w:r>
        <w:rPr>
          <w:color w:val="231F20"/>
          <w:spacing w:val="-13"/>
          <w:w w:val="120"/>
        </w:rPr>
        <w:t> </w:t>
      </w:r>
      <w:r>
        <w:rPr>
          <w:color w:val="231F20"/>
          <w:w w:val="120"/>
        </w:rPr>
        <w:t>sont</w:t>
      </w:r>
      <w:r>
        <w:rPr>
          <w:color w:val="231F20"/>
          <w:spacing w:val="-13"/>
          <w:w w:val="120"/>
        </w:rPr>
        <w:t> </w:t>
      </w:r>
      <w:r>
        <w:rPr>
          <w:color w:val="231F20"/>
          <w:w w:val="120"/>
        </w:rPr>
        <w:t>considérés</w:t>
      </w:r>
      <w:r>
        <w:rPr>
          <w:color w:val="231F20"/>
          <w:spacing w:val="-12"/>
          <w:w w:val="120"/>
        </w:rPr>
        <w:t> </w:t>
      </w:r>
      <w:r>
        <w:rPr>
          <w:color w:val="231F20"/>
          <w:w w:val="120"/>
        </w:rPr>
        <w:t>comme</w:t>
      </w:r>
      <w:r>
        <w:rPr>
          <w:color w:val="231F20"/>
          <w:spacing w:val="-13"/>
          <w:w w:val="120"/>
        </w:rPr>
        <w:t> </w:t>
      </w:r>
      <w:r>
        <w:rPr>
          <w:color w:val="231F20"/>
          <w:w w:val="120"/>
        </w:rPr>
        <w:t>étant</w:t>
      </w:r>
      <w:r>
        <w:rPr>
          <w:color w:val="231F20"/>
          <w:spacing w:val="-13"/>
          <w:w w:val="120"/>
        </w:rPr>
        <w:t> </w:t>
      </w:r>
      <w:r>
        <w:rPr>
          <w:color w:val="231F20"/>
          <w:w w:val="120"/>
        </w:rPr>
        <w:t>de nature</w:t>
      </w:r>
      <w:r>
        <w:rPr>
          <w:color w:val="231F20"/>
          <w:spacing w:val="-13"/>
          <w:w w:val="120"/>
        </w:rPr>
        <w:t> </w:t>
      </w:r>
      <w:r>
        <w:rPr>
          <w:color w:val="231F20"/>
          <w:w w:val="120"/>
        </w:rPr>
        <w:t>psychosociale.</w:t>
      </w:r>
    </w:p>
    <w:p>
      <w:pPr>
        <w:spacing w:after="0" w:line="307" w:lineRule="auto"/>
        <w:jc w:val="both"/>
        <w:sectPr>
          <w:footerReference w:type="default" r:id="rId56"/>
          <w:pgSz w:w="8640" w:h="12960"/>
          <w:pgMar w:footer="424" w:header="0" w:top="520" w:bottom="620" w:left="460" w:right="1000"/>
        </w:sectPr>
      </w:pPr>
    </w:p>
    <w:p>
      <w:pPr>
        <w:spacing w:before="118"/>
        <w:ind w:left="2462" w:right="0" w:firstLine="0"/>
        <w:jc w:val="left"/>
        <w:rPr>
          <w:rFonts w:ascii="Arial" w:hAnsi="Arial"/>
          <w:sz w:val="14"/>
        </w:rPr>
      </w:pPr>
      <w:bookmarkStart w:name=" 1.5.3 / Troisième paradoxe – l’écart en" w:id="27"/>
      <w:bookmarkEnd w:id="27"/>
      <w:r>
        <w:rPr/>
      </w:r>
      <w:bookmarkStart w:name="_bookmark11" w:id="28"/>
      <w:bookmarkEnd w:id="28"/>
      <w:r>
        <w:rPr/>
      </w: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79" w:right="239" w:firstLine="250"/>
        <w:jc w:val="both"/>
      </w:pPr>
      <w:r>
        <w:rPr>
          <w:color w:val="231F20"/>
          <w:w w:val="120"/>
        </w:rPr>
        <w:t>Il ne faut pas oublier que le rôle des organisations est double en </w:t>
      </w:r>
      <w:r>
        <w:rPr>
          <w:color w:val="231F20"/>
          <w:w w:val="115"/>
        </w:rPr>
        <w:t>matière</w:t>
      </w:r>
      <w:r>
        <w:rPr>
          <w:color w:val="231F20"/>
          <w:spacing w:val="-10"/>
          <w:w w:val="115"/>
        </w:rPr>
        <w:t> </w:t>
      </w:r>
      <w:r>
        <w:rPr>
          <w:color w:val="231F20"/>
          <w:w w:val="115"/>
        </w:rPr>
        <w:t>de</w:t>
      </w:r>
      <w:r>
        <w:rPr>
          <w:color w:val="231F20"/>
          <w:spacing w:val="-10"/>
          <w:w w:val="115"/>
        </w:rPr>
        <w:t> </w:t>
      </w:r>
      <w:r>
        <w:rPr>
          <w:color w:val="231F20"/>
          <w:w w:val="115"/>
        </w:rPr>
        <w:t>santé</w:t>
      </w:r>
      <w:r>
        <w:rPr>
          <w:color w:val="231F20"/>
          <w:spacing w:val="-10"/>
          <w:w w:val="115"/>
        </w:rPr>
        <w:t> </w:t>
      </w:r>
      <w:r>
        <w:rPr>
          <w:color w:val="231F20"/>
          <w:w w:val="115"/>
        </w:rPr>
        <w:t>psychologique</w:t>
      </w:r>
      <w:r>
        <w:rPr>
          <w:color w:val="231F20"/>
          <w:spacing w:val="-10"/>
          <w:w w:val="115"/>
        </w:rPr>
        <w:t> </w:t>
      </w:r>
      <w:r>
        <w:rPr>
          <w:color w:val="231F20"/>
          <w:w w:val="115"/>
        </w:rPr>
        <w:t>au</w:t>
      </w:r>
      <w:r>
        <w:rPr>
          <w:color w:val="231F20"/>
          <w:spacing w:val="-10"/>
          <w:w w:val="115"/>
        </w:rPr>
        <w:t> </w:t>
      </w:r>
      <w:r>
        <w:rPr>
          <w:color w:val="231F20"/>
          <w:w w:val="115"/>
        </w:rPr>
        <w:t>travail.</w:t>
      </w:r>
      <w:r>
        <w:rPr>
          <w:color w:val="231F20"/>
          <w:spacing w:val="-10"/>
          <w:w w:val="115"/>
        </w:rPr>
        <w:t> </w:t>
      </w:r>
      <w:r>
        <w:rPr>
          <w:color w:val="231F20"/>
          <w:w w:val="115"/>
        </w:rPr>
        <w:t>Les</w:t>
      </w:r>
      <w:r>
        <w:rPr>
          <w:color w:val="231F20"/>
          <w:spacing w:val="-10"/>
          <w:w w:val="115"/>
        </w:rPr>
        <w:t> </w:t>
      </w:r>
      <w:r>
        <w:rPr>
          <w:color w:val="231F20"/>
          <w:w w:val="115"/>
        </w:rPr>
        <w:t>entreprises</w:t>
      </w:r>
      <w:r>
        <w:rPr>
          <w:color w:val="231F20"/>
          <w:spacing w:val="-10"/>
          <w:w w:val="115"/>
        </w:rPr>
        <w:t> </w:t>
      </w:r>
      <w:r>
        <w:rPr>
          <w:color w:val="231F20"/>
          <w:w w:val="115"/>
        </w:rPr>
        <w:t>doivent</w:t>
      </w:r>
      <w:r>
        <w:rPr>
          <w:color w:val="231F20"/>
          <w:spacing w:val="-10"/>
          <w:w w:val="115"/>
        </w:rPr>
        <w:t> </w:t>
      </w:r>
      <w:r>
        <w:rPr>
          <w:color w:val="231F20"/>
          <w:w w:val="115"/>
        </w:rPr>
        <w:t>d’abord </w:t>
      </w:r>
      <w:r>
        <w:rPr>
          <w:color w:val="231F20"/>
          <w:w w:val="120"/>
        </w:rPr>
        <w:t>mettre</w:t>
      </w:r>
      <w:r>
        <w:rPr>
          <w:color w:val="231F20"/>
          <w:spacing w:val="-3"/>
          <w:w w:val="120"/>
        </w:rPr>
        <w:t> </w:t>
      </w:r>
      <w:r>
        <w:rPr>
          <w:color w:val="231F20"/>
          <w:w w:val="120"/>
        </w:rPr>
        <w:t>en</w:t>
      </w:r>
      <w:r>
        <w:rPr>
          <w:color w:val="231F20"/>
          <w:spacing w:val="-3"/>
          <w:w w:val="120"/>
        </w:rPr>
        <w:t> </w:t>
      </w:r>
      <w:r>
        <w:rPr>
          <w:color w:val="231F20"/>
          <w:w w:val="120"/>
        </w:rPr>
        <w:t>place</w:t>
      </w:r>
      <w:r>
        <w:rPr>
          <w:color w:val="231F20"/>
          <w:spacing w:val="-3"/>
          <w:w w:val="120"/>
        </w:rPr>
        <w:t> </w:t>
      </w:r>
      <w:r>
        <w:rPr>
          <w:color w:val="231F20"/>
          <w:w w:val="120"/>
        </w:rPr>
        <w:t>des</w:t>
      </w:r>
      <w:r>
        <w:rPr>
          <w:color w:val="231F20"/>
          <w:spacing w:val="-3"/>
          <w:w w:val="120"/>
        </w:rPr>
        <w:t> </w:t>
      </w:r>
      <w:r>
        <w:rPr>
          <w:color w:val="231F20"/>
          <w:w w:val="120"/>
        </w:rPr>
        <w:t>environnements</w:t>
      </w:r>
      <w:r>
        <w:rPr>
          <w:color w:val="231F20"/>
          <w:spacing w:val="-3"/>
          <w:w w:val="120"/>
        </w:rPr>
        <w:t> </w:t>
      </w:r>
      <w:r>
        <w:rPr>
          <w:color w:val="231F20"/>
          <w:w w:val="120"/>
        </w:rPr>
        <w:t>de</w:t>
      </w:r>
      <w:r>
        <w:rPr>
          <w:color w:val="231F20"/>
          <w:spacing w:val="-3"/>
          <w:w w:val="120"/>
        </w:rPr>
        <w:t> </w:t>
      </w:r>
      <w:r>
        <w:rPr>
          <w:color w:val="231F20"/>
          <w:w w:val="120"/>
        </w:rPr>
        <w:t>travail</w:t>
      </w:r>
      <w:r>
        <w:rPr>
          <w:color w:val="231F20"/>
          <w:spacing w:val="-3"/>
          <w:w w:val="120"/>
        </w:rPr>
        <w:t> </w:t>
      </w:r>
      <w:r>
        <w:rPr>
          <w:color w:val="231F20"/>
          <w:w w:val="120"/>
        </w:rPr>
        <w:t>exempts</w:t>
      </w:r>
      <w:r>
        <w:rPr>
          <w:color w:val="231F20"/>
          <w:spacing w:val="-3"/>
          <w:w w:val="120"/>
        </w:rPr>
        <w:t> </w:t>
      </w:r>
      <w:r>
        <w:rPr>
          <w:color w:val="231F20"/>
          <w:w w:val="120"/>
        </w:rPr>
        <w:t>de</w:t>
      </w:r>
      <w:r>
        <w:rPr>
          <w:color w:val="231F20"/>
          <w:spacing w:val="-3"/>
          <w:w w:val="120"/>
        </w:rPr>
        <w:t> </w:t>
      </w:r>
      <w:r>
        <w:rPr>
          <w:color w:val="231F20"/>
          <w:w w:val="120"/>
        </w:rPr>
        <w:t>risques</w:t>
      </w:r>
      <w:r>
        <w:rPr>
          <w:color w:val="231F20"/>
          <w:spacing w:val="-3"/>
          <w:w w:val="120"/>
        </w:rPr>
        <w:t> </w:t>
      </w:r>
      <w:r>
        <w:rPr>
          <w:color w:val="231F20"/>
          <w:w w:val="120"/>
        </w:rPr>
        <w:t>psy- chosociaux, des environnements qui ne mettent pas à risque la santé psychologique de leurs travailleurs. Mais aussi, les organisations ont</w:t>
      </w:r>
      <w:r>
        <w:rPr>
          <w:color w:val="231F20"/>
          <w:spacing w:val="40"/>
          <w:w w:val="120"/>
        </w:rPr>
        <w:t> </w:t>
      </w:r>
      <w:r>
        <w:rPr>
          <w:color w:val="231F20"/>
          <w:w w:val="120"/>
        </w:rPr>
        <w:t>la responsabilité sociale d’être des vecteurs d’amélioration de la santé </w:t>
      </w:r>
      <w:r>
        <w:rPr>
          <w:color w:val="231F20"/>
          <w:spacing w:val="-2"/>
          <w:w w:val="120"/>
        </w:rPr>
        <w:t>psychologique. Le travail est une activité devant favoriser l’épanouisse- ment,</w:t>
      </w:r>
      <w:r>
        <w:rPr>
          <w:color w:val="231F20"/>
          <w:spacing w:val="-8"/>
          <w:w w:val="120"/>
        </w:rPr>
        <w:t> </w:t>
      </w:r>
      <w:r>
        <w:rPr>
          <w:color w:val="231F20"/>
          <w:spacing w:val="-2"/>
          <w:w w:val="120"/>
        </w:rPr>
        <w:t>le</w:t>
      </w:r>
      <w:r>
        <w:rPr>
          <w:color w:val="231F20"/>
          <w:spacing w:val="-8"/>
          <w:w w:val="120"/>
        </w:rPr>
        <w:t> </w:t>
      </w:r>
      <w:r>
        <w:rPr>
          <w:color w:val="231F20"/>
          <w:spacing w:val="-2"/>
          <w:w w:val="120"/>
        </w:rPr>
        <w:t>développement</w:t>
      </w:r>
      <w:r>
        <w:rPr>
          <w:color w:val="231F20"/>
          <w:spacing w:val="-8"/>
          <w:w w:val="120"/>
        </w:rPr>
        <w:t> </w:t>
      </w:r>
      <w:r>
        <w:rPr>
          <w:color w:val="231F20"/>
          <w:spacing w:val="-2"/>
          <w:w w:val="120"/>
        </w:rPr>
        <w:t>et</w:t>
      </w:r>
      <w:r>
        <w:rPr>
          <w:color w:val="231F20"/>
          <w:spacing w:val="-8"/>
          <w:w w:val="120"/>
        </w:rPr>
        <w:t> </w:t>
      </w:r>
      <w:r>
        <w:rPr>
          <w:color w:val="231F20"/>
          <w:spacing w:val="-2"/>
          <w:w w:val="120"/>
        </w:rPr>
        <w:t>l’émancipation</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personne.</w:t>
      </w:r>
      <w:r>
        <w:rPr>
          <w:color w:val="231F20"/>
          <w:spacing w:val="-8"/>
          <w:w w:val="120"/>
        </w:rPr>
        <w:t> </w:t>
      </w:r>
      <w:r>
        <w:rPr>
          <w:color w:val="231F20"/>
          <w:spacing w:val="-2"/>
          <w:w w:val="120"/>
        </w:rPr>
        <w:t>Une</w:t>
      </w:r>
      <w:r>
        <w:rPr>
          <w:color w:val="231F20"/>
          <w:spacing w:val="-8"/>
          <w:w w:val="120"/>
        </w:rPr>
        <w:t> </w:t>
      </w:r>
      <w:r>
        <w:rPr>
          <w:color w:val="231F20"/>
          <w:spacing w:val="-2"/>
          <w:w w:val="120"/>
        </w:rPr>
        <w:t>organisa- </w:t>
      </w:r>
      <w:r>
        <w:rPr>
          <w:color w:val="231F20"/>
          <w:w w:val="120"/>
        </w:rPr>
        <w:t>tion limitant les risques psychosociaux est le minimum requis</w:t>
      </w:r>
      <w:r>
        <w:rPr>
          <w:color w:val="231F20"/>
          <w:spacing w:val="-13"/>
          <w:w w:val="120"/>
        </w:rPr>
        <w:t> </w:t>
      </w:r>
      <w:r>
        <w:rPr>
          <w:color w:val="231F20"/>
          <w:w w:val="120"/>
        </w:rPr>
        <w:t>; une organisation permettant aussi à ses travailleurs de cultiver leur santé psychologique est l’idéal.</w:t>
      </w:r>
    </w:p>
    <w:p>
      <w:pPr>
        <w:pStyle w:val="BodyText"/>
        <w:spacing w:before="8"/>
        <w:rPr>
          <w:sz w:val="26"/>
        </w:rPr>
      </w:pPr>
    </w:p>
    <w:p>
      <w:pPr>
        <w:pStyle w:val="Heading4"/>
        <w:numPr>
          <w:ilvl w:val="2"/>
          <w:numId w:val="15"/>
        </w:numPr>
        <w:tabs>
          <w:tab w:pos="879" w:val="left" w:leader="none"/>
          <w:tab w:pos="1179" w:val="left" w:leader="none"/>
        </w:tabs>
        <w:spacing w:line="240" w:lineRule="auto" w:before="1" w:after="0"/>
        <w:ind w:left="878" w:right="0" w:hanging="375"/>
        <w:jc w:val="left"/>
      </w:pPr>
      <w:r>
        <w:rPr>
          <w:b w:val="0"/>
          <w:i/>
          <w:color w:val="231F20"/>
          <w:spacing w:val="-10"/>
        </w:rPr>
        <w:t>/</w:t>
      </w:r>
      <w:r>
        <w:rPr>
          <w:b w:val="0"/>
          <w:i/>
          <w:color w:val="231F20"/>
        </w:rPr>
        <w:tab/>
      </w:r>
      <w:r>
        <w:rPr>
          <w:color w:val="231F20"/>
          <w:w w:val="90"/>
        </w:rPr>
        <w:t>Troisième</w:t>
      </w:r>
      <w:r>
        <w:rPr>
          <w:color w:val="231F20"/>
          <w:spacing w:val="8"/>
        </w:rPr>
        <w:t> </w:t>
      </w:r>
      <w:r>
        <w:rPr>
          <w:color w:val="231F20"/>
          <w:w w:val="90"/>
        </w:rPr>
        <w:t>paradoxe</w:t>
      </w:r>
      <w:r>
        <w:rPr>
          <w:color w:val="231F20"/>
          <w:spacing w:val="8"/>
        </w:rPr>
        <w:t> </w:t>
      </w:r>
      <w:r>
        <w:rPr>
          <w:color w:val="231F20"/>
          <w:w w:val="90"/>
        </w:rPr>
        <w:t>–</w:t>
      </w:r>
      <w:r>
        <w:rPr>
          <w:color w:val="231F20"/>
          <w:spacing w:val="8"/>
        </w:rPr>
        <w:t> </w:t>
      </w:r>
      <w:r>
        <w:rPr>
          <w:color w:val="231F20"/>
          <w:w w:val="90"/>
        </w:rPr>
        <w:t>l’écart</w:t>
      </w:r>
      <w:r>
        <w:rPr>
          <w:color w:val="231F20"/>
          <w:spacing w:val="8"/>
        </w:rPr>
        <w:t> </w:t>
      </w:r>
      <w:r>
        <w:rPr>
          <w:color w:val="231F20"/>
          <w:w w:val="90"/>
        </w:rPr>
        <w:t>entre</w:t>
      </w:r>
      <w:r>
        <w:rPr>
          <w:color w:val="231F20"/>
          <w:spacing w:val="8"/>
        </w:rPr>
        <w:t> </w:t>
      </w:r>
      <w:r>
        <w:rPr>
          <w:color w:val="231F20"/>
          <w:w w:val="90"/>
        </w:rPr>
        <w:t>la</w:t>
      </w:r>
      <w:r>
        <w:rPr>
          <w:color w:val="231F20"/>
          <w:spacing w:val="8"/>
        </w:rPr>
        <w:t> </w:t>
      </w:r>
      <w:r>
        <w:rPr>
          <w:color w:val="231F20"/>
          <w:w w:val="90"/>
        </w:rPr>
        <w:t>connaissance</w:t>
      </w:r>
      <w:r>
        <w:rPr>
          <w:color w:val="231F20"/>
          <w:spacing w:val="8"/>
        </w:rPr>
        <w:t> </w:t>
      </w:r>
      <w:r>
        <w:rPr>
          <w:color w:val="231F20"/>
          <w:w w:val="90"/>
        </w:rPr>
        <w:t>et</w:t>
      </w:r>
      <w:r>
        <w:rPr>
          <w:color w:val="231F20"/>
          <w:spacing w:val="8"/>
        </w:rPr>
        <w:t> </w:t>
      </w:r>
      <w:r>
        <w:rPr>
          <w:color w:val="231F20"/>
          <w:spacing w:val="-2"/>
          <w:w w:val="90"/>
        </w:rPr>
        <w:t>l’action</w:t>
      </w:r>
    </w:p>
    <w:p>
      <w:pPr>
        <w:pStyle w:val="BodyText"/>
        <w:spacing w:line="307" w:lineRule="auto" w:before="233"/>
        <w:ind w:left="1180" w:right="241"/>
        <w:jc w:val="both"/>
      </w:pPr>
      <w:r>
        <w:rPr>
          <w:color w:val="231F20"/>
          <w:w w:val="120"/>
        </w:rPr>
        <w:t>On</w:t>
      </w:r>
      <w:r>
        <w:rPr>
          <w:color w:val="231F20"/>
          <w:spacing w:val="-2"/>
          <w:w w:val="120"/>
        </w:rPr>
        <w:t> </w:t>
      </w:r>
      <w:r>
        <w:rPr>
          <w:color w:val="231F20"/>
          <w:w w:val="120"/>
        </w:rPr>
        <w:t>s’intéresse</w:t>
      </w:r>
      <w:r>
        <w:rPr>
          <w:color w:val="231F20"/>
          <w:spacing w:val="-2"/>
          <w:w w:val="120"/>
        </w:rPr>
        <w:t> </w:t>
      </w:r>
      <w:r>
        <w:rPr>
          <w:color w:val="231F20"/>
          <w:w w:val="120"/>
        </w:rPr>
        <w:t>au</w:t>
      </w:r>
      <w:r>
        <w:rPr>
          <w:color w:val="231F20"/>
          <w:spacing w:val="-2"/>
          <w:w w:val="120"/>
        </w:rPr>
        <w:t> </w:t>
      </w:r>
      <w:r>
        <w:rPr>
          <w:color w:val="231F20"/>
          <w:w w:val="120"/>
        </w:rPr>
        <w:t>stress</w:t>
      </w:r>
      <w:r>
        <w:rPr>
          <w:color w:val="231F20"/>
          <w:spacing w:val="-2"/>
          <w:w w:val="120"/>
        </w:rPr>
        <w:t> </w:t>
      </w:r>
      <w:r>
        <w:rPr>
          <w:color w:val="231F20"/>
          <w:w w:val="120"/>
        </w:rPr>
        <w:t>au</w:t>
      </w:r>
      <w:r>
        <w:rPr>
          <w:color w:val="231F20"/>
          <w:spacing w:val="-2"/>
          <w:w w:val="120"/>
        </w:rPr>
        <w:t> </w:t>
      </w:r>
      <w:r>
        <w:rPr>
          <w:color w:val="231F20"/>
          <w:w w:val="120"/>
        </w:rPr>
        <w:t>travail</w:t>
      </w:r>
      <w:r>
        <w:rPr>
          <w:color w:val="231F20"/>
          <w:spacing w:val="-2"/>
          <w:w w:val="120"/>
        </w:rPr>
        <w:t> </w:t>
      </w:r>
      <w:r>
        <w:rPr>
          <w:color w:val="231F20"/>
          <w:w w:val="120"/>
        </w:rPr>
        <w:t>depuis</w:t>
      </w:r>
      <w:r>
        <w:rPr>
          <w:color w:val="231F20"/>
          <w:spacing w:val="-2"/>
          <w:w w:val="120"/>
        </w:rPr>
        <w:t> </w:t>
      </w:r>
      <w:r>
        <w:rPr>
          <w:color w:val="231F20"/>
          <w:w w:val="120"/>
        </w:rPr>
        <w:t>plus</w:t>
      </w:r>
      <w:r>
        <w:rPr>
          <w:color w:val="231F20"/>
          <w:spacing w:val="-2"/>
          <w:w w:val="120"/>
        </w:rPr>
        <w:t> </w:t>
      </w:r>
      <w:r>
        <w:rPr>
          <w:color w:val="231F20"/>
          <w:w w:val="120"/>
        </w:rPr>
        <w:t>de</w:t>
      </w:r>
      <w:r>
        <w:rPr>
          <w:color w:val="231F20"/>
          <w:spacing w:val="-2"/>
          <w:w w:val="120"/>
        </w:rPr>
        <w:t> </w:t>
      </w:r>
      <w:r>
        <w:rPr>
          <w:color w:val="231F20"/>
          <w:w w:val="120"/>
        </w:rPr>
        <w:t>40</w:t>
      </w:r>
      <w:r>
        <w:rPr>
          <w:color w:val="231F20"/>
          <w:spacing w:val="-2"/>
          <w:w w:val="120"/>
        </w:rPr>
        <w:t> </w:t>
      </w:r>
      <w:r>
        <w:rPr>
          <w:color w:val="231F20"/>
          <w:w w:val="120"/>
        </w:rPr>
        <w:t>ans.</w:t>
      </w:r>
      <w:r>
        <w:rPr>
          <w:color w:val="231F20"/>
          <w:spacing w:val="-2"/>
          <w:w w:val="120"/>
        </w:rPr>
        <w:t> </w:t>
      </w:r>
      <w:r>
        <w:rPr>
          <w:color w:val="231F20"/>
          <w:w w:val="120"/>
        </w:rPr>
        <w:t>En</w:t>
      </w:r>
      <w:r>
        <w:rPr>
          <w:color w:val="231F20"/>
          <w:spacing w:val="-2"/>
          <w:w w:val="120"/>
        </w:rPr>
        <w:t> </w:t>
      </w:r>
      <w:r>
        <w:rPr>
          <w:color w:val="231F20"/>
          <w:w w:val="120"/>
        </w:rPr>
        <w:t>fait,</w:t>
      </w:r>
      <w:r>
        <w:rPr>
          <w:color w:val="231F20"/>
          <w:spacing w:val="-2"/>
          <w:w w:val="120"/>
        </w:rPr>
        <w:t> </w:t>
      </w:r>
      <w:r>
        <w:rPr>
          <w:color w:val="231F20"/>
          <w:w w:val="120"/>
        </w:rPr>
        <w:t>dès</w:t>
      </w:r>
      <w:r>
        <w:rPr>
          <w:color w:val="231F20"/>
          <w:spacing w:val="-2"/>
          <w:w w:val="120"/>
        </w:rPr>
        <w:t> </w:t>
      </w:r>
      <w:r>
        <w:rPr>
          <w:color w:val="231F20"/>
          <w:w w:val="120"/>
        </w:rPr>
        <w:t>la découverte</w:t>
      </w:r>
      <w:r>
        <w:rPr>
          <w:color w:val="231F20"/>
          <w:spacing w:val="-5"/>
          <w:w w:val="120"/>
        </w:rPr>
        <w:t>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en</w:t>
      </w:r>
      <w:r>
        <w:rPr>
          <w:color w:val="231F20"/>
          <w:spacing w:val="-5"/>
          <w:w w:val="120"/>
        </w:rPr>
        <w:t> </w:t>
      </w:r>
      <w:r>
        <w:rPr>
          <w:color w:val="231F20"/>
          <w:w w:val="120"/>
        </w:rPr>
        <w:t>1936,</w:t>
      </w:r>
      <w:r>
        <w:rPr>
          <w:color w:val="231F20"/>
          <w:spacing w:val="-5"/>
          <w:w w:val="120"/>
        </w:rPr>
        <w:t> </w:t>
      </w:r>
      <w:r>
        <w:rPr>
          <w:color w:val="231F20"/>
          <w:w w:val="120"/>
        </w:rPr>
        <w:t>les</w:t>
      </w:r>
      <w:r>
        <w:rPr>
          <w:color w:val="231F20"/>
          <w:spacing w:val="-5"/>
          <w:w w:val="120"/>
        </w:rPr>
        <w:t> </w:t>
      </w:r>
      <w:r>
        <w:rPr>
          <w:color w:val="231F20"/>
          <w:w w:val="120"/>
        </w:rPr>
        <w:t>chercheurs</w:t>
      </w:r>
      <w:r>
        <w:rPr>
          <w:color w:val="231F20"/>
          <w:spacing w:val="-5"/>
          <w:w w:val="120"/>
        </w:rPr>
        <w:t> </w:t>
      </w:r>
      <w:r>
        <w:rPr>
          <w:color w:val="231F20"/>
          <w:w w:val="120"/>
        </w:rPr>
        <w:t>du</w:t>
      </w:r>
      <w:r>
        <w:rPr>
          <w:color w:val="231F20"/>
          <w:spacing w:val="-5"/>
          <w:w w:val="120"/>
        </w:rPr>
        <w:t> </w:t>
      </w:r>
      <w:r>
        <w:rPr>
          <w:color w:val="231F20"/>
          <w:w w:val="120"/>
        </w:rPr>
        <w:t>domaine</w:t>
      </w:r>
      <w:r>
        <w:rPr>
          <w:color w:val="231F20"/>
          <w:spacing w:val="-5"/>
          <w:w w:val="120"/>
        </w:rPr>
        <w:t> </w:t>
      </w:r>
      <w:r>
        <w:rPr>
          <w:color w:val="231F20"/>
          <w:w w:val="120"/>
        </w:rPr>
        <w:t>du</w:t>
      </w:r>
      <w:r>
        <w:rPr>
          <w:color w:val="231F20"/>
          <w:spacing w:val="-5"/>
          <w:w w:val="120"/>
        </w:rPr>
        <w:t> </w:t>
      </w:r>
      <w:r>
        <w:rPr>
          <w:color w:val="231F20"/>
          <w:w w:val="120"/>
        </w:rPr>
        <w:t>travail</w:t>
      </w:r>
      <w:r>
        <w:rPr>
          <w:color w:val="231F20"/>
          <w:spacing w:val="-5"/>
          <w:w w:val="120"/>
        </w:rPr>
        <w:t> </w:t>
      </w:r>
      <w:r>
        <w:rPr>
          <w:color w:val="231F20"/>
          <w:w w:val="120"/>
        </w:rPr>
        <w:t>ont </w:t>
      </w:r>
      <w:r>
        <w:rPr>
          <w:color w:val="231F20"/>
          <w:spacing w:val="-2"/>
          <w:w w:val="120"/>
        </w:rPr>
        <w:t>rapidement</w:t>
      </w:r>
      <w:r>
        <w:rPr>
          <w:color w:val="231F20"/>
          <w:spacing w:val="-9"/>
          <w:w w:val="120"/>
        </w:rPr>
        <w:t> </w:t>
      </w:r>
      <w:r>
        <w:rPr>
          <w:color w:val="231F20"/>
          <w:spacing w:val="-2"/>
          <w:w w:val="120"/>
        </w:rPr>
        <w:t>transposé</w:t>
      </w:r>
      <w:r>
        <w:rPr>
          <w:color w:val="231F20"/>
          <w:spacing w:val="-9"/>
          <w:w w:val="120"/>
        </w:rPr>
        <w:t> </w:t>
      </w:r>
      <w:r>
        <w:rPr>
          <w:color w:val="231F20"/>
          <w:spacing w:val="-2"/>
          <w:w w:val="120"/>
        </w:rPr>
        <w:t>la</w:t>
      </w:r>
      <w:r>
        <w:rPr>
          <w:color w:val="231F20"/>
          <w:spacing w:val="-9"/>
          <w:w w:val="120"/>
        </w:rPr>
        <w:t> </w:t>
      </w:r>
      <w:r>
        <w:rPr>
          <w:color w:val="231F20"/>
          <w:spacing w:val="-2"/>
          <w:w w:val="120"/>
        </w:rPr>
        <w:t>notion</w:t>
      </w:r>
      <w:r>
        <w:rPr>
          <w:color w:val="231F20"/>
          <w:spacing w:val="-9"/>
          <w:w w:val="120"/>
        </w:rPr>
        <w:t> </w:t>
      </w:r>
      <w:r>
        <w:rPr>
          <w:color w:val="231F20"/>
          <w:spacing w:val="-2"/>
          <w:w w:val="120"/>
        </w:rPr>
        <w:t>de</w:t>
      </w:r>
      <w:r>
        <w:rPr>
          <w:color w:val="231F20"/>
          <w:spacing w:val="-11"/>
          <w:w w:val="120"/>
        </w:rPr>
        <w:t> </w:t>
      </w:r>
      <w:r>
        <w:rPr>
          <w:i/>
          <w:color w:val="231F20"/>
          <w:spacing w:val="-2"/>
          <w:w w:val="120"/>
        </w:rPr>
        <w:t>stress</w:t>
      </w:r>
      <w:r>
        <w:rPr>
          <w:i/>
          <w:color w:val="231F20"/>
          <w:spacing w:val="-8"/>
          <w:w w:val="120"/>
        </w:rPr>
        <w:t> </w:t>
      </w:r>
      <w:r>
        <w:rPr>
          <w:color w:val="231F20"/>
          <w:spacing w:val="-2"/>
          <w:w w:val="120"/>
        </w:rPr>
        <w:t>dans</w:t>
      </w:r>
      <w:r>
        <w:rPr>
          <w:color w:val="231F20"/>
          <w:spacing w:val="-9"/>
          <w:w w:val="120"/>
        </w:rPr>
        <w:t> </w:t>
      </w:r>
      <w:r>
        <w:rPr>
          <w:color w:val="231F20"/>
          <w:spacing w:val="-2"/>
          <w:w w:val="120"/>
        </w:rPr>
        <w:t>l’environnement</w:t>
      </w:r>
      <w:r>
        <w:rPr>
          <w:color w:val="231F20"/>
          <w:spacing w:val="-9"/>
          <w:w w:val="120"/>
        </w:rPr>
        <w:t> </w:t>
      </w:r>
      <w:r>
        <w:rPr>
          <w:color w:val="231F20"/>
          <w:spacing w:val="-2"/>
          <w:w w:val="120"/>
        </w:rPr>
        <w:t>du</w:t>
      </w:r>
      <w:r>
        <w:rPr>
          <w:color w:val="231F20"/>
          <w:spacing w:val="-9"/>
          <w:w w:val="120"/>
        </w:rPr>
        <w:t> </w:t>
      </w:r>
      <w:r>
        <w:rPr>
          <w:color w:val="231F20"/>
          <w:spacing w:val="-2"/>
          <w:w w:val="120"/>
        </w:rPr>
        <w:t>travail </w:t>
      </w:r>
      <w:r>
        <w:rPr>
          <w:color w:val="231F20"/>
          <w:w w:val="120"/>
        </w:rPr>
        <w:t>afin de comprendre les tenants et les aboutissants de cet état dans le </w:t>
      </w:r>
      <w:r>
        <w:rPr>
          <w:color w:val="231F20"/>
          <w:w w:val="115"/>
        </w:rPr>
        <w:t>contexte</w:t>
      </w:r>
      <w:r>
        <w:rPr>
          <w:color w:val="231F20"/>
          <w:spacing w:val="-12"/>
          <w:w w:val="115"/>
        </w:rPr>
        <w:t> </w:t>
      </w:r>
      <w:r>
        <w:rPr>
          <w:color w:val="231F20"/>
          <w:w w:val="115"/>
        </w:rPr>
        <w:t>organisationnel.</w:t>
      </w:r>
      <w:r>
        <w:rPr>
          <w:color w:val="231F20"/>
          <w:spacing w:val="-12"/>
          <w:w w:val="115"/>
        </w:rPr>
        <w:t> </w:t>
      </w:r>
      <w:r>
        <w:rPr>
          <w:color w:val="231F20"/>
          <w:w w:val="115"/>
        </w:rPr>
        <w:t>Ainsi,</w:t>
      </w:r>
      <w:r>
        <w:rPr>
          <w:color w:val="231F20"/>
          <w:spacing w:val="-12"/>
          <w:w w:val="115"/>
        </w:rPr>
        <w:t> </w:t>
      </w:r>
      <w:r>
        <w:rPr>
          <w:color w:val="231F20"/>
          <w:w w:val="115"/>
        </w:rPr>
        <w:t>à</w:t>
      </w:r>
      <w:r>
        <w:rPr>
          <w:color w:val="231F20"/>
          <w:spacing w:val="-12"/>
          <w:w w:val="115"/>
        </w:rPr>
        <w:t> </w:t>
      </w:r>
      <w:r>
        <w:rPr>
          <w:color w:val="231F20"/>
          <w:w w:val="115"/>
        </w:rPr>
        <w:t>partir</w:t>
      </w:r>
      <w:r>
        <w:rPr>
          <w:color w:val="231F20"/>
          <w:spacing w:val="-12"/>
          <w:w w:val="115"/>
        </w:rPr>
        <w:t> </w:t>
      </w:r>
      <w:r>
        <w:rPr>
          <w:color w:val="231F20"/>
          <w:w w:val="115"/>
        </w:rPr>
        <w:t>des</w:t>
      </w:r>
      <w:r>
        <w:rPr>
          <w:color w:val="231F20"/>
          <w:spacing w:val="-12"/>
          <w:w w:val="115"/>
        </w:rPr>
        <w:t> </w:t>
      </w:r>
      <w:r>
        <w:rPr>
          <w:color w:val="231F20"/>
          <w:w w:val="115"/>
        </w:rPr>
        <w:t>années</w:t>
      </w:r>
      <w:r>
        <w:rPr>
          <w:color w:val="231F20"/>
          <w:spacing w:val="-12"/>
          <w:w w:val="115"/>
        </w:rPr>
        <w:t> </w:t>
      </w:r>
      <w:r>
        <w:rPr>
          <w:color w:val="231F20"/>
          <w:w w:val="115"/>
        </w:rPr>
        <w:t>1970,</w:t>
      </w:r>
      <w:r>
        <w:rPr>
          <w:color w:val="231F20"/>
          <w:spacing w:val="-12"/>
          <w:w w:val="115"/>
        </w:rPr>
        <w:t> </w:t>
      </w:r>
      <w:r>
        <w:rPr>
          <w:color w:val="231F20"/>
          <w:w w:val="115"/>
        </w:rPr>
        <w:t>nombre</w:t>
      </w:r>
      <w:r>
        <w:rPr>
          <w:color w:val="231F20"/>
          <w:spacing w:val="-12"/>
          <w:w w:val="115"/>
        </w:rPr>
        <w:t> </w:t>
      </w:r>
      <w:r>
        <w:rPr>
          <w:color w:val="231F20"/>
          <w:w w:val="115"/>
        </w:rPr>
        <w:t>d’obser- </w:t>
      </w:r>
      <w:r>
        <w:rPr>
          <w:color w:val="231F20"/>
          <w:w w:val="120"/>
        </w:rPr>
        <w:t>vations</w:t>
      </w:r>
      <w:r>
        <w:rPr>
          <w:color w:val="231F20"/>
          <w:spacing w:val="-6"/>
          <w:w w:val="120"/>
        </w:rPr>
        <w:t> </w:t>
      </w:r>
      <w:r>
        <w:rPr>
          <w:color w:val="231F20"/>
          <w:w w:val="120"/>
        </w:rPr>
        <w:t>et</w:t>
      </w:r>
      <w:r>
        <w:rPr>
          <w:color w:val="231F20"/>
          <w:spacing w:val="-6"/>
          <w:w w:val="120"/>
        </w:rPr>
        <w:t> </w:t>
      </w:r>
      <w:r>
        <w:rPr>
          <w:color w:val="231F20"/>
          <w:w w:val="120"/>
        </w:rPr>
        <w:t>de</w:t>
      </w:r>
      <w:r>
        <w:rPr>
          <w:color w:val="231F20"/>
          <w:spacing w:val="-6"/>
          <w:w w:val="120"/>
        </w:rPr>
        <w:t> </w:t>
      </w:r>
      <w:r>
        <w:rPr>
          <w:color w:val="231F20"/>
          <w:w w:val="120"/>
        </w:rPr>
        <w:t>modélisations</w:t>
      </w:r>
      <w:r>
        <w:rPr>
          <w:color w:val="231F20"/>
          <w:spacing w:val="-6"/>
          <w:w w:val="120"/>
        </w:rPr>
        <w:t> </w:t>
      </w:r>
      <w:r>
        <w:rPr>
          <w:color w:val="231F20"/>
          <w:w w:val="120"/>
        </w:rPr>
        <w:t>ont</w:t>
      </w:r>
      <w:r>
        <w:rPr>
          <w:color w:val="231F20"/>
          <w:spacing w:val="-6"/>
          <w:w w:val="120"/>
        </w:rPr>
        <w:t> </w:t>
      </w:r>
      <w:r>
        <w:rPr>
          <w:color w:val="231F20"/>
          <w:w w:val="120"/>
        </w:rPr>
        <w:t>été</w:t>
      </w:r>
      <w:r>
        <w:rPr>
          <w:color w:val="231F20"/>
          <w:spacing w:val="-6"/>
          <w:w w:val="120"/>
        </w:rPr>
        <w:t> </w:t>
      </w:r>
      <w:r>
        <w:rPr>
          <w:color w:val="231F20"/>
          <w:w w:val="120"/>
        </w:rPr>
        <w:t>formulées</w:t>
      </w:r>
      <w:r>
        <w:rPr>
          <w:color w:val="231F20"/>
          <w:spacing w:val="-6"/>
          <w:w w:val="120"/>
        </w:rPr>
        <w:t> </w:t>
      </w:r>
      <w:r>
        <w:rPr>
          <w:color w:val="231F20"/>
          <w:w w:val="120"/>
        </w:rPr>
        <w:t>afin</w:t>
      </w:r>
      <w:r>
        <w:rPr>
          <w:color w:val="231F20"/>
          <w:spacing w:val="-6"/>
          <w:w w:val="120"/>
        </w:rPr>
        <w:t> </w:t>
      </w:r>
      <w:r>
        <w:rPr>
          <w:color w:val="231F20"/>
          <w:w w:val="120"/>
        </w:rPr>
        <w:t>de</w:t>
      </w:r>
      <w:r>
        <w:rPr>
          <w:color w:val="231F20"/>
          <w:spacing w:val="-6"/>
          <w:w w:val="120"/>
        </w:rPr>
        <w:t> </w:t>
      </w:r>
      <w:r>
        <w:rPr>
          <w:color w:val="231F20"/>
          <w:w w:val="120"/>
        </w:rPr>
        <w:t>saisir</w:t>
      </w:r>
      <w:r>
        <w:rPr>
          <w:color w:val="231F20"/>
          <w:spacing w:val="-6"/>
          <w:w w:val="120"/>
        </w:rPr>
        <w:t> </w:t>
      </w:r>
      <w:r>
        <w:rPr>
          <w:color w:val="231F20"/>
          <w:w w:val="120"/>
        </w:rPr>
        <w:t>la</w:t>
      </w:r>
      <w:r>
        <w:rPr>
          <w:color w:val="231F20"/>
          <w:spacing w:val="-6"/>
          <w:w w:val="120"/>
        </w:rPr>
        <w:t> </w:t>
      </w:r>
      <w:r>
        <w:rPr>
          <w:color w:val="231F20"/>
          <w:w w:val="120"/>
        </w:rPr>
        <w:t>réalité</w:t>
      </w:r>
      <w:r>
        <w:rPr>
          <w:color w:val="231F20"/>
          <w:spacing w:val="-6"/>
          <w:w w:val="120"/>
        </w:rPr>
        <w:t> </w:t>
      </w:r>
      <w:r>
        <w:rPr>
          <w:color w:val="231F20"/>
          <w:w w:val="120"/>
        </w:rPr>
        <w:t>du stress dans les balises de l’entreprise. Cet intérêt des chercheurs allait </w:t>
      </w:r>
      <w:r>
        <w:rPr>
          <w:color w:val="231F20"/>
          <w:w w:val="115"/>
        </w:rPr>
        <w:t>alors</w:t>
      </w:r>
      <w:r>
        <w:rPr>
          <w:color w:val="231F20"/>
          <w:spacing w:val="-4"/>
          <w:w w:val="115"/>
        </w:rPr>
        <w:t> </w:t>
      </w:r>
      <w:r>
        <w:rPr>
          <w:color w:val="231F20"/>
          <w:w w:val="115"/>
        </w:rPr>
        <w:t>de</w:t>
      </w:r>
      <w:r>
        <w:rPr>
          <w:color w:val="231F20"/>
          <w:spacing w:val="-4"/>
          <w:w w:val="115"/>
        </w:rPr>
        <w:t> </w:t>
      </w:r>
      <w:r>
        <w:rPr>
          <w:color w:val="231F20"/>
          <w:w w:val="115"/>
        </w:rPr>
        <w:t>pair</w:t>
      </w:r>
      <w:r>
        <w:rPr>
          <w:color w:val="231F20"/>
          <w:spacing w:val="-4"/>
          <w:w w:val="115"/>
        </w:rPr>
        <w:t> </w:t>
      </w:r>
      <w:r>
        <w:rPr>
          <w:color w:val="231F20"/>
          <w:w w:val="115"/>
        </w:rPr>
        <w:t>avec</w:t>
      </w:r>
      <w:r>
        <w:rPr>
          <w:color w:val="231F20"/>
          <w:spacing w:val="-4"/>
          <w:w w:val="115"/>
        </w:rPr>
        <w:t> </w:t>
      </w:r>
      <w:r>
        <w:rPr>
          <w:color w:val="231F20"/>
          <w:w w:val="115"/>
        </w:rPr>
        <w:t>les</w:t>
      </w:r>
      <w:r>
        <w:rPr>
          <w:color w:val="231F20"/>
          <w:spacing w:val="-4"/>
          <w:w w:val="115"/>
        </w:rPr>
        <w:t> </w:t>
      </w:r>
      <w:r>
        <w:rPr>
          <w:color w:val="231F20"/>
          <w:w w:val="115"/>
        </w:rPr>
        <w:t>préoccupations</w:t>
      </w:r>
      <w:r>
        <w:rPr>
          <w:color w:val="231F20"/>
          <w:spacing w:val="-4"/>
          <w:w w:val="115"/>
        </w:rPr>
        <w:t> </w:t>
      </w:r>
      <w:r>
        <w:rPr>
          <w:color w:val="231F20"/>
          <w:w w:val="115"/>
        </w:rPr>
        <w:t>des</w:t>
      </w:r>
      <w:r>
        <w:rPr>
          <w:color w:val="231F20"/>
          <w:spacing w:val="-4"/>
          <w:w w:val="115"/>
        </w:rPr>
        <w:t> </w:t>
      </w:r>
      <w:r>
        <w:rPr>
          <w:color w:val="231F20"/>
          <w:w w:val="115"/>
        </w:rPr>
        <w:t>gestionnaires</w:t>
      </w:r>
      <w:r>
        <w:rPr>
          <w:color w:val="231F20"/>
          <w:spacing w:val="-4"/>
          <w:w w:val="115"/>
        </w:rPr>
        <w:t> </w:t>
      </w:r>
      <w:r>
        <w:rPr>
          <w:color w:val="231F20"/>
          <w:w w:val="115"/>
        </w:rPr>
        <w:t>en</w:t>
      </w:r>
      <w:r>
        <w:rPr>
          <w:color w:val="231F20"/>
          <w:spacing w:val="-4"/>
          <w:w w:val="115"/>
        </w:rPr>
        <w:t> </w:t>
      </w:r>
      <w:r>
        <w:rPr>
          <w:color w:val="231F20"/>
          <w:w w:val="115"/>
        </w:rPr>
        <w:t>matière</w:t>
      </w:r>
      <w:r>
        <w:rPr>
          <w:color w:val="231F20"/>
          <w:spacing w:val="-4"/>
          <w:w w:val="115"/>
        </w:rPr>
        <w:t> </w:t>
      </w:r>
      <w:r>
        <w:rPr>
          <w:color w:val="231F20"/>
          <w:w w:val="115"/>
        </w:rPr>
        <w:t>de</w:t>
      </w:r>
      <w:r>
        <w:rPr>
          <w:color w:val="231F20"/>
          <w:spacing w:val="-4"/>
          <w:w w:val="115"/>
        </w:rPr>
        <w:t> </w:t>
      </w:r>
      <w:r>
        <w:rPr>
          <w:color w:val="231F20"/>
          <w:w w:val="115"/>
        </w:rPr>
        <w:t>qua- </w:t>
      </w:r>
      <w:r>
        <w:rPr>
          <w:color w:val="231F20"/>
          <w:spacing w:val="-2"/>
          <w:w w:val="120"/>
        </w:rPr>
        <w:t>lité</w:t>
      </w:r>
      <w:r>
        <w:rPr>
          <w:color w:val="231F20"/>
          <w:spacing w:val="-11"/>
          <w:w w:val="120"/>
        </w:rPr>
        <w:t> </w:t>
      </w:r>
      <w:r>
        <w:rPr>
          <w:color w:val="231F20"/>
          <w:spacing w:val="-2"/>
          <w:w w:val="120"/>
        </w:rPr>
        <w:t>de</w:t>
      </w:r>
      <w:r>
        <w:rPr>
          <w:color w:val="231F20"/>
          <w:spacing w:val="-10"/>
          <w:w w:val="120"/>
        </w:rPr>
        <w:t> </w:t>
      </w:r>
      <w:r>
        <w:rPr>
          <w:color w:val="231F20"/>
          <w:spacing w:val="-2"/>
          <w:w w:val="120"/>
        </w:rPr>
        <w:t>vie</w:t>
      </w:r>
      <w:r>
        <w:rPr>
          <w:color w:val="231F20"/>
          <w:spacing w:val="-11"/>
          <w:w w:val="120"/>
        </w:rPr>
        <w:t> </w:t>
      </w:r>
      <w:r>
        <w:rPr>
          <w:color w:val="231F20"/>
          <w:spacing w:val="-2"/>
          <w:w w:val="120"/>
        </w:rPr>
        <w:t>au</w:t>
      </w:r>
      <w:r>
        <w:rPr>
          <w:color w:val="231F20"/>
          <w:spacing w:val="-10"/>
          <w:w w:val="120"/>
        </w:rPr>
        <w:t> </w:t>
      </w:r>
      <w:r>
        <w:rPr>
          <w:color w:val="231F20"/>
          <w:spacing w:val="-2"/>
          <w:w w:val="120"/>
        </w:rPr>
        <w:t>travail,</w:t>
      </w:r>
      <w:r>
        <w:rPr>
          <w:color w:val="231F20"/>
          <w:spacing w:val="-11"/>
          <w:w w:val="120"/>
        </w:rPr>
        <w:t> </w:t>
      </w:r>
      <w:r>
        <w:rPr>
          <w:color w:val="231F20"/>
          <w:spacing w:val="-2"/>
          <w:w w:val="120"/>
        </w:rPr>
        <w:t>et</w:t>
      </w:r>
      <w:r>
        <w:rPr>
          <w:color w:val="231F20"/>
          <w:spacing w:val="-10"/>
          <w:w w:val="120"/>
        </w:rPr>
        <w:t> </w:t>
      </w:r>
      <w:r>
        <w:rPr>
          <w:color w:val="231F20"/>
          <w:spacing w:val="-2"/>
          <w:w w:val="120"/>
        </w:rPr>
        <w:t>par</w:t>
      </w:r>
      <w:r>
        <w:rPr>
          <w:color w:val="231F20"/>
          <w:spacing w:val="-11"/>
          <w:w w:val="120"/>
        </w:rPr>
        <w:t> </w:t>
      </w:r>
      <w:r>
        <w:rPr>
          <w:color w:val="231F20"/>
          <w:spacing w:val="-2"/>
          <w:w w:val="120"/>
        </w:rPr>
        <w:t>la</w:t>
      </w:r>
      <w:r>
        <w:rPr>
          <w:color w:val="231F20"/>
          <w:spacing w:val="-10"/>
          <w:w w:val="120"/>
        </w:rPr>
        <w:t> </w:t>
      </w:r>
      <w:r>
        <w:rPr>
          <w:color w:val="231F20"/>
          <w:spacing w:val="-2"/>
          <w:w w:val="120"/>
        </w:rPr>
        <w:t>suite</w:t>
      </w:r>
      <w:r>
        <w:rPr>
          <w:color w:val="231F20"/>
          <w:spacing w:val="-11"/>
          <w:w w:val="120"/>
        </w:rPr>
        <w:t> </w:t>
      </w:r>
      <w:r>
        <w:rPr>
          <w:color w:val="231F20"/>
          <w:spacing w:val="-2"/>
          <w:w w:val="120"/>
        </w:rPr>
        <w:t>de</w:t>
      </w:r>
      <w:r>
        <w:rPr>
          <w:color w:val="231F20"/>
          <w:spacing w:val="-10"/>
          <w:w w:val="120"/>
        </w:rPr>
        <w:t> </w:t>
      </w:r>
      <w:r>
        <w:rPr>
          <w:color w:val="231F20"/>
          <w:spacing w:val="-2"/>
          <w:w w:val="120"/>
        </w:rPr>
        <w:t>bien-être</w:t>
      </w:r>
      <w:r>
        <w:rPr>
          <w:color w:val="231F20"/>
          <w:spacing w:val="-11"/>
          <w:w w:val="120"/>
        </w:rPr>
        <w:t> </w:t>
      </w:r>
      <w:r>
        <w:rPr>
          <w:color w:val="231F20"/>
          <w:spacing w:val="-2"/>
          <w:w w:val="120"/>
        </w:rPr>
        <w:t>et</w:t>
      </w:r>
      <w:r>
        <w:rPr>
          <w:color w:val="231F20"/>
          <w:spacing w:val="-10"/>
          <w:w w:val="120"/>
        </w:rPr>
        <w:t> </w:t>
      </w:r>
      <w:r>
        <w:rPr>
          <w:color w:val="231F20"/>
          <w:spacing w:val="-2"/>
          <w:w w:val="120"/>
        </w:rPr>
        <w:t>de</w:t>
      </w:r>
      <w:r>
        <w:rPr>
          <w:color w:val="231F20"/>
          <w:spacing w:val="-11"/>
          <w:w w:val="120"/>
        </w:rPr>
        <w:t> </w:t>
      </w:r>
      <w:r>
        <w:rPr>
          <w:color w:val="231F20"/>
          <w:spacing w:val="-2"/>
          <w:w w:val="120"/>
        </w:rPr>
        <w:t>santé</w:t>
      </w:r>
      <w:r>
        <w:rPr>
          <w:color w:val="231F20"/>
          <w:spacing w:val="-10"/>
          <w:w w:val="120"/>
        </w:rPr>
        <w:t> </w:t>
      </w:r>
      <w:r>
        <w:rPr>
          <w:color w:val="231F20"/>
          <w:spacing w:val="-2"/>
          <w:w w:val="120"/>
        </w:rPr>
        <w:t>psychologique au</w:t>
      </w:r>
      <w:r>
        <w:rPr>
          <w:color w:val="231F20"/>
          <w:spacing w:val="-11"/>
          <w:w w:val="120"/>
        </w:rPr>
        <w:t> </w:t>
      </w:r>
      <w:r>
        <w:rPr>
          <w:color w:val="231F20"/>
          <w:spacing w:val="-2"/>
          <w:w w:val="120"/>
        </w:rPr>
        <w:t>travail.</w:t>
      </w:r>
      <w:r>
        <w:rPr>
          <w:color w:val="231F20"/>
          <w:spacing w:val="-11"/>
          <w:w w:val="120"/>
        </w:rPr>
        <w:t> </w:t>
      </w:r>
      <w:r>
        <w:rPr>
          <w:color w:val="231F20"/>
          <w:spacing w:val="-2"/>
          <w:w w:val="120"/>
        </w:rPr>
        <w:t>Nous</w:t>
      </w:r>
      <w:r>
        <w:rPr>
          <w:color w:val="231F20"/>
          <w:spacing w:val="-11"/>
          <w:w w:val="120"/>
        </w:rPr>
        <w:t> </w:t>
      </w:r>
      <w:r>
        <w:rPr>
          <w:color w:val="231F20"/>
          <w:spacing w:val="-2"/>
          <w:w w:val="120"/>
        </w:rPr>
        <w:t>possédons</w:t>
      </w:r>
      <w:r>
        <w:rPr>
          <w:color w:val="231F20"/>
          <w:spacing w:val="-10"/>
          <w:w w:val="120"/>
        </w:rPr>
        <w:t> </w:t>
      </w:r>
      <w:r>
        <w:rPr>
          <w:color w:val="231F20"/>
          <w:spacing w:val="-2"/>
          <w:w w:val="120"/>
        </w:rPr>
        <w:t>actuellement</w:t>
      </w:r>
      <w:r>
        <w:rPr>
          <w:color w:val="231F20"/>
          <w:spacing w:val="-11"/>
          <w:w w:val="120"/>
        </w:rPr>
        <w:t> </w:t>
      </w:r>
      <w:r>
        <w:rPr>
          <w:color w:val="231F20"/>
          <w:spacing w:val="-2"/>
          <w:w w:val="120"/>
        </w:rPr>
        <w:t>un</w:t>
      </w:r>
      <w:r>
        <w:rPr>
          <w:color w:val="231F20"/>
          <w:spacing w:val="-11"/>
          <w:w w:val="120"/>
        </w:rPr>
        <w:t> </w:t>
      </w:r>
      <w:r>
        <w:rPr>
          <w:color w:val="231F20"/>
          <w:spacing w:val="-2"/>
          <w:w w:val="120"/>
        </w:rPr>
        <w:t>éventail</w:t>
      </w:r>
      <w:r>
        <w:rPr>
          <w:color w:val="231F20"/>
          <w:spacing w:val="-11"/>
          <w:w w:val="120"/>
        </w:rPr>
        <w:t> </w:t>
      </w:r>
      <w:r>
        <w:rPr>
          <w:color w:val="231F20"/>
          <w:spacing w:val="-2"/>
          <w:w w:val="120"/>
        </w:rPr>
        <w:t>de</w:t>
      </w:r>
      <w:r>
        <w:rPr>
          <w:color w:val="231F20"/>
          <w:spacing w:val="-10"/>
          <w:w w:val="120"/>
        </w:rPr>
        <w:t> </w:t>
      </w:r>
      <w:r>
        <w:rPr>
          <w:color w:val="231F20"/>
          <w:spacing w:val="-2"/>
          <w:w w:val="120"/>
        </w:rPr>
        <w:t>cadres</w:t>
      </w:r>
      <w:r>
        <w:rPr>
          <w:color w:val="231F20"/>
          <w:spacing w:val="-11"/>
          <w:w w:val="120"/>
        </w:rPr>
        <w:t> </w:t>
      </w:r>
      <w:r>
        <w:rPr>
          <w:color w:val="231F20"/>
          <w:spacing w:val="-2"/>
          <w:w w:val="120"/>
        </w:rPr>
        <w:t>explicatifs </w:t>
      </w:r>
      <w:r>
        <w:rPr>
          <w:color w:val="231F20"/>
          <w:w w:val="120"/>
        </w:rPr>
        <w:t>et d’outils d’intervention permettant de développer des programmes organisationnels</w:t>
      </w:r>
      <w:r>
        <w:rPr>
          <w:color w:val="231F20"/>
          <w:spacing w:val="-8"/>
          <w:w w:val="120"/>
        </w:rPr>
        <w:t> </w:t>
      </w:r>
      <w:r>
        <w:rPr>
          <w:color w:val="231F20"/>
          <w:w w:val="120"/>
        </w:rPr>
        <w:t>efficaces</w:t>
      </w:r>
      <w:r>
        <w:rPr>
          <w:color w:val="231F20"/>
          <w:spacing w:val="-8"/>
          <w:w w:val="120"/>
        </w:rPr>
        <w:t> </w:t>
      </w:r>
      <w:r>
        <w:rPr>
          <w:color w:val="231F20"/>
          <w:w w:val="120"/>
        </w:rPr>
        <w:t>afin</w:t>
      </w:r>
      <w:r>
        <w:rPr>
          <w:color w:val="231F20"/>
          <w:spacing w:val="-8"/>
          <w:w w:val="120"/>
        </w:rPr>
        <w:t> </w:t>
      </w:r>
      <w:r>
        <w:rPr>
          <w:color w:val="231F20"/>
          <w:w w:val="120"/>
        </w:rPr>
        <w:t>de</w:t>
      </w:r>
      <w:r>
        <w:rPr>
          <w:color w:val="231F20"/>
          <w:spacing w:val="-8"/>
          <w:w w:val="120"/>
        </w:rPr>
        <w:t> </w:t>
      </w:r>
      <w:r>
        <w:rPr>
          <w:color w:val="231F20"/>
          <w:w w:val="120"/>
        </w:rPr>
        <w:t>minimiser</w:t>
      </w:r>
      <w:r>
        <w:rPr>
          <w:color w:val="231F20"/>
          <w:spacing w:val="-8"/>
          <w:w w:val="120"/>
        </w:rPr>
        <w:t> </w:t>
      </w:r>
      <w:r>
        <w:rPr>
          <w:color w:val="231F20"/>
          <w:w w:val="120"/>
        </w:rPr>
        <w:t>les</w:t>
      </w:r>
      <w:r>
        <w:rPr>
          <w:color w:val="231F20"/>
          <w:spacing w:val="-8"/>
          <w:w w:val="120"/>
        </w:rPr>
        <w:t> </w:t>
      </w:r>
      <w:r>
        <w:rPr>
          <w:color w:val="231F20"/>
          <w:w w:val="120"/>
        </w:rPr>
        <w:t>stresseurs</w:t>
      </w:r>
      <w:r>
        <w:rPr>
          <w:color w:val="231F20"/>
          <w:spacing w:val="-8"/>
          <w:w w:val="120"/>
        </w:rPr>
        <w:t> </w:t>
      </w:r>
      <w:r>
        <w:rPr>
          <w:color w:val="231F20"/>
          <w:w w:val="120"/>
        </w:rPr>
        <w:t>ainsi</w:t>
      </w:r>
      <w:r>
        <w:rPr>
          <w:color w:val="231F20"/>
          <w:spacing w:val="-8"/>
          <w:w w:val="120"/>
        </w:rPr>
        <w:t> </w:t>
      </w:r>
      <w:r>
        <w:rPr>
          <w:color w:val="231F20"/>
          <w:w w:val="120"/>
        </w:rPr>
        <w:t>que</w:t>
      </w:r>
      <w:r>
        <w:rPr>
          <w:color w:val="231F20"/>
          <w:spacing w:val="-8"/>
          <w:w w:val="120"/>
        </w:rPr>
        <w:t> </w:t>
      </w:r>
      <w:r>
        <w:rPr>
          <w:color w:val="231F20"/>
          <w:w w:val="120"/>
        </w:rPr>
        <w:t>les conséquences</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3"/>
          <w:w w:val="120"/>
        </w:rPr>
        <w:t> </w:t>
      </w:r>
      <w:r>
        <w:rPr>
          <w:color w:val="231F20"/>
          <w:w w:val="120"/>
        </w:rPr>
        <w:t>Notre</w:t>
      </w:r>
      <w:r>
        <w:rPr>
          <w:color w:val="231F20"/>
          <w:spacing w:val="-12"/>
          <w:w w:val="120"/>
        </w:rPr>
        <w:t> </w:t>
      </w:r>
      <w:r>
        <w:rPr>
          <w:color w:val="231F20"/>
          <w:w w:val="120"/>
        </w:rPr>
        <w:t>compréhension</w:t>
      </w:r>
      <w:r>
        <w:rPr>
          <w:color w:val="231F20"/>
          <w:spacing w:val="-13"/>
          <w:w w:val="120"/>
        </w:rPr>
        <w:t> </w:t>
      </w:r>
      <w:r>
        <w:rPr>
          <w:color w:val="231F20"/>
          <w:w w:val="120"/>
        </w:rPr>
        <w:t>des</w:t>
      </w:r>
      <w:r>
        <w:rPr>
          <w:color w:val="231F20"/>
          <w:spacing w:val="-13"/>
          <w:w w:val="120"/>
        </w:rPr>
        <w:t> </w:t>
      </w:r>
      <w:r>
        <w:rPr>
          <w:color w:val="231F20"/>
          <w:w w:val="120"/>
        </w:rPr>
        <w:t>rouages</w:t>
      </w:r>
      <w:r>
        <w:rPr>
          <w:color w:val="231F20"/>
          <w:spacing w:val="-13"/>
          <w:w w:val="120"/>
        </w:rPr>
        <w:t> </w:t>
      </w:r>
      <w:r>
        <w:rPr>
          <w:color w:val="231F20"/>
          <w:w w:val="120"/>
        </w:rPr>
        <w:t>de</w:t>
      </w:r>
      <w:r>
        <w:rPr>
          <w:color w:val="231F20"/>
          <w:spacing w:val="-12"/>
          <w:w w:val="120"/>
        </w:rPr>
        <w:t> </w:t>
      </w:r>
      <w:r>
        <w:rPr>
          <w:color w:val="231F20"/>
          <w:w w:val="120"/>
        </w:rPr>
        <w:t>ce</w:t>
      </w:r>
      <w:r>
        <w:rPr>
          <w:color w:val="231F20"/>
          <w:spacing w:val="-13"/>
          <w:w w:val="120"/>
        </w:rPr>
        <w:t> </w:t>
      </w:r>
      <w:r>
        <w:rPr>
          <w:color w:val="231F20"/>
          <w:w w:val="120"/>
        </w:rPr>
        <w:t>phéno- </w:t>
      </w:r>
      <w:r>
        <w:rPr>
          <w:color w:val="231F20"/>
          <w:spacing w:val="-2"/>
          <w:w w:val="120"/>
        </w:rPr>
        <w:t>mène,</w:t>
      </w:r>
      <w:r>
        <w:rPr>
          <w:color w:val="231F20"/>
          <w:spacing w:val="-4"/>
          <w:w w:val="120"/>
        </w:rPr>
        <w:t> </w:t>
      </w:r>
      <w:r>
        <w:rPr>
          <w:color w:val="231F20"/>
          <w:spacing w:val="-2"/>
          <w:w w:val="120"/>
        </w:rPr>
        <w:t>bien</w:t>
      </w:r>
      <w:r>
        <w:rPr>
          <w:color w:val="231F20"/>
          <w:spacing w:val="-4"/>
          <w:w w:val="120"/>
        </w:rPr>
        <w:t> </w:t>
      </w:r>
      <w:r>
        <w:rPr>
          <w:color w:val="231F20"/>
          <w:spacing w:val="-2"/>
          <w:w w:val="120"/>
        </w:rPr>
        <w:t>qu’encore</w:t>
      </w:r>
      <w:r>
        <w:rPr>
          <w:color w:val="231F20"/>
          <w:spacing w:val="-4"/>
          <w:w w:val="120"/>
        </w:rPr>
        <w:t> </w:t>
      </w:r>
      <w:r>
        <w:rPr>
          <w:color w:val="231F20"/>
          <w:spacing w:val="-2"/>
          <w:w w:val="120"/>
        </w:rPr>
        <w:t>imparfaite,</w:t>
      </w:r>
      <w:r>
        <w:rPr>
          <w:color w:val="231F20"/>
          <w:spacing w:val="-4"/>
          <w:w w:val="120"/>
        </w:rPr>
        <w:t> </w:t>
      </w:r>
      <w:r>
        <w:rPr>
          <w:color w:val="231F20"/>
          <w:spacing w:val="-2"/>
          <w:w w:val="120"/>
        </w:rPr>
        <w:t>est</w:t>
      </w:r>
      <w:r>
        <w:rPr>
          <w:color w:val="231F20"/>
          <w:spacing w:val="-4"/>
          <w:w w:val="120"/>
        </w:rPr>
        <w:t> </w:t>
      </w:r>
      <w:r>
        <w:rPr>
          <w:color w:val="231F20"/>
          <w:spacing w:val="-2"/>
          <w:w w:val="120"/>
        </w:rPr>
        <w:t>très</w:t>
      </w:r>
      <w:r>
        <w:rPr>
          <w:color w:val="231F20"/>
          <w:spacing w:val="-4"/>
          <w:w w:val="120"/>
        </w:rPr>
        <w:t> </w:t>
      </w:r>
      <w:r>
        <w:rPr>
          <w:color w:val="231F20"/>
          <w:spacing w:val="-2"/>
          <w:w w:val="120"/>
        </w:rPr>
        <w:t>avancée</w:t>
      </w:r>
      <w:r>
        <w:rPr>
          <w:color w:val="231F20"/>
          <w:spacing w:val="-4"/>
          <w:w w:val="120"/>
        </w:rPr>
        <w:t> </w:t>
      </w:r>
      <w:r>
        <w:rPr>
          <w:color w:val="231F20"/>
          <w:spacing w:val="-2"/>
          <w:w w:val="120"/>
        </w:rPr>
        <w:t>et</w:t>
      </w:r>
      <w:r>
        <w:rPr>
          <w:color w:val="231F20"/>
          <w:spacing w:val="-4"/>
          <w:w w:val="120"/>
        </w:rPr>
        <w:t> </w:t>
      </w:r>
      <w:r>
        <w:rPr>
          <w:color w:val="231F20"/>
          <w:spacing w:val="-2"/>
          <w:w w:val="120"/>
        </w:rPr>
        <w:t>les</w:t>
      </w:r>
      <w:r>
        <w:rPr>
          <w:color w:val="231F20"/>
          <w:spacing w:val="-4"/>
          <w:w w:val="120"/>
        </w:rPr>
        <w:t> </w:t>
      </w:r>
      <w:r>
        <w:rPr>
          <w:color w:val="231F20"/>
          <w:spacing w:val="-2"/>
          <w:w w:val="120"/>
        </w:rPr>
        <w:t>sciences</w:t>
      </w:r>
      <w:r>
        <w:rPr>
          <w:color w:val="231F20"/>
          <w:spacing w:val="-4"/>
          <w:w w:val="120"/>
        </w:rPr>
        <w:t> </w:t>
      </w:r>
      <w:r>
        <w:rPr>
          <w:color w:val="231F20"/>
          <w:spacing w:val="-2"/>
          <w:w w:val="120"/>
        </w:rPr>
        <w:t>organi- </w:t>
      </w:r>
      <w:r>
        <w:rPr>
          <w:color w:val="231F20"/>
          <w:w w:val="120"/>
        </w:rPr>
        <w:t>sationnelles</w:t>
      </w:r>
      <w:r>
        <w:rPr>
          <w:color w:val="231F20"/>
          <w:spacing w:val="-9"/>
          <w:w w:val="120"/>
        </w:rPr>
        <w:t> </w:t>
      </w:r>
      <w:r>
        <w:rPr>
          <w:color w:val="231F20"/>
          <w:w w:val="120"/>
        </w:rPr>
        <w:t>offrent</w:t>
      </w:r>
      <w:r>
        <w:rPr>
          <w:color w:val="231F20"/>
          <w:spacing w:val="-9"/>
          <w:w w:val="120"/>
        </w:rPr>
        <w:t> </w:t>
      </w:r>
      <w:r>
        <w:rPr>
          <w:color w:val="231F20"/>
          <w:w w:val="120"/>
        </w:rPr>
        <w:t>divers</w:t>
      </w:r>
      <w:r>
        <w:rPr>
          <w:color w:val="231F20"/>
          <w:spacing w:val="-9"/>
          <w:w w:val="120"/>
        </w:rPr>
        <w:t> </w:t>
      </w:r>
      <w:r>
        <w:rPr>
          <w:color w:val="231F20"/>
          <w:w w:val="120"/>
        </w:rPr>
        <w:t>moyens</w:t>
      </w:r>
      <w:r>
        <w:rPr>
          <w:color w:val="231F20"/>
          <w:spacing w:val="-9"/>
          <w:w w:val="120"/>
        </w:rPr>
        <w:t> </w:t>
      </w:r>
      <w:r>
        <w:rPr>
          <w:color w:val="231F20"/>
          <w:w w:val="120"/>
        </w:rPr>
        <w:t>fiables</w:t>
      </w:r>
      <w:r>
        <w:rPr>
          <w:color w:val="231F20"/>
          <w:spacing w:val="-9"/>
          <w:w w:val="120"/>
        </w:rPr>
        <w:t> </w:t>
      </w:r>
      <w:r>
        <w:rPr>
          <w:color w:val="231F20"/>
          <w:w w:val="120"/>
        </w:rPr>
        <w:t>et</w:t>
      </w:r>
      <w:r>
        <w:rPr>
          <w:color w:val="231F20"/>
          <w:spacing w:val="-9"/>
          <w:w w:val="120"/>
        </w:rPr>
        <w:t> </w:t>
      </w:r>
      <w:r>
        <w:rPr>
          <w:color w:val="231F20"/>
          <w:w w:val="120"/>
        </w:rPr>
        <w:t>valides</w:t>
      </w:r>
      <w:r>
        <w:rPr>
          <w:color w:val="231F20"/>
          <w:spacing w:val="-9"/>
          <w:w w:val="120"/>
        </w:rPr>
        <w:t> </w:t>
      </w:r>
      <w:r>
        <w:rPr>
          <w:color w:val="231F20"/>
          <w:w w:val="120"/>
        </w:rPr>
        <w:t>de</w:t>
      </w:r>
      <w:r>
        <w:rPr>
          <w:color w:val="231F20"/>
          <w:spacing w:val="-9"/>
          <w:w w:val="120"/>
        </w:rPr>
        <w:t> </w:t>
      </w:r>
      <w:r>
        <w:rPr>
          <w:color w:val="231F20"/>
          <w:w w:val="120"/>
        </w:rPr>
        <w:t>contrer</w:t>
      </w:r>
      <w:r>
        <w:rPr>
          <w:color w:val="231F20"/>
          <w:spacing w:val="-9"/>
          <w:w w:val="120"/>
        </w:rPr>
        <w:t> </w:t>
      </w:r>
      <w:r>
        <w:rPr>
          <w:color w:val="231F20"/>
          <w:w w:val="120"/>
        </w:rPr>
        <w:t>le</w:t>
      </w:r>
      <w:r>
        <w:rPr>
          <w:color w:val="231F20"/>
          <w:spacing w:val="-9"/>
          <w:w w:val="120"/>
        </w:rPr>
        <w:t> </w:t>
      </w:r>
      <w:r>
        <w:rPr>
          <w:color w:val="231F20"/>
          <w:w w:val="120"/>
        </w:rPr>
        <w:t>stress au travail et ses incidences sur la santé.</w:t>
      </w:r>
    </w:p>
    <w:p>
      <w:pPr>
        <w:pStyle w:val="BodyText"/>
        <w:rPr>
          <w:sz w:val="24"/>
        </w:rPr>
      </w:pPr>
    </w:p>
    <w:p>
      <w:pPr>
        <w:pStyle w:val="BodyText"/>
        <w:spacing w:before="180"/>
        <w:ind w:left="1180"/>
        <w:jc w:val="both"/>
        <w:rPr>
          <w:rFonts w:ascii="Arial" w:hAnsi="Arial"/>
        </w:rPr>
      </w:pPr>
      <w:r>
        <w:rPr/>
        <w:pict>
          <v:shape style="position:absolute;margin-left:82pt;margin-top:21.049408pt;width:287.5pt;height:.1pt;mso-position-horizontal-relative:page;mso-position-vertical-relative:paragraph;z-index:-15709696;mso-wrap-distance-left:0;mso-wrap-distance-right:0" id="docshape115" coordorigin="1640,421" coordsize="5750,0" path="m1640,421l7390,421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3"/>
        <w:rPr>
          <w:rFonts w:ascii="Arial"/>
          <w:sz w:val="22"/>
        </w:rPr>
      </w:pPr>
    </w:p>
    <w:p>
      <w:pPr>
        <w:pStyle w:val="BodyText"/>
        <w:spacing w:line="307" w:lineRule="auto"/>
        <w:ind w:left="1180" w:right="491"/>
        <w:jc w:val="both"/>
        <w:rPr>
          <w:rFonts w:ascii="Arial" w:hAnsi="Arial"/>
        </w:rPr>
      </w:pPr>
      <w:r>
        <w:rPr>
          <w:rFonts w:ascii="Arial" w:hAnsi="Arial"/>
          <w:color w:val="231F20"/>
        </w:rPr>
        <w:t>Lorsque le contexte concurrentiel est rude, on a tendance à penser qu’investir dans la qualité de vie au travail est une perte de temps et d’argent. Il est alors tentant d’argumenter en mettant en avant la limita- tion des coûts indirects liés à l’absentéisme, au </w:t>
      </w:r>
      <w:r>
        <w:rPr>
          <w:rFonts w:ascii="Arial" w:hAnsi="Arial"/>
          <w:i/>
          <w:color w:val="231F20"/>
        </w:rPr>
        <w:t>turnover </w:t>
      </w:r>
      <w:r>
        <w:rPr>
          <w:rFonts w:ascii="Arial" w:hAnsi="Arial"/>
          <w:color w:val="231F20"/>
        </w:rPr>
        <w:t>[roulement du personnel], au mauvais climat social. Si l’amélioration de la QVT peut en effet</w:t>
      </w:r>
      <w:r>
        <w:rPr>
          <w:rFonts w:ascii="Arial" w:hAnsi="Arial"/>
          <w:color w:val="231F20"/>
          <w:spacing w:val="14"/>
        </w:rPr>
        <w:t> </w:t>
      </w:r>
      <w:r>
        <w:rPr>
          <w:rFonts w:ascii="Arial" w:hAnsi="Arial"/>
          <w:color w:val="231F20"/>
        </w:rPr>
        <w:t>répondre</w:t>
      </w:r>
      <w:r>
        <w:rPr>
          <w:rFonts w:ascii="Arial" w:hAnsi="Arial"/>
          <w:color w:val="231F20"/>
          <w:spacing w:val="15"/>
        </w:rPr>
        <w:t> </w:t>
      </w:r>
      <w:r>
        <w:rPr>
          <w:rFonts w:ascii="Arial" w:hAnsi="Arial"/>
          <w:color w:val="231F20"/>
        </w:rPr>
        <w:t>à</w:t>
      </w:r>
      <w:r>
        <w:rPr>
          <w:rFonts w:ascii="Arial" w:hAnsi="Arial"/>
          <w:color w:val="231F20"/>
          <w:spacing w:val="15"/>
        </w:rPr>
        <w:t> </w:t>
      </w:r>
      <w:r>
        <w:rPr>
          <w:rFonts w:ascii="Arial" w:hAnsi="Arial"/>
          <w:color w:val="231F20"/>
        </w:rPr>
        <w:t>ces</w:t>
      </w:r>
      <w:r>
        <w:rPr>
          <w:rFonts w:ascii="Arial" w:hAnsi="Arial"/>
          <w:color w:val="231F20"/>
          <w:spacing w:val="15"/>
        </w:rPr>
        <w:t> </w:t>
      </w:r>
      <w:r>
        <w:rPr>
          <w:rFonts w:ascii="Arial" w:hAnsi="Arial"/>
          <w:color w:val="231F20"/>
        </w:rPr>
        <w:t>problématiques,</w:t>
      </w:r>
      <w:r>
        <w:rPr>
          <w:rFonts w:ascii="Arial" w:hAnsi="Arial"/>
          <w:color w:val="231F20"/>
          <w:spacing w:val="15"/>
        </w:rPr>
        <w:t> </w:t>
      </w:r>
      <w:r>
        <w:rPr>
          <w:rFonts w:ascii="Arial" w:hAnsi="Arial"/>
          <w:color w:val="231F20"/>
        </w:rPr>
        <w:t>il</w:t>
      </w:r>
      <w:r>
        <w:rPr>
          <w:rFonts w:ascii="Arial" w:hAnsi="Arial"/>
          <w:color w:val="231F20"/>
          <w:spacing w:val="15"/>
        </w:rPr>
        <w:t> </w:t>
      </w:r>
      <w:r>
        <w:rPr>
          <w:rFonts w:ascii="Arial" w:hAnsi="Arial"/>
          <w:color w:val="231F20"/>
        </w:rPr>
        <w:t>apparaît</w:t>
      </w:r>
      <w:r>
        <w:rPr>
          <w:rFonts w:ascii="Arial" w:hAnsi="Arial"/>
          <w:color w:val="231F20"/>
          <w:spacing w:val="14"/>
        </w:rPr>
        <w:t> </w:t>
      </w:r>
      <w:r>
        <w:rPr>
          <w:rFonts w:ascii="Arial" w:hAnsi="Arial"/>
          <w:color w:val="231F20"/>
        </w:rPr>
        <w:t>essentiel</w:t>
      </w:r>
      <w:r>
        <w:rPr>
          <w:rFonts w:ascii="Arial" w:hAnsi="Arial"/>
          <w:color w:val="231F20"/>
          <w:spacing w:val="15"/>
        </w:rPr>
        <w:t> </w:t>
      </w:r>
      <w:r>
        <w:rPr>
          <w:rFonts w:ascii="Arial" w:hAnsi="Arial"/>
          <w:color w:val="231F20"/>
        </w:rPr>
        <w:t>de</w:t>
      </w:r>
      <w:r>
        <w:rPr>
          <w:rFonts w:ascii="Arial" w:hAnsi="Arial"/>
          <w:color w:val="231F20"/>
          <w:spacing w:val="15"/>
        </w:rPr>
        <w:t> </w:t>
      </w:r>
      <w:r>
        <w:rPr>
          <w:rFonts w:ascii="Arial" w:hAnsi="Arial"/>
          <w:color w:val="231F20"/>
        </w:rPr>
        <w:t>ne</w:t>
      </w:r>
      <w:r>
        <w:rPr>
          <w:rFonts w:ascii="Arial" w:hAnsi="Arial"/>
          <w:color w:val="231F20"/>
          <w:spacing w:val="15"/>
        </w:rPr>
        <w:t> </w:t>
      </w:r>
      <w:r>
        <w:rPr>
          <w:rFonts w:ascii="Arial" w:hAnsi="Arial"/>
          <w:color w:val="231F20"/>
        </w:rPr>
        <w:t>pas</w:t>
      </w:r>
      <w:r>
        <w:rPr>
          <w:rFonts w:ascii="Arial" w:hAnsi="Arial"/>
          <w:color w:val="231F20"/>
          <w:spacing w:val="15"/>
        </w:rPr>
        <w:t> </w:t>
      </w:r>
      <w:r>
        <w:rPr>
          <w:rFonts w:ascii="Arial" w:hAnsi="Arial"/>
          <w:color w:val="231F20"/>
          <w:spacing w:val="-5"/>
        </w:rPr>
        <w:t>se</w:t>
      </w:r>
    </w:p>
    <w:p>
      <w:pPr>
        <w:spacing w:after="0" w:line="307" w:lineRule="auto"/>
        <w:jc w:val="both"/>
        <w:rPr>
          <w:rFonts w:ascii="Arial" w:hAnsi="Arial"/>
        </w:rPr>
        <w:sectPr>
          <w:footerReference w:type="default" r:id="rId57"/>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39"/>
        <w:ind w:left="790" w:right="882"/>
        <w:jc w:val="both"/>
        <w:rPr>
          <w:rFonts w:ascii="Arial" w:hAnsi="Arial"/>
        </w:rPr>
      </w:pPr>
      <w:r>
        <w:rPr>
          <w:rFonts w:ascii="Arial" w:hAnsi="Arial"/>
          <w:color w:val="231F20"/>
          <w:w w:val="105"/>
        </w:rPr>
        <w:t>limiter à cet argument défensif. Lorsqu’elle est articulée aux enjeux stratégiques</w:t>
      </w:r>
      <w:r>
        <w:rPr>
          <w:rFonts w:ascii="Arial" w:hAnsi="Arial"/>
          <w:color w:val="231F20"/>
          <w:spacing w:val="-8"/>
          <w:w w:val="105"/>
        </w:rPr>
        <w:t> </w:t>
      </w:r>
      <w:r>
        <w:rPr>
          <w:rFonts w:ascii="Arial" w:hAnsi="Arial"/>
          <w:color w:val="231F20"/>
          <w:w w:val="105"/>
        </w:rPr>
        <w:t>de</w:t>
      </w:r>
      <w:r>
        <w:rPr>
          <w:rFonts w:ascii="Arial" w:hAnsi="Arial"/>
          <w:color w:val="231F20"/>
          <w:spacing w:val="-8"/>
          <w:w w:val="105"/>
        </w:rPr>
        <w:t> </w:t>
      </w:r>
      <w:r>
        <w:rPr>
          <w:rFonts w:ascii="Arial" w:hAnsi="Arial"/>
          <w:color w:val="231F20"/>
          <w:w w:val="105"/>
        </w:rPr>
        <w:t>l’entreprise,</w:t>
      </w:r>
      <w:r>
        <w:rPr>
          <w:rFonts w:ascii="Arial" w:hAnsi="Arial"/>
          <w:color w:val="231F20"/>
          <w:spacing w:val="-8"/>
          <w:w w:val="105"/>
        </w:rPr>
        <w:t> </w:t>
      </w:r>
      <w:r>
        <w:rPr>
          <w:rFonts w:ascii="Arial" w:hAnsi="Arial"/>
          <w:color w:val="231F20"/>
          <w:w w:val="105"/>
        </w:rPr>
        <w:t>la</w:t>
      </w:r>
      <w:r>
        <w:rPr>
          <w:rFonts w:ascii="Arial" w:hAnsi="Arial"/>
          <w:color w:val="231F20"/>
          <w:spacing w:val="-8"/>
          <w:w w:val="105"/>
        </w:rPr>
        <w:t> </w:t>
      </w:r>
      <w:r>
        <w:rPr>
          <w:rFonts w:ascii="Arial" w:hAnsi="Arial"/>
          <w:color w:val="231F20"/>
          <w:w w:val="105"/>
        </w:rPr>
        <w:t>prise</w:t>
      </w:r>
      <w:r>
        <w:rPr>
          <w:rFonts w:ascii="Arial" w:hAnsi="Arial"/>
          <w:color w:val="231F20"/>
          <w:spacing w:val="-8"/>
          <w:w w:val="105"/>
        </w:rPr>
        <w:t> </w:t>
      </w:r>
      <w:r>
        <w:rPr>
          <w:rFonts w:ascii="Arial" w:hAnsi="Arial"/>
          <w:color w:val="231F20"/>
          <w:w w:val="105"/>
        </w:rPr>
        <w:t>en</w:t>
      </w:r>
      <w:r>
        <w:rPr>
          <w:rFonts w:ascii="Arial" w:hAnsi="Arial"/>
          <w:color w:val="231F20"/>
          <w:spacing w:val="-8"/>
          <w:w w:val="105"/>
        </w:rPr>
        <w:t> </w:t>
      </w:r>
      <w:r>
        <w:rPr>
          <w:rFonts w:ascii="Arial" w:hAnsi="Arial"/>
          <w:color w:val="231F20"/>
          <w:w w:val="105"/>
        </w:rPr>
        <w:t>compte</w:t>
      </w:r>
      <w:r>
        <w:rPr>
          <w:rFonts w:ascii="Arial" w:hAnsi="Arial"/>
          <w:color w:val="231F20"/>
          <w:spacing w:val="-8"/>
          <w:w w:val="105"/>
        </w:rPr>
        <w:t> </w:t>
      </w:r>
      <w:r>
        <w:rPr>
          <w:rFonts w:ascii="Arial" w:hAnsi="Arial"/>
          <w:color w:val="231F20"/>
          <w:w w:val="105"/>
        </w:rPr>
        <w:t>des</w:t>
      </w:r>
      <w:r>
        <w:rPr>
          <w:rFonts w:ascii="Arial" w:hAnsi="Arial"/>
          <w:color w:val="231F20"/>
          <w:spacing w:val="-8"/>
          <w:w w:val="105"/>
        </w:rPr>
        <w:t> </w:t>
      </w:r>
      <w:r>
        <w:rPr>
          <w:rFonts w:ascii="Arial" w:hAnsi="Arial"/>
          <w:color w:val="231F20"/>
          <w:w w:val="105"/>
        </w:rPr>
        <w:t>enjeux</w:t>
      </w:r>
      <w:r>
        <w:rPr>
          <w:rFonts w:ascii="Arial" w:hAnsi="Arial"/>
          <w:color w:val="231F20"/>
          <w:spacing w:val="-8"/>
          <w:w w:val="105"/>
        </w:rPr>
        <w:t> </w:t>
      </w:r>
      <w:r>
        <w:rPr>
          <w:rFonts w:ascii="Arial" w:hAnsi="Arial"/>
          <w:color w:val="231F20"/>
          <w:w w:val="105"/>
        </w:rPr>
        <w:t>de</w:t>
      </w:r>
      <w:r>
        <w:rPr>
          <w:rFonts w:ascii="Arial" w:hAnsi="Arial"/>
          <w:color w:val="231F20"/>
          <w:spacing w:val="-8"/>
          <w:w w:val="105"/>
        </w:rPr>
        <w:t> </w:t>
      </w:r>
      <w:r>
        <w:rPr>
          <w:rFonts w:ascii="Arial" w:hAnsi="Arial"/>
          <w:color w:val="231F20"/>
          <w:w w:val="105"/>
        </w:rPr>
        <w:t>santé</w:t>
      </w:r>
      <w:r>
        <w:rPr>
          <w:rFonts w:ascii="Arial" w:hAnsi="Arial"/>
          <w:color w:val="231F20"/>
          <w:spacing w:val="-8"/>
          <w:w w:val="105"/>
        </w:rPr>
        <w:t> </w:t>
      </w:r>
      <w:r>
        <w:rPr>
          <w:rFonts w:ascii="Arial" w:hAnsi="Arial"/>
          <w:color w:val="231F20"/>
          <w:w w:val="105"/>
        </w:rPr>
        <w:t>et de</w:t>
      </w:r>
      <w:r>
        <w:rPr>
          <w:rFonts w:ascii="Arial" w:hAnsi="Arial"/>
          <w:color w:val="231F20"/>
          <w:spacing w:val="-13"/>
          <w:w w:val="105"/>
        </w:rPr>
        <w:t> </w:t>
      </w:r>
      <w:r>
        <w:rPr>
          <w:rFonts w:ascii="Arial" w:hAnsi="Arial"/>
          <w:color w:val="231F20"/>
          <w:w w:val="105"/>
        </w:rPr>
        <w:t>qualité</w:t>
      </w:r>
      <w:r>
        <w:rPr>
          <w:rFonts w:ascii="Arial" w:hAnsi="Arial"/>
          <w:color w:val="231F20"/>
          <w:spacing w:val="-12"/>
          <w:w w:val="105"/>
        </w:rPr>
        <w:t> </w:t>
      </w:r>
      <w:r>
        <w:rPr>
          <w:rFonts w:ascii="Arial" w:hAnsi="Arial"/>
          <w:color w:val="231F20"/>
          <w:w w:val="105"/>
        </w:rPr>
        <w:t>de</w:t>
      </w:r>
      <w:r>
        <w:rPr>
          <w:rFonts w:ascii="Arial" w:hAnsi="Arial"/>
          <w:color w:val="231F20"/>
          <w:spacing w:val="-13"/>
          <w:w w:val="105"/>
        </w:rPr>
        <w:t> </w:t>
      </w:r>
      <w:r>
        <w:rPr>
          <w:rFonts w:ascii="Arial" w:hAnsi="Arial"/>
          <w:color w:val="231F20"/>
          <w:w w:val="105"/>
        </w:rPr>
        <w:t>vie</w:t>
      </w:r>
      <w:r>
        <w:rPr>
          <w:rFonts w:ascii="Arial" w:hAnsi="Arial"/>
          <w:color w:val="231F20"/>
          <w:spacing w:val="-12"/>
          <w:w w:val="105"/>
        </w:rPr>
        <w:t> </w:t>
      </w:r>
      <w:r>
        <w:rPr>
          <w:rFonts w:ascii="Arial" w:hAnsi="Arial"/>
          <w:color w:val="231F20"/>
          <w:w w:val="105"/>
        </w:rPr>
        <w:t>au</w:t>
      </w:r>
      <w:r>
        <w:rPr>
          <w:rFonts w:ascii="Arial" w:hAnsi="Arial"/>
          <w:color w:val="231F20"/>
          <w:spacing w:val="-12"/>
          <w:w w:val="105"/>
        </w:rPr>
        <w:t> </w:t>
      </w:r>
      <w:r>
        <w:rPr>
          <w:rFonts w:ascii="Arial" w:hAnsi="Arial"/>
          <w:color w:val="231F20"/>
          <w:w w:val="105"/>
        </w:rPr>
        <w:t>travail</w:t>
      </w:r>
      <w:r>
        <w:rPr>
          <w:rFonts w:ascii="Arial" w:hAnsi="Arial"/>
          <w:color w:val="231F20"/>
          <w:spacing w:val="-13"/>
          <w:w w:val="105"/>
        </w:rPr>
        <w:t> </w:t>
      </w:r>
      <w:r>
        <w:rPr>
          <w:rFonts w:ascii="Arial" w:hAnsi="Arial"/>
          <w:color w:val="231F20"/>
          <w:w w:val="105"/>
        </w:rPr>
        <w:t>permet</w:t>
      </w:r>
      <w:r>
        <w:rPr>
          <w:rFonts w:ascii="Arial" w:hAnsi="Arial"/>
          <w:color w:val="231F20"/>
          <w:spacing w:val="-12"/>
          <w:w w:val="105"/>
        </w:rPr>
        <w:t> </w:t>
      </w:r>
      <w:r>
        <w:rPr>
          <w:rFonts w:ascii="Arial" w:hAnsi="Arial"/>
          <w:color w:val="231F20"/>
          <w:w w:val="105"/>
        </w:rPr>
        <w:t>au</w:t>
      </w:r>
      <w:r>
        <w:rPr>
          <w:rFonts w:ascii="Arial" w:hAnsi="Arial"/>
          <w:color w:val="231F20"/>
          <w:spacing w:val="-13"/>
          <w:w w:val="105"/>
        </w:rPr>
        <w:t> </w:t>
      </w:r>
      <w:r>
        <w:rPr>
          <w:rFonts w:ascii="Arial" w:hAnsi="Arial"/>
          <w:color w:val="231F20"/>
          <w:w w:val="105"/>
        </w:rPr>
        <w:t>contraire</w:t>
      </w:r>
      <w:r>
        <w:rPr>
          <w:rFonts w:ascii="Arial" w:hAnsi="Arial"/>
          <w:color w:val="231F20"/>
          <w:spacing w:val="-12"/>
          <w:w w:val="105"/>
        </w:rPr>
        <w:t> </w:t>
      </w:r>
      <w:r>
        <w:rPr>
          <w:rFonts w:ascii="Arial" w:hAnsi="Arial"/>
          <w:color w:val="231F20"/>
          <w:w w:val="105"/>
        </w:rPr>
        <w:t>d’accompagner</w:t>
      </w:r>
      <w:r>
        <w:rPr>
          <w:rFonts w:ascii="Arial" w:hAnsi="Arial"/>
          <w:color w:val="231F20"/>
          <w:spacing w:val="-12"/>
          <w:w w:val="105"/>
        </w:rPr>
        <w:t> </w:t>
      </w:r>
      <w:r>
        <w:rPr>
          <w:rFonts w:ascii="Arial" w:hAnsi="Arial"/>
          <w:color w:val="231F20"/>
          <w:w w:val="105"/>
        </w:rPr>
        <w:t>le</w:t>
      </w:r>
      <w:r>
        <w:rPr>
          <w:rFonts w:ascii="Arial" w:hAnsi="Arial"/>
          <w:color w:val="231F20"/>
          <w:spacing w:val="-13"/>
          <w:w w:val="105"/>
        </w:rPr>
        <w:t> </w:t>
      </w:r>
      <w:r>
        <w:rPr>
          <w:rFonts w:ascii="Arial" w:hAnsi="Arial"/>
          <w:color w:val="231F20"/>
          <w:w w:val="105"/>
        </w:rPr>
        <w:t>déve- </w:t>
      </w:r>
      <w:r>
        <w:rPr>
          <w:rFonts w:ascii="Arial" w:hAnsi="Arial"/>
          <w:color w:val="231F20"/>
        </w:rPr>
        <w:t>loppement ou la mise en œuvre de nouveaux projets structurants. D’où l’importance</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dépasser</w:t>
      </w:r>
      <w:r>
        <w:rPr>
          <w:rFonts w:ascii="Arial" w:hAnsi="Arial"/>
          <w:color w:val="231F20"/>
          <w:spacing w:val="-2"/>
        </w:rPr>
        <w:t> </w:t>
      </w:r>
      <w:r>
        <w:rPr>
          <w:rFonts w:ascii="Arial" w:hAnsi="Arial"/>
          <w:color w:val="231F20"/>
        </w:rPr>
        <w:t>les</w:t>
      </w:r>
      <w:r>
        <w:rPr>
          <w:rFonts w:ascii="Arial" w:hAnsi="Arial"/>
          <w:color w:val="231F20"/>
          <w:spacing w:val="-2"/>
        </w:rPr>
        <w:t> </w:t>
      </w:r>
      <w:r>
        <w:rPr>
          <w:rFonts w:ascii="Arial" w:hAnsi="Arial"/>
          <w:color w:val="231F20"/>
        </w:rPr>
        <w:t>seuls</w:t>
      </w:r>
      <w:r>
        <w:rPr>
          <w:rFonts w:ascii="Arial" w:hAnsi="Arial"/>
          <w:color w:val="231F20"/>
          <w:spacing w:val="-2"/>
        </w:rPr>
        <w:t> </w:t>
      </w:r>
      <w:r>
        <w:rPr>
          <w:rFonts w:ascii="Arial" w:hAnsi="Arial"/>
          <w:color w:val="231F20"/>
        </w:rPr>
        <w:t>indicateurs</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coûts</w:t>
      </w:r>
      <w:r>
        <w:rPr>
          <w:rFonts w:ascii="Arial" w:hAnsi="Arial"/>
          <w:color w:val="231F20"/>
          <w:spacing w:val="-2"/>
        </w:rPr>
        <w:t> </w:t>
      </w:r>
      <w:r>
        <w:rPr>
          <w:rFonts w:ascii="Arial" w:hAnsi="Arial"/>
          <w:color w:val="231F20"/>
        </w:rPr>
        <w:t>et</w:t>
      </w:r>
      <w:r>
        <w:rPr>
          <w:rFonts w:ascii="Arial" w:hAnsi="Arial"/>
          <w:color w:val="231F20"/>
          <w:spacing w:val="-2"/>
        </w:rPr>
        <w:t> </w:t>
      </w:r>
      <w:r>
        <w:rPr>
          <w:rFonts w:ascii="Arial" w:hAnsi="Arial"/>
          <w:color w:val="231F20"/>
        </w:rPr>
        <w:t>créer</w:t>
      </w:r>
      <w:r>
        <w:rPr>
          <w:rFonts w:ascii="Arial" w:hAnsi="Arial"/>
          <w:color w:val="231F20"/>
          <w:spacing w:val="-2"/>
        </w:rPr>
        <w:t> </w:t>
      </w:r>
      <w:r>
        <w:rPr>
          <w:rFonts w:ascii="Arial" w:hAnsi="Arial"/>
          <w:color w:val="231F20"/>
        </w:rPr>
        <w:t>des</w:t>
      </w:r>
      <w:r>
        <w:rPr>
          <w:rFonts w:ascii="Arial" w:hAnsi="Arial"/>
          <w:color w:val="231F20"/>
          <w:spacing w:val="-2"/>
        </w:rPr>
        <w:t> </w:t>
      </w:r>
      <w:r>
        <w:rPr>
          <w:rFonts w:ascii="Arial" w:hAnsi="Arial"/>
          <w:color w:val="231F20"/>
        </w:rPr>
        <w:t>indi- cateurs aptes à valoriser le travail (p. ex. degré d’autonomie, accès à la formation,</w:t>
      </w:r>
      <w:r>
        <w:rPr>
          <w:rFonts w:ascii="Arial" w:hAnsi="Arial"/>
          <w:color w:val="231F20"/>
          <w:spacing w:val="-6"/>
        </w:rPr>
        <w:t> </w:t>
      </w:r>
      <w:r>
        <w:rPr>
          <w:rFonts w:ascii="Arial" w:hAnsi="Arial"/>
          <w:color w:val="231F20"/>
        </w:rPr>
        <w:t>ressenti</w:t>
      </w:r>
      <w:r>
        <w:rPr>
          <w:rFonts w:ascii="Arial" w:hAnsi="Arial"/>
          <w:color w:val="231F20"/>
          <w:spacing w:val="-6"/>
        </w:rPr>
        <w:t> </w:t>
      </w:r>
      <w:r>
        <w:rPr>
          <w:rFonts w:ascii="Arial" w:hAnsi="Arial"/>
          <w:color w:val="231F20"/>
        </w:rPr>
        <w:t>des</w:t>
      </w:r>
      <w:r>
        <w:rPr>
          <w:rFonts w:ascii="Arial" w:hAnsi="Arial"/>
          <w:color w:val="231F20"/>
          <w:spacing w:val="-6"/>
        </w:rPr>
        <w:t> </w:t>
      </w:r>
      <w:r>
        <w:rPr>
          <w:rFonts w:ascii="Arial" w:hAnsi="Arial"/>
          <w:color w:val="231F20"/>
        </w:rPr>
        <w:t>salariés</w:t>
      </w:r>
      <w:r>
        <w:rPr>
          <w:rFonts w:ascii="Arial" w:hAnsi="Arial"/>
          <w:color w:val="231F20"/>
          <w:spacing w:val="-6"/>
        </w:rPr>
        <w:t> </w:t>
      </w:r>
      <w:r>
        <w:rPr>
          <w:rFonts w:ascii="Arial" w:hAnsi="Arial"/>
          <w:color w:val="231F20"/>
        </w:rPr>
        <w:t>sur</w:t>
      </w:r>
      <w:r>
        <w:rPr>
          <w:rFonts w:ascii="Arial" w:hAnsi="Arial"/>
          <w:color w:val="231F20"/>
          <w:spacing w:val="-6"/>
        </w:rPr>
        <w:t> </w:t>
      </w:r>
      <w:r>
        <w:rPr>
          <w:rFonts w:ascii="Arial" w:hAnsi="Arial"/>
          <w:color w:val="231F20"/>
        </w:rPr>
        <w:t>les</w:t>
      </w:r>
      <w:r>
        <w:rPr>
          <w:rFonts w:ascii="Arial" w:hAnsi="Arial"/>
          <w:color w:val="231F20"/>
          <w:spacing w:val="-6"/>
        </w:rPr>
        <w:t> </w:t>
      </w:r>
      <w:r>
        <w:rPr>
          <w:rFonts w:ascii="Arial" w:hAnsi="Arial"/>
          <w:color w:val="231F20"/>
        </w:rPr>
        <w:t>changements</w:t>
      </w:r>
      <w:r>
        <w:rPr>
          <w:rFonts w:ascii="Arial" w:hAnsi="Arial"/>
          <w:color w:val="231F20"/>
          <w:spacing w:val="-6"/>
        </w:rPr>
        <w:t> </w:t>
      </w:r>
      <w:r>
        <w:rPr>
          <w:rFonts w:ascii="Arial" w:hAnsi="Arial"/>
          <w:color w:val="231F20"/>
        </w:rPr>
        <w:t>mis</w:t>
      </w:r>
      <w:r>
        <w:rPr>
          <w:rFonts w:ascii="Arial" w:hAnsi="Arial"/>
          <w:color w:val="231F20"/>
          <w:spacing w:val="-6"/>
        </w:rPr>
        <w:t> </w:t>
      </w:r>
      <w:r>
        <w:rPr>
          <w:rFonts w:ascii="Arial" w:hAnsi="Arial"/>
          <w:color w:val="231F20"/>
        </w:rPr>
        <w:t>en</w:t>
      </w:r>
      <w:r>
        <w:rPr>
          <w:rFonts w:ascii="Arial" w:hAnsi="Arial"/>
          <w:color w:val="231F20"/>
          <w:spacing w:val="-6"/>
        </w:rPr>
        <w:t> </w:t>
      </w:r>
      <w:r>
        <w:rPr>
          <w:rFonts w:ascii="Arial" w:hAnsi="Arial"/>
          <w:color w:val="231F20"/>
        </w:rPr>
        <w:t>place)</w:t>
      </w:r>
      <w:r>
        <w:rPr>
          <w:rFonts w:ascii="Arial" w:hAnsi="Arial"/>
          <w:color w:val="231F20"/>
          <w:spacing w:val="-6"/>
        </w:rPr>
        <w:t> </w:t>
      </w:r>
      <w:r>
        <w:rPr>
          <w:rFonts w:ascii="Arial" w:hAnsi="Arial"/>
          <w:color w:val="231F20"/>
        </w:rPr>
        <w:t>et</w:t>
      </w:r>
      <w:r>
        <w:rPr>
          <w:rFonts w:ascii="Arial" w:hAnsi="Arial"/>
          <w:color w:val="231F20"/>
          <w:spacing w:val="-6"/>
        </w:rPr>
        <w:t> </w:t>
      </w:r>
      <w:r>
        <w:rPr>
          <w:rFonts w:ascii="Arial" w:hAnsi="Arial"/>
          <w:color w:val="231F20"/>
        </w:rPr>
        <w:t>[les </w:t>
      </w:r>
      <w:r>
        <w:rPr>
          <w:rFonts w:ascii="Arial" w:hAnsi="Arial"/>
          <w:color w:val="231F20"/>
          <w:w w:val="105"/>
        </w:rPr>
        <w:t>appréhender]</w:t>
      </w:r>
      <w:r>
        <w:rPr>
          <w:rFonts w:ascii="Arial" w:hAnsi="Arial"/>
          <w:color w:val="231F20"/>
          <w:spacing w:val="-9"/>
          <w:w w:val="105"/>
        </w:rPr>
        <w:t> </w:t>
      </w:r>
      <w:r>
        <w:rPr>
          <w:rFonts w:ascii="Arial" w:hAnsi="Arial"/>
          <w:color w:val="231F20"/>
          <w:w w:val="105"/>
        </w:rPr>
        <w:t>comme</w:t>
      </w:r>
      <w:r>
        <w:rPr>
          <w:rFonts w:ascii="Arial" w:hAnsi="Arial"/>
          <w:color w:val="231F20"/>
          <w:spacing w:val="-9"/>
          <w:w w:val="105"/>
        </w:rPr>
        <w:t> </w:t>
      </w:r>
      <w:r>
        <w:rPr>
          <w:rFonts w:ascii="Arial" w:hAnsi="Arial"/>
          <w:color w:val="231F20"/>
          <w:w w:val="105"/>
        </w:rPr>
        <w:t>une</w:t>
      </w:r>
      <w:r>
        <w:rPr>
          <w:rFonts w:ascii="Arial" w:hAnsi="Arial"/>
          <w:color w:val="231F20"/>
          <w:spacing w:val="-9"/>
          <w:w w:val="105"/>
        </w:rPr>
        <w:t> </w:t>
      </w:r>
      <w:r>
        <w:rPr>
          <w:rFonts w:ascii="Arial" w:hAnsi="Arial"/>
          <w:color w:val="231F20"/>
          <w:w w:val="105"/>
        </w:rPr>
        <w:t>source</w:t>
      </w:r>
      <w:r>
        <w:rPr>
          <w:rFonts w:ascii="Arial" w:hAnsi="Arial"/>
          <w:color w:val="231F20"/>
          <w:spacing w:val="-9"/>
          <w:w w:val="105"/>
        </w:rPr>
        <w:t> </w:t>
      </w:r>
      <w:r>
        <w:rPr>
          <w:rFonts w:ascii="Arial" w:hAnsi="Arial"/>
          <w:color w:val="231F20"/>
          <w:w w:val="105"/>
        </w:rPr>
        <w:t>de</w:t>
      </w:r>
      <w:r>
        <w:rPr>
          <w:rFonts w:ascii="Arial" w:hAnsi="Arial"/>
          <w:color w:val="231F20"/>
          <w:spacing w:val="-9"/>
          <w:w w:val="105"/>
        </w:rPr>
        <w:t> </w:t>
      </w:r>
      <w:r>
        <w:rPr>
          <w:rFonts w:ascii="Arial" w:hAnsi="Arial"/>
          <w:color w:val="231F20"/>
          <w:w w:val="105"/>
        </w:rPr>
        <w:t>valeur</w:t>
      </w:r>
      <w:r>
        <w:rPr>
          <w:rFonts w:ascii="Arial" w:hAnsi="Arial"/>
          <w:color w:val="231F20"/>
          <w:spacing w:val="-9"/>
          <w:w w:val="105"/>
        </w:rPr>
        <w:t> </w:t>
      </w:r>
      <w:r>
        <w:rPr>
          <w:rFonts w:ascii="Arial" w:hAnsi="Arial"/>
          <w:color w:val="231F20"/>
          <w:w w:val="105"/>
        </w:rPr>
        <w:t>et</w:t>
      </w:r>
      <w:r>
        <w:rPr>
          <w:rFonts w:ascii="Arial" w:hAnsi="Arial"/>
          <w:color w:val="231F20"/>
          <w:spacing w:val="-9"/>
          <w:w w:val="105"/>
        </w:rPr>
        <w:t> </w:t>
      </w:r>
      <w:r>
        <w:rPr>
          <w:rFonts w:ascii="Arial" w:hAnsi="Arial"/>
          <w:color w:val="231F20"/>
          <w:w w:val="105"/>
        </w:rPr>
        <w:t>de</w:t>
      </w:r>
      <w:r>
        <w:rPr>
          <w:rFonts w:ascii="Arial" w:hAnsi="Arial"/>
          <w:color w:val="231F20"/>
          <w:spacing w:val="-9"/>
          <w:w w:val="105"/>
        </w:rPr>
        <w:t> </w:t>
      </w:r>
      <w:r>
        <w:rPr>
          <w:rFonts w:ascii="Arial" w:hAnsi="Arial"/>
          <w:color w:val="231F20"/>
          <w:w w:val="105"/>
        </w:rPr>
        <w:t>développement.</w:t>
      </w:r>
    </w:p>
    <w:p>
      <w:pPr>
        <w:pStyle w:val="BodyText"/>
        <w:spacing w:before="5"/>
        <w:rPr>
          <w:rFonts w:ascii="Arial"/>
          <w:sz w:val="4"/>
        </w:rPr>
      </w:pPr>
      <w:r>
        <w:rPr/>
        <w:pict>
          <v:shape style="position:absolute;margin-left:62.5pt;margin-top:3.791016pt;width:287.5pt;height:.1pt;mso-position-horizontal-relative:page;mso-position-vertical-relative:paragraph;z-index:-15709184;mso-wrap-distance-left:0;mso-wrap-distance-right:0" id="docshape117" coordorigin="1250,76" coordsize="5750,0" path="m1250,76l7000,76e" filled="false" stroked="true" strokeweight=".25pt" strokecolor="#231f20">
            <v:path arrowok="t"/>
            <v:stroke dashstyle="shortdot"/>
            <w10:wrap type="topAndBottom"/>
          </v:shape>
        </w:pict>
      </w:r>
    </w:p>
    <w:p>
      <w:pPr>
        <w:spacing w:line="295" w:lineRule="auto" w:before="137"/>
        <w:ind w:left="790" w:right="885" w:firstLine="0"/>
        <w:jc w:val="both"/>
        <w:rPr>
          <w:rFonts w:ascii="Arial" w:hAnsi="Arial"/>
          <w:sz w:val="12"/>
        </w:rPr>
      </w:pPr>
      <w:r>
        <w:rPr>
          <w:rFonts w:ascii="Arial" w:hAnsi="Arial"/>
          <w:color w:val="231F20"/>
          <w:spacing w:val="-2"/>
          <w:sz w:val="12"/>
        </w:rPr>
        <w:t>Source</w:t>
      </w:r>
      <w:r>
        <w:rPr>
          <w:rFonts w:ascii="Arial" w:hAnsi="Arial"/>
          <w:color w:val="231F20"/>
          <w:spacing w:val="-7"/>
          <w:sz w:val="12"/>
        </w:rPr>
        <w:t> </w:t>
      </w:r>
      <w:r>
        <w:rPr>
          <w:rFonts w:ascii="Arial" w:hAnsi="Arial"/>
          <w:color w:val="231F20"/>
          <w:spacing w:val="-2"/>
          <w:sz w:val="12"/>
        </w:rPr>
        <w:t>:</w:t>
      </w:r>
      <w:r>
        <w:rPr>
          <w:rFonts w:ascii="Arial" w:hAnsi="Arial"/>
          <w:color w:val="231F20"/>
          <w:spacing w:val="-6"/>
          <w:sz w:val="12"/>
        </w:rPr>
        <w:t> </w:t>
      </w:r>
      <w:r>
        <w:rPr>
          <w:rFonts w:ascii="Arial" w:hAnsi="Arial"/>
          <w:color w:val="231F20"/>
          <w:spacing w:val="-2"/>
          <w:sz w:val="12"/>
        </w:rPr>
        <w:t>Agence</w:t>
      </w:r>
      <w:r>
        <w:rPr>
          <w:rFonts w:ascii="Arial" w:hAnsi="Arial"/>
          <w:color w:val="231F20"/>
          <w:spacing w:val="-6"/>
          <w:sz w:val="12"/>
        </w:rPr>
        <w:t> </w:t>
      </w:r>
      <w:r>
        <w:rPr>
          <w:rFonts w:ascii="Arial" w:hAnsi="Arial"/>
          <w:color w:val="231F20"/>
          <w:spacing w:val="-2"/>
          <w:sz w:val="12"/>
        </w:rPr>
        <w:t>nationale</w:t>
      </w:r>
      <w:r>
        <w:rPr>
          <w:rFonts w:ascii="Arial" w:hAnsi="Arial"/>
          <w:color w:val="231F20"/>
          <w:spacing w:val="-7"/>
          <w:sz w:val="12"/>
        </w:rPr>
        <w:t> </w:t>
      </w:r>
      <w:r>
        <w:rPr>
          <w:rFonts w:ascii="Arial" w:hAnsi="Arial"/>
          <w:color w:val="231F20"/>
          <w:spacing w:val="-2"/>
          <w:sz w:val="12"/>
        </w:rPr>
        <w:t>pour</w:t>
      </w:r>
      <w:r>
        <w:rPr>
          <w:rFonts w:ascii="Arial" w:hAnsi="Arial"/>
          <w:color w:val="231F20"/>
          <w:spacing w:val="-6"/>
          <w:sz w:val="12"/>
        </w:rPr>
        <w:t> </w:t>
      </w:r>
      <w:r>
        <w:rPr>
          <w:rFonts w:ascii="Arial" w:hAnsi="Arial"/>
          <w:color w:val="231F20"/>
          <w:spacing w:val="-2"/>
          <w:sz w:val="12"/>
        </w:rPr>
        <w:t>l’amélioration</w:t>
      </w:r>
      <w:r>
        <w:rPr>
          <w:rFonts w:ascii="Arial" w:hAnsi="Arial"/>
          <w:color w:val="231F20"/>
          <w:spacing w:val="-6"/>
          <w:sz w:val="12"/>
        </w:rPr>
        <w:t> </w:t>
      </w:r>
      <w:r>
        <w:rPr>
          <w:rFonts w:ascii="Arial" w:hAnsi="Arial"/>
          <w:color w:val="231F20"/>
          <w:spacing w:val="-2"/>
          <w:sz w:val="12"/>
        </w:rPr>
        <w:t>des</w:t>
      </w:r>
      <w:r>
        <w:rPr>
          <w:rFonts w:ascii="Arial" w:hAnsi="Arial"/>
          <w:color w:val="231F20"/>
          <w:spacing w:val="-3"/>
          <w:sz w:val="12"/>
        </w:rPr>
        <w:t> </w:t>
      </w:r>
      <w:r>
        <w:rPr>
          <w:rFonts w:ascii="Arial" w:hAnsi="Arial"/>
          <w:color w:val="231F20"/>
          <w:spacing w:val="-2"/>
          <w:sz w:val="12"/>
        </w:rPr>
        <w:t>conditions</w:t>
      </w:r>
      <w:r>
        <w:rPr>
          <w:rFonts w:ascii="Arial" w:hAnsi="Arial"/>
          <w:color w:val="231F20"/>
          <w:spacing w:val="-4"/>
          <w:sz w:val="12"/>
        </w:rPr>
        <w:t> </w:t>
      </w:r>
      <w:r>
        <w:rPr>
          <w:rFonts w:ascii="Arial" w:hAnsi="Arial"/>
          <w:color w:val="231F20"/>
          <w:spacing w:val="-2"/>
          <w:sz w:val="12"/>
        </w:rPr>
        <w:t>de</w:t>
      </w:r>
      <w:r>
        <w:rPr>
          <w:rFonts w:ascii="Arial" w:hAnsi="Arial"/>
          <w:color w:val="231F20"/>
          <w:spacing w:val="-4"/>
          <w:sz w:val="12"/>
        </w:rPr>
        <w:t> </w:t>
      </w:r>
      <w:r>
        <w:rPr>
          <w:rFonts w:ascii="Arial" w:hAnsi="Arial"/>
          <w:color w:val="231F20"/>
          <w:spacing w:val="-2"/>
          <w:sz w:val="12"/>
        </w:rPr>
        <w:t>travail</w:t>
      </w:r>
      <w:r>
        <w:rPr>
          <w:rFonts w:ascii="Arial" w:hAnsi="Arial"/>
          <w:color w:val="231F20"/>
          <w:spacing w:val="-4"/>
          <w:sz w:val="12"/>
        </w:rPr>
        <w:t> </w:t>
      </w:r>
      <w:r>
        <w:rPr>
          <w:rFonts w:ascii="Arial" w:hAnsi="Arial"/>
          <w:color w:val="231F20"/>
          <w:spacing w:val="-2"/>
          <w:sz w:val="12"/>
        </w:rPr>
        <w:t>(ANACT)</w:t>
      </w:r>
      <w:r>
        <w:rPr>
          <w:rFonts w:ascii="Arial" w:hAnsi="Arial"/>
          <w:color w:val="231F20"/>
          <w:spacing w:val="-4"/>
          <w:sz w:val="12"/>
        </w:rPr>
        <w:t> </w:t>
      </w:r>
      <w:r>
        <w:rPr>
          <w:rFonts w:ascii="Arial" w:hAnsi="Arial"/>
          <w:color w:val="231F20"/>
          <w:spacing w:val="-2"/>
          <w:sz w:val="12"/>
        </w:rPr>
        <w:t>(2016).</w:t>
      </w:r>
      <w:r>
        <w:rPr>
          <w:rFonts w:ascii="Arial" w:hAnsi="Arial"/>
          <w:color w:val="231F20"/>
          <w:spacing w:val="-4"/>
          <w:sz w:val="12"/>
        </w:rPr>
        <w:t> </w:t>
      </w:r>
      <w:r>
        <w:rPr>
          <w:rFonts w:ascii="Arial" w:hAnsi="Arial"/>
          <w:i/>
          <w:color w:val="231F20"/>
          <w:spacing w:val="-2"/>
          <w:sz w:val="12"/>
        </w:rPr>
        <w:t>10</w:t>
      </w:r>
      <w:r>
        <w:rPr>
          <w:rFonts w:ascii="Arial" w:hAnsi="Arial"/>
          <w:i/>
          <w:color w:val="231F20"/>
          <w:spacing w:val="-4"/>
          <w:sz w:val="12"/>
        </w:rPr>
        <w:t> </w:t>
      </w:r>
      <w:r>
        <w:rPr>
          <w:rFonts w:ascii="Arial" w:hAnsi="Arial"/>
          <w:i/>
          <w:color w:val="231F20"/>
          <w:spacing w:val="-2"/>
          <w:sz w:val="12"/>
        </w:rPr>
        <w:t>questions</w:t>
      </w:r>
      <w:r>
        <w:rPr>
          <w:rFonts w:ascii="Arial" w:hAnsi="Arial"/>
          <w:i/>
          <w:color w:val="231F20"/>
          <w:spacing w:val="-4"/>
          <w:sz w:val="12"/>
        </w:rPr>
        <w:t> </w:t>
      </w:r>
      <w:r>
        <w:rPr>
          <w:rFonts w:ascii="Arial" w:hAnsi="Arial"/>
          <w:i/>
          <w:color w:val="231F20"/>
          <w:spacing w:val="-2"/>
          <w:sz w:val="12"/>
        </w:rPr>
        <w:t>sur…</w:t>
      </w:r>
      <w:r>
        <w:rPr>
          <w:rFonts w:ascii="Arial" w:hAnsi="Arial"/>
          <w:i/>
          <w:color w:val="231F20"/>
          <w:spacing w:val="40"/>
          <w:sz w:val="12"/>
        </w:rPr>
        <w:t> </w:t>
      </w:r>
      <w:r>
        <w:rPr>
          <w:rFonts w:ascii="Arial" w:hAnsi="Arial"/>
          <w:i/>
          <w:color w:val="231F20"/>
          <w:sz w:val="12"/>
        </w:rPr>
        <w:t>les indicateurs de santé et qualité de vie au travail</w:t>
      </w:r>
      <w:r>
        <w:rPr>
          <w:rFonts w:ascii="Arial" w:hAnsi="Arial"/>
          <w:color w:val="231F20"/>
          <w:sz w:val="12"/>
        </w:rPr>
        <w:t>.</w:t>
      </w:r>
    </w:p>
    <w:p>
      <w:pPr>
        <w:pStyle w:val="BodyText"/>
        <w:rPr>
          <w:rFonts w:ascii="Arial"/>
          <w:sz w:val="16"/>
        </w:rPr>
      </w:pPr>
    </w:p>
    <w:p>
      <w:pPr>
        <w:pStyle w:val="BodyText"/>
        <w:spacing w:line="307" w:lineRule="auto" w:before="101"/>
        <w:ind w:left="790" w:right="629"/>
        <w:jc w:val="both"/>
      </w:pPr>
      <w:r>
        <w:rPr>
          <w:color w:val="231F20"/>
          <w:w w:val="120"/>
        </w:rPr>
        <w:t>Pourtant, il faut reconnaître que la situation dans les organisations ne s’améliore</w:t>
      </w:r>
      <w:r>
        <w:rPr>
          <w:color w:val="231F20"/>
          <w:w w:val="120"/>
        </w:rPr>
        <w:t> guère.</w:t>
      </w:r>
      <w:r>
        <w:rPr>
          <w:color w:val="231F20"/>
          <w:w w:val="120"/>
        </w:rPr>
        <w:t> En</w:t>
      </w:r>
      <w:r>
        <w:rPr>
          <w:color w:val="231F20"/>
          <w:w w:val="120"/>
        </w:rPr>
        <w:t> fait,</w:t>
      </w:r>
      <w:r>
        <w:rPr>
          <w:color w:val="231F20"/>
          <w:w w:val="120"/>
        </w:rPr>
        <w:t> les</w:t>
      </w:r>
      <w:r>
        <w:rPr>
          <w:color w:val="231F20"/>
          <w:w w:val="120"/>
        </w:rPr>
        <w:t> diverses</w:t>
      </w:r>
      <w:r>
        <w:rPr>
          <w:color w:val="231F20"/>
          <w:w w:val="120"/>
        </w:rPr>
        <w:t> études</w:t>
      </w:r>
      <w:r>
        <w:rPr>
          <w:color w:val="231F20"/>
          <w:w w:val="120"/>
        </w:rPr>
        <w:t> récentes</w:t>
      </w:r>
      <w:r>
        <w:rPr>
          <w:color w:val="231F20"/>
          <w:w w:val="120"/>
        </w:rPr>
        <w:t> sur</w:t>
      </w:r>
      <w:r>
        <w:rPr>
          <w:color w:val="231F20"/>
          <w:w w:val="120"/>
        </w:rPr>
        <w:t> le</w:t>
      </w:r>
      <w:r>
        <w:rPr>
          <w:color w:val="231F20"/>
          <w:w w:val="120"/>
        </w:rPr>
        <w:t> sujet constatent</w:t>
      </w:r>
      <w:r>
        <w:rPr>
          <w:color w:val="231F20"/>
          <w:spacing w:val="-13"/>
          <w:w w:val="120"/>
        </w:rPr>
        <w:t> </w:t>
      </w:r>
      <w:r>
        <w:rPr>
          <w:color w:val="231F20"/>
          <w:w w:val="120"/>
        </w:rPr>
        <w:t>que</w:t>
      </w:r>
      <w:r>
        <w:rPr>
          <w:color w:val="231F20"/>
          <w:spacing w:val="-13"/>
          <w:w w:val="120"/>
        </w:rPr>
        <w:t> </w:t>
      </w:r>
      <w:r>
        <w:rPr>
          <w:color w:val="231F20"/>
          <w:w w:val="120"/>
        </w:rPr>
        <w:t>la</w:t>
      </w:r>
      <w:r>
        <w:rPr>
          <w:color w:val="231F20"/>
          <w:spacing w:val="-13"/>
          <w:w w:val="120"/>
        </w:rPr>
        <w:t> </w:t>
      </w:r>
      <w:r>
        <w:rPr>
          <w:color w:val="231F20"/>
          <w:w w:val="120"/>
        </w:rPr>
        <w:t>situation</w:t>
      </w:r>
      <w:r>
        <w:rPr>
          <w:color w:val="231F20"/>
          <w:spacing w:val="-12"/>
          <w:w w:val="120"/>
        </w:rPr>
        <w:t> </w:t>
      </w:r>
      <w:r>
        <w:rPr>
          <w:color w:val="231F20"/>
          <w:w w:val="120"/>
        </w:rPr>
        <w:t>s’aggrave</w:t>
      </w:r>
      <w:r>
        <w:rPr>
          <w:color w:val="231F20"/>
          <w:spacing w:val="-13"/>
          <w:w w:val="120"/>
        </w:rPr>
        <w:t> </w:t>
      </w:r>
      <w:r>
        <w:rPr>
          <w:color w:val="231F20"/>
          <w:w w:val="120"/>
        </w:rPr>
        <w:t>et</w:t>
      </w:r>
      <w:r>
        <w:rPr>
          <w:color w:val="231F20"/>
          <w:spacing w:val="-13"/>
          <w:w w:val="120"/>
        </w:rPr>
        <w:t> </w:t>
      </w:r>
      <w:r>
        <w:rPr>
          <w:color w:val="231F20"/>
          <w:w w:val="120"/>
        </w:rPr>
        <w:t>qu’on</w:t>
      </w:r>
      <w:r>
        <w:rPr>
          <w:color w:val="231F20"/>
          <w:spacing w:val="-13"/>
          <w:w w:val="120"/>
        </w:rPr>
        <w:t> </w:t>
      </w:r>
      <w:r>
        <w:rPr>
          <w:color w:val="231F20"/>
          <w:w w:val="120"/>
        </w:rPr>
        <w:t>observe</w:t>
      </w:r>
      <w:r>
        <w:rPr>
          <w:color w:val="231F20"/>
          <w:spacing w:val="-12"/>
          <w:w w:val="120"/>
        </w:rPr>
        <w:t> </w:t>
      </w:r>
      <w:r>
        <w:rPr>
          <w:color w:val="231F20"/>
          <w:w w:val="120"/>
        </w:rPr>
        <w:t>un</w:t>
      </w:r>
      <w:r>
        <w:rPr>
          <w:color w:val="231F20"/>
          <w:spacing w:val="-13"/>
          <w:w w:val="120"/>
        </w:rPr>
        <w:t> </w:t>
      </w:r>
      <w:r>
        <w:rPr>
          <w:color w:val="231F20"/>
          <w:w w:val="120"/>
        </w:rPr>
        <w:t>accroissement </w:t>
      </w:r>
      <w:r>
        <w:rPr>
          <w:color w:val="231F20"/>
          <w:w w:val="115"/>
        </w:rPr>
        <w:t>constant</w:t>
      </w:r>
      <w:r>
        <w:rPr>
          <w:color w:val="231F20"/>
          <w:spacing w:val="-3"/>
          <w:w w:val="115"/>
        </w:rPr>
        <w:t> </w:t>
      </w:r>
      <w:r>
        <w:rPr>
          <w:color w:val="231F20"/>
          <w:w w:val="115"/>
        </w:rPr>
        <w:t>du</w:t>
      </w:r>
      <w:r>
        <w:rPr>
          <w:color w:val="231F20"/>
          <w:spacing w:val="-3"/>
          <w:w w:val="115"/>
        </w:rPr>
        <w:t> </w:t>
      </w:r>
      <w:r>
        <w:rPr>
          <w:color w:val="231F20"/>
          <w:w w:val="115"/>
        </w:rPr>
        <w:t>stress</w:t>
      </w:r>
      <w:r>
        <w:rPr>
          <w:color w:val="231F20"/>
          <w:spacing w:val="-3"/>
          <w:w w:val="115"/>
        </w:rPr>
        <w:t> </w:t>
      </w:r>
      <w:r>
        <w:rPr>
          <w:color w:val="231F20"/>
          <w:w w:val="115"/>
        </w:rPr>
        <w:t>professionnel</w:t>
      </w:r>
      <w:r>
        <w:rPr>
          <w:color w:val="231F20"/>
          <w:spacing w:val="-3"/>
          <w:w w:val="115"/>
        </w:rPr>
        <w:t> </w:t>
      </w:r>
      <w:r>
        <w:rPr>
          <w:color w:val="231F20"/>
          <w:w w:val="115"/>
        </w:rPr>
        <w:t>au</w:t>
      </w:r>
      <w:r>
        <w:rPr>
          <w:color w:val="231F20"/>
          <w:spacing w:val="-3"/>
          <w:w w:val="115"/>
        </w:rPr>
        <w:t> </w:t>
      </w:r>
      <w:r>
        <w:rPr>
          <w:color w:val="231F20"/>
          <w:w w:val="115"/>
        </w:rPr>
        <w:t>cours</w:t>
      </w:r>
      <w:r>
        <w:rPr>
          <w:color w:val="231F20"/>
          <w:spacing w:val="-3"/>
          <w:w w:val="115"/>
        </w:rPr>
        <w:t> </w:t>
      </w:r>
      <w:r>
        <w:rPr>
          <w:color w:val="231F20"/>
          <w:w w:val="115"/>
        </w:rPr>
        <w:t>des</w:t>
      </w:r>
      <w:r>
        <w:rPr>
          <w:color w:val="231F20"/>
          <w:spacing w:val="-3"/>
          <w:w w:val="115"/>
        </w:rPr>
        <w:t> </w:t>
      </w:r>
      <w:r>
        <w:rPr>
          <w:color w:val="231F20"/>
          <w:w w:val="115"/>
        </w:rPr>
        <w:t>dernières</w:t>
      </w:r>
      <w:r>
        <w:rPr>
          <w:color w:val="231F20"/>
          <w:spacing w:val="-3"/>
          <w:w w:val="115"/>
        </w:rPr>
        <w:t> </w:t>
      </w:r>
      <w:r>
        <w:rPr>
          <w:color w:val="231F20"/>
          <w:w w:val="115"/>
        </w:rPr>
        <w:t>décennies19.</w:t>
      </w:r>
      <w:r>
        <w:rPr>
          <w:color w:val="231F20"/>
          <w:spacing w:val="-3"/>
          <w:w w:val="115"/>
        </w:rPr>
        <w:t> </w:t>
      </w:r>
      <w:r>
        <w:rPr>
          <w:color w:val="231F20"/>
          <w:w w:val="115"/>
        </w:rPr>
        <w:t>Bien </w:t>
      </w:r>
      <w:r>
        <w:rPr>
          <w:color w:val="231F20"/>
          <w:w w:val="120"/>
        </w:rPr>
        <w:t>que</w:t>
      </w:r>
      <w:r>
        <w:rPr>
          <w:color w:val="231F20"/>
          <w:spacing w:val="-2"/>
          <w:w w:val="120"/>
        </w:rPr>
        <w:t> </w:t>
      </w:r>
      <w:r>
        <w:rPr>
          <w:color w:val="231F20"/>
          <w:w w:val="120"/>
        </w:rPr>
        <w:t>la</w:t>
      </w:r>
      <w:r>
        <w:rPr>
          <w:color w:val="231F20"/>
          <w:spacing w:val="-2"/>
          <w:w w:val="120"/>
        </w:rPr>
        <w:t> </w:t>
      </w:r>
      <w:r>
        <w:rPr>
          <w:color w:val="231F20"/>
          <w:w w:val="120"/>
        </w:rPr>
        <w:t>réalité</w:t>
      </w:r>
      <w:r>
        <w:rPr>
          <w:color w:val="231F20"/>
          <w:spacing w:val="-2"/>
          <w:w w:val="120"/>
        </w:rPr>
        <w:t> </w:t>
      </w:r>
      <w:r>
        <w:rPr>
          <w:color w:val="231F20"/>
          <w:w w:val="120"/>
        </w:rPr>
        <w:t>organisationnelle</w:t>
      </w:r>
      <w:r>
        <w:rPr>
          <w:color w:val="231F20"/>
          <w:spacing w:val="-2"/>
          <w:w w:val="120"/>
        </w:rPr>
        <w:t> </w:t>
      </w:r>
      <w:r>
        <w:rPr>
          <w:color w:val="231F20"/>
          <w:w w:val="120"/>
        </w:rPr>
        <w:t>mute</w:t>
      </w:r>
      <w:r>
        <w:rPr>
          <w:color w:val="231F20"/>
          <w:spacing w:val="-2"/>
          <w:w w:val="120"/>
        </w:rPr>
        <w:t> </w:t>
      </w:r>
      <w:r>
        <w:rPr>
          <w:color w:val="231F20"/>
          <w:w w:val="120"/>
        </w:rPr>
        <w:t>constamment</w:t>
      </w:r>
      <w:r>
        <w:rPr>
          <w:color w:val="231F20"/>
          <w:spacing w:val="-2"/>
          <w:w w:val="120"/>
        </w:rPr>
        <w:t> </w:t>
      </w:r>
      <w:r>
        <w:rPr>
          <w:color w:val="231F20"/>
          <w:w w:val="120"/>
        </w:rPr>
        <w:t>et</w:t>
      </w:r>
      <w:r>
        <w:rPr>
          <w:color w:val="231F20"/>
          <w:spacing w:val="-2"/>
          <w:w w:val="120"/>
        </w:rPr>
        <w:t> </w:t>
      </w:r>
      <w:r>
        <w:rPr>
          <w:color w:val="231F20"/>
          <w:w w:val="120"/>
        </w:rPr>
        <w:t>que</w:t>
      </w:r>
      <w:r>
        <w:rPr>
          <w:color w:val="231F20"/>
          <w:spacing w:val="-2"/>
          <w:w w:val="120"/>
        </w:rPr>
        <w:t> </w:t>
      </w:r>
      <w:r>
        <w:rPr>
          <w:color w:val="231F20"/>
          <w:w w:val="120"/>
        </w:rPr>
        <w:t>de</w:t>
      </w:r>
      <w:r>
        <w:rPr>
          <w:color w:val="231F20"/>
          <w:spacing w:val="-2"/>
          <w:w w:val="120"/>
        </w:rPr>
        <w:t> </w:t>
      </w:r>
      <w:r>
        <w:rPr>
          <w:color w:val="231F20"/>
          <w:w w:val="120"/>
        </w:rPr>
        <w:t>nouveaux stresseurs (p. ex. avènement technologique, crise environnementale, urgences sanitaires) apparaissent régulièrement, il appert que tant les anciens</w:t>
      </w:r>
      <w:r>
        <w:rPr>
          <w:color w:val="231F20"/>
          <w:spacing w:val="-8"/>
          <w:w w:val="120"/>
        </w:rPr>
        <w:t> </w:t>
      </w:r>
      <w:r>
        <w:rPr>
          <w:color w:val="231F20"/>
          <w:w w:val="120"/>
        </w:rPr>
        <w:t>que</w:t>
      </w:r>
      <w:r>
        <w:rPr>
          <w:color w:val="231F20"/>
          <w:spacing w:val="-8"/>
          <w:w w:val="120"/>
        </w:rPr>
        <w:t> </w:t>
      </w:r>
      <w:r>
        <w:rPr>
          <w:color w:val="231F20"/>
          <w:w w:val="120"/>
        </w:rPr>
        <w:t>les</w:t>
      </w:r>
      <w:r>
        <w:rPr>
          <w:color w:val="231F20"/>
          <w:spacing w:val="-8"/>
          <w:w w:val="120"/>
        </w:rPr>
        <w:t> </w:t>
      </w:r>
      <w:r>
        <w:rPr>
          <w:color w:val="231F20"/>
          <w:w w:val="120"/>
        </w:rPr>
        <w:t>nouveaux</w:t>
      </w:r>
      <w:r>
        <w:rPr>
          <w:color w:val="231F20"/>
          <w:spacing w:val="-8"/>
          <w:w w:val="120"/>
        </w:rPr>
        <w:t> </w:t>
      </w:r>
      <w:r>
        <w:rPr>
          <w:color w:val="231F20"/>
          <w:w w:val="120"/>
        </w:rPr>
        <w:t>stresseurs</w:t>
      </w:r>
      <w:r>
        <w:rPr>
          <w:color w:val="231F20"/>
          <w:spacing w:val="-8"/>
          <w:w w:val="120"/>
        </w:rPr>
        <w:t> </w:t>
      </w:r>
      <w:r>
        <w:rPr>
          <w:color w:val="231F20"/>
          <w:w w:val="120"/>
        </w:rPr>
        <w:t>minent</w:t>
      </w:r>
      <w:r>
        <w:rPr>
          <w:color w:val="231F20"/>
          <w:spacing w:val="-8"/>
          <w:w w:val="120"/>
        </w:rPr>
        <w:t> </w:t>
      </w:r>
      <w:r>
        <w:rPr>
          <w:color w:val="231F20"/>
          <w:w w:val="120"/>
        </w:rPr>
        <w:t>toujours</w:t>
      </w:r>
      <w:r>
        <w:rPr>
          <w:color w:val="231F20"/>
          <w:spacing w:val="-8"/>
          <w:w w:val="120"/>
        </w:rPr>
        <w:t> </w:t>
      </w:r>
      <w:r>
        <w:rPr>
          <w:color w:val="231F20"/>
          <w:w w:val="120"/>
        </w:rPr>
        <w:t>la</w:t>
      </w:r>
      <w:r>
        <w:rPr>
          <w:color w:val="231F20"/>
          <w:spacing w:val="-8"/>
          <w:w w:val="120"/>
        </w:rPr>
        <w:t> </w:t>
      </w:r>
      <w:r>
        <w:rPr>
          <w:color w:val="231F20"/>
          <w:w w:val="120"/>
        </w:rPr>
        <w:t>santé</w:t>
      </w:r>
      <w:r>
        <w:rPr>
          <w:color w:val="231F20"/>
          <w:spacing w:val="-8"/>
          <w:w w:val="120"/>
        </w:rPr>
        <w:t> </w:t>
      </w:r>
      <w:r>
        <w:rPr>
          <w:color w:val="231F20"/>
          <w:w w:val="120"/>
        </w:rPr>
        <w:t>psycholo- gique</w:t>
      </w:r>
      <w:r>
        <w:rPr>
          <w:color w:val="231F20"/>
          <w:spacing w:val="-5"/>
          <w:w w:val="120"/>
        </w:rPr>
        <w:t> </w:t>
      </w:r>
      <w:r>
        <w:rPr>
          <w:color w:val="231F20"/>
          <w:w w:val="120"/>
        </w:rPr>
        <w:t>des</w:t>
      </w:r>
      <w:r>
        <w:rPr>
          <w:color w:val="231F20"/>
          <w:spacing w:val="-5"/>
          <w:w w:val="120"/>
        </w:rPr>
        <w:t> </w:t>
      </w:r>
      <w:r>
        <w:rPr>
          <w:color w:val="231F20"/>
          <w:w w:val="120"/>
        </w:rPr>
        <w:t>travailleurs.</w:t>
      </w:r>
      <w:r>
        <w:rPr>
          <w:color w:val="231F20"/>
          <w:spacing w:val="-5"/>
          <w:w w:val="120"/>
        </w:rPr>
        <w:t> </w:t>
      </w:r>
      <w:r>
        <w:rPr>
          <w:color w:val="231F20"/>
          <w:w w:val="120"/>
        </w:rPr>
        <w:t>Cet</w:t>
      </w:r>
      <w:r>
        <w:rPr>
          <w:color w:val="231F20"/>
          <w:spacing w:val="-5"/>
          <w:w w:val="120"/>
        </w:rPr>
        <w:t> </w:t>
      </w:r>
      <w:r>
        <w:rPr>
          <w:color w:val="231F20"/>
          <w:w w:val="120"/>
        </w:rPr>
        <w:t>accroissement</w:t>
      </w:r>
      <w:r>
        <w:rPr>
          <w:color w:val="231F20"/>
          <w:spacing w:val="-5"/>
          <w:w w:val="120"/>
        </w:rPr>
        <w:t>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observé</w:t>
      </w:r>
      <w:r>
        <w:rPr>
          <w:color w:val="231F20"/>
          <w:spacing w:val="-5"/>
          <w:w w:val="120"/>
        </w:rPr>
        <w:t> </w:t>
      </w:r>
      <w:r>
        <w:rPr>
          <w:color w:val="231F20"/>
          <w:w w:val="120"/>
        </w:rPr>
        <w:t>lors</w:t>
      </w:r>
      <w:r>
        <w:rPr>
          <w:color w:val="231F20"/>
          <w:spacing w:val="-5"/>
          <w:w w:val="120"/>
        </w:rPr>
        <w:t> </w:t>
      </w:r>
      <w:r>
        <w:rPr>
          <w:color w:val="231F20"/>
          <w:w w:val="120"/>
        </w:rPr>
        <w:t>de</w:t>
      </w:r>
      <w:r>
        <w:rPr>
          <w:color w:val="231F20"/>
          <w:spacing w:val="-5"/>
          <w:w w:val="120"/>
        </w:rPr>
        <w:t> </w:t>
      </w:r>
      <w:r>
        <w:rPr>
          <w:color w:val="231F20"/>
          <w:w w:val="120"/>
        </w:rPr>
        <w:t>plu- sieurs</w:t>
      </w:r>
      <w:r>
        <w:rPr>
          <w:color w:val="231F20"/>
          <w:spacing w:val="-10"/>
          <w:w w:val="120"/>
        </w:rPr>
        <w:t> </w:t>
      </w:r>
      <w:r>
        <w:rPr>
          <w:color w:val="231F20"/>
          <w:w w:val="120"/>
        </w:rPr>
        <w:t>enquêtes</w:t>
      </w:r>
      <w:r>
        <w:rPr>
          <w:color w:val="231F20"/>
          <w:spacing w:val="-10"/>
          <w:w w:val="120"/>
        </w:rPr>
        <w:t> </w:t>
      </w:r>
      <w:r>
        <w:rPr>
          <w:color w:val="231F20"/>
          <w:w w:val="120"/>
        </w:rPr>
        <w:t>est</w:t>
      </w:r>
      <w:r>
        <w:rPr>
          <w:color w:val="231F20"/>
          <w:spacing w:val="-10"/>
          <w:w w:val="120"/>
        </w:rPr>
        <w:t> </w:t>
      </w:r>
      <w:r>
        <w:rPr>
          <w:color w:val="231F20"/>
          <w:w w:val="120"/>
        </w:rPr>
        <w:t>assurément</w:t>
      </w:r>
      <w:r>
        <w:rPr>
          <w:color w:val="231F20"/>
          <w:spacing w:val="-10"/>
          <w:w w:val="120"/>
        </w:rPr>
        <w:t> </w:t>
      </w:r>
      <w:r>
        <w:rPr>
          <w:color w:val="231F20"/>
          <w:w w:val="120"/>
        </w:rPr>
        <w:t>un</w:t>
      </w:r>
      <w:r>
        <w:rPr>
          <w:color w:val="231F20"/>
          <w:spacing w:val="-10"/>
          <w:w w:val="120"/>
        </w:rPr>
        <w:t> </w:t>
      </w:r>
      <w:r>
        <w:rPr>
          <w:color w:val="231F20"/>
          <w:w w:val="120"/>
        </w:rPr>
        <w:t>constat</w:t>
      </w:r>
      <w:r>
        <w:rPr>
          <w:color w:val="231F20"/>
          <w:spacing w:val="-10"/>
          <w:w w:val="120"/>
        </w:rPr>
        <w:t> </w:t>
      </w:r>
      <w:r>
        <w:rPr>
          <w:color w:val="231F20"/>
          <w:w w:val="120"/>
        </w:rPr>
        <w:t>d’échec,</w:t>
      </w:r>
      <w:r>
        <w:rPr>
          <w:color w:val="231F20"/>
          <w:spacing w:val="-10"/>
          <w:w w:val="120"/>
        </w:rPr>
        <w:t> </w:t>
      </w:r>
      <w:r>
        <w:rPr>
          <w:color w:val="231F20"/>
          <w:w w:val="120"/>
        </w:rPr>
        <w:t>échec</w:t>
      </w:r>
      <w:r>
        <w:rPr>
          <w:color w:val="231F20"/>
          <w:spacing w:val="-10"/>
          <w:w w:val="120"/>
        </w:rPr>
        <w:t> </w:t>
      </w:r>
      <w:r>
        <w:rPr>
          <w:color w:val="231F20"/>
          <w:w w:val="120"/>
        </w:rPr>
        <w:t>à</w:t>
      </w:r>
      <w:r>
        <w:rPr>
          <w:color w:val="231F20"/>
          <w:spacing w:val="-10"/>
          <w:w w:val="120"/>
        </w:rPr>
        <w:t> </w:t>
      </w:r>
      <w:r>
        <w:rPr>
          <w:color w:val="231F20"/>
          <w:w w:val="120"/>
        </w:rPr>
        <w:t>la</w:t>
      </w:r>
      <w:r>
        <w:rPr>
          <w:color w:val="231F20"/>
          <w:spacing w:val="-10"/>
          <w:w w:val="120"/>
        </w:rPr>
        <w:t> </w:t>
      </w:r>
      <w:r>
        <w:rPr>
          <w:color w:val="231F20"/>
          <w:w w:val="120"/>
        </w:rPr>
        <w:t>fois</w:t>
      </w:r>
      <w:r>
        <w:rPr>
          <w:color w:val="231F20"/>
          <w:spacing w:val="-10"/>
          <w:w w:val="120"/>
        </w:rPr>
        <w:t> </w:t>
      </w:r>
      <w:r>
        <w:rPr>
          <w:color w:val="231F20"/>
          <w:w w:val="120"/>
        </w:rPr>
        <w:t>causé par</w:t>
      </w:r>
      <w:r>
        <w:rPr>
          <w:color w:val="231F20"/>
          <w:spacing w:val="-2"/>
          <w:w w:val="120"/>
        </w:rPr>
        <w:t> </w:t>
      </w:r>
      <w:r>
        <w:rPr>
          <w:color w:val="231F20"/>
          <w:w w:val="120"/>
        </w:rPr>
        <w:t>le</w:t>
      </w:r>
      <w:r>
        <w:rPr>
          <w:color w:val="231F20"/>
          <w:spacing w:val="-2"/>
          <w:w w:val="120"/>
        </w:rPr>
        <w:t> </w:t>
      </w:r>
      <w:r>
        <w:rPr>
          <w:color w:val="231F20"/>
          <w:w w:val="120"/>
        </w:rPr>
        <w:t>manque</w:t>
      </w:r>
      <w:r>
        <w:rPr>
          <w:color w:val="231F20"/>
          <w:spacing w:val="-2"/>
          <w:w w:val="120"/>
        </w:rPr>
        <w:t> </w:t>
      </w:r>
      <w:r>
        <w:rPr>
          <w:color w:val="231F20"/>
          <w:w w:val="120"/>
        </w:rPr>
        <w:t>de</w:t>
      </w:r>
      <w:r>
        <w:rPr>
          <w:color w:val="231F20"/>
          <w:spacing w:val="-2"/>
          <w:w w:val="120"/>
        </w:rPr>
        <w:t> </w:t>
      </w:r>
      <w:r>
        <w:rPr>
          <w:color w:val="231F20"/>
          <w:w w:val="120"/>
        </w:rPr>
        <w:t>volonté</w:t>
      </w:r>
      <w:r>
        <w:rPr>
          <w:color w:val="231F20"/>
          <w:spacing w:val="-2"/>
          <w:w w:val="120"/>
        </w:rPr>
        <w:t> </w:t>
      </w:r>
      <w:r>
        <w:rPr>
          <w:color w:val="231F20"/>
          <w:w w:val="120"/>
        </w:rPr>
        <w:t>des</w:t>
      </w:r>
      <w:r>
        <w:rPr>
          <w:color w:val="231F20"/>
          <w:spacing w:val="-2"/>
          <w:w w:val="120"/>
        </w:rPr>
        <w:t> </w:t>
      </w:r>
      <w:r>
        <w:rPr>
          <w:color w:val="231F20"/>
          <w:w w:val="120"/>
        </w:rPr>
        <w:t>gestionnaires</w:t>
      </w:r>
      <w:r>
        <w:rPr>
          <w:color w:val="231F20"/>
          <w:spacing w:val="-2"/>
          <w:w w:val="120"/>
        </w:rPr>
        <w:t> </w:t>
      </w:r>
      <w:r>
        <w:rPr>
          <w:color w:val="231F20"/>
          <w:w w:val="120"/>
        </w:rPr>
        <w:t>de</w:t>
      </w:r>
      <w:r>
        <w:rPr>
          <w:color w:val="231F20"/>
          <w:spacing w:val="-2"/>
          <w:w w:val="120"/>
        </w:rPr>
        <w:t> </w:t>
      </w:r>
      <w:r>
        <w:rPr>
          <w:color w:val="231F20"/>
          <w:w w:val="120"/>
        </w:rPr>
        <w:t>vraiment</w:t>
      </w:r>
      <w:r>
        <w:rPr>
          <w:color w:val="231F20"/>
          <w:spacing w:val="-2"/>
          <w:w w:val="120"/>
        </w:rPr>
        <w:t> </w:t>
      </w:r>
      <w:r>
        <w:rPr>
          <w:color w:val="231F20"/>
          <w:w w:val="120"/>
        </w:rPr>
        <w:t>s’attaquer</w:t>
      </w:r>
      <w:r>
        <w:rPr>
          <w:color w:val="231F20"/>
          <w:spacing w:val="-2"/>
          <w:w w:val="120"/>
        </w:rPr>
        <w:t> </w:t>
      </w:r>
      <w:r>
        <w:rPr>
          <w:color w:val="231F20"/>
          <w:w w:val="120"/>
        </w:rPr>
        <w:t>aux </w:t>
      </w:r>
      <w:r>
        <w:rPr>
          <w:color w:val="231F20"/>
          <w:spacing w:val="-2"/>
          <w:w w:val="120"/>
        </w:rPr>
        <w:t>problèmes</w:t>
      </w:r>
      <w:r>
        <w:rPr>
          <w:color w:val="231F20"/>
          <w:spacing w:val="-5"/>
          <w:w w:val="120"/>
        </w:rPr>
        <w:t> </w:t>
      </w:r>
      <w:r>
        <w:rPr>
          <w:color w:val="231F20"/>
          <w:spacing w:val="-2"/>
          <w:w w:val="120"/>
        </w:rPr>
        <w:t>du</w:t>
      </w:r>
      <w:r>
        <w:rPr>
          <w:color w:val="231F20"/>
          <w:spacing w:val="-5"/>
          <w:w w:val="120"/>
        </w:rPr>
        <w:t> </w:t>
      </w:r>
      <w:r>
        <w:rPr>
          <w:color w:val="231F20"/>
          <w:spacing w:val="-2"/>
          <w:w w:val="120"/>
        </w:rPr>
        <w:t>stress,</w:t>
      </w:r>
      <w:r>
        <w:rPr>
          <w:color w:val="231F20"/>
          <w:spacing w:val="-5"/>
          <w:w w:val="120"/>
        </w:rPr>
        <w:t> </w:t>
      </w:r>
      <w:r>
        <w:rPr>
          <w:color w:val="231F20"/>
          <w:spacing w:val="-2"/>
          <w:w w:val="120"/>
        </w:rPr>
        <w:t>échec</w:t>
      </w:r>
      <w:r>
        <w:rPr>
          <w:color w:val="231F20"/>
          <w:spacing w:val="-5"/>
          <w:w w:val="120"/>
        </w:rPr>
        <w:t> </w:t>
      </w:r>
      <w:r>
        <w:rPr>
          <w:color w:val="231F20"/>
          <w:spacing w:val="-2"/>
          <w:w w:val="120"/>
        </w:rPr>
        <w:t>pouvant</w:t>
      </w:r>
      <w:r>
        <w:rPr>
          <w:color w:val="231F20"/>
          <w:spacing w:val="-5"/>
          <w:w w:val="120"/>
        </w:rPr>
        <w:t> </w:t>
      </w:r>
      <w:r>
        <w:rPr>
          <w:color w:val="231F20"/>
          <w:spacing w:val="-2"/>
          <w:w w:val="120"/>
        </w:rPr>
        <w:t>être</w:t>
      </w:r>
      <w:r>
        <w:rPr>
          <w:color w:val="231F20"/>
          <w:spacing w:val="-5"/>
          <w:w w:val="120"/>
        </w:rPr>
        <w:t> </w:t>
      </w:r>
      <w:r>
        <w:rPr>
          <w:color w:val="231F20"/>
          <w:spacing w:val="-2"/>
          <w:w w:val="120"/>
        </w:rPr>
        <w:t>aussi</w:t>
      </w:r>
      <w:r>
        <w:rPr>
          <w:color w:val="231F20"/>
          <w:spacing w:val="-5"/>
          <w:w w:val="120"/>
        </w:rPr>
        <w:t> </w:t>
      </w:r>
      <w:r>
        <w:rPr>
          <w:color w:val="231F20"/>
          <w:spacing w:val="-2"/>
          <w:w w:val="120"/>
        </w:rPr>
        <w:t>attribué</w:t>
      </w:r>
      <w:r>
        <w:rPr>
          <w:color w:val="231F20"/>
          <w:spacing w:val="-5"/>
          <w:w w:val="120"/>
        </w:rPr>
        <w:t> </w:t>
      </w:r>
      <w:r>
        <w:rPr>
          <w:color w:val="231F20"/>
          <w:spacing w:val="-2"/>
          <w:w w:val="120"/>
        </w:rPr>
        <w:t>aux</w:t>
      </w:r>
      <w:r>
        <w:rPr>
          <w:color w:val="231F20"/>
          <w:spacing w:val="-5"/>
          <w:w w:val="120"/>
        </w:rPr>
        <w:t> </w:t>
      </w:r>
      <w:r>
        <w:rPr>
          <w:color w:val="231F20"/>
          <w:spacing w:val="-2"/>
          <w:w w:val="120"/>
        </w:rPr>
        <w:t>lacunes</w:t>
      </w:r>
      <w:r>
        <w:rPr>
          <w:color w:val="231F20"/>
          <w:spacing w:val="-5"/>
          <w:w w:val="120"/>
        </w:rPr>
        <w:t> </w:t>
      </w:r>
      <w:r>
        <w:rPr>
          <w:color w:val="231F20"/>
          <w:spacing w:val="-2"/>
          <w:w w:val="120"/>
        </w:rPr>
        <w:t>péda- </w:t>
      </w:r>
      <w:r>
        <w:rPr>
          <w:color w:val="231F20"/>
          <w:w w:val="120"/>
        </w:rPr>
        <w:t>gogiques et au manque de vulgarisation des savoirs scientifiques. Au risque</w:t>
      </w:r>
      <w:r>
        <w:rPr>
          <w:color w:val="231F20"/>
          <w:spacing w:val="-10"/>
          <w:w w:val="120"/>
        </w:rPr>
        <w:t> </w:t>
      </w:r>
      <w:r>
        <w:rPr>
          <w:color w:val="231F20"/>
          <w:w w:val="120"/>
        </w:rPr>
        <w:t>de</w:t>
      </w:r>
      <w:r>
        <w:rPr>
          <w:color w:val="231F20"/>
          <w:spacing w:val="-10"/>
          <w:w w:val="120"/>
        </w:rPr>
        <w:t> </w:t>
      </w:r>
      <w:r>
        <w:rPr>
          <w:color w:val="231F20"/>
          <w:w w:val="120"/>
        </w:rPr>
        <w:t>se</w:t>
      </w:r>
      <w:r>
        <w:rPr>
          <w:color w:val="231F20"/>
          <w:spacing w:val="-10"/>
          <w:w w:val="120"/>
        </w:rPr>
        <w:t> </w:t>
      </w:r>
      <w:r>
        <w:rPr>
          <w:color w:val="231F20"/>
          <w:w w:val="120"/>
        </w:rPr>
        <w:t>répéter,</w:t>
      </w:r>
      <w:r>
        <w:rPr>
          <w:color w:val="231F20"/>
          <w:spacing w:val="-10"/>
          <w:w w:val="120"/>
        </w:rPr>
        <w:t> </w:t>
      </w:r>
      <w:r>
        <w:rPr>
          <w:color w:val="231F20"/>
          <w:w w:val="120"/>
        </w:rPr>
        <w:t>aucun</w:t>
      </w:r>
      <w:r>
        <w:rPr>
          <w:color w:val="231F20"/>
          <w:spacing w:val="-10"/>
          <w:w w:val="120"/>
        </w:rPr>
        <w:t> </w:t>
      </w:r>
      <w:r>
        <w:rPr>
          <w:color w:val="231F20"/>
          <w:w w:val="120"/>
        </w:rPr>
        <w:t>contexte</w:t>
      </w:r>
      <w:r>
        <w:rPr>
          <w:color w:val="231F20"/>
          <w:spacing w:val="-10"/>
          <w:w w:val="120"/>
        </w:rPr>
        <w:t> </w:t>
      </w:r>
      <w:r>
        <w:rPr>
          <w:color w:val="231F20"/>
          <w:w w:val="120"/>
        </w:rPr>
        <w:t>de</w:t>
      </w:r>
      <w:r>
        <w:rPr>
          <w:color w:val="231F20"/>
          <w:spacing w:val="-10"/>
          <w:w w:val="120"/>
        </w:rPr>
        <w:t> </w:t>
      </w:r>
      <w:r>
        <w:rPr>
          <w:color w:val="231F20"/>
          <w:w w:val="120"/>
        </w:rPr>
        <w:t>travail</w:t>
      </w:r>
      <w:r>
        <w:rPr>
          <w:color w:val="231F20"/>
          <w:spacing w:val="-10"/>
          <w:w w:val="120"/>
        </w:rPr>
        <w:t> </w:t>
      </w:r>
      <w:r>
        <w:rPr>
          <w:color w:val="231F20"/>
          <w:w w:val="120"/>
        </w:rPr>
        <w:t>ne</w:t>
      </w:r>
      <w:r>
        <w:rPr>
          <w:color w:val="231F20"/>
          <w:spacing w:val="-10"/>
          <w:w w:val="120"/>
        </w:rPr>
        <w:t> </w:t>
      </w:r>
      <w:r>
        <w:rPr>
          <w:color w:val="231F20"/>
          <w:w w:val="120"/>
        </w:rPr>
        <w:t>pourra</w:t>
      </w:r>
      <w:r>
        <w:rPr>
          <w:color w:val="231F20"/>
          <w:spacing w:val="-10"/>
          <w:w w:val="120"/>
        </w:rPr>
        <w:t> </w:t>
      </w:r>
      <w:r>
        <w:rPr>
          <w:color w:val="231F20"/>
          <w:w w:val="120"/>
        </w:rPr>
        <w:t>être</w:t>
      </w:r>
      <w:r>
        <w:rPr>
          <w:color w:val="231F20"/>
          <w:spacing w:val="-10"/>
          <w:w w:val="120"/>
        </w:rPr>
        <w:t> </w:t>
      </w:r>
      <w:r>
        <w:rPr>
          <w:color w:val="231F20"/>
          <w:w w:val="120"/>
        </w:rPr>
        <w:t>totalement exempt de stress, mais les indices exagérément élevés de stress qu’on observe dans nombre d’entreprises peuvent, grâce aux connaissances </w:t>
      </w:r>
      <w:r>
        <w:rPr>
          <w:color w:val="231F20"/>
          <w:spacing w:val="-2"/>
          <w:w w:val="120"/>
        </w:rPr>
        <w:t>jusqu’à</w:t>
      </w:r>
      <w:r>
        <w:rPr>
          <w:color w:val="231F20"/>
          <w:spacing w:val="-11"/>
          <w:w w:val="120"/>
        </w:rPr>
        <w:t> </w:t>
      </w:r>
      <w:r>
        <w:rPr>
          <w:color w:val="231F20"/>
          <w:spacing w:val="-2"/>
          <w:w w:val="120"/>
        </w:rPr>
        <w:t>maintenant</w:t>
      </w:r>
      <w:r>
        <w:rPr>
          <w:color w:val="231F20"/>
          <w:spacing w:val="-11"/>
          <w:w w:val="120"/>
        </w:rPr>
        <w:t> </w:t>
      </w:r>
      <w:r>
        <w:rPr>
          <w:color w:val="231F20"/>
          <w:spacing w:val="-2"/>
          <w:w w:val="120"/>
        </w:rPr>
        <w:t>acquises,</w:t>
      </w:r>
      <w:r>
        <w:rPr>
          <w:color w:val="231F20"/>
          <w:spacing w:val="-11"/>
          <w:w w:val="120"/>
        </w:rPr>
        <w:t> </w:t>
      </w:r>
      <w:r>
        <w:rPr>
          <w:color w:val="231F20"/>
          <w:spacing w:val="-2"/>
          <w:w w:val="120"/>
        </w:rPr>
        <w:t>être</w:t>
      </w:r>
      <w:r>
        <w:rPr>
          <w:color w:val="231F20"/>
          <w:spacing w:val="-10"/>
          <w:w w:val="120"/>
        </w:rPr>
        <w:t> </w:t>
      </w:r>
      <w:r>
        <w:rPr>
          <w:color w:val="231F20"/>
          <w:spacing w:val="-2"/>
          <w:w w:val="120"/>
        </w:rPr>
        <w:t>ramenés</w:t>
      </w:r>
      <w:r>
        <w:rPr>
          <w:color w:val="231F20"/>
          <w:spacing w:val="-11"/>
          <w:w w:val="120"/>
        </w:rPr>
        <w:t> </w:t>
      </w:r>
      <w:r>
        <w:rPr>
          <w:color w:val="231F20"/>
          <w:spacing w:val="-2"/>
          <w:w w:val="120"/>
        </w:rPr>
        <w:t>à</w:t>
      </w:r>
      <w:r>
        <w:rPr>
          <w:color w:val="231F20"/>
          <w:spacing w:val="-11"/>
          <w:w w:val="120"/>
        </w:rPr>
        <w:t> </w:t>
      </w:r>
      <w:r>
        <w:rPr>
          <w:color w:val="231F20"/>
          <w:spacing w:val="-2"/>
          <w:w w:val="120"/>
        </w:rPr>
        <w:t>des</w:t>
      </w:r>
      <w:r>
        <w:rPr>
          <w:color w:val="231F20"/>
          <w:spacing w:val="-11"/>
          <w:w w:val="120"/>
        </w:rPr>
        <w:t> </w:t>
      </w:r>
      <w:r>
        <w:rPr>
          <w:color w:val="231F20"/>
          <w:spacing w:val="-2"/>
          <w:w w:val="120"/>
        </w:rPr>
        <w:t>niveaux</w:t>
      </w:r>
      <w:r>
        <w:rPr>
          <w:color w:val="231F20"/>
          <w:spacing w:val="-10"/>
          <w:w w:val="120"/>
        </w:rPr>
        <w:t> </w:t>
      </w:r>
      <w:r>
        <w:rPr>
          <w:color w:val="231F20"/>
          <w:spacing w:val="-2"/>
          <w:w w:val="120"/>
        </w:rPr>
        <w:t>bien</w:t>
      </w:r>
      <w:r>
        <w:rPr>
          <w:color w:val="231F20"/>
          <w:spacing w:val="-11"/>
          <w:w w:val="120"/>
        </w:rPr>
        <w:t> </w:t>
      </w:r>
      <w:r>
        <w:rPr>
          <w:color w:val="231F20"/>
          <w:spacing w:val="-2"/>
          <w:w w:val="120"/>
        </w:rPr>
        <w:t>plus</w:t>
      </w:r>
      <w:r>
        <w:rPr>
          <w:color w:val="231F20"/>
          <w:spacing w:val="-11"/>
          <w:w w:val="120"/>
        </w:rPr>
        <w:t> </w:t>
      </w:r>
      <w:r>
        <w:rPr>
          <w:color w:val="231F20"/>
          <w:spacing w:val="-2"/>
          <w:w w:val="120"/>
        </w:rPr>
        <w:t>accep- </w:t>
      </w:r>
      <w:r>
        <w:rPr>
          <w:color w:val="231F20"/>
          <w:w w:val="120"/>
        </w:rPr>
        <w:t>tables pour tous. Il y a donc un paradoxe évident entre la situation prévalant encore dans les entreprises et les grandes connaissances scientifiques que l’on possède afin de faire face au stress.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r>
        <w:rPr/>
        <w:pict>
          <v:shape style="position:absolute;margin-left:62.5pt;margin-top:14.216309pt;width:287.5pt;height:.1pt;mso-position-horizontal-relative:page;mso-position-vertical-relative:paragraph;z-index:-15708672;mso-wrap-distance-left:0;mso-wrap-distance-right:0" id="docshape118" coordorigin="1250,284" coordsize="5750,0" path="m1250,284l7000,284e" filled="false" stroked="true" strokeweight=".25pt" strokecolor="#231f20">
            <v:path arrowok="t"/>
            <v:stroke dashstyle="shortdot"/>
            <w10:wrap type="topAndBottom"/>
          </v:shape>
        </w:pict>
      </w:r>
    </w:p>
    <w:p>
      <w:pPr>
        <w:pStyle w:val="ListParagraph"/>
        <w:numPr>
          <w:ilvl w:val="0"/>
          <w:numId w:val="12"/>
        </w:numPr>
        <w:tabs>
          <w:tab w:pos="789" w:val="left" w:leader="none"/>
          <w:tab w:pos="790" w:val="left" w:leader="none"/>
        </w:tabs>
        <w:spacing w:line="295" w:lineRule="auto" w:before="135" w:after="0"/>
        <w:ind w:left="789" w:right="638" w:hanging="406"/>
        <w:jc w:val="left"/>
        <w:rPr>
          <w:rFonts w:ascii="Arial"/>
          <w:sz w:val="12"/>
        </w:rPr>
      </w:pPr>
      <w:r>
        <w:rPr>
          <w:rFonts w:ascii="Arial"/>
          <w:color w:val="231F20"/>
          <w:sz w:val="12"/>
        </w:rPr>
        <w:t>Awino, Z. B., Ogutu, M., Musyoka, M. et Kenyatta, J. (2018). Work culture: Stress management in reducing</w:t>
      </w:r>
      <w:r>
        <w:rPr>
          <w:rFonts w:ascii="Arial"/>
          <w:color w:val="231F20"/>
          <w:spacing w:val="40"/>
          <w:sz w:val="12"/>
        </w:rPr>
        <w:t> </w:t>
      </w:r>
      <w:r>
        <w:rPr>
          <w:rFonts w:ascii="Arial"/>
          <w:color w:val="231F20"/>
          <w:sz w:val="12"/>
        </w:rPr>
        <w:t>stress</w:t>
      </w:r>
      <w:r>
        <w:rPr>
          <w:rFonts w:ascii="Arial"/>
          <w:color w:val="231F20"/>
          <w:spacing w:val="-4"/>
          <w:sz w:val="12"/>
        </w:rPr>
        <w:t> </w:t>
      </w:r>
      <w:r>
        <w:rPr>
          <w:rFonts w:ascii="Arial"/>
          <w:color w:val="231F20"/>
          <w:sz w:val="12"/>
        </w:rPr>
        <w:t>and</w:t>
      </w:r>
      <w:r>
        <w:rPr>
          <w:rFonts w:ascii="Arial"/>
          <w:color w:val="231F20"/>
          <w:spacing w:val="-4"/>
          <w:sz w:val="12"/>
        </w:rPr>
        <w:t> </w:t>
      </w:r>
      <w:r>
        <w:rPr>
          <w:rFonts w:ascii="Arial"/>
          <w:color w:val="231F20"/>
          <w:sz w:val="12"/>
        </w:rPr>
        <w:t>improving</w:t>
      </w:r>
      <w:r>
        <w:rPr>
          <w:rFonts w:ascii="Arial"/>
          <w:color w:val="231F20"/>
          <w:spacing w:val="-4"/>
          <w:sz w:val="12"/>
        </w:rPr>
        <w:t> </w:t>
      </w:r>
      <w:r>
        <w:rPr>
          <w:rFonts w:ascii="Arial"/>
          <w:color w:val="231F20"/>
          <w:sz w:val="12"/>
        </w:rPr>
        <w:t>organizational</w:t>
      </w:r>
      <w:r>
        <w:rPr>
          <w:rFonts w:ascii="Arial"/>
          <w:color w:val="231F20"/>
          <w:spacing w:val="-4"/>
          <w:sz w:val="12"/>
        </w:rPr>
        <w:t> </w:t>
      </w:r>
      <w:r>
        <w:rPr>
          <w:rFonts w:ascii="Arial"/>
          <w:color w:val="231F20"/>
          <w:sz w:val="12"/>
        </w:rPr>
        <w:t>performance,</w:t>
      </w:r>
      <w:r>
        <w:rPr>
          <w:rFonts w:ascii="Arial"/>
          <w:color w:val="231F20"/>
          <w:spacing w:val="-4"/>
          <w:sz w:val="12"/>
        </w:rPr>
        <w:t> </w:t>
      </w:r>
      <w:r>
        <w:rPr>
          <w:rFonts w:ascii="Arial"/>
          <w:i/>
          <w:color w:val="231F20"/>
          <w:sz w:val="12"/>
        </w:rPr>
        <w:t>China-USA</w:t>
      </w:r>
      <w:r>
        <w:rPr>
          <w:rFonts w:ascii="Arial"/>
          <w:i/>
          <w:color w:val="231F20"/>
          <w:spacing w:val="-4"/>
          <w:sz w:val="12"/>
        </w:rPr>
        <w:t> </w:t>
      </w:r>
      <w:r>
        <w:rPr>
          <w:rFonts w:ascii="Arial"/>
          <w:i/>
          <w:color w:val="231F20"/>
          <w:sz w:val="12"/>
        </w:rPr>
        <w:t>Business</w:t>
      </w:r>
      <w:r>
        <w:rPr>
          <w:rFonts w:ascii="Arial"/>
          <w:i/>
          <w:color w:val="231F20"/>
          <w:spacing w:val="-4"/>
          <w:sz w:val="12"/>
        </w:rPr>
        <w:t> </w:t>
      </w:r>
      <w:r>
        <w:rPr>
          <w:rFonts w:ascii="Arial"/>
          <w:i/>
          <w:color w:val="231F20"/>
          <w:sz w:val="12"/>
        </w:rPr>
        <w:t>Review</w:t>
      </w:r>
      <w:r>
        <w:rPr>
          <w:rFonts w:ascii="Arial"/>
          <w:color w:val="231F20"/>
          <w:sz w:val="12"/>
        </w:rPr>
        <w:t>,</w:t>
      </w:r>
      <w:r>
        <w:rPr>
          <w:rFonts w:ascii="Arial"/>
          <w:color w:val="231F20"/>
          <w:spacing w:val="-4"/>
          <w:sz w:val="12"/>
        </w:rPr>
        <w:t> </w:t>
      </w:r>
      <w:r>
        <w:rPr>
          <w:rFonts w:ascii="Arial"/>
          <w:i/>
          <w:color w:val="231F20"/>
          <w:sz w:val="12"/>
        </w:rPr>
        <w:t>17</w:t>
      </w:r>
      <w:r>
        <w:rPr>
          <w:rFonts w:ascii="Arial"/>
          <w:color w:val="231F20"/>
          <w:sz w:val="12"/>
        </w:rPr>
        <w:t>,</w:t>
      </w:r>
      <w:r>
        <w:rPr>
          <w:rFonts w:ascii="Arial"/>
          <w:color w:val="231F20"/>
          <w:spacing w:val="-4"/>
          <w:sz w:val="12"/>
        </w:rPr>
        <w:t> </w:t>
      </w:r>
      <w:r>
        <w:rPr>
          <w:rFonts w:ascii="Arial"/>
          <w:color w:val="231F20"/>
          <w:sz w:val="12"/>
        </w:rPr>
        <w:t>144-154.</w:t>
      </w:r>
    </w:p>
    <w:p>
      <w:pPr>
        <w:spacing w:after="0" w:line="295" w:lineRule="auto"/>
        <w:jc w:val="left"/>
        <w:rPr>
          <w:rFonts w:ascii="Arial"/>
          <w:sz w:val="12"/>
        </w:rPr>
        <w:sectPr>
          <w:footerReference w:type="default" r:id="rId58"/>
          <w:pgSz w:w="8640" w:h="12960"/>
          <w:pgMar w:footer="424" w:header="0" w:top="520" w:bottom="620" w:left="460" w:right="1000"/>
        </w:sectPr>
      </w:pPr>
    </w:p>
    <w:p>
      <w:pPr>
        <w:spacing w:before="118"/>
        <w:ind w:left="2462" w:right="0" w:firstLine="0"/>
        <w:jc w:val="left"/>
        <w:rPr>
          <w:rFonts w:ascii="Arial" w:hAnsi="Arial"/>
          <w:sz w:val="14"/>
        </w:rPr>
      </w:pPr>
      <w:bookmarkStart w:name=" 1.6 / Post-scriptum" w:id="29"/>
      <w:bookmarkEnd w:id="29"/>
      <w:r>
        <w:rPr/>
      </w:r>
      <w:bookmarkStart w:name="_bookmark12" w:id="30"/>
      <w:bookmarkEnd w:id="30"/>
      <w:r>
        <w:rPr/>
      </w:r>
      <w:r>
        <w:rPr>
          <w:rFonts w:ascii="Arial" w:hAnsi="Arial"/>
          <w:color w:val="231F20"/>
          <w:sz w:val="14"/>
        </w:rPr>
        <w:t>Chapitre</w:t>
      </w:r>
      <w:r>
        <w:rPr>
          <w:rFonts w:ascii="Arial" w:hAnsi="Arial"/>
          <w:color w:val="231F20"/>
          <w:spacing w:val="-5"/>
          <w:sz w:val="14"/>
        </w:rPr>
        <w:t> </w:t>
      </w:r>
      <w:r>
        <w:rPr>
          <w:rFonts w:ascii="Arial" w:hAnsi="Arial"/>
          <w:color w:val="231F20"/>
          <w:sz w:val="14"/>
        </w:rPr>
        <w:t>1</w:t>
      </w:r>
      <w:r>
        <w:rPr>
          <w:rFonts w:ascii="Arial" w:hAnsi="Arial"/>
          <w:color w:val="231F20"/>
          <w:spacing w:val="-5"/>
          <w:sz w:val="14"/>
        </w:rPr>
        <w:t> </w:t>
      </w:r>
      <w:r>
        <w:rPr>
          <w:rFonts w:ascii="Arial" w:hAnsi="Arial"/>
          <w:i/>
          <w:color w:val="231F20"/>
          <w:sz w:val="14"/>
        </w:rPr>
        <w:t>/</w:t>
      </w:r>
      <w:r>
        <w:rPr>
          <w:rFonts w:ascii="Arial" w:hAnsi="Arial"/>
          <w:i/>
          <w:color w:val="231F20"/>
          <w:spacing w:val="-4"/>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travail:</w:t>
      </w:r>
      <w:r>
        <w:rPr>
          <w:rFonts w:ascii="Arial" w:hAnsi="Arial"/>
          <w:color w:val="231F20"/>
          <w:spacing w:val="-4"/>
          <w:sz w:val="14"/>
        </w:rPr>
        <w:t> </w:t>
      </w:r>
      <w:r>
        <w:rPr>
          <w:rFonts w:ascii="Arial" w:hAnsi="Arial"/>
          <w:color w:val="231F20"/>
          <w:sz w:val="14"/>
        </w:rPr>
        <w:t>vue</w:t>
      </w:r>
      <w:r>
        <w:rPr>
          <w:rFonts w:ascii="Arial" w:hAnsi="Arial"/>
          <w:color w:val="231F20"/>
          <w:spacing w:val="-5"/>
          <w:sz w:val="14"/>
        </w:rPr>
        <w:t> </w:t>
      </w:r>
      <w:r>
        <w:rPr>
          <w:rFonts w:ascii="Arial" w:hAnsi="Arial"/>
          <w:color w:val="231F20"/>
          <w:spacing w:val="-2"/>
          <w:sz w:val="14"/>
        </w:rPr>
        <w:t>d’ensemble</w:t>
      </w:r>
    </w:p>
    <w:p>
      <w:pPr>
        <w:pStyle w:val="BodyText"/>
        <w:rPr>
          <w:rFonts w:ascii="Arial"/>
          <w:sz w:val="20"/>
        </w:rPr>
      </w:pPr>
    </w:p>
    <w:p>
      <w:pPr>
        <w:pStyle w:val="BodyText"/>
        <w:rPr>
          <w:rFonts w:ascii="Arial"/>
          <w:sz w:val="20"/>
        </w:rPr>
      </w:pPr>
    </w:p>
    <w:p>
      <w:pPr>
        <w:pStyle w:val="BodyText"/>
        <w:spacing w:before="3"/>
        <w:rPr>
          <w:rFonts w:ascii="Arial"/>
          <w:sz w:val="27"/>
        </w:rPr>
      </w:pPr>
    </w:p>
    <w:p>
      <w:pPr>
        <w:pStyle w:val="Heading2"/>
        <w:numPr>
          <w:ilvl w:val="1"/>
          <w:numId w:val="11"/>
        </w:numPr>
        <w:tabs>
          <w:tab w:pos="871" w:val="left" w:leader="none"/>
          <w:tab w:pos="1179" w:val="left" w:leader="none"/>
        </w:tabs>
        <w:spacing w:line="240" w:lineRule="auto" w:before="0" w:after="0"/>
        <w:ind w:left="870" w:right="0" w:hanging="293"/>
        <w:jc w:val="left"/>
      </w:pPr>
      <w:r>
        <w:rPr>
          <w:b w:val="0"/>
          <w:i/>
          <w:color w:val="231F20"/>
          <w:spacing w:val="-10"/>
        </w:rPr>
        <w:t>/</w:t>
      </w:r>
      <w:r>
        <w:rPr>
          <w:b w:val="0"/>
          <w:i/>
          <w:color w:val="231F20"/>
        </w:rPr>
        <w:tab/>
      </w:r>
      <w:r>
        <w:rPr>
          <w:color w:val="231F20"/>
          <w:spacing w:val="-2"/>
          <w:w w:val="95"/>
        </w:rPr>
        <w:t>Post-</w:t>
      </w:r>
      <w:r>
        <w:rPr>
          <w:color w:val="231F20"/>
          <w:spacing w:val="-2"/>
        </w:rPr>
        <w:t>scriptum</w:t>
      </w:r>
    </w:p>
    <w:p>
      <w:pPr>
        <w:pStyle w:val="BodyText"/>
        <w:spacing w:before="9"/>
        <w:rPr>
          <w:rFonts w:ascii="Arial"/>
          <w:b/>
          <w:sz w:val="25"/>
        </w:rPr>
      </w:pPr>
    </w:p>
    <w:p>
      <w:pPr>
        <w:pStyle w:val="BodyText"/>
        <w:spacing w:line="307" w:lineRule="auto" w:before="1"/>
        <w:ind w:left="1180" w:right="245"/>
        <w:jc w:val="both"/>
      </w:pPr>
      <w:r>
        <w:rPr>
          <w:color w:val="231F20"/>
          <w:w w:val="120"/>
        </w:rPr>
        <w:t>Dans la plupart des entreprises, l’organisation du travail subit encore </w:t>
      </w:r>
      <w:r>
        <w:rPr>
          <w:color w:val="231F20"/>
          <w:w w:val="115"/>
        </w:rPr>
        <w:t>l’influence</w:t>
      </w:r>
      <w:r>
        <w:rPr>
          <w:color w:val="231F20"/>
          <w:spacing w:val="-6"/>
          <w:w w:val="115"/>
        </w:rPr>
        <w:t> </w:t>
      </w:r>
      <w:r>
        <w:rPr>
          <w:color w:val="231F20"/>
          <w:w w:val="115"/>
        </w:rPr>
        <w:t>des</w:t>
      </w:r>
      <w:r>
        <w:rPr>
          <w:color w:val="231F20"/>
          <w:spacing w:val="-6"/>
          <w:w w:val="115"/>
        </w:rPr>
        <w:t> </w:t>
      </w:r>
      <w:r>
        <w:rPr>
          <w:color w:val="231F20"/>
          <w:w w:val="115"/>
        </w:rPr>
        <w:t>modèles</w:t>
      </w:r>
      <w:r>
        <w:rPr>
          <w:color w:val="231F20"/>
          <w:spacing w:val="-6"/>
          <w:w w:val="115"/>
        </w:rPr>
        <w:t> </w:t>
      </w:r>
      <w:r>
        <w:rPr>
          <w:color w:val="231F20"/>
          <w:w w:val="115"/>
        </w:rPr>
        <w:t>de</w:t>
      </w:r>
      <w:r>
        <w:rPr>
          <w:color w:val="231F20"/>
          <w:spacing w:val="-6"/>
          <w:w w:val="115"/>
        </w:rPr>
        <w:t> </w:t>
      </w:r>
      <w:r>
        <w:rPr>
          <w:color w:val="231F20"/>
          <w:w w:val="115"/>
        </w:rPr>
        <w:t>gestion</w:t>
      </w:r>
      <w:r>
        <w:rPr>
          <w:color w:val="231F20"/>
          <w:spacing w:val="-6"/>
          <w:w w:val="115"/>
        </w:rPr>
        <w:t> </w:t>
      </w:r>
      <w:r>
        <w:rPr>
          <w:color w:val="231F20"/>
          <w:w w:val="115"/>
        </w:rPr>
        <w:t>traditionnels</w:t>
      </w:r>
      <w:r>
        <w:rPr>
          <w:color w:val="231F20"/>
          <w:spacing w:val="-6"/>
          <w:w w:val="115"/>
        </w:rPr>
        <w:t> </w:t>
      </w:r>
      <w:r>
        <w:rPr>
          <w:color w:val="231F20"/>
          <w:w w:val="115"/>
        </w:rPr>
        <w:t>qui</w:t>
      </w:r>
      <w:r>
        <w:rPr>
          <w:color w:val="231F20"/>
          <w:spacing w:val="-6"/>
          <w:w w:val="115"/>
        </w:rPr>
        <w:t> </w:t>
      </w:r>
      <w:r>
        <w:rPr>
          <w:color w:val="231F20"/>
          <w:w w:val="115"/>
        </w:rPr>
        <w:t>mettent</w:t>
      </w:r>
      <w:r>
        <w:rPr>
          <w:color w:val="231F20"/>
          <w:spacing w:val="-6"/>
          <w:w w:val="115"/>
        </w:rPr>
        <w:t> </w:t>
      </w:r>
      <w:r>
        <w:rPr>
          <w:color w:val="231F20"/>
          <w:w w:val="115"/>
        </w:rPr>
        <w:t>l’accent</w:t>
      </w:r>
      <w:r>
        <w:rPr>
          <w:color w:val="231F20"/>
          <w:spacing w:val="-6"/>
          <w:w w:val="115"/>
        </w:rPr>
        <w:t> </w:t>
      </w:r>
      <w:r>
        <w:rPr>
          <w:color w:val="231F20"/>
          <w:w w:val="115"/>
        </w:rPr>
        <w:t>prio- </w:t>
      </w:r>
      <w:r>
        <w:rPr>
          <w:color w:val="231F20"/>
          <w:w w:val="120"/>
        </w:rPr>
        <w:t>ritairement</w:t>
      </w:r>
      <w:r>
        <w:rPr>
          <w:color w:val="231F20"/>
          <w:spacing w:val="-1"/>
          <w:w w:val="120"/>
        </w:rPr>
        <w:t> </w:t>
      </w:r>
      <w:r>
        <w:rPr>
          <w:color w:val="231F20"/>
          <w:w w:val="120"/>
        </w:rPr>
        <w:t>sur</w:t>
      </w:r>
      <w:r>
        <w:rPr>
          <w:color w:val="231F20"/>
          <w:spacing w:val="-1"/>
          <w:w w:val="120"/>
        </w:rPr>
        <w:t> </w:t>
      </w:r>
      <w:r>
        <w:rPr>
          <w:color w:val="231F20"/>
          <w:w w:val="120"/>
        </w:rPr>
        <w:t>l’atteinte</w:t>
      </w:r>
      <w:r>
        <w:rPr>
          <w:color w:val="231F20"/>
          <w:spacing w:val="-1"/>
          <w:w w:val="120"/>
        </w:rPr>
        <w:t> </w:t>
      </w:r>
      <w:r>
        <w:rPr>
          <w:color w:val="231F20"/>
          <w:w w:val="120"/>
        </w:rPr>
        <w:t>d’objectifs</w:t>
      </w:r>
      <w:r>
        <w:rPr>
          <w:color w:val="231F20"/>
          <w:spacing w:val="-1"/>
          <w:w w:val="120"/>
        </w:rPr>
        <w:t> </w:t>
      </w:r>
      <w:r>
        <w:rPr>
          <w:color w:val="231F20"/>
          <w:w w:val="120"/>
        </w:rPr>
        <w:t>économiques.</w:t>
      </w:r>
      <w:r>
        <w:rPr>
          <w:color w:val="231F20"/>
          <w:spacing w:val="-1"/>
          <w:w w:val="120"/>
        </w:rPr>
        <w:t> </w:t>
      </w:r>
      <w:r>
        <w:rPr>
          <w:color w:val="231F20"/>
          <w:w w:val="120"/>
        </w:rPr>
        <w:t>Cependant,</w:t>
      </w:r>
      <w:r>
        <w:rPr>
          <w:color w:val="231F20"/>
          <w:spacing w:val="-1"/>
          <w:w w:val="120"/>
        </w:rPr>
        <w:t> </w:t>
      </w:r>
      <w:r>
        <w:rPr>
          <w:color w:val="231F20"/>
          <w:w w:val="120"/>
        </w:rPr>
        <w:t>la</w:t>
      </w:r>
      <w:r>
        <w:rPr>
          <w:color w:val="231F20"/>
          <w:spacing w:val="-1"/>
          <w:w w:val="120"/>
        </w:rPr>
        <w:t> </w:t>
      </w:r>
      <w:r>
        <w:rPr>
          <w:color w:val="231F20"/>
          <w:w w:val="120"/>
        </w:rPr>
        <w:t>com- </w:t>
      </w:r>
      <w:r>
        <w:rPr>
          <w:color w:val="231F20"/>
          <w:spacing w:val="-4"/>
          <w:w w:val="120"/>
        </w:rPr>
        <w:t>plexité des changements d’ordre social, économique et culturel fait naître </w:t>
      </w:r>
      <w:r>
        <w:rPr>
          <w:color w:val="231F20"/>
          <w:spacing w:val="-2"/>
          <w:w w:val="120"/>
        </w:rPr>
        <w:t>une</w:t>
      </w:r>
      <w:r>
        <w:rPr>
          <w:color w:val="231F20"/>
          <w:spacing w:val="-5"/>
          <w:w w:val="120"/>
        </w:rPr>
        <w:t> </w:t>
      </w:r>
      <w:r>
        <w:rPr>
          <w:color w:val="231F20"/>
          <w:spacing w:val="-2"/>
          <w:w w:val="120"/>
        </w:rPr>
        <w:t>nouvelle</w:t>
      </w:r>
      <w:r>
        <w:rPr>
          <w:color w:val="231F20"/>
          <w:spacing w:val="-5"/>
          <w:w w:val="120"/>
        </w:rPr>
        <w:t> </w:t>
      </w:r>
      <w:r>
        <w:rPr>
          <w:color w:val="231F20"/>
          <w:spacing w:val="-2"/>
          <w:w w:val="120"/>
        </w:rPr>
        <w:t>toxicologie</w:t>
      </w:r>
      <w:r>
        <w:rPr>
          <w:color w:val="231F20"/>
          <w:spacing w:val="-5"/>
          <w:w w:val="120"/>
        </w:rPr>
        <w:t> </w:t>
      </w:r>
      <w:r>
        <w:rPr>
          <w:color w:val="231F20"/>
          <w:spacing w:val="-2"/>
          <w:w w:val="120"/>
        </w:rPr>
        <w:t>du</w:t>
      </w:r>
      <w:r>
        <w:rPr>
          <w:color w:val="231F20"/>
          <w:spacing w:val="-5"/>
          <w:w w:val="120"/>
        </w:rPr>
        <w:t> </w:t>
      </w:r>
      <w:r>
        <w:rPr>
          <w:color w:val="231F20"/>
          <w:spacing w:val="-2"/>
          <w:w w:val="120"/>
        </w:rPr>
        <w:t>milieu</w:t>
      </w:r>
      <w:r>
        <w:rPr>
          <w:color w:val="231F20"/>
          <w:spacing w:val="-5"/>
          <w:w w:val="120"/>
        </w:rPr>
        <w:t> </w:t>
      </w:r>
      <w:r>
        <w:rPr>
          <w:color w:val="231F20"/>
          <w:spacing w:val="-2"/>
          <w:w w:val="120"/>
        </w:rPr>
        <w:t>de</w:t>
      </w:r>
      <w:r>
        <w:rPr>
          <w:color w:val="231F20"/>
          <w:spacing w:val="-5"/>
          <w:w w:val="120"/>
        </w:rPr>
        <w:t> </w:t>
      </w:r>
      <w:r>
        <w:rPr>
          <w:color w:val="231F20"/>
          <w:spacing w:val="-2"/>
          <w:w w:val="120"/>
        </w:rPr>
        <w:t>travail:</w:t>
      </w:r>
      <w:r>
        <w:rPr>
          <w:color w:val="231F20"/>
          <w:spacing w:val="-5"/>
          <w:w w:val="120"/>
        </w:rPr>
        <w:t> </w:t>
      </w:r>
      <w:r>
        <w:rPr>
          <w:color w:val="231F20"/>
          <w:spacing w:val="-2"/>
          <w:w w:val="120"/>
        </w:rPr>
        <w:t>le</w:t>
      </w:r>
      <w:r>
        <w:rPr>
          <w:color w:val="231F20"/>
          <w:spacing w:val="-5"/>
          <w:w w:val="120"/>
        </w:rPr>
        <w:t> </w:t>
      </w:r>
      <w:r>
        <w:rPr>
          <w:color w:val="231F20"/>
          <w:spacing w:val="-2"/>
          <w:w w:val="120"/>
        </w:rPr>
        <w:t>stress</w:t>
      </w:r>
      <w:r>
        <w:rPr>
          <w:color w:val="231F20"/>
          <w:spacing w:val="-5"/>
          <w:w w:val="120"/>
        </w:rPr>
        <w:t> </w:t>
      </w:r>
      <w:r>
        <w:rPr>
          <w:color w:val="231F20"/>
          <w:spacing w:val="-2"/>
          <w:w w:val="120"/>
        </w:rPr>
        <w:t>professionnel.</w:t>
      </w:r>
      <w:r>
        <w:rPr>
          <w:color w:val="231F20"/>
          <w:spacing w:val="-5"/>
          <w:w w:val="120"/>
        </w:rPr>
        <w:t> </w:t>
      </w:r>
      <w:r>
        <w:rPr>
          <w:color w:val="231F20"/>
          <w:spacing w:val="-2"/>
          <w:w w:val="120"/>
        </w:rPr>
        <w:t>La </w:t>
      </w:r>
      <w:r>
        <w:rPr>
          <w:color w:val="231F20"/>
          <w:w w:val="120"/>
        </w:rPr>
        <w:t>mondialisation</w:t>
      </w:r>
      <w:r>
        <w:rPr>
          <w:color w:val="231F20"/>
          <w:spacing w:val="-12"/>
          <w:w w:val="120"/>
        </w:rPr>
        <w:t> </w:t>
      </w:r>
      <w:r>
        <w:rPr>
          <w:color w:val="231F20"/>
          <w:w w:val="120"/>
        </w:rPr>
        <w:t>des</w:t>
      </w:r>
      <w:r>
        <w:rPr>
          <w:color w:val="231F20"/>
          <w:spacing w:val="-12"/>
          <w:w w:val="120"/>
        </w:rPr>
        <w:t> </w:t>
      </w:r>
      <w:r>
        <w:rPr>
          <w:color w:val="231F20"/>
          <w:w w:val="120"/>
        </w:rPr>
        <w:t>marchés</w:t>
      </w:r>
      <w:r>
        <w:rPr>
          <w:color w:val="231F20"/>
          <w:spacing w:val="-12"/>
          <w:w w:val="120"/>
        </w:rPr>
        <w:t> </w:t>
      </w:r>
      <w:r>
        <w:rPr>
          <w:color w:val="231F20"/>
          <w:w w:val="120"/>
        </w:rPr>
        <w:t>et</w:t>
      </w:r>
      <w:r>
        <w:rPr>
          <w:color w:val="231F20"/>
          <w:spacing w:val="-12"/>
          <w:w w:val="120"/>
        </w:rPr>
        <w:t> </w:t>
      </w:r>
      <w:r>
        <w:rPr>
          <w:color w:val="231F20"/>
          <w:w w:val="120"/>
        </w:rPr>
        <w:t>la</w:t>
      </w:r>
      <w:r>
        <w:rPr>
          <w:color w:val="231F20"/>
          <w:spacing w:val="-12"/>
          <w:w w:val="120"/>
        </w:rPr>
        <w:t> </w:t>
      </w:r>
      <w:r>
        <w:rPr>
          <w:color w:val="231F20"/>
          <w:w w:val="120"/>
        </w:rPr>
        <w:t>concurrence</w:t>
      </w:r>
      <w:r>
        <w:rPr>
          <w:color w:val="231F20"/>
          <w:spacing w:val="-12"/>
          <w:w w:val="120"/>
        </w:rPr>
        <w:t> </w:t>
      </w:r>
      <w:r>
        <w:rPr>
          <w:color w:val="231F20"/>
          <w:w w:val="120"/>
        </w:rPr>
        <w:t>féroce</w:t>
      </w:r>
      <w:r>
        <w:rPr>
          <w:color w:val="231F20"/>
          <w:spacing w:val="-12"/>
          <w:w w:val="120"/>
        </w:rPr>
        <w:t> </w:t>
      </w:r>
      <w:r>
        <w:rPr>
          <w:color w:val="231F20"/>
          <w:w w:val="120"/>
        </w:rPr>
        <w:t>amènent</w:t>
      </w:r>
      <w:r>
        <w:rPr>
          <w:color w:val="231F20"/>
          <w:spacing w:val="-12"/>
          <w:w w:val="120"/>
        </w:rPr>
        <w:t> </w:t>
      </w:r>
      <w:r>
        <w:rPr>
          <w:color w:val="231F20"/>
          <w:w w:val="120"/>
        </w:rPr>
        <w:t>les</w:t>
      </w:r>
      <w:r>
        <w:rPr>
          <w:color w:val="231F20"/>
          <w:spacing w:val="-12"/>
          <w:w w:val="120"/>
        </w:rPr>
        <w:t> </w:t>
      </w:r>
      <w:r>
        <w:rPr>
          <w:color w:val="231F20"/>
          <w:w w:val="120"/>
        </w:rPr>
        <w:t>entre- prises à prendre conscience que leur compétitivité passe par l’innova- </w:t>
      </w:r>
      <w:r>
        <w:rPr>
          <w:color w:val="231F20"/>
          <w:spacing w:val="-2"/>
          <w:w w:val="120"/>
        </w:rPr>
        <w:t>tion</w:t>
      </w:r>
      <w:r>
        <w:rPr>
          <w:color w:val="231F20"/>
          <w:spacing w:val="-10"/>
          <w:w w:val="120"/>
        </w:rPr>
        <w:t> </w:t>
      </w:r>
      <w:r>
        <w:rPr>
          <w:color w:val="231F20"/>
          <w:spacing w:val="-2"/>
          <w:w w:val="120"/>
        </w:rPr>
        <w:t>et</w:t>
      </w:r>
      <w:r>
        <w:rPr>
          <w:color w:val="231F20"/>
          <w:spacing w:val="-10"/>
          <w:w w:val="120"/>
        </w:rPr>
        <w:t> </w:t>
      </w:r>
      <w:r>
        <w:rPr>
          <w:color w:val="231F20"/>
          <w:spacing w:val="-2"/>
          <w:w w:val="120"/>
        </w:rPr>
        <w:t>par</w:t>
      </w:r>
      <w:r>
        <w:rPr>
          <w:color w:val="231F20"/>
          <w:spacing w:val="-10"/>
          <w:w w:val="120"/>
        </w:rPr>
        <w:t> </w:t>
      </w:r>
      <w:r>
        <w:rPr>
          <w:color w:val="231F20"/>
          <w:spacing w:val="-2"/>
          <w:w w:val="120"/>
        </w:rPr>
        <w:t>leur</w:t>
      </w:r>
      <w:r>
        <w:rPr>
          <w:color w:val="231F20"/>
          <w:spacing w:val="-10"/>
          <w:w w:val="120"/>
        </w:rPr>
        <w:t> </w:t>
      </w:r>
      <w:r>
        <w:rPr>
          <w:color w:val="231F20"/>
          <w:spacing w:val="-2"/>
          <w:w w:val="120"/>
        </w:rPr>
        <w:t>capacité</w:t>
      </w:r>
      <w:r>
        <w:rPr>
          <w:color w:val="231F20"/>
          <w:spacing w:val="-10"/>
          <w:w w:val="120"/>
        </w:rPr>
        <w:t> </w:t>
      </w:r>
      <w:r>
        <w:rPr>
          <w:color w:val="231F20"/>
          <w:spacing w:val="-2"/>
          <w:w w:val="120"/>
        </w:rPr>
        <w:t>à</w:t>
      </w:r>
      <w:r>
        <w:rPr>
          <w:color w:val="231F20"/>
          <w:spacing w:val="-10"/>
          <w:w w:val="120"/>
        </w:rPr>
        <w:t> </w:t>
      </w:r>
      <w:r>
        <w:rPr>
          <w:color w:val="231F20"/>
          <w:spacing w:val="-2"/>
          <w:w w:val="120"/>
        </w:rPr>
        <w:t>répondre</w:t>
      </w:r>
      <w:r>
        <w:rPr>
          <w:color w:val="231F20"/>
          <w:spacing w:val="-10"/>
          <w:w w:val="120"/>
        </w:rPr>
        <w:t> </w:t>
      </w:r>
      <w:r>
        <w:rPr>
          <w:color w:val="231F20"/>
          <w:spacing w:val="-2"/>
          <w:w w:val="120"/>
        </w:rPr>
        <w:t>tant</w:t>
      </w:r>
      <w:r>
        <w:rPr>
          <w:color w:val="231F20"/>
          <w:spacing w:val="-10"/>
          <w:w w:val="120"/>
        </w:rPr>
        <w:t> </w:t>
      </w:r>
      <w:r>
        <w:rPr>
          <w:color w:val="231F20"/>
          <w:spacing w:val="-2"/>
          <w:w w:val="120"/>
        </w:rPr>
        <w:t>aux</w:t>
      </w:r>
      <w:r>
        <w:rPr>
          <w:color w:val="231F20"/>
          <w:spacing w:val="-10"/>
          <w:w w:val="120"/>
        </w:rPr>
        <w:t> </w:t>
      </w:r>
      <w:r>
        <w:rPr>
          <w:color w:val="231F20"/>
          <w:spacing w:val="-2"/>
          <w:w w:val="120"/>
        </w:rPr>
        <w:t>besoins</w:t>
      </w:r>
      <w:r>
        <w:rPr>
          <w:color w:val="231F20"/>
          <w:spacing w:val="-10"/>
          <w:w w:val="120"/>
        </w:rPr>
        <w:t> </w:t>
      </w:r>
      <w:r>
        <w:rPr>
          <w:color w:val="231F20"/>
          <w:spacing w:val="-2"/>
          <w:w w:val="120"/>
        </w:rPr>
        <w:t>de</w:t>
      </w:r>
      <w:r>
        <w:rPr>
          <w:color w:val="231F20"/>
          <w:spacing w:val="-10"/>
          <w:w w:val="120"/>
        </w:rPr>
        <w:t> </w:t>
      </w:r>
      <w:r>
        <w:rPr>
          <w:color w:val="231F20"/>
          <w:spacing w:val="-2"/>
          <w:w w:val="120"/>
        </w:rPr>
        <w:t>leur</w:t>
      </w:r>
      <w:r>
        <w:rPr>
          <w:color w:val="231F20"/>
          <w:spacing w:val="-10"/>
          <w:w w:val="120"/>
        </w:rPr>
        <w:t> </w:t>
      </w:r>
      <w:r>
        <w:rPr>
          <w:color w:val="231F20"/>
          <w:spacing w:val="-2"/>
          <w:w w:val="120"/>
        </w:rPr>
        <w:t>clientèle</w:t>
      </w:r>
      <w:r>
        <w:rPr>
          <w:color w:val="231F20"/>
          <w:spacing w:val="-10"/>
          <w:w w:val="120"/>
        </w:rPr>
        <w:t> </w:t>
      </w:r>
      <w:r>
        <w:rPr>
          <w:color w:val="231F20"/>
          <w:spacing w:val="-2"/>
          <w:w w:val="120"/>
        </w:rPr>
        <w:t>qu’à </w:t>
      </w:r>
      <w:r>
        <w:rPr>
          <w:color w:val="231F20"/>
          <w:w w:val="120"/>
        </w:rPr>
        <w:t>ceux</w:t>
      </w:r>
      <w:r>
        <w:rPr>
          <w:color w:val="231F20"/>
          <w:spacing w:val="-8"/>
          <w:w w:val="120"/>
        </w:rPr>
        <w:t> </w:t>
      </w:r>
      <w:r>
        <w:rPr>
          <w:color w:val="231F20"/>
          <w:w w:val="120"/>
        </w:rPr>
        <w:t>de</w:t>
      </w:r>
      <w:r>
        <w:rPr>
          <w:color w:val="231F20"/>
          <w:spacing w:val="-8"/>
          <w:w w:val="120"/>
        </w:rPr>
        <w:t> </w:t>
      </w:r>
      <w:r>
        <w:rPr>
          <w:color w:val="231F20"/>
          <w:w w:val="120"/>
        </w:rPr>
        <w:t>leur</w:t>
      </w:r>
      <w:r>
        <w:rPr>
          <w:color w:val="231F20"/>
          <w:spacing w:val="-8"/>
          <w:w w:val="120"/>
        </w:rPr>
        <w:t> </w:t>
      </w:r>
      <w:r>
        <w:rPr>
          <w:color w:val="231F20"/>
          <w:w w:val="120"/>
        </w:rPr>
        <w:t>personnel,</w:t>
      </w:r>
      <w:r>
        <w:rPr>
          <w:color w:val="231F20"/>
          <w:spacing w:val="-8"/>
          <w:w w:val="120"/>
        </w:rPr>
        <w:t> </w:t>
      </w:r>
      <w:r>
        <w:rPr>
          <w:color w:val="231F20"/>
          <w:w w:val="120"/>
        </w:rPr>
        <w:t>bien</w:t>
      </w:r>
      <w:r>
        <w:rPr>
          <w:color w:val="231F20"/>
          <w:spacing w:val="-8"/>
          <w:w w:val="120"/>
        </w:rPr>
        <w:t> </w:t>
      </w:r>
      <w:r>
        <w:rPr>
          <w:color w:val="231F20"/>
          <w:w w:val="120"/>
        </w:rPr>
        <w:t>que</w:t>
      </w:r>
      <w:r>
        <w:rPr>
          <w:color w:val="231F20"/>
          <w:spacing w:val="-8"/>
          <w:w w:val="120"/>
        </w:rPr>
        <w:t> </w:t>
      </w:r>
      <w:r>
        <w:rPr>
          <w:color w:val="231F20"/>
          <w:w w:val="120"/>
        </w:rPr>
        <w:t>plusieurs</w:t>
      </w:r>
      <w:r>
        <w:rPr>
          <w:color w:val="231F20"/>
          <w:spacing w:val="-8"/>
          <w:w w:val="120"/>
        </w:rPr>
        <w:t> </w:t>
      </w:r>
      <w:r>
        <w:rPr>
          <w:color w:val="231F20"/>
          <w:w w:val="120"/>
        </w:rPr>
        <w:t>cherchent</w:t>
      </w:r>
      <w:r>
        <w:rPr>
          <w:color w:val="231F20"/>
          <w:spacing w:val="-8"/>
          <w:w w:val="120"/>
        </w:rPr>
        <w:t> </w:t>
      </w:r>
      <w:r>
        <w:rPr>
          <w:color w:val="231F20"/>
          <w:w w:val="120"/>
        </w:rPr>
        <w:t>encore</w:t>
      </w:r>
      <w:r>
        <w:rPr>
          <w:color w:val="231F20"/>
          <w:spacing w:val="-8"/>
          <w:w w:val="120"/>
        </w:rPr>
        <w:t> </w:t>
      </w:r>
      <w:r>
        <w:rPr>
          <w:color w:val="231F20"/>
          <w:w w:val="120"/>
        </w:rPr>
        <w:t>le</w:t>
      </w:r>
      <w:r>
        <w:rPr>
          <w:color w:val="231F20"/>
          <w:spacing w:val="-8"/>
          <w:w w:val="120"/>
        </w:rPr>
        <w:t> </w:t>
      </w:r>
      <w:r>
        <w:rPr>
          <w:color w:val="231F20"/>
          <w:w w:val="120"/>
        </w:rPr>
        <w:t>meilleur moyen d’y arriver.</w:t>
      </w:r>
    </w:p>
    <w:p>
      <w:pPr>
        <w:pStyle w:val="BodyText"/>
        <w:spacing w:line="307" w:lineRule="auto" w:before="78"/>
        <w:ind w:left="1179" w:right="240" w:firstLine="250"/>
        <w:jc w:val="both"/>
      </w:pPr>
      <w:r>
        <w:rPr>
          <w:color w:val="231F20"/>
          <w:w w:val="115"/>
        </w:rPr>
        <w:t>Qui</w:t>
      </w:r>
      <w:r>
        <w:rPr>
          <w:color w:val="231F20"/>
          <w:spacing w:val="-6"/>
          <w:w w:val="115"/>
        </w:rPr>
        <w:t> </w:t>
      </w:r>
      <w:r>
        <w:rPr>
          <w:color w:val="231F20"/>
          <w:w w:val="115"/>
        </w:rPr>
        <w:t>plus</w:t>
      </w:r>
      <w:r>
        <w:rPr>
          <w:color w:val="231F20"/>
          <w:spacing w:val="-6"/>
          <w:w w:val="115"/>
        </w:rPr>
        <w:t> </w:t>
      </w:r>
      <w:r>
        <w:rPr>
          <w:color w:val="231F20"/>
          <w:w w:val="115"/>
        </w:rPr>
        <w:t>est,</w:t>
      </w:r>
      <w:r>
        <w:rPr>
          <w:color w:val="231F20"/>
          <w:spacing w:val="-6"/>
          <w:w w:val="115"/>
        </w:rPr>
        <w:t> </w:t>
      </w:r>
      <w:r>
        <w:rPr>
          <w:color w:val="231F20"/>
          <w:w w:val="115"/>
        </w:rPr>
        <w:t>les</w:t>
      </w:r>
      <w:r>
        <w:rPr>
          <w:color w:val="231F20"/>
          <w:spacing w:val="-6"/>
          <w:w w:val="115"/>
        </w:rPr>
        <w:t> </w:t>
      </w:r>
      <w:r>
        <w:rPr>
          <w:color w:val="231F20"/>
          <w:w w:val="115"/>
        </w:rPr>
        <w:t>travailleurs</w:t>
      </w:r>
      <w:r>
        <w:rPr>
          <w:color w:val="231F20"/>
          <w:spacing w:val="-6"/>
          <w:w w:val="115"/>
        </w:rPr>
        <w:t> </w:t>
      </w:r>
      <w:r>
        <w:rPr>
          <w:color w:val="231F20"/>
          <w:w w:val="115"/>
        </w:rPr>
        <w:t>sont</w:t>
      </w:r>
      <w:r>
        <w:rPr>
          <w:color w:val="231F20"/>
          <w:spacing w:val="-6"/>
          <w:w w:val="115"/>
        </w:rPr>
        <w:t> </w:t>
      </w:r>
      <w:r>
        <w:rPr>
          <w:color w:val="231F20"/>
          <w:w w:val="115"/>
        </w:rPr>
        <w:t>de</w:t>
      </w:r>
      <w:r>
        <w:rPr>
          <w:color w:val="231F20"/>
          <w:spacing w:val="-6"/>
          <w:w w:val="115"/>
        </w:rPr>
        <w:t> </w:t>
      </w:r>
      <w:r>
        <w:rPr>
          <w:color w:val="231F20"/>
          <w:w w:val="115"/>
        </w:rPr>
        <w:t>plus</w:t>
      </w:r>
      <w:r>
        <w:rPr>
          <w:color w:val="231F20"/>
          <w:spacing w:val="-6"/>
          <w:w w:val="115"/>
        </w:rPr>
        <w:t> </w:t>
      </w:r>
      <w:r>
        <w:rPr>
          <w:color w:val="231F20"/>
          <w:w w:val="115"/>
        </w:rPr>
        <w:t>en</w:t>
      </w:r>
      <w:r>
        <w:rPr>
          <w:color w:val="231F20"/>
          <w:spacing w:val="-6"/>
          <w:w w:val="115"/>
        </w:rPr>
        <w:t> </w:t>
      </w:r>
      <w:r>
        <w:rPr>
          <w:color w:val="231F20"/>
          <w:w w:val="115"/>
        </w:rPr>
        <w:t>plus</w:t>
      </w:r>
      <w:r>
        <w:rPr>
          <w:color w:val="231F20"/>
          <w:spacing w:val="-6"/>
          <w:w w:val="115"/>
        </w:rPr>
        <w:t> </w:t>
      </w:r>
      <w:r>
        <w:rPr>
          <w:color w:val="231F20"/>
          <w:w w:val="115"/>
        </w:rPr>
        <w:t>scolarisés</w:t>
      </w:r>
      <w:r>
        <w:rPr>
          <w:color w:val="231F20"/>
          <w:spacing w:val="-6"/>
          <w:w w:val="115"/>
        </w:rPr>
        <w:t> </w:t>
      </w:r>
      <w:r>
        <w:rPr>
          <w:color w:val="231F20"/>
          <w:w w:val="115"/>
        </w:rPr>
        <w:t>et</w:t>
      </w:r>
      <w:r>
        <w:rPr>
          <w:color w:val="231F20"/>
          <w:spacing w:val="-6"/>
          <w:w w:val="115"/>
        </w:rPr>
        <w:t> </w:t>
      </w:r>
      <w:r>
        <w:rPr>
          <w:color w:val="231F20"/>
          <w:w w:val="115"/>
        </w:rPr>
        <w:t>de</w:t>
      </w:r>
      <w:r>
        <w:rPr>
          <w:color w:val="231F20"/>
          <w:spacing w:val="-6"/>
          <w:w w:val="115"/>
        </w:rPr>
        <w:t> </w:t>
      </w:r>
      <w:r>
        <w:rPr>
          <w:color w:val="231F20"/>
          <w:w w:val="115"/>
        </w:rPr>
        <w:t>mieux en</w:t>
      </w:r>
      <w:r>
        <w:rPr>
          <w:color w:val="231F20"/>
          <w:spacing w:val="-13"/>
          <w:w w:val="115"/>
        </w:rPr>
        <w:t> </w:t>
      </w:r>
      <w:r>
        <w:rPr>
          <w:color w:val="231F20"/>
          <w:w w:val="115"/>
        </w:rPr>
        <w:t>mieux</w:t>
      </w:r>
      <w:r>
        <w:rPr>
          <w:color w:val="231F20"/>
          <w:spacing w:val="-12"/>
          <w:w w:val="115"/>
        </w:rPr>
        <w:t> </w:t>
      </w:r>
      <w:r>
        <w:rPr>
          <w:color w:val="231F20"/>
          <w:w w:val="115"/>
        </w:rPr>
        <w:t>formés</w:t>
      </w:r>
      <w:r>
        <w:rPr>
          <w:color w:val="231F20"/>
          <w:spacing w:val="-12"/>
          <w:w w:val="115"/>
        </w:rPr>
        <w:t> </w:t>
      </w:r>
      <w:r>
        <w:rPr>
          <w:color w:val="231F20"/>
          <w:w w:val="115"/>
        </w:rPr>
        <w:t>;</w:t>
      </w:r>
      <w:r>
        <w:rPr>
          <w:color w:val="231F20"/>
          <w:spacing w:val="-10"/>
          <w:w w:val="115"/>
        </w:rPr>
        <w:t> </w:t>
      </w:r>
      <w:r>
        <w:rPr>
          <w:color w:val="231F20"/>
          <w:w w:val="115"/>
        </w:rPr>
        <w:t>ils</w:t>
      </w:r>
      <w:r>
        <w:rPr>
          <w:color w:val="231F20"/>
          <w:spacing w:val="-1"/>
          <w:w w:val="115"/>
        </w:rPr>
        <w:t> </w:t>
      </w:r>
      <w:r>
        <w:rPr>
          <w:color w:val="231F20"/>
          <w:w w:val="115"/>
        </w:rPr>
        <w:t>ont</w:t>
      </w:r>
      <w:r>
        <w:rPr>
          <w:color w:val="231F20"/>
          <w:spacing w:val="-1"/>
          <w:w w:val="115"/>
        </w:rPr>
        <w:t> </w:t>
      </w:r>
      <w:r>
        <w:rPr>
          <w:color w:val="231F20"/>
          <w:w w:val="115"/>
        </w:rPr>
        <w:t>de</w:t>
      </w:r>
      <w:r>
        <w:rPr>
          <w:color w:val="231F20"/>
          <w:spacing w:val="-1"/>
          <w:w w:val="115"/>
        </w:rPr>
        <w:t> </w:t>
      </w:r>
      <w:r>
        <w:rPr>
          <w:color w:val="231F20"/>
          <w:w w:val="115"/>
        </w:rPr>
        <w:t>nouvelles</w:t>
      </w:r>
      <w:r>
        <w:rPr>
          <w:color w:val="231F20"/>
          <w:spacing w:val="-1"/>
          <w:w w:val="115"/>
        </w:rPr>
        <w:t> </w:t>
      </w:r>
      <w:r>
        <w:rPr>
          <w:color w:val="231F20"/>
          <w:w w:val="115"/>
        </w:rPr>
        <w:t>attentes</w:t>
      </w:r>
      <w:r>
        <w:rPr>
          <w:color w:val="231F20"/>
          <w:spacing w:val="-13"/>
          <w:w w:val="115"/>
        </w:rPr>
        <w:t> </w:t>
      </w:r>
      <w:r>
        <w:rPr>
          <w:color w:val="231F20"/>
          <w:w w:val="115"/>
        </w:rPr>
        <w:t>; le</w:t>
      </w:r>
      <w:r>
        <w:rPr>
          <w:color w:val="231F20"/>
          <w:spacing w:val="-1"/>
          <w:w w:val="115"/>
        </w:rPr>
        <w:t> </w:t>
      </w:r>
      <w:r>
        <w:rPr>
          <w:color w:val="231F20"/>
          <w:w w:val="115"/>
        </w:rPr>
        <w:t>travail</w:t>
      </w:r>
      <w:r>
        <w:rPr>
          <w:color w:val="231F20"/>
          <w:spacing w:val="-1"/>
          <w:w w:val="115"/>
        </w:rPr>
        <w:t> </w:t>
      </w:r>
      <w:r>
        <w:rPr>
          <w:color w:val="231F20"/>
          <w:w w:val="115"/>
        </w:rPr>
        <w:t>ne</w:t>
      </w:r>
      <w:r>
        <w:rPr>
          <w:color w:val="231F20"/>
          <w:spacing w:val="-1"/>
          <w:w w:val="115"/>
        </w:rPr>
        <w:t> </w:t>
      </w:r>
      <w:r>
        <w:rPr>
          <w:color w:val="231F20"/>
          <w:w w:val="115"/>
        </w:rPr>
        <w:t>se</w:t>
      </w:r>
      <w:r>
        <w:rPr>
          <w:color w:val="231F20"/>
          <w:spacing w:val="-1"/>
          <w:w w:val="115"/>
        </w:rPr>
        <w:t> </w:t>
      </w:r>
      <w:r>
        <w:rPr>
          <w:color w:val="231F20"/>
          <w:w w:val="115"/>
        </w:rPr>
        <w:t>borne</w:t>
      </w:r>
      <w:r>
        <w:rPr>
          <w:color w:val="231F20"/>
          <w:spacing w:val="-1"/>
          <w:w w:val="115"/>
        </w:rPr>
        <w:t> </w:t>
      </w:r>
      <w:r>
        <w:rPr>
          <w:color w:val="231F20"/>
          <w:w w:val="115"/>
        </w:rPr>
        <w:t>plus </w:t>
      </w:r>
      <w:r>
        <w:rPr>
          <w:color w:val="231F20"/>
          <w:w w:val="120"/>
        </w:rPr>
        <w:t>à être un moyen de gagner raisonnablement sa vie. Les travailleurs désirent</w:t>
      </w:r>
      <w:r>
        <w:rPr>
          <w:color w:val="231F20"/>
          <w:spacing w:val="-3"/>
          <w:w w:val="120"/>
        </w:rPr>
        <w:t> </w:t>
      </w:r>
      <w:r>
        <w:rPr>
          <w:color w:val="231F20"/>
          <w:w w:val="120"/>
        </w:rPr>
        <w:t>un</w:t>
      </w:r>
      <w:r>
        <w:rPr>
          <w:color w:val="231F20"/>
          <w:spacing w:val="-3"/>
          <w:w w:val="120"/>
        </w:rPr>
        <w:t> </w:t>
      </w:r>
      <w:r>
        <w:rPr>
          <w:color w:val="231F20"/>
          <w:w w:val="120"/>
        </w:rPr>
        <w:t>emploi</w:t>
      </w:r>
      <w:r>
        <w:rPr>
          <w:color w:val="231F20"/>
          <w:spacing w:val="-3"/>
          <w:w w:val="120"/>
        </w:rPr>
        <w:t> </w:t>
      </w:r>
      <w:r>
        <w:rPr>
          <w:color w:val="231F20"/>
          <w:w w:val="120"/>
        </w:rPr>
        <w:t>intéressant,</w:t>
      </w:r>
      <w:r>
        <w:rPr>
          <w:color w:val="231F20"/>
          <w:spacing w:val="-3"/>
          <w:w w:val="120"/>
        </w:rPr>
        <w:t> </w:t>
      </w:r>
      <w:r>
        <w:rPr>
          <w:color w:val="231F20"/>
          <w:w w:val="120"/>
        </w:rPr>
        <w:t>signifiant,</w:t>
      </w:r>
      <w:r>
        <w:rPr>
          <w:color w:val="231F20"/>
          <w:spacing w:val="-3"/>
          <w:w w:val="120"/>
        </w:rPr>
        <w:t> </w:t>
      </w:r>
      <w:r>
        <w:rPr>
          <w:color w:val="231F20"/>
          <w:w w:val="120"/>
        </w:rPr>
        <w:t>stimulant</w:t>
      </w:r>
      <w:r>
        <w:rPr>
          <w:color w:val="231F20"/>
          <w:spacing w:val="-3"/>
          <w:w w:val="120"/>
        </w:rPr>
        <w:t> </w:t>
      </w:r>
      <w:r>
        <w:rPr>
          <w:color w:val="231F20"/>
          <w:w w:val="120"/>
        </w:rPr>
        <w:t>et</w:t>
      </w:r>
      <w:r>
        <w:rPr>
          <w:color w:val="231F20"/>
          <w:spacing w:val="-3"/>
          <w:w w:val="120"/>
        </w:rPr>
        <w:t> </w:t>
      </w:r>
      <w:r>
        <w:rPr>
          <w:color w:val="231F20"/>
          <w:w w:val="120"/>
        </w:rPr>
        <w:t>valorisant20.</w:t>
      </w:r>
      <w:r>
        <w:rPr>
          <w:color w:val="231F20"/>
          <w:spacing w:val="-3"/>
          <w:w w:val="120"/>
        </w:rPr>
        <w:t> </w:t>
      </w:r>
      <w:r>
        <w:rPr>
          <w:color w:val="231F20"/>
          <w:w w:val="120"/>
        </w:rPr>
        <w:t>Ils insistent de plus en plus pour participer à la prise de décision, ce qui oblige les chefs d’entreprise à revoir et à remodeler les postes pour répondre à ces exigences.</w:t>
      </w:r>
    </w:p>
    <w:p>
      <w:pPr>
        <w:pStyle w:val="BodyText"/>
        <w:spacing w:line="307" w:lineRule="auto" w:before="79"/>
        <w:ind w:left="1179" w:right="242" w:firstLine="250"/>
        <w:jc w:val="both"/>
      </w:pPr>
      <w:r>
        <w:rPr>
          <w:color w:val="231F20"/>
          <w:w w:val="115"/>
        </w:rPr>
        <w:t>Nous vivons à une époque où il est de plus en plus difficile de séparer la vie professionnelle et la vie personnelle; les familles éclatent, les gens </w:t>
      </w:r>
      <w:r>
        <w:rPr>
          <w:color w:val="231F20"/>
          <w:w w:val="120"/>
        </w:rPr>
        <w:t>vivent de plus en plus seuls et l’individualisme gagne du terrain. Le milieu de travail devient alors un des rares endroits où les gens ont la possibilité d’interagir, de tirer parti de leurs aptitudes et de contribuer à l’atteinte d’objectifs communs en effectuant un travail qui donne un sens à leur vie. En général, le milieu de travail est appelé à prendre de l’importance dans la satisfaction des besoins d’affiliation, d’estime et d’accomplissement des travailleurs.</w:t>
      </w:r>
    </w:p>
    <w:p>
      <w:pPr>
        <w:pStyle w:val="BodyText"/>
        <w:spacing w:line="307" w:lineRule="auto" w:before="78"/>
        <w:ind w:left="1179" w:right="246" w:firstLine="250"/>
        <w:jc w:val="both"/>
      </w:pPr>
      <w:r>
        <w:rPr>
          <w:color w:val="231F20"/>
          <w:w w:val="115"/>
        </w:rPr>
        <w:t>Si</w:t>
      </w:r>
      <w:r>
        <w:rPr>
          <w:color w:val="231F20"/>
          <w:spacing w:val="-3"/>
          <w:w w:val="115"/>
        </w:rPr>
        <w:t> </w:t>
      </w:r>
      <w:r>
        <w:rPr>
          <w:color w:val="231F20"/>
          <w:w w:val="115"/>
        </w:rPr>
        <w:t>les</w:t>
      </w:r>
      <w:r>
        <w:rPr>
          <w:color w:val="231F20"/>
          <w:spacing w:val="-3"/>
          <w:w w:val="115"/>
        </w:rPr>
        <w:t> </w:t>
      </w:r>
      <w:r>
        <w:rPr>
          <w:color w:val="231F20"/>
          <w:w w:val="115"/>
        </w:rPr>
        <w:t>employés</w:t>
      </w:r>
      <w:r>
        <w:rPr>
          <w:color w:val="231F20"/>
          <w:spacing w:val="-3"/>
          <w:w w:val="115"/>
        </w:rPr>
        <w:t> </w:t>
      </w:r>
      <w:r>
        <w:rPr>
          <w:color w:val="231F20"/>
          <w:w w:val="115"/>
        </w:rPr>
        <w:t>ne</w:t>
      </w:r>
      <w:r>
        <w:rPr>
          <w:color w:val="231F20"/>
          <w:spacing w:val="-3"/>
          <w:w w:val="115"/>
        </w:rPr>
        <w:t> </w:t>
      </w:r>
      <w:r>
        <w:rPr>
          <w:color w:val="231F20"/>
          <w:w w:val="115"/>
        </w:rPr>
        <w:t>peuvent</w:t>
      </w:r>
      <w:r>
        <w:rPr>
          <w:color w:val="231F20"/>
          <w:spacing w:val="-3"/>
          <w:w w:val="115"/>
        </w:rPr>
        <w:t> </w:t>
      </w:r>
      <w:r>
        <w:rPr>
          <w:color w:val="231F20"/>
          <w:w w:val="115"/>
        </w:rPr>
        <w:t>combler</w:t>
      </w:r>
      <w:r>
        <w:rPr>
          <w:color w:val="231F20"/>
          <w:spacing w:val="-3"/>
          <w:w w:val="115"/>
        </w:rPr>
        <w:t> </w:t>
      </w:r>
      <w:r>
        <w:rPr>
          <w:color w:val="231F20"/>
          <w:w w:val="115"/>
        </w:rPr>
        <w:t>les</w:t>
      </w:r>
      <w:r>
        <w:rPr>
          <w:color w:val="231F20"/>
          <w:spacing w:val="-3"/>
          <w:w w:val="115"/>
        </w:rPr>
        <w:t> </w:t>
      </w:r>
      <w:r>
        <w:rPr>
          <w:color w:val="231F20"/>
          <w:w w:val="115"/>
        </w:rPr>
        <w:t>attentes</w:t>
      </w:r>
      <w:r>
        <w:rPr>
          <w:color w:val="231F20"/>
          <w:spacing w:val="-3"/>
          <w:w w:val="115"/>
        </w:rPr>
        <w:t> </w:t>
      </w:r>
      <w:r>
        <w:rPr>
          <w:color w:val="231F20"/>
          <w:w w:val="115"/>
        </w:rPr>
        <w:t>qu’ils</w:t>
      </w:r>
      <w:r>
        <w:rPr>
          <w:color w:val="231F20"/>
          <w:spacing w:val="-3"/>
          <w:w w:val="115"/>
        </w:rPr>
        <w:t> </w:t>
      </w:r>
      <w:r>
        <w:rPr>
          <w:color w:val="231F20"/>
          <w:w w:val="115"/>
        </w:rPr>
        <w:t>ont</w:t>
      </w:r>
      <w:r>
        <w:rPr>
          <w:color w:val="231F20"/>
          <w:spacing w:val="-3"/>
          <w:w w:val="115"/>
        </w:rPr>
        <w:t> </w:t>
      </w:r>
      <w:r>
        <w:rPr>
          <w:color w:val="231F20"/>
          <w:w w:val="115"/>
        </w:rPr>
        <w:t>à</w:t>
      </w:r>
      <w:r>
        <w:rPr>
          <w:color w:val="231F20"/>
          <w:spacing w:val="-3"/>
          <w:w w:val="115"/>
        </w:rPr>
        <w:t> </w:t>
      </w:r>
      <w:r>
        <w:rPr>
          <w:color w:val="231F20"/>
          <w:w w:val="115"/>
        </w:rPr>
        <w:t>l’égard</w:t>
      </w:r>
      <w:r>
        <w:rPr>
          <w:color w:val="231F20"/>
          <w:spacing w:val="-3"/>
          <w:w w:val="115"/>
        </w:rPr>
        <w:t> </w:t>
      </w:r>
      <w:r>
        <w:rPr>
          <w:color w:val="231F20"/>
          <w:w w:val="115"/>
        </w:rPr>
        <w:t>de </w:t>
      </w:r>
      <w:r>
        <w:rPr>
          <w:color w:val="231F20"/>
          <w:spacing w:val="-2"/>
          <w:w w:val="120"/>
        </w:rPr>
        <w:t>leur</w:t>
      </w:r>
      <w:r>
        <w:rPr>
          <w:color w:val="231F20"/>
          <w:spacing w:val="-7"/>
          <w:w w:val="120"/>
        </w:rPr>
        <w:t> </w:t>
      </w:r>
      <w:r>
        <w:rPr>
          <w:color w:val="231F20"/>
          <w:spacing w:val="-2"/>
          <w:w w:val="120"/>
        </w:rPr>
        <w:t>emploi</w:t>
      </w:r>
      <w:r>
        <w:rPr>
          <w:color w:val="231F20"/>
          <w:spacing w:val="-7"/>
          <w:w w:val="120"/>
        </w:rPr>
        <w:t> </w:t>
      </w:r>
      <w:r>
        <w:rPr>
          <w:color w:val="231F20"/>
          <w:spacing w:val="-2"/>
          <w:w w:val="120"/>
        </w:rPr>
        <w:t>et</w:t>
      </w:r>
      <w:r>
        <w:rPr>
          <w:color w:val="231F20"/>
          <w:spacing w:val="-7"/>
          <w:w w:val="120"/>
        </w:rPr>
        <w:t> </w:t>
      </w:r>
      <w:r>
        <w:rPr>
          <w:color w:val="231F20"/>
          <w:spacing w:val="-2"/>
          <w:w w:val="120"/>
        </w:rPr>
        <w:t>qu’en</w:t>
      </w:r>
      <w:r>
        <w:rPr>
          <w:color w:val="231F20"/>
          <w:spacing w:val="-7"/>
          <w:w w:val="120"/>
        </w:rPr>
        <w:t> </w:t>
      </w:r>
      <w:r>
        <w:rPr>
          <w:color w:val="231F20"/>
          <w:spacing w:val="-2"/>
          <w:w w:val="120"/>
        </w:rPr>
        <w:t>plus</w:t>
      </w:r>
      <w:r>
        <w:rPr>
          <w:color w:val="231F20"/>
          <w:spacing w:val="-7"/>
          <w:w w:val="120"/>
        </w:rPr>
        <w:t> </w:t>
      </w:r>
      <w:r>
        <w:rPr>
          <w:color w:val="231F20"/>
          <w:spacing w:val="-2"/>
          <w:w w:val="120"/>
        </w:rPr>
        <w:t>ils</w:t>
      </w:r>
      <w:r>
        <w:rPr>
          <w:color w:val="231F20"/>
          <w:spacing w:val="-7"/>
          <w:w w:val="120"/>
        </w:rPr>
        <w:t> </w:t>
      </w:r>
      <w:r>
        <w:rPr>
          <w:color w:val="231F20"/>
          <w:spacing w:val="-2"/>
          <w:w w:val="120"/>
        </w:rPr>
        <w:t>doivent</w:t>
      </w:r>
      <w:r>
        <w:rPr>
          <w:color w:val="231F20"/>
          <w:spacing w:val="-7"/>
          <w:w w:val="120"/>
        </w:rPr>
        <w:t> </w:t>
      </w:r>
      <w:r>
        <w:rPr>
          <w:color w:val="231F20"/>
          <w:spacing w:val="-2"/>
          <w:w w:val="120"/>
        </w:rPr>
        <w:t>soutenir</w:t>
      </w:r>
      <w:r>
        <w:rPr>
          <w:color w:val="231F20"/>
          <w:spacing w:val="-7"/>
          <w:w w:val="120"/>
        </w:rPr>
        <w:t> </w:t>
      </w:r>
      <w:r>
        <w:rPr>
          <w:color w:val="231F20"/>
          <w:spacing w:val="-2"/>
          <w:w w:val="120"/>
        </w:rPr>
        <w:t>un</w:t>
      </w:r>
      <w:r>
        <w:rPr>
          <w:color w:val="231F20"/>
          <w:spacing w:val="-7"/>
          <w:w w:val="120"/>
        </w:rPr>
        <w:t> </w:t>
      </w:r>
      <w:r>
        <w:rPr>
          <w:color w:val="231F20"/>
          <w:spacing w:val="-2"/>
          <w:w w:val="120"/>
        </w:rPr>
        <w:t>style</w:t>
      </w:r>
      <w:r>
        <w:rPr>
          <w:color w:val="231F20"/>
          <w:spacing w:val="-7"/>
          <w:w w:val="120"/>
        </w:rPr>
        <w:t> </w:t>
      </w:r>
      <w:r>
        <w:rPr>
          <w:color w:val="231F20"/>
          <w:spacing w:val="-2"/>
          <w:w w:val="120"/>
        </w:rPr>
        <w:t>de</w:t>
      </w:r>
      <w:r>
        <w:rPr>
          <w:color w:val="231F20"/>
          <w:spacing w:val="-7"/>
          <w:w w:val="120"/>
        </w:rPr>
        <w:t> </w:t>
      </w:r>
      <w:r>
        <w:rPr>
          <w:color w:val="231F20"/>
          <w:spacing w:val="-2"/>
          <w:w w:val="120"/>
        </w:rPr>
        <w:t>gestion</w:t>
      </w:r>
      <w:r>
        <w:rPr>
          <w:color w:val="231F20"/>
          <w:spacing w:val="-7"/>
          <w:w w:val="120"/>
        </w:rPr>
        <w:t> </w:t>
      </w:r>
      <w:r>
        <w:rPr>
          <w:color w:val="231F20"/>
          <w:spacing w:val="-2"/>
          <w:w w:val="120"/>
        </w:rPr>
        <w:t>directif, </w:t>
      </w:r>
      <w:r>
        <w:rPr>
          <w:color w:val="231F20"/>
          <w:w w:val="120"/>
        </w:rPr>
        <w:t>la</w:t>
      </w:r>
      <w:r>
        <w:rPr>
          <w:color w:val="231F20"/>
          <w:spacing w:val="-3"/>
          <w:w w:val="120"/>
        </w:rPr>
        <w:t> </w:t>
      </w:r>
      <w:r>
        <w:rPr>
          <w:color w:val="231F20"/>
          <w:w w:val="120"/>
        </w:rPr>
        <w:t>prévalence</w:t>
      </w:r>
      <w:r>
        <w:rPr>
          <w:color w:val="231F20"/>
          <w:spacing w:val="-3"/>
          <w:w w:val="120"/>
        </w:rPr>
        <w:t> </w:t>
      </w:r>
      <w:r>
        <w:rPr>
          <w:color w:val="231F20"/>
          <w:w w:val="120"/>
        </w:rPr>
        <w:t>du</w:t>
      </w:r>
      <w:r>
        <w:rPr>
          <w:color w:val="231F20"/>
          <w:spacing w:val="-3"/>
          <w:w w:val="120"/>
        </w:rPr>
        <w:t> </w:t>
      </w:r>
      <w:r>
        <w:rPr>
          <w:color w:val="231F20"/>
          <w:w w:val="120"/>
        </w:rPr>
        <w:t>stress</w:t>
      </w:r>
      <w:r>
        <w:rPr>
          <w:color w:val="231F20"/>
          <w:spacing w:val="-3"/>
          <w:w w:val="120"/>
        </w:rPr>
        <w:t> </w:t>
      </w:r>
      <w:r>
        <w:rPr>
          <w:color w:val="231F20"/>
          <w:w w:val="120"/>
        </w:rPr>
        <w:t>lié</w:t>
      </w:r>
      <w:r>
        <w:rPr>
          <w:color w:val="231F20"/>
          <w:spacing w:val="-3"/>
          <w:w w:val="120"/>
        </w:rPr>
        <w:t> </w:t>
      </w:r>
      <w:r>
        <w:rPr>
          <w:color w:val="231F20"/>
          <w:w w:val="120"/>
        </w:rPr>
        <w:t>au</w:t>
      </w:r>
      <w:r>
        <w:rPr>
          <w:color w:val="231F20"/>
          <w:spacing w:val="-3"/>
          <w:w w:val="120"/>
        </w:rPr>
        <w:t> </w:t>
      </w:r>
      <w:r>
        <w:rPr>
          <w:color w:val="231F20"/>
          <w:w w:val="120"/>
        </w:rPr>
        <w:t>travail</w:t>
      </w:r>
      <w:r>
        <w:rPr>
          <w:color w:val="231F20"/>
          <w:spacing w:val="-3"/>
          <w:w w:val="120"/>
        </w:rPr>
        <w:t> </w:t>
      </w:r>
      <w:r>
        <w:rPr>
          <w:color w:val="231F20"/>
          <w:w w:val="120"/>
        </w:rPr>
        <w:t>et</w:t>
      </w:r>
      <w:r>
        <w:rPr>
          <w:color w:val="231F20"/>
          <w:spacing w:val="-3"/>
          <w:w w:val="120"/>
        </w:rPr>
        <w:t> </w:t>
      </w:r>
      <w:r>
        <w:rPr>
          <w:color w:val="231F20"/>
          <w:w w:val="120"/>
        </w:rPr>
        <w:t>la</w:t>
      </w:r>
      <w:r>
        <w:rPr>
          <w:color w:val="231F20"/>
          <w:spacing w:val="-3"/>
          <w:w w:val="120"/>
        </w:rPr>
        <w:t> </w:t>
      </w:r>
      <w:r>
        <w:rPr>
          <w:color w:val="231F20"/>
          <w:w w:val="120"/>
        </w:rPr>
        <w:t>proportion</w:t>
      </w:r>
      <w:r>
        <w:rPr>
          <w:color w:val="231F20"/>
          <w:spacing w:val="-3"/>
          <w:w w:val="120"/>
        </w:rPr>
        <w:t> </w:t>
      </w:r>
      <w:r>
        <w:rPr>
          <w:color w:val="231F20"/>
          <w:w w:val="120"/>
        </w:rPr>
        <w:t>de</w:t>
      </w:r>
      <w:r>
        <w:rPr>
          <w:color w:val="231F20"/>
          <w:spacing w:val="-3"/>
          <w:w w:val="120"/>
        </w:rPr>
        <w:t> </w:t>
      </w:r>
      <w:r>
        <w:rPr>
          <w:color w:val="231F20"/>
          <w:w w:val="120"/>
        </w:rPr>
        <w:t>travailleurs</w:t>
      </w:r>
      <w:r>
        <w:rPr>
          <w:color w:val="231F20"/>
          <w:spacing w:val="-3"/>
          <w:w w:val="120"/>
        </w:rPr>
        <w:t> </w:t>
      </w:r>
      <w:r>
        <w:rPr>
          <w:color w:val="231F20"/>
          <w:w w:val="120"/>
        </w:rPr>
        <w:t>qui </w:t>
      </w:r>
      <w:r>
        <w:rPr>
          <w:color w:val="231F20"/>
          <w:w w:val="115"/>
        </w:rPr>
        <w:t>souffrent</w:t>
      </w:r>
      <w:r>
        <w:rPr>
          <w:color w:val="231F20"/>
          <w:spacing w:val="-4"/>
          <w:w w:val="115"/>
        </w:rPr>
        <w:t> </w:t>
      </w:r>
      <w:r>
        <w:rPr>
          <w:color w:val="231F20"/>
          <w:w w:val="115"/>
        </w:rPr>
        <w:t>de</w:t>
      </w:r>
      <w:r>
        <w:rPr>
          <w:color w:val="231F20"/>
          <w:spacing w:val="-4"/>
          <w:w w:val="115"/>
        </w:rPr>
        <w:t> </w:t>
      </w:r>
      <w:r>
        <w:rPr>
          <w:color w:val="231F20"/>
          <w:w w:val="115"/>
        </w:rPr>
        <w:t>maladies</w:t>
      </w:r>
      <w:r>
        <w:rPr>
          <w:color w:val="231F20"/>
          <w:spacing w:val="-4"/>
          <w:w w:val="115"/>
        </w:rPr>
        <w:t> </w:t>
      </w:r>
      <w:r>
        <w:rPr>
          <w:color w:val="231F20"/>
          <w:w w:val="115"/>
        </w:rPr>
        <w:t>va</w:t>
      </w:r>
      <w:r>
        <w:rPr>
          <w:color w:val="231F20"/>
          <w:spacing w:val="-4"/>
          <w:w w:val="115"/>
        </w:rPr>
        <w:t> </w:t>
      </w:r>
      <w:r>
        <w:rPr>
          <w:color w:val="231F20"/>
          <w:w w:val="115"/>
        </w:rPr>
        <w:t>augmenter.</w:t>
      </w:r>
      <w:r>
        <w:rPr>
          <w:color w:val="231F20"/>
          <w:spacing w:val="-4"/>
          <w:w w:val="115"/>
        </w:rPr>
        <w:t> </w:t>
      </w:r>
      <w:r>
        <w:rPr>
          <w:color w:val="231F20"/>
          <w:w w:val="115"/>
        </w:rPr>
        <w:t>Cette</w:t>
      </w:r>
      <w:r>
        <w:rPr>
          <w:color w:val="231F20"/>
          <w:spacing w:val="-4"/>
          <w:w w:val="115"/>
        </w:rPr>
        <w:t> </w:t>
      </w:r>
      <w:r>
        <w:rPr>
          <w:color w:val="231F20"/>
          <w:w w:val="115"/>
        </w:rPr>
        <w:t>nouvelle</w:t>
      </w:r>
      <w:r>
        <w:rPr>
          <w:color w:val="231F20"/>
          <w:spacing w:val="-4"/>
          <w:w w:val="115"/>
        </w:rPr>
        <w:t> </w:t>
      </w:r>
      <w:r>
        <w:rPr>
          <w:color w:val="231F20"/>
          <w:w w:val="115"/>
        </w:rPr>
        <w:t>réalité</w:t>
      </w:r>
      <w:r>
        <w:rPr>
          <w:color w:val="231F20"/>
          <w:spacing w:val="-4"/>
          <w:w w:val="115"/>
        </w:rPr>
        <w:t> </w:t>
      </w:r>
      <w:r>
        <w:rPr>
          <w:color w:val="231F20"/>
          <w:w w:val="115"/>
        </w:rPr>
        <w:t>du</w:t>
      </w:r>
      <w:r>
        <w:rPr>
          <w:color w:val="231F20"/>
          <w:spacing w:val="-4"/>
          <w:w w:val="115"/>
        </w:rPr>
        <w:t> </w:t>
      </w:r>
      <w:r>
        <w:rPr>
          <w:color w:val="231F20"/>
          <w:w w:val="115"/>
        </w:rPr>
        <w:t>XXI</w:t>
      </w:r>
      <w:r>
        <w:rPr>
          <w:color w:val="231F20"/>
          <w:w w:val="115"/>
          <w:position w:val="6"/>
          <w:sz w:val="10"/>
        </w:rPr>
        <w:t>e</w:t>
      </w:r>
      <w:r>
        <w:rPr>
          <w:color w:val="231F20"/>
          <w:spacing w:val="17"/>
          <w:w w:val="115"/>
          <w:position w:val="6"/>
          <w:sz w:val="10"/>
        </w:rPr>
        <w:t> </w:t>
      </w:r>
      <w:r>
        <w:rPr>
          <w:color w:val="231F20"/>
          <w:w w:val="115"/>
        </w:rPr>
        <w:t>siècle </w:t>
      </w:r>
      <w:r>
        <w:rPr>
          <w:color w:val="231F20"/>
          <w:w w:val="120"/>
        </w:rPr>
        <w:t>donne</w:t>
      </w:r>
      <w:r>
        <w:rPr>
          <w:color w:val="231F20"/>
          <w:spacing w:val="-1"/>
          <w:w w:val="120"/>
        </w:rPr>
        <w:t> </w:t>
      </w:r>
      <w:r>
        <w:rPr>
          <w:color w:val="231F20"/>
          <w:w w:val="120"/>
        </w:rPr>
        <w:t>naissance</w:t>
      </w:r>
      <w:r>
        <w:rPr>
          <w:color w:val="231F20"/>
          <w:spacing w:val="-1"/>
          <w:w w:val="120"/>
        </w:rPr>
        <w:t> </w:t>
      </w:r>
      <w:r>
        <w:rPr>
          <w:color w:val="231F20"/>
          <w:w w:val="120"/>
        </w:rPr>
        <w:t>à</w:t>
      </w:r>
      <w:r>
        <w:rPr>
          <w:color w:val="231F20"/>
          <w:spacing w:val="-1"/>
          <w:w w:val="120"/>
        </w:rPr>
        <w:t> </w:t>
      </w:r>
      <w:r>
        <w:rPr>
          <w:color w:val="231F20"/>
          <w:w w:val="120"/>
        </w:rPr>
        <w:t>un</w:t>
      </w:r>
      <w:r>
        <w:rPr>
          <w:color w:val="231F20"/>
          <w:spacing w:val="-1"/>
          <w:w w:val="120"/>
        </w:rPr>
        <w:t> </w:t>
      </w:r>
      <w:r>
        <w:rPr>
          <w:color w:val="231F20"/>
          <w:w w:val="120"/>
        </w:rPr>
        <w:t>nouveau</w:t>
      </w:r>
      <w:r>
        <w:rPr>
          <w:color w:val="231F20"/>
          <w:spacing w:val="-1"/>
          <w:w w:val="120"/>
        </w:rPr>
        <w:t> </w:t>
      </w:r>
      <w:r>
        <w:rPr>
          <w:color w:val="231F20"/>
          <w:w w:val="120"/>
        </w:rPr>
        <w:t>phénomène</w:t>
      </w:r>
      <w:r>
        <w:rPr>
          <w:color w:val="231F20"/>
          <w:spacing w:val="-1"/>
          <w:w w:val="120"/>
        </w:rPr>
        <w:t> </w:t>
      </w:r>
      <w:r>
        <w:rPr>
          <w:color w:val="231F20"/>
          <w:w w:val="120"/>
        </w:rPr>
        <w:t>psychoprofessionnel</w:t>
      </w:r>
      <w:r>
        <w:rPr>
          <w:color w:val="231F20"/>
          <w:spacing w:val="-1"/>
          <w:w w:val="120"/>
        </w:rPr>
        <w:t> </w:t>
      </w:r>
      <w:r>
        <w:rPr>
          <w:color w:val="231F20"/>
          <w:w w:val="120"/>
        </w:rPr>
        <w:t>intan- gible, mais grandement nocif pour la santé physique et psychologique des</w:t>
      </w:r>
      <w:r>
        <w:rPr>
          <w:color w:val="231F20"/>
          <w:spacing w:val="-6"/>
          <w:w w:val="120"/>
        </w:rPr>
        <w:t> </w:t>
      </w:r>
      <w:r>
        <w:rPr>
          <w:color w:val="231F20"/>
          <w:w w:val="120"/>
        </w:rPr>
        <w:t>travailleurs.</w:t>
      </w:r>
      <w:r>
        <w:rPr>
          <w:color w:val="231F20"/>
          <w:spacing w:val="-6"/>
          <w:w w:val="120"/>
        </w:rPr>
        <w:t> </w:t>
      </w:r>
      <w:r>
        <w:rPr>
          <w:color w:val="231F20"/>
          <w:w w:val="120"/>
        </w:rPr>
        <w:t>La</w:t>
      </w:r>
      <w:r>
        <w:rPr>
          <w:color w:val="231F20"/>
          <w:spacing w:val="-6"/>
          <w:w w:val="120"/>
        </w:rPr>
        <w:t> </w:t>
      </w:r>
      <w:r>
        <w:rPr>
          <w:color w:val="231F20"/>
          <w:w w:val="120"/>
        </w:rPr>
        <w:t>recherche</w:t>
      </w:r>
      <w:r>
        <w:rPr>
          <w:color w:val="231F20"/>
          <w:spacing w:val="-6"/>
          <w:w w:val="120"/>
        </w:rPr>
        <w:t> </w:t>
      </w:r>
      <w:r>
        <w:rPr>
          <w:color w:val="231F20"/>
          <w:w w:val="120"/>
        </w:rPr>
        <w:t>d’une</w:t>
      </w:r>
      <w:r>
        <w:rPr>
          <w:color w:val="231F20"/>
          <w:spacing w:val="-6"/>
          <w:w w:val="120"/>
        </w:rPr>
        <w:t> </w:t>
      </w:r>
      <w:r>
        <w:rPr>
          <w:color w:val="231F20"/>
          <w:w w:val="120"/>
        </w:rPr>
        <w:t>solution</w:t>
      </w:r>
      <w:r>
        <w:rPr>
          <w:color w:val="231F20"/>
          <w:spacing w:val="-6"/>
          <w:w w:val="120"/>
        </w:rPr>
        <w:t> </w:t>
      </w:r>
      <w:r>
        <w:rPr>
          <w:color w:val="231F20"/>
          <w:w w:val="120"/>
        </w:rPr>
        <w:t>à</w:t>
      </w:r>
      <w:r>
        <w:rPr>
          <w:color w:val="231F20"/>
          <w:spacing w:val="-6"/>
          <w:w w:val="120"/>
        </w:rPr>
        <w:t> </w:t>
      </w:r>
      <w:r>
        <w:rPr>
          <w:color w:val="231F20"/>
          <w:w w:val="120"/>
        </w:rPr>
        <w:t>ce</w:t>
      </w:r>
      <w:r>
        <w:rPr>
          <w:color w:val="231F20"/>
          <w:spacing w:val="-6"/>
          <w:w w:val="120"/>
        </w:rPr>
        <w:t> </w:t>
      </w:r>
      <w:r>
        <w:rPr>
          <w:color w:val="231F20"/>
          <w:w w:val="120"/>
        </w:rPr>
        <w:t>grave</w:t>
      </w:r>
      <w:r>
        <w:rPr>
          <w:color w:val="231F20"/>
          <w:spacing w:val="-6"/>
          <w:w w:val="120"/>
        </w:rPr>
        <w:t> </w:t>
      </w:r>
      <w:r>
        <w:rPr>
          <w:color w:val="231F20"/>
          <w:w w:val="120"/>
        </w:rPr>
        <w:t>problème</w:t>
      </w:r>
      <w:r>
        <w:rPr>
          <w:color w:val="231F20"/>
          <w:spacing w:val="-6"/>
          <w:w w:val="120"/>
        </w:rPr>
        <w:t> </w:t>
      </w:r>
      <w:r>
        <w:rPr>
          <w:color w:val="231F20"/>
          <w:w w:val="120"/>
        </w:rPr>
        <w:t>n’est pas un luxe, mais une réelle nécessité.</w:t>
      </w:r>
    </w:p>
    <w:p>
      <w:pPr>
        <w:pStyle w:val="BodyText"/>
        <w:rPr>
          <w:sz w:val="20"/>
        </w:rPr>
      </w:pPr>
    </w:p>
    <w:p>
      <w:pPr>
        <w:pStyle w:val="BodyText"/>
        <w:rPr>
          <w:sz w:val="21"/>
        </w:rPr>
      </w:pPr>
      <w:r>
        <w:rPr/>
        <w:pict>
          <v:shape style="position:absolute;margin-left:82pt;margin-top:13.310303pt;width:287.5pt;height:.1pt;mso-position-horizontal-relative:page;mso-position-vertical-relative:paragraph;z-index:-15708160;mso-wrap-distance-left:0;mso-wrap-distance-right:0" id="docshape120" coordorigin="1640,266" coordsize="5750,0" path="m1640,266l7390,266e" filled="false" stroked="true" strokeweight=".25pt" strokecolor="#231f20">
            <v:path arrowok="t"/>
            <v:stroke dashstyle="shortdot"/>
            <w10:wrap type="topAndBottom"/>
          </v:shape>
        </w:pict>
      </w:r>
    </w:p>
    <w:p>
      <w:pPr>
        <w:pStyle w:val="ListParagraph"/>
        <w:numPr>
          <w:ilvl w:val="0"/>
          <w:numId w:val="12"/>
        </w:numPr>
        <w:tabs>
          <w:tab w:pos="1179" w:val="left" w:leader="none"/>
          <w:tab w:pos="1180" w:val="left" w:leader="none"/>
        </w:tabs>
        <w:spacing w:line="295" w:lineRule="auto" w:before="135" w:after="0"/>
        <w:ind w:left="1179" w:right="248" w:hanging="406"/>
        <w:jc w:val="left"/>
        <w:rPr>
          <w:rFonts w:ascii="Arial" w:hAnsi="Arial"/>
          <w:sz w:val="12"/>
        </w:rPr>
      </w:pPr>
      <w:r>
        <w:rPr>
          <w:rFonts w:ascii="Arial" w:hAnsi="Arial"/>
          <w:color w:val="231F20"/>
          <w:sz w:val="12"/>
        </w:rPr>
        <w:t>Dolan,</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García,</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Richley,</w:t>
      </w:r>
      <w:r>
        <w:rPr>
          <w:rFonts w:ascii="Arial" w:hAnsi="Arial"/>
          <w:color w:val="231F20"/>
          <w:spacing w:val="-7"/>
          <w:sz w:val="12"/>
        </w:rPr>
        <w:t> </w:t>
      </w:r>
      <w:r>
        <w:rPr>
          <w:rFonts w:ascii="Arial" w:hAnsi="Arial"/>
          <w:color w:val="231F20"/>
          <w:sz w:val="12"/>
        </w:rPr>
        <w:t>B.</w:t>
      </w:r>
      <w:r>
        <w:rPr>
          <w:rFonts w:ascii="Arial" w:hAnsi="Arial"/>
          <w:color w:val="231F20"/>
          <w:spacing w:val="-7"/>
          <w:sz w:val="12"/>
        </w:rPr>
        <w:t> </w:t>
      </w:r>
      <w:r>
        <w:rPr>
          <w:rFonts w:ascii="Arial" w:hAnsi="Arial"/>
          <w:color w:val="231F20"/>
          <w:sz w:val="12"/>
        </w:rPr>
        <w:t>(2006).</w:t>
      </w:r>
      <w:r>
        <w:rPr>
          <w:rFonts w:ascii="Arial" w:hAnsi="Arial"/>
          <w:color w:val="231F20"/>
          <w:spacing w:val="-7"/>
          <w:sz w:val="12"/>
        </w:rPr>
        <w:t> </w:t>
      </w:r>
      <w:r>
        <w:rPr>
          <w:rFonts w:ascii="Arial" w:hAnsi="Arial"/>
          <w:i/>
          <w:color w:val="231F20"/>
          <w:sz w:val="12"/>
        </w:rPr>
        <w:t>Managing</w:t>
      </w:r>
      <w:r>
        <w:rPr>
          <w:rFonts w:ascii="Arial" w:hAnsi="Arial"/>
          <w:i/>
          <w:color w:val="231F20"/>
          <w:spacing w:val="-7"/>
          <w:sz w:val="12"/>
        </w:rPr>
        <w:t> </w:t>
      </w:r>
      <w:r>
        <w:rPr>
          <w:rFonts w:ascii="Arial" w:hAnsi="Arial"/>
          <w:i/>
          <w:color w:val="231F20"/>
          <w:sz w:val="12"/>
        </w:rPr>
        <w:t>by</w:t>
      </w:r>
      <w:r>
        <w:rPr>
          <w:rFonts w:ascii="Arial" w:hAnsi="Arial"/>
          <w:i/>
          <w:color w:val="231F20"/>
          <w:spacing w:val="-7"/>
          <w:sz w:val="12"/>
        </w:rPr>
        <w:t> </w:t>
      </w:r>
      <w:r>
        <w:rPr>
          <w:rFonts w:ascii="Arial" w:hAnsi="Arial"/>
          <w:i/>
          <w:color w:val="231F20"/>
          <w:sz w:val="12"/>
        </w:rPr>
        <w:t>Values:</w:t>
      </w:r>
      <w:r>
        <w:rPr>
          <w:rFonts w:ascii="Arial" w:hAnsi="Arial"/>
          <w:i/>
          <w:color w:val="231F20"/>
          <w:spacing w:val="-7"/>
          <w:sz w:val="12"/>
        </w:rPr>
        <w:t> </w:t>
      </w:r>
      <w:r>
        <w:rPr>
          <w:rFonts w:ascii="Arial" w:hAnsi="Arial"/>
          <w:i/>
          <w:color w:val="231F20"/>
          <w:sz w:val="12"/>
        </w:rPr>
        <w:t>A</w:t>
      </w:r>
      <w:r>
        <w:rPr>
          <w:rFonts w:ascii="Arial" w:hAnsi="Arial"/>
          <w:i/>
          <w:color w:val="231F20"/>
          <w:spacing w:val="-7"/>
          <w:sz w:val="12"/>
        </w:rPr>
        <w:t> </w:t>
      </w:r>
      <w:r>
        <w:rPr>
          <w:rFonts w:ascii="Arial" w:hAnsi="Arial"/>
          <w:i/>
          <w:color w:val="231F20"/>
          <w:sz w:val="12"/>
        </w:rPr>
        <w:t>Corporate</w:t>
      </w:r>
      <w:r>
        <w:rPr>
          <w:rFonts w:ascii="Arial" w:hAnsi="Arial"/>
          <w:i/>
          <w:color w:val="231F20"/>
          <w:spacing w:val="-7"/>
          <w:sz w:val="12"/>
        </w:rPr>
        <w:t> </w:t>
      </w:r>
      <w:r>
        <w:rPr>
          <w:rFonts w:ascii="Arial" w:hAnsi="Arial"/>
          <w:i/>
          <w:color w:val="231F20"/>
          <w:sz w:val="12"/>
        </w:rPr>
        <w:t>Guide</w:t>
      </w:r>
      <w:r>
        <w:rPr>
          <w:rFonts w:ascii="Arial" w:hAnsi="Arial"/>
          <w:i/>
          <w:color w:val="231F20"/>
          <w:spacing w:val="-7"/>
          <w:sz w:val="12"/>
        </w:rPr>
        <w:t> </w:t>
      </w:r>
      <w:r>
        <w:rPr>
          <w:rFonts w:ascii="Arial" w:hAnsi="Arial"/>
          <w:i/>
          <w:color w:val="231F20"/>
          <w:sz w:val="12"/>
        </w:rPr>
        <w:t>to</w:t>
      </w:r>
      <w:r>
        <w:rPr>
          <w:rFonts w:ascii="Arial" w:hAnsi="Arial"/>
          <w:i/>
          <w:color w:val="231F20"/>
          <w:spacing w:val="-7"/>
          <w:sz w:val="12"/>
        </w:rPr>
        <w:t> </w:t>
      </w:r>
      <w:r>
        <w:rPr>
          <w:rFonts w:ascii="Arial" w:hAnsi="Arial"/>
          <w:i/>
          <w:color w:val="231F20"/>
          <w:sz w:val="12"/>
        </w:rPr>
        <w:t>Living,</w:t>
      </w:r>
      <w:r>
        <w:rPr>
          <w:rFonts w:ascii="Arial" w:hAnsi="Arial"/>
          <w:i/>
          <w:color w:val="231F20"/>
          <w:spacing w:val="-7"/>
          <w:sz w:val="12"/>
        </w:rPr>
        <w:t> </w:t>
      </w:r>
      <w:r>
        <w:rPr>
          <w:rFonts w:ascii="Arial" w:hAnsi="Arial"/>
          <w:i/>
          <w:color w:val="231F20"/>
          <w:sz w:val="12"/>
        </w:rPr>
        <w:t>Being</w:t>
      </w:r>
      <w:r>
        <w:rPr>
          <w:rFonts w:ascii="Arial" w:hAnsi="Arial"/>
          <w:i/>
          <w:color w:val="231F20"/>
          <w:spacing w:val="-7"/>
          <w:sz w:val="12"/>
        </w:rPr>
        <w:t> </w:t>
      </w:r>
      <w:r>
        <w:rPr>
          <w:rFonts w:ascii="Arial" w:hAnsi="Arial"/>
          <w:i/>
          <w:color w:val="231F20"/>
          <w:sz w:val="12"/>
        </w:rPr>
        <w:t>Alive</w:t>
      </w:r>
      <w:r>
        <w:rPr>
          <w:rFonts w:ascii="Arial" w:hAnsi="Arial"/>
          <w:i/>
          <w:color w:val="231F20"/>
          <w:spacing w:val="-7"/>
          <w:sz w:val="12"/>
        </w:rPr>
        <w:t> </w:t>
      </w:r>
      <w:r>
        <w:rPr>
          <w:rFonts w:ascii="Arial" w:hAnsi="Arial"/>
          <w:i/>
          <w:color w:val="231F20"/>
          <w:sz w:val="12"/>
        </w:rPr>
        <w:t>and</w:t>
      </w:r>
      <w:r>
        <w:rPr>
          <w:rFonts w:ascii="Arial" w:hAnsi="Arial"/>
          <w:i/>
          <w:color w:val="231F20"/>
          <w:spacing w:val="40"/>
          <w:sz w:val="12"/>
        </w:rPr>
        <w:t> </w:t>
      </w:r>
      <w:r>
        <w:rPr>
          <w:rFonts w:ascii="Arial" w:hAnsi="Arial"/>
          <w:i/>
          <w:color w:val="231F20"/>
          <w:sz w:val="12"/>
        </w:rPr>
        <w:t>Making a Living in the 21st Century</w:t>
      </w:r>
      <w:r>
        <w:rPr>
          <w:rFonts w:ascii="Arial" w:hAnsi="Arial"/>
          <w:color w:val="231F20"/>
          <w:sz w:val="12"/>
        </w:rPr>
        <w:t>, Londres, Palgrave Macmillan.</w:t>
      </w:r>
    </w:p>
    <w:p>
      <w:pPr>
        <w:spacing w:after="0" w:line="295" w:lineRule="auto"/>
        <w:jc w:val="left"/>
        <w:rPr>
          <w:rFonts w:ascii="Arial" w:hAnsi="Arial"/>
          <w:sz w:val="12"/>
        </w:rPr>
        <w:sectPr>
          <w:footerReference w:type="default" r:id="rId59"/>
          <w:pgSz w:w="8640" w:h="12960"/>
          <w:pgMar w:footer="424" w:header="0" w:top="500" w:bottom="620" w:left="460" w:right="1000"/>
        </w:sectPr>
      </w:pPr>
    </w:p>
    <w:p>
      <w:pPr>
        <w:spacing w:before="103"/>
        <w:ind w:left="150" w:right="0" w:firstLine="0"/>
        <w:jc w:val="center"/>
        <w:rPr>
          <w:rFonts w:ascii="Arial" w:hAnsi="Arial"/>
          <w:sz w:val="14"/>
        </w:rPr>
      </w:pPr>
      <w:bookmarkStart w:name="Exercice 1.1 / Évaluez la qualité de vot" w:id="31"/>
      <w:bookmarkEnd w:id="31"/>
      <w:r>
        <w:rPr/>
      </w:r>
      <w:bookmarkStart w:name="_bookmark13" w:id="32"/>
      <w:bookmarkEnd w:id="32"/>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10"/>
        <w:rPr>
          <w:rFonts w:ascii="Arial"/>
          <w:sz w:val="26"/>
        </w:rPr>
      </w:pPr>
    </w:p>
    <w:p>
      <w:pPr>
        <w:spacing w:before="0"/>
        <w:ind w:left="790" w:right="0" w:firstLine="0"/>
        <w:jc w:val="left"/>
        <w:rPr>
          <w:rFonts w:ascii="Arial"/>
          <w:i/>
          <w:sz w:val="21"/>
        </w:rPr>
      </w:pPr>
      <w:r>
        <w:rPr>
          <w:rFonts w:ascii="Arial"/>
          <w:color w:val="231F20"/>
          <w:w w:val="90"/>
          <w:sz w:val="21"/>
        </w:rPr>
        <w:t>exerCiCe</w:t>
      </w:r>
      <w:r>
        <w:rPr>
          <w:rFonts w:ascii="Arial"/>
          <w:color w:val="231F20"/>
          <w:spacing w:val="10"/>
          <w:sz w:val="21"/>
        </w:rPr>
        <w:t> </w:t>
      </w:r>
      <w:r>
        <w:rPr>
          <w:rFonts w:ascii="Arial"/>
          <w:color w:val="231F20"/>
          <w:w w:val="90"/>
          <w:sz w:val="21"/>
        </w:rPr>
        <w:t>1.1</w:t>
      </w:r>
      <w:r>
        <w:rPr>
          <w:rFonts w:ascii="Arial"/>
          <w:color w:val="231F20"/>
          <w:spacing w:val="-2"/>
          <w:w w:val="90"/>
          <w:sz w:val="21"/>
        </w:rPr>
        <w:t> </w:t>
      </w:r>
      <w:r>
        <w:rPr>
          <w:rFonts w:ascii="Arial"/>
          <w:i/>
          <w:color w:val="231F20"/>
          <w:spacing w:val="-12"/>
          <w:w w:val="90"/>
          <w:sz w:val="21"/>
        </w:rPr>
        <w:t>/</w:t>
      </w:r>
    </w:p>
    <w:p>
      <w:pPr>
        <w:pStyle w:val="Heading2"/>
        <w:spacing w:before="8"/>
        <w:ind w:left="790"/>
      </w:pPr>
      <w:r>
        <w:rPr>
          <w:color w:val="231F20"/>
          <w:w w:val="95"/>
        </w:rPr>
        <w:t>Évaluez</w:t>
      </w:r>
      <w:r>
        <w:rPr>
          <w:color w:val="231F20"/>
          <w:spacing w:val="-6"/>
          <w:w w:val="95"/>
        </w:rPr>
        <w:t> </w:t>
      </w:r>
      <w:r>
        <w:rPr>
          <w:color w:val="231F20"/>
          <w:w w:val="95"/>
        </w:rPr>
        <w:t>la</w:t>
      </w:r>
      <w:r>
        <w:rPr>
          <w:color w:val="231F20"/>
          <w:spacing w:val="-5"/>
          <w:w w:val="95"/>
        </w:rPr>
        <w:t> </w:t>
      </w:r>
      <w:r>
        <w:rPr>
          <w:color w:val="231F20"/>
          <w:w w:val="95"/>
        </w:rPr>
        <w:t>qualité</w:t>
      </w:r>
      <w:r>
        <w:rPr>
          <w:color w:val="231F20"/>
          <w:spacing w:val="-5"/>
          <w:w w:val="95"/>
        </w:rPr>
        <w:t> </w:t>
      </w:r>
      <w:r>
        <w:rPr>
          <w:color w:val="231F20"/>
          <w:w w:val="95"/>
        </w:rPr>
        <w:t>de</w:t>
      </w:r>
      <w:r>
        <w:rPr>
          <w:color w:val="231F20"/>
          <w:spacing w:val="-5"/>
          <w:w w:val="95"/>
        </w:rPr>
        <w:t> </w:t>
      </w:r>
      <w:r>
        <w:rPr>
          <w:color w:val="231F20"/>
          <w:w w:val="95"/>
        </w:rPr>
        <w:t>votre</w:t>
      </w:r>
      <w:r>
        <w:rPr>
          <w:color w:val="231F20"/>
          <w:spacing w:val="-5"/>
          <w:w w:val="95"/>
        </w:rPr>
        <w:t> </w:t>
      </w:r>
      <w:r>
        <w:rPr>
          <w:color w:val="231F20"/>
          <w:w w:val="95"/>
        </w:rPr>
        <w:t>vie</w:t>
      </w:r>
      <w:r>
        <w:rPr>
          <w:color w:val="231F20"/>
          <w:spacing w:val="-5"/>
          <w:w w:val="95"/>
        </w:rPr>
        <w:t> </w:t>
      </w:r>
      <w:r>
        <w:rPr>
          <w:color w:val="231F20"/>
          <w:w w:val="95"/>
        </w:rPr>
        <w:t>au</w:t>
      </w:r>
      <w:r>
        <w:rPr>
          <w:color w:val="231F20"/>
          <w:spacing w:val="-5"/>
          <w:w w:val="95"/>
        </w:rPr>
        <w:t> </w:t>
      </w:r>
      <w:r>
        <w:rPr>
          <w:color w:val="231F20"/>
          <w:spacing w:val="-2"/>
          <w:w w:val="95"/>
        </w:rPr>
        <w:t>travail</w:t>
      </w:r>
    </w:p>
    <w:p>
      <w:pPr>
        <w:pStyle w:val="BodyText"/>
        <w:spacing w:before="2"/>
        <w:rPr>
          <w:rFonts w:ascii="Arial"/>
          <w:b/>
          <w:sz w:val="21"/>
        </w:rPr>
      </w:pPr>
    </w:p>
    <w:tbl>
      <w:tblPr>
        <w:tblW w:w="0" w:type="auto"/>
        <w:jc w:val="left"/>
        <w:tblInd w:w="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0"/>
        <w:gridCol w:w="685"/>
        <w:gridCol w:w="844"/>
        <w:gridCol w:w="671"/>
        <w:gridCol w:w="732"/>
        <w:gridCol w:w="726"/>
      </w:tblGrid>
      <w:tr>
        <w:trPr>
          <w:trHeight w:val="269" w:hRule="atLeast"/>
        </w:trPr>
        <w:tc>
          <w:tcPr>
            <w:tcW w:w="2080" w:type="dxa"/>
            <w:tcBorders>
              <w:bottom w:val="single" w:sz="2" w:space="0" w:color="231F20"/>
            </w:tcBorders>
          </w:tcPr>
          <w:p>
            <w:pPr>
              <w:pStyle w:val="TableParagraph"/>
              <w:spacing w:before="60"/>
              <w:ind w:left="380"/>
              <w:rPr>
                <w:b/>
                <w:sz w:val="14"/>
              </w:rPr>
            </w:pPr>
            <w:r>
              <w:rPr>
                <w:b/>
                <w:color w:val="231F20"/>
                <w:spacing w:val="-2"/>
                <w:sz w:val="14"/>
              </w:rPr>
              <w:t>Aspects</w:t>
            </w:r>
          </w:p>
        </w:tc>
        <w:tc>
          <w:tcPr>
            <w:tcW w:w="685" w:type="dxa"/>
            <w:tcBorders>
              <w:bottom w:val="single" w:sz="2" w:space="0" w:color="231F20"/>
            </w:tcBorders>
            <w:shd w:val="clear" w:color="auto" w:fill="E2E3E4"/>
          </w:tcPr>
          <w:p>
            <w:pPr>
              <w:pStyle w:val="TableParagraph"/>
              <w:spacing w:before="60"/>
              <w:ind w:left="108" w:right="74"/>
              <w:jc w:val="center"/>
              <w:rPr>
                <w:b/>
                <w:sz w:val="14"/>
              </w:rPr>
            </w:pPr>
            <w:r>
              <w:rPr>
                <w:b/>
                <w:color w:val="231F20"/>
                <w:spacing w:val="-2"/>
                <w:sz w:val="14"/>
              </w:rPr>
              <w:t>Jamais</w:t>
            </w:r>
          </w:p>
        </w:tc>
        <w:tc>
          <w:tcPr>
            <w:tcW w:w="844" w:type="dxa"/>
            <w:tcBorders>
              <w:bottom w:val="single" w:sz="2" w:space="0" w:color="231F20"/>
            </w:tcBorders>
            <w:shd w:val="clear" w:color="auto" w:fill="E2E3E4"/>
          </w:tcPr>
          <w:p>
            <w:pPr>
              <w:pStyle w:val="TableParagraph"/>
              <w:spacing w:before="60"/>
              <w:ind w:left="89" w:right="84"/>
              <w:jc w:val="center"/>
              <w:rPr>
                <w:b/>
                <w:sz w:val="14"/>
              </w:rPr>
            </w:pPr>
            <w:r>
              <w:rPr>
                <w:b/>
                <w:color w:val="231F20"/>
                <w:spacing w:val="-2"/>
                <w:sz w:val="14"/>
              </w:rPr>
              <w:t>Rarement</w:t>
            </w:r>
          </w:p>
        </w:tc>
        <w:tc>
          <w:tcPr>
            <w:tcW w:w="671" w:type="dxa"/>
            <w:tcBorders>
              <w:bottom w:val="single" w:sz="2" w:space="0" w:color="231F20"/>
            </w:tcBorders>
            <w:shd w:val="clear" w:color="auto" w:fill="E2E3E4"/>
          </w:tcPr>
          <w:p>
            <w:pPr>
              <w:pStyle w:val="TableParagraph"/>
              <w:spacing w:before="60"/>
              <w:ind w:left="81" w:right="88"/>
              <w:jc w:val="center"/>
              <w:rPr>
                <w:b/>
                <w:sz w:val="14"/>
              </w:rPr>
            </w:pPr>
            <w:r>
              <w:rPr>
                <w:b/>
                <w:color w:val="231F20"/>
                <w:spacing w:val="-2"/>
                <w:sz w:val="14"/>
              </w:rPr>
              <w:t>Parfois</w:t>
            </w:r>
          </w:p>
        </w:tc>
        <w:tc>
          <w:tcPr>
            <w:tcW w:w="732" w:type="dxa"/>
            <w:tcBorders>
              <w:bottom w:val="single" w:sz="2" w:space="0" w:color="231F20"/>
            </w:tcBorders>
            <w:shd w:val="clear" w:color="auto" w:fill="E2E3E4"/>
          </w:tcPr>
          <w:p>
            <w:pPr>
              <w:pStyle w:val="TableParagraph"/>
              <w:spacing w:before="60"/>
              <w:ind w:left="90" w:right="63"/>
              <w:jc w:val="center"/>
              <w:rPr>
                <w:b/>
                <w:sz w:val="14"/>
              </w:rPr>
            </w:pPr>
            <w:r>
              <w:rPr>
                <w:b/>
                <w:color w:val="231F20"/>
                <w:spacing w:val="-2"/>
                <w:sz w:val="14"/>
              </w:rPr>
              <w:t>Souvent</w:t>
            </w:r>
          </w:p>
        </w:tc>
        <w:tc>
          <w:tcPr>
            <w:tcW w:w="726" w:type="dxa"/>
            <w:tcBorders>
              <w:bottom w:val="single" w:sz="2" w:space="0" w:color="231F20"/>
            </w:tcBorders>
            <w:shd w:val="clear" w:color="auto" w:fill="E2E3E4"/>
          </w:tcPr>
          <w:p>
            <w:pPr>
              <w:pStyle w:val="TableParagraph"/>
              <w:spacing w:before="60"/>
              <w:ind w:left="56" w:right="47"/>
              <w:jc w:val="center"/>
              <w:rPr>
                <w:b/>
                <w:sz w:val="14"/>
              </w:rPr>
            </w:pPr>
            <w:r>
              <w:rPr>
                <w:b/>
                <w:color w:val="231F20"/>
                <w:spacing w:val="-2"/>
                <w:sz w:val="14"/>
              </w:rPr>
              <w:t>Toujours</w:t>
            </w:r>
          </w:p>
        </w:tc>
      </w:tr>
      <w:tr>
        <w:trPr>
          <w:trHeight w:val="624" w:hRule="atLeast"/>
        </w:trPr>
        <w:tc>
          <w:tcPr>
            <w:tcW w:w="2080" w:type="dxa"/>
            <w:tcBorders>
              <w:top w:val="single" w:sz="2" w:space="0" w:color="231F20"/>
              <w:bottom w:val="single" w:sz="4" w:space="0" w:color="E2E3E4"/>
            </w:tcBorders>
          </w:tcPr>
          <w:p>
            <w:pPr>
              <w:pStyle w:val="TableParagraph"/>
              <w:spacing w:line="268" w:lineRule="auto" w:before="57"/>
              <w:ind w:left="379" w:hanging="290"/>
              <w:rPr>
                <w:sz w:val="14"/>
              </w:rPr>
            </w:pPr>
            <w:r>
              <w:rPr>
                <w:b/>
                <w:color w:val="231F20"/>
                <w:sz w:val="14"/>
              </w:rPr>
              <w:t>1.</w:t>
            </w:r>
            <w:r>
              <w:rPr>
                <w:b/>
                <w:color w:val="231F20"/>
                <w:spacing w:val="80"/>
                <w:w w:val="150"/>
                <w:sz w:val="14"/>
              </w:rPr>
              <w:t> </w:t>
            </w:r>
            <w:r>
              <w:rPr>
                <w:color w:val="231F20"/>
                <w:sz w:val="14"/>
              </w:rPr>
              <w:t>En</w:t>
            </w:r>
            <w:r>
              <w:rPr>
                <w:color w:val="231F20"/>
                <w:spacing w:val="-10"/>
                <w:sz w:val="14"/>
              </w:rPr>
              <w:t> </w:t>
            </w:r>
            <w:r>
              <w:rPr>
                <w:color w:val="231F20"/>
                <w:sz w:val="14"/>
              </w:rPr>
              <w:t>général,</w:t>
            </w:r>
            <w:r>
              <w:rPr>
                <w:color w:val="231F20"/>
                <w:spacing w:val="-9"/>
                <w:sz w:val="14"/>
              </w:rPr>
              <w:t> </w:t>
            </w:r>
            <w:r>
              <w:rPr>
                <w:color w:val="231F20"/>
                <w:sz w:val="14"/>
              </w:rPr>
              <w:t>j’ai</w:t>
            </w:r>
            <w:r>
              <w:rPr>
                <w:color w:val="231F20"/>
                <w:spacing w:val="-10"/>
                <w:sz w:val="14"/>
              </w:rPr>
              <w:t> </w:t>
            </w:r>
            <w:r>
              <w:rPr>
                <w:color w:val="231F20"/>
                <w:sz w:val="14"/>
              </w:rPr>
              <w:t>du</w:t>
            </w:r>
            <w:r>
              <w:rPr>
                <w:color w:val="231F20"/>
                <w:spacing w:val="-9"/>
                <w:sz w:val="14"/>
              </w:rPr>
              <w:t> </w:t>
            </w:r>
            <w:r>
              <w:rPr>
                <w:color w:val="231F20"/>
                <w:sz w:val="14"/>
              </w:rPr>
              <w:t>plaisir</w:t>
            </w:r>
            <w:r>
              <w:rPr>
                <w:color w:val="231F20"/>
                <w:spacing w:val="40"/>
                <w:sz w:val="14"/>
              </w:rPr>
              <w:t> </w:t>
            </w:r>
            <w:r>
              <w:rPr>
                <w:color w:val="231F20"/>
                <w:sz w:val="14"/>
              </w:rPr>
              <w:t>quand je travaille</w:t>
            </w:r>
          </w:p>
          <w:p>
            <w:pPr>
              <w:pStyle w:val="TableParagraph"/>
              <w:spacing w:line="160" w:lineRule="exact"/>
              <w:ind w:left="379"/>
              <w:rPr>
                <w:sz w:val="14"/>
              </w:rPr>
            </w:pPr>
            <w:r>
              <w:rPr>
                <w:color w:val="231F20"/>
                <w:sz w:val="14"/>
              </w:rPr>
              <w:t>(y</w:t>
            </w:r>
            <w:r>
              <w:rPr>
                <w:color w:val="231F20"/>
                <w:spacing w:val="-5"/>
                <w:sz w:val="14"/>
              </w:rPr>
              <w:t> </w:t>
            </w:r>
            <w:r>
              <w:rPr>
                <w:color w:val="231F20"/>
                <w:sz w:val="14"/>
              </w:rPr>
              <w:t>compris</w:t>
            </w:r>
            <w:r>
              <w:rPr>
                <w:color w:val="231F20"/>
                <w:spacing w:val="-4"/>
                <w:sz w:val="14"/>
              </w:rPr>
              <w:t> </w:t>
            </w:r>
            <w:r>
              <w:rPr>
                <w:color w:val="231F20"/>
                <w:sz w:val="14"/>
              </w:rPr>
              <w:t>à</w:t>
            </w:r>
            <w:r>
              <w:rPr>
                <w:color w:val="231F20"/>
                <w:spacing w:val="-4"/>
                <w:sz w:val="14"/>
              </w:rPr>
              <w:t> </w:t>
            </w:r>
            <w:r>
              <w:rPr>
                <w:color w:val="231F20"/>
                <w:sz w:val="14"/>
              </w:rPr>
              <w:t>la</w:t>
            </w:r>
            <w:r>
              <w:rPr>
                <w:color w:val="231F20"/>
                <w:spacing w:val="-4"/>
                <w:sz w:val="14"/>
              </w:rPr>
              <w:t> </w:t>
            </w:r>
            <w:r>
              <w:rPr>
                <w:color w:val="231F20"/>
                <w:spacing w:val="-2"/>
                <w:sz w:val="14"/>
              </w:rPr>
              <w:t>maison).</w:t>
            </w:r>
          </w:p>
        </w:tc>
        <w:tc>
          <w:tcPr>
            <w:tcW w:w="685" w:type="dxa"/>
            <w:tcBorders>
              <w:top w:val="single" w:sz="2" w:space="0" w:color="231F20"/>
              <w:bottom w:val="single" w:sz="4" w:space="0" w:color="FFFFFF"/>
            </w:tcBorders>
            <w:shd w:val="clear" w:color="auto" w:fill="E2E3E4"/>
          </w:tcPr>
          <w:p>
            <w:pPr>
              <w:pStyle w:val="TableParagraph"/>
              <w:spacing w:before="7"/>
              <w:rPr>
                <w:b/>
                <w:sz w:val="20"/>
              </w:rPr>
            </w:pPr>
          </w:p>
          <w:p>
            <w:pPr>
              <w:pStyle w:val="TableParagraph"/>
              <w:spacing w:before="1"/>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2" w:space="0" w:color="231F20"/>
              <w:bottom w:val="single" w:sz="4" w:space="0" w:color="FFFFFF"/>
            </w:tcBorders>
            <w:shd w:val="clear" w:color="auto" w:fill="E2E3E4"/>
          </w:tcPr>
          <w:p>
            <w:pPr>
              <w:pStyle w:val="TableParagraph"/>
              <w:spacing w:before="7"/>
              <w:rPr>
                <w:b/>
                <w:sz w:val="20"/>
              </w:rPr>
            </w:pPr>
          </w:p>
          <w:p>
            <w:pPr>
              <w:pStyle w:val="TableParagraph"/>
              <w:spacing w:before="1"/>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2" w:space="0" w:color="231F20"/>
              <w:bottom w:val="single" w:sz="4" w:space="0" w:color="FFFFFF"/>
            </w:tcBorders>
            <w:shd w:val="clear" w:color="auto" w:fill="E2E3E4"/>
          </w:tcPr>
          <w:p>
            <w:pPr>
              <w:pStyle w:val="TableParagraph"/>
              <w:spacing w:before="7"/>
              <w:rPr>
                <w:b/>
                <w:sz w:val="20"/>
              </w:rPr>
            </w:pPr>
          </w:p>
          <w:p>
            <w:pPr>
              <w:pStyle w:val="TableParagraph"/>
              <w:spacing w:before="1"/>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2" w:space="0" w:color="231F20"/>
              <w:bottom w:val="single" w:sz="4" w:space="0" w:color="FFFFFF"/>
            </w:tcBorders>
            <w:shd w:val="clear" w:color="auto" w:fill="E2E3E4"/>
          </w:tcPr>
          <w:p>
            <w:pPr>
              <w:pStyle w:val="TableParagraph"/>
              <w:spacing w:before="7"/>
              <w:rPr>
                <w:b/>
                <w:sz w:val="20"/>
              </w:rPr>
            </w:pPr>
          </w:p>
          <w:p>
            <w:pPr>
              <w:pStyle w:val="TableParagraph"/>
              <w:spacing w:before="1"/>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2" w:space="0" w:color="231F20"/>
              <w:bottom w:val="single" w:sz="4" w:space="0" w:color="FFFFFF"/>
            </w:tcBorders>
            <w:shd w:val="clear" w:color="auto" w:fill="E2E3E4"/>
          </w:tcPr>
          <w:p>
            <w:pPr>
              <w:pStyle w:val="TableParagraph"/>
              <w:spacing w:before="7"/>
              <w:rPr>
                <w:b/>
                <w:sz w:val="20"/>
              </w:rPr>
            </w:pPr>
          </w:p>
          <w:p>
            <w:pPr>
              <w:pStyle w:val="TableParagraph"/>
              <w:spacing w:before="1"/>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441" w:hRule="atLeast"/>
        </w:trPr>
        <w:tc>
          <w:tcPr>
            <w:tcW w:w="2080" w:type="dxa"/>
            <w:tcBorders>
              <w:top w:val="single" w:sz="4" w:space="0" w:color="E2E3E4"/>
              <w:bottom w:val="single" w:sz="4" w:space="0" w:color="E2E3E4"/>
            </w:tcBorders>
          </w:tcPr>
          <w:p>
            <w:pPr>
              <w:pStyle w:val="TableParagraph"/>
              <w:spacing w:line="268" w:lineRule="auto" w:before="55"/>
              <w:ind w:left="379" w:right="139" w:hanging="290"/>
              <w:rPr>
                <w:sz w:val="14"/>
              </w:rPr>
            </w:pPr>
            <w:r>
              <w:rPr>
                <w:b/>
                <w:color w:val="231F20"/>
                <w:w w:val="105"/>
                <w:sz w:val="14"/>
              </w:rPr>
              <w:t>2.</w:t>
            </w:r>
            <w:r>
              <w:rPr>
                <w:b/>
                <w:color w:val="231F20"/>
                <w:spacing w:val="80"/>
                <w:w w:val="105"/>
                <w:sz w:val="14"/>
              </w:rPr>
              <w:t> </w:t>
            </w:r>
            <w:r>
              <w:rPr>
                <w:color w:val="231F20"/>
                <w:w w:val="105"/>
                <w:sz w:val="14"/>
              </w:rPr>
              <w:t>Mon</w:t>
            </w:r>
            <w:r>
              <w:rPr>
                <w:color w:val="231F20"/>
                <w:spacing w:val="-11"/>
                <w:w w:val="105"/>
                <w:sz w:val="14"/>
              </w:rPr>
              <w:t> </w:t>
            </w:r>
            <w:r>
              <w:rPr>
                <w:color w:val="231F20"/>
                <w:w w:val="105"/>
                <w:sz w:val="14"/>
              </w:rPr>
              <w:t>travail</w:t>
            </w:r>
            <w:r>
              <w:rPr>
                <w:color w:val="231F20"/>
                <w:spacing w:val="-10"/>
                <w:w w:val="105"/>
                <w:sz w:val="14"/>
              </w:rPr>
              <w:t> </w:t>
            </w:r>
            <w:r>
              <w:rPr>
                <w:color w:val="231F20"/>
                <w:w w:val="105"/>
                <w:sz w:val="14"/>
              </w:rPr>
              <w:t>(y</w:t>
            </w:r>
            <w:r>
              <w:rPr>
                <w:color w:val="231F20"/>
                <w:spacing w:val="-10"/>
                <w:w w:val="105"/>
                <w:sz w:val="14"/>
              </w:rPr>
              <w:t> </w:t>
            </w:r>
            <w:r>
              <w:rPr>
                <w:color w:val="231F20"/>
                <w:w w:val="105"/>
                <w:sz w:val="14"/>
              </w:rPr>
              <w:t>compris</w:t>
            </w:r>
            <w:r>
              <w:rPr>
                <w:color w:val="231F20"/>
                <w:spacing w:val="-10"/>
                <w:w w:val="105"/>
                <w:sz w:val="14"/>
              </w:rPr>
              <w:t> </w:t>
            </w:r>
            <w:r>
              <w:rPr>
                <w:color w:val="231F20"/>
                <w:w w:val="105"/>
                <w:sz w:val="14"/>
              </w:rPr>
              <w:t>à </w:t>
            </w:r>
            <w:r>
              <w:rPr>
                <w:color w:val="231F20"/>
                <w:sz w:val="14"/>
              </w:rPr>
              <w:t>la</w:t>
            </w:r>
            <w:r>
              <w:rPr>
                <w:color w:val="231F20"/>
                <w:spacing w:val="-5"/>
                <w:sz w:val="14"/>
              </w:rPr>
              <w:t> </w:t>
            </w:r>
            <w:r>
              <w:rPr>
                <w:color w:val="231F20"/>
                <w:sz w:val="14"/>
              </w:rPr>
              <w:t>maison)</w:t>
            </w:r>
            <w:r>
              <w:rPr>
                <w:color w:val="231F20"/>
                <w:spacing w:val="-5"/>
                <w:sz w:val="14"/>
              </w:rPr>
              <w:t> </w:t>
            </w:r>
            <w:r>
              <w:rPr>
                <w:color w:val="231F20"/>
                <w:sz w:val="14"/>
              </w:rPr>
              <w:t>est</w:t>
            </w:r>
            <w:r>
              <w:rPr>
                <w:color w:val="231F20"/>
                <w:spacing w:val="-5"/>
                <w:sz w:val="14"/>
              </w:rPr>
              <w:t> </w:t>
            </w:r>
            <w:r>
              <w:rPr>
                <w:color w:val="231F20"/>
                <w:spacing w:val="-2"/>
                <w:sz w:val="14"/>
              </w:rPr>
              <w:t>gratifiant.</w:t>
            </w:r>
          </w:p>
        </w:tc>
        <w:tc>
          <w:tcPr>
            <w:tcW w:w="685" w:type="dxa"/>
            <w:tcBorders>
              <w:top w:val="single" w:sz="4" w:space="0" w:color="FFFFFF"/>
              <w:bottom w:val="single" w:sz="4" w:space="0" w:color="FFFFFF"/>
            </w:tcBorders>
            <w:shd w:val="clear" w:color="auto" w:fill="E2E3E4"/>
          </w:tcPr>
          <w:p>
            <w:pPr>
              <w:pStyle w:val="TableParagraph"/>
              <w:spacing w:before="14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145"/>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145"/>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145"/>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14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261" w:hRule="atLeast"/>
        </w:trPr>
        <w:tc>
          <w:tcPr>
            <w:tcW w:w="2080" w:type="dxa"/>
            <w:tcBorders>
              <w:top w:val="single" w:sz="4" w:space="0" w:color="E2E3E4"/>
              <w:bottom w:val="single" w:sz="4" w:space="0" w:color="E2E3E4"/>
            </w:tcBorders>
          </w:tcPr>
          <w:p>
            <w:pPr>
              <w:pStyle w:val="TableParagraph"/>
              <w:spacing w:before="55"/>
              <w:ind w:left="90"/>
              <w:rPr>
                <w:sz w:val="14"/>
              </w:rPr>
            </w:pPr>
            <w:r>
              <w:rPr>
                <w:b/>
                <w:color w:val="231F20"/>
                <w:w w:val="105"/>
                <w:sz w:val="14"/>
              </w:rPr>
              <w:t>3.</w:t>
            </w:r>
            <w:r>
              <w:rPr>
                <w:b/>
                <w:color w:val="231F20"/>
                <w:spacing w:val="62"/>
                <w:w w:val="150"/>
                <w:sz w:val="14"/>
              </w:rPr>
              <w:t> </w:t>
            </w:r>
            <w:r>
              <w:rPr>
                <w:color w:val="231F20"/>
                <w:w w:val="105"/>
                <w:sz w:val="14"/>
              </w:rPr>
              <w:t>J’apprécie</w:t>
            </w:r>
            <w:r>
              <w:rPr>
                <w:color w:val="231F20"/>
                <w:spacing w:val="-10"/>
                <w:w w:val="105"/>
                <w:sz w:val="14"/>
              </w:rPr>
              <w:t> </w:t>
            </w:r>
            <w:r>
              <w:rPr>
                <w:color w:val="231F20"/>
                <w:w w:val="105"/>
                <w:sz w:val="14"/>
              </w:rPr>
              <w:t>mon</w:t>
            </w:r>
            <w:r>
              <w:rPr>
                <w:color w:val="231F20"/>
                <w:spacing w:val="-10"/>
                <w:w w:val="105"/>
                <w:sz w:val="14"/>
              </w:rPr>
              <w:t> </w:t>
            </w:r>
            <w:r>
              <w:rPr>
                <w:color w:val="231F20"/>
                <w:spacing w:val="-2"/>
                <w:w w:val="105"/>
                <w:sz w:val="14"/>
              </w:rPr>
              <w:t>travail.</w:t>
            </w:r>
          </w:p>
        </w:tc>
        <w:tc>
          <w:tcPr>
            <w:tcW w:w="685" w:type="dxa"/>
            <w:tcBorders>
              <w:top w:val="single" w:sz="4" w:space="0" w:color="FFFFFF"/>
              <w:bottom w:val="single" w:sz="4" w:space="0" w:color="FFFFFF"/>
            </w:tcBorders>
            <w:shd w:val="clear" w:color="auto" w:fill="E2E3E4"/>
          </w:tcPr>
          <w:p>
            <w:pPr>
              <w:pStyle w:val="TableParagraph"/>
              <w:spacing w:before="5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55"/>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55"/>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55"/>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5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621" w:hRule="atLeast"/>
        </w:trPr>
        <w:tc>
          <w:tcPr>
            <w:tcW w:w="2080" w:type="dxa"/>
            <w:tcBorders>
              <w:top w:val="single" w:sz="4" w:space="0" w:color="E2E3E4"/>
              <w:bottom w:val="single" w:sz="4" w:space="0" w:color="E2E3E4"/>
            </w:tcBorders>
          </w:tcPr>
          <w:p>
            <w:pPr>
              <w:pStyle w:val="TableParagraph"/>
              <w:spacing w:line="268" w:lineRule="auto" w:before="55"/>
              <w:ind w:left="379" w:right="320" w:hanging="290"/>
              <w:rPr>
                <w:sz w:val="14"/>
              </w:rPr>
            </w:pPr>
            <w:r>
              <w:rPr>
                <w:b/>
                <w:color w:val="231F20"/>
                <w:sz w:val="14"/>
              </w:rPr>
              <w:t>4.</w:t>
            </w:r>
            <w:r>
              <w:rPr>
                <w:b/>
                <w:color w:val="231F20"/>
                <w:spacing w:val="80"/>
                <w:sz w:val="14"/>
              </w:rPr>
              <w:t> </w:t>
            </w:r>
            <w:r>
              <w:rPr>
                <w:color w:val="231F20"/>
                <w:sz w:val="14"/>
              </w:rPr>
              <w:t>J’arrive à équilibrer</w:t>
            </w:r>
            <w:r>
              <w:rPr>
                <w:color w:val="231F20"/>
                <w:spacing w:val="40"/>
                <w:sz w:val="14"/>
              </w:rPr>
              <w:t> </w:t>
            </w:r>
            <w:r>
              <w:rPr>
                <w:color w:val="231F20"/>
                <w:sz w:val="14"/>
              </w:rPr>
              <w:t>mon</w:t>
            </w:r>
            <w:r>
              <w:rPr>
                <w:color w:val="231F20"/>
                <w:spacing w:val="-5"/>
                <w:sz w:val="14"/>
              </w:rPr>
              <w:t> </w:t>
            </w:r>
            <w:r>
              <w:rPr>
                <w:color w:val="231F20"/>
                <w:sz w:val="14"/>
              </w:rPr>
              <w:t>travail</w:t>
            </w:r>
            <w:r>
              <w:rPr>
                <w:color w:val="231F20"/>
                <w:spacing w:val="-5"/>
                <w:sz w:val="14"/>
              </w:rPr>
              <w:t> </w:t>
            </w:r>
            <w:r>
              <w:rPr>
                <w:color w:val="231F20"/>
                <w:sz w:val="14"/>
              </w:rPr>
              <w:t>et</w:t>
            </w:r>
            <w:r>
              <w:rPr>
                <w:color w:val="231F20"/>
                <w:spacing w:val="-5"/>
                <w:sz w:val="14"/>
              </w:rPr>
              <w:t> </w:t>
            </w:r>
            <w:r>
              <w:rPr>
                <w:color w:val="231F20"/>
                <w:sz w:val="14"/>
              </w:rPr>
              <w:t>ma</w:t>
            </w:r>
            <w:r>
              <w:rPr>
                <w:color w:val="231F20"/>
                <w:spacing w:val="-5"/>
                <w:sz w:val="14"/>
              </w:rPr>
              <w:t> </w:t>
            </w:r>
            <w:r>
              <w:rPr>
                <w:color w:val="231F20"/>
                <w:sz w:val="14"/>
              </w:rPr>
              <w:t>vie</w:t>
            </w:r>
            <w:r>
              <w:rPr>
                <w:color w:val="231F20"/>
                <w:spacing w:val="40"/>
                <w:sz w:val="14"/>
              </w:rPr>
              <w:t> </w:t>
            </w:r>
            <w:r>
              <w:rPr>
                <w:color w:val="231F20"/>
                <w:spacing w:val="-2"/>
                <w:sz w:val="14"/>
              </w:rPr>
              <w:t>personnelle.</w:t>
            </w:r>
          </w:p>
        </w:tc>
        <w:tc>
          <w:tcPr>
            <w:tcW w:w="685"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621" w:hRule="atLeast"/>
        </w:trPr>
        <w:tc>
          <w:tcPr>
            <w:tcW w:w="2080" w:type="dxa"/>
            <w:tcBorders>
              <w:top w:val="single" w:sz="4" w:space="0" w:color="E2E3E4"/>
              <w:bottom w:val="single" w:sz="4" w:space="0" w:color="E2E3E4"/>
            </w:tcBorders>
          </w:tcPr>
          <w:p>
            <w:pPr>
              <w:pStyle w:val="TableParagraph"/>
              <w:spacing w:line="268" w:lineRule="auto" w:before="55"/>
              <w:ind w:left="379" w:right="472" w:hanging="290"/>
              <w:rPr>
                <w:sz w:val="14"/>
              </w:rPr>
            </w:pPr>
            <w:r>
              <w:rPr>
                <w:b/>
                <w:color w:val="231F20"/>
                <w:sz w:val="14"/>
              </w:rPr>
              <w:t>5.</w:t>
            </w:r>
            <w:r>
              <w:rPr>
                <w:b/>
                <w:color w:val="231F20"/>
                <w:spacing w:val="80"/>
                <w:sz w:val="14"/>
              </w:rPr>
              <w:t> </w:t>
            </w:r>
            <w:r>
              <w:rPr>
                <w:color w:val="231F20"/>
                <w:sz w:val="14"/>
              </w:rPr>
              <w:t>Après</w:t>
            </w:r>
            <w:r>
              <w:rPr>
                <w:color w:val="231F20"/>
                <w:spacing w:val="-2"/>
                <w:sz w:val="14"/>
              </w:rPr>
              <w:t> </w:t>
            </w:r>
            <w:r>
              <w:rPr>
                <w:color w:val="231F20"/>
                <w:sz w:val="14"/>
              </w:rPr>
              <w:t>une</w:t>
            </w:r>
            <w:r>
              <w:rPr>
                <w:color w:val="231F20"/>
                <w:spacing w:val="-2"/>
                <w:sz w:val="14"/>
              </w:rPr>
              <w:t> </w:t>
            </w:r>
            <w:r>
              <w:rPr>
                <w:color w:val="231F20"/>
                <w:sz w:val="14"/>
              </w:rPr>
              <w:t>journée</w:t>
            </w:r>
            <w:r>
              <w:rPr>
                <w:color w:val="231F20"/>
                <w:spacing w:val="40"/>
                <w:sz w:val="14"/>
              </w:rPr>
              <w:t> </w:t>
            </w:r>
            <w:r>
              <w:rPr>
                <w:color w:val="231F20"/>
                <w:sz w:val="14"/>
              </w:rPr>
              <w:t>normale</w:t>
            </w:r>
            <w:r>
              <w:rPr>
                <w:color w:val="231F20"/>
                <w:spacing w:val="-6"/>
                <w:sz w:val="14"/>
              </w:rPr>
              <w:t> </w:t>
            </w:r>
            <w:r>
              <w:rPr>
                <w:color w:val="231F20"/>
                <w:sz w:val="14"/>
              </w:rPr>
              <w:t>de</w:t>
            </w:r>
            <w:r>
              <w:rPr>
                <w:color w:val="231F20"/>
                <w:spacing w:val="-6"/>
                <w:sz w:val="14"/>
              </w:rPr>
              <w:t> </w:t>
            </w:r>
            <w:r>
              <w:rPr>
                <w:color w:val="231F20"/>
                <w:sz w:val="14"/>
              </w:rPr>
              <w:t>travail,</w:t>
            </w:r>
            <w:r>
              <w:rPr>
                <w:color w:val="231F20"/>
                <w:spacing w:val="40"/>
                <w:sz w:val="14"/>
              </w:rPr>
              <w:t> </w:t>
            </w:r>
            <w:r>
              <w:rPr>
                <w:color w:val="231F20"/>
                <w:sz w:val="14"/>
              </w:rPr>
              <w:t>je me sens bien.</w:t>
            </w:r>
          </w:p>
        </w:tc>
        <w:tc>
          <w:tcPr>
            <w:tcW w:w="685"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621" w:hRule="atLeast"/>
        </w:trPr>
        <w:tc>
          <w:tcPr>
            <w:tcW w:w="2080" w:type="dxa"/>
            <w:tcBorders>
              <w:top w:val="single" w:sz="4" w:space="0" w:color="E2E3E4"/>
              <w:bottom w:val="single" w:sz="4" w:space="0" w:color="E2E3E4"/>
            </w:tcBorders>
          </w:tcPr>
          <w:p>
            <w:pPr>
              <w:pStyle w:val="TableParagraph"/>
              <w:spacing w:line="268" w:lineRule="auto" w:before="55"/>
              <w:ind w:left="379" w:hanging="290"/>
              <w:rPr>
                <w:sz w:val="14"/>
              </w:rPr>
            </w:pPr>
            <w:r>
              <w:rPr>
                <w:b/>
                <w:color w:val="231F20"/>
                <w:w w:val="105"/>
                <w:sz w:val="14"/>
              </w:rPr>
              <w:t>6.</w:t>
            </w:r>
            <w:r>
              <w:rPr>
                <w:b/>
                <w:color w:val="231F20"/>
                <w:spacing w:val="80"/>
                <w:w w:val="105"/>
                <w:sz w:val="14"/>
              </w:rPr>
              <w:t> </w:t>
            </w:r>
            <w:r>
              <w:rPr>
                <w:color w:val="231F20"/>
                <w:w w:val="105"/>
                <w:sz w:val="14"/>
              </w:rPr>
              <w:t>Les</w:t>
            </w:r>
            <w:r>
              <w:rPr>
                <w:color w:val="231F20"/>
                <w:spacing w:val="-3"/>
                <w:w w:val="105"/>
                <w:sz w:val="14"/>
              </w:rPr>
              <w:t> </w:t>
            </w:r>
            <w:r>
              <w:rPr>
                <w:color w:val="231F20"/>
                <w:w w:val="105"/>
                <w:sz w:val="14"/>
              </w:rPr>
              <w:t>choses</w:t>
            </w:r>
            <w:r>
              <w:rPr>
                <w:color w:val="231F20"/>
                <w:spacing w:val="-3"/>
                <w:w w:val="105"/>
                <w:sz w:val="14"/>
              </w:rPr>
              <w:t> </w:t>
            </w:r>
            <w:r>
              <w:rPr>
                <w:color w:val="231F20"/>
                <w:w w:val="105"/>
                <w:sz w:val="14"/>
              </w:rPr>
              <w:t>que</w:t>
            </w:r>
            <w:r>
              <w:rPr>
                <w:color w:val="231F20"/>
                <w:spacing w:val="-3"/>
                <w:w w:val="105"/>
                <w:sz w:val="14"/>
              </w:rPr>
              <w:t> </w:t>
            </w:r>
            <w:r>
              <w:rPr>
                <w:color w:val="231F20"/>
                <w:w w:val="105"/>
                <w:sz w:val="14"/>
              </w:rPr>
              <w:t>je</w:t>
            </w:r>
            <w:r>
              <w:rPr>
                <w:color w:val="231F20"/>
                <w:spacing w:val="-3"/>
                <w:w w:val="105"/>
                <w:sz w:val="14"/>
              </w:rPr>
              <w:t> </w:t>
            </w:r>
            <w:r>
              <w:rPr>
                <w:color w:val="231F20"/>
                <w:w w:val="105"/>
                <w:sz w:val="14"/>
              </w:rPr>
              <w:t>fais </w:t>
            </w:r>
            <w:r>
              <w:rPr>
                <w:color w:val="231F20"/>
                <w:spacing w:val="-2"/>
                <w:w w:val="105"/>
                <w:sz w:val="14"/>
              </w:rPr>
              <w:t>habituellement</w:t>
            </w:r>
            <w:r>
              <w:rPr>
                <w:color w:val="231F20"/>
                <w:spacing w:val="-8"/>
                <w:w w:val="105"/>
                <w:sz w:val="14"/>
              </w:rPr>
              <w:t> </w:t>
            </w:r>
            <w:r>
              <w:rPr>
                <w:color w:val="231F20"/>
                <w:spacing w:val="-2"/>
                <w:w w:val="105"/>
                <w:sz w:val="14"/>
              </w:rPr>
              <w:t>au</w:t>
            </w:r>
            <w:r>
              <w:rPr>
                <w:color w:val="231F20"/>
                <w:spacing w:val="-8"/>
                <w:w w:val="105"/>
                <w:sz w:val="14"/>
              </w:rPr>
              <w:t> </w:t>
            </w:r>
            <w:r>
              <w:rPr>
                <w:color w:val="231F20"/>
                <w:spacing w:val="-2"/>
                <w:w w:val="105"/>
                <w:sz w:val="14"/>
              </w:rPr>
              <w:t>travail</w:t>
            </w:r>
            <w:r>
              <w:rPr>
                <w:color w:val="231F20"/>
                <w:w w:val="105"/>
                <w:sz w:val="14"/>
              </w:rPr>
              <w:t> sont</w:t>
            </w:r>
            <w:r>
              <w:rPr>
                <w:color w:val="231F20"/>
                <w:spacing w:val="-11"/>
                <w:w w:val="105"/>
                <w:sz w:val="14"/>
              </w:rPr>
              <w:t> </w:t>
            </w:r>
            <w:r>
              <w:rPr>
                <w:color w:val="231F20"/>
                <w:w w:val="105"/>
                <w:sz w:val="14"/>
              </w:rPr>
              <w:t>amusantes.</w:t>
            </w:r>
          </w:p>
        </w:tc>
        <w:tc>
          <w:tcPr>
            <w:tcW w:w="685"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5"/>
              <w:rPr>
                <w:b/>
                <w:sz w:val="20"/>
              </w:rPr>
            </w:pPr>
          </w:p>
          <w:p>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441" w:hRule="atLeast"/>
        </w:trPr>
        <w:tc>
          <w:tcPr>
            <w:tcW w:w="2080" w:type="dxa"/>
            <w:tcBorders>
              <w:top w:val="single" w:sz="4" w:space="0" w:color="E2E3E4"/>
              <w:bottom w:val="single" w:sz="4" w:space="0" w:color="E2E3E4"/>
            </w:tcBorders>
          </w:tcPr>
          <w:p>
            <w:pPr>
              <w:pStyle w:val="TableParagraph"/>
              <w:spacing w:line="268" w:lineRule="auto" w:before="55"/>
              <w:ind w:left="379" w:hanging="290"/>
              <w:rPr>
                <w:sz w:val="14"/>
              </w:rPr>
            </w:pPr>
            <w:r>
              <w:rPr>
                <w:b/>
                <w:color w:val="231F20"/>
                <w:w w:val="105"/>
                <w:sz w:val="14"/>
              </w:rPr>
              <w:t>7.</w:t>
            </w:r>
            <w:r>
              <w:rPr>
                <w:b/>
                <w:color w:val="231F20"/>
                <w:spacing w:val="75"/>
                <w:w w:val="105"/>
                <w:sz w:val="14"/>
              </w:rPr>
              <w:t> </w:t>
            </w:r>
            <w:r>
              <w:rPr>
                <w:color w:val="231F20"/>
                <w:w w:val="105"/>
                <w:sz w:val="14"/>
              </w:rPr>
              <w:t>Ma</w:t>
            </w:r>
            <w:r>
              <w:rPr>
                <w:color w:val="231F20"/>
                <w:spacing w:val="-10"/>
                <w:w w:val="105"/>
                <w:sz w:val="14"/>
              </w:rPr>
              <w:t> </w:t>
            </w:r>
            <w:r>
              <w:rPr>
                <w:color w:val="231F20"/>
                <w:w w:val="105"/>
                <w:sz w:val="14"/>
              </w:rPr>
              <w:t>qualité</w:t>
            </w:r>
            <w:r>
              <w:rPr>
                <w:color w:val="231F20"/>
                <w:spacing w:val="-11"/>
                <w:w w:val="105"/>
                <w:sz w:val="14"/>
              </w:rPr>
              <w:t> </w:t>
            </w:r>
            <w:r>
              <w:rPr>
                <w:color w:val="231F20"/>
                <w:w w:val="105"/>
                <w:sz w:val="14"/>
              </w:rPr>
              <w:t>de</w:t>
            </w:r>
            <w:r>
              <w:rPr>
                <w:color w:val="231F20"/>
                <w:spacing w:val="-10"/>
                <w:w w:val="105"/>
                <w:sz w:val="14"/>
              </w:rPr>
              <w:t> </w:t>
            </w:r>
            <w:r>
              <w:rPr>
                <w:color w:val="231F20"/>
                <w:w w:val="105"/>
                <w:sz w:val="14"/>
              </w:rPr>
              <w:t>vie</w:t>
            </w:r>
            <w:r>
              <w:rPr>
                <w:color w:val="231F20"/>
                <w:spacing w:val="-10"/>
                <w:w w:val="105"/>
                <w:sz w:val="14"/>
              </w:rPr>
              <w:t> </w:t>
            </w:r>
            <w:r>
              <w:rPr>
                <w:color w:val="231F20"/>
                <w:w w:val="105"/>
                <w:sz w:val="14"/>
              </w:rPr>
              <w:t>actuelle</w:t>
            </w:r>
            <w:r>
              <w:rPr>
                <w:color w:val="231F20"/>
                <w:w w:val="105"/>
                <w:sz w:val="14"/>
              </w:rPr>
              <w:t> me</w:t>
            </w:r>
            <w:r>
              <w:rPr>
                <w:color w:val="231F20"/>
                <w:spacing w:val="-11"/>
                <w:w w:val="105"/>
                <w:sz w:val="14"/>
              </w:rPr>
              <w:t> </w:t>
            </w:r>
            <w:r>
              <w:rPr>
                <w:color w:val="231F20"/>
                <w:w w:val="105"/>
                <w:sz w:val="14"/>
              </w:rPr>
              <w:t>satisfait.</w:t>
            </w:r>
          </w:p>
        </w:tc>
        <w:tc>
          <w:tcPr>
            <w:tcW w:w="685" w:type="dxa"/>
            <w:tcBorders>
              <w:top w:val="single" w:sz="4" w:space="0" w:color="FFFFFF"/>
              <w:bottom w:val="single" w:sz="4" w:space="0" w:color="FFFFFF"/>
            </w:tcBorders>
            <w:shd w:val="clear" w:color="auto" w:fill="E2E3E4"/>
          </w:tcPr>
          <w:p>
            <w:pPr>
              <w:pStyle w:val="TableParagraph"/>
              <w:spacing w:before="14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4" w:space="0" w:color="FFFFFF"/>
            </w:tcBorders>
            <w:shd w:val="clear" w:color="auto" w:fill="E2E3E4"/>
          </w:tcPr>
          <w:p>
            <w:pPr>
              <w:pStyle w:val="TableParagraph"/>
              <w:spacing w:before="145"/>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4" w:space="0" w:color="FFFFFF"/>
            </w:tcBorders>
            <w:shd w:val="clear" w:color="auto" w:fill="E2E3E4"/>
          </w:tcPr>
          <w:p>
            <w:pPr>
              <w:pStyle w:val="TableParagraph"/>
              <w:spacing w:before="145"/>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4" w:space="0" w:color="FFFFFF"/>
            </w:tcBorders>
            <w:shd w:val="clear" w:color="auto" w:fill="E2E3E4"/>
          </w:tcPr>
          <w:p>
            <w:pPr>
              <w:pStyle w:val="TableParagraph"/>
              <w:spacing w:before="145"/>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4" w:space="0" w:color="FFFFFF"/>
            </w:tcBorders>
            <w:shd w:val="clear" w:color="auto" w:fill="E2E3E4"/>
          </w:tcPr>
          <w:p>
            <w:pPr>
              <w:pStyle w:val="TableParagraph"/>
              <w:spacing w:before="14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r>
        <w:trPr>
          <w:trHeight w:val="624" w:hRule="atLeast"/>
        </w:trPr>
        <w:tc>
          <w:tcPr>
            <w:tcW w:w="2080" w:type="dxa"/>
            <w:tcBorders>
              <w:top w:val="single" w:sz="4" w:space="0" w:color="E2E3E4"/>
              <w:bottom w:val="single" w:sz="2" w:space="0" w:color="231F20"/>
            </w:tcBorders>
          </w:tcPr>
          <w:p>
            <w:pPr>
              <w:pStyle w:val="TableParagraph"/>
              <w:spacing w:line="268" w:lineRule="auto" w:before="56"/>
              <w:ind w:left="379" w:right="465" w:hanging="290"/>
              <w:rPr>
                <w:sz w:val="14"/>
              </w:rPr>
            </w:pPr>
            <w:r>
              <w:rPr>
                <w:b/>
                <w:color w:val="231F20"/>
                <w:sz w:val="14"/>
              </w:rPr>
              <w:t>8.</w:t>
            </w:r>
            <w:r>
              <w:rPr>
                <w:b/>
                <w:color w:val="231F20"/>
                <w:spacing w:val="80"/>
                <w:sz w:val="14"/>
              </w:rPr>
              <w:t> </w:t>
            </w:r>
            <w:r>
              <w:rPr>
                <w:color w:val="231F20"/>
                <w:sz w:val="14"/>
              </w:rPr>
              <w:t>Après une journée</w:t>
            </w:r>
            <w:r>
              <w:rPr>
                <w:color w:val="231F20"/>
                <w:spacing w:val="40"/>
                <w:sz w:val="14"/>
              </w:rPr>
              <w:t> </w:t>
            </w:r>
            <w:r>
              <w:rPr>
                <w:color w:val="231F20"/>
                <w:sz w:val="14"/>
              </w:rPr>
              <w:t>de</w:t>
            </w:r>
            <w:r>
              <w:rPr>
                <w:color w:val="231F20"/>
                <w:spacing w:val="-10"/>
                <w:sz w:val="14"/>
              </w:rPr>
              <w:t> </w:t>
            </w:r>
            <w:r>
              <w:rPr>
                <w:color w:val="231F20"/>
                <w:sz w:val="14"/>
              </w:rPr>
              <w:t>travail,</w:t>
            </w:r>
            <w:r>
              <w:rPr>
                <w:color w:val="231F20"/>
                <w:spacing w:val="-10"/>
                <w:sz w:val="14"/>
              </w:rPr>
              <w:t> </w:t>
            </w:r>
            <w:r>
              <w:rPr>
                <w:color w:val="231F20"/>
                <w:sz w:val="14"/>
              </w:rPr>
              <w:t>je</w:t>
            </w:r>
            <w:r>
              <w:rPr>
                <w:color w:val="231F20"/>
                <w:spacing w:val="-10"/>
                <w:sz w:val="14"/>
              </w:rPr>
              <w:t> </w:t>
            </w:r>
            <w:r>
              <w:rPr>
                <w:color w:val="231F20"/>
                <w:sz w:val="14"/>
              </w:rPr>
              <w:t>suis</w:t>
            </w:r>
            <w:r>
              <w:rPr>
                <w:color w:val="231F20"/>
                <w:spacing w:val="-9"/>
                <w:sz w:val="14"/>
              </w:rPr>
              <w:t> </w:t>
            </w:r>
            <w:r>
              <w:rPr>
                <w:color w:val="231F20"/>
                <w:sz w:val="14"/>
              </w:rPr>
              <w:t>de</w:t>
            </w:r>
            <w:r>
              <w:rPr>
                <w:color w:val="231F20"/>
                <w:spacing w:val="40"/>
                <w:sz w:val="14"/>
              </w:rPr>
              <w:t> </w:t>
            </w:r>
            <w:r>
              <w:rPr>
                <w:color w:val="231F20"/>
                <w:sz w:val="14"/>
              </w:rPr>
              <w:t>bonne</w:t>
            </w:r>
            <w:r>
              <w:rPr>
                <w:color w:val="231F20"/>
                <w:spacing w:val="-10"/>
                <w:sz w:val="14"/>
              </w:rPr>
              <w:t> </w:t>
            </w:r>
            <w:r>
              <w:rPr>
                <w:color w:val="231F20"/>
                <w:sz w:val="14"/>
              </w:rPr>
              <w:t>humeur.</w:t>
            </w:r>
          </w:p>
        </w:tc>
        <w:tc>
          <w:tcPr>
            <w:tcW w:w="685" w:type="dxa"/>
            <w:tcBorders>
              <w:top w:val="single" w:sz="4" w:space="0" w:color="FFFFFF"/>
              <w:bottom w:val="single" w:sz="2" w:space="0" w:color="231F20"/>
            </w:tcBorders>
            <w:shd w:val="clear" w:color="auto" w:fill="E2E3E4"/>
          </w:tcPr>
          <w:p>
            <w:pPr>
              <w:pStyle w:val="TableParagraph"/>
              <w:spacing w:before="5"/>
              <w:rPr>
                <w:b/>
                <w:sz w:val="20"/>
              </w:rPr>
            </w:pPr>
          </w:p>
          <w:p>
            <w:pPr>
              <w:pStyle w:val="TableParagraph"/>
              <w:spacing w:before="1"/>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10"/>
                <w:sz w:val="14"/>
              </w:rPr>
              <w:t>0</w:t>
            </w:r>
          </w:p>
        </w:tc>
        <w:tc>
          <w:tcPr>
            <w:tcW w:w="844" w:type="dxa"/>
            <w:tcBorders>
              <w:top w:val="single" w:sz="4" w:space="0" w:color="FFFFFF"/>
              <w:bottom w:val="single" w:sz="2" w:space="0" w:color="231F20"/>
            </w:tcBorders>
            <w:shd w:val="clear" w:color="auto" w:fill="E2E3E4"/>
          </w:tcPr>
          <w:p>
            <w:pPr>
              <w:pStyle w:val="TableParagraph"/>
              <w:spacing w:before="5"/>
              <w:rPr>
                <w:b/>
                <w:sz w:val="20"/>
              </w:rPr>
            </w:pPr>
          </w:p>
          <w:p>
            <w:pPr>
              <w:pStyle w:val="TableParagraph"/>
              <w:spacing w:before="1"/>
              <w:ind w:left="89" w:right="84"/>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1</w:t>
            </w:r>
          </w:p>
        </w:tc>
        <w:tc>
          <w:tcPr>
            <w:tcW w:w="671" w:type="dxa"/>
            <w:tcBorders>
              <w:top w:val="single" w:sz="4" w:space="0" w:color="FFFFFF"/>
              <w:bottom w:val="single" w:sz="2" w:space="0" w:color="231F20"/>
            </w:tcBorders>
            <w:shd w:val="clear" w:color="auto" w:fill="E2E3E4"/>
          </w:tcPr>
          <w:p>
            <w:pPr>
              <w:pStyle w:val="TableParagraph"/>
              <w:spacing w:before="5"/>
              <w:rPr>
                <w:b/>
                <w:sz w:val="20"/>
              </w:rPr>
            </w:pPr>
          </w:p>
          <w:p>
            <w:pPr>
              <w:pStyle w:val="TableParagraph"/>
              <w:spacing w:before="1"/>
              <w:ind w:left="81" w:right="88"/>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2</w:t>
            </w:r>
          </w:p>
        </w:tc>
        <w:tc>
          <w:tcPr>
            <w:tcW w:w="732" w:type="dxa"/>
            <w:tcBorders>
              <w:top w:val="single" w:sz="4" w:space="0" w:color="FFFFFF"/>
              <w:bottom w:val="single" w:sz="2" w:space="0" w:color="231F20"/>
            </w:tcBorders>
            <w:shd w:val="clear" w:color="auto" w:fill="E2E3E4"/>
          </w:tcPr>
          <w:p>
            <w:pPr>
              <w:pStyle w:val="TableParagraph"/>
              <w:spacing w:before="5"/>
              <w:rPr>
                <w:b/>
                <w:sz w:val="20"/>
              </w:rPr>
            </w:pPr>
          </w:p>
          <w:p>
            <w:pPr>
              <w:pStyle w:val="TableParagraph"/>
              <w:spacing w:before="1"/>
              <w:ind w:left="90" w:right="63"/>
              <w:jc w:val="center"/>
              <w:rPr>
                <w:sz w:val="14"/>
              </w:rPr>
            </w:pPr>
            <w:r>
              <w:rPr>
                <w:rFonts w:ascii="Wingdings" w:hAnsi="Wingdings"/>
                <w:color w:val="231F20"/>
                <w:sz w:val="14"/>
              </w:rPr>
              <w:t></w:t>
            </w:r>
            <w:r>
              <w:rPr>
                <w:rFonts w:ascii="Times New Roman" w:hAnsi="Times New Roman"/>
                <w:color w:val="231F20"/>
                <w:sz w:val="14"/>
              </w:rPr>
              <w:t> </w:t>
            </w:r>
            <w:r>
              <w:rPr>
                <w:color w:val="231F20"/>
                <w:spacing w:val="-10"/>
                <w:sz w:val="14"/>
              </w:rPr>
              <w:t>3</w:t>
            </w:r>
          </w:p>
        </w:tc>
        <w:tc>
          <w:tcPr>
            <w:tcW w:w="726" w:type="dxa"/>
            <w:tcBorders>
              <w:top w:val="single" w:sz="4" w:space="0" w:color="FFFFFF"/>
              <w:bottom w:val="single" w:sz="2" w:space="0" w:color="231F20"/>
            </w:tcBorders>
            <w:shd w:val="clear" w:color="auto" w:fill="E2E3E4"/>
          </w:tcPr>
          <w:p>
            <w:pPr>
              <w:pStyle w:val="TableParagraph"/>
              <w:spacing w:before="5"/>
              <w:rPr>
                <w:b/>
                <w:sz w:val="20"/>
              </w:rPr>
            </w:pPr>
          </w:p>
          <w:p>
            <w:pPr>
              <w:pStyle w:val="TableParagraph"/>
              <w:spacing w:before="1"/>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w:t>
            </w:r>
            <w:r>
              <w:rPr>
                <w:color w:val="231F20"/>
                <w:spacing w:val="-10"/>
                <w:w w:val="105"/>
                <w:sz w:val="14"/>
              </w:rPr>
              <w:t>4</w:t>
            </w:r>
          </w:p>
        </w:tc>
      </w:tr>
    </w:tbl>
    <w:p>
      <w:pPr>
        <w:spacing w:before="64"/>
        <w:ind w:left="1169" w:right="0" w:firstLine="0"/>
        <w:jc w:val="left"/>
        <w:rPr>
          <w:rFonts w:ascii="Arial"/>
          <w:b/>
          <w:sz w:val="14"/>
        </w:rPr>
      </w:pPr>
      <w:r>
        <w:rPr/>
        <w:pict>
          <v:group style="position:absolute;margin-left:62.5pt;margin-top:13.60772pt;width:287pt;height:.25pt;mso-position-horizontal-relative:page;mso-position-vertical-relative:paragraph;z-index:-15707648;mso-wrap-distance-left:0;mso-wrap-distance-right:0" id="docshapegroup122" coordorigin="1250,272" coordsize="5740,5">
            <v:line style="position:absolute" from="1250,275" to="1550,275" stroked="true" strokeweight=".25pt" strokecolor="#231f20">
              <v:stroke dashstyle="solid"/>
            </v:line>
            <v:line style="position:absolute" from="1550,275" to="3330,275" stroked="true" strokeweight=".25pt" strokecolor="#231f20">
              <v:stroke dashstyle="solid"/>
            </v:line>
            <v:line style="position:absolute" from="3330,275" to="4050,275" stroked="true" strokeweight=".25pt" strokecolor="#231f20">
              <v:stroke dashstyle="solid"/>
            </v:line>
            <v:line style="position:absolute" from="4050,275" to="4830,275" stroked="true" strokeweight=".25pt" strokecolor="#231f20">
              <v:stroke dashstyle="solid"/>
            </v:line>
            <v:line style="position:absolute" from="4830,275" to="5550,275" stroked="true" strokeweight=".25pt" strokecolor="#231f20">
              <v:stroke dashstyle="solid"/>
            </v:line>
            <v:line style="position:absolute" from="5550,275" to="6270,275" stroked="true" strokeweight=".25pt" strokecolor="#231f20">
              <v:stroke dashstyle="solid"/>
            </v:line>
            <v:line style="position:absolute" from="6270,275" to="6990,275" stroked="true" strokeweight=".25pt" strokecolor="#231f20">
              <v:stroke dashstyle="solid"/>
            </v:line>
            <w10:wrap type="topAndBottom"/>
          </v:group>
        </w:pict>
      </w:r>
      <w:r>
        <w:rPr>
          <w:rFonts w:ascii="Arial"/>
          <w:b/>
          <w:color w:val="231F20"/>
          <w:w w:val="95"/>
          <w:sz w:val="14"/>
        </w:rPr>
        <w:t>Note</w:t>
      </w:r>
      <w:r>
        <w:rPr>
          <w:rFonts w:ascii="Arial"/>
          <w:b/>
          <w:color w:val="231F20"/>
          <w:spacing w:val="4"/>
          <w:sz w:val="14"/>
        </w:rPr>
        <w:t> </w:t>
      </w:r>
      <w:r>
        <w:rPr>
          <w:rFonts w:ascii="Arial"/>
          <w:b/>
          <w:color w:val="231F20"/>
          <w:w w:val="95"/>
          <w:sz w:val="14"/>
        </w:rPr>
        <w:t>globale</w:t>
      </w:r>
      <w:r>
        <w:rPr>
          <w:rFonts w:ascii="Arial"/>
          <w:b/>
          <w:color w:val="231F20"/>
          <w:spacing w:val="5"/>
          <w:sz w:val="14"/>
        </w:rPr>
        <w:t> </w:t>
      </w:r>
      <w:r>
        <w:rPr>
          <w:rFonts w:ascii="Arial"/>
          <w:b/>
          <w:color w:val="231F20"/>
          <w:spacing w:val="-10"/>
          <w:w w:val="95"/>
          <w:sz w:val="14"/>
        </w:rPr>
        <w:t>=</w:t>
      </w:r>
    </w:p>
    <w:p>
      <w:pPr>
        <w:pStyle w:val="BodyText"/>
        <w:spacing w:before="9"/>
        <w:rPr>
          <w:rFonts w:ascii="Arial"/>
          <w:b/>
          <w:sz w:val="21"/>
        </w:rPr>
      </w:pPr>
    </w:p>
    <w:p>
      <w:pPr>
        <w:pStyle w:val="Heading5"/>
        <w:ind w:left="790"/>
      </w:pPr>
      <w:r>
        <w:rPr>
          <w:color w:val="231F20"/>
          <w:w w:val="105"/>
        </w:rPr>
        <w:t>Note</w:t>
      </w:r>
      <w:r>
        <w:rPr>
          <w:color w:val="231F20"/>
          <w:spacing w:val="-8"/>
          <w:w w:val="105"/>
        </w:rPr>
        <w:t> </w:t>
      </w:r>
      <w:r>
        <w:rPr>
          <w:color w:val="231F20"/>
          <w:w w:val="105"/>
        </w:rPr>
        <w:t>et</w:t>
      </w:r>
      <w:r>
        <w:rPr>
          <w:color w:val="231F20"/>
          <w:spacing w:val="-7"/>
          <w:w w:val="105"/>
        </w:rPr>
        <w:t> </w:t>
      </w:r>
      <w:r>
        <w:rPr>
          <w:color w:val="231F20"/>
          <w:spacing w:val="-2"/>
          <w:w w:val="105"/>
        </w:rPr>
        <w:t>interprétation</w:t>
      </w:r>
    </w:p>
    <w:p>
      <w:pPr>
        <w:spacing w:line="307" w:lineRule="auto" w:before="134"/>
        <w:ind w:left="790" w:right="513" w:firstLine="0"/>
        <w:jc w:val="left"/>
        <w:rPr>
          <w:sz w:val="17"/>
        </w:rPr>
      </w:pPr>
      <w:r>
        <w:rPr>
          <w:i/>
          <w:color w:val="231F20"/>
          <w:w w:val="115"/>
          <w:sz w:val="17"/>
        </w:rPr>
        <w:t>De</w:t>
      </w:r>
      <w:r>
        <w:rPr>
          <w:i/>
          <w:color w:val="231F20"/>
          <w:spacing w:val="29"/>
          <w:w w:val="115"/>
          <w:sz w:val="17"/>
        </w:rPr>
        <w:t> </w:t>
      </w:r>
      <w:r>
        <w:rPr>
          <w:i/>
          <w:color w:val="231F20"/>
          <w:w w:val="115"/>
          <w:sz w:val="17"/>
        </w:rPr>
        <w:t>24</w:t>
      </w:r>
      <w:r>
        <w:rPr>
          <w:i/>
          <w:color w:val="231F20"/>
          <w:spacing w:val="29"/>
          <w:w w:val="115"/>
          <w:sz w:val="17"/>
        </w:rPr>
        <w:t> </w:t>
      </w:r>
      <w:r>
        <w:rPr>
          <w:i/>
          <w:color w:val="231F20"/>
          <w:w w:val="115"/>
          <w:sz w:val="17"/>
        </w:rPr>
        <w:t>à</w:t>
      </w:r>
      <w:r>
        <w:rPr>
          <w:i/>
          <w:color w:val="231F20"/>
          <w:spacing w:val="29"/>
          <w:w w:val="115"/>
          <w:sz w:val="17"/>
        </w:rPr>
        <w:t> </w:t>
      </w:r>
      <w:r>
        <w:rPr>
          <w:i/>
          <w:color w:val="231F20"/>
          <w:w w:val="115"/>
          <w:sz w:val="17"/>
        </w:rPr>
        <w:t>32</w:t>
      </w:r>
      <w:r>
        <w:rPr>
          <w:i/>
          <w:color w:val="231F20"/>
          <w:spacing w:val="29"/>
          <w:w w:val="115"/>
          <w:sz w:val="17"/>
        </w:rPr>
        <w:t> </w:t>
      </w:r>
      <w:r>
        <w:rPr>
          <w:i/>
          <w:color w:val="231F20"/>
          <w:w w:val="115"/>
          <w:sz w:val="17"/>
        </w:rPr>
        <w:t>points</w:t>
      </w:r>
      <w:r>
        <w:rPr>
          <w:i/>
          <w:color w:val="231F20"/>
          <w:spacing w:val="29"/>
          <w:w w:val="115"/>
          <w:sz w:val="17"/>
        </w:rPr>
        <w:t> </w:t>
      </w:r>
      <w:r>
        <w:rPr>
          <w:color w:val="231F20"/>
          <w:w w:val="115"/>
          <w:sz w:val="17"/>
        </w:rPr>
        <w:t>–</w:t>
      </w:r>
      <w:r>
        <w:rPr>
          <w:color w:val="231F20"/>
          <w:spacing w:val="29"/>
          <w:w w:val="115"/>
          <w:sz w:val="17"/>
        </w:rPr>
        <w:t> </w:t>
      </w:r>
      <w:r>
        <w:rPr>
          <w:color w:val="231F20"/>
          <w:w w:val="115"/>
          <w:sz w:val="17"/>
        </w:rPr>
        <w:t>Vous</w:t>
      </w:r>
      <w:r>
        <w:rPr>
          <w:color w:val="231F20"/>
          <w:spacing w:val="29"/>
          <w:w w:val="115"/>
          <w:sz w:val="17"/>
        </w:rPr>
        <w:t> </w:t>
      </w:r>
      <w:r>
        <w:rPr>
          <w:color w:val="231F20"/>
          <w:w w:val="115"/>
          <w:sz w:val="17"/>
        </w:rPr>
        <w:t>avez</w:t>
      </w:r>
      <w:r>
        <w:rPr>
          <w:color w:val="231F20"/>
          <w:spacing w:val="29"/>
          <w:w w:val="115"/>
          <w:sz w:val="17"/>
        </w:rPr>
        <w:t> </w:t>
      </w:r>
      <w:r>
        <w:rPr>
          <w:color w:val="231F20"/>
          <w:w w:val="115"/>
          <w:sz w:val="17"/>
        </w:rPr>
        <w:t>un</w:t>
      </w:r>
      <w:r>
        <w:rPr>
          <w:color w:val="231F20"/>
          <w:spacing w:val="29"/>
          <w:w w:val="115"/>
          <w:sz w:val="17"/>
        </w:rPr>
        <w:t> </w:t>
      </w:r>
      <w:r>
        <w:rPr>
          <w:color w:val="231F20"/>
          <w:w w:val="115"/>
          <w:sz w:val="17"/>
        </w:rPr>
        <w:t>excellent</w:t>
      </w:r>
      <w:r>
        <w:rPr>
          <w:color w:val="231F20"/>
          <w:spacing w:val="29"/>
          <w:w w:val="115"/>
          <w:sz w:val="17"/>
        </w:rPr>
        <w:t> </w:t>
      </w:r>
      <w:r>
        <w:rPr>
          <w:color w:val="231F20"/>
          <w:w w:val="115"/>
          <w:sz w:val="17"/>
        </w:rPr>
        <w:t>niveau</w:t>
      </w:r>
      <w:r>
        <w:rPr>
          <w:color w:val="231F20"/>
          <w:spacing w:val="29"/>
          <w:w w:val="115"/>
          <w:sz w:val="17"/>
        </w:rPr>
        <w:t> </w:t>
      </w:r>
      <w:r>
        <w:rPr>
          <w:color w:val="231F20"/>
          <w:w w:val="115"/>
          <w:sz w:val="17"/>
        </w:rPr>
        <w:t>de</w:t>
      </w:r>
      <w:r>
        <w:rPr>
          <w:color w:val="231F20"/>
          <w:spacing w:val="29"/>
          <w:w w:val="115"/>
          <w:sz w:val="17"/>
        </w:rPr>
        <w:t> </w:t>
      </w:r>
      <w:r>
        <w:rPr>
          <w:color w:val="231F20"/>
          <w:w w:val="115"/>
          <w:sz w:val="17"/>
        </w:rPr>
        <w:t>qualité</w:t>
      </w:r>
      <w:r>
        <w:rPr>
          <w:color w:val="231F20"/>
          <w:spacing w:val="29"/>
          <w:w w:val="115"/>
          <w:sz w:val="17"/>
        </w:rPr>
        <w:t> </w:t>
      </w:r>
      <w:r>
        <w:rPr>
          <w:color w:val="231F20"/>
          <w:w w:val="115"/>
          <w:sz w:val="17"/>
        </w:rPr>
        <w:t>de</w:t>
      </w:r>
      <w:r>
        <w:rPr>
          <w:color w:val="231F20"/>
          <w:spacing w:val="29"/>
          <w:w w:val="115"/>
          <w:sz w:val="17"/>
        </w:rPr>
        <w:t> </w:t>
      </w:r>
      <w:r>
        <w:rPr>
          <w:color w:val="231F20"/>
          <w:w w:val="115"/>
          <w:sz w:val="17"/>
        </w:rPr>
        <w:t>vie au</w:t>
      </w:r>
      <w:r>
        <w:rPr>
          <w:color w:val="231F20"/>
          <w:spacing w:val="-13"/>
          <w:w w:val="115"/>
          <w:sz w:val="17"/>
        </w:rPr>
        <w:t> </w:t>
      </w:r>
      <w:r>
        <w:rPr>
          <w:color w:val="231F20"/>
          <w:w w:val="115"/>
          <w:sz w:val="17"/>
        </w:rPr>
        <w:t>travail.</w:t>
      </w:r>
    </w:p>
    <w:p>
      <w:pPr>
        <w:spacing w:before="79"/>
        <w:ind w:left="790" w:right="0" w:firstLine="0"/>
        <w:jc w:val="left"/>
        <w:rPr>
          <w:sz w:val="17"/>
        </w:rPr>
      </w:pPr>
      <w:r>
        <w:rPr>
          <w:i/>
          <w:color w:val="231F20"/>
          <w:w w:val="115"/>
          <w:sz w:val="17"/>
        </w:rPr>
        <w:t>De</w:t>
      </w:r>
      <w:r>
        <w:rPr>
          <w:i/>
          <w:color w:val="231F20"/>
          <w:spacing w:val="-8"/>
          <w:w w:val="115"/>
          <w:sz w:val="17"/>
        </w:rPr>
        <w:t> </w:t>
      </w:r>
      <w:r>
        <w:rPr>
          <w:i/>
          <w:color w:val="231F20"/>
          <w:w w:val="115"/>
          <w:sz w:val="17"/>
        </w:rPr>
        <w:t>12</w:t>
      </w:r>
      <w:r>
        <w:rPr>
          <w:i/>
          <w:color w:val="231F20"/>
          <w:spacing w:val="-7"/>
          <w:w w:val="115"/>
          <w:sz w:val="17"/>
        </w:rPr>
        <w:t> </w:t>
      </w:r>
      <w:r>
        <w:rPr>
          <w:i/>
          <w:color w:val="231F20"/>
          <w:w w:val="115"/>
          <w:sz w:val="17"/>
        </w:rPr>
        <w:t>à</w:t>
      </w:r>
      <w:r>
        <w:rPr>
          <w:i/>
          <w:color w:val="231F20"/>
          <w:spacing w:val="-8"/>
          <w:w w:val="115"/>
          <w:sz w:val="17"/>
        </w:rPr>
        <w:t> </w:t>
      </w:r>
      <w:r>
        <w:rPr>
          <w:i/>
          <w:color w:val="231F20"/>
          <w:w w:val="115"/>
          <w:sz w:val="17"/>
        </w:rPr>
        <w:t>23</w:t>
      </w:r>
      <w:r>
        <w:rPr>
          <w:i/>
          <w:color w:val="231F20"/>
          <w:spacing w:val="-7"/>
          <w:w w:val="115"/>
          <w:sz w:val="17"/>
        </w:rPr>
        <w:t> </w:t>
      </w:r>
      <w:r>
        <w:rPr>
          <w:i/>
          <w:color w:val="231F20"/>
          <w:w w:val="115"/>
          <w:sz w:val="17"/>
        </w:rPr>
        <w:t>points</w:t>
      </w:r>
      <w:r>
        <w:rPr>
          <w:i/>
          <w:color w:val="231F20"/>
          <w:spacing w:val="-7"/>
          <w:w w:val="115"/>
          <w:sz w:val="17"/>
        </w:rPr>
        <w:t> </w:t>
      </w:r>
      <w:r>
        <w:rPr>
          <w:color w:val="231F20"/>
          <w:w w:val="115"/>
          <w:sz w:val="17"/>
        </w:rPr>
        <w:t>–</w:t>
      </w:r>
      <w:r>
        <w:rPr>
          <w:color w:val="231F20"/>
          <w:spacing w:val="-8"/>
          <w:w w:val="115"/>
          <w:sz w:val="17"/>
        </w:rPr>
        <w:t> </w:t>
      </w:r>
      <w:r>
        <w:rPr>
          <w:color w:val="231F20"/>
          <w:w w:val="115"/>
          <w:sz w:val="17"/>
        </w:rPr>
        <w:t>Vous</w:t>
      </w:r>
      <w:r>
        <w:rPr>
          <w:color w:val="231F20"/>
          <w:spacing w:val="-7"/>
          <w:w w:val="115"/>
          <w:sz w:val="17"/>
        </w:rPr>
        <w:t> </w:t>
      </w:r>
      <w:r>
        <w:rPr>
          <w:color w:val="231F20"/>
          <w:w w:val="115"/>
          <w:sz w:val="17"/>
        </w:rPr>
        <w:t>avez</w:t>
      </w:r>
      <w:r>
        <w:rPr>
          <w:color w:val="231F20"/>
          <w:spacing w:val="-8"/>
          <w:w w:val="115"/>
          <w:sz w:val="17"/>
        </w:rPr>
        <w:t> </w:t>
      </w:r>
      <w:r>
        <w:rPr>
          <w:color w:val="231F20"/>
          <w:w w:val="115"/>
          <w:sz w:val="17"/>
        </w:rPr>
        <w:t>un</w:t>
      </w:r>
      <w:r>
        <w:rPr>
          <w:color w:val="231F20"/>
          <w:spacing w:val="-7"/>
          <w:w w:val="115"/>
          <w:sz w:val="17"/>
        </w:rPr>
        <w:t> </w:t>
      </w:r>
      <w:r>
        <w:rPr>
          <w:color w:val="231F20"/>
          <w:w w:val="115"/>
          <w:sz w:val="17"/>
        </w:rPr>
        <w:t>bon</w:t>
      </w:r>
      <w:r>
        <w:rPr>
          <w:color w:val="231F20"/>
          <w:spacing w:val="-7"/>
          <w:w w:val="115"/>
          <w:sz w:val="17"/>
        </w:rPr>
        <w:t> </w:t>
      </w:r>
      <w:r>
        <w:rPr>
          <w:color w:val="231F20"/>
          <w:w w:val="115"/>
          <w:sz w:val="17"/>
        </w:rPr>
        <w:t>niveau</w:t>
      </w:r>
      <w:r>
        <w:rPr>
          <w:color w:val="231F20"/>
          <w:spacing w:val="-8"/>
          <w:w w:val="115"/>
          <w:sz w:val="17"/>
        </w:rPr>
        <w:t> </w:t>
      </w:r>
      <w:r>
        <w:rPr>
          <w:color w:val="231F20"/>
          <w:w w:val="115"/>
          <w:sz w:val="17"/>
        </w:rPr>
        <w:t>de</w:t>
      </w:r>
      <w:r>
        <w:rPr>
          <w:color w:val="231F20"/>
          <w:spacing w:val="-7"/>
          <w:w w:val="115"/>
          <w:sz w:val="17"/>
        </w:rPr>
        <w:t> </w:t>
      </w:r>
      <w:r>
        <w:rPr>
          <w:color w:val="231F20"/>
          <w:w w:val="115"/>
          <w:sz w:val="17"/>
        </w:rPr>
        <w:t>qualité</w:t>
      </w:r>
      <w:r>
        <w:rPr>
          <w:color w:val="231F20"/>
          <w:spacing w:val="-8"/>
          <w:w w:val="115"/>
          <w:sz w:val="17"/>
        </w:rPr>
        <w:t> </w:t>
      </w:r>
      <w:r>
        <w:rPr>
          <w:color w:val="231F20"/>
          <w:w w:val="115"/>
          <w:sz w:val="17"/>
        </w:rPr>
        <w:t>de</w:t>
      </w:r>
      <w:r>
        <w:rPr>
          <w:color w:val="231F20"/>
          <w:spacing w:val="-7"/>
          <w:w w:val="115"/>
          <w:sz w:val="17"/>
        </w:rPr>
        <w:t> </w:t>
      </w:r>
      <w:r>
        <w:rPr>
          <w:color w:val="231F20"/>
          <w:w w:val="115"/>
          <w:sz w:val="17"/>
        </w:rPr>
        <w:t>vie</w:t>
      </w:r>
      <w:r>
        <w:rPr>
          <w:color w:val="231F20"/>
          <w:spacing w:val="-7"/>
          <w:w w:val="115"/>
          <w:sz w:val="17"/>
        </w:rPr>
        <w:t> </w:t>
      </w:r>
      <w:r>
        <w:rPr>
          <w:color w:val="231F20"/>
          <w:w w:val="115"/>
          <w:sz w:val="17"/>
        </w:rPr>
        <w:t>au</w:t>
      </w:r>
      <w:r>
        <w:rPr>
          <w:color w:val="231F20"/>
          <w:spacing w:val="-8"/>
          <w:w w:val="115"/>
          <w:sz w:val="17"/>
        </w:rPr>
        <w:t> </w:t>
      </w:r>
      <w:r>
        <w:rPr>
          <w:color w:val="231F20"/>
          <w:spacing w:val="-2"/>
          <w:w w:val="115"/>
          <w:sz w:val="17"/>
        </w:rPr>
        <w:t>travail.</w:t>
      </w:r>
    </w:p>
    <w:p>
      <w:pPr>
        <w:spacing w:line="307" w:lineRule="auto" w:before="135"/>
        <w:ind w:left="790" w:right="513" w:firstLine="0"/>
        <w:jc w:val="left"/>
        <w:rPr>
          <w:sz w:val="17"/>
        </w:rPr>
      </w:pPr>
      <w:r>
        <w:rPr>
          <w:i/>
          <w:color w:val="231F20"/>
          <w:w w:val="115"/>
          <w:sz w:val="17"/>
        </w:rPr>
        <w:t>De</w:t>
      </w:r>
      <w:r>
        <w:rPr>
          <w:i/>
          <w:color w:val="231F20"/>
          <w:spacing w:val="21"/>
          <w:w w:val="115"/>
          <w:sz w:val="17"/>
        </w:rPr>
        <w:t> </w:t>
      </w:r>
      <w:r>
        <w:rPr>
          <w:i/>
          <w:color w:val="231F20"/>
          <w:w w:val="115"/>
          <w:sz w:val="17"/>
        </w:rPr>
        <w:t>0</w:t>
      </w:r>
      <w:r>
        <w:rPr>
          <w:i/>
          <w:color w:val="231F20"/>
          <w:spacing w:val="21"/>
          <w:w w:val="115"/>
          <w:sz w:val="17"/>
        </w:rPr>
        <w:t> </w:t>
      </w:r>
      <w:r>
        <w:rPr>
          <w:i/>
          <w:color w:val="231F20"/>
          <w:w w:val="115"/>
          <w:sz w:val="17"/>
        </w:rPr>
        <w:t>à</w:t>
      </w:r>
      <w:r>
        <w:rPr>
          <w:i/>
          <w:color w:val="231F20"/>
          <w:spacing w:val="21"/>
          <w:w w:val="115"/>
          <w:sz w:val="17"/>
        </w:rPr>
        <w:t> </w:t>
      </w:r>
      <w:r>
        <w:rPr>
          <w:i/>
          <w:color w:val="231F20"/>
          <w:w w:val="115"/>
          <w:sz w:val="17"/>
        </w:rPr>
        <w:t>11</w:t>
      </w:r>
      <w:r>
        <w:rPr>
          <w:i/>
          <w:color w:val="231F20"/>
          <w:spacing w:val="21"/>
          <w:w w:val="115"/>
          <w:sz w:val="17"/>
        </w:rPr>
        <w:t> </w:t>
      </w:r>
      <w:r>
        <w:rPr>
          <w:i/>
          <w:color w:val="231F20"/>
          <w:w w:val="115"/>
          <w:sz w:val="17"/>
        </w:rPr>
        <w:t>points</w:t>
      </w:r>
      <w:r>
        <w:rPr>
          <w:i/>
          <w:color w:val="231F20"/>
          <w:spacing w:val="21"/>
          <w:w w:val="115"/>
          <w:sz w:val="17"/>
        </w:rPr>
        <w:t> </w:t>
      </w:r>
      <w:r>
        <w:rPr>
          <w:color w:val="231F20"/>
          <w:w w:val="115"/>
          <w:sz w:val="17"/>
        </w:rPr>
        <w:t>–</w:t>
      </w:r>
      <w:r>
        <w:rPr>
          <w:color w:val="231F20"/>
          <w:spacing w:val="21"/>
          <w:w w:val="115"/>
          <w:sz w:val="17"/>
        </w:rPr>
        <w:t> </w:t>
      </w:r>
      <w:r>
        <w:rPr>
          <w:color w:val="231F20"/>
          <w:w w:val="115"/>
          <w:sz w:val="17"/>
        </w:rPr>
        <w:t>Vous</w:t>
      </w:r>
      <w:r>
        <w:rPr>
          <w:color w:val="231F20"/>
          <w:spacing w:val="21"/>
          <w:w w:val="115"/>
          <w:sz w:val="17"/>
        </w:rPr>
        <w:t> </w:t>
      </w:r>
      <w:r>
        <w:rPr>
          <w:color w:val="231F20"/>
          <w:w w:val="115"/>
          <w:sz w:val="17"/>
        </w:rPr>
        <w:t>avez</w:t>
      </w:r>
      <w:r>
        <w:rPr>
          <w:color w:val="231F20"/>
          <w:spacing w:val="21"/>
          <w:w w:val="115"/>
          <w:sz w:val="17"/>
        </w:rPr>
        <w:t> </w:t>
      </w:r>
      <w:r>
        <w:rPr>
          <w:color w:val="231F20"/>
          <w:w w:val="115"/>
          <w:sz w:val="17"/>
        </w:rPr>
        <w:t>un</w:t>
      </w:r>
      <w:r>
        <w:rPr>
          <w:color w:val="231F20"/>
          <w:spacing w:val="21"/>
          <w:w w:val="115"/>
          <w:sz w:val="17"/>
        </w:rPr>
        <w:t> </w:t>
      </w:r>
      <w:r>
        <w:rPr>
          <w:color w:val="231F20"/>
          <w:w w:val="115"/>
          <w:sz w:val="17"/>
        </w:rPr>
        <w:t>(sérieux)</w:t>
      </w:r>
      <w:r>
        <w:rPr>
          <w:color w:val="231F20"/>
          <w:spacing w:val="21"/>
          <w:w w:val="115"/>
          <w:sz w:val="17"/>
        </w:rPr>
        <w:t> </w:t>
      </w:r>
      <w:r>
        <w:rPr>
          <w:color w:val="231F20"/>
          <w:w w:val="115"/>
          <w:sz w:val="17"/>
        </w:rPr>
        <w:t>problème</w:t>
      </w:r>
      <w:r>
        <w:rPr>
          <w:color w:val="231F20"/>
          <w:spacing w:val="21"/>
          <w:w w:val="115"/>
          <w:sz w:val="17"/>
        </w:rPr>
        <w:t> </w:t>
      </w:r>
      <w:r>
        <w:rPr>
          <w:color w:val="231F20"/>
          <w:w w:val="115"/>
          <w:sz w:val="17"/>
        </w:rPr>
        <w:t>de</w:t>
      </w:r>
      <w:r>
        <w:rPr>
          <w:color w:val="231F20"/>
          <w:spacing w:val="21"/>
          <w:w w:val="115"/>
          <w:sz w:val="17"/>
        </w:rPr>
        <w:t> </w:t>
      </w:r>
      <w:r>
        <w:rPr>
          <w:color w:val="231F20"/>
          <w:w w:val="115"/>
          <w:sz w:val="17"/>
        </w:rPr>
        <w:t>qualité</w:t>
      </w:r>
      <w:r>
        <w:rPr>
          <w:color w:val="231F20"/>
          <w:spacing w:val="21"/>
          <w:w w:val="115"/>
          <w:sz w:val="17"/>
        </w:rPr>
        <w:t> </w:t>
      </w:r>
      <w:r>
        <w:rPr>
          <w:color w:val="231F20"/>
          <w:w w:val="115"/>
          <w:sz w:val="17"/>
        </w:rPr>
        <w:t>de</w:t>
      </w:r>
      <w:r>
        <w:rPr>
          <w:color w:val="231F20"/>
          <w:spacing w:val="21"/>
          <w:w w:val="115"/>
          <w:sz w:val="17"/>
        </w:rPr>
        <w:t> </w:t>
      </w:r>
      <w:r>
        <w:rPr>
          <w:color w:val="231F20"/>
          <w:w w:val="115"/>
          <w:sz w:val="17"/>
        </w:rPr>
        <w:t>vie au</w:t>
      </w:r>
      <w:r>
        <w:rPr>
          <w:color w:val="231F20"/>
          <w:spacing w:val="-13"/>
          <w:w w:val="115"/>
          <w:sz w:val="17"/>
        </w:rPr>
        <w:t> </w:t>
      </w:r>
      <w:r>
        <w:rPr>
          <w:color w:val="231F20"/>
          <w:w w:val="115"/>
          <w:sz w:val="17"/>
        </w:rPr>
        <w:t>travail.</w:t>
      </w:r>
    </w:p>
    <w:p>
      <w:pPr>
        <w:spacing w:after="0" w:line="307" w:lineRule="auto"/>
        <w:jc w:val="left"/>
        <w:rPr>
          <w:sz w:val="17"/>
        </w:rPr>
        <w:sectPr>
          <w:footerReference w:type="default" r:id="rId60"/>
          <w:pgSz w:w="8640" w:h="12960"/>
          <w:pgMar w:footer="424" w:header="0" w:top="520" w:bottom="620" w:left="460" w:right="1000"/>
        </w:sectPr>
      </w:pPr>
    </w:p>
    <w:p>
      <w:pPr>
        <w:pStyle w:val="BodyText"/>
        <w:rPr>
          <w:sz w:val="18"/>
        </w:rPr>
      </w:pPr>
    </w:p>
    <w:p>
      <w:pPr>
        <w:pStyle w:val="Heading3"/>
        <w:ind w:left="930" w:right="0"/>
        <w:rPr>
          <w:i/>
        </w:rPr>
      </w:pPr>
      <w:bookmarkStart w:name="Chapitre 2 /" w:id="33"/>
      <w:bookmarkEnd w:id="33"/>
      <w:r>
        <w:rPr/>
      </w:r>
      <w:bookmarkStart w:name="Stress professionnel : modèles et concep" w:id="34"/>
      <w:bookmarkEnd w:id="34"/>
      <w:r>
        <w:rPr/>
      </w:r>
      <w:bookmarkStart w:name=" 2.1 / Concept et définition" w:id="35"/>
      <w:bookmarkEnd w:id="35"/>
      <w:r>
        <w:rPr/>
      </w:r>
      <w:bookmarkStart w:name="_bookmark14" w:id="36"/>
      <w:bookmarkEnd w:id="36"/>
      <w:r>
        <w:rPr/>
      </w:r>
      <w:r>
        <w:rPr>
          <w:color w:val="231F20"/>
          <w:spacing w:val="12"/>
        </w:rPr>
        <w:t>Chapitre</w:t>
      </w:r>
      <w:r>
        <w:rPr>
          <w:color w:val="231F20"/>
          <w:spacing w:val="67"/>
        </w:rPr>
        <w:t> </w:t>
      </w:r>
      <w:r>
        <w:rPr>
          <w:color w:val="231F20"/>
        </w:rPr>
        <w:t>2</w:t>
      </w:r>
      <w:r>
        <w:rPr>
          <w:color w:val="231F20"/>
          <w:spacing w:val="46"/>
        </w:rPr>
        <w:t> </w:t>
      </w:r>
      <w:r>
        <w:rPr>
          <w:i/>
          <w:color w:val="231F20"/>
          <w:spacing w:val="-10"/>
        </w:rPr>
        <w:t>/</w:t>
      </w:r>
    </w:p>
    <w:p>
      <w:pPr>
        <w:pStyle w:val="BodyText"/>
        <w:rPr>
          <w:rFonts w:ascii="Arial"/>
          <w:i/>
          <w:sz w:val="26"/>
        </w:rPr>
      </w:pPr>
    </w:p>
    <w:p>
      <w:pPr>
        <w:pStyle w:val="BodyText"/>
        <w:spacing w:before="3"/>
        <w:rPr>
          <w:rFonts w:ascii="Arial"/>
          <w:i/>
          <w:sz w:val="31"/>
        </w:rPr>
      </w:pPr>
    </w:p>
    <w:p>
      <w:pPr>
        <w:pStyle w:val="Heading1"/>
        <w:spacing w:line="237" w:lineRule="auto"/>
        <w:ind w:left="2505" w:right="1573"/>
        <w:jc w:val="center"/>
      </w:pPr>
      <w:r>
        <w:rPr>
          <w:color w:val="231F20"/>
          <w:w w:val="90"/>
        </w:rPr>
        <w:t>Stress</w:t>
      </w:r>
      <w:r>
        <w:rPr>
          <w:color w:val="231F20"/>
          <w:spacing w:val="-22"/>
          <w:w w:val="90"/>
        </w:rPr>
        <w:t> </w:t>
      </w:r>
      <w:r>
        <w:rPr>
          <w:color w:val="231F20"/>
          <w:w w:val="90"/>
        </w:rPr>
        <w:t>professionnel: </w:t>
      </w:r>
      <w:r>
        <w:rPr>
          <w:color w:val="231F20"/>
          <w:w w:val="95"/>
        </w:rPr>
        <w:t>modèles</w:t>
      </w:r>
      <w:r>
        <w:rPr>
          <w:color w:val="231F20"/>
          <w:spacing w:val="-20"/>
          <w:w w:val="95"/>
        </w:rPr>
        <w:t> </w:t>
      </w:r>
      <w:r>
        <w:rPr>
          <w:color w:val="231F20"/>
          <w:w w:val="95"/>
        </w:rPr>
        <w:t>et</w:t>
      </w:r>
      <w:r>
        <w:rPr>
          <w:color w:val="231F20"/>
          <w:spacing w:val="-20"/>
          <w:w w:val="95"/>
        </w:rPr>
        <w:t> </w:t>
      </w:r>
      <w:r>
        <w:rPr>
          <w:color w:val="231F20"/>
          <w:w w:val="95"/>
        </w:rPr>
        <w:t>concepts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3"/>
        </w:rPr>
      </w:pPr>
    </w:p>
    <w:p>
      <w:pPr>
        <w:spacing w:line="312" w:lineRule="auto" w:before="0"/>
        <w:ind w:left="1180" w:right="2611" w:firstLine="0"/>
        <w:jc w:val="left"/>
        <w:rPr>
          <w:rFonts w:ascii="Arial" w:hAnsi="Arial"/>
          <w:sz w:val="14"/>
        </w:rPr>
      </w:pPr>
      <w:r>
        <w:rPr>
          <w:rFonts w:ascii="Arial" w:hAnsi="Arial"/>
          <w:color w:val="231F20"/>
          <w:sz w:val="14"/>
        </w:rPr>
        <w:t>Une grande partie du stress que les gens ressentent</w:t>
      </w:r>
      <w:r>
        <w:rPr>
          <w:rFonts w:ascii="Arial" w:hAnsi="Arial"/>
          <w:color w:val="231F20"/>
          <w:spacing w:val="40"/>
          <w:sz w:val="14"/>
        </w:rPr>
        <w:t> </w:t>
      </w:r>
      <w:r>
        <w:rPr>
          <w:rFonts w:ascii="Arial" w:hAnsi="Arial"/>
          <w:color w:val="231F20"/>
          <w:sz w:val="14"/>
        </w:rPr>
        <w:t>ne</w:t>
      </w:r>
      <w:r>
        <w:rPr>
          <w:rFonts w:ascii="Arial" w:hAnsi="Arial"/>
          <w:color w:val="231F20"/>
          <w:spacing w:val="-1"/>
          <w:sz w:val="14"/>
        </w:rPr>
        <w:t> </w:t>
      </w:r>
      <w:r>
        <w:rPr>
          <w:rFonts w:ascii="Arial" w:hAnsi="Arial"/>
          <w:color w:val="231F20"/>
          <w:sz w:val="14"/>
        </w:rPr>
        <w:t>vient</w:t>
      </w:r>
      <w:r>
        <w:rPr>
          <w:rFonts w:ascii="Arial" w:hAnsi="Arial"/>
          <w:color w:val="231F20"/>
          <w:spacing w:val="-1"/>
          <w:sz w:val="14"/>
        </w:rPr>
        <w:t> </w:t>
      </w:r>
      <w:r>
        <w:rPr>
          <w:rFonts w:ascii="Arial" w:hAnsi="Arial"/>
          <w:color w:val="231F20"/>
          <w:sz w:val="14"/>
        </w:rPr>
        <w:t>pas</w:t>
      </w:r>
      <w:r>
        <w:rPr>
          <w:rFonts w:ascii="Arial" w:hAnsi="Arial"/>
          <w:color w:val="231F20"/>
          <w:spacing w:val="-1"/>
          <w:sz w:val="14"/>
        </w:rPr>
        <w:t> </w:t>
      </w:r>
      <w:r>
        <w:rPr>
          <w:rFonts w:ascii="Arial" w:hAnsi="Arial"/>
          <w:color w:val="231F20"/>
          <w:sz w:val="14"/>
        </w:rPr>
        <w:t>d’avoir</w:t>
      </w:r>
      <w:r>
        <w:rPr>
          <w:rFonts w:ascii="Arial" w:hAnsi="Arial"/>
          <w:color w:val="231F20"/>
          <w:spacing w:val="-1"/>
          <w:sz w:val="14"/>
        </w:rPr>
        <w:t> </w:t>
      </w:r>
      <w:r>
        <w:rPr>
          <w:rFonts w:ascii="Arial" w:hAnsi="Arial"/>
          <w:color w:val="231F20"/>
          <w:sz w:val="14"/>
        </w:rPr>
        <w:t>trop</w:t>
      </w:r>
      <w:r>
        <w:rPr>
          <w:rFonts w:ascii="Arial" w:hAnsi="Arial"/>
          <w:color w:val="231F20"/>
          <w:spacing w:val="-1"/>
          <w:sz w:val="14"/>
        </w:rPr>
        <w:t> </w:t>
      </w:r>
      <w:r>
        <w:rPr>
          <w:rFonts w:ascii="Arial" w:hAnsi="Arial"/>
          <w:color w:val="231F20"/>
          <w:sz w:val="14"/>
        </w:rPr>
        <w:t>à</w:t>
      </w:r>
      <w:r>
        <w:rPr>
          <w:rFonts w:ascii="Arial" w:hAnsi="Arial"/>
          <w:color w:val="231F20"/>
          <w:spacing w:val="-1"/>
          <w:sz w:val="14"/>
        </w:rPr>
        <w:t> </w:t>
      </w:r>
      <w:r>
        <w:rPr>
          <w:rFonts w:ascii="Arial" w:hAnsi="Arial"/>
          <w:color w:val="231F20"/>
          <w:sz w:val="14"/>
        </w:rPr>
        <w:t>faire,</w:t>
      </w:r>
      <w:r>
        <w:rPr>
          <w:rFonts w:ascii="Arial" w:hAnsi="Arial"/>
          <w:color w:val="231F20"/>
          <w:spacing w:val="-1"/>
          <w:sz w:val="14"/>
        </w:rPr>
        <w:t> </w:t>
      </w:r>
      <w:r>
        <w:rPr>
          <w:rFonts w:ascii="Arial" w:hAnsi="Arial"/>
          <w:color w:val="231F20"/>
          <w:sz w:val="14"/>
        </w:rPr>
        <w:t>il</w:t>
      </w:r>
      <w:r>
        <w:rPr>
          <w:rFonts w:ascii="Arial" w:hAnsi="Arial"/>
          <w:color w:val="231F20"/>
          <w:spacing w:val="-1"/>
          <w:sz w:val="14"/>
        </w:rPr>
        <w:t> </w:t>
      </w:r>
      <w:r>
        <w:rPr>
          <w:rFonts w:ascii="Arial" w:hAnsi="Arial"/>
          <w:color w:val="231F20"/>
          <w:sz w:val="14"/>
        </w:rPr>
        <w:t>vient</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ne</w:t>
      </w:r>
      <w:r>
        <w:rPr>
          <w:rFonts w:ascii="Arial" w:hAnsi="Arial"/>
          <w:color w:val="231F20"/>
          <w:spacing w:val="-1"/>
          <w:sz w:val="14"/>
        </w:rPr>
        <w:t> </w:t>
      </w:r>
      <w:r>
        <w:rPr>
          <w:rFonts w:ascii="Arial" w:hAnsi="Arial"/>
          <w:color w:val="231F20"/>
          <w:sz w:val="14"/>
        </w:rPr>
        <w:t>pas</w:t>
      </w:r>
      <w:r>
        <w:rPr>
          <w:rFonts w:ascii="Arial" w:hAnsi="Arial"/>
          <w:color w:val="231F20"/>
          <w:spacing w:val="-1"/>
          <w:sz w:val="14"/>
        </w:rPr>
        <w:t> </w:t>
      </w:r>
      <w:r>
        <w:rPr>
          <w:rFonts w:ascii="Arial" w:hAnsi="Arial"/>
          <w:color w:val="231F20"/>
          <w:sz w:val="14"/>
        </w:rPr>
        <w:t>finir</w:t>
      </w:r>
      <w:r>
        <w:rPr>
          <w:rFonts w:ascii="Arial" w:hAnsi="Arial"/>
          <w:color w:val="231F20"/>
          <w:spacing w:val="40"/>
          <w:sz w:val="14"/>
        </w:rPr>
        <w:t> </w:t>
      </w:r>
      <w:r>
        <w:rPr>
          <w:rFonts w:ascii="Arial" w:hAnsi="Arial"/>
          <w:color w:val="231F20"/>
          <w:sz w:val="14"/>
        </w:rPr>
        <w:t>ce qu’ils ont commencé.</w:t>
      </w:r>
    </w:p>
    <w:p>
      <w:pPr>
        <w:spacing w:before="162"/>
        <w:ind w:left="1180" w:right="0" w:firstLine="0"/>
        <w:jc w:val="left"/>
        <w:rPr>
          <w:rFonts w:ascii="Arial"/>
          <w:sz w:val="14"/>
        </w:rPr>
      </w:pPr>
      <w:r>
        <w:rPr>
          <w:rFonts w:ascii="Arial"/>
          <w:color w:val="231F20"/>
          <w:spacing w:val="-2"/>
          <w:sz w:val="14"/>
        </w:rPr>
        <w:t>David ALLEN</w:t>
      </w:r>
    </w:p>
    <w:p>
      <w:pPr>
        <w:pStyle w:val="BodyText"/>
        <w:rPr>
          <w:rFonts w:ascii="Arial"/>
          <w:sz w:val="20"/>
        </w:rPr>
      </w:pPr>
    </w:p>
    <w:p>
      <w:pPr>
        <w:pStyle w:val="BodyText"/>
        <w:spacing w:before="7"/>
        <w:rPr>
          <w:rFonts w:ascii="Arial"/>
          <w:sz w:val="18"/>
        </w:rPr>
      </w:pPr>
      <w:r>
        <w:rPr/>
        <w:pict>
          <v:shape style="position:absolute;margin-left:82pt;margin-top:11.902613pt;width:87.5pt;height:.1pt;mso-position-horizontal-relative:page;mso-position-vertical-relative:paragraph;z-index:-15707136;mso-wrap-distance-left:0;mso-wrap-distance-right:0" id="docshape123" coordorigin="1640,238" coordsize="1750,0" path="m1640,238l3390,238e" filled="false" stroked="true" strokeweight=".25pt" strokecolor="#231f20">
            <v:path arrowok="t"/>
            <v:stroke dashstyle="solid"/>
            <w10:wrap type="topAndBottom"/>
          </v:shape>
        </w:pict>
      </w:r>
    </w:p>
    <w:p>
      <w:pPr>
        <w:pStyle w:val="BodyText"/>
        <w:spacing w:before="4"/>
        <w:rPr>
          <w:rFonts w:ascii="Arial"/>
          <w:sz w:val="26"/>
        </w:rPr>
      </w:pPr>
    </w:p>
    <w:p>
      <w:pPr>
        <w:pStyle w:val="Heading2"/>
        <w:numPr>
          <w:ilvl w:val="1"/>
          <w:numId w:val="17"/>
        </w:numPr>
        <w:tabs>
          <w:tab w:pos="871" w:val="left" w:leader="none"/>
          <w:tab w:pos="1179" w:val="left" w:leader="none"/>
        </w:tabs>
        <w:spacing w:line="240" w:lineRule="auto" w:before="0" w:after="0"/>
        <w:ind w:left="870" w:right="0" w:hanging="279"/>
        <w:jc w:val="left"/>
      </w:pPr>
      <w:r>
        <w:rPr>
          <w:b w:val="0"/>
          <w:i/>
          <w:color w:val="231F20"/>
          <w:spacing w:val="-10"/>
        </w:rPr>
        <w:t>/</w:t>
      </w:r>
      <w:r>
        <w:rPr>
          <w:b w:val="0"/>
          <w:i/>
          <w:color w:val="231F20"/>
        </w:rPr>
        <w:tab/>
      </w:r>
      <w:r>
        <w:rPr>
          <w:color w:val="231F20"/>
          <w:w w:val="95"/>
        </w:rPr>
        <w:t>Concept</w:t>
      </w:r>
      <w:r>
        <w:rPr>
          <w:color w:val="231F20"/>
          <w:spacing w:val="-7"/>
          <w:w w:val="95"/>
        </w:rPr>
        <w:t> </w:t>
      </w:r>
      <w:r>
        <w:rPr>
          <w:color w:val="231F20"/>
          <w:w w:val="95"/>
        </w:rPr>
        <w:t>et</w:t>
      </w:r>
      <w:r>
        <w:rPr>
          <w:color w:val="231F20"/>
          <w:spacing w:val="-6"/>
          <w:w w:val="95"/>
        </w:rPr>
        <w:t> </w:t>
      </w:r>
      <w:r>
        <w:rPr>
          <w:color w:val="231F20"/>
          <w:spacing w:val="-2"/>
          <w:w w:val="95"/>
        </w:rPr>
        <w:t>définition</w:t>
      </w:r>
    </w:p>
    <w:p>
      <w:pPr>
        <w:pStyle w:val="BodyText"/>
        <w:spacing w:before="9"/>
        <w:rPr>
          <w:rFonts w:ascii="Arial"/>
          <w:b/>
          <w:sz w:val="25"/>
        </w:rPr>
      </w:pPr>
    </w:p>
    <w:p>
      <w:pPr>
        <w:pStyle w:val="BodyText"/>
        <w:spacing w:line="307" w:lineRule="auto"/>
        <w:ind w:left="1180" w:right="243"/>
        <w:jc w:val="both"/>
      </w:pPr>
      <w:r>
        <w:rPr>
          <w:color w:val="231F20"/>
          <w:w w:val="115"/>
        </w:rPr>
        <w:t>Le</w:t>
      </w:r>
      <w:r>
        <w:rPr>
          <w:color w:val="231F20"/>
          <w:spacing w:val="-5"/>
          <w:w w:val="115"/>
        </w:rPr>
        <w:t> </w:t>
      </w:r>
      <w:r>
        <w:rPr>
          <w:color w:val="231F20"/>
          <w:w w:val="115"/>
        </w:rPr>
        <w:t>mot</w:t>
      </w:r>
      <w:r>
        <w:rPr>
          <w:color w:val="231F20"/>
          <w:spacing w:val="-5"/>
          <w:w w:val="115"/>
        </w:rPr>
        <w:t> </w:t>
      </w:r>
      <w:r>
        <w:rPr>
          <w:i/>
          <w:color w:val="231F20"/>
          <w:w w:val="115"/>
        </w:rPr>
        <w:t>stress</w:t>
      </w:r>
      <w:r>
        <w:rPr>
          <w:i/>
          <w:color w:val="231F20"/>
          <w:spacing w:val="-5"/>
          <w:w w:val="115"/>
        </w:rPr>
        <w:t> </w:t>
      </w:r>
      <w:r>
        <w:rPr>
          <w:color w:val="231F20"/>
          <w:w w:val="115"/>
        </w:rPr>
        <w:t>est</w:t>
      </w:r>
      <w:r>
        <w:rPr>
          <w:color w:val="231F20"/>
          <w:spacing w:val="-4"/>
          <w:w w:val="115"/>
        </w:rPr>
        <w:t> </w:t>
      </w:r>
      <w:r>
        <w:rPr>
          <w:color w:val="231F20"/>
          <w:w w:val="115"/>
        </w:rPr>
        <w:t>familier</w:t>
      </w:r>
      <w:r>
        <w:rPr>
          <w:color w:val="231F20"/>
          <w:spacing w:val="-5"/>
          <w:w w:val="115"/>
        </w:rPr>
        <w:t> </w:t>
      </w:r>
      <w:r>
        <w:rPr>
          <w:color w:val="231F20"/>
          <w:w w:val="115"/>
        </w:rPr>
        <w:t>à</w:t>
      </w:r>
      <w:r>
        <w:rPr>
          <w:color w:val="231F20"/>
          <w:spacing w:val="-5"/>
          <w:w w:val="115"/>
        </w:rPr>
        <w:t> </w:t>
      </w:r>
      <w:r>
        <w:rPr>
          <w:color w:val="231F20"/>
          <w:w w:val="115"/>
        </w:rPr>
        <w:t>la</w:t>
      </w:r>
      <w:r>
        <w:rPr>
          <w:color w:val="231F20"/>
          <w:spacing w:val="-5"/>
          <w:w w:val="115"/>
        </w:rPr>
        <w:t> </w:t>
      </w:r>
      <w:r>
        <w:rPr>
          <w:color w:val="231F20"/>
          <w:w w:val="115"/>
        </w:rPr>
        <w:t>plupart</w:t>
      </w:r>
      <w:r>
        <w:rPr>
          <w:color w:val="231F20"/>
          <w:spacing w:val="-4"/>
          <w:w w:val="115"/>
        </w:rPr>
        <w:t> </w:t>
      </w:r>
      <w:r>
        <w:rPr>
          <w:color w:val="231F20"/>
          <w:w w:val="115"/>
        </w:rPr>
        <w:t>d’entre</w:t>
      </w:r>
      <w:r>
        <w:rPr>
          <w:color w:val="231F20"/>
          <w:spacing w:val="-5"/>
          <w:w w:val="115"/>
        </w:rPr>
        <w:t> </w:t>
      </w:r>
      <w:r>
        <w:rPr>
          <w:color w:val="231F20"/>
          <w:w w:val="115"/>
        </w:rPr>
        <w:t>nous.</w:t>
      </w:r>
      <w:r>
        <w:rPr>
          <w:color w:val="231F20"/>
          <w:spacing w:val="-5"/>
          <w:w w:val="115"/>
        </w:rPr>
        <w:t> </w:t>
      </w:r>
      <w:r>
        <w:rPr>
          <w:color w:val="231F20"/>
          <w:w w:val="115"/>
        </w:rPr>
        <w:t>Presque</w:t>
      </w:r>
      <w:r>
        <w:rPr>
          <w:color w:val="231F20"/>
          <w:spacing w:val="-5"/>
          <w:w w:val="115"/>
        </w:rPr>
        <w:t> </w:t>
      </w:r>
      <w:r>
        <w:rPr>
          <w:color w:val="231F20"/>
          <w:w w:val="115"/>
        </w:rPr>
        <w:t>tout</w:t>
      </w:r>
      <w:r>
        <w:rPr>
          <w:color w:val="231F20"/>
          <w:spacing w:val="-5"/>
          <w:w w:val="115"/>
        </w:rPr>
        <w:t> </w:t>
      </w:r>
      <w:r>
        <w:rPr>
          <w:color w:val="231F20"/>
          <w:w w:val="115"/>
        </w:rPr>
        <w:t>le</w:t>
      </w:r>
      <w:r>
        <w:rPr>
          <w:color w:val="231F20"/>
          <w:spacing w:val="-5"/>
          <w:w w:val="115"/>
        </w:rPr>
        <w:t> </w:t>
      </w:r>
      <w:r>
        <w:rPr>
          <w:color w:val="231F20"/>
          <w:w w:val="115"/>
        </w:rPr>
        <w:t>monde </w:t>
      </w:r>
      <w:r>
        <w:rPr>
          <w:color w:val="231F20"/>
          <w:w w:val="120"/>
        </w:rPr>
        <w:t>s’est</w:t>
      </w:r>
      <w:r>
        <w:rPr>
          <w:color w:val="231F20"/>
          <w:spacing w:val="-13"/>
          <w:w w:val="120"/>
        </w:rPr>
        <w:t> </w:t>
      </w:r>
      <w:r>
        <w:rPr>
          <w:color w:val="231F20"/>
          <w:w w:val="120"/>
        </w:rPr>
        <w:t>déjà</w:t>
      </w:r>
      <w:r>
        <w:rPr>
          <w:color w:val="231F20"/>
          <w:spacing w:val="-13"/>
          <w:w w:val="120"/>
        </w:rPr>
        <w:t> </w:t>
      </w:r>
      <w:r>
        <w:rPr>
          <w:color w:val="231F20"/>
          <w:w w:val="120"/>
        </w:rPr>
        <w:t>senti</w:t>
      </w:r>
      <w:r>
        <w:rPr>
          <w:color w:val="231F20"/>
          <w:spacing w:val="-9"/>
          <w:w w:val="120"/>
        </w:rPr>
        <w:t> </w:t>
      </w:r>
      <w:r>
        <w:rPr>
          <w:color w:val="231F20"/>
          <w:w w:val="120"/>
        </w:rPr>
        <w:t>«</w:t>
      </w:r>
      <w:r>
        <w:rPr>
          <w:color w:val="231F20"/>
          <w:spacing w:val="-13"/>
          <w:w w:val="120"/>
        </w:rPr>
        <w:t> </w:t>
      </w:r>
      <w:r>
        <w:rPr>
          <w:color w:val="231F20"/>
          <w:w w:val="120"/>
        </w:rPr>
        <w:t>stressé»</w:t>
      </w:r>
      <w:r>
        <w:rPr>
          <w:color w:val="231F20"/>
          <w:spacing w:val="-5"/>
          <w:w w:val="120"/>
        </w:rPr>
        <w:t> </w:t>
      </w:r>
      <w:r>
        <w:rPr>
          <w:color w:val="231F20"/>
          <w:w w:val="120"/>
        </w:rPr>
        <w:t>ou</w:t>
      </w:r>
      <w:r>
        <w:rPr>
          <w:color w:val="231F20"/>
          <w:spacing w:val="-5"/>
          <w:w w:val="120"/>
        </w:rPr>
        <w:t> </w:t>
      </w:r>
      <w:r>
        <w:rPr>
          <w:color w:val="231F20"/>
          <w:w w:val="120"/>
        </w:rPr>
        <w:t>a</w:t>
      </w:r>
      <w:r>
        <w:rPr>
          <w:color w:val="231F20"/>
          <w:spacing w:val="-5"/>
          <w:w w:val="120"/>
        </w:rPr>
        <w:t> </w:t>
      </w:r>
      <w:r>
        <w:rPr>
          <w:color w:val="231F20"/>
          <w:w w:val="120"/>
        </w:rPr>
        <w:t>des</w:t>
      </w:r>
      <w:r>
        <w:rPr>
          <w:color w:val="231F20"/>
          <w:spacing w:val="-5"/>
          <w:w w:val="120"/>
        </w:rPr>
        <w:t> </w:t>
      </w:r>
      <w:r>
        <w:rPr>
          <w:color w:val="231F20"/>
          <w:w w:val="120"/>
        </w:rPr>
        <w:t>proches</w:t>
      </w:r>
      <w:r>
        <w:rPr>
          <w:color w:val="231F20"/>
          <w:spacing w:val="-5"/>
          <w:w w:val="120"/>
        </w:rPr>
        <w:t> </w:t>
      </w:r>
      <w:r>
        <w:rPr>
          <w:color w:val="231F20"/>
          <w:w w:val="120"/>
        </w:rPr>
        <w:t>ou</w:t>
      </w:r>
      <w:r>
        <w:rPr>
          <w:color w:val="231F20"/>
          <w:spacing w:val="-5"/>
          <w:w w:val="120"/>
        </w:rPr>
        <w:t> </w:t>
      </w:r>
      <w:r>
        <w:rPr>
          <w:color w:val="231F20"/>
          <w:w w:val="120"/>
        </w:rPr>
        <w:t>des</w:t>
      </w:r>
      <w:r>
        <w:rPr>
          <w:color w:val="231F20"/>
          <w:spacing w:val="-5"/>
          <w:w w:val="120"/>
        </w:rPr>
        <w:t> </w:t>
      </w:r>
      <w:r>
        <w:rPr>
          <w:color w:val="231F20"/>
          <w:w w:val="120"/>
        </w:rPr>
        <w:t>amis</w:t>
      </w:r>
      <w:r>
        <w:rPr>
          <w:color w:val="231F20"/>
          <w:spacing w:val="-5"/>
          <w:w w:val="120"/>
        </w:rPr>
        <w:t> </w:t>
      </w:r>
      <w:r>
        <w:rPr>
          <w:color w:val="231F20"/>
          <w:w w:val="120"/>
        </w:rPr>
        <w:t>qui</w:t>
      </w:r>
      <w:r>
        <w:rPr>
          <w:color w:val="231F20"/>
          <w:spacing w:val="-5"/>
          <w:w w:val="120"/>
        </w:rPr>
        <w:t> </w:t>
      </w:r>
      <w:r>
        <w:rPr>
          <w:color w:val="231F20"/>
          <w:w w:val="120"/>
        </w:rPr>
        <w:t>se</w:t>
      </w:r>
      <w:r>
        <w:rPr>
          <w:color w:val="231F20"/>
          <w:spacing w:val="-5"/>
          <w:w w:val="120"/>
        </w:rPr>
        <w:t> </w:t>
      </w:r>
      <w:r>
        <w:rPr>
          <w:color w:val="231F20"/>
          <w:w w:val="120"/>
        </w:rPr>
        <w:t>plaignent de</w:t>
      </w:r>
      <w:r>
        <w:rPr>
          <w:color w:val="231F20"/>
          <w:spacing w:val="-1"/>
          <w:w w:val="120"/>
        </w:rPr>
        <w:t> </w:t>
      </w:r>
      <w:r>
        <w:rPr>
          <w:color w:val="231F20"/>
          <w:w w:val="120"/>
        </w:rPr>
        <w:t>temps</w:t>
      </w:r>
      <w:r>
        <w:rPr>
          <w:color w:val="231F20"/>
          <w:spacing w:val="-1"/>
          <w:w w:val="120"/>
        </w:rPr>
        <w:t> </w:t>
      </w:r>
      <w:r>
        <w:rPr>
          <w:color w:val="231F20"/>
          <w:w w:val="120"/>
        </w:rPr>
        <w:t>à</w:t>
      </w:r>
      <w:r>
        <w:rPr>
          <w:color w:val="231F20"/>
          <w:spacing w:val="-1"/>
          <w:w w:val="120"/>
        </w:rPr>
        <w:t> </w:t>
      </w:r>
      <w:r>
        <w:rPr>
          <w:color w:val="231F20"/>
          <w:w w:val="120"/>
        </w:rPr>
        <w:t>autre</w:t>
      </w:r>
      <w:r>
        <w:rPr>
          <w:color w:val="231F20"/>
          <w:spacing w:val="-1"/>
          <w:w w:val="120"/>
        </w:rPr>
        <w:t> </w:t>
      </w:r>
      <w:r>
        <w:rPr>
          <w:color w:val="231F20"/>
          <w:w w:val="120"/>
        </w:rPr>
        <w:t>de</w:t>
      </w:r>
      <w:r>
        <w:rPr>
          <w:color w:val="231F20"/>
          <w:spacing w:val="-1"/>
          <w:w w:val="120"/>
        </w:rPr>
        <w:t> </w:t>
      </w:r>
      <w:r>
        <w:rPr>
          <w:color w:val="231F20"/>
          <w:w w:val="120"/>
        </w:rPr>
        <w:t>vivre</w:t>
      </w:r>
      <w:r>
        <w:rPr>
          <w:color w:val="231F20"/>
          <w:spacing w:val="-1"/>
          <w:w w:val="120"/>
        </w:rPr>
        <w:t> </w:t>
      </w:r>
      <w:r>
        <w:rPr>
          <w:color w:val="231F20"/>
          <w:w w:val="120"/>
        </w:rPr>
        <w:t>trop</w:t>
      </w:r>
      <w:r>
        <w:rPr>
          <w:color w:val="231F20"/>
          <w:spacing w:val="-1"/>
          <w:w w:val="120"/>
        </w:rPr>
        <w:t> </w:t>
      </w:r>
      <w:r>
        <w:rPr>
          <w:color w:val="231F20"/>
          <w:w w:val="120"/>
        </w:rPr>
        <w:t>de</w:t>
      </w:r>
      <w:r>
        <w:rPr>
          <w:color w:val="231F20"/>
          <w:spacing w:val="-1"/>
          <w:w w:val="120"/>
        </w:rPr>
        <w:t> </w:t>
      </w:r>
      <w:r>
        <w:rPr>
          <w:color w:val="231F20"/>
          <w:w w:val="120"/>
        </w:rPr>
        <w:t>stress.</w:t>
      </w:r>
      <w:r>
        <w:rPr>
          <w:color w:val="231F20"/>
          <w:spacing w:val="-1"/>
          <w:w w:val="120"/>
        </w:rPr>
        <w:t> </w:t>
      </w:r>
      <w:r>
        <w:rPr>
          <w:color w:val="231F20"/>
          <w:w w:val="120"/>
        </w:rPr>
        <w:t>Beaucoup</w:t>
      </w:r>
      <w:r>
        <w:rPr>
          <w:color w:val="231F20"/>
          <w:spacing w:val="-1"/>
          <w:w w:val="120"/>
        </w:rPr>
        <w:t> </w:t>
      </w:r>
      <w:r>
        <w:rPr>
          <w:color w:val="231F20"/>
          <w:w w:val="120"/>
        </w:rPr>
        <w:t>de</w:t>
      </w:r>
      <w:r>
        <w:rPr>
          <w:color w:val="231F20"/>
          <w:spacing w:val="-1"/>
          <w:w w:val="120"/>
        </w:rPr>
        <w:t> </w:t>
      </w:r>
      <w:r>
        <w:rPr>
          <w:color w:val="231F20"/>
          <w:w w:val="120"/>
        </w:rPr>
        <w:t>gens</w:t>
      </w:r>
      <w:r>
        <w:rPr>
          <w:color w:val="231F20"/>
          <w:spacing w:val="-1"/>
          <w:w w:val="120"/>
        </w:rPr>
        <w:t> </w:t>
      </w:r>
      <w:r>
        <w:rPr>
          <w:color w:val="231F20"/>
          <w:w w:val="120"/>
        </w:rPr>
        <w:t>croient</w:t>
      </w:r>
      <w:r>
        <w:rPr>
          <w:color w:val="231F20"/>
          <w:spacing w:val="-1"/>
          <w:w w:val="120"/>
        </w:rPr>
        <w:t> </w:t>
      </w:r>
      <w:r>
        <w:rPr>
          <w:color w:val="231F20"/>
          <w:w w:val="120"/>
        </w:rPr>
        <w:t>que nous vivons à une époque particulièrement stressante. Mais qu’est-ce exactement</w:t>
      </w:r>
      <w:r>
        <w:rPr>
          <w:color w:val="231F20"/>
          <w:spacing w:val="-13"/>
          <w:w w:val="120"/>
        </w:rPr>
        <w:t> </w:t>
      </w:r>
      <w:r>
        <w:rPr>
          <w:color w:val="231F20"/>
          <w:w w:val="120"/>
        </w:rPr>
        <w:t>que</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2"/>
          <w:w w:val="120"/>
        </w:rPr>
        <w:t> </w:t>
      </w:r>
      <w:r>
        <w:rPr>
          <w:color w:val="231F20"/>
          <w:w w:val="120"/>
        </w:rPr>
        <w:t>Quelles</w:t>
      </w:r>
      <w:r>
        <w:rPr>
          <w:color w:val="231F20"/>
          <w:spacing w:val="-13"/>
          <w:w w:val="120"/>
        </w:rPr>
        <w:t> </w:t>
      </w:r>
      <w:r>
        <w:rPr>
          <w:color w:val="231F20"/>
          <w:w w:val="120"/>
        </w:rPr>
        <w:t>en</w:t>
      </w:r>
      <w:r>
        <w:rPr>
          <w:color w:val="231F20"/>
          <w:spacing w:val="-13"/>
          <w:w w:val="120"/>
        </w:rPr>
        <w:t> </w:t>
      </w:r>
      <w:r>
        <w:rPr>
          <w:color w:val="231F20"/>
          <w:w w:val="120"/>
        </w:rPr>
        <w:t>sont</w:t>
      </w:r>
      <w:r>
        <w:rPr>
          <w:color w:val="231F20"/>
          <w:spacing w:val="-13"/>
          <w:w w:val="120"/>
        </w:rPr>
        <w:t> </w:t>
      </w:r>
      <w:r>
        <w:rPr>
          <w:color w:val="231F20"/>
          <w:w w:val="120"/>
        </w:rPr>
        <w:t>les</w:t>
      </w:r>
      <w:r>
        <w:rPr>
          <w:color w:val="231F20"/>
          <w:spacing w:val="-12"/>
          <w:w w:val="120"/>
        </w:rPr>
        <w:t> </w:t>
      </w:r>
      <w:r>
        <w:rPr>
          <w:color w:val="231F20"/>
          <w:w w:val="120"/>
        </w:rPr>
        <w:t>causes?</w:t>
      </w:r>
      <w:r>
        <w:rPr>
          <w:color w:val="231F20"/>
          <w:spacing w:val="-13"/>
          <w:w w:val="120"/>
        </w:rPr>
        <w:t> </w:t>
      </w:r>
      <w:r>
        <w:rPr>
          <w:color w:val="231F20"/>
          <w:w w:val="120"/>
        </w:rPr>
        <w:t>Comment</w:t>
      </w:r>
      <w:r>
        <w:rPr>
          <w:color w:val="231F20"/>
          <w:spacing w:val="-13"/>
          <w:w w:val="120"/>
        </w:rPr>
        <w:t> </w:t>
      </w:r>
      <w:r>
        <w:rPr>
          <w:color w:val="231F20"/>
          <w:w w:val="120"/>
        </w:rPr>
        <w:t>savons- nous</w:t>
      </w:r>
      <w:r>
        <w:rPr>
          <w:color w:val="231F20"/>
          <w:spacing w:val="-12"/>
          <w:w w:val="120"/>
        </w:rPr>
        <w:t> </w:t>
      </w:r>
      <w:r>
        <w:rPr>
          <w:color w:val="231F20"/>
          <w:w w:val="120"/>
        </w:rPr>
        <w:t>qu’il</w:t>
      </w:r>
      <w:r>
        <w:rPr>
          <w:color w:val="231F20"/>
          <w:spacing w:val="-12"/>
          <w:w w:val="120"/>
        </w:rPr>
        <w:t> </w:t>
      </w:r>
      <w:r>
        <w:rPr>
          <w:color w:val="231F20"/>
          <w:w w:val="120"/>
        </w:rPr>
        <w:t>nous</w:t>
      </w:r>
      <w:r>
        <w:rPr>
          <w:color w:val="231F20"/>
          <w:spacing w:val="-12"/>
          <w:w w:val="120"/>
        </w:rPr>
        <w:t> </w:t>
      </w:r>
      <w:r>
        <w:rPr>
          <w:color w:val="231F20"/>
          <w:w w:val="120"/>
        </w:rPr>
        <w:t>touche?</w:t>
      </w:r>
      <w:r>
        <w:rPr>
          <w:color w:val="231F20"/>
          <w:spacing w:val="-12"/>
          <w:w w:val="120"/>
        </w:rPr>
        <w:t> </w:t>
      </w:r>
      <w:r>
        <w:rPr>
          <w:color w:val="231F20"/>
          <w:w w:val="120"/>
        </w:rPr>
        <w:t>Quelles</w:t>
      </w:r>
      <w:r>
        <w:rPr>
          <w:color w:val="231F20"/>
          <w:spacing w:val="-12"/>
          <w:w w:val="120"/>
        </w:rPr>
        <w:t> </w:t>
      </w:r>
      <w:r>
        <w:rPr>
          <w:color w:val="231F20"/>
          <w:w w:val="120"/>
        </w:rPr>
        <w:t>en</w:t>
      </w:r>
      <w:r>
        <w:rPr>
          <w:color w:val="231F20"/>
          <w:spacing w:val="-12"/>
          <w:w w:val="120"/>
        </w:rPr>
        <w:t> </w:t>
      </w:r>
      <w:r>
        <w:rPr>
          <w:color w:val="231F20"/>
          <w:w w:val="120"/>
        </w:rPr>
        <w:t>sont</w:t>
      </w:r>
      <w:r>
        <w:rPr>
          <w:color w:val="231F20"/>
          <w:spacing w:val="-12"/>
          <w:w w:val="120"/>
        </w:rPr>
        <w:t> </w:t>
      </w:r>
      <w:r>
        <w:rPr>
          <w:color w:val="231F20"/>
          <w:w w:val="120"/>
        </w:rPr>
        <w:t>les</w:t>
      </w:r>
      <w:r>
        <w:rPr>
          <w:color w:val="231F20"/>
          <w:spacing w:val="-12"/>
          <w:w w:val="120"/>
        </w:rPr>
        <w:t> </w:t>
      </w:r>
      <w:r>
        <w:rPr>
          <w:color w:val="231F20"/>
          <w:w w:val="120"/>
        </w:rPr>
        <w:t>conséquences</w:t>
      </w:r>
      <w:r>
        <w:rPr>
          <w:color w:val="231F20"/>
          <w:spacing w:val="-12"/>
          <w:w w:val="120"/>
        </w:rPr>
        <w:t> </w:t>
      </w:r>
      <w:r>
        <w:rPr>
          <w:color w:val="231F20"/>
          <w:w w:val="120"/>
        </w:rPr>
        <w:t>pour</w:t>
      </w:r>
      <w:r>
        <w:rPr>
          <w:color w:val="231F20"/>
          <w:spacing w:val="-12"/>
          <w:w w:val="120"/>
        </w:rPr>
        <w:t> </w:t>
      </w:r>
      <w:r>
        <w:rPr>
          <w:color w:val="231F20"/>
          <w:w w:val="120"/>
        </w:rPr>
        <w:t>les</w:t>
      </w:r>
      <w:r>
        <w:rPr>
          <w:color w:val="231F20"/>
          <w:spacing w:val="-12"/>
          <w:w w:val="120"/>
        </w:rPr>
        <w:t> </w:t>
      </w:r>
      <w:r>
        <w:rPr>
          <w:color w:val="231F20"/>
          <w:w w:val="120"/>
        </w:rPr>
        <w:t>indi- </w:t>
      </w:r>
      <w:r>
        <w:rPr>
          <w:color w:val="231F20"/>
          <w:w w:val="115"/>
        </w:rPr>
        <w:t>vidus et pour les organisations? Comme il semble inévitable que chacun </w:t>
      </w:r>
      <w:r>
        <w:rPr>
          <w:color w:val="231F20"/>
          <w:spacing w:val="-2"/>
          <w:w w:val="120"/>
        </w:rPr>
        <w:t>d’entre</w:t>
      </w:r>
      <w:r>
        <w:rPr>
          <w:color w:val="231F20"/>
          <w:spacing w:val="-11"/>
          <w:w w:val="120"/>
        </w:rPr>
        <w:t> </w:t>
      </w:r>
      <w:r>
        <w:rPr>
          <w:color w:val="231F20"/>
          <w:spacing w:val="-2"/>
          <w:w w:val="120"/>
        </w:rPr>
        <w:t>nous</w:t>
      </w:r>
      <w:r>
        <w:rPr>
          <w:color w:val="231F20"/>
          <w:spacing w:val="-11"/>
          <w:w w:val="120"/>
        </w:rPr>
        <w:t> </w:t>
      </w:r>
      <w:r>
        <w:rPr>
          <w:color w:val="231F20"/>
          <w:spacing w:val="-2"/>
          <w:w w:val="120"/>
        </w:rPr>
        <w:t>subisse</w:t>
      </w:r>
      <w:r>
        <w:rPr>
          <w:color w:val="231F20"/>
          <w:spacing w:val="-11"/>
          <w:w w:val="120"/>
        </w:rPr>
        <w:t> </w:t>
      </w:r>
      <w:r>
        <w:rPr>
          <w:color w:val="231F20"/>
          <w:spacing w:val="-2"/>
          <w:w w:val="120"/>
        </w:rPr>
        <w:t>régulièrement</w:t>
      </w:r>
      <w:r>
        <w:rPr>
          <w:color w:val="231F20"/>
          <w:spacing w:val="-10"/>
          <w:w w:val="120"/>
        </w:rPr>
        <w:t> </w:t>
      </w:r>
      <w:r>
        <w:rPr>
          <w:color w:val="231F20"/>
          <w:spacing w:val="-2"/>
          <w:w w:val="120"/>
        </w:rPr>
        <w:t>une</w:t>
      </w:r>
      <w:r>
        <w:rPr>
          <w:color w:val="231F20"/>
          <w:spacing w:val="-11"/>
          <w:w w:val="120"/>
        </w:rPr>
        <w:t> </w:t>
      </w:r>
      <w:r>
        <w:rPr>
          <w:color w:val="231F20"/>
          <w:spacing w:val="-2"/>
          <w:w w:val="120"/>
        </w:rPr>
        <w:t>dose</w:t>
      </w:r>
      <w:r>
        <w:rPr>
          <w:color w:val="231F20"/>
          <w:spacing w:val="-11"/>
          <w:w w:val="120"/>
        </w:rPr>
        <w:t> </w:t>
      </w:r>
      <w:r>
        <w:rPr>
          <w:color w:val="231F20"/>
          <w:spacing w:val="-2"/>
          <w:w w:val="120"/>
        </w:rPr>
        <w:t>plus</w:t>
      </w:r>
      <w:r>
        <w:rPr>
          <w:color w:val="231F20"/>
          <w:spacing w:val="-11"/>
          <w:w w:val="120"/>
        </w:rPr>
        <w:t> </w:t>
      </w:r>
      <w:r>
        <w:rPr>
          <w:color w:val="231F20"/>
          <w:spacing w:val="-2"/>
          <w:w w:val="120"/>
        </w:rPr>
        <w:t>ou</w:t>
      </w:r>
      <w:r>
        <w:rPr>
          <w:color w:val="231F20"/>
          <w:spacing w:val="-10"/>
          <w:w w:val="120"/>
        </w:rPr>
        <w:t> </w:t>
      </w:r>
      <w:r>
        <w:rPr>
          <w:color w:val="231F20"/>
          <w:spacing w:val="-2"/>
          <w:w w:val="120"/>
        </w:rPr>
        <w:t>moins</w:t>
      </w:r>
      <w:r>
        <w:rPr>
          <w:color w:val="231F20"/>
          <w:spacing w:val="-11"/>
          <w:w w:val="120"/>
        </w:rPr>
        <w:t> </w:t>
      </w:r>
      <w:r>
        <w:rPr>
          <w:color w:val="231F20"/>
          <w:spacing w:val="-2"/>
          <w:w w:val="120"/>
        </w:rPr>
        <w:t>forte</w:t>
      </w:r>
      <w:r>
        <w:rPr>
          <w:color w:val="231F20"/>
          <w:spacing w:val="-11"/>
          <w:w w:val="120"/>
        </w:rPr>
        <w:t> </w:t>
      </w:r>
      <w:r>
        <w:rPr>
          <w:color w:val="231F20"/>
          <w:spacing w:val="-2"/>
          <w:w w:val="120"/>
        </w:rPr>
        <w:t>de</w:t>
      </w:r>
      <w:r>
        <w:rPr>
          <w:color w:val="231F20"/>
          <w:spacing w:val="-11"/>
          <w:w w:val="120"/>
        </w:rPr>
        <w:t> </w:t>
      </w:r>
      <w:r>
        <w:rPr>
          <w:color w:val="231F20"/>
          <w:spacing w:val="-2"/>
          <w:w w:val="120"/>
        </w:rPr>
        <w:t>stress </w:t>
      </w:r>
      <w:r>
        <w:rPr>
          <w:color w:val="231F20"/>
          <w:w w:val="120"/>
        </w:rPr>
        <w:t>au cours de sa vie, il est important d’apprendre à le reconnaître, à le comprendre et à le gérer.</w:t>
      </w:r>
    </w:p>
    <w:p>
      <w:pPr>
        <w:pStyle w:val="BodyText"/>
        <w:spacing w:line="307" w:lineRule="auto" w:before="78"/>
        <w:ind w:left="1180" w:right="245" w:firstLine="250"/>
        <w:jc w:val="both"/>
      </w:pPr>
      <w:r>
        <w:rPr>
          <w:color w:val="231F20"/>
          <w:w w:val="115"/>
        </w:rPr>
        <w:t>Malgré</w:t>
      </w:r>
      <w:r>
        <w:rPr>
          <w:color w:val="231F20"/>
          <w:spacing w:val="-1"/>
          <w:w w:val="115"/>
        </w:rPr>
        <w:t> </w:t>
      </w:r>
      <w:r>
        <w:rPr>
          <w:color w:val="231F20"/>
          <w:w w:val="115"/>
        </w:rPr>
        <w:t>la</w:t>
      </w:r>
      <w:r>
        <w:rPr>
          <w:color w:val="231F20"/>
          <w:spacing w:val="-1"/>
          <w:w w:val="115"/>
        </w:rPr>
        <w:t> </w:t>
      </w:r>
      <w:r>
        <w:rPr>
          <w:color w:val="231F20"/>
          <w:w w:val="115"/>
        </w:rPr>
        <w:t>publication</w:t>
      </w:r>
      <w:r>
        <w:rPr>
          <w:color w:val="231F20"/>
          <w:spacing w:val="-1"/>
          <w:w w:val="115"/>
        </w:rPr>
        <w:t> </w:t>
      </w:r>
      <w:r>
        <w:rPr>
          <w:color w:val="231F20"/>
          <w:w w:val="115"/>
        </w:rPr>
        <w:t>de</w:t>
      </w:r>
      <w:r>
        <w:rPr>
          <w:color w:val="231F20"/>
          <w:spacing w:val="-1"/>
          <w:w w:val="115"/>
        </w:rPr>
        <w:t> </w:t>
      </w:r>
      <w:r>
        <w:rPr>
          <w:color w:val="231F20"/>
          <w:w w:val="115"/>
        </w:rPr>
        <w:t>milliers</w:t>
      </w:r>
      <w:r>
        <w:rPr>
          <w:color w:val="231F20"/>
          <w:spacing w:val="-1"/>
          <w:w w:val="115"/>
        </w:rPr>
        <w:t> </w:t>
      </w:r>
      <w:r>
        <w:rPr>
          <w:color w:val="231F20"/>
          <w:w w:val="115"/>
        </w:rPr>
        <w:t>d’articles</w:t>
      </w:r>
      <w:r>
        <w:rPr>
          <w:color w:val="231F20"/>
          <w:spacing w:val="-1"/>
          <w:w w:val="115"/>
        </w:rPr>
        <w:t> </w:t>
      </w:r>
      <w:r>
        <w:rPr>
          <w:color w:val="231F20"/>
          <w:w w:val="115"/>
        </w:rPr>
        <w:t>sur</w:t>
      </w:r>
      <w:r>
        <w:rPr>
          <w:color w:val="231F20"/>
          <w:spacing w:val="-1"/>
          <w:w w:val="115"/>
        </w:rPr>
        <w:t> </w:t>
      </w:r>
      <w:r>
        <w:rPr>
          <w:color w:val="231F20"/>
          <w:w w:val="115"/>
        </w:rPr>
        <w:t>le</w:t>
      </w:r>
      <w:r>
        <w:rPr>
          <w:color w:val="231F20"/>
          <w:spacing w:val="-1"/>
          <w:w w:val="115"/>
        </w:rPr>
        <w:t> </w:t>
      </w:r>
      <w:r>
        <w:rPr>
          <w:color w:val="231F20"/>
          <w:w w:val="115"/>
        </w:rPr>
        <w:t>sujet</w:t>
      </w:r>
      <w:r>
        <w:rPr>
          <w:color w:val="231F20"/>
          <w:spacing w:val="-1"/>
          <w:w w:val="115"/>
        </w:rPr>
        <w:t> </w:t>
      </w:r>
      <w:r>
        <w:rPr>
          <w:color w:val="231F20"/>
          <w:w w:val="115"/>
        </w:rPr>
        <w:t>dans</w:t>
      </w:r>
      <w:r>
        <w:rPr>
          <w:color w:val="231F20"/>
          <w:spacing w:val="-1"/>
          <w:w w:val="115"/>
        </w:rPr>
        <w:t> </w:t>
      </w:r>
      <w:r>
        <w:rPr>
          <w:color w:val="231F20"/>
          <w:w w:val="115"/>
        </w:rPr>
        <w:t>les</w:t>
      </w:r>
      <w:r>
        <w:rPr>
          <w:color w:val="231F20"/>
          <w:spacing w:val="-1"/>
          <w:w w:val="115"/>
        </w:rPr>
        <w:t> </w:t>
      </w:r>
      <w:r>
        <w:rPr>
          <w:color w:val="231F20"/>
          <w:w w:val="115"/>
        </w:rPr>
        <w:t>revues </w:t>
      </w:r>
      <w:r>
        <w:rPr>
          <w:color w:val="231F20"/>
          <w:spacing w:val="-2"/>
          <w:w w:val="120"/>
        </w:rPr>
        <w:t>professionnelles</w:t>
      </w:r>
      <w:r>
        <w:rPr>
          <w:color w:val="231F20"/>
          <w:spacing w:val="-9"/>
          <w:w w:val="120"/>
        </w:rPr>
        <w:t> </w:t>
      </w:r>
      <w:r>
        <w:rPr>
          <w:color w:val="231F20"/>
          <w:spacing w:val="-2"/>
          <w:w w:val="120"/>
        </w:rPr>
        <w:t>et</w:t>
      </w:r>
      <w:r>
        <w:rPr>
          <w:color w:val="231F20"/>
          <w:spacing w:val="-9"/>
          <w:w w:val="120"/>
        </w:rPr>
        <w:t> </w:t>
      </w:r>
      <w:r>
        <w:rPr>
          <w:color w:val="231F20"/>
          <w:spacing w:val="-2"/>
          <w:w w:val="120"/>
        </w:rPr>
        <w:t>populaires,</w:t>
      </w:r>
      <w:r>
        <w:rPr>
          <w:color w:val="231F20"/>
          <w:spacing w:val="-9"/>
          <w:w w:val="120"/>
        </w:rPr>
        <w:t> </w:t>
      </w:r>
      <w:r>
        <w:rPr>
          <w:color w:val="231F20"/>
          <w:spacing w:val="-2"/>
          <w:w w:val="120"/>
        </w:rPr>
        <w:t>la</w:t>
      </w:r>
      <w:r>
        <w:rPr>
          <w:color w:val="231F20"/>
          <w:spacing w:val="-9"/>
          <w:w w:val="120"/>
        </w:rPr>
        <w:t> </w:t>
      </w:r>
      <w:r>
        <w:rPr>
          <w:color w:val="231F20"/>
          <w:spacing w:val="-2"/>
          <w:w w:val="120"/>
        </w:rPr>
        <w:t>notion</w:t>
      </w:r>
      <w:r>
        <w:rPr>
          <w:color w:val="231F20"/>
          <w:spacing w:val="-9"/>
          <w:w w:val="120"/>
        </w:rPr>
        <w:t> </w:t>
      </w:r>
      <w:r>
        <w:rPr>
          <w:color w:val="231F20"/>
          <w:spacing w:val="-2"/>
          <w:w w:val="120"/>
        </w:rPr>
        <w:t>de</w:t>
      </w:r>
      <w:r>
        <w:rPr>
          <w:color w:val="231F20"/>
          <w:spacing w:val="-9"/>
          <w:w w:val="120"/>
        </w:rPr>
        <w:t> </w:t>
      </w:r>
      <w:r>
        <w:rPr>
          <w:i/>
          <w:color w:val="231F20"/>
          <w:spacing w:val="-2"/>
          <w:w w:val="120"/>
        </w:rPr>
        <w:t>stress</w:t>
      </w:r>
      <w:r>
        <w:rPr>
          <w:i/>
          <w:color w:val="231F20"/>
          <w:spacing w:val="-9"/>
          <w:w w:val="120"/>
        </w:rPr>
        <w:t> </w:t>
      </w:r>
      <w:r>
        <w:rPr>
          <w:color w:val="231F20"/>
          <w:spacing w:val="-2"/>
          <w:w w:val="120"/>
        </w:rPr>
        <w:t>demeure</w:t>
      </w:r>
      <w:r>
        <w:rPr>
          <w:color w:val="231F20"/>
          <w:spacing w:val="-9"/>
          <w:w w:val="120"/>
        </w:rPr>
        <w:t> </w:t>
      </w:r>
      <w:r>
        <w:rPr>
          <w:color w:val="231F20"/>
          <w:spacing w:val="-2"/>
          <w:w w:val="120"/>
        </w:rPr>
        <w:t>mal</w:t>
      </w:r>
      <w:r>
        <w:rPr>
          <w:color w:val="231F20"/>
          <w:spacing w:val="-9"/>
          <w:w w:val="120"/>
        </w:rPr>
        <w:t> </w:t>
      </w:r>
      <w:r>
        <w:rPr>
          <w:color w:val="231F20"/>
          <w:spacing w:val="-2"/>
          <w:w w:val="120"/>
        </w:rPr>
        <w:t>comprise </w:t>
      </w:r>
      <w:r>
        <w:rPr>
          <w:color w:val="231F20"/>
          <w:spacing w:val="-4"/>
          <w:w w:val="120"/>
        </w:rPr>
        <w:t>du grand public. Et comme ce phénomène attire l’attention de chercheurs </w:t>
      </w:r>
      <w:r>
        <w:rPr>
          <w:color w:val="231F20"/>
          <w:w w:val="120"/>
        </w:rPr>
        <w:t>issus</w:t>
      </w:r>
      <w:r>
        <w:rPr>
          <w:color w:val="231F20"/>
          <w:spacing w:val="-5"/>
          <w:w w:val="120"/>
        </w:rPr>
        <w:t> </w:t>
      </w:r>
      <w:r>
        <w:rPr>
          <w:color w:val="231F20"/>
          <w:w w:val="120"/>
        </w:rPr>
        <w:t>de</w:t>
      </w:r>
      <w:r>
        <w:rPr>
          <w:color w:val="231F20"/>
          <w:spacing w:val="-5"/>
          <w:w w:val="120"/>
        </w:rPr>
        <w:t> </w:t>
      </w:r>
      <w:r>
        <w:rPr>
          <w:color w:val="231F20"/>
          <w:w w:val="120"/>
        </w:rPr>
        <w:t>disciplines</w:t>
      </w:r>
      <w:r>
        <w:rPr>
          <w:color w:val="231F20"/>
          <w:spacing w:val="-5"/>
          <w:w w:val="120"/>
        </w:rPr>
        <w:t> </w:t>
      </w:r>
      <w:r>
        <w:rPr>
          <w:color w:val="231F20"/>
          <w:w w:val="120"/>
        </w:rPr>
        <w:t>variées</w:t>
      </w:r>
      <w:r>
        <w:rPr>
          <w:color w:val="231F20"/>
          <w:spacing w:val="-5"/>
          <w:w w:val="120"/>
        </w:rPr>
        <w:t> </w:t>
      </w:r>
      <w:r>
        <w:rPr>
          <w:color w:val="231F20"/>
          <w:w w:val="120"/>
        </w:rPr>
        <w:t>allant</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médecine</w:t>
      </w:r>
      <w:r>
        <w:rPr>
          <w:color w:val="231F20"/>
          <w:spacing w:val="-5"/>
          <w:w w:val="120"/>
        </w:rPr>
        <w:t> </w:t>
      </w:r>
      <w:r>
        <w:rPr>
          <w:color w:val="231F20"/>
          <w:w w:val="120"/>
        </w:rPr>
        <w:t>au</w:t>
      </w:r>
      <w:r>
        <w:rPr>
          <w:color w:val="231F20"/>
          <w:spacing w:val="-5"/>
          <w:w w:val="120"/>
        </w:rPr>
        <w:t> </w:t>
      </w:r>
      <w:r>
        <w:rPr>
          <w:color w:val="231F20"/>
          <w:w w:val="120"/>
        </w:rPr>
        <w:t>management,</w:t>
      </w:r>
      <w:r>
        <w:rPr>
          <w:color w:val="231F20"/>
          <w:spacing w:val="-5"/>
          <w:w w:val="120"/>
        </w:rPr>
        <w:t> </w:t>
      </w:r>
      <w:r>
        <w:rPr>
          <w:color w:val="231F20"/>
          <w:w w:val="120"/>
        </w:rPr>
        <w:t>cha- cune ayant son vocabulaire, ses modèles et ses points de vue, il existe plusieurs</w:t>
      </w:r>
      <w:r>
        <w:rPr>
          <w:color w:val="231F20"/>
          <w:spacing w:val="-13"/>
          <w:w w:val="120"/>
        </w:rPr>
        <w:t> </w:t>
      </w:r>
      <w:r>
        <w:rPr>
          <w:color w:val="231F20"/>
          <w:w w:val="120"/>
        </w:rPr>
        <w:t>définitions</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2"/>
          <w:w w:val="120"/>
        </w:rPr>
        <w:t> </w:t>
      </w:r>
      <w:r>
        <w:rPr>
          <w:color w:val="231F20"/>
          <w:w w:val="120"/>
        </w:rPr>
        <w:t>Cependant,</w:t>
      </w:r>
      <w:r>
        <w:rPr>
          <w:color w:val="231F20"/>
          <w:spacing w:val="-13"/>
          <w:w w:val="120"/>
        </w:rPr>
        <w:t> </w:t>
      </w:r>
      <w:r>
        <w:rPr>
          <w:color w:val="231F20"/>
          <w:w w:val="120"/>
        </w:rPr>
        <w:t>il</w:t>
      </w:r>
      <w:r>
        <w:rPr>
          <w:color w:val="231F20"/>
          <w:spacing w:val="-13"/>
          <w:w w:val="120"/>
        </w:rPr>
        <w:t> </w:t>
      </w:r>
      <w:r>
        <w:rPr>
          <w:color w:val="231F20"/>
          <w:w w:val="120"/>
        </w:rPr>
        <w:t>demeure</w:t>
      </w:r>
      <w:r>
        <w:rPr>
          <w:color w:val="231F20"/>
          <w:spacing w:val="-13"/>
          <w:w w:val="120"/>
        </w:rPr>
        <w:t> </w:t>
      </w:r>
      <w:r>
        <w:rPr>
          <w:color w:val="231F20"/>
          <w:w w:val="120"/>
        </w:rPr>
        <w:t>possible</w:t>
      </w:r>
      <w:r>
        <w:rPr>
          <w:color w:val="231F20"/>
          <w:spacing w:val="-12"/>
          <w:w w:val="120"/>
        </w:rPr>
        <w:t> </w:t>
      </w:r>
      <w:r>
        <w:rPr>
          <w:color w:val="231F20"/>
          <w:w w:val="120"/>
        </w:rPr>
        <w:t>de</w:t>
      </w:r>
      <w:r>
        <w:rPr>
          <w:color w:val="231F20"/>
          <w:spacing w:val="-13"/>
          <w:w w:val="120"/>
        </w:rPr>
        <w:t> </w:t>
      </w:r>
      <w:r>
        <w:rPr>
          <w:color w:val="231F20"/>
          <w:w w:val="120"/>
        </w:rPr>
        <w:t>déga- ger</w:t>
      </w:r>
      <w:r>
        <w:rPr>
          <w:color w:val="231F20"/>
          <w:spacing w:val="-6"/>
          <w:w w:val="120"/>
        </w:rPr>
        <w:t> </w:t>
      </w:r>
      <w:r>
        <w:rPr>
          <w:color w:val="231F20"/>
          <w:w w:val="120"/>
        </w:rPr>
        <w:t>une</w:t>
      </w:r>
      <w:r>
        <w:rPr>
          <w:color w:val="231F20"/>
          <w:spacing w:val="-6"/>
          <w:w w:val="120"/>
        </w:rPr>
        <w:t> </w:t>
      </w:r>
      <w:r>
        <w:rPr>
          <w:color w:val="231F20"/>
          <w:w w:val="120"/>
        </w:rPr>
        <w:t>définition</w:t>
      </w:r>
      <w:r>
        <w:rPr>
          <w:color w:val="231F20"/>
          <w:spacing w:val="-6"/>
          <w:w w:val="120"/>
        </w:rPr>
        <w:t> </w:t>
      </w:r>
      <w:r>
        <w:rPr>
          <w:color w:val="231F20"/>
          <w:w w:val="120"/>
        </w:rPr>
        <w:t>générale,</w:t>
      </w:r>
      <w:r>
        <w:rPr>
          <w:color w:val="231F20"/>
          <w:spacing w:val="-6"/>
          <w:w w:val="120"/>
        </w:rPr>
        <w:t> </w:t>
      </w:r>
      <w:r>
        <w:rPr>
          <w:color w:val="231F20"/>
          <w:w w:val="120"/>
        </w:rPr>
        <w:t>en</w:t>
      </w:r>
      <w:r>
        <w:rPr>
          <w:color w:val="231F20"/>
          <w:spacing w:val="-6"/>
          <w:w w:val="120"/>
        </w:rPr>
        <w:t> </w:t>
      </w:r>
      <w:r>
        <w:rPr>
          <w:color w:val="231F20"/>
          <w:w w:val="120"/>
        </w:rPr>
        <w:t>précisant</w:t>
      </w:r>
      <w:r>
        <w:rPr>
          <w:color w:val="231F20"/>
          <w:spacing w:val="-6"/>
          <w:w w:val="120"/>
        </w:rPr>
        <w:t> </w:t>
      </w:r>
      <w:r>
        <w:rPr>
          <w:color w:val="231F20"/>
          <w:w w:val="120"/>
        </w:rPr>
        <w:t>toutefois</w:t>
      </w:r>
      <w:r>
        <w:rPr>
          <w:color w:val="231F20"/>
          <w:spacing w:val="-6"/>
          <w:w w:val="120"/>
        </w:rPr>
        <w:t> </w:t>
      </w:r>
      <w:r>
        <w:rPr>
          <w:color w:val="231F20"/>
          <w:w w:val="120"/>
        </w:rPr>
        <w:t>que</w:t>
      </w:r>
      <w:r>
        <w:rPr>
          <w:color w:val="231F20"/>
          <w:spacing w:val="-6"/>
          <w:w w:val="120"/>
        </w:rPr>
        <w:t> </w:t>
      </w:r>
      <w:r>
        <w:rPr>
          <w:color w:val="231F20"/>
          <w:w w:val="120"/>
        </w:rPr>
        <w:t>le</w:t>
      </w:r>
      <w:r>
        <w:rPr>
          <w:color w:val="231F20"/>
          <w:spacing w:val="-6"/>
          <w:w w:val="120"/>
        </w:rPr>
        <w:t> </w:t>
      </w:r>
      <w:r>
        <w:rPr>
          <w:color w:val="231F20"/>
          <w:w w:val="120"/>
        </w:rPr>
        <w:t>sens</w:t>
      </w:r>
      <w:r>
        <w:rPr>
          <w:color w:val="231F20"/>
          <w:spacing w:val="-6"/>
          <w:w w:val="120"/>
        </w:rPr>
        <w:t> </w:t>
      </w:r>
      <w:r>
        <w:rPr>
          <w:color w:val="231F20"/>
          <w:w w:val="120"/>
        </w:rPr>
        <w:t>donné</w:t>
      </w:r>
      <w:r>
        <w:rPr>
          <w:color w:val="231F20"/>
          <w:spacing w:val="-6"/>
          <w:w w:val="120"/>
        </w:rPr>
        <w:t> </w:t>
      </w:r>
      <w:r>
        <w:rPr>
          <w:color w:val="231F20"/>
          <w:w w:val="120"/>
        </w:rPr>
        <w:t>au stress</w:t>
      </w:r>
      <w:r>
        <w:rPr>
          <w:color w:val="231F20"/>
          <w:spacing w:val="-7"/>
          <w:w w:val="120"/>
        </w:rPr>
        <w:t> </w:t>
      </w:r>
      <w:r>
        <w:rPr>
          <w:color w:val="231F20"/>
          <w:w w:val="120"/>
        </w:rPr>
        <w:t>peut</w:t>
      </w:r>
      <w:r>
        <w:rPr>
          <w:color w:val="231F20"/>
          <w:spacing w:val="-7"/>
          <w:w w:val="120"/>
        </w:rPr>
        <w:t> </w:t>
      </w:r>
      <w:r>
        <w:rPr>
          <w:color w:val="231F20"/>
          <w:w w:val="120"/>
        </w:rPr>
        <w:t>varier</w:t>
      </w:r>
      <w:r>
        <w:rPr>
          <w:color w:val="231F20"/>
          <w:spacing w:val="-7"/>
          <w:w w:val="120"/>
        </w:rPr>
        <w:t> </w:t>
      </w:r>
      <w:r>
        <w:rPr>
          <w:color w:val="231F20"/>
          <w:w w:val="120"/>
        </w:rPr>
        <w:t>d’une</w:t>
      </w:r>
      <w:r>
        <w:rPr>
          <w:color w:val="231F20"/>
          <w:spacing w:val="-7"/>
          <w:w w:val="120"/>
        </w:rPr>
        <w:t> </w:t>
      </w:r>
      <w:r>
        <w:rPr>
          <w:color w:val="231F20"/>
          <w:w w:val="120"/>
        </w:rPr>
        <w:t>personne</w:t>
      </w:r>
      <w:r>
        <w:rPr>
          <w:color w:val="231F20"/>
          <w:spacing w:val="-7"/>
          <w:w w:val="120"/>
        </w:rPr>
        <w:t> </w:t>
      </w:r>
      <w:r>
        <w:rPr>
          <w:color w:val="231F20"/>
          <w:w w:val="120"/>
        </w:rPr>
        <w:t>à</w:t>
      </w:r>
      <w:r>
        <w:rPr>
          <w:color w:val="231F20"/>
          <w:spacing w:val="-7"/>
          <w:w w:val="120"/>
        </w:rPr>
        <w:t> </w:t>
      </w:r>
      <w:r>
        <w:rPr>
          <w:color w:val="231F20"/>
          <w:w w:val="120"/>
        </w:rPr>
        <w:t>l’autre</w:t>
      </w:r>
      <w:r>
        <w:rPr>
          <w:color w:val="231F20"/>
          <w:spacing w:val="-7"/>
          <w:w w:val="120"/>
        </w:rPr>
        <w:t> </w:t>
      </w:r>
      <w:r>
        <w:rPr>
          <w:color w:val="231F20"/>
          <w:w w:val="120"/>
        </w:rPr>
        <w:t>et</w:t>
      </w:r>
      <w:r>
        <w:rPr>
          <w:color w:val="231F20"/>
          <w:spacing w:val="-7"/>
          <w:w w:val="120"/>
        </w:rPr>
        <w:t> </w:t>
      </w:r>
      <w:r>
        <w:rPr>
          <w:color w:val="231F20"/>
          <w:w w:val="120"/>
        </w:rPr>
        <w:t>que</w:t>
      </w:r>
      <w:r>
        <w:rPr>
          <w:color w:val="231F20"/>
          <w:spacing w:val="-7"/>
          <w:w w:val="120"/>
        </w:rPr>
        <w:t> </w:t>
      </w:r>
      <w:r>
        <w:rPr>
          <w:color w:val="231F20"/>
          <w:w w:val="120"/>
        </w:rPr>
        <w:t>cette</w:t>
      </w:r>
      <w:r>
        <w:rPr>
          <w:color w:val="231F20"/>
          <w:spacing w:val="-7"/>
          <w:w w:val="120"/>
        </w:rPr>
        <w:t> </w:t>
      </w:r>
      <w:r>
        <w:rPr>
          <w:color w:val="231F20"/>
          <w:w w:val="120"/>
        </w:rPr>
        <w:t>personnalisation du concept est vraisemblablement appelée à se perpétuer.</w:t>
      </w:r>
    </w:p>
    <w:p>
      <w:pPr>
        <w:spacing w:after="0" w:line="307" w:lineRule="auto"/>
        <w:jc w:val="both"/>
        <w:sectPr>
          <w:footerReference w:type="default" r:id="rId61"/>
          <w:pgSz w:w="8640" w:h="12960"/>
          <w:pgMar w:footer="0" w:header="0" w:top="1220" w:bottom="28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789" w:right="633" w:firstLine="250"/>
        <w:jc w:val="both"/>
      </w:pPr>
      <w:r>
        <w:rPr>
          <w:color w:val="231F20"/>
          <w:spacing w:val="-2"/>
          <w:w w:val="120"/>
        </w:rPr>
        <w:t>Même</w:t>
      </w:r>
      <w:r>
        <w:rPr>
          <w:color w:val="231F20"/>
          <w:spacing w:val="-11"/>
          <w:w w:val="120"/>
        </w:rPr>
        <w:t> </w:t>
      </w:r>
      <w:r>
        <w:rPr>
          <w:color w:val="231F20"/>
          <w:spacing w:val="-2"/>
          <w:w w:val="120"/>
        </w:rPr>
        <w:t>s’il</w:t>
      </w:r>
      <w:r>
        <w:rPr>
          <w:color w:val="231F20"/>
          <w:spacing w:val="-10"/>
          <w:w w:val="120"/>
        </w:rPr>
        <w:t> </w:t>
      </w:r>
      <w:r>
        <w:rPr>
          <w:color w:val="231F20"/>
          <w:spacing w:val="-2"/>
          <w:w w:val="120"/>
        </w:rPr>
        <w:t>y</w:t>
      </w:r>
      <w:r>
        <w:rPr>
          <w:color w:val="231F20"/>
          <w:spacing w:val="-11"/>
          <w:w w:val="120"/>
        </w:rPr>
        <w:t> </w:t>
      </w:r>
      <w:r>
        <w:rPr>
          <w:color w:val="231F20"/>
          <w:spacing w:val="-2"/>
          <w:w w:val="120"/>
        </w:rPr>
        <w:t>a</w:t>
      </w:r>
      <w:r>
        <w:rPr>
          <w:color w:val="231F20"/>
          <w:spacing w:val="-10"/>
          <w:w w:val="120"/>
        </w:rPr>
        <w:t> </w:t>
      </w:r>
      <w:r>
        <w:rPr>
          <w:color w:val="231F20"/>
          <w:spacing w:val="-2"/>
          <w:w w:val="120"/>
        </w:rPr>
        <w:t>plus</w:t>
      </w:r>
      <w:r>
        <w:rPr>
          <w:color w:val="231F20"/>
          <w:spacing w:val="-11"/>
          <w:w w:val="120"/>
        </w:rPr>
        <w:t> </w:t>
      </w:r>
      <w:r>
        <w:rPr>
          <w:color w:val="231F20"/>
          <w:spacing w:val="-2"/>
          <w:w w:val="120"/>
        </w:rPr>
        <w:t>de</w:t>
      </w:r>
      <w:r>
        <w:rPr>
          <w:color w:val="231F20"/>
          <w:spacing w:val="-10"/>
          <w:w w:val="120"/>
        </w:rPr>
        <w:t> </w:t>
      </w:r>
      <w:r>
        <w:rPr>
          <w:color w:val="231F20"/>
          <w:spacing w:val="-2"/>
          <w:w w:val="120"/>
        </w:rPr>
        <w:t>80</w:t>
      </w:r>
      <w:r>
        <w:rPr>
          <w:color w:val="231F20"/>
          <w:spacing w:val="-11"/>
          <w:w w:val="120"/>
        </w:rPr>
        <w:t> </w:t>
      </w:r>
      <w:r>
        <w:rPr>
          <w:color w:val="231F20"/>
          <w:spacing w:val="-2"/>
          <w:w w:val="120"/>
        </w:rPr>
        <w:t>ans</w:t>
      </w:r>
      <w:r>
        <w:rPr>
          <w:color w:val="231F20"/>
          <w:spacing w:val="-10"/>
          <w:w w:val="120"/>
        </w:rPr>
        <w:t> </w:t>
      </w:r>
      <w:r>
        <w:rPr>
          <w:color w:val="231F20"/>
          <w:spacing w:val="-2"/>
          <w:w w:val="120"/>
        </w:rPr>
        <w:t>que</w:t>
      </w:r>
      <w:r>
        <w:rPr>
          <w:color w:val="231F20"/>
          <w:spacing w:val="-11"/>
          <w:w w:val="120"/>
        </w:rPr>
        <w:t> </w:t>
      </w:r>
      <w:r>
        <w:rPr>
          <w:color w:val="231F20"/>
          <w:spacing w:val="-2"/>
          <w:w w:val="120"/>
        </w:rPr>
        <w:t>Hans</w:t>
      </w:r>
      <w:r>
        <w:rPr>
          <w:color w:val="231F20"/>
          <w:spacing w:val="-10"/>
          <w:w w:val="120"/>
        </w:rPr>
        <w:t> </w:t>
      </w:r>
      <w:r>
        <w:rPr>
          <w:color w:val="231F20"/>
          <w:spacing w:val="-2"/>
          <w:w w:val="120"/>
        </w:rPr>
        <w:t>Selye</w:t>
      </w:r>
      <w:r>
        <w:rPr>
          <w:color w:val="231F20"/>
          <w:spacing w:val="-11"/>
          <w:w w:val="120"/>
        </w:rPr>
        <w:t> </w:t>
      </w:r>
      <w:r>
        <w:rPr>
          <w:color w:val="231F20"/>
          <w:spacing w:val="-2"/>
          <w:w w:val="120"/>
        </w:rPr>
        <w:t>a</w:t>
      </w:r>
      <w:r>
        <w:rPr>
          <w:color w:val="231F20"/>
          <w:spacing w:val="-10"/>
          <w:w w:val="120"/>
        </w:rPr>
        <w:t> </w:t>
      </w:r>
      <w:r>
        <w:rPr>
          <w:color w:val="231F20"/>
          <w:spacing w:val="-2"/>
          <w:w w:val="120"/>
        </w:rPr>
        <w:t>présenté</w:t>
      </w:r>
      <w:r>
        <w:rPr>
          <w:color w:val="231F20"/>
          <w:spacing w:val="-11"/>
          <w:w w:val="120"/>
        </w:rPr>
        <w:t> </w:t>
      </w:r>
      <w:r>
        <w:rPr>
          <w:color w:val="231F20"/>
          <w:spacing w:val="-2"/>
          <w:w w:val="120"/>
        </w:rPr>
        <w:t>la</w:t>
      </w:r>
      <w:r>
        <w:rPr>
          <w:color w:val="231F20"/>
          <w:spacing w:val="-10"/>
          <w:w w:val="120"/>
        </w:rPr>
        <w:t> </w:t>
      </w:r>
      <w:r>
        <w:rPr>
          <w:color w:val="231F20"/>
          <w:spacing w:val="-2"/>
          <w:w w:val="120"/>
        </w:rPr>
        <w:t>notion</w:t>
      </w:r>
      <w:r>
        <w:rPr>
          <w:color w:val="231F20"/>
          <w:spacing w:val="-11"/>
          <w:w w:val="120"/>
        </w:rPr>
        <w:t> </w:t>
      </w:r>
      <w:r>
        <w:rPr>
          <w:color w:val="231F20"/>
          <w:spacing w:val="-2"/>
          <w:w w:val="120"/>
        </w:rPr>
        <w:t>pour </w:t>
      </w:r>
      <w:r>
        <w:rPr>
          <w:color w:val="231F20"/>
          <w:w w:val="120"/>
        </w:rPr>
        <w:t>la</w:t>
      </w:r>
      <w:r>
        <w:rPr>
          <w:color w:val="231F20"/>
          <w:w w:val="120"/>
        </w:rPr>
        <w:t> première</w:t>
      </w:r>
      <w:r>
        <w:rPr>
          <w:color w:val="231F20"/>
          <w:w w:val="120"/>
        </w:rPr>
        <w:t> fois,</w:t>
      </w:r>
      <w:r>
        <w:rPr>
          <w:color w:val="231F20"/>
          <w:w w:val="120"/>
        </w:rPr>
        <w:t> la</w:t>
      </w:r>
      <w:r>
        <w:rPr>
          <w:color w:val="231F20"/>
          <w:w w:val="120"/>
        </w:rPr>
        <w:t> société</w:t>
      </w:r>
      <w:r>
        <w:rPr>
          <w:color w:val="231F20"/>
          <w:w w:val="120"/>
        </w:rPr>
        <w:t> commence</w:t>
      </w:r>
      <w:r>
        <w:rPr>
          <w:color w:val="231F20"/>
          <w:w w:val="120"/>
        </w:rPr>
        <w:t> à</w:t>
      </w:r>
      <w:r>
        <w:rPr>
          <w:color w:val="231F20"/>
          <w:w w:val="120"/>
        </w:rPr>
        <w:t> peine</w:t>
      </w:r>
      <w:r>
        <w:rPr>
          <w:color w:val="231F20"/>
          <w:w w:val="120"/>
        </w:rPr>
        <w:t> à</w:t>
      </w:r>
      <w:r>
        <w:rPr>
          <w:color w:val="231F20"/>
          <w:w w:val="120"/>
        </w:rPr>
        <w:t> comprendre</w:t>
      </w:r>
      <w:r>
        <w:rPr>
          <w:color w:val="231F20"/>
          <w:w w:val="120"/>
        </w:rPr>
        <w:t> toute </w:t>
      </w:r>
      <w:r>
        <w:rPr>
          <w:color w:val="231F20"/>
          <w:w w:val="115"/>
        </w:rPr>
        <w:t>l’influence</w:t>
      </w:r>
      <w:r>
        <w:rPr>
          <w:color w:val="231F20"/>
          <w:spacing w:val="-10"/>
          <w:w w:val="115"/>
        </w:rPr>
        <w:t> </w:t>
      </w:r>
      <w:r>
        <w:rPr>
          <w:color w:val="231F20"/>
          <w:w w:val="115"/>
        </w:rPr>
        <w:t>qu’exerce</w:t>
      </w:r>
      <w:r>
        <w:rPr>
          <w:color w:val="231F20"/>
          <w:spacing w:val="-10"/>
          <w:w w:val="115"/>
        </w:rPr>
        <w:t> </w:t>
      </w:r>
      <w:r>
        <w:rPr>
          <w:color w:val="231F20"/>
          <w:w w:val="115"/>
        </w:rPr>
        <w:t>le</w:t>
      </w:r>
      <w:r>
        <w:rPr>
          <w:color w:val="231F20"/>
          <w:spacing w:val="-10"/>
          <w:w w:val="115"/>
        </w:rPr>
        <w:t> </w:t>
      </w:r>
      <w:r>
        <w:rPr>
          <w:color w:val="231F20"/>
          <w:w w:val="115"/>
        </w:rPr>
        <w:t>stress</w:t>
      </w:r>
      <w:r>
        <w:rPr>
          <w:color w:val="231F20"/>
          <w:spacing w:val="-10"/>
          <w:w w:val="115"/>
        </w:rPr>
        <w:t> </w:t>
      </w:r>
      <w:r>
        <w:rPr>
          <w:color w:val="231F20"/>
          <w:w w:val="115"/>
        </w:rPr>
        <w:t>sur</w:t>
      </w:r>
      <w:r>
        <w:rPr>
          <w:color w:val="231F20"/>
          <w:spacing w:val="-10"/>
          <w:w w:val="115"/>
        </w:rPr>
        <w:t> </w:t>
      </w:r>
      <w:r>
        <w:rPr>
          <w:color w:val="231F20"/>
          <w:w w:val="115"/>
        </w:rPr>
        <w:t>la</w:t>
      </w:r>
      <w:r>
        <w:rPr>
          <w:color w:val="231F20"/>
          <w:spacing w:val="-10"/>
          <w:w w:val="115"/>
        </w:rPr>
        <w:t> </w:t>
      </w:r>
      <w:r>
        <w:rPr>
          <w:color w:val="231F20"/>
          <w:w w:val="115"/>
        </w:rPr>
        <w:t>santé</w:t>
      </w:r>
      <w:r>
        <w:rPr>
          <w:color w:val="231F20"/>
          <w:spacing w:val="-10"/>
          <w:w w:val="115"/>
        </w:rPr>
        <w:t> </w:t>
      </w:r>
      <w:r>
        <w:rPr>
          <w:color w:val="231F20"/>
          <w:w w:val="115"/>
        </w:rPr>
        <w:t>publique</w:t>
      </w:r>
      <w:r>
        <w:rPr>
          <w:color w:val="231F20"/>
          <w:spacing w:val="-10"/>
          <w:w w:val="115"/>
        </w:rPr>
        <w:t> </w:t>
      </w:r>
      <w:r>
        <w:rPr>
          <w:color w:val="231F20"/>
          <w:w w:val="115"/>
        </w:rPr>
        <w:t>et</w:t>
      </w:r>
      <w:r>
        <w:rPr>
          <w:color w:val="231F20"/>
          <w:spacing w:val="-10"/>
          <w:w w:val="115"/>
        </w:rPr>
        <w:t> </w:t>
      </w:r>
      <w:r>
        <w:rPr>
          <w:color w:val="231F20"/>
          <w:w w:val="115"/>
        </w:rPr>
        <w:t>l’ampleur</w:t>
      </w:r>
      <w:r>
        <w:rPr>
          <w:color w:val="231F20"/>
          <w:spacing w:val="-10"/>
          <w:w w:val="115"/>
        </w:rPr>
        <w:t> </w:t>
      </w:r>
      <w:r>
        <w:rPr>
          <w:color w:val="231F20"/>
          <w:w w:val="115"/>
        </w:rPr>
        <w:t>des</w:t>
      </w:r>
      <w:r>
        <w:rPr>
          <w:color w:val="231F20"/>
          <w:spacing w:val="-10"/>
          <w:w w:val="115"/>
        </w:rPr>
        <w:t> </w:t>
      </w:r>
      <w:r>
        <w:rPr>
          <w:color w:val="231F20"/>
          <w:w w:val="115"/>
        </w:rPr>
        <w:t>pertes économiques</w:t>
      </w:r>
      <w:r>
        <w:rPr>
          <w:color w:val="231F20"/>
          <w:spacing w:val="-6"/>
          <w:w w:val="115"/>
        </w:rPr>
        <w:t> </w:t>
      </w:r>
      <w:r>
        <w:rPr>
          <w:color w:val="231F20"/>
          <w:w w:val="115"/>
        </w:rPr>
        <w:t>qu’il</w:t>
      </w:r>
      <w:r>
        <w:rPr>
          <w:color w:val="231F20"/>
          <w:spacing w:val="-6"/>
          <w:w w:val="115"/>
        </w:rPr>
        <w:t> </w:t>
      </w:r>
      <w:r>
        <w:rPr>
          <w:color w:val="231F20"/>
          <w:w w:val="115"/>
        </w:rPr>
        <w:t>occasionne</w:t>
      </w:r>
      <w:r>
        <w:rPr>
          <w:color w:val="231F20"/>
          <w:spacing w:val="-6"/>
          <w:w w:val="115"/>
        </w:rPr>
        <w:t> </w:t>
      </w:r>
      <w:r>
        <w:rPr>
          <w:color w:val="231F20"/>
          <w:w w:val="115"/>
        </w:rPr>
        <w:t>aux</w:t>
      </w:r>
      <w:r>
        <w:rPr>
          <w:color w:val="231F20"/>
          <w:spacing w:val="-6"/>
          <w:w w:val="115"/>
        </w:rPr>
        <w:t> </w:t>
      </w:r>
      <w:r>
        <w:rPr>
          <w:color w:val="231F20"/>
          <w:w w:val="115"/>
        </w:rPr>
        <w:t>organisations1.</w:t>
      </w:r>
      <w:r>
        <w:rPr>
          <w:color w:val="231F20"/>
          <w:spacing w:val="-6"/>
          <w:w w:val="115"/>
        </w:rPr>
        <w:t> </w:t>
      </w:r>
      <w:r>
        <w:rPr>
          <w:color w:val="231F20"/>
          <w:w w:val="115"/>
        </w:rPr>
        <w:t>La</w:t>
      </w:r>
      <w:r>
        <w:rPr>
          <w:color w:val="231F20"/>
          <w:spacing w:val="-6"/>
          <w:w w:val="115"/>
        </w:rPr>
        <w:t> </w:t>
      </w:r>
      <w:r>
        <w:rPr>
          <w:color w:val="231F20"/>
          <w:w w:val="115"/>
        </w:rPr>
        <w:t>prise</w:t>
      </w:r>
      <w:r>
        <w:rPr>
          <w:color w:val="231F20"/>
          <w:spacing w:val="-6"/>
          <w:w w:val="115"/>
        </w:rPr>
        <w:t> </w:t>
      </w:r>
      <w:r>
        <w:rPr>
          <w:color w:val="231F20"/>
          <w:w w:val="115"/>
        </w:rPr>
        <w:t>de</w:t>
      </w:r>
      <w:r>
        <w:rPr>
          <w:color w:val="231F20"/>
          <w:spacing w:val="-6"/>
          <w:w w:val="115"/>
        </w:rPr>
        <w:t> </w:t>
      </w:r>
      <w:r>
        <w:rPr>
          <w:color w:val="231F20"/>
          <w:w w:val="115"/>
        </w:rPr>
        <w:t>conscience de</w:t>
      </w:r>
      <w:r>
        <w:rPr>
          <w:color w:val="231F20"/>
          <w:spacing w:val="-5"/>
          <w:w w:val="115"/>
        </w:rPr>
        <w:t> </w:t>
      </w:r>
      <w:r>
        <w:rPr>
          <w:color w:val="231F20"/>
          <w:w w:val="115"/>
        </w:rPr>
        <w:t>ce</w:t>
      </w:r>
      <w:r>
        <w:rPr>
          <w:color w:val="231F20"/>
          <w:spacing w:val="-5"/>
          <w:w w:val="115"/>
        </w:rPr>
        <w:t> </w:t>
      </w:r>
      <w:r>
        <w:rPr>
          <w:color w:val="231F20"/>
          <w:w w:val="115"/>
        </w:rPr>
        <w:t>problème</w:t>
      </w:r>
      <w:r>
        <w:rPr>
          <w:color w:val="231F20"/>
          <w:spacing w:val="-5"/>
          <w:w w:val="115"/>
        </w:rPr>
        <w:t> </w:t>
      </w:r>
      <w:r>
        <w:rPr>
          <w:color w:val="231F20"/>
          <w:w w:val="115"/>
        </w:rPr>
        <w:t>a</w:t>
      </w:r>
      <w:r>
        <w:rPr>
          <w:color w:val="231F20"/>
          <w:spacing w:val="-5"/>
          <w:w w:val="115"/>
        </w:rPr>
        <w:t> </w:t>
      </w:r>
      <w:r>
        <w:rPr>
          <w:color w:val="231F20"/>
          <w:w w:val="115"/>
        </w:rPr>
        <w:t>donné</w:t>
      </w:r>
      <w:r>
        <w:rPr>
          <w:color w:val="231F20"/>
          <w:spacing w:val="-5"/>
          <w:w w:val="115"/>
        </w:rPr>
        <w:t> </w:t>
      </w:r>
      <w:r>
        <w:rPr>
          <w:color w:val="231F20"/>
          <w:w w:val="115"/>
        </w:rPr>
        <w:t>lieu</w:t>
      </w:r>
      <w:r>
        <w:rPr>
          <w:color w:val="231F20"/>
          <w:spacing w:val="-5"/>
          <w:w w:val="115"/>
        </w:rPr>
        <w:t> </w:t>
      </w:r>
      <w:r>
        <w:rPr>
          <w:color w:val="231F20"/>
          <w:w w:val="115"/>
        </w:rPr>
        <w:t>à</w:t>
      </w:r>
      <w:r>
        <w:rPr>
          <w:color w:val="231F20"/>
          <w:spacing w:val="-5"/>
          <w:w w:val="115"/>
        </w:rPr>
        <w:t> </w:t>
      </w:r>
      <w:r>
        <w:rPr>
          <w:color w:val="231F20"/>
          <w:w w:val="115"/>
        </w:rPr>
        <w:t>la</w:t>
      </w:r>
      <w:r>
        <w:rPr>
          <w:color w:val="231F20"/>
          <w:spacing w:val="-5"/>
          <w:w w:val="115"/>
        </w:rPr>
        <w:t> </w:t>
      </w:r>
      <w:r>
        <w:rPr>
          <w:color w:val="231F20"/>
          <w:w w:val="115"/>
        </w:rPr>
        <w:t>réalisation</w:t>
      </w:r>
      <w:r>
        <w:rPr>
          <w:color w:val="231F20"/>
          <w:spacing w:val="-5"/>
          <w:w w:val="115"/>
        </w:rPr>
        <w:t> </w:t>
      </w:r>
      <w:r>
        <w:rPr>
          <w:color w:val="231F20"/>
          <w:w w:val="115"/>
        </w:rPr>
        <w:t>d’études</w:t>
      </w:r>
      <w:r>
        <w:rPr>
          <w:color w:val="231F20"/>
          <w:spacing w:val="-5"/>
          <w:w w:val="115"/>
        </w:rPr>
        <w:t> </w:t>
      </w:r>
      <w:r>
        <w:rPr>
          <w:color w:val="231F20"/>
          <w:w w:val="115"/>
        </w:rPr>
        <w:t>et</w:t>
      </w:r>
      <w:r>
        <w:rPr>
          <w:color w:val="231F20"/>
          <w:spacing w:val="-5"/>
          <w:w w:val="115"/>
        </w:rPr>
        <w:t> </w:t>
      </w:r>
      <w:r>
        <w:rPr>
          <w:color w:val="231F20"/>
          <w:w w:val="115"/>
        </w:rPr>
        <w:t>à</w:t>
      </w:r>
      <w:r>
        <w:rPr>
          <w:color w:val="231F20"/>
          <w:spacing w:val="-5"/>
          <w:w w:val="115"/>
        </w:rPr>
        <w:t> </w:t>
      </w:r>
      <w:r>
        <w:rPr>
          <w:color w:val="231F20"/>
          <w:w w:val="115"/>
        </w:rPr>
        <w:t>la</w:t>
      </w:r>
      <w:r>
        <w:rPr>
          <w:color w:val="231F20"/>
          <w:spacing w:val="-5"/>
          <w:w w:val="115"/>
        </w:rPr>
        <w:t> </w:t>
      </w:r>
      <w:r>
        <w:rPr>
          <w:color w:val="231F20"/>
          <w:w w:val="115"/>
        </w:rPr>
        <w:t>proposition</w:t>
      </w:r>
      <w:r>
        <w:rPr>
          <w:color w:val="231F20"/>
          <w:spacing w:val="-5"/>
          <w:w w:val="115"/>
        </w:rPr>
        <w:t> </w:t>
      </w:r>
      <w:r>
        <w:rPr>
          <w:color w:val="231F20"/>
          <w:w w:val="115"/>
        </w:rPr>
        <w:t>de </w:t>
      </w:r>
      <w:r>
        <w:rPr>
          <w:color w:val="231F20"/>
          <w:w w:val="120"/>
        </w:rPr>
        <w:t>stratégies</w:t>
      </w:r>
      <w:r>
        <w:rPr>
          <w:color w:val="231F20"/>
          <w:spacing w:val="21"/>
          <w:w w:val="120"/>
        </w:rPr>
        <w:t> </w:t>
      </w:r>
      <w:r>
        <w:rPr>
          <w:color w:val="231F20"/>
          <w:w w:val="120"/>
        </w:rPr>
        <w:t>visant</w:t>
      </w:r>
      <w:r>
        <w:rPr>
          <w:color w:val="231F20"/>
          <w:spacing w:val="21"/>
          <w:w w:val="120"/>
        </w:rPr>
        <w:t> </w:t>
      </w:r>
      <w:r>
        <w:rPr>
          <w:color w:val="231F20"/>
          <w:w w:val="120"/>
        </w:rPr>
        <w:t>à</w:t>
      </w:r>
      <w:r>
        <w:rPr>
          <w:color w:val="231F20"/>
          <w:spacing w:val="21"/>
          <w:w w:val="120"/>
        </w:rPr>
        <w:t> </w:t>
      </w:r>
      <w:r>
        <w:rPr>
          <w:color w:val="231F20"/>
          <w:w w:val="120"/>
        </w:rPr>
        <w:t>atténuer</w:t>
      </w:r>
      <w:r>
        <w:rPr>
          <w:color w:val="231F20"/>
          <w:spacing w:val="21"/>
          <w:w w:val="120"/>
        </w:rPr>
        <w:t> </w:t>
      </w:r>
      <w:r>
        <w:rPr>
          <w:color w:val="231F20"/>
          <w:w w:val="120"/>
        </w:rPr>
        <w:t>un</w:t>
      </w:r>
      <w:r>
        <w:rPr>
          <w:color w:val="231F20"/>
          <w:spacing w:val="21"/>
          <w:w w:val="120"/>
        </w:rPr>
        <w:t> </w:t>
      </w:r>
      <w:r>
        <w:rPr>
          <w:color w:val="231F20"/>
          <w:w w:val="120"/>
        </w:rPr>
        <w:t>phénomène</w:t>
      </w:r>
      <w:r>
        <w:rPr>
          <w:color w:val="231F20"/>
          <w:spacing w:val="21"/>
          <w:w w:val="120"/>
        </w:rPr>
        <w:t> </w:t>
      </w:r>
      <w:r>
        <w:rPr>
          <w:color w:val="231F20"/>
          <w:w w:val="120"/>
        </w:rPr>
        <w:t>qu’on</w:t>
      </w:r>
      <w:r>
        <w:rPr>
          <w:color w:val="231F20"/>
          <w:spacing w:val="21"/>
          <w:w w:val="120"/>
        </w:rPr>
        <w:t> </w:t>
      </w:r>
      <w:r>
        <w:rPr>
          <w:color w:val="231F20"/>
          <w:w w:val="120"/>
        </w:rPr>
        <w:t>associait</w:t>
      </w:r>
      <w:r>
        <w:rPr>
          <w:color w:val="231F20"/>
          <w:spacing w:val="21"/>
          <w:w w:val="120"/>
        </w:rPr>
        <w:t> </w:t>
      </w:r>
      <w:r>
        <w:rPr>
          <w:color w:val="231F20"/>
          <w:w w:val="120"/>
        </w:rPr>
        <w:t>naguère</w:t>
      </w:r>
      <w:r>
        <w:rPr>
          <w:color w:val="231F20"/>
          <w:spacing w:val="21"/>
          <w:w w:val="120"/>
        </w:rPr>
        <w:t> </w:t>
      </w:r>
      <w:r>
        <w:rPr>
          <w:color w:val="231F20"/>
          <w:w w:val="120"/>
        </w:rPr>
        <w:t>à </w:t>
      </w:r>
      <w:r>
        <w:rPr>
          <w:color w:val="231F20"/>
          <w:spacing w:val="-2"/>
          <w:w w:val="120"/>
        </w:rPr>
        <w:t>la</w:t>
      </w:r>
      <w:r>
        <w:rPr>
          <w:color w:val="231F20"/>
          <w:spacing w:val="-9"/>
          <w:w w:val="120"/>
        </w:rPr>
        <w:t> </w:t>
      </w:r>
      <w:r>
        <w:rPr>
          <w:color w:val="231F20"/>
          <w:spacing w:val="-2"/>
          <w:w w:val="120"/>
        </w:rPr>
        <w:t>paresse,</w:t>
      </w:r>
      <w:r>
        <w:rPr>
          <w:color w:val="231F20"/>
          <w:spacing w:val="-9"/>
          <w:w w:val="120"/>
        </w:rPr>
        <w:t> </w:t>
      </w:r>
      <w:r>
        <w:rPr>
          <w:color w:val="231F20"/>
          <w:spacing w:val="-2"/>
          <w:w w:val="120"/>
        </w:rPr>
        <w:t>au</w:t>
      </w:r>
      <w:r>
        <w:rPr>
          <w:color w:val="231F20"/>
          <w:spacing w:val="-9"/>
          <w:w w:val="120"/>
        </w:rPr>
        <w:t> </w:t>
      </w:r>
      <w:r>
        <w:rPr>
          <w:color w:val="231F20"/>
          <w:spacing w:val="-2"/>
          <w:w w:val="120"/>
        </w:rPr>
        <w:t>manque</w:t>
      </w:r>
      <w:r>
        <w:rPr>
          <w:color w:val="231F20"/>
          <w:spacing w:val="-9"/>
          <w:w w:val="120"/>
        </w:rPr>
        <w:t> </w:t>
      </w:r>
      <w:r>
        <w:rPr>
          <w:color w:val="231F20"/>
          <w:spacing w:val="-2"/>
          <w:w w:val="120"/>
        </w:rPr>
        <w:t>de</w:t>
      </w:r>
      <w:r>
        <w:rPr>
          <w:color w:val="231F20"/>
          <w:spacing w:val="-9"/>
          <w:w w:val="120"/>
        </w:rPr>
        <w:t> </w:t>
      </w:r>
      <w:r>
        <w:rPr>
          <w:color w:val="231F20"/>
          <w:spacing w:val="-2"/>
          <w:w w:val="120"/>
        </w:rPr>
        <w:t>capacité</w:t>
      </w:r>
      <w:r>
        <w:rPr>
          <w:color w:val="231F20"/>
          <w:spacing w:val="-9"/>
          <w:w w:val="120"/>
        </w:rPr>
        <w:t> </w:t>
      </w:r>
      <w:r>
        <w:rPr>
          <w:color w:val="231F20"/>
          <w:spacing w:val="-2"/>
          <w:w w:val="120"/>
        </w:rPr>
        <w:t>ou</w:t>
      </w:r>
      <w:r>
        <w:rPr>
          <w:color w:val="231F20"/>
          <w:spacing w:val="-9"/>
          <w:w w:val="120"/>
        </w:rPr>
        <w:t> </w:t>
      </w:r>
      <w:r>
        <w:rPr>
          <w:color w:val="231F20"/>
          <w:spacing w:val="-2"/>
          <w:w w:val="120"/>
        </w:rPr>
        <w:t>de</w:t>
      </w:r>
      <w:r>
        <w:rPr>
          <w:color w:val="231F20"/>
          <w:spacing w:val="-9"/>
          <w:w w:val="120"/>
        </w:rPr>
        <w:t> </w:t>
      </w:r>
      <w:r>
        <w:rPr>
          <w:color w:val="231F20"/>
          <w:spacing w:val="-2"/>
          <w:w w:val="120"/>
        </w:rPr>
        <w:t>volonté.</w:t>
      </w:r>
      <w:r>
        <w:rPr>
          <w:color w:val="231F20"/>
          <w:spacing w:val="-9"/>
          <w:w w:val="120"/>
        </w:rPr>
        <w:t> </w:t>
      </w:r>
      <w:r>
        <w:rPr>
          <w:color w:val="231F20"/>
          <w:spacing w:val="-2"/>
          <w:w w:val="120"/>
        </w:rPr>
        <w:t>La</w:t>
      </w:r>
      <w:r>
        <w:rPr>
          <w:color w:val="231F20"/>
          <w:spacing w:val="-9"/>
          <w:w w:val="120"/>
        </w:rPr>
        <w:t> </w:t>
      </w:r>
      <w:r>
        <w:rPr>
          <w:color w:val="231F20"/>
          <w:spacing w:val="-2"/>
          <w:w w:val="120"/>
        </w:rPr>
        <w:t>prolifération,</w:t>
      </w:r>
      <w:r>
        <w:rPr>
          <w:color w:val="231F20"/>
          <w:spacing w:val="-9"/>
          <w:w w:val="120"/>
        </w:rPr>
        <w:t> </w:t>
      </w:r>
      <w:r>
        <w:rPr>
          <w:color w:val="231F20"/>
          <w:spacing w:val="-2"/>
          <w:w w:val="120"/>
        </w:rPr>
        <w:t>depuis </w:t>
      </w:r>
      <w:r>
        <w:rPr>
          <w:color w:val="231F20"/>
          <w:w w:val="115"/>
        </w:rPr>
        <w:t>les</w:t>
      </w:r>
      <w:r>
        <w:rPr>
          <w:color w:val="231F20"/>
          <w:spacing w:val="-2"/>
          <w:w w:val="115"/>
        </w:rPr>
        <w:t> </w:t>
      </w:r>
      <w:r>
        <w:rPr>
          <w:color w:val="231F20"/>
          <w:w w:val="115"/>
        </w:rPr>
        <w:t>années</w:t>
      </w:r>
      <w:r>
        <w:rPr>
          <w:color w:val="231F20"/>
          <w:spacing w:val="-2"/>
          <w:w w:val="115"/>
        </w:rPr>
        <w:t> </w:t>
      </w:r>
      <w:r>
        <w:rPr>
          <w:color w:val="231F20"/>
          <w:w w:val="115"/>
        </w:rPr>
        <w:t>1970,</w:t>
      </w:r>
      <w:r>
        <w:rPr>
          <w:color w:val="231F20"/>
          <w:spacing w:val="-2"/>
          <w:w w:val="115"/>
        </w:rPr>
        <w:t> </w:t>
      </w:r>
      <w:r>
        <w:rPr>
          <w:color w:val="231F20"/>
          <w:w w:val="115"/>
        </w:rPr>
        <w:t>d’articles,</w:t>
      </w:r>
      <w:r>
        <w:rPr>
          <w:color w:val="231F20"/>
          <w:spacing w:val="-2"/>
          <w:w w:val="115"/>
        </w:rPr>
        <w:t> </w:t>
      </w:r>
      <w:r>
        <w:rPr>
          <w:color w:val="231F20"/>
          <w:w w:val="115"/>
        </w:rPr>
        <w:t>de</w:t>
      </w:r>
      <w:r>
        <w:rPr>
          <w:color w:val="231F20"/>
          <w:spacing w:val="-2"/>
          <w:w w:val="115"/>
        </w:rPr>
        <w:t> </w:t>
      </w:r>
      <w:r>
        <w:rPr>
          <w:color w:val="231F20"/>
          <w:w w:val="115"/>
        </w:rPr>
        <w:t>conférences</w:t>
      </w:r>
      <w:r>
        <w:rPr>
          <w:color w:val="231F20"/>
          <w:spacing w:val="-2"/>
          <w:w w:val="115"/>
        </w:rPr>
        <w:t> </w:t>
      </w:r>
      <w:r>
        <w:rPr>
          <w:color w:val="231F20"/>
          <w:w w:val="115"/>
        </w:rPr>
        <w:t>et</w:t>
      </w:r>
      <w:r>
        <w:rPr>
          <w:color w:val="231F20"/>
          <w:spacing w:val="-2"/>
          <w:w w:val="115"/>
        </w:rPr>
        <w:t> </w:t>
      </w:r>
      <w:r>
        <w:rPr>
          <w:color w:val="231F20"/>
          <w:w w:val="115"/>
        </w:rPr>
        <w:t>de</w:t>
      </w:r>
      <w:r>
        <w:rPr>
          <w:color w:val="231F20"/>
          <w:spacing w:val="-2"/>
          <w:w w:val="115"/>
        </w:rPr>
        <w:t> </w:t>
      </w:r>
      <w:r>
        <w:rPr>
          <w:color w:val="231F20"/>
          <w:w w:val="115"/>
        </w:rPr>
        <w:t>documents</w:t>
      </w:r>
      <w:r>
        <w:rPr>
          <w:color w:val="231F20"/>
          <w:spacing w:val="-2"/>
          <w:w w:val="115"/>
        </w:rPr>
        <w:t> </w:t>
      </w:r>
      <w:r>
        <w:rPr>
          <w:color w:val="231F20"/>
          <w:w w:val="115"/>
        </w:rPr>
        <w:t>sur</w:t>
      </w:r>
      <w:r>
        <w:rPr>
          <w:color w:val="231F20"/>
          <w:spacing w:val="-2"/>
          <w:w w:val="115"/>
        </w:rPr>
        <w:t> </w:t>
      </w:r>
      <w:r>
        <w:rPr>
          <w:color w:val="231F20"/>
          <w:w w:val="115"/>
        </w:rPr>
        <w:t>la</w:t>
      </w:r>
      <w:r>
        <w:rPr>
          <w:color w:val="231F20"/>
          <w:spacing w:val="-2"/>
          <w:w w:val="115"/>
        </w:rPr>
        <w:t> </w:t>
      </w:r>
      <w:r>
        <w:rPr>
          <w:color w:val="231F20"/>
          <w:w w:val="115"/>
        </w:rPr>
        <w:t>gestion </w:t>
      </w:r>
      <w:r>
        <w:rPr>
          <w:color w:val="231F20"/>
          <w:spacing w:val="-4"/>
          <w:w w:val="120"/>
        </w:rPr>
        <w:t>du stress au travail reflète l’intérêt croissant que suscite ce problème dans </w:t>
      </w:r>
      <w:r>
        <w:rPr>
          <w:color w:val="231F20"/>
          <w:w w:val="115"/>
        </w:rPr>
        <w:t>les</w:t>
      </w:r>
      <w:r>
        <w:rPr>
          <w:color w:val="231F20"/>
          <w:spacing w:val="-11"/>
          <w:w w:val="115"/>
        </w:rPr>
        <w:t> </w:t>
      </w:r>
      <w:r>
        <w:rPr>
          <w:color w:val="231F20"/>
          <w:w w:val="115"/>
        </w:rPr>
        <w:t>organisations.</w:t>
      </w:r>
      <w:r>
        <w:rPr>
          <w:color w:val="231F20"/>
          <w:spacing w:val="-11"/>
          <w:w w:val="115"/>
        </w:rPr>
        <w:t> </w:t>
      </w:r>
      <w:r>
        <w:rPr>
          <w:color w:val="231F20"/>
          <w:w w:val="115"/>
        </w:rPr>
        <w:t>En</w:t>
      </w:r>
      <w:r>
        <w:rPr>
          <w:color w:val="231F20"/>
          <w:spacing w:val="-11"/>
          <w:w w:val="115"/>
        </w:rPr>
        <w:t> </w:t>
      </w:r>
      <w:r>
        <w:rPr>
          <w:color w:val="231F20"/>
          <w:w w:val="115"/>
        </w:rPr>
        <w:t>fait,</w:t>
      </w:r>
      <w:r>
        <w:rPr>
          <w:color w:val="231F20"/>
          <w:spacing w:val="-11"/>
          <w:w w:val="115"/>
        </w:rPr>
        <w:t> </w:t>
      </w:r>
      <w:r>
        <w:rPr>
          <w:color w:val="231F20"/>
          <w:w w:val="115"/>
        </w:rPr>
        <w:t>la</w:t>
      </w:r>
      <w:r>
        <w:rPr>
          <w:color w:val="231F20"/>
          <w:spacing w:val="-11"/>
          <w:w w:val="115"/>
        </w:rPr>
        <w:t> </w:t>
      </w:r>
      <w:r>
        <w:rPr>
          <w:color w:val="231F20"/>
          <w:w w:val="115"/>
        </w:rPr>
        <w:t>gestion</w:t>
      </w:r>
      <w:r>
        <w:rPr>
          <w:color w:val="231F20"/>
          <w:spacing w:val="-11"/>
          <w:w w:val="115"/>
        </w:rPr>
        <w:t> </w:t>
      </w:r>
      <w:r>
        <w:rPr>
          <w:color w:val="231F20"/>
          <w:w w:val="115"/>
        </w:rPr>
        <w:t>du</w:t>
      </w:r>
      <w:r>
        <w:rPr>
          <w:color w:val="231F20"/>
          <w:spacing w:val="-11"/>
          <w:w w:val="115"/>
        </w:rPr>
        <w:t> </w:t>
      </w:r>
      <w:r>
        <w:rPr>
          <w:color w:val="231F20"/>
          <w:w w:val="115"/>
        </w:rPr>
        <w:t>stress</w:t>
      </w:r>
      <w:r>
        <w:rPr>
          <w:color w:val="231F20"/>
          <w:spacing w:val="-11"/>
          <w:w w:val="115"/>
        </w:rPr>
        <w:t> </w:t>
      </w:r>
      <w:r>
        <w:rPr>
          <w:color w:val="231F20"/>
          <w:w w:val="115"/>
        </w:rPr>
        <w:t>est</w:t>
      </w:r>
      <w:r>
        <w:rPr>
          <w:color w:val="231F20"/>
          <w:spacing w:val="-11"/>
          <w:w w:val="115"/>
        </w:rPr>
        <w:t> </w:t>
      </w:r>
      <w:r>
        <w:rPr>
          <w:color w:val="231F20"/>
          <w:w w:val="115"/>
        </w:rPr>
        <w:t>devenue</w:t>
      </w:r>
      <w:r>
        <w:rPr>
          <w:color w:val="231F20"/>
          <w:spacing w:val="-11"/>
          <w:w w:val="115"/>
        </w:rPr>
        <w:t> </w:t>
      </w:r>
      <w:r>
        <w:rPr>
          <w:color w:val="231F20"/>
          <w:w w:val="115"/>
        </w:rPr>
        <w:t>une</w:t>
      </w:r>
      <w:r>
        <w:rPr>
          <w:color w:val="231F20"/>
          <w:spacing w:val="-11"/>
          <w:w w:val="115"/>
        </w:rPr>
        <w:t> </w:t>
      </w:r>
      <w:r>
        <w:rPr>
          <w:color w:val="231F20"/>
          <w:w w:val="115"/>
        </w:rPr>
        <w:t>priorité</w:t>
      </w:r>
      <w:r>
        <w:rPr>
          <w:color w:val="231F20"/>
          <w:spacing w:val="-11"/>
          <w:w w:val="115"/>
        </w:rPr>
        <w:t> </w:t>
      </w:r>
      <w:r>
        <w:rPr>
          <w:color w:val="231F20"/>
          <w:w w:val="115"/>
        </w:rPr>
        <w:t>pour </w:t>
      </w:r>
      <w:r>
        <w:rPr>
          <w:color w:val="231F20"/>
          <w:w w:val="120"/>
        </w:rPr>
        <w:t>un</w:t>
      </w:r>
      <w:r>
        <w:rPr>
          <w:color w:val="231F20"/>
          <w:spacing w:val="-4"/>
          <w:w w:val="120"/>
        </w:rPr>
        <w:t> </w:t>
      </w:r>
      <w:r>
        <w:rPr>
          <w:color w:val="231F20"/>
          <w:w w:val="120"/>
        </w:rPr>
        <w:t>bon</w:t>
      </w:r>
      <w:r>
        <w:rPr>
          <w:color w:val="231F20"/>
          <w:spacing w:val="-4"/>
          <w:w w:val="120"/>
        </w:rPr>
        <w:t> </w:t>
      </w:r>
      <w:r>
        <w:rPr>
          <w:color w:val="231F20"/>
          <w:w w:val="120"/>
        </w:rPr>
        <w:t>nombre</w:t>
      </w:r>
      <w:r>
        <w:rPr>
          <w:color w:val="231F20"/>
          <w:spacing w:val="-4"/>
          <w:w w:val="120"/>
        </w:rPr>
        <w:t> </w:t>
      </w:r>
      <w:r>
        <w:rPr>
          <w:color w:val="231F20"/>
          <w:w w:val="120"/>
        </w:rPr>
        <w:t>d’entreprises</w:t>
      </w:r>
      <w:r>
        <w:rPr>
          <w:color w:val="231F20"/>
          <w:spacing w:val="-4"/>
          <w:w w:val="120"/>
        </w:rPr>
        <w:t> </w:t>
      </w:r>
      <w:r>
        <w:rPr>
          <w:color w:val="231F20"/>
          <w:w w:val="120"/>
        </w:rPr>
        <w:t>qui</w:t>
      </w:r>
      <w:r>
        <w:rPr>
          <w:color w:val="231F20"/>
          <w:spacing w:val="-4"/>
          <w:w w:val="120"/>
        </w:rPr>
        <w:t> </w:t>
      </w:r>
      <w:r>
        <w:rPr>
          <w:color w:val="231F20"/>
          <w:w w:val="120"/>
        </w:rPr>
        <w:t>se</w:t>
      </w:r>
      <w:r>
        <w:rPr>
          <w:color w:val="231F20"/>
          <w:spacing w:val="-4"/>
          <w:w w:val="120"/>
        </w:rPr>
        <w:t> </w:t>
      </w:r>
      <w:r>
        <w:rPr>
          <w:color w:val="231F20"/>
          <w:w w:val="120"/>
        </w:rPr>
        <w:t>traduit</w:t>
      </w:r>
      <w:r>
        <w:rPr>
          <w:color w:val="231F20"/>
          <w:spacing w:val="-4"/>
          <w:w w:val="120"/>
        </w:rPr>
        <w:t> </w:t>
      </w:r>
      <w:r>
        <w:rPr>
          <w:color w:val="231F20"/>
          <w:w w:val="120"/>
        </w:rPr>
        <w:t>par</w:t>
      </w:r>
      <w:r>
        <w:rPr>
          <w:color w:val="231F20"/>
          <w:spacing w:val="-4"/>
          <w:w w:val="120"/>
        </w:rPr>
        <w:t> </w:t>
      </w:r>
      <w:r>
        <w:rPr>
          <w:color w:val="231F20"/>
          <w:w w:val="120"/>
        </w:rPr>
        <w:t>la</w:t>
      </w:r>
      <w:r>
        <w:rPr>
          <w:color w:val="231F20"/>
          <w:spacing w:val="-4"/>
          <w:w w:val="120"/>
        </w:rPr>
        <w:t> </w:t>
      </w:r>
      <w:r>
        <w:rPr>
          <w:color w:val="231F20"/>
          <w:w w:val="120"/>
        </w:rPr>
        <w:t>création</w:t>
      </w:r>
      <w:r>
        <w:rPr>
          <w:color w:val="231F20"/>
          <w:spacing w:val="-4"/>
          <w:w w:val="120"/>
        </w:rPr>
        <w:t> </w:t>
      </w:r>
      <w:r>
        <w:rPr>
          <w:color w:val="231F20"/>
          <w:w w:val="120"/>
        </w:rPr>
        <w:t>de</w:t>
      </w:r>
      <w:r>
        <w:rPr>
          <w:color w:val="231F20"/>
          <w:spacing w:val="-4"/>
          <w:w w:val="120"/>
        </w:rPr>
        <w:t> </w:t>
      </w:r>
      <w:r>
        <w:rPr>
          <w:color w:val="231F20"/>
          <w:w w:val="120"/>
        </w:rPr>
        <w:t>nouveaux programmes d’intervention destinés aux employés afin de contrer les </w:t>
      </w:r>
      <w:r>
        <w:rPr>
          <w:color w:val="231F20"/>
          <w:spacing w:val="-2"/>
          <w:w w:val="120"/>
        </w:rPr>
        <w:t>stresseurs</w:t>
      </w:r>
      <w:r>
        <w:rPr>
          <w:color w:val="231F20"/>
          <w:spacing w:val="-4"/>
          <w:w w:val="120"/>
        </w:rPr>
        <w:t> </w:t>
      </w:r>
      <w:r>
        <w:rPr>
          <w:color w:val="231F20"/>
          <w:spacing w:val="-2"/>
          <w:w w:val="120"/>
        </w:rPr>
        <w:t>(interventions</w:t>
      </w:r>
      <w:r>
        <w:rPr>
          <w:color w:val="231F20"/>
          <w:spacing w:val="-4"/>
          <w:w w:val="120"/>
        </w:rPr>
        <w:t> </w:t>
      </w:r>
      <w:r>
        <w:rPr>
          <w:color w:val="231F20"/>
          <w:spacing w:val="-2"/>
          <w:w w:val="120"/>
        </w:rPr>
        <w:t>primaires),</w:t>
      </w:r>
      <w:r>
        <w:rPr>
          <w:color w:val="231F20"/>
          <w:spacing w:val="-4"/>
          <w:w w:val="120"/>
        </w:rPr>
        <w:t> </w:t>
      </w:r>
      <w:r>
        <w:rPr>
          <w:color w:val="231F20"/>
          <w:spacing w:val="-2"/>
          <w:w w:val="120"/>
        </w:rPr>
        <w:t>le</w:t>
      </w:r>
      <w:r>
        <w:rPr>
          <w:color w:val="231F20"/>
          <w:spacing w:val="-4"/>
          <w:w w:val="120"/>
        </w:rPr>
        <w:t> </w:t>
      </w:r>
      <w:r>
        <w:rPr>
          <w:color w:val="231F20"/>
          <w:spacing w:val="-2"/>
          <w:w w:val="120"/>
        </w:rPr>
        <w:t>stress</w:t>
      </w:r>
      <w:r>
        <w:rPr>
          <w:color w:val="231F20"/>
          <w:spacing w:val="-4"/>
          <w:w w:val="120"/>
        </w:rPr>
        <w:t> </w:t>
      </w:r>
      <w:r>
        <w:rPr>
          <w:color w:val="231F20"/>
          <w:spacing w:val="-2"/>
          <w:w w:val="120"/>
        </w:rPr>
        <w:t>(interventions</w:t>
      </w:r>
      <w:r>
        <w:rPr>
          <w:color w:val="231F20"/>
          <w:spacing w:val="-4"/>
          <w:w w:val="120"/>
        </w:rPr>
        <w:t> </w:t>
      </w:r>
      <w:r>
        <w:rPr>
          <w:color w:val="231F20"/>
          <w:spacing w:val="-2"/>
          <w:w w:val="120"/>
        </w:rPr>
        <w:t>secondaires) </w:t>
      </w:r>
      <w:r>
        <w:rPr>
          <w:color w:val="231F20"/>
          <w:w w:val="120"/>
        </w:rPr>
        <w:t>ou les conséquences qui en découlent (interventions tertiaires).</w:t>
      </w:r>
    </w:p>
    <w:p>
      <w:pPr>
        <w:pStyle w:val="BodyText"/>
        <w:spacing w:before="5"/>
        <w:rPr>
          <w:sz w:val="11"/>
        </w:rPr>
      </w:pPr>
      <w:r>
        <w:rPr/>
        <w:pict>
          <v:group style="position:absolute;margin-left:62.5pt;margin-top:7.775342pt;width:287.5pt;height:251.75pt;mso-position-horizontal-relative:page;mso-position-vertical-relative:paragraph;z-index:-15706624;mso-wrap-distance-left:0;mso-wrap-distance-right:0" id="docshapegroup125" coordorigin="1250,156" coordsize="5750,5035">
            <v:rect style="position:absolute;left:1250;top:155;width:5750;height:705" id="docshape126" filled="true" fillcolor="#e2e3e4" stroked="false">
              <v:fill type="solid"/>
            </v:rect>
            <v:line style="position:absolute" from="1500,703" to="6750,703" stroked="true" strokeweight=".25pt" strokecolor="#231f20">
              <v:stroke dashstyle="shortdot"/>
            </v:line>
            <v:shape style="position:absolute;left:1250;top:780;width:5750;height:4410" id="docshape127" coordorigin="1250,781" coordsize="5750,4410" path="m7000,781l1250,781,1250,1361,1250,1531,1250,4066,1250,4361,1250,5191,7000,5191,7000,4361,7000,4066,7000,1531,7000,1361,7000,781xe" filled="true" fillcolor="#e2e3e4" stroked="false">
              <v:path arrowok="t"/>
              <v:fill type="solid"/>
            </v:shape>
            <v:shape style="position:absolute;left:1250;top:155;width:5750;height:5035" type="#_x0000_t202" id="docshape128" filled="false" stroked="false">
              <v:textbox inset="0,0,0,0">
                <w:txbxContent>
                  <w:p>
                    <w:pPr>
                      <w:spacing w:line="240" w:lineRule="auto" w:before="9"/>
                      <w:rPr>
                        <w:sz w:val="18"/>
                      </w:rPr>
                    </w:pPr>
                  </w:p>
                  <w:p>
                    <w:pPr>
                      <w:spacing w:before="0"/>
                      <w:ind w:left="249" w:right="0" w:firstLine="0"/>
                      <w:jc w:val="both"/>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5"/>
                      <w:rPr>
                        <w:rFonts w:ascii="Arial"/>
                        <w:sz w:val="26"/>
                      </w:rPr>
                    </w:pPr>
                  </w:p>
                  <w:p>
                    <w:pPr>
                      <w:spacing w:line="307" w:lineRule="auto" w:before="1"/>
                      <w:ind w:left="249" w:right="248" w:firstLine="0"/>
                      <w:jc w:val="both"/>
                      <w:rPr>
                        <w:rFonts w:ascii="Arial" w:hAnsi="Arial"/>
                        <w:sz w:val="17"/>
                      </w:rPr>
                    </w:pPr>
                    <w:r>
                      <w:rPr>
                        <w:rFonts w:ascii="Arial" w:hAnsi="Arial"/>
                        <w:color w:val="231F20"/>
                        <w:sz w:val="17"/>
                      </w:rPr>
                      <w:t>Quand</w:t>
                    </w:r>
                    <w:r>
                      <w:rPr>
                        <w:rFonts w:ascii="Arial" w:hAnsi="Arial"/>
                        <w:color w:val="231F20"/>
                        <w:spacing w:val="-3"/>
                        <w:sz w:val="17"/>
                      </w:rPr>
                      <w:t> </w:t>
                    </w:r>
                    <w:r>
                      <w:rPr>
                        <w:rFonts w:ascii="Arial" w:hAnsi="Arial"/>
                        <w:color w:val="231F20"/>
                        <w:sz w:val="17"/>
                      </w:rPr>
                      <w:t>on</w:t>
                    </w:r>
                    <w:r>
                      <w:rPr>
                        <w:rFonts w:ascii="Arial" w:hAnsi="Arial"/>
                        <w:color w:val="231F20"/>
                        <w:spacing w:val="-3"/>
                        <w:sz w:val="17"/>
                      </w:rPr>
                      <w:t> </w:t>
                    </w:r>
                    <w:r>
                      <w:rPr>
                        <w:rFonts w:ascii="Arial" w:hAnsi="Arial"/>
                        <w:color w:val="231F20"/>
                        <w:sz w:val="17"/>
                      </w:rPr>
                      <w:t>parle</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stress,</w:t>
                    </w:r>
                    <w:r>
                      <w:rPr>
                        <w:rFonts w:ascii="Arial" w:hAnsi="Arial"/>
                        <w:color w:val="231F20"/>
                        <w:spacing w:val="-3"/>
                        <w:sz w:val="17"/>
                      </w:rPr>
                      <w:t> </w:t>
                    </w:r>
                    <w:r>
                      <w:rPr>
                        <w:rFonts w:ascii="Arial" w:hAnsi="Arial"/>
                        <w:color w:val="231F20"/>
                        <w:sz w:val="17"/>
                      </w:rPr>
                      <w:t>il</w:t>
                    </w:r>
                    <w:r>
                      <w:rPr>
                        <w:rFonts w:ascii="Arial" w:hAnsi="Arial"/>
                        <w:color w:val="231F20"/>
                        <w:spacing w:val="-3"/>
                        <w:sz w:val="17"/>
                      </w:rPr>
                      <w:t> </w:t>
                    </w:r>
                    <w:r>
                      <w:rPr>
                        <w:rFonts w:ascii="Arial" w:hAnsi="Arial"/>
                        <w:color w:val="231F20"/>
                        <w:sz w:val="17"/>
                      </w:rPr>
                      <w:t>y</w:t>
                    </w:r>
                    <w:r>
                      <w:rPr>
                        <w:rFonts w:ascii="Arial" w:hAnsi="Arial"/>
                        <w:color w:val="231F20"/>
                        <w:spacing w:val="-3"/>
                        <w:sz w:val="17"/>
                      </w:rPr>
                      <w:t> </w:t>
                    </w:r>
                    <w:r>
                      <w:rPr>
                        <w:rFonts w:ascii="Arial" w:hAnsi="Arial"/>
                        <w:color w:val="231F20"/>
                        <w:sz w:val="17"/>
                      </w:rPr>
                      <w:t>a</w:t>
                    </w:r>
                    <w:r>
                      <w:rPr>
                        <w:rFonts w:ascii="Arial" w:hAnsi="Arial"/>
                        <w:color w:val="231F20"/>
                        <w:spacing w:val="-3"/>
                        <w:sz w:val="17"/>
                      </w:rPr>
                      <w:t> </w:t>
                    </w:r>
                    <w:r>
                      <w:rPr>
                        <w:rFonts w:ascii="Arial" w:hAnsi="Arial"/>
                        <w:color w:val="231F20"/>
                        <w:sz w:val="17"/>
                      </w:rPr>
                      <w:t>forcément</w:t>
                    </w:r>
                    <w:r>
                      <w:rPr>
                        <w:rFonts w:ascii="Arial" w:hAnsi="Arial"/>
                        <w:color w:val="231F20"/>
                        <w:spacing w:val="-3"/>
                        <w:sz w:val="17"/>
                      </w:rPr>
                      <w:t> </w:t>
                    </w:r>
                    <w:r>
                      <w:rPr>
                        <w:rFonts w:ascii="Arial" w:hAnsi="Arial"/>
                        <w:color w:val="231F20"/>
                        <w:sz w:val="17"/>
                      </w:rPr>
                      <w:t>les</w:t>
                    </w:r>
                    <w:r>
                      <w:rPr>
                        <w:rFonts w:ascii="Arial" w:hAnsi="Arial"/>
                        <w:color w:val="231F20"/>
                        <w:spacing w:val="-3"/>
                        <w:sz w:val="17"/>
                      </w:rPr>
                      <w:t> </w:t>
                    </w:r>
                    <w:r>
                      <w:rPr>
                        <w:rFonts w:ascii="Arial" w:hAnsi="Arial"/>
                        <w:color w:val="231F20"/>
                        <w:sz w:val="17"/>
                      </w:rPr>
                      <w:t>trois</w:t>
                    </w:r>
                    <w:r>
                      <w:rPr>
                        <w:rFonts w:ascii="Arial" w:hAnsi="Arial"/>
                        <w:color w:val="231F20"/>
                        <w:spacing w:val="-3"/>
                        <w:sz w:val="17"/>
                      </w:rPr>
                      <w:t> </w:t>
                    </w:r>
                    <w:r>
                      <w:rPr>
                        <w:rFonts w:ascii="Arial" w:hAnsi="Arial"/>
                        <w:color w:val="231F20"/>
                        <w:sz w:val="17"/>
                      </w:rPr>
                      <w:t>éléments</w:t>
                    </w:r>
                    <w:r>
                      <w:rPr>
                        <w:rFonts w:ascii="Arial" w:hAnsi="Arial"/>
                        <w:color w:val="231F20"/>
                        <w:spacing w:val="-3"/>
                        <w:sz w:val="17"/>
                      </w:rPr>
                      <w:t> </w:t>
                    </w:r>
                    <w:r>
                      <w:rPr>
                        <w:rFonts w:ascii="Arial" w:hAnsi="Arial"/>
                        <w:color w:val="231F20"/>
                        <w:sz w:val="17"/>
                      </w:rPr>
                      <w:t>suivants, agencés selon des combinaisons variables</w:t>
                    </w:r>
                    <w:r>
                      <w:rPr>
                        <w:rFonts w:ascii="Arial" w:hAnsi="Arial"/>
                        <w:color w:val="231F20"/>
                        <w:spacing w:val="-24"/>
                        <w:sz w:val="17"/>
                      </w:rPr>
                      <w:t> </w:t>
                    </w:r>
                    <w:r>
                      <w:rPr>
                        <w:rFonts w:ascii="Arial" w:hAnsi="Arial"/>
                        <w:color w:val="231F20"/>
                        <w:sz w:val="17"/>
                      </w:rPr>
                      <w:t>:</w:t>
                    </w:r>
                  </w:p>
                  <w:p>
                    <w:pPr>
                      <w:spacing w:line="307" w:lineRule="auto" w:before="79"/>
                      <w:ind w:left="249" w:right="245" w:firstLine="0"/>
                      <w:jc w:val="both"/>
                      <w:rPr>
                        <w:rFonts w:ascii="Arial" w:hAnsi="Arial"/>
                        <w:sz w:val="17"/>
                      </w:rPr>
                    </w:pPr>
                    <w:r>
                      <w:rPr>
                        <w:rFonts w:ascii="Arial" w:hAnsi="Arial"/>
                        <w:color w:val="231F20"/>
                        <w:spacing w:val="-2"/>
                        <w:sz w:val="17"/>
                      </w:rPr>
                      <w:t>L’</w:t>
                    </w:r>
                    <w:r>
                      <w:rPr>
                        <w:rFonts w:ascii="Arial" w:hAnsi="Arial"/>
                        <w:b/>
                        <w:color w:val="231F20"/>
                        <w:spacing w:val="-2"/>
                        <w:sz w:val="17"/>
                      </w:rPr>
                      <w:t>agent</w:t>
                    </w:r>
                    <w:r>
                      <w:rPr>
                        <w:rFonts w:ascii="Arial" w:hAnsi="Arial"/>
                        <w:b/>
                        <w:color w:val="231F20"/>
                        <w:spacing w:val="-10"/>
                        <w:sz w:val="17"/>
                      </w:rPr>
                      <w:t> </w:t>
                    </w:r>
                    <w:r>
                      <w:rPr>
                        <w:rFonts w:ascii="Arial" w:hAnsi="Arial"/>
                        <w:b/>
                        <w:color w:val="231F20"/>
                        <w:spacing w:val="-2"/>
                        <w:sz w:val="17"/>
                      </w:rPr>
                      <w:t>de</w:t>
                    </w:r>
                    <w:r>
                      <w:rPr>
                        <w:rFonts w:ascii="Arial" w:hAnsi="Arial"/>
                        <w:b/>
                        <w:color w:val="231F20"/>
                        <w:spacing w:val="-10"/>
                        <w:sz w:val="17"/>
                      </w:rPr>
                      <w:t> </w:t>
                    </w:r>
                    <w:r>
                      <w:rPr>
                        <w:rFonts w:ascii="Arial" w:hAnsi="Arial"/>
                        <w:b/>
                        <w:color w:val="231F20"/>
                        <w:spacing w:val="-2"/>
                        <w:sz w:val="17"/>
                      </w:rPr>
                      <w:t>stress</w:t>
                    </w:r>
                    <w:r>
                      <w:rPr>
                        <w:rFonts w:ascii="Arial" w:hAnsi="Arial"/>
                        <w:color w:val="231F20"/>
                        <w:spacing w:val="-2"/>
                        <w:sz w:val="17"/>
                      </w:rPr>
                      <w:t>,</w:t>
                    </w:r>
                    <w:r>
                      <w:rPr>
                        <w:rFonts w:ascii="Arial" w:hAnsi="Arial"/>
                        <w:color w:val="231F20"/>
                        <w:spacing w:val="-10"/>
                        <w:sz w:val="17"/>
                      </w:rPr>
                      <w:t> </w:t>
                    </w:r>
                    <w:r>
                      <w:rPr>
                        <w:rFonts w:ascii="Arial" w:hAnsi="Arial"/>
                        <w:color w:val="231F20"/>
                        <w:spacing w:val="-2"/>
                        <w:sz w:val="17"/>
                      </w:rPr>
                      <w:t>ou</w:t>
                    </w:r>
                    <w:r>
                      <w:rPr>
                        <w:rFonts w:ascii="Arial" w:hAnsi="Arial"/>
                        <w:color w:val="231F20"/>
                        <w:spacing w:val="-10"/>
                        <w:sz w:val="17"/>
                      </w:rPr>
                      <w:t> </w:t>
                    </w:r>
                    <w:r>
                      <w:rPr>
                        <w:rFonts w:ascii="Arial" w:hAnsi="Arial"/>
                        <w:color w:val="231F20"/>
                        <w:spacing w:val="-2"/>
                        <w:sz w:val="17"/>
                      </w:rPr>
                      <w:t>sa</w:t>
                    </w:r>
                    <w:r>
                      <w:rPr>
                        <w:rFonts w:ascii="Arial" w:hAnsi="Arial"/>
                        <w:color w:val="231F20"/>
                        <w:spacing w:val="-6"/>
                        <w:sz w:val="17"/>
                      </w:rPr>
                      <w:t> </w:t>
                    </w:r>
                    <w:r>
                      <w:rPr>
                        <w:rFonts w:ascii="Arial" w:hAnsi="Arial"/>
                        <w:color w:val="231F20"/>
                        <w:spacing w:val="-2"/>
                        <w:sz w:val="17"/>
                      </w:rPr>
                      <w:t>source</w:t>
                    </w:r>
                    <w:r>
                      <w:rPr>
                        <w:rFonts w:ascii="Arial" w:hAnsi="Arial"/>
                        <w:color w:val="231F20"/>
                        <w:spacing w:val="-10"/>
                        <w:sz w:val="17"/>
                      </w:rPr>
                      <w:t> </w:t>
                    </w:r>
                    <w:r>
                      <w:rPr>
                        <w:rFonts w:ascii="Arial" w:hAnsi="Arial"/>
                        <w:color w:val="231F20"/>
                        <w:spacing w:val="-2"/>
                        <w:sz w:val="17"/>
                      </w:rPr>
                      <w:t>:</w:t>
                    </w:r>
                    <w:r>
                      <w:rPr>
                        <w:rFonts w:ascii="Arial" w:hAnsi="Arial"/>
                        <w:color w:val="231F20"/>
                        <w:spacing w:val="-3"/>
                        <w:sz w:val="17"/>
                      </w:rPr>
                      <w:t> </w:t>
                    </w:r>
                    <w:r>
                      <w:rPr>
                        <w:rFonts w:ascii="Arial" w:hAnsi="Arial"/>
                        <w:color w:val="231F20"/>
                        <w:spacing w:val="-2"/>
                        <w:sz w:val="17"/>
                      </w:rPr>
                      <w:t>un</w:t>
                    </w:r>
                    <w:r>
                      <w:rPr>
                        <w:rFonts w:ascii="Arial" w:hAnsi="Arial"/>
                        <w:color w:val="231F20"/>
                        <w:spacing w:val="-3"/>
                        <w:sz w:val="17"/>
                      </w:rPr>
                      <w:t> </w:t>
                    </w:r>
                    <w:r>
                      <w:rPr>
                        <w:rFonts w:ascii="Arial" w:hAnsi="Arial"/>
                        <w:color w:val="231F20"/>
                        <w:spacing w:val="-2"/>
                        <w:sz w:val="17"/>
                      </w:rPr>
                      <w:t>stimulus</w:t>
                    </w:r>
                    <w:r>
                      <w:rPr>
                        <w:rFonts w:ascii="Arial" w:hAnsi="Arial"/>
                        <w:color w:val="231F20"/>
                        <w:spacing w:val="-3"/>
                        <w:sz w:val="17"/>
                      </w:rPr>
                      <w:t> </w:t>
                    </w:r>
                    <w:r>
                      <w:rPr>
                        <w:rFonts w:ascii="Arial" w:hAnsi="Arial"/>
                        <w:color w:val="231F20"/>
                        <w:spacing w:val="-2"/>
                        <w:sz w:val="17"/>
                      </w:rPr>
                      <w:t>d’ordre</w:t>
                    </w:r>
                    <w:r>
                      <w:rPr>
                        <w:rFonts w:ascii="Arial" w:hAnsi="Arial"/>
                        <w:color w:val="231F20"/>
                        <w:spacing w:val="-3"/>
                        <w:sz w:val="17"/>
                      </w:rPr>
                      <w:t> </w:t>
                    </w:r>
                    <w:r>
                      <w:rPr>
                        <w:rFonts w:ascii="Arial" w:hAnsi="Arial"/>
                        <w:color w:val="231F20"/>
                        <w:spacing w:val="-2"/>
                        <w:sz w:val="17"/>
                      </w:rPr>
                      <w:t>physique,</w:t>
                    </w:r>
                    <w:r>
                      <w:rPr>
                        <w:rFonts w:ascii="Arial" w:hAnsi="Arial"/>
                        <w:color w:val="231F20"/>
                        <w:spacing w:val="-3"/>
                        <w:sz w:val="17"/>
                      </w:rPr>
                      <w:t> </w:t>
                    </w:r>
                    <w:r>
                      <w:rPr>
                        <w:rFonts w:ascii="Arial" w:hAnsi="Arial"/>
                        <w:color w:val="231F20"/>
                        <w:spacing w:val="-2"/>
                        <w:sz w:val="17"/>
                      </w:rPr>
                      <w:t>mental, </w:t>
                    </w:r>
                    <w:r>
                      <w:rPr>
                        <w:rFonts w:ascii="Arial" w:hAnsi="Arial"/>
                        <w:color w:val="231F20"/>
                        <w:sz w:val="17"/>
                      </w:rPr>
                      <w:t>social</w:t>
                    </w:r>
                    <w:r>
                      <w:rPr>
                        <w:rFonts w:ascii="Arial" w:hAnsi="Arial"/>
                        <w:color w:val="231F20"/>
                        <w:spacing w:val="-1"/>
                        <w:sz w:val="17"/>
                      </w:rPr>
                      <w:t> </w:t>
                    </w:r>
                    <w:r>
                      <w:rPr>
                        <w:rFonts w:ascii="Arial" w:hAnsi="Arial"/>
                        <w:color w:val="231F20"/>
                        <w:sz w:val="17"/>
                      </w:rPr>
                      <w:t>ou</w:t>
                    </w:r>
                    <w:r>
                      <w:rPr>
                        <w:rFonts w:ascii="Arial" w:hAnsi="Arial"/>
                        <w:color w:val="231F20"/>
                        <w:spacing w:val="-1"/>
                        <w:sz w:val="17"/>
                      </w:rPr>
                      <w:t> </w:t>
                    </w:r>
                    <w:r>
                      <w:rPr>
                        <w:rFonts w:ascii="Arial" w:hAnsi="Arial"/>
                        <w:color w:val="231F20"/>
                        <w:sz w:val="17"/>
                      </w:rPr>
                      <w:t>émotionnel</w:t>
                    </w:r>
                    <w:r>
                      <w:rPr>
                        <w:rFonts w:ascii="Arial" w:hAnsi="Arial"/>
                        <w:color w:val="231F20"/>
                        <w:spacing w:val="-1"/>
                        <w:sz w:val="17"/>
                      </w:rPr>
                      <w:t> </w:t>
                    </w:r>
                    <w:r>
                      <w:rPr>
                        <w:rFonts w:ascii="Arial" w:hAnsi="Arial"/>
                        <w:color w:val="231F20"/>
                        <w:sz w:val="17"/>
                      </w:rPr>
                      <w:t>survient</w:t>
                    </w:r>
                    <w:r>
                      <w:rPr>
                        <w:rFonts w:ascii="Arial" w:hAnsi="Arial"/>
                        <w:color w:val="231F20"/>
                        <w:spacing w:val="-1"/>
                        <w:sz w:val="17"/>
                      </w:rPr>
                      <w:t> </w:t>
                    </w:r>
                    <w:r>
                      <w:rPr>
                        <w:rFonts w:ascii="Arial" w:hAnsi="Arial"/>
                        <w:color w:val="231F20"/>
                        <w:sz w:val="17"/>
                      </w:rPr>
                      <w:t>auquel</w:t>
                    </w:r>
                    <w:r>
                      <w:rPr>
                        <w:rFonts w:ascii="Arial" w:hAnsi="Arial"/>
                        <w:color w:val="231F20"/>
                        <w:spacing w:val="-1"/>
                        <w:sz w:val="17"/>
                      </w:rPr>
                      <w:t> </w:t>
                    </w:r>
                    <w:r>
                      <w:rPr>
                        <w:rFonts w:ascii="Arial" w:hAnsi="Arial"/>
                        <w:color w:val="231F20"/>
                        <w:sz w:val="17"/>
                      </w:rPr>
                      <w:t>il</w:t>
                    </w:r>
                    <w:r>
                      <w:rPr>
                        <w:rFonts w:ascii="Arial" w:hAnsi="Arial"/>
                        <w:color w:val="231F20"/>
                        <w:spacing w:val="-1"/>
                        <w:sz w:val="17"/>
                      </w:rPr>
                      <w:t> </w:t>
                    </w:r>
                    <w:r>
                      <w:rPr>
                        <w:rFonts w:ascii="Arial" w:hAnsi="Arial"/>
                        <w:color w:val="231F20"/>
                        <w:sz w:val="17"/>
                      </w:rPr>
                      <w:t>faut</w:t>
                    </w:r>
                    <w:r>
                      <w:rPr>
                        <w:rFonts w:ascii="Arial" w:hAnsi="Arial"/>
                        <w:color w:val="231F20"/>
                        <w:spacing w:val="-1"/>
                        <w:sz w:val="17"/>
                      </w:rPr>
                      <w:t> </w:t>
                    </w:r>
                    <w:r>
                      <w:rPr>
                        <w:rFonts w:ascii="Arial" w:hAnsi="Arial"/>
                        <w:color w:val="231F20"/>
                        <w:sz w:val="17"/>
                      </w:rPr>
                      <w:t>s’ajuster.</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stimulus</w:t>
                    </w:r>
                    <w:r>
                      <w:rPr>
                        <w:rFonts w:ascii="Arial" w:hAnsi="Arial"/>
                        <w:color w:val="231F20"/>
                        <w:spacing w:val="-1"/>
                        <w:sz w:val="17"/>
                      </w:rPr>
                      <w:t> </w:t>
                    </w:r>
                    <w:r>
                      <w:rPr>
                        <w:rFonts w:ascii="Arial" w:hAnsi="Arial"/>
                        <w:color w:val="231F20"/>
                        <w:sz w:val="17"/>
                      </w:rPr>
                      <w:t>peut être mineur (contravention) ou important (déménagement), positif (un mariage) ou négatif (un conflit), exceptionnel (une intervention chirur- gicale) ou constant (un horaire trop chargé), prévu (un examen) ou inattendu</w:t>
                    </w:r>
                    <w:r>
                      <w:rPr>
                        <w:rFonts w:ascii="Arial" w:hAnsi="Arial"/>
                        <w:color w:val="231F20"/>
                        <w:spacing w:val="-8"/>
                        <w:sz w:val="17"/>
                      </w:rPr>
                      <w:t> </w:t>
                    </w:r>
                    <w:r>
                      <w:rPr>
                        <w:rFonts w:ascii="Arial" w:hAnsi="Arial"/>
                        <w:color w:val="231F20"/>
                        <w:sz w:val="17"/>
                      </w:rPr>
                      <w:t>(un</w:t>
                    </w:r>
                    <w:r>
                      <w:rPr>
                        <w:rFonts w:ascii="Arial" w:hAnsi="Arial"/>
                        <w:color w:val="231F20"/>
                        <w:spacing w:val="-8"/>
                        <w:sz w:val="17"/>
                      </w:rPr>
                      <w:t> </w:t>
                    </w:r>
                    <w:r>
                      <w:rPr>
                        <w:rFonts w:ascii="Arial" w:hAnsi="Arial"/>
                        <w:color w:val="231F20"/>
                        <w:sz w:val="17"/>
                      </w:rPr>
                      <w:t>accident),</w:t>
                    </w:r>
                    <w:r>
                      <w:rPr>
                        <w:rFonts w:ascii="Arial" w:hAnsi="Arial"/>
                        <w:color w:val="231F20"/>
                        <w:spacing w:val="-8"/>
                        <w:sz w:val="17"/>
                      </w:rPr>
                      <w:t> </w:t>
                    </w:r>
                    <w:r>
                      <w:rPr>
                        <w:rFonts w:ascii="Arial" w:hAnsi="Arial"/>
                        <w:color w:val="231F20"/>
                        <w:sz w:val="17"/>
                      </w:rPr>
                      <w:t>etc.</w:t>
                    </w:r>
                    <w:r>
                      <w:rPr>
                        <w:rFonts w:ascii="Arial" w:hAnsi="Arial"/>
                        <w:color w:val="231F20"/>
                        <w:spacing w:val="-8"/>
                        <w:sz w:val="17"/>
                      </w:rPr>
                      <w:t> </w:t>
                    </w:r>
                    <w:r>
                      <w:rPr>
                        <w:rFonts w:ascii="Arial" w:hAnsi="Arial"/>
                        <w:color w:val="231F20"/>
                        <w:sz w:val="17"/>
                      </w:rPr>
                      <w:t>Mentionnons</w:t>
                    </w:r>
                    <w:r>
                      <w:rPr>
                        <w:rFonts w:ascii="Arial" w:hAnsi="Arial"/>
                        <w:color w:val="231F20"/>
                        <w:spacing w:val="-8"/>
                        <w:sz w:val="17"/>
                      </w:rPr>
                      <w:t> </w:t>
                    </w:r>
                    <w:r>
                      <w:rPr>
                        <w:rFonts w:ascii="Arial" w:hAnsi="Arial"/>
                        <w:color w:val="231F20"/>
                        <w:sz w:val="17"/>
                      </w:rPr>
                      <w:t>aussi</w:t>
                    </w:r>
                    <w:r>
                      <w:rPr>
                        <w:rFonts w:ascii="Arial" w:hAnsi="Arial"/>
                        <w:color w:val="231F20"/>
                        <w:spacing w:val="-8"/>
                        <w:sz w:val="17"/>
                      </w:rPr>
                      <w:t> </w:t>
                    </w:r>
                    <w:r>
                      <w:rPr>
                        <w:rFonts w:ascii="Arial" w:hAnsi="Arial"/>
                        <w:color w:val="231F20"/>
                        <w:sz w:val="17"/>
                      </w:rPr>
                      <w:t>que</w:t>
                    </w:r>
                    <w:r>
                      <w:rPr>
                        <w:rFonts w:ascii="Arial" w:hAnsi="Arial"/>
                        <w:color w:val="231F20"/>
                        <w:spacing w:val="-8"/>
                        <w:sz w:val="17"/>
                      </w:rPr>
                      <w:t> </w:t>
                    </w:r>
                    <w:r>
                      <w:rPr>
                        <w:rFonts w:ascii="Arial" w:hAnsi="Arial"/>
                        <w:color w:val="231F20"/>
                        <w:sz w:val="17"/>
                      </w:rPr>
                      <w:t>le</w:t>
                    </w:r>
                    <w:r>
                      <w:rPr>
                        <w:rFonts w:ascii="Arial" w:hAnsi="Arial"/>
                        <w:color w:val="231F20"/>
                        <w:spacing w:val="-8"/>
                        <w:sz w:val="17"/>
                      </w:rPr>
                      <w:t> </w:t>
                    </w:r>
                    <w:r>
                      <w:rPr>
                        <w:rFonts w:ascii="Arial" w:hAnsi="Arial"/>
                        <w:color w:val="231F20"/>
                        <w:sz w:val="17"/>
                      </w:rPr>
                      <w:t>stress</w:t>
                    </w:r>
                    <w:r>
                      <w:rPr>
                        <w:rFonts w:ascii="Arial" w:hAnsi="Arial"/>
                        <w:color w:val="231F20"/>
                        <w:spacing w:val="-8"/>
                        <w:sz w:val="17"/>
                      </w:rPr>
                      <w:t> </w:t>
                    </w:r>
                    <w:r>
                      <w:rPr>
                        <w:rFonts w:ascii="Arial" w:hAnsi="Arial"/>
                        <w:color w:val="231F20"/>
                        <w:sz w:val="17"/>
                      </w:rPr>
                      <w:t>peut</w:t>
                    </w:r>
                    <w:r>
                      <w:rPr>
                        <w:rFonts w:ascii="Arial" w:hAnsi="Arial"/>
                        <w:color w:val="231F20"/>
                        <w:spacing w:val="-8"/>
                        <w:sz w:val="17"/>
                      </w:rPr>
                      <w:t> </w:t>
                    </w:r>
                    <w:r>
                      <w:rPr>
                        <w:rFonts w:ascii="Arial" w:hAnsi="Arial"/>
                        <w:color w:val="231F20"/>
                        <w:sz w:val="17"/>
                      </w:rPr>
                      <w:t>être d’ordre</w:t>
                    </w:r>
                    <w:r>
                      <w:rPr>
                        <w:rFonts w:ascii="Arial" w:hAnsi="Arial"/>
                        <w:color w:val="231F20"/>
                        <w:spacing w:val="-5"/>
                        <w:sz w:val="17"/>
                      </w:rPr>
                      <w:t> </w:t>
                    </w:r>
                    <w:r>
                      <w:rPr>
                        <w:rFonts w:ascii="Arial" w:hAnsi="Arial"/>
                        <w:color w:val="231F20"/>
                        <w:sz w:val="17"/>
                      </w:rPr>
                      <w:t>physiologique,</w:t>
                    </w:r>
                    <w:r>
                      <w:rPr>
                        <w:rFonts w:ascii="Arial" w:hAnsi="Arial"/>
                        <w:color w:val="231F20"/>
                        <w:spacing w:val="-5"/>
                        <w:sz w:val="17"/>
                      </w:rPr>
                      <w:t> </w:t>
                    </w:r>
                    <w:r>
                      <w:rPr>
                        <w:rFonts w:ascii="Arial" w:hAnsi="Arial"/>
                        <w:color w:val="231F20"/>
                        <w:sz w:val="17"/>
                      </w:rPr>
                      <w:t>et</w:t>
                    </w:r>
                    <w:r>
                      <w:rPr>
                        <w:rFonts w:ascii="Arial" w:hAnsi="Arial"/>
                        <w:color w:val="231F20"/>
                        <w:spacing w:val="-5"/>
                        <w:sz w:val="17"/>
                      </w:rPr>
                      <w:t> </w:t>
                    </w:r>
                    <w:r>
                      <w:rPr>
                        <w:rFonts w:ascii="Arial" w:hAnsi="Arial"/>
                        <w:color w:val="231F20"/>
                        <w:sz w:val="17"/>
                      </w:rPr>
                      <w:t>causé</w:t>
                    </w:r>
                    <w:r>
                      <w:rPr>
                        <w:rFonts w:ascii="Arial" w:hAnsi="Arial"/>
                        <w:color w:val="231F20"/>
                        <w:spacing w:val="-5"/>
                        <w:sz w:val="17"/>
                      </w:rPr>
                      <w:t> </w:t>
                    </w:r>
                    <w:r>
                      <w:rPr>
                        <w:rFonts w:ascii="Arial" w:hAnsi="Arial"/>
                        <w:color w:val="231F20"/>
                        <w:sz w:val="17"/>
                      </w:rPr>
                      <w:t>par</w:t>
                    </w:r>
                    <w:r>
                      <w:rPr>
                        <w:rFonts w:ascii="Arial" w:hAnsi="Arial"/>
                        <w:color w:val="231F20"/>
                        <w:spacing w:val="-5"/>
                        <w:sz w:val="17"/>
                      </w:rPr>
                      <w:t> </w:t>
                    </w:r>
                    <w:r>
                      <w:rPr>
                        <w:rFonts w:ascii="Arial" w:hAnsi="Arial"/>
                        <w:color w:val="231F20"/>
                        <w:sz w:val="17"/>
                      </w:rPr>
                      <w:t>des</w:t>
                    </w:r>
                    <w:r>
                      <w:rPr>
                        <w:rFonts w:ascii="Arial" w:hAnsi="Arial"/>
                        <w:color w:val="231F20"/>
                        <w:spacing w:val="-5"/>
                        <w:sz w:val="17"/>
                      </w:rPr>
                      <w:t> </w:t>
                    </w:r>
                    <w:r>
                      <w:rPr>
                        <w:rFonts w:ascii="Arial" w:hAnsi="Arial"/>
                        <w:color w:val="231F20"/>
                        <w:sz w:val="17"/>
                      </w:rPr>
                      <w:t>événements</w:t>
                    </w:r>
                    <w:r>
                      <w:rPr>
                        <w:rFonts w:ascii="Arial" w:hAnsi="Arial"/>
                        <w:color w:val="231F20"/>
                        <w:spacing w:val="-5"/>
                        <w:sz w:val="17"/>
                      </w:rPr>
                      <w:t> </w:t>
                    </w:r>
                    <w:r>
                      <w:rPr>
                        <w:rFonts w:ascii="Arial" w:hAnsi="Arial"/>
                        <w:color w:val="231F20"/>
                        <w:sz w:val="17"/>
                      </w:rPr>
                      <w:t>comme</w:t>
                    </w:r>
                    <w:r>
                      <w:rPr>
                        <w:rFonts w:ascii="Arial" w:hAnsi="Arial"/>
                        <w:color w:val="231F20"/>
                        <w:spacing w:val="-5"/>
                        <w:sz w:val="17"/>
                      </w:rPr>
                      <w:t> </w:t>
                    </w:r>
                    <w:r>
                      <w:rPr>
                        <w:rFonts w:ascii="Arial" w:hAnsi="Arial"/>
                        <w:color w:val="231F20"/>
                        <w:sz w:val="17"/>
                      </w:rPr>
                      <w:t>un</w:t>
                    </w:r>
                    <w:r>
                      <w:rPr>
                        <w:rFonts w:ascii="Arial" w:hAnsi="Arial"/>
                        <w:color w:val="231F20"/>
                        <w:spacing w:val="-5"/>
                        <w:sz w:val="17"/>
                      </w:rPr>
                      <w:t> </w:t>
                    </w:r>
                    <w:r>
                      <w:rPr>
                        <w:rFonts w:ascii="Arial" w:hAnsi="Arial"/>
                        <w:color w:val="231F20"/>
                        <w:sz w:val="17"/>
                      </w:rPr>
                      <w:t>médi- cament, une blessure ou un coup de froid, puisque l’organisme doit modifier</w:t>
                    </w:r>
                    <w:r>
                      <w:rPr>
                        <w:rFonts w:ascii="Arial" w:hAnsi="Arial"/>
                        <w:color w:val="231F20"/>
                        <w:spacing w:val="-2"/>
                        <w:sz w:val="17"/>
                      </w:rPr>
                      <w:t> </w:t>
                    </w:r>
                    <w:r>
                      <w:rPr>
                        <w:rFonts w:ascii="Arial" w:hAnsi="Arial"/>
                        <w:color w:val="231F20"/>
                        <w:sz w:val="17"/>
                      </w:rPr>
                      <w:t>sa</w:t>
                    </w:r>
                    <w:r>
                      <w:rPr>
                        <w:rFonts w:ascii="Arial" w:hAnsi="Arial"/>
                        <w:color w:val="231F20"/>
                        <w:spacing w:val="-2"/>
                        <w:sz w:val="17"/>
                      </w:rPr>
                      <w:t> </w:t>
                    </w:r>
                    <w:r>
                      <w:rPr>
                        <w:rFonts w:ascii="Arial" w:hAnsi="Arial"/>
                        <w:color w:val="231F20"/>
                        <w:sz w:val="17"/>
                      </w:rPr>
                      <w:t>chimie</w:t>
                    </w:r>
                    <w:r>
                      <w:rPr>
                        <w:rFonts w:ascii="Arial" w:hAnsi="Arial"/>
                        <w:color w:val="231F20"/>
                        <w:spacing w:val="-2"/>
                        <w:sz w:val="17"/>
                      </w:rPr>
                      <w:t> </w:t>
                    </w:r>
                    <w:r>
                      <w:rPr>
                        <w:rFonts w:ascii="Arial" w:hAnsi="Arial"/>
                        <w:color w:val="231F20"/>
                        <w:sz w:val="17"/>
                      </w:rPr>
                      <w:t>pour</w:t>
                    </w:r>
                    <w:r>
                      <w:rPr>
                        <w:rFonts w:ascii="Arial" w:hAnsi="Arial"/>
                        <w:color w:val="231F20"/>
                        <w:spacing w:val="-2"/>
                        <w:sz w:val="17"/>
                      </w:rPr>
                      <w:t> </w:t>
                    </w:r>
                    <w:r>
                      <w:rPr>
                        <w:rFonts w:ascii="Arial" w:hAnsi="Arial"/>
                        <w:color w:val="231F20"/>
                        <w:sz w:val="17"/>
                      </w:rPr>
                      <w:t>y</w:t>
                    </w:r>
                    <w:r>
                      <w:rPr>
                        <w:rFonts w:ascii="Arial" w:hAnsi="Arial"/>
                        <w:color w:val="231F20"/>
                        <w:spacing w:val="-2"/>
                        <w:sz w:val="17"/>
                      </w:rPr>
                      <w:t> </w:t>
                    </w:r>
                    <w:r>
                      <w:rPr>
                        <w:rFonts w:ascii="Arial" w:hAnsi="Arial"/>
                        <w:color w:val="231F20"/>
                        <w:sz w:val="17"/>
                      </w:rPr>
                      <w:t>réagir.</w:t>
                    </w:r>
                    <w:r>
                      <w:rPr>
                        <w:rFonts w:ascii="Arial" w:hAnsi="Arial"/>
                        <w:color w:val="231F20"/>
                        <w:spacing w:val="-2"/>
                        <w:sz w:val="17"/>
                      </w:rPr>
                      <w:t> </w:t>
                    </w:r>
                    <w:r>
                      <w:rPr>
                        <w:rFonts w:ascii="Arial" w:hAnsi="Arial"/>
                        <w:color w:val="231F20"/>
                        <w:sz w:val="17"/>
                      </w:rPr>
                      <w:t>Le</w:t>
                    </w:r>
                    <w:r>
                      <w:rPr>
                        <w:rFonts w:ascii="Arial" w:hAnsi="Arial"/>
                        <w:color w:val="231F20"/>
                        <w:spacing w:val="-2"/>
                        <w:sz w:val="17"/>
                      </w:rPr>
                      <w:t> </w:t>
                    </w:r>
                    <w:r>
                      <w:rPr>
                        <w:rFonts w:ascii="Arial" w:hAnsi="Arial"/>
                        <w:color w:val="231F20"/>
                        <w:sz w:val="17"/>
                      </w:rPr>
                      <w:t>manque</w:t>
                    </w:r>
                    <w:r>
                      <w:rPr>
                        <w:rFonts w:ascii="Arial" w:hAnsi="Arial"/>
                        <w:color w:val="231F20"/>
                        <w:spacing w:val="-2"/>
                        <w:sz w:val="17"/>
                      </w:rPr>
                      <w:t> </w:t>
                    </w:r>
                    <w:r>
                      <w:rPr>
                        <w:rFonts w:ascii="Arial" w:hAnsi="Arial"/>
                        <w:color w:val="231F20"/>
                        <w:sz w:val="17"/>
                      </w:rPr>
                      <w:t>de</w:t>
                    </w:r>
                    <w:r>
                      <w:rPr>
                        <w:rFonts w:ascii="Arial" w:hAnsi="Arial"/>
                        <w:color w:val="231F20"/>
                        <w:spacing w:val="-2"/>
                        <w:sz w:val="17"/>
                      </w:rPr>
                      <w:t> </w:t>
                    </w:r>
                    <w:r>
                      <w:rPr>
                        <w:rFonts w:ascii="Arial" w:hAnsi="Arial"/>
                        <w:color w:val="231F20"/>
                        <w:sz w:val="17"/>
                      </w:rPr>
                      <w:t>stimulation</w:t>
                    </w:r>
                    <w:r>
                      <w:rPr>
                        <w:rFonts w:ascii="Arial" w:hAnsi="Arial"/>
                        <w:color w:val="231F20"/>
                        <w:spacing w:val="-2"/>
                        <w:sz w:val="17"/>
                      </w:rPr>
                      <w:t> </w:t>
                    </w:r>
                    <w:r>
                      <w:rPr>
                        <w:rFonts w:ascii="Arial" w:hAnsi="Arial"/>
                        <w:color w:val="231F20"/>
                        <w:sz w:val="17"/>
                      </w:rPr>
                      <w:t>peut</w:t>
                    </w:r>
                    <w:r>
                      <w:rPr>
                        <w:rFonts w:ascii="Arial" w:hAnsi="Arial"/>
                        <w:color w:val="231F20"/>
                        <w:spacing w:val="-2"/>
                        <w:sz w:val="17"/>
                      </w:rPr>
                      <w:t> </w:t>
                    </w:r>
                    <w:r>
                      <w:rPr>
                        <w:rFonts w:ascii="Arial" w:hAnsi="Arial"/>
                        <w:color w:val="231F20"/>
                        <w:sz w:val="17"/>
                      </w:rPr>
                      <w:t>aussi </w:t>
                    </w:r>
                    <w:r>
                      <w:rPr>
                        <w:rFonts w:ascii="Arial" w:hAnsi="Arial"/>
                        <w:color w:val="231F20"/>
                        <w:spacing w:val="-2"/>
                        <w:sz w:val="17"/>
                      </w:rPr>
                      <w:t>créer</w:t>
                    </w:r>
                    <w:r>
                      <w:rPr>
                        <w:rFonts w:ascii="Arial" w:hAnsi="Arial"/>
                        <w:color w:val="231F20"/>
                        <w:spacing w:val="-4"/>
                        <w:sz w:val="17"/>
                      </w:rPr>
                      <w:t> </w:t>
                    </w:r>
                    <w:r>
                      <w:rPr>
                        <w:rFonts w:ascii="Arial" w:hAnsi="Arial"/>
                        <w:color w:val="231F20"/>
                        <w:spacing w:val="-2"/>
                        <w:sz w:val="17"/>
                      </w:rPr>
                      <w:t>du</w:t>
                    </w:r>
                    <w:r>
                      <w:rPr>
                        <w:rFonts w:ascii="Arial" w:hAnsi="Arial"/>
                        <w:color w:val="231F20"/>
                        <w:spacing w:val="-4"/>
                        <w:sz w:val="17"/>
                      </w:rPr>
                      <w:t> </w:t>
                    </w:r>
                    <w:r>
                      <w:rPr>
                        <w:rFonts w:ascii="Arial" w:hAnsi="Arial"/>
                        <w:color w:val="231F20"/>
                        <w:spacing w:val="-2"/>
                        <w:sz w:val="17"/>
                      </w:rPr>
                      <w:t>stress.</w:t>
                    </w:r>
                    <w:r>
                      <w:rPr>
                        <w:rFonts w:ascii="Arial" w:hAnsi="Arial"/>
                        <w:color w:val="231F20"/>
                        <w:spacing w:val="-4"/>
                        <w:sz w:val="17"/>
                      </w:rPr>
                      <w:t> </w:t>
                    </w:r>
                    <w:r>
                      <w:rPr>
                        <w:rFonts w:ascii="Arial" w:hAnsi="Arial"/>
                        <w:color w:val="231F20"/>
                        <w:spacing w:val="-2"/>
                        <w:sz w:val="17"/>
                      </w:rPr>
                      <w:t>Mais</w:t>
                    </w:r>
                    <w:r>
                      <w:rPr>
                        <w:rFonts w:ascii="Arial" w:hAnsi="Arial"/>
                        <w:color w:val="231F20"/>
                        <w:spacing w:val="-4"/>
                        <w:sz w:val="17"/>
                      </w:rPr>
                      <w:t> </w:t>
                    </w:r>
                    <w:r>
                      <w:rPr>
                        <w:rFonts w:ascii="Arial" w:hAnsi="Arial"/>
                        <w:color w:val="231F20"/>
                        <w:spacing w:val="-2"/>
                        <w:sz w:val="17"/>
                      </w:rPr>
                      <w:t>on</w:t>
                    </w:r>
                    <w:r>
                      <w:rPr>
                        <w:rFonts w:ascii="Arial" w:hAnsi="Arial"/>
                        <w:color w:val="231F20"/>
                        <w:spacing w:val="-4"/>
                        <w:sz w:val="17"/>
                      </w:rPr>
                      <w:t> </w:t>
                    </w:r>
                    <w:r>
                      <w:rPr>
                        <w:rFonts w:ascii="Arial" w:hAnsi="Arial"/>
                        <w:color w:val="231F20"/>
                        <w:spacing w:val="-2"/>
                        <w:sz w:val="17"/>
                      </w:rPr>
                      <w:t>se</w:t>
                    </w:r>
                    <w:r>
                      <w:rPr>
                        <w:rFonts w:ascii="Arial" w:hAnsi="Arial"/>
                        <w:color w:val="231F20"/>
                        <w:spacing w:val="-4"/>
                        <w:sz w:val="17"/>
                      </w:rPr>
                      <w:t> </w:t>
                    </w:r>
                    <w:r>
                      <w:rPr>
                        <w:rFonts w:ascii="Arial" w:hAnsi="Arial"/>
                        <w:color w:val="231F20"/>
                        <w:spacing w:val="-2"/>
                        <w:sz w:val="17"/>
                      </w:rPr>
                      <w:t>préoccupe</w:t>
                    </w:r>
                    <w:r>
                      <w:rPr>
                        <w:rFonts w:ascii="Arial" w:hAnsi="Arial"/>
                        <w:color w:val="231F20"/>
                        <w:spacing w:val="-4"/>
                        <w:sz w:val="17"/>
                      </w:rPr>
                      <w:t> </w:t>
                    </w:r>
                    <w:r>
                      <w:rPr>
                        <w:rFonts w:ascii="Arial" w:hAnsi="Arial"/>
                        <w:color w:val="231F20"/>
                        <w:spacing w:val="-2"/>
                        <w:sz w:val="17"/>
                      </w:rPr>
                      <w:t>surtout,</w:t>
                    </w:r>
                    <w:r>
                      <w:rPr>
                        <w:rFonts w:ascii="Arial" w:hAnsi="Arial"/>
                        <w:color w:val="231F20"/>
                        <w:spacing w:val="-4"/>
                        <w:sz w:val="17"/>
                      </w:rPr>
                      <w:t> </w:t>
                    </w:r>
                    <w:r>
                      <w:rPr>
                        <w:rFonts w:ascii="Arial" w:hAnsi="Arial"/>
                        <w:color w:val="231F20"/>
                        <w:spacing w:val="-2"/>
                        <w:sz w:val="17"/>
                      </w:rPr>
                      <w:t>aujourd’hui,</w:t>
                    </w:r>
                    <w:r>
                      <w:rPr>
                        <w:rFonts w:ascii="Arial" w:hAnsi="Arial"/>
                        <w:color w:val="231F20"/>
                        <w:spacing w:val="-4"/>
                        <w:sz w:val="17"/>
                      </w:rPr>
                      <w:t> </w:t>
                    </w:r>
                    <w:r>
                      <w:rPr>
                        <w:rFonts w:ascii="Arial" w:hAnsi="Arial"/>
                        <w:color w:val="231F20"/>
                        <w:spacing w:val="-2"/>
                        <w:sz w:val="17"/>
                      </w:rPr>
                      <w:t>du</w:t>
                    </w:r>
                    <w:r>
                      <w:rPr>
                        <w:rFonts w:ascii="Arial" w:hAnsi="Arial"/>
                        <w:color w:val="231F20"/>
                        <w:spacing w:val="-4"/>
                        <w:sz w:val="17"/>
                      </w:rPr>
                      <w:t> </w:t>
                    </w:r>
                    <w:r>
                      <w:rPr>
                        <w:rFonts w:ascii="Arial" w:hAnsi="Arial"/>
                        <w:color w:val="231F20"/>
                        <w:spacing w:val="-2"/>
                        <w:sz w:val="17"/>
                      </w:rPr>
                      <w:t>stress</w:t>
                    </w:r>
                    <w:r>
                      <w:rPr>
                        <w:rFonts w:ascii="Arial" w:hAnsi="Arial"/>
                        <w:color w:val="231F20"/>
                        <w:spacing w:val="-4"/>
                        <w:sz w:val="17"/>
                      </w:rPr>
                      <w:t> </w:t>
                    </w:r>
                    <w:r>
                      <w:rPr>
                        <w:rFonts w:ascii="Arial" w:hAnsi="Arial"/>
                        <w:color w:val="231F20"/>
                        <w:spacing w:val="-2"/>
                        <w:sz w:val="17"/>
                      </w:rPr>
                      <w:t>lié </w:t>
                    </w:r>
                    <w:r>
                      <w:rPr>
                        <w:rFonts w:ascii="Arial" w:hAnsi="Arial"/>
                        <w:color w:val="231F20"/>
                        <w:sz w:val="17"/>
                      </w:rPr>
                      <w:t>au mode de vie et plus particulièrement du stress psychologique.</w:t>
                    </w:r>
                  </w:p>
                  <w:p>
                    <w:pPr>
                      <w:spacing w:line="307" w:lineRule="auto" w:before="78"/>
                      <w:ind w:left="250" w:right="247" w:firstLine="0"/>
                      <w:jc w:val="both"/>
                      <w:rPr>
                        <w:rFonts w:ascii="Arial" w:hAnsi="Arial"/>
                        <w:sz w:val="17"/>
                      </w:rPr>
                    </w:pPr>
                    <w:r>
                      <w:rPr>
                        <w:rFonts w:ascii="Arial" w:hAnsi="Arial"/>
                        <w:color w:val="231F20"/>
                        <w:w w:val="95"/>
                        <w:sz w:val="17"/>
                      </w:rPr>
                      <w:t>La </w:t>
                    </w:r>
                    <w:r>
                      <w:rPr>
                        <w:rFonts w:ascii="Arial" w:hAnsi="Arial"/>
                        <w:b/>
                        <w:color w:val="231F20"/>
                        <w:w w:val="95"/>
                        <w:sz w:val="17"/>
                      </w:rPr>
                      <w:t>réaction de stress</w:t>
                    </w:r>
                    <w:r>
                      <w:rPr>
                        <w:rFonts w:ascii="Arial" w:hAnsi="Arial"/>
                        <w:color w:val="231F20"/>
                        <w:w w:val="95"/>
                        <w:sz w:val="17"/>
                      </w:rPr>
                      <w:t>. Lorsque le cerveau sonne l’alerte, des réactions </w:t>
                    </w:r>
                    <w:r>
                      <w:rPr>
                        <w:rFonts w:ascii="Arial" w:hAnsi="Arial"/>
                        <w:color w:val="231F20"/>
                        <w:sz w:val="17"/>
                      </w:rPr>
                      <w:t>physiologiques immédiates – comme l’augmentation du rythme car- </w:t>
                    </w:r>
                    <w:r>
                      <w:rPr>
                        <w:rFonts w:ascii="Arial" w:hAnsi="Arial"/>
                        <w:color w:val="231F20"/>
                        <w:w w:val="95"/>
                        <w:sz w:val="17"/>
                      </w:rPr>
                      <w:t>diaque,</w:t>
                    </w:r>
                    <w:r>
                      <w:rPr>
                        <w:rFonts w:ascii="Arial" w:hAnsi="Arial"/>
                        <w:color w:val="231F20"/>
                        <w:spacing w:val="-11"/>
                        <w:w w:val="95"/>
                        <w:sz w:val="17"/>
                      </w:rPr>
                      <w:t> </w:t>
                    </w:r>
                    <w:r>
                      <w:rPr>
                        <w:rFonts w:ascii="Arial" w:hAnsi="Arial"/>
                        <w:color w:val="231F20"/>
                        <w:w w:val="95"/>
                        <w:sz w:val="17"/>
                      </w:rPr>
                      <w:t>la</w:t>
                    </w:r>
                    <w:r>
                      <w:rPr>
                        <w:rFonts w:ascii="Arial" w:hAnsi="Arial"/>
                        <w:color w:val="231F20"/>
                        <w:spacing w:val="-11"/>
                        <w:w w:val="95"/>
                        <w:sz w:val="17"/>
                      </w:rPr>
                      <w:t> </w:t>
                    </w:r>
                    <w:r>
                      <w:rPr>
                        <w:rFonts w:ascii="Arial" w:hAnsi="Arial"/>
                        <w:color w:val="231F20"/>
                        <w:w w:val="95"/>
                        <w:sz w:val="17"/>
                      </w:rPr>
                      <w:t>constriction</w:t>
                    </w:r>
                    <w:r>
                      <w:rPr>
                        <w:rFonts w:ascii="Arial" w:hAnsi="Arial"/>
                        <w:color w:val="231F20"/>
                        <w:spacing w:val="-11"/>
                        <w:w w:val="95"/>
                        <w:sz w:val="17"/>
                      </w:rPr>
                      <w:t> </w:t>
                    </w:r>
                    <w:r>
                      <w:rPr>
                        <w:rFonts w:ascii="Arial" w:hAnsi="Arial"/>
                        <w:color w:val="231F20"/>
                        <w:w w:val="95"/>
                        <w:sz w:val="17"/>
                      </w:rPr>
                      <w:t>des</w:t>
                    </w:r>
                    <w:r>
                      <w:rPr>
                        <w:rFonts w:ascii="Arial" w:hAnsi="Arial"/>
                        <w:color w:val="231F20"/>
                        <w:spacing w:val="-10"/>
                        <w:w w:val="95"/>
                        <w:sz w:val="17"/>
                      </w:rPr>
                      <w:t> </w:t>
                    </w:r>
                    <w:r>
                      <w:rPr>
                        <w:rFonts w:ascii="Arial" w:hAnsi="Arial"/>
                        <w:color w:val="231F20"/>
                        <w:w w:val="95"/>
                        <w:sz w:val="17"/>
                      </w:rPr>
                      <w:t>vaisseaux</w:t>
                    </w:r>
                    <w:r>
                      <w:rPr>
                        <w:rFonts w:ascii="Arial" w:hAnsi="Arial"/>
                        <w:color w:val="231F20"/>
                        <w:spacing w:val="-11"/>
                        <w:w w:val="95"/>
                        <w:sz w:val="17"/>
                      </w:rPr>
                      <w:t> </w:t>
                    </w:r>
                    <w:r>
                      <w:rPr>
                        <w:rFonts w:ascii="Arial" w:hAnsi="Arial"/>
                        <w:color w:val="231F20"/>
                        <w:w w:val="95"/>
                        <w:sz w:val="17"/>
                      </w:rPr>
                      <w:t>sanguins</w:t>
                    </w:r>
                    <w:r>
                      <w:rPr>
                        <w:rFonts w:ascii="Arial" w:hAnsi="Arial"/>
                        <w:color w:val="231F20"/>
                        <w:spacing w:val="-11"/>
                        <w:w w:val="95"/>
                        <w:sz w:val="17"/>
                      </w:rPr>
                      <w:t> </w:t>
                    </w:r>
                    <w:r>
                      <w:rPr>
                        <w:rFonts w:ascii="Arial" w:hAnsi="Arial"/>
                        <w:color w:val="231F20"/>
                        <w:w w:val="95"/>
                        <w:sz w:val="17"/>
                      </w:rPr>
                      <w:t>et</w:t>
                    </w:r>
                    <w:r>
                      <w:rPr>
                        <w:rFonts w:ascii="Arial" w:hAnsi="Arial"/>
                        <w:color w:val="231F20"/>
                        <w:spacing w:val="-10"/>
                        <w:w w:val="95"/>
                        <w:sz w:val="17"/>
                      </w:rPr>
                      <w:t> </w:t>
                    </w:r>
                    <w:r>
                      <w:rPr>
                        <w:rFonts w:ascii="Arial" w:hAnsi="Arial"/>
                        <w:color w:val="231F20"/>
                        <w:w w:val="95"/>
                        <w:sz w:val="17"/>
                      </w:rPr>
                      <w:t>la</w:t>
                    </w:r>
                    <w:r>
                      <w:rPr>
                        <w:rFonts w:ascii="Arial" w:hAnsi="Arial"/>
                        <w:color w:val="231F20"/>
                        <w:spacing w:val="-11"/>
                        <w:w w:val="95"/>
                        <w:sz w:val="17"/>
                      </w:rPr>
                      <w:t> </w:t>
                    </w:r>
                    <w:r>
                      <w:rPr>
                        <w:rFonts w:ascii="Arial" w:hAnsi="Arial"/>
                        <w:color w:val="231F20"/>
                        <w:w w:val="95"/>
                        <w:sz w:val="17"/>
                      </w:rPr>
                      <w:t>montée</w:t>
                    </w:r>
                    <w:r>
                      <w:rPr>
                        <w:rFonts w:ascii="Arial" w:hAnsi="Arial"/>
                        <w:color w:val="231F20"/>
                        <w:spacing w:val="-11"/>
                        <w:w w:val="95"/>
                        <w:sz w:val="17"/>
                      </w:rPr>
                      <w:t> </w:t>
                    </w:r>
                    <w:r>
                      <w:rPr>
                        <w:rFonts w:ascii="Arial" w:hAnsi="Arial"/>
                        <w:color w:val="231F20"/>
                        <w:w w:val="95"/>
                        <w:sz w:val="17"/>
                      </w:rPr>
                      <w:t>d’adrénaline</w:t>
                    </w:r>
                    <w:r>
                      <w:rPr>
                        <w:rFonts w:ascii="Arial" w:hAnsi="Arial"/>
                        <w:color w:val="231F20"/>
                        <w:spacing w:val="-10"/>
                        <w:w w:val="95"/>
                        <w:sz w:val="17"/>
                      </w:rPr>
                      <w:t> –</w:t>
                    </w:r>
                  </w:p>
                </w:txbxContent>
              </v:textbox>
              <w10:wrap type="none"/>
            </v:shape>
            <w10:wrap type="topAndBottom"/>
          </v:group>
        </w:pict>
      </w:r>
    </w:p>
    <w:p>
      <w:pPr>
        <w:pStyle w:val="BodyText"/>
        <w:rPr>
          <w:sz w:val="20"/>
        </w:rPr>
      </w:pPr>
    </w:p>
    <w:p>
      <w:pPr>
        <w:pStyle w:val="BodyText"/>
        <w:rPr>
          <w:sz w:val="20"/>
        </w:rPr>
      </w:pPr>
    </w:p>
    <w:p>
      <w:pPr>
        <w:pStyle w:val="BodyText"/>
        <w:spacing w:before="2"/>
        <w:rPr>
          <w:sz w:val="19"/>
        </w:rPr>
      </w:pPr>
      <w:r>
        <w:rPr/>
        <w:pict>
          <v:shape style="position:absolute;margin-left:62.5pt;margin-top:12.251853pt;width:287.5pt;height:.1pt;mso-position-horizontal-relative:page;mso-position-vertical-relative:paragraph;z-index:-15706112;mso-wrap-distance-left:0;mso-wrap-distance-right:0" id="docshape129" coordorigin="1250,245" coordsize="5750,0" path="m1250,245l7000,245e" filled="false" stroked="true" strokeweight=".25pt" strokecolor="#231f20">
            <v:path arrowok="t"/>
            <v:stroke dashstyle="shortdot"/>
            <w10:wrap type="topAndBottom"/>
          </v:shape>
        </w:pict>
      </w:r>
    </w:p>
    <w:p>
      <w:pPr>
        <w:pStyle w:val="ListParagraph"/>
        <w:numPr>
          <w:ilvl w:val="0"/>
          <w:numId w:val="18"/>
        </w:numPr>
        <w:tabs>
          <w:tab w:pos="790" w:val="left" w:leader="none"/>
        </w:tabs>
        <w:spacing w:line="240" w:lineRule="auto" w:before="135" w:after="0"/>
        <w:ind w:left="789" w:right="0" w:hanging="328"/>
        <w:jc w:val="both"/>
        <w:rPr>
          <w:rFonts w:ascii="Arial"/>
          <w:sz w:val="12"/>
        </w:rPr>
      </w:pPr>
      <w:r>
        <w:rPr>
          <w:rFonts w:ascii="Arial"/>
          <w:color w:val="231F20"/>
          <w:w w:val="95"/>
          <w:sz w:val="12"/>
        </w:rPr>
        <w:t>Voir,</w:t>
      </w:r>
      <w:r>
        <w:rPr>
          <w:rFonts w:ascii="Arial"/>
          <w:color w:val="231F20"/>
          <w:spacing w:val="5"/>
          <w:sz w:val="12"/>
        </w:rPr>
        <w:t> </w:t>
      </w:r>
      <w:r>
        <w:rPr>
          <w:rFonts w:ascii="Arial"/>
          <w:color w:val="231F20"/>
          <w:w w:val="95"/>
          <w:sz w:val="12"/>
        </w:rPr>
        <w:t>par</w:t>
      </w:r>
      <w:r>
        <w:rPr>
          <w:rFonts w:ascii="Arial"/>
          <w:color w:val="231F20"/>
          <w:spacing w:val="6"/>
          <w:sz w:val="12"/>
        </w:rPr>
        <w:t> </w:t>
      </w:r>
      <w:r>
        <w:rPr>
          <w:rFonts w:ascii="Arial"/>
          <w:color w:val="231F20"/>
          <w:w w:val="95"/>
          <w:sz w:val="12"/>
        </w:rPr>
        <w:t>exemple:</w:t>
      </w:r>
      <w:r>
        <w:rPr>
          <w:rFonts w:ascii="Arial"/>
          <w:color w:val="231F20"/>
          <w:spacing w:val="5"/>
          <w:sz w:val="12"/>
        </w:rPr>
        <w:t> </w:t>
      </w:r>
      <w:r>
        <w:rPr>
          <w:rFonts w:ascii="Arial"/>
          <w:color w:val="231F20"/>
          <w:w w:val="95"/>
          <w:sz w:val="12"/>
        </w:rPr>
        <w:t>Selye,</w:t>
      </w:r>
      <w:r>
        <w:rPr>
          <w:rFonts w:ascii="Arial"/>
          <w:color w:val="231F20"/>
          <w:spacing w:val="6"/>
          <w:sz w:val="12"/>
        </w:rPr>
        <w:t> </w:t>
      </w:r>
      <w:r>
        <w:rPr>
          <w:rFonts w:ascii="Arial"/>
          <w:color w:val="231F20"/>
          <w:w w:val="95"/>
          <w:sz w:val="12"/>
        </w:rPr>
        <w:t>H.</w:t>
      </w:r>
      <w:r>
        <w:rPr>
          <w:rFonts w:ascii="Arial"/>
          <w:color w:val="231F20"/>
          <w:spacing w:val="5"/>
          <w:sz w:val="12"/>
        </w:rPr>
        <w:t> </w:t>
      </w:r>
      <w:r>
        <w:rPr>
          <w:rFonts w:ascii="Arial"/>
          <w:color w:val="231F20"/>
          <w:w w:val="95"/>
          <w:sz w:val="12"/>
        </w:rPr>
        <w:t>(1936).</w:t>
      </w:r>
      <w:r>
        <w:rPr>
          <w:rFonts w:ascii="Arial"/>
          <w:color w:val="231F20"/>
          <w:spacing w:val="6"/>
          <w:sz w:val="12"/>
        </w:rPr>
        <w:t> </w:t>
      </w:r>
      <w:r>
        <w:rPr>
          <w:rFonts w:ascii="Arial"/>
          <w:color w:val="231F20"/>
          <w:w w:val="95"/>
          <w:sz w:val="12"/>
        </w:rPr>
        <w:t>A</w:t>
      </w:r>
      <w:r>
        <w:rPr>
          <w:rFonts w:ascii="Arial"/>
          <w:color w:val="231F20"/>
          <w:spacing w:val="5"/>
          <w:sz w:val="12"/>
        </w:rPr>
        <w:t> </w:t>
      </w:r>
      <w:r>
        <w:rPr>
          <w:rFonts w:ascii="Arial"/>
          <w:color w:val="231F20"/>
          <w:w w:val="95"/>
          <w:sz w:val="12"/>
        </w:rPr>
        <w:t>syndrome</w:t>
      </w:r>
      <w:r>
        <w:rPr>
          <w:rFonts w:ascii="Arial"/>
          <w:color w:val="231F20"/>
          <w:spacing w:val="6"/>
          <w:sz w:val="12"/>
        </w:rPr>
        <w:t> </w:t>
      </w:r>
      <w:r>
        <w:rPr>
          <w:rFonts w:ascii="Arial"/>
          <w:color w:val="231F20"/>
          <w:w w:val="95"/>
          <w:sz w:val="12"/>
        </w:rPr>
        <w:t>produced</w:t>
      </w:r>
      <w:r>
        <w:rPr>
          <w:rFonts w:ascii="Arial"/>
          <w:color w:val="231F20"/>
          <w:spacing w:val="6"/>
          <w:sz w:val="12"/>
        </w:rPr>
        <w:t> </w:t>
      </w:r>
      <w:r>
        <w:rPr>
          <w:rFonts w:ascii="Arial"/>
          <w:color w:val="231F20"/>
          <w:w w:val="95"/>
          <w:sz w:val="12"/>
        </w:rPr>
        <w:t>by</w:t>
      </w:r>
      <w:r>
        <w:rPr>
          <w:rFonts w:ascii="Arial"/>
          <w:color w:val="231F20"/>
          <w:spacing w:val="5"/>
          <w:sz w:val="12"/>
        </w:rPr>
        <w:t> </w:t>
      </w:r>
      <w:r>
        <w:rPr>
          <w:rFonts w:ascii="Arial"/>
          <w:color w:val="231F20"/>
          <w:w w:val="95"/>
          <w:sz w:val="12"/>
        </w:rPr>
        <w:t>diverse</w:t>
      </w:r>
      <w:r>
        <w:rPr>
          <w:rFonts w:ascii="Arial"/>
          <w:color w:val="231F20"/>
          <w:spacing w:val="6"/>
          <w:sz w:val="12"/>
        </w:rPr>
        <w:t> </w:t>
      </w:r>
      <w:r>
        <w:rPr>
          <w:rFonts w:ascii="Arial"/>
          <w:color w:val="231F20"/>
          <w:w w:val="95"/>
          <w:sz w:val="12"/>
        </w:rPr>
        <w:t>nocuous</w:t>
      </w:r>
      <w:r>
        <w:rPr>
          <w:rFonts w:ascii="Arial"/>
          <w:color w:val="231F20"/>
          <w:spacing w:val="5"/>
          <w:sz w:val="12"/>
        </w:rPr>
        <w:t> </w:t>
      </w:r>
      <w:r>
        <w:rPr>
          <w:rFonts w:ascii="Arial"/>
          <w:color w:val="231F20"/>
          <w:w w:val="95"/>
          <w:sz w:val="12"/>
        </w:rPr>
        <w:t>agents,</w:t>
      </w:r>
      <w:r>
        <w:rPr>
          <w:rFonts w:ascii="Arial"/>
          <w:color w:val="231F20"/>
          <w:spacing w:val="6"/>
          <w:sz w:val="12"/>
        </w:rPr>
        <w:t> </w:t>
      </w:r>
      <w:r>
        <w:rPr>
          <w:rFonts w:ascii="Arial"/>
          <w:i/>
          <w:color w:val="231F20"/>
          <w:w w:val="95"/>
          <w:sz w:val="12"/>
        </w:rPr>
        <w:t>Nature</w:t>
      </w:r>
      <w:r>
        <w:rPr>
          <w:rFonts w:ascii="Arial"/>
          <w:color w:val="231F20"/>
          <w:w w:val="95"/>
          <w:sz w:val="12"/>
        </w:rPr>
        <w:t>,</w:t>
      </w:r>
      <w:r>
        <w:rPr>
          <w:rFonts w:ascii="Arial"/>
          <w:color w:val="231F20"/>
          <w:spacing w:val="5"/>
          <w:sz w:val="12"/>
        </w:rPr>
        <w:t> </w:t>
      </w:r>
      <w:r>
        <w:rPr>
          <w:rFonts w:ascii="Arial"/>
          <w:i/>
          <w:color w:val="231F20"/>
          <w:w w:val="95"/>
          <w:sz w:val="12"/>
        </w:rPr>
        <w:t>138</w:t>
      </w:r>
      <w:r>
        <w:rPr>
          <w:rFonts w:ascii="Arial"/>
          <w:color w:val="231F20"/>
          <w:w w:val="95"/>
          <w:sz w:val="12"/>
        </w:rPr>
        <w:t>,</w:t>
      </w:r>
      <w:r>
        <w:rPr>
          <w:rFonts w:ascii="Arial"/>
          <w:color w:val="231F20"/>
          <w:spacing w:val="6"/>
          <w:sz w:val="12"/>
        </w:rPr>
        <w:t> </w:t>
      </w:r>
      <w:r>
        <w:rPr>
          <w:rFonts w:ascii="Arial"/>
          <w:color w:val="231F20"/>
          <w:w w:val="95"/>
          <w:sz w:val="12"/>
        </w:rPr>
        <w:t>32</w:t>
      </w:r>
      <w:r>
        <w:rPr>
          <w:rFonts w:ascii="Arial"/>
          <w:color w:val="231F20"/>
          <w:spacing w:val="-17"/>
          <w:w w:val="95"/>
          <w:sz w:val="12"/>
        </w:rPr>
        <w:t> </w:t>
      </w:r>
      <w:r>
        <w:rPr>
          <w:rFonts w:ascii="Arial"/>
          <w:color w:val="231F20"/>
          <w:w w:val="95"/>
          <w:sz w:val="12"/>
        </w:rPr>
        <w:t>;</w:t>
      </w:r>
      <w:r>
        <w:rPr>
          <w:rFonts w:ascii="Arial"/>
          <w:color w:val="231F20"/>
          <w:spacing w:val="6"/>
          <w:sz w:val="12"/>
        </w:rPr>
        <w:t> </w:t>
      </w:r>
      <w:r>
        <w:rPr>
          <w:rFonts w:ascii="Arial"/>
          <w:color w:val="231F20"/>
          <w:spacing w:val="-2"/>
          <w:w w:val="95"/>
          <w:sz w:val="12"/>
        </w:rPr>
        <w:t>Selye,</w:t>
      </w:r>
    </w:p>
    <w:p>
      <w:pPr>
        <w:spacing w:line="295" w:lineRule="auto" w:before="32"/>
        <w:ind w:left="789" w:right="637" w:firstLine="0"/>
        <w:jc w:val="both"/>
        <w:rPr>
          <w:rFonts w:ascii="Arial" w:hAnsi="Arial"/>
          <w:sz w:val="12"/>
        </w:rPr>
      </w:pPr>
      <w:r>
        <w:rPr>
          <w:rFonts w:ascii="Arial" w:hAnsi="Arial"/>
          <w:color w:val="231F20"/>
          <w:w w:val="95"/>
          <w:sz w:val="12"/>
        </w:rPr>
        <w:t>H. (1952). </w:t>
      </w:r>
      <w:r>
        <w:rPr>
          <w:rFonts w:ascii="Arial" w:hAnsi="Arial"/>
          <w:i/>
          <w:color w:val="231F20"/>
          <w:w w:val="95"/>
          <w:sz w:val="12"/>
        </w:rPr>
        <w:t>The Story of the Adaptation Syndrome</w:t>
      </w:r>
      <w:r>
        <w:rPr>
          <w:rFonts w:ascii="Arial" w:hAnsi="Arial"/>
          <w:color w:val="231F20"/>
          <w:w w:val="95"/>
          <w:sz w:val="12"/>
        </w:rPr>
        <w:t>, Montréal, Acta Inc. Med. Pub.; Selye, H. (1976). </w:t>
      </w:r>
      <w:r>
        <w:rPr>
          <w:rFonts w:ascii="Arial" w:hAnsi="Arial"/>
          <w:i/>
          <w:color w:val="231F20"/>
          <w:w w:val="95"/>
          <w:sz w:val="12"/>
        </w:rPr>
        <w:t>Le stress de</w:t>
      </w:r>
      <w:r>
        <w:rPr>
          <w:rFonts w:ascii="Arial" w:hAnsi="Arial"/>
          <w:i/>
          <w:color w:val="231F20"/>
          <w:spacing w:val="40"/>
          <w:sz w:val="12"/>
        </w:rPr>
        <w:t> </w:t>
      </w:r>
      <w:r>
        <w:rPr>
          <w:rFonts w:ascii="Arial" w:hAnsi="Arial"/>
          <w:i/>
          <w:color w:val="231F20"/>
          <w:w w:val="95"/>
          <w:sz w:val="12"/>
        </w:rPr>
        <w:t>ma</w:t>
      </w:r>
      <w:r>
        <w:rPr>
          <w:rFonts w:ascii="Arial" w:hAnsi="Arial"/>
          <w:i/>
          <w:color w:val="231F20"/>
          <w:spacing w:val="-7"/>
          <w:w w:val="95"/>
          <w:sz w:val="12"/>
        </w:rPr>
        <w:t> </w:t>
      </w:r>
      <w:r>
        <w:rPr>
          <w:rFonts w:ascii="Arial" w:hAnsi="Arial"/>
          <w:i/>
          <w:color w:val="231F20"/>
          <w:w w:val="95"/>
          <w:sz w:val="12"/>
        </w:rPr>
        <w:t>vie</w:t>
      </w:r>
      <w:r>
        <w:rPr>
          <w:rFonts w:ascii="Arial" w:hAnsi="Arial"/>
          <w:color w:val="231F20"/>
          <w:w w:val="95"/>
          <w:sz w:val="12"/>
        </w:rPr>
        <w:t>,</w:t>
      </w:r>
      <w:r>
        <w:rPr>
          <w:rFonts w:ascii="Arial" w:hAnsi="Arial"/>
          <w:color w:val="231F20"/>
          <w:spacing w:val="-7"/>
          <w:w w:val="95"/>
          <w:sz w:val="12"/>
        </w:rPr>
        <w:t> </w:t>
      </w:r>
      <w:r>
        <w:rPr>
          <w:rFonts w:ascii="Arial" w:hAnsi="Arial"/>
          <w:color w:val="231F20"/>
          <w:w w:val="95"/>
          <w:sz w:val="12"/>
        </w:rPr>
        <w:t>Montréal,</w:t>
      </w:r>
      <w:r>
        <w:rPr>
          <w:rFonts w:ascii="Arial" w:hAnsi="Arial"/>
          <w:color w:val="231F20"/>
          <w:spacing w:val="-6"/>
          <w:w w:val="95"/>
          <w:sz w:val="12"/>
        </w:rPr>
        <w:t> </w:t>
      </w:r>
      <w:r>
        <w:rPr>
          <w:rFonts w:ascii="Arial" w:hAnsi="Arial"/>
          <w:color w:val="231F20"/>
          <w:w w:val="95"/>
          <w:sz w:val="12"/>
        </w:rPr>
        <w:t>Stanké</w:t>
      </w:r>
      <w:r>
        <w:rPr>
          <w:rFonts w:ascii="Arial" w:hAnsi="Arial"/>
          <w:color w:val="231F20"/>
          <w:spacing w:val="-7"/>
          <w:w w:val="95"/>
          <w:sz w:val="12"/>
        </w:rPr>
        <w:t> </w:t>
      </w:r>
      <w:r>
        <w:rPr>
          <w:rFonts w:ascii="Arial" w:hAnsi="Arial"/>
          <w:color w:val="231F20"/>
          <w:w w:val="95"/>
          <w:sz w:val="12"/>
        </w:rPr>
        <w:t>;</w:t>
      </w:r>
      <w:r>
        <w:rPr>
          <w:rFonts w:ascii="Arial" w:hAnsi="Arial"/>
          <w:color w:val="231F20"/>
          <w:spacing w:val="-7"/>
          <w:w w:val="95"/>
          <w:sz w:val="12"/>
        </w:rPr>
        <w:t> </w:t>
      </w:r>
      <w:r>
        <w:rPr>
          <w:rFonts w:ascii="Arial" w:hAnsi="Arial"/>
          <w:color w:val="231F20"/>
          <w:w w:val="95"/>
          <w:sz w:val="12"/>
        </w:rPr>
        <w:t>Selye,</w:t>
      </w:r>
      <w:r>
        <w:rPr>
          <w:rFonts w:ascii="Arial" w:hAnsi="Arial"/>
          <w:color w:val="231F20"/>
          <w:spacing w:val="-2"/>
          <w:w w:val="95"/>
          <w:sz w:val="12"/>
        </w:rPr>
        <w:t> </w:t>
      </w:r>
      <w:r>
        <w:rPr>
          <w:rFonts w:ascii="Arial" w:hAnsi="Arial"/>
          <w:color w:val="231F20"/>
          <w:w w:val="95"/>
          <w:sz w:val="12"/>
        </w:rPr>
        <w:t>H.</w:t>
      </w:r>
      <w:r>
        <w:rPr>
          <w:rFonts w:ascii="Arial" w:hAnsi="Arial"/>
          <w:color w:val="231F20"/>
          <w:spacing w:val="-1"/>
          <w:w w:val="95"/>
          <w:sz w:val="12"/>
        </w:rPr>
        <w:t> </w:t>
      </w:r>
      <w:r>
        <w:rPr>
          <w:rFonts w:ascii="Arial" w:hAnsi="Arial"/>
          <w:color w:val="231F20"/>
          <w:w w:val="95"/>
          <w:sz w:val="12"/>
        </w:rPr>
        <w:t>(1955).</w:t>
      </w:r>
      <w:r>
        <w:rPr>
          <w:rFonts w:ascii="Arial" w:hAnsi="Arial"/>
          <w:color w:val="231F20"/>
          <w:spacing w:val="-1"/>
          <w:w w:val="95"/>
          <w:sz w:val="12"/>
        </w:rPr>
        <w:t> </w:t>
      </w:r>
      <w:r>
        <w:rPr>
          <w:rFonts w:ascii="Arial" w:hAnsi="Arial"/>
          <w:color w:val="231F20"/>
          <w:w w:val="95"/>
          <w:sz w:val="12"/>
        </w:rPr>
        <w:t>Stress</w:t>
      </w:r>
      <w:r>
        <w:rPr>
          <w:rFonts w:ascii="Arial" w:hAnsi="Arial"/>
          <w:color w:val="231F20"/>
          <w:spacing w:val="-1"/>
          <w:w w:val="95"/>
          <w:sz w:val="12"/>
        </w:rPr>
        <w:t> </w:t>
      </w:r>
      <w:r>
        <w:rPr>
          <w:rFonts w:ascii="Arial" w:hAnsi="Arial"/>
          <w:color w:val="231F20"/>
          <w:w w:val="95"/>
          <w:sz w:val="12"/>
        </w:rPr>
        <w:t>and</w:t>
      </w:r>
      <w:r>
        <w:rPr>
          <w:rFonts w:ascii="Arial" w:hAnsi="Arial"/>
          <w:color w:val="231F20"/>
          <w:spacing w:val="-1"/>
          <w:w w:val="95"/>
          <w:sz w:val="12"/>
        </w:rPr>
        <w:t> </w:t>
      </w:r>
      <w:r>
        <w:rPr>
          <w:rFonts w:ascii="Arial" w:hAnsi="Arial"/>
          <w:color w:val="231F20"/>
          <w:w w:val="95"/>
          <w:sz w:val="12"/>
        </w:rPr>
        <w:t>disease,</w:t>
      </w:r>
      <w:r>
        <w:rPr>
          <w:rFonts w:ascii="Arial" w:hAnsi="Arial"/>
          <w:color w:val="231F20"/>
          <w:spacing w:val="-1"/>
          <w:w w:val="95"/>
          <w:sz w:val="12"/>
        </w:rPr>
        <w:t> </w:t>
      </w:r>
      <w:r>
        <w:rPr>
          <w:rFonts w:ascii="Arial" w:hAnsi="Arial"/>
          <w:i/>
          <w:color w:val="231F20"/>
          <w:w w:val="95"/>
          <w:sz w:val="12"/>
        </w:rPr>
        <w:t>Science</w:t>
      </w:r>
      <w:r>
        <w:rPr>
          <w:rFonts w:ascii="Arial" w:hAnsi="Arial"/>
          <w:color w:val="231F20"/>
          <w:w w:val="95"/>
          <w:sz w:val="12"/>
        </w:rPr>
        <w:t>,</w:t>
      </w:r>
      <w:r>
        <w:rPr>
          <w:rFonts w:ascii="Arial" w:hAnsi="Arial"/>
          <w:color w:val="231F20"/>
          <w:spacing w:val="-1"/>
          <w:w w:val="95"/>
          <w:sz w:val="12"/>
        </w:rPr>
        <w:t> </w:t>
      </w:r>
      <w:r>
        <w:rPr>
          <w:rFonts w:ascii="Arial" w:hAnsi="Arial"/>
          <w:i/>
          <w:color w:val="231F20"/>
          <w:w w:val="95"/>
          <w:sz w:val="12"/>
        </w:rPr>
        <w:t>122</w:t>
      </w:r>
      <w:r>
        <w:rPr>
          <w:rFonts w:ascii="Arial" w:hAnsi="Arial"/>
          <w:color w:val="231F20"/>
          <w:w w:val="95"/>
          <w:sz w:val="12"/>
        </w:rPr>
        <w:t>,</w:t>
      </w:r>
      <w:r>
        <w:rPr>
          <w:rFonts w:ascii="Arial" w:hAnsi="Arial"/>
          <w:color w:val="231F20"/>
          <w:spacing w:val="-1"/>
          <w:w w:val="95"/>
          <w:sz w:val="12"/>
        </w:rPr>
        <w:t> </w:t>
      </w:r>
      <w:r>
        <w:rPr>
          <w:rFonts w:ascii="Arial" w:hAnsi="Arial"/>
          <w:color w:val="231F20"/>
          <w:w w:val="95"/>
          <w:sz w:val="12"/>
        </w:rPr>
        <w:t>625</w:t>
      </w:r>
      <w:r>
        <w:rPr>
          <w:rFonts w:ascii="Arial" w:hAnsi="Arial"/>
          <w:color w:val="231F20"/>
          <w:spacing w:val="-7"/>
          <w:w w:val="95"/>
          <w:sz w:val="12"/>
        </w:rPr>
        <w:t> </w:t>
      </w:r>
      <w:r>
        <w:rPr>
          <w:rFonts w:ascii="Arial" w:hAnsi="Arial"/>
          <w:color w:val="231F20"/>
          <w:w w:val="95"/>
          <w:sz w:val="12"/>
        </w:rPr>
        <w:t>;</w:t>
      </w:r>
      <w:r>
        <w:rPr>
          <w:rFonts w:ascii="Arial" w:hAnsi="Arial"/>
          <w:color w:val="231F20"/>
          <w:spacing w:val="-1"/>
          <w:w w:val="95"/>
          <w:sz w:val="12"/>
        </w:rPr>
        <w:t> </w:t>
      </w:r>
      <w:r>
        <w:rPr>
          <w:rFonts w:ascii="Arial" w:hAnsi="Arial"/>
          <w:color w:val="231F20"/>
          <w:w w:val="95"/>
          <w:sz w:val="12"/>
        </w:rPr>
        <w:t>Selye,</w:t>
      </w:r>
      <w:r>
        <w:rPr>
          <w:rFonts w:ascii="Arial" w:hAnsi="Arial"/>
          <w:color w:val="231F20"/>
          <w:spacing w:val="-1"/>
          <w:w w:val="95"/>
          <w:sz w:val="12"/>
        </w:rPr>
        <w:t> </w:t>
      </w:r>
      <w:r>
        <w:rPr>
          <w:rFonts w:ascii="Arial" w:hAnsi="Arial"/>
          <w:color w:val="231F20"/>
          <w:w w:val="95"/>
          <w:sz w:val="12"/>
        </w:rPr>
        <w:t>H.</w:t>
      </w:r>
      <w:r>
        <w:rPr>
          <w:rFonts w:ascii="Arial" w:hAnsi="Arial"/>
          <w:color w:val="231F20"/>
          <w:spacing w:val="-1"/>
          <w:w w:val="95"/>
          <w:sz w:val="12"/>
        </w:rPr>
        <w:t> </w:t>
      </w:r>
      <w:r>
        <w:rPr>
          <w:rFonts w:ascii="Arial" w:hAnsi="Arial"/>
          <w:color w:val="231F20"/>
          <w:w w:val="95"/>
          <w:sz w:val="12"/>
        </w:rPr>
        <w:t>(1974).</w:t>
      </w:r>
      <w:r>
        <w:rPr>
          <w:rFonts w:ascii="Arial" w:hAnsi="Arial"/>
          <w:color w:val="231F20"/>
          <w:spacing w:val="-1"/>
          <w:w w:val="95"/>
          <w:sz w:val="12"/>
        </w:rPr>
        <w:t> </w:t>
      </w:r>
      <w:r>
        <w:rPr>
          <w:rFonts w:ascii="Arial" w:hAnsi="Arial"/>
          <w:i/>
          <w:color w:val="231F20"/>
          <w:w w:val="95"/>
          <w:sz w:val="12"/>
        </w:rPr>
        <w:t>Stress</w:t>
      </w:r>
      <w:r>
        <w:rPr>
          <w:rFonts w:ascii="Arial" w:hAnsi="Arial"/>
          <w:i/>
          <w:color w:val="231F20"/>
          <w:spacing w:val="-1"/>
          <w:w w:val="95"/>
          <w:sz w:val="12"/>
        </w:rPr>
        <w:t> </w:t>
      </w:r>
      <w:r>
        <w:rPr>
          <w:rFonts w:ascii="Arial" w:hAnsi="Arial"/>
          <w:i/>
          <w:color w:val="231F20"/>
          <w:w w:val="95"/>
          <w:sz w:val="12"/>
        </w:rPr>
        <w:t>sans</w:t>
      </w:r>
      <w:r>
        <w:rPr>
          <w:rFonts w:ascii="Arial" w:hAnsi="Arial"/>
          <w:i/>
          <w:color w:val="231F20"/>
          <w:spacing w:val="40"/>
          <w:sz w:val="12"/>
        </w:rPr>
        <w:t> </w:t>
      </w:r>
      <w:r>
        <w:rPr>
          <w:rFonts w:ascii="Arial" w:hAnsi="Arial"/>
          <w:i/>
          <w:color w:val="231F20"/>
          <w:sz w:val="12"/>
        </w:rPr>
        <w:t>détresse</w:t>
      </w:r>
      <w:r>
        <w:rPr>
          <w:rFonts w:ascii="Arial" w:hAnsi="Arial"/>
          <w:color w:val="231F20"/>
          <w:sz w:val="12"/>
        </w:rPr>
        <w:t>, Montréal, La Presse.</w:t>
      </w:r>
    </w:p>
    <w:p>
      <w:pPr>
        <w:spacing w:after="0" w:line="295" w:lineRule="auto"/>
        <w:jc w:val="both"/>
        <w:rPr>
          <w:rFonts w:ascii="Arial" w:hAnsi="Arial"/>
          <w:sz w:val="12"/>
        </w:rPr>
        <w:sectPr>
          <w:footerReference w:type="default" r:id="rId62"/>
          <w:pgSz w:w="8640" w:h="12960"/>
          <w:pgMar w:footer="424" w:header="0" w:top="520" w:bottom="620" w:left="460" w:right="1000"/>
        </w:sectPr>
      </w:pPr>
    </w:p>
    <w:p>
      <w:pPr>
        <w:spacing w:before="118"/>
        <w:ind w:left="235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spacing w:before="8"/>
        <w:rPr>
          <w:rFonts w:ascii="Arial"/>
          <w:sz w:val="29"/>
        </w:rPr>
      </w:pPr>
      <w:r>
        <w:rPr/>
        <w:pict>
          <v:group style="position:absolute;margin-left:82pt;margin-top:18.301661pt;width:287.5pt;height:223.25pt;mso-position-horizontal-relative:page;mso-position-vertical-relative:paragraph;z-index:-15705600;mso-wrap-distance-left:0;mso-wrap-distance-right:0" id="docshapegroup131" coordorigin="1640,366" coordsize="5750,4465">
            <v:shape style="position:absolute;left:1640;top:366;width:5750;height:4465" id="docshape132" coordorigin="1640,366" coordsize="5750,4465" path="m7390,366l1640,366,1640,1446,1640,1741,1640,3991,1640,4071,1640,4831,7390,4831,7390,4071,7390,3991,7390,1741,7390,1446,7390,366xe" filled="true" fillcolor="#e2e3e4" stroked="false">
              <v:path arrowok="t"/>
              <v:fill type="solid"/>
            </v:shape>
            <v:line style="position:absolute" from="1890,3989" to="7140,3989" stroked="true" strokeweight=".25pt" strokecolor="#231f20">
              <v:stroke dashstyle="shortdot"/>
            </v:line>
            <v:shape style="position:absolute;left:1640;top:366;width:5750;height:4465" type="#_x0000_t202" id="docshape133" filled="false" stroked="false">
              <v:textbox inset="0,0,0,0">
                <w:txbxContent>
                  <w:p>
                    <w:pPr>
                      <w:spacing w:line="307" w:lineRule="auto" w:before="215"/>
                      <w:ind w:left="249" w:right="246" w:firstLine="0"/>
                      <w:jc w:val="both"/>
                      <w:rPr>
                        <w:rFonts w:ascii="Arial" w:hAnsi="Arial"/>
                        <w:sz w:val="17"/>
                      </w:rPr>
                    </w:pPr>
                    <w:r>
                      <w:rPr>
                        <w:rFonts w:ascii="Arial" w:hAnsi="Arial"/>
                        <w:color w:val="231F20"/>
                        <w:sz w:val="17"/>
                      </w:rPr>
                      <w:t>[s’]assurent que le corps [peut] réagir à la situation. S’ils persistent</w:t>
                    </w:r>
                    <w:r>
                      <w:rPr>
                        <w:rFonts w:ascii="Arial" w:hAnsi="Arial"/>
                        <w:color w:val="231F20"/>
                        <w:spacing w:val="40"/>
                        <w:sz w:val="17"/>
                      </w:rPr>
                      <w:t> </w:t>
                    </w:r>
                    <w:r>
                      <w:rPr>
                        <w:rFonts w:ascii="Arial" w:hAnsi="Arial"/>
                        <w:color w:val="231F20"/>
                        <w:sz w:val="17"/>
                      </w:rPr>
                      <w:t>au-delà</w:t>
                    </w:r>
                    <w:r>
                      <w:rPr>
                        <w:rFonts w:ascii="Arial" w:hAnsi="Arial"/>
                        <w:color w:val="231F20"/>
                        <w:spacing w:val="-12"/>
                        <w:sz w:val="17"/>
                      </w:rPr>
                      <w:t> </w:t>
                    </w:r>
                    <w:r>
                      <w:rPr>
                        <w:rFonts w:ascii="Arial" w:hAnsi="Arial"/>
                        <w:color w:val="231F20"/>
                        <w:sz w:val="17"/>
                      </w:rPr>
                      <w:t>du</w:t>
                    </w:r>
                    <w:r>
                      <w:rPr>
                        <w:rFonts w:ascii="Arial" w:hAnsi="Arial"/>
                        <w:color w:val="231F20"/>
                        <w:spacing w:val="-7"/>
                        <w:sz w:val="17"/>
                      </w:rPr>
                      <w:t> </w:t>
                    </w:r>
                    <w:r>
                      <w:rPr>
                        <w:rFonts w:ascii="Arial" w:hAnsi="Arial"/>
                        <w:color w:val="231F20"/>
                        <w:sz w:val="17"/>
                      </w:rPr>
                      <w:t>temps nécessaire pour «</w:t>
                    </w:r>
                    <w:r>
                      <w:rPr>
                        <w:rFonts w:ascii="Arial" w:hAnsi="Arial"/>
                        <w:color w:val="231F20"/>
                        <w:spacing w:val="-12"/>
                        <w:sz w:val="17"/>
                      </w:rPr>
                      <w:t> </w:t>
                    </w:r>
                    <w:r>
                      <w:rPr>
                        <w:rFonts w:ascii="Arial" w:hAnsi="Arial"/>
                        <w:color w:val="231F20"/>
                        <w:sz w:val="17"/>
                      </w:rPr>
                      <w:t>fuir le tigre ou l’assommer</w:t>
                    </w:r>
                    <w:r>
                      <w:rPr>
                        <w:rFonts w:ascii="Arial" w:hAnsi="Arial"/>
                        <w:color w:val="231F20"/>
                        <w:spacing w:val="-12"/>
                        <w:sz w:val="17"/>
                      </w:rPr>
                      <w:t> </w:t>
                    </w:r>
                    <w:r>
                      <w:rPr>
                        <w:rFonts w:ascii="Arial" w:hAnsi="Arial"/>
                        <w:color w:val="231F20"/>
                        <w:sz w:val="17"/>
                      </w:rPr>
                      <w:t>», ces </w:t>
                    </w:r>
                    <w:r>
                      <w:rPr>
                        <w:rFonts w:ascii="Arial" w:hAnsi="Arial"/>
                        <w:color w:val="231F20"/>
                        <w:w w:val="95"/>
                        <w:sz w:val="17"/>
                      </w:rPr>
                      <w:t>mécanismes</w:t>
                    </w:r>
                    <w:r>
                      <w:rPr>
                        <w:rFonts w:ascii="Arial" w:hAnsi="Arial"/>
                        <w:color w:val="231F20"/>
                        <w:spacing w:val="-4"/>
                        <w:w w:val="95"/>
                        <w:sz w:val="17"/>
                      </w:rPr>
                      <w:t> </w:t>
                    </w:r>
                    <w:r>
                      <w:rPr>
                        <w:rFonts w:ascii="Arial" w:hAnsi="Arial"/>
                        <w:color w:val="231F20"/>
                        <w:w w:val="95"/>
                        <w:sz w:val="17"/>
                      </w:rPr>
                      <w:t>donnent lieu à des malaises physiques et psychologiques</w:t>
                    </w:r>
                    <w:r>
                      <w:rPr>
                        <w:rFonts w:ascii="Arial" w:hAnsi="Arial"/>
                        <w:color w:val="231F20"/>
                        <w:spacing w:val="-10"/>
                        <w:w w:val="95"/>
                        <w:sz w:val="17"/>
                      </w:rPr>
                      <w:t> </w:t>
                    </w:r>
                    <w:r>
                      <w:rPr>
                        <w:rFonts w:ascii="Arial" w:hAnsi="Arial"/>
                        <w:color w:val="231F20"/>
                        <w:w w:val="95"/>
                        <w:sz w:val="17"/>
                      </w:rPr>
                      <w:t>: </w:t>
                    </w:r>
                    <w:r>
                      <w:rPr>
                        <w:rFonts w:ascii="Arial" w:hAnsi="Arial"/>
                        <w:color w:val="231F20"/>
                        <w:sz w:val="17"/>
                      </w:rPr>
                      <w:t>les symptômes de stress.</w:t>
                    </w:r>
                  </w:p>
                  <w:p>
                    <w:pPr>
                      <w:spacing w:line="307" w:lineRule="auto" w:before="80"/>
                      <w:ind w:left="249" w:right="245" w:firstLine="0"/>
                      <w:jc w:val="both"/>
                      <w:rPr>
                        <w:rFonts w:ascii="Arial" w:hAnsi="Arial"/>
                        <w:sz w:val="17"/>
                      </w:rPr>
                    </w:pPr>
                    <w:r>
                      <w:rPr>
                        <w:rFonts w:ascii="Arial" w:hAnsi="Arial"/>
                        <w:color w:val="231F20"/>
                        <w:sz w:val="17"/>
                      </w:rPr>
                      <w:t>L’</w:t>
                    </w:r>
                    <w:r>
                      <w:rPr>
                        <w:rFonts w:ascii="Arial" w:hAnsi="Arial"/>
                        <w:b/>
                        <w:color w:val="231F20"/>
                        <w:sz w:val="17"/>
                      </w:rPr>
                      <w:t>attitude</w:t>
                    </w:r>
                    <w:r>
                      <w:rPr>
                        <w:rFonts w:ascii="Arial" w:hAnsi="Arial"/>
                        <w:color w:val="231F20"/>
                        <w:sz w:val="17"/>
                      </w:rPr>
                      <w:t>. L’intensité de la réaction de stress dépend du message </w:t>
                    </w:r>
                    <w:r>
                      <w:rPr>
                        <w:rFonts w:ascii="Arial" w:hAnsi="Arial"/>
                        <w:color w:val="231F20"/>
                        <w:spacing w:val="-2"/>
                        <w:sz w:val="17"/>
                      </w:rPr>
                      <w:t>envoyé</w:t>
                    </w:r>
                    <w:r>
                      <w:rPr>
                        <w:rFonts w:ascii="Arial" w:hAnsi="Arial"/>
                        <w:color w:val="231F20"/>
                        <w:spacing w:val="-9"/>
                        <w:sz w:val="17"/>
                      </w:rPr>
                      <w:t> </w:t>
                    </w:r>
                    <w:r>
                      <w:rPr>
                        <w:rFonts w:ascii="Arial" w:hAnsi="Arial"/>
                        <w:color w:val="231F20"/>
                        <w:spacing w:val="-2"/>
                        <w:sz w:val="17"/>
                      </w:rPr>
                      <w:t>par</w:t>
                    </w:r>
                    <w:r>
                      <w:rPr>
                        <w:rFonts w:ascii="Arial" w:hAnsi="Arial"/>
                        <w:color w:val="231F20"/>
                        <w:spacing w:val="-9"/>
                        <w:sz w:val="17"/>
                      </w:rPr>
                      <w:t> </w:t>
                    </w:r>
                    <w:r>
                      <w:rPr>
                        <w:rFonts w:ascii="Arial" w:hAnsi="Arial"/>
                        <w:color w:val="231F20"/>
                        <w:spacing w:val="-2"/>
                        <w:sz w:val="17"/>
                      </w:rPr>
                      <w:t>le</w:t>
                    </w:r>
                    <w:r>
                      <w:rPr>
                        <w:rFonts w:ascii="Arial" w:hAnsi="Arial"/>
                        <w:color w:val="231F20"/>
                        <w:spacing w:val="-9"/>
                        <w:sz w:val="17"/>
                      </w:rPr>
                      <w:t> </w:t>
                    </w:r>
                    <w:r>
                      <w:rPr>
                        <w:rFonts w:ascii="Arial" w:hAnsi="Arial"/>
                        <w:color w:val="231F20"/>
                        <w:spacing w:val="-2"/>
                        <w:sz w:val="17"/>
                      </w:rPr>
                      <w:t>cerveau</w:t>
                    </w:r>
                    <w:r>
                      <w:rPr>
                        <w:rFonts w:ascii="Arial" w:hAnsi="Arial"/>
                        <w:color w:val="231F20"/>
                        <w:spacing w:val="-9"/>
                        <w:sz w:val="17"/>
                      </w:rPr>
                      <w:t> </w:t>
                    </w:r>
                    <w:r>
                      <w:rPr>
                        <w:rFonts w:ascii="Arial" w:hAnsi="Arial"/>
                        <w:color w:val="231F20"/>
                        <w:spacing w:val="-2"/>
                        <w:sz w:val="17"/>
                      </w:rPr>
                      <w:t>aux</w:t>
                    </w:r>
                    <w:r>
                      <w:rPr>
                        <w:rFonts w:ascii="Arial" w:hAnsi="Arial"/>
                        <w:color w:val="231F20"/>
                        <w:spacing w:val="-9"/>
                        <w:sz w:val="17"/>
                      </w:rPr>
                      <w:t> </w:t>
                    </w:r>
                    <w:r>
                      <w:rPr>
                        <w:rFonts w:ascii="Arial" w:hAnsi="Arial"/>
                        <w:color w:val="231F20"/>
                        <w:spacing w:val="-2"/>
                        <w:sz w:val="17"/>
                      </w:rPr>
                      <w:t>glandes</w:t>
                    </w:r>
                    <w:r>
                      <w:rPr>
                        <w:rFonts w:ascii="Arial" w:hAnsi="Arial"/>
                        <w:color w:val="231F20"/>
                        <w:spacing w:val="-9"/>
                        <w:sz w:val="17"/>
                      </w:rPr>
                      <w:t> </w:t>
                    </w:r>
                    <w:r>
                      <w:rPr>
                        <w:rFonts w:ascii="Arial" w:hAnsi="Arial"/>
                        <w:color w:val="231F20"/>
                        <w:spacing w:val="-2"/>
                        <w:sz w:val="17"/>
                      </w:rPr>
                      <w:t>endocrines,</w:t>
                    </w:r>
                    <w:r>
                      <w:rPr>
                        <w:rFonts w:ascii="Arial" w:hAnsi="Arial"/>
                        <w:color w:val="231F20"/>
                        <w:spacing w:val="-9"/>
                        <w:sz w:val="17"/>
                      </w:rPr>
                      <w:t> </w:t>
                    </w:r>
                    <w:r>
                      <w:rPr>
                        <w:rFonts w:ascii="Arial" w:hAnsi="Arial"/>
                        <w:color w:val="231F20"/>
                        <w:spacing w:val="-2"/>
                        <w:sz w:val="17"/>
                      </w:rPr>
                      <w:t>et</w:t>
                    </w:r>
                    <w:r>
                      <w:rPr>
                        <w:rFonts w:ascii="Arial" w:hAnsi="Arial"/>
                        <w:color w:val="231F20"/>
                        <w:spacing w:val="-9"/>
                        <w:sz w:val="17"/>
                      </w:rPr>
                      <w:t> </w:t>
                    </w:r>
                    <w:r>
                      <w:rPr>
                        <w:rFonts w:ascii="Arial" w:hAnsi="Arial"/>
                        <w:color w:val="231F20"/>
                        <w:spacing w:val="-2"/>
                        <w:sz w:val="17"/>
                      </w:rPr>
                      <w:t>donc</w:t>
                    </w:r>
                    <w:r>
                      <w:rPr>
                        <w:rFonts w:ascii="Arial" w:hAnsi="Arial"/>
                        <w:color w:val="231F20"/>
                        <w:spacing w:val="-9"/>
                        <w:sz w:val="17"/>
                      </w:rPr>
                      <w:t> </w:t>
                    </w:r>
                    <w:r>
                      <w:rPr>
                        <w:rFonts w:ascii="Arial" w:hAnsi="Arial"/>
                        <w:color w:val="231F20"/>
                        <w:spacing w:val="-2"/>
                        <w:sz w:val="17"/>
                      </w:rPr>
                      <w:t>de</w:t>
                    </w:r>
                    <w:r>
                      <w:rPr>
                        <w:rFonts w:ascii="Arial" w:hAnsi="Arial"/>
                        <w:color w:val="231F20"/>
                        <w:spacing w:val="-9"/>
                        <w:sz w:val="17"/>
                      </w:rPr>
                      <w:t> </w:t>
                    </w:r>
                    <w:r>
                      <w:rPr>
                        <w:rFonts w:ascii="Arial" w:hAnsi="Arial"/>
                        <w:color w:val="231F20"/>
                        <w:spacing w:val="-2"/>
                        <w:sz w:val="17"/>
                      </w:rPr>
                      <w:t>la</w:t>
                    </w:r>
                    <w:r>
                      <w:rPr>
                        <w:rFonts w:ascii="Arial" w:hAnsi="Arial"/>
                        <w:color w:val="231F20"/>
                        <w:spacing w:val="-9"/>
                        <w:sz w:val="17"/>
                      </w:rPr>
                      <w:t> </w:t>
                    </w:r>
                    <w:r>
                      <w:rPr>
                        <w:rFonts w:ascii="Arial" w:hAnsi="Arial"/>
                        <w:color w:val="231F20"/>
                        <w:spacing w:val="-2"/>
                        <w:sz w:val="17"/>
                      </w:rPr>
                      <w:t>perception </w:t>
                    </w:r>
                    <w:r>
                      <w:rPr>
                        <w:rFonts w:ascii="Arial" w:hAnsi="Arial"/>
                        <w:color w:val="231F20"/>
                        <w:sz w:val="17"/>
                      </w:rPr>
                      <w:t>qu’a</w:t>
                    </w:r>
                    <w:r>
                      <w:rPr>
                        <w:rFonts w:ascii="Arial" w:hAnsi="Arial"/>
                        <w:color w:val="231F20"/>
                        <w:spacing w:val="-1"/>
                        <w:sz w:val="17"/>
                      </w:rPr>
                      <w:t> </w:t>
                    </w:r>
                    <w:r>
                      <w:rPr>
                        <w:rFonts w:ascii="Arial" w:hAnsi="Arial"/>
                        <w:color w:val="231F20"/>
                        <w:sz w:val="17"/>
                      </w:rPr>
                      <w:t>l’esprit</w:t>
                    </w:r>
                    <w:r>
                      <w:rPr>
                        <w:rFonts w:ascii="Arial" w:hAnsi="Arial"/>
                        <w:color w:val="231F20"/>
                        <w:spacing w:val="-1"/>
                        <w:sz w:val="17"/>
                      </w:rPr>
                      <w:t> </w:t>
                    </w:r>
                    <w:r>
                      <w:rPr>
                        <w:rFonts w:ascii="Arial" w:hAnsi="Arial"/>
                        <w:color w:val="231F20"/>
                        <w:sz w:val="17"/>
                      </w:rPr>
                      <w:t>du</w:t>
                    </w:r>
                    <w:r>
                      <w:rPr>
                        <w:rFonts w:ascii="Arial" w:hAnsi="Arial"/>
                        <w:color w:val="231F20"/>
                        <w:spacing w:val="-1"/>
                        <w:sz w:val="17"/>
                      </w:rPr>
                      <w:t> </w:t>
                    </w:r>
                    <w:r>
                      <w:rPr>
                        <w:rFonts w:ascii="Arial" w:hAnsi="Arial"/>
                        <w:color w:val="231F20"/>
                        <w:sz w:val="17"/>
                      </w:rPr>
                      <w:t>stimulus</w:t>
                    </w:r>
                    <w:r>
                      <w:rPr>
                        <w:rFonts w:ascii="Arial" w:hAnsi="Arial"/>
                        <w:color w:val="231F20"/>
                        <w:spacing w:val="-1"/>
                        <w:sz w:val="17"/>
                      </w:rPr>
                      <w:t> </w:t>
                    </w:r>
                    <w:r>
                      <w:rPr>
                        <w:rFonts w:ascii="Arial" w:hAnsi="Arial"/>
                        <w:color w:val="231F20"/>
                        <w:sz w:val="17"/>
                      </w:rPr>
                      <w:t>en</w:t>
                    </w:r>
                    <w:r>
                      <w:rPr>
                        <w:rFonts w:ascii="Arial" w:hAnsi="Arial"/>
                        <w:color w:val="231F20"/>
                        <w:spacing w:val="-1"/>
                        <w:sz w:val="17"/>
                      </w:rPr>
                      <w:t> </w:t>
                    </w:r>
                    <w:r>
                      <w:rPr>
                        <w:rFonts w:ascii="Arial" w:hAnsi="Arial"/>
                        <w:color w:val="231F20"/>
                        <w:sz w:val="17"/>
                      </w:rPr>
                      <w:t>question</w:t>
                    </w:r>
                    <w:r>
                      <w:rPr>
                        <w:rFonts w:ascii="Arial" w:hAnsi="Arial"/>
                        <w:color w:val="231F20"/>
                        <w:spacing w:val="-1"/>
                        <w:sz w:val="17"/>
                      </w:rPr>
                      <w:t> </w:t>
                    </w:r>
                    <w:r>
                      <w:rPr>
                        <w:rFonts w:ascii="Arial" w:hAnsi="Arial"/>
                        <w:color w:val="231F20"/>
                        <w:sz w:val="17"/>
                      </w:rPr>
                      <w:t>–</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fait</w:t>
                    </w:r>
                    <w:r>
                      <w:rPr>
                        <w:rFonts w:ascii="Arial" w:hAnsi="Arial"/>
                        <w:color w:val="231F20"/>
                        <w:spacing w:val="-1"/>
                        <w:sz w:val="17"/>
                      </w:rPr>
                      <w:t> </w:t>
                    </w:r>
                    <w:r>
                      <w:rPr>
                        <w:rFonts w:ascii="Arial" w:hAnsi="Arial"/>
                        <w:color w:val="231F20"/>
                        <w:sz w:val="17"/>
                      </w:rPr>
                      <w:t>de</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voir</w:t>
                    </w:r>
                    <w:r>
                      <w:rPr>
                        <w:rFonts w:ascii="Arial" w:hAnsi="Arial"/>
                        <w:color w:val="231F20"/>
                        <w:spacing w:val="-1"/>
                        <w:sz w:val="17"/>
                      </w:rPr>
                      <w:t> </w:t>
                    </w:r>
                    <w:r>
                      <w:rPr>
                        <w:rFonts w:ascii="Arial" w:hAnsi="Arial"/>
                        <w:color w:val="231F20"/>
                        <w:sz w:val="17"/>
                      </w:rPr>
                      <w:t>comme</w:t>
                    </w:r>
                    <w:r>
                      <w:rPr>
                        <w:rFonts w:ascii="Arial" w:hAnsi="Arial"/>
                        <w:color w:val="231F20"/>
                        <w:spacing w:val="-1"/>
                        <w:sz w:val="17"/>
                      </w:rPr>
                      <w:t> </w:t>
                    </w:r>
                    <w:r>
                      <w:rPr>
                        <w:rFonts w:ascii="Arial" w:hAnsi="Arial"/>
                        <w:color w:val="231F20"/>
                        <w:sz w:val="17"/>
                      </w:rPr>
                      <w:t>plus</w:t>
                    </w:r>
                    <w:r>
                      <w:rPr>
                        <w:rFonts w:ascii="Arial" w:hAnsi="Arial"/>
                        <w:color w:val="231F20"/>
                        <w:spacing w:val="-1"/>
                        <w:sz w:val="17"/>
                      </w:rPr>
                      <w:t> </w:t>
                    </w:r>
                    <w:r>
                      <w:rPr>
                        <w:rFonts w:ascii="Arial" w:hAnsi="Arial"/>
                        <w:color w:val="231F20"/>
                        <w:sz w:val="17"/>
                      </w:rPr>
                      <w:t>ou moins dangereux, exigeant ou contraignant. Par exemple</w:t>
                    </w:r>
                    <w:r>
                      <w:rPr>
                        <w:rFonts w:ascii="Arial" w:hAnsi="Arial"/>
                        <w:color w:val="231F20"/>
                        <w:spacing w:val="-12"/>
                        <w:sz w:val="17"/>
                      </w:rPr>
                      <w:t> </w:t>
                    </w:r>
                    <w:r>
                      <w:rPr>
                        <w:rFonts w:ascii="Arial" w:hAnsi="Arial"/>
                        <w:color w:val="231F20"/>
                        <w:sz w:val="17"/>
                      </w:rPr>
                      <w:t>: un retard de</w:t>
                    </w:r>
                    <w:r>
                      <w:rPr>
                        <w:rFonts w:ascii="Arial" w:hAnsi="Arial"/>
                        <w:color w:val="231F20"/>
                        <w:spacing w:val="-6"/>
                        <w:sz w:val="17"/>
                      </w:rPr>
                      <w:t> </w:t>
                    </w:r>
                    <w:r>
                      <w:rPr>
                        <w:rFonts w:ascii="Arial" w:hAnsi="Arial"/>
                        <w:color w:val="231F20"/>
                        <w:sz w:val="17"/>
                      </w:rPr>
                      <w:t>cinq</w:t>
                    </w:r>
                    <w:r>
                      <w:rPr>
                        <w:rFonts w:ascii="Arial" w:hAnsi="Arial"/>
                        <w:color w:val="231F20"/>
                        <w:spacing w:val="-6"/>
                        <w:sz w:val="17"/>
                      </w:rPr>
                      <w:t> </w:t>
                    </w:r>
                    <w:r>
                      <w:rPr>
                        <w:rFonts w:ascii="Arial" w:hAnsi="Arial"/>
                        <w:color w:val="231F20"/>
                        <w:sz w:val="17"/>
                      </w:rPr>
                      <w:t>minutes</w:t>
                    </w:r>
                    <w:r>
                      <w:rPr>
                        <w:rFonts w:ascii="Arial" w:hAnsi="Arial"/>
                        <w:color w:val="231F20"/>
                        <w:spacing w:val="-6"/>
                        <w:sz w:val="17"/>
                      </w:rPr>
                      <w:t> </w:t>
                    </w:r>
                    <w:r>
                      <w:rPr>
                        <w:rFonts w:ascii="Arial" w:hAnsi="Arial"/>
                        <w:color w:val="231F20"/>
                        <w:sz w:val="17"/>
                      </w:rPr>
                      <w:t>ne</w:t>
                    </w:r>
                    <w:r>
                      <w:rPr>
                        <w:rFonts w:ascii="Arial" w:hAnsi="Arial"/>
                        <w:color w:val="231F20"/>
                        <w:spacing w:val="-6"/>
                        <w:sz w:val="17"/>
                      </w:rPr>
                      <w:t> </w:t>
                    </w:r>
                    <w:r>
                      <w:rPr>
                        <w:rFonts w:ascii="Arial" w:hAnsi="Arial"/>
                        <w:color w:val="231F20"/>
                        <w:sz w:val="17"/>
                      </w:rPr>
                      <w:t>crée</w:t>
                    </w:r>
                    <w:r>
                      <w:rPr>
                        <w:rFonts w:ascii="Arial" w:hAnsi="Arial"/>
                        <w:color w:val="231F20"/>
                        <w:spacing w:val="-6"/>
                        <w:sz w:val="17"/>
                      </w:rPr>
                      <w:t> </w:t>
                    </w:r>
                    <w:r>
                      <w:rPr>
                        <w:rFonts w:ascii="Arial" w:hAnsi="Arial"/>
                        <w:color w:val="231F20"/>
                        <w:sz w:val="17"/>
                      </w:rPr>
                      <w:t>généralement</w:t>
                    </w:r>
                    <w:r>
                      <w:rPr>
                        <w:rFonts w:ascii="Arial" w:hAnsi="Arial"/>
                        <w:color w:val="231F20"/>
                        <w:spacing w:val="-6"/>
                        <w:sz w:val="17"/>
                      </w:rPr>
                      <w:t> </w:t>
                    </w:r>
                    <w:r>
                      <w:rPr>
                        <w:rFonts w:ascii="Arial" w:hAnsi="Arial"/>
                        <w:color w:val="231F20"/>
                        <w:sz w:val="17"/>
                      </w:rPr>
                      <w:t>pas</w:t>
                    </w:r>
                    <w:r>
                      <w:rPr>
                        <w:rFonts w:ascii="Arial" w:hAnsi="Arial"/>
                        <w:color w:val="231F20"/>
                        <w:spacing w:val="-6"/>
                        <w:sz w:val="17"/>
                      </w:rPr>
                      <w:t> </w:t>
                    </w:r>
                    <w:r>
                      <w:rPr>
                        <w:rFonts w:ascii="Arial" w:hAnsi="Arial"/>
                        <w:color w:val="231F20"/>
                        <w:sz w:val="17"/>
                      </w:rPr>
                      <w:t>de</w:t>
                    </w:r>
                    <w:r>
                      <w:rPr>
                        <w:rFonts w:ascii="Arial" w:hAnsi="Arial"/>
                        <w:color w:val="231F20"/>
                        <w:spacing w:val="-6"/>
                        <w:sz w:val="17"/>
                      </w:rPr>
                      <w:t> </w:t>
                    </w:r>
                    <w:r>
                      <w:rPr>
                        <w:rFonts w:ascii="Arial" w:hAnsi="Arial"/>
                        <w:color w:val="231F20"/>
                        <w:sz w:val="17"/>
                      </w:rPr>
                      <w:t>stress,</w:t>
                    </w:r>
                    <w:r>
                      <w:rPr>
                        <w:rFonts w:ascii="Arial" w:hAnsi="Arial"/>
                        <w:color w:val="231F20"/>
                        <w:spacing w:val="-6"/>
                        <w:sz w:val="17"/>
                      </w:rPr>
                      <w:t> </w:t>
                    </w:r>
                    <w:r>
                      <w:rPr>
                        <w:rFonts w:ascii="Arial" w:hAnsi="Arial"/>
                        <w:color w:val="231F20"/>
                        <w:sz w:val="17"/>
                      </w:rPr>
                      <w:t>sauf</w:t>
                    </w:r>
                    <w:r>
                      <w:rPr>
                        <w:rFonts w:ascii="Arial" w:hAnsi="Arial"/>
                        <w:color w:val="231F20"/>
                        <w:spacing w:val="-6"/>
                        <w:sz w:val="17"/>
                      </w:rPr>
                      <w:t> </w:t>
                    </w:r>
                    <w:r>
                      <w:rPr>
                        <w:rFonts w:ascii="Arial" w:hAnsi="Arial"/>
                        <w:color w:val="231F20"/>
                        <w:sz w:val="17"/>
                      </w:rPr>
                      <w:t>si</w:t>
                    </w:r>
                    <w:r>
                      <w:rPr>
                        <w:rFonts w:ascii="Arial" w:hAnsi="Arial"/>
                        <w:color w:val="231F20"/>
                        <w:spacing w:val="-6"/>
                        <w:sz w:val="17"/>
                      </w:rPr>
                      <w:t> </w:t>
                    </w:r>
                    <w:r>
                      <w:rPr>
                        <w:rFonts w:ascii="Arial" w:hAnsi="Arial"/>
                        <w:color w:val="231F20"/>
                        <w:sz w:val="17"/>
                      </w:rPr>
                      <w:t>on</w:t>
                    </w:r>
                    <w:r>
                      <w:rPr>
                        <w:rFonts w:ascii="Arial" w:hAnsi="Arial"/>
                        <w:color w:val="231F20"/>
                        <w:spacing w:val="-6"/>
                        <w:sz w:val="17"/>
                      </w:rPr>
                      <w:t> </w:t>
                    </w:r>
                    <w:r>
                      <w:rPr>
                        <w:rFonts w:ascii="Arial" w:hAnsi="Arial"/>
                        <w:color w:val="231F20"/>
                        <w:sz w:val="17"/>
                      </w:rPr>
                      <w:t>pense qu’on</w:t>
                    </w:r>
                    <w:r>
                      <w:rPr>
                        <w:rFonts w:ascii="Arial" w:hAnsi="Arial"/>
                        <w:color w:val="231F20"/>
                        <w:spacing w:val="-12"/>
                        <w:sz w:val="17"/>
                      </w:rPr>
                      <w:t> </w:t>
                    </w:r>
                    <w:r>
                      <w:rPr>
                        <w:rFonts w:ascii="Arial" w:hAnsi="Arial"/>
                        <w:color w:val="231F20"/>
                        <w:sz w:val="17"/>
                      </w:rPr>
                      <w:t>va</w:t>
                    </w:r>
                    <w:r>
                      <w:rPr>
                        <w:rFonts w:ascii="Arial" w:hAnsi="Arial"/>
                        <w:color w:val="231F20"/>
                        <w:spacing w:val="-12"/>
                        <w:sz w:val="17"/>
                      </w:rPr>
                      <w:t> </w:t>
                    </w:r>
                    <w:r>
                      <w:rPr>
                        <w:rFonts w:ascii="Arial" w:hAnsi="Arial"/>
                        <w:color w:val="231F20"/>
                        <w:sz w:val="17"/>
                      </w:rPr>
                      <w:t>rater</w:t>
                    </w:r>
                    <w:r>
                      <w:rPr>
                        <w:rFonts w:ascii="Arial" w:hAnsi="Arial"/>
                        <w:color w:val="231F20"/>
                        <w:spacing w:val="-12"/>
                        <w:sz w:val="17"/>
                      </w:rPr>
                      <w:t> </w:t>
                    </w:r>
                    <w:r>
                      <w:rPr>
                        <w:rFonts w:ascii="Arial" w:hAnsi="Arial"/>
                        <w:color w:val="231F20"/>
                        <w:sz w:val="17"/>
                      </w:rPr>
                      <w:t>le</w:t>
                    </w:r>
                    <w:r>
                      <w:rPr>
                        <w:rFonts w:ascii="Arial" w:hAnsi="Arial"/>
                        <w:color w:val="231F20"/>
                        <w:spacing w:val="-12"/>
                        <w:sz w:val="17"/>
                      </w:rPr>
                      <w:t> </w:t>
                    </w:r>
                    <w:r>
                      <w:rPr>
                        <w:rFonts w:ascii="Arial" w:hAnsi="Arial"/>
                        <w:color w:val="231F20"/>
                        <w:sz w:val="17"/>
                      </w:rPr>
                      <w:t>train,</w:t>
                    </w:r>
                    <w:r>
                      <w:rPr>
                        <w:rFonts w:ascii="Arial" w:hAnsi="Arial"/>
                        <w:color w:val="231F20"/>
                        <w:spacing w:val="-12"/>
                        <w:sz w:val="17"/>
                      </w:rPr>
                      <w:t> </w:t>
                    </w:r>
                    <w:r>
                      <w:rPr>
                        <w:rFonts w:ascii="Arial" w:hAnsi="Arial"/>
                        <w:color w:val="231F20"/>
                        <w:sz w:val="17"/>
                      </w:rPr>
                      <w:t>ou</w:t>
                    </w:r>
                    <w:r>
                      <w:rPr>
                        <w:rFonts w:ascii="Arial" w:hAnsi="Arial"/>
                        <w:color w:val="231F20"/>
                        <w:spacing w:val="-11"/>
                        <w:sz w:val="17"/>
                      </w:rPr>
                      <w:t> </w:t>
                    </w:r>
                    <w:r>
                      <w:rPr>
                        <w:rFonts w:ascii="Arial" w:hAnsi="Arial"/>
                        <w:color w:val="231F20"/>
                        <w:sz w:val="17"/>
                      </w:rPr>
                      <w:t>si</w:t>
                    </w:r>
                    <w:r>
                      <w:rPr>
                        <w:rFonts w:ascii="Arial" w:hAnsi="Arial"/>
                        <w:color w:val="231F20"/>
                        <w:spacing w:val="-12"/>
                        <w:sz w:val="17"/>
                      </w:rPr>
                      <w:t> </w:t>
                    </w:r>
                    <w:r>
                      <w:rPr>
                        <w:rFonts w:ascii="Arial" w:hAnsi="Arial"/>
                        <w:color w:val="231F20"/>
                        <w:sz w:val="17"/>
                      </w:rPr>
                      <w:t>le</w:t>
                    </w:r>
                    <w:r>
                      <w:rPr>
                        <w:rFonts w:ascii="Arial" w:hAnsi="Arial"/>
                        <w:color w:val="231F20"/>
                        <w:spacing w:val="-12"/>
                        <w:sz w:val="17"/>
                      </w:rPr>
                      <w:t> </w:t>
                    </w:r>
                    <w:r>
                      <w:rPr>
                        <w:rFonts w:ascii="Arial" w:hAnsi="Arial"/>
                        <w:color w:val="231F20"/>
                        <w:sz w:val="17"/>
                      </w:rPr>
                      <w:t>cerveau</w:t>
                    </w:r>
                    <w:r>
                      <w:rPr>
                        <w:rFonts w:ascii="Arial" w:hAnsi="Arial"/>
                        <w:color w:val="231F20"/>
                        <w:spacing w:val="-12"/>
                        <w:sz w:val="17"/>
                      </w:rPr>
                      <w:t> </w:t>
                    </w:r>
                    <w:r>
                      <w:rPr>
                        <w:rFonts w:ascii="Arial" w:hAnsi="Arial"/>
                        <w:color w:val="231F20"/>
                        <w:sz w:val="17"/>
                      </w:rPr>
                      <w:t>imagine</w:t>
                    </w:r>
                    <w:r>
                      <w:rPr>
                        <w:rFonts w:ascii="Arial" w:hAnsi="Arial"/>
                        <w:color w:val="231F20"/>
                        <w:spacing w:val="-12"/>
                        <w:sz w:val="17"/>
                      </w:rPr>
                      <w:t> </w:t>
                    </w:r>
                    <w:r>
                      <w:rPr>
                        <w:rFonts w:ascii="Arial" w:hAnsi="Arial"/>
                        <w:color w:val="231F20"/>
                        <w:sz w:val="17"/>
                      </w:rPr>
                      <w:t>un</w:t>
                    </w:r>
                    <w:r>
                      <w:rPr>
                        <w:rFonts w:ascii="Arial" w:hAnsi="Arial"/>
                        <w:color w:val="231F20"/>
                        <w:spacing w:val="-11"/>
                        <w:sz w:val="17"/>
                      </w:rPr>
                      <w:t> </w:t>
                    </w:r>
                    <w:r>
                      <w:rPr>
                        <w:rFonts w:ascii="Arial" w:hAnsi="Arial"/>
                        <w:color w:val="231F20"/>
                        <w:sz w:val="17"/>
                      </w:rPr>
                      <w:t>autre</w:t>
                    </w:r>
                    <w:r>
                      <w:rPr>
                        <w:rFonts w:ascii="Arial" w:hAnsi="Arial"/>
                        <w:color w:val="231F20"/>
                        <w:spacing w:val="-12"/>
                        <w:sz w:val="17"/>
                      </w:rPr>
                      <w:t> </w:t>
                    </w:r>
                    <w:r>
                      <w:rPr>
                        <w:rFonts w:ascii="Arial" w:hAnsi="Arial"/>
                        <w:color w:val="231F20"/>
                        <w:sz w:val="17"/>
                      </w:rPr>
                      <w:t>scénario</w:t>
                    </w:r>
                    <w:r>
                      <w:rPr>
                        <w:rFonts w:ascii="Arial" w:hAnsi="Arial"/>
                        <w:color w:val="231F20"/>
                        <w:spacing w:val="-12"/>
                        <w:sz w:val="17"/>
                      </w:rPr>
                      <w:t> </w:t>
                    </w:r>
                    <w:r>
                      <w:rPr>
                        <w:rFonts w:ascii="Arial" w:hAnsi="Arial"/>
                        <w:color w:val="231F20"/>
                        <w:sz w:val="17"/>
                      </w:rPr>
                      <w:t>catas- trophique – ce qui peut être le cas si notre éducation nous a féroce- ment dressés à la ponctualité. Une attitude négative ou des attentes irréalistes donnent également lieu à des problèmes de stress.</w:t>
                    </w:r>
                  </w:p>
                  <w:p>
                    <w:pPr>
                      <w:spacing w:before="214"/>
                      <w:ind w:left="250" w:right="0" w:firstLine="0"/>
                      <w:jc w:val="both"/>
                      <w:rPr>
                        <w:rFonts w:ascii="Arial" w:hAnsi="Arial"/>
                        <w:sz w:val="12"/>
                      </w:rPr>
                    </w:pPr>
                    <w:r>
                      <w:rPr>
                        <w:rFonts w:ascii="Arial" w:hAnsi="Arial"/>
                        <w:color w:val="231F20"/>
                        <w:spacing w:val="-2"/>
                        <w:sz w:val="12"/>
                      </w:rPr>
                      <w:t>Source</w:t>
                    </w:r>
                    <w:r>
                      <w:rPr>
                        <w:rFonts w:ascii="Arial" w:hAnsi="Arial"/>
                        <w:color w:val="231F20"/>
                        <w:spacing w:val="-21"/>
                        <w:sz w:val="12"/>
                      </w:rPr>
                      <w:t> </w:t>
                    </w:r>
                    <w:r>
                      <w:rPr>
                        <w:rFonts w:ascii="Arial" w:hAnsi="Arial"/>
                        <w:color w:val="231F20"/>
                        <w:spacing w:val="-2"/>
                        <w:sz w:val="12"/>
                      </w:rPr>
                      <w:t>:</w:t>
                    </w:r>
                    <w:r>
                      <w:rPr>
                        <w:rFonts w:ascii="Arial" w:hAnsi="Arial"/>
                        <w:color w:val="231F20"/>
                        <w:sz w:val="12"/>
                      </w:rPr>
                      <w:t> </w:t>
                    </w:r>
                    <w:r>
                      <w:rPr>
                        <w:rFonts w:ascii="Arial" w:hAnsi="Arial"/>
                        <w:color w:val="231F20"/>
                        <w:spacing w:val="-2"/>
                        <w:sz w:val="12"/>
                      </w:rPr>
                      <w:t>Dumoulin,</w:t>
                    </w:r>
                    <w:r>
                      <w:rPr>
                        <w:rFonts w:ascii="Arial" w:hAnsi="Arial"/>
                        <w:color w:val="231F20"/>
                        <w:sz w:val="12"/>
                      </w:rPr>
                      <w:t> </w:t>
                    </w:r>
                    <w:r>
                      <w:rPr>
                        <w:rFonts w:ascii="Arial" w:hAnsi="Arial"/>
                        <w:color w:val="231F20"/>
                        <w:spacing w:val="-2"/>
                        <w:sz w:val="12"/>
                      </w:rPr>
                      <w:t>L.,</w:t>
                    </w:r>
                    <w:r>
                      <w:rPr>
                        <w:rFonts w:ascii="Arial" w:hAnsi="Arial"/>
                        <w:color w:val="231F20"/>
                        <w:sz w:val="12"/>
                      </w:rPr>
                      <w:t> </w:t>
                    </w:r>
                    <w:r>
                      <w:rPr>
                        <w:rFonts w:ascii="Arial" w:hAnsi="Arial"/>
                        <w:color w:val="231F20"/>
                        <w:spacing w:val="-2"/>
                        <w:sz w:val="12"/>
                      </w:rPr>
                      <w:t>Mantha,</w:t>
                    </w:r>
                    <w:r>
                      <w:rPr>
                        <w:rFonts w:ascii="Arial" w:hAnsi="Arial"/>
                        <w:color w:val="231F20"/>
                        <w:spacing w:val="1"/>
                        <w:sz w:val="12"/>
                      </w:rPr>
                      <w:t> </w:t>
                    </w:r>
                    <w:r>
                      <w:rPr>
                        <w:rFonts w:ascii="Arial" w:hAnsi="Arial"/>
                        <w:color w:val="231F20"/>
                        <w:spacing w:val="-2"/>
                        <w:sz w:val="12"/>
                      </w:rPr>
                      <w:t>M.-M.</w:t>
                    </w:r>
                    <w:r>
                      <w:rPr>
                        <w:rFonts w:ascii="Arial" w:hAnsi="Arial"/>
                        <w:color w:val="231F20"/>
                        <w:sz w:val="12"/>
                      </w:rPr>
                      <w:t> </w:t>
                    </w:r>
                    <w:r>
                      <w:rPr>
                        <w:rFonts w:ascii="Arial" w:hAnsi="Arial"/>
                        <w:color w:val="231F20"/>
                        <w:spacing w:val="-2"/>
                        <w:sz w:val="12"/>
                      </w:rPr>
                      <w:t>et</w:t>
                    </w:r>
                    <w:r>
                      <w:rPr>
                        <w:rFonts w:ascii="Arial" w:hAnsi="Arial"/>
                        <w:color w:val="231F20"/>
                        <w:sz w:val="12"/>
                      </w:rPr>
                      <w:t> </w:t>
                    </w:r>
                    <w:r>
                      <w:rPr>
                        <w:rFonts w:ascii="Arial" w:hAnsi="Arial"/>
                        <w:color w:val="231F20"/>
                        <w:spacing w:val="-2"/>
                        <w:sz w:val="12"/>
                      </w:rPr>
                      <w:t>Boivin,</w:t>
                    </w:r>
                    <w:r>
                      <w:rPr>
                        <w:rFonts w:ascii="Arial" w:hAnsi="Arial"/>
                        <w:color w:val="231F20"/>
                        <w:sz w:val="12"/>
                      </w:rPr>
                      <w:t> </w:t>
                    </w:r>
                    <w:r>
                      <w:rPr>
                        <w:rFonts w:ascii="Arial" w:hAnsi="Arial"/>
                        <w:color w:val="231F20"/>
                        <w:spacing w:val="-2"/>
                        <w:sz w:val="12"/>
                      </w:rPr>
                      <w:t>M.</w:t>
                    </w:r>
                    <w:r>
                      <w:rPr>
                        <w:rFonts w:ascii="Arial" w:hAnsi="Arial"/>
                        <w:color w:val="231F20"/>
                        <w:sz w:val="12"/>
                      </w:rPr>
                      <w:t> </w:t>
                    </w:r>
                    <w:r>
                      <w:rPr>
                        <w:rFonts w:ascii="Arial" w:hAnsi="Arial"/>
                        <w:color w:val="231F20"/>
                        <w:spacing w:val="-2"/>
                        <w:sz w:val="12"/>
                      </w:rPr>
                      <w:t>(2012).</w:t>
                    </w:r>
                    <w:r>
                      <w:rPr>
                        <w:rFonts w:ascii="Arial" w:hAnsi="Arial"/>
                        <w:color w:val="231F20"/>
                        <w:sz w:val="12"/>
                      </w:rPr>
                      <w:t> </w:t>
                    </w:r>
                    <w:r>
                      <w:rPr>
                        <w:rFonts w:ascii="Arial" w:hAnsi="Arial"/>
                        <w:color w:val="231F20"/>
                        <w:spacing w:val="-2"/>
                        <w:sz w:val="12"/>
                      </w:rPr>
                      <w:t>Qu’est-ce</w:t>
                    </w:r>
                    <w:r>
                      <w:rPr>
                        <w:rFonts w:ascii="Arial" w:hAnsi="Arial"/>
                        <w:color w:val="231F20"/>
                        <w:sz w:val="12"/>
                      </w:rPr>
                      <w:t> </w:t>
                    </w:r>
                    <w:r>
                      <w:rPr>
                        <w:rFonts w:ascii="Arial" w:hAnsi="Arial"/>
                        <w:color w:val="231F20"/>
                        <w:spacing w:val="-2"/>
                        <w:sz w:val="12"/>
                      </w:rPr>
                      <w:t>que</w:t>
                    </w:r>
                    <w:r>
                      <w:rPr>
                        <w:rFonts w:ascii="Arial" w:hAnsi="Arial"/>
                        <w:color w:val="231F20"/>
                        <w:sz w:val="12"/>
                      </w:rPr>
                      <w:t> </w:t>
                    </w:r>
                    <w:r>
                      <w:rPr>
                        <w:rFonts w:ascii="Arial" w:hAnsi="Arial"/>
                        <w:color w:val="231F20"/>
                        <w:spacing w:val="-2"/>
                        <w:sz w:val="12"/>
                      </w:rPr>
                      <w:t>le</w:t>
                    </w:r>
                    <w:r>
                      <w:rPr>
                        <w:rFonts w:ascii="Arial" w:hAnsi="Arial"/>
                        <w:color w:val="231F20"/>
                        <w:sz w:val="12"/>
                      </w:rPr>
                      <w:t> </w:t>
                    </w:r>
                    <w:r>
                      <w:rPr>
                        <w:rFonts w:ascii="Arial" w:hAnsi="Arial"/>
                        <w:color w:val="231F20"/>
                        <w:spacing w:val="-2"/>
                        <w:sz w:val="12"/>
                      </w:rPr>
                      <w:t>stress</w:t>
                    </w:r>
                    <w:r>
                      <w:rPr>
                        <w:rFonts w:ascii="Arial" w:hAnsi="Arial"/>
                        <w:color w:val="231F20"/>
                        <w:spacing w:val="-20"/>
                        <w:sz w:val="12"/>
                      </w:rPr>
                      <w:t> </w:t>
                    </w:r>
                    <w:r>
                      <w:rPr>
                        <w:rFonts w:ascii="Arial" w:hAnsi="Arial"/>
                        <w:color w:val="231F20"/>
                        <w:spacing w:val="-2"/>
                        <w:sz w:val="12"/>
                      </w:rPr>
                      <w:t>?</w:t>
                    </w:r>
                    <w:r>
                      <w:rPr>
                        <w:rFonts w:ascii="Arial" w:hAnsi="Arial"/>
                        <w:color w:val="231F20"/>
                        <w:sz w:val="12"/>
                      </w:rPr>
                      <w:t> </w:t>
                    </w:r>
                    <w:r>
                      <w:rPr>
                        <w:rFonts w:ascii="Arial" w:hAnsi="Arial"/>
                        <w:i/>
                        <w:color w:val="231F20"/>
                        <w:spacing w:val="-2"/>
                        <w:sz w:val="12"/>
                      </w:rPr>
                      <w:t>Passeport</w:t>
                    </w:r>
                    <w:r>
                      <w:rPr>
                        <w:rFonts w:ascii="Arial" w:hAnsi="Arial"/>
                        <w:i/>
                        <w:color w:val="231F20"/>
                        <w:sz w:val="12"/>
                      </w:rPr>
                      <w:t> </w:t>
                    </w:r>
                    <w:r>
                      <w:rPr>
                        <w:rFonts w:ascii="Arial" w:hAnsi="Arial"/>
                        <w:i/>
                        <w:color w:val="231F20"/>
                        <w:spacing w:val="-2"/>
                        <w:sz w:val="12"/>
                      </w:rPr>
                      <w:t>Santé</w:t>
                    </w:r>
                    <w:r>
                      <w:rPr>
                        <w:rFonts w:ascii="Arial" w:hAnsi="Arial"/>
                        <w:color w:val="231F20"/>
                        <w:spacing w:val="-2"/>
                        <w:sz w:val="12"/>
                      </w:rPr>
                      <w:t>.</w:t>
                    </w:r>
                  </w:p>
                  <w:p>
                    <w:pPr>
                      <w:spacing w:line="295" w:lineRule="auto" w:before="32"/>
                      <w:ind w:left="250" w:right="248" w:firstLine="0"/>
                      <w:jc w:val="both"/>
                      <w:rPr>
                        <w:rFonts w:ascii="Arial" w:hAnsi="Arial"/>
                        <w:sz w:val="12"/>
                      </w:rPr>
                    </w:pPr>
                    <w:r>
                      <w:rPr>
                        <w:rFonts w:ascii="Arial" w:hAnsi="Arial"/>
                        <w:color w:val="231F20"/>
                        <w:spacing w:val="-2"/>
                        <w:sz w:val="12"/>
                      </w:rPr>
                      <w:t>&lt;https://</w:t>
                    </w:r>
                    <w:hyperlink r:id="rId64">
                      <w:r>
                        <w:rPr>
                          <w:rFonts w:ascii="Arial" w:hAnsi="Arial"/>
                          <w:color w:val="231F20"/>
                          <w:spacing w:val="-2"/>
                          <w:sz w:val="12"/>
                        </w:rPr>
                        <w:t>www.passeportsante.net/fr/Actualites/Dossiers/ArticleComplementaire.aspx?doc=stress_</w:t>
                      </w:r>
                    </w:hyperlink>
                    <w:r>
                      <w:rPr>
                        <w:rFonts w:ascii="Arial" w:hAnsi="Arial"/>
                        <w:color w:val="231F20"/>
                        <w:spacing w:val="40"/>
                        <w:w w:val="105"/>
                        <w:sz w:val="12"/>
                      </w:rPr>
                      <w:t> </w:t>
                    </w:r>
                    <w:r>
                      <w:rPr>
                        <w:rFonts w:ascii="Arial" w:hAnsi="Arial"/>
                        <w:color w:val="231F20"/>
                        <w:w w:val="105"/>
                        <w:sz w:val="12"/>
                      </w:rPr>
                      <w:t>composantes_do&gt;, consulté le 22 octobre 2021.</w:t>
                    </w:r>
                  </w:p>
                </w:txbxContent>
              </v:textbox>
              <w10:wrap type="none"/>
            </v:shape>
            <w10:wrap type="topAndBottom"/>
          </v:group>
        </w:pict>
      </w:r>
    </w:p>
    <w:p>
      <w:pPr>
        <w:pStyle w:val="BodyText"/>
        <w:spacing w:before="1"/>
        <w:rPr>
          <w:rFonts w:ascii="Arial"/>
        </w:rPr>
      </w:pPr>
    </w:p>
    <w:p>
      <w:pPr>
        <w:pStyle w:val="BodyText"/>
        <w:spacing w:line="307" w:lineRule="auto" w:before="145"/>
        <w:ind w:left="1180" w:right="244"/>
        <w:jc w:val="both"/>
      </w:pPr>
      <w:r>
        <w:rPr>
          <w:color w:val="231F20"/>
          <w:w w:val="120"/>
        </w:rPr>
        <w:t>Simplement dit, il est possible de considérer que le stress est, dans sa fonction</w:t>
      </w:r>
      <w:r>
        <w:rPr>
          <w:color w:val="231F20"/>
          <w:spacing w:val="-13"/>
          <w:w w:val="120"/>
        </w:rPr>
        <w:t> </w:t>
      </w:r>
      <w:r>
        <w:rPr>
          <w:color w:val="231F20"/>
          <w:w w:val="120"/>
        </w:rPr>
        <w:t>première,</w:t>
      </w:r>
      <w:r>
        <w:rPr>
          <w:color w:val="231F20"/>
          <w:spacing w:val="-13"/>
          <w:w w:val="120"/>
        </w:rPr>
        <w:t> </w:t>
      </w:r>
      <w:r>
        <w:rPr>
          <w:color w:val="231F20"/>
          <w:w w:val="120"/>
        </w:rPr>
        <w:t>un</w:t>
      </w:r>
      <w:r>
        <w:rPr>
          <w:color w:val="231F20"/>
          <w:spacing w:val="-13"/>
          <w:w w:val="120"/>
        </w:rPr>
        <w:t> </w:t>
      </w:r>
      <w:r>
        <w:rPr>
          <w:color w:val="231F20"/>
          <w:w w:val="120"/>
        </w:rPr>
        <w:t>mécanisme</w:t>
      </w:r>
      <w:r>
        <w:rPr>
          <w:color w:val="231F20"/>
          <w:spacing w:val="-12"/>
          <w:w w:val="120"/>
        </w:rPr>
        <w:t> </w:t>
      </w:r>
      <w:r>
        <w:rPr>
          <w:color w:val="231F20"/>
          <w:w w:val="120"/>
        </w:rPr>
        <w:t>d’adaptation.</w:t>
      </w:r>
      <w:r>
        <w:rPr>
          <w:color w:val="231F20"/>
          <w:spacing w:val="-13"/>
          <w:w w:val="120"/>
        </w:rPr>
        <w:t> </w:t>
      </w:r>
      <w:r>
        <w:rPr>
          <w:color w:val="231F20"/>
          <w:w w:val="120"/>
        </w:rPr>
        <w:t>N’en</w:t>
      </w:r>
      <w:r>
        <w:rPr>
          <w:color w:val="231F20"/>
          <w:spacing w:val="-13"/>
          <w:w w:val="120"/>
        </w:rPr>
        <w:t> </w:t>
      </w:r>
      <w:r>
        <w:rPr>
          <w:color w:val="231F20"/>
          <w:w w:val="120"/>
        </w:rPr>
        <w:t>déplaise</w:t>
      </w:r>
      <w:r>
        <w:rPr>
          <w:color w:val="231F20"/>
          <w:spacing w:val="-13"/>
          <w:w w:val="120"/>
        </w:rPr>
        <w:t> </w:t>
      </w:r>
      <w:r>
        <w:rPr>
          <w:color w:val="231F20"/>
          <w:w w:val="120"/>
        </w:rPr>
        <w:t>à</w:t>
      </w:r>
      <w:r>
        <w:rPr>
          <w:color w:val="231F20"/>
          <w:spacing w:val="-12"/>
          <w:w w:val="120"/>
        </w:rPr>
        <w:t> </w:t>
      </w:r>
      <w:r>
        <w:rPr>
          <w:color w:val="231F20"/>
          <w:w w:val="120"/>
        </w:rPr>
        <w:t>tous</w:t>
      </w:r>
      <w:r>
        <w:rPr>
          <w:color w:val="231F20"/>
          <w:spacing w:val="-13"/>
          <w:w w:val="120"/>
        </w:rPr>
        <w:t> </w:t>
      </w:r>
      <w:r>
        <w:rPr>
          <w:color w:val="231F20"/>
          <w:w w:val="120"/>
        </w:rPr>
        <w:t>les promoteurs</w:t>
      </w:r>
      <w:r>
        <w:rPr>
          <w:color w:val="231F20"/>
          <w:spacing w:val="-13"/>
          <w:w w:val="120"/>
        </w:rPr>
        <w:t> </w:t>
      </w:r>
      <w:r>
        <w:rPr>
          <w:color w:val="231F20"/>
          <w:w w:val="120"/>
        </w:rPr>
        <w:t>de</w:t>
      </w:r>
      <w:r>
        <w:rPr>
          <w:color w:val="231F20"/>
          <w:spacing w:val="-13"/>
          <w:w w:val="120"/>
        </w:rPr>
        <w:t> </w:t>
      </w:r>
      <w:r>
        <w:rPr>
          <w:color w:val="231F20"/>
          <w:w w:val="120"/>
        </w:rPr>
        <w:t>l’importance</w:t>
      </w:r>
      <w:r>
        <w:rPr>
          <w:color w:val="231F20"/>
          <w:spacing w:val="-13"/>
          <w:w w:val="120"/>
        </w:rPr>
        <w:t> </w:t>
      </w:r>
      <w:r>
        <w:rPr>
          <w:color w:val="231F20"/>
          <w:w w:val="120"/>
        </w:rPr>
        <w:t>du</w:t>
      </w:r>
      <w:r>
        <w:rPr>
          <w:color w:val="231F20"/>
          <w:spacing w:val="-12"/>
          <w:w w:val="120"/>
        </w:rPr>
        <w:t> </w:t>
      </w:r>
      <w:r>
        <w:rPr>
          <w:color w:val="231F20"/>
          <w:w w:val="120"/>
        </w:rPr>
        <w:t>changement</w:t>
      </w:r>
      <w:r>
        <w:rPr>
          <w:color w:val="231F20"/>
          <w:spacing w:val="-13"/>
          <w:w w:val="120"/>
        </w:rPr>
        <w:t> </w:t>
      </w:r>
      <w:r>
        <w:rPr>
          <w:color w:val="231F20"/>
          <w:w w:val="120"/>
        </w:rPr>
        <w:t>perpétuel,</w:t>
      </w:r>
      <w:r>
        <w:rPr>
          <w:color w:val="231F20"/>
          <w:spacing w:val="-13"/>
          <w:w w:val="120"/>
        </w:rPr>
        <w:t> </w:t>
      </w:r>
      <w:r>
        <w:rPr>
          <w:color w:val="231F20"/>
          <w:w w:val="120"/>
        </w:rPr>
        <w:t>l’être</w:t>
      </w:r>
      <w:r>
        <w:rPr>
          <w:color w:val="231F20"/>
          <w:spacing w:val="-13"/>
          <w:w w:val="120"/>
        </w:rPr>
        <w:t> </w:t>
      </w:r>
      <w:r>
        <w:rPr>
          <w:color w:val="231F20"/>
          <w:w w:val="120"/>
        </w:rPr>
        <w:t>humain</w:t>
      </w:r>
      <w:r>
        <w:rPr>
          <w:color w:val="231F20"/>
          <w:spacing w:val="-12"/>
          <w:w w:val="120"/>
        </w:rPr>
        <w:t> </w:t>
      </w:r>
      <w:r>
        <w:rPr>
          <w:color w:val="231F20"/>
          <w:w w:val="120"/>
        </w:rPr>
        <w:t>est dans</w:t>
      </w:r>
      <w:r>
        <w:rPr>
          <w:color w:val="231F20"/>
          <w:spacing w:val="-12"/>
          <w:w w:val="120"/>
        </w:rPr>
        <w:t> </w:t>
      </w:r>
      <w:r>
        <w:rPr>
          <w:color w:val="231F20"/>
          <w:w w:val="120"/>
        </w:rPr>
        <w:t>sa</w:t>
      </w:r>
      <w:r>
        <w:rPr>
          <w:color w:val="231F20"/>
          <w:spacing w:val="-12"/>
          <w:w w:val="120"/>
        </w:rPr>
        <w:t> </w:t>
      </w:r>
      <w:r>
        <w:rPr>
          <w:color w:val="231F20"/>
          <w:w w:val="120"/>
        </w:rPr>
        <w:t>nature</w:t>
      </w:r>
      <w:r>
        <w:rPr>
          <w:color w:val="231F20"/>
          <w:spacing w:val="-12"/>
          <w:w w:val="120"/>
        </w:rPr>
        <w:t> </w:t>
      </w:r>
      <w:r>
        <w:rPr>
          <w:color w:val="231F20"/>
          <w:w w:val="120"/>
        </w:rPr>
        <w:t>profonde</w:t>
      </w:r>
      <w:r>
        <w:rPr>
          <w:color w:val="231F20"/>
          <w:spacing w:val="-12"/>
          <w:w w:val="120"/>
        </w:rPr>
        <w:t> </w:t>
      </w:r>
      <w:r>
        <w:rPr>
          <w:color w:val="231F20"/>
          <w:w w:val="120"/>
        </w:rPr>
        <w:t>un</w:t>
      </w:r>
      <w:r>
        <w:rPr>
          <w:color w:val="231F20"/>
          <w:spacing w:val="-12"/>
          <w:w w:val="120"/>
        </w:rPr>
        <w:t> </w:t>
      </w:r>
      <w:r>
        <w:rPr>
          <w:color w:val="231F20"/>
          <w:w w:val="120"/>
        </w:rPr>
        <w:t>être</w:t>
      </w:r>
      <w:r>
        <w:rPr>
          <w:color w:val="231F20"/>
          <w:spacing w:val="-12"/>
          <w:w w:val="120"/>
        </w:rPr>
        <w:t> </w:t>
      </w:r>
      <w:r>
        <w:rPr>
          <w:color w:val="231F20"/>
          <w:w w:val="120"/>
        </w:rPr>
        <w:t>d’homéostasie,</w:t>
      </w:r>
      <w:r>
        <w:rPr>
          <w:color w:val="231F20"/>
          <w:spacing w:val="-12"/>
          <w:w w:val="120"/>
        </w:rPr>
        <w:t> </w:t>
      </w:r>
      <w:r>
        <w:rPr>
          <w:color w:val="231F20"/>
          <w:w w:val="120"/>
        </w:rPr>
        <w:t>de</w:t>
      </w:r>
      <w:r>
        <w:rPr>
          <w:color w:val="231F20"/>
          <w:spacing w:val="-12"/>
          <w:w w:val="120"/>
        </w:rPr>
        <w:t> </w:t>
      </w:r>
      <w:r>
        <w:rPr>
          <w:color w:val="231F20"/>
          <w:w w:val="120"/>
        </w:rPr>
        <w:t>stabilité,</w:t>
      </w:r>
      <w:r>
        <w:rPr>
          <w:color w:val="231F20"/>
          <w:spacing w:val="-12"/>
          <w:w w:val="120"/>
        </w:rPr>
        <w:t> </w:t>
      </w:r>
      <w:r>
        <w:rPr>
          <w:color w:val="231F20"/>
          <w:w w:val="120"/>
        </w:rPr>
        <w:t>d’équilibre. Idéalement, toutes les personnes préfèrent évoluer dans un </w:t>
      </w:r>
      <w:r>
        <w:rPr>
          <w:color w:val="231F20"/>
          <w:w w:val="120"/>
        </w:rPr>
        <w:t>environ- nement</w:t>
      </w:r>
      <w:r>
        <w:rPr>
          <w:color w:val="231F20"/>
          <w:spacing w:val="-3"/>
          <w:w w:val="120"/>
        </w:rPr>
        <w:t> </w:t>
      </w:r>
      <w:r>
        <w:rPr>
          <w:color w:val="231F20"/>
          <w:w w:val="120"/>
        </w:rPr>
        <w:t>stable</w:t>
      </w:r>
      <w:r>
        <w:rPr>
          <w:color w:val="231F20"/>
          <w:spacing w:val="-3"/>
          <w:w w:val="120"/>
        </w:rPr>
        <w:t> </w:t>
      </w:r>
      <w:r>
        <w:rPr>
          <w:color w:val="231F20"/>
          <w:w w:val="120"/>
        </w:rPr>
        <w:t>et</w:t>
      </w:r>
      <w:r>
        <w:rPr>
          <w:color w:val="231F20"/>
          <w:spacing w:val="-3"/>
          <w:w w:val="120"/>
        </w:rPr>
        <w:t> </w:t>
      </w:r>
      <w:r>
        <w:rPr>
          <w:color w:val="231F20"/>
          <w:w w:val="120"/>
        </w:rPr>
        <w:t>prévisible.</w:t>
      </w:r>
      <w:r>
        <w:rPr>
          <w:color w:val="231F20"/>
          <w:spacing w:val="-3"/>
          <w:w w:val="120"/>
        </w:rPr>
        <w:t> </w:t>
      </w:r>
      <w:r>
        <w:rPr>
          <w:color w:val="231F20"/>
          <w:w w:val="120"/>
        </w:rPr>
        <w:t>Un</w:t>
      </w:r>
      <w:r>
        <w:rPr>
          <w:color w:val="231F20"/>
          <w:spacing w:val="-3"/>
          <w:w w:val="120"/>
        </w:rPr>
        <w:t> </w:t>
      </w:r>
      <w:r>
        <w:rPr>
          <w:color w:val="231F20"/>
          <w:w w:val="120"/>
        </w:rPr>
        <w:t>environnement</w:t>
      </w:r>
      <w:r>
        <w:rPr>
          <w:color w:val="231F20"/>
          <w:spacing w:val="-3"/>
          <w:w w:val="120"/>
        </w:rPr>
        <w:t> </w:t>
      </w:r>
      <w:r>
        <w:rPr>
          <w:color w:val="231F20"/>
          <w:w w:val="120"/>
        </w:rPr>
        <w:t>stable</w:t>
      </w:r>
      <w:r>
        <w:rPr>
          <w:color w:val="231F20"/>
          <w:spacing w:val="-3"/>
          <w:w w:val="120"/>
        </w:rPr>
        <w:t> </w:t>
      </w:r>
      <w:r>
        <w:rPr>
          <w:color w:val="231F20"/>
          <w:w w:val="120"/>
        </w:rPr>
        <w:t>présuppose</w:t>
      </w:r>
      <w:r>
        <w:rPr>
          <w:color w:val="231F20"/>
          <w:spacing w:val="-3"/>
          <w:w w:val="120"/>
        </w:rPr>
        <w:t> </w:t>
      </w:r>
      <w:r>
        <w:rPr>
          <w:color w:val="231F20"/>
          <w:w w:val="120"/>
        </w:rPr>
        <w:t>qu’il </w:t>
      </w:r>
      <w:r>
        <w:rPr>
          <w:color w:val="231F20"/>
          <w:w w:val="115"/>
        </w:rPr>
        <w:t>n’y</w:t>
      </w:r>
      <w:r>
        <w:rPr>
          <w:color w:val="231F20"/>
          <w:spacing w:val="-9"/>
          <w:w w:val="115"/>
        </w:rPr>
        <w:t> </w:t>
      </w:r>
      <w:r>
        <w:rPr>
          <w:color w:val="231F20"/>
          <w:w w:val="115"/>
        </w:rPr>
        <w:t>a</w:t>
      </w:r>
      <w:r>
        <w:rPr>
          <w:color w:val="231F20"/>
          <w:spacing w:val="-9"/>
          <w:w w:val="115"/>
        </w:rPr>
        <w:t> </w:t>
      </w:r>
      <w:r>
        <w:rPr>
          <w:color w:val="231F20"/>
          <w:w w:val="115"/>
        </w:rPr>
        <w:t>pas</w:t>
      </w:r>
      <w:r>
        <w:rPr>
          <w:color w:val="231F20"/>
          <w:spacing w:val="-9"/>
          <w:w w:val="115"/>
        </w:rPr>
        <w:t> </w:t>
      </w:r>
      <w:r>
        <w:rPr>
          <w:color w:val="231F20"/>
          <w:w w:val="115"/>
        </w:rPr>
        <w:t>de</w:t>
      </w:r>
      <w:r>
        <w:rPr>
          <w:color w:val="231F20"/>
          <w:spacing w:val="-9"/>
          <w:w w:val="115"/>
        </w:rPr>
        <w:t> </w:t>
      </w:r>
      <w:r>
        <w:rPr>
          <w:color w:val="231F20"/>
          <w:w w:val="115"/>
        </w:rPr>
        <w:t>risque,</w:t>
      </w:r>
      <w:r>
        <w:rPr>
          <w:color w:val="231F20"/>
          <w:spacing w:val="-9"/>
          <w:w w:val="115"/>
        </w:rPr>
        <w:t> </w:t>
      </w:r>
      <w:r>
        <w:rPr>
          <w:color w:val="231F20"/>
          <w:w w:val="115"/>
        </w:rPr>
        <w:t>qu’il</w:t>
      </w:r>
      <w:r>
        <w:rPr>
          <w:color w:val="231F20"/>
          <w:spacing w:val="-9"/>
          <w:w w:val="115"/>
        </w:rPr>
        <w:t> </w:t>
      </w:r>
      <w:r>
        <w:rPr>
          <w:color w:val="231F20"/>
          <w:w w:val="115"/>
        </w:rPr>
        <w:t>n’y</w:t>
      </w:r>
      <w:r>
        <w:rPr>
          <w:color w:val="231F20"/>
          <w:spacing w:val="-9"/>
          <w:w w:val="115"/>
        </w:rPr>
        <w:t> </w:t>
      </w:r>
      <w:r>
        <w:rPr>
          <w:color w:val="231F20"/>
          <w:w w:val="115"/>
        </w:rPr>
        <w:t>a</w:t>
      </w:r>
      <w:r>
        <w:rPr>
          <w:color w:val="231F20"/>
          <w:spacing w:val="-9"/>
          <w:w w:val="115"/>
        </w:rPr>
        <w:t> </w:t>
      </w:r>
      <w:r>
        <w:rPr>
          <w:color w:val="231F20"/>
          <w:w w:val="115"/>
        </w:rPr>
        <w:t>pas</w:t>
      </w:r>
      <w:r>
        <w:rPr>
          <w:color w:val="231F20"/>
          <w:spacing w:val="-9"/>
          <w:w w:val="115"/>
        </w:rPr>
        <w:t> </w:t>
      </w:r>
      <w:r>
        <w:rPr>
          <w:color w:val="231F20"/>
          <w:w w:val="115"/>
        </w:rPr>
        <w:t>de</w:t>
      </w:r>
      <w:r>
        <w:rPr>
          <w:color w:val="231F20"/>
          <w:spacing w:val="-9"/>
          <w:w w:val="115"/>
        </w:rPr>
        <w:t> </w:t>
      </w:r>
      <w:r>
        <w:rPr>
          <w:color w:val="231F20"/>
          <w:w w:val="115"/>
        </w:rPr>
        <w:t>danger</w:t>
      </w:r>
      <w:r>
        <w:rPr>
          <w:color w:val="231F20"/>
          <w:spacing w:val="-9"/>
          <w:w w:val="115"/>
        </w:rPr>
        <w:t> </w:t>
      </w:r>
      <w:r>
        <w:rPr>
          <w:color w:val="231F20"/>
          <w:w w:val="115"/>
        </w:rPr>
        <w:t>pour</w:t>
      </w:r>
      <w:r>
        <w:rPr>
          <w:color w:val="231F20"/>
          <w:spacing w:val="-9"/>
          <w:w w:val="115"/>
        </w:rPr>
        <w:t> </w:t>
      </w:r>
      <w:r>
        <w:rPr>
          <w:color w:val="231F20"/>
          <w:w w:val="115"/>
        </w:rPr>
        <w:t>nos</w:t>
      </w:r>
      <w:r>
        <w:rPr>
          <w:color w:val="231F20"/>
          <w:spacing w:val="-9"/>
          <w:w w:val="115"/>
        </w:rPr>
        <w:t> </w:t>
      </w:r>
      <w:r>
        <w:rPr>
          <w:color w:val="231F20"/>
          <w:w w:val="115"/>
        </w:rPr>
        <w:t>activités,</w:t>
      </w:r>
      <w:r>
        <w:rPr>
          <w:color w:val="231F20"/>
          <w:spacing w:val="-9"/>
          <w:w w:val="115"/>
        </w:rPr>
        <w:t> </w:t>
      </w:r>
      <w:r>
        <w:rPr>
          <w:color w:val="231F20"/>
          <w:w w:val="115"/>
        </w:rPr>
        <w:t>pour</w:t>
      </w:r>
      <w:r>
        <w:rPr>
          <w:color w:val="231F20"/>
          <w:spacing w:val="-9"/>
          <w:w w:val="115"/>
        </w:rPr>
        <w:t> </w:t>
      </w:r>
      <w:r>
        <w:rPr>
          <w:color w:val="231F20"/>
          <w:w w:val="115"/>
        </w:rPr>
        <w:t>notre </w:t>
      </w:r>
      <w:r>
        <w:rPr>
          <w:color w:val="231F20"/>
          <w:spacing w:val="-2"/>
          <w:w w:val="120"/>
        </w:rPr>
        <w:t>développement,</w:t>
      </w:r>
      <w:r>
        <w:rPr>
          <w:color w:val="231F20"/>
          <w:spacing w:val="-6"/>
          <w:w w:val="120"/>
        </w:rPr>
        <w:t> </w:t>
      </w:r>
      <w:r>
        <w:rPr>
          <w:color w:val="231F20"/>
          <w:spacing w:val="-2"/>
          <w:w w:val="120"/>
        </w:rPr>
        <w:t>pour</w:t>
      </w:r>
      <w:r>
        <w:rPr>
          <w:color w:val="231F20"/>
          <w:spacing w:val="-6"/>
          <w:w w:val="120"/>
        </w:rPr>
        <w:t> </w:t>
      </w:r>
      <w:r>
        <w:rPr>
          <w:color w:val="231F20"/>
          <w:spacing w:val="-2"/>
          <w:w w:val="120"/>
        </w:rPr>
        <w:t>notre</w:t>
      </w:r>
      <w:r>
        <w:rPr>
          <w:color w:val="231F20"/>
          <w:spacing w:val="-6"/>
          <w:w w:val="120"/>
        </w:rPr>
        <w:t> </w:t>
      </w:r>
      <w:r>
        <w:rPr>
          <w:color w:val="231F20"/>
          <w:spacing w:val="-2"/>
          <w:w w:val="120"/>
        </w:rPr>
        <w:t>survie.</w:t>
      </w:r>
      <w:r>
        <w:rPr>
          <w:color w:val="231F20"/>
          <w:spacing w:val="-6"/>
          <w:w w:val="120"/>
        </w:rPr>
        <w:t> </w:t>
      </w:r>
      <w:r>
        <w:rPr>
          <w:color w:val="231F20"/>
          <w:spacing w:val="-2"/>
          <w:w w:val="120"/>
        </w:rPr>
        <w:t>On</w:t>
      </w:r>
      <w:r>
        <w:rPr>
          <w:color w:val="231F20"/>
          <w:spacing w:val="-6"/>
          <w:w w:val="120"/>
        </w:rPr>
        <w:t> </w:t>
      </w:r>
      <w:r>
        <w:rPr>
          <w:color w:val="231F20"/>
          <w:spacing w:val="-2"/>
          <w:w w:val="120"/>
        </w:rPr>
        <w:t>peut</w:t>
      </w:r>
      <w:r>
        <w:rPr>
          <w:color w:val="231F20"/>
          <w:spacing w:val="-6"/>
          <w:w w:val="120"/>
        </w:rPr>
        <w:t> </w:t>
      </w:r>
      <w:r>
        <w:rPr>
          <w:color w:val="231F20"/>
          <w:spacing w:val="-2"/>
          <w:w w:val="120"/>
        </w:rPr>
        <w:t>voir</w:t>
      </w:r>
      <w:r>
        <w:rPr>
          <w:color w:val="231F20"/>
          <w:spacing w:val="-6"/>
          <w:w w:val="120"/>
        </w:rPr>
        <w:t> </w:t>
      </w:r>
      <w:r>
        <w:rPr>
          <w:color w:val="231F20"/>
          <w:spacing w:val="-2"/>
          <w:w w:val="120"/>
        </w:rPr>
        <w:t>une</w:t>
      </w:r>
      <w:r>
        <w:rPr>
          <w:color w:val="231F20"/>
          <w:spacing w:val="-6"/>
          <w:w w:val="120"/>
        </w:rPr>
        <w:t> </w:t>
      </w:r>
      <w:r>
        <w:rPr>
          <w:color w:val="231F20"/>
          <w:spacing w:val="-2"/>
          <w:w w:val="120"/>
        </w:rPr>
        <w:t>indication</w:t>
      </w:r>
      <w:r>
        <w:rPr>
          <w:color w:val="231F20"/>
          <w:spacing w:val="-6"/>
          <w:w w:val="120"/>
        </w:rPr>
        <w:t> </w:t>
      </w:r>
      <w:r>
        <w:rPr>
          <w:color w:val="231F20"/>
          <w:spacing w:val="-2"/>
          <w:w w:val="120"/>
        </w:rPr>
        <w:t>de</w:t>
      </w:r>
      <w:r>
        <w:rPr>
          <w:color w:val="231F20"/>
          <w:spacing w:val="-6"/>
          <w:w w:val="120"/>
        </w:rPr>
        <w:t> </w:t>
      </w:r>
      <w:r>
        <w:rPr>
          <w:color w:val="231F20"/>
          <w:spacing w:val="-2"/>
          <w:w w:val="120"/>
        </w:rPr>
        <w:t>la</w:t>
      </w:r>
      <w:r>
        <w:rPr>
          <w:color w:val="231F20"/>
          <w:spacing w:val="-6"/>
          <w:w w:val="120"/>
        </w:rPr>
        <w:t> </w:t>
      </w:r>
      <w:r>
        <w:rPr>
          <w:color w:val="231F20"/>
          <w:spacing w:val="-2"/>
          <w:w w:val="120"/>
        </w:rPr>
        <w:t>ten- </w:t>
      </w:r>
      <w:r>
        <w:rPr>
          <w:color w:val="231F20"/>
          <w:w w:val="120"/>
        </w:rPr>
        <w:t>dance naturelle de l’humain à rechercher l’équilibre dans les divers processus biologiques qui régulent notre organisme. La température corporelle,</w:t>
      </w:r>
      <w:r>
        <w:rPr>
          <w:color w:val="231F20"/>
          <w:spacing w:val="-5"/>
          <w:w w:val="120"/>
        </w:rPr>
        <w:t> </w:t>
      </w:r>
      <w:r>
        <w:rPr>
          <w:color w:val="231F20"/>
          <w:w w:val="120"/>
        </w:rPr>
        <w:t>le</w:t>
      </w:r>
      <w:r>
        <w:rPr>
          <w:color w:val="231F20"/>
          <w:spacing w:val="-5"/>
          <w:w w:val="120"/>
        </w:rPr>
        <w:t> </w:t>
      </w:r>
      <w:r>
        <w:rPr>
          <w:color w:val="231F20"/>
          <w:w w:val="120"/>
        </w:rPr>
        <w:t>rythme</w:t>
      </w:r>
      <w:r>
        <w:rPr>
          <w:color w:val="231F20"/>
          <w:spacing w:val="-5"/>
          <w:w w:val="120"/>
        </w:rPr>
        <w:t> </w:t>
      </w:r>
      <w:r>
        <w:rPr>
          <w:color w:val="231F20"/>
          <w:w w:val="120"/>
        </w:rPr>
        <w:t>cardiaque</w:t>
      </w:r>
      <w:r>
        <w:rPr>
          <w:color w:val="231F20"/>
          <w:spacing w:val="-5"/>
          <w:w w:val="120"/>
        </w:rPr>
        <w:t> </w:t>
      </w:r>
      <w:r>
        <w:rPr>
          <w:color w:val="231F20"/>
          <w:w w:val="120"/>
        </w:rPr>
        <w:t>ou</w:t>
      </w:r>
      <w:r>
        <w:rPr>
          <w:color w:val="231F20"/>
          <w:spacing w:val="-5"/>
          <w:w w:val="120"/>
        </w:rPr>
        <w:t> </w:t>
      </w:r>
      <w:r>
        <w:rPr>
          <w:color w:val="231F20"/>
          <w:w w:val="120"/>
        </w:rPr>
        <w:t>encore</w:t>
      </w:r>
      <w:r>
        <w:rPr>
          <w:color w:val="231F20"/>
          <w:spacing w:val="-5"/>
          <w:w w:val="120"/>
        </w:rPr>
        <w:t> </w:t>
      </w:r>
      <w:r>
        <w:rPr>
          <w:color w:val="231F20"/>
          <w:w w:val="120"/>
        </w:rPr>
        <w:t>le</w:t>
      </w:r>
      <w:r>
        <w:rPr>
          <w:color w:val="231F20"/>
          <w:spacing w:val="-5"/>
          <w:w w:val="120"/>
        </w:rPr>
        <w:t> </w:t>
      </w:r>
      <w:r>
        <w:rPr>
          <w:color w:val="231F20"/>
          <w:w w:val="120"/>
        </w:rPr>
        <w:t>taux</w:t>
      </w:r>
      <w:r>
        <w:rPr>
          <w:color w:val="231F20"/>
          <w:spacing w:val="-5"/>
          <w:w w:val="120"/>
        </w:rPr>
        <w:t> </w:t>
      </w:r>
      <w:r>
        <w:rPr>
          <w:color w:val="231F20"/>
          <w:w w:val="120"/>
        </w:rPr>
        <w:t>de</w:t>
      </w:r>
      <w:r>
        <w:rPr>
          <w:color w:val="231F20"/>
          <w:spacing w:val="-5"/>
          <w:w w:val="120"/>
        </w:rPr>
        <w:t> </w:t>
      </w:r>
      <w:r>
        <w:rPr>
          <w:color w:val="231F20"/>
          <w:w w:val="120"/>
        </w:rPr>
        <w:t>sucre</w:t>
      </w:r>
      <w:r>
        <w:rPr>
          <w:color w:val="231F20"/>
          <w:spacing w:val="-5"/>
          <w:w w:val="120"/>
        </w:rPr>
        <w:t> </w:t>
      </w:r>
      <w:r>
        <w:rPr>
          <w:color w:val="231F20"/>
          <w:w w:val="120"/>
        </w:rPr>
        <w:t>dans</w:t>
      </w:r>
      <w:r>
        <w:rPr>
          <w:color w:val="231F20"/>
          <w:spacing w:val="-5"/>
          <w:w w:val="120"/>
        </w:rPr>
        <w:t> </w:t>
      </w:r>
      <w:r>
        <w:rPr>
          <w:color w:val="231F20"/>
          <w:w w:val="120"/>
        </w:rPr>
        <w:t>le</w:t>
      </w:r>
      <w:r>
        <w:rPr>
          <w:color w:val="231F20"/>
          <w:spacing w:val="-5"/>
          <w:w w:val="120"/>
        </w:rPr>
        <w:t> </w:t>
      </w:r>
      <w:r>
        <w:rPr>
          <w:color w:val="231F20"/>
          <w:w w:val="120"/>
        </w:rPr>
        <w:t>sang </w:t>
      </w:r>
      <w:r>
        <w:rPr>
          <w:color w:val="231F20"/>
          <w:spacing w:val="-2"/>
          <w:w w:val="120"/>
        </w:rPr>
        <w:t>tendent tous vers l’équilibre. La survenue d’un quelconque déséquilibre </w:t>
      </w:r>
      <w:r>
        <w:rPr>
          <w:color w:val="231F20"/>
          <w:w w:val="120"/>
        </w:rPr>
        <w:t>dans</w:t>
      </w:r>
      <w:r>
        <w:rPr>
          <w:color w:val="231F20"/>
          <w:spacing w:val="-3"/>
          <w:w w:val="120"/>
        </w:rPr>
        <w:t> </w:t>
      </w:r>
      <w:r>
        <w:rPr>
          <w:color w:val="231F20"/>
          <w:w w:val="120"/>
        </w:rPr>
        <w:t>les</w:t>
      </w:r>
      <w:r>
        <w:rPr>
          <w:color w:val="231F20"/>
          <w:spacing w:val="-3"/>
          <w:w w:val="120"/>
        </w:rPr>
        <w:t> </w:t>
      </w:r>
      <w:r>
        <w:rPr>
          <w:color w:val="231F20"/>
          <w:w w:val="120"/>
        </w:rPr>
        <w:t>processus</w:t>
      </w:r>
      <w:r>
        <w:rPr>
          <w:color w:val="231F20"/>
          <w:spacing w:val="-3"/>
          <w:w w:val="120"/>
        </w:rPr>
        <w:t> </w:t>
      </w:r>
      <w:r>
        <w:rPr>
          <w:color w:val="231F20"/>
          <w:w w:val="120"/>
        </w:rPr>
        <w:t>biologiques</w:t>
      </w:r>
      <w:r>
        <w:rPr>
          <w:color w:val="231F20"/>
          <w:spacing w:val="-3"/>
          <w:w w:val="120"/>
        </w:rPr>
        <w:t> </w:t>
      </w:r>
      <w:r>
        <w:rPr>
          <w:color w:val="231F20"/>
          <w:w w:val="120"/>
        </w:rPr>
        <w:t>crée</w:t>
      </w:r>
      <w:r>
        <w:rPr>
          <w:color w:val="231F20"/>
          <w:spacing w:val="-3"/>
          <w:w w:val="120"/>
        </w:rPr>
        <w:t> </w:t>
      </w:r>
      <w:r>
        <w:rPr>
          <w:color w:val="231F20"/>
          <w:w w:val="120"/>
        </w:rPr>
        <w:t>des</w:t>
      </w:r>
      <w:r>
        <w:rPr>
          <w:color w:val="231F20"/>
          <w:spacing w:val="-3"/>
          <w:w w:val="120"/>
        </w:rPr>
        <w:t> </w:t>
      </w:r>
      <w:r>
        <w:rPr>
          <w:color w:val="231F20"/>
          <w:w w:val="120"/>
        </w:rPr>
        <w:t>malaises,</w:t>
      </w:r>
      <w:r>
        <w:rPr>
          <w:color w:val="231F20"/>
          <w:spacing w:val="-3"/>
          <w:w w:val="120"/>
        </w:rPr>
        <w:t> </w:t>
      </w:r>
      <w:r>
        <w:rPr>
          <w:color w:val="231F20"/>
          <w:w w:val="120"/>
        </w:rPr>
        <w:t>des</w:t>
      </w:r>
      <w:r>
        <w:rPr>
          <w:color w:val="231F20"/>
          <w:spacing w:val="-3"/>
          <w:w w:val="120"/>
        </w:rPr>
        <w:t> </w:t>
      </w:r>
      <w:r>
        <w:rPr>
          <w:color w:val="231F20"/>
          <w:w w:val="120"/>
        </w:rPr>
        <w:t>inconforts,</w:t>
      </w:r>
      <w:r>
        <w:rPr>
          <w:color w:val="231F20"/>
          <w:spacing w:val="-3"/>
          <w:w w:val="120"/>
        </w:rPr>
        <w:t> </w:t>
      </w:r>
      <w:r>
        <w:rPr>
          <w:color w:val="231F20"/>
          <w:w w:val="120"/>
        </w:rPr>
        <w:t>voire </w:t>
      </w:r>
      <w:r>
        <w:rPr>
          <w:color w:val="231F20"/>
          <w:spacing w:val="-2"/>
          <w:w w:val="120"/>
        </w:rPr>
        <w:t>des</w:t>
      </w:r>
      <w:r>
        <w:rPr>
          <w:color w:val="231F20"/>
          <w:spacing w:val="-4"/>
          <w:w w:val="120"/>
        </w:rPr>
        <w:t> </w:t>
      </w:r>
      <w:r>
        <w:rPr>
          <w:color w:val="231F20"/>
          <w:spacing w:val="-2"/>
          <w:w w:val="120"/>
        </w:rPr>
        <w:t>maladies.</w:t>
      </w:r>
      <w:r>
        <w:rPr>
          <w:color w:val="231F20"/>
          <w:spacing w:val="-4"/>
          <w:w w:val="120"/>
        </w:rPr>
        <w:t> </w:t>
      </w:r>
      <w:r>
        <w:rPr>
          <w:color w:val="231F20"/>
          <w:spacing w:val="-2"/>
          <w:w w:val="120"/>
        </w:rPr>
        <w:t>Le</w:t>
      </w:r>
      <w:r>
        <w:rPr>
          <w:color w:val="231F20"/>
          <w:spacing w:val="-4"/>
          <w:w w:val="120"/>
        </w:rPr>
        <w:t> </w:t>
      </w:r>
      <w:r>
        <w:rPr>
          <w:color w:val="231F20"/>
          <w:spacing w:val="-2"/>
          <w:w w:val="120"/>
        </w:rPr>
        <w:t>corps</w:t>
      </w:r>
      <w:r>
        <w:rPr>
          <w:color w:val="231F20"/>
          <w:spacing w:val="-4"/>
          <w:w w:val="120"/>
        </w:rPr>
        <w:t> </w:t>
      </w:r>
      <w:r>
        <w:rPr>
          <w:color w:val="231F20"/>
          <w:spacing w:val="-2"/>
          <w:w w:val="120"/>
        </w:rPr>
        <w:t>comprend</w:t>
      </w:r>
      <w:r>
        <w:rPr>
          <w:color w:val="231F20"/>
          <w:spacing w:val="-4"/>
          <w:w w:val="120"/>
        </w:rPr>
        <w:t> </w:t>
      </w:r>
      <w:r>
        <w:rPr>
          <w:color w:val="231F20"/>
          <w:spacing w:val="-2"/>
          <w:w w:val="120"/>
        </w:rPr>
        <w:t>divers</w:t>
      </w:r>
      <w:r>
        <w:rPr>
          <w:color w:val="231F20"/>
          <w:spacing w:val="-4"/>
          <w:w w:val="120"/>
        </w:rPr>
        <w:t> </w:t>
      </w:r>
      <w:r>
        <w:rPr>
          <w:color w:val="231F20"/>
          <w:spacing w:val="-2"/>
          <w:w w:val="120"/>
        </w:rPr>
        <w:t>mécanismes</w:t>
      </w:r>
      <w:r>
        <w:rPr>
          <w:color w:val="231F20"/>
          <w:spacing w:val="-4"/>
          <w:w w:val="120"/>
        </w:rPr>
        <w:t> </w:t>
      </w:r>
      <w:r>
        <w:rPr>
          <w:color w:val="231F20"/>
          <w:spacing w:val="-2"/>
          <w:w w:val="120"/>
        </w:rPr>
        <w:t>permettant</w:t>
      </w:r>
      <w:r>
        <w:rPr>
          <w:color w:val="231F20"/>
          <w:spacing w:val="-4"/>
          <w:w w:val="120"/>
        </w:rPr>
        <w:t> </w:t>
      </w:r>
      <w:r>
        <w:rPr>
          <w:color w:val="231F20"/>
          <w:spacing w:val="-2"/>
          <w:w w:val="120"/>
        </w:rPr>
        <w:t>de</w:t>
      </w:r>
      <w:r>
        <w:rPr>
          <w:color w:val="231F20"/>
          <w:spacing w:val="-4"/>
          <w:w w:val="120"/>
        </w:rPr>
        <w:t> </w:t>
      </w:r>
      <w:r>
        <w:rPr>
          <w:color w:val="231F20"/>
          <w:spacing w:val="-2"/>
          <w:w w:val="120"/>
        </w:rPr>
        <w:t>pré- </w:t>
      </w:r>
      <w:r>
        <w:rPr>
          <w:color w:val="231F20"/>
          <w:w w:val="120"/>
        </w:rPr>
        <w:t>server</w:t>
      </w:r>
      <w:r>
        <w:rPr>
          <w:color w:val="231F20"/>
          <w:spacing w:val="-12"/>
          <w:w w:val="120"/>
        </w:rPr>
        <w:t> </w:t>
      </w:r>
      <w:r>
        <w:rPr>
          <w:color w:val="231F20"/>
          <w:w w:val="120"/>
        </w:rPr>
        <w:t>l’équilibre</w:t>
      </w:r>
      <w:r>
        <w:rPr>
          <w:color w:val="231F20"/>
          <w:spacing w:val="-12"/>
          <w:w w:val="120"/>
        </w:rPr>
        <w:t> </w:t>
      </w:r>
      <w:r>
        <w:rPr>
          <w:color w:val="231F20"/>
          <w:w w:val="120"/>
        </w:rPr>
        <w:t>de</w:t>
      </w:r>
      <w:r>
        <w:rPr>
          <w:color w:val="231F20"/>
          <w:spacing w:val="-12"/>
          <w:w w:val="120"/>
        </w:rPr>
        <w:t> </w:t>
      </w:r>
      <w:r>
        <w:rPr>
          <w:color w:val="231F20"/>
          <w:w w:val="120"/>
        </w:rPr>
        <w:t>ses</w:t>
      </w:r>
      <w:r>
        <w:rPr>
          <w:color w:val="231F20"/>
          <w:spacing w:val="-12"/>
          <w:w w:val="120"/>
        </w:rPr>
        <w:t> </w:t>
      </w:r>
      <w:r>
        <w:rPr>
          <w:color w:val="231F20"/>
          <w:w w:val="120"/>
        </w:rPr>
        <w:t>systèmes,</w:t>
      </w:r>
      <w:r>
        <w:rPr>
          <w:color w:val="231F20"/>
          <w:spacing w:val="-12"/>
          <w:w w:val="120"/>
        </w:rPr>
        <w:t> </w:t>
      </w:r>
      <w:r>
        <w:rPr>
          <w:color w:val="231F20"/>
          <w:w w:val="120"/>
        </w:rPr>
        <w:t>et</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est</w:t>
      </w:r>
      <w:r>
        <w:rPr>
          <w:color w:val="231F20"/>
          <w:spacing w:val="-12"/>
          <w:w w:val="120"/>
        </w:rPr>
        <w:t> </w:t>
      </w:r>
      <w:r>
        <w:rPr>
          <w:color w:val="231F20"/>
          <w:w w:val="120"/>
        </w:rPr>
        <w:t>indéniablement</w:t>
      </w:r>
      <w:r>
        <w:rPr>
          <w:color w:val="231F20"/>
          <w:spacing w:val="-12"/>
          <w:w w:val="120"/>
        </w:rPr>
        <w:t> </w:t>
      </w:r>
      <w:r>
        <w:rPr>
          <w:color w:val="231F20"/>
          <w:w w:val="120"/>
        </w:rPr>
        <w:t>un</w:t>
      </w:r>
      <w:r>
        <w:rPr>
          <w:color w:val="231F20"/>
          <w:spacing w:val="-12"/>
          <w:w w:val="120"/>
        </w:rPr>
        <w:t> </w:t>
      </w:r>
      <w:r>
        <w:rPr>
          <w:color w:val="231F20"/>
          <w:w w:val="120"/>
        </w:rPr>
        <w:t>des gardiens les plus importants du maintien de la stabilité.</w:t>
      </w:r>
    </w:p>
    <w:p>
      <w:pPr>
        <w:pStyle w:val="BodyText"/>
        <w:spacing w:line="307" w:lineRule="auto" w:before="77"/>
        <w:ind w:left="1180" w:right="246" w:firstLine="250"/>
        <w:jc w:val="both"/>
      </w:pPr>
      <w:r>
        <w:rPr>
          <w:color w:val="231F20"/>
          <w:w w:val="120"/>
        </w:rPr>
        <w:t>Ainsi,</w:t>
      </w:r>
      <w:r>
        <w:rPr>
          <w:color w:val="231F20"/>
          <w:spacing w:val="-13"/>
          <w:w w:val="120"/>
        </w:rPr>
        <w:t> </w:t>
      </w:r>
      <w:r>
        <w:rPr>
          <w:color w:val="231F20"/>
          <w:w w:val="120"/>
        </w:rPr>
        <w:t>chaque</w:t>
      </w:r>
      <w:r>
        <w:rPr>
          <w:color w:val="231F20"/>
          <w:spacing w:val="-13"/>
          <w:w w:val="120"/>
        </w:rPr>
        <w:t> </w:t>
      </w:r>
      <w:r>
        <w:rPr>
          <w:color w:val="231F20"/>
          <w:w w:val="120"/>
        </w:rPr>
        <w:t>fois</w:t>
      </w:r>
      <w:r>
        <w:rPr>
          <w:color w:val="231F20"/>
          <w:spacing w:val="-13"/>
          <w:w w:val="120"/>
        </w:rPr>
        <w:t> </w:t>
      </w:r>
      <w:r>
        <w:rPr>
          <w:color w:val="231F20"/>
          <w:w w:val="120"/>
        </w:rPr>
        <w:t>qu’un</w:t>
      </w:r>
      <w:r>
        <w:rPr>
          <w:color w:val="231F20"/>
          <w:spacing w:val="-12"/>
          <w:w w:val="120"/>
        </w:rPr>
        <w:t> </w:t>
      </w:r>
      <w:r>
        <w:rPr>
          <w:color w:val="231F20"/>
          <w:w w:val="120"/>
        </w:rPr>
        <w:t>stresseur</w:t>
      </w:r>
      <w:r>
        <w:rPr>
          <w:color w:val="231F20"/>
          <w:spacing w:val="-13"/>
          <w:w w:val="120"/>
        </w:rPr>
        <w:t> </w:t>
      </w:r>
      <w:r>
        <w:rPr>
          <w:color w:val="231F20"/>
          <w:w w:val="120"/>
        </w:rPr>
        <w:t>menace</w:t>
      </w:r>
      <w:r>
        <w:rPr>
          <w:color w:val="231F20"/>
          <w:spacing w:val="-13"/>
          <w:w w:val="120"/>
        </w:rPr>
        <w:t> </w:t>
      </w:r>
      <w:r>
        <w:rPr>
          <w:color w:val="231F20"/>
          <w:w w:val="120"/>
        </w:rPr>
        <w:t>réellement</w:t>
      </w:r>
      <w:r>
        <w:rPr>
          <w:color w:val="231F20"/>
          <w:spacing w:val="-13"/>
          <w:w w:val="120"/>
        </w:rPr>
        <w:t> </w:t>
      </w:r>
      <w:r>
        <w:rPr>
          <w:color w:val="231F20"/>
          <w:w w:val="120"/>
        </w:rPr>
        <w:t>ou</w:t>
      </w:r>
      <w:r>
        <w:rPr>
          <w:color w:val="231F20"/>
          <w:spacing w:val="-12"/>
          <w:w w:val="120"/>
        </w:rPr>
        <w:t> </w:t>
      </w:r>
      <w:r>
        <w:rPr>
          <w:color w:val="231F20"/>
          <w:w w:val="120"/>
        </w:rPr>
        <w:t>perceptive- </w:t>
      </w:r>
      <w:r>
        <w:rPr>
          <w:color w:val="231F20"/>
          <w:w w:val="115"/>
        </w:rPr>
        <w:t>ment</w:t>
      </w:r>
      <w:r>
        <w:rPr>
          <w:color w:val="231F20"/>
          <w:spacing w:val="-4"/>
          <w:w w:val="115"/>
        </w:rPr>
        <w:t> </w:t>
      </w:r>
      <w:r>
        <w:rPr>
          <w:color w:val="231F20"/>
          <w:w w:val="115"/>
        </w:rPr>
        <w:t>l’équilibre</w:t>
      </w:r>
      <w:r>
        <w:rPr>
          <w:color w:val="231F20"/>
          <w:spacing w:val="-4"/>
          <w:w w:val="115"/>
        </w:rPr>
        <w:t> </w:t>
      </w:r>
      <w:r>
        <w:rPr>
          <w:color w:val="231F20"/>
          <w:w w:val="115"/>
        </w:rPr>
        <w:t>physique</w:t>
      </w:r>
      <w:r>
        <w:rPr>
          <w:color w:val="231F20"/>
          <w:spacing w:val="-4"/>
          <w:w w:val="115"/>
        </w:rPr>
        <w:t> </w:t>
      </w:r>
      <w:r>
        <w:rPr>
          <w:color w:val="231F20"/>
          <w:w w:val="115"/>
        </w:rPr>
        <w:t>ou</w:t>
      </w:r>
      <w:r>
        <w:rPr>
          <w:color w:val="231F20"/>
          <w:spacing w:val="-4"/>
          <w:w w:val="115"/>
        </w:rPr>
        <w:t> </w:t>
      </w:r>
      <w:r>
        <w:rPr>
          <w:color w:val="231F20"/>
          <w:w w:val="115"/>
        </w:rPr>
        <w:t>psychologique</w:t>
      </w:r>
      <w:r>
        <w:rPr>
          <w:color w:val="231F20"/>
          <w:spacing w:val="-4"/>
          <w:w w:val="115"/>
        </w:rPr>
        <w:t> </w:t>
      </w:r>
      <w:r>
        <w:rPr>
          <w:color w:val="231F20"/>
          <w:w w:val="115"/>
        </w:rPr>
        <w:t>d’une</w:t>
      </w:r>
      <w:r>
        <w:rPr>
          <w:color w:val="231F20"/>
          <w:spacing w:val="-4"/>
          <w:w w:val="115"/>
        </w:rPr>
        <w:t> </w:t>
      </w:r>
      <w:r>
        <w:rPr>
          <w:color w:val="231F20"/>
          <w:w w:val="115"/>
        </w:rPr>
        <w:t>personne,</w:t>
      </w:r>
      <w:r>
        <w:rPr>
          <w:color w:val="231F20"/>
          <w:spacing w:val="-4"/>
          <w:w w:val="115"/>
        </w:rPr>
        <w:t> </w:t>
      </w:r>
      <w:r>
        <w:rPr>
          <w:color w:val="231F20"/>
          <w:w w:val="115"/>
        </w:rPr>
        <w:t>le</w:t>
      </w:r>
      <w:r>
        <w:rPr>
          <w:color w:val="231F20"/>
          <w:spacing w:val="-4"/>
          <w:w w:val="115"/>
        </w:rPr>
        <w:t> </w:t>
      </w:r>
      <w:r>
        <w:rPr>
          <w:color w:val="231F20"/>
          <w:w w:val="115"/>
        </w:rPr>
        <w:t>processus </w:t>
      </w:r>
      <w:r>
        <w:rPr>
          <w:color w:val="231F20"/>
          <w:spacing w:val="-2"/>
          <w:w w:val="120"/>
        </w:rPr>
        <w:t>de</w:t>
      </w:r>
      <w:r>
        <w:rPr>
          <w:color w:val="231F20"/>
          <w:spacing w:val="-11"/>
          <w:w w:val="120"/>
        </w:rPr>
        <w:t> </w:t>
      </w:r>
      <w:r>
        <w:rPr>
          <w:color w:val="231F20"/>
          <w:spacing w:val="-2"/>
          <w:w w:val="120"/>
        </w:rPr>
        <w:t>stress</w:t>
      </w:r>
      <w:r>
        <w:rPr>
          <w:color w:val="231F20"/>
          <w:spacing w:val="-11"/>
          <w:w w:val="120"/>
        </w:rPr>
        <w:t> </w:t>
      </w:r>
      <w:r>
        <w:rPr>
          <w:color w:val="231F20"/>
          <w:spacing w:val="-2"/>
          <w:w w:val="120"/>
        </w:rPr>
        <w:t>est</w:t>
      </w:r>
      <w:r>
        <w:rPr>
          <w:color w:val="231F20"/>
          <w:spacing w:val="-11"/>
          <w:w w:val="120"/>
        </w:rPr>
        <w:t> </w:t>
      </w:r>
      <w:r>
        <w:rPr>
          <w:color w:val="231F20"/>
          <w:spacing w:val="-2"/>
          <w:w w:val="120"/>
        </w:rPr>
        <w:t>enclenché.</w:t>
      </w:r>
      <w:r>
        <w:rPr>
          <w:color w:val="231F20"/>
          <w:spacing w:val="-10"/>
          <w:w w:val="120"/>
        </w:rPr>
        <w:t> </w:t>
      </w:r>
      <w:r>
        <w:rPr>
          <w:color w:val="231F20"/>
          <w:spacing w:val="-2"/>
          <w:w w:val="120"/>
        </w:rPr>
        <w:t>Nous</w:t>
      </w:r>
      <w:r>
        <w:rPr>
          <w:color w:val="231F20"/>
          <w:spacing w:val="-11"/>
          <w:w w:val="120"/>
        </w:rPr>
        <w:t> </w:t>
      </w:r>
      <w:r>
        <w:rPr>
          <w:color w:val="231F20"/>
          <w:spacing w:val="-2"/>
          <w:w w:val="120"/>
        </w:rPr>
        <w:t>y</w:t>
      </w:r>
      <w:r>
        <w:rPr>
          <w:color w:val="231F20"/>
          <w:spacing w:val="-11"/>
          <w:w w:val="120"/>
        </w:rPr>
        <w:t> </w:t>
      </w:r>
      <w:r>
        <w:rPr>
          <w:color w:val="231F20"/>
          <w:spacing w:val="-2"/>
          <w:w w:val="120"/>
        </w:rPr>
        <w:t>reviendrons</w:t>
      </w:r>
      <w:r>
        <w:rPr>
          <w:color w:val="231F20"/>
          <w:spacing w:val="-11"/>
          <w:w w:val="120"/>
        </w:rPr>
        <w:t> </w:t>
      </w:r>
      <w:r>
        <w:rPr>
          <w:color w:val="231F20"/>
          <w:spacing w:val="-2"/>
          <w:w w:val="120"/>
        </w:rPr>
        <w:t>plus</w:t>
      </w:r>
      <w:r>
        <w:rPr>
          <w:color w:val="231F20"/>
          <w:spacing w:val="-10"/>
          <w:w w:val="120"/>
        </w:rPr>
        <w:t> </w:t>
      </w:r>
      <w:r>
        <w:rPr>
          <w:color w:val="231F20"/>
          <w:spacing w:val="-2"/>
          <w:w w:val="120"/>
        </w:rPr>
        <w:t>tard,</w:t>
      </w:r>
      <w:r>
        <w:rPr>
          <w:color w:val="231F20"/>
          <w:spacing w:val="-11"/>
          <w:w w:val="120"/>
        </w:rPr>
        <w:t> </w:t>
      </w:r>
      <w:r>
        <w:rPr>
          <w:color w:val="231F20"/>
          <w:spacing w:val="-2"/>
          <w:w w:val="120"/>
        </w:rPr>
        <w:t>mais</w:t>
      </w:r>
      <w:r>
        <w:rPr>
          <w:color w:val="231F20"/>
          <w:spacing w:val="-11"/>
          <w:w w:val="120"/>
        </w:rPr>
        <w:t> </w:t>
      </w:r>
      <w:r>
        <w:rPr>
          <w:color w:val="231F20"/>
          <w:spacing w:val="-2"/>
          <w:w w:val="120"/>
        </w:rPr>
        <w:t>pour</w:t>
      </w:r>
      <w:r>
        <w:rPr>
          <w:color w:val="231F20"/>
          <w:spacing w:val="-11"/>
          <w:w w:val="120"/>
        </w:rPr>
        <w:t> </w:t>
      </w:r>
      <w:r>
        <w:rPr>
          <w:color w:val="231F20"/>
          <w:spacing w:val="-2"/>
          <w:w w:val="120"/>
        </w:rPr>
        <w:t>l’instant, mentionnons</w:t>
      </w:r>
      <w:r>
        <w:rPr>
          <w:color w:val="231F20"/>
          <w:spacing w:val="-13"/>
          <w:w w:val="120"/>
        </w:rPr>
        <w:t> </w:t>
      </w:r>
      <w:r>
        <w:rPr>
          <w:color w:val="231F20"/>
          <w:spacing w:val="-2"/>
          <w:w w:val="120"/>
        </w:rPr>
        <w:t>que</w:t>
      </w:r>
      <w:r>
        <w:rPr>
          <w:color w:val="231F20"/>
          <w:spacing w:val="-13"/>
          <w:w w:val="120"/>
        </w:rPr>
        <w:t> </w:t>
      </w:r>
      <w:r>
        <w:rPr>
          <w:color w:val="231F20"/>
          <w:spacing w:val="-2"/>
          <w:w w:val="120"/>
        </w:rPr>
        <w:t>chaque</w:t>
      </w:r>
      <w:r>
        <w:rPr>
          <w:color w:val="231F20"/>
          <w:spacing w:val="-13"/>
          <w:w w:val="120"/>
        </w:rPr>
        <w:t> </w:t>
      </w:r>
      <w:r>
        <w:rPr>
          <w:color w:val="231F20"/>
          <w:spacing w:val="-2"/>
          <w:w w:val="120"/>
        </w:rPr>
        <w:t>bris</w:t>
      </w:r>
      <w:r>
        <w:rPr>
          <w:color w:val="231F20"/>
          <w:spacing w:val="-13"/>
          <w:w w:val="120"/>
        </w:rPr>
        <w:t> </w:t>
      </w:r>
      <w:r>
        <w:rPr>
          <w:color w:val="231F20"/>
          <w:spacing w:val="-2"/>
          <w:w w:val="120"/>
        </w:rPr>
        <w:t>d’homéostasie</w:t>
      </w:r>
      <w:r>
        <w:rPr>
          <w:color w:val="231F20"/>
          <w:spacing w:val="-13"/>
          <w:w w:val="120"/>
        </w:rPr>
        <w:t> </w:t>
      </w:r>
      <w:r>
        <w:rPr>
          <w:color w:val="231F20"/>
          <w:spacing w:val="-2"/>
          <w:w w:val="120"/>
        </w:rPr>
        <w:t>perçu</w:t>
      </w:r>
      <w:r>
        <w:rPr>
          <w:color w:val="231F20"/>
          <w:spacing w:val="-13"/>
          <w:w w:val="120"/>
        </w:rPr>
        <w:t> </w:t>
      </w:r>
      <w:r>
        <w:rPr>
          <w:color w:val="231F20"/>
          <w:spacing w:val="-2"/>
          <w:w w:val="120"/>
        </w:rPr>
        <w:t>par</w:t>
      </w:r>
      <w:r>
        <w:rPr>
          <w:color w:val="231F20"/>
          <w:spacing w:val="-13"/>
          <w:w w:val="120"/>
        </w:rPr>
        <w:t> </w:t>
      </w:r>
      <w:r>
        <w:rPr>
          <w:color w:val="231F20"/>
          <w:spacing w:val="-2"/>
          <w:w w:val="120"/>
        </w:rPr>
        <w:t>un</w:t>
      </w:r>
      <w:r>
        <w:rPr>
          <w:color w:val="231F20"/>
          <w:spacing w:val="-13"/>
          <w:w w:val="120"/>
        </w:rPr>
        <w:t> </w:t>
      </w:r>
      <w:r>
        <w:rPr>
          <w:color w:val="231F20"/>
          <w:spacing w:val="-2"/>
          <w:w w:val="120"/>
        </w:rPr>
        <w:t>centre</w:t>
      </w:r>
      <w:r>
        <w:rPr>
          <w:color w:val="231F20"/>
          <w:spacing w:val="-13"/>
          <w:w w:val="120"/>
        </w:rPr>
        <w:t> </w:t>
      </w:r>
      <w:r>
        <w:rPr>
          <w:color w:val="231F20"/>
          <w:spacing w:val="-2"/>
          <w:w w:val="120"/>
        </w:rPr>
        <w:t>nerveux</w:t>
      </w:r>
    </w:p>
    <w:p>
      <w:pPr>
        <w:spacing w:after="0" w:line="307" w:lineRule="auto"/>
        <w:jc w:val="both"/>
        <w:sectPr>
          <w:footerReference w:type="default" r:id="rId63"/>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6"/>
        <w:jc w:val="both"/>
      </w:pPr>
      <w:r>
        <w:rPr>
          <w:color w:val="231F20"/>
          <w:w w:val="120"/>
        </w:rPr>
        <w:t>qui</w:t>
      </w:r>
      <w:r>
        <w:rPr>
          <w:color w:val="231F20"/>
          <w:spacing w:val="-13"/>
          <w:w w:val="120"/>
        </w:rPr>
        <w:t> </w:t>
      </w:r>
      <w:r>
        <w:rPr>
          <w:color w:val="231F20"/>
          <w:w w:val="120"/>
        </w:rPr>
        <w:t>s’appelle</w:t>
      </w:r>
      <w:r>
        <w:rPr>
          <w:color w:val="231F20"/>
          <w:spacing w:val="-13"/>
          <w:w w:val="120"/>
        </w:rPr>
        <w:t> </w:t>
      </w:r>
      <w:r>
        <w:rPr>
          <w:color w:val="231F20"/>
          <w:w w:val="120"/>
        </w:rPr>
        <w:t>l’hypothalamus</w:t>
      </w:r>
      <w:r>
        <w:rPr>
          <w:color w:val="231F20"/>
          <w:spacing w:val="-13"/>
          <w:w w:val="120"/>
        </w:rPr>
        <w:t> </w:t>
      </w:r>
      <w:r>
        <w:rPr>
          <w:color w:val="231F20"/>
          <w:w w:val="120"/>
        </w:rPr>
        <w:t>est</w:t>
      </w:r>
      <w:r>
        <w:rPr>
          <w:color w:val="231F20"/>
          <w:spacing w:val="-12"/>
          <w:w w:val="120"/>
        </w:rPr>
        <w:t> </w:t>
      </w:r>
      <w:r>
        <w:rPr>
          <w:color w:val="231F20"/>
          <w:w w:val="120"/>
        </w:rPr>
        <w:t>immédiatement</w:t>
      </w:r>
      <w:r>
        <w:rPr>
          <w:color w:val="231F20"/>
          <w:spacing w:val="-13"/>
          <w:w w:val="120"/>
        </w:rPr>
        <w:t> </w:t>
      </w:r>
      <w:r>
        <w:rPr>
          <w:color w:val="231F20"/>
          <w:w w:val="120"/>
        </w:rPr>
        <w:t>et</w:t>
      </w:r>
      <w:r>
        <w:rPr>
          <w:color w:val="231F20"/>
          <w:spacing w:val="-13"/>
          <w:w w:val="120"/>
        </w:rPr>
        <w:t> </w:t>
      </w:r>
      <w:r>
        <w:rPr>
          <w:color w:val="231F20"/>
          <w:w w:val="120"/>
        </w:rPr>
        <w:t>rapidement</w:t>
      </w:r>
      <w:r>
        <w:rPr>
          <w:color w:val="231F20"/>
          <w:spacing w:val="-13"/>
          <w:w w:val="120"/>
        </w:rPr>
        <w:t> </w:t>
      </w:r>
      <w:r>
        <w:rPr>
          <w:color w:val="231F20"/>
          <w:w w:val="120"/>
        </w:rPr>
        <w:t>suivi</w:t>
      </w:r>
      <w:r>
        <w:rPr>
          <w:color w:val="231F20"/>
          <w:spacing w:val="-12"/>
          <w:w w:val="120"/>
        </w:rPr>
        <w:t> </w:t>
      </w:r>
      <w:r>
        <w:rPr>
          <w:color w:val="231F20"/>
          <w:w w:val="120"/>
        </w:rPr>
        <w:t>du déclenchement de la sécrétion de diverses hormones d’adaptation, les plus connues étant l’adrénaline et le cortisol2.</w:t>
      </w:r>
    </w:p>
    <w:p>
      <w:pPr>
        <w:pStyle w:val="BodyText"/>
        <w:spacing w:line="307" w:lineRule="auto" w:before="80"/>
        <w:ind w:left="790" w:right="636" w:firstLine="250"/>
        <w:jc w:val="both"/>
      </w:pPr>
      <w:r>
        <w:rPr>
          <w:color w:val="231F20"/>
          <w:w w:val="120"/>
        </w:rPr>
        <w:t>Ainsi, le rôle premier du stress est de favoriser un rapide retour à l’équilibre. Assez simplement, plus le déséquilibre sera grand, plus le </w:t>
      </w:r>
      <w:r>
        <w:rPr>
          <w:color w:val="231F20"/>
          <w:w w:val="115"/>
        </w:rPr>
        <w:t>niveau</w:t>
      </w:r>
      <w:r>
        <w:rPr>
          <w:color w:val="231F20"/>
          <w:spacing w:val="-11"/>
          <w:w w:val="115"/>
        </w:rPr>
        <w:t> </w:t>
      </w:r>
      <w:r>
        <w:rPr>
          <w:color w:val="231F20"/>
          <w:w w:val="115"/>
        </w:rPr>
        <w:t>nécessaire</w:t>
      </w:r>
      <w:r>
        <w:rPr>
          <w:color w:val="231F20"/>
          <w:spacing w:val="-11"/>
          <w:w w:val="115"/>
        </w:rPr>
        <w:t> </w:t>
      </w:r>
      <w:r>
        <w:rPr>
          <w:color w:val="231F20"/>
          <w:w w:val="115"/>
        </w:rPr>
        <w:t>de</w:t>
      </w:r>
      <w:r>
        <w:rPr>
          <w:color w:val="231F20"/>
          <w:spacing w:val="-11"/>
          <w:w w:val="115"/>
        </w:rPr>
        <w:t> </w:t>
      </w:r>
      <w:r>
        <w:rPr>
          <w:color w:val="231F20"/>
          <w:w w:val="115"/>
        </w:rPr>
        <w:t>stress</w:t>
      </w:r>
      <w:r>
        <w:rPr>
          <w:color w:val="231F20"/>
          <w:spacing w:val="-11"/>
          <w:w w:val="115"/>
        </w:rPr>
        <w:t> </w:t>
      </w:r>
      <w:r>
        <w:rPr>
          <w:color w:val="231F20"/>
          <w:w w:val="115"/>
        </w:rPr>
        <w:t>pour</w:t>
      </w:r>
      <w:r>
        <w:rPr>
          <w:color w:val="231F20"/>
          <w:spacing w:val="-11"/>
          <w:w w:val="115"/>
        </w:rPr>
        <w:t> </w:t>
      </w:r>
      <w:r>
        <w:rPr>
          <w:color w:val="231F20"/>
          <w:w w:val="115"/>
        </w:rPr>
        <w:t>retrouver</w:t>
      </w:r>
      <w:r>
        <w:rPr>
          <w:color w:val="231F20"/>
          <w:spacing w:val="-11"/>
          <w:w w:val="115"/>
        </w:rPr>
        <w:t> </w:t>
      </w:r>
      <w:r>
        <w:rPr>
          <w:color w:val="231F20"/>
          <w:w w:val="115"/>
        </w:rPr>
        <w:t>l’équilibre</w:t>
      </w:r>
      <w:r>
        <w:rPr>
          <w:color w:val="231F20"/>
          <w:spacing w:val="-11"/>
          <w:w w:val="115"/>
        </w:rPr>
        <w:t> </w:t>
      </w:r>
      <w:r>
        <w:rPr>
          <w:color w:val="231F20"/>
          <w:w w:val="115"/>
        </w:rPr>
        <w:t>sera</w:t>
      </w:r>
      <w:r>
        <w:rPr>
          <w:color w:val="231F20"/>
          <w:spacing w:val="-11"/>
          <w:w w:val="115"/>
        </w:rPr>
        <w:t> </w:t>
      </w:r>
      <w:r>
        <w:rPr>
          <w:color w:val="231F20"/>
          <w:w w:val="115"/>
        </w:rPr>
        <w:t>important.</w:t>
      </w:r>
      <w:r>
        <w:rPr>
          <w:color w:val="231F20"/>
          <w:spacing w:val="-11"/>
          <w:w w:val="115"/>
        </w:rPr>
        <w:t> </w:t>
      </w:r>
      <w:r>
        <w:rPr>
          <w:color w:val="231F20"/>
          <w:w w:val="115"/>
        </w:rPr>
        <w:t>C’est ce</w:t>
      </w:r>
      <w:r>
        <w:rPr>
          <w:color w:val="231F20"/>
          <w:spacing w:val="-4"/>
          <w:w w:val="115"/>
        </w:rPr>
        <w:t> </w:t>
      </w:r>
      <w:r>
        <w:rPr>
          <w:color w:val="231F20"/>
          <w:w w:val="115"/>
        </w:rPr>
        <w:t>qu’on</w:t>
      </w:r>
      <w:r>
        <w:rPr>
          <w:color w:val="231F20"/>
          <w:spacing w:val="-4"/>
          <w:w w:val="115"/>
        </w:rPr>
        <w:t> </w:t>
      </w:r>
      <w:r>
        <w:rPr>
          <w:color w:val="231F20"/>
          <w:w w:val="115"/>
        </w:rPr>
        <w:t>appelle</w:t>
      </w:r>
      <w:r>
        <w:rPr>
          <w:color w:val="231F20"/>
          <w:spacing w:val="-4"/>
          <w:w w:val="115"/>
        </w:rPr>
        <w:t> </w:t>
      </w:r>
      <w:r>
        <w:rPr>
          <w:color w:val="231F20"/>
          <w:w w:val="115"/>
        </w:rPr>
        <w:t>la</w:t>
      </w:r>
      <w:r>
        <w:rPr>
          <w:color w:val="231F20"/>
          <w:spacing w:val="-4"/>
          <w:w w:val="115"/>
        </w:rPr>
        <w:t> </w:t>
      </w:r>
      <w:r>
        <w:rPr>
          <w:color w:val="231F20"/>
          <w:w w:val="115"/>
        </w:rPr>
        <w:t>charge</w:t>
      </w:r>
      <w:r>
        <w:rPr>
          <w:color w:val="231F20"/>
          <w:spacing w:val="-4"/>
          <w:w w:val="115"/>
        </w:rPr>
        <w:t> </w:t>
      </w:r>
      <w:r>
        <w:rPr>
          <w:color w:val="231F20"/>
          <w:w w:val="115"/>
        </w:rPr>
        <w:t>allostatique,</w:t>
      </w:r>
      <w:r>
        <w:rPr>
          <w:color w:val="231F20"/>
          <w:spacing w:val="-4"/>
          <w:w w:val="115"/>
        </w:rPr>
        <w:t> </w:t>
      </w:r>
      <w:r>
        <w:rPr>
          <w:color w:val="231F20"/>
          <w:w w:val="115"/>
        </w:rPr>
        <w:t>c’est-à-dire</w:t>
      </w:r>
      <w:r>
        <w:rPr>
          <w:color w:val="231F20"/>
          <w:spacing w:val="-4"/>
          <w:w w:val="115"/>
        </w:rPr>
        <w:t> </w:t>
      </w:r>
      <w:r>
        <w:rPr>
          <w:color w:val="231F20"/>
          <w:w w:val="115"/>
        </w:rPr>
        <w:t>l’effort</w:t>
      </w:r>
      <w:r>
        <w:rPr>
          <w:color w:val="231F20"/>
          <w:spacing w:val="-4"/>
          <w:w w:val="115"/>
        </w:rPr>
        <w:t> </w:t>
      </w:r>
      <w:r>
        <w:rPr>
          <w:color w:val="231F20"/>
          <w:w w:val="115"/>
        </w:rPr>
        <w:t>déployé</w:t>
      </w:r>
      <w:r>
        <w:rPr>
          <w:color w:val="231F20"/>
          <w:spacing w:val="-4"/>
          <w:w w:val="115"/>
        </w:rPr>
        <w:t> </w:t>
      </w:r>
      <w:r>
        <w:rPr>
          <w:color w:val="231F20"/>
          <w:w w:val="115"/>
        </w:rPr>
        <w:t>par</w:t>
      </w:r>
      <w:r>
        <w:rPr>
          <w:color w:val="231F20"/>
          <w:spacing w:val="-4"/>
          <w:w w:val="115"/>
        </w:rPr>
        <w:t> </w:t>
      </w:r>
      <w:r>
        <w:rPr>
          <w:color w:val="231F20"/>
          <w:w w:val="115"/>
        </w:rPr>
        <w:t>le </w:t>
      </w:r>
      <w:r>
        <w:rPr>
          <w:color w:val="231F20"/>
          <w:w w:val="120"/>
        </w:rPr>
        <w:t>corps</w:t>
      </w:r>
      <w:r>
        <w:rPr>
          <w:color w:val="231F20"/>
          <w:spacing w:val="-3"/>
          <w:w w:val="120"/>
        </w:rPr>
        <w:t> </w:t>
      </w:r>
      <w:r>
        <w:rPr>
          <w:color w:val="231F20"/>
          <w:w w:val="120"/>
        </w:rPr>
        <w:t>pour</w:t>
      </w:r>
      <w:r>
        <w:rPr>
          <w:color w:val="231F20"/>
          <w:spacing w:val="-3"/>
          <w:w w:val="120"/>
        </w:rPr>
        <w:t> </w:t>
      </w:r>
      <w:r>
        <w:rPr>
          <w:color w:val="231F20"/>
          <w:w w:val="120"/>
        </w:rPr>
        <w:t>maintenir</w:t>
      </w:r>
      <w:r>
        <w:rPr>
          <w:color w:val="231F20"/>
          <w:spacing w:val="-3"/>
          <w:w w:val="120"/>
        </w:rPr>
        <w:t> </w:t>
      </w:r>
      <w:r>
        <w:rPr>
          <w:color w:val="231F20"/>
          <w:w w:val="120"/>
        </w:rPr>
        <w:t>l’équilibre,</w:t>
      </w:r>
      <w:r>
        <w:rPr>
          <w:color w:val="231F20"/>
          <w:spacing w:val="-3"/>
          <w:w w:val="120"/>
        </w:rPr>
        <w:t> </w:t>
      </w:r>
      <w:r>
        <w:rPr>
          <w:color w:val="231F20"/>
          <w:w w:val="120"/>
        </w:rPr>
        <w:t>malgré</w:t>
      </w:r>
      <w:r>
        <w:rPr>
          <w:color w:val="231F20"/>
          <w:spacing w:val="-3"/>
          <w:w w:val="120"/>
        </w:rPr>
        <w:t> </w:t>
      </w:r>
      <w:r>
        <w:rPr>
          <w:color w:val="231F20"/>
          <w:w w:val="120"/>
        </w:rPr>
        <w:t>des</w:t>
      </w:r>
      <w:r>
        <w:rPr>
          <w:color w:val="231F20"/>
          <w:spacing w:val="-3"/>
          <w:w w:val="120"/>
        </w:rPr>
        <w:t> </w:t>
      </w:r>
      <w:r>
        <w:rPr>
          <w:color w:val="231F20"/>
          <w:w w:val="120"/>
        </w:rPr>
        <w:t>forces</w:t>
      </w:r>
      <w:r>
        <w:rPr>
          <w:color w:val="231F20"/>
          <w:spacing w:val="-3"/>
          <w:w w:val="120"/>
        </w:rPr>
        <w:t> </w:t>
      </w:r>
      <w:r>
        <w:rPr>
          <w:color w:val="231F20"/>
          <w:w w:val="120"/>
        </w:rPr>
        <w:t>environnementales qui</w:t>
      </w:r>
      <w:r>
        <w:rPr>
          <w:color w:val="231F20"/>
          <w:spacing w:val="-5"/>
          <w:w w:val="120"/>
        </w:rPr>
        <w:t> </w:t>
      </w:r>
      <w:r>
        <w:rPr>
          <w:color w:val="231F20"/>
          <w:w w:val="120"/>
        </w:rPr>
        <w:t>provoquent</w:t>
      </w:r>
      <w:r>
        <w:rPr>
          <w:color w:val="231F20"/>
          <w:spacing w:val="-5"/>
          <w:w w:val="120"/>
        </w:rPr>
        <w:t> </w:t>
      </w:r>
      <w:r>
        <w:rPr>
          <w:color w:val="231F20"/>
          <w:w w:val="120"/>
        </w:rPr>
        <w:t>l’inverse.</w:t>
      </w:r>
      <w:r>
        <w:rPr>
          <w:color w:val="231F20"/>
          <w:spacing w:val="-5"/>
          <w:w w:val="120"/>
        </w:rPr>
        <w:t> </w:t>
      </w:r>
      <w:r>
        <w:rPr>
          <w:color w:val="231F20"/>
          <w:w w:val="120"/>
        </w:rPr>
        <w:t>Cela</w:t>
      </w:r>
      <w:r>
        <w:rPr>
          <w:color w:val="231F20"/>
          <w:spacing w:val="-5"/>
          <w:w w:val="120"/>
        </w:rPr>
        <w:t> </w:t>
      </w:r>
      <w:r>
        <w:rPr>
          <w:color w:val="231F20"/>
          <w:w w:val="120"/>
        </w:rPr>
        <w:t>est</w:t>
      </w:r>
      <w:r>
        <w:rPr>
          <w:color w:val="231F20"/>
          <w:spacing w:val="-5"/>
          <w:w w:val="120"/>
        </w:rPr>
        <w:t> </w:t>
      </w:r>
      <w:r>
        <w:rPr>
          <w:color w:val="231F20"/>
          <w:w w:val="120"/>
        </w:rPr>
        <w:t>vrai</w:t>
      </w:r>
      <w:r>
        <w:rPr>
          <w:color w:val="231F20"/>
          <w:spacing w:val="-5"/>
          <w:w w:val="120"/>
        </w:rPr>
        <w:t> </w:t>
      </w:r>
      <w:r>
        <w:rPr>
          <w:color w:val="231F20"/>
          <w:w w:val="120"/>
        </w:rPr>
        <w:t>sur</w:t>
      </w:r>
      <w:r>
        <w:rPr>
          <w:color w:val="231F20"/>
          <w:spacing w:val="-5"/>
          <w:w w:val="120"/>
        </w:rPr>
        <w:t> </w:t>
      </w:r>
      <w:r>
        <w:rPr>
          <w:color w:val="231F20"/>
          <w:w w:val="120"/>
        </w:rPr>
        <w:t>le</w:t>
      </w:r>
      <w:r>
        <w:rPr>
          <w:color w:val="231F20"/>
          <w:spacing w:val="-5"/>
          <w:w w:val="120"/>
        </w:rPr>
        <w:t> </w:t>
      </w:r>
      <w:r>
        <w:rPr>
          <w:color w:val="231F20"/>
          <w:w w:val="120"/>
        </w:rPr>
        <w:t>plan</w:t>
      </w:r>
      <w:r>
        <w:rPr>
          <w:color w:val="231F20"/>
          <w:spacing w:val="-5"/>
          <w:w w:val="120"/>
        </w:rPr>
        <w:t> </w:t>
      </w:r>
      <w:r>
        <w:rPr>
          <w:color w:val="231F20"/>
          <w:w w:val="120"/>
        </w:rPr>
        <w:t>physique,</w:t>
      </w:r>
      <w:r>
        <w:rPr>
          <w:color w:val="231F20"/>
          <w:spacing w:val="-5"/>
          <w:w w:val="120"/>
        </w:rPr>
        <w:t> </w:t>
      </w:r>
      <w:r>
        <w:rPr>
          <w:color w:val="231F20"/>
          <w:w w:val="120"/>
        </w:rPr>
        <w:t>mais</w:t>
      </w:r>
      <w:r>
        <w:rPr>
          <w:color w:val="231F20"/>
          <w:spacing w:val="-5"/>
          <w:w w:val="120"/>
        </w:rPr>
        <w:t> </w:t>
      </w:r>
      <w:r>
        <w:rPr>
          <w:color w:val="231F20"/>
          <w:w w:val="120"/>
        </w:rPr>
        <w:t>aussi sur le plan psychologique, d’où l’origine de l’expression populaire de l’importance de maintenir un bon «</w:t>
      </w:r>
      <w:r>
        <w:rPr>
          <w:color w:val="231F20"/>
          <w:spacing w:val="-27"/>
          <w:w w:val="120"/>
        </w:rPr>
        <w:t> </w:t>
      </w:r>
      <w:r>
        <w:rPr>
          <w:color w:val="231F20"/>
          <w:w w:val="120"/>
        </w:rPr>
        <w:t>équilibre psychologique».</w:t>
      </w:r>
    </w:p>
    <w:p>
      <w:pPr>
        <w:pStyle w:val="BodyText"/>
        <w:spacing w:line="307" w:lineRule="auto" w:before="78"/>
        <w:ind w:left="790" w:right="634" w:firstLine="250"/>
        <w:jc w:val="both"/>
      </w:pPr>
      <w:r>
        <w:rPr>
          <w:color w:val="231F20"/>
          <w:w w:val="120"/>
        </w:rPr>
        <w:t>Cette</w:t>
      </w:r>
      <w:r>
        <w:rPr>
          <w:color w:val="231F20"/>
          <w:spacing w:val="-13"/>
          <w:w w:val="120"/>
        </w:rPr>
        <w:t> </w:t>
      </w:r>
      <w:r>
        <w:rPr>
          <w:color w:val="231F20"/>
          <w:w w:val="120"/>
        </w:rPr>
        <w:t>logique</w:t>
      </w:r>
      <w:r>
        <w:rPr>
          <w:color w:val="231F20"/>
          <w:spacing w:val="-13"/>
          <w:w w:val="120"/>
        </w:rPr>
        <w:t> </w:t>
      </w:r>
      <w:r>
        <w:rPr>
          <w:color w:val="231F20"/>
          <w:w w:val="120"/>
        </w:rPr>
        <w:t>de</w:t>
      </w:r>
      <w:r>
        <w:rPr>
          <w:color w:val="231F20"/>
          <w:spacing w:val="-13"/>
          <w:w w:val="120"/>
        </w:rPr>
        <w:t> </w:t>
      </w:r>
      <w:r>
        <w:rPr>
          <w:color w:val="231F20"/>
          <w:w w:val="120"/>
        </w:rPr>
        <w:t>compensation</w:t>
      </w:r>
      <w:r>
        <w:rPr>
          <w:color w:val="231F20"/>
          <w:spacing w:val="-12"/>
          <w:w w:val="120"/>
        </w:rPr>
        <w:t> </w:t>
      </w:r>
      <w:r>
        <w:rPr>
          <w:color w:val="231F20"/>
          <w:w w:val="120"/>
        </w:rPr>
        <w:t>est</w:t>
      </w:r>
      <w:r>
        <w:rPr>
          <w:color w:val="231F20"/>
          <w:spacing w:val="-13"/>
          <w:w w:val="120"/>
        </w:rPr>
        <w:t> </w:t>
      </w:r>
      <w:r>
        <w:rPr>
          <w:color w:val="231F20"/>
          <w:w w:val="120"/>
        </w:rPr>
        <w:t>bien</w:t>
      </w:r>
      <w:r>
        <w:rPr>
          <w:color w:val="231F20"/>
          <w:spacing w:val="-13"/>
          <w:w w:val="120"/>
        </w:rPr>
        <w:t> </w:t>
      </w:r>
      <w:r>
        <w:rPr>
          <w:color w:val="231F20"/>
          <w:w w:val="120"/>
        </w:rPr>
        <w:t>illustrée</w:t>
      </w:r>
      <w:r>
        <w:rPr>
          <w:color w:val="231F20"/>
          <w:spacing w:val="-13"/>
          <w:w w:val="120"/>
        </w:rPr>
        <w:t> </w:t>
      </w:r>
      <w:r>
        <w:rPr>
          <w:color w:val="231F20"/>
          <w:w w:val="120"/>
        </w:rPr>
        <w:t>par</w:t>
      </w:r>
      <w:r>
        <w:rPr>
          <w:color w:val="231F20"/>
          <w:spacing w:val="-12"/>
          <w:w w:val="120"/>
        </w:rPr>
        <w:t> </w:t>
      </w:r>
      <w:r>
        <w:rPr>
          <w:color w:val="231F20"/>
          <w:w w:val="120"/>
        </w:rPr>
        <w:t>la</w:t>
      </w:r>
      <w:r>
        <w:rPr>
          <w:color w:val="231F20"/>
          <w:spacing w:val="-13"/>
          <w:w w:val="120"/>
        </w:rPr>
        <w:t> </w:t>
      </w:r>
      <w:r>
        <w:rPr>
          <w:color w:val="231F20"/>
          <w:w w:val="120"/>
        </w:rPr>
        <w:t>définition</w:t>
      </w:r>
      <w:r>
        <w:rPr>
          <w:color w:val="231F20"/>
          <w:spacing w:val="-13"/>
          <w:w w:val="120"/>
        </w:rPr>
        <w:t> </w:t>
      </w:r>
      <w:r>
        <w:rPr>
          <w:color w:val="231F20"/>
          <w:w w:val="120"/>
        </w:rPr>
        <w:t>ini- tiale</w:t>
      </w:r>
      <w:r>
        <w:rPr>
          <w:color w:val="231F20"/>
          <w:spacing w:val="-10"/>
          <w:w w:val="120"/>
        </w:rPr>
        <w:t> </w:t>
      </w:r>
      <w:r>
        <w:rPr>
          <w:color w:val="231F20"/>
          <w:w w:val="120"/>
        </w:rPr>
        <w:t>que</w:t>
      </w:r>
      <w:r>
        <w:rPr>
          <w:color w:val="231F20"/>
          <w:spacing w:val="-10"/>
          <w:w w:val="120"/>
        </w:rPr>
        <w:t> </w:t>
      </w:r>
      <w:r>
        <w:rPr>
          <w:color w:val="231F20"/>
          <w:w w:val="120"/>
        </w:rPr>
        <w:t>donnait</w:t>
      </w:r>
      <w:r>
        <w:rPr>
          <w:color w:val="231F20"/>
          <w:spacing w:val="-10"/>
          <w:w w:val="120"/>
        </w:rPr>
        <w:t> </w:t>
      </w:r>
      <w:r>
        <w:rPr>
          <w:color w:val="231F20"/>
          <w:w w:val="120"/>
        </w:rPr>
        <w:t>Hans</w:t>
      </w:r>
      <w:r>
        <w:rPr>
          <w:color w:val="231F20"/>
          <w:spacing w:val="-10"/>
          <w:w w:val="120"/>
        </w:rPr>
        <w:t> </w:t>
      </w:r>
      <w:r>
        <w:rPr>
          <w:color w:val="231F20"/>
          <w:w w:val="120"/>
        </w:rPr>
        <w:t>Selye</w:t>
      </w:r>
      <w:r>
        <w:rPr>
          <w:color w:val="231F20"/>
          <w:spacing w:val="-10"/>
          <w:w w:val="120"/>
        </w:rPr>
        <w:t> </w:t>
      </w:r>
      <w:r>
        <w:rPr>
          <w:color w:val="231F20"/>
          <w:w w:val="120"/>
        </w:rPr>
        <w:t>au</w:t>
      </w:r>
      <w:r>
        <w:rPr>
          <w:color w:val="231F20"/>
          <w:spacing w:val="-10"/>
          <w:w w:val="120"/>
        </w:rPr>
        <w:t> </w:t>
      </w:r>
      <w:r>
        <w:rPr>
          <w:color w:val="231F20"/>
          <w:w w:val="120"/>
        </w:rPr>
        <w:t>phénomène</w:t>
      </w:r>
      <w:r>
        <w:rPr>
          <w:color w:val="231F20"/>
          <w:spacing w:val="-10"/>
          <w:w w:val="120"/>
        </w:rPr>
        <w:t> </w:t>
      </w:r>
      <w:r>
        <w:rPr>
          <w:color w:val="231F20"/>
          <w:w w:val="120"/>
        </w:rPr>
        <w:t>du</w:t>
      </w:r>
      <w:r>
        <w:rPr>
          <w:color w:val="231F20"/>
          <w:spacing w:val="-10"/>
          <w:w w:val="120"/>
        </w:rPr>
        <w:t> </w:t>
      </w:r>
      <w:r>
        <w:rPr>
          <w:color w:val="231F20"/>
          <w:w w:val="120"/>
        </w:rPr>
        <w:t>stress.</w:t>
      </w:r>
      <w:r>
        <w:rPr>
          <w:color w:val="231F20"/>
          <w:spacing w:val="-10"/>
          <w:w w:val="120"/>
        </w:rPr>
        <w:t> </w:t>
      </w:r>
      <w:r>
        <w:rPr>
          <w:color w:val="231F20"/>
          <w:w w:val="120"/>
        </w:rPr>
        <w:t>Pour</w:t>
      </w:r>
      <w:r>
        <w:rPr>
          <w:color w:val="231F20"/>
          <w:spacing w:val="-10"/>
          <w:w w:val="120"/>
        </w:rPr>
        <w:t> </w:t>
      </w:r>
      <w:r>
        <w:rPr>
          <w:color w:val="231F20"/>
          <w:w w:val="120"/>
        </w:rPr>
        <w:t>lui,</w:t>
      </w:r>
      <w:r>
        <w:rPr>
          <w:color w:val="231F20"/>
          <w:spacing w:val="-10"/>
          <w:w w:val="120"/>
        </w:rPr>
        <w:t> </w:t>
      </w:r>
      <w:r>
        <w:rPr>
          <w:color w:val="231F20"/>
          <w:w w:val="120"/>
        </w:rPr>
        <w:t>le</w:t>
      </w:r>
      <w:r>
        <w:rPr>
          <w:color w:val="231F20"/>
          <w:spacing w:val="-10"/>
          <w:w w:val="120"/>
        </w:rPr>
        <w:t> </w:t>
      </w:r>
      <w:r>
        <w:rPr>
          <w:color w:val="231F20"/>
          <w:w w:val="120"/>
        </w:rPr>
        <w:t>stress </w:t>
      </w:r>
      <w:r>
        <w:rPr>
          <w:color w:val="231F20"/>
          <w:w w:val="115"/>
        </w:rPr>
        <w:t>était</w:t>
      </w:r>
      <w:r>
        <w:rPr>
          <w:color w:val="231F20"/>
          <w:spacing w:val="-13"/>
          <w:w w:val="115"/>
        </w:rPr>
        <w:t> </w:t>
      </w:r>
      <w:r>
        <w:rPr>
          <w:color w:val="231F20"/>
          <w:w w:val="115"/>
        </w:rPr>
        <w:t>«</w:t>
      </w:r>
      <w:r>
        <w:rPr>
          <w:color w:val="231F20"/>
          <w:spacing w:val="-12"/>
          <w:w w:val="115"/>
        </w:rPr>
        <w:t> </w:t>
      </w:r>
      <w:r>
        <w:rPr>
          <w:i/>
          <w:color w:val="231F20"/>
          <w:w w:val="115"/>
        </w:rPr>
        <w:t>une</w:t>
      </w:r>
      <w:r>
        <w:rPr>
          <w:i/>
          <w:color w:val="231F20"/>
          <w:spacing w:val="-12"/>
          <w:w w:val="115"/>
        </w:rPr>
        <w:t> </w:t>
      </w:r>
      <w:r>
        <w:rPr>
          <w:i/>
          <w:color w:val="231F20"/>
          <w:w w:val="115"/>
        </w:rPr>
        <w:t>réponse</w:t>
      </w:r>
      <w:r>
        <w:rPr>
          <w:i/>
          <w:color w:val="231F20"/>
          <w:spacing w:val="-6"/>
          <w:w w:val="115"/>
        </w:rPr>
        <w:t> </w:t>
      </w:r>
      <w:r>
        <w:rPr>
          <w:i/>
          <w:color w:val="231F20"/>
          <w:w w:val="115"/>
        </w:rPr>
        <w:t>non</w:t>
      </w:r>
      <w:r>
        <w:rPr>
          <w:i/>
          <w:color w:val="231F20"/>
          <w:spacing w:val="-4"/>
          <w:w w:val="115"/>
        </w:rPr>
        <w:t> </w:t>
      </w:r>
      <w:r>
        <w:rPr>
          <w:i/>
          <w:color w:val="231F20"/>
          <w:w w:val="115"/>
        </w:rPr>
        <w:t>spécifique</w:t>
      </w:r>
      <w:r>
        <w:rPr>
          <w:i/>
          <w:color w:val="231F20"/>
          <w:spacing w:val="-4"/>
          <w:w w:val="115"/>
        </w:rPr>
        <w:t> </w:t>
      </w:r>
      <w:r>
        <w:rPr>
          <w:i/>
          <w:color w:val="231F20"/>
          <w:w w:val="115"/>
        </w:rPr>
        <w:t>de</w:t>
      </w:r>
      <w:r>
        <w:rPr>
          <w:i/>
          <w:color w:val="231F20"/>
          <w:spacing w:val="-4"/>
          <w:w w:val="115"/>
        </w:rPr>
        <w:t> </w:t>
      </w:r>
      <w:r>
        <w:rPr>
          <w:i/>
          <w:color w:val="231F20"/>
          <w:w w:val="115"/>
        </w:rPr>
        <w:t>l’organisme</w:t>
      </w:r>
      <w:r>
        <w:rPr>
          <w:i/>
          <w:color w:val="231F20"/>
          <w:spacing w:val="-4"/>
          <w:w w:val="115"/>
        </w:rPr>
        <w:t> </w:t>
      </w:r>
      <w:r>
        <w:rPr>
          <w:i/>
          <w:color w:val="231F20"/>
          <w:w w:val="115"/>
        </w:rPr>
        <w:t>à</w:t>
      </w:r>
      <w:r>
        <w:rPr>
          <w:i/>
          <w:color w:val="231F20"/>
          <w:spacing w:val="-4"/>
          <w:w w:val="115"/>
        </w:rPr>
        <w:t> </w:t>
      </w:r>
      <w:r>
        <w:rPr>
          <w:i/>
          <w:color w:val="231F20"/>
          <w:w w:val="115"/>
        </w:rPr>
        <w:t>toute</w:t>
      </w:r>
      <w:r>
        <w:rPr>
          <w:i/>
          <w:color w:val="231F20"/>
          <w:spacing w:val="-4"/>
          <w:w w:val="115"/>
        </w:rPr>
        <w:t> </w:t>
      </w:r>
      <w:r>
        <w:rPr>
          <w:i/>
          <w:color w:val="231F20"/>
          <w:w w:val="115"/>
        </w:rPr>
        <w:t>demande</w:t>
      </w:r>
      <w:r>
        <w:rPr>
          <w:i/>
          <w:color w:val="231F20"/>
          <w:spacing w:val="-4"/>
          <w:w w:val="115"/>
        </w:rPr>
        <w:t> </w:t>
      </w:r>
      <w:r>
        <w:rPr>
          <w:i/>
          <w:color w:val="231F20"/>
          <w:w w:val="115"/>
        </w:rPr>
        <w:t>qui</w:t>
      </w:r>
      <w:r>
        <w:rPr>
          <w:i/>
          <w:color w:val="231F20"/>
          <w:spacing w:val="-4"/>
          <w:w w:val="115"/>
        </w:rPr>
        <w:t> </w:t>
      </w:r>
      <w:r>
        <w:rPr>
          <w:i/>
          <w:color w:val="231F20"/>
          <w:w w:val="115"/>
        </w:rPr>
        <w:t>lui </w:t>
      </w:r>
      <w:r>
        <w:rPr>
          <w:i/>
          <w:color w:val="231F20"/>
          <w:w w:val="120"/>
        </w:rPr>
        <w:t>est</w:t>
      </w:r>
      <w:r>
        <w:rPr>
          <w:i/>
          <w:color w:val="231F20"/>
          <w:spacing w:val="-13"/>
          <w:w w:val="120"/>
        </w:rPr>
        <w:t> </w:t>
      </w:r>
      <w:r>
        <w:rPr>
          <w:i/>
          <w:color w:val="231F20"/>
          <w:w w:val="120"/>
        </w:rPr>
        <w:t>faite</w:t>
      </w:r>
      <w:r>
        <w:rPr>
          <w:i/>
          <w:color w:val="231F20"/>
          <w:spacing w:val="-13"/>
          <w:w w:val="120"/>
        </w:rPr>
        <w:t> </w:t>
      </w:r>
      <w:r>
        <w:rPr>
          <w:color w:val="231F20"/>
          <w:w w:val="120"/>
        </w:rPr>
        <w:t>».</w:t>
      </w:r>
      <w:r>
        <w:rPr>
          <w:color w:val="231F20"/>
          <w:spacing w:val="-13"/>
          <w:w w:val="120"/>
        </w:rPr>
        <w:t> </w:t>
      </w:r>
      <w:r>
        <w:rPr>
          <w:color w:val="231F20"/>
          <w:w w:val="120"/>
        </w:rPr>
        <w:t>Simplement</w:t>
      </w:r>
      <w:r>
        <w:rPr>
          <w:color w:val="231F20"/>
          <w:spacing w:val="-12"/>
          <w:w w:val="120"/>
        </w:rPr>
        <w:t> </w:t>
      </w:r>
      <w:r>
        <w:rPr>
          <w:color w:val="231F20"/>
          <w:w w:val="120"/>
        </w:rPr>
        <w:t>expliqué,</w:t>
      </w:r>
      <w:r>
        <w:rPr>
          <w:color w:val="231F20"/>
          <w:spacing w:val="-12"/>
          <w:w w:val="120"/>
        </w:rPr>
        <w:t> </w:t>
      </w:r>
      <w:r>
        <w:rPr>
          <w:color w:val="231F20"/>
          <w:w w:val="120"/>
        </w:rPr>
        <w:t>cette</w:t>
      </w:r>
      <w:r>
        <w:rPr>
          <w:color w:val="231F20"/>
          <w:spacing w:val="-7"/>
          <w:w w:val="120"/>
        </w:rPr>
        <w:t> </w:t>
      </w:r>
      <w:r>
        <w:rPr>
          <w:color w:val="231F20"/>
          <w:w w:val="120"/>
        </w:rPr>
        <w:t>définition</w:t>
      </w:r>
      <w:r>
        <w:rPr>
          <w:color w:val="231F20"/>
          <w:spacing w:val="-8"/>
          <w:w w:val="120"/>
        </w:rPr>
        <w:t> </w:t>
      </w:r>
      <w:r>
        <w:rPr>
          <w:color w:val="231F20"/>
          <w:w w:val="120"/>
        </w:rPr>
        <w:t>présuppose</w:t>
      </w:r>
      <w:r>
        <w:rPr>
          <w:color w:val="231F20"/>
          <w:spacing w:val="-8"/>
          <w:w w:val="120"/>
        </w:rPr>
        <w:t> </w:t>
      </w:r>
      <w:r>
        <w:rPr>
          <w:color w:val="231F20"/>
          <w:w w:val="120"/>
        </w:rPr>
        <w:t>qu’à</w:t>
      </w:r>
      <w:r>
        <w:rPr>
          <w:color w:val="231F20"/>
          <w:spacing w:val="-8"/>
          <w:w w:val="120"/>
        </w:rPr>
        <w:t> </w:t>
      </w:r>
      <w:r>
        <w:rPr>
          <w:color w:val="231F20"/>
          <w:w w:val="120"/>
        </w:rPr>
        <w:t>toute </w:t>
      </w:r>
      <w:r>
        <w:rPr>
          <w:color w:val="231F20"/>
          <w:spacing w:val="-2"/>
          <w:w w:val="120"/>
        </w:rPr>
        <w:t>les</w:t>
      </w:r>
      <w:r>
        <w:rPr>
          <w:color w:val="231F20"/>
          <w:spacing w:val="-6"/>
          <w:w w:val="120"/>
        </w:rPr>
        <w:t> </w:t>
      </w:r>
      <w:r>
        <w:rPr>
          <w:color w:val="231F20"/>
          <w:spacing w:val="-2"/>
          <w:w w:val="120"/>
        </w:rPr>
        <w:t>fois</w:t>
      </w:r>
      <w:r>
        <w:rPr>
          <w:color w:val="231F20"/>
          <w:spacing w:val="-6"/>
          <w:w w:val="120"/>
        </w:rPr>
        <w:t> </w:t>
      </w:r>
      <w:r>
        <w:rPr>
          <w:color w:val="231F20"/>
          <w:spacing w:val="-2"/>
          <w:w w:val="120"/>
        </w:rPr>
        <w:t>qu’une</w:t>
      </w:r>
      <w:r>
        <w:rPr>
          <w:color w:val="231F20"/>
          <w:spacing w:val="-6"/>
          <w:w w:val="120"/>
        </w:rPr>
        <w:t> </w:t>
      </w:r>
      <w:r>
        <w:rPr>
          <w:color w:val="231F20"/>
          <w:spacing w:val="-2"/>
          <w:w w:val="120"/>
        </w:rPr>
        <w:t>demande</w:t>
      </w:r>
      <w:r>
        <w:rPr>
          <w:color w:val="231F20"/>
          <w:spacing w:val="-6"/>
          <w:w w:val="120"/>
        </w:rPr>
        <w:t> </w:t>
      </w:r>
      <w:r>
        <w:rPr>
          <w:color w:val="231F20"/>
          <w:spacing w:val="-2"/>
          <w:w w:val="120"/>
        </w:rPr>
        <w:t>est</w:t>
      </w:r>
      <w:r>
        <w:rPr>
          <w:color w:val="231F20"/>
          <w:spacing w:val="-6"/>
          <w:w w:val="120"/>
        </w:rPr>
        <w:t> </w:t>
      </w:r>
      <w:r>
        <w:rPr>
          <w:color w:val="231F20"/>
          <w:spacing w:val="-2"/>
          <w:w w:val="120"/>
        </w:rPr>
        <w:t>faite</w:t>
      </w:r>
      <w:r>
        <w:rPr>
          <w:color w:val="231F20"/>
          <w:spacing w:val="-6"/>
          <w:w w:val="120"/>
        </w:rPr>
        <w:t> </w:t>
      </w:r>
      <w:r>
        <w:rPr>
          <w:color w:val="231F20"/>
          <w:spacing w:val="-2"/>
          <w:w w:val="120"/>
        </w:rPr>
        <w:t>à</w:t>
      </w:r>
      <w:r>
        <w:rPr>
          <w:color w:val="231F20"/>
          <w:spacing w:val="-6"/>
          <w:w w:val="120"/>
        </w:rPr>
        <w:t> </w:t>
      </w:r>
      <w:r>
        <w:rPr>
          <w:color w:val="231F20"/>
          <w:spacing w:val="-2"/>
          <w:w w:val="120"/>
        </w:rPr>
        <w:t>l’organisme,</w:t>
      </w:r>
      <w:r>
        <w:rPr>
          <w:color w:val="231F20"/>
          <w:spacing w:val="-6"/>
          <w:w w:val="120"/>
        </w:rPr>
        <w:t> </w:t>
      </w:r>
      <w:r>
        <w:rPr>
          <w:color w:val="231F20"/>
          <w:spacing w:val="-2"/>
          <w:w w:val="120"/>
        </w:rPr>
        <w:t>celui-ci</w:t>
      </w:r>
      <w:r>
        <w:rPr>
          <w:color w:val="231F20"/>
          <w:spacing w:val="-6"/>
          <w:w w:val="120"/>
        </w:rPr>
        <w:t> </w:t>
      </w:r>
      <w:r>
        <w:rPr>
          <w:color w:val="231F20"/>
          <w:spacing w:val="-2"/>
          <w:w w:val="120"/>
        </w:rPr>
        <w:t>réagira</w:t>
      </w:r>
      <w:r>
        <w:rPr>
          <w:color w:val="231F20"/>
          <w:spacing w:val="-6"/>
          <w:w w:val="120"/>
        </w:rPr>
        <w:t> </w:t>
      </w:r>
      <w:r>
        <w:rPr>
          <w:color w:val="231F20"/>
          <w:spacing w:val="-2"/>
          <w:w w:val="120"/>
        </w:rPr>
        <w:t>toujours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même</w:t>
      </w:r>
      <w:r>
        <w:rPr>
          <w:color w:val="231F20"/>
          <w:spacing w:val="-6"/>
          <w:w w:val="120"/>
        </w:rPr>
        <w:t> </w:t>
      </w:r>
      <w:r>
        <w:rPr>
          <w:color w:val="231F20"/>
          <w:w w:val="120"/>
        </w:rPr>
        <w:t>manière,</w:t>
      </w:r>
      <w:r>
        <w:rPr>
          <w:color w:val="231F20"/>
          <w:spacing w:val="-6"/>
          <w:w w:val="120"/>
        </w:rPr>
        <w:t> </w:t>
      </w:r>
      <w:r>
        <w:rPr>
          <w:color w:val="231F20"/>
          <w:w w:val="120"/>
        </w:rPr>
        <w:t>c’est-à-dire</w:t>
      </w:r>
      <w:r>
        <w:rPr>
          <w:color w:val="231F20"/>
          <w:spacing w:val="-6"/>
          <w:w w:val="120"/>
        </w:rPr>
        <w:t> </w:t>
      </w:r>
      <w:r>
        <w:rPr>
          <w:color w:val="231F20"/>
          <w:w w:val="120"/>
        </w:rPr>
        <w:t>de</w:t>
      </w:r>
      <w:r>
        <w:rPr>
          <w:color w:val="231F20"/>
          <w:spacing w:val="-6"/>
          <w:w w:val="120"/>
        </w:rPr>
        <w:t> </w:t>
      </w:r>
      <w:r>
        <w:rPr>
          <w:color w:val="231F20"/>
          <w:w w:val="120"/>
        </w:rPr>
        <w:t>façon</w:t>
      </w:r>
      <w:r>
        <w:rPr>
          <w:color w:val="231F20"/>
          <w:spacing w:val="-6"/>
          <w:w w:val="120"/>
        </w:rPr>
        <w:t> </w:t>
      </w:r>
      <w:r>
        <w:rPr>
          <w:color w:val="231F20"/>
          <w:w w:val="120"/>
        </w:rPr>
        <w:t>non</w:t>
      </w:r>
      <w:r>
        <w:rPr>
          <w:color w:val="231F20"/>
          <w:spacing w:val="-6"/>
          <w:w w:val="120"/>
        </w:rPr>
        <w:t> </w:t>
      </w:r>
      <w:r>
        <w:rPr>
          <w:color w:val="231F20"/>
          <w:w w:val="120"/>
        </w:rPr>
        <w:t>spécifique.</w:t>
      </w:r>
      <w:r>
        <w:rPr>
          <w:color w:val="231F20"/>
          <w:spacing w:val="-6"/>
          <w:w w:val="120"/>
        </w:rPr>
        <w:t> </w:t>
      </w:r>
      <w:r>
        <w:rPr>
          <w:color w:val="231F20"/>
          <w:w w:val="120"/>
        </w:rPr>
        <w:t>Le</w:t>
      </w:r>
      <w:r>
        <w:rPr>
          <w:color w:val="231F20"/>
          <w:spacing w:val="-6"/>
          <w:w w:val="120"/>
        </w:rPr>
        <w:t> </w:t>
      </w:r>
      <w:r>
        <w:rPr>
          <w:color w:val="231F20"/>
          <w:w w:val="120"/>
        </w:rPr>
        <w:t>stress</w:t>
      </w:r>
      <w:r>
        <w:rPr>
          <w:color w:val="231F20"/>
          <w:spacing w:val="-6"/>
          <w:w w:val="120"/>
        </w:rPr>
        <w:t> </w:t>
      </w:r>
      <w:r>
        <w:rPr>
          <w:color w:val="231F20"/>
          <w:w w:val="120"/>
        </w:rPr>
        <w:t>est </w:t>
      </w:r>
      <w:r>
        <w:rPr>
          <w:color w:val="231F20"/>
          <w:w w:val="115"/>
        </w:rPr>
        <w:t>cette</w:t>
      </w:r>
      <w:r>
        <w:rPr>
          <w:color w:val="231F20"/>
          <w:spacing w:val="-2"/>
          <w:w w:val="115"/>
        </w:rPr>
        <w:t> </w:t>
      </w:r>
      <w:r>
        <w:rPr>
          <w:color w:val="231F20"/>
          <w:w w:val="115"/>
        </w:rPr>
        <w:t>réponse</w:t>
      </w:r>
      <w:r>
        <w:rPr>
          <w:color w:val="231F20"/>
          <w:spacing w:val="-2"/>
          <w:w w:val="115"/>
        </w:rPr>
        <w:t> </w:t>
      </w:r>
      <w:r>
        <w:rPr>
          <w:color w:val="231F20"/>
          <w:w w:val="115"/>
        </w:rPr>
        <w:t>non</w:t>
      </w:r>
      <w:r>
        <w:rPr>
          <w:color w:val="231F20"/>
          <w:spacing w:val="-2"/>
          <w:w w:val="115"/>
        </w:rPr>
        <w:t> </w:t>
      </w:r>
      <w:r>
        <w:rPr>
          <w:color w:val="231F20"/>
          <w:w w:val="115"/>
        </w:rPr>
        <w:t>spécifique</w:t>
      </w:r>
      <w:r>
        <w:rPr>
          <w:color w:val="231F20"/>
          <w:spacing w:val="-2"/>
          <w:w w:val="115"/>
        </w:rPr>
        <w:t> </w:t>
      </w:r>
      <w:r>
        <w:rPr>
          <w:color w:val="231F20"/>
          <w:w w:val="115"/>
        </w:rPr>
        <w:t>qui</w:t>
      </w:r>
      <w:r>
        <w:rPr>
          <w:color w:val="231F20"/>
          <w:spacing w:val="-2"/>
          <w:w w:val="115"/>
        </w:rPr>
        <w:t> </w:t>
      </w:r>
      <w:r>
        <w:rPr>
          <w:color w:val="231F20"/>
          <w:w w:val="115"/>
        </w:rPr>
        <w:t>s’actualise</w:t>
      </w:r>
      <w:r>
        <w:rPr>
          <w:color w:val="231F20"/>
          <w:spacing w:val="-2"/>
          <w:w w:val="115"/>
        </w:rPr>
        <w:t> </w:t>
      </w:r>
      <w:r>
        <w:rPr>
          <w:color w:val="231F20"/>
          <w:w w:val="115"/>
        </w:rPr>
        <w:t>particulièrement</w:t>
      </w:r>
      <w:r>
        <w:rPr>
          <w:color w:val="231F20"/>
          <w:spacing w:val="-2"/>
          <w:w w:val="115"/>
        </w:rPr>
        <w:t> </w:t>
      </w:r>
      <w:r>
        <w:rPr>
          <w:color w:val="231F20"/>
          <w:w w:val="115"/>
        </w:rPr>
        <w:t>par</w:t>
      </w:r>
      <w:r>
        <w:rPr>
          <w:color w:val="231F20"/>
          <w:spacing w:val="-2"/>
          <w:w w:val="115"/>
        </w:rPr>
        <w:t> </w:t>
      </w:r>
      <w:r>
        <w:rPr>
          <w:color w:val="231F20"/>
          <w:w w:val="115"/>
        </w:rPr>
        <w:t>la</w:t>
      </w:r>
      <w:r>
        <w:rPr>
          <w:color w:val="231F20"/>
          <w:spacing w:val="-2"/>
          <w:w w:val="115"/>
        </w:rPr>
        <w:t> </w:t>
      </w:r>
      <w:r>
        <w:rPr>
          <w:color w:val="231F20"/>
          <w:w w:val="115"/>
        </w:rPr>
        <w:t>sécré- tion</w:t>
      </w:r>
      <w:r>
        <w:rPr>
          <w:color w:val="231F20"/>
          <w:spacing w:val="-13"/>
          <w:w w:val="115"/>
        </w:rPr>
        <w:t> </w:t>
      </w:r>
      <w:r>
        <w:rPr>
          <w:color w:val="231F20"/>
          <w:w w:val="115"/>
        </w:rPr>
        <w:t>de</w:t>
      </w:r>
      <w:r>
        <w:rPr>
          <w:color w:val="231F20"/>
          <w:spacing w:val="-12"/>
          <w:w w:val="115"/>
        </w:rPr>
        <w:t> </w:t>
      </w:r>
      <w:r>
        <w:rPr>
          <w:color w:val="231F20"/>
          <w:w w:val="115"/>
        </w:rPr>
        <w:t>diverses</w:t>
      </w:r>
      <w:r>
        <w:rPr>
          <w:color w:val="231F20"/>
          <w:spacing w:val="-12"/>
          <w:w w:val="115"/>
        </w:rPr>
        <w:t> </w:t>
      </w:r>
      <w:r>
        <w:rPr>
          <w:color w:val="231F20"/>
          <w:w w:val="115"/>
        </w:rPr>
        <w:t>hormones,</w:t>
      </w:r>
      <w:r>
        <w:rPr>
          <w:color w:val="231F20"/>
          <w:spacing w:val="-11"/>
          <w:w w:val="115"/>
        </w:rPr>
        <w:t> </w:t>
      </w:r>
      <w:r>
        <w:rPr>
          <w:color w:val="231F20"/>
          <w:w w:val="115"/>
        </w:rPr>
        <w:t>qu’on</w:t>
      </w:r>
      <w:r>
        <w:rPr>
          <w:color w:val="231F20"/>
          <w:spacing w:val="-7"/>
          <w:w w:val="115"/>
        </w:rPr>
        <w:t> </w:t>
      </w:r>
      <w:r>
        <w:rPr>
          <w:color w:val="231F20"/>
          <w:w w:val="115"/>
        </w:rPr>
        <w:t>appelle</w:t>
      </w:r>
      <w:r>
        <w:rPr>
          <w:color w:val="231F20"/>
          <w:spacing w:val="-7"/>
          <w:w w:val="115"/>
        </w:rPr>
        <w:t> </w:t>
      </w:r>
      <w:r>
        <w:rPr>
          <w:color w:val="231F20"/>
          <w:w w:val="115"/>
        </w:rPr>
        <w:t>les</w:t>
      </w:r>
      <w:r>
        <w:rPr>
          <w:color w:val="231F20"/>
          <w:spacing w:val="-7"/>
          <w:w w:val="115"/>
        </w:rPr>
        <w:t> </w:t>
      </w:r>
      <w:r>
        <w:rPr>
          <w:color w:val="231F20"/>
          <w:w w:val="115"/>
        </w:rPr>
        <w:t>«</w:t>
      </w:r>
      <w:r>
        <w:rPr>
          <w:color w:val="231F20"/>
          <w:spacing w:val="-13"/>
          <w:w w:val="115"/>
        </w:rPr>
        <w:t> </w:t>
      </w:r>
      <w:r>
        <w:rPr>
          <w:color w:val="231F20"/>
          <w:w w:val="115"/>
        </w:rPr>
        <w:t>hormones</w:t>
      </w:r>
      <w:r>
        <w:rPr>
          <w:color w:val="231F20"/>
          <w:spacing w:val="-6"/>
          <w:w w:val="115"/>
        </w:rPr>
        <w:t> </w:t>
      </w:r>
      <w:r>
        <w:rPr>
          <w:color w:val="231F20"/>
          <w:w w:val="115"/>
        </w:rPr>
        <w:t>de</w:t>
      </w:r>
      <w:r>
        <w:rPr>
          <w:color w:val="231F20"/>
          <w:spacing w:val="-7"/>
          <w:w w:val="115"/>
        </w:rPr>
        <w:t> </w:t>
      </w:r>
      <w:r>
        <w:rPr>
          <w:color w:val="231F20"/>
          <w:w w:val="115"/>
        </w:rPr>
        <w:t>l’adaptation». </w:t>
      </w:r>
      <w:r>
        <w:rPr>
          <w:color w:val="231F20"/>
          <w:w w:val="120"/>
        </w:rPr>
        <w:t>Cette</w:t>
      </w:r>
      <w:r>
        <w:rPr>
          <w:color w:val="231F20"/>
          <w:spacing w:val="-7"/>
          <w:w w:val="120"/>
        </w:rPr>
        <w:t> </w:t>
      </w:r>
      <w:r>
        <w:rPr>
          <w:color w:val="231F20"/>
          <w:w w:val="120"/>
        </w:rPr>
        <w:t>simple</w:t>
      </w:r>
      <w:r>
        <w:rPr>
          <w:color w:val="231F20"/>
          <w:spacing w:val="-7"/>
          <w:w w:val="120"/>
        </w:rPr>
        <w:t> </w:t>
      </w:r>
      <w:r>
        <w:rPr>
          <w:color w:val="231F20"/>
          <w:w w:val="120"/>
        </w:rPr>
        <w:t>définition</w:t>
      </w:r>
      <w:r>
        <w:rPr>
          <w:color w:val="231F20"/>
          <w:spacing w:val="-7"/>
          <w:w w:val="120"/>
        </w:rPr>
        <w:t> </w:t>
      </w:r>
      <w:r>
        <w:rPr>
          <w:color w:val="231F20"/>
          <w:w w:val="120"/>
        </w:rPr>
        <w:t>suppose</w:t>
      </w:r>
      <w:r>
        <w:rPr>
          <w:color w:val="231F20"/>
          <w:spacing w:val="-7"/>
          <w:w w:val="120"/>
        </w:rPr>
        <w:t> </w:t>
      </w:r>
      <w:r>
        <w:rPr>
          <w:color w:val="231F20"/>
          <w:w w:val="120"/>
        </w:rPr>
        <w:t>ainsi</w:t>
      </w:r>
      <w:r>
        <w:rPr>
          <w:color w:val="231F20"/>
          <w:spacing w:val="-7"/>
          <w:w w:val="120"/>
        </w:rPr>
        <w:t> </w:t>
      </w:r>
      <w:r>
        <w:rPr>
          <w:color w:val="231F20"/>
          <w:w w:val="120"/>
        </w:rPr>
        <w:t>une</w:t>
      </w:r>
      <w:r>
        <w:rPr>
          <w:color w:val="231F20"/>
          <w:spacing w:val="-7"/>
          <w:w w:val="120"/>
        </w:rPr>
        <w:t> </w:t>
      </w:r>
      <w:r>
        <w:rPr>
          <w:color w:val="231F20"/>
          <w:w w:val="120"/>
        </w:rPr>
        <w:t>interaction</w:t>
      </w:r>
      <w:r>
        <w:rPr>
          <w:color w:val="231F20"/>
          <w:spacing w:val="-7"/>
          <w:w w:val="120"/>
        </w:rPr>
        <w:t> </w:t>
      </w:r>
      <w:r>
        <w:rPr>
          <w:color w:val="231F20"/>
          <w:w w:val="120"/>
        </w:rPr>
        <w:t>entre</w:t>
      </w:r>
      <w:r>
        <w:rPr>
          <w:color w:val="231F20"/>
          <w:spacing w:val="-7"/>
          <w:w w:val="120"/>
        </w:rPr>
        <w:t> </w:t>
      </w:r>
      <w:r>
        <w:rPr>
          <w:color w:val="231F20"/>
          <w:w w:val="120"/>
        </w:rPr>
        <w:t>l’organisme et</w:t>
      </w:r>
      <w:r>
        <w:rPr>
          <w:color w:val="231F20"/>
          <w:spacing w:val="-12"/>
          <w:w w:val="120"/>
        </w:rPr>
        <w:t> </w:t>
      </w:r>
      <w:r>
        <w:rPr>
          <w:color w:val="231F20"/>
          <w:w w:val="120"/>
        </w:rPr>
        <w:t>son</w:t>
      </w:r>
      <w:r>
        <w:rPr>
          <w:color w:val="231F20"/>
          <w:spacing w:val="-12"/>
          <w:w w:val="120"/>
        </w:rPr>
        <w:t> </w:t>
      </w:r>
      <w:r>
        <w:rPr>
          <w:color w:val="231F20"/>
          <w:w w:val="120"/>
        </w:rPr>
        <w:t>environnement,</w:t>
      </w:r>
      <w:r>
        <w:rPr>
          <w:color w:val="231F20"/>
          <w:spacing w:val="-12"/>
          <w:w w:val="120"/>
        </w:rPr>
        <w:t> </w:t>
      </w:r>
      <w:r>
        <w:rPr>
          <w:color w:val="231F20"/>
          <w:w w:val="120"/>
        </w:rPr>
        <w:t>que</w:t>
      </w:r>
      <w:r>
        <w:rPr>
          <w:color w:val="231F20"/>
          <w:spacing w:val="-12"/>
          <w:w w:val="120"/>
        </w:rPr>
        <w:t> </w:t>
      </w:r>
      <w:r>
        <w:rPr>
          <w:color w:val="231F20"/>
          <w:w w:val="120"/>
        </w:rPr>
        <w:t>celui-ci</w:t>
      </w:r>
      <w:r>
        <w:rPr>
          <w:color w:val="231F20"/>
          <w:spacing w:val="-12"/>
          <w:w w:val="120"/>
        </w:rPr>
        <w:t> </w:t>
      </w:r>
      <w:r>
        <w:rPr>
          <w:color w:val="231F20"/>
          <w:w w:val="120"/>
        </w:rPr>
        <w:t>corresponde</w:t>
      </w:r>
      <w:r>
        <w:rPr>
          <w:color w:val="231F20"/>
          <w:spacing w:val="-12"/>
          <w:w w:val="120"/>
        </w:rPr>
        <w:t> </w:t>
      </w:r>
      <w:r>
        <w:rPr>
          <w:color w:val="231F20"/>
          <w:w w:val="120"/>
        </w:rPr>
        <w:t>à</w:t>
      </w:r>
      <w:r>
        <w:rPr>
          <w:color w:val="231F20"/>
          <w:spacing w:val="-12"/>
          <w:w w:val="120"/>
        </w:rPr>
        <w:t> </w:t>
      </w:r>
      <w:r>
        <w:rPr>
          <w:color w:val="231F20"/>
          <w:w w:val="120"/>
        </w:rPr>
        <w:t>des</w:t>
      </w:r>
      <w:r>
        <w:rPr>
          <w:color w:val="231F20"/>
          <w:spacing w:val="-12"/>
          <w:w w:val="120"/>
        </w:rPr>
        <w:t> </w:t>
      </w:r>
      <w:r>
        <w:rPr>
          <w:color w:val="231F20"/>
          <w:w w:val="120"/>
        </w:rPr>
        <w:t>situations</w:t>
      </w:r>
      <w:r>
        <w:rPr>
          <w:color w:val="231F20"/>
          <w:spacing w:val="-12"/>
          <w:w w:val="120"/>
        </w:rPr>
        <w:t> </w:t>
      </w:r>
      <w:r>
        <w:rPr>
          <w:color w:val="231F20"/>
          <w:w w:val="120"/>
        </w:rPr>
        <w:t>vécues, aux actions d’autres personnes ou au milieu ambiant.</w:t>
      </w:r>
    </w:p>
    <w:p>
      <w:pPr>
        <w:pStyle w:val="BodyText"/>
        <w:spacing w:line="307" w:lineRule="auto" w:before="78"/>
        <w:ind w:left="790" w:right="635" w:firstLine="250"/>
        <w:jc w:val="both"/>
      </w:pPr>
      <w:r>
        <w:rPr>
          <w:color w:val="231F20"/>
          <w:w w:val="115"/>
        </w:rPr>
        <w:t>À ce titre,</w:t>
      </w:r>
      <w:r>
        <w:rPr>
          <w:color w:val="231F20"/>
          <w:spacing w:val="-1"/>
          <w:w w:val="115"/>
        </w:rPr>
        <w:t> </w:t>
      </w:r>
      <w:r>
        <w:rPr>
          <w:color w:val="231F20"/>
          <w:w w:val="115"/>
        </w:rPr>
        <w:t>le stress peut se définir en fonction: a) du</w:t>
      </w:r>
      <w:r>
        <w:rPr>
          <w:color w:val="231F20"/>
          <w:spacing w:val="-1"/>
          <w:w w:val="115"/>
        </w:rPr>
        <w:t> </w:t>
      </w:r>
      <w:r>
        <w:rPr>
          <w:color w:val="231F20"/>
          <w:w w:val="115"/>
        </w:rPr>
        <w:t>stimulus; b) de </w:t>
      </w:r>
      <w:r>
        <w:rPr>
          <w:color w:val="231F20"/>
          <w:w w:val="115"/>
        </w:rPr>
        <w:t>la </w:t>
      </w:r>
      <w:r>
        <w:rPr>
          <w:color w:val="231F20"/>
          <w:w w:val="120"/>
        </w:rPr>
        <w:t>réponse; c) de la relation entre stimulus et réponse.</w:t>
      </w:r>
    </w:p>
    <w:p>
      <w:pPr>
        <w:pStyle w:val="ListParagraph"/>
        <w:numPr>
          <w:ilvl w:val="1"/>
          <w:numId w:val="18"/>
        </w:numPr>
        <w:tabs>
          <w:tab w:pos="1291" w:val="left" w:leader="none"/>
        </w:tabs>
        <w:spacing w:line="307" w:lineRule="auto" w:before="79" w:after="0"/>
        <w:ind w:left="1290" w:right="637" w:hanging="251"/>
        <w:jc w:val="both"/>
        <w:rPr>
          <w:sz w:val="17"/>
        </w:rPr>
      </w:pPr>
      <w:r>
        <w:rPr>
          <w:i/>
          <w:color w:val="231F20"/>
          <w:w w:val="115"/>
          <w:sz w:val="17"/>
        </w:rPr>
        <w:t>En fonction du stimulus</w:t>
      </w:r>
      <w:r>
        <w:rPr>
          <w:color w:val="231F20"/>
          <w:w w:val="115"/>
          <w:sz w:val="17"/>
        </w:rPr>
        <w:t>. Le stress est la force ou la stimulation qui </w:t>
      </w:r>
      <w:r>
        <w:rPr>
          <w:color w:val="231F20"/>
          <w:w w:val="120"/>
          <w:sz w:val="17"/>
        </w:rPr>
        <w:t>agit sur l’individu et produit une réponse de tension.</w:t>
      </w:r>
    </w:p>
    <w:p>
      <w:pPr>
        <w:pStyle w:val="ListParagraph"/>
        <w:numPr>
          <w:ilvl w:val="1"/>
          <w:numId w:val="18"/>
        </w:numPr>
        <w:tabs>
          <w:tab w:pos="1291" w:val="left" w:leader="none"/>
        </w:tabs>
        <w:spacing w:line="307" w:lineRule="auto" w:before="79" w:after="0"/>
        <w:ind w:left="1290" w:right="638" w:hanging="251"/>
        <w:jc w:val="both"/>
        <w:rPr>
          <w:sz w:val="17"/>
        </w:rPr>
      </w:pPr>
      <w:r>
        <w:rPr>
          <w:i/>
          <w:color w:val="231F20"/>
          <w:w w:val="115"/>
          <w:sz w:val="17"/>
        </w:rPr>
        <w:t>En</w:t>
      </w:r>
      <w:r>
        <w:rPr>
          <w:i/>
          <w:color w:val="231F20"/>
          <w:spacing w:val="-9"/>
          <w:w w:val="115"/>
          <w:sz w:val="17"/>
        </w:rPr>
        <w:t> </w:t>
      </w:r>
      <w:r>
        <w:rPr>
          <w:i/>
          <w:color w:val="231F20"/>
          <w:w w:val="115"/>
          <w:sz w:val="17"/>
        </w:rPr>
        <w:t>fonction</w:t>
      </w:r>
      <w:r>
        <w:rPr>
          <w:i/>
          <w:color w:val="231F20"/>
          <w:spacing w:val="-9"/>
          <w:w w:val="115"/>
          <w:sz w:val="17"/>
        </w:rPr>
        <w:t> </w:t>
      </w:r>
      <w:r>
        <w:rPr>
          <w:i/>
          <w:color w:val="231F20"/>
          <w:w w:val="115"/>
          <w:sz w:val="17"/>
        </w:rPr>
        <w:t>de</w:t>
      </w:r>
      <w:r>
        <w:rPr>
          <w:i/>
          <w:color w:val="231F20"/>
          <w:spacing w:val="-9"/>
          <w:w w:val="115"/>
          <w:sz w:val="17"/>
        </w:rPr>
        <w:t> </w:t>
      </w:r>
      <w:r>
        <w:rPr>
          <w:i/>
          <w:color w:val="231F20"/>
          <w:w w:val="115"/>
          <w:sz w:val="17"/>
        </w:rPr>
        <w:t>la</w:t>
      </w:r>
      <w:r>
        <w:rPr>
          <w:i/>
          <w:color w:val="231F20"/>
          <w:spacing w:val="-9"/>
          <w:w w:val="115"/>
          <w:sz w:val="17"/>
        </w:rPr>
        <w:t> </w:t>
      </w:r>
      <w:r>
        <w:rPr>
          <w:i/>
          <w:color w:val="231F20"/>
          <w:w w:val="115"/>
          <w:sz w:val="17"/>
        </w:rPr>
        <w:t>réponse</w:t>
      </w:r>
      <w:r>
        <w:rPr>
          <w:color w:val="231F20"/>
          <w:w w:val="115"/>
          <w:sz w:val="17"/>
        </w:rPr>
        <w:t>.</w:t>
      </w:r>
      <w:r>
        <w:rPr>
          <w:color w:val="231F20"/>
          <w:spacing w:val="-9"/>
          <w:w w:val="115"/>
          <w:sz w:val="17"/>
        </w:rPr>
        <w:t> </w:t>
      </w:r>
      <w:r>
        <w:rPr>
          <w:color w:val="231F20"/>
          <w:w w:val="115"/>
          <w:sz w:val="17"/>
        </w:rPr>
        <w:t>Le</w:t>
      </w:r>
      <w:r>
        <w:rPr>
          <w:color w:val="231F20"/>
          <w:spacing w:val="-9"/>
          <w:w w:val="115"/>
          <w:sz w:val="17"/>
        </w:rPr>
        <w:t> </w:t>
      </w:r>
      <w:r>
        <w:rPr>
          <w:color w:val="231F20"/>
          <w:w w:val="115"/>
          <w:sz w:val="17"/>
        </w:rPr>
        <w:t>stress</w:t>
      </w:r>
      <w:r>
        <w:rPr>
          <w:color w:val="231F20"/>
          <w:spacing w:val="-9"/>
          <w:w w:val="115"/>
          <w:sz w:val="17"/>
        </w:rPr>
        <w:t> </w:t>
      </w:r>
      <w:r>
        <w:rPr>
          <w:color w:val="231F20"/>
          <w:w w:val="115"/>
          <w:sz w:val="17"/>
        </w:rPr>
        <w:t>est</w:t>
      </w:r>
      <w:r>
        <w:rPr>
          <w:color w:val="231F20"/>
          <w:spacing w:val="-9"/>
          <w:w w:val="115"/>
          <w:sz w:val="17"/>
        </w:rPr>
        <w:t> </w:t>
      </w:r>
      <w:r>
        <w:rPr>
          <w:color w:val="231F20"/>
          <w:w w:val="115"/>
          <w:sz w:val="17"/>
        </w:rPr>
        <w:t>la</w:t>
      </w:r>
      <w:r>
        <w:rPr>
          <w:color w:val="231F20"/>
          <w:spacing w:val="-9"/>
          <w:w w:val="115"/>
          <w:sz w:val="17"/>
        </w:rPr>
        <w:t> </w:t>
      </w:r>
      <w:r>
        <w:rPr>
          <w:color w:val="231F20"/>
          <w:w w:val="115"/>
          <w:sz w:val="17"/>
        </w:rPr>
        <w:t>réponse</w:t>
      </w:r>
      <w:r>
        <w:rPr>
          <w:color w:val="231F20"/>
          <w:spacing w:val="-9"/>
          <w:w w:val="115"/>
          <w:sz w:val="17"/>
        </w:rPr>
        <w:t> </w:t>
      </w:r>
      <w:r>
        <w:rPr>
          <w:color w:val="231F20"/>
          <w:w w:val="115"/>
          <w:sz w:val="17"/>
        </w:rPr>
        <w:t>physiologique</w:t>
      </w:r>
      <w:r>
        <w:rPr>
          <w:color w:val="231F20"/>
          <w:spacing w:val="-9"/>
          <w:w w:val="115"/>
          <w:sz w:val="17"/>
        </w:rPr>
        <w:t> </w:t>
      </w:r>
      <w:r>
        <w:rPr>
          <w:color w:val="231F20"/>
          <w:w w:val="115"/>
          <w:sz w:val="17"/>
        </w:rPr>
        <w:t>ou </w:t>
      </w:r>
      <w:r>
        <w:rPr>
          <w:color w:val="231F20"/>
          <w:w w:val="120"/>
          <w:sz w:val="17"/>
        </w:rPr>
        <w:t>psychologique de l’individu à un environnement stressant.</w:t>
      </w:r>
    </w:p>
    <w:p>
      <w:pPr>
        <w:pStyle w:val="ListParagraph"/>
        <w:numPr>
          <w:ilvl w:val="1"/>
          <w:numId w:val="18"/>
        </w:numPr>
        <w:tabs>
          <w:tab w:pos="1291" w:val="left" w:leader="none"/>
        </w:tabs>
        <w:spacing w:line="307" w:lineRule="auto" w:before="79" w:after="0"/>
        <w:ind w:left="1290" w:right="632" w:hanging="251"/>
        <w:jc w:val="both"/>
        <w:rPr>
          <w:sz w:val="17"/>
        </w:rPr>
      </w:pPr>
      <w:r>
        <w:rPr>
          <w:i/>
          <w:color w:val="231F20"/>
          <w:w w:val="115"/>
          <w:sz w:val="17"/>
        </w:rPr>
        <w:t>En</w:t>
      </w:r>
      <w:r>
        <w:rPr>
          <w:i/>
          <w:color w:val="231F20"/>
          <w:spacing w:val="-4"/>
          <w:w w:val="115"/>
          <w:sz w:val="17"/>
        </w:rPr>
        <w:t> </w:t>
      </w:r>
      <w:r>
        <w:rPr>
          <w:i/>
          <w:color w:val="231F20"/>
          <w:w w:val="115"/>
          <w:sz w:val="17"/>
        </w:rPr>
        <w:t>fonction</w:t>
      </w:r>
      <w:r>
        <w:rPr>
          <w:i/>
          <w:color w:val="231F20"/>
          <w:spacing w:val="-5"/>
          <w:w w:val="115"/>
          <w:sz w:val="17"/>
        </w:rPr>
        <w:t> </w:t>
      </w:r>
      <w:r>
        <w:rPr>
          <w:i/>
          <w:color w:val="231F20"/>
          <w:w w:val="115"/>
          <w:sz w:val="17"/>
        </w:rPr>
        <w:t>de</w:t>
      </w:r>
      <w:r>
        <w:rPr>
          <w:i/>
          <w:color w:val="231F20"/>
          <w:spacing w:val="-4"/>
          <w:w w:val="115"/>
          <w:sz w:val="17"/>
        </w:rPr>
        <w:t> </w:t>
      </w:r>
      <w:r>
        <w:rPr>
          <w:i/>
          <w:color w:val="231F20"/>
          <w:w w:val="115"/>
          <w:sz w:val="17"/>
        </w:rPr>
        <w:t>l’interaction</w:t>
      </w:r>
      <w:r>
        <w:rPr>
          <w:i/>
          <w:color w:val="231F20"/>
          <w:spacing w:val="-5"/>
          <w:w w:val="115"/>
          <w:sz w:val="17"/>
        </w:rPr>
        <w:t> </w:t>
      </w:r>
      <w:r>
        <w:rPr>
          <w:i/>
          <w:color w:val="231F20"/>
          <w:w w:val="115"/>
          <w:sz w:val="17"/>
        </w:rPr>
        <w:t>entre</w:t>
      </w:r>
      <w:r>
        <w:rPr>
          <w:i/>
          <w:color w:val="231F20"/>
          <w:spacing w:val="-4"/>
          <w:w w:val="115"/>
          <w:sz w:val="17"/>
        </w:rPr>
        <w:t> </w:t>
      </w:r>
      <w:r>
        <w:rPr>
          <w:i/>
          <w:color w:val="231F20"/>
          <w:w w:val="115"/>
          <w:sz w:val="17"/>
        </w:rPr>
        <w:t>l’individu</w:t>
      </w:r>
      <w:r>
        <w:rPr>
          <w:i/>
          <w:color w:val="231F20"/>
          <w:spacing w:val="-5"/>
          <w:w w:val="115"/>
          <w:sz w:val="17"/>
        </w:rPr>
        <w:t> </w:t>
      </w:r>
      <w:r>
        <w:rPr>
          <w:i/>
          <w:color w:val="231F20"/>
          <w:w w:val="115"/>
          <w:sz w:val="17"/>
        </w:rPr>
        <w:t>et</w:t>
      </w:r>
      <w:r>
        <w:rPr>
          <w:i/>
          <w:color w:val="231F20"/>
          <w:spacing w:val="-4"/>
          <w:w w:val="115"/>
          <w:sz w:val="17"/>
        </w:rPr>
        <w:t> </w:t>
      </w:r>
      <w:r>
        <w:rPr>
          <w:i/>
          <w:color w:val="231F20"/>
          <w:w w:val="115"/>
          <w:sz w:val="17"/>
        </w:rPr>
        <w:t>l’environnement.</w:t>
      </w:r>
      <w:r>
        <w:rPr>
          <w:i/>
          <w:color w:val="231F20"/>
          <w:spacing w:val="-5"/>
          <w:w w:val="115"/>
          <w:sz w:val="17"/>
        </w:rPr>
        <w:t> </w:t>
      </w:r>
      <w:r>
        <w:rPr>
          <w:color w:val="231F20"/>
          <w:w w:val="115"/>
          <w:sz w:val="17"/>
        </w:rPr>
        <w:t>Le </w:t>
      </w:r>
      <w:r>
        <w:rPr>
          <w:color w:val="231F20"/>
          <w:w w:val="120"/>
          <w:sz w:val="17"/>
        </w:rPr>
        <w:t>stress est dans cette perspective un état se voulant une réaction idiosyncratique</w:t>
      </w:r>
      <w:r>
        <w:rPr>
          <w:color w:val="231F20"/>
          <w:spacing w:val="-4"/>
          <w:w w:val="120"/>
          <w:sz w:val="17"/>
        </w:rPr>
        <w:t> </w:t>
      </w:r>
      <w:r>
        <w:rPr>
          <w:color w:val="231F20"/>
          <w:w w:val="120"/>
          <w:sz w:val="17"/>
        </w:rPr>
        <w:t>de</w:t>
      </w:r>
      <w:r>
        <w:rPr>
          <w:color w:val="231F20"/>
          <w:spacing w:val="-4"/>
          <w:w w:val="120"/>
          <w:sz w:val="17"/>
        </w:rPr>
        <w:t> </w:t>
      </w:r>
      <w:r>
        <w:rPr>
          <w:color w:val="231F20"/>
          <w:w w:val="120"/>
          <w:sz w:val="17"/>
        </w:rPr>
        <w:t>l’individu</w:t>
      </w:r>
      <w:r>
        <w:rPr>
          <w:color w:val="231F20"/>
          <w:spacing w:val="-4"/>
          <w:w w:val="120"/>
          <w:sz w:val="17"/>
        </w:rPr>
        <w:t> </w:t>
      </w:r>
      <w:r>
        <w:rPr>
          <w:color w:val="231F20"/>
          <w:w w:val="120"/>
          <w:sz w:val="17"/>
        </w:rPr>
        <w:t>issue</w:t>
      </w:r>
      <w:r>
        <w:rPr>
          <w:color w:val="231F20"/>
          <w:spacing w:val="-4"/>
          <w:w w:val="120"/>
          <w:sz w:val="17"/>
        </w:rPr>
        <w:t> </w:t>
      </w:r>
      <w:r>
        <w:rPr>
          <w:color w:val="231F20"/>
          <w:w w:val="120"/>
          <w:sz w:val="17"/>
        </w:rPr>
        <w:t>de</w:t>
      </w:r>
      <w:r>
        <w:rPr>
          <w:color w:val="231F20"/>
          <w:spacing w:val="-4"/>
          <w:w w:val="120"/>
          <w:sz w:val="17"/>
        </w:rPr>
        <w:t> </w:t>
      </w:r>
      <w:r>
        <w:rPr>
          <w:color w:val="231F20"/>
          <w:w w:val="120"/>
          <w:sz w:val="17"/>
        </w:rPr>
        <w:t>son</w:t>
      </w:r>
      <w:r>
        <w:rPr>
          <w:color w:val="231F20"/>
          <w:spacing w:val="-4"/>
          <w:w w:val="120"/>
          <w:sz w:val="17"/>
        </w:rPr>
        <w:t> </w:t>
      </w:r>
      <w:r>
        <w:rPr>
          <w:color w:val="231F20"/>
          <w:w w:val="120"/>
          <w:sz w:val="17"/>
        </w:rPr>
        <w:t>évaluation</w:t>
      </w:r>
      <w:r>
        <w:rPr>
          <w:color w:val="231F20"/>
          <w:spacing w:val="-4"/>
          <w:w w:val="120"/>
          <w:sz w:val="17"/>
        </w:rPr>
        <w:t> </w:t>
      </w:r>
      <w:r>
        <w:rPr>
          <w:color w:val="231F20"/>
          <w:w w:val="120"/>
          <w:sz w:val="17"/>
        </w:rPr>
        <w:t>de</w:t>
      </w:r>
      <w:r>
        <w:rPr>
          <w:color w:val="231F20"/>
          <w:spacing w:val="-4"/>
          <w:w w:val="120"/>
          <w:sz w:val="17"/>
        </w:rPr>
        <w:t> </w:t>
      </w:r>
      <w:r>
        <w:rPr>
          <w:color w:val="231F20"/>
          <w:w w:val="120"/>
          <w:sz w:val="17"/>
        </w:rPr>
        <w:t>la</w:t>
      </w:r>
      <w:r>
        <w:rPr>
          <w:color w:val="231F20"/>
          <w:spacing w:val="-4"/>
          <w:w w:val="120"/>
          <w:sz w:val="17"/>
        </w:rPr>
        <w:t> </w:t>
      </w:r>
      <w:r>
        <w:rPr>
          <w:color w:val="231F20"/>
          <w:w w:val="120"/>
          <w:sz w:val="17"/>
        </w:rPr>
        <w:t>trans- action qui s’opère entre les stimuli contextuels et les ressources qu’il</w:t>
      </w:r>
      <w:r>
        <w:rPr>
          <w:color w:val="231F20"/>
          <w:spacing w:val="-13"/>
          <w:w w:val="120"/>
          <w:sz w:val="17"/>
        </w:rPr>
        <w:t> </w:t>
      </w:r>
      <w:r>
        <w:rPr>
          <w:color w:val="231F20"/>
          <w:w w:val="120"/>
          <w:sz w:val="17"/>
        </w:rPr>
        <w:t>possède.</w:t>
      </w:r>
    </w:p>
    <w:p>
      <w:pPr>
        <w:pStyle w:val="BodyText"/>
        <w:rPr>
          <w:sz w:val="20"/>
        </w:rPr>
      </w:pPr>
    </w:p>
    <w:p>
      <w:pPr>
        <w:pStyle w:val="BodyText"/>
        <w:rPr>
          <w:sz w:val="20"/>
        </w:rPr>
      </w:pPr>
    </w:p>
    <w:p>
      <w:pPr>
        <w:pStyle w:val="BodyText"/>
        <w:rPr>
          <w:sz w:val="20"/>
        </w:rPr>
      </w:pPr>
    </w:p>
    <w:p>
      <w:pPr>
        <w:pStyle w:val="BodyText"/>
        <w:spacing w:before="5"/>
        <w:rPr>
          <w:sz w:val="25"/>
        </w:rPr>
      </w:pPr>
      <w:r>
        <w:rPr/>
        <w:pict>
          <v:shape style="position:absolute;margin-left:62.5pt;margin-top:15.833545pt;width:287.5pt;height:.1pt;mso-position-horizontal-relative:page;mso-position-vertical-relative:paragraph;z-index:-15705088;mso-wrap-distance-left:0;mso-wrap-distance-right:0" id="docshape135" coordorigin="1250,317" coordsize="5750,0" path="m1250,317l7000,317e" filled="false" stroked="true" strokeweight=".25pt" strokecolor="#231f20">
            <v:path arrowok="t"/>
            <v:stroke dashstyle="shortdot"/>
            <w10:wrap type="topAndBottom"/>
          </v:shape>
        </w:pict>
      </w:r>
    </w:p>
    <w:p>
      <w:pPr>
        <w:pStyle w:val="ListParagraph"/>
        <w:numPr>
          <w:ilvl w:val="0"/>
          <w:numId w:val="18"/>
        </w:numPr>
        <w:tabs>
          <w:tab w:pos="789" w:val="left" w:leader="none"/>
          <w:tab w:pos="790" w:val="left" w:leader="none"/>
        </w:tabs>
        <w:spacing w:line="295" w:lineRule="auto" w:before="135" w:after="0"/>
        <w:ind w:left="789" w:right="635" w:hanging="328"/>
        <w:jc w:val="left"/>
        <w:rPr>
          <w:rFonts w:ascii="Arial"/>
          <w:sz w:val="12"/>
        </w:rPr>
      </w:pPr>
      <w:r>
        <w:rPr>
          <w:rFonts w:ascii="Arial"/>
          <w:color w:val="231F20"/>
          <w:sz w:val="12"/>
        </w:rPr>
        <w:t>Contrada,</w:t>
      </w:r>
      <w:r>
        <w:rPr>
          <w:rFonts w:ascii="Arial"/>
          <w:color w:val="231F20"/>
          <w:spacing w:val="-7"/>
          <w:sz w:val="12"/>
        </w:rPr>
        <w:t> </w:t>
      </w:r>
      <w:r>
        <w:rPr>
          <w:rFonts w:ascii="Arial"/>
          <w:color w:val="231F20"/>
          <w:sz w:val="12"/>
        </w:rPr>
        <w:t>R.</w:t>
      </w:r>
      <w:r>
        <w:rPr>
          <w:rFonts w:ascii="Arial"/>
          <w:color w:val="231F20"/>
          <w:spacing w:val="-4"/>
          <w:sz w:val="12"/>
        </w:rPr>
        <w:t> </w:t>
      </w:r>
      <w:r>
        <w:rPr>
          <w:rFonts w:ascii="Arial"/>
          <w:color w:val="231F20"/>
          <w:sz w:val="12"/>
        </w:rPr>
        <w:t>J.</w:t>
      </w:r>
      <w:r>
        <w:rPr>
          <w:rFonts w:ascii="Arial"/>
          <w:color w:val="231F20"/>
          <w:spacing w:val="-4"/>
          <w:sz w:val="12"/>
        </w:rPr>
        <w:t> </w:t>
      </w:r>
      <w:r>
        <w:rPr>
          <w:rFonts w:ascii="Arial"/>
          <w:color w:val="231F20"/>
          <w:sz w:val="12"/>
        </w:rPr>
        <w:t>et</w:t>
      </w:r>
      <w:r>
        <w:rPr>
          <w:rFonts w:ascii="Arial"/>
          <w:color w:val="231F20"/>
          <w:spacing w:val="-4"/>
          <w:sz w:val="12"/>
        </w:rPr>
        <w:t> </w:t>
      </w:r>
      <w:r>
        <w:rPr>
          <w:rFonts w:ascii="Arial"/>
          <w:color w:val="231F20"/>
          <w:sz w:val="12"/>
        </w:rPr>
        <w:t>Baum,</w:t>
      </w:r>
      <w:r>
        <w:rPr>
          <w:rFonts w:ascii="Arial"/>
          <w:color w:val="231F20"/>
          <w:spacing w:val="-4"/>
          <w:sz w:val="12"/>
        </w:rPr>
        <w:t> </w:t>
      </w:r>
      <w:r>
        <w:rPr>
          <w:rFonts w:ascii="Arial"/>
          <w:color w:val="231F20"/>
          <w:sz w:val="12"/>
        </w:rPr>
        <w:t>A.</w:t>
      </w:r>
      <w:r>
        <w:rPr>
          <w:rFonts w:ascii="Arial"/>
          <w:color w:val="231F20"/>
          <w:spacing w:val="-4"/>
          <w:sz w:val="12"/>
        </w:rPr>
        <w:t> </w:t>
      </w:r>
      <w:r>
        <w:rPr>
          <w:rFonts w:ascii="Arial"/>
          <w:color w:val="231F20"/>
          <w:sz w:val="12"/>
        </w:rPr>
        <w:t>(dir.)</w:t>
      </w:r>
      <w:r>
        <w:rPr>
          <w:rFonts w:ascii="Arial"/>
          <w:color w:val="231F20"/>
          <w:spacing w:val="-4"/>
          <w:sz w:val="12"/>
        </w:rPr>
        <w:t> </w:t>
      </w:r>
      <w:r>
        <w:rPr>
          <w:rFonts w:ascii="Arial"/>
          <w:color w:val="231F20"/>
          <w:sz w:val="12"/>
        </w:rPr>
        <w:t>(2011).</w:t>
      </w:r>
      <w:r>
        <w:rPr>
          <w:rFonts w:ascii="Arial"/>
          <w:color w:val="231F20"/>
          <w:spacing w:val="-4"/>
          <w:sz w:val="12"/>
        </w:rPr>
        <w:t> </w:t>
      </w:r>
      <w:r>
        <w:rPr>
          <w:rFonts w:ascii="Arial"/>
          <w:i/>
          <w:color w:val="231F20"/>
          <w:sz w:val="12"/>
        </w:rPr>
        <w:t>The</w:t>
      </w:r>
      <w:r>
        <w:rPr>
          <w:rFonts w:ascii="Arial"/>
          <w:i/>
          <w:color w:val="231F20"/>
          <w:spacing w:val="-4"/>
          <w:sz w:val="12"/>
        </w:rPr>
        <w:t> </w:t>
      </w:r>
      <w:r>
        <w:rPr>
          <w:rFonts w:ascii="Arial"/>
          <w:i/>
          <w:color w:val="231F20"/>
          <w:sz w:val="12"/>
        </w:rPr>
        <w:t>Handbook</w:t>
      </w:r>
      <w:r>
        <w:rPr>
          <w:rFonts w:ascii="Arial"/>
          <w:i/>
          <w:color w:val="231F20"/>
          <w:spacing w:val="-4"/>
          <w:sz w:val="12"/>
        </w:rPr>
        <w:t> </w:t>
      </w:r>
      <w:r>
        <w:rPr>
          <w:rFonts w:ascii="Arial"/>
          <w:i/>
          <w:color w:val="231F20"/>
          <w:sz w:val="12"/>
        </w:rPr>
        <w:t>of</w:t>
      </w:r>
      <w:r>
        <w:rPr>
          <w:rFonts w:ascii="Arial"/>
          <w:i/>
          <w:color w:val="231F20"/>
          <w:spacing w:val="-4"/>
          <w:sz w:val="12"/>
        </w:rPr>
        <w:t> </w:t>
      </w:r>
      <w:r>
        <w:rPr>
          <w:rFonts w:ascii="Arial"/>
          <w:i/>
          <w:color w:val="231F20"/>
          <w:sz w:val="12"/>
        </w:rPr>
        <w:t>Stress</w:t>
      </w:r>
      <w:r>
        <w:rPr>
          <w:rFonts w:ascii="Arial"/>
          <w:i/>
          <w:color w:val="231F20"/>
          <w:spacing w:val="-4"/>
          <w:sz w:val="12"/>
        </w:rPr>
        <w:t> </w:t>
      </w:r>
      <w:r>
        <w:rPr>
          <w:rFonts w:ascii="Arial"/>
          <w:i/>
          <w:color w:val="231F20"/>
          <w:sz w:val="12"/>
        </w:rPr>
        <w:t>Science</w:t>
      </w:r>
      <w:r>
        <w:rPr>
          <w:rFonts w:ascii="Arial"/>
          <w:i/>
          <w:color w:val="231F20"/>
          <w:spacing w:val="-21"/>
          <w:sz w:val="12"/>
        </w:rPr>
        <w:t> </w:t>
      </w:r>
      <w:r>
        <w:rPr>
          <w:rFonts w:ascii="Arial"/>
          <w:i/>
          <w:color w:val="231F20"/>
          <w:sz w:val="12"/>
        </w:rPr>
        <w:t>:</w:t>
      </w:r>
      <w:r>
        <w:rPr>
          <w:rFonts w:ascii="Arial"/>
          <w:i/>
          <w:color w:val="231F20"/>
          <w:spacing w:val="-4"/>
          <w:sz w:val="12"/>
        </w:rPr>
        <w:t> </w:t>
      </w:r>
      <w:r>
        <w:rPr>
          <w:rFonts w:ascii="Arial"/>
          <w:i/>
          <w:color w:val="231F20"/>
          <w:sz w:val="12"/>
        </w:rPr>
        <w:t>Biology,</w:t>
      </w:r>
      <w:r>
        <w:rPr>
          <w:rFonts w:ascii="Arial"/>
          <w:i/>
          <w:color w:val="231F20"/>
          <w:spacing w:val="-4"/>
          <w:sz w:val="12"/>
        </w:rPr>
        <w:t> </w:t>
      </w:r>
      <w:r>
        <w:rPr>
          <w:rFonts w:ascii="Arial"/>
          <w:i/>
          <w:color w:val="231F20"/>
          <w:sz w:val="12"/>
        </w:rPr>
        <w:t>Psychology,</w:t>
      </w:r>
      <w:r>
        <w:rPr>
          <w:rFonts w:ascii="Arial"/>
          <w:i/>
          <w:color w:val="231F20"/>
          <w:spacing w:val="-4"/>
          <w:sz w:val="12"/>
        </w:rPr>
        <w:t> </w:t>
      </w:r>
      <w:r>
        <w:rPr>
          <w:rFonts w:ascii="Arial"/>
          <w:i/>
          <w:color w:val="231F20"/>
          <w:sz w:val="12"/>
        </w:rPr>
        <w:t>and</w:t>
      </w:r>
      <w:r>
        <w:rPr>
          <w:rFonts w:ascii="Arial"/>
          <w:i/>
          <w:color w:val="231F20"/>
          <w:spacing w:val="-4"/>
          <w:sz w:val="12"/>
        </w:rPr>
        <w:t> </w:t>
      </w:r>
      <w:r>
        <w:rPr>
          <w:rFonts w:ascii="Arial"/>
          <w:i/>
          <w:color w:val="231F20"/>
          <w:sz w:val="12"/>
        </w:rPr>
        <w:t>Health</w:t>
      </w:r>
      <w:r>
        <w:rPr>
          <w:rFonts w:ascii="Arial"/>
          <w:color w:val="231F20"/>
          <w:sz w:val="12"/>
        </w:rPr>
        <w:t>,</w:t>
      </w:r>
      <w:r>
        <w:rPr>
          <w:rFonts w:ascii="Arial"/>
          <w:color w:val="231F20"/>
          <w:spacing w:val="40"/>
          <w:sz w:val="12"/>
        </w:rPr>
        <w:t> </w:t>
      </w:r>
      <w:r>
        <w:rPr>
          <w:rFonts w:ascii="Arial"/>
          <w:color w:val="231F20"/>
          <w:sz w:val="12"/>
        </w:rPr>
        <w:t>Springer Publishing Company.</w:t>
      </w:r>
    </w:p>
    <w:p>
      <w:pPr>
        <w:spacing w:after="0" w:line="295" w:lineRule="auto"/>
        <w:jc w:val="left"/>
        <w:rPr>
          <w:rFonts w:ascii="Arial"/>
          <w:sz w:val="12"/>
        </w:rPr>
        <w:sectPr>
          <w:footerReference w:type="default" r:id="rId65"/>
          <w:pgSz w:w="8640" w:h="12960"/>
          <w:pgMar w:footer="424" w:header="0" w:top="520" w:bottom="620" w:left="460" w:right="1000"/>
        </w:sectPr>
      </w:pPr>
    </w:p>
    <w:p>
      <w:pPr>
        <w:spacing w:before="118"/>
        <w:ind w:left="2356" w:right="0" w:firstLine="0"/>
        <w:jc w:val="left"/>
        <w:rPr>
          <w:rFonts w:ascii="Arial" w:hAnsi="Arial"/>
          <w:sz w:val="14"/>
        </w:rPr>
      </w:pPr>
      <w:bookmarkStart w:name="Figure 2.1 / Mosaïque du stress" w:id="37"/>
      <w:bookmarkEnd w:id="37"/>
      <w:r>
        <w:rPr/>
      </w:r>
      <w:bookmarkStart w:name="_bookmark15" w:id="38"/>
      <w:bookmarkEnd w:id="38"/>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80" w:right="247"/>
        <w:jc w:val="both"/>
      </w:pPr>
      <w:r>
        <w:rPr>
          <w:color w:val="231F20"/>
          <w:spacing w:val="-4"/>
          <w:w w:val="120"/>
        </w:rPr>
        <w:t>Nous</w:t>
      </w:r>
      <w:r>
        <w:rPr>
          <w:color w:val="231F20"/>
          <w:spacing w:val="-9"/>
          <w:w w:val="120"/>
        </w:rPr>
        <w:t> </w:t>
      </w:r>
      <w:r>
        <w:rPr>
          <w:color w:val="231F20"/>
          <w:spacing w:val="-4"/>
          <w:w w:val="120"/>
        </w:rPr>
        <w:t>pourrions</w:t>
      </w:r>
      <w:r>
        <w:rPr>
          <w:color w:val="231F20"/>
          <w:spacing w:val="-9"/>
          <w:w w:val="120"/>
        </w:rPr>
        <w:t> </w:t>
      </w:r>
      <w:r>
        <w:rPr>
          <w:color w:val="231F20"/>
          <w:spacing w:val="-4"/>
          <w:w w:val="120"/>
        </w:rPr>
        <w:t>compléter</w:t>
      </w:r>
      <w:r>
        <w:rPr>
          <w:color w:val="231F20"/>
          <w:spacing w:val="-9"/>
          <w:w w:val="120"/>
        </w:rPr>
        <w:t> </w:t>
      </w:r>
      <w:r>
        <w:rPr>
          <w:color w:val="231F20"/>
          <w:spacing w:val="-4"/>
          <w:w w:val="120"/>
        </w:rPr>
        <w:t>cette</w:t>
      </w:r>
      <w:r>
        <w:rPr>
          <w:color w:val="231F20"/>
          <w:spacing w:val="-8"/>
          <w:w w:val="120"/>
        </w:rPr>
        <w:t> </w:t>
      </w:r>
      <w:r>
        <w:rPr>
          <w:color w:val="231F20"/>
          <w:spacing w:val="-4"/>
          <w:w w:val="120"/>
        </w:rPr>
        <w:t>perspective</w:t>
      </w:r>
      <w:r>
        <w:rPr>
          <w:color w:val="231F20"/>
          <w:spacing w:val="-9"/>
          <w:w w:val="120"/>
        </w:rPr>
        <w:t> </w:t>
      </w:r>
      <w:r>
        <w:rPr>
          <w:color w:val="231F20"/>
          <w:spacing w:val="-4"/>
          <w:w w:val="120"/>
        </w:rPr>
        <w:t>du</w:t>
      </w:r>
      <w:r>
        <w:rPr>
          <w:color w:val="231F20"/>
          <w:spacing w:val="-9"/>
          <w:w w:val="120"/>
        </w:rPr>
        <w:t> </w:t>
      </w:r>
      <w:r>
        <w:rPr>
          <w:color w:val="231F20"/>
          <w:spacing w:val="-4"/>
          <w:w w:val="120"/>
        </w:rPr>
        <w:t>stress</w:t>
      </w:r>
      <w:r>
        <w:rPr>
          <w:color w:val="231F20"/>
          <w:spacing w:val="-9"/>
          <w:w w:val="120"/>
        </w:rPr>
        <w:t> </w:t>
      </w:r>
      <w:r>
        <w:rPr>
          <w:color w:val="231F20"/>
          <w:spacing w:val="-4"/>
          <w:w w:val="120"/>
        </w:rPr>
        <w:t>en</w:t>
      </w:r>
      <w:r>
        <w:rPr>
          <w:color w:val="231F20"/>
          <w:spacing w:val="-8"/>
          <w:w w:val="120"/>
        </w:rPr>
        <w:t> </w:t>
      </w:r>
      <w:r>
        <w:rPr>
          <w:color w:val="231F20"/>
          <w:spacing w:val="-4"/>
          <w:w w:val="120"/>
        </w:rPr>
        <w:t>ajoutant</w:t>
      </w:r>
      <w:r>
        <w:rPr>
          <w:color w:val="231F20"/>
          <w:spacing w:val="-9"/>
          <w:w w:val="120"/>
        </w:rPr>
        <w:t> </w:t>
      </w:r>
      <w:r>
        <w:rPr>
          <w:color w:val="231F20"/>
          <w:spacing w:val="-4"/>
          <w:w w:val="120"/>
        </w:rPr>
        <w:t>que</w:t>
      </w:r>
      <w:r>
        <w:rPr>
          <w:color w:val="231F20"/>
          <w:spacing w:val="-9"/>
          <w:w w:val="120"/>
        </w:rPr>
        <w:t> </w:t>
      </w:r>
      <w:r>
        <w:rPr>
          <w:color w:val="231F20"/>
          <w:spacing w:val="-4"/>
          <w:w w:val="120"/>
        </w:rPr>
        <w:t>toute demande,</w:t>
      </w:r>
      <w:r>
        <w:rPr>
          <w:color w:val="231F20"/>
          <w:spacing w:val="-5"/>
          <w:w w:val="120"/>
        </w:rPr>
        <w:t> </w:t>
      </w:r>
      <w:r>
        <w:rPr>
          <w:color w:val="231F20"/>
          <w:spacing w:val="-4"/>
          <w:w w:val="120"/>
        </w:rPr>
        <w:t>qu’elle</w:t>
      </w:r>
      <w:r>
        <w:rPr>
          <w:color w:val="231F20"/>
          <w:spacing w:val="-5"/>
          <w:w w:val="120"/>
        </w:rPr>
        <w:t> </w:t>
      </w:r>
      <w:r>
        <w:rPr>
          <w:color w:val="231F20"/>
          <w:spacing w:val="-4"/>
          <w:w w:val="120"/>
        </w:rPr>
        <w:t>soit</w:t>
      </w:r>
      <w:r>
        <w:rPr>
          <w:color w:val="231F20"/>
          <w:spacing w:val="-5"/>
          <w:w w:val="120"/>
        </w:rPr>
        <w:t> </w:t>
      </w:r>
      <w:r>
        <w:rPr>
          <w:color w:val="231F20"/>
          <w:spacing w:val="-4"/>
          <w:w w:val="120"/>
        </w:rPr>
        <w:t>physique,</w:t>
      </w:r>
      <w:r>
        <w:rPr>
          <w:color w:val="231F20"/>
          <w:spacing w:val="-5"/>
          <w:w w:val="120"/>
        </w:rPr>
        <w:t> </w:t>
      </w:r>
      <w:r>
        <w:rPr>
          <w:color w:val="231F20"/>
          <w:spacing w:val="-4"/>
          <w:w w:val="120"/>
        </w:rPr>
        <w:t>psychologique,</w:t>
      </w:r>
      <w:r>
        <w:rPr>
          <w:color w:val="231F20"/>
          <w:spacing w:val="-5"/>
          <w:w w:val="120"/>
        </w:rPr>
        <w:t> </w:t>
      </w:r>
      <w:r>
        <w:rPr>
          <w:color w:val="231F20"/>
          <w:spacing w:val="-4"/>
          <w:w w:val="120"/>
        </w:rPr>
        <w:t>externe</w:t>
      </w:r>
      <w:r>
        <w:rPr>
          <w:color w:val="231F20"/>
          <w:spacing w:val="-5"/>
          <w:w w:val="120"/>
        </w:rPr>
        <w:t> </w:t>
      </w:r>
      <w:r>
        <w:rPr>
          <w:color w:val="231F20"/>
          <w:spacing w:val="-4"/>
          <w:w w:val="120"/>
        </w:rPr>
        <w:t>ou</w:t>
      </w:r>
      <w:r>
        <w:rPr>
          <w:color w:val="231F20"/>
          <w:spacing w:val="-5"/>
          <w:w w:val="120"/>
        </w:rPr>
        <w:t> </w:t>
      </w:r>
      <w:r>
        <w:rPr>
          <w:color w:val="231F20"/>
          <w:spacing w:val="-4"/>
          <w:w w:val="120"/>
        </w:rPr>
        <w:t>interne,</w:t>
      </w:r>
      <w:r>
        <w:rPr>
          <w:color w:val="231F20"/>
          <w:spacing w:val="-5"/>
          <w:w w:val="120"/>
        </w:rPr>
        <w:t> </w:t>
      </w:r>
      <w:r>
        <w:rPr>
          <w:color w:val="231F20"/>
          <w:spacing w:val="-4"/>
          <w:w w:val="120"/>
        </w:rPr>
        <w:t>bonne </w:t>
      </w:r>
      <w:r>
        <w:rPr>
          <w:color w:val="231F20"/>
          <w:w w:val="120"/>
        </w:rPr>
        <w:t>ou mauvaise, suscite une réponse biologique identique et stéréotypée </w:t>
      </w:r>
      <w:r>
        <w:rPr>
          <w:color w:val="231F20"/>
          <w:w w:val="115"/>
        </w:rPr>
        <w:t>de</w:t>
      </w:r>
      <w:r>
        <w:rPr>
          <w:color w:val="231F20"/>
          <w:spacing w:val="-8"/>
          <w:w w:val="115"/>
        </w:rPr>
        <w:t> </w:t>
      </w:r>
      <w:r>
        <w:rPr>
          <w:color w:val="231F20"/>
          <w:w w:val="115"/>
        </w:rPr>
        <w:t>l’organisme</w:t>
      </w:r>
      <w:r>
        <w:rPr>
          <w:color w:val="231F20"/>
          <w:spacing w:val="-8"/>
          <w:w w:val="115"/>
        </w:rPr>
        <w:t> </w:t>
      </w:r>
      <w:r>
        <w:rPr>
          <w:color w:val="231F20"/>
          <w:w w:val="115"/>
        </w:rPr>
        <w:t>(figure</w:t>
      </w:r>
      <w:r>
        <w:rPr>
          <w:color w:val="231F20"/>
          <w:spacing w:val="-8"/>
          <w:w w:val="115"/>
        </w:rPr>
        <w:t> </w:t>
      </w:r>
      <w:r>
        <w:rPr>
          <w:color w:val="231F20"/>
          <w:w w:val="115"/>
        </w:rPr>
        <w:t>2.1).</w:t>
      </w:r>
      <w:r>
        <w:rPr>
          <w:color w:val="231F20"/>
          <w:spacing w:val="-8"/>
          <w:w w:val="115"/>
        </w:rPr>
        <w:t> </w:t>
      </w:r>
      <w:r>
        <w:rPr>
          <w:color w:val="231F20"/>
          <w:w w:val="115"/>
        </w:rPr>
        <w:t>Cette</w:t>
      </w:r>
      <w:r>
        <w:rPr>
          <w:color w:val="231F20"/>
          <w:spacing w:val="-8"/>
          <w:w w:val="115"/>
        </w:rPr>
        <w:t> </w:t>
      </w:r>
      <w:r>
        <w:rPr>
          <w:color w:val="231F20"/>
          <w:w w:val="115"/>
        </w:rPr>
        <w:t>réponse</w:t>
      </w:r>
      <w:r>
        <w:rPr>
          <w:color w:val="231F20"/>
          <w:spacing w:val="-8"/>
          <w:w w:val="115"/>
        </w:rPr>
        <w:t> </w:t>
      </w:r>
      <w:r>
        <w:rPr>
          <w:color w:val="231F20"/>
          <w:w w:val="115"/>
        </w:rPr>
        <w:t>consiste,</w:t>
      </w:r>
      <w:r>
        <w:rPr>
          <w:color w:val="231F20"/>
          <w:spacing w:val="-8"/>
          <w:w w:val="115"/>
        </w:rPr>
        <w:t> </w:t>
      </w:r>
      <w:r>
        <w:rPr>
          <w:color w:val="231F20"/>
          <w:w w:val="115"/>
        </w:rPr>
        <w:t>pour</w:t>
      </w:r>
      <w:r>
        <w:rPr>
          <w:color w:val="231F20"/>
          <w:spacing w:val="-8"/>
          <w:w w:val="115"/>
        </w:rPr>
        <w:t> </w:t>
      </w:r>
      <w:r>
        <w:rPr>
          <w:color w:val="231F20"/>
          <w:w w:val="115"/>
        </w:rPr>
        <w:t>l’organisme,</w:t>
      </w:r>
      <w:r>
        <w:rPr>
          <w:color w:val="231F20"/>
          <w:spacing w:val="-8"/>
          <w:w w:val="115"/>
        </w:rPr>
        <w:t> </w:t>
      </w:r>
      <w:r>
        <w:rPr>
          <w:color w:val="231F20"/>
          <w:w w:val="115"/>
        </w:rPr>
        <w:t>à</w:t>
      </w:r>
      <w:r>
        <w:rPr>
          <w:color w:val="231F20"/>
          <w:spacing w:val="-8"/>
          <w:w w:val="115"/>
        </w:rPr>
        <w:t> </w:t>
      </w:r>
      <w:r>
        <w:rPr>
          <w:color w:val="231F20"/>
          <w:w w:val="115"/>
        </w:rPr>
        <w:t>se </w:t>
      </w:r>
      <w:r>
        <w:rPr>
          <w:color w:val="231F20"/>
          <w:spacing w:val="-2"/>
          <w:w w:val="120"/>
        </w:rPr>
        <w:t>mettre</w:t>
      </w:r>
      <w:r>
        <w:rPr>
          <w:color w:val="231F20"/>
          <w:spacing w:val="-7"/>
          <w:w w:val="120"/>
        </w:rPr>
        <w:t> </w:t>
      </w:r>
      <w:r>
        <w:rPr>
          <w:color w:val="231F20"/>
          <w:spacing w:val="-2"/>
          <w:w w:val="120"/>
        </w:rPr>
        <w:t>en</w:t>
      </w:r>
      <w:r>
        <w:rPr>
          <w:color w:val="231F20"/>
          <w:spacing w:val="-7"/>
          <w:w w:val="120"/>
        </w:rPr>
        <w:t> </w:t>
      </w:r>
      <w:r>
        <w:rPr>
          <w:color w:val="231F20"/>
          <w:spacing w:val="-2"/>
          <w:w w:val="120"/>
        </w:rPr>
        <w:t>situation</w:t>
      </w:r>
      <w:r>
        <w:rPr>
          <w:color w:val="231F20"/>
          <w:spacing w:val="-7"/>
          <w:w w:val="120"/>
        </w:rPr>
        <w:t> </w:t>
      </w:r>
      <w:r>
        <w:rPr>
          <w:color w:val="231F20"/>
          <w:spacing w:val="-2"/>
          <w:w w:val="120"/>
        </w:rPr>
        <w:t>d’alerte</w:t>
      </w:r>
      <w:r>
        <w:rPr>
          <w:color w:val="231F20"/>
          <w:spacing w:val="-7"/>
          <w:w w:val="120"/>
        </w:rPr>
        <w:t> </w:t>
      </w:r>
      <w:r>
        <w:rPr>
          <w:color w:val="231F20"/>
          <w:spacing w:val="-2"/>
          <w:w w:val="120"/>
        </w:rPr>
        <w:t>en</w:t>
      </w:r>
      <w:r>
        <w:rPr>
          <w:color w:val="231F20"/>
          <w:spacing w:val="-7"/>
          <w:w w:val="120"/>
        </w:rPr>
        <w:t> </w:t>
      </w:r>
      <w:r>
        <w:rPr>
          <w:color w:val="231F20"/>
          <w:spacing w:val="-2"/>
          <w:w w:val="120"/>
        </w:rPr>
        <w:t>mobilisant</w:t>
      </w:r>
      <w:r>
        <w:rPr>
          <w:color w:val="231F20"/>
          <w:spacing w:val="-7"/>
          <w:w w:val="120"/>
        </w:rPr>
        <w:t> </w:t>
      </w:r>
      <w:r>
        <w:rPr>
          <w:color w:val="231F20"/>
          <w:spacing w:val="-2"/>
          <w:w w:val="120"/>
        </w:rPr>
        <w:t>une</w:t>
      </w:r>
      <w:r>
        <w:rPr>
          <w:color w:val="231F20"/>
          <w:spacing w:val="-7"/>
          <w:w w:val="120"/>
        </w:rPr>
        <w:t> </w:t>
      </w:r>
      <w:r>
        <w:rPr>
          <w:color w:val="231F20"/>
          <w:spacing w:val="-2"/>
          <w:w w:val="120"/>
        </w:rPr>
        <w:t>réponse</w:t>
      </w:r>
      <w:r>
        <w:rPr>
          <w:color w:val="231F20"/>
          <w:spacing w:val="-7"/>
          <w:w w:val="120"/>
        </w:rPr>
        <w:t> </w:t>
      </w:r>
      <w:r>
        <w:rPr>
          <w:color w:val="231F20"/>
          <w:spacing w:val="-2"/>
          <w:w w:val="120"/>
        </w:rPr>
        <w:t>endocrinienne</w:t>
      </w:r>
      <w:r>
        <w:rPr>
          <w:color w:val="231F20"/>
          <w:spacing w:val="-7"/>
          <w:w w:val="120"/>
        </w:rPr>
        <w:t> </w:t>
      </w:r>
      <w:r>
        <w:rPr>
          <w:color w:val="231F20"/>
          <w:spacing w:val="-2"/>
          <w:w w:val="120"/>
        </w:rPr>
        <w:t>qui </w:t>
      </w:r>
      <w:r>
        <w:rPr>
          <w:color w:val="231F20"/>
          <w:spacing w:val="-4"/>
          <w:w w:val="120"/>
        </w:rPr>
        <w:t>produit des changements quantifiables et mesurables et qui est à l’origine </w:t>
      </w:r>
      <w:r>
        <w:rPr>
          <w:color w:val="231F20"/>
          <w:w w:val="120"/>
        </w:rPr>
        <w:t>de nos réactions fonctionnelles ou organiques au stress.</w:t>
      </w:r>
    </w:p>
    <w:p>
      <w:pPr>
        <w:pStyle w:val="BodyText"/>
        <w:spacing w:line="307" w:lineRule="auto" w:before="79"/>
        <w:ind w:left="1180" w:right="247" w:firstLine="250"/>
        <w:jc w:val="both"/>
      </w:pPr>
      <w:r>
        <w:rPr>
          <w:color w:val="231F20"/>
          <w:spacing w:val="-2"/>
          <w:w w:val="120"/>
        </w:rPr>
        <w:t>Le</w:t>
      </w:r>
      <w:r>
        <w:rPr>
          <w:color w:val="231F20"/>
          <w:spacing w:val="-6"/>
          <w:w w:val="120"/>
        </w:rPr>
        <w:t> </w:t>
      </w:r>
      <w:r>
        <w:rPr>
          <w:color w:val="231F20"/>
          <w:spacing w:val="-2"/>
          <w:w w:val="120"/>
        </w:rPr>
        <w:t>stress</w:t>
      </w:r>
      <w:r>
        <w:rPr>
          <w:color w:val="231F20"/>
          <w:spacing w:val="-6"/>
          <w:w w:val="120"/>
        </w:rPr>
        <w:t> </w:t>
      </w:r>
      <w:r>
        <w:rPr>
          <w:color w:val="231F20"/>
          <w:spacing w:val="-2"/>
          <w:w w:val="120"/>
        </w:rPr>
        <w:t>est</w:t>
      </w:r>
      <w:r>
        <w:rPr>
          <w:color w:val="231F20"/>
          <w:spacing w:val="-6"/>
          <w:w w:val="120"/>
        </w:rPr>
        <w:t> </w:t>
      </w:r>
      <w:r>
        <w:rPr>
          <w:color w:val="231F20"/>
          <w:spacing w:val="-2"/>
          <w:w w:val="120"/>
        </w:rPr>
        <w:t>généralement</w:t>
      </w:r>
      <w:r>
        <w:rPr>
          <w:color w:val="231F20"/>
          <w:spacing w:val="-6"/>
          <w:w w:val="120"/>
        </w:rPr>
        <w:t> </w:t>
      </w:r>
      <w:r>
        <w:rPr>
          <w:color w:val="231F20"/>
          <w:spacing w:val="-2"/>
          <w:w w:val="120"/>
        </w:rPr>
        <w:t>considéré</w:t>
      </w:r>
      <w:r>
        <w:rPr>
          <w:color w:val="231F20"/>
          <w:spacing w:val="-6"/>
          <w:w w:val="120"/>
        </w:rPr>
        <w:t> </w:t>
      </w:r>
      <w:r>
        <w:rPr>
          <w:color w:val="231F20"/>
          <w:spacing w:val="-2"/>
          <w:w w:val="120"/>
        </w:rPr>
        <w:t>comme</w:t>
      </w:r>
      <w:r>
        <w:rPr>
          <w:color w:val="231F20"/>
          <w:spacing w:val="-6"/>
          <w:w w:val="120"/>
        </w:rPr>
        <w:t> </w:t>
      </w:r>
      <w:r>
        <w:rPr>
          <w:color w:val="231F20"/>
          <w:spacing w:val="-2"/>
          <w:w w:val="120"/>
        </w:rPr>
        <w:t>nocif,</w:t>
      </w:r>
      <w:r>
        <w:rPr>
          <w:color w:val="231F20"/>
          <w:spacing w:val="-6"/>
          <w:w w:val="120"/>
        </w:rPr>
        <w:t> </w:t>
      </w:r>
      <w:r>
        <w:rPr>
          <w:color w:val="231F20"/>
          <w:spacing w:val="-2"/>
          <w:w w:val="120"/>
        </w:rPr>
        <w:t>mais</w:t>
      </w:r>
      <w:r>
        <w:rPr>
          <w:color w:val="231F20"/>
          <w:spacing w:val="-6"/>
          <w:w w:val="120"/>
        </w:rPr>
        <w:t> </w:t>
      </w:r>
      <w:r>
        <w:rPr>
          <w:color w:val="231F20"/>
          <w:spacing w:val="-2"/>
          <w:w w:val="120"/>
        </w:rPr>
        <w:t>une</w:t>
      </w:r>
      <w:r>
        <w:rPr>
          <w:color w:val="231F20"/>
          <w:spacing w:val="-6"/>
          <w:w w:val="120"/>
        </w:rPr>
        <w:t> </w:t>
      </w:r>
      <w:r>
        <w:rPr>
          <w:color w:val="231F20"/>
          <w:spacing w:val="-2"/>
          <w:w w:val="120"/>
        </w:rPr>
        <w:t>vie</w:t>
      </w:r>
      <w:r>
        <w:rPr>
          <w:color w:val="231F20"/>
          <w:spacing w:val="-6"/>
          <w:w w:val="120"/>
        </w:rPr>
        <w:t> </w:t>
      </w:r>
      <w:r>
        <w:rPr>
          <w:color w:val="231F20"/>
          <w:spacing w:val="-2"/>
          <w:w w:val="120"/>
        </w:rPr>
        <w:t>sans </w:t>
      </w:r>
      <w:r>
        <w:rPr>
          <w:color w:val="231F20"/>
          <w:w w:val="120"/>
        </w:rPr>
        <w:t>stimulation serait monotone et ennuyeuse; il nous manquerait la force créatrice,</w:t>
      </w:r>
      <w:r>
        <w:rPr>
          <w:color w:val="231F20"/>
          <w:spacing w:val="-13"/>
          <w:w w:val="120"/>
        </w:rPr>
        <w:t> </w:t>
      </w:r>
      <w:r>
        <w:rPr>
          <w:color w:val="231F20"/>
          <w:w w:val="120"/>
        </w:rPr>
        <w:t>source</w:t>
      </w:r>
      <w:r>
        <w:rPr>
          <w:color w:val="231F20"/>
          <w:spacing w:val="-13"/>
          <w:w w:val="120"/>
        </w:rPr>
        <w:t> </w:t>
      </w:r>
      <w:r>
        <w:rPr>
          <w:color w:val="231F20"/>
          <w:w w:val="120"/>
        </w:rPr>
        <w:t>d’innovation</w:t>
      </w:r>
      <w:r>
        <w:rPr>
          <w:color w:val="231F20"/>
          <w:spacing w:val="-13"/>
          <w:w w:val="120"/>
        </w:rPr>
        <w:t> </w:t>
      </w:r>
      <w:r>
        <w:rPr>
          <w:color w:val="231F20"/>
          <w:w w:val="120"/>
        </w:rPr>
        <w:t>et</w:t>
      </w:r>
      <w:r>
        <w:rPr>
          <w:color w:val="231F20"/>
          <w:spacing w:val="-12"/>
          <w:w w:val="120"/>
        </w:rPr>
        <w:t> </w:t>
      </w:r>
      <w:r>
        <w:rPr>
          <w:color w:val="231F20"/>
          <w:w w:val="120"/>
        </w:rPr>
        <w:t>étape</w:t>
      </w:r>
      <w:r>
        <w:rPr>
          <w:color w:val="231F20"/>
          <w:spacing w:val="-13"/>
          <w:w w:val="120"/>
        </w:rPr>
        <w:t> </w:t>
      </w:r>
      <w:r>
        <w:rPr>
          <w:color w:val="231F20"/>
          <w:w w:val="120"/>
        </w:rPr>
        <w:t>préalable</w:t>
      </w:r>
      <w:r>
        <w:rPr>
          <w:color w:val="231F20"/>
          <w:spacing w:val="-13"/>
          <w:w w:val="120"/>
        </w:rPr>
        <w:t> </w:t>
      </w:r>
      <w:r>
        <w:rPr>
          <w:color w:val="231F20"/>
          <w:w w:val="120"/>
        </w:rPr>
        <w:t>à</w:t>
      </w:r>
      <w:r>
        <w:rPr>
          <w:color w:val="231F20"/>
          <w:spacing w:val="-13"/>
          <w:w w:val="120"/>
        </w:rPr>
        <w:t> </w:t>
      </w:r>
      <w:r>
        <w:rPr>
          <w:color w:val="231F20"/>
          <w:w w:val="120"/>
        </w:rPr>
        <w:t>l’atteinte</w:t>
      </w:r>
      <w:r>
        <w:rPr>
          <w:color w:val="231F20"/>
          <w:spacing w:val="-12"/>
          <w:w w:val="120"/>
        </w:rPr>
        <w:t> </w:t>
      </w:r>
      <w:r>
        <w:rPr>
          <w:color w:val="231F20"/>
          <w:w w:val="120"/>
        </w:rPr>
        <w:t>de</w:t>
      </w:r>
      <w:r>
        <w:rPr>
          <w:color w:val="231F20"/>
          <w:spacing w:val="-13"/>
          <w:w w:val="120"/>
        </w:rPr>
        <w:t> </w:t>
      </w:r>
      <w:r>
        <w:rPr>
          <w:color w:val="231F20"/>
          <w:w w:val="120"/>
        </w:rPr>
        <w:t>nos</w:t>
      </w:r>
      <w:r>
        <w:rPr>
          <w:color w:val="231F20"/>
          <w:spacing w:val="-13"/>
          <w:w w:val="120"/>
        </w:rPr>
        <w:t> </w:t>
      </w:r>
      <w:r>
        <w:rPr>
          <w:color w:val="231F20"/>
          <w:w w:val="120"/>
        </w:rPr>
        <w:t>buts. </w:t>
      </w:r>
      <w:r>
        <w:rPr>
          <w:color w:val="231F20"/>
          <w:w w:val="115"/>
        </w:rPr>
        <w:t>En</w:t>
      </w:r>
      <w:r>
        <w:rPr>
          <w:color w:val="231F20"/>
          <w:spacing w:val="-13"/>
          <w:w w:val="115"/>
        </w:rPr>
        <w:t> </w:t>
      </w:r>
      <w:r>
        <w:rPr>
          <w:color w:val="231F20"/>
          <w:w w:val="115"/>
        </w:rPr>
        <w:t>ce</w:t>
      </w:r>
      <w:r>
        <w:rPr>
          <w:color w:val="231F20"/>
          <w:spacing w:val="-2"/>
          <w:w w:val="115"/>
        </w:rPr>
        <w:t> </w:t>
      </w:r>
      <w:r>
        <w:rPr>
          <w:color w:val="231F20"/>
          <w:w w:val="115"/>
        </w:rPr>
        <w:t>sens, il est pertinent de considérer que le stress est «</w:t>
      </w:r>
      <w:r>
        <w:rPr>
          <w:color w:val="231F20"/>
          <w:spacing w:val="-13"/>
          <w:w w:val="115"/>
        </w:rPr>
        <w:t> </w:t>
      </w:r>
      <w:r>
        <w:rPr>
          <w:i/>
          <w:color w:val="231F20"/>
          <w:w w:val="115"/>
        </w:rPr>
        <w:t>un mal, néces- saire</w:t>
      </w:r>
      <w:r>
        <w:rPr>
          <w:i/>
          <w:color w:val="231F20"/>
          <w:spacing w:val="-13"/>
          <w:w w:val="115"/>
        </w:rPr>
        <w:t> </w:t>
      </w:r>
      <w:r>
        <w:rPr>
          <w:color w:val="231F20"/>
          <w:w w:val="115"/>
        </w:rPr>
        <w:t>»,</w:t>
      </w:r>
      <w:r>
        <w:rPr>
          <w:color w:val="231F20"/>
          <w:spacing w:val="-1"/>
          <w:w w:val="115"/>
        </w:rPr>
        <w:t> </w:t>
      </w:r>
      <w:r>
        <w:rPr>
          <w:color w:val="231F20"/>
          <w:w w:val="115"/>
        </w:rPr>
        <w:t>car il provoque une dépense énergétique qui hypothèque assuré- </w:t>
      </w:r>
      <w:r>
        <w:rPr>
          <w:color w:val="231F20"/>
          <w:w w:val="120"/>
        </w:rPr>
        <w:t>ment</w:t>
      </w:r>
      <w:r>
        <w:rPr>
          <w:color w:val="231F20"/>
          <w:spacing w:val="-13"/>
          <w:w w:val="120"/>
        </w:rPr>
        <w:t> </w:t>
      </w:r>
      <w:r>
        <w:rPr>
          <w:color w:val="231F20"/>
          <w:w w:val="120"/>
        </w:rPr>
        <w:t>le</w:t>
      </w:r>
      <w:r>
        <w:rPr>
          <w:color w:val="231F20"/>
          <w:spacing w:val="-13"/>
          <w:w w:val="120"/>
        </w:rPr>
        <w:t> </w:t>
      </w:r>
      <w:r>
        <w:rPr>
          <w:color w:val="231F20"/>
          <w:w w:val="120"/>
        </w:rPr>
        <w:t>bon</w:t>
      </w:r>
      <w:r>
        <w:rPr>
          <w:color w:val="231F20"/>
          <w:spacing w:val="-13"/>
          <w:w w:val="120"/>
        </w:rPr>
        <w:t> </w:t>
      </w:r>
      <w:r>
        <w:rPr>
          <w:color w:val="231F20"/>
          <w:w w:val="120"/>
        </w:rPr>
        <w:t>fonctionnement</w:t>
      </w:r>
      <w:r>
        <w:rPr>
          <w:color w:val="231F20"/>
          <w:spacing w:val="-12"/>
          <w:w w:val="120"/>
        </w:rPr>
        <w:t> </w:t>
      </w:r>
      <w:r>
        <w:rPr>
          <w:color w:val="231F20"/>
          <w:w w:val="120"/>
        </w:rPr>
        <w:t>de</w:t>
      </w:r>
      <w:r>
        <w:rPr>
          <w:color w:val="231F20"/>
          <w:spacing w:val="-13"/>
          <w:w w:val="120"/>
        </w:rPr>
        <w:t> </w:t>
      </w:r>
      <w:r>
        <w:rPr>
          <w:color w:val="231F20"/>
          <w:w w:val="120"/>
        </w:rPr>
        <w:t>l’organisme,</w:t>
      </w:r>
      <w:r>
        <w:rPr>
          <w:color w:val="231F20"/>
          <w:spacing w:val="-13"/>
          <w:w w:val="120"/>
        </w:rPr>
        <w:t> </w:t>
      </w:r>
      <w:r>
        <w:rPr>
          <w:color w:val="231F20"/>
          <w:w w:val="120"/>
        </w:rPr>
        <w:t>mais</w:t>
      </w:r>
      <w:r>
        <w:rPr>
          <w:color w:val="231F20"/>
          <w:spacing w:val="-13"/>
          <w:w w:val="120"/>
        </w:rPr>
        <w:t> </w:t>
      </w:r>
      <w:r>
        <w:rPr>
          <w:color w:val="231F20"/>
          <w:w w:val="120"/>
        </w:rPr>
        <w:t>il</w:t>
      </w:r>
      <w:r>
        <w:rPr>
          <w:color w:val="231F20"/>
          <w:spacing w:val="-12"/>
          <w:w w:val="120"/>
        </w:rPr>
        <w:t> </w:t>
      </w:r>
      <w:r>
        <w:rPr>
          <w:color w:val="231F20"/>
          <w:w w:val="120"/>
        </w:rPr>
        <w:t>demeure</w:t>
      </w:r>
      <w:r>
        <w:rPr>
          <w:color w:val="231F20"/>
          <w:spacing w:val="-13"/>
          <w:w w:val="120"/>
        </w:rPr>
        <w:t> </w:t>
      </w:r>
      <w:r>
        <w:rPr>
          <w:color w:val="231F20"/>
          <w:w w:val="120"/>
        </w:rPr>
        <w:t>parfois</w:t>
      </w:r>
      <w:r>
        <w:rPr>
          <w:color w:val="231F20"/>
          <w:spacing w:val="-13"/>
          <w:w w:val="120"/>
        </w:rPr>
        <w:t> </w:t>
      </w:r>
      <w:r>
        <w:rPr>
          <w:color w:val="231F20"/>
          <w:w w:val="120"/>
        </w:rPr>
        <w:t>un facteur de stimulation qui peut être un moteur à l’action.</w:t>
      </w:r>
    </w:p>
    <w:p>
      <w:pPr>
        <w:pStyle w:val="BodyText"/>
        <w:spacing w:before="6"/>
        <w:rPr>
          <w:sz w:val="11"/>
        </w:rPr>
      </w:pPr>
      <w:r>
        <w:rPr/>
        <w:pict>
          <v:group style="position:absolute;margin-left:82pt;margin-top:7.824463pt;width:287.5pt;height:272.350pt;mso-position-horizontal-relative:page;mso-position-vertical-relative:paragraph;z-index:-15704576;mso-wrap-distance-left:0;mso-wrap-distance-right:0" id="docshapegroup137" coordorigin="1640,156" coordsize="5750,5447">
            <v:shape style="position:absolute;left:1640;top:156;width:5750;height:5447" id="docshape138" coordorigin="1640,156" coordsize="5750,5447" path="m7390,156l1640,156,1640,701,1640,861,1640,5603,7390,5603,7390,701,7390,156xe" filled="true" fillcolor="#e2e3e4" stroked="false">
              <v:path arrowok="t"/>
              <v:fill type="solid"/>
            </v:shape>
            <v:shape style="position:absolute;left:1890;top:775;width:2520;height:1720" type="#_x0000_t75" id="docshape139" stroked="false">
              <v:imagedata r:id="rId67" o:title=""/>
            </v:shape>
            <v:shape style="position:absolute;left:4623;top:775;width:2513;height:1720" type="#_x0000_t75" id="docshape140" stroked="false">
              <v:imagedata r:id="rId68" o:title=""/>
            </v:shape>
            <v:shape style="position:absolute;left:1893;top:3179;width:2513;height:1720" type="#_x0000_t75" id="docshape141" stroked="false">
              <v:imagedata r:id="rId69" o:title=""/>
            </v:shape>
            <v:shape style="position:absolute;left:4620;top:3179;width:2520;height:1720" type="#_x0000_t75" id="docshape142" stroked="false">
              <v:imagedata r:id="rId70" o:title=""/>
            </v:shape>
            <v:shape style="position:absolute;left:1890;top:328;width:2434;height:246" type="#_x0000_t202" id="docshape143"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2.1</w:t>
                    </w:r>
                    <w:r>
                      <w:rPr>
                        <w:rFonts w:ascii="Arial" w:hAnsi="Arial"/>
                        <w:color w:val="231F20"/>
                        <w:spacing w:val="-8"/>
                        <w:w w:val="95"/>
                        <w:sz w:val="17"/>
                      </w:rPr>
                      <w:t> </w:t>
                    </w:r>
                    <w:r>
                      <w:rPr>
                        <w:rFonts w:ascii="Arial" w:hAnsi="Arial"/>
                        <w:i/>
                        <w:color w:val="231F20"/>
                        <w:w w:val="95"/>
                        <w:sz w:val="17"/>
                      </w:rPr>
                      <w:t>/</w:t>
                    </w:r>
                    <w:r>
                      <w:rPr>
                        <w:rFonts w:ascii="Arial" w:hAnsi="Arial"/>
                        <w:i/>
                        <w:color w:val="231F20"/>
                        <w:spacing w:val="50"/>
                        <w:sz w:val="17"/>
                      </w:rPr>
                      <w:t> </w:t>
                    </w:r>
                    <w:r>
                      <w:rPr>
                        <w:rFonts w:ascii="Arial" w:hAnsi="Arial"/>
                        <w:b/>
                        <w:color w:val="231F20"/>
                        <w:w w:val="95"/>
                        <w:sz w:val="17"/>
                      </w:rPr>
                      <w:t>Mosaïque</w:t>
                    </w:r>
                    <w:r>
                      <w:rPr>
                        <w:rFonts w:ascii="Arial" w:hAnsi="Arial"/>
                        <w:b/>
                        <w:color w:val="231F20"/>
                        <w:spacing w:val="-1"/>
                        <w:w w:val="95"/>
                        <w:sz w:val="17"/>
                      </w:rPr>
                      <w:t> </w:t>
                    </w:r>
                    <w:r>
                      <w:rPr>
                        <w:rFonts w:ascii="Arial" w:hAnsi="Arial"/>
                        <w:b/>
                        <w:color w:val="231F20"/>
                        <w:w w:val="95"/>
                        <w:sz w:val="17"/>
                      </w:rPr>
                      <w:t>du</w:t>
                    </w:r>
                    <w:r>
                      <w:rPr>
                        <w:rFonts w:ascii="Arial" w:hAnsi="Arial"/>
                        <w:b/>
                        <w:color w:val="231F20"/>
                        <w:spacing w:val="-2"/>
                        <w:w w:val="95"/>
                        <w:sz w:val="17"/>
                      </w:rPr>
                      <w:t> stress</w:t>
                    </w:r>
                  </w:p>
                </w:txbxContent>
              </v:textbox>
              <w10:wrap type="none"/>
            </v:shape>
            <v:shape style="position:absolute;left:1890;top:2540;width:2092;height:393" type="#_x0000_t202" id="docshape144" filled="false" stroked="false">
              <v:textbox inset="0,0,0,0">
                <w:txbxContent>
                  <w:p>
                    <w:pPr>
                      <w:spacing w:line="249" w:lineRule="auto" w:before="33"/>
                      <w:ind w:left="0" w:right="0" w:firstLine="0"/>
                      <w:jc w:val="left"/>
                      <w:rPr>
                        <w:rFonts w:ascii="Arial" w:hAnsi="Arial"/>
                        <w:sz w:val="15"/>
                      </w:rPr>
                    </w:pPr>
                    <w:r>
                      <w:rPr>
                        <w:rFonts w:ascii="Arial" w:hAnsi="Arial"/>
                        <w:color w:val="231F20"/>
                        <w:sz w:val="15"/>
                      </w:rPr>
                      <w:t>Agent</w:t>
                    </w:r>
                    <w:r>
                      <w:rPr>
                        <w:rFonts w:ascii="Arial" w:hAnsi="Arial"/>
                        <w:color w:val="231F20"/>
                        <w:spacing w:val="-11"/>
                        <w:sz w:val="15"/>
                      </w:rPr>
                      <w:t> </w:t>
                    </w:r>
                    <w:r>
                      <w:rPr>
                        <w:rFonts w:ascii="Arial" w:hAnsi="Arial"/>
                        <w:color w:val="231F20"/>
                        <w:sz w:val="15"/>
                      </w:rPr>
                      <w:t>stressant</w:t>
                    </w:r>
                    <w:r>
                      <w:rPr>
                        <w:rFonts w:ascii="Arial" w:hAnsi="Arial"/>
                        <w:color w:val="231F20"/>
                        <w:spacing w:val="-10"/>
                        <w:sz w:val="15"/>
                      </w:rPr>
                      <w:t> </w:t>
                    </w:r>
                    <w:r>
                      <w:rPr>
                        <w:rFonts w:ascii="Arial" w:hAnsi="Arial"/>
                        <w:color w:val="231F20"/>
                        <w:sz w:val="15"/>
                      </w:rPr>
                      <w:t>physique</w:t>
                    </w:r>
                    <w:r>
                      <w:rPr>
                        <w:rFonts w:ascii="Arial" w:hAnsi="Arial"/>
                        <w:color w:val="231F20"/>
                        <w:spacing w:val="-11"/>
                        <w:sz w:val="15"/>
                      </w:rPr>
                      <w:t> </w:t>
                    </w:r>
                    <w:r>
                      <w:rPr>
                        <w:rFonts w:ascii="Arial" w:hAnsi="Arial"/>
                        <w:color w:val="231F20"/>
                        <w:sz w:val="15"/>
                      </w:rPr>
                      <w:t>aigu</w:t>
                    </w:r>
                    <w:r>
                      <w:rPr>
                        <w:rFonts w:ascii="Arial" w:hAnsi="Arial"/>
                        <w:color w:val="231F20"/>
                        <w:spacing w:val="-28"/>
                        <w:sz w:val="15"/>
                      </w:rPr>
                      <w:t> </w:t>
                    </w:r>
                    <w:r>
                      <w:rPr>
                        <w:rFonts w:ascii="Arial" w:hAnsi="Arial"/>
                        <w:color w:val="231F20"/>
                        <w:sz w:val="15"/>
                      </w:rPr>
                      <w:t>: </w:t>
                    </w:r>
                    <w:r>
                      <w:rPr>
                        <w:rFonts w:ascii="Arial" w:hAnsi="Arial"/>
                        <w:color w:val="231F20"/>
                        <w:spacing w:val="-2"/>
                        <w:w w:val="105"/>
                        <w:sz w:val="15"/>
                      </w:rPr>
                      <w:t>l’explosion</w:t>
                    </w:r>
                  </w:p>
                </w:txbxContent>
              </v:textbox>
              <w10:wrap type="none"/>
            </v:shape>
            <v:shape style="position:absolute;left:4620;top:2540;width:2432;height:393" type="#_x0000_t202" id="docshape145" filled="false" stroked="false">
              <v:textbox inset="0,0,0,0">
                <w:txbxContent>
                  <w:p>
                    <w:pPr>
                      <w:spacing w:line="249" w:lineRule="auto" w:before="33"/>
                      <w:ind w:left="0" w:right="0" w:firstLine="0"/>
                      <w:jc w:val="left"/>
                      <w:rPr>
                        <w:rFonts w:ascii="Arial" w:hAnsi="Arial"/>
                        <w:sz w:val="15"/>
                      </w:rPr>
                    </w:pPr>
                    <w:r>
                      <w:rPr>
                        <w:rFonts w:ascii="Arial" w:hAnsi="Arial"/>
                        <w:color w:val="231F20"/>
                        <w:sz w:val="15"/>
                      </w:rPr>
                      <w:t>Agents stressants physiques </w:t>
                    </w:r>
                    <w:r>
                      <w:rPr>
                        <w:rFonts w:ascii="Arial" w:hAnsi="Arial"/>
                        <w:color w:val="231F20"/>
                        <w:spacing w:val="-2"/>
                        <w:sz w:val="15"/>
                      </w:rPr>
                      <w:t>chroniques</w:t>
                    </w:r>
                    <w:r>
                      <w:rPr>
                        <w:rFonts w:ascii="Arial" w:hAnsi="Arial"/>
                        <w:color w:val="231F20"/>
                        <w:spacing w:val="-28"/>
                        <w:sz w:val="15"/>
                      </w:rPr>
                      <w:t> </w:t>
                    </w:r>
                    <w:r>
                      <w:rPr>
                        <w:rFonts w:ascii="Arial" w:hAnsi="Arial"/>
                        <w:color w:val="231F20"/>
                        <w:spacing w:val="-2"/>
                        <w:sz w:val="15"/>
                      </w:rPr>
                      <w:t>:</w:t>
                    </w:r>
                    <w:r>
                      <w:rPr>
                        <w:rFonts w:ascii="Arial" w:hAnsi="Arial"/>
                        <w:color w:val="231F20"/>
                        <w:spacing w:val="-3"/>
                        <w:sz w:val="15"/>
                      </w:rPr>
                      <w:t> </w:t>
                    </w:r>
                    <w:r>
                      <w:rPr>
                        <w:rFonts w:ascii="Arial" w:hAnsi="Arial"/>
                        <w:color w:val="231F20"/>
                        <w:spacing w:val="-2"/>
                        <w:sz w:val="15"/>
                      </w:rPr>
                      <w:t>la</w:t>
                    </w:r>
                    <w:r>
                      <w:rPr>
                        <w:rFonts w:ascii="Arial" w:hAnsi="Arial"/>
                        <w:color w:val="231F20"/>
                        <w:spacing w:val="-3"/>
                        <w:sz w:val="15"/>
                      </w:rPr>
                      <w:t> </w:t>
                    </w:r>
                    <w:r>
                      <w:rPr>
                        <w:rFonts w:ascii="Arial" w:hAnsi="Arial"/>
                        <w:color w:val="231F20"/>
                        <w:spacing w:val="-2"/>
                        <w:sz w:val="15"/>
                      </w:rPr>
                      <w:t>famine,</w:t>
                    </w:r>
                    <w:r>
                      <w:rPr>
                        <w:rFonts w:ascii="Arial" w:hAnsi="Arial"/>
                        <w:color w:val="231F20"/>
                        <w:spacing w:val="-3"/>
                        <w:sz w:val="15"/>
                      </w:rPr>
                      <w:t> </w:t>
                    </w:r>
                    <w:r>
                      <w:rPr>
                        <w:rFonts w:ascii="Arial" w:hAnsi="Arial"/>
                        <w:color w:val="231F20"/>
                        <w:spacing w:val="-2"/>
                        <w:sz w:val="15"/>
                      </w:rPr>
                      <w:t>la</w:t>
                    </w:r>
                    <w:r>
                      <w:rPr>
                        <w:rFonts w:ascii="Arial" w:hAnsi="Arial"/>
                        <w:color w:val="231F20"/>
                        <w:spacing w:val="-3"/>
                        <w:sz w:val="15"/>
                      </w:rPr>
                      <w:t> </w:t>
                    </w:r>
                    <w:r>
                      <w:rPr>
                        <w:rFonts w:ascii="Arial" w:hAnsi="Arial"/>
                        <w:color w:val="231F20"/>
                        <w:spacing w:val="-2"/>
                        <w:sz w:val="15"/>
                      </w:rPr>
                      <w:t>sécheresse</w:t>
                    </w:r>
                  </w:p>
                </w:txbxContent>
              </v:textbox>
              <w10:wrap type="none"/>
            </v:shape>
            <v:shape style="position:absolute;left:1890;top:4944;width:2263;height:417" type="#_x0000_t202" id="docshape146" filled="false" stroked="false">
              <v:textbox inset="0,0,0,0">
                <w:txbxContent>
                  <w:p>
                    <w:pPr>
                      <w:spacing w:line="283" w:lineRule="auto" w:before="30"/>
                      <w:ind w:left="0" w:right="0" w:firstLine="0"/>
                      <w:jc w:val="left"/>
                      <w:rPr>
                        <w:rFonts w:ascii="Arial"/>
                        <w:sz w:val="15"/>
                      </w:rPr>
                    </w:pPr>
                    <w:r>
                      <w:rPr>
                        <w:rFonts w:ascii="Arial"/>
                        <w:color w:val="231F20"/>
                        <w:spacing w:val="-2"/>
                        <w:sz w:val="15"/>
                      </w:rPr>
                      <w:t>Agents</w:t>
                    </w:r>
                    <w:r>
                      <w:rPr>
                        <w:rFonts w:ascii="Arial"/>
                        <w:color w:val="231F20"/>
                        <w:spacing w:val="-5"/>
                        <w:sz w:val="15"/>
                      </w:rPr>
                      <w:t> </w:t>
                    </w:r>
                    <w:r>
                      <w:rPr>
                        <w:rFonts w:ascii="Arial"/>
                        <w:color w:val="231F20"/>
                        <w:spacing w:val="-2"/>
                        <w:sz w:val="15"/>
                      </w:rPr>
                      <w:t>stressants</w:t>
                    </w:r>
                    <w:r>
                      <w:rPr>
                        <w:rFonts w:ascii="Arial"/>
                        <w:color w:val="231F20"/>
                        <w:spacing w:val="-5"/>
                        <w:sz w:val="15"/>
                      </w:rPr>
                      <w:t> </w:t>
                    </w:r>
                    <w:r>
                      <w:rPr>
                        <w:rFonts w:ascii="Arial"/>
                        <w:color w:val="231F20"/>
                        <w:spacing w:val="-2"/>
                        <w:sz w:val="15"/>
                      </w:rPr>
                      <w:t>psychosociaux</w:t>
                    </w:r>
                    <w:r>
                      <w:rPr>
                        <w:rFonts w:ascii="Arial"/>
                        <w:color w:val="231F20"/>
                        <w:spacing w:val="-28"/>
                        <w:sz w:val="15"/>
                      </w:rPr>
                      <w:t> </w:t>
                    </w:r>
                    <w:r>
                      <w:rPr>
                        <w:rFonts w:ascii="Arial"/>
                        <w:color w:val="231F20"/>
                        <w:spacing w:val="-2"/>
                        <w:sz w:val="15"/>
                      </w:rPr>
                      <w:t>:</w:t>
                    </w:r>
                    <w:r>
                      <w:rPr>
                        <w:rFonts w:ascii="Arial"/>
                        <w:color w:val="231F20"/>
                        <w:sz w:val="15"/>
                      </w:rPr>
                      <w:t> la</w:t>
                    </w:r>
                    <w:r>
                      <w:rPr>
                        <w:rFonts w:ascii="Arial"/>
                        <w:color w:val="231F20"/>
                        <w:spacing w:val="-7"/>
                        <w:sz w:val="15"/>
                      </w:rPr>
                      <w:t> </w:t>
                    </w:r>
                    <w:r>
                      <w:rPr>
                        <w:rFonts w:ascii="Arial"/>
                        <w:color w:val="231F20"/>
                        <w:sz w:val="15"/>
                      </w:rPr>
                      <w:t>circulation</w:t>
                    </w:r>
                  </w:p>
                </w:txbxContent>
              </v:textbox>
              <w10:wrap type="none"/>
            </v:shape>
            <v:shape style="position:absolute;left:4620;top:4944;width:2263;height:417" type="#_x0000_t202" id="docshape147" filled="false" stroked="false">
              <v:textbox inset="0,0,0,0">
                <w:txbxContent>
                  <w:p>
                    <w:pPr>
                      <w:spacing w:line="283" w:lineRule="auto" w:before="30"/>
                      <w:ind w:left="0" w:right="0" w:firstLine="0"/>
                      <w:jc w:val="left"/>
                      <w:rPr>
                        <w:rFonts w:ascii="Arial"/>
                        <w:sz w:val="15"/>
                      </w:rPr>
                    </w:pPr>
                    <w:r>
                      <w:rPr>
                        <w:rFonts w:ascii="Arial"/>
                        <w:color w:val="231F20"/>
                        <w:spacing w:val="-2"/>
                        <w:sz w:val="15"/>
                      </w:rPr>
                      <w:t>Agents</w:t>
                    </w:r>
                    <w:r>
                      <w:rPr>
                        <w:rFonts w:ascii="Arial"/>
                        <w:color w:val="231F20"/>
                        <w:spacing w:val="-5"/>
                        <w:sz w:val="15"/>
                      </w:rPr>
                      <w:t> </w:t>
                    </w:r>
                    <w:r>
                      <w:rPr>
                        <w:rFonts w:ascii="Arial"/>
                        <w:color w:val="231F20"/>
                        <w:spacing w:val="-2"/>
                        <w:sz w:val="15"/>
                      </w:rPr>
                      <w:t>stressants</w:t>
                    </w:r>
                    <w:r>
                      <w:rPr>
                        <w:rFonts w:ascii="Arial"/>
                        <w:color w:val="231F20"/>
                        <w:spacing w:val="-5"/>
                        <w:sz w:val="15"/>
                      </w:rPr>
                      <w:t> </w:t>
                    </w:r>
                    <w:r>
                      <w:rPr>
                        <w:rFonts w:ascii="Arial"/>
                        <w:color w:val="231F20"/>
                        <w:spacing w:val="-2"/>
                        <w:sz w:val="15"/>
                      </w:rPr>
                      <w:t>psychosociaux</w:t>
                    </w:r>
                    <w:r>
                      <w:rPr>
                        <w:rFonts w:ascii="Arial"/>
                        <w:color w:val="231F20"/>
                        <w:spacing w:val="-28"/>
                        <w:sz w:val="15"/>
                      </w:rPr>
                      <w:t> </w:t>
                    </w:r>
                    <w:r>
                      <w:rPr>
                        <w:rFonts w:ascii="Arial"/>
                        <w:color w:val="231F20"/>
                        <w:spacing w:val="-2"/>
                        <w:sz w:val="15"/>
                      </w:rPr>
                      <w:t>:</w:t>
                    </w:r>
                    <w:r>
                      <w:rPr>
                        <w:rFonts w:ascii="Arial"/>
                        <w:color w:val="231F20"/>
                        <w:sz w:val="15"/>
                      </w:rPr>
                      <w:t> les</w:t>
                    </w:r>
                    <w:r>
                      <w:rPr>
                        <w:rFonts w:ascii="Arial"/>
                        <w:color w:val="231F20"/>
                        <w:spacing w:val="-7"/>
                        <w:sz w:val="15"/>
                      </w:rPr>
                      <w:t> </w:t>
                    </w:r>
                    <w:r>
                      <w:rPr>
                        <w:rFonts w:ascii="Arial"/>
                        <w:color w:val="231F20"/>
                        <w:sz w:val="15"/>
                      </w:rPr>
                      <w:t>relations</w:t>
                    </w:r>
                  </w:p>
                </w:txbxContent>
              </v:textbox>
              <w10:wrap type="none"/>
            </v:shape>
            <w10:wrap type="topAndBottom"/>
          </v:group>
        </w:pict>
      </w:r>
    </w:p>
    <w:p>
      <w:pPr>
        <w:spacing w:after="0"/>
        <w:rPr>
          <w:sz w:val="11"/>
        </w:rPr>
        <w:sectPr>
          <w:footerReference w:type="default" r:id="rId66"/>
          <w:pgSz w:w="8640" w:h="12960"/>
          <w:pgMar w:footer="424" w:header="0" w:top="500" w:bottom="620" w:left="460" w:right="1000"/>
        </w:sectPr>
      </w:pPr>
    </w:p>
    <w:p>
      <w:pPr>
        <w:spacing w:before="103"/>
        <w:ind w:left="150" w:right="0" w:firstLine="0"/>
        <w:jc w:val="center"/>
        <w:rPr>
          <w:rFonts w:ascii="Arial" w:hAnsi="Arial"/>
          <w:sz w:val="14"/>
        </w:rPr>
      </w:pPr>
      <w:bookmarkStart w:name=" 2.2 / Qu’est-ce que le stress professio" w:id="39"/>
      <w:bookmarkEnd w:id="39"/>
      <w:r>
        <w:rPr/>
      </w:r>
      <w:bookmarkStart w:name="_bookmark16" w:id="40"/>
      <w:bookmarkEnd w:id="4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10"/>
        <w:rPr>
          <w:rFonts w:ascii="Arial"/>
          <w:sz w:val="26"/>
        </w:rPr>
      </w:pPr>
    </w:p>
    <w:p>
      <w:pPr>
        <w:pStyle w:val="Heading2"/>
        <w:numPr>
          <w:ilvl w:val="1"/>
          <w:numId w:val="17"/>
        </w:numPr>
        <w:tabs>
          <w:tab w:pos="481" w:val="left" w:leader="none"/>
          <w:tab w:pos="789" w:val="left" w:leader="none"/>
        </w:tabs>
        <w:spacing w:line="240" w:lineRule="auto" w:before="0" w:after="0"/>
        <w:ind w:left="480" w:right="0" w:hanging="302"/>
        <w:jc w:val="left"/>
      </w:pPr>
      <w:r>
        <w:rPr>
          <w:b w:val="0"/>
          <w:i/>
          <w:color w:val="231F20"/>
          <w:spacing w:val="-10"/>
        </w:rPr>
        <w:t>/</w:t>
      </w:r>
      <w:r>
        <w:rPr>
          <w:b w:val="0"/>
          <w:i/>
          <w:color w:val="231F20"/>
        </w:rPr>
        <w:tab/>
      </w:r>
      <w:r>
        <w:rPr>
          <w:color w:val="231F20"/>
          <w:spacing w:val="-2"/>
          <w:w w:val="95"/>
        </w:rPr>
        <w:t>Qu’est-ce</w:t>
      </w:r>
      <w:r>
        <w:rPr>
          <w:color w:val="231F20"/>
          <w:spacing w:val="-4"/>
        </w:rPr>
        <w:t> </w:t>
      </w:r>
      <w:r>
        <w:rPr>
          <w:color w:val="231F20"/>
          <w:spacing w:val="-2"/>
          <w:w w:val="95"/>
        </w:rPr>
        <w:t>que</w:t>
      </w:r>
      <w:r>
        <w:rPr>
          <w:color w:val="231F20"/>
          <w:spacing w:val="-4"/>
        </w:rPr>
        <w:t> </w:t>
      </w:r>
      <w:r>
        <w:rPr>
          <w:color w:val="231F20"/>
          <w:spacing w:val="-2"/>
          <w:w w:val="95"/>
        </w:rPr>
        <w:t>le</w:t>
      </w:r>
      <w:r>
        <w:rPr>
          <w:color w:val="231F20"/>
          <w:spacing w:val="-4"/>
        </w:rPr>
        <w:t> </w:t>
      </w:r>
      <w:r>
        <w:rPr>
          <w:color w:val="231F20"/>
          <w:spacing w:val="-2"/>
          <w:w w:val="95"/>
        </w:rPr>
        <w:t>stress</w:t>
      </w:r>
      <w:r>
        <w:rPr>
          <w:color w:val="231F20"/>
          <w:spacing w:val="-3"/>
        </w:rPr>
        <w:t> </w:t>
      </w:r>
      <w:r>
        <w:rPr>
          <w:color w:val="231F20"/>
          <w:spacing w:val="-2"/>
          <w:w w:val="95"/>
        </w:rPr>
        <w:t>professionnel</w:t>
      </w:r>
      <w:r>
        <w:rPr>
          <w:color w:val="231F20"/>
          <w:spacing w:val="-31"/>
          <w:w w:val="95"/>
        </w:rPr>
        <w:t> </w:t>
      </w:r>
      <w:r>
        <w:rPr>
          <w:color w:val="231F20"/>
          <w:spacing w:val="-10"/>
          <w:w w:val="95"/>
        </w:rPr>
        <w:t>?</w:t>
      </w:r>
    </w:p>
    <w:p>
      <w:pPr>
        <w:pStyle w:val="BodyText"/>
        <w:spacing w:before="9"/>
        <w:rPr>
          <w:rFonts w:ascii="Arial"/>
          <w:b/>
          <w:sz w:val="25"/>
        </w:rPr>
      </w:pPr>
    </w:p>
    <w:p>
      <w:pPr>
        <w:spacing w:line="307" w:lineRule="auto" w:before="0"/>
        <w:ind w:left="789" w:right="631" w:firstLine="0"/>
        <w:jc w:val="both"/>
        <w:rPr>
          <w:sz w:val="17"/>
        </w:rPr>
      </w:pPr>
      <w:r>
        <w:rPr>
          <w:color w:val="231F20"/>
          <w:w w:val="115"/>
          <w:sz w:val="17"/>
        </w:rPr>
        <w:t>Au</w:t>
      </w:r>
      <w:r>
        <w:rPr>
          <w:color w:val="231F20"/>
          <w:spacing w:val="-2"/>
          <w:w w:val="115"/>
          <w:sz w:val="17"/>
        </w:rPr>
        <w:t> </w:t>
      </w:r>
      <w:r>
        <w:rPr>
          <w:color w:val="231F20"/>
          <w:w w:val="115"/>
          <w:sz w:val="17"/>
        </w:rPr>
        <w:t>fil</w:t>
      </w:r>
      <w:r>
        <w:rPr>
          <w:color w:val="231F20"/>
          <w:spacing w:val="-2"/>
          <w:w w:val="115"/>
          <w:sz w:val="17"/>
        </w:rPr>
        <w:t> </w:t>
      </w:r>
      <w:r>
        <w:rPr>
          <w:color w:val="231F20"/>
          <w:w w:val="115"/>
          <w:sz w:val="17"/>
        </w:rPr>
        <w:t>des</w:t>
      </w:r>
      <w:r>
        <w:rPr>
          <w:color w:val="231F20"/>
          <w:spacing w:val="-2"/>
          <w:w w:val="115"/>
          <w:sz w:val="17"/>
        </w:rPr>
        <w:t> </w:t>
      </w:r>
      <w:r>
        <w:rPr>
          <w:color w:val="231F20"/>
          <w:w w:val="115"/>
          <w:sz w:val="17"/>
        </w:rPr>
        <w:t>ans,</w:t>
      </w:r>
      <w:r>
        <w:rPr>
          <w:color w:val="231F20"/>
          <w:spacing w:val="-2"/>
          <w:w w:val="115"/>
          <w:sz w:val="17"/>
        </w:rPr>
        <w:t> </w:t>
      </w:r>
      <w:r>
        <w:rPr>
          <w:color w:val="231F20"/>
          <w:w w:val="115"/>
          <w:sz w:val="17"/>
        </w:rPr>
        <w:t>la</w:t>
      </w:r>
      <w:r>
        <w:rPr>
          <w:color w:val="231F20"/>
          <w:spacing w:val="-2"/>
          <w:w w:val="115"/>
          <w:sz w:val="17"/>
        </w:rPr>
        <w:t> </w:t>
      </w:r>
      <w:r>
        <w:rPr>
          <w:color w:val="231F20"/>
          <w:w w:val="115"/>
          <w:sz w:val="17"/>
        </w:rPr>
        <w:t>définition</w:t>
      </w:r>
      <w:r>
        <w:rPr>
          <w:color w:val="231F20"/>
          <w:spacing w:val="-2"/>
          <w:w w:val="115"/>
          <w:sz w:val="17"/>
        </w:rPr>
        <w:t> </w:t>
      </w:r>
      <w:r>
        <w:rPr>
          <w:color w:val="231F20"/>
          <w:w w:val="115"/>
          <w:sz w:val="17"/>
        </w:rPr>
        <w:t>et</w:t>
      </w:r>
      <w:r>
        <w:rPr>
          <w:color w:val="231F20"/>
          <w:spacing w:val="-2"/>
          <w:w w:val="115"/>
          <w:sz w:val="17"/>
        </w:rPr>
        <w:t> </w:t>
      </w:r>
      <w:r>
        <w:rPr>
          <w:color w:val="231F20"/>
          <w:w w:val="115"/>
          <w:sz w:val="17"/>
        </w:rPr>
        <w:t>la</w:t>
      </w:r>
      <w:r>
        <w:rPr>
          <w:color w:val="231F20"/>
          <w:spacing w:val="-2"/>
          <w:w w:val="115"/>
          <w:sz w:val="17"/>
        </w:rPr>
        <w:t> </w:t>
      </w:r>
      <w:r>
        <w:rPr>
          <w:color w:val="231F20"/>
          <w:w w:val="115"/>
          <w:sz w:val="17"/>
        </w:rPr>
        <w:t>portée</w:t>
      </w:r>
      <w:r>
        <w:rPr>
          <w:color w:val="231F20"/>
          <w:spacing w:val="-2"/>
          <w:w w:val="115"/>
          <w:sz w:val="17"/>
        </w:rPr>
        <w:t> </w:t>
      </w:r>
      <w:r>
        <w:rPr>
          <w:color w:val="231F20"/>
          <w:w w:val="115"/>
          <w:sz w:val="17"/>
        </w:rPr>
        <w:t>de</w:t>
      </w:r>
      <w:r>
        <w:rPr>
          <w:color w:val="231F20"/>
          <w:spacing w:val="-2"/>
          <w:w w:val="115"/>
          <w:sz w:val="17"/>
        </w:rPr>
        <w:t> </w:t>
      </w:r>
      <w:r>
        <w:rPr>
          <w:color w:val="231F20"/>
          <w:w w:val="115"/>
          <w:sz w:val="17"/>
        </w:rPr>
        <w:t>la</w:t>
      </w:r>
      <w:r>
        <w:rPr>
          <w:color w:val="231F20"/>
          <w:spacing w:val="-2"/>
          <w:w w:val="115"/>
          <w:sz w:val="17"/>
        </w:rPr>
        <w:t> </w:t>
      </w:r>
      <w:r>
        <w:rPr>
          <w:color w:val="231F20"/>
          <w:w w:val="115"/>
          <w:sz w:val="17"/>
        </w:rPr>
        <w:t>notion</w:t>
      </w:r>
      <w:r>
        <w:rPr>
          <w:color w:val="231F20"/>
          <w:spacing w:val="-2"/>
          <w:w w:val="115"/>
          <w:sz w:val="17"/>
        </w:rPr>
        <w:t> </w:t>
      </w:r>
      <w:r>
        <w:rPr>
          <w:color w:val="231F20"/>
          <w:w w:val="115"/>
          <w:sz w:val="17"/>
        </w:rPr>
        <w:t>de</w:t>
      </w:r>
      <w:r>
        <w:rPr>
          <w:color w:val="231F20"/>
          <w:spacing w:val="-2"/>
          <w:w w:val="115"/>
          <w:sz w:val="17"/>
        </w:rPr>
        <w:t> </w:t>
      </w:r>
      <w:r>
        <w:rPr>
          <w:i/>
          <w:color w:val="231F20"/>
          <w:w w:val="115"/>
          <w:sz w:val="17"/>
        </w:rPr>
        <w:t>stress</w:t>
      </w:r>
      <w:r>
        <w:rPr>
          <w:i/>
          <w:color w:val="231F20"/>
          <w:spacing w:val="-2"/>
          <w:w w:val="115"/>
          <w:sz w:val="17"/>
        </w:rPr>
        <w:t> </w:t>
      </w:r>
      <w:r>
        <w:rPr>
          <w:i/>
          <w:color w:val="231F20"/>
          <w:w w:val="115"/>
          <w:sz w:val="17"/>
        </w:rPr>
        <w:t>en</w:t>
      </w:r>
      <w:r>
        <w:rPr>
          <w:i/>
          <w:color w:val="231F20"/>
          <w:spacing w:val="-2"/>
          <w:w w:val="115"/>
          <w:sz w:val="17"/>
        </w:rPr>
        <w:t> </w:t>
      </w:r>
      <w:r>
        <w:rPr>
          <w:i/>
          <w:color w:val="231F20"/>
          <w:w w:val="115"/>
          <w:sz w:val="17"/>
        </w:rPr>
        <w:t>milieu</w:t>
      </w:r>
      <w:r>
        <w:rPr>
          <w:i/>
          <w:color w:val="231F20"/>
          <w:spacing w:val="-2"/>
          <w:w w:val="115"/>
          <w:sz w:val="17"/>
        </w:rPr>
        <w:t> </w:t>
      </w:r>
      <w:r>
        <w:rPr>
          <w:i/>
          <w:color w:val="231F20"/>
          <w:w w:val="115"/>
          <w:sz w:val="17"/>
        </w:rPr>
        <w:t>de </w:t>
      </w:r>
      <w:r>
        <w:rPr>
          <w:i/>
          <w:color w:val="231F20"/>
          <w:spacing w:val="-2"/>
          <w:w w:val="120"/>
          <w:sz w:val="17"/>
        </w:rPr>
        <w:t>travail</w:t>
      </w:r>
      <w:r>
        <w:rPr>
          <w:i/>
          <w:color w:val="231F20"/>
          <w:spacing w:val="-7"/>
          <w:w w:val="120"/>
          <w:sz w:val="17"/>
        </w:rPr>
        <w:t> </w:t>
      </w:r>
      <w:r>
        <w:rPr>
          <w:color w:val="231F20"/>
          <w:spacing w:val="-2"/>
          <w:w w:val="120"/>
          <w:sz w:val="17"/>
        </w:rPr>
        <w:t>ont</w:t>
      </w:r>
      <w:r>
        <w:rPr>
          <w:color w:val="231F20"/>
          <w:spacing w:val="-7"/>
          <w:w w:val="120"/>
          <w:sz w:val="17"/>
        </w:rPr>
        <w:t> </w:t>
      </w:r>
      <w:r>
        <w:rPr>
          <w:color w:val="231F20"/>
          <w:spacing w:val="-2"/>
          <w:w w:val="120"/>
          <w:sz w:val="17"/>
        </w:rPr>
        <w:t>évolué,</w:t>
      </w:r>
      <w:r>
        <w:rPr>
          <w:color w:val="231F20"/>
          <w:spacing w:val="-7"/>
          <w:w w:val="120"/>
          <w:sz w:val="17"/>
        </w:rPr>
        <w:t> </w:t>
      </w:r>
      <w:r>
        <w:rPr>
          <w:color w:val="231F20"/>
          <w:spacing w:val="-2"/>
          <w:w w:val="120"/>
          <w:sz w:val="17"/>
        </w:rPr>
        <w:t>englobant</w:t>
      </w:r>
      <w:r>
        <w:rPr>
          <w:color w:val="231F20"/>
          <w:spacing w:val="-7"/>
          <w:w w:val="120"/>
          <w:sz w:val="17"/>
        </w:rPr>
        <w:t> </w:t>
      </w:r>
      <w:r>
        <w:rPr>
          <w:color w:val="231F20"/>
          <w:spacing w:val="-2"/>
          <w:w w:val="120"/>
          <w:sz w:val="17"/>
        </w:rPr>
        <w:t>un</w:t>
      </w:r>
      <w:r>
        <w:rPr>
          <w:color w:val="231F20"/>
          <w:spacing w:val="-7"/>
          <w:w w:val="120"/>
          <w:sz w:val="17"/>
        </w:rPr>
        <w:t> </w:t>
      </w:r>
      <w:r>
        <w:rPr>
          <w:color w:val="231F20"/>
          <w:spacing w:val="-2"/>
          <w:w w:val="120"/>
          <w:sz w:val="17"/>
        </w:rPr>
        <w:t>phénomène</w:t>
      </w:r>
      <w:r>
        <w:rPr>
          <w:color w:val="231F20"/>
          <w:spacing w:val="-7"/>
          <w:w w:val="120"/>
          <w:sz w:val="17"/>
        </w:rPr>
        <w:t> </w:t>
      </w:r>
      <w:r>
        <w:rPr>
          <w:color w:val="231F20"/>
          <w:spacing w:val="-2"/>
          <w:w w:val="120"/>
          <w:sz w:val="17"/>
        </w:rPr>
        <w:t>de</w:t>
      </w:r>
      <w:r>
        <w:rPr>
          <w:color w:val="231F20"/>
          <w:spacing w:val="-7"/>
          <w:w w:val="120"/>
          <w:sz w:val="17"/>
        </w:rPr>
        <w:t> </w:t>
      </w:r>
      <w:r>
        <w:rPr>
          <w:color w:val="231F20"/>
          <w:spacing w:val="-2"/>
          <w:w w:val="120"/>
          <w:sz w:val="17"/>
        </w:rPr>
        <w:t>plus</w:t>
      </w:r>
      <w:r>
        <w:rPr>
          <w:color w:val="231F20"/>
          <w:spacing w:val="-7"/>
          <w:w w:val="120"/>
          <w:sz w:val="17"/>
        </w:rPr>
        <w:t> </w:t>
      </w:r>
      <w:r>
        <w:rPr>
          <w:color w:val="231F20"/>
          <w:spacing w:val="-2"/>
          <w:w w:val="120"/>
          <w:sz w:val="17"/>
        </w:rPr>
        <w:t>en</w:t>
      </w:r>
      <w:r>
        <w:rPr>
          <w:color w:val="231F20"/>
          <w:spacing w:val="-7"/>
          <w:w w:val="120"/>
          <w:sz w:val="17"/>
        </w:rPr>
        <w:t> </w:t>
      </w:r>
      <w:r>
        <w:rPr>
          <w:color w:val="231F20"/>
          <w:spacing w:val="-2"/>
          <w:w w:val="120"/>
          <w:sz w:val="17"/>
        </w:rPr>
        <w:t>plus</w:t>
      </w:r>
      <w:r>
        <w:rPr>
          <w:color w:val="231F20"/>
          <w:spacing w:val="-7"/>
          <w:w w:val="120"/>
          <w:sz w:val="17"/>
        </w:rPr>
        <w:t> </w:t>
      </w:r>
      <w:r>
        <w:rPr>
          <w:color w:val="231F20"/>
          <w:spacing w:val="-2"/>
          <w:w w:val="120"/>
          <w:sz w:val="17"/>
        </w:rPr>
        <w:t>complexe</w:t>
      </w:r>
      <w:r>
        <w:rPr>
          <w:color w:val="231F20"/>
          <w:spacing w:val="-7"/>
          <w:w w:val="120"/>
          <w:sz w:val="17"/>
        </w:rPr>
        <w:t> </w:t>
      </w:r>
      <w:r>
        <w:rPr>
          <w:color w:val="231F20"/>
          <w:spacing w:val="-2"/>
          <w:w w:val="120"/>
          <w:sz w:val="17"/>
        </w:rPr>
        <w:t>et </w:t>
      </w:r>
      <w:r>
        <w:rPr>
          <w:color w:val="231F20"/>
          <w:w w:val="120"/>
          <w:sz w:val="17"/>
        </w:rPr>
        <w:t>multidimensionnel.</w:t>
      </w:r>
      <w:r>
        <w:rPr>
          <w:color w:val="231F20"/>
          <w:spacing w:val="-8"/>
          <w:w w:val="120"/>
          <w:sz w:val="17"/>
        </w:rPr>
        <w:t> </w:t>
      </w:r>
      <w:r>
        <w:rPr>
          <w:color w:val="231F20"/>
          <w:w w:val="120"/>
          <w:sz w:val="17"/>
        </w:rPr>
        <w:t>Aujourd’hui,</w:t>
      </w:r>
      <w:r>
        <w:rPr>
          <w:color w:val="231F20"/>
          <w:spacing w:val="-8"/>
          <w:w w:val="120"/>
          <w:sz w:val="17"/>
        </w:rPr>
        <w:t> </w:t>
      </w:r>
      <w:r>
        <w:rPr>
          <w:color w:val="231F20"/>
          <w:w w:val="120"/>
          <w:sz w:val="17"/>
        </w:rPr>
        <w:t>le</w:t>
      </w:r>
      <w:r>
        <w:rPr>
          <w:color w:val="231F20"/>
          <w:spacing w:val="-8"/>
          <w:w w:val="120"/>
          <w:sz w:val="17"/>
        </w:rPr>
        <w:t> </w:t>
      </w:r>
      <w:r>
        <w:rPr>
          <w:color w:val="231F20"/>
          <w:w w:val="120"/>
          <w:sz w:val="17"/>
        </w:rPr>
        <w:t>stress</w:t>
      </w:r>
      <w:r>
        <w:rPr>
          <w:color w:val="231F20"/>
          <w:spacing w:val="-8"/>
          <w:w w:val="120"/>
          <w:sz w:val="17"/>
        </w:rPr>
        <w:t> </w:t>
      </w:r>
      <w:r>
        <w:rPr>
          <w:color w:val="231F20"/>
          <w:w w:val="120"/>
          <w:sz w:val="17"/>
        </w:rPr>
        <w:t>en</w:t>
      </w:r>
      <w:r>
        <w:rPr>
          <w:color w:val="231F20"/>
          <w:spacing w:val="-8"/>
          <w:w w:val="120"/>
          <w:sz w:val="17"/>
        </w:rPr>
        <w:t> </w:t>
      </w:r>
      <w:r>
        <w:rPr>
          <w:color w:val="231F20"/>
          <w:w w:val="120"/>
          <w:sz w:val="17"/>
        </w:rPr>
        <w:t>milieu</w:t>
      </w:r>
      <w:r>
        <w:rPr>
          <w:color w:val="231F20"/>
          <w:spacing w:val="-8"/>
          <w:w w:val="120"/>
          <w:sz w:val="17"/>
        </w:rPr>
        <w:t> </w:t>
      </w:r>
      <w:r>
        <w:rPr>
          <w:color w:val="231F20"/>
          <w:w w:val="120"/>
          <w:sz w:val="17"/>
        </w:rPr>
        <w:t>de</w:t>
      </w:r>
      <w:r>
        <w:rPr>
          <w:color w:val="231F20"/>
          <w:spacing w:val="-8"/>
          <w:w w:val="120"/>
          <w:sz w:val="17"/>
        </w:rPr>
        <w:t> </w:t>
      </w:r>
      <w:r>
        <w:rPr>
          <w:color w:val="231F20"/>
          <w:w w:val="120"/>
          <w:sz w:val="17"/>
        </w:rPr>
        <w:t>travail</w:t>
      </w:r>
      <w:r>
        <w:rPr>
          <w:color w:val="231F20"/>
          <w:spacing w:val="-8"/>
          <w:w w:val="120"/>
          <w:sz w:val="17"/>
        </w:rPr>
        <w:t> </w:t>
      </w:r>
      <w:r>
        <w:rPr>
          <w:color w:val="231F20"/>
          <w:w w:val="120"/>
          <w:sz w:val="17"/>
        </w:rPr>
        <w:t>ou</w:t>
      </w:r>
      <w:r>
        <w:rPr>
          <w:color w:val="231F20"/>
          <w:spacing w:val="-8"/>
          <w:w w:val="120"/>
          <w:sz w:val="17"/>
        </w:rPr>
        <w:t> </w:t>
      </w:r>
      <w:r>
        <w:rPr>
          <w:color w:val="231F20"/>
          <w:w w:val="120"/>
          <w:sz w:val="17"/>
        </w:rPr>
        <w:t>stress </w:t>
      </w:r>
      <w:r>
        <w:rPr>
          <w:color w:val="231F20"/>
          <w:w w:val="115"/>
          <w:sz w:val="17"/>
        </w:rPr>
        <w:t>professionnel</w:t>
      </w:r>
      <w:r>
        <w:rPr>
          <w:color w:val="231F20"/>
          <w:spacing w:val="-12"/>
          <w:w w:val="115"/>
          <w:sz w:val="17"/>
        </w:rPr>
        <w:t> </w:t>
      </w:r>
      <w:r>
        <w:rPr>
          <w:color w:val="231F20"/>
          <w:w w:val="115"/>
          <w:sz w:val="17"/>
        </w:rPr>
        <w:t>se</w:t>
      </w:r>
      <w:r>
        <w:rPr>
          <w:color w:val="231F20"/>
          <w:spacing w:val="-12"/>
          <w:w w:val="115"/>
          <w:sz w:val="17"/>
        </w:rPr>
        <w:t> </w:t>
      </w:r>
      <w:r>
        <w:rPr>
          <w:color w:val="231F20"/>
          <w:w w:val="115"/>
          <w:sz w:val="17"/>
        </w:rPr>
        <w:t>définit</w:t>
      </w:r>
      <w:r>
        <w:rPr>
          <w:color w:val="231F20"/>
          <w:spacing w:val="-12"/>
          <w:w w:val="115"/>
          <w:sz w:val="17"/>
        </w:rPr>
        <w:t> </w:t>
      </w:r>
      <w:r>
        <w:rPr>
          <w:color w:val="231F20"/>
          <w:w w:val="115"/>
          <w:sz w:val="17"/>
        </w:rPr>
        <w:t>comme</w:t>
      </w:r>
      <w:r>
        <w:rPr>
          <w:color w:val="231F20"/>
          <w:spacing w:val="-12"/>
          <w:w w:val="115"/>
          <w:sz w:val="17"/>
        </w:rPr>
        <w:t> </w:t>
      </w:r>
      <w:r>
        <w:rPr>
          <w:i/>
          <w:color w:val="231F20"/>
          <w:w w:val="115"/>
          <w:sz w:val="17"/>
        </w:rPr>
        <w:t>l’ensemble</w:t>
      </w:r>
      <w:r>
        <w:rPr>
          <w:i/>
          <w:color w:val="231F20"/>
          <w:spacing w:val="-12"/>
          <w:w w:val="115"/>
          <w:sz w:val="17"/>
        </w:rPr>
        <w:t> </w:t>
      </w:r>
      <w:r>
        <w:rPr>
          <w:i/>
          <w:color w:val="231F20"/>
          <w:w w:val="115"/>
          <w:sz w:val="17"/>
        </w:rPr>
        <w:t>du</w:t>
      </w:r>
      <w:r>
        <w:rPr>
          <w:i/>
          <w:color w:val="231F20"/>
          <w:spacing w:val="-12"/>
          <w:w w:val="115"/>
          <w:sz w:val="17"/>
        </w:rPr>
        <w:t> </w:t>
      </w:r>
      <w:r>
        <w:rPr>
          <w:i/>
          <w:color w:val="231F20"/>
          <w:w w:val="115"/>
          <w:sz w:val="17"/>
        </w:rPr>
        <w:t>processus</w:t>
      </w:r>
      <w:r>
        <w:rPr>
          <w:i/>
          <w:color w:val="231F20"/>
          <w:spacing w:val="-12"/>
          <w:w w:val="115"/>
          <w:sz w:val="17"/>
        </w:rPr>
        <w:t> </w:t>
      </w:r>
      <w:r>
        <w:rPr>
          <w:i/>
          <w:color w:val="231F20"/>
          <w:w w:val="115"/>
          <w:sz w:val="17"/>
        </w:rPr>
        <w:t>par</w:t>
      </w:r>
      <w:r>
        <w:rPr>
          <w:i/>
          <w:color w:val="231F20"/>
          <w:spacing w:val="-12"/>
          <w:w w:val="115"/>
          <w:sz w:val="17"/>
        </w:rPr>
        <w:t> </w:t>
      </w:r>
      <w:r>
        <w:rPr>
          <w:i/>
          <w:color w:val="231F20"/>
          <w:w w:val="115"/>
          <w:sz w:val="17"/>
        </w:rPr>
        <w:t>lequel</w:t>
      </w:r>
      <w:r>
        <w:rPr>
          <w:i/>
          <w:color w:val="231F20"/>
          <w:spacing w:val="-12"/>
          <w:w w:val="115"/>
          <w:sz w:val="17"/>
        </w:rPr>
        <w:t> </w:t>
      </w:r>
      <w:r>
        <w:rPr>
          <w:i/>
          <w:color w:val="231F20"/>
          <w:w w:val="115"/>
          <w:sz w:val="17"/>
        </w:rPr>
        <w:t>la</w:t>
      </w:r>
      <w:r>
        <w:rPr>
          <w:i/>
          <w:color w:val="231F20"/>
          <w:spacing w:val="-12"/>
          <w:w w:val="115"/>
          <w:sz w:val="17"/>
        </w:rPr>
        <w:t> </w:t>
      </w:r>
      <w:r>
        <w:rPr>
          <w:i/>
          <w:color w:val="231F20"/>
          <w:w w:val="115"/>
          <w:sz w:val="17"/>
        </w:rPr>
        <w:t>per- sonne</w:t>
      </w:r>
      <w:r>
        <w:rPr>
          <w:i/>
          <w:color w:val="231F20"/>
          <w:spacing w:val="-5"/>
          <w:w w:val="115"/>
          <w:sz w:val="17"/>
        </w:rPr>
        <w:t> </w:t>
      </w:r>
      <w:r>
        <w:rPr>
          <w:i/>
          <w:color w:val="231F20"/>
          <w:w w:val="115"/>
          <w:sz w:val="17"/>
        </w:rPr>
        <w:t>perçoit</w:t>
      </w:r>
      <w:r>
        <w:rPr>
          <w:i/>
          <w:color w:val="231F20"/>
          <w:spacing w:val="-5"/>
          <w:w w:val="115"/>
          <w:sz w:val="17"/>
        </w:rPr>
        <w:t> </w:t>
      </w:r>
      <w:r>
        <w:rPr>
          <w:i/>
          <w:color w:val="231F20"/>
          <w:w w:val="115"/>
          <w:sz w:val="17"/>
        </w:rPr>
        <w:t>et</w:t>
      </w:r>
      <w:r>
        <w:rPr>
          <w:i/>
          <w:color w:val="231F20"/>
          <w:spacing w:val="-5"/>
          <w:w w:val="115"/>
          <w:sz w:val="17"/>
        </w:rPr>
        <w:t> </w:t>
      </w:r>
      <w:r>
        <w:rPr>
          <w:i/>
          <w:color w:val="231F20"/>
          <w:w w:val="115"/>
          <w:sz w:val="17"/>
        </w:rPr>
        <w:t>interprète</w:t>
      </w:r>
      <w:r>
        <w:rPr>
          <w:i/>
          <w:color w:val="231F20"/>
          <w:spacing w:val="-5"/>
          <w:w w:val="115"/>
          <w:sz w:val="17"/>
        </w:rPr>
        <w:t> </w:t>
      </w:r>
      <w:r>
        <w:rPr>
          <w:i/>
          <w:color w:val="231F20"/>
          <w:w w:val="115"/>
          <w:sz w:val="17"/>
        </w:rPr>
        <w:t>les</w:t>
      </w:r>
      <w:r>
        <w:rPr>
          <w:i/>
          <w:color w:val="231F20"/>
          <w:spacing w:val="-5"/>
          <w:w w:val="115"/>
          <w:sz w:val="17"/>
        </w:rPr>
        <w:t> </w:t>
      </w:r>
      <w:r>
        <w:rPr>
          <w:i/>
          <w:color w:val="231F20"/>
          <w:w w:val="115"/>
          <w:sz w:val="17"/>
        </w:rPr>
        <w:t>caractéristiques</w:t>
      </w:r>
      <w:r>
        <w:rPr>
          <w:i/>
          <w:color w:val="231F20"/>
          <w:spacing w:val="-5"/>
          <w:w w:val="115"/>
          <w:sz w:val="17"/>
        </w:rPr>
        <w:t> </w:t>
      </w:r>
      <w:r>
        <w:rPr>
          <w:i/>
          <w:color w:val="231F20"/>
          <w:w w:val="115"/>
          <w:sz w:val="17"/>
        </w:rPr>
        <w:t>de</w:t>
      </w:r>
      <w:r>
        <w:rPr>
          <w:i/>
          <w:color w:val="231F20"/>
          <w:spacing w:val="-5"/>
          <w:w w:val="115"/>
          <w:sz w:val="17"/>
        </w:rPr>
        <w:t> </w:t>
      </w:r>
      <w:r>
        <w:rPr>
          <w:i/>
          <w:color w:val="231F20"/>
          <w:w w:val="115"/>
          <w:sz w:val="17"/>
        </w:rPr>
        <w:t>son</w:t>
      </w:r>
      <w:r>
        <w:rPr>
          <w:i/>
          <w:color w:val="231F20"/>
          <w:spacing w:val="-5"/>
          <w:w w:val="115"/>
          <w:sz w:val="17"/>
        </w:rPr>
        <w:t> </w:t>
      </w:r>
      <w:r>
        <w:rPr>
          <w:i/>
          <w:color w:val="231F20"/>
          <w:w w:val="115"/>
          <w:sz w:val="17"/>
        </w:rPr>
        <w:t>milieu</w:t>
      </w:r>
      <w:r>
        <w:rPr>
          <w:i/>
          <w:color w:val="231F20"/>
          <w:spacing w:val="-5"/>
          <w:w w:val="115"/>
          <w:sz w:val="17"/>
        </w:rPr>
        <w:t> </w:t>
      </w:r>
      <w:r>
        <w:rPr>
          <w:i/>
          <w:color w:val="231F20"/>
          <w:w w:val="115"/>
          <w:sz w:val="17"/>
        </w:rPr>
        <w:t>de</w:t>
      </w:r>
      <w:r>
        <w:rPr>
          <w:i/>
          <w:color w:val="231F20"/>
          <w:spacing w:val="-5"/>
          <w:w w:val="115"/>
          <w:sz w:val="17"/>
        </w:rPr>
        <w:t> </w:t>
      </w:r>
      <w:r>
        <w:rPr>
          <w:i/>
          <w:color w:val="231F20"/>
          <w:w w:val="115"/>
          <w:sz w:val="17"/>
        </w:rPr>
        <w:t>travail</w:t>
      </w:r>
      <w:r>
        <w:rPr>
          <w:i/>
          <w:color w:val="231F20"/>
          <w:spacing w:val="-5"/>
          <w:w w:val="115"/>
          <w:sz w:val="17"/>
        </w:rPr>
        <w:t> </w:t>
      </w:r>
      <w:r>
        <w:rPr>
          <w:i/>
          <w:color w:val="231F20"/>
          <w:w w:val="115"/>
          <w:sz w:val="17"/>
        </w:rPr>
        <w:t>en fonction</w:t>
      </w:r>
      <w:r>
        <w:rPr>
          <w:i/>
          <w:color w:val="231F20"/>
          <w:spacing w:val="-8"/>
          <w:w w:val="115"/>
          <w:sz w:val="17"/>
        </w:rPr>
        <w:t> </w:t>
      </w:r>
      <w:r>
        <w:rPr>
          <w:i/>
          <w:color w:val="231F20"/>
          <w:w w:val="115"/>
          <w:sz w:val="17"/>
        </w:rPr>
        <w:t>de</w:t>
      </w:r>
      <w:r>
        <w:rPr>
          <w:i/>
          <w:color w:val="231F20"/>
          <w:spacing w:val="-8"/>
          <w:w w:val="115"/>
          <w:sz w:val="17"/>
        </w:rPr>
        <w:t> </w:t>
      </w:r>
      <w:r>
        <w:rPr>
          <w:i/>
          <w:color w:val="231F20"/>
          <w:w w:val="115"/>
          <w:sz w:val="17"/>
        </w:rPr>
        <w:t>sa</w:t>
      </w:r>
      <w:r>
        <w:rPr>
          <w:i/>
          <w:color w:val="231F20"/>
          <w:spacing w:val="-8"/>
          <w:w w:val="115"/>
          <w:sz w:val="17"/>
        </w:rPr>
        <w:t> </w:t>
      </w:r>
      <w:r>
        <w:rPr>
          <w:i/>
          <w:color w:val="231F20"/>
          <w:w w:val="115"/>
          <w:sz w:val="17"/>
        </w:rPr>
        <w:t>capacité</w:t>
      </w:r>
      <w:r>
        <w:rPr>
          <w:i/>
          <w:color w:val="231F20"/>
          <w:spacing w:val="-8"/>
          <w:w w:val="115"/>
          <w:sz w:val="17"/>
        </w:rPr>
        <w:t> </w:t>
      </w:r>
      <w:r>
        <w:rPr>
          <w:i/>
          <w:color w:val="231F20"/>
          <w:w w:val="115"/>
          <w:sz w:val="17"/>
        </w:rPr>
        <w:t>à</w:t>
      </w:r>
      <w:r>
        <w:rPr>
          <w:i/>
          <w:color w:val="231F20"/>
          <w:spacing w:val="-8"/>
          <w:w w:val="115"/>
          <w:sz w:val="17"/>
        </w:rPr>
        <w:t> </w:t>
      </w:r>
      <w:r>
        <w:rPr>
          <w:i/>
          <w:color w:val="231F20"/>
          <w:w w:val="115"/>
          <w:sz w:val="17"/>
        </w:rPr>
        <w:t>y</w:t>
      </w:r>
      <w:r>
        <w:rPr>
          <w:i/>
          <w:color w:val="231F20"/>
          <w:spacing w:val="-8"/>
          <w:w w:val="115"/>
          <w:sz w:val="17"/>
        </w:rPr>
        <w:t> </w:t>
      </w:r>
      <w:r>
        <w:rPr>
          <w:i/>
          <w:color w:val="231F20"/>
          <w:w w:val="115"/>
          <w:sz w:val="17"/>
        </w:rPr>
        <w:t>faire</w:t>
      </w:r>
      <w:r>
        <w:rPr>
          <w:i/>
          <w:color w:val="231F20"/>
          <w:spacing w:val="-8"/>
          <w:w w:val="115"/>
          <w:sz w:val="17"/>
        </w:rPr>
        <w:t> </w:t>
      </w:r>
      <w:r>
        <w:rPr>
          <w:i/>
          <w:color w:val="231F20"/>
          <w:w w:val="115"/>
          <w:sz w:val="17"/>
        </w:rPr>
        <w:t>face</w:t>
      </w:r>
      <w:r>
        <w:rPr>
          <w:color w:val="231F20"/>
          <w:w w:val="115"/>
          <w:sz w:val="17"/>
        </w:rPr>
        <w:t>.</w:t>
      </w:r>
      <w:r>
        <w:rPr>
          <w:color w:val="231F20"/>
          <w:spacing w:val="-8"/>
          <w:w w:val="115"/>
          <w:sz w:val="17"/>
        </w:rPr>
        <w:t> </w:t>
      </w:r>
      <w:r>
        <w:rPr>
          <w:color w:val="231F20"/>
          <w:w w:val="115"/>
          <w:sz w:val="17"/>
        </w:rPr>
        <w:t>D’après</w:t>
      </w:r>
      <w:r>
        <w:rPr>
          <w:color w:val="231F20"/>
          <w:spacing w:val="-8"/>
          <w:w w:val="115"/>
          <w:sz w:val="17"/>
        </w:rPr>
        <w:t> </w:t>
      </w:r>
      <w:r>
        <w:rPr>
          <w:color w:val="231F20"/>
          <w:w w:val="115"/>
          <w:sz w:val="17"/>
        </w:rPr>
        <w:t>cette</w:t>
      </w:r>
      <w:r>
        <w:rPr>
          <w:color w:val="231F20"/>
          <w:spacing w:val="-8"/>
          <w:w w:val="115"/>
          <w:sz w:val="17"/>
        </w:rPr>
        <w:t> </w:t>
      </w:r>
      <w:r>
        <w:rPr>
          <w:color w:val="231F20"/>
          <w:w w:val="115"/>
          <w:sz w:val="17"/>
        </w:rPr>
        <w:t>définition,</w:t>
      </w:r>
      <w:r>
        <w:rPr>
          <w:color w:val="231F20"/>
          <w:spacing w:val="-8"/>
          <w:w w:val="115"/>
          <w:sz w:val="17"/>
        </w:rPr>
        <w:t> </w:t>
      </w:r>
      <w:r>
        <w:rPr>
          <w:color w:val="231F20"/>
          <w:w w:val="115"/>
          <w:sz w:val="17"/>
        </w:rPr>
        <w:t>le</w:t>
      </w:r>
      <w:r>
        <w:rPr>
          <w:color w:val="231F20"/>
          <w:spacing w:val="-8"/>
          <w:w w:val="115"/>
          <w:sz w:val="17"/>
        </w:rPr>
        <w:t> </w:t>
      </w:r>
      <w:r>
        <w:rPr>
          <w:color w:val="231F20"/>
          <w:w w:val="115"/>
          <w:sz w:val="17"/>
        </w:rPr>
        <w:t>stress</w:t>
      </w:r>
      <w:r>
        <w:rPr>
          <w:color w:val="231F20"/>
          <w:spacing w:val="-8"/>
          <w:w w:val="115"/>
          <w:sz w:val="17"/>
        </w:rPr>
        <w:t> </w:t>
      </w:r>
      <w:r>
        <w:rPr>
          <w:color w:val="231F20"/>
          <w:w w:val="115"/>
          <w:sz w:val="17"/>
        </w:rPr>
        <w:t>est </w:t>
      </w:r>
      <w:r>
        <w:rPr>
          <w:color w:val="231F20"/>
          <w:w w:val="120"/>
          <w:sz w:val="17"/>
        </w:rPr>
        <w:t>présent</w:t>
      </w:r>
      <w:r>
        <w:rPr>
          <w:color w:val="231F20"/>
          <w:spacing w:val="-2"/>
          <w:w w:val="120"/>
          <w:sz w:val="17"/>
        </w:rPr>
        <w:t> </w:t>
      </w:r>
      <w:r>
        <w:rPr>
          <w:color w:val="231F20"/>
          <w:w w:val="120"/>
          <w:sz w:val="17"/>
        </w:rPr>
        <w:t>lorsque</w:t>
      </w:r>
      <w:r>
        <w:rPr>
          <w:color w:val="231F20"/>
          <w:spacing w:val="-2"/>
          <w:w w:val="120"/>
          <w:sz w:val="17"/>
        </w:rPr>
        <w:t> </w:t>
      </w:r>
      <w:r>
        <w:rPr>
          <w:color w:val="231F20"/>
          <w:w w:val="120"/>
          <w:sz w:val="17"/>
        </w:rPr>
        <w:t>le</w:t>
      </w:r>
      <w:r>
        <w:rPr>
          <w:color w:val="231F20"/>
          <w:spacing w:val="-2"/>
          <w:w w:val="120"/>
          <w:sz w:val="17"/>
        </w:rPr>
        <w:t> </w:t>
      </w:r>
      <w:r>
        <w:rPr>
          <w:color w:val="231F20"/>
          <w:w w:val="120"/>
          <w:sz w:val="17"/>
        </w:rPr>
        <w:t>milieu</w:t>
      </w:r>
      <w:r>
        <w:rPr>
          <w:color w:val="231F20"/>
          <w:spacing w:val="-2"/>
          <w:w w:val="120"/>
          <w:sz w:val="17"/>
        </w:rPr>
        <w:t> </w:t>
      </w:r>
      <w:r>
        <w:rPr>
          <w:color w:val="231F20"/>
          <w:w w:val="120"/>
          <w:sz w:val="17"/>
        </w:rPr>
        <w:t>constitue</w:t>
      </w:r>
      <w:r>
        <w:rPr>
          <w:color w:val="231F20"/>
          <w:spacing w:val="-2"/>
          <w:w w:val="120"/>
          <w:sz w:val="17"/>
        </w:rPr>
        <w:t> </w:t>
      </w:r>
      <w:r>
        <w:rPr>
          <w:color w:val="231F20"/>
          <w:w w:val="120"/>
          <w:sz w:val="17"/>
        </w:rPr>
        <w:t>une</w:t>
      </w:r>
      <w:r>
        <w:rPr>
          <w:color w:val="231F20"/>
          <w:spacing w:val="-2"/>
          <w:w w:val="120"/>
          <w:sz w:val="17"/>
        </w:rPr>
        <w:t> </w:t>
      </w:r>
      <w:r>
        <w:rPr>
          <w:color w:val="231F20"/>
          <w:w w:val="120"/>
          <w:sz w:val="17"/>
        </w:rPr>
        <w:t>menace</w:t>
      </w:r>
      <w:r>
        <w:rPr>
          <w:color w:val="231F20"/>
          <w:spacing w:val="-2"/>
          <w:w w:val="120"/>
          <w:sz w:val="17"/>
        </w:rPr>
        <w:t> </w:t>
      </w:r>
      <w:r>
        <w:rPr>
          <w:color w:val="231F20"/>
          <w:w w:val="120"/>
          <w:sz w:val="17"/>
        </w:rPr>
        <w:t>(réelle</w:t>
      </w:r>
      <w:r>
        <w:rPr>
          <w:color w:val="231F20"/>
          <w:spacing w:val="-2"/>
          <w:w w:val="120"/>
          <w:sz w:val="17"/>
        </w:rPr>
        <w:t> </w:t>
      </w:r>
      <w:r>
        <w:rPr>
          <w:color w:val="231F20"/>
          <w:w w:val="120"/>
          <w:sz w:val="17"/>
        </w:rPr>
        <w:t>ou</w:t>
      </w:r>
      <w:r>
        <w:rPr>
          <w:color w:val="231F20"/>
          <w:spacing w:val="-2"/>
          <w:w w:val="120"/>
          <w:sz w:val="17"/>
        </w:rPr>
        <w:t> </w:t>
      </w:r>
      <w:r>
        <w:rPr>
          <w:color w:val="231F20"/>
          <w:w w:val="120"/>
          <w:sz w:val="17"/>
        </w:rPr>
        <w:t>perçue)</w:t>
      </w:r>
      <w:r>
        <w:rPr>
          <w:color w:val="231F20"/>
          <w:spacing w:val="-2"/>
          <w:w w:val="120"/>
          <w:sz w:val="17"/>
        </w:rPr>
        <w:t> </w:t>
      </w:r>
      <w:r>
        <w:rPr>
          <w:color w:val="231F20"/>
          <w:w w:val="120"/>
          <w:sz w:val="17"/>
        </w:rPr>
        <w:t>pour la personne, soit par les demandes excessives qu’il impose, soit par l’insuffisance</w:t>
      </w:r>
      <w:r>
        <w:rPr>
          <w:color w:val="231F20"/>
          <w:spacing w:val="-1"/>
          <w:w w:val="120"/>
          <w:sz w:val="17"/>
        </w:rPr>
        <w:t> </w:t>
      </w:r>
      <w:r>
        <w:rPr>
          <w:color w:val="231F20"/>
          <w:w w:val="120"/>
          <w:sz w:val="17"/>
        </w:rPr>
        <w:t>ou</w:t>
      </w:r>
      <w:r>
        <w:rPr>
          <w:color w:val="231F20"/>
          <w:spacing w:val="-1"/>
          <w:w w:val="120"/>
          <w:sz w:val="17"/>
        </w:rPr>
        <w:t> </w:t>
      </w:r>
      <w:r>
        <w:rPr>
          <w:color w:val="231F20"/>
          <w:w w:val="120"/>
          <w:sz w:val="17"/>
        </w:rPr>
        <w:t>l’absence</w:t>
      </w:r>
      <w:r>
        <w:rPr>
          <w:color w:val="231F20"/>
          <w:spacing w:val="-1"/>
          <w:w w:val="120"/>
          <w:sz w:val="17"/>
        </w:rPr>
        <w:t> </w:t>
      </w:r>
      <w:r>
        <w:rPr>
          <w:color w:val="231F20"/>
          <w:w w:val="120"/>
          <w:sz w:val="17"/>
        </w:rPr>
        <w:t>des</w:t>
      </w:r>
      <w:r>
        <w:rPr>
          <w:color w:val="231F20"/>
          <w:spacing w:val="-1"/>
          <w:w w:val="120"/>
          <w:sz w:val="17"/>
        </w:rPr>
        <w:t> </w:t>
      </w:r>
      <w:r>
        <w:rPr>
          <w:color w:val="231F20"/>
          <w:w w:val="120"/>
          <w:sz w:val="17"/>
        </w:rPr>
        <w:t>ressources</w:t>
      </w:r>
      <w:r>
        <w:rPr>
          <w:color w:val="231F20"/>
          <w:spacing w:val="-1"/>
          <w:w w:val="120"/>
          <w:sz w:val="17"/>
        </w:rPr>
        <w:t> </w:t>
      </w:r>
      <w:r>
        <w:rPr>
          <w:color w:val="231F20"/>
          <w:w w:val="120"/>
          <w:sz w:val="17"/>
        </w:rPr>
        <w:t>personnelles</w:t>
      </w:r>
      <w:r>
        <w:rPr>
          <w:color w:val="231F20"/>
          <w:spacing w:val="-1"/>
          <w:w w:val="120"/>
          <w:sz w:val="17"/>
        </w:rPr>
        <w:t> </w:t>
      </w:r>
      <w:r>
        <w:rPr>
          <w:color w:val="231F20"/>
          <w:w w:val="120"/>
          <w:sz w:val="17"/>
        </w:rPr>
        <w:t>pour</w:t>
      </w:r>
      <w:r>
        <w:rPr>
          <w:color w:val="231F20"/>
          <w:spacing w:val="-1"/>
          <w:w w:val="120"/>
          <w:sz w:val="17"/>
        </w:rPr>
        <w:t> </w:t>
      </w:r>
      <w:r>
        <w:rPr>
          <w:color w:val="231F20"/>
          <w:w w:val="120"/>
          <w:sz w:val="17"/>
        </w:rPr>
        <w:t>faire</w:t>
      </w:r>
      <w:r>
        <w:rPr>
          <w:color w:val="231F20"/>
          <w:spacing w:val="-1"/>
          <w:w w:val="120"/>
          <w:sz w:val="17"/>
        </w:rPr>
        <w:t> </w:t>
      </w:r>
      <w:r>
        <w:rPr>
          <w:color w:val="231F20"/>
          <w:w w:val="120"/>
          <w:sz w:val="17"/>
        </w:rPr>
        <w:t>face aux</w:t>
      </w:r>
      <w:r>
        <w:rPr>
          <w:color w:val="231F20"/>
          <w:spacing w:val="-13"/>
          <w:w w:val="120"/>
          <w:sz w:val="17"/>
        </w:rPr>
        <w:t> </w:t>
      </w:r>
      <w:r>
        <w:rPr>
          <w:color w:val="231F20"/>
          <w:w w:val="120"/>
          <w:sz w:val="17"/>
        </w:rPr>
        <w:t>demandes.</w:t>
      </w:r>
    </w:p>
    <w:p>
      <w:pPr>
        <w:pStyle w:val="BodyText"/>
        <w:spacing w:line="307" w:lineRule="auto" w:before="79"/>
        <w:ind w:left="789" w:right="636" w:firstLine="250"/>
        <w:jc w:val="both"/>
      </w:pPr>
      <w:r>
        <w:rPr>
          <w:color w:val="231F20"/>
          <w:w w:val="120"/>
        </w:rPr>
        <w:t>Il</w:t>
      </w:r>
      <w:r>
        <w:rPr>
          <w:color w:val="231F20"/>
          <w:spacing w:val="-11"/>
          <w:w w:val="120"/>
        </w:rPr>
        <w:t> </w:t>
      </w:r>
      <w:r>
        <w:rPr>
          <w:color w:val="231F20"/>
          <w:w w:val="120"/>
        </w:rPr>
        <w:t>existe</w:t>
      </w:r>
      <w:r>
        <w:rPr>
          <w:color w:val="231F20"/>
          <w:spacing w:val="-11"/>
          <w:w w:val="120"/>
        </w:rPr>
        <w:t> </w:t>
      </w:r>
      <w:r>
        <w:rPr>
          <w:color w:val="231F20"/>
          <w:w w:val="120"/>
        </w:rPr>
        <w:t>une</w:t>
      </w:r>
      <w:r>
        <w:rPr>
          <w:color w:val="231F20"/>
          <w:spacing w:val="-11"/>
          <w:w w:val="120"/>
        </w:rPr>
        <w:t> </w:t>
      </w:r>
      <w:r>
        <w:rPr>
          <w:color w:val="231F20"/>
          <w:w w:val="120"/>
        </w:rPr>
        <w:t>pluralité</w:t>
      </w:r>
      <w:r>
        <w:rPr>
          <w:color w:val="231F20"/>
          <w:spacing w:val="-11"/>
          <w:w w:val="120"/>
        </w:rPr>
        <w:t> </w:t>
      </w:r>
      <w:r>
        <w:rPr>
          <w:color w:val="231F20"/>
          <w:w w:val="120"/>
        </w:rPr>
        <w:t>de</w:t>
      </w:r>
      <w:r>
        <w:rPr>
          <w:color w:val="231F20"/>
          <w:spacing w:val="-11"/>
          <w:w w:val="120"/>
        </w:rPr>
        <w:t> </w:t>
      </w:r>
      <w:r>
        <w:rPr>
          <w:color w:val="231F20"/>
          <w:w w:val="120"/>
        </w:rPr>
        <w:t>situations</w:t>
      </w:r>
      <w:r>
        <w:rPr>
          <w:color w:val="231F20"/>
          <w:spacing w:val="-11"/>
          <w:w w:val="120"/>
        </w:rPr>
        <w:t> </w:t>
      </w:r>
      <w:r>
        <w:rPr>
          <w:color w:val="231F20"/>
          <w:w w:val="120"/>
        </w:rPr>
        <w:t>qui</w:t>
      </w:r>
      <w:r>
        <w:rPr>
          <w:color w:val="231F20"/>
          <w:spacing w:val="-11"/>
          <w:w w:val="120"/>
        </w:rPr>
        <w:t> </w:t>
      </w:r>
      <w:r>
        <w:rPr>
          <w:color w:val="231F20"/>
          <w:w w:val="120"/>
        </w:rPr>
        <w:t>peuvent</w:t>
      </w:r>
      <w:r>
        <w:rPr>
          <w:color w:val="231F20"/>
          <w:spacing w:val="-11"/>
          <w:w w:val="120"/>
        </w:rPr>
        <w:t> </w:t>
      </w:r>
      <w:r>
        <w:rPr>
          <w:color w:val="231F20"/>
          <w:w w:val="120"/>
        </w:rPr>
        <w:t>être</w:t>
      </w:r>
      <w:r>
        <w:rPr>
          <w:color w:val="231F20"/>
          <w:spacing w:val="-11"/>
          <w:w w:val="120"/>
        </w:rPr>
        <w:t> </w:t>
      </w:r>
      <w:r>
        <w:rPr>
          <w:color w:val="231F20"/>
          <w:w w:val="120"/>
        </w:rPr>
        <w:t>exigeantes</w:t>
      </w:r>
      <w:r>
        <w:rPr>
          <w:color w:val="231F20"/>
          <w:spacing w:val="-11"/>
          <w:w w:val="120"/>
        </w:rPr>
        <w:t> </w:t>
      </w:r>
      <w:r>
        <w:rPr>
          <w:color w:val="231F20"/>
          <w:w w:val="120"/>
        </w:rPr>
        <w:t>sur</w:t>
      </w:r>
      <w:r>
        <w:rPr>
          <w:color w:val="231F20"/>
          <w:spacing w:val="-11"/>
          <w:w w:val="120"/>
        </w:rPr>
        <w:t> </w:t>
      </w:r>
      <w:r>
        <w:rPr>
          <w:color w:val="231F20"/>
          <w:w w:val="120"/>
        </w:rPr>
        <w:t>le plan</w:t>
      </w:r>
      <w:r>
        <w:rPr>
          <w:color w:val="231F20"/>
          <w:spacing w:val="-7"/>
          <w:w w:val="120"/>
        </w:rPr>
        <w:t> </w:t>
      </w:r>
      <w:r>
        <w:rPr>
          <w:color w:val="231F20"/>
          <w:w w:val="120"/>
        </w:rPr>
        <w:t>physique ou psychologique en milieu de travail</w:t>
      </w:r>
      <w:r>
        <w:rPr>
          <w:color w:val="231F20"/>
          <w:spacing w:val="-13"/>
          <w:w w:val="120"/>
        </w:rPr>
        <w:t> </w:t>
      </w:r>
      <w:r>
        <w:rPr>
          <w:color w:val="231F20"/>
          <w:w w:val="120"/>
        </w:rPr>
        <w:t>: une cadence de travail</w:t>
      </w:r>
      <w:r>
        <w:rPr>
          <w:color w:val="231F20"/>
          <w:spacing w:val="-4"/>
          <w:w w:val="120"/>
        </w:rPr>
        <w:t> </w:t>
      </w:r>
      <w:r>
        <w:rPr>
          <w:color w:val="231F20"/>
          <w:w w:val="120"/>
        </w:rPr>
        <w:t>trop</w:t>
      </w:r>
      <w:r>
        <w:rPr>
          <w:color w:val="231F20"/>
          <w:spacing w:val="-3"/>
          <w:w w:val="120"/>
        </w:rPr>
        <w:t> </w:t>
      </w:r>
      <w:r>
        <w:rPr>
          <w:color w:val="231F20"/>
          <w:w w:val="120"/>
        </w:rPr>
        <w:t>élevée,</w:t>
      </w:r>
      <w:r>
        <w:rPr>
          <w:color w:val="231F20"/>
          <w:spacing w:val="-3"/>
          <w:w w:val="120"/>
        </w:rPr>
        <w:t> </w:t>
      </w:r>
      <w:r>
        <w:rPr>
          <w:color w:val="231F20"/>
          <w:w w:val="120"/>
        </w:rPr>
        <w:t>une</w:t>
      </w:r>
      <w:r>
        <w:rPr>
          <w:color w:val="231F20"/>
          <w:spacing w:val="-4"/>
          <w:w w:val="120"/>
        </w:rPr>
        <w:t> </w:t>
      </w:r>
      <w:r>
        <w:rPr>
          <w:color w:val="231F20"/>
          <w:w w:val="120"/>
        </w:rPr>
        <w:t>sous-utilisation</w:t>
      </w:r>
      <w:r>
        <w:rPr>
          <w:color w:val="231F20"/>
          <w:spacing w:val="-3"/>
          <w:w w:val="120"/>
        </w:rPr>
        <w:t> </w:t>
      </w:r>
      <w:r>
        <w:rPr>
          <w:color w:val="231F20"/>
          <w:w w:val="120"/>
        </w:rPr>
        <w:t>des</w:t>
      </w:r>
      <w:r>
        <w:rPr>
          <w:color w:val="231F20"/>
          <w:spacing w:val="-3"/>
          <w:w w:val="120"/>
        </w:rPr>
        <w:t> </w:t>
      </w:r>
      <w:r>
        <w:rPr>
          <w:color w:val="231F20"/>
          <w:w w:val="120"/>
        </w:rPr>
        <w:t>compétences,</w:t>
      </w:r>
      <w:r>
        <w:rPr>
          <w:color w:val="231F20"/>
          <w:spacing w:val="-3"/>
          <w:w w:val="120"/>
        </w:rPr>
        <w:t> </w:t>
      </w:r>
      <w:r>
        <w:rPr>
          <w:color w:val="231F20"/>
          <w:w w:val="120"/>
        </w:rPr>
        <w:t>des</w:t>
      </w:r>
      <w:r>
        <w:rPr>
          <w:color w:val="231F20"/>
          <w:spacing w:val="-4"/>
          <w:w w:val="120"/>
        </w:rPr>
        <w:t> </w:t>
      </w:r>
      <w:r>
        <w:rPr>
          <w:color w:val="231F20"/>
          <w:spacing w:val="-2"/>
          <w:w w:val="120"/>
        </w:rPr>
        <w:t>relations</w:t>
      </w:r>
    </w:p>
    <w:p>
      <w:pPr>
        <w:pStyle w:val="BodyText"/>
        <w:spacing w:line="195" w:lineRule="exact"/>
        <w:ind w:left="2789"/>
        <w:jc w:val="both"/>
      </w:pPr>
      <w:r>
        <w:rPr>
          <w:color w:val="231F20"/>
          <w:w w:val="115"/>
        </w:rPr>
        <w:t>interpersonnelles</w:t>
      </w:r>
      <w:r>
        <w:rPr>
          <w:color w:val="231F20"/>
          <w:spacing w:val="-16"/>
          <w:w w:val="115"/>
        </w:rPr>
        <w:t> </w:t>
      </w:r>
      <w:r>
        <w:rPr>
          <w:color w:val="231F20"/>
          <w:w w:val="115"/>
        </w:rPr>
        <w:t>difficiles,</w:t>
      </w:r>
      <w:r>
        <w:rPr>
          <w:color w:val="231F20"/>
          <w:spacing w:val="-16"/>
          <w:w w:val="115"/>
        </w:rPr>
        <w:t> </w:t>
      </w:r>
      <w:r>
        <w:rPr>
          <w:color w:val="231F20"/>
          <w:w w:val="115"/>
        </w:rPr>
        <w:t>une</w:t>
      </w:r>
      <w:r>
        <w:rPr>
          <w:color w:val="231F20"/>
          <w:spacing w:val="-16"/>
          <w:w w:val="115"/>
        </w:rPr>
        <w:t> </w:t>
      </w:r>
      <w:r>
        <w:rPr>
          <w:color w:val="231F20"/>
          <w:w w:val="115"/>
        </w:rPr>
        <w:t>impossibilité</w:t>
      </w:r>
      <w:r>
        <w:rPr>
          <w:color w:val="231F20"/>
          <w:spacing w:val="-16"/>
          <w:w w:val="115"/>
        </w:rPr>
        <w:t> </w:t>
      </w:r>
      <w:r>
        <w:rPr>
          <w:color w:val="231F20"/>
          <w:spacing w:val="-5"/>
          <w:w w:val="115"/>
        </w:rPr>
        <w:t>de</w:t>
      </w:r>
    </w:p>
    <w:p>
      <w:pPr>
        <w:spacing w:after="0" w:line="195" w:lineRule="exact"/>
        <w:jc w:val="both"/>
        <w:sectPr>
          <w:footerReference w:type="default" r:id="rId71"/>
          <w:pgSz w:w="8640" w:h="12960"/>
          <w:pgMar w:footer="424" w:header="0" w:top="520" w:bottom="620" w:left="460" w:right="1000"/>
        </w:sectPr>
      </w:pPr>
    </w:p>
    <w:p>
      <w:pPr>
        <w:spacing w:line="268" w:lineRule="auto" w:before="141"/>
        <w:ind w:left="1085" w:right="0" w:firstLine="278"/>
        <w:jc w:val="both"/>
        <w:rPr>
          <w:rFonts w:ascii="Arial" w:hAnsi="Arial"/>
          <w:sz w:val="14"/>
        </w:rPr>
      </w:pPr>
      <w:r>
        <w:rPr>
          <w:rFonts w:ascii="Arial" w:hAnsi="Arial"/>
          <w:color w:val="231F20"/>
          <w:sz w:val="14"/>
        </w:rPr>
        <w:t>Constitue</w:t>
      </w:r>
      <w:r>
        <w:rPr>
          <w:rFonts w:ascii="Arial" w:hAnsi="Arial"/>
          <w:color w:val="231F20"/>
          <w:spacing w:val="-10"/>
          <w:sz w:val="14"/>
        </w:rPr>
        <w:t> </w:t>
      </w:r>
      <w:r>
        <w:rPr>
          <w:rFonts w:ascii="Arial" w:hAnsi="Arial"/>
          <w:color w:val="231F20"/>
          <w:sz w:val="14"/>
        </w:rPr>
        <w:t>un</w:t>
      </w:r>
      <w:r>
        <w:rPr>
          <w:rFonts w:ascii="Arial" w:hAnsi="Arial"/>
          <w:color w:val="231F20"/>
          <w:spacing w:val="-10"/>
          <w:sz w:val="14"/>
        </w:rPr>
        <w:t> </w:t>
      </w:r>
      <w:r>
        <w:rPr>
          <w:rFonts w:ascii="Arial" w:hAnsi="Arial"/>
          <w:color w:val="231F20"/>
          <w:sz w:val="14"/>
        </w:rPr>
        <w:t>agent</w:t>
      </w:r>
      <w:r>
        <w:rPr>
          <w:rFonts w:ascii="Arial" w:hAnsi="Arial"/>
          <w:color w:val="231F20"/>
          <w:spacing w:val="40"/>
          <w:sz w:val="14"/>
        </w:rPr>
        <w:t> </w:t>
      </w:r>
      <w:r>
        <w:rPr>
          <w:rFonts w:ascii="Arial" w:hAnsi="Arial"/>
          <w:color w:val="231F20"/>
          <w:sz w:val="14"/>
        </w:rPr>
        <w:t>stressant</w:t>
      </w:r>
      <w:r>
        <w:rPr>
          <w:rFonts w:ascii="Arial" w:hAnsi="Arial"/>
          <w:color w:val="231F20"/>
          <w:spacing w:val="-10"/>
          <w:sz w:val="14"/>
        </w:rPr>
        <w:t> </w:t>
      </w:r>
      <w:r>
        <w:rPr>
          <w:rFonts w:ascii="Arial" w:hAnsi="Arial"/>
          <w:color w:val="231F20"/>
          <w:sz w:val="14"/>
        </w:rPr>
        <w:t>(un</w:t>
      </w:r>
      <w:r>
        <w:rPr>
          <w:rFonts w:ascii="Arial" w:hAnsi="Arial"/>
          <w:color w:val="231F20"/>
          <w:spacing w:val="-10"/>
          <w:sz w:val="14"/>
        </w:rPr>
        <w:t> </w:t>
      </w:r>
      <w:r>
        <w:rPr>
          <w:rFonts w:ascii="Arial" w:hAnsi="Arial"/>
          <w:color w:val="231F20"/>
          <w:sz w:val="14"/>
        </w:rPr>
        <w:t>stresseur)</w:t>
      </w:r>
      <w:r>
        <w:rPr>
          <w:rFonts w:ascii="Arial" w:hAnsi="Arial"/>
          <w:color w:val="231F20"/>
          <w:w w:val="105"/>
          <w:sz w:val="14"/>
        </w:rPr>
        <w:t> tout</w:t>
      </w:r>
      <w:r>
        <w:rPr>
          <w:rFonts w:ascii="Arial" w:hAnsi="Arial"/>
          <w:color w:val="231F20"/>
          <w:spacing w:val="-10"/>
          <w:w w:val="105"/>
          <w:sz w:val="14"/>
        </w:rPr>
        <w:t> </w:t>
      </w:r>
      <w:r>
        <w:rPr>
          <w:rFonts w:ascii="Arial" w:hAnsi="Arial"/>
          <w:color w:val="231F20"/>
          <w:w w:val="105"/>
          <w:sz w:val="14"/>
        </w:rPr>
        <w:t>ce</w:t>
      </w:r>
      <w:r>
        <w:rPr>
          <w:rFonts w:ascii="Arial" w:hAnsi="Arial"/>
          <w:color w:val="231F20"/>
          <w:spacing w:val="-10"/>
          <w:w w:val="105"/>
          <w:sz w:val="14"/>
        </w:rPr>
        <w:t> </w:t>
      </w:r>
      <w:r>
        <w:rPr>
          <w:rFonts w:ascii="Arial" w:hAnsi="Arial"/>
          <w:color w:val="231F20"/>
          <w:w w:val="105"/>
          <w:sz w:val="14"/>
        </w:rPr>
        <w:t>qui</w:t>
      </w:r>
      <w:r>
        <w:rPr>
          <w:rFonts w:ascii="Arial" w:hAnsi="Arial"/>
          <w:color w:val="231F20"/>
          <w:spacing w:val="-10"/>
          <w:w w:val="105"/>
          <w:sz w:val="14"/>
        </w:rPr>
        <w:t> </w:t>
      </w:r>
      <w:r>
        <w:rPr>
          <w:rFonts w:ascii="Arial" w:hAnsi="Arial"/>
          <w:color w:val="231F20"/>
          <w:w w:val="105"/>
          <w:sz w:val="14"/>
        </w:rPr>
        <w:t>compromet l’équilibre</w:t>
      </w:r>
      <w:r>
        <w:rPr>
          <w:rFonts w:ascii="Arial" w:hAnsi="Arial"/>
          <w:color w:val="231F20"/>
          <w:spacing w:val="-11"/>
          <w:w w:val="105"/>
          <w:sz w:val="14"/>
        </w:rPr>
        <w:t> </w:t>
      </w:r>
      <w:r>
        <w:rPr>
          <w:rFonts w:ascii="Arial" w:hAnsi="Arial"/>
          <w:color w:val="231F20"/>
          <w:w w:val="105"/>
          <w:sz w:val="14"/>
        </w:rPr>
        <w:t>allostatique</w:t>
      </w:r>
    </w:p>
    <w:p>
      <w:pPr>
        <w:spacing w:line="268" w:lineRule="auto" w:before="0"/>
        <w:ind w:left="910" w:right="0" w:firstLine="691"/>
        <w:jc w:val="right"/>
        <w:rPr>
          <w:rFonts w:ascii="Arial" w:hAnsi="Arial"/>
          <w:sz w:val="14"/>
        </w:rPr>
      </w:pPr>
      <w:r>
        <w:rPr>
          <w:rFonts w:ascii="Arial" w:hAnsi="Arial"/>
          <w:color w:val="231F20"/>
          <w:sz w:val="14"/>
        </w:rPr>
        <w:t>de</w:t>
      </w:r>
      <w:r>
        <w:rPr>
          <w:rFonts w:ascii="Arial" w:hAnsi="Arial"/>
          <w:color w:val="231F20"/>
          <w:spacing w:val="-10"/>
          <w:sz w:val="14"/>
        </w:rPr>
        <w:t> </w:t>
      </w:r>
      <w:r>
        <w:rPr>
          <w:rFonts w:ascii="Arial" w:hAnsi="Arial"/>
          <w:color w:val="231F20"/>
          <w:sz w:val="14"/>
        </w:rPr>
        <w:t>l’organisme.</w:t>
      </w:r>
      <w:r>
        <w:rPr>
          <w:rFonts w:ascii="Arial" w:hAnsi="Arial"/>
          <w:color w:val="231F20"/>
          <w:spacing w:val="40"/>
          <w:sz w:val="14"/>
        </w:rPr>
        <w:t> </w:t>
      </w:r>
      <w:r>
        <w:rPr>
          <w:rFonts w:ascii="Arial" w:hAnsi="Arial"/>
          <w:color w:val="231F20"/>
          <w:sz w:val="14"/>
        </w:rPr>
        <w:t>L’allostasie est un</w:t>
      </w:r>
      <w:r>
        <w:rPr>
          <w:rFonts w:ascii="Arial" w:hAnsi="Arial"/>
          <w:color w:val="231F20"/>
          <w:spacing w:val="40"/>
          <w:sz w:val="14"/>
        </w:rPr>
        <w:t> </w:t>
      </w:r>
      <w:r>
        <w:rPr>
          <w:rFonts w:ascii="Arial" w:hAnsi="Arial"/>
          <w:color w:val="231F20"/>
          <w:spacing w:val="-2"/>
          <w:sz w:val="14"/>
        </w:rPr>
        <w:t>mécanisme</w:t>
      </w:r>
      <w:r>
        <w:rPr>
          <w:rFonts w:ascii="Arial" w:hAnsi="Arial"/>
          <w:color w:val="231F20"/>
          <w:spacing w:val="-8"/>
          <w:sz w:val="14"/>
        </w:rPr>
        <w:t> </w:t>
      </w:r>
      <w:r>
        <w:rPr>
          <w:rFonts w:ascii="Arial" w:hAnsi="Arial"/>
          <w:color w:val="231F20"/>
          <w:spacing w:val="-2"/>
          <w:sz w:val="14"/>
        </w:rPr>
        <w:t>de</w:t>
      </w:r>
      <w:r>
        <w:rPr>
          <w:rFonts w:ascii="Arial" w:hAnsi="Arial"/>
          <w:color w:val="231F20"/>
          <w:spacing w:val="-8"/>
          <w:sz w:val="14"/>
        </w:rPr>
        <w:t> </w:t>
      </w:r>
      <w:r>
        <w:rPr>
          <w:rFonts w:ascii="Arial" w:hAnsi="Arial"/>
          <w:color w:val="231F20"/>
          <w:spacing w:val="-2"/>
          <w:sz w:val="14"/>
        </w:rPr>
        <w:t>l’organisme</w:t>
      </w:r>
      <w:r>
        <w:rPr>
          <w:rFonts w:ascii="Arial" w:hAnsi="Arial"/>
          <w:color w:val="231F20"/>
          <w:spacing w:val="40"/>
          <w:sz w:val="14"/>
        </w:rPr>
        <w:t> </w:t>
      </w:r>
      <w:r>
        <w:rPr>
          <w:rFonts w:ascii="Arial" w:hAnsi="Arial"/>
          <w:color w:val="231F20"/>
          <w:sz w:val="14"/>
        </w:rPr>
        <w:t>permettant de rétablir un</w:t>
      </w:r>
      <w:r>
        <w:rPr>
          <w:rFonts w:ascii="Arial" w:hAnsi="Arial"/>
          <w:color w:val="231F20"/>
          <w:spacing w:val="40"/>
          <w:sz w:val="14"/>
        </w:rPr>
        <w:t> </w:t>
      </w:r>
      <w:r>
        <w:rPr>
          <w:rFonts w:ascii="Arial" w:hAnsi="Arial"/>
          <w:color w:val="231F20"/>
          <w:sz w:val="14"/>
        </w:rPr>
        <w:t>équilibre</w:t>
      </w:r>
      <w:r>
        <w:rPr>
          <w:rFonts w:ascii="Arial" w:hAnsi="Arial"/>
          <w:color w:val="231F20"/>
          <w:spacing w:val="-10"/>
          <w:sz w:val="14"/>
        </w:rPr>
        <w:t> </w:t>
      </w:r>
      <w:r>
        <w:rPr>
          <w:rFonts w:ascii="Arial" w:hAnsi="Arial"/>
          <w:color w:val="231F20"/>
          <w:sz w:val="14"/>
        </w:rPr>
        <w:t>(homéostasie)</w:t>
      </w:r>
    </w:p>
    <w:p>
      <w:pPr>
        <w:spacing w:line="268" w:lineRule="auto" w:before="0"/>
        <w:ind w:left="1005" w:right="0" w:firstLine="667"/>
        <w:jc w:val="right"/>
        <w:rPr>
          <w:rFonts w:ascii="Arial" w:hAnsi="Arial"/>
          <w:sz w:val="14"/>
        </w:rPr>
      </w:pPr>
      <w:r>
        <w:rPr>
          <w:rFonts w:ascii="Arial" w:hAnsi="Arial"/>
          <w:color w:val="231F20"/>
          <w:spacing w:val="-2"/>
          <w:sz w:val="14"/>
        </w:rPr>
        <w:t>physiologique</w:t>
      </w:r>
      <w:r>
        <w:rPr>
          <w:rFonts w:ascii="Arial" w:hAnsi="Arial"/>
          <w:color w:val="231F20"/>
          <w:spacing w:val="40"/>
          <w:sz w:val="14"/>
        </w:rPr>
        <w:t> </w:t>
      </w:r>
      <w:r>
        <w:rPr>
          <w:rFonts w:ascii="Arial" w:hAnsi="Arial"/>
          <w:color w:val="231F20"/>
          <w:sz w:val="14"/>
        </w:rPr>
        <w:t>ou</w:t>
      </w:r>
      <w:r>
        <w:rPr>
          <w:rFonts w:ascii="Arial" w:hAnsi="Arial"/>
          <w:color w:val="231F20"/>
          <w:spacing w:val="-10"/>
          <w:sz w:val="14"/>
        </w:rPr>
        <w:t> </w:t>
      </w:r>
      <w:r>
        <w:rPr>
          <w:rFonts w:ascii="Arial" w:hAnsi="Arial"/>
          <w:color w:val="231F20"/>
          <w:sz w:val="14"/>
        </w:rPr>
        <w:t>psychologique.</w:t>
      </w:r>
      <w:r>
        <w:rPr>
          <w:rFonts w:ascii="Arial" w:hAnsi="Arial"/>
          <w:color w:val="231F20"/>
          <w:spacing w:val="40"/>
          <w:sz w:val="14"/>
        </w:rPr>
        <w:t> </w:t>
      </w:r>
      <w:r>
        <w:rPr>
          <w:rFonts w:ascii="Arial" w:hAnsi="Arial"/>
          <w:color w:val="231F20"/>
          <w:sz w:val="14"/>
        </w:rPr>
        <w:t>L’homéostasie est le</w:t>
      </w:r>
      <w:r>
        <w:rPr>
          <w:rFonts w:ascii="Arial" w:hAnsi="Arial"/>
          <w:color w:val="231F20"/>
          <w:spacing w:val="40"/>
          <w:sz w:val="14"/>
        </w:rPr>
        <w:t> </w:t>
      </w:r>
      <w:r>
        <w:rPr>
          <w:rFonts w:ascii="Arial" w:hAnsi="Arial"/>
          <w:color w:val="231F20"/>
          <w:sz w:val="14"/>
        </w:rPr>
        <w:t>maintien d’un niveau</w:t>
      </w:r>
      <w:r>
        <w:rPr>
          <w:rFonts w:ascii="Arial" w:hAnsi="Arial"/>
          <w:color w:val="231F20"/>
          <w:spacing w:val="40"/>
          <w:sz w:val="14"/>
        </w:rPr>
        <w:t> </w:t>
      </w:r>
      <w:r>
        <w:rPr>
          <w:rFonts w:ascii="Arial" w:hAnsi="Arial"/>
          <w:color w:val="231F20"/>
          <w:sz w:val="14"/>
        </w:rPr>
        <w:t>d’équilibre optimal entre</w:t>
      </w:r>
      <w:r>
        <w:rPr>
          <w:rFonts w:ascii="Arial" w:hAnsi="Arial"/>
          <w:color w:val="231F20"/>
          <w:spacing w:val="40"/>
          <w:sz w:val="14"/>
        </w:rPr>
        <w:t> </w:t>
      </w:r>
      <w:r>
        <w:rPr>
          <w:rFonts w:ascii="Arial" w:hAnsi="Arial"/>
          <w:color w:val="231F20"/>
          <w:sz w:val="14"/>
        </w:rPr>
        <w:t>les éléments d’un</w:t>
      </w:r>
      <w:r>
        <w:rPr>
          <w:rFonts w:ascii="Arial" w:hAnsi="Arial"/>
          <w:color w:val="231F20"/>
          <w:spacing w:val="40"/>
          <w:sz w:val="14"/>
        </w:rPr>
        <w:t> </w:t>
      </w:r>
      <w:r>
        <w:rPr>
          <w:rFonts w:ascii="Arial" w:hAnsi="Arial"/>
          <w:color w:val="231F20"/>
          <w:sz w:val="14"/>
        </w:rPr>
        <w:t>système</w:t>
      </w:r>
      <w:r>
        <w:rPr>
          <w:rFonts w:ascii="Arial" w:hAnsi="Arial"/>
          <w:color w:val="231F20"/>
          <w:spacing w:val="-10"/>
          <w:sz w:val="14"/>
        </w:rPr>
        <w:t> </w:t>
      </w:r>
      <w:r>
        <w:rPr>
          <w:rFonts w:ascii="Arial" w:hAnsi="Arial"/>
          <w:color w:val="231F20"/>
          <w:sz w:val="14"/>
        </w:rPr>
        <w:t>complexe.</w:t>
      </w:r>
    </w:p>
    <w:p>
      <w:pPr>
        <w:pStyle w:val="BodyText"/>
        <w:spacing w:line="307" w:lineRule="auto" w:before="54"/>
        <w:ind w:left="199" w:right="632"/>
        <w:jc w:val="both"/>
      </w:pPr>
      <w:r>
        <w:rPr/>
        <w:br w:type="column"/>
      </w:r>
      <w:r>
        <w:rPr>
          <w:color w:val="231F20"/>
          <w:spacing w:val="-2"/>
          <w:w w:val="120"/>
        </w:rPr>
        <w:t>faire</w:t>
      </w:r>
      <w:r>
        <w:rPr>
          <w:color w:val="231F20"/>
          <w:spacing w:val="-4"/>
          <w:w w:val="120"/>
        </w:rPr>
        <w:t> </w:t>
      </w:r>
      <w:r>
        <w:rPr>
          <w:color w:val="231F20"/>
          <w:spacing w:val="-2"/>
          <w:w w:val="120"/>
        </w:rPr>
        <w:t>carrière,</w:t>
      </w:r>
      <w:r>
        <w:rPr>
          <w:color w:val="231F20"/>
          <w:spacing w:val="-4"/>
          <w:w w:val="120"/>
        </w:rPr>
        <w:t> </w:t>
      </w:r>
      <w:r>
        <w:rPr>
          <w:color w:val="231F20"/>
          <w:spacing w:val="-2"/>
          <w:w w:val="120"/>
        </w:rPr>
        <w:t>une</w:t>
      </w:r>
      <w:r>
        <w:rPr>
          <w:color w:val="231F20"/>
          <w:spacing w:val="-4"/>
          <w:w w:val="120"/>
        </w:rPr>
        <w:t> </w:t>
      </w:r>
      <w:r>
        <w:rPr>
          <w:color w:val="231F20"/>
          <w:spacing w:val="-2"/>
          <w:w w:val="120"/>
        </w:rPr>
        <w:t>promotion,</w:t>
      </w:r>
      <w:r>
        <w:rPr>
          <w:color w:val="231F20"/>
          <w:spacing w:val="-4"/>
          <w:w w:val="120"/>
        </w:rPr>
        <w:t> </w:t>
      </w:r>
      <w:r>
        <w:rPr>
          <w:color w:val="231F20"/>
          <w:spacing w:val="-2"/>
          <w:w w:val="120"/>
        </w:rPr>
        <w:t>des</w:t>
      </w:r>
      <w:r>
        <w:rPr>
          <w:color w:val="231F20"/>
          <w:spacing w:val="-4"/>
          <w:w w:val="120"/>
        </w:rPr>
        <w:t> </w:t>
      </w:r>
      <w:r>
        <w:rPr>
          <w:color w:val="231F20"/>
          <w:spacing w:val="-2"/>
          <w:w w:val="120"/>
        </w:rPr>
        <w:t>responsabili- tés</w:t>
      </w:r>
      <w:r>
        <w:rPr>
          <w:color w:val="231F20"/>
          <w:spacing w:val="-11"/>
          <w:w w:val="120"/>
        </w:rPr>
        <w:t> </w:t>
      </w:r>
      <w:r>
        <w:rPr>
          <w:color w:val="231F20"/>
          <w:spacing w:val="-2"/>
          <w:w w:val="120"/>
        </w:rPr>
        <w:t>de</w:t>
      </w:r>
      <w:r>
        <w:rPr>
          <w:color w:val="231F20"/>
          <w:spacing w:val="-11"/>
          <w:w w:val="120"/>
        </w:rPr>
        <w:t> </w:t>
      </w:r>
      <w:r>
        <w:rPr>
          <w:color w:val="231F20"/>
          <w:spacing w:val="-2"/>
          <w:w w:val="120"/>
        </w:rPr>
        <w:t>supervision</w:t>
      </w:r>
      <w:r>
        <w:rPr>
          <w:color w:val="231F20"/>
          <w:spacing w:val="-11"/>
          <w:w w:val="120"/>
        </w:rPr>
        <w:t> </w:t>
      </w:r>
      <w:r>
        <w:rPr>
          <w:color w:val="231F20"/>
          <w:spacing w:val="-2"/>
          <w:w w:val="120"/>
        </w:rPr>
        <w:t>ou</w:t>
      </w:r>
      <w:r>
        <w:rPr>
          <w:color w:val="231F20"/>
          <w:spacing w:val="-10"/>
          <w:w w:val="120"/>
        </w:rPr>
        <w:t> </w:t>
      </w:r>
      <w:r>
        <w:rPr>
          <w:color w:val="231F20"/>
          <w:spacing w:val="-2"/>
          <w:w w:val="120"/>
        </w:rPr>
        <w:t>une</w:t>
      </w:r>
      <w:r>
        <w:rPr>
          <w:color w:val="231F20"/>
          <w:spacing w:val="-11"/>
          <w:w w:val="120"/>
        </w:rPr>
        <w:t> </w:t>
      </w:r>
      <w:r>
        <w:rPr>
          <w:color w:val="231F20"/>
          <w:spacing w:val="-2"/>
          <w:w w:val="120"/>
        </w:rPr>
        <w:t>description</w:t>
      </w:r>
      <w:r>
        <w:rPr>
          <w:color w:val="231F20"/>
          <w:spacing w:val="-11"/>
          <w:w w:val="120"/>
        </w:rPr>
        <w:t> </w:t>
      </w:r>
      <w:r>
        <w:rPr>
          <w:color w:val="231F20"/>
          <w:spacing w:val="-2"/>
          <w:w w:val="120"/>
        </w:rPr>
        <w:t>imprécise </w:t>
      </w:r>
      <w:r>
        <w:rPr>
          <w:color w:val="231F20"/>
          <w:w w:val="115"/>
        </w:rPr>
        <w:t>des</w:t>
      </w:r>
      <w:r>
        <w:rPr>
          <w:color w:val="231F20"/>
          <w:spacing w:val="-12"/>
          <w:w w:val="115"/>
        </w:rPr>
        <w:t> </w:t>
      </w:r>
      <w:r>
        <w:rPr>
          <w:color w:val="231F20"/>
          <w:w w:val="115"/>
        </w:rPr>
        <w:t>tâches à effectuer. On appelle «</w:t>
      </w:r>
      <w:r>
        <w:rPr>
          <w:color w:val="231F20"/>
          <w:spacing w:val="-13"/>
          <w:w w:val="115"/>
        </w:rPr>
        <w:t> </w:t>
      </w:r>
      <w:r>
        <w:rPr>
          <w:color w:val="231F20"/>
          <w:w w:val="115"/>
        </w:rPr>
        <w:t>agent stres- </w:t>
      </w:r>
      <w:r>
        <w:rPr>
          <w:color w:val="231F20"/>
          <w:w w:val="120"/>
        </w:rPr>
        <w:t>sant</w:t>
      </w:r>
      <w:r>
        <w:rPr>
          <w:color w:val="231F20"/>
          <w:spacing w:val="-13"/>
          <w:w w:val="120"/>
        </w:rPr>
        <w:t> </w:t>
      </w:r>
      <w:r>
        <w:rPr>
          <w:color w:val="231F20"/>
          <w:w w:val="120"/>
        </w:rPr>
        <w:t>»,</w:t>
      </w:r>
      <w:r>
        <w:rPr>
          <w:color w:val="231F20"/>
          <w:spacing w:val="-4"/>
          <w:w w:val="120"/>
        </w:rPr>
        <w:t> </w:t>
      </w:r>
      <w:r>
        <w:rPr>
          <w:color w:val="231F20"/>
          <w:w w:val="120"/>
        </w:rPr>
        <w:t>ou simplement «</w:t>
      </w:r>
      <w:r>
        <w:rPr>
          <w:color w:val="231F20"/>
          <w:spacing w:val="-13"/>
          <w:w w:val="120"/>
        </w:rPr>
        <w:t> </w:t>
      </w:r>
      <w:r>
        <w:rPr>
          <w:color w:val="231F20"/>
          <w:w w:val="120"/>
        </w:rPr>
        <w:t>stresseur</w:t>
      </w:r>
      <w:r>
        <w:rPr>
          <w:color w:val="231F20"/>
          <w:spacing w:val="-13"/>
          <w:w w:val="120"/>
        </w:rPr>
        <w:t> </w:t>
      </w:r>
      <w:r>
        <w:rPr>
          <w:color w:val="231F20"/>
          <w:w w:val="120"/>
        </w:rPr>
        <w:t>», tout évé- nement ou toute situation qui constitue une demande pour une personne.</w:t>
      </w:r>
    </w:p>
    <w:p>
      <w:pPr>
        <w:pStyle w:val="BodyText"/>
        <w:spacing w:line="307" w:lineRule="auto" w:before="74"/>
        <w:ind w:left="199" w:right="635" w:firstLine="250"/>
        <w:jc w:val="both"/>
      </w:pPr>
      <w:r>
        <w:rPr>
          <w:color w:val="231F20"/>
          <w:w w:val="120"/>
        </w:rPr>
        <w:t>Le</w:t>
      </w:r>
      <w:r>
        <w:rPr>
          <w:color w:val="231F20"/>
          <w:w w:val="120"/>
        </w:rPr>
        <w:t> stress</w:t>
      </w:r>
      <w:r>
        <w:rPr>
          <w:color w:val="231F20"/>
          <w:w w:val="120"/>
        </w:rPr>
        <w:t> apparaît</w:t>
      </w:r>
      <w:r>
        <w:rPr>
          <w:color w:val="231F20"/>
          <w:w w:val="120"/>
        </w:rPr>
        <w:t> généralement</w:t>
      </w:r>
      <w:r>
        <w:rPr>
          <w:color w:val="231F20"/>
          <w:w w:val="120"/>
        </w:rPr>
        <w:t> lorsque l’individu</w:t>
      </w:r>
      <w:r>
        <w:rPr>
          <w:color w:val="231F20"/>
          <w:spacing w:val="-13"/>
          <w:w w:val="120"/>
        </w:rPr>
        <w:t> </w:t>
      </w:r>
      <w:r>
        <w:rPr>
          <w:color w:val="231F20"/>
          <w:w w:val="120"/>
        </w:rPr>
        <w:t>est</w:t>
      </w:r>
      <w:r>
        <w:rPr>
          <w:color w:val="231F20"/>
          <w:spacing w:val="-13"/>
          <w:w w:val="120"/>
        </w:rPr>
        <w:t> </w:t>
      </w:r>
      <w:r>
        <w:rPr>
          <w:color w:val="231F20"/>
          <w:w w:val="120"/>
        </w:rPr>
        <w:t>incapable</w:t>
      </w:r>
      <w:r>
        <w:rPr>
          <w:color w:val="231F20"/>
          <w:spacing w:val="-13"/>
          <w:w w:val="120"/>
        </w:rPr>
        <w:t> </w:t>
      </w:r>
      <w:r>
        <w:rPr>
          <w:color w:val="231F20"/>
          <w:w w:val="120"/>
        </w:rPr>
        <w:t>de</w:t>
      </w:r>
      <w:r>
        <w:rPr>
          <w:color w:val="231F20"/>
          <w:spacing w:val="-12"/>
          <w:w w:val="120"/>
        </w:rPr>
        <w:t> </w:t>
      </w:r>
      <w:r>
        <w:rPr>
          <w:color w:val="231F20"/>
          <w:w w:val="120"/>
        </w:rPr>
        <w:t>répondre</w:t>
      </w:r>
      <w:r>
        <w:rPr>
          <w:color w:val="231F20"/>
          <w:spacing w:val="-13"/>
          <w:w w:val="120"/>
        </w:rPr>
        <w:t> </w:t>
      </w:r>
      <w:r>
        <w:rPr>
          <w:color w:val="231F20"/>
          <w:w w:val="120"/>
        </w:rPr>
        <w:t>adéquate- ment</w:t>
      </w:r>
      <w:r>
        <w:rPr>
          <w:color w:val="231F20"/>
          <w:spacing w:val="-10"/>
          <w:w w:val="120"/>
        </w:rPr>
        <w:t> </w:t>
      </w:r>
      <w:r>
        <w:rPr>
          <w:color w:val="231F20"/>
          <w:w w:val="120"/>
        </w:rPr>
        <w:t>ou</w:t>
      </w:r>
      <w:r>
        <w:rPr>
          <w:color w:val="231F20"/>
          <w:spacing w:val="-10"/>
          <w:w w:val="120"/>
        </w:rPr>
        <w:t> </w:t>
      </w:r>
      <w:r>
        <w:rPr>
          <w:color w:val="231F20"/>
          <w:w w:val="120"/>
        </w:rPr>
        <w:t>efficacement</w:t>
      </w:r>
      <w:r>
        <w:rPr>
          <w:color w:val="231F20"/>
          <w:spacing w:val="-10"/>
          <w:w w:val="120"/>
        </w:rPr>
        <w:t> </w:t>
      </w:r>
      <w:r>
        <w:rPr>
          <w:color w:val="231F20"/>
          <w:w w:val="120"/>
        </w:rPr>
        <w:t>aux</w:t>
      </w:r>
      <w:r>
        <w:rPr>
          <w:color w:val="231F20"/>
          <w:spacing w:val="-10"/>
          <w:w w:val="120"/>
        </w:rPr>
        <w:t> </w:t>
      </w:r>
      <w:r>
        <w:rPr>
          <w:color w:val="231F20"/>
          <w:w w:val="120"/>
        </w:rPr>
        <w:t>stimuli</w:t>
      </w:r>
      <w:r>
        <w:rPr>
          <w:color w:val="231F20"/>
          <w:spacing w:val="-10"/>
          <w:w w:val="120"/>
        </w:rPr>
        <w:t> </w:t>
      </w:r>
      <w:r>
        <w:rPr>
          <w:color w:val="231F20"/>
          <w:w w:val="120"/>
        </w:rPr>
        <w:t>de</w:t>
      </w:r>
      <w:r>
        <w:rPr>
          <w:color w:val="231F20"/>
          <w:spacing w:val="-10"/>
          <w:w w:val="120"/>
        </w:rPr>
        <w:t> </w:t>
      </w:r>
      <w:r>
        <w:rPr>
          <w:color w:val="231F20"/>
          <w:w w:val="120"/>
        </w:rPr>
        <w:t>son</w:t>
      </w:r>
      <w:r>
        <w:rPr>
          <w:color w:val="231F20"/>
          <w:spacing w:val="-10"/>
          <w:w w:val="120"/>
        </w:rPr>
        <w:t> </w:t>
      </w:r>
      <w:r>
        <w:rPr>
          <w:color w:val="231F20"/>
          <w:w w:val="120"/>
        </w:rPr>
        <w:t>envi- ronnement</w:t>
      </w:r>
      <w:r>
        <w:rPr>
          <w:color w:val="231F20"/>
          <w:spacing w:val="-15"/>
          <w:w w:val="120"/>
        </w:rPr>
        <w:t> </w:t>
      </w:r>
      <w:r>
        <w:rPr>
          <w:color w:val="231F20"/>
          <w:w w:val="120"/>
        </w:rPr>
        <w:t>ou</w:t>
      </w:r>
      <w:r>
        <w:rPr>
          <w:color w:val="231F20"/>
          <w:spacing w:val="-13"/>
          <w:w w:val="120"/>
        </w:rPr>
        <w:t> </w:t>
      </w:r>
      <w:r>
        <w:rPr>
          <w:color w:val="231F20"/>
          <w:w w:val="120"/>
        </w:rPr>
        <w:t>que</w:t>
      </w:r>
      <w:r>
        <w:rPr>
          <w:color w:val="231F20"/>
          <w:spacing w:val="-13"/>
          <w:w w:val="120"/>
        </w:rPr>
        <w:t> </w:t>
      </w:r>
      <w:r>
        <w:rPr>
          <w:color w:val="231F20"/>
          <w:w w:val="120"/>
        </w:rPr>
        <w:t>la</w:t>
      </w:r>
      <w:r>
        <w:rPr>
          <w:color w:val="231F20"/>
          <w:spacing w:val="-12"/>
          <w:w w:val="120"/>
        </w:rPr>
        <w:t> </w:t>
      </w:r>
      <w:r>
        <w:rPr>
          <w:color w:val="231F20"/>
          <w:w w:val="120"/>
        </w:rPr>
        <w:t>seule</w:t>
      </w:r>
      <w:r>
        <w:rPr>
          <w:color w:val="231F20"/>
          <w:spacing w:val="-13"/>
          <w:w w:val="120"/>
        </w:rPr>
        <w:t> </w:t>
      </w:r>
      <w:r>
        <w:rPr>
          <w:color w:val="231F20"/>
          <w:w w:val="120"/>
        </w:rPr>
        <w:t>façon</w:t>
      </w:r>
      <w:r>
        <w:rPr>
          <w:color w:val="231F20"/>
          <w:spacing w:val="-13"/>
          <w:w w:val="120"/>
        </w:rPr>
        <w:t> </w:t>
      </w:r>
      <w:r>
        <w:rPr>
          <w:color w:val="231F20"/>
          <w:w w:val="120"/>
        </w:rPr>
        <w:t>d’y</w:t>
      </w:r>
      <w:r>
        <w:rPr>
          <w:color w:val="231F20"/>
          <w:spacing w:val="-13"/>
          <w:w w:val="120"/>
        </w:rPr>
        <w:t> </w:t>
      </w:r>
      <w:r>
        <w:rPr>
          <w:color w:val="231F20"/>
          <w:w w:val="120"/>
        </w:rPr>
        <w:t>arriver</w:t>
      </w:r>
      <w:r>
        <w:rPr>
          <w:color w:val="231F20"/>
          <w:spacing w:val="-12"/>
          <w:w w:val="120"/>
        </w:rPr>
        <w:t> </w:t>
      </w:r>
      <w:r>
        <w:rPr>
          <w:color w:val="231F20"/>
          <w:w w:val="120"/>
        </w:rPr>
        <w:t>est préjudiciable</w:t>
      </w:r>
      <w:r>
        <w:rPr>
          <w:color w:val="231F20"/>
          <w:spacing w:val="-13"/>
          <w:w w:val="120"/>
        </w:rPr>
        <w:t> </w:t>
      </w:r>
      <w:r>
        <w:rPr>
          <w:color w:val="231F20"/>
          <w:w w:val="120"/>
        </w:rPr>
        <w:t>à</w:t>
      </w:r>
      <w:r>
        <w:rPr>
          <w:color w:val="231F20"/>
          <w:spacing w:val="-12"/>
          <w:w w:val="120"/>
        </w:rPr>
        <w:t> </w:t>
      </w:r>
      <w:r>
        <w:rPr>
          <w:color w:val="231F20"/>
          <w:w w:val="120"/>
        </w:rPr>
        <w:t>son</w:t>
      </w:r>
      <w:r>
        <w:rPr>
          <w:color w:val="231F20"/>
          <w:spacing w:val="-13"/>
          <w:w w:val="120"/>
        </w:rPr>
        <w:t> </w:t>
      </w:r>
      <w:r>
        <w:rPr>
          <w:color w:val="231F20"/>
          <w:w w:val="120"/>
        </w:rPr>
        <w:t>état</w:t>
      </w:r>
      <w:r>
        <w:rPr>
          <w:color w:val="231F20"/>
          <w:spacing w:val="-12"/>
          <w:w w:val="120"/>
        </w:rPr>
        <w:t> </w:t>
      </w:r>
      <w:r>
        <w:rPr>
          <w:color w:val="231F20"/>
          <w:w w:val="120"/>
        </w:rPr>
        <w:t>de</w:t>
      </w:r>
      <w:r>
        <w:rPr>
          <w:color w:val="231F20"/>
          <w:spacing w:val="-13"/>
          <w:w w:val="120"/>
        </w:rPr>
        <w:t> </w:t>
      </w:r>
      <w:r>
        <w:rPr>
          <w:color w:val="231F20"/>
          <w:w w:val="120"/>
        </w:rPr>
        <w:t>santé.</w:t>
      </w:r>
      <w:r>
        <w:rPr>
          <w:color w:val="231F20"/>
          <w:spacing w:val="-12"/>
          <w:w w:val="120"/>
        </w:rPr>
        <w:t> </w:t>
      </w:r>
      <w:r>
        <w:rPr>
          <w:color w:val="231F20"/>
          <w:w w:val="120"/>
        </w:rPr>
        <w:t>Le</w:t>
      </w:r>
      <w:r>
        <w:rPr>
          <w:color w:val="231F20"/>
          <w:spacing w:val="-13"/>
          <w:w w:val="120"/>
        </w:rPr>
        <w:t> </w:t>
      </w:r>
      <w:r>
        <w:rPr>
          <w:color w:val="231F20"/>
          <w:w w:val="120"/>
        </w:rPr>
        <w:t>stress</w:t>
      </w:r>
      <w:r>
        <w:rPr>
          <w:color w:val="231F20"/>
          <w:spacing w:val="-12"/>
          <w:w w:val="120"/>
        </w:rPr>
        <w:t> </w:t>
      </w:r>
      <w:r>
        <w:rPr>
          <w:color w:val="231F20"/>
          <w:w w:val="120"/>
        </w:rPr>
        <w:t>pro- fessionnel est donc un déséquilibre entre les </w:t>
      </w:r>
      <w:r>
        <w:rPr>
          <w:color w:val="231F20"/>
          <w:spacing w:val="-2"/>
          <w:w w:val="120"/>
        </w:rPr>
        <w:t>capacités</w:t>
      </w:r>
      <w:r>
        <w:rPr>
          <w:color w:val="231F20"/>
          <w:spacing w:val="-20"/>
          <w:w w:val="120"/>
        </w:rPr>
        <w:t> </w:t>
      </w:r>
      <w:r>
        <w:rPr>
          <w:color w:val="231F20"/>
          <w:spacing w:val="-2"/>
          <w:w w:val="120"/>
        </w:rPr>
        <w:t>du</w:t>
      </w:r>
      <w:r>
        <w:rPr>
          <w:color w:val="231F20"/>
          <w:spacing w:val="-20"/>
          <w:w w:val="120"/>
        </w:rPr>
        <w:t> </w:t>
      </w:r>
      <w:r>
        <w:rPr>
          <w:color w:val="231F20"/>
          <w:spacing w:val="-2"/>
          <w:w w:val="120"/>
        </w:rPr>
        <w:t>travailleur</w:t>
      </w:r>
      <w:r>
        <w:rPr>
          <w:color w:val="231F20"/>
          <w:spacing w:val="-20"/>
          <w:w w:val="120"/>
        </w:rPr>
        <w:t> </w:t>
      </w:r>
      <w:r>
        <w:rPr>
          <w:color w:val="231F20"/>
          <w:spacing w:val="-2"/>
          <w:w w:val="120"/>
        </w:rPr>
        <w:t>et</w:t>
      </w:r>
      <w:r>
        <w:rPr>
          <w:color w:val="231F20"/>
          <w:spacing w:val="-20"/>
          <w:w w:val="120"/>
        </w:rPr>
        <w:t> </w:t>
      </w:r>
      <w:r>
        <w:rPr>
          <w:color w:val="231F20"/>
          <w:spacing w:val="-2"/>
          <w:w w:val="120"/>
        </w:rPr>
        <w:t>la</w:t>
      </w:r>
      <w:r>
        <w:rPr>
          <w:color w:val="231F20"/>
          <w:spacing w:val="-20"/>
          <w:w w:val="120"/>
        </w:rPr>
        <w:t> </w:t>
      </w:r>
      <w:r>
        <w:rPr>
          <w:color w:val="231F20"/>
          <w:spacing w:val="-2"/>
          <w:w w:val="120"/>
        </w:rPr>
        <w:t>réalité</w:t>
      </w:r>
      <w:r>
        <w:rPr>
          <w:color w:val="231F20"/>
          <w:spacing w:val="-20"/>
          <w:w w:val="120"/>
        </w:rPr>
        <w:t> </w:t>
      </w:r>
      <w:r>
        <w:rPr>
          <w:color w:val="231F20"/>
          <w:spacing w:val="-2"/>
          <w:w w:val="120"/>
        </w:rPr>
        <w:t>de</w:t>
      </w:r>
      <w:r>
        <w:rPr>
          <w:color w:val="231F20"/>
          <w:spacing w:val="-19"/>
          <w:w w:val="120"/>
        </w:rPr>
        <w:t> </w:t>
      </w:r>
      <w:r>
        <w:rPr>
          <w:color w:val="231F20"/>
          <w:spacing w:val="-2"/>
          <w:w w:val="120"/>
        </w:rPr>
        <w:t>ses</w:t>
      </w:r>
      <w:r>
        <w:rPr>
          <w:color w:val="231F20"/>
          <w:spacing w:val="-20"/>
          <w:w w:val="120"/>
        </w:rPr>
        <w:t> </w:t>
      </w:r>
      <w:r>
        <w:rPr>
          <w:color w:val="231F20"/>
          <w:spacing w:val="-2"/>
          <w:w w:val="120"/>
        </w:rPr>
        <w:t>condi-</w:t>
      </w:r>
    </w:p>
    <w:p>
      <w:pPr>
        <w:spacing w:after="0" w:line="307" w:lineRule="auto"/>
        <w:jc w:val="both"/>
        <w:sectPr>
          <w:type w:val="continuous"/>
          <w:pgSz w:w="8640" w:h="12960"/>
          <w:pgMar w:header="0" w:footer="424" w:top="1220" w:bottom="280" w:left="460" w:right="1000"/>
          <w:cols w:num="2" w:equalWidth="0">
            <w:col w:w="2551" w:space="40"/>
            <w:col w:w="4589"/>
          </w:cols>
        </w:sectPr>
      </w:pPr>
    </w:p>
    <w:p>
      <w:pPr>
        <w:pStyle w:val="BodyText"/>
        <w:spacing w:line="307" w:lineRule="auto" w:before="4"/>
        <w:ind w:left="789" w:right="635"/>
        <w:jc w:val="both"/>
      </w:pPr>
      <w:r>
        <w:rPr>
          <w:color w:val="231F20"/>
          <w:w w:val="120"/>
        </w:rPr>
        <w:t>tions</w:t>
      </w:r>
      <w:r>
        <w:rPr>
          <w:color w:val="231F20"/>
          <w:spacing w:val="-10"/>
          <w:w w:val="120"/>
        </w:rPr>
        <w:t> </w:t>
      </w:r>
      <w:r>
        <w:rPr>
          <w:color w:val="231F20"/>
          <w:w w:val="120"/>
        </w:rPr>
        <w:t>de</w:t>
      </w:r>
      <w:r>
        <w:rPr>
          <w:color w:val="231F20"/>
          <w:spacing w:val="-10"/>
          <w:w w:val="120"/>
        </w:rPr>
        <w:t> </w:t>
      </w:r>
      <w:r>
        <w:rPr>
          <w:color w:val="231F20"/>
          <w:w w:val="120"/>
        </w:rPr>
        <w:t>travail</w:t>
      </w:r>
      <w:r>
        <w:rPr>
          <w:color w:val="231F20"/>
          <w:spacing w:val="-10"/>
          <w:w w:val="120"/>
        </w:rPr>
        <w:t> </w:t>
      </w:r>
      <w:r>
        <w:rPr>
          <w:color w:val="231F20"/>
          <w:w w:val="120"/>
        </w:rPr>
        <w:t>ou,</w:t>
      </w:r>
      <w:r>
        <w:rPr>
          <w:color w:val="231F20"/>
          <w:spacing w:val="-10"/>
          <w:w w:val="120"/>
        </w:rPr>
        <w:t> </w:t>
      </w:r>
      <w:r>
        <w:rPr>
          <w:color w:val="231F20"/>
          <w:w w:val="120"/>
        </w:rPr>
        <w:t>en</w:t>
      </w:r>
      <w:r>
        <w:rPr>
          <w:color w:val="231F20"/>
          <w:spacing w:val="-10"/>
          <w:w w:val="120"/>
        </w:rPr>
        <w:t> </w:t>
      </w:r>
      <w:r>
        <w:rPr>
          <w:color w:val="231F20"/>
          <w:w w:val="120"/>
        </w:rPr>
        <w:t>d’autres</w:t>
      </w:r>
      <w:r>
        <w:rPr>
          <w:color w:val="231F20"/>
          <w:spacing w:val="-10"/>
          <w:w w:val="120"/>
        </w:rPr>
        <w:t> </w:t>
      </w:r>
      <w:r>
        <w:rPr>
          <w:color w:val="231F20"/>
          <w:w w:val="120"/>
        </w:rPr>
        <w:t>mots,</w:t>
      </w:r>
      <w:r>
        <w:rPr>
          <w:color w:val="231F20"/>
          <w:spacing w:val="-10"/>
          <w:w w:val="120"/>
        </w:rPr>
        <w:t> </w:t>
      </w:r>
      <w:r>
        <w:rPr>
          <w:color w:val="231F20"/>
          <w:w w:val="120"/>
        </w:rPr>
        <w:t>la</w:t>
      </w:r>
      <w:r>
        <w:rPr>
          <w:color w:val="231F20"/>
          <w:spacing w:val="-10"/>
          <w:w w:val="120"/>
        </w:rPr>
        <w:t> </w:t>
      </w:r>
      <w:r>
        <w:rPr>
          <w:color w:val="231F20"/>
          <w:w w:val="120"/>
        </w:rPr>
        <w:t>différence</w:t>
      </w:r>
      <w:r>
        <w:rPr>
          <w:color w:val="231F20"/>
          <w:spacing w:val="-10"/>
          <w:w w:val="120"/>
        </w:rPr>
        <w:t> </w:t>
      </w:r>
      <w:r>
        <w:rPr>
          <w:color w:val="231F20"/>
          <w:w w:val="120"/>
        </w:rPr>
        <w:t>qu’il</w:t>
      </w:r>
      <w:r>
        <w:rPr>
          <w:color w:val="231F20"/>
          <w:spacing w:val="-10"/>
          <w:w w:val="120"/>
        </w:rPr>
        <w:t> </w:t>
      </w:r>
      <w:r>
        <w:rPr>
          <w:color w:val="231F20"/>
          <w:w w:val="120"/>
        </w:rPr>
        <w:t>perçoit</w:t>
      </w:r>
      <w:r>
        <w:rPr>
          <w:color w:val="231F20"/>
          <w:spacing w:val="-10"/>
          <w:w w:val="120"/>
        </w:rPr>
        <w:t> </w:t>
      </w:r>
      <w:r>
        <w:rPr>
          <w:color w:val="231F20"/>
          <w:w w:val="120"/>
        </w:rPr>
        <w:t>entre</w:t>
      </w:r>
      <w:r>
        <w:rPr>
          <w:color w:val="231F20"/>
          <w:spacing w:val="-10"/>
          <w:w w:val="120"/>
        </w:rPr>
        <w:t> </w:t>
      </w:r>
      <w:r>
        <w:rPr>
          <w:color w:val="231F20"/>
          <w:w w:val="120"/>
        </w:rPr>
        <w:t>les </w:t>
      </w:r>
      <w:r>
        <w:rPr>
          <w:color w:val="231F20"/>
          <w:spacing w:val="-2"/>
          <w:w w:val="120"/>
        </w:rPr>
        <w:t>exigences</w:t>
      </w:r>
      <w:r>
        <w:rPr>
          <w:color w:val="231F20"/>
          <w:spacing w:val="-9"/>
          <w:w w:val="120"/>
        </w:rPr>
        <w:t> </w:t>
      </w:r>
      <w:r>
        <w:rPr>
          <w:color w:val="231F20"/>
          <w:spacing w:val="-2"/>
          <w:w w:val="120"/>
        </w:rPr>
        <w:t>du</w:t>
      </w:r>
      <w:r>
        <w:rPr>
          <w:color w:val="231F20"/>
          <w:spacing w:val="-9"/>
          <w:w w:val="120"/>
        </w:rPr>
        <w:t> </w:t>
      </w:r>
      <w:r>
        <w:rPr>
          <w:color w:val="231F20"/>
          <w:spacing w:val="-2"/>
          <w:w w:val="120"/>
        </w:rPr>
        <w:t>travail</w:t>
      </w:r>
      <w:r>
        <w:rPr>
          <w:color w:val="231F20"/>
          <w:spacing w:val="-9"/>
          <w:w w:val="120"/>
        </w:rPr>
        <w:t> </w:t>
      </w:r>
      <w:r>
        <w:rPr>
          <w:color w:val="231F20"/>
          <w:spacing w:val="-2"/>
          <w:w w:val="120"/>
        </w:rPr>
        <w:t>et</w:t>
      </w:r>
      <w:r>
        <w:rPr>
          <w:color w:val="231F20"/>
          <w:spacing w:val="-9"/>
          <w:w w:val="120"/>
        </w:rPr>
        <w:t> </w:t>
      </w:r>
      <w:r>
        <w:rPr>
          <w:color w:val="231F20"/>
          <w:spacing w:val="-2"/>
          <w:w w:val="120"/>
        </w:rPr>
        <w:t>sa</w:t>
      </w:r>
      <w:r>
        <w:rPr>
          <w:color w:val="231F20"/>
          <w:spacing w:val="-9"/>
          <w:w w:val="120"/>
        </w:rPr>
        <w:t> </w:t>
      </w:r>
      <w:r>
        <w:rPr>
          <w:color w:val="231F20"/>
          <w:spacing w:val="-2"/>
          <w:w w:val="120"/>
        </w:rPr>
        <w:t>capacité</w:t>
      </w:r>
      <w:r>
        <w:rPr>
          <w:color w:val="231F20"/>
          <w:spacing w:val="-9"/>
          <w:w w:val="120"/>
        </w:rPr>
        <w:t> </w:t>
      </w:r>
      <w:r>
        <w:rPr>
          <w:color w:val="231F20"/>
          <w:spacing w:val="-2"/>
          <w:w w:val="120"/>
        </w:rPr>
        <w:t>de</w:t>
      </w:r>
      <w:r>
        <w:rPr>
          <w:color w:val="231F20"/>
          <w:spacing w:val="-9"/>
          <w:w w:val="120"/>
        </w:rPr>
        <w:t> </w:t>
      </w:r>
      <w:r>
        <w:rPr>
          <w:color w:val="231F20"/>
          <w:spacing w:val="-2"/>
          <w:w w:val="120"/>
        </w:rPr>
        <w:t>réellement</w:t>
      </w:r>
      <w:r>
        <w:rPr>
          <w:color w:val="231F20"/>
          <w:spacing w:val="-9"/>
          <w:w w:val="120"/>
        </w:rPr>
        <w:t> </w:t>
      </w:r>
      <w:r>
        <w:rPr>
          <w:color w:val="231F20"/>
          <w:spacing w:val="-2"/>
          <w:w w:val="120"/>
        </w:rPr>
        <w:t>les</w:t>
      </w:r>
      <w:r>
        <w:rPr>
          <w:color w:val="231F20"/>
          <w:spacing w:val="-9"/>
          <w:w w:val="120"/>
        </w:rPr>
        <w:t> </w:t>
      </w:r>
      <w:r>
        <w:rPr>
          <w:color w:val="231F20"/>
          <w:spacing w:val="-2"/>
          <w:w w:val="120"/>
        </w:rPr>
        <w:t>atteindre.</w:t>
      </w:r>
      <w:r>
        <w:rPr>
          <w:color w:val="231F20"/>
          <w:spacing w:val="-9"/>
          <w:w w:val="120"/>
        </w:rPr>
        <w:t> </w:t>
      </w:r>
      <w:r>
        <w:rPr>
          <w:color w:val="231F20"/>
          <w:spacing w:val="-2"/>
          <w:w w:val="120"/>
        </w:rPr>
        <w:t>Cette</w:t>
      </w:r>
      <w:r>
        <w:rPr>
          <w:color w:val="231F20"/>
          <w:spacing w:val="-9"/>
          <w:w w:val="120"/>
        </w:rPr>
        <w:t> </w:t>
      </w:r>
      <w:r>
        <w:rPr>
          <w:color w:val="231F20"/>
          <w:spacing w:val="-2"/>
          <w:w w:val="120"/>
        </w:rPr>
        <w:t>défi- </w:t>
      </w:r>
      <w:r>
        <w:rPr>
          <w:color w:val="231F20"/>
          <w:w w:val="120"/>
        </w:rPr>
        <w:t>nition</w:t>
      </w:r>
      <w:r>
        <w:rPr>
          <w:color w:val="231F20"/>
          <w:spacing w:val="-10"/>
          <w:w w:val="120"/>
        </w:rPr>
        <w:t> </w:t>
      </w:r>
      <w:r>
        <w:rPr>
          <w:color w:val="231F20"/>
          <w:w w:val="120"/>
        </w:rPr>
        <w:t>va</w:t>
      </w:r>
      <w:r>
        <w:rPr>
          <w:color w:val="231F20"/>
          <w:spacing w:val="-10"/>
          <w:w w:val="120"/>
        </w:rPr>
        <w:t> </w:t>
      </w:r>
      <w:r>
        <w:rPr>
          <w:color w:val="231F20"/>
          <w:w w:val="120"/>
        </w:rPr>
        <w:t>de</w:t>
      </w:r>
      <w:r>
        <w:rPr>
          <w:color w:val="231F20"/>
          <w:spacing w:val="-10"/>
          <w:w w:val="120"/>
        </w:rPr>
        <w:t> </w:t>
      </w:r>
      <w:r>
        <w:rPr>
          <w:color w:val="231F20"/>
          <w:w w:val="120"/>
        </w:rPr>
        <w:t>pair</w:t>
      </w:r>
      <w:r>
        <w:rPr>
          <w:color w:val="231F20"/>
          <w:spacing w:val="-10"/>
          <w:w w:val="120"/>
        </w:rPr>
        <w:t> </w:t>
      </w:r>
      <w:r>
        <w:rPr>
          <w:color w:val="231F20"/>
          <w:w w:val="120"/>
        </w:rPr>
        <w:t>avec</w:t>
      </w:r>
      <w:r>
        <w:rPr>
          <w:color w:val="231F20"/>
          <w:spacing w:val="-10"/>
          <w:w w:val="120"/>
        </w:rPr>
        <w:t> </w:t>
      </w:r>
      <w:r>
        <w:rPr>
          <w:color w:val="231F20"/>
          <w:w w:val="120"/>
        </w:rPr>
        <w:t>les</w:t>
      </w:r>
      <w:r>
        <w:rPr>
          <w:color w:val="231F20"/>
          <w:spacing w:val="-10"/>
          <w:w w:val="120"/>
        </w:rPr>
        <w:t> </w:t>
      </w:r>
      <w:r>
        <w:rPr>
          <w:color w:val="231F20"/>
          <w:w w:val="120"/>
        </w:rPr>
        <w:t>théories</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motivation,</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satisfaction</w:t>
      </w:r>
      <w:r>
        <w:rPr>
          <w:color w:val="231F20"/>
          <w:spacing w:val="-10"/>
          <w:w w:val="120"/>
        </w:rPr>
        <w:t> </w:t>
      </w:r>
      <w:r>
        <w:rPr>
          <w:color w:val="231F20"/>
          <w:w w:val="120"/>
        </w:rPr>
        <w:t>ou de</w:t>
      </w:r>
      <w:r>
        <w:rPr>
          <w:color w:val="231F20"/>
          <w:spacing w:val="-13"/>
          <w:w w:val="120"/>
        </w:rPr>
        <w:t> </w:t>
      </w:r>
      <w:r>
        <w:rPr>
          <w:color w:val="231F20"/>
          <w:w w:val="120"/>
        </w:rPr>
        <w:t>l’engagement</w:t>
      </w:r>
      <w:r>
        <w:rPr>
          <w:color w:val="231F20"/>
          <w:spacing w:val="-13"/>
          <w:w w:val="120"/>
        </w:rPr>
        <w:t> </w:t>
      </w:r>
      <w:r>
        <w:rPr>
          <w:color w:val="231F20"/>
          <w:w w:val="120"/>
        </w:rPr>
        <w:t>organisationnel,</w:t>
      </w:r>
      <w:r>
        <w:rPr>
          <w:color w:val="231F20"/>
          <w:spacing w:val="-13"/>
          <w:w w:val="120"/>
        </w:rPr>
        <w:t> </w:t>
      </w:r>
      <w:r>
        <w:rPr>
          <w:color w:val="231F20"/>
          <w:w w:val="120"/>
        </w:rPr>
        <w:t>en</w:t>
      </w:r>
      <w:r>
        <w:rPr>
          <w:color w:val="231F20"/>
          <w:spacing w:val="-12"/>
          <w:w w:val="120"/>
        </w:rPr>
        <w:t> </w:t>
      </w:r>
      <w:r>
        <w:rPr>
          <w:color w:val="231F20"/>
          <w:w w:val="120"/>
        </w:rPr>
        <w:t>ce</w:t>
      </w:r>
      <w:r>
        <w:rPr>
          <w:color w:val="231F20"/>
          <w:spacing w:val="-13"/>
          <w:w w:val="120"/>
        </w:rPr>
        <w:t> </w:t>
      </w:r>
      <w:r>
        <w:rPr>
          <w:color w:val="231F20"/>
          <w:w w:val="120"/>
        </w:rPr>
        <w:t>sens</w:t>
      </w:r>
      <w:r>
        <w:rPr>
          <w:color w:val="231F20"/>
          <w:spacing w:val="-13"/>
          <w:w w:val="120"/>
        </w:rPr>
        <w:t> </w:t>
      </w:r>
      <w:r>
        <w:rPr>
          <w:color w:val="231F20"/>
          <w:w w:val="120"/>
        </w:rPr>
        <w:t>que</w:t>
      </w:r>
      <w:r>
        <w:rPr>
          <w:color w:val="231F20"/>
          <w:spacing w:val="-13"/>
          <w:w w:val="120"/>
        </w:rPr>
        <w:t> </w:t>
      </w:r>
      <w:r>
        <w:rPr>
          <w:color w:val="231F20"/>
          <w:w w:val="120"/>
        </w:rPr>
        <w:t>le</w:t>
      </w:r>
      <w:r>
        <w:rPr>
          <w:color w:val="231F20"/>
          <w:spacing w:val="-12"/>
          <w:w w:val="120"/>
        </w:rPr>
        <w:t> </w:t>
      </w:r>
      <w:r>
        <w:rPr>
          <w:color w:val="231F20"/>
          <w:w w:val="120"/>
        </w:rPr>
        <w:t>travailleur,</w:t>
      </w:r>
      <w:r>
        <w:rPr>
          <w:color w:val="231F20"/>
          <w:spacing w:val="-13"/>
          <w:w w:val="120"/>
        </w:rPr>
        <w:t> </w:t>
      </w:r>
      <w:r>
        <w:rPr>
          <w:color w:val="231F20"/>
          <w:w w:val="120"/>
        </w:rPr>
        <w:t>pour</w:t>
      </w:r>
      <w:r>
        <w:rPr>
          <w:color w:val="231F20"/>
          <w:spacing w:val="-13"/>
          <w:w w:val="120"/>
        </w:rPr>
        <w:t> </w:t>
      </w:r>
      <w:r>
        <w:rPr>
          <w:color w:val="231F20"/>
          <w:w w:val="120"/>
        </w:rPr>
        <w:t>être intéressé</w:t>
      </w:r>
      <w:r>
        <w:rPr>
          <w:color w:val="231F20"/>
          <w:spacing w:val="-5"/>
          <w:w w:val="120"/>
        </w:rPr>
        <w:t> </w:t>
      </w:r>
      <w:r>
        <w:rPr>
          <w:color w:val="231F20"/>
          <w:w w:val="120"/>
        </w:rPr>
        <w:t>par</w:t>
      </w:r>
      <w:r>
        <w:rPr>
          <w:color w:val="231F20"/>
          <w:spacing w:val="-5"/>
          <w:w w:val="120"/>
        </w:rPr>
        <w:t> </w:t>
      </w:r>
      <w:r>
        <w:rPr>
          <w:color w:val="231F20"/>
          <w:w w:val="120"/>
        </w:rPr>
        <w:t>le</w:t>
      </w:r>
      <w:r>
        <w:rPr>
          <w:color w:val="231F20"/>
          <w:spacing w:val="-5"/>
          <w:w w:val="120"/>
        </w:rPr>
        <w:t> </w:t>
      </w:r>
      <w:r>
        <w:rPr>
          <w:color w:val="231F20"/>
          <w:w w:val="120"/>
        </w:rPr>
        <w:t>travail,</w:t>
      </w:r>
      <w:r>
        <w:rPr>
          <w:color w:val="231F20"/>
          <w:spacing w:val="-5"/>
          <w:w w:val="120"/>
        </w:rPr>
        <w:t> </w:t>
      </w:r>
      <w:r>
        <w:rPr>
          <w:color w:val="231F20"/>
          <w:w w:val="120"/>
        </w:rPr>
        <w:t>doit</w:t>
      </w:r>
      <w:r>
        <w:rPr>
          <w:color w:val="231F20"/>
          <w:spacing w:val="-5"/>
          <w:w w:val="120"/>
        </w:rPr>
        <w:t> </w:t>
      </w:r>
      <w:r>
        <w:rPr>
          <w:color w:val="231F20"/>
          <w:w w:val="120"/>
        </w:rPr>
        <w:t>avoir</w:t>
      </w:r>
      <w:r>
        <w:rPr>
          <w:color w:val="231F20"/>
          <w:spacing w:val="-5"/>
          <w:w w:val="120"/>
        </w:rPr>
        <w:t> </w:t>
      </w:r>
      <w:r>
        <w:rPr>
          <w:color w:val="231F20"/>
          <w:w w:val="120"/>
        </w:rPr>
        <w:t>la</w:t>
      </w:r>
      <w:r>
        <w:rPr>
          <w:color w:val="231F20"/>
          <w:spacing w:val="-5"/>
          <w:w w:val="120"/>
        </w:rPr>
        <w:t> </w:t>
      </w:r>
      <w:r>
        <w:rPr>
          <w:color w:val="231F20"/>
          <w:w w:val="120"/>
        </w:rPr>
        <w:t>conviction</w:t>
      </w:r>
      <w:r>
        <w:rPr>
          <w:color w:val="231F20"/>
          <w:spacing w:val="-5"/>
          <w:w w:val="120"/>
        </w:rPr>
        <w:t> </w:t>
      </w:r>
      <w:r>
        <w:rPr>
          <w:color w:val="231F20"/>
          <w:w w:val="120"/>
        </w:rPr>
        <w:t>d’avoir</w:t>
      </w:r>
      <w:r>
        <w:rPr>
          <w:color w:val="231F20"/>
          <w:spacing w:val="-5"/>
          <w:w w:val="120"/>
        </w:rPr>
        <w:t> </w:t>
      </w:r>
      <w:r>
        <w:rPr>
          <w:color w:val="231F20"/>
          <w:w w:val="120"/>
        </w:rPr>
        <w:t>la</w:t>
      </w:r>
      <w:r>
        <w:rPr>
          <w:color w:val="231F20"/>
          <w:spacing w:val="-5"/>
          <w:w w:val="120"/>
        </w:rPr>
        <w:t> </w:t>
      </w:r>
      <w:r>
        <w:rPr>
          <w:color w:val="231F20"/>
          <w:w w:val="120"/>
        </w:rPr>
        <w:t>possibilité</w:t>
      </w:r>
      <w:r>
        <w:rPr>
          <w:color w:val="231F20"/>
          <w:spacing w:val="-5"/>
          <w:w w:val="120"/>
        </w:rPr>
        <w:t> </w:t>
      </w:r>
      <w:r>
        <w:rPr>
          <w:color w:val="231F20"/>
          <w:w w:val="120"/>
        </w:rPr>
        <w:t>de satisfaire ses besoins. Par-delà cette analogie, le stress au travail est la </w:t>
      </w:r>
      <w:r>
        <w:rPr>
          <w:color w:val="231F20"/>
          <w:spacing w:val="-2"/>
          <w:w w:val="120"/>
        </w:rPr>
        <w:t>réaction</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personne</w:t>
      </w:r>
      <w:r>
        <w:rPr>
          <w:color w:val="231F20"/>
          <w:spacing w:val="-8"/>
          <w:w w:val="120"/>
        </w:rPr>
        <w:t> </w:t>
      </w:r>
      <w:r>
        <w:rPr>
          <w:color w:val="231F20"/>
          <w:spacing w:val="-2"/>
          <w:w w:val="120"/>
        </w:rPr>
        <w:t>à</w:t>
      </w:r>
      <w:r>
        <w:rPr>
          <w:color w:val="231F20"/>
          <w:spacing w:val="-8"/>
          <w:w w:val="120"/>
        </w:rPr>
        <w:t> </w:t>
      </w:r>
      <w:r>
        <w:rPr>
          <w:color w:val="231F20"/>
          <w:spacing w:val="-2"/>
          <w:w w:val="120"/>
        </w:rPr>
        <w:t>une</w:t>
      </w:r>
      <w:r>
        <w:rPr>
          <w:color w:val="231F20"/>
          <w:spacing w:val="-8"/>
          <w:w w:val="120"/>
        </w:rPr>
        <w:t> </w:t>
      </w:r>
      <w:r>
        <w:rPr>
          <w:color w:val="231F20"/>
          <w:spacing w:val="-2"/>
          <w:w w:val="120"/>
        </w:rPr>
        <w:t>situation</w:t>
      </w:r>
      <w:r>
        <w:rPr>
          <w:color w:val="231F20"/>
          <w:spacing w:val="-8"/>
          <w:w w:val="120"/>
        </w:rPr>
        <w:t> </w:t>
      </w:r>
      <w:r>
        <w:rPr>
          <w:color w:val="231F20"/>
          <w:spacing w:val="-2"/>
          <w:w w:val="120"/>
        </w:rPr>
        <w:t>jugée</w:t>
      </w:r>
      <w:r>
        <w:rPr>
          <w:color w:val="231F20"/>
          <w:spacing w:val="-8"/>
          <w:w w:val="120"/>
        </w:rPr>
        <w:t> </w:t>
      </w:r>
      <w:r>
        <w:rPr>
          <w:color w:val="231F20"/>
          <w:spacing w:val="-2"/>
          <w:w w:val="120"/>
        </w:rPr>
        <w:t>menaçante</w:t>
      </w:r>
      <w:r>
        <w:rPr>
          <w:color w:val="231F20"/>
          <w:spacing w:val="-8"/>
          <w:w w:val="120"/>
        </w:rPr>
        <w:t> </w:t>
      </w:r>
      <w:r>
        <w:rPr>
          <w:color w:val="231F20"/>
          <w:spacing w:val="-2"/>
          <w:w w:val="120"/>
        </w:rPr>
        <w:t>en</w:t>
      </w:r>
      <w:r>
        <w:rPr>
          <w:color w:val="231F20"/>
          <w:spacing w:val="-8"/>
          <w:w w:val="120"/>
        </w:rPr>
        <w:t> </w:t>
      </w:r>
      <w:r>
        <w:rPr>
          <w:color w:val="231F20"/>
          <w:spacing w:val="-2"/>
          <w:w w:val="120"/>
        </w:rPr>
        <w:t>contexte</w:t>
      </w:r>
      <w:r>
        <w:rPr>
          <w:color w:val="231F20"/>
          <w:spacing w:val="-8"/>
          <w:w w:val="120"/>
        </w:rPr>
        <w:t> </w:t>
      </w:r>
      <w:r>
        <w:rPr>
          <w:color w:val="231F20"/>
          <w:spacing w:val="-2"/>
          <w:w w:val="120"/>
        </w:rPr>
        <w:t>pro- </w:t>
      </w:r>
      <w:r>
        <w:rPr>
          <w:color w:val="231F20"/>
          <w:w w:val="120"/>
        </w:rPr>
        <w:t>fessionnel,</w:t>
      </w:r>
      <w:r>
        <w:rPr>
          <w:color w:val="231F20"/>
          <w:spacing w:val="-10"/>
          <w:w w:val="120"/>
        </w:rPr>
        <w:t> </w:t>
      </w:r>
      <w:r>
        <w:rPr>
          <w:color w:val="231F20"/>
          <w:w w:val="120"/>
        </w:rPr>
        <w:t>que</w:t>
      </w:r>
      <w:r>
        <w:rPr>
          <w:color w:val="231F20"/>
          <w:spacing w:val="-10"/>
          <w:w w:val="120"/>
        </w:rPr>
        <w:t> </w:t>
      </w:r>
      <w:r>
        <w:rPr>
          <w:color w:val="231F20"/>
          <w:w w:val="120"/>
        </w:rPr>
        <w:t>cette</w:t>
      </w:r>
      <w:r>
        <w:rPr>
          <w:color w:val="231F20"/>
          <w:spacing w:val="-10"/>
          <w:w w:val="120"/>
        </w:rPr>
        <w:t> </w:t>
      </w:r>
      <w:r>
        <w:rPr>
          <w:color w:val="231F20"/>
          <w:w w:val="120"/>
        </w:rPr>
        <w:t>menace</w:t>
      </w:r>
      <w:r>
        <w:rPr>
          <w:color w:val="231F20"/>
          <w:spacing w:val="-10"/>
          <w:w w:val="120"/>
        </w:rPr>
        <w:t> </w:t>
      </w:r>
      <w:r>
        <w:rPr>
          <w:color w:val="231F20"/>
          <w:w w:val="120"/>
        </w:rPr>
        <w:t>ait</w:t>
      </w:r>
      <w:r>
        <w:rPr>
          <w:color w:val="231F20"/>
          <w:spacing w:val="-10"/>
          <w:w w:val="120"/>
        </w:rPr>
        <w:t> </w:t>
      </w:r>
      <w:r>
        <w:rPr>
          <w:color w:val="231F20"/>
          <w:w w:val="120"/>
        </w:rPr>
        <w:t>un</w:t>
      </w:r>
      <w:r>
        <w:rPr>
          <w:color w:val="231F20"/>
          <w:spacing w:val="-10"/>
          <w:w w:val="120"/>
        </w:rPr>
        <w:t> </w:t>
      </w:r>
      <w:r>
        <w:rPr>
          <w:color w:val="231F20"/>
          <w:w w:val="120"/>
        </w:rPr>
        <w:t>lien</w:t>
      </w:r>
      <w:r>
        <w:rPr>
          <w:color w:val="231F20"/>
          <w:spacing w:val="-10"/>
          <w:w w:val="120"/>
        </w:rPr>
        <w:t> </w:t>
      </w:r>
      <w:r>
        <w:rPr>
          <w:color w:val="231F20"/>
          <w:w w:val="120"/>
        </w:rPr>
        <w:t>ou</w:t>
      </w:r>
      <w:r>
        <w:rPr>
          <w:color w:val="231F20"/>
          <w:spacing w:val="-10"/>
          <w:w w:val="120"/>
        </w:rPr>
        <w:t> </w:t>
      </w:r>
      <w:r>
        <w:rPr>
          <w:color w:val="231F20"/>
          <w:w w:val="120"/>
        </w:rPr>
        <w:t>non</w:t>
      </w:r>
      <w:r>
        <w:rPr>
          <w:color w:val="231F20"/>
          <w:spacing w:val="-10"/>
          <w:w w:val="120"/>
        </w:rPr>
        <w:t> </w:t>
      </w:r>
      <w:r>
        <w:rPr>
          <w:color w:val="231F20"/>
          <w:w w:val="120"/>
        </w:rPr>
        <w:t>avec</w:t>
      </w:r>
      <w:r>
        <w:rPr>
          <w:color w:val="231F20"/>
          <w:spacing w:val="-10"/>
          <w:w w:val="120"/>
        </w:rPr>
        <w:t> </w:t>
      </w:r>
      <w:r>
        <w:rPr>
          <w:color w:val="231F20"/>
          <w:w w:val="120"/>
        </w:rPr>
        <w:t>la</w:t>
      </w:r>
      <w:r>
        <w:rPr>
          <w:color w:val="231F20"/>
          <w:spacing w:val="-10"/>
          <w:w w:val="120"/>
        </w:rPr>
        <w:t> </w:t>
      </w:r>
      <w:r>
        <w:rPr>
          <w:color w:val="231F20"/>
          <w:w w:val="120"/>
        </w:rPr>
        <w:t>disponibilité</w:t>
      </w:r>
      <w:r>
        <w:rPr>
          <w:color w:val="231F20"/>
          <w:spacing w:val="-10"/>
          <w:w w:val="120"/>
        </w:rPr>
        <w:t> </w:t>
      </w:r>
      <w:r>
        <w:rPr>
          <w:color w:val="231F20"/>
          <w:w w:val="120"/>
        </w:rPr>
        <w:t>des moyens nécessaires à la satisfaction de ses besoins.</w:t>
      </w:r>
    </w:p>
    <w:p>
      <w:pPr>
        <w:spacing w:after="0" w:line="307" w:lineRule="auto"/>
        <w:jc w:val="both"/>
        <w:sectPr>
          <w:type w:val="continuous"/>
          <w:pgSz w:w="8640" w:h="12960"/>
          <w:pgMar w:header="0" w:footer="424" w:top="1220" w:bottom="280" w:left="460" w:right="1000"/>
        </w:sectPr>
      </w:pPr>
    </w:p>
    <w:p>
      <w:pPr>
        <w:spacing w:before="118"/>
        <w:ind w:left="235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79" w:right="241" w:firstLine="250"/>
        <w:jc w:val="both"/>
      </w:pPr>
      <w:r>
        <w:rPr>
          <w:color w:val="231F20"/>
          <w:w w:val="120"/>
        </w:rPr>
        <w:t>Il</w:t>
      </w:r>
      <w:r>
        <w:rPr>
          <w:color w:val="231F20"/>
          <w:spacing w:val="-2"/>
          <w:w w:val="120"/>
        </w:rPr>
        <w:t> </w:t>
      </w:r>
      <w:r>
        <w:rPr>
          <w:color w:val="231F20"/>
          <w:w w:val="120"/>
        </w:rPr>
        <w:t>importe</w:t>
      </w:r>
      <w:r>
        <w:rPr>
          <w:color w:val="231F20"/>
          <w:spacing w:val="-2"/>
          <w:w w:val="120"/>
        </w:rPr>
        <w:t> </w:t>
      </w:r>
      <w:r>
        <w:rPr>
          <w:color w:val="231F20"/>
          <w:w w:val="120"/>
        </w:rPr>
        <w:t>de</w:t>
      </w:r>
      <w:r>
        <w:rPr>
          <w:color w:val="231F20"/>
          <w:spacing w:val="-2"/>
          <w:w w:val="120"/>
        </w:rPr>
        <w:t> </w:t>
      </w:r>
      <w:r>
        <w:rPr>
          <w:color w:val="231F20"/>
          <w:w w:val="120"/>
        </w:rPr>
        <w:t>mentionner</w:t>
      </w:r>
      <w:r>
        <w:rPr>
          <w:color w:val="231F20"/>
          <w:spacing w:val="-2"/>
          <w:w w:val="120"/>
        </w:rPr>
        <w:t> </w:t>
      </w:r>
      <w:r>
        <w:rPr>
          <w:color w:val="231F20"/>
          <w:w w:val="120"/>
        </w:rPr>
        <w:t>que</w:t>
      </w:r>
      <w:r>
        <w:rPr>
          <w:color w:val="231F20"/>
          <w:spacing w:val="-2"/>
          <w:w w:val="120"/>
        </w:rPr>
        <w:t> </w:t>
      </w:r>
      <w:r>
        <w:rPr>
          <w:color w:val="231F20"/>
          <w:w w:val="120"/>
        </w:rPr>
        <w:t>le</w:t>
      </w:r>
      <w:r>
        <w:rPr>
          <w:color w:val="231F20"/>
          <w:spacing w:val="-2"/>
          <w:w w:val="120"/>
        </w:rPr>
        <w:t> </w:t>
      </w:r>
      <w:r>
        <w:rPr>
          <w:color w:val="231F20"/>
          <w:w w:val="120"/>
        </w:rPr>
        <w:t>stress</w:t>
      </w:r>
      <w:r>
        <w:rPr>
          <w:color w:val="231F20"/>
          <w:spacing w:val="-2"/>
          <w:w w:val="120"/>
        </w:rPr>
        <w:t> </w:t>
      </w:r>
      <w:r>
        <w:rPr>
          <w:color w:val="231F20"/>
          <w:w w:val="120"/>
        </w:rPr>
        <w:t>professionnel</w:t>
      </w:r>
      <w:r>
        <w:rPr>
          <w:color w:val="231F20"/>
          <w:spacing w:val="-2"/>
          <w:w w:val="120"/>
        </w:rPr>
        <w:t> </w:t>
      </w:r>
      <w:r>
        <w:rPr>
          <w:color w:val="231F20"/>
          <w:w w:val="120"/>
        </w:rPr>
        <w:t>est</w:t>
      </w:r>
      <w:r>
        <w:rPr>
          <w:color w:val="231F20"/>
          <w:spacing w:val="-2"/>
          <w:w w:val="120"/>
        </w:rPr>
        <w:t> </w:t>
      </w:r>
      <w:r>
        <w:rPr>
          <w:color w:val="231F20"/>
          <w:w w:val="120"/>
        </w:rPr>
        <w:t>le</w:t>
      </w:r>
      <w:r>
        <w:rPr>
          <w:color w:val="231F20"/>
          <w:spacing w:val="-2"/>
          <w:w w:val="120"/>
        </w:rPr>
        <w:t> </w:t>
      </w:r>
      <w:r>
        <w:rPr>
          <w:color w:val="231F20"/>
          <w:w w:val="120"/>
        </w:rPr>
        <w:t>principal </w:t>
      </w:r>
      <w:r>
        <w:rPr>
          <w:color w:val="231F20"/>
          <w:w w:val="115"/>
        </w:rPr>
        <w:t>stress</w:t>
      </w:r>
      <w:r>
        <w:rPr>
          <w:color w:val="231F20"/>
          <w:spacing w:val="-6"/>
          <w:w w:val="115"/>
        </w:rPr>
        <w:t> </w:t>
      </w:r>
      <w:r>
        <w:rPr>
          <w:color w:val="231F20"/>
          <w:w w:val="115"/>
        </w:rPr>
        <w:t>vécu</w:t>
      </w:r>
      <w:r>
        <w:rPr>
          <w:color w:val="231F20"/>
          <w:spacing w:val="-7"/>
          <w:w w:val="115"/>
        </w:rPr>
        <w:t> </w:t>
      </w:r>
      <w:r>
        <w:rPr>
          <w:color w:val="231F20"/>
          <w:w w:val="115"/>
        </w:rPr>
        <w:t>par</w:t>
      </w:r>
      <w:r>
        <w:rPr>
          <w:color w:val="231F20"/>
          <w:spacing w:val="-6"/>
          <w:w w:val="115"/>
        </w:rPr>
        <w:t> </w:t>
      </w:r>
      <w:r>
        <w:rPr>
          <w:color w:val="231F20"/>
          <w:w w:val="115"/>
        </w:rPr>
        <w:t>la</w:t>
      </w:r>
      <w:r>
        <w:rPr>
          <w:color w:val="231F20"/>
          <w:spacing w:val="-7"/>
          <w:w w:val="115"/>
        </w:rPr>
        <w:t> </w:t>
      </w:r>
      <w:r>
        <w:rPr>
          <w:color w:val="231F20"/>
          <w:w w:val="115"/>
        </w:rPr>
        <w:t>majorité</w:t>
      </w:r>
      <w:r>
        <w:rPr>
          <w:color w:val="231F20"/>
          <w:spacing w:val="-6"/>
          <w:w w:val="115"/>
        </w:rPr>
        <w:t> </w:t>
      </w:r>
      <w:r>
        <w:rPr>
          <w:color w:val="231F20"/>
          <w:w w:val="115"/>
        </w:rPr>
        <w:t>des</w:t>
      </w:r>
      <w:r>
        <w:rPr>
          <w:color w:val="231F20"/>
          <w:spacing w:val="-7"/>
          <w:w w:val="115"/>
        </w:rPr>
        <w:t> </w:t>
      </w:r>
      <w:r>
        <w:rPr>
          <w:color w:val="231F20"/>
          <w:w w:val="115"/>
        </w:rPr>
        <w:t>individus,</w:t>
      </w:r>
      <w:r>
        <w:rPr>
          <w:color w:val="231F20"/>
          <w:spacing w:val="-6"/>
          <w:w w:val="115"/>
        </w:rPr>
        <w:t> </w:t>
      </w:r>
      <w:r>
        <w:rPr>
          <w:color w:val="231F20"/>
          <w:w w:val="115"/>
        </w:rPr>
        <w:t>mais</w:t>
      </w:r>
      <w:r>
        <w:rPr>
          <w:color w:val="231F20"/>
          <w:spacing w:val="-7"/>
          <w:w w:val="115"/>
        </w:rPr>
        <w:t> </w:t>
      </w:r>
      <w:r>
        <w:rPr>
          <w:color w:val="231F20"/>
          <w:w w:val="115"/>
        </w:rPr>
        <w:t>il</w:t>
      </w:r>
      <w:r>
        <w:rPr>
          <w:color w:val="231F20"/>
          <w:spacing w:val="-6"/>
          <w:w w:val="115"/>
        </w:rPr>
        <w:t> </w:t>
      </w:r>
      <w:r>
        <w:rPr>
          <w:color w:val="231F20"/>
          <w:w w:val="115"/>
        </w:rPr>
        <w:t>n’est</w:t>
      </w:r>
      <w:r>
        <w:rPr>
          <w:color w:val="231F20"/>
          <w:spacing w:val="-7"/>
          <w:w w:val="115"/>
        </w:rPr>
        <w:t> </w:t>
      </w:r>
      <w:r>
        <w:rPr>
          <w:color w:val="231F20"/>
          <w:w w:val="115"/>
        </w:rPr>
        <w:t>bien</w:t>
      </w:r>
      <w:r>
        <w:rPr>
          <w:color w:val="231F20"/>
          <w:spacing w:val="-6"/>
          <w:w w:val="115"/>
        </w:rPr>
        <w:t> </w:t>
      </w:r>
      <w:r>
        <w:rPr>
          <w:color w:val="231F20"/>
          <w:w w:val="115"/>
        </w:rPr>
        <w:t>sûr</w:t>
      </w:r>
      <w:r>
        <w:rPr>
          <w:color w:val="231F20"/>
          <w:spacing w:val="-7"/>
          <w:w w:val="115"/>
        </w:rPr>
        <w:t> </w:t>
      </w:r>
      <w:r>
        <w:rPr>
          <w:color w:val="231F20"/>
          <w:w w:val="115"/>
        </w:rPr>
        <w:t>pas</w:t>
      </w:r>
      <w:r>
        <w:rPr>
          <w:color w:val="231F20"/>
          <w:spacing w:val="-6"/>
          <w:w w:val="115"/>
        </w:rPr>
        <w:t> </w:t>
      </w:r>
      <w:r>
        <w:rPr>
          <w:color w:val="231F20"/>
          <w:w w:val="115"/>
        </w:rPr>
        <w:t>la</w:t>
      </w:r>
      <w:r>
        <w:rPr>
          <w:color w:val="231F20"/>
          <w:spacing w:val="-7"/>
          <w:w w:val="115"/>
        </w:rPr>
        <w:t> </w:t>
      </w:r>
      <w:r>
        <w:rPr>
          <w:color w:val="231F20"/>
          <w:w w:val="115"/>
        </w:rPr>
        <w:t>seule </w:t>
      </w:r>
      <w:r>
        <w:rPr>
          <w:color w:val="231F20"/>
          <w:spacing w:val="-2"/>
          <w:w w:val="120"/>
        </w:rPr>
        <w:t>source</w:t>
      </w:r>
      <w:r>
        <w:rPr>
          <w:color w:val="231F20"/>
          <w:spacing w:val="-5"/>
          <w:w w:val="120"/>
        </w:rPr>
        <w:t> </w:t>
      </w:r>
      <w:r>
        <w:rPr>
          <w:color w:val="231F20"/>
          <w:spacing w:val="-2"/>
          <w:w w:val="120"/>
        </w:rPr>
        <w:t>de</w:t>
      </w:r>
      <w:r>
        <w:rPr>
          <w:color w:val="231F20"/>
          <w:spacing w:val="-5"/>
          <w:w w:val="120"/>
        </w:rPr>
        <w:t> </w:t>
      </w:r>
      <w:r>
        <w:rPr>
          <w:color w:val="231F20"/>
          <w:spacing w:val="-2"/>
          <w:w w:val="120"/>
        </w:rPr>
        <w:t>stress</w:t>
      </w:r>
      <w:r>
        <w:rPr>
          <w:color w:val="231F20"/>
          <w:spacing w:val="-5"/>
          <w:w w:val="120"/>
        </w:rPr>
        <w:t> </w:t>
      </w:r>
      <w:r>
        <w:rPr>
          <w:color w:val="231F20"/>
          <w:spacing w:val="-2"/>
          <w:w w:val="120"/>
        </w:rPr>
        <w:t>dans</w:t>
      </w:r>
      <w:r>
        <w:rPr>
          <w:color w:val="231F20"/>
          <w:spacing w:val="-5"/>
          <w:w w:val="120"/>
        </w:rPr>
        <w:t> </w:t>
      </w:r>
      <w:r>
        <w:rPr>
          <w:color w:val="231F20"/>
          <w:spacing w:val="-2"/>
          <w:w w:val="120"/>
        </w:rPr>
        <w:t>la</w:t>
      </w:r>
      <w:r>
        <w:rPr>
          <w:color w:val="231F20"/>
          <w:spacing w:val="-5"/>
          <w:w w:val="120"/>
        </w:rPr>
        <w:t> </w:t>
      </w:r>
      <w:r>
        <w:rPr>
          <w:color w:val="231F20"/>
          <w:spacing w:val="-2"/>
          <w:w w:val="120"/>
        </w:rPr>
        <w:t>vie</w:t>
      </w:r>
      <w:r>
        <w:rPr>
          <w:color w:val="231F20"/>
          <w:spacing w:val="-5"/>
          <w:w w:val="120"/>
        </w:rPr>
        <w:t> </w:t>
      </w:r>
      <w:r>
        <w:rPr>
          <w:color w:val="231F20"/>
          <w:spacing w:val="-2"/>
          <w:w w:val="120"/>
        </w:rPr>
        <w:t>des</w:t>
      </w:r>
      <w:r>
        <w:rPr>
          <w:color w:val="231F20"/>
          <w:spacing w:val="-5"/>
          <w:w w:val="120"/>
        </w:rPr>
        <w:t> </w:t>
      </w:r>
      <w:r>
        <w:rPr>
          <w:color w:val="231F20"/>
          <w:spacing w:val="-2"/>
          <w:w w:val="120"/>
        </w:rPr>
        <w:t>personnes.</w:t>
      </w:r>
      <w:r>
        <w:rPr>
          <w:color w:val="231F20"/>
          <w:spacing w:val="-5"/>
          <w:w w:val="120"/>
        </w:rPr>
        <w:t> </w:t>
      </w:r>
      <w:r>
        <w:rPr>
          <w:color w:val="231F20"/>
          <w:spacing w:val="-2"/>
          <w:w w:val="120"/>
        </w:rPr>
        <w:t>Les</w:t>
      </w:r>
      <w:r>
        <w:rPr>
          <w:color w:val="231F20"/>
          <w:spacing w:val="-5"/>
          <w:w w:val="120"/>
        </w:rPr>
        <w:t> </w:t>
      </w:r>
      <w:r>
        <w:rPr>
          <w:color w:val="231F20"/>
          <w:spacing w:val="-2"/>
          <w:w w:val="120"/>
        </w:rPr>
        <w:t>autres</w:t>
      </w:r>
      <w:r>
        <w:rPr>
          <w:color w:val="231F20"/>
          <w:spacing w:val="-5"/>
          <w:w w:val="120"/>
        </w:rPr>
        <w:t> </w:t>
      </w:r>
      <w:r>
        <w:rPr>
          <w:color w:val="231F20"/>
          <w:spacing w:val="-2"/>
          <w:w w:val="120"/>
        </w:rPr>
        <w:t>sphères</w:t>
      </w:r>
      <w:r>
        <w:rPr>
          <w:color w:val="231F20"/>
          <w:spacing w:val="-5"/>
          <w:w w:val="120"/>
        </w:rPr>
        <w:t> </w:t>
      </w:r>
      <w:r>
        <w:rPr>
          <w:color w:val="231F20"/>
          <w:spacing w:val="-2"/>
          <w:w w:val="120"/>
        </w:rPr>
        <w:t>d’activités </w:t>
      </w:r>
      <w:r>
        <w:rPr>
          <w:color w:val="231F20"/>
          <w:w w:val="120"/>
        </w:rPr>
        <w:t>ne sont pas exemptes de stress. On peut vivre du stress ayant comme origine notre sphère familiale, notre sphère conjugale ou encore notre sphère sociale. Ainsi, le stress global vécu par une personne est une simple</w:t>
      </w:r>
      <w:r>
        <w:rPr>
          <w:color w:val="231F20"/>
          <w:spacing w:val="-13"/>
          <w:w w:val="120"/>
        </w:rPr>
        <w:t> </w:t>
      </w:r>
      <w:r>
        <w:rPr>
          <w:color w:val="231F20"/>
          <w:w w:val="120"/>
        </w:rPr>
        <w:t>addition</w:t>
      </w:r>
      <w:r>
        <w:rPr>
          <w:color w:val="231F20"/>
          <w:spacing w:val="-13"/>
          <w:w w:val="120"/>
        </w:rPr>
        <w:t> </w:t>
      </w:r>
      <w:r>
        <w:rPr>
          <w:color w:val="231F20"/>
          <w:w w:val="120"/>
        </w:rPr>
        <w:t>de</w:t>
      </w:r>
      <w:r>
        <w:rPr>
          <w:color w:val="231F20"/>
          <w:spacing w:val="-13"/>
          <w:w w:val="120"/>
        </w:rPr>
        <w:t> </w:t>
      </w:r>
      <w:r>
        <w:rPr>
          <w:color w:val="231F20"/>
          <w:w w:val="120"/>
        </w:rPr>
        <w:t>l’ensemble</w:t>
      </w:r>
      <w:r>
        <w:rPr>
          <w:color w:val="231F20"/>
          <w:spacing w:val="-12"/>
          <w:w w:val="120"/>
        </w:rPr>
        <w:t> </w:t>
      </w:r>
      <w:r>
        <w:rPr>
          <w:color w:val="231F20"/>
          <w:w w:val="120"/>
        </w:rPr>
        <w:t>des</w:t>
      </w:r>
      <w:r>
        <w:rPr>
          <w:color w:val="231F20"/>
          <w:spacing w:val="-13"/>
          <w:w w:val="120"/>
        </w:rPr>
        <w:t> </w:t>
      </w:r>
      <w:r>
        <w:rPr>
          <w:color w:val="231F20"/>
          <w:w w:val="120"/>
        </w:rPr>
        <w:t>stresseurs</w:t>
      </w:r>
      <w:r>
        <w:rPr>
          <w:color w:val="231F20"/>
          <w:spacing w:val="-13"/>
          <w:w w:val="120"/>
        </w:rPr>
        <w:t> </w:t>
      </w:r>
      <w:r>
        <w:rPr>
          <w:color w:val="231F20"/>
          <w:w w:val="120"/>
        </w:rPr>
        <w:t>auxquels</w:t>
      </w:r>
      <w:r>
        <w:rPr>
          <w:color w:val="231F20"/>
          <w:spacing w:val="-13"/>
          <w:w w:val="120"/>
        </w:rPr>
        <w:t> </w:t>
      </w:r>
      <w:r>
        <w:rPr>
          <w:color w:val="231F20"/>
          <w:w w:val="120"/>
        </w:rPr>
        <w:t>il</w:t>
      </w:r>
      <w:r>
        <w:rPr>
          <w:color w:val="231F20"/>
          <w:spacing w:val="-12"/>
          <w:w w:val="120"/>
        </w:rPr>
        <w:t> </w:t>
      </w:r>
      <w:r>
        <w:rPr>
          <w:color w:val="231F20"/>
          <w:w w:val="120"/>
        </w:rPr>
        <w:t>fait</w:t>
      </w:r>
      <w:r>
        <w:rPr>
          <w:color w:val="231F20"/>
          <w:spacing w:val="-13"/>
          <w:w w:val="120"/>
        </w:rPr>
        <w:t> </w:t>
      </w:r>
      <w:r>
        <w:rPr>
          <w:color w:val="231F20"/>
          <w:w w:val="120"/>
        </w:rPr>
        <w:t>face.</w:t>
      </w:r>
      <w:r>
        <w:rPr>
          <w:color w:val="231F20"/>
          <w:spacing w:val="-13"/>
          <w:w w:val="120"/>
        </w:rPr>
        <w:t> </w:t>
      </w:r>
      <w:r>
        <w:rPr>
          <w:color w:val="231F20"/>
          <w:w w:val="120"/>
        </w:rPr>
        <w:t>On</w:t>
      </w:r>
      <w:r>
        <w:rPr>
          <w:color w:val="231F20"/>
          <w:spacing w:val="-13"/>
          <w:w w:val="120"/>
        </w:rPr>
        <w:t> </w:t>
      </w:r>
      <w:r>
        <w:rPr>
          <w:color w:val="231F20"/>
          <w:w w:val="120"/>
        </w:rPr>
        <w:t>ne peut</w:t>
      </w:r>
      <w:r>
        <w:rPr>
          <w:color w:val="231F20"/>
          <w:spacing w:val="-11"/>
          <w:w w:val="120"/>
        </w:rPr>
        <w:t> </w:t>
      </w:r>
      <w:r>
        <w:rPr>
          <w:color w:val="231F20"/>
          <w:w w:val="120"/>
        </w:rPr>
        <w:t>donc</w:t>
      </w:r>
      <w:r>
        <w:rPr>
          <w:color w:val="231F20"/>
          <w:spacing w:val="-11"/>
          <w:w w:val="120"/>
        </w:rPr>
        <w:t> </w:t>
      </w:r>
      <w:r>
        <w:rPr>
          <w:color w:val="231F20"/>
          <w:w w:val="120"/>
        </w:rPr>
        <w:t>pas</w:t>
      </w:r>
      <w:r>
        <w:rPr>
          <w:color w:val="231F20"/>
          <w:spacing w:val="-11"/>
          <w:w w:val="120"/>
        </w:rPr>
        <w:t> </w:t>
      </w:r>
      <w:r>
        <w:rPr>
          <w:color w:val="231F20"/>
          <w:w w:val="120"/>
        </w:rPr>
        <w:t>analyser</w:t>
      </w:r>
      <w:r>
        <w:rPr>
          <w:color w:val="231F20"/>
          <w:spacing w:val="-11"/>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professionnel</w:t>
      </w:r>
      <w:r>
        <w:rPr>
          <w:color w:val="231F20"/>
          <w:spacing w:val="-11"/>
          <w:w w:val="120"/>
        </w:rPr>
        <w:t> </w:t>
      </w:r>
      <w:r>
        <w:rPr>
          <w:color w:val="231F20"/>
          <w:w w:val="120"/>
        </w:rPr>
        <w:t>en</w:t>
      </w:r>
      <w:r>
        <w:rPr>
          <w:color w:val="231F20"/>
          <w:spacing w:val="-11"/>
          <w:w w:val="120"/>
        </w:rPr>
        <w:t> </w:t>
      </w:r>
      <w:r>
        <w:rPr>
          <w:color w:val="231F20"/>
          <w:w w:val="120"/>
        </w:rPr>
        <w:t>vase</w:t>
      </w:r>
      <w:r>
        <w:rPr>
          <w:color w:val="231F20"/>
          <w:spacing w:val="-11"/>
          <w:w w:val="120"/>
        </w:rPr>
        <w:t> </w:t>
      </w:r>
      <w:r>
        <w:rPr>
          <w:color w:val="231F20"/>
          <w:w w:val="120"/>
        </w:rPr>
        <w:t>clos,</w:t>
      </w:r>
      <w:r>
        <w:rPr>
          <w:color w:val="231F20"/>
          <w:spacing w:val="-11"/>
          <w:w w:val="120"/>
        </w:rPr>
        <w:t> </w:t>
      </w:r>
      <w:r>
        <w:rPr>
          <w:color w:val="231F20"/>
          <w:w w:val="120"/>
        </w:rPr>
        <w:t>mais</w:t>
      </w:r>
      <w:r>
        <w:rPr>
          <w:color w:val="231F20"/>
          <w:spacing w:val="-11"/>
          <w:w w:val="120"/>
        </w:rPr>
        <w:t> </w:t>
      </w:r>
      <w:r>
        <w:rPr>
          <w:color w:val="231F20"/>
          <w:w w:val="120"/>
        </w:rPr>
        <w:t>ce</w:t>
      </w:r>
      <w:r>
        <w:rPr>
          <w:color w:val="231F20"/>
          <w:spacing w:val="-11"/>
          <w:w w:val="120"/>
        </w:rPr>
        <w:t> </w:t>
      </w:r>
      <w:r>
        <w:rPr>
          <w:color w:val="231F20"/>
          <w:w w:val="120"/>
        </w:rPr>
        <w:t>der- nier</w:t>
      </w:r>
      <w:r>
        <w:rPr>
          <w:color w:val="231F20"/>
          <w:spacing w:val="-5"/>
          <w:w w:val="120"/>
        </w:rPr>
        <w:t> </w:t>
      </w:r>
      <w:r>
        <w:rPr>
          <w:color w:val="231F20"/>
          <w:w w:val="120"/>
        </w:rPr>
        <w:t>se</w:t>
      </w:r>
      <w:r>
        <w:rPr>
          <w:color w:val="231F20"/>
          <w:spacing w:val="-5"/>
          <w:w w:val="120"/>
        </w:rPr>
        <w:t> </w:t>
      </w:r>
      <w:r>
        <w:rPr>
          <w:color w:val="231F20"/>
          <w:w w:val="120"/>
        </w:rPr>
        <w:t>doit</w:t>
      </w:r>
      <w:r>
        <w:rPr>
          <w:color w:val="231F20"/>
          <w:spacing w:val="-5"/>
          <w:w w:val="120"/>
        </w:rPr>
        <w:t> </w:t>
      </w:r>
      <w:r>
        <w:rPr>
          <w:color w:val="231F20"/>
          <w:w w:val="120"/>
        </w:rPr>
        <w:t>d’être</w:t>
      </w:r>
      <w:r>
        <w:rPr>
          <w:color w:val="231F20"/>
          <w:spacing w:val="-5"/>
          <w:w w:val="120"/>
        </w:rPr>
        <w:t> </w:t>
      </w:r>
      <w:r>
        <w:rPr>
          <w:color w:val="231F20"/>
          <w:w w:val="120"/>
        </w:rPr>
        <w:t>considéré</w:t>
      </w:r>
      <w:r>
        <w:rPr>
          <w:color w:val="231F20"/>
          <w:spacing w:val="-5"/>
          <w:w w:val="120"/>
        </w:rPr>
        <w:t> </w:t>
      </w:r>
      <w:r>
        <w:rPr>
          <w:color w:val="231F20"/>
          <w:w w:val="120"/>
        </w:rPr>
        <w:t>en</w:t>
      </w:r>
      <w:r>
        <w:rPr>
          <w:color w:val="231F20"/>
          <w:spacing w:val="-5"/>
          <w:w w:val="120"/>
        </w:rPr>
        <w:t> </w:t>
      </w:r>
      <w:r>
        <w:rPr>
          <w:color w:val="231F20"/>
          <w:w w:val="120"/>
        </w:rPr>
        <w:t>fonction</w:t>
      </w:r>
      <w:r>
        <w:rPr>
          <w:color w:val="231F20"/>
          <w:spacing w:val="-5"/>
          <w:w w:val="120"/>
        </w:rPr>
        <w:t> </w:t>
      </w:r>
      <w:r>
        <w:rPr>
          <w:color w:val="231F20"/>
          <w:w w:val="120"/>
        </w:rPr>
        <w:t>des</w:t>
      </w:r>
      <w:r>
        <w:rPr>
          <w:color w:val="231F20"/>
          <w:spacing w:val="-5"/>
          <w:w w:val="120"/>
        </w:rPr>
        <w:t> </w:t>
      </w:r>
      <w:r>
        <w:rPr>
          <w:color w:val="231F20"/>
          <w:w w:val="120"/>
        </w:rPr>
        <w:t>conditions</w:t>
      </w:r>
      <w:r>
        <w:rPr>
          <w:color w:val="231F20"/>
          <w:spacing w:val="-5"/>
          <w:w w:val="120"/>
        </w:rPr>
        <w:t> </w:t>
      </w:r>
      <w:r>
        <w:rPr>
          <w:color w:val="231F20"/>
          <w:w w:val="120"/>
        </w:rPr>
        <w:t>particulières</w:t>
      </w:r>
      <w:r>
        <w:rPr>
          <w:color w:val="231F20"/>
          <w:spacing w:val="-5"/>
          <w:w w:val="120"/>
        </w:rPr>
        <w:t> </w:t>
      </w:r>
      <w:r>
        <w:rPr>
          <w:color w:val="231F20"/>
          <w:w w:val="120"/>
        </w:rPr>
        <w:t>de vie du travailleur. L’organisme ne distingue pas l’origine particulière de la demande adaptative et il réagit indistinctement à la présence de cette</w:t>
      </w:r>
      <w:r>
        <w:rPr>
          <w:color w:val="231F20"/>
          <w:spacing w:val="-13"/>
          <w:w w:val="120"/>
        </w:rPr>
        <w:t> </w:t>
      </w:r>
      <w:r>
        <w:rPr>
          <w:color w:val="231F20"/>
          <w:w w:val="120"/>
        </w:rPr>
        <w:t>dernière.</w:t>
      </w:r>
    </w:p>
    <w:p>
      <w:pPr>
        <w:pStyle w:val="BodyText"/>
        <w:spacing w:line="307" w:lineRule="auto" w:before="78"/>
        <w:ind w:left="1179" w:right="243" w:firstLine="250"/>
        <w:jc w:val="both"/>
      </w:pPr>
      <w:r>
        <w:rPr>
          <w:color w:val="231F20"/>
          <w:w w:val="115"/>
        </w:rPr>
        <w:t>On évalue normalement les résultats et l’efficacité d’une organisation d’après</w:t>
      </w:r>
      <w:r>
        <w:rPr>
          <w:color w:val="231F20"/>
          <w:spacing w:val="-1"/>
          <w:w w:val="115"/>
        </w:rPr>
        <w:t> </w:t>
      </w:r>
      <w:r>
        <w:rPr>
          <w:color w:val="231F20"/>
          <w:w w:val="115"/>
        </w:rPr>
        <w:t>ses</w:t>
      </w:r>
      <w:r>
        <w:rPr>
          <w:color w:val="231F20"/>
          <w:spacing w:val="-1"/>
          <w:w w:val="115"/>
        </w:rPr>
        <w:t> </w:t>
      </w:r>
      <w:r>
        <w:rPr>
          <w:color w:val="231F20"/>
          <w:w w:val="115"/>
        </w:rPr>
        <w:t>bénéfices,</w:t>
      </w:r>
      <w:r>
        <w:rPr>
          <w:color w:val="231F20"/>
          <w:spacing w:val="-1"/>
          <w:w w:val="115"/>
        </w:rPr>
        <w:t> </w:t>
      </w:r>
      <w:r>
        <w:rPr>
          <w:color w:val="231F20"/>
          <w:w w:val="115"/>
        </w:rPr>
        <w:t>sa</w:t>
      </w:r>
      <w:r>
        <w:rPr>
          <w:color w:val="231F20"/>
          <w:spacing w:val="-1"/>
          <w:w w:val="115"/>
        </w:rPr>
        <w:t> </w:t>
      </w:r>
      <w:r>
        <w:rPr>
          <w:color w:val="231F20"/>
          <w:w w:val="115"/>
        </w:rPr>
        <w:t>position</w:t>
      </w:r>
      <w:r>
        <w:rPr>
          <w:color w:val="231F20"/>
          <w:spacing w:val="-1"/>
          <w:w w:val="115"/>
        </w:rPr>
        <w:t> </w:t>
      </w:r>
      <w:r>
        <w:rPr>
          <w:color w:val="231F20"/>
          <w:w w:val="115"/>
        </w:rPr>
        <w:t>sur</w:t>
      </w:r>
      <w:r>
        <w:rPr>
          <w:color w:val="231F20"/>
          <w:spacing w:val="-1"/>
          <w:w w:val="115"/>
        </w:rPr>
        <w:t> </w:t>
      </w:r>
      <w:r>
        <w:rPr>
          <w:color w:val="231F20"/>
          <w:w w:val="115"/>
        </w:rPr>
        <w:t>le</w:t>
      </w:r>
      <w:r>
        <w:rPr>
          <w:color w:val="231F20"/>
          <w:spacing w:val="-1"/>
          <w:w w:val="115"/>
        </w:rPr>
        <w:t> </w:t>
      </w:r>
      <w:r>
        <w:rPr>
          <w:color w:val="231F20"/>
          <w:w w:val="115"/>
        </w:rPr>
        <w:t>marché,</w:t>
      </w:r>
      <w:r>
        <w:rPr>
          <w:color w:val="231F20"/>
          <w:spacing w:val="-1"/>
          <w:w w:val="115"/>
        </w:rPr>
        <w:t> </w:t>
      </w:r>
      <w:r>
        <w:rPr>
          <w:color w:val="231F20"/>
          <w:w w:val="115"/>
        </w:rPr>
        <w:t>la</w:t>
      </w:r>
      <w:r>
        <w:rPr>
          <w:color w:val="231F20"/>
          <w:spacing w:val="-1"/>
          <w:w w:val="115"/>
        </w:rPr>
        <w:t> </w:t>
      </w:r>
      <w:r>
        <w:rPr>
          <w:color w:val="231F20"/>
          <w:w w:val="115"/>
        </w:rPr>
        <w:t>qualité</w:t>
      </w:r>
      <w:r>
        <w:rPr>
          <w:color w:val="231F20"/>
          <w:spacing w:val="-1"/>
          <w:w w:val="115"/>
        </w:rPr>
        <w:t> </w:t>
      </w:r>
      <w:r>
        <w:rPr>
          <w:color w:val="231F20"/>
          <w:w w:val="115"/>
        </w:rPr>
        <w:t>de</w:t>
      </w:r>
      <w:r>
        <w:rPr>
          <w:color w:val="231F20"/>
          <w:spacing w:val="-1"/>
          <w:w w:val="115"/>
        </w:rPr>
        <w:t> </w:t>
      </w:r>
      <w:r>
        <w:rPr>
          <w:color w:val="231F20"/>
          <w:w w:val="115"/>
        </w:rPr>
        <w:t>ses</w:t>
      </w:r>
      <w:r>
        <w:rPr>
          <w:color w:val="231F20"/>
          <w:spacing w:val="-1"/>
          <w:w w:val="115"/>
        </w:rPr>
        <w:t> </w:t>
      </w:r>
      <w:r>
        <w:rPr>
          <w:color w:val="231F20"/>
          <w:w w:val="115"/>
        </w:rPr>
        <w:t>produits </w:t>
      </w:r>
      <w:r>
        <w:rPr>
          <w:color w:val="231F20"/>
          <w:w w:val="120"/>
        </w:rPr>
        <w:t>et</w:t>
      </w:r>
      <w:r>
        <w:rPr>
          <w:color w:val="231F20"/>
          <w:spacing w:val="-6"/>
          <w:w w:val="120"/>
        </w:rPr>
        <w:t> </w:t>
      </w:r>
      <w:r>
        <w:rPr>
          <w:color w:val="231F20"/>
          <w:w w:val="120"/>
        </w:rPr>
        <w:t>de</w:t>
      </w:r>
      <w:r>
        <w:rPr>
          <w:color w:val="231F20"/>
          <w:spacing w:val="-6"/>
          <w:w w:val="120"/>
        </w:rPr>
        <w:t> </w:t>
      </w:r>
      <w:r>
        <w:rPr>
          <w:color w:val="231F20"/>
          <w:w w:val="120"/>
        </w:rPr>
        <w:t>ses</w:t>
      </w:r>
      <w:r>
        <w:rPr>
          <w:color w:val="231F20"/>
          <w:spacing w:val="-6"/>
          <w:w w:val="120"/>
        </w:rPr>
        <w:t> </w:t>
      </w:r>
      <w:r>
        <w:rPr>
          <w:color w:val="231F20"/>
          <w:w w:val="120"/>
        </w:rPr>
        <w:t>services,</w:t>
      </w:r>
      <w:r>
        <w:rPr>
          <w:color w:val="231F20"/>
          <w:spacing w:val="-6"/>
          <w:w w:val="120"/>
        </w:rPr>
        <w:t> </w:t>
      </w:r>
      <w:r>
        <w:rPr>
          <w:color w:val="231F20"/>
          <w:w w:val="120"/>
        </w:rPr>
        <w:t>et</w:t>
      </w:r>
      <w:r>
        <w:rPr>
          <w:color w:val="231F20"/>
          <w:spacing w:val="-6"/>
          <w:w w:val="120"/>
        </w:rPr>
        <w:t> </w:t>
      </w:r>
      <w:r>
        <w:rPr>
          <w:color w:val="231F20"/>
          <w:w w:val="120"/>
        </w:rPr>
        <w:t>ses</w:t>
      </w:r>
      <w:r>
        <w:rPr>
          <w:color w:val="231F20"/>
          <w:spacing w:val="-6"/>
          <w:w w:val="120"/>
        </w:rPr>
        <w:t> </w:t>
      </w:r>
      <w:r>
        <w:rPr>
          <w:color w:val="231F20"/>
          <w:w w:val="120"/>
        </w:rPr>
        <w:t>perspectives</w:t>
      </w:r>
      <w:r>
        <w:rPr>
          <w:color w:val="231F20"/>
          <w:spacing w:val="-6"/>
          <w:w w:val="120"/>
        </w:rPr>
        <w:t> </w:t>
      </w:r>
      <w:r>
        <w:rPr>
          <w:color w:val="231F20"/>
          <w:w w:val="120"/>
        </w:rPr>
        <w:t>concurrentielles</w:t>
      </w:r>
      <w:r>
        <w:rPr>
          <w:color w:val="231F20"/>
          <w:spacing w:val="-6"/>
          <w:w w:val="120"/>
        </w:rPr>
        <w:t> </w:t>
      </w:r>
      <w:r>
        <w:rPr>
          <w:color w:val="231F20"/>
          <w:w w:val="120"/>
        </w:rPr>
        <w:t>à</w:t>
      </w:r>
      <w:r>
        <w:rPr>
          <w:color w:val="231F20"/>
          <w:spacing w:val="-6"/>
          <w:w w:val="120"/>
        </w:rPr>
        <w:t> </w:t>
      </w:r>
      <w:r>
        <w:rPr>
          <w:color w:val="231F20"/>
          <w:w w:val="120"/>
        </w:rPr>
        <w:t>moyen</w:t>
      </w:r>
      <w:r>
        <w:rPr>
          <w:color w:val="231F20"/>
          <w:spacing w:val="-6"/>
          <w:w w:val="120"/>
        </w:rPr>
        <w:t> </w:t>
      </w:r>
      <w:r>
        <w:rPr>
          <w:color w:val="231F20"/>
          <w:w w:val="120"/>
        </w:rPr>
        <w:t>ou</w:t>
      </w:r>
      <w:r>
        <w:rPr>
          <w:color w:val="231F20"/>
          <w:spacing w:val="-6"/>
          <w:w w:val="120"/>
        </w:rPr>
        <w:t> </w:t>
      </w:r>
      <w:r>
        <w:rPr>
          <w:color w:val="231F20"/>
          <w:w w:val="120"/>
        </w:rPr>
        <w:t>long terme. Le bien-être et les problèmes de santé des travailleurs ne sont généralement pas considérés, ne serait-ce qu’en partie, comme des extrants organisationnels. Or, dans un contexte où la qualité des res- sources humaines disponibles constitue un avantage concurrentiel pri- mordial,</w:t>
      </w:r>
      <w:r>
        <w:rPr>
          <w:color w:val="231F20"/>
          <w:spacing w:val="-13"/>
          <w:w w:val="120"/>
        </w:rPr>
        <w:t> </w:t>
      </w:r>
      <w:r>
        <w:rPr>
          <w:color w:val="231F20"/>
          <w:w w:val="120"/>
        </w:rPr>
        <w:t>l’offre</w:t>
      </w:r>
      <w:r>
        <w:rPr>
          <w:color w:val="231F20"/>
          <w:spacing w:val="-13"/>
          <w:w w:val="120"/>
        </w:rPr>
        <w:t> </w:t>
      </w:r>
      <w:r>
        <w:rPr>
          <w:color w:val="231F20"/>
          <w:w w:val="120"/>
        </w:rPr>
        <w:t>d’une</w:t>
      </w:r>
      <w:r>
        <w:rPr>
          <w:color w:val="231F20"/>
          <w:spacing w:val="-13"/>
          <w:w w:val="120"/>
        </w:rPr>
        <w:t> </w:t>
      </w:r>
      <w:r>
        <w:rPr>
          <w:color w:val="231F20"/>
          <w:w w:val="120"/>
        </w:rPr>
        <w:t>qualité</w:t>
      </w:r>
      <w:r>
        <w:rPr>
          <w:color w:val="231F20"/>
          <w:spacing w:val="-12"/>
          <w:w w:val="120"/>
        </w:rPr>
        <w:t> </w:t>
      </w:r>
      <w:r>
        <w:rPr>
          <w:color w:val="231F20"/>
          <w:w w:val="120"/>
        </w:rPr>
        <w:t>de</w:t>
      </w:r>
      <w:r>
        <w:rPr>
          <w:color w:val="231F20"/>
          <w:spacing w:val="-13"/>
          <w:w w:val="120"/>
        </w:rPr>
        <w:t> </w:t>
      </w:r>
      <w:r>
        <w:rPr>
          <w:color w:val="231F20"/>
          <w:w w:val="120"/>
        </w:rPr>
        <w:t>vie</w:t>
      </w:r>
      <w:r>
        <w:rPr>
          <w:color w:val="231F20"/>
          <w:spacing w:val="-13"/>
          <w:w w:val="120"/>
        </w:rPr>
        <w:t> </w:t>
      </w:r>
      <w:r>
        <w:rPr>
          <w:color w:val="231F20"/>
          <w:w w:val="120"/>
        </w:rPr>
        <w:t>au</w:t>
      </w:r>
      <w:r>
        <w:rPr>
          <w:color w:val="231F20"/>
          <w:spacing w:val="-13"/>
          <w:w w:val="120"/>
        </w:rPr>
        <w:t> </w:t>
      </w:r>
      <w:r>
        <w:rPr>
          <w:color w:val="231F20"/>
          <w:w w:val="120"/>
        </w:rPr>
        <w:t>travail</w:t>
      </w:r>
      <w:r>
        <w:rPr>
          <w:color w:val="231F20"/>
          <w:spacing w:val="-12"/>
          <w:w w:val="120"/>
        </w:rPr>
        <w:t> </w:t>
      </w:r>
      <w:r>
        <w:rPr>
          <w:color w:val="231F20"/>
          <w:w w:val="120"/>
        </w:rPr>
        <w:t>est</w:t>
      </w:r>
      <w:r>
        <w:rPr>
          <w:color w:val="231F20"/>
          <w:spacing w:val="-13"/>
          <w:w w:val="120"/>
        </w:rPr>
        <w:t> </w:t>
      </w:r>
      <w:r>
        <w:rPr>
          <w:color w:val="231F20"/>
          <w:w w:val="120"/>
        </w:rPr>
        <w:t>un</w:t>
      </w:r>
      <w:r>
        <w:rPr>
          <w:color w:val="231F20"/>
          <w:spacing w:val="-13"/>
          <w:w w:val="120"/>
        </w:rPr>
        <w:t> </w:t>
      </w:r>
      <w:r>
        <w:rPr>
          <w:color w:val="231F20"/>
          <w:w w:val="120"/>
        </w:rPr>
        <w:t>moyen</w:t>
      </w:r>
      <w:r>
        <w:rPr>
          <w:color w:val="231F20"/>
          <w:spacing w:val="-13"/>
          <w:w w:val="120"/>
        </w:rPr>
        <w:t> </w:t>
      </w:r>
      <w:r>
        <w:rPr>
          <w:color w:val="231F20"/>
          <w:w w:val="120"/>
        </w:rPr>
        <w:t>d’optimiser </w:t>
      </w:r>
      <w:r>
        <w:rPr>
          <w:color w:val="231F20"/>
          <w:w w:val="115"/>
        </w:rPr>
        <w:t>l’engagement</w:t>
      </w:r>
      <w:r>
        <w:rPr>
          <w:color w:val="231F20"/>
          <w:spacing w:val="-5"/>
          <w:w w:val="115"/>
        </w:rPr>
        <w:t> </w:t>
      </w:r>
      <w:r>
        <w:rPr>
          <w:color w:val="231F20"/>
          <w:w w:val="115"/>
        </w:rPr>
        <w:t>des</w:t>
      </w:r>
      <w:r>
        <w:rPr>
          <w:color w:val="231F20"/>
          <w:spacing w:val="-5"/>
          <w:w w:val="115"/>
        </w:rPr>
        <w:t> </w:t>
      </w:r>
      <w:r>
        <w:rPr>
          <w:color w:val="231F20"/>
          <w:w w:val="115"/>
        </w:rPr>
        <w:t>employés</w:t>
      </w:r>
      <w:r>
        <w:rPr>
          <w:color w:val="231F20"/>
          <w:spacing w:val="-5"/>
          <w:w w:val="115"/>
        </w:rPr>
        <w:t> </w:t>
      </w:r>
      <w:r>
        <w:rPr>
          <w:color w:val="231F20"/>
          <w:w w:val="115"/>
        </w:rPr>
        <w:t>à</w:t>
      </w:r>
      <w:r>
        <w:rPr>
          <w:color w:val="231F20"/>
          <w:spacing w:val="-5"/>
          <w:w w:val="115"/>
        </w:rPr>
        <w:t> </w:t>
      </w:r>
      <w:r>
        <w:rPr>
          <w:color w:val="231F20"/>
          <w:w w:val="115"/>
        </w:rPr>
        <w:t>assurer</w:t>
      </w:r>
      <w:r>
        <w:rPr>
          <w:color w:val="231F20"/>
          <w:spacing w:val="-5"/>
          <w:w w:val="115"/>
        </w:rPr>
        <w:t> </w:t>
      </w:r>
      <w:r>
        <w:rPr>
          <w:color w:val="231F20"/>
          <w:w w:val="115"/>
        </w:rPr>
        <w:t>l’atteinte</w:t>
      </w:r>
      <w:r>
        <w:rPr>
          <w:color w:val="231F20"/>
          <w:spacing w:val="-5"/>
          <w:w w:val="115"/>
        </w:rPr>
        <w:t> </w:t>
      </w:r>
      <w:r>
        <w:rPr>
          <w:color w:val="231F20"/>
          <w:w w:val="115"/>
        </w:rPr>
        <w:t>de</w:t>
      </w:r>
      <w:r>
        <w:rPr>
          <w:color w:val="231F20"/>
          <w:spacing w:val="-5"/>
          <w:w w:val="115"/>
        </w:rPr>
        <w:t> </w:t>
      </w:r>
      <w:r>
        <w:rPr>
          <w:color w:val="231F20"/>
          <w:w w:val="115"/>
        </w:rPr>
        <w:t>la</w:t>
      </w:r>
      <w:r>
        <w:rPr>
          <w:color w:val="231F20"/>
          <w:spacing w:val="-5"/>
          <w:w w:val="115"/>
        </w:rPr>
        <w:t> </w:t>
      </w:r>
      <w:r>
        <w:rPr>
          <w:color w:val="231F20"/>
          <w:w w:val="115"/>
        </w:rPr>
        <w:t>mission</w:t>
      </w:r>
      <w:r>
        <w:rPr>
          <w:color w:val="231F20"/>
          <w:spacing w:val="-5"/>
          <w:w w:val="115"/>
        </w:rPr>
        <w:t> </w:t>
      </w:r>
      <w:r>
        <w:rPr>
          <w:color w:val="231F20"/>
          <w:w w:val="115"/>
        </w:rPr>
        <w:t>et</w:t>
      </w:r>
      <w:r>
        <w:rPr>
          <w:color w:val="231F20"/>
          <w:spacing w:val="-5"/>
          <w:w w:val="115"/>
        </w:rPr>
        <w:t> </w:t>
      </w:r>
      <w:r>
        <w:rPr>
          <w:color w:val="231F20"/>
          <w:w w:val="115"/>
        </w:rPr>
        <w:t>des</w:t>
      </w:r>
      <w:r>
        <w:rPr>
          <w:color w:val="231F20"/>
          <w:spacing w:val="-5"/>
          <w:w w:val="115"/>
        </w:rPr>
        <w:t> </w:t>
      </w:r>
      <w:r>
        <w:rPr>
          <w:color w:val="231F20"/>
          <w:w w:val="115"/>
        </w:rPr>
        <w:t>objec- </w:t>
      </w:r>
      <w:r>
        <w:rPr>
          <w:color w:val="231F20"/>
          <w:w w:val="120"/>
        </w:rPr>
        <w:t>tifs</w:t>
      </w:r>
      <w:r>
        <w:rPr>
          <w:color w:val="231F20"/>
          <w:spacing w:val="-13"/>
          <w:w w:val="120"/>
        </w:rPr>
        <w:t> </w:t>
      </w:r>
      <w:r>
        <w:rPr>
          <w:color w:val="231F20"/>
          <w:w w:val="120"/>
        </w:rPr>
        <w:t>de</w:t>
      </w:r>
      <w:r>
        <w:rPr>
          <w:color w:val="231F20"/>
          <w:spacing w:val="-13"/>
          <w:w w:val="120"/>
        </w:rPr>
        <w:t> </w:t>
      </w:r>
      <w:r>
        <w:rPr>
          <w:color w:val="231F20"/>
          <w:w w:val="120"/>
        </w:rPr>
        <w:t>l’organisation.</w:t>
      </w:r>
      <w:r>
        <w:rPr>
          <w:color w:val="231F20"/>
          <w:spacing w:val="-13"/>
          <w:w w:val="120"/>
        </w:rPr>
        <w:t> </w:t>
      </w:r>
      <w:r>
        <w:rPr>
          <w:color w:val="231F20"/>
          <w:w w:val="120"/>
        </w:rPr>
        <w:t>Dans</w:t>
      </w:r>
      <w:r>
        <w:rPr>
          <w:color w:val="231F20"/>
          <w:spacing w:val="-12"/>
          <w:w w:val="120"/>
        </w:rPr>
        <w:t> </w:t>
      </w:r>
      <w:r>
        <w:rPr>
          <w:color w:val="231F20"/>
          <w:w w:val="120"/>
        </w:rPr>
        <w:t>cette</w:t>
      </w:r>
      <w:r>
        <w:rPr>
          <w:color w:val="231F20"/>
          <w:spacing w:val="-13"/>
          <w:w w:val="120"/>
        </w:rPr>
        <w:t> </w:t>
      </w:r>
      <w:r>
        <w:rPr>
          <w:color w:val="231F20"/>
          <w:w w:val="120"/>
        </w:rPr>
        <w:t>logique,</w:t>
      </w:r>
      <w:r>
        <w:rPr>
          <w:color w:val="231F20"/>
          <w:spacing w:val="-13"/>
          <w:w w:val="120"/>
        </w:rPr>
        <w:t> </w:t>
      </w:r>
      <w:r>
        <w:rPr>
          <w:color w:val="231F20"/>
          <w:w w:val="120"/>
        </w:rPr>
        <w:t>force</w:t>
      </w:r>
      <w:r>
        <w:rPr>
          <w:color w:val="231F20"/>
          <w:spacing w:val="-13"/>
          <w:w w:val="120"/>
        </w:rPr>
        <w:t> </w:t>
      </w:r>
      <w:r>
        <w:rPr>
          <w:color w:val="231F20"/>
          <w:w w:val="120"/>
        </w:rPr>
        <w:t>est</w:t>
      </w:r>
      <w:r>
        <w:rPr>
          <w:color w:val="231F20"/>
          <w:spacing w:val="-12"/>
          <w:w w:val="120"/>
        </w:rPr>
        <w:t> </w:t>
      </w:r>
      <w:r>
        <w:rPr>
          <w:color w:val="231F20"/>
          <w:w w:val="120"/>
        </w:rPr>
        <w:t>de</w:t>
      </w:r>
      <w:r>
        <w:rPr>
          <w:color w:val="231F20"/>
          <w:spacing w:val="-13"/>
          <w:w w:val="120"/>
        </w:rPr>
        <w:t> </w:t>
      </w:r>
      <w:r>
        <w:rPr>
          <w:color w:val="231F20"/>
          <w:w w:val="120"/>
        </w:rPr>
        <w:t>reconnaître</w:t>
      </w:r>
      <w:r>
        <w:rPr>
          <w:color w:val="231F20"/>
          <w:spacing w:val="-13"/>
          <w:w w:val="120"/>
        </w:rPr>
        <w:t> </w:t>
      </w:r>
      <w:r>
        <w:rPr>
          <w:color w:val="231F20"/>
          <w:w w:val="120"/>
        </w:rPr>
        <w:t>que</w:t>
      </w:r>
      <w:r>
        <w:rPr>
          <w:color w:val="231F20"/>
          <w:spacing w:val="-13"/>
          <w:w w:val="120"/>
        </w:rPr>
        <w:t> </w:t>
      </w:r>
      <w:r>
        <w:rPr>
          <w:color w:val="231F20"/>
          <w:w w:val="120"/>
        </w:rPr>
        <w:t>le stress</w:t>
      </w:r>
      <w:r>
        <w:rPr>
          <w:color w:val="231F20"/>
          <w:spacing w:val="-9"/>
          <w:w w:val="120"/>
        </w:rPr>
        <w:t> </w:t>
      </w:r>
      <w:r>
        <w:rPr>
          <w:color w:val="231F20"/>
          <w:w w:val="120"/>
        </w:rPr>
        <w:t>au</w:t>
      </w:r>
      <w:r>
        <w:rPr>
          <w:color w:val="231F20"/>
          <w:spacing w:val="-9"/>
          <w:w w:val="120"/>
        </w:rPr>
        <w:t> </w:t>
      </w:r>
      <w:r>
        <w:rPr>
          <w:color w:val="231F20"/>
          <w:w w:val="120"/>
        </w:rPr>
        <w:t>travail</w:t>
      </w:r>
      <w:r>
        <w:rPr>
          <w:color w:val="231F20"/>
          <w:spacing w:val="-9"/>
          <w:w w:val="120"/>
        </w:rPr>
        <w:t> </w:t>
      </w:r>
      <w:r>
        <w:rPr>
          <w:color w:val="231F20"/>
          <w:w w:val="120"/>
        </w:rPr>
        <w:t>n’est</w:t>
      </w:r>
      <w:r>
        <w:rPr>
          <w:color w:val="231F20"/>
          <w:spacing w:val="-9"/>
          <w:w w:val="120"/>
        </w:rPr>
        <w:t> </w:t>
      </w:r>
      <w:r>
        <w:rPr>
          <w:color w:val="231F20"/>
          <w:w w:val="120"/>
        </w:rPr>
        <w:t>pas</w:t>
      </w:r>
      <w:r>
        <w:rPr>
          <w:color w:val="231F20"/>
          <w:spacing w:val="-9"/>
          <w:w w:val="120"/>
        </w:rPr>
        <w:t> </w:t>
      </w:r>
      <w:r>
        <w:rPr>
          <w:color w:val="231F20"/>
          <w:w w:val="120"/>
        </w:rPr>
        <w:t>un</w:t>
      </w:r>
      <w:r>
        <w:rPr>
          <w:color w:val="231F20"/>
          <w:spacing w:val="-9"/>
          <w:w w:val="120"/>
        </w:rPr>
        <w:t> </w:t>
      </w:r>
      <w:r>
        <w:rPr>
          <w:color w:val="231F20"/>
          <w:w w:val="120"/>
        </w:rPr>
        <w:t>gage</w:t>
      </w:r>
      <w:r>
        <w:rPr>
          <w:color w:val="231F20"/>
          <w:spacing w:val="-9"/>
          <w:w w:val="120"/>
        </w:rPr>
        <w:t> </w:t>
      </w:r>
      <w:r>
        <w:rPr>
          <w:color w:val="231F20"/>
          <w:w w:val="120"/>
        </w:rPr>
        <w:t>de</w:t>
      </w:r>
      <w:r>
        <w:rPr>
          <w:color w:val="231F20"/>
          <w:spacing w:val="-9"/>
          <w:w w:val="120"/>
        </w:rPr>
        <w:t> </w:t>
      </w:r>
      <w:r>
        <w:rPr>
          <w:color w:val="231F20"/>
          <w:w w:val="120"/>
        </w:rPr>
        <w:t>performance</w:t>
      </w:r>
      <w:r>
        <w:rPr>
          <w:color w:val="231F20"/>
          <w:spacing w:val="-9"/>
          <w:w w:val="120"/>
        </w:rPr>
        <w:t> </w:t>
      </w:r>
      <w:r>
        <w:rPr>
          <w:color w:val="231F20"/>
          <w:w w:val="120"/>
        </w:rPr>
        <w:t>organisationnelle,</w:t>
      </w:r>
      <w:r>
        <w:rPr>
          <w:color w:val="231F20"/>
          <w:spacing w:val="-9"/>
          <w:w w:val="120"/>
        </w:rPr>
        <w:t> </w:t>
      </w:r>
      <w:r>
        <w:rPr>
          <w:color w:val="231F20"/>
          <w:w w:val="120"/>
        </w:rPr>
        <w:t>en fait, c’est souvent le contraire3</w:t>
      </w:r>
      <w:r>
        <w:rPr>
          <w:color w:val="231F20"/>
          <w:spacing w:val="-28"/>
          <w:w w:val="120"/>
        </w:rPr>
        <w:t> </w:t>
      </w:r>
      <w:r>
        <w:rPr>
          <w:color w:val="231F20"/>
          <w:w w:val="110"/>
        </w:rPr>
        <w:t>!</w:t>
      </w:r>
    </w:p>
    <w:p>
      <w:pPr>
        <w:pStyle w:val="BodyText"/>
        <w:rPr>
          <w:sz w:val="24"/>
        </w:rPr>
      </w:pPr>
    </w:p>
    <w:p>
      <w:pPr>
        <w:spacing w:before="182"/>
        <w:ind w:left="1179" w:right="0" w:firstLine="0"/>
        <w:jc w:val="left"/>
        <w:rPr>
          <w:rFonts w:ascii="Arial" w:hAnsi="Arial"/>
          <w:b/>
          <w:sz w:val="17"/>
        </w:rPr>
      </w:pPr>
      <w:r>
        <w:rPr/>
        <w:pict>
          <v:shape style="position:absolute;margin-left:82pt;margin-top:21.126398pt;width:287.5pt;height:.1pt;mso-position-horizontal-relative:page;mso-position-vertical-relative:paragraph;z-index:-15704064;mso-wrap-distance-left:0;mso-wrap-distance-right:0" id="docshape150" coordorigin="1640,423" coordsize="5750,0" path="m1640,423l7390,423e" filled="false" stroked="true" strokeweight=".25pt" strokecolor="#231f20">
            <v:path arrowok="t"/>
            <v:stroke dashstyle="shortdot"/>
            <w10:wrap type="topAndBottom"/>
          </v:shape>
        </w:pict>
      </w:r>
      <w:r>
        <w:rPr>
          <w:rFonts w:ascii="Arial" w:hAnsi="Arial"/>
          <w:color w:val="231F20"/>
          <w:sz w:val="17"/>
        </w:rPr>
        <w:t>Matière</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réFlexion</w:t>
      </w:r>
      <w:r>
        <w:rPr>
          <w:rFonts w:ascii="Arial" w:hAnsi="Arial"/>
          <w:color w:val="231F20"/>
          <w:spacing w:val="-13"/>
          <w:sz w:val="17"/>
        </w:rPr>
        <w:t> </w:t>
      </w:r>
      <w:r>
        <w:rPr>
          <w:rFonts w:ascii="Arial" w:hAnsi="Arial"/>
          <w:i/>
          <w:color w:val="231F20"/>
          <w:sz w:val="17"/>
        </w:rPr>
        <w:t>/</w:t>
      </w:r>
      <w:r>
        <w:rPr>
          <w:rFonts w:ascii="Arial" w:hAnsi="Arial"/>
          <w:i/>
          <w:color w:val="231F20"/>
          <w:spacing w:val="45"/>
          <w:sz w:val="17"/>
        </w:rPr>
        <w:t> </w:t>
      </w:r>
      <w:r>
        <w:rPr>
          <w:rFonts w:ascii="Arial" w:hAnsi="Arial"/>
          <w:b/>
          <w:color w:val="231F20"/>
          <w:sz w:val="17"/>
        </w:rPr>
        <w:t>L’Organisation</w:t>
      </w:r>
      <w:r>
        <w:rPr>
          <w:rFonts w:ascii="Arial" w:hAnsi="Arial"/>
          <w:b/>
          <w:color w:val="231F20"/>
          <w:spacing w:val="-6"/>
          <w:sz w:val="17"/>
        </w:rPr>
        <w:t> </w:t>
      </w:r>
      <w:r>
        <w:rPr>
          <w:rFonts w:ascii="Arial" w:hAnsi="Arial"/>
          <w:b/>
          <w:color w:val="231F20"/>
          <w:sz w:val="17"/>
        </w:rPr>
        <w:t>internationale</w:t>
      </w:r>
      <w:r>
        <w:rPr>
          <w:rFonts w:ascii="Arial" w:hAnsi="Arial"/>
          <w:b/>
          <w:color w:val="231F20"/>
          <w:spacing w:val="-6"/>
          <w:sz w:val="17"/>
        </w:rPr>
        <w:t> </w:t>
      </w:r>
      <w:r>
        <w:rPr>
          <w:rFonts w:ascii="Arial" w:hAnsi="Arial"/>
          <w:b/>
          <w:color w:val="231F20"/>
          <w:sz w:val="17"/>
        </w:rPr>
        <w:t>du</w:t>
      </w:r>
      <w:r>
        <w:rPr>
          <w:rFonts w:ascii="Arial" w:hAnsi="Arial"/>
          <w:b/>
          <w:color w:val="231F20"/>
          <w:spacing w:val="-6"/>
          <w:sz w:val="17"/>
        </w:rPr>
        <w:t> </w:t>
      </w:r>
      <w:r>
        <w:rPr>
          <w:rFonts w:ascii="Arial" w:hAnsi="Arial"/>
          <w:b/>
          <w:color w:val="231F20"/>
          <w:sz w:val="17"/>
        </w:rPr>
        <w:t>travail</w:t>
      </w:r>
      <w:r>
        <w:rPr>
          <w:rFonts w:ascii="Arial" w:hAnsi="Arial"/>
          <w:b/>
          <w:color w:val="231F20"/>
          <w:spacing w:val="-7"/>
          <w:sz w:val="17"/>
        </w:rPr>
        <w:t> </w:t>
      </w:r>
      <w:r>
        <w:rPr>
          <w:rFonts w:ascii="Arial" w:hAnsi="Arial"/>
          <w:b/>
          <w:color w:val="231F20"/>
          <w:sz w:val="17"/>
        </w:rPr>
        <w:t>et</w:t>
      </w:r>
      <w:r>
        <w:rPr>
          <w:rFonts w:ascii="Arial" w:hAnsi="Arial"/>
          <w:b/>
          <w:color w:val="231F20"/>
          <w:spacing w:val="-6"/>
          <w:sz w:val="17"/>
        </w:rPr>
        <w:t> </w:t>
      </w:r>
      <w:r>
        <w:rPr>
          <w:rFonts w:ascii="Arial" w:hAnsi="Arial"/>
          <w:b/>
          <w:color w:val="231F20"/>
          <w:sz w:val="17"/>
        </w:rPr>
        <w:t>le</w:t>
      </w:r>
      <w:r>
        <w:rPr>
          <w:rFonts w:ascii="Arial" w:hAnsi="Arial"/>
          <w:b/>
          <w:color w:val="231F20"/>
          <w:spacing w:val="-6"/>
          <w:sz w:val="17"/>
        </w:rPr>
        <w:t> </w:t>
      </w:r>
      <w:r>
        <w:rPr>
          <w:rFonts w:ascii="Arial" w:hAnsi="Arial"/>
          <w:b/>
          <w:color w:val="231F20"/>
          <w:spacing w:val="-2"/>
          <w:sz w:val="17"/>
        </w:rPr>
        <w:t>stress</w:t>
      </w:r>
    </w:p>
    <w:p>
      <w:pPr>
        <w:pStyle w:val="BodyText"/>
        <w:spacing w:before="3"/>
        <w:rPr>
          <w:rFonts w:ascii="Arial"/>
          <w:b/>
          <w:sz w:val="22"/>
        </w:rPr>
      </w:pPr>
    </w:p>
    <w:p>
      <w:pPr>
        <w:pStyle w:val="BodyText"/>
        <w:spacing w:line="307" w:lineRule="auto" w:before="1"/>
        <w:ind w:left="1179" w:right="497"/>
        <w:jc w:val="both"/>
        <w:rPr>
          <w:rFonts w:ascii="Arial" w:hAnsi="Arial"/>
        </w:rPr>
      </w:pPr>
      <w:r>
        <w:rPr>
          <w:rFonts w:ascii="Arial" w:hAnsi="Arial"/>
          <w:color w:val="231F20"/>
        </w:rPr>
        <w:t>Voici en quels termes l’Organisation internationale du travail (OIT) décrit le stress professionnel:</w:t>
      </w:r>
    </w:p>
    <w:p>
      <w:pPr>
        <w:pStyle w:val="BodyText"/>
        <w:spacing w:line="307" w:lineRule="auto" w:before="79"/>
        <w:ind w:left="1179" w:right="494"/>
        <w:jc w:val="both"/>
        <w:rPr>
          <w:rFonts w:ascii="Arial" w:hAnsi="Arial"/>
        </w:rPr>
      </w:pPr>
      <w:r>
        <w:rPr>
          <w:rFonts w:ascii="Arial" w:hAnsi="Arial"/>
          <w:color w:val="231F20"/>
        </w:rPr>
        <w:t>«</w:t>
      </w:r>
      <w:r>
        <w:rPr>
          <w:rFonts w:ascii="Arial" w:hAnsi="Arial"/>
          <w:color w:val="231F20"/>
          <w:spacing w:val="-12"/>
        </w:rPr>
        <w:t> </w:t>
      </w:r>
      <w:r>
        <w:rPr>
          <w:rFonts w:ascii="Arial" w:hAnsi="Arial"/>
          <w:color w:val="231F20"/>
        </w:rPr>
        <w:t>Cette</w:t>
      </w:r>
      <w:r>
        <w:rPr>
          <w:rFonts w:ascii="Arial" w:hAnsi="Arial"/>
          <w:color w:val="231F20"/>
          <w:spacing w:val="-12"/>
        </w:rPr>
        <w:t> </w:t>
      </w:r>
      <w:r>
        <w:rPr>
          <w:rFonts w:ascii="Arial" w:hAnsi="Arial"/>
          <w:color w:val="231F20"/>
        </w:rPr>
        <w:t>maladie</w:t>
      </w:r>
      <w:r>
        <w:rPr>
          <w:rFonts w:ascii="Arial" w:hAnsi="Arial"/>
          <w:color w:val="231F20"/>
          <w:spacing w:val="-12"/>
        </w:rPr>
        <w:t> </w:t>
      </w:r>
      <w:r>
        <w:rPr>
          <w:rFonts w:ascii="Arial" w:hAnsi="Arial"/>
          <w:color w:val="231F20"/>
        </w:rPr>
        <w:t>représente</w:t>
      </w:r>
      <w:r>
        <w:rPr>
          <w:rFonts w:ascii="Arial" w:hAnsi="Arial"/>
          <w:color w:val="231F20"/>
          <w:spacing w:val="-12"/>
        </w:rPr>
        <w:t> </w:t>
      </w:r>
      <w:r>
        <w:rPr>
          <w:rFonts w:ascii="Arial" w:hAnsi="Arial"/>
          <w:color w:val="231F20"/>
        </w:rPr>
        <w:t>un</w:t>
      </w:r>
      <w:r>
        <w:rPr>
          <w:rFonts w:ascii="Arial" w:hAnsi="Arial"/>
          <w:color w:val="231F20"/>
          <w:spacing w:val="-12"/>
        </w:rPr>
        <w:t> </w:t>
      </w:r>
      <w:r>
        <w:rPr>
          <w:rFonts w:ascii="Arial" w:hAnsi="Arial"/>
          <w:color w:val="231F20"/>
        </w:rPr>
        <w:t>danger</w:t>
      </w:r>
      <w:r>
        <w:rPr>
          <w:rFonts w:ascii="Arial" w:hAnsi="Arial"/>
          <w:color w:val="231F20"/>
          <w:spacing w:val="-11"/>
        </w:rPr>
        <w:t> </w:t>
      </w:r>
      <w:r>
        <w:rPr>
          <w:rFonts w:ascii="Arial" w:hAnsi="Arial"/>
          <w:color w:val="231F20"/>
        </w:rPr>
        <w:t>pour</w:t>
      </w:r>
      <w:r>
        <w:rPr>
          <w:rFonts w:ascii="Arial" w:hAnsi="Arial"/>
          <w:color w:val="231F20"/>
          <w:spacing w:val="-12"/>
        </w:rPr>
        <w:t> </w:t>
      </w:r>
      <w:r>
        <w:rPr>
          <w:rFonts w:ascii="Arial" w:hAnsi="Arial"/>
          <w:color w:val="231F20"/>
        </w:rPr>
        <w:t>l’économie</w:t>
      </w:r>
      <w:r>
        <w:rPr>
          <w:rFonts w:ascii="Arial" w:hAnsi="Arial"/>
          <w:color w:val="231F20"/>
          <w:spacing w:val="-12"/>
        </w:rPr>
        <w:t> </w:t>
      </w:r>
      <w:r>
        <w:rPr>
          <w:rFonts w:ascii="Arial" w:hAnsi="Arial"/>
          <w:color w:val="231F20"/>
        </w:rPr>
        <w:t>des</w:t>
      </w:r>
      <w:r>
        <w:rPr>
          <w:rFonts w:ascii="Arial" w:hAnsi="Arial"/>
          <w:color w:val="231F20"/>
          <w:spacing w:val="-12"/>
        </w:rPr>
        <w:t> </w:t>
      </w:r>
      <w:r>
        <w:rPr>
          <w:rFonts w:ascii="Arial" w:hAnsi="Arial"/>
          <w:color w:val="231F20"/>
        </w:rPr>
        <w:t>pays</w:t>
      </w:r>
      <w:r>
        <w:rPr>
          <w:rFonts w:ascii="Arial" w:hAnsi="Arial"/>
          <w:color w:val="231F20"/>
          <w:spacing w:val="-12"/>
        </w:rPr>
        <w:t> </w:t>
      </w:r>
      <w:r>
        <w:rPr>
          <w:rFonts w:ascii="Arial" w:hAnsi="Arial"/>
          <w:color w:val="231F20"/>
        </w:rPr>
        <w:t>industria- lisés et en développement. La productivité est compromise par les effets </w:t>
      </w:r>
      <w:r>
        <w:rPr>
          <w:rFonts w:ascii="Arial" w:hAnsi="Arial"/>
          <w:color w:val="231F20"/>
          <w:spacing w:val="-2"/>
        </w:rPr>
        <w:t>du</w:t>
      </w:r>
      <w:r>
        <w:rPr>
          <w:rFonts w:ascii="Arial" w:hAnsi="Arial"/>
          <w:color w:val="231F20"/>
          <w:spacing w:val="-4"/>
        </w:rPr>
        <w:t> </w:t>
      </w:r>
      <w:r>
        <w:rPr>
          <w:rFonts w:ascii="Arial" w:hAnsi="Arial"/>
          <w:color w:val="231F20"/>
          <w:spacing w:val="-2"/>
        </w:rPr>
        <w:t>stress</w:t>
      </w:r>
      <w:r>
        <w:rPr>
          <w:rFonts w:ascii="Arial" w:hAnsi="Arial"/>
          <w:color w:val="231F20"/>
          <w:spacing w:val="-4"/>
        </w:rPr>
        <w:t> </w:t>
      </w:r>
      <w:r>
        <w:rPr>
          <w:rFonts w:ascii="Arial" w:hAnsi="Arial"/>
          <w:color w:val="231F20"/>
          <w:spacing w:val="-2"/>
        </w:rPr>
        <w:t>sur</w:t>
      </w:r>
      <w:r>
        <w:rPr>
          <w:rFonts w:ascii="Arial" w:hAnsi="Arial"/>
          <w:color w:val="231F20"/>
          <w:spacing w:val="-4"/>
        </w:rPr>
        <w:t> </w:t>
      </w:r>
      <w:r>
        <w:rPr>
          <w:rFonts w:ascii="Arial" w:hAnsi="Arial"/>
          <w:color w:val="231F20"/>
          <w:spacing w:val="-2"/>
        </w:rPr>
        <w:t>la</w:t>
      </w:r>
      <w:r>
        <w:rPr>
          <w:rFonts w:ascii="Arial" w:hAnsi="Arial"/>
          <w:color w:val="231F20"/>
          <w:spacing w:val="-4"/>
        </w:rPr>
        <w:t> </w:t>
      </w:r>
      <w:r>
        <w:rPr>
          <w:rFonts w:ascii="Arial" w:hAnsi="Arial"/>
          <w:color w:val="231F20"/>
          <w:spacing w:val="-2"/>
        </w:rPr>
        <w:t>santé</w:t>
      </w:r>
      <w:r>
        <w:rPr>
          <w:rFonts w:ascii="Arial" w:hAnsi="Arial"/>
          <w:color w:val="231F20"/>
          <w:spacing w:val="-4"/>
        </w:rPr>
        <w:t> </w:t>
      </w:r>
      <w:r>
        <w:rPr>
          <w:rFonts w:ascii="Arial" w:hAnsi="Arial"/>
          <w:color w:val="231F20"/>
          <w:spacing w:val="-2"/>
        </w:rPr>
        <w:t>physique</w:t>
      </w:r>
      <w:r>
        <w:rPr>
          <w:rFonts w:ascii="Arial" w:hAnsi="Arial"/>
          <w:color w:val="231F20"/>
          <w:spacing w:val="-4"/>
        </w:rPr>
        <w:t> </w:t>
      </w:r>
      <w:r>
        <w:rPr>
          <w:rFonts w:ascii="Arial" w:hAnsi="Arial"/>
          <w:color w:val="231F20"/>
          <w:spacing w:val="-2"/>
        </w:rPr>
        <w:t>et</w:t>
      </w:r>
      <w:r>
        <w:rPr>
          <w:rFonts w:ascii="Arial" w:hAnsi="Arial"/>
          <w:color w:val="231F20"/>
          <w:spacing w:val="-4"/>
        </w:rPr>
        <w:t> </w:t>
      </w:r>
      <w:r>
        <w:rPr>
          <w:rFonts w:ascii="Arial" w:hAnsi="Arial"/>
          <w:color w:val="231F20"/>
          <w:spacing w:val="-2"/>
        </w:rPr>
        <w:t>mentale</w:t>
      </w:r>
      <w:r>
        <w:rPr>
          <w:rFonts w:ascii="Arial" w:hAnsi="Arial"/>
          <w:color w:val="231F20"/>
          <w:spacing w:val="-4"/>
        </w:rPr>
        <w:t> </w:t>
      </w:r>
      <w:r>
        <w:rPr>
          <w:rFonts w:ascii="Arial" w:hAnsi="Arial"/>
          <w:color w:val="231F20"/>
          <w:spacing w:val="-2"/>
        </w:rPr>
        <w:t>des</w:t>
      </w:r>
      <w:r>
        <w:rPr>
          <w:rFonts w:ascii="Arial" w:hAnsi="Arial"/>
          <w:color w:val="231F20"/>
          <w:spacing w:val="-4"/>
        </w:rPr>
        <w:t> </w:t>
      </w:r>
      <w:r>
        <w:rPr>
          <w:rFonts w:ascii="Arial" w:hAnsi="Arial"/>
          <w:color w:val="231F20"/>
          <w:spacing w:val="-2"/>
        </w:rPr>
        <w:t>travailleurs.</w:t>
      </w:r>
      <w:r>
        <w:rPr>
          <w:rFonts w:ascii="Arial" w:hAnsi="Arial"/>
          <w:color w:val="231F20"/>
          <w:spacing w:val="-4"/>
        </w:rPr>
        <w:t> </w:t>
      </w:r>
      <w:r>
        <w:rPr>
          <w:rFonts w:ascii="Arial" w:hAnsi="Arial"/>
          <w:color w:val="231F20"/>
          <w:spacing w:val="-2"/>
        </w:rPr>
        <w:t>Les</w:t>
      </w:r>
      <w:r>
        <w:rPr>
          <w:rFonts w:ascii="Arial" w:hAnsi="Arial"/>
          <w:color w:val="231F20"/>
          <w:spacing w:val="-4"/>
        </w:rPr>
        <w:t> </w:t>
      </w:r>
      <w:r>
        <w:rPr>
          <w:rFonts w:ascii="Arial" w:hAnsi="Arial"/>
          <w:color w:val="231F20"/>
          <w:spacing w:val="-2"/>
        </w:rPr>
        <w:t>entreprises </w:t>
      </w:r>
      <w:r>
        <w:rPr>
          <w:rFonts w:ascii="Arial" w:hAnsi="Arial"/>
          <w:color w:val="231F20"/>
        </w:rPr>
        <w:t>qui</w:t>
      </w:r>
      <w:r>
        <w:rPr>
          <w:rFonts w:ascii="Arial" w:hAnsi="Arial"/>
          <w:color w:val="231F20"/>
          <w:spacing w:val="-12"/>
        </w:rPr>
        <w:t> </w:t>
      </w:r>
      <w:r>
        <w:rPr>
          <w:rFonts w:ascii="Arial" w:hAnsi="Arial"/>
          <w:color w:val="231F20"/>
        </w:rPr>
        <w:t>aident</w:t>
      </w:r>
      <w:r>
        <w:rPr>
          <w:rFonts w:ascii="Arial" w:hAnsi="Arial"/>
          <w:color w:val="231F20"/>
          <w:spacing w:val="-12"/>
        </w:rPr>
        <w:t> </w:t>
      </w:r>
      <w:r>
        <w:rPr>
          <w:rFonts w:ascii="Arial" w:hAnsi="Arial"/>
          <w:color w:val="231F20"/>
        </w:rPr>
        <w:t>leurs</w:t>
      </w:r>
      <w:r>
        <w:rPr>
          <w:rFonts w:ascii="Arial" w:hAnsi="Arial"/>
          <w:color w:val="231F20"/>
          <w:spacing w:val="-12"/>
        </w:rPr>
        <w:t> </w:t>
      </w:r>
      <w:r>
        <w:rPr>
          <w:rFonts w:ascii="Arial" w:hAnsi="Arial"/>
          <w:color w:val="231F20"/>
        </w:rPr>
        <w:t>employés</w:t>
      </w:r>
      <w:r>
        <w:rPr>
          <w:rFonts w:ascii="Arial" w:hAnsi="Arial"/>
          <w:color w:val="231F20"/>
          <w:spacing w:val="-12"/>
        </w:rPr>
        <w:t> </w:t>
      </w:r>
      <w:r>
        <w:rPr>
          <w:rFonts w:ascii="Arial" w:hAnsi="Arial"/>
          <w:color w:val="231F20"/>
        </w:rPr>
        <w:t>à</w:t>
      </w:r>
      <w:r>
        <w:rPr>
          <w:rFonts w:ascii="Arial" w:hAnsi="Arial"/>
          <w:color w:val="231F20"/>
          <w:spacing w:val="-12"/>
        </w:rPr>
        <w:t> </w:t>
      </w:r>
      <w:r>
        <w:rPr>
          <w:rFonts w:ascii="Arial" w:hAnsi="Arial"/>
          <w:color w:val="231F20"/>
        </w:rPr>
        <w:t>maîtriser</w:t>
      </w:r>
      <w:r>
        <w:rPr>
          <w:rFonts w:ascii="Arial" w:hAnsi="Arial"/>
          <w:color w:val="231F20"/>
          <w:spacing w:val="-11"/>
        </w:rPr>
        <w:t> </w:t>
      </w:r>
      <w:r>
        <w:rPr>
          <w:rFonts w:ascii="Arial" w:hAnsi="Arial"/>
          <w:color w:val="231F20"/>
        </w:rPr>
        <w:t>le</w:t>
      </w:r>
      <w:r>
        <w:rPr>
          <w:rFonts w:ascii="Arial" w:hAnsi="Arial"/>
          <w:color w:val="231F20"/>
          <w:spacing w:val="-12"/>
        </w:rPr>
        <w:t> </w:t>
      </w:r>
      <w:r>
        <w:rPr>
          <w:rFonts w:ascii="Arial" w:hAnsi="Arial"/>
          <w:color w:val="231F20"/>
        </w:rPr>
        <w:t>stress</w:t>
      </w:r>
      <w:r>
        <w:rPr>
          <w:rFonts w:ascii="Arial" w:hAnsi="Arial"/>
          <w:color w:val="231F20"/>
          <w:spacing w:val="-12"/>
        </w:rPr>
        <w:t> </w:t>
      </w:r>
      <w:r>
        <w:rPr>
          <w:rFonts w:ascii="Arial" w:hAnsi="Arial"/>
          <w:color w:val="231F20"/>
        </w:rPr>
        <w:t>et</w:t>
      </w:r>
      <w:r>
        <w:rPr>
          <w:rFonts w:ascii="Arial" w:hAnsi="Arial"/>
          <w:color w:val="231F20"/>
          <w:spacing w:val="-12"/>
        </w:rPr>
        <w:t> </w:t>
      </w:r>
      <w:r>
        <w:rPr>
          <w:rFonts w:ascii="Arial" w:hAnsi="Arial"/>
          <w:color w:val="231F20"/>
        </w:rPr>
        <w:t>qui</w:t>
      </w:r>
      <w:r>
        <w:rPr>
          <w:rFonts w:ascii="Arial" w:hAnsi="Arial"/>
          <w:color w:val="231F20"/>
          <w:spacing w:val="-12"/>
        </w:rPr>
        <w:t> </w:t>
      </w:r>
      <w:r>
        <w:rPr>
          <w:rFonts w:ascii="Arial" w:hAnsi="Arial"/>
          <w:color w:val="231F20"/>
        </w:rPr>
        <w:t>réorganisent</w:t>
      </w:r>
      <w:r>
        <w:rPr>
          <w:rFonts w:ascii="Arial" w:hAnsi="Arial"/>
          <w:color w:val="231F20"/>
          <w:spacing w:val="-11"/>
        </w:rPr>
        <w:t> </w:t>
      </w:r>
      <w:r>
        <w:rPr>
          <w:rFonts w:ascii="Arial" w:hAnsi="Arial"/>
          <w:color w:val="231F20"/>
        </w:rPr>
        <w:t>soigneu- sement le milieu de travail en fonction des aptitudes et des aspirations humaines ont de bonnes chances d’en tirer un avantage concurrentiel.</w:t>
      </w:r>
      <w:r>
        <w:rPr>
          <w:rFonts w:ascii="Arial" w:hAnsi="Arial"/>
          <w:color w:val="231F20"/>
          <w:spacing w:val="-29"/>
        </w:rPr>
        <w:t> </w:t>
      </w:r>
      <w:r>
        <w:rPr>
          <w:rFonts w:ascii="Arial" w:hAnsi="Arial"/>
          <w:color w:val="231F20"/>
        </w:rPr>
        <w:t>»</w:t>
      </w:r>
    </w:p>
    <w:p>
      <w:pPr>
        <w:pStyle w:val="BodyText"/>
        <w:spacing w:before="1"/>
        <w:rPr>
          <w:rFonts w:ascii="Arial"/>
          <w:sz w:val="23"/>
        </w:rPr>
      </w:pPr>
      <w:r>
        <w:rPr/>
        <w:pict>
          <v:shape style="position:absolute;margin-left:82pt;margin-top:14.488574pt;width:71.5pt;height:.1pt;mso-position-horizontal-relative:page;mso-position-vertical-relative:paragraph;z-index:-15703552;mso-wrap-distance-left:0;mso-wrap-distance-right:0" id="docshape151" coordorigin="1640,290" coordsize="1430,0" path="m1640,290l3070,290e" filled="false" stroked="true" strokeweight=".25pt" strokecolor="#231f20">
            <v:path arrowok="t"/>
            <v:stroke dashstyle="shortdot"/>
            <w10:wrap type="topAndBottom"/>
          </v:shape>
        </w:pict>
      </w:r>
      <w:r>
        <w:rPr/>
        <w:pict>
          <v:shape style="position:absolute;margin-left:82pt;margin-top:30.863575pt;width:287.5pt;height:.1pt;mso-position-horizontal-relative:page;mso-position-vertical-relative:paragraph;z-index:-15703040;mso-wrap-distance-left:0;mso-wrap-distance-right:0" id="docshape152" coordorigin="1640,617" coordsize="5750,0" path="m1640,617l7390,617e" filled="false" stroked="true" strokeweight=".25pt" strokecolor="#231f20">
            <v:path arrowok="t"/>
            <v:stroke dashstyle="shortdot"/>
            <w10:wrap type="topAndBottom"/>
          </v:shape>
        </w:pict>
      </w:r>
    </w:p>
    <w:p>
      <w:pPr>
        <w:pStyle w:val="BodyText"/>
        <w:spacing w:before="2"/>
        <w:rPr>
          <w:rFonts w:ascii="Arial"/>
          <w:sz w:val="26"/>
        </w:rPr>
      </w:pPr>
    </w:p>
    <w:p>
      <w:pPr>
        <w:pStyle w:val="ListParagraph"/>
        <w:numPr>
          <w:ilvl w:val="0"/>
          <w:numId w:val="18"/>
        </w:numPr>
        <w:tabs>
          <w:tab w:pos="1179" w:val="left" w:leader="none"/>
          <w:tab w:pos="1180" w:val="left" w:leader="none"/>
        </w:tabs>
        <w:spacing w:line="295" w:lineRule="auto" w:before="135" w:after="0"/>
        <w:ind w:left="1179" w:right="247" w:hanging="328"/>
        <w:jc w:val="left"/>
        <w:rPr>
          <w:rFonts w:ascii="Arial"/>
          <w:sz w:val="12"/>
        </w:rPr>
      </w:pPr>
      <w:r>
        <w:rPr>
          <w:rFonts w:ascii="Arial"/>
          <w:color w:val="231F20"/>
          <w:sz w:val="12"/>
        </w:rPr>
        <w:t>Gosselin,</w:t>
      </w:r>
      <w:r>
        <w:rPr>
          <w:rFonts w:ascii="Arial"/>
          <w:color w:val="231F20"/>
          <w:spacing w:val="-9"/>
          <w:sz w:val="12"/>
        </w:rPr>
        <w:t> </w:t>
      </w:r>
      <w:r>
        <w:rPr>
          <w:rFonts w:ascii="Arial"/>
          <w:color w:val="231F20"/>
          <w:sz w:val="12"/>
        </w:rPr>
        <w:t>E.</w:t>
      </w:r>
      <w:r>
        <w:rPr>
          <w:rFonts w:ascii="Arial"/>
          <w:color w:val="231F20"/>
          <w:spacing w:val="-8"/>
          <w:sz w:val="12"/>
        </w:rPr>
        <w:t> </w:t>
      </w:r>
      <w:r>
        <w:rPr>
          <w:rFonts w:ascii="Arial"/>
          <w:color w:val="231F20"/>
          <w:sz w:val="12"/>
        </w:rPr>
        <w:t>et</w:t>
      </w:r>
      <w:r>
        <w:rPr>
          <w:rFonts w:ascii="Arial"/>
          <w:color w:val="231F20"/>
          <w:spacing w:val="-8"/>
          <w:sz w:val="12"/>
        </w:rPr>
        <w:t> </w:t>
      </w:r>
      <w:r>
        <w:rPr>
          <w:rFonts w:ascii="Arial"/>
          <w:color w:val="231F20"/>
          <w:sz w:val="12"/>
        </w:rPr>
        <w:t>Campbell,</w:t>
      </w:r>
      <w:r>
        <w:rPr>
          <w:rFonts w:ascii="Arial"/>
          <w:color w:val="231F20"/>
          <w:spacing w:val="-9"/>
          <w:sz w:val="12"/>
        </w:rPr>
        <w:t> </w:t>
      </w:r>
      <w:r>
        <w:rPr>
          <w:rFonts w:ascii="Arial"/>
          <w:color w:val="231F20"/>
          <w:sz w:val="12"/>
        </w:rPr>
        <w:t>M.</w:t>
      </w:r>
      <w:r>
        <w:rPr>
          <w:rFonts w:ascii="Arial"/>
          <w:color w:val="231F20"/>
          <w:spacing w:val="-8"/>
          <w:sz w:val="12"/>
        </w:rPr>
        <w:t> </w:t>
      </w:r>
      <w:r>
        <w:rPr>
          <w:rFonts w:ascii="Arial"/>
          <w:color w:val="231F20"/>
          <w:sz w:val="12"/>
        </w:rPr>
        <w:t>(2014).</w:t>
      </w:r>
      <w:r>
        <w:rPr>
          <w:rFonts w:ascii="Arial"/>
          <w:color w:val="231F20"/>
          <w:spacing w:val="-8"/>
          <w:sz w:val="12"/>
        </w:rPr>
        <w:t> </w:t>
      </w:r>
      <w:r>
        <w:rPr>
          <w:rFonts w:ascii="Arial"/>
          <w:color w:val="231F20"/>
          <w:sz w:val="12"/>
        </w:rPr>
        <w:t>Stress</w:t>
      </w:r>
      <w:r>
        <w:rPr>
          <w:rFonts w:ascii="Arial"/>
          <w:color w:val="231F20"/>
          <w:spacing w:val="-9"/>
          <w:sz w:val="12"/>
        </w:rPr>
        <w:t> </w:t>
      </w:r>
      <w:r>
        <w:rPr>
          <w:rFonts w:ascii="Arial"/>
          <w:color w:val="231F20"/>
          <w:sz w:val="12"/>
        </w:rPr>
        <w:t>et</w:t>
      </w:r>
      <w:r>
        <w:rPr>
          <w:rFonts w:ascii="Arial"/>
          <w:color w:val="231F20"/>
          <w:spacing w:val="-8"/>
          <w:sz w:val="12"/>
        </w:rPr>
        <w:t> </w:t>
      </w:r>
      <w:r>
        <w:rPr>
          <w:rFonts w:ascii="Arial"/>
          <w:color w:val="231F20"/>
          <w:sz w:val="12"/>
        </w:rPr>
        <w:t>performance.</w:t>
      </w:r>
      <w:r>
        <w:rPr>
          <w:rFonts w:ascii="Arial"/>
          <w:color w:val="231F20"/>
          <w:spacing w:val="-9"/>
          <w:sz w:val="12"/>
        </w:rPr>
        <w:t> </w:t>
      </w:r>
      <w:r>
        <w:rPr>
          <w:rFonts w:ascii="Arial"/>
          <w:color w:val="231F20"/>
          <w:sz w:val="12"/>
        </w:rPr>
        <w:t>Dans</w:t>
      </w:r>
      <w:r>
        <w:rPr>
          <w:rFonts w:ascii="Arial"/>
          <w:color w:val="231F20"/>
          <w:spacing w:val="-8"/>
          <w:sz w:val="12"/>
        </w:rPr>
        <w:t> </w:t>
      </w:r>
      <w:r>
        <w:rPr>
          <w:rFonts w:ascii="Arial"/>
          <w:color w:val="231F20"/>
          <w:sz w:val="12"/>
        </w:rPr>
        <w:t>P.</w:t>
      </w:r>
      <w:r>
        <w:rPr>
          <w:rFonts w:ascii="Arial"/>
          <w:color w:val="231F20"/>
          <w:spacing w:val="-8"/>
          <w:sz w:val="12"/>
        </w:rPr>
        <w:t> </w:t>
      </w:r>
      <w:r>
        <w:rPr>
          <w:rFonts w:ascii="Arial"/>
          <w:color w:val="231F20"/>
          <w:sz w:val="12"/>
        </w:rPr>
        <w:t>Zawieja</w:t>
      </w:r>
      <w:r>
        <w:rPr>
          <w:rFonts w:ascii="Arial"/>
          <w:color w:val="231F20"/>
          <w:spacing w:val="-9"/>
          <w:sz w:val="12"/>
        </w:rPr>
        <w:t> </w:t>
      </w:r>
      <w:r>
        <w:rPr>
          <w:rFonts w:ascii="Arial"/>
          <w:color w:val="231F20"/>
          <w:sz w:val="12"/>
        </w:rPr>
        <w:t>et</w:t>
      </w:r>
      <w:r>
        <w:rPr>
          <w:rFonts w:ascii="Arial"/>
          <w:color w:val="231F20"/>
          <w:spacing w:val="-8"/>
          <w:sz w:val="12"/>
        </w:rPr>
        <w:t> </w:t>
      </w:r>
      <w:r>
        <w:rPr>
          <w:rFonts w:ascii="Arial"/>
          <w:color w:val="231F20"/>
          <w:sz w:val="12"/>
        </w:rPr>
        <w:t>F.</w:t>
      </w:r>
      <w:r>
        <w:rPr>
          <w:rFonts w:ascii="Arial"/>
          <w:color w:val="231F20"/>
          <w:spacing w:val="-8"/>
          <w:sz w:val="12"/>
        </w:rPr>
        <w:t> </w:t>
      </w:r>
      <w:r>
        <w:rPr>
          <w:rFonts w:ascii="Arial"/>
          <w:color w:val="231F20"/>
          <w:sz w:val="12"/>
        </w:rPr>
        <w:t>Guarnieri</w:t>
      </w:r>
      <w:r>
        <w:rPr>
          <w:rFonts w:ascii="Arial"/>
          <w:color w:val="231F20"/>
          <w:spacing w:val="-9"/>
          <w:sz w:val="12"/>
        </w:rPr>
        <w:t> </w:t>
      </w:r>
      <w:r>
        <w:rPr>
          <w:rFonts w:ascii="Arial"/>
          <w:color w:val="231F20"/>
          <w:sz w:val="12"/>
        </w:rPr>
        <w:t>(dir.),</w:t>
      </w:r>
      <w:r>
        <w:rPr>
          <w:rFonts w:ascii="Arial"/>
          <w:color w:val="231F20"/>
          <w:spacing w:val="-8"/>
          <w:sz w:val="12"/>
        </w:rPr>
        <w:t> </w:t>
      </w:r>
      <w:r>
        <w:rPr>
          <w:rFonts w:ascii="Arial"/>
          <w:i/>
          <w:color w:val="231F20"/>
          <w:sz w:val="12"/>
        </w:rPr>
        <w:t>Dictionnaire</w:t>
      </w:r>
      <w:r>
        <w:rPr>
          <w:rFonts w:ascii="Arial"/>
          <w:i/>
          <w:color w:val="231F20"/>
          <w:spacing w:val="40"/>
          <w:sz w:val="12"/>
        </w:rPr>
        <w:t> </w:t>
      </w:r>
      <w:r>
        <w:rPr>
          <w:rFonts w:ascii="Arial"/>
          <w:i/>
          <w:color w:val="231F20"/>
          <w:sz w:val="12"/>
        </w:rPr>
        <w:t>des</w:t>
      </w:r>
      <w:r>
        <w:rPr>
          <w:rFonts w:ascii="Arial"/>
          <w:i/>
          <w:color w:val="231F20"/>
          <w:spacing w:val="-2"/>
          <w:sz w:val="12"/>
        </w:rPr>
        <w:t> </w:t>
      </w:r>
      <w:r>
        <w:rPr>
          <w:rFonts w:ascii="Arial"/>
          <w:i/>
          <w:color w:val="231F20"/>
          <w:sz w:val="12"/>
        </w:rPr>
        <w:t>risques</w:t>
      </w:r>
      <w:r>
        <w:rPr>
          <w:rFonts w:ascii="Arial"/>
          <w:i/>
          <w:color w:val="231F20"/>
          <w:spacing w:val="-2"/>
          <w:sz w:val="12"/>
        </w:rPr>
        <w:t> </w:t>
      </w:r>
      <w:r>
        <w:rPr>
          <w:rFonts w:ascii="Arial"/>
          <w:i/>
          <w:color w:val="231F20"/>
          <w:sz w:val="12"/>
        </w:rPr>
        <w:t>psychosociaux</w:t>
      </w:r>
      <w:r>
        <w:rPr>
          <w:rFonts w:ascii="Arial"/>
          <w:color w:val="231F20"/>
          <w:sz w:val="12"/>
        </w:rPr>
        <w:t>,</w:t>
      </w:r>
      <w:r>
        <w:rPr>
          <w:rFonts w:ascii="Arial"/>
          <w:color w:val="231F20"/>
          <w:spacing w:val="-2"/>
          <w:sz w:val="12"/>
        </w:rPr>
        <w:t> </w:t>
      </w:r>
      <w:r>
        <w:rPr>
          <w:rFonts w:ascii="Arial"/>
          <w:color w:val="231F20"/>
          <w:sz w:val="12"/>
        </w:rPr>
        <w:t>Paris,</w:t>
      </w:r>
      <w:r>
        <w:rPr>
          <w:rFonts w:ascii="Arial"/>
          <w:color w:val="231F20"/>
          <w:spacing w:val="-2"/>
          <w:sz w:val="12"/>
        </w:rPr>
        <w:t> </w:t>
      </w:r>
      <w:r>
        <w:rPr>
          <w:rFonts w:ascii="Arial"/>
          <w:color w:val="231F20"/>
          <w:sz w:val="12"/>
        </w:rPr>
        <w:t>Seuil,</w:t>
      </w:r>
      <w:r>
        <w:rPr>
          <w:rFonts w:ascii="Arial"/>
          <w:color w:val="231F20"/>
          <w:spacing w:val="-2"/>
          <w:sz w:val="12"/>
        </w:rPr>
        <w:t> </w:t>
      </w:r>
      <w:r>
        <w:rPr>
          <w:rFonts w:ascii="Arial"/>
          <w:color w:val="231F20"/>
          <w:sz w:val="12"/>
        </w:rPr>
        <w:t>p.</w:t>
      </w:r>
      <w:r>
        <w:rPr>
          <w:rFonts w:ascii="Arial"/>
          <w:color w:val="231F20"/>
          <w:spacing w:val="-2"/>
          <w:sz w:val="12"/>
        </w:rPr>
        <w:t> </w:t>
      </w:r>
      <w:r>
        <w:rPr>
          <w:rFonts w:ascii="Arial"/>
          <w:color w:val="231F20"/>
          <w:sz w:val="12"/>
        </w:rPr>
        <w:t>743-744.</w:t>
      </w:r>
    </w:p>
    <w:p>
      <w:pPr>
        <w:spacing w:after="0" w:line="295" w:lineRule="auto"/>
        <w:jc w:val="left"/>
        <w:rPr>
          <w:rFonts w:ascii="Arial"/>
          <w:sz w:val="12"/>
        </w:rPr>
        <w:sectPr>
          <w:footerReference w:type="default" r:id="rId72"/>
          <w:pgSz w:w="8640" w:h="12960"/>
          <w:pgMar w:footer="424" w:header="0" w:top="500" w:bottom="620" w:left="460" w:right="1000"/>
        </w:sectPr>
      </w:pPr>
    </w:p>
    <w:p>
      <w:pPr>
        <w:spacing w:before="103"/>
        <w:ind w:left="150" w:right="0" w:firstLine="0"/>
        <w:jc w:val="center"/>
        <w:rPr>
          <w:rFonts w:ascii="Arial" w:hAnsi="Arial"/>
          <w:sz w:val="14"/>
        </w:rPr>
      </w:pPr>
      <w:bookmarkStart w:name=" 2.3 / Principaux modèles explicatifs du" w:id="41"/>
      <w:bookmarkEnd w:id="41"/>
      <w:r>
        <w:rPr/>
      </w:r>
      <w:bookmarkStart w:name=" 2.3.1 / Explications initiales" w:id="42"/>
      <w:bookmarkEnd w:id="42"/>
      <w:r>
        <w:rPr/>
      </w:r>
      <w:bookmarkStart w:name="_bookmark17" w:id="43"/>
      <w:bookmarkEnd w:id="43"/>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10"/>
        <w:rPr>
          <w:rFonts w:ascii="Arial"/>
          <w:sz w:val="26"/>
        </w:rPr>
      </w:pPr>
    </w:p>
    <w:p>
      <w:pPr>
        <w:pStyle w:val="Heading2"/>
        <w:numPr>
          <w:ilvl w:val="1"/>
          <w:numId w:val="17"/>
        </w:numPr>
        <w:tabs>
          <w:tab w:pos="481" w:val="left" w:leader="none"/>
          <w:tab w:pos="789" w:val="left" w:leader="none"/>
        </w:tabs>
        <w:spacing w:line="240" w:lineRule="auto" w:before="0" w:after="0"/>
        <w:ind w:left="480" w:right="0" w:hanging="301"/>
        <w:jc w:val="left"/>
      </w:pPr>
      <w:r>
        <w:rPr>
          <w:b w:val="0"/>
          <w:i/>
          <w:color w:val="231F20"/>
          <w:spacing w:val="-10"/>
        </w:rPr>
        <w:t>/</w:t>
      </w:r>
      <w:r>
        <w:rPr>
          <w:b w:val="0"/>
          <w:i/>
          <w:color w:val="231F20"/>
        </w:rPr>
        <w:tab/>
      </w:r>
      <w:r>
        <w:rPr>
          <w:color w:val="231F20"/>
          <w:w w:val="95"/>
        </w:rPr>
        <w:t>Principaux</w:t>
      </w:r>
      <w:r>
        <w:rPr>
          <w:color w:val="231F20"/>
          <w:spacing w:val="-8"/>
          <w:w w:val="95"/>
        </w:rPr>
        <w:t> </w:t>
      </w:r>
      <w:r>
        <w:rPr>
          <w:color w:val="231F20"/>
          <w:w w:val="95"/>
        </w:rPr>
        <w:t>modèles</w:t>
      </w:r>
      <w:r>
        <w:rPr>
          <w:color w:val="231F20"/>
          <w:spacing w:val="-8"/>
          <w:w w:val="95"/>
        </w:rPr>
        <w:t> </w:t>
      </w:r>
      <w:r>
        <w:rPr>
          <w:color w:val="231F20"/>
          <w:w w:val="95"/>
        </w:rPr>
        <w:t>explicatifs</w:t>
      </w:r>
      <w:r>
        <w:rPr>
          <w:color w:val="231F20"/>
          <w:spacing w:val="-8"/>
          <w:w w:val="95"/>
        </w:rPr>
        <w:t> </w:t>
      </w:r>
      <w:r>
        <w:rPr>
          <w:color w:val="231F20"/>
          <w:w w:val="95"/>
        </w:rPr>
        <w:t>du</w:t>
      </w:r>
      <w:r>
        <w:rPr>
          <w:color w:val="231F20"/>
          <w:spacing w:val="-8"/>
          <w:w w:val="95"/>
        </w:rPr>
        <w:t> </w:t>
      </w:r>
      <w:r>
        <w:rPr>
          <w:color w:val="231F20"/>
          <w:spacing w:val="-2"/>
          <w:w w:val="95"/>
        </w:rPr>
        <w:t>stress</w:t>
      </w:r>
    </w:p>
    <w:p>
      <w:pPr>
        <w:pStyle w:val="BodyText"/>
        <w:spacing w:before="9"/>
        <w:rPr>
          <w:rFonts w:ascii="Arial"/>
          <w:b/>
          <w:sz w:val="25"/>
        </w:rPr>
      </w:pPr>
    </w:p>
    <w:p>
      <w:pPr>
        <w:pStyle w:val="BodyText"/>
        <w:spacing w:line="307" w:lineRule="auto"/>
        <w:ind w:left="790" w:right="637"/>
        <w:jc w:val="both"/>
      </w:pPr>
      <w:r>
        <w:rPr>
          <w:color w:val="231F20"/>
          <w:spacing w:val="-2"/>
          <w:w w:val="120"/>
        </w:rPr>
        <w:t>Les</w:t>
      </w:r>
      <w:r>
        <w:rPr>
          <w:color w:val="231F20"/>
          <w:spacing w:val="-10"/>
          <w:w w:val="120"/>
        </w:rPr>
        <w:t> </w:t>
      </w:r>
      <w:r>
        <w:rPr>
          <w:color w:val="231F20"/>
          <w:spacing w:val="-2"/>
          <w:w w:val="120"/>
        </w:rPr>
        <w:t>auteurs</w:t>
      </w:r>
      <w:r>
        <w:rPr>
          <w:color w:val="231F20"/>
          <w:spacing w:val="-10"/>
          <w:w w:val="120"/>
        </w:rPr>
        <w:t> </w:t>
      </w:r>
      <w:r>
        <w:rPr>
          <w:color w:val="231F20"/>
          <w:spacing w:val="-2"/>
          <w:w w:val="120"/>
        </w:rPr>
        <w:t>des</w:t>
      </w:r>
      <w:r>
        <w:rPr>
          <w:color w:val="231F20"/>
          <w:spacing w:val="-10"/>
          <w:w w:val="120"/>
        </w:rPr>
        <w:t> </w:t>
      </w:r>
      <w:r>
        <w:rPr>
          <w:color w:val="231F20"/>
          <w:spacing w:val="-2"/>
          <w:w w:val="120"/>
        </w:rPr>
        <w:t>premiers</w:t>
      </w:r>
      <w:r>
        <w:rPr>
          <w:color w:val="231F20"/>
          <w:spacing w:val="-10"/>
          <w:w w:val="120"/>
        </w:rPr>
        <w:t> </w:t>
      </w:r>
      <w:r>
        <w:rPr>
          <w:color w:val="231F20"/>
          <w:spacing w:val="-2"/>
          <w:w w:val="120"/>
        </w:rPr>
        <w:t>écrits</w:t>
      </w:r>
      <w:r>
        <w:rPr>
          <w:color w:val="231F20"/>
          <w:spacing w:val="-10"/>
          <w:w w:val="120"/>
        </w:rPr>
        <w:t> </w:t>
      </w:r>
      <w:r>
        <w:rPr>
          <w:color w:val="231F20"/>
          <w:spacing w:val="-2"/>
          <w:w w:val="120"/>
        </w:rPr>
        <w:t>sur</w:t>
      </w:r>
      <w:r>
        <w:rPr>
          <w:color w:val="231F20"/>
          <w:spacing w:val="-10"/>
          <w:w w:val="120"/>
        </w:rPr>
        <w:t> </w:t>
      </w:r>
      <w:r>
        <w:rPr>
          <w:color w:val="231F20"/>
          <w:spacing w:val="-2"/>
          <w:w w:val="120"/>
        </w:rPr>
        <w:t>le</w:t>
      </w:r>
      <w:r>
        <w:rPr>
          <w:color w:val="231F20"/>
          <w:spacing w:val="-10"/>
          <w:w w:val="120"/>
        </w:rPr>
        <w:t> </w:t>
      </w:r>
      <w:r>
        <w:rPr>
          <w:color w:val="231F20"/>
          <w:spacing w:val="-2"/>
          <w:w w:val="120"/>
        </w:rPr>
        <w:t>stress</w:t>
      </w:r>
      <w:r>
        <w:rPr>
          <w:color w:val="231F20"/>
          <w:spacing w:val="-10"/>
          <w:w w:val="120"/>
        </w:rPr>
        <w:t> </w:t>
      </w:r>
      <w:r>
        <w:rPr>
          <w:color w:val="231F20"/>
          <w:spacing w:val="-2"/>
          <w:w w:val="120"/>
        </w:rPr>
        <w:t>tentaient</w:t>
      </w:r>
      <w:r>
        <w:rPr>
          <w:color w:val="231F20"/>
          <w:spacing w:val="-10"/>
          <w:w w:val="120"/>
        </w:rPr>
        <w:t> </w:t>
      </w:r>
      <w:r>
        <w:rPr>
          <w:color w:val="231F20"/>
          <w:spacing w:val="-2"/>
          <w:w w:val="120"/>
        </w:rPr>
        <w:t>de</w:t>
      </w:r>
      <w:r>
        <w:rPr>
          <w:color w:val="231F20"/>
          <w:spacing w:val="-10"/>
          <w:w w:val="120"/>
        </w:rPr>
        <w:t> </w:t>
      </w:r>
      <w:r>
        <w:rPr>
          <w:color w:val="231F20"/>
          <w:spacing w:val="-2"/>
          <w:w w:val="120"/>
        </w:rPr>
        <w:t>lui</w:t>
      </w:r>
      <w:r>
        <w:rPr>
          <w:color w:val="231F20"/>
          <w:spacing w:val="-10"/>
          <w:w w:val="120"/>
        </w:rPr>
        <w:t> </w:t>
      </w:r>
      <w:r>
        <w:rPr>
          <w:color w:val="231F20"/>
          <w:spacing w:val="-2"/>
          <w:w w:val="120"/>
        </w:rPr>
        <w:t>découvrir</w:t>
      </w:r>
      <w:r>
        <w:rPr>
          <w:color w:val="231F20"/>
          <w:spacing w:val="-10"/>
          <w:w w:val="120"/>
        </w:rPr>
        <w:t> </w:t>
      </w:r>
      <w:r>
        <w:rPr>
          <w:color w:val="231F20"/>
          <w:spacing w:val="-2"/>
          <w:w w:val="120"/>
        </w:rPr>
        <w:t>une </w:t>
      </w:r>
      <w:r>
        <w:rPr>
          <w:color w:val="231F20"/>
          <w:w w:val="120"/>
        </w:rPr>
        <w:t>origine commune: les médecins lui attribuaient une origine physique, chimique</w:t>
      </w:r>
      <w:r>
        <w:rPr>
          <w:color w:val="231F20"/>
          <w:spacing w:val="-13"/>
          <w:w w:val="120"/>
        </w:rPr>
        <w:t> </w:t>
      </w:r>
      <w:r>
        <w:rPr>
          <w:color w:val="231F20"/>
          <w:w w:val="120"/>
        </w:rPr>
        <w:t>ou hormonale</w:t>
      </w:r>
      <w:r>
        <w:rPr>
          <w:color w:val="231F20"/>
          <w:spacing w:val="-13"/>
          <w:w w:val="120"/>
        </w:rPr>
        <w:t> </w:t>
      </w:r>
      <w:r>
        <w:rPr>
          <w:color w:val="231F20"/>
          <w:w w:val="120"/>
        </w:rPr>
        <w:t>; les psychologues étaient d’avis que les seuls </w:t>
      </w:r>
      <w:r>
        <w:rPr>
          <w:color w:val="231F20"/>
          <w:spacing w:val="-2"/>
          <w:w w:val="120"/>
        </w:rPr>
        <w:t>facteurs</w:t>
      </w:r>
      <w:r>
        <w:rPr>
          <w:color w:val="231F20"/>
          <w:spacing w:val="-7"/>
          <w:w w:val="120"/>
        </w:rPr>
        <w:t> </w:t>
      </w:r>
      <w:r>
        <w:rPr>
          <w:color w:val="231F20"/>
          <w:spacing w:val="-2"/>
          <w:w w:val="120"/>
        </w:rPr>
        <w:t>responsables</w:t>
      </w:r>
      <w:r>
        <w:rPr>
          <w:color w:val="231F20"/>
          <w:spacing w:val="-7"/>
          <w:w w:val="120"/>
        </w:rPr>
        <w:t> </w:t>
      </w:r>
      <w:r>
        <w:rPr>
          <w:color w:val="231F20"/>
          <w:spacing w:val="-2"/>
          <w:w w:val="120"/>
        </w:rPr>
        <w:t>étaient</w:t>
      </w:r>
      <w:r>
        <w:rPr>
          <w:color w:val="231F20"/>
          <w:spacing w:val="-7"/>
          <w:w w:val="120"/>
        </w:rPr>
        <w:t> </w:t>
      </w:r>
      <w:r>
        <w:rPr>
          <w:color w:val="231F20"/>
          <w:spacing w:val="-2"/>
          <w:w w:val="120"/>
        </w:rPr>
        <w:t>les</w:t>
      </w:r>
      <w:r>
        <w:rPr>
          <w:color w:val="231F20"/>
          <w:spacing w:val="-7"/>
          <w:w w:val="120"/>
        </w:rPr>
        <w:t> </w:t>
      </w:r>
      <w:r>
        <w:rPr>
          <w:color w:val="231F20"/>
          <w:spacing w:val="-2"/>
          <w:w w:val="120"/>
        </w:rPr>
        <w:t>réponses</w:t>
      </w:r>
      <w:r>
        <w:rPr>
          <w:color w:val="231F20"/>
          <w:spacing w:val="-7"/>
          <w:w w:val="120"/>
        </w:rPr>
        <w:t> </w:t>
      </w:r>
      <w:r>
        <w:rPr>
          <w:color w:val="231F20"/>
          <w:spacing w:val="-2"/>
          <w:w w:val="120"/>
        </w:rPr>
        <w:t>psychologiques</w:t>
      </w:r>
      <w:r>
        <w:rPr>
          <w:color w:val="231F20"/>
          <w:spacing w:val="-7"/>
          <w:w w:val="120"/>
        </w:rPr>
        <w:t> </w:t>
      </w:r>
      <w:r>
        <w:rPr>
          <w:color w:val="231F20"/>
          <w:spacing w:val="-2"/>
          <w:w w:val="120"/>
        </w:rPr>
        <w:t>ou</w:t>
      </w:r>
      <w:r>
        <w:rPr>
          <w:color w:val="231F20"/>
          <w:spacing w:val="-7"/>
          <w:w w:val="120"/>
        </w:rPr>
        <w:t> </w:t>
      </w:r>
      <w:r>
        <w:rPr>
          <w:color w:val="231F20"/>
          <w:spacing w:val="-2"/>
          <w:w w:val="120"/>
        </w:rPr>
        <w:t>sociales</w:t>
      </w:r>
      <w:r>
        <w:rPr>
          <w:color w:val="231F20"/>
          <w:spacing w:val="-7"/>
          <w:w w:val="120"/>
        </w:rPr>
        <w:t> </w:t>
      </w:r>
      <w:r>
        <w:rPr>
          <w:color w:val="231F20"/>
          <w:spacing w:val="-2"/>
          <w:w w:val="120"/>
        </w:rPr>
        <w:t>au </w:t>
      </w:r>
      <w:r>
        <w:rPr>
          <w:color w:val="231F20"/>
          <w:w w:val="120"/>
        </w:rPr>
        <w:t>stress.</w:t>
      </w:r>
      <w:r>
        <w:rPr>
          <w:color w:val="231F20"/>
          <w:spacing w:val="-4"/>
          <w:w w:val="120"/>
        </w:rPr>
        <w:t> </w:t>
      </w:r>
      <w:r>
        <w:rPr>
          <w:color w:val="231F20"/>
          <w:w w:val="120"/>
        </w:rPr>
        <w:t>Aujourd’hui,</w:t>
      </w:r>
      <w:r>
        <w:rPr>
          <w:color w:val="231F20"/>
          <w:spacing w:val="-5"/>
          <w:w w:val="120"/>
        </w:rPr>
        <w:t> </w:t>
      </w:r>
      <w:r>
        <w:rPr>
          <w:color w:val="231F20"/>
          <w:w w:val="120"/>
        </w:rPr>
        <w:t>on</w:t>
      </w:r>
      <w:r>
        <w:rPr>
          <w:color w:val="231F20"/>
          <w:spacing w:val="-4"/>
          <w:w w:val="120"/>
        </w:rPr>
        <w:t> </w:t>
      </w:r>
      <w:r>
        <w:rPr>
          <w:color w:val="231F20"/>
          <w:w w:val="120"/>
        </w:rPr>
        <w:t>reconnaît</w:t>
      </w:r>
      <w:r>
        <w:rPr>
          <w:color w:val="231F20"/>
          <w:spacing w:val="-5"/>
          <w:w w:val="120"/>
        </w:rPr>
        <w:t> </w:t>
      </w:r>
      <w:r>
        <w:rPr>
          <w:color w:val="231F20"/>
          <w:w w:val="120"/>
        </w:rPr>
        <w:t>généralement</w:t>
      </w:r>
      <w:r>
        <w:rPr>
          <w:color w:val="231F20"/>
          <w:spacing w:val="-5"/>
          <w:w w:val="120"/>
        </w:rPr>
        <w:t> </w:t>
      </w:r>
      <w:r>
        <w:rPr>
          <w:color w:val="231F20"/>
          <w:w w:val="120"/>
        </w:rPr>
        <w:t>que</w:t>
      </w:r>
      <w:r>
        <w:rPr>
          <w:color w:val="231F20"/>
          <w:spacing w:val="-5"/>
          <w:w w:val="120"/>
        </w:rPr>
        <w:t> </w:t>
      </w:r>
      <w:r>
        <w:rPr>
          <w:color w:val="231F20"/>
          <w:w w:val="120"/>
        </w:rPr>
        <w:t>le</w:t>
      </w:r>
      <w:r>
        <w:rPr>
          <w:color w:val="231F20"/>
          <w:spacing w:val="-5"/>
          <w:w w:val="120"/>
        </w:rPr>
        <w:t> </w:t>
      </w:r>
      <w:r>
        <w:rPr>
          <w:color w:val="231F20"/>
          <w:w w:val="120"/>
        </w:rPr>
        <w:t>stress</w:t>
      </w:r>
      <w:r>
        <w:rPr>
          <w:color w:val="231F20"/>
          <w:spacing w:val="-5"/>
          <w:w w:val="120"/>
        </w:rPr>
        <w:t> </w:t>
      </w:r>
      <w:r>
        <w:rPr>
          <w:color w:val="231F20"/>
          <w:w w:val="120"/>
        </w:rPr>
        <w:t>naît</w:t>
      </w:r>
      <w:r>
        <w:rPr>
          <w:color w:val="231F20"/>
          <w:spacing w:val="-5"/>
          <w:w w:val="120"/>
        </w:rPr>
        <w:t> </w:t>
      </w:r>
      <w:r>
        <w:rPr>
          <w:color w:val="231F20"/>
          <w:w w:val="120"/>
        </w:rPr>
        <w:t>d’une gamme de facteurs interactifs qui créent une série de réponses multi- factorielles. On considère ainsi que le stress est un phénomène pluriel et</w:t>
      </w:r>
      <w:r>
        <w:rPr>
          <w:color w:val="231F20"/>
          <w:spacing w:val="-10"/>
          <w:w w:val="120"/>
        </w:rPr>
        <w:t> </w:t>
      </w:r>
      <w:r>
        <w:rPr>
          <w:color w:val="231F20"/>
          <w:w w:val="120"/>
        </w:rPr>
        <w:t>qu’il</w:t>
      </w:r>
      <w:r>
        <w:rPr>
          <w:color w:val="231F20"/>
          <w:spacing w:val="-10"/>
          <w:w w:val="120"/>
        </w:rPr>
        <w:t> </w:t>
      </w:r>
      <w:r>
        <w:rPr>
          <w:color w:val="231F20"/>
          <w:w w:val="120"/>
        </w:rPr>
        <w:t>possède</w:t>
      </w:r>
      <w:r>
        <w:rPr>
          <w:color w:val="231F20"/>
          <w:spacing w:val="-10"/>
          <w:w w:val="120"/>
        </w:rPr>
        <w:t> </w:t>
      </w:r>
      <w:r>
        <w:rPr>
          <w:color w:val="231F20"/>
          <w:w w:val="120"/>
        </w:rPr>
        <w:t>diverses</w:t>
      </w:r>
      <w:r>
        <w:rPr>
          <w:color w:val="231F20"/>
          <w:spacing w:val="-10"/>
          <w:w w:val="120"/>
        </w:rPr>
        <w:t> </w:t>
      </w:r>
      <w:r>
        <w:rPr>
          <w:color w:val="231F20"/>
          <w:w w:val="120"/>
        </w:rPr>
        <w:t>facettes</w:t>
      </w:r>
      <w:r>
        <w:rPr>
          <w:color w:val="231F20"/>
          <w:spacing w:val="-10"/>
          <w:w w:val="120"/>
        </w:rPr>
        <w:t> </w:t>
      </w:r>
      <w:r>
        <w:rPr>
          <w:color w:val="231F20"/>
          <w:w w:val="120"/>
        </w:rPr>
        <w:t>qui</w:t>
      </w:r>
      <w:r>
        <w:rPr>
          <w:color w:val="231F20"/>
          <w:spacing w:val="-10"/>
          <w:w w:val="120"/>
        </w:rPr>
        <w:t> </w:t>
      </w:r>
      <w:r>
        <w:rPr>
          <w:color w:val="231F20"/>
          <w:w w:val="120"/>
        </w:rPr>
        <w:t>sont</w:t>
      </w:r>
      <w:r>
        <w:rPr>
          <w:color w:val="231F20"/>
          <w:spacing w:val="-10"/>
          <w:w w:val="120"/>
        </w:rPr>
        <w:t> </w:t>
      </w:r>
      <w:r>
        <w:rPr>
          <w:color w:val="231F20"/>
          <w:w w:val="120"/>
        </w:rPr>
        <w:t>autant</w:t>
      </w:r>
      <w:r>
        <w:rPr>
          <w:color w:val="231F20"/>
          <w:spacing w:val="-10"/>
          <w:w w:val="120"/>
        </w:rPr>
        <w:t> </w:t>
      </w:r>
      <w:r>
        <w:rPr>
          <w:color w:val="231F20"/>
          <w:w w:val="120"/>
        </w:rPr>
        <w:t>de</w:t>
      </w:r>
      <w:r>
        <w:rPr>
          <w:color w:val="231F20"/>
          <w:spacing w:val="-10"/>
          <w:w w:val="120"/>
        </w:rPr>
        <w:t> </w:t>
      </w:r>
      <w:r>
        <w:rPr>
          <w:color w:val="231F20"/>
          <w:w w:val="120"/>
        </w:rPr>
        <w:t>pièces</w:t>
      </w:r>
      <w:r>
        <w:rPr>
          <w:color w:val="231F20"/>
          <w:spacing w:val="-10"/>
          <w:w w:val="120"/>
        </w:rPr>
        <w:t> </w:t>
      </w:r>
      <w:r>
        <w:rPr>
          <w:color w:val="231F20"/>
          <w:w w:val="120"/>
        </w:rPr>
        <w:t>au</w:t>
      </w:r>
      <w:r>
        <w:rPr>
          <w:color w:val="231F20"/>
          <w:spacing w:val="-10"/>
          <w:w w:val="120"/>
        </w:rPr>
        <w:t> </w:t>
      </w:r>
      <w:r>
        <w:rPr>
          <w:color w:val="231F20"/>
          <w:w w:val="120"/>
        </w:rPr>
        <w:t>casse-tête qu’il</w:t>
      </w:r>
      <w:r>
        <w:rPr>
          <w:color w:val="231F20"/>
          <w:spacing w:val="-13"/>
          <w:w w:val="120"/>
        </w:rPr>
        <w:t> </w:t>
      </w:r>
      <w:r>
        <w:rPr>
          <w:color w:val="231F20"/>
          <w:w w:val="120"/>
        </w:rPr>
        <w:t>représente.</w:t>
      </w:r>
    </w:p>
    <w:p>
      <w:pPr>
        <w:pStyle w:val="BodyText"/>
        <w:spacing w:line="307" w:lineRule="auto" w:before="79"/>
        <w:ind w:left="790" w:right="629" w:firstLine="250"/>
        <w:jc w:val="both"/>
      </w:pPr>
      <w:r>
        <w:rPr>
          <w:color w:val="231F20"/>
          <w:w w:val="120"/>
        </w:rPr>
        <w:t>Nous allons dans les prochaines pages faire un survol des diverses pistes</w:t>
      </w:r>
      <w:r>
        <w:rPr>
          <w:color w:val="231F20"/>
          <w:spacing w:val="-8"/>
          <w:w w:val="120"/>
        </w:rPr>
        <w:t> </w:t>
      </w:r>
      <w:r>
        <w:rPr>
          <w:color w:val="231F20"/>
          <w:w w:val="120"/>
        </w:rPr>
        <w:t>explicatives</w:t>
      </w:r>
      <w:r>
        <w:rPr>
          <w:color w:val="231F20"/>
          <w:spacing w:val="-8"/>
          <w:w w:val="120"/>
        </w:rPr>
        <w:t> </w:t>
      </w:r>
      <w:r>
        <w:rPr>
          <w:color w:val="231F20"/>
          <w:w w:val="120"/>
        </w:rPr>
        <w:t>formulées</w:t>
      </w:r>
      <w:r>
        <w:rPr>
          <w:color w:val="231F20"/>
          <w:spacing w:val="-8"/>
          <w:w w:val="120"/>
        </w:rPr>
        <w:t> </w:t>
      </w:r>
      <w:r>
        <w:rPr>
          <w:color w:val="231F20"/>
          <w:w w:val="120"/>
        </w:rPr>
        <w:t>afin</w:t>
      </w:r>
      <w:r>
        <w:rPr>
          <w:color w:val="231F20"/>
          <w:spacing w:val="-8"/>
          <w:w w:val="120"/>
        </w:rPr>
        <w:t> </w:t>
      </w:r>
      <w:r>
        <w:rPr>
          <w:color w:val="231F20"/>
          <w:w w:val="120"/>
        </w:rPr>
        <w:t>de</w:t>
      </w:r>
      <w:r>
        <w:rPr>
          <w:color w:val="231F20"/>
          <w:spacing w:val="-8"/>
          <w:w w:val="120"/>
        </w:rPr>
        <w:t> </w:t>
      </w:r>
      <w:r>
        <w:rPr>
          <w:color w:val="231F20"/>
          <w:w w:val="120"/>
        </w:rPr>
        <w:t>démystifier</w:t>
      </w:r>
      <w:r>
        <w:rPr>
          <w:color w:val="231F20"/>
          <w:spacing w:val="-8"/>
          <w:w w:val="120"/>
        </w:rPr>
        <w:t> </w:t>
      </w:r>
      <w:r>
        <w:rPr>
          <w:color w:val="231F20"/>
          <w:w w:val="120"/>
        </w:rPr>
        <w:t>le</w:t>
      </w:r>
      <w:r>
        <w:rPr>
          <w:color w:val="231F20"/>
          <w:spacing w:val="-8"/>
          <w:w w:val="120"/>
        </w:rPr>
        <w:t> </w:t>
      </w:r>
      <w:r>
        <w:rPr>
          <w:color w:val="231F20"/>
          <w:w w:val="120"/>
        </w:rPr>
        <w:t>stress</w:t>
      </w:r>
      <w:r>
        <w:rPr>
          <w:color w:val="231F20"/>
          <w:spacing w:val="-8"/>
          <w:w w:val="120"/>
        </w:rPr>
        <w:t> </w:t>
      </w:r>
      <w:r>
        <w:rPr>
          <w:color w:val="231F20"/>
          <w:w w:val="120"/>
        </w:rPr>
        <w:t>en</w:t>
      </w:r>
      <w:r>
        <w:rPr>
          <w:color w:val="231F20"/>
          <w:spacing w:val="-8"/>
          <w:w w:val="120"/>
        </w:rPr>
        <w:t> </w:t>
      </w:r>
      <w:r>
        <w:rPr>
          <w:color w:val="231F20"/>
          <w:w w:val="120"/>
        </w:rPr>
        <w:t>général,</w:t>
      </w:r>
      <w:r>
        <w:rPr>
          <w:color w:val="231F20"/>
          <w:spacing w:val="-8"/>
          <w:w w:val="120"/>
        </w:rPr>
        <w:t> </w:t>
      </w:r>
      <w:r>
        <w:rPr>
          <w:color w:val="231F20"/>
          <w:w w:val="120"/>
        </w:rPr>
        <w:t>et plus</w:t>
      </w:r>
      <w:r>
        <w:rPr>
          <w:color w:val="231F20"/>
          <w:spacing w:val="-13"/>
          <w:w w:val="120"/>
        </w:rPr>
        <w:t> </w:t>
      </w:r>
      <w:r>
        <w:rPr>
          <w:color w:val="231F20"/>
          <w:w w:val="120"/>
        </w:rPr>
        <w:t>particulièrement</w:t>
      </w:r>
      <w:r>
        <w:rPr>
          <w:color w:val="231F20"/>
          <w:spacing w:val="-12"/>
          <w:w w:val="120"/>
        </w:rPr>
        <w:t> </w:t>
      </w:r>
      <w:r>
        <w:rPr>
          <w:color w:val="231F20"/>
          <w:w w:val="120"/>
        </w:rPr>
        <w:t>le</w:t>
      </w:r>
      <w:r>
        <w:rPr>
          <w:color w:val="231F20"/>
          <w:spacing w:val="-13"/>
          <w:w w:val="120"/>
        </w:rPr>
        <w:t> </w:t>
      </w:r>
      <w:r>
        <w:rPr>
          <w:color w:val="231F20"/>
          <w:w w:val="120"/>
        </w:rPr>
        <w:t>stress</w:t>
      </w:r>
      <w:r>
        <w:rPr>
          <w:color w:val="231F20"/>
          <w:spacing w:val="-12"/>
          <w:w w:val="120"/>
        </w:rPr>
        <w:t> </w:t>
      </w:r>
      <w:r>
        <w:rPr>
          <w:color w:val="231F20"/>
          <w:w w:val="120"/>
        </w:rPr>
        <w:t>professionnel.</w:t>
      </w:r>
      <w:r>
        <w:rPr>
          <w:color w:val="231F20"/>
          <w:spacing w:val="-13"/>
          <w:w w:val="120"/>
        </w:rPr>
        <w:t> </w:t>
      </w:r>
      <w:r>
        <w:rPr>
          <w:color w:val="231F20"/>
          <w:w w:val="120"/>
        </w:rPr>
        <w:t>Pour</w:t>
      </w:r>
      <w:r>
        <w:rPr>
          <w:color w:val="231F20"/>
          <w:spacing w:val="-12"/>
          <w:w w:val="120"/>
        </w:rPr>
        <w:t> </w:t>
      </w:r>
      <w:r>
        <w:rPr>
          <w:color w:val="231F20"/>
          <w:w w:val="120"/>
        </w:rPr>
        <w:t>ce</w:t>
      </w:r>
      <w:r>
        <w:rPr>
          <w:color w:val="231F20"/>
          <w:spacing w:val="-13"/>
          <w:w w:val="120"/>
        </w:rPr>
        <w:t> </w:t>
      </w:r>
      <w:r>
        <w:rPr>
          <w:color w:val="231F20"/>
          <w:w w:val="120"/>
        </w:rPr>
        <w:t>faire,</w:t>
      </w:r>
      <w:r>
        <w:rPr>
          <w:color w:val="231F20"/>
          <w:spacing w:val="-12"/>
          <w:w w:val="120"/>
        </w:rPr>
        <w:t> </w:t>
      </w:r>
      <w:r>
        <w:rPr>
          <w:color w:val="231F20"/>
          <w:w w:val="120"/>
        </w:rPr>
        <w:t>nous</w:t>
      </w:r>
      <w:r>
        <w:rPr>
          <w:color w:val="231F20"/>
          <w:spacing w:val="-13"/>
          <w:w w:val="120"/>
        </w:rPr>
        <w:t> </w:t>
      </w:r>
      <w:r>
        <w:rPr>
          <w:color w:val="231F20"/>
          <w:w w:val="120"/>
        </w:rPr>
        <w:t>utilise- rons</w:t>
      </w:r>
      <w:r>
        <w:rPr>
          <w:color w:val="231F20"/>
          <w:spacing w:val="-1"/>
          <w:w w:val="120"/>
        </w:rPr>
        <w:t> </w:t>
      </w:r>
      <w:r>
        <w:rPr>
          <w:color w:val="231F20"/>
          <w:w w:val="120"/>
        </w:rPr>
        <w:t>une</w:t>
      </w:r>
      <w:r>
        <w:rPr>
          <w:color w:val="231F20"/>
          <w:spacing w:val="-1"/>
          <w:w w:val="120"/>
        </w:rPr>
        <w:t> </w:t>
      </w:r>
      <w:r>
        <w:rPr>
          <w:color w:val="231F20"/>
          <w:w w:val="120"/>
        </w:rPr>
        <w:t>perspective</w:t>
      </w:r>
      <w:r>
        <w:rPr>
          <w:color w:val="231F20"/>
          <w:spacing w:val="-1"/>
          <w:w w:val="120"/>
        </w:rPr>
        <w:t> </w:t>
      </w:r>
      <w:r>
        <w:rPr>
          <w:color w:val="231F20"/>
          <w:w w:val="120"/>
        </w:rPr>
        <w:t>chronologique</w:t>
      </w:r>
      <w:r>
        <w:rPr>
          <w:color w:val="231F20"/>
          <w:spacing w:val="-1"/>
          <w:w w:val="120"/>
        </w:rPr>
        <w:t> </w:t>
      </w:r>
      <w:r>
        <w:rPr>
          <w:color w:val="231F20"/>
          <w:w w:val="120"/>
        </w:rPr>
        <w:t>partant</w:t>
      </w:r>
      <w:r>
        <w:rPr>
          <w:color w:val="231F20"/>
          <w:spacing w:val="-1"/>
          <w:w w:val="120"/>
        </w:rPr>
        <w:t> </w:t>
      </w:r>
      <w:r>
        <w:rPr>
          <w:color w:val="231F20"/>
          <w:w w:val="120"/>
        </w:rPr>
        <w:t>des</w:t>
      </w:r>
      <w:r>
        <w:rPr>
          <w:color w:val="231F20"/>
          <w:spacing w:val="-1"/>
          <w:w w:val="120"/>
        </w:rPr>
        <w:t> </w:t>
      </w:r>
      <w:r>
        <w:rPr>
          <w:color w:val="231F20"/>
          <w:w w:val="120"/>
        </w:rPr>
        <w:t>premières</w:t>
      </w:r>
      <w:r>
        <w:rPr>
          <w:color w:val="231F20"/>
          <w:spacing w:val="-1"/>
          <w:w w:val="120"/>
        </w:rPr>
        <w:t> </w:t>
      </w:r>
      <w:r>
        <w:rPr>
          <w:color w:val="231F20"/>
          <w:w w:val="120"/>
        </w:rPr>
        <w:t>conceptions </w:t>
      </w:r>
      <w:r>
        <w:rPr>
          <w:color w:val="231F20"/>
          <w:spacing w:val="-2"/>
          <w:w w:val="120"/>
        </w:rPr>
        <w:t>du</w:t>
      </w:r>
      <w:r>
        <w:rPr>
          <w:color w:val="231F20"/>
          <w:spacing w:val="-6"/>
          <w:w w:val="120"/>
        </w:rPr>
        <w:t> </w:t>
      </w:r>
      <w:r>
        <w:rPr>
          <w:color w:val="231F20"/>
          <w:spacing w:val="-2"/>
          <w:w w:val="120"/>
        </w:rPr>
        <w:t>stress</w:t>
      </w:r>
      <w:r>
        <w:rPr>
          <w:color w:val="231F20"/>
          <w:spacing w:val="-6"/>
          <w:w w:val="120"/>
        </w:rPr>
        <w:t> </w:t>
      </w:r>
      <w:r>
        <w:rPr>
          <w:color w:val="231F20"/>
          <w:spacing w:val="-2"/>
          <w:w w:val="120"/>
        </w:rPr>
        <w:t>et</w:t>
      </w:r>
      <w:r>
        <w:rPr>
          <w:color w:val="231F20"/>
          <w:spacing w:val="-6"/>
          <w:w w:val="120"/>
        </w:rPr>
        <w:t> </w:t>
      </w:r>
      <w:r>
        <w:rPr>
          <w:color w:val="231F20"/>
          <w:spacing w:val="-2"/>
          <w:w w:val="120"/>
        </w:rPr>
        <w:t>allant</w:t>
      </w:r>
      <w:r>
        <w:rPr>
          <w:color w:val="231F20"/>
          <w:spacing w:val="-6"/>
          <w:w w:val="120"/>
        </w:rPr>
        <w:t> </w:t>
      </w:r>
      <w:r>
        <w:rPr>
          <w:color w:val="231F20"/>
          <w:spacing w:val="-2"/>
          <w:w w:val="120"/>
        </w:rPr>
        <w:t>jusqu’aux</w:t>
      </w:r>
      <w:r>
        <w:rPr>
          <w:color w:val="231F20"/>
          <w:spacing w:val="-6"/>
          <w:w w:val="120"/>
        </w:rPr>
        <w:t> </w:t>
      </w:r>
      <w:r>
        <w:rPr>
          <w:color w:val="231F20"/>
          <w:spacing w:val="-2"/>
          <w:w w:val="120"/>
        </w:rPr>
        <w:t>modèles</w:t>
      </w:r>
      <w:r>
        <w:rPr>
          <w:color w:val="231F20"/>
          <w:spacing w:val="-6"/>
          <w:w w:val="120"/>
        </w:rPr>
        <w:t> </w:t>
      </w:r>
      <w:r>
        <w:rPr>
          <w:color w:val="231F20"/>
          <w:spacing w:val="-2"/>
          <w:w w:val="120"/>
        </w:rPr>
        <w:t>actuellement</w:t>
      </w:r>
      <w:r>
        <w:rPr>
          <w:color w:val="231F20"/>
          <w:spacing w:val="-6"/>
          <w:w w:val="120"/>
        </w:rPr>
        <w:t> </w:t>
      </w:r>
      <w:r>
        <w:rPr>
          <w:color w:val="231F20"/>
          <w:spacing w:val="-2"/>
          <w:w w:val="120"/>
        </w:rPr>
        <w:t>utilisés</w:t>
      </w:r>
      <w:r>
        <w:rPr>
          <w:color w:val="231F20"/>
          <w:spacing w:val="-6"/>
          <w:w w:val="120"/>
        </w:rPr>
        <w:t> </w:t>
      </w:r>
      <w:r>
        <w:rPr>
          <w:color w:val="231F20"/>
          <w:spacing w:val="-2"/>
          <w:w w:val="120"/>
        </w:rPr>
        <w:t>dans</w:t>
      </w:r>
      <w:r>
        <w:rPr>
          <w:color w:val="231F20"/>
          <w:spacing w:val="-6"/>
          <w:w w:val="120"/>
        </w:rPr>
        <w:t> </w:t>
      </w:r>
      <w:r>
        <w:rPr>
          <w:color w:val="231F20"/>
          <w:spacing w:val="-2"/>
          <w:w w:val="120"/>
        </w:rPr>
        <w:t>les</w:t>
      </w:r>
      <w:r>
        <w:rPr>
          <w:color w:val="231F20"/>
          <w:spacing w:val="-6"/>
          <w:w w:val="120"/>
        </w:rPr>
        <w:t> </w:t>
      </w:r>
      <w:r>
        <w:rPr>
          <w:color w:val="231F20"/>
          <w:spacing w:val="-2"/>
          <w:w w:val="120"/>
        </w:rPr>
        <w:t>orga- </w:t>
      </w:r>
      <w:r>
        <w:rPr>
          <w:color w:val="231F20"/>
          <w:w w:val="120"/>
        </w:rPr>
        <w:t>nisations, les modèles transactionnels et interactionnistes, afin de comprendre les diverses ramifications du stress au travail.</w:t>
      </w:r>
    </w:p>
    <w:p>
      <w:pPr>
        <w:pStyle w:val="BodyText"/>
        <w:rPr>
          <w:sz w:val="25"/>
        </w:rPr>
      </w:pPr>
    </w:p>
    <w:p>
      <w:pPr>
        <w:pStyle w:val="Heading4"/>
        <w:numPr>
          <w:ilvl w:val="2"/>
          <w:numId w:val="17"/>
        </w:numPr>
        <w:tabs>
          <w:tab w:pos="489" w:val="left" w:leader="none"/>
          <w:tab w:pos="789" w:val="left" w:leader="none"/>
        </w:tabs>
        <w:spacing w:line="240" w:lineRule="auto" w:before="0" w:after="0"/>
        <w:ind w:left="488" w:right="0" w:hanging="376"/>
        <w:jc w:val="left"/>
        <w:rPr>
          <w:b w:val="0"/>
          <w:color w:val="231F20"/>
        </w:rPr>
      </w:pPr>
      <w:r>
        <w:rPr>
          <w:b w:val="0"/>
          <w:i/>
          <w:color w:val="231F20"/>
          <w:spacing w:val="-10"/>
        </w:rPr>
        <w:t>/</w:t>
      </w:r>
      <w:r>
        <w:rPr>
          <w:b w:val="0"/>
          <w:i/>
          <w:color w:val="231F20"/>
        </w:rPr>
        <w:tab/>
      </w:r>
      <w:r>
        <w:rPr>
          <w:color w:val="231F20"/>
          <w:w w:val="90"/>
        </w:rPr>
        <w:t>Explications</w:t>
      </w:r>
      <w:r>
        <w:rPr>
          <w:color w:val="231F20"/>
          <w:spacing w:val="11"/>
        </w:rPr>
        <w:t> </w:t>
      </w:r>
      <w:r>
        <w:rPr>
          <w:color w:val="231F20"/>
          <w:spacing w:val="-2"/>
        </w:rPr>
        <w:t>initiales</w:t>
      </w:r>
    </w:p>
    <w:p>
      <w:pPr>
        <w:pStyle w:val="BodyText"/>
        <w:spacing w:line="307" w:lineRule="auto" w:before="213"/>
        <w:ind w:left="789" w:right="633"/>
        <w:jc w:val="both"/>
      </w:pPr>
      <w:r>
        <w:rPr>
          <w:color w:val="231F20"/>
          <w:w w:val="120"/>
        </w:rPr>
        <w:t>Le</w:t>
      </w:r>
      <w:r>
        <w:rPr>
          <w:color w:val="231F20"/>
          <w:spacing w:val="-7"/>
          <w:w w:val="120"/>
        </w:rPr>
        <w:t> </w:t>
      </w:r>
      <w:r>
        <w:rPr>
          <w:color w:val="231F20"/>
          <w:w w:val="120"/>
        </w:rPr>
        <w:t>mot</w:t>
      </w:r>
      <w:r>
        <w:rPr>
          <w:color w:val="231F20"/>
          <w:spacing w:val="-7"/>
          <w:w w:val="120"/>
        </w:rPr>
        <w:t> </w:t>
      </w:r>
      <w:r>
        <w:rPr>
          <w:i/>
          <w:color w:val="231F20"/>
          <w:w w:val="120"/>
        </w:rPr>
        <w:t>stress</w:t>
      </w:r>
      <w:r>
        <w:rPr>
          <w:color w:val="231F20"/>
          <w:w w:val="120"/>
        </w:rPr>
        <w:t>,</w:t>
      </w:r>
      <w:r>
        <w:rPr>
          <w:color w:val="231F20"/>
          <w:spacing w:val="-7"/>
          <w:w w:val="120"/>
        </w:rPr>
        <w:t> </w:t>
      </w:r>
      <w:r>
        <w:rPr>
          <w:color w:val="231F20"/>
          <w:w w:val="120"/>
        </w:rPr>
        <w:t>comme</w:t>
      </w:r>
      <w:r>
        <w:rPr>
          <w:color w:val="231F20"/>
          <w:spacing w:val="-7"/>
          <w:w w:val="120"/>
        </w:rPr>
        <w:t> </w:t>
      </w:r>
      <w:r>
        <w:rPr>
          <w:color w:val="231F20"/>
          <w:w w:val="120"/>
        </w:rPr>
        <w:t>bien</w:t>
      </w:r>
      <w:r>
        <w:rPr>
          <w:color w:val="231F20"/>
          <w:spacing w:val="-7"/>
          <w:w w:val="120"/>
        </w:rPr>
        <w:t> </w:t>
      </w:r>
      <w:r>
        <w:rPr>
          <w:color w:val="231F20"/>
          <w:w w:val="120"/>
        </w:rPr>
        <w:t>d’autres</w:t>
      </w:r>
      <w:r>
        <w:rPr>
          <w:color w:val="231F20"/>
          <w:spacing w:val="-7"/>
          <w:w w:val="120"/>
        </w:rPr>
        <w:t> </w:t>
      </w:r>
      <w:r>
        <w:rPr>
          <w:color w:val="231F20"/>
          <w:w w:val="120"/>
        </w:rPr>
        <w:t>termes</w:t>
      </w:r>
      <w:r>
        <w:rPr>
          <w:color w:val="231F20"/>
          <w:spacing w:val="-7"/>
          <w:w w:val="120"/>
        </w:rPr>
        <w:t> </w:t>
      </w:r>
      <w:r>
        <w:rPr>
          <w:color w:val="231F20"/>
          <w:w w:val="120"/>
        </w:rPr>
        <w:t>scientifiques,</w:t>
      </w:r>
      <w:r>
        <w:rPr>
          <w:color w:val="231F20"/>
          <w:spacing w:val="-7"/>
          <w:w w:val="120"/>
        </w:rPr>
        <w:t> </w:t>
      </w:r>
      <w:r>
        <w:rPr>
          <w:color w:val="231F20"/>
          <w:w w:val="120"/>
        </w:rPr>
        <w:t>existait</w:t>
      </w:r>
      <w:r>
        <w:rPr>
          <w:color w:val="231F20"/>
          <w:spacing w:val="-7"/>
          <w:w w:val="120"/>
        </w:rPr>
        <w:t> </w:t>
      </w:r>
      <w:r>
        <w:rPr>
          <w:color w:val="231F20"/>
          <w:w w:val="120"/>
        </w:rPr>
        <w:t>avant que</w:t>
      </w:r>
      <w:r>
        <w:rPr>
          <w:color w:val="231F20"/>
          <w:spacing w:val="-8"/>
          <w:w w:val="120"/>
        </w:rPr>
        <w:t> </w:t>
      </w:r>
      <w:r>
        <w:rPr>
          <w:color w:val="231F20"/>
          <w:w w:val="120"/>
        </w:rPr>
        <w:t>son</w:t>
      </w:r>
      <w:r>
        <w:rPr>
          <w:color w:val="231F20"/>
          <w:spacing w:val="-8"/>
          <w:w w:val="120"/>
        </w:rPr>
        <w:t> </w:t>
      </w:r>
      <w:r>
        <w:rPr>
          <w:color w:val="231F20"/>
          <w:w w:val="120"/>
        </w:rPr>
        <w:t>emploi</w:t>
      </w:r>
      <w:r>
        <w:rPr>
          <w:color w:val="231F20"/>
          <w:spacing w:val="-8"/>
          <w:w w:val="120"/>
        </w:rPr>
        <w:t> </w:t>
      </w:r>
      <w:r>
        <w:rPr>
          <w:color w:val="231F20"/>
          <w:w w:val="120"/>
        </w:rPr>
        <w:t>devienne</w:t>
      </w:r>
      <w:r>
        <w:rPr>
          <w:color w:val="231F20"/>
          <w:spacing w:val="-8"/>
          <w:w w:val="120"/>
        </w:rPr>
        <w:t> </w:t>
      </w:r>
      <w:r>
        <w:rPr>
          <w:color w:val="231F20"/>
          <w:w w:val="120"/>
        </w:rPr>
        <w:t>systématique.</w:t>
      </w:r>
      <w:r>
        <w:rPr>
          <w:color w:val="231F20"/>
          <w:spacing w:val="-8"/>
          <w:w w:val="120"/>
        </w:rPr>
        <w:t> </w:t>
      </w:r>
      <w:r>
        <w:rPr>
          <w:color w:val="231F20"/>
          <w:w w:val="120"/>
        </w:rPr>
        <w:t>Il</w:t>
      </w:r>
      <w:r>
        <w:rPr>
          <w:color w:val="231F20"/>
          <w:spacing w:val="-8"/>
          <w:w w:val="120"/>
        </w:rPr>
        <w:t> </w:t>
      </w:r>
      <w:r>
        <w:rPr>
          <w:color w:val="231F20"/>
          <w:w w:val="120"/>
        </w:rPr>
        <w:t>était</w:t>
      </w:r>
      <w:r>
        <w:rPr>
          <w:color w:val="231F20"/>
          <w:spacing w:val="-8"/>
          <w:w w:val="120"/>
        </w:rPr>
        <w:t> </w:t>
      </w:r>
      <w:r>
        <w:rPr>
          <w:color w:val="231F20"/>
          <w:w w:val="120"/>
        </w:rPr>
        <w:t>déjà</w:t>
      </w:r>
      <w:r>
        <w:rPr>
          <w:color w:val="231F20"/>
          <w:spacing w:val="-8"/>
          <w:w w:val="120"/>
        </w:rPr>
        <w:t> </w:t>
      </w:r>
      <w:r>
        <w:rPr>
          <w:color w:val="231F20"/>
          <w:w w:val="120"/>
        </w:rPr>
        <w:t>en</w:t>
      </w:r>
      <w:r>
        <w:rPr>
          <w:color w:val="231F20"/>
          <w:spacing w:val="-8"/>
          <w:w w:val="120"/>
        </w:rPr>
        <w:t> </w:t>
      </w:r>
      <w:r>
        <w:rPr>
          <w:color w:val="231F20"/>
          <w:w w:val="120"/>
        </w:rPr>
        <w:t>usage</w:t>
      </w:r>
      <w:r>
        <w:rPr>
          <w:color w:val="231F20"/>
          <w:spacing w:val="-8"/>
          <w:w w:val="120"/>
        </w:rPr>
        <w:t> </w:t>
      </w:r>
      <w:r>
        <w:rPr>
          <w:color w:val="231F20"/>
          <w:w w:val="120"/>
        </w:rPr>
        <w:t>en</w:t>
      </w:r>
      <w:r>
        <w:rPr>
          <w:color w:val="231F20"/>
          <w:spacing w:val="-8"/>
          <w:w w:val="120"/>
        </w:rPr>
        <w:t> </w:t>
      </w:r>
      <w:r>
        <w:rPr>
          <w:color w:val="231F20"/>
          <w:w w:val="120"/>
        </w:rPr>
        <w:t>anglais </w:t>
      </w:r>
      <w:r>
        <w:rPr>
          <w:color w:val="231F20"/>
          <w:w w:val="115"/>
        </w:rPr>
        <w:t>au</w:t>
      </w:r>
      <w:r>
        <w:rPr>
          <w:color w:val="231F20"/>
          <w:spacing w:val="-8"/>
          <w:w w:val="115"/>
        </w:rPr>
        <w:t> </w:t>
      </w:r>
      <w:r>
        <w:rPr>
          <w:color w:val="231F20"/>
          <w:w w:val="115"/>
        </w:rPr>
        <w:t>XIV</w:t>
      </w:r>
      <w:r>
        <w:rPr>
          <w:color w:val="231F20"/>
          <w:w w:val="115"/>
          <w:position w:val="6"/>
          <w:sz w:val="10"/>
        </w:rPr>
        <w:t>e</w:t>
      </w:r>
      <w:r>
        <w:rPr>
          <w:color w:val="231F20"/>
          <w:spacing w:val="12"/>
          <w:w w:val="115"/>
          <w:position w:val="6"/>
          <w:sz w:val="10"/>
        </w:rPr>
        <w:t> </w:t>
      </w:r>
      <w:r>
        <w:rPr>
          <w:color w:val="231F20"/>
          <w:w w:val="115"/>
        </w:rPr>
        <w:t>siècle</w:t>
      </w:r>
      <w:r>
        <w:rPr>
          <w:color w:val="231F20"/>
          <w:spacing w:val="-8"/>
          <w:w w:val="115"/>
        </w:rPr>
        <w:t> </w:t>
      </w:r>
      <w:r>
        <w:rPr>
          <w:color w:val="231F20"/>
          <w:w w:val="115"/>
        </w:rPr>
        <w:t>pour</w:t>
      </w:r>
      <w:r>
        <w:rPr>
          <w:color w:val="231F20"/>
          <w:spacing w:val="-8"/>
          <w:w w:val="115"/>
        </w:rPr>
        <w:t> </w:t>
      </w:r>
      <w:r>
        <w:rPr>
          <w:color w:val="231F20"/>
          <w:w w:val="115"/>
        </w:rPr>
        <w:t>exprimer</w:t>
      </w:r>
      <w:r>
        <w:rPr>
          <w:color w:val="231F20"/>
          <w:spacing w:val="-8"/>
          <w:w w:val="115"/>
        </w:rPr>
        <w:t> </w:t>
      </w:r>
      <w:r>
        <w:rPr>
          <w:color w:val="231F20"/>
          <w:w w:val="115"/>
        </w:rPr>
        <w:t>la</w:t>
      </w:r>
      <w:r>
        <w:rPr>
          <w:color w:val="231F20"/>
          <w:spacing w:val="-8"/>
          <w:w w:val="115"/>
        </w:rPr>
        <w:t> </w:t>
      </w:r>
      <w:r>
        <w:rPr>
          <w:color w:val="231F20"/>
          <w:w w:val="115"/>
        </w:rPr>
        <w:t>ténacité,</w:t>
      </w:r>
      <w:r>
        <w:rPr>
          <w:color w:val="231F20"/>
          <w:spacing w:val="-8"/>
          <w:w w:val="115"/>
        </w:rPr>
        <w:t> </w:t>
      </w:r>
      <w:r>
        <w:rPr>
          <w:color w:val="231F20"/>
          <w:w w:val="115"/>
        </w:rPr>
        <w:t>la</w:t>
      </w:r>
      <w:r>
        <w:rPr>
          <w:color w:val="231F20"/>
          <w:spacing w:val="-8"/>
          <w:w w:val="115"/>
        </w:rPr>
        <w:t> </w:t>
      </w:r>
      <w:r>
        <w:rPr>
          <w:color w:val="231F20"/>
          <w:w w:val="115"/>
        </w:rPr>
        <w:t>tension,</w:t>
      </w:r>
      <w:r>
        <w:rPr>
          <w:color w:val="231F20"/>
          <w:spacing w:val="-8"/>
          <w:w w:val="115"/>
        </w:rPr>
        <w:t> </w:t>
      </w:r>
      <w:r>
        <w:rPr>
          <w:color w:val="231F20"/>
          <w:w w:val="115"/>
        </w:rPr>
        <w:t>l’adversité</w:t>
      </w:r>
      <w:r>
        <w:rPr>
          <w:color w:val="231F20"/>
          <w:spacing w:val="-8"/>
          <w:w w:val="115"/>
        </w:rPr>
        <w:t> </w:t>
      </w:r>
      <w:r>
        <w:rPr>
          <w:color w:val="231F20"/>
          <w:w w:val="115"/>
        </w:rPr>
        <w:t>ou</w:t>
      </w:r>
      <w:r>
        <w:rPr>
          <w:color w:val="231F20"/>
          <w:spacing w:val="-8"/>
          <w:w w:val="115"/>
        </w:rPr>
        <w:t> </w:t>
      </w:r>
      <w:r>
        <w:rPr>
          <w:color w:val="231F20"/>
          <w:w w:val="115"/>
        </w:rPr>
        <w:t>l’afflic- tion.</w:t>
      </w:r>
      <w:r>
        <w:rPr>
          <w:color w:val="231F20"/>
          <w:spacing w:val="-13"/>
          <w:w w:val="115"/>
        </w:rPr>
        <w:t> </w:t>
      </w:r>
      <w:r>
        <w:rPr>
          <w:color w:val="231F20"/>
          <w:w w:val="115"/>
        </w:rPr>
        <w:t>À</w:t>
      </w:r>
      <w:r>
        <w:rPr>
          <w:color w:val="231F20"/>
          <w:spacing w:val="-12"/>
          <w:w w:val="115"/>
        </w:rPr>
        <w:t> </w:t>
      </w:r>
      <w:r>
        <w:rPr>
          <w:color w:val="231F20"/>
          <w:w w:val="115"/>
        </w:rPr>
        <w:t>la</w:t>
      </w:r>
      <w:r>
        <w:rPr>
          <w:color w:val="231F20"/>
          <w:spacing w:val="-12"/>
          <w:w w:val="115"/>
        </w:rPr>
        <w:t> </w:t>
      </w:r>
      <w:r>
        <w:rPr>
          <w:color w:val="231F20"/>
          <w:w w:val="115"/>
        </w:rPr>
        <w:t>fin</w:t>
      </w:r>
      <w:r>
        <w:rPr>
          <w:color w:val="231F20"/>
          <w:spacing w:val="-12"/>
          <w:w w:val="115"/>
        </w:rPr>
        <w:t> </w:t>
      </w:r>
      <w:r>
        <w:rPr>
          <w:color w:val="231F20"/>
          <w:w w:val="115"/>
        </w:rPr>
        <w:t>du</w:t>
      </w:r>
      <w:r>
        <w:rPr>
          <w:color w:val="231F20"/>
          <w:spacing w:val="-13"/>
          <w:w w:val="115"/>
        </w:rPr>
        <w:t> </w:t>
      </w:r>
      <w:r>
        <w:rPr>
          <w:color w:val="231F20"/>
          <w:w w:val="115"/>
        </w:rPr>
        <w:t>XVIII</w:t>
      </w:r>
      <w:r>
        <w:rPr>
          <w:color w:val="231F20"/>
          <w:w w:val="115"/>
          <w:position w:val="6"/>
          <w:sz w:val="10"/>
        </w:rPr>
        <w:t>e</w:t>
      </w:r>
      <w:r>
        <w:rPr>
          <w:color w:val="231F20"/>
          <w:spacing w:val="-6"/>
          <w:w w:val="115"/>
          <w:position w:val="6"/>
          <w:sz w:val="10"/>
        </w:rPr>
        <w:t> </w:t>
      </w:r>
      <w:r>
        <w:rPr>
          <w:color w:val="231F20"/>
          <w:w w:val="115"/>
        </w:rPr>
        <w:t>siècle,</w:t>
      </w:r>
      <w:r>
        <w:rPr>
          <w:color w:val="231F20"/>
          <w:spacing w:val="-13"/>
          <w:w w:val="115"/>
        </w:rPr>
        <w:t> </w:t>
      </w:r>
      <w:r>
        <w:rPr>
          <w:color w:val="231F20"/>
          <w:w w:val="115"/>
        </w:rPr>
        <w:t>Hocke</w:t>
      </w:r>
      <w:r>
        <w:rPr>
          <w:color w:val="231F20"/>
          <w:spacing w:val="-12"/>
          <w:w w:val="115"/>
        </w:rPr>
        <w:t> </w:t>
      </w:r>
      <w:r>
        <w:rPr>
          <w:color w:val="231F20"/>
          <w:w w:val="115"/>
        </w:rPr>
        <w:t>utilisait</w:t>
      </w:r>
      <w:r>
        <w:rPr>
          <w:color w:val="231F20"/>
          <w:spacing w:val="-12"/>
          <w:w w:val="115"/>
        </w:rPr>
        <w:t> </w:t>
      </w:r>
      <w:r>
        <w:rPr>
          <w:color w:val="231F20"/>
          <w:w w:val="115"/>
        </w:rPr>
        <w:t>ce</w:t>
      </w:r>
      <w:r>
        <w:rPr>
          <w:color w:val="231F20"/>
          <w:spacing w:val="-12"/>
          <w:w w:val="115"/>
        </w:rPr>
        <w:t> </w:t>
      </w:r>
      <w:r>
        <w:rPr>
          <w:color w:val="231F20"/>
          <w:w w:val="115"/>
        </w:rPr>
        <w:t>mot</w:t>
      </w:r>
      <w:r>
        <w:rPr>
          <w:color w:val="231F20"/>
          <w:spacing w:val="-13"/>
          <w:w w:val="115"/>
        </w:rPr>
        <w:t> </w:t>
      </w:r>
      <w:r>
        <w:rPr>
          <w:color w:val="231F20"/>
          <w:w w:val="115"/>
        </w:rPr>
        <w:t>dans</w:t>
      </w:r>
      <w:r>
        <w:rPr>
          <w:color w:val="231F20"/>
          <w:spacing w:val="-12"/>
          <w:w w:val="115"/>
        </w:rPr>
        <w:t> </w:t>
      </w:r>
      <w:r>
        <w:rPr>
          <w:color w:val="231F20"/>
          <w:w w:val="115"/>
        </w:rPr>
        <w:t>un</w:t>
      </w:r>
      <w:r>
        <w:rPr>
          <w:color w:val="231F20"/>
          <w:spacing w:val="-12"/>
          <w:w w:val="115"/>
        </w:rPr>
        <w:t> </w:t>
      </w:r>
      <w:r>
        <w:rPr>
          <w:color w:val="231F20"/>
          <w:w w:val="115"/>
        </w:rPr>
        <w:t>contexte</w:t>
      </w:r>
      <w:r>
        <w:rPr>
          <w:color w:val="231F20"/>
          <w:spacing w:val="-12"/>
          <w:w w:val="115"/>
        </w:rPr>
        <w:t> </w:t>
      </w:r>
      <w:r>
        <w:rPr>
          <w:color w:val="231F20"/>
          <w:w w:val="115"/>
        </w:rPr>
        <w:t>phy- </w:t>
      </w:r>
      <w:r>
        <w:rPr>
          <w:color w:val="231F20"/>
          <w:spacing w:val="-2"/>
          <w:w w:val="120"/>
        </w:rPr>
        <w:t>sique,</w:t>
      </w:r>
      <w:r>
        <w:rPr>
          <w:color w:val="231F20"/>
          <w:spacing w:val="-5"/>
          <w:w w:val="120"/>
        </w:rPr>
        <w:t> </w:t>
      </w:r>
      <w:r>
        <w:rPr>
          <w:color w:val="231F20"/>
          <w:spacing w:val="-2"/>
          <w:w w:val="120"/>
        </w:rPr>
        <w:t>bien</w:t>
      </w:r>
      <w:r>
        <w:rPr>
          <w:color w:val="231F20"/>
          <w:spacing w:val="-5"/>
          <w:w w:val="120"/>
        </w:rPr>
        <w:t> </w:t>
      </w:r>
      <w:r>
        <w:rPr>
          <w:color w:val="231F20"/>
          <w:spacing w:val="-2"/>
          <w:w w:val="120"/>
        </w:rPr>
        <w:t>que</w:t>
      </w:r>
      <w:r>
        <w:rPr>
          <w:color w:val="231F20"/>
          <w:spacing w:val="-5"/>
          <w:w w:val="120"/>
        </w:rPr>
        <w:t> </w:t>
      </w:r>
      <w:r>
        <w:rPr>
          <w:color w:val="231F20"/>
          <w:spacing w:val="-2"/>
          <w:w w:val="120"/>
        </w:rPr>
        <w:t>son</w:t>
      </w:r>
      <w:r>
        <w:rPr>
          <w:color w:val="231F20"/>
          <w:spacing w:val="-5"/>
          <w:w w:val="120"/>
        </w:rPr>
        <w:t> </w:t>
      </w:r>
      <w:r>
        <w:rPr>
          <w:color w:val="231F20"/>
          <w:spacing w:val="-2"/>
          <w:w w:val="120"/>
        </w:rPr>
        <w:t>emploi</w:t>
      </w:r>
      <w:r>
        <w:rPr>
          <w:color w:val="231F20"/>
          <w:spacing w:val="-5"/>
          <w:w w:val="120"/>
        </w:rPr>
        <w:t> </w:t>
      </w:r>
      <w:r>
        <w:rPr>
          <w:color w:val="231F20"/>
          <w:spacing w:val="-2"/>
          <w:w w:val="120"/>
        </w:rPr>
        <w:t>ne</w:t>
      </w:r>
      <w:r>
        <w:rPr>
          <w:color w:val="231F20"/>
          <w:spacing w:val="-5"/>
          <w:w w:val="120"/>
        </w:rPr>
        <w:t> </w:t>
      </w:r>
      <w:r>
        <w:rPr>
          <w:color w:val="231F20"/>
          <w:spacing w:val="-2"/>
          <w:w w:val="120"/>
        </w:rPr>
        <w:t>devînt</w:t>
      </w:r>
      <w:r>
        <w:rPr>
          <w:color w:val="231F20"/>
          <w:spacing w:val="-5"/>
          <w:w w:val="120"/>
        </w:rPr>
        <w:t> </w:t>
      </w:r>
      <w:r>
        <w:rPr>
          <w:color w:val="231F20"/>
          <w:spacing w:val="-2"/>
          <w:w w:val="120"/>
        </w:rPr>
        <w:t>systématique</w:t>
      </w:r>
      <w:r>
        <w:rPr>
          <w:color w:val="231F20"/>
          <w:spacing w:val="-5"/>
          <w:w w:val="120"/>
        </w:rPr>
        <w:t> </w:t>
      </w:r>
      <w:r>
        <w:rPr>
          <w:color w:val="231F20"/>
          <w:spacing w:val="-2"/>
          <w:w w:val="120"/>
        </w:rPr>
        <w:t>qu’au</w:t>
      </w:r>
      <w:r>
        <w:rPr>
          <w:color w:val="231F20"/>
          <w:spacing w:val="-5"/>
          <w:w w:val="120"/>
        </w:rPr>
        <w:t> </w:t>
      </w:r>
      <w:r>
        <w:rPr>
          <w:color w:val="231F20"/>
          <w:spacing w:val="-2"/>
          <w:w w:val="120"/>
        </w:rPr>
        <w:t>début</w:t>
      </w:r>
      <w:r>
        <w:rPr>
          <w:color w:val="231F20"/>
          <w:spacing w:val="-5"/>
          <w:w w:val="120"/>
        </w:rPr>
        <w:t> </w:t>
      </w:r>
      <w:r>
        <w:rPr>
          <w:color w:val="231F20"/>
          <w:spacing w:val="-2"/>
          <w:w w:val="120"/>
        </w:rPr>
        <w:t>du</w:t>
      </w:r>
      <w:r>
        <w:rPr>
          <w:color w:val="231F20"/>
          <w:spacing w:val="-5"/>
          <w:w w:val="120"/>
        </w:rPr>
        <w:t> </w:t>
      </w:r>
      <w:r>
        <w:rPr>
          <w:color w:val="231F20"/>
          <w:spacing w:val="-2"/>
          <w:w w:val="120"/>
        </w:rPr>
        <w:t>siècle </w:t>
      </w:r>
      <w:r>
        <w:rPr>
          <w:color w:val="231F20"/>
          <w:w w:val="115"/>
        </w:rPr>
        <w:t>suivant.</w:t>
      </w:r>
      <w:r>
        <w:rPr>
          <w:color w:val="231F20"/>
          <w:spacing w:val="-2"/>
          <w:w w:val="115"/>
        </w:rPr>
        <w:t> </w:t>
      </w:r>
      <w:r>
        <w:rPr>
          <w:color w:val="231F20"/>
          <w:w w:val="115"/>
        </w:rPr>
        <w:t>Le</w:t>
      </w:r>
      <w:r>
        <w:rPr>
          <w:color w:val="231F20"/>
          <w:spacing w:val="-2"/>
          <w:w w:val="115"/>
        </w:rPr>
        <w:t> </w:t>
      </w:r>
      <w:r>
        <w:rPr>
          <w:color w:val="231F20"/>
          <w:w w:val="115"/>
        </w:rPr>
        <w:t>mot</w:t>
      </w:r>
      <w:r>
        <w:rPr>
          <w:color w:val="231F20"/>
          <w:spacing w:val="-2"/>
          <w:w w:val="115"/>
        </w:rPr>
        <w:t> </w:t>
      </w:r>
      <w:r>
        <w:rPr>
          <w:i/>
          <w:color w:val="231F20"/>
          <w:w w:val="115"/>
        </w:rPr>
        <w:t>charge</w:t>
      </w:r>
      <w:r>
        <w:rPr>
          <w:i/>
          <w:color w:val="231F20"/>
          <w:spacing w:val="-1"/>
          <w:w w:val="115"/>
        </w:rPr>
        <w:t> </w:t>
      </w:r>
      <w:r>
        <w:rPr>
          <w:color w:val="231F20"/>
          <w:w w:val="115"/>
        </w:rPr>
        <w:t>(</w:t>
      </w:r>
      <w:r>
        <w:rPr>
          <w:i/>
          <w:color w:val="231F20"/>
          <w:w w:val="115"/>
        </w:rPr>
        <w:t>load</w:t>
      </w:r>
      <w:r>
        <w:rPr>
          <w:color w:val="231F20"/>
          <w:w w:val="115"/>
        </w:rPr>
        <w:t>)</w:t>
      </w:r>
      <w:r>
        <w:rPr>
          <w:color w:val="231F20"/>
          <w:spacing w:val="-2"/>
          <w:w w:val="115"/>
        </w:rPr>
        <w:t> </w:t>
      </w:r>
      <w:r>
        <w:rPr>
          <w:color w:val="231F20"/>
          <w:w w:val="115"/>
        </w:rPr>
        <w:t>était</w:t>
      </w:r>
      <w:r>
        <w:rPr>
          <w:color w:val="231F20"/>
          <w:spacing w:val="-2"/>
          <w:w w:val="115"/>
        </w:rPr>
        <w:t> </w:t>
      </w:r>
      <w:r>
        <w:rPr>
          <w:color w:val="231F20"/>
          <w:w w:val="115"/>
        </w:rPr>
        <w:t>alors</w:t>
      </w:r>
      <w:r>
        <w:rPr>
          <w:color w:val="231F20"/>
          <w:spacing w:val="-2"/>
          <w:w w:val="115"/>
        </w:rPr>
        <w:t> </w:t>
      </w:r>
      <w:r>
        <w:rPr>
          <w:color w:val="231F20"/>
          <w:w w:val="115"/>
        </w:rPr>
        <w:t>défini</w:t>
      </w:r>
      <w:r>
        <w:rPr>
          <w:color w:val="231F20"/>
          <w:spacing w:val="-2"/>
          <w:w w:val="115"/>
        </w:rPr>
        <w:t> </w:t>
      </w:r>
      <w:r>
        <w:rPr>
          <w:color w:val="231F20"/>
          <w:w w:val="115"/>
        </w:rPr>
        <w:t>comme</w:t>
      </w:r>
      <w:r>
        <w:rPr>
          <w:color w:val="231F20"/>
          <w:spacing w:val="-2"/>
          <w:w w:val="115"/>
        </w:rPr>
        <w:t> </w:t>
      </w:r>
      <w:r>
        <w:rPr>
          <w:color w:val="231F20"/>
          <w:w w:val="115"/>
        </w:rPr>
        <w:t>une</w:t>
      </w:r>
      <w:r>
        <w:rPr>
          <w:color w:val="231F20"/>
          <w:spacing w:val="-2"/>
          <w:w w:val="115"/>
        </w:rPr>
        <w:t> </w:t>
      </w:r>
      <w:r>
        <w:rPr>
          <w:color w:val="231F20"/>
          <w:w w:val="115"/>
        </w:rPr>
        <w:t>force</w:t>
      </w:r>
      <w:r>
        <w:rPr>
          <w:color w:val="231F20"/>
          <w:spacing w:val="-2"/>
          <w:w w:val="115"/>
        </w:rPr>
        <w:t> </w:t>
      </w:r>
      <w:r>
        <w:rPr>
          <w:color w:val="231F20"/>
          <w:w w:val="115"/>
        </w:rPr>
        <w:t>externe, le</w:t>
      </w:r>
      <w:r>
        <w:rPr>
          <w:color w:val="231F20"/>
          <w:spacing w:val="-10"/>
          <w:w w:val="115"/>
        </w:rPr>
        <w:t> </w:t>
      </w:r>
      <w:r>
        <w:rPr>
          <w:color w:val="231F20"/>
          <w:w w:val="115"/>
        </w:rPr>
        <w:t>terme</w:t>
      </w:r>
      <w:r>
        <w:rPr>
          <w:color w:val="231F20"/>
          <w:spacing w:val="-10"/>
          <w:w w:val="115"/>
        </w:rPr>
        <w:t> </w:t>
      </w:r>
      <w:r>
        <w:rPr>
          <w:i/>
          <w:color w:val="231F20"/>
          <w:w w:val="115"/>
        </w:rPr>
        <w:t>stress</w:t>
      </w:r>
      <w:r>
        <w:rPr>
          <w:i/>
          <w:color w:val="231F20"/>
          <w:spacing w:val="-10"/>
          <w:w w:val="115"/>
        </w:rPr>
        <w:t> </w:t>
      </w:r>
      <w:r>
        <w:rPr>
          <w:color w:val="231F20"/>
          <w:w w:val="115"/>
        </w:rPr>
        <w:t>désignait</w:t>
      </w:r>
      <w:r>
        <w:rPr>
          <w:color w:val="231F20"/>
          <w:spacing w:val="-10"/>
          <w:w w:val="115"/>
        </w:rPr>
        <w:t> </w:t>
      </w:r>
      <w:r>
        <w:rPr>
          <w:color w:val="231F20"/>
          <w:w w:val="115"/>
        </w:rPr>
        <w:t>la</w:t>
      </w:r>
      <w:r>
        <w:rPr>
          <w:color w:val="231F20"/>
          <w:spacing w:val="-10"/>
          <w:w w:val="115"/>
        </w:rPr>
        <w:t> </w:t>
      </w:r>
      <w:r>
        <w:rPr>
          <w:color w:val="231F20"/>
          <w:w w:val="115"/>
        </w:rPr>
        <w:t>force</w:t>
      </w:r>
      <w:r>
        <w:rPr>
          <w:color w:val="231F20"/>
          <w:spacing w:val="-10"/>
          <w:w w:val="115"/>
        </w:rPr>
        <w:t> </w:t>
      </w:r>
      <w:r>
        <w:rPr>
          <w:color w:val="231F20"/>
          <w:w w:val="115"/>
        </w:rPr>
        <w:t>engendrée</w:t>
      </w:r>
      <w:r>
        <w:rPr>
          <w:color w:val="231F20"/>
          <w:spacing w:val="-10"/>
          <w:w w:val="115"/>
        </w:rPr>
        <w:t> </w:t>
      </w:r>
      <w:r>
        <w:rPr>
          <w:color w:val="231F20"/>
          <w:w w:val="115"/>
        </w:rPr>
        <w:t>sur</w:t>
      </w:r>
      <w:r>
        <w:rPr>
          <w:color w:val="231F20"/>
          <w:spacing w:val="-10"/>
          <w:w w:val="115"/>
        </w:rPr>
        <w:t> </w:t>
      </w:r>
      <w:r>
        <w:rPr>
          <w:color w:val="231F20"/>
          <w:w w:val="115"/>
        </w:rPr>
        <w:t>l’organisme</w:t>
      </w:r>
      <w:r>
        <w:rPr>
          <w:color w:val="231F20"/>
          <w:spacing w:val="-10"/>
          <w:w w:val="115"/>
        </w:rPr>
        <w:t> </w:t>
      </w:r>
      <w:r>
        <w:rPr>
          <w:color w:val="231F20"/>
          <w:w w:val="115"/>
        </w:rPr>
        <w:t>par</w:t>
      </w:r>
      <w:r>
        <w:rPr>
          <w:color w:val="231F20"/>
          <w:spacing w:val="-10"/>
          <w:w w:val="115"/>
        </w:rPr>
        <w:t> </w:t>
      </w:r>
      <w:r>
        <w:rPr>
          <w:color w:val="231F20"/>
          <w:w w:val="115"/>
        </w:rPr>
        <w:t>l’action</w:t>
      </w:r>
      <w:r>
        <w:rPr>
          <w:color w:val="231F20"/>
          <w:spacing w:val="-10"/>
          <w:w w:val="115"/>
        </w:rPr>
        <w:t> </w:t>
      </w:r>
      <w:r>
        <w:rPr>
          <w:color w:val="231F20"/>
          <w:w w:val="115"/>
        </w:rPr>
        <w:t>de cette</w:t>
      </w:r>
      <w:r>
        <w:rPr>
          <w:color w:val="231F20"/>
          <w:spacing w:val="-9"/>
          <w:w w:val="115"/>
        </w:rPr>
        <w:t> </w:t>
      </w:r>
      <w:r>
        <w:rPr>
          <w:color w:val="231F20"/>
          <w:w w:val="115"/>
        </w:rPr>
        <w:t>force</w:t>
      </w:r>
      <w:r>
        <w:rPr>
          <w:color w:val="231F20"/>
          <w:spacing w:val="-9"/>
          <w:w w:val="115"/>
        </w:rPr>
        <w:t> </w:t>
      </w:r>
      <w:r>
        <w:rPr>
          <w:color w:val="231F20"/>
          <w:w w:val="115"/>
        </w:rPr>
        <w:t>externe</w:t>
      </w:r>
      <w:r>
        <w:rPr>
          <w:color w:val="231F20"/>
          <w:spacing w:val="-9"/>
          <w:w w:val="115"/>
        </w:rPr>
        <w:t> </w:t>
      </w:r>
      <w:r>
        <w:rPr>
          <w:color w:val="231F20"/>
          <w:w w:val="115"/>
        </w:rPr>
        <w:t>qui</w:t>
      </w:r>
      <w:r>
        <w:rPr>
          <w:color w:val="231F20"/>
          <w:spacing w:val="-9"/>
          <w:w w:val="115"/>
        </w:rPr>
        <w:t> </w:t>
      </w:r>
      <w:r>
        <w:rPr>
          <w:color w:val="231F20"/>
          <w:w w:val="115"/>
        </w:rPr>
        <w:t>tendait</w:t>
      </w:r>
      <w:r>
        <w:rPr>
          <w:color w:val="231F20"/>
          <w:spacing w:val="-9"/>
          <w:w w:val="115"/>
        </w:rPr>
        <w:t> </w:t>
      </w:r>
      <w:r>
        <w:rPr>
          <w:color w:val="231F20"/>
          <w:w w:val="115"/>
        </w:rPr>
        <w:t>à</w:t>
      </w:r>
      <w:r>
        <w:rPr>
          <w:color w:val="231F20"/>
          <w:spacing w:val="-9"/>
          <w:w w:val="115"/>
        </w:rPr>
        <w:t> </w:t>
      </w:r>
      <w:r>
        <w:rPr>
          <w:color w:val="231F20"/>
          <w:w w:val="115"/>
        </w:rPr>
        <w:t>le</w:t>
      </w:r>
      <w:r>
        <w:rPr>
          <w:color w:val="231F20"/>
          <w:spacing w:val="-9"/>
          <w:w w:val="115"/>
        </w:rPr>
        <w:t> </w:t>
      </w:r>
      <w:r>
        <w:rPr>
          <w:color w:val="231F20"/>
          <w:w w:val="115"/>
        </w:rPr>
        <w:t>déformer,</w:t>
      </w:r>
      <w:r>
        <w:rPr>
          <w:color w:val="231F20"/>
          <w:spacing w:val="-9"/>
          <w:w w:val="115"/>
        </w:rPr>
        <w:t> </w:t>
      </w:r>
      <w:r>
        <w:rPr>
          <w:color w:val="231F20"/>
          <w:w w:val="115"/>
        </w:rPr>
        <w:t>et</w:t>
      </w:r>
      <w:r>
        <w:rPr>
          <w:color w:val="231F20"/>
          <w:spacing w:val="-9"/>
          <w:w w:val="115"/>
        </w:rPr>
        <w:t> </w:t>
      </w:r>
      <w:r>
        <w:rPr>
          <w:color w:val="231F20"/>
          <w:w w:val="115"/>
        </w:rPr>
        <w:t>le</w:t>
      </w:r>
      <w:r>
        <w:rPr>
          <w:color w:val="231F20"/>
          <w:spacing w:val="-9"/>
          <w:w w:val="115"/>
        </w:rPr>
        <w:t> </w:t>
      </w:r>
      <w:r>
        <w:rPr>
          <w:color w:val="231F20"/>
          <w:w w:val="115"/>
        </w:rPr>
        <w:t>mot</w:t>
      </w:r>
      <w:r>
        <w:rPr>
          <w:color w:val="231F20"/>
          <w:spacing w:val="-9"/>
          <w:w w:val="115"/>
        </w:rPr>
        <w:t> </w:t>
      </w:r>
      <w:r>
        <w:rPr>
          <w:i/>
          <w:color w:val="231F20"/>
          <w:w w:val="115"/>
        </w:rPr>
        <w:t>tension</w:t>
      </w:r>
      <w:r>
        <w:rPr>
          <w:i/>
          <w:color w:val="231F20"/>
          <w:spacing w:val="-9"/>
          <w:w w:val="115"/>
        </w:rPr>
        <w:t> </w:t>
      </w:r>
      <w:r>
        <w:rPr>
          <w:color w:val="231F20"/>
          <w:w w:val="115"/>
        </w:rPr>
        <w:t>(</w:t>
      </w:r>
      <w:r>
        <w:rPr>
          <w:i/>
          <w:color w:val="231F20"/>
          <w:w w:val="115"/>
        </w:rPr>
        <w:t>strain</w:t>
      </w:r>
      <w:r>
        <w:rPr>
          <w:color w:val="231F20"/>
          <w:w w:val="115"/>
        </w:rPr>
        <w:t>)</w:t>
      </w:r>
      <w:r>
        <w:rPr>
          <w:color w:val="231F20"/>
          <w:spacing w:val="-9"/>
          <w:w w:val="115"/>
        </w:rPr>
        <w:t> </w:t>
      </w:r>
      <w:r>
        <w:rPr>
          <w:color w:val="231F20"/>
          <w:w w:val="115"/>
        </w:rPr>
        <w:t>était </w:t>
      </w:r>
      <w:r>
        <w:rPr>
          <w:color w:val="231F20"/>
          <w:w w:val="120"/>
        </w:rPr>
        <w:t>associé</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déformation</w:t>
      </w:r>
      <w:r>
        <w:rPr>
          <w:color w:val="231F20"/>
          <w:spacing w:val="-12"/>
          <w:w w:val="120"/>
        </w:rPr>
        <w:t> </w:t>
      </w:r>
      <w:r>
        <w:rPr>
          <w:color w:val="231F20"/>
          <w:w w:val="120"/>
        </w:rPr>
        <w:t>ou</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distorsion</w:t>
      </w:r>
      <w:r>
        <w:rPr>
          <w:color w:val="231F20"/>
          <w:spacing w:val="-12"/>
          <w:w w:val="120"/>
        </w:rPr>
        <w:t> </w:t>
      </w:r>
      <w:r>
        <w:rPr>
          <w:color w:val="231F20"/>
          <w:w w:val="120"/>
        </w:rPr>
        <w:t>subie</w:t>
      </w:r>
      <w:r>
        <w:rPr>
          <w:color w:val="231F20"/>
          <w:spacing w:val="-12"/>
          <w:w w:val="120"/>
        </w:rPr>
        <w:t> </w:t>
      </w:r>
      <w:r>
        <w:rPr>
          <w:color w:val="231F20"/>
          <w:w w:val="120"/>
        </w:rPr>
        <w:t>par</w:t>
      </w:r>
      <w:r>
        <w:rPr>
          <w:color w:val="231F20"/>
          <w:spacing w:val="-12"/>
          <w:w w:val="120"/>
        </w:rPr>
        <w:t> </w:t>
      </w:r>
      <w:r>
        <w:rPr>
          <w:color w:val="231F20"/>
          <w:w w:val="120"/>
        </w:rPr>
        <w:t>l’objet.</w:t>
      </w:r>
      <w:r>
        <w:rPr>
          <w:color w:val="231F20"/>
          <w:spacing w:val="-12"/>
          <w:w w:val="120"/>
        </w:rPr>
        <w:t> </w:t>
      </w:r>
      <w:r>
        <w:rPr>
          <w:color w:val="231F20"/>
          <w:w w:val="120"/>
        </w:rPr>
        <w:t>De</w:t>
      </w:r>
      <w:r>
        <w:rPr>
          <w:color w:val="231F20"/>
          <w:spacing w:val="-12"/>
          <w:w w:val="120"/>
        </w:rPr>
        <w:t> </w:t>
      </w:r>
      <w:r>
        <w:rPr>
          <w:color w:val="231F20"/>
          <w:w w:val="120"/>
        </w:rPr>
        <w:t>ces</w:t>
      </w:r>
      <w:r>
        <w:rPr>
          <w:color w:val="231F20"/>
          <w:spacing w:val="-12"/>
          <w:w w:val="120"/>
        </w:rPr>
        <w:t> </w:t>
      </w:r>
      <w:r>
        <w:rPr>
          <w:color w:val="231F20"/>
          <w:w w:val="120"/>
        </w:rPr>
        <w:t>trois notions,</w:t>
      </w:r>
      <w:r>
        <w:rPr>
          <w:color w:val="231F20"/>
          <w:spacing w:val="-4"/>
          <w:w w:val="120"/>
        </w:rPr>
        <w:t> </w:t>
      </w:r>
      <w:r>
        <w:rPr>
          <w:color w:val="231F20"/>
          <w:w w:val="120"/>
        </w:rPr>
        <w:t>celles</w:t>
      </w:r>
      <w:r>
        <w:rPr>
          <w:color w:val="231F20"/>
          <w:spacing w:val="-4"/>
          <w:w w:val="120"/>
        </w:rPr>
        <w:t> </w:t>
      </w:r>
      <w:r>
        <w:rPr>
          <w:color w:val="231F20"/>
          <w:w w:val="120"/>
        </w:rPr>
        <w:t>de</w:t>
      </w:r>
      <w:r>
        <w:rPr>
          <w:color w:val="231F20"/>
          <w:spacing w:val="-4"/>
          <w:w w:val="120"/>
        </w:rPr>
        <w:t> </w:t>
      </w:r>
      <w:r>
        <w:rPr>
          <w:i/>
          <w:color w:val="231F20"/>
          <w:w w:val="120"/>
        </w:rPr>
        <w:t>stress</w:t>
      </w:r>
      <w:r>
        <w:rPr>
          <w:i/>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i/>
          <w:color w:val="231F20"/>
          <w:w w:val="120"/>
        </w:rPr>
        <w:t>tension</w:t>
      </w:r>
      <w:r>
        <w:rPr>
          <w:i/>
          <w:color w:val="231F20"/>
          <w:spacing w:val="-4"/>
          <w:w w:val="120"/>
        </w:rPr>
        <w:t> </w:t>
      </w:r>
      <w:r>
        <w:rPr>
          <w:color w:val="231F20"/>
          <w:w w:val="120"/>
        </w:rPr>
        <w:t>survécurent</w:t>
      </w:r>
      <w:r>
        <w:rPr>
          <w:color w:val="231F20"/>
          <w:spacing w:val="-4"/>
          <w:w w:val="120"/>
        </w:rPr>
        <w:t> </w:t>
      </w:r>
      <w:r>
        <w:rPr>
          <w:color w:val="231F20"/>
          <w:w w:val="120"/>
        </w:rPr>
        <w:t>et</w:t>
      </w:r>
      <w:r>
        <w:rPr>
          <w:color w:val="231F20"/>
          <w:spacing w:val="-4"/>
          <w:w w:val="120"/>
        </w:rPr>
        <w:t> </w:t>
      </w:r>
      <w:r>
        <w:rPr>
          <w:color w:val="231F20"/>
          <w:w w:val="120"/>
        </w:rPr>
        <w:t>furent</w:t>
      </w:r>
      <w:r>
        <w:rPr>
          <w:color w:val="231F20"/>
          <w:spacing w:val="-4"/>
          <w:w w:val="120"/>
        </w:rPr>
        <w:t> </w:t>
      </w:r>
      <w:r>
        <w:rPr>
          <w:color w:val="231F20"/>
          <w:w w:val="120"/>
        </w:rPr>
        <w:t>incorporées au</w:t>
      </w:r>
      <w:r>
        <w:rPr>
          <w:color w:val="231F20"/>
          <w:spacing w:val="-6"/>
          <w:w w:val="120"/>
        </w:rPr>
        <w:t> </w:t>
      </w:r>
      <w:r>
        <w:rPr>
          <w:color w:val="231F20"/>
          <w:w w:val="120"/>
        </w:rPr>
        <w:t>discours</w:t>
      </w:r>
      <w:r>
        <w:rPr>
          <w:color w:val="231F20"/>
          <w:spacing w:val="-6"/>
          <w:w w:val="120"/>
        </w:rPr>
        <w:t> </w:t>
      </w:r>
      <w:r>
        <w:rPr>
          <w:color w:val="231F20"/>
          <w:w w:val="120"/>
        </w:rPr>
        <w:t>médical</w:t>
      </w:r>
      <w:r>
        <w:rPr>
          <w:color w:val="231F20"/>
          <w:spacing w:val="-6"/>
          <w:w w:val="120"/>
        </w:rPr>
        <w:t> </w:t>
      </w:r>
      <w:r>
        <w:rPr>
          <w:color w:val="231F20"/>
          <w:w w:val="120"/>
        </w:rPr>
        <w:t>au</w:t>
      </w:r>
      <w:r>
        <w:rPr>
          <w:color w:val="231F20"/>
          <w:spacing w:val="-6"/>
          <w:w w:val="120"/>
        </w:rPr>
        <w:t> </w:t>
      </w:r>
      <w:r>
        <w:rPr>
          <w:color w:val="231F20"/>
          <w:w w:val="120"/>
        </w:rPr>
        <w:t>cours</w:t>
      </w:r>
      <w:r>
        <w:rPr>
          <w:color w:val="231F20"/>
          <w:spacing w:val="-6"/>
          <w:w w:val="120"/>
        </w:rPr>
        <w:t> </w:t>
      </w:r>
      <w:r>
        <w:rPr>
          <w:color w:val="231F20"/>
          <w:w w:val="120"/>
        </w:rPr>
        <w:t>du</w:t>
      </w:r>
      <w:r>
        <w:rPr>
          <w:color w:val="231F20"/>
          <w:spacing w:val="-6"/>
          <w:w w:val="120"/>
        </w:rPr>
        <w:t> </w:t>
      </w:r>
      <w:r>
        <w:rPr>
          <w:color w:val="231F20"/>
          <w:w w:val="120"/>
        </w:rPr>
        <w:t>XIX</w:t>
      </w:r>
      <w:r>
        <w:rPr>
          <w:color w:val="231F20"/>
          <w:w w:val="120"/>
          <w:position w:val="6"/>
          <w:sz w:val="10"/>
        </w:rPr>
        <w:t>e</w:t>
      </w:r>
      <w:r>
        <w:rPr>
          <w:color w:val="231F20"/>
          <w:spacing w:val="14"/>
          <w:w w:val="120"/>
          <w:position w:val="6"/>
          <w:sz w:val="10"/>
        </w:rPr>
        <w:t> </w:t>
      </w:r>
      <w:r>
        <w:rPr>
          <w:color w:val="231F20"/>
          <w:w w:val="120"/>
        </w:rPr>
        <w:t>siècle</w:t>
      </w:r>
      <w:r>
        <w:rPr>
          <w:color w:val="231F20"/>
          <w:spacing w:val="-6"/>
          <w:w w:val="120"/>
        </w:rPr>
        <w:t> </w:t>
      </w:r>
      <w:r>
        <w:rPr>
          <w:color w:val="231F20"/>
          <w:w w:val="120"/>
        </w:rPr>
        <w:t>pour</w:t>
      </w:r>
      <w:r>
        <w:rPr>
          <w:color w:val="231F20"/>
          <w:spacing w:val="-6"/>
          <w:w w:val="120"/>
        </w:rPr>
        <w:t> </w:t>
      </w:r>
      <w:r>
        <w:rPr>
          <w:color w:val="231F20"/>
          <w:w w:val="120"/>
        </w:rPr>
        <w:t>désigner</w:t>
      </w:r>
      <w:r>
        <w:rPr>
          <w:color w:val="231F20"/>
          <w:spacing w:val="-6"/>
          <w:w w:val="120"/>
        </w:rPr>
        <w:t> </w:t>
      </w:r>
      <w:r>
        <w:rPr>
          <w:color w:val="231F20"/>
          <w:w w:val="120"/>
        </w:rPr>
        <w:t>des</w:t>
      </w:r>
      <w:r>
        <w:rPr>
          <w:color w:val="231F20"/>
          <w:spacing w:val="-6"/>
          <w:w w:val="120"/>
        </w:rPr>
        <w:t> </w:t>
      </w:r>
      <w:r>
        <w:rPr>
          <w:color w:val="231F20"/>
          <w:w w:val="120"/>
        </w:rPr>
        <w:t>facteurs délétères</w:t>
      </w:r>
      <w:r>
        <w:rPr>
          <w:color w:val="231F20"/>
          <w:spacing w:val="-2"/>
          <w:w w:val="120"/>
        </w:rPr>
        <w:t> </w:t>
      </w:r>
      <w:r>
        <w:rPr>
          <w:color w:val="231F20"/>
          <w:w w:val="120"/>
        </w:rPr>
        <w:t>à</w:t>
      </w:r>
      <w:r>
        <w:rPr>
          <w:color w:val="231F20"/>
          <w:spacing w:val="-2"/>
          <w:w w:val="120"/>
        </w:rPr>
        <w:t> </w:t>
      </w:r>
      <w:r>
        <w:rPr>
          <w:color w:val="231F20"/>
          <w:w w:val="120"/>
        </w:rPr>
        <w:t>divers</w:t>
      </w:r>
      <w:r>
        <w:rPr>
          <w:color w:val="231F20"/>
          <w:spacing w:val="-2"/>
          <w:w w:val="120"/>
        </w:rPr>
        <w:t> </w:t>
      </w:r>
      <w:r>
        <w:rPr>
          <w:color w:val="231F20"/>
          <w:w w:val="120"/>
        </w:rPr>
        <w:t>aspects</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santé.</w:t>
      </w:r>
      <w:r>
        <w:rPr>
          <w:color w:val="231F20"/>
          <w:spacing w:val="-2"/>
          <w:w w:val="120"/>
        </w:rPr>
        <w:t> </w:t>
      </w:r>
      <w:r>
        <w:rPr>
          <w:color w:val="231F20"/>
          <w:w w:val="120"/>
        </w:rPr>
        <w:t>Le</w:t>
      </w:r>
      <w:r>
        <w:rPr>
          <w:color w:val="231F20"/>
          <w:spacing w:val="-2"/>
          <w:w w:val="120"/>
        </w:rPr>
        <w:t> </w:t>
      </w:r>
      <w:r>
        <w:rPr>
          <w:color w:val="231F20"/>
          <w:w w:val="120"/>
        </w:rPr>
        <w:t>D</w:t>
      </w:r>
      <w:r>
        <w:rPr>
          <w:color w:val="231F20"/>
          <w:w w:val="120"/>
          <w:position w:val="6"/>
          <w:sz w:val="10"/>
        </w:rPr>
        <w:t>r</w:t>
      </w:r>
      <w:r>
        <w:rPr>
          <w:color w:val="231F20"/>
          <w:spacing w:val="18"/>
          <w:w w:val="120"/>
          <w:position w:val="6"/>
          <w:sz w:val="10"/>
        </w:rPr>
        <w:t> </w:t>
      </w:r>
      <w:r>
        <w:rPr>
          <w:color w:val="231F20"/>
          <w:w w:val="120"/>
        </w:rPr>
        <w:t>Hans</w:t>
      </w:r>
      <w:r>
        <w:rPr>
          <w:color w:val="231F20"/>
          <w:spacing w:val="-2"/>
          <w:w w:val="120"/>
        </w:rPr>
        <w:t> </w:t>
      </w:r>
      <w:r>
        <w:rPr>
          <w:color w:val="231F20"/>
          <w:w w:val="120"/>
        </w:rPr>
        <w:t>Selye,</w:t>
      </w:r>
      <w:r>
        <w:rPr>
          <w:color w:val="231F20"/>
          <w:spacing w:val="-2"/>
          <w:w w:val="120"/>
        </w:rPr>
        <w:t> </w:t>
      </w:r>
      <w:r>
        <w:rPr>
          <w:color w:val="231F20"/>
          <w:w w:val="120"/>
        </w:rPr>
        <w:t>un</w:t>
      </w:r>
      <w:r>
        <w:rPr>
          <w:color w:val="231F20"/>
          <w:spacing w:val="-2"/>
          <w:w w:val="120"/>
        </w:rPr>
        <w:t> </w:t>
      </w:r>
      <w:r>
        <w:rPr>
          <w:color w:val="231F20"/>
          <w:w w:val="120"/>
        </w:rPr>
        <w:t>endocrino- </w:t>
      </w:r>
      <w:r>
        <w:rPr>
          <w:color w:val="231F20"/>
          <w:w w:val="115"/>
        </w:rPr>
        <w:t>logue</w:t>
      </w:r>
      <w:r>
        <w:rPr>
          <w:color w:val="231F20"/>
          <w:spacing w:val="-7"/>
          <w:w w:val="115"/>
        </w:rPr>
        <w:t> </w:t>
      </w:r>
      <w:r>
        <w:rPr>
          <w:color w:val="231F20"/>
          <w:w w:val="115"/>
        </w:rPr>
        <w:t>de</w:t>
      </w:r>
      <w:r>
        <w:rPr>
          <w:color w:val="231F20"/>
          <w:spacing w:val="-7"/>
          <w:w w:val="115"/>
        </w:rPr>
        <w:t> </w:t>
      </w:r>
      <w:r>
        <w:rPr>
          <w:color w:val="231F20"/>
          <w:w w:val="115"/>
        </w:rPr>
        <w:t>l’Université</w:t>
      </w:r>
      <w:r>
        <w:rPr>
          <w:color w:val="231F20"/>
          <w:spacing w:val="-7"/>
          <w:w w:val="115"/>
        </w:rPr>
        <w:t> </w:t>
      </w:r>
      <w:r>
        <w:rPr>
          <w:color w:val="231F20"/>
          <w:w w:val="115"/>
        </w:rPr>
        <w:t>de</w:t>
      </w:r>
      <w:r>
        <w:rPr>
          <w:color w:val="231F20"/>
          <w:spacing w:val="-7"/>
          <w:w w:val="115"/>
        </w:rPr>
        <w:t> </w:t>
      </w:r>
      <w:r>
        <w:rPr>
          <w:color w:val="231F20"/>
          <w:w w:val="115"/>
        </w:rPr>
        <w:t>Montréal</w:t>
      </w:r>
      <w:r>
        <w:rPr>
          <w:color w:val="231F20"/>
          <w:spacing w:val="-7"/>
          <w:w w:val="115"/>
        </w:rPr>
        <w:t> </w:t>
      </w:r>
      <w:r>
        <w:rPr>
          <w:color w:val="231F20"/>
          <w:w w:val="115"/>
        </w:rPr>
        <w:t>dont</w:t>
      </w:r>
      <w:r>
        <w:rPr>
          <w:color w:val="231F20"/>
          <w:spacing w:val="-7"/>
          <w:w w:val="115"/>
        </w:rPr>
        <w:t> </w:t>
      </w:r>
      <w:r>
        <w:rPr>
          <w:color w:val="231F20"/>
          <w:w w:val="115"/>
        </w:rPr>
        <w:t>les</w:t>
      </w:r>
      <w:r>
        <w:rPr>
          <w:color w:val="231F20"/>
          <w:spacing w:val="-7"/>
          <w:w w:val="115"/>
        </w:rPr>
        <w:t> </w:t>
      </w:r>
      <w:r>
        <w:rPr>
          <w:color w:val="231F20"/>
          <w:w w:val="115"/>
        </w:rPr>
        <w:t>travaux</w:t>
      </w:r>
      <w:r>
        <w:rPr>
          <w:color w:val="231F20"/>
          <w:spacing w:val="-7"/>
          <w:w w:val="115"/>
        </w:rPr>
        <w:t> </w:t>
      </w:r>
      <w:r>
        <w:rPr>
          <w:color w:val="231F20"/>
          <w:w w:val="115"/>
        </w:rPr>
        <w:t>sont</w:t>
      </w:r>
      <w:r>
        <w:rPr>
          <w:color w:val="231F20"/>
          <w:spacing w:val="-7"/>
          <w:w w:val="115"/>
        </w:rPr>
        <w:t> </w:t>
      </w:r>
      <w:r>
        <w:rPr>
          <w:color w:val="231F20"/>
          <w:w w:val="115"/>
        </w:rPr>
        <w:t>la</w:t>
      </w:r>
      <w:r>
        <w:rPr>
          <w:color w:val="231F20"/>
          <w:spacing w:val="-7"/>
          <w:w w:val="115"/>
        </w:rPr>
        <w:t> </w:t>
      </w:r>
      <w:r>
        <w:rPr>
          <w:color w:val="231F20"/>
          <w:w w:val="115"/>
        </w:rPr>
        <w:t>pierre</w:t>
      </w:r>
      <w:r>
        <w:rPr>
          <w:color w:val="231F20"/>
          <w:spacing w:val="-7"/>
          <w:w w:val="115"/>
        </w:rPr>
        <w:t> </w:t>
      </w:r>
      <w:r>
        <w:rPr>
          <w:color w:val="231F20"/>
          <w:w w:val="115"/>
        </w:rPr>
        <w:t>angulaire </w:t>
      </w:r>
      <w:r>
        <w:rPr>
          <w:color w:val="231F20"/>
          <w:w w:val="120"/>
        </w:rPr>
        <w:t>de</w:t>
      </w:r>
      <w:r>
        <w:rPr>
          <w:color w:val="231F20"/>
          <w:spacing w:val="-1"/>
          <w:w w:val="120"/>
        </w:rPr>
        <w:t> </w:t>
      </w:r>
      <w:r>
        <w:rPr>
          <w:color w:val="231F20"/>
          <w:w w:val="120"/>
        </w:rPr>
        <w:t>l’étude</w:t>
      </w:r>
      <w:r>
        <w:rPr>
          <w:color w:val="231F20"/>
          <w:spacing w:val="-1"/>
          <w:w w:val="120"/>
        </w:rPr>
        <w:t> </w:t>
      </w:r>
      <w:r>
        <w:rPr>
          <w:color w:val="231F20"/>
          <w:w w:val="120"/>
        </w:rPr>
        <w:t>systématique</w:t>
      </w:r>
      <w:r>
        <w:rPr>
          <w:color w:val="231F20"/>
          <w:spacing w:val="-1"/>
          <w:w w:val="120"/>
        </w:rPr>
        <w:t> </w:t>
      </w:r>
      <w:r>
        <w:rPr>
          <w:color w:val="231F20"/>
          <w:w w:val="120"/>
        </w:rPr>
        <w:t>du</w:t>
      </w:r>
      <w:r>
        <w:rPr>
          <w:color w:val="231F20"/>
          <w:spacing w:val="-1"/>
          <w:w w:val="120"/>
        </w:rPr>
        <w:t> </w:t>
      </w:r>
      <w:r>
        <w:rPr>
          <w:color w:val="231F20"/>
          <w:w w:val="120"/>
        </w:rPr>
        <w:t>stress,</w:t>
      </w:r>
      <w:r>
        <w:rPr>
          <w:color w:val="231F20"/>
          <w:spacing w:val="-1"/>
          <w:w w:val="120"/>
        </w:rPr>
        <w:t> </w:t>
      </w:r>
      <w:r>
        <w:rPr>
          <w:color w:val="231F20"/>
          <w:w w:val="120"/>
        </w:rPr>
        <w:t>a</w:t>
      </w:r>
      <w:r>
        <w:rPr>
          <w:color w:val="231F20"/>
          <w:spacing w:val="-1"/>
          <w:w w:val="120"/>
        </w:rPr>
        <w:t> </w:t>
      </w:r>
      <w:r>
        <w:rPr>
          <w:color w:val="231F20"/>
          <w:w w:val="120"/>
        </w:rPr>
        <w:t>été</w:t>
      </w:r>
      <w:r>
        <w:rPr>
          <w:color w:val="231F20"/>
          <w:spacing w:val="-1"/>
          <w:w w:val="120"/>
        </w:rPr>
        <w:t> </w:t>
      </w:r>
      <w:r>
        <w:rPr>
          <w:color w:val="231F20"/>
          <w:w w:val="120"/>
        </w:rPr>
        <w:t>le</w:t>
      </w:r>
      <w:r>
        <w:rPr>
          <w:color w:val="231F20"/>
          <w:spacing w:val="-1"/>
          <w:w w:val="120"/>
        </w:rPr>
        <w:t> </w:t>
      </w:r>
      <w:r>
        <w:rPr>
          <w:color w:val="231F20"/>
          <w:w w:val="120"/>
        </w:rPr>
        <w:t>premier</w:t>
      </w:r>
      <w:r>
        <w:rPr>
          <w:color w:val="231F20"/>
          <w:spacing w:val="-1"/>
          <w:w w:val="120"/>
        </w:rPr>
        <w:t> </w:t>
      </w:r>
      <w:r>
        <w:rPr>
          <w:color w:val="231F20"/>
          <w:w w:val="120"/>
        </w:rPr>
        <w:t>à</w:t>
      </w:r>
      <w:r>
        <w:rPr>
          <w:color w:val="231F20"/>
          <w:spacing w:val="-1"/>
          <w:w w:val="120"/>
        </w:rPr>
        <w:t> </w:t>
      </w:r>
      <w:r>
        <w:rPr>
          <w:color w:val="231F20"/>
          <w:w w:val="120"/>
        </w:rPr>
        <w:t>employer</w:t>
      </w:r>
      <w:r>
        <w:rPr>
          <w:color w:val="231F20"/>
          <w:spacing w:val="-1"/>
          <w:w w:val="120"/>
        </w:rPr>
        <w:t> </w:t>
      </w:r>
      <w:r>
        <w:rPr>
          <w:color w:val="231F20"/>
          <w:w w:val="120"/>
        </w:rPr>
        <w:t>le</w:t>
      </w:r>
      <w:r>
        <w:rPr>
          <w:color w:val="231F20"/>
          <w:spacing w:val="-1"/>
          <w:w w:val="120"/>
        </w:rPr>
        <w:t> </w:t>
      </w:r>
      <w:r>
        <w:rPr>
          <w:color w:val="231F20"/>
          <w:w w:val="120"/>
        </w:rPr>
        <w:t>terme </w:t>
      </w:r>
      <w:r>
        <w:rPr>
          <w:i/>
          <w:color w:val="231F20"/>
          <w:w w:val="115"/>
        </w:rPr>
        <w:t>stress</w:t>
      </w:r>
      <w:r>
        <w:rPr>
          <w:i/>
          <w:color w:val="231F20"/>
          <w:spacing w:val="-8"/>
          <w:w w:val="115"/>
        </w:rPr>
        <w:t> </w:t>
      </w:r>
      <w:r>
        <w:rPr>
          <w:color w:val="231F20"/>
          <w:w w:val="115"/>
        </w:rPr>
        <w:t>dans</w:t>
      </w:r>
      <w:r>
        <w:rPr>
          <w:color w:val="231F20"/>
          <w:spacing w:val="-8"/>
          <w:w w:val="115"/>
        </w:rPr>
        <w:t> </w:t>
      </w:r>
      <w:r>
        <w:rPr>
          <w:color w:val="231F20"/>
          <w:w w:val="115"/>
        </w:rPr>
        <w:t>son</w:t>
      </w:r>
      <w:r>
        <w:rPr>
          <w:color w:val="231F20"/>
          <w:spacing w:val="-8"/>
          <w:w w:val="115"/>
        </w:rPr>
        <w:t> </w:t>
      </w:r>
      <w:r>
        <w:rPr>
          <w:color w:val="231F20"/>
          <w:w w:val="115"/>
        </w:rPr>
        <w:t>sens</w:t>
      </w:r>
      <w:r>
        <w:rPr>
          <w:color w:val="231F20"/>
          <w:spacing w:val="-8"/>
          <w:w w:val="115"/>
        </w:rPr>
        <w:t> </w:t>
      </w:r>
      <w:r>
        <w:rPr>
          <w:color w:val="231F20"/>
          <w:w w:val="115"/>
        </w:rPr>
        <w:t>moderne.</w:t>
      </w:r>
      <w:r>
        <w:rPr>
          <w:color w:val="231F20"/>
          <w:spacing w:val="-8"/>
          <w:w w:val="115"/>
        </w:rPr>
        <w:t> </w:t>
      </w:r>
      <w:r>
        <w:rPr>
          <w:color w:val="231F20"/>
          <w:w w:val="115"/>
        </w:rPr>
        <w:t>Notons</w:t>
      </w:r>
      <w:r>
        <w:rPr>
          <w:color w:val="231F20"/>
          <w:spacing w:val="-8"/>
          <w:w w:val="115"/>
        </w:rPr>
        <w:t> </w:t>
      </w:r>
      <w:r>
        <w:rPr>
          <w:color w:val="231F20"/>
          <w:w w:val="115"/>
        </w:rPr>
        <w:t>qu’avant</w:t>
      </w:r>
      <w:r>
        <w:rPr>
          <w:color w:val="231F20"/>
          <w:spacing w:val="-8"/>
          <w:w w:val="115"/>
        </w:rPr>
        <w:t> </w:t>
      </w:r>
      <w:r>
        <w:rPr>
          <w:color w:val="231F20"/>
          <w:w w:val="115"/>
        </w:rPr>
        <w:t>lui,</w:t>
      </w:r>
      <w:r>
        <w:rPr>
          <w:color w:val="231F20"/>
          <w:spacing w:val="-8"/>
          <w:w w:val="115"/>
        </w:rPr>
        <w:t> </w:t>
      </w:r>
      <w:r>
        <w:rPr>
          <w:color w:val="231F20"/>
          <w:w w:val="115"/>
        </w:rPr>
        <w:t>les</w:t>
      </w:r>
      <w:r>
        <w:rPr>
          <w:color w:val="231F20"/>
          <w:spacing w:val="-8"/>
          <w:w w:val="115"/>
        </w:rPr>
        <w:t> </w:t>
      </w:r>
      <w:r>
        <w:rPr>
          <w:color w:val="231F20"/>
          <w:w w:val="115"/>
        </w:rPr>
        <w:t>travaux</w:t>
      </w:r>
      <w:r>
        <w:rPr>
          <w:color w:val="231F20"/>
          <w:spacing w:val="-8"/>
          <w:w w:val="115"/>
        </w:rPr>
        <w:t> </w:t>
      </w:r>
      <w:r>
        <w:rPr>
          <w:color w:val="231F20"/>
          <w:w w:val="115"/>
        </w:rPr>
        <w:t>du</w:t>
      </w:r>
      <w:r>
        <w:rPr>
          <w:color w:val="231F20"/>
          <w:spacing w:val="-8"/>
          <w:w w:val="115"/>
        </w:rPr>
        <w:t> </w:t>
      </w:r>
      <w:r>
        <w:rPr>
          <w:color w:val="231F20"/>
          <w:w w:val="115"/>
        </w:rPr>
        <w:t>français </w:t>
      </w:r>
      <w:r>
        <w:rPr>
          <w:color w:val="231F20"/>
          <w:w w:val="120"/>
        </w:rPr>
        <w:t>Claude</w:t>
      </w:r>
      <w:r>
        <w:rPr>
          <w:color w:val="231F20"/>
          <w:spacing w:val="-10"/>
          <w:w w:val="120"/>
        </w:rPr>
        <w:t> </w:t>
      </w:r>
      <w:r>
        <w:rPr>
          <w:color w:val="231F20"/>
          <w:w w:val="120"/>
        </w:rPr>
        <w:t>Bernard</w:t>
      </w:r>
      <w:r>
        <w:rPr>
          <w:color w:val="231F20"/>
          <w:spacing w:val="-10"/>
          <w:w w:val="120"/>
        </w:rPr>
        <w:t> </w:t>
      </w:r>
      <w:r>
        <w:rPr>
          <w:color w:val="231F20"/>
          <w:w w:val="120"/>
        </w:rPr>
        <w:t>et</w:t>
      </w:r>
      <w:r>
        <w:rPr>
          <w:color w:val="231F20"/>
          <w:spacing w:val="-10"/>
          <w:w w:val="120"/>
        </w:rPr>
        <w:t> </w:t>
      </w:r>
      <w:r>
        <w:rPr>
          <w:color w:val="231F20"/>
          <w:w w:val="120"/>
        </w:rPr>
        <w:t>de</w:t>
      </w:r>
      <w:r>
        <w:rPr>
          <w:color w:val="231F20"/>
          <w:spacing w:val="-10"/>
          <w:w w:val="120"/>
        </w:rPr>
        <w:t> </w:t>
      </w:r>
      <w:r>
        <w:rPr>
          <w:color w:val="231F20"/>
          <w:w w:val="120"/>
        </w:rPr>
        <w:t>l’américain</w:t>
      </w:r>
      <w:r>
        <w:rPr>
          <w:color w:val="231F20"/>
          <w:spacing w:val="-10"/>
          <w:w w:val="120"/>
        </w:rPr>
        <w:t> </w:t>
      </w:r>
      <w:r>
        <w:rPr>
          <w:color w:val="231F20"/>
          <w:w w:val="120"/>
        </w:rPr>
        <w:t>Walter</w:t>
      </w:r>
      <w:r>
        <w:rPr>
          <w:color w:val="231F20"/>
          <w:spacing w:val="-10"/>
          <w:w w:val="120"/>
        </w:rPr>
        <w:t> </w:t>
      </w:r>
      <w:r>
        <w:rPr>
          <w:color w:val="231F20"/>
          <w:w w:val="120"/>
        </w:rPr>
        <w:t>Cannon</w:t>
      </w:r>
      <w:r>
        <w:rPr>
          <w:color w:val="231F20"/>
          <w:spacing w:val="-10"/>
          <w:w w:val="120"/>
        </w:rPr>
        <w:t> </w:t>
      </w:r>
      <w:r>
        <w:rPr>
          <w:color w:val="231F20"/>
          <w:w w:val="120"/>
        </w:rPr>
        <w:t>avaient</w:t>
      </w:r>
      <w:r>
        <w:rPr>
          <w:color w:val="231F20"/>
          <w:spacing w:val="-10"/>
          <w:w w:val="120"/>
        </w:rPr>
        <w:t> </w:t>
      </w:r>
      <w:r>
        <w:rPr>
          <w:color w:val="231F20"/>
          <w:w w:val="120"/>
        </w:rPr>
        <w:t>pavé</w:t>
      </w:r>
      <w:r>
        <w:rPr>
          <w:color w:val="231F20"/>
          <w:spacing w:val="-10"/>
          <w:w w:val="120"/>
        </w:rPr>
        <w:t> </w:t>
      </w:r>
      <w:r>
        <w:rPr>
          <w:color w:val="231F20"/>
          <w:w w:val="120"/>
        </w:rPr>
        <w:t>la</w:t>
      </w:r>
      <w:r>
        <w:rPr>
          <w:color w:val="231F20"/>
          <w:spacing w:val="-10"/>
          <w:w w:val="120"/>
        </w:rPr>
        <w:t> </w:t>
      </w:r>
      <w:r>
        <w:rPr>
          <w:color w:val="231F20"/>
          <w:w w:val="120"/>
        </w:rPr>
        <w:t>voie</w:t>
      </w:r>
      <w:r>
        <w:rPr>
          <w:color w:val="231F20"/>
          <w:spacing w:val="-10"/>
          <w:w w:val="120"/>
        </w:rPr>
        <w:t> </w:t>
      </w:r>
      <w:r>
        <w:rPr>
          <w:color w:val="231F20"/>
          <w:w w:val="120"/>
        </w:rPr>
        <w:t>à </w:t>
      </w:r>
      <w:r>
        <w:rPr>
          <w:color w:val="231F20"/>
          <w:spacing w:val="-4"/>
          <w:w w:val="120"/>
        </w:rPr>
        <w:t>l’éclosion</w:t>
      </w:r>
      <w:r>
        <w:rPr>
          <w:color w:val="231F20"/>
          <w:spacing w:val="-15"/>
          <w:w w:val="120"/>
        </w:rPr>
        <w:t> </w:t>
      </w:r>
      <w:r>
        <w:rPr>
          <w:color w:val="231F20"/>
          <w:spacing w:val="-4"/>
          <w:w w:val="120"/>
        </w:rPr>
        <w:t>scientifique</w:t>
      </w:r>
      <w:r>
        <w:rPr>
          <w:color w:val="231F20"/>
          <w:spacing w:val="-15"/>
          <w:w w:val="120"/>
        </w:rPr>
        <w:t> </w:t>
      </w:r>
      <w:r>
        <w:rPr>
          <w:color w:val="231F20"/>
          <w:spacing w:val="-4"/>
          <w:w w:val="120"/>
        </w:rPr>
        <w:t>de</w:t>
      </w:r>
      <w:r>
        <w:rPr>
          <w:color w:val="231F20"/>
          <w:spacing w:val="-15"/>
          <w:w w:val="120"/>
        </w:rPr>
        <w:t> </w:t>
      </w:r>
      <w:r>
        <w:rPr>
          <w:color w:val="231F20"/>
          <w:spacing w:val="-4"/>
          <w:w w:val="120"/>
        </w:rPr>
        <w:t>la</w:t>
      </w:r>
      <w:r>
        <w:rPr>
          <w:color w:val="231F20"/>
          <w:spacing w:val="-15"/>
          <w:w w:val="120"/>
        </w:rPr>
        <w:t> </w:t>
      </w:r>
      <w:r>
        <w:rPr>
          <w:color w:val="231F20"/>
          <w:spacing w:val="-4"/>
          <w:w w:val="120"/>
        </w:rPr>
        <w:t>notion</w:t>
      </w:r>
      <w:r>
        <w:rPr>
          <w:color w:val="231F20"/>
          <w:spacing w:val="-15"/>
          <w:w w:val="120"/>
        </w:rPr>
        <w:t> </w:t>
      </w:r>
      <w:r>
        <w:rPr>
          <w:color w:val="231F20"/>
          <w:spacing w:val="-4"/>
          <w:w w:val="120"/>
        </w:rPr>
        <w:t>de</w:t>
      </w:r>
      <w:r>
        <w:rPr>
          <w:color w:val="231F20"/>
          <w:spacing w:val="-15"/>
          <w:w w:val="120"/>
        </w:rPr>
        <w:t> </w:t>
      </w:r>
      <w:r>
        <w:rPr>
          <w:i/>
          <w:color w:val="231F20"/>
          <w:spacing w:val="-4"/>
          <w:w w:val="120"/>
        </w:rPr>
        <w:t>stress</w:t>
      </w:r>
      <w:r>
        <w:rPr>
          <w:color w:val="231F20"/>
          <w:spacing w:val="-4"/>
          <w:w w:val="120"/>
        </w:rPr>
        <w:t>,</w:t>
      </w:r>
      <w:r>
        <w:rPr>
          <w:color w:val="231F20"/>
          <w:spacing w:val="-15"/>
          <w:w w:val="120"/>
        </w:rPr>
        <w:t> </w:t>
      </w:r>
      <w:r>
        <w:rPr>
          <w:color w:val="231F20"/>
          <w:spacing w:val="-4"/>
          <w:w w:val="120"/>
        </w:rPr>
        <w:t>dont</w:t>
      </w:r>
      <w:r>
        <w:rPr>
          <w:color w:val="231F20"/>
          <w:spacing w:val="-15"/>
          <w:w w:val="120"/>
        </w:rPr>
        <w:t> </w:t>
      </w:r>
      <w:r>
        <w:rPr>
          <w:color w:val="231F20"/>
          <w:spacing w:val="-4"/>
          <w:w w:val="120"/>
        </w:rPr>
        <w:t>Selye</w:t>
      </w:r>
      <w:r>
        <w:rPr>
          <w:color w:val="231F20"/>
          <w:spacing w:val="-15"/>
          <w:w w:val="120"/>
        </w:rPr>
        <w:t> </w:t>
      </w:r>
      <w:r>
        <w:rPr>
          <w:color w:val="231F20"/>
          <w:spacing w:val="-4"/>
          <w:w w:val="120"/>
        </w:rPr>
        <w:t>fut</w:t>
      </w:r>
      <w:r>
        <w:rPr>
          <w:color w:val="231F20"/>
          <w:spacing w:val="-15"/>
          <w:w w:val="120"/>
        </w:rPr>
        <w:t> </w:t>
      </w:r>
      <w:r>
        <w:rPr>
          <w:color w:val="231F20"/>
          <w:spacing w:val="-4"/>
          <w:w w:val="120"/>
        </w:rPr>
        <w:t>le</w:t>
      </w:r>
      <w:r>
        <w:rPr>
          <w:color w:val="231F20"/>
          <w:spacing w:val="-15"/>
          <w:w w:val="120"/>
        </w:rPr>
        <w:t> </w:t>
      </w:r>
      <w:r>
        <w:rPr>
          <w:color w:val="231F20"/>
          <w:spacing w:val="-4"/>
          <w:w w:val="120"/>
        </w:rPr>
        <w:t>découvreur4.</w:t>
      </w:r>
    </w:p>
    <w:p>
      <w:pPr>
        <w:pStyle w:val="BodyText"/>
        <w:spacing w:before="10"/>
        <w:rPr>
          <w:sz w:val="14"/>
        </w:rPr>
      </w:pPr>
      <w:r>
        <w:rPr/>
        <w:pict>
          <v:shape style="position:absolute;margin-left:62.5pt;margin-top:9.772314pt;width:287.5pt;height:.1pt;mso-position-horizontal-relative:page;mso-position-vertical-relative:paragraph;z-index:-15702528;mso-wrap-distance-left:0;mso-wrap-distance-right:0" id="docshape154" coordorigin="1250,195" coordsize="5750,0" path="m1250,195l7000,195e" filled="false" stroked="true" strokeweight=".25pt" strokecolor="#231f20">
            <v:path arrowok="t"/>
            <v:stroke dashstyle="shortdot"/>
            <w10:wrap type="topAndBottom"/>
          </v:shape>
        </w:pict>
      </w:r>
    </w:p>
    <w:p>
      <w:pPr>
        <w:pStyle w:val="ListParagraph"/>
        <w:numPr>
          <w:ilvl w:val="0"/>
          <w:numId w:val="18"/>
        </w:numPr>
        <w:tabs>
          <w:tab w:pos="789" w:val="left" w:leader="none"/>
          <w:tab w:pos="790" w:val="left" w:leader="none"/>
        </w:tabs>
        <w:spacing w:line="295" w:lineRule="auto" w:before="135" w:after="0"/>
        <w:ind w:left="789" w:right="640" w:hanging="328"/>
        <w:jc w:val="left"/>
        <w:rPr>
          <w:rFonts w:ascii="Arial"/>
          <w:sz w:val="12"/>
        </w:rPr>
      </w:pPr>
      <w:r>
        <w:rPr>
          <w:rFonts w:ascii="Arial"/>
          <w:color w:val="231F20"/>
          <w:sz w:val="12"/>
        </w:rPr>
        <w:t>Fink,</w:t>
      </w:r>
      <w:r>
        <w:rPr>
          <w:rFonts w:ascii="Arial"/>
          <w:color w:val="231F20"/>
          <w:spacing w:val="24"/>
          <w:sz w:val="12"/>
        </w:rPr>
        <w:t> </w:t>
      </w:r>
      <w:r>
        <w:rPr>
          <w:rFonts w:ascii="Arial"/>
          <w:color w:val="231F20"/>
          <w:sz w:val="12"/>
        </w:rPr>
        <w:t>G.</w:t>
      </w:r>
      <w:r>
        <w:rPr>
          <w:rFonts w:ascii="Arial"/>
          <w:color w:val="231F20"/>
          <w:spacing w:val="24"/>
          <w:sz w:val="12"/>
        </w:rPr>
        <w:t> </w:t>
      </w:r>
      <w:r>
        <w:rPr>
          <w:rFonts w:ascii="Arial"/>
          <w:color w:val="231F20"/>
          <w:sz w:val="12"/>
        </w:rPr>
        <w:t>(2017).</w:t>
      </w:r>
      <w:r>
        <w:rPr>
          <w:rFonts w:ascii="Arial"/>
          <w:color w:val="231F20"/>
          <w:spacing w:val="24"/>
          <w:sz w:val="12"/>
        </w:rPr>
        <w:t> </w:t>
      </w:r>
      <w:r>
        <w:rPr>
          <w:rFonts w:ascii="Arial"/>
          <w:color w:val="231F20"/>
          <w:sz w:val="12"/>
        </w:rPr>
        <w:t>Stress</w:t>
      </w:r>
      <w:r>
        <w:rPr>
          <w:rFonts w:ascii="Arial"/>
          <w:color w:val="231F20"/>
          <w:spacing w:val="-13"/>
          <w:sz w:val="12"/>
        </w:rPr>
        <w:t> </w:t>
      </w:r>
      <w:r>
        <w:rPr>
          <w:rFonts w:ascii="Arial"/>
          <w:color w:val="231F20"/>
          <w:sz w:val="12"/>
        </w:rPr>
        <w:t>:</w:t>
      </w:r>
      <w:r>
        <w:rPr>
          <w:rFonts w:ascii="Arial"/>
          <w:color w:val="231F20"/>
          <w:spacing w:val="24"/>
          <w:sz w:val="12"/>
        </w:rPr>
        <w:t> </w:t>
      </w:r>
      <w:r>
        <w:rPr>
          <w:rFonts w:ascii="Arial"/>
          <w:color w:val="231F20"/>
          <w:sz w:val="12"/>
        </w:rPr>
        <w:t>Concepts,</w:t>
      </w:r>
      <w:r>
        <w:rPr>
          <w:rFonts w:ascii="Arial"/>
          <w:color w:val="231F20"/>
          <w:spacing w:val="24"/>
          <w:sz w:val="12"/>
        </w:rPr>
        <w:t> </w:t>
      </w:r>
      <w:r>
        <w:rPr>
          <w:rFonts w:ascii="Arial"/>
          <w:color w:val="231F20"/>
          <w:sz w:val="12"/>
        </w:rPr>
        <w:t>definition</w:t>
      </w:r>
      <w:r>
        <w:rPr>
          <w:rFonts w:ascii="Arial"/>
          <w:color w:val="231F20"/>
          <w:spacing w:val="24"/>
          <w:sz w:val="12"/>
        </w:rPr>
        <w:t> </w:t>
      </w:r>
      <w:r>
        <w:rPr>
          <w:rFonts w:ascii="Arial"/>
          <w:color w:val="231F20"/>
          <w:sz w:val="12"/>
        </w:rPr>
        <w:t>and</w:t>
      </w:r>
      <w:r>
        <w:rPr>
          <w:rFonts w:ascii="Arial"/>
          <w:color w:val="231F20"/>
          <w:spacing w:val="24"/>
          <w:sz w:val="12"/>
        </w:rPr>
        <w:t> </w:t>
      </w:r>
      <w:r>
        <w:rPr>
          <w:rFonts w:ascii="Arial"/>
          <w:color w:val="231F20"/>
          <w:sz w:val="12"/>
        </w:rPr>
        <w:t>history,</w:t>
      </w:r>
      <w:r>
        <w:rPr>
          <w:rFonts w:ascii="Arial"/>
          <w:color w:val="231F20"/>
          <w:spacing w:val="24"/>
          <w:sz w:val="12"/>
        </w:rPr>
        <w:t> </w:t>
      </w:r>
      <w:r>
        <w:rPr>
          <w:rFonts w:ascii="Arial"/>
          <w:i/>
          <w:color w:val="231F20"/>
          <w:sz w:val="12"/>
        </w:rPr>
        <w:t>Neuroscience</w:t>
      </w:r>
      <w:r>
        <w:rPr>
          <w:rFonts w:ascii="Arial"/>
          <w:i/>
          <w:color w:val="231F20"/>
          <w:spacing w:val="24"/>
          <w:sz w:val="12"/>
        </w:rPr>
        <w:t> </w:t>
      </w:r>
      <w:r>
        <w:rPr>
          <w:rFonts w:ascii="Arial"/>
          <w:i/>
          <w:color w:val="231F20"/>
          <w:sz w:val="12"/>
        </w:rPr>
        <w:t>and</w:t>
      </w:r>
      <w:r>
        <w:rPr>
          <w:rFonts w:ascii="Arial"/>
          <w:i/>
          <w:color w:val="231F20"/>
          <w:spacing w:val="24"/>
          <w:sz w:val="12"/>
        </w:rPr>
        <w:t> </w:t>
      </w:r>
      <w:r>
        <w:rPr>
          <w:rFonts w:ascii="Arial"/>
          <w:i/>
          <w:color w:val="231F20"/>
          <w:sz w:val="12"/>
        </w:rPr>
        <w:t>Biobehavioral</w:t>
      </w:r>
      <w:r>
        <w:rPr>
          <w:rFonts w:ascii="Arial"/>
          <w:i/>
          <w:color w:val="231F20"/>
          <w:spacing w:val="24"/>
          <w:sz w:val="12"/>
        </w:rPr>
        <w:t> </w:t>
      </w:r>
      <w:r>
        <w:rPr>
          <w:rFonts w:ascii="Arial"/>
          <w:i/>
          <w:color w:val="231F20"/>
          <w:sz w:val="12"/>
        </w:rPr>
        <w:t>Psychology</w:t>
      </w:r>
      <w:r>
        <w:rPr>
          <w:rFonts w:ascii="Arial"/>
          <w:color w:val="231F20"/>
          <w:sz w:val="12"/>
        </w:rPr>
        <w:t>,</w:t>
      </w:r>
      <w:r>
        <w:rPr>
          <w:rFonts w:ascii="Arial"/>
          <w:color w:val="231F20"/>
          <w:spacing w:val="40"/>
          <w:sz w:val="12"/>
        </w:rPr>
        <w:t> </w:t>
      </w:r>
      <w:r>
        <w:rPr>
          <w:rFonts w:ascii="Arial"/>
          <w:color w:val="231F20"/>
          <w:sz w:val="12"/>
        </w:rPr>
        <w:t>Elsevier,</w:t>
      </w:r>
      <w:r>
        <w:rPr>
          <w:rFonts w:ascii="Arial"/>
          <w:color w:val="231F20"/>
          <w:spacing w:val="-9"/>
          <w:sz w:val="12"/>
        </w:rPr>
        <w:t> </w:t>
      </w:r>
      <w:r>
        <w:rPr>
          <w:rFonts w:ascii="Arial"/>
          <w:color w:val="231F20"/>
          <w:sz w:val="12"/>
        </w:rPr>
        <w:t>1-9.</w:t>
      </w:r>
    </w:p>
    <w:p>
      <w:pPr>
        <w:spacing w:after="0" w:line="295" w:lineRule="auto"/>
        <w:jc w:val="left"/>
        <w:rPr>
          <w:rFonts w:ascii="Arial"/>
          <w:sz w:val="12"/>
        </w:rPr>
        <w:sectPr>
          <w:footerReference w:type="default" r:id="rId73"/>
          <w:pgSz w:w="8640" w:h="12960"/>
          <w:pgMar w:footer="424" w:header="0" w:top="520" w:bottom="620" w:left="460" w:right="1000"/>
        </w:sectPr>
      </w:pPr>
    </w:p>
    <w:p>
      <w:pPr>
        <w:spacing w:before="118"/>
        <w:ind w:left="235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spacing w:before="8"/>
        <w:rPr>
          <w:rFonts w:ascii="Arial"/>
          <w:sz w:val="29"/>
        </w:rPr>
      </w:pPr>
      <w:r>
        <w:rPr/>
        <w:pict>
          <v:group style="position:absolute;margin-left:82pt;margin-top:18.301661pt;width:287.5pt;height:260.25pt;mso-position-horizontal-relative:page;mso-position-vertical-relative:paragraph;z-index:-15702016;mso-wrap-distance-left:0;mso-wrap-distance-right:0" id="docshapegroup156" coordorigin="1640,366" coordsize="5750,5205">
            <v:rect style="position:absolute;left:1640;top:366;width:5750;height:705" id="docshape157" filled="true" fillcolor="#e2e3e4" stroked="false">
              <v:fill type="solid"/>
            </v:rect>
            <v:line style="position:absolute" from="1890,914" to="7140,914" stroked="true" strokeweight=".25pt" strokecolor="#231f20">
              <v:stroke dashstyle="shortdot"/>
            </v:line>
            <v:shape style="position:absolute;left:1640;top:991;width:5750;height:4580" id="docshape158" coordorigin="1640,991" coordsize="5750,4580" path="m7390,991l1640,991,1640,1401,1640,1741,1640,5571,7390,5571,7390,1401,7390,991xe" filled="true" fillcolor="#e2e3e4" stroked="false">
              <v:path arrowok="t"/>
              <v:fill type="solid"/>
            </v:shape>
            <v:shape style="position:absolute;left:1640;top:366;width:5750;height:5205" type="#_x0000_t202" id="docshape159" filled="false" stroked="false">
              <v:textbox inset="0,0,0,0">
                <w:txbxContent>
                  <w:p>
                    <w:pPr>
                      <w:spacing w:before="215"/>
                      <w:ind w:left="250" w:right="0" w:firstLine="0"/>
                      <w:jc w:val="both"/>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6"/>
                      <w:rPr>
                        <w:rFonts w:ascii="Arial"/>
                        <w:sz w:val="26"/>
                      </w:rPr>
                    </w:pPr>
                  </w:p>
                  <w:p>
                    <w:pPr>
                      <w:spacing w:line="307" w:lineRule="auto" w:before="0"/>
                      <w:ind w:left="250" w:right="248" w:firstLine="0"/>
                      <w:jc w:val="both"/>
                      <w:rPr>
                        <w:rFonts w:ascii="Arial" w:hAnsi="Arial"/>
                        <w:sz w:val="17"/>
                      </w:rPr>
                    </w:pPr>
                    <w:r>
                      <w:rPr>
                        <w:rFonts w:ascii="Arial" w:hAnsi="Arial"/>
                        <w:color w:val="231F20"/>
                        <w:spacing w:val="-2"/>
                        <w:sz w:val="17"/>
                      </w:rPr>
                      <w:t>Plusieurs</w:t>
                    </w:r>
                    <w:r>
                      <w:rPr>
                        <w:rFonts w:ascii="Arial" w:hAnsi="Arial"/>
                        <w:color w:val="231F20"/>
                        <w:spacing w:val="-10"/>
                        <w:sz w:val="17"/>
                      </w:rPr>
                      <w:t> </w:t>
                    </w:r>
                    <w:r>
                      <w:rPr>
                        <w:rFonts w:ascii="Arial" w:hAnsi="Arial"/>
                        <w:color w:val="231F20"/>
                        <w:spacing w:val="-2"/>
                        <w:sz w:val="17"/>
                      </w:rPr>
                      <w:t>changements</w:t>
                    </w:r>
                    <w:r>
                      <w:rPr>
                        <w:rFonts w:ascii="Arial" w:hAnsi="Arial"/>
                        <w:color w:val="231F20"/>
                        <w:spacing w:val="-10"/>
                        <w:sz w:val="17"/>
                      </w:rPr>
                      <w:t> </w:t>
                    </w:r>
                    <w:r>
                      <w:rPr>
                        <w:rFonts w:ascii="Arial" w:hAnsi="Arial"/>
                        <w:color w:val="231F20"/>
                        <w:spacing w:val="-2"/>
                        <w:sz w:val="17"/>
                      </w:rPr>
                      <w:t>physiologiques</w:t>
                    </w:r>
                    <w:r>
                      <w:rPr>
                        <w:rFonts w:ascii="Arial" w:hAnsi="Arial"/>
                        <w:color w:val="231F20"/>
                        <w:spacing w:val="-10"/>
                        <w:sz w:val="17"/>
                      </w:rPr>
                      <w:t> </w:t>
                    </w:r>
                    <w:r>
                      <w:rPr>
                        <w:rFonts w:ascii="Arial" w:hAnsi="Arial"/>
                        <w:color w:val="231F20"/>
                        <w:spacing w:val="-2"/>
                        <w:sz w:val="17"/>
                      </w:rPr>
                      <w:t>caractérisent</w:t>
                    </w:r>
                    <w:r>
                      <w:rPr>
                        <w:rFonts w:ascii="Arial" w:hAnsi="Arial"/>
                        <w:color w:val="231F20"/>
                        <w:spacing w:val="-10"/>
                        <w:sz w:val="17"/>
                      </w:rPr>
                      <w:t> </w:t>
                    </w:r>
                    <w:r>
                      <w:rPr>
                        <w:rFonts w:ascii="Arial" w:hAnsi="Arial"/>
                        <w:color w:val="231F20"/>
                        <w:spacing w:val="-2"/>
                        <w:sz w:val="17"/>
                      </w:rPr>
                      <w:t>la</w:t>
                    </w:r>
                    <w:r>
                      <w:rPr>
                        <w:rFonts w:ascii="Arial" w:hAnsi="Arial"/>
                        <w:color w:val="231F20"/>
                        <w:spacing w:val="-9"/>
                        <w:sz w:val="17"/>
                      </w:rPr>
                      <w:t> </w:t>
                    </w:r>
                    <w:r>
                      <w:rPr>
                        <w:rFonts w:ascii="Arial" w:hAnsi="Arial"/>
                        <w:color w:val="231F20"/>
                        <w:spacing w:val="-2"/>
                        <w:sz w:val="17"/>
                      </w:rPr>
                      <w:t>réponse</w:t>
                    </w:r>
                    <w:r>
                      <w:rPr>
                        <w:rFonts w:ascii="Arial" w:hAnsi="Arial"/>
                        <w:color w:val="231F20"/>
                        <w:spacing w:val="-10"/>
                        <w:sz w:val="17"/>
                      </w:rPr>
                      <w:t> </w:t>
                    </w:r>
                    <w:r>
                      <w:rPr>
                        <w:rFonts w:ascii="Arial" w:hAnsi="Arial"/>
                        <w:color w:val="231F20"/>
                        <w:spacing w:val="-2"/>
                        <w:sz w:val="17"/>
                      </w:rPr>
                      <w:t>de</w:t>
                    </w:r>
                    <w:r>
                      <w:rPr>
                        <w:rFonts w:ascii="Arial" w:hAnsi="Arial"/>
                        <w:color w:val="231F20"/>
                        <w:spacing w:val="-10"/>
                        <w:sz w:val="17"/>
                      </w:rPr>
                      <w:t> </w:t>
                    </w:r>
                    <w:r>
                      <w:rPr>
                        <w:rFonts w:ascii="Arial" w:hAnsi="Arial"/>
                        <w:color w:val="231F20"/>
                        <w:spacing w:val="-2"/>
                        <w:sz w:val="17"/>
                      </w:rPr>
                      <w:t>fuite </w:t>
                    </w:r>
                    <w:r>
                      <w:rPr>
                        <w:rFonts w:ascii="Arial" w:hAnsi="Arial"/>
                        <w:color w:val="231F20"/>
                        <w:w w:val="105"/>
                        <w:sz w:val="17"/>
                      </w:rPr>
                      <w:t>ou de combat:</w:t>
                    </w:r>
                  </w:p>
                  <w:p>
                    <w:pPr>
                      <w:numPr>
                        <w:ilvl w:val="0"/>
                        <w:numId w:val="19"/>
                      </w:numPr>
                      <w:tabs>
                        <w:tab w:pos="751" w:val="left" w:leader="none"/>
                      </w:tabs>
                      <w:spacing w:line="307" w:lineRule="auto" w:before="79"/>
                      <w:ind w:left="750" w:right="247" w:hanging="251"/>
                      <w:jc w:val="both"/>
                      <w:rPr>
                        <w:rFonts w:ascii="Arial" w:hAnsi="Arial"/>
                        <w:sz w:val="17"/>
                      </w:rPr>
                    </w:pPr>
                    <w:r>
                      <w:rPr>
                        <w:rFonts w:ascii="Arial" w:hAnsi="Arial"/>
                        <w:color w:val="231F20"/>
                        <w:sz w:val="17"/>
                      </w:rPr>
                      <w:t>Un</w:t>
                    </w:r>
                    <w:r>
                      <w:rPr>
                        <w:rFonts w:ascii="Arial" w:hAnsi="Arial"/>
                        <w:color w:val="231F20"/>
                        <w:spacing w:val="-9"/>
                        <w:sz w:val="17"/>
                      </w:rPr>
                      <w:t> </w:t>
                    </w:r>
                    <w:r>
                      <w:rPr>
                        <w:rFonts w:ascii="Arial" w:hAnsi="Arial"/>
                        <w:color w:val="231F20"/>
                        <w:sz w:val="17"/>
                      </w:rPr>
                      <w:t>surcroît</w:t>
                    </w:r>
                    <w:r>
                      <w:rPr>
                        <w:rFonts w:ascii="Arial" w:hAnsi="Arial"/>
                        <w:color w:val="231F20"/>
                        <w:spacing w:val="-9"/>
                        <w:sz w:val="17"/>
                      </w:rPr>
                      <w:t> </w:t>
                    </w:r>
                    <w:r>
                      <w:rPr>
                        <w:rFonts w:ascii="Arial" w:hAnsi="Arial"/>
                        <w:color w:val="231F20"/>
                        <w:sz w:val="17"/>
                      </w:rPr>
                      <w:t>de</w:t>
                    </w:r>
                    <w:r>
                      <w:rPr>
                        <w:rFonts w:ascii="Arial" w:hAnsi="Arial"/>
                        <w:color w:val="231F20"/>
                        <w:spacing w:val="-9"/>
                        <w:sz w:val="17"/>
                      </w:rPr>
                      <w:t> </w:t>
                    </w:r>
                    <w:r>
                      <w:rPr>
                        <w:rFonts w:ascii="Arial" w:hAnsi="Arial"/>
                        <w:color w:val="231F20"/>
                        <w:sz w:val="17"/>
                      </w:rPr>
                      <w:t>sang</w:t>
                    </w:r>
                    <w:r>
                      <w:rPr>
                        <w:rFonts w:ascii="Arial" w:hAnsi="Arial"/>
                        <w:color w:val="231F20"/>
                        <w:spacing w:val="-9"/>
                        <w:sz w:val="17"/>
                      </w:rPr>
                      <w:t> </w:t>
                    </w:r>
                    <w:r>
                      <w:rPr>
                        <w:rFonts w:ascii="Arial" w:hAnsi="Arial"/>
                        <w:color w:val="231F20"/>
                        <w:sz w:val="17"/>
                      </w:rPr>
                      <w:t>afflue</w:t>
                    </w:r>
                    <w:r>
                      <w:rPr>
                        <w:rFonts w:ascii="Arial" w:hAnsi="Arial"/>
                        <w:color w:val="231F20"/>
                        <w:spacing w:val="-9"/>
                        <w:sz w:val="17"/>
                      </w:rPr>
                      <w:t> </w:t>
                    </w:r>
                    <w:r>
                      <w:rPr>
                        <w:rFonts w:ascii="Arial" w:hAnsi="Arial"/>
                        <w:color w:val="231F20"/>
                        <w:sz w:val="17"/>
                      </w:rPr>
                      <w:t>au</w:t>
                    </w:r>
                    <w:r>
                      <w:rPr>
                        <w:rFonts w:ascii="Arial" w:hAnsi="Arial"/>
                        <w:color w:val="231F20"/>
                        <w:spacing w:val="-9"/>
                        <w:sz w:val="17"/>
                      </w:rPr>
                      <w:t> </w:t>
                    </w:r>
                    <w:r>
                      <w:rPr>
                        <w:rFonts w:ascii="Arial" w:hAnsi="Arial"/>
                        <w:color w:val="231F20"/>
                        <w:sz w:val="17"/>
                      </w:rPr>
                      <w:t>cerveau</w:t>
                    </w:r>
                    <w:r>
                      <w:rPr>
                        <w:rFonts w:ascii="Arial" w:hAnsi="Arial"/>
                        <w:color w:val="231F20"/>
                        <w:spacing w:val="-9"/>
                        <w:sz w:val="17"/>
                      </w:rPr>
                      <w:t> </w:t>
                    </w:r>
                    <w:r>
                      <w:rPr>
                        <w:rFonts w:ascii="Arial" w:hAnsi="Arial"/>
                        <w:color w:val="231F20"/>
                        <w:sz w:val="17"/>
                      </w:rPr>
                      <w:t>et</w:t>
                    </w:r>
                    <w:r>
                      <w:rPr>
                        <w:rFonts w:ascii="Arial" w:hAnsi="Arial"/>
                        <w:color w:val="231F20"/>
                        <w:spacing w:val="-9"/>
                        <w:sz w:val="17"/>
                      </w:rPr>
                      <w:t> </w:t>
                    </w:r>
                    <w:r>
                      <w:rPr>
                        <w:rFonts w:ascii="Arial" w:hAnsi="Arial"/>
                        <w:color w:val="231F20"/>
                        <w:sz w:val="17"/>
                      </w:rPr>
                      <w:t>aux</w:t>
                    </w:r>
                    <w:r>
                      <w:rPr>
                        <w:rFonts w:ascii="Arial" w:hAnsi="Arial"/>
                        <w:color w:val="231F20"/>
                        <w:spacing w:val="-9"/>
                        <w:sz w:val="17"/>
                      </w:rPr>
                      <w:t> </w:t>
                    </w:r>
                    <w:r>
                      <w:rPr>
                        <w:rFonts w:ascii="Arial" w:hAnsi="Arial"/>
                        <w:color w:val="231F20"/>
                        <w:sz w:val="17"/>
                      </w:rPr>
                      <w:t>groupes</w:t>
                    </w:r>
                    <w:r>
                      <w:rPr>
                        <w:rFonts w:ascii="Arial" w:hAnsi="Arial"/>
                        <w:color w:val="231F20"/>
                        <w:spacing w:val="-9"/>
                        <w:sz w:val="17"/>
                      </w:rPr>
                      <w:t> </w:t>
                    </w:r>
                    <w:r>
                      <w:rPr>
                        <w:rFonts w:ascii="Arial" w:hAnsi="Arial"/>
                        <w:color w:val="231F20"/>
                        <w:sz w:val="17"/>
                      </w:rPr>
                      <w:t>de</w:t>
                    </w:r>
                    <w:r>
                      <w:rPr>
                        <w:rFonts w:ascii="Arial" w:hAnsi="Arial"/>
                        <w:color w:val="231F20"/>
                        <w:spacing w:val="-9"/>
                        <w:sz w:val="17"/>
                      </w:rPr>
                      <w:t> </w:t>
                    </w:r>
                    <w:r>
                      <w:rPr>
                        <w:rFonts w:ascii="Arial" w:hAnsi="Arial"/>
                        <w:color w:val="231F20"/>
                        <w:sz w:val="17"/>
                      </w:rPr>
                      <w:t>grands muscles. Cet afflux de sang supplémentaire rend le sujet plus alerte et plus fort pour faire face au danger.</w:t>
                    </w:r>
                  </w:p>
                  <w:p>
                    <w:pPr>
                      <w:numPr>
                        <w:ilvl w:val="0"/>
                        <w:numId w:val="19"/>
                      </w:numPr>
                      <w:tabs>
                        <w:tab w:pos="751" w:val="left" w:leader="none"/>
                      </w:tabs>
                      <w:spacing w:line="307" w:lineRule="auto" w:before="0"/>
                      <w:ind w:left="750" w:right="246" w:hanging="251"/>
                      <w:jc w:val="both"/>
                      <w:rPr>
                        <w:rFonts w:ascii="Arial" w:hAnsi="Arial"/>
                        <w:sz w:val="17"/>
                      </w:rPr>
                    </w:pPr>
                    <w:r>
                      <w:rPr>
                        <w:rFonts w:ascii="Arial" w:hAnsi="Arial"/>
                        <w:color w:val="231F20"/>
                        <w:sz w:val="17"/>
                      </w:rPr>
                      <w:t>La</w:t>
                    </w:r>
                    <w:r>
                      <w:rPr>
                        <w:rFonts w:ascii="Arial" w:hAnsi="Arial"/>
                        <w:color w:val="231F20"/>
                        <w:spacing w:val="-4"/>
                        <w:sz w:val="17"/>
                      </w:rPr>
                      <w:t> </w:t>
                    </w:r>
                    <w:r>
                      <w:rPr>
                        <w:rFonts w:ascii="Arial" w:hAnsi="Arial"/>
                        <w:color w:val="231F20"/>
                        <w:sz w:val="17"/>
                      </w:rPr>
                      <w:t>vue,</w:t>
                    </w:r>
                    <w:r>
                      <w:rPr>
                        <w:rFonts w:ascii="Arial" w:hAnsi="Arial"/>
                        <w:color w:val="231F20"/>
                        <w:spacing w:val="-4"/>
                        <w:sz w:val="17"/>
                      </w:rPr>
                      <w:t> </w:t>
                    </w:r>
                    <w:r>
                      <w:rPr>
                        <w:rFonts w:ascii="Arial" w:hAnsi="Arial"/>
                        <w:color w:val="231F20"/>
                        <w:sz w:val="17"/>
                      </w:rPr>
                      <w:t>l’ouïe</w:t>
                    </w:r>
                    <w:r>
                      <w:rPr>
                        <w:rFonts w:ascii="Arial" w:hAnsi="Arial"/>
                        <w:color w:val="231F20"/>
                        <w:spacing w:val="-4"/>
                        <w:sz w:val="17"/>
                      </w:rPr>
                      <w:t> </w:t>
                    </w:r>
                    <w:r>
                      <w:rPr>
                        <w:rFonts w:ascii="Arial" w:hAnsi="Arial"/>
                        <w:color w:val="231F20"/>
                        <w:sz w:val="17"/>
                      </w:rPr>
                      <w:t>et</w:t>
                    </w:r>
                    <w:r>
                      <w:rPr>
                        <w:rFonts w:ascii="Arial" w:hAnsi="Arial"/>
                        <w:color w:val="231F20"/>
                        <w:spacing w:val="-4"/>
                        <w:sz w:val="17"/>
                      </w:rPr>
                      <w:t> </w:t>
                    </w:r>
                    <w:r>
                      <w:rPr>
                        <w:rFonts w:ascii="Arial" w:hAnsi="Arial"/>
                        <w:color w:val="231F20"/>
                        <w:sz w:val="17"/>
                      </w:rPr>
                      <w:t>les</w:t>
                    </w:r>
                    <w:r>
                      <w:rPr>
                        <w:rFonts w:ascii="Arial" w:hAnsi="Arial"/>
                        <w:color w:val="231F20"/>
                        <w:spacing w:val="-4"/>
                        <w:sz w:val="17"/>
                      </w:rPr>
                      <w:t> </w:t>
                    </w:r>
                    <w:r>
                      <w:rPr>
                        <w:rFonts w:ascii="Arial" w:hAnsi="Arial"/>
                        <w:color w:val="231F20"/>
                        <w:sz w:val="17"/>
                      </w:rPr>
                      <w:t>autres</w:t>
                    </w:r>
                    <w:r>
                      <w:rPr>
                        <w:rFonts w:ascii="Arial" w:hAnsi="Arial"/>
                        <w:color w:val="231F20"/>
                        <w:spacing w:val="-4"/>
                        <w:sz w:val="17"/>
                      </w:rPr>
                      <w:t> </w:t>
                    </w:r>
                    <w:r>
                      <w:rPr>
                        <w:rFonts w:ascii="Arial" w:hAnsi="Arial"/>
                        <w:color w:val="231F20"/>
                        <w:sz w:val="17"/>
                      </w:rPr>
                      <w:t>processus</w:t>
                    </w:r>
                    <w:r>
                      <w:rPr>
                        <w:rFonts w:ascii="Arial" w:hAnsi="Arial"/>
                        <w:color w:val="231F20"/>
                        <w:spacing w:val="-4"/>
                        <w:sz w:val="17"/>
                      </w:rPr>
                      <w:t> </w:t>
                    </w:r>
                    <w:r>
                      <w:rPr>
                        <w:rFonts w:ascii="Arial" w:hAnsi="Arial"/>
                        <w:color w:val="231F20"/>
                        <w:sz w:val="17"/>
                      </w:rPr>
                      <w:t>sensoriels</w:t>
                    </w:r>
                    <w:r>
                      <w:rPr>
                        <w:rFonts w:ascii="Arial" w:hAnsi="Arial"/>
                        <w:color w:val="231F20"/>
                        <w:spacing w:val="-4"/>
                        <w:sz w:val="17"/>
                      </w:rPr>
                      <w:t> </w:t>
                    </w:r>
                    <w:r>
                      <w:rPr>
                        <w:rFonts w:ascii="Arial" w:hAnsi="Arial"/>
                        <w:color w:val="231F20"/>
                        <w:sz w:val="17"/>
                      </w:rPr>
                      <w:t>s’aiguisent,</w:t>
                    </w:r>
                    <w:r>
                      <w:rPr>
                        <w:rFonts w:ascii="Arial" w:hAnsi="Arial"/>
                        <w:color w:val="231F20"/>
                        <w:spacing w:val="-4"/>
                        <w:sz w:val="17"/>
                      </w:rPr>
                      <w:t> </w:t>
                    </w:r>
                    <w:r>
                      <w:rPr>
                        <w:rFonts w:ascii="Arial" w:hAnsi="Arial"/>
                        <w:color w:val="231F20"/>
                        <w:sz w:val="17"/>
                      </w:rPr>
                      <w:t>ce qui accroît la sensibilité à l’agent stressant.</w:t>
                    </w:r>
                  </w:p>
                  <w:p>
                    <w:pPr>
                      <w:numPr>
                        <w:ilvl w:val="0"/>
                        <w:numId w:val="19"/>
                      </w:numPr>
                      <w:tabs>
                        <w:tab w:pos="751" w:val="left" w:leader="none"/>
                      </w:tabs>
                      <w:spacing w:line="307" w:lineRule="auto" w:before="0"/>
                      <w:ind w:left="750" w:right="248" w:hanging="251"/>
                      <w:jc w:val="both"/>
                      <w:rPr>
                        <w:rFonts w:ascii="Arial" w:hAnsi="Arial"/>
                        <w:sz w:val="17"/>
                      </w:rPr>
                    </w:pPr>
                    <w:r>
                      <w:rPr>
                        <w:rFonts w:ascii="Arial" w:hAnsi="Arial"/>
                        <w:color w:val="231F20"/>
                        <w:sz w:val="17"/>
                      </w:rPr>
                      <w:t>Du glucose et divers acides gras se libèrent dans la circulation </w:t>
                    </w:r>
                    <w:r>
                      <w:rPr>
                        <w:rFonts w:ascii="Arial" w:hAnsi="Arial"/>
                        <w:color w:val="231F20"/>
                        <w:spacing w:val="-4"/>
                        <w:sz w:val="17"/>
                      </w:rPr>
                      <w:t>sanguine</w:t>
                    </w:r>
                    <w:r>
                      <w:rPr>
                        <w:rFonts w:ascii="Arial" w:hAnsi="Arial"/>
                        <w:color w:val="231F20"/>
                        <w:spacing w:val="-5"/>
                        <w:sz w:val="17"/>
                      </w:rPr>
                      <w:t> </w:t>
                    </w:r>
                    <w:r>
                      <w:rPr>
                        <w:rFonts w:ascii="Arial" w:hAnsi="Arial"/>
                        <w:color w:val="231F20"/>
                        <w:spacing w:val="-4"/>
                        <w:sz w:val="17"/>
                      </w:rPr>
                      <w:t>pour</w:t>
                    </w:r>
                    <w:r>
                      <w:rPr>
                        <w:rFonts w:ascii="Arial" w:hAnsi="Arial"/>
                        <w:color w:val="231F20"/>
                        <w:spacing w:val="-5"/>
                        <w:sz w:val="17"/>
                      </w:rPr>
                      <w:t> </w:t>
                    </w:r>
                    <w:r>
                      <w:rPr>
                        <w:rFonts w:ascii="Arial" w:hAnsi="Arial"/>
                        <w:color w:val="231F20"/>
                        <w:spacing w:val="-4"/>
                        <w:sz w:val="17"/>
                      </w:rPr>
                      <w:t>donner</w:t>
                    </w:r>
                    <w:r>
                      <w:rPr>
                        <w:rFonts w:ascii="Arial" w:hAnsi="Arial"/>
                        <w:color w:val="231F20"/>
                        <w:spacing w:val="-5"/>
                        <w:sz w:val="17"/>
                      </w:rPr>
                      <w:t> </w:t>
                    </w:r>
                    <w:r>
                      <w:rPr>
                        <w:rFonts w:ascii="Arial" w:hAnsi="Arial"/>
                        <w:color w:val="231F20"/>
                        <w:spacing w:val="-4"/>
                        <w:sz w:val="17"/>
                      </w:rPr>
                      <w:t>à</w:t>
                    </w:r>
                    <w:r>
                      <w:rPr>
                        <w:rFonts w:ascii="Arial" w:hAnsi="Arial"/>
                        <w:color w:val="231F20"/>
                        <w:spacing w:val="-5"/>
                        <w:sz w:val="17"/>
                      </w:rPr>
                      <w:t> </w:t>
                    </w:r>
                    <w:r>
                      <w:rPr>
                        <w:rFonts w:ascii="Arial" w:hAnsi="Arial"/>
                        <w:color w:val="231F20"/>
                        <w:spacing w:val="-4"/>
                        <w:sz w:val="17"/>
                      </w:rPr>
                      <w:t>l’organisme</w:t>
                    </w:r>
                    <w:r>
                      <w:rPr>
                        <w:rFonts w:ascii="Arial" w:hAnsi="Arial"/>
                        <w:color w:val="231F20"/>
                        <w:spacing w:val="-5"/>
                        <w:sz w:val="17"/>
                      </w:rPr>
                      <w:t> </w:t>
                    </w:r>
                    <w:r>
                      <w:rPr>
                        <w:rFonts w:ascii="Arial" w:hAnsi="Arial"/>
                        <w:color w:val="231F20"/>
                        <w:spacing w:val="-4"/>
                        <w:sz w:val="17"/>
                      </w:rPr>
                      <w:t>un</w:t>
                    </w:r>
                    <w:r>
                      <w:rPr>
                        <w:rFonts w:ascii="Arial" w:hAnsi="Arial"/>
                        <w:color w:val="231F20"/>
                        <w:spacing w:val="-5"/>
                        <w:sz w:val="17"/>
                      </w:rPr>
                      <w:t> </w:t>
                    </w:r>
                    <w:r>
                      <w:rPr>
                        <w:rFonts w:ascii="Arial" w:hAnsi="Arial"/>
                        <w:color w:val="231F20"/>
                        <w:spacing w:val="-4"/>
                        <w:sz w:val="17"/>
                      </w:rPr>
                      <w:t>surcroît</w:t>
                    </w:r>
                    <w:r>
                      <w:rPr>
                        <w:rFonts w:ascii="Arial" w:hAnsi="Arial"/>
                        <w:color w:val="231F20"/>
                        <w:spacing w:val="-5"/>
                        <w:sz w:val="17"/>
                      </w:rPr>
                      <w:t> </w:t>
                    </w:r>
                    <w:r>
                      <w:rPr>
                        <w:rFonts w:ascii="Arial" w:hAnsi="Arial"/>
                        <w:color w:val="231F20"/>
                        <w:spacing w:val="-4"/>
                        <w:sz w:val="17"/>
                      </w:rPr>
                      <w:t>d’énergie</w:t>
                    </w:r>
                    <w:r>
                      <w:rPr>
                        <w:rFonts w:ascii="Arial" w:hAnsi="Arial"/>
                        <w:color w:val="231F20"/>
                        <w:spacing w:val="-7"/>
                        <w:sz w:val="17"/>
                      </w:rPr>
                      <w:t> </w:t>
                    </w:r>
                    <w:r>
                      <w:rPr>
                        <w:rFonts w:ascii="Arial" w:hAnsi="Arial"/>
                        <w:color w:val="231F20"/>
                        <w:spacing w:val="-4"/>
                        <w:sz w:val="17"/>
                      </w:rPr>
                      <w:t>pendant </w:t>
                    </w:r>
                    <w:r>
                      <w:rPr>
                        <w:rFonts w:ascii="Arial" w:hAnsi="Arial"/>
                        <w:color w:val="231F20"/>
                        <w:sz w:val="17"/>
                      </w:rPr>
                      <w:t>l’événement</w:t>
                    </w:r>
                    <w:r>
                      <w:rPr>
                        <w:rFonts w:ascii="Arial" w:hAnsi="Arial"/>
                        <w:color w:val="231F20"/>
                        <w:spacing w:val="-3"/>
                        <w:sz w:val="17"/>
                      </w:rPr>
                      <w:t> </w:t>
                    </w:r>
                    <w:r>
                      <w:rPr>
                        <w:rFonts w:ascii="Arial" w:hAnsi="Arial"/>
                        <w:color w:val="231F20"/>
                        <w:sz w:val="17"/>
                      </w:rPr>
                      <w:t>stressant.</w:t>
                    </w:r>
                  </w:p>
                  <w:p>
                    <w:pPr>
                      <w:numPr>
                        <w:ilvl w:val="0"/>
                        <w:numId w:val="19"/>
                      </w:numPr>
                      <w:tabs>
                        <w:tab w:pos="751" w:val="left" w:leader="none"/>
                      </w:tabs>
                      <w:spacing w:line="307" w:lineRule="auto" w:before="0"/>
                      <w:ind w:left="750" w:right="249" w:hanging="251"/>
                      <w:jc w:val="both"/>
                      <w:rPr>
                        <w:rFonts w:ascii="Arial" w:hAnsi="Arial"/>
                        <w:sz w:val="17"/>
                      </w:rPr>
                    </w:pPr>
                    <w:r>
                      <w:rPr>
                        <w:rFonts w:ascii="Arial" w:hAnsi="Arial"/>
                        <w:color w:val="231F20"/>
                        <w:sz w:val="17"/>
                      </w:rPr>
                      <w:t>Les</w:t>
                    </w:r>
                    <w:r>
                      <w:rPr>
                        <w:rFonts w:ascii="Arial" w:hAnsi="Arial"/>
                        <w:color w:val="231F20"/>
                        <w:spacing w:val="-10"/>
                        <w:sz w:val="17"/>
                      </w:rPr>
                      <w:t> </w:t>
                    </w:r>
                    <w:r>
                      <w:rPr>
                        <w:rFonts w:ascii="Arial" w:hAnsi="Arial"/>
                        <w:color w:val="231F20"/>
                        <w:sz w:val="17"/>
                      </w:rPr>
                      <w:t>pupilles</w:t>
                    </w:r>
                    <w:r>
                      <w:rPr>
                        <w:rFonts w:ascii="Arial" w:hAnsi="Arial"/>
                        <w:color w:val="231F20"/>
                        <w:spacing w:val="-10"/>
                        <w:sz w:val="17"/>
                      </w:rPr>
                      <w:t> </w:t>
                    </w:r>
                    <w:r>
                      <w:rPr>
                        <w:rFonts w:ascii="Arial" w:hAnsi="Arial"/>
                        <w:color w:val="231F20"/>
                        <w:sz w:val="17"/>
                      </w:rPr>
                      <w:t>se</w:t>
                    </w:r>
                    <w:r>
                      <w:rPr>
                        <w:rFonts w:ascii="Arial" w:hAnsi="Arial"/>
                        <w:color w:val="231F20"/>
                        <w:spacing w:val="-10"/>
                        <w:sz w:val="17"/>
                      </w:rPr>
                      <w:t> </w:t>
                    </w:r>
                    <w:r>
                      <w:rPr>
                        <w:rFonts w:ascii="Arial" w:hAnsi="Arial"/>
                        <w:color w:val="231F20"/>
                        <w:sz w:val="17"/>
                      </w:rPr>
                      <w:t>dilatent</w:t>
                    </w:r>
                    <w:r>
                      <w:rPr>
                        <w:rFonts w:ascii="Arial" w:hAnsi="Arial"/>
                        <w:color w:val="231F20"/>
                        <w:spacing w:val="-10"/>
                        <w:sz w:val="17"/>
                      </w:rPr>
                      <w:t> </w:t>
                    </w:r>
                    <w:r>
                      <w:rPr>
                        <w:rFonts w:ascii="Arial" w:hAnsi="Arial"/>
                        <w:color w:val="231F20"/>
                        <w:sz w:val="17"/>
                      </w:rPr>
                      <w:t>afin</w:t>
                    </w:r>
                    <w:r>
                      <w:rPr>
                        <w:rFonts w:ascii="Arial" w:hAnsi="Arial"/>
                        <w:color w:val="231F20"/>
                        <w:spacing w:val="-10"/>
                        <w:sz w:val="17"/>
                      </w:rPr>
                      <w:t> </w:t>
                    </w:r>
                    <w:r>
                      <w:rPr>
                        <w:rFonts w:ascii="Arial" w:hAnsi="Arial"/>
                        <w:color w:val="231F20"/>
                        <w:sz w:val="17"/>
                      </w:rPr>
                      <w:t>d’améliorer</w:t>
                    </w:r>
                    <w:r>
                      <w:rPr>
                        <w:rFonts w:ascii="Arial" w:hAnsi="Arial"/>
                        <w:color w:val="231F20"/>
                        <w:spacing w:val="-10"/>
                        <w:sz w:val="17"/>
                      </w:rPr>
                      <w:t> </w:t>
                    </w:r>
                    <w:r>
                      <w:rPr>
                        <w:rFonts w:ascii="Arial" w:hAnsi="Arial"/>
                        <w:color w:val="231F20"/>
                        <w:sz w:val="17"/>
                      </w:rPr>
                      <w:t>la</w:t>
                    </w:r>
                    <w:r>
                      <w:rPr>
                        <w:rFonts w:ascii="Arial" w:hAnsi="Arial"/>
                        <w:color w:val="231F20"/>
                        <w:spacing w:val="-10"/>
                        <w:sz w:val="17"/>
                      </w:rPr>
                      <w:t> </w:t>
                    </w:r>
                    <w:r>
                      <w:rPr>
                        <w:rFonts w:ascii="Arial" w:hAnsi="Arial"/>
                        <w:color w:val="231F20"/>
                        <w:sz w:val="17"/>
                      </w:rPr>
                      <w:t>vision</w:t>
                    </w:r>
                    <w:r>
                      <w:rPr>
                        <w:rFonts w:ascii="Arial" w:hAnsi="Arial"/>
                        <w:color w:val="231F20"/>
                        <w:spacing w:val="-10"/>
                        <w:sz w:val="17"/>
                      </w:rPr>
                      <w:t> </w:t>
                    </w:r>
                    <w:r>
                      <w:rPr>
                        <w:rFonts w:ascii="Arial" w:hAnsi="Arial"/>
                        <w:color w:val="231F20"/>
                        <w:sz w:val="17"/>
                      </w:rPr>
                      <w:t>dans</w:t>
                    </w:r>
                    <w:r>
                      <w:rPr>
                        <w:rFonts w:ascii="Arial" w:hAnsi="Arial"/>
                        <w:color w:val="231F20"/>
                        <w:spacing w:val="-10"/>
                        <w:sz w:val="17"/>
                      </w:rPr>
                      <w:t> </w:t>
                    </w:r>
                    <w:r>
                      <w:rPr>
                        <w:rFonts w:ascii="Arial" w:hAnsi="Arial"/>
                        <w:color w:val="231F20"/>
                        <w:sz w:val="17"/>
                      </w:rPr>
                      <w:t>un</w:t>
                    </w:r>
                    <w:r>
                      <w:rPr>
                        <w:rFonts w:ascii="Arial" w:hAnsi="Arial"/>
                        <w:color w:val="231F20"/>
                        <w:spacing w:val="-10"/>
                        <w:sz w:val="17"/>
                      </w:rPr>
                      <w:t> </w:t>
                    </w:r>
                    <w:r>
                      <w:rPr>
                        <w:rFonts w:ascii="Arial" w:hAnsi="Arial"/>
                        <w:color w:val="231F20"/>
                        <w:sz w:val="17"/>
                      </w:rPr>
                      <w:t>endroit </w:t>
                    </w:r>
                    <w:r>
                      <w:rPr>
                        <w:rFonts w:ascii="Arial" w:hAnsi="Arial"/>
                        <w:color w:val="231F20"/>
                        <w:spacing w:val="-2"/>
                        <w:sz w:val="17"/>
                      </w:rPr>
                      <w:t>sombre.</w:t>
                    </w:r>
                  </w:p>
                  <w:p>
                    <w:pPr>
                      <w:numPr>
                        <w:ilvl w:val="0"/>
                        <w:numId w:val="19"/>
                      </w:numPr>
                      <w:tabs>
                        <w:tab w:pos="751" w:val="left" w:leader="none"/>
                      </w:tabs>
                      <w:spacing w:line="307" w:lineRule="auto" w:before="0"/>
                      <w:ind w:left="750" w:right="248" w:hanging="251"/>
                      <w:jc w:val="both"/>
                      <w:rPr>
                        <w:rFonts w:ascii="Arial" w:hAnsi="Arial"/>
                        <w:sz w:val="17"/>
                      </w:rPr>
                    </w:pPr>
                    <w:r>
                      <w:rPr>
                        <w:rFonts w:ascii="Arial" w:hAnsi="Arial"/>
                        <w:color w:val="231F20"/>
                        <w:sz w:val="17"/>
                      </w:rPr>
                      <w:t>Les</w:t>
                    </w:r>
                    <w:r>
                      <w:rPr>
                        <w:rFonts w:ascii="Arial" w:hAnsi="Arial"/>
                        <w:color w:val="231F20"/>
                        <w:spacing w:val="-3"/>
                        <w:sz w:val="17"/>
                      </w:rPr>
                      <w:t> </w:t>
                    </w:r>
                    <w:r>
                      <w:rPr>
                        <w:rFonts w:ascii="Arial" w:hAnsi="Arial"/>
                        <w:color w:val="231F20"/>
                        <w:sz w:val="17"/>
                      </w:rPr>
                      <w:t>paumes</w:t>
                    </w:r>
                    <w:r>
                      <w:rPr>
                        <w:rFonts w:ascii="Arial" w:hAnsi="Arial"/>
                        <w:color w:val="231F20"/>
                        <w:spacing w:val="-3"/>
                        <w:sz w:val="17"/>
                      </w:rPr>
                      <w:t> </w:t>
                    </w:r>
                    <w:r>
                      <w:rPr>
                        <w:rFonts w:ascii="Arial" w:hAnsi="Arial"/>
                        <w:color w:val="231F20"/>
                        <w:sz w:val="17"/>
                      </w:rPr>
                      <w:t>des</w:t>
                    </w:r>
                    <w:r>
                      <w:rPr>
                        <w:rFonts w:ascii="Arial" w:hAnsi="Arial"/>
                        <w:color w:val="231F20"/>
                        <w:spacing w:val="-3"/>
                        <w:sz w:val="17"/>
                      </w:rPr>
                      <w:t> </w:t>
                    </w:r>
                    <w:r>
                      <w:rPr>
                        <w:rFonts w:ascii="Arial" w:hAnsi="Arial"/>
                        <w:color w:val="231F20"/>
                        <w:sz w:val="17"/>
                      </w:rPr>
                      <w:t>mains</w:t>
                    </w:r>
                    <w:r>
                      <w:rPr>
                        <w:rFonts w:ascii="Arial" w:hAnsi="Arial"/>
                        <w:color w:val="231F20"/>
                        <w:spacing w:val="-3"/>
                        <w:sz w:val="17"/>
                      </w:rPr>
                      <w:t> </w:t>
                    </w:r>
                    <w:r>
                      <w:rPr>
                        <w:rFonts w:ascii="Arial" w:hAnsi="Arial"/>
                        <w:color w:val="231F20"/>
                        <w:sz w:val="17"/>
                      </w:rPr>
                      <w:t>et</w:t>
                    </w:r>
                    <w:r>
                      <w:rPr>
                        <w:rFonts w:ascii="Arial" w:hAnsi="Arial"/>
                        <w:color w:val="231F20"/>
                        <w:spacing w:val="-3"/>
                        <w:sz w:val="17"/>
                      </w:rPr>
                      <w:t> </w:t>
                    </w:r>
                    <w:r>
                      <w:rPr>
                        <w:rFonts w:ascii="Arial" w:hAnsi="Arial"/>
                        <w:color w:val="231F20"/>
                        <w:sz w:val="17"/>
                      </w:rPr>
                      <w:t>la</w:t>
                    </w:r>
                    <w:r>
                      <w:rPr>
                        <w:rFonts w:ascii="Arial" w:hAnsi="Arial"/>
                        <w:color w:val="231F20"/>
                        <w:spacing w:val="-3"/>
                        <w:sz w:val="17"/>
                      </w:rPr>
                      <w:t> </w:t>
                    </w:r>
                    <w:r>
                      <w:rPr>
                        <w:rFonts w:ascii="Arial" w:hAnsi="Arial"/>
                        <w:color w:val="231F20"/>
                        <w:sz w:val="17"/>
                      </w:rPr>
                      <w:t>plante</w:t>
                    </w:r>
                    <w:r>
                      <w:rPr>
                        <w:rFonts w:ascii="Arial" w:hAnsi="Arial"/>
                        <w:color w:val="231F20"/>
                        <w:spacing w:val="-3"/>
                        <w:sz w:val="17"/>
                      </w:rPr>
                      <w:t> </w:t>
                    </w:r>
                    <w:r>
                      <w:rPr>
                        <w:rFonts w:ascii="Arial" w:hAnsi="Arial"/>
                        <w:color w:val="231F20"/>
                        <w:sz w:val="17"/>
                      </w:rPr>
                      <w:t>des</w:t>
                    </w:r>
                    <w:r>
                      <w:rPr>
                        <w:rFonts w:ascii="Arial" w:hAnsi="Arial"/>
                        <w:color w:val="231F20"/>
                        <w:spacing w:val="-3"/>
                        <w:sz w:val="17"/>
                      </w:rPr>
                      <w:t> </w:t>
                    </w:r>
                    <w:r>
                      <w:rPr>
                        <w:rFonts w:ascii="Arial" w:hAnsi="Arial"/>
                        <w:color w:val="231F20"/>
                        <w:sz w:val="17"/>
                      </w:rPr>
                      <w:t>pieds</w:t>
                    </w:r>
                    <w:r>
                      <w:rPr>
                        <w:rFonts w:ascii="Arial" w:hAnsi="Arial"/>
                        <w:color w:val="231F20"/>
                        <w:spacing w:val="-3"/>
                        <w:sz w:val="17"/>
                      </w:rPr>
                      <w:t> </w:t>
                    </w:r>
                    <w:r>
                      <w:rPr>
                        <w:rFonts w:ascii="Arial" w:hAnsi="Arial"/>
                        <w:color w:val="231F20"/>
                        <w:sz w:val="17"/>
                      </w:rPr>
                      <w:t>suent,</w:t>
                    </w:r>
                    <w:r>
                      <w:rPr>
                        <w:rFonts w:ascii="Arial" w:hAnsi="Arial"/>
                        <w:color w:val="231F20"/>
                        <w:spacing w:val="-3"/>
                        <w:sz w:val="17"/>
                      </w:rPr>
                      <w:t> </w:t>
                    </w:r>
                    <w:r>
                      <w:rPr>
                        <w:rFonts w:ascii="Arial" w:hAnsi="Arial"/>
                        <w:color w:val="231F20"/>
                        <w:sz w:val="17"/>
                      </w:rPr>
                      <w:t>ce</w:t>
                    </w:r>
                    <w:r>
                      <w:rPr>
                        <w:rFonts w:ascii="Arial" w:hAnsi="Arial"/>
                        <w:color w:val="231F20"/>
                        <w:spacing w:val="-3"/>
                        <w:sz w:val="17"/>
                      </w:rPr>
                      <w:t> </w:t>
                    </w:r>
                    <w:r>
                      <w:rPr>
                        <w:rFonts w:ascii="Arial" w:hAnsi="Arial"/>
                        <w:color w:val="231F20"/>
                        <w:sz w:val="17"/>
                      </w:rPr>
                      <w:t>qui</w:t>
                    </w:r>
                    <w:r>
                      <w:rPr>
                        <w:rFonts w:ascii="Arial" w:hAnsi="Arial"/>
                        <w:color w:val="231F20"/>
                        <w:spacing w:val="-3"/>
                        <w:sz w:val="17"/>
                      </w:rPr>
                      <w:t> </w:t>
                    </w:r>
                    <w:r>
                      <w:rPr>
                        <w:rFonts w:ascii="Arial" w:hAnsi="Arial"/>
                        <w:color w:val="231F20"/>
                        <w:sz w:val="17"/>
                      </w:rPr>
                      <w:t>leur donne</w:t>
                    </w:r>
                    <w:r>
                      <w:rPr>
                        <w:rFonts w:ascii="Arial" w:hAnsi="Arial"/>
                        <w:color w:val="231F20"/>
                        <w:spacing w:val="-9"/>
                        <w:sz w:val="17"/>
                      </w:rPr>
                      <w:t> </w:t>
                    </w:r>
                    <w:r>
                      <w:rPr>
                        <w:rFonts w:ascii="Arial" w:hAnsi="Arial"/>
                        <w:color w:val="231F20"/>
                        <w:sz w:val="17"/>
                      </w:rPr>
                      <w:t>une</w:t>
                    </w:r>
                    <w:r>
                      <w:rPr>
                        <w:rFonts w:ascii="Arial" w:hAnsi="Arial"/>
                        <w:color w:val="231F20"/>
                        <w:spacing w:val="-9"/>
                        <w:sz w:val="17"/>
                      </w:rPr>
                      <w:t> </w:t>
                    </w:r>
                    <w:r>
                      <w:rPr>
                        <w:rFonts w:ascii="Arial" w:hAnsi="Arial"/>
                        <w:color w:val="231F20"/>
                        <w:sz w:val="17"/>
                      </w:rPr>
                      <w:t>meilleure</w:t>
                    </w:r>
                    <w:r>
                      <w:rPr>
                        <w:rFonts w:ascii="Arial" w:hAnsi="Arial"/>
                        <w:color w:val="231F20"/>
                        <w:spacing w:val="-9"/>
                        <w:sz w:val="17"/>
                      </w:rPr>
                      <w:t> </w:t>
                    </w:r>
                    <w:r>
                      <w:rPr>
                        <w:rFonts w:ascii="Arial" w:hAnsi="Arial"/>
                        <w:color w:val="231F20"/>
                        <w:sz w:val="17"/>
                      </w:rPr>
                      <w:t>adhérence</w:t>
                    </w:r>
                    <w:r>
                      <w:rPr>
                        <w:rFonts w:ascii="Arial" w:hAnsi="Arial"/>
                        <w:color w:val="231F20"/>
                        <w:spacing w:val="-9"/>
                        <w:sz w:val="17"/>
                      </w:rPr>
                      <w:t> </w:t>
                    </w:r>
                    <w:r>
                      <w:rPr>
                        <w:rFonts w:ascii="Arial" w:hAnsi="Arial"/>
                        <w:color w:val="231F20"/>
                        <w:sz w:val="17"/>
                      </w:rPr>
                      <w:t>pour</w:t>
                    </w:r>
                    <w:r>
                      <w:rPr>
                        <w:rFonts w:ascii="Arial" w:hAnsi="Arial"/>
                        <w:color w:val="231F20"/>
                        <w:spacing w:val="-9"/>
                        <w:sz w:val="17"/>
                      </w:rPr>
                      <w:t> </w:t>
                    </w:r>
                    <w:r>
                      <w:rPr>
                        <w:rFonts w:ascii="Arial" w:hAnsi="Arial"/>
                        <w:color w:val="231F20"/>
                        <w:sz w:val="17"/>
                      </w:rPr>
                      <w:t>courir,</w:t>
                    </w:r>
                    <w:r>
                      <w:rPr>
                        <w:rFonts w:ascii="Arial" w:hAnsi="Arial"/>
                        <w:color w:val="231F20"/>
                        <w:spacing w:val="-9"/>
                        <w:sz w:val="17"/>
                      </w:rPr>
                      <w:t> </w:t>
                    </w:r>
                    <w:r>
                      <w:rPr>
                        <w:rFonts w:ascii="Arial" w:hAnsi="Arial"/>
                        <w:color w:val="231F20"/>
                        <w:sz w:val="17"/>
                      </w:rPr>
                      <w:t>grimper</w:t>
                    </w:r>
                    <w:r>
                      <w:rPr>
                        <w:rFonts w:ascii="Arial" w:hAnsi="Arial"/>
                        <w:color w:val="231F20"/>
                        <w:spacing w:val="-9"/>
                        <w:sz w:val="17"/>
                      </w:rPr>
                      <w:t> </w:t>
                    </w:r>
                    <w:r>
                      <w:rPr>
                        <w:rFonts w:ascii="Arial" w:hAnsi="Arial"/>
                        <w:color w:val="231F20"/>
                        <w:sz w:val="17"/>
                      </w:rPr>
                      <w:t>et</w:t>
                    </w:r>
                    <w:r>
                      <w:rPr>
                        <w:rFonts w:ascii="Arial" w:hAnsi="Arial"/>
                        <w:color w:val="231F20"/>
                        <w:spacing w:val="-9"/>
                        <w:sz w:val="17"/>
                      </w:rPr>
                      <w:t> </w:t>
                    </w:r>
                    <w:r>
                      <w:rPr>
                        <w:rFonts w:ascii="Arial" w:hAnsi="Arial"/>
                        <w:color w:val="231F20"/>
                        <w:sz w:val="17"/>
                      </w:rPr>
                      <w:t>agripper des</w:t>
                    </w:r>
                    <w:r>
                      <w:rPr>
                        <w:rFonts w:ascii="Arial" w:hAnsi="Arial"/>
                        <w:color w:val="231F20"/>
                        <w:spacing w:val="-3"/>
                        <w:sz w:val="17"/>
                      </w:rPr>
                      <w:t> </w:t>
                    </w:r>
                    <w:r>
                      <w:rPr>
                        <w:rFonts w:ascii="Arial" w:hAnsi="Arial"/>
                        <w:color w:val="231F20"/>
                        <w:sz w:val="17"/>
                      </w:rPr>
                      <w:t>objets.</w:t>
                    </w:r>
                  </w:p>
                  <w:p>
                    <w:pPr>
                      <w:numPr>
                        <w:ilvl w:val="0"/>
                        <w:numId w:val="19"/>
                      </w:numPr>
                      <w:tabs>
                        <w:tab w:pos="751" w:val="left" w:leader="none"/>
                      </w:tabs>
                      <w:spacing w:line="307" w:lineRule="auto" w:before="0"/>
                      <w:ind w:left="750" w:right="247" w:hanging="251"/>
                      <w:jc w:val="both"/>
                      <w:rPr>
                        <w:rFonts w:ascii="Arial" w:hAnsi="Arial"/>
                        <w:sz w:val="17"/>
                      </w:rPr>
                    </w:pPr>
                    <w:r>
                      <w:rPr>
                        <w:rFonts w:ascii="Arial" w:hAnsi="Arial"/>
                        <w:color w:val="231F20"/>
                        <w:sz w:val="17"/>
                      </w:rPr>
                      <w:t>Les processus digestifs ralentissent</w:t>
                    </w:r>
                    <w:r>
                      <w:rPr>
                        <w:rFonts w:ascii="Arial" w:hAnsi="Arial"/>
                        <w:color w:val="231F20"/>
                        <w:spacing w:val="-12"/>
                        <w:sz w:val="17"/>
                      </w:rPr>
                      <w:t> </w:t>
                    </w:r>
                    <w:r>
                      <w:rPr>
                        <w:rFonts w:ascii="Arial" w:hAnsi="Arial"/>
                        <w:color w:val="231F20"/>
                        <w:sz w:val="17"/>
                      </w:rPr>
                      <w:t>; par exemple, la bouche </w:t>
                    </w:r>
                    <w:r>
                      <w:rPr>
                        <w:rFonts w:ascii="Arial" w:hAnsi="Arial"/>
                        <w:color w:val="231F20"/>
                        <w:spacing w:val="-2"/>
                        <w:w w:val="105"/>
                        <w:sz w:val="17"/>
                      </w:rPr>
                      <w:t>s’assèche.</w:t>
                    </w:r>
                  </w:p>
                </w:txbxContent>
              </v:textbox>
              <w10:wrap type="none"/>
            </v:shape>
            <w10:wrap type="topAndBottom"/>
          </v:group>
        </w:pict>
      </w:r>
    </w:p>
    <w:p>
      <w:pPr>
        <w:pStyle w:val="BodyText"/>
        <w:spacing w:before="2"/>
        <w:rPr>
          <w:rFonts w:ascii="Arial"/>
        </w:rPr>
      </w:pPr>
    </w:p>
    <w:p>
      <w:pPr>
        <w:pStyle w:val="BodyText"/>
        <w:spacing w:line="307" w:lineRule="auto" w:before="145"/>
        <w:ind w:left="1180" w:right="246"/>
        <w:jc w:val="both"/>
      </w:pPr>
      <w:r>
        <w:rPr>
          <w:color w:val="231F20"/>
          <w:w w:val="115"/>
        </w:rPr>
        <w:t>Selye</w:t>
      </w:r>
      <w:r>
        <w:rPr>
          <w:color w:val="231F20"/>
          <w:spacing w:val="-12"/>
          <w:w w:val="115"/>
        </w:rPr>
        <w:t> </w:t>
      </w:r>
      <w:r>
        <w:rPr>
          <w:color w:val="231F20"/>
          <w:w w:val="115"/>
        </w:rPr>
        <w:t>considérait</w:t>
      </w:r>
      <w:r>
        <w:rPr>
          <w:color w:val="231F20"/>
          <w:spacing w:val="-12"/>
          <w:w w:val="115"/>
        </w:rPr>
        <w:t> </w:t>
      </w:r>
      <w:r>
        <w:rPr>
          <w:color w:val="231F20"/>
          <w:w w:val="115"/>
        </w:rPr>
        <w:t>à</w:t>
      </w:r>
      <w:r>
        <w:rPr>
          <w:color w:val="231F20"/>
          <w:spacing w:val="-12"/>
          <w:w w:val="115"/>
        </w:rPr>
        <w:t> </w:t>
      </w:r>
      <w:r>
        <w:rPr>
          <w:color w:val="231F20"/>
          <w:w w:val="115"/>
        </w:rPr>
        <w:t>l’origine</w:t>
      </w:r>
      <w:r>
        <w:rPr>
          <w:color w:val="231F20"/>
          <w:spacing w:val="-12"/>
          <w:w w:val="115"/>
        </w:rPr>
        <w:t> </w:t>
      </w:r>
      <w:r>
        <w:rPr>
          <w:color w:val="231F20"/>
          <w:w w:val="115"/>
        </w:rPr>
        <w:t>le</w:t>
      </w:r>
      <w:r>
        <w:rPr>
          <w:color w:val="231F20"/>
          <w:spacing w:val="-12"/>
          <w:w w:val="115"/>
        </w:rPr>
        <w:t> </w:t>
      </w:r>
      <w:r>
        <w:rPr>
          <w:color w:val="231F20"/>
          <w:w w:val="115"/>
        </w:rPr>
        <w:t>stress</w:t>
      </w:r>
      <w:r>
        <w:rPr>
          <w:color w:val="231F20"/>
          <w:spacing w:val="-12"/>
          <w:w w:val="115"/>
        </w:rPr>
        <w:t> </w:t>
      </w:r>
      <w:r>
        <w:rPr>
          <w:color w:val="231F20"/>
          <w:w w:val="115"/>
        </w:rPr>
        <w:t>comme</w:t>
      </w:r>
      <w:r>
        <w:rPr>
          <w:color w:val="231F20"/>
          <w:spacing w:val="-12"/>
          <w:w w:val="115"/>
        </w:rPr>
        <w:t> </w:t>
      </w:r>
      <w:r>
        <w:rPr>
          <w:color w:val="231F20"/>
          <w:w w:val="115"/>
        </w:rPr>
        <w:t>la</w:t>
      </w:r>
      <w:r>
        <w:rPr>
          <w:color w:val="231F20"/>
          <w:spacing w:val="-12"/>
          <w:w w:val="115"/>
        </w:rPr>
        <w:t> </w:t>
      </w:r>
      <w:r>
        <w:rPr>
          <w:color w:val="231F20"/>
          <w:w w:val="115"/>
        </w:rPr>
        <w:t>réaction</w:t>
      </w:r>
      <w:r>
        <w:rPr>
          <w:color w:val="231F20"/>
          <w:spacing w:val="-12"/>
          <w:w w:val="115"/>
        </w:rPr>
        <w:t> </w:t>
      </w:r>
      <w:r>
        <w:rPr>
          <w:color w:val="231F20"/>
          <w:w w:val="115"/>
        </w:rPr>
        <w:t>à</w:t>
      </w:r>
      <w:r>
        <w:rPr>
          <w:color w:val="231F20"/>
          <w:spacing w:val="-12"/>
          <w:w w:val="115"/>
        </w:rPr>
        <w:t> </w:t>
      </w:r>
      <w:r>
        <w:rPr>
          <w:color w:val="231F20"/>
          <w:w w:val="115"/>
        </w:rPr>
        <w:t>une</w:t>
      </w:r>
      <w:r>
        <w:rPr>
          <w:color w:val="231F20"/>
          <w:spacing w:val="-12"/>
          <w:w w:val="115"/>
        </w:rPr>
        <w:t> </w:t>
      </w:r>
      <w:r>
        <w:rPr>
          <w:color w:val="231F20"/>
          <w:w w:val="115"/>
        </w:rPr>
        <w:t>perturbation de</w:t>
      </w:r>
      <w:r>
        <w:rPr>
          <w:color w:val="231F20"/>
          <w:spacing w:val="-7"/>
          <w:w w:val="115"/>
        </w:rPr>
        <w:t> </w:t>
      </w:r>
      <w:r>
        <w:rPr>
          <w:color w:val="231F20"/>
          <w:w w:val="115"/>
        </w:rPr>
        <w:t>l’homéostasie</w:t>
      </w:r>
      <w:r>
        <w:rPr>
          <w:color w:val="231F20"/>
          <w:spacing w:val="-7"/>
          <w:w w:val="115"/>
        </w:rPr>
        <w:t> </w:t>
      </w:r>
      <w:r>
        <w:rPr>
          <w:color w:val="231F20"/>
          <w:w w:val="115"/>
        </w:rPr>
        <w:t>de</w:t>
      </w:r>
      <w:r>
        <w:rPr>
          <w:color w:val="231F20"/>
          <w:spacing w:val="-7"/>
          <w:w w:val="115"/>
        </w:rPr>
        <w:t> </w:t>
      </w:r>
      <w:r>
        <w:rPr>
          <w:color w:val="231F20"/>
          <w:w w:val="115"/>
        </w:rPr>
        <w:t>l’organisme</w:t>
      </w:r>
      <w:r>
        <w:rPr>
          <w:color w:val="231F20"/>
          <w:spacing w:val="-7"/>
          <w:w w:val="115"/>
        </w:rPr>
        <w:t> </w:t>
      </w:r>
      <w:r>
        <w:rPr>
          <w:color w:val="231F20"/>
          <w:w w:val="115"/>
        </w:rPr>
        <w:t>face</w:t>
      </w:r>
      <w:r>
        <w:rPr>
          <w:color w:val="231F20"/>
          <w:spacing w:val="-7"/>
          <w:w w:val="115"/>
        </w:rPr>
        <w:t> </w:t>
      </w:r>
      <w:r>
        <w:rPr>
          <w:color w:val="231F20"/>
          <w:w w:val="115"/>
        </w:rPr>
        <w:t>à</w:t>
      </w:r>
      <w:r>
        <w:rPr>
          <w:color w:val="231F20"/>
          <w:spacing w:val="-7"/>
          <w:w w:val="115"/>
        </w:rPr>
        <w:t> </w:t>
      </w:r>
      <w:r>
        <w:rPr>
          <w:color w:val="231F20"/>
          <w:w w:val="115"/>
        </w:rPr>
        <w:t>des</w:t>
      </w:r>
      <w:r>
        <w:rPr>
          <w:color w:val="231F20"/>
          <w:spacing w:val="-7"/>
          <w:w w:val="115"/>
        </w:rPr>
        <w:t> </w:t>
      </w:r>
      <w:r>
        <w:rPr>
          <w:color w:val="231F20"/>
          <w:w w:val="115"/>
        </w:rPr>
        <w:t>situations</w:t>
      </w:r>
      <w:r>
        <w:rPr>
          <w:color w:val="231F20"/>
          <w:spacing w:val="-7"/>
          <w:w w:val="115"/>
        </w:rPr>
        <w:t> </w:t>
      </w:r>
      <w:r>
        <w:rPr>
          <w:color w:val="231F20"/>
          <w:w w:val="115"/>
        </w:rPr>
        <w:t>physiques</w:t>
      </w:r>
      <w:r>
        <w:rPr>
          <w:color w:val="231F20"/>
          <w:spacing w:val="-7"/>
          <w:w w:val="115"/>
        </w:rPr>
        <w:t> </w:t>
      </w:r>
      <w:r>
        <w:rPr>
          <w:color w:val="231F20"/>
          <w:w w:val="115"/>
        </w:rPr>
        <w:t>telles</w:t>
      </w:r>
      <w:r>
        <w:rPr>
          <w:color w:val="231F20"/>
          <w:spacing w:val="-7"/>
          <w:w w:val="115"/>
        </w:rPr>
        <w:t> </w:t>
      </w:r>
      <w:r>
        <w:rPr>
          <w:color w:val="231F20"/>
          <w:w w:val="115"/>
        </w:rPr>
        <w:t>que le</w:t>
      </w:r>
      <w:r>
        <w:rPr>
          <w:color w:val="231F20"/>
          <w:spacing w:val="-8"/>
          <w:w w:val="115"/>
        </w:rPr>
        <w:t> </w:t>
      </w:r>
      <w:r>
        <w:rPr>
          <w:color w:val="231F20"/>
          <w:w w:val="115"/>
        </w:rPr>
        <w:t>manque</w:t>
      </w:r>
      <w:r>
        <w:rPr>
          <w:color w:val="231F20"/>
          <w:spacing w:val="-8"/>
          <w:w w:val="115"/>
        </w:rPr>
        <w:t> </w:t>
      </w:r>
      <w:r>
        <w:rPr>
          <w:color w:val="231F20"/>
          <w:w w:val="115"/>
        </w:rPr>
        <w:t>d’oxygène,</w:t>
      </w:r>
      <w:r>
        <w:rPr>
          <w:color w:val="231F20"/>
          <w:spacing w:val="-8"/>
          <w:w w:val="115"/>
        </w:rPr>
        <w:t> </w:t>
      </w:r>
      <w:r>
        <w:rPr>
          <w:color w:val="231F20"/>
          <w:w w:val="115"/>
        </w:rPr>
        <w:t>le</w:t>
      </w:r>
      <w:r>
        <w:rPr>
          <w:color w:val="231F20"/>
          <w:spacing w:val="-8"/>
          <w:w w:val="115"/>
        </w:rPr>
        <w:t> </w:t>
      </w:r>
      <w:r>
        <w:rPr>
          <w:color w:val="231F20"/>
          <w:w w:val="115"/>
        </w:rPr>
        <w:t>froid,</w:t>
      </w:r>
      <w:r>
        <w:rPr>
          <w:color w:val="231F20"/>
          <w:spacing w:val="-8"/>
          <w:w w:val="115"/>
        </w:rPr>
        <w:t> </w:t>
      </w:r>
      <w:r>
        <w:rPr>
          <w:color w:val="231F20"/>
          <w:w w:val="115"/>
        </w:rPr>
        <w:t>une</w:t>
      </w:r>
      <w:r>
        <w:rPr>
          <w:color w:val="231F20"/>
          <w:spacing w:val="-8"/>
          <w:w w:val="115"/>
        </w:rPr>
        <w:t> </w:t>
      </w:r>
      <w:r>
        <w:rPr>
          <w:color w:val="231F20"/>
          <w:w w:val="115"/>
        </w:rPr>
        <w:t>baisse</w:t>
      </w:r>
      <w:r>
        <w:rPr>
          <w:color w:val="231F20"/>
          <w:spacing w:val="-8"/>
          <w:w w:val="115"/>
        </w:rPr>
        <w:t> </w:t>
      </w:r>
      <w:r>
        <w:rPr>
          <w:color w:val="231F20"/>
          <w:w w:val="115"/>
        </w:rPr>
        <w:t>de</w:t>
      </w:r>
      <w:r>
        <w:rPr>
          <w:color w:val="231F20"/>
          <w:spacing w:val="-8"/>
          <w:w w:val="115"/>
        </w:rPr>
        <w:t> </w:t>
      </w:r>
      <w:r>
        <w:rPr>
          <w:color w:val="231F20"/>
          <w:w w:val="115"/>
        </w:rPr>
        <w:t>la</w:t>
      </w:r>
      <w:r>
        <w:rPr>
          <w:color w:val="231F20"/>
          <w:spacing w:val="-8"/>
          <w:w w:val="115"/>
        </w:rPr>
        <w:t> </w:t>
      </w:r>
      <w:r>
        <w:rPr>
          <w:color w:val="231F20"/>
          <w:w w:val="115"/>
        </w:rPr>
        <w:t>glycémie</w:t>
      </w:r>
      <w:r>
        <w:rPr>
          <w:color w:val="231F20"/>
          <w:spacing w:val="-8"/>
          <w:w w:val="115"/>
        </w:rPr>
        <w:t> </w:t>
      </w:r>
      <w:r>
        <w:rPr>
          <w:color w:val="231F20"/>
          <w:w w:val="115"/>
        </w:rPr>
        <w:t>ou</w:t>
      </w:r>
      <w:r>
        <w:rPr>
          <w:color w:val="231F20"/>
          <w:spacing w:val="-8"/>
          <w:w w:val="115"/>
        </w:rPr>
        <w:t> </w:t>
      </w:r>
      <w:r>
        <w:rPr>
          <w:color w:val="231F20"/>
          <w:w w:val="115"/>
        </w:rPr>
        <w:t>l’épuisement. Il</w:t>
      </w:r>
      <w:r>
        <w:rPr>
          <w:color w:val="231F20"/>
          <w:spacing w:val="-11"/>
          <w:w w:val="115"/>
        </w:rPr>
        <w:t> </w:t>
      </w:r>
      <w:r>
        <w:rPr>
          <w:color w:val="231F20"/>
          <w:w w:val="115"/>
        </w:rPr>
        <w:t>en</w:t>
      </w:r>
      <w:r>
        <w:rPr>
          <w:color w:val="231F20"/>
          <w:spacing w:val="-11"/>
          <w:w w:val="115"/>
        </w:rPr>
        <w:t> </w:t>
      </w:r>
      <w:r>
        <w:rPr>
          <w:color w:val="231F20"/>
          <w:w w:val="115"/>
        </w:rPr>
        <w:t>conclut</w:t>
      </w:r>
      <w:r>
        <w:rPr>
          <w:color w:val="231F20"/>
          <w:spacing w:val="-11"/>
          <w:w w:val="115"/>
        </w:rPr>
        <w:t> </w:t>
      </w:r>
      <w:r>
        <w:rPr>
          <w:color w:val="231F20"/>
          <w:w w:val="115"/>
        </w:rPr>
        <w:t>qu’il</w:t>
      </w:r>
      <w:r>
        <w:rPr>
          <w:color w:val="231F20"/>
          <w:spacing w:val="-11"/>
          <w:w w:val="115"/>
        </w:rPr>
        <w:t> </w:t>
      </w:r>
      <w:r>
        <w:rPr>
          <w:color w:val="231F20"/>
          <w:w w:val="115"/>
        </w:rPr>
        <w:t>s’agissait</w:t>
      </w:r>
      <w:r>
        <w:rPr>
          <w:color w:val="231F20"/>
          <w:spacing w:val="-11"/>
          <w:w w:val="115"/>
        </w:rPr>
        <w:t> </w:t>
      </w:r>
      <w:r>
        <w:rPr>
          <w:color w:val="231F20"/>
          <w:w w:val="115"/>
        </w:rPr>
        <w:t>d’une</w:t>
      </w:r>
      <w:r>
        <w:rPr>
          <w:color w:val="231F20"/>
          <w:spacing w:val="-11"/>
          <w:w w:val="115"/>
        </w:rPr>
        <w:t> </w:t>
      </w:r>
      <w:r>
        <w:rPr>
          <w:color w:val="231F20"/>
          <w:w w:val="115"/>
        </w:rPr>
        <w:t>réponse</w:t>
      </w:r>
      <w:r>
        <w:rPr>
          <w:color w:val="231F20"/>
          <w:spacing w:val="-11"/>
          <w:w w:val="115"/>
        </w:rPr>
        <w:t> </w:t>
      </w:r>
      <w:r>
        <w:rPr>
          <w:color w:val="231F20"/>
          <w:w w:val="115"/>
        </w:rPr>
        <w:t>non</w:t>
      </w:r>
      <w:r>
        <w:rPr>
          <w:color w:val="231F20"/>
          <w:spacing w:val="-11"/>
          <w:w w:val="115"/>
        </w:rPr>
        <w:t> </w:t>
      </w:r>
      <w:r>
        <w:rPr>
          <w:color w:val="231F20"/>
          <w:w w:val="115"/>
        </w:rPr>
        <w:t>particulière</w:t>
      </w:r>
      <w:r>
        <w:rPr>
          <w:color w:val="231F20"/>
          <w:spacing w:val="-11"/>
          <w:w w:val="115"/>
        </w:rPr>
        <w:t> </w:t>
      </w:r>
      <w:r>
        <w:rPr>
          <w:color w:val="231F20"/>
          <w:w w:val="115"/>
        </w:rPr>
        <w:t>à</w:t>
      </w:r>
      <w:r>
        <w:rPr>
          <w:color w:val="231F20"/>
          <w:spacing w:val="-11"/>
          <w:w w:val="115"/>
        </w:rPr>
        <w:t> </w:t>
      </w:r>
      <w:r>
        <w:rPr>
          <w:color w:val="231F20"/>
          <w:w w:val="115"/>
        </w:rPr>
        <w:t>pratiquement </w:t>
      </w:r>
      <w:r>
        <w:rPr>
          <w:color w:val="231F20"/>
          <w:spacing w:val="-2"/>
          <w:w w:val="120"/>
        </w:rPr>
        <w:t>n’importe</w:t>
      </w:r>
      <w:r>
        <w:rPr>
          <w:color w:val="231F20"/>
          <w:spacing w:val="-11"/>
          <w:w w:val="120"/>
        </w:rPr>
        <w:t> </w:t>
      </w:r>
      <w:r>
        <w:rPr>
          <w:color w:val="231F20"/>
          <w:spacing w:val="-2"/>
          <w:w w:val="120"/>
        </w:rPr>
        <w:t>quel</w:t>
      </w:r>
      <w:r>
        <w:rPr>
          <w:color w:val="231F20"/>
          <w:spacing w:val="-11"/>
          <w:w w:val="120"/>
        </w:rPr>
        <w:t> </w:t>
      </w:r>
      <w:r>
        <w:rPr>
          <w:color w:val="231F20"/>
          <w:spacing w:val="-2"/>
          <w:w w:val="120"/>
        </w:rPr>
        <w:t>stimulus</w:t>
      </w:r>
      <w:r>
        <w:rPr>
          <w:color w:val="231F20"/>
          <w:spacing w:val="-11"/>
          <w:w w:val="120"/>
        </w:rPr>
        <w:t> </w:t>
      </w:r>
      <w:r>
        <w:rPr>
          <w:color w:val="231F20"/>
          <w:spacing w:val="-2"/>
          <w:w w:val="120"/>
        </w:rPr>
        <w:t>nocif,</w:t>
      </w:r>
      <w:r>
        <w:rPr>
          <w:color w:val="231F20"/>
          <w:spacing w:val="-10"/>
          <w:w w:val="120"/>
        </w:rPr>
        <w:t> </w:t>
      </w:r>
      <w:r>
        <w:rPr>
          <w:color w:val="231F20"/>
          <w:spacing w:val="-2"/>
          <w:w w:val="120"/>
        </w:rPr>
        <w:t>appelant</w:t>
      </w:r>
      <w:r>
        <w:rPr>
          <w:color w:val="231F20"/>
          <w:spacing w:val="-11"/>
          <w:w w:val="120"/>
        </w:rPr>
        <w:t> </w:t>
      </w:r>
      <w:r>
        <w:rPr>
          <w:color w:val="231F20"/>
          <w:spacing w:val="-2"/>
          <w:w w:val="120"/>
        </w:rPr>
        <w:t>le</w:t>
      </w:r>
      <w:r>
        <w:rPr>
          <w:color w:val="231F20"/>
          <w:spacing w:val="-11"/>
          <w:w w:val="120"/>
        </w:rPr>
        <w:t> </w:t>
      </w:r>
      <w:r>
        <w:rPr>
          <w:color w:val="231F20"/>
          <w:spacing w:val="-2"/>
          <w:w w:val="120"/>
        </w:rPr>
        <w:t>processus</w:t>
      </w:r>
      <w:r>
        <w:rPr>
          <w:color w:val="231F20"/>
          <w:spacing w:val="-11"/>
          <w:w w:val="120"/>
        </w:rPr>
        <w:t> </w:t>
      </w:r>
      <w:r>
        <w:rPr>
          <w:color w:val="231F20"/>
          <w:spacing w:val="-2"/>
          <w:w w:val="120"/>
        </w:rPr>
        <w:t>d’activation</w:t>
      </w:r>
      <w:r>
        <w:rPr>
          <w:color w:val="231F20"/>
          <w:spacing w:val="-10"/>
          <w:w w:val="120"/>
        </w:rPr>
        <w:t> </w:t>
      </w:r>
      <w:r>
        <w:rPr>
          <w:color w:val="231F20"/>
          <w:spacing w:val="-2"/>
          <w:w w:val="120"/>
        </w:rPr>
        <w:t>du</w:t>
      </w:r>
      <w:r>
        <w:rPr>
          <w:color w:val="231F20"/>
          <w:spacing w:val="-11"/>
          <w:w w:val="120"/>
        </w:rPr>
        <w:t> </w:t>
      </w:r>
      <w:r>
        <w:rPr>
          <w:color w:val="231F20"/>
          <w:spacing w:val="-2"/>
          <w:w w:val="120"/>
        </w:rPr>
        <w:t>phé- </w:t>
      </w:r>
      <w:r>
        <w:rPr>
          <w:color w:val="231F20"/>
          <w:w w:val="115"/>
        </w:rPr>
        <w:t>nomène le </w:t>
      </w:r>
      <w:r>
        <w:rPr>
          <w:i/>
          <w:color w:val="231F20"/>
          <w:w w:val="115"/>
        </w:rPr>
        <w:t>syndrome général d’adaptation </w:t>
      </w:r>
      <w:r>
        <w:rPr>
          <w:color w:val="231F20"/>
          <w:w w:val="115"/>
        </w:rPr>
        <w:t>(SGA). Cette perspective, qui </w:t>
      </w:r>
      <w:r>
        <w:rPr>
          <w:color w:val="231F20"/>
          <w:spacing w:val="-2"/>
          <w:w w:val="120"/>
        </w:rPr>
        <w:t>sera</w:t>
      </w:r>
      <w:r>
        <w:rPr>
          <w:color w:val="231F20"/>
          <w:spacing w:val="-10"/>
          <w:w w:val="120"/>
        </w:rPr>
        <w:t> </w:t>
      </w:r>
      <w:r>
        <w:rPr>
          <w:color w:val="231F20"/>
          <w:spacing w:val="-2"/>
          <w:w w:val="120"/>
        </w:rPr>
        <w:t>tantôt</w:t>
      </w:r>
      <w:r>
        <w:rPr>
          <w:color w:val="231F20"/>
          <w:spacing w:val="-10"/>
          <w:w w:val="120"/>
        </w:rPr>
        <w:t> </w:t>
      </w:r>
      <w:r>
        <w:rPr>
          <w:color w:val="231F20"/>
          <w:spacing w:val="-2"/>
          <w:w w:val="120"/>
        </w:rPr>
        <w:t>confirmée,</w:t>
      </w:r>
      <w:r>
        <w:rPr>
          <w:color w:val="231F20"/>
          <w:spacing w:val="-10"/>
          <w:w w:val="120"/>
        </w:rPr>
        <w:t> </w:t>
      </w:r>
      <w:r>
        <w:rPr>
          <w:color w:val="231F20"/>
          <w:spacing w:val="-2"/>
          <w:w w:val="120"/>
        </w:rPr>
        <w:t>tantôt</w:t>
      </w:r>
      <w:r>
        <w:rPr>
          <w:color w:val="231F20"/>
          <w:spacing w:val="-10"/>
          <w:w w:val="120"/>
        </w:rPr>
        <w:t> </w:t>
      </w:r>
      <w:r>
        <w:rPr>
          <w:color w:val="231F20"/>
          <w:spacing w:val="-2"/>
          <w:w w:val="120"/>
        </w:rPr>
        <w:t>nuancée,</w:t>
      </w:r>
      <w:r>
        <w:rPr>
          <w:color w:val="231F20"/>
          <w:spacing w:val="-10"/>
          <w:w w:val="120"/>
        </w:rPr>
        <w:t> </w:t>
      </w:r>
      <w:r>
        <w:rPr>
          <w:color w:val="231F20"/>
          <w:spacing w:val="-2"/>
          <w:w w:val="120"/>
        </w:rPr>
        <w:t>parfois</w:t>
      </w:r>
      <w:r>
        <w:rPr>
          <w:color w:val="231F20"/>
          <w:spacing w:val="-10"/>
          <w:w w:val="120"/>
        </w:rPr>
        <w:t> </w:t>
      </w:r>
      <w:r>
        <w:rPr>
          <w:color w:val="231F20"/>
          <w:spacing w:val="-2"/>
          <w:w w:val="120"/>
        </w:rPr>
        <w:t>critiquée,</w:t>
      </w:r>
      <w:r>
        <w:rPr>
          <w:color w:val="231F20"/>
          <w:spacing w:val="-10"/>
          <w:w w:val="120"/>
        </w:rPr>
        <w:t> </w:t>
      </w:r>
      <w:r>
        <w:rPr>
          <w:color w:val="231F20"/>
          <w:spacing w:val="-2"/>
          <w:w w:val="120"/>
        </w:rPr>
        <w:t>constitue</w:t>
      </w:r>
      <w:r>
        <w:rPr>
          <w:color w:val="231F20"/>
          <w:spacing w:val="-10"/>
          <w:w w:val="120"/>
        </w:rPr>
        <w:t> </w:t>
      </w:r>
      <w:r>
        <w:rPr>
          <w:color w:val="231F20"/>
          <w:spacing w:val="-2"/>
          <w:w w:val="120"/>
        </w:rPr>
        <w:t>le</w:t>
      </w:r>
      <w:r>
        <w:rPr>
          <w:color w:val="231F20"/>
          <w:spacing w:val="-10"/>
          <w:w w:val="120"/>
        </w:rPr>
        <w:t> </w:t>
      </w:r>
      <w:r>
        <w:rPr>
          <w:color w:val="231F20"/>
          <w:spacing w:val="-2"/>
          <w:w w:val="120"/>
        </w:rPr>
        <w:t>jalon de</w:t>
      </w:r>
      <w:r>
        <w:rPr>
          <w:color w:val="231F20"/>
          <w:spacing w:val="-4"/>
          <w:w w:val="120"/>
        </w:rPr>
        <w:t> </w:t>
      </w:r>
      <w:r>
        <w:rPr>
          <w:color w:val="231F20"/>
          <w:spacing w:val="-2"/>
          <w:w w:val="120"/>
        </w:rPr>
        <w:t>départ</w:t>
      </w:r>
      <w:r>
        <w:rPr>
          <w:color w:val="231F20"/>
          <w:spacing w:val="-4"/>
          <w:w w:val="120"/>
        </w:rPr>
        <w:t> </w:t>
      </w:r>
      <w:r>
        <w:rPr>
          <w:color w:val="231F20"/>
          <w:spacing w:val="-2"/>
          <w:w w:val="120"/>
        </w:rPr>
        <w:t>de</w:t>
      </w:r>
      <w:r>
        <w:rPr>
          <w:color w:val="231F20"/>
          <w:spacing w:val="-4"/>
          <w:w w:val="120"/>
        </w:rPr>
        <w:t> </w:t>
      </w:r>
      <w:r>
        <w:rPr>
          <w:color w:val="231F20"/>
          <w:spacing w:val="-2"/>
          <w:w w:val="120"/>
        </w:rPr>
        <w:t>la</w:t>
      </w:r>
      <w:r>
        <w:rPr>
          <w:color w:val="231F20"/>
          <w:spacing w:val="-4"/>
          <w:w w:val="120"/>
        </w:rPr>
        <w:t> </w:t>
      </w:r>
      <w:r>
        <w:rPr>
          <w:color w:val="231F20"/>
          <w:spacing w:val="-2"/>
          <w:w w:val="120"/>
        </w:rPr>
        <w:t>longue</w:t>
      </w:r>
      <w:r>
        <w:rPr>
          <w:color w:val="231F20"/>
          <w:spacing w:val="-4"/>
          <w:w w:val="120"/>
        </w:rPr>
        <w:t> </w:t>
      </w:r>
      <w:r>
        <w:rPr>
          <w:color w:val="231F20"/>
          <w:spacing w:val="-2"/>
          <w:w w:val="120"/>
        </w:rPr>
        <w:t>et</w:t>
      </w:r>
      <w:r>
        <w:rPr>
          <w:color w:val="231F20"/>
          <w:spacing w:val="-4"/>
          <w:w w:val="120"/>
        </w:rPr>
        <w:t> </w:t>
      </w:r>
      <w:r>
        <w:rPr>
          <w:color w:val="231F20"/>
          <w:spacing w:val="-2"/>
          <w:w w:val="120"/>
        </w:rPr>
        <w:t>riche</w:t>
      </w:r>
      <w:r>
        <w:rPr>
          <w:color w:val="231F20"/>
          <w:spacing w:val="-4"/>
          <w:w w:val="120"/>
        </w:rPr>
        <w:t> </w:t>
      </w:r>
      <w:r>
        <w:rPr>
          <w:color w:val="231F20"/>
          <w:spacing w:val="-2"/>
          <w:w w:val="120"/>
        </w:rPr>
        <w:t>histoire</w:t>
      </w:r>
      <w:r>
        <w:rPr>
          <w:color w:val="231F20"/>
          <w:spacing w:val="-4"/>
          <w:w w:val="120"/>
        </w:rPr>
        <w:t> </w:t>
      </w:r>
      <w:r>
        <w:rPr>
          <w:color w:val="231F20"/>
          <w:spacing w:val="-2"/>
          <w:w w:val="120"/>
        </w:rPr>
        <w:t>scientifique</w:t>
      </w:r>
      <w:r>
        <w:rPr>
          <w:color w:val="231F20"/>
          <w:spacing w:val="-4"/>
          <w:w w:val="120"/>
        </w:rPr>
        <w:t> </w:t>
      </w:r>
      <w:r>
        <w:rPr>
          <w:color w:val="231F20"/>
          <w:spacing w:val="-2"/>
          <w:w w:val="120"/>
        </w:rPr>
        <w:t>de</w:t>
      </w:r>
      <w:r>
        <w:rPr>
          <w:color w:val="231F20"/>
          <w:spacing w:val="-4"/>
          <w:w w:val="120"/>
        </w:rPr>
        <w:t> </w:t>
      </w:r>
      <w:r>
        <w:rPr>
          <w:color w:val="231F20"/>
          <w:spacing w:val="-2"/>
          <w:w w:val="120"/>
        </w:rPr>
        <w:t>la</w:t>
      </w:r>
      <w:r>
        <w:rPr>
          <w:color w:val="231F20"/>
          <w:spacing w:val="-4"/>
          <w:w w:val="120"/>
        </w:rPr>
        <w:t> </w:t>
      </w:r>
      <w:r>
        <w:rPr>
          <w:color w:val="231F20"/>
          <w:spacing w:val="-2"/>
          <w:w w:val="120"/>
        </w:rPr>
        <w:t>démystification </w:t>
      </w:r>
      <w:r>
        <w:rPr>
          <w:color w:val="231F20"/>
          <w:w w:val="120"/>
        </w:rPr>
        <w:t>du stress au cours du dernier siècle5.</w:t>
      </w:r>
    </w:p>
    <w:p>
      <w:pPr>
        <w:pStyle w:val="BodyText"/>
        <w:spacing w:before="6"/>
        <w:rPr>
          <w:sz w:val="21"/>
        </w:rPr>
      </w:pPr>
    </w:p>
    <w:p>
      <w:pPr>
        <w:pStyle w:val="BodyText"/>
        <w:spacing w:line="307" w:lineRule="auto" w:before="1"/>
        <w:ind w:left="1179" w:right="243"/>
        <w:jc w:val="both"/>
      </w:pPr>
      <w:r>
        <w:rPr>
          <w:b/>
          <w:color w:val="231F20"/>
          <w:w w:val="115"/>
        </w:rPr>
        <w:t>Le stress selon Cannon. </w:t>
      </w:r>
      <w:r>
        <w:rPr>
          <w:color w:val="231F20"/>
          <w:w w:val="115"/>
        </w:rPr>
        <w:t>Les travaux fondateurs menés par Walter B. Cannon sont réputés essentiels pour l’analyse de la réponse physiolo- gique à un stimulus psychosocial6. S’inspirant des travaux du physio- logiste français Claude Bernard qui avait formulé la notion d’</w:t>
      </w:r>
      <w:r>
        <w:rPr>
          <w:i/>
          <w:color w:val="231F20"/>
          <w:w w:val="115"/>
        </w:rPr>
        <w:t>équilibre</w:t>
      </w:r>
      <w:r>
        <w:rPr>
          <w:i/>
          <w:color w:val="231F20"/>
          <w:spacing w:val="40"/>
          <w:w w:val="115"/>
        </w:rPr>
        <w:t> </w:t>
      </w:r>
      <w:r>
        <w:rPr>
          <w:i/>
          <w:color w:val="231F20"/>
          <w:w w:val="115"/>
        </w:rPr>
        <w:t>du</w:t>
      </w:r>
      <w:r>
        <w:rPr>
          <w:i/>
          <w:color w:val="231F20"/>
          <w:spacing w:val="14"/>
          <w:w w:val="115"/>
        </w:rPr>
        <w:t> </w:t>
      </w:r>
      <w:r>
        <w:rPr>
          <w:i/>
          <w:color w:val="231F20"/>
          <w:w w:val="115"/>
        </w:rPr>
        <w:t>milieu</w:t>
      </w:r>
      <w:r>
        <w:rPr>
          <w:i/>
          <w:color w:val="231F20"/>
          <w:spacing w:val="14"/>
          <w:w w:val="115"/>
        </w:rPr>
        <w:t> </w:t>
      </w:r>
      <w:r>
        <w:rPr>
          <w:i/>
          <w:color w:val="231F20"/>
          <w:w w:val="115"/>
        </w:rPr>
        <w:t>intérieur</w:t>
      </w:r>
      <w:r>
        <w:rPr>
          <w:i/>
          <w:color w:val="231F20"/>
          <w:spacing w:val="14"/>
          <w:w w:val="115"/>
        </w:rPr>
        <w:t> </w:t>
      </w:r>
      <w:r>
        <w:rPr>
          <w:color w:val="231F20"/>
          <w:w w:val="115"/>
        </w:rPr>
        <w:t>qui</w:t>
      </w:r>
      <w:r>
        <w:rPr>
          <w:color w:val="231F20"/>
          <w:spacing w:val="15"/>
          <w:w w:val="115"/>
        </w:rPr>
        <w:t> </w:t>
      </w:r>
      <w:r>
        <w:rPr>
          <w:color w:val="231F20"/>
          <w:w w:val="115"/>
        </w:rPr>
        <w:t>mettait</w:t>
      </w:r>
      <w:r>
        <w:rPr>
          <w:color w:val="231F20"/>
          <w:spacing w:val="14"/>
          <w:w w:val="115"/>
        </w:rPr>
        <w:t> </w:t>
      </w:r>
      <w:r>
        <w:rPr>
          <w:color w:val="231F20"/>
          <w:w w:val="115"/>
        </w:rPr>
        <w:t>en</w:t>
      </w:r>
      <w:r>
        <w:rPr>
          <w:color w:val="231F20"/>
          <w:spacing w:val="14"/>
          <w:w w:val="115"/>
        </w:rPr>
        <w:t> </w:t>
      </w:r>
      <w:r>
        <w:rPr>
          <w:color w:val="231F20"/>
          <w:w w:val="115"/>
        </w:rPr>
        <w:t>évidence</w:t>
      </w:r>
      <w:r>
        <w:rPr>
          <w:color w:val="231F20"/>
          <w:spacing w:val="15"/>
          <w:w w:val="115"/>
        </w:rPr>
        <w:t> </w:t>
      </w:r>
      <w:r>
        <w:rPr>
          <w:color w:val="231F20"/>
          <w:w w:val="115"/>
        </w:rPr>
        <w:t>la</w:t>
      </w:r>
      <w:r>
        <w:rPr>
          <w:color w:val="231F20"/>
          <w:spacing w:val="14"/>
          <w:w w:val="115"/>
        </w:rPr>
        <w:t> </w:t>
      </w:r>
      <w:r>
        <w:rPr>
          <w:color w:val="231F20"/>
          <w:w w:val="115"/>
        </w:rPr>
        <w:t>propension</w:t>
      </w:r>
      <w:r>
        <w:rPr>
          <w:color w:val="231F20"/>
          <w:spacing w:val="14"/>
          <w:w w:val="115"/>
        </w:rPr>
        <w:t> </w:t>
      </w:r>
      <w:r>
        <w:rPr>
          <w:color w:val="231F20"/>
          <w:w w:val="115"/>
        </w:rPr>
        <w:t>naturelle</w:t>
      </w:r>
      <w:r>
        <w:rPr>
          <w:color w:val="231F20"/>
          <w:spacing w:val="15"/>
          <w:w w:val="115"/>
        </w:rPr>
        <w:t> </w:t>
      </w:r>
      <w:r>
        <w:rPr>
          <w:color w:val="231F20"/>
          <w:spacing w:val="-4"/>
          <w:w w:val="115"/>
        </w:rPr>
        <w:t>vers</w:t>
      </w:r>
    </w:p>
    <w:p>
      <w:pPr>
        <w:pStyle w:val="BodyText"/>
        <w:spacing w:before="4"/>
        <w:rPr>
          <w:sz w:val="25"/>
        </w:rPr>
      </w:pPr>
      <w:r>
        <w:rPr/>
        <w:pict>
          <v:shape style="position:absolute;margin-left:82pt;margin-top:15.798731pt;width:287.5pt;height:.1pt;mso-position-horizontal-relative:page;mso-position-vertical-relative:paragraph;z-index:-15701504;mso-wrap-distance-left:0;mso-wrap-distance-right:0" id="docshape160" coordorigin="1640,316" coordsize="5750,0" path="m1640,316l7390,316e" filled="false" stroked="true" strokeweight=".25pt" strokecolor="#231f20">
            <v:path arrowok="t"/>
            <v:stroke dashstyle="shortdot"/>
            <w10:wrap type="topAndBottom"/>
          </v:shape>
        </w:pict>
      </w:r>
    </w:p>
    <w:p>
      <w:pPr>
        <w:pStyle w:val="ListParagraph"/>
        <w:numPr>
          <w:ilvl w:val="0"/>
          <w:numId w:val="18"/>
        </w:numPr>
        <w:tabs>
          <w:tab w:pos="1179" w:val="left" w:leader="none"/>
          <w:tab w:pos="1180" w:val="left" w:leader="none"/>
        </w:tabs>
        <w:spacing w:line="295" w:lineRule="auto" w:before="135" w:after="0"/>
        <w:ind w:left="1179" w:right="247" w:hanging="328"/>
        <w:jc w:val="left"/>
        <w:rPr>
          <w:rFonts w:ascii="Arial" w:hAnsi="Arial"/>
          <w:sz w:val="12"/>
        </w:rPr>
      </w:pPr>
      <w:r>
        <w:rPr>
          <w:rFonts w:ascii="Arial" w:hAnsi="Arial"/>
          <w:color w:val="231F20"/>
          <w:sz w:val="12"/>
        </w:rPr>
        <w:t>Robinson, A. M. (2018). Let’s talk about stress</w:t>
      </w:r>
      <w:r>
        <w:rPr>
          <w:rFonts w:ascii="Arial" w:hAnsi="Arial"/>
          <w:color w:val="231F20"/>
          <w:spacing w:val="-20"/>
          <w:sz w:val="12"/>
        </w:rPr>
        <w:t> </w:t>
      </w:r>
      <w:r>
        <w:rPr>
          <w:rFonts w:ascii="Arial" w:hAnsi="Arial"/>
          <w:color w:val="231F20"/>
          <w:sz w:val="12"/>
        </w:rPr>
        <w:t>: History of stress research, </w:t>
      </w:r>
      <w:r>
        <w:rPr>
          <w:rFonts w:ascii="Arial" w:hAnsi="Arial"/>
          <w:i/>
          <w:color w:val="231F20"/>
          <w:sz w:val="12"/>
        </w:rPr>
        <w:t>Review of General Psychology</w:t>
      </w:r>
      <w:r>
        <w:rPr>
          <w:rFonts w:ascii="Arial" w:hAnsi="Arial"/>
          <w:color w:val="231F20"/>
          <w:sz w:val="12"/>
        </w:rPr>
        <w:t>,</w:t>
      </w:r>
      <w:r>
        <w:rPr>
          <w:rFonts w:ascii="Arial" w:hAnsi="Arial"/>
          <w:color w:val="231F20"/>
          <w:spacing w:val="40"/>
          <w:sz w:val="12"/>
        </w:rPr>
        <w:t> </w:t>
      </w:r>
      <w:r>
        <w:rPr>
          <w:rFonts w:ascii="Arial" w:hAnsi="Arial"/>
          <w:i/>
          <w:color w:val="231F20"/>
          <w:sz w:val="12"/>
        </w:rPr>
        <w:t>22</w:t>
      </w:r>
      <w:r>
        <w:rPr>
          <w:rFonts w:ascii="Arial" w:hAnsi="Arial"/>
          <w:color w:val="231F20"/>
          <w:sz w:val="12"/>
        </w:rPr>
        <w:t>,</w:t>
      </w:r>
      <w:r>
        <w:rPr>
          <w:rFonts w:ascii="Arial" w:hAnsi="Arial"/>
          <w:color w:val="231F20"/>
          <w:spacing w:val="-9"/>
          <w:sz w:val="12"/>
        </w:rPr>
        <w:t> </w:t>
      </w:r>
      <w:r>
        <w:rPr>
          <w:rFonts w:ascii="Arial" w:hAnsi="Arial"/>
          <w:color w:val="231F20"/>
          <w:sz w:val="12"/>
        </w:rPr>
        <w:t>334-342.</w:t>
      </w:r>
    </w:p>
    <w:p>
      <w:pPr>
        <w:pStyle w:val="ListParagraph"/>
        <w:numPr>
          <w:ilvl w:val="0"/>
          <w:numId w:val="18"/>
        </w:numPr>
        <w:tabs>
          <w:tab w:pos="1179" w:val="left" w:leader="none"/>
          <w:tab w:pos="1180" w:val="left" w:leader="none"/>
        </w:tabs>
        <w:spacing w:line="295" w:lineRule="auto" w:before="0" w:after="0"/>
        <w:ind w:left="1179" w:right="247" w:hanging="328"/>
        <w:jc w:val="left"/>
        <w:rPr>
          <w:rFonts w:ascii="Arial"/>
          <w:sz w:val="12"/>
        </w:rPr>
      </w:pPr>
      <w:r>
        <w:rPr>
          <w:rFonts w:ascii="Arial"/>
          <w:color w:val="231F20"/>
          <w:w w:val="95"/>
          <w:sz w:val="12"/>
        </w:rPr>
        <w:t>Cannon, W. B. (1929). </w:t>
      </w:r>
      <w:r>
        <w:rPr>
          <w:rFonts w:ascii="Arial"/>
          <w:i/>
          <w:color w:val="231F20"/>
          <w:w w:val="95"/>
          <w:sz w:val="12"/>
        </w:rPr>
        <w:t>Bodily Changes in Pain, Hunger, Fear and Rage: An Account of Recent Researches into</w:t>
      </w:r>
      <w:r>
        <w:rPr>
          <w:rFonts w:ascii="Arial"/>
          <w:i/>
          <w:color w:val="231F20"/>
          <w:spacing w:val="40"/>
          <w:sz w:val="12"/>
        </w:rPr>
        <w:t> </w:t>
      </w:r>
      <w:r>
        <w:rPr>
          <w:rFonts w:ascii="Arial"/>
          <w:i/>
          <w:color w:val="231F20"/>
          <w:sz w:val="12"/>
        </w:rPr>
        <w:t>the Function of Emotional Excitement</w:t>
      </w:r>
      <w:r>
        <w:rPr>
          <w:rFonts w:ascii="Arial"/>
          <w:color w:val="231F20"/>
          <w:sz w:val="12"/>
        </w:rPr>
        <w:t>, New York, Appleton.</w:t>
      </w:r>
    </w:p>
    <w:p>
      <w:pPr>
        <w:spacing w:after="0" w:line="295" w:lineRule="auto"/>
        <w:jc w:val="left"/>
        <w:rPr>
          <w:rFonts w:ascii="Arial"/>
          <w:sz w:val="12"/>
        </w:rPr>
        <w:sectPr>
          <w:footerReference w:type="default" r:id="rId74"/>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790" w:right="634"/>
        <w:jc w:val="both"/>
      </w:pPr>
      <w:r>
        <w:rPr>
          <w:color w:val="231F20"/>
          <w:w w:val="120"/>
        </w:rPr>
        <w:t>l’homéostasie des processus biologiques, Cannon réussit à élaborer</w:t>
      </w:r>
      <w:r>
        <w:rPr>
          <w:color w:val="231F20"/>
          <w:spacing w:val="80"/>
          <w:w w:val="120"/>
        </w:rPr>
        <w:t> </w:t>
      </w:r>
      <w:r>
        <w:rPr>
          <w:color w:val="231F20"/>
          <w:w w:val="120"/>
        </w:rPr>
        <w:t>un modèle du stress basé sur la réaction de l’organisme qu’il appelait</w:t>
      </w:r>
    </w:p>
    <w:p>
      <w:pPr>
        <w:pStyle w:val="BodyText"/>
        <w:spacing w:line="307" w:lineRule="auto"/>
        <w:ind w:left="790" w:right="635"/>
        <w:jc w:val="both"/>
      </w:pPr>
      <w:r>
        <w:rPr>
          <w:color w:val="231F20"/>
          <w:w w:val="110"/>
        </w:rPr>
        <w:t>«</w:t>
      </w:r>
      <w:r>
        <w:rPr>
          <w:color w:val="231F20"/>
          <w:spacing w:val="-12"/>
          <w:w w:val="110"/>
        </w:rPr>
        <w:t> </w:t>
      </w:r>
      <w:r>
        <w:rPr>
          <w:color w:val="231F20"/>
          <w:w w:val="110"/>
        </w:rPr>
        <w:t>réponse</w:t>
      </w:r>
      <w:r>
        <w:rPr>
          <w:color w:val="231F20"/>
          <w:spacing w:val="-12"/>
          <w:w w:val="110"/>
        </w:rPr>
        <w:t> </w:t>
      </w:r>
      <w:r>
        <w:rPr>
          <w:color w:val="231F20"/>
          <w:w w:val="110"/>
        </w:rPr>
        <w:t>par</w:t>
      </w:r>
      <w:r>
        <w:rPr>
          <w:color w:val="231F20"/>
          <w:spacing w:val="-7"/>
          <w:w w:val="110"/>
        </w:rPr>
        <w:t> </w:t>
      </w:r>
      <w:r>
        <w:rPr>
          <w:color w:val="231F20"/>
          <w:w w:val="110"/>
        </w:rPr>
        <w:t>la</w:t>
      </w:r>
      <w:r>
        <w:rPr>
          <w:color w:val="231F20"/>
          <w:spacing w:val="-1"/>
          <w:w w:val="110"/>
        </w:rPr>
        <w:t> </w:t>
      </w:r>
      <w:r>
        <w:rPr>
          <w:color w:val="231F20"/>
          <w:w w:val="110"/>
        </w:rPr>
        <w:t>fuite</w:t>
      </w:r>
      <w:r>
        <w:rPr>
          <w:color w:val="231F20"/>
          <w:spacing w:val="-1"/>
          <w:w w:val="110"/>
        </w:rPr>
        <w:t> </w:t>
      </w:r>
      <w:r>
        <w:rPr>
          <w:color w:val="231F20"/>
          <w:w w:val="110"/>
        </w:rPr>
        <w:t>ou</w:t>
      </w:r>
      <w:r>
        <w:rPr>
          <w:color w:val="231F20"/>
          <w:spacing w:val="-1"/>
          <w:w w:val="110"/>
        </w:rPr>
        <w:t> </w:t>
      </w:r>
      <w:r>
        <w:rPr>
          <w:color w:val="231F20"/>
          <w:w w:val="110"/>
        </w:rPr>
        <w:t>le</w:t>
      </w:r>
      <w:r>
        <w:rPr>
          <w:color w:val="231F20"/>
          <w:spacing w:val="-1"/>
          <w:w w:val="110"/>
        </w:rPr>
        <w:t> </w:t>
      </w:r>
      <w:r>
        <w:rPr>
          <w:color w:val="231F20"/>
          <w:w w:val="110"/>
        </w:rPr>
        <w:t>combat»</w:t>
      </w:r>
      <w:r>
        <w:rPr>
          <w:color w:val="231F20"/>
          <w:spacing w:val="-1"/>
          <w:w w:val="110"/>
        </w:rPr>
        <w:t> </w:t>
      </w:r>
      <w:r>
        <w:rPr>
          <w:color w:val="231F20"/>
          <w:w w:val="110"/>
        </w:rPr>
        <w:t>(</w:t>
      </w:r>
      <w:r>
        <w:rPr>
          <w:i/>
          <w:color w:val="231F20"/>
          <w:w w:val="110"/>
        </w:rPr>
        <w:t>fight</w:t>
      </w:r>
      <w:r>
        <w:rPr>
          <w:i/>
          <w:color w:val="231F20"/>
          <w:spacing w:val="-1"/>
          <w:w w:val="110"/>
        </w:rPr>
        <w:t> </w:t>
      </w:r>
      <w:r>
        <w:rPr>
          <w:i/>
          <w:color w:val="231F20"/>
          <w:w w:val="110"/>
        </w:rPr>
        <w:t>or</w:t>
      </w:r>
      <w:r>
        <w:rPr>
          <w:i/>
          <w:color w:val="231F20"/>
          <w:spacing w:val="-1"/>
          <w:w w:val="110"/>
        </w:rPr>
        <w:t> </w:t>
      </w:r>
      <w:r>
        <w:rPr>
          <w:i/>
          <w:color w:val="231F20"/>
          <w:w w:val="110"/>
        </w:rPr>
        <w:t>flight</w:t>
      </w:r>
      <w:r>
        <w:rPr>
          <w:i/>
          <w:color w:val="231F20"/>
          <w:spacing w:val="-1"/>
          <w:w w:val="110"/>
        </w:rPr>
        <w:t> </w:t>
      </w:r>
      <w:r>
        <w:rPr>
          <w:i/>
          <w:color w:val="231F20"/>
          <w:w w:val="110"/>
        </w:rPr>
        <w:t>response</w:t>
      </w:r>
      <w:r>
        <w:rPr>
          <w:i/>
          <w:color w:val="231F20"/>
          <w:spacing w:val="-1"/>
          <w:w w:val="110"/>
        </w:rPr>
        <w:t> </w:t>
      </w:r>
      <w:r>
        <w:rPr>
          <w:i/>
          <w:color w:val="231F20"/>
          <w:w w:val="110"/>
        </w:rPr>
        <w:t>model</w:t>
      </w:r>
      <w:r>
        <w:rPr>
          <w:color w:val="231F20"/>
          <w:w w:val="110"/>
        </w:rPr>
        <w:t>).</w:t>
      </w:r>
      <w:r>
        <w:rPr>
          <w:color w:val="231F20"/>
          <w:spacing w:val="-1"/>
          <w:w w:val="110"/>
        </w:rPr>
        <w:t> </w:t>
      </w:r>
      <w:r>
        <w:rPr>
          <w:color w:val="231F20"/>
          <w:w w:val="110"/>
        </w:rPr>
        <w:t>D’après </w:t>
      </w:r>
      <w:r>
        <w:rPr>
          <w:color w:val="231F20"/>
          <w:w w:val="120"/>
        </w:rPr>
        <w:t>ce modèle, lorsqu’un animal qui tentait de satisfaire ses besoins était empêché</w:t>
      </w:r>
      <w:r>
        <w:rPr>
          <w:color w:val="231F20"/>
          <w:spacing w:val="-4"/>
          <w:w w:val="120"/>
        </w:rPr>
        <w:t> </w:t>
      </w:r>
      <w:r>
        <w:rPr>
          <w:color w:val="231F20"/>
          <w:w w:val="120"/>
        </w:rPr>
        <w:t>de</w:t>
      </w:r>
      <w:r>
        <w:rPr>
          <w:color w:val="231F20"/>
          <w:spacing w:val="-4"/>
          <w:w w:val="120"/>
        </w:rPr>
        <w:t> </w:t>
      </w:r>
      <w:r>
        <w:rPr>
          <w:color w:val="231F20"/>
          <w:w w:val="120"/>
        </w:rPr>
        <w:t>le</w:t>
      </w:r>
      <w:r>
        <w:rPr>
          <w:color w:val="231F20"/>
          <w:spacing w:val="-4"/>
          <w:w w:val="120"/>
        </w:rPr>
        <w:t> </w:t>
      </w:r>
      <w:r>
        <w:rPr>
          <w:color w:val="231F20"/>
          <w:w w:val="120"/>
        </w:rPr>
        <w:t>faire,</w:t>
      </w:r>
      <w:r>
        <w:rPr>
          <w:color w:val="231F20"/>
          <w:spacing w:val="-3"/>
          <w:w w:val="120"/>
        </w:rPr>
        <w:t> </w:t>
      </w:r>
      <w:r>
        <w:rPr>
          <w:color w:val="231F20"/>
          <w:w w:val="120"/>
        </w:rPr>
        <w:t>il</w:t>
      </w:r>
      <w:r>
        <w:rPr>
          <w:color w:val="231F20"/>
          <w:spacing w:val="-3"/>
          <w:w w:val="120"/>
        </w:rPr>
        <w:t> </w:t>
      </w:r>
      <w:r>
        <w:rPr>
          <w:color w:val="231F20"/>
          <w:w w:val="120"/>
        </w:rPr>
        <w:t>subissait</w:t>
      </w:r>
      <w:r>
        <w:rPr>
          <w:color w:val="231F20"/>
          <w:spacing w:val="-4"/>
          <w:w w:val="120"/>
        </w:rPr>
        <w:t> </w:t>
      </w:r>
      <w:r>
        <w:rPr>
          <w:color w:val="231F20"/>
          <w:w w:val="120"/>
        </w:rPr>
        <w:t>une</w:t>
      </w:r>
      <w:r>
        <w:rPr>
          <w:color w:val="231F20"/>
          <w:spacing w:val="-4"/>
          <w:w w:val="120"/>
        </w:rPr>
        <w:t> </w:t>
      </w:r>
      <w:r>
        <w:rPr>
          <w:color w:val="231F20"/>
          <w:w w:val="120"/>
        </w:rPr>
        <w:t>contrainte</w:t>
      </w:r>
      <w:r>
        <w:rPr>
          <w:color w:val="231F20"/>
          <w:spacing w:val="-4"/>
          <w:w w:val="120"/>
        </w:rPr>
        <w:t> </w:t>
      </w:r>
      <w:r>
        <w:rPr>
          <w:color w:val="231F20"/>
          <w:w w:val="120"/>
        </w:rPr>
        <w:t>(stress)</w:t>
      </w:r>
      <w:r>
        <w:rPr>
          <w:color w:val="231F20"/>
          <w:spacing w:val="-4"/>
          <w:w w:val="120"/>
        </w:rPr>
        <w:t> </w:t>
      </w:r>
      <w:r>
        <w:rPr>
          <w:color w:val="231F20"/>
          <w:w w:val="120"/>
        </w:rPr>
        <w:t>qui</w:t>
      </w:r>
      <w:r>
        <w:rPr>
          <w:color w:val="231F20"/>
          <w:spacing w:val="-4"/>
          <w:w w:val="120"/>
        </w:rPr>
        <w:t> </w:t>
      </w:r>
      <w:r>
        <w:rPr>
          <w:color w:val="231F20"/>
          <w:w w:val="120"/>
        </w:rPr>
        <w:t>se</w:t>
      </w:r>
      <w:r>
        <w:rPr>
          <w:color w:val="231F20"/>
          <w:spacing w:val="-4"/>
          <w:w w:val="120"/>
        </w:rPr>
        <w:t> </w:t>
      </w:r>
      <w:r>
        <w:rPr>
          <w:color w:val="231F20"/>
          <w:w w:val="120"/>
        </w:rPr>
        <w:t>traduisait </w:t>
      </w:r>
      <w:r>
        <w:rPr>
          <w:color w:val="231F20"/>
          <w:spacing w:val="-4"/>
          <w:w w:val="120"/>
        </w:rPr>
        <w:t>par des réactions émotionnelles conjuguées à des réactions sympathiques </w:t>
      </w:r>
      <w:r>
        <w:rPr>
          <w:color w:val="231F20"/>
          <w:w w:val="115"/>
        </w:rPr>
        <w:t>et</w:t>
      </w:r>
      <w:r>
        <w:rPr>
          <w:color w:val="231F20"/>
          <w:spacing w:val="-2"/>
          <w:w w:val="115"/>
        </w:rPr>
        <w:t> </w:t>
      </w:r>
      <w:r>
        <w:rPr>
          <w:color w:val="231F20"/>
          <w:w w:val="115"/>
        </w:rPr>
        <w:t>hormonales.</w:t>
      </w:r>
      <w:r>
        <w:rPr>
          <w:color w:val="231F20"/>
          <w:spacing w:val="-2"/>
          <w:w w:val="115"/>
        </w:rPr>
        <w:t> </w:t>
      </w:r>
      <w:r>
        <w:rPr>
          <w:color w:val="231F20"/>
          <w:w w:val="115"/>
        </w:rPr>
        <w:t>Ces</w:t>
      </w:r>
      <w:r>
        <w:rPr>
          <w:color w:val="231F20"/>
          <w:spacing w:val="-2"/>
          <w:w w:val="115"/>
        </w:rPr>
        <w:t> </w:t>
      </w:r>
      <w:r>
        <w:rPr>
          <w:color w:val="231F20"/>
          <w:w w:val="115"/>
        </w:rPr>
        <w:t>expériences</w:t>
      </w:r>
      <w:r>
        <w:rPr>
          <w:color w:val="231F20"/>
          <w:spacing w:val="-2"/>
          <w:w w:val="115"/>
        </w:rPr>
        <w:t> </w:t>
      </w:r>
      <w:r>
        <w:rPr>
          <w:color w:val="231F20"/>
          <w:w w:val="115"/>
        </w:rPr>
        <w:t>permirent</w:t>
      </w:r>
      <w:r>
        <w:rPr>
          <w:color w:val="231F20"/>
          <w:spacing w:val="-2"/>
          <w:w w:val="115"/>
        </w:rPr>
        <w:t> </w:t>
      </w:r>
      <w:r>
        <w:rPr>
          <w:color w:val="231F20"/>
          <w:w w:val="115"/>
        </w:rPr>
        <w:t>à</w:t>
      </w:r>
      <w:r>
        <w:rPr>
          <w:color w:val="231F20"/>
          <w:spacing w:val="-2"/>
          <w:w w:val="115"/>
        </w:rPr>
        <w:t> </w:t>
      </w:r>
      <w:r>
        <w:rPr>
          <w:color w:val="231F20"/>
          <w:w w:val="115"/>
        </w:rPr>
        <w:t>Cannon</w:t>
      </w:r>
      <w:r>
        <w:rPr>
          <w:color w:val="231F20"/>
          <w:spacing w:val="-2"/>
          <w:w w:val="115"/>
        </w:rPr>
        <w:t> </w:t>
      </w:r>
      <w:r>
        <w:rPr>
          <w:color w:val="231F20"/>
          <w:w w:val="115"/>
        </w:rPr>
        <w:t>de</w:t>
      </w:r>
      <w:r>
        <w:rPr>
          <w:color w:val="231F20"/>
          <w:spacing w:val="-2"/>
          <w:w w:val="115"/>
        </w:rPr>
        <w:t> </w:t>
      </w:r>
      <w:r>
        <w:rPr>
          <w:color w:val="231F20"/>
          <w:w w:val="115"/>
        </w:rPr>
        <w:t>découvrir</w:t>
      </w:r>
      <w:r>
        <w:rPr>
          <w:color w:val="231F20"/>
          <w:spacing w:val="-2"/>
          <w:w w:val="115"/>
        </w:rPr>
        <w:t> </w:t>
      </w:r>
      <w:r>
        <w:rPr>
          <w:color w:val="231F20"/>
          <w:w w:val="115"/>
        </w:rPr>
        <w:t>les</w:t>
      </w:r>
      <w:r>
        <w:rPr>
          <w:color w:val="231F20"/>
          <w:spacing w:val="-2"/>
          <w:w w:val="115"/>
        </w:rPr>
        <w:t> </w:t>
      </w:r>
      <w:r>
        <w:rPr>
          <w:color w:val="231F20"/>
          <w:w w:val="115"/>
        </w:rPr>
        <w:t>pre- </w:t>
      </w:r>
      <w:r>
        <w:rPr>
          <w:color w:val="231F20"/>
          <w:w w:val="120"/>
        </w:rPr>
        <w:t>mières</w:t>
      </w:r>
      <w:r>
        <w:rPr>
          <w:color w:val="231F20"/>
          <w:spacing w:val="-2"/>
          <w:w w:val="120"/>
        </w:rPr>
        <w:t> </w:t>
      </w:r>
      <w:r>
        <w:rPr>
          <w:color w:val="231F20"/>
          <w:w w:val="120"/>
        </w:rPr>
        <w:t>hormones</w:t>
      </w:r>
      <w:r>
        <w:rPr>
          <w:color w:val="231F20"/>
          <w:spacing w:val="-2"/>
          <w:w w:val="120"/>
        </w:rPr>
        <w:t> </w:t>
      </w:r>
      <w:r>
        <w:rPr>
          <w:color w:val="231F20"/>
          <w:w w:val="120"/>
        </w:rPr>
        <w:t>du</w:t>
      </w:r>
      <w:r>
        <w:rPr>
          <w:color w:val="231F20"/>
          <w:spacing w:val="-2"/>
          <w:w w:val="120"/>
        </w:rPr>
        <w:t> </w:t>
      </w:r>
      <w:r>
        <w:rPr>
          <w:color w:val="231F20"/>
          <w:w w:val="120"/>
        </w:rPr>
        <w:t>stress,</w:t>
      </w:r>
      <w:r>
        <w:rPr>
          <w:color w:val="231F20"/>
          <w:spacing w:val="-2"/>
          <w:w w:val="120"/>
        </w:rPr>
        <w:t> </w:t>
      </w:r>
      <w:r>
        <w:rPr>
          <w:color w:val="231F20"/>
          <w:w w:val="120"/>
        </w:rPr>
        <w:t>c’est-à-dire</w:t>
      </w:r>
      <w:r>
        <w:rPr>
          <w:color w:val="231F20"/>
          <w:spacing w:val="-2"/>
          <w:w w:val="120"/>
        </w:rPr>
        <w:t> </w:t>
      </w:r>
      <w:r>
        <w:rPr>
          <w:color w:val="231F20"/>
          <w:w w:val="120"/>
        </w:rPr>
        <w:t>la</w:t>
      </w:r>
      <w:r>
        <w:rPr>
          <w:color w:val="231F20"/>
          <w:spacing w:val="-2"/>
          <w:w w:val="120"/>
        </w:rPr>
        <w:t> </w:t>
      </w:r>
      <w:r>
        <w:rPr>
          <w:color w:val="231F20"/>
          <w:w w:val="120"/>
        </w:rPr>
        <w:t>sécrétion</w:t>
      </w:r>
      <w:r>
        <w:rPr>
          <w:color w:val="231F20"/>
          <w:spacing w:val="-2"/>
          <w:w w:val="120"/>
        </w:rPr>
        <w:t> </w:t>
      </w:r>
      <w:r>
        <w:rPr>
          <w:color w:val="231F20"/>
          <w:w w:val="120"/>
        </w:rPr>
        <w:t>de</w:t>
      </w:r>
      <w:r>
        <w:rPr>
          <w:color w:val="231F20"/>
          <w:spacing w:val="-2"/>
          <w:w w:val="120"/>
        </w:rPr>
        <w:t> </w:t>
      </w:r>
      <w:r>
        <w:rPr>
          <w:color w:val="231F20"/>
          <w:w w:val="120"/>
        </w:rPr>
        <w:t>catécholamines </w:t>
      </w:r>
      <w:r>
        <w:rPr>
          <w:color w:val="231F20"/>
          <w:spacing w:val="-2"/>
          <w:w w:val="120"/>
        </w:rPr>
        <w:t>(adrénaline</w:t>
      </w:r>
      <w:r>
        <w:rPr>
          <w:color w:val="231F20"/>
          <w:spacing w:val="-4"/>
          <w:w w:val="120"/>
        </w:rPr>
        <w:t> </w:t>
      </w:r>
      <w:r>
        <w:rPr>
          <w:color w:val="231F20"/>
          <w:spacing w:val="-2"/>
          <w:w w:val="120"/>
        </w:rPr>
        <w:t>et</w:t>
      </w:r>
      <w:r>
        <w:rPr>
          <w:color w:val="231F20"/>
          <w:spacing w:val="-4"/>
          <w:w w:val="120"/>
        </w:rPr>
        <w:t> </w:t>
      </w:r>
      <w:r>
        <w:rPr>
          <w:color w:val="231F20"/>
          <w:spacing w:val="-2"/>
          <w:w w:val="120"/>
        </w:rPr>
        <w:t>noradrénaline)</w:t>
      </w:r>
      <w:r>
        <w:rPr>
          <w:color w:val="231F20"/>
          <w:spacing w:val="-4"/>
          <w:w w:val="120"/>
        </w:rPr>
        <w:t> </w:t>
      </w:r>
      <w:r>
        <w:rPr>
          <w:color w:val="231F20"/>
          <w:spacing w:val="-2"/>
          <w:w w:val="120"/>
        </w:rPr>
        <w:t>dans</w:t>
      </w:r>
      <w:r>
        <w:rPr>
          <w:color w:val="231F20"/>
          <w:spacing w:val="-4"/>
          <w:w w:val="120"/>
        </w:rPr>
        <w:t> </w:t>
      </w:r>
      <w:r>
        <w:rPr>
          <w:color w:val="231F20"/>
          <w:spacing w:val="-2"/>
          <w:w w:val="120"/>
        </w:rPr>
        <w:t>les</w:t>
      </w:r>
      <w:r>
        <w:rPr>
          <w:color w:val="231F20"/>
          <w:spacing w:val="-4"/>
          <w:w w:val="120"/>
        </w:rPr>
        <w:t> </w:t>
      </w:r>
      <w:r>
        <w:rPr>
          <w:color w:val="231F20"/>
          <w:spacing w:val="-2"/>
          <w:w w:val="120"/>
        </w:rPr>
        <w:t>situations</w:t>
      </w:r>
      <w:r>
        <w:rPr>
          <w:color w:val="231F20"/>
          <w:spacing w:val="-4"/>
          <w:w w:val="120"/>
        </w:rPr>
        <w:t> </w:t>
      </w:r>
      <w:r>
        <w:rPr>
          <w:color w:val="231F20"/>
          <w:spacing w:val="-2"/>
          <w:w w:val="120"/>
        </w:rPr>
        <w:t>où</w:t>
      </w:r>
      <w:r>
        <w:rPr>
          <w:color w:val="231F20"/>
          <w:spacing w:val="-4"/>
          <w:w w:val="120"/>
        </w:rPr>
        <w:t> </w:t>
      </w:r>
      <w:r>
        <w:rPr>
          <w:color w:val="231F20"/>
          <w:spacing w:val="-2"/>
          <w:w w:val="120"/>
        </w:rPr>
        <w:t>l’animal</w:t>
      </w:r>
      <w:r>
        <w:rPr>
          <w:color w:val="231F20"/>
          <w:spacing w:val="-4"/>
          <w:w w:val="120"/>
        </w:rPr>
        <w:t> </w:t>
      </w:r>
      <w:r>
        <w:rPr>
          <w:color w:val="231F20"/>
          <w:spacing w:val="-2"/>
          <w:w w:val="120"/>
        </w:rPr>
        <w:t>se</w:t>
      </w:r>
      <w:r>
        <w:rPr>
          <w:color w:val="231F20"/>
          <w:spacing w:val="-4"/>
          <w:w w:val="120"/>
        </w:rPr>
        <w:t> </w:t>
      </w:r>
      <w:r>
        <w:rPr>
          <w:color w:val="231F20"/>
          <w:spacing w:val="-2"/>
          <w:w w:val="120"/>
        </w:rPr>
        <w:t>préparait à</w:t>
      </w:r>
      <w:r>
        <w:rPr>
          <w:color w:val="231F20"/>
          <w:spacing w:val="-6"/>
          <w:w w:val="120"/>
        </w:rPr>
        <w:t> </w:t>
      </w:r>
      <w:r>
        <w:rPr>
          <w:color w:val="231F20"/>
          <w:spacing w:val="-2"/>
          <w:w w:val="120"/>
        </w:rPr>
        <w:t>attaquer</w:t>
      </w:r>
      <w:r>
        <w:rPr>
          <w:color w:val="231F20"/>
          <w:spacing w:val="-6"/>
          <w:w w:val="120"/>
        </w:rPr>
        <w:t> </w:t>
      </w:r>
      <w:r>
        <w:rPr>
          <w:color w:val="231F20"/>
          <w:spacing w:val="-2"/>
          <w:w w:val="120"/>
        </w:rPr>
        <w:t>ou</w:t>
      </w:r>
      <w:r>
        <w:rPr>
          <w:color w:val="231F20"/>
          <w:spacing w:val="-6"/>
          <w:w w:val="120"/>
        </w:rPr>
        <w:t> </w:t>
      </w:r>
      <w:r>
        <w:rPr>
          <w:color w:val="231F20"/>
          <w:spacing w:val="-2"/>
          <w:w w:val="120"/>
        </w:rPr>
        <w:t>à</w:t>
      </w:r>
      <w:r>
        <w:rPr>
          <w:color w:val="231F20"/>
          <w:spacing w:val="-6"/>
          <w:w w:val="120"/>
        </w:rPr>
        <w:t> </w:t>
      </w:r>
      <w:r>
        <w:rPr>
          <w:color w:val="231F20"/>
          <w:spacing w:val="-2"/>
          <w:w w:val="120"/>
        </w:rPr>
        <w:t>fuir.</w:t>
      </w:r>
      <w:r>
        <w:rPr>
          <w:color w:val="231F20"/>
          <w:spacing w:val="-6"/>
          <w:w w:val="120"/>
        </w:rPr>
        <w:t> </w:t>
      </w:r>
      <w:r>
        <w:rPr>
          <w:color w:val="231F20"/>
          <w:spacing w:val="-2"/>
          <w:w w:val="120"/>
        </w:rPr>
        <w:t>Dans</w:t>
      </w:r>
      <w:r>
        <w:rPr>
          <w:color w:val="231F20"/>
          <w:spacing w:val="-6"/>
          <w:w w:val="120"/>
        </w:rPr>
        <w:t> </w:t>
      </w:r>
      <w:r>
        <w:rPr>
          <w:color w:val="231F20"/>
          <w:spacing w:val="-2"/>
          <w:w w:val="120"/>
        </w:rPr>
        <w:t>la</w:t>
      </w:r>
      <w:r>
        <w:rPr>
          <w:color w:val="231F20"/>
          <w:spacing w:val="-6"/>
          <w:w w:val="120"/>
        </w:rPr>
        <w:t> </w:t>
      </w:r>
      <w:r>
        <w:rPr>
          <w:color w:val="231F20"/>
          <w:spacing w:val="-2"/>
          <w:w w:val="120"/>
        </w:rPr>
        <w:t>foulée</w:t>
      </w:r>
      <w:r>
        <w:rPr>
          <w:color w:val="231F20"/>
          <w:spacing w:val="-6"/>
          <w:w w:val="120"/>
        </w:rPr>
        <w:t> </w:t>
      </w:r>
      <w:r>
        <w:rPr>
          <w:color w:val="231F20"/>
          <w:spacing w:val="-2"/>
          <w:w w:val="120"/>
        </w:rPr>
        <w:t>des</w:t>
      </w:r>
      <w:r>
        <w:rPr>
          <w:color w:val="231F20"/>
          <w:spacing w:val="-6"/>
          <w:w w:val="120"/>
        </w:rPr>
        <w:t> </w:t>
      </w:r>
      <w:r>
        <w:rPr>
          <w:color w:val="231F20"/>
          <w:spacing w:val="-2"/>
          <w:w w:val="120"/>
        </w:rPr>
        <w:t>observations</w:t>
      </w:r>
      <w:r>
        <w:rPr>
          <w:color w:val="231F20"/>
          <w:spacing w:val="-6"/>
          <w:w w:val="120"/>
        </w:rPr>
        <w:t> </w:t>
      </w:r>
      <w:r>
        <w:rPr>
          <w:color w:val="231F20"/>
          <w:spacing w:val="-2"/>
          <w:w w:val="120"/>
        </w:rPr>
        <w:t>initiales</w:t>
      </w:r>
      <w:r>
        <w:rPr>
          <w:color w:val="231F20"/>
          <w:spacing w:val="-6"/>
          <w:w w:val="120"/>
        </w:rPr>
        <w:t> </w:t>
      </w:r>
      <w:r>
        <w:rPr>
          <w:color w:val="231F20"/>
          <w:spacing w:val="-2"/>
          <w:w w:val="120"/>
        </w:rPr>
        <w:t>de</w:t>
      </w:r>
      <w:r>
        <w:rPr>
          <w:color w:val="231F20"/>
          <w:spacing w:val="-6"/>
          <w:w w:val="120"/>
        </w:rPr>
        <w:t> </w:t>
      </w:r>
      <w:r>
        <w:rPr>
          <w:color w:val="231F20"/>
          <w:spacing w:val="-2"/>
          <w:w w:val="120"/>
        </w:rPr>
        <w:t>Cannon, de</w:t>
      </w:r>
      <w:r>
        <w:rPr>
          <w:color w:val="231F20"/>
          <w:spacing w:val="-7"/>
          <w:w w:val="120"/>
        </w:rPr>
        <w:t> </w:t>
      </w:r>
      <w:r>
        <w:rPr>
          <w:color w:val="231F20"/>
          <w:spacing w:val="-2"/>
          <w:w w:val="120"/>
        </w:rPr>
        <w:t>nouvelles</w:t>
      </w:r>
      <w:r>
        <w:rPr>
          <w:color w:val="231F20"/>
          <w:spacing w:val="-7"/>
          <w:w w:val="120"/>
        </w:rPr>
        <w:t> </w:t>
      </w:r>
      <w:r>
        <w:rPr>
          <w:color w:val="231F20"/>
          <w:spacing w:val="-2"/>
          <w:w w:val="120"/>
        </w:rPr>
        <w:t>études</w:t>
      </w:r>
      <w:r>
        <w:rPr>
          <w:color w:val="231F20"/>
          <w:spacing w:val="-7"/>
          <w:w w:val="120"/>
        </w:rPr>
        <w:t> </w:t>
      </w:r>
      <w:r>
        <w:rPr>
          <w:color w:val="231F20"/>
          <w:spacing w:val="-2"/>
          <w:w w:val="120"/>
        </w:rPr>
        <w:t>sur</w:t>
      </w:r>
      <w:r>
        <w:rPr>
          <w:color w:val="231F20"/>
          <w:spacing w:val="-7"/>
          <w:w w:val="120"/>
        </w:rPr>
        <w:t> </w:t>
      </w:r>
      <w:r>
        <w:rPr>
          <w:color w:val="231F20"/>
          <w:spacing w:val="-2"/>
          <w:w w:val="120"/>
        </w:rPr>
        <w:t>la</w:t>
      </w:r>
      <w:r>
        <w:rPr>
          <w:color w:val="231F20"/>
          <w:spacing w:val="-7"/>
          <w:w w:val="120"/>
        </w:rPr>
        <w:t> </w:t>
      </w:r>
      <w:r>
        <w:rPr>
          <w:color w:val="231F20"/>
          <w:spacing w:val="-2"/>
          <w:w w:val="120"/>
        </w:rPr>
        <w:t>théorie</w:t>
      </w:r>
      <w:r>
        <w:rPr>
          <w:color w:val="231F20"/>
          <w:spacing w:val="-7"/>
          <w:w w:val="120"/>
        </w:rPr>
        <w:t> </w:t>
      </w:r>
      <w:r>
        <w:rPr>
          <w:color w:val="231F20"/>
          <w:spacing w:val="-2"/>
          <w:w w:val="120"/>
        </w:rPr>
        <w:t>cognitive</w:t>
      </w:r>
      <w:r>
        <w:rPr>
          <w:color w:val="231F20"/>
          <w:spacing w:val="-7"/>
          <w:w w:val="120"/>
        </w:rPr>
        <w:t> </w:t>
      </w:r>
      <w:r>
        <w:rPr>
          <w:color w:val="231F20"/>
          <w:spacing w:val="-2"/>
          <w:w w:val="120"/>
        </w:rPr>
        <w:t>décrivent</w:t>
      </w:r>
      <w:r>
        <w:rPr>
          <w:color w:val="231F20"/>
          <w:spacing w:val="-7"/>
          <w:w w:val="120"/>
        </w:rPr>
        <w:t> </w:t>
      </w:r>
      <w:r>
        <w:rPr>
          <w:color w:val="231F20"/>
          <w:spacing w:val="-2"/>
          <w:w w:val="120"/>
        </w:rPr>
        <w:t>aujourd’hui</w:t>
      </w:r>
      <w:r>
        <w:rPr>
          <w:color w:val="231F20"/>
          <w:spacing w:val="-7"/>
          <w:w w:val="120"/>
        </w:rPr>
        <w:t> </w:t>
      </w:r>
      <w:r>
        <w:rPr>
          <w:color w:val="231F20"/>
          <w:spacing w:val="-2"/>
          <w:w w:val="120"/>
        </w:rPr>
        <w:t>quatre </w:t>
      </w:r>
      <w:r>
        <w:rPr>
          <w:color w:val="231F20"/>
          <w:w w:val="120"/>
        </w:rPr>
        <w:t>modèles</w:t>
      </w:r>
      <w:r>
        <w:rPr>
          <w:color w:val="231F20"/>
          <w:spacing w:val="-8"/>
          <w:w w:val="120"/>
        </w:rPr>
        <w:t> </w:t>
      </w:r>
      <w:r>
        <w:rPr>
          <w:color w:val="231F20"/>
          <w:w w:val="120"/>
        </w:rPr>
        <w:t>fondamentaux</w:t>
      </w:r>
      <w:r>
        <w:rPr>
          <w:color w:val="231F20"/>
          <w:spacing w:val="-8"/>
          <w:w w:val="120"/>
        </w:rPr>
        <w:t> </w:t>
      </w:r>
      <w:r>
        <w:rPr>
          <w:color w:val="231F20"/>
          <w:w w:val="120"/>
        </w:rPr>
        <w:t>de</w:t>
      </w:r>
      <w:r>
        <w:rPr>
          <w:color w:val="231F20"/>
          <w:spacing w:val="-8"/>
          <w:w w:val="120"/>
        </w:rPr>
        <w:t> </w:t>
      </w:r>
      <w:r>
        <w:rPr>
          <w:color w:val="231F20"/>
          <w:w w:val="120"/>
        </w:rPr>
        <w:t>réponse</w:t>
      </w:r>
      <w:r>
        <w:rPr>
          <w:color w:val="231F20"/>
          <w:spacing w:val="-8"/>
          <w:w w:val="120"/>
        </w:rPr>
        <w:t> </w:t>
      </w:r>
      <w:r>
        <w:rPr>
          <w:color w:val="231F20"/>
          <w:w w:val="120"/>
        </w:rPr>
        <w:t>primaire</w:t>
      </w:r>
      <w:r>
        <w:rPr>
          <w:color w:val="231F20"/>
          <w:spacing w:val="-8"/>
          <w:w w:val="120"/>
        </w:rPr>
        <w:t> </w:t>
      </w:r>
      <w:r>
        <w:rPr>
          <w:color w:val="231F20"/>
          <w:w w:val="120"/>
        </w:rPr>
        <w:t>au</w:t>
      </w:r>
      <w:r>
        <w:rPr>
          <w:color w:val="231F20"/>
          <w:spacing w:val="-8"/>
          <w:w w:val="120"/>
        </w:rPr>
        <w:t> </w:t>
      </w:r>
      <w:r>
        <w:rPr>
          <w:color w:val="231F20"/>
          <w:w w:val="120"/>
        </w:rPr>
        <w:t>stress:</w:t>
      </w:r>
      <w:r>
        <w:rPr>
          <w:color w:val="231F20"/>
          <w:spacing w:val="-8"/>
          <w:w w:val="120"/>
        </w:rPr>
        <w:t> </w:t>
      </w:r>
      <w:r>
        <w:rPr>
          <w:color w:val="231F20"/>
          <w:w w:val="120"/>
        </w:rPr>
        <w:t>le</w:t>
      </w:r>
      <w:r>
        <w:rPr>
          <w:color w:val="231F20"/>
          <w:spacing w:val="-8"/>
          <w:w w:val="120"/>
        </w:rPr>
        <w:t> </w:t>
      </w:r>
      <w:r>
        <w:rPr>
          <w:color w:val="231F20"/>
          <w:w w:val="120"/>
        </w:rPr>
        <w:t>combat</w:t>
      </w:r>
      <w:r>
        <w:rPr>
          <w:color w:val="231F20"/>
          <w:spacing w:val="-8"/>
          <w:w w:val="120"/>
        </w:rPr>
        <w:t> </w:t>
      </w:r>
      <w:r>
        <w:rPr>
          <w:color w:val="231F20"/>
          <w:w w:val="120"/>
        </w:rPr>
        <w:t>(</w:t>
      </w:r>
      <w:r>
        <w:rPr>
          <w:i/>
          <w:color w:val="231F20"/>
          <w:w w:val="120"/>
        </w:rPr>
        <w:t>fight</w:t>
      </w:r>
      <w:r>
        <w:rPr>
          <w:color w:val="231F20"/>
          <w:w w:val="120"/>
        </w:rPr>
        <w:t>) et</w:t>
      </w:r>
      <w:r>
        <w:rPr>
          <w:color w:val="231F20"/>
          <w:spacing w:val="-13"/>
          <w:w w:val="120"/>
        </w:rPr>
        <w:t> </w:t>
      </w:r>
      <w:r>
        <w:rPr>
          <w:color w:val="231F20"/>
          <w:w w:val="120"/>
        </w:rPr>
        <w:t>la</w:t>
      </w:r>
      <w:r>
        <w:rPr>
          <w:color w:val="231F20"/>
          <w:spacing w:val="-13"/>
          <w:w w:val="120"/>
        </w:rPr>
        <w:t> </w:t>
      </w:r>
      <w:r>
        <w:rPr>
          <w:color w:val="231F20"/>
          <w:w w:val="120"/>
        </w:rPr>
        <w:t>fuite</w:t>
      </w:r>
      <w:r>
        <w:rPr>
          <w:color w:val="231F20"/>
          <w:spacing w:val="-13"/>
          <w:w w:val="120"/>
        </w:rPr>
        <w:t> </w:t>
      </w:r>
      <w:r>
        <w:rPr>
          <w:color w:val="231F20"/>
          <w:w w:val="120"/>
        </w:rPr>
        <w:t>(</w:t>
      </w:r>
      <w:r>
        <w:rPr>
          <w:i/>
          <w:color w:val="231F20"/>
          <w:w w:val="120"/>
        </w:rPr>
        <w:t>flight</w:t>
      </w:r>
      <w:r>
        <w:rPr>
          <w:color w:val="231F20"/>
          <w:w w:val="120"/>
        </w:rPr>
        <w:t>),</w:t>
      </w:r>
      <w:r>
        <w:rPr>
          <w:color w:val="231F20"/>
          <w:spacing w:val="-12"/>
          <w:w w:val="120"/>
        </w:rPr>
        <w:t> </w:t>
      </w:r>
      <w:r>
        <w:rPr>
          <w:color w:val="231F20"/>
          <w:w w:val="120"/>
        </w:rPr>
        <w:t>mais</w:t>
      </w:r>
      <w:r>
        <w:rPr>
          <w:color w:val="231F20"/>
          <w:spacing w:val="-13"/>
          <w:w w:val="120"/>
        </w:rPr>
        <w:t> </w:t>
      </w:r>
      <w:r>
        <w:rPr>
          <w:color w:val="231F20"/>
          <w:w w:val="120"/>
        </w:rPr>
        <w:t>aussi,</w:t>
      </w:r>
      <w:r>
        <w:rPr>
          <w:color w:val="231F20"/>
          <w:spacing w:val="-13"/>
          <w:w w:val="120"/>
        </w:rPr>
        <w:t> </w:t>
      </w:r>
      <w:r>
        <w:rPr>
          <w:color w:val="231F20"/>
          <w:w w:val="120"/>
        </w:rPr>
        <w:t>la</w:t>
      </w:r>
      <w:r>
        <w:rPr>
          <w:color w:val="231F20"/>
          <w:spacing w:val="-13"/>
          <w:w w:val="120"/>
        </w:rPr>
        <w:t> </w:t>
      </w:r>
      <w:r>
        <w:rPr>
          <w:color w:val="231F20"/>
          <w:w w:val="120"/>
        </w:rPr>
        <w:t>défaillance</w:t>
      </w:r>
      <w:r>
        <w:rPr>
          <w:color w:val="231F20"/>
          <w:spacing w:val="-12"/>
          <w:w w:val="120"/>
        </w:rPr>
        <w:t> </w:t>
      </w:r>
      <w:r>
        <w:rPr>
          <w:color w:val="231F20"/>
          <w:w w:val="120"/>
        </w:rPr>
        <w:t>(</w:t>
      </w:r>
      <w:r>
        <w:rPr>
          <w:i/>
          <w:color w:val="231F20"/>
          <w:w w:val="120"/>
        </w:rPr>
        <w:t>faint</w:t>
      </w:r>
      <w:r>
        <w:rPr>
          <w:color w:val="231F20"/>
          <w:w w:val="120"/>
        </w:rPr>
        <w:t>)</w:t>
      </w:r>
      <w:r>
        <w:rPr>
          <w:color w:val="231F20"/>
          <w:spacing w:val="-13"/>
          <w:w w:val="120"/>
        </w:rPr>
        <w:t> </w:t>
      </w:r>
      <w:r>
        <w:rPr>
          <w:color w:val="231F20"/>
          <w:w w:val="120"/>
        </w:rPr>
        <w:t>et</w:t>
      </w:r>
      <w:r>
        <w:rPr>
          <w:color w:val="231F20"/>
          <w:spacing w:val="-13"/>
          <w:w w:val="120"/>
        </w:rPr>
        <w:t> </w:t>
      </w:r>
      <w:r>
        <w:rPr>
          <w:color w:val="231F20"/>
          <w:w w:val="120"/>
        </w:rPr>
        <w:t>le</w:t>
      </w:r>
      <w:r>
        <w:rPr>
          <w:color w:val="231F20"/>
          <w:spacing w:val="-13"/>
          <w:w w:val="120"/>
        </w:rPr>
        <w:t> </w:t>
      </w:r>
      <w:r>
        <w:rPr>
          <w:color w:val="231F20"/>
          <w:w w:val="120"/>
        </w:rPr>
        <w:t>blocage</w:t>
      </w:r>
      <w:r>
        <w:rPr>
          <w:color w:val="231F20"/>
          <w:spacing w:val="-12"/>
          <w:w w:val="120"/>
        </w:rPr>
        <w:t> </w:t>
      </w:r>
      <w:r>
        <w:rPr>
          <w:color w:val="231F20"/>
          <w:w w:val="120"/>
        </w:rPr>
        <w:t>(</w:t>
      </w:r>
      <w:r>
        <w:rPr>
          <w:i/>
          <w:color w:val="231F20"/>
          <w:w w:val="120"/>
        </w:rPr>
        <w:t>freeze</w:t>
      </w:r>
      <w:r>
        <w:rPr>
          <w:color w:val="231F20"/>
          <w:w w:val="120"/>
        </w:rPr>
        <w:t>).</w:t>
      </w:r>
    </w:p>
    <w:p>
      <w:pPr>
        <w:pStyle w:val="BodyText"/>
        <w:spacing w:before="6"/>
        <w:rPr>
          <w:sz w:val="21"/>
        </w:rPr>
      </w:pPr>
    </w:p>
    <w:p>
      <w:pPr>
        <w:pStyle w:val="BodyText"/>
        <w:spacing w:line="307" w:lineRule="auto" w:before="1"/>
        <w:ind w:left="790" w:right="632"/>
        <w:jc w:val="both"/>
      </w:pPr>
      <w:r>
        <w:rPr>
          <w:b/>
          <w:color w:val="231F20"/>
          <w:spacing w:val="-2"/>
          <w:w w:val="115"/>
        </w:rPr>
        <w:t>Quelle</w:t>
      </w:r>
      <w:r>
        <w:rPr>
          <w:b/>
          <w:color w:val="231F20"/>
          <w:spacing w:val="-11"/>
          <w:w w:val="115"/>
        </w:rPr>
        <w:t> </w:t>
      </w:r>
      <w:r>
        <w:rPr>
          <w:b/>
          <w:color w:val="231F20"/>
          <w:spacing w:val="-2"/>
          <w:w w:val="115"/>
        </w:rPr>
        <w:t>est</w:t>
      </w:r>
      <w:r>
        <w:rPr>
          <w:b/>
          <w:color w:val="231F20"/>
          <w:spacing w:val="-10"/>
          <w:w w:val="115"/>
        </w:rPr>
        <w:t> </w:t>
      </w:r>
      <w:r>
        <w:rPr>
          <w:b/>
          <w:color w:val="231F20"/>
          <w:spacing w:val="-2"/>
          <w:w w:val="115"/>
        </w:rPr>
        <w:t>la</w:t>
      </w:r>
      <w:r>
        <w:rPr>
          <w:b/>
          <w:color w:val="231F20"/>
          <w:spacing w:val="-10"/>
          <w:w w:val="115"/>
        </w:rPr>
        <w:t> </w:t>
      </w:r>
      <w:r>
        <w:rPr>
          <w:b/>
          <w:color w:val="231F20"/>
          <w:spacing w:val="-2"/>
          <w:w w:val="115"/>
        </w:rPr>
        <w:t>réponse</w:t>
      </w:r>
      <w:r>
        <w:rPr>
          <w:b/>
          <w:color w:val="231F20"/>
          <w:spacing w:val="-10"/>
          <w:w w:val="115"/>
        </w:rPr>
        <w:t> </w:t>
      </w:r>
      <w:r>
        <w:rPr>
          <w:b/>
          <w:color w:val="231F20"/>
          <w:spacing w:val="-2"/>
          <w:w w:val="115"/>
        </w:rPr>
        <w:t>biologique</w:t>
      </w:r>
      <w:r>
        <w:rPr>
          <w:b/>
          <w:color w:val="231F20"/>
          <w:spacing w:val="-11"/>
          <w:w w:val="115"/>
        </w:rPr>
        <w:t> </w:t>
      </w:r>
      <w:r>
        <w:rPr>
          <w:b/>
          <w:color w:val="231F20"/>
          <w:spacing w:val="-2"/>
          <w:w w:val="115"/>
        </w:rPr>
        <w:t>au</w:t>
      </w:r>
      <w:r>
        <w:rPr>
          <w:b/>
          <w:color w:val="231F20"/>
          <w:spacing w:val="-10"/>
          <w:w w:val="115"/>
        </w:rPr>
        <w:t> </w:t>
      </w:r>
      <w:r>
        <w:rPr>
          <w:b/>
          <w:color w:val="231F20"/>
          <w:spacing w:val="-2"/>
          <w:w w:val="115"/>
        </w:rPr>
        <w:t>stress?</w:t>
      </w:r>
      <w:r>
        <w:rPr>
          <w:b/>
          <w:color w:val="231F20"/>
          <w:spacing w:val="-10"/>
          <w:w w:val="115"/>
        </w:rPr>
        <w:t> </w:t>
      </w:r>
      <w:r>
        <w:rPr>
          <w:color w:val="231F20"/>
          <w:spacing w:val="-2"/>
          <w:w w:val="115"/>
        </w:rPr>
        <w:t>La</w:t>
      </w:r>
      <w:r>
        <w:rPr>
          <w:color w:val="231F20"/>
          <w:spacing w:val="-10"/>
          <w:w w:val="115"/>
        </w:rPr>
        <w:t> </w:t>
      </w:r>
      <w:r>
        <w:rPr>
          <w:color w:val="231F20"/>
          <w:spacing w:val="-2"/>
          <w:w w:val="115"/>
        </w:rPr>
        <w:t>réaction</w:t>
      </w:r>
      <w:r>
        <w:rPr>
          <w:color w:val="231F20"/>
          <w:spacing w:val="-10"/>
          <w:w w:val="115"/>
        </w:rPr>
        <w:t> </w:t>
      </w:r>
      <w:r>
        <w:rPr>
          <w:color w:val="231F20"/>
          <w:spacing w:val="-2"/>
          <w:w w:val="115"/>
        </w:rPr>
        <w:t>biologique</w:t>
      </w:r>
      <w:r>
        <w:rPr>
          <w:color w:val="231F20"/>
          <w:spacing w:val="-11"/>
          <w:w w:val="115"/>
        </w:rPr>
        <w:t> </w:t>
      </w:r>
      <w:r>
        <w:rPr>
          <w:color w:val="231F20"/>
          <w:spacing w:val="-2"/>
          <w:w w:val="115"/>
        </w:rPr>
        <w:t>déclen- </w:t>
      </w:r>
      <w:r>
        <w:rPr>
          <w:color w:val="231F20"/>
          <w:w w:val="120"/>
        </w:rPr>
        <w:t>chée</w:t>
      </w:r>
      <w:r>
        <w:rPr>
          <w:color w:val="231F20"/>
          <w:spacing w:val="-11"/>
          <w:w w:val="120"/>
        </w:rPr>
        <w:t> </w:t>
      </w:r>
      <w:r>
        <w:rPr>
          <w:color w:val="231F20"/>
          <w:w w:val="120"/>
        </w:rPr>
        <w:t>par</w:t>
      </w:r>
      <w:r>
        <w:rPr>
          <w:color w:val="231F20"/>
          <w:spacing w:val="-11"/>
          <w:w w:val="120"/>
        </w:rPr>
        <w:t> </w:t>
      </w:r>
      <w:r>
        <w:rPr>
          <w:color w:val="231F20"/>
          <w:w w:val="120"/>
        </w:rPr>
        <w:t>une</w:t>
      </w:r>
      <w:r>
        <w:rPr>
          <w:color w:val="231F20"/>
          <w:spacing w:val="-11"/>
          <w:w w:val="120"/>
        </w:rPr>
        <w:t> </w:t>
      </w:r>
      <w:r>
        <w:rPr>
          <w:color w:val="231F20"/>
          <w:w w:val="120"/>
        </w:rPr>
        <w:t>demande</w:t>
      </w:r>
      <w:r>
        <w:rPr>
          <w:color w:val="231F20"/>
          <w:spacing w:val="-11"/>
          <w:w w:val="120"/>
        </w:rPr>
        <w:t> </w:t>
      </w:r>
      <w:r>
        <w:rPr>
          <w:color w:val="231F20"/>
          <w:w w:val="120"/>
        </w:rPr>
        <w:t>adaptative</w:t>
      </w:r>
      <w:r>
        <w:rPr>
          <w:color w:val="231F20"/>
          <w:spacing w:val="-11"/>
          <w:w w:val="120"/>
        </w:rPr>
        <w:t> </w:t>
      </w:r>
      <w:r>
        <w:rPr>
          <w:color w:val="231F20"/>
          <w:w w:val="120"/>
        </w:rPr>
        <w:t>est</w:t>
      </w:r>
      <w:r>
        <w:rPr>
          <w:color w:val="231F20"/>
          <w:spacing w:val="-11"/>
          <w:w w:val="120"/>
        </w:rPr>
        <w:t> </w:t>
      </w:r>
      <w:r>
        <w:rPr>
          <w:color w:val="231F20"/>
          <w:w w:val="120"/>
        </w:rPr>
        <w:t>fort</w:t>
      </w:r>
      <w:r>
        <w:rPr>
          <w:color w:val="231F20"/>
          <w:spacing w:val="-11"/>
          <w:w w:val="120"/>
        </w:rPr>
        <w:t> </w:t>
      </w:r>
      <w:r>
        <w:rPr>
          <w:color w:val="231F20"/>
          <w:w w:val="120"/>
        </w:rPr>
        <w:t>complexe</w:t>
      </w:r>
      <w:r>
        <w:rPr>
          <w:color w:val="231F20"/>
          <w:spacing w:val="-11"/>
          <w:w w:val="120"/>
        </w:rPr>
        <w:t> </w:t>
      </w:r>
      <w:r>
        <w:rPr>
          <w:color w:val="231F20"/>
          <w:w w:val="120"/>
        </w:rPr>
        <w:t>et</w:t>
      </w:r>
      <w:r>
        <w:rPr>
          <w:color w:val="231F20"/>
          <w:spacing w:val="-11"/>
          <w:w w:val="120"/>
        </w:rPr>
        <w:t> </w:t>
      </w:r>
      <w:r>
        <w:rPr>
          <w:color w:val="231F20"/>
          <w:w w:val="120"/>
        </w:rPr>
        <w:t>implique</w:t>
      </w:r>
      <w:r>
        <w:rPr>
          <w:color w:val="231F20"/>
          <w:spacing w:val="-11"/>
          <w:w w:val="120"/>
        </w:rPr>
        <w:t> </w:t>
      </w:r>
      <w:r>
        <w:rPr>
          <w:color w:val="231F20"/>
          <w:w w:val="120"/>
        </w:rPr>
        <w:t>de</w:t>
      </w:r>
      <w:r>
        <w:rPr>
          <w:color w:val="231F20"/>
          <w:spacing w:val="-11"/>
          <w:w w:val="120"/>
        </w:rPr>
        <w:t> </w:t>
      </w:r>
      <w:r>
        <w:rPr>
          <w:color w:val="231F20"/>
          <w:w w:val="120"/>
        </w:rPr>
        <w:t>mul- tiples systèmes biologiques. Simplement décrit, et afin de rendre la dynamique biologique intelligible, disons que le moteur de la réaction biologique que représente le stress est positionné dans un tout petit centre nerveux de moins de quatre grammes appelé l’hypothalamus. L’hypothalamus est situé au centre du cerveau dans une partie très ancienne et a, entre autres, la responsabilité de détecter toutes les </w:t>
      </w:r>
      <w:r>
        <w:rPr>
          <w:color w:val="231F20"/>
          <w:spacing w:val="-2"/>
          <w:w w:val="120"/>
        </w:rPr>
        <w:t>menaces</w:t>
      </w:r>
      <w:r>
        <w:rPr>
          <w:color w:val="231F20"/>
          <w:spacing w:val="-8"/>
          <w:w w:val="120"/>
        </w:rPr>
        <w:t> </w:t>
      </w:r>
      <w:r>
        <w:rPr>
          <w:color w:val="231F20"/>
          <w:spacing w:val="-2"/>
          <w:w w:val="120"/>
        </w:rPr>
        <w:t>à</w:t>
      </w:r>
      <w:r>
        <w:rPr>
          <w:color w:val="231F20"/>
          <w:spacing w:val="-8"/>
          <w:w w:val="120"/>
        </w:rPr>
        <w:t> </w:t>
      </w:r>
      <w:r>
        <w:rPr>
          <w:color w:val="231F20"/>
          <w:spacing w:val="-2"/>
          <w:w w:val="120"/>
        </w:rPr>
        <w:t>l’homéostasie,</w:t>
      </w:r>
      <w:r>
        <w:rPr>
          <w:color w:val="231F20"/>
          <w:spacing w:val="-8"/>
          <w:w w:val="120"/>
        </w:rPr>
        <w:t> </w:t>
      </w:r>
      <w:r>
        <w:rPr>
          <w:color w:val="231F20"/>
          <w:spacing w:val="-2"/>
          <w:w w:val="120"/>
        </w:rPr>
        <w:t>et</w:t>
      </w:r>
      <w:r>
        <w:rPr>
          <w:color w:val="231F20"/>
          <w:spacing w:val="-8"/>
          <w:w w:val="120"/>
        </w:rPr>
        <w:t> </w:t>
      </w:r>
      <w:r>
        <w:rPr>
          <w:color w:val="231F20"/>
          <w:spacing w:val="-2"/>
          <w:w w:val="120"/>
        </w:rPr>
        <w:t>le</w:t>
      </w:r>
      <w:r>
        <w:rPr>
          <w:color w:val="231F20"/>
          <w:spacing w:val="-8"/>
          <w:w w:val="120"/>
        </w:rPr>
        <w:t> </w:t>
      </w:r>
      <w:r>
        <w:rPr>
          <w:color w:val="231F20"/>
          <w:spacing w:val="-2"/>
          <w:w w:val="120"/>
        </w:rPr>
        <w:t>cas</w:t>
      </w:r>
      <w:r>
        <w:rPr>
          <w:color w:val="231F20"/>
          <w:spacing w:val="-8"/>
          <w:w w:val="120"/>
        </w:rPr>
        <w:t> </w:t>
      </w:r>
      <w:r>
        <w:rPr>
          <w:color w:val="231F20"/>
          <w:spacing w:val="-2"/>
          <w:w w:val="120"/>
        </w:rPr>
        <w:t>échéant,</w:t>
      </w:r>
      <w:r>
        <w:rPr>
          <w:color w:val="231F20"/>
          <w:spacing w:val="-8"/>
          <w:w w:val="120"/>
        </w:rPr>
        <w:t> </w:t>
      </w:r>
      <w:r>
        <w:rPr>
          <w:color w:val="231F20"/>
          <w:spacing w:val="-2"/>
          <w:w w:val="120"/>
        </w:rPr>
        <w:t>d’enclencher</w:t>
      </w:r>
      <w:r>
        <w:rPr>
          <w:color w:val="231F20"/>
          <w:spacing w:val="-8"/>
          <w:w w:val="120"/>
        </w:rPr>
        <w:t> </w:t>
      </w:r>
      <w:r>
        <w:rPr>
          <w:color w:val="231F20"/>
          <w:spacing w:val="-2"/>
          <w:w w:val="120"/>
        </w:rPr>
        <w:t>le</w:t>
      </w:r>
      <w:r>
        <w:rPr>
          <w:color w:val="231F20"/>
          <w:spacing w:val="-8"/>
          <w:w w:val="120"/>
        </w:rPr>
        <w:t> </w:t>
      </w:r>
      <w:r>
        <w:rPr>
          <w:color w:val="231F20"/>
          <w:spacing w:val="-2"/>
          <w:w w:val="120"/>
        </w:rPr>
        <w:t>processus</w:t>
      </w:r>
      <w:r>
        <w:rPr>
          <w:color w:val="231F20"/>
          <w:spacing w:val="-8"/>
          <w:w w:val="120"/>
        </w:rPr>
        <w:t> </w:t>
      </w:r>
      <w:r>
        <w:rPr>
          <w:color w:val="231F20"/>
          <w:spacing w:val="-2"/>
          <w:w w:val="120"/>
        </w:rPr>
        <w:t>du </w:t>
      </w:r>
      <w:r>
        <w:rPr>
          <w:color w:val="231F20"/>
          <w:w w:val="115"/>
        </w:rPr>
        <w:t>stress</w:t>
      </w:r>
      <w:r>
        <w:rPr>
          <w:color w:val="231F20"/>
          <w:spacing w:val="-13"/>
          <w:w w:val="115"/>
        </w:rPr>
        <w:t> </w:t>
      </w:r>
      <w:r>
        <w:rPr>
          <w:color w:val="231F20"/>
          <w:w w:val="115"/>
        </w:rPr>
        <w:t>afin</w:t>
      </w:r>
      <w:r>
        <w:rPr>
          <w:color w:val="231F20"/>
          <w:spacing w:val="-12"/>
          <w:w w:val="115"/>
        </w:rPr>
        <w:t> </w:t>
      </w:r>
      <w:r>
        <w:rPr>
          <w:color w:val="231F20"/>
          <w:w w:val="115"/>
        </w:rPr>
        <w:t>de</w:t>
      </w:r>
      <w:r>
        <w:rPr>
          <w:color w:val="231F20"/>
          <w:spacing w:val="-12"/>
          <w:w w:val="115"/>
        </w:rPr>
        <w:t> </w:t>
      </w:r>
      <w:r>
        <w:rPr>
          <w:color w:val="231F20"/>
          <w:w w:val="115"/>
        </w:rPr>
        <w:t>favoriser</w:t>
      </w:r>
      <w:r>
        <w:rPr>
          <w:color w:val="231F20"/>
          <w:spacing w:val="-12"/>
          <w:w w:val="115"/>
        </w:rPr>
        <w:t> </w:t>
      </w:r>
      <w:r>
        <w:rPr>
          <w:color w:val="231F20"/>
          <w:w w:val="115"/>
        </w:rPr>
        <w:t>le</w:t>
      </w:r>
      <w:r>
        <w:rPr>
          <w:color w:val="231F20"/>
          <w:spacing w:val="-13"/>
          <w:w w:val="115"/>
        </w:rPr>
        <w:t> </w:t>
      </w:r>
      <w:r>
        <w:rPr>
          <w:color w:val="231F20"/>
          <w:w w:val="115"/>
        </w:rPr>
        <w:t>retour</w:t>
      </w:r>
      <w:r>
        <w:rPr>
          <w:color w:val="231F20"/>
          <w:spacing w:val="-12"/>
          <w:w w:val="115"/>
        </w:rPr>
        <w:t> </w:t>
      </w:r>
      <w:r>
        <w:rPr>
          <w:color w:val="231F20"/>
          <w:w w:val="115"/>
        </w:rPr>
        <w:t>à</w:t>
      </w:r>
      <w:r>
        <w:rPr>
          <w:color w:val="231F20"/>
          <w:spacing w:val="-12"/>
          <w:w w:val="115"/>
        </w:rPr>
        <w:t> </w:t>
      </w:r>
      <w:r>
        <w:rPr>
          <w:color w:val="231F20"/>
          <w:w w:val="115"/>
        </w:rPr>
        <w:t>l’équilibre.</w:t>
      </w:r>
      <w:r>
        <w:rPr>
          <w:color w:val="231F20"/>
          <w:spacing w:val="-12"/>
          <w:w w:val="115"/>
        </w:rPr>
        <w:t> </w:t>
      </w:r>
      <w:r>
        <w:rPr>
          <w:color w:val="231F20"/>
          <w:w w:val="115"/>
        </w:rPr>
        <w:t>Pour</w:t>
      </w:r>
      <w:r>
        <w:rPr>
          <w:color w:val="231F20"/>
          <w:spacing w:val="-12"/>
          <w:w w:val="115"/>
        </w:rPr>
        <w:t> </w:t>
      </w:r>
      <w:r>
        <w:rPr>
          <w:color w:val="231F20"/>
          <w:w w:val="115"/>
        </w:rPr>
        <w:t>ce</w:t>
      </w:r>
      <w:r>
        <w:rPr>
          <w:color w:val="231F20"/>
          <w:spacing w:val="-13"/>
          <w:w w:val="115"/>
        </w:rPr>
        <w:t> </w:t>
      </w:r>
      <w:r>
        <w:rPr>
          <w:color w:val="231F20"/>
          <w:w w:val="115"/>
        </w:rPr>
        <w:t>faire,</w:t>
      </w:r>
      <w:r>
        <w:rPr>
          <w:color w:val="231F20"/>
          <w:spacing w:val="-12"/>
          <w:w w:val="115"/>
        </w:rPr>
        <w:t> </w:t>
      </w:r>
      <w:r>
        <w:rPr>
          <w:color w:val="231F20"/>
          <w:w w:val="115"/>
        </w:rPr>
        <w:t>l’hypothalamus </w:t>
      </w:r>
      <w:r>
        <w:rPr>
          <w:color w:val="231F20"/>
          <w:w w:val="120"/>
        </w:rPr>
        <w:t>est</w:t>
      </w:r>
      <w:r>
        <w:rPr>
          <w:color w:val="231F20"/>
          <w:spacing w:val="-13"/>
          <w:w w:val="120"/>
        </w:rPr>
        <w:t> </w:t>
      </w:r>
      <w:r>
        <w:rPr>
          <w:color w:val="231F20"/>
          <w:w w:val="120"/>
        </w:rPr>
        <w:t>l’un</w:t>
      </w:r>
      <w:r>
        <w:rPr>
          <w:color w:val="231F20"/>
          <w:spacing w:val="-13"/>
          <w:w w:val="120"/>
        </w:rPr>
        <w:t> </w:t>
      </w:r>
      <w:r>
        <w:rPr>
          <w:color w:val="231F20"/>
          <w:w w:val="120"/>
        </w:rPr>
        <w:t>des</w:t>
      </w:r>
      <w:r>
        <w:rPr>
          <w:color w:val="231F20"/>
          <w:spacing w:val="-13"/>
          <w:w w:val="120"/>
        </w:rPr>
        <w:t> </w:t>
      </w:r>
      <w:r>
        <w:rPr>
          <w:color w:val="231F20"/>
          <w:w w:val="120"/>
        </w:rPr>
        <w:t>premiers</w:t>
      </w:r>
      <w:r>
        <w:rPr>
          <w:color w:val="231F20"/>
          <w:spacing w:val="-12"/>
          <w:w w:val="120"/>
        </w:rPr>
        <w:t> </w:t>
      </w:r>
      <w:r>
        <w:rPr>
          <w:color w:val="231F20"/>
          <w:w w:val="120"/>
        </w:rPr>
        <w:t>centres</w:t>
      </w:r>
      <w:r>
        <w:rPr>
          <w:color w:val="231F20"/>
          <w:spacing w:val="-13"/>
          <w:w w:val="120"/>
        </w:rPr>
        <w:t> </w:t>
      </w:r>
      <w:r>
        <w:rPr>
          <w:color w:val="231F20"/>
          <w:w w:val="120"/>
        </w:rPr>
        <w:t>nerveux</w:t>
      </w:r>
      <w:r>
        <w:rPr>
          <w:color w:val="231F20"/>
          <w:spacing w:val="-13"/>
          <w:w w:val="120"/>
        </w:rPr>
        <w:t> </w:t>
      </w:r>
      <w:r>
        <w:rPr>
          <w:color w:val="231F20"/>
          <w:w w:val="120"/>
        </w:rPr>
        <w:t>à</w:t>
      </w:r>
      <w:r>
        <w:rPr>
          <w:color w:val="231F20"/>
          <w:spacing w:val="-13"/>
          <w:w w:val="120"/>
        </w:rPr>
        <w:t> </w:t>
      </w:r>
      <w:r>
        <w:rPr>
          <w:color w:val="231F20"/>
          <w:w w:val="120"/>
        </w:rPr>
        <w:t>recevoir</w:t>
      </w:r>
      <w:r>
        <w:rPr>
          <w:color w:val="231F20"/>
          <w:spacing w:val="-12"/>
          <w:w w:val="120"/>
        </w:rPr>
        <w:t> </w:t>
      </w:r>
      <w:r>
        <w:rPr>
          <w:color w:val="231F20"/>
          <w:w w:val="120"/>
        </w:rPr>
        <w:t>l’information</w:t>
      </w:r>
      <w:r>
        <w:rPr>
          <w:color w:val="231F20"/>
          <w:spacing w:val="-13"/>
          <w:w w:val="120"/>
        </w:rPr>
        <w:t> </w:t>
      </w:r>
      <w:r>
        <w:rPr>
          <w:color w:val="231F20"/>
          <w:w w:val="120"/>
        </w:rPr>
        <w:t>en</w:t>
      </w:r>
      <w:r>
        <w:rPr>
          <w:color w:val="231F20"/>
          <w:spacing w:val="-13"/>
          <w:w w:val="120"/>
        </w:rPr>
        <w:t> </w:t>
      </w:r>
      <w:r>
        <w:rPr>
          <w:color w:val="231F20"/>
          <w:w w:val="120"/>
        </w:rPr>
        <w:t>prove- </w:t>
      </w:r>
      <w:r>
        <w:rPr>
          <w:color w:val="231F20"/>
          <w:spacing w:val="-2"/>
          <w:w w:val="120"/>
        </w:rPr>
        <w:t>nance</w:t>
      </w:r>
      <w:r>
        <w:rPr>
          <w:color w:val="231F20"/>
          <w:spacing w:val="-7"/>
          <w:w w:val="120"/>
        </w:rPr>
        <w:t> </w:t>
      </w:r>
      <w:r>
        <w:rPr>
          <w:color w:val="231F20"/>
          <w:spacing w:val="-2"/>
          <w:w w:val="120"/>
        </w:rPr>
        <w:t>des</w:t>
      </w:r>
      <w:r>
        <w:rPr>
          <w:color w:val="231F20"/>
          <w:spacing w:val="-7"/>
          <w:w w:val="120"/>
        </w:rPr>
        <w:t> </w:t>
      </w:r>
      <w:r>
        <w:rPr>
          <w:color w:val="231F20"/>
          <w:spacing w:val="-2"/>
          <w:w w:val="120"/>
        </w:rPr>
        <w:t>sens</w:t>
      </w:r>
      <w:r>
        <w:rPr>
          <w:color w:val="231F20"/>
          <w:spacing w:val="-7"/>
          <w:w w:val="120"/>
        </w:rPr>
        <w:t> </w:t>
      </w:r>
      <w:r>
        <w:rPr>
          <w:color w:val="231F20"/>
          <w:spacing w:val="-2"/>
          <w:w w:val="120"/>
        </w:rPr>
        <w:t>(vue,</w:t>
      </w:r>
      <w:r>
        <w:rPr>
          <w:color w:val="231F20"/>
          <w:spacing w:val="-7"/>
          <w:w w:val="120"/>
        </w:rPr>
        <w:t> </w:t>
      </w:r>
      <w:r>
        <w:rPr>
          <w:color w:val="231F20"/>
          <w:spacing w:val="-2"/>
          <w:w w:val="120"/>
        </w:rPr>
        <w:t>odorat,</w:t>
      </w:r>
      <w:r>
        <w:rPr>
          <w:color w:val="231F20"/>
          <w:spacing w:val="-7"/>
          <w:w w:val="120"/>
        </w:rPr>
        <w:t> </w:t>
      </w:r>
      <w:r>
        <w:rPr>
          <w:color w:val="231F20"/>
          <w:spacing w:val="-2"/>
          <w:w w:val="120"/>
        </w:rPr>
        <w:t>toucher,</w:t>
      </w:r>
      <w:r>
        <w:rPr>
          <w:color w:val="231F20"/>
          <w:spacing w:val="-7"/>
          <w:w w:val="120"/>
        </w:rPr>
        <w:t> </w:t>
      </w:r>
      <w:r>
        <w:rPr>
          <w:color w:val="231F20"/>
          <w:spacing w:val="-2"/>
          <w:w w:val="120"/>
        </w:rPr>
        <w:t>ouïe</w:t>
      </w:r>
      <w:r>
        <w:rPr>
          <w:color w:val="231F20"/>
          <w:spacing w:val="-7"/>
          <w:w w:val="120"/>
        </w:rPr>
        <w:t> </w:t>
      </w:r>
      <w:r>
        <w:rPr>
          <w:color w:val="231F20"/>
          <w:spacing w:val="-2"/>
          <w:w w:val="120"/>
        </w:rPr>
        <w:t>et</w:t>
      </w:r>
      <w:r>
        <w:rPr>
          <w:color w:val="231F20"/>
          <w:spacing w:val="-7"/>
          <w:w w:val="120"/>
        </w:rPr>
        <w:t> </w:t>
      </w:r>
      <w:r>
        <w:rPr>
          <w:color w:val="231F20"/>
          <w:spacing w:val="-2"/>
          <w:w w:val="120"/>
        </w:rPr>
        <w:t>goût)</w:t>
      </w:r>
      <w:r>
        <w:rPr>
          <w:color w:val="231F20"/>
          <w:spacing w:val="-7"/>
          <w:w w:val="120"/>
        </w:rPr>
        <w:t> </w:t>
      </w:r>
      <w:r>
        <w:rPr>
          <w:color w:val="231F20"/>
          <w:spacing w:val="-2"/>
          <w:w w:val="120"/>
        </w:rPr>
        <w:t>et</w:t>
      </w:r>
      <w:r>
        <w:rPr>
          <w:color w:val="231F20"/>
          <w:spacing w:val="-7"/>
          <w:w w:val="120"/>
        </w:rPr>
        <w:t> </w:t>
      </w:r>
      <w:r>
        <w:rPr>
          <w:color w:val="231F20"/>
          <w:spacing w:val="-2"/>
          <w:w w:val="120"/>
        </w:rPr>
        <w:t>est</w:t>
      </w:r>
      <w:r>
        <w:rPr>
          <w:color w:val="231F20"/>
          <w:spacing w:val="-7"/>
          <w:w w:val="120"/>
        </w:rPr>
        <w:t> </w:t>
      </w:r>
      <w:r>
        <w:rPr>
          <w:color w:val="231F20"/>
          <w:spacing w:val="-2"/>
          <w:w w:val="120"/>
        </w:rPr>
        <w:t>ainsi</w:t>
      </w:r>
      <w:r>
        <w:rPr>
          <w:color w:val="231F20"/>
          <w:spacing w:val="-7"/>
          <w:w w:val="120"/>
        </w:rPr>
        <w:t> </w:t>
      </w:r>
      <w:r>
        <w:rPr>
          <w:color w:val="231F20"/>
          <w:spacing w:val="-2"/>
          <w:w w:val="120"/>
        </w:rPr>
        <w:t>à</w:t>
      </w:r>
      <w:r>
        <w:rPr>
          <w:color w:val="231F20"/>
          <w:spacing w:val="-7"/>
          <w:w w:val="120"/>
        </w:rPr>
        <w:t> </w:t>
      </w:r>
      <w:r>
        <w:rPr>
          <w:color w:val="231F20"/>
          <w:spacing w:val="-2"/>
          <w:w w:val="120"/>
        </w:rPr>
        <w:t>même</w:t>
      </w:r>
      <w:r>
        <w:rPr>
          <w:color w:val="231F20"/>
          <w:spacing w:val="-7"/>
          <w:w w:val="120"/>
        </w:rPr>
        <w:t> </w:t>
      </w:r>
      <w:r>
        <w:rPr>
          <w:color w:val="231F20"/>
          <w:spacing w:val="-2"/>
          <w:w w:val="120"/>
        </w:rPr>
        <w:t>de </w:t>
      </w:r>
      <w:r>
        <w:rPr>
          <w:color w:val="231F20"/>
          <w:w w:val="120"/>
        </w:rPr>
        <w:t>détecter très rapidement toutes modifications environnementales sus- </w:t>
      </w:r>
      <w:r>
        <w:rPr>
          <w:color w:val="231F20"/>
          <w:spacing w:val="-2"/>
          <w:w w:val="120"/>
        </w:rPr>
        <w:t>ceptibles</w:t>
      </w:r>
      <w:r>
        <w:rPr>
          <w:color w:val="231F20"/>
          <w:spacing w:val="-7"/>
          <w:w w:val="120"/>
        </w:rPr>
        <w:t> </w:t>
      </w:r>
      <w:r>
        <w:rPr>
          <w:color w:val="231F20"/>
          <w:spacing w:val="-2"/>
          <w:w w:val="120"/>
        </w:rPr>
        <w:t>de</w:t>
      </w:r>
      <w:r>
        <w:rPr>
          <w:color w:val="231F20"/>
          <w:spacing w:val="-7"/>
          <w:w w:val="120"/>
        </w:rPr>
        <w:t> </w:t>
      </w:r>
      <w:r>
        <w:rPr>
          <w:color w:val="231F20"/>
          <w:spacing w:val="-2"/>
          <w:w w:val="120"/>
        </w:rPr>
        <w:t>mettre</w:t>
      </w:r>
      <w:r>
        <w:rPr>
          <w:color w:val="231F20"/>
          <w:spacing w:val="-7"/>
          <w:w w:val="120"/>
        </w:rPr>
        <w:t> </w:t>
      </w:r>
      <w:r>
        <w:rPr>
          <w:color w:val="231F20"/>
          <w:spacing w:val="-2"/>
          <w:w w:val="120"/>
        </w:rPr>
        <w:t>à</w:t>
      </w:r>
      <w:r>
        <w:rPr>
          <w:color w:val="231F20"/>
          <w:spacing w:val="-7"/>
          <w:w w:val="120"/>
        </w:rPr>
        <w:t> </w:t>
      </w:r>
      <w:r>
        <w:rPr>
          <w:color w:val="231F20"/>
          <w:spacing w:val="-2"/>
          <w:w w:val="120"/>
        </w:rPr>
        <w:t>risque</w:t>
      </w:r>
      <w:r>
        <w:rPr>
          <w:color w:val="231F20"/>
          <w:spacing w:val="-7"/>
          <w:w w:val="120"/>
        </w:rPr>
        <w:t> </w:t>
      </w:r>
      <w:r>
        <w:rPr>
          <w:color w:val="231F20"/>
          <w:spacing w:val="-2"/>
          <w:w w:val="120"/>
        </w:rPr>
        <w:t>la</w:t>
      </w:r>
      <w:r>
        <w:rPr>
          <w:color w:val="231F20"/>
          <w:spacing w:val="-7"/>
          <w:w w:val="120"/>
        </w:rPr>
        <w:t> </w:t>
      </w:r>
      <w:r>
        <w:rPr>
          <w:color w:val="231F20"/>
          <w:spacing w:val="-2"/>
          <w:w w:val="120"/>
        </w:rPr>
        <w:t>capacité</w:t>
      </w:r>
      <w:r>
        <w:rPr>
          <w:color w:val="231F20"/>
          <w:spacing w:val="-7"/>
          <w:w w:val="120"/>
        </w:rPr>
        <w:t> </w:t>
      </w:r>
      <w:r>
        <w:rPr>
          <w:color w:val="231F20"/>
          <w:spacing w:val="-2"/>
          <w:w w:val="120"/>
        </w:rPr>
        <w:t>de</w:t>
      </w:r>
      <w:r>
        <w:rPr>
          <w:color w:val="231F20"/>
          <w:spacing w:val="-7"/>
          <w:w w:val="120"/>
        </w:rPr>
        <w:t> </w:t>
      </w:r>
      <w:r>
        <w:rPr>
          <w:color w:val="231F20"/>
          <w:spacing w:val="-2"/>
          <w:w w:val="120"/>
        </w:rPr>
        <w:t>maintenir</w:t>
      </w:r>
      <w:r>
        <w:rPr>
          <w:color w:val="231F20"/>
          <w:spacing w:val="-7"/>
          <w:w w:val="120"/>
        </w:rPr>
        <w:t> </w:t>
      </w:r>
      <w:r>
        <w:rPr>
          <w:color w:val="231F20"/>
          <w:spacing w:val="-2"/>
          <w:w w:val="120"/>
        </w:rPr>
        <w:t>l’équilibre</w:t>
      </w:r>
      <w:r>
        <w:rPr>
          <w:color w:val="231F20"/>
          <w:spacing w:val="-7"/>
          <w:w w:val="120"/>
        </w:rPr>
        <w:t> </w:t>
      </w:r>
      <w:r>
        <w:rPr>
          <w:color w:val="231F20"/>
          <w:spacing w:val="-2"/>
          <w:w w:val="120"/>
        </w:rPr>
        <w:t>physique </w:t>
      </w:r>
      <w:r>
        <w:rPr>
          <w:color w:val="231F20"/>
          <w:w w:val="120"/>
        </w:rPr>
        <w:t>ou</w:t>
      </w:r>
      <w:r>
        <w:rPr>
          <w:color w:val="231F20"/>
          <w:spacing w:val="-13"/>
          <w:w w:val="120"/>
        </w:rPr>
        <w:t> </w:t>
      </w:r>
      <w:r>
        <w:rPr>
          <w:color w:val="231F20"/>
          <w:w w:val="120"/>
        </w:rPr>
        <w:t>psychologique.</w:t>
      </w:r>
    </w:p>
    <w:p>
      <w:pPr>
        <w:pStyle w:val="BodyText"/>
        <w:spacing w:line="307" w:lineRule="auto" w:before="77"/>
        <w:ind w:left="790" w:right="631" w:firstLine="250"/>
        <w:jc w:val="both"/>
      </w:pPr>
      <w:r>
        <w:rPr>
          <w:color w:val="231F20"/>
          <w:w w:val="120"/>
        </w:rPr>
        <w:t>Dès</w:t>
      </w:r>
      <w:r>
        <w:rPr>
          <w:color w:val="231F20"/>
          <w:spacing w:val="-9"/>
          <w:w w:val="120"/>
        </w:rPr>
        <w:t> </w:t>
      </w:r>
      <w:r>
        <w:rPr>
          <w:color w:val="231F20"/>
          <w:w w:val="120"/>
        </w:rPr>
        <w:t>que</w:t>
      </w:r>
      <w:r>
        <w:rPr>
          <w:color w:val="231F20"/>
          <w:spacing w:val="-9"/>
          <w:w w:val="120"/>
        </w:rPr>
        <w:t> </w:t>
      </w:r>
      <w:r>
        <w:rPr>
          <w:color w:val="231F20"/>
          <w:w w:val="120"/>
        </w:rPr>
        <w:t>l’hypothalamus</w:t>
      </w:r>
      <w:r>
        <w:rPr>
          <w:color w:val="231F20"/>
          <w:spacing w:val="-9"/>
          <w:w w:val="120"/>
        </w:rPr>
        <w:t> </w:t>
      </w:r>
      <w:r>
        <w:rPr>
          <w:color w:val="231F20"/>
          <w:w w:val="120"/>
        </w:rPr>
        <w:t>détecte</w:t>
      </w:r>
      <w:r>
        <w:rPr>
          <w:color w:val="231F20"/>
          <w:spacing w:val="-9"/>
          <w:w w:val="120"/>
        </w:rPr>
        <w:t> </w:t>
      </w:r>
      <w:r>
        <w:rPr>
          <w:color w:val="231F20"/>
          <w:w w:val="120"/>
        </w:rPr>
        <w:t>une</w:t>
      </w:r>
      <w:r>
        <w:rPr>
          <w:color w:val="231F20"/>
          <w:spacing w:val="-9"/>
          <w:w w:val="120"/>
        </w:rPr>
        <w:t> </w:t>
      </w:r>
      <w:r>
        <w:rPr>
          <w:color w:val="231F20"/>
          <w:w w:val="120"/>
        </w:rPr>
        <w:t>situation</w:t>
      </w:r>
      <w:r>
        <w:rPr>
          <w:color w:val="231F20"/>
          <w:spacing w:val="-9"/>
          <w:w w:val="120"/>
        </w:rPr>
        <w:t> </w:t>
      </w:r>
      <w:r>
        <w:rPr>
          <w:color w:val="231F20"/>
          <w:w w:val="120"/>
        </w:rPr>
        <w:t>suspecte,</w:t>
      </w:r>
      <w:r>
        <w:rPr>
          <w:color w:val="231F20"/>
          <w:spacing w:val="-9"/>
          <w:w w:val="120"/>
        </w:rPr>
        <w:t> </w:t>
      </w:r>
      <w:r>
        <w:rPr>
          <w:color w:val="231F20"/>
          <w:w w:val="120"/>
        </w:rPr>
        <w:t>il</w:t>
      </w:r>
      <w:r>
        <w:rPr>
          <w:color w:val="231F20"/>
          <w:spacing w:val="-9"/>
          <w:w w:val="120"/>
        </w:rPr>
        <w:t> </w:t>
      </w:r>
      <w:r>
        <w:rPr>
          <w:color w:val="231F20"/>
          <w:w w:val="120"/>
        </w:rPr>
        <w:t>enclenche en l’espace de quelques millisecondes le mécanisme d’adaptation que représente le stress. Pour ce faire, il utilise principalement deux voies, parallèlement</w:t>
      </w:r>
      <w:r>
        <w:rPr>
          <w:color w:val="231F20"/>
          <w:spacing w:val="-13"/>
          <w:w w:val="120"/>
        </w:rPr>
        <w:t> </w:t>
      </w:r>
      <w:r>
        <w:rPr>
          <w:color w:val="231F20"/>
          <w:w w:val="120"/>
        </w:rPr>
        <w:t>et</w:t>
      </w:r>
      <w:r>
        <w:rPr>
          <w:color w:val="231F20"/>
          <w:spacing w:val="-13"/>
          <w:w w:val="120"/>
        </w:rPr>
        <w:t> </w:t>
      </w:r>
      <w:r>
        <w:rPr>
          <w:color w:val="231F20"/>
          <w:w w:val="120"/>
        </w:rPr>
        <w:t>simultanément</w:t>
      </w:r>
      <w:r>
        <w:rPr>
          <w:color w:val="231F20"/>
          <w:spacing w:val="-13"/>
          <w:w w:val="120"/>
        </w:rPr>
        <w:t> </w:t>
      </w:r>
      <w:r>
        <w:rPr>
          <w:color w:val="231F20"/>
          <w:w w:val="120"/>
        </w:rPr>
        <w:t>(figure</w:t>
      </w:r>
      <w:r>
        <w:rPr>
          <w:color w:val="231F20"/>
          <w:spacing w:val="-12"/>
          <w:w w:val="120"/>
        </w:rPr>
        <w:t> </w:t>
      </w:r>
      <w:r>
        <w:rPr>
          <w:color w:val="231F20"/>
          <w:w w:val="120"/>
        </w:rPr>
        <w:t>2.2).</w:t>
      </w:r>
      <w:r>
        <w:rPr>
          <w:color w:val="231F20"/>
          <w:spacing w:val="-13"/>
          <w:w w:val="120"/>
        </w:rPr>
        <w:t> </w:t>
      </w:r>
      <w:r>
        <w:rPr>
          <w:color w:val="231F20"/>
          <w:w w:val="120"/>
        </w:rPr>
        <w:t>Ainsi,</w:t>
      </w:r>
      <w:r>
        <w:rPr>
          <w:color w:val="231F20"/>
          <w:spacing w:val="-13"/>
          <w:w w:val="120"/>
        </w:rPr>
        <w:t> </w:t>
      </w:r>
      <w:r>
        <w:rPr>
          <w:color w:val="231F20"/>
          <w:w w:val="120"/>
        </w:rPr>
        <w:t>par</w:t>
      </w:r>
      <w:r>
        <w:rPr>
          <w:color w:val="231F20"/>
          <w:spacing w:val="-13"/>
          <w:w w:val="120"/>
        </w:rPr>
        <w:t> </w:t>
      </w:r>
      <w:r>
        <w:rPr>
          <w:color w:val="231F20"/>
          <w:w w:val="120"/>
        </w:rPr>
        <w:t>la</w:t>
      </w:r>
      <w:r>
        <w:rPr>
          <w:color w:val="231F20"/>
          <w:spacing w:val="-12"/>
          <w:w w:val="120"/>
        </w:rPr>
        <w:t> </w:t>
      </w:r>
      <w:r>
        <w:rPr>
          <w:color w:val="231F20"/>
          <w:w w:val="120"/>
        </w:rPr>
        <w:t>voie</w:t>
      </w:r>
      <w:r>
        <w:rPr>
          <w:color w:val="231F20"/>
          <w:spacing w:val="-13"/>
          <w:w w:val="120"/>
        </w:rPr>
        <w:t> </w:t>
      </w:r>
      <w:r>
        <w:rPr>
          <w:color w:val="231F20"/>
          <w:w w:val="120"/>
        </w:rPr>
        <w:t>directe,</w:t>
      </w:r>
      <w:r>
        <w:rPr>
          <w:color w:val="231F20"/>
          <w:spacing w:val="-13"/>
          <w:w w:val="120"/>
        </w:rPr>
        <w:t> </w:t>
      </w:r>
      <w:r>
        <w:rPr>
          <w:color w:val="231F20"/>
          <w:w w:val="120"/>
        </w:rPr>
        <w:t>il </w:t>
      </w:r>
      <w:r>
        <w:rPr>
          <w:color w:val="231F20"/>
          <w:w w:val="115"/>
        </w:rPr>
        <w:t>informe</w:t>
      </w:r>
      <w:r>
        <w:rPr>
          <w:color w:val="231F20"/>
          <w:spacing w:val="-5"/>
          <w:w w:val="115"/>
        </w:rPr>
        <w:t> </w:t>
      </w:r>
      <w:r>
        <w:rPr>
          <w:color w:val="231F20"/>
          <w:w w:val="115"/>
        </w:rPr>
        <w:t>les</w:t>
      </w:r>
      <w:r>
        <w:rPr>
          <w:color w:val="231F20"/>
          <w:spacing w:val="-5"/>
          <w:w w:val="115"/>
        </w:rPr>
        <w:t> </w:t>
      </w:r>
      <w:r>
        <w:rPr>
          <w:color w:val="231F20"/>
          <w:w w:val="115"/>
        </w:rPr>
        <w:t>glandes</w:t>
      </w:r>
      <w:r>
        <w:rPr>
          <w:color w:val="231F20"/>
          <w:spacing w:val="-5"/>
          <w:w w:val="115"/>
        </w:rPr>
        <w:t> </w:t>
      </w:r>
      <w:r>
        <w:rPr>
          <w:color w:val="231F20"/>
          <w:w w:val="115"/>
        </w:rPr>
        <w:t>surrénales</w:t>
      </w:r>
      <w:r>
        <w:rPr>
          <w:color w:val="231F20"/>
          <w:spacing w:val="-5"/>
          <w:w w:val="115"/>
        </w:rPr>
        <w:t> </w:t>
      </w:r>
      <w:r>
        <w:rPr>
          <w:color w:val="231F20"/>
          <w:w w:val="115"/>
        </w:rPr>
        <w:t>(qui</w:t>
      </w:r>
      <w:r>
        <w:rPr>
          <w:color w:val="231F20"/>
          <w:spacing w:val="-5"/>
          <w:w w:val="115"/>
        </w:rPr>
        <w:t> </w:t>
      </w:r>
      <w:r>
        <w:rPr>
          <w:color w:val="231F20"/>
          <w:w w:val="115"/>
        </w:rPr>
        <w:t>s’appellent</w:t>
      </w:r>
      <w:r>
        <w:rPr>
          <w:color w:val="231F20"/>
          <w:spacing w:val="-5"/>
          <w:w w:val="115"/>
        </w:rPr>
        <w:t> </w:t>
      </w:r>
      <w:r>
        <w:rPr>
          <w:color w:val="231F20"/>
          <w:w w:val="115"/>
        </w:rPr>
        <w:t>ainsi,</w:t>
      </w:r>
      <w:r>
        <w:rPr>
          <w:color w:val="231F20"/>
          <w:spacing w:val="-5"/>
          <w:w w:val="115"/>
        </w:rPr>
        <w:t> </w:t>
      </w:r>
      <w:r>
        <w:rPr>
          <w:color w:val="231F20"/>
          <w:w w:val="115"/>
        </w:rPr>
        <w:t>car</w:t>
      </w:r>
      <w:r>
        <w:rPr>
          <w:color w:val="231F20"/>
          <w:spacing w:val="-5"/>
          <w:w w:val="115"/>
        </w:rPr>
        <w:t> </w:t>
      </w:r>
      <w:r>
        <w:rPr>
          <w:color w:val="231F20"/>
          <w:w w:val="115"/>
        </w:rPr>
        <w:t>elles</w:t>
      </w:r>
      <w:r>
        <w:rPr>
          <w:color w:val="231F20"/>
          <w:spacing w:val="-5"/>
          <w:w w:val="115"/>
        </w:rPr>
        <w:t> </w:t>
      </w:r>
      <w:r>
        <w:rPr>
          <w:color w:val="231F20"/>
          <w:w w:val="115"/>
        </w:rPr>
        <w:t>sont</w:t>
      </w:r>
      <w:r>
        <w:rPr>
          <w:color w:val="231F20"/>
          <w:spacing w:val="-5"/>
          <w:w w:val="115"/>
        </w:rPr>
        <w:t> </w:t>
      </w:r>
      <w:r>
        <w:rPr>
          <w:color w:val="231F20"/>
          <w:w w:val="115"/>
        </w:rPr>
        <w:t>situées </w:t>
      </w:r>
      <w:r>
        <w:rPr>
          <w:color w:val="231F20"/>
          <w:w w:val="120"/>
        </w:rPr>
        <w:t>au-dessus</w:t>
      </w:r>
      <w:r>
        <w:rPr>
          <w:color w:val="231F20"/>
          <w:spacing w:val="-7"/>
          <w:w w:val="120"/>
        </w:rPr>
        <w:t> </w:t>
      </w:r>
      <w:r>
        <w:rPr>
          <w:color w:val="231F20"/>
          <w:w w:val="120"/>
        </w:rPr>
        <w:t>des</w:t>
      </w:r>
      <w:r>
        <w:rPr>
          <w:color w:val="231F20"/>
          <w:spacing w:val="-7"/>
          <w:w w:val="120"/>
        </w:rPr>
        <w:t> </w:t>
      </w:r>
      <w:r>
        <w:rPr>
          <w:color w:val="231F20"/>
          <w:w w:val="120"/>
        </w:rPr>
        <w:t>reins)</w:t>
      </w:r>
      <w:r>
        <w:rPr>
          <w:color w:val="231F20"/>
          <w:spacing w:val="-7"/>
          <w:w w:val="120"/>
        </w:rPr>
        <w:t> </w:t>
      </w:r>
      <w:r>
        <w:rPr>
          <w:color w:val="231F20"/>
          <w:w w:val="120"/>
        </w:rPr>
        <w:t>en</w:t>
      </w:r>
      <w:r>
        <w:rPr>
          <w:color w:val="231F20"/>
          <w:spacing w:val="-7"/>
          <w:w w:val="120"/>
        </w:rPr>
        <w:t> </w:t>
      </w:r>
      <w:r>
        <w:rPr>
          <w:color w:val="231F20"/>
          <w:w w:val="120"/>
        </w:rPr>
        <w:t>passant</w:t>
      </w:r>
      <w:r>
        <w:rPr>
          <w:color w:val="231F20"/>
          <w:spacing w:val="-7"/>
          <w:w w:val="120"/>
        </w:rPr>
        <w:t> </w:t>
      </w:r>
      <w:r>
        <w:rPr>
          <w:color w:val="231F20"/>
          <w:w w:val="120"/>
        </w:rPr>
        <w:t>directement</w:t>
      </w:r>
      <w:r>
        <w:rPr>
          <w:color w:val="231F20"/>
          <w:spacing w:val="-7"/>
          <w:w w:val="120"/>
        </w:rPr>
        <w:t> </w:t>
      </w:r>
      <w:r>
        <w:rPr>
          <w:color w:val="231F20"/>
          <w:w w:val="120"/>
        </w:rPr>
        <w:t>par</w:t>
      </w:r>
      <w:r>
        <w:rPr>
          <w:color w:val="231F20"/>
          <w:spacing w:val="-7"/>
          <w:w w:val="120"/>
        </w:rPr>
        <w:t> </w:t>
      </w:r>
      <w:r>
        <w:rPr>
          <w:color w:val="231F20"/>
          <w:w w:val="120"/>
        </w:rPr>
        <w:t>la</w:t>
      </w:r>
      <w:r>
        <w:rPr>
          <w:color w:val="231F20"/>
          <w:spacing w:val="-7"/>
          <w:w w:val="120"/>
        </w:rPr>
        <w:t> </w:t>
      </w:r>
      <w:r>
        <w:rPr>
          <w:color w:val="231F20"/>
          <w:w w:val="120"/>
        </w:rPr>
        <w:t>moelle</w:t>
      </w:r>
      <w:r>
        <w:rPr>
          <w:color w:val="231F20"/>
          <w:spacing w:val="-7"/>
          <w:w w:val="120"/>
        </w:rPr>
        <w:t> </w:t>
      </w:r>
      <w:r>
        <w:rPr>
          <w:color w:val="231F20"/>
          <w:w w:val="120"/>
        </w:rPr>
        <w:t>épinière.</w:t>
      </w:r>
      <w:r>
        <w:rPr>
          <w:color w:val="231F20"/>
          <w:spacing w:val="-7"/>
          <w:w w:val="120"/>
        </w:rPr>
        <w:t> </w:t>
      </w:r>
      <w:r>
        <w:rPr>
          <w:color w:val="231F20"/>
          <w:w w:val="120"/>
        </w:rPr>
        <w:t>Dès lors, la partie centrale des glandes surrénales (la médullosurrénale) sécrète une des hormones d’adaptation la mieux connue, soit l’adré- naline. L’adrénaline est l’hormone du stress dont on ressent les effets le</w:t>
      </w:r>
      <w:r>
        <w:rPr>
          <w:color w:val="231F20"/>
          <w:spacing w:val="11"/>
          <w:w w:val="120"/>
        </w:rPr>
        <w:t> </w:t>
      </w:r>
      <w:r>
        <w:rPr>
          <w:color w:val="231F20"/>
          <w:w w:val="120"/>
        </w:rPr>
        <w:t>plus</w:t>
      </w:r>
      <w:r>
        <w:rPr>
          <w:color w:val="231F20"/>
          <w:spacing w:val="12"/>
          <w:w w:val="120"/>
        </w:rPr>
        <w:t> </w:t>
      </w:r>
      <w:r>
        <w:rPr>
          <w:color w:val="231F20"/>
          <w:w w:val="120"/>
        </w:rPr>
        <w:t>rapidement.</w:t>
      </w:r>
      <w:r>
        <w:rPr>
          <w:color w:val="231F20"/>
          <w:spacing w:val="12"/>
          <w:w w:val="120"/>
        </w:rPr>
        <w:t> </w:t>
      </w:r>
      <w:r>
        <w:rPr>
          <w:color w:val="231F20"/>
          <w:w w:val="120"/>
        </w:rPr>
        <w:t>Cette</w:t>
      </w:r>
      <w:r>
        <w:rPr>
          <w:color w:val="231F20"/>
          <w:spacing w:val="11"/>
          <w:w w:val="120"/>
        </w:rPr>
        <w:t> </w:t>
      </w:r>
      <w:r>
        <w:rPr>
          <w:color w:val="231F20"/>
          <w:w w:val="120"/>
        </w:rPr>
        <w:t>hormone</w:t>
      </w:r>
      <w:r>
        <w:rPr>
          <w:color w:val="231F20"/>
          <w:spacing w:val="12"/>
          <w:w w:val="120"/>
        </w:rPr>
        <w:t> </w:t>
      </w:r>
      <w:r>
        <w:rPr>
          <w:color w:val="231F20"/>
          <w:w w:val="120"/>
        </w:rPr>
        <w:t>du</w:t>
      </w:r>
      <w:r>
        <w:rPr>
          <w:color w:val="231F20"/>
          <w:spacing w:val="12"/>
          <w:w w:val="120"/>
        </w:rPr>
        <w:t> </w:t>
      </w:r>
      <w:r>
        <w:rPr>
          <w:color w:val="231F20"/>
          <w:w w:val="120"/>
        </w:rPr>
        <w:t>groupe</w:t>
      </w:r>
      <w:r>
        <w:rPr>
          <w:color w:val="231F20"/>
          <w:spacing w:val="12"/>
          <w:w w:val="120"/>
        </w:rPr>
        <w:t> </w:t>
      </w:r>
      <w:r>
        <w:rPr>
          <w:color w:val="231F20"/>
          <w:w w:val="120"/>
        </w:rPr>
        <w:t>des</w:t>
      </w:r>
      <w:r>
        <w:rPr>
          <w:color w:val="231F20"/>
          <w:spacing w:val="11"/>
          <w:w w:val="120"/>
        </w:rPr>
        <w:t> </w:t>
      </w:r>
      <w:r>
        <w:rPr>
          <w:color w:val="231F20"/>
          <w:w w:val="120"/>
        </w:rPr>
        <w:t>catécholamines</w:t>
      </w:r>
      <w:r>
        <w:rPr>
          <w:color w:val="231F20"/>
          <w:spacing w:val="12"/>
          <w:w w:val="120"/>
        </w:rPr>
        <w:t> </w:t>
      </w:r>
      <w:r>
        <w:rPr>
          <w:color w:val="231F20"/>
          <w:spacing w:val="-5"/>
          <w:w w:val="120"/>
        </w:rPr>
        <w:t>est</w:t>
      </w:r>
    </w:p>
    <w:p>
      <w:pPr>
        <w:spacing w:after="0" w:line="307" w:lineRule="auto"/>
        <w:jc w:val="both"/>
        <w:sectPr>
          <w:footerReference w:type="default" r:id="rId75"/>
          <w:pgSz w:w="8640" w:h="12960"/>
          <w:pgMar w:footer="424" w:header="0" w:top="520" w:bottom="620" w:left="460" w:right="1000"/>
        </w:sectPr>
      </w:pPr>
    </w:p>
    <w:p>
      <w:pPr>
        <w:spacing w:before="118"/>
        <w:ind w:left="2356" w:right="0" w:firstLine="0"/>
        <w:jc w:val="left"/>
        <w:rPr>
          <w:rFonts w:ascii="Arial" w:hAnsi="Arial"/>
          <w:sz w:val="14"/>
        </w:rPr>
      </w:pPr>
      <w:bookmarkStart w:name="Figure 2.2 / Dynamique biologique du str" w:id="44"/>
      <w:bookmarkEnd w:id="44"/>
      <w:r>
        <w:rPr/>
      </w:r>
      <w:bookmarkStart w:name="_bookmark18" w:id="45"/>
      <w:bookmarkEnd w:id="45"/>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180" w:right="244"/>
        <w:jc w:val="both"/>
      </w:pPr>
      <w:r>
        <w:rPr>
          <w:color w:val="231F20"/>
          <w:w w:val="120"/>
        </w:rPr>
        <w:t>responsable, entre autres, de l’augmentation du rythme cardiaque, de l’accélération</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respiration,</w:t>
      </w:r>
      <w:r>
        <w:rPr>
          <w:color w:val="231F20"/>
          <w:spacing w:val="-7"/>
          <w:w w:val="120"/>
        </w:rPr>
        <w:t> </w:t>
      </w:r>
      <w:r>
        <w:rPr>
          <w:color w:val="231F20"/>
          <w:w w:val="120"/>
        </w:rPr>
        <w:t>de</w:t>
      </w:r>
      <w:r>
        <w:rPr>
          <w:color w:val="231F20"/>
          <w:spacing w:val="-7"/>
          <w:w w:val="120"/>
        </w:rPr>
        <w:t> </w:t>
      </w:r>
      <w:r>
        <w:rPr>
          <w:color w:val="231F20"/>
          <w:w w:val="120"/>
        </w:rPr>
        <w:t>l’augmentation</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transpiration</w:t>
      </w:r>
      <w:r>
        <w:rPr>
          <w:color w:val="231F20"/>
          <w:spacing w:val="-7"/>
          <w:w w:val="120"/>
        </w:rPr>
        <w:t> </w:t>
      </w:r>
      <w:r>
        <w:rPr>
          <w:color w:val="231F20"/>
          <w:w w:val="120"/>
        </w:rPr>
        <w:t>et du ralentissement de la fonction digestive.</w:t>
      </w:r>
    </w:p>
    <w:p>
      <w:pPr>
        <w:pStyle w:val="BodyText"/>
        <w:spacing w:before="7"/>
        <w:rPr>
          <w:sz w:val="11"/>
        </w:rPr>
      </w:pPr>
      <w:r>
        <w:rPr/>
        <w:pict>
          <v:group style="position:absolute;margin-left:82pt;margin-top:7.920703pt;width:287.5pt;height:296.5pt;mso-position-horizontal-relative:page;mso-position-vertical-relative:paragraph;z-index:-15700992;mso-wrap-distance-left:0;mso-wrap-distance-right:0" id="docshapegroup163" coordorigin="1640,158" coordsize="5750,5930">
            <v:shape style="position:absolute;left:1640;top:158;width:5750;height:5930" id="docshape164" coordorigin="1640,158" coordsize="5750,5930" path="m7390,158l1640,158,1640,703,1640,863,1640,5078,1640,5188,1640,6088,7390,6088,7390,5188,7390,5078,7390,863,7390,703,7390,158xe" filled="true" fillcolor="#e2e3e4" stroked="false">
              <v:path arrowok="t"/>
              <v:fill type="solid"/>
            </v:shape>
            <v:line style="position:absolute" from="1890,5076" to="7140,5076" stroked="true" strokeweight=".25pt" strokecolor="#231f20">
              <v:stroke dashstyle="shortdot"/>
            </v:line>
            <v:shape style="position:absolute;left:1890;top:777;width:5250;height:4131" type="#_x0000_t75" id="docshape165" stroked="false">
              <v:imagedata r:id="rId77" o:title=""/>
            </v:shape>
            <v:shape style="position:absolute;left:2646;top:1462;width:319;height:862" id="docshape166" coordorigin="2647,1462" coordsize="319,862" path="m2744,2314l2710,2251,2647,2324,2744,2314xm2966,1544l2963,1462,2904,1493,2966,1544xe" filled="true" fillcolor="#231f20" stroked="false">
              <v:path arrowok="t"/>
              <v:fill type="solid"/>
            </v:shape>
            <v:shape style="position:absolute;left:2829;top:1220;width:105;height:257" id="docshape167" coordorigin="2830,1220" coordsize="105,257" path="m2935,1220l2856,1268,2830,1311,2856,1372,2935,1477e" filled="false" stroked="true" strokeweight=".68pt" strokecolor="#231f20">
              <v:path arrowok="t"/>
              <v:stroke dashstyle="solid"/>
            </v:shape>
            <v:shape style="position:absolute;left:2713;top:2157;width:201;height:130" id="docshape168" coordorigin="2714,2158" coordsize="201,130" path="m2914,2158l2827,2223,2777,2258,2745,2276,2714,2287e" filled="false" stroked="true" strokeweight=".68pt" strokecolor="#231f20">
              <v:path arrowok="t"/>
              <v:stroke dashstyle="solid"/>
            </v:shape>
            <v:shape style="position:absolute;left:1890;top:330;width:3447;height:246" type="#_x0000_t202" id="docshape169" filled="false" stroked="false">
              <v:textbox inset="0,0,0,0">
                <w:txbxContent>
                  <w:p>
                    <w:pPr>
                      <w:spacing w:before="44"/>
                      <w:ind w:left="0" w:right="0" w:firstLine="0"/>
                      <w:jc w:val="left"/>
                      <w:rPr>
                        <w:rFonts w:ascii="Arial"/>
                        <w:b/>
                        <w:sz w:val="17"/>
                      </w:rPr>
                    </w:pPr>
                    <w:r>
                      <w:rPr>
                        <w:rFonts w:ascii="Arial"/>
                        <w:color w:val="231F20"/>
                        <w:w w:val="95"/>
                        <w:sz w:val="17"/>
                      </w:rPr>
                      <w:t>Figure</w:t>
                    </w:r>
                    <w:r>
                      <w:rPr>
                        <w:rFonts w:ascii="Arial"/>
                        <w:color w:val="231F20"/>
                        <w:spacing w:val="6"/>
                        <w:sz w:val="17"/>
                      </w:rPr>
                      <w:t> </w:t>
                    </w:r>
                    <w:r>
                      <w:rPr>
                        <w:rFonts w:ascii="Arial"/>
                        <w:color w:val="231F20"/>
                        <w:w w:val="95"/>
                        <w:sz w:val="17"/>
                      </w:rPr>
                      <w:t>2.2</w:t>
                    </w:r>
                    <w:r>
                      <w:rPr>
                        <w:rFonts w:ascii="Arial"/>
                        <w:color w:val="231F20"/>
                        <w:spacing w:val="-5"/>
                        <w:w w:val="95"/>
                        <w:sz w:val="17"/>
                      </w:rPr>
                      <w:t> </w:t>
                    </w:r>
                    <w:r>
                      <w:rPr>
                        <w:rFonts w:ascii="Arial"/>
                        <w:i/>
                        <w:color w:val="231F20"/>
                        <w:w w:val="95"/>
                        <w:sz w:val="17"/>
                      </w:rPr>
                      <w:t>/</w:t>
                    </w:r>
                    <w:r>
                      <w:rPr>
                        <w:rFonts w:ascii="Arial"/>
                        <w:i/>
                        <w:color w:val="231F20"/>
                        <w:spacing w:val="59"/>
                        <w:sz w:val="17"/>
                      </w:rPr>
                      <w:t> </w:t>
                    </w:r>
                    <w:r>
                      <w:rPr>
                        <w:rFonts w:ascii="Arial"/>
                        <w:b/>
                        <w:color w:val="231F20"/>
                        <w:w w:val="95"/>
                        <w:sz w:val="17"/>
                      </w:rPr>
                      <w:t>Dynamique</w:t>
                    </w:r>
                    <w:r>
                      <w:rPr>
                        <w:rFonts w:ascii="Arial"/>
                        <w:b/>
                        <w:color w:val="231F20"/>
                        <w:spacing w:val="1"/>
                        <w:sz w:val="17"/>
                      </w:rPr>
                      <w:t> </w:t>
                    </w:r>
                    <w:r>
                      <w:rPr>
                        <w:rFonts w:ascii="Arial"/>
                        <w:b/>
                        <w:color w:val="231F20"/>
                        <w:w w:val="95"/>
                        <w:sz w:val="17"/>
                      </w:rPr>
                      <w:t>biologique</w:t>
                    </w:r>
                    <w:r>
                      <w:rPr>
                        <w:rFonts w:ascii="Arial"/>
                        <w:b/>
                        <w:color w:val="231F20"/>
                        <w:sz w:val="17"/>
                      </w:rPr>
                      <w:t> </w:t>
                    </w:r>
                    <w:r>
                      <w:rPr>
                        <w:rFonts w:ascii="Arial"/>
                        <w:b/>
                        <w:color w:val="231F20"/>
                        <w:w w:val="95"/>
                        <w:sz w:val="17"/>
                      </w:rPr>
                      <w:t>du</w:t>
                    </w:r>
                    <w:r>
                      <w:rPr>
                        <w:rFonts w:ascii="Arial"/>
                        <w:b/>
                        <w:color w:val="231F20"/>
                        <w:sz w:val="17"/>
                      </w:rPr>
                      <w:t> </w:t>
                    </w:r>
                    <w:r>
                      <w:rPr>
                        <w:rFonts w:ascii="Arial"/>
                        <w:b/>
                        <w:color w:val="231F20"/>
                        <w:spacing w:val="-2"/>
                        <w:w w:val="95"/>
                        <w:sz w:val="17"/>
                      </w:rPr>
                      <w:t>stress</w:t>
                    </w:r>
                  </w:p>
                </w:txbxContent>
              </v:textbox>
              <w10:wrap type="none"/>
            </v:shape>
            <v:shape style="position:absolute;left:2002;top:850;width:586;height:135" type="#_x0000_t202" id="docshape170" filled="false" stroked="false">
              <v:textbox inset="0,0,0,0">
                <w:txbxContent>
                  <w:p>
                    <w:pPr>
                      <w:spacing w:before="18"/>
                      <w:ind w:left="0" w:right="0" w:firstLine="0"/>
                      <w:jc w:val="left"/>
                      <w:rPr>
                        <w:rFonts w:ascii="Arial"/>
                        <w:b/>
                        <w:sz w:val="10"/>
                      </w:rPr>
                    </w:pPr>
                    <w:r>
                      <w:rPr>
                        <w:rFonts w:ascii="Arial"/>
                        <w:b/>
                        <w:color w:val="231F20"/>
                        <w:w w:val="95"/>
                        <w:sz w:val="10"/>
                      </w:rPr>
                      <w:t>Court</w:t>
                    </w:r>
                    <w:r>
                      <w:rPr>
                        <w:rFonts w:ascii="Arial"/>
                        <w:b/>
                        <w:color w:val="231F20"/>
                        <w:spacing w:val="-3"/>
                        <w:w w:val="95"/>
                        <w:sz w:val="10"/>
                      </w:rPr>
                      <w:t> </w:t>
                    </w:r>
                    <w:r>
                      <w:rPr>
                        <w:rFonts w:ascii="Arial"/>
                        <w:b/>
                        <w:color w:val="231F20"/>
                        <w:spacing w:val="-2"/>
                        <w:sz w:val="10"/>
                      </w:rPr>
                      <w:t>terme</w:t>
                    </w:r>
                  </w:p>
                </w:txbxContent>
              </v:textbox>
              <w10:wrap type="none"/>
            </v:shape>
            <v:shape style="position:absolute;left:5120;top:877;width:230;height:105" type="#_x0000_t202" id="docshape171" filled="false" stroked="false">
              <v:textbox inset="0,0,0,0">
                <w:txbxContent>
                  <w:p>
                    <w:pPr>
                      <w:spacing w:before="11"/>
                      <w:ind w:left="0" w:right="0" w:firstLine="0"/>
                      <w:jc w:val="left"/>
                      <w:rPr>
                        <w:rFonts w:ascii="Arial"/>
                        <w:sz w:val="8"/>
                      </w:rPr>
                    </w:pPr>
                    <w:r>
                      <w:rPr>
                        <w:rFonts w:ascii="Arial"/>
                        <w:color w:val="231F20"/>
                        <w:spacing w:val="-2"/>
                        <w:sz w:val="8"/>
                      </w:rPr>
                      <w:t>Stress</w:t>
                    </w:r>
                  </w:p>
                </w:txbxContent>
              </v:textbox>
              <w10:wrap type="none"/>
            </v:shape>
            <v:shape style="position:absolute;left:6423;top:850;width:666;height:135" type="#_x0000_t202" id="docshape172" filled="false" stroked="false">
              <v:textbox inset="0,0,0,0">
                <w:txbxContent>
                  <w:p>
                    <w:pPr>
                      <w:spacing w:before="18"/>
                      <w:ind w:left="0" w:right="0" w:firstLine="0"/>
                      <w:jc w:val="left"/>
                      <w:rPr>
                        <w:rFonts w:ascii="Arial" w:hAnsi="Arial"/>
                        <w:b/>
                        <w:sz w:val="10"/>
                      </w:rPr>
                    </w:pPr>
                    <w:r>
                      <w:rPr>
                        <w:rFonts w:ascii="Arial" w:hAnsi="Arial"/>
                        <w:b/>
                        <w:color w:val="231F20"/>
                        <w:w w:val="90"/>
                        <w:sz w:val="10"/>
                      </w:rPr>
                      <w:t>Plus</w:t>
                    </w:r>
                    <w:r>
                      <w:rPr>
                        <w:rFonts w:ascii="Arial" w:hAnsi="Arial"/>
                        <w:b/>
                        <w:color w:val="231F20"/>
                        <w:spacing w:val="-3"/>
                        <w:sz w:val="10"/>
                      </w:rPr>
                      <w:t> </w:t>
                    </w:r>
                    <w:r>
                      <w:rPr>
                        <w:rFonts w:ascii="Arial" w:hAnsi="Arial"/>
                        <w:b/>
                        <w:color w:val="231F20"/>
                        <w:spacing w:val="-2"/>
                        <w:sz w:val="10"/>
                      </w:rPr>
                      <w:t>prolongé</w:t>
                    </w:r>
                  </w:p>
                </w:txbxContent>
              </v:textbox>
              <w10:wrap type="none"/>
            </v:shape>
            <v:shape style="position:absolute;left:2989;top:1029;width:2695;height:366" type="#_x0000_t202" id="docshape173" filled="false" stroked="false">
              <v:textbox inset="0,0,0,0">
                <w:txbxContent>
                  <w:p>
                    <w:pPr>
                      <w:spacing w:line="84" w:lineRule="exact" w:before="11"/>
                      <w:ind w:left="390" w:right="0" w:firstLine="0"/>
                      <w:jc w:val="left"/>
                      <w:rPr>
                        <w:rFonts w:ascii="Arial"/>
                        <w:sz w:val="8"/>
                      </w:rPr>
                    </w:pPr>
                    <w:r>
                      <w:rPr>
                        <w:rFonts w:ascii="Arial"/>
                        <w:color w:val="231F20"/>
                        <w:spacing w:val="-2"/>
                        <w:sz w:val="8"/>
                      </w:rPr>
                      <w:t>Hypothalamus</w:t>
                    </w:r>
                  </w:p>
                  <w:p>
                    <w:pPr>
                      <w:spacing w:line="84" w:lineRule="exact" w:before="0"/>
                      <w:ind w:left="2120" w:right="0" w:firstLine="0"/>
                      <w:jc w:val="left"/>
                      <w:rPr>
                        <w:rFonts w:ascii="Arial"/>
                        <w:sz w:val="8"/>
                      </w:rPr>
                    </w:pPr>
                    <w:r>
                      <w:rPr>
                        <w:rFonts w:ascii="Arial"/>
                        <w:color w:val="231F20"/>
                        <w:spacing w:val="-5"/>
                        <w:w w:val="95"/>
                        <w:sz w:val="8"/>
                      </w:rPr>
                      <w:t>CRH</w:t>
                    </w:r>
                  </w:p>
                  <w:p>
                    <w:pPr>
                      <w:spacing w:line="84" w:lineRule="exact" w:before="17"/>
                      <w:ind w:left="2120" w:right="0" w:firstLine="0"/>
                      <w:jc w:val="left"/>
                      <w:rPr>
                        <w:rFonts w:ascii="Arial" w:hAnsi="Arial"/>
                        <w:sz w:val="8"/>
                      </w:rPr>
                    </w:pPr>
                    <w:r>
                      <w:rPr>
                        <w:rFonts w:ascii="Arial" w:hAnsi="Arial"/>
                        <w:color w:val="231F20"/>
                        <w:spacing w:val="-2"/>
                        <w:sz w:val="8"/>
                      </w:rPr>
                      <w:t>(corticolibérine)</w:t>
                    </w:r>
                  </w:p>
                  <w:p>
                    <w:pPr>
                      <w:spacing w:line="84" w:lineRule="exact" w:before="0"/>
                      <w:ind w:left="0" w:right="0" w:firstLine="0"/>
                      <w:jc w:val="left"/>
                      <w:rPr>
                        <w:rFonts w:ascii="Arial"/>
                        <w:sz w:val="8"/>
                      </w:rPr>
                    </w:pPr>
                    <w:r>
                      <w:rPr>
                        <w:rFonts w:ascii="Arial"/>
                        <w:color w:val="231F20"/>
                        <w:w w:val="95"/>
                        <w:sz w:val="8"/>
                      </w:rPr>
                      <w:t>Influx</w:t>
                    </w:r>
                    <w:r>
                      <w:rPr>
                        <w:rFonts w:ascii="Arial"/>
                        <w:color w:val="231F20"/>
                        <w:spacing w:val="2"/>
                        <w:sz w:val="8"/>
                      </w:rPr>
                      <w:t> </w:t>
                    </w:r>
                    <w:r>
                      <w:rPr>
                        <w:rFonts w:ascii="Arial"/>
                        <w:color w:val="231F20"/>
                        <w:spacing w:val="-2"/>
                        <w:sz w:val="8"/>
                      </w:rPr>
                      <w:t>nerveux</w:t>
                    </w:r>
                  </w:p>
                </w:txbxContent>
              </v:textbox>
              <w10:wrap type="none"/>
            </v:shape>
            <v:shape style="position:absolute;left:1958;top:1570;width:642;height:623" type="#_x0000_t202" id="docshape174" filled="false" stroked="false">
              <v:textbox inset="0,0,0,0">
                <w:txbxContent>
                  <w:p>
                    <w:pPr>
                      <w:spacing w:line="283" w:lineRule="auto" w:before="11"/>
                      <w:ind w:left="206" w:right="0" w:firstLine="0"/>
                      <w:jc w:val="left"/>
                      <w:rPr>
                        <w:rFonts w:ascii="Arial" w:hAnsi="Arial"/>
                        <w:sz w:val="8"/>
                      </w:rPr>
                    </w:pPr>
                    <w:r>
                      <w:rPr>
                        <w:rFonts w:ascii="Arial" w:hAnsi="Arial"/>
                        <w:color w:val="231F20"/>
                        <w:spacing w:val="-2"/>
                        <w:sz w:val="8"/>
                      </w:rPr>
                      <w:t>Moelle</w:t>
                    </w:r>
                    <w:r>
                      <w:rPr>
                        <w:rFonts w:ascii="Arial" w:hAnsi="Arial"/>
                        <w:color w:val="231F20"/>
                        <w:spacing w:val="40"/>
                        <w:sz w:val="8"/>
                      </w:rPr>
                      <w:t> </w:t>
                    </w:r>
                    <w:r>
                      <w:rPr>
                        <w:rFonts w:ascii="Arial" w:hAnsi="Arial"/>
                        <w:color w:val="231F20"/>
                        <w:spacing w:val="-2"/>
                        <w:w w:val="95"/>
                        <w:sz w:val="8"/>
                      </w:rPr>
                      <w:t>épinière</w:t>
                    </w:r>
                  </w:p>
                  <w:p>
                    <w:pPr>
                      <w:spacing w:line="283" w:lineRule="auto" w:before="79"/>
                      <w:ind w:left="0" w:right="0" w:firstLine="0"/>
                      <w:jc w:val="left"/>
                      <w:rPr>
                        <w:rFonts w:ascii="Arial" w:hAnsi="Arial"/>
                        <w:sz w:val="8"/>
                      </w:rPr>
                    </w:pPr>
                    <w:r>
                      <w:rPr>
                        <w:rFonts w:ascii="Arial" w:hAnsi="Arial"/>
                        <w:color w:val="231F20"/>
                        <w:spacing w:val="-2"/>
                        <w:sz w:val="8"/>
                      </w:rPr>
                      <w:t>Fibres</w:t>
                    </w:r>
                    <w:r>
                      <w:rPr>
                        <w:rFonts w:ascii="Arial" w:hAnsi="Arial"/>
                        <w:color w:val="231F20"/>
                        <w:spacing w:val="40"/>
                        <w:sz w:val="8"/>
                      </w:rPr>
                      <w:t> </w:t>
                    </w:r>
                    <w:r>
                      <w:rPr>
                        <w:rFonts w:ascii="Arial" w:hAnsi="Arial"/>
                        <w:color w:val="231F20"/>
                        <w:spacing w:val="-2"/>
                        <w:sz w:val="8"/>
                      </w:rPr>
                      <w:t>sympathiques</w:t>
                    </w:r>
                    <w:r>
                      <w:rPr>
                        <w:rFonts w:ascii="Arial" w:hAnsi="Arial"/>
                        <w:color w:val="231F20"/>
                        <w:spacing w:val="40"/>
                        <w:sz w:val="8"/>
                      </w:rPr>
                      <w:t> </w:t>
                    </w:r>
                    <w:r>
                      <w:rPr>
                        <w:rFonts w:ascii="Arial" w:hAnsi="Arial"/>
                        <w:color w:val="231F20"/>
                        <w:spacing w:val="-2"/>
                        <w:w w:val="95"/>
                        <w:sz w:val="8"/>
                      </w:rPr>
                      <w:t>préganglionnaires</w:t>
                    </w:r>
                  </w:p>
                </w:txbxContent>
              </v:textbox>
              <w10:wrap type="none"/>
            </v:shape>
            <v:shape style="position:absolute;left:5096;top:1476;width:917;height:214" type="#_x0000_t202" id="docshape175" filled="false" stroked="false">
              <v:textbox inset="0,0,0,0">
                <w:txbxContent>
                  <w:p>
                    <w:pPr>
                      <w:spacing w:before="11"/>
                      <w:ind w:left="0" w:right="0" w:firstLine="0"/>
                      <w:jc w:val="left"/>
                      <w:rPr>
                        <w:rFonts w:ascii="Arial"/>
                        <w:sz w:val="8"/>
                      </w:rPr>
                    </w:pPr>
                    <w:r>
                      <w:rPr>
                        <w:rFonts w:ascii="Arial"/>
                        <w:color w:val="231F20"/>
                        <w:w w:val="85"/>
                        <w:sz w:val="8"/>
                      </w:rPr>
                      <w:t>Cellules</w:t>
                    </w:r>
                    <w:r>
                      <w:rPr>
                        <w:rFonts w:ascii="Arial"/>
                        <w:color w:val="231F20"/>
                        <w:spacing w:val="12"/>
                        <w:sz w:val="8"/>
                      </w:rPr>
                      <w:t> </w:t>
                    </w:r>
                    <w:r>
                      <w:rPr>
                        <w:rFonts w:ascii="Arial"/>
                        <w:color w:val="231F20"/>
                        <w:spacing w:val="-2"/>
                        <w:sz w:val="8"/>
                      </w:rPr>
                      <w:t>corticotropes</w:t>
                    </w:r>
                  </w:p>
                  <w:p>
                    <w:pPr>
                      <w:spacing w:before="17"/>
                      <w:ind w:left="0" w:right="0" w:firstLine="0"/>
                      <w:jc w:val="left"/>
                      <w:rPr>
                        <w:rFonts w:ascii="Arial" w:hAnsi="Arial"/>
                        <w:sz w:val="8"/>
                      </w:rPr>
                    </w:pPr>
                    <w:r>
                      <w:rPr>
                        <w:rFonts w:ascii="Arial" w:hAnsi="Arial"/>
                        <w:color w:val="231F20"/>
                        <w:w w:val="95"/>
                        <w:sz w:val="8"/>
                      </w:rPr>
                      <w:t>de</w:t>
                    </w:r>
                    <w:r>
                      <w:rPr>
                        <w:rFonts w:ascii="Arial" w:hAnsi="Arial"/>
                        <w:color w:val="231F20"/>
                        <w:spacing w:val="-1"/>
                        <w:w w:val="95"/>
                        <w:sz w:val="8"/>
                      </w:rPr>
                      <w:t> </w:t>
                    </w:r>
                    <w:r>
                      <w:rPr>
                        <w:rFonts w:ascii="Arial" w:hAnsi="Arial"/>
                        <w:color w:val="231F20"/>
                        <w:w w:val="95"/>
                        <w:sz w:val="8"/>
                      </w:rPr>
                      <w:t>l’hypophyse</w:t>
                    </w:r>
                    <w:r>
                      <w:rPr>
                        <w:rFonts w:ascii="Arial" w:hAnsi="Arial"/>
                        <w:color w:val="231F20"/>
                        <w:spacing w:val="-1"/>
                        <w:w w:val="95"/>
                        <w:sz w:val="8"/>
                      </w:rPr>
                      <w:t> </w:t>
                    </w:r>
                    <w:r>
                      <w:rPr>
                        <w:rFonts w:ascii="Arial" w:hAnsi="Arial"/>
                        <w:color w:val="231F20"/>
                        <w:spacing w:val="-2"/>
                        <w:w w:val="95"/>
                        <w:sz w:val="8"/>
                      </w:rPr>
                      <w:t>antérieure</w:t>
                    </w:r>
                  </w:p>
                </w:txbxContent>
              </v:textbox>
              <w10:wrap type="none"/>
            </v:shape>
            <v:shape style="position:absolute;left:6030;top:1727;width:580;height:214" type="#_x0000_t202" id="docshape176" filled="false" stroked="false">
              <v:textbox inset="0,0,0,0">
                <w:txbxContent>
                  <w:p>
                    <w:pPr>
                      <w:spacing w:line="283" w:lineRule="auto" w:before="7"/>
                      <w:ind w:left="0" w:right="0" w:firstLine="0"/>
                      <w:jc w:val="left"/>
                      <w:rPr>
                        <w:rFonts w:ascii="Arial"/>
                        <w:sz w:val="8"/>
                      </w:rPr>
                    </w:pPr>
                    <w:r>
                      <w:rPr>
                        <w:rFonts w:ascii="Arial"/>
                        <w:color w:val="231F20"/>
                        <w:w w:val="95"/>
                        <w:sz w:val="8"/>
                      </w:rPr>
                      <w:t>Vers</w:t>
                    </w:r>
                    <w:r>
                      <w:rPr>
                        <w:rFonts w:ascii="Arial"/>
                        <w:color w:val="231F20"/>
                        <w:spacing w:val="-6"/>
                        <w:w w:val="95"/>
                        <w:sz w:val="8"/>
                      </w:rPr>
                      <w:t> </w:t>
                    </w:r>
                    <w:r>
                      <w:rPr>
                        <w:rFonts w:ascii="Arial"/>
                        <w:color w:val="231F20"/>
                        <w:w w:val="95"/>
                        <w:sz w:val="8"/>
                      </w:rPr>
                      <w:t>la</w:t>
                    </w:r>
                    <w:r>
                      <w:rPr>
                        <w:rFonts w:ascii="Arial"/>
                        <w:color w:val="231F20"/>
                        <w:spacing w:val="-6"/>
                        <w:w w:val="95"/>
                        <w:sz w:val="8"/>
                      </w:rPr>
                      <w:t> </w:t>
                    </w:r>
                    <w:r>
                      <w:rPr>
                        <w:rFonts w:ascii="Arial"/>
                        <w:color w:val="231F20"/>
                        <w:w w:val="95"/>
                        <w:sz w:val="8"/>
                      </w:rPr>
                      <w:t>structure</w:t>
                    </w:r>
                    <w:r>
                      <w:rPr>
                        <w:rFonts w:ascii="Arial"/>
                        <w:color w:val="231F20"/>
                        <w:spacing w:val="40"/>
                        <w:sz w:val="8"/>
                      </w:rPr>
                      <w:t> </w:t>
                    </w:r>
                    <w:r>
                      <w:rPr>
                        <w:rFonts w:ascii="Arial"/>
                        <w:color w:val="231F20"/>
                        <w:sz w:val="8"/>
                      </w:rPr>
                      <w:t>cible</w:t>
                    </w:r>
                    <w:r>
                      <w:rPr>
                        <w:rFonts w:ascii="Arial"/>
                        <w:color w:val="231F20"/>
                        <w:spacing w:val="-7"/>
                        <w:sz w:val="8"/>
                      </w:rPr>
                      <w:t> </w:t>
                    </w:r>
                    <w:r>
                      <w:rPr>
                        <w:rFonts w:ascii="Arial"/>
                        <w:color w:val="231F20"/>
                        <w:sz w:val="8"/>
                      </w:rPr>
                      <w:t>sanguine</w:t>
                    </w:r>
                  </w:p>
                </w:txbxContent>
              </v:textbox>
              <w10:wrap type="none"/>
            </v:shape>
            <v:shape style="position:absolute;left:5096;top:2162;width:219;height:105" type="#_x0000_t202" id="docshape177" filled="false" stroked="false">
              <v:textbox inset="0,0,0,0">
                <w:txbxContent>
                  <w:p>
                    <w:pPr>
                      <w:spacing w:before="11"/>
                      <w:ind w:left="0" w:right="0" w:firstLine="0"/>
                      <w:jc w:val="left"/>
                      <w:rPr>
                        <w:rFonts w:ascii="Arial"/>
                        <w:sz w:val="8"/>
                      </w:rPr>
                    </w:pPr>
                    <w:r>
                      <w:rPr>
                        <w:rFonts w:ascii="Arial"/>
                        <w:color w:val="231F20"/>
                        <w:spacing w:val="-4"/>
                        <w:w w:val="95"/>
                        <w:sz w:val="8"/>
                      </w:rPr>
                      <w:t>ACTH</w:t>
                    </w:r>
                  </w:p>
                </w:txbxContent>
              </v:textbox>
              <w10:wrap type="none"/>
            </v:shape>
            <v:shape style="position:absolute;left:6288;top:2236;width:549;height:105" type="#_x0000_t202" id="docshape178" filled="false" stroked="false">
              <v:textbox inset="0,0,0,0">
                <w:txbxContent>
                  <w:p>
                    <w:pPr>
                      <w:spacing w:before="11"/>
                      <w:ind w:left="0" w:right="0" w:firstLine="0"/>
                      <w:jc w:val="left"/>
                      <w:rPr>
                        <w:rFonts w:ascii="Arial" w:hAnsi="Arial"/>
                        <w:sz w:val="8"/>
                      </w:rPr>
                    </w:pPr>
                    <w:r>
                      <w:rPr>
                        <w:rFonts w:ascii="Arial" w:hAnsi="Arial"/>
                        <w:color w:val="231F20"/>
                        <w:w w:val="90"/>
                        <w:sz w:val="8"/>
                      </w:rPr>
                      <w:t>Cortex</w:t>
                    </w:r>
                    <w:r>
                      <w:rPr>
                        <w:rFonts w:ascii="Arial" w:hAnsi="Arial"/>
                        <w:color w:val="231F20"/>
                        <w:spacing w:val="9"/>
                        <w:sz w:val="8"/>
                      </w:rPr>
                      <w:t> </w:t>
                    </w:r>
                    <w:r>
                      <w:rPr>
                        <w:rFonts w:ascii="Arial" w:hAnsi="Arial"/>
                        <w:color w:val="231F20"/>
                        <w:spacing w:val="-2"/>
                        <w:sz w:val="8"/>
                      </w:rPr>
                      <w:t>surrénal</w:t>
                    </w:r>
                  </w:p>
                </w:txbxContent>
              </v:textbox>
              <w10:wrap type="none"/>
            </v:shape>
            <v:shape style="position:absolute;left:2760;top:2455;width:626;height:105" type="#_x0000_t202" id="docshape179" filled="false" stroked="false">
              <v:textbox inset="0,0,0,0">
                <w:txbxContent>
                  <w:p>
                    <w:pPr>
                      <w:spacing w:before="11"/>
                      <w:ind w:left="0" w:right="0" w:firstLine="0"/>
                      <w:jc w:val="left"/>
                      <w:rPr>
                        <w:rFonts w:ascii="Arial" w:hAnsi="Arial"/>
                        <w:sz w:val="8"/>
                      </w:rPr>
                    </w:pPr>
                    <w:r>
                      <w:rPr>
                        <w:rFonts w:ascii="Arial" w:hAnsi="Arial"/>
                        <w:color w:val="231F20"/>
                        <w:spacing w:val="-2"/>
                        <w:w w:val="95"/>
                        <w:sz w:val="8"/>
                      </w:rPr>
                      <w:t>Médullosurrénale</w:t>
                    </w:r>
                  </w:p>
                </w:txbxContent>
              </v:textbox>
              <w10:wrap type="none"/>
            </v:shape>
            <v:shape style="position:absolute;left:5009;top:2832;width:711;height:105" type="#_x0000_t202" id="docshape180" filled="false" stroked="false">
              <v:textbox inset="0,0,0,0">
                <w:txbxContent>
                  <w:p>
                    <w:pPr>
                      <w:spacing w:before="11"/>
                      <w:ind w:left="0" w:right="0" w:firstLine="0"/>
                      <w:jc w:val="left"/>
                      <w:rPr>
                        <w:rFonts w:ascii="Arial" w:hAnsi="Arial"/>
                        <w:sz w:val="8"/>
                      </w:rPr>
                    </w:pPr>
                    <w:r>
                      <w:rPr>
                        <w:rFonts w:ascii="Arial" w:hAnsi="Arial"/>
                        <w:color w:val="231F20"/>
                        <w:spacing w:val="-2"/>
                        <w:w w:val="95"/>
                        <w:sz w:val="8"/>
                      </w:rPr>
                      <w:t>Minéralocorticoïdes</w:t>
                    </w:r>
                  </w:p>
                </w:txbxContent>
              </v:textbox>
              <w10:wrap type="none"/>
            </v:shape>
            <v:shape style="position:absolute;left:5988;top:2832;width:605;height:105" type="#_x0000_t202" id="docshape181" filled="false" stroked="false">
              <v:textbox inset="0,0,0,0">
                <w:txbxContent>
                  <w:p>
                    <w:pPr>
                      <w:spacing w:before="11"/>
                      <w:ind w:left="0" w:right="0" w:firstLine="0"/>
                      <w:jc w:val="left"/>
                      <w:rPr>
                        <w:rFonts w:ascii="Arial" w:hAnsi="Arial"/>
                        <w:sz w:val="8"/>
                      </w:rPr>
                    </w:pPr>
                    <w:r>
                      <w:rPr>
                        <w:rFonts w:ascii="Arial" w:hAnsi="Arial"/>
                        <w:color w:val="231F20"/>
                        <w:spacing w:val="-2"/>
                        <w:w w:val="95"/>
                        <w:sz w:val="8"/>
                      </w:rPr>
                      <w:t>Glucocorticoïdes</w:t>
                    </w:r>
                  </w:p>
                </w:txbxContent>
              </v:textbox>
              <w10:wrap type="none"/>
            </v:shape>
            <v:shape style="position:absolute;left:1997;top:3205;width:573;height:322" type="#_x0000_t202" id="docshape182" filled="false" stroked="false">
              <v:textbox inset="0,0,0,0">
                <w:txbxContent>
                  <w:p>
                    <w:pPr>
                      <w:spacing w:line="283" w:lineRule="auto" w:before="7"/>
                      <w:ind w:left="0" w:right="0" w:firstLine="0"/>
                      <w:jc w:val="left"/>
                      <w:rPr>
                        <w:rFonts w:ascii="Arial" w:hAnsi="Arial"/>
                        <w:sz w:val="8"/>
                      </w:rPr>
                    </w:pPr>
                    <w:r>
                      <w:rPr>
                        <w:rFonts w:ascii="Arial" w:hAnsi="Arial"/>
                        <w:color w:val="231F20"/>
                        <w:spacing w:val="-2"/>
                        <w:w w:val="90"/>
                        <w:sz w:val="8"/>
                      </w:rPr>
                      <w:t>Catécholamines</w:t>
                    </w:r>
                    <w:r>
                      <w:rPr>
                        <w:rFonts w:ascii="Arial" w:hAnsi="Arial"/>
                        <w:color w:val="231F20"/>
                        <w:spacing w:val="40"/>
                        <w:sz w:val="8"/>
                      </w:rPr>
                      <w:t> </w:t>
                    </w:r>
                    <w:r>
                      <w:rPr>
                        <w:rFonts w:ascii="Arial" w:hAnsi="Arial"/>
                        <w:color w:val="231F20"/>
                        <w:sz w:val="8"/>
                      </w:rPr>
                      <w:t>(adrénaline</w:t>
                    </w:r>
                    <w:r>
                      <w:rPr>
                        <w:rFonts w:ascii="Arial" w:hAnsi="Arial"/>
                        <w:color w:val="231F20"/>
                        <w:spacing w:val="-7"/>
                        <w:sz w:val="8"/>
                      </w:rPr>
                      <w:t> </w:t>
                    </w:r>
                    <w:r>
                      <w:rPr>
                        <w:rFonts w:ascii="Arial" w:hAnsi="Arial"/>
                        <w:color w:val="231F20"/>
                        <w:sz w:val="8"/>
                      </w:rPr>
                      <w:t>et</w:t>
                    </w:r>
                    <w:r>
                      <w:rPr>
                        <w:rFonts w:ascii="Arial" w:hAnsi="Arial"/>
                        <w:color w:val="231F20"/>
                        <w:spacing w:val="40"/>
                        <w:sz w:val="8"/>
                      </w:rPr>
                      <w:t> </w:t>
                    </w:r>
                    <w:r>
                      <w:rPr>
                        <w:rFonts w:ascii="Arial" w:hAnsi="Arial"/>
                        <w:color w:val="231F20"/>
                        <w:spacing w:val="-2"/>
                        <w:sz w:val="8"/>
                      </w:rPr>
                      <w:t>noradrénaline)</w:t>
                    </w:r>
                  </w:p>
                </w:txbxContent>
              </v:textbox>
              <w10:wrap type="none"/>
            </v:shape>
            <v:shape style="position:absolute;left:2970;top:2931;width:1531;height:1786" type="#_x0000_t202" id="docshape183" filled="false" stroked="false">
              <v:textbox inset="0,0,0,0">
                <w:txbxContent>
                  <w:p>
                    <w:pPr>
                      <w:spacing w:line="228" w:lineRule="auto" w:before="22"/>
                      <w:ind w:left="102" w:right="515" w:firstLine="0"/>
                      <w:jc w:val="left"/>
                      <w:rPr>
                        <w:rFonts w:ascii="Arial" w:hAnsi="Arial"/>
                        <w:b/>
                        <w:sz w:val="10"/>
                      </w:rPr>
                    </w:pPr>
                    <w:r>
                      <w:rPr>
                        <w:rFonts w:ascii="Arial" w:hAnsi="Arial"/>
                        <w:b/>
                        <w:color w:val="231F20"/>
                        <w:w w:val="95"/>
                        <w:sz w:val="10"/>
                      </w:rPr>
                      <w:t>Réactions</w:t>
                    </w:r>
                    <w:r>
                      <w:rPr>
                        <w:rFonts w:ascii="Arial" w:hAnsi="Arial"/>
                        <w:b/>
                        <w:color w:val="231F20"/>
                        <w:spacing w:val="-10"/>
                        <w:w w:val="95"/>
                        <w:sz w:val="10"/>
                      </w:rPr>
                      <w:t> </w:t>
                    </w:r>
                    <w:r>
                      <w:rPr>
                        <w:rFonts w:ascii="Arial" w:hAnsi="Arial"/>
                        <w:b/>
                        <w:color w:val="231F20"/>
                        <w:w w:val="95"/>
                        <w:sz w:val="10"/>
                      </w:rPr>
                      <w:t>au</w:t>
                    </w:r>
                    <w:r>
                      <w:rPr>
                        <w:rFonts w:ascii="Arial" w:hAnsi="Arial"/>
                        <w:b/>
                        <w:color w:val="231F20"/>
                        <w:spacing w:val="-10"/>
                        <w:w w:val="95"/>
                        <w:sz w:val="10"/>
                      </w:rPr>
                      <w:t> </w:t>
                    </w:r>
                    <w:r>
                      <w:rPr>
                        <w:rFonts w:ascii="Arial" w:hAnsi="Arial"/>
                        <w:b/>
                        <w:color w:val="231F20"/>
                        <w:w w:val="95"/>
                        <w:sz w:val="10"/>
                      </w:rPr>
                      <w:t>stress</w:t>
                    </w:r>
                    <w:r>
                      <w:rPr>
                        <w:rFonts w:ascii="Arial" w:hAnsi="Arial"/>
                        <w:b/>
                        <w:color w:val="231F20"/>
                        <w:spacing w:val="40"/>
                        <w:sz w:val="10"/>
                      </w:rPr>
                      <w:t> </w:t>
                    </w:r>
                    <w:r>
                      <w:rPr>
                        <w:rFonts w:ascii="Arial" w:hAnsi="Arial"/>
                        <w:b/>
                        <w:color w:val="231F20"/>
                        <w:sz w:val="10"/>
                      </w:rPr>
                      <w:t>à</w:t>
                    </w:r>
                    <w:r>
                      <w:rPr>
                        <w:rFonts w:ascii="Arial" w:hAnsi="Arial"/>
                        <w:b/>
                        <w:color w:val="231F20"/>
                        <w:spacing w:val="-11"/>
                        <w:sz w:val="10"/>
                      </w:rPr>
                      <w:t> </w:t>
                    </w:r>
                    <w:r>
                      <w:rPr>
                        <w:rFonts w:ascii="Arial" w:hAnsi="Arial"/>
                        <w:b/>
                        <w:color w:val="231F20"/>
                        <w:sz w:val="10"/>
                      </w:rPr>
                      <w:t>court</w:t>
                    </w:r>
                    <w:r>
                      <w:rPr>
                        <w:rFonts w:ascii="Arial" w:hAnsi="Arial"/>
                        <w:b/>
                        <w:color w:val="231F20"/>
                        <w:spacing w:val="-11"/>
                        <w:sz w:val="10"/>
                      </w:rPr>
                      <w:t> </w:t>
                    </w:r>
                    <w:r>
                      <w:rPr>
                        <w:rFonts w:ascii="Arial" w:hAnsi="Arial"/>
                        <w:b/>
                        <w:color w:val="231F20"/>
                        <w:sz w:val="10"/>
                      </w:rPr>
                      <w:t>terme</w:t>
                    </w:r>
                  </w:p>
                  <w:p>
                    <w:pPr>
                      <w:numPr>
                        <w:ilvl w:val="0"/>
                        <w:numId w:val="20"/>
                      </w:numPr>
                      <w:tabs>
                        <w:tab w:pos="123" w:val="left" w:leader="none"/>
                      </w:tabs>
                      <w:spacing w:before="92"/>
                      <w:ind w:left="122" w:right="0" w:hanging="123"/>
                      <w:jc w:val="left"/>
                      <w:rPr>
                        <w:rFonts w:ascii="Arial"/>
                        <w:sz w:val="8"/>
                      </w:rPr>
                    </w:pPr>
                    <w:r>
                      <w:rPr>
                        <w:rFonts w:ascii="Arial"/>
                        <w:color w:val="231F20"/>
                        <w:w w:val="95"/>
                        <w:sz w:val="8"/>
                      </w:rPr>
                      <w:t>Augmentation</w:t>
                    </w:r>
                    <w:r>
                      <w:rPr>
                        <w:rFonts w:ascii="Arial"/>
                        <w:color w:val="231F20"/>
                        <w:spacing w:val="7"/>
                        <w:sz w:val="8"/>
                      </w:rPr>
                      <w:t> </w:t>
                    </w:r>
                    <w:r>
                      <w:rPr>
                        <w:rFonts w:ascii="Arial"/>
                        <w:color w:val="231F20"/>
                        <w:w w:val="95"/>
                        <w:sz w:val="8"/>
                      </w:rPr>
                      <w:t>du</w:t>
                    </w:r>
                    <w:r>
                      <w:rPr>
                        <w:rFonts w:ascii="Arial"/>
                        <w:color w:val="231F20"/>
                        <w:spacing w:val="7"/>
                        <w:sz w:val="8"/>
                      </w:rPr>
                      <w:t> </w:t>
                    </w:r>
                    <w:r>
                      <w:rPr>
                        <w:rFonts w:ascii="Arial"/>
                        <w:color w:val="231F20"/>
                        <w:w w:val="95"/>
                        <w:sz w:val="8"/>
                      </w:rPr>
                      <w:t>rythme</w:t>
                    </w:r>
                    <w:r>
                      <w:rPr>
                        <w:rFonts w:ascii="Arial"/>
                        <w:color w:val="231F20"/>
                        <w:spacing w:val="7"/>
                        <w:sz w:val="8"/>
                      </w:rPr>
                      <w:t> </w:t>
                    </w:r>
                    <w:r>
                      <w:rPr>
                        <w:rFonts w:ascii="Arial"/>
                        <w:color w:val="231F20"/>
                        <w:spacing w:val="-2"/>
                        <w:w w:val="95"/>
                        <w:sz w:val="8"/>
                      </w:rPr>
                      <w:t>cardiaque</w:t>
                    </w:r>
                  </w:p>
                  <w:p>
                    <w:pPr>
                      <w:numPr>
                        <w:ilvl w:val="0"/>
                        <w:numId w:val="20"/>
                      </w:numPr>
                      <w:tabs>
                        <w:tab w:pos="123" w:val="left" w:leader="none"/>
                      </w:tabs>
                      <w:spacing w:before="58"/>
                      <w:ind w:left="122" w:right="0" w:hanging="123"/>
                      <w:jc w:val="left"/>
                      <w:rPr>
                        <w:rFonts w:ascii="Arial" w:hAnsi="Arial"/>
                        <w:sz w:val="8"/>
                      </w:rPr>
                    </w:pPr>
                    <w:r>
                      <w:rPr>
                        <w:rFonts w:ascii="Arial" w:hAnsi="Arial"/>
                        <w:color w:val="231F20"/>
                        <w:w w:val="95"/>
                        <w:sz w:val="8"/>
                      </w:rPr>
                      <w:t>Augmentation</w:t>
                    </w:r>
                    <w:r>
                      <w:rPr>
                        <w:rFonts w:ascii="Arial" w:hAnsi="Arial"/>
                        <w:color w:val="231F20"/>
                        <w:spacing w:val="-2"/>
                        <w:w w:val="95"/>
                        <w:sz w:val="8"/>
                      </w:rPr>
                      <w:t> </w:t>
                    </w:r>
                    <w:r>
                      <w:rPr>
                        <w:rFonts w:ascii="Arial" w:hAnsi="Arial"/>
                        <w:color w:val="231F20"/>
                        <w:w w:val="95"/>
                        <w:sz w:val="8"/>
                      </w:rPr>
                      <w:t>de</w:t>
                    </w:r>
                    <w:r>
                      <w:rPr>
                        <w:rFonts w:ascii="Arial" w:hAnsi="Arial"/>
                        <w:color w:val="231F20"/>
                        <w:spacing w:val="-1"/>
                        <w:w w:val="95"/>
                        <w:sz w:val="8"/>
                      </w:rPr>
                      <w:t> </w:t>
                    </w:r>
                    <w:r>
                      <w:rPr>
                        <w:rFonts w:ascii="Arial" w:hAnsi="Arial"/>
                        <w:color w:val="231F20"/>
                        <w:w w:val="95"/>
                        <w:sz w:val="8"/>
                      </w:rPr>
                      <w:t>la</w:t>
                    </w:r>
                    <w:r>
                      <w:rPr>
                        <w:rFonts w:ascii="Arial" w:hAnsi="Arial"/>
                        <w:color w:val="231F20"/>
                        <w:spacing w:val="-1"/>
                        <w:w w:val="95"/>
                        <w:sz w:val="8"/>
                      </w:rPr>
                      <w:t> </w:t>
                    </w:r>
                    <w:r>
                      <w:rPr>
                        <w:rFonts w:ascii="Arial" w:hAnsi="Arial"/>
                        <w:color w:val="231F20"/>
                        <w:w w:val="95"/>
                        <w:sz w:val="8"/>
                      </w:rPr>
                      <w:t>pression</w:t>
                    </w:r>
                    <w:r>
                      <w:rPr>
                        <w:rFonts w:ascii="Arial" w:hAnsi="Arial"/>
                        <w:color w:val="231F20"/>
                        <w:spacing w:val="-1"/>
                        <w:w w:val="95"/>
                        <w:sz w:val="8"/>
                      </w:rPr>
                      <w:t> </w:t>
                    </w:r>
                    <w:r>
                      <w:rPr>
                        <w:rFonts w:ascii="Arial" w:hAnsi="Arial"/>
                        <w:color w:val="231F20"/>
                        <w:spacing w:val="-2"/>
                        <w:w w:val="95"/>
                        <w:sz w:val="8"/>
                      </w:rPr>
                      <w:t>artérielle</w:t>
                    </w:r>
                  </w:p>
                  <w:p>
                    <w:pPr>
                      <w:numPr>
                        <w:ilvl w:val="0"/>
                        <w:numId w:val="20"/>
                      </w:numPr>
                      <w:tabs>
                        <w:tab w:pos="123" w:val="left" w:leader="none"/>
                      </w:tabs>
                      <w:spacing w:line="319" w:lineRule="auto" w:before="58"/>
                      <w:ind w:left="122" w:right="18" w:hanging="123"/>
                      <w:jc w:val="left"/>
                      <w:rPr>
                        <w:rFonts w:ascii="Arial" w:hAnsi="Arial"/>
                        <w:sz w:val="8"/>
                      </w:rPr>
                    </w:pPr>
                    <w:r>
                      <w:rPr>
                        <w:rFonts w:ascii="Arial" w:hAnsi="Arial"/>
                        <w:color w:val="231F20"/>
                        <w:w w:val="95"/>
                        <w:sz w:val="8"/>
                      </w:rPr>
                      <w:t>Le</w:t>
                    </w:r>
                    <w:r>
                      <w:rPr>
                        <w:rFonts w:ascii="Arial" w:hAnsi="Arial"/>
                        <w:color w:val="231F20"/>
                        <w:spacing w:val="-4"/>
                        <w:w w:val="95"/>
                        <w:sz w:val="8"/>
                      </w:rPr>
                      <w:t> </w:t>
                    </w:r>
                    <w:r>
                      <w:rPr>
                        <w:rFonts w:ascii="Arial" w:hAnsi="Arial"/>
                        <w:color w:val="231F20"/>
                        <w:w w:val="95"/>
                        <w:sz w:val="8"/>
                      </w:rPr>
                      <w:t>foie</w:t>
                    </w:r>
                    <w:r>
                      <w:rPr>
                        <w:rFonts w:ascii="Arial" w:hAnsi="Arial"/>
                        <w:color w:val="231F20"/>
                        <w:spacing w:val="-4"/>
                        <w:w w:val="95"/>
                        <w:sz w:val="8"/>
                      </w:rPr>
                      <w:t> </w:t>
                    </w:r>
                    <w:r>
                      <w:rPr>
                        <w:rFonts w:ascii="Arial" w:hAnsi="Arial"/>
                        <w:color w:val="231F20"/>
                        <w:w w:val="95"/>
                        <w:sz w:val="8"/>
                      </w:rPr>
                      <w:t>convertit</w:t>
                    </w:r>
                    <w:r>
                      <w:rPr>
                        <w:rFonts w:ascii="Arial" w:hAnsi="Arial"/>
                        <w:color w:val="231F20"/>
                        <w:spacing w:val="-4"/>
                        <w:w w:val="95"/>
                        <w:sz w:val="8"/>
                      </w:rPr>
                      <w:t> </w:t>
                    </w:r>
                    <w:r>
                      <w:rPr>
                        <w:rFonts w:ascii="Arial" w:hAnsi="Arial"/>
                        <w:color w:val="231F20"/>
                        <w:w w:val="95"/>
                        <w:sz w:val="8"/>
                      </w:rPr>
                      <w:t>le</w:t>
                    </w:r>
                    <w:r>
                      <w:rPr>
                        <w:rFonts w:ascii="Arial" w:hAnsi="Arial"/>
                        <w:color w:val="231F20"/>
                        <w:spacing w:val="-4"/>
                        <w:w w:val="95"/>
                        <w:sz w:val="8"/>
                      </w:rPr>
                      <w:t> </w:t>
                    </w:r>
                    <w:r>
                      <w:rPr>
                        <w:rFonts w:ascii="Arial" w:hAnsi="Arial"/>
                        <w:color w:val="231F20"/>
                        <w:w w:val="95"/>
                        <w:sz w:val="8"/>
                      </w:rPr>
                      <w:t>glycogène</w:t>
                    </w:r>
                    <w:r>
                      <w:rPr>
                        <w:rFonts w:ascii="Arial" w:hAnsi="Arial"/>
                        <w:color w:val="231F20"/>
                        <w:spacing w:val="-4"/>
                        <w:w w:val="95"/>
                        <w:sz w:val="8"/>
                      </w:rPr>
                      <w:t> </w:t>
                    </w:r>
                    <w:r>
                      <w:rPr>
                        <w:rFonts w:ascii="Arial" w:hAnsi="Arial"/>
                        <w:color w:val="231F20"/>
                        <w:w w:val="95"/>
                        <w:sz w:val="8"/>
                      </w:rPr>
                      <w:t>en</w:t>
                    </w:r>
                    <w:r>
                      <w:rPr>
                        <w:rFonts w:ascii="Arial" w:hAnsi="Arial"/>
                        <w:color w:val="231F20"/>
                        <w:spacing w:val="-4"/>
                        <w:w w:val="95"/>
                        <w:sz w:val="8"/>
                      </w:rPr>
                      <w:t> </w:t>
                    </w:r>
                    <w:r>
                      <w:rPr>
                        <w:rFonts w:ascii="Arial" w:hAnsi="Arial"/>
                        <w:color w:val="231F20"/>
                        <w:w w:val="95"/>
                        <w:sz w:val="8"/>
                      </w:rPr>
                      <w:t>glucose</w:t>
                    </w:r>
                    <w:r>
                      <w:rPr>
                        <w:rFonts w:ascii="Arial" w:hAnsi="Arial"/>
                        <w:color w:val="231F20"/>
                        <w:spacing w:val="40"/>
                        <w:sz w:val="8"/>
                      </w:rPr>
                      <w:t> </w:t>
                    </w:r>
                    <w:r>
                      <w:rPr>
                        <w:rFonts w:ascii="Arial" w:hAnsi="Arial"/>
                        <w:color w:val="231F20"/>
                        <w:sz w:val="8"/>
                      </w:rPr>
                      <w:t>qu’il</w:t>
                    </w:r>
                    <w:r>
                      <w:rPr>
                        <w:rFonts w:ascii="Arial" w:hAnsi="Arial"/>
                        <w:color w:val="231F20"/>
                        <w:spacing w:val="-2"/>
                        <w:sz w:val="8"/>
                      </w:rPr>
                      <w:t> </w:t>
                    </w:r>
                    <w:r>
                      <w:rPr>
                        <w:rFonts w:ascii="Arial" w:hAnsi="Arial"/>
                        <w:color w:val="231F20"/>
                        <w:sz w:val="8"/>
                      </w:rPr>
                      <w:t>libère</w:t>
                    </w:r>
                    <w:r>
                      <w:rPr>
                        <w:rFonts w:ascii="Arial" w:hAnsi="Arial"/>
                        <w:color w:val="231F20"/>
                        <w:spacing w:val="-2"/>
                        <w:sz w:val="8"/>
                      </w:rPr>
                      <w:t> </w:t>
                    </w:r>
                    <w:r>
                      <w:rPr>
                        <w:rFonts w:ascii="Arial" w:hAnsi="Arial"/>
                        <w:color w:val="231F20"/>
                        <w:sz w:val="8"/>
                      </w:rPr>
                      <w:t>dans</w:t>
                    </w:r>
                    <w:r>
                      <w:rPr>
                        <w:rFonts w:ascii="Arial" w:hAnsi="Arial"/>
                        <w:color w:val="231F20"/>
                        <w:spacing w:val="-2"/>
                        <w:sz w:val="8"/>
                      </w:rPr>
                      <w:t> </w:t>
                    </w:r>
                    <w:r>
                      <w:rPr>
                        <w:rFonts w:ascii="Arial" w:hAnsi="Arial"/>
                        <w:color w:val="231F20"/>
                        <w:sz w:val="8"/>
                      </w:rPr>
                      <w:t>le</w:t>
                    </w:r>
                    <w:r>
                      <w:rPr>
                        <w:rFonts w:ascii="Arial" w:hAnsi="Arial"/>
                        <w:color w:val="231F20"/>
                        <w:spacing w:val="-2"/>
                        <w:sz w:val="8"/>
                      </w:rPr>
                      <w:t> </w:t>
                    </w:r>
                    <w:r>
                      <w:rPr>
                        <w:rFonts w:ascii="Arial" w:hAnsi="Arial"/>
                        <w:color w:val="231F20"/>
                        <w:sz w:val="8"/>
                      </w:rPr>
                      <w:t>sang</w:t>
                    </w:r>
                  </w:p>
                  <w:p>
                    <w:pPr>
                      <w:numPr>
                        <w:ilvl w:val="0"/>
                        <w:numId w:val="20"/>
                      </w:numPr>
                      <w:tabs>
                        <w:tab w:pos="123" w:val="left" w:leader="none"/>
                      </w:tabs>
                      <w:spacing w:before="27"/>
                      <w:ind w:left="122" w:right="0" w:hanging="123"/>
                      <w:jc w:val="left"/>
                      <w:rPr>
                        <w:rFonts w:ascii="Arial"/>
                        <w:sz w:val="8"/>
                      </w:rPr>
                    </w:pPr>
                    <w:r>
                      <w:rPr>
                        <w:rFonts w:ascii="Arial"/>
                        <w:color w:val="231F20"/>
                        <w:w w:val="95"/>
                        <w:sz w:val="8"/>
                      </w:rPr>
                      <w:t>Dilatation</w:t>
                    </w:r>
                    <w:r>
                      <w:rPr>
                        <w:rFonts w:ascii="Arial"/>
                        <w:color w:val="231F20"/>
                        <w:spacing w:val="-1"/>
                        <w:w w:val="95"/>
                        <w:sz w:val="8"/>
                      </w:rPr>
                      <w:t> </w:t>
                    </w:r>
                    <w:r>
                      <w:rPr>
                        <w:rFonts w:ascii="Arial"/>
                        <w:color w:val="231F20"/>
                        <w:w w:val="95"/>
                        <w:sz w:val="8"/>
                      </w:rPr>
                      <w:t>des</w:t>
                    </w:r>
                    <w:r>
                      <w:rPr>
                        <w:rFonts w:ascii="Arial"/>
                        <w:color w:val="231F20"/>
                        <w:spacing w:val="-1"/>
                        <w:w w:val="95"/>
                        <w:sz w:val="8"/>
                      </w:rPr>
                      <w:t> </w:t>
                    </w:r>
                    <w:r>
                      <w:rPr>
                        <w:rFonts w:ascii="Arial"/>
                        <w:color w:val="231F20"/>
                        <w:spacing w:val="-2"/>
                        <w:w w:val="95"/>
                        <w:sz w:val="8"/>
                      </w:rPr>
                      <w:t>bronchioles</w:t>
                    </w:r>
                  </w:p>
                  <w:p>
                    <w:pPr>
                      <w:numPr>
                        <w:ilvl w:val="0"/>
                        <w:numId w:val="20"/>
                      </w:numPr>
                      <w:tabs>
                        <w:tab w:pos="123" w:val="left" w:leader="none"/>
                      </w:tabs>
                      <w:spacing w:line="319" w:lineRule="auto" w:before="57"/>
                      <w:ind w:left="122" w:right="80" w:hanging="123"/>
                      <w:jc w:val="left"/>
                      <w:rPr>
                        <w:rFonts w:ascii="Arial" w:hAnsi="Arial"/>
                        <w:sz w:val="8"/>
                      </w:rPr>
                    </w:pPr>
                    <w:r>
                      <w:rPr>
                        <w:rFonts w:ascii="Arial" w:hAnsi="Arial"/>
                        <w:color w:val="231F20"/>
                        <w:w w:val="95"/>
                        <w:sz w:val="8"/>
                      </w:rPr>
                      <w:t>Modifications</w:t>
                    </w:r>
                    <w:r>
                      <w:rPr>
                        <w:rFonts w:ascii="Arial" w:hAnsi="Arial"/>
                        <w:color w:val="231F20"/>
                        <w:spacing w:val="-1"/>
                        <w:w w:val="95"/>
                        <w:sz w:val="8"/>
                      </w:rPr>
                      <w:t> </w:t>
                    </w:r>
                    <w:r>
                      <w:rPr>
                        <w:rFonts w:ascii="Arial" w:hAnsi="Arial"/>
                        <w:color w:val="231F20"/>
                        <w:w w:val="95"/>
                        <w:sz w:val="8"/>
                      </w:rPr>
                      <w:t>de</w:t>
                    </w:r>
                    <w:r>
                      <w:rPr>
                        <w:rFonts w:ascii="Arial" w:hAnsi="Arial"/>
                        <w:color w:val="231F20"/>
                        <w:spacing w:val="-1"/>
                        <w:w w:val="95"/>
                        <w:sz w:val="8"/>
                      </w:rPr>
                      <w:t> </w:t>
                    </w:r>
                    <w:r>
                      <w:rPr>
                        <w:rFonts w:ascii="Arial" w:hAnsi="Arial"/>
                        <w:color w:val="231F20"/>
                        <w:w w:val="95"/>
                        <w:sz w:val="8"/>
                      </w:rPr>
                      <w:t>la</w:t>
                    </w:r>
                    <w:r>
                      <w:rPr>
                        <w:rFonts w:ascii="Arial" w:hAnsi="Arial"/>
                        <w:color w:val="231F20"/>
                        <w:spacing w:val="-1"/>
                        <w:w w:val="95"/>
                        <w:sz w:val="8"/>
                      </w:rPr>
                      <w:t> </w:t>
                    </w:r>
                    <w:r>
                      <w:rPr>
                        <w:rFonts w:ascii="Arial" w:hAnsi="Arial"/>
                        <w:color w:val="231F20"/>
                        <w:w w:val="95"/>
                        <w:sz w:val="8"/>
                      </w:rPr>
                      <w:t>circulation</w:t>
                    </w:r>
                    <w:r>
                      <w:rPr>
                        <w:rFonts w:ascii="Arial" w:hAnsi="Arial"/>
                        <w:color w:val="231F20"/>
                        <w:spacing w:val="-1"/>
                        <w:w w:val="95"/>
                        <w:sz w:val="8"/>
                      </w:rPr>
                      <w:t> </w:t>
                    </w:r>
                    <w:r>
                      <w:rPr>
                        <w:rFonts w:ascii="Arial" w:hAnsi="Arial"/>
                        <w:color w:val="231F20"/>
                        <w:w w:val="95"/>
                        <w:sz w:val="8"/>
                      </w:rPr>
                      <w:t>normale</w:t>
                    </w:r>
                    <w:r>
                      <w:rPr>
                        <w:rFonts w:ascii="Arial" w:hAnsi="Arial"/>
                        <w:color w:val="231F20"/>
                        <w:spacing w:val="40"/>
                        <w:sz w:val="8"/>
                      </w:rPr>
                      <w:t> </w:t>
                    </w:r>
                    <w:r>
                      <w:rPr>
                        <w:rFonts w:ascii="Arial" w:hAnsi="Arial"/>
                        <w:color w:val="231F20"/>
                        <w:sz w:val="8"/>
                      </w:rPr>
                      <w:t>du</w:t>
                    </w:r>
                    <w:r>
                      <w:rPr>
                        <w:rFonts w:ascii="Arial" w:hAnsi="Arial"/>
                        <w:color w:val="231F20"/>
                        <w:spacing w:val="-2"/>
                        <w:sz w:val="8"/>
                      </w:rPr>
                      <w:t> </w:t>
                    </w:r>
                    <w:r>
                      <w:rPr>
                        <w:rFonts w:ascii="Arial" w:hAnsi="Arial"/>
                        <w:color w:val="231F20"/>
                        <w:sz w:val="8"/>
                      </w:rPr>
                      <w:t>sang</w:t>
                    </w:r>
                    <w:r>
                      <w:rPr>
                        <w:rFonts w:ascii="Arial" w:hAnsi="Arial"/>
                        <w:color w:val="231F20"/>
                        <w:spacing w:val="-2"/>
                        <w:sz w:val="8"/>
                      </w:rPr>
                      <w:t> </w:t>
                    </w:r>
                    <w:r>
                      <w:rPr>
                        <w:rFonts w:ascii="Arial" w:hAnsi="Arial"/>
                        <w:color w:val="231F20"/>
                        <w:sz w:val="8"/>
                      </w:rPr>
                      <w:t>conduisant</w:t>
                    </w:r>
                    <w:r>
                      <w:rPr>
                        <w:rFonts w:ascii="Arial" w:hAnsi="Arial"/>
                        <w:color w:val="231F20"/>
                        <w:spacing w:val="-2"/>
                        <w:sz w:val="8"/>
                      </w:rPr>
                      <w:t> </w:t>
                    </w:r>
                    <w:r>
                      <w:rPr>
                        <w:rFonts w:ascii="Arial" w:hAnsi="Arial"/>
                        <w:color w:val="231F20"/>
                        <w:sz w:val="8"/>
                      </w:rPr>
                      <w:t>à</w:t>
                    </w:r>
                    <w:r>
                      <w:rPr>
                        <w:rFonts w:ascii="Arial" w:hAnsi="Arial"/>
                        <w:color w:val="231F20"/>
                        <w:spacing w:val="-2"/>
                        <w:sz w:val="8"/>
                      </w:rPr>
                      <w:t> </w:t>
                    </w:r>
                    <w:r>
                      <w:rPr>
                        <w:rFonts w:ascii="Arial" w:hAnsi="Arial"/>
                        <w:color w:val="231F20"/>
                        <w:sz w:val="8"/>
                      </w:rPr>
                      <w:t>un</w:t>
                    </w:r>
                    <w:r>
                      <w:rPr>
                        <w:rFonts w:ascii="Arial" w:hAnsi="Arial"/>
                        <w:color w:val="231F20"/>
                        <w:spacing w:val="-2"/>
                        <w:sz w:val="8"/>
                      </w:rPr>
                      <w:t> </w:t>
                    </w:r>
                    <w:r>
                      <w:rPr>
                        <w:rFonts w:ascii="Arial" w:hAnsi="Arial"/>
                        <w:color w:val="231F20"/>
                        <w:sz w:val="8"/>
                      </w:rPr>
                      <w:t>état</w:t>
                    </w:r>
                    <w:r>
                      <w:rPr>
                        <w:rFonts w:ascii="Arial" w:hAnsi="Arial"/>
                        <w:color w:val="231F20"/>
                        <w:spacing w:val="-2"/>
                        <w:sz w:val="8"/>
                      </w:rPr>
                      <w:t> </w:t>
                    </w:r>
                    <w:r>
                      <w:rPr>
                        <w:rFonts w:ascii="Arial" w:hAnsi="Arial"/>
                        <w:color w:val="231F20"/>
                        <w:sz w:val="8"/>
                      </w:rPr>
                      <w:t>de</w:t>
                    </w:r>
                    <w:r>
                      <w:rPr>
                        <w:rFonts w:ascii="Arial" w:hAnsi="Arial"/>
                        <w:color w:val="231F20"/>
                        <w:spacing w:val="40"/>
                        <w:sz w:val="8"/>
                      </w:rPr>
                      <w:t> </w:t>
                    </w:r>
                    <w:r>
                      <w:rPr>
                        <w:rFonts w:ascii="Arial" w:hAnsi="Arial"/>
                        <w:color w:val="231F20"/>
                        <w:w w:val="95"/>
                        <w:sz w:val="8"/>
                      </w:rPr>
                      <w:t>vigilance</w:t>
                    </w:r>
                    <w:r>
                      <w:rPr>
                        <w:rFonts w:ascii="Arial" w:hAnsi="Arial"/>
                        <w:color w:val="231F20"/>
                        <w:spacing w:val="-1"/>
                        <w:w w:val="95"/>
                        <w:sz w:val="8"/>
                      </w:rPr>
                      <w:t> </w:t>
                    </w:r>
                    <w:r>
                      <w:rPr>
                        <w:rFonts w:ascii="Arial" w:hAnsi="Arial"/>
                        <w:color w:val="231F20"/>
                        <w:w w:val="95"/>
                        <w:sz w:val="8"/>
                      </w:rPr>
                      <w:t>accrue,</w:t>
                    </w:r>
                    <w:r>
                      <w:rPr>
                        <w:rFonts w:ascii="Arial" w:hAnsi="Arial"/>
                        <w:color w:val="231F20"/>
                        <w:spacing w:val="-1"/>
                        <w:w w:val="95"/>
                        <w:sz w:val="8"/>
                      </w:rPr>
                      <w:t> </w:t>
                    </w:r>
                    <w:r>
                      <w:rPr>
                        <w:rFonts w:ascii="Arial" w:hAnsi="Arial"/>
                        <w:color w:val="231F20"/>
                        <w:w w:val="95"/>
                        <w:sz w:val="8"/>
                      </w:rPr>
                      <w:t>une</w:t>
                    </w:r>
                    <w:r>
                      <w:rPr>
                        <w:rFonts w:ascii="Arial" w:hAnsi="Arial"/>
                        <w:color w:val="231F20"/>
                        <w:spacing w:val="-1"/>
                        <w:w w:val="95"/>
                        <w:sz w:val="8"/>
                      </w:rPr>
                      <w:t> </w:t>
                    </w:r>
                    <w:r>
                      <w:rPr>
                        <w:rFonts w:ascii="Arial" w:hAnsi="Arial"/>
                        <w:color w:val="231F20"/>
                        <w:w w:val="95"/>
                        <w:sz w:val="8"/>
                      </w:rPr>
                      <w:t>baisse</w:t>
                    </w:r>
                    <w:r>
                      <w:rPr>
                        <w:rFonts w:ascii="Arial" w:hAnsi="Arial"/>
                        <w:color w:val="231F20"/>
                        <w:spacing w:val="-1"/>
                        <w:w w:val="95"/>
                        <w:sz w:val="8"/>
                      </w:rPr>
                      <w:t> </w:t>
                    </w:r>
                    <w:r>
                      <w:rPr>
                        <w:rFonts w:ascii="Arial" w:hAnsi="Arial"/>
                        <w:color w:val="231F20"/>
                        <w:w w:val="95"/>
                        <w:sz w:val="8"/>
                      </w:rPr>
                      <w:t>d’activité</w:t>
                    </w:r>
                    <w:r>
                      <w:rPr>
                        <w:rFonts w:ascii="Arial" w:hAnsi="Arial"/>
                        <w:color w:val="231F20"/>
                        <w:spacing w:val="40"/>
                        <w:sz w:val="8"/>
                      </w:rPr>
                      <w:t> </w:t>
                    </w:r>
                    <w:r>
                      <w:rPr>
                        <w:rFonts w:ascii="Arial" w:hAnsi="Arial"/>
                        <w:color w:val="231F20"/>
                        <w:sz w:val="8"/>
                      </w:rPr>
                      <w:t>du</w:t>
                    </w:r>
                    <w:r>
                      <w:rPr>
                        <w:rFonts w:ascii="Arial" w:hAnsi="Arial"/>
                        <w:color w:val="231F20"/>
                        <w:spacing w:val="-3"/>
                        <w:sz w:val="8"/>
                      </w:rPr>
                      <w:t> </w:t>
                    </w:r>
                    <w:r>
                      <w:rPr>
                        <w:rFonts w:ascii="Arial" w:hAnsi="Arial"/>
                        <w:color w:val="231F20"/>
                        <w:sz w:val="8"/>
                      </w:rPr>
                      <w:t>système</w:t>
                    </w:r>
                    <w:r>
                      <w:rPr>
                        <w:rFonts w:ascii="Arial" w:hAnsi="Arial"/>
                        <w:color w:val="231F20"/>
                        <w:spacing w:val="-3"/>
                        <w:sz w:val="8"/>
                      </w:rPr>
                      <w:t> </w:t>
                    </w:r>
                    <w:r>
                      <w:rPr>
                        <w:rFonts w:ascii="Arial" w:hAnsi="Arial"/>
                        <w:color w:val="231F20"/>
                        <w:sz w:val="8"/>
                      </w:rPr>
                      <w:t>digestif</w:t>
                    </w:r>
                    <w:r>
                      <w:rPr>
                        <w:rFonts w:ascii="Arial" w:hAnsi="Arial"/>
                        <w:color w:val="231F20"/>
                        <w:spacing w:val="-3"/>
                        <w:sz w:val="8"/>
                      </w:rPr>
                      <w:t> </w:t>
                    </w:r>
                    <w:r>
                      <w:rPr>
                        <w:rFonts w:ascii="Arial" w:hAnsi="Arial"/>
                        <w:color w:val="231F20"/>
                        <w:sz w:val="8"/>
                      </w:rPr>
                      <w:t>et</w:t>
                    </w:r>
                    <w:r>
                      <w:rPr>
                        <w:rFonts w:ascii="Arial" w:hAnsi="Arial"/>
                        <w:color w:val="231F20"/>
                        <w:spacing w:val="-3"/>
                        <w:sz w:val="8"/>
                      </w:rPr>
                      <w:t> </w:t>
                    </w:r>
                    <w:r>
                      <w:rPr>
                        <w:rFonts w:ascii="Arial" w:hAnsi="Arial"/>
                        <w:color w:val="231F20"/>
                        <w:sz w:val="8"/>
                      </w:rPr>
                      <w:t>une</w:t>
                    </w:r>
                    <w:r>
                      <w:rPr>
                        <w:rFonts w:ascii="Arial" w:hAnsi="Arial"/>
                        <w:color w:val="231F20"/>
                        <w:spacing w:val="-3"/>
                        <w:sz w:val="8"/>
                      </w:rPr>
                      <w:t> </w:t>
                    </w:r>
                    <w:r>
                      <w:rPr>
                        <w:rFonts w:ascii="Arial" w:hAnsi="Arial"/>
                        <w:color w:val="231F20"/>
                        <w:sz w:val="8"/>
                      </w:rPr>
                      <w:t>baisse</w:t>
                    </w:r>
                    <w:r>
                      <w:rPr>
                        <w:rFonts w:ascii="Arial" w:hAnsi="Arial"/>
                        <w:color w:val="231F20"/>
                        <w:spacing w:val="-3"/>
                        <w:sz w:val="8"/>
                      </w:rPr>
                      <w:t> </w:t>
                    </w:r>
                    <w:r>
                      <w:rPr>
                        <w:rFonts w:ascii="Arial" w:hAnsi="Arial"/>
                        <w:color w:val="231F20"/>
                        <w:sz w:val="8"/>
                      </w:rPr>
                      <w:t>de</w:t>
                    </w:r>
                  </w:p>
                  <w:p>
                    <w:pPr>
                      <w:spacing w:before="1"/>
                      <w:ind w:left="122" w:right="0" w:firstLine="0"/>
                      <w:jc w:val="left"/>
                      <w:rPr>
                        <w:rFonts w:ascii="Arial" w:hAnsi="Arial"/>
                        <w:sz w:val="8"/>
                      </w:rPr>
                    </w:pPr>
                    <w:r>
                      <w:rPr>
                        <w:rFonts w:ascii="Arial" w:hAnsi="Arial"/>
                        <w:color w:val="231F20"/>
                        <w:w w:val="95"/>
                        <w:sz w:val="8"/>
                      </w:rPr>
                      <w:t>la</w:t>
                    </w:r>
                    <w:r>
                      <w:rPr>
                        <w:rFonts w:ascii="Arial" w:hAnsi="Arial"/>
                        <w:color w:val="231F20"/>
                        <w:spacing w:val="3"/>
                        <w:sz w:val="8"/>
                      </w:rPr>
                      <w:t> </w:t>
                    </w:r>
                    <w:r>
                      <w:rPr>
                        <w:rFonts w:ascii="Arial" w:hAnsi="Arial"/>
                        <w:color w:val="231F20"/>
                        <w:w w:val="95"/>
                        <w:sz w:val="8"/>
                      </w:rPr>
                      <w:t>production</w:t>
                    </w:r>
                    <w:r>
                      <w:rPr>
                        <w:rFonts w:ascii="Arial" w:hAnsi="Arial"/>
                        <w:color w:val="231F20"/>
                        <w:spacing w:val="3"/>
                        <w:sz w:val="8"/>
                      </w:rPr>
                      <w:t> </w:t>
                    </w:r>
                    <w:r>
                      <w:rPr>
                        <w:rFonts w:ascii="Arial" w:hAnsi="Arial"/>
                        <w:color w:val="231F20"/>
                        <w:spacing w:val="-2"/>
                        <w:w w:val="95"/>
                        <w:sz w:val="8"/>
                      </w:rPr>
                      <w:t>d’urine</w:t>
                    </w:r>
                  </w:p>
                  <w:p>
                    <w:pPr>
                      <w:numPr>
                        <w:ilvl w:val="0"/>
                        <w:numId w:val="20"/>
                      </w:numPr>
                      <w:tabs>
                        <w:tab w:pos="123" w:val="left" w:leader="none"/>
                      </w:tabs>
                      <w:spacing w:before="57"/>
                      <w:ind w:left="122" w:right="0" w:hanging="123"/>
                      <w:jc w:val="left"/>
                      <w:rPr>
                        <w:rFonts w:ascii="Arial" w:hAnsi="Arial"/>
                        <w:sz w:val="8"/>
                      </w:rPr>
                    </w:pPr>
                    <w:r>
                      <w:rPr>
                        <w:rFonts w:ascii="Arial" w:hAnsi="Arial"/>
                        <w:color w:val="231F20"/>
                        <w:w w:val="95"/>
                        <w:sz w:val="8"/>
                      </w:rPr>
                      <w:t>Augmentation</w:t>
                    </w:r>
                    <w:r>
                      <w:rPr>
                        <w:rFonts w:ascii="Arial" w:hAnsi="Arial"/>
                        <w:color w:val="231F20"/>
                        <w:spacing w:val="2"/>
                        <w:sz w:val="8"/>
                      </w:rPr>
                      <w:t> </w:t>
                    </w:r>
                    <w:r>
                      <w:rPr>
                        <w:rFonts w:ascii="Arial" w:hAnsi="Arial"/>
                        <w:color w:val="231F20"/>
                        <w:w w:val="95"/>
                        <w:sz w:val="8"/>
                      </w:rPr>
                      <w:t>du</w:t>
                    </w:r>
                    <w:r>
                      <w:rPr>
                        <w:rFonts w:ascii="Arial" w:hAnsi="Arial"/>
                        <w:color w:val="231F20"/>
                        <w:spacing w:val="3"/>
                        <w:sz w:val="8"/>
                      </w:rPr>
                      <w:t> </w:t>
                    </w:r>
                    <w:r>
                      <w:rPr>
                        <w:rFonts w:ascii="Arial" w:hAnsi="Arial"/>
                        <w:color w:val="231F20"/>
                        <w:w w:val="95"/>
                        <w:sz w:val="8"/>
                      </w:rPr>
                      <w:t>taux</w:t>
                    </w:r>
                    <w:r>
                      <w:rPr>
                        <w:rFonts w:ascii="Arial" w:hAnsi="Arial"/>
                        <w:color w:val="231F20"/>
                        <w:spacing w:val="3"/>
                        <w:sz w:val="8"/>
                      </w:rPr>
                      <w:t> </w:t>
                    </w:r>
                    <w:r>
                      <w:rPr>
                        <w:rFonts w:ascii="Arial" w:hAnsi="Arial"/>
                        <w:color w:val="231F20"/>
                        <w:spacing w:val="-2"/>
                        <w:w w:val="95"/>
                        <w:sz w:val="8"/>
                      </w:rPr>
                      <w:t>métabolique</w:t>
                    </w:r>
                  </w:p>
                </w:txbxContent>
              </v:textbox>
              <w10:wrap type="none"/>
            </v:shape>
            <v:shape style="position:absolute;left:5160;top:3163;width:1513;height:135" type="#_x0000_t202" id="docshape184" filled="false" stroked="false">
              <v:textbox inset="0,0,0,0">
                <w:txbxContent>
                  <w:p>
                    <w:pPr>
                      <w:spacing w:before="18"/>
                      <w:ind w:left="0" w:right="0" w:firstLine="0"/>
                      <w:jc w:val="left"/>
                      <w:rPr>
                        <w:rFonts w:ascii="Arial" w:hAnsi="Arial"/>
                        <w:b/>
                        <w:sz w:val="10"/>
                      </w:rPr>
                    </w:pPr>
                    <w:r>
                      <w:rPr>
                        <w:rFonts w:ascii="Arial" w:hAnsi="Arial"/>
                        <w:b/>
                        <w:color w:val="231F20"/>
                        <w:w w:val="90"/>
                        <w:sz w:val="10"/>
                      </w:rPr>
                      <w:t>Réactions</w:t>
                    </w:r>
                    <w:r>
                      <w:rPr>
                        <w:rFonts w:ascii="Arial" w:hAnsi="Arial"/>
                        <w:b/>
                        <w:color w:val="231F20"/>
                        <w:spacing w:val="2"/>
                        <w:sz w:val="10"/>
                      </w:rPr>
                      <w:t> </w:t>
                    </w:r>
                    <w:r>
                      <w:rPr>
                        <w:rFonts w:ascii="Arial" w:hAnsi="Arial"/>
                        <w:b/>
                        <w:color w:val="231F20"/>
                        <w:w w:val="90"/>
                        <w:sz w:val="10"/>
                      </w:rPr>
                      <w:t>au</w:t>
                    </w:r>
                    <w:r>
                      <w:rPr>
                        <w:rFonts w:ascii="Arial" w:hAnsi="Arial"/>
                        <w:b/>
                        <w:color w:val="231F20"/>
                        <w:spacing w:val="2"/>
                        <w:sz w:val="10"/>
                      </w:rPr>
                      <w:t> </w:t>
                    </w:r>
                    <w:r>
                      <w:rPr>
                        <w:rFonts w:ascii="Arial" w:hAnsi="Arial"/>
                        <w:b/>
                        <w:color w:val="231F20"/>
                        <w:w w:val="90"/>
                        <w:sz w:val="10"/>
                      </w:rPr>
                      <w:t>stress</w:t>
                    </w:r>
                    <w:r>
                      <w:rPr>
                        <w:rFonts w:ascii="Arial" w:hAnsi="Arial"/>
                        <w:b/>
                        <w:color w:val="231F20"/>
                        <w:spacing w:val="3"/>
                        <w:sz w:val="10"/>
                      </w:rPr>
                      <w:t> </w:t>
                    </w:r>
                    <w:r>
                      <w:rPr>
                        <w:rFonts w:ascii="Arial" w:hAnsi="Arial"/>
                        <w:b/>
                        <w:color w:val="231F20"/>
                        <w:w w:val="90"/>
                        <w:sz w:val="10"/>
                      </w:rPr>
                      <w:t>à</w:t>
                    </w:r>
                    <w:r>
                      <w:rPr>
                        <w:rFonts w:ascii="Arial" w:hAnsi="Arial"/>
                        <w:b/>
                        <w:color w:val="231F20"/>
                        <w:spacing w:val="2"/>
                        <w:sz w:val="10"/>
                      </w:rPr>
                      <w:t> </w:t>
                    </w:r>
                    <w:r>
                      <w:rPr>
                        <w:rFonts w:ascii="Arial" w:hAnsi="Arial"/>
                        <w:b/>
                        <w:color w:val="231F20"/>
                        <w:w w:val="90"/>
                        <w:sz w:val="10"/>
                      </w:rPr>
                      <w:t>long</w:t>
                    </w:r>
                    <w:r>
                      <w:rPr>
                        <w:rFonts w:ascii="Arial" w:hAnsi="Arial"/>
                        <w:b/>
                        <w:color w:val="231F20"/>
                        <w:spacing w:val="3"/>
                        <w:sz w:val="10"/>
                      </w:rPr>
                      <w:t> </w:t>
                    </w:r>
                    <w:r>
                      <w:rPr>
                        <w:rFonts w:ascii="Arial" w:hAnsi="Arial"/>
                        <w:b/>
                        <w:color w:val="231F20"/>
                        <w:spacing w:val="-2"/>
                        <w:w w:val="90"/>
                        <w:sz w:val="10"/>
                      </w:rPr>
                      <w:t>terme</w:t>
                    </w:r>
                  </w:p>
                </w:txbxContent>
              </v:textbox>
              <w10:wrap type="none"/>
            </v:shape>
            <v:shape style="position:absolute;left:4778;top:3357;width:938;height:676" type="#_x0000_t202" id="docshape185" filled="false" stroked="false">
              <v:textbox inset="0,0,0,0">
                <w:txbxContent>
                  <w:p>
                    <w:pPr>
                      <w:numPr>
                        <w:ilvl w:val="0"/>
                        <w:numId w:val="21"/>
                      </w:numPr>
                      <w:tabs>
                        <w:tab w:pos="123" w:val="left" w:leader="none"/>
                      </w:tabs>
                      <w:spacing w:before="11"/>
                      <w:ind w:left="122" w:right="0" w:hanging="123"/>
                      <w:jc w:val="left"/>
                      <w:rPr>
                        <w:rFonts w:ascii="Arial"/>
                        <w:sz w:val="8"/>
                      </w:rPr>
                    </w:pPr>
                    <w:r>
                      <w:rPr>
                        <w:rFonts w:ascii="Arial"/>
                        <w:color w:val="231F20"/>
                        <w:w w:val="95"/>
                        <w:sz w:val="8"/>
                      </w:rPr>
                      <w:t>Augmentation</w:t>
                    </w:r>
                    <w:r>
                      <w:rPr>
                        <w:rFonts w:ascii="Arial"/>
                        <w:color w:val="231F20"/>
                        <w:spacing w:val="13"/>
                        <w:sz w:val="8"/>
                      </w:rPr>
                      <w:t> </w:t>
                    </w:r>
                    <w:r>
                      <w:rPr>
                        <w:rFonts w:ascii="Arial"/>
                        <w:color w:val="231F20"/>
                        <w:spacing w:val="-5"/>
                        <w:sz w:val="8"/>
                      </w:rPr>
                      <w:t>de</w:t>
                    </w:r>
                  </w:p>
                  <w:p>
                    <w:pPr>
                      <w:spacing w:line="283" w:lineRule="auto" w:before="17"/>
                      <w:ind w:left="122" w:right="30" w:firstLine="0"/>
                      <w:jc w:val="left"/>
                      <w:rPr>
                        <w:rFonts w:ascii="Arial" w:hAnsi="Arial"/>
                        <w:sz w:val="8"/>
                      </w:rPr>
                    </w:pPr>
                    <w:r>
                      <w:rPr>
                        <w:rFonts w:ascii="Arial" w:hAnsi="Arial"/>
                        <w:color w:val="231F20"/>
                        <w:sz w:val="8"/>
                      </w:rPr>
                      <w:t>la</w:t>
                    </w:r>
                    <w:r>
                      <w:rPr>
                        <w:rFonts w:ascii="Arial" w:hAnsi="Arial"/>
                        <w:color w:val="231F20"/>
                        <w:spacing w:val="-6"/>
                        <w:sz w:val="8"/>
                      </w:rPr>
                      <w:t> </w:t>
                    </w:r>
                    <w:r>
                      <w:rPr>
                        <w:rFonts w:ascii="Arial" w:hAnsi="Arial"/>
                        <w:color w:val="231F20"/>
                        <w:sz w:val="8"/>
                      </w:rPr>
                      <w:t>rétention</w:t>
                    </w:r>
                    <w:r>
                      <w:rPr>
                        <w:rFonts w:ascii="Arial" w:hAnsi="Arial"/>
                        <w:color w:val="231F20"/>
                        <w:spacing w:val="-6"/>
                        <w:sz w:val="8"/>
                      </w:rPr>
                      <w:t> </w:t>
                    </w:r>
                    <w:r>
                      <w:rPr>
                        <w:rFonts w:ascii="Arial" w:hAnsi="Arial"/>
                        <w:color w:val="231F20"/>
                        <w:sz w:val="8"/>
                      </w:rPr>
                      <w:t>d’eau</w:t>
                    </w:r>
                    <w:r>
                      <w:rPr>
                        <w:rFonts w:ascii="Arial" w:hAnsi="Arial"/>
                        <w:color w:val="231F20"/>
                        <w:spacing w:val="-6"/>
                        <w:sz w:val="8"/>
                      </w:rPr>
                      <w:t> </w:t>
                    </w:r>
                    <w:r>
                      <w:rPr>
                        <w:rFonts w:ascii="Arial" w:hAnsi="Arial"/>
                        <w:color w:val="231F20"/>
                        <w:sz w:val="8"/>
                      </w:rPr>
                      <w:t>et</w:t>
                    </w:r>
                    <w:r>
                      <w:rPr>
                        <w:rFonts w:ascii="Arial" w:hAnsi="Arial"/>
                        <w:color w:val="231F20"/>
                        <w:spacing w:val="40"/>
                        <w:sz w:val="8"/>
                      </w:rPr>
                      <w:t> </w:t>
                    </w:r>
                    <w:r>
                      <w:rPr>
                        <w:rFonts w:ascii="Arial" w:hAnsi="Arial"/>
                        <w:color w:val="231F20"/>
                        <w:w w:val="95"/>
                        <w:sz w:val="8"/>
                      </w:rPr>
                      <w:t>du</w:t>
                    </w:r>
                    <w:r>
                      <w:rPr>
                        <w:rFonts w:ascii="Arial" w:hAnsi="Arial"/>
                        <w:color w:val="231F20"/>
                        <w:spacing w:val="-6"/>
                        <w:w w:val="95"/>
                        <w:sz w:val="8"/>
                      </w:rPr>
                      <w:t> </w:t>
                    </w:r>
                    <w:r>
                      <w:rPr>
                        <w:rFonts w:ascii="Arial" w:hAnsi="Arial"/>
                        <w:color w:val="231F20"/>
                        <w:w w:val="95"/>
                        <w:sz w:val="8"/>
                      </w:rPr>
                      <w:t>sodium</w:t>
                    </w:r>
                    <w:r>
                      <w:rPr>
                        <w:rFonts w:ascii="Arial" w:hAnsi="Arial"/>
                        <w:color w:val="231F20"/>
                        <w:spacing w:val="-6"/>
                        <w:w w:val="95"/>
                        <w:sz w:val="8"/>
                      </w:rPr>
                      <w:t> </w:t>
                    </w:r>
                    <w:r>
                      <w:rPr>
                        <w:rFonts w:ascii="Arial" w:hAnsi="Arial"/>
                        <w:color w:val="231F20"/>
                        <w:w w:val="95"/>
                        <w:sz w:val="8"/>
                      </w:rPr>
                      <w:t>par</w:t>
                    </w:r>
                    <w:r>
                      <w:rPr>
                        <w:rFonts w:ascii="Arial" w:hAnsi="Arial"/>
                        <w:color w:val="231F20"/>
                        <w:spacing w:val="-6"/>
                        <w:w w:val="95"/>
                        <w:sz w:val="8"/>
                      </w:rPr>
                      <w:t> </w:t>
                    </w:r>
                    <w:r>
                      <w:rPr>
                        <w:rFonts w:ascii="Arial" w:hAnsi="Arial"/>
                        <w:color w:val="231F20"/>
                        <w:w w:val="95"/>
                        <w:sz w:val="8"/>
                      </w:rPr>
                      <w:t>les</w:t>
                    </w:r>
                    <w:r>
                      <w:rPr>
                        <w:rFonts w:ascii="Arial" w:hAnsi="Arial"/>
                        <w:color w:val="231F20"/>
                        <w:spacing w:val="-6"/>
                        <w:w w:val="95"/>
                        <w:sz w:val="8"/>
                      </w:rPr>
                      <w:t> </w:t>
                    </w:r>
                    <w:r>
                      <w:rPr>
                        <w:rFonts w:ascii="Arial" w:hAnsi="Arial"/>
                        <w:color w:val="231F20"/>
                        <w:w w:val="95"/>
                        <w:sz w:val="8"/>
                      </w:rPr>
                      <w:t>reins</w:t>
                    </w:r>
                  </w:p>
                  <w:p>
                    <w:pPr>
                      <w:numPr>
                        <w:ilvl w:val="0"/>
                        <w:numId w:val="21"/>
                      </w:numPr>
                      <w:tabs>
                        <w:tab w:pos="123" w:val="left" w:leader="none"/>
                      </w:tabs>
                      <w:spacing w:line="283" w:lineRule="auto" w:before="28"/>
                      <w:ind w:left="122" w:right="186" w:hanging="123"/>
                      <w:jc w:val="left"/>
                      <w:rPr>
                        <w:rFonts w:ascii="Arial"/>
                        <w:sz w:val="8"/>
                      </w:rPr>
                    </w:pPr>
                    <w:r>
                      <w:rPr>
                        <w:rFonts w:ascii="Arial"/>
                        <w:color w:val="231F20"/>
                        <w:sz w:val="8"/>
                      </w:rPr>
                      <w:t>Augmentation</w:t>
                    </w:r>
                    <w:r>
                      <w:rPr>
                        <w:rFonts w:ascii="Arial"/>
                        <w:color w:val="231F20"/>
                        <w:spacing w:val="-7"/>
                        <w:sz w:val="8"/>
                      </w:rPr>
                      <w:t> </w:t>
                    </w:r>
                    <w:r>
                      <w:rPr>
                        <w:rFonts w:ascii="Arial"/>
                        <w:color w:val="231F20"/>
                        <w:sz w:val="8"/>
                      </w:rPr>
                      <w:t>du</w:t>
                    </w:r>
                    <w:r>
                      <w:rPr>
                        <w:rFonts w:ascii="Arial"/>
                        <w:color w:val="231F20"/>
                        <w:spacing w:val="40"/>
                        <w:sz w:val="8"/>
                      </w:rPr>
                      <w:t> </w:t>
                    </w:r>
                    <w:r>
                      <w:rPr>
                        <w:rFonts w:ascii="Arial"/>
                        <w:color w:val="231F20"/>
                        <w:w w:val="90"/>
                        <w:sz w:val="8"/>
                      </w:rPr>
                      <w:t>volume</w:t>
                    </w:r>
                    <w:r>
                      <w:rPr>
                        <w:rFonts w:ascii="Arial"/>
                        <w:color w:val="231F20"/>
                        <w:spacing w:val="10"/>
                        <w:sz w:val="8"/>
                      </w:rPr>
                      <w:t> </w:t>
                    </w:r>
                    <w:r>
                      <w:rPr>
                        <w:rFonts w:ascii="Arial"/>
                        <w:color w:val="231F20"/>
                        <w:w w:val="90"/>
                        <w:sz w:val="8"/>
                      </w:rPr>
                      <w:t>sanguin</w:t>
                    </w:r>
                    <w:r>
                      <w:rPr>
                        <w:rFonts w:ascii="Arial"/>
                        <w:color w:val="231F20"/>
                        <w:spacing w:val="11"/>
                        <w:sz w:val="8"/>
                      </w:rPr>
                      <w:t> </w:t>
                    </w:r>
                    <w:r>
                      <w:rPr>
                        <w:rFonts w:ascii="Arial"/>
                        <w:color w:val="231F20"/>
                        <w:spacing w:val="-5"/>
                        <w:w w:val="90"/>
                        <w:sz w:val="8"/>
                      </w:rPr>
                      <w:t>et</w:t>
                    </w:r>
                  </w:p>
                  <w:p>
                    <w:pPr>
                      <w:spacing w:before="0"/>
                      <w:ind w:left="122" w:right="0" w:firstLine="0"/>
                      <w:jc w:val="left"/>
                      <w:rPr>
                        <w:rFonts w:ascii="Arial" w:hAnsi="Arial"/>
                        <w:sz w:val="8"/>
                      </w:rPr>
                    </w:pPr>
                    <w:r>
                      <w:rPr>
                        <w:rFonts w:ascii="Arial" w:hAnsi="Arial"/>
                        <w:color w:val="231F20"/>
                        <w:w w:val="90"/>
                        <w:sz w:val="8"/>
                      </w:rPr>
                      <w:t>de</w:t>
                    </w:r>
                    <w:r>
                      <w:rPr>
                        <w:rFonts w:ascii="Arial" w:hAnsi="Arial"/>
                        <w:color w:val="231F20"/>
                        <w:sz w:val="8"/>
                      </w:rPr>
                      <w:t> </w:t>
                    </w:r>
                    <w:r>
                      <w:rPr>
                        <w:rFonts w:ascii="Arial" w:hAnsi="Arial"/>
                        <w:color w:val="231F20"/>
                        <w:w w:val="90"/>
                        <w:sz w:val="8"/>
                      </w:rPr>
                      <w:t>la</w:t>
                    </w:r>
                    <w:r>
                      <w:rPr>
                        <w:rFonts w:ascii="Arial" w:hAnsi="Arial"/>
                        <w:color w:val="231F20"/>
                        <w:sz w:val="8"/>
                      </w:rPr>
                      <w:t> </w:t>
                    </w:r>
                    <w:r>
                      <w:rPr>
                        <w:rFonts w:ascii="Arial" w:hAnsi="Arial"/>
                        <w:color w:val="231F20"/>
                        <w:w w:val="90"/>
                        <w:sz w:val="8"/>
                      </w:rPr>
                      <w:t>pression</w:t>
                    </w:r>
                    <w:r>
                      <w:rPr>
                        <w:rFonts w:ascii="Arial" w:hAnsi="Arial"/>
                        <w:color w:val="231F20"/>
                        <w:sz w:val="8"/>
                      </w:rPr>
                      <w:t> </w:t>
                    </w:r>
                    <w:r>
                      <w:rPr>
                        <w:rFonts w:ascii="Arial" w:hAnsi="Arial"/>
                        <w:color w:val="231F20"/>
                        <w:spacing w:val="-2"/>
                        <w:w w:val="90"/>
                        <w:sz w:val="8"/>
                      </w:rPr>
                      <w:t>artérielle</w:t>
                    </w:r>
                  </w:p>
                </w:txbxContent>
              </v:textbox>
              <w10:wrap type="none"/>
            </v:shape>
            <v:shape style="position:absolute;left:5972;top:3357;width:1094;height:703" type="#_x0000_t202" id="docshape186" filled="false" stroked="false">
              <v:textbox inset="0,0,0,0">
                <w:txbxContent>
                  <w:p>
                    <w:pPr>
                      <w:numPr>
                        <w:ilvl w:val="0"/>
                        <w:numId w:val="22"/>
                      </w:numPr>
                      <w:tabs>
                        <w:tab w:pos="123" w:val="left" w:leader="none"/>
                      </w:tabs>
                      <w:spacing w:line="283" w:lineRule="auto" w:before="11"/>
                      <w:ind w:left="122" w:right="18" w:hanging="123"/>
                      <w:jc w:val="left"/>
                      <w:rPr>
                        <w:rFonts w:ascii="Arial" w:hAnsi="Arial"/>
                        <w:sz w:val="8"/>
                      </w:rPr>
                    </w:pPr>
                    <w:r>
                      <w:rPr>
                        <w:rFonts w:ascii="Arial" w:hAnsi="Arial"/>
                        <w:color w:val="231F20"/>
                        <w:w w:val="90"/>
                        <w:sz w:val="8"/>
                      </w:rPr>
                      <w:t>Les protéines et les graisses</w:t>
                    </w:r>
                    <w:r>
                      <w:rPr>
                        <w:rFonts w:ascii="Arial" w:hAnsi="Arial"/>
                        <w:color w:val="231F20"/>
                        <w:spacing w:val="40"/>
                        <w:sz w:val="8"/>
                      </w:rPr>
                      <w:t> </w:t>
                    </w:r>
                    <w:r>
                      <w:rPr>
                        <w:rFonts w:ascii="Arial" w:hAnsi="Arial"/>
                        <w:color w:val="231F20"/>
                        <w:sz w:val="8"/>
                      </w:rPr>
                      <w:t>sont</w:t>
                    </w:r>
                    <w:r>
                      <w:rPr>
                        <w:rFonts w:ascii="Arial" w:hAnsi="Arial"/>
                        <w:color w:val="231F20"/>
                        <w:spacing w:val="-7"/>
                        <w:sz w:val="8"/>
                      </w:rPr>
                      <w:t> </w:t>
                    </w:r>
                    <w:r>
                      <w:rPr>
                        <w:rFonts w:ascii="Arial" w:hAnsi="Arial"/>
                        <w:color w:val="231F20"/>
                        <w:sz w:val="8"/>
                      </w:rPr>
                      <w:t>converties</w:t>
                    </w:r>
                    <w:r>
                      <w:rPr>
                        <w:rFonts w:ascii="Arial" w:hAnsi="Arial"/>
                        <w:color w:val="231F20"/>
                        <w:spacing w:val="-7"/>
                        <w:sz w:val="8"/>
                      </w:rPr>
                      <w:t> </w:t>
                    </w:r>
                    <w:r>
                      <w:rPr>
                        <w:rFonts w:ascii="Arial" w:hAnsi="Arial"/>
                        <w:color w:val="231F20"/>
                        <w:sz w:val="8"/>
                      </w:rPr>
                      <w:t>en</w:t>
                    </w:r>
                    <w:r>
                      <w:rPr>
                        <w:rFonts w:ascii="Arial" w:hAnsi="Arial"/>
                        <w:color w:val="231F20"/>
                        <w:spacing w:val="-7"/>
                        <w:sz w:val="8"/>
                      </w:rPr>
                      <w:t> </w:t>
                    </w:r>
                    <w:r>
                      <w:rPr>
                        <w:rFonts w:ascii="Arial" w:hAnsi="Arial"/>
                        <w:color w:val="231F20"/>
                        <w:sz w:val="8"/>
                      </w:rPr>
                      <w:t>glucose</w:t>
                    </w:r>
                    <w:r>
                      <w:rPr>
                        <w:rFonts w:ascii="Arial" w:hAnsi="Arial"/>
                        <w:color w:val="231F20"/>
                        <w:spacing w:val="40"/>
                        <w:sz w:val="8"/>
                      </w:rPr>
                      <w:t> </w:t>
                    </w:r>
                    <w:r>
                      <w:rPr>
                        <w:rFonts w:ascii="Arial" w:hAnsi="Arial"/>
                        <w:color w:val="231F20"/>
                        <w:sz w:val="8"/>
                      </w:rPr>
                      <w:t>ou</w:t>
                    </w:r>
                    <w:r>
                      <w:rPr>
                        <w:rFonts w:ascii="Arial" w:hAnsi="Arial"/>
                        <w:color w:val="231F20"/>
                        <w:spacing w:val="-7"/>
                        <w:sz w:val="8"/>
                      </w:rPr>
                      <w:t> </w:t>
                    </w:r>
                    <w:r>
                      <w:rPr>
                        <w:rFonts w:ascii="Arial" w:hAnsi="Arial"/>
                        <w:color w:val="231F20"/>
                        <w:sz w:val="8"/>
                      </w:rPr>
                      <w:t>en</w:t>
                    </w:r>
                    <w:r>
                      <w:rPr>
                        <w:rFonts w:ascii="Arial" w:hAnsi="Arial"/>
                        <w:color w:val="231F20"/>
                        <w:spacing w:val="-7"/>
                        <w:sz w:val="8"/>
                      </w:rPr>
                      <w:t> </w:t>
                    </w:r>
                    <w:r>
                      <w:rPr>
                        <w:rFonts w:ascii="Arial" w:hAnsi="Arial"/>
                        <w:color w:val="231F20"/>
                        <w:sz w:val="8"/>
                      </w:rPr>
                      <w:t>énergie</w:t>
                    </w:r>
                  </w:p>
                  <w:p>
                    <w:pPr>
                      <w:numPr>
                        <w:ilvl w:val="0"/>
                        <w:numId w:val="22"/>
                      </w:numPr>
                      <w:tabs>
                        <w:tab w:pos="123" w:val="left" w:leader="none"/>
                      </w:tabs>
                      <w:spacing w:line="283" w:lineRule="auto" w:before="28"/>
                      <w:ind w:left="122" w:right="368" w:hanging="123"/>
                      <w:jc w:val="left"/>
                      <w:rPr>
                        <w:rFonts w:ascii="Arial" w:hAnsi="Arial"/>
                        <w:sz w:val="8"/>
                      </w:rPr>
                    </w:pPr>
                    <w:r>
                      <w:rPr>
                        <w:rFonts w:ascii="Arial" w:hAnsi="Arial"/>
                        <w:color w:val="231F20"/>
                        <w:w w:val="95"/>
                        <w:sz w:val="8"/>
                      </w:rPr>
                      <w:t>Augmentation</w:t>
                    </w:r>
                    <w:r>
                      <w:rPr>
                        <w:rFonts w:ascii="Arial" w:hAnsi="Arial"/>
                        <w:color w:val="231F20"/>
                        <w:spacing w:val="-6"/>
                        <w:w w:val="95"/>
                        <w:sz w:val="8"/>
                      </w:rPr>
                      <w:t> </w:t>
                    </w:r>
                    <w:r>
                      <w:rPr>
                        <w:rFonts w:ascii="Arial" w:hAnsi="Arial"/>
                        <w:color w:val="231F20"/>
                        <w:w w:val="95"/>
                        <w:sz w:val="8"/>
                      </w:rPr>
                      <w:t>de</w:t>
                    </w:r>
                    <w:r>
                      <w:rPr>
                        <w:rFonts w:ascii="Arial" w:hAnsi="Arial"/>
                        <w:color w:val="231F20"/>
                        <w:spacing w:val="40"/>
                        <w:sz w:val="8"/>
                      </w:rPr>
                      <w:t> </w:t>
                    </w:r>
                    <w:r>
                      <w:rPr>
                        <w:rFonts w:ascii="Arial" w:hAnsi="Arial"/>
                        <w:color w:val="231F20"/>
                        <w:sz w:val="8"/>
                      </w:rPr>
                      <w:t>la</w:t>
                    </w:r>
                    <w:r>
                      <w:rPr>
                        <w:rFonts w:ascii="Arial" w:hAnsi="Arial"/>
                        <w:color w:val="231F20"/>
                        <w:spacing w:val="-7"/>
                        <w:sz w:val="8"/>
                      </w:rPr>
                      <w:t> </w:t>
                    </w:r>
                    <w:r>
                      <w:rPr>
                        <w:rFonts w:ascii="Arial" w:hAnsi="Arial"/>
                        <w:color w:val="231F20"/>
                        <w:sz w:val="8"/>
                      </w:rPr>
                      <w:t>glycémie</w:t>
                    </w:r>
                  </w:p>
                  <w:p>
                    <w:pPr>
                      <w:numPr>
                        <w:ilvl w:val="0"/>
                        <w:numId w:val="22"/>
                      </w:numPr>
                      <w:tabs>
                        <w:tab w:pos="123" w:val="left" w:leader="none"/>
                      </w:tabs>
                      <w:spacing w:before="28"/>
                      <w:ind w:left="122" w:right="0" w:hanging="123"/>
                      <w:jc w:val="left"/>
                      <w:rPr>
                        <w:rFonts w:ascii="Arial" w:hAnsi="Arial"/>
                        <w:sz w:val="8"/>
                      </w:rPr>
                    </w:pPr>
                    <w:r>
                      <w:rPr>
                        <w:rFonts w:ascii="Arial" w:hAnsi="Arial"/>
                        <w:color w:val="231F20"/>
                        <w:spacing w:val="-2"/>
                        <w:sz w:val="8"/>
                      </w:rPr>
                      <w:t>Immunodépression</w:t>
                    </w:r>
                  </w:p>
                </w:txbxContent>
              </v:textbox>
              <w10:wrap type="none"/>
            </v:shape>
            <v:shape style="position:absolute;left:1890;top:5188;width:5273;height:681" type="#_x0000_t202" id="docshape187" filled="false" stroked="false">
              <v:textbox inset="0,0,0,0">
                <w:txbxContent>
                  <w:p>
                    <w:pPr>
                      <w:spacing w:line="295" w:lineRule="auto" w:before="27"/>
                      <w:ind w:left="0" w:right="0" w:firstLine="0"/>
                      <w:jc w:val="left"/>
                      <w:rPr>
                        <w:rFonts w:ascii="Arial"/>
                        <w:sz w:val="12"/>
                      </w:rPr>
                    </w:pPr>
                    <w:r>
                      <w:rPr>
                        <w:rFonts w:ascii="Arial"/>
                        <w:color w:val="231F20"/>
                        <w:sz w:val="12"/>
                      </w:rPr>
                      <w:t>Source</w:t>
                    </w:r>
                    <w:r>
                      <w:rPr>
                        <w:rFonts w:ascii="Arial"/>
                        <w:color w:val="231F20"/>
                        <w:spacing w:val="-16"/>
                        <w:sz w:val="12"/>
                      </w:rPr>
                      <w:t> </w:t>
                    </w:r>
                    <w:r>
                      <w:rPr>
                        <w:rFonts w:ascii="Arial"/>
                        <w:color w:val="231F20"/>
                        <w:sz w:val="12"/>
                      </w:rPr>
                      <w:t>:</w:t>
                    </w:r>
                    <w:r>
                      <w:rPr>
                        <w:rFonts w:ascii="Arial"/>
                        <w:color w:val="231F20"/>
                        <w:spacing w:val="13"/>
                        <w:sz w:val="12"/>
                      </w:rPr>
                      <w:t> </w:t>
                    </w:r>
                    <w:r>
                      <w:rPr>
                        <w:rFonts w:ascii="Arial"/>
                        <w:color w:val="231F20"/>
                        <w:sz w:val="12"/>
                      </w:rPr>
                      <w:t>Lee,</w:t>
                    </w:r>
                    <w:r>
                      <w:rPr>
                        <w:rFonts w:ascii="Arial"/>
                        <w:color w:val="231F20"/>
                        <w:spacing w:val="13"/>
                        <w:sz w:val="12"/>
                      </w:rPr>
                      <w:t> </w:t>
                    </w:r>
                    <w:r>
                      <w:rPr>
                        <w:rFonts w:ascii="Arial"/>
                        <w:color w:val="231F20"/>
                        <w:sz w:val="12"/>
                      </w:rPr>
                      <w:t>D.Y.,</w:t>
                    </w:r>
                    <w:r>
                      <w:rPr>
                        <w:rFonts w:ascii="Arial"/>
                        <w:color w:val="231F20"/>
                        <w:spacing w:val="13"/>
                        <w:sz w:val="12"/>
                      </w:rPr>
                      <w:t> </w:t>
                    </w:r>
                    <w:r>
                      <w:rPr>
                        <w:rFonts w:ascii="Arial"/>
                        <w:color w:val="231F20"/>
                        <w:sz w:val="12"/>
                      </w:rPr>
                      <w:t>Kim,</w:t>
                    </w:r>
                    <w:r>
                      <w:rPr>
                        <w:rFonts w:ascii="Arial"/>
                        <w:color w:val="231F20"/>
                        <w:spacing w:val="13"/>
                        <w:sz w:val="12"/>
                      </w:rPr>
                      <w:t> </w:t>
                    </w:r>
                    <w:r>
                      <w:rPr>
                        <w:rFonts w:ascii="Arial"/>
                        <w:color w:val="231F20"/>
                        <w:sz w:val="12"/>
                      </w:rPr>
                      <w:t>E.</w:t>
                    </w:r>
                    <w:r>
                      <w:rPr>
                        <w:rFonts w:ascii="Arial"/>
                        <w:color w:val="231F20"/>
                        <w:spacing w:val="13"/>
                        <w:sz w:val="12"/>
                      </w:rPr>
                      <w:t> </w:t>
                    </w:r>
                    <w:r>
                      <w:rPr>
                        <w:rFonts w:ascii="Arial"/>
                        <w:color w:val="231F20"/>
                        <w:sz w:val="12"/>
                      </w:rPr>
                      <w:t>et</w:t>
                    </w:r>
                    <w:r>
                      <w:rPr>
                        <w:rFonts w:ascii="Arial"/>
                        <w:color w:val="231F20"/>
                        <w:spacing w:val="13"/>
                        <w:sz w:val="12"/>
                      </w:rPr>
                      <w:t> </w:t>
                    </w:r>
                    <w:r>
                      <w:rPr>
                        <w:rFonts w:ascii="Arial"/>
                        <w:color w:val="231F20"/>
                        <w:sz w:val="12"/>
                      </w:rPr>
                      <w:t>Choi,</w:t>
                    </w:r>
                    <w:r>
                      <w:rPr>
                        <w:rFonts w:ascii="Arial"/>
                        <w:color w:val="231F20"/>
                        <w:spacing w:val="13"/>
                        <w:sz w:val="12"/>
                      </w:rPr>
                      <w:t> </w:t>
                    </w:r>
                    <w:r>
                      <w:rPr>
                        <w:rFonts w:ascii="Arial"/>
                        <w:color w:val="231F20"/>
                        <w:sz w:val="12"/>
                      </w:rPr>
                      <w:t>M.H.</w:t>
                    </w:r>
                    <w:r>
                      <w:rPr>
                        <w:rFonts w:ascii="Arial"/>
                        <w:color w:val="231F20"/>
                        <w:spacing w:val="13"/>
                        <w:sz w:val="12"/>
                      </w:rPr>
                      <w:t> </w:t>
                    </w:r>
                    <w:r>
                      <w:rPr>
                        <w:rFonts w:ascii="Arial"/>
                        <w:color w:val="231F20"/>
                        <w:sz w:val="12"/>
                      </w:rPr>
                      <w:t>(2015).</w:t>
                    </w:r>
                    <w:r>
                      <w:rPr>
                        <w:rFonts w:ascii="Arial"/>
                        <w:color w:val="231F20"/>
                        <w:spacing w:val="13"/>
                        <w:sz w:val="12"/>
                      </w:rPr>
                      <w:t> </w:t>
                    </w:r>
                    <w:r>
                      <w:rPr>
                        <w:rFonts w:ascii="Arial"/>
                        <w:color w:val="231F20"/>
                        <w:sz w:val="12"/>
                      </w:rPr>
                      <w:t>Technical</w:t>
                    </w:r>
                    <w:r>
                      <w:rPr>
                        <w:rFonts w:ascii="Arial"/>
                        <w:color w:val="231F20"/>
                        <w:spacing w:val="13"/>
                        <w:sz w:val="12"/>
                      </w:rPr>
                      <w:t> </w:t>
                    </w:r>
                    <w:r>
                      <w:rPr>
                        <w:rFonts w:ascii="Arial"/>
                        <w:color w:val="231F20"/>
                        <w:sz w:val="12"/>
                      </w:rPr>
                      <w:t>and</w:t>
                    </w:r>
                    <w:r>
                      <w:rPr>
                        <w:rFonts w:ascii="Arial"/>
                        <w:color w:val="231F20"/>
                        <w:spacing w:val="13"/>
                        <w:sz w:val="12"/>
                      </w:rPr>
                      <w:t> </w:t>
                    </w:r>
                    <w:r>
                      <w:rPr>
                        <w:rFonts w:ascii="Arial"/>
                        <w:color w:val="231F20"/>
                        <w:sz w:val="12"/>
                      </w:rPr>
                      <w:t>clinical</w:t>
                    </w:r>
                    <w:r>
                      <w:rPr>
                        <w:rFonts w:ascii="Arial"/>
                        <w:color w:val="231F20"/>
                        <w:spacing w:val="13"/>
                        <w:sz w:val="12"/>
                      </w:rPr>
                      <w:t> </w:t>
                    </w:r>
                    <w:r>
                      <w:rPr>
                        <w:rFonts w:ascii="Arial"/>
                        <w:color w:val="231F20"/>
                        <w:sz w:val="12"/>
                      </w:rPr>
                      <w:t>aspects</w:t>
                    </w:r>
                    <w:r>
                      <w:rPr>
                        <w:rFonts w:ascii="Arial"/>
                        <w:color w:val="231F20"/>
                        <w:spacing w:val="13"/>
                        <w:sz w:val="12"/>
                      </w:rPr>
                      <w:t> </w:t>
                    </w:r>
                    <w:r>
                      <w:rPr>
                        <w:rFonts w:ascii="Arial"/>
                        <w:color w:val="231F20"/>
                        <w:sz w:val="12"/>
                      </w:rPr>
                      <w:t>of</w:t>
                    </w:r>
                    <w:r>
                      <w:rPr>
                        <w:rFonts w:ascii="Arial"/>
                        <w:color w:val="231F20"/>
                        <w:spacing w:val="13"/>
                        <w:sz w:val="12"/>
                      </w:rPr>
                      <w:t> </w:t>
                    </w:r>
                    <w:r>
                      <w:rPr>
                        <w:rFonts w:ascii="Arial"/>
                        <w:color w:val="231F20"/>
                        <w:sz w:val="12"/>
                      </w:rPr>
                      <w:t>cortisol</w:t>
                    </w:r>
                    <w:r>
                      <w:rPr>
                        <w:rFonts w:ascii="Arial"/>
                        <w:color w:val="231F20"/>
                        <w:spacing w:val="13"/>
                        <w:sz w:val="12"/>
                      </w:rPr>
                      <w:t> </w:t>
                    </w:r>
                    <w:r>
                      <w:rPr>
                        <w:rFonts w:ascii="Arial"/>
                        <w:color w:val="231F20"/>
                        <w:sz w:val="12"/>
                      </w:rPr>
                      <w:t>as</w:t>
                    </w:r>
                    <w:r>
                      <w:rPr>
                        <w:rFonts w:ascii="Arial"/>
                        <w:color w:val="231F20"/>
                        <w:spacing w:val="13"/>
                        <w:sz w:val="12"/>
                      </w:rPr>
                      <w:t> </w:t>
                    </w:r>
                    <w:r>
                      <w:rPr>
                        <w:rFonts w:ascii="Arial"/>
                        <w:color w:val="231F20"/>
                        <w:sz w:val="12"/>
                      </w:rPr>
                      <w:t>a</w:t>
                    </w:r>
                    <w:r>
                      <w:rPr>
                        <w:rFonts w:ascii="Arial"/>
                        <w:color w:val="231F20"/>
                        <w:spacing w:val="40"/>
                        <w:sz w:val="12"/>
                      </w:rPr>
                      <w:t> </w:t>
                    </w:r>
                    <w:r>
                      <w:rPr>
                        <w:rFonts w:ascii="Arial"/>
                        <w:color w:val="231F20"/>
                        <w:sz w:val="12"/>
                      </w:rPr>
                      <w:t>biochemical</w:t>
                    </w:r>
                    <w:r>
                      <w:rPr>
                        <w:rFonts w:ascii="Arial"/>
                        <w:color w:val="231F20"/>
                        <w:spacing w:val="24"/>
                        <w:sz w:val="12"/>
                      </w:rPr>
                      <w:t> </w:t>
                    </w:r>
                    <w:r>
                      <w:rPr>
                        <w:rFonts w:ascii="Arial"/>
                        <w:color w:val="231F20"/>
                        <w:sz w:val="12"/>
                      </w:rPr>
                      <w:t>marker</w:t>
                    </w:r>
                    <w:r>
                      <w:rPr>
                        <w:rFonts w:ascii="Arial"/>
                        <w:color w:val="231F20"/>
                        <w:spacing w:val="25"/>
                        <w:sz w:val="12"/>
                      </w:rPr>
                      <w:t> </w:t>
                    </w:r>
                    <w:r>
                      <w:rPr>
                        <w:rFonts w:ascii="Arial"/>
                        <w:color w:val="231F20"/>
                        <w:sz w:val="12"/>
                      </w:rPr>
                      <w:t>of</w:t>
                    </w:r>
                    <w:r>
                      <w:rPr>
                        <w:rFonts w:ascii="Arial"/>
                        <w:color w:val="231F20"/>
                        <w:spacing w:val="25"/>
                        <w:sz w:val="12"/>
                      </w:rPr>
                      <w:t> </w:t>
                    </w:r>
                    <w:r>
                      <w:rPr>
                        <w:rFonts w:ascii="Arial"/>
                        <w:color w:val="231F20"/>
                        <w:sz w:val="12"/>
                      </w:rPr>
                      <w:t>chronic</w:t>
                    </w:r>
                    <w:r>
                      <w:rPr>
                        <w:rFonts w:ascii="Arial"/>
                        <w:color w:val="231F20"/>
                        <w:spacing w:val="25"/>
                        <w:sz w:val="12"/>
                      </w:rPr>
                      <w:t> </w:t>
                    </w:r>
                    <w:r>
                      <w:rPr>
                        <w:rFonts w:ascii="Arial"/>
                        <w:color w:val="231F20"/>
                        <w:sz w:val="12"/>
                      </w:rPr>
                      <w:t>stress,</w:t>
                    </w:r>
                    <w:r>
                      <w:rPr>
                        <w:rFonts w:ascii="Arial"/>
                        <w:color w:val="231F20"/>
                        <w:spacing w:val="25"/>
                        <w:sz w:val="12"/>
                      </w:rPr>
                      <w:t> </w:t>
                    </w:r>
                    <w:r>
                      <w:rPr>
                        <w:rFonts w:ascii="Arial"/>
                        <w:i/>
                        <w:color w:val="231F20"/>
                        <w:sz w:val="12"/>
                      </w:rPr>
                      <w:t>BMB</w:t>
                    </w:r>
                    <w:r>
                      <w:rPr>
                        <w:rFonts w:ascii="Arial"/>
                        <w:i/>
                        <w:color w:val="231F20"/>
                        <w:spacing w:val="25"/>
                        <w:sz w:val="12"/>
                      </w:rPr>
                      <w:t> </w:t>
                    </w:r>
                    <w:r>
                      <w:rPr>
                        <w:rFonts w:ascii="Arial"/>
                        <w:i/>
                        <w:color w:val="231F20"/>
                        <w:sz w:val="12"/>
                      </w:rPr>
                      <w:t>Rep</w:t>
                    </w:r>
                    <w:r>
                      <w:rPr>
                        <w:rFonts w:ascii="Arial"/>
                        <w:color w:val="231F20"/>
                        <w:sz w:val="12"/>
                      </w:rPr>
                      <w:t>,</w:t>
                    </w:r>
                    <w:r>
                      <w:rPr>
                        <w:rFonts w:ascii="Arial"/>
                        <w:color w:val="231F20"/>
                        <w:spacing w:val="25"/>
                        <w:sz w:val="12"/>
                      </w:rPr>
                      <w:t> </w:t>
                    </w:r>
                    <w:r>
                      <w:rPr>
                        <w:rFonts w:ascii="Arial"/>
                        <w:i/>
                        <w:color w:val="231F20"/>
                        <w:sz w:val="12"/>
                      </w:rPr>
                      <w:t>48</w:t>
                    </w:r>
                    <w:r>
                      <w:rPr>
                        <w:rFonts w:ascii="Arial"/>
                        <w:color w:val="231F20"/>
                        <w:sz w:val="12"/>
                      </w:rPr>
                      <w:t>(4),</w:t>
                    </w:r>
                    <w:r>
                      <w:rPr>
                        <w:rFonts w:ascii="Arial"/>
                        <w:color w:val="231F20"/>
                        <w:spacing w:val="25"/>
                        <w:sz w:val="12"/>
                      </w:rPr>
                      <w:t> </w:t>
                    </w:r>
                    <w:r>
                      <w:rPr>
                        <w:rFonts w:ascii="Arial"/>
                        <w:color w:val="231F20"/>
                        <w:sz w:val="12"/>
                      </w:rPr>
                      <w:t>209-216,</w:t>
                    </w:r>
                    <w:r>
                      <w:rPr>
                        <w:rFonts w:ascii="Arial"/>
                        <w:color w:val="231F20"/>
                        <w:spacing w:val="25"/>
                        <w:sz w:val="12"/>
                      </w:rPr>
                      <w:t> </w:t>
                    </w:r>
                    <w:r>
                      <w:rPr>
                        <w:rFonts w:ascii="Arial"/>
                        <w:color w:val="231F20"/>
                        <w:sz w:val="12"/>
                      </w:rPr>
                      <w:t>traduction</w:t>
                    </w:r>
                    <w:r>
                      <w:rPr>
                        <w:rFonts w:ascii="Arial"/>
                        <w:color w:val="231F20"/>
                        <w:spacing w:val="25"/>
                        <w:sz w:val="12"/>
                      </w:rPr>
                      <w:t> </w:t>
                    </w:r>
                    <w:r>
                      <w:rPr>
                        <w:rFonts w:ascii="Arial"/>
                        <w:color w:val="231F20"/>
                        <w:sz w:val="12"/>
                      </w:rPr>
                      <w:t>de</w:t>
                    </w:r>
                    <w:r>
                      <w:rPr>
                        <w:rFonts w:ascii="Arial"/>
                        <w:color w:val="231F20"/>
                        <w:spacing w:val="25"/>
                        <w:sz w:val="12"/>
                      </w:rPr>
                      <w:t> </w:t>
                    </w:r>
                    <w:r>
                      <w:rPr>
                        <w:rFonts w:ascii="Arial"/>
                        <w:color w:val="231F20"/>
                        <w:sz w:val="12"/>
                      </w:rPr>
                      <w:t>AOR</w:t>
                    </w:r>
                    <w:r>
                      <w:rPr>
                        <w:rFonts w:ascii="Arial"/>
                        <w:color w:val="231F20"/>
                        <w:spacing w:val="25"/>
                        <w:sz w:val="12"/>
                      </w:rPr>
                      <w:t> </w:t>
                    </w:r>
                    <w:r>
                      <w:rPr>
                        <w:rFonts w:ascii="Arial"/>
                        <w:color w:val="231F20"/>
                        <w:spacing w:val="-2"/>
                        <w:sz w:val="12"/>
                      </w:rPr>
                      <w:t>Canada,</w:t>
                    </w:r>
                  </w:p>
                  <w:p>
                    <w:pPr>
                      <w:spacing w:line="295" w:lineRule="auto" w:before="0"/>
                      <w:ind w:left="0" w:right="0" w:firstLine="0"/>
                      <w:jc w:val="left"/>
                      <w:rPr>
                        <w:rFonts w:ascii="Arial" w:hAnsi="Arial"/>
                        <w:sz w:val="12"/>
                      </w:rPr>
                    </w:pPr>
                    <w:r>
                      <w:rPr>
                        <w:rFonts w:ascii="Arial" w:hAnsi="Arial"/>
                        <w:color w:val="231F20"/>
                        <w:sz w:val="12"/>
                      </w:rPr>
                      <w:t>&lt;https://aor.ca/wp-content/uploads/AOR-Marketing-Clinicians-Digests-HPA-Axis-FR.pdf&gt;,</w:t>
                    </w:r>
                    <w:r>
                      <w:rPr>
                        <w:rFonts w:ascii="Arial" w:hAnsi="Arial"/>
                        <w:color w:val="231F20"/>
                        <w:spacing w:val="-10"/>
                        <w:sz w:val="12"/>
                      </w:rPr>
                      <w:t> </w:t>
                    </w:r>
                    <w:r>
                      <w:rPr>
                        <w:rFonts w:ascii="Arial" w:hAnsi="Arial"/>
                        <w:color w:val="231F20"/>
                        <w:sz w:val="12"/>
                      </w:rPr>
                      <w:t>consulté</w:t>
                    </w:r>
                    <w:r>
                      <w:rPr>
                        <w:rFonts w:ascii="Arial" w:hAnsi="Arial"/>
                        <w:color w:val="231F20"/>
                        <w:spacing w:val="40"/>
                        <w:w w:val="105"/>
                        <w:sz w:val="12"/>
                      </w:rPr>
                      <w:t> </w:t>
                    </w:r>
                    <w:r>
                      <w:rPr>
                        <w:rFonts w:ascii="Arial" w:hAnsi="Arial"/>
                        <w:color w:val="231F20"/>
                        <w:w w:val="105"/>
                        <w:sz w:val="12"/>
                      </w:rPr>
                      <w:t>le 15 novembre 2021.</w:t>
                    </w:r>
                  </w:p>
                </w:txbxContent>
              </v:textbox>
              <w10:wrap type="none"/>
            </v:shape>
            <w10:wrap type="topAndBottom"/>
          </v:group>
        </w:pict>
      </w:r>
    </w:p>
    <w:p>
      <w:pPr>
        <w:pStyle w:val="BodyText"/>
        <w:spacing w:before="1"/>
      </w:pPr>
    </w:p>
    <w:p>
      <w:pPr>
        <w:pStyle w:val="BodyText"/>
        <w:spacing w:line="307" w:lineRule="auto" w:before="145"/>
        <w:ind w:left="1180" w:right="244"/>
        <w:jc w:val="both"/>
      </w:pPr>
      <w:r>
        <w:rPr>
          <w:color w:val="231F20"/>
          <w:w w:val="120"/>
        </w:rPr>
        <w:t>Par</w:t>
      </w:r>
      <w:r>
        <w:rPr>
          <w:color w:val="231F20"/>
          <w:spacing w:val="-13"/>
          <w:w w:val="120"/>
        </w:rPr>
        <w:t> </w:t>
      </w:r>
      <w:r>
        <w:rPr>
          <w:color w:val="231F20"/>
          <w:w w:val="120"/>
        </w:rPr>
        <w:t>la</w:t>
      </w:r>
      <w:r>
        <w:rPr>
          <w:color w:val="231F20"/>
          <w:spacing w:val="-13"/>
          <w:w w:val="120"/>
        </w:rPr>
        <w:t> </w:t>
      </w:r>
      <w:r>
        <w:rPr>
          <w:color w:val="231F20"/>
          <w:w w:val="120"/>
        </w:rPr>
        <w:t>voie</w:t>
      </w:r>
      <w:r>
        <w:rPr>
          <w:color w:val="231F20"/>
          <w:spacing w:val="-13"/>
          <w:w w:val="120"/>
        </w:rPr>
        <w:t> </w:t>
      </w:r>
      <w:r>
        <w:rPr>
          <w:color w:val="231F20"/>
          <w:w w:val="120"/>
        </w:rPr>
        <w:t>indirecte,</w:t>
      </w:r>
      <w:r>
        <w:rPr>
          <w:color w:val="231F20"/>
          <w:spacing w:val="-12"/>
          <w:w w:val="120"/>
        </w:rPr>
        <w:t> </w:t>
      </w:r>
      <w:r>
        <w:rPr>
          <w:color w:val="231F20"/>
          <w:w w:val="120"/>
        </w:rPr>
        <w:t>l’hypothalamus</w:t>
      </w:r>
      <w:r>
        <w:rPr>
          <w:color w:val="231F20"/>
          <w:spacing w:val="-13"/>
          <w:w w:val="120"/>
        </w:rPr>
        <w:t> </w:t>
      </w:r>
      <w:r>
        <w:rPr>
          <w:color w:val="231F20"/>
          <w:w w:val="120"/>
        </w:rPr>
        <w:t>fait</w:t>
      </w:r>
      <w:r>
        <w:rPr>
          <w:color w:val="231F20"/>
          <w:spacing w:val="-13"/>
          <w:w w:val="120"/>
        </w:rPr>
        <w:t> </w:t>
      </w:r>
      <w:r>
        <w:rPr>
          <w:color w:val="231F20"/>
          <w:w w:val="120"/>
        </w:rPr>
        <w:t>appel</w:t>
      </w:r>
      <w:r>
        <w:rPr>
          <w:color w:val="231F20"/>
          <w:spacing w:val="-13"/>
          <w:w w:val="120"/>
        </w:rPr>
        <w:t> </w:t>
      </w:r>
      <w:r>
        <w:rPr>
          <w:color w:val="231F20"/>
          <w:w w:val="120"/>
        </w:rPr>
        <w:t>au</w:t>
      </w:r>
      <w:r>
        <w:rPr>
          <w:color w:val="231F20"/>
          <w:spacing w:val="-12"/>
          <w:w w:val="120"/>
        </w:rPr>
        <w:t> </w:t>
      </w:r>
      <w:r>
        <w:rPr>
          <w:color w:val="231F20"/>
          <w:w w:val="120"/>
        </w:rPr>
        <w:t>service</w:t>
      </w:r>
      <w:r>
        <w:rPr>
          <w:color w:val="231F20"/>
          <w:spacing w:val="-13"/>
          <w:w w:val="120"/>
        </w:rPr>
        <w:t> </w:t>
      </w:r>
      <w:r>
        <w:rPr>
          <w:color w:val="231F20"/>
          <w:w w:val="120"/>
        </w:rPr>
        <w:t>d’un</w:t>
      </w:r>
      <w:r>
        <w:rPr>
          <w:color w:val="231F20"/>
          <w:spacing w:val="-13"/>
          <w:w w:val="120"/>
        </w:rPr>
        <w:t> </w:t>
      </w:r>
      <w:r>
        <w:rPr>
          <w:color w:val="231F20"/>
          <w:w w:val="120"/>
        </w:rPr>
        <w:t>intermé- diaire</w:t>
      </w:r>
      <w:r>
        <w:rPr>
          <w:color w:val="231F20"/>
          <w:spacing w:val="-4"/>
          <w:w w:val="120"/>
        </w:rPr>
        <w:t> </w:t>
      </w:r>
      <w:r>
        <w:rPr>
          <w:color w:val="231F20"/>
          <w:w w:val="120"/>
        </w:rPr>
        <w:t>appelé</w:t>
      </w:r>
      <w:r>
        <w:rPr>
          <w:color w:val="231F20"/>
          <w:spacing w:val="-4"/>
          <w:w w:val="120"/>
        </w:rPr>
        <w:t> </w:t>
      </w:r>
      <w:r>
        <w:rPr>
          <w:color w:val="231F20"/>
          <w:w w:val="120"/>
        </w:rPr>
        <w:t>hypophyse</w:t>
      </w:r>
      <w:r>
        <w:rPr>
          <w:color w:val="231F20"/>
          <w:spacing w:val="-4"/>
          <w:w w:val="120"/>
        </w:rPr>
        <w:t> </w:t>
      </w:r>
      <w:r>
        <w:rPr>
          <w:color w:val="231F20"/>
          <w:w w:val="120"/>
        </w:rPr>
        <w:t>pour</w:t>
      </w:r>
      <w:r>
        <w:rPr>
          <w:color w:val="231F20"/>
          <w:spacing w:val="-4"/>
          <w:w w:val="120"/>
        </w:rPr>
        <w:t> </w:t>
      </w:r>
      <w:r>
        <w:rPr>
          <w:color w:val="231F20"/>
          <w:w w:val="120"/>
        </w:rPr>
        <w:t>enclencher</w:t>
      </w:r>
      <w:r>
        <w:rPr>
          <w:color w:val="231F20"/>
          <w:spacing w:val="-4"/>
          <w:w w:val="120"/>
        </w:rPr>
        <w:t> </w:t>
      </w:r>
      <w:r>
        <w:rPr>
          <w:color w:val="231F20"/>
          <w:w w:val="120"/>
        </w:rPr>
        <w:t>le</w:t>
      </w:r>
      <w:r>
        <w:rPr>
          <w:color w:val="231F20"/>
          <w:spacing w:val="-4"/>
          <w:w w:val="120"/>
        </w:rPr>
        <w:t> </w:t>
      </w:r>
      <w:r>
        <w:rPr>
          <w:color w:val="231F20"/>
          <w:w w:val="120"/>
        </w:rPr>
        <w:t>processus</w:t>
      </w:r>
      <w:r>
        <w:rPr>
          <w:color w:val="231F20"/>
          <w:spacing w:val="-4"/>
          <w:w w:val="120"/>
        </w:rPr>
        <w:t> </w:t>
      </w:r>
      <w:r>
        <w:rPr>
          <w:color w:val="231F20"/>
          <w:w w:val="120"/>
        </w:rPr>
        <w:t>adaptatif.</w:t>
      </w:r>
      <w:r>
        <w:rPr>
          <w:color w:val="231F20"/>
          <w:spacing w:val="-4"/>
          <w:w w:val="120"/>
        </w:rPr>
        <w:t> </w:t>
      </w:r>
      <w:r>
        <w:rPr>
          <w:color w:val="231F20"/>
          <w:w w:val="120"/>
        </w:rPr>
        <w:t>Ainsi, </w:t>
      </w:r>
      <w:r>
        <w:rPr>
          <w:color w:val="231F20"/>
          <w:w w:val="115"/>
        </w:rPr>
        <w:t>par l’utilisation d’une neuro-hormone, le CRH (</w:t>
      </w:r>
      <w:r>
        <w:rPr>
          <w:i/>
          <w:color w:val="231F20"/>
          <w:w w:val="115"/>
        </w:rPr>
        <w:t>corticotropin-releasing hormone</w:t>
      </w:r>
      <w:r>
        <w:rPr>
          <w:color w:val="231F20"/>
          <w:w w:val="115"/>
        </w:rPr>
        <w:t>)</w:t>
      </w:r>
      <w:r>
        <w:rPr>
          <w:color w:val="231F20"/>
          <w:spacing w:val="-12"/>
          <w:w w:val="115"/>
        </w:rPr>
        <w:t> </w:t>
      </w:r>
      <w:r>
        <w:rPr>
          <w:color w:val="231F20"/>
          <w:w w:val="115"/>
        </w:rPr>
        <w:t>ou</w:t>
      </w:r>
      <w:r>
        <w:rPr>
          <w:color w:val="231F20"/>
          <w:spacing w:val="-12"/>
          <w:w w:val="115"/>
        </w:rPr>
        <w:t> </w:t>
      </w:r>
      <w:r>
        <w:rPr>
          <w:color w:val="231F20"/>
          <w:w w:val="115"/>
        </w:rPr>
        <w:t>corticolibérine,</w:t>
      </w:r>
      <w:r>
        <w:rPr>
          <w:color w:val="231F20"/>
          <w:spacing w:val="-12"/>
          <w:w w:val="115"/>
        </w:rPr>
        <w:t> </w:t>
      </w:r>
      <w:r>
        <w:rPr>
          <w:color w:val="231F20"/>
          <w:w w:val="115"/>
        </w:rPr>
        <w:t>l’hypothalamus</w:t>
      </w:r>
      <w:r>
        <w:rPr>
          <w:color w:val="231F20"/>
          <w:spacing w:val="-12"/>
          <w:w w:val="115"/>
        </w:rPr>
        <w:t> </w:t>
      </w:r>
      <w:r>
        <w:rPr>
          <w:color w:val="231F20"/>
          <w:w w:val="115"/>
        </w:rPr>
        <w:t>informe</w:t>
      </w:r>
      <w:r>
        <w:rPr>
          <w:color w:val="231F20"/>
          <w:spacing w:val="-12"/>
          <w:w w:val="115"/>
        </w:rPr>
        <w:t> </w:t>
      </w:r>
      <w:r>
        <w:rPr>
          <w:color w:val="231F20"/>
          <w:w w:val="115"/>
        </w:rPr>
        <w:t>l’hypophyse</w:t>
      </w:r>
      <w:r>
        <w:rPr>
          <w:color w:val="231F20"/>
          <w:spacing w:val="-12"/>
          <w:w w:val="115"/>
        </w:rPr>
        <w:t> </w:t>
      </w:r>
      <w:r>
        <w:rPr>
          <w:color w:val="231F20"/>
          <w:w w:val="115"/>
        </w:rPr>
        <w:t>qu’une </w:t>
      </w:r>
      <w:r>
        <w:rPr>
          <w:color w:val="231F20"/>
          <w:w w:val="120"/>
        </w:rPr>
        <w:t>situation inhabituelle et menaçante a actuellement cours. Dans un tel </w:t>
      </w:r>
      <w:r>
        <w:rPr>
          <w:color w:val="231F20"/>
          <w:spacing w:val="-2"/>
          <w:w w:val="120"/>
        </w:rPr>
        <w:t>scénario,</w:t>
      </w:r>
      <w:r>
        <w:rPr>
          <w:color w:val="231F20"/>
          <w:spacing w:val="-11"/>
          <w:w w:val="120"/>
        </w:rPr>
        <w:t> </w:t>
      </w:r>
      <w:r>
        <w:rPr>
          <w:color w:val="231F20"/>
          <w:spacing w:val="-2"/>
          <w:w w:val="120"/>
        </w:rPr>
        <w:t>l’hypophyse</w:t>
      </w:r>
      <w:r>
        <w:rPr>
          <w:color w:val="231F20"/>
          <w:spacing w:val="-11"/>
          <w:w w:val="120"/>
        </w:rPr>
        <w:t> </w:t>
      </w:r>
      <w:r>
        <w:rPr>
          <w:color w:val="231F20"/>
          <w:spacing w:val="-2"/>
          <w:w w:val="120"/>
        </w:rPr>
        <w:t>innerve</w:t>
      </w:r>
      <w:r>
        <w:rPr>
          <w:color w:val="231F20"/>
          <w:spacing w:val="-11"/>
          <w:w w:val="120"/>
        </w:rPr>
        <w:t> </w:t>
      </w:r>
      <w:r>
        <w:rPr>
          <w:color w:val="231F20"/>
          <w:spacing w:val="-2"/>
          <w:w w:val="120"/>
        </w:rPr>
        <w:t>immédiatement</w:t>
      </w:r>
      <w:r>
        <w:rPr>
          <w:color w:val="231F20"/>
          <w:spacing w:val="-10"/>
          <w:w w:val="120"/>
        </w:rPr>
        <w:t> </w:t>
      </w:r>
      <w:r>
        <w:rPr>
          <w:color w:val="231F20"/>
          <w:spacing w:val="-2"/>
          <w:w w:val="120"/>
        </w:rPr>
        <w:t>les</w:t>
      </w:r>
      <w:r>
        <w:rPr>
          <w:color w:val="231F20"/>
          <w:spacing w:val="-11"/>
          <w:w w:val="120"/>
        </w:rPr>
        <w:t> </w:t>
      </w:r>
      <w:r>
        <w:rPr>
          <w:color w:val="231F20"/>
          <w:spacing w:val="-2"/>
          <w:w w:val="120"/>
        </w:rPr>
        <w:t>grandes</w:t>
      </w:r>
      <w:r>
        <w:rPr>
          <w:color w:val="231F20"/>
          <w:spacing w:val="-11"/>
          <w:w w:val="120"/>
        </w:rPr>
        <w:t> </w:t>
      </w:r>
      <w:r>
        <w:rPr>
          <w:color w:val="231F20"/>
          <w:spacing w:val="-2"/>
          <w:w w:val="120"/>
        </w:rPr>
        <w:t>surrénales</w:t>
      </w:r>
      <w:r>
        <w:rPr>
          <w:color w:val="231F20"/>
          <w:spacing w:val="-11"/>
          <w:w w:val="120"/>
        </w:rPr>
        <w:t> </w:t>
      </w:r>
      <w:r>
        <w:rPr>
          <w:color w:val="231F20"/>
          <w:spacing w:val="-2"/>
          <w:w w:val="120"/>
        </w:rPr>
        <w:t>par </w:t>
      </w:r>
      <w:r>
        <w:rPr>
          <w:color w:val="231F20"/>
          <w:w w:val="115"/>
        </w:rPr>
        <w:t>le</w:t>
      </w:r>
      <w:r>
        <w:rPr>
          <w:color w:val="231F20"/>
          <w:spacing w:val="-11"/>
          <w:w w:val="115"/>
        </w:rPr>
        <w:t> </w:t>
      </w:r>
      <w:r>
        <w:rPr>
          <w:color w:val="231F20"/>
          <w:w w:val="115"/>
        </w:rPr>
        <w:t>biais</w:t>
      </w:r>
      <w:r>
        <w:rPr>
          <w:color w:val="231F20"/>
          <w:spacing w:val="-11"/>
          <w:w w:val="115"/>
        </w:rPr>
        <w:t> </w:t>
      </w:r>
      <w:r>
        <w:rPr>
          <w:color w:val="231F20"/>
          <w:w w:val="115"/>
        </w:rPr>
        <w:t>de</w:t>
      </w:r>
      <w:r>
        <w:rPr>
          <w:color w:val="231F20"/>
          <w:spacing w:val="-11"/>
          <w:w w:val="115"/>
        </w:rPr>
        <w:t> </w:t>
      </w:r>
      <w:r>
        <w:rPr>
          <w:color w:val="231F20"/>
          <w:w w:val="115"/>
        </w:rPr>
        <w:t>l’hormone</w:t>
      </w:r>
      <w:r>
        <w:rPr>
          <w:color w:val="231F20"/>
          <w:spacing w:val="-11"/>
          <w:w w:val="115"/>
        </w:rPr>
        <w:t> </w:t>
      </w:r>
      <w:r>
        <w:rPr>
          <w:color w:val="231F20"/>
          <w:w w:val="115"/>
        </w:rPr>
        <w:t>adrénocorticotrope</w:t>
      </w:r>
      <w:r>
        <w:rPr>
          <w:color w:val="231F20"/>
          <w:spacing w:val="-11"/>
          <w:w w:val="115"/>
        </w:rPr>
        <w:t> </w:t>
      </w:r>
      <w:r>
        <w:rPr>
          <w:color w:val="231F20"/>
          <w:w w:val="115"/>
        </w:rPr>
        <w:t>(ACTH)</w:t>
      </w:r>
      <w:r>
        <w:rPr>
          <w:color w:val="231F20"/>
          <w:spacing w:val="-11"/>
          <w:w w:val="115"/>
        </w:rPr>
        <w:t> </w:t>
      </w:r>
      <w:r>
        <w:rPr>
          <w:color w:val="231F20"/>
          <w:w w:val="115"/>
        </w:rPr>
        <w:t>et</w:t>
      </w:r>
      <w:r>
        <w:rPr>
          <w:color w:val="231F20"/>
          <w:spacing w:val="-11"/>
          <w:w w:val="115"/>
        </w:rPr>
        <w:t> </w:t>
      </w:r>
      <w:r>
        <w:rPr>
          <w:color w:val="231F20"/>
          <w:w w:val="115"/>
        </w:rPr>
        <w:t>alors</w:t>
      </w:r>
      <w:r>
        <w:rPr>
          <w:color w:val="231F20"/>
          <w:spacing w:val="-11"/>
          <w:w w:val="115"/>
        </w:rPr>
        <w:t> </w:t>
      </w:r>
      <w:r>
        <w:rPr>
          <w:color w:val="231F20"/>
          <w:w w:val="115"/>
        </w:rPr>
        <w:t>la</w:t>
      </w:r>
      <w:r>
        <w:rPr>
          <w:color w:val="231F20"/>
          <w:spacing w:val="-11"/>
          <w:w w:val="115"/>
        </w:rPr>
        <w:t> </w:t>
      </w:r>
      <w:r>
        <w:rPr>
          <w:color w:val="231F20"/>
          <w:w w:val="115"/>
        </w:rPr>
        <w:t>partie</w:t>
      </w:r>
      <w:r>
        <w:rPr>
          <w:color w:val="231F20"/>
          <w:spacing w:val="-11"/>
          <w:w w:val="115"/>
        </w:rPr>
        <w:t> </w:t>
      </w:r>
      <w:r>
        <w:rPr>
          <w:color w:val="231F20"/>
          <w:w w:val="115"/>
        </w:rPr>
        <w:t>externe </w:t>
      </w:r>
      <w:r>
        <w:rPr>
          <w:color w:val="231F20"/>
          <w:w w:val="120"/>
        </w:rPr>
        <w:t>de ces glandes (la corticosurrénale) libère instantanément dans le flux sanguin</w:t>
      </w:r>
      <w:r>
        <w:rPr>
          <w:color w:val="231F20"/>
          <w:spacing w:val="-4"/>
          <w:w w:val="120"/>
        </w:rPr>
        <w:t> </w:t>
      </w:r>
      <w:r>
        <w:rPr>
          <w:color w:val="231F20"/>
          <w:w w:val="120"/>
        </w:rPr>
        <w:t>l’hormone</w:t>
      </w:r>
      <w:r>
        <w:rPr>
          <w:color w:val="231F20"/>
          <w:spacing w:val="-4"/>
          <w:w w:val="120"/>
        </w:rPr>
        <w:t> </w:t>
      </w:r>
      <w:r>
        <w:rPr>
          <w:color w:val="231F20"/>
          <w:w w:val="120"/>
        </w:rPr>
        <w:t>que</w:t>
      </w:r>
      <w:r>
        <w:rPr>
          <w:color w:val="231F20"/>
          <w:spacing w:val="-4"/>
          <w:w w:val="120"/>
        </w:rPr>
        <w:t> </w:t>
      </w:r>
      <w:r>
        <w:rPr>
          <w:color w:val="231F20"/>
          <w:w w:val="120"/>
        </w:rPr>
        <w:t>l’on</w:t>
      </w:r>
      <w:r>
        <w:rPr>
          <w:color w:val="231F20"/>
          <w:spacing w:val="-4"/>
          <w:w w:val="120"/>
        </w:rPr>
        <w:t> </w:t>
      </w:r>
      <w:r>
        <w:rPr>
          <w:color w:val="231F20"/>
          <w:w w:val="120"/>
        </w:rPr>
        <w:t>nomme</w:t>
      </w:r>
      <w:r>
        <w:rPr>
          <w:color w:val="231F20"/>
          <w:spacing w:val="-4"/>
          <w:w w:val="120"/>
        </w:rPr>
        <w:t> </w:t>
      </w:r>
      <w:r>
        <w:rPr>
          <w:color w:val="231F20"/>
          <w:w w:val="120"/>
        </w:rPr>
        <w:t>le</w:t>
      </w:r>
      <w:r>
        <w:rPr>
          <w:color w:val="231F20"/>
          <w:spacing w:val="-4"/>
          <w:w w:val="120"/>
        </w:rPr>
        <w:t> </w:t>
      </w:r>
      <w:r>
        <w:rPr>
          <w:color w:val="231F20"/>
          <w:w w:val="120"/>
        </w:rPr>
        <w:t>cortisol.</w:t>
      </w:r>
      <w:r>
        <w:rPr>
          <w:color w:val="231F20"/>
          <w:spacing w:val="-4"/>
          <w:w w:val="120"/>
        </w:rPr>
        <w:t> </w:t>
      </w:r>
      <w:r>
        <w:rPr>
          <w:color w:val="231F20"/>
          <w:w w:val="120"/>
        </w:rPr>
        <w:t>Le</w:t>
      </w:r>
      <w:r>
        <w:rPr>
          <w:color w:val="231F20"/>
          <w:spacing w:val="-4"/>
          <w:w w:val="120"/>
        </w:rPr>
        <w:t> </w:t>
      </w:r>
      <w:r>
        <w:rPr>
          <w:color w:val="231F20"/>
          <w:w w:val="120"/>
        </w:rPr>
        <w:t>cortisol,</w:t>
      </w:r>
      <w:r>
        <w:rPr>
          <w:color w:val="231F20"/>
          <w:spacing w:val="-4"/>
          <w:w w:val="120"/>
        </w:rPr>
        <w:t> </w:t>
      </w:r>
      <w:r>
        <w:rPr>
          <w:color w:val="231F20"/>
          <w:w w:val="120"/>
        </w:rPr>
        <w:t>qui</w:t>
      </w:r>
      <w:r>
        <w:rPr>
          <w:color w:val="231F20"/>
          <w:spacing w:val="-4"/>
          <w:w w:val="120"/>
        </w:rPr>
        <w:t> </w:t>
      </w:r>
      <w:r>
        <w:rPr>
          <w:color w:val="231F20"/>
          <w:w w:val="120"/>
        </w:rPr>
        <w:t>est</w:t>
      </w:r>
      <w:r>
        <w:rPr>
          <w:color w:val="231F20"/>
          <w:spacing w:val="-4"/>
          <w:w w:val="120"/>
        </w:rPr>
        <w:t> </w:t>
      </w:r>
      <w:r>
        <w:rPr>
          <w:color w:val="231F20"/>
          <w:w w:val="120"/>
        </w:rPr>
        <w:t>une hormone</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famille</w:t>
      </w:r>
      <w:r>
        <w:rPr>
          <w:color w:val="231F20"/>
          <w:spacing w:val="-11"/>
          <w:w w:val="120"/>
        </w:rPr>
        <w:t> </w:t>
      </w:r>
      <w:r>
        <w:rPr>
          <w:color w:val="231F20"/>
          <w:w w:val="120"/>
        </w:rPr>
        <w:t>des</w:t>
      </w:r>
      <w:r>
        <w:rPr>
          <w:color w:val="231F20"/>
          <w:spacing w:val="-11"/>
          <w:w w:val="120"/>
        </w:rPr>
        <w:t> </w:t>
      </w:r>
      <w:r>
        <w:rPr>
          <w:color w:val="231F20"/>
          <w:w w:val="120"/>
        </w:rPr>
        <w:t>corticostéroïdes,</w:t>
      </w:r>
      <w:r>
        <w:rPr>
          <w:color w:val="231F20"/>
          <w:spacing w:val="-11"/>
          <w:w w:val="120"/>
        </w:rPr>
        <w:t> </w:t>
      </w:r>
      <w:r>
        <w:rPr>
          <w:color w:val="231F20"/>
          <w:w w:val="120"/>
        </w:rPr>
        <w:t>permet,</w:t>
      </w:r>
      <w:r>
        <w:rPr>
          <w:color w:val="231F20"/>
          <w:spacing w:val="-11"/>
          <w:w w:val="120"/>
        </w:rPr>
        <w:t> </w:t>
      </w:r>
      <w:r>
        <w:rPr>
          <w:color w:val="231F20"/>
          <w:w w:val="120"/>
        </w:rPr>
        <w:t>entre</w:t>
      </w:r>
      <w:r>
        <w:rPr>
          <w:color w:val="231F20"/>
          <w:spacing w:val="-11"/>
          <w:w w:val="120"/>
        </w:rPr>
        <w:t> </w:t>
      </w:r>
      <w:r>
        <w:rPr>
          <w:color w:val="231F20"/>
          <w:w w:val="120"/>
        </w:rPr>
        <w:t>autres,</w:t>
      </w:r>
      <w:r>
        <w:rPr>
          <w:color w:val="231F20"/>
          <w:spacing w:val="-11"/>
          <w:w w:val="120"/>
        </w:rPr>
        <w:t> </w:t>
      </w:r>
      <w:r>
        <w:rPr>
          <w:color w:val="231F20"/>
          <w:w w:val="120"/>
        </w:rPr>
        <w:t>d’aug- menter la production de sucre, d’activer le système nerveux central, d’augmenter la coagulation et de tonifier la tension musculaire.</w:t>
      </w:r>
    </w:p>
    <w:p>
      <w:pPr>
        <w:spacing w:after="0" w:line="307" w:lineRule="auto"/>
        <w:jc w:val="both"/>
        <w:sectPr>
          <w:footerReference w:type="default" r:id="rId76"/>
          <w:pgSz w:w="8640" w:h="12960"/>
          <w:pgMar w:footer="424" w:header="0" w:top="500" w:bottom="620" w:left="460" w:right="1000"/>
        </w:sectPr>
      </w:pPr>
    </w:p>
    <w:p>
      <w:pPr>
        <w:spacing w:before="103"/>
        <w:ind w:left="150" w:right="0"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789" w:right="628" w:firstLine="250"/>
        <w:jc w:val="both"/>
      </w:pPr>
      <w:r>
        <w:rPr>
          <w:color w:val="231F20"/>
          <w:w w:val="115"/>
        </w:rPr>
        <w:t>Ainsi,</w:t>
      </w:r>
      <w:r>
        <w:rPr>
          <w:color w:val="231F20"/>
          <w:spacing w:val="-13"/>
          <w:w w:val="115"/>
        </w:rPr>
        <w:t> </w:t>
      </w:r>
      <w:r>
        <w:rPr>
          <w:color w:val="231F20"/>
          <w:w w:val="115"/>
        </w:rPr>
        <w:t>chaque</w:t>
      </w:r>
      <w:r>
        <w:rPr>
          <w:color w:val="231F20"/>
          <w:spacing w:val="-12"/>
          <w:w w:val="115"/>
        </w:rPr>
        <w:t> </w:t>
      </w:r>
      <w:r>
        <w:rPr>
          <w:color w:val="231F20"/>
          <w:w w:val="115"/>
        </w:rPr>
        <w:t>fois</w:t>
      </w:r>
      <w:r>
        <w:rPr>
          <w:color w:val="231F20"/>
          <w:spacing w:val="-12"/>
          <w:w w:val="115"/>
        </w:rPr>
        <w:t> </w:t>
      </w:r>
      <w:r>
        <w:rPr>
          <w:color w:val="231F20"/>
          <w:w w:val="115"/>
        </w:rPr>
        <w:t>que</w:t>
      </w:r>
      <w:r>
        <w:rPr>
          <w:color w:val="231F20"/>
          <w:spacing w:val="-12"/>
          <w:w w:val="115"/>
        </w:rPr>
        <w:t> </w:t>
      </w:r>
      <w:r>
        <w:rPr>
          <w:color w:val="231F20"/>
          <w:w w:val="115"/>
        </w:rPr>
        <w:t>l’organisme</w:t>
      </w:r>
      <w:r>
        <w:rPr>
          <w:color w:val="231F20"/>
          <w:spacing w:val="-12"/>
          <w:w w:val="115"/>
        </w:rPr>
        <w:t> </w:t>
      </w:r>
      <w:r>
        <w:rPr>
          <w:color w:val="231F20"/>
          <w:w w:val="115"/>
        </w:rPr>
        <w:t>perçoit</w:t>
      </w:r>
      <w:r>
        <w:rPr>
          <w:color w:val="231F20"/>
          <w:spacing w:val="-13"/>
          <w:w w:val="115"/>
        </w:rPr>
        <w:t> </w:t>
      </w:r>
      <w:r>
        <w:rPr>
          <w:color w:val="231F20"/>
          <w:w w:val="115"/>
        </w:rPr>
        <w:t>un</w:t>
      </w:r>
      <w:r>
        <w:rPr>
          <w:color w:val="231F20"/>
          <w:spacing w:val="-12"/>
          <w:w w:val="115"/>
        </w:rPr>
        <w:t> </w:t>
      </w:r>
      <w:r>
        <w:rPr>
          <w:color w:val="231F20"/>
          <w:w w:val="115"/>
        </w:rPr>
        <w:t>contexte</w:t>
      </w:r>
      <w:r>
        <w:rPr>
          <w:color w:val="231F20"/>
          <w:spacing w:val="-12"/>
          <w:w w:val="115"/>
        </w:rPr>
        <w:t> </w:t>
      </w:r>
      <w:r>
        <w:rPr>
          <w:color w:val="231F20"/>
          <w:w w:val="115"/>
        </w:rPr>
        <w:t>physique</w:t>
      </w:r>
      <w:r>
        <w:rPr>
          <w:color w:val="231F20"/>
          <w:spacing w:val="-12"/>
          <w:w w:val="115"/>
        </w:rPr>
        <w:t> </w:t>
      </w:r>
      <w:r>
        <w:rPr>
          <w:color w:val="231F20"/>
          <w:w w:val="115"/>
        </w:rPr>
        <w:t>poten- </w:t>
      </w:r>
      <w:r>
        <w:rPr>
          <w:color w:val="231F20"/>
          <w:w w:val="120"/>
        </w:rPr>
        <w:t>tiellement</w:t>
      </w:r>
      <w:r>
        <w:rPr>
          <w:color w:val="231F20"/>
          <w:spacing w:val="-13"/>
          <w:w w:val="120"/>
        </w:rPr>
        <w:t> </w:t>
      </w:r>
      <w:r>
        <w:rPr>
          <w:color w:val="231F20"/>
          <w:w w:val="120"/>
        </w:rPr>
        <w:t>menaçant</w:t>
      </w:r>
      <w:r>
        <w:rPr>
          <w:color w:val="231F20"/>
          <w:spacing w:val="-13"/>
          <w:w w:val="120"/>
        </w:rPr>
        <w:t> </w:t>
      </w:r>
      <w:r>
        <w:rPr>
          <w:color w:val="231F20"/>
          <w:w w:val="120"/>
        </w:rPr>
        <w:t>(p.</w:t>
      </w:r>
      <w:r>
        <w:rPr>
          <w:color w:val="231F20"/>
          <w:spacing w:val="-12"/>
          <w:w w:val="120"/>
        </w:rPr>
        <w:t> </w:t>
      </w:r>
      <w:r>
        <w:rPr>
          <w:color w:val="231F20"/>
          <w:w w:val="120"/>
        </w:rPr>
        <w:t>ex.</w:t>
      </w:r>
      <w:r>
        <w:rPr>
          <w:color w:val="231F20"/>
          <w:spacing w:val="-13"/>
          <w:w w:val="120"/>
        </w:rPr>
        <w:t> </w:t>
      </w:r>
      <w:r>
        <w:rPr>
          <w:color w:val="231F20"/>
          <w:w w:val="120"/>
        </w:rPr>
        <w:t>froid,</w:t>
      </w:r>
      <w:r>
        <w:rPr>
          <w:color w:val="231F20"/>
          <w:spacing w:val="-13"/>
          <w:w w:val="120"/>
        </w:rPr>
        <w:t> </w:t>
      </w:r>
      <w:r>
        <w:rPr>
          <w:color w:val="231F20"/>
          <w:w w:val="120"/>
        </w:rPr>
        <w:t>chaleur,</w:t>
      </w:r>
      <w:r>
        <w:rPr>
          <w:color w:val="231F20"/>
          <w:spacing w:val="-12"/>
          <w:w w:val="120"/>
        </w:rPr>
        <w:t> </w:t>
      </w:r>
      <w:r>
        <w:rPr>
          <w:color w:val="231F20"/>
          <w:w w:val="120"/>
        </w:rPr>
        <w:t>danger)</w:t>
      </w:r>
      <w:r>
        <w:rPr>
          <w:color w:val="231F20"/>
          <w:spacing w:val="-13"/>
          <w:w w:val="120"/>
        </w:rPr>
        <w:t> </w:t>
      </w:r>
      <w:r>
        <w:rPr>
          <w:color w:val="231F20"/>
          <w:w w:val="120"/>
        </w:rPr>
        <w:t>ou</w:t>
      </w:r>
      <w:r>
        <w:rPr>
          <w:color w:val="231F20"/>
          <w:spacing w:val="-13"/>
          <w:w w:val="120"/>
        </w:rPr>
        <w:t> </w:t>
      </w:r>
      <w:r>
        <w:rPr>
          <w:color w:val="231F20"/>
          <w:w w:val="120"/>
        </w:rPr>
        <w:t>une</w:t>
      </w:r>
      <w:r>
        <w:rPr>
          <w:color w:val="231F20"/>
          <w:spacing w:val="-12"/>
          <w:w w:val="120"/>
        </w:rPr>
        <w:t> </w:t>
      </w:r>
      <w:r>
        <w:rPr>
          <w:color w:val="231F20"/>
          <w:w w:val="120"/>
        </w:rPr>
        <w:t>situation</w:t>
      </w:r>
      <w:r>
        <w:rPr>
          <w:color w:val="231F20"/>
          <w:spacing w:val="-13"/>
          <w:w w:val="120"/>
        </w:rPr>
        <w:t> </w:t>
      </w:r>
      <w:r>
        <w:rPr>
          <w:color w:val="231F20"/>
          <w:w w:val="120"/>
        </w:rPr>
        <w:t>psy- chologiquement</w:t>
      </w:r>
      <w:r>
        <w:rPr>
          <w:color w:val="231F20"/>
          <w:w w:val="120"/>
        </w:rPr>
        <w:t> risquée</w:t>
      </w:r>
      <w:r>
        <w:rPr>
          <w:color w:val="231F20"/>
          <w:w w:val="120"/>
        </w:rPr>
        <w:t> en</w:t>
      </w:r>
      <w:r>
        <w:rPr>
          <w:color w:val="231F20"/>
          <w:w w:val="120"/>
        </w:rPr>
        <w:t> raison</w:t>
      </w:r>
      <w:r>
        <w:rPr>
          <w:color w:val="231F20"/>
          <w:w w:val="120"/>
        </w:rPr>
        <w:t> de</w:t>
      </w:r>
      <w:r>
        <w:rPr>
          <w:color w:val="231F20"/>
          <w:w w:val="120"/>
        </w:rPr>
        <w:t> son</w:t>
      </w:r>
      <w:r>
        <w:rPr>
          <w:color w:val="231F20"/>
          <w:w w:val="120"/>
        </w:rPr>
        <w:t> caractère</w:t>
      </w:r>
      <w:r>
        <w:rPr>
          <w:color w:val="231F20"/>
          <w:w w:val="120"/>
        </w:rPr>
        <w:t> incontrôlable, imprévisible, nouveau ou qui menace l’estime de soi7, il enclenche le </w:t>
      </w:r>
      <w:r>
        <w:rPr>
          <w:color w:val="231F20"/>
          <w:w w:val="115"/>
        </w:rPr>
        <w:t>processus</w:t>
      </w:r>
      <w:r>
        <w:rPr>
          <w:color w:val="231F20"/>
          <w:spacing w:val="-6"/>
          <w:w w:val="115"/>
        </w:rPr>
        <w:t> </w:t>
      </w:r>
      <w:r>
        <w:rPr>
          <w:color w:val="231F20"/>
          <w:w w:val="115"/>
        </w:rPr>
        <w:t>de</w:t>
      </w:r>
      <w:r>
        <w:rPr>
          <w:color w:val="231F20"/>
          <w:spacing w:val="-6"/>
          <w:w w:val="115"/>
        </w:rPr>
        <w:t> </w:t>
      </w:r>
      <w:r>
        <w:rPr>
          <w:color w:val="231F20"/>
          <w:w w:val="115"/>
        </w:rPr>
        <w:t>stress</w:t>
      </w:r>
      <w:r>
        <w:rPr>
          <w:color w:val="231F20"/>
          <w:spacing w:val="-6"/>
          <w:w w:val="115"/>
        </w:rPr>
        <w:t> </w:t>
      </w:r>
      <w:r>
        <w:rPr>
          <w:color w:val="231F20"/>
          <w:w w:val="115"/>
        </w:rPr>
        <w:t>qui</w:t>
      </w:r>
      <w:r>
        <w:rPr>
          <w:color w:val="231F20"/>
          <w:spacing w:val="-6"/>
          <w:w w:val="115"/>
        </w:rPr>
        <w:t> </w:t>
      </w:r>
      <w:r>
        <w:rPr>
          <w:color w:val="231F20"/>
          <w:w w:val="115"/>
        </w:rPr>
        <w:t>amène</w:t>
      </w:r>
      <w:r>
        <w:rPr>
          <w:color w:val="231F20"/>
          <w:spacing w:val="-6"/>
          <w:w w:val="115"/>
        </w:rPr>
        <w:t> </w:t>
      </w:r>
      <w:r>
        <w:rPr>
          <w:color w:val="231F20"/>
          <w:w w:val="115"/>
        </w:rPr>
        <w:t>la</w:t>
      </w:r>
      <w:r>
        <w:rPr>
          <w:color w:val="231F20"/>
          <w:spacing w:val="-6"/>
          <w:w w:val="115"/>
        </w:rPr>
        <w:t> </w:t>
      </w:r>
      <w:r>
        <w:rPr>
          <w:color w:val="231F20"/>
          <w:w w:val="115"/>
        </w:rPr>
        <w:t>sécrétion</w:t>
      </w:r>
      <w:r>
        <w:rPr>
          <w:color w:val="231F20"/>
          <w:spacing w:val="-6"/>
          <w:w w:val="115"/>
        </w:rPr>
        <w:t> </w:t>
      </w:r>
      <w:r>
        <w:rPr>
          <w:color w:val="231F20"/>
          <w:w w:val="115"/>
        </w:rPr>
        <w:t>d’un</w:t>
      </w:r>
      <w:r>
        <w:rPr>
          <w:color w:val="231F20"/>
          <w:spacing w:val="-6"/>
          <w:w w:val="115"/>
        </w:rPr>
        <w:t> </w:t>
      </w:r>
      <w:r>
        <w:rPr>
          <w:color w:val="231F20"/>
          <w:w w:val="115"/>
        </w:rPr>
        <w:t>cocktail</w:t>
      </w:r>
      <w:r>
        <w:rPr>
          <w:color w:val="231F20"/>
          <w:spacing w:val="-6"/>
          <w:w w:val="115"/>
        </w:rPr>
        <w:t> </w:t>
      </w:r>
      <w:r>
        <w:rPr>
          <w:color w:val="231F20"/>
          <w:w w:val="115"/>
        </w:rPr>
        <w:t>d’hormones,</w:t>
      </w:r>
      <w:r>
        <w:rPr>
          <w:color w:val="231F20"/>
          <w:spacing w:val="-6"/>
          <w:w w:val="115"/>
        </w:rPr>
        <w:t> </w:t>
      </w:r>
      <w:r>
        <w:rPr>
          <w:color w:val="231F20"/>
          <w:w w:val="115"/>
        </w:rPr>
        <w:t>dont à</w:t>
      </w:r>
      <w:r>
        <w:rPr>
          <w:color w:val="231F20"/>
          <w:spacing w:val="-2"/>
          <w:w w:val="115"/>
        </w:rPr>
        <w:t> </w:t>
      </w:r>
      <w:r>
        <w:rPr>
          <w:color w:val="231F20"/>
          <w:w w:val="115"/>
        </w:rPr>
        <w:t>chaque</w:t>
      </w:r>
      <w:r>
        <w:rPr>
          <w:color w:val="231F20"/>
          <w:spacing w:val="-2"/>
          <w:w w:val="115"/>
        </w:rPr>
        <w:t> </w:t>
      </w:r>
      <w:r>
        <w:rPr>
          <w:color w:val="231F20"/>
          <w:w w:val="115"/>
        </w:rPr>
        <w:t>occasion,</w:t>
      </w:r>
      <w:r>
        <w:rPr>
          <w:color w:val="231F20"/>
          <w:spacing w:val="-2"/>
          <w:w w:val="115"/>
        </w:rPr>
        <w:t> </w:t>
      </w:r>
      <w:r>
        <w:rPr>
          <w:color w:val="231F20"/>
          <w:w w:val="115"/>
        </w:rPr>
        <w:t>l’adrénaline</w:t>
      </w:r>
      <w:r>
        <w:rPr>
          <w:color w:val="231F20"/>
          <w:spacing w:val="-2"/>
          <w:w w:val="115"/>
        </w:rPr>
        <w:t> </w:t>
      </w:r>
      <w:r>
        <w:rPr>
          <w:color w:val="231F20"/>
          <w:w w:val="115"/>
        </w:rPr>
        <w:t>et</w:t>
      </w:r>
      <w:r>
        <w:rPr>
          <w:color w:val="231F20"/>
          <w:spacing w:val="-2"/>
          <w:w w:val="115"/>
        </w:rPr>
        <w:t> </w:t>
      </w:r>
      <w:r>
        <w:rPr>
          <w:color w:val="231F20"/>
          <w:w w:val="115"/>
        </w:rPr>
        <w:t>le</w:t>
      </w:r>
      <w:r>
        <w:rPr>
          <w:color w:val="231F20"/>
          <w:spacing w:val="-2"/>
          <w:w w:val="115"/>
        </w:rPr>
        <w:t> </w:t>
      </w:r>
      <w:r>
        <w:rPr>
          <w:color w:val="231F20"/>
          <w:w w:val="115"/>
        </w:rPr>
        <w:t>cortisol.</w:t>
      </w:r>
      <w:r>
        <w:rPr>
          <w:color w:val="231F20"/>
          <w:spacing w:val="-2"/>
          <w:w w:val="115"/>
        </w:rPr>
        <w:t> </w:t>
      </w:r>
      <w:r>
        <w:rPr>
          <w:color w:val="231F20"/>
          <w:w w:val="115"/>
        </w:rPr>
        <w:t>Le</w:t>
      </w:r>
      <w:r>
        <w:rPr>
          <w:color w:val="231F20"/>
          <w:spacing w:val="-2"/>
          <w:w w:val="115"/>
        </w:rPr>
        <w:t> </w:t>
      </w:r>
      <w:r>
        <w:rPr>
          <w:color w:val="231F20"/>
          <w:w w:val="115"/>
        </w:rPr>
        <w:t>rôle</w:t>
      </w:r>
      <w:r>
        <w:rPr>
          <w:color w:val="231F20"/>
          <w:spacing w:val="-2"/>
          <w:w w:val="115"/>
        </w:rPr>
        <w:t> </w:t>
      </w:r>
      <w:r>
        <w:rPr>
          <w:color w:val="231F20"/>
          <w:w w:val="115"/>
        </w:rPr>
        <w:t>de</w:t>
      </w:r>
      <w:r>
        <w:rPr>
          <w:color w:val="231F20"/>
          <w:spacing w:val="-2"/>
          <w:w w:val="115"/>
        </w:rPr>
        <w:t> </w:t>
      </w:r>
      <w:r>
        <w:rPr>
          <w:color w:val="231F20"/>
          <w:w w:val="115"/>
        </w:rPr>
        <w:t>ces</w:t>
      </w:r>
      <w:r>
        <w:rPr>
          <w:color w:val="231F20"/>
          <w:spacing w:val="-2"/>
          <w:w w:val="115"/>
        </w:rPr>
        <w:t> </w:t>
      </w:r>
      <w:r>
        <w:rPr>
          <w:color w:val="231F20"/>
          <w:w w:val="115"/>
        </w:rPr>
        <w:t>hormones</w:t>
      </w:r>
      <w:r>
        <w:rPr>
          <w:color w:val="231F20"/>
          <w:spacing w:val="-2"/>
          <w:w w:val="115"/>
        </w:rPr>
        <w:t> </w:t>
      </w:r>
      <w:r>
        <w:rPr>
          <w:color w:val="231F20"/>
          <w:w w:val="115"/>
        </w:rPr>
        <w:t>est </w:t>
      </w:r>
      <w:r>
        <w:rPr>
          <w:color w:val="231F20"/>
          <w:spacing w:val="-2"/>
          <w:w w:val="120"/>
        </w:rPr>
        <w:t>de</w:t>
      </w:r>
      <w:r>
        <w:rPr>
          <w:color w:val="231F20"/>
          <w:spacing w:val="-10"/>
          <w:w w:val="120"/>
        </w:rPr>
        <w:t> </w:t>
      </w:r>
      <w:r>
        <w:rPr>
          <w:color w:val="231F20"/>
          <w:spacing w:val="-2"/>
          <w:w w:val="120"/>
        </w:rPr>
        <w:t>mettre</w:t>
      </w:r>
      <w:r>
        <w:rPr>
          <w:color w:val="231F20"/>
          <w:spacing w:val="-10"/>
          <w:w w:val="120"/>
        </w:rPr>
        <w:t> </w:t>
      </w:r>
      <w:r>
        <w:rPr>
          <w:color w:val="231F20"/>
          <w:spacing w:val="-2"/>
          <w:w w:val="120"/>
        </w:rPr>
        <w:t>la</w:t>
      </w:r>
      <w:r>
        <w:rPr>
          <w:color w:val="231F20"/>
          <w:spacing w:val="-10"/>
          <w:w w:val="120"/>
        </w:rPr>
        <w:t> </w:t>
      </w:r>
      <w:r>
        <w:rPr>
          <w:color w:val="231F20"/>
          <w:spacing w:val="-2"/>
          <w:w w:val="120"/>
        </w:rPr>
        <w:t>personne</w:t>
      </w:r>
      <w:r>
        <w:rPr>
          <w:color w:val="231F20"/>
          <w:spacing w:val="-10"/>
          <w:w w:val="120"/>
        </w:rPr>
        <w:t> </w:t>
      </w:r>
      <w:r>
        <w:rPr>
          <w:color w:val="231F20"/>
          <w:spacing w:val="-2"/>
          <w:w w:val="120"/>
        </w:rPr>
        <w:t>en</w:t>
      </w:r>
      <w:r>
        <w:rPr>
          <w:color w:val="231F20"/>
          <w:spacing w:val="-10"/>
          <w:w w:val="120"/>
        </w:rPr>
        <w:t> </w:t>
      </w:r>
      <w:r>
        <w:rPr>
          <w:color w:val="231F20"/>
          <w:spacing w:val="-2"/>
          <w:w w:val="120"/>
        </w:rPr>
        <w:t>alerte</w:t>
      </w:r>
      <w:r>
        <w:rPr>
          <w:color w:val="231F20"/>
          <w:spacing w:val="-10"/>
          <w:w w:val="120"/>
        </w:rPr>
        <w:t> </w:t>
      </w:r>
      <w:r>
        <w:rPr>
          <w:color w:val="231F20"/>
          <w:spacing w:val="-2"/>
          <w:w w:val="120"/>
        </w:rPr>
        <w:t>afin</w:t>
      </w:r>
      <w:r>
        <w:rPr>
          <w:color w:val="231F20"/>
          <w:spacing w:val="-10"/>
          <w:w w:val="120"/>
        </w:rPr>
        <w:t> </w:t>
      </w:r>
      <w:r>
        <w:rPr>
          <w:color w:val="231F20"/>
          <w:spacing w:val="-2"/>
          <w:w w:val="120"/>
        </w:rPr>
        <w:t>de</w:t>
      </w:r>
      <w:r>
        <w:rPr>
          <w:color w:val="231F20"/>
          <w:spacing w:val="-10"/>
          <w:w w:val="120"/>
        </w:rPr>
        <w:t> </w:t>
      </w:r>
      <w:r>
        <w:rPr>
          <w:color w:val="231F20"/>
          <w:spacing w:val="-2"/>
          <w:w w:val="120"/>
        </w:rPr>
        <w:t>faire</w:t>
      </w:r>
      <w:r>
        <w:rPr>
          <w:color w:val="231F20"/>
          <w:spacing w:val="-10"/>
          <w:w w:val="120"/>
        </w:rPr>
        <w:t> </w:t>
      </w:r>
      <w:r>
        <w:rPr>
          <w:color w:val="231F20"/>
          <w:spacing w:val="-2"/>
          <w:w w:val="120"/>
        </w:rPr>
        <w:t>face</w:t>
      </w:r>
      <w:r>
        <w:rPr>
          <w:color w:val="231F20"/>
          <w:spacing w:val="-10"/>
          <w:w w:val="120"/>
        </w:rPr>
        <w:t> </w:t>
      </w:r>
      <w:r>
        <w:rPr>
          <w:color w:val="231F20"/>
          <w:spacing w:val="-2"/>
          <w:w w:val="120"/>
        </w:rPr>
        <w:t>à</w:t>
      </w:r>
      <w:r>
        <w:rPr>
          <w:color w:val="231F20"/>
          <w:spacing w:val="-10"/>
          <w:w w:val="120"/>
        </w:rPr>
        <w:t> </w:t>
      </w:r>
      <w:r>
        <w:rPr>
          <w:color w:val="231F20"/>
          <w:spacing w:val="-2"/>
          <w:w w:val="120"/>
        </w:rPr>
        <w:t>la</w:t>
      </w:r>
      <w:r>
        <w:rPr>
          <w:color w:val="231F20"/>
          <w:spacing w:val="-10"/>
          <w:w w:val="120"/>
        </w:rPr>
        <w:t> </w:t>
      </w:r>
      <w:r>
        <w:rPr>
          <w:color w:val="231F20"/>
          <w:spacing w:val="-2"/>
          <w:w w:val="120"/>
        </w:rPr>
        <w:t>situation</w:t>
      </w:r>
      <w:r>
        <w:rPr>
          <w:color w:val="231F20"/>
          <w:spacing w:val="-10"/>
          <w:w w:val="120"/>
        </w:rPr>
        <w:t> </w:t>
      </w:r>
      <w:r>
        <w:rPr>
          <w:color w:val="231F20"/>
          <w:spacing w:val="-2"/>
          <w:w w:val="120"/>
        </w:rPr>
        <w:t>et</w:t>
      </w:r>
      <w:r>
        <w:rPr>
          <w:color w:val="231F20"/>
          <w:spacing w:val="-10"/>
          <w:w w:val="120"/>
        </w:rPr>
        <w:t> </w:t>
      </w:r>
      <w:r>
        <w:rPr>
          <w:color w:val="231F20"/>
          <w:spacing w:val="-2"/>
          <w:w w:val="120"/>
        </w:rPr>
        <w:t>de</w:t>
      </w:r>
      <w:r>
        <w:rPr>
          <w:color w:val="231F20"/>
          <w:spacing w:val="-10"/>
          <w:w w:val="120"/>
        </w:rPr>
        <w:t> </w:t>
      </w:r>
      <w:r>
        <w:rPr>
          <w:color w:val="231F20"/>
          <w:spacing w:val="-2"/>
          <w:w w:val="120"/>
        </w:rPr>
        <w:t>main- tenir</w:t>
      </w:r>
      <w:r>
        <w:rPr>
          <w:color w:val="231F20"/>
          <w:spacing w:val="-9"/>
          <w:w w:val="120"/>
        </w:rPr>
        <w:t> </w:t>
      </w:r>
      <w:r>
        <w:rPr>
          <w:color w:val="231F20"/>
          <w:spacing w:val="-2"/>
          <w:w w:val="120"/>
        </w:rPr>
        <w:t>ou</w:t>
      </w:r>
      <w:r>
        <w:rPr>
          <w:color w:val="231F20"/>
          <w:spacing w:val="-9"/>
          <w:w w:val="120"/>
        </w:rPr>
        <w:t> </w:t>
      </w:r>
      <w:r>
        <w:rPr>
          <w:color w:val="231F20"/>
          <w:spacing w:val="-2"/>
          <w:w w:val="120"/>
        </w:rPr>
        <w:t>de</w:t>
      </w:r>
      <w:r>
        <w:rPr>
          <w:color w:val="231F20"/>
          <w:spacing w:val="-9"/>
          <w:w w:val="120"/>
        </w:rPr>
        <w:t> </w:t>
      </w:r>
      <w:r>
        <w:rPr>
          <w:color w:val="231F20"/>
          <w:spacing w:val="-2"/>
          <w:w w:val="120"/>
        </w:rPr>
        <w:t>rétablir,</w:t>
      </w:r>
      <w:r>
        <w:rPr>
          <w:color w:val="231F20"/>
          <w:spacing w:val="-9"/>
          <w:w w:val="120"/>
        </w:rPr>
        <w:t> </w:t>
      </w:r>
      <w:r>
        <w:rPr>
          <w:color w:val="231F20"/>
          <w:spacing w:val="-2"/>
          <w:w w:val="120"/>
        </w:rPr>
        <w:t>dans</w:t>
      </w:r>
      <w:r>
        <w:rPr>
          <w:color w:val="231F20"/>
          <w:spacing w:val="-9"/>
          <w:w w:val="120"/>
        </w:rPr>
        <w:t> </w:t>
      </w:r>
      <w:r>
        <w:rPr>
          <w:color w:val="231F20"/>
          <w:spacing w:val="-2"/>
          <w:w w:val="120"/>
        </w:rPr>
        <w:t>les</w:t>
      </w:r>
      <w:r>
        <w:rPr>
          <w:color w:val="231F20"/>
          <w:spacing w:val="-9"/>
          <w:w w:val="120"/>
        </w:rPr>
        <w:t> </w:t>
      </w:r>
      <w:r>
        <w:rPr>
          <w:color w:val="231F20"/>
          <w:spacing w:val="-2"/>
          <w:w w:val="120"/>
        </w:rPr>
        <w:t>plus</w:t>
      </w:r>
      <w:r>
        <w:rPr>
          <w:color w:val="231F20"/>
          <w:spacing w:val="-9"/>
          <w:w w:val="120"/>
        </w:rPr>
        <w:t> </w:t>
      </w:r>
      <w:r>
        <w:rPr>
          <w:color w:val="231F20"/>
          <w:spacing w:val="-2"/>
          <w:w w:val="120"/>
        </w:rPr>
        <w:t>brefs</w:t>
      </w:r>
      <w:r>
        <w:rPr>
          <w:color w:val="231F20"/>
          <w:spacing w:val="-9"/>
          <w:w w:val="120"/>
        </w:rPr>
        <w:t> </w:t>
      </w:r>
      <w:r>
        <w:rPr>
          <w:color w:val="231F20"/>
          <w:spacing w:val="-2"/>
          <w:w w:val="120"/>
        </w:rPr>
        <w:t>délais,</w:t>
      </w:r>
      <w:r>
        <w:rPr>
          <w:color w:val="231F20"/>
          <w:spacing w:val="-9"/>
          <w:w w:val="120"/>
        </w:rPr>
        <w:t> </w:t>
      </w:r>
      <w:r>
        <w:rPr>
          <w:color w:val="231F20"/>
          <w:spacing w:val="-2"/>
          <w:w w:val="120"/>
        </w:rPr>
        <w:t>l’homéostasie.</w:t>
      </w:r>
      <w:r>
        <w:rPr>
          <w:color w:val="231F20"/>
          <w:spacing w:val="-9"/>
          <w:w w:val="120"/>
        </w:rPr>
        <w:t> </w:t>
      </w:r>
      <w:r>
        <w:rPr>
          <w:color w:val="231F20"/>
          <w:spacing w:val="-2"/>
          <w:w w:val="120"/>
        </w:rPr>
        <w:t>Tant</w:t>
      </w:r>
      <w:r>
        <w:rPr>
          <w:color w:val="231F20"/>
          <w:spacing w:val="-9"/>
          <w:w w:val="120"/>
        </w:rPr>
        <w:t> </w:t>
      </w:r>
      <w:r>
        <w:rPr>
          <w:color w:val="231F20"/>
          <w:spacing w:val="-2"/>
          <w:w w:val="120"/>
        </w:rPr>
        <w:t>l’adré- </w:t>
      </w:r>
      <w:r>
        <w:rPr>
          <w:color w:val="231F20"/>
          <w:w w:val="120"/>
        </w:rPr>
        <w:t>naline que le cortisol sont des hormones cataboliques, c’est-à-dire qui amènent une dépense d’énergie. En fait, ces hormones puisent dans toutes</w:t>
      </w:r>
      <w:r>
        <w:rPr>
          <w:color w:val="231F20"/>
          <w:spacing w:val="-12"/>
          <w:w w:val="120"/>
        </w:rPr>
        <w:t> </w:t>
      </w:r>
      <w:r>
        <w:rPr>
          <w:color w:val="231F20"/>
          <w:w w:val="120"/>
        </w:rPr>
        <w:t>les</w:t>
      </w:r>
      <w:r>
        <w:rPr>
          <w:color w:val="231F20"/>
          <w:spacing w:val="-12"/>
          <w:w w:val="120"/>
        </w:rPr>
        <w:t> </w:t>
      </w:r>
      <w:r>
        <w:rPr>
          <w:color w:val="231F20"/>
          <w:w w:val="120"/>
        </w:rPr>
        <w:t>réserves</w:t>
      </w:r>
      <w:r>
        <w:rPr>
          <w:color w:val="231F20"/>
          <w:spacing w:val="-12"/>
          <w:w w:val="120"/>
        </w:rPr>
        <w:t> </w:t>
      </w:r>
      <w:r>
        <w:rPr>
          <w:color w:val="231F20"/>
          <w:w w:val="120"/>
        </w:rPr>
        <w:t>énergétiques</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personne</w:t>
      </w:r>
      <w:r>
        <w:rPr>
          <w:color w:val="231F20"/>
          <w:spacing w:val="-12"/>
          <w:w w:val="120"/>
        </w:rPr>
        <w:t> </w:t>
      </w:r>
      <w:r>
        <w:rPr>
          <w:color w:val="231F20"/>
          <w:w w:val="120"/>
        </w:rPr>
        <w:t>afin</w:t>
      </w:r>
      <w:r>
        <w:rPr>
          <w:color w:val="231F20"/>
          <w:spacing w:val="-12"/>
          <w:w w:val="120"/>
        </w:rPr>
        <w:t> </w:t>
      </w:r>
      <w:r>
        <w:rPr>
          <w:color w:val="231F20"/>
          <w:w w:val="120"/>
        </w:rPr>
        <w:t>de</w:t>
      </w:r>
      <w:r>
        <w:rPr>
          <w:color w:val="231F20"/>
          <w:spacing w:val="-12"/>
          <w:w w:val="120"/>
        </w:rPr>
        <w:t> </w:t>
      </w:r>
      <w:r>
        <w:rPr>
          <w:color w:val="231F20"/>
          <w:w w:val="120"/>
        </w:rPr>
        <w:t>s’adapter</w:t>
      </w:r>
      <w:r>
        <w:rPr>
          <w:color w:val="231F20"/>
          <w:spacing w:val="-12"/>
          <w:w w:val="120"/>
        </w:rPr>
        <w:t> </w:t>
      </w:r>
      <w:r>
        <w:rPr>
          <w:color w:val="231F20"/>
          <w:w w:val="120"/>
        </w:rPr>
        <w:t>rapide- </w:t>
      </w:r>
      <w:r>
        <w:rPr>
          <w:color w:val="231F20"/>
          <w:spacing w:val="-2"/>
          <w:w w:val="120"/>
        </w:rPr>
        <w:t>ment.</w:t>
      </w:r>
      <w:r>
        <w:rPr>
          <w:color w:val="231F20"/>
          <w:spacing w:val="-4"/>
          <w:w w:val="120"/>
        </w:rPr>
        <w:t> </w:t>
      </w:r>
      <w:r>
        <w:rPr>
          <w:color w:val="231F20"/>
          <w:spacing w:val="-2"/>
          <w:w w:val="120"/>
        </w:rPr>
        <w:t>Un</w:t>
      </w:r>
      <w:r>
        <w:rPr>
          <w:color w:val="231F20"/>
          <w:spacing w:val="-4"/>
          <w:w w:val="120"/>
        </w:rPr>
        <w:t> </w:t>
      </w:r>
      <w:r>
        <w:rPr>
          <w:color w:val="231F20"/>
          <w:spacing w:val="-2"/>
          <w:w w:val="120"/>
        </w:rPr>
        <w:t>grand</w:t>
      </w:r>
      <w:r>
        <w:rPr>
          <w:color w:val="231F20"/>
          <w:spacing w:val="-4"/>
          <w:w w:val="120"/>
        </w:rPr>
        <w:t> </w:t>
      </w:r>
      <w:r>
        <w:rPr>
          <w:color w:val="231F20"/>
          <w:spacing w:val="-2"/>
          <w:w w:val="120"/>
        </w:rPr>
        <w:t>déséquilibre</w:t>
      </w:r>
      <w:r>
        <w:rPr>
          <w:color w:val="231F20"/>
          <w:spacing w:val="-4"/>
          <w:w w:val="120"/>
        </w:rPr>
        <w:t> </w:t>
      </w:r>
      <w:r>
        <w:rPr>
          <w:color w:val="231F20"/>
          <w:spacing w:val="-2"/>
          <w:w w:val="120"/>
        </w:rPr>
        <w:t>provoque</w:t>
      </w:r>
      <w:r>
        <w:rPr>
          <w:color w:val="231F20"/>
          <w:spacing w:val="-4"/>
          <w:w w:val="120"/>
        </w:rPr>
        <w:t> </w:t>
      </w:r>
      <w:r>
        <w:rPr>
          <w:color w:val="231F20"/>
          <w:spacing w:val="-2"/>
          <w:w w:val="120"/>
        </w:rPr>
        <w:t>une</w:t>
      </w:r>
      <w:r>
        <w:rPr>
          <w:color w:val="231F20"/>
          <w:spacing w:val="-4"/>
          <w:w w:val="120"/>
        </w:rPr>
        <w:t> </w:t>
      </w:r>
      <w:r>
        <w:rPr>
          <w:color w:val="231F20"/>
          <w:spacing w:val="-2"/>
          <w:w w:val="120"/>
        </w:rPr>
        <w:t>grande</w:t>
      </w:r>
      <w:r>
        <w:rPr>
          <w:color w:val="231F20"/>
          <w:spacing w:val="-4"/>
          <w:w w:val="120"/>
        </w:rPr>
        <w:t> </w:t>
      </w:r>
      <w:r>
        <w:rPr>
          <w:color w:val="231F20"/>
          <w:spacing w:val="-2"/>
          <w:w w:val="120"/>
        </w:rPr>
        <w:t>dépense</w:t>
      </w:r>
      <w:r>
        <w:rPr>
          <w:color w:val="231F20"/>
          <w:spacing w:val="-4"/>
          <w:w w:val="120"/>
        </w:rPr>
        <w:t> </w:t>
      </w:r>
      <w:r>
        <w:rPr>
          <w:color w:val="231F20"/>
          <w:spacing w:val="-2"/>
          <w:w w:val="120"/>
        </w:rPr>
        <w:t>d’énergie</w:t>
      </w:r>
      <w:r>
        <w:rPr>
          <w:color w:val="231F20"/>
          <w:spacing w:val="-4"/>
          <w:w w:val="120"/>
        </w:rPr>
        <w:t> </w:t>
      </w:r>
      <w:r>
        <w:rPr>
          <w:color w:val="231F20"/>
          <w:spacing w:val="-2"/>
          <w:w w:val="120"/>
        </w:rPr>
        <w:t>en </w:t>
      </w:r>
      <w:r>
        <w:rPr>
          <w:color w:val="231F20"/>
          <w:w w:val="115"/>
        </w:rPr>
        <w:t>raison</w:t>
      </w:r>
      <w:r>
        <w:rPr>
          <w:color w:val="231F20"/>
          <w:spacing w:val="-13"/>
          <w:w w:val="115"/>
        </w:rPr>
        <w:t> </w:t>
      </w:r>
      <w:r>
        <w:rPr>
          <w:color w:val="231F20"/>
          <w:w w:val="115"/>
        </w:rPr>
        <w:t>du</w:t>
      </w:r>
      <w:r>
        <w:rPr>
          <w:color w:val="231F20"/>
          <w:spacing w:val="-4"/>
          <w:w w:val="115"/>
        </w:rPr>
        <w:t> </w:t>
      </w:r>
      <w:r>
        <w:rPr>
          <w:color w:val="231F20"/>
          <w:w w:val="115"/>
        </w:rPr>
        <w:t>besoin d’un stress intense (p. ex. saut en parachute</w:t>
      </w:r>
      <w:r>
        <w:rPr>
          <w:color w:val="231F20"/>
          <w:spacing w:val="-13"/>
          <w:w w:val="115"/>
        </w:rPr>
        <w:t> </w:t>
      </w:r>
      <w:r>
        <w:rPr>
          <w:color w:val="231F20"/>
          <w:w w:val="115"/>
        </w:rPr>
        <w:t>; figure 2.3). </w:t>
      </w:r>
      <w:r>
        <w:rPr>
          <w:color w:val="231F20"/>
          <w:w w:val="120"/>
        </w:rPr>
        <w:t>Un</w:t>
      </w:r>
      <w:r>
        <w:rPr>
          <w:color w:val="231F20"/>
          <w:spacing w:val="-9"/>
          <w:w w:val="120"/>
        </w:rPr>
        <w:t> </w:t>
      </w:r>
      <w:r>
        <w:rPr>
          <w:color w:val="231F20"/>
          <w:w w:val="120"/>
        </w:rPr>
        <w:t>petit</w:t>
      </w:r>
      <w:r>
        <w:rPr>
          <w:color w:val="231F20"/>
          <w:spacing w:val="-9"/>
          <w:w w:val="120"/>
        </w:rPr>
        <w:t> </w:t>
      </w:r>
      <w:r>
        <w:rPr>
          <w:color w:val="231F20"/>
          <w:w w:val="120"/>
        </w:rPr>
        <w:t>déséquilibre</w:t>
      </w:r>
      <w:r>
        <w:rPr>
          <w:color w:val="231F20"/>
          <w:spacing w:val="-9"/>
          <w:w w:val="120"/>
        </w:rPr>
        <w:t> </w:t>
      </w:r>
      <w:r>
        <w:rPr>
          <w:color w:val="231F20"/>
          <w:w w:val="120"/>
        </w:rPr>
        <w:t>génère</w:t>
      </w:r>
      <w:r>
        <w:rPr>
          <w:color w:val="231F20"/>
          <w:spacing w:val="-9"/>
          <w:w w:val="120"/>
        </w:rPr>
        <w:t> </w:t>
      </w:r>
      <w:r>
        <w:rPr>
          <w:color w:val="231F20"/>
          <w:w w:val="120"/>
        </w:rPr>
        <w:t>un</w:t>
      </w:r>
      <w:r>
        <w:rPr>
          <w:color w:val="231F20"/>
          <w:spacing w:val="-9"/>
          <w:w w:val="120"/>
        </w:rPr>
        <w:t> </w:t>
      </w:r>
      <w:r>
        <w:rPr>
          <w:color w:val="231F20"/>
          <w:w w:val="120"/>
        </w:rPr>
        <w:t>stress</w:t>
      </w:r>
      <w:r>
        <w:rPr>
          <w:color w:val="231F20"/>
          <w:spacing w:val="-9"/>
          <w:w w:val="120"/>
        </w:rPr>
        <w:t> </w:t>
      </w:r>
      <w:r>
        <w:rPr>
          <w:color w:val="231F20"/>
          <w:w w:val="120"/>
        </w:rPr>
        <w:t>de</w:t>
      </w:r>
      <w:r>
        <w:rPr>
          <w:color w:val="231F20"/>
          <w:spacing w:val="-9"/>
          <w:w w:val="120"/>
        </w:rPr>
        <w:t> </w:t>
      </w:r>
      <w:r>
        <w:rPr>
          <w:color w:val="231F20"/>
          <w:w w:val="120"/>
        </w:rPr>
        <w:t>faible</w:t>
      </w:r>
      <w:r>
        <w:rPr>
          <w:color w:val="231F20"/>
          <w:spacing w:val="-9"/>
          <w:w w:val="120"/>
        </w:rPr>
        <w:t> </w:t>
      </w:r>
      <w:r>
        <w:rPr>
          <w:color w:val="231F20"/>
          <w:w w:val="120"/>
        </w:rPr>
        <w:t>intensité</w:t>
      </w:r>
      <w:r>
        <w:rPr>
          <w:color w:val="231F20"/>
          <w:spacing w:val="-9"/>
          <w:w w:val="120"/>
        </w:rPr>
        <w:t> </w:t>
      </w:r>
      <w:r>
        <w:rPr>
          <w:color w:val="231F20"/>
          <w:w w:val="120"/>
        </w:rPr>
        <w:t>et</w:t>
      </w:r>
      <w:r>
        <w:rPr>
          <w:color w:val="231F20"/>
          <w:spacing w:val="-9"/>
          <w:w w:val="120"/>
        </w:rPr>
        <w:t> </w:t>
      </w:r>
      <w:r>
        <w:rPr>
          <w:color w:val="231F20"/>
          <w:w w:val="120"/>
        </w:rPr>
        <w:t>une</w:t>
      </w:r>
      <w:r>
        <w:rPr>
          <w:color w:val="231F20"/>
          <w:spacing w:val="-9"/>
          <w:w w:val="120"/>
        </w:rPr>
        <w:t> </w:t>
      </w:r>
      <w:r>
        <w:rPr>
          <w:color w:val="231F20"/>
          <w:w w:val="120"/>
        </w:rPr>
        <w:t>dépense </w:t>
      </w:r>
      <w:r>
        <w:rPr>
          <w:color w:val="231F20"/>
          <w:w w:val="115"/>
        </w:rPr>
        <w:t>énergétique</w:t>
      </w:r>
      <w:r>
        <w:rPr>
          <w:color w:val="231F20"/>
          <w:spacing w:val="-9"/>
          <w:w w:val="115"/>
        </w:rPr>
        <w:t> </w:t>
      </w:r>
      <w:r>
        <w:rPr>
          <w:color w:val="231F20"/>
          <w:w w:val="115"/>
        </w:rPr>
        <w:t>limitée.</w:t>
      </w:r>
      <w:r>
        <w:rPr>
          <w:color w:val="231F20"/>
          <w:spacing w:val="-9"/>
          <w:w w:val="115"/>
        </w:rPr>
        <w:t> </w:t>
      </w:r>
      <w:r>
        <w:rPr>
          <w:color w:val="231F20"/>
          <w:w w:val="115"/>
        </w:rPr>
        <w:t>Bien</w:t>
      </w:r>
      <w:r>
        <w:rPr>
          <w:color w:val="231F20"/>
          <w:spacing w:val="-9"/>
          <w:w w:val="115"/>
        </w:rPr>
        <w:t> </w:t>
      </w:r>
      <w:r>
        <w:rPr>
          <w:color w:val="231F20"/>
          <w:w w:val="115"/>
        </w:rPr>
        <w:t>sûr,</w:t>
      </w:r>
      <w:r>
        <w:rPr>
          <w:color w:val="231F20"/>
          <w:spacing w:val="-9"/>
          <w:w w:val="115"/>
        </w:rPr>
        <w:t> </w:t>
      </w:r>
      <w:r>
        <w:rPr>
          <w:color w:val="231F20"/>
          <w:w w:val="115"/>
        </w:rPr>
        <w:t>l’énergie</w:t>
      </w:r>
      <w:r>
        <w:rPr>
          <w:color w:val="231F20"/>
          <w:spacing w:val="-9"/>
          <w:w w:val="115"/>
        </w:rPr>
        <w:t> </w:t>
      </w:r>
      <w:r>
        <w:rPr>
          <w:color w:val="231F20"/>
          <w:w w:val="115"/>
        </w:rPr>
        <w:t>dont</w:t>
      </w:r>
      <w:r>
        <w:rPr>
          <w:color w:val="231F20"/>
          <w:spacing w:val="-9"/>
          <w:w w:val="115"/>
        </w:rPr>
        <w:t> </w:t>
      </w:r>
      <w:r>
        <w:rPr>
          <w:color w:val="231F20"/>
          <w:w w:val="115"/>
        </w:rPr>
        <w:t>nous</w:t>
      </w:r>
      <w:r>
        <w:rPr>
          <w:color w:val="231F20"/>
          <w:spacing w:val="-9"/>
          <w:w w:val="115"/>
        </w:rPr>
        <w:t> </w:t>
      </w:r>
      <w:r>
        <w:rPr>
          <w:color w:val="231F20"/>
          <w:w w:val="115"/>
        </w:rPr>
        <w:t>disposons</w:t>
      </w:r>
      <w:r>
        <w:rPr>
          <w:color w:val="231F20"/>
          <w:spacing w:val="-9"/>
          <w:w w:val="115"/>
        </w:rPr>
        <w:t> </w:t>
      </w:r>
      <w:r>
        <w:rPr>
          <w:color w:val="231F20"/>
          <w:w w:val="115"/>
        </w:rPr>
        <w:t>n’est</w:t>
      </w:r>
      <w:r>
        <w:rPr>
          <w:color w:val="231F20"/>
          <w:spacing w:val="-9"/>
          <w:w w:val="115"/>
        </w:rPr>
        <w:t> </w:t>
      </w:r>
      <w:r>
        <w:rPr>
          <w:color w:val="231F20"/>
          <w:w w:val="115"/>
        </w:rPr>
        <w:t>pas</w:t>
      </w:r>
      <w:r>
        <w:rPr>
          <w:color w:val="231F20"/>
          <w:spacing w:val="-9"/>
          <w:w w:val="115"/>
        </w:rPr>
        <w:t> </w:t>
      </w:r>
      <w:r>
        <w:rPr>
          <w:color w:val="231F20"/>
          <w:w w:val="115"/>
        </w:rPr>
        <w:t>sans </w:t>
      </w:r>
      <w:r>
        <w:rPr>
          <w:color w:val="231F20"/>
          <w:spacing w:val="-2"/>
          <w:w w:val="120"/>
        </w:rPr>
        <w:t>limites</w:t>
      </w:r>
      <w:r>
        <w:rPr>
          <w:color w:val="231F20"/>
          <w:spacing w:val="-11"/>
          <w:w w:val="120"/>
        </w:rPr>
        <w:t> </w:t>
      </w:r>
      <w:r>
        <w:rPr>
          <w:color w:val="231F20"/>
          <w:spacing w:val="-2"/>
          <w:w w:val="120"/>
        </w:rPr>
        <w:t>et</w:t>
      </w:r>
      <w:r>
        <w:rPr>
          <w:color w:val="231F20"/>
          <w:spacing w:val="-11"/>
          <w:w w:val="120"/>
        </w:rPr>
        <w:t> </w:t>
      </w:r>
      <w:r>
        <w:rPr>
          <w:color w:val="231F20"/>
          <w:spacing w:val="-2"/>
          <w:w w:val="120"/>
        </w:rPr>
        <w:t>un</w:t>
      </w:r>
      <w:r>
        <w:rPr>
          <w:color w:val="231F20"/>
          <w:spacing w:val="-11"/>
          <w:w w:val="120"/>
        </w:rPr>
        <w:t> </w:t>
      </w:r>
      <w:r>
        <w:rPr>
          <w:color w:val="231F20"/>
          <w:spacing w:val="-2"/>
          <w:w w:val="120"/>
        </w:rPr>
        <w:t>stress</w:t>
      </w:r>
      <w:r>
        <w:rPr>
          <w:color w:val="231F20"/>
          <w:spacing w:val="-10"/>
          <w:w w:val="120"/>
        </w:rPr>
        <w:t> </w:t>
      </w:r>
      <w:r>
        <w:rPr>
          <w:color w:val="231F20"/>
          <w:spacing w:val="-2"/>
          <w:w w:val="120"/>
        </w:rPr>
        <w:t>chronique,</w:t>
      </w:r>
      <w:r>
        <w:rPr>
          <w:color w:val="231F20"/>
          <w:spacing w:val="-11"/>
          <w:w w:val="120"/>
        </w:rPr>
        <w:t> </w:t>
      </w:r>
      <w:r>
        <w:rPr>
          <w:color w:val="231F20"/>
          <w:spacing w:val="-2"/>
          <w:w w:val="120"/>
        </w:rPr>
        <w:t>c’est-à-dire</w:t>
      </w:r>
      <w:r>
        <w:rPr>
          <w:color w:val="231F20"/>
          <w:spacing w:val="-11"/>
          <w:w w:val="120"/>
        </w:rPr>
        <w:t> </w:t>
      </w:r>
      <w:r>
        <w:rPr>
          <w:color w:val="231F20"/>
          <w:spacing w:val="-2"/>
          <w:w w:val="120"/>
        </w:rPr>
        <w:t>de</w:t>
      </w:r>
      <w:r>
        <w:rPr>
          <w:color w:val="231F20"/>
          <w:spacing w:val="-11"/>
          <w:w w:val="120"/>
        </w:rPr>
        <w:t> </w:t>
      </w:r>
      <w:r>
        <w:rPr>
          <w:color w:val="231F20"/>
          <w:spacing w:val="-2"/>
          <w:w w:val="120"/>
        </w:rPr>
        <w:t>très</w:t>
      </w:r>
      <w:r>
        <w:rPr>
          <w:color w:val="231F20"/>
          <w:spacing w:val="-10"/>
          <w:w w:val="120"/>
        </w:rPr>
        <w:t> </w:t>
      </w:r>
      <w:r>
        <w:rPr>
          <w:color w:val="231F20"/>
          <w:spacing w:val="-2"/>
          <w:w w:val="120"/>
        </w:rPr>
        <w:t>longue</w:t>
      </w:r>
      <w:r>
        <w:rPr>
          <w:color w:val="231F20"/>
          <w:spacing w:val="-11"/>
          <w:w w:val="120"/>
        </w:rPr>
        <w:t> </w:t>
      </w:r>
      <w:r>
        <w:rPr>
          <w:color w:val="231F20"/>
          <w:spacing w:val="-2"/>
          <w:w w:val="120"/>
        </w:rPr>
        <w:t>durée,</w:t>
      </w:r>
      <w:r>
        <w:rPr>
          <w:color w:val="231F20"/>
          <w:spacing w:val="-11"/>
          <w:w w:val="120"/>
        </w:rPr>
        <w:t> </w:t>
      </w:r>
      <w:r>
        <w:rPr>
          <w:color w:val="231F20"/>
          <w:spacing w:val="-2"/>
          <w:w w:val="120"/>
        </w:rPr>
        <w:t>provoque </w:t>
      </w:r>
      <w:r>
        <w:rPr>
          <w:color w:val="231F20"/>
          <w:w w:val="120"/>
        </w:rPr>
        <w:t>après un certain temps un épuisement des ressources de l’individu.</w:t>
      </w:r>
    </w:p>
    <w:p>
      <w:pPr>
        <w:pStyle w:val="BodyText"/>
        <w:spacing w:before="4"/>
        <w:rPr>
          <w:sz w:val="11"/>
        </w:rPr>
      </w:pPr>
      <w:r>
        <w:rPr/>
        <w:pict>
          <v:group style="position:absolute;margin-left:62.5pt;margin-top:7.742529pt;width:287.5pt;height:243.25pt;mso-position-horizontal-relative:page;mso-position-vertical-relative:paragraph;z-index:-15700480;mso-wrap-distance-left:0;mso-wrap-distance-right:0" id="docshapegroup189" coordorigin="1250,155" coordsize="5750,4865">
            <v:rect style="position:absolute;left:1250;top:154;width:5750;height:705" id="docshape190" filled="true" fillcolor="#e2e3e4" stroked="false">
              <v:fill type="solid"/>
            </v:rect>
            <v:line style="position:absolute" from="1500,702" to="6750,702" stroked="true" strokeweight=".25pt" strokecolor="#231f20">
              <v:stroke dashstyle="shortdot"/>
            </v:line>
            <v:shape style="position:absolute;left:1250;top:779;width:5750;height:4240" id="docshape191" coordorigin="1250,780" coordsize="5750,4240" path="m7000,780l1250,780,1250,1110,1250,1280,1250,5020,7000,5020,7000,1110,7000,780xe" filled="true" fillcolor="#e2e3e4" stroked="false">
              <v:path arrowok="t"/>
              <v:fill type="solid"/>
            </v:shape>
            <v:shape style="position:absolute;left:1250;top:154;width:5750;height:4865" type="#_x0000_t202" id="docshape192" filled="false" stroked="false">
              <v:textbox inset="0,0,0,0">
                <w:txbxContent>
                  <w:p>
                    <w:pPr>
                      <w:spacing w:line="240" w:lineRule="auto" w:before="9"/>
                      <w:rPr>
                        <w:sz w:val="18"/>
                      </w:rPr>
                    </w:pPr>
                  </w:p>
                  <w:p>
                    <w:pPr>
                      <w:spacing w:before="0"/>
                      <w:ind w:left="249" w:right="0" w:firstLine="0"/>
                      <w:jc w:val="left"/>
                      <w:rPr>
                        <w:rFonts w:ascii="Arial" w:hAnsi="Arial"/>
                        <w:sz w:val="17"/>
                      </w:rPr>
                    </w:pPr>
                    <w:r>
                      <w:rPr>
                        <w:rFonts w:ascii="Arial" w:hAnsi="Arial"/>
                        <w:color w:val="231F20"/>
                        <w:w w:val="110"/>
                        <w:sz w:val="17"/>
                      </w:rPr>
                      <w:t>Faits</w:t>
                    </w:r>
                    <w:r>
                      <w:rPr>
                        <w:rFonts w:ascii="Arial" w:hAnsi="Arial"/>
                        <w:color w:val="231F20"/>
                        <w:spacing w:val="-7"/>
                        <w:w w:val="110"/>
                        <w:sz w:val="17"/>
                      </w:rPr>
                      <w:t> </w:t>
                    </w:r>
                    <w:r>
                      <w:rPr>
                        <w:rFonts w:ascii="Arial" w:hAnsi="Arial"/>
                        <w:color w:val="231F20"/>
                        <w:spacing w:val="-2"/>
                        <w:w w:val="115"/>
                        <w:sz w:val="17"/>
                      </w:rPr>
                      <w:t>intéressants</w:t>
                    </w:r>
                  </w:p>
                  <w:p>
                    <w:pPr>
                      <w:spacing w:line="240" w:lineRule="auto" w:before="6"/>
                      <w:rPr>
                        <w:rFonts w:ascii="Arial"/>
                        <w:sz w:val="26"/>
                      </w:rPr>
                    </w:pPr>
                  </w:p>
                  <w:p>
                    <w:pPr>
                      <w:spacing w:before="0"/>
                      <w:ind w:left="249" w:right="0" w:firstLine="0"/>
                      <w:jc w:val="left"/>
                      <w:rPr>
                        <w:rFonts w:ascii="Arial" w:hAnsi="Arial"/>
                        <w:sz w:val="17"/>
                      </w:rPr>
                    </w:pPr>
                    <w:r>
                      <w:rPr>
                        <w:rFonts w:ascii="Arial" w:hAnsi="Arial"/>
                        <w:color w:val="231F20"/>
                        <w:sz w:val="17"/>
                      </w:rPr>
                      <w:t>En</w:t>
                    </w:r>
                    <w:r>
                      <w:rPr>
                        <w:rFonts w:ascii="Arial" w:hAnsi="Arial"/>
                        <w:color w:val="231F20"/>
                        <w:spacing w:val="-2"/>
                        <w:sz w:val="17"/>
                      </w:rPr>
                      <w:t> </w:t>
                    </w:r>
                    <w:r>
                      <w:rPr>
                        <w:rFonts w:ascii="Arial" w:hAnsi="Arial"/>
                        <w:color w:val="231F20"/>
                        <w:sz w:val="17"/>
                      </w:rPr>
                      <w:t>situation</w:t>
                    </w:r>
                    <w:r>
                      <w:rPr>
                        <w:rFonts w:ascii="Arial" w:hAnsi="Arial"/>
                        <w:color w:val="231F20"/>
                        <w:spacing w:val="-1"/>
                        <w:sz w:val="17"/>
                      </w:rPr>
                      <w:t> </w:t>
                    </w:r>
                    <w:r>
                      <w:rPr>
                        <w:rFonts w:ascii="Arial" w:hAnsi="Arial"/>
                        <w:color w:val="231F20"/>
                        <w:sz w:val="17"/>
                      </w:rPr>
                      <w:t>de</w:t>
                    </w:r>
                    <w:r>
                      <w:rPr>
                        <w:rFonts w:ascii="Arial" w:hAnsi="Arial"/>
                        <w:color w:val="231F20"/>
                        <w:spacing w:val="-2"/>
                        <w:sz w:val="17"/>
                      </w:rPr>
                      <w:t> </w:t>
                    </w:r>
                    <w:r>
                      <w:rPr>
                        <w:rFonts w:ascii="Arial" w:hAnsi="Arial"/>
                        <w:color w:val="231F20"/>
                        <w:sz w:val="17"/>
                      </w:rPr>
                      <w:t>stress,</w:t>
                    </w:r>
                    <w:r>
                      <w:rPr>
                        <w:rFonts w:ascii="Arial" w:hAnsi="Arial"/>
                        <w:color w:val="231F20"/>
                        <w:spacing w:val="-1"/>
                        <w:sz w:val="17"/>
                      </w:rPr>
                      <w:t> </w:t>
                    </w:r>
                    <w:r>
                      <w:rPr>
                        <w:rFonts w:ascii="Arial" w:hAnsi="Arial"/>
                        <w:color w:val="231F20"/>
                        <w:sz w:val="17"/>
                      </w:rPr>
                      <w:t>l’organisme</w:t>
                    </w:r>
                    <w:r>
                      <w:rPr>
                        <w:rFonts w:ascii="Arial" w:hAnsi="Arial"/>
                        <w:color w:val="231F20"/>
                        <w:spacing w:val="-1"/>
                        <w:sz w:val="17"/>
                      </w:rPr>
                      <w:t> </w:t>
                    </w:r>
                    <w:r>
                      <w:rPr>
                        <w:rFonts w:ascii="Arial" w:hAnsi="Arial"/>
                        <w:color w:val="231F20"/>
                        <w:sz w:val="17"/>
                      </w:rPr>
                      <w:t>réagit</w:t>
                    </w:r>
                    <w:r>
                      <w:rPr>
                        <w:rFonts w:ascii="Arial" w:hAnsi="Arial"/>
                        <w:color w:val="231F20"/>
                        <w:spacing w:val="-2"/>
                        <w:sz w:val="17"/>
                      </w:rPr>
                      <w:t> </w:t>
                    </w:r>
                    <w:r>
                      <w:rPr>
                        <w:rFonts w:ascii="Arial" w:hAnsi="Arial"/>
                        <w:color w:val="231F20"/>
                        <w:sz w:val="17"/>
                      </w:rPr>
                      <w:t>selon</w:t>
                    </w:r>
                    <w:r>
                      <w:rPr>
                        <w:rFonts w:ascii="Arial" w:hAnsi="Arial"/>
                        <w:color w:val="231F20"/>
                        <w:spacing w:val="-1"/>
                        <w:sz w:val="17"/>
                      </w:rPr>
                      <w:t> </w:t>
                    </w:r>
                    <w:r>
                      <w:rPr>
                        <w:rFonts w:ascii="Arial" w:hAnsi="Arial"/>
                        <w:color w:val="231F20"/>
                        <w:sz w:val="17"/>
                      </w:rPr>
                      <w:t>trois</w:t>
                    </w:r>
                    <w:r>
                      <w:rPr>
                        <w:rFonts w:ascii="Arial" w:hAnsi="Arial"/>
                        <w:color w:val="231F20"/>
                        <w:spacing w:val="-1"/>
                        <w:sz w:val="17"/>
                      </w:rPr>
                      <w:t> </w:t>
                    </w:r>
                    <w:r>
                      <w:rPr>
                        <w:rFonts w:ascii="Arial" w:hAnsi="Arial"/>
                        <w:color w:val="231F20"/>
                        <w:spacing w:val="-2"/>
                        <w:sz w:val="17"/>
                      </w:rPr>
                      <w:t>axes.</w:t>
                    </w:r>
                  </w:p>
                  <w:p>
                    <w:pPr>
                      <w:spacing w:line="307" w:lineRule="auto" w:before="134"/>
                      <w:ind w:left="249" w:right="247" w:firstLine="0"/>
                      <w:jc w:val="both"/>
                      <w:rPr>
                        <w:rFonts w:ascii="Arial" w:hAnsi="Arial"/>
                        <w:sz w:val="17"/>
                      </w:rPr>
                    </w:pPr>
                    <w:r>
                      <w:rPr>
                        <w:rFonts w:ascii="Arial" w:hAnsi="Arial"/>
                        <w:b/>
                        <w:color w:val="231F20"/>
                        <w:sz w:val="17"/>
                      </w:rPr>
                      <w:t>La</w:t>
                    </w:r>
                    <w:r>
                      <w:rPr>
                        <w:rFonts w:ascii="Arial" w:hAnsi="Arial"/>
                        <w:b/>
                        <w:color w:val="231F20"/>
                        <w:spacing w:val="-12"/>
                        <w:sz w:val="17"/>
                      </w:rPr>
                      <w:t> </w:t>
                    </w:r>
                    <w:r>
                      <w:rPr>
                        <w:rFonts w:ascii="Arial" w:hAnsi="Arial"/>
                        <w:b/>
                        <w:color w:val="231F20"/>
                        <w:sz w:val="17"/>
                      </w:rPr>
                      <w:t>réponse</w:t>
                    </w:r>
                    <w:r>
                      <w:rPr>
                        <w:rFonts w:ascii="Arial" w:hAnsi="Arial"/>
                        <w:b/>
                        <w:color w:val="231F20"/>
                        <w:spacing w:val="-12"/>
                        <w:sz w:val="17"/>
                      </w:rPr>
                      <w:t> </w:t>
                    </w:r>
                    <w:r>
                      <w:rPr>
                        <w:rFonts w:ascii="Arial" w:hAnsi="Arial"/>
                        <w:b/>
                        <w:color w:val="231F20"/>
                        <w:sz w:val="17"/>
                      </w:rPr>
                      <w:t>neurale</w:t>
                    </w:r>
                    <w:r>
                      <w:rPr>
                        <w:rFonts w:ascii="Arial" w:hAnsi="Arial"/>
                        <w:color w:val="231F20"/>
                        <w:sz w:val="17"/>
                      </w:rPr>
                      <w:t>.</w:t>
                    </w:r>
                    <w:r>
                      <w:rPr>
                        <w:rFonts w:ascii="Arial" w:hAnsi="Arial"/>
                        <w:color w:val="231F20"/>
                        <w:spacing w:val="-12"/>
                        <w:sz w:val="17"/>
                      </w:rPr>
                      <w:t> </w:t>
                    </w:r>
                    <w:r>
                      <w:rPr>
                        <w:rFonts w:ascii="Arial" w:hAnsi="Arial"/>
                        <w:color w:val="231F20"/>
                        <w:sz w:val="17"/>
                      </w:rPr>
                      <w:t>Les</w:t>
                    </w:r>
                    <w:r>
                      <w:rPr>
                        <w:rFonts w:ascii="Arial" w:hAnsi="Arial"/>
                        <w:color w:val="231F20"/>
                        <w:spacing w:val="-12"/>
                        <w:sz w:val="17"/>
                      </w:rPr>
                      <w:t> </w:t>
                    </w:r>
                    <w:r>
                      <w:rPr>
                        <w:rFonts w:ascii="Arial" w:hAnsi="Arial"/>
                        <w:color w:val="231F20"/>
                        <w:sz w:val="17"/>
                      </w:rPr>
                      <w:t>systèmes</w:t>
                    </w:r>
                    <w:r>
                      <w:rPr>
                        <w:rFonts w:ascii="Arial" w:hAnsi="Arial"/>
                        <w:color w:val="231F20"/>
                        <w:spacing w:val="-10"/>
                        <w:sz w:val="17"/>
                      </w:rPr>
                      <w:t> </w:t>
                    </w:r>
                    <w:r>
                      <w:rPr>
                        <w:rFonts w:ascii="Arial" w:hAnsi="Arial"/>
                        <w:color w:val="231F20"/>
                        <w:sz w:val="17"/>
                      </w:rPr>
                      <w:t>nerveux</w:t>
                    </w:r>
                    <w:r>
                      <w:rPr>
                        <w:rFonts w:ascii="Arial" w:hAnsi="Arial"/>
                        <w:color w:val="231F20"/>
                        <w:spacing w:val="-10"/>
                        <w:sz w:val="17"/>
                      </w:rPr>
                      <w:t> </w:t>
                    </w:r>
                    <w:r>
                      <w:rPr>
                        <w:rFonts w:ascii="Arial" w:hAnsi="Arial"/>
                        <w:color w:val="231F20"/>
                        <w:sz w:val="17"/>
                      </w:rPr>
                      <w:t>sympathique</w:t>
                    </w:r>
                    <w:r>
                      <w:rPr>
                        <w:rFonts w:ascii="Arial" w:hAnsi="Arial"/>
                        <w:color w:val="231F20"/>
                        <w:spacing w:val="-10"/>
                        <w:sz w:val="17"/>
                      </w:rPr>
                      <w:t> </w:t>
                    </w:r>
                    <w:r>
                      <w:rPr>
                        <w:rFonts w:ascii="Arial" w:hAnsi="Arial"/>
                        <w:color w:val="231F20"/>
                        <w:sz w:val="17"/>
                      </w:rPr>
                      <w:t>et</w:t>
                    </w:r>
                    <w:r>
                      <w:rPr>
                        <w:rFonts w:ascii="Arial" w:hAnsi="Arial"/>
                        <w:color w:val="231F20"/>
                        <w:spacing w:val="-10"/>
                        <w:sz w:val="17"/>
                      </w:rPr>
                      <w:t> </w:t>
                    </w:r>
                    <w:r>
                      <w:rPr>
                        <w:rFonts w:ascii="Arial" w:hAnsi="Arial"/>
                        <w:color w:val="231F20"/>
                        <w:sz w:val="17"/>
                      </w:rPr>
                      <w:t>parasym- pathique</w:t>
                    </w:r>
                    <w:r>
                      <w:rPr>
                        <w:rFonts w:ascii="Arial" w:hAnsi="Arial"/>
                        <w:color w:val="231F20"/>
                        <w:spacing w:val="-2"/>
                        <w:sz w:val="17"/>
                      </w:rPr>
                      <w:t> </w:t>
                    </w:r>
                    <w:r>
                      <w:rPr>
                        <w:rFonts w:ascii="Arial" w:hAnsi="Arial"/>
                        <w:color w:val="231F20"/>
                        <w:sz w:val="17"/>
                      </w:rPr>
                      <w:t>s’activent</w:t>
                    </w:r>
                    <w:r>
                      <w:rPr>
                        <w:rFonts w:ascii="Arial" w:hAnsi="Arial"/>
                        <w:color w:val="231F20"/>
                        <w:spacing w:val="-2"/>
                        <w:sz w:val="17"/>
                      </w:rPr>
                      <w:t> </w:t>
                    </w:r>
                    <w:r>
                      <w:rPr>
                        <w:rFonts w:ascii="Arial" w:hAnsi="Arial"/>
                        <w:color w:val="231F20"/>
                        <w:sz w:val="17"/>
                      </w:rPr>
                      <w:t>immédiatement.</w:t>
                    </w:r>
                    <w:r>
                      <w:rPr>
                        <w:rFonts w:ascii="Arial" w:hAnsi="Arial"/>
                        <w:color w:val="231F20"/>
                        <w:spacing w:val="-2"/>
                        <w:sz w:val="17"/>
                      </w:rPr>
                      <w:t> </w:t>
                    </w:r>
                    <w:r>
                      <w:rPr>
                        <w:rFonts w:ascii="Arial" w:hAnsi="Arial"/>
                        <w:color w:val="231F20"/>
                        <w:sz w:val="17"/>
                      </w:rPr>
                      <w:t>Ces</w:t>
                    </w:r>
                    <w:r>
                      <w:rPr>
                        <w:rFonts w:ascii="Arial" w:hAnsi="Arial"/>
                        <w:color w:val="231F20"/>
                        <w:spacing w:val="-2"/>
                        <w:sz w:val="17"/>
                      </w:rPr>
                      <w:t> </w:t>
                    </w:r>
                    <w:r>
                      <w:rPr>
                        <w:rFonts w:ascii="Arial" w:hAnsi="Arial"/>
                        <w:color w:val="231F20"/>
                        <w:sz w:val="17"/>
                      </w:rPr>
                      <w:t>systèmes</w:t>
                    </w:r>
                    <w:r>
                      <w:rPr>
                        <w:rFonts w:ascii="Arial" w:hAnsi="Arial"/>
                        <w:color w:val="231F20"/>
                        <w:spacing w:val="-2"/>
                        <w:sz w:val="17"/>
                      </w:rPr>
                      <w:t> </w:t>
                    </w:r>
                    <w:r>
                      <w:rPr>
                        <w:rFonts w:ascii="Arial" w:hAnsi="Arial"/>
                        <w:color w:val="231F20"/>
                        <w:sz w:val="17"/>
                      </w:rPr>
                      <w:t>contrôlent</w:t>
                    </w:r>
                    <w:r>
                      <w:rPr>
                        <w:rFonts w:ascii="Arial" w:hAnsi="Arial"/>
                        <w:color w:val="231F20"/>
                        <w:spacing w:val="-2"/>
                        <w:sz w:val="17"/>
                      </w:rPr>
                      <w:t> </w:t>
                    </w:r>
                    <w:r>
                      <w:rPr>
                        <w:rFonts w:ascii="Arial" w:hAnsi="Arial"/>
                        <w:color w:val="231F20"/>
                        <w:sz w:val="17"/>
                      </w:rPr>
                      <w:t>la</w:t>
                    </w:r>
                    <w:r>
                      <w:rPr>
                        <w:rFonts w:ascii="Arial" w:hAnsi="Arial"/>
                        <w:color w:val="231F20"/>
                        <w:spacing w:val="-2"/>
                        <w:sz w:val="17"/>
                      </w:rPr>
                      <w:t> </w:t>
                    </w:r>
                    <w:r>
                      <w:rPr>
                        <w:rFonts w:ascii="Arial" w:hAnsi="Arial"/>
                        <w:color w:val="231F20"/>
                        <w:sz w:val="17"/>
                      </w:rPr>
                      <w:t>respi- </w:t>
                    </w:r>
                    <w:r>
                      <w:rPr>
                        <w:rFonts w:ascii="Arial" w:hAnsi="Arial"/>
                        <w:color w:val="231F20"/>
                        <w:spacing w:val="-2"/>
                        <w:sz w:val="17"/>
                      </w:rPr>
                      <w:t>ration,</w:t>
                    </w:r>
                    <w:r>
                      <w:rPr>
                        <w:rFonts w:ascii="Arial" w:hAnsi="Arial"/>
                        <w:color w:val="231F20"/>
                        <w:spacing w:val="-16"/>
                        <w:sz w:val="17"/>
                      </w:rPr>
                      <w:t> </w:t>
                    </w:r>
                    <w:r>
                      <w:rPr>
                        <w:rFonts w:ascii="Arial" w:hAnsi="Arial"/>
                        <w:color w:val="231F20"/>
                        <w:spacing w:val="-2"/>
                        <w:sz w:val="17"/>
                      </w:rPr>
                      <w:t>la</w:t>
                    </w:r>
                    <w:r>
                      <w:rPr>
                        <w:rFonts w:ascii="Arial" w:hAnsi="Arial"/>
                        <w:color w:val="231F20"/>
                        <w:spacing w:val="-15"/>
                        <w:sz w:val="17"/>
                      </w:rPr>
                      <w:t> </w:t>
                    </w:r>
                    <w:r>
                      <w:rPr>
                        <w:rFonts w:ascii="Arial" w:hAnsi="Arial"/>
                        <w:color w:val="231F20"/>
                        <w:spacing w:val="-2"/>
                        <w:sz w:val="17"/>
                      </w:rPr>
                      <w:t>fréquence</w:t>
                    </w:r>
                    <w:r>
                      <w:rPr>
                        <w:rFonts w:ascii="Arial" w:hAnsi="Arial"/>
                        <w:color w:val="231F20"/>
                        <w:spacing w:val="-15"/>
                        <w:sz w:val="17"/>
                      </w:rPr>
                      <w:t> </w:t>
                    </w:r>
                    <w:r>
                      <w:rPr>
                        <w:rFonts w:ascii="Arial" w:hAnsi="Arial"/>
                        <w:color w:val="231F20"/>
                        <w:spacing w:val="-2"/>
                        <w:sz w:val="17"/>
                      </w:rPr>
                      <w:t>cardiaque,</w:t>
                    </w:r>
                    <w:r>
                      <w:rPr>
                        <w:rFonts w:ascii="Arial" w:hAnsi="Arial"/>
                        <w:color w:val="231F20"/>
                        <w:spacing w:val="-16"/>
                        <w:sz w:val="17"/>
                      </w:rPr>
                      <w:t> </w:t>
                    </w:r>
                    <w:r>
                      <w:rPr>
                        <w:rFonts w:ascii="Arial" w:hAnsi="Arial"/>
                        <w:color w:val="231F20"/>
                        <w:spacing w:val="-2"/>
                        <w:sz w:val="17"/>
                      </w:rPr>
                      <w:t>la</w:t>
                    </w:r>
                    <w:r>
                      <w:rPr>
                        <w:rFonts w:ascii="Arial" w:hAnsi="Arial"/>
                        <w:color w:val="231F20"/>
                        <w:spacing w:val="-15"/>
                        <w:sz w:val="17"/>
                      </w:rPr>
                      <w:t> </w:t>
                    </w:r>
                    <w:r>
                      <w:rPr>
                        <w:rFonts w:ascii="Arial" w:hAnsi="Arial"/>
                        <w:color w:val="231F20"/>
                        <w:spacing w:val="-2"/>
                        <w:sz w:val="17"/>
                      </w:rPr>
                      <w:t>tension</w:t>
                    </w:r>
                    <w:r>
                      <w:rPr>
                        <w:rFonts w:ascii="Arial" w:hAnsi="Arial"/>
                        <w:color w:val="231F20"/>
                        <w:spacing w:val="-15"/>
                        <w:sz w:val="17"/>
                      </w:rPr>
                      <w:t> </w:t>
                    </w:r>
                    <w:r>
                      <w:rPr>
                        <w:rFonts w:ascii="Arial" w:hAnsi="Arial"/>
                        <w:color w:val="231F20"/>
                        <w:spacing w:val="-2"/>
                        <w:sz w:val="17"/>
                      </w:rPr>
                      <w:t>musculaire</w:t>
                    </w:r>
                    <w:r>
                      <w:rPr>
                        <w:rFonts w:ascii="Arial" w:hAnsi="Arial"/>
                        <w:color w:val="231F20"/>
                        <w:spacing w:val="-16"/>
                        <w:sz w:val="17"/>
                      </w:rPr>
                      <w:t> </w:t>
                    </w:r>
                    <w:r>
                      <w:rPr>
                        <w:rFonts w:ascii="Arial" w:hAnsi="Arial"/>
                        <w:color w:val="231F20"/>
                        <w:spacing w:val="-2"/>
                        <w:sz w:val="17"/>
                      </w:rPr>
                      <w:t>et</w:t>
                    </w:r>
                    <w:r>
                      <w:rPr>
                        <w:rFonts w:ascii="Arial" w:hAnsi="Arial"/>
                        <w:color w:val="231F20"/>
                        <w:spacing w:val="-15"/>
                        <w:sz w:val="17"/>
                      </w:rPr>
                      <w:t> </w:t>
                    </w:r>
                    <w:r>
                      <w:rPr>
                        <w:rFonts w:ascii="Arial" w:hAnsi="Arial"/>
                        <w:color w:val="231F20"/>
                        <w:spacing w:val="-2"/>
                        <w:sz w:val="17"/>
                      </w:rPr>
                      <w:t>les</w:t>
                    </w:r>
                    <w:r>
                      <w:rPr>
                        <w:rFonts w:ascii="Arial" w:hAnsi="Arial"/>
                        <w:color w:val="231F20"/>
                        <w:spacing w:val="-15"/>
                        <w:sz w:val="17"/>
                      </w:rPr>
                      <w:t> </w:t>
                    </w:r>
                    <w:r>
                      <w:rPr>
                        <w:rFonts w:ascii="Arial" w:hAnsi="Arial"/>
                        <w:color w:val="231F20"/>
                        <w:spacing w:val="-2"/>
                        <w:sz w:val="17"/>
                      </w:rPr>
                      <w:t>mouvements.</w:t>
                    </w:r>
                  </w:p>
                  <w:p>
                    <w:pPr>
                      <w:spacing w:line="307" w:lineRule="auto" w:before="80"/>
                      <w:ind w:left="250" w:right="247" w:firstLine="0"/>
                      <w:jc w:val="both"/>
                      <w:rPr>
                        <w:rFonts w:ascii="Arial" w:hAnsi="Arial"/>
                        <w:sz w:val="17"/>
                      </w:rPr>
                    </w:pPr>
                    <w:r>
                      <w:rPr>
                        <w:rFonts w:ascii="Arial" w:hAnsi="Arial"/>
                        <w:b/>
                        <w:color w:val="231F20"/>
                        <w:w w:val="95"/>
                        <w:sz w:val="17"/>
                      </w:rPr>
                      <w:t>La réponse neuroendocrinienne</w:t>
                    </w:r>
                    <w:r>
                      <w:rPr>
                        <w:rFonts w:ascii="Arial" w:hAnsi="Arial"/>
                        <w:color w:val="231F20"/>
                        <w:w w:val="95"/>
                        <w:sz w:val="17"/>
                      </w:rPr>
                      <w:t>. Cette réponse, qui s’active graduel- </w:t>
                    </w:r>
                    <w:r>
                      <w:rPr>
                        <w:rFonts w:ascii="Arial" w:hAnsi="Arial"/>
                        <w:color w:val="231F20"/>
                        <w:spacing w:val="-2"/>
                        <w:sz w:val="17"/>
                      </w:rPr>
                      <w:t>lement,</w:t>
                    </w:r>
                    <w:r>
                      <w:rPr>
                        <w:rFonts w:ascii="Arial" w:hAnsi="Arial"/>
                        <w:color w:val="231F20"/>
                        <w:spacing w:val="-4"/>
                        <w:sz w:val="17"/>
                      </w:rPr>
                      <w:t> </w:t>
                    </w:r>
                    <w:r>
                      <w:rPr>
                        <w:rFonts w:ascii="Arial" w:hAnsi="Arial"/>
                        <w:color w:val="231F20"/>
                        <w:spacing w:val="-2"/>
                        <w:sz w:val="17"/>
                      </w:rPr>
                      <w:t>accroît</w:t>
                    </w:r>
                    <w:r>
                      <w:rPr>
                        <w:rFonts w:ascii="Arial" w:hAnsi="Arial"/>
                        <w:color w:val="231F20"/>
                        <w:spacing w:val="-4"/>
                        <w:sz w:val="17"/>
                      </w:rPr>
                      <w:t> </w:t>
                    </w:r>
                    <w:r>
                      <w:rPr>
                        <w:rFonts w:ascii="Arial" w:hAnsi="Arial"/>
                        <w:color w:val="231F20"/>
                        <w:spacing w:val="-2"/>
                        <w:sz w:val="17"/>
                      </w:rPr>
                      <w:t>l’activité</w:t>
                    </w:r>
                    <w:r>
                      <w:rPr>
                        <w:rFonts w:ascii="Arial" w:hAnsi="Arial"/>
                        <w:color w:val="231F20"/>
                        <w:spacing w:val="-4"/>
                        <w:sz w:val="17"/>
                      </w:rPr>
                      <w:t> </w:t>
                    </w:r>
                    <w:r>
                      <w:rPr>
                        <w:rFonts w:ascii="Arial" w:hAnsi="Arial"/>
                        <w:color w:val="231F20"/>
                        <w:spacing w:val="-2"/>
                        <w:sz w:val="17"/>
                      </w:rPr>
                      <w:t>de</w:t>
                    </w:r>
                    <w:r>
                      <w:rPr>
                        <w:rFonts w:ascii="Arial" w:hAnsi="Arial"/>
                        <w:color w:val="231F20"/>
                        <w:spacing w:val="-4"/>
                        <w:sz w:val="17"/>
                      </w:rPr>
                      <w:t> </w:t>
                    </w:r>
                    <w:r>
                      <w:rPr>
                        <w:rFonts w:ascii="Arial" w:hAnsi="Arial"/>
                        <w:color w:val="231F20"/>
                        <w:spacing w:val="-2"/>
                        <w:sz w:val="17"/>
                      </w:rPr>
                      <w:t>la</w:t>
                    </w:r>
                    <w:r>
                      <w:rPr>
                        <w:rFonts w:ascii="Arial" w:hAnsi="Arial"/>
                        <w:color w:val="231F20"/>
                        <w:spacing w:val="-4"/>
                        <w:sz w:val="17"/>
                      </w:rPr>
                      <w:t> </w:t>
                    </w:r>
                    <w:r>
                      <w:rPr>
                        <w:rFonts w:ascii="Arial" w:hAnsi="Arial"/>
                        <w:color w:val="231F20"/>
                        <w:spacing w:val="-2"/>
                        <w:sz w:val="17"/>
                      </w:rPr>
                      <w:t>moelle</w:t>
                    </w:r>
                    <w:r>
                      <w:rPr>
                        <w:rFonts w:ascii="Arial" w:hAnsi="Arial"/>
                        <w:color w:val="231F20"/>
                        <w:spacing w:val="-4"/>
                        <w:sz w:val="17"/>
                      </w:rPr>
                      <w:t> </w:t>
                    </w:r>
                    <w:r>
                      <w:rPr>
                        <w:rFonts w:ascii="Arial" w:hAnsi="Arial"/>
                        <w:color w:val="231F20"/>
                        <w:spacing w:val="-2"/>
                        <w:sz w:val="17"/>
                      </w:rPr>
                      <w:t>épinière</w:t>
                    </w:r>
                    <w:r>
                      <w:rPr>
                        <w:rFonts w:ascii="Arial" w:hAnsi="Arial"/>
                        <w:color w:val="231F20"/>
                        <w:spacing w:val="-4"/>
                        <w:sz w:val="17"/>
                      </w:rPr>
                      <w:t> </w:t>
                    </w:r>
                    <w:r>
                      <w:rPr>
                        <w:rFonts w:ascii="Arial" w:hAnsi="Arial"/>
                        <w:color w:val="231F20"/>
                        <w:spacing w:val="-2"/>
                        <w:sz w:val="17"/>
                      </w:rPr>
                      <w:t>et</w:t>
                    </w:r>
                    <w:r>
                      <w:rPr>
                        <w:rFonts w:ascii="Arial" w:hAnsi="Arial"/>
                        <w:color w:val="231F20"/>
                        <w:spacing w:val="-4"/>
                        <w:sz w:val="17"/>
                      </w:rPr>
                      <w:t> </w:t>
                    </w:r>
                    <w:r>
                      <w:rPr>
                        <w:rFonts w:ascii="Arial" w:hAnsi="Arial"/>
                        <w:color w:val="231F20"/>
                        <w:spacing w:val="-2"/>
                        <w:sz w:val="17"/>
                      </w:rPr>
                      <w:t>des</w:t>
                    </w:r>
                    <w:r>
                      <w:rPr>
                        <w:rFonts w:ascii="Arial" w:hAnsi="Arial"/>
                        <w:color w:val="231F20"/>
                        <w:spacing w:val="-4"/>
                        <w:sz w:val="17"/>
                      </w:rPr>
                      <w:t> </w:t>
                    </w:r>
                    <w:r>
                      <w:rPr>
                        <w:rFonts w:ascii="Arial" w:hAnsi="Arial"/>
                        <w:color w:val="231F20"/>
                        <w:spacing w:val="-2"/>
                        <w:sz w:val="17"/>
                      </w:rPr>
                      <w:t>glandes</w:t>
                    </w:r>
                    <w:r>
                      <w:rPr>
                        <w:rFonts w:ascii="Arial" w:hAnsi="Arial"/>
                        <w:color w:val="231F20"/>
                        <w:spacing w:val="-4"/>
                        <w:sz w:val="17"/>
                      </w:rPr>
                      <w:t> </w:t>
                    </w:r>
                    <w:r>
                      <w:rPr>
                        <w:rFonts w:ascii="Arial" w:hAnsi="Arial"/>
                        <w:color w:val="231F20"/>
                        <w:spacing w:val="-2"/>
                        <w:sz w:val="17"/>
                      </w:rPr>
                      <w:t>surrénales </w:t>
                    </w:r>
                    <w:r>
                      <w:rPr>
                        <w:rFonts w:ascii="Arial" w:hAnsi="Arial"/>
                        <w:color w:val="231F20"/>
                        <w:sz w:val="17"/>
                      </w:rPr>
                      <w:t>qui</w:t>
                    </w:r>
                    <w:r>
                      <w:rPr>
                        <w:rFonts w:ascii="Arial" w:hAnsi="Arial"/>
                        <w:color w:val="231F20"/>
                        <w:spacing w:val="-4"/>
                        <w:sz w:val="17"/>
                      </w:rPr>
                      <w:t> </w:t>
                    </w:r>
                    <w:r>
                      <w:rPr>
                        <w:rFonts w:ascii="Arial" w:hAnsi="Arial"/>
                        <w:color w:val="231F20"/>
                        <w:sz w:val="17"/>
                      </w:rPr>
                      <w:t>libèrent</w:t>
                    </w:r>
                    <w:r>
                      <w:rPr>
                        <w:rFonts w:ascii="Arial" w:hAnsi="Arial"/>
                        <w:color w:val="231F20"/>
                        <w:spacing w:val="-5"/>
                        <w:sz w:val="17"/>
                      </w:rPr>
                      <w:t> </w:t>
                    </w:r>
                    <w:r>
                      <w:rPr>
                        <w:rFonts w:ascii="Arial" w:hAnsi="Arial"/>
                        <w:color w:val="231F20"/>
                        <w:sz w:val="17"/>
                      </w:rPr>
                      <w:t>l’adrénaline,</w:t>
                    </w:r>
                    <w:r>
                      <w:rPr>
                        <w:rFonts w:ascii="Arial" w:hAnsi="Arial"/>
                        <w:color w:val="231F20"/>
                        <w:spacing w:val="-4"/>
                        <w:sz w:val="17"/>
                      </w:rPr>
                      <w:t> </w:t>
                    </w:r>
                    <w:r>
                      <w:rPr>
                        <w:rFonts w:ascii="Arial" w:hAnsi="Arial"/>
                        <w:color w:val="231F20"/>
                        <w:sz w:val="17"/>
                      </w:rPr>
                      <w:t>la</w:t>
                    </w:r>
                    <w:r>
                      <w:rPr>
                        <w:rFonts w:ascii="Arial" w:hAnsi="Arial"/>
                        <w:color w:val="231F20"/>
                        <w:spacing w:val="-5"/>
                        <w:sz w:val="17"/>
                      </w:rPr>
                      <w:t> </w:t>
                    </w:r>
                    <w:r>
                      <w:rPr>
                        <w:rFonts w:ascii="Arial" w:hAnsi="Arial"/>
                        <w:color w:val="231F20"/>
                        <w:sz w:val="17"/>
                      </w:rPr>
                      <w:t>noradrénaline</w:t>
                    </w:r>
                    <w:r>
                      <w:rPr>
                        <w:rFonts w:ascii="Arial" w:hAnsi="Arial"/>
                        <w:color w:val="231F20"/>
                        <w:spacing w:val="-4"/>
                        <w:sz w:val="17"/>
                      </w:rPr>
                      <w:t> </w:t>
                    </w:r>
                    <w:r>
                      <w:rPr>
                        <w:rFonts w:ascii="Arial" w:hAnsi="Arial"/>
                        <w:color w:val="231F20"/>
                        <w:sz w:val="17"/>
                      </w:rPr>
                      <w:t>et</w:t>
                    </w:r>
                    <w:r>
                      <w:rPr>
                        <w:rFonts w:ascii="Arial" w:hAnsi="Arial"/>
                        <w:color w:val="231F20"/>
                        <w:spacing w:val="-5"/>
                        <w:sz w:val="17"/>
                      </w:rPr>
                      <w:t> </w:t>
                    </w:r>
                    <w:r>
                      <w:rPr>
                        <w:rFonts w:ascii="Arial" w:hAnsi="Arial"/>
                        <w:color w:val="231F20"/>
                        <w:sz w:val="17"/>
                      </w:rPr>
                      <w:t>les</w:t>
                    </w:r>
                    <w:r>
                      <w:rPr>
                        <w:rFonts w:ascii="Arial" w:hAnsi="Arial"/>
                        <w:color w:val="231F20"/>
                        <w:spacing w:val="-4"/>
                        <w:sz w:val="17"/>
                      </w:rPr>
                      <w:t> </w:t>
                    </w:r>
                    <w:r>
                      <w:rPr>
                        <w:rFonts w:ascii="Arial" w:hAnsi="Arial"/>
                        <w:color w:val="231F20"/>
                        <w:sz w:val="17"/>
                      </w:rPr>
                      <w:t>catécholamines.</w:t>
                    </w:r>
                    <w:r>
                      <w:rPr>
                        <w:rFonts w:ascii="Arial" w:hAnsi="Arial"/>
                        <w:color w:val="231F20"/>
                        <w:spacing w:val="-5"/>
                        <w:sz w:val="17"/>
                      </w:rPr>
                      <w:t> </w:t>
                    </w:r>
                    <w:r>
                      <w:rPr>
                        <w:rFonts w:ascii="Arial" w:hAnsi="Arial"/>
                        <w:color w:val="231F20"/>
                        <w:sz w:val="17"/>
                      </w:rPr>
                      <w:t>Cette étape est très importante, car elle prépare l’organisme à répondre à toute menace externe par le combat ou par la fuite.</w:t>
                    </w:r>
                  </w:p>
                  <w:p>
                    <w:pPr>
                      <w:spacing w:line="307" w:lineRule="auto" w:before="79"/>
                      <w:ind w:left="250" w:right="245" w:firstLine="0"/>
                      <w:jc w:val="both"/>
                      <w:rPr>
                        <w:rFonts w:ascii="Arial" w:hAnsi="Arial"/>
                        <w:sz w:val="17"/>
                      </w:rPr>
                    </w:pPr>
                    <w:r>
                      <w:rPr>
                        <w:rFonts w:ascii="Arial" w:hAnsi="Arial"/>
                        <w:b/>
                        <w:color w:val="231F20"/>
                        <w:w w:val="95"/>
                        <w:sz w:val="17"/>
                      </w:rPr>
                      <w:t>La</w:t>
                    </w:r>
                    <w:r>
                      <w:rPr>
                        <w:rFonts w:ascii="Arial" w:hAnsi="Arial"/>
                        <w:b/>
                        <w:color w:val="231F20"/>
                        <w:spacing w:val="-3"/>
                        <w:w w:val="95"/>
                        <w:sz w:val="17"/>
                      </w:rPr>
                      <w:t> </w:t>
                    </w:r>
                    <w:r>
                      <w:rPr>
                        <w:rFonts w:ascii="Arial" w:hAnsi="Arial"/>
                        <w:b/>
                        <w:color w:val="231F20"/>
                        <w:w w:val="95"/>
                        <w:sz w:val="17"/>
                      </w:rPr>
                      <w:t>réponse</w:t>
                    </w:r>
                    <w:r>
                      <w:rPr>
                        <w:rFonts w:ascii="Arial" w:hAnsi="Arial"/>
                        <w:b/>
                        <w:color w:val="231F20"/>
                        <w:spacing w:val="-3"/>
                        <w:w w:val="95"/>
                        <w:sz w:val="17"/>
                      </w:rPr>
                      <w:t> </w:t>
                    </w:r>
                    <w:r>
                      <w:rPr>
                        <w:rFonts w:ascii="Arial" w:hAnsi="Arial"/>
                        <w:b/>
                        <w:color w:val="231F20"/>
                        <w:w w:val="95"/>
                        <w:sz w:val="17"/>
                      </w:rPr>
                      <w:t>endocrinienne</w:t>
                    </w:r>
                    <w:r>
                      <w:rPr>
                        <w:rFonts w:ascii="Arial" w:hAnsi="Arial"/>
                        <w:color w:val="231F20"/>
                        <w:w w:val="95"/>
                        <w:sz w:val="17"/>
                      </w:rPr>
                      <w:t>. Cette réponse a lieu lorsque l’activité adap- </w:t>
                    </w:r>
                    <w:r>
                      <w:rPr>
                        <w:rFonts w:ascii="Arial" w:hAnsi="Arial"/>
                        <w:color w:val="231F20"/>
                        <w:sz w:val="17"/>
                      </w:rPr>
                      <w:t>tative</w:t>
                    </w:r>
                    <w:r>
                      <w:rPr>
                        <w:rFonts w:ascii="Arial" w:hAnsi="Arial"/>
                        <w:color w:val="231F20"/>
                        <w:spacing w:val="-5"/>
                        <w:sz w:val="17"/>
                      </w:rPr>
                      <w:t> </w:t>
                    </w:r>
                    <w:r>
                      <w:rPr>
                        <w:rFonts w:ascii="Arial" w:hAnsi="Arial"/>
                        <w:color w:val="231F20"/>
                        <w:sz w:val="17"/>
                      </w:rPr>
                      <w:t>se</w:t>
                    </w:r>
                    <w:r>
                      <w:rPr>
                        <w:rFonts w:ascii="Arial" w:hAnsi="Arial"/>
                        <w:color w:val="231F20"/>
                        <w:spacing w:val="-5"/>
                        <w:sz w:val="17"/>
                      </w:rPr>
                      <w:t> </w:t>
                    </w:r>
                    <w:r>
                      <w:rPr>
                        <w:rFonts w:ascii="Arial" w:hAnsi="Arial"/>
                        <w:color w:val="231F20"/>
                        <w:sz w:val="17"/>
                      </w:rPr>
                      <w:t>doit</w:t>
                    </w:r>
                    <w:r>
                      <w:rPr>
                        <w:rFonts w:ascii="Arial" w:hAnsi="Arial"/>
                        <w:color w:val="231F20"/>
                        <w:spacing w:val="-5"/>
                        <w:sz w:val="17"/>
                      </w:rPr>
                      <w:t> </w:t>
                    </w:r>
                    <w:r>
                      <w:rPr>
                        <w:rFonts w:ascii="Arial" w:hAnsi="Arial"/>
                        <w:color w:val="231F20"/>
                        <w:sz w:val="17"/>
                      </w:rPr>
                      <w:t>d’être</w:t>
                    </w:r>
                    <w:r>
                      <w:rPr>
                        <w:rFonts w:ascii="Arial" w:hAnsi="Arial"/>
                        <w:color w:val="231F20"/>
                        <w:spacing w:val="-5"/>
                        <w:sz w:val="17"/>
                      </w:rPr>
                      <w:t> </w:t>
                    </w:r>
                    <w:r>
                      <w:rPr>
                        <w:rFonts w:ascii="Arial" w:hAnsi="Arial"/>
                        <w:color w:val="231F20"/>
                        <w:sz w:val="17"/>
                      </w:rPr>
                      <w:t>maintenue.</w:t>
                    </w:r>
                    <w:r>
                      <w:rPr>
                        <w:rFonts w:ascii="Arial" w:hAnsi="Arial"/>
                        <w:color w:val="231F20"/>
                        <w:spacing w:val="-5"/>
                        <w:sz w:val="17"/>
                      </w:rPr>
                      <w:t> </w:t>
                    </w:r>
                    <w:r>
                      <w:rPr>
                        <w:rFonts w:ascii="Arial" w:hAnsi="Arial"/>
                        <w:color w:val="231F20"/>
                        <w:sz w:val="17"/>
                      </w:rPr>
                      <w:t>Cet</w:t>
                    </w:r>
                    <w:r>
                      <w:rPr>
                        <w:rFonts w:ascii="Arial" w:hAnsi="Arial"/>
                        <w:color w:val="231F20"/>
                        <w:spacing w:val="-5"/>
                        <w:sz w:val="17"/>
                      </w:rPr>
                      <w:t> </w:t>
                    </w:r>
                    <w:r>
                      <w:rPr>
                        <w:rFonts w:ascii="Arial" w:hAnsi="Arial"/>
                        <w:color w:val="231F20"/>
                        <w:sz w:val="17"/>
                      </w:rPr>
                      <w:t>axe</w:t>
                    </w:r>
                    <w:r>
                      <w:rPr>
                        <w:rFonts w:ascii="Arial" w:hAnsi="Arial"/>
                        <w:color w:val="231F20"/>
                        <w:spacing w:val="-5"/>
                        <w:sz w:val="17"/>
                      </w:rPr>
                      <w:t> </w:t>
                    </w:r>
                    <w:r>
                      <w:rPr>
                        <w:rFonts w:ascii="Arial" w:hAnsi="Arial"/>
                        <w:color w:val="231F20"/>
                        <w:sz w:val="17"/>
                      </w:rPr>
                      <w:t>contrôle</w:t>
                    </w:r>
                    <w:r>
                      <w:rPr>
                        <w:rFonts w:ascii="Arial" w:hAnsi="Arial"/>
                        <w:color w:val="231F20"/>
                        <w:spacing w:val="-5"/>
                        <w:sz w:val="17"/>
                      </w:rPr>
                      <w:t> </w:t>
                    </w:r>
                    <w:r>
                      <w:rPr>
                        <w:rFonts w:ascii="Arial" w:hAnsi="Arial"/>
                        <w:color w:val="231F20"/>
                        <w:sz w:val="17"/>
                      </w:rPr>
                      <w:t>la</w:t>
                    </w:r>
                    <w:r>
                      <w:rPr>
                        <w:rFonts w:ascii="Arial" w:hAnsi="Arial"/>
                        <w:color w:val="231F20"/>
                        <w:spacing w:val="-5"/>
                        <w:sz w:val="17"/>
                      </w:rPr>
                      <w:t> </w:t>
                    </w:r>
                    <w:r>
                      <w:rPr>
                        <w:rFonts w:ascii="Arial" w:hAnsi="Arial"/>
                        <w:color w:val="231F20"/>
                        <w:sz w:val="17"/>
                      </w:rPr>
                      <w:t>libération</w:t>
                    </w:r>
                    <w:r>
                      <w:rPr>
                        <w:rFonts w:ascii="Arial" w:hAnsi="Arial"/>
                        <w:color w:val="231F20"/>
                        <w:spacing w:val="-5"/>
                        <w:sz w:val="17"/>
                      </w:rPr>
                      <w:t> </w:t>
                    </w:r>
                    <w:r>
                      <w:rPr>
                        <w:rFonts w:ascii="Arial" w:hAnsi="Arial"/>
                        <w:color w:val="231F20"/>
                        <w:sz w:val="17"/>
                      </w:rPr>
                      <w:t>de</w:t>
                    </w:r>
                    <w:r>
                      <w:rPr>
                        <w:rFonts w:ascii="Arial" w:hAnsi="Arial"/>
                        <w:color w:val="231F20"/>
                        <w:spacing w:val="-5"/>
                        <w:sz w:val="17"/>
                      </w:rPr>
                      <w:t> </w:t>
                    </w:r>
                    <w:r>
                      <w:rPr>
                        <w:rFonts w:ascii="Arial" w:hAnsi="Arial"/>
                        <w:color w:val="231F20"/>
                        <w:sz w:val="17"/>
                      </w:rPr>
                      <w:t>gluco- corticoïdes</w:t>
                    </w:r>
                    <w:r>
                      <w:rPr>
                        <w:rFonts w:ascii="Arial" w:hAnsi="Arial"/>
                        <w:color w:val="231F20"/>
                        <w:spacing w:val="-3"/>
                        <w:sz w:val="17"/>
                      </w:rPr>
                      <w:t> </w:t>
                    </w:r>
                    <w:r>
                      <w:rPr>
                        <w:rFonts w:ascii="Arial" w:hAnsi="Arial"/>
                        <w:color w:val="231F20"/>
                        <w:sz w:val="17"/>
                      </w:rPr>
                      <w:t>(glucose</w:t>
                    </w:r>
                    <w:r>
                      <w:rPr>
                        <w:rFonts w:ascii="Arial" w:hAnsi="Arial"/>
                        <w:color w:val="231F20"/>
                        <w:spacing w:val="-3"/>
                        <w:sz w:val="17"/>
                      </w:rPr>
                      <w:t> </w:t>
                    </w:r>
                    <w:r>
                      <w:rPr>
                        <w:rFonts w:ascii="Arial" w:hAnsi="Arial"/>
                        <w:color w:val="231F20"/>
                        <w:sz w:val="17"/>
                      </w:rPr>
                      <w:t>et</w:t>
                    </w:r>
                    <w:r>
                      <w:rPr>
                        <w:rFonts w:ascii="Arial" w:hAnsi="Arial"/>
                        <w:color w:val="231F20"/>
                        <w:spacing w:val="-3"/>
                        <w:sz w:val="17"/>
                      </w:rPr>
                      <w:t> </w:t>
                    </w:r>
                    <w:r>
                      <w:rPr>
                        <w:rFonts w:ascii="Arial" w:hAnsi="Arial"/>
                        <w:color w:val="231F20"/>
                        <w:sz w:val="17"/>
                      </w:rPr>
                      <w:t>corticoïdes),</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minéralocorticoïdes</w:t>
                    </w:r>
                    <w:r>
                      <w:rPr>
                        <w:rFonts w:ascii="Arial" w:hAnsi="Arial"/>
                        <w:color w:val="231F20"/>
                        <w:spacing w:val="-3"/>
                        <w:sz w:val="17"/>
                      </w:rPr>
                      <w:t> </w:t>
                    </w:r>
                    <w:r>
                      <w:rPr>
                        <w:rFonts w:ascii="Arial" w:hAnsi="Arial"/>
                        <w:color w:val="231F20"/>
                        <w:sz w:val="17"/>
                      </w:rPr>
                      <w:t>(surtout</w:t>
                    </w:r>
                    <w:r>
                      <w:rPr>
                        <w:rFonts w:ascii="Arial" w:hAnsi="Arial"/>
                        <w:color w:val="231F20"/>
                        <w:spacing w:val="-3"/>
                        <w:sz w:val="17"/>
                      </w:rPr>
                      <w:t> </w:t>
                    </w:r>
                    <w:r>
                      <w:rPr>
                        <w:rFonts w:ascii="Arial" w:hAnsi="Arial"/>
                        <w:color w:val="231F20"/>
                        <w:sz w:val="17"/>
                      </w:rPr>
                      <w:t>le magnésium), d’hormones de croissance (produites par le thymus et l’hypophyse),</w:t>
                    </w:r>
                    <w:r>
                      <w:rPr>
                        <w:rFonts w:ascii="Arial" w:hAnsi="Arial"/>
                        <w:color w:val="231F20"/>
                        <w:spacing w:val="-2"/>
                        <w:sz w:val="17"/>
                      </w:rPr>
                      <w:t> </w:t>
                    </w:r>
                    <w:r>
                      <w:rPr>
                        <w:rFonts w:ascii="Arial" w:hAnsi="Arial"/>
                        <w:color w:val="231F20"/>
                        <w:sz w:val="17"/>
                      </w:rPr>
                      <w:t>d’hormones</w:t>
                    </w:r>
                    <w:r>
                      <w:rPr>
                        <w:rFonts w:ascii="Arial" w:hAnsi="Arial"/>
                        <w:color w:val="231F20"/>
                        <w:spacing w:val="-2"/>
                        <w:sz w:val="17"/>
                      </w:rPr>
                      <w:t> </w:t>
                    </w:r>
                    <w:r>
                      <w:rPr>
                        <w:rFonts w:ascii="Arial" w:hAnsi="Arial"/>
                        <w:color w:val="231F20"/>
                        <w:sz w:val="17"/>
                      </w:rPr>
                      <w:t>thyroïdiennes,</w:t>
                    </w:r>
                    <w:r>
                      <w:rPr>
                        <w:rFonts w:ascii="Arial" w:hAnsi="Arial"/>
                        <w:color w:val="231F20"/>
                        <w:spacing w:val="-2"/>
                        <w:sz w:val="17"/>
                      </w:rPr>
                      <w:t> </w:t>
                    </w:r>
                    <w:r>
                      <w:rPr>
                        <w:rFonts w:ascii="Arial" w:hAnsi="Arial"/>
                        <w:color w:val="231F20"/>
                        <w:sz w:val="17"/>
                      </w:rPr>
                      <w:t>de</w:t>
                    </w:r>
                    <w:r>
                      <w:rPr>
                        <w:rFonts w:ascii="Arial" w:hAnsi="Arial"/>
                        <w:color w:val="231F20"/>
                        <w:spacing w:val="-2"/>
                        <w:sz w:val="17"/>
                      </w:rPr>
                      <w:t> </w:t>
                    </w:r>
                    <w:r>
                      <w:rPr>
                        <w:rFonts w:ascii="Arial" w:hAnsi="Arial"/>
                        <w:color w:val="231F20"/>
                        <w:sz w:val="17"/>
                      </w:rPr>
                      <w:t>vasopressine</w:t>
                    </w:r>
                    <w:r>
                      <w:rPr>
                        <w:rFonts w:ascii="Arial" w:hAnsi="Arial"/>
                        <w:color w:val="231F20"/>
                        <w:spacing w:val="-2"/>
                        <w:sz w:val="17"/>
                      </w:rPr>
                      <w:t> </w:t>
                    </w:r>
                    <w:r>
                      <w:rPr>
                        <w:rFonts w:ascii="Arial" w:hAnsi="Arial"/>
                        <w:color w:val="231F20"/>
                        <w:sz w:val="17"/>
                      </w:rPr>
                      <w:t>(qui</w:t>
                    </w:r>
                    <w:r>
                      <w:rPr>
                        <w:rFonts w:ascii="Arial" w:hAnsi="Arial"/>
                        <w:color w:val="231F20"/>
                        <w:spacing w:val="-2"/>
                        <w:sz w:val="17"/>
                      </w:rPr>
                      <w:t> </w:t>
                    </w:r>
                    <w:r>
                      <w:rPr>
                        <w:rFonts w:ascii="Arial" w:hAnsi="Arial"/>
                        <w:color w:val="231F20"/>
                        <w:sz w:val="17"/>
                      </w:rPr>
                      <w:t>accroît la tension) et de cortisol.</w:t>
                    </w:r>
                  </w:p>
                </w:txbxContent>
              </v:textbox>
              <w10:wrap type="none"/>
            </v:shape>
            <w10:wrap type="topAndBottom"/>
          </v:group>
        </w:pict>
      </w:r>
    </w:p>
    <w:p>
      <w:pPr>
        <w:pStyle w:val="BodyText"/>
        <w:rPr>
          <w:sz w:val="20"/>
        </w:rPr>
      </w:pPr>
    </w:p>
    <w:p>
      <w:pPr>
        <w:pStyle w:val="BodyText"/>
        <w:rPr>
          <w:sz w:val="20"/>
        </w:rPr>
      </w:pPr>
    </w:p>
    <w:p>
      <w:pPr>
        <w:pStyle w:val="BodyText"/>
        <w:spacing w:before="1"/>
        <w:rPr>
          <w:sz w:val="13"/>
        </w:rPr>
      </w:pPr>
      <w:r>
        <w:rPr/>
        <w:pict>
          <v:shape style="position:absolute;margin-left:62.5pt;margin-top:8.751853pt;width:287.5pt;height:.1pt;mso-position-horizontal-relative:page;mso-position-vertical-relative:paragraph;z-index:-15699968;mso-wrap-distance-left:0;mso-wrap-distance-right:0" id="docshape193" coordorigin="1250,175" coordsize="5750,0" path="m1250,175l7000,175e" filled="false" stroked="true" strokeweight=".25pt" strokecolor="#231f20">
            <v:path arrowok="t"/>
            <v:stroke dashstyle="shortdot"/>
            <w10:wrap type="topAndBottom"/>
          </v:shape>
        </w:pict>
      </w:r>
    </w:p>
    <w:p>
      <w:pPr>
        <w:pStyle w:val="ListParagraph"/>
        <w:numPr>
          <w:ilvl w:val="0"/>
          <w:numId w:val="18"/>
        </w:numPr>
        <w:tabs>
          <w:tab w:pos="789" w:val="left" w:leader="none"/>
          <w:tab w:pos="790" w:val="left" w:leader="none"/>
        </w:tabs>
        <w:spacing w:line="240" w:lineRule="auto" w:before="135" w:after="0"/>
        <w:ind w:left="789" w:right="0" w:hanging="328"/>
        <w:jc w:val="left"/>
        <w:rPr>
          <w:rFonts w:ascii="Arial" w:hAnsi="Arial"/>
          <w:sz w:val="12"/>
        </w:rPr>
      </w:pPr>
      <w:r>
        <w:rPr>
          <w:rFonts w:ascii="Arial" w:hAnsi="Arial"/>
          <w:color w:val="231F20"/>
          <w:sz w:val="12"/>
        </w:rPr>
        <w:t>Lupien,</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(2010).</w:t>
      </w:r>
      <w:r>
        <w:rPr>
          <w:rFonts w:ascii="Arial" w:hAnsi="Arial"/>
          <w:color w:val="231F20"/>
          <w:spacing w:val="-7"/>
          <w:sz w:val="12"/>
        </w:rPr>
        <w:t> </w:t>
      </w:r>
      <w:r>
        <w:rPr>
          <w:rFonts w:ascii="Arial" w:hAnsi="Arial"/>
          <w:i/>
          <w:color w:val="231F20"/>
          <w:sz w:val="12"/>
        </w:rPr>
        <w:t>Par</w:t>
      </w:r>
      <w:r>
        <w:rPr>
          <w:rFonts w:ascii="Arial" w:hAnsi="Arial"/>
          <w:i/>
          <w:color w:val="231F20"/>
          <w:spacing w:val="-7"/>
          <w:sz w:val="12"/>
        </w:rPr>
        <w:t> </w:t>
      </w:r>
      <w:r>
        <w:rPr>
          <w:rFonts w:ascii="Arial" w:hAnsi="Arial"/>
          <w:i/>
          <w:color w:val="231F20"/>
          <w:sz w:val="12"/>
        </w:rPr>
        <w:t>amour</w:t>
      </w:r>
      <w:r>
        <w:rPr>
          <w:rFonts w:ascii="Arial" w:hAnsi="Arial"/>
          <w:i/>
          <w:color w:val="231F20"/>
          <w:spacing w:val="-7"/>
          <w:sz w:val="12"/>
        </w:rPr>
        <w:t> </w:t>
      </w:r>
      <w:r>
        <w:rPr>
          <w:rFonts w:ascii="Arial" w:hAnsi="Arial"/>
          <w:i/>
          <w:color w:val="231F20"/>
          <w:sz w:val="12"/>
        </w:rPr>
        <w:t>du</w:t>
      </w:r>
      <w:r>
        <w:rPr>
          <w:rFonts w:ascii="Arial" w:hAnsi="Arial"/>
          <w:i/>
          <w:color w:val="231F20"/>
          <w:spacing w:val="-6"/>
          <w:sz w:val="12"/>
        </w:rPr>
        <w:t> </w:t>
      </w:r>
      <w:r>
        <w:rPr>
          <w:rFonts w:ascii="Arial" w:hAnsi="Arial"/>
          <w:i/>
          <w:color w:val="231F20"/>
          <w:sz w:val="12"/>
        </w:rPr>
        <w:t>stress</w:t>
      </w:r>
      <w:r>
        <w:rPr>
          <w:rFonts w:ascii="Arial" w:hAnsi="Arial"/>
          <w:color w:val="231F20"/>
          <w:sz w:val="12"/>
        </w:rPr>
        <w:t>,</w:t>
      </w:r>
      <w:r>
        <w:rPr>
          <w:rFonts w:ascii="Arial" w:hAnsi="Arial"/>
          <w:color w:val="231F20"/>
          <w:spacing w:val="-7"/>
          <w:sz w:val="12"/>
        </w:rPr>
        <w:t> </w:t>
      </w:r>
      <w:r>
        <w:rPr>
          <w:rFonts w:ascii="Arial" w:hAnsi="Arial"/>
          <w:color w:val="231F20"/>
          <w:sz w:val="12"/>
        </w:rPr>
        <w:t>Montréal,</w:t>
      </w:r>
      <w:r>
        <w:rPr>
          <w:rFonts w:ascii="Arial" w:hAnsi="Arial"/>
          <w:color w:val="231F20"/>
          <w:spacing w:val="-7"/>
          <w:sz w:val="12"/>
        </w:rPr>
        <w:t> </w:t>
      </w:r>
      <w:r>
        <w:rPr>
          <w:rFonts w:ascii="Arial" w:hAnsi="Arial"/>
          <w:color w:val="231F20"/>
          <w:sz w:val="12"/>
        </w:rPr>
        <w:t>Éditions</w:t>
      </w:r>
      <w:r>
        <w:rPr>
          <w:rFonts w:ascii="Arial" w:hAnsi="Arial"/>
          <w:color w:val="231F20"/>
          <w:spacing w:val="-7"/>
          <w:sz w:val="12"/>
        </w:rPr>
        <w:t> </w:t>
      </w:r>
      <w:r>
        <w:rPr>
          <w:rFonts w:ascii="Arial" w:hAnsi="Arial"/>
          <w:color w:val="231F20"/>
          <w:sz w:val="12"/>
        </w:rPr>
        <w:t>au</w:t>
      </w:r>
      <w:r>
        <w:rPr>
          <w:rFonts w:ascii="Arial" w:hAnsi="Arial"/>
          <w:color w:val="231F20"/>
          <w:spacing w:val="-7"/>
          <w:sz w:val="12"/>
        </w:rPr>
        <w:t> </w:t>
      </w:r>
      <w:r>
        <w:rPr>
          <w:rFonts w:ascii="Arial" w:hAnsi="Arial"/>
          <w:color w:val="231F20"/>
          <w:spacing w:val="-2"/>
          <w:sz w:val="12"/>
        </w:rPr>
        <w:t>Carré.</w:t>
      </w:r>
    </w:p>
    <w:p>
      <w:pPr>
        <w:spacing w:after="0" w:line="240" w:lineRule="auto"/>
        <w:jc w:val="left"/>
        <w:rPr>
          <w:rFonts w:ascii="Arial" w:hAnsi="Arial"/>
          <w:sz w:val="12"/>
        </w:rPr>
        <w:sectPr>
          <w:footerReference w:type="default" r:id="rId78"/>
          <w:pgSz w:w="8640" w:h="12960"/>
          <w:pgMar w:footer="424" w:header="0" w:top="520" w:bottom="620" w:left="460" w:right="1000"/>
        </w:sectPr>
      </w:pPr>
    </w:p>
    <w:p>
      <w:pPr>
        <w:pStyle w:val="BodyText"/>
        <w:spacing w:before="4"/>
        <w:rPr>
          <w:rFonts w:ascii="Arial"/>
        </w:rPr>
      </w:pPr>
      <w:r>
        <w:rPr/>
        <w:pict>
          <v:group style="position:absolute;margin-left:60.5pt;margin-top:81.25pt;width:512.5pt;height:260.75pt;mso-position-horizontal-relative:page;mso-position-vertical-relative:page;z-index:15757824" id="docshapegroup194" coordorigin="1210,1625" coordsize="10250,5215">
            <v:shape style="position:absolute;left:1210;top:1625;width:10250;height:5215" id="docshape195" coordorigin="1210,1625" coordsize="10250,5215" path="m11460,1625l1210,1625,1210,2170,1210,2330,1210,6170,1210,6280,1210,6840,11460,6840,11460,6280,11460,6170,11460,2330,11460,2170,11460,1625xe" filled="true" fillcolor="#e2e3e4" stroked="false">
              <v:path arrowok="t"/>
              <v:fill type="solid"/>
            </v:shape>
            <v:line style="position:absolute" from="1460,6168" to="11210,6168" stroked="true" strokeweight=".25pt" strokecolor="#231f20">
              <v:stroke dashstyle="shortdot"/>
            </v:line>
            <v:shape style="position:absolute;left:3834;top:4806;width:285;height:262" type="#_x0000_t75" id="docshape196" stroked="false">
              <v:imagedata r:id="rId80" o:title=""/>
            </v:shape>
            <v:shape style="position:absolute;left:3846;top:5541;width:138;height:158" type="#_x0000_t75" id="docshape197" stroked="false">
              <v:imagedata r:id="rId81" o:title=""/>
            </v:shape>
            <v:shape style="position:absolute;left:1460;top:2272;width:1983;height:2631" type="#_x0000_t75" id="docshape198" stroked="false">
              <v:imagedata r:id="rId82" o:title=""/>
            </v:shape>
            <v:shape style="position:absolute;left:1886;top:3279;width:164;height:158" type="#_x0000_t75" id="docshape199" stroked="false">
              <v:imagedata r:id="rId83" o:title=""/>
            </v:shape>
            <v:shape style="position:absolute;left:1460;top:4816;width:1983;height:1161" type="#_x0000_t75" id="docshape200" stroked="false">
              <v:imagedata r:id="rId84" o:title=""/>
            </v:shape>
            <v:shape style="position:absolute;left:1993;top:5066;width:887;height:340" id="docshape201" coordorigin="1994,5067" coordsize="887,340" path="m2880,5233l2674,5152,2531,5108,2384,5085,2169,5067,2180,5077,2203,5103,2218,5140,2206,5184,2162,5215,2120,5225,2085,5224,2060,5221,2045,5222,2033,5223,2018,5229,1994,5239,2616,5406,2880,5233xe" filled="true" fillcolor="#dddedf" stroked="false">
              <v:path arrowok="t"/>
              <v:fill type="solid"/>
            </v:shape>
            <v:shape style="position:absolute;left:1993;top:5066;width:887;height:340" id="docshape202" coordorigin="1994,5067" coordsize="887,340" path="m1994,5239l2018,5229,2033,5223,2045,5222,2060,5221,2085,5224,2120,5225,2162,5215,2206,5184,2218,5140,2203,5103,2180,5077,2169,5067,2384,5085,2531,5108,2674,5152,2880,5233,2616,5406,1994,5239xe" filled="false" stroked="true" strokeweight=".194pt" strokecolor="#231f20">
              <v:path arrowok="t"/>
              <v:stroke dashstyle="solid"/>
            </v:shape>
            <v:shape style="position:absolute;left:1460;top:5232;width:1983;height:745" type="#_x0000_t75" id="docshape203" stroked="false">
              <v:imagedata r:id="rId85" o:title=""/>
            </v:shape>
            <v:shape style="position:absolute;left:1460;top:5232;width:1980;height:666" id="docshape204" coordorigin="1460,5233" coordsize="1980,666" path="m1460,5899l1501,5868,1530,5844,1541,5825,1542,5803,1542,5774,1540,5757,1536,5747,1528,5737,1524,5726,1528,5717,1536,5712,1539,5710,1543,5703,1546,5694,1542,5685,1530,5678,1507,5673,1502,5677,1531,5672,1547,5664,1558,5647,1570,5617,1574,5577,1561,5543,1533,5522,1493,5521,1518,5490,1524,5474,1509,5467,1472,5463,1470,5431,1460,5431m1460,5436l1467,5435,1479,5427,1499,5409,1524,5408,1540,5403,1553,5391,1570,5366,1640,5398,1676,5405,1689,5382,1692,5327,1695,5317,1710,5313,1749,5312,1825,5314,1950,5301,2022,5290,2067,5271,2113,5240,2129,5240,2162,5248,2214,5265,2290,5287,2402,5320,2534,5359,2643,5392,2689,5406,2930,5233,2993,5257,3033,5271,3068,5280,3113,5289,3164,5300,3203,5311,3234,5321,3262,5330,3305,5347,3364,5370,3417,5391,3439,5400e" filled="false" stroked="true" strokeweight=".194pt" strokecolor="#231f20">
              <v:path arrowok="t"/>
              <v:stroke dashstyle="solid"/>
            </v:shape>
            <v:shape style="position:absolute;left:1976;top:5669;width:1285;height:308" id="docshape205" coordorigin="1977,5669" coordsize="1285,308" path="m3261,5977l3128,5918,2983,5862,2760,5789,2374,5669,2350,5681,2299,5718,2184,5810,1977,5977,3261,5977xe" filled="true" fillcolor="#dddedf" stroked="false">
              <v:path arrowok="t"/>
              <v:fill type="solid"/>
            </v:shape>
            <v:shape style="position:absolute;left:1893;top:4882;width:1285;height:1095" id="docshape206" coordorigin="1893,4882" coordsize="1285,1095" path="m1893,5977l2100,5810,2216,5718,2266,5681,2291,5669,2677,5789,2900,5862,3045,5918,3178,5977m2178,5067l2137,5052,2118,5042,2117,5032,2129,5018,2151,5001,2182,4986,2224,4975,2279,4971,2334,4971,2374,4968,2401,4963,2417,4953,2441,4946,2478,4947,2512,4950,2527,4952,2673,4899,2763,4882,2831,4902,2913,4959,3026,4964,3090,4965,3128,4964,3164,4959,3170,4959,3170,4979,3166,4990,3153,4996,3130,4998,3094,4999,3084,4998,3079,5001,3077,5012,3077,5034,3050,5028,3036,5027,3031,5033,3030,5047,3037,5052,3047,5056,3050,5064,3030,5078,2988,5073,2966,5077,2958,5096,2957,5135,2969,5139,2994,5142,3019,5150,3030,5169,3020,5179,3012,5186,3002,5190,2986,5196,2966,5201,2948,5204,2935,5207,2930,5214,2922,5222,2905,5228,2888,5232,2880,5233,2730,5165,2607,5125,2445,5097,2178,5067e" filled="false" stroked="true" strokeweight=".194pt" strokecolor="#231f20">
              <v:path arrowok="t"/>
              <v:stroke dashstyle="solid"/>
            </v:shape>
            <v:shape style="position:absolute;left:2279;top:4988;width:346;height:79" id="docshape207" coordorigin="2280,4989" coordsize="346,79" path="m2625,5028l2624,5012,2619,5002,2602,4999,2568,5000,2530,5001,2503,4998,2482,4992,2459,4989,2438,4990,2422,4998,2394,5001,2345,4997,2300,5001,2280,5026,2283,5040,2296,5050,2320,5056,2357,5058,2367,5061,2376,5066,2392,5067,2439,5054,2449,5052,2460,5054,2477,5058,2508,5056,2552,5046,2592,5038,2623,5040,2625,5028xe" filled="true" fillcolor="#ffffff" stroked="false">
              <v:path arrowok="t"/>
              <v:fill type="solid"/>
            </v:shape>
            <v:shape style="position:absolute;left:2279;top:4988;width:346;height:79" id="docshape208" coordorigin="2280,4989" coordsize="346,79" path="m2280,5026l2283,5040,2296,5050,2320,5056,2357,5058,2367,5061,2376,5066,2392,5067,2424,5058,2439,5054,2449,5052,2460,5054,2477,5058,2508,5056,2552,5046,2592,5038,2615,5039,2623,5040,2625,5028,2624,5012,2619,5002,2602,4999,2568,5000,2530,5001,2503,4998,2482,4992,2459,4989,2438,4990,2422,4998,2394,5001,2345,4997,2300,5001,2280,5026xe" filled="false" stroked="true" strokeweight=".194pt" strokecolor="#231f20">
              <v:path arrowok="t"/>
              <v:stroke dashstyle="solid"/>
            </v:shape>
            <v:shape style="position:absolute;left:2867;top:5027;width:576;height:374" id="docshape209" coordorigin="2868,5028" coordsize="576,374" path="m3443,5402l3443,5028,3382,5028,3361,5037,3347,5057,3337,5077,3328,5086,3298,5090,3284,5098,3279,5107,3275,5110,3213,5134,3203,5139,3188,5140,3160,5141,3147,5152,3128,5157,3091,5157,3021,5152,2988,5162,2920,5185,2868,5212,2880,5233,2977,5263,3024,5276,3082,5289,3125,5291,3177,5303,3272,5337,3443,5402xe" filled="true" fillcolor="#e1e2e3" stroked="false">
              <v:path arrowok="t"/>
              <v:fill type="solid"/>
            </v:shape>
            <v:shape style="position:absolute;left:2867;top:5027;width:576;height:374" id="docshape210" coordorigin="2868,5028" coordsize="576,374" path="m3443,5402l3272,5337,3177,5303,3125,5291,3082,5289,3024,5276,2977,5263,2932,5249,2880,5233,2868,5212,2920,5185,2988,5162,3021,5152,3091,5157,3128,5157,3147,5152,3160,5141,3188,5140,3203,5139,3213,5134,3222,5125,3236,5117,3251,5112,3265,5111,3275,5110,3279,5107,3284,5098,3298,5090,3328,5086,3337,5077,3347,5057,3361,5037,3382,5028,3443,5028e" filled="false" stroked="true" strokeweight=".194pt" strokecolor="#231f20">
              <v:path arrowok="t"/>
              <v:stroke dashstyle="solid"/>
            </v:shape>
            <v:shape style="position:absolute;left:1460;top:5151;width:1841;height:826" id="docshape211" coordorigin="1460,5151" coordsize="1841,826" path="m3112,5154l3094,5154,3070,5153,3062,5153,3054,5151,3051,5152,3014,5173,2966,5203,2909,5242,2844,5287,2774,5338,2698,5394,2619,5453,2538,5514,2457,5577,2377,5639,2295,5613,2214,5589,2132,5565,2050,5543,1969,5522,1889,5502,1811,5485,1734,5469,1659,5456,1586,5445,1516,5436,1460,5432,1460,5453,1507,5459,1685,5488,1969,5551,2350,5659,2350,5699,2387,5669,2412,5677,2412,5650,2637,5473,2785,5362,2921,5272,3112,5154xm2350,5699l2350,5659,2129,5831,2047,5896,1945,5977,2027,5977,2079,5930,2141,5875,2203,5822,2264,5770,2325,5719,2350,5699xm3301,5977l3249,5956,3050,5876,2760,5768,2412,5650,2412,5677,2454,5691,2522,5714,2591,5738,2662,5764,2735,5791,2810,5819,2887,5850,2965,5881,3045,5915,3127,5950,3189,5977,3301,5977xe" filled="true" fillcolor="#cbccce" stroked="false">
              <v:path arrowok="t"/>
              <v:fill type="solid"/>
            </v:shape>
            <v:shape style="position:absolute;left:1460;top:5151;width:1841;height:826" id="docshape212" coordorigin="1460,5151" coordsize="1841,826" path="m1460,5432l1516,5436,1586,5445,1659,5456,1734,5469,1811,5485,1889,5502,1969,5522,2050,5543,2132,5565,2214,5589,2295,5613,2377,5639,2457,5577,2538,5515,2619,5453,2698,5394,2774,5338,2844,5287,2909,5242,2966,5203,3014,5173,3051,5152,3054,5151,3062,5153,3070,5153,3094,5154,3112,5154,2921,5272,2785,5362,2637,5473,2412,5650,2760,5768,3050,5876,3249,5956,3301,5977m1945,5977l2047,5896,2129,5831,2216,5763,2350,5659,1969,5551,1685,5488,1507,5459,1460,5453m3189,5977l3127,5950,3045,5915,2965,5881,2887,5850,2810,5819,2735,5791,2662,5764,2591,5738,2521,5714,2454,5691,2387,5669,2386,5671,2325,5719,2264,5770,2203,5822,2141,5875,2079,5930,2027,5977e" filled="false" stroked="true" strokeweight=".194pt" strokecolor="#231f20">
              <v:path arrowok="t"/>
              <v:stroke dashstyle="solid"/>
            </v:shape>
            <v:shape style="position:absolute;left:2094;top:3053;width:399;height:378" type="#_x0000_t75" id="docshape213" stroked="false">
              <v:imagedata r:id="rId86" o:title=""/>
            </v:shape>
            <v:shape style="position:absolute;left:1602;top:3102;width:1472;height:1126" id="docshape214" coordorigin="1603,3103" coordsize="1472,1126" path="m1772,3373l1690,3373,1645,3371,1621,3349,1603,3300,1613,3681,1613,3835,1624,3880,1656,3943,1713,3979,1732,3972,1770,3950,1770,3433,1772,3373xm1613,3835l1613,3681,1611,3747,1606,3793,1609,3820,1613,3835xm1772,3360l1690,3373,1772,3373,1772,3360xm3074,3635l3072,3604,3069,3580,1826,3580,1792,3523,1775,3481,1770,3433,1770,3950,1785,3941,1869,3877,1980,3767,2700,3767,2728,3667,3074,3667,3074,3635xm2155,3580l2155,3367,2132,3372,2078,3388,2014,3414,1961,3450,1940,3468,1893,3509,1847,3553,1826,3580,2155,3580xm1993,4228l1993,3811,1979,3828,1949,3852,1918,3890,1904,3945,1904,4126,1907,4142,1921,4177,1948,4212,1993,4228xm2700,3767l1980,3767,1988,3783,1992,3793,1993,3801,1993,3811,1993,4228,1995,4228,2500,4228,2512,4228,2544,4220,2584,4194,2624,4138,2624,4138,2658,4138,2665,3993,2675,3882,2694,3789,2700,3767xm2301,3312l2258,3312,2203,3309,2172,3313,2158,3320,2155,3323,2150,3335,2151,3349,2153,3362,2155,3367,2155,3580,2234,3580,2234,3382,2239,3373,2263,3354,2264,3353,2301,3312xm3069,3580l3069,3574,3064,3543,3052,3483,3048,3468,3040,3456,3032,3438,2861,3438,2791,3378,2278,3378,2248,3382,2234,3382,2234,3580,3069,3580xm2345,3103l2321,3129,2314,3145,2305,3178,2296,3219,2292,3261,2291,3291,2288,3307,2278,3312,2301,3312,2345,3263,2345,3147,2345,3103xm2791,3378l2761,3352,2657,3311,2577,3298,2545,3297,2476,3287,2451,3278,2437,3317,2412,3346,2367,3363,2285,3376,2278,3378,2791,3378xm2409,3165l2362,3165,2352,3172,2346,3168,2345,3147,2345,3263,2349,3259,2396,3191,2409,3165xm2422,3135l2418,3112,2403,3119,2393,3126,2379,3142,2367,3158,2362,3165,2409,3165,2417,3149,2422,3135xm2457,3263l2429,3209,2429,3227,2431,3238,2440,3248,2457,3263,2457,3263xm2457,3263l2448,3276,2451,3278,2457,3263xm2658,4138l2624,4138,2656,4170,2658,4138xm3074,3667l2728,3667,2759,3708,2793,3747,2830,3783,2869,3815,2888,3829,2909,3844,2930,3856,2953,3863,2974,3861,2994,3852,3013,3838,3028,3822,3052,3782,3057,3767,3066,3738,3069,3719,3073,3690,3074,3670,3074,3667xm2857,3249l2836,3270,2851,3370,2851,3289,2857,3249xm3032,3438l3028,3427,3011,3372,2997,3311,2995,3288,2892,3288,2876,3298,2855,3305,2851,3289,2851,3370,2861,3438,3032,3438xm2995,3288l2991,3261,2989,3233,2984,3220,2978,3216,2976,3215,2975,3227,2969,3236,2953,3249,2892,3288,2995,3288xe" filled="true" fillcolor="#ffffff" stroked="false">
              <v:path arrowok="t"/>
              <v:fill type="solid"/>
            </v:shape>
            <v:shape style="position:absolute;left:1602;top:3102;width:1470;height:1129" type="#_x0000_t75" id="docshape215" stroked="false">
              <v:imagedata r:id="rId87" o:title=""/>
            </v:shape>
            <v:shape style="position:absolute;left:1602;top:3102;width:1472;height:1126" id="docshape216" coordorigin="1603,3103" coordsize="1472,1126" path="m2429,3209l2429,3251,2441,3274,2476,3287,2544,3297,2659,3293,2731,3306,2788,3350,2861,3438,2867,3381,2867,3344,2857,3313,2836,3270,2857,3249,2851,3289,2855,3305,2876,3298,2953,3249,2976,3215,2985,3214,2989,3219,2991,3233,2991,3261,2997,3311,3011,3372,3028,3427,3040,3456,3048,3468,3052,3483,3055,3500,3058,3513,3064,3543,3069,3574,3072,3604,3074,3635,3074,3683,3053,3780,3013,3838,2953,3863,2930,3856,2869,3815,2793,3747,2728,3667,2694,3789,2675,3882,2665,3993,2656,4170,2624,4138,2584,4194,2544,4220,2512,4228,2500,4228,1995,4228,1948,4212,1921,4177,1907,4142,1904,4126,1904,3945,1918,3890,1949,3852,1979,3828,1993,3811,1991,3797,1987,3783,1982,3772,1980,3767,1869,3877,1785,3941,1732,3972,1713,3979,1656,3943,1624,3880,1609,3820,1606,3794,1609,3688,1608,3521,1605,3368,1603,3300,1641,3345,1698,3362,1749,3363,1772,3360,1778,3447,1797,3517,1817,3563,1826,3580,1847,3553,1893,3509,1940,3468,2014,3414,2078,3388,2155,3367,2148,3348,2146,3337,2148,3330,2155,3323,2162,3310,2176,3304,2205,3305,2258,3312,2278,3312,2288,3307,2291,3291,2292,3261,2296,3219,2305,3178,2314,3145,2321,3129,2345,3103,2345,3147,2346,3168,2352,3172,2362,3165,2380,3138,2391,3124,2397,3119,2403,3119,2418,3112,2422,3135,2411,3181,2391,3218,2347,3269,2263,3354,2239,3373,2234,3382,2367,3363,2437,3317,2457,3263e" filled="false" stroked="true" strokeweight=".194pt" strokecolor="#231f20">
              <v:path arrowok="t"/>
              <v:stroke dashstyle="solid"/>
            </v:shape>
            <v:shape style="position:absolute;left:1903;top:3811;width:725;height:417" id="docshape217" coordorigin="1904,3811" coordsize="725,417" path="m2629,3963l2615,3876,2555,3814,1993,3811,1979,3828,1949,3852,1918,3890,1904,3945,1904,4126,1907,4142,1921,4177,1948,4212,1995,4228,2500,4228,2512,4228,2544,4220,2584,4194,2624,4138,2625,4138,2626,4133,2627,4111,2628,4058,2629,3963xe" filled="true" fillcolor="#f6f7f7" stroked="false">
              <v:path arrowok="t"/>
              <v:fill type="solid"/>
            </v:shape>
            <v:shape style="position:absolute;left:1903;top:3811;width:722;height:421" type="#_x0000_t75" id="docshape218" stroked="false">
              <v:imagedata r:id="rId88" o:title=""/>
            </v:shape>
            <v:shape style="position:absolute;left:1903;top:3811;width:725;height:417" id="docshape219" coordorigin="1904,3811" coordsize="725,417" path="m2624,4138l2584,4194,2544,4220,2512,4228,2500,4228,1995,4228,1948,4212,1921,4177,1907,4142,1904,4126,1904,3945,1918,3890,1949,3852,1979,3828,1993,3811,2539,3811,2617,3829,2629,3963,2628,4058,2627,4111,2626,4133,2625,4138e" filled="false" stroked="true" strokeweight=".194pt" strokecolor="#231f20">
              <v:path arrowok="t"/>
              <v:stroke dashstyle="solid"/>
            </v:shape>
            <v:shape style="position:absolute;left:2399;top:3080;width:87;height:119" id="docshape220" coordorigin="2399,3081" coordsize="87,119" path="m2486,3115l2463,3084,2446,3081,2427,3112,2399,3185,2439,3199,2461,3196,2474,3170,2486,3115xe" filled="true" fillcolor="#ffffff" stroked="false">
              <v:path arrowok="t"/>
              <v:fill type="solid"/>
            </v:shape>
            <v:shape style="position:absolute;left:2399;top:3080;width:87;height:119" id="docshape221" coordorigin="2399,3081" coordsize="87,119" path="m2486,3115l2474,3170,2461,3196,2439,3199,2399,3185,2427,3112,2446,3081,2463,3084,2486,3115xe" filled="false" stroked="true" strokeweight=".194pt" strokecolor="#231f20">
              <v:path arrowok="t"/>
              <v:stroke dashstyle="solid"/>
            </v:shape>
            <v:shape style="position:absolute;left:2415;top:3141;width:36;height:48" id="docshape222" coordorigin="2416,3141" coordsize="36,48" path="m2451,3179l2435,3156,2426,3145,2422,3141,2420,3141,2417,3143,2416,3153,2432,3189,2444,3186,2451,3179xe" filled="true" fillcolor="#231f20" stroked="false">
              <v:path arrowok="t"/>
              <v:fill type="solid"/>
            </v:shape>
            <v:shape style="position:absolute;left:2415;top:3141;width:36;height:48" id="docshape223" coordorigin="2416,3141" coordsize="36,48" path="m2451,3179l2435,3156,2426,3145,2422,3141,2420,3141,2417,3143,2416,3153,2432,3189,2444,3186,2451,3179e" filled="false" stroked="true" strokeweight=".194pt" strokecolor="#231f20">
              <v:path arrowok="t"/>
              <v:stroke dashstyle="solid"/>
            </v:shape>
            <v:shape style="position:absolute;left:1987;top:2818;width:506;height:348" id="docshape224" coordorigin="1987,2819" coordsize="506,348" path="m2492,3086l2490,3021,2489,3010,2450,2930,2434,2911,2324,2831,2272,2819,2158,2820,2153,2821,2046,2884,2038,2894,1987,3079,2028,3095,2120,3124,2219,3141,2281,3120,2304,3083,2318,3069,2330,3076,2336,3087,2466,3087,2467,3086,2469,3087,2492,3087,2492,3086xm2466,3087l2336,3087,2345,3103,2348,3150,2355,3166,2362,3165,2365,3162,2395,3116,2410,3098,2418,3105,2419,3118,2436,3118,2451,3100,2466,3087xm2436,3118l2419,3118,2422,3135,2436,3118xm2492,3087l2469,3087,2477,3092,2481,3102,2489,3102,2492,3087xm2489,3102l2481,3102,2486,3115,2489,3102xe" filled="true" fillcolor="#f1f1f2" stroked="false">
              <v:path arrowok="t"/>
              <v:fill type="solid"/>
            </v:shape>
            <v:shape style="position:absolute;left:1987;top:2814;width:508;height:353" type="#_x0000_t75" id="docshape225" stroked="false">
              <v:imagedata r:id="rId89" o:title=""/>
            </v:shape>
            <v:shape style="position:absolute;left:1987;top:2818;width:506;height:360" id="docshape226" coordorigin="1987,2819" coordsize="506,360" path="m1987,3079l2040,2888,2156,2820,2272,2819,2324,2831,2445,2919,2490,3012,2492,3086,2486,3115,2477,3092,2467,3086,2451,3100,2422,3135,2418,3105,2410,3098,2395,3116,2365,3162,2354,3179,2348,3179,2346,3155,2345,3103,2330,3076,2318,3069,2304,3083,2281,3120,2219,3141,2120,3124,2028,3095,1987,3079xe" filled="false" stroked="true" strokeweight=".194pt" strokecolor="#231f20">
              <v:path arrowok="t"/>
              <v:stroke dashstyle="solid"/>
            </v:shape>
            <v:shape style="position:absolute;left:2005;top:3023;width:265;height:182" id="docshape227" coordorigin="2005,3024" coordsize="265,182" path="m2270,3103l2270,3093,2266,3083,2256,3068,2154,3024,2151,3024,2077,3040,2028,3076,2005,3101,2021,3160,2057,3190,2092,3203,2108,3205,2108,3163,2201,3163,2242,3152,2261,3142,2269,3128,2270,3103xe" filled="true" fillcolor="#f1f1f2" stroked="false">
              <v:path arrowok="t"/>
              <v:fill type="solid"/>
            </v:shape>
            <v:shape style="position:absolute;left:2005;top:3022;width:265;height:179" type="#_x0000_t75" id="docshape228" stroked="false">
              <v:imagedata r:id="rId90" o:title=""/>
            </v:shape>
            <v:shape style="position:absolute;left:2005;top:3023;width:283;height:182" id="docshape229" coordorigin="2005,3023" coordsize="283,182" path="m2256,3068l2153,3023,2074,3040,2023,3080,2005,3101,2021,3160,2057,3190,2092,3203,2108,3205,2108,3163,2201,3163,2261,3146,2287,3131,2284,3108,2256,3068xe" filled="false" stroked="true" strokeweight=".194pt" strokecolor="#231f20">
              <v:path arrowok="t"/>
              <v:stroke dashstyle="solid"/>
            </v:shape>
            <v:shape style="position:absolute;left:2029;top:3026;width:242;height:139" id="docshape230" coordorigin="2029,3027" coordsize="242,139" path="m2271,3110l2271,3100,2257,3069,2226,3045,2194,3031,2180,3027,2120,3028,2063,3049,2029,3090,2044,3112,2044,3112,2062,3118,2073,3125,2084,3139,2099,3163,2139,3165,2184,3165,2225,3157,2258,3133,2268,3119,2271,3110xe" filled="true" fillcolor="#f1f1f2" stroked="false">
              <v:path arrowok="t"/>
              <v:fill type="solid"/>
            </v:shape>
            <v:shape style="position:absolute;left:2028;top:3023;width:243;height:142" type="#_x0000_t75" id="docshape231" stroked="false">
              <v:imagedata r:id="rId91" o:title=""/>
            </v:shape>
            <v:shape style="position:absolute;left:2028;top:3026;width:260;height:139" id="docshape232" coordorigin="2028,3027" coordsize="260,139" path="m2099,3163l2084,3139,2073,3125,2062,3118,2044,3112,2028,3089,2050,3056,2103,3029,2180,3027,2255,3049,2288,3068,2287,3092,2258,3133,2225,3157,2184,3165,2139,3165,2099,3163xe" filled="false" stroked="true" strokeweight=".194pt" strokecolor="#231f20">
              <v:path arrowok="t"/>
              <v:stroke dashstyle="solid"/>
            </v:shape>
            <v:shape style="position:absolute;left:2324;top:3082;width:94;height:129" id="docshape233" coordorigin="2325,3083" coordsize="94,129" path="m2418,3154l2406,3128,2393,3112,2373,3099,2338,3083,2325,3103,2331,3180,2343,3211,2369,3201,2418,3154xe" filled="true" fillcolor="#231f20" stroked="false">
              <v:path arrowok="t"/>
              <v:fill type="solid"/>
            </v:shape>
            <v:shape style="position:absolute;left:2324;top:3082;width:94;height:129" id="docshape234" coordorigin="2325,3083" coordsize="94,129" path="m2325,3103l2331,3180,2343,3211,2369,3201,2418,3154,2406,3128,2393,3112,2373,3099,2338,3083,2325,3103xe" filled="false" stroked="true" strokeweight=".194pt" strokecolor="#231f20">
              <v:path arrowok="t"/>
              <v:stroke dashstyle="solid"/>
            </v:shape>
            <v:shape style="position:absolute;left:1667;top:4139;width:1214;height:1343" id="docshape235" coordorigin="1668,4139" coordsize="1214,1343" path="m2790,4498l2778,4451,2720,4287,2690,4228,2559,4228,2540,4233,2500,4227,1983,4227,1945,4289,1875,4426,1775,4626,1775,4673,1770,4701,1756,4723,1729,4750,1700,4932,1682,5109,1673,5242,1670,5295,1668,5388,1691,5437,1719,5456,1733,5459,1836,5459,1891,5433,1905,5389,1905,5291,1953,5189,1983,5079,1999,4991,2004,4955,2051,4914,2080,4857,2096,4806,2100,4783,2157,4715,2208,4620,2246,4535,2260,4498,2790,4498xm1910,5375l1909,5317,1905,5291,1905,5389,1910,5375xm2792,4507l2790,4498,2260,4498,2287,4510,2322,4512,2353,4509,2366,4507,2792,4507xm2882,5125l2879,4972,2873,4848,2866,4764,2864,4735,2837,4701,2792,4507,2366,4507,2377,4519,2387,4532,2397,4546,2406,4559,2421,4585,2435,4612,2448,4639,2459,4667,2468,4688,2472,4698,2475,4709,2477,4714,2477,4719,2483,4732,2490,4738,2503,4752,2509,4758,2515,4764,2532,4786,2547,4808,2560,4832,2573,4856,2578,4866,2582,4877,2587,4887,2591,4897,2594,4905,2598,4914,2598,4914,2598,4923,2600,4960,2606,4996,2613,5030,2621,5063,2626,5092,2629,5140,2629,5428,2646,5462,2687,5479,2729,5482,2747,5482,2819,5473,2855,5453,2867,5433,2869,5425,2875,5348,2879,5272,2881,5197,2882,5125xm2690,4228l2674,4197,2656,4170,2629,4142,2627,4141,2626,4140,2624,4139,2621,4144,2590,4199,2566,4226,2559,4228,2690,4228xm2629,5428l2629,5239,2627,5425,2629,5428xe" filled="true" fillcolor="#ffffff" stroked="false">
              <v:path arrowok="t"/>
              <v:fill type="solid"/>
            </v:shape>
            <v:shape style="position:absolute;left:1667;top:4139;width:1214;height:1343" type="#_x0000_t75" id="docshape236" stroked="false">
              <v:imagedata r:id="rId92" o:title=""/>
            </v:shape>
            <v:shape style="position:absolute;left:1654;top:4138;width:1238;height:1349" id="docshape237" coordorigin="1655,4138" coordsize="1238,1349" path="m2656,4170l2720,4255,2760,4338,2794,4471,2837,4701,2864,4735,2885,4944,2892,5085,2887,5224,2869,5424,2869,5457,2856,5474,2820,5481,2748,5482,2678,5487,2642,5483,2629,5464,2627,5424,2629,5239,2629,5140,2626,5092,2621,5063,2613,5030,2606,4996,2600,4960,2598,4923,2598,4914,2594,4905,2560,4832,2515,4764,2503,4752,2497,4745,2491,4739,2483,4732,2479,4723,2477,4719,2477,4714,2475,4709,2472,4698,2468,4688,2463,4677,2459,4667,2421,4585,2387,4532,2366,4507,2318,4516,2291,4517,2275,4512,2260,4498,2210,4631,2177,4705,2145,4747,2100,4783,2087,4864,2073,4909,2048,4934,2004,4955,1989,5083,1974,5161,1949,5220,1905,5291,1924,5388,1923,5438,1896,5456,1836,5459,1733,5459,1680,5454,1656,5435,1655,5387,1670,5295,1677,5110,1686,4991,1701,4888,1729,4750,1756,4723,1770,4701,1775,4673,1775,4626,1889,4395,1948,4277,1973,4233,1983,4227,2500,4227,2540,4233,2566,4226,2590,4199,2621,4144,2624,4138,2626,4140,2627,4141,2629,4142,2633,4146,2656,4170xe" filled="false" stroked="true" strokeweight=".194pt" strokecolor="#231f20">
              <v:path arrowok="t"/>
              <v:stroke dashstyle="solid"/>
            </v:shape>
            <v:shape style="position:absolute;left:1985;top:2963;width:510;height:344" type="#_x0000_t75" id="docshape238" stroked="false">
              <v:imagedata r:id="rId93" o:title=""/>
            </v:shape>
            <v:shape style="position:absolute;left:2645;top:5460;width:310;height:419" id="docshape239" coordorigin="2645,5460" coordsize="310,419" path="m2648,5664l2648,5622,2648,5646,2645,5659,2648,5664xm2842,5482l2797,5482,2793,5484,2757,5494,2720,5489,2666,5473,2666,5531,2653,5541,2648,5558,2647,5574,2648,5580,2648,5580,2648,5581,2648,5664,2656,5677,2668,5680,2684,5696,2691,5708,2695,5720,2699,5730,2701,5740,2703,5751,2703,5761,2726,5836,2776,5870,2826,5879,2836,5878,2836,5564,2836,5533,2837,5512,2840,5491,2842,5482xm2846,5460l2797,5482,2842,5482,2846,5460xm2955,5814l2952,5792,2945,5772,2938,5759,2935,5753,2890,5695,2864,5656,2849,5618,2836,5564,2836,5878,2849,5878,2902,5872,2934,5858,2950,5837,2955,5814xe" filled="true" fillcolor="#a1a3a5" stroked="false">
              <v:path arrowok="t"/>
              <v:fill type="solid"/>
            </v:shape>
            <v:shape style="position:absolute;left:2645;top:5460;width:310;height:419" type="#_x0000_t75" id="docshape240" stroked="false">
              <v:imagedata r:id="rId94" o:title=""/>
            </v:shape>
            <v:shape style="position:absolute;left:2645;top:5460;width:341;height:426" id="docshape241" coordorigin="2645,5460" coordsize="341,426" path="m2846,5460l2840,5491,2837,5512,2836,5533,2836,5564,2849,5618,2864,5656,2890,5695,2935,5753,2980,5825,2985,5862,2944,5876,2849,5878,2765,5886,2722,5876,2706,5838,2703,5761,2703,5751,2675,5687,2668,5680,2656,5677,2650,5668,2645,5659,2648,5646,2648,5636,2648,5622,2648,5609,2648,5595,2648,5581,2645,5556,2646,5542,2653,5535,2666,5531,2666,5473,2720,5489,2757,5494,2793,5484,2846,5460xe" filled="false" stroked="true" strokeweight=".194pt" strokecolor="#231f20">
              <v:path arrowok="t"/>
              <v:stroke dashstyle="solid"/>
            </v:shape>
            <v:shape style="position:absolute;left:1503;top:5428;width:389;height:427" id="docshape242" coordorigin="1504,5428" coordsize="389,427" path="m1877,5458l1810,5458,1771,5466,1715,5472,1692,5460,1684,5428,1681,5467,1678,5499,1677,5525,1657,5560,1610,5616,1559,5678,1522,5726,1505,5767,1504,5809,1535,5842,1614,5855,1700,5841,1751,5806,1778,5765,1791,5730,1805,5707,1823,5687,1846,5666,1871,5643,1871,5497,1873,5476,1877,5458xm1880,5444l1810,5458,1877,5458,1880,5444xm1893,5591l1891,5572,1886,5555,1882,5544,1880,5540,1873,5515,1871,5497,1871,5643,1873,5640,1883,5629,1889,5617,1892,5604,1893,5591xe" filled="true" fillcolor="#a1a3a5" stroked="false">
              <v:path arrowok="t"/>
              <v:fill type="solid"/>
            </v:shape>
            <v:shape style="position:absolute;left:1503;top:5428;width:389;height:427" type="#_x0000_t75" id="docshape243" stroked="false">
              <v:imagedata r:id="rId95" o:title=""/>
            </v:shape>
            <v:shape style="position:absolute;left:1503;top:3580;width:400;height:2275" id="docshape244" coordorigin="1504,3580" coordsize="400,2275" path="m1880,5444l1873,5476,1871,5497,1873,5515,1880,5540,1898,5576,1904,5598,1896,5617,1873,5640,1846,5666,1823,5687,1805,5707,1791,5730,1778,5765,1751,5806,1700,5841,1614,5855,1535,5842,1504,5809,1505,5767,1522,5726,1559,5678,1610,5616,1657,5560,1677,5525,1678,5499,1681,5467,1683,5440,1684,5428,1692,5460,1715,5472,1771,5466,1880,5444xm1826,3580l1843,3617,1850,3642,1850,3668,1845,3707,1849,3717,1861,3727,1866,3751,1854,3801e" filled="false" stroked="true" strokeweight=".194pt" strokecolor="#231f20">
              <v:path arrowok="t"/>
              <v:stroke dashstyle="solid"/>
            </v:shape>
            <v:shape style="position:absolute;left:2147;top:3238;width:67;height:57" id="docshape245" coordorigin="2148,3238" coordsize="67,57" path="m2215,3250l2196,3238,2166,3257,2151,3269,2148,3278,2152,3289,2165,3295,2185,3288,2204,3275,2213,3262,2215,3250xe" filled="true" fillcolor="#b0b2b4" stroked="false">
              <v:path arrowok="t"/>
              <v:fill type="solid"/>
            </v:shape>
            <v:shape style="position:absolute;left:2147;top:3238;width:67;height:57" id="docshape246" coordorigin="2148,3238" coordsize="67,57" path="m2196,3238l2166,3257,2151,3269,2148,3278,2152,3289,2165,3295,2185,3288,2204,3275,2213,3262,2215,3250,2196,3238xe" filled="false" stroked="true" strokeweight=".194pt" strokecolor="#231f20">
              <v:path arrowok="t"/>
              <v:stroke dashstyle="solid"/>
            </v:shape>
            <v:shape style="position:absolute;left:1608;top:2689;width:494;height:1122" id="docshape247" coordorigin="1609,2690" coordsize="494,1122" path="m2102,3811l1935,3444,1839,3206,1775,2993,1708,2700,1672,2690,1649,2690,1632,2699,1609,2720,1782,3290,1882,3594,1947,3734,2014,3811,2102,3811xe" filled="true" fillcolor="#8c8e91" stroked="false">
              <v:path arrowok="t"/>
              <v:fill type="solid"/>
            </v:shape>
            <v:shape style="position:absolute;left:1608;top:2689;width:494;height:1122" id="docshape248" coordorigin="1609,2690" coordsize="494,1122" path="m1609,2720l1782,3290,1882,3594,1947,3734,2014,3811,2102,3811,1935,3444,1839,3206,1775,2993,1708,2700,1672,2690,1649,2690,1632,2699,1609,2720xe" filled="false" stroked="true" strokeweight=".194pt" strokecolor="#231f20">
              <v:path arrowok="t"/>
              <v:stroke dashstyle="solid"/>
            </v:shape>
            <v:shape style="position:absolute;left:1747;top:2663;width:163;height:325" type="#_x0000_t75" id="docshape249" stroked="false">
              <v:imagedata r:id="rId96" o:title=""/>
            </v:shape>
            <v:shape style="position:absolute;left:2692;top:2609;width:171;height:277" type="#_x0000_t75" id="docshape250" stroked="false">
              <v:imagedata r:id="rId97" o:title=""/>
            </v:shape>
            <v:shape style="position:absolute;left:2613;top:2868;width:218;height:449" id="docshape251" coordorigin="2613,2868" coordsize="218,449" path="m2831,2884l2825,2868,2775,3047,2736,3151,2689,3223,2613,3302,2669,3313,2677,3315,2679,3317,2749,3162,2788,3065,2811,2986,2831,2884xe" filled="true" fillcolor="#949698" stroked="false">
              <v:path arrowok="t"/>
              <v:fill type="solid"/>
            </v:shape>
            <v:shape style="position:absolute;left:2613;top:2868;width:298;height:894" id="docshape252" coordorigin="2613,2868" coordsize="298,894" path="m2825,2868l2775,3047,2736,3151,2689,3223,2613,3302,2650,3309,2669,3313,2677,3315,2679,3317,2749,3162,2788,3065,2811,2986,2831,2884,2825,2868xm2861,3438l2855,3560,2852,3624,2855,3650,2861,3660,2870,3681,2879,3716,2892,3748,2910,3762m2849,3729l2845,3654,2846,3627,2855,3644,2875,3703e" filled="false" stroked="true" strokeweight=".194pt" strokecolor="#231f20">
              <v:path arrowok="t"/>
              <v:stroke dashstyle="solid"/>
            </v:shape>
            <v:shape style="position:absolute;left:2323;top:3914;width:236;height:88" id="docshape253" coordorigin="2324,3915" coordsize="236,88" path="m2559,3931l2555,3921,2413,3921,2404,3921,2394,3921,2378,3922,2368,3924,2351,3932,2343,3937,2324,3966,2325,3994,2349,4002,2376,4000,2389,3997,2437,3960,2468,3943,2493,3940,2522,3946,2535,3946,2540,3945,2552,3940,2559,3931xm2555,3921l2555,3921,2530,3915,2522,3915,2493,3915,2486,3915,2447,3918,2416,3921,2413,3921,2555,3921xm2535,3946l2522,3946,2527,3947,2535,3946xe" filled="true" fillcolor="#d9dbdc" stroked="false">
              <v:path arrowok="t"/>
              <v:fill type="solid"/>
            </v:shape>
            <v:shape style="position:absolute;left:2323;top:3914;width:236;height:88" type="#_x0000_t75" id="docshape254" stroked="false">
              <v:imagedata r:id="rId98" o:title=""/>
            </v:shape>
            <v:shape style="position:absolute;left:2313;top:3914;width:246;height:97" id="docshape255" coordorigin="2313,3915" coordsize="246,97" path="m2527,3947l2493,3940,2468,3943,2437,3960,2389,3997,2340,4010,2317,4011,2313,3997,2324,3966,2344,3935,2371,3923,2397,3921,2416,3921,2444,3919,2488,3915,2530,3915,2555,3921,2559,3931,2552,3940,2540,3945,2527,3947xe" filled="false" stroked="true" strokeweight=".194pt" strokecolor="#231f20">
              <v:path arrowok="t"/>
              <v:stroke dashstyle="solid"/>
            </v:shape>
            <v:shape style="position:absolute;left:2459;top:3971;width:81;height:80" id="docshape256" coordorigin="2460,3972" coordsize="81,80" path="m2541,4008l2541,3987,2528,3979,2514,3974,2505,3972,2497,3972,2477,3977,2466,3989,2461,4001,2460,4007,2499,4019,2519,4027,2527,4037,2528,4051,2534,4038,2538,4026,2540,4016,2541,4008xe" filled="true" fillcolor="#d9dbdc" stroked="false">
              <v:path arrowok="t"/>
              <v:fill type="solid"/>
            </v:shape>
            <v:shape style="position:absolute;left:2459;top:3971;width:81;height:80" type="#_x0000_t75" id="docshape257" stroked="false">
              <v:imagedata r:id="rId99" o:title=""/>
            </v:shape>
            <v:shape style="position:absolute;left:2459;top:3962;width:90;height:89" id="docshape258" coordorigin="2460,3962" coordsize="90,89" path="m2528,4051l2517,4034,2494,4020,2470,4010,2460,4007,2465,3976,2473,3962,2492,3964,2528,3979,2544,3990,2550,4000,2544,4019,2528,4051e" filled="false" stroked="true" strokeweight=".194pt" strokecolor="#231f20">
              <v:path arrowok="t"/>
              <v:stroke dashstyle="solid"/>
            </v:shape>
            <v:shape style="position:absolute;left:2409;top:4006;width:120;height:149" id="docshape259" coordorigin="2409,4007" coordsize="120,149" path="m2433,4148l2433,4095,2409,4095,2416,4113,2426,4144,2433,4148xm2443,4152l2443,4058,2429,4064,2427,4077,2431,4090,2434,4095,2434,4148,2443,4152xm2529,4071l2529,4061,2528,4051,2517,4033,2493,4019,2470,4010,2460,4007,2437,4023,2433,4040,2439,4053,2443,4058,2443,4152,2448,4155,2470,4155,2480,4153,2505,4144,2520,4123,2527,4097,2529,4071xm2434,4148l2434,4095,2433,4095,2434,4148xe" filled="true" fillcolor="#f0f1f1" stroked="false">
              <v:path arrowok="t"/>
              <v:fill type="solid"/>
            </v:shape>
            <v:shape style="position:absolute;left:2409;top:4006;width:120;height:149" type="#_x0000_t75" id="docshape260" stroked="false">
              <v:imagedata r:id="rId100" o:title=""/>
            </v:shape>
            <v:shape style="position:absolute;left:2408;top:4006;width:125;height:156" id="docshape261" coordorigin="2409,4007" coordsize="125,156" path="m2528,4051l2534,4110,2531,4140,2514,4151,2480,4153,2443,4163,2424,4162,2417,4146,2416,4113,2409,4095,2434,4095,2423,4074,2420,4062,2427,4058,2443,4058,2426,4040,2422,4028,2433,4019,2460,4007,2499,4018,2519,4027,2526,4036,2528,4051xe" filled="false" stroked="true" strokeweight=".194pt" strokecolor="#231f20">
              <v:path arrowok="t"/>
              <v:stroke dashstyle="solid"/>
            </v:shape>
            <v:shape style="position:absolute;left:2086;top:3982;width:116;height:294" id="docshape262" coordorigin="2086,3982" coordsize="116,294" path="m2153,3998l2151,3989,2146,3984,2135,3982,2113,3982,2091,4090,2086,4151,2090,4161,2097,4171,2097,4124,2107,4074,2153,3998xm2201,4231l2127,4169,2097,4124,2097,4171,2140,4234,2168,4263,2186,4275,2195,4264,2201,4231xe" filled="true" fillcolor="#dee0e1" stroked="false">
              <v:path arrowok="t"/>
              <v:fill type="solid"/>
            </v:shape>
            <v:shape style="position:absolute;left:2086;top:3982;width:113;height:289" type="#_x0000_t75" id="docshape263" stroked="false">
              <v:imagedata r:id="rId101" o:title=""/>
            </v:shape>
            <v:shape style="position:absolute;left:2086;top:3982;width:116;height:294" id="docshape264" coordorigin="2086,3982" coordsize="116,294" path="m2113,3982l2091,4090,2086,4151,2100,4190,2134,4227,2168,4263,2186,4275,2195,4264,2201,4231,2127,4169,2097,4124,2107,4074,2153,3998,2151,3989,2146,3984,2135,3982,2113,3982xe" filled="false" stroked="true" strokeweight=".194pt" strokecolor="#231f20">
              <v:path arrowok="t"/>
              <v:stroke dashstyle="solid"/>
            </v:shape>
            <v:shape style="position:absolute;left:2096;top:3989;width:135;height:251" id="docshape265" coordorigin="2097,3990" coordsize="135,251" path="m2194,3990l2194,3990,2172,3990,2165,3992,2153,3998,2107,4069,2097,4117,2127,4163,2162,4196,2162,4136,2165,4090,2187,4011,2194,3990xm2231,4221l2231,4217,2230,4213,2228,4204,2182,4168,2162,4136,2162,4196,2201,4231,2219,4239,2227,4241,2231,4235,2231,4221xe" filled="true" fillcolor="#dee0e1" stroked="false">
              <v:path arrowok="t"/>
              <v:fill type="solid"/>
            </v:shape>
            <v:shape style="position:absolute;left:2096;top:3989;width:135;height:251" type="#_x0000_t75" id="docshape266" stroked="false">
              <v:imagedata r:id="rId102" o:title=""/>
            </v:shape>
            <v:shape style="position:absolute;left:2096;top:3981;width:140;height:262" id="docshape267" coordorigin="2097,3982" coordsize="140,262" path="m2153,3998l2107,4069,2097,4117,2127,4163,2201,4231,2225,4242,2236,4243,2236,4231,2228,4204,2182,4168,2162,4136,2165,4090,2187,4011,2194,3990,2192,3982,2180,3985,2153,3998xe" filled="false" stroked="true" strokeweight=".194pt" strokecolor="#231f20">
              <v:path arrowok="t"/>
              <v:stroke dashstyle="solid"/>
            </v:shape>
            <v:shape style="position:absolute;left:2177;top:4003;width:224;height:224" id="docshape268" coordorigin="2177,4003" coordsize="224,224" path="m2401,4125l2401,4108,2400,4091,2398,4077,2396,4066,2395,4062,2386,4037,2349,4024,2308,4019,2289,4018,2275,4011,2262,4007,2249,4004,2238,4003,2214,4007,2197,4016,2186,4025,2183,4029,2177,4108,2194,4163,2217,4194,2228,4204,2230,4205,2240,4203,2247,4203,2373,4203,2378,4194,2382,4181,2384,4171,2384,4141,2397,4140,2401,4125xm2373,4203l2248,4203,2252,4203,2257,4204,2270,4206,2282,4209,2294,4212,2305,4217,2311,4219,2316,4221,2326,4227,2331,4226,2340,4224,2343,4223,2352,4221,2358,4218,2362,4215,2371,4205,2373,4203xm2385,4141l2384,4141,2384,4171,2384,4168,2384,4167,2385,4141xe" filled="true" fillcolor="#dee0e1" stroked="false">
              <v:path arrowok="t"/>
              <v:fill type="solid"/>
            </v:shape>
            <v:shape style="position:absolute;left:2177;top:4003;width:224;height:221" type="#_x0000_t75" id="docshape269" stroked="false">
              <v:imagedata r:id="rId103" o:title=""/>
            </v:shape>
            <v:shape style="position:absolute;left:2166;top:3990;width:242;height:237" id="docshape270" coordorigin="2166,3990" coordsize="242,237" path="m2183,4029l2205,4001,2224,3990,2248,3997,2289,4018,2361,4019,2396,4024,2404,4037,2395,4062,2405,4108,2408,4131,2401,4139,2384,4141,2385,4141,2371,4205,2346,4223,2343,4223,2340,4224,2336,4225,2331,4226,2326,4227,2321,4224,2316,4221,2257,4204,2247,4203,2242,4203,2240,4203,2230,4205,2228,4204,2185,4172,2166,4143,2167,4101,2183,4029xe" filled="false" stroked="true" strokeweight=".194pt" strokecolor="#231f20">
              <v:path arrowok="t"/>
              <v:stroke dashstyle="solid"/>
            </v:shape>
            <v:shape style="position:absolute;left:2265;top:4247;width:119;height:86" id="docshape271" coordorigin="2265,4248" coordsize="119,86" path="m2383,4291l2378,4274,2366,4260,2347,4251,2324,4248,2301,4251,2282,4260,2270,4274,2265,4291,2270,4307,2282,4321,2301,4330,2324,4333,2347,4330,2366,4321,2378,4307,2383,4291xe" filled="true" fillcolor="#bdbfc1" stroked="false">
              <v:path arrowok="t"/>
              <v:fill type="solid"/>
            </v:shape>
            <v:shape style="position:absolute;left:2265;top:4247;width:119;height:86" id="docshape272" coordorigin="2265,4248" coordsize="119,86" path="m2383,4291l2378,4307,2366,4321,2347,4330,2324,4333,2301,4330,2282,4321,2270,4307,2265,4291,2270,4274,2282,4260,2301,4251,2324,4248,2347,4251,2366,4260,2378,4274,2383,4291xe" filled="false" stroked="true" strokeweight=".194pt" strokecolor="#231f20">
              <v:path arrowok="t"/>
              <v:stroke dashstyle="solid"/>
            </v:shape>
            <v:shape style="position:absolute;left:2301;top:4331;width:30;height:42" id="docshape273" coordorigin="2301,4332" coordsize="30,42" path="m2330,4339l2330,4333,2308,4332,2302,4355,2301,4368,2305,4372,2316,4373,2326,4367,2330,4353,2330,4339xe" filled="true" fillcolor="#bdbfc1" stroked="false">
              <v:path arrowok="t"/>
              <v:fill type="solid"/>
            </v:shape>
            <v:shape style="position:absolute;left:2301;top:4331;width:30;height:42" id="docshape274" coordorigin="2301,4332" coordsize="30,42" path="m2308,4332l2302,4355,2301,4368,2305,4372,2316,4373,2326,4367,2330,4353,2330,4339,2330,4333,2308,4332xe" filled="false" stroked="true" strokeweight=".194pt" strokecolor="#231f20">
              <v:path arrowok="t"/>
              <v:stroke dashstyle="solid"/>
            </v:shape>
            <v:shape style="position:absolute;left:2958;top:3267;width:68;height:83" id="docshape275" coordorigin="2958,3268" coordsize="68,83" path="m3026,3309l3023,3293,3016,3280,3005,3271,2992,3268,2979,3271,2968,3280,2961,3293,2958,3309,2961,3325,2968,3338,2979,3347,2992,3350,3005,3347,3016,3338,3023,3325,3026,3309xe" filled="true" fillcolor="#c7c9cb" stroked="false">
              <v:path arrowok="t"/>
              <v:fill type="solid"/>
            </v:shape>
            <v:shape style="position:absolute;left:2958;top:3267;width:68;height:83" id="docshape276" coordorigin="2958,3268" coordsize="68,83" path="m3026,3309l3023,3325,3016,3338,3005,3347,2992,3350,2979,3347,2968,3338,2961,3325,2958,3309,2961,3293,2968,3280,2979,3271,2992,3268,3005,3271,3016,3280,3023,3293,3026,3309xe" filled="false" stroked="true" strokeweight=".194pt" strokecolor="#231f20">
              <v:path arrowok="t"/>
              <v:stroke dashstyle="solid"/>
            </v:shape>
            <v:shape style="position:absolute;left:2858;top:3288;width:142;height:112" id="docshape277" coordorigin="2859,3288" coordsize="142,112" path="m3001,3349l2984,3354,2971,3341,2958,3326,2953,3315,2949,3325,2934,3344,2907,3348,2859,3345,2863,3383,2887,3398,2910,3400,2943,3384,3001,3349xm2963,3288l2955,3304,2953,3315,2953,3315,2963,3288xe" filled="true" fillcolor="#6a6b6e" stroked="false">
              <v:path arrowok="t"/>
              <v:fill type="solid"/>
            </v:shape>
            <v:shape style="position:absolute;left:2858;top:3288;width:142;height:112" id="docshape278" coordorigin="2859,3288" coordsize="142,112" path="m2859,3345l2907,3348,2934,3344,2949,3325,2963,3288,2955,3304,2953,3315,2958,3326,2971,3341,2984,3354,3001,3349,2943,3384,2910,3400,2887,3398,2863,3383,2859,3345xe" filled="false" stroked="true" strokeweight=".194pt" strokecolor="#231f20">
              <v:path arrowok="t"/>
              <v:stroke dashstyle="solid"/>
            </v:shape>
            <v:shape style="position:absolute;left:1603;top:3116;width:278;height:247" id="docshape279" coordorigin="1604,3117" coordsize="278,247" path="m1861,3129l1861,3121,1856,3117,1826,3117,1772,3119,1734,3124,1714,3129,1707,3131,1675,3171,1642,3221,1616,3263,1606,3281,1604,3303,1644,3348,1700,3364,1750,3363,1772,3360,1772,3348,1772,3347,1780,3305,1789,3283,1803,3275,1809,3275,1809,3141,1842,3136,1847,3136,1853,3135,1861,3129xm1772,3360l1772,3348,1772,3360,1772,3360xm1847,3136l1842,3136,1809,3141,1817,3140,1835,3138,1847,3136xm1868,3161l1863,3149,1853,3143,1840,3140,1826,3139,1826,3139,1817,3140,1809,3141,1809,3275,1827,3274,1827,3191,1848,3187,1861,3179,1868,3161xm1852,3136l1847,3136,1835,3138,1826,3139,1826,3139,1841,3138,1852,3136xm1848,3187l1827,3191,1833,3191,1847,3188,1848,3187xm1855,3186l1848,3187,1847,3188,1833,3191,1827,3191,1827,3274,1842,3273,1842,3230,1843,3230,1843,3189,1854,3186,1855,3186xm1864,3226l1842,3230,1848,3230,1862,3227,1864,3226xm1868,3225l1864,3226,1862,3227,1848,3230,1842,3230,1842,3273,1845,3273,1855,3270,1855,3229,1867,3226,1868,3225xm1859,3189l1856,3189,1853,3189,1843,3189,1859,3189xm1881,3205l1877,3195,1868,3190,1859,3189,1843,3189,1843,3230,1864,3226,1875,3219,1881,3205xm1868,3229l1862,3228,1855,3229,1868,3229xm1881,3245l1880,3232,1879,3230,1868,3229,1855,3229,1855,3270,1862,3268,1876,3260,1881,3245xe" filled="true" fillcolor="#b7b9bb" stroked="false">
              <v:path arrowok="t"/>
              <v:fill type="solid"/>
            </v:shape>
            <v:shape style="position:absolute;left:1603;top:3116;width:274;height:248" type="#_x0000_t75" id="docshape280" stroked="false">
              <v:imagedata r:id="rId104" o:title=""/>
            </v:shape>
            <v:shape style="position:absolute;left:1603;top:3115;width:278;height:260" id="docshape281" coordorigin="1604,3116" coordsize="278,260" path="m1604,3303l1643,3216,1684,3155,1753,3117,1790,3116,1856,3117,1861,3121,1847,3188,1881,3205,1875,3219,1881,3245,1876,3260,1862,3268,1845,3273,1827,3274,1803,3275,1789,3283,1780,3305,1772,3348,1772,3360,1693,3375,1649,3375,1625,3352,1604,3303xe" filled="false" stroked="true" strokeweight=".194pt" strokecolor="#231f20">
              <v:path arrowok="t"/>
              <v:stroke dashstyle="solid"/>
            </v:shape>
            <v:shape style="position:absolute;left:2243;top:4395;width:67;height:71" id="docshape282" coordorigin="2244,4395" coordsize="67,71" path="m2310,4439l2302,4412,2295,4399,2285,4395,2268,4397,2249,4417,2244,4429,2252,4441,2276,4456,2293,4465,2302,4466,2307,4458,2310,4439xe" filled="true" fillcolor="#cccecf" stroked="false">
              <v:path arrowok="t"/>
              <v:fill type="solid"/>
            </v:shape>
            <v:shape style="position:absolute;left:2243;top:4395;width:67;height:71" id="docshape283" coordorigin="2244,4395" coordsize="67,71" path="m2276,4456l2252,4441,2244,4429,2249,4417,2268,4397,2285,4395,2295,4399,2302,4412,2310,4439,2307,4458,2302,4466,2293,4465,2276,4456xe" filled="false" stroked="true" strokeweight=".194pt" strokecolor="#231f20">
              <v:path arrowok="t"/>
              <v:stroke dashstyle="solid"/>
            </v:shape>
            <v:shape style="position:absolute;left:2322;top:4396;width:40;height:52" id="docshape284" coordorigin="2323,4397" coordsize="40,52" path="m2362,4414l2360,4403,2351,4398,2339,4397,2327,4398,2323,4402,2323,4416,2329,4442,2332,4445,2340,4448,2350,4446,2358,4432,2362,4414xe" filled="true" fillcolor="#cccecf" stroked="false">
              <v:path arrowok="t"/>
              <v:fill type="solid"/>
            </v:shape>
            <v:shape style="position:absolute;left:2322;top:4396;width:40;height:52" id="docshape285" coordorigin="2323,4397" coordsize="40,52" path="m2329,4442l2323,4416,2323,4402,2327,4398,2339,4397,2351,4398,2360,4403,2362,4414,2358,4432,2350,4446,2340,4448,2332,4445,2329,4442xe" filled="false" stroked="true" strokeweight=".194pt" strokecolor="#231f20">
              <v:path arrowok="t"/>
              <v:stroke dashstyle="solid"/>
            </v:shape>
            <v:shape style="position:absolute;left:2478;top:4052;width:132;height:212" id="docshape286" coordorigin="2479,4053" coordsize="132,212" path="m2610,4060l2597,4053,2569,4055,2546,4055,2533,4058,2529,4067,2529,4083,2528,4104,2523,4130,2508,4177,2479,4264,2526,4256,2555,4239,2575,4203,2598,4136,2609,4085,2610,4060xe" filled="true" fillcolor="#d7d8da" stroked="false">
              <v:path arrowok="t"/>
              <v:fill type="solid"/>
            </v:shape>
            <v:shape style="position:absolute;left:2478;top:4052;width:132;height:212" id="docshape287" coordorigin="2479,4053" coordsize="132,212" path="m2529,4083l2529,4067,2533,4058,2546,4055,2569,4055,2597,4053,2610,4060,2609,4085,2598,4136,2575,4203,2555,4239,2526,4256,2479,4264,2508,4177,2523,4130,2528,4104,2529,4083xe" filled="false" stroked="true" strokeweight=".194pt" strokecolor="#231f20">
              <v:path arrowok="t"/>
              <v:stroke dashstyle="solid"/>
            </v:shape>
            <v:shape style="position:absolute;left:1549;top:2639;width:203;height:78" id="docshape288" coordorigin="1549,2639" coordsize="203,78" path="m1751,2666l1718,2639,1574,2658,1563,2662,1555,2669,1550,2679,1549,2690,1549,2692,1553,2703,1560,2711,1570,2716,1582,2717,1726,2698,1737,2695,1745,2687,1750,2677,1751,2666xe" filled="true" fillcolor="#ffffff" stroked="false">
              <v:path arrowok="t"/>
              <v:fill type="solid"/>
            </v:shape>
            <v:shape style="position:absolute;left:1549;top:2639;width:203;height:78" id="docshape289" coordorigin="1549,2639" coordsize="203,78" path="m1751,2666l1582,2717,1570,2716,1560,2711,1553,2703,1549,2692,1549,2690,1550,2679,1555,2669,1563,2662,1574,2658,1718,2639,1730,2640,1740,2645,1747,2653,1751,2664,1751,2666xe" filled="false" stroked="true" strokeweight=".194pt" strokecolor="#231f20">
              <v:path arrowok="t"/>
              <v:stroke dashstyle="solid"/>
            </v:shape>
            <v:shape style="position:absolute;left:1781;top:2607;width:200;height:93" id="docshape290" coordorigin="1781,2607" coordsize="200,93" path="m1980,2664l1817,2607,1805,2607,1795,2611,1787,2619,1782,2629,1782,2631,1781,2642,1785,2652,1793,2661,1803,2665,1945,2699,1956,2699,1967,2695,1975,2688,1980,2677,1980,2676,1980,2664xe" filled="true" fillcolor="#ffffff" stroked="false">
              <v:path arrowok="t"/>
              <v:fill type="solid"/>
            </v:shape>
            <v:shape style="position:absolute;left:1781;top:2607;width:200;height:93" id="docshape291" coordorigin="1781,2607" coordsize="200,93" path="m1980,2677l1975,2688,1967,2695,1956,2699,1945,2699,1803,2665,1793,2661,1785,2652,1781,2642,1782,2631,1782,2629,1787,2619,1795,2611,1805,2607,1817,2607,1959,2641,1969,2646,1977,2654,1980,2664,1980,2676,1980,2677xe" filled="false" stroked="true" strokeweight=".194pt" strokecolor="#231f20">
              <v:path arrowok="t"/>
              <v:stroke dashstyle="solid"/>
            </v:shape>
            <v:shape style="position:absolute;left:2633;top:2547;width:145;height:116" id="docshape292" coordorigin="2634,2547" coordsize="145,116" path="m2779,2585l2747,2547,2738,2550,2643,2609,2636,2616,2634,2625,2634,2635,2665,2662,2674,2660,2770,2600,2776,2594,2779,2585xe" filled="true" fillcolor="#ffffff" stroked="false">
              <v:path arrowok="t"/>
              <v:fill type="solid"/>
            </v:shape>
            <v:shape style="position:absolute;left:2633;top:2547;width:145;height:116" id="docshape293" coordorigin="2634,2547" coordsize="145,116" path="m2773,2564l2778,2574,2779,2585,2776,2594,2770,2600,2674,2660,2665,2662,2656,2661,2634,2625,2636,2616,2643,2609,2738,2550,2747,2547,2756,2549,2765,2554,2772,2563,2773,2564xe" filled="false" stroked="true" strokeweight=".194pt" strokecolor="#231f20">
              <v:path arrowok="t"/>
              <v:stroke dashstyle="solid"/>
            </v:shape>
            <v:shape style="position:absolute;left:1986;top:3073;width:130;height:134" type="#_x0000_t75" id="docshape294" stroked="false">
              <v:imagedata r:id="rId105" o:title=""/>
            </v:shape>
            <v:shape style="position:absolute;left:2576;top:3830;width:69;height:122" id="docshape295" coordorigin="2577,3831" coordsize="69,122" path="m2645,3893l2642,3873,2634,3853,2623,3838,2612,3831,2584,3834,2577,3848,2579,3863,2582,3871,2588,3882,2592,3894,2592,3916,2591,3923,2589,3930,2586,3946,2589,3952,2601,3951,2625,3944,2635,3936,2641,3924,2644,3908,2645,3893xe" filled="true" fillcolor="#949698" stroked="false">
              <v:path arrowok="t"/>
              <v:fill type="solid"/>
            </v:shape>
            <v:shape style="position:absolute;left:2576;top:3830;width:69;height:122" id="docshape296" coordorigin="2577,3831" coordsize="69,122" path="m2625,3944l2635,3936,2641,3924,2644,3908,2645,3893,2642,3873,2634,3853,2623,3838,2612,3831,2584,3834,2577,3848,2579,3863,2582,3871,2588,3882,2592,3894,2592,3908,2592,3916,2591,3923,2589,3930,2586,3946,2589,3952,2601,3951,2625,3944xe" filled="false" stroked="true" strokeweight=".194pt" strokecolor="#231f20">
              <v:path arrowok="t"/>
              <v:stroke dashstyle="solid"/>
            </v:shape>
            <v:shape style="position:absolute;left:2346;top:4178;width:310;height:363" id="docshape297" coordorigin="2346,4179" coordsize="310,363" path="m2655,4223l2601,4179,2477,4304,2409,4380,2374,4438,2346,4507,2394,4542,2655,4223xe" filled="true" fillcolor="#939598" stroked="false">
              <v:path arrowok="t"/>
              <v:fill type="solid"/>
            </v:shape>
            <v:shape style="position:absolute;left:2346;top:4143;width:361;height:398" id="docshape298" coordorigin="2346,4144" coordsize="361,398" path="m2601,4179l2477,4304,2409,4380,2374,4438,2346,4507,2394,4542,2655,4223,2601,4179xm2601,4179l2707,4260,2691,4209,2677,4179,2657,4162,2621,4144,2601,4179xe" filled="false" stroked="true" strokeweight=".194pt" strokecolor="#231f20">
              <v:path arrowok="t"/>
              <v:stroke dashstyle="solid"/>
            </v:shape>
            <v:shape style="position:absolute;left:2012;top:4228;width:260;height:330" id="docshape299" coordorigin="2012,4228" coordsize="260,330" path="m2272,4498l2202,4360,2161,4286,2130,4251,2094,4228,2012,4228,2236,4558,2272,4498xe" filled="true" fillcolor="#939598" stroked="false">
              <v:path arrowok="t"/>
              <v:fill type="solid"/>
            </v:shape>
            <v:shape style="position:absolute;left:2012;top:4228;width:358;height:330" id="docshape300" coordorigin="2012,4228" coordsize="358,330" path="m2012,4228l2236,4558,2272,4498,2202,4360,2161,4286,2130,4251,2094,4228,2012,4228xm2289,4256l2298,4289,2301,4305,2298,4312,2289,4313m2343,4250l2335,4271,2332,4283,2335,4292,2344,4301,2355,4305,2363,4299,2368,4288,2370,4279m2311,4249l2318,4277,2318,4277,2314,4287e" filled="false" stroked="true" strokeweight=".194pt" strokecolor="#231f20">
              <v:path arrowok="t"/>
              <v:stroke dashstyle="solid"/>
            </v:shape>
            <v:shape style="position:absolute;left:2968;top:3278;width:47;height:60" id="docshape301" coordorigin="2969,3279" coordsize="47,60" path="m3015,3326l3015,3309,3015,3292,3005,3279,2979,3279,2969,3292,2969,3326,2979,3339,3005,3339,3015,3326xe" filled="true" fillcolor="#c7c9cb" stroked="false">
              <v:path arrowok="t"/>
              <v:fill type="solid"/>
            </v:shape>
            <v:shape style="position:absolute;left:2968;top:3278;width:47;height:60" id="docshape302" coordorigin="2969,3279" coordsize="47,60" path="m3015,3309l3015,3326,3005,3339,2992,3339,2979,3339,2969,3326,2969,3309,2969,3292,2979,3279,2992,3279,3005,3279,3015,3292,3015,3309xe" filled="false" stroked="true" strokeweight=".194pt" strokecolor="#231f20">
              <v:path arrowok="t"/>
              <v:stroke dashstyle="solid"/>
            </v:shape>
            <v:shape style="position:absolute;left:2171;top:3096;width:18;height:15" id="docshape303" coordorigin="2172,3096" coordsize="18,15" path="m2189,3107l2189,3103,2189,3099,2185,3096,2176,3096,2172,3099,2172,3107,2176,3111,2185,3111,2189,3107xe" filled="true" fillcolor="#ffffff" stroked="false">
              <v:path arrowok="t"/>
              <v:fill type="solid"/>
            </v:shape>
            <v:shape style="position:absolute;left:2311;top:4082;width:255;height:194" id="docshape304" coordorigin="2312,4083" coordsize="255,194" path="m2567,4160l2561,4116,2556,4090,2545,4083,2533,4086,2528,4093,2518,4172,2499,4210,2455,4217,2372,4203,2364,4216,2357,4223,2346,4226,2328,4227,2312,4237,2326,4249,2354,4250,2369,4253,2376,4261,2380,4276,2398,4259,2412,4252,2428,4255,2453,4268,2480,4267,2494,4264,2499,4256,2501,4240,2543,4211,2562,4188,2567,4160xe" filled="true" fillcolor="#d7d8da" stroked="false">
              <v:path arrowok="t"/>
              <v:fill type="solid"/>
            </v:shape>
            <v:shape style="position:absolute;left:2311;top:4082;width:255;height:194" id="docshape305" coordorigin="2312,4083" coordsize="255,194" path="m2372,4203l2455,4217,2499,4210,2518,4172,2528,4093,2533,4086,2545,4083,2556,4090,2561,4116,2567,4160,2562,4188,2543,4211,2501,4240,2499,4256,2494,4264,2480,4267,2453,4268,2428,4255,2412,4252,2398,4259,2380,4276,2376,4261,2369,4253,2354,4250,2326,4249,2312,4237,2328,4227,2346,4226,2357,4223,2364,4216,2372,4203xe" filled="false" stroked="true" strokeweight=".194pt" strokecolor="#231f20">
              <v:path arrowok="t"/>
              <v:stroke dashstyle="solid"/>
            </v:shape>
            <v:shape style="position:absolute;left:1586;top:5453;width:1261;height:300" id="docshape306" coordorigin="1587,5454" coordsize="1261,300" path="m1758,5459l1754,5537,1740,5589,1706,5636,1642,5703,1623,5712,1600,5716,1587,5710,1599,5689,1634,5651,1672,5597,1704,5531,1716,5454,1758,5459xm2738,5481l2745,5587,2750,5648,2758,5684,2771,5720,2792,5747,2817,5753,2838,5741,2847,5716,2822,5674,2808,5635,2800,5577,2792,5478,2738,5481xe" filled="false" stroked="true" strokeweight=".242pt" strokecolor="#231f20">
              <v:path arrowok="t"/>
              <v:stroke dashstyle="solid"/>
            </v:shape>
            <v:shape style="position:absolute;left:1706;top:5481;width:48;height:55" id="docshape307" coordorigin="1706,5481" coordsize="48,55" path="m1715,5481l1724,5494,1732,5498,1740,5494,1754,5481m1715,5501l1724,5514,1732,5518,1740,5514,1754,5501m1706,5521l1719,5532,1727,5536,1735,5532,1747,5521e" filled="false" stroked="true" strokeweight=".194pt" strokecolor="#231f20">
              <v:path arrowok="t"/>
              <v:stroke dashstyle="solid"/>
            </v:shape>
            <v:shape style="position:absolute;left:1699;top:5541;width:39;height:13" id="docshape308" coordorigin="1700,5542" coordsize="39,13" path="m1738,5550l1700,5542,1707,5551,1713,5555,1722,5554,1738,5550xe" filled="true" fillcolor="#a1a3a5" stroked="false">
              <v:path arrowok="t"/>
              <v:fill type="solid"/>
            </v:shape>
            <v:shape style="position:absolute;left:1699;top:5541;width:38;height:13" type="#_x0000_t75" id="docshape309" stroked="false">
              <v:imagedata r:id="rId106" o:title=""/>
            </v:shape>
            <v:shape style="position:absolute;left:1681;top:5581;width:41;height:16" id="docshape310" coordorigin="1681,5582" coordsize="41,16" path="m1722,5589l1681,5582,1697,5593,1707,5598,1714,5596,1722,5589xe" filled="true" fillcolor="#a1a3a5" stroked="false">
              <v:path arrowok="t"/>
              <v:fill type="solid"/>
            </v:shape>
            <v:shape style="position:absolute;left:1681;top:5581;width:41;height:16" type="#_x0000_t75" id="docshape311" stroked="false">
              <v:imagedata r:id="rId107" o:title=""/>
            </v:shape>
            <v:shape style="position:absolute;left:1681;top:5581;width:41;height:16" id="docshape312" coordorigin="1681,5582" coordsize="41,16" path="m1681,5582l1697,5593,1707,5598,1714,5596,1722,5589e" filled="false" stroked="true" strokeweight=".194pt" strokecolor="#231f20">
              <v:path arrowok="t"/>
              <v:stroke dashstyle="solid"/>
            </v:shape>
            <v:shape style="position:absolute;left:1669;top:5601;width:40;height:15" id="docshape313" coordorigin="1670,5602" coordsize="40,15" path="m1709,5614l1670,5602,1683,5611,1691,5616,1699,5616,1709,5614xe" filled="true" fillcolor="#a1a3a5" stroked="false">
              <v:path arrowok="t"/>
              <v:fill type="solid"/>
            </v:shape>
            <v:shape style="position:absolute;left:1669;top:5601;width:38;height:13" type="#_x0000_t75" id="docshape314" stroked="false">
              <v:imagedata r:id="rId106" o:title=""/>
            </v:shape>
            <v:shape style="position:absolute;left:1669;top:5601;width:40;height:15" id="docshape315" coordorigin="1670,5602" coordsize="40,15" path="m1670,5602l1683,5611,1691,5616,1699,5616,1709,5614e" filled="false" stroked="true" strokeweight=".194pt" strokecolor="#231f20">
              <v:path arrowok="t"/>
              <v:stroke dashstyle="solid"/>
            </v:shape>
            <v:shape style="position:absolute;left:1657;top:5620;width:40;height:20" id="docshape316" coordorigin="1657,5620" coordsize="40,20" path="m1697,5634l1657,5620,1666,5633,1673,5639,1682,5639,1697,5634xe" filled="true" fillcolor="#a1a3a5" stroked="false">
              <v:path arrowok="t"/>
              <v:fill type="solid"/>
            </v:shape>
            <v:shape style="position:absolute;left:1657;top:5620;width:40;height:20" type="#_x0000_t75" id="docshape317" stroked="false">
              <v:imagedata r:id="rId108" o:title=""/>
            </v:shape>
            <v:shape style="position:absolute;left:1657;top:5620;width:40;height:20" id="docshape318" coordorigin="1657,5620" coordsize="40,20" path="m1657,5620l1666,5633,1673,5639,1682,5639,1697,5634e" filled="false" stroked="true" strokeweight=".194pt" strokecolor="#231f20">
              <v:path arrowok="t"/>
              <v:stroke dashstyle="solid"/>
            </v:shape>
            <v:shape style="position:absolute;left:1639;top:5643;width:42;height:19" id="docshape319" coordorigin="1640,5644" coordsize="42,19" path="m1681,5657l1640,5644,1652,5656,1661,5662,1669,5662,1681,5657xe" filled="true" fillcolor="#a1a3a5" stroked="false">
              <v:path arrowok="t"/>
              <v:fill type="solid"/>
            </v:shape>
            <v:shape style="position:absolute;left:1639;top:5643;width:42;height:19" type="#_x0000_t75" id="docshape320" stroked="false">
              <v:imagedata r:id="rId108" o:title=""/>
            </v:shape>
            <v:shape style="position:absolute;left:1639;top:5643;width:42;height:19" id="docshape321" coordorigin="1640,5644" coordsize="42,19" path="m1640,5644l1652,5656,1661,5662,1669,5662,1681,5657e" filled="false" stroked="true" strokeweight=".194pt" strokecolor="#231f20">
              <v:path arrowok="t"/>
              <v:stroke dashstyle="solid"/>
            </v:shape>
            <v:shape style="position:absolute;left:1622;top:5663;width:40;height:24" id="docshape322" coordorigin="1622,5664" coordsize="40,24" path="m1662,5681l1622,5664,1634,5680,1642,5688,1650,5687,1662,5681xe" filled="true" fillcolor="#a1a3a5" stroked="false">
              <v:path arrowok="t"/>
              <v:fill type="solid"/>
            </v:shape>
            <v:shape style="position:absolute;left:1622;top:5663;width:40;height:24" type="#_x0000_t75" id="docshape323" stroked="false">
              <v:imagedata r:id="rId109" o:title=""/>
            </v:shape>
            <v:shape style="position:absolute;left:1622;top:5663;width:40;height:24" id="docshape324" coordorigin="1622,5664" coordsize="40,24" path="m1622,5664l1634,5680,1642,5688,1650,5687,1662,5681e" filled="false" stroked="true" strokeweight=".194pt" strokecolor="#231f20">
              <v:path arrowok="t"/>
              <v:stroke dashstyle="solid"/>
            </v:shape>
            <v:shape style="position:absolute;left:1598;top:5689;width:44;height:20" id="docshape325" coordorigin="1599,5689" coordsize="44,20" path="m1642,5703l1599,5689,1610,5702,1618,5708,1627,5708,1642,5703xe" filled="true" fillcolor="#a1a3a5" stroked="false">
              <v:path arrowok="t"/>
              <v:fill type="solid"/>
            </v:shape>
            <v:shape style="position:absolute;left:1598;top:5688;width:44;height:20" type="#_x0000_t75" id="docshape326" stroked="false">
              <v:imagedata r:id="rId107" o:title=""/>
            </v:shape>
            <v:shape style="position:absolute;left:1598;top:5498;width:1244;height:233" id="docshape327" coordorigin="1599,5498" coordsize="1244,233" path="m1599,5689l1610,5702,1618,5708,1627,5708,1642,5703m2740,5498l2758,5511,2769,5516,2780,5511,2794,5498m2796,5522l2786,5531,2777,5534,2764,5534,2742,5530m2744,5553l2769,5559,2783,5560,2791,5555,2799,5543m2747,5580l2776,5588,2792,5589,2799,5584,2803,5571m2749,5606l2775,5615,2790,5618,2799,5613,2808,5600m2753,5634l2781,5643,2797,5645,2806,5640,2815,5627m2758,5666l2783,5673,2798,5674,2809,5668,2823,5656m2764,5696l2803,5701,2823,5701,2830,5695,2831,5679m2774,5727l2809,5731,2827,5730,2836,5722,2842,5705e" filled="false" stroked="true" strokeweight=".194pt" strokecolor="#231f20">
              <v:path arrowok="t"/>
              <v:stroke dashstyle="solid"/>
            </v:shape>
            <v:shape style="position:absolute;left:1675;top:5503;width:1136;height:107" id="docshape328" coordorigin="1676,5504" coordsize="1136,107" path="m2737,5550l2762,5561,2775,5569,2782,5578,2788,5593,2785,5607,2772,5610,2763,5603,2771,5588,2788,5570,2801,5558,2809,5549,2812,5547m1676,5504l1702,5525,1716,5539,1723,5552,1729,5569,1726,5581,1713,5579,1703,5569,1711,5556,1729,5546,1742,5539,1751,5534,1753,5533e" filled="false" stroked="true" strokeweight=".242pt" strokecolor="#231f20">
              <v:path arrowok="t"/>
              <v:stroke dashstyle="solid"/>
            </v:shape>
            <v:shape style="position:absolute;left:2152;top:3285;width:352;height:124" type="#_x0000_t75" id="docshape329" stroked="false">
              <v:imagedata r:id="rId110" o:title=""/>
            </v:shape>
            <v:line style="position:absolute" from="3126,2272" to="3035,2561" stroked="true" strokeweight=".194pt" strokecolor="#231f20">
              <v:stroke dashstyle="solid"/>
            </v:line>
            <v:line style="position:absolute" from="3078,2272" to="2988,2556" stroked="true" strokeweight=".194pt" strokecolor="#231f20">
              <v:stroke dashstyle="solid"/>
            </v:line>
            <v:line style="position:absolute" from="3028,2272" to="2965,2554" stroked="true" strokeweight=".194pt" strokecolor="#231f20">
              <v:stroke dashstyle="solid"/>
            </v:line>
            <v:line style="position:absolute" from="2963,2272" to="2942,2552" stroked="true" strokeweight=".194pt" strokecolor="#231f20">
              <v:stroke dashstyle="solid"/>
            </v:line>
            <v:line style="position:absolute" from="2912,2272" to="2902,2548" stroked="true" strokeweight=".194pt" strokecolor="#231f20">
              <v:stroke dashstyle="solid"/>
            </v:line>
            <v:line style="position:absolute" from="2686,2272" to="2759,2550" stroked="true" strokeweight=".194pt" strokecolor="#231f20">
              <v:stroke dashstyle="solid"/>
            </v:line>
            <v:line style="position:absolute" from="2623,2272" to="2729,2555" stroked="true" strokeweight=".194pt" strokecolor="#231f20">
              <v:stroke dashstyle="solid"/>
            </v:line>
            <v:line style="position:absolute" from="2571,2272" to="2706,2570" stroked="true" strokeweight=".194pt" strokecolor="#231f20">
              <v:stroke dashstyle="solid"/>
            </v:line>
            <v:line style="position:absolute" from="2513,2272" to="2678,2587" stroked="true" strokeweight=".194pt" strokecolor="#231f20">
              <v:stroke dashstyle="solid"/>
            </v:line>
            <v:line style="position:absolute" from="2445,2283" to="2643,2609" stroked="true" strokeweight=".194pt" strokecolor="#231f20">
              <v:stroke dashstyle="solid"/>
            </v:line>
            <v:line style="position:absolute" from="2131,2272" to="1969,2645" stroked="true" strokeweight=".194pt" strokecolor="#231f20">
              <v:stroke dashstyle="solid"/>
            </v:line>
            <v:line style="position:absolute" from="2051,2272" to="1934,2635" stroked="true" strokeweight=".194pt" strokecolor="#231f20">
              <v:stroke dashstyle="solid"/>
            </v:line>
            <v:line style="position:absolute" from="1985,2272" to="1888,2624" stroked="true" strokeweight=".194pt" strokecolor="#231f20">
              <v:stroke dashstyle="solid"/>
            </v:line>
            <v:line style="position:absolute" from="1892,2272" to="1856,2617" stroked="true" strokeweight=".194pt" strokecolor="#231f20">
              <v:stroke dashstyle="solid"/>
            </v:line>
            <v:line style="position:absolute" from="1834,2272" to="1822,2609" stroked="true" strokeweight=".194pt" strokecolor="#231f20">
              <v:stroke dashstyle="solid"/>
            </v:line>
            <v:line style="position:absolute" from="1646,2272" to="1694,2642" stroked="true" strokeweight=".194pt" strokecolor="#231f20">
              <v:stroke dashstyle="solid"/>
            </v:line>
            <v:line style="position:absolute" from="1578,2272" to="1661,2647" stroked="true" strokeweight=".194pt" strokecolor="#231f20">
              <v:stroke dashstyle="solid"/>
            </v:line>
            <v:line style="position:absolute" from="1515,2272" to="1626,2651" stroked="true" strokeweight=".194pt" strokecolor="#231f20">
              <v:stroke dashstyle="solid"/>
            </v:line>
            <v:line style="position:absolute" from="1463,2272" to="1591,2656" stroked="true" strokeweight=".194pt" strokecolor="#231f20">
              <v:stroke dashstyle="solid"/>
            </v:line>
            <v:line style="position:absolute" from="1460,2435" to="1559,2665" stroked="true" strokeweight=".194pt" strokecolor="#231f20">
              <v:stroke dashstyle="solid"/>
            </v:line>
            <v:shape style="position:absolute;left:2219;top:4157;width:125;height:68" id="docshape330" coordorigin="2219,4157" coordsize="125,68" path="m2343,4213l2338,4203,2312,4190,2299,4183,2288,4177,2269,4167,2249,4158,2239,4157,2234,4165,2231,4184,2219,4196,2234,4204,2248,4201,2261,4201,2280,4207,2310,4219,2328,4225,2340,4222,2343,4213xe" filled="true" fillcolor="#cfd0d2" stroked="false">
              <v:path arrowok="t"/>
              <v:fill type="solid"/>
            </v:shape>
            <v:shape style="position:absolute;left:2219;top:4025;width:136;height:200" id="docshape331" coordorigin="2219,4025" coordsize="136,200" path="m2310,4219l2280,4207,2261,4201,2248,4201,2234,4204,2219,4196,2219,4196,2231,4184,2234,4165,2239,4157,2249,4158,2269,4167,2288,4177,2299,4183,2312,4190,2338,4203,2343,4213,2340,4222,2328,4225,2310,4219xm2298,4027l2268,4039,2255,4048,2257,4058,2272,4073,2282,4105,2293,4118,2313,4115,2349,4099,2355,4090,2352,4079,2342,4072,2325,4074,2316,4078,2310,4074,2313,4064,2329,4050,2330,4031,2318,4025,2305,4026,2298,4027xe" filled="false" stroked="true" strokeweight=".194pt" strokecolor="#231f20">
              <v:path arrowok="t"/>
              <v:stroke dashstyle="solid"/>
            </v:shape>
            <v:shape style="position:absolute;left:2310;top:4030;width:86;height:116" id="docshape332" coordorigin="2310,4031" coordsize="86,116" path="m2333,4070l2333,4041,2329,4050,2323,4056,2315,4062,2310,4069,2315,4078,2333,4070xm2396,4119l2388,4086,2369,4054,2350,4038,2335,4032,2329,4031,2333,4041,2333,4070,2340,4067,2359,4086,2359,4104,2366,4108,2375,4115,2378,4126,2379,4143,2383,4146,2392,4139,2396,4119xm2359,4104l2359,4086,2355,4096,2349,4098,2359,4104xe" filled="true" fillcolor="#d1d3d4" stroked="false">
              <v:path arrowok="t"/>
              <v:fill type="solid"/>
            </v:shape>
            <v:shape style="position:absolute;left:2310;top:4030;width:86;height:116" id="docshape333" coordorigin="2310,4031" coordsize="86,116" path="m2349,4098l2366,4108,2375,4115,2378,4126,2379,4143,2383,4146,2392,4139,2396,4119,2388,4086,2369,4054,2350,4038,2335,4032,2329,4031,2333,4041,2329,4050,2323,4056,2315,4062,2310,4069,2315,4078,2340,4067,2349,4076,2359,4086,2355,4096,2349,4098xe" filled="false" stroked="true" strokeweight=".194pt" strokecolor="#231f20">
              <v:path arrowok="t"/>
              <v:stroke dashstyle="solid"/>
            </v:shape>
            <v:shape style="position:absolute;left:2295;top:4113;width:77;height:93" id="docshape334" coordorigin="2295,4114" coordsize="77,93" path="m2371,4189l2368,4172,2357,4163,2336,4163,2356,4145,2360,4126,2348,4114,2323,4114,2302,4124,2295,4139,2297,4152,2301,4160,2303,4168,2309,4181,2322,4195,2344,4207,2364,4205,2371,4189xe" filled="true" fillcolor="#d3d4d6" stroked="false">
              <v:path arrowok="t"/>
              <v:fill type="solid"/>
            </v:shape>
            <v:shape style="position:absolute;left:2295;top:4113;width:77;height:93" id="docshape335" coordorigin="2295,4114" coordsize="77,93" path="m2336,4163l2356,4145,2360,4126,2348,4114,2323,4114,2302,4124,2295,4139,2297,4152,2301,4160,2303,4168,2309,4181,2322,4195,2344,4207,2364,4205,2371,4189,2368,4172,2357,4163,2336,4163xe" filled="false" stroked="true" strokeweight=".194pt" strokecolor="#231f20">
              <v:path arrowok="t"/>
              <v:stroke dashstyle="solid"/>
            </v:shape>
            <v:shape style="position:absolute;left:2183;top:4063;width:65;height:120" id="docshape336" coordorigin="2183,4064" coordsize="65,120" path="m2247,4088l2243,4077,2231,4066,2215,4064,2196,4075,2183,4100,2183,4130,2193,4160,2213,4182,2233,4183,2245,4165,2247,4088xe" filled="true" fillcolor="#d1d3d4" stroked="false">
              <v:path arrowok="t"/>
              <v:fill type="solid"/>
            </v:shape>
            <v:shape style="position:absolute;left:2183;top:4063;width:65;height:120" id="docshape337" coordorigin="2183,4064" coordsize="65,120" path="m2212,4133l2232,4142,2243,4140,2246,4123,2247,4088,2243,4077,2231,4066,2215,4064,2196,4075,2183,4100,2183,4130,2193,4160,2213,4182,2233,4183,2245,4165,2240,4144,2212,4133xe" filled="false" stroked="true" strokeweight=".194pt" strokecolor="#231f20">
              <v:path arrowok="t"/>
              <v:stroke dashstyle="solid"/>
            </v:shape>
            <v:shape style="position:absolute;left:2223;top:3175;width:58;height:45" id="docshape338" coordorigin="2223,3176" coordsize="58,45" path="m2281,3205l2280,3196,2277,3183,2261,3176,2244,3178,2232,3186,2226,3194,2223,3198,2239,3196,2249,3198,2258,3205,2271,3221,2278,3212,2281,3205xe" filled="true" fillcolor="#a7a9ac" stroked="false">
              <v:path arrowok="t"/>
              <v:fill type="solid"/>
            </v:shape>
            <v:shape style="position:absolute;left:2231;top:4095;width:94;height:84" id="docshape339" coordorigin="2231,4096" coordsize="94,84" path="m2325,4126l2312,4115,2270,4096,2239,4104,2231,4123,2240,4145,2257,4162,2270,4169,2270,4137,2303,4132,2303,4133,2312,4132,2325,4126xm2303,4133l2303,4132,2270,4137,2303,4133xm2303,4147l2303,4133,2270,4137,2270,4169,2284,4177,2297,4180,2302,4170,2303,4147xe" filled="true" fillcolor="#d3d4d6" stroked="false">
              <v:path arrowok="t"/>
              <v:fill type="solid"/>
            </v:shape>
            <v:shape style="position:absolute;left:2231;top:4095;width:94;height:84" id="docshape340" coordorigin="2231,4096" coordsize="94,84" path="m2270,4137l2312,4132,2325,4126,2312,4115,2270,4096,2239,4104,2231,4123,2240,4145,2257,4162,2284,4177,2297,4180,2302,4170,2303,4147,2303,4132,2270,4137xe" filled="false" stroked="true" strokeweight=".194pt" strokecolor="#231f20">
              <v:path arrowok="t"/>
              <v:stroke dashstyle="solid"/>
            </v:shape>
            <v:shape style="position:absolute;left:2182;top:4015;width:99;height:93" id="docshape341" coordorigin="2182,4015" coordsize="99,93" path="m2281,4096l2277,4083,2270,4071,2264,4063,2231,4024,2207,4015,2205,4015,2189,4021,2182,4030,2190,4080,2196,4103,2205,4107,2205,4047,2233,4069,2245,4082,2245,4086,2264,4105,2275,4106,2278,4104,2281,4096xm2245,4082l2233,4069,2205,4047,2244,4085,2245,4082xm2244,4085l2205,4047,2205,4107,2207,4107,2225,4098,2241,4090,2244,4085xm2245,4086l2245,4082,2244,4085,2245,4086xe" filled="true" fillcolor="#d1d3d4" stroked="false">
              <v:path arrowok="t"/>
              <v:fill type="solid"/>
            </v:shape>
            <v:shape style="position:absolute;left:2182;top:4015;width:412;height:176" id="docshape342" coordorigin="2182,4015" coordsize="412,176" path="m2225,4098l2207,4107,2196,4103,2190,4080,2182,4030,2189,4021,2206,4015,2231,4024,2264,4063,2270,4071,2277,4083,2281,4096,2278,4104,2275,4106,2264,4105,2247,4088,2237,4078,2223,4064,2211,4052,2205,4047,2233,4069,2245,4082,2241,4090,2225,4098xm2526,4104l2526,4116,2526,4116,2538,4116m2518,4136l2517,4149,2517,4149,2531,4149m2494,4173l2496,4191,2496,4191,2511,4191m2594,4069l2594,4064,2586,4055,2568,4055,2550,4055,2536,4063,2536,4068,2536,4073,2550,4072,2568,4072,2586,4072,2594,4071,2594,4069xe" filled="false" stroked="true" strokeweight=".194pt" strokecolor="#231f20">
              <v:path arrowok="t"/>
              <v:stroke dashstyle="solid"/>
            </v:shape>
            <v:shape style="position:absolute;left:2594;top:3987;width:904;height:278" id="docshape343" coordorigin="2594,3987" coordsize="904,278" path="m3497,4119l3263,3987,3263,4069,3117,4096,2998,4105,2845,4096,2594,4069,2745,4170,2864,4216,3016,4217,3263,4183,3263,4265,3497,4119xe" filled="true" fillcolor="#cecfd1" stroked="false">
              <v:path arrowok="t"/>
              <v:fill type="solid"/>
            </v:shape>
            <v:shape style="position:absolute;left:2594;top:3987;width:904;height:278" id="docshape344" coordorigin="2594,3987" coordsize="904,278" path="m2594,4069l2845,4096,2998,4105,3117,4096,3263,4069,3263,3987,3497,4119,3263,4265,3263,4183,3016,4217,2864,4216,2745,4170,2594,4069xe" filled="false" stroked="true" strokeweight=".194pt" strokecolor="#231f20">
              <v:path arrowok="t"/>
              <v:stroke dashstyle="solid"/>
            </v:shape>
            <v:shape style="position:absolute;left:1669;top:3185;width:35;height:68" id="docshape345" coordorigin="1670,3185" coordsize="35,68" path="m1705,3185l1690,3211,1681,3227,1676,3238,1670,3252e" filled="false" stroked="true" strokeweight=".194pt" strokecolor="#231f20">
              <v:path arrowok="t"/>
              <v:stroke dashstyle="solid"/>
            </v:shape>
            <v:line style="position:absolute" from="1809,3141" to="1759,3150" stroked="true" strokeweight=".194pt" strokecolor="#231f20">
              <v:stroke dashstyle="solid"/>
            </v:line>
            <v:line style="position:absolute" from="1827,3191" to="1784,3194" stroked="true" strokeweight=".194pt" strokecolor="#231f20">
              <v:stroke dashstyle="solid"/>
            </v:line>
            <v:shape style="position:absolute;left:1842;top:3230;width:2;height:2" id="docshape346" coordorigin="1842,3230" coordsize="0,0" path="m1842,3230e" filled="true" fillcolor="#ffffff" stroked="false">
              <v:path arrowok="t"/>
              <v:fill type="solid"/>
            </v:shape>
            <v:line style="position:absolute" from="1842,3230" to="1801,3229" stroked="true" strokeweight=".194pt" strokecolor="#231f20">
              <v:stroke dashstyle="solid"/>
            </v:line>
            <v:shape style="position:absolute;left:1886;top:3279;width:164;height:118" id="docshape347" coordorigin="1886,3280" coordsize="164,118" path="m2050,3397l1886,3280e" filled="true" fillcolor="#8c8e91" stroked="false">
              <v:path arrowok="t"/>
              <v:fill type="solid"/>
            </v:shape>
            <v:line style="position:absolute" from="1886,3280" to="2050,3397" stroked="true" strokeweight=".194pt" strokecolor="#231f20">
              <v:stroke dashstyle="solid"/>
            </v:line>
            <v:shape style="position:absolute;left:1938;top:3416;width:37;height:22" id="docshape348" coordorigin="1939,3417" coordsize="37,22" path="m1975,3438l1939,3417e" filled="true" fillcolor="#8c8e91" stroked="false">
              <v:path arrowok="t"/>
              <v:fill type="solid"/>
            </v:shape>
            <v:line style="position:absolute" from="1939,3417" to="1975,3438" stroked="true" strokeweight=".194pt" strokecolor="#231f20">
              <v:stroke dashstyle="solid"/>
            </v:line>
            <v:line style="position:absolute" from="1737,3234" to="1712,3287" stroked="true" strokeweight=".194pt" strokecolor="#231f20">
              <v:stroke dashstyle="solid"/>
            </v:line>
            <v:shape style="position:absolute;left:1603;top:3310;width:166;height:74" id="docshape349" coordorigin="1604,3310" coordsize="166,74" path="m1769,3384l1706,3383,1653,3357,1617,3325,1604,3310e" filled="false" stroked="true" strokeweight=".194pt" strokecolor="#231f20">
              <v:path arrowok="t"/>
              <v:stroke dashstyle="solid"/>
            </v:shape>
            <v:shape style="position:absolute;left:1654;top:3354;width:118;height:32" id="docshape350" coordorigin="1654,3354" coordsize="118,32" path="m1772,3360l1734,3369,1709,3371,1686,3366,1654,3354,1668,3369,1679,3378,1692,3382,1714,3385,1739,3386,1757,3385,1768,3382,1771,3381,1772,3360xe" filled="true" fillcolor="#c7c8ca" stroked="false">
              <v:path arrowok="t"/>
              <v:fill type="solid"/>
            </v:shape>
            <v:shape style="position:absolute;left:1654;top:3354;width:118;height:32" id="docshape351" coordorigin="1654,3354" coordsize="118,32" path="m1771,3381l1772,3360,1734,3369,1709,3371,1686,3366,1654,3354,1668,3369,1679,3378,1692,3382,1714,3385,1739,3386,1757,3385,1768,3382,1771,3381xm1752,3363l1741,3376,1730,3380,1714,3376,1686,3363e" filled="false" stroked="true" strokeweight=".194pt" strokecolor="#231f20">
              <v:path arrowok="t"/>
              <v:stroke dashstyle="solid"/>
            </v:shape>
            <v:shape style="position:absolute;left:3130;top:5267;width:213;height:186" type="#_x0000_t75" id="docshape352" stroked="false">
              <v:imagedata r:id="rId111" o:title=""/>
            </v:shape>
            <v:shape style="position:absolute;left:2120;top:3420;width:446;height:383" type="#_x0000_t75" id="docshape353" stroked="false">
              <v:imagedata r:id="rId112" o:title=""/>
            </v:shape>
            <v:shape style="position:absolute;left:2245;top:3371;width:224;height:383" type="#_x0000_t75" id="docshape354" stroked="false">
              <v:imagedata r:id="rId113" o:title=""/>
            </v:shape>
            <v:shape style="position:absolute;left:2493;top:2599;width:509;height:1186" id="docshape355" coordorigin="2494,2600" coordsize="509,1186" path="m3002,2625l3001,2607,2989,2600,2958,2604,2898,2617,2831,2884,2820,2922,2795,3011,2764,3113,2734,3188,2711,3233,2678,3311,2614,3476,2494,3785,2592,3785,2606,3744,3002,2625xe" filled="true" fillcolor="#949698" stroked="false">
              <v:path arrowok="t"/>
              <v:fill type="solid"/>
            </v:shape>
            <v:shape style="position:absolute;left:2493;top:2599;width:509;height:1186" id="docshape356" coordorigin="2494,2600" coordsize="509,1186" path="m3002,2625l2773,3273,2654,3610,2606,3744,2592,3785,2494,3785,2614,3476,2678,3311,2711,3233,2734,3188,2764,3113,2795,3011,2820,2922,2831,2884,2898,2617,2958,2604,2989,2600,3001,2607,3002,2625xe" filled="false" stroked="true" strokeweight=".194pt" strokecolor="#231f20">
              <v:path arrowok="t"/>
              <v:stroke dashstyle="solid"/>
            </v:shape>
            <v:shape style="position:absolute;left:2872;top:2548;width:186;height:83" id="docshape357" coordorigin="2872,2548" coordsize="186,83" path="m3058,2599l2902,2548,2892,2550,2882,2556,2876,2567,2872,2580,2872,2582,2873,2595,2878,2606,2885,2615,2895,2618,3028,2631,3038,2629,3047,2623,3054,2612,3058,2599xe" filled="true" fillcolor="#ffffff" stroked="false">
              <v:path arrowok="t"/>
              <v:fill type="solid"/>
            </v:shape>
            <v:shape style="position:absolute;left:2872;top:2548;width:186;height:83" id="docshape358" coordorigin="2872,2548" coordsize="186,83" path="m3058,2599l3054,2612,3047,2623,3038,2629,3028,2631,2895,2618,2885,2615,2878,2606,2873,2595,2872,2582,2872,2580,2876,2567,2882,2556,2892,2550,2902,2548,3035,2561,3045,2564,3052,2573,3057,2584,3058,2597,3058,2599xe" filled="false" stroked="true" strokeweight=".194pt" strokecolor="#231f20">
              <v:path arrowok="t"/>
              <v:stroke dashstyle="solid"/>
            </v:shape>
            <v:shape style="position:absolute;left:2105;top:3762;width:487;height:229" id="docshape359" coordorigin="2106,3762" coordsize="487,229" path="m2592,3785l2554,3783,2543,3782,2265,3765,2207,3762,2172,3767,2136,3792,2110,3853,2106,3969,2108,3985,2112,3991,2119,3987,2132,3975,2157,3952,2176,3941,2199,3937,2235,3936,2256,3931,2275,3918,2290,3906,2296,3901,2412,3901,2433,3890,2468,3856,2496,3830,2513,3817,2527,3814,2566,3814,2571,3811,2581,3805,2586,3800,2591,3793,2592,3790,2592,3785xm2412,3901l2296,3901,2363,3908,2403,3906,2412,3901xm2566,3814l2527,3814,2545,3817,2565,3815,2566,3814xe" filled="true" fillcolor="#c6c8ca" stroked="false">
              <v:path arrowok="t"/>
              <v:fill type="solid"/>
            </v:shape>
            <v:shape style="position:absolute;left:2105;top:3762;width:489;height:229" type="#_x0000_t75" id="docshape360" stroked="false">
              <v:imagedata r:id="rId114" o:title=""/>
            </v:shape>
            <v:shape style="position:absolute;left:2105;top:3762;width:487;height:229" id="docshape361" coordorigin="2106,3762" coordsize="487,229" path="m2132,3975l2157,3952,2176,3941,2199,3937,2235,3936,2256,3931,2275,3918,2290,3906,2296,3901,2363,3908,2403,3906,2433,3890,2468,3856,2496,3830,2513,3818,2527,3814,2545,3817,2566,3815,2583,3803,2592,3791,2592,3785,2554,3783,2467,3777,2361,3770,2265,3765,2207,3762,2172,3767,2136,3792,2110,3853,2106,3969,2108,3985,2112,3991,2119,3987,2132,3975xm2326,3825l2325,3856,2322,3874,2313,3886,2296,3901e" filled="false" stroked="true" strokeweight=".194pt" strokecolor="#231f20">
              <v:path arrowok="t"/>
              <v:stroke dashstyle="solid"/>
            </v:shape>
            <v:shape style="position:absolute;left:2707;top:3020;width:263;height:269" id="docshape362" coordorigin="2707,3021" coordsize="263,269" path="m2725,3165l2725,3133,2715,3133,2707,3134,2707,3139,2711,3153,2713,3159,2718,3163,2725,3165xm2944,3099l2940,3082,2923,3044,2900,3029,2860,3027,2831,3023,2815,3021,2799,3021,2764,3021,2753,3022,2744,3025,2720,3042,2712,3051,2721,3055,2732,3056,2735,3056,2740,3056,2759,3058,2759,3099,2944,3099xm2740,3168l2740,3100,2733,3100,2731,3098,2728,3098,2727,3098,2715,3099,2714,3105,2713,3127,2713,3128,2715,3131,2725,3133,2725,3165,2730,3166,2740,3168xm2759,3099l2759,3058,2744,3058,2738,3058,2728,3061,2727,3062,2727,3074,2727,3089,2730,3096,2732,3097,2737,3099,2759,3099xm2735,3099l2735,3099,2731,3098,2735,3099xm2740,3100l2737,3099,2735,3099,2731,3098,2733,3100,2740,3100xm2737,3099l2732,3097,2735,3099,2737,3099xm2759,3058l2740,3056,2732,3056,2747,3058,2747,3058,2759,3058xm2747,3058l2732,3056,2744,3058,2747,3058xm2737,3099l2735,3099,2735,3099,2737,3099xm2962,3167l2959,3158,2944,3099,2737,3099,2740,3100,2740,3168,2753,3170,2786,3167,2962,3167xm2747,3058l2747,3058,2744,3058,2747,3058xm2970,3225l2970,3218,2970,3208,2968,3194,2965,3178,2962,3167,2787,3167,2804,3168,2810,3174,2811,3186,2818,3209,2825,3220,2837,3225,2857,3225,2857,3284,2862,3287,2877,3288,2889,3289,2901,3286,2920,3272,2953,3245,2965,3235,2969,3229,2970,3225xm2857,3284l2857,3249,2854,3271,2855,3283,2857,3284xe" filled="true" fillcolor="#b7b9bb" stroked="false">
              <v:path arrowok="t"/>
              <v:fill type="solid"/>
            </v:shape>
            <v:shape style="position:absolute;left:2705;top:3020;width:265;height:268" type="#_x0000_t75" id="docshape363" stroked="false">
              <v:imagedata r:id="rId115" o:title=""/>
            </v:shape>
            <v:shape style="position:absolute;left:2707;top:3017;width:265;height:273" id="docshape364" coordorigin="2707,3017" coordsize="265,273" path="m2969,3229l2972,3214,2971,3202,2968,3185,2959,3158,2940,3082,2923,3044,2900,3029,2860,3027,2807,3020,2778,3017,2760,3019,2744,3025,2716,3044,2708,3054,2722,3058,2713,3128,2716,3133,2725,3133,2713,3131,2707,3132,2707,3139,2711,3153,2713,3159,2718,3163,2730,3166,2753,3170,2786,3167,2804,3168,2810,3174,2811,3186,2818,3209,2825,3220,2837,3225,2857,3225,2857,3249,2854,3271,2855,3283,2862,3287,2877,3288,2889,3289,2901,3286,2920,3272,2953,3245,2965,3235,2969,3229xe" filled="false" stroked="true" strokeweight=".194pt" strokecolor="#231f20">
              <v:path arrowok="t"/>
              <v:stroke dashstyle="solid"/>
            </v:shape>
            <v:line style="position:absolute" from="2759,3058" to="2846,3070" stroked="true" strokeweight=".194pt" strokecolor="#231f20">
              <v:stroke dashstyle="solid"/>
            </v:line>
            <v:shape style="position:absolute;left:2740;top:3100;width:2;height:2" id="docshape365" coordorigin="2740,3100" coordsize="0,0" path="m2740,3100e" filled="true" fillcolor="#ffffff" stroked="false">
              <v:path arrowok="t"/>
              <v:fill type="solid"/>
            </v:shape>
            <v:line style="position:absolute" from="2740,3100" to="2821,3110" stroked="true" strokeweight=".194pt" strokecolor="#231f20">
              <v:stroke dashstyle="solid"/>
            </v:line>
            <v:line style="position:absolute" from="2725,3133" to="2779,3138" stroked="true" strokeweight=".194pt" strokecolor="#231f20">
              <v:stroke dashstyle="solid"/>
            </v:line>
            <v:line style="position:absolute" from="2895,3108" to="2921,3162" stroked="true" strokeweight=".194pt" strokecolor="#231f20">
              <v:stroke dashstyle="solid"/>
            </v:line>
            <v:line style="position:absolute" from="2865,3145" to="2887,3179" stroked="true" strokeweight=".194pt" strokecolor="#231f20">
              <v:stroke dashstyle="solid"/>
            </v:line>
            <v:shape style="position:absolute;left:9451;top:5261;width:259;height:660" id="docshape366" coordorigin="9451,5262" coordsize="259,660" path="m9710,5292l9700,5274,9690,5266,9671,5262,9638,5262,9604,5262,9544,5365,9519,5458,9500,5542,9486,5617,9477,5683,9473,5773,9464,5849,9455,5901,9451,5921,9488,5852,9512,5808,9536,5769,9569,5717,9593,5666,9618,5607,9642,5540,9666,5466,9689,5383,9710,5292xe" filled="true" fillcolor="#58595b" stroked="false">
              <v:path arrowok="t"/>
              <v:fill type="solid"/>
            </v:shape>
            <v:shape style="position:absolute;left:9576;top:4789;width:188;height:507" id="docshape367" coordorigin="9577,4790" coordsize="188,507" path="m9764,4803l9665,4790,9655,4896,9645,4974,9629,5066,9615,5132,9599,5194,9577,5264,9590,5261,9600,5260,9616,5261,9644,5263,9674,5269,9694,5281,9706,5291,9709,5296,9723,5225,9735,5150,9745,5070,9754,4985,9760,4896,9764,4803xe" filled="true" fillcolor="#808285" stroked="false">
              <v:path arrowok="t"/>
              <v:fill type="solid"/>
            </v:shape>
            <v:shape style="position:absolute;left:9554;top:3737;width:211;height:1079" id="docshape368" coordorigin="9554,3737" coordsize="211,1079" path="m9765,4735l9765,4664,9763,4591,9760,4515,9755,4437,9749,4357,9741,4274,9731,4188,9719,4100,9705,4009,9689,3916,9671,3820,9671,3763,9671,3737,9554,3753,9567,3790,9581,3826,9585,3838,9594,3863,9613,3929,9632,4019,9645,4095,9655,4180,9662,4251,9668,4336,9673,4441,9674,4562,9672,4656,9668,4736,9666,4777,9667,4777,9714,4816,9730,4814,9746,4810,9764,4803,9765,4735xe" filled="true" fillcolor="#a7a9ac" stroked="false">
              <v:path arrowok="t"/>
              <v:fill type="solid"/>
            </v:shape>
            <v:shape style="position:absolute;left:9478;top:3005;width:194;height:827" id="docshape369" coordorigin="9478,3006" coordsize="194,827" path="m9672,3801l9671,3724,9666,3635,9656,3543,9641,3455,9620,3377,9593,3319,9586,3290,9583,3262,9584,3228,9593,3180,9608,3107,9615,3064,9618,3036,9618,3006,9613,3057,9597,3078,9560,3074,9489,3047,9480,3161,9479,3183,9478,3415,9489,3551,9520,3668,9581,3826,9594,3830,9604,3832,9614,3831,9630,3829,9649,3822,9662,3813,9670,3804,9672,3801xe" filled="true" fillcolor="#d1d3d4" stroked="false">
              <v:path arrowok="t"/>
              <v:fill type="solid"/>
            </v:shape>
            <v:shape style="position:absolute;left:9451;top:5683;width:119;height:238" type="#_x0000_t75" id="docshape370" stroked="false">
              <v:imagedata r:id="rId116" o:title=""/>
            </v:shape>
            <v:shape style="position:absolute;left:9347;top:3042;width:397;height:2881" type="#_x0000_t75" id="docshape371" stroked="false">
              <v:imagedata r:id="rId117" o:title=""/>
            </v:shape>
            <v:shape style="position:absolute;left:9347;top:3538;width:324;height:1662" type="#_x0000_t75" id="docshape372" stroked="false">
              <v:imagedata r:id="rId118" o:title=""/>
            </v:shape>
            <v:shape style="position:absolute;left:8927;top:2361;width:1094;height:3562" type="#_x0000_t75" id="docshape373" stroked="false">
              <v:imagedata r:id="rId119" o:title=""/>
            </v:shape>
            <v:shape style="position:absolute;left:8964;top:2523;width:149;height:166" type="#_x0000_t75" id="docshape374" stroked="false">
              <v:imagedata r:id="rId120" o:title=""/>
            </v:shape>
            <v:shape style="position:absolute;left:9204;top:2385;width:195;height:189" type="#_x0000_t75" id="docshape375" stroked="false">
              <v:imagedata r:id="rId121" o:title=""/>
            </v:shape>
            <v:shape style="position:absolute;left:9759;top:2456;width:167;height:215" type="#_x0000_t75" id="docshape376" stroked="false">
              <v:imagedata r:id="rId122" o:title=""/>
            </v:shape>
            <v:shape style="position:absolute;left:9514;top:2787;width:215;height:167" type="#_x0000_t75" id="docshape377" stroked="false">
              <v:imagedata r:id="rId123" o:title=""/>
            </v:shape>
            <v:shape style="position:absolute;left:9229;top:2553;width:195;height:189" type="#_x0000_t75" id="docshape378" stroked="false">
              <v:imagedata r:id="rId124" o:title=""/>
            </v:shape>
            <v:shape style="position:absolute;left:9682;top:2923;width:208;height:177" type="#_x0000_t75" id="docshape379" stroked="false">
              <v:imagedata r:id="rId125" o:title=""/>
            </v:shape>
            <v:shape style="position:absolute;left:9062;top:2780;width:218;height:163" type="#_x0000_t75" id="docshape380" stroked="false">
              <v:imagedata r:id="rId126" o:title=""/>
            </v:shape>
            <v:shape style="position:absolute;left:9478;top:2594;width:218;height:163" type="#_x0000_t75" id="docshape381" stroked="false">
              <v:imagedata r:id="rId127" o:title=""/>
            </v:shape>
            <v:shape style="position:absolute;left:3710;top:3991;width:734;height:140" id="docshape382" coordorigin="3711,3991" coordsize="734,140" path="m3785,4015l3769,3999,3756,3991,3740,3991,3724,3996,3711,4002,3782,4061,3784,4062,3784,4020,3785,4015xm4225,4111l4027,4111,4010,4104,3940,4104,3921,4087,3900,4078,3883,4075,3876,4075,3860,4058,3842,4050,3827,4048,3821,4048,3819,4039,3813,4020,3784,4020,3784,4062,3832,4093,3887,4110,3969,4123,4049,4130,4123,4129,4193,4120,4225,4111xm4010,4104l4000,4100,3972,4099,3949,4102,3940,4104,4010,4104xm4108,4111l4082,4104,4056,4105,4035,4109,4027,4111,4108,4111xm4254,4103l4166,4103,4143,4100,4125,4104,4112,4109,4108,4111,4225,4111,4254,4103xm4274,4097l4194,4097,4176,4093,4166,4103,4254,4103,4262,4101,4274,4097xm4299,4087l4226,4087,4197,4082,4194,4097,4274,4097,4299,4087xm4291,4087l4291,4061,4263,4059,4257,4075,4236,4075,4228,4079,4226,4084,4227,4087,4291,4087xm4442,4057l4432,4048,4307,4048,4307,4048,4287,4045,4291,4061,4405,4061,4427,4057,4442,4057xm4405,4061l4291,4061,4291,4061,4291,4087,4299,4087,4331,4074,4405,4061xm4370,4048l4362,4043,4345,4043,4325,4039,4314,4041,4308,4045,4307,4048,4370,4048xm4362,4043l4354,4038,4345,4043,4362,4043xm4432,4048l4427,4043,4402,4041,4380,4045,4371,4048,4432,4048xm4444,4059l4442,4057,4427,4057,4444,4059xe" filled="true" fillcolor="#c6c8ca" stroked="false">
              <v:path arrowok="t"/>
              <v:fill type="solid"/>
            </v:shape>
            <v:shape style="position:absolute;left:3710;top:3990;width:730;height:141" type="#_x0000_t75" id="docshape383" stroked="false">
              <v:imagedata r:id="rId128" o:title=""/>
            </v:shape>
            <v:shape style="position:absolute;left:3699;top:3996;width:693;height:149" id="docshape384" coordorigin="3700,3997" coordsize="693,149" path="m4392,4051l4388,4047,4366,4052,4319,4067,4214,4110,4115,4128,4024,4128,3943,4114,3871,4090,3812,4063,3737,4015,3723,4005,3709,3997,3754,4060,3822,4100,3902,4126,3987,4141,4075,4146,4160,4141,4237,4129,4304,4111,4354,4089,4385,4063,4392,4051xe" filled="true" fillcolor="#e5e6e7" stroked="false">
              <v:path arrowok="t"/>
              <v:fill type="solid"/>
            </v:shape>
            <v:shape style="position:absolute;left:3699;top:3996;width:693;height:149" id="docshape385" coordorigin="3700,3997" coordsize="693,149" path="m3700,4007l3709,3997,3723,4005,3737,4015,3812,4063,3871,4090,3943,4114,4024,4128,4115,4128,4214,4110,4319,4067,4366,4052,4388,4047,4392,4051,4385,4063,4304,4111,4237,4129,4160,4141,4075,4146,3987,4141,3902,4126,3822,4100,3754,4060,3700,4007xe" filled="false" stroked="true" strokeweight=".339pt" strokecolor="#231f20">
              <v:path arrowok="t"/>
              <v:stroke dashstyle="solid"/>
            </v:shape>
            <v:shape style="position:absolute;left:3812;top:2502;width:497;height:577" id="docshape386" coordorigin="3812,2503" coordsize="497,577" path="m4029,2555l4029,2503,3989,2503,3986,2537,3980,2557,3974,2565,3971,2567,3947,2577,3934,2584,3930,2594,3929,2609,3902,2593,3886,2588,3874,2595,3859,2615,3859,2694,3854,2680,3827,2680,3821,2680,3812,2692,3814,2702,3819,2711,3822,2715,3835,2728,3859,2718,3859,2741,3859,2745,3859,2969,3914,3024,4008,3062,4028,3065,4028,2569,4029,2555xm3859,2969l3859,2745,3859,2755,3855,2754,3849,2760,3847,2765,3845,2769,3827,2845,3829,2903,3839,2941,3845,2955,3859,2969xm4088,2525l4077,2516,4064,2519,4058,2528,4057,2552,4056,2564,4051,2568,4043,2569,4028,2569,4028,3065,4086,3076,4086,2551,4088,2525xm4118,2558l4112,2541,4098,2540,4089,2547,4087,2549,4086,2551,4086,3076,4092,3077,4095,3077,4095,2593,4100,2578,4101,2576,4104,2573,4109,2568,4118,2558xm4188,2638l4184,2626,4178,2617,4171,2611,4162,2609,4153,2611,4151,2612,4148,2612,4147,2613,4136,2616,4122,2619,4111,2614,4099,2608,4095,2593,4095,3077,4123,3079,4123,2700,4133,2684,4147,2672,4163,2662,4181,2656,4188,2650,4188,2638xm4165,2700l4159,2693,4144,2693,4130,2697,4123,2700,4123,3079,4128,3080,4164,3079,4164,2709,4165,2700xm4205,2759l4205,2710,4186,2716,4170,2716,4164,2714,4164,2709,4164,3079,4169,3079,4169,2766,4176,2759,4205,2759xm4309,3005l4305,2986,4252,2870,4209,2803,4180,2773,4169,2766,4169,3079,4250,3078,4300,3045,4309,3005xe" filled="true" fillcolor="#c9cbcc" stroked="false">
              <v:path arrowok="t"/>
              <v:fill type="solid"/>
            </v:shape>
            <v:shape style="position:absolute;left:3812;top:2502;width:497;height:577" id="docshape387" coordorigin="3812,2503" coordsize="497,577" path="m4104,2573l4109,2568,4118,2558,4115,2551,4112,2541,4098,2540,4091,2546,4089,2547,4087,2549,4086,2551,4088,2525,4077,2516,4064,2519,4058,2528,4057,2552,4056,2564,4051,2568,4043,2569,4028,2569,4029,2555,4029,2555,4029,2503,3989,2503,3986,2537,3980,2557,3974,2565,3971,2567,3947,2577,3934,2584,3930,2594,3929,2609,3902,2593,3886,2588,3874,2595,3859,2615,3859,2706,3859,2694,3854,2680,3840,2680,3832,2680,3821,2680,3816,2686,3812,2692,3814,2702,3817,2707,3819,2711,3822,2715,3825,2718,3835,2728,3859,2718,3859,2718,3859,2724,3859,2730,3859,2737,3859,2741,3859,2745,3859,2749,3859,2755,3855,2754,3852,2757,3849,2760,3847,2765,3845,2769,3827,2845,3829,2903,3839,2941,3845,2955,3914,3024,4008,3062,4092,3077,4128,3080,4250,3078,4300,3045,4309,3005,4305,2986,4252,2870,4209,2803,4180,2773,4169,2766,4176,2759,4191,2759,4205,2759,4205,2734,4205,2710,4186,2716,4186,2716,4170,2716,4164,2714,4164,2709,4165,2700,4159,2693,4144,2693,4130,2697,4123,2700,4133,2684,4147,2672,4163,2662,4181,2656,4188,2650,4188,2638,4184,2626,4178,2617,4171,2611,4162,2609,4153,2611,4151,2612,4148,2612,4147,2613,4136,2616,4122,2619,4111,2614,4099,2608,4095,2593,4099,2581,4100,2578,4101,2576,4104,2573xm3898,2625l3877,2623,3865,2620,3860,2616,3859,2615,3859,2749,3871,2756,3879,2763,3884,2776,3891,2800,3896,2808,3903,2810,3912,2804,3919,2788,3927,2759,3944,2759,3944,2759,3928,2750,3921,2731,3922,2689,3929,2609,3931,2618,3928,2623,3918,2625,3898,2625xe" filled="false" stroked="true" strokeweight=".485pt" strokecolor="#231f20">
              <v:path arrowok="t"/>
              <v:stroke dashstyle="solid"/>
            </v:shape>
            <v:shape style="position:absolute;left:3909;top:2611;width:397;height:460" type="#_x0000_t75" id="docshape388" stroked="false">
              <v:imagedata r:id="rId129" o:title=""/>
            </v:shape>
            <v:shape style="position:absolute;left:3835;top:2680;width:19;height:42" id="docshape389" coordorigin="3836,2680" coordsize="19,42" path="m3836,2680l3849,2691,3855,2700,3853,2708,3846,2722e" filled="false" stroked="true" strokeweight=".485pt" strokecolor="#231f20">
              <v:path arrowok="t"/>
              <v:stroke dashstyle="solid"/>
            </v:shape>
            <v:shape style="position:absolute;left:3563;top:3407;width:1033;height:467" id="docshape390" coordorigin="3563,3407" coordsize="1033,467" path="m4596,3496l4596,3488,4595,3487,4594,3485,4587,3477,4575,3471,4563,3467,4552,3463,4545,3461,4536,3458,4517,3452,4514,3451,4501,3449,4496,3447,4466,3447,4453,3446,4247,3446,4232,3446,4185,3446,4170,3445,4156,3444,4152,3443,4149,3443,4145,3443,4087,3433,4064,3430,4016,3422,3987,3418,3940,3412,3907,3410,3862,3407,3830,3408,3784,3411,3754,3415,3711,3427,3685,3437,3646,3461,3628,3475,3586,3532,3585,3533,3569,3580,3563,3609,3569,3635,3585,3669,3599,3719,3600,3774,3600,3865,3608,3874,3625,3863,3656,3833,3739,3786,3792,3763,3836,3759,3976,3759,3988,3753,4036,3718,4044,3701,4065,3693,4115,3692,4269,3692,4291,3686,4319,3661,4359,3613,4374,3591,4387,3580,4405,3576,4435,3575,4479,3567,4524,3547,4563,3524,4588,3505,4591,3501,4596,3496xm3600,3865l3600,3774,3595,3817,3592,3835,3599,3864,3600,3865xm3976,3759l3836,3759,3895,3767,3931,3773,3957,3769,3976,3759xm4269,3692l4115,3692,4122,3693,4269,3692xm4269,3692l4122,3693,4212,3697,4259,3695,4269,3692xm4453,3446l4443,3446,4405,3446,4399,3446,4398,3446,4385,3445,4358,3442,4338,3441,4315,3442,4291,3444,4270,3446,4248,3446,4453,3446xm4443,3446l4418,3446,4407,3446,4443,3446xm4496,3447l4489,3443,4466,3447,4496,3447xe" filled="true" fillcolor="#c5c6c8" stroked="false">
              <v:path arrowok="t"/>
              <v:fill type="solid"/>
            </v:shape>
            <v:shape style="position:absolute;left:3563;top:3406;width:1033;height:468" type="#_x0000_t75" id="docshape391" stroked="false">
              <v:imagedata r:id="rId130" o:title=""/>
            </v:shape>
            <v:shape style="position:absolute;left:3563;top:3407;width:1036;height:467" id="docshape392" coordorigin="3563,3407" coordsize="1036,467" path="m4511,3451l4501,3449,4489,3443,4478,3445,4463,3446,4448,3446,4433,3446,4418,3446,4398,3446,4378,3444,4358,3442,4338,3441,4315,3442,4293,3444,4270,3446,4247,3446,4224,3446,4201,3446,4179,3446,4156,3444,4152,3443,4149,3443,4145,3443,4087,3433,4021,3422,3949,3413,3876,3407,3804,3408,3735,3418,3674,3441,3623,3478,3585,3533,3563,3609,3569,3635,3585,3669,3599,3719,3600,3774,3595,3817,3592,3835,3599,3864,3608,3874,3625,3863,3656,3833,3739,3786,3792,3763,3836,3759,3895,3767,3931,3773,3957,3769,3988,3753,4036,3718,4044,3701,4065,3693,4115,3692,4212,3697,4259,3695,4291,3686,4319,3661,4359,3613,4374,3591,4387,3580,4405,3576,4435,3575,4479,3567,4563,3524,4598,3492,4594,3485,4587,3477,4575,3471,4563,3467,4552,3463,4545,3461,4538,3458,4531,3456,4527,3455,4523,3454,4519,3452,4517,3452,4514,3451,4511,3451xe" filled="false" stroked="true" strokeweight=".485pt" strokecolor="#231f20">
              <v:path arrowok="t"/>
              <v:stroke dashstyle="solid"/>
            </v:shape>
            <v:shape style="position:absolute;left:4585;top:2741;width:268;height:199" type="#_x0000_t75" id="docshape393" stroked="false">
              <v:imagedata r:id="rId131" o:title=""/>
            </v:shape>
            <v:shape style="position:absolute;left:5809;top:3374;width:149;height:220" type="#_x0000_t75" id="docshape394" stroked="false">
              <v:imagedata r:id="rId132" o:title=""/>
            </v:shape>
            <v:shape style="position:absolute;left:5281;top:3613;width:502;height:181" id="docshape395" coordorigin="5281,3613" coordsize="502,181" path="m5783,3655l5783,3626,5780,3613,5771,3615,5754,3629,5730,3646,5710,3656,5683,3659,5640,3661,5560,3656,5502,3657,5460,3661,5430,3663,5387,3663,5363,3665,5350,3668,5340,3675,5287,3725,5281,3762,5306,3785,5342,3792,5493,3793,5653,3767,5737,3744,5771,3711,5783,3655xe" filled="true" fillcolor="#c7c8ca" stroked="false">
              <v:path arrowok="t"/>
              <v:fill type="solid"/>
            </v:shape>
            <v:shape style="position:absolute;left:5281;top:3613;width:502;height:181" id="docshape396" coordorigin="5281,3613" coordsize="502,181" path="m5342,3792l5306,3785,5281,3762,5287,3725,5340,3675,5430,3663,5460,3661,5502,3657,5560,3656,5640,3661,5683,3659,5710,3656,5730,3646,5754,3629,5771,3615,5780,3613,5783,3626,5783,3655,5771,3711,5737,3744,5653,3767,5493,3793,5342,3792xe" filled="false" stroked="true" strokeweight=".485pt" strokecolor="#231f20">
              <v:path arrowok="t"/>
              <v:stroke dashstyle="solid"/>
            </v:shape>
            <v:shape style="position:absolute;left:6077;top:3925;width:282;height:408" type="#_x0000_t75" id="docshape397" stroked="false">
              <v:imagedata r:id="rId133" o:title=""/>
            </v:shape>
            <v:shape style="position:absolute;left:3597;top:3988;width:870;height:1082" type="#_x0000_t75" id="docshape398" stroked="false">
              <v:imagedata r:id="rId134" o:title=""/>
            </v:shape>
            <v:shape style="position:absolute;left:9496;top:2378;width:241;height:362" type="#_x0000_t75" id="docshape399" stroked="false">
              <v:imagedata r:id="rId135" o:title=""/>
            </v:shape>
            <v:shape style="position:absolute;left:9870;top:2590;width:31;height:61" id="docshape400" coordorigin="9871,2591" coordsize="31,61" path="m9878,2591l9871,2626,9871,2644,9880,2651,9902,2651e" filled="false" stroked="true" strokeweight=".194pt" strokecolor="#231f20">
              <v:path arrowok="t"/>
              <v:stroke dashstyle="solid"/>
            </v:shape>
            <v:shape style="position:absolute;left:8995;top:2431;width:242;height:289" type="#_x0000_t75" id="docshape401" stroked="false">
              <v:imagedata r:id="rId136" o:title=""/>
            </v:shape>
            <v:shape style="position:absolute;left:8958;top:2373;width:386;height:478" id="docshape402" coordorigin="8959,2373" coordsize="386,478" path="m9345,2373l9261,2408,9215,2436,9192,2469,9177,2523,9132,2599,9123,2655,9156,2721,9237,2823,9221,2814,9211,2814,9205,2822,9197,2842,9181,2851,9158,2837,9139,2817,9130,2807,9062,2775,9008,2735,8972,2700,8959,2685e" filled="false" stroked="true" strokeweight=".194pt" strokecolor="#231f20">
              <v:path arrowok="t"/>
              <v:stroke dashstyle="solid"/>
            </v:shape>
            <v:shape style="position:absolute;left:9151;top:2365;width:297;height:367" type="#_x0000_t75" id="docshape403" stroked="false">
              <v:imagedata r:id="rId137" o:title=""/>
            </v:shape>
            <v:shape style="position:absolute;left:9486;top:2370;width:169;height:154" type="#_x0000_t75" id="docshape404" stroked="false">
              <v:imagedata r:id="rId138" o:title=""/>
            </v:shape>
            <v:shape style="position:absolute;left:9710;top:2386;width:217;height:255" type="#_x0000_t75" id="docshape405" stroked="false">
              <v:imagedata r:id="rId139" o:title=""/>
            </v:shape>
            <v:shape style="position:absolute;left:9164;top:2511;width:794;height:619" id="docshape406" coordorigin="9165,2511" coordsize="794,619" path="m9705,2782l9741,2803,9764,2811,9785,2806,9813,2789,9846,2776,9876,2772,9901,2770,9921,2760,9931,2744,9932,2732,9927,2723,9924,2716m9542,2808l9608,2869,9663,2897,9736,2896,9856,2875,9876,2844,9893,2831,9917,2837,9958,2858m9714,3104l9666,3052,9637,3031,9615,3035,9587,3060m9650,3051l9639,3017,9646,2999,9681,2993,9755,2992,9791,2986,9814,2977,9831,2957,9853,2921m9784,2983l9847,2989,9880,2995,9892,3004,9894,3021m9165,2954l9234,2960,9272,2959,9291,2945,9304,2916,9298,2886,9308,2872,9347,2871,9425,2879,9468,2890,9492,2894,9506,2890,9519,2879m9304,2916l9409,3011,9473,3045,9519,3020,9574,2939m9391,3129l9442,3076,9448,3038,9400,2997,9289,2935m9554,2511l9531,2533,9516,2549,9502,2563,9481,2584e" filled="false" stroked="true" strokeweight=".194pt" strokecolor="#231f20">
              <v:path arrowok="t"/>
              <v:stroke dashstyle="solid"/>
            </v:shape>
            <v:shape style="position:absolute;left:3844;top:5493;width:277;height:207" type="#_x0000_t75" id="docshape407" stroked="false">
              <v:imagedata r:id="rId140" o:title=""/>
            </v:shape>
            <v:shape style="position:absolute;left:9232;top:2390;width:757;height:498" id="docshape408" coordorigin="9233,2390" coordsize="757,498" path="m9277,2717l9245,2733,9233,2745,9238,2760,9259,2782,9284,2793,9298,2803,9305,2818,9312,2844,9321,2867,9333,2877,9346,2878,9359,2877m9383,2723l9445,2769,9469,2791,9457,2797,9411,2793m9318,2788l9373,2790,9409,2801,9444,2830,9494,2887m9989,2644l9956,2689,9945,2720,9956,2750,9989,2793m9919,2581l9957,2614,9973,2636,9970,2658,9952,2689m9611,2484l9624,2427,9621,2398,9597,2390,9546,2394,9470,2414,9415,2443,9398,2473,9400,2496,9404,2505e" filled="false" stroked="true" strokeweight=".194pt" strokecolor="#231f20">
              <v:path arrowok="t"/>
              <v:stroke dashstyle="solid"/>
            </v:shape>
            <v:shape style="position:absolute;left:9365;top:2414;width:823;height:520" id="docshape409" coordorigin="9365,2414" coordsize="823,520" path="m9377,2934l10188,2635m10188,2414l9365,2853e" filled="false" stroked="true" strokeweight=".485pt" strokecolor="#231f20">
              <v:path arrowok="t"/>
              <v:stroke dashstyle="solid"/>
            </v:shape>
            <v:shape style="position:absolute;left:4153;top:3113;width:363;height:2507" id="docshape410" coordorigin="4153,3113" coordsize="363,2507" path="m4193,5581l4190,5566,4182,5553,4169,5545,4154,5542,4153,5556,4167,5555,4178,5567,4178,5594,4167,5605,4154,5605,4154,5620,4169,5617,4182,5609,4190,5596,4193,5581xm4242,3114l4228,3113,4228,3127,4217,3138,4189,3138,4178,3127,4178,3114,4163,3114,4166,3129,4175,3142,4187,3150,4203,3153,4218,3150,4230,3142,4239,3129,4242,3114xm4516,3408l4513,3393,4504,3380,4492,3372,4476,3369,4461,3372,4449,3380,4440,3393,4437,3408,4451,3409,4451,3395,4462,3384,4490,3384,4501,3395,4501,3409,4516,3408xe" filled="true" fillcolor="#a7a9ac" stroked="false">
              <v:path arrowok="t"/>
              <v:fill type="solid"/>
            </v:shape>
            <v:shape style="position:absolute;left:9541;top:3052;width:197;height:139" type="#_x0000_t75" id="docshape411" stroked="false">
              <v:imagedata r:id="rId141" o:title=""/>
            </v:shape>
            <v:shape style="position:absolute;left:9445;top:3045;width:40;height:148" id="docshape412" coordorigin="9445,3045" coordsize="40,148" path="m9475,3193l9452,3149,9445,3120,9456,3089,9485,3045e" filled="false" stroked="true" strokeweight=".194pt" strokecolor="#231f20">
              <v:path arrowok="t"/>
              <v:stroke dashstyle="solid"/>
            </v:shape>
            <v:shape style="position:absolute;left:9480;top:3299;width:194;height:541" type="#_x0000_t75" id="docshape413" stroked="false">
              <v:imagedata r:id="rId142" o:title=""/>
            </v:shape>
            <v:shape style="position:absolute;left:9493;top:3896;width:272;height:1708" id="docshape414" coordorigin="9494,3896" coordsize="272,1708" path="m9608,3909l9635,3920,9652,3922,9667,3914,9686,3896m9626,3983l9658,3992,9676,3994,9687,3986,9699,3968m9639,4060l9666,4066,9683,4066,9695,4061,9710,4047m9650,4140l9677,4155,9693,4158,9706,4149,9721,4127m9659,4221l9684,4229,9699,4230,9713,4222,9732,4204m9664,4293l9688,4314,9704,4321,9719,4314,9741,4293m9670,4370l9701,4395,9719,4404,9733,4395,9749,4370m9674,4532l9699,4556,9717,4565,9734,4556,9760,4532m9673,4461l9703,4478,9722,4484,9737,4478,9756,4461m9673,4628l9707,4647,9728,4653,9744,4647,9764,4628m9670,4708l9700,4723,9719,4728,9738,4723,9765,4708m9665,4796l9687,4817,9704,4825,9727,4819,9764,4802m9657,4883l9688,4899,9710,4904,9731,4899,9761,4883m9643,4999l9693,4991,9721,4988,9738,4991,9753,4999m9605,5173l9665,5164,9697,5164,9714,5176,9727,5203m9577,5263l9643,5255,9679,5256,9696,5270,9709,5299m9552,5339l9611,5335,9645,5337,9667,5348,9692,5371m9494,5575l9543,5568,9573,5569,9594,5580,9619,5603m9513,5483l9568,5483,9600,5487,9623,5500,9648,5524m9534,5404l9589,5407,9622,5411,9646,5421,9674,5439m9626,5084l9678,5074,9707,5074,9724,5085,9740,5110e" filled="false" stroked="true" strokeweight=".194pt" strokecolor="#231f20">
              <v:path arrowok="t"/>
              <v:stroke dashstyle="solid"/>
            </v:shape>
            <v:shape style="position:absolute;left:9349;top:2906;width:65;height:53" id="docshape415" coordorigin="9350,2907" coordsize="65,53" path="m9415,2950l9378,2907,9368,2907,9359,2912,9353,2920,9350,2930,9351,2939,9356,2949,9367,2955,9384,2959,9402,2959,9415,2955,9415,2950xe" filled="true" fillcolor="#bbbdc0" stroked="false">
              <v:path arrowok="t"/>
              <v:fill type="solid"/>
            </v:shape>
            <v:shape style="position:absolute;left:9349;top:2906;width:66;height:53" type="#_x0000_t75" id="docshape416" stroked="false">
              <v:imagedata r:id="rId143" o:title=""/>
            </v:shape>
            <v:shape style="position:absolute;left:9349;top:2906;width:66;height:53" id="docshape417" coordorigin="9350,2907" coordsize="66,53" path="m9359,2912l9368,2907,9378,2907,9388,2909,9396,2916,9403,2926,9410,2938,9415,2949,9415,2955,9402,2959,9384,2959,9367,2955,9356,2949,9351,2939,9350,2930,9353,2920,9359,2912xe" filled="false" stroked="true" strokeweight=".242pt" strokecolor="#231f20">
              <v:path arrowok="t"/>
              <v:stroke dashstyle="solid"/>
            </v:shape>
            <v:rect style="position:absolute;left:6944;top:5289;width:2261;height:634" id="docshape418" filled="true" fillcolor="#ffffff" stroked="false">
              <v:fill type="solid"/>
            </v:rect>
            <v:shape style="position:absolute;left:9434;top:2881;width:203;height:193" type="#_x0000_t75" id="docshape419" stroked="false">
              <v:imagedata r:id="rId144" o:title=""/>
            </v:shape>
            <v:shape style="position:absolute;left:9499;top:2632;width:407;height:346" id="docshape420" coordorigin="9500,2633" coordsize="407,346" path="m9738,2745l9729,2720,9715,2710,9702,2709,9696,2710,9661,2726,9632,2749,9612,2771,9605,2780,9571,2787,9547,2804,9532,2820,9528,2827,9501,2873,9500,2900,9529,2922,9596,2948,9647,2957,9685,2958,9730,2949,9802,2929,9870,2922,9900,2940,9907,2965,9906,2978m9878,2633l9866,2651,9840,2662,9814,2668,9802,2669,9759,2673,9732,2683,9717,2696,9713,2710e" filled="false" stroked="true" strokeweight=".194pt" strokecolor="#231f20">
              <v:path arrowok="t"/>
              <v:stroke dashstyle="solid"/>
            </v:shape>
            <v:shape style="position:absolute;left:9563;top:3271;width:1605;height:2442" id="docshape421" coordorigin="9564,3271" coordsize="1605,2442" path="m9578,3271l11168,3271m9667,3799l11168,3799m9766,4804l11168,4804m9709,5298l11168,5298m9564,5713l11168,5713e" filled="false" stroked="true" strokeweight=".242pt" strokecolor="#231f20">
              <v:path arrowok="t"/>
              <v:stroke dashstyle="solid"/>
            </v:shape>
            <v:shape style="position:absolute;left:3918;top:2754;width:296;height:261" type="#_x0000_t75" id="docshape422" stroked="false">
              <v:imagedata r:id="rId145" o:title=""/>
            </v:shape>
            <v:shape style="position:absolute;left:3673;top:4479;width:21;height:50" id="docshape423" coordorigin="3673,4480" coordsize="21,50" path="m3694,4480l3685,4492,3679,4502,3675,4514,3673,4529,3694,4480xe" filled="true" fillcolor="#e4e5e6" stroked="false">
              <v:path arrowok="t"/>
              <v:fill type="solid"/>
            </v:shape>
            <v:shape style="position:absolute;left:3673;top:3991;width:771;height:539" id="docshape424" coordorigin="3673,3991" coordsize="771,539" path="m3694,4480l3685,4492,3679,4502,3675,4514,3673,4529m3711,4002l3724,3996,3740,3991,3756,3991,3769,3999,3785,4015,3784,4020,3799,4020,3813,4020,3819,4039,3821,4048,3843,4047,3856,4050,3865,4058,3876,4075,3901,4074,3916,4077,3927,4086,3940,4104,3972,4095,3992,4093,4008,4098,4027,4111,4056,4102,4074,4099,4089,4102,4107,4111,4123,4101,4135,4097,4147,4098,4166,4103,4176,4093,4176,4093,4194,4097,4197,4082,4197,4082,4227,4087,4223,4078,4225,4074,4235,4073,4257,4075,4263,4059,4263,4059,4291,4061,4287,4045,4287,4045,4307,4048,4311,4039,4316,4035,4326,4037,4345,4043,4354,4038,4354,4038,4370,4048,4406,4035,4425,4032,4435,4040,4444,4059e" filled="false" stroked="true" strokeweight=".339pt" strokecolor="#231f20">
              <v:path arrowok="t"/>
              <v:stroke dashstyle="solid"/>
            </v:shape>
            <v:shape style="position:absolute;left:9620;top:2994;width:70;height:10" id="docshape425" coordorigin="9620,2995" coordsize="70,10" path="m9620,2995l9632,3001,9650,3004,9671,3004,9689,2999e" filled="false" stroked="true" strokeweight=".194pt" strokecolor="#231f20">
              <v:path arrowok="t"/>
              <v:stroke dashstyle="solid"/>
            </v:shape>
            <v:shape style="position:absolute;left:9290;top:3060;width:175;height:120" id="docshape426" coordorigin="9291,3060" coordsize="175,120" path="m9458,3072l9453,3061,9448,3061,9421,3060,9406,3064,9391,3074,9369,3095,9355,3109,9342,3115,9329,3125,9312,3140,9297,3153,9291,3159,9310,3180,9332,3159,9347,3149,9362,3146,9383,3147,9389,3148,9389,3104,9418,3088,9436,3079,9447,3075,9458,3072xm9446,3100l9442,3090,9415,3099,9401,3103,9394,3104,9389,3104,9389,3148,9401,3151,9401,3116,9423,3109,9435,3105,9441,3103,9446,3100xm9451,3112l9432,3118,9421,3121,9415,3122,9409,3123,9401,3116,9401,3151,9404,3152,9404,3133,9421,3131,9431,3130,9437,3128,9444,3126,9448,3123,9451,3112xm9451,3144l9448,3135,9441,3134,9415,3134,9404,3133,9404,3152,9405,3152,9405,3140,9429,3146,9442,3146,9444,3146,9451,3144xm9466,3163l9463,3151,9456,3164,9447,3163,9446,3163,9438,3159,9429,3151,9418,3144,9405,3140,9405,3152,9406,3152,9422,3160,9435,3167,9445,3170,9457,3170,9466,3163xe" filled="true" fillcolor="#bcbec0" stroked="false">
              <v:path arrowok="t"/>
              <v:fill type="solid"/>
            </v:shape>
            <v:shape style="position:absolute;left:9290;top:3060;width:175;height:120" id="docshape427" coordorigin="9291,3060" coordsize="175,120" path="m9291,3159l9310,3180,9332,3159,9347,3149,9362,3146,9383,3147,9406,3152,9422,3160,9435,3167,9445,3170,9457,3170,9466,3163,9463,3151,9456,3164,9446,3163,9438,3159,9429,3151,9418,3144,9405,3140,9429,3146,9443,3146,9451,3144,9448,3135,9441,3134,9428,3134,9415,3134,9404,3133,9451,3112,9432,3118,9421,3121,9415,3122,9409,3123,9401,3116,9423,3109,9435,3105,9441,3103,9446,3100,9442,3090,9415,3098,9401,3103,9394,3104,9389,3104,9418,3088,9436,3079,9447,3075,9458,3072,9453,3061,9445,3060,9421,3060,9406,3064,9391,3074,9369,3095,9355,3109,9342,3115,9329,3125,9312,3140,9297,3153,9291,3159xe" filled="false" stroked="true" strokeweight=".242pt" strokecolor="#231f20">
              <v:path arrowok="t"/>
              <v:stroke dashstyle="solid"/>
            </v:shape>
            <v:shape style="position:absolute;left:9394;top:2873;width:172;height:121" type="#_x0000_t75" id="docshape428" stroked="false">
              <v:imagedata r:id="rId146" o:title=""/>
            </v:shape>
            <v:shape style="position:absolute;left:9927;top:2724;width:59;height:62" id="docshape429" coordorigin="9927,2724" coordsize="59,62" path="m9927,2724l9940,2744,9950,2756,9964,2769,9986,2786e" filled="false" stroked="true" strokeweight=".242pt" strokecolor="#231f20">
              <v:path arrowok="t"/>
              <v:stroke dashstyle="solid"/>
            </v:shape>
            <v:shape style="position:absolute;left:9439;top:2766;width:174;height:30" id="docshape430" coordorigin="9440,2767" coordsize="174,30" path="m9440,2779l9445,2786,9451,2793,9463,2796,9481,2794,9493,2791,9505,2788,9516,2786,9524,2785,9542,2787,9551,2786,9556,2780,9559,2767,9577,2776,9589,2779,9599,2776,9613,2767e" filled="false" stroked="true" strokeweight=".194pt" strokecolor="#231f20">
              <v:path arrowok="t"/>
              <v:stroke dashstyle="solid"/>
            </v:shape>
            <v:shape style="position:absolute;left:8957;top:2518;width:380;height:444" type="#_x0000_t75" id="docshape431" stroked="false">
              <v:imagedata r:id="rId147" o:title=""/>
            </v:shape>
            <v:shape style="position:absolute;left:4338;top:2987;width:5237;height:1474" id="docshape432" coordorigin="4339,2987" coordsize="5237,1474" path="m4379,3028l4377,3012,4368,3000,4356,2991,4341,2987,4340,3001,4354,3001,4365,3013,4364,3040,4352,3051,4339,3051,4339,3066,4354,3063,4367,3055,4376,3043,4379,3028xm4450,4417l4445,4403,4435,4391,4426,4402,4433,4409,4436,4418,4435,4428,4430,4437,4423,4443,4414,4446,4404,4445,4395,4441,4386,4453,4400,4460,4415,4461,4430,4456,4442,4446,4449,4432,4450,4417xm4680,3502l4678,3486,4670,3474,4657,3465,4642,3461,4641,3475,4655,3476,4666,3487,4665,3515,4653,3525,4640,3525,4640,3540,4655,3537,4668,3529,4677,3517,4680,3502xm5530,3827l5516,3826,5515,3840,5504,3851,5476,3850,5466,3839,5466,3825,5451,3825,5454,3840,5462,3853,5474,3862,5489,3865,5505,3863,5517,3855,5526,3842,5530,3827xm5925,3624l5912,3623,5911,3637,5900,3648,5872,3647,5861,3635,5862,3622,5847,3622,5849,3637,5858,3650,5870,3659,5885,3662,5900,3660,5913,3652,5922,3639,5925,3624xm6432,4130l6429,4114,6421,4101,6409,4093,6394,4089,6393,4103,6407,4103,6418,4115,6417,4142,6405,4153,6391,4153,6392,4168,6407,4165,6420,4157,6428,4145,6432,4130xm9473,3185l9462,3166,9458,3155,9456,3145,9458,3134,9458,3113,9460,3101,9462,3091,9465,3084,9473,3073,9467,3060,9459,3057,9444,3055,9439,3051,9434,3049,9423,3044,9412,3038,9403,3031,9397,3024,9405,3040,9410,3048,9418,3054,9430,3058,9436,3061,9442,3065,9460,3067,9462,3071,9460,3074,9457,3079,9452,3090,9450,3103,9448,3117,9448,3133,9447,3144,9450,3156,9459,3169,9469,3180,9473,3185xm9575,4338l9566,4329,9544,4329,9536,4338,9536,4360,9544,4369,9566,4369,9575,4360,9575,4349,9575,4338xe" filled="true" fillcolor="#231f20" stroked="false">
              <v:path arrowok="t"/>
              <v:fill type="solid"/>
            </v:shape>
            <v:shape style="position:absolute;left:9547;top:5276;width:80;height:203" id="docshape433" coordorigin="9548,5276" coordsize="80,203" path="m9587,5448l9578,5439,9557,5439,9548,5448,9548,5470,9557,5479,9578,5479,9587,5470,9587,5459,9587,5448xm9605,5370l9596,5361,9574,5361,9565,5370,9565,5392,9574,5401,9596,5401,9605,5392,9605,5381,9605,5370xm9627,5285l9618,5276,9596,5276,9587,5285,9587,5307,9596,5315,9618,5315,9627,5307,9627,5296,9627,5285xe" filled="true" fillcolor="#a7a9ac" stroked="false">
              <v:path arrowok="t"/>
              <v:fill type="solid"/>
            </v:shape>
            <v:shape style="position:absolute;left:9538;top:4418;width:50;height:119" id="docshape434" coordorigin="9539,4419" coordsize="50,119" path="m9578,4428l9570,4419,9548,4419,9539,4428,9539,4449,9548,4458,9570,4458,9578,4449,9578,4439,9578,4428xm9588,4507l9580,4498,9558,4498,9549,4507,9549,4529,9558,4537,9580,4537,9588,4529,9588,4518,9588,4507xe" filled="true" fillcolor="#231f20" stroked="false">
              <v:path arrowok="t"/>
              <v:fill type="solid"/>
            </v:shape>
            <v:line style="position:absolute" from="7052,5435" to="7208,5435" stroked="true" strokeweight=".969pt" strokecolor="#231f20">
              <v:stroke dashstyle="solid"/>
            </v:line>
            <v:line style="position:absolute" from="7052,5615" to="7208,5615" stroked="true" strokeweight=".969pt" strokecolor="#a7a9ac">
              <v:stroke dashstyle="solid"/>
            </v:line>
            <v:line style="position:absolute" from="7052,5795" to="7208,5795" stroked="true" strokeweight=".242pt" strokecolor="#231f20">
              <v:stroke dashstyle="dot"/>
            </v:line>
            <v:line style="position:absolute" from="9536,4349" to="8896,4437" stroked="true" strokeweight=".242pt" strokecolor="#231f20">
              <v:stroke dashstyle="dot"/>
            </v:line>
            <v:line style="position:absolute" from="9578,4439" to="8875,4439" stroked="true" strokeweight=".242pt" strokecolor="#231f20">
              <v:stroke dashstyle="dot"/>
            </v:line>
            <v:line style="position:absolute" from="9567,4518" to="8875,4439" stroked="true" strokeweight=".242pt" strokecolor="#231f20">
              <v:stroke dashstyle="dot"/>
            </v:line>
            <v:line style="position:absolute" from="8948,4437" to="4442,4437" stroked="true" strokeweight=".242pt" strokecolor="#231f20">
              <v:stroke dashstyle="dot"/>
            </v:line>
            <v:line style="position:absolute" from="9606,5296" to="8795,4623" stroked="true" strokeweight=".969pt" strokecolor="#a7a9ac">
              <v:stroke dashstyle="solid"/>
            </v:line>
            <v:line style="position:absolute" from="9585,5379" to="8795,4623" stroked="true" strokeweight=".969pt" strokecolor="#a7a9ac">
              <v:stroke dashstyle="solid"/>
            </v:line>
            <v:line style="position:absolute" from="9567,5460" to="8795,4623" stroked="true" strokeweight=".969pt" strokecolor="#a7a9ac">
              <v:stroke dashstyle="solid"/>
            </v:line>
            <v:line style="position:absolute" from="8800,4623" to="4331,4623" stroked="true" strokeweight=".969pt" strokecolor="#a7a9ac">
              <v:stroke dashstyle="solid"/>
            </v:line>
            <v:shape style="position:absolute;left:4679;top:3500;width:125;height:920" id="docshape435" coordorigin="4679,3501" coordsize="125,920" path="m4804,4420l4804,3501,4679,3501e" filled="false" stroked="true" strokeweight=".242pt" strokecolor="#231f20">
              <v:path arrowok="t"/>
              <v:stroke dashstyle="dot"/>
            </v:shape>
            <v:shape style="position:absolute;left:4379;top:3024;width:600;height:1396" id="docshape436" coordorigin="4379,3024" coordsize="600,1396" path="m4979,4420l4979,3024,4379,3024e" filled="false" stroked="true" strokeweight=".242pt" strokecolor="#231f20">
              <v:path arrowok="t"/>
              <v:stroke dashstyle="dot"/>
            </v:shape>
            <v:shape style="position:absolute;left:6419;top:4128;width:158;height:292" id="docshape437" coordorigin="6420,4128" coordsize="158,292" path="m6577,4420l6577,4128,6420,4128e" filled="false" stroked="true" strokeweight=".242pt" strokecolor="#231f20">
              <v:path arrowok="t"/>
              <v:stroke dashstyle="dot"/>
            </v:shape>
            <v:line style="position:absolute" from="5490,4437" to="5490,3865" stroked="true" strokeweight=".242pt" strokecolor="#231f20">
              <v:stroke dashstyle="dot"/>
            </v:line>
            <v:line style="position:absolute" from="5886,4437" to="5886,3656" stroked="true" strokeweight=".242pt" strokecolor="#231f20">
              <v:stroke dashstyle="dot"/>
            </v:line>
            <v:shape style="position:absolute;left:4185;top:4623;width:292;height:962" id="docshape438" coordorigin="4186,4623" coordsize="292,962" path="m4186,5584l4477,5584,4477,4623e" filled="false" stroked="true" strokeweight=".969pt" strokecolor="#a7a9ac">
              <v:path arrowok="t"/>
              <v:stroke dashstyle="solid"/>
            </v:shape>
            <v:line style="position:absolute" from="4066,5930" to="4066,5771" stroked="true" strokeweight=".969pt" strokecolor="#231f20">
              <v:stroke dashstyle="solid"/>
            </v:line>
            <v:shape style="position:absolute;left:4026;top:5715;width:78;height:67" id="docshape439" coordorigin="4027,5716" coordsize="78,67" path="m4104,5783l4066,5716,4027,5783,4104,5783xe" filled="true" fillcolor="#231f20" stroked="false">
              <v:path arrowok="t"/>
              <v:fill type="solid"/>
            </v:shape>
            <v:shape style="position:absolute;left:4202;top:3053;width:5329;height:214" id="docshape440" coordorigin="4203,3053" coordsize="5329,214" path="m9531,3053l9318,3261,4203,3267,4203,3149e" filled="false" stroked="true" strokeweight=".969pt" strokecolor="#a7a9ac">
              <v:path arrowok="t"/>
              <v:stroke dashstyle="solid"/>
            </v:shape>
            <v:shape style="position:absolute;left:9511;top:3039;width:40;height:40" id="docshape441" coordorigin="9511,3040" coordsize="40,40" path="m9551,3070l9551,3059,9551,3049,9542,3040,9520,3040,9511,3049,9511,3070,9520,3079,9542,3079,9551,3070xe" filled="true" fillcolor="#a7a9ac" stroked="false">
              <v:path arrowok="t"/>
              <v:fill type="solid"/>
            </v:shape>
            <v:shape style="position:absolute;left:4941;top:2835;width:4415;height:114" id="docshape442" coordorigin="4941,2835" coordsize="4415,114" path="m9355,2949l8664,2949,8505,2835,4941,2835e" filled="false" stroked="true" strokeweight=".969pt" strokecolor="#231f20">
              <v:path arrowok="t"/>
              <v:stroke dashstyle="solid"/>
            </v:shape>
            <v:shape style="position:absolute;left:4885;top:2796;width:67;height:78" id="docshape443" coordorigin="4886,2796" coordsize="67,78" path="m4953,2874l4953,2796,4886,2835,4953,2874xe" filled="true" fillcolor="#231f20" stroked="false">
              <v:path arrowok="t"/>
              <v:fill type="solid"/>
            </v:shape>
            <v:shape style="position:absolute;left:6410;top:2838;width:256;height:1169" id="docshape444" coordorigin="6410,2838" coordsize="256,1169" path="m6665,2838l6665,4007,6410,4007e" filled="false" stroked="true" strokeweight=".969pt" strokecolor="#231f20">
              <v:path arrowok="t"/>
              <v:stroke dashstyle="solid"/>
            </v:shape>
            <v:shape style="position:absolute;left:6354;top:3968;width:67;height:78" id="docshape445" coordorigin="6354,3968" coordsize="67,78" path="m6421,4046l6421,3968,6354,4007,6421,4046xe" filled="true" fillcolor="#231f20" stroked="false">
              <v:path arrowok="t"/>
              <v:fill type="solid"/>
            </v:shape>
            <v:shape style="position:absolute;left:3916;top:2843;width:2913;height:3087" id="docshape446" coordorigin="3916,2843" coordsize="2913,3087" path="m6829,2843l6829,5930,3916,5930,3916,5773e" filled="false" stroked="true" strokeweight=".969pt" strokecolor="#231f20">
              <v:path arrowok="t"/>
              <v:stroke dashstyle="solid"/>
            </v:shape>
            <v:shape style="position:absolute;left:3877;top:5717;width:78;height:67" id="docshape447" coordorigin="3878,5717" coordsize="78,67" path="m3955,5784l3916,5717,3878,5784,3955,5784xe" filled="true" fillcolor="#231f20" stroked="false">
              <v:path arrowok="t"/>
              <v:fill type="solid"/>
            </v:shape>
            <v:shape style="position:absolute;left:2388;top:2388;width:6903;height:865" id="docshape448" coordorigin="2388,2388" coordsize="6903,865" path="m9291,3159l9195,3159,8234,2388,2388,2388,2388,3253e" filled="false" stroked="true" strokeweight=".969pt" strokecolor="#a7a9ac">
              <v:path arrowok="t"/>
              <v:stroke dashstyle="solid"/>
            </v:shape>
            <v:line style="position:absolute" from="4477,3265" to="4477,3375" stroked="true" strokeweight=".969pt" strokecolor="#a7a9ac">
              <v:stroke dashstyle="solid"/>
            </v:line>
            <v:line style="position:absolute" from="4178,4867" to="4477,4867" stroked="true" strokeweight=".969pt" strokecolor="#a7a9ac">
              <v:stroke dashstyle="solid"/>
            </v:line>
            <v:shape style="position:absolute;left:1460;top:1796;width:6728;height:246" type="#_x0000_t202" id="docshape449" filled="false" stroked="false">
              <v:textbox inset="0,0,0,0">
                <w:txbxContent>
                  <w:p>
                    <w:pPr>
                      <w:spacing w:before="44"/>
                      <w:ind w:left="0" w:right="0" w:firstLine="0"/>
                      <w:jc w:val="left"/>
                      <w:rPr>
                        <w:rFonts w:ascii="Arial" w:hAnsi="Arial"/>
                        <w:b/>
                        <w:sz w:val="17"/>
                      </w:rPr>
                    </w:pPr>
                    <w:bookmarkStart w:name="Figure 2.3 / Action des hormones lors d’" w:id="46"/>
                    <w:bookmarkEnd w:id="46"/>
                    <w:r>
                      <w:rPr/>
                    </w:r>
                    <w:bookmarkStart w:name="_bookmark19" w:id="47"/>
                    <w:bookmarkEnd w:id="47"/>
                    <w:r>
                      <w:rPr/>
                    </w:r>
                    <w:r>
                      <w:rPr>
                        <w:rFonts w:ascii="Arial" w:hAnsi="Arial"/>
                        <w:color w:val="231F20"/>
                        <w:w w:val="95"/>
                        <w:sz w:val="17"/>
                      </w:rPr>
                      <w:t>Figure</w:t>
                    </w:r>
                    <w:r>
                      <w:rPr>
                        <w:rFonts w:ascii="Arial" w:hAnsi="Arial"/>
                        <w:color w:val="231F20"/>
                        <w:sz w:val="17"/>
                      </w:rPr>
                      <w:t> </w:t>
                    </w:r>
                    <w:r>
                      <w:rPr>
                        <w:rFonts w:ascii="Arial" w:hAnsi="Arial"/>
                        <w:color w:val="231F20"/>
                        <w:w w:val="95"/>
                        <w:sz w:val="17"/>
                      </w:rPr>
                      <w:t>2.3</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8"/>
                        <w:sz w:val="17"/>
                      </w:rPr>
                      <w:t> </w:t>
                    </w:r>
                    <w:r>
                      <w:rPr>
                        <w:rFonts w:ascii="Arial" w:hAnsi="Arial"/>
                        <w:b/>
                        <w:color w:val="231F20"/>
                        <w:w w:val="95"/>
                        <w:sz w:val="17"/>
                      </w:rPr>
                      <w:t>Action</w:t>
                    </w:r>
                    <w:r>
                      <w:rPr>
                        <w:rFonts w:ascii="Arial" w:hAnsi="Arial"/>
                        <w:b/>
                        <w:color w:val="231F20"/>
                        <w:spacing w:val="-3"/>
                        <w:w w:val="95"/>
                        <w:sz w:val="17"/>
                      </w:rPr>
                      <w:t> </w:t>
                    </w:r>
                    <w:r>
                      <w:rPr>
                        <w:rFonts w:ascii="Arial" w:hAnsi="Arial"/>
                        <w:b/>
                        <w:color w:val="231F20"/>
                        <w:w w:val="95"/>
                        <w:sz w:val="17"/>
                      </w:rPr>
                      <w:t>des</w:t>
                    </w:r>
                    <w:r>
                      <w:rPr>
                        <w:rFonts w:ascii="Arial" w:hAnsi="Arial"/>
                        <w:b/>
                        <w:color w:val="231F20"/>
                        <w:spacing w:val="-3"/>
                        <w:w w:val="95"/>
                        <w:sz w:val="17"/>
                      </w:rPr>
                      <w:t> </w:t>
                    </w:r>
                    <w:r>
                      <w:rPr>
                        <w:rFonts w:ascii="Arial" w:hAnsi="Arial"/>
                        <w:b/>
                        <w:color w:val="231F20"/>
                        <w:w w:val="95"/>
                        <w:sz w:val="17"/>
                      </w:rPr>
                      <w:t>hormones</w:t>
                    </w:r>
                    <w:r>
                      <w:rPr>
                        <w:rFonts w:ascii="Arial" w:hAnsi="Arial"/>
                        <w:b/>
                        <w:color w:val="231F20"/>
                        <w:spacing w:val="-3"/>
                        <w:w w:val="95"/>
                        <w:sz w:val="17"/>
                      </w:rPr>
                      <w:t> </w:t>
                    </w:r>
                    <w:r>
                      <w:rPr>
                        <w:rFonts w:ascii="Arial" w:hAnsi="Arial"/>
                        <w:b/>
                        <w:color w:val="231F20"/>
                        <w:w w:val="95"/>
                        <w:sz w:val="17"/>
                      </w:rPr>
                      <w:t>lors</w:t>
                    </w:r>
                    <w:r>
                      <w:rPr>
                        <w:rFonts w:ascii="Arial" w:hAnsi="Arial"/>
                        <w:b/>
                        <w:color w:val="231F20"/>
                        <w:spacing w:val="-2"/>
                        <w:w w:val="95"/>
                        <w:sz w:val="17"/>
                      </w:rPr>
                      <w:t> </w:t>
                    </w:r>
                    <w:r>
                      <w:rPr>
                        <w:rFonts w:ascii="Arial" w:hAnsi="Arial"/>
                        <w:b/>
                        <w:color w:val="231F20"/>
                        <w:w w:val="95"/>
                        <w:sz w:val="17"/>
                      </w:rPr>
                      <w:t>d’un</w:t>
                    </w:r>
                    <w:r>
                      <w:rPr>
                        <w:rFonts w:ascii="Arial" w:hAnsi="Arial"/>
                        <w:b/>
                        <w:color w:val="231F20"/>
                        <w:spacing w:val="-3"/>
                        <w:w w:val="95"/>
                        <w:sz w:val="17"/>
                      </w:rPr>
                      <w:t> </w:t>
                    </w:r>
                    <w:r>
                      <w:rPr>
                        <w:rFonts w:ascii="Arial" w:hAnsi="Arial"/>
                        <w:b/>
                        <w:color w:val="231F20"/>
                        <w:w w:val="95"/>
                        <w:sz w:val="17"/>
                      </w:rPr>
                      <w:t>stress</w:t>
                    </w:r>
                    <w:r>
                      <w:rPr>
                        <w:rFonts w:ascii="Arial" w:hAnsi="Arial"/>
                        <w:b/>
                        <w:color w:val="231F20"/>
                        <w:spacing w:val="-3"/>
                        <w:w w:val="95"/>
                        <w:sz w:val="17"/>
                      </w:rPr>
                      <w:t> </w:t>
                    </w:r>
                    <w:r>
                      <w:rPr>
                        <w:rFonts w:ascii="Arial" w:hAnsi="Arial"/>
                        <w:b/>
                        <w:color w:val="231F20"/>
                        <w:w w:val="95"/>
                        <w:sz w:val="17"/>
                      </w:rPr>
                      <w:t>de</w:t>
                    </w:r>
                    <w:r>
                      <w:rPr>
                        <w:rFonts w:ascii="Arial" w:hAnsi="Arial"/>
                        <w:b/>
                        <w:color w:val="231F20"/>
                        <w:spacing w:val="-3"/>
                        <w:w w:val="95"/>
                        <w:sz w:val="17"/>
                      </w:rPr>
                      <w:t> </w:t>
                    </w:r>
                    <w:r>
                      <w:rPr>
                        <w:rFonts w:ascii="Arial" w:hAnsi="Arial"/>
                        <w:b/>
                        <w:color w:val="231F20"/>
                        <w:w w:val="95"/>
                        <w:sz w:val="17"/>
                      </w:rPr>
                      <w:t>forte</w:t>
                    </w:r>
                    <w:r>
                      <w:rPr>
                        <w:rFonts w:ascii="Arial" w:hAnsi="Arial"/>
                        <w:b/>
                        <w:color w:val="231F20"/>
                        <w:spacing w:val="-3"/>
                        <w:w w:val="95"/>
                        <w:sz w:val="17"/>
                      </w:rPr>
                      <w:t> </w:t>
                    </w:r>
                    <w:r>
                      <w:rPr>
                        <w:rFonts w:ascii="Arial" w:hAnsi="Arial"/>
                        <w:b/>
                        <w:color w:val="231F20"/>
                        <w:w w:val="95"/>
                        <w:sz w:val="17"/>
                      </w:rPr>
                      <w:t>intensité</w:t>
                    </w:r>
                    <w:r>
                      <w:rPr>
                        <w:rFonts w:ascii="Arial" w:hAnsi="Arial"/>
                        <w:b/>
                        <w:color w:val="231F20"/>
                        <w:spacing w:val="-3"/>
                        <w:w w:val="95"/>
                        <w:sz w:val="17"/>
                      </w:rPr>
                      <w:t> </w:t>
                    </w:r>
                    <w:r>
                      <w:rPr>
                        <w:rFonts w:ascii="Arial" w:hAnsi="Arial"/>
                        <w:b/>
                        <w:color w:val="231F20"/>
                        <w:w w:val="95"/>
                        <w:sz w:val="17"/>
                      </w:rPr>
                      <w:t>(saut</w:t>
                    </w:r>
                    <w:r>
                      <w:rPr>
                        <w:rFonts w:ascii="Arial" w:hAnsi="Arial"/>
                        <w:b/>
                        <w:color w:val="231F20"/>
                        <w:spacing w:val="-3"/>
                        <w:w w:val="95"/>
                        <w:sz w:val="17"/>
                      </w:rPr>
                      <w:t> </w:t>
                    </w:r>
                    <w:r>
                      <w:rPr>
                        <w:rFonts w:ascii="Arial" w:hAnsi="Arial"/>
                        <w:b/>
                        <w:color w:val="231F20"/>
                        <w:w w:val="95"/>
                        <w:sz w:val="17"/>
                      </w:rPr>
                      <w:t>en</w:t>
                    </w:r>
                    <w:r>
                      <w:rPr>
                        <w:rFonts w:ascii="Arial" w:hAnsi="Arial"/>
                        <w:b/>
                        <w:color w:val="231F20"/>
                        <w:spacing w:val="-3"/>
                        <w:w w:val="95"/>
                        <w:sz w:val="17"/>
                      </w:rPr>
                      <w:t> </w:t>
                    </w:r>
                    <w:r>
                      <w:rPr>
                        <w:rFonts w:ascii="Arial" w:hAnsi="Arial"/>
                        <w:b/>
                        <w:color w:val="231F20"/>
                        <w:spacing w:val="-2"/>
                        <w:w w:val="95"/>
                        <w:sz w:val="17"/>
                      </w:rPr>
                      <w:t>parachute)</w:t>
                    </w:r>
                  </w:p>
                </w:txbxContent>
              </v:textbox>
              <w10:wrap type="none"/>
            </v:shape>
            <v:shape style="position:absolute;left:4456;top:2522;width:591;height:206" type="#_x0000_t202" id="docshape450" filled="false" stroked="false">
              <v:textbox inset="0,0,0,0">
                <w:txbxContent>
                  <w:p>
                    <w:pPr>
                      <w:spacing w:before="38"/>
                      <w:ind w:left="0" w:right="0" w:firstLine="0"/>
                      <w:jc w:val="left"/>
                      <w:rPr>
                        <w:rFonts w:ascii="Arial" w:hAnsi="Arial"/>
                        <w:sz w:val="14"/>
                      </w:rPr>
                    </w:pPr>
                    <w:r>
                      <w:rPr>
                        <w:rFonts w:ascii="Arial" w:hAnsi="Arial"/>
                        <w:color w:val="231F20"/>
                        <w:spacing w:val="-2"/>
                        <w:w w:val="105"/>
                        <w:sz w:val="14"/>
                      </w:rPr>
                      <w:t>Thyroïde</w:t>
                    </w:r>
                  </w:p>
                </w:txbxContent>
              </v:textbox>
              <w10:wrap type="none"/>
            </v:shape>
            <v:shape style="position:absolute;left:10227;top:2280;width:961;height:436" type="#_x0000_t202" id="docshape451" filled="false" stroked="false">
              <v:textbox inset="0,0,0,0">
                <w:txbxContent>
                  <w:p>
                    <w:pPr>
                      <w:spacing w:before="38"/>
                      <w:ind w:left="0" w:right="0" w:firstLine="0"/>
                      <w:jc w:val="left"/>
                      <w:rPr>
                        <w:rFonts w:ascii="Arial"/>
                        <w:sz w:val="14"/>
                      </w:rPr>
                    </w:pPr>
                    <w:r>
                      <w:rPr>
                        <w:rFonts w:ascii="Arial"/>
                        <w:color w:val="231F20"/>
                        <w:spacing w:val="-2"/>
                        <w:w w:val="105"/>
                        <w:sz w:val="14"/>
                      </w:rPr>
                      <w:t>Hypothalamus</w:t>
                    </w:r>
                  </w:p>
                  <w:p>
                    <w:pPr>
                      <w:spacing w:before="69"/>
                      <w:ind w:left="0" w:right="0" w:firstLine="0"/>
                      <w:jc w:val="left"/>
                      <w:rPr>
                        <w:rFonts w:ascii="Arial"/>
                        <w:sz w:val="14"/>
                      </w:rPr>
                    </w:pPr>
                    <w:r>
                      <w:rPr>
                        <w:rFonts w:ascii="Arial"/>
                        <w:color w:val="231F20"/>
                        <w:spacing w:val="-2"/>
                        <w:w w:val="105"/>
                        <w:sz w:val="14"/>
                      </w:rPr>
                      <w:t>Hypophyse</w:t>
                    </w:r>
                  </w:p>
                </w:txbxContent>
              </v:textbox>
              <w10:wrap type="none"/>
            </v:shape>
            <v:shape style="position:absolute;left:3725;top:3022;width:375;height:206" type="#_x0000_t202" id="docshape452" filled="false" stroked="false">
              <v:textbox inset="0,0,0,0">
                <w:txbxContent>
                  <w:p>
                    <w:pPr>
                      <w:spacing w:before="38"/>
                      <w:ind w:left="0" w:right="0" w:firstLine="0"/>
                      <w:jc w:val="left"/>
                      <w:rPr>
                        <w:rFonts w:ascii="Arial" w:hAnsi="Arial"/>
                        <w:sz w:val="14"/>
                      </w:rPr>
                    </w:pPr>
                    <w:r>
                      <w:rPr>
                        <w:rFonts w:ascii="Arial" w:hAnsi="Arial"/>
                        <w:color w:val="231F20"/>
                        <w:spacing w:val="-4"/>
                        <w:sz w:val="14"/>
                      </w:rPr>
                      <w:t>Cœur</w:t>
                    </w:r>
                  </w:p>
                </w:txbxContent>
              </v:textbox>
              <w10:wrap type="none"/>
            </v:shape>
            <v:shape style="position:absolute;left:9993;top:2970;width:1136;height:206" type="#_x0000_t202" id="docshape453" filled="false" stroked="false">
              <v:textbox inset="0,0,0,0">
                <w:txbxContent>
                  <w:p>
                    <w:pPr>
                      <w:spacing w:before="38"/>
                      <w:ind w:left="0" w:right="0" w:firstLine="0"/>
                      <w:jc w:val="left"/>
                      <w:rPr>
                        <w:rFonts w:ascii="Arial" w:hAnsi="Arial"/>
                        <w:sz w:val="14"/>
                      </w:rPr>
                    </w:pPr>
                    <w:r>
                      <w:rPr>
                        <w:rFonts w:ascii="Arial" w:hAnsi="Arial"/>
                        <w:color w:val="231F20"/>
                        <w:sz w:val="14"/>
                      </w:rPr>
                      <w:t>Région</w:t>
                    </w:r>
                    <w:r>
                      <w:rPr>
                        <w:rFonts w:ascii="Arial" w:hAnsi="Arial"/>
                        <w:color w:val="231F20"/>
                        <w:spacing w:val="-3"/>
                        <w:sz w:val="14"/>
                      </w:rPr>
                      <w:t> </w:t>
                    </w:r>
                    <w:r>
                      <w:rPr>
                        <w:rFonts w:ascii="Arial" w:hAnsi="Arial"/>
                        <w:color w:val="231F20"/>
                        <w:spacing w:val="-2"/>
                        <w:sz w:val="14"/>
                      </w:rPr>
                      <w:t>crânienne</w:t>
                    </w:r>
                  </w:p>
                </w:txbxContent>
              </v:textbox>
              <w10:wrap type="none"/>
            </v:shape>
            <v:shape style="position:absolute;left:3733;top:3460;width:291;height:206" type="#_x0000_t202" id="docshape454" filled="false" stroked="false">
              <v:textbox inset="0,0,0,0">
                <w:txbxContent>
                  <w:p>
                    <w:pPr>
                      <w:spacing w:before="38"/>
                      <w:ind w:left="0" w:right="0" w:firstLine="0"/>
                      <w:jc w:val="left"/>
                      <w:rPr>
                        <w:rFonts w:ascii="Arial"/>
                        <w:sz w:val="14"/>
                      </w:rPr>
                    </w:pPr>
                    <w:r>
                      <w:rPr>
                        <w:rFonts w:ascii="Arial"/>
                        <w:color w:val="231F20"/>
                        <w:spacing w:val="-4"/>
                        <w:sz w:val="14"/>
                      </w:rPr>
                      <w:t>Foie</w:t>
                    </w:r>
                  </w:p>
                </w:txbxContent>
              </v:textbox>
              <w10:wrap type="none"/>
            </v:shape>
            <v:shape style="position:absolute;left:5131;top:3267;width:681;height:389" type="#_x0000_t202" id="docshape455" filled="false" stroked="false">
              <v:textbox inset="0,0,0,0">
                <w:txbxContent>
                  <w:p>
                    <w:pPr>
                      <w:spacing w:line="271" w:lineRule="auto" w:before="34"/>
                      <w:ind w:left="0" w:right="0" w:firstLine="362"/>
                      <w:jc w:val="left"/>
                      <w:rPr>
                        <w:rFonts w:ascii="Arial" w:hAnsi="Arial"/>
                        <w:sz w:val="14"/>
                      </w:rPr>
                    </w:pPr>
                    <w:r>
                      <w:rPr>
                        <w:rFonts w:ascii="Arial" w:hAnsi="Arial"/>
                        <w:color w:val="231F20"/>
                        <w:spacing w:val="-4"/>
                        <w:sz w:val="14"/>
                      </w:rPr>
                      <w:t>Rate</w:t>
                    </w:r>
                    <w:r>
                      <w:rPr>
                        <w:rFonts w:ascii="Arial" w:hAnsi="Arial"/>
                        <w:color w:val="231F20"/>
                        <w:spacing w:val="40"/>
                        <w:sz w:val="14"/>
                      </w:rPr>
                      <w:t> </w:t>
                    </w:r>
                    <w:r>
                      <w:rPr>
                        <w:rFonts w:ascii="Arial" w:hAnsi="Arial"/>
                        <w:color w:val="231F20"/>
                        <w:spacing w:val="-2"/>
                        <w:sz w:val="14"/>
                      </w:rPr>
                      <w:t>Pancréas</w:t>
                    </w:r>
                  </w:p>
                </w:txbxContent>
              </v:textbox>
              <w10:wrap type="none"/>
            </v:shape>
            <v:shape style="position:absolute;left:9993;top:3408;width:1079;height:206" type="#_x0000_t202" id="docshape456" filled="false" stroked="false">
              <v:textbox inset="0,0,0,0">
                <w:txbxContent>
                  <w:p>
                    <w:pPr>
                      <w:spacing w:before="38"/>
                      <w:ind w:left="0" w:right="0" w:firstLine="0"/>
                      <w:jc w:val="left"/>
                      <w:rPr>
                        <w:rFonts w:ascii="Arial" w:hAnsi="Arial"/>
                        <w:sz w:val="14"/>
                      </w:rPr>
                    </w:pPr>
                    <w:r>
                      <w:rPr>
                        <w:rFonts w:ascii="Arial" w:hAnsi="Arial"/>
                        <w:color w:val="231F20"/>
                        <w:sz w:val="14"/>
                      </w:rPr>
                      <w:t>Région</w:t>
                    </w:r>
                    <w:r>
                      <w:rPr>
                        <w:rFonts w:ascii="Arial" w:hAnsi="Arial"/>
                        <w:color w:val="231F20"/>
                        <w:spacing w:val="-3"/>
                        <w:sz w:val="14"/>
                      </w:rPr>
                      <w:t> </w:t>
                    </w:r>
                    <w:r>
                      <w:rPr>
                        <w:rFonts w:ascii="Arial" w:hAnsi="Arial"/>
                        <w:color w:val="231F20"/>
                        <w:spacing w:val="-2"/>
                        <w:w w:val="105"/>
                        <w:sz w:val="14"/>
                      </w:rPr>
                      <w:t>cervicale</w:t>
                    </w:r>
                  </w:p>
                </w:txbxContent>
              </v:textbox>
              <w10:wrap type="none"/>
            </v:shape>
            <v:shape style="position:absolute;left:4036;top:3817;width:581;height:206" type="#_x0000_t202" id="docshape457" filled="false" stroked="false">
              <v:textbox inset="0,0,0,0">
                <w:txbxContent>
                  <w:p>
                    <w:pPr>
                      <w:spacing w:before="38"/>
                      <w:ind w:left="0" w:right="0" w:firstLine="0"/>
                      <w:jc w:val="left"/>
                      <w:rPr>
                        <w:rFonts w:ascii="Arial"/>
                        <w:sz w:val="14"/>
                      </w:rPr>
                    </w:pPr>
                    <w:r>
                      <w:rPr>
                        <w:rFonts w:ascii="Arial"/>
                        <w:color w:val="231F20"/>
                        <w:spacing w:val="-2"/>
                        <w:w w:val="110"/>
                        <w:sz w:val="14"/>
                      </w:rPr>
                      <w:t>Intestins</w:t>
                    </w:r>
                  </w:p>
                </w:txbxContent>
              </v:textbox>
              <w10:wrap type="none"/>
            </v:shape>
            <v:shape style="position:absolute;left:5994;top:3534;width:626;height:361" type="#_x0000_t202" id="docshape458" filled="false" stroked="false">
              <v:textbox inset="0,0,0,0">
                <w:txbxContent>
                  <w:p>
                    <w:pPr>
                      <w:spacing w:line="230" w:lineRule="auto" w:before="44"/>
                      <w:ind w:left="0" w:right="0" w:firstLine="0"/>
                      <w:jc w:val="left"/>
                      <w:rPr>
                        <w:rFonts w:ascii="Arial" w:hAnsi="Arial"/>
                        <w:sz w:val="14"/>
                      </w:rPr>
                    </w:pPr>
                    <w:r>
                      <w:rPr>
                        <w:rFonts w:ascii="Arial" w:hAnsi="Arial"/>
                        <w:color w:val="231F20"/>
                        <w:spacing w:val="-2"/>
                        <w:sz w:val="14"/>
                      </w:rPr>
                      <w:t>Glande</w:t>
                    </w:r>
                    <w:r>
                      <w:rPr>
                        <w:rFonts w:ascii="Arial" w:hAnsi="Arial"/>
                        <w:color w:val="231F20"/>
                        <w:spacing w:val="40"/>
                        <w:sz w:val="14"/>
                      </w:rPr>
                      <w:t> </w:t>
                    </w:r>
                    <w:r>
                      <w:rPr>
                        <w:rFonts w:ascii="Arial" w:hAnsi="Arial"/>
                        <w:color w:val="231F20"/>
                        <w:spacing w:val="-2"/>
                        <w:sz w:val="14"/>
                      </w:rPr>
                      <w:t>surrénale</w:t>
                    </w:r>
                  </w:p>
                </w:txbxContent>
              </v:textbox>
              <w10:wrap type="none"/>
            </v:shape>
            <v:shape style="position:absolute;left:9993;top:4138;width:1198;height:206" type="#_x0000_t202" id="docshape459" filled="false" stroked="false">
              <v:textbox inset="0,0,0,0">
                <w:txbxContent>
                  <w:p>
                    <w:pPr>
                      <w:spacing w:before="38"/>
                      <w:ind w:left="0" w:right="0" w:firstLine="0"/>
                      <w:jc w:val="left"/>
                      <w:rPr>
                        <w:rFonts w:ascii="Arial" w:hAnsi="Arial"/>
                        <w:sz w:val="14"/>
                      </w:rPr>
                    </w:pPr>
                    <w:r>
                      <w:rPr>
                        <w:rFonts w:ascii="Arial" w:hAnsi="Arial"/>
                        <w:color w:val="231F20"/>
                        <w:sz w:val="14"/>
                      </w:rPr>
                      <w:t>Région</w:t>
                    </w:r>
                    <w:r>
                      <w:rPr>
                        <w:rFonts w:ascii="Arial" w:hAnsi="Arial"/>
                        <w:color w:val="231F20"/>
                        <w:spacing w:val="-3"/>
                        <w:sz w:val="14"/>
                      </w:rPr>
                      <w:t> </w:t>
                    </w:r>
                    <w:r>
                      <w:rPr>
                        <w:rFonts w:ascii="Arial" w:hAnsi="Arial"/>
                        <w:color w:val="231F20"/>
                        <w:spacing w:val="-2"/>
                        <w:w w:val="105"/>
                        <w:sz w:val="14"/>
                      </w:rPr>
                      <w:t>thoracique</w:t>
                    </w:r>
                  </w:p>
                </w:txbxContent>
              </v:textbox>
              <w10:wrap type="none"/>
            </v:shape>
            <v:shape style="position:absolute;left:3642;top:5026;width:660;height:464" type="#_x0000_t202" id="docshape460" filled="false" stroked="false">
              <v:textbox inset="0,0,0,0">
                <w:txbxContent>
                  <w:p>
                    <w:pPr>
                      <w:spacing w:before="38"/>
                      <w:ind w:left="0" w:right="17" w:firstLine="0"/>
                      <w:jc w:val="center"/>
                      <w:rPr>
                        <w:rFonts w:ascii="Arial"/>
                        <w:sz w:val="14"/>
                      </w:rPr>
                    </w:pPr>
                    <w:r>
                      <w:rPr>
                        <w:rFonts w:ascii="Arial"/>
                        <w:color w:val="231F20"/>
                        <w:spacing w:val="-2"/>
                        <w:sz w:val="14"/>
                      </w:rPr>
                      <w:t>Vessie</w:t>
                    </w:r>
                  </w:p>
                  <w:p>
                    <w:pPr>
                      <w:spacing w:before="97"/>
                      <w:ind w:left="0" w:right="18" w:firstLine="0"/>
                      <w:jc w:val="center"/>
                      <w:rPr>
                        <w:rFonts w:ascii="Arial"/>
                        <w:sz w:val="14"/>
                      </w:rPr>
                    </w:pPr>
                    <w:r>
                      <w:rPr>
                        <w:rFonts w:ascii="Arial"/>
                        <w:color w:val="231F20"/>
                        <w:spacing w:val="-2"/>
                        <w:sz w:val="14"/>
                      </w:rPr>
                      <w:t>Testicules</w:t>
                    </w:r>
                  </w:p>
                </w:txbxContent>
              </v:textbox>
              <w10:wrap type="none"/>
            </v:shape>
            <v:shape style="position:absolute;left:9993;top:4925;width:1078;height:206" type="#_x0000_t202" id="docshape461" filled="false" stroked="false">
              <v:textbox inset="0,0,0,0">
                <w:txbxContent>
                  <w:p>
                    <w:pPr>
                      <w:spacing w:before="38"/>
                      <w:ind w:left="0" w:right="0" w:firstLine="0"/>
                      <w:jc w:val="left"/>
                      <w:rPr>
                        <w:rFonts w:ascii="Arial" w:hAnsi="Arial"/>
                        <w:sz w:val="14"/>
                      </w:rPr>
                    </w:pPr>
                    <w:r>
                      <w:rPr>
                        <w:rFonts w:ascii="Arial" w:hAnsi="Arial"/>
                        <w:color w:val="231F20"/>
                        <w:sz w:val="14"/>
                      </w:rPr>
                      <w:t>Région</w:t>
                    </w:r>
                    <w:r>
                      <w:rPr>
                        <w:rFonts w:ascii="Arial" w:hAnsi="Arial"/>
                        <w:color w:val="231F20"/>
                        <w:spacing w:val="-3"/>
                        <w:sz w:val="14"/>
                      </w:rPr>
                      <w:t> </w:t>
                    </w:r>
                    <w:r>
                      <w:rPr>
                        <w:rFonts w:ascii="Arial" w:hAnsi="Arial"/>
                        <w:color w:val="231F20"/>
                        <w:spacing w:val="-2"/>
                        <w:w w:val="105"/>
                        <w:sz w:val="14"/>
                      </w:rPr>
                      <w:t>lombaire</w:t>
                    </w:r>
                  </w:p>
                </w:txbxContent>
              </v:textbox>
              <w10:wrap type="none"/>
            </v:shape>
            <v:shape style="position:absolute;left:7323;top:5325;width:1855;height:555" type="#_x0000_t202" id="docshape462" filled="false" stroked="false">
              <v:textbox inset="0,0,0,0">
                <w:txbxContent>
                  <w:p>
                    <w:pPr>
                      <w:spacing w:line="259" w:lineRule="auto" w:before="34"/>
                      <w:ind w:left="0" w:right="0" w:firstLine="0"/>
                      <w:jc w:val="left"/>
                      <w:rPr>
                        <w:rFonts w:ascii="Arial" w:hAnsi="Arial"/>
                        <w:sz w:val="14"/>
                      </w:rPr>
                    </w:pPr>
                    <w:r>
                      <w:rPr>
                        <w:rFonts w:ascii="Arial" w:hAnsi="Arial"/>
                        <w:color w:val="231F20"/>
                        <w:sz w:val="14"/>
                      </w:rPr>
                      <w:t>Réponses</w:t>
                    </w:r>
                    <w:r>
                      <w:rPr>
                        <w:rFonts w:ascii="Arial" w:hAnsi="Arial"/>
                        <w:color w:val="231F20"/>
                        <w:spacing w:val="-8"/>
                        <w:sz w:val="14"/>
                      </w:rPr>
                      <w:t> </w:t>
                    </w:r>
                    <w:r>
                      <w:rPr>
                        <w:rFonts w:ascii="Arial" w:hAnsi="Arial"/>
                        <w:color w:val="231F20"/>
                        <w:sz w:val="14"/>
                      </w:rPr>
                      <w:t>hormonales</w:t>
                    </w:r>
                    <w:r>
                      <w:rPr>
                        <w:rFonts w:ascii="Arial" w:hAnsi="Arial"/>
                        <w:color w:val="231F20"/>
                        <w:spacing w:val="40"/>
                        <w:sz w:val="14"/>
                      </w:rPr>
                      <w:t> </w:t>
                    </w:r>
                    <w:r>
                      <w:rPr>
                        <w:rFonts w:ascii="Arial" w:hAnsi="Arial"/>
                        <w:color w:val="231F20"/>
                        <w:sz w:val="14"/>
                      </w:rPr>
                      <w:t>Réponses</w:t>
                    </w:r>
                    <w:r>
                      <w:rPr>
                        <w:rFonts w:ascii="Arial" w:hAnsi="Arial"/>
                        <w:color w:val="231F20"/>
                        <w:spacing w:val="-10"/>
                        <w:sz w:val="14"/>
                      </w:rPr>
                      <w:t> </w:t>
                    </w:r>
                    <w:r>
                      <w:rPr>
                        <w:rFonts w:ascii="Arial" w:hAnsi="Arial"/>
                        <w:color w:val="231F20"/>
                        <w:sz w:val="14"/>
                      </w:rPr>
                      <w:t>parasympathiques</w:t>
                    </w:r>
                    <w:r>
                      <w:rPr>
                        <w:rFonts w:ascii="Arial" w:hAnsi="Arial"/>
                        <w:color w:val="231F20"/>
                        <w:spacing w:val="40"/>
                        <w:sz w:val="14"/>
                      </w:rPr>
                      <w:t> </w:t>
                    </w:r>
                    <w:r>
                      <w:rPr>
                        <w:rFonts w:ascii="Arial" w:hAnsi="Arial"/>
                        <w:color w:val="231F20"/>
                        <w:sz w:val="14"/>
                      </w:rPr>
                      <w:t>Réponses</w:t>
                    </w:r>
                    <w:r>
                      <w:rPr>
                        <w:rFonts w:ascii="Arial" w:hAnsi="Arial"/>
                        <w:color w:val="231F20"/>
                        <w:spacing w:val="-8"/>
                        <w:sz w:val="14"/>
                      </w:rPr>
                      <w:t> </w:t>
                    </w:r>
                    <w:r>
                      <w:rPr>
                        <w:rFonts w:ascii="Arial" w:hAnsi="Arial"/>
                        <w:color w:val="231F20"/>
                        <w:sz w:val="14"/>
                      </w:rPr>
                      <w:t>sympathiques</w:t>
                    </w:r>
                  </w:p>
                </w:txbxContent>
              </v:textbox>
              <w10:wrap type="none"/>
            </v:shape>
            <v:shape style="position:absolute;left:9993;top:5401;width:1165;height:206" type="#_x0000_t202" id="docshape463" filled="false" stroked="false">
              <v:textbox inset="0,0,0,0">
                <w:txbxContent>
                  <w:p>
                    <w:pPr>
                      <w:spacing w:before="38"/>
                      <w:ind w:left="0" w:right="0" w:firstLine="0"/>
                      <w:jc w:val="left"/>
                      <w:rPr>
                        <w:rFonts w:ascii="Arial" w:hAnsi="Arial"/>
                        <w:sz w:val="14"/>
                      </w:rPr>
                    </w:pPr>
                    <w:r>
                      <w:rPr>
                        <w:rFonts w:ascii="Arial" w:hAnsi="Arial"/>
                        <w:color w:val="231F20"/>
                        <w:sz w:val="14"/>
                      </w:rPr>
                      <w:t>Vertèbres</w:t>
                    </w:r>
                    <w:r>
                      <w:rPr>
                        <w:rFonts w:ascii="Arial" w:hAnsi="Arial"/>
                        <w:color w:val="231F20"/>
                        <w:spacing w:val="16"/>
                        <w:sz w:val="14"/>
                      </w:rPr>
                      <w:t> </w:t>
                    </w:r>
                    <w:r>
                      <w:rPr>
                        <w:rFonts w:ascii="Arial" w:hAnsi="Arial"/>
                        <w:color w:val="231F20"/>
                        <w:spacing w:val="-2"/>
                        <w:sz w:val="14"/>
                      </w:rPr>
                      <w:t>sacrées</w:t>
                    </w:r>
                  </w:p>
                </w:txbxContent>
              </v:textbox>
              <w10:wrap type="none"/>
            </v:shape>
            <v:shape style="position:absolute;left:1460;top:6279;width:9769;height:340" type="#_x0000_t202" id="docshape464" filled="false" stroked="false">
              <v:textbox inset="0,0,0,0">
                <w:txbxContent>
                  <w:p>
                    <w:pPr>
                      <w:spacing w:line="295" w:lineRule="auto" w:before="23"/>
                      <w:ind w:left="0" w:right="0" w:hanging="1"/>
                      <w:jc w:val="left"/>
                      <w:rPr>
                        <w:rFonts w:ascii="Arial" w:hAnsi="Arial"/>
                        <w:sz w:val="12"/>
                      </w:rPr>
                    </w:pPr>
                    <w:r>
                      <w:rPr>
                        <w:rFonts w:ascii="Arial" w:hAnsi="Arial"/>
                        <w:color w:val="231F20"/>
                        <w:spacing w:val="-2"/>
                        <w:sz w:val="12"/>
                      </w:rPr>
                      <w:t>Source</w:t>
                    </w:r>
                    <w:r>
                      <w:rPr>
                        <w:rFonts w:ascii="Arial" w:hAnsi="Arial"/>
                        <w:color w:val="231F20"/>
                        <w:spacing w:val="-20"/>
                        <w:sz w:val="12"/>
                      </w:rPr>
                      <w:t> </w:t>
                    </w:r>
                    <w:r>
                      <w:rPr>
                        <w:rFonts w:ascii="Arial" w:hAnsi="Arial"/>
                        <w:color w:val="231F20"/>
                        <w:spacing w:val="-2"/>
                        <w:sz w:val="12"/>
                      </w:rPr>
                      <w:t>: Rosenzweig, M. R., Breedlove, S. M., et Watson, N. V. (2004). </w:t>
                    </w:r>
                    <w:r>
                      <w:rPr>
                        <w:rFonts w:ascii="Arial" w:hAnsi="Arial"/>
                        <w:i/>
                        <w:color w:val="231F20"/>
                        <w:spacing w:val="-2"/>
                        <w:sz w:val="12"/>
                      </w:rPr>
                      <w:t>Biological Psychology, An Introduction to Behavioral and Cognitive Neuroscience</w:t>
                    </w:r>
                    <w:r>
                      <w:rPr>
                        <w:rFonts w:ascii="Arial" w:hAnsi="Arial"/>
                        <w:color w:val="231F20"/>
                        <w:spacing w:val="-2"/>
                        <w:sz w:val="12"/>
                      </w:rPr>
                      <w:t>, 4</w:t>
                    </w:r>
                    <w:r>
                      <w:rPr>
                        <w:rFonts w:ascii="Arial" w:hAnsi="Arial"/>
                        <w:color w:val="231F20"/>
                        <w:spacing w:val="-2"/>
                        <w:position w:val="4"/>
                        <w:sz w:val="7"/>
                      </w:rPr>
                      <w:t>e</w:t>
                    </w:r>
                    <w:r>
                      <w:rPr>
                        <w:rFonts w:ascii="Arial" w:hAnsi="Arial"/>
                        <w:color w:val="231F20"/>
                        <w:spacing w:val="13"/>
                        <w:position w:val="4"/>
                        <w:sz w:val="7"/>
                      </w:rPr>
                      <w:t> </w:t>
                    </w:r>
                    <w:r>
                      <w:rPr>
                        <w:rFonts w:ascii="Arial" w:hAnsi="Arial"/>
                        <w:color w:val="231F20"/>
                        <w:spacing w:val="-2"/>
                        <w:sz w:val="12"/>
                      </w:rPr>
                      <w:t>éd., p. 481. © Sinaur Associates</w:t>
                    </w:r>
                    <w:r>
                      <w:rPr>
                        <w:rFonts w:ascii="Arial" w:hAnsi="Arial"/>
                        <w:color w:val="231F20"/>
                        <w:spacing w:val="40"/>
                        <w:sz w:val="12"/>
                      </w:rPr>
                      <w:t> </w:t>
                    </w:r>
                    <w:r>
                      <w:rPr>
                        <w:rFonts w:ascii="Arial" w:hAnsi="Arial"/>
                        <w:color w:val="231F20"/>
                        <w:sz w:val="12"/>
                      </w:rPr>
                      <w:t>Inc. Publishers, reproduit avec l’autorisation de l’éditeur.</w:t>
                    </w:r>
                  </w:p>
                </w:txbxContent>
              </v:textbox>
              <w10:wrap type="none"/>
            </v:shape>
            <w10:wrap type="none"/>
          </v:group>
        </w:pict>
      </w:r>
      <w:r>
        <w:rPr/>
        <w:pict>
          <v:shape style="position:absolute;margin-left:607.773987pt;margin-top:139.843506pt;width:11.95pt;height:171.85pt;mso-position-horizontal-relative:page;mso-position-vertical-relative:page;z-index:15758336" type="#_x0000_t202" id="docshape465" filled="false" stroked="false">
            <v:textbox inset="0,0,0,0" style="layout-flow:vertical">
              <w:txbxContent>
                <w:p>
                  <w:pPr>
                    <w:spacing w:before="52"/>
                    <w:ind w:left="20"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txbxContent>
            </v:textbox>
            <w10:wrap type="none"/>
          </v:shape>
        </w:pict>
      </w:r>
      <w:r>
        <w:rPr/>
        <w:pict>
          <v:shape style="position:absolute;margin-left:20.271pt;margin-top:220.511505pt;width:11.95pt;height:10.35pt;mso-position-horizontal-relative:page;mso-position-vertical-relative:page;z-index:15758848" type="#_x0000_t202" id="docshape466" filled="false" stroked="false">
            <v:textbox inset="0,0,0,0" style="layout-flow:vertical">
              <w:txbxContent>
                <w:p>
                  <w:pPr>
                    <w:spacing w:before="52"/>
                    <w:ind w:left="20" w:right="0" w:firstLine="0"/>
                    <w:jc w:val="left"/>
                    <w:rPr>
                      <w:rFonts w:ascii="Arial"/>
                      <w:sz w:val="14"/>
                    </w:rPr>
                  </w:pPr>
                  <w:r>
                    <w:rPr>
                      <w:rFonts w:ascii="Arial"/>
                      <w:color w:val="231F20"/>
                      <w:spacing w:val="-5"/>
                      <w:w w:val="110"/>
                      <w:sz w:val="14"/>
                    </w:rPr>
                    <w:t>49</w:t>
                  </w:r>
                </w:p>
              </w:txbxContent>
            </v:textbox>
            <w10:wrap type="none"/>
          </v:shape>
        </w:pict>
      </w:r>
    </w:p>
    <w:p>
      <w:pPr>
        <w:spacing w:after="0"/>
        <w:rPr>
          <w:rFonts w:ascii="Arial"/>
        </w:rPr>
        <w:sectPr>
          <w:footerReference w:type="default" r:id="rId79"/>
          <w:pgSz w:w="12960" w:h="8640" w:orient="landscape"/>
          <w:pgMar w:footer="0" w:header="0" w:top="780" w:bottom="280" w:left="1840" w:right="1840"/>
        </w:sectPr>
      </w:pPr>
    </w:p>
    <w:p>
      <w:pPr>
        <w:spacing w:before="103"/>
        <w:ind w:left="2183" w:right="2173"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510" w:right="494"/>
        <w:jc w:val="both"/>
      </w:pPr>
      <w:r>
        <w:rPr>
          <w:b/>
          <w:color w:val="231F20"/>
          <w:w w:val="115"/>
        </w:rPr>
        <w:t>Le stress selon Selye. </w:t>
      </w:r>
      <w:r>
        <w:rPr>
          <w:color w:val="231F20"/>
          <w:w w:val="115"/>
        </w:rPr>
        <w:t>C’est dans les années 1930 que Hans Selye, alors </w:t>
      </w:r>
      <w:r>
        <w:rPr>
          <w:color w:val="231F20"/>
          <w:w w:val="120"/>
        </w:rPr>
        <w:t>qu’il</w:t>
      </w:r>
      <w:r>
        <w:rPr>
          <w:color w:val="231F20"/>
          <w:spacing w:val="-5"/>
          <w:w w:val="120"/>
        </w:rPr>
        <w:t> </w:t>
      </w:r>
      <w:r>
        <w:rPr>
          <w:color w:val="231F20"/>
          <w:w w:val="120"/>
        </w:rPr>
        <w:t>venait</w:t>
      </w:r>
      <w:r>
        <w:rPr>
          <w:color w:val="231F20"/>
          <w:spacing w:val="-5"/>
          <w:w w:val="120"/>
        </w:rPr>
        <w:t> </w:t>
      </w:r>
      <w:r>
        <w:rPr>
          <w:color w:val="231F20"/>
          <w:w w:val="120"/>
        </w:rPr>
        <w:t>tout</w:t>
      </w:r>
      <w:r>
        <w:rPr>
          <w:color w:val="231F20"/>
          <w:spacing w:val="-5"/>
          <w:w w:val="120"/>
        </w:rPr>
        <w:t> </w:t>
      </w:r>
      <w:r>
        <w:rPr>
          <w:color w:val="231F20"/>
          <w:w w:val="120"/>
        </w:rPr>
        <w:t>juste</w:t>
      </w:r>
      <w:r>
        <w:rPr>
          <w:color w:val="231F20"/>
          <w:spacing w:val="-5"/>
          <w:w w:val="120"/>
        </w:rPr>
        <w:t> </w:t>
      </w:r>
      <w:r>
        <w:rPr>
          <w:color w:val="231F20"/>
          <w:w w:val="120"/>
        </w:rPr>
        <w:t>d’immigrer</w:t>
      </w:r>
      <w:r>
        <w:rPr>
          <w:color w:val="231F20"/>
          <w:spacing w:val="-5"/>
          <w:w w:val="120"/>
        </w:rPr>
        <w:t> </w:t>
      </w:r>
      <w:r>
        <w:rPr>
          <w:color w:val="231F20"/>
          <w:w w:val="120"/>
        </w:rPr>
        <w:t>au</w:t>
      </w:r>
      <w:r>
        <w:rPr>
          <w:color w:val="231F20"/>
          <w:spacing w:val="-5"/>
          <w:w w:val="120"/>
        </w:rPr>
        <w:t> </w:t>
      </w:r>
      <w:r>
        <w:rPr>
          <w:color w:val="231F20"/>
          <w:w w:val="120"/>
        </w:rPr>
        <w:t>Canada,</w:t>
      </w:r>
      <w:r>
        <w:rPr>
          <w:color w:val="231F20"/>
          <w:spacing w:val="-5"/>
          <w:w w:val="120"/>
        </w:rPr>
        <w:t> </w:t>
      </w:r>
      <w:r>
        <w:rPr>
          <w:color w:val="231F20"/>
          <w:w w:val="120"/>
        </w:rPr>
        <w:t>a</w:t>
      </w:r>
      <w:r>
        <w:rPr>
          <w:color w:val="231F20"/>
          <w:spacing w:val="-5"/>
          <w:w w:val="120"/>
        </w:rPr>
        <w:t> </w:t>
      </w:r>
      <w:r>
        <w:rPr>
          <w:color w:val="231F20"/>
          <w:w w:val="120"/>
        </w:rPr>
        <w:t>amorcé</w:t>
      </w:r>
      <w:r>
        <w:rPr>
          <w:color w:val="231F20"/>
          <w:spacing w:val="-5"/>
          <w:w w:val="120"/>
        </w:rPr>
        <w:t> </w:t>
      </w:r>
      <w:r>
        <w:rPr>
          <w:color w:val="231F20"/>
          <w:w w:val="120"/>
        </w:rPr>
        <w:t>ses</w:t>
      </w:r>
      <w:r>
        <w:rPr>
          <w:color w:val="231F20"/>
          <w:spacing w:val="-5"/>
          <w:w w:val="120"/>
        </w:rPr>
        <w:t> </w:t>
      </w:r>
      <w:r>
        <w:rPr>
          <w:color w:val="231F20"/>
          <w:w w:val="120"/>
        </w:rPr>
        <w:t>travaux.</w:t>
      </w:r>
      <w:r>
        <w:rPr>
          <w:color w:val="231F20"/>
          <w:spacing w:val="-5"/>
          <w:w w:val="120"/>
        </w:rPr>
        <w:t> </w:t>
      </w:r>
      <w:r>
        <w:rPr>
          <w:color w:val="231F20"/>
          <w:w w:val="120"/>
        </w:rPr>
        <w:t>Ce grand pionnier de la recherche sur la physiologie du stress a au départ étudié les réactions de souris de laboratoire à divers agents stressants (stresseurs)</w:t>
      </w:r>
      <w:r>
        <w:rPr>
          <w:color w:val="231F20"/>
          <w:spacing w:val="-8"/>
          <w:w w:val="120"/>
        </w:rPr>
        <w:t> </w:t>
      </w:r>
      <w:r>
        <w:rPr>
          <w:color w:val="231F20"/>
          <w:w w:val="120"/>
        </w:rPr>
        <w:t>physiques</w:t>
      </w:r>
      <w:r>
        <w:rPr>
          <w:color w:val="231F20"/>
          <w:spacing w:val="-8"/>
          <w:w w:val="120"/>
        </w:rPr>
        <w:t> </w:t>
      </w:r>
      <w:r>
        <w:rPr>
          <w:color w:val="231F20"/>
          <w:w w:val="120"/>
        </w:rPr>
        <w:t>tels</w:t>
      </w:r>
      <w:r>
        <w:rPr>
          <w:color w:val="231F20"/>
          <w:spacing w:val="-8"/>
          <w:w w:val="120"/>
        </w:rPr>
        <w:t> </w:t>
      </w:r>
      <w:r>
        <w:rPr>
          <w:color w:val="231F20"/>
          <w:w w:val="120"/>
        </w:rPr>
        <w:t>que</w:t>
      </w:r>
      <w:r>
        <w:rPr>
          <w:color w:val="231F20"/>
          <w:spacing w:val="-8"/>
          <w:w w:val="120"/>
        </w:rPr>
        <w:t> </w:t>
      </w:r>
      <w:r>
        <w:rPr>
          <w:color w:val="231F20"/>
          <w:w w:val="120"/>
        </w:rPr>
        <w:t>la</w:t>
      </w:r>
      <w:r>
        <w:rPr>
          <w:color w:val="231F20"/>
          <w:spacing w:val="-8"/>
          <w:w w:val="120"/>
        </w:rPr>
        <w:t> </w:t>
      </w:r>
      <w:r>
        <w:rPr>
          <w:color w:val="231F20"/>
          <w:w w:val="120"/>
        </w:rPr>
        <w:t>chaleur,</w:t>
      </w:r>
      <w:r>
        <w:rPr>
          <w:color w:val="231F20"/>
          <w:spacing w:val="-8"/>
          <w:w w:val="120"/>
        </w:rPr>
        <w:t> </w:t>
      </w:r>
      <w:r>
        <w:rPr>
          <w:color w:val="231F20"/>
          <w:w w:val="120"/>
        </w:rPr>
        <w:t>le</w:t>
      </w:r>
      <w:r>
        <w:rPr>
          <w:color w:val="231F20"/>
          <w:spacing w:val="-8"/>
          <w:w w:val="120"/>
        </w:rPr>
        <w:t> </w:t>
      </w:r>
      <w:r>
        <w:rPr>
          <w:color w:val="231F20"/>
          <w:w w:val="120"/>
        </w:rPr>
        <w:t>froid</w:t>
      </w:r>
      <w:r>
        <w:rPr>
          <w:color w:val="231F20"/>
          <w:spacing w:val="-8"/>
          <w:w w:val="120"/>
        </w:rPr>
        <w:t> </w:t>
      </w:r>
      <w:r>
        <w:rPr>
          <w:color w:val="231F20"/>
          <w:w w:val="120"/>
        </w:rPr>
        <w:t>et</w:t>
      </w:r>
      <w:r>
        <w:rPr>
          <w:color w:val="231F20"/>
          <w:spacing w:val="-8"/>
          <w:w w:val="120"/>
        </w:rPr>
        <w:t> </w:t>
      </w:r>
      <w:r>
        <w:rPr>
          <w:color w:val="231F20"/>
          <w:w w:val="120"/>
        </w:rPr>
        <w:t>l’exercice</w:t>
      </w:r>
      <w:r>
        <w:rPr>
          <w:color w:val="231F20"/>
          <w:spacing w:val="-8"/>
          <w:w w:val="120"/>
        </w:rPr>
        <w:t> </w:t>
      </w:r>
      <w:r>
        <w:rPr>
          <w:color w:val="231F20"/>
          <w:w w:val="120"/>
        </w:rPr>
        <w:t>intensif, de</w:t>
      </w:r>
      <w:r>
        <w:rPr>
          <w:color w:val="231F20"/>
          <w:spacing w:val="-1"/>
          <w:w w:val="120"/>
        </w:rPr>
        <w:t> </w:t>
      </w:r>
      <w:r>
        <w:rPr>
          <w:color w:val="231F20"/>
          <w:w w:val="120"/>
        </w:rPr>
        <w:t>même</w:t>
      </w:r>
      <w:r>
        <w:rPr>
          <w:color w:val="231F20"/>
          <w:spacing w:val="-1"/>
          <w:w w:val="120"/>
        </w:rPr>
        <w:t> </w:t>
      </w:r>
      <w:r>
        <w:rPr>
          <w:color w:val="231F20"/>
          <w:w w:val="120"/>
        </w:rPr>
        <w:t>que</w:t>
      </w:r>
      <w:r>
        <w:rPr>
          <w:color w:val="231F20"/>
          <w:spacing w:val="-1"/>
          <w:w w:val="120"/>
        </w:rPr>
        <w:t> </w:t>
      </w:r>
      <w:r>
        <w:rPr>
          <w:color w:val="231F20"/>
          <w:w w:val="120"/>
        </w:rPr>
        <w:t>leurs</w:t>
      </w:r>
      <w:r>
        <w:rPr>
          <w:color w:val="231F20"/>
          <w:spacing w:val="-1"/>
          <w:w w:val="120"/>
        </w:rPr>
        <w:t> </w:t>
      </w:r>
      <w:r>
        <w:rPr>
          <w:color w:val="231F20"/>
          <w:w w:val="120"/>
        </w:rPr>
        <w:t>réactions</w:t>
      </w:r>
      <w:r>
        <w:rPr>
          <w:color w:val="231F20"/>
          <w:spacing w:val="-1"/>
          <w:w w:val="120"/>
        </w:rPr>
        <w:t> </w:t>
      </w:r>
      <w:r>
        <w:rPr>
          <w:color w:val="231F20"/>
          <w:w w:val="120"/>
        </w:rPr>
        <w:t>métaboliques</w:t>
      </w:r>
      <w:r>
        <w:rPr>
          <w:color w:val="231F20"/>
          <w:spacing w:val="-1"/>
          <w:w w:val="120"/>
        </w:rPr>
        <w:t> </w:t>
      </w:r>
      <w:r>
        <w:rPr>
          <w:color w:val="231F20"/>
          <w:w w:val="120"/>
        </w:rPr>
        <w:t>à</w:t>
      </w:r>
      <w:r>
        <w:rPr>
          <w:color w:val="231F20"/>
          <w:spacing w:val="-1"/>
          <w:w w:val="120"/>
        </w:rPr>
        <w:t> </w:t>
      </w:r>
      <w:r>
        <w:rPr>
          <w:color w:val="231F20"/>
          <w:w w:val="120"/>
        </w:rPr>
        <w:t>des</w:t>
      </w:r>
      <w:r>
        <w:rPr>
          <w:color w:val="231F20"/>
          <w:spacing w:val="-1"/>
          <w:w w:val="120"/>
        </w:rPr>
        <w:t> </w:t>
      </w:r>
      <w:r>
        <w:rPr>
          <w:color w:val="231F20"/>
          <w:w w:val="120"/>
        </w:rPr>
        <w:t>agents</w:t>
      </w:r>
      <w:r>
        <w:rPr>
          <w:color w:val="231F20"/>
          <w:spacing w:val="-1"/>
          <w:w w:val="120"/>
        </w:rPr>
        <w:t> </w:t>
      </w:r>
      <w:r>
        <w:rPr>
          <w:color w:val="231F20"/>
          <w:w w:val="120"/>
        </w:rPr>
        <w:t>chimiques</w:t>
      </w:r>
      <w:r>
        <w:rPr>
          <w:color w:val="231F20"/>
          <w:spacing w:val="-1"/>
          <w:w w:val="120"/>
        </w:rPr>
        <w:t> </w:t>
      </w:r>
      <w:r>
        <w:rPr>
          <w:color w:val="231F20"/>
          <w:w w:val="120"/>
        </w:rPr>
        <w:t>tels que l’injection d’hormones et de stéroïdes.</w:t>
      </w:r>
    </w:p>
    <w:p>
      <w:pPr>
        <w:pStyle w:val="BodyText"/>
        <w:spacing w:line="307" w:lineRule="auto" w:before="79"/>
        <w:ind w:left="510" w:right="495" w:firstLine="250"/>
        <w:jc w:val="both"/>
      </w:pPr>
      <w:r>
        <w:rPr>
          <w:color w:val="231F20"/>
          <w:w w:val="115"/>
        </w:rPr>
        <w:t>Selye</w:t>
      </w:r>
      <w:r>
        <w:rPr>
          <w:color w:val="231F20"/>
          <w:spacing w:val="-11"/>
          <w:w w:val="115"/>
        </w:rPr>
        <w:t> </w:t>
      </w:r>
      <w:r>
        <w:rPr>
          <w:color w:val="231F20"/>
          <w:w w:val="115"/>
        </w:rPr>
        <w:t>observa</w:t>
      </w:r>
      <w:r>
        <w:rPr>
          <w:color w:val="231F20"/>
          <w:spacing w:val="-11"/>
          <w:w w:val="115"/>
        </w:rPr>
        <w:t> </w:t>
      </w:r>
      <w:r>
        <w:rPr>
          <w:color w:val="231F20"/>
          <w:w w:val="115"/>
        </w:rPr>
        <w:t>que,</w:t>
      </w:r>
      <w:r>
        <w:rPr>
          <w:color w:val="231F20"/>
          <w:spacing w:val="-11"/>
          <w:w w:val="115"/>
        </w:rPr>
        <w:t> </w:t>
      </w:r>
      <w:r>
        <w:rPr>
          <w:color w:val="231F20"/>
          <w:w w:val="115"/>
        </w:rPr>
        <w:t>peu</w:t>
      </w:r>
      <w:r>
        <w:rPr>
          <w:color w:val="231F20"/>
          <w:spacing w:val="-11"/>
          <w:w w:val="115"/>
        </w:rPr>
        <w:t> </w:t>
      </w:r>
      <w:r>
        <w:rPr>
          <w:color w:val="231F20"/>
          <w:w w:val="115"/>
        </w:rPr>
        <w:t>importe</w:t>
      </w:r>
      <w:r>
        <w:rPr>
          <w:color w:val="231F20"/>
          <w:spacing w:val="-11"/>
          <w:w w:val="115"/>
        </w:rPr>
        <w:t> </w:t>
      </w:r>
      <w:r>
        <w:rPr>
          <w:color w:val="231F20"/>
          <w:w w:val="115"/>
        </w:rPr>
        <w:t>l’agent</w:t>
      </w:r>
      <w:r>
        <w:rPr>
          <w:color w:val="231F20"/>
          <w:spacing w:val="-11"/>
          <w:w w:val="115"/>
        </w:rPr>
        <w:t> </w:t>
      </w:r>
      <w:r>
        <w:rPr>
          <w:color w:val="231F20"/>
          <w:w w:val="115"/>
        </w:rPr>
        <w:t>nocif</w:t>
      </w:r>
      <w:r>
        <w:rPr>
          <w:color w:val="231F20"/>
          <w:spacing w:val="-11"/>
          <w:w w:val="115"/>
        </w:rPr>
        <w:t> </w:t>
      </w:r>
      <w:r>
        <w:rPr>
          <w:color w:val="231F20"/>
          <w:w w:val="115"/>
        </w:rPr>
        <w:t>utilisé,</w:t>
      </w:r>
      <w:r>
        <w:rPr>
          <w:color w:val="231F20"/>
          <w:spacing w:val="-11"/>
          <w:w w:val="115"/>
        </w:rPr>
        <w:t> </w:t>
      </w:r>
      <w:r>
        <w:rPr>
          <w:color w:val="231F20"/>
          <w:w w:val="115"/>
        </w:rPr>
        <w:t>l’animal</w:t>
      </w:r>
      <w:r>
        <w:rPr>
          <w:color w:val="231F20"/>
          <w:spacing w:val="-11"/>
          <w:w w:val="115"/>
        </w:rPr>
        <w:t> </w:t>
      </w:r>
      <w:r>
        <w:rPr>
          <w:color w:val="231F20"/>
          <w:w w:val="115"/>
        </w:rPr>
        <w:t>avait</w:t>
      </w:r>
      <w:r>
        <w:rPr>
          <w:color w:val="231F20"/>
          <w:spacing w:val="-11"/>
          <w:w w:val="115"/>
        </w:rPr>
        <w:t> </w:t>
      </w:r>
      <w:r>
        <w:rPr>
          <w:color w:val="231F20"/>
          <w:w w:val="115"/>
        </w:rPr>
        <w:t>tou- </w:t>
      </w:r>
      <w:r>
        <w:rPr>
          <w:color w:val="231F20"/>
          <w:spacing w:val="-2"/>
          <w:w w:val="120"/>
        </w:rPr>
        <w:t>jours</w:t>
      </w:r>
      <w:r>
        <w:rPr>
          <w:color w:val="231F20"/>
          <w:spacing w:val="-5"/>
          <w:w w:val="120"/>
        </w:rPr>
        <w:t> </w:t>
      </w:r>
      <w:r>
        <w:rPr>
          <w:color w:val="231F20"/>
          <w:spacing w:val="-2"/>
          <w:w w:val="120"/>
        </w:rPr>
        <w:t>la</w:t>
      </w:r>
      <w:r>
        <w:rPr>
          <w:color w:val="231F20"/>
          <w:spacing w:val="-5"/>
          <w:w w:val="120"/>
        </w:rPr>
        <w:t> </w:t>
      </w:r>
      <w:r>
        <w:rPr>
          <w:color w:val="231F20"/>
          <w:spacing w:val="-2"/>
          <w:w w:val="120"/>
        </w:rPr>
        <w:t>même</w:t>
      </w:r>
      <w:r>
        <w:rPr>
          <w:color w:val="231F20"/>
          <w:spacing w:val="-5"/>
          <w:w w:val="120"/>
        </w:rPr>
        <w:t> </w:t>
      </w:r>
      <w:r>
        <w:rPr>
          <w:color w:val="231F20"/>
          <w:spacing w:val="-2"/>
          <w:w w:val="120"/>
        </w:rPr>
        <w:t>réaction</w:t>
      </w:r>
      <w:r>
        <w:rPr>
          <w:color w:val="231F20"/>
          <w:spacing w:val="-5"/>
          <w:w w:val="120"/>
        </w:rPr>
        <w:t> </w:t>
      </w:r>
      <w:r>
        <w:rPr>
          <w:color w:val="231F20"/>
          <w:spacing w:val="-2"/>
          <w:w w:val="120"/>
        </w:rPr>
        <w:t>non</w:t>
      </w:r>
      <w:r>
        <w:rPr>
          <w:color w:val="231F20"/>
          <w:spacing w:val="-5"/>
          <w:w w:val="120"/>
        </w:rPr>
        <w:t> </w:t>
      </w:r>
      <w:r>
        <w:rPr>
          <w:color w:val="231F20"/>
          <w:spacing w:val="-2"/>
          <w:w w:val="120"/>
        </w:rPr>
        <w:t>spécifique,</w:t>
      </w:r>
      <w:r>
        <w:rPr>
          <w:color w:val="231F20"/>
          <w:spacing w:val="-5"/>
          <w:w w:val="120"/>
        </w:rPr>
        <w:t> </w:t>
      </w:r>
      <w:r>
        <w:rPr>
          <w:color w:val="231F20"/>
          <w:spacing w:val="-2"/>
          <w:w w:val="120"/>
        </w:rPr>
        <w:t>ce</w:t>
      </w:r>
      <w:r>
        <w:rPr>
          <w:color w:val="231F20"/>
          <w:spacing w:val="-5"/>
          <w:w w:val="120"/>
        </w:rPr>
        <w:t> </w:t>
      </w:r>
      <w:r>
        <w:rPr>
          <w:color w:val="231F20"/>
          <w:spacing w:val="-2"/>
          <w:w w:val="120"/>
        </w:rPr>
        <w:t>qui</w:t>
      </w:r>
      <w:r>
        <w:rPr>
          <w:color w:val="231F20"/>
          <w:spacing w:val="-5"/>
          <w:w w:val="120"/>
        </w:rPr>
        <w:t> </w:t>
      </w:r>
      <w:r>
        <w:rPr>
          <w:color w:val="231F20"/>
          <w:spacing w:val="-2"/>
          <w:w w:val="120"/>
        </w:rPr>
        <w:t>l’amena</w:t>
      </w:r>
      <w:r>
        <w:rPr>
          <w:color w:val="231F20"/>
          <w:spacing w:val="-5"/>
          <w:w w:val="120"/>
        </w:rPr>
        <w:t> </w:t>
      </w:r>
      <w:r>
        <w:rPr>
          <w:color w:val="231F20"/>
          <w:spacing w:val="-2"/>
          <w:w w:val="120"/>
        </w:rPr>
        <w:t>à</w:t>
      </w:r>
      <w:r>
        <w:rPr>
          <w:color w:val="231F20"/>
          <w:spacing w:val="-5"/>
          <w:w w:val="120"/>
        </w:rPr>
        <w:t> </w:t>
      </w:r>
      <w:r>
        <w:rPr>
          <w:color w:val="231F20"/>
          <w:spacing w:val="-2"/>
          <w:w w:val="120"/>
        </w:rPr>
        <w:t>considérer</w:t>
      </w:r>
      <w:r>
        <w:rPr>
          <w:color w:val="231F20"/>
          <w:spacing w:val="-5"/>
          <w:w w:val="120"/>
        </w:rPr>
        <w:t> </w:t>
      </w:r>
      <w:r>
        <w:rPr>
          <w:color w:val="231F20"/>
          <w:spacing w:val="-2"/>
          <w:w w:val="120"/>
        </w:rPr>
        <w:t>qu’il </w:t>
      </w:r>
      <w:r>
        <w:rPr>
          <w:color w:val="231F20"/>
          <w:w w:val="120"/>
        </w:rPr>
        <w:t>y</w:t>
      </w:r>
      <w:r>
        <w:rPr>
          <w:color w:val="231F20"/>
          <w:spacing w:val="-7"/>
          <w:w w:val="120"/>
        </w:rPr>
        <w:t> </w:t>
      </w:r>
      <w:r>
        <w:rPr>
          <w:color w:val="231F20"/>
          <w:w w:val="120"/>
        </w:rPr>
        <w:t>avait</w:t>
      </w:r>
      <w:r>
        <w:rPr>
          <w:color w:val="231F20"/>
          <w:spacing w:val="-7"/>
          <w:w w:val="120"/>
        </w:rPr>
        <w:t> </w:t>
      </w:r>
      <w:r>
        <w:rPr>
          <w:color w:val="231F20"/>
          <w:w w:val="120"/>
        </w:rPr>
        <w:t>une</w:t>
      </w:r>
      <w:r>
        <w:rPr>
          <w:color w:val="231F20"/>
          <w:spacing w:val="-7"/>
          <w:w w:val="120"/>
        </w:rPr>
        <w:t> </w:t>
      </w:r>
      <w:r>
        <w:rPr>
          <w:color w:val="231F20"/>
          <w:w w:val="120"/>
        </w:rPr>
        <w:t>réponse</w:t>
      </w:r>
      <w:r>
        <w:rPr>
          <w:color w:val="231F20"/>
          <w:spacing w:val="-7"/>
          <w:w w:val="120"/>
        </w:rPr>
        <w:t> </w:t>
      </w:r>
      <w:r>
        <w:rPr>
          <w:color w:val="231F20"/>
          <w:w w:val="120"/>
        </w:rPr>
        <w:t>biologique</w:t>
      </w:r>
      <w:r>
        <w:rPr>
          <w:color w:val="231F20"/>
          <w:spacing w:val="-7"/>
          <w:w w:val="120"/>
        </w:rPr>
        <w:t> </w:t>
      </w:r>
      <w:r>
        <w:rPr>
          <w:color w:val="231F20"/>
          <w:w w:val="120"/>
        </w:rPr>
        <w:t>sous-jacente</w:t>
      </w:r>
      <w:r>
        <w:rPr>
          <w:color w:val="231F20"/>
          <w:spacing w:val="-7"/>
          <w:w w:val="120"/>
        </w:rPr>
        <w:t> </w:t>
      </w:r>
      <w:r>
        <w:rPr>
          <w:color w:val="231F20"/>
          <w:w w:val="120"/>
        </w:rPr>
        <w:t>à</w:t>
      </w:r>
      <w:r>
        <w:rPr>
          <w:color w:val="231F20"/>
          <w:spacing w:val="-7"/>
          <w:w w:val="120"/>
        </w:rPr>
        <w:t> </w:t>
      </w:r>
      <w:r>
        <w:rPr>
          <w:color w:val="231F20"/>
          <w:w w:val="120"/>
        </w:rPr>
        <w:t>toute</w:t>
      </w:r>
      <w:r>
        <w:rPr>
          <w:color w:val="231F20"/>
          <w:spacing w:val="-7"/>
          <w:w w:val="120"/>
        </w:rPr>
        <w:t> </w:t>
      </w:r>
      <w:r>
        <w:rPr>
          <w:color w:val="231F20"/>
          <w:w w:val="120"/>
        </w:rPr>
        <w:t>menace</w:t>
      </w:r>
      <w:r>
        <w:rPr>
          <w:color w:val="231F20"/>
          <w:spacing w:val="-7"/>
          <w:w w:val="120"/>
        </w:rPr>
        <w:t> </w:t>
      </w:r>
      <w:r>
        <w:rPr>
          <w:color w:val="231F20"/>
          <w:w w:val="120"/>
        </w:rPr>
        <w:t>à</w:t>
      </w:r>
      <w:r>
        <w:rPr>
          <w:color w:val="231F20"/>
          <w:spacing w:val="-7"/>
          <w:w w:val="120"/>
        </w:rPr>
        <w:t> </w:t>
      </w:r>
      <w:r>
        <w:rPr>
          <w:color w:val="231F20"/>
          <w:w w:val="120"/>
        </w:rPr>
        <w:t>l’homéo- </w:t>
      </w:r>
      <w:r>
        <w:rPr>
          <w:color w:val="231F20"/>
          <w:spacing w:val="-2"/>
          <w:w w:val="115"/>
        </w:rPr>
        <w:t>stasie</w:t>
      </w:r>
      <w:r>
        <w:rPr>
          <w:color w:val="231F20"/>
          <w:spacing w:val="-11"/>
          <w:w w:val="115"/>
        </w:rPr>
        <w:t> </w:t>
      </w:r>
      <w:r>
        <w:rPr>
          <w:color w:val="231F20"/>
          <w:spacing w:val="-2"/>
          <w:w w:val="115"/>
        </w:rPr>
        <w:t>de</w:t>
      </w:r>
      <w:r>
        <w:rPr>
          <w:color w:val="231F20"/>
          <w:spacing w:val="-10"/>
          <w:w w:val="115"/>
        </w:rPr>
        <w:t> </w:t>
      </w:r>
      <w:r>
        <w:rPr>
          <w:color w:val="231F20"/>
          <w:spacing w:val="-2"/>
          <w:w w:val="115"/>
        </w:rPr>
        <w:t>l’organisme;</w:t>
      </w:r>
      <w:r>
        <w:rPr>
          <w:color w:val="231F20"/>
          <w:spacing w:val="-10"/>
          <w:w w:val="115"/>
        </w:rPr>
        <w:t> </w:t>
      </w:r>
      <w:r>
        <w:rPr>
          <w:color w:val="231F20"/>
          <w:spacing w:val="-2"/>
          <w:w w:val="115"/>
        </w:rPr>
        <w:t>il</w:t>
      </w:r>
      <w:r>
        <w:rPr>
          <w:color w:val="231F20"/>
          <w:spacing w:val="-10"/>
          <w:w w:val="115"/>
        </w:rPr>
        <w:t> </w:t>
      </w:r>
      <w:r>
        <w:rPr>
          <w:color w:val="231F20"/>
          <w:spacing w:val="-2"/>
          <w:w w:val="115"/>
        </w:rPr>
        <w:t>appela</w:t>
      </w:r>
      <w:r>
        <w:rPr>
          <w:color w:val="231F20"/>
          <w:spacing w:val="-11"/>
          <w:w w:val="115"/>
        </w:rPr>
        <w:t> </w:t>
      </w:r>
      <w:r>
        <w:rPr>
          <w:color w:val="231F20"/>
          <w:spacing w:val="-2"/>
          <w:w w:val="115"/>
        </w:rPr>
        <w:t>cette</w:t>
      </w:r>
      <w:r>
        <w:rPr>
          <w:color w:val="231F20"/>
          <w:spacing w:val="-10"/>
          <w:w w:val="115"/>
        </w:rPr>
        <w:t> </w:t>
      </w:r>
      <w:r>
        <w:rPr>
          <w:color w:val="231F20"/>
          <w:spacing w:val="-2"/>
          <w:w w:val="115"/>
        </w:rPr>
        <w:t>réaction</w:t>
      </w:r>
      <w:r>
        <w:rPr>
          <w:color w:val="231F20"/>
          <w:spacing w:val="-10"/>
          <w:w w:val="115"/>
        </w:rPr>
        <w:t> </w:t>
      </w:r>
      <w:r>
        <w:rPr>
          <w:color w:val="231F20"/>
          <w:spacing w:val="-2"/>
          <w:w w:val="115"/>
        </w:rPr>
        <w:t>univoque</w:t>
      </w:r>
      <w:r>
        <w:rPr>
          <w:color w:val="231F20"/>
          <w:spacing w:val="-10"/>
          <w:w w:val="115"/>
        </w:rPr>
        <w:t> </w:t>
      </w:r>
      <w:r>
        <w:rPr>
          <w:color w:val="231F20"/>
          <w:spacing w:val="-2"/>
          <w:w w:val="115"/>
        </w:rPr>
        <w:t>le</w:t>
      </w:r>
      <w:r>
        <w:rPr>
          <w:color w:val="231F20"/>
          <w:spacing w:val="-10"/>
          <w:w w:val="115"/>
        </w:rPr>
        <w:t> </w:t>
      </w:r>
      <w:r>
        <w:rPr>
          <w:color w:val="231F20"/>
          <w:spacing w:val="-2"/>
          <w:w w:val="115"/>
        </w:rPr>
        <w:t>stress.</w:t>
      </w:r>
      <w:r>
        <w:rPr>
          <w:color w:val="231F20"/>
          <w:spacing w:val="-11"/>
          <w:w w:val="115"/>
        </w:rPr>
        <w:t> </w:t>
      </w:r>
      <w:r>
        <w:rPr>
          <w:color w:val="231F20"/>
          <w:spacing w:val="-2"/>
          <w:w w:val="115"/>
        </w:rPr>
        <w:t>S’appuyant </w:t>
      </w:r>
      <w:r>
        <w:rPr>
          <w:color w:val="231F20"/>
          <w:w w:val="115"/>
        </w:rPr>
        <w:t>sur</w:t>
      </w:r>
      <w:r>
        <w:rPr>
          <w:color w:val="231F20"/>
          <w:spacing w:val="-8"/>
          <w:w w:val="115"/>
        </w:rPr>
        <w:t> </w:t>
      </w:r>
      <w:r>
        <w:rPr>
          <w:color w:val="231F20"/>
          <w:w w:val="115"/>
        </w:rPr>
        <w:t>ses</w:t>
      </w:r>
      <w:r>
        <w:rPr>
          <w:color w:val="231F20"/>
          <w:spacing w:val="-8"/>
          <w:w w:val="115"/>
        </w:rPr>
        <w:t> </w:t>
      </w:r>
      <w:r>
        <w:rPr>
          <w:color w:val="231F20"/>
          <w:w w:val="115"/>
        </w:rPr>
        <w:t>recherches,</w:t>
      </w:r>
      <w:r>
        <w:rPr>
          <w:color w:val="231F20"/>
          <w:spacing w:val="-8"/>
          <w:w w:val="115"/>
        </w:rPr>
        <w:t> </w:t>
      </w:r>
      <w:r>
        <w:rPr>
          <w:color w:val="231F20"/>
          <w:w w:val="115"/>
        </w:rPr>
        <w:t>il</w:t>
      </w:r>
      <w:r>
        <w:rPr>
          <w:color w:val="231F20"/>
          <w:spacing w:val="-8"/>
          <w:w w:val="115"/>
        </w:rPr>
        <w:t> </w:t>
      </w:r>
      <w:r>
        <w:rPr>
          <w:color w:val="231F20"/>
          <w:w w:val="115"/>
        </w:rPr>
        <w:t>formula</w:t>
      </w:r>
      <w:r>
        <w:rPr>
          <w:color w:val="231F20"/>
          <w:spacing w:val="-8"/>
          <w:w w:val="115"/>
        </w:rPr>
        <w:t> </w:t>
      </w:r>
      <w:r>
        <w:rPr>
          <w:color w:val="231F20"/>
          <w:w w:val="115"/>
        </w:rPr>
        <w:t>la</w:t>
      </w:r>
      <w:r>
        <w:rPr>
          <w:color w:val="231F20"/>
          <w:spacing w:val="-8"/>
          <w:w w:val="115"/>
        </w:rPr>
        <w:t> </w:t>
      </w:r>
      <w:r>
        <w:rPr>
          <w:color w:val="231F20"/>
          <w:w w:val="115"/>
        </w:rPr>
        <w:t>théorie</w:t>
      </w:r>
      <w:r>
        <w:rPr>
          <w:color w:val="231F20"/>
          <w:spacing w:val="-8"/>
          <w:w w:val="115"/>
        </w:rPr>
        <w:t> </w:t>
      </w:r>
      <w:r>
        <w:rPr>
          <w:color w:val="231F20"/>
          <w:w w:val="115"/>
        </w:rPr>
        <w:t>de</w:t>
      </w:r>
      <w:r>
        <w:rPr>
          <w:color w:val="231F20"/>
          <w:spacing w:val="-8"/>
          <w:w w:val="115"/>
        </w:rPr>
        <w:t> </w:t>
      </w:r>
      <w:r>
        <w:rPr>
          <w:color w:val="231F20"/>
          <w:w w:val="115"/>
        </w:rPr>
        <w:t>la</w:t>
      </w:r>
      <w:r>
        <w:rPr>
          <w:color w:val="231F20"/>
          <w:spacing w:val="-8"/>
          <w:w w:val="115"/>
        </w:rPr>
        <w:t> </w:t>
      </w:r>
      <w:r>
        <w:rPr>
          <w:color w:val="231F20"/>
          <w:w w:val="115"/>
        </w:rPr>
        <w:t>réponse</w:t>
      </w:r>
      <w:r>
        <w:rPr>
          <w:color w:val="231F20"/>
          <w:spacing w:val="-8"/>
          <w:w w:val="115"/>
        </w:rPr>
        <w:t> </w:t>
      </w:r>
      <w:r>
        <w:rPr>
          <w:color w:val="231F20"/>
          <w:w w:val="115"/>
        </w:rPr>
        <w:t>non</w:t>
      </w:r>
      <w:r>
        <w:rPr>
          <w:color w:val="231F20"/>
          <w:spacing w:val="-8"/>
          <w:w w:val="115"/>
        </w:rPr>
        <w:t> </w:t>
      </w:r>
      <w:r>
        <w:rPr>
          <w:color w:val="231F20"/>
          <w:w w:val="115"/>
        </w:rPr>
        <w:t>spécifique,</w:t>
      </w:r>
      <w:r>
        <w:rPr>
          <w:color w:val="231F20"/>
          <w:spacing w:val="-8"/>
          <w:w w:val="115"/>
        </w:rPr>
        <w:t> </w:t>
      </w:r>
      <w:r>
        <w:rPr>
          <w:color w:val="231F20"/>
          <w:w w:val="115"/>
        </w:rPr>
        <w:t>qu’il </w:t>
      </w:r>
      <w:r>
        <w:rPr>
          <w:color w:val="231F20"/>
          <w:w w:val="120"/>
        </w:rPr>
        <w:t>définit</w:t>
      </w:r>
      <w:r>
        <w:rPr>
          <w:color w:val="231F20"/>
          <w:spacing w:val="-13"/>
          <w:w w:val="120"/>
        </w:rPr>
        <w:t> </w:t>
      </w:r>
      <w:r>
        <w:rPr>
          <w:color w:val="231F20"/>
          <w:w w:val="120"/>
        </w:rPr>
        <w:t>comme</w:t>
      </w:r>
      <w:r>
        <w:rPr>
          <w:color w:val="231F20"/>
          <w:spacing w:val="-13"/>
          <w:w w:val="120"/>
        </w:rPr>
        <w:t> </w:t>
      </w:r>
      <w:r>
        <w:rPr>
          <w:color w:val="231F20"/>
          <w:w w:val="120"/>
        </w:rPr>
        <w:t>étant</w:t>
      </w:r>
      <w:r>
        <w:rPr>
          <w:color w:val="231F20"/>
          <w:spacing w:val="-13"/>
          <w:w w:val="120"/>
        </w:rPr>
        <w:t> </w:t>
      </w:r>
      <w:r>
        <w:rPr>
          <w:color w:val="231F20"/>
          <w:w w:val="120"/>
        </w:rPr>
        <w:t>le</w:t>
      </w:r>
      <w:r>
        <w:rPr>
          <w:color w:val="231F20"/>
          <w:spacing w:val="-12"/>
          <w:w w:val="120"/>
        </w:rPr>
        <w:t> </w:t>
      </w:r>
      <w:r>
        <w:rPr>
          <w:i/>
          <w:color w:val="231F20"/>
          <w:w w:val="120"/>
        </w:rPr>
        <w:t>syndrome</w:t>
      </w:r>
      <w:r>
        <w:rPr>
          <w:i/>
          <w:color w:val="231F20"/>
          <w:spacing w:val="-13"/>
          <w:w w:val="120"/>
        </w:rPr>
        <w:t> </w:t>
      </w:r>
      <w:r>
        <w:rPr>
          <w:i/>
          <w:color w:val="231F20"/>
          <w:w w:val="120"/>
        </w:rPr>
        <w:t>général</w:t>
      </w:r>
      <w:r>
        <w:rPr>
          <w:i/>
          <w:color w:val="231F20"/>
          <w:spacing w:val="-13"/>
          <w:w w:val="120"/>
        </w:rPr>
        <w:t> </w:t>
      </w:r>
      <w:r>
        <w:rPr>
          <w:i/>
          <w:color w:val="231F20"/>
          <w:w w:val="120"/>
        </w:rPr>
        <w:t>d’adaptation</w:t>
      </w:r>
      <w:r>
        <w:rPr>
          <w:i/>
          <w:color w:val="231F20"/>
          <w:spacing w:val="-13"/>
          <w:w w:val="120"/>
        </w:rPr>
        <w:t> </w:t>
      </w:r>
      <w:r>
        <w:rPr>
          <w:color w:val="231F20"/>
          <w:w w:val="120"/>
        </w:rPr>
        <w:t>(SGA).</w:t>
      </w:r>
    </w:p>
    <w:p>
      <w:pPr>
        <w:pStyle w:val="BodyText"/>
        <w:spacing w:line="307" w:lineRule="auto" w:before="79"/>
        <w:ind w:left="510" w:right="491" w:firstLine="250"/>
        <w:jc w:val="both"/>
      </w:pPr>
      <w:r>
        <w:rPr>
          <w:color w:val="231F20"/>
          <w:w w:val="120"/>
        </w:rPr>
        <w:t>Ce syndrome renvoie aux divers changements que suscite dans l’organisme la présence plus ou moins constante d’un agent stressant. Comme on suppose que la réponse de l’organisme est la même, peu </w:t>
      </w:r>
      <w:r>
        <w:rPr>
          <w:color w:val="231F20"/>
          <w:spacing w:val="-2"/>
          <w:w w:val="120"/>
        </w:rPr>
        <w:t>importe</w:t>
      </w:r>
      <w:r>
        <w:rPr>
          <w:color w:val="231F20"/>
          <w:spacing w:val="-11"/>
          <w:w w:val="120"/>
        </w:rPr>
        <w:t> </w:t>
      </w:r>
      <w:r>
        <w:rPr>
          <w:color w:val="231F20"/>
          <w:spacing w:val="-2"/>
          <w:w w:val="120"/>
        </w:rPr>
        <w:t>l’agent</w:t>
      </w:r>
      <w:r>
        <w:rPr>
          <w:color w:val="231F20"/>
          <w:spacing w:val="-11"/>
          <w:w w:val="120"/>
        </w:rPr>
        <w:t> </w:t>
      </w:r>
      <w:r>
        <w:rPr>
          <w:color w:val="231F20"/>
          <w:spacing w:val="-2"/>
          <w:w w:val="120"/>
        </w:rPr>
        <w:t>stressant</w:t>
      </w:r>
      <w:r>
        <w:rPr>
          <w:color w:val="231F20"/>
          <w:spacing w:val="-11"/>
          <w:w w:val="120"/>
        </w:rPr>
        <w:t> </w:t>
      </w:r>
      <w:r>
        <w:rPr>
          <w:color w:val="231F20"/>
          <w:spacing w:val="-2"/>
          <w:w w:val="120"/>
        </w:rPr>
        <w:t>avec</w:t>
      </w:r>
      <w:r>
        <w:rPr>
          <w:color w:val="231F20"/>
          <w:spacing w:val="-10"/>
          <w:w w:val="120"/>
        </w:rPr>
        <w:t> </w:t>
      </w:r>
      <w:r>
        <w:rPr>
          <w:color w:val="231F20"/>
          <w:spacing w:val="-2"/>
          <w:w w:val="120"/>
        </w:rPr>
        <w:t>lequel</w:t>
      </w:r>
      <w:r>
        <w:rPr>
          <w:color w:val="231F20"/>
          <w:spacing w:val="-11"/>
          <w:w w:val="120"/>
        </w:rPr>
        <w:t> </w:t>
      </w:r>
      <w:r>
        <w:rPr>
          <w:color w:val="231F20"/>
          <w:spacing w:val="-2"/>
          <w:w w:val="120"/>
        </w:rPr>
        <w:t>il</w:t>
      </w:r>
      <w:r>
        <w:rPr>
          <w:color w:val="231F20"/>
          <w:spacing w:val="-11"/>
          <w:w w:val="120"/>
        </w:rPr>
        <w:t> </w:t>
      </w:r>
      <w:r>
        <w:rPr>
          <w:color w:val="231F20"/>
          <w:spacing w:val="-2"/>
          <w:w w:val="120"/>
        </w:rPr>
        <w:t>est</w:t>
      </w:r>
      <w:r>
        <w:rPr>
          <w:color w:val="231F20"/>
          <w:spacing w:val="-11"/>
          <w:w w:val="120"/>
        </w:rPr>
        <w:t> </w:t>
      </w:r>
      <w:r>
        <w:rPr>
          <w:color w:val="231F20"/>
          <w:spacing w:val="-2"/>
          <w:w w:val="120"/>
        </w:rPr>
        <w:t>aux</w:t>
      </w:r>
      <w:r>
        <w:rPr>
          <w:color w:val="231F20"/>
          <w:spacing w:val="-10"/>
          <w:w w:val="120"/>
        </w:rPr>
        <w:t> </w:t>
      </w:r>
      <w:r>
        <w:rPr>
          <w:color w:val="231F20"/>
          <w:spacing w:val="-2"/>
          <w:w w:val="120"/>
        </w:rPr>
        <w:t>prises,</w:t>
      </w:r>
      <w:r>
        <w:rPr>
          <w:color w:val="231F20"/>
          <w:spacing w:val="-11"/>
          <w:w w:val="120"/>
        </w:rPr>
        <w:t> </w:t>
      </w:r>
      <w:r>
        <w:rPr>
          <w:color w:val="231F20"/>
          <w:spacing w:val="-2"/>
          <w:w w:val="120"/>
        </w:rPr>
        <w:t>tous</w:t>
      </w:r>
      <w:r>
        <w:rPr>
          <w:color w:val="231F20"/>
          <w:spacing w:val="-11"/>
          <w:w w:val="120"/>
        </w:rPr>
        <w:t> </w:t>
      </w:r>
      <w:r>
        <w:rPr>
          <w:color w:val="231F20"/>
          <w:spacing w:val="-2"/>
          <w:w w:val="120"/>
        </w:rPr>
        <w:t>les</w:t>
      </w:r>
      <w:r>
        <w:rPr>
          <w:color w:val="231F20"/>
          <w:spacing w:val="-11"/>
          <w:w w:val="120"/>
        </w:rPr>
        <w:t> </w:t>
      </w:r>
      <w:r>
        <w:rPr>
          <w:color w:val="231F20"/>
          <w:spacing w:val="-2"/>
          <w:w w:val="120"/>
        </w:rPr>
        <w:t>organismes </w:t>
      </w:r>
      <w:r>
        <w:rPr>
          <w:color w:val="231F20"/>
          <w:w w:val="120"/>
        </w:rPr>
        <w:t>stressés activeront la même réponse généralisée et non spécifique. </w:t>
      </w:r>
      <w:r>
        <w:rPr>
          <w:color w:val="231F20"/>
          <w:w w:val="115"/>
        </w:rPr>
        <w:t>L’activation produite dans le contexte du SGA se déroule en trois phases </w:t>
      </w:r>
      <w:r>
        <w:rPr>
          <w:color w:val="231F20"/>
          <w:w w:val="120"/>
        </w:rPr>
        <w:t>(figure</w:t>
      </w:r>
      <w:r>
        <w:rPr>
          <w:color w:val="231F20"/>
          <w:spacing w:val="-13"/>
          <w:w w:val="120"/>
        </w:rPr>
        <w:t> </w:t>
      </w:r>
      <w:r>
        <w:rPr>
          <w:color w:val="231F20"/>
          <w:w w:val="120"/>
        </w:rPr>
        <w:t>2.4):</w:t>
      </w:r>
    </w:p>
    <w:p>
      <w:pPr>
        <w:pStyle w:val="ListParagraph"/>
        <w:numPr>
          <w:ilvl w:val="0"/>
          <w:numId w:val="23"/>
        </w:numPr>
        <w:tabs>
          <w:tab w:pos="1011" w:val="left" w:leader="none"/>
        </w:tabs>
        <w:spacing w:line="307" w:lineRule="auto" w:before="78" w:after="0"/>
        <w:ind w:left="1010" w:right="496" w:hanging="251"/>
        <w:jc w:val="both"/>
        <w:rPr>
          <w:sz w:val="17"/>
        </w:rPr>
      </w:pPr>
      <w:r>
        <w:rPr>
          <w:color w:val="231F20"/>
          <w:w w:val="115"/>
          <w:sz w:val="17"/>
        </w:rPr>
        <w:t>La</w:t>
      </w:r>
      <w:r>
        <w:rPr>
          <w:color w:val="231F20"/>
          <w:spacing w:val="-13"/>
          <w:w w:val="115"/>
          <w:sz w:val="17"/>
        </w:rPr>
        <w:t> </w:t>
      </w:r>
      <w:r>
        <w:rPr>
          <w:color w:val="231F20"/>
          <w:w w:val="115"/>
          <w:sz w:val="17"/>
        </w:rPr>
        <w:t>première</w:t>
      </w:r>
      <w:r>
        <w:rPr>
          <w:color w:val="231F20"/>
          <w:spacing w:val="-12"/>
          <w:w w:val="115"/>
          <w:sz w:val="17"/>
        </w:rPr>
        <w:t> </w:t>
      </w:r>
      <w:r>
        <w:rPr>
          <w:color w:val="231F20"/>
          <w:w w:val="115"/>
          <w:sz w:val="17"/>
        </w:rPr>
        <w:t>phase</w:t>
      </w:r>
      <w:r>
        <w:rPr>
          <w:color w:val="231F20"/>
          <w:spacing w:val="-12"/>
          <w:w w:val="115"/>
          <w:sz w:val="17"/>
        </w:rPr>
        <w:t> </w:t>
      </w:r>
      <w:r>
        <w:rPr>
          <w:color w:val="231F20"/>
          <w:w w:val="115"/>
          <w:sz w:val="17"/>
        </w:rPr>
        <w:t>est</w:t>
      </w:r>
      <w:r>
        <w:rPr>
          <w:color w:val="231F20"/>
          <w:spacing w:val="-12"/>
          <w:w w:val="115"/>
          <w:sz w:val="17"/>
        </w:rPr>
        <w:t> </w:t>
      </w:r>
      <w:r>
        <w:rPr>
          <w:color w:val="231F20"/>
          <w:w w:val="115"/>
          <w:sz w:val="17"/>
        </w:rPr>
        <w:t>celle</w:t>
      </w:r>
      <w:r>
        <w:rPr>
          <w:color w:val="231F20"/>
          <w:spacing w:val="-13"/>
          <w:w w:val="115"/>
          <w:sz w:val="17"/>
        </w:rPr>
        <w:t> </w:t>
      </w:r>
      <w:r>
        <w:rPr>
          <w:color w:val="231F20"/>
          <w:w w:val="115"/>
          <w:sz w:val="17"/>
        </w:rPr>
        <w:t>de</w:t>
      </w:r>
      <w:r>
        <w:rPr>
          <w:color w:val="231F20"/>
          <w:spacing w:val="-12"/>
          <w:w w:val="115"/>
          <w:sz w:val="17"/>
        </w:rPr>
        <w:t> </w:t>
      </w:r>
      <w:r>
        <w:rPr>
          <w:i/>
          <w:color w:val="231F20"/>
          <w:w w:val="115"/>
          <w:sz w:val="17"/>
        </w:rPr>
        <w:t>l’alerte</w:t>
      </w:r>
      <w:r>
        <w:rPr>
          <w:color w:val="231F20"/>
          <w:w w:val="115"/>
          <w:sz w:val="17"/>
        </w:rPr>
        <w:t>.</w:t>
      </w:r>
      <w:r>
        <w:rPr>
          <w:color w:val="231F20"/>
          <w:spacing w:val="-12"/>
          <w:w w:val="115"/>
          <w:sz w:val="17"/>
        </w:rPr>
        <w:t> </w:t>
      </w:r>
      <w:r>
        <w:rPr>
          <w:color w:val="231F20"/>
          <w:w w:val="115"/>
          <w:sz w:val="17"/>
        </w:rPr>
        <w:t>Comme</w:t>
      </w:r>
      <w:r>
        <w:rPr>
          <w:color w:val="231F20"/>
          <w:spacing w:val="-12"/>
          <w:w w:val="115"/>
          <w:sz w:val="17"/>
        </w:rPr>
        <w:t> </w:t>
      </w:r>
      <w:r>
        <w:rPr>
          <w:color w:val="231F20"/>
          <w:w w:val="115"/>
          <w:sz w:val="17"/>
        </w:rPr>
        <w:t>l’avait</w:t>
      </w:r>
      <w:r>
        <w:rPr>
          <w:color w:val="231F20"/>
          <w:spacing w:val="-12"/>
          <w:w w:val="115"/>
          <w:sz w:val="17"/>
        </w:rPr>
        <w:t> </w:t>
      </w:r>
      <w:r>
        <w:rPr>
          <w:color w:val="231F20"/>
          <w:w w:val="115"/>
          <w:sz w:val="17"/>
        </w:rPr>
        <w:t>observé</w:t>
      </w:r>
      <w:r>
        <w:rPr>
          <w:color w:val="231F20"/>
          <w:spacing w:val="-13"/>
          <w:w w:val="115"/>
          <w:sz w:val="17"/>
        </w:rPr>
        <w:t> </w:t>
      </w:r>
      <w:r>
        <w:rPr>
          <w:color w:val="231F20"/>
          <w:w w:val="115"/>
          <w:sz w:val="17"/>
        </w:rPr>
        <w:t>aussi </w:t>
      </w:r>
      <w:r>
        <w:rPr>
          <w:color w:val="231F20"/>
          <w:w w:val="120"/>
          <w:sz w:val="17"/>
        </w:rPr>
        <w:t>Cannon,</w:t>
      </w:r>
      <w:r>
        <w:rPr>
          <w:color w:val="231F20"/>
          <w:spacing w:val="-4"/>
          <w:w w:val="120"/>
          <w:sz w:val="17"/>
        </w:rPr>
        <w:t> </w:t>
      </w:r>
      <w:r>
        <w:rPr>
          <w:color w:val="231F20"/>
          <w:w w:val="120"/>
          <w:sz w:val="17"/>
        </w:rPr>
        <w:t>elle</w:t>
      </w:r>
      <w:r>
        <w:rPr>
          <w:color w:val="231F20"/>
          <w:spacing w:val="-4"/>
          <w:w w:val="120"/>
          <w:sz w:val="17"/>
        </w:rPr>
        <w:t> </w:t>
      </w:r>
      <w:r>
        <w:rPr>
          <w:color w:val="231F20"/>
          <w:w w:val="120"/>
          <w:sz w:val="17"/>
        </w:rPr>
        <w:t>se</w:t>
      </w:r>
      <w:r>
        <w:rPr>
          <w:color w:val="231F20"/>
          <w:spacing w:val="-4"/>
          <w:w w:val="120"/>
          <w:sz w:val="17"/>
        </w:rPr>
        <w:t> </w:t>
      </w:r>
      <w:r>
        <w:rPr>
          <w:color w:val="231F20"/>
          <w:w w:val="120"/>
          <w:sz w:val="17"/>
        </w:rPr>
        <w:t>produit</w:t>
      </w:r>
      <w:r>
        <w:rPr>
          <w:color w:val="231F20"/>
          <w:spacing w:val="-4"/>
          <w:w w:val="120"/>
          <w:sz w:val="17"/>
        </w:rPr>
        <w:t> </w:t>
      </w:r>
      <w:r>
        <w:rPr>
          <w:color w:val="231F20"/>
          <w:w w:val="120"/>
          <w:sz w:val="17"/>
        </w:rPr>
        <w:t>au</w:t>
      </w:r>
      <w:r>
        <w:rPr>
          <w:color w:val="231F20"/>
          <w:spacing w:val="-4"/>
          <w:w w:val="120"/>
          <w:sz w:val="17"/>
        </w:rPr>
        <w:t> </w:t>
      </w:r>
      <w:r>
        <w:rPr>
          <w:color w:val="231F20"/>
          <w:w w:val="120"/>
          <w:sz w:val="17"/>
        </w:rPr>
        <w:t>moment</w:t>
      </w:r>
      <w:r>
        <w:rPr>
          <w:color w:val="231F20"/>
          <w:spacing w:val="-4"/>
          <w:w w:val="120"/>
          <w:sz w:val="17"/>
        </w:rPr>
        <w:t> </w:t>
      </w:r>
      <w:r>
        <w:rPr>
          <w:color w:val="231F20"/>
          <w:w w:val="120"/>
          <w:sz w:val="17"/>
        </w:rPr>
        <w:t>même</w:t>
      </w:r>
      <w:r>
        <w:rPr>
          <w:color w:val="231F20"/>
          <w:spacing w:val="-4"/>
          <w:w w:val="120"/>
          <w:sz w:val="17"/>
        </w:rPr>
        <w:t> </w:t>
      </w:r>
      <w:r>
        <w:rPr>
          <w:color w:val="231F20"/>
          <w:w w:val="120"/>
          <w:sz w:val="17"/>
        </w:rPr>
        <w:t>où</w:t>
      </w:r>
      <w:r>
        <w:rPr>
          <w:color w:val="231F20"/>
          <w:spacing w:val="-4"/>
          <w:w w:val="120"/>
          <w:sz w:val="17"/>
        </w:rPr>
        <w:t> </w:t>
      </w:r>
      <w:r>
        <w:rPr>
          <w:color w:val="231F20"/>
          <w:w w:val="120"/>
          <w:sz w:val="17"/>
        </w:rPr>
        <w:t>l’organisme</w:t>
      </w:r>
      <w:r>
        <w:rPr>
          <w:color w:val="231F20"/>
          <w:spacing w:val="-4"/>
          <w:w w:val="120"/>
          <w:sz w:val="17"/>
        </w:rPr>
        <w:t> </w:t>
      </w:r>
      <w:r>
        <w:rPr>
          <w:color w:val="231F20"/>
          <w:w w:val="120"/>
          <w:sz w:val="17"/>
        </w:rPr>
        <w:t>repère </w:t>
      </w:r>
      <w:r>
        <w:rPr>
          <w:color w:val="231F20"/>
          <w:spacing w:val="-2"/>
          <w:w w:val="120"/>
          <w:sz w:val="17"/>
        </w:rPr>
        <w:t>soudainement</w:t>
      </w:r>
      <w:r>
        <w:rPr>
          <w:color w:val="231F20"/>
          <w:spacing w:val="-10"/>
          <w:w w:val="120"/>
          <w:sz w:val="17"/>
        </w:rPr>
        <w:t> </w:t>
      </w:r>
      <w:r>
        <w:rPr>
          <w:color w:val="231F20"/>
          <w:spacing w:val="-2"/>
          <w:w w:val="120"/>
          <w:sz w:val="17"/>
        </w:rPr>
        <w:t>une</w:t>
      </w:r>
      <w:r>
        <w:rPr>
          <w:color w:val="231F20"/>
          <w:spacing w:val="-10"/>
          <w:w w:val="120"/>
          <w:sz w:val="17"/>
        </w:rPr>
        <w:t> </w:t>
      </w:r>
      <w:r>
        <w:rPr>
          <w:color w:val="231F20"/>
          <w:spacing w:val="-2"/>
          <w:w w:val="120"/>
          <w:sz w:val="17"/>
        </w:rPr>
        <w:t>menace</w:t>
      </w:r>
      <w:r>
        <w:rPr>
          <w:color w:val="231F20"/>
          <w:spacing w:val="-10"/>
          <w:w w:val="120"/>
          <w:sz w:val="17"/>
        </w:rPr>
        <w:t> </w:t>
      </w:r>
      <w:r>
        <w:rPr>
          <w:color w:val="231F20"/>
          <w:spacing w:val="-2"/>
          <w:w w:val="120"/>
          <w:sz w:val="17"/>
        </w:rPr>
        <w:t>ou</w:t>
      </w:r>
      <w:r>
        <w:rPr>
          <w:color w:val="231F20"/>
          <w:spacing w:val="-10"/>
          <w:w w:val="120"/>
          <w:sz w:val="17"/>
        </w:rPr>
        <w:t> </w:t>
      </w:r>
      <w:r>
        <w:rPr>
          <w:color w:val="231F20"/>
          <w:spacing w:val="-2"/>
          <w:w w:val="120"/>
          <w:sz w:val="17"/>
        </w:rPr>
        <w:t>une</w:t>
      </w:r>
      <w:r>
        <w:rPr>
          <w:color w:val="231F20"/>
          <w:spacing w:val="-10"/>
          <w:w w:val="120"/>
          <w:sz w:val="17"/>
        </w:rPr>
        <w:t> </w:t>
      </w:r>
      <w:r>
        <w:rPr>
          <w:color w:val="231F20"/>
          <w:spacing w:val="-2"/>
          <w:w w:val="120"/>
          <w:sz w:val="17"/>
        </w:rPr>
        <w:t>situation</w:t>
      </w:r>
      <w:r>
        <w:rPr>
          <w:color w:val="231F20"/>
          <w:spacing w:val="-10"/>
          <w:w w:val="120"/>
          <w:sz w:val="17"/>
        </w:rPr>
        <w:t> </w:t>
      </w:r>
      <w:r>
        <w:rPr>
          <w:color w:val="231F20"/>
          <w:spacing w:val="-2"/>
          <w:w w:val="120"/>
          <w:sz w:val="17"/>
        </w:rPr>
        <w:t>stressante.</w:t>
      </w:r>
      <w:r>
        <w:rPr>
          <w:color w:val="231F20"/>
          <w:spacing w:val="-10"/>
          <w:w w:val="120"/>
          <w:sz w:val="17"/>
        </w:rPr>
        <w:t> </w:t>
      </w:r>
      <w:r>
        <w:rPr>
          <w:color w:val="231F20"/>
          <w:spacing w:val="-2"/>
          <w:w w:val="120"/>
          <w:sz w:val="17"/>
        </w:rPr>
        <w:t>Cette</w:t>
      </w:r>
      <w:r>
        <w:rPr>
          <w:color w:val="231F20"/>
          <w:spacing w:val="-10"/>
          <w:w w:val="120"/>
          <w:sz w:val="17"/>
        </w:rPr>
        <w:t> </w:t>
      </w:r>
      <w:r>
        <w:rPr>
          <w:color w:val="231F20"/>
          <w:spacing w:val="-2"/>
          <w:w w:val="120"/>
          <w:sz w:val="17"/>
        </w:rPr>
        <w:t>phase </w:t>
      </w:r>
      <w:r>
        <w:rPr>
          <w:color w:val="231F20"/>
          <w:w w:val="115"/>
          <w:sz w:val="17"/>
        </w:rPr>
        <w:t>que</w:t>
      </w:r>
      <w:r>
        <w:rPr>
          <w:color w:val="231F20"/>
          <w:spacing w:val="-8"/>
          <w:w w:val="115"/>
          <w:sz w:val="17"/>
        </w:rPr>
        <w:t> </w:t>
      </w:r>
      <w:r>
        <w:rPr>
          <w:color w:val="231F20"/>
          <w:w w:val="115"/>
          <w:sz w:val="17"/>
        </w:rPr>
        <w:t>l’on</w:t>
      </w:r>
      <w:r>
        <w:rPr>
          <w:color w:val="231F20"/>
          <w:spacing w:val="-8"/>
          <w:w w:val="115"/>
          <w:sz w:val="17"/>
        </w:rPr>
        <w:t> </w:t>
      </w:r>
      <w:r>
        <w:rPr>
          <w:color w:val="231F20"/>
          <w:w w:val="115"/>
          <w:sz w:val="17"/>
        </w:rPr>
        <w:t>peut</w:t>
      </w:r>
      <w:r>
        <w:rPr>
          <w:color w:val="231F20"/>
          <w:spacing w:val="-8"/>
          <w:w w:val="115"/>
          <w:sz w:val="17"/>
        </w:rPr>
        <w:t> </w:t>
      </w:r>
      <w:r>
        <w:rPr>
          <w:color w:val="231F20"/>
          <w:w w:val="115"/>
          <w:sz w:val="17"/>
        </w:rPr>
        <w:t>associer</w:t>
      </w:r>
      <w:r>
        <w:rPr>
          <w:color w:val="231F20"/>
          <w:spacing w:val="-8"/>
          <w:w w:val="115"/>
          <w:sz w:val="17"/>
        </w:rPr>
        <w:t> </w:t>
      </w:r>
      <w:r>
        <w:rPr>
          <w:color w:val="231F20"/>
          <w:w w:val="115"/>
          <w:sz w:val="17"/>
        </w:rPr>
        <w:t>à</w:t>
      </w:r>
      <w:r>
        <w:rPr>
          <w:color w:val="231F20"/>
          <w:spacing w:val="-8"/>
          <w:w w:val="115"/>
          <w:sz w:val="17"/>
        </w:rPr>
        <w:t> </w:t>
      </w:r>
      <w:r>
        <w:rPr>
          <w:color w:val="231F20"/>
          <w:w w:val="115"/>
          <w:sz w:val="17"/>
        </w:rPr>
        <w:t>une</w:t>
      </w:r>
      <w:r>
        <w:rPr>
          <w:color w:val="231F20"/>
          <w:spacing w:val="-8"/>
          <w:w w:val="115"/>
          <w:sz w:val="17"/>
        </w:rPr>
        <w:t> </w:t>
      </w:r>
      <w:r>
        <w:rPr>
          <w:color w:val="231F20"/>
          <w:w w:val="115"/>
          <w:sz w:val="17"/>
        </w:rPr>
        <w:t>forme</w:t>
      </w:r>
      <w:r>
        <w:rPr>
          <w:color w:val="231F20"/>
          <w:spacing w:val="-8"/>
          <w:w w:val="115"/>
          <w:sz w:val="17"/>
        </w:rPr>
        <w:t> </w:t>
      </w:r>
      <w:r>
        <w:rPr>
          <w:color w:val="231F20"/>
          <w:w w:val="115"/>
          <w:sz w:val="17"/>
        </w:rPr>
        <w:t>de</w:t>
      </w:r>
      <w:r>
        <w:rPr>
          <w:color w:val="231F20"/>
          <w:spacing w:val="-8"/>
          <w:w w:val="115"/>
          <w:sz w:val="17"/>
        </w:rPr>
        <w:t> </w:t>
      </w:r>
      <w:r>
        <w:rPr>
          <w:color w:val="231F20"/>
          <w:w w:val="115"/>
          <w:sz w:val="17"/>
        </w:rPr>
        <w:t>défense</w:t>
      </w:r>
      <w:r>
        <w:rPr>
          <w:color w:val="231F20"/>
          <w:spacing w:val="-8"/>
          <w:w w:val="115"/>
          <w:sz w:val="17"/>
        </w:rPr>
        <w:t> </w:t>
      </w:r>
      <w:r>
        <w:rPr>
          <w:color w:val="231F20"/>
          <w:w w:val="115"/>
          <w:sz w:val="17"/>
        </w:rPr>
        <w:t>passive</w:t>
      </w:r>
      <w:r>
        <w:rPr>
          <w:color w:val="231F20"/>
          <w:spacing w:val="-8"/>
          <w:w w:val="115"/>
          <w:sz w:val="17"/>
        </w:rPr>
        <w:t> </w:t>
      </w:r>
      <w:r>
        <w:rPr>
          <w:color w:val="231F20"/>
          <w:w w:val="115"/>
          <w:sz w:val="17"/>
        </w:rPr>
        <w:t>se</w:t>
      </w:r>
      <w:r>
        <w:rPr>
          <w:color w:val="231F20"/>
          <w:spacing w:val="-8"/>
          <w:w w:val="115"/>
          <w:sz w:val="17"/>
        </w:rPr>
        <w:t> </w:t>
      </w:r>
      <w:r>
        <w:rPr>
          <w:color w:val="231F20"/>
          <w:w w:val="115"/>
          <w:sz w:val="17"/>
        </w:rPr>
        <w:t>caractérise </w:t>
      </w:r>
      <w:r>
        <w:rPr>
          <w:color w:val="231F20"/>
          <w:w w:val="120"/>
          <w:sz w:val="17"/>
        </w:rPr>
        <w:t>par la libération de diverses hormones qui mettent l’organisme en alerte et qui lui permettent de faire face à la situation et de la surmonter,</w:t>
      </w:r>
      <w:r>
        <w:rPr>
          <w:color w:val="231F20"/>
          <w:spacing w:val="-4"/>
          <w:w w:val="120"/>
          <w:sz w:val="17"/>
        </w:rPr>
        <w:t> </w:t>
      </w:r>
      <w:r>
        <w:rPr>
          <w:color w:val="231F20"/>
          <w:w w:val="120"/>
          <w:sz w:val="17"/>
        </w:rPr>
        <w:t>mobilisant</w:t>
      </w:r>
      <w:r>
        <w:rPr>
          <w:color w:val="231F20"/>
          <w:spacing w:val="-4"/>
          <w:w w:val="120"/>
          <w:sz w:val="17"/>
        </w:rPr>
        <w:t> </w:t>
      </w:r>
      <w:r>
        <w:rPr>
          <w:color w:val="231F20"/>
          <w:w w:val="120"/>
          <w:sz w:val="17"/>
        </w:rPr>
        <w:t>des</w:t>
      </w:r>
      <w:r>
        <w:rPr>
          <w:color w:val="231F20"/>
          <w:spacing w:val="-4"/>
          <w:w w:val="120"/>
          <w:sz w:val="17"/>
        </w:rPr>
        <w:t> </w:t>
      </w:r>
      <w:r>
        <w:rPr>
          <w:color w:val="231F20"/>
          <w:w w:val="120"/>
          <w:sz w:val="17"/>
        </w:rPr>
        <w:t>ressources</w:t>
      </w:r>
      <w:r>
        <w:rPr>
          <w:color w:val="231F20"/>
          <w:spacing w:val="-4"/>
          <w:w w:val="120"/>
          <w:sz w:val="17"/>
        </w:rPr>
        <w:t> </w:t>
      </w:r>
      <w:r>
        <w:rPr>
          <w:color w:val="231F20"/>
          <w:w w:val="120"/>
          <w:sz w:val="17"/>
        </w:rPr>
        <w:t>exceptionnelles</w:t>
      </w:r>
      <w:r>
        <w:rPr>
          <w:color w:val="231F20"/>
          <w:spacing w:val="-4"/>
          <w:w w:val="120"/>
          <w:sz w:val="17"/>
        </w:rPr>
        <w:t> </w:t>
      </w:r>
      <w:r>
        <w:rPr>
          <w:color w:val="231F20"/>
          <w:w w:val="120"/>
          <w:sz w:val="17"/>
        </w:rPr>
        <w:t>à</w:t>
      </w:r>
      <w:r>
        <w:rPr>
          <w:color w:val="231F20"/>
          <w:spacing w:val="-4"/>
          <w:w w:val="120"/>
          <w:sz w:val="17"/>
        </w:rPr>
        <w:t> </w:t>
      </w:r>
      <w:r>
        <w:rPr>
          <w:color w:val="231F20"/>
          <w:w w:val="120"/>
          <w:sz w:val="17"/>
        </w:rPr>
        <w:t>cette</w:t>
      </w:r>
      <w:r>
        <w:rPr>
          <w:color w:val="231F20"/>
          <w:spacing w:val="-4"/>
          <w:w w:val="120"/>
          <w:sz w:val="17"/>
        </w:rPr>
        <w:t> </w:t>
      </w:r>
      <w:r>
        <w:rPr>
          <w:color w:val="231F20"/>
          <w:w w:val="120"/>
          <w:sz w:val="17"/>
        </w:rPr>
        <w:t>fin.</w:t>
      </w:r>
    </w:p>
    <w:p>
      <w:pPr>
        <w:pStyle w:val="ListParagraph"/>
        <w:numPr>
          <w:ilvl w:val="0"/>
          <w:numId w:val="23"/>
        </w:numPr>
        <w:tabs>
          <w:tab w:pos="1011" w:val="left" w:leader="none"/>
        </w:tabs>
        <w:spacing w:line="307" w:lineRule="auto" w:before="78" w:after="0"/>
        <w:ind w:left="1010" w:right="488" w:hanging="251"/>
        <w:jc w:val="both"/>
        <w:rPr>
          <w:sz w:val="17"/>
        </w:rPr>
      </w:pPr>
      <w:r>
        <w:rPr>
          <w:color w:val="231F20"/>
          <w:w w:val="120"/>
          <w:sz w:val="17"/>
        </w:rPr>
        <w:t>Le</w:t>
      </w:r>
      <w:r>
        <w:rPr>
          <w:color w:val="231F20"/>
          <w:w w:val="120"/>
          <w:sz w:val="17"/>
        </w:rPr>
        <w:t> prolongement</w:t>
      </w:r>
      <w:r>
        <w:rPr>
          <w:color w:val="231F20"/>
          <w:w w:val="120"/>
          <w:sz w:val="17"/>
        </w:rPr>
        <w:t> ou</w:t>
      </w:r>
      <w:r>
        <w:rPr>
          <w:color w:val="231F20"/>
          <w:w w:val="120"/>
          <w:sz w:val="17"/>
        </w:rPr>
        <w:t> l’échec</w:t>
      </w:r>
      <w:r>
        <w:rPr>
          <w:color w:val="231F20"/>
          <w:w w:val="120"/>
          <w:sz w:val="17"/>
        </w:rPr>
        <w:t> de</w:t>
      </w:r>
      <w:r>
        <w:rPr>
          <w:color w:val="231F20"/>
          <w:w w:val="120"/>
          <w:sz w:val="17"/>
        </w:rPr>
        <w:t> cette</w:t>
      </w:r>
      <w:r>
        <w:rPr>
          <w:color w:val="231F20"/>
          <w:w w:val="120"/>
          <w:sz w:val="17"/>
        </w:rPr>
        <w:t> stratégie</w:t>
      </w:r>
      <w:r>
        <w:rPr>
          <w:color w:val="231F20"/>
          <w:w w:val="120"/>
          <w:sz w:val="17"/>
        </w:rPr>
        <w:t> enclenche</w:t>
      </w:r>
      <w:r>
        <w:rPr>
          <w:color w:val="231F20"/>
          <w:w w:val="120"/>
          <w:sz w:val="17"/>
        </w:rPr>
        <w:t> </w:t>
      </w:r>
      <w:r>
        <w:rPr>
          <w:color w:val="231F20"/>
          <w:w w:val="120"/>
          <w:sz w:val="17"/>
        </w:rPr>
        <w:t>la</w:t>
      </w:r>
      <w:r>
        <w:rPr>
          <w:color w:val="231F20"/>
          <w:w w:val="120"/>
          <w:sz w:val="17"/>
        </w:rPr>
        <w:t> deuxième</w:t>
      </w:r>
      <w:r>
        <w:rPr>
          <w:color w:val="231F20"/>
          <w:spacing w:val="-11"/>
          <w:w w:val="120"/>
          <w:sz w:val="17"/>
        </w:rPr>
        <w:t> </w:t>
      </w:r>
      <w:r>
        <w:rPr>
          <w:color w:val="231F20"/>
          <w:w w:val="120"/>
          <w:sz w:val="17"/>
        </w:rPr>
        <w:t>phase,</w:t>
      </w:r>
      <w:r>
        <w:rPr>
          <w:color w:val="231F20"/>
          <w:spacing w:val="-11"/>
          <w:w w:val="120"/>
          <w:sz w:val="17"/>
        </w:rPr>
        <w:t> </w:t>
      </w:r>
      <w:r>
        <w:rPr>
          <w:color w:val="231F20"/>
          <w:w w:val="120"/>
          <w:sz w:val="17"/>
        </w:rPr>
        <w:t>celle</w:t>
      </w:r>
      <w:r>
        <w:rPr>
          <w:color w:val="231F20"/>
          <w:spacing w:val="-11"/>
          <w:w w:val="120"/>
          <w:sz w:val="17"/>
        </w:rPr>
        <w:t> </w:t>
      </w:r>
      <w:r>
        <w:rPr>
          <w:color w:val="231F20"/>
          <w:w w:val="120"/>
          <w:sz w:val="17"/>
        </w:rPr>
        <w:t>de</w:t>
      </w:r>
      <w:r>
        <w:rPr>
          <w:color w:val="231F20"/>
          <w:spacing w:val="-11"/>
          <w:w w:val="120"/>
          <w:sz w:val="17"/>
        </w:rPr>
        <w:t> </w:t>
      </w:r>
      <w:r>
        <w:rPr>
          <w:i/>
          <w:color w:val="231F20"/>
          <w:w w:val="120"/>
          <w:sz w:val="17"/>
        </w:rPr>
        <w:t>la</w:t>
      </w:r>
      <w:r>
        <w:rPr>
          <w:i/>
          <w:color w:val="231F20"/>
          <w:spacing w:val="-11"/>
          <w:w w:val="120"/>
          <w:sz w:val="17"/>
        </w:rPr>
        <w:t> </w:t>
      </w:r>
      <w:r>
        <w:rPr>
          <w:i/>
          <w:color w:val="231F20"/>
          <w:w w:val="120"/>
          <w:sz w:val="17"/>
        </w:rPr>
        <w:t>résistance</w:t>
      </w:r>
      <w:r>
        <w:rPr>
          <w:i/>
          <w:color w:val="231F20"/>
          <w:spacing w:val="-11"/>
          <w:w w:val="120"/>
          <w:sz w:val="17"/>
        </w:rPr>
        <w:t> </w:t>
      </w:r>
      <w:r>
        <w:rPr>
          <w:color w:val="231F20"/>
          <w:w w:val="120"/>
          <w:sz w:val="17"/>
        </w:rPr>
        <w:t>ou</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la</w:t>
      </w:r>
      <w:r>
        <w:rPr>
          <w:color w:val="231F20"/>
          <w:spacing w:val="-11"/>
          <w:w w:val="120"/>
          <w:sz w:val="17"/>
        </w:rPr>
        <w:t> </w:t>
      </w:r>
      <w:r>
        <w:rPr>
          <w:color w:val="231F20"/>
          <w:w w:val="120"/>
          <w:sz w:val="17"/>
        </w:rPr>
        <w:t>défense</w:t>
      </w:r>
      <w:r>
        <w:rPr>
          <w:color w:val="231F20"/>
          <w:spacing w:val="-11"/>
          <w:w w:val="120"/>
          <w:sz w:val="17"/>
        </w:rPr>
        <w:t> </w:t>
      </w:r>
      <w:r>
        <w:rPr>
          <w:color w:val="231F20"/>
          <w:w w:val="120"/>
          <w:sz w:val="17"/>
        </w:rPr>
        <w:t>active,</w:t>
      </w:r>
      <w:r>
        <w:rPr>
          <w:color w:val="231F20"/>
          <w:spacing w:val="-11"/>
          <w:w w:val="120"/>
          <w:sz w:val="17"/>
        </w:rPr>
        <w:t> </w:t>
      </w:r>
      <w:r>
        <w:rPr>
          <w:color w:val="231F20"/>
          <w:w w:val="120"/>
          <w:sz w:val="17"/>
        </w:rPr>
        <w:t>où </w:t>
      </w:r>
      <w:r>
        <w:rPr>
          <w:color w:val="231F20"/>
          <w:w w:val="115"/>
          <w:sz w:val="17"/>
        </w:rPr>
        <w:t>l’activation reste élevée, bien qu’inférieure à celle de la phase pré- </w:t>
      </w:r>
      <w:r>
        <w:rPr>
          <w:color w:val="231F20"/>
          <w:w w:val="120"/>
          <w:sz w:val="17"/>
        </w:rPr>
        <w:t>cédente,</w:t>
      </w:r>
      <w:r>
        <w:rPr>
          <w:color w:val="231F20"/>
          <w:spacing w:val="-5"/>
          <w:w w:val="120"/>
          <w:sz w:val="17"/>
        </w:rPr>
        <w:t> </w:t>
      </w:r>
      <w:r>
        <w:rPr>
          <w:color w:val="231F20"/>
          <w:w w:val="120"/>
          <w:sz w:val="17"/>
        </w:rPr>
        <w:t>et</w:t>
      </w:r>
      <w:r>
        <w:rPr>
          <w:color w:val="231F20"/>
          <w:spacing w:val="-5"/>
          <w:w w:val="120"/>
          <w:sz w:val="17"/>
        </w:rPr>
        <w:t> </w:t>
      </w:r>
      <w:r>
        <w:rPr>
          <w:color w:val="231F20"/>
          <w:w w:val="120"/>
          <w:sz w:val="17"/>
        </w:rPr>
        <w:t>qui</w:t>
      </w:r>
      <w:r>
        <w:rPr>
          <w:color w:val="231F20"/>
          <w:spacing w:val="-5"/>
          <w:w w:val="120"/>
          <w:sz w:val="17"/>
        </w:rPr>
        <w:t> </w:t>
      </w:r>
      <w:r>
        <w:rPr>
          <w:color w:val="231F20"/>
          <w:w w:val="120"/>
          <w:sz w:val="17"/>
        </w:rPr>
        <w:t>a</w:t>
      </w:r>
      <w:r>
        <w:rPr>
          <w:color w:val="231F20"/>
          <w:spacing w:val="-5"/>
          <w:w w:val="120"/>
          <w:sz w:val="17"/>
        </w:rPr>
        <w:t> </w:t>
      </w:r>
      <w:r>
        <w:rPr>
          <w:color w:val="231F20"/>
          <w:w w:val="120"/>
          <w:sz w:val="17"/>
        </w:rPr>
        <w:t>pour</w:t>
      </w:r>
      <w:r>
        <w:rPr>
          <w:color w:val="231F20"/>
          <w:spacing w:val="-5"/>
          <w:w w:val="120"/>
          <w:sz w:val="17"/>
        </w:rPr>
        <w:t> </w:t>
      </w:r>
      <w:r>
        <w:rPr>
          <w:color w:val="231F20"/>
          <w:w w:val="120"/>
          <w:sz w:val="17"/>
        </w:rPr>
        <w:t>but</w:t>
      </w:r>
      <w:r>
        <w:rPr>
          <w:color w:val="231F20"/>
          <w:spacing w:val="-5"/>
          <w:w w:val="120"/>
          <w:sz w:val="17"/>
        </w:rPr>
        <w:t> </w:t>
      </w:r>
      <w:r>
        <w:rPr>
          <w:color w:val="231F20"/>
          <w:w w:val="120"/>
          <w:sz w:val="17"/>
        </w:rPr>
        <w:t>d’atténuer</w:t>
      </w:r>
      <w:r>
        <w:rPr>
          <w:color w:val="231F20"/>
          <w:spacing w:val="-5"/>
          <w:w w:val="120"/>
          <w:sz w:val="17"/>
        </w:rPr>
        <w:t> </w:t>
      </w:r>
      <w:r>
        <w:rPr>
          <w:color w:val="231F20"/>
          <w:w w:val="120"/>
          <w:sz w:val="17"/>
        </w:rPr>
        <w:t>la</w:t>
      </w:r>
      <w:r>
        <w:rPr>
          <w:color w:val="231F20"/>
          <w:spacing w:val="-5"/>
          <w:w w:val="120"/>
          <w:sz w:val="17"/>
        </w:rPr>
        <w:t> </w:t>
      </w:r>
      <w:r>
        <w:rPr>
          <w:color w:val="231F20"/>
          <w:w w:val="120"/>
          <w:sz w:val="17"/>
        </w:rPr>
        <w:t>situation</w:t>
      </w:r>
      <w:r>
        <w:rPr>
          <w:color w:val="231F20"/>
          <w:spacing w:val="-5"/>
          <w:w w:val="120"/>
          <w:sz w:val="17"/>
        </w:rPr>
        <w:t> </w:t>
      </w:r>
      <w:r>
        <w:rPr>
          <w:color w:val="231F20"/>
          <w:w w:val="120"/>
          <w:sz w:val="17"/>
        </w:rPr>
        <w:t>stressante.</w:t>
      </w:r>
      <w:r>
        <w:rPr>
          <w:color w:val="231F20"/>
          <w:spacing w:val="-5"/>
          <w:w w:val="120"/>
          <w:sz w:val="17"/>
        </w:rPr>
        <w:t> </w:t>
      </w:r>
      <w:r>
        <w:rPr>
          <w:color w:val="231F20"/>
          <w:w w:val="120"/>
          <w:sz w:val="17"/>
        </w:rPr>
        <w:t>Cette hyperactivation</w:t>
      </w:r>
      <w:r>
        <w:rPr>
          <w:color w:val="231F20"/>
          <w:spacing w:val="-13"/>
          <w:w w:val="120"/>
          <w:sz w:val="17"/>
        </w:rPr>
        <w:t> </w:t>
      </w:r>
      <w:r>
        <w:rPr>
          <w:color w:val="231F20"/>
          <w:w w:val="120"/>
          <w:sz w:val="17"/>
        </w:rPr>
        <w:t>modérée</w:t>
      </w:r>
      <w:r>
        <w:rPr>
          <w:color w:val="231F20"/>
          <w:spacing w:val="-13"/>
          <w:w w:val="120"/>
          <w:sz w:val="17"/>
        </w:rPr>
        <w:t> </w:t>
      </w:r>
      <w:r>
        <w:rPr>
          <w:color w:val="231F20"/>
          <w:w w:val="120"/>
          <w:sz w:val="17"/>
        </w:rPr>
        <w:t>peut</w:t>
      </w:r>
      <w:r>
        <w:rPr>
          <w:color w:val="231F20"/>
          <w:spacing w:val="-13"/>
          <w:w w:val="120"/>
          <w:sz w:val="17"/>
        </w:rPr>
        <w:t> </w:t>
      </w:r>
      <w:r>
        <w:rPr>
          <w:color w:val="231F20"/>
          <w:w w:val="120"/>
          <w:sz w:val="17"/>
        </w:rPr>
        <w:t>être</w:t>
      </w:r>
      <w:r>
        <w:rPr>
          <w:color w:val="231F20"/>
          <w:spacing w:val="-12"/>
          <w:w w:val="120"/>
          <w:sz w:val="17"/>
        </w:rPr>
        <w:t> </w:t>
      </w:r>
      <w:r>
        <w:rPr>
          <w:color w:val="231F20"/>
          <w:w w:val="120"/>
          <w:sz w:val="17"/>
        </w:rPr>
        <w:t>maintenue</w:t>
      </w:r>
      <w:r>
        <w:rPr>
          <w:color w:val="231F20"/>
          <w:spacing w:val="-13"/>
          <w:w w:val="120"/>
          <w:sz w:val="17"/>
        </w:rPr>
        <w:t> </w:t>
      </w:r>
      <w:r>
        <w:rPr>
          <w:color w:val="231F20"/>
          <w:w w:val="120"/>
          <w:sz w:val="17"/>
        </w:rPr>
        <w:t>plus</w:t>
      </w:r>
      <w:r>
        <w:rPr>
          <w:color w:val="231F20"/>
          <w:spacing w:val="-13"/>
          <w:w w:val="120"/>
          <w:sz w:val="17"/>
        </w:rPr>
        <w:t> </w:t>
      </w:r>
      <w:r>
        <w:rPr>
          <w:color w:val="231F20"/>
          <w:w w:val="120"/>
          <w:sz w:val="17"/>
        </w:rPr>
        <w:t>longtemps</w:t>
      </w:r>
      <w:r>
        <w:rPr>
          <w:color w:val="231F20"/>
          <w:spacing w:val="-13"/>
          <w:w w:val="120"/>
          <w:sz w:val="17"/>
        </w:rPr>
        <w:t> </w:t>
      </w:r>
      <w:r>
        <w:rPr>
          <w:color w:val="231F20"/>
          <w:w w:val="120"/>
          <w:sz w:val="17"/>
        </w:rPr>
        <w:t>que l’état d’alerte</w:t>
      </w:r>
      <w:r>
        <w:rPr>
          <w:color w:val="231F20"/>
          <w:spacing w:val="-13"/>
          <w:w w:val="120"/>
          <w:sz w:val="17"/>
        </w:rPr>
        <w:t> </w:t>
      </w:r>
      <w:r>
        <w:rPr>
          <w:color w:val="231F20"/>
          <w:w w:val="120"/>
          <w:sz w:val="17"/>
        </w:rPr>
        <w:t>; elle augmente donc les chances de surmonter la </w:t>
      </w:r>
      <w:r>
        <w:rPr>
          <w:color w:val="231F20"/>
          <w:spacing w:val="-2"/>
          <w:w w:val="120"/>
          <w:sz w:val="17"/>
        </w:rPr>
        <w:t>situation</w:t>
      </w:r>
      <w:r>
        <w:rPr>
          <w:color w:val="231F20"/>
          <w:spacing w:val="-13"/>
          <w:w w:val="120"/>
          <w:sz w:val="17"/>
        </w:rPr>
        <w:t> </w:t>
      </w:r>
      <w:r>
        <w:rPr>
          <w:color w:val="231F20"/>
          <w:spacing w:val="-2"/>
          <w:w w:val="120"/>
          <w:sz w:val="17"/>
        </w:rPr>
        <w:t>stressante.</w:t>
      </w:r>
      <w:r>
        <w:rPr>
          <w:color w:val="231F20"/>
          <w:spacing w:val="-11"/>
          <w:w w:val="120"/>
          <w:sz w:val="17"/>
        </w:rPr>
        <w:t> </w:t>
      </w:r>
      <w:r>
        <w:rPr>
          <w:color w:val="231F20"/>
          <w:spacing w:val="-2"/>
          <w:w w:val="120"/>
          <w:sz w:val="17"/>
        </w:rPr>
        <w:t>Si</w:t>
      </w:r>
      <w:r>
        <w:rPr>
          <w:color w:val="231F20"/>
          <w:spacing w:val="-11"/>
          <w:w w:val="120"/>
          <w:sz w:val="17"/>
        </w:rPr>
        <w:t> </w:t>
      </w:r>
      <w:r>
        <w:rPr>
          <w:color w:val="231F20"/>
          <w:spacing w:val="-2"/>
          <w:w w:val="120"/>
          <w:sz w:val="17"/>
        </w:rPr>
        <w:t>cet</w:t>
      </w:r>
      <w:r>
        <w:rPr>
          <w:color w:val="231F20"/>
          <w:spacing w:val="-10"/>
          <w:w w:val="120"/>
          <w:sz w:val="17"/>
        </w:rPr>
        <w:t> </w:t>
      </w:r>
      <w:r>
        <w:rPr>
          <w:color w:val="231F20"/>
          <w:spacing w:val="-2"/>
          <w:w w:val="120"/>
          <w:sz w:val="17"/>
        </w:rPr>
        <w:t>effort</w:t>
      </w:r>
      <w:r>
        <w:rPr>
          <w:color w:val="231F20"/>
          <w:spacing w:val="-11"/>
          <w:w w:val="120"/>
          <w:sz w:val="17"/>
        </w:rPr>
        <w:t> </w:t>
      </w:r>
      <w:r>
        <w:rPr>
          <w:color w:val="231F20"/>
          <w:spacing w:val="-2"/>
          <w:w w:val="120"/>
          <w:sz w:val="17"/>
        </w:rPr>
        <w:t>réussit</w:t>
      </w:r>
      <w:r>
        <w:rPr>
          <w:color w:val="231F20"/>
          <w:spacing w:val="-11"/>
          <w:w w:val="120"/>
          <w:sz w:val="17"/>
        </w:rPr>
        <w:t> </w:t>
      </w:r>
      <w:r>
        <w:rPr>
          <w:color w:val="231F20"/>
          <w:spacing w:val="-2"/>
          <w:w w:val="120"/>
          <w:sz w:val="17"/>
        </w:rPr>
        <w:t>à</w:t>
      </w:r>
      <w:r>
        <w:rPr>
          <w:color w:val="231F20"/>
          <w:spacing w:val="-11"/>
          <w:w w:val="120"/>
          <w:sz w:val="17"/>
        </w:rPr>
        <w:t> </w:t>
      </w:r>
      <w:r>
        <w:rPr>
          <w:color w:val="231F20"/>
          <w:spacing w:val="-2"/>
          <w:w w:val="120"/>
          <w:sz w:val="17"/>
        </w:rPr>
        <w:t>en</w:t>
      </w:r>
      <w:r>
        <w:rPr>
          <w:color w:val="231F20"/>
          <w:spacing w:val="-10"/>
          <w:w w:val="120"/>
          <w:sz w:val="17"/>
        </w:rPr>
        <w:t> </w:t>
      </w:r>
      <w:r>
        <w:rPr>
          <w:color w:val="231F20"/>
          <w:spacing w:val="-2"/>
          <w:w w:val="120"/>
          <w:sz w:val="17"/>
        </w:rPr>
        <w:t>venir</w:t>
      </w:r>
      <w:r>
        <w:rPr>
          <w:color w:val="231F20"/>
          <w:spacing w:val="-11"/>
          <w:w w:val="120"/>
          <w:sz w:val="17"/>
        </w:rPr>
        <w:t> </w:t>
      </w:r>
      <w:r>
        <w:rPr>
          <w:color w:val="231F20"/>
          <w:spacing w:val="-2"/>
          <w:w w:val="120"/>
          <w:sz w:val="17"/>
        </w:rPr>
        <w:t>à</w:t>
      </w:r>
      <w:r>
        <w:rPr>
          <w:color w:val="231F20"/>
          <w:spacing w:val="-11"/>
          <w:w w:val="120"/>
          <w:sz w:val="17"/>
        </w:rPr>
        <w:t> </w:t>
      </w:r>
      <w:r>
        <w:rPr>
          <w:color w:val="231F20"/>
          <w:spacing w:val="-2"/>
          <w:w w:val="120"/>
          <w:sz w:val="17"/>
        </w:rPr>
        <w:t>bout,</w:t>
      </w:r>
      <w:r>
        <w:rPr>
          <w:color w:val="231F20"/>
          <w:spacing w:val="-11"/>
          <w:w w:val="120"/>
          <w:sz w:val="17"/>
        </w:rPr>
        <w:t> </w:t>
      </w:r>
      <w:r>
        <w:rPr>
          <w:color w:val="231F20"/>
          <w:spacing w:val="-2"/>
          <w:w w:val="120"/>
          <w:sz w:val="17"/>
        </w:rPr>
        <w:t>il</w:t>
      </w:r>
      <w:r>
        <w:rPr>
          <w:color w:val="231F20"/>
          <w:spacing w:val="-10"/>
          <w:w w:val="120"/>
          <w:sz w:val="17"/>
        </w:rPr>
        <w:t> </w:t>
      </w:r>
      <w:r>
        <w:rPr>
          <w:color w:val="231F20"/>
          <w:spacing w:val="-2"/>
          <w:w w:val="120"/>
          <w:sz w:val="17"/>
        </w:rPr>
        <w:t>marque </w:t>
      </w:r>
      <w:r>
        <w:rPr>
          <w:color w:val="231F20"/>
          <w:w w:val="120"/>
          <w:sz w:val="17"/>
        </w:rPr>
        <w:t>la fin du SGA.</w:t>
      </w:r>
    </w:p>
    <w:p>
      <w:pPr>
        <w:pStyle w:val="ListParagraph"/>
        <w:numPr>
          <w:ilvl w:val="0"/>
          <w:numId w:val="23"/>
        </w:numPr>
        <w:tabs>
          <w:tab w:pos="1011" w:val="left" w:leader="none"/>
        </w:tabs>
        <w:spacing w:line="307" w:lineRule="auto" w:before="78" w:after="0"/>
        <w:ind w:left="1010" w:right="491" w:hanging="251"/>
        <w:jc w:val="both"/>
        <w:rPr>
          <w:sz w:val="17"/>
        </w:rPr>
      </w:pPr>
      <w:r>
        <w:rPr>
          <w:color w:val="231F20"/>
          <w:w w:val="120"/>
          <w:sz w:val="17"/>
        </w:rPr>
        <w:t>Dans le cas contraire, la période d’hyperactivation modérée ne peut pas s’éterniser, car les réserves de l’organisme s’épuisent plus</w:t>
      </w:r>
      <w:r>
        <w:rPr>
          <w:color w:val="231F20"/>
          <w:spacing w:val="-4"/>
          <w:w w:val="120"/>
          <w:sz w:val="17"/>
        </w:rPr>
        <w:t> </w:t>
      </w:r>
      <w:r>
        <w:rPr>
          <w:color w:val="231F20"/>
          <w:w w:val="120"/>
          <w:sz w:val="17"/>
        </w:rPr>
        <w:t>vite</w:t>
      </w:r>
      <w:r>
        <w:rPr>
          <w:color w:val="231F20"/>
          <w:spacing w:val="-4"/>
          <w:w w:val="120"/>
          <w:sz w:val="17"/>
        </w:rPr>
        <w:t> </w:t>
      </w:r>
      <w:r>
        <w:rPr>
          <w:color w:val="231F20"/>
          <w:w w:val="120"/>
          <w:sz w:val="17"/>
        </w:rPr>
        <w:t>qu’elles</w:t>
      </w:r>
      <w:r>
        <w:rPr>
          <w:color w:val="231F20"/>
          <w:spacing w:val="-4"/>
          <w:w w:val="120"/>
          <w:sz w:val="17"/>
        </w:rPr>
        <w:t> </w:t>
      </w:r>
      <w:r>
        <w:rPr>
          <w:color w:val="231F20"/>
          <w:w w:val="120"/>
          <w:sz w:val="17"/>
        </w:rPr>
        <w:t>ne</w:t>
      </w:r>
      <w:r>
        <w:rPr>
          <w:color w:val="231F20"/>
          <w:spacing w:val="-4"/>
          <w:w w:val="120"/>
          <w:sz w:val="17"/>
        </w:rPr>
        <w:t> </w:t>
      </w:r>
      <w:r>
        <w:rPr>
          <w:color w:val="231F20"/>
          <w:w w:val="120"/>
          <w:sz w:val="17"/>
        </w:rPr>
        <w:t>sont</w:t>
      </w:r>
      <w:r>
        <w:rPr>
          <w:color w:val="231F20"/>
          <w:spacing w:val="-4"/>
          <w:w w:val="120"/>
          <w:sz w:val="17"/>
        </w:rPr>
        <w:t> </w:t>
      </w:r>
      <w:r>
        <w:rPr>
          <w:color w:val="231F20"/>
          <w:w w:val="120"/>
          <w:sz w:val="17"/>
        </w:rPr>
        <w:t>produites.</w:t>
      </w:r>
      <w:r>
        <w:rPr>
          <w:color w:val="231F20"/>
          <w:spacing w:val="-4"/>
          <w:w w:val="120"/>
          <w:sz w:val="17"/>
        </w:rPr>
        <w:t> </w:t>
      </w:r>
      <w:r>
        <w:rPr>
          <w:color w:val="231F20"/>
          <w:w w:val="120"/>
          <w:sz w:val="17"/>
        </w:rPr>
        <w:t>Conséquemment,</w:t>
      </w:r>
      <w:r>
        <w:rPr>
          <w:color w:val="231F20"/>
          <w:spacing w:val="-4"/>
          <w:w w:val="120"/>
          <w:sz w:val="17"/>
        </w:rPr>
        <w:t> </w:t>
      </w:r>
      <w:r>
        <w:rPr>
          <w:color w:val="231F20"/>
          <w:w w:val="120"/>
          <w:sz w:val="17"/>
        </w:rPr>
        <w:t>si</w:t>
      </w:r>
      <w:r>
        <w:rPr>
          <w:color w:val="231F20"/>
          <w:spacing w:val="-4"/>
          <w:w w:val="120"/>
          <w:sz w:val="17"/>
        </w:rPr>
        <w:t> </w:t>
      </w:r>
      <w:r>
        <w:rPr>
          <w:color w:val="231F20"/>
          <w:w w:val="120"/>
          <w:sz w:val="17"/>
        </w:rPr>
        <w:t>la</w:t>
      </w:r>
      <w:r>
        <w:rPr>
          <w:color w:val="231F20"/>
          <w:spacing w:val="-4"/>
          <w:w w:val="120"/>
          <w:sz w:val="17"/>
        </w:rPr>
        <w:t> </w:t>
      </w:r>
      <w:r>
        <w:rPr>
          <w:color w:val="231F20"/>
          <w:w w:val="120"/>
          <w:sz w:val="17"/>
        </w:rPr>
        <w:t>situa- tion stressante n’est pas dissipée, les ressources s’effritent. On</w:t>
      </w:r>
    </w:p>
    <w:p>
      <w:pPr>
        <w:spacing w:after="0" w:line="307" w:lineRule="auto"/>
        <w:jc w:val="both"/>
        <w:rPr>
          <w:sz w:val="17"/>
        </w:rPr>
        <w:sectPr>
          <w:footerReference w:type="default" r:id="rId148"/>
          <w:pgSz w:w="8640" w:h="12960"/>
          <w:pgMar w:footer="424" w:header="0" w:top="520" w:bottom="620" w:left="740" w:right="1140"/>
        </w:sectPr>
      </w:pPr>
    </w:p>
    <w:p>
      <w:pPr>
        <w:spacing w:before="118"/>
        <w:ind w:left="2076" w:right="0" w:firstLine="0"/>
        <w:jc w:val="left"/>
        <w:rPr>
          <w:rFonts w:ascii="Arial" w:hAnsi="Arial"/>
          <w:sz w:val="14"/>
        </w:rPr>
      </w:pPr>
      <w:bookmarkStart w:name=" 2.3.2 / Modèles transactionnels du stre" w:id="48"/>
      <w:bookmarkEnd w:id="48"/>
      <w:r>
        <w:rPr/>
      </w:r>
      <w:bookmarkStart w:name="Figure 2.4 / Syndrome général d’adaptati" w:id="49"/>
      <w:bookmarkEnd w:id="49"/>
      <w:r>
        <w:rPr/>
      </w:r>
      <w:bookmarkStart w:name="_bookmark20" w:id="50"/>
      <w:bookmarkEnd w:id="50"/>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400" w:right="101"/>
        <w:jc w:val="both"/>
      </w:pPr>
      <w:r>
        <w:rPr>
          <w:color w:val="231F20"/>
          <w:w w:val="120"/>
        </w:rPr>
        <w:t>entre</w:t>
      </w:r>
      <w:r>
        <w:rPr>
          <w:color w:val="231F20"/>
          <w:spacing w:val="-8"/>
          <w:w w:val="120"/>
        </w:rPr>
        <w:t> </w:t>
      </w:r>
      <w:r>
        <w:rPr>
          <w:color w:val="231F20"/>
          <w:w w:val="120"/>
        </w:rPr>
        <w:t>alors</w:t>
      </w:r>
      <w:r>
        <w:rPr>
          <w:color w:val="231F20"/>
          <w:spacing w:val="-8"/>
          <w:w w:val="120"/>
        </w:rPr>
        <w:t> </w:t>
      </w:r>
      <w:r>
        <w:rPr>
          <w:color w:val="231F20"/>
          <w:w w:val="120"/>
        </w:rPr>
        <w:t>dans</w:t>
      </w:r>
      <w:r>
        <w:rPr>
          <w:color w:val="231F20"/>
          <w:spacing w:val="-8"/>
          <w:w w:val="120"/>
        </w:rPr>
        <w:t> </w:t>
      </w:r>
      <w:r>
        <w:rPr>
          <w:color w:val="231F20"/>
          <w:w w:val="120"/>
        </w:rPr>
        <w:t>la</w:t>
      </w:r>
      <w:r>
        <w:rPr>
          <w:color w:val="231F20"/>
          <w:spacing w:val="-8"/>
          <w:w w:val="120"/>
        </w:rPr>
        <w:t> </w:t>
      </w:r>
      <w:r>
        <w:rPr>
          <w:color w:val="231F20"/>
          <w:w w:val="120"/>
        </w:rPr>
        <w:t>troisième</w:t>
      </w:r>
      <w:r>
        <w:rPr>
          <w:color w:val="231F20"/>
          <w:spacing w:val="-8"/>
          <w:w w:val="120"/>
        </w:rPr>
        <w:t> </w:t>
      </w:r>
      <w:r>
        <w:rPr>
          <w:color w:val="231F20"/>
          <w:w w:val="120"/>
        </w:rPr>
        <w:t>phase,</w:t>
      </w:r>
      <w:r>
        <w:rPr>
          <w:color w:val="231F20"/>
          <w:spacing w:val="-8"/>
          <w:w w:val="120"/>
        </w:rPr>
        <w:t> </w:t>
      </w:r>
      <w:r>
        <w:rPr>
          <w:i/>
          <w:color w:val="231F20"/>
          <w:w w:val="120"/>
        </w:rPr>
        <w:t>l’épuisement</w:t>
      </w:r>
      <w:r>
        <w:rPr>
          <w:color w:val="231F20"/>
          <w:w w:val="120"/>
        </w:rPr>
        <w:t>,</w:t>
      </w:r>
      <w:r>
        <w:rPr>
          <w:color w:val="231F20"/>
          <w:spacing w:val="-8"/>
          <w:w w:val="120"/>
        </w:rPr>
        <w:t> </w:t>
      </w:r>
      <w:r>
        <w:rPr>
          <w:color w:val="231F20"/>
          <w:w w:val="120"/>
        </w:rPr>
        <w:t>où</w:t>
      </w:r>
      <w:r>
        <w:rPr>
          <w:color w:val="231F20"/>
          <w:spacing w:val="-8"/>
          <w:w w:val="120"/>
        </w:rPr>
        <w:t> </w:t>
      </w:r>
      <w:r>
        <w:rPr>
          <w:color w:val="231F20"/>
          <w:w w:val="120"/>
        </w:rPr>
        <w:t>l’organisme achève de consommer ses ressources et perd progressivement (ou, parfois, soudainement) sa capacité d’activation (même nor- </w:t>
      </w:r>
      <w:r>
        <w:rPr>
          <w:color w:val="231F20"/>
          <w:spacing w:val="-2"/>
          <w:w w:val="120"/>
        </w:rPr>
        <w:t>male).</w:t>
      </w:r>
      <w:r>
        <w:rPr>
          <w:color w:val="231F20"/>
          <w:spacing w:val="-8"/>
          <w:w w:val="120"/>
        </w:rPr>
        <w:t> </w:t>
      </w:r>
      <w:r>
        <w:rPr>
          <w:color w:val="231F20"/>
          <w:spacing w:val="-2"/>
          <w:w w:val="120"/>
        </w:rPr>
        <w:t>Si,</w:t>
      </w:r>
      <w:r>
        <w:rPr>
          <w:color w:val="231F20"/>
          <w:spacing w:val="-7"/>
          <w:w w:val="120"/>
        </w:rPr>
        <w:t> </w:t>
      </w:r>
      <w:r>
        <w:rPr>
          <w:color w:val="231F20"/>
          <w:spacing w:val="-2"/>
          <w:w w:val="120"/>
        </w:rPr>
        <w:t>en</w:t>
      </w:r>
      <w:r>
        <w:rPr>
          <w:color w:val="231F20"/>
          <w:spacing w:val="-8"/>
          <w:w w:val="120"/>
        </w:rPr>
        <w:t> </w:t>
      </w:r>
      <w:r>
        <w:rPr>
          <w:color w:val="231F20"/>
          <w:spacing w:val="-2"/>
          <w:w w:val="120"/>
        </w:rPr>
        <w:t>dépit</w:t>
      </w:r>
      <w:r>
        <w:rPr>
          <w:color w:val="231F20"/>
          <w:spacing w:val="-8"/>
          <w:w w:val="120"/>
        </w:rPr>
        <w:t> </w:t>
      </w:r>
      <w:r>
        <w:rPr>
          <w:color w:val="231F20"/>
          <w:spacing w:val="-2"/>
          <w:w w:val="120"/>
        </w:rPr>
        <w:t>de</w:t>
      </w:r>
      <w:r>
        <w:rPr>
          <w:color w:val="231F20"/>
          <w:spacing w:val="-7"/>
          <w:w w:val="120"/>
        </w:rPr>
        <w:t> </w:t>
      </w:r>
      <w:r>
        <w:rPr>
          <w:color w:val="231F20"/>
          <w:spacing w:val="-2"/>
          <w:w w:val="120"/>
        </w:rPr>
        <w:t>tout</w:t>
      </w:r>
      <w:r>
        <w:rPr>
          <w:color w:val="231F20"/>
          <w:spacing w:val="-7"/>
          <w:w w:val="120"/>
        </w:rPr>
        <w:t> </w:t>
      </w:r>
      <w:r>
        <w:rPr>
          <w:color w:val="231F20"/>
          <w:spacing w:val="-2"/>
          <w:w w:val="120"/>
        </w:rPr>
        <w:t>le</w:t>
      </w:r>
      <w:r>
        <w:rPr>
          <w:color w:val="231F20"/>
          <w:spacing w:val="-8"/>
          <w:w w:val="120"/>
        </w:rPr>
        <w:t> </w:t>
      </w:r>
      <w:r>
        <w:rPr>
          <w:color w:val="231F20"/>
          <w:spacing w:val="-2"/>
          <w:w w:val="120"/>
        </w:rPr>
        <w:t>reste,</w:t>
      </w:r>
      <w:r>
        <w:rPr>
          <w:color w:val="231F20"/>
          <w:spacing w:val="-8"/>
          <w:w w:val="120"/>
        </w:rPr>
        <w:t> </w:t>
      </w:r>
      <w:r>
        <w:rPr>
          <w:color w:val="231F20"/>
          <w:spacing w:val="-2"/>
          <w:w w:val="120"/>
        </w:rPr>
        <w:t>l’organisme</w:t>
      </w:r>
      <w:r>
        <w:rPr>
          <w:color w:val="231F20"/>
          <w:spacing w:val="-8"/>
          <w:w w:val="120"/>
        </w:rPr>
        <w:t> </w:t>
      </w:r>
      <w:r>
        <w:rPr>
          <w:color w:val="231F20"/>
          <w:spacing w:val="-2"/>
          <w:w w:val="120"/>
        </w:rPr>
        <w:t>essaie</w:t>
      </w:r>
      <w:r>
        <w:rPr>
          <w:color w:val="231F20"/>
          <w:spacing w:val="-7"/>
          <w:w w:val="120"/>
        </w:rPr>
        <w:t> </w:t>
      </w:r>
      <w:r>
        <w:rPr>
          <w:color w:val="231F20"/>
          <w:spacing w:val="-2"/>
          <w:w w:val="120"/>
        </w:rPr>
        <w:t>de</w:t>
      </w:r>
      <w:r>
        <w:rPr>
          <w:color w:val="231F20"/>
          <w:spacing w:val="-8"/>
          <w:w w:val="120"/>
        </w:rPr>
        <w:t> </w:t>
      </w:r>
      <w:r>
        <w:rPr>
          <w:color w:val="231F20"/>
          <w:spacing w:val="-2"/>
          <w:w w:val="120"/>
        </w:rPr>
        <w:t>demeurer </w:t>
      </w:r>
      <w:r>
        <w:rPr>
          <w:color w:val="231F20"/>
          <w:w w:val="120"/>
        </w:rPr>
        <w:t>activé le plus longtemps possible, il se solde par un épuisement complet,</w:t>
      </w:r>
      <w:r>
        <w:rPr>
          <w:color w:val="231F20"/>
          <w:spacing w:val="-5"/>
          <w:w w:val="120"/>
        </w:rPr>
        <w:t> </w:t>
      </w:r>
      <w:r>
        <w:rPr>
          <w:color w:val="231F20"/>
          <w:w w:val="120"/>
        </w:rPr>
        <w:t>avec</w:t>
      </w:r>
      <w:r>
        <w:rPr>
          <w:color w:val="231F20"/>
          <w:spacing w:val="-5"/>
          <w:w w:val="120"/>
        </w:rPr>
        <w:t> </w:t>
      </w:r>
      <w:r>
        <w:rPr>
          <w:color w:val="231F20"/>
          <w:w w:val="120"/>
        </w:rPr>
        <w:t>toutes</w:t>
      </w:r>
      <w:r>
        <w:rPr>
          <w:color w:val="231F20"/>
          <w:spacing w:val="-5"/>
          <w:w w:val="120"/>
        </w:rPr>
        <w:t> </w:t>
      </w:r>
      <w:r>
        <w:rPr>
          <w:color w:val="231F20"/>
          <w:w w:val="120"/>
        </w:rPr>
        <w:t>les</w:t>
      </w:r>
      <w:r>
        <w:rPr>
          <w:color w:val="231F20"/>
          <w:spacing w:val="-5"/>
          <w:w w:val="120"/>
        </w:rPr>
        <w:t> </w:t>
      </w:r>
      <w:r>
        <w:rPr>
          <w:color w:val="231F20"/>
          <w:w w:val="120"/>
        </w:rPr>
        <w:t>conséquences</w:t>
      </w:r>
      <w:r>
        <w:rPr>
          <w:color w:val="231F20"/>
          <w:spacing w:val="-5"/>
          <w:w w:val="120"/>
        </w:rPr>
        <w:t> </w:t>
      </w:r>
      <w:r>
        <w:rPr>
          <w:color w:val="231F20"/>
          <w:w w:val="120"/>
        </w:rPr>
        <w:t>négatives</w:t>
      </w:r>
      <w:r>
        <w:rPr>
          <w:color w:val="231F20"/>
          <w:spacing w:val="-5"/>
          <w:w w:val="120"/>
        </w:rPr>
        <w:t> </w:t>
      </w:r>
      <w:r>
        <w:rPr>
          <w:color w:val="231F20"/>
          <w:w w:val="120"/>
        </w:rPr>
        <w:t>qu’il</w:t>
      </w:r>
      <w:r>
        <w:rPr>
          <w:color w:val="231F20"/>
          <w:spacing w:val="-5"/>
          <w:w w:val="120"/>
        </w:rPr>
        <w:t> </w:t>
      </w:r>
      <w:r>
        <w:rPr>
          <w:color w:val="231F20"/>
          <w:w w:val="120"/>
        </w:rPr>
        <w:t>peut</w:t>
      </w:r>
      <w:r>
        <w:rPr>
          <w:color w:val="231F20"/>
          <w:spacing w:val="-5"/>
          <w:w w:val="120"/>
        </w:rPr>
        <w:t> </w:t>
      </w:r>
      <w:r>
        <w:rPr>
          <w:color w:val="231F20"/>
          <w:w w:val="120"/>
        </w:rPr>
        <w:t>avoir sur l’organisme. L’état initial de l’organisme et l’intensité des </w:t>
      </w:r>
      <w:r>
        <w:rPr>
          <w:color w:val="231F20"/>
          <w:spacing w:val="-2"/>
          <w:w w:val="120"/>
        </w:rPr>
        <w:t>réponses</w:t>
      </w:r>
      <w:r>
        <w:rPr>
          <w:color w:val="231F20"/>
          <w:spacing w:val="-11"/>
          <w:w w:val="120"/>
        </w:rPr>
        <w:t> </w:t>
      </w:r>
      <w:r>
        <w:rPr>
          <w:color w:val="231F20"/>
          <w:spacing w:val="-2"/>
          <w:w w:val="120"/>
        </w:rPr>
        <w:t>physiologiques</w:t>
      </w:r>
      <w:r>
        <w:rPr>
          <w:color w:val="231F20"/>
          <w:spacing w:val="-11"/>
          <w:w w:val="120"/>
        </w:rPr>
        <w:t> </w:t>
      </w:r>
      <w:r>
        <w:rPr>
          <w:color w:val="231F20"/>
          <w:spacing w:val="-2"/>
          <w:w w:val="120"/>
        </w:rPr>
        <w:t>qu’il</w:t>
      </w:r>
      <w:r>
        <w:rPr>
          <w:color w:val="231F20"/>
          <w:spacing w:val="-11"/>
          <w:w w:val="120"/>
        </w:rPr>
        <w:t> </w:t>
      </w:r>
      <w:r>
        <w:rPr>
          <w:color w:val="231F20"/>
          <w:spacing w:val="-2"/>
          <w:w w:val="120"/>
        </w:rPr>
        <w:t>demande</w:t>
      </w:r>
      <w:r>
        <w:rPr>
          <w:color w:val="231F20"/>
          <w:spacing w:val="-10"/>
          <w:w w:val="120"/>
        </w:rPr>
        <w:t> </w:t>
      </w:r>
      <w:r>
        <w:rPr>
          <w:color w:val="231F20"/>
          <w:spacing w:val="-2"/>
          <w:w w:val="120"/>
        </w:rPr>
        <w:t>déterminent</w:t>
      </w:r>
      <w:r>
        <w:rPr>
          <w:color w:val="231F20"/>
          <w:spacing w:val="-11"/>
          <w:w w:val="120"/>
        </w:rPr>
        <w:t> </w:t>
      </w:r>
      <w:r>
        <w:rPr>
          <w:color w:val="231F20"/>
          <w:spacing w:val="-2"/>
          <w:w w:val="120"/>
        </w:rPr>
        <w:t>à</w:t>
      </w:r>
      <w:r>
        <w:rPr>
          <w:color w:val="231F20"/>
          <w:spacing w:val="-11"/>
          <w:w w:val="120"/>
        </w:rPr>
        <w:t> </w:t>
      </w:r>
      <w:r>
        <w:rPr>
          <w:color w:val="231F20"/>
          <w:spacing w:val="-2"/>
          <w:w w:val="120"/>
        </w:rPr>
        <w:t>quel</w:t>
      </w:r>
      <w:r>
        <w:rPr>
          <w:color w:val="231F20"/>
          <w:spacing w:val="-11"/>
          <w:w w:val="120"/>
        </w:rPr>
        <w:t> </w:t>
      </w:r>
      <w:r>
        <w:rPr>
          <w:color w:val="231F20"/>
          <w:spacing w:val="-2"/>
          <w:w w:val="120"/>
        </w:rPr>
        <w:t>rythme </w:t>
      </w:r>
      <w:r>
        <w:rPr>
          <w:color w:val="231F20"/>
          <w:w w:val="120"/>
        </w:rPr>
        <w:t>l’épuisement</w:t>
      </w:r>
      <w:r>
        <w:rPr>
          <w:color w:val="231F20"/>
          <w:spacing w:val="-13"/>
          <w:w w:val="120"/>
        </w:rPr>
        <w:t> </w:t>
      </w:r>
      <w:r>
        <w:rPr>
          <w:color w:val="231F20"/>
          <w:w w:val="120"/>
        </w:rPr>
        <w:t>survient.</w:t>
      </w:r>
    </w:p>
    <w:p>
      <w:pPr>
        <w:pStyle w:val="BodyText"/>
        <w:spacing w:before="6"/>
        <w:rPr>
          <w:sz w:val="11"/>
        </w:rPr>
      </w:pPr>
      <w:r>
        <w:rPr/>
        <w:pict>
          <v:group style="position:absolute;margin-left:82pt;margin-top:7.855078pt;width:287.5pt;height:141.5pt;mso-position-horizontal-relative:page;mso-position-vertical-relative:paragraph;z-index:-15697920;mso-wrap-distance-left:0;mso-wrap-distance-right:0" id="docshapegroup469" coordorigin="1640,157" coordsize="5750,2830">
            <v:shape style="position:absolute;left:1640;top:157;width:5750;height:2830" id="docshape470" coordorigin="1640,157" coordsize="5750,2830" path="m7390,157l1640,157,1640,702,1640,862,1640,2987,7390,2987,7390,862,7390,702,7390,157xe" filled="true" fillcolor="#e2e3e4" stroked="false">
              <v:path arrowok="t"/>
              <v:fill type="solid"/>
            </v:shape>
            <v:rect style="position:absolute;left:1890;top:1772;width:5250;height:5" id="docshape471" filled="true" fillcolor="#231f20" stroked="false">
              <v:fill type="solid"/>
            </v:rect>
            <v:line style="position:absolute" from="3635,780" to="3635,2648" stroked="true" strokeweight=".25pt" strokecolor="#231f20">
              <v:stroke dashstyle="solid"/>
            </v:line>
            <v:line style="position:absolute" from="5395,780" to="5395,2648" stroked="true" strokeweight=".25pt" strokecolor="#231f20">
              <v:stroke dashstyle="solid"/>
            </v:line>
            <v:shape style="position:absolute;left:2000;top:947;width:5129;height:1546" id="docshape472" coordorigin="2000,947" coordsize="5129,1546" path="m2000,1775l2240,2349,2872,2349,3625,947,5395,947,7129,2493e" filled="false" stroked="true" strokeweight="2.0pt" strokecolor="#939598">
              <v:path arrowok="t"/>
              <v:stroke dashstyle="solid"/>
            </v:shape>
            <v:shape style="position:absolute;left:1889;top:329;width:4819;height:246" type="#_x0000_t202" id="docshape473"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4"/>
                        <w:sz w:val="17"/>
                      </w:rPr>
                      <w:t> </w:t>
                    </w:r>
                    <w:r>
                      <w:rPr>
                        <w:rFonts w:ascii="Arial" w:hAnsi="Arial"/>
                        <w:color w:val="231F20"/>
                        <w:w w:val="95"/>
                        <w:sz w:val="17"/>
                      </w:rPr>
                      <w:t>2.4</w:t>
                    </w:r>
                    <w:r>
                      <w:rPr>
                        <w:rFonts w:ascii="Arial" w:hAnsi="Arial"/>
                        <w:color w:val="231F20"/>
                        <w:spacing w:val="-7"/>
                        <w:w w:val="95"/>
                        <w:sz w:val="17"/>
                      </w:rPr>
                      <w:t> </w:t>
                    </w:r>
                    <w:r>
                      <w:rPr>
                        <w:rFonts w:ascii="Arial" w:hAnsi="Arial"/>
                        <w:i/>
                        <w:color w:val="231F20"/>
                        <w:w w:val="95"/>
                        <w:sz w:val="17"/>
                      </w:rPr>
                      <w:t>/</w:t>
                    </w:r>
                    <w:r>
                      <w:rPr>
                        <w:rFonts w:ascii="Arial" w:hAnsi="Arial"/>
                        <w:i/>
                        <w:color w:val="231F20"/>
                        <w:spacing w:val="56"/>
                        <w:sz w:val="17"/>
                      </w:rPr>
                      <w:t> </w:t>
                    </w:r>
                    <w:r>
                      <w:rPr>
                        <w:rFonts w:ascii="Arial" w:hAnsi="Arial"/>
                        <w:b/>
                        <w:color w:val="231F20"/>
                        <w:w w:val="95"/>
                        <w:sz w:val="17"/>
                      </w:rPr>
                      <w:t>Syndrome</w:t>
                    </w:r>
                    <w:r>
                      <w:rPr>
                        <w:rFonts w:ascii="Arial" w:hAnsi="Arial"/>
                        <w:b/>
                        <w:color w:val="231F20"/>
                        <w:spacing w:val="-1"/>
                        <w:sz w:val="17"/>
                      </w:rPr>
                      <w:t> </w:t>
                    </w:r>
                    <w:r>
                      <w:rPr>
                        <w:rFonts w:ascii="Arial" w:hAnsi="Arial"/>
                        <w:b/>
                        <w:color w:val="231F20"/>
                        <w:w w:val="95"/>
                        <w:sz w:val="17"/>
                      </w:rPr>
                      <w:t>général</w:t>
                    </w:r>
                    <w:r>
                      <w:rPr>
                        <w:rFonts w:ascii="Arial" w:hAnsi="Arial"/>
                        <w:b/>
                        <w:color w:val="231F20"/>
                        <w:spacing w:val="-2"/>
                        <w:sz w:val="17"/>
                      </w:rPr>
                      <w:t> </w:t>
                    </w:r>
                    <w:r>
                      <w:rPr>
                        <w:rFonts w:ascii="Arial" w:hAnsi="Arial"/>
                        <w:b/>
                        <w:color w:val="231F20"/>
                        <w:w w:val="95"/>
                        <w:sz w:val="17"/>
                      </w:rPr>
                      <w:t>d’adaptation</w:t>
                    </w:r>
                    <w:r>
                      <w:rPr>
                        <w:rFonts w:ascii="Arial" w:hAnsi="Arial"/>
                        <w:b/>
                        <w:color w:val="231F20"/>
                        <w:spacing w:val="-2"/>
                        <w:sz w:val="17"/>
                      </w:rPr>
                      <w:t> </w:t>
                    </w:r>
                    <w:r>
                      <w:rPr>
                        <w:rFonts w:ascii="Arial" w:hAnsi="Arial"/>
                        <w:b/>
                        <w:color w:val="231F20"/>
                        <w:w w:val="95"/>
                        <w:sz w:val="17"/>
                      </w:rPr>
                      <w:t>proposé</w:t>
                    </w:r>
                    <w:r>
                      <w:rPr>
                        <w:rFonts w:ascii="Arial" w:hAnsi="Arial"/>
                        <w:b/>
                        <w:color w:val="231F20"/>
                        <w:spacing w:val="-1"/>
                        <w:sz w:val="17"/>
                      </w:rPr>
                      <w:t> </w:t>
                    </w:r>
                    <w:r>
                      <w:rPr>
                        <w:rFonts w:ascii="Arial" w:hAnsi="Arial"/>
                        <w:b/>
                        <w:color w:val="231F20"/>
                        <w:w w:val="95"/>
                        <w:sz w:val="17"/>
                      </w:rPr>
                      <w:t>par</w:t>
                    </w:r>
                    <w:r>
                      <w:rPr>
                        <w:rFonts w:ascii="Arial" w:hAnsi="Arial"/>
                        <w:b/>
                        <w:color w:val="231F20"/>
                        <w:spacing w:val="-2"/>
                        <w:sz w:val="17"/>
                      </w:rPr>
                      <w:t> </w:t>
                    </w:r>
                    <w:r>
                      <w:rPr>
                        <w:rFonts w:ascii="Arial" w:hAnsi="Arial"/>
                        <w:b/>
                        <w:color w:val="231F20"/>
                        <w:spacing w:val="-2"/>
                        <w:w w:val="95"/>
                        <w:sz w:val="17"/>
                      </w:rPr>
                      <w:t>Selye</w:t>
                    </w:r>
                  </w:p>
                </w:txbxContent>
              </v:textbox>
              <w10:wrap type="none"/>
            </v:shape>
            <v:shape style="position:absolute;left:3934;top:1355;width:1181;height:372" type="#_x0000_t202" id="docshape474" filled="false" stroked="false">
              <v:textbox inset="0,0,0,0">
                <w:txbxContent>
                  <w:p>
                    <w:pPr>
                      <w:spacing w:line="249" w:lineRule="auto" w:before="14"/>
                      <w:ind w:left="0" w:right="0" w:firstLine="259"/>
                      <w:jc w:val="left"/>
                      <w:rPr>
                        <w:rFonts w:ascii="Arial" w:hAnsi="Arial"/>
                        <w:sz w:val="15"/>
                      </w:rPr>
                    </w:pPr>
                    <w:r>
                      <w:rPr>
                        <w:rFonts w:ascii="Arial" w:hAnsi="Arial"/>
                        <w:color w:val="231F20"/>
                        <w:sz w:val="15"/>
                      </w:rPr>
                      <w:t>Niveau</w:t>
                    </w:r>
                    <w:r>
                      <w:rPr>
                        <w:rFonts w:ascii="Arial" w:hAnsi="Arial"/>
                        <w:color w:val="231F20"/>
                        <w:spacing w:val="-13"/>
                        <w:sz w:val="15"/>
                      </w:rPr>
                      <w:t> </w:t>
                    </w:r>
                    <w:r>
                      <w:rPr>
                        <w:rFonts w:ascii="Arial" w:hAnsi="Arial"/>
                        <w:color w:val="231F20"/>
                        <w:sz w:val="15"/>
                      </w:rPr>
                      <w:t>de </w:t>
                    </w:r>
                    <w:r>
                      <w:rPr>
                        <w:rFonts w:ascii="Arial" w:hAnsi="Arial"/>
                        <w:color w:val="231F20"/>
                        <w:w w:val="90"/>
                        <w:sz w:val="15"/>
                      </w:rPr>
                      <w:t>résistance</w:t>
                    </w:r>
                    <w:r>
                      <w:rPr>
                        <w:rFonts w:ascii="Arial" w:hAnsi="Arial"/>
                        <w:color w:val="231F20"/>
                        <w:spacing w:val="-9"/>
                        <w:w w:val="90"/>
                        <w:sz w:val="15"/>
                      </w:rPr>
                      <w:t> </w:t>
                    </w:r>
                    <w:r>
                      <w:rPr>
                        <w:rFonts w:ascii="Arial" w:hAnsi="Arial"/>
                        <w:color w:val="231F20"/>
                        <w:w w:val="90"/>
                        <w:sz w:val="15"/>
                      </w:rPr>
                      <w:t>normale</w:t>
                    </w:r>
                  </w:p>
                </w:txbxContent>
              </v:textbox>
              <w10:wrap type="none"/>
            </v:shape>
            <v:shape style="position:absolute;left:2172;top:2485;width:1185;height:196" type="#_x0000_t202" id="docshape475" filled="false" stroked="false">
              <v:textbox inset="0,0,0,0">
                <w:txbxContent>
                  <w:p>
                    <w:pPr>
                      <w:spacing w:before="21"/>
                      <w:ind w:left="0" w:right="0" w:firstLine="0"/>
                      <w:jc w:val="left"/>
                      <w:rPr>
                        <w:rFonts w:ascii="Arial" w:hAnsi="Arial"/>
                        <w:b/>
                        <w:sz w:val="15"/>
                      </w:rPr>
                    </w:pPr>
                    <w:r>
                      <w:rPr>
                        <w:rFonts w:ascii="Arial" w:hAnsi="Arial"/>
                        <w:b/>
                        <w:color w:val="231F20"/>
                        <w:spacing w:val="-2"/>
                        <w:w w:val="90"/>
                        <w:sz w:val="15"/>
                      </w:rPr>
                      <w:t>Réaction</w:t>
                    </w:r>
                    <w:r>
                      <w:rPr>
                        <w:rFonts w:ascii="Arial" w:hAnsi="Arial"/>
                        <w:b/>
                        <w:color w:val="231F20"/>
                        <w:spacing w:val="-2"/>
                        <w:sz w:val="15"/>
                      </w:rPr>
                      <w:t> </w:t>
                    </w:r>
                    <w:r>
                      <w:rPr>
                        <w:rFonts w:ascii="Arial" w:hAnsi="Arial"/>
                        <w:b/>
                        <w:color w:val="231F20"/>
                        <w:spacing w:val="-2"/>
                        <w:w w:val="95"/>
                        <w:sz w:val="15"/>
                      </w:rPr>
                      <w:t>d’alarme</w:t>
                    </w:r>
                  </w:p>
                </w:txbxContent>
              </v:textbox>
              <w10:wrap type="none"/>
            </v:shape>
            <v:shape style="position:absolute;left:3877;top:2485;width:1295;height:196" type="#_x0000_t202" id="docshape476" filled="false" stroked="false">
              <v:textbox inset="0,0,0,0">
                <w:txbxContent>
                  <w:p>
                    <w:pPr>
                      <w:spacing w:before="21"/>
                      <w:ind w:left="0" w:right="0" w:firstLine="0"/>
                      <w:jc w:val="left"/>
                      <w:rPr>
                        <w:rFonts w:ascii="Arial" w:hAnsi="Arial"/>
                        <w:b/>
                        <w:sz w:val="15"/>
                      </w:rPr>
                    </w:pPr>
                    <w:r>
                      <w:rPr>
                        <w:rFonts w:ascii="Arial" w:hAnsi="Arial"/>
                        <w:b/>
                        <w:color w:val="231F20"/>
                        <w:w w:val="90"/>
                        <w:sz w:val="15"/>
                      </w:rPr>
                      <w:t>Phase</w:t>
                    </w:r>
                    <w:r>
                      <w:rPr>
                        <w:rFonts w:ascii="Arial" w:hAnsi="Arial"/>
                        <w:b/>
                        <w:color w:val="231F20"/>
                        <w:spacing w:val="-11"/>
                        <w:w w:val="90"/>
                        <w:sz w:val="15"/>
                      </w:rPr>
                      <w:t> </w:t>
                    </w:r>
                    <w:r>
                      <w:rPr>
                        <w:rFonts w:ascii="Arial" w:hAnsi="Arial"/>
                        <w:b/>
                        <w:color w:val="231F20"/>
                        <w:w w:val="90"/>
                        <w:sz w:val="15"/>
                      </w:rPr>
                      <w:t>de</w:t>
                    </w:r>
                    <w:r>
                      <w:rPr>
                        <w:rFonts w:ascii="Arial" w:hAnsi="Arial"/>
                        <w:b/>
                        <w:color w:val="231F20"/>
                        <w:spacing w:val="-11"/>
                        <w:w w:val="90"/>
                        <w:sz w:val="15"/>
                      </w:rPr>
                      <w:t> </w:t>
                    </w:r>
                    <w:r>
                      <w:rPr>
                        <w:rFonts w:ascii="Arial" w:hAnsi="Arial"/>
                        <w:b/>
                        <w:color w:val="231F20"/>
                        <w:spacing w:val="-2"/>
                        <w:w w:val="90"/>
                        <w:sz w:val="15"/>
                      </w:rPr>
                      <w:t>résistance</w:t>
                    </w:r>
                  </w:p>
                </w:txbxContent>
              </v:textbox>
              <w10:wrap type="none"/>
            </v:shape>
            <v:shape style="position:absolute;left:5621;top:2485;width:1327;height:196" type="#_x0000_t202" id="docshape477" filled="false" stroked="false">
              <v:textbox inset="0,0,0,0">
                <w:txbxContent>
                  <w:p>
                    <w:pPr>
                      <w:spacing w:before="21"/>
                      <w:ind w:left="0" w:right="0" w:firstLine="0"/>
                      <w:jc w:val="left"/>
                      <w:rPr>
                        <w:rFonts w:ascii="Arial" w:hAnsi="Arial"/>
                        <w:b/>
                        <w:sz w:val="15"/>
                      </w:rPr>
                    </w:pPr>
                    <w:r>
                      <w:rPr>
                        <w:rFonts w:ascii="Arial" w:hAnsi="Arial"/>
                        <w:b/>
                        <w:color w:val="231F20"/>
                        <w:w w:val="85"/>
                        <w:sz w:val="15"/>
                      </w:rPr>
                      <w:t>Phase</w:t>
                    </w:r>
                    <w:r>
                      <w:rPr>
                        <w:rFonts w:ascii="Arial" w:hAnsi="Arial"/>
                        <w:b/>
                        <w:color w:val="231F20"/>
                        <w:spacing w:val="1"/>
                        <w:sz w:val="15"/>
                      </w:rPr>
                      <w:t> </w:t>
                    </w:r>
                    <w:r>
                      <w:rPr>
                        <w:rFonts w:ascii="Arial" w:hAnsi="Arial"/>
                        <w:b/>
                        <w:color w:val="231F20"/>
                        <w:spacing w:val="-2"/>
                        <w:w w:val="90"/>
                        <w:sz w:val="15"/>
                      </w:rPr>
                      <w:t>d’épuisement</w:t>
                    </w:r>
                  </w:p>
                </w:txbxContent>
              </v:textbox>
              <w10:wrap type="none"/>
            </v:shape>
            <w10:wrap type="topAndBottom"/>
          </v:group>
        </w:pict>
      </w:r>
    </w:p>
    <w:p>
      <w:pPr>
        <w:pStyle w:val="BodyText"/>
        <w:spacing w:before="5"/>
        <w:rPr>
          <w:sz w:val="14"/>
        </w:rPr>
      </w:pPr>
    </w:p>
    <w:p>
      <w:pPr>
        <w:pStyle w:val="BodyText"/>
        <w:spacing w:line="307" w:lineRule="auto" w:before="145"/>
        <w:ind w:left="900" w:right="107"/>
        <w:jc w:val="both"/>
      </w:pPr>
      <w:r>
        <w:rPr>
          <w:color w:val="231F20"/>
          <w:w w:val="120"/>
        </w:rPr>
        <w:t>Le</w:t>
      </w:r>
      <w:r>
        <w:rPr>
          <w:color w:val="231F20"/>
          <w:spacing w:val="-1"/>
          <w:w w:val="120"/>
        </w:rPr>
        <w:t> </w:t>
      </w:r>
      <w:r>
        <w:rPr>
          <w:color w:val="231F20"/>
          <w:w w:val="120"/>
        </w:rPr>
        <w:t>modèle</w:t>
      </w:r>
      <w:r>
        <w:rPr>
          <w:color w:val="231F20"/>
          <w:spacing w:val="-1"/>
          <w:w w:val="120"/>
        </w:rPr>
        <w:t> </w:t>
      </w:r>
      <w:r>
        <w:rPr>
          <w:color w:val="231F20"/>
          <w:w w:val="120"/>
        </w:rPr>
        <w:t>du</w:t>
      </w:r>
      <w:r>
        <w:rPr>
          <w:color w:val="231F20"/>
          <w:spacing w:val="-1"/>
          <w:w w:val="120"/>
        </w:rPr>
        <w:t> </w:t>
      </w:r>
      <w:r>
        <w:rPr>
          <w:color w:val="231F20"/>
          <w:w w:val="120"/>
        </w:rPr>
        <w:t>SGA</w:t>
      </w:r>
      <w:r>
        <w:rPr>
          <w:color w:val="231F20"/>
          <w:spacing w:val="-1"/>
          <w:w w:val="120"/>
        </w:rPr>
        <w:t> </w:t>
      </w:r>
      <w:r>
        <w:rPr>
          <w:color w:val="231F20"/>
          <w:w w:val="120"/>
        </w:rPr>
        <w:t>de</w:t>
      </w:r>
      <w:r>
        <w:rPr>
          <w:color w:val="231F20"/>
          <w:spacing w:val="-1"/>
          <w:w w:val="120"/>
        </w:rPr>
        <w:t> </w:t>
      </w:r>
      <w:r>
        <w:rPr>
          <w:color w:val="231F20"/>
          <w:w w:val="120"/>
        </w:rPr>
        <w:t>Selye</w:t>
      </w:r>
      <w:r>
        <w:rPr>
          <w:color w:val="231F20"/>
          <w:spacing w:val="-1"/>
          <w:w w:val="120"/>
        </w:rPr>
        <w:t> </w:t>
      </w:r>
      <w:r>
        <w:rPr>
          <w:color w:val="231F20"/>
          <w:w w:val="120"/>
        </w:rPr>
        <w:t>englobe</w:t>
      </w:r>
      <w:r>
        <w:rPr>
          <w:color w:val="231F20"/>
          <w:spacing w:val="-1"/>
          <w:w w:val="120"/>
        </w:rPr>
        <w:t> </w:t>
      </w:r>
      <w:r>
        <w:rPr>
          <w:color w:val="231F20"/>
          <w:w w:val="120"/>
        </w:rPr>
        <w:t>toute</w:t>
      </w:r>
      <w:r>
        <w:rPr>
          <w:color w:val="231F20"/>
          <w:spacing w:val="-1"/>
          <w:w w:val="120"/>
        </w:rPr>
        <w:t> </w:t>
      </w:r>
      <w:r>
        <w:rPr>
          <w:color w:val="231F20"/>
          <w:w w:val="120"/>
        </w:rPr>
        <w:t>une</w:t>
      </w:r>
      <w:r>
        <w:rPr>
          <w:color w:val="231F20"/>
          <w:spacing w:val="-1"/>
          <w:w w:val="120"/>
        </w:rPr>
        <w:t> </w:t>
      </w:r>
      <w:r>
        <w:rPr>
          <w:color w:val="231F20"/>
          <w:w w:val="120"/>
        </w:rPr>
        <w:t>série</w:t>
      </w:r>
      <w:r>
        <w:rPr>
          <w:color w:val="231F20"/>
          <w:spacing w:val="-1"/>
          <w:w w:val="120"/>
        </w:rPr>
        <w:t> </w:t>
      </w:r>
      <w:r>
        <w:rPr>
          <w:color w:val="231F20"/>
          <w:w w:val="120"/>
        </w:rPr>
        <w:t>de</w:t>
      </w:r>
      <w:r>
        <w:rPr>
          <w:color w:val="231F20"/>
          <w:spacing w:val="-1"/>
          <w:w w:val="120"/>
        </w:rPr>
        <w:t> </w:t>
      </w:r>
      <w:r>
        <w:rPr>
          <w:color w:val="231F20"/>
          <w:w w:val="120"/>
        </w:rPr>
        <w:t>réactions</w:t>
      </w:r>
      <w:r>
        <w:rPr>
          <w:color w:val="231F20"/>
          <w:spacing w:val="-1"/>
          <w:w w:val="120"/>
        </w:rPr>
        <w:t> </w:t>
      </w:r>
      <w:r>
        <w:rPr>
          <w:color w:val="231F20"/>
          <w:w w:val="120"/>
        </w:rPr>
        <w:t>phy- siologiques</w:t>
      </w:r>
      <w:r>
        <w:rPr>
          <w:color w:val="231F20"/>
          <w:spacing w:val="-10"/>
          <w:w w:val="120"/>
        </w:rPr>
        <w:t> </w:t>
      </w:r>
      <w:r>
        <w:rPr>
          <w:color w:val="231F20"/>
          <w:w w:val="120"/>
        </w:rPr>
        <w:t>complexes</w:t>
      </w:r>
      <w:r>
        <w:rPr>
          <w:color w:val="231F20"/>
          <w:spacing w:val="-10"/>
          <w:w w:val="120"/>
        </w:rPr>
        <w:t> </w:t>
      </w:r>
      <w:r>
        <w:rPr>
          <w:color w:val="231F20"/>
          <w:w w:val="120"/>
        </w:rPr>
        <w:t>ayant</w:t>
      </w:r>
      <w:r>
        <w:rPr>
          <w:color w:val="231F20"/>
          <w:spacing w:val="-10"/>
          <w:w w:val="120"/>
        </w:rPr>
        <w:t> </w:t>
      </w:r>
      <w:r>
        <w:rPr>
          <w:color w:val="231F20"/>
          <w:w w:val="120"/>
        </w:rPr>
        <w:t>des</w:t>
      </w:r>
      <w:r>
        <w:rPr>
          <w:color w:val="231F20"/>
          <w:spacing w:val="-10"/>
          <w:w w:val="120"/>
        </w:rPr>
        <w:t> </w:t>
      </w:r>
      <w:r>
        <w:rPr>
          <w:color w:val="231F20"/>
          <w:w w:val="120"/>
        </w:rPr>
        <w:t>caractéristiques</w:t>
      </w:r>
      <w:r>
        <w:rPr>
          <w:color w:val="231F20"/>
          <w:spacing w:val="-10"/>
          <w:w w:val="120"/>
        </w:rPr>
        <w:t> </w:t>
      </w:r>
      <w:r>
        <w:rPr>
          <w:color w:val="231F20"/>
          <w:w w:val="120"/>
        </w:rPr>
        <w:t>communes,</w:t>
      </w:r>
      <w:r>
        <w:rPr>
          <w:color w:val="231F20"/>
          <w:spacing w:val="-10"/>
          <w:w w:val="120"/>
        </w:rPr>
        <w:t> </w:t>
      </w:r>
      <w:r>
        <w:rPr>
          <w:color w:val="231F20"/>
          <w:w w:val="120"/>
        </w:rPr>
        <w:t>du</w:t>
      </w:r>
      <w:r>
        <w:rPr>
          <w:color w:val="231F20"/>
          <w:spacing w:val="-10"/>
          <w:w w:val="120"/>
        </w:rPr>
        <w:t> </w:t>
      </w:r>
      <w:r>
        <w:rPr>
          <w:color w:val="231F20"/>
          <w:w w:val="120"/>
        </w:rPr>
        <w:t>moins dans les conditions expérimentales utilisées par le chercheur. Toute- fois,</w:t>
      </w:r>
      <w:r>
        <w:rPr>
          <w:color w:val="231F20"/>
          <w:spacing w:val="-13"/>
          <w:w w:val="120"/>
        </w:rPr>
        <w:t> </w:t>
      </w:r>
      <w:r>
        <w:rPr>
          <w:color w:val="231F20"/>
          <w:w w:val="120"/>
        </w:rPr>
        <w:t>la</w:t>
      </w:r>
      <w:r>
        <w:rPr>
          <w:color w:val="231F20"/>
          <w:spacing w:val="-13"/>
          <w:w w:val="120"/>
        </w:rPr>
        <w:t> </w:t>
      </w:r>
      <w:r>
        <w:rPr>
          <w:color w:val="231F20"/>
          <w:w w:val="120"/>
        </w:rPr>
        <w:t>réalité</w:t>
      </w:r>
      <w:r>
        <w:rPr>
          <w:color w:val="231F20"/>
          <w:spacing w:val="-13"/>
          <w:w w:val="120"/>
        </w:rPr>
        <w:t> </w:t>
      </w:r>
      <w:r>
        <w:rPr>
          <w:color w:val="231F20"/>
          <w:w w:val="120"/>
        </w:rPr>
        <w:t>est</w:t>
      </w:r>
      <w:r>
        <w:rPr>
          <w:color w:val="231F20"/>
          <w:spacing w:val="-12"/>
          <w:w w:val="120"/>
        </w:rPr>
        <w:t> </w:t>
      </w:r>
      <w:r>
        <w:rPr>
          <w:color w:val="231F20"/>
          <w:w w:val="120"/>
        </w:rPr>
        <w:t>encore</w:t>
      </w:r>
      <w:r>
        <w:rPr>
          <w:color w:val="231F20"/>
          <w:spacing w:val="-13"/>
          <w:w w:val="120"/>
        </w:rPr>
        <w:t> </w:t>
      </w:r>
      <w:r>
        <w:rPr>
          <w:color w:val="231F20"/>
          <w:w w:val="120"/>
        </w:rPr>
        <w:t>beaucoup</w:t>
      </w:r>
      <w:r>
        <w:rPr>
          <w:color w:val="231F20"/>
          <w:spacing w:val="-13"/>
          <w:w w:val="120"/>
        </w:rPr>
        <w:t> </w:t>
      </w:r>
      <w:r>
        <w:rPr>
          <w:color w:val="231F20"/>
          <w:w w:val="120"/>
        </w:rPr>
        <w:t>plus</w:t>
      </w:r>
      <w:r>
        <w:rPr>
          <w:color w:val="231F20"/>
          <w:spacing w:val="-13"/>
          <w:w w:val="120"/>
        </w:rPr>
        <w:t> </w:t>
      </w:r>
      <w:r>
        <w:rPr>
          <w:color w:val="231F20"/>
          <w:w w:val="120"/>
        </w:rPr>
        <w:t>complexe</w:t>
      </w:r>
      <w:r>
        <w:rPr>
          <w:color w:val="231F20"/>
          <w:spacing w:val="-12"/>
          <w:w w:val="120"/>
        </w:rPr>
        <w:t> </w:t>
      </w:r>
      <w:r>
        <w:rPr>
          <w:color w:val="231F20"/>
          <w:w w:val="120"/>
        </w:rPr>
        <w:t>lorsqu’on</w:t>
      </w:r>
      <w:r>
        <w:rPr>
          <w:color w:val="231F20"/>
          <w:spacing w:val="-13"/>
          <w:w w:val="120"/>
        </w:rPr>
        <w:t> </w:t>
      </w:r>
      <w:r>
        <w:rPr>
          <w:color w:val="231F20"/>
          <w:w w:val="120"/>
        </w:rPr>
        <w:t>applique</w:t>
      </w:r>
      <w:r>
        <w:rPr>
          <w:color w:val="231F20"/>
          <w:spacing w:val="-13"/>
          <w:w w:val="120"/>
        </w:rPr>
        <w:t> </w:t>
      </w:r>
      <w:r>
        <w:rPr>
          <w:color w:val="231F20"/>
          <w:w w:val="120"/>
        </w:rPr>
        <w:t>le modèle de Selye à des humains, compte tenu des énormes différences individuelles sur le plan de la perception et de la normalisation des situations</w:t>
      </w:r>
      <w:r>
        <w:rPr>
          <w:color w:val="231F20"/>
          <w:spacing w:val="-13"/>
          <w:w w:val="120"/>
        </w:rPr>
        <w:t> </w:t>
      </w:r>
      <w:r>
        <w:rPr>
          <w:color w:val="231F20"/>
          <w:w w:val="120"/>
        </w:rPr>
        <w:t>alarmantes.</w:t>
      </w:r>
    </w:p>
    <w:p>
      <w:pPr>
        <w:pStyle w:val="BodyText"/>
        <w:spacing w:before="9"/>
        <w:rPr>
          <w:sz w:val="26"/>
        </w:rPr>
      </w:pPr>
    </w:p>
    <w:p>
      <w:pPr>
        <w:pStyle w:val="Heading4"/>
        <w:numPr>
          <w:ilvl w:val="2"/>
          <w:numId w:val="17"/>
        </w:numPr>
        <w:tabs>
          <w:tab w:pos="599" w:val="left" w:leader="none"/>
          <w:tab w:pos="899" w:val="left" w:leader="none"/>
        </w:tabs>
        <w:spacing w:line="240" w:lineRule="auto" w:before="0" w:after="0"/>
        <w:ind w:left="598" w:right="0" w:hanging="396"/>
        <w:jc w:val="left"/>
        <w:rPr>
          <w:b w:val="0"/>
          <w:color w:val="231F20"/>
        </w:rPr>
      </w:pPr>
      <w:r>
        <w:rPr>
          <w:b w:val="0"/>
          <w:i/>
          <w:color w:val="231F20"/>
          <w:spacing w:val="-10"/>
        </w:rPr>
        <w:t>/</w:t>
      </w:r>
      <w:r>
        <w:rPr>
          <w:b w:val="0"/>
          <w:i/>
          <w:color w:val="231F20"/>
        </w:rPr>
        <w:tab/>
      </w:r>
      <w:r>
        <w:rPr>
          <w:color w:val="231F20"/>
          <w:w w:val="90"/>
        </w:rPr>
        <w:t>Modèles</w:t>
      </w:r>
      <w:r>
        <w:rPr>
          <w:color w:val="231F20"/>
          <w:spacing w:val="22"/>
        </w:rPr>
        <w:t> </w:t>
      </w:r>
      <w:r>
        <w:rPr>
          <w:color w:val="231F20"/>
          <w:w w:val="90"/>
        </w:rPr>
        <w:t>transactionnels</w:t>
      </w:r>
      <w:r>
        <w:rPr>
          <w:color w:val="231F20"/>
          <w:spacing w:val="22"/>
        </w:rPr>
        <w:t> </w:t>
      </w:r>
      <w:r>
        <w:rPr>
          <w:color w:val="231F20"/>
          <w:w w:val="90"/>
        </w:rPr>
        <w:t>du</w:t>
      </w:r>
      <w:r>
        <w:rPr>
          <w:color w:val="231F20"/>
          <w:spacing w:val="23"/>
        </w:rPr>
        <w:t> </w:t>
      </w:r>
      <w:r>
        <w:rPr>
          <w:color w:val="231F20"/>
          <w:spacing w:val="-2"/>
          <w:w w:val="90"/>
        </w:rPr>
        <w:t>stress</w:t>
      </w:r>
    </w:p>
    <w:p>
      <w:pPr>
        <w:pStyle w:val="BodyText"/>
        <w:spacing w:line="307" w:lineRule="auto" w:before="234"/>
        <w:ind w:left="900" w:right="103"/>
        <w:jc w:val="both"/>
      </w:pPr>
      <w:r>
        <w:rPr>
          <w:color w:val="231F20"/>
          <w:w w:val="120"/>
        </w:rPr>
        <w:t>En</w:t>
      </w:r>
      <w:r>
        <w:rPr>
          <w:color w:val="231F20"/>
          <w:spacing w:val="-9"/>
          <w:w w:val="120"/>
        </w:rPr>
        <w:t> </w:t>
      </w:r>
      <w:r>
        <w:rPr>
          <w:color w:val="231F20"/>
          <w:w w:val="120"/>
        </w:rPr>
        <w:t>comparaison</w:t>
      </w:r>
      <w:r>
        <w:rPr>
          <w:color w:val="231F20"/>
          <w:spacing w:val="-9"/>
          <w:w w:val="120"/>
        </w:rPr>
        <w:t> </w:t>
      </w:r>
      <w:r>
        <w:rPr>
          <w:color w:val="231F20"/>
          <w:w w:val="120"/>
        </w:rPr>
        <w:t>aux</w:t>
      </w:r>
      <w:r>
        <w:rPr>
          <w:color w:val="231F20"/>
          <w:spacing w:val="-9"/>
          <w:w w:val="120"/>
        </w:rPr>
        <w:t> </w:t>
      </w:r>
      <w:r>
        <w:rPr>
          <w:color w:val="231F20"/>
          <w:w w:val="120"/>
        </w:rPr>
        <w:t>autres</w:t>
      </w:r>
      <w:r>
        <w:rPr>
          <w:color w:val="231F20"/>
          <w:spacing w:val="-9"/>
          <w:w w:val="120"/>
        </w:rPr>
        <w:t> </w:t>
      </w:r>
      <w:r>
        <w:rPr>
          <w:color w:val="231F20"/>
          <w:w w:val="120"/>
        </w:rPr>
        <w:t>modèles</w:t>
      </w:r>
      <w:r>
        <w:rPr>
          <w:color w:val="231F20"/>
          <w:spacing w:val="-9"/>
          <w:w w:val="120"/>
        </w:rPr>
        <w:t> </w:t>
      </w:r>
      <w:r>
        <w:rPr>
          <w:color w:val="231F20"/>
          <w:w w:val="120"/>
        </w:rPr>
        <w:t>explicatifs</w:t>
      </w:r>
      <w:r>
        <w:rPr>
          <w:color w:val="231F20"/>
          <w:spacing w:val="-9"/>
          <w:w w:val="120"/>
        </w:rPr>
        <w:t> </w:t>
      </w:r>
      <w:r>
        <w:rPr>
          <w:color w:val="231F20"/>
          <w:w w:val="120"/>
        </w:rPr>
        <w:t>du</w:t>
      </w:r>
      <w:r>
        <w:rPr>
          <w:color w:val="231F20"/>
          <w:spacing w:val="-9"/>
          <w:w w:val="120"/>
        </w:rPr>
        <w:t> </w:t>
      </w:r>
      <w:r>
        <w:rPr>
          <w:color w:val="231F20"/>
          <w:w w:val="120"/>
        </w:rPr>
        <w:t>stress,</w:t>
      </w:r>
      <w:r>
        <w:rPr>
          <w:color w:val="231F20"/>
          <w:spacing w:val="-9"/>
          <w:w w:val="120"/>
        </w:rPr>
        <w:t> </w:t>
      </w:r>
      <w:r>
        <w:rPr>
          <w:color w:val="231F20"/>
          <w:w w:val="120"/>
        </w:rPr>
        <w:t>la</w:t>
      </w:r>
      <w:r>
        <w:rPr>
          <w:color w:val="231F20"/>
          <w:spacing w:val="-9"/>
          <w:w w:val="120"/>
        </w:rPr>
        <w:t> </w:t>
      </w:r>
      <w:r>
        <w:rPr>
          <w:color w:val="231F20"/>
          <w:w w:val="120"/>
        </w:rPr>
        <w:t>conception transactionnelle, dont le modèle de Lazarus et Folkman est un porte- étendard8, constitue la première articulation qui propose une logique individualisée où le stress est une réalité subjective alimentée par des éléments</w:t>
      </w:r>
      <w:r>
        <w:rPr>
          <w:color w:val="231F20"/>
          <w:spacing w:val="29"/>
          <w:w w:val="120"/>
        </w:rPr>
        <w:t> </w:t>
      </w:r>
      <w:r>
        <w:rPr>
          <w:color w:val="231F20"/>
          <w:w w:val="120"/>
        </w:rPr>
        <w:t>environnementaux.</w:t>
      </w:r>
      <w:r>
        <w:rPr>
          <w:color w:val="231F20"/>
          <w:spacing w:val="29"/>
          <w:w w:val="120"/>
        </w:rPr>
        <w:t> </w:t>
      </w:r>
      <w:r>
        <w:rPr>
          <w:color w:val="231F20"/>
          <w:w w:val="120"/>
        </w:rPr>
        <w:t>Il</w:t>
      </w:r>
      <w:r>
        <w:rPr>
          <w:color w:val="231F20"/>
          <w:spacing w:val="29"/>
          <w:w w:val="120"/>
        </w:rPr>
        <w:t> </w:t>
      </w:r>
      <w:r>
        <w:rPr>
          <w:color w:val="231F20"/>
          <w:w w:val="120"/>
        </w:rPr>
        <w:t>ne</w:t>
      </w:r>
      <w:r>
        <w:rPr>
          <w:color w:val="231F20"/>
          <w:spacing w:val="29"/>
          <w:w w:val="120"/>
        </w:rPr>
        <w:t> </w:t>
      </w:r>
      <w:r>
        <w:rPr>
          <w:color w:val="231F20"/>
          <w:w w:val="120"/>
        </w:rPr>
        <w:t>s’agit</w:t>
      </w:r>
      <w:r>
        <w:rPr>
          <w:color w:val="231F20"/>
          <w:spacing w:val="29"/>
          <w:w w:val="120"/>
        </w:rPr>
        <w:t> </w:t>
      </w:r>
      <w:r>
        <w:rPr>
          <w:color w:val="231F20"/>
          <w:w w:val="120"/>
        </w:rPr>
        <w:t>pas</w:t>
      </w:r>
      <w:r>
        <w:rPr>
          <w:color w:val="231F20"/>
          <w:spacing w:val="29"/>
          <w:w w:val="120"/>
        </w:rPr>
        <w:t> </w:t>
      </w:r>
      <w:r>
        <w:rPr>
          <w:color w:val="231F20"/>
          <w:w w:val="120"/>
        </w:rPr>
        <w:t>de</w:t>
      </w:r>
      <w:r>
        <w:rPr>
          <w:color w:val="231F20"/>
          <w:spacing w:val="29"/>
          <w:w w:val="120"/>
        </w:rPr>
        <w:t> </w:t>
      </w:r>
      <w:r>
        <w:rPr>
          <w:color w:val="231F20"/>
          <w:w w:val="120"/>
        </w:rPr>
        <w:t>simplement</w:t>
      </w:r>
      <w:r>
        <w:rPr>
          <w:color w:val="231F20"/>
          <w:spacing w:val="29"/>
          <w:w w:val="120"/>
        </w:rPr>
        <w:t> </w:t>
      </w:r>
      <w:r>
        <w:rPr>
          <w:color w:val="231F20"/>
          <w:w w:val="120"/>
        </w:rPr>
        <w:t>trouver</w:t>
      </w:r>
    </w:p>
    <w:p>
      <w:pPr>
        <w:pStyle w:val="BodyText"/>
        <w:rPr>
          <w:sz w:val="20"/>
        </w:rPr>
      </w:pPr>
    </w:p>
    <w:p>
      <w:pPr>
        <w:pStyle w:val="BodyText"/>
        <w:spacing w:before="10"/>
        <w:rPr>
          <w:sz w:val="15"/>
        </w:rPr>
      </w:pPr>
      <w:r>
        <w:rPr/>
        <w:pict>
          <v:shape style="position:absolute;margin-left:82pt;margin-top:10.372458pt;width:287.5pt;height:.1pt;mso-position-horizontal-relative:page;mso-position-vertical-relative:paragraph;z-index:-15697408;mso-wrap-distance-left:0;mso-wrap-distance-right:0" id="docshape478" coordorigin="1640,207" coordsize="5750,0" path="m1640,207l7390,207e" filled="false" stroked="true" strokeweight=".25pt" strokecolor="#231f20">
            <v:path arrowok="t"/>
            <v:stroke dashstyle="shortdot"/>
            <w10:wrap type="topAndBottom"/>
          </v:shape>
        </w:pict>
      </w:r>
    </w:p>
    <w:p>
      <w:pPr>
        <w:pStyle w:val="ListParagraph"/>
        <w:numPr>
          <w:ilvl w:val="0"/>
          <w:numId w:val="18"/>
        </w:numPr>
        <w:tabs>
          <w:tab w:pos="899" w:val="left" w:leader="none"/>
          <w:tab w:pos="900" w:val="left" w:leader="none"/>
        </w:tabs>
        <w:spacing w:line="240" w:lineRule="auto" w:before="135" w:after="0"/>
        <w:ind w:left="899" w:right="0" w:hanging="328"/>
        <w:jc w:val="left"/>
        <w:rPr>
          <w:rFonts w:ascii="Arial"/>
          <w:sz w:val="12"/>
        </w:rPr>
      </w:pPr>
      <w:r>
        <w:rPr>
          <w:rFonts w:ascii="Arial"/>
          <w:color w:val="231F20"/>
          <w:w w:val="95"/>
          <w:sz w:val="12"/>
        </w:rPr>
        <w:t>Lazarus,</w:t>
      </w:r>
      <w:r>
        <w:rPr>
          <w:rFonts w:ascii="Arial"/>
          <w:color w:val="231F20"/>
          <w:spacing w:val="2"/>
          <w:sz w:val="12"/>
        </w:rPr>
        <w:t> </w:t>
      </w:r>
      <w:r>
        <w:rPr>
          <w:rFonts w:ascii="Arial"/>
          <w:color w:val="231F20"/>
          <w:w w:val="95"/>
          <w:sz w:val="12"/>
        </w:rPr>
        <w:t>R.</w:t>
      </w:r>
      <w:r>
        <w:rPr>
          <w:rFonts w:ascii="Arial"/>
          <w:color w:val="231F20"/>
          <w:spacing w:val="3"/>
          <w:sz w:val="12"/>
        </w:rPr>
        <w:t> </w:t>
      </w:r>
      <w:r>
        <w:rPr>
          <w:rFonts w:ascii="Arial"/>
          <w:color w:val="231F20"/>
          <w:w w:val="95"/>
          <w:sz w:val="12"/>
        </w:rPr>
        <w:t>S.</w:t>
      </w:r>
      <w:r>
        <w:rPr>
          <w:rFonts w:ascii="Arial"/>
          <w:color w:val="231F20"/>
          <w:spacing w:val="3"/>
          <w:sz w:val="12"/>
        </w:rPr>
        <w:t> </w:t>
      </w:r>
      <w:r>
        <w:rPr>
          <w:rFonts w:ascii="Arial"/>
          <w:color w:val="231F20"/>
          <w:w w:val="95"/>
          <w:sz w:val="12"/>
        </w:rPr>
        <w:t>et</w:t>
      </w:r>
      <w:r>
        <w:rPr>
          <w:rFonts w:ascii="Arial"/>
          <w:color w:val="231F20"/>
          <w:spacing w:val="3"/>
          <w:sz w:val="12"/>
        </w:rPr>
        <w:t> </w:t>
      </w:r>
      <w:r>
        <w:rPr>
          <w:rFonts w:ascii="Arial"/>
          <w:color w:val="231F20"/>
          <w:w w:val="95"/>
          <w:sz w:val="12"/>
        </w:rPr>
        <w:t>Folkman,</w:t>
      </w:r>
      <w:r>
        <w:rPr>
          <w:rFonts w:ascii="Arial"/>
          <w:color w:val="231F20"/>
          <w:spacing w:val="3"/>
          <w:sz w:val="12"/>
        </w:rPr>
        <w:t> </w:t>
      </w:r>
      <w:r>
        <w:rPr>
          <w:rFonts w:ascii="Arial"/>
          <w:color w:val="231F20"/>
          <w:w w:val="95"/>
          <w:sz w:val="12"/>
        </w:rPr>
        <w:t>S.</w:t>
      </w:r>
      <w:r>
        <w:rPr>
          <w:rFonts w:ascii="Arial"/>
          <w:color w:val="231F20"/>
          <w:spacing w:val="3"/>
          <w:sz w:val="12"/>
        </w:rPr>
        <w:t> </w:t>
      </w:r>
      <w:r>
        <w:rPr>
          <w:rFonts w:ascii="Arial"/>
          <w:color w:val="231F20"/>
          <w:w w:val="95"/>
          <w:sz w:val="12"/>
        </w:rPr>
        <w:t>(1984).</w:t>
      </w:r>
      <w:r>
        <w:rPr>
          <w:rFonts w:ascii="Arial"/>
          <w:color w:val="231F20"/>
          <w:spacing w:val="3"/>
          <w:sz w:val="12"/>
        </w:rPr>
        <w:t> </w:t>
      </w:r>
      <w:r>
        <w:rPr>
          <w:rFonts w:ascii="Arial"/>
          <w:i/>
          <w:color w:val="231F20"/>
          <w:w w:val="95"/>
          <w:sz w:val="12"/>
        </w:rPr>
        <w:t>Stress,</w:t>
      </w:r>
      <w:r>
        <w:rPr>
          <w:rFonts w:ascii="Arial"/>
          <w:i/>
          <w:color w:val="231F20"/>
          <w:spacing w:val="2"/>
          <w:sz w:val="12"/>
        </w:rPr>
        <w:t> </w:t>
      </w:r>
      <w:r>
        <w:rPr>
          <w:rFonts w:ascii="Arial"/>
          <w:i/>
          <w:color w:val="231F20"/>
          <w:w w:val="95"/>
          <w:sz w:val="12"/>
        </w:rPr>
        <w:t>Appraisal,</w:t>
      </w:r>
      <w:r>
        <w:rPr>
          <w:rFonts w:ascii="Arial"/>
          <w:i/>
          <w:color w:val="231F20"/>
          <w:spacing w:val="3"/>
          <w:sz w:val="12"/>
        </w:rPr>
        <w:t> </w:t>
      </w:r>
      <w:r>
        <w:rPr>
          <w:rFonts w:ascii="Arial"/>
          <w:i/>
          <w:color w:val="231F20"/>
          <w:w w:val="95"/>
          <w:sz w:val="12"/>
        </w:rPr>
        <w:t>and</w:t>
      </w:r>
      <w:r>
        <w:rPr>
          <w:rFonts w:ascii="Arial"/>
          <w:i/>
          <w:color w:val="231F20"/>
          <w:spacing w:val="3"/>
          <w:sz w:val="12"/>
        </w:rPr>
        <w:t> </w:t>
      </w:r>
      <w:r>
        <w:rPr>
          <w:rFonts w:ascii="Arial"/>
          <w:i/>
          <w:color w:val="231F20"/>
          <w:w w:val="95"/>
          <w:sz w:val="12"/>
        </w:rPr>
        <w:t>Coping</w:t>
      </w:r>
      <w:r>
        <w:rPr>
          <w:rFonts w:ascii="Arial"/>
          <w:color w:val="231F20"/>
          <w:w w:val="95"/>
          <w:sz w:val="12"/>
        </w:rPr>
        <w:t>,</w:t>
      </w:r>
      <w:r>
        <w:rPr>
          <w:rFonts w:ascii="Arial"/>
          <w:color w:val="231F20"/>
          <w:spacing w:val="3"/>
          <w:sz w:val="12"/>
        </w:rPr>
        <w:t> </w:t>
      </w:r>
      <w:r>
        <w:rPr>
          <w:rFonts w:ascii="Arial"/>
          <w:color w:val="231F20"/>
          <w:w w:val="95"/>
          <w:sz w:val="12"/>
        </w:rPr>
        <w:t>New</w:t>
      </w:r>
      <w:r>
        <w:rPr>
          <w:rFonts w:ascii="Arial"/>
          <w:color w:val="231F20"/>
          <w:spacing w:val="3"/>
          <w:sz w:val="12"/>
        </w:rPr>
        <w:t> </w:t>
      </w:r>
      <w:r>
        <w:rPr>
          <w:rFonts w:ascii="Arial"/>
          <w:color w:val="231F20"/>
          <w:w w:val="95"/>
          <w:sz w:val="12"/>
        </w:rPr>
        <w:t>York,</w:t>
      </w:r>
      <w:r>
        <w:rPr>
          <w:rFonts w:ascii="Arial"/>
          <w:color w:val="231F20"/>
          <w:spacing w:val="3"/>
          <w:sz w:val="12"/>
        </w:rPr>
        <w:t> </w:t>
      </w:r>
      <w:r>
        <w:rPr>
          <w:rFonts w:ascii="Arial"/>
          <w:color w:val="231F20"/>
          <w:w w:val="95"/>
          <w:sz w:val="12"/>
        </w:rPr>
        <w:t>Springer</w:t>
      </w:r>
      <w:r>
        <w:rPr>
          <w:rFonts w:ascii="Arial"/>
          <w:color w:val="231F20"/>
          <w:spacing w:val="-18"/>
          <w:w w:val="95"/>
          <w:sz w:val="12"/>
        </w:rPr>
        <w:t> </w:t>
      </w:r>
      <w:r>
        <w:rPr>
          <w:rFonts w:ascii="Arial"/>
          <w:color w:val="231F20"/>
          <w:w w:val="95"/>
          <w:sz w:val="12"/>
        </w:rPr>
        <w:t>;</w:t>
      </w:r>
      <w:r>
        <w:rPr>
          <w:rFonts w:ascii="Arial"/>
          <w:color w:val="231F20"/>
          <w:spacing w:val="3"/>
          <w:sz w:val="12"/>
        </w:rPr>
        <w:t> </w:t>
      </w:r>
      <w:r>
        <w:rPr>
          <w:rFonts w:ascii="Arial"/>
          <w:color w:val="231F20"/>
          <w:w w:val="95"/>
          <w:sz w:val="12"/>
        </w:rPr>
        <w:t>Monat,</w:t>
      </w:r>
      <w:r>
        <w:rPr>
          <w:rFonts w:ascii="Arial"/>
          <w:color w:val="231F20"/>
          <w:spacing w:val="2"/>
          <w:sz w:val="12"/>
        </w:rPr>
        <w:t> </w:t>
      </w:r>
      <w:r>
        <w:rPr>
          <w:rFonts w:ascii="Arial"/>
          <w:color w:val="231F20"/>
          <w:w w:val="95"/>
          <w:sz w:val="12"/>
        </w:rPr>
        <w:t>A.</w:t>
      </w:r>
      <w:r>
        <w:rPr>
          <w:rFonts w:ascii="Arial"/>
          <w:color w:val="231F20"/>
          <w:spacing w:val="3"/>
          <w:sz w:val="12"/>
        </w:rPr>
        <w:t> </w:t>
      </w:r>
      <w:r>
        <w:rPr>
          <w:rFonts w:ascii="Arial"/>
          <w:color w:val="231F20"/>
          <w:w w:val="95"/>
          <w:sz w:val="12"/>
        </w:rPr>
        <w:t>et</w:t>
      </w:r>
      <w:r>
        <w:rPr>
          <w:rFonts w:ascii="Arial"/>
          <w:color w:val="231F20"/>
          <w:spacing w:val="3"/>
          <w:sz w:val="12"/>
        </w:rPr>
        <w:t> </w:t>
      </w:r>
      <w:r>
        <w:rPr>
          <w:rFonts w:ascii="Arial"/>
          <w:color w:val="231F20"/>
          <w:spacing w:val="-2"/>
          <w:w w:val="95"/>
          <w:sz w:val="12"/>
        </w:rPr>
        <w:t>Lazarus,</w:t>
      </w:r>
    </w:p>
    <w:p>
      <w:pPr>
        <w:spacing w:before="32"/>
        <w:ind w:left="899" w:right="0" w:firstLine="0"/>
        <w:jc w:val="left"/>
        <w:rPr>
          <w:rFonts w:ascii="Arial"/>
          <w:sz w:val="12"/>
        </w:rPr>
      </w:pPr>
      <w:r>
        <w:rPr>
          <w:rFonts w:ascii="Arial"/>
          <w:color w:val="231F20"/>
          <w:w w:val="95"/>
          <w:sz w:val="12"/>
        </w:rPr>
        <w:t>R.</w:t>
      </w:r>
      <w:r>
        <w:rPr>
          <w:rFonts w:ascii="Arial"/>
          <w:color w:val="231F20"/>
          <w:spacing w:val="4"/>
          <w:sz w:val="12"/>
        </w:rPr>
        <w:t> </w:t>
      </w:r>
      <w:r>
        <w:rPr>
          <w:rFonts w:ascii="Arial"/>
          <w:color w:val="231F20"/>
          <w:w w:val="95"/>
          <w:sz w:val="12"/>
        </w:rPr>
        <w:t>S.</w:t>
      </w:r>
      <w:r>
        <w:rPr>
          <w:rFonts w:ascii="Arial"/>
          <w:color w:val="231F20"/>
          <w:spacing w:val="5"/>
          <w:sz w:val="12"/>
        </w:rPr>
        <w:t> </w:t>
      </w:r>
      <w:r>
        <w:rPr>
          <w:rFonts w:ascii="Arial"/>
          <w:color w:val="231F20"/>
          <w:w w:val="95"/>
          <w:sz w:val="12"/>
        </w:rPr>
        <w:t>(1991).</w:t>
      </w:r>
      <w:r>
        <w:rPr>
          <w:rFonts w:ascii="Arial"/>
          <w:color w:val="231F20"/>
          <w:spacing w:val="5"/>
          <w:sz w:val="12"/>
        </w:rPr>
        <w:t> </w:t>
      </w:r>
      <w:r>
        <w:rPr>
          <w:rFonts w:ascii="Arial"/>
          <w:i/>
          <w:color w:val="231F20"/>
          <w:w w:val="95"/>
          <w:sz w:val="12"/>
        </w:rPr>
        <w:t>Stress</w:t>
      </w:r>
      <w:r>
        <w:rPr>
          <w:rFonts w:ascii="Arial"/>
          <w:i/>
          <w:color w:val="231F20"/>
          <w:spacing w:val="5"/>
          <w:sz w:val="12"/>
        </w:rPr>
        <w:t> </w:t>
      </w:r>
      <w:r>
        <w:rPr>
          <w:rFonts w:ascii="Arial"/>
          <w:i/>
          <w:color w:val="231F20"/>
          <w:w w:val="95"/>
          <w:sz w:val="12"/>
        </w:rPr>
        <w:t>and</w:t>
      </w:r>
      <w:r>
        <w:rPr>
          <w:rFonts w:ascii="Arial"/>
          <w:i/>
          <w:color w:val="231F20"/>
          <w:spacing w:val="4"/>
          <w:sz w:val="12"/>
        </w:rPr>
        <w:t> </w:t>
      </w:r>
      <w:r>
        <w:rPr>
          <w:rFonts w:ascii="Arial"/>
          <w:i/>
          <w:color w:val="231F20"/>
          <w:w w:val="95"/>
          <w:sz w:val="12"/>
        </w:rPr>
        <w:t>Coping:</w:t>
      </w:r>
      <w:r>
        <w:rPr>
          <w:rFonts w:ascii="Arial"/>
          <w:i/>
          <w:color w:val="231F20"/>
          <w:spacing w:val="5"/>
          <w:sz w:val="12"/>
        </w:rPr>
        <w:t> </w:t>
      </w:r>
      <w:r>
        <w:rPr>
          <w:rFonts w:ascii="Arial"/>
          <w:i/>
          <w:color w:val="231F20"/>
          <w:w w:val="95"/>
          <w:sz w:val="12"/>
        </w:rPr>
        <w:t>An</w:t>
      </w:r>
      <w:r>
        <w:rPr>
          <w:rFonts w:ascii="Arial"/>
          <w:i/>
          <w:color w:val="231F20"/>
          <w:spacing w:val="5"/>
          <w:sz w:val="12"/>
        </w:rPr>
        <w:t> </w:t>
      </w:r>
      <w:r>
        <w:rPr>
          <w:rFonts w:ascii="Arial"/>
          <w:i/>
          <w:color w:val="231F20"/>
          <w:w w:val="95"/>
          <w:sz w:val="12"/>
        </w:rPr>
        <w:t>Anthology</w:t>
      </w:r>
      <w:r>
        <w:rPr>
          <w:rFonts w:ascii="Arial"/>
          <w:color w:val="231F20"/>
          <w:w w:val="95"/>
          <w:sz w:val="12"/>
        </w:rPr>
        <w:t>,</w:t>
      </w:r>
      <w:r>
        <w:rPr>
          <w:rFonts w:ascii="Arial"/>
          <w:color w:val="231F20"/>
          <w:spacing w:val="5"/>
          <w:sz w:val="12"/>
        </w:rPr>
        <w:t> </w:t>
      </w:r>
      <w:r>
        <w:rPr>
          <w:rFonts w:ascii="Arial"/>
          <w:color w:val="231F20"/>
          <w:w w:val="95"/>
          <w:sz w:val="12"/>
        </w:rPr>
        <w:t>New</w:t>
      </w:r>
      <w:r>
        <w:rPr>
          <w:rFonts w:ascii="Arial"/>
          <w:color w:val="231F20"/>
          <w:spacing w:val="5"/>
          <w:sz w:val="12"/>
        </w:rPr>
        <w:t> </w:t>
      </w:r>
      <w:r>
        <w:rPr>
          <w:rFonts w:ascii="Arial"/>
          <w:color w:val="231F20"/>
          <w:w w:val="95"/>
          <w:sz w:val="12"/>
        </w:rPr>
        <w:t>York,</w:t>
      </w:r>
      <w:r>
        <w:rPr>
          <w:rFonts w:ascii="Arial"/>
          <w:color w:val="231F20"/>
          <w:spacing w:val="4"/>
          <w:sz w:val="12"/>
        </w:rPr>
        <w:t> </w:t>
      </w:r>
      <w:r>
        <w:rPr>
          <w:rFonts w:ascii="Arial"/>
          <w:color w:val="231F20"/>
          <w:w w:val="95"/>
          <w:sz w:val="12"/>
        </w:rPr>
        <w:t>Columbia</w:t>
      </w:r>
      <w:r>
        <w:rPr>
          <w:rFonts w:ascii="Arial"/>
          <w:color w:val="231F20"/>
          <w:spacing w:val="5"/>
          <w:sz w:val="12"/>
        </w:rPr>
        <w:t> </w:t>
      </w:r>
      <w:r>
        <w:rPr>
          <w:rFonts w:ascii="Arial"/>
          <w:color w:val="231F20"/>
          <w:w w:val="95"/>
          <w:sz w:val="12"/>
        </w:rPr>
        <w:t>University</w:t>
      </w:r>
      <w:r>
        <w:rPr>
          <w:rFonts w:ascii="Arial"/>
          <w:color w:val="231F20"/>
          <w:spacing w:val="5"/>
          <w:sz w:val="12"/>
        </w:rPr>
        <w:t> </w:t>
      </w:r>
      <w:r>
        <w:rPr>
          <w:rFonts w:ascii="Arial"/>
          <w:color w:val="231F20"/>
          <w:spacing w:val="-2"/>
          <w:w w:val="95"/>
          <w:sz w:val="12"/>
        </w:rPr>
        <w:t>Press.</w:t>
      </w:r>
    </w:p>
    <w:p>
      <w:pPr>
        <w:spacing w:after="0"/>
        <w:jc w:val="left"/>
        <w:rPr>
          <w:rFonts w:ascii="Arial"/>
          <w:sz w:val="12"/>
        </w:rPr>
        <w:sectPr>
          <w:footerReference w:type="default" r:id="rId149"/>
          <w:pgSz w:w="8640" w:h="12960"/>
          <w:pgMar w:footer="424" w:header="0" w:top="500" w:bottom="620" w:left="740" w:right="1140"/>
        </w:sectPr>
      </w:pPr>
    </w:p>
    <w:p>
      <w:pPr>
        <w:spacing w:before="103"/>
        <w:ind w:left="2183" w:right="2173"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510" w:right="495"/>
        <w:jc w:val="both"/>
      </w:pPr>
      <w:r>
        <w:rPr/>
        <w:pict>
          <v:group style="position:absolute;margin-left:62.5pt;margin-top:115.185547pt;width:287.5pt;height:401.75pt;mso-position-horizontal-relative:page;mso-position-vertical-relative:paragraph;z-index:-20977664" id="docshapegroup480" coordorigin="1250,2304" coordsize="5750,8035">
            <v:rect style="position:absolute;left:1250;top:2303;width:5750;height:955" id="docshape481" filled="true" fillcolor="#e2e3e4" stroked="false">
              <v:fill type="solid"/>
            </v:rect>
            <v:line style="position:absolute" from="1500,3101" to="6750,3101" stroked="true" strokeweight=".25pt" strokecolor="#231f20">
              <v:stroke dashstyle="shortdot"/>
            </v:line>
            <v:shape style="position:absolute;left:1250;top:3178;width:5750;height:7160" id="docshape482" coordorigin="1250,3179" coordsize="5750,7160" path="m7000,3179l1250,3179,1250,5589,1250,5929,1250,8209,1250,8509,1250,10339,7000,10339,7000,8509,7000,8209,7000,5929,7000,5589,7000,3179xe" filled="true" fillcolor="#e2e3e4" stroked="false">
              <v:path arrowok="t"/>
              <v:fill type="solid"/>
            </v:shape>
            <w10:wrap type="none"/>
          </v:group>
        </w:pict>
      </w:r>
      <w:r>
        <w:rPr>
          <w:color w:val="231F20"/>
          <w:w w:val="120"/>
        </w:rPr>
        <w:t>des déterminants ou des conséquences dans une dynamique stimulus- réponse,</w:t>
      </w:r>
      <w:r>
        <w:rPr>
          <w:color w:val="231F20"/>
          <w:spacing w:val="-4"/>
          <w:w w:val="120"/>
        </w:rPr>
        <w:t> </w:t>
      </w:r>
      <w:r>
        <w:rPr>
          <w:color w:val="231F20"/>
          <w:w w:val="120"/>
        </w:rPr>
        <w:t>mais</w:t>
      </w:r>
      <w:r>
        <w:rPr>
          <w:color w:val="231F20"/>
          <w:spacing w:val="-4"/>
          <w:w w:val="120"/>
        </w:rPr>
        <w:t> </w:t>
      </w:r>
      <w:r>
        <w:rPr>
          <w:color w:val="231F20"/>
          <w:w w:val="120"/>
        </w:rPr>
        <w:t>de</w:t>
      </w:r>
      <w:r>
        <w:rPr>
          <w:color w:val="231F20"/>
          <w:spacing w:val="-4"/>
          <w:w w:val="120"/>
        </w:rPr>
        <w:t> </w:t>
      </w:r>
      <w:r>
        <w:rPr>
          <w:color w:val="231F20"/>
          <w:w w:val="120"/>
        </w:rPr>
        <w:t>considérer</w:t>
      </w:r>
      <w:r>
        <w:rPr>
          <w:color w:val="231F20"/>
          <w:spacing w:val="-4"/>
          <w:w w:val="120"/>
        </w:rPr>
        <w:t> </w:t>
      </w:r>
      <w:r>
        <w:rPr>
          <w:color w:val="231F20"/>
          <w:w w:val="120"/>
        </w:rPr>
        <w:t>le</w:t>
      </w:r>
      <w:r>
        <w:rPr>
          <w:color w:val="231F20"/>
          <w:spacing w:val="-4"/>
          <w:w w:val="120"/>
        </w:rPr>
        <w:t> </w:t>
      </w:r>
      <w:r>
        <w:rPr>
          <w:color w:val="231F20"/>
          <w:w w:val="120"/>
        </w:rPr>
        <w:t>stress</w:t>
      </w:r>
      <w:r>
        <w:rPr>
          <w:color w:val="231F20"/>
          <w:spacing w:val="-4"/>
          <w:w w:val="120"/>
        </w:rPr>
        <w:t> </w:t>
      </w:r>
      <w:r>
        <w:rPr>
          <w:color w:val="231F20"/>
          <w:w w:val="120"/>
        </w:rPr>
        <w:t>comme</w:t>
      </w:r>
      <w:r>
        <w:rPr>
          <w:color w:val="231F20"/>
          <w:spacing w:val="-4"/>
          <w:w w:val="120"/>
        </w:rPr>
        <w:t> </w:t>
      </w:r>
      <w:r>
        <w:rPr>
          <w:color w:val="231F20"/>
          <w:w w:val="120"/>
        </w:rPr>
        <w:t>un</w:t>
      </w:r>
      <w:r>
        <w:rPr>
          <w:color w:val="231F20"/>
          <w:spacing w:val="-4"/>
          <w:w w:val="120"/>
        </w:rPr>
        <w:t> </w:t>
      </w:r>
      <w:r>
        <w:rPr>
          <w:color w:val="231F20"/>
          <w:w w:val="120"/>
        </w:rPr>
        <w:t>état</w:t>
      </w:r>
      <w:r>
        <w:rPr>
          <w:color w:val="231F20"/>
          <w:spacing w:val="-4"/>
          <w:w w:val="120"/>
        </w:rPr>
        <w:t> </w:t>
      </w:r>
      <w:r>
        <w:rPr>
          <w:color w:val="231F20"/>
          <w:w w:val="120"/>
        </w:rPr>
        <w:t>dépendant</w:t>
      </w:r>
      <w:r>
        <w:rPr>
          <w:color w:val="231F20"/>
          <w:spacing w:val="-4"/>
          <w:w w:val="120"/>
        </w:rPr>
        <w:t> </w:t>
      </w:r>
      <w:r>
        <w:rPr>
          <w:color w:val="231F20"/>
          <w:w w:val="120"/>
        </w:rPr>
        <w:t>de</w:t>
      </w:r>
      <w:r>
        <w:rPr>
          <w:color w:val="231F20"/>
          <w:spacing w:val="-4"/>
          <w:w w:val="120"/>
        </w:rPr>
        <w:t> </w:t>
      </w:r>
      <w:r>
        <w:rPr>
          <w:color w:val="231F20"/>
          <w:w w:val="120"/>
        </w:rPr>
        <w:t>l’in- terface</w:t>
      </w:r>
      <w:r>
        <w:rPr>
          <w:color w:val="231F20"/>
          <w:spacing w:val="-13"/>
          <w:w w:val="120"/>
        </w:rPr>
        <w:t> </w:t>
      </w:r>
      <w:r>
        <w:rPr>
          <w:color w:val="231F20"/>
          <w:w w:val="120"/>
        </w:rPr>
        <w:t>unissant</w:t>
      </w:r>
      <w:r>
        <w:rPr>
          <w:color w:val="231F20"/>
          <w:spacing w:val="-12"/>
          <w:w w:val="120"/>
        </w:rPr>
        <w:t> </w:t>
      </w:r>
      <w:r>
        <w:rPr>
          <w:color w:val="231F20"/>
          <w:w w:val="120"/>
        </w:rPr>
        <w:t>l’individu</w:t>
      </w:r>
      <w:r>
        <w:rPr>
          <w:color w:val="231F20"/>
          <w:spacing w:val="-13"/>
          <w:w w:val="120"/>
        </w:rPr>
        <w:t> </w:t>
      </w:r>
      <w:r>
        <w:rPr>
          <w:color w:val="231F20"/>
          <w:w w:val="120"/>
        </w:rPr>
        <w:t>à</w:t>
      </w:r>
      <w:r>
        <w:rPr>
          <w:color w:val="231F20"/>
          <w:spacing w:val="-12"/>
          <w:w w:val="120"/>
        </w:rPr>
        <w:t> </w:t>
      </w:r>
      <w:r>
        <w:rPr>
          <w:color w:val="231F20"/>
          <w:w w:val="120"/>
        </w:rPr>
        <w:t>son</w:t>
      </w:r>
      <w:r>
        <w:rPr>
          <w:color w:val="231F20"/>
          <w:spacing w:val="-13"/>
          <w:w w:val="120"/>
        </w:rPr>
        <w:t> </w:t>
      </w:r>
      <w:r>
        <w:rPr>
          <w:color w:val="231F20"/>
          <w:w w:val="120"/>
        </w:rPr>
        <w:t>environnement.</w:t>
      </w:r>
      <w:r>
        <w:rPr>
          <w:color w:val="231F20"/>
          <w:spacing w:val="-12"/>
          <w:w w:val="120"/>
        </w:rPr>
        <w:t> </w:t>
      </w:r>
      <w:r>
        <w:rPr>
          <w:color w:val="231F20"/>
          <w:w w:val="120"/>
        </w:rPr>
        <w:t>Plus</w:t>
      </w:r>
      <w:r>
        <w:rPr>
          <w:color w:val="231F20"/>
          <w:spacing w:val="-13"/>
          <w:w w:val="120"/>
        </w:rPr>
        <w:t> </w:t>
      </w:r>
      <w:r>
        <w:rPr>
          <w:color w:val="231F20"/>
          <w:w w:val="120"/>
        </w:rPr>
        <w:t>complexe</w:t>
      </w:r>
      <w:r>
        <w:rPr>
          <w:color w:val="231F20"/>
          <w:spacing w:val="-12"/>
          <w:w w:val="120"/>
        </w:rPr>
        <w:t> </w:t>
      </w:r>
      <w:r>
        <w:rPr>
          <w:color w:val="231F20"/>
          <w:w w:val="120"/>
        </w:rPr>
        <w:t>par</w:t>
      </w:r>
      <w:r>
        <w:rPr>
          <w:color w:val="231F20"/>
          <w:spacing w:val="-13"/>
          <w:w w:val="120"/>
        </w:rPr>
        <w:t> </w:t>
      </w:r>
      <w:r>
        <w:rPr>
          <w:color w:val="231F20"/>
          <w:w w:val="120"/>
        </w:rPr>
        <w:t>son </w:t>
      </w:r>
      <w:r>
        <w:rPr>
          <w:color w:val="231F20"/>
          <w:spacing w:val="-2"/>
          <w:w w:val="120"/>
        </w:rPr>
        <w:t>caractère</w:t>
      </w:r>
      <w:r>
        <w:rPr>
          <w:color w:val="231F20"/>
          <w:spacing w:val="-9"/>
          <w:w w:val="120"/>
        </w:rPr>
        <w:t> </w:t>
      </w:r>
      <w:r>
        <w:rPr>
          <w:color w:val="231F20"/>
          <w:spacing w:val="-2"/>
          <w:w w:val="120"/>
        </w:rPr>
        <w:t>multifactoriel,</w:t>
      </w:r>
      <w:r>
        <w:rPr>
          <w:color w:val="231F20"/>
          <w:spacing w:val="-9"/>
          <w:w w:val="120"/>
        </w:rPr>
        <w:t> </w:t>
      </w:r>
      <w:r>
        <w:rPr>
          <w:color w:val="231F20"/>
          <w:spacing w:val="-2"/>
          <w:w w:val="120"/>
        </w:rPr>
        <w:t>cette</w:t>
      </w:r>
      <w:r>
        <w:rPr>
          <w:color w:val="231F20"/>
          <w:spacing w:val="-9"/>
          <w:w w:val="120"/>
        </w:rPr>
        <w:t> </w:t>
      </w:r>
      <w:r>
        <w:rPr>
          <w:color w:val="231F20"/>
          <w:spacing w:val="-2"/>
          <w:w w:val="120"/>
        </w:rPr>
        <w:t>articulation</w:t>
      </w:r>
      <w:r>
        <w:rPr>
          <w:color w:val="231F20"/>
          <w:spacing w:val="-9"/>
          <w:w w:val="120"/>
        </w:rPr>
        <w:t> </w:t>
      </w:r>
      <w:r>
        <w:rPr>
          <w:color w:val="231F20"/>
          <w:spacing w:val="-2"/>
          <w:w w:val="120"/>
        </w:rPr>
        <w:t>transactionnelle</w:t>
      </w:r>
      <w:r>
        <w:rPr>
          <w:color w:val="231F20"/>
          <w:spacing w:val="-9"/>
          <w:w w:val="120"/>
        </w:rPr>
        <w:t> </w:t>
      </w:r>
      <w:r>
        <w:rPr>
          <w:color w:val="231F20"/>
          <w:spacing w:val="-2"/>
          <w:w w:val="120"/>
        </w:rPr>
        <w:t>du</w:t>
      </w:r>
      <w:r>
        <w:rPr>
          <w:color w:val="231F20"/>
          <w:spacing w:val="-9"/>
          <w:w w:val="120"/>
        </w:rPr>
        <w:t> </w:t>
      </w:r>
      <w:r>
        <w:rPr>
          <w:color w:val="231F20"/>
          <w:spacing w:val="-2"/>
          <w:w w:val="120"/>
        </w:rPr>
        <w:t>stress</w:t>
      </w:r>
      <w:r>
        <w:rPr>
          <w:color w:val="231F20"/>
          <w:spacing w:val="-9"/>
          <w:w w:val="120"/>
        </w:rPr>
        <w:t> </w:t>
      </w:r>
      <w:r>
        <w:rPr>
          <w:color w:val="231F20"/>
          <w:spacing w:val="-2"/>
          <w:w w:val="120"/>
        </w:rPr>
        <w:t>offre </w:t>
      </w:r>
      <w:r>
        <w:rPr>
          <w:color w:val="231F20"/>
          <w:w w:val="120"/>
        </w:rPr>
        <w:t>une</w:t>
      </w:r>
      <w:r>
        <w:rPr>
          <w:color w:val="231F20"/>
          <w:spacing w:val="-7"/>
          <w:w w:val="120"/>
        </w:rPr>
        <w:t> </w:t>
      </w:r>
      <w:r>
        <w:rPr>
          <w:color w:val="231F20"/>
          <w:w w:val="120"/>
        </w:rPr>
        <w:t>perspective</w:t>
      </w:r>
      <w:r>
        <w:rPr>
          <w:color w:val="231F20"/>
          <w:spacing w:val="-7"/>
          <w:w w:val="120"/>
        </w:rPr>
        <w:t> </w:t>
      </w:r>
      <w:r>
        <w:rPr>
          <w:color w:val="231F20"/>
          <w:w w:val="120"/>
        </w:rPr>
        <w:t>proposant</w:t>
      </w:r>
      <w:r>
        <w:rPr>
          <w:color w:val="231F20"/>
          <w:spacing w:val="-7"/>
          <w:w w:val="120"/>
        </w:rPr>
        <w:t> </w:t>
      </w:r>
      <w:r>
        <w:rPr>
          <w:color w:val="231F20"/>
          <w:w w:val="120"/>
        </w:rPr>
        <w:t>plusieurs</w:t>
      </w:r>
      <w:r>
        <w:rPr>
          <w:color w:val="231F20"/>
          <w:spacing w:val="-7"/>
          <w:w w:val="120"/>
        </w:rPr>
        <w:t> </w:t>
      </w:r>
      <w:r>
        <w:rPr>
          <w:color w:val="231F20"/>
          <w:w w:val="120"/>
        </w:rPr>
        <w:t>leviers</w:t>
      </w:r>
      <w:r>
        <w:rPr>
          <w:color w:val="231F20"/>
          <w:spacing w:val="-7"/>
          <w:w w:val="120"/>
        </w:rPr>
        <w:t> </w:t>
      </w:r>
      <w:r>
        <w:rPr>
          <w:color w:val="231F20"/>
          <w:w w:val="120"/>
        </w:rPr>
        <w:t>d’action</w:t>
      </w:r>
      <w:r>
        <w:rPr>
          <w:color w:val="231F20"/>
          <w:spacing w:val="-7"/>
          <w:w w:val="120"/>
        </w:rPr>
        <w:t> </w:t>
      </w:r>
      <w:r>
        <w:rPr>
          <w:color w:val="231F20"/>
          <w:w w:val="120"/>
        </w:rPr>
        <w:t>en</w:t>
      </w:r>
      <w:r>
        <w:rPr>
          <w:color w:val="231F20"/>
          <w:spacing w:val="-7"/>
          <w:w w:val="120"/>
        </w:rPr>
        <w:t> </w:t>
      </w:r>
      <w:r>
        <w:rPr>
          <w:color w:val="231F20"/>
          <w:w w:val="120"/>
        </w:rPr>
        <w:t>matière</w:t>
      </w:r>
      <w:r>
        <w:rPr>
          <w:color w:val="231F20"/>
          <w:spacing w:val="-7"/>
          <w:w w:val="120"/>
        </w:rPr>
        <w:t> </w:t>
      </w:r>
      <w:r>
        <w:rPr>
          <w:color w:val="231F20"/>
          <w:w w:val="120"/>
        </w:rPr>
        <w:t>de</w:t>
      </w:r>
      <w:r>
        <w:rPr>
          <w:color w:val="231F20"/>
          <w:spacing w:val="-7"/>
          <w:w w:val="120"/>
        </w:rPr>
        <w:t> </w:t>
      </w:r>
      <w:r>
        <w:rPr>
          <w:color w:val="231F20"/>
          <w:w w:val="120"/>
        </w:rPr>
        <w:t>ges- </w:t>
      </w:r>
      <w:r>
        <w:rPr>
          <w:color w:val="231F20"/>
          <w:spacing w:val="-2"/>
          <w:w w:val="120"/>
        </w:rPr>
        <w:t>tion</w:t>
      </w:r>
      <w:r>
        <w:rPr>
          <w:color w:val="231F20"/>
          <w:spacing w:val="-11"/>
          <w:w w:val="120"/>
        </w:rPr>
        <w:t> </w:t>
      </w:r>
      <w:r>
        <w:rPr>
          <w:color w:val="231F20"/>
          <w:spacing w:val="-2"/>
          <w:w w:val="120"/>
        </w:rPr>
        <w:t>du</w:t>
      </w:r>
      <w:r>
        <w:rPr>
          <w:color w:val="231F20"/>
          <w:spacing w:val="-11"/>
          <w:w w:val="120"/>
        </w:rPr>
        <w:t> </w:t>
      </w:r>
      <w:r>
        <w:rPr>
          <w:color w:val="231F20"/>
          <w:spacing w:val="-2"/>
          <w:w w:val="120"/>
        </w:rPr>
        <w:t>stress</w:t>
      </w:r>
      <w:r>
        <w:rPr>
          <w:color w:val="231F20"/>
          <w:spacing w:val="-11"/>
          <w:w w:val="120"/>
        </w:rPr>
        <w:t> </w:t>
      </w:r>
      <w:r>
        <w:rPr>
          <w:color w:val="231F20"/>
          <w:spacing w:val="-2"/>
          <w:w w:val="120"/>
        </w:rPr>
        <w:t>et</w:t>
      </w:r>
      <w:r>
        <w:rPr>
          <w:color w:val="231F20"/>
          <w:spacing w:val="-10"/>
          <w:w w:val="120"/>
        </w:rPr>
        <w:t> </w:t>
      </w:r>
      <w:r>
        <w:rPr>
          <w:color w:val="231F20"/>
          <w:spacing w:val="-2"/>
          <w:w w:val="120"/>
        </w:rPr>
        <w:t>de</w:t>
      </w:r>
      <w:r>
        <w:rPr>
          <w:color w:val="231F20"/>
          <w:spacing w:val="-11"/>
          <w:w w:val="120"/>
        </w:rPr>
        <w:t> </w:t>
      </w:r>
      <w:r>
        <w:rPr>
          <w:color w:val="231F20"/>
          <w:spacing w:val="-2"/>
          <w:w w:val="120"/>
        </w:rPr>
        <w:t>la</w:t>
      </w:r>
      <w:r>
        <w:rPr>
          <w:color w:val="231F20"/>
          <w:spacing w:val="-11"/>
          <w:w w:val="120"/>
        </w:rPr>
        <w:t> </w:t>
      </w:r>
      <w:r>
        <w:rPr>
          <w:color w:val="231F20"/>
          <w:spacing w:val="-2"/>
          <w:w w:val="120"/>
        </w:rPr>
        <w:t>santé</w:t>
      </w:r>
      <w:r>
        <w:rPr>
          <w:color w:val="231F20"/>
          <w:spacing w:val="-11"/>
          <w:w w:val="120"/>
        </w:rPr>
        <w:t> </w:t>
      </w:r>
      <w:r>
        <w:rPr>
          <w:color w:val="231F20"/>
          <w:spacing w:val="-2"/>
          <w:w w:val="120"/>
        </w:rPr>
        <w:t>psychologique</w:t>
      </w:r>
      <w:r>
        <w:rPr>
          <w:color w:val="231F20"/>
          <w:spacing w:val="-10"/>
          <w:w w:val="120"/>
        </w:rPr>
        <w:t> </w:t>
      </w:r>
      <w:r>
        <w:rPr>
          <w:color w:val="231F20"/>
          <w:spacing w:val="-2"/>
          <w:w w:val="120"/>
        </w:rPr>
        <w:t>au</w:t>
      </w:r>
      <w:r>
        <w:rPr>
          <w:color w:val="231F20"/>
          <w:spacing w:val="-11"/>
          <w:w w:val="120"/>
        </w:rPr>
        <w:t> </w:t>
      </w:r>
      <w:r>
        <w:rPr>
          <w:color w:val="231F20"/>
          <w:spacing w:val="-2"/>
          <w:w w:val="120"/>
        </w:rPr>
        <w:t>travail.</w:t>
      </w:r>
      <w:r>
        <w:rPr>
          <w:color w:val="231F20"/>
          <w:spacing w:val="-11"/>
          <w:w w:val="120"/>
        </w:rPr>
        <w:t> </w:t>
      </w:r>
      <w:r>
        <w:rPr>
          <w:color w:val="231F20"/>
          <w:spacing w:val="-2"/>
          <w:w w:val="120"/>
        </w:rPr>
        <w:t>Le</w:t>
      </w:r>
      <w:r>
        <w:rPr>
          <w:color w:val="231F20"/>
          <w:spacing w:val="-11"/>
          <w:w w:val="120"/>
        </w:rPr>
        <w:t> </w:t>
      </w:r>
      <w:r>
        <w:rPr>
          <w:color w:val="231F20"/>
          <w:spacing w:val="-2"/>
          <w:w w:val="120"/>
        </w:rPr>
        <w:t>monde</w:t>
      </w:r>
      <w:r>
        <w:rPr>
          <w:color w:val="231F20"/>
          <w:spacing w:val="-10"/>
          <w:w w:val="120"/>
        </w:rPr>
        <w:t> </w:t>
      </w:r>
      <w:r>
        <w:rPr>
          <w:color w:val="231F20"/>
          <w:spacing w:val="-2"/>
          <w:w w:val="120"/>
        </w:rPr>
        <w:t>du</w:t>
      </w:r>
      <w:r>
        <w:rPr>
          <w:color w:val="231F20"/>
          <w:spacing w:val="-11"/>
          <w:w w:val="120"/>
        </w:rPr>
        <w:t> </w:t>
      </w:r>
      <w:r>
        <w:rPr>
          <w:color w:val="231F20"/>
          <w:spacing w:val="-2"/>
          <w:w w:val="120"/>
        </w:rPr>
        <w:t>travail </w:t>
      </w:r>
      <w:r>
        <w:rPr>
          <w:color w:val="231F20"/>
          <w:w w:val="120"/>
        </w:rPr>
        <w:t>se</w:t>
      </w:r>
      <w:r>
        <w:rPr>
          <w:color w:val="231F20"/>
          <w:spacing w:val="-12"/>
          <w:w w:val="120"/>
        </w:rPr>
        <w:t> </w:t>
      </w:r>
      <w:r>
        <w:rPr>
          <w:color w:val="231F20"/>
          <w:w w:val="120"/>
        </w:rPr>
        <w:t>réfère</w:t>
      </w:r>
      <w:r>
        <w:rPr>
          <w:color w:val="231F20"/>
          <w:spacing w:val="-12"/>
          <w:w w:val="120"/>
        </w:rPr>
        <w:t> </w:t>
      </w:r>
      <w:r>
        <w:rPr>
          <w:color w:val="231F20"/>
          <w:w w:val="120"/>
        </w:rPr>
        <w:t>d’ailleurs</w:t>
      </w:r>
      <w:r>
        <w:rPr>
          <w:color w:val="231F20"/>
          <w:spacing w:val="-12"/>
          <w:w w:val="120"/>
        </w:rPr>
        <w:t> </w:t>
      </w:r>
      <w:r>
        <w:rPr>
          <w:color w:val="231F20"/>
          <w:w w:val="120"/>
        </w:rPr>
        <w:t>de</w:t>
      </w:r>
      <w:r>
        <w:rPr>
          <w:color w:val="231F20"/>
          <w:spacing w:val="-12"/>
          <w:w w:val="120"/>
        </w:rPr>
        <w:t> </w:t>
      </w:r>
      <w:r>
        <w:rPr>
          <w:color w:val="231F20"/>
          <w:w w:val="120"/>
        </w:rPr>
        <w:t>plus</w:t>
      </w:r>
      <w:r>
        <w:rPr>
          <w:color w:val="231F20"/>
          <w:spacing w:val="-12"/>
          <w:w w:val="120"/>
        </w:rPr>
        <w:t> </w:t>
      </w:r>
      <w:r>
        <w:rPr>
          <w:color w:val="231F20"/>
          <w:w w:val="120"/>
        </w:rPr>
        <w:t>en</w:t>
      </w:r>
      <w:r>
        <w:rPr>
          <w:color w:val="231F20"/>
          <w:spacing w:val="-12"/>
          <w:w w:val="120"/>
        </w:rPr>
        <w:t> </w:t>
      </w:r>
      <w:r>
        <w:rPr>
          <w:color w:val="231F20"/>
          <w:w w:val="120"/>
        </w:rPr>
        <w:t>plus</w:t>
      </w:r>
      <w:r>
        <w:rPr>
          <w:color w:val="231F20"/>
          <w:spacing w:val="-12"/>
          <w:w w:val="120"/>
        </w:rPr>
        <w:t> </w:t>
      </w:r>
      <w:r>
        <w:rPr>
          <w:color w:val="231F20"/>
          <w:w w:val="120"/>
        </w:rPr>
        <w:t>à</w:t>
      </w:r>
      <w:r>
        <w:rPr>
          <w:color w:val="231F20"/>
          <w:spacing w:val="-12"/>
          <w:w w:val="120"/>
        </w:rPr>
        <w:t> </w:t>
      </w:r>
      <w:r>
        <w:rPr>
          <w:color w:val="231F20"/>
          <w:w w:val="120"/>
        </w:rPr>
        <w:t>ce</w:t>
      </w:r>
      <w:r>
        <w:rPr>
          <w:color w:val="231F20"/>
          <w:spacing w:val="-12"/>
          <w:w w:val="120"/>
        </w:rPr>
        <w:t> </w:t>
      </w:r>
      <w:r>
        <w:rPr>
          <w:color w:val="231F20"/>
          <w:w w:val="120"/>
        </w:rPr>
        <w:t>cadre</w:t>
      </w:r>
      <w:r>
        <w:rPr>
          <w:color w:val="231F20"/>
          <w:spacing w:val="-12"/>
          <w:w w:val="120"/>
        </w:rPr>
        <w:t> </w:t>
      </w:r>
      <w:r>
        <w:rPr>
          <w:color w:val="231F20"/>
          <w:w w:val="120"/>
        </w:rPr>
        <w:t>explicatif</w:t>
      </w:r>
      <w:r>
        <w:rPr>
          <w:color w:val="231F20"/>
          <w:spacing w:val="-12"/>
          <w:w w:val="120"/>
        </w:rPr>
        <w:t> </w:t>
      </w:r>
      <w:r>
        <w:rPr>
          <w:color w:val="231F20"/>
          <w:w w:val="120"/>
        </w:rPr>
        <w:t>afin</w:t>
      </w:r>
      <w:r>
        <w:rPr>
          <w:color w:val="231F20"/>
          <w:spacing w:val="-12"/>
          <w:w w:val="120"/>
        </w:rPr>
        <w:t> </w:t>
      </w:r>
      <w:r>
        <w:rPr>
          <w:color w:val="231F20"/>
          <w:w w:val="120"/>
        </w:rPr>
        <w:t>d’évaluer</w:t>
      </w:r>
      <w:r>
        <w:rPr>
          <w:color w:val="231F20"/>
          <w:spacing w:val="-12"/>
          <w:w w:val="120"/>
        </w:rPr>
        <w:t> </w:t>
      </w:r>
      <w:r>
        <w:rPr>
          <w:color w:val="231F20"/>
          <w:w w:val="120"/>
        </w:rPr>
        <w:t>la pertinence et l’efficacité des programmes d’intervention.</w:t>
      </w:r>
    </w:p>
    <w:p>
      <w:pPr>
        <w:pStyle w:val="BodyText"/>
        <w:spacing w:before="4"/>
        <w:rPr>
          <w:sz w:val="32"/>
        </w:rPr>
      </w:pPr>
    </w:p>
    <w:p>
      <w:pPr>
        <w:spacing w:line="307" w:lineRule="auto" w:before="1"/>
        <w:ind w:left="760" w:right="1524" w:firstLine="0"/>
        <w:jc w:val="left"/>
        <w:rPr>
          <w:rFonts w:ascii="Arial" w:hAnsi="Arial"/>
          <w:b/>
          <w:sz w:val="17"/>
        </w:rPr>
      </w:pPr>
      <w:r>
        <w:rPr>
          <w:rFonts w:ascii="Arial" w:hAnsi="Arial"/>
          <w:color w:val="231F20"/>
          <w:sz w:val="17"/>
        </w:rPr>
        <w:t>Faits intéressants</w:t>
      </w:r>
      <w:r>
        <w:rPr>
          <w:rFonts w:ascii="Arial" w:hAnsi="Arial"/>
          <w:color w:val="231F20"/>
          <w:spacing w:val="-12"/>
          <w:sz w:val="17"/>
        </w:rPr>
        <w:t> </w:t>
      </w:r>
      <w:r>
        <w:rPr>
          <w:rFonts w:ascii="Arial" w:hAnsi="Arial"/>
          <w:i/>
          <w:color w:val="231F20"/>
          <w:sz w:val="17"/>
        </w:rPr>
        <w:t>/</w:t>
      </w:r>
      <w:r>
        <w:rPr>
          <w:rFonts w:ascii="Arial" w:hAnsi="Arial"/>
          <w:i/>
          <w:color w:val="231F20"/>
          <w:spacing w:val="40"/>
          <w:sz w:val="17"/>
        </w:rPr>
        <w:t> </w:t>
      </w:r>
      <w:r>
        <w:rPr>
          <w:rFonts w:ascii="Arial" w:hAnsi="Arial"/>
          <w:b/>
          <w:color w:val="231F20"/>
          <w:sz w:val="17"/>
        </w:rPr>
        <w:t>Vu</w:t>
      </w:r>
      <w:r>
        <w:rPr>
          <w:rFonts w:ascii="Arial" w:hAnsi="Arial"/>
          <w:b/>
          <w:color w:val="231F20"/>
          <w:spacing w:val="-5"/>
          <w:sz w:val="17"/>
        </w:rPr>
        <w:t> </w:t>
      </w:r>
      <w:r>
        <w:rPr>
          <w:rFonts w:ascii="Arial" w:hAnsi="Arial"/>
          <w:b/>
          <w:color w:val="231F20"/>
          <w:sz w:val="17"/>
        </w:rPr>
        <w:t>de</w:t>
      </w:r>
      <w:r>
        <w:rPr>
          <w:rFonts w:ascii="Arial" w:hAnsi="Arial"/>
          <w:b/>
          <w:color w:val="231F20"/>
          <w:spacing w:val="-5"/>
          <w:sz w:val="17"/>
        </w:rPr>
        <w:t> </w:t>
      </w:r>
      <w:r>
        <w:rPr>
          <w:rFonts w:ascii="Arial" w:hAnsi="Arial"/>
          <w:b/>
          <w:color w:val="231F20"/>
          <w:sz w:val="17"/>
        </w:rPr>
        <w:t>l’intérieur,</w:t>
      </w:r>
      <w:r>
        <w:rPr>
          <w:rFonts w:ascii="Arial" w:hAnsi="Arial"/>
          <w:b/>
          <w:color w:val="231F20"/>
          <w:spacing w:val="-5"/>
          <w:sz w:val="17"/>
        </w:rPr>
        <w:t> </w:t>
      </w:r>
      <w:r>
        <w:rPr>
          <w:rFonts w:ascii="Arial" w:hAnsi="Arial"/>
          <w:b/>
          <w:color w:val="231F20"/>
          <w:sz w:val="17"/>
        </w:rPr>
        <w:t>collaboration</w:t>
      </w:r>
      <w:r>
        <w:rPr>
          <w:rFonts w:ascii="Arial" w:hAnsi="Arial"/>
          <w:b/>
          <w:color w:val="231F20"/>
          <w:spacing w:val="-5"/>
          <w:sz w:val="17"/>
        </w:rPr>
        <w:t> </w:t>
      </w:r>
      <w:r>
        <w:rPr>
          <w:rFonts w:ascii="Arial" w:hAnsi="Arial"/>
          <w:b/>
          <w:color w:val="231F20"/>
          <w:sz w:val="17"/>
        </w:rPr>
        <w:t>avec le</w:t>
      </w:r>
      <w:r>
        <w:rPr>
          <w:rFonts w:ascii="Arial" w:hAnsi="Arial"/>
          <w:b/>
          <w:color w:val="231F20"/>
          <w:spacing w:val="-12"/>
          <w:sz w:val="17"/>
        </w:rPr>
        <w:t> </w:t>
      </w:r>
      <w:r>
        <w:rPr>
          <w:rFonts w:ascii="Arial" w:hAnsi="Arial"/>
          <w:b/>
          <w:color w:val="231F20"/>
          <w:sz w:val="17"/>
        </w:rPr>
        <w:t>découvreur</w:t>
      </w:r>
      <w:r>
        <w:rPr>
          <w:rFonts w:ascii="Arial" w:hAnsi="Arial"/>
          <w:b/>
          <w:color w:val="231F20"/>
          <w:spacing w:val="-12"/>
          <w:sz w:val="17"/>
        </w:rPr>
        <w:t> </w:t>
      </w:r>
      <w:r>
        <w:rPr>
          <w:rFonts w:ascii="Arial" w:hAnsi="Arial"/>
          <w:b/>
          <w:color w:val="231F20"/>
          <w:sz w:val="17"/>
        </w:rPr>
        <w:t>du</w:t>
      </w:r>
      <w:r>
        <w:rPr>
          <w:rFonts w:ascii="Arial" w:hAnsi="Arial"/>
          <w:b/>
          <w:color w:val="231F20"/>
          <w:spacing w:val="-12"/>
          <w:sz w:val="17"/>
        </w:rPr>
        <w:t> </w:t>
      </w:r>
      <w:r>
        <w:rPr>
          <w:rFonts w:ascii="Arial" w:hAnsi="Arial"/>
          <w:b/>
          <w:color w:val="231F20"/>
          <w:sz w:val="17"/>
        </w:rPr>
        <w:t>stress,</w:t>
      </w:r>
      <w:r>
        <w:rPr>
          <w:rFonts w:ascii="Arial" w:hAnsi="Arial"/>
          <w:b/>
          <w:color w:val="231F20"/>
          <w:spacing w:val="-12"/>
          <w:sz w:val="17"/>
        </w:rPr>
        <w:t> </w:t>
      </w:r>
      <w:r>
        <w:rPr>
          <w:rFonts w:ascii="Arial" w:hAnsi="Arial"/>
          <w:b/>
          <w:color w:val="231F20"/>
          <w:sz w:val="17"/>
        </w:rPr>
        <w:t>le</w:t>
      </w:r>
      <w:r>
        <w:rPr>
          <w:rFonts w:ascii="Arial" w:hAnsi="Arial"/>
          <w:b/>
          <w:color w:val="231F20"/>
          <w:spacing w:val="-12"/>
          <w:sz w:val="17"/>
        </w:rPr>
        <w:t> </w:t>
      </w:r>
      <w:r>
        <w:rPr>
          <w:rFonts w:ascii="Arial" w:hAnsi="Arial"/>
          <w:b/>
          <w:color w:val="231F20"/>
          <w:sz w:val="17"/>
        </w:rPr>
        <w:t>D</w:t>
      </w:r>
      <w:r>
        <w:rPr>
          <w:rFonts w:ascii="Arial" w:hAnsi="Arial"/>
          <w:b/>
          <w:color w:val="231F20"/>
          <w:position w:val="6"/>
          <w:sz w:val="10"/>
        </w:rPr>
        <w:t>r</w:t>
      </w:r>
      <w:r>
        <w:rPr>
          <w:rFonts w:ascii="Arial" w:hAnsi="Arial"/>
          <w:b/>
          <w:color w:val="231F20"/>
          <w:spacing w:val="-3"/>
          <w:position w:val="6"/>
          <w:sz w:val="10"/>
        </w:rPr>
        <w:t> </w:t>
      </w:r>
      <w:r>
        <w:rPr>
          <w:rFonts w:ascii="Arial" w:hAnsi="Arial"/>
          <w:b/>
          <w:color w:val="231F20"/>
          <w:sz w:val="17"/>
        </w:rPr>
        <w:t>Hans</w:t>
      </w:r>
      <w:r>
        <w:rPr>
          <w:rFonts w:ascii="Arial" w:hAnsi="Arial"/>
          <w:b/>
          <w:color w:val="231F20"/>
          <w:spacing w:val="-12"/>
          <w:sz w:val="17"/>
        </w:rPr>
        <w:t> </w:t>
      </w:r>
      <w:r>
        <w:rPr>
          <w:rFonts w:ascii="Arial" w:hAnsi="Arial"/>
          <w:b/>
          <w:color w:val="231F20"/>
          <w:sz w:val="17"/>
        </w:rPr>
        <w:t>Selye</w:t>
      </w:r>
    </w:p>
    <w:p>
      <w:pPr>
        <w:pStyle w:val="BodyText"/>
        <w:spacing w:before="7"/>
        <w:rPr>
          <w:rFonts w:ascii="Arial"/>
          <w:b/>
          <w:sz w:val="21"/>
        </w:rPr>
      </w:pPr>
    </w:p>
    <w:p>
      <w:pPr>
        <w:pStyle w:val="BodyText"/>
        <w:spacing w:line="307" w:lineRule="auto"/>
        <w:ind w:left="759" w:right="747"/>
        <w:jc w:val="both"/>
        <w:rPr>
          <w:rFonts w:ascii="Arial" w:hAnsi="Arial"/>
        </w:rPr>
      </w:pPr>
      <w:r>
        <w:rPr>
          <w:rFonts w:ascii="Arial" w:hAnsi="Arial"/>
          <w:color w:val="231F20"/>
        </w:rPr>
        <w:t>En</w:t>
      </w:r>
      <w:r>
        <w:rPr>
          <w:rFonts w:ascii="Arial" w:hAnsi="Arial"/>
          <w:color w:val="231F20"/>
          <w:spacing w:val="-12"/>
        </w:rPr>
        <w:t> </w:t>
      </w:r>
      <w:r>
        <w:rPr>
          <w:rFonts w:ascii="Arial" w:hAnsi="Arial"/>
          <w:color w:val="231F20"/>
        </w:rPr>
        <w:t>1977,</w:t>
      </w:r>
      <w:r>
        <w:rPr>
          <w:rFonts w:ascii="Arial" w:hAnsi="Arial"/>
          <w:color w:val="231F20"/>
          <w:spacing w:val="-12"/>
        </w:rPr>
        <w:t> </w:t>
      </w:r>
      <w:r>
        <w:rPr>
          <w:rFonts w:ascii="Arial" w:hAnsi="Arial"/>
          <w:color w:val="231F20"/>
        </w:rPr>
        <w:t>Simon</w:t>
      </w:r>
      <w:r>
        <w:rPr>
          <w:rFonts w:ascii="Arial" w:hAnsi="Arial"/>
          <w:color w:val="231F20"/>
          <w:spacing w:val="-12"/>
        </w:rPr>
        <w:t> </w:t>
      </w:r>
      <w:r>
        <w:rPr>
          <w:rFonts w:ascii="Arial" w:hAnsi="Arial"/>
          <w:color w:val="231F20"/>
        </w:rPr>
        <w:t>L.</w:t>
      </w:r>
      <w:r>
        <w:rPr>
          <w:rFonts w:ascii="Arial" w:hAnsi="Arial"/>
          <w:color w:val="231F20"/>
          <w:spacing w:val="-12"/>
        </w:rPr>
        <w:t> </w:t>
      </w:r>
      <w:r>
        <w:rPr>
          <w:rFonts w:ascii="Arial" w:hAnsi="Arial"/>
          <w:color w:val="231F20"/>
        </w:rPr>
        <w:t>Dolan</w:t>
      </w:r>
      <w:r>
        <w:rPr>
          <w:rFonts w:ascii="Arial" w:hAnsi="Arial"/>
          <w:color w:val="231F20"/>
          <w:spacing w:val="-12"/>
        </w:rPr>
        <w:t> </w:t>
      </w:r>
      <w:r>
        <w:rPr>
          <w:rFonts w:ascii="Arial" w:hAnsi="Arial"/>
          <w:color w:val="231F20"/>
        </w:rPr>
        <w:t>(un</w:t>
      </w:r>
      <w:r>
        <w:rPr>
          <w:rFonts w:ascii="Arial" w:hAnsi="Arial"/>
          <w:color w:val="231F20"/>
          <w:spacing w:val="-11"/>
        </w:rPr>
        <w:t> </w:t>
      </w:r>
      <w:r>
        <w:rPr>
          <w:rFonts w:ascii="Arial" w:hAnsi="Arial"/>
          <w:color w:val="231F20"/>
        </w:rPr>
        <w:t>des</w:t>
      </w:r>
      <w:r>
        <w:rPr>
          <w:rFonts w:ascii="Arial" w:hAnsi="Arial"/>
          <w:color w:val="231F20"/>
          <w:spacing w:val="-12"/>
        </w:rPr>
        <w:t> </w:t>
      </w:r>
      <w:r>
        <w:rPr>
          <w:rFonts w:ascii="Arial" w:hAnsi="Arial"/>
          <w:color w:val="231F20"/>
        </w:rPr>
        <w:t>coauteurs</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cet</w:t>
      </w:r>
      <w:r>
        <w:rPr>
          <w:rFonts w:ascii="Arial" w:hAnsi="Arial"/>
          <w:color w:val="231F20"/>
          <w:spacing w:val="-12"/>
        </w:rPr>
        <w:t> </w:t>
      </w:r>
      <w:r>
        <w:rPr>
          <w:rFonts w:ascii="Arial" w:hAnsi="Arial"/>
          <w:color w:val="231F20"/>
        </w:rPr>
        <w:t>ouvrage),</w:t>
      </w:r>
      <w:r>
        <w:rPr>
          <w:rFonts w:ascii="Arial" w:hAnsi="Arial"/>
          <w:color w:val="231F20"/>
          <w:spacing w:val="-11"/>
        </w:rPr>
        <w:t> </w:t>
      </w:r>
      <w:r>
        <w:rPr>
          <w:rFonts w:ascii="Arial" w:hAnsi="Arial"/>
          <w:color w:val="231F20"/>
        </w:rPr>
        <w:t>jeune</w:t>
      </w:r>
      <w:r>
        <w:rPr>
          <w:rFonts w:ascii="Arial" w:hAnsi="Arial"/>
          <w:color w:val="231F20"/>
          <w:spacing w:val="-12"/>
        </w:rPr>
        <w:t> </w:t>
      </w:r>
      <w:r>
        <w:rPr>
          <w:rFonts w:ascii="Arial" w:hAnsi="Arial"/>
          <w:color w:val="231F20"/>
        </w:rPr>
        <w:t>uni- versitaire, venait de terminer ses études de doctorat à l’Université du Minnesota, aux États-Unis. Après une expérience qui généra plus de questions</w:t>
      </w:r>
      <w:r>
        <w:rPr>
          <w:rFonts w:ascii="Arial" w:hAnsi="Arial"/>
          <w:color w:val="231F20"/>
          <w:spacing w:val="-7"/>
        </w:rPr>
        <w:t> </w:t>
      </w:r>
      <w:r>
        <w:rPr>
          <w:rFonts w:ascii="Arial" w:hAnsi="Arial"/>
          <w:color w:val="231F20"/>
        </w:rPr>
        <w:t>que</w:t>
      </w:r>
      <w:r>
        <w:rPr>
          <w:rFonts w:ascii="Arial" w:hAnsi="Arial"/>
          <w:color w:val="231F20"/>
          <w:spacing w:val="-7"/>
        </w:rPr>
        <w:t> </w:t>
      </w:r>
      <w:r>
        <w:rPr>
          <w:rFonts w:ascii="Arial" w:hAnsi="Arial"/>
          <w:color w:val="231F20"/>
        </w:rPr>
        <w:t>de</w:t>
      </w:r>
      <w:r>
        <w:rPr>
          <w:rFonts w:ascii="Arial" w:hAnsi="Arial"/>
          <w:color w:val="231F20"/>
          <w:spacing w:val="-7"/>
        </w:rPr>
        <w:t> </w:t>
      </w:r>
      <w:r>
        <w:rPr>
          <w:rFonts w:ascii="Arial" w:hAnsi="Arial"/>
          <w:color w:val="231F20"/>
        </w:rPr>
        <w:t>réponses</w:t>
      </w:r>
      <w:r>
        <w:rPr>
          <w:rFonts w:ascii="Arial" w:hAnsi="Arial"/>
          <w:color w:val="231F20"/>
          <w:spacing w:val="-7"/>
        </w:rPr>
        <w:t> </w:t>
      </w:r>
      <w:r>
        <w:rPr>
          <w:rFonts w:ascii="Arial" w:hAnsi="Arial"/>
          <w:color w:val="231F20"/>
        </w:rPr>
        <w:t>à</w:t>
      </w:r>
      <w:r>
        <w:rPr>
          <w:rFonts w:ascii="Arial" w:hAnsi="Arial"/>
          <w:color w:val="231F20"/>
          <w:spacing w:val="-7"/>
        </w:rPr>
        <w:t> </w:t>
      </w:r>
      <w:r>
        <w:rPr>
          <w:rFonts w:ascii="Arial" w:hAnsi="Arial"/>
          <w:color w:val="231F20"/>
        </w:rPr>
        <w:t>la</w:t>
      </w:r>
      <w:r>
        <w:rPr>
          <w:rFonts w:ascii="Arial" w:hAnsi="Arial"/>
          <w:color w:val="231F20"/>
          <w:spacing w:val="-7"/>
        </w:rPr>
        <w:t> </w:t>
      </w:r>
      <w:r>
        <w:rPr>
          <w:rFonts w:ascii="Arial" w:hAnsi="Arial"/>
          <w:color w:val="231F20"/>
        </w:rPr>
        <w:t>clinique</w:t>
      </w:r>
      <w:r>
        <w:rPr>
          <w:rFonts w:ascii="Arial" w:hAnsi="Arial"/>
          <w:color w:val="231F20"/>
          <w:spacing w:val="-7"/>
        </w:rPr>
        <w:t> </w:t>
      </w:r>
      <w:r>
        <w:rPr>
          <w:rFonts w:ascii="Arial" w:hAnsi="Arial"/>
          <w:color w:val="231F20"/>
        </w:rPr>
        <w:t>Mayo,</w:t>
      </w:r>
      <w:r>
        <w:rPr>
          <w:rFonts w:ascii="Arial" w:hAnsi="Arial"/>
          <w:color w:val="231F20"/>
          <w:spacing w:val="-7"/>
        </w:rPr>
        <w:t> </w:t>
      </w:r>
      <w:r>
        <w:rPr>
          <w:rFonts w:ascii="Arial" w:hAnsi="Arial"/>
          <w:color w:val="231F20"/>
        </w:rPr>
        <w:t>au</w:t>
      </w:r>
      <w:r>
        <w:rPr>
          <w:rFonts w:ascii="Arial" w:hAnsi="Arial"/>
          <w:color w:val="231F20"/>
          <w:spacing w:val="-7"/>
        </w:rPr>
        <w:t> </w:t>
      </w:r>
      <w:r>
        <w:rPr>
          <w:rFonts w:ascii="Arial" w:hAnsi="Arial"/>
          <w:color w:val="231F20"/>
        </w:rPr>
        <w:t>Minnesota,</w:t>
      </w:r>
      <w:r>
        <w:rPr>
          <w:rFonts w:ascii="Arial" w:hAnsi="Arial"/>
          <w:color w:val="231F20"/>
          <w:spacing w:val="-7"/>
        </w:rPr>
        <w:t> </w:t>
      </w:r>
      <w:r>
        <w:rPr>
          <w:rFonts w:ascii="Arial" w:hAnsi="Arial"/>
          <w:color w:val="231F20"/>
        </w:rPr>
        <w:t>il</w:t>
      </w:r>
      <w:r>
        <w:rPr>
          <w:rFonts w:ascii="Arial" w:hAnsi="Arial"/>
          <w:color w:val="231F20"/>
          <w:spacing w:val="-7"/>
        </w:rPr>
        <w:t> </w:t>
      </w:r>
      <w:r>
        <w:rPr>
          <w:rFonts w:ascii="Arial" w:hAnsi="Arial"/>
          <w:color w:val="231F20"/>
        </w:rPr>
        <w:t>décida </w:t>
      </w:r>
      <w:r>
        <w:rPr>
          <w:rFonts w:ascii="Arial" w:hAnsi="Arial"/>
          <w:color w:val="231F20"/>
          <w:spacing w:val="-2"/>
        </w:rPr>
        <w:t>de</w:t>
      </w:r>
      <w:r>
        <w:rPr>
          <w:rFonts w:ascii="Arial" w:hAnsi="Arial"/>
          <w:color w:val="231F20"/>
          <w:spacing w:val="-9"/>
        </w:rPr>
        <w:t> </w:t>
      </w:r>
      <w:r>
        <w:rPr>
          <w:rFonts w:ascii="Arial" w:hAnsi="Arial"/>
          <w:color w:val="231F20"/>
          <w:spacing w:val="-2"/>
        </w:rPr>
        <w:t>chercher</w:t>
      </w:r>
      <w:r>
        <w:rPr>
          <w:rFonts w:ascii="Arial" w:hAnsi="Arial"/>
          <w:color w:val="231F20"/>
          <w:spacing w:val="-9"/>
        </w:rPr>
        <w:t> </w:t>
      </w:r>
      <w:r>
        <w:rPr>
          <w:rFonts w:ascii="Arial" w:hAnsi="Arial"/>
          <w:color w:val="231F20"/>
          <w:spacing w:val="-2"/>
        </w:rPr>
        <w:t>pendant</w:t>
      </w:r>
      <w:r>
        <w:rPr>
          <w:rFonts w:ascii="Arial" w:hAnsi="Arial"/>
          <w:color w:val="231F20"/>
          <w:spacing w:val="-9"/>
        </w:rPr>
        <w:t> </w:t>
      </w:r>
      <w:r>
        <w:rPr>
          <w:rFonts w:ascii="Arial" w:hAnsi="Arial"/>
          <w:color w:val="231F20"/>
          <w:spacing w:val="-2"/>
        </w:rPr>
        <w:t>quelques</w:t>
      </w:r>
      <w:r>
        <w:rPr>
          <w:rFonts w:ascii="Arial" w:hAnsi="Arial"/>
          <w:color w:val="231F20"/>
          <w:spacing w:val="-9"/>
        </w:rPr>
        <w:t> </w:t>
      </w:r>
      <w:r>
        <w:rPr>
          <w:rFonts w:ascii="Arial" w:hAnsi="Arial"/>
          <w:color w:val="231F20"/>
          <w:spacing w:val="-2"/>
        </w:rPr>
        <w:t>années</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mieux</w:t>
      </w:r>
      <w:r>
        <w:rPr>
          <w:rFonts w:ascii="Arial" w:hAnsi="Arial"/>
          <w:color w:val="231F20"/>
          <w:spacing w:val="-9"/>
        </w:rPr>
        <w:t> </w:t>
      </w:r>
      <w:r>
        <w:rPr>
          <w:rFonts w:ascii="Arial" w:hAnsi="Arial"/>
          <w:color w:val="231F20"/>
          <w:spacing w:val="-2"/>
        </w:rPr>
        <w:t>comprendre</w:t>
      </w:r>
      <w:r>
        <w:rPr>
          <w:rFonts w:ascii="Arial" w:hAnsi="Arial"/>
          <w:color w:val="231F20"/>
          <w:spacing w:val="-9"/>
        </w:rPr>
        <w:t> </w:t>
      </w:r>
      <w:r>
        <w:rPr>
          <w:rFonts w:ascii="Arial" w:hAnsi="Arial"/>
          <w:color w:val="231F20"/>
          <w:spacing w:val="-2"/>
        </w:rPr>
        <w:t>le</w:t>
      </w:r>
      <w:r>
        <w:rPr>
          <w:rFonts w:ascii="Arial" w:hAnsi="Arial"/>
          <w:color w:val="231F20"/>
          <w:spacing w:val="-9"/>
        </w:rPr>
        <w:t> </w:t>
      </w:r>
      <w:r>
        <w:rPr>
          <w:rFonts w:ascii="Arial" w:hAnsi="Arial"/>
          <w:color w:val="231F20"/>
          <w:spacing w:val="-2"/>
        </w:rPr>
        <w:t>stress</w:t>
      </w:r>
      <w:r>
        <w:rPr>
          <w:rFonts w:ascii="Arial" w:hAnsi="Arial"/>
          <w:color w:val="231F20"/>
          <w:spacing w:val="-9"/>
        </w:rPr>
        <w:t> </w:t>
      </w:r>
      <w:r>
        <w:rPr>
          <w:rFonts w:ascii="Arial" w:hAnsi="Arial"/>
          <w:color w:val="231F20"/>
          <w:spacing w:val="-2"/>
        </w:rPr>
        <w:t>en </w:t>
      </w:r>
      <w:r>
        <w:rPr>
          <w:rFonts w:ascii="Arial" w:hAnsi="Arial"/>
          <w:color w:val="231F20"/>
          <w:w w:val="95"/>
        </w:rPr>
        <w:t>milieu</w:t>
      </w:r>
      <w:r>
        <w:rPr>
          <w:rFonts w:ascii="Arial" w:hAnsi="Arial"/>
          <w:color w:val="231F20"/>
          <w:spacing w:val="-4"/>
          <w:w w:val="95"/>
        </w:rPr>
        <w:t> </w:t>
      </w:r>
      <w:r>
        <w:rPr>
          <w:rFonts w:ascii="Arial" w:hAnsi="Arial"/>
          <w:color w:val="231F20"/>
          <w:w w:val="95"/>
        </w:rPr>
        <w:t>de</w:t>
      </w:r>
      <w:r>
        <w:rPr>
          <w:rFonts w:ascii="Arial" w:hAnsi="Arial"/>
          <w:color w:val="231F20"/>
          <w:spacing w:val="-4"/>
          <w:w w:val="95"/>
        </w:rPr>
        <w:t> </w:t>
      </w:r>
      <w:r>
        <w:rPr>
          <w:rFonts w:ascii="Arial" w:hAnsi="Arial"/>
          <w:color w:val="231F20"/>
          <w:w w:val="95"/>
        </w:rPr>
        <w:t>travail.</w:t>
      </w:r>
      <w:r>
        <w:rPr>
          <w:rFonts w:ascii="Arial" w:hAnsi="Arial"/>
          <w:color w:val="231F20"/>
          <w:spacing w:val="-4"/>
          <w:w w:val="95"/>
        </w:rPr>
        <w:t> </w:t>
      </w:r>
      <w:r>
        <w:rPr>
          <w:rFonts w:ascii="Arial" w:hAnsi="Arial"/>
          <w:color w:val="231F20"/>
          <w:w w:val="95"/>
        </w:rPr>
        <w:t>Une</w:t>
      </w:r>
      <w:r>
        <w:rPr>
          <w:rFonts w:ascii="Arial" w:hAnsi="Arial"/>
          <w:color w:val="231F20"/>
          <w:spacing w:val="-4"/>
          <w:w w:val="95"/>
        </w:rPr>
        <w:t> </w:t>
      </w:r>
      <w:r>
        <w:rPr>
          <w:rFonts w:ascii="Arial" w:hAnsi="Arial"/>
          <w:color w:val="231F20"/>
          <w:w w:val="95"/>
        </w:rPr>
        <w:t>heureuse</w:t>
      </w:r>
      <w:r>
        <w:rPr>
          <w:rFonts w:ascii="Arial" w:hAnsi="Arial"/>
          <w:color w:val="231F20"/>
          <w:spacing w:val="-4"/>
          <w:w w:val="95"/>
        </w:rPr>
        <w:t> </w:t>
      </w:r>
      <w:r>
        <w:rPr>
          <w:rFonts w:ascii="Arial" w:hAnsi="Arial"/>
          <w:color w:val="231F20"/>
          <w:w w:val="95"/>
        </w:rPr>
        <w:t>rencontre</w:t>
      </w:r>
      <w:r>
        <w:rPr>
          <w:rFonts w:ascii="Arial" w:hAnsi="Arial"/>
          <w:color w:val="231F20"/>
          <w:spacing w:val="-4"/>
          <w:w w:val="95"/>
        </w:rPr>
        <w:t> </w:t>
      </w:r>
      <w:r>
        <w:rPr>
          <w:rFonts w:ascii="Arial" w:hAnsi="Arial"/>
          <w:color w:val="231F20"/>
          <w:w w:val="95"/>
        </w:rPr>
        <w:t>avec</w:t>
      </w:r>
      <w:r>
        <w:rPr>
          <w:rFonts w:ascii="Arial" w:hAnsi="Arial"/>
          <w:color w:val="231F20"/>
          <w:spacing w:val="-4"/>
          <w:w w:val="95"/>
        </w:rPr>
        <w:t> </w:t>
      </w:r>
      <w:r>
        <w:rPr>
          <w:rFonts w:ascii="Arial" w:hAnsi="Arial"/>
          <w:color w:val="231F20"/>
          <w:w w:val="95"/>
        </w:rPr>
        <w:t>le</w:t>
      </w:r>
      <w:r>
        <w:rPr>
          <w:rFonts w:ascii="Arial" w:hAnsi="Arial"/>
          <w:color w:val="231F20"/>
          <w:spacing w:val="-4"/>
          <w:w w:val="95"/>
        </w:rPr>
        <w:t> </w:t>
      </w:r>
      <w:r>
        <w:rPr>
          <w:rFonts w:ascii="Arial" w:hAnsi="Arial"/>
          <w:color w:val="231F20"/>
          <w:w w:val="95"/>
        </w:rPr>
        <w:t>professeur</w:t>
      </w:r>
      <w:r>
        <w:rPr>
          <w:rFonts w:ascii="Arial" w:hAnsi="Arial"/>
          <w:color w:val="231F20"/>
          <w:spacing w:val="-4"/>
          <w:w w:val="95"/>
        </w:rPr>
        <w:t> </w:t>
      </w:r>
      <w:r>
        <w:rPr>
          <w:rFonts w:ascii="Arial" w:hAnsi="Arial"/>
          <w:color w:val="231F20"/>
          <w:w w:val="95"/>
        </w:rPr>
        <w:t>Paul</w:t>
      </w:r>
      <w:r>
        <w:rPr>
          <w:rFonts w:ascii="Arial" w:hAnsi="Arial"/>
          <w:color w:val="231F20"/>
          <w:spacing w:val="-4"/>
          <w:w w:val="95"/>
        </w:rPr>
        <w:t> </w:t>
      </w:r>
      <w:r>
        <w:rPr>
          <w:rFonts w:ascii="Arial" w:hAnsi="Arial"/>
          <w:color w:val="231F20"/>
          <w:w w:val="95"/>
        </w:rPr>
        <w:t>Rohan, </w:t>
      </w:r>
      <w:r>
        <w:rPr>
          <w:rFonts w:ascii="Arial" w:hAnsi="Arial"/>
          <w:color w:val="231F20"/>
          <w:spacing w:val="-2"/>
        </w:rPr>
        <w:t>ami</w:t>
      </w:r>
      <w:r>
        <w:rPr>
          <w:rFonts w:ascii="Arial" w:hAnsi="Arial"/>
          <w:color w:val="231F20"/>
          <w:spacing w:val="-6"/>
        </w:rPr>
        <w:t> </w:t>
      </w:r>
      <w:r>
        <w:rPr>
          <w:rFonts w:ascii="Arial" w:hAnsi="Arial"/>
          <w:color w:val="231F20"/>
          <w:spacing w:val="-2"/>
        </w:rPr>
        <w:t>personnel</w:t>
      </w:r>
      <w:r>
        <w:rPr>
          <w:rFonts w:ascii="Arial" w:hAnsi="Arial"/>
          <w:color w:val="231F20"/>
          <w:spacing w:val="-6"/>
        </w:rPr>
        <w:t> </w:t>
      </w:r>
      <w:r>
        <w:rPr>
          <w:rFonts w:ascii="Arial" w:hAnsi="Arial"/>
          <w:color w:val="231F20"/>
          <w:spacing w:val="-2"/>
        </w:rPr>
        <w:t>et</w:t>
      </w:r>
      <w:r>
        <w:rPr>
          <w:rFonts w:ascii="Arial" w:hAnsi="Arial"/>
          <w:color w:val="231F20"/>
          <w:spacing w:val="-6"/>
        </w:rPr>
        <w:t> </w:t>
      </w:r>
      <w:r>
        <w:rPr>
          <w:rFonts w:ascii="Arial" w:hAnsi="Arial"/>
          <w:color w:val="231F20"/>
          <w:spacing w:val="-2"/>
        </w:rPr>
        <w:t>collaborateur</w:t>
      </w:r>
      <w:r>
        <w:rPr>
          <w:rFonts w:ascii="Arial" w:hAnsi="Arial"/>
          <w:color w:val="231F20"/>
          <w:spacing w:val="-6"/>
        </w:rPr>
        <w:t> </w:t>
      </w:r>
      <w:r>
        <w:rPr>
          <w:rFonts w:ascii="Arial" w:hAnsi="Arial"/>
          <w:color w:val="231F20"/>
          <w:spacing w:val="-2"/>
        </w:rPr>
        <w:t>du</w:t>
      </w:r>
      <w:r>
        <w:rPr>
          <w:rFonts w:ascii="Arial" w:hAnsi="Arial"/>
          <w:color w:val="231F20"/>
          <w:spacing w:val="-6"/>
        </w:rPr>
        <w:t> </w:t>
      </w:r>
      <w:r>
        <w:rPr>
          <w:rFonts w:ascii="Arial" w:hAnsi="Arial"/>
          <w:color w:val="231F20"/>
          <w:spacing w:val="-2"/>
        </w:rPr>
        <w:t>D</w:t>
      </w:r>
      <w:r>
        <w:rPr>
          <w:rFonts w:ascii="Arial" w:hAnsi="Arial"/>
          <w:color w:val="231F20"/>
          <w:spacing w:val="-2"/>
          <w:position w:val="6"/>
          <w:sz w:val="10"/>
        </w:rPr>
        <w:t>r</w:t>
      </w:r>
      <w:r>
        <w:rPr>
          <w:rFonts w:ascii="Arial" w:hAnsi="Arial"/>
          <w:color w:val="231F20"/>
          <w:spacing w:val="13"/>
          <w:position w:val="6"/>
          <w:sz w:val="10"/>
        </w:rPr>
        <w:t> </w:t>
      </w:r>
      <w:r>
        <w:rPr>
          <w:rFonts w:ascii="Arial" w:hAnsi="Arial"/>
          <w:color w:val="231F20"/>
          <w:spacing w:val="-2"/>
        </w:rPr>
        <w:t>Hans</w:t>
      </w:r>
      <w:r>
        <w:rPr>
          <w:rFonts w:ascii="Arial" w:hAnsi="Arial"/>
          <w:color w:val="231F20"/>
          <w:spacing w:val="-6"/>
        </w:rPr>
        <w:t> </w:t>
      </w:r>
      <w:r>
        <w:rPr>
          <w:rFonts w:ascii="Arial" w:hAnsi="Arial"/>
          <w:color w:val="231F20"/>
          <w:spacing w:val="-2"/>
        </w:rPr>
        <w:t>Selye,</w:t>
      </w:r>
      <w:r>
        <w:rPr>
          <w:rFonts w:ascii="Arial" w:hAnsi="Arial"/>
          <w:color w:val="231F20"/>
          <w:spacing w:val="-6"/>
        </w:rPr>
        <w:t> </w:t>
      </w:r>
      <w:r>
        <w:rPr>
          <w:rFonts w:ascii="Arial" w:hAnsi="Arial"/>
          <w:color w:val="231F20"/>
          <w:spacing w:val="-2"/>
        </w:rPr>
        <w:t>l’a</w:t>
      </w:r>
      <w:r>
        <w:rPr>
          <w:rFonts w:ascii="Arial" w:hAnsi="Arial"/>
          <w:color w:val="231F20"/>
          <w:spacing w:val="-6"/>
        </w:rPr>
        <w:t> </w:t>
      </w:r>
      <w:r>
        <w:rPr>
          <w:rFonts w:ascii="Arial" w:hAnsi="Arial"/>
          <w:color w:val="231F20"/>
          <w:spacing w:val="-2"/>
        </w:rPr>
        <w:t>amené</w:t>
      </w:r>
      <w:r>
        <w:rPr>
          <w:rFonts w:ascii="Arial" w:hAnsi="Arial"/>
          <w:color w:val="231F20"/>
          <w:spacing w:val="-6"/>
        </w:rPr>
        <w:t> </w:t>
      </w:r>
      <w:r>
        <w:rPr>
          <w:rFonts w:ascii="Arial" w:hAnsi="Arial"/>
          <w:color w:val="231F20"/>
          <w:spacing w:val="-2"/>
        </w:rPr>
        <w:t>à</w:t>
      </w:r>
      <w:r>
        <w:rPr>
          <w:rFonts w:ascii="Arial" w:hAnsi="Arial"/>
          <w:color w:val="231F20"/>
          <w:spacing w:val="-6"/>
        </w:rPr>
        <w:t> </w:t>
      </w:r>
      <w:r>
        <w:rPr>
          <w:rFonts w:ascii="Arial" w:hAnsi="Arial"/>
          <w:color w:val="231F20"/>
          <w:spacing w:val="-2"/>
        </w:rPr>
        <w:t>se</w:t>
      </w:r>
      <w:r>
        <w:rPr>
          <w:rFonts w:ascii="Arial" w:hAnsi="Arial"/>
          <w:color w:val="231F20"/>
          <w:spacing w:val="-6"/>
        </w:rPr>
        <w:t> </w:t>
      </w:r>
      <w:r>
        <w:rPr>
          <w:rFonts w:ascii="Arial" w:hAnsi="Arial"/>
          <w:color w:val="231F20"/>
          <w:spacing w:val="-2"/>
        </w:rPr>
        <w:t>joindre </w:t>
      </w:r>
      <w:r>
        <w:rPr>
          <w:rFonts w:ascii="Arial" w:hAnsi="Arial"/>
          <w:color w:val="231F20"/>
        </w:rPr>
        <w:t>à</w:t>
      </w:r>
      <w:r>
        <w:rPr>
          <w:rFonts w:ascii="Arial" w:hAnsi="Arial"/>
          <w:color w:val="231F20"/>
          <w:spacing w:val="-12"/>
        </w:rPr>
        <w:t> </w:t>
      </w:r>
      <w:r>
        <w:rPr>
          <w:rFonts w:ascii="Arial" w:hAnsi="Arial"/>
          <w:color w:val="231F20"/>
        </w:rPr>
        <w:t>l’équipe</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recherche</w:t>
      </w:r>
      <w:r>
        <w:rPr>
          <w:rFonts w:ascii="Arial" w:hAnsi="Arial"/>
          <w:color w:val="231F20"/>
          <w:spacing w:val="-12"/>
        </w:rPr>
        <w:t> </w:t>
      </w:r>
      <w:r>
        <w:rPr>
          <w:rFonts w:ascii="Arial" w:hAnsi="Arial"/>
          <w:color w:val="231F20"/>
        </w:rPr>
        <w:t>interdisciplinaire</w:t>
      </w:r>
      <w:r>
        <w:rPr>
          <w:rFonts w:ascii="Arial" w:hAnsi="Arial"/>
          <w:color w:val="231F20"/>
          <w:spacing w:val="-12"/>
        </w:rPr>
        <w:t> </w:t>
      </w:r>
      <w:r>
        <w:rPr>
          <w:rFonts w:ascii="Arial" w:hAnsi="Arial"/>
          <w:color w:val="231F20"/>
        </w:rPr>
        <w:t>affiliée</w:t>
      </w:r>
      <w:r>
        <w:rPr>
          <w:rFonts w:ascii="Arial" w:hAnsi="Arial"/>
          <w:color w:val="231F20"/>
          <w:spacing w:val="-11"/>
        </w:rPr>
        <w:t> </w:t>
      </w:r>
      <w:r>
        <w:rPr>
          <w:rFonts w:ascii="Arial" w:hAnsi="Arial"/>
          <w:color w:val="231F20"/>
        </w:rPr>
        <w:t>à</w:t>
      </w:r>
      <w:r>
        <w:rPr>
          <w:rFonts w:ascii="Arial" w:hAnsi="Arial"/>
          <w:color w:val="231F20"/>
          <w:spacing w:val="-12"/>
        </w:rPr>
        <w:t> </w:t>
      </w:r>
      <w:r>
        <w:rPr>
          <w:rFonts w:ascii="Arial" w:hAnsi="Arial"/>
          <w:color w:val="231F20"/>
        </w:rPr>
        <w:t>l’Institut</w:t>
      </w:r>
      <w:r>
        <w:rPr>
          <w:rFonts w:ascii="Arial" w:hAnsi="Arial"/>
          <w:color w:val="231F20"/>
          <w:spacing w:val="-12"/>
        </w:rPr>
        <w:t> </w:t>
      </w:r>
      <w:r>
        <w:rPr>
          <w:rFonts w:ascii="Arial" w:hAnsi="Arial"/>
          <w:color w:val="231F20"/>
        </w:rPr>
        <w:t>international du</w:t>
      </w:r>
      <w:r>
        <w:rPr>
          <w:rFonts w:ascii="Arial" w:hAnsi="Arial"/>
          <w:color w:val="231F20"/>
          <w:spacing w:val="-10"/>
        </w:rPr>
        <w:t> </w:t>
      </w:r>
      <w:r>
        <w:rPr>
          <w:rFonts w:ascii="Arial" w:hAnsi="Arial"/>
          <w:color w:val="231F20"/>
        </w:rPr>
        <w:t>stress</w:t>
      </w:r>
      <w:r>
        <w:rPr>
          <w:rFonts w:ascii="Arial" w:hAnsi="Arial"/>
          <w:color w:val="231F20"/>
          <w:spacing w:val="-10"/>
        </w:rPr>
        <w:t> </w:t>
      </w:r>
      <w:r>
        <w:rPr>
          <w:rFonts w:ascii="Arial" w:hAnsi="Arial"/>
          <w:color w:val="231F20"/>
        </w:rPr>
        <w:t>Hans</w:t>
      </w:r>
      <w:r>
        <w:rPr>
          <w:rFonts w:ascii="Arial" w:hAnsi="Arial"/>
          <w:color w:val="231F20"/>
          <w:spacing w:val="-10"/>
        </w:rPr>
        <w:t> </w:t>
      </w:r>
      <w:r>
        <w:rPr>
          <w:rFonts w:ascii="Arial" w:hAnsi="Arial"/>
          <w:color w:val="231F20"/>
        </w:rPr>
        <w:t>Selye,</w:t>
      </w:r>
      <w:r>
        <w:rPr>
          <w:rFonts w:ascii="Arial" w:hAnsi="Arial"/>
          <w:color w:val="231F20"/>
          <w:spacing w:val="-10"/>
        </w:rPr>
        <w:t> </w:t>
      </w:r>
      <w:r>
        <w:rPr>
          <w:rFonts w:ascii="Arial" w:hAnsi="Arial"/>
          <w:color w:val="231F20"/>
        </w:rPr>
        <w:t>à</w:t>
      </w:r>
      <w:r>
        <w:rPr>
          <w:rFonts w:ascii="Arial" w:hAnsi="Arial"/>
          <w:color w:val="231F20"/>
          <w:spacing w:val="-10"/>
        </w:rPr>
        <w:t> </w:t>
      </w:r>
      <w:r>
        <w:rPr>
          <w:rFonts w:ascii="Arial" w:hAnsi="Arial"/>
          <w:color w:val="231F20"/>
        </w:rPr>
        <w:t>l’Université</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Montréal.</w:t>
      </w:r>
      <w:r>
        <w:rPr>
          <w:rFonts w:ascii="Arial" w:hAnsi="Arial"/>
          <w:color w:val="231F20"/>
          <w:spacing w:val="-10"/>
        </w:rPr>
        <w:t> </w:t>
      </w:r>
      <w:r>
        <w:rPr>
          <w:rFonts w:ascii="Arial" w:hAnsi="Arial"/>
          <w:color w:val="231F20"/>
        </w:rPr>
        <w:t>Hans</w:t>
      </w:r>
      <w:r>
        <w:rPr>
          <w:rFonts w:ascii="Arial" w:hAnsi="Arial"/>
          <w:color w:val="231F20"/>
          <w:spacing w:val="-10"/>
        </w:rPr>
        <w:t> </w:t>
      </w:r>
      <w:r>
        <w:rPr>
          <w:rFonts w:ascii="Arial" w:hAnsi="Arial"/>
          <w:color w:val="231F20"/>
        </w:rPr>
        <w:t>Selye</w:t>
      </w:r>
      <w:r>
        <w:rPr>
          <w:rFonts w:ascii="Arial" w:hAnsi="Arial"/>
          <w:color w:val="231F20"/>
          <w:spacing w:val="-10"/>
        </w:rPr>
        <w:t> </w:t>
      </w:r>
      <w:r>
        <w:rPr>
          <w:rFonts w:ascii="Arial" w:hAnsi="Arial"/>
          <w:color w:val="231F20"/>
        </w:rPr>
        <w:t>était</w:t>
      </w:r>
      <w:r>
        <w:rPr>
          <w:rFonts w:ascii="Arial" w:hAnsi="Arial"/>
          <w:color w:val="231F20"/>
          <w:spacing w:val="-10"/>
        </w:rPr>
        <w:t> </w:t>
      </w:r>
      <w:r>
        <w:rPr>
          <w:rFonts w:ascii="Arial" w:hAnsi="Arial"/>
          <w:color w:val="231F20"/>
        </w:rPr>
        <w:t>déjà </w:t>
      </w:r>
      <w:r>
        <w:rPr>
          <w:rFonts w:ascii="Arial" w:hAnsi="Arial"/>
          <w:color w:val="231F20"/>
          <w:w w:val="105"/>
        </w:rPr>
        <w:t>largement</w:t>
      </w:r>
      <w:r>
        <w:rPr>
          <w:rFonts w:ascii="Arial" w:hAnsi="Arial"/>
          <w:color w:val="231F20"/>
          <w:spacing w:val="-7"/>
          <w:w w:val="105"/>
        </w:rPr>
        <w:t> </w:t>
      </w:r>
      <w:r>
        <w:rPr>
          <w:rFonts w:ascii="Arial" w:hAnsi="Arial"/>
          <w:color w:val="231F20"/>
          <w:w w:val="105"/>
        </w:rPr>
        <w:t>reconnu</w:t>
      </w:r>
      <w:r>
        <w:rPr>
          <w:rFonts w:ascii="Arial" w:hAnsi="Arial"/>
          <w:color w:val="231F20"/>
          <w:spacing w:val="-7"/>
          <w:w w:val="105"/>
        </w:rPr>
        <w:t> </w:t>
      </w:r>
      <w:r>
        <w:rPr>
          <w:rFonts w:ascii="Arial" w:hAnsi="Arial"/>
          <w:color w:val="231F20"/>
          <w:w w:val="105"/>
        </w:rPr>
        <w:t>comme</w:t>
      </w:r>
      <w:r>
        <w:rPr>
          <w:rFonts w:ascii="Arial" w:hAnsi="Arial"/>
          <w:color w:val="231F20"/>
          <w:spacing w:val="-7"/>
          <w:w w:val="105"/>
        </w:rPr>
        <w:t> </w:t>
      </w:r>
      <w:r>
        <w:rPr>
          <w:rFonts w:ascii="Arial" w:hAnsi="Arial"/>
          <w:color w:val="231F20"/>
          <w:w w:val="105"/>
        </w:rPr>
        <w:t>«</w:t>
      </w:r>
      <w:r>
        <w:rPr>
          <w:rFonts w:ascii="Arial" w:hAnsi="Arial"/>
          <w:color w:val="231F20"/>
          <w:spacing w:val="-34"/>
          <w:w w:val="105"/>
        </w:rPr>
        <w:t> </w:t>
      </w:r>
      <w:r>
        <w:rPr>
          <w:rFonts w:ascii="Arial" w:hAnsi="Arial"/>
          <w:color w:val="231F20"/>
          <w:w w:val="105"/>
        </w:rPr>
        <w:t>le</w:t>
      </w:r>
      <w:r>
        <w:rPr>
          <w:rFonts w:ascii="Arial" w:hAnsi="Arial"/>
          <w:color w:val="231F20"/>
          <w:spacing w:val="-7"/>
          <w:w w:val="105"/>
        </w:rPr>
        <w:t> </w:t>
      </w:r>
      <w:r>
        <w:rPr>
          <w:rFonts w:ascii="Arial" w:hAnsi="Arial"/>
          <w:color w:val="231F20"/>
          <w:w w:val="105"/>
        </w:rPr>
        <w:t>père</w:t>
      </w:r>
      <w:r>
        <w:rPr>
          <w:rFonts w:ascii="Arial" w:hAnsi="Arial"/>
          <w:color w:val="231F20"/>
          <w:spacing w:val="-7"/>
          <w:w w:val="105"/>
        </w:rPr>
        <w:t> </w:t>
      </w:r>
      <w:r>
        <w:rPr>
          <w:rFonts w:ascii="Arial" w:hAnsi="Arial"/>
          <w:color w:val="231F20"/>
          <w:w w:val="105"/>
        </w:rPr>
        <w:t>du</w:t>
      </w:r>
      <w:r>
        <w:rPr>
          <w:rFonts w:ascii="Arial" w:hAnsi="Arial"/>
          <w:color w:val="231F20"/>
          <w:spacing w:val="-7"/>
          <w:w w:val="105"/>
        </w:rPr>
        <w:t> </w:t>
      </w:r>
      <w:r>
        <w:rPr>
          <w:rFonts w:ascii="Arial" w:hAnsi="Arial"/>
          <w:color w:val="231F20"/>
          <w:w w:val="105"/>
        </w:rPr>
        <w:t>stress</w:t>
      </w:r>
      <w:r>
        <w:rPr>
          <w:rFonts w:ascii="Arial" w:hAnsi="Arial"/>
          <w:color w:val="231F20"/>
          <w:spacing w:val="-34"/>
          <w:w w:val="105"/>
        </w:rPr>
        <w:t> </w:t>
      </w:r>
      <w:r>
        <w:rPr>
          <w:rFonts w:ascii="Arial" w:hAnsi="Arial"/>
          <w:color w:val="231F20"/>
          <w:w w:val="105"/>
        </w:rPr>
        <w:t>».</w:t>
      </w:r>
    </w:p>
    <w:p>
      <w:pPr>
        <w:pStyle w:val="BodyText"/>
        <w:spacing w:line="307" w:lineRule="auto" w:before="78"/>
        <w:ind w:left="760" w:right="743" w:firstLine="250"/>
        <w:jc w:val="both"/>
        <w:rPr>
          <w:rFonts w:ascii="Arial" w:hAnsi="Arial"/>
        </w:rPr>
      </w:pPr>
      <w:r>
        <w:rPr>
          <w:rFonts w:ascii="Arial" w:hAnsi="Arial"/>
          <w:color w:val="231F20"/>
        </w:rPr>
        <w:t>Cette</w:t>
      </w:r>
      <w:r>
        <w:rPr>
          <w:rFonts w:ascii="Arial" w:hAnsi="Arial"/>
          <w:color w:val="231F20"/>
          <w:spacing w:val="30"/>
        </w:rPr>
        <w:t> </w:t>
      </w:r>
      <w:r>
        <w:rPr>
          <w:rFonts w:ascii="Arial" w:hAnsi="Arial"/>
          <w:color w:val="231F20"/>
        </w:rPr>
        <w:t>collaboration</w:t>
      </w:r>
      <w:r>
        <w:rPr>
          <w:rFonts w:ascii="Arial" w:hAnsi="Arial"/>
          <w:color w:val="231F20"/>
          <w:spacing w:val="30"/>
        </w:rPr>
        <w:t> </w:t>
      </w:r>
      <w:r>
        <w:rPr>
          <w:rFonts w:ascii="Arial" w:hAnsi="Arial"/>
          <w:color w:val="231F20"/>
        </w:rPr>
        <w:t>s’est</w:t>
      </w:r>
      <w:r>
        <w:rPr>
          <w:rFonts w:ascii="Arial" w:hAnsi="Arial"/>
          <w:color w:val="231F20"/>
          <w:spacing w:val="30"/>
        </w:rPr>
        <w:t> </w:t>
      </w:r>
      <w:r>
        <w:rPr>
          <w:rFonts w:ascii="Arial" w:hAnsi="Arial"/>
          <w:color w:val="231F20"/>
        </w:rPr>
        <w:t>poursuivie</w:t>
      </w:r>
      <w:r>
        <w:rPr>
          <w:rFonts w:ascii="Arial" w:hAnsi="Arial"/>
          <w:color w:val="231F20"/>
          <w:spacing w:val="30"/>
        </w:rPr>
        <w:t> </w:t>
      </w:r>
      <w:r>
        <w:rPr>
          <w:rFonts w:ascii="Arial" w:hAnsi="Arial"/>
          <w:color w:val="231F20"/>
        </w:rPr>
        <w:t>jusqu’au</w:t>
      </w:r>
      <w:r>
        <w:rPr>
          <w:rFonts w:ascii="Arial" w:hAnsi="Arial"/>
          <w:color w:val="231F20"/>
          <w:spacing w:val="30"/>
        </w:rPr>
        <w:t> </w:t>
      </w:r>
      <w:r>
        <w:rPr>
          <w:rFonts w:ascii="Arial" w:hAnsi="Arial"/>
          <w:color w:val="231F20"/>
        </w:rPr>
        <w:t>décès</w:t>
      </w:r>
      <w:r>
        <w:rPr>
          <w:rFonts w:ascii="Arial" w:hAnsi="Arial"/>
          <w:color w:val="231F20"/>
          <w:spacing w:val="30"/>
        </w:rPr>
        <w:t> </w:t>
      </w:r>
      <w:r>
        <w:rPr>
          <w:rFonts w:ascii="Arial" w:hAnsi="Arial"/>
          <w:color w:val="231F20"/>
        </w:rPr>
        <w:t>du</w:t>
      </w:r>
      <w:r>
        <w:rPr>
          <w:rFonts w:ascii="Arial" w:hAnsi="Arial"/>
          <w:color w:val="231F20"/>
          <w:spacing w:val="30"/>
        </w:rPr>
        <w:t> </w:t>
      </w:r>
      <w:r>
        <w:rPr>
          <w:rFonts w:ascii="Arial" w:hAnsi="Arial"/>
          <w:color w:val="231F20"/>
        </w:rPr>
        <w:t>D</w:t>
      </w:r>
      <w:r>
        <w:rPr>
          <w:rFonts w:ascii="Arial" w:hAnsi="Arial"/>
          <w:color w:val="231F20"/>
          <w:position w:val="6"/>
          <w:sz w:val="10"/>
        </w:rPr>
        <w:t>r</w:t>
      </w:r>
      <w:r>
        <w:rPr>
          <w:rFonts w:ascii="Arial" w:hAnsi="Arial"/>
          <w:color w:val="231F20"/>
          <w:spacing w:val="40"/>
          <w:position w:val="6"/>
          <w:sz w:val="10"/>
        </w:rPr>
        <w:t> </w:t>
      </w:r>
      <w:r>
        <w:rPr>
          <w:rFonts w:ascii="Arial" w:hAnsi="Arial"/>
          <w:color w:val="231F20"/>
        </w:rPr>
        <w:t>Selye en</w:t>
      </w:r>
      <w:r>
        <w:rPr>
          <w:rFonts w:ascii="Arial" w:hAnsi="Arial"/>
          <w:color w:val="231F20"/>
          <w:spacing w:val="-6"/>
        </w:rPr>
        <w:t> </w:t>
      </w:r>
      <w:r>
        <w:rPr>
          <w:rFonts w:ascii="Arial" w:hAnsi="Arial"/>
          <w:color w:val="231F20"/>
        </w:rPr>
        <w:t>1982.</w:t>
      </w:r>
      <w:r>
        <w:rPr>
          <w:rFonts w:ascii="Arial" w:hAnsi="Arial"/>
          <w:color w:val="231F20"/>
          <w:spacing w:val="-6"/>
        </w:rPr>
        <w:t> </w:t>
      </w:r>
      <w:r>
        <w:rPr>
          <w:rFonts w:ascii="Arial" w:hAnsi="Arial"/>
          <w:color w:val="231F20"/>
        </w:rPr>
        <w:t>Entre</w:t>
      </w:r>
      <w:r>
        <w:rPr>
          <w:rFonts w:ascii="Arial" w:hAnsi="Arial"/>
          <w:color w:val="231F20"/>
          <w:spacing w:val="-6"/>
        </w:rPr>
        <w:t> </w:t>
      </w:r>
      <w:r>
        <w:rPr>
          <w:rFonts w:ascii="Arial" w:hAnsi="Arial"/>
          <w:color w:val="231F20"/>
        </w:rPr>
        <w:t>autres,</w:t>
      </w:r>
      <w:r>
        <w:rPr>
          <w:rFonts w:ascii="Arial" w:hAnsi="Arial"/>
          <w:color w:val="231F20"/>
          <w:spacing w:val="-6"/>
        </w:rPr>
        <w:t> </w:t>
      </w:r>
      <w:r>
        <w:rPr>
          <w:rFonts w:ascii="Arial" w:hAnsi="Arial"/>
          <w:color w:val="231F20"/>
        </w:rPr>
        <w:t>Simon</w:t>
      </w:r>
      <w:r>
        <w:rPr>
          <w:rFonts w:ascii="Arial" w:hAnsi="Arial"/>
          <w:color w:val="231F20"/>
          <w:spacing w:val="-6"/>
        </w:rPr>
        <w:t> </w:t>
      </w:r>
      <w:r>
        <w:rPr>
          <w:rFonts w:ascii="Arial" w:hAnsi="Arial"/>
          <w:color w:val="231F20"/>
        </w:rPr>
        <w:t>L.</w:t>
      </w:r>
      <w:r>
        <w:rPr>
          <w:rFonts w:ascii="Arial" w:hAnsi="Arial"/>
          <w:color w:val="231F20"/>
          <w:spacing w:val="-6"/>
        </w:rPr>
        <w:t> </w:t>
      </w:r>
      <w:r>
        <w:rPr>
          <w:rFonts w:ascii="Arial" w:hAnsi="Arial"/>
          <w:color w:val="231F20"/>
        </w:rPr>
        <w:t>Dolan</w:t>
      </w:r>
      <w:r>
        <w:rPr>
          <w:rFonts w:ascii="Arial" w:hAnsi="Arial"/>
          <w:color w:val="231F20"/>
          <w:spacing w:val="-6"/>
        </w:rPr>
        <w:t> </w:t>
      </w:r>
      <w:r>
        <w:rPr>
          <w:rFonts w:ascii="Arial" w:hAnsi="Arial"/>
          <w:color w:val="231F20"/>
        </w:rPr>
        <w:t>a</w:t>
      </w:r>
      <w:r>
        <w:rPr>
          <w:rFonts w:ascii="Arial" w:hAnsi="Arial"/>
          <w:color w:val="231F20"/>
          <w:spacing w:val="-6"/>
        </w:rPr>
        <w:t> </w:t>
      </w:r>
      <w:r>
        <w:rPr>
          <w:rFonts w:ascii="Arial" w:hAnsi="Arial"/>
          <w:color w:val="231F20"/>
        </w:rPr>
        <w:t>eu</w:t>
      </w:r>
      <w:r>
        <w:rPr>
          <w:rFonts w:ascii="Arial" w:hAnsi="Arial"/>
          <w:color w:val="231F20"/>
          <w:spacing w:val="-6"/>
        </w:rPr>
        <w:t> </w:t>
      </w:r>
      <w:r>
        <w:rPr>
          <w:rFonts w:ascii="Arial" w:hAnsi="Arial"/>
          <w:color w:val="231F20"/>
        </w:rPr>
        <w:t>l’occasion,</w:t>
      </w:r>
      <w:r>
        <w:rPr>
          <w:rFonts w:ascii="Arial" w:hAnsi="Arial"/>
          <w:color w:val="231F20"/>
          <w:spacing w:val="-6"/>
        </w:rPr>
        <w:t> </w:t>
      </w:r>
      <w:r>
        <w:rPr>
          <w:rFonts w:ascii="Arial" w:hAnsi="Arial"/>
          <w:color w:val="231F20"/>
        </w:rPr>
        <w:t>à</w:t>
      </w:r>
      <w:r>
        <w:rPr>
          <w:rFonts w:ascii="Arial" w:hAnsi="Arial"/>
          <w:color w:val="231F20"/>
          <w:spacing w:val="-6"/>
        </w:rPr>
        <w:t> </w:t>
      </w:r>
      <w:r>
        <w:rPr>
          <w:rFonts w:ascii="Arial" w:hAnsi="Arial"/>
          <w:color w:val="231F20"/>
        </w:rPr>
        <w:t>l’invitation</w:t>
      </w:r>
      <w:r>
        <w:rPr>
          <w:rFonts w:ascii="Arial" w:hAnsi="Arial"/>
          <w:color w:val="231F20"/>
          <w:spacing w:val="-6"/>
        </w:rPr>
        <w:t> </w:t>
      </w:r>
      <w:r>
        <w:rPr>
          <w:rFonts w:ascii="Arial" w:hAnsi="Arial"/>
          <w:color w:val="231F20"/>
        </w:rPr>
        <w:t>du D</w:t>
      </w:r>
      <w:r>
        <w:rPr>
          <w:rFonts w:ascii="Arial" w:hAnsi="Arial"/>
          <w:color w:val="231F20"/>
          <w:position w:val="6"/>
          <w:sz w:val="10"/>
        </w:rPr>
        <w:t>r</w:t>
      </w:r>
      <w:r>
        <w:rPr>
          <w:rFonts w:ascii="Arial" w:hAnsi="Arial"/>
          <w:color w:val="231F20"/>
          <w:spacing w:val="40"/>
          <w:position w:val="6"/>
          <w:sz w:val="10"/>
        </w:rPr>
        <w:t> </w:t>
      </w:r>
      <w:r>
        <w:rPr>
          <w:rFonts w:ascii="Arial" w:hAnsi="Arial"/>
          <w:color w:val="231F20"/>
        </w:rPr>
        <w:t>Selye,</w:t>
      </w:r>
      <w:r>
        <w:rPr>
          <w:rFonts w:ascii="Arial" w:hAnsi="Arial"/>
          <w:color w:val="231F20"/>
          <w:spacing w:val="40"/>
        </w:rPr>
        <w:t> </w:t>
      </w:r>
      <w:r>
        <w:rPr>
          <w:rFonts w:ascii="Arial" w:hAnsi="Arial"/>
          <w:color w:val="231F20"/>
        </w:rPr>
        <w:t>de</w:t>
      </w:r>
      <w:r>
        <w:rPr>
          <w:rFonts w:ascii="Arial" w:hAnsi="Arial"/>
          <w:color w:val="231F20"/>
          <w:spacing w:val="40"/>
        </w:rPr>
        <w:t> </w:t>
      </w:r>
      <w:r>
        <w:rPr>
          <w:rFonts w:ascii="Arial" w:hAnsi="Arial"/>
          <w:color w:val="231F20"/>
        </w:rPr>
        <w:t>participer</w:t>
      </w:r>
      <w:r>
        <w:rPr>
          <w:rFonts w:ascii="Arial" w:hAnsi="Arial"/>
          <w:color w:val="231F20"/>
          <w:spacing w:val="40"/>
        </w:rPr>
        <w:t> </w:t>
      </w:r>
      <w:r>
        <w:rPr>
          <w:rFonts w:ascii="Arial" w:hAnsi="Arial"/>
          <w:color w:val="231F20"/>
        </w:rPr>
        <w:t>au</w:t>
      </w:r>
      <w:r>
        <w:rPr>
          <w:rFonts w:ascii="Arial" w:hAnsi="Arial"/>
          <w:color w:val="231F20"/>
          <w:spacing w:val="40"/>
        </w:rPr>
        <w:t> </w:t>
      </w:r>
      <w:r>
        <w:rPr>
          <w:rFonts w:ascii="Arial" w:hAnsi="Arial"/>
          <w:i/>
          <w:color w:val="231F20"/>
        </w:rPr>
        <w:t>II</w:t>
      </w:r>
      <w:r>
        <w:rPr>
          <w:rFonts w:ascii="Arial" w:hAnsi="Arial"/>
          <w:i/>
          <w:color w:val="231F20"/>
          <w:position w:val="6"/>
          <w:sz w:val="10"/>
        </w:rPr>
        <w:t>e</w:t>
      </w:r>
      <w:r>
        <w:rPr>
          <w:rFonts w:ascii="Arial" w:hAnsi="Arial"/>
          <w:i/>
          <w:color w:val="231F20"/>
          <w:spacing w:val="40"/>
          <w:position w:val="6"/>
          <w:sz w:val="10"/>
        </w:rPr>
        <w:t> </w:t>
      </w:r>
      <w:r>
        <w:rPr>
          <w:rFonts w:ascii="Arial" w:hAnsi="Arial"/>
          <w:i/>
          <w:color w:val="231F20"/>
        </w:rPr>
        <w:t>Congrès</w:t>
      </w:r>
      <w:r>
        <w:rPr>
          <w:rFonts w:ascii="Arial" w:hAnsi="Arial"/>
          <w:i/>
          <w:color w:val="231F20"/>
          <w:spacing w:val="40"/>
        </w:rPr>
        <w:t> </w:t>
      </w:r>
      <w:r>
        <w:rPr>
          <w:rFonts w:ascii="Arial" w:hAnsi="Arial"/>
          <w:i/>
          <w:color w:val="231F20"/>
        </w:rPr>
        <w:t>international</w:t>
      </w:r>
      <w:r>
        <w:rPr>
          <w:rFonts w:ascii="Arial" w:hAnsi="Arial"/>
          <w:i/>
          <w:color w:val="231F20"/>
          <w:spacing w:val="40"/>
        </w:rPr>
        <w:t> </w:t>
      </w:r>
      <w:r>
        <w:rPr>
          <w:rFonts w:ascii="Arial" w:hAnsi="Arial"/>
          <w:i/>
          <w:color w:val="231F20"/>
        </w:rPr>
        <w:t>sur</w:t>
      </w:r>
      <w:r>
        <w:rPr>
          <w:rFonts w:ascii="Arial" w:hAnsi="Arial"/>
          <w:i/>
          <w:color w:val="231F20"/>
          <w:spacing w:val="40"/>
        </w:rPr>
        <w:t> </w:t>
      </w:r>
      <w:r>
        <w:rPr>
          <w:rFonts w:ascii="Arial" w:hAnsi="Arial"/>
          <w:i/>
          <w:color w:val="231F20"/>
        </w:rPr>
        <w:t>la</w:t>
      </w:r>
      <w:r>
        <w:rPr>
          <w:rFonts w:ascii="Arial" w:hAnsi="Arial"/>
          <w:i/>
          <w:color w:val="231F20"/>
          <w:spacing w:val="40"/>
        </w:rPr>
        <w:t> </w:t>
      </w:r>
      <w:r>
        <w:rPr>
          <w:rFonts w:ascii="Arial" w:hAnsi="Arial"/>
          <w:i/>
          <w:color w:val="231F20"/>
        </w:rPr>
        <w:t>gestion du</w:t>
      </w:r>
      <w:r>
        <w:rPr>
          <w:rFonts w:ascii="Arial" w:hAnsi="Arial"/>
          <w:i/>
          <w:color w:val="231F20"/>
          <w:spacing w:val="-4"/>
        </w:rPr>
        <w:t> </w:t>
      </w:r>
      <w:r>
        <w:rPr>
          <w:rFonts w:ascii="Arial" w:hAnsi="Arial"/>
          <w:i/>
          <w:color w:val="231F20"/>
        </w:rPr>
        <w:t>stress</w:t>
      </w:r>
      <w:r>
        <w:rPr>
          <w:rFonts w:ascii="Arial" w:hAnsi="Arial"/>
          <w:color w:val="231F20"/>
        </w:rPr>
        <w:t>,</w:t>
      </w:r>
      <w:r>
        <w:rPr>
          <w:rFonts w:ascii="Arial" w:hAnsi="Arial"/>
          <w:color w:val="231F20"/>
          <w:spacing w:val="-4"/>
        </w:rPr>
        <w:t> </w:t>
      </w:r>
      <w:r>
        <w:rPr>
          <w:rFonts w:ascii="Arial" w:hAnsi="Arial"/>
          <w:color w:val="231F20"/>
        </w:rPr>
        <w:t>organisé</w:t>
      </w:r>
      <w:r>
        <w:rPr>
          <w:rFonts w:ascii="Arial" w:hAnsi="Arial"/>
          <w:color w:val="231F20"/>
          <w:spacing w:val="-4"/>
        </w:rPr>
        <w:t> </w:t>
      </w:r>
      <w:r>
        <w:rPr>
          <w:rFonts w:ascii="Arial" w:hAnsi="Arial"/>
          <w:color w:val="231F20"/>
        </w:rPr>
        <w:t>par</w:t>
      </w:r>
      <w:r>
        <w:rPr>
          <w:rFonts w:ascii="Arial" w:hAnsi="Arial"/>
          <w:color w:val="231F20"/>
          <w:spacing w:val="-4"/>
        </w:rPr>
        <w:t> </w:t>
      </w:r>
      <w:r>
        <w:rPr>
          <w:rFonts w:ascii="Arial" w:hAnsi="Arial"/>
          <w:color w:val="231F20"/>
        </w:rPr>
        <w:t>l’Institut</w:t>
      </w:r>
      <w:r>
        <w:rPr>
          <w:rFonts w:ascii="Arial" w:hAnsi="Arial"/>
          <w:color w:val="231F20"/>
          <w:spacing w:val="-4"/>
        </w:rPr>
        <w:t> </w:t>
      </w:r>
      <w:r>
        <w:rPr>
          <w:rFonts w:ascii="Arial" w:hAnsi="Arial"/>
          <w:color w:val="231F20"/>
        </w:rPr>
        <w:t>à</w:t>
      </w:r>
      <w:r>
        <w:rPr>
          <w:rFonts w:ascii="Arial" w:hAnsi="Arial"/>
          <w:color w:val="231F20"/>
          <w:spacing w:val="-4"/>
        </w:rPr>
        <w:t> </w:t>
      </w:r>
      <w:r>
        <w:rPr>
          <w:rFonts w:ascii="Arial" w:hAnsi="Arial"/>
          <w:color w:val="231F20"/>
        </w:rPr>
        <w:t>Monte-Carlo,</w:t>
      </w:r>
      <w:r>
        <w:rPr>
          <w:rFonts w:ascii="Arial" w:hAnsi="Arial"/>
          <w:color w:val="231F20"/>
          <w:spacing w:val="-4"/>
        </w:rPr>
        <w:t> </w:t>
      </w:r>
      <w:r>
        <w:rPr>
          <w:rFonts w:ascii="Arial" w:hAnsi="Arial"/>
          <w:color w:val="231F20"/>
        </w:rPr>
        <w:t>dans</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Principauté</w:t>
      </w:r>
      <w:r>
        <w:rPr>
          <w:rFonts w:ascii="Arial" w:hAnsi="Arial"/>
          <w:color w:val="231F20"/>
          <w:spacing w:val="-4"/>
        </w:rPr>
        <w:t> </w:t>
      </w:r>
      <w:r>
        <w:rPr>
          <w:rFonts w:ascii="Arial" w:hAnsi="Arial"/>
          <w:color w:val="231F20"/>
        </w:rPr>
        <w:t>de </w:t>
      </w:r>
      <w:r>
        <w:rPr>
          <w:rFonts w:ascii="Arial" w:hAnsi="Arial"/>
          <w:color w:val="231F20"/>
          <w:w w:val="95"/>
        </w:rPr>
        <w:t>Monaco, en 1979. Ce congrès a été l’occasion de discuter avec des spé- </w:t>
      </w:r>
      <w:r>
        <w:rPr>
          <w:rFonts w:ascii="Arial" w:hAnsi="Arial"/>
          <w:color w:val="231F20"/>
        </w:rPr>
        <w:t>cialistes de premier plan à l’échelle mondiale, dont plusieurs lauréats de</w:t>
      </w:r>
      <w:r>
        <w:rPr>
          <w:rFonts w:ascii="Arial" w:hAnsi="Arial"/>
          <w:color w:val="231F20"/>
          <w:spacing w:val="-7"/>
        </w:rPr>
        <w:t> </w:t>
      </w:r>
      <w:r>
        <w:rPr>
          <w:rFonts w:ascii="Arial" w:hAnsi="Arial"/>
          <w:color w:val="231F20"/>
        </w:rPr>
        <w:t>prix</w:t>
      </w:r>
      <w:r>
        <w:rPr>
          <w:rFonts w:ascii="Arial" w:hAnsi="Arial"/>
          <w:color w:val="231F20"/>
          <w:spacing w:val="-7"/>
        </w:rPr>
        <w:t> </w:t>
      </w:r>
      <w:r>
        <w:rPr>
          <w:rFonts w:ascii="Arial" w:hAnsi="Arial"/>
          <w:color w:val="231F20"/>
        </w:rPr>
        <w:t>Nobel.</w:t>
      </w:r>
      <w:r>
        <w:rPr>
          <w:rFonts w:ascii="Arial" w:hAnsi="Arial"/>
          <w:color w:val="231F20"/>
          <w:spacing w:val="-7"/>
        </w:rPr>
        <w:t> </w:t>
      </w:r>
      <w:r>
        <w:rPr>
          <w:rFonts w:ascii="Arial" w:hAnsi="Arial"/>
          <w:color w:val="231F20"/>
        </w:rPr>
        <w:t>Selye</w:t>
      </w:r>
      <w:r>
        <w:rPr>
          <w:rFonts w:ascii="Arial" w:hAnsi="Arial"/>
          <w:color w:val="231F20"/>
          <w:spacing w:val="-7"/>
        </w:rPr>
        <w:t> </w:t>
      </w:r>
      <w:r>
        <w:rPr>
          <w:rFonts w:ascii="Arial" w:hAnsi="Arial"/>
          <w:color w:val="231F20"/>
        </w:rPr>
        <w:t>a</w:t>
      </w:r>
      <w:r>
        <w:rPr>
          <w:rFonts w:ascii="Arial" w:hAnsi="Arial"/>
          <w:color w:val="231F20"/>
          <w:spacing w:val="-7"/>
        </w:rPr>
        <w:t> </w:t>
      </w:r>
      <w:r>
        <w:rPr>
          <w:rFonts w:ascii="Arial" w:hAnsi="Arial"/>
          <w:color w:val="231F20"/>
        </w:rPr>
        <w:t>alors</w:t>
      </w:r>
      <w:r>
        <w:rPr>
          <w:rFonts w:ascii="Arial" w:hAnsi="Arial"/>
          <w:color w:val="231F20"/>
          <w:spacing w:val="-7"/>
        </w:rPr>
        <w:t> </w:t>
      </w:r>
      <w:r>
        <w:rPr>
          <w:rFonts w:ascii="Arial" w:hAnsi="Arial"/>
          <w:color w:val="231F20"/>
        </w:rPr>
        <w:t>lancé</w:t>
      </w:r>
      <w:r>
        <w:rPr>
          <w:rFonts w:ascii="Arial" w:hAnsi="Arial"/>
          <w:color w:val="231F20"/>
          <w:spacing w:val="-7"/>
        </w:rPr>
        <w:t> </w:t>
      </w:r>
      <w:r>
        <w:rPr>
          <w:rFonts w:ascii="Arial" w:hAnsi="Arial"/>
          <w:color w:val="231F20"/>
        </w:rPr>
        <w:t>une</w:t>
      </w:r>
      <w:r>
        <w:rPr>
          <w:rFonts w:ascii="Arial" w:hAnsi="Arial"/>
          <w:color w:val="231F20"/>
          <w:spacing w:val="-7"/>
        </w:rPr>
        <w:t> </w:t>
      </w:r>
      <w:r>
        <w:rPr>
          <w:rFonts w:ascii="Arial" w:hAnsi="Arial"/>
          <w:color w:val="231F20"/>
        </w:rPr>
        <w:t>nouvelle</w:t>
      </w:r>
      <w:r>
        <w:rPr>
          <w:rFonts w:ascii="Arial" w:hAnsi="Arial"/>
          <w:color w:val="231F20"/>
          <w:spacing w:val="-7"/>
        </w:rPr>
        <w:t> </w:t>
      </w:r>
      <w:r>
        <w:rPr>
          <w:rFonts w:ascii="Arial" w:hAnsi="Arial"/>
          <w:color w:val="231F20"/>
        </w:rPr>
        <w:t>revue,</w:t>
      </w:r>
      <w:r>
        <w:rPr>
          <w:rFonts w:ascii="Arial" w:hAnsi="Arial"/>
          <w:color w:val="231F20"/>
          <w:spacing w:val="-7"/>
        </w:rPr>
        <w:t> </w:t>
      </w:r>
      <w:r>
        <w:rPr>
          <w:rFonts w:ascii="Arial" w:hAnsi="Arial"/>
          <w:color w:val="231F20"/>
        </w:rPr>
        <w:t>la</w:t>
      </w:r>
      <w:r>
        <w:rPr>
          <w:rFonts w:ascii="Arial" w:hAnsi="Arial"/>
          <w:color w:val="231F20"/>
          <w:spacing w:val="-7"/>
        </w:rPr>
        <w:t> </w:t>
      </w:r>
      <w:r>
        <w:rPr>
          <w:rFonts w:ascii="Arial" w:hAnsi="Arial"/>
          <w:color w:val="231F20"/>
        </w:rPr>
        <w:t>revue</w:t>
      </w:r>
      <w:r>
        <w:rPr>
          <w:rFonts w:ascii="Arial" w:hAnsi="Arial"/>
          <w:color w:val="231F20"/>
          <w:spacing w:val="-7"/>
        </w:rPr>
        <w:t> </w:t>
      </w:r>
      <w:r>
        <w:rPr>
          <w:rFonts w:ascii="Arial" w:hAnsi="Arial"/>
          <w:i/>
          <w:color w:val="231F20"/>
        </w:rPr>
        <w:t>Stress</w:t>
      </w:r>
      <w:r>
        <w:rPr>
          <w:rFonts w:ascii="Arial" w:hAnsi="Arial"/>
          <w:color w:val="231F20"/>
        </w:rPr>
        <w:t>, créant</w:t>
      </w:r>
      <w:r>
        <w:rPr>
          <w:rFonts w:ascii="Arial" w:hAnsi="Arial"/>
          <w:color w:val="231F20"/>
          <w:spacing w:val="-6"/>
        </w:rPr>
        <w:t> </w:t>
      </w:r>
      <w:r>
        <w:rPr>
          <w:rFonts w:ascii="Arial" w:hAnsi="Arial"/>
          <w:color w:val="231F20"/>
        </w:rPr>
        <w:t>l’occasion</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réviser</w:t>
      </w:r>
      <w:r>
        <w:rPr>
          <w:rFonts w:ascii="Arial" w:hAnsi="Arial"/>
          <w:color w:val="231F20"/>
          <w:spacing w:val="-6"/>
        </w:rPr>
        <w:t> </w:t>
      </w:r>
      <w:r>
        <w:rPr>
          <w:rFonts w:ascii="Arial" w:hAnsi="Arial"/>
          <w:color w:val="231F20"/>
        </w:rPr>
        <w:t>des</w:t>
      </w:r>
      <w:r>
        <w:rPr>
          <w:rFonts w:ascii="Arial" w:hAnsi="Arial"/>
          <w:color w:val="231F20"/>
          <w:spacing w:val="-6"/>
        </w:rPr>
        <w:t> </w:t>
      </w:r>
      <w:r>
        <w:rPr>
          <w:rFonts w:ascii="Arial" w:hAnsi="Arial"/>
          <w:color w:val="231F20"/>
        </w:rPr>
        <w:t>manuscrits</w:t>
      </w:r>
      <w:r>
        <w:rPr>
          <w:rFonts w:ascii="Arial" w:hAnsi="Arial"/>
          <w:color w:val="231F20"/>
          <w:spacing w:val="-6"/>
        </w:rPr>
        <w:t> </w:t>
      </w:r>
      <w:r>
        <w:rPr>
          <w:rFonts w:ascii="Arial" w:hAnsi="Arial"/>
          <w:color w:val="231F20"/>
        </w:rPr>
        <w:t>pour</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revue</w:t>
      </w:r>
      <w:r>
        <w:rPr>
          <w:rFonts w:ascii="Arial" w:hAnsi="Arial"/>
          <w:color w:val="231F20"/>
          <w:spacing w:val="-6"/>
        </w:rPr>
        <w:t> </w:t>
      </w:r>
      <w:r>
        <w:rPr>
          <w:rFonts w:ascii="Arial" w:hAnsi="Arial"/>
          <w:color w:val="231F20"/>
        </w:rPr>
        <w:t>et</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publier </w:t>
      </w:r>
      <w:r>
        <w:rPr>
          <w:rFonts w:ascii="Arial" w:hAnsi="Arial"/>
          <w:color w:val="231F20"/>
          <w:spacing w:val="-2"/>
        </w:rPr>
        <w:t>deux</w:t>
      </w:r>
      <w:r>
        <w:rPr>
          <w:rFonts w:ascii="Arial" w:hAnsi="Arial"/>
          <w:color w:val="231F20"/>
          <w:spacing w:val="-5"/>
        </w:rPr>
        <w:t> </w:t>
      </w:r>
      <w:r>
        <w:rPr>
          <w:rFonts w:ascii="Arial" w:hAnsi="Arial"/>
          <w:color w:val="231F20"/>
          <w:spacing w:val="-2"/>
        </w:rPr>
        <w:t>articles</w:t>
      </w:r>
      <w:r>
        <w:rPr>
          <w:rFonts w:ascii="Arial" w:hAnsi="Arial"/>
          <w:color w:val="231F20"/>
          <w:spacing w:val="-5"/>
        </w:rPr>
        <w:t> </w:t>
      </w:r>
      <w:r>
        <w:rPr>
          <w:rFonts w:ascii="Arial" w:hAnsi="Arial"/>
          <w:color w:val="231F20"/>
          <w:spacing w:val="-2"/>
        </w:rPr>
        <w:t>(avec</w:t>
      </w:r>
      <w:r>
        <w:rPr>
          <w:rFonts w:ascii="Arial" w:hAnsi="Arial"/>
          <w:color w:val="231F20"/>
          <w:spacing w:val="-5"/>
        </w:rPr>
        <w:t> </w:t>
      </w:r>
      <w:r>
        <w:rPr>
          <w:rFonts w:ascii="Arial" w:hAnsi="Arial"/>
          <w:color w:val="231F20"/>
          <w:spacing w:val="-2"/>
        </w:rPr>
        <w:t>Paul</w:t>
      </w:r>
      <w:r>
        <w:rPr>
          <w:rFonts w:ascii="Arial" w:hAnsi="Arial"/>
          <w:color w:val="231F20"/>
          <w:spacing w:val="-5"/>
        </w:rPr>
        <w:t> </w:t>
      </w:r>
      <w:r>
        <w:rPr>
          <w:rFonts w:ascii="Arial" w:hAnsi="Arial"/>
          <w:color w:val="231F20"/>
          <w:spacing w:val="-2"/>
        </w:rPr>
        <w:t>Rohan).</w:t>
      </w:r>
      <w:r>
        <w:rPr>
          <w:rFonts w:ascii="Arial" w:hAnsi="Arial"/>
          <w:color w:val="231F20"/>
          <w:spacing w:val="-5"/>
        </w:rPr>
        <w:t> </w:t>
      </w:r>
      <w:r>
        <w:rPr>
          <w:rFonts w:ascii="Arial" w:hAnsi="Arial"/>
          <w:color w:val="231F20"/>
          <w:spacing w:val="-2"/>
        </w:rPr>
        <w:t>Malheureusement,</w:t>
      </w:r>
      <w:r>
        <w:rPr>
          <w:rFonts w:ascii="Arial" w:hAnsi="Arial"/>
          <w:color w:val="231F20"/>
          <w:spacing w:val="-5"/>
        </w:rPr>
        <w:t> </w:t>
      </w:r>
      <w:r>
        <w:rPr>
          <w:rFonts w:ascii="Arial" w:hAnsi="Arial"/>
          <w:color w:val="231F20"/>
          <w:spacing w:val="-2"/>
        </w:rPr>
        <w:t>à</w:t>
      </w:r>
      <w:r>
        <w:rPr>
          <w:rFonts w:ascii="Arial" w:hAnsi="Arial"/>
          <w:color w:val="231F20"/>
          <w:spacing w:val="-5"/>
        </w:rPr>
        <w:t> </w:t>
      </w:r>
      <w:r>
        <w:rPr>
          <w:rFonts w:ascii="Arial" w:hAnsi="Arial"/>
          <w:color w:val="231F20"/>
          <w:spacing w:val="-2"/>
        </w:rPr>
        <w:t>la</w:t>
      </w:r>
      <w:r>
        <w:rPr>
          <w:rFonts w:ascii="Arial" w:hAnsi="Arial"/>
          <w:color w:val="231F20"/>
          <w:spacing w:val="-5"/>
        </w:rPr>
        <w:t> </w:t>
      </w:r>
      <w:r>
        <w:rPr>
          <w:rFonts w:ascii="Arial" w:hAnsi="Arial"/>
          <w:color w:val="231F20"/>
          <w:spacing w:val="-2"/>
        </w:rPr>
        <w:t>suite</w:t>
      </w:r>
      <w:r>
        <w:rPr>
          <w:rFonts w:ascii="Arial" w:hAnsi="Arial"/>
          <w:color w:val="231F20"/>
          <w:spacing w:val="-5"/>
        </w:rPr>
        <w:t> </w:t>
      </w:r>
      <w:r>
        <w:rPr>
          <w:rFonts w:ascii="Arial" w:hAnsi="Arial"/>
          <w:color w:val="231F20"/>
          <w:spacing w:val="-2"/>
        </w:rPr>
        <w:t>du</w:t>
      </w:r>
      <w:r>
        <w:rPr>
          <w:rFonts w:ascii="Arial" w:hAnsi="Arial"/>
          <w:color w:val="231F20"/>
          <w:spacing w:val="-5"/>
        </w:rPr>
        <w:t> </w:t>
      </w:r>
      <w:r>
        <w:rPr>
          <w:rFonts w:ascii="Arial" w:hAnsi="Arial"/>
          <w:color w:val="231F20"/>
          <w:spacing w:val="-2"/>
        </w:rPr>
        <w:t>décès </w:t>
      </w:r>
      <w:r>
        <w:rPr>
          <w:rFonts w:ascii="Arial" w:hAnsi="Arial"/>
          <w:color w:val="231F20"/>
        </w:rPr>
        <w:t>du D</w:t>
      </w:r>
      <w:r>
        <w:rPr>
          <w:rFonts w:ascii="Arial" w:hAnsi="Arial"/>
          <w:color w:val="231F20"/>
          <w:position w:val="6"/>
          <w:sz w:val="10"/>
        </w:rPr>
        <w:t>r</w:t>
      </w:r>
      <w:r>
        <w:rPr>
          <w:rFonts w:ascii="Arial" w:hAnsi="Arial"/>
          <w:color w:val="231F20"/>
          <w:spacing w:val="32"/>
          <w:position w:val="6"/>
          <w:sz w:val="10"/>
        </w:rPr>
        <w:t> </w:t>
      </w:r>
      <w:r>
        <w:rPr>
          <w:rFonts w:ascii="Arial" w:hAnsi="Arial"/>
          <w:color w:val="231F20"/>
        </w:rPr>
        <w:t>Selye, cette revue n’a pas survécu.</w:t>
      </w:r>
    </w:p>
    <w:p>
      <w:pPr>
        <w:pStyle w:val="BodyText"/>
        <w:spacing w:line="307" w:lineRule="auto" w:before="78"/>
        <w:ind w:left="759" w:right="745" w:firstLine="250"/>
        <w:jc w:val="both"/>
        <w:rPr>
          <w:rFonts w:ascii="Arial" w:hAnsi="Arial"/>
        </w:rPr>
      </w:pPr>
      <w:r>
        <w:rPr>
          <w:rFonts w:ascii="Arial" w:hAnsi="Arial"/>
          <w:color w:val="231F20"/>
        </w:rPr>
        <w:t>Après le congrès de Monaco, il fallait développer un champ de recherche</w:t>
      </w:r>
      <w:r>
        <w:rPr>
          <w:rFonts w:ascii="Arial" w:hAnsi="Arial"/>
          <w:color w:val="231F20"/>
          <w:spacing w:val="-12"/>
        </w:rPr>
        <w:t> </w:t>
      </w:r>
      <w:r>
        <w:rPr>
          <w:rFonts w:ascii="Arial" w:hAnsi="Arial"/>
          <w:color w:val="231F20"/>
        </w:rPr>
        <w:t>consacré</w:t>
      </w:r>
      <w:r>
        <w:rPr>
          <w:rFonts w:ascii="Arial" w:hAnsi="Arial"/>
          <w:color w:val="231F20"/>
          <w:spacing w:val="-12"/>
        </w:rPr>
        <w:t> </w:t>
      </w:r>
      <w:r>
        <w:rPr>
          <w:rFonts w:ascii="Arial" w:hAnsi="Arial"/>
          <w:color w:val="231F20"/>
        </w:rPr>
        <w:t>à</w:t>
      </w:r>
      <w:r>
        <w:rPr>
          <w:rFonts w:ascii="Arial" w:hAnsi="Arial"/>
          <w:color w:val="231F20"/>
          <w:spacing w:val="-12"/>
        </w:rPr>
        <w:t> </w:t>
      </w:r>
      <w:r>
        <w:rPr>
          <w:rFonts w:ascii="Arial" w:hAnsi="Arial"/>
          <w:color w:val="231F20"/>
        </w:rPr>
        <w:t>la</w:t>
      </w:r>
      <w:r>
        <w:rPr>
          <w:rFonts w:ascii="Arial" w:hAnsi="Arial"/>
          <w:color w:val="231F20"/>
          <w:spacing w:val="-12"/>
        </w:rPr>
        <w:t> </w:t>
      </w:r>
      <w:r>
        <w:rPr>
          <w:rFonts w:ascii="Arial" w:hAnsi="Arial"/>
          <w:color w:val="231F20"/>
        </w:rPr>
        <w:t>personne</w:t>
      </w:r>
      <w:r>
        <w:rPr>
          <w:rFonts w:ascii="Arial" w:hAnsi="Arial"/>
          <w:color w:val="231F20"/>
          <w:spacing w:val="-12"/>
        </w:rPr>
        <w:t> </w:t>
      </w:r>
      <w:r>
        <w:rPr>
          <w:rFonts w:ascii="Arial" w:hAnsi="Arial"/>
          <w:color w:val="231F20"/>
        </w:rPr>
        <w:t>en</w:t>
      </w:r>
      <w:r>
        <w:rPr>
          <w:rFonts w:ascii="Arial" w:hAnsi="Arial"/>
          <w:color w:val="231F20"/>
          <w:spacing w:val="-11"/>
        </w:rPr>
        <w:t> </w:t>
      </w:r>
      <w:r>
        <w:rPr>
          <w:rFonts w:ascii="Arial" w:hAnsi="Arial"/>
          <w:color w:val="231F20"/>
        </w:rPr>
        <w:t>contexte</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travail</w:t>
      </w:r>
      <w:r>
        <w:rPr>
          <w:rFonts w:ascii="Arial" w:hAnsi="Arial"/>
          <w:color w:val="231F20"/>
          <w:spacing w:val="-12"/>
        </w:rPr>
        <w:t> </w:t>
      </w:r>
      <w:r>
        <w:rPr>
          <w:rFonts w:ascii="Arial" w:hAnsi="Arial"/>
          <w:color w:val="231F20"/>
        </w:rPr>
        <w:t>en</w:t>
      </w:r>
      <w:r>
        <w:rPr>
          <w:rFonts w:ascii="Arial" w:hAnsi="Arial"/>
          <w:color w:val="231F20"/>
          <w:spacing w:val="-12"/>
        </w:rPr>
        <w:t> </w:t>
      </w:r>
      <w:r>
        <w:rPr>
          <w:rFonts w:ascii="Arial" w:hAnsi="Arial"/>
          <w:color w:val="231F20"/>
        </w:rPr>
        <w:t>mettant</w:t>
      </w:r>
      <w:r>
        <w:rPr>
          <w:rFonts w:ascii="Arial" w:hAnsi="Arial"/>
          <w:color w:val="231F20"/>
          <w:spacing w:val="-11"/>
        </w:rPr>
        <w:t> </w:t>
      </w:r>
      <w:r>
        <w:rPr>
          <w:rFonts w:ascii="Arial" w:hAnsi="Arial"/>
          <w:color w:val="231F20"/>
        </w:rPr>
        <w:t>sur pied</w:t>
      </w:r>
      <w:r>
        <w:rPr>
          <w:rFonts w:ascii="Arial" w:hAnsi="Arial"/>
          <w:color w:val="231F20"/>
          <w:spacing w:val="-4"/>
        </w:rPr>
        <w:t> </w:t>
      </w:r>
      <w:r>
        <w:rPr>
          <w:rFonts w:ascii="Arial" w:hAnsi="Arial"/>
          <w:color w:val="231F20"/>
        </w:rPr>
        <w:t>un</w:t>
      </w:r>
      <w:r>
        <w:rPr>
          <w:rFonts w:ascii="Arial" w:hAnsi="Arial"/>
          <w:color w:val="231F20"/>
          <w:spacing w:val="-4"/>
        </w:rPr>
        <w:t> </w:t>
      </w:r>
      <w:r>
        <w:rPr>
          <w:rFonts w:ascii="Arial" w:hAnsi="Arial"/>
          <w:color w:val="231F20"/>
        </w:rPr>
        <w:t>centre</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recherche</w:t>
      </w:r>
      <w:r>
        <w:rPr>
          <w:rFonts w:ascii="Arial" w:hAnsi="Arial"/>
          <w:color w:val="231F20"/>
          <w:spacing w:val="-4"/>
        </w:rPr>
        <w:t> </w:t>
      </w:r>
      <w:r>
        <w:rPr>
          <w:rFonts w:ascii="Arial" w:hAnsi="Arial"/>
          <w:color w:val="231F20"/>
        </w:rPr>
        <w:t>parallèle</w:t>
      </w:r>
      <w:r>
        <w:rPr>
          <w:rFonts w:ascii="Arial" w:hAnsi="Arial"/>
          <w:color w:val="231F20"/>
          <w:spacing w:val="-4"/>
        </w:rPr>
        <w:t> </w:t>
      </w:r>
      <w:r>
        <w:rPr>
          <w:rFonts w:ascii="Arial" w:hAnsi="Arial"/>
          <w:color w:val="231F20"/>
        </w:rPr>
        <w:t>à</w:t>
      </w:r>
      <w:r>
        <w:rPr>
          <w:rFonts w:ascii="Arial" w:hAnsi="Arial"/>
          <w:color w:val="231F20"/>
          <w:spacing w:val="-4"/>
        </w:rPr>
        <w:t> </w:t>
      </w:r>
      <w:r>
        <w:rPr>
          <w:rFonts w:ascii="Arial" w:hAnsi="Arial"/>
          <w:color w:val="231F20"/>
        </w:rPr>
        <w:t>l’Université</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Montréal.</w:t>
      </w:r>
      <w:r>
        <w:rPr>
          <w:rFonts w:ascii="Arial" w:hAnsi="Arial"/>
          <w:color w:val="231F20"/>
          <w:spacing w:val="-4"/>
        </w:rPr>
        <w:t> </w:t>
      </w:r>
      <w:r>
        <w:rPr>
          <w:rFonts w:ascii="Arial" w:hAnsi="Arial"/>
          <w:color w:val="231F20"/>
        </w:rPr>
        <w:t>C’est dans</w:t>
      </w:r>
      <w:r>
        <w:rPr>
          <w:rFonts w:ascii="Arial" w:hAnsi="Arial"/>
          <w:color w:val="231F20"/>
          <w:spacing w:val="-4"/>
        </w:rPr>
        <w:t> </w:t>
      </w:r>
      <w:r>
        <w:rPr>
          <w:rFonts w:ascii="Arial" w:hAnsi="Arial"/>
          <w:color w:val="231F20"/>
        </w:rPr>
        <w:t>ce</w:t>
      </w:r>
      <w:r>
        <w:rPr>
          <w:rFonts w:ascii="Arial" w:hAnsi="Arial"/>
          <w:color w:val="231F20"/>
          <w:spacing w:val="-4"/>
        </w:rPr>
        <w:t> </w:t>
      </w:r>
      <w:r>
        <w:rPr>
          <w:rFonts w:ascii="Arial" w:hAnsi="Arial"/>
          <w:color w:val="231F20"/>
        </w:rPr>
        <w:t>contexte</w:t>
      </w:r>
      <w:r>
        <w:rPr>
          <w:rFonts w:ascii="Arial" w:hAnsi="Arial"/>
          <w:color w:val="231F20"/>
          <w:spacing w:val="-4"/>
        </w:rPr>
        <w:t> </w:t>
      </w:r>
      <w:r>
        <w:rPr>
          <w:rFonts w:ascii="Arial" w:hAnsi="Arial"/>
          <w:color w:val="231F20"/>
        </w:rPr>
        <w:t>que</w:t>
      </w:r>
      <w:r>
        <w:rPr>
          <w:rFonts w:ascii="Arial" w:hAnsi="Arial"/>
          <w:color w:val="231F20"/>
          <w:spacing w:val="-4"/>
        </w:rPr>
        <w:t> </w:t>
      </w:r>
      <w:r>
        <w:rPr>
          <w:rFonts w:ascii="Arial" w:hAnsi="Arial"/>
          <w:color w:val="231F20"/>
        </w:rPr>
        <w:t>les</w:t>
      </w:r>
      <w:r>
        <w:rPr>
          <w:rFonts w:ascii="Arial" w:hAnsi="Arial"/>
          <w:color w:val="231F20"/>
          <w:spacing w:val="-4"/>
        </w:rPr>
        <w:t> </w:t>
      </w:r>
      <w:r>
        <w:rPr>
          <w:rFonts w:ascii="Arial" w:hAnsi="Arial"/>
          <w:color w:val="231F20"/>
        </w:rPr>
        <w:t>auteurs</w:t>
      </w:r>
      <w:r>
        <w:rPr>
          <w:rFonts w:ascii="Arial" w:hAnsi="Arial"/>
          <w:color w:val="231F20"/>
          <w:spacing w:val="-4"/>
        </w:rPr>
        <w:t> </w:t>
      </w:r>
      <w:r>
        <w:rPr>
          <w:rFonts w:ascii="Arial" w:hAnsi="Arial"/>
          <w:color w:val="231F20"/>
        </w:rPr>
        <w:t>se</w:t>
      </w:r>
      <w:r>
        <w:rPr>
          <w:rFonts w:ascii="Arial" w:hAnsi="Arial"/>
          <w:color w:val="231F20"/>
          <w:spacing w:val="-4"/>
        </w:rPr>
        <w:t> </w:t>
      </w:r>
      <w:r>
        <w:rPr>
          <w:rFonts w:ascii="Arial" w:hAnsi="Arial"/>
          <w:color w:val="231F20"/>
        </w:rPr>
        <w:t>sont</w:t>
      </w:r>
      <w:r>
        <w:rPr>
          <w:rFonts w:ascii="Arial" w:hAnsi="Arial"/>
          <w:color w:val="231F20"/>
          <w:spacing w:val="-4"/>
        </w:rPr>
        <w:t> </w:t>
      </w:r>
      <w:r>
        <w:rPr>
          <w:rFonts w:ascii="Arial" w:hAnsi="Arial"/>
          <w:color w:val="231F20"/>
        </w:rPr>
        <w:t>rencontrés.</w:t>
      </w:r>
      <w:r>
        <w:rPr>
          <w:rFonts w:ascii="Arial" w:hAnsi="Arial"/>
          <w:color w:val="231F20"/>
          <w:spacing w:val="-4"/>
        </w:rPr>
        <w:t> </w:t>
      </w:r>
      <w:r>
        <w:rPr>
          <w:rFonts w:ascii="Arial" w:hAnsi="Arial"/>
          <w:color w:val="231F20"/>
        </w:rPr>
        <w:t>André</w:t>
      </w:r>
      <w:r>
        <w:rPr>
          <w:rFonts w:ascii="Arial" w:hAnsi="Arial"/>
          <w:color w:val="231F20"/>
          <w:spacing w:val="-4"/>
        </w:rPr>
        <w:t> </w:t>
      </w:r>
      <w:r>
        <w:rPr>
          <w:rFonts w:ascii="Arial" w:hAnsi="Arial"/>
          <w:color w:val="231F20"/>
        </w:rPr>
        <w:t>Arsenault </w:t>
      </w:r>
      <w:r>
        <w:rPr>
          <w:rFonts w:ascii="Arial" w:hAnsi="Arial"/>
          <w:color w:val="231F20"/>
          <w:spacing w:val="-2"/>
        </w:rPr>
        <w:t>(un</w:t>
      </w:r>
      <w:r>
        <w:rPr>
          <w:rFonts w:ascii="Arial" w:hAnsi="Arial"/>
          <w:color w:val="231F20"/>
          <w:spacing w:val="-10"/>
        </w:rPr>
        <w:t> </w:t>
      </w:r>
      <w:r>
        <w:rPr>
          <w:rFonts w:ascii="Arial" w:hAnsi="Arial"/>
          <w:color w:val="231F20"/>
          <w:spacing w:val="-2"/>
        </w:rPr>
        <w:t>des</w:t>
      </w:r>
      <w:r>
        <w:rPr>
          <w:rFonts w:ascii="Arial" w:hAnsi="Arial"/>
          <w:color w:val="231F20"/>
          <w:spacing w:val="-10"/>
        </w:rPr>
        <w:t> </w:t>
      </w:r>
      <w:r>
        <w:rPr>
          <w:rFonts w:ascii="Arial" w:hAnsi="Arial"/>
          <w:color w:val="231F20"/>
          <w:spacing w:val="-2"/>
        </w:rPr>
        <w:t>coauteurs</w:t>
      </w:r>
      <w:r>
        <w:rPr>
          <w:rFonts w:ascii="Arial" w:hAnsi="Arial"/>
          <w:color w:val="231F20"/>
          <w:spacing w:val="-9"/>
        </w:rPr>
        <w:t> </w:t>
      </w:r>
      <w:r>
        <w:rPr>
          <w:rFonts w:ascii="Arial" w:hAnsi="Arial"/>
          <w:color w:val="231F20"/>
          <w:spacing w:val="-2"/>
        </w:rPr>
        <w:t>de</w:t>
      </w:r>
      <w:r>
        <w:rPr>
          <w:rFonts w:ascii="Arial" w:hAnsi="Arial"/>
          <w:color w:val="231F20"/>
          <w:spacing w:val="-10"/>
        </w:rPr>
        <w:t> </w:t>
      </w:r>
      <w:r>
        <w:rPr>
          <w:rFonts w:ascii="Arial" w:hAnsi="Arial"/>
          <w:color w:val="231F20"/>
          <w:spacing w:val="-2"/>
        </w:rPr>
        <w:t>cet</w:t>
      </w:r>
      <w:r>
        <w:rPr>
          <w:rFonts w:ascii="Arial" w:hAnsi="Arial"/>
          <w:color w:val="231F20"/>
          <w:spacing w:val="-10"/>
        </w:rPr>
        <w:t> </w:t>
      </w:r>
      <w:r>
        <w:rPr>
          <w:rFonts w:ascii="Arial" w:hAnsi="Arial"/>
          <w:color w:val="231F20"/>
          <w:spacing w:val="-2"/>
        </w:rPr>
        <w:t>ouvrage)</w:t>
      </w:r>
      <w:r>
        <w:rPr>
          <w:rFonts w:ascii="Arial" w:hAnsi="Arial"/>
          <w:color w:val="231F20"/>
          <w:spacing w:val="-9"/>
        </w:rPr>
        <w:t> </w:t>
      </w:r>
      <w:r>
        <w:rPr>
          <w:rFonts w:ascii="Arial" w:hAnsi="Arial"/>
          <w:color w:val="231F20"/>
          <w:spacing w:val="-2"/>
        </w:rPr>
        <w:t>venait</w:t>
      </w:r>
      <w:r>
        <w:rPr>
          <w:rFonts w:ascii="Arial" w:hAnsi="Arial"/>
          <w:color w:val="231F20"/>
          <w:spacing w:val="-10"/>
        </w:rPr>
        <w:t> </w:t>
      </w:r>
      <w:r>
        <w:rPr>
          <w:rFonts w:ascii="Arial" w:hAnsi="Arial"/>
          <w:color w:val="231F20"/>
          <w:spacing w:val="-2"/>
        </w:rPr>
        <w:t>aussi</w:t>
      </w:r>
      <w:r>
        <w:rPr>
          <w:rFonts w:ascii="Arial" w:hAnsi="Arial"/>
          <w:color w:val="231F20"/>
          <w:spacing w:val="-10"/>
        </w:rPr>
        <w:t> </w:t>
      </w:r>
      <w:r>
        <w:rPr>
          <w:rFonts w:ascii="Arial" w:hAnsi="Arial"/>
          <w:color w:val="231F20"/>
          <w:spacing w:val="-2"/>
        </w:rPr>
        <w:t>d’interrompre</w:t>
      </w:r>
      <w:r>
        <w:rPr>
          <w:rFonts w:ascii="Arial" w:hAnsi="Arial"/>
          <w:color w:val="231F20"/>
          <w:spacing w:val="-9"/>
        </w:rPr>
        <w:t> </w:t>
      </w:r>
      <w:r>
        <w:rPr>
          <w:rFonts w:ascii="Arial" w:hAnsi="Arial"/>
          <w:color w:val="231F20"/>
          <w:spacing w:val="-2"/>
        </w:rPr>
        <w:t>sa</w:t>
      </w:r>
      <w:r>
        <w:rPr>
          <w:rFonts w:ascii="Arial" w:hAnsi="Arial"/>
          <w:color w:val="231F20"/>
          <w:spacing w:val="-10"/>
        </w:rPr>
        <w:t> </w:t>
      </w:r>
      <w:r>
        <w:rPr>
          <w:rFonts w:ascii="Arial" w:hAnsi="Arial"/>
          <w:color w:val="231F20"/>
          <w:spacing w:val="-2"/>
        </w:rPr>
        <w:t>carrière de</w:t>
      </w:r>
      <w:r>
        <w:rPr>
          <w:rFonts w:ascii="Arial" w:hAnsi="Arial"/>
          <w:color w:val="231F20"/>
          <w:spacing w:val="-10"/>
        </w:rPr>
        <w:t> </w:t>
      </w:r>
      <w:r>
        <w:rPr>
          <w:rFonts w:ascii="Arial" w:hAnsi="Arial"/>
          <w:color w:val="231F20"/>
          <w:spacing w:val="-2"/>
        </w:rPr>
        <w:t>jeune</w:t>
      </w:r>
      <w:r>
        <w:rPr>
          <w:rFonts w:ascii="Arial" w:hAnsi="Arial"/>
          <w:color w:val="231F20"/>
          <w:spacing w:val="-10"/>
        </w:rPr>
        <w:t> </w:t>
      </w:r>
      <w:r>
        <w:rPr>
          <w:rFonts w:ascii="Arial" w:hAnsi="Arial"/>
          <w:color w:val="231F20"/>
          <w:spacing w:val="-2"/>
        </w:rPr>
        <w:t>professeur</w:t>
      </w:r>
      <w:r>
        <w:rPr>
          <w:rFonts w:ascii="Arial" w:hAnsi="Arial"/>
          <w:color w:val="231F20"/>
          <w:spacing w:val="-10"/>
        </w:rPr>
        <w:t> </w:t>
      </w:r>
      <w:r>
        <w:rPr>
          <w:rFonts w:ascii="Arial" w:hAnsi="Arial"/>
          <w:color w:val="231F20"/>
          <w:spacing w:val="-2"/>
        </w:rPr>
        <w:t>à</w:t>
      </w:r>
      <w:r>
        <w:rPr>
          <w:rFonts w:ascii="Arial" w:hAnsi="Arial"/>
          <w:color w:val="231F20"/>
          <w:spacing w:val="-10"/>
        </w:rPr>
        <w:t> </w:t>
      </w:r>
      <w:r>
        <w:rPr>
          <w:rFonts w:ascii="Arial" w:hAnsi="Arial"/>
          <w:color w:val="231F20"/>
          <w:spacing w:val="-2"/>
        </w:rPr>
        <w:t>l’Université</w:t>
      </w:r>
      <w:r>
        <w:rPr>
          <w:rFonts w:ascii="Arial" w:hAnsi="Arial"/>
          <w:color w:val="231F20"/>
          <w:spacing w:val="-10"/>
        </w:rPr>
        <w:t> </w:t>
      </w:r>
      <w:r>
        <w:rPr>
          <w:rFonts w:ascii="Arial" w:hAnsi="Arial"/>
          <w:color w:val="231F20"/>
          <w:spacing w:val="-2"/>
        </w:rPr>
        <w:t>de</w:t>
      </w:r>
      <w:r>
        <w:rPr>
          <w:rFonts w:ascii="Arial" w:hAnsi="Arial"/>
          <w:color w:val="231F20"/>
          <w:spacing w:val="-9"/>
        </w:rPr>
        <w:t> </w:t>
      </w:r>
      <w:r>
        <w:rPr>
          <w:rFonts w:ascii="Arial" w:hAnsi="Arial"/>
          <w:color w:val="231F20"/>
          <w:spacing w:val="-2"/>
        </w:rPr>
        <w:t>Sherbrooke</w:t>
      </w:r>
      <w:r>
        <w:rPr>
          <w:rFonts w:ascii="Arial" w:hAnsi="Arial"/>
          <w:color w:val="231F20"/>
          <w:spacing w:val="-10"/>
        </w:rPr>
        <w:t> </w:t>
      </w:r>
      <w:r>
        <w:rPr>
          <w:rFonts w:ascii="Arial" w:hAnsi="Arial"/>
          <w:color w:val="231F20"/>
          <w:spacing w:val="-2"/>
        </w:rPr>
        <w:t>en</w:t>
      </w:r>
      <w:r>
        <w:rPr>
          <w:rFonts w:ascii="Arial" w:hAnsi="Arial"/>
          <w:color w:val="231F20"/>
          <w:spacing w:val="-10"/>
        </w:rPr>
        <w:t> </w:t>
      </w:r>
      <w:r>
        <w:rPr>
          <w:rFonts w:ascii="Arial" w:hAnsi="Arial"/>
          <w:color w:val="231F20"/>
          <w:spacing w:val="-2"/>
        </w:rPr>
        <w:t>médecine</w:t>
      </w:r>
      <w:r>
        <w:rPr>
          <w:rFonts w:ascii="Arial" w:hAnsi="Arial"/>
          <w:color w:val="231F20"/>
          <w:spacing w:val="-10"/>
        </w:rPr>
        <w:t> </w:t>
      </w:r>
      <w:r>
        <w:rPr>
          <w:rFonts w:ascii="Arial" w:hAnsi="Arial"/>
          <w:color w:val="231F20"/>
          <w:spacing w:val="-2"/>
        </w:rPr>
        <w:t>nucléaire pour</w:t>
      </w:r>
      <w:r>
        <w:rPr>
          <w:rFonts w:ascii="Arial" w:hAnsi="Arial"/>
          <w:color w:val="231F20"/>
          <w:spacing w:val="-13"/>
        </w:rPr>
        <w:t> </w:t>
      </w:r>
      <w:r>
        <w:rPr>
          <w:rFonts w:ascii="Arial" w:hAnsi="Arial"/>
          <w:color w:val="231F20"/>
          <w:spacing w:val="-2"/>
        </w:rPr>
        <w:t>se</w:t>
      </w:r>
      <w:r>
        <w:rPr>
          <w:rFonts w:ascii="Arial" w:hAnsi="Arial"/>
          <w:color w:val="231F20"/>
          <w:spacing w:val="-13"/>
        </w:rPr>
        <w:t> </w:t>
      </w:r>
      <w:r>
        <w:rPr>
          <w:rFonts w:ascii="Arial" w:hAnsi="Arial"/>
          <w:color w:val="231F20"/>
          <w:spacing w:val="-2"/>
        </w:rPr>
        <w:t>lancer</w:t>
      </w:r>
      <w:r>
        <w:rPr>
          <w:rFonts w:ascii="Arial" w:hAnsi="Arial"/>
          <w:color w:val="231F20"/>
          <w:spacing w:val="-13"/>
        </w:rPr>
        <w:t> </w:t>
      </w:r>
      <w:r>
        <w:rPr>
          <w:rFonts w:ascii="Arial" w:hAnsi="Arial"/>
          <w:color w:val="231F20"/>
          <w:spacing w:val="-2"/>
        </w:rPr>
        <w:t>en</w:t>
      </w:r>
      <w:r>
        <w:rPr>
          <w:rFonts w:ascii="Arial" w:hAnsi="Arial"/>
          <w:color w:val="231F20"/>
          <w:spacing w:val="-13"/>
        </w:rPr>
        <w:t> </w:t>
      </w:r>
      <w:r>
        <w:rPr>
          <w:rFonts w:ascii="Arial" w:hAnsi="Arial"/>
          <w:color w:val="231F20"/>
          <w:spacing w:val="-2"/>
        </w:rPr>
        <w:t>médecine</w:t>
      </w:r>
      <w:r>
        <w:rPr>
          <w:rFonts w:ascii="Arial" w:hAnsi="Arial"/>
          <w:color w:val="231F20"/>
          <w:spacing w:val="-13"/>
        </w:rPr>
        <w:t> </w:t>
      </w:r>
      <w:r>
        <w:rPr>
          <w:rFonts w:ascii="Arial" w:hAnsi="Arial"/>
          <w:color w:val="231F20"/>
          <w:spacing w:val="-2"/>
        </w:rPr>
        <w:t>du</w:t>
      </w:r>
      <w:r>
        <w:rPr>
          <w:rFonts w:ascii="Arial" w:hAnsi="Arial"/>
          <w:color w:val="231F20"/>
          <w:spacing w:val="-13"/>
        </w:rPr>
        <w:t> </w:t>
      </w:r>
      <w:r>
        <w:rPr>
          <w:rFonts w:ascii="Arial" w:hAnsi="Arial"/>
          <w:color w:val="231F20"/>
          <w:spacing w:val="-2"/>
        </w:rPr>
        <w:t>travail</w:t>
      </w:r>
      <w:r>
        <w:rPr>
          <w:rFonts w:ascii="Arial" w:hAnsi="Arial"/>
          <w:color w:val="231F20"/>
          <w:spacing w:val="-13"/>
        </w:rPr>
        <w:t> </w:t>
      </w:r>
      <w:r>
        <w:rPr>
          <w:rFonts w:ascii="Arial" w:hAnsi="Arial"/>
          <w:color w:val="231F20"/>
          <w:spacing w:val="-2"/>
        </w:rPr>
        <w:t>à</w:t>
      </w:r>
      <w:r>
        <w:rPr>
          <w:rFonts w:ascii="Arial" w:hAnsi="Arial"/>
          <w:color w:val="231F20"/>
          <w:spacing w:val="-13"/>
        </w:rPr>
        <w:t> </w:t>
      </w:r>
      <w:r>
        <w:rPr>
          <w:rFonts w:ascii="Arial" w:hAnsi="Arial"/>
          <w:color w:val="231F20"/>
          <w:spacing w:val="-2"/>
        </w:rPr>
        <w:t>Hydro-Québec.</w:t>
      </w:r>
      <w:r>
        <w:rPr>
          <w:rFonts w:ascii="Arial" w:hAnsi="Arial"/>
          <w:color w:val="231F20"/>
          <w:spacing w:val="-13"/>
        </w:rPr>
        <w:t> </w:t>
      </w:r>
      <w:r>
        <w:rPr>
          <w:rFonts w:ascii="Arial" w:hAnsi="Arial"/>
          <w:color w:val="231F20"/>
          <w:spacing w:val="-2"/>
        </w:rPr>
        <w:t>Intéressé</w:t>
      </w:r>
      <w:r>
        <w:rPr>
          <w:rFonts w:ascii="Arial" w:hAnsi="Arial"/>
          <w:color w:val="231F20"/>
          <w:spacing w:val="-13"/>
        </w:rPr>
        <w:t> </w:t>
      </w:r>
      <w:r>
        <w:rPr>
          <w:rFonts w:ascii="Arial" w:hAnsi="Arial"/>
          <w:color w:val="231F20"/>
          <w:spacing w:val="-2"/>
        </w:rPr>
        <w:t>depuis</w:t>
      </w:r>
    </w:p>
    <w:p>
      <w:pPr>
        <w:spacing w:after="0" w:line="307" w:lineRule="auto"/>
        <w:jc w:val="both"/>
        <w:rPr>
          <w:rFonts w:ascii="Arial" w:hAnsi="Arial"/>
        </w:rPr>
        <w:sectPr>
          <w:footerReference w:type="default" r:id="rId150"/>
          <w:pgSz w:w="8640" w:h="12960"/>
          <w:pgMar w:footer="424" w:header="0" w:top="520" w:bottom="620" w:left="740" w:right="1140"/>
        </w:sectPr>
      </w:pPr>
    </w:p>
    <w:p>
      <w:pPr>
        <w:spacing w:before="118"/>
        <w:ind w:left="207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BodyText"/>
        <w:spacing w:line="307" w:lineRule="auto" w:before="139"/>
        <w:ind w:left="1150" w:right="351"/>
        <w:jc w:val="both"/>
        <w:rPr>
          <w:rFonts w:ascii="Arial" w:hAnsi="Arial"/>
        </w:rPr>
      </w:pPr>
      <w:r>
        <w:rPr/>
        <w:pict>
          <v:rect style="position:absolute;margin-left:82pt;margin-top:-4.0771pt;width:287.5pt;height:306.5pt;mso-position-horizontal-relative:page;mso-position-vertical-relative:paragraph;z-index:-20976640" id="docshape484" filled="true" fillcolor="#e2e3e4" stroked="false">
            <v:fill type="solid"/>
            <w10:wrap type="none"/>
          </v:rect>
        </w:pict>
      </w:r>
      <w:r>
        <w:rPr>
          <w:rFonts w:ascii="Arial" w:hAnsi="Arial"/>
          <w:color w:val="231F20"/>
        </w:rPr>
        <w:t>toujours</w:t>
      </w:r>
      <w:r>
        <w:rPr>
          <w:rFonts w:ascii="Arial" w:hAnsi="Arial"/>
          <w:color w:val="231F20"/>
          <w:spacing w:val="-10"/>
        </w:rPr>
        <w:t> </w:t>
      </w:r>
      <w:r>
        <w:rPr>
          <w:rFonts w:ascii="Arial" w:hAnsi="Arial"/>
          <w:color w:val="231F20"/>
        </w:rPr>
        <w:t>par</w:t>
      </w:r>
      <w:r>
        <w:rPr>
          <w:rFonts w:ascii="Arial" w:hAnsi="Arial"/>
          <w:color w:val="231F20"/>
          <w:spacing w:val="-10"/>
        </w:rPr>
        <w:t> </w:t>
      </w:r>
      <w:r>
        <w:rPr>
          <w:rFonts w:ascii="Arial" w:hAnsi="Arial"/>
          <w:color w:val="231F20"/>
        </w:rPr>
        <w:t>les</w:t>
      </w:r>
      <w:r>
        <w:rPr>
          <w:rFonts w:ascii="Arial" w:hAnsi="Arial"/>
          <w:color w:val="231F20"/>
          <w:spacing w:val="-10"/>
        </w:rPr>
        <w:t> </w:t>
      </w:r>
      <w:r>
        <w:rPr>
          <w:rFonts w:ascii="Arial" w:hAnsi="Arial"/>
          <w:color w:val="231F20"/>
        </w:rPr>
        <w:t>sciences</w:t>
      </w:r>
      <w:r>
        <w:rPr>
          <w:rFonts w:ascii="Arial" w:hAnsi="Arial"/>
          <w:color w:val="231F20"/>
          <w:spacing w:val="-10"/>
        </w:rPr>
        <w:t> </w:t>
      </w:r>
      <w:r>
        <w:rPr>
          <w:rFonts w:ascii="Arial" w:hAnsi="Arial"/>
          <w:color w:val="231F20"/>
        </w:rPr>
        <w:t>humaines,</w:t>
      </w:r>
      <w:r>
        <w:rPr>
          <w:rFonts w:ascii="Arial" w:hAnsi="Arial"/>
          <w:color w:val="231F20"/>
          <w:spacing w:val="-10"/>
        </w:rPr>
        <w:t> </w:t>
      </w:r>
      <w:r>
        <w:rPr>
          <w:rFonts w:ascii="Arial" w:hAnsi="Arial"/>
          <w:color w:val="231F20"/>
        </w:rPr>
        <w:t>André</w:t>
      </w:r>
      <w:r>
        <w:rPr>
          <w:rFonts w:ascii="Arial" w:hAnsi="Arial"/>
          <w:color w:val="231F20"/>
          <w:spacing w:val="-10"/>
        </w:rPr>
        <w:t> </w:t>
      </w:r>
      <w:r>
        <w:rPr>
          <w:rFonts w:ascii="Arial" w:hAnsi="Arial"/>
          <w:color w:val="231F20"/>
        </w:rPr>
        <w:t>Arsenault</w:t>
      </w:r>
      <w:r>
        <w:rPr>
          <w:rFonts w:ascii="Arial" w:hAnsi="Arial"/>
          <w:color w:val="231F20"/>
          <w:spacing w:val="-10"/>
        </w:rPr>
        <w:t> </w:t>
      </w:r>
      <w:r>
        <w:rPr>
          <w:rFonts w:ascii="Arial" w:hAnsi="Arial"/>
          <w:color w:val="231F20"/>
        </w:rPr>
        <w:t>a</w:t>
      </w:r>
      <w:r>
        <w:rPr>
          <w:rFonts w:ascii="Arial" w:hAnsi="Arial"/>
          <w:color w:val="231F20"/>
          <w:spacing w:val="-10"/>
        </w:rPr>
        <w:t> </w:t>
      </w:r>
      <w:r>
        <w:rPr>
          <w:rFonts w:ascii="Arial" w:hAnsi="Arial"/>
          <w:color w:val="231F20"/>
        </w:rPr>
        <w:t>constaté</w:t>
      </w:r>
      <w:r>
        <w:rPr>
          <w:rFonts w:ascii="Arial" w:hAnsi="Arial"/>
          <w:color w:val="231F20"/>
          <w:spacing w:val="-10"/>
        </w:rPr>
        <w:t> </w:t>
      </w:r>
      <w:r>
        <w:rPr>
          <w:rFonts w:ascii="Arial" w:hAnsi="Arial"/>
          <w:color w:val="231F20"/>
        </w:rPr>
        <w:t>que</w:t>
      </w:r>
      <w:r>
        <w:rPr>
          <w:rFonts w:ascii="Arial" w:hAnsi="Arial"/>
          <w:color w:val="231F20"/>
          <w:spacing w:val="-10"/>
        </w:rPr>
        <w:t> </w:t>
      </w:r>
      <w:r>
        <w:rPr>
          <w:rFonts w:ascii="Arial" w:hAnsi="Arial"/>
          <w:color w:val="231F20"/>
        </w:rPr>
        <w:t>la </w:t>
      </w:r>
      <w:r>
        <w:rPr>
          <w:rFonts w:ascii="Arial" w:hAnsi="Arial"/>
          <w:color w:val="231F20"/>
          <w:w w:val="105"/>
        </w:rPr>
        <w:t>santé au travail était devenue le nouvel horizon, le nouveau défi à </w:t>
      </w:r>
      <w:r>
        <w:rPr>
          <w:rFonts w:ascii="Arial" w:hAnsi="Arial"/>
          <w:color w:val="231F20"/>
        </w:rPr>
        <w:t>relever</w:t>
      </w:r>
      <w:r>
        <w:rPr>
          <w:rFonts w:ascii="Arial" w:hAnsi="Arial"/>
          <w:color w:val="231F20"/>
          <w:spacing w:val="-9"/>
        </w:rPr>
        <w:t> </w:t>
      </w:r>
      <w:r>
        <w:rPr>
          <w:rFonts w:ascii="Arial" w:hAnsi="Arial"/>
          <w:color w:val="231F20"/>
        </w:rPr>
        <w:t>à</w:t>
      </w:r>
      <w:r>
        <w:rPr>
          <w:rFonts w:ascii="Arial" w:hAnsi="Arial"/>
          <w:color w:val="231F20"/>
          <w:spacing w:val="-9"/>
        </w:rPr>
        <w:t> </w:t>
      </w:r>
      <w:r>
        <w:rPr>
          <w:rFonts w:ascii="Arial" w:hAnsi="Arial"/>
          <w:color w:val="231F20"/>
        </w:rPr>
        <w:t>la</w:t>
      </w:r>
      <w:r>
        <w:rPr>
          <w:rFonts w:ascii="Arial" w:hAnsi="Arial"/>
          <w:color w:val="231F20"/>
          <w:spacing w:val="-9"/>
        </w:rPr>
        <w:t> </w:t>
      </w:r>
      <w:r>
        <w:rPr>
          <w:rFonts w:ascii="Arial" w:hAnsi="Arial"/>
          <w:color w:val="231F20"/>
        </w:rPr>
        <w:t>veille</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la</w:t>
      </w:r>
      <w:r>
        <w:rPr>
          <w:rFonts w:ascii="Arial" w:hAnsi="Arial"/>
          <w:color w:val="231F20"/>
          <w:spacing w:val="-9"/>
        </w:rPr>
        <w:t> </w:t>
      </w:r>
      <w:r>
        <w:rPr>
          <w:rFonts w:ascii="Arial" w:hAnsi="Arial"/>
          <w:color w:val="231F20"/>
        </w:rPr>
        <w:t>promulgation</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la</w:t>
      </w:r>
      <w:r>
        <w:rPr>
          <w:rFonts w:ascii="Arial" w:hAnsi="Arial"/>
          <w:color w:val="231F20"/>
          <w:spacing w:val="-9"/>
        </w:rPr>
        <w:t> </w:t>
      </w:r>
      <w:r>
        <w:rPr>
          <w:rFonts w:ascii="Arial" w:hAnsi="Arial"/>
          <w:i/>
          <w:color w:val="231F20"/>
        </w:rPr>
        <w:t>Loi</w:t>
      </w:r>
      <w:r>
        <w:rPr>
          <w:rFonts w:ascii="Arial" w:hAnsi="Arial"/>
          <w:i/>
          <w:color w:val="231F20"/>
          <w:spacing w:val="-9"/>
        </w:rPr>
        <w:t> </w:t>
      </w:r>
      <w:r>
        <w:rPr>
          <w:rFonts w:ascii="Arial" w:hAnsi="Arial"/>
          <w:i/>
          <w:color w:val="231F20"/>
        </w:rPr>
        <w:t>sur</w:t>
      </w:r>
      <w:r>
        <w:rPr>
          <w:rFonts w:ascii="Arial" w:hAnsi="Arial"/>
          <w:i/>
          <w:color w:val="231F20"/>
          <w:spacing w:val="-9"/>
        </w:rPr>
        <w:t> </w:t>
      </w:r>
      <w:r>
        <w:rPr>
          <w:rFonts w:ascii="Arial" w:hAnsi="Arial"/>
          <w:i/>
          <w:color w:val="231F20"/>
        </w:rPr>
        <w:t>la</w:t>
      </w:r>
      <w:r>
        <w:rPr>
          <w:rFonts w:ascii="Arial" w:hAnsi="Arial"/>
          <w:i/>
          <w:color w:val="231F20"/>
          <w:spacing w:val="-9"/>
        </w:rPr>
        <w:t> </w:t>
      </w:r>
      <w:r>
        <w:rPr>
          <w:rFonts w:ascii="Arial" w:hAnsi="Arial"/>
          <w:i/>
          <w:color w:val="231F20"/>
        </w:rPr>
        <w:t>santé</w:t>
      </w:r>
      <w:r>
        <w:rPr>
          <w:rFonts w:ascii="Arial" w:hAnsi="Arial"/>
          <w:i/>
          <w:color w:val="231F20"/>
          <w:spacing w:val="-9"/>
        </w:rPr>
        <w:t> </w:t>
      </w:r>
      <w:r>
        <w:rPr>
          <w:rFonts w:ascii="Arial" w:hAnsi="Arial"/>
          <w:i/>
          <w:color w:val="231F20"/>
        </w:rPr>
        <w:t>et</w:t>
      </w:r>
      <w:r>
        <w:rPr>
          <w:rFonts w:ascii="Arial" w:hAnsi="Arial"/>
          <w:i/>
          <w:color w:val="231F20"/>
          <w:spacing w:val="-9"/>
        </w:rPr>
        <w:t> </w:t>
      </w:r>
      <w:r>
        <w:rPr>
          <w:rFonts w:ascii="Arial" w:hAnsi="Arial"/>
          <w:i/>
          <w:color w:val="231F20"/>
        </w:rPr>
        <w:t>la</w:t>
      </w:r>
      <w:r>
        <w:rPr>
          <w:rFonts w:ascii="Arial" w:hAnsi="Arial"/>
          <w:i/>
          <w:color w:val="231F20"/>
          <w:spacing w:val="-9"/>
        </w:rPr>
        <w:t> </w:t>
      </w:r>
      <w:r>
        <w:rPr>
          <w:rFonts w:ascii="Arial" w:hAnsi="Arial"/>
          <w:i/>
          <w:color w:val="231F20"/>
        </w:rPr>
        <w:t>sécurité </w:t>
      </w:r>
      <w:r>
        <w:rPr>
          <w:rFonts w:ascii="Arial" w:hAnsi="Arial"/>
          <w:i/>
          <w:color w:val="231F20"/>
          <w:w w:val="105"/>
        </w:rPr>
        <w:t>du travail</w:t>
      </w:r>
      <w:r>
        <w:rPr>
          <w:rFonts w:ascii="Arial" w:hAnsi="Arial"/>
          <w:color w:val="231F20"/>
          <w:w w:val="105"/>
        </w:rPr>
        <w:t>. Le stress au travail était devenu épidémique à Hydro- </w:t>
      </w:r>
      <w:r>
        <w:rPr>
          <w:rFonts w:ascii="Arial" w:hAnsi="Arial"/>
          <w:color w:val="231F20"/>
        </w:rPr>
        <w:t>Québec</w:t>
      </w:r>
      <w:r>
        <w:rPr>
          <w:rFonts w:ascii="Arial" w:hAnsi="Arial"/>
          <w:color w:val="231F20"/>
          <w:spacing w:val="-12"/>
        </w:rPr>
        <w:t> </w:t>
      </w:r>
      <w:r>
        <w:rPr>
          <w:rFonts w:ascii="Arial" w:hAnsi="Arial"/>
          <w:color w:val="231F20"/>
        </w:rPr>
        <w:t>:</w:t>
      </w:r>
      <w:r>
        <w:rPr>
          <w:rFonts w:ascii="Arial" w:hAnsi="Arial"/>
          <w:color w:val="231F20"/>
          <w:spacing w:val="-12"/>
        </w:rPr>
        <w:t> </w:t>
      </w:r>
      <w:r>
        <w:rPr>
          <w:rFonts w:ascii="Arial" w:hAnsi="Arial"/>
          <w:color w:val="231F20"/>
        </w:rPr>
        <w:t>à</w:t>
      </w:r>
      <w:r>
        <w:rPr>
          <w:rFonts w:ascii="Arial" w:hAnsi="Arial"/>
          <w:color w:val="231F20"/>
          <w:spacing w:val="-12"/>
        </w:rPr>
        <w:t> </w:t>
      </w:r>
      <w:r>
        <w:rPr>
          <w:rFonts w:ascii="Arial" w:hAnsi="Arial"/>
          <w:color w:val="231F20"/>
        </w:rPr>
        <w:t>la</w:t>
      </w:r>
      <w:r>
        <w:rPr>
          <w:rFonts w:ascii="Arial" w:hAnsi="Arial"/>
          <w:color w:val="231F20"/>
          <w:spacing w:val="-6"/>
        </w:rPr>
        <w:t> </w:t>
      </w:r>
      <w:r>
        <w:rPr>
          <w:rFonts w:ascii="Arial" w:hAnsi="Arial"/>
          <w:color w:val="231F20"/>
        </w:rPr>
        <w:t>suite</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fin</w:t>
      </w:r>
      <w:r>
        <w:rPr>
          <w:rFonts w:ascii="Arial" w:hAnsi="Arial"/>
          <w:color w:val="231F20"/>
          <w:spacing w:val="-4"/>
        </w:rPr>
        <w:t> </w:t>
      </w:r>
      <w:r>
        <w:rPr>
          <w:rFonts w:ascii="Arial" w:hAnsi="Arial"/>
          <w:color w:val="231F20"/>
        </w:rPr>
        <w:t>des</w:t>
      </w:r>
      <w:r>
        <w:rPr>
          <w:rFonts w:ascii="Arial" w:hAnsi="Arial"/>
          <w:color w:val="231F20"/>
          <w:spacing w:val="-4"/>
        </w:rPr>
        <w:t> </w:t>
      </w:r>
      <w:r>
        <w:rPr>
          <w:rFonts w:ascii="Arial" w:hAnsi="Arial"/>
          <w:color w:val="231F20"/>
        </w:rPr>
        <w:t>grands</w:t>
      </w:r>
      <w:r>
        <w:rPr>
          <w:rFonts w:ascii="Arial" w:hAnsi="Arial"/>
          <w:color w:val="231F20"/>
          <w:spacing w:val="-4"/>
        </w:rPr>
        <w:t> </w:t>
      </w:r>
      <w:r>
        <w:rPr>
          <w:rFonts w:ascii="Arial" w:hAnsi="Arial"/>
          <w:color w:val="231F20"/>
        </w:rPr>
        <w:t>barrages,</w:t>
      </w:r>
      <w:r>
        <w:rPr>
          <w:rFonts w:ascii="Arial" w:hAnsi="Arial"/>
          <w:color w:val="231F20"/>
          <w:spacing w:val="-4"/>
        </w:rPr>
        <w:t> </w:t>
      </w:r>
      <w:r>
        <w:rPr>
          <w:rFonts w:ascii="Arial" w:hAnsi="Arial"/>
          <w:color w:val="231F20"/>
        </w:rPr>
        <w:t>une</w:t>
      </w:r>
      <w:r>
        <w:rPr>
          <w:rFonts w:ascii="Arial" w:hAnsi="Arial"/>
          <w:color w:val="231F20"/>
          <w:spacing w:val="-4"/>
        </w:rPr>
        <w:t> </w:t>
      </w:r>
      <w:r>
        <w:rPr>
          <w:rFonts w:ascii="Arial" w:hAnsi="Arial"/>
          <w:color w:val="231F20"/>
        </w:rPr>
        <w:t>sorte</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torpeur </w:t>
      </w:r>
      <w:r>
        <w:rPr>
          <w:rFonts w:ascii="Arial" w:hAnsi="Arial"/>
          <w:color w:val="231F20"/>
          <w:w w:val="105"/>
        </w:rPr>
        <w:t>dépressive infiltrait insidieusement l’organisation. Ce fut le début </w:t>
      </w:r>
      <w:r>
        <w:rPr>
          <w:rFonts w:ascii="Arial" w:hAnsi="Arial"/>
          <w:color w:val="231F20"/>
        </w:rPr>
        <w:t>d’échanges intenses et créatifs entre les auteurs qui ont concocté le </w:t>
      </w:r>
      <w:r>
        <w:rPr>
          <w:rFonts w:ascii="Arial" w:hAnsi="Arial"/>
          <w:color w:val="231F20"/>
          <w:w w:val="105"/>
        </w:rPr>
        <w:t>projet</w:t>
      </w:r>
      <w:r>
        <w:rPr>
          <w:rFonts w:ascii="Arial" w:hAnsi="Arial"/>
          <w:color w:val="231F20"/>
          <w:spacing w:val="-6"/>
          <w:w w:val="105"/>
        </w:rPr>
        <w:t> </w:t>
      </w:r>
      <w:r>
        <w:rPr>
          <w:rFonts w:ascii="Arial" w:hAnsi="Arial"/>
          <w:color w:val="231F20"/>
          <w:w w:val="105"/>
        </w:rPr>
        <w:t>d’une</w:t>
      </w:r>
      <w:r>
        <w:rPr>
          <w:rFonts w:ascii="Arial" w:hAnsi="Arial"/>
          <w:color w:val="231F20"/>
          <w:spacing w:val="-6"/>
          <w:w w:val="105"/>
        </w:rPr>
        <w:t> </w:t>
      </w:r>
      <w:r>
        <w:rPr>
          <w:rFonts w:ascii="Arial" w:hAnsi="Arial"/>
          <w:color w:val="231F20"/>
          <w:w w:val="105"/>
        </w:rPr>
        <w:t>grande</w:t>
      </w:r>
      <w:r>
        <w:rPr>
          <w:rFonts w:ascii="Arial" w:hAnsi="Arial"/>
          <w:color w:val="231F20"/>
          <w:spacing w:val="-6"/>
          <w:w w:val="105"/>
        </w:rPr>
        <w:t> </w:t>
      </w:r>
      <w:r>
        <w:rPr>
          <w:rFonts w:ascii="Arial" w:hAnsi="Arial"/>
          <w:color w:val="231F20"/>
          <w:w w:val="105"/>
        </w:rPr>
        <w:t>étude</w:t>
      </w:r>
      <w:r>
        <w:rPr>
          <w:rFonts w:ascii="Arial" w:hAnsi="Arial"/>
          <w:color w:val="231F20"/>
          <w:spacing w:val="-6"/>
          <w:w w:val="105"/>
        </w:rPr>
        <w:t> </w:t>
      </w:r>
      <w:r>
        <w:rPr>
          <w:rFonts w:ascii="Arial" w:hAnsi="Arial"/>
          <w:color w:val="231F20"/>
          <w:w w:val="105"/>
        </w:rPr>
        <w:t>sur</w:t>
      </w:r>
      <w:r>
        <w:rPr>
          <w:rFonts w:ascii="Arial" w:hAnsi="Arial"/>
          <w:color w:val="231F20"/>
          <w:spacing w:val="-6"/>
          <w:w w:val="105"/>
        </w:rPr>
        <w:t> </w:t>
      </w:r>
      <w:r>
        <w:rPr>
          <w:rFonts w:ascii="Arial" w:hAnsi="Arial"/>
          <w:color w:val="231F20"/>
          <w:w w:val="105"/>
        </w:rPr>
        <w:t>le</w:t>
      </w:r>
      <w:r>
        <w:rPr>
          <w:rFonts w:ascii="Arial" w:hAnsi="Arial"/>
          <w:color w:val="231F20"/>
          <w:spacing w:val="-6"/>
          <w:w w:val="105"/>
        </w:rPr>
        <w:t> </w:t>
      </w:r>
      <w:r>
        <w:rPr>
          <w:rFonts w:ascii="Arial" w:hAnsi="Arial"/>
          <w:color w:val="231F20"/>
          <w:w w:val="105"/>
        </w:rPr>
        <w:t>stress</w:t>
      </w:r>
      <w:r>
        <w:rPr>
          <w:rFonts w:ascii="Arial" w:hAnsi="Arial"/>
          <w:color w:val="231F20"/>
          <w:spacing w:val="-6"/>
          <w:w w:val="105"/>
        </w:rPr>
        <w:t> </w:t>
      </w:r>
      <w:r>
        <w:rPr>
          <w:rFonts w:ascii="Arial" w:hAnsi="Arial"/>
          <w:color w:val="231F20"/>
          <w:w w:val="105"/>
        </w:rPr>
        <w:t>en</w:t>
      </w:r>
      <w:r>
        <w:rPr>
          <w:rFonts w:ascii="Arial" w:hAnsi="Arial"/>
          <w:color w:val="231F20"/>
          <w:spacing w:val="-6"/>
          <w:w w:val="105"/>
        </w:rPr>
        <w:t> </w:t>
      </w:r>
      <w:r>
        <w:rPr>
          <w:rFonts w:ascii="Arial" w:hAnsi="Arial"/>
          <w:color w:val="231F20"/>
          <w:w w:val="105"/>
        </w:rPr>
        <w:t>milieu</w:t>
      </w:r>
      <w:r>
        <w:rPr>
          <w:rFonts w:ascii="Arial" w:hAnsi="Arial"/>
          <w:color w:val="231F20"/>
          <w:spacing w:val="-6"/>
          <w:w w:val="105"/>
        </w:rPr>
        <w:t> </w:t>
      </w:r>
      <w:r>
        <w:rPr>
          <w:rFonts w:ascii="Arial" w:hAnsi="Arial"/>
          <w:color w:val="231F20"/>
          <w:w w:val="105"/>
        </w:rPr>
        <w:t>hospitalier.</w:t>
      </w:r>
      <w:r>
        <w:rPr>
          <w:rFonts w:ascii="Arial" w:hAnsi="Arial"/>
          <w:color w:val="231F20"/>
          <w:spacing w:val="-6"/>
          <w:w w:val="105"/>
        </w:rPr>
        <w:t> </w:t>
      </w:r>
      <w:r>
        <w:rPr>
          <w:rFonts w:ascii="Arial" w:hAnsi="Arial"/>
          <w:color w:val="231F20"/>
          <w:w w:val="105"/>
        </w:rPr>
        <w:t>C’était </w:t>
      </w:r>
      <w:r>
        <w:rPr>
          <w:rFonts w:ascii="Arial" w:hAnsi="Arial"/>
          <w:color w:val="231F20"/>
        </w:rPr>
        <w:t>aussi la première fois qu’ils obtenaient des subventions de recherche substantielles</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gouvernements</w:t>
      </w:r>
      <w:r>
        <w:rPr>
          <w:rFonts w:ascii="Arial" w:hAnsi="Arial"/>
          <w:color w:val="231F20"/>
          <w:spacing w:val="-3"/>
        </w:rPr>
        <w:t> </w:t>
      </w:r>
      <w:r>
        <w:rPr>
          <w:rFonts w:ascii="Arial" w:hAnsi="Arial"/>
          <w:color w:val="231F20"/>
        </w:rPr>
        <w:t>du</w:t>
      </w:r>
      <w:r>
        <w:rPr>
          <w:rFonts w:ascii="Arial" w:hAnsi="Arial"/>
          <w:color w:val="231F20"/>
          <w:spacing w:val="-3"/>
        </w:rPr>
        <w:t> </w:t>
      </w:r>
      <w:r>
        <w:rPr>
          <w:rFonts w:ascii="Arial" w:hAnsi="Arial"/>
          <w:color w:val="231F20"/>
        </w:rPr>
        <w:t>Québec</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du</w:t>
      </w:r>
      <w:r>
        <w:rPr>
          <w:rFonts w:ascii="Arial" w:hAnsi="Arial"/>
          <w:color w:val="231F20"/>
          <w:spacing w:val="-3"/>
        </w:rPr>
        <w:t> </w:t>
      </w:r>
      <w:r>
        <w:rPr>
          <w:rFonts w:ascii="Arial" w:hAnsi="Arial"/>
          <w:color w:val="231F20"/>
        </w:rPr>
        <w:t>Canada</w:t>
      </w:r>
      <w:r>
        <w:rPr>
          <w:rFonts w:ascii="Arial" w:hAnsi="Arial"/>
          <w:color w:val="231F20"/>
          <w:spacing w:val="-3"/>
        </w:rPr>
        <w:t> </w:t>
      </w:r>
      <w:r>
        <w:rPr>
          <w:rFonts w:ascii="Arial" w:hAnsi="Arial"/>
          <w:color w:val="231F20"/>
        </w:rPr>
        <w:t>pour</w:t>
      </w:r>
      <w:r>
        <w:rPr>
          <w:rFonts w:ascii="Arial" w:hAnsi="Arial"/>
          <w:color w:val="231F20"/>
          <w:spacing w:val="-3"/>
        </w:rPr>
        <w:t> </w:t>
      </w:r>
      <w:r>
        <w:rPr>
          <w:rFonts w:ascii="Arial" w:hAnsi="Arial"/>
          <w:color w:val="231F20"/>
        </w:rPr>
        <w:t>étu- dier le stress professionnel. Leur relation s’est avérée très productive et ils ont dirigé ensemble le Groupe de recherche Stress et santé au travail</w:t>
      </w:r>
      <w:r>
        <w:rPr>
          <w:rFonts w:ascii="Arial" w:hAnsi="Arial"/>
          <w:color w:val="231F20"/>
          <w:spacing w:val="-1"/>
        </w:rPr>
        <w:t> </w:t>
      </w:r>
      <w:r>
        <w:rPr>
          <w:rFonts w:ascii="Arial" w:hAnsi="Arial"/>
          <w:color w:val="231F20"/>
        </w:rPr>
        <w:t>pendant plus de 15 ans</w:t>
      </w:r>
      <w:r>
        <w:rPr>
          <w:rFonts w:ascii="Arial" w:hAnsi="Arial"/>
          <w:color w:val="231F20"/>
          <w:spacing w:val="-12"/>
        </w:rPr>
        <w:t> </w:t>
      </w:r>
      <w:r>
        <w:rPr>
          <w:rFonts w:ascii="Arial" w:hAnsi="Arial"/>
          <w:color w:val="231F20"/>
        </w:rPr>
        <w:t>; groupe de recherche qui a d’ailleurs </w:t>
      </w:r>
      <w:r>
        <w:rPr>
          <w:rFonts w:ascii="Arial" w:hAnsi="Arial"/>
          <w:color w:val="231F20"/>
          <w:spacing w:val="-2"/>
        </w:rPr>
        <w:t>accueilli</w:t>
      </w:r>
      <w:r>
        <w:rPr>
          <w:rFonts w:ascii="Arial" w:hAnsi="Arial"/>
          <w:color w:val="231F20"/>
          <w:spacing w:val="-7"/>
        </w:rPr>
        <w:t> </w:t>
      </w:r>
      <w:r>
        <w:rPr>
          <w:rFonts w:ascii="Arial" w:hAnsi="Arial"/>
          <w:color w:val="231F20"/>
          <w:spacing w:val="-2"/>
        </w:rPr>
        <w:t>Eric</w:t>
      </w:r>
      <w:r>
        <w:rPr>
          <w:rFonts w:ascii="Arial" w:hAnsi="Arial"/>
          <w:color w:val="231F20"/>
          <w:spacing w:val="-7"/>
        </w:rPr>
        <w:t> </w:t>
      </w:r>
      <w:r>
        <w:rPr>
          <w:rFonts w:ascii="Arial" w:hAnsi="Arial"/>
          <w:color w:val="231F20"/>
          <w:spacing w:val="-2"/>
        </w:rPr>
        <w:t>Gosselin</w:t>
      </w:r>
      <w:r>
        <w:rPr>
          <w:rFonts w:ascii="Arial" w:hAnsi="Arial"/>
          <w:color w:val="231F20"/>
          <w:spacing w:val="-7"/>
        </w:rPr>
        <w:t> </w:t>
      </w:r>
      <w:r>
        <w:rPr>
          <w:rFonts w:ascii="Arial" w:hAnsi="Arial"/>
          <w:color w:val="231F20"/>
          <w:spacing w:val="-2"/>
        </w:rPr>
        <w:t>(un</w:t>
      </w:r>
      <w:r>
        <w:rPr>
          <w:rFonts w:ascii="Arial" w:hAnsi="Arial"/>
          <w:color w:val="231F20"/>
          <w:spacing w:val="-7"/>
        </w:rPr>
        <w:t> </w:t>
      </w:r>
      <w:r>
        <w:rPr>
          <w:rFonts w:ascii="Arial" w:hAnsi="Arial"/>
          <w:color w:val="231F20"/>
          <w:spacing w:val="-2"/>
        </w:rPr>
        <w:t>des</w:t>
      </w:r>
      <w:r>
        <w:rPr>
          <w:rFonts w:ascii="Arial" w:hAnsi="Arial"/>
          <w:color w:val="231F20"/>
          <w:spacing w:val="-7"/>
        </w:rPr>
        <w:t> </w:t>
      </w:r>
      <w:r>
        <w:rPr>
          <w:rFonts w:ascii="Arial" w:hAnsi="Arial"/>
          <w:color w:val="231F20"/>
          <w:spacing w:val="-2"/>
        </w:rPr>
        <w:t>coauteurs</w:t>
      </w:r>
      <w:r>
        <w:rPr>
          <w:rFonts w:ascii="Arial" w:hAnsi="Arial"/>
          <w:color w:val="231F20"/>
          <w:spacing w:val="-7"/>
        </w:rPr>
        <w:t> </w:t>
      </w:r>
      <w:r>
        <w:rPr>
          <w:rFonts w:ascii="Arial" w:hAnsi="Arial"/>
          <w:color w:val="231F20"/>
          <w:spacing w:val="-2"/>
        </w:rPr>
        <w:t>de</w:t>
      </w:r>
      <w:r>
        <w:rPr>
          <w:rFonts w:ascii="Arial" w:hAnsi="Arial"/>
          <w:color w:val="231F20"/>
          <w:spacing w:val="-7"/>
        </w:rPr>
        <w:t> </w:t>
      </w:r>
      <w:r>
        <w:rPr>
          <w:rFonts w:ascii="Arial" w:hAnsi="Arial"/>
          <w:color w:val="231F20"/>
          <w:spacing w:val="-2"/>
        </w:rPr>
        <w:t>cet</w:t>
      </w:r>
      <w:r>
        <w:rPr>
          <w:rFonts w:ascii="Arial" w:hAnsi="Arial"/>
          <w:color w:val="231F20"/>
          <w:spacing w:val="-7"/>
        </w:rPr>
        <w:t> </w:t>
      </w:r>
      <w:r>
        <w:rPr>
          <w:rFonts w:ascii="Arial" w:hAnsi="Arial"/>
          <w:color w:val="231F20"/>
          <w:spacing w:val="-2"/>
        </w:rPr>
        <w:t>ouvrage)</w:t>
      </w:r>
      <w:r>
        <w:rPr>
          <w:rFonts w:ascii="Arial" w:hAnsi="Arial"/>
          <w:color w:val="231F20"/>
          <w:spacing w:val="-8"/>
        </w:rPr>
        <w:t> </w:t>
      </w:r>
      <w:r>
        <w:rPr>
          <w:rFonts w:ascii="Arial" w:hAnsi="Arial"/>
          <w:color w:val="231F20"/>
          <w:spacing w:val="-2"/>
        </w:rPr>
        <w:t>alors</w:t>
      </w:r>
      <w:r>
        <w:rPr>
          <w:rFonts w:ascii="Arial" w:hAnsi="Arial"/>
          <w:color w:val="231F20"/>
          <w:spacing w:val="-7"/>
        </w:rPr>
        <w:t> </w:t>
      </w:r>
      <w:r>
        <w:rPr>
          <w:rFonts w:ascii="Arial" w:hAnsi="Arial"/>
          <w:color w:val="231F20"/>
          <w:spacing w:val="-2"/>
        </w:rPr>
        <w:t>qu’il</w:t>
      </w:r>
      <w:r>
        <w:rPr>
          <w:rFonts w:ascii="Arial" w:hAnsi="Arial"/>
          <w:color w:val="231F20"/>
          <w:spacing w:val="-7"/>
        </w:rPr>
        <w:t> </w:t>
      </w:r>
      <w:r>
        <w:rPr>
          <w:rFonts w:ascii="Arial" w:hAnsi="Arial"/>
          <w:color w:val="231F20"/>
          <w:spacing w:val="-2"/>
        </w:rPr>
        <w:t>était </w:t>
      </w:r>
      <w:r>
        <w:rPr>
          <w:rFonts w:ascii="Arial" w:hAnsi="Arial"/>
          <w:color w:val="231F20"/>
        </w:rPr>
        <w:t>doctorant</w:t>
      </w:r>
      <w:r>
        <w:rPr>
          <w:rFonts w:ascii="Arial" w:hAnsi="Arial"/>
          <w:color w:val="231F20"/>
          <w:spacing w:val="-2"/>
        </w:rPr>
        <w:t> </w:t>
      </w:r>
      <w:r>
        <w:rPr>
          <w:rFonts w:ascii="Arial" w:hAnsi="Arial"/>
          <w:color w:val="231F20"/>
        </w:rPr>
        <w:t>à</w:t>
      </w:r>
      <w:r>
        <w:rPr>
          <w:rFonts w:ascii="Arial" w:hAnsi="Arial"/>
          <w:color w:val="231F20"/>
          <w:spacing w:val="-2"/>
        </w:rPr>
        <w:t> </w:t>
      </w:r>
      <w:r>
        <w:rPr>
          <w:rFonts w:ascii="Arial" w:hAnsi="Arial"/>
          <w:color w:val="231F20"/>
        </w:rPr>
        <w:t>l’Université</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Montréal</w:t>
      </w:r>
      <w:r>
        <w:rPr>
          <w:rFonts w:ascii="Arial" w:hAnsi="Arial"/>
          <w:color w:val="231F20"/>
          <w:spacing w:val="-2"/>
        </w:rPr>
        <w:t> </w:t>
      </w:r>
      <w:r>
        <w:rPr>
          <w:rFonts w:ascii="Arial" w:hAnsi="Arial"/>
          <w:color w:val="231F20"/>
        </w:rPr>
        <w:t>au</w:t>
      </w:r>
      <w:r>
        <w:rPr>
          <w:rFonts w:ascii="Arial" w:hAnsi="Arial"/>
          <w:color w:val="231F20"/>
          <w:spacing w:val="-2"/>
        </w:rPr>
        <w:t> </w:t>
      </w:r>
      <w:r>
        <w:rPr>
          <w:rFonts w:ascii="Arial" w:hAnsi="Arial"/>
          <w:color w:val="231F20"/>
        </w:rPr>
        <w:t>début</w:t>
      </w:r>
      <w:r>
        <w:rPr>
          <w:rFonts w:ascii="Arial" w:hAnsi="Arial"/>
          <w:color w:val="231F20"/>
          <w:spacing w:val="-2"/>
        </w:rPr>
        <w:t> </w:t>
      </w:r>
      <w:r>
        <w:rPr>
          <w:rFonts w:ascii="Arial" w:hAnsi="Arial"/>
          <w:color w:val="231F20"/>
        </w:rPr>
        <w:t>des</w:t>
      </w:r>
      <w:r>
        <w:rPr>
          <w:rFonts w:ascii="Arial" w:hAnsi="Arial"/>
          <w:color w:val="231F20"/>
          <w:spacing w:val="-2"/>
        </w:rPr>
        <w:t> </w:t>
      </w:r>
      <w:r>
        <w:rPr>
          <w:rFonts w:ascii="Arial" w:hAnsi="Arial"/>
          <w:color w:val="231F20"/>
        </w:rPr>
        <w:t>années</w:t>
      </w:r>
      <w:r>
        <w:rPr>
          <w:rFonts w:ascii="Arial" w:hAnsi="Arial"/>
          <w:color w:val="231F20"/>
          <w:spacing w:val="-2"/>
        </w:rPr>
        <w:t> </w:t>
      </w:r>
      <w:r>
        <w:rPr>
          <w:rFonts w:ascii="Arial" w:hAnsi="Arial"/>
          <w:color w:val="231F20"/>
        </w:rPr>
        <w:t>1990.</w:t>
      </w:r>
      <w:r>
        <w:rPr>
          <w:rFonts w:ascii="Arial" w:hAnsi="Arial"/>
          <w:color w:val="231F20"/>
          <w:spacing w:val="-2"/>
        </w:rPr>
        <w:t> </w:t>
      </w:r>
      <w:r>
        <w:rPr>
          <w:rFonts w:ascii="Arial" w:hAnsi="Arial"/>
          <w:color w:val="231F20"/>
        </w:rPr>
        <w:t>Cette collaboration a également débouché sur la publication de dizaines </w:t>
      </w:r>
      <w:r>
        <w:rPr>
          <w:rFonts w:ascii="Arial" w:hAnsi="Arial"/>
          <w:color w:val="231F20"/>
          <w:spacing w:val="-2"/>
        </w:rPr>
        <w:t>d’articles</w:t>
      </w:r>
      <w:r>
        <w:rPr>
          <w:rFonts w:ascii="Arial" w:hAnsi="Arial"/>
          <w:color w:val="231F20"/>
          <w:spacing w:val="-9"/>
        </w:rPr>
        <w:t> </w:t>
      </w:r>
      <w:r>
        <w:rPr>
          <w:rFonts w:ascii="Arial" w:hAnsi="Arial"/>
          <w:color w:val="231F20"/>
          <w:spacing w:val="-2"/>
        </w:rPr>
        <w:t>dans</w:t>
      </w:r>
      <w:r>
        <w:rPr>
          <w:rFonts w:ascii="Arial" w:hAnsi="Arial"/>
          <w:color w:val="231F20"/>
          <w:spacing w:val="-9"/>
        </w:rPr>
        <w:t> </w:t>
      </w:r>
      <w:r>
        <w:rPr>
          <w:rFonts w:ascii="Arial" w:hAnsi="Arial"/>
          <w:color w:val="231F20"/>
          <w:spacing w:val="-2"/>
        </w:rPr>
        <w:t>des</w:t>
      </w:r>
      <w:r>
        <w:rPr>
          <w:rFonts w:ascii="Arial" w:hAnsi="Arial"/>
          <w:color w:val="231F20"/>
          <w:spacing w:val="-9"/>
        </w:rPr>
        <w:t> </w:t>
      </w:r>
      <w:r>
        <w:rPr>
          <w:rFonts w:ascii="Arial" w:hAnsi="Arial"/>
          <w:color w:val="231F20"/>
          <w:spacing w:val="-2"/>
        </w:rPr>
        <w:t>revues</w:t>
      </w:r>
      <w:r>
        <w:rPr>
          <w:rFonts w:ascii="Arial" w:hAnsi="Arial"/>
          <w:color w:val="231F20"/>
          <w:spacing w:val="-9"/>
        </w:rPr>
        <w:t> </w:t>
      </w:r>
      <w:r>
        <w:rPr>
          <w:rFonts w:ascii="Arial" w:hAnsi="Arial"/>
          <w:color w:val="231F20"/>
          <w:spacing w:val="-2"/>
        </w:rPr>
        <w:t>savantes</w:t>
      </w:r>
      <w:r>
        <w:rPr>
          <w:rFonts w:ascii="Arial" w:hAnsi="Arial"/>
          <w:color w:val="231F20"/>
          <w:spacing w:val="-9"/>
        </w:rPr>
        <w:t> </w:t>
      </w:r>
      <w:r>
        <w:rPr>
          <w:rFonts w:ascii="Arial" w:hAnsi="Arial"/>
          <w:color w:val="231F20"/>
          <w:spacing w:val="-2"/>
        </w:rPr>
        <w:t>(en</w:t>
      </w:r>
      <w:r>
        <w:rPr>
          <w:rFonts w:ascii="Arial" w:hAnsi="Arial"/>
          <w:color w:val="231F20"/>
          <w:spacing w:val="-9"/>
        </w:rPr>
        <w:t> </w:t>
      </w:r>
      <w:r>
        <w:rPr>
          <w:rFonts w:ascii="Arial" w:hAnsi="Arial"/>
          <w:color w:val="231F20"/>
          <w:spacing w:val="-2"/>
        </w:rPr>
        <w:t>médecine,</w:t>
      </w:r>
      <w:r>
        <w:rPr>
          <w:rFonts w:ascii="Arial" w:hAnsi="Arial"/>
          <w:color w:val="231F20"/>
          <w:spacing w:val="-9"/>
        </w:rPr>
        <w:t> </w:t>
      </w:r>
      <w:r>
        <w:rPr>
          <w:rFonts w:ascii="Arial" w:hAnsi="Arial"/>
          <w:color w:val="231F20"/>
          <w:spacing w:val="-2"/>
        </w:rPr>
        <w:t>en</w:t>
      </w:r>
      <w:r>
        <w:rPr>
          <w:rFonts w:ascii="Arial" w:hAnsi="Arial"/>
          <w:color w:val="231F20"/>
          <w:spacing w:val="-9"/>
        </w:rPr>
        <w:t> </w:t>
      </w:r>
      <w:r>
        <w:rPr>
          <w:rFonts w:ascii="Arial" w:hAnsi="Arial"/>
          <w:color w:val="231F20"/>
          <w:spacing w:val="-2"/>
        </w:rPr>
        <w:t>psychologie</w:t>
      </w:r>
      <w:r>
        <w:rPr>
          <w:rFonts w:ascii="Arial" w:hAnsi="Arial"/>
          <w:color w:val="231F20"/>
          <w:spacing w:val="-9"/>
        </w:rPr>
        <w:t> </w:t>
      </w:r>
      <w:r>
        <w:rPr>
          <w:rFonts w:ascii="Arial" w:hAnsi="Arial"/>
          <w:color w:val="231F20"/>
          <w:spacing w:val="-2"/>
        </w:rPr>
        <w:t>et</w:t>
      </w:r>
      <w:r>
        <w:rPr>
          <w:rFonts w:ascii="Arial" w:hAnsi="Arial"/>
          <w:color w:val="231F20"/>
          <w:spacing w:val="-9"/>
        </w:rPr>
        <w:t> </w:t>
      </w:r>
      <w:r>
        <w:rPr>
          <w:rFonts w:ascii="Arial" w:hAnsi="Arial"/>
          <w:color w:val="231F20"/>
          <w:spacing w:val="-2"/>
        </w:rPr>
        <w:t>en </w:t>
      </w:r>
      <w:r>
        <w:rPr>
          <w:rFonts w:ascii="Arial" w:hAnsi="Arial"/>
          <w:color w:val="231F20"/>
        </w:rPr>
        <w:t>gestion) qui ont assuré un rayonnement international à leurs travaux. Afin de mettre au point leurs consensus intellectuels et scientifiques, Simon</w:t>
      </w:r>
      <w:r>
        <w:rPr>
          <w:rFonts w:ascii="Arial" w:hAnsi="Arial"/>
          <w:color w:val="231F20"/>
          <w:spacing w:val="-10"/>
        </w:rPr>
        <w:t> </w:t>
      </w:r>
      <w:r>
        <w:rPr>
          <w:rFonts w:ascii="Arial" w:hAnsi="Arial"/>
          <w:color w:val="231F20"/>
        </w:rPr>
        <w:t>L.</w:t>
      </w:r>
      <w:r>
        <w:rPr>
          <w:rFonts w:ascii="Arial" w:hAnsi="Arial"/>
          <w:color w:val="231F20"/>
          <w:spacing w:val="-10"/>
        </w:rPr>
        <w:t> </w:t>
      </w:r>
      <w:r>
        <w:rPr>
          <w:rFonts w:ascii="Arial" w:hAnsi="Arial"/>
          <w:color w:val="231F20"/>
        </w:rPr>
        <w:t>Dolan</w:t>
      </w:r>
      <w:r>
        <w:rPr>
          <w:rFonts w:ascii="Arial" w:hAnsi="Arial"/>
          <w:color w:val="231F20"/>
          <w:spacing w:val="-10"/>
        </w:rPr>
        <w:t> </w:t>
      </w:r>
      <w:r>
        <w:rPr>
          <w:rFonts w:ascii="Arial" w:hAnsi="Arial"/>
          <w:color w:val="231F20"/>
        </w:rPr>
        <w:t>et</w:t>
      </w:r>
      <w:r>
        <w:rPr>
          <w:rFonts w:ascii="Arial" w:hAnsi="Arial"/>
          <w:color w:val="231F20"/>
          <w:spacing w:val="-10"/>
        </w:rPr>
        <w:t> </w:t>
      </w:r>
      <w:r>
        <w:rPr>
          <w:rFonts w:ascii="Arial" w:hAnsi="Arial"/>
          <w:color w:val="231F20"/>
        </w:rPr>
        <w:t>André</w:t>
      </w:r>
      <w:r>
        <w:rPr>
          <w:rFonts w:ascii="Arial" w:hAnsi="Arial"/>
          <w:color w:val="231F20"/>
          <w:spacing w:val="-10"/>
        </w:rPr>
        <w:t> </w:t>
      </w:r>
      <w:r>
        <w:rPr>
          <w:rFonts w:ascii="Arial" w:hAnsi="Arial"/>
          <w:color w:val="231F20"/>
        </w:rPr>
        <w:t>Arsenault</w:t>
      </w:r>
      <w:r>
        <w:rPr>
          <w:rFonts w:ascii="Arial" w:hAnsi="Arial"/>
          <w:color w:val="231F20"/>
          <w:spacing w:val="-10"/>
        </w:rPr>
        <w:t> </w:t>
      </w:r>
      <w:r>
        <w:rPr>
          <w:rFonts w:ascii="Arial" w:hAnsi="Arial"/>
          <w:color w:val="231F20"/>
        </w:rPr>
        <w:t>ont</w:t>
      </w:r>
      <w:r>
        <w:rPr>
          <w:rFonts w:ascii="Arial" w:hAnsi="Arial"/>
          <w:color w:val="231F20"/>
          <w:spacing w:val="-10"/>
        </w:rPr>
        <w:t> </w:t>
      </w:r>
      <w:r>
        <w:rPr>
          <w:rFonts w:ascii="Arial" w:hAnsi="Arial"/>
          <w:color w:val="231F20"/>
        </w:rPr>
        <w:t>publié</w:t>
      </w:r>
      <w:r>
        <w:rPr>
          <w:rFonts w:ascii="Arial" w:hAnsi="Arial"/>
          <w:color w:val="231F20"/>
          <w:spacing w:val="-10"/>
        </w:rPr>
        <w:t> </w:t>
      </w:r>
      <w:r>
        <w:rPr>
          <w:rFonts w:ascii="Arial" w:hAnsi="Arial"/>
          <w:color w:val="231F20"/>
        </w:rPr>
        <w:t>en</w:t>
      </w:r>
      <w:r>
        <w:rPr>
          <w:rFonts w:ascii="Arial" w:hAnsi="Arial"/>
          <w:color w:val="231F20"/>
          <w:spacing w:val="-10"/>
        </w:rPr>
        <w:t> </w:t>
      </w:r>
      <w:r>
        <w:rPr>
          <w:rFonts w:ascii="Arial" w:hAnsi="Arial"/>
          <w:color w:val="231F20"/>
        </w:rPr>
        <w:t>1980,</w:t>
      </w:r>
      <w:r>
        <w:rPr>
          <w:rFonts w:ascii="Arial" w:hAnsi="Arial"/>
          <w:color w:val="231F20"/>
          <w:spacing w:val="-10"/>
        </w:rPr>
        <w:t> </w:t>
      </w:r>
      <w:r>
        <w:rPr>
          <w:rFonts w:ascii="Arial" w:hAnsi="Arial"/>
          <w:color w:val="231F20"/>
        </w:rPr>
        <w:t>aux</w:t>
      </w:r>
      <w:r>
        <w:rPr>
          <w:rFonts w:ascii="Arial" w:hAnsi="Arial"/>
          <w:color w:val="231F20"/>
          <w:spacing w:val="-10"/>
        </w:rPr>
        <w:t> </w:t>
      </w:r>
      <w:r>
        <w:rPr>
          <w:rFonts w:ascii="Arial" w:hAnsi="Arial"/>
          <w:color w:val="231F20"/>
        </w:rPr>
        <w:t>Presses</w:t>
      </w:r>
      <w:r>
        <w:rPr>
          <w:rFonts w:ascii="Arial" w:hAnsi="Arial"/>
          <w:color w:val="231F20"/>
          <w:spacing w:val="-10"/>
        </w:rPr>
        <w:t> </w:t>
      </w:r>
      <w:r>
        <w:rPr>
          <w:rFonts w:ascii="Arial" w:hAnsi="Arial"/>
          <w:color w:val="231F20"/>
        </w:rPr>
        <w:t>de </w:t>
      </w:r>
      <w:r>
        <w:rPr>
          <w:rFonts w:ascii="Arial" w:hAnsi="Arial"/>
          <w:color w:val="231F20"/>
          <w:spacing w:val="-2"/>
        </w:rPr>
        <w:t>l’Université</w:t>
      </w:r>
      <w:r>
        <w:rPr>
          <w:rFonts w:ascii="Arial" w:hAnsi="Arial"/>
          <w:color w:val="231F20"/>
          <w:spacing w:val="-10"/>
        </w:rPr>
        <w:t> </w:t>
      </w:r>
      <w:r>
        <w:rPr>
          <w:rFonts w:ascii="Arial" w:hAnsi="Arial"/>
          <w:color w:val="231F20"/>
          <w:spacing w:val="-2"/>
        </w:rPr>
        <w:t>de</w:t>
      </w:r>
      <w:r>
        <w:rPr>
          <w:rFonts w:ascii="Arial" w:hAnsi="Arial"/>
          <w:color w:val="231F20"/>
          <w:spacing w:val="-10"/>
        </w:rPr>
        <w:t> </w:t>
      </w:r>
      <w:r>
        <w:rPr>
          <w:rFonts w:ascii="Arial" w:hAnsi="Arial"/>
          <w:color w:val="231F20"/>
          <w:spacing w:val="-2"/>
        </w:rPr>
        <w:t>Montréal,</w:t>
      </w:r>
      <w:r>
        <w:rPr>
          <w:rFonts w:ascii="Arial" w:hAnsi="Arial"/>
          <w:color w:val="231F20"/>
          <w:spacing w:val="-10"/>
        </w:rPr>
        <w:t> </w:t>
      </w:r>
      <w:r>
        <w:rPr>
          <w:rFonts w:ascii="Arial" w:hAnsi="Arial"/>
          <w:color w:val="231F20"/>
          <w:spacing w:val="-2"/>
        </w:rPr>
        <w:t>le</w:t>
      </w:r>
      <w:r>
        <w:rPr>
          <w:rFonts w:ascii="Arial" w:hAnsi="Arial"/>
          <w:color w:val="231F20"/>
          <w:spacing w:val="-10"/>
        </w:rPr>
        <w:t> </w:t>
      </w:r>
      <w:r>
        <w:rPr>
          <w:rFonts w:ascii="Arial" w:hAnsi="Arial"/>
          <w:color w:val="231F20"/>
          <w:spacing w:val="-2"/>
        </w:rPr>
        <w:t>livre</w:t>
      </w:r>
      <w:r>
        <w:rPr>
          <w:rFonts w:ascii="Arial" w:hAnsi="Arial"/>
          <w:color w:val="231F20"/>
          <w:spacing w:val="-10"/>
        </w:rPr>
        <w:t> </w:t>
      </w:r>
      <w:r>
        <w:rPr>
          <w:rFonts w:ascii="Arial" w:hAnsi="Arial"/>
          <w:i/>
          <w:color w:val="231F20"/>
          <w:spacing w:val="-2"/>
        </w:rPr>
        <w:t>Stress,</w:t>
      </w:r>
      <w:r>
        <w:rPr>
          <w:rFonts w:ascii="Arial" w:hAnsi="Arial"/>
          <w:i/>
          <w:color w:val="231F20"/>
          <w:spacing w:val="-9"/>
        </w:rPr>
        <w:t> </w:t>
      </w:r>
      <w:r>
        <w:rPr>
          <w:rFonts w:ascii="Arial" w:hAnsi="Arial"/>
          <w:i/>
          <w:color w:val="231F20"/>
          <w:spacing w:val="-2"/>
        </w:rPr>
        <w:t>santé</w:t>
      </w:r>
      <w:r>
        <w:rPr>
          <w:rFonts w:ascii="Arial" w:hAnsi="Arial"/>
          <w:i/>
          <w:color w:val="231F20"/>
          <w:spacing w:val="-10"/>
        </w:rPr>
        <w:t> </w:t>
      </w:r>
      <w:r>
        <w:rPr>
          <w:rFonts w:ascii="Arial" w:hAnsi="Arial"/>
          <w:i/>
          <w:color w:val="231F20"/>
          <w:spacing w:val="-2"/>
        </w:rPr>
        <w:t>et</w:t>
      </w:r>
      <w:r>
        <w:rPr>
          <w:rFonts w:ascii="Arial" w:hAnsi="Arial"/>
          <w:i/>
          <w:color w:val="231F20"/>
          <w:spacing w:val="-10"/>
        </w:rPr>
        <w:t> </w:t>
      </w:r>
      <w:r>
        <w:rPr>
          <w:rFonts w:ascii="Arial" w:hAnsi="Arial"/>
          <w:i/>
          <w:color w:val="231F20"/>
          <w:spacing w:val="-2"/>
        </w:rPr>
        <w:t>rendement</w:t>
      </w:r>
      <w:r>
        <w:rPr>
          <w:rFonts w:ascii="Arial" w:hAnsi="Arial"/>
          <w:i/>
          <w:color w:val="231F20"/>
          <w:spacing w:val="-10"/>
        </w:rPr>
        <w:t> </w:t>
      </w:r>
      <w:r>
        <w:rPr>
          <w:rFonts w:ascii="Arial" w:hAnsi="Arial"/>
          <w:i/>
          <w:color w:val="231F20"/>
          <w:spacing w:val="-2"/>
        </w:rPr>
        <w:t>au</w:t>
      </w:r>
      <w:r>
        <w:rPr>
          <w:rFonts w:ascii="Arial" w:hAnsi="Arial"/>
          <w:i/>
          <w:color w:val="231F20"/>
          <w:spacing w:val="-10"/>
        </w:rPr>
        <w:t> </w:t>
      </w:r>
      <w:r>
        <w:rPr>
          <w:rFonts w:ascii="Arial" w:hAnsi="Arial"/>
          <w:i/>
          <w:color w:val="231F20"/>
          <w:spacing w:val="-2"/>
        </w:rPr>
        <w:t>travail</w:t>
      </w:r>
      <w:r>
        <w:rPr>
          <w:rFonts w:ascii="Arial" w:hAnsi="Arial"/>
          <w:i/>
          <w:color w:val="231F20"/>
          <w:spacing w:val="-9"/>
        </w:rPr>
        <w:t> </w:t>
      </w:r>
      <w:r>
        <w:rPr>
          <w:rFonts w:ascii="Arial" w:hAnsi="Arial"/>
          <w:color w:val="231F20"/>
          <w:spacing w:val="-2"/>
        </w:rPr>
        <w:t>qui </w:t>
      </w:r>
      <w:r>
        <w:rPr>
          <w:rFonts w:ascii="Arial" w:hAnsi="Arial"/>
          <w:color w:val="231F20"/>
          <w:w w:val="95"/>
        </w:rPr>
        <w:t>est</w:t>
      </w:r>
      <w:r>
        <w:rPr>
          <w:rFonts w:ascii="Arial" w:hAnsi="Arial"/>
          <w:color w:val="231F20"/>
          <w:spacing w:val="-9"/>
          <w:w w:val="95"/>
        </w:rPr>
        <w:t> </w:t>
      </w:r>
      <w:r>
        <w:rPr>
          <w:rFonts w:ascii="Arial" w:hAnsi="Arial"/>
          <w:color w:val="231F20"/>
          <w:w w:val="95"/>
        </w:rPr>
        <w:t>devenu</w:t>
      </w:r>
      <w:r>
        <w:rPr>
          <w:rFonts w:ascii="Arial" w:hAnsi="Arial"/>
          <w:color w:val="231F20"/>
          <w:spacing w:val="-9"/>
          <w:w w:val="95"/>
        </w:rPr>
        <w:t> </w:t>
      </w:r>
      <w:r>
        <w:rPr>
          <w:rFonts w:ascii="Arial" w:hAnsi="Arial"/>
          <w:color w:val="231F20"/>
          <w:w w:val="95"/>
        </w:rPr>
        <w:t>un</w:t>
      </w:r>
      <w:r>
        <w:rPr>
          <w:rFonts w:ascii="Arial" w:hAnsi="Arial"/>
          <w:color w:val="231F20"/>
          <w:spacing w:val="-9"/>
          <w:w w:val="95"/>
        </w:rPr>
        <w:t> </w:t>
      </w:r>
      <w:r>
        <w:rPr>
          <w:rFonts w:ascii="Arial" w:hAnsi="Arial"/>
          <w:color w:val="231F20"/>
          <w:w w:val="95"/>
        </w:rPr>
        <w:t>succès</w:t>
      </w:r>
      <w:r>
        <w:rPr>
          <w:rFonts w:ascii="Arial" w:hAnsi="Arial"/>
          <w:color w:val="231F20"/>
          <w:spacing w:val="-9"/>
          <w:w w:val="95"/>
        </w:rPr>
        <w:t> </w:t>
      </w:r>
      <w:r>
        <w:rPr>
          <w:rFonts w:ascii="Arial" w:hAnsi="Arial"/>
          <w:color w:val="231F20"/>
          <w:w w:val="95"/>
        </w:rPr>
        <w:t>de</w:t>
      </w:r>
      <w:r>
        <w:rPr>
          <w:rFonts w:ascii="Arial" w:hAnsi="Arial"/>
          <w:color w:val="231F20"/>
          <w:spacing w:val="-9"/>
          <w:w w:val="95"/>
        </w:rPr>
        <w:t> </w:t>
      </w:r>
      <w:r>
        <w:rPr>
          <w:rFonts w:ascii="Arial" w:hAnsi="Arial"/>
          <w:color w:val="231F20"/>
          <w:w w:val="95"/>
        </w:rPr>
        <w:t>librairie</w:t>
      </w:r>
      <w:r>
        <w:rPr>
          <w:rFonts w:ascii="Arial" w:hAnsi="Arial"/>
          <w:color w:val="231F20"/>
          <w:spacing w:val="-9"/>
          <w:w w:val="95"/>
        </w:rPr>
        <w:t> </w:t>
      </w:r>
      <w:r>
        <w:rPr>
          <w:rFonts w:ascii="Arial" w:hAnsi="Arial"/>
          <w:color w:val="231F20"/>
          <w:w w:val="95"/>
        </w:rPr>
        <w:t>au</w:t>
      </w:r>
      <w:r>
        <w:rPr>
          <w:rFonts w:ascii="Arial" w:hAnsi="Arial"/>
          <w:color w:val="231F20"/>
          <w:spacing w:val="-9"/>
          <w:w w:val="95"/>
        </w:rPr>
        <w:t> </w:t>
      </w:r>
      <w:r>
        <w:rPr>
          <w:rFonts w:ascii="Arial" w:hAnsi="Arial"/>
          <w:color w:val="231F20"/>
          <w:w w:val="95"/>
        </w:rPr>
        <w:t>Canada</w:t>
      </w:r>
      <w:r>
        <w:rPr>
          <w:rFonts w:ascii="Arial" w:hAnsi="Arial"/>
          <w:color w:val="231F20"/>
          <w:spacing w:val="-9"/>
          <w:w w:val="95"/>
        </w:rPr>
        <w:t> </w:t>
      </w:r>
      <w:r>
        <w:rPr>
          <w:rFonts w:ascii="Arial" w:hAnsi="Arial"/>
          <w:color w:val="231F20"/>
          <w:w w:val="95"/>
        </w:rPr>
        <w:t>français.</w:t>
      </w:r>
      <w:r>
        <w:rPr>
          <w:rFonts w:ascii="Arial" w:hAnsi="Arial"/>
          <w:color w:val="231F20"/>
          <w:spacing w:val="-9"/>
          <w:w w:val="95"/>
        </w:rPr>
        <w:t> </w:t>
      </w:r>
      <w:r>
        <w:rPr>
          <w:rFonts w:ascii="Arial" w:hAnsi="Arial"/>
          <w:color w:val="231F20"/>
          <w:w w:val="95"/>
        </w:rPr>
        <w:t>Peu</w:t>
      </w:r>
      <w:r>
        <w:rPr>
          <w:rFonts w:ascii="Arial" w:hAnsi="Arial"/>
          <w:color w:val="231F20"/>
          <w:spacing w:val="-9"/>
          <w:w w:val="95"/>
        </w:rPr>
        <w:t> </w:t>
      </w:r>
      <w:r>
        <w:rPr>
          <w:rFonts w:ascii="Arial" w:hAnsi="Arial"/>
          <w:color w:val="231F20"/>
          <w:w w:val="95"/>
        </w:rPr>
        <w:t>de</w:t>
      </w:r>
      <w:r>
        <w:rPr>
          <w:rFonts w:ascii="Arial" w:hAnsi="Arial"/>
          <w:color w:val="231F20"/>
          <w:spacing w:val="-9"/>
          <w:w w:val="95"/>
        </w:rPr>
        <w:t> </w:t>
      </w:r>
      <w:r>
        <w:rPr>
          <w:rFonts w:ascii="Arial" w:hAnsi="Arial"/>
          <w:color w:val="231F20"/>
          <w:w w:val="95"/>
        </w:rPr>
        <w:t>temps</w:t>
      </w:r>
      <w:r>
        <w:rPr>
          <w:rFonts w:ascii="Arial" w:hAnsi="Arial"/>
          <w:color w:val="231F20"/>
          <w:spacing w:val="-9"/>
          <w:w w:val="95"/>
        </w:rPr>
        <w:t> </w:t>
      </w:r>
      <w:r>
        <w:rPr>
          <w:rFonts w:ascii="Arial" w:hAnsi="Arial"/>
          <w:color w:val="231F20"/>
          <w:w w:val="95"/>
        </w:rPr>
        <w:t>avant </w:t>
      </w:r>
      <w:r>
        <w:rPr>
          <w:rFonts w:ascii="Arial" w:hAnsi="Arial"/>
          <w:color w:val="231F20"/>
        </w:rPr>
        <w:t>la</w:t>
      </w:r>
      <w:r>
        <w:rPr>
          <w:rFonts w:ascii="Arial" w:hAnsi="Arial"/>
          <w:color w:val="231F20"/>
          <w:spacing w:val="-8"/>
        </w:rPr>
        <w:t> </w:t>
      </w:r>
      <w:r>
        <w:rPr>
          <w:rFonts w:ascii="Arial" w:hAnsi="Arial"/>
          <w:color w:val="231F20"/>
        </w:rPr>
        <w:t>publication</w:t>
      </w:r>
      <w:r>
        <w:rPr>
          <w:rFonts w:ascii="Arial" w:hAnsi="Arial"/>
          <w:color w:val="231F20"/>
          <w:spacing w:val="-8"/>
        </w:rPr>
        <w:t> </w:t>
      </w:r>
      <w:r>
        <w:rPr>
          <w:rFonts w:ascii="Arial" w:hAnsi="Arial"/>
          <w:color w:val="231F20"/>
        </w:rPr>
        <w:t>du</w:t>
      </w:r>
      <w:r>
        <w:rPr>
          <w:rFonts w:ascii="Arial" w:hAnsi="Arial"/>
          <w:color w:val="231F20"/>
          <w:spacing w:val="-8"/>
        </w:rPr>
        <w:t> </w:t>
      </w:r>
      <w:r>
        <w:rPr>
          <w:rFonts w:ascii="Arial" w:hAnsi="Arial"/>
          <w:color w:val="231F20"/>
        </w:rPr>
        <w:t>livre,</w:t>
      </w:r>
      <w:r>
        <w:rPr>
          <w:rFonts w:ascii="Arial" w:hAnsi="Arial"/>
          <w:color w:val="231F20"/>
          <w:spacing w:val="-8"/>
        </w:rPr>
        <w:t> </w:t>
      </w:r>
      <w:r>
        <w:rPr>
          <w:rFonts w:ascii="Arial" w:hAnsi="Arial"/>
          <w:color w:val="231F20"/>
        </w:rPr>
        <w:t>Selye</w:t>
      </w:r>
      <w:r>
        <w:rPr>
          <w:rFonts w:ascii="Arial" w:hAnsi="Arial"/>
          <w:color w:val="231F20"/>
          <w:spacing w:val="-8"/>
        </w:rPr>
        <w:t> </w:t>
      </w:r>
      <w:r>
        <w:rPr>
          <w:rFonts w:ascii="Arial" w:hAnsi="Arial"/>
          <w:color w:val="231F20"/>
        </w:rPr>
        <w:t>a</w:t>
      </w:r>
      <w:r>
        <w:rPr>
          <w:rFonts w:ascii="Arial" w:hAnsi="Arial"/>
          <w:color w:val="231F20"/>
          <w:spacing w:val="-8"/>
        </w:rPr>
        <w:t> </w:t>
      </w:r>
      <w:r>
        <w:rPr>
          <w:rFonts w:ascii="Arial" w:hAnsi="Arial"/>
          <w:color w:val="231F20"/>
        </w:rPr>
        <w:t>offert</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rédiger</w:t>
      </w:r>
      <w:r>
        <w:rPr>
          <w:rFonts w:ascii="Arial" w:hAnsi="Arial"/>
          <w:color w:val="231F20"/>
          <w:spacing w:val="-8"/>
        </w:rPr>
        <w:t> </w:t>
      </w:r>
      <w:r>
        <w:rPr>
          <w:rFonts w:ascii="Arial" w:hAnsi="Arial"/>
          <w:color w:val="231F20"/>
        </w:rPr>
        <w:t>la</w:t>
      </w:r>
      <w:r>
        <w:rPr>
          <w:rFonts w:ascii="Arial" w:hAnsi="Arial"/>
          <w:color w:val="231F20"/>
          <w:spacing w:val="-8"/>
        </w:rPr>
        <w:t> </w:t>
      </w:r>
      <w:r>
        <w:rPr>
          <w:rFonts w:ascii="Arial" w:hAnsi="Arial"/>
          <w:color w:val="231F20"/>
        </w:rPr>
        <w:t>préface</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l’ouvrage.</w:t>
      </w:r>
    </w:p>
    <w:p>
      <w:pPr>
        <w:pStyle w:val="BodyText"/>
        <w:rPr>
          <w:rFonts w:ascii="Arial"/>
          <w:sz w:val="24"/>
        </w:rPr>
      </w:pPr>
    </w:p>
    <w:p>
      <w:pPr>
        <w:pStyle w:val="BodyText"/>
        <w:spacing w:before="3"/>
        <w:rPr>
          <w:rFonts w:ascii="Arial"/>
          <w:sz w:val="19"/>
        </w:rPr>
      </w:pPr>
    </w:p>
    <w:p>
      <w:pPr>
        <w:pStyle w:val="BodyText"/>
        <w:spacing w:line="307" w:lineRule="auto"/>
        <w:ind w:left="899" w:right="105"/>
        <w:jc w:val="both"/>
      </w:pPr>
      <w:r>
        <w:rPr>
          <w:b/>
          <w:color w:val="231F20"/>
          <w:w w:val="110"/>
        </w:rPr>
        <w:t>Modèle</w:t>
      </w:r>
      <w:r>
        <w:rPr>
          <w:b/>
          <w:color w:val="231F20"/>
          <w:spacing w:val="-4"/>
          <w:w w:val="110"/>
        </w:rPr>
        <w:t> </w:t>
      </w:r>
      <w:r>
        <w:rPr>
          <w:b/>
          <w:color w:val="231F20"/>
          <w:w w:val="110"/>
        </w:rPr>
        <w:t>cognitivo-phénoménologique</w:t>
      </w:r>
      <w:r>
        <w:rPr>
          <w:b/>
          <w:color w:val="231F20"/>
          <w:spacing w:val="-4"/>
          <w:w w:val="110"/>
        </w:rPr>
        <w:t> </w:t>
      </w:r>
      <w:r>
        <w:rPr>
          <w:b/>
          <w:color w:val="231F20"/>
          <w:w w:val="110"/>
        </w:rPr>
        <w:t>de</w:t>
      </w:r>
      <w:r>
        <w:rPr>
          <w:b/>
          <w:color w:val="231F20"/>
          <w:spacing w:val="-4"/>
          <w:w w:val="110"/>
        </w:rPr>
        <w:t> </w:t>
      </w:r>
      <w:r>
        <w:rPr>
          <w:b/>
          <w:color w:val="231F20"/>
          <w:w w:val="110"/>
        </w:rPr>
        <w:t>Lazarus</w:t>
      </w:r>
      <w:r>
        <w:rPr>
          <w:b/>
          <w:color w:val="231F20"/>
          <w:spacing w:val="-4"/>
          <w:w w:val="110"/>
        </w:rPr>
        <w:t> </w:t>
      </w:r>
      <w:r>
        <w:rPr>
          <w:b/>
          <w:color w:val="231F20"/>
          <w:w w:val="110"/>
        </w:rPr>
        <w:t>et</w:t>
      </w:r>
      <w:r>
        <w:rPr>
          <w:b/>
          <w:color w:val="231F20"/>
          <w:spacing w:val="-5"/>
          <w:w w:val="110"/>
        </w:rPr>
        <w:t> </w:t>
      </w:r>
      <w:r>
        <w:rPr>
          <w:b/>
          <w:color w:val="231F20"/>
          <w:w w:val="110"/>
        </w:rPr>
        <w:t>Folkman </w:t>
      </w:r>
      <w:r>
        <w:rPr>
          <w:color w:val="231F20"/>
          <w:w w:val="110"/>
        </w:rPr>
        <w:t>–</w:t>
      </w:r>
      <w:r>
        <w:rPr>
          <w:color w:val="231F20"/>
          <w:spacing w:val="-1"/>
          <w:w w:val="110"/>
        </w:rPr>
        <w:t> </w:t>
      </w:r>
      <w:r>
        <w:rPr>
          <w:color w:val="231F20"/>
          <w:w w:val="110"/>
        </w:rPr>
        <w:t>Dans</w:t>
      </w:r>
      <w:r>
        <w:rPr>
          <w:color w:val="231F20"/>
          <w:spacing w:val="-1"/>
          <w:w w:val="110"/>
        </w:rPr>
        <w:t> </w:t>
      </w:r>
      <w:r>
        <w:rPr>
          <w:color w:val="231F20"/>
          <w:w w:val="110"/>
        </w:rPr>
        <w:t>leur </w:t>
      </w:r>
      <w:r>
        <w:rPr>
          <w:color w:val="231F20"/>
          <w:w w:val="120"/>
        </w:rPr>
        <w:t>proposition</w:t>
      </w:r>
      <w:r>
        <w:rPr>
          <w:color w:val="231F20"/>
          <w:spacing w:val="-13"/>
          <w:w w:val="120"/>
        </w:rPr>
        <w:t> </w:t>
      </w:r>
      <w:r>
        <w:rPr>
          <w:color w:val="231F20"/>
          <w:w w:val="120"/>
        </w:rPr>
        <w:t>initiale</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2"/>
          <w:w w:val="120"/>
        </w:rPr>
        <w:t> </w:t>
      </w:r>
      <w:r>
        <w:rPr>
          <w:color w:val="231F20"/>
          <w:w w:val="120"/>
        </w:rPr>
        <w:t>dynamique</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3"/>
          <w:w w:val="120"/>
        </w:rPr>
        <w:t> </w:t>
      </w:r>
      <w:r>
        <w:rPr>
          <w:color w:val="231F20"/>
          <w:w w:val="120"/>
        </w:rPr>
        <w:t>Lazarus</w:t>
      </w:r>
      <w:r>
        <w:rPr>
          <w:color w:val="231F20"/>
          <w:spacing w:val="-12"/>
          <w:w w:val="120"/>
        </w:rPr>
        <w:t> </w:t>
      </w:r>
      <w:r>
        <w:rPr>
          <w:color w:val="231F20"/>
          <w:w w:val="120"/>
        </w:rPr>
        <w:t>et</w:t>
      </w:r>
      <w:r>
        <w:rPr>
          <w:color w:val="231F20"/>
          <w:spacing w:val="-13"/>
          <w:w w:val="120"/>
        </w:rPr>
        <w:t> </w:t>
      </w:r>
      <w:r>
        <w:rPr>
          <w:color w:val="231F20"/>
          <w:w w:val="120"/>
        </w:rPr>
        <w:t>Folkman9</w:t>
      </w:r>
      <w:r>
        <w:rPr>
          <w:color w:val="231F20"/>
          <w:spacing w:val="-13"/>
          <w:w w:val="120"/>
        </w:rPr>
        <w:t> </w:t>
      </w:r>
      <w:r>
        <w:rPr>
          <w:color w:val="231F20"/>
          <w:w w:val="120"/>
        </w:rPr>
        <w:t>ont établi</w:t>
      </w:r>
      <w:r>
        <w:rPr>
          <w:color w:val="231F20"/>
          <w:spacing w:val="-12"/>
          <w:w w:val="120"/>
        </w:rPr>
        <w:t> </w:t>
      </w:r>
      <w:r>
        <w:rPr>
          <w:color w:val="231F20"/>
          <w:w w:val="120"/>
        </w:rPr>
        <w:t>une</w:t>
      </w:r>
      <w:r>
        <w:rPr>
          <w:color w:val="231F20"/>
          <w:spacing w:val="-12"/>
          <w:w w:val="120"/>
        </w:rPr>
        <w:t> </w:t>
      </w:r>
      <w:r>
        <w:rPr>
          <w:color w:val="231F20"/>
          <w:w w:val="120"/>
        </w:rPr>
        <w:t>distinction</w:t>
      </w:r>
      <w:r>
        <w:rPr>
          <w:color w:val="231F20"/>
          <w:spacing w:val="-12"/>
          <w:w w:val="120"/>
        </w:rPr>
        <w:t> </w:t>
      </w:r>
      <w:r>
        <w:rPr>
          <w:color w:val="231F20"/>
          <w:w w:val="120"/>
        </w:rPr>
        <w:t>claire</w:t>
      </w:r>
      <w:r>
        <w:rPr>
          <w:color w:val="231F20"/>
          <w:spacing w:val="-12"/>
          <w:w w:val="120"/>
        </w:rPr>
        <w:t> </w:t>
      </w:r>
      <w:r>
        <w:rPr>
          <w:color w:val="231F20"/>
          <w:w w:val="120"/>
        </w:rPr>
        <w:t>entre</w:t>
      </w:r>
      <w:r>
        <w:rPr>
          <w:color w:val="231F20"/>
          <w:spacing w:val="-12"/>
          <w:w w:val="120"/>
        </w:rPr>
        <w:t> </w:t>
      </w:r>
      <w:r>
        <w:rPr>
          <w:color w:val="231F20"/>
          <w:w w:val="120"/>
        </w:rPr>
        <w:t>le</w:t>
      </w:r>
      <w:r>
        <w:rPr>
          <w:color w:val="231F20"/>
          <w:spacing w:val="-12"/>
          <w:w w:val="120"/>
        </w:rPr>
        <w:t> </w:t>
      </w:r>
      <w:r>
        <w:rPr>
          <w:color w:val="231F20"/>
          <w:w w:val="120"/>
        </w:rPr>
        <w:t>stresseur,</w:t>
      </w:r>
      <w:r>
        <w:rPr>
          <w:color w:val="231F20"/>
          <w:spacing w:val="-12"/>
          <w:w w:val="120"/>
        </w:rPr>
        <w:t> </w:t>
      </w:r>
      <w:r>
        <w:rPr>
          <w:color w:val="231F20"/>
          <w:w w:val="120"/>
        </w:rPr>
        <w:t>soit</w:t>
      </w:r>
      <w:r>
        <w:rPr>
          <w:color w:val="231F20"/>
          <w:spacing w:val="-12"/>
          <w:w w:val="120"/>
        </w:rPr>
        <w:t> </w:t>
      </w:r>
      <w:r>
        <w:rPr>
          <w:color w:val="231F20"/>
          <w:w w:val="120"/>
        </w:rPr>
        <w:t>la</w:t>
      </w:r>
      <w:r>
        <w:rPr>
          <w:color w:val="231F20"/>
          <w:spacing w:val="-12"/>
          <w:w w:val="120"/>
        </w:rPr>
        <w:t> </w:t>
      </w:r>
      <w:r>
        <w:rPr>
          <w:color w:val="231F20"/>
          <w:w w:val="120"/>
        </w:rPr>
        <w:t>force</w:t>
      </w:r>
      <w:r>
        <w:rPr>
          <w:color w:val="231F20"/>
          <w:spacing w:val="-12"/>
          <w:w w:val="120"/>
        </w:rPr>
        <w:t> </w:t>
      </w:r>
      <w:r>
        <w:rPr>
          <w:color w:val="231F20"/>
          <w:w w:val="120"/>
        </w:rPr>
        <w:t>appliquée</w:t>
      </w:r>
      <w:r>
        <w:rPr>
          <w:color w:val="231F20"/>
          <w:spacing w:val="-12"/>
          <w:w w:val="120"/>
        </w:rPr>
        <w:t> </w:t>
      </w:r>
      <w:r>
        <w:rPr>
          <w:color w:val="231F20"/>
          <w:w w:val="120"/>
        </w:rPr>
        <w:t>sur </w:t>
      </w:r>
      <w:r>
        <w:rPr>
          <w:color w:val="231F20"/>
          <w:spacing w:val="-2"/>
          <w:w w:val="120"/>
        </w:rPr>
        <w:t>l’organisme,</w:t>
      </w:r>
      <w:r>
        <w:rPr>
          <w:color w:val="231F20"/>
          <w:spacing w:val="-5"/>
          <w:w w:val="120"/>
        </w:rPr>
        <w:t> </w:t>
      </w:r>
      <w:r>
        <w:rPr>
          <w:color w:val="231F20"/>
          <w:spacing w:val="-2"/>
          <w:w w:val="120"/>
        </w:rPr>
        <w:t>et</w:t>
      </w:r>
      <w:r>
        <w:rPr>
          <w:color w:val="231F20"/>
          <w:spacing w:val="-5"/>
          <w:w w:val="120"/>
        </w:rPr>
        <w:t> </w:t>
      </w:r>
      <w:r>
        <w:rPr>
          <w:color w:val="231F20"/>
          <w:spacing w:val="-2"/>
          <w:w w:val="120"/>
        </w:rPr>
        <w:t>la</w:t>
      </w:r>
      <w:r>
        <w:rPr>
          <w:color w:val="231F20"/>
          <w:spacing w:val="-5"/>
          <w:w w:val="120"/>
        </w:rPr>
        <w:t> </w:t>
      </w:r>
      <w:r>
        <w:rPr>
          <w:color w:val="231F20"/>
          <w:spacing w:val="-2"/>
          <w:w w:val="120"/>
        </w:rPr>
        <w:t>tension,</w:t>
      </w:r>
      <w:r>
        <w:rPr>
          <w:color w:val="231F20"/>
          <w:spacing w:val="-5"/>
          <w:w w:val="120"/>
        </w:rPr>
        <w:t> </w:t>
      </w:r>
      <w:r>
        <w:rPr>
          <w:color w:val="231F20"/>
          <w:spacing w:val="-2"/>
          <w:w w:val="120"/>
        </w:rPr>
        <w:t>soit</w:t>
      </w:r>
      <w:r>
        <w:rPr>
          <w:color w:val="231F20"/>
          <w:spacing w:val="-5"/>
          <w:w w:val="120"/>
        </w:rPr>
        <w:t> </w:t>
      </w:r>
      <w:r>
        <w:rPr>
          <w:color w:val="231F20"/>
          <w:spacing w:val="-2"/>
          <w:w w:val="120"/>
        </w:rPr>
        <w:t>les</w:t>
      </w:r>
      <w:r>
        <w:rPr>
          <w:color w:val="231F20"/>
          <w:spacing w:val="-5"/>
          <w:w w:val="120"/>
        </w:rPr>
        <w:t> </w:t>
      </w:r>
      <w:r>
        <w:rPr>
          <w:color w:val="231F20"/>
          <w:spacing w:val="-2"/>
          <w:w w:val="120"/>
        </w:rPr>
        <w:t>conséquences</w:t>
      </w:r>
      <w:r>
        <w:rPr>
          <w:color w:val="231F20"/>
          <w:spacing w:val="-5"/>
          <w:w w:val="120"/>
        </w:rPr>
        <w:t> </w:t>
      </w:r>
      <w:r>
        <w:rPr>
          <w:color w:val="231F20"/>
          <w:spacing w:val="-2"/>
          <w:w w:val="120"/>
        </w:rPr>
        <w:t>résultant</w:t>
      </w:r>
      <w:r>
        <w:rPr>
          <w:color w:val="231F20"/>
          <w:spacing w:val="-5"/>
          <w:w w:val="120"/>
        </w:rPr>
        <w:t> </w:t>
      </w:r>
      <w:r>
        <w:rPr>
          <w:color w:val="231F20"/>
          <w:spacing w:val="-2"/>
          <w:w w:val="120"/>
        </w:rPr>
        <w:t>de</w:t>
      </w:r>
      <w:r>
        <w:rPr>
          <w:color w:val="231F20"/>
          <w:spacing w:val="-5"/>
          <w:w w:val="120"/>
        </w:rPr>
        <w:t> </w:t>
      </w:r>
      <w:r>
        <w:rPr>
          <w:color w:val="231F20"/>
          <w:spacing w:val="-2"/>
          <w:w w:val="120"/>
        </w:rPr>
        <w:t>la</w:t>
      </w:r>
      <w:r>
        <w:rPr>
          <w:color w:val="231F20"/>
          <w:spacing w:val="-5"/>
          <w:w w:val="120"/>
        </w:rPr>
        <w:t> </w:t>
      </w:r>
      <w:r>
        <w:rPr>
          <w:color w:val="231F20"/>
          <w:spacing w:val="-2"/>
          <w:w w:val="120"/>
        </w:rPr>
        <w:t>demande </w:t>
      </w:r>
      <w:r>
        <w:rPr>
          <w:color w:val="231F20"/>
          <w:w w:val="120"/>
        </w:rPr>
        <w:t>adaptative</w:t>
      </w:r>
      <w:r>
        <w:rPr>
          <w:color w:val="231F20"/>
          <w:spacing w:val="-3"/>
          <w:w w:val="120"/>
        </w:rPr>
        <w:t> </w:t>
      </w:r>
      <w:r>
        <w:rPr>
          <w:color w:val="231F20"/>
          <w:w w:val="120"/>
        </w:rPr>
        <w:t>générée</w:t>
      </w:r>
      <w:r>
        <w:rPr>
          <w:color w:val="231F20"/>
          <w:spacing w:val="-3"/>
          <w:w w:val="120"/>
        </w:rPr>
        <w:t> </w:t>
      </w:r>
      <w:r>
        <w:rPr>
          <w:color w:val="231F20"/>
          <w:w w:val="120"/>
        </w:rPr>
        <w:t>par</w:t>
      </w:r>
      <w:r>
        <w:rPr>
          <w:color w:val="231F20"/>
          <w:spacing w:val="-3"/>
          <w:w w:val="120"/>
        </w:rPr>
        <w:t> </w:t>
      </w:r>
      <w:r>
        <w:rPr>
          <w:color w:val="231F20"/>
          <w:w w:val="120"/>
        </w:rPr>
        <w:t>cette</w:t>
      </w:r>
      <w:r>
        <w:rPr>
          <w:color w:val="231F20"/>
          <w:spacing w:val="-3"/>
          <w:w w:val="120"/>
        </w:rPr>
        <w:t> </w:t>
      </w:r>
      <w:r>
        <w:rPr>
          <w:color w:val="231F20"/>
          <w:w w:val="120"/>
        </w:rPr>
        <w:t>force.</w:t>
      </w:r>
      <w:r>
        <w:rPr>
          <w:color w:val="231F20"/>
          <w:spacing w:val="-3"/>
          <w:w w:val="120"/>
        </w:rPr>
        <w:t> </w:t>
      </w:r>
      <w:r>
        <w:rPr>
          <w:color w:val="231F20"/>
          <w:w w:val="120"/>
        </w:rPr>
        <w:t>Ce</w:t>
      </w:r>
      <w:r>
        <w:rPr>
          <w:color w:val="231F20"/>
          <w:spacing w:val="-3"/>
          <w:w w:val="120"/>
        </w:rPr>
        <w:t> </w:t>
      </w:r>
      <w:r>
        <w:rPr>
          <w:color w:val="231F20"/>
          <w:w w:val="120"/>
        </w:rPr>
        <w:t>modèle</w:t>
      </w:r>
      <w:r>
        <w:rPr>
          <w:color w:val="231F20"/>
          <w:spacing w:val="-3"/>
          <w:w w:val="120"/>
        </w:rPr>
        <w:t> </w:t>
      </w:r>
      <w:r>
        <w:rPr>
          <w:color w:val="231F20"/>
          <w:w w:val="120"/>
        </w:rPr>
        <w:t>décrit</w:t>
      </w:r>
      <w:r>
        <w:rPr>
          <w:color w:val="231F20"/>
          <w:spacing w:val="-3"/>
          <w:w w:val="120"/>
        </w:rPr>
        <w:t> </w:t>
      </w:r>
      <w:r>
        <w:rPr>
          <w:color w:val="231F20"/>
          <w:w w:val="120"/>
        </w:rPr>
        <w:t>l’interaction</w:t>
      </w:r>
      <w:r>
        <w:rPr>
          <w:color w:val="231F20"/>
          <w:spacing w:val="-3"/>
          <w:w w:val="120"/>
        </w:rPr>
        <w:t> </w:t>
      </w:r>
      <w:r>
        <w:rPr>
          <w:color w:val="231F20"/>
          <w:w w:val="120"/>
        </w:rPr>
        <w:t>entre l’individu et son environnement, considérée comme un générateur de symptômes,</w:t>
      </w:r>
      <w:r>
        <w:rPr>
          <w:color w:val="231F20"/>
          <w:spacing w:val="-8"/>
          <w:w w:val="120"/>
        </w:rPr>
        <w:t> </w:t>
      </w:r>
      <w:r>
        <w:rPr>
          <w:color w:val="231F20"/>
          <w:w w:val="120"/>
        </w:rPr>
        <w:t>et</w:t>
      </w:r>
      <w:r>
        <w:rPr>
          <w:color w:val="231F20"/>
          <w:spacing w:val="-8"/>
          <w:w w:val="120"/>
        </w:rPr>
        <w:t> </w:t>
      </w:r>
      <w:r>
        <w:rPr>
          <w:color w:val="231F20"/>
          <w:w w:val="120"/>
        </w:rPr>
        <w:t>insiste</w:t>
      </w:r>
      <w:r>
        <w:rPr>
          <w:color w:val="231F20"/>
          <w:spacing w:val="-8"/>
          <w:w w:val="120"/>
        </w:rPr>
        <w:t> </w:t>
      </w:r>
      <w:r>
        <w:rPr>
          <w:color w:val="231F20"/>
          <w:w w:val="120"/>
        </w:rPr>
        <w:t>sur</w:t>
      </w:r>
      <w:r>
        <w:rPr>
          <w:color w:val="231F20"/>
          <w:spacing w:val="-8"/>
          <w:w w:val="120"/>
        </w:rPr>
        <w:t> </w:t>
      </w:r>
      <w:r>
        <w:rPr>
          <w:color w:val="231F20"/>
          <w:w w:val="120"/>
        </w:rPr>
        <w:t>l’importance</w:t>
      </w:r>
      <w:r>
        <w:rPr>
          <w:color w:val="231F20"/>
          <w:spacing w:val="-8"/>
          <w:w w:val="120"/>
        </w:rPr>
        <w:t> </w:t>
      </w:r>
      <w:r>
        <w:rPr>
          <w:color w:val="231F20"/>
          <w:w w:val="120"/>
        </w:rPr>
        <w:t>de</w:t>
      </w:r>
      <w:r>
        <w:rPr>
          <w:color w:val="231F20"/>
          <w:spacing w:val="-8"/>
          <w:w w:val="120"/>
        </w:rPr>
        <w:t> </w:t>
      </w:r>
      <w:r>
        <w:rPr>
          <w:color w:val="231F20"/>
          <w:w w:val="120"/>
        </w:rPr>
        <w:t>l’activité</w:t>
      </w:r>
      <w:r>
        <w:rPr>
          <w:color w:val="231F20"/>
          <w:spacing w:val="-8"/>
          <w:w w:val="120"/>
        </w:rPr>
        <w:t> </w:t>
      </w:r>
      <w:r>
        <w:rPr>
          <w:color w:val="231F20"/>
          <w:w w:val="120"/>
        </w:rPr>
        <w:t>cognitive</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per- </w:t>
      </w:r>
      <w:r>
        <w:rPr>
          <w:color w:val="231F20"/>
          <w:spacing w:val="-4"/>
          <w:w w:val="120"/>
        </w:rPr>
        <w:t>sonne dans le déclenchement du processus adaptatif, c’est-à-dire de l’état </w:t>
      </w:r>
      <w:r>
        <w:rPr>
          <w:color w:val="231F20"/>
          <w:w w:val="120"/>
        </w:rPr>
        <w:t>de</w:t>
      </w:r>
      <w:r>
        <w:rPr>
          <w:color w:val="231F20"/>
          <w:spacing w:val="-13"/>
          <w:w w:val="120"/>
        </w:rPr>
        <w:t> </w:t>
      </w:r>
      <w:r>
        <w:rPr>
          <w:color w:val="231F20"/>
          <w:w w:val="120"/>
        </w:rPr>
        <w:t>stress.</w:t>
      </w:r>
      <w:r>
        <w:rPr>
          <w:color w:val="231F20"/>
          <w:spacing w:val="-13"/>
          <w:w w:val="120"/>
        </w:rPr>
        <w:t> </w:t>
      </w:r>
      <w:r>
        <w:rPr>
          <w:color w:val="231F20"/>
          <w:w w:val="120"/>
        </w:rPr>
        <w:t>Cette</w:t>
      </w:r>
      <w:r>
        <w:rPr>
          <w:color w:val="231F20"/>
          <w:spacing w:val="-13"/>
          <w:w w:val="120"/>
        </w:rPr>
        <w:t> </w:t>
      </w:r>
      <w:r>
        <w:rPr>
          <w:color w:val="231F20"/>
          <w:w w:val="120"/>
        </w:rPr>
        <w:t>approche</w:t>
      </w:r>
      <w:r>
        <w:rPr>
          <w:color w:val="231F20"/>
          <w:spacing w:val="-12"/>
          <w:w w:val="120"/>
        </w:rPr>
        <w:t> </w:t>
      </w:r>
      <w:r>
        <w:rPr>
          <w:color w:val="231F20"/>
          <w:w w:val="120"/>
        </w:rPr>
        <w:t>cognitivo-phénoménologique</w:t>
      </w:r>
      <w:r>
        <w:rPr>
          <w:color w:val="231F20"/>
          <w:spacing w:val="-13"/>
          <w:w w:val="120"/>
        </w:rPr>
        <w:t> </w:t>
      </w:r>
      <w:r>
        <w:rPr>
          <w:color w:val="231F20"/>
          <w:w w:val="120"/>
        </w:rPr>
        <w:t>met</w:t>
      </w:r>
      <w:r>
        <w:rPr>
          <w:color w:val="231F20"/>
          <w:spacing w:val="-13"/>
          <w:w w:val="120"/>
        </w:rPr>
        <w:t> </w:t>
      </w:r>
      <w:r>
        <w:rPr>
          <w:color w:val="231F20"/>
          <w:w w:val="120"/>
        </w:rPr>
        <w:t>l’accent</w:t>
      </w:r>
      <w:r>
        <w:rPr>
          <w:color w:val="231F20"/>
          <w:spacing w:val="-13"/>
          <w:w w:val="120"/>
        </w:rPr>
        <w:t> </w:t>
      </w:r>
      <w:r>
        <w:rPr>
          <w:color w:val="231F20"/>
          <w:w w:val="120"/>
        </w:rPr>
        <w:t>sur </w:t>
      </w:r>
      <w:r>
        <w:rPr>
          <w:color w:val="231F20"/>
          <w:w w:val="115"/>
        </w:rPr>
        <w:t>le</w:t>
      </w:r>
      <w:r>
        <w:rPr>
          <w:color w:val="231F20"/>
          <w:spacing w:val="-8"/>
          <w:w w:val="115"/>
        </w:rPr>
        <w:t> </w:t>
      </w:r>
      <w:r>
        <w:rPr>
          <w:color w:val="231F20"/>
          <w:w w:val="115"/>
        </w:rPr>
        <w:t>processus</w:t>
      </w:r>
      <w:r>
        <w:rPr>
          <w:color w:val="231F20"/>
          <w:spacing w:val="-8"/>
          <w:w w:val="115"/>
        </w:rPr>
        <w:t> </w:t>
      </w:r>
      <w:r>
        <w:rPr>
          <w:color w:val="231F20"/>
          <w:w w:val="115"/>
        </w:rPr>
        <w:t>psychologique</w:t>
      </w:r>
      <w:r>
        <w:rPr>
          <w:color w:val="231F20"/>
          <w:spacing w:val="-8"/>
          <w:w w:val="115"/>
        </w:rPr>
        <w:t> </w:t>
      </w:r>
      <w:r>
        <w:rPr>
          <w:color w:val="231F20"/>
          <w:w w:val="115"/>
        </w:rPr>
        <w:t>et</w:t>
      </w:r>
      <w:r>
        <w:rPr>
          <w:color w:val="231F20"/>
          <w:spacing w:val="-8"/>
          <w:w w:val="115"/>
        </w:rPr>
        <w:t> </w:t>
      </w:r>
      <w:r>
        <w:rPr>
          <w:color w:val="231F20"/>
          <w:w w:val="115"/>
        </w:rPr>
        <w:t>la</w:t>
      </w:r>
      <w:r>
        <w:rPr>
          <w:color w:val="231F20"/>
          <w:spacing w:val="-8"/>
          <w:w w:val="115"/>
        </w:rPr>
        <w:t> </w:t>
      </w:r>
      <w:r>
        <w:rPr>
          <w:color w:val="231F20"/>
          <w:w w:val="115"/>
        </w:rPr>
        <w:t>mécanique</w:t>
      </w:r>
      <w:r>
        <w:rPr>
          <w:color w:val="231F20"/>
          <w:spacing w:val="-8"/>
          <w:w w:val="115"/>
        </w:rPr>
        <w:t> </w:t>
      </w:r>
      <w:r>
        <w:rPr>
          <w:color w:val="231F20"/>
          <w:w w:val="115"/>
        </w:rPr>
        <w:t>qui</w:t>
      </w:r>
      <w:r>
        <w:rPr>
          <w:color w:val="231F20"/>
          <w:spacing w:val="-8"/>
          <w:w w:val="115"/>
        </w:rPr>
        <w:t> </w:t>
      </w:r>
      <w:r>
        <w:rPr>
          <w:color w:val="231F20"/>
          <w:w w:val="115"/>
        </w:rPr>
        <w:t>sous-tend</w:t>
      </w:r>
      <w:r>
        <w:rPr>
          <w:color w:val="231F20"/>
          <w:spacing w:val="-8"/>
          <w:w w:val="115"/>
        </w:rPr>
        <w:t> </w:t>
      </w:r>
      <w:r>
        <w:rPr>
          <w:color w:val="231F20"/>
          <w:w w:val="115"/>
        </w:rPr>
        <w:t>l’émission</w:t>
      </w:r>
      <w:r>
        <w:rPr>
          <w:color w:val="231F20"/>
          <w:spacing w:val="-8"/>
          <w:w w:val="115"/>
        </w:rPr>
        <w:t> </w:t>
      </w:r>
      <w:r>
        <w:rPr>
          <w:color w:val="231F20"/>
          <w:w w:val="115"/>
        </w:rPr>
        <w:t>d’un </w:t>
      </w:r>
      <w:r>
        <w:rPr>
          <w:color w:val="231F20"/>
          <w:w w:val="120"/>
        </w:rPr>
        <w:t>jugement</w:t>
      </w:r>
      <w:r>
        <w:rPr>
          <w:color w:val="231F20"/>
          <w:spacing w:val="-9"/>
          <w:w w:val="120"/>
        </w:rPr>
        <w:t> </w:t>
      </w:r>
      <w:r>
        <w:rPr>
          <w:color w:val="231F20"/>
          <w:w w:val="120"/>
        </w:rPr>
        <w:t>dans</w:t>
      </w:r>
      <w:r>
        <w:rPr>
          <w:color w:val="231F20"/>
          <w:spacing w:val="-9"/>
          <w:w w:val="120"/>
        </w:rPr>
        <w:t> </w:t>
      </w:r>
      <w:r>
        <w:rPr>
          <w:color w:val="231F20"/>
          <w:w w:val="120"/>
        </w:rPr>
        <w:t>le</w:t>
      </w:r>
      <w:r>
        <w:rPr>
          <w:color w:val="231F20"/>
          <w:spacing w:val="-9"/>
          <w:w w:val="120"/>
        </w:rPr>
        <w:t> </w:t>
      </w:r>
      <w:r>
        <w:rPr>
          <w:color w:val="231F20"/>
          <w:w w:val="120"/>
        </w:rPr>
        <w:t>cadre</w:t>
      </w:r>
      <w:r>
        <w:rPr>
          <w:color w:val="231F20"/>
          <w:spacing w:val="-9"/>
          <w:w w:val="120"/>
        </w:rPr>
        <w:t> </w:t>
      </w:r>
      <w:r>
        <w:rPr>
          <w:color w:val="231F20"/>
          <w:w w:val="120"/>
        </w:rPr>
        <w:t>de</w:t>
      </w:r>
      <w:r>
        <w:rPr>
          <w:color w:val="231F20"/>
          <w:spacing w:val="-9"/>
          <w:w w:val="120"/>
        </w:rPr>
        <w:t> </w:t>
      </w:r>
      <w:r>
        <w:rPr>
          <w:color w:val="231F20"/>
          <w:w w:val="120"/>
        </w:rPr>
        <w:t>l’interprétation</w:t>
      </w:r>
      <w:r>
        <w:rPr>
          <w:color w:val="231F20"/>
          <w:spacing w:val="-9"/>
          <w:w w:val="120"/>
        </w:rPr>
        <w:t> </w:t>
      </w:r>
      <w:r>
        <w:rPr>
          <w:color w:val="231F20"/>
          <w:w w:val="120"/>
        </w:rPr>
        <w:t>subjective</w:t>
      </w:r>
      <w:r>
        <w:rPr>
          <w:color w:val="231F20"/>
          <w:spacing w:val="-9"/>
          <w:w w:val="120"/>
        </w:rPr>
        <w:t> </w:t>
      </w:r>
      <w:r>
        <w:rPr>
          <w:color w:val="231F20"/>
          <w:w w:val="120"/>
        </w:rPr>
        <w:t>que</w:t>
      </w:r>
      <w:r>
        <w:rPr>
          <w:color w:val="231F20"/>
          <w:spacing w:val="-9"/>
          <w:w w:val="120"/>
        </w:rPr>
        <w:t> </w:t>
      </w:r>
      <w:r>
        <w:rPr>
          <w:color w:val="231F20"/>
          <w:w w:val="120"/>
        </w:rPr>
        <w:t>fait</w:t>
      </w:r>
      <w:r>
        <w:rPr>
          <w:color w:val="231F20"/>
          <w:spacing w:val="-9"/>
          <w:w w:val="120"/>
        </w:rPr>
        <w:t> </w:t>
      </w:r>
      <w:r>
        <w:rPr>
          <w:color w:val="231F20"/>
          <w:w w:val="120"/>
        </w:rPr>
        <w:t>l’individu de</w:t>
      </w:r>
      <w:r>
        <w:rPr>
          <w:color w:val="231F20"/>
          <w:spacing w:val="19"/>
          <w:w w:val="120"/>
        </w:rPr>
        <w:t> </w:t>
      </w:r>
      <w:r>
        <w:rPr>
          <w:color w:val="231F20"/>
          <w:w w:val="120"/>
        </w:rPr>
        <w:t>son</w:t>
      </w:r>
      <w:r>
        <w:rPr>
          <w:color w:val="231F20"/>
          <w:spacing w:val="18"/>
          <w:w w:val="120"/>
        </w:rPr>
        <w:t> </w:t>
      </w:r>
      <w:r>
        <w:rPr>
          <w:color w:val="231F20"/>
          <w:w w:val="120"/>
        </w:rPr>
        <w:t>environnement.</w:t>
      </w:r>
      <w:r>
        <w:rPr>
          <w:color w:val="231F20"/>
          <w:spacing w:val="18"/>
          <w:w w:val="120"/>
        </w:rPr>
        <w:t> </w:t>
      </w:r>
      <w:r>
        <w:rPr>
          <w:color w:val="231F20"/>
          <w:w w:val="120"/>
        </w:rPr>
        <w:t>En</w:t>
      </w:r>
      <w:r>
        <w:rPr>
          <w:color w:val="231F20"/>
          <w:spacing w:val="20"/>
          <w:w w:val="120"/>
        </w:rPr>
        <w:t> </w:t>
      </w:r>
      <w:r>
        <w:rPr>
          <w:color w:val="231F20"/>
          <w:w w:val="120"/>
        </w:rPr>
        <w:t>ce</w:t>
      </w:r>
      <w:r>
        <w:rPr>
          <w:color w:val="231F20"/>
          <w:spacing w:val="19"/>
          <w:w w:val="120"/>
        </w:rPr>
        <w:t> </w:t>
      </w:r>
      <w:r>
        <w:rPr>
          <w:color w:val="231F20"/>
          <w:w w:val="120"/>
        </w:rPr>
        <w:t>sens,</w:t>
      </w:r>
      <w:r>
        <w:rPr>
          <w:color w:val="231F20"/>
          <w:spacing w:val="19"/>
          <w:w w:val="120"/>
        </w:rPr>
        <w:t> </w:t>
      </w:r>
      <w:r>
        <w:rPr>
          <w:color w:val="231F20"/>
          <w:w w:val="120"/>
        </w:rPr>
        <w:t>cette</w:t>
      </w:r>
      <w:r>
        <w:rPr>
          <w:color w:val="231F20"/>
          <w:spacing w:val="19"/>
          <w:w w:val="120"/>
        </w:rPr>
        <w:t> </w:t>
      </w:r>
      <w:r>
        <w:rPr>
          <w:color w:val="231F20"/>
          <w:w w:val="120"/>
        </w:rPr>
        <w:t>interprétation</w:t>
      </w:r>
      <w:r>
        <w:rPr>
          <w:color w:val="231F20"/>
          <w:spacing w:val="18"/>
          <w:w w:val="120"/>
        </w:rPr>
        <w:t> </w:t>
      </w:r>
      <w:r>
        <w:rPr>
          <w:color w:val="231F20"/>
          <w:w w:val="120"/>
        </w:rPr>
        <w:t>subjective</w:t>
      </w:r>
      <w:r>
        <w:rPr>
          <w:color w:val="231F20"/>
          <w:spacing w:val="20"/>
          <w:w w:val="120"/>
        </w:rPr>
        <w:t> </w:t>
      </w:r>
      <w:r>
        <w:rPr>
          <w:color w:val="231F20"/>
          <w:spacing w:val="-5"/>
          <w:w w:val="120"/>
        </w:rPr>
        <w:t>de</w:t>
      </w:r>
    </w:p>
    <w:p>
      <w:pPr>
        <w:pStyle w:val="BodyText"/>
        <w:rPr>
          <w:sz w:val="20"/>
        </w:rPr>
      </w:pPr>
    </w:p>
    <w:p>
      <w:pPr>
        <w:pStyle w:val="BodyText"/>
        <w:rPr>
          <w:sz w:val="20"/>
        </w:rPr>
      </w:pPr>
    </w:p>
    <w:p>
      <w:pPr>
        <w:pStyle w:val="BodyText"/>
        <w:spacing w:before="10"/>
        <w:rPr>
          <w:sz w:val="14"/>
        </w:rPr>
      </w:pPr>
      <w:r>
        <w:rPr/>
        <w:pict>
          <v:shape style="position:absolute;margin-left:82pt;margin-top:9.749656pt;width:287.5pt;height:.1pt;mso-position-horizontal-relative:page;mso-position-vertical-relative:paragraph;z-index:-15696384;mso-wrap-distance-left:0;mso-wrap-distance-right:0" id="docshape485" coordorigin="1640,195" coordsize="5750,0" path="m1640,195l7390,195e" filled="false" stroked="true" strokeweight=".25pt" strokecolor="#231f20">
            <v:path arrowok="t"/>
            <v:stroke dashstyle="shortdot"/>
            <w10:wrap type="topAndBottom"/>
          </v:shape>
        </w:pict>
      </w:r>
    </w:p>
    <w:p>
      <w:pPr>
        <w:pStyle w:val="ListParagraph"/>
        <w:numPr>
          <w:ilvl w:val="0"/>
          <w:numId w:val="18"/>
        </w:numPr>
        <w:tabs>
          <w:tab w:pos="899" w:val="left" w:leader="none"/>
          <w:tab w:pos="900" w:val="left" w:leader="none"/>
        </w:tabs>
        <w:spacing w:line="240" w:lineRule="auto" w:before="135" w:after="0"/>
        <w:ind w:left="899" w:right="0" w:hanging="328"/>
        <w:jc w:val="left"/>
        <w:rPr>
          <w:rFonts w:ascii="Arial"/>
          <w:sz w:val="12"/>
        </w:rPr>
      </w:pPr>
      <w:r>
        <w:rPr>
          <w:rFonts w:ascii="Arial"/>
          <w:color w:val="231F20"/>
          <w:w w:val="95"/>
          <w:sz w:val="12"/>
        </w:rPr>
        <w:t>Lazarus,</w:t>
      </w:r>
      <w:r>
        <w:rPr>
          <w:rFonts w:ascii="Arial"/>
          <w:color w:val="231F20"/>
          <w:spacing w:val="2"/>
          <w:sz w:val="12"/>
        </w:rPr>
        <w:t> </w:t>
      </w:r>
      <w:r>
        <w:rPr>
          <w:rFonts w:ascii="Arial"/>
          <w:color w:val="231F20"/>
          <w:w w:val="95"/>
          <w:sz w:val="12"/>
        </w:rPr>
        <w:t>R.</w:t>
      </w:r>
      <w:r>
        <w:rPr>
          <w:rFonts w:ascii="Arial"/>
          <w:color w:val="231F20"/>
          <w:spacing w:val="2"/>
          <w:sz w:val="12"/>
        </w:rPr>
        <w:t> </w:t>
      </w:r>
      <w:r>
        <w:rPr>
          <w:rFonts w:ascii="Arial"/>
          <w:color w:val="231F20"/>
          <w:w w:val="95"/>
          <w:sz w:val="12"/>
        </w:rPr>
        <w:t>S.</w:t>
      </w:r>
      <w:r>
        <w:rPr>
          <w:rFonts w:ascii="Arial"/>
          <w:color w:val="231F20"/>
          <w:spacing w:val="2"/>
          <w:sz w:val="12"/>
        </w:rPr>
        <w:t> </w:t>
      </w:r>
      <w:r>
        <w:rPr>
          <w:rFonts w:ascii="Arial"/>
          <w:color w:val="231F20"/>
          <w:w w:val="95"/>
          <w:sz w:val="12"/>
        </w:rPr>
        <w:t>et</w:t>
      </w:r>
      <w:r>
        <w:rPr>
          <w:rFonts w:ascii="Arial"/>
          <w:color w:val="231F20"/>
          <w:spacing w:val="3"/>
          <w:sz w:val="12"/>
        </w:rPr>
        <w:t> </w:t>
      </w:r>
      <w:r>
        <w:rPr>
          <w:rFonts w:ascii="Arial"/>
          <w:color w:val="231F20"/>
          <w:w w:val="95"/>
          <w:sz w:val="12"/>
        </w:rPr>
        <w:t>Folkman,</w:t>
      </w:r>
      <w:r>
        <w:rPr>
          <w:rFonts w:ascii="Arial"/>
          <w:color w:val="231F20"/>
          <w:spacing w:val="2"/>
          <w:sz w:val="12"/>
        </w:rPr>
        <w:t> </w:t>
      </w:r>
      <w:r>
        <w:rPr>
          <w:rFonts w:ascii="Arial"/>
          <w:color w:val="231F20"/>
          <w:w w:val="95"/>
          <w:sz w:val="12"/>
        </w:rPr>
        <w:t>S.</w:t>
      </w:r>
      <w:r>
        <w:rPr>
          <w:rFonts w:ascii="Arial"/>
          <w:color w:val="231F20"/>
          <w:spacing w:val="2"/>
          <w:sz w:val="12"/>
        </w:rPr>
        <w:t> </w:t>
      </w:r>
      <w:r>
        <w:rPr>
          <w:rFonts w:ascii="Arial"/>
          <w:color w:val="231F20"/>
          <w:w w:val="95"/>
          <w:sz w:val="12"/>
        </w:rPr>
        <w:t>(1984).</w:t>
      </w:r>
      <w:r>
        <w:rPr>
          <w:rFonts w:ascii="Arial"/>
          <w:color w:val="231F20"/>
          <w:spacing w:val="3"/>
          <w:sz w:val="12"/>
        </w:rPr>
        <w:t> </w:t>
      </w:r>
      <w:r>
        <w:rPr>
          <w:rFonts w:ascii="Arial"/>
          <w:i/>
          <w:color w:val="231F20"/>
          <w:w w:val="95"/>
          <w:sz w:val="12"/>
        </w:rPr>
        <w:t>Stress,</w:t>
      </w:r>
      <w:r>
        <w:rPr>
          <w:rFonts w:ascii="Arial"/>
          <w:i/>
          <w:color w:val="231F20"/>
          <w:spacing w:val="2"/>
          <w:sz w:val="12"/>
        </w:rPr>
        <w:t> </w:t>
      </w:r>
      <w:r>
        <w:rPr>
          <w:rFonts w:ascii="Arial"/>
          <w:i/>
          <w:color w:val="231F20"/>
          <w:w w:val="95"/>
          <w:sz w:val="12"/>
        </w:rPr>
        <w:t>Appraisal,</w:t>
      </w:r>
      <w:r>
        <w:rPr>
          <w:rFonts w:ascii="Arial"/>
          <w:i/>
          <w:color w:val="231F20"/>
          <w:spacing w:val="2"/>
          <w:sz w:val="12"/>
        </w:rPr>
        <w:t> </w:t>
      </w:r>
      <w:r>
        <w:rPr>
          <w:rFonts w:ascii="Arial"/>
          <w:i/>
          <w:color w:val="231F20"/>
          <w:w w:val="95"/>
          <w:sz w:val="12"/>
        </w:rPr>
        <w:t>and</w:t>
      </w:r>
      <w:r>
        <w:rPr>
          <w:rFonts w:ascii="Arial"/>
          <w:i/>
          <w:color w:val="231F20"/>
          <w:spacing w:val="2"/>
          <w:sz w:val="12"/>
        </w:rPr>
        <w:t> </w:t>
      </w:r>
      <w:r>
        <w:rPr>
          <w:rFonts w:ascii="Arial"/>
          <w:i/>
          <w:color w:val="231F20"/>
          <w:w w:val="95"/>
          <w:sz w:val="12"/>
        </w:rPr>
        <w:t>Coping</w:t>
      </w:r>
      <w:r>
        <w:rPr>
          <w:rFonts w:ascii="Arial"/>
          <w:color w:val="231F20"/>
          <w:w w:val="95"/>
          <w:sz w:val="12"/>
        </w:rPr>
        <w:t>,</w:t>
      </w:r>
      <w:r>
        <w:rPr>
          <w:rFonts w:ascii="Arial"/>
          <w:color w:val="231F20"/>
          <w:spacing w:val="3"/>
          <w:sz w:val="12"/>
        </w:rPr>
        <w:t> </w:t>
      </w:r>
      <w:r>
        <w:rPr>
          <w:rFonts w:ascii="Arial"/>
          <w:color w:val="231F20"/>
          <w:w w:val="95"/>
          <w:sz w:val="12"/>
        </w:rPr>
        <w:t>New</w:t>
      </w:r>
      <w:r>
        <w:rPr>
          <w:rFonts w:ascii="Arial"/>
          <w:color w:val="231F20"/>
          <w:spacing w:val="2"/>
          <w:sz w:val="12"/>
        </w:rPr>
        <w:t> </w:t>
      </w:r>
      <w:r>
        <w:rPr>
          <w:rFonts w:ascii="Arial"/>
          <w:color w:val="231F20"/>
          <w:w w:val="95"/>
          <w:sz w:val="12"/>
        </w:rPr>
        <w:t>York,</w:t>
      </w:r>
      <w:r>
        <w:rPr>
          <w:rFonts w:ascii="Arial"/>
          <w:color w:val="231F20"/>
          <w:spacing w:val="2"/>
          <w:sz w:val="12"/>
        </w:rPr>
        <w:t> </w:t>
      </w:r>
      <w:r>
        <w:rPr>
          <w:rFonts w:ascii="Arial"/>
          <w:color w:val="231F20"/>
          <w:spacing w:val="-2"/>
          <w:w w:val="95"/>
          <w:sz w:val="12"/>
        </w:rPr>
        <w:t>Springer.</w:t>
      </w:r>
    </w:p>
    <w:p>
      <w:pPr>
        <w:spacing w:after="0" w:line="240" w:lineRule="auto"/>
        <w:jc w:val="left"/>
        <w:rPr>
          <w:rFonts w:ascii="Arial"/>
          <w:sz w:val="12"/>
        </w:rPr>
        <w:sectPr>
          <w:footerReference w:type="default" r:id="rId151"/>
          <w:pgSz w:w="8640" w:h="12960"/>
          <w:pgMar w:footer="424" w:header="0" w:top="500" w:bottom="620" w:left="740" w:right="1140"/>
        </w:sectPr>
      </w:pPr>
    </w:p>
    <w:p>
      <w:pPr>
        <w:spacing w:before="103"/>
        <w:ind w:left="2183" w:right="2173" w:firstLine="0"/>
        <w:jc w:val="center"/>
        <w:rPr>
          <w:rFonts w:ascii="Arial" w:hAnsi="Arial"/>
          <w:sz w:val="14"/>
        </w:rPr>
      </w:pPr>
      <w:bookmarkStart w:name="Figure 2.5 / Schématisation de la perspe" w:id="51"/>
      <w:bookmarkEnd w:id="51"/>
      <w:r>
        <w:rPr/>
      </w:r>
      <w:bookmarkStart w:name="_bookmark21" w:id="52"/>
      <w:bookmarkEnd w:id="52"/>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510" w:right="495"/>
        <w:jc w:val="both"/>
      </w:pPr>
      <w:r>
        <w:rPr>
          <w:color w:val="231F20"/>
          <w:spacing w:val="-2"/>
          <w:w w:val="120"/>
        </w:rPr>
        <w:t>l’environnement</w:t>
      </w:r>
      <w:r>
        <w:rPr>
          <w:color w:val="231F20"/>
          <w:spacing w:val="-5"/>
          <w:w w:val="120"/>
        </w:rPr>
        <w:t> </w:t>
      </w:r>
      <w:r>
        <w:rPr>
          <w:color w:val="231F20"/>
          <w:spacing w:val="-2"/>
          <w:w w:val="120"/>
        </w:rPr>
        <w:t>devient</w:t>
      </w:r>
      <w:r>
        <w:rPr>
          <w:color w:val="231F20"/>
          <w:spacing w:val="-5"/>
          <w:w w:val="120"/>
        </w:rPr>
        <w:t> </w:t>
      </w:r>
      <w:r>
        <w:rPr>
          <w:color w:val="231F20"/>
          <w:spacing w:val="-2"/>
          <w:w w:val="120"/>
        </w:rPr>
        <w:t>plus</w:t>
      </w:r>
      <w:r>
        <w:rPr>
          <w:color w:val="231F20"/>
          <w:spacing w:val="-5"/>
          <w:w w:val="120"/>
        </w:rPr>
        <w:t> </w:t>
      </w:r>
      <w:r>
        <w:rPr>
          <w:color w:val="231F20"/>
          <w:spacing w:val="-2"/>
          <w:w w:val="120"/>
        </w:rPr>
        <w:t>importante</w:t>
      </w:r>
      <w:r>
        <w:rPr>
          <w:color w:val="231F20"/>
          <w:spacing w:val="-5"/>
          <w:w w:val="120"/>
        </w:rPr>
        <w:t> </w:t>
      </w:r>
      <w:r>
        <w:rPr>
          <w:color w:val="231F20"/>
          <w:spacing w:val="-2"/>
          <w:w w:val="120"/>
        </w:rPr>
        <w:t>et</w:t>
      </w:r>
      <w:r>
        <w:rPr>
          <w:color w:val="231F20"/>
          <w:spacing w:val="-5"/>
          <w:w w:val="120"/>
        </w:rPr>
        <w:t> </w:t>
      </w:r>
      <w:r>
        <w:rPr>
          <w:color w:val="231F20"/>
          <w:spacing w:val="-2"/>
          <w:w w:val="120"/>
        </w:rPr>
        <w:t>plus</w:t>
      </w:r>
      <w:r>
        <w:rPr>
          <w:color w:val="231F20"/>
          <w:spacing w:val="-5"/>
          <w:w w:val="120"/>
        </w:rPr>
        <w:t> </w:t>
      </w:r>
      <w:r>
        <w:rPr>
          <w:color w:val="231F20"/>
          <w:spacing w:val="-2"/>
          <w:w w:val="120"/>
        </w:rPr>
        <w:t>significative</w:t>
      </w:r>
      <w:r>
        <w:rPr>
          <w:color w:val="231F20"/>
          <w:spacing w:val="-5"/>
          <w:w w:val="120"/>
        </w:rPr>
        <w:t> </w:t>
      </w:r>
      <w:r>
        <w:rPr>
          <w:color w:val="231F20"/>
          <w:spacing w:val="-2"/>
          <w:w w:val="120"/>
        </w:rPr>
        <w:t>que</w:t>
      </w:r>
      <w:r>
        <w:rPr>
          <w:color w:val="231F20"/>
          <w:spacing w:val="-5"/>
          <w:w w:val="120"/>
        </w:rPr>
        <w:t> </w:t>
      </w:r>
      <w:r>
        <w:rPr>
          <w:color w:val="231F20"/>
          <w:spacing w:val="-2"/>
          <w:w w:val="120"/>
        </w:rPr>
        <w:t>la</w:t>
      </w:r>
      <w:r>
        <w:rPr>
          <w:color w:val="231F20"/>
          <w:spacing w:val="-5"/>
          <w:w w:val="120"/>
        </w:rPr>
        <w:t> </w:t>
      </w:r>
      <w:r>
        <w:rPr>
          <w:color w:val="231F20"/>
          <w:spacing w:val="-2"/>
          <w:w w:val="120"/>
        </w:rPr>
        <w:t>réa- </w:t>
      </w:r>
      <w:r>
        <w:rPr>
          <w:color w:val="231F20"/>
          <w:w w:val="120"/>
        </w:rPr>
        <w:t>lité</w:t>
      </w:r>
      <w:r>
        <w:rPr>
          <w:color w:val="231F20"/>
          <w:spacing w:val="-15"/>
          <w:w w:val="120"/>
        </w:rPr>
        <w:t> </w:t>
      </w:r>
      <w:r>
        <w:rPr>
          <w:color w:val="231F20"/>
          <w:w w:val="120"/>
        </w:rPr>
        <w:t>objective.</w:t>
      </w:r>
      <w:r>
        <w:rPr>
          <w:color w:val="231F20"/>
          <w:spacing w:val="-13"/>
          <w:w w:val="120"/>
        </w:rPr>
        <w:t> </w:t>
      </w:r>
      <w:r>
        <w:rPr>
          <w:color w:val="231F20"/>
          <w:w w:val="120"/>
        </w:rPr>
        <w:t>La</w:t>
      </w:r>
      <w:r>
        <w:rPr>
          <w:color w:val="231F20"/>
          <w:spacing w:val="-13"/>
          <w:w w:val="120"/>
        </w:rPr>
        <w:t> </w:t>
      </w:r>
      <w:r>
        <w:rPr>
          <w:color w:val="231F20"/>
          <w:w w:val="120"/>
        </w:rPr>
        <w:t>réaction</w:t>
      </w:r>
      <w:r>
        <w:rPr>
          <w:color w:val="231F20"/>
          <w:spacing w:val="-12"/>
          <w:w w:val="120"/>
        </w:rPr>
        <w:t> </w:t>
      </w:r>
      <w:r>
        <w:rPr>
          <w:color w:val="231F20"/>
          <w:w w:val="120"/>
        </w:rPr>
        <w:t>de</w:t>
      </w:r>
      <w:r>
        <w:rPr>
          <w:color w:val="231F20"/>
          <w:spacing w:val="-13"/>
          <w:w w:val="120"/>
        </w:rPr>
        <w:t> </w:t>
      </w:r>
      <w:r>
        <w:rPr>
          <w:color w:val="231F20"/>
          <w:w w:val="120"/>
        </w:rPr>
        <w:t>l’individu</w:t>
      </w:r>
      <w:r>
        <w:rPr>
          <w:color w:val="231F20"/>
          <w:spacing w:val="-13"/>
          <w:w w:val="120"/>
        </w:rPr>
        <w:t> </w:t>
      </w:r>
      <w:r>
        <w:rPr>
          <w:color w:val="231F20"/>
          <w:w w:val="120"/>
        </w:rPr>
        <w:t>est</w:t>
      </w:r>
      <w:r>
        <w:rPr>
          <w:color w:val="231F20"/>
          <w:spacing w:val="-13"/>
          <w:w w:val="120"/>
        </w:rPr>
        <w:t> </w:t>
      </w:r>
      <w:r>
        <w:rPr>
          <w:color w:val="231F20"/>
          <w:w w:val="120"/>
        </w:rPr>
        <w:t>donc</w:t>
      </w:r>
      <w:r>
        <w:rPr>
          <w:color w:val="231F20"/>
          <w:spacing w:val="-12"/>
          <w:w w:val="120"/>
        </w:rPr>
        <w:t> </w:t>
      </w:r>
      <w:r>
        <w:rPr>
          <w:color w:val="231F20"/>
          <w:w w:val="120"/>
        </w:rPr>
        <w:t>le</w:t>
      </w:r>
      <w:r>
        <w:rPr>
          <w:color w:val="231F20"/>
          <w:spacing w:val="-13"/>
          <w:w w:val="120"/>
        </w:rPr>
        <w:t> </w:t>
      </w:r>
      <w:r>
        <w:rPr>
          <w:color w:val="231F20"/>
          <w:w w:val="120"/>
        </w:rPr>
        <w:t>fruit</w:t>
      </w:r>
      <w:r>
        <w:rPr>
          <w:color w:val="231F20"/>
          <w:spacing w:val="-13"/>
          <w:w w:val="120"/>
        </w:rPr>
        <w:t> </w:t>
      </w:r>
      <w:r>
        <w:rPr>
          <w:color w:val="231F20"/>
          <w:w w:val="120"/>
        </w:rPr>
        <w:t>de</w:t>
      </w:r>
      <w:r>
        <w:rPr>
          <w:color w:val="231F20"/>
          <w:spacing w:val="-13"/>
          <w:w w:val="120"/>
        </w:rPr>
        <w:t> </w:t>
      </w:r>
      <w:r>
        <w:rPr>
          <w:color w:val="231F20"/>
          <w:w w:val="120"/>
        </w:rPr>
        <w:t>sa</w:t>
      </w:r>
      <w:r>
        <w:rPr>
          <w:color w:val="231F20"/>
          <w:spacing w:val="-12"/>
          <w:w w:val="120"/>
        </w:rPr>
        <w:t> </w:t>
      </w:r>
      <w:r>
        <w:rPr>
          <w:color w:val="231F20"/>
          <w:w w:val="120"/>
        </w:rPr>
        <w:t>perception d’une</w:t>
      </w:r>
      <w:r>
        <w:rPr>
          <w:color w:val="231F20"/>
          <w:spacing w:val="-13"/>
          <w:w w:val="120"/>
        </w:rPr>
        <w:t> </w:t>
      </w:r>
      <w:r>
        <w:rPr>
          <w:color w:val="231F20"/>
          <w:w w:val="120"/>
        </w:rPr>
        <w:t>situation</w:t>
      </w:r>
      <w:r>
        <w:rPr>
          <w:color w:val="231F20"/>
          <w:spacing w:val="-13"/>
          <w:w w:val="120"/>
        </w:rPr>
        <w:t> </w:t>
      </w:r>
      <w:r>
        <w:rPr>
          <w:color w:val="231F20"/>
          <w:w w:val="120"/>
        </w:rPr>
        <w:t>en</w:t>
      </w:r>
      <w:r>
        <w:rPr>
          <w:color w:val="231F20"/>
          <w:spacing w:val="-13"/>
          <w:w w:val="120"/>
        </w:rPr>
        <w:t> </w:t>
      </w:r>
      <w:r>
        <w:rPr>
          <w:color w:val="231F20"/>
          <w:w w:val="120"/>
        </w:rPr>
        <w:t>fonction</w:t>
      </w:r>
      <w:r>
        <w:rPr>
          <w:color w:val="231F20"/>
          <w:spacing w:val="-12"/>
          <w:w w:val="120"/>
        </w:rPr>
        <w:t> </w:t>
      </w:r>
      <w:r>
        <w:rPr>
          <w:color w:val="231F20"/>
          <w:w w:val="120"/>
        </w:rPr>
        <w:t>des</w:t>
      </w:r>
      <w:r>
        <w:rPr>
          <w:color w:val="231F20"/>
          <w:spacing w:val="-13"/>
          <w:w w:val="120"/>
        </w:rPr>
        <w:t> </w:t>
      </w:r>
      <w:r>
        <w:rPr>
          <w:color w:val="231F20"/>
          <w:w w:val="120"/>
        </w:rPr>
        <w:t>ressources</w:t>
      </w:r>
      <w:r>
        <w:rPr>
          <w:color w:val="231F20"/>
          <w:spacing w:val="-13"/>
          <w:w w:val="120"/>
        </w:rPr>
        <w:t> </w:t>
      </w:r>
      <w:r>
        <w:rPr>
          <w:color w:val="231F20"/>
          <w:w w:val="120"/>
        </w:rPr>
        <w:t>qui</w:t>
      </w:r>
      <w:r>
        <w:rPr>
          <w:color w:val="231F20"/>
          <w:spacing w:val="-13"/>
          <w:w w:val="120"/>
        </w:rPr>
        <w:t> </w:t>
      </w:r>
      <w:r>
        <w:rPr>
          <w:color w:val="231F20"/>
          <w:w w:val="120"/>
        </w:rPr>
        <w:t>lui</w:t>
      </w:r>
      <w:r>
        <w:rPr>
          <w:color w:val="231F20"/>
          <w:spacing w:val="-12"/>
          <w:w w:val="120"/>
        </w:rPr>
        <w:t> </w:t>
      </w:r>
      <w:r>
        <w:rPr>
          <w:color w:val="231F20"/>
          <w:w w:val="120"/>
        </w:rPr>
        <w:t>sont</w:t>
      </w:r>
      <w:r>
        <w:rPr>
          <w:color w:val="231F20"/>
          <w:spacing w:val="-13"/>
          <w:w w:val="120"/>
        </w:rPr>
        <w:t> </w:t>
      </w:r>
      <w:r>
        <w:rPr>
          <w:color w:val="231F20"/>
          <w:w w:val="120"/>
        </w:rPr>
        <w:t>disponibles;</w:t>
      </w:r>
      <w:r>
        <w:rPr>
          <w:color w:val="231F20"/>
          <w:spacing w:val="-13"/>
          <w:w w:val="120"/>
        </w:rPr>
        <w:t> </w:t>
      </w:r>
      <w:r>
        <w:rPr>
          <w:color w:val="231F20"/>
          <w:w w:val="120"/>
        </w:rPr>
        <w:t>c’est lorsque la demande environnementale est perceptivement supérieure aux</w:t>
      </w:r>
      <w:r>
        <w:rPr>
          <w:color w:val="231F20"/>
          <w:spacing w:val="-13"/>
          <w:w w:val="120"/>
        </w:rPr>
        <w:t> </w:t>
      </w:r>
      <w:r>
        <w:rPr>
          <w:color w:val="231F20"/>
          <w:w w:val="120"/>
        </w:rPr>
        <w:t>ressources</w:t>
      </w:r>
      <w:r>
        <w:rPr>
          <w:color w:val="231F20"/>
          <w:spacing w:val="-13"/>
          <w:w w:val="120"/>
        </w:rPr>
        <w:t> </w:t>
      </w:r>
      <w:r>
        <w:rPr>
          <w:color w:val="231F20"/>
          <w:w w:val="120"/>
        </w:rPr>
        <w:t>de</w:t>
      </w:r>
      <w:r>
        <w:rPr>
          <w:color w:val="231F20"/>
          <w:spacing w:val="-12"/>
          <w:w w:val="120"/>
        </w:rPr>
        <w:t> </w:t>
      </w:r>
      <w:r>
        <w:rPr>
          <w:color w:val="231F20"/>
          <w:w w:val="120"/>
        </w:rPr>
        <w:t>l’individu</w:t>
      </w:r>
      <w:r>
        <w:rPr>
          <w:color w:val="231F20"/>
          <w:spacing w:val="-13"/>
          <w:w w:val="120"/>
        </w:rPr>
        <w:t> </w:t>
      </w:r>
      <w:r>
        <w:rPr>
          <w:color w:val="231F20"/>
          <w:w w:val="120"/>
        </w:rPr>
        <w:t>qu’il</w:t>
      </w:r>
      <w:r>
        <w:rPr>
          <w:color w:val="231F20"/>
          <w:spacing w:val="-13"/>
          <w:w w:val="120"/>
        </w:rPr>
        <w:t> </w:t>
      </w:r>
      <w:r>
        <w:rPr>
          <w:color w:val="231F20"/>
          <w:w w:val="120"/>
        </w:rPr>
        <w:t>y</w:t>
      </w:r>
      <w:r>
        <w:rPr>
          <w:color w:val="231F20"/>
          <w:spacing w:val="-12"/>
          <w:w w:val="120"/>
        </w:rPr>
        <w:t> </w:t>
      </w:r>
      <w:r>
        <w:rPr>
          <w:color w:val="231F20"/>
          <w:w w:val="120"/>
        </w:rPr>
        <w:t>a</w:t>
      </w:r>
      <w:r>
        <w:rPr>
          <w:color w:val="231F20"/>
          <w:spacing w:val="-13"/>
          <w:w w:val="120"/>
        </w:rPr>
        <w:t> </w:t>
      </w:r>
      <w:r>
        <w:rPr>
          <w:color w:val="231F20"/>
          <w:w w:val="120"/>
        </w:rPr>
        <w:t>un</w:t>
      </w:r>
      <w:r>
        <w:rPr>
          <w:color w:val="231F20"/>
          <w:spacing w:val="-13"/>
          <w:w w:val="120"/>
        </w:rPr>
        <w:t> </w:t>
      </w:r>
      <w:r>
        <w:rPr>
          <w:color w:val="231F20"/>
          <w:w w:val="120"/>
        </w:rPr>
        <w:t>déséquilibre,</w:t>
      </w:r>
      <w:r>
        <w:rPr>
          <w:color w:val="231F20"/>
          <w:spacing w:val="-12"/>
          <w:w w:val="120"/>
        </w:rPr>
        <w:t> </w:t>
      </w:r>
      <w:r>
        <w:rPr>
          <w:color w:val="231F20"/>
          <w:w w:val="120"/>
        </w:rPr>
        <w:t>et</w:t>
      </w:r>
      <w:r>
        <w:rPr>
          <w:color w:val="231F20"/>
          <w:spacing w:val="-13"/>
          <w:w w:val="120"/>
        </w:rPr>
        <w:t> </w:t>
      </w:r>
      <w:r>
        <w:rPr>
          <w:color w:val="231F20"/>
          <w:w w:val="120"/>
        </w:rPr>
        <w:t>alors</w:t>
      </w:r>
      <w:r>
        <w:rPr>
          <w:color w:val="231F20"/>
          <w:spacing w:val="-13"/>
          <w:w w:val="120"/>
        </w:rPr>
        <w:t> </w:t>
      </w:r>
      <w:r>
        <w:rPr>
          <w:color w:val="231F20"/>
          <w:w w:val="120"/>
        </w:rPr>
        <w:t>un</w:t>
      </w:r>
      <w:r>
        <w:rPr>
          <w:color w:val="231F20"/>
          <w:spacing w:val="-12"/>
          <w:w w:val="120"/>
        </w:rPr>
        <w:t> </w:t>
      </w:r>
      <w:r>
        <w:rPr>
          <w:color w:val="231F20"/>
          <w:w w:val="120"/>
        </w:rPr>
        <w:t>besoin adaptatif auquel contribue le stress.</w:t>
      </w:r>
    </w:p>
    <w:p>
      <w:pPr>
        <w:pStyle w:val="BodyText"/>
        <w:spacing w:line="307" w:lineRule="auto" w:before="79"/>
        <w:ind w:left="510" w:right="492" w:firstLine="250"/>
        <w:jc w:val="both"/>
      </w:pPr>
      <w:r>
        <w:rPr>
          <w:color w:val="231F20"/>
          <w:spacing w:val="-2"/>
          <w:w w:val="120"/>
        </w:rPr>
        <w:t>Cette</w:t>
      </w:r>
      <w:r>
        <w:rPr>
          <w:color w:val="231F20"/>
          <w:spacing w:val="-8"/>
          <w:w w:val="120"/>
        </w:rPr>
        <w:t> </w:t>
      </w:r>
      <w:r>
        <w:rPr>
          <w:color w:val="231F20"/>
          <w:spacing w:val="-2"/>
          <w:w w:val="120"/>
        </w:rPr>
        <w:t>vision</w:t>
      </w:r>
      <w:r>
        <w:rPr>
          <w:color w:val="231F20"/>
          <w:spacing w:val="-8"/>
          <w:w w:val="120"/>
        </w:rPr>
        <w:t> </w:t>
      </w:r>
      <w:r>
        <w:rPr>
          <w:color w:val="231F20"/>
          <w:spacing w:val="-2"/>
          <w:w w:val="120"/>
        </w:rPr>
        <w:t>du</w:t>
      </w:r>
      <w:r>
        <w:rPr>
          <w:color w:val="231F20"/>
          <w:spacing w:val="-8"/>
          <w:w w:val="120"/>
        </w:rPr>
        <w:t> </w:t>
      </w:r>
      <w:r>
        <w:rPr>
          <w:color w:val="231F20"/>
          <w:spacing w:val="-2"/>
          <w:w w:val="120"/>
        </w:rPr>
        <w:t>stress</w:t>
      </w:r>
      <w:r>
        <w:rPr>
          <w:color w:val="231F20"/>
          <w:spacing w:val="-8"/>
          <w:w w:val="120"/>
        </w:rPr>
        <w:t> </w:t>
      </w:r>
      <w:r>
        <w:rPr>
          <w:color w:val="231F20"/>
          <w:spacing w:val="-2"/>
          <w:w w:val="120"/>
        </w:rPr>
        <w:t>comporte</w:t>
      </w:r>
      <w:r>
        <w:rPr>
          <w:color w:val="231F20"/>
          <w:spacing w:val="-8"/>
          <w:w w:val="120"/>
        </w:rPr>
        <w:t> </w:t>
      </w:r>
      <w:r>
        <w:rPr>
          <w:color w:val="231F20"/>
          <w:spacing w:val="-2"/>
          <w:w w:val="120"/>
        </w:rPr>
        <w:t>la</w:t>
      </w:r>
      <w:r>
        <w:rPr>
          <w:color w:val="231F20"/>
          <w:spacing w:val="-8"/>
          <w:w w:val="120"/>
        </w:rPr>
        <w:t> </w:t>
      </w:r>
      <w:r>
        <w:rPr>
          <w:color w:val="231F20"/>
          <w:spacing w:val="-2"/>
          <w:w w:val="120"/>
        </w:rPr>
        <w:t>notion</w:t>
      </w:r>
      <w:r>
        <w:rPr>
          <w:color w:val="231F20"/>
          <w:spacing w:val="-8"/>
          <w:w w:val="120"/>
        </w:rPr>
        <w:t> </w:t>
      </w:r>
      <w:r>
        <w:rPr>
          <w:color w:val="231F20"/>
          <w:spacing w:val="-2"/>
          <w:w w:val="120"/>
        </w:rPr>
        <w:t>implicite</w:t>
      </w:r>
      <w:r>
        <w:rPr>
          <w:color w:val="231F20"/>
          <w:spacing w:val="-8"/>
          <w:w w:val="120"/>
        </w:rPr>
        <w:t> </w:t>
      </w:r>
      <w:r>
        <w:rPr>
          <w:color w:val="231F20"/>
          <w:spacing w:val="-2"/>
          <w:w w:val="120"/>
        </w:rPr>
        <w:t>de</w:t>
      </w:r>
      <w:r>
        <w:rPr>
          <w:color w:val="231F20"/>
          <w:spacing w:val="-8"/>
          <w:w w:val="120"/>
        </w:rPr>
        <w:t> </w:t>
      </w:r>
      <w:r>
        <w:rPr>
          <w:color w:val="231F20"/>
          <w:spacing w:val="-2"/>
          <w:w w:val="120"/>
        </w:rPr>
        <w:t>perception</w:t>
      </w:r>
      <w:r>
        <w:rPr>
          <w:color w:val="231F20"/>
          <w:spacing w:val="-8"/>
          <w:w w:val="120"/>
        </w:rPr>
        <w:t> </w:t>
      </w:r>
      <w:r>
        <w:rPr>
          <w:color w:val="231F20"/>
          <w:spacing w:val="-2"/>
          <w:w w:val="120"/>
        </w:rPr>
        <w:t>sub- </w:t>
      </w:r>
      <w:r>
        <w:rPr>
          <w:color w:val="231F20"/>
          <w:w w:val="120"/>
        </w:rPr>
        <w:t>jective</w:t>
      </w:r>
      <w:r>
        <w:rPr>
          <w:color w:val="231F20"/>
          <w:spacing w:val="-13"/>
          <w:w w:val="120"/>
        </w:rPr>
        <w:t> </w:t>
      </w:r>
      <w:r>
        <w:rPr>
          <w:color w:val="231F20"/>
          <w:w w:val="120"/>
        </w:rPr>
        <w:t>d’une</w:t>
      </w:r>
      <w:r>
        <w:rPr>
          <w:color w:val="231F20"/>
          <w:spacing w:val="-13"/>
          <w:w w:val="120"/>
        </w:rPr>
        <w:t> </w:t>
      </w:r>
      <w:r>
        <w:rPr>
          <w:color w:val="231F20"/>
          <w:w w:val="120"/>
        </w:rPr>
        <w:t>certaine</w:t>
      </w:r>
      <w:r>
        <w:rPr>
          <w:color w:val="231F20"/>
          <w:spacing w:val="-13"/>
          <w:w w:val="120"/>
        </w:rPr>
        <w:t> </w:t>
      </w:r>
      <w:r>
        <w:rPr>
          <w:color w:val="231F20"/>
          <w:w w:val="120"/>
        </w:rPr>
        <w:t>menace</w:t>
      </w:r>
      <w:r>
        <w:rPr>
          <w:color w:val="231F20"/>
          <w:spacing w:val="-12"/>
          <w:w w:val="120"/>
        </w:rPr>
        <w:t> </w:t>
      </w:r>
      <w:r>
        <w:rPr>
          <w:color w:val="231F20"/>
          <w:w w:val="120"/>
        </w:rPr>
        <w:t>à</w:t>
      </w:r>
      <w:r>
        <w:rPr>
          <w:color w:val="231F20"/>
          <w:spacing w:val="-13"/>
          <w:w w:val="120"/>
        </w:rPr>
        <w:t> </w:t>
      </w:r>
      <w:r>
        <w:rPr>
          <w:color w:val="231F20"/>
          <w:w w:val="120"/>
        </w:rPr>
        <w:t>l’homéostasie.</w:t>
      </w:r>
      <w:r>
        <w:rPr>
          <w:color w:val="231F20"/>
          <w:spacing w:val="-13"/>
          <w:w w:val="120"/>
        </w:rPr>
        <w:t> </w:t>
      </w:r>
      <w:r>
        <w:rPr>
          <w:color w:val="231F20"/>
          <w:w w:val="120"/>
        </w:rPr>
        <w:t>En</w:t>
      </w:r>
      <w:r>
        <w:rPr>
          <w:color w:val="231F20"/>
          <w:spacing w:val="-13"/>
          <w:w w:val="120"/>
        </w:rPr>
        <w:t> </w:t>
      </w:r>
      <w:r>
        <w:rPr>
          <w:color w:val="231F20"/>
          <w:w w:val="120"/>
        </w:rPr>
        <w:t>conséquence,</w:t>
      </w:r>
      <w:r>
        <w:rPr>
          <w:color w:val="231F20"/>
          <w:spacing w:val="-12"/>
          <w:w w:val="120"/>
        </w:rPr>
        <w:t> </w:t>
      </w:r>
      <w:r>
        <w:rPr>
          <w:color w:val="231F20"/>
          <w:w w:val="120"/>
        </w:rPr>
        <w:t>les</w:t>
      </w:r>
      <w:r>
        <w:rPr>
          <w:color w:val="231F20"/>
          <w:spacing w:val="-13"/>
          <w:w w:val="120"/>
        </w:rPr>
        <w:t> </w:t>
      </w:r>
      <w:r>
        <w:rPr>
          <w:color w:val="231F20"/>
          <w:w w:val="120"/>
        </w:rPr>
        <w:t>dif- férences individuelles quant à l’interprétation de ce qui constitue une menace</w:t>
      </w:r>
      <w:r>
        <w:rPr>
          <w:color w:val="231F20"/>
          <w:spacing w:val="-5"/>
          <w:w w:val="120"/>
        </w:rPr>
        <w:t> </w:t>
      </w:r>
      <w:r>
        <w:rPr>
          <w:color w:val="231F20"/>
          <w:w w:val="120"/>
        </w:rPr>
        <w:t>sont</w:t>
      </w:r>
      <w:r>
        <w:rPr>
          <w:color w:val="231F20"/>
          <w:spacing w:val="-5"/>
          <w:w w:val="120"/>
        </w:rPr>
        <w:t> </w:t>
      </w:r>
      <w:r>
        <w:rPr>
          <w:color w:val="231F20"/>
          <w:w w:val="120"/>
        </w:rPr>
        <w:t>inévitablement</w:t>
      </w:r>
      <w:r>
        <w:rPr>
          <w:color w:val="231F20"/>
          <w:spacing w:val="-5"/>
          <w:w w:val="120"/>
        </w:rPr>
        <w:t> </w:t>
      </w:r>
      <w:r>
        <w:rPr>
          <w:color w:val="231F20"/>
          <w:w w:val="120"/>
        </w:rPr>
        <w:t>associées</w:t>
      </w:r>
      <w:r>
        <w:rPr>
          <w:color w:val="231F20"/>
          <w:spacing w:val="-5"/>
          <w:w w:val="120"/>
        </w:rPr>
        <w:t> </w:t>
      </w:r>
      <w:r>
        <w:rPr>
          <w:color w:val="231F20"/>
          <w:w w:val="120"/>
        </w:rPr>
        <w:t>à</w:t>
      </w:r>
      <w:r>
        <w:rPr>
          <w:color w:val="231F20"/>
          <w:spacing w:val="-5"/>
          <w:w w:val="120"/>
        </w:rPr>
        <w:t> </w:t>
      </w:r>
      <w:r>
        <w:rPr>
          <w:color w:val="231F20"/>
          <w:w w:val="120"/>
        </w:rPr>
        <w:t>la</w:t>
      </w:r>
      <w:r>
        <w:rPr>
          <w:color w:val="231F20"/>
          <w:spacing w:val="-5"/>
          <w:w w:val="120"/>
        </w:rPr>
        <w:t> </w:t>
      </w:r>
      <w:r>
        <w:rPr>
          <w:color w:val="231F20"/>
          <w:w w:val="120"/>
        </w:rPr>
        <w:t>présence</w:t>
      </w:r>
      <w:r>
        <w:rPr>
          <w:color w:val="231F20"/>
          <w:spacing w:val="-5"/>
          <w:w w:val="120"/>
        </w:rPr>
        <w:t> </w:t>
      </w:r>
      <w:r>
        <w:rPr>
          <w:color w:val="231F20"/>
          <w:w w:val="120"/>
        </w:rPr>
        <w:t>de</w:t>
      </w:r>
      <w:r>
        <w:rPr>
          <w:color w:val="231F20"/>
          <w:spacing w:val="-5"/>
          <w:w w:val="120"/>
        </w:rPr>
        <w:t> </w:t>
      </w:r>
      <w:r>
        <w:rPr>
          <w:color w:val="231F20"/>
          <w:w w:val="120"/>
        </w:rPr>
        <w:t>caractéristiques </w:t>
      </w:r>
      <w:r>
        <w:rPr>
          <w:color w:val="231F20"/>
          <w:spacing w:val="-2"/>
          <w:w w:val="120"/>
        </w:rPr>
        <w:t>personnelles</w:t>
      </w:r>
      <w:r>
        <w:rPr>
          <w:color w:val="231F20"/>
          <w:spacing w:val="-13"/>
          <w:w w:val="120"/>
        </w:rPr>
        <w:t> </w:t>
      </w:r>
      <w:r>
        <w:rPr>
          <w:color w:val="231F20"/>
          <w:spacing w:val="-2"/>
          <w:w w:val="120"/>
        </w:rPr>
        <w:t>(p.</w:t>
      </w:r>
      <w:r>
        <w:rPr>
          <w:color w:val="231F20"/>
          <w:spacing w:val="-11"/>
          <w:w w:val="120"/>
        </w:rPr>
        <w:t> </w:t>
      </w:r>
      <w:r>
        <w:rPr>
          <w:color w:val="231F20"/>
          <w:spacing w:val="-2"/>
          <w:w w:val="120"/>
        </w:rPr>
        <w:t>ex.</w:t>
      </w:r>
      <w:r>
        <w:rPr>
          <w:color w:val="231F20"/>
          <w:spacing w:val="-11"/>
          <w:w w:val="120"/>
        </w:rPr>
        <w:t> </w:t>
      </w:r>
      <w:r>
        <w:rPr>
          <w:color w:val="231F20"/>
          <w:spacing w:val="-2"/>
          <w:w w:val="120"/>
        </w:rPr>
        <w:t>personnalité,</w:t>
      </w:r>
      <w:r>
        <w:rPr>
          <w:color w:val="231F20"/>
          <w:spacing w:val="-10"/>
          <w:w w:val="120"/>
        </w:rPr>
        <w:t> </w:t>
      </w:r>
      <w:r>
        <w:rPr>
          <w:color w:val="231F20"/>
          <w:spacing w:val="-2"/>
          <w:w w:val="120"/>
        </w:rPr>
        <w:t>compétences,</w:t>
      </w:r>
      <w:r>
        <w:rPr>
          <w:color w:val="231F20"/>
          <w:spacing w:val="-11"/>
          <w:w w:val="120"/>
        </w:rPr>
        <w:t> </w:t>
      </w:r>
      <w:r>
        <w:rPr>
          <w:color w:val="231F20"/>
          <w:spacing w:val="-2"/>
          <w:w w:val="120"/>
        </w:rPr>
        <w:t>expertises,</w:t>
      </w:r>
      <w:r>
        <w:rPr>
          <w:color w:val="231F20"/>
          <w:spacing w:val="-11"/>
          <w:w w:val="120"/>
        </w:rPr>
        <w:t> </w:t>
      </w:r>
      <w:r>
        <w:rPr>
          <w:color w:val="231F20"/>
          <w:spacing w:val="-2"/>
          <w:w w:val="120"/>
        </w:rPr>
        <w:t>estime</w:t>
      </w:r>
      <w:r>
        <w:rPr>
          <w:color w:val="231F20"/>
          <w:spacing w:val="-11"/>
          <w:w w:val="120"/>
        </w:rPr>
        <w:t> </w:t>
      </w:r>
      <w:r>
        <w:rPr>
          <w:color w:val="231F20"/>
          <w:spacing w:val="-2"/>
          <w:w w:val="120"/>
        </w:rPr>
        <w:t>de</w:t>
      </w:r>
      <w:r>
        <w:rPr>
          <w:color w:val="231F20"/>
          <w:spacing w:val="-10"/>
          <w:w w:val="120"/>
        </w:rPr>
        <w:t> </w:t>
      </w:r>
      <w:r>
        <w:rPr>
          <w:color w:val="231F20"/>
          <w:spacing w:val="-2"/>
          <w:w w:val="120"/>
        </w:rPr>
        <w:t>soi) </w:t>
      </w:r>
      <w:r>
        <w:rPr>
          <w:color w:val="231F20"/>
          <w:w w:val="120"/>
        </w:rPr>
        <w:t>qui déterminent une vulnérabilité particulière à certaines situations. Cependant, les différences individuelles ne sont pas les seuls détermi- nants du stress, car les caractéristiques culturelles ou les systèmes de valeurs exercent aussi une influence sur le comportement.</w:t>
      </w:r>
    </w:p>
    <w:p>
      <w:pPr>
        <w:pStyle w:val="BodyText"/>
        <w:spacing w:line="307" w:lineRule="auto" w:before="78"/>
        <w:ind w:left="510" w:right="492" w:firstLine="250"/>
        <w:jc w:val="both"/>
      </w:pPr>
      <w:r>
        <w:rPr>
          <w:color w:val="231F20"/>
          <w:w w:val="120"/>
        </w:rPr>
        <w:t>La dynamique transactionnelle du stress sous-tend un effet domino où</w:t>
      </w:r>
      <w:r>
        <w:rPr>
          <w:color w:val="231F20"/>
          <w:spacing w:val="-5"/>
          <w:w w:val="120"/>
        </w:rPr>
        <w:t> </w:t>
      </w:r>
      <w:r>
        <w:rPr>
          <w:color w:val="231F20"/>
          <w:w w:val="120"/>
        </w:rPr>
        <w:t>les</w:t>
      </w:r>
      <w:r>
        <w:rPr>
          <w:color w:val="231F20"/>
          <w:spacing w:val="-5"/>
          <w:w w:val="120"/>
        </w:rPr>
        <w:t> </w:t>
      </w:r>
      <w:r>
        <w:rPr>
          <w:color w:val="231F20"/>
          <w:w w:val="120"/>
        </w:rPr>
        <w:t>stresseurs</w:t>
      </w:r>
      <w:r>
        <w:rPr>
          <w:color w:val="231F20"/>
          <w:spacing w:val="-5"/>
          <w:w w:val="120"/>
        </w:rPr>
        <w:t> </w:t>
      </w:r>
      <w:r>
        <w:rPr>
          <w:color w:val="231F20"/>
          <w:w w:val="120"/>
        </w:rPr>
        <w:t>génèrent</w:t>
      </w:r>
      <w:r>
        <w:rPr>
          <w:color w:val="231F20"/>
          <w:spacing w:val="-5"/>
          <w:w w:val="120"/>
        </w:rPr>
        <w:t> </w:t>
      </w:r>
      <w:r>
        <w:rPr>
          <w:color w:val="231F20"/>
          <w:w w:val="120"/>
        </w:rPr>
        <w:t>un</w:t>
      </w:r>
      <w:r>
        <w:rPr>
          <w:color w:val="231F20"/>
          <w:spacing w:val="-5"/>
          <w:w w:val="120"/>
        </w:rPr>
        <w:t> </w:t>
      </w:r>
      <w:r>
        <w:rPr>
          <w:color w:val="231F20"/>
          <w:w w:val="120"/>
        </w:rPr>
        <w:t>stress,</w:t>
      </w:r>
      <w:r>
        <w:rPr>
          <w:color w:val="231F20"/>
          <w:spacing w:val="-5"/>
          <w:w w:val="120"/>
        </w:rPr>
        <w:t> </w:t>
      </w:r>
      <w:r>
        <w:rPr>
          <w:color w:val="231F20"/>
          <w:w w:val="120"/>
        </w:rPr>
        <w:t>qui</w:t>
      </w:r>
      <w:r>
        <w:rPr>
          <w:color w:val="231F20"/>
          <w:spacing w:val="-5"/>
          <w:w w:val="120"/>
        </w:rPr>
        <w:t> </w:t>
      </w:r>
      <w:r>
        <w:rPr>
          <w:color w:val="231F20"/>
          <w:w w:val="120"/>
        </w:rPr>
        <w:t>lui-même</w:t>
      </w:r>
      <w:r>
        <w:rPr>
          <w:color w:val="231F20"/>
          <w:spacing w:val="-5"/>
          <w:w w:val="120"/>
        </w:rPr>
        <w:t> </w:t>
      </w:r>
      <w:r>
        <w:rPr>
          <w:color w:val="231F20"/>
          <w:w w:val="120"/>
        </w:rPr>
        <w:t>provoque</w:t>
      </w:r>
      <w:r>
        <w:rPr>
          <w:color w:val="231F20"/>
          <w:spacing w:val="-5"/>
          <w:w w:val="120"/>
        </w:rPr>
        <w:t> </w:t>
      </w:r>
      <w:r>
        <w:rPr>
          <w:color w:val="231F20"/>
          <w:w w:val="120"/>
        </w:rPr>
        <w:t>des</w:t>
      </w:r>
      <w:r>
        <w:rPr>
          <w:color w:val="231F20"/>
          <w:spacing w:val="-5"/>
          <w:w w:val="120"/>
        </w:rPr>
        <w:t> </w:t>
      </w:r>
      <w:r>
        <w:rPr>
          <w:color w:val="231F20"/>
          <w:w w:val="120"/>
        </w:rPr>
        <w:t>consé- quences</w:t>
      </w:r>
      <w:r>
        <w:rPr>
          <w:color w:val="231F20"/>
          <w:spacing w:val="-2"/>
          <w:w w:val="120"/>
        </w:rPr>
        <w:t> </w:t>
      </w:r>
      <w:r>
        <w:rPr>
          <w:color w:val="231F20"/>
          <w:w w:val="120"/>
        </w:rPr>
        <w:t>(figure</w:t>
      </w:r>
      <w:r>
        <w:rPr>
          <w:color w:val="231F20"/>
          <w:spacing w:val="-2"/>
          <w:w w:val="120"/>
        </w:rPr>
        <w:t> </w:t>
      </w:r>
      <w:r>
        <w:rPr>
          <w:color w:val="231F20"/>
          <w:w w:val="120"/>
        </w:rPr>
        <w:t>2.5).</w:t>
      </w:r>
      <w:r>
        <w:rPr>
          <w:color w:val="231F20"/>
          <w:spacing w:val="-2"/>
          <w:w w:val="120"/>
        </w:rPr>
        <w:t> </w:t>
      </w:r>
      <w:r>
        <w:rPr>
          <w:color w:val="231F20"/>
          <w:w w:val="120"/>
        </w:rPr>
        <w:t>Cet</w:t>
      </w:r>
      <w:r>
        <w:rPr>
          <w:color w:val="231F20"/>
          <w:spacing w:val="-2"/>
          <w:w w:val="120"/>
        </w:rPr>
        <w:t> </w:t>
      </w:r>
      <w:r>
        <w:rPr>
          <w:color w:val="231F20"/>
          <w:w w:val="120"/>
        </w:rPr>
        <w:t>effet</w:t>
      </w:r>
      <w:r>
        <w:rPr>
          <w:color w:val="231F20"/>
          <w:spacing w:val="-2"/>
          <w:w w:val="120"/>
        </w:rPr>
        <w:t> </w:t>
      </w:r>
      <w:r>
        <w:rPr>
          <w:color w:val="231F20"/>
          <w:w w:val="120"/>
        </w:rPr>
        <w:t>en</w:t>
      </w:r>
      <w:r>
        <w:rPr>
          <w:color w:val="231F20"/>
          <w:spacing w:val="-2"/>
          <w:w w:val="120"/>
        </w:rPr>
        <w:t> </w:t>
      </w:r>
      <w:r>
        <w:rPr>
          <w:color w:val="231F20"/>
          <w:w w:val="120"/>
        </w:rPr>
        <w:t>cascade</w:t>
      </w:r>
      <w:r>
        <w:rPr>
          <w:color w:val="231F20"/>
          <w:spacing w:val="-2"/>
          <w:w w:val="120"/>
        </w:rPr>
        <w:t> </w:t>
      </w:r>
      <w:r>
        <w:rPr>
          <w:color w:val="231F20"/>
          <w:w w:val="120"/>
        </w:rPr>
        <w:t>qui</w:t>
      </w:r>
      <w:r>
        <w:rPr>
          <w:color w:val="231F20"/>
          <w:spacing w:val="-2"/>
          <w:w w:val="120"/>
        </w:rPr>
        <w:t> </w:t>
      </w:r>
      <w:r>
        <w:rPr>
          <w:color w:val="231F20"/>
          <w:w w:val="120"/>
        </w:rPr>
        <w:t>attribue</w:t>
      </w:r>
      <w:r>
        <w:rPr>
          <w:color w:val="231F20"/>
          <w:spacing w:val="-2"/>
          <w:w w:val="120"/>
        </w:rPr>
        <w:t> </w:t>
      </w:r>
      <w:r>
        <w:rPr>
          <w:color w:val="231F20"/>
          <w:w w:val="120"/>
        </w:rPr>
        <w:t>au</w:t>
      </w:r>
      <w:r>
        <w:rPr>
          <w:color w:val="231F20"/>
          <w:spacing w:val="-2"/>
          <w:w w:val="120"/>
        </w:rPr>
        <w:t> </w:t>
      </w:r>
      <w:r>
        <w:rPr>
          <w:color w:val="231F20"/>
          <w:w w:val="120"/>
        </w:rPr>
        <w:t>stress</w:t>
      </w:r>
      <w:r>
        <w:rPr>
          <w:color w:val="231F20"/>
          <w:spacing w:val="-2"/>
          <w:w w:val="120"/>
        </w:rPr>
        <w:t> </w:t>
      </w:r>
      <w:r>
        <w:rPr>
          <w:color w:val="231F20"/>
          <w:w w:val="120"/>
        </w:rPr>
        <w:t>un</w:t>
      </w:r>
      <w:r>
        <w:rPr>
          <w:color w:val="231F20"/>
          <w:spacing w:val="-2"/>
          <w:w w:val="120"/>
        </w:rPr>
        <w:t> </w:t>
      </w:r>
      <w:r>
        <w:rPr>
          <w:color w:val="231F20"/>
          <w:w w:val="120"/>
        </w:rPr>
        <w:t>rôle d’intermédiaire (médiateur) est pondéré par deux groupes de facteurs qui</w:t>
      </w:r>
      <w:r>
        <w:rPr>
          <w:color w:val="231F20"/>
          <w:w w:val="120"/>
        </w:rPr>
        <w:t> conditionnent</w:t>
      </w:r>
      <w:r>
        <w:rPr>
          <w:color w:val="231F20"/>
          <w:w w:val="120"/>
        </w:rPr>
        <w:t> respectivement</w:t>
      </w:r>
      <w:r>
        <w:rPr>
          <w:color w:val="231F20"/>
          <w:w w:val="120"/>
        </w:rPr>
        <w:t> ce</w:t>
      </w:r>
      <w:r>
        <w:rPr>
          <w:color w:val="231F20"/>
          <w:w w:val="120"/>
        </w:rPr>
        <w:t> que</w:t>
      </w:r>
      <w:r>
        <w:rPr>
          <w:color w:val="231F20"/>
          <w:w w:val="120"/>
        </w:rPr>
        <w:t> l’on</w:t>
      </w:r>
      <w:r>
        <w:rPr>
          <w:color w:val="231F20"/>
          <w:w w:val="120"/>
        </w:rPr>
        <w:t> nomme</w:t>
      </w:r>
      <w:r>
        <w:rPr>
          <w:color w:val="231F20"/>
          <w:w w:val="120"/>
        </w:rPr>
        <w:t> l’évaluation primaire et l’évaluation secondaire du stress.</w:t>
      </w:r>
    </w:p>
    <w:p>
      <w:pPr>
        <w:pStyle w:val="BodyText"/>
        <w:spacing w:before="6"/>
        <w:rPr>
          <w:sz w:val="11"/>
        </w:rPr>
      </w:pPr>
      <w:r>
        <w:rPr/>
        <w:pict>
          <v:group style="position:absolute;margin-left:62.5pt;margin-top:7.824463pt;width:287.5pt;height:195.75pt;mso-position-horizontal-relative:page;mso-position-vertical-relative:paragraph;z-index:-15695360;mso-wrap-distance-left:0;mso-wrap-distance-right:0" id="docshapegroup487" coordorigin="1250,156" coordsize="5750,3915">
            <v:shape style="position:absolute;left:1250;top:156;width:5750;height:3915" id="docshape488" coordorigin="1250,156" coordsize="5750,3915" path="m7000,156l1250,156,1250,951,1250,1111,1250,3401,1250,3511,1250,4071,7000,4071,7000,3511,7000,3401,7000,1111,7000,951,7000,156xe" filled="true" fillcolor="#e2e3e4" stroked="false">
              <v:path arrowok="t"/>
              <v:fill type="solid"/>
            </v:shape>
            <v:line style="position:absolute" from="1500,3398" to="6750,3398" stroked="true" strokeweight=".25pt" strokecolor="#231f20">
              <v:stroke dashstyle="shortdot"/>
            </v:line>
            <v:shape style="position:absolute;left:5910;top:2274;width:870;height:764" id="docshape489" coordorigin="5910,2275" coordsize="870,764" path="m6584,2899l6106,2899,6345,3038,6584,2899xm6780,2275l5910,2275,5910,2899,6780,2899,6780,2275xe" filled="true" fillcolor="#9d9fa2" stroked="false">
              <v:path arrowok="t"/>
              <v:fill type="solid"/>
            </v:shape>
            <v:shape style="position:absolute;left:5910;top:1650;width:870;height:764" id="docshape490" coordorigin="5910,1650" coordsize="870,764" path="m6584,2275l6106,2275,6345,2414,6584,2275xm6780,1650l5910,1650,5910,2275,6780,2275,6780,1650xe" filled="true" fillcolor="#b1b3b6" stroked="false">
              <v:path arrowok="t"/>
              <v:fill type="solid"/>
            </v:shape>
            <v:rect style="position:absolute;left:2528;top:1715;width:1040;height:486" id="docshape491" filled="true" fillcolor="#ffffff" stroked="false">
              <v:fill type="solid"/>
            </v:rect>
            <v:line style="position:absolute" from="2411,1326" to="3615,1326" stroked="true" strokeweight=".5pt" strokecolor="#231f20">
              <v:stroke dashstyle="solid"/>
            </v:line>
            <v:shape style="position:absolute;left:3604;top:1291;width:61;height:70" id="docshape492" coordorigin="3605,1291" coordsize="61,70" path="m3605,1291l3605,1361,3665,1326,3605,1291xe" filled="true" fillcolor="#231f20" stroked="false">
              <v:path arrowok="t"/>
              <v:fill type="solid"/>
            </v:shape>
            <v:line style="position:absolute" from="3048,1715" to="3048,1592" stroked="true" strokeweight=".5pt" strokecolor="#231f20">
              <v:stroke dashstyle="solid"/>
            </v:line>
            <v:shape style="position:absolute;left:3013;top:1541;width:70;height:61" id="docshape493" coordorigin="3013,1542" coordsize="70,61" path="m3048,1542l3013,1602,3083,1602,3048,1542xe" filled="true" fillcolor="#231f20" stroked="false">
              <v:path arrowok="t"/>
              <v:fill type="solid"/>
            </v:shape>
            <v:line style="position:absolute" from="5273,1715" to="5273,1592" stroked="true" strokeweight=".5pt" strokecolor="#231f20">
              <v:stroke dashstyle="solid"/>
            </v:line>
            <v:shape style="position:absolute;left:5238;top:1541;width:70;height:61" id="docshape494" coordorigin="5238,1542" coordsize="70,61" path="m5273,1542l5238,1602,5308,1602,5273,1542xe" filled="true" fillcolor="#231f20" stroked="false">
              <v:path arrowok="t"/>
              <v:fill type="solid"/>
            </v:shape>
            <v:line style="position:absolute" from="4616,1326" to="5860,1326" stroked="true" strokeweight=".5pt" strokecolor="#231f20">
              <v:stroke dashstyle="solid"/>
            </v:line>
            <v:shape style="position:absolute;left:5849;top:1291;width:61;height:70" id="docshape495" coordorigin="5850,1291" coordsize="61,70" path="m5850,1291l5850,1361,5910,1326,5850,1291xe" filled="true" fillcolor="#231f20" stroked="false">
              <v:path arrowok="t"/>
              <v:fill type="solid"/>
            </v:shape>
            <v:shape style="position:absolute;left:5910;top:1025;width:870;height:764" id="docshape496" coordorigin="5910,1026" coordsize="870,764" path="m6780,1026l5910,1026,5910,1650,6106,1650,6345,1789,6584,1650,6780,1650,6780,1026xe" filled="true" fillcolor="#c7c8ca" stroked="false">
              <v:path arrowok="t"/>
              <v:fill type="solid"/>
            </v:shape>
            <v:rect style="position:absolute;left:4693;top:1715;width:1160;height:486" id="docshape497" filled="true" fillcolor="#ffffff" stroked="false">
              <v:fill type="solid"/>
            </v:rect>
            <v:line style="position:absolute" from="3568,1998" to="4586,1998" stroked="true" strokeweight=".25pt" strokecolor="#231f20">
              <v:stroke dashstyle="dot"/>
            </v:line>
            <v:shape style="position:absolute;left:4576;top:1965;width:57;height:65" id="docshape498" coordorigin="4577,1966" coordsize="57,65" path="m4577,1966l4577,2030,4633,1998,4577,1966xe" filled="true" fillcolor="#231f20" stroked="false">
              <v:path arrowok="t"/>
              <v:fill type="solid"/>
            </v:shape>
            <v:line style="position:absolute" from="4694,1918" to="3673,1918" stroked="true" strokeweight=".25pt" strokecolor="#231f20">
              <v:stroke dashstyle="dot"/>
            </v:line>
            <v:shape style="position:absolute;left:3626;top:1885;width:57;height:65" id="docshape499" coordorigin="3626,1886" coordsize="57,65" path="m3682,1886l3626,1918,3682,1950,3682,1886xe" filled="true" fillcolor="#231f20" stroked="false">
              <v:path arrowok="t"/>
              <v:fill type="solid"/>
            </v:shape>
            <v:line style="position:absolute" from="3048,3186" to="3048,2274" stroked="true" strokeweight=".25pt" strokecolor="#231f20">
              <v:stroke dashstyle="dot"/>
            </v:line>
            <v:shape style="position:absolute;left:3015;top:2227;width:65;height:57" id="docshape500" coordorigin="3016,2227" coordsize="65,57" path="m3048,2227l3016,2283,3081,2283,3048,2227xe" filled="true" fillcolor="#231f20" stroked="false">
              <v:path arrowok="t"/>
              <v:fill type="solid"/>
            </v:shape>
            <v:line style="position:absolute" from="5273,3186" to="5273,2274" stroked="true" strokeweight=".25pt" strokecolor="#231f20">
              <v:stroke dashstyle="dot"/>
            </v:line>
            <v:shape style="position:absolute;left:5240;top:2227;width:65;height:57" id="docshape501" coordorigin="5241,2227" coordsize="65,57" path="m5273,2227l5241,2283,5306,2283,5273,2227xe" filled="true" fillcolor="#231f20" stroked="false">
              <v:path arrowok="t"/>
              <v:fill type="solid"/>
            </v:shape>
            <v:shape style="position:absolute;left:1955;top:1696;width:4390;height:1487" id="docshape502" coordorigin="1956,1697" coordsize="4390,1487" path="m6345,3068l6345,3183,1956,3183,1956,1697e" filled="false" stroked="true" strokeweight=".25pt" strokecolor="#231f20">
              <v:path arrowok="t"/>
              <v:stroke dashstyle="dot"/>
            </v:shape>
            <v:shape style="position:absolute;left:1923;top:1650;width:65;height:57" id="docshape503" coordorigin="1923,1650" coordsize="65,57" path="m1956,1650l1923,1706,1988,1706,1956,1650xe" filled="true" fillcolor="#231f20" stroked="false">
              <v:path arrowok="t"/>
              <v:fill type="solid"/>
            </v:shape>
            <v:shape style="position:absolute;left:1500;top:329;width:4808;height:497" type="#_x0000_t202" id="docshape504" filled="false" stroked="false">
              <v:textbox inset="0,0,0,0">
                <w:txbxContent>
                  <w:p>
                    <w:pPr>
                      <w:spacing w:line="250" w:lineRule="exact" w:before="0"/>
                      <w:ind w:left="0" w:right="0" w:firstLine="0"/>
                      <w:jc w:val="left"/>
                      <w:rPr>
                        <w:rFonts w:ascii="Arial" w:hAnsi="Arial"/>
                        <w:b/>
                        <w:sz w:val="17"/>
                      </w:rPr>
                    </w:pPr>
                    <w:r>
                      <w:rPr>
                        <w:rFonts w:ascii="Arial" w:hAnsi="Arial"/>
                        <w:color w:val="231F20"/>
                        <w:w w:val="95"/>
                        <w:sz w:val="17"/>
                      </w:rPr>
                      <w:t>Figure 2.5</w:t>
                    </w:r>
                    <w:r>
                      <w:rPr>
                        <w:rFonts w:ascii="Arial" w:hAnsi="Arial"/>
                        <w:color w:val="231F20"/>
                        <w:spacing w:val="-8"/>
                        <w:w w:val="95"/>
                        <w:sz w:val="17"/>
                      </w:rPr>
                      <w:t> </w:t>
                    </w:r>
                    <w:r>
                      <w:rPr>
                        <w:rFonts w:ascii="Arial" w:hAnsi="Arial"/>
                        <w:i/>
                        <w:color w:val="231F20"/>
                        <w:w w:val="95"/>
                        <w:sz w:val="17"/>
                      </w:rPr>
                      <w:t>/</w:t>
                    </w:r>
                    <w:r>
                      <w:rPr>
                        <w:rFonts w:ascii="Arial" w:hAnsi="Arial"/>
                        <w:i/>
                        <w:color w:val="231F20"/>
                        <w:spacing w:val="40"/>
                        <w:sz w:val="17"/>
                      </w:rPr>
                      <w:t> </w:t>
                    </w:r>
                    <w:r>
                      <w:rPr>
                        <w:rFonts w:ascii="Arial" w:hAnsi="Arial"/>
                        <w:b/>
                        <w:color w:val="231F20"/>
                        <w:w w:val="95"/>
                        <w:sz w:val="17"/>
                      </w:rPr>
                      <w:t>Schématisation de la perspective </w:t>
                    </w:r>
                    <w:r>
                      <w:rPr>
                        <w:rFonts w:ascii="Arial" w:hAnsi="Arial"/>
                        <w:b/>
                        <w:color w:val="231F20"/>
                        <w:w w:val="95"/>
                        <w:sz w:val="17"/>
                      </w:rPr>
                      <w:t>transactionnelle </w:t>
                    </w:r>
                    <w:r>
                      <w:rPr>
                        <w:rFonts w:ascii="Arial" w:hAnsi="Arial"/>
                        <w:b/>
                        <w:color w:val="231F20"/>
                        <w:sz w:val="17"/>
                      </w:rPr>
                      <w:t>du</w:t>
                    </w:r>
                    <w:r>
                      <w:rPr>
                        <w:rFonts w:ascii="Arial" w:hAnsi="Arial"/>
                        <w:b/>
                        <w:color w:val="231F20"/>
                        <w:spacing w:val="-12"/>
                        <w:sz w:val="17"/>
                      </w:rPr>
                      <w:t> </w:t>
                    </w:r>
                    <w:r>
                      <w:rPr>
                        <w:rFonts w:ascii="Arial" w:hAnsi="Arial"/>
                        <w:b/>
                        <w:color w:val="231F20"/>
                        <w:sz w:val="17"/>
                      </w:rPr>
                      <w:t>stress</w:t>
                    </w:r>
                  </w:p>
                </w:txbxContent>
              </v:textbox>
              <w10:wrap type="none"/>
            </v:shape>
            <v:shape style="position:absolute;left:2702;top:1117;width:713;height:392" type="#_x0000_t202" id="docshape505" filled="false" stroked="false">
              <v:textbox inset="0,0,0,0">
                <w:txbxContent>
                  <w:p>
                    <w:pPr>
                      <w:spacing w:line="278" w:lineRule="auto" w:before="14"/>
                      <w:ind w:left="63" w:right="0" w:hanging="64"/>
                      <w:jc w:val="left"/>
                      <w:rPr>
                        <w:rFonts w:ascii="Arial" w:hAnsi="Arial"/>
                        <w:sz w:val="15"/>
                      </w:rPr>
                    </w:pPr>
                    <w:r>
                      <w:rPr>
                        <w:rFonts w:ascii="Arial" w:hAnsi="Arial"/>
                        <w:color w:val="231F20"/>
                        <w:spacing w:val="-2"/>
                        <w:w w:val="95"/>
                        <w:sz w:val="15"/>
                      </w:rPr>
                      <w:t>[évaluation</w:t>
                    </w:r>
                    <w:r>
                      <w:rPr>
                        <w:rFonts w:ascii="Arial" w:hAnsi="Arial"/>
                        <w:color w:val="231F20"/>
                        <w:sz w:val="15"/>
                      </w:rPr>
                      <w:t> </w:t>
                    </w:r>
                    <w:r>
                      <w:rPr>
                        <w:rFonts w:ascii="Arial" w:hAnsi="Arial"/>
                        <w:color w:val="231F20"/>
                        <w:spacing w:val="-2"/>
                        <w:sz w:val="15"/>
                      </w:rPr>
                      <w:t>primaire]</w:t>
                    </w:r>
                  </w:p>
                </w:txbxContent>
              </v:textbox>
              <w10:wrap type="none"/>
            </v:shape>
            <v:shape style="position:absolute;left:4912;top:1117;width:743;height:392" type="#_x0000_t202" id="docshape506" filled="false" stroked="false">
              <v:textbox inset="0,0,0,0">
                <w:txbxContent>
                  <w:p>
                    <w:pPr>
                      <w:spacing w:line="278" w:lineRule="auto" w:before="14"/>
                      <w:ind w:left="0" w:right="0" w:firstLine="15"/>
                      <w:jc w:val="left"/>
                      <w:rPr>
                        <w:rFonts w:ascii="Arial" w:hAnsi="Arial"/>
                        <w:sz w:val="15"/>
                      </w:rPr>
                    </w:pPr>
                    <w:r>
                      <w:rPr>
                        <w:rFonts w:ascii="Arial" w:hAnsi="Arial"/>
                        <w:color w:val="231F20"/>
                        <w:spacing w:val="-2"/>
                        <w:w w:val="95"/>
                        <w:sz w:val="15"/>
                      </w:rPr>
                      <w:t>[évaluation</w:t>
                    </w:r>
                    <w:r>
                      <w:rPr>
                        <w:rFonts w:ascii="Arial" w:hAnsi="Arial"/>
                        <w:color w:val="231F20"/>
                        <w:sz w:val="15"/>
                      </w:rPr>
                      <w:t> </w:t>
                    </w:r>
                    <w:r>
                      <w:rPr>
                        <w:rFonts w:ascii="Arial" w:hAnsi="Arial"/>
                        <w:color w:val="231F20"/>
                        <w:spacing w:val="-2"/>
                        <w:w w:val="90"/>
                        <w:sz w:val="15"/>
                      </w:rPr>
                      <w:t>secondaire]</w:t>
                    </w:r>
                  </w:p>
                </w:txbxContent>
              </v:textbox>
              <w10:wrap type="none"/>
            </v:shape>
            <v:shape style="position:absolute;left:5971;top:1150;width:769;height:372" type="#_x0000_t202" id="docshape507" filled="false" stroked="false">
              <v:textbox inset="0,0,0,0">
                <w:txbxContent>
                  <w:p>
                    <w:pPr>
                      <w:spacing w:line="249" w:lineRule="auto" w:before="14"/>
                      <w:ind w:left="0" w:right="0" w:firstLine="6"/>
                      <w:jc w:val="left"/>
                      <w:rPr>
                        <w:rFonts w:ascii="Arial" w:hAnsi="Arial"/>
                        <w:sz w:val="15"/>
                      </w:rPr>
                    </w:pPr>
                    <w:r>
                      <w:rPr>
                        <w:rFonts w:ascii="Arial" w:hAnsi="Arial"/>
                        <w:color w:val="231F20"/>
                        <w:spacing w:val="-2"/>
                        <w:w w:val="90"/>
                        <w:sz w:val="15"/>
                      </w:rPr>
                      <w:t>Symptômes</w:t>
                    </w:r>
                    <w:r>
                      <w:rPr>
                        <w:rFonts w:ascii="Arial" w:hAnsi="Arial"/>
                        <w:color w:val="231F20"/>
                        <w:sz w:val="15"/>
                      </w:rPr>
                      <w:t> </w:t>
                    </w:r>
                    <w:r>
                      <w:rPr>
                        <w:rFonts w:ascii="Arial" w:hAnsi="Arial"/>
                        <w:color w:val="231F20"/>
                        <w:spacing w:val="-2"/>
                        <w:w w:val="95"/>
                        <w:sz w:val="15"/>
                      </w:rPr>
                      <w:t>temporaires</w:t>
                    </w:r>
                  </w:p>
                </w:txbxContent>
              </v:textbox>
              <w10:wrap type="none"/>
            </v:shape>
            <v:shape style="position:absolute;left:2629;top:1756;width:858;height:372" type="#_x0000_t202" id="docshape508" filled="false" stroked="false">
              <v:textbox inset="0,0,0,0">
                <w:txbxContent>
                  <w:p>
                    <w:pPr>
                      <w:spacing w:line="249" w:lineRule="auto" w:before="14"/>
                      <w:ind w:left="0" w:right="0" w:firstLine="202"/>
                      <w:jc w:val="left"/>
                      <w:rPr>
                        <w:rFonts w:ascii="Arial" w:hAnsi="Arial"/>
                        <w:sz w:val="15"/>
                      </w:rPr>
                    </w:pPr>
                    <w:r>
                      <w:rPr>
                        <w:rFonts w:ascii="Arial" w:hAnsi="Arial"/>
                        <w:color w:val="231F20"/>
                        <w:spacing w:val="-2"/>
                        <w:sz w:val="15"/>
                      </w:rPr>
                      <w:t>Agents</w:t>
                    </w:r>
                    <w:r>
                      <w:rPr>
                        <w:rFonts w:ascii="Arial" w:hAnsi="Arial"/>
                        <w:color w:val="231F20"/>
                        <w:sz w:val="15"/>
                      </w:rPr>
                      <w:t> </w:t>
                    </w:r>
                    <w:r>
                      <w:rPr>
                        <w:rFonts w:ascii="Arial" w:hAnsi="Arial"/>
                        <w:color w:val="231F20"/>
                        <w:spacing w:val="-2"/>
                        <w:w w:val="90"/>
                        <w:sz w:val="15"/>
                      </w:rPr>
                      <w:t>d’assimilation</w:t>
                    </w:r>
                  </w:p>
                </w:txbxContent>
              </v:textbox>
              <w10:wrap type="none"/>
            </v:shape>
            <v:shape style="position:absolute;left:4728;top:1756;width:1109;height:372" type="#_x0000_t202" id="docshape509" filled="false" stroked="false">
              <v:textbox inset="0,0,0,0">
                <w:txbxContent>
                  <w:p>
                    <w:pPr>
                      <w:spacing w:line="249" w:lineRule="auto" w:before="14"/>
                      <w:ind w:left="0" w:right="0" w:firstLine="328"/>
                      <w:jc w:val="left"/>
                      <w:rPr>
                        <w:rFonts w:ascii="Arial" w:hAnsi="Arial"/>
                        <w:sz w:val="15"/>
                      </w:rPr>
                    </w:pPr>
                    <w:r>
                      <w:rPr>
                        <w:rFonts w:ascii="Arial" w:hAnsi="Arial"/>
                        <w:color w:val="231F20"/>
                        <w:spacing w:val="-2"/>
                        <w:sz w:val="15"/>
                      </w:rPr>
                      <w:t>Agents</w:t>
                    </w:r>
                    <w:r>
                      <w:rPr>
                        <w:rFonts w:ascii="Arial" w:hAnsi="Arial"/>
                        <w:color w:val="231F20"/>
                        <w:sz w:val="15"/>
                      </w:rPr>
                      <w:t> </w:t>
                    </w:r>
                    <w:r>
                      <w:rPr>
                        <w:rFonts w:ascii="Arial" w:hAnsi="Arial"/>
                        <w:color w:val="231F20"/>
                        <w:spacing w:val="-4"/>
                        <w:w w:val="95"/>
                        <w:sz w:val="15"/>
                      </w:rPr>
                      <w:t>d’accommodation</w:t>
                    </w:r>
                  </w:p>
                </w:txbxContent>
              </v:textbox>
              <w10:wrap type="none"/>
            </v:shape>
            <v:shape style="position:absolute;left:5984;top:1815;width:741;height:372" type="#_x0000_t202" id="docshape510" filled="false" stroked="false">
              <v:textbox inset="0,0,0,0">
                <w:txbxContent>
                  <w:p>
                    <w:pPr>
                      <w:spacing w:line="249" w:lineRule="auto" w:before="14"/>
                      <w:ind w:left="26" w:right="0" w:hanging="27"/>
                      <w:jc w:val="left"/>
                      <w:rPr>
                        <w:rFonts w:ascii="Arial" w:hAnsi="Arial"/>
                        <w:sz w:val="15"/>
                      </w:rPr>
                    </w:pPr>
                    <w:r>
                      <w:rPr>
                        <w:rFonts w:ascii="Arial" w:hAnsi="Arial"/>
                        <w:color w:val="231F20"/>
                        <w:spacing w:val="-2"/>
                        <w:w w:val="90"/>
                        <w:sz w:val="15"/>
                      </w:rPr>
                      <w:t>Pathologies</w:t>
                    </w:r>
                    <w:r>
                      <w:rPr>
                        <w:rFonts w:ascii="Arial" w:hAnsi="Arial"/>
                        <w:color w:val="231F20"/>
                        <w:sz w:val="15"/>
                      </w:rPr>
                      <w:t> </w:t>
                    </w:r>
                    <w:r>
                      <w:rPr>
                        <w:rFonts w:ascii="Arial" w:hAnsi="Arial"/>
                        <w:color w:val="231F20"/>
                        <w:spacing w:val="-2"/>
                        <w:w w:val="95"/>
                        <w:sz w:val="15"/>
                      </w:rPr>
                      <w:t>réversibles</w:t>
                    </w:r>
                  </w:p>
                </w:txbxContent>
              </v:textbox>
              <w10:wrap type="none"/>
            </v:shape>
            <v:shape style="position:absolute;left:5969;top:2439;width:771;height:372" type="#_x0000_t202" id="docshape511" filled="false" stroked="false">
              <v:textbox inset="0,0,0,0">
                <w:txbxContent>
                  <w:p>
                    <w:pPr>
                      <w:spacing w:line="249" w:lineRule="auto" w:before="14"/>
                      <w:ind w:left="0" w:right="0" w:firstLine="15"/>
                      <w:jc w:val="left"/>
                      <w:rPr>
                        <w:rFonts w:ascii="Arial" w:hAnsi="Arial"/>
                        <w:sz w:val="15"/>
                      </w:rPr>
                    </w:pPr>
                    <w:r>
                      <w:rPr>
                        <w:rFonts w:ascii="Arial" w:hAnsi="Arial"/>
                        <w:color w:val="231F20"/>
                        <w:spacing w:val="-2"/>
                        <w:w w:val="90"/>
                        <w:sz w:val="15"/>
                      </w:rPr>
                      <w:t>Pathologies</w:t>
                    </w:r>
                    <w:r>
                      <w:rPr>
                        <w:rFonts w:ascii="Arial" w:hAnsi="Arial"/>
                        <w:color w:val="231F20"/>
                        <w:sz w:val="15"/>
                      </w:rPr>
                      <w:t> </w:t>
                    </w:r>
                    <w:r>
                      <w:rPr>
                        <w:rFonts w:ascii="Arial" w:hAnsi="Arial"/>
                        <w:color w:val="231F20"/>
                        <w:spacing w:val="-2"/>
                        <w:w w:val="90"/>
                        <w:sz w:val="15"/>
                      </w:rPr>
                      <w:t>irréversibles</w:t>
                    </w:r>
                  </w:p>
                </w:txbxContent>
              </v:textbox>
              <w10:wrap type="none"/>
            </v:shape>
            <v:shape style="position:absolute;left:1500;top:3510;width:5273;height:340" type="#_x0000_t202" id="docshape512" filled="false" stroked="false">
              <v:textbox inset="0,0,0,0">
                <w:txbxContent>
                  <w:p>
                    <w:pPr>
                      <w:spacing w:line="295" w:lineRule="auto" w:before="23"/>
                      <w:ind w:left="0" w:right="0" w:firstLine="0"/>
                      <w:jc w:val="left"/>
                      <w:rPr>
                        <w:rFonts w:ascii="Arial" w:hAnsi="Arial"/>
                        <w:sz w:val="12"/>
                      </w:rPr>
                    </w:pPr>
                    <w:r>
                      <w:rPr>
                        <w:rFonts w:ascii="Arial" w:hAnsi="Arial"/>
                        <w:color w:val="231F20"/>
                        <w:sz w:val="12"/>
                      </w:rPr>
                      <w:t>Source</w:t>
                    </w:r>
                    <w:r>
                      <w:rPr>
                        <w:rFonts w:ascii="Arial" w:hAnsi="Arial"/>
                        <w:color w:val="231F20"/>
                        <w:spacing w:val="-11"/>
                        <w:sz w:val="12"/>
                      </w:rPr>
                      <w:t> </w:t>
                    </w:r>
                    <w:r>
                      <w:rPr>
                        <w:rFonts w:ascii="Arial" w:hAnsi="Arial"/>
                        <w:color w:val="231F20"/>
                        <w:sz w:val="12"/>
                      </w:rPr>
                      <w:t>:</w:t>
                    </w:r>
                    <w:r>
                      <w:rPr>
                        <w:rFonts w:ascii="Arial" w:hAnsi="Arial"/>
                        <w:color w:val="231F20"/>
                        <w:spacing w:val="28"/>
                        <w:sz w:val="12"/>
                      </w:rPr>
                      <w:t> </w:t>
                    </w:r>
                    <w:r>
                      <w:rPr>
                        <w:rFonts w:ascii="Arial" w:hAnsi="Arial"/>
                        <w:color w:val="231F20"/>
                        <w:sz w:val="12"/>
                      </w:rPr>
                      <w:t>Adapté</w:t>
                    </w:r>
                    <w:r>
                      <w:rPr>
                        <w:rFonts w:ascii="Arial" w:hAnsi="Arial"/>
                        <w:color w:val="231F20"/>
                        <w:spacing w:val="28"/>
                        <w:sz w:val="12"/>
                      </w:rPr>
                      <w:t> </w:t>
                    </w:r>
                    <w:r>
                      <w:rPr>
                        <w:rFonts w:ascii="Arial" w:hAnsi="Arial"/>
                        <w:color w:val="231F20"/>
                        <w:sz w:val="12"/>
                      </w:rPr>
                      <w:t>de</w:t>
                    </w:r>
                    <w:r>
                      <w:rPr>
                        <w:rFonts w:ascii="Arial" w:hAnsi="Arial"/>
                        <w:color w:val="231F20"/>
                        <w:spacing w:val="28"/>
                        <w:sz w:val="12"/>
                      </w:rPr>
                      <w:t> </w:t>
                    </w:r>
                    <w:r>
                      <w:rPr>
                        <w:rFonts w:ascii="Arial" w:hAnsi="Arial"/>
                        <w:color w:val="231F20"/>
                        <w:sz w:val="12"/>
                      </w:rPr>
                      <w:t>Gosselin,</w:t>
                    </w:r>
                    <w:r>
                      <w:rPr>
                        <w:rFonts w:ascii="Arial" w:hAnsi="Arial"/>
                        <w:color w:val="231F20"/>
                        <w:spacing w:val="28"/>
                        <w:sz w:val="12"/>
                      </w:rPr>
                      <w:t> </w:t>
                    </w:r>
                    <w:r>
                      <w:rPr>
                        <w:rFonts w:ascii="Arial" w:hAnsi="Arial"/>
                        <w:color w:val="231F20"/>
                        <w:sz w:val="12"/>
                      </w:rPr>
                      <w:t>E.,</w:t>
                    </w:r>
                    <w:r>
                      <w:rPr>
                        <w:rFonts w:ascii="Arial" w:hAnsi="Arial"/>
                        <w:color w:val="231F20"/>
                        <w:spacing w:val="28"/>
                        <w:sz w:val="12"/>
                      </w:rPr>
                      <w:t> </w:t>
                    </w:r>
                    <w:r>
                      <w:rPr>
                        <w:rFonts w:ascii="Arial" w:hAnsi="Arial"/>
                        <w:color w:val="231F20"/>
                        <w:sz w:val="12"/>
                      </w:rPr>
                      <w:t>Dolan,</w:t>
                    </w:r>
                    <w:r>
                      <w:rPr>
                        <w:rFonts w:ascii="Arial" w:hAnsi="Arial"/>
                        <w:color w:val="231F20"/>
                        <w:spacing w:val="28"/>
                        <w:sz w:val="12"/>
                      </w:rPr>
                      <w:t> </w:t>
                    </w:r>
                    <w:r>
                      <w:rPr>
                        <w:rFonts w:ascii="Arial" w:hAnsi="Arial"/>
                        <w:color w:val="231F20"/>
                        <w:sz w:val="12"/>
                      </w:rPr>
                      <w:t>S.L.,</w:t>
                    </w:r>
                    <w:r>
                      <w:rPr>
                        <w:rFonts w:ascii="Arial" w:hAnsi="Arial"/>
                        <w:color w:val="231F20"/>
                        <w:spacing w:val="28"/>
                        <w:sz w:val="12"/>
                      </w:rPr>
                      <w:t> </w:t>
                    </w:r>
                    <w:r>
                      <w:rPr>
                        <w:rFonts w:ascii="Arial" w:hAnsi="Arial"/>
                        <w:color w:val="231F20"/>
                        <w:sz w:val="12"/>
                      </w:rPr>
                      <w:t>Morin,</w:t>
                    </w:r>
                    <w:r>
                      <w:rPr>
                        <w:rFonts w:ascii="Arial" w:hAnsi="Arial"/>
                        <w:color w:val="231F20"/>
                        <w:spacing w:val="28"/>
                        <w:sz w:val="12"/>
                      </w:rPr>
                      <w:t> </w:t>
                    </w:r>
                    <w:r>
                      <w:rPr>
                        <w:rFonts w:ascii="Arial" w:hAnsi="Arial"/>
                        <w:color w:val="231F20"/>
                        <w:sz w:val="12"/>
                      </w:rPr>
                      <w:t>D.</w:t>
                    </w:r>
                    <w:r>
                      <w:rPr>
                        <w:rFonts w:ascii="Arial" w:hAnsi="Arial"/>
                        <w:color w:val="231F20"/>
                        <w:spacing w:val="28"/>
                        <w:sz w:val="12"/>
                      </w:rPr>
                      <w:t> </w:t>
                    </w:r>
                    <w:r>
                      <w:rPr>
                        <w:rFonts w:ascii="Arial" w:hAnsi="Arial"/>
                        <w:color w:val="231F20"/>
                        <w:sz w:val="12"/>
                      </w:rPr>
                      <w:t>et</w:t>
                    </w:r>
                    <w:r>
                      <w:rPr>
                        <w:rFonts w:ascii="Arial" w:hAnsi="Arial"/>
                        <w:color w:val="231F20"/>
                        <w:spacing w:val="28"/>
                        <w:sz w:val="12"/>
                      </w:rPr>
                      <w:t> </w:t>
                    </w:r>
                    <w:r>
                      <w:rPr>
                        <w:rFonts w:ascii="Arial" w:hAnsi="Arial"/>
                        <w:color w:val="231F20"/>
                        <w:sz w:val="12"/>
                      </w:rPr>
                      <w:t>Bélisle,</w:t>
                    </w:r>
                    <w:r>
                      <w:rPr>
                        <w:rFonts w:ascii="Arial" w:hAnsi="Arial"/>
                        <w:color w:val="231F20"/>
                        <w:spacing w:val="28"/>
                        <w:sz w:val="12"/>
                      </w:rPr>
                      <w:t> </w:t>
                    </w:r>
                    <w:r>
                      <w:rPr>
                        <w:rFonts w:ascii="Arial" w:hAnsi="Arial"/>
                        <w:color w:val="231F20"/>
                        <w:sz w:val="12"/>
                      </w:rPr>
                      <w:t>L.</w:t>
                    </w:r>
                    <w:r>
                      <w:rPr>
                        <w:rFonts w:ascii="Arial" w:hAnsi="Arial"/>
                        <w:color w:val="231F20"/>
                        <w:spacing w:val="28"/>
                        <w:sz w:val="12"/>
                      </w:rPr>
                      <w:t> </w:t>
                    </w:r>
                    <w:r>
                      <w:rPr>
                        <w:rFonts w:ascii="Arial" w:hAnsi="Arial"/>
                        <w:color w:val="231F20"/>
                        <w:sz w:val="12"/>
                      </w:rPr>
                      <w:t>(2022).</w:t>
                    </w:r>
                    <w:r>
                      <w:rPr>
                        <w:rFonts w:ascii="Arial" w:hAnsi="Arial"/>
                        <w:color w:val="231F20"/>
                        <w:spacing w:val="28"/>
                        <w:sz w:val="12"/>
                      </w:rPr>
                      <w:t> </w:t>
                    </w:r>
                    <w:r>
                      <w:rPr>
                        <w:rFonts w:ascii="Arial" w:hAnsi="Arial"/>
                        <w:i/>
                        <w:color w:val="231F20"/>
                        <w:sz w:val="12"/>
                      </w:rPr>
                      <w:t>Comportement</w:t>
                    </w:r>
                    <w:r>
                      <w:rPr>
                        <w:rFonts w:ascii="Arial" w:hAnsi="Arial"/>
                        <w:i/>
                        <w:color w:val="231F20"/>
                        <w:spacing w:val="40"/>
                        <w:sz w:val="12"/>
                      </w:rPr>
                      <w:t> </w:t>
                    </w:r>
                    <w:r>
                      <w:rPr>
                        <w:rFonts w:ascii="Arial" w:hAnsi="Arial"/>
                        <w:i/>
                        <w:color w:val="231F20"/>
                        <w:sz w:val="12"/>
                      </w:rPr>
                      <w:t>organisationnel: aspects humains des organisations</w:t>
                    </w:r>
                    <w:r>
                      <w:rPr>
                        <w:rFonts w:ascii="Arial" w:hAnsi="Arial"/>
                        <w:color w:val="231F20"/>
                        <w:sz w:val="12"/>
                      </w:rPr>
                      <w:t>. Montréal, Chenelière Éducation.</w:t>
                    </w:r>
                  </w:p>
                </w:txbxContent>
              </v:textbox>
              <w10:wrap type="none"/>
            </v:shape>
            <v:shape style="position:absolute;left:3665;top:1025;width:952;height:602" type="#_x0000_t202" id="docshape513" filled="true" fillcolor="#636466" stroked="false">
              <v:textbox inset="0,0,0,0">
                <w:txbxContent>
                  <w:p>
                    <w:pPr>
                      <w:spacing w:line="240" w:lineRule="auto" w:before="11"/>
                      <w:rPr>
                        <w:color w:val="000000"/>
                        <w:sz w:val="17"/>
                      </w:rPr>
                    </w:pPr>
                  </w:p>
                  <w:p>
                    <w:pPr>
                      <w:spacing w:before="0"/>
                      <w:ind w:left="76" w:right="0" w:firstLine="0"/>
                      <w:jc w:val="left"/>
                      <w:rPr>
                        <w:rFonts w:ascii="Arial" w:hAnsi="Arial"/>
                        <w:b/>
                        <w:color w:val="000000"/>
                        <w:sz w:val="15"/>
                      </w:rPr>
                    </w:pPr>
                    <w:r>
                      <w:rPr>
                        <w:rFonts w:ascii="Arial" w:hAnsi="Arial"/>
                        <w:b/>
                        <w:color w:val="FFFFFF"/>
                        <w:w w:val="85"/>
                        <w:sz w:val="15"/>
                      </w:rPr>
                      <w:t>Stress</w:t>
                    </w:r>
                    <w:r>
                      <w:rPr>
                        <w:rFonts w:ascii="Arial" w:hAnsi="Arial"/>
                        <w:b/>
                        <w:color w:val="FFFFFF"/>
                        <w:spacing w:val="-4"/>
                        <w:w w:val="85"/>
                        <w:sz w:val="15"/>
                      </w:rPr>
                      <w:t> </w:t>
                    </w:r>
                    <w:r>
                      <w:rPr>
                        <w:rFonts w:ascii="Arial" w:hAnsi="Arial"/>
                        <w:b/>
                        <w:color w:val="FFFFFF"/>
                        <w:spacing w:val="-2"/>
                        <w:w w:val="95"/>
                        <w:sz w:val="15"/>
                      </w:rPr>
                      <w:t>perçu</w:t>
                    </w:r>
                  </w:p>
                </w:txbxContent>
              </v:textbox>
              <v:fill type="solid"/>
              <w10:wrap type="none"/>
            </v:shape>
            <v:shape style="position:absolute;left:1500;top:1025;width:912;height:602" type="#_x0000_t202" id="docshape514" filled="true" fillcolor="#636466" stroked="false">
              <v:textbox inset="0,0,0,0">
                <w:txbxContent>
                  <w:p>
                    <w:pPr>
                      <w:spacing w:line="240" w:lineRule="auto" w:before="11"/>
                      <w:rPr>
                        <w:color w:val="000000"/>
                        <w:sz w:val="17"/>
                      </w:rPr>
                    </w:pPr>
                  </w:p>
                  <w:p>
                    <w:pPr>
                      <w:spacing w:before="0"/>
                      <w:ind w:left="133" w:right="0" w:firstLine="0"/>
                      <w:jc w:val="left"/>
                      <w:rPr>
                        <w:rFonts w:ascii="Arial"/>
                        <w:b/>
                        <w:color w:val="000000"/>
                        <w:sz w:val="15"/>
                      </w:rPr>
                    </w:pPr>
                    <w:r>
                      <w:rPr>
                        <w:rFonts w:ascii="Arial"/>
                        <w:b/>
                        <w:color w:val="FFFFFF"/>
                        <w:spacing w:val="-2"/>
                        <w:sz w:val="15"/>
                      </w:rPr>
                      <w:t>Stresseurs</w:t>
                    </w:r>
                  </w:p>
                </w:txbxContent>
              </v:textbox>
              <v:fill type="solid"/>
              <w10:wrap type="none"/>
            </v:shape>
            <w10:wrap type="topAndBottom"/>
          </v:group>
        </w:pict>
      </w:r>
    </w:p>
    <w:p>
      <w:pPr>
        <w:spacing w:after="0"/>
        <w:rPr>
          <w:sz w:val="11"/>
        </w:rPr>
        <w:sectPr>
          <w:footerReference w:type="default" r:id="rId152"/>
          <w:pgSz w:w="8640" w:h="12960"/>
          <w:pgMar w:footer="424" w:header="0" w:top="520" w:bottom="620" w:left="740" w:right="1140"/>
        </w:sectPr>
      </w:pPr>
    </w:p>
    <w:p>
      <w:pPr>
        <w:spacing w:before="118"/>
        <w:ind w:left="207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900" w:right="99"/>
        <w:jc w:val="both"/>
      </w:pPr>
      <w:r>
        <w:rPr>
          <w:color w:val="231F20"/>
          <w:spacing w:val="-2"/>
          <w:w w:val="120"/>
        </w:rPr>
        <w:t>Au</w:t>
      </w:r>
      <w:r>
        <w:rPr>
          <w:color w:val="231F20"/>
          <w:spacing w:val="-7"/>
          <w:w w:val="120"/>
        </w:rPr>
        <w:t> </w:t>
      </w:r>
      <w:r>
        <w:rPr>
          <w:color w:val="231F20"/>
          <w:spacing w:val="-2"/>
          <w:w w:val="120"/>
        </w:rPr>
        <w:t>cours</w:t>
      </w:r>
      <w:r>
        <w:rPr>
          <w:color w:val="231F20"/>
          <w:spacing w:val="-7"/>
          <w:w w:val="120"/>
        </w:rPr>
        <w:t> </w:t>
      </w:r>
      <w:r>
        <w:rPr>
          <w:color w:val="231F20"/>
          <w:spacing w:val="-2"/>
          <w:w w:val="120"/>
        </w:rPr>
        <w:t>de</w:t>
      </w:r>
      <w:r>
        <w:rPr>
          <w:color w:val="231F20"/>
          <w:spacing w:val="-7"/>
          <w:w w:val="120"/>
        </w:rPr>
        <w:t> </w:t>
      </w:r>
      <w:r>
        <w:rPr>
          <w:color w:val="231F20"/>
          <w:spacing w:val="-2"/>
          <w:w w:val="120"/>
        </w:rPr>
        <w:t>l’évaluation</w:t>
      </w:r>
      <w:r>
        <w:rPr>
          <w:color w:val="231F20"/>
          <w:spacing w:val="-7"/>
          <w:w w:val="120"/>
        </w:rPr>
        <w:t> </w:t>
      </w:r>
      <w:r>
        <w:rPr>
          <w:color w:val="231F20"/>
          <w:spacing w:val="-2"/>
          <w:w w:val="120"/>
        </w:rPr>
        <w:t>primaire,</w:t>
      </w:r>
      <w:r>
        <w:rPr>
          <w:color w:val="231F20"/>
          <w:spacing w:val="-7"/>
          <w:w w:val="120"/>
        </w:rPr>
        <w:t> </w:t>
      </w:r>
      <w:r>
        <w:rPr>
          <w:color w:val="231F20"/>
          <w:spacing w:val="-2"/>
          <w:w w:val="120"/>
        </w:rPr>
        <w:t>la</w:t>
      </w:r>
      <w:r>
        <w:rPr>
          <w:color w:val="231F20"/>
          <w:spacing w:val="-7"/>
          <w:w w:val="120"/>
        </w:rPr>
        <w:t> </w:t>
      </w:r>
      <w:r>
        <w:rPr>
          <w:color w:val="231F20"/>
          <w:spacing w:val="-2"/>
          <w:w w:val="120"/>
        </w:rPr>
        <w:t>personne</w:t>
      </w:r>
      <w:r>
        <w:rPr>
          <w:color w:val="231F20"/>
          <w:spacing w:val="-7"/>
          <w:w w:val="120"/>
        </w:rPr>
        <w:t> </w:t>
      </w:r>
      <w:r>
        <w:rPr>
          <w:color w:val="231F20"/>
          <w:spacing w:val="-2"/>
          <w:w w:val="120"/>
        </w:rPr>
        <w:t>estime</w:t>
      </w:r>
      <w:r>
        <w:rPr>
          <w:color w:val="231F20"/>
          <w:spacing w:val="-7"/>
          <w:w w:val="120"/>
        </w:rPr>
        <w:t> </w:t>
      </w:r>
      <w:r>
        <w:rPr>
          <w:color w:val="231F20"/>
          <w:spacing w:val="-2"/>
          <w:w w:val="120"/>
        </w:rPr>
        <w:t>l’adéquation</w:t>
      </w:r>
      <w:r>
        <w:rPr>
          <w:color w:val="231F20"/>
          <w:spacing w:val="-7"/>
          <w:w w:val="120"/>
        </w:rPr>
        <w:t> </w:t>
      </w:r>
      <w:r>
        <w:rPr>
          <w:color w:val="231F20"/>
          <w:spacing w:val="-2"/>
          <w:w w:val="120"/>
        </w:rPr>
        <w:t>entre une</w:t>
      </w:r>
      <w:r>
        <w:rPr>
          <w:color w:val="231F20"/>
          <w:spacing w:val="-11"/>
          <w:w w:val="120"/>
        </w:rPr>
        <w:t> </w:t>
      </w:r>
      <w:r>
        <w:rPr>
          <w:color w:val="231F20"/>
          <w:spacing w:val="-2"/>
          <w:w w:val="120"/>
        </w:rPr>
        <w:t>demande</w:t>
      </w:r>
      <w:r>
        <w:rPr>
          <w:color w:val="231F20"/>
          <w:spacing w:val="-10"/>
          <w:w w:val="120"/>
        </w:rPr>
        <w:t> </w:t>
      </w:r>
      <w:r>
        <w:rPr>
          <w:color w:val="231F20"/>
          <w:spacing w:val="-2"/>
          <w:w w:val="120"/>
        </w:rPr>
        <w:t>précise</w:t>
      </w:r>
      <w:r>
        <w:rPr>
          <w:color w:val="231F20"/>
          <w:spacing w:val="-11"/>
          <w:w w:val="120"/>
        </w:rPr>
        <w:t> </w:t>
      </w:r>
      <w:r>
        <w:rPr>
          <w:color w:val="231F20"/>
          <w:spacing w:val="-2"/>
          <w:w w:val="120"/>
        </w:rPr>
        <w:t>de</w:t>
      </w:r>
      <w:r>
        <w:rPr>
          <w:color w:val="231F20"/>
          <w:spacing w:val="-10"/>
          <w:w w:val="120"/>
        </w:rPr>
        <w:t> </w:t>
      </w:r>
      <w:r>
        <w:rPr>
          <w:color w:val="231F20"/>
          <w:spacing w:val="-2"/>
          <w:w w:val="120"/>
        </w:rPr>
        <w:t>l’environnement</w:t>
      </w:r>
      <w:r>
        <w:rPr>
          <w:color w:val="231F20"/>
          <w:spacing w:val="-11"/>
          <w:w w:val="120"/>
        </w:rPr>
        <w:t> </w:t>
      </w:r>
      <w:r>
        <w:rPr>
          <w:color w:val="231F20"/>
          <w:spacing w:val="-2"/>
          <w:w w:val="120"/>
        </w:rPr>
        <w:t>(p.</w:t>
      </w:r>
      <w:r>
        <w:rPr>
          <w:color w:val="231F20"/>
          <w:spacing w:val="-10"/>
          <w:w w:val="120"/>
        </w:rPr>
        <w:t> </w:t>
      </w:r>
      <w:r>
        <w:rPr>
          <w:color w:val="231F20"/>
          <w:spacing w:val="-2"/>
          <w:w w:val="120"/>
        </w:rPr>
        <w:t>ex.</w:t>
      </w:r>
      <w:r>
        <w:rPr>
          <w:color w:val="231F20"/>
          <w:spacing w:val="-11"/>
          <w:w w:val="120"/>
        </w:rPr>
        <w:t> </w:t>
      </w:r>
      <w:r>
        <w:rPr>
          <w:color w:val="231F20"/>
          <w:spacing w:val="-2"/>
          <w:w w:val="120"/>
        </w:rPr>
        <w:t>tâche</w:t>
      </w:r>
      <w:r>
        <w:rPr>
          <w:color w:val="231F20"/>
          <w:spacing w:val="-10"/>
          <w:w w:val="120"/>
        </w:rPr>
        <w:t> </w:t>
      </w:r>
      <w:r>
        <w:rPr>
          <w:color w:val="231F20"/>
          <w:spacing w:val="-2"/>
          <w:w w:val="120"/>
        </w:rPr>
        <w:t>à</w:t>
      </w:r>
      <w:r>
        <w:rPr>
          <w:color w:val="231F20"/>
          <w:spacing w:val="-11"/>
          <w:w w:val="120"/>
        </w:rPr>
        <w:t> </w:t>
      </w:r>
      <w:r>
        <w:rPr>
          <w:color w:val="231F20"/>
          <w:spacing w:val="-2"/>
          <w:w w:val="120"/>
        </w:rPr>
        <w:t>accomplir)</w:t>
      </w:r>
      <w:r>
        <w:rPr>
          <w:color w:val="231F20"/>
          <w:spacing w:val="-10"/>
          <w:w w:val="120"/>
        </w:rPr>
        <w:t> </w:t>
      </w:r>
      <w:r>
        <w:rPr>
          <w:color w:val="231F20"/>
          <w:spacing w:val="-2"/>
          <w:w w:val="120"/>
        </w:rPr>
        <w:t>et</w:t>
      </w:r>
      <w:r>
        <w:rPr>
          <w:color w:val="231F20"/>
          <w:spacing w:val="-11"/>
          <w:w w:val="120"/>
        </w:rPr>
        <w:t> </w:t>
      </w:r>
      <w:r>
        <w:rPr>
          <w:color w:val="231F20"/>
          <w:spacing w:val="-2"/>
          <w:w w:val="120"/>
        </w:rPr>
        <w:t>les </w:t>
      </w:r>
      <w:r>
        <w:rPr>
          <w:color w:val="231F20"/>
          <w:w w:val="115"/>
        </w:rPr>
        <w:t>ressources qu’elles possèdent (p. ex. compétences). Si la personne consi- </w:t>
      </w:r>
      <w:r>
        <w:rPr>
          <w:color w:val="231F20"/>
          <w:w w:val="120"/>
        </w:rPr>
        <w:t>dère</w:t>
      </w:r>
      <w:r>
        <w:rPr>
          <w:color w:val="231F20"/>
          <w:w w:val="120"/>
        </w:rPr>
        <w:t> qu’elle</w:t>
      </w:r>
      <w:r>
        <w:rPr>
          <w:color w:val="231F20"/>
          <w:w w:val="120"/>
        </w:rPr>
        <w:t> détient</w:t>
      </w:r>
      <w:r>
        <w:rPr>
          <w:color w:val="231F20"/>
          <w:w w:val="120"/>
        </w:rPr>
        <w:t> les</w:t>
      </w:r>
      <w:r>
        <w:rPr>
          <w:color w:val="231F20"/>
          <w:w w:val="120"/>
        </w:rPr>
        <w:t> ressources</w:t>
      </w:r>
      <w:r>
        <w:rPr>
          <w:color w:val="231F20"/>
          <w:w w:val="120"/>
        </w:rPr>
        <w:t> nécessaires</w:t>
      </w:r>
      <w:r>
        <w:rPr>
          <w:color w:val="231F20"/>
          <w:w w:val="120"/>
        </w:rPr>
        <w:t> pour</w:t>
      </w:r>
      <w:r>
        <w:rPr>
          <w:color w:val="231F20"/>
          <w:w w:val="120"/>
        </w:rPr>
        <w:t> répondre</w:t>
      </w:r>
      <w:r>
        <w:rPr>
          <w:color w:val="231F20"/>
          <w:w w:val="120"/>
        </w:rPr>
        <w:t> à</w:t>
      </w:r>
      <w:r>
        <w:rPr>
          <w:color w:val="231F20"/>
          <w:w w:val="120"/>
        </w:rPr>
        <w:t> la demande,</w:t>
      </w:r>
      <w:r>
        <w:rPr>
          <w:color w:val="231F20"/>
          <w:spacing w:val="-9"/>
          <w:w w:val="120"/>
        </w:rPr>
        <w:t> </w:t>
      </w:r>
      <w:r>
        <w:rPr>
          <w:color w:val="231F20"/>
          <w:w w:val="120"/>
        </w:rPr>
        <w:t>aucun</w:t>
      </w:r>
      <w:r>
        <w:rPr>
          <w:color w:val="231F20"/>
          <w:spacing w:val="-9"/>
          <w:w w:val="120"/>
        </w:rPr>
        <w:t> </w:t>
      </w:r>
      <w:r>
        <w:rPr>
          <w:color w:val="231F20"/>
          <w:w w:val="120"/>
        </w:rPr>
        <w:t>stress</w:t>
      </w:r>
      <w:r>
        <w:rPr>
          <w:color w:val="231F20"/>
          <w:spacing w:val="-9"/>
          <w:w w:val="120"/>
        </w:rPr>
        <w:t> </w:t>
      </w:r>
      <w:r>
        <w:rPr>
          <w:color w:val="231F20"/>
          <w:w w:val="120"/>
        </w:rPr>
        <w:t>n’est</w:t>
      </w:r>
      <w:r>
        <w:rPr>
          <w:color w:val="231F20"/>
          <w:spacing w:val="-9"/>
          <w:w w:val="120"/>
        </w:rPr>
        <w:t> </w:t>
      </w:r>
      <w:r>
        <w:rPr>
          <w:color w:val="231F20"/>
          <w:w w:val="120"/>
        </w:rPr>
        <w:t>généré,</w:t>
      </w:r>
      <w:r>
        <w:rPr>
          <w:color w:val="231F20"/>
          <w:spacing w:val="-9"/>
          <w:w w:val="120"/>
        </w:rPr>
        <w:t> </w:t>
      </w:r>
      <w:r>
        <w:rPr>
          <w:color w:val="231F20"/>
          <w:w w:val="120"/>
        </w:rPr>
        <w:t>car</w:t>
      </w:r>
      <w:r>
        <w:rPr>
          <w:color w:val="231F20"/>
          <w:spacing w:val="-9"/>
          <w:w w:val="120"/>
        </w:rPr>
        <w:t> </w:t>
      </w:r>
      <w:r>
        <w:rPr>
          <w:color w:val="231F20"/>
          <w:w w:val="120"/>
        </w:rPr>
        <w:t>il</w:t>
      </w:r>
      <w:r>
        <w:rPr>
          <w:color w:val="231F20"/>
          <w:spacing w:val="-9"/>
          <w:w w:val="120"/>
        </w:rPr>
        <w:t> </w:t>
      </w:r>
      <w:r>
        <w:rPr>
          <w:color w:val="231F20"/>
          <w:w w:val="120"/>
        </w:rPr>
        <w:t>n’y</w:t>
      </w:r>
      <w:r>
        <w:rPr>
          <w:color w:val="231F20"/>
          <w:spacing w:val="-9"/>
          <w:w w:val="120"/>
        </w:rPr>
        <w:t> </w:t>
      </w:r>
      <w:r>
        <w:rPr>
          <w:color w:val="231F20"/>
          <w:w w:val="120"/>
        </w:rPr>
        <w:t>a</w:t>
      </w:r>
      <w:r>
        <w:rPr>
          <w:color w:val="231F20"/>
          <w:spacing w:val="-9"/>
          <w:w w:val="120"/>
        </w:rPr>
        <w:t> </w:t>
      </w:r>
      <w:r>
        <w:rPr>
          <w:color w:val="231F20"/>
          <w:w w:val="120"/>
        </w:rPr>
        <w:t>pas</w:t>
      </w:r>
      <w:r>
        <w:rPr>
          <w:color w:val="231F20"/>
          <w:spacing w:val="-9"/>
          <w:w w:val="120"/>
        </w:rPr>
        <w:t> </w:t>
      </w:r>
      <w:r>
        <w:rPr>
          <w:color w:val="231F20"/>
          <w:w w:val="120"/>
        </w:rPr>
        <w:t>de</w:t>
      </w:r>
      <w:r>
        <w:rPr>
          <w:color w:val="231F20"/>
          <w:spacing w:val="-9"/>
          <w:w w:val="120"/>
        </w:rPr>
        <w:t> </w:t>
      </w:r>
      <w:r>
        <w:rPr>
          <w:color w:val="231F20"/>
          <w:w w:val="120"/>
        </w:rPr>
        <w:t>besoin</w:t>
      </w:r>
      <w:r>
        <w:rPr>
          <w:color w:val="231F20"/>
          <w:spacing w:val="-9"/>
          <w:w w:val="120"/>
        </w:rPr>
        <w:t> </w:t>
      </w:r>
      <w:r>
        <w:rPr>
          <w:color w:val="231F20"/>
          <w:w w:val="120"/>
        </w:rPr>
        <w:t>adaptatif. </w:t>
      </w:r>
      <w:r>
        <w:rPr>
          <w:color w:val="231F20"/>
          <w:spacing w:val="-2"/>
          <w:w w:val="115"/>
        </w:rPr>
        <w:t>À</w:t>
      </w:r>
      <w:r>
        <w:rPr>
          <w:color w:val="231F20"/>
          <w:spacing w:val="-7"/>
          <w:w w:val="115"/>
        </w:rPr>
        <w:t> </w:t>
      </w:r>
      <w:r>
        <w:rPr>
          <w:color w:val="231F20"/>
          <w:spacing w:val="-2"/>
          <w:w w:val="115"/>
        </w:rPr>
        <w:t>l’inverse,</w:t>
      </w:r>
      <w:r>
        <w:rPr>
          <w:color w:val="231F20"/>
          <w:spacing w:val="-7"/>
          <w:w w:val="115"/>
        </w:rPr>
        <w:t> </w:t>
      </w:r>
      <w:r>
        <w:rPr>
          <w:color w:val="231F20"/>
          <w:spacing w:val="-2"/>
          <w:w w:val="115"/>
        </w:rPr>
        <w:t>si</w:t>
      </w:r>
      <w:r>
        <w:rPr>
          <w:color w:val="231F20"/>
          <w:spacing w:val="-7"/>
          <w:w w:val="115"/>
        </w:rPr>
        <w:t> </w:t>
      </w:r>
      <w:r>
        <w:rPr>
          <w:color w:val="231F20"/>
          <w:spacing w:val="-2"/>
          <w:w w:val="115"/>
        </w:rPr>
        <w:t>la</w:t>
      </w:r>
      <w:r>
        <w:rPr>
          <w:color w:val="231F20"/>
          <w:spacing w:val="-7"/>
          <w:w w:val="115"/>
        </w:rPr>
        <w:t> </w:t>
      </w:r>
      <w:r>
        <w:rPr>
          <w:color w:val="231F20"/>
          <w:spacing w:val="-2"/>
          <w:w w:val="115"/>
        </w:rPr>
        <w:t>personne</w:t>
      </w:r>
      <w:r>
        <w:rPr>
          <w:color w:val="231F20"/>
          <w:spacing w:val="-7"/>
          <w:w w:val="115"/>
        </w:rPr>
        <w:t> </w:t>
      </w:r>
      <w:r>
        <w:rPr>
          <w:color w:val="231F20"/>
          <w:spacing w:val="-2"/>
          <w:w w:val="115"/>
        </w:rPr>
        <w:t>considère</w:t>
      </w:r>
      <w:r>
        <w:rPr>
          <w:color w:val="231F20"/>
          <w:spacing w:val="-7"/>
          <w:w w:val="115"/>
        </w:rPr>
        <w:t> </w:t>
      </w:r>
      <w:r>
        <w:rPr>
          <w:color w:val="231F20"/>
          <w:spacing w:val="-2"/>
          <w:w w:val="115"/>
        </w:rPr>
        <w:t>qu’elle</w:t>
      </w:r>
      <w:r>
        <w:rPr>
          <w:color w:val="231F20"/>
          <w:spacing w:val="-7"/>
          <w:w w:val="115"/>
        </w:rPr>
        <w:t> </w:t>
      </w:r>
      <w:r>
        <w:rPr>
          <w:color w:val="231F20"/>
          <w:spacing w:val="-2"/>
          <w:w w:val="115"/>
        </w:rPr>
        <w:t>n’a</w:t>
      </w:r>
      <w:r>
        <w:rPr>
          <w:color w:val="231F20"/>
          <w:spacing w:val="-7"/>
          <w:w w:val="115"/>
        </w:rPr>
        <w:t> </w:t>
      </w:r>
      <w:r>
        <w:rPr>
          <w:color w:val="231F20"/>
          <w:spacing w:val="-2"/>
          <w:w w:val="115"/>
        </w:rPr>
        <w:t>pas</w:t>
      </w:r>
      <w:r>
        <w:rPr>
          <w:color w:val="231F20"/>
          <w:spacing w:val="-7"/>
          <w:w w:val="115"/>
        </w:rPr>
        <w:t> </w:t>
      </w:r>
      <w:r>
        <w:rPr>
          <w:color w:val="231F20"/>
          <w:spacing w:val="-2"/>
          <w:w w:val="115"/>
        </w:rPr>
        <w:t>les</w:t>
      </w:r>
      <w:r>
        <w:rPr>
          <w:color w:val="231F20"/>
          <w:spacing w:val="-7"/>
          <w:w w:val="115"/>
        </w:rPr>
        <w:t> </w:t>
      </w:r>
      <w:r>
        <w:rPr>
          <w:color w:val="231F20"/>
          <w:spacing w:val="-2"/>
          <w:w w:val="115"/>
        </w:rPr>
        <w:t>outils</w:t>
      </w:r>
      <w:r>
        <w:rPr>
          <w:color w:val="231F20"/>
          <w:spacing w:val="-7"/>
          <w:w w:val="115"/>
        </w:rPr>
        <w:t> </w:t>
      </w:r>
      <w:r>
        <w:rPr>
          <w:color w:val="231F20"/>
          <w:spacing w:val="-2"/>
          <w:w w:val="115"/>
        </w:rPr>
        <w:t>pour</w:t>
      </w:r>
      <w:r>
        <w:rPr>
          <w:color w:val="231F20"/>
          <w:spacing w:val="-7"/>
          <w:w w:val="115"/>
        </w:rPr>
        <w:t> </w:t>
      </w:r>
      <w:r>
        <w:rPr>
          <w:color w:val="231F20"/>
          <w:spacing w:val="-2"/>
          <w:w w:val="115"/>
        </w:rPr>
        <w:t>affronter </w:t>
      </w:r>
      <w:r>
        <w:rPr>
          <w:color w:val="231F20"/>
          <w:w w:val="120"/>
        </w:rPr>
        <w:t>la</w:t>
      </w:r>
      <w:r>
        <w:rPr>
          <w:color w:val="231F20"/>
          <w:spacing w:val="-13"/>
          <w:w w:val="120"/>
        </w:rPr>
        <w:t> </w:t>
      </w:r>
      <w:r>
        <w:rPr>
          <w:color w:val="231F20"/>
          <w:w w:val="120"/>
        </w:rPr>
        <w:t>demande,</w:t>
      </w:r>
      <w:r>
        <w:rPr>
          <w:color w:val="231F20"/>
          <w:spacing w:val="-13"/>
          <w:w w:val="120"/>
        </w:rPr>
        <w:t> </w:t>
      </w:r>
      <w:r>
        <w:rPr>
          <w:color w:val="231F20"/>
          <w:w w:val="120"/>
        </w:rPr>
        <w:t>alors</w:t>
      </w:r>
      <w:r>
        <w:rPr>
          <w:color w:val="231F20"/>
          <w:spacing w:val="-13"/>
          <w:w w:val="120"/>
        </w:rPr>
        <w:t> </w:t>
      </w:r>
      <w:r>
        <w:rPr>
          <w:color w:val="231F20"/>
          <w:w w:val="120"/>
        </w:rPr>
        <w:t>on</w:t>
      </w:r>
      <w:r>
        <w:rPr>
          <w:color w:val="231F20"/>
          <w:spacing w:val="-9"/>
          <w:w w:val="120"/>
        </w:rPr>
        <w:t> </w:t>
      </w:r>
      <w:r>
        <w:rPr>
          <w:color w:val="231F20"/>
          <w:w w:val="120"/>
        </w:rPr>
        <w:t>se</w:t>
      </w:r>
      <w:r>
        <w:rPr>
          <w:color w:val="231F20"/>
          <w:spacing w:val="-7"/>
          <w:w w:val="120"/>
        </w:rPr>
        <w:t> </w:t>
      </w:r>
      <w:r>
        <w:rPr>
          <w:color w:val="231F20"/>
          <w:w w:val="120"/>
        </w:rPr>
        <w:t>retrouve</w:t>
      </w:r>
      <w:r>
        <w:rPr>
          <w:color w:val="231F20"/>
          <w:spacing w:val="-7"/>
          <w:w w:val="120"/>
        </w:rPr>
        <w:t> </w:t>
      </w:r>
      <w:r>
        <w:rPr>
          <w:color w:val="231F20"/>
          <w:w w:val="120"/>
        </w:rPr>
        <w:t>face</w:t>
      </w:r>
      <w:r>
        <w:rPr>
          <w:color w:val="231F20"/>
          <w:spacing w:val="-7"/>
          <w:w w:val="120"/>
        </w:rPr>
        <w:t> </w:t>
      </w:r>
      <w:r>
        <w:rPr>
          <w:color w:val="231F20"/>
          <w:w w:val="120"/>
        </w:rPr>
        <w:t>à</w:t>
      </w:r>
      <w:r>
        <w:rPr>
          <w:color w:val="231F20"/>
          <w:spacing w:val="-7"/>
          <w:w w:val="120"/>
        </w:rPr>
        <w:t> </w:t>
      </w:r>
      <w:r>
        <w:rPr>
          <w:color w:val="231F20"/>
          <w:w w:val="120"/>
        </w:rPr>
        <w:t>une</w:t>
      </w:r>
      <w:r>
        <w:rPr>
          <w:color w:val="231F20"/>
          <w:spacing w:val="-7"/>
          <w:w w:val="120"/>
        </w:rPr>
        <w:t> </w:t>
      </w:r>
      <w:r>
        <w:rPr>
          <w:color w:val="231F20"/>
          <w:w w:val="120"/>
        </w:rPr>
        <w:t>situation</w:t>
      </w:r>
      <w:r>
        <w:rPr>
          <w:color w:val="231F20"/>
          <w:spacing w:val="-7"/>
          <w:w w:val="120"/>
        </w:rPr>
        <w:t> </w:t>
      </w:r>
      <w:r>
        <w:rPr>
          <w:color w:val="231F20"/>
          <w:w w:val="120"/>
        </w:rPr>
        <w:t>de</w:t>
      </w:r>
      <w:r>
        <w:rPr>
          <w:color w:val="231F20"/>
          <w:spacing w:val="-7"/>
          <w:w w:val="120"/>
        </w:rPr>
        <w:t> </w:t>
      </w:r>
      <w:r>
        <w:rPr>
          <w:color w:val="231F20"/>
          <w:w w:val="120"/>
        </w:rPr>
        <w:t>«</w:t>
      </w:r>
      <w:r>
        <w:rPr>
          <w:color w:val="231F20"/>
          <w:spacing w:val="-13"/>
          <w:w w:val="120"/>
        </w:rPr>
        <w:t> </w:t>
      </w:r>
      <w:r>
        <w:rPr>
          <w:color w:val="231F20"/>
          <w:w w:val="120"/>
        </w:rPr>
        <w:t>menace»</w:t>
      </w:r>
      <w:r>
        <w:rPr>
          <w:color w:val="231F20"/>
          <w:spacing w:val="-7"/>
          <w:w w:val="120"/>
        </w:rPr>
        <w:t> </w:t>
      </w:r>
      <w:r>
        <w:rPr>
          <w:color w:val="231F20"/>
          <w:w w:val="120"/>
        </w:rPr>
        <w:t>et</w:t>
      </w:r>
      <w:r>
        <w:rPr>
          <w:color w:val="231F20"/>
          <w:spacing w:val="-7"/>
          <w:w w:val="120"/>
        </w:rPr>
        <w:t> </w:t>
      </w:r>
      <w:r>
        <w:rPr>
          <w:color w:val="231F20"/>
          <w:w w:val="120"/>
        </w:rPr>
        <w:t>le mécanisme du stress est enclenché afin de pallier le déséquilibre. Les facteurs</w:t>
      </w:r>
      <w:r>
        <w:rPr>
          <w:color w:val="231F20"/>
          <w:spacing w:val="-6"/>
          <w:w w:val="120"/>
        </w:rPr>
        <w:t> </w:t>
      </w:r>
      <w:r>
        <w:rPr>
          <w:color w:val="231F20"/>
          <w:w w:val="120"/>
        </w:rPr>
        <w:t>considérés</w:t>
      </w:r>
      <w:r>
        <w:rPr>
          <w:color w:val="231F20"/>
          <w:spacing w:val="-6"/>
          <w:w w:val="120"/>
        </w:rPr>
        <w:t> </w:t>
      </w:r>
      <w:r>
        <w:rPr>
          <w:color w:val="231F20"/>
          <w:w w:val="120"/>
        </w:rPr>
        <w:t>comme</w:t>
      </w:r>
      <w:r>
        <w:rPr>
          <w:color w:val="231F20"/>
          <w:spacing w:val="-6"/>
          <w:w w:val="120"/>
        </w:rPr>
        <w:t> </w:t>
      </w:r>
      <w:r>
        <w:rPr>
          <w:color w:val="231F20"/>
          <w:w w:val="120"/>
        </w:rPr>
        <w:t>des</w:t>
      </w:r>
      <w:r>
        <w:rPr>
          <w:color w:val="231F20"/>
          <w:spacing w:val="-6"/>
          <w:w w:val="120"/>
        </w:rPr>
        <w:t> </w:t>
      </w:r>
      <w:r>
        <w:rPr>
          <w:color w:val="231F20"/>
          <w:w w:val="120"/>
        </w:rPr>
        <w:t>ressources</w:t>
      </w:r>
      <w:r>
        <w:rPr>
          <w:color w:val="231F20"/>
          <w:spacing w:val="-6"/>
          <w:w w:val="120"/>
        </w:rPr>
        <w:t> </w:t>
      </w:r>
      <w:r>
        <w:rPr>
          <w:color w:val="231F20"/>
          <w:w w:val="120"/>
        </w:rPr>
        <w:t>se</w:t>
      </w:r>
      <w:r>
        <w:rPr>
          <w:color w:val="231F20"/>
          <w:spacing w:val="-6"/>
          <w:w w:val="120"/>
        </w:rPr>
        <w:t> </w:t>
      </w:r>
      <w:r>
        <w:rPr>
          <w:color w:val="231F20"/>
          <w:w w:val="120"/>
        </w:rPr>
        <w:t>regroupent</w:t>
      </w:r>
      <w:r>
        <w:rPr>
          <w:color w:val="231F20"/>
          <w:spacing w:val="-6"/>
          <w:w w:val="120"/>
        </w:rPr>
        <w:t> </w:t>
      </w:r>
      <w:r>
        <w:rPr>
          <w:color w:val="231F20"/>
          <w:w w:val="120"/>
        </w:rPr>
        <w:t>dans</w:t>
      </w:r>
      <w:r>
        <w:rPr>
          <w:color w:val="231F20"/>
          <w:spacing w:val="-6"/>
          <w:w w:val="120"/>
        </w:rPr>
        <w:t> </w:t>
      </w:r>
      <w:r>
        <w:rPr>
          <w:color w:val="231F20"/>
          <w:w w:val="120"/>
        </w:rPr>
        <w:t>ce</w:t>
      </w:r>
      <w:r>
        <w:rPr>
          <w:color w:val="231F20"/>
          <w:spacing w:val="-6"/>
          <w:w w:val="120"/>
        </w:rPr>
        <w:t> </w:t>
      </w:r>
      <w:r>
        <w:rPr>
          <w:color w:val="231F20"/>
          <w:w w:val="120"/>
        </w:rPr>
        <w:t>qu’on peut</w:t>
      </w:r>
      <w:r>
        <w:rPr>
          <w:color w:val="231F20"/>
          <w:spacing w:val="-13"/>
          <w:w w:val="120"/>
        </w:rPr>
        <w:t> </w:t>
      </w:r>
      <w:r>
        <w:rPr>
          <w:color w:val="231F20"/>
          <w:w w:val="120"/>
        </w:rPr>
        <w:t>appeler</w:t>
      </w:r>
      <w:r>
        <w:rPr>
          <w:color w:val="231F20"/>
          <w:spacing w:val="-13"/>
          <w:w w:val="120"/>
        </w:rPr>
        <w:t> </w:t>
      </w:r>
      <w:r>
        <w:rPr>
          <w:color w:val="231F20"/>
          <w:w w:val="120"/>
        </w:rPr>
        <w:t>les</w:t>
      </w:r>
      <w:r>
        <w:rPr>
          <w:color w:val="231F20"/>
          <w:spacing w:val="-13"/>
          <w:w w:val="120"/>
        </w:rPr>
        <w:t> </w:t>
      </w:r>
      <w:r>
        <w:rPr>
          <w:color w:val="231F20"/>
          <w:w w:val="120"/>
        </w:rPr>
        <w:t>agents</w:t>
      </w:r>
      <w:r>
        <w:rPr>
          <w:color w:val="231F20"/>
          <w:spacing w:val="-12"/>
          <w:w w:val="120"/>
        </w:rPr>
        <w:t> </w:t>
      </w:r>
      <w:r>
        <w:rPr>
          <w:color w:val="231F20"/>
          <w:w w:val="120"/>
        </w:rPr>
        <w:t>d’assimilation,</w:t>
      </w:r>
      <w:r>
        <w:rPr>
          <w:color w:val="231F20"/>
          <w:spacing w:val="-13"/>
          <w:w w:val="120"/>
        </w:rPr>
        <w:t> </w:t>
      </w:r>
      <w:r>
        <w:rPr>
          <w:color w:val="231F20"/>
          <w:w w:val="120"/>
        </w:rPr>
        <w:t>car</w:t>
      </w:r>
      <w:r>
        <w:rPr>
          <w:color w:val="231F20"/>
          <w:spacing w:val="-13"/>
          <w:w w:val="120"/>
        </w:rPr>
        <w:t> </w:t>
      </w:r>
      <w:r>
        <w:rPr>
          <w:color w:val="231F20"/>
          <w:w w:val="120"/>
        </w:rPr>
        <w:t>ils</w:t>
      </w:r>
      <w:r>
        <w:rPr>
          <w:color w:val="231F20"/>
          <w:spacing w:val="-13"/>
          <w:w w:val="120"/>
        </w:rPr>
        <w:t> </w:t>
      </w:r>
      <w:r>
        <w:rPr>
          <w:color w:val="231F20"/>
          <w:w w:val="120"/>
        </w:rPr>
        <w:t>viennent</w:t>
      </w:r>
      <w:r>
        <w:rPr>
          <w:color w:val="231F20"/>
          <w:spacing w:val="-12"/>
          <w:w w:val="120"/>
        </w:rPr>
        <w:t> </w:t>
      </w:r>
      <w:r>
        <w:rPr>
          <w:color w:val="231F20"/>
          <w:w w:val="120"/>
        </w:rPr>
        <w:t>teinter</w:t>
      </w:r>
      <w:r>
        <w:rPr>
          <w:color w:val="231F20"/>
          <w:spacing w:val="-13"/>
          <w:w w:val="120"/>
        </w:rPr>
        <w:t> </w:t>
      </w:r>
      <w:r>
        <w:rPr>
          <w:color w:val="231F20"/>
          <w:w w:val="120"/>
        </w:rPr>
        <w:t>notre</w:t>
      </w:r>
      <w:r>
        <w:rPr>
          <w:color w:val="231F20"/>
          <w:spacing w:val="-13"/>
          <w:w w:val="120"/>
        </w:rPr>
        <w:t> </w:t>
      </w:r>
      <w:r>
        <w:rPr>
          <w:color w:val="231F20"/>
          <w:w w:val="120"/>
        </w:rPr>
        <w:t>assi- milation</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réalité.</w:t>
      </w:r>
      <w:r>
        <w:rPr>
          <w:color w:val="231F20"/>
          <w:spacing w:val="-8"/>
          <w:w w:val="120"/>
        </w:rPr>
        <w:t> </w:t>
      </w:r>
      <w:r>
        <w:rPr>
          <w:color w:val="231F20"/>
          <w:w w:val="120"/>
        </w:rPr>
        <w:t>Plusieurs</w:t>
      </w:r>
      <w:r>
        <w:rPr>
          <w:color w:val="231F20"/>
          <w:spacing w:val="-8"/>
          <w:w w:val="120"/>
        </w:rPr>
        <w:t> </w:t>
      </w:r>
      <w:r>
        <w:rPr>
          <w:color w:val="231F20"/>
          <w:w w:val="120"/>
        </w:rPr>
        <w:t>éléments</w:t>
      </w:r>
      <w:r>
        <w:rPr>
          <w:color w:val="231F20"/>
          <w:spacing w:val="-8"/>
          <w:w w:val="120"/>
        </w:rPr>
        <w:t> </w:t>
      </w:r>
      <w:r>
        <w:rPr>
          <w:color w:val="231F20"/>
          <w:w w:val="120"/>
        </w:rPr>
        <w:t>peuvent</w:t>
      </w:r>
      <w:r>
        <w:rPr>
          <w:color w:val="231F20"/>
          <w:spacing w:val="-8"/>
          <w:w w:val="120"/>
        </w:rPr>
        <w:t> </w:t>
      </w:r>
      <w:r>
        <w:rPr>
          <w:color w:val="231F20"/>
          <w:w w:val="120"/>
        </w:rPr>
        <w:t>jouer</w:t>
      </w:r>
      <w:r>
        <w:rPr>
          <w:color w:val="231F20"/>
          <w:spacing w:val="-8"/>
          <w:w w:val="120"/>
        </w:rPr>
        <w:t> </w:t>
      </w:r>
      <w:r>
        <w:rPr>
          <w:color w:val="231F20"/>
          <w:w w:val="120"/>
        </w:rPr>
        <w:t>ce</w:t>
      </w:r>
      <w:r>
        <w:rPr>
          <w:color w:val="231F20"/>
          <w:spacing w:val="-8"/>
          <w:w w:val="120"/>
        </w:rPr>
        <w:t> </w:t>
      </w:r>
      <w:r>
        <w:rPr>
          <w:color w:val="231F20"/>
          <w:w w:val="120"/>
        </w:rPr>
        <w:t>rôle,</w:t>
      </w:r>
      <w:r>
        <w:rPr>
          <w:color w:val="231F20"/>
          <w:spacing w:val="-8"/>
          <w:w w:val="120"/>
        </w:rPr>
        <w:t> </w:t>
      </w:r>
      <w:r>
        <w:rPr>
          <w:color w:val="231F20"/>
          <w:w w:val="120"/>
        </w:rPr>
        <w:t>mais</w:t>
      </w:r>
      <w:r>
        <w:rPr>
          <w:color w:val="231F20"/>
          <w:spacing w:val="-8"/>
          <w:w w:val="120"/>
        </w:rPr>
        <w:t> </w:t>
      </w:r>
      <w:r>
        <w:rPr>
          <w:color w:val="231F20"/>
          <w:w w:val="120"/>
        </w:rPr>
        <w:t>en milieu organisationnel on peut les regrouper comme étant des agents d’assimilation</w:t>
      </w:r>
      <w:r>
        <w:rPr>
          <w:color w:val="231F20"/>
          <w:spacing w:val="-9"/>
          <w:w w:val="120"/>
        </w:rPr>
        <w:t> </w:t>
      </w:r>
      <w:r>
        <w:rPr>
          <w:color w:val="231F20"/>
          <w:w w:val="120"/>
        </w:rPr>
        <w:t>expérientiels</w:t>
      </w:r>
      <w:r>
        <w:rPr>
          <w:color w:val="231F20"/>
          <w:spacing w:val="-9"/>
          <w:w w:val="120"/>
        </w:rPr>
        <w:t> </w:t>
      </w:r>
      <w:r>
        <w:rPr>
          <w:color w:val="231F20"/>
          <w:w w:val="120"/>
        </w:rPr>
        <w:t>(p.</w:t>
      </w:r>
      <w:r>
        <w:rPr>
          <w:color w:val="231F20"/>
          <w:spacing w:val="-9"/>
          <w:w w:val="120"/>
        </w:rPr>
        <w:t> </w:t>
      </w:r>
      <w:r>
        <w:rPr>
          <w:color w:val="231F20"/>
          <w:w w:val="120"/>
        </w:rPr>
        <w:t>ex.</w:t>
      </w:r>
      <w:r>
        <w:rPr>
          <w:color w:val="231F20"/>
          <w:spacing w:val="-9"/>
          <w:w w:val="120"/>
        </w:rPr>
        <w:t> </w:t>
      </w:r>
      <w:r>
        <w:rPr>
          <w:color w:val="231F20"/>
          <w:w w:val="120"/>
        </w:rPr>
        <w:t>habiletés,</w:t>
      </w:r>
      <w:r>
        <w:rPr>
          <w:color w:val="231F20"/>
          <w:spacing w:val="-9"/>
          <w:w w:val="120"/>
        </w:rPr>
        <w:t> </w:t>
      </w:r>
      <w:r>
        <w:rPr>
          <w:color w:val="231F20"/>
          <w:w w:val="120"/>
        </w:rPr>
        <w:t>compétences,</w:t>
      </w:r>
      <w:r>
        <w:rPr>
          <w:color w:val="231F20"/>
          <w:spacing w:val="-9"/>
          <w:w w:val="120"/>
        </w:rPr>
        <w:t> </w:t>
      </w:r>
      <w:r>
        <w:rPr>
          <w:color w:val="231F20"/>
          <w:w w:val="120"/>
        </w:rPr>
        <w:t>formation), dispositionnels</w:t>
      </w:r>
      <w:r>
        <w:rPr>
          <w:color w:val="231F20"/>
          <w:spacing w:val="-8"/>
          <w:w w:val="120"/>
        </w:rPr>
        <w:t> </w:t>
      </w:r>
      <w:r>
        <w:rPr>
          <w:color w:val="231F20"/>
          <w:w w:val="120"/>
        </w:rPr>
        <w:t>(p.</w:t>
      </w:r>
      <w:r>
        <w:rPr>
          <w:color w:val="231F20"/>
          <w:spacing w:val="-8"/>
          <w:w w:val="120"/>
        </w:rPr>
        <w:t> </w:t>
      </w:r>
      <w:r>
        <w:rPr>
          <w:color w:val="231F20"/>
          <w:w w:val="120"/>
        </w:rPr>
        <w:t>ex.</w:t>
      </w:r>
      <w:r>
        <w:rPr>
          <w:color w:val="231F20"/>
          <w:spacing w:val="-8"/>
          <w:w w:val="120"/>
        </w:rPr>
        <w:t> </w:t>
      </w:r>
      <w:r>
        <w:rPr>
          <w:color w:val="231F20"/>
          <w:w w:val="120"/>
        </w:rPr>
        <w:t>personnalité,</w:t>
      </w:r>
      <w:r>
        <w:rPr>
          <w:color w:val="231F20"/>
          <w:spacing w:val="-8"/>
          <w:w w:val="120"/>
        </w:rPr>
        <w:t> </w:t>
      </w:r>
      <w:r>
        <w:rPr>
          <w:color w:val="231F20"/>
          <w:w w:val="120"/>
        </w:rPr>
        <w:t>attitudes,</w:t>
      </w:r>
      <w:r>
        <w:rPr>
          <w:color w:val="231F20"/>
          <w:spacing w:val="-8"/>
          <w:w w:val="120"/>
        </w:rPr>
        <w:t> </w:t>
      </w:r>
      <w:r>
        <w:rPr>
          <w:color w:val="231F20"/>
          <w:w w:val="120"/>
        </w:rPr>
        <w:t>autoefficacité)</w:t>
      </w:r>
      <w:r>
        <w:rPr>
          <w:color w:val="231F20"/>
          <w:spacing w:val="-8"/>
          <w:w w:val="120"/>
        </w:rPr>
        <w:t> </w:t>
      </w:r>
      <w:r>
        <w:rPr>
          <w:color w:val="231F20"/>
          <w:w w:val="120"/>
        </w:rPr>
        <w:t>et</w:t>
      </w:r>
      <w:r>
        <w:rPr>
          <w:color w:val="231F20"/>
          <w:spacing w:val="-8"/>
          <w:w w:val="120"/>
        </w:rPr>
        <w:t> </w:t>
      </w:r>
      <w:r>
        <w:rPr>
          <w:color w:val="231F20"/>
          <w:w w:val="120"/>
        </w:rPr>
        <w:t>contex- tuels</w:t>
      </w:r>
      <w:r>
        <w:rPr>
          <w:color w:val="231F20"/>
          <w:spacing w:val="-8"/>
          <w:w w:val="120"/>
        </w:rPr>
        <w:t> </w:t>
      </w:r>
      <w:r>
        <w:rPr>
          <w:color w:val="231F20"/>
          <w:w w:val="120"/>
        </w:rPr>
        <w:t>(p.</w:t>
      </w:r>
      <w:r>
        <w:rPr>
          <w:color w:val="231F20"/>
          <w:spacing w:val="-8"/>
          <w:w w:val="120"/>
        </w:rPr>
        <w:t> </w:t>
      </w:r>
      <w:r>
        <w:rPr>
          <w:color w:val="231F20"/>
          <w:w w:val="120"/>
        </w:rPr>
        <w:t>ex.</w:t>
      </w:r>
      <w:r>
        <w:rPr>
          <w:color w:val="231F20"/>
          <w:spacing w:val="-8"/>
          <w:w w:val="120"/>
        </w:rPr>
        <w:t> </w:t>
      </w:r>
      <w:r>
        <w:rPr>
          <w:color w:val="231F20"/>
          <w:w w:val="120"/>
        </w:rPr>
        <w:t>valeurs,</w:t>
      </w:r>
      <w:r>
        <w:rPr>
          <w:color w:val="231F20"/>
          <w:spacing w:val="-8"/>
          <w:w w:val="120"/>
        </w:rPr>
        <w:t> </w:t>
      </w:r>
      <w:r>
        <w:rPr>
          <w:color w:val="231F20"/>
          <w:w w:val="120"/>
        </w:rPr>
        <w:t>soutien,</w:t>
      </w:r>
      <w:r>
        <w:rPr>
          <w:color w:val="231F20"/>
          <w:spacing w:val="-8"/>
          <w:w w:val="120"/>
        </w:rPr>
        <w:t> </w:t>
      </w:r>
      <w:r>
        <w:rPr>
          <w:color w:val="231F20"/>
          <w:w w:val="120"/>
        </w:rPr>
        <w:t>leadership).</w:t>
      </w:r>
      <w:r>
        <w:rPr>
          <w:color w:val="231F20"/>
          <w:spacing w:val="-8"/>
          <w:w w:val="120"/>
        </w:rPr>
        <w:t> </w:t>
      </w:r>
      <w:r>
        <w:rPr>
          <w:color w:val="231F20"/>
          <w:w w:val="120"/>
        </w:rPr>
        <w:t>La</w:t>
      </w:r>
      <w:r>
        <w:rPr>
          <w:color w:val="231F20"/>
          <w:spacing w:val="-8"/>
          <w:w w:val="120"/>
        </w:rPr>
        <w:t> </w:t>
      </w:r>
      <w:r>
        <w:rPr>
          <w:color w:val="231F20"/>
          <w:w w:val="120"/>
        </w:rPr>
        <w:t>présence,</w:t>
      </w:r>
      <w:r>
        <w:rPr>
          <w:color w:val="231F20"/>
          <w:spacing w:val="-8"/>
          <w:w w:val="120"/>
        </w:rPr>
        <w:t> </w:t>
      </w:r>
      <w:r>
        <w:rPr>
          <w:color w:val="231F20"/>
          <w:w w:val="120"/>
        </w:rPr>
        <w:t>ou</w:t>
      </w:r>
      <w:r>
        <w:rPr>
          <w:color w:val="231F20"/>
          <w:spacing w:val="-8"/>
          <w:w w:val="120"/>
        </w:rPr>
        <w:t> </w:t>
      </w:r>
      <w:r>
        <w:rPr>
          <w:color w:val="231F20"/>
          <w:w w:val="120"/>
        </w:rPr>
        <w:t>l’absence,</w:t>
      </w:r>
      <w:r>
        <w:rPr>
          <w:color w:val="231F20"/>
          <w:spacing w:val="-8"/>
          <w:w w:val="120"/>
        </w:rPr>
        <w:t> </w:t>
      </w:r>
      <w:r>
        <w:rPr>
          <w:color w:val="231F20"/>
          <w:w w:val="120"/>
        </w:rPr>
        <w:t>de certains</w:t>
      </w:r>
      <w:r>
        <w:rPr>
          <w:color w:val="231F20"/>
          <w:spacing w:val="-12"/>
          <w:w w:val="120"/>
        </w:rPr>
        <w:t> </w:t>
      </w:r>
      <w:r>
        <w:rPr>
          <w:color w:val="231F20"/>
          <w:w w:val="120"/>
        </w:rPr>
        <w:t>agents</w:t>
      </w:r>
      <w:r>
        <w:rPr>
          <w:color w:val="231F20"/>
          <w:spacing w:val="-12"/>
          <w:w w:val="120"/>
        </w:rPr>
        <w:t> </w:t>
      </w:r>
      <w:r>
        <w:rPr>
          <w:color w:val="231F20"/>
          <w:w w:val="120"/>
        </w:rPr>
        <w:t>d’assimilation</w:t>
      </w:r>
      <w:r>
        <w:rPr>
          <w:color w:val="231F20"/>
          <w:spacing w:val="-12"/>
          <w:w w:val="120"/>
        </w:rPr>
        <w:t> </w:t>
      </w:r>
      <w:r>
        <w:rPr>
          <w:color w:val="231F20"/>
          <w:w w:val="120"/>
        </w:rPr>
        <w:t>explique</w:t>
      </w:r>
      <w:r>
        <w:rPr>
          <w:color w:val="231F20"/>
          <w:spacing w:val="-12"/>
          <w:w w:val="120"/>
        </w:rPr>
        <w:t> </w:t>
      </w:r>
      <w:r>
        <w:rPr>
          <w:color w:val="231F20"/>
          <w:w w:val="120"/>
        </w:rPr>
        <w:t>en</w:t>
      </w:r>
      <w:r>
        <w:rPr>
          <w:color w:val="231F20"/>
          <w:spacing w:val="-12"/>
          <w:w w:val="120"/>
        </w:rPr>
        <w:t> </w:t>
      </w:r>
      <w:r>
        <w:rPr>
          <w:color w:val="231F20"/>
          <w:w w:val="120"/>
        </w:rPr>
        <w:t>partie</w:t>
      </w:r>
      <w:r>
        <w:rPr>
          <w:color w:val="231F20"/>
          <w:spacing w:val="-12"/>
          <w:w w:val="120"/>
        </w:rPr>
        <w:t> </w:t>
      </w:r>
      <w:r>
        <w:rPr>
          <w:color w:val="231F20"/>
          <w:w w:val="120"/>
        </w:rPr>
        <w:t>pourquoi</w:t>
      </w:r>
      <w:r>
        <w:rPr>
          <w:color w:val="231F20"/>
          <w:spacing w:val="-12"/>
          <w:w w:val="120"/>
        </w:rPr>
        <w:t> </w:t>
      </w:r>
      <w:r>
        <w:rPr>
          <w:color w:val="231F20"/>
          <w:w w:val="120"/>
        </w:rPr>
        <w:t>une</w:t>
      </w:r>
      <w:r>
        <w:rPr>
          <w:color w:val="231F20"/>
          <w:spacing w:val="-12"/>
          <w:w w:val="120"/>
        </w:rPr>
        <w:t> </w:t>
      </w:r>
      <w:r>
        <w:rPr>
          <w:color w:val="231F20"/>
          <w:w w:val="120"/>
        </w:rPr>
        <w:t>situation </w:t>
      </w:r>
      <w:r>
        <w:rPr>
          <w:color w:val="231F20"/>
          <w:spacing w:val="-2"/>
          <w:w w:val="120"/>
        </w:rPr>
        <w:t>est</w:t>
      </w:r>
      <w:r>
        <w:rPr>
          <w:color w:val="231F20"/>
          <w:spacing w:val="-11"/>
          <w:w w:val="120"/>
        </w:rPr>
        <w:t> </w:t>
      </w:r>
      <w:r>
        <w:rPr>
          <w:color w:val="231F20"/>
          <w:spacing w:val="-2"/>
          <w:w w:val="120"/>
        </w:rPr>
        <w:t>jugée</w:t>
      </w:r>
      <w:r>
        <w:rPr>
          <w:color w:val="231F20"/>
          <w:spacing w:val="-11"/>
          <w:w w:val="120"/>
        </w:rPr>
        <w:t> </w:t>
      </w:r>
      <w:r>
        <w:rPr>
          <w:color w:val="231F20"/>
          <w:spacing w:val="-2"/>
          <w:w w:val="120"/>
        </w:rPr>
        <w:t>très</w:t>
      </w:r>
      <w:r>
        <w:rPr>
          <w:color w:val="231F20"/>
          <w:spacing w:val="-11"/>
          <w:w w:val="120"/>
        </w:rPr>
        <w:t> </w:t>
      </w:r>
      <w:r>
        <w:rPr>
          <w:color w:val="231F20"/>
          <w:spacing w:val="-2"/>
          <w:w w:val="120"/>
        </w:rPr>
        <w:t>stressante</w:t>
      </w:r>
      <w:r>
        <w:rPr>
          <w:color w:val="231F20"/>
          <w:spacing w:val="-10"/>
          <w:w w:val="120"/>
        </w:rPr>
        <w:t> </w:t>
      </w:r>
      <w:r>
        <w:rPr>
          <w:color w:val="231F20"/>
          <w:spacing w:val="-2"/>
          <w:w w:val="120"/>
        </w:rPr>
        <w:t>par</w:t>
      </w:r>
      <w:r>
        <w:rPr>
          <w:color w:val="231F20"/>
          <w:spacing w:val="-11"/>
          <w:w w:val="120"/>
        </w:rPr>
        <w:t> </w:t>
      </w:r>
      <w:r>
        <w:rPr>
          <w:color w:val="231F20"/>
          <w:spacing w:val="-2"/>
          <w:w w:val="120"/>
        </w:rPr>
        <w:t>un</w:t>
      </w:r>
      <w:r>
        <w:rPr>
          <w:color w:val="231F20"/>
          <w:spacing w:val="-11"/>
          <w:w w:val="120"/>
        </w:rPr>
        <w:t> </w:t>
      </w:r>
      <w:r>
        <w:rPr>
          <w:color w:val="231F20"/>
          <w:spacing w:val="-2"/>
          <w:w w:val="120"/>
        </w:rPr>
        <w:t>employé,</w:t>
      </w:r>
      <w:r>
        <w:rPr>
          <w:color w:val="231F20"/>
          <w:spacing w:val="-11"/>
          <w:w w:val="120"/>
        </w:rPr>
        <w:t> </w:t>
      </w:r>
      <w:r>
        <w:rPr>
          <w:color w:val="231F20"/>
          <w:spacing w:val="-2"/>
          <w:w w:val="120"/>
        </w:rPr>
        <w:t>et</w:t>
      </w:r>
      <w:r>
        <w:rPr>
          <w:color w:val="231F20"/>
          <w:spacing w:val="-10"/>
          <w:w w:val="120"/>
        </w:rPr>
        <w:t> </w:t>
      </w:r>
      <w:r>
        <w:rPr>
          <w:color w:val="231F20"/>
          <w:spacing w:val="-2"/>
          <w:w w:val="120"/>
        </w:rPr>
        <w:t>peu</w:t>
      </w:r>
      <w:r>
        <w:rPr>
          <w:color w:val="231F20"/>
          <w:spacing w:val="-11"/>
          <w:w w:val="120"/>
        </w:rPr>
        <w:t> </w:t>
      </w:r>
      <w:r>
        <w:rPr>
          <w:color w:val="231F20"/>
          <w:spacing w:val="-2"/>
          <w:w w:val="120"/>
        </w:rPr>
        <w:t>par</w:t>
      </w:r>
      <w:r>
        <w:rPr>
          <w:color w:val="231F20"/>
          <w:spacing w:val="-11"/>
          <w:w w:val="120"/>
        </w:rPr>
        <w:t> </w:t>
      </w:r>
      <w:r>
        <w:rPr>
          <w:color w:val="231F20"/>
          <w:spacing w:val="-2"/>
          <w:w w:val="120"/>
        </w:rPr>
        <w:t>un</w:t>
      </w:r>
      <w:r>
        <w:rPr>
          <w:color w:val="231F20"/>
          <w:spacing w:val="-11"/>
          <w:w w:val="120"/>
        </w:rPr>
        <w:t> </w:t>
      </w:r>
      <w:r>
        <w:rPr>
          <w:color w:val="231F20"/>
          <w:spacing w:val="-2"/>
          <w:w w:val="120"/>
        </w:rPr>
        <w:t>autre;</w:t>
      </w:r>
      <w:r>
        <w:rPr>
          <w:color w:val="231F20"/>
          <w:spacing w:val="-10"/>
          <w:w w:val="120"/>
        </w:rPr>
        <w:t> </w:t>
      </w:r>
      <w:r>
        <w:rPr>
          <w:color w:val="231F20"/>
          <w:spacing w:val="-2"/>
          <w:w w:val="120"/>
        </w:rPr>
        <w:t>la</w:t>
      </w:r>
      <w:r>
        <w:rPr>
          <w:color w:val="231F20"/>
          <w:spacing w:val="-11"/>
          <w:w w:val="120"/>
        </w:rPr>
        <w:t> </w:t>
      </w:r>
      <w:r>
        <w:rPr>
          <w:color w:val="231F20"/>
          <w:spacing w:val="-2"/>
          <w:w w:val="120"/>
        </w:rPr>
        <w:t>perception </w:t>
      </w:r>
      <w:r>
        <w:rPr>
          <w:color w:val="231F20"/>
          <w:w w:val="120"/>
        </w:rPr>
        <w:t>d’une situation étant hautement individuelle.</w:t>
      </w:r>
    </w:p>
    <w:p>
      <w:pPr>
        <w:pStyle w:val="BodyText"/>
        <w:rPr>
          <w:sz w:val="24"/>
        </w:rPr>
      </w:pPr>
    </w:p>
    <w:p>
      <w:pPr>
        <w:spacing w:before="181"/>
        <w:ind w:left="900" w:right="0" w:firstLine="0"/>
        <w:jc w:val="both"/>
        <w:rPr>
          <w:rFonts w:ascii="Arial" w:hAnsi="Arial"/>
          <w:b/>
          <w:sz w:val="17"/>
        </w:rPr>
      </w:pPr>
      <w:r>
        <w:rPr/>
        <w:pict>
          <v:shape style="position:absolute;margin-left:82pt;margin-top:21.092388pt;width:287.5pt;height:.1pt;mso-position-horizontal-relative:page;mso-position-vertical-relative:paragraph;z-index:-15694848;mso-wrap-distance-left:0;mso-wrap-distance-right:0" id="docshape516" coordorigin="1640,422" coordsize="5750,0" path="m1640,422l7390,422e" filled="false" stroked="true" strokeweight=".25pt" strokecolor="#231f20">
            <v:path arrowok="t"/>
            <v:stroke dashstyle="shortdot"/>
            <w10:wrap type="topAndBottom"/>
          </v:shape>
        </w:pict>
      </w:r>
      <w:r>
        <w:rPr>
          <w:rFonts w:ascii="Arial" w:hAnsi="Arial"/>
          <w:color w:val="231F20"/>
          <w:sz w:val="17"/>
        </w:rPr>
        <w:t>Matière</w:t>
      </w:r>
      <w:r>
        <w:rPr>
          <w:rFonts w:ascii="Arial" w:hAnsi="Arial"/>
          <w:color w:val="231F20"/>
          <w:spacing w:val="-2"/>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réFlexion</w:t>
      </w:r>
      <w:r>
        <w:rPr>
          <w:rFonts w:ascii="Arial" w:hAnsi="Arial"/>
          <w:color w:val="231F20"/>
          <w:spacing w:val="-13"/>
          <w:sz w:val="17"/>
        </w:rPr>
        <w:t> </w:t>
      </w:r>
      <w:r>
        <w:rPr>
          <w:rFonts w:ascii="Arial" w:hAnsi="Arial"/>
          <w:i/>
          <w:color w:val="231F20"/>
          <w:sz w:val="17"/>
        </w:rPr>
        <w:t>/</w:t>
      </w:r>
      <w:r>
        <w:rPr>
          <w:rFonts w:ascii="Arial" w:hAnsi="Arial"/>
          <w:i/>
          <w:color w:val="231F20"/>
          <w:spacing w:val="44"/>
          <w:sz w:val="17"/>
        </w:rPr>
        <w:t> </w:t>
      </w:r>
      <w:r>
        <w:rPr>
          <w:rFonts w:ascii="Arial" w:hAnsi="Arial"/>
          <w:b/>
          <w:color w:val="231F20"/>
          <w:sz w:val="17"/>
        </w:rPr>
        <w:t>L’approche</w:t>
      </w:r>
      <w:r>
        <w:rPr>
          <w:rFonts w:ascii="Arial" w:hAnsi="Arial"/>
          <w:b/>
          <w:color w:val="231F20"/>
          <w:spacing w:val="-6"/>
          <w:sz w:val="17"/>
        </w:rPr>
        <w:t> </w:t>
      </w:r>
      <w:r>
        <w:rPr>
          <w:rFonts w:ascii="Arial" w:hAnsi="Arial"/>
          <w:b/>
          <w:color w:val="231F20"/>
          <w:sz w:val="17"/>
        </w:rPr>
        <w:t>psychanalytique</w:t>
      </w:r>
      <w:r>
        <w:rPr>
          <w:rFonts w:ascii="Arial" w:hAnsi="Arial"/>
          <w:b/>
          <w:color w:val="231F20"/>
          <w:spacing w:val="-7"/>
          <w:sz w:val="17"/>
        </w:rPr>
        <w:t> </w:t>
      </w:r>
      <w:r>
        <w:rPr>
          <w:rFonts w:ascii="Arial" w:hAnsi="Arial"/>
          <w:b/>
          <w:color w:val="231F20"/>
          <w:sz w:val="17"/>
        </w:rPr>
        <w:t>de</w:t>
      </w:r>
      <w:r>
        <w:rPr>
          <w:rFonts w:ascii="Arial" w:hAnsi="Arial"/>
          <w:b/>
          <w:color w:val="231F20"/>
          <w:spacing w:val="-7"/>
          <w:sz w:val="17"/>
        </w:rPr>
        <w:t> </w:t>
      </w:r>
      <w:r>
        <w:rPr>
          <w:rFonts w:ascii="Arial" w:hAnsi="Arial"/>
          <w:b/>
          <w:color w:val="231F20"/>
          <w:spacing w:val="-2"/>
          <w:sz w:val="17"/>
        </w:rPr>
        <w:t>Menninger</w:t>
      </w:r>
    </w:p>
    <w:p>
      <w:pPr>
        <w:pStyle w:val="BodyText"/>
        <w:spacing w:before="3"/>
        <w:rPr>
          <w:rFonts w:ascii="Arial"/>
          <w:b/>
          <w:sz w:val="22"/>
        </w:rPr>
      </w:pPr>
    </w:p>
    <w:p>
      <w:pPr>
        <w:pStyle w:val="BodyText"/>
        <w:spacing w:line="307" w:lineRule="auto"/>
        <w:ind w:left="900" w:right="355"/>
        <w:jc w:val="both"/>
        <w:rPr>
          <w:rFonts w:ascii="Arial" w:hAnsi="Arial"/>
        </w:rPr>
      </w:pPr>
      <w:r>
        <w:rPr>
          <w:rFonts w:ascii="Arial" w:hAnsi="Arial"/>
          <w:color w:val="231F20"/>
        </w:rPr>
        <w:t>Karl Augustus Menninger était un psychiatre américain et un membre de la</w:t>
      </w:r>
      <w:r>
        <w:rPr>
          <w:rFonts w:ascii="Arial" w:hAnsi="Arial"/>
          <w:color w:val="231F20"/>
          <w:spacing w:val="-3"/>
        </w:rPr>
        <w:t> </w:t>
      </w:r>
      <w:r>
        <w:rPr>
          <w:rFonts w:ascii="Arial" w:hAnsi="Arial"/>
          <w:color w:val="231F20"/>
        </w:rPr>
        <w:t>célèbre</w:t>
      </w:r>
      <w:r>
        <w:rPr>
          <w:rFonts w:ascii="Arial" w:hAnsi="Arial"/>
          <w:color w:val="231F20"/>
          <w:spacing w:val="-3"/>
        </w:rPr>
        <w:t> </w:t>
      </w:r>
      <w:r>
        <w:rPr>
          <w:rFonts w:ascii="Arial" w:hAnsi="Arial"/>
          <w:color w:val="231F20"/>
        </w:rPr>
        <w:t>famille</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psychiatres</w:t>
      </w:r>
      <w:r>
        <w:rPr>
          <w:rFonts w:ascii="Arial" w:hAnsi="Arial"/>
          <w:color w:val="231F20"/>
          <w:spacing w:val="-3"/>
        </w:rPr>
        <w:t> </w:t>
      </w:r>
      <w:r>
        <w:rPr>
          <w:rFonts w:ascii="Arial" w:hAnsi="Arial"/>
          <w:color w:val="231F20"/>
        </w:rPr>
        <w:t>qui</w:t>
      </w:r>
      <w:r>
        <w:rPr>
          <w:rFonts w:ascii="Arial" w:hAnsi="Arial"/>
          <w:color w:val="231F20"/>
          <w:spacing w:val="-3"/>
        </w:rPr>
        <w:t> </w:t>
      </w:r>
      <w:r>
        <w:rPr>
          <w:rFonts w:ascii="Arial" w:hAnsi="Arial"/>
          <w:color w:val="231F20"/>
        </w:rPr>
        <w:t>a</w:t>
      </w:r>
      <w:r>
        <w:rPr>
          <w:rFonts w:ascii="Arial" w:hAnsi="Arial"/>
          <w:color w:val="231F20"/>
          <w:spacing w:val="-3"/>
        </w:rPr>
        <w:t> </w:t>
      </w:r>
      <w:r>
        <w:rPr>
          <w:rFonts w:ascii="Arial" w:hAnsi="Arial"/>
          <w:color w:val="231F20"/>
        </w:rPr>
        <w:t>établi</w:t>
      </w:r>
      <w:r>
        <w:rPr>
          <w:rFonts w:ascii="Arial" w:hAnsi="Arial"/>
          <w:color w:val="231F20"/>
          <w:spacing w:val="-3"/>
        </w:rPr>
        <w:t> </w:t>
      </w:r>
      <w:r>
        <w:rPr>
          <w:rFonts w:ascii="Arial" w:hAnsi="Arial"/>
          <w:color w:val="231F20"/>
        </w:rPr>
        <w:t>la</w:t>
      </w:r>
      <w:r>
        <w:rPr>
          <w:rFonts w:ascii="Arial" w:hAnsi="Arial"/>
          <w:color w:val="231F20"/>
          <w:spacing w:val="-3"/>
        </w:rPr>
        <w:t> </w:t>
      </w:r>
      <w:r>
        <w:rPr>
          <w:rFonts w:ascii="Arial" w:hAnsi="Arial"/>
          <w:color w:val="231F20"/>
        </w:rPr>
        <w:t>Fondation</w:t>
      </w:r>
      <w:r>
        <w:rPr>
          <w:rFonts w:ascii="Arial" w:hAnsi="Arial"/>
          <w:color w:val="231F20"/>
          <w:spacing w:val="-3"/>
        </w:rPr>
        <w:t> </w:t>
      </w:r>
      <w:r>
        <w:rPr>
          <w:rFonts w:ascii="Arial" w:hAnsi="Arial"/>
          <w:color w:val="231F20"/>
        </w:rPr>
        <w:t>Menninger</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la clinique</w:t>
      </w:r>
      <w:r>
        <w:rPr>
          <w:rFonts w:ascii="Arial" w:hAnsi="Arial"/>
          <w:color w:val="231F20"/>
          <w:spacing w:val="20"/>
        </w:rPr>
        <w:t> </w:t>
      </w:r>
      <w:r>
        <w:rPr>
          <w:rFonts w:ascii="Arial" w:hAnsi="Arial"/>
          <w:color w:val="231F20"/>
        </w:rPr>
        <w:t>Menninger</w:t>
      </w:r>
      <w:r>
        <w:rPr>
          <w:rFonts w:ascii="Arial" w:hAnsi="Arial"/>
          <w:color w:val="231F20"/>
          <w:spacing w:val="20"/>
        </w:rPr>
        <w:t> </w:t>
      </w:r>
      <w:r>
        <w:rPr>
          <w:rFonts w:ascii="Arial" w:hAnsi="Arial"/>
          <w:color w:val="231F20"/>
        </w:rPr>
        <w:t>à</w:t>
      </w:r>
      <w:r>
        <w:rPr>
          <w:rFonts w:ascii="Arial" w:hAnsi="Arial"/>
          <w:color w:val="231F20"/>
          <w:spacing w:val="20"/>
        </w:rPr>
        <w:t> </w:t>
      </w:r>
      <w:r>
        <w:rPr>
          <w:rFonts w:ascii="Arial" w:hAnsi="Arial"/>
          <w:color w:val="231F20"/>
        </w:rPr>
        <w:t>Topeka,</w:t>
      </w:r>
      <w:r>
        <w:rPr>
          <w:rFonts w:ascii="Arial" w:hAnsi="Arial"/>
          <w:color w:val="231F20"/>
          <w:spacing w:val="20"/>
        </w:rPr>
        <w:t> </w:t>
      </w:r>
      <w:r>
        <w:rPr>
          <w:rFonts w:ascii="Arial" w:hAnsi="Arial"/>
          <w:color w:val="231F20"/>
        </w:rPr>
        <w:t>au</w:t>
      </w:r>
      <w:r>
        <w:rPr>
          <w:rFonts w:ascii="Arial" w:hAnsi="Arial"/>
          <w:color w:val="231F20"/>
          <w:spacing w:val="20"/>
        </w:rPr>
        <w:t> </w:t>
      </w:r>
      <w:r>
        <w:rPr>
          <w:rFonts w:ascii="Arial" w:hAnsi="Arial"/>
          <w:color w:val="231F20"/>
        </w:rPr>
        <w:t>Kansas.</w:t>
      </w:r>
      <w:r>
        <w:rPr>
          <w:rFonts w:ascii="Arial" w:hAnsi="Arial"/>
          <w:color w:val="231F20"/>
          <w:spacing w:val="20"/>
        </w:rPr>
        <w:t> </w:t>
      </w:r>
      <w:r>
        <w:rPr>
          <w:rFonts w:ascii="Arial" w:hAnsi="Arial"/>
          <w:color w:val="231F20"/>
        </w:rPr>
        <w:t>Pour</w:t>
      </w:r>
      <w:r>
        <w:rPr>
          <w:rFonts w:ascii="Arial" w:hAnsi="Arial"/>
          <w:color w:val="231F20"/>
          <w:spacing w:val="20"/>
        </w:rPr>
        <w:t> </w:t>
      </w:r>
      <w:r>
        <w:rPr>
          <w:rFonts w:ascii="Arial" w:hAnsi="Arial"/>
          <w:color w:val="231F20"/>
        </w:rPr>
        <w:t>Menninger,</w:t>
      </w:r>
      <w:r>
        <w:rPr>
          <w:rFonts w:ascii="Arial" w:hAnsi="Arial"/>
          <w:color w:val="231F20"/>
          <w:spacing w:val="20"/>
        </w:rPr>
        <w:t> </w:t>
      </w:r>
      <w:r>
        <w:rPr>
          <w:rFonts w:ascii="Arial" w:hAnsi="Arial"/>
          <w:color w:val="231F20"/>
        </w:rPr>
        <w:t>la</w:t>
      </w:r>
      <w:r>
        <w:rPr>
          <w:rFonts w:ascii="Arial" w:hAnsi="Arial"/>
          <w:color w:val="231F20"/>
          <w:spacing w:val="20"/>
        </w:rPr>
        <w:t> </w:t>
      </w:r>
      <w:r>
        <w:rPr>
          <w:rFonts w:ascii="Arial" w:hAnsi="Arial"/>
          <w:color w:val="231F20"/>
        </w:rPr>
        <w:t>santé</w:t>
      </w:r>
      <w:r>
        <w:rPr>
          <w:rFonts w:ascii="Arial" w:hAnsi="Arial"/>
          <w:color w:val="231F20"/>
          <w:spacing w:val="20"/>
        </w:rPr>
        <w:t> </w:t>
      </w:r>
      <w:r>
        <w:rPr>
          <w:rFonts w:ascii="Arial" w:hAnsi="Arial"/>
          <w:color w:val="231F20"/>
        </w:rPr>
        <w:t>et </w:t>
      </w:r>
      <w:r>
        <w:rPr>
          <w:rFonts w:ascii="Arial" w:hAnsi="Arial"/>
          <w:color w:val="231F20"/>
          <w:spacing w:val="-2"/>
        </w:rPr>
        <w:t>la</w:t>
      </w:r>
      <w:r>
        <w:rPr>
          <w:rFonts w:ascii="Arial" w:hAnsi="Arial"/>
          <w:color w:val="231F20"/>
          <w:spacing w:val="-9"/>
        </w:rPr>
        <w:t> </w:t>
      </w:r>
      <w:r>
        <w:rPr>
          <w:rFonts w:ascii="Arial" w:hAnsi="Arial"/>
          <w:color w:val="231F20"/>
          <w:spacing w:val="-2"/>
        </w:rPr>
        <w:t>maladie</w:t>
      </w:r>
      <w:r>
        <w:rPr>
          <w:rFonts w:ascii="Arial" w:hAnsi="Arial"/>
          <w:color w:val="231F20"/>
          <w:spacing w:val="-9"/>
        </w:rPr>
        <w:t> </w:t>
      </w:r>
      <w:r>
        <w:rPr>
          <w:rFonts w:ascii="Arial" w:hAnsi="Arial"/>
          <w:color w:val="231F20"/>
          <w:spacing w:val="-2"/>
        </w:rPr>
        <w:t>ne</w:t>
      </w:r>
      <w:r>
        <w:rPr>
          <w:rFonts w:ascii="Arial" w:hAnsi="Arial"/>
          <w:color w:val="231F20"/>
          <w:spacing w:val="-9"/>
        </w:rPr>
        <w:t> </w:t>
      </w:r>
      <w:r>
        <w:rPr>
          <w:rFonts w:ascii="Arial" w:hAnsi="Arial"/>
          <w:color w:val="231F20"/>
          <w:spacing w:val="-2"/>
        </w:rPr>
        <w:t>sont</w:t>
      </w:r>
      <w:r>
        <w:rPr>
          <w:rFonts w:ascii="Arial" w:hAnsi="Arial"/>
          <w:color w:val="231F20"/>
          <w:spacing w:val="-9"/>
        </w:rPr>
        <w:t> </w:t>
      </w:r>
      <w:r>
        <w:rPr>
          <w:rFonts w:ascii="Arial" w:hAnsi="Arial"/>
          <w:color w:val="231F20"/>
          <w:spacing w:val="-2"/>
        </w:rPr>
        <w:t>pas</w:t>
      </w:r>
      <w:r>
        <w:rPr>
          <w:rFonts w:ascii="Arial" w:hAnsi="Arial"/>
          <w:color w:val="231F20"/>
          <w:spacing w:val="-9"/>
        </w:rPr>
        <w:t> </w:t>
      </w:r>
      <w:r>
        <w:rPr>
          <w:rFonts w:ascii="Arial" w:hAnsi="Arial"/>
          <w:color w:val="231F20"/>
          <w:spacing w:val="-2"/>
        </w:rPr>
        <w:t>deux</w:t>
      </w:r>
      <w:r>
        <w:rPr>
          <w:rFonts w:ascii="Arial" w:hAnsi="Arial"/>
          <w:color w:val="231F20"/>
          <w:spacing w:val="-9"/>
        </w:rPr>
        <w:t> </w:t>
      </w:r>
      <w:r>
        <w:rPr>
          <w:rFonts w:ascii="Arial" w:hAnsi="Arial"/>
          <w:color w:val="231F20"/>
          <w:spacing w:val="-2"/>
        </w:rPr>
        <w:t>concepts</w:t>
      </w:r>
      <w:r>
        <w:rPr>
          <w:rFonts w:ascii="Arial" w:hAnsi="Arial"/>
          <w:color w:val="231F20"/>
          <w:spacing w:val="-9"/>
        </w:rPr>
        <w:t> </w:t>
      </w:r>
      <w:r>
        <w:rPr>
          <w:rFonts w:ascii="Arial" w:hAnsi="Arial"/>
          <w:color w:val="231F20"/>
          <w:spacing w:val="-2"/>
        </w:rPr>
        <w:t>distincts,</w:t>
      </w:r>
      <w:r>
        <w:rPr>
          <w:rFonts w:ascii="Arial" w:hAnsi="Arial"/>
          <w:color w:val="231F20"/>
          <w:spacing w:val="-9"/>
        </w:rPr>
        <w:t> </w:t>
      </w:r>
      <w:r>
        <w:rPr>
          <w:rFonts w:ascii="Arial" w:hAnsi="Arial"/>
          <w:color w:val="231F20"/>
          <w:spacing w:val="-2"/>
        </w:rPr>
        <w:t>mais</w:t>
      </w:r>
      <w:r>
        <w:rPr>
          <w:rFonts w:ascii="Arial" w:hAnsi="Arial"/>
          <w:color w:val="231F20"/>
          <w:spacing w:val="-9"/>
        </w:rPr>
        <w:t> </w:t>
      </w:r>
      <w:r>
        <w:rPr>
          <w:rFonts w:ascii="Arial" w:hAnsi="Arial"/>
          <w:color w:val="231F20"/>
          <w:spacing w:val="-2"/>
        </w:rPr>
        <w:t>bien</w:t>
      </w:r>
      <w:r>
        <w:rPr>
          <w:rFonts w:ascii="Arial" w:hAnsi="Arial"/>
          <w:color w:val="231F20"/>
          <w:spacing w:val="-9"/>
        </w:rPr>
        <w:t> </w:t>
      </w:r>
      <w:r>
        <w:rPr>
          <w:rFonts w:ascii="Arial" w:hAnsi="Arial"/>
          <w:color w:val="231F20"/>
          <w:spacing w:val="-2"/>
        </w:rPr>
        <w:t>des</w:t>
      </w:r>
      <w:r>
        <w:rPr>
          <w:rFonts w:ascii="Arial" w:hAnsi="Arial"/>
          <w:color w:val="231F20"/>
          <w:spacing w:val="-9"/>
        </w:rPr>
        <w:t> </w:t>
      </w:r>
      <w:r>
        <w:rPr>
          <w:rFonts w:ascii="Arial" w:hAnsi="Arial"/>
          <w:color w:val="231F20"/>
          <w:spacing w:val="-2"/>
        </w:rPr>
        <w:t>phénomènes </w:t>
      </w:r>
      <w:r>
        <w:rPr>
          <w:rFonts w:ascii="Arial" w:hAnsi="Arial"/>
          <w:color w:val="231F20"/>
        </w:rPr>
        <w:t>psychologiques</w:t>
      </w:r>
      <w:r>
        <w:rPr>
          <w:rFonts w:ascii="Arial" w:hAnsi="Arial"/>
          <w:color w:val="231F20"/>
          <w:spacing w:val="-9"/>
        </w:rPr>
        <w:t> </w:t>
      </w:r>
      <w:r>
        <w:rPr>
          <w:rFonts w:ascii="Arial" w:hAnsi="Arial"/>
          <w:color w:val="231F20"/>
        </w:rPr>
        <w:t>qui</w:t>
      </w:r>
      <w:r>
        <w:rPr>
          <w:rFonts w:ascii="Arial" w:hAnsi="Arial"/>
          <w:color w:val="231F20"/>
          <w:spacing w:val="-9"/>
        </w:rPr>
        <w:t> </w:t>
      </w:r>
      <w:r>
        <w:rPr>
          <w:rFonts w:ascii="Arial" w:hAnsi="Arial"/>
          <w:color w:val="231F20"/>
        </w:rPr>
        <w:t>forment</w:t>
      </w:r>
      <w:r>
        <w:rPr>
          <w:rFonts w:ascii="Arial" w:hAnsi="Arial"/>
          <w:color w:val="231F20"/>
          <w:spacing w:val="-9"/>
        </w:rPr>
        <w:t> </w:t>
      </w:r>
      <w:r>
        <w:rPr>
          <w:rFonts w:ascii="Arial" w:hAnsi="Arial"/>
          <w:color w:val="231F20"/>
        </w:rPr>
        <w:t>un</w:t>
      </w:r>
      <w:r>
        <w:rPr>
          <w:rFonts w:ascii="Arial" w:hAnsi="Arial"/>
          <w:color w:val="231F20"/>
          <w:spacing w:val="-9"/>
        </w:rPr>
        <w:t> </w:t>
      </w:r>
      <w:r>
        <w:rPr>
          <w:rFonts w:ascii="Arial" w:hAnsi="Arial"/>
          <w:color w:val="231F20"/>
        </w:rPr>
        <w:t>continuum</w:t>
      </w:r>
      <w:r>
        <w:rPr>
          <w:rFonts w:ascii="Arial" w:hAnsi="Arial"/>
          <w:color w:val="231F20"/>
          <w:spacing w:val="-9"/>
        </w:rPr>
        <w:t> </w:t>
      </w:r>
      <w:r>
        <w:rPr>
          <w:rFonts w:ascii="Arial" w:hAnsi="Arial"/>
          <w:color w:val="231F20"/>
        </w:rPr>
        <w:t>fondé</w:t>
      </w:r>
      <w:r>
        <w:rPr>
          <w:rFonts w:ascii="Arial" w:hAnsi="Arial"/>
          <w:color w:val="231F20"/>
          <w:spacing w:val="-9"/>
        </w:rPr>
        <w:t> </w:t>
      </w:r>
      <w:r>
        <w:rPr>
          <w:rFonts w:ascii="Arial" w:hAnsi="Arial"/>
          <w:color w:val="231F20"/>
        </w:rPr>
        <w:t>sur</w:t>
      </w:r>
      <w:r>
        <w:rPr>
          <w:rFonts w:ascii="Arial" w:hAnsi="Arial"/>
          <w:color w:val="231F20"/>
          <w:spacing w:val="-9"/>
        </w:rPr>
        <w:t> </w:t>
      </w:r>
      <w:r>
        <w:rPr>
          <w:rFonts w:ascii="Arial" w:hAnsi="Arial"/>
          <w:color w:val="231F20"/>
        </w:rPr>
        <w:t>un</w:t>
      </w:r>
      <w:r>
        <w:rPr>
          <w:rFonts w:ascii="Arial" w:hAnsi="Arial"/>
          <w:color w:val="231F20"/>
          <w:spacing w:val="-9"/>
        </w:rPr>
        <w:t> </w:t>
      </w:r>
      <w:r>
        <w:rPr>
          <w:rFonts w:ascii="Arial" w:hAnsi="Arial"/>
          <w:color w:val="231F20"/>
        </w:rPr>
        <w:t>état</w:t>
      </w:r>
      <w:r>
        <w:rPr>
          <w:rFonts w:ascii="Arial" w:hAnsi="Arial"/>
          <w:color w:val="231F20"/>
          <w:spacing w:val="-9"/>
        </w:rPr>
        <w:t> </w:t>
      </w:r>
      <w:r>
        <w:rPr>
          <w:rFonts w:ascii="Arial" w:hAnsi="Arial"/>
          <w:color w:val="231F20"/>
        </w:rPr>
        <w:t>intermédiaire. À</w:t>
      </w:r>
      <w:r>
        <w:rPr>
          <w:rFonts w:ascii="Arial" w:hAnsi="Arial"/>
          <w:color w:val="231F20"/>
          <w:spacing w:val="-8"/>
        </w:rPr>
        <w:t> </w:t>
      </w:r>
      <w:r>
        <w:rPr>
          <w:rFonts w:ascii="Arial" w:hAnsi="Arial"/>
          <w:color w:val="231F20"/>
        </w:rPr>
        <w:t>chaque</w:t>
      </w:r>
      <w:r>
        <w:rPr>
          <w:rFonts w:ascii="Arial" w:hAnsi="Arial"/>
          <w:color w:val="231F20"/>
          <w:spacing w:val="-8"/>
        </w:rPr>
        <w:t> </w:t>
      </w:r>
      <w:r>
        <w:rPr>
          <w:rFonts w:ascii="Arial" w:hAnsi="Arial"/>
          <w:color w:val="231F20"/>
        </w:rPr>
        <w:t>bout</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ce</w:t>
      </w:r>
      <w:r>
        <w:rPr>
          <w:rFonts w:ascii="Arial" w:hAnsi="Arial"/>
          <w:color w:val="231F20"/>
          <w:spacing w:val="-8"/>
        </w:rPr>
        <w:t> </w:t>
      </w:r>
      <w:r>
        <w:rPr>
          <w:rFonts w:ascii="Arial" w:hAnsi="Arial"/>
          <w:color w:val="231F20"/>
        </w:rPr>
        <w:t>continuum</w:t>
      </w:r>
      <w:r>
        <w:rPr>
          <w:rFonts w:ascii="Arial" w:hAnsi="Arial"/>
          <w:color w:val="231F20"/>
          <w:spacing w:val="-8"/>
        </w:rPr>
        <w:t> </w:t>
      </w:r>
      <w:r>
        <w:rPr>
          <w:rFonts w:ascii="Arial" w:hAnsi="Arial"/>
          <w:color w:val="231F20"/>
        </w:rPr>
        <w:t>se</w:t>
      </w:r>
      <w:r>
        <w:rPr>
          <w:rFonts w:ascii="Arial" w:hAnsi="Arial"/>
          <w:color w:val="231F20"/>
          <w:spacing w:val="-8"/>
        </w:rPr>
        <w:t> </w:t>
      </w:r>
      <w:r>
        <w:rPr>
          <w:rFonts w:ascii="Arial" w:hAnsi="Arial"/>
          <w:color w:val="231F20"/>
        </w:rPr>
        <w:t>trouve</w:t>
      </w:r>
      <w:r>
        <w:rPr>
          <w:rFonts w:ascii="Arial" w:hAnsi="Arial"/>
          <w:color w:val="231F20"/>
          <w:spacing w:val="-8"/>
        </w:rPr>
        <w:t> </w:t>
      </w:r>
      <w:r>
        <w:rPr>
          <w:rFonts w:ascii="Arial" w:hAnsi="Arial"/>
          <w:color w:val="231F20"/>
        </w:rPr>
        <w:t>la</w:t>
      </w:r>
      <w:r>
        <w:rPr>
          <w:rFonts w:ascii="Arial" w:hAnsi="Arial"/>
          <w:color w:val="231F20"/>
          <w:spacing w:val="-8"/>
        </w:rPr>
        <w:t> </w:t>
      </w:r>
      <w:r>
        <w:rPr>
          <w:rFonts w:ascii="Arial" w:hAnsi="Arial"/>
          <w:color w:val="231F20"/>
        </w:rPr>
        <w:t>dissolution</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la</w:t>
      </w:r>
      <w:r>
        <w:rPr>
          <w:rFonts w:ascii="Arial" w:hAnsi="Arial"/>
          <w:color w:val="231F20"/>
          <w:spacing w:val="-8"/>
        </w:rPr>
        <w:t> </w:t>
      </w:r>
      <w:r>
        <w:rPr>
          <w:rFonts w:ascii="Arial" w:hAnsi="Arial"/>
          <w:color w:val="231F20"/>
        </w:rPr>
        <w:t>personne,</w:t>
      </w:r>
      <w:r>
        <w:rPr>
          <w:rFonts w:ascii="Arial" w:hAnsi="Arial"/>
          <w:color w:val="231F20"/>
          <w:spacing w:val="-8"/>
        </w:rPr>
        <w:t> </w:t>
      </w:r>
      <w:r>
        <w:rPr>
          <w:rFonts w:ascii="Arial" w:hAnsi="Arial"/>
          <w:color w:val="231F20"/>
        </w:rPr>
        <w:t>la maladie en soi. De ce point de vue, le Moi équilibre les tensions entre le Surmoi et la réalité extérieure. L’équilibre psychologique est continuelle- ment</w:t>
      </w:r>
      <w:r>
        <w:rPr>
          <w:rFonts w:ascii="Arial" w:hAnsi="Arial"/>
          <w:color w:val="231F20"/>
          <w:spacing w:val="-6"/>
        </w:rPr>
        <w:t> </w:t>
      </w:r>
      <w:r>
        <w:rPr>
          <w:rFonts w:ascii="Arial" w:hAnsi="Arial"/>
          <w:color w:val="231F20"/>
        </w:rPr>
        <w:t>compromis</w:t>
      </w:r>
      <w:r>
        <w:rPr>
          <w:rFonts w:ascii="Arial" w:hAnsi="Arial"/>
          <w:color w:val="231F20"/>
          <w:spacing w:val="-6"/>
        </w:rPr>
        <w:t> </w:t>
      </w:r>
      <w:r>
        <w:rPr>
          <w:rFonts w:ascii="Arial" w:hAnsi="Arial"/>
          <w:color w:val="231F20"/>
        </w:rPr>
        <w:t>par</w:t>
      </w:r>
      <w:r>
        <w:rPr>
          <w:rFonts w:ascii="Arial" w:hAnsi="Arial"/>
          <w:color w:val="231F20"/>
          <w:spacing w:val="-6"/>
        </w:rPr>
        <w:t> </w:t>
      </w:r>
      <w:r>
        <w:rPr>
          <w:rFonts w:ascii="Arial" w:hAnsi="Arial"/>
          <w:color w:val="231F20"/>
        </w:rPr>
        <w:t>les</w:t>
      </w:r>
      <w:r>
        <w:rPr>
          <w:rFonts w:ascii="Arial" w:hAnsi="Arial"/>
          <w:color w:val="231F20"/>
          <w:spacing w:val="-6"/>
        </w:rPr>
        <w:t> </w:t>
      </w:r>
      <w:r>
        <w:rPr>
          <w:rFonts w:ascii="Arial" w:hAnsi="Arial"/>
          <w:color w:val="231F20"/>
        </w:rPr>
        <w:t>stress</w:t>
      </w:r>
      <w:r>
        <w:rPr>
          <w:rFonts w:ascii="Arial" w:hAnsi="Arial"/>
          <w:color w:val="231F20"/>
          <w:spacing w:val="-6"/>
        </w:rPr>
        <w:t> </w:t>
      </w:r>
      <w:r>
        <w:rPr>
          <w:rFonts w:ascii="Arial" w:hAnsi="Arial"/>
          <w:color w:val="231F20"/>
        </w:rPr>
        <w:t>à</w:t>
      </w:r>
      <w:r>
        <w:rPr>
          <w:rFonts w:ascii="Arial" w:hAnsi="Arial"/>
          <w:color w:val="231F20"/>
          <w:spacing w:val="-6"/>
        </w:rPr>
        <w:t> </w:t>
      </w:r>
      <w:r>
        <w:rPr>
          <w:rFonts w:ascii="Arial" w:hAnsi="Arial"/>
          <w:color w:val="231F20"/>
        </w:rPr>
        <w:t>répétition</w:t>
      </w:r>
      <w:r>
        <w:rPr>
          <w:rFonts w:ascii="Arial" w:hAnsi="Arial"/>
          <w:color w:val="231F20"/>
          <w:spacing w:val="-6"/>
        </w:rPr>
        <w:t> </w:t>
      </w:r>
      <w:r>
        <w:rPr>
          <w:rFonts w:ascii="Arial" w:hAnsi="Arial"/>
          <w:color w:val="231F20"/>
        </w:rPr>
        <w:t>qui,</w:t>
      </w:r>
      <w:r>
        <w:rPr>
          <w:rFonts w:ascii="Arial" w:hAnsi="Arial"/>
          <w:color w:val="231F20"/>
          <w:spacing w:val="-6"/>
        </w:rPr>
        <w:t> </w:t>
      </w:r>
      <w:r>
        <w:rPr>
          <w:rFonts w:ascii="Arial" w:hAnsi="Arial"/>
          <w:color w:val="231F20"/>
        </w:rPr>
        <w:t>à</w:t>
      </w:r>
      <w:r>
        <w:rPr>
          <w:rFonts w:ascii="Arial" w:hAnsi="Arial"/>
          <w:color w:val="231F20"/>
          <w:spacing w:val="-6"/>
        </w:rPr>
        <w:t> </w:t>
      </w:r>
      <w:r>
        <w:rPr>
          <w:rFonts w:ascii="Arial" w:hAnsi="Arial"/>
          <w:color w:val="231F20"/>
        </w:rPr>
        <w:t>des</w:t>
      </w:r>
      <w:r>
        <w:rPr>
          <w:rFonts w:ascii="Arial" w:hAnsi="Arial"/>
          <w:color w:val="231F20"/>
          <w:spacing w:val="-6"/>
        </w:rPr>
        <w:t> </w:t>
      </w:r>
      <w:r>
        <w:rPr>
          <w:rFonts w:ascii="Arial" w:hAnsi="Arial"/>
          <w:color w:val="231F20"/>
        </w:rPr>
        <w:t>intensités</w:t>
      </w:r>
      <w:r>
        <w:rPr>
          <w:rFonts w:ascii="Arial" w:hAnsi="Arial"/>
          <w:color w:val="231F20"/>
          <w:spacing w:val="-6"/>
        </w:rPr>
        <w:t> </w:t>
      </w:r>
      <w:r>
        <w:rPr>
          <w:rFonts w:ascii="Arial" w:hAnsi="Arial"/>
          <w:color w:val="231F20"/>
        </w:rPr>
        <w:t>variables, atteignent l’organisme tout entier. Le Moi a pour rôle d’établir un niveau de tension tolérable et compatible avec la croissance, le développement et l’expression de la créativité de la personne.</w:t>
      </w:r>
    </w:p>
    <w:p>
      <w:pPr>
        <w:pStyle w:val="BodyText"/>
        <w:rPr>
          <w:rFonts w:ascii="Arial"/>
          <w:sz w:val="23"/>
        </w:rPr>
      </w:pPr>
      <w:r>
        <w:rPr/>
        <w:pict>
          <v:shape style="position:absolute;margin-left:82pt;margin-top:14.423877pt;width:71.5pt;height:.1pt;mso-position-horizontal-relative:page;mso-position-vertical-relative:paragraph;z-index:-15694336;mso-wrap-distance-left:0;mso-wrap-distance-right:0" id="docshape517" coordorigin="1640,288" coordsize="1430,0" path="m1640,288l3070,288e" filled="false" stroked="true" strokeweight=".25pt" strokecolor="#231f20">
            <v:path arrowok="t"/>
            <v:stroke dashstyle="shortdot"/>
            <w10:wrap type="topAndBottom"/>
          </v:shape>
        </w:pict>
      </w:r>
    </w:p>
    <w:p>
      <w:pPr>
        <w:spacing w:after="0"/>
        <w:rPr>
          <w:rFonts w:ascii="Arial"/>
          <w:sz w:val="23"/>
        </w:rPr>
        <w:sectPr>
          <w:footerReference w:type="default" r:id="rId153"/>
          <w:pgSz w:w="8640" w:h="12960"/>
          <w:pgMar w:footer="424" w:header="0" w:top="500" w:bottom="620" w:left="740" w:right="1140"/>
        </w:sectPr>
      </w:pPr>
    </w:p>
    <w:p>
      <w:pPr>
        <w:spacing w:before="103"/>
        <w:ind w:left="2183" w:right="2173"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510" w:right="493"/>
        <w:jc w:val="both"/>
      </w:pPr>
      <w:r>
        <w:rPr>
          <w:color w:val="231F20"/>
          <w:w w:val="120"/>
        </w:rPr>
        <w:t>Pour</w:t>
      </w:r>
      <w:r>
        <w:rPr>
          <w:color w:val="231F20"/>
          <w:spacing w:val="-2"/>
          <w:w w:val="120"/>
        </w:rPr>
        <w:t> </w:t>
      </w:r>
      <w:r>
        <w:rPr>
          <w:color w:val="231F20"/>
          <w:w w:val="120"/>
        </w:rPr>
        <w:t>ce</w:t>
      </w:r>
      <w:r>
        <w:rPr>
          <w:color w:val="231F20"/>
          <w:spacing w:val="-2"/>
          <w:w w:val="120"/>
        </w:rPr>
        <w:t> </w:t>
      </w:r>
      <w:r>
        <w:rPr>
          <w:color w:val="231F20"/>
          <w:w w:val="120"/>
        </w:rPr>
        <w:t>qui</w:t>
      </w:r>
      <w:r>
        <w:rPr>
          <w:color w:val="231F20"/>
          <w:spacing w:val="-2"/>
          <w:w w:val="120"/>
        </w:rPr>
        <w:t> </w:t>
      </w:r>
      <w:r>
        <w:rPr>
          <w:color w:val="231F20"/>
          <w:w w:val="120"/>
        </w:rPr>
        <w:t>est</w:t>
      </w:r>
      <w:r>
        <w:rPr>
          <w:color w:val="231F20"/>
          <w:spacing w:val="-2"/>
          <w:w w:val="120"/>
        </w:rPr>
        <w:t> </w:t>
      </w:r>
      <w:r>
        <w:rPr>
          <w:color w:val="231F20"/>
          <w:w w:val="120"/>
        </w:rPr>
        <w:t>de</w:t>
      </w:r>
      <w:r>
        <w:rPr>
          <w:color w:val="231F20"/>
          <w:spacing w:val="-2"/>
          <w:w w:val="120"/>
        </w:rPr>
        <w:t> </w:t>
      </w:r>
      <w:r>
        <w:rPr>
          <w:color w:val="231F20"/>
          <w:w w:val="120"/>
        </w:rPr>
        <w:t>l’évaluation</w:t>
      </w:r>
      <w:r>
        <w:rPr>
          <w:color w:val="231F20"/>
          <w:spacing w:val="-2"/>
          <w:w w:val="120"/>
        </w:rPr>
        <w:t> </w:t>
      </w:r>
      <w:r>
        <w:rPr>
          <w:color w:val="231F20"/>
          <w:w w:val="120"/>
        </w:rPr>
        <w:t>secondaire,</w:t>
      </w:r>
      <w:r>
        <w:rPr>
          <w:color w:val="231F20"/>
          <w:spacing w:val="-2"/>
          <w:w w:val="120"/>
        </w:rPr>
        <w:t> </w:t>
      </w:r>
      <w:r>
        <w:rPr>
          <w:color w:val="231F20"/>
          <w:w w:val="120"/>
        </w:rPr>
        <w:t>elle</w:t>
      </w:r>
      <w:r>
        <w:rPr>
          <w:color w:val="231F20"/>
          <w:spacing w:val="-2"/>
          <w:w w:val="120"/>
        </w:rPr>
        <w:t> </w:t>
      </w:r>
      <w:r>
        <w:rPr>
          <w:color w:val="231F20"/>
          <w:w w:val="120"/>
        </w:rPr>
        <w:t>survient</w:t>
      </w:r>
      <w:r>
        <w:rPr>
          <w:color w:val="231F20"/>
          <w:spacing w:val="-2"/>
          <w:w w:val="120"/>
        </w:rPr>
        <w:t> </w:t>
      </w:r>
      <w:r>
        <w:rPr>
          <w:color w:val="231F20"/>
          <w:w w:val="120"/>
        </w:rPr>
        <w:t>une</w:t>
      </w:r>
      <w:r>
        <w:rPr>
          <w:color w:val="231F20"/>
          <w:spacing w:val="-2"/>
          <w:w w:val="120"/>
        </w:rPr>
        <w:t> </w:t>
      </w:r>
      <w:r>
        <w:rPr>
          <w:color w:val="231F20"/>
          <w:w w:val="120"/>
        </w:rPr>
        <w:t>fois</w:t>
      </w:r>
      <w:r>
        <w:rPr>
          <w:color w:val="231F20"/>
          <w:spacing w:val="-2"/>
          <w:w w:val="120"/>
        </w:rPr>
        <w:t> </w:t>
      </w:r>
      <w:r>
        <w:rPr>
          <w:color w:val="231F20"/>
          <w:w w:val="120"/>
        </w:rPr>
        <w:t>qu’un </w:t>
      </w:r>
      <w:r>
        <w:rPr>
          <w:color w:val="231F20"/>
          <w:spacing w:val="-4"/>
          <w:w w:val="120"/>
        </w:rPr>
        <w:t>état</w:t>
      </w:r>
      <w:r>
        <w:rPr>
          <w:color w:val="231F20"/>
          <w:spacing w:val="-6"/>
          <w:w w:val="120"/>
        </w:rPr>
        <w:t> </w:t>
      </w:r>
      <w:r>
        <w:rPr>
          <w:color w:val="231F20"/>
          <w:spacing w:val="-4"/>
          <w:w w:val="120"/>
        </w:rPr>
        <w:t>de</w:t>
      </w:r>
      <w:r>
        <w:rPr>
          <w:color w:val="231F20"/>
          <w:spacing w:val="-6"/>
          <w:w w:val="120"/>
        </w:rPr>
        <w:t> </w:t>
      </w:r>
      <w:r>
        <w:rPr>
          <w:color w:val="231F20"/>
          <w:spacing w:val="-4"/>
          <w:w w:val="120"/>
        </w:rPr>
        <w:t>stress</w:t>
      </w:r>
      <w:r>
        <w:rPr>
          <w:color w:val="231F20"/>
          <w:spacing w:val="-6"/>
          <w:w w:val="120"/>
        </w:rPr>
        <w:t> </w:t>
      </w:r>
      <w:r>
        <w:rPr>
          <w:color w:val="231F20"/>
          <w:spacing w:val="-4"/>
          <w:w w:val="120"/>
        </w:rPr>
        <w:t>est</w:t>
      </w:r>
      <w:r>
        <w:rPr>
          <w:color w:val="231F20"/>
          <w:spacing w:val="-6"/>
          <w:w w:val="120"/>
        </w:rPr>
        <w:t> </w:t>
      </w:r>
      <w:r>
        <w:rPr>
          <w:color w:val="231F20"/>
          <w:spacing w:val="-4"/>
          <w:w w:val="120"/>
        </w:rPr>
        <w:t>produit</w:t>
      </w:r>
      <w:r>
        <w:rPr>
          <w:color w:val="231F20"/>
          <w:spacing w:val="-6"/>
          <w:w w:val="120"/>
        </w:rPr>
        <w:t> </w:t>
      </w:r>
      <w:r>
        <w:rPr>
          <w:color w:val="231F20"/>
          <w:spacing w:val="-4"/>
          <w:w w:val="120"/>
        </w:rPr>
        <w:t>par</w:t>
      </w:r>
      <w:r>
        <w:rPr>
          <w:color w:val="231F20"/>
          <w:spacing w:val="-6"/>
          <w:w w:val="120"/>
        </w:rPr>
        <w:t> </w:t>
      </w:r>
      <w:r>
        <w:rPr>
          <w:color w:val="231F20"/>
          <w:spacing w:val="-4"/>
          <w:w w:val="120"/>
        </w:rPr>
        <w:t>l’organisme.</w:t>
      </w:r>
      <w:r>
        <w:rPr>
          <w:color w:val="231F20"/>
          <w:spacing w:val="-6"/>
          <w:w w:val="120"/>
        </w:rPr>
        <w:t> </w:t>
      </w:r>
      <w:r>
        <w:rPr>
          <w:color w:val="231F20"/>
          <w:spacing w:val="-4"/>
          <w:w w:val="120"/>
        </w:rPr>
        <w:t>En</w:t>
      </w:r>
      <w:r>
        <w:rPr>
          <w:color w:val="231F20"/>
          <w:spacing w:val="-6"/>
          <w:w w:val="120"/>
        </w:rPr>
        <w:t> </w:t>
      </w:r>
      <w:r>
        <w:rPr>
          <w:color w:val="231F20"/>
          <w:spacing w:val="-4"/>
          <w:w w:val="120"/>
        </w:rPr>
        <w:t>fait,</w:t>
      </w:r>
      <w:r>
        <w:rPr>
          <w:color w:val="231F20"/>
          <w:spacing w:val="-6"/>
          <w:w w:val="120"/>
        </w:rPr>
        <w:t> </w:t>
      </w:r>
      <w:r>
        <w:rPr>
          <w:color w:val="231F20"/>
          <w:spacing w:val="-4"/>
          <w:w w:val="120"/>
        </w:rPr>
        <w:t>cette</w:t>
      </w:r>
      <w:r>
        <w:rPr>
          <w:color w:val="231F20"/>
          <w:spacing w:val="-6"/>
          <w:w w:val="120"/>
        </w:rPr>
        <w:t> </w:t>
      </w:r>
      <w:r>
        <w:rPr>
          <w:color w:val="231F20"/>
          <w:spacing w:val="-4"/>
          <w:w w:val="120"/>
        </w:rPr>
        <w:t>seconde</w:t>
      </w:r>
      <w:r>
        <w:rPr>
          <w:color w:val="231F20"/>
          <w:spacing w:val="-6"/>
          <w:w w:val="120"/>
        </w:rPr>
        <w:t> </w:t>
      </w:r>
      <w:r>
        <w:rPr>
          <w:color w:val="231F20"/>
          <w:spacing w:val="-4"/>
          <w:w w:val="120"/>
        </w:rPr>
        <w:t>évaluation </w:t>
      </w:r>
      <w:r>
        <w:rPr>
          <w:color w:val="231F20"/>
          <w:w w:val="120"/>
        </w:rPr>
        <w:t>cognitive</w:t>
      </w:r>
      <w:r>
        <w:rPr>
          <w:color w:val="231F20"/>
          <w:spacing w:val="-7"/>
          <w:w w:val="120"/>
        </w:rPr>
        <w:t> </w:t>
      </w:r>
      <w:r>
        <w:rPr>
          <w:color w:val="231F20"/>
          <w:w w:val="120"/>
        </w:rPr>
        <w:t>cherche</w:t>
      </w:r>
      <w:r>
        <w:rPr>
          <w:color w:val="231F20"/>
          <w:spacing w:val="-7"/>
          <w:w w:val="120"/>
        </w:rPr>
        <w:t> </w:t>
      </w:r>
      <w:r>
        <w:rPr>
          <w:color w:val="231F20"/>
          <w:w w:val="120"/>
        </w:rPr>
        <w:t>à</w:t>
      </w:r>
      <w:r>
        <w:rPr>
          <w:color w:val="231F20"/>
          <w:spacing w:val="-7"/>
          <w:w w:val="120"/>
        </w:rPr>
        <w:t> </w:t>
      </w:r>
      <w:r>
        <w:rPr>
          <w:color w:val="231F20"/>
          <w:w w:val="120"/>
        </w:rPr>
        <w:t>envisager</w:t>
      </w:r>
      <w:r>
        <w:rPr>
          <w:color w:val="231F20"/>
          <w:spacing w:val="-7"/>
          <w:w w:val="120"/>
        </w:rPr>
        <w:t> </w:t>
      </w:r>
      <w:r>
        <w:rPr>
          <w:color w:val="231F20"/>
          <w:w w:val="120"/>
        </w:rPr>
        <w:t>les</w:t>
      </w:r>
      <w:r>
        <w:rPr>
          <w:color w:val="231F20"/>
          <w:spacing w:val="-7"/>
          <w:w w:val="120"/>
        </w:rPr>
        <w:t> </w:t>
      </w:r>
      <w:r>
        <w:rPr>
          <w:color w:val="231F20"/>
          <w:w w:val="120"/>
        </w:rPr>
        <w:t>meilleures</w:t>
      </w:r>
      <w:r>
        <w:rPr>
          <w:color w:val="231F20"/>
          <w:spacing w:val="-7"/>
          <w:w w:val="120"/>
        </w:rPr>
        <w:t> </w:t>
      </w:r>
      <w:r>
        <w:rPr>
          <w:color w:val="231F20"/>
          <w:w w:val="120"/>
        </w:rPr>
        <w:t>stratégies</w:t>
      </w:r>
      <w:r>
        <w:rPr>
          <w:color w:val="231F20"/>
          <w:spacing w:val="-7"/>
          <w:w w:val="120"/>
        </w:rPr>
        <w:t> </w:t>
      </w:r>
      <w:r>
        <w:rPr>
          <w:color w:val="231F20"/>
          <w:w w:val="120"/>
        </w:rPr>
        <w:t>disponibles</w:t>
      </w:r>
      <w:r>
        <w:rPr>
          <w:color w:val="231F20"/>
          <w:spacing w:val="-7"/>
          <w:w w:val="120"/>
        </w:rPr>
        <w:t> </w:t>
      </w:r>
      <w:r>
        <w:rPr>
          <w:color w:val="231F20"/>
          <w:w w:val="120"/>
        </w:rPr>
        <w:t>afin de</w:t>
      </w:r>
      <w:r>
        <w:rPr>
          <w:color w:val="231F20"/>
          <w:spacing w:val="-13"/>
          <w:w w:val="120"/>
        </w:rPr>
        <w:t> </w:t>
      </w:r>
      <w:r>
        <w:rPr>
          <w:color w:val="231F20"/>
          <w:w w:val="120"/>
        </w:rPr>
        <w:t>faciliter</w:t>
      </w:r>
      <w:r>
        <w:rPr>
          <w:color w:val="231F20"/>
          <w:spacing w:val="-13"/>
          <w:w w:val="120"/>
        </w:rPr>
        <w:t> </w:t>
      </w:r>
      <w:r>
        <w:rPr>
          <w:color w:val="231F20"/>
          <w:w w:val="120"/>
        </w:rPr>
        <w:t>un</w:t>
      </w:r>
      <w:r>
        <w:rPr>
          <w:color w:val="231F20"/>
          <w:spacing w:val="-13"/>
          <w:w w:val="120"/>
        </w:rPr>
        <w:t> </w:t>
      </w:r>
      <w:r>
        <w:rPr>
          <w:color w:val="231F20"/>
          <w:w w:val="120"/>
        </w:rPr>
        <w:t>retour</w:t>
      </w:r>
      <w:r>
        <w:rPr>
          <w:color w:val="231F20"/>
          <w:spacing w:val="-12"/>
          <w:w w:val="120"/>
        </w:rPr>
        <w:t> </w:t>
      </w:r>
      <w:r>
        <w:rPr>
          <w:color w:val="231F20"/>
          <w:w w:val="120"/>
        </w:rPr>
        <w:t>à</w:t>
      </w:r>
      <w:r>
        <w:rPr>
          <w:color w:val="231F20"/>
          <w:spacing w:val="-13"/>
          <w:w w:val="120"/>
        </w:rPr>
        <w:t> </w:t>
      </w:r>
      <w:r>
        <w:rPr>
          <w:color w:val="231F20"/>
          <w:w w:val="120"/>
        </w:rPr>
        <w:t>l’équilibre</w:t>
      </w:r>
      <w:r>
        <w:rPr>
          <w:color w:val="231F20"/>
          <w:spacing w:val="-13"/>
          <w:w w:val="120"/>
        </w:rPr>
        <w:t> </w:t>
      </w:r>
      <w:r>
        <w:rPr>
          <w:color w:val="231F20"/>
          <w:w w:val="120"/>
        </w:rPr>
        <w:t>pour</w:t>
      </w:r>
      <w:r>
        <w:rPr>
          <w:color w:val="231F20"/>
          <w:spacing w:val="-13"/>
          <w:w w:val="120"/>
        </w:rPr>
        <w:t> </w:t>
      </w:r>
      <w:r>
        <w:rPr>
          <w:color w:val="231F20"/>
          <w:w w:val="120"/>
        </w:rPr>
        <w:t>ainsi</w:t>
      </w:r>
      <w:r>
        <w:rPr>
          <w:color w:val="231F20"/>
          <w:spacing w:val="-12"/>
          <w:w w:val="120"/>
        </w:rPr>
        <w:t> </w:t>
      </w:r>
      <w:r>
        <w:rPr>
          <w:color w:val="231F20"/>
          <w:w w:val="120"/>
        </w:rPr>
        <w:t>limiter</w:t>
      </w:r>
      <w:r>
        <w:rPr>
          <w:color w:val="231F20"/>
          <w:spacing w:val="-13"/>
          <w:w w:val="120"/>
        </w:rPr>
        <w:t> </w:t>
      </w:r>
      <w:r>
        <w:rPr>
          <w:color w:val="231F20"/>
          <w:w w:val="120"/>
        </w:rPr>
        <w:t>ou</w:t>
      </w:r>
      <w:r>
        <w:rPr>
          <w:color w:val="231F20"/>
          <w:spacing w:val="-13"/>
          <w:w w:val="120"/>
        </w:rPr>
        <w:t> </w:t>
      </w:r>
      <w:r>
        <w:rPr>
          <w:color w:val="231F20"/>
          <w:w w:val="120"/>
        </w:rPr>
        <w:t>éliminer</w:t>
      </w:r>
      <w:r>
        <w:rPr>
          <w:color w:val="231F20"/>
          <w:spacing w:val="-13"/>
          <w:w w:val="120"/>
        </w:rPr>
        <w:t> </w:t>
      </w:r>
      <w:r>
        <w:rPr>
          <w:color w:val="231F20"/>
          <w:w w:val="120"/>
        </w:rPr>
        <w:t>l’état</w:t>
      </w:r>
      <w:r>
        <w:rPr>
          <w:color w:val="231F20"/>
          <w:spacing w:val="-12"/>
          <w:w w:val="120"/>
        </w:rPr>
        <w:t> </w:t>
      </w:r>
      <w:r>
        <w:rPr>
          <w:color w:val="231F20"/>
          <w:w w:val="120"/>
        </w:rPr>
        <w:t>de stress.</w:t>
      </w:r>
      <w:r>
        <w:rPr>
          <w:color w:val="231F20"/>
          <w:spacing w:val="-8"/>
          <w:w w:val="120"/>
        </w:rPr>
        <w:t> </w:t>
      </w:r>
      <w:r>
        <w:rPr>
          <w:color w:val="231F20"/>
          <w:w w:val="120"/>
        </w:rPr>
        <w:t>Cette</w:t>
      </w:r>
      <w:r>
        <w:rPr>
          <w:color w:val="231F20"/>
          <w:spacing w:val="-8"/>
          <w:w w:val="120"/>
        </w:rPr>
        <w:t> </w:t>
      </w:r>
      <w:r>
        <w:rPr>
          <w:color w:val="231F20"/>
          <w:w w:val="120"/>
        </w:rPr>
        <w:t>évaluation</w:t>
      </w:r>
      <w:r>
        <w:rPr>
          <w:color w:val="231F20"/>
          <w:spacing w:val="-8"/>
          <w:w w:val="120"/>
        </w:rPr>
        <w:t> </w:t>
      </w:r>
      <w:r>
        <w:rPr>
          <w:color w:val="231F20"/>
          <w:w w:val="120"/>
        </w:rPr>
        <w:t>secondaire</w:t>
      </w:r>
      <w:r>
        <w:rPr>
          <w:color w:val="231F20"/>
          <w:spacing w:val="-8"/>
          <w:w w:val="120"/>
        </w:rPr>
        <w:t> </w:t>
      </w:r>
      <w:r>
        <w:rPr>
          <w:color w:val="231F20"/>
          <w:w w:val="120"/>
        </w:rPr>
        <w:t>s’immisce</w:t>
      </w:r>
      <w:r>
        <w:rPr>
          <w:color w:val="231F20"/>
          <w:spacing w:val="-8"/>
          <w:w w:val="120"/>
        </w:rPr>
        <w:t> </w:t>
      </w:r>
      <w:r>
        <w:rPr>
          <w:color w:val="231F20"/>
          <w:w w:val="120"/>
        </w:rPr>
        <w:t>ainsi</w:t>
      </w:r>
      <w:r>
        <w:rPr>
          <w:color w:val="231F20"/>
          <w:spacing w:val="-8"/>
          <w:w w:val="120"/>
        </w:rPr>
        <w:t> </w:t>
      </w:r>
      <w:r>
        <w:rPr>
          <w:color w:val="231F20"/>
          <w:w w:val="120"/>
        </w:rPr>
        <w:t>entre</w:t>
      </w:r>
      <w:r>
        <w:rPr>
          <w:color w:val="231F20"/>
          <w:spacing w:val="-8"/>
          <w:w w:val="120"/>
        </w:rPr>
        <w:t> </w:t>
      </w:r>
      <w:r>
        <w:rPr>
          <w:color w:val="231F20"/>
          <w:w w:val="120"/>
        </w:rPr>
        <w:t>le</w:t>
      </w:r>
      <w:r>
        <w:rPr>
          <w:color w:val="231F20"/>
          <w:spacing w:val="-8"/>
          <w:w w:val="120"/>
        </w:rPr>
        <w:t> </w:t>
      </w:r>
      <w:r>
        <w:rPr>
          <w:color w:val="231F20"/>
          <w:w w:val="120"/>
        </w:rPr>
        <w:t>stress</w:t>
      </w:r>
      <w:r>
        <w:rPr>
          <w:color w:val="231F20"/>
          <w:spacing w:val="-8"/>
          <w:w w:val="120"/>
        </w:rPr>
        <w:t> </w:t>
      </w:r>
      <w:r>
        <w:rPr>
          <w:color w:val="231F20"/>
          <w:w w:val="120"/>
        </w:rPr>
        <w:t>et</w:t>
      </w:r>
      <w:r>
        <w:rPr>
          <w:color w:val="231F20"/>
          <w:spacing w:val="-8"/>
          <w:w w:val="120"/>
        </w:rPr>
        <w:t> </w:t>
      </w:r>
      <w:r>
        <w:rPr>
          <w:color w:val="231F20"/>
          <w:w w:val="120"/>
        </w:rPr>
        <w:t>ses potentielles conséquences et fait appel à des agents d’accommodation pour</w:t>
      </w:r>
      <w:r>
        <w:rPr>
          <w:color w:val="231F20"/>
          <w:spacing w:val="-1"/>
          <w:w w:val="120"/>
        </w:rPr>
        <w:t> </w:t>
      </w:r>
      <w:r>
        <w:rPr>
          <w:color w:val="231F20"/>
          <w:w w:val="120"/>
        </w:rPr>
        <w:t>s’actualiser.</w:t>
      </w:r>
      <w:r>
        <w:rPr>
          <w:color w:val="231F20"/>
          <w:spacing w:val="-1"/>
          <w:w w:val="120"/>
        </w:rPr>
        <w:t> </w:t>
      </w:r>
      <w:r>
        <w:rPr>
          <w:color w:val="231F20"/>
          <w:w w:val="120"/>
        </w:rPr>
        <w:t>En</w:t>
      </w:r>
      <w:r>
        <w:rPr>
          <w:color w:val="231F20"/>
          <w:spacing w:val="-1"/>
          <w:w w:val="120"/>
        </w:rPr>
        <w:t> </w:t>
      </w:r>
      <w:r>
        <w:rPr>
          <w:color w:val="231F20"/>
          <w:w w:val="120"/>
        </w:rPr>
        <w:t>fait,</w:t>
      </w:r>
      <w:r>
        <w:rPr>
          <w:color w:val="231F20"/>
          <w:spacing w:val="-1"/>
          <w:w w:val="120"/>
        </w:rPr>
        <w:t> </w:t>
      </w:r>
      <w:r>
        <w:rPr>
          <w:color w:val="231F20"/>
          <w:w w:val="120"/>
        </w:rPr>
        <w:t>l’évaluation</w:t>
      </w:r>
      <w:r>
        <w:rPr>
          <w:color w:val="231F20"/>
          <w:spacing w:val="-1"/>
          <w:w w:val="120"/>
        </w:rPr>
        <w:t> </w:t>
      </w:r>
      <w:r>
        <w:rPr>
          <w:color w:val="231F20"/>
          <w:w w:val="120"/>
        </w:rPr>
        <w:t>secondaire</w:t>
      </w:r>
      <w:r>
        <w:rPr>
          <w:color w:val="231F20"/>
          <w:spacing w:val="-1"/>
          <w:w w:val="120"/>
        </w:rPr>
        <w:t> </w:t>
      </w:r>
      <w:r>
        <w:rPr>
          <w:color w:val="231F20"/>
          <w:w w:val="120"/>
        </w:rPr>
        <w:t>mobilise</w:t>
      </w:r>
      <w:r>
        <w:rPr>
          <w:color w:val="231F20"/>
          <w:spacing w:val="-1"/>
          <w:w w:val="120"/>
        </w:rPr>
        <w:t> </w:t>
      </w:r>
      <w:r>
        <w:rPr>
          <w:color w:val="231F20"/>
          <w:w w:val="120"/>
        </w:rPr>
        <w:t>les</w:t>
      </w:r>
      <w:r>
        <w:rPr>
          <w:color w:val="231F20"/>
          <w:spacing w:val="-1"/>
          <w:w w:val="120"/>
        </w:rPr>
        <w:t> </w:t>
      </w:r>
      <w:r>
        <w:rPr>
          <w:color w:val="231F20"/>
          <w:w w:val="120"/>
        </w:rPr>
        <w:t>moyens d’action</w:t>
      </w:r>
      <w:r>
        <w:rPr>
          <w:color w:val="231F20"/>
          <w:spacing w:val="-13"/>
          <w:w w:val="120"/>
        </w:rPr>
        <w:t> </w:t>
      </w:r>
      <w:r>
        <w:rPr>
          <w:color w:val="231F20"/>
          <w:w w:val="120"/>
        </w:rPr>
        <w:t>permettant</w:t>
      </w:r>
      <w:r>
        <w:rPr>
          <w:color w:val="231F20"/>
          <w:spacing w:val="-13"/>
          <w:w w:val="120"/>
        </w:rPr>
        <w:t> </w:t>
      </w:r>
      <w:r>
        <w:rPr>
          <w:color w:val="231F20"/>
          <w:w w:val="120"/>
        </w:rPr>
        <w:t>de</w:t>
      </w:r>
      <w:r>
        <w:rPr>
          <w:color w:val="231F20"/>
          <w:spacing w:val="-13"/>
          <w:w w:val="120"/>
        </w:rPr>
        <w:t> </w:t>
      </w:r>
      <w:r>
        <w:rPr>
          <w:color w:val="231F20"/>
          <w:w w:val="120"/>
        </w:rPr>
        <w:t>s’adapter</w:t>
      </w:r>
      <w:r>
        <w:rPr>
          <w:color w:val="231F20"/>
          <w:spacing w:val="-12"/>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situation.</w:t>
      </w:r>
      <w:r>
        <w:rPr>
          <w:color w:val="231F20"/>
          <w:spacing w:val="-13"/>
          <w:w w:val="120"/>
        </w:rPr>
        <w:t> </w:t>
      </w:r>
      <w:r>
        <w:rPr>
          <w:color w:val="231F20"/>
          <w:w w:val="120"/>
        </w:rPr>
        <w:t>À</w:t>
      </w:r>
      <w:r>
        <w:rPr>
          <w:color w:val="231F20"/>
          <w:spacing w:val="-12"/>
          <w:w w:val="120"/>
        </w:rPr>
        <w:t> </w:t>
      </w:r>
      <w:r>
        <w:rPr>
          <w:color w:val="231F20"/>
          <w:w w:val="120"/>
        </w:rPr>
        <w:t>cet</w:t>
      </w:r>
      <w:r>
        <w:rPr>
          <w:color w:val="231F20"/>
          <w:spacing w:val="-13"/>
          <w:w w:val="120"/>
        </w:rPr>
        <w:t> </w:t>
      </w:r>
      <w:r>
        <w:rPr>
          <w:color w:val="231F20"/>
          <w:w w:val="120"/>
        </w:rPr>
        <w:t>effet,</w:t>
      </w:r>
      <w:r>
        <w:rPr>
          <w:color w:val="231F20"/>
          <w:spacing w:val="-13"/>
          <w:w w:val="120"/>
        </w:rPr>
        <w:t> </w:t>
      </w:r>
      <w:r>
        <w:rPr>
          <w:color w:val="231F20"/>
          <w:w w:val="120"/>
        </w:rPr>
        <w:t>diverses</w:t>
      </w:r>
      <w:r>
        <w:rPr>
          <w:color w:val="231F20"/>
          <w:spacing w:val="-13"/>
          <w:w w:val="120"/>
        </w:rPr>
        <w:t> </w:t>
      </w:r>
      <w:r>
        <w:rPr>
          <w:color w:val="231F20"/>
          <w:w w:val="120"/>
        </w:rPr>
        <w:t>stra- </w:t>
      </w:r>
      <w:r>
        <w:rPr>
          <w:color w:val="231F20"/>
          <w:w w:val="115"/>
        </w:rPr>
        <w:t>tégies d’adaptation (</w:t>
      </w:r>
      <w:r>
        <w:rPr>
          <w:i/>
          <w:color w:val="231F20"/>
          <w:w w:val="115"/>
        </w:rPr>
        <w:t>coping</w:t>
      </w:r>
      <w:r>
        <w:rPr>
          <w:color w:val="231F20"/>
          <w:w w:val="115"/>
        </w:rPr>
        <w:t>) peuvent être mises à contribution par l’indi- vidu</w:t>
      </w:r>
      <w:r>
        <w:rPr>
          <w:color w:val="231F20"/>
          <w:spacing w:val="-1"/>
          <w:w w:val="115"/>
        </w:rPr>
        <w:t> </w:t>
      </w:r>
      <w:r>
        <w:rPr>
          <w:color w:val="231F20"/>
          <w:w w:val="115"/>
        </w:rPr>
        <w:t>afin</w:t>
      </w:r>
      <w:r>
        <w:rPr>
          <w:color w:val="231F20"/>
          <w:spacing w:val="-1"/>
          <w:w w:val="115"/>
        </w:rPr>
        <w:t> </w:t>
      </w:r>
      <w:r>
        <w:rPr>
          <w:color w:val="231F20"/>
          <w:w w:val="115"/>
        </w:rPr>
        <w:t>de</w:t>
      </w:r>
      <w:r>
        <w:rPr>
          <w:color w:val="231F20"/>
          <w:spacing w:val="-1"/>
          <w:w w:val="115"/>
        </w:rPr>
        <w:t> </w:t>
      </w:r>
      <w:r>
        <w:rPr>
          <w:color w:val="231F20"/>
          <w:w w:val="115"/>
        </w:rPr>
        <w:t>limiter</w:t>
      </w:r>
      <w:r>
        <w:rPr>
          <w:color w:val="231F20"/>
          <w:spacing w:val="-1"/>
          <w:w w:val="115"/>
        </w:rPr>
        <w:t> </w:t>
      </w:r>
      <w:r>
        <w:rPr>
          <w:color w:val="231F20"/>
          <w:w w:val="115"/>
        </w:rPr>
        <w:t>les</w:t>
      </w:r>
      <w:r>
        <w:rPr>
          <w:color w:val="231F20"/>
          <w:spacing w:val="-1"/>
          <w:w w:val="115"/>
        </w:rPr>
        <w:t> </w:t>
      </w:r>
      <w:r>
        <w:rPr>
          <w:color w:val="231F20"/>
          <w:w w:val="115"/>
        </w:rPr>
        <w:t>effets</w:t>
      </w:r>
      <w:r>
        <w:rPr>
          <w:color w:val="231F20"/>
          <w:spacing w:val="-1"/>
          <w:w w:val="115"/>
        </w:rPr>
        <w:t> </w:t>
      </w:r>
      <w:r>
        <w:rPr>
          <w:color w:val="231F20"/>
          <w:w w:val="115"/>
        </w:rPr>
        <w:t>délétères</w:t>
      </w:r>
      <w:r>
        <w:rPr>
          <w:color w:val="231F20"/>
          <w:spacing w:val="-1"/>
          <w:w w:val="115"/>
        </w:rPr>
        <w:t> </w:t>
      </w:r>
      <w:r>
        <w:rPr>
          <w:color w:val="231F20"/>
          <w:w w:val="115"/>
        </w:rPr>
        <w:t>du</w:t>
      </w:r>
      <w:r>
        <w:rPr>
          <w:color w:val="231F20"/>
          <w:spacing w:val="-1"/>
          <w:w w:val="115"/>
        </w:rPr>
        <w:t> </w:t>
      </w:r>
      <w:r>
        <w:rPr>
          <w:color w:val="231F20"/>
          <w:w w:val="115"/>
        </w:rPr>
        <w:t>stress.</w:t>
      </w:r>
      <w:r>
        <w:rPr>
          <w:color w:val="231F20"/>
          <w:spacing w:val="-1"/>
          <w:w w:val="115"/>
        </w:rPr>
        <w:t> </w:t>
      </w:r>
      <w:r>
        <w:rPr>
          <w:color w:val="231F20"/>
          <w:w w:val="115"/>
        </w:rPr>
        <w:t>Nous</w:t>
      </w:r>
      <w:r>
        <w:rPr>
          <w:color w:val="231F20"/>
          <w:spacing w:val="-1"/>
          <w:w w:val="115"/>
        </w:rPr>
        <w:t> </w:t>
      </w:r>
      <w:r>
        <w:rPr>
          <w:color w:val="231F20"/>
          <w:w w:val="115"/>
        </w:rPr>
        <w:t>y</w:t>
      </w:r>
      <w:r>
        <w:rPr>
          <w:color w:val="231F20"/>
          <w:spacing w:val="-1"/>
          <w:w w:val="115"/>
        </w:rPr>
        <w:t> </w:t>
      </w:r>
      <w:r>
        <w:rPr>
          <w:color w:val="231F20"/>
          <w:w w:val="115"/>
        </w:rPr>
        <w:t>reviendrons</w:t>
      </w:r>
      <w:r>
        <w:rPr>
          <w:color w:val="231F20"/>
          <w:spacing w:val="-1"/>
          <w:w w:val="115"/>
        </w:rPr>
        <w:t> </w:t>
      </w:r>
      <w:r>
        <w:rPr>
          <w:color w:val="231F20"/>
          <w:w w:val="115"/>
        </w:rPr>
        <w:t>plus </w:t>
      </w:r>
      <w:r>
        <w:rPr>
          <w:color w:val="231F20"/>
          <w:w w:val="120"/>
        </w:rPr>
        <w:t>particulièrement</w:t>
      </w:r>
      <w:r>
        <w:rPr>
          <w:color w:val="231F20"/>
          <w:spacing w:val="-10"/>
          <w:w w:val="120"/>
        </w:rPr>
        <w:t> </w:t>
      </w:r>
      <w:r>
        <w:rPr>
          <w:color w:val="231F20"/>
          <w:w w:val="120"/>
        </w:rPr>
        <w:t>au</w:t>
      </w:r>
      <w:r>
        <w:rPr>
          <w:color w:val="231F20"/>
          <w:spacing w:val="-10"/>
          <w:w w:val="120"/>
        </w:rPr>
        <w:t> </w:t>
      </w:r>
      <w:r>
        <w:rPr>
          <w:color w:val="231F20"/>
          <w:w w:val="120"/>
        </w:rPr>
        <w:t>chapitre</w:t>
      </w:r>
      <w:r>
        <w:rPr>
          <w:color w:val="231F20"/>
          <w:spacing w:val="-10"/>
          <w:w w:val="120"/>
        </w:rPr>
        <w:t> </w:t>
      </w:r>
      <w:r>
        <w:rPr>
          <w:color w:val="231F20"/>
          <w:w w:val="120"/>
        </w:rPr>
        <w:t>5,</w:t>
      </w:r>
      <w:r>
        <w:rPr>
          <w:color w:val="231F20"/>
          <w:spacing w:val="-10"/>
          <w:w w:val="120"/>
        </w:rPr>
        <w:t> </w:t>
      </w:r>
      <w:r>
        <w:rPr>
          <w:color w:val="231F20"/>
          <w:w w:val="120"/>
        </w:rPr>
        <w:t>mais</w:t>
      </w:r>
      <w:r>
        <w:rPr>
          <w:color w:val="231F20"/>
          <w:spacing w:val="-10"/>
          <w:w w:val="120"/>
        </w:rPr>
        <w:t> </w:t>
      </w:r>
      <w:r>
        <w:rPr>
          <w:color w:val="231F20"/>
          <w:w w:val="120"/>
        </w:rPr>
        <w:t>mentionnons</w:t>
      </w:r>
      <w:r>
        <w:rPr>
          <w:color w:val="231F20"/>
          <w:spacing w:val="-10"/>
          <w:w w:val="120"/>
        </w:rPr>
        <w:t> </w:t>
      </w:r>
      <w:r>
        <w:rPr>
          <w:color w:val="231F20"/>
          <w:w w:val="120"/>
        </w:rPr>
        <w:t>pour</w:t>
      </w:r>
      <w:r>
        <w:rPr>
          <w:color w:val="231F20"/>
          <w:spacing w:val="-10"/>
          <w:w w:val="120"/>
        </w:rPr>
        <w:t> </w:t>
      </w:r>
      <w:r>
        <w:rPr>
          <w:color w:val="231F20"/>
          <w:w w:val="120"/>
        </w:rPr>
        <w:t>l’instant</w:t>
      </w:r>
      <w:r>
        <w:rPr>
          <w:color w:val="231F20"/>
          <w:spacing w:val="-10"/>
          <w:w w:val="120"/>
        </w:rPr>
        <w:t> </w:t>
      </w:r>
      <w:r>
        <w:rPr>
          <w:color w:val="231F20"/>
          <w:w w:val="120"/>
        </w:rPr>
        <w:t>que</w:t>
      </w:r>
      <w:r>
        <w:rPr>
          <w:color w:val="231F20"/>
          <w:spacing w:val="-10"/>
          <w:w w:val="120"/>
        </w:rPr>
        <w:t> </w:t>
      </w:r>
      <w:r>
        <w:rPr>
          <w:color w:val="231F20"/>
          <w:w w:val="120"/>
        </w:rPr>
        <w:t>les stratégies</w:t>
      </w:r>
      <w:r>
        <w:rPr>
          <w:color w:val="231F20"/>
          <w:spacing w:val="-10"/>
          <w:w w:val="120"/>
        </w:rPr>
        <w:t> </w:t>
      </w:r>
      <w:r>
        <w:rPr>
          <w:color w:val="231F20"/>
          <w:w w:val="120"/>
        </w:rPr>
        <w:t>peuvent</w:t>
      </w:r>
      <w:r>
        <w:rPr>
          <w:color w:val="231F20"/>
          <w:spacing w:val="-10"/>
          <w:w w:val="120"/>
        </w:rPr>
        <w:t> </w:t>
      </w:r>
      <w:r>
        <w:rPr>
          <w:color w:val="231F20"/>
          <w:w w:val="120"/>
        </w:rPr>
        <w:t>être</w:t>
      </w:r>
      <w:r>
        <w:rPr>
          <w:color w:val="231F20"/>
          <w:spacing w:val="-10"/>
          <w:w w:val="120"/>
        </w:rPr>
        <w:t> </w:t>
      </w:r>
      <w:r>
        <w:rPr>
          <w:color w:val="231F20"/>
          <w:w w:val="120"/>
        </w:rPr>
        <w:t>comportementales</w:t>
      </w:r>
      <w:r>
        <w:rPr>
          <w:color w:val="231F20"/>
          <w:spacing w:val="-10"/>
          <w:w w:val="120"/>
        </w:rPr>
        <w:t> </w:t>
      </w:r>
      <w:r>
        <w:rPr>
          <w:color w:val="231F20"/>
          <w:w w:val="120"/>
        </w:rPr>
        <w:t>et</w:t>
      </w:r>
      <w:r>
        <w:rPr>
          <w:color w:val="231F20"/>
          <w:spacing w:val="-10"/>
          <w:w w:val="120"/>
        </w:rPr>
        <w:t> </w:t>
      </w:r>
      <w:r>
        <w:rPr>
          <w:color w:val="231F20"/>
          <w:w w:val="120"/>
        </w:rPr>
        <w:t>axées</w:t>
      </w:r>
      <w:r>
        <w:rPr>
          <w:color w:val="231F20"/>
          <w:spacing w:val="-10"/>
          <w:w w:val="120"/>
        </w:rPr>
        <w:t> </w:t>
      </w:r>
      <w:r>
        <w:rPr>
          <w:color w:val="231F20"/>
          <w:w w:val="120"/>
        </w:rPr>
        <w:t>vers</w:t>
      </w:r>
      <w:r>
        <w:rPr>
          <w:color w:val="231F20"/>
          <w:spacing w:val="-10"/>
          <w:w w:val="120"/>
        </w:rPr>
        <w:t> </w:t>
      </w:r>
      <w:r>
        <w:rPr>
          <w:color w:val="231F20"/>
          <w:w w:val="120"/>
        </w:rPr>
        <w:t>l’action</w:t>
      </w:r>
      <w:r>
        <w:rPr>
          <w:color w:val="231F20"/>
          <w:spacing w:val="-10"/>
          <w:w w:val="120"/>
        </w:rPr>
        <w:t> </w:t>
      </w:r>
      <w:r>
        <w:rPr>
          <w:color w:val="231F20"/>
          <w:w w:val="120"/>
        </w:rPr>
        <w:t>à</w:t>
      </w:r>
      <w:r>
        <w:rPr>
          <w:color w:val="231F20"/>
          <w:spacing w:val="-10"/>
          <w:w w:val="120"/>
        </w:rPr>
        <w:t> </w:t>
      </w:r>
      <w:r>
        <w:rPr>
          <w:color w:val="231F20"/>
          <w:w w:val="120"/>
        </w:rPr>
        <w:t>entre- </w:t>
      </w:r>
      <w:r>
        <w:rPr>
          <w:color w:val="231F20"/>
          <w:spacing w:val="-4"/>
          <w:w w:val="120"/>
        </w:rPr>
        <w:t>prendre pour s’adapter, elles peuvent être cognitives afin de favoriser une </w:t>
      </w:r>
      <w:r>
        <w:rPr>
          <w:color w:val="231F20"/>
          <w:spacing w:val="-2"/>
          <w:w w:val="120"/>
        </w:rPr>
        <w:t>réévaluation</w:t>
      </w:r>
      <w:r>
        <w:rPr>
          <w:color w:val="231F20"/>
          <w:spacing w:val="-8"/>
          <w:w w:val="120"/>
        </w:rPr>
        <w:t> </w:t>
      </w:r>
      <w:r>
        <w:rPr>
          <w:color w:val="231F20"/>
          <w:spacing w:val="-2"/>
          <w:w w:val="120"/>
        </w:rPr>
        <w:t>de</w:t>
      </w:r>
      <w:r>
        <w:rPr>
          <w:color w:val="231F20"/>
          <w:spacing w:val="-9"/>
          <w:w w:val="120"/>
        </w:rPr>
        <w:t> </w:t>
      </w:r>
      <w:r>
        <w:rPr>
          <w:color w:val="231F20"/>
          <w:spacing w:val="-2"/>
          <w:w w:val="120"/>
        </w:rPr>
        <w:t>la</w:t>
      </w:r>
      <w:r>
        <w:rPr>
          <w:color w:val="231F20"/>
          <w:spacing w:val="-8"/>
          <w:w w:val="120"/>
        </w:rPr>
        <w:t> </w:t>
      </w:r>
      <w:r>
        <w:rPr>
          <w:color w:val="231F20"/>
          <w:spacing w:val="-2"/>
          <w:w w:val="120"/>
        </w:rPr>
        <w:t>situation</w:t>
      </w:r>
      <w:r>
        <w:rPr>
          <w:color w:val="231F20"/>
          <w:spacing w:val="-9"/>
          <w:w w:val="120"/>
        </w:rPr>
        <w:t> </w:t>
      </w:r>
      <w:r>
        <w:rPr>
          <w:color w:val="231F20"/>
          <w:spacing w:val="-2"/>
          <w:w w:val="120"/>
        </w:rPr>
        <w:t>ou</w:t>
      </w:r>
      <w:r>
        <w:rPr>
          <w:color w:val="231F20"/>
          <w:spacing w:val="-8"/>
          <w:w w:val="120"/>
        </w:rPr>
        <w:t> </w:t>
      </w:r>
      <w:r>
        <w:rPr>
          <w:color w:val="231F20"/>
          <w:spacing w:val="-2"/>
          <w:w w:val="120"/>
        </w:rPr>
        <w:t>elles</w:t>
      </w:r>
      <w:r>
        <w:rPr>
          <w:color w:val="231F20"/>
          <w:spacing w:val="-9"/>
          <w:w w:val="120"/>
        </w:rPr>
        <w:t> </w:t>
      </w:r>
      <w:r>
        <w:rPr>
          <w:color w:val="231F20"/>
          <w:spacing w:val="-2"/>
          <w:w w:val="120"/>
        </w:rPr>
        <w:t>peuvent</w:t>
      </w:r>
      <w:r>
        <w:rPr>
          <w:color w:val="231F20"/>
          <w:spacing w:val="-8"/>
          <w:w w:val="120"/>
        </w:rPr>
        <w:t> </w:t>
      </w:r>
      <w:r>
        <w:rPr>
          <w:color w:val="231F20"/>
          <w:spacing w:val="-2"/>
          <w:w w:val="120"/>
        </w:rPr>
        <w:t>chercher</w:t>
      </w:r>
      <w:r>
        <w:rPr>
          <w:color w:val="231F20"/>
          <w:spacing w:val="-9"/>
          <w:w w:val="120"/>
        </w:rPr>
        <w:t> </w:t>
      </w:r>
      <w:r>
        <w:rPr>
          <w:color w:val="231F20"/>
          <w:spacing w:val="-2"/>
          <w:w w:val="120"/>
        </w:rPr>
        <w:t>l’évitement</w:t>
      </w:r>
      <w:r>
        <w:rPr>
          <w:color w:val="231F20"/>
          <w:spacing w:val="-8"/>
          <w:w w:val="120"/>
        </w:rPr>
        <w:t> </w:t>
      </w:r>
      <w:r>
        <w:rPr>
          <w:color w:val="231F20"/>
          <w:spacing w:val="-2"/>
          <w:w w:val="120"/>
        </w:rPr>
        <w:t>afin</w:t>
      </w:r>
      <w:r>
        <w:rPr>
          <w:color w:val="231F20"/>
          <w:spacing w:val="-9"/>
          <w:w w:val="120"/>
        </w:rPr>
        <w:t> </w:t>
      </w:r>
      <w:r>
        <w:rPr>
          <w:color w:val="231F20"/>
          <w:spacing w:val="-2"/>
          <w:w w:val="120"/>
        </w:rPr>
        <w:t>de </w:t>
      </w:r>
      <w:r>
        <w:rPr>
          <w:color w:val="231F20"/>
          <w:w w:val="120"/>
        </w:rPr>
        <w:t>faire cesser temporairement le stress.</w:t>
      </w:r>
    </w:p>
    <w:p>
      <w:pPr>
        <w:pStyle w:val="BodyText"/>
        <w:spacing w:line="307" w:lineRule="auto" w:before="78"/>
        <w:ind w:left="510" w:right="496" w:firstLine="250"/>
        <w:jc w:val="both"/>
      </w:pPr>
      <w:r>
        <w:rPr>
          <w:color w:val="231F20"/>
          <w:w w:val="120"/>
        </w:rPr>
        <w:t>Ce</w:t>
      </w:r>
      <w:r>
        <w:rPr>
          <w:color w:val="231F20"/>
          <w:spacing w:val="-13"/>
          <w:w w:val="120"/>
        </w:rPr>
        <w:t> </w:t>
      </w:r>
      <w:r>
        <w:rPr>
          <w:color w:val="231F20"/>
          <w:w w:val="120"/>
        </w:rPr>
        <w:t>processus</w:t>
      </w:r>
      <w:r>
        <w:rPr>
          <w:color w:val="231F20"/>
          <w:spacing w:val="-13"/>
          <w:w w:val="120"/>
        </w:rPr>
        <w:t> </w:t>
      </w:r>
      <w:r>
        <w:rPr>
          <w:color w:val="231F20"/>
          <w:w w:val="120"/>
        </w:rPr>
        <w:t>transactionnel</w:t>
      </w:r>
      <w:r>
        <w:rPr>
          <w:color w:val="231F20"/>
          <w:spacing w:val="-13"/>
          <w:w w:val="120"/>
        </w:rPr>
        <w:t> </w:t>
      </w:r>
      <w:r>
        <w:rPr>
          <w:color w:val="231F20"/>
          <w:w w:val="120"/>
        </w:rPr>
        <w:t>est</w:t>
      </w:r>
      <w:r>
        <w:rPr>
          <w:color w:val="231F20"/>
          <w:spacing w:val="-12"/>
          <w:w w:val="120"/>
        </w:rPr>
        <w:t> </w:t>
      </w:r>
      <w:r>
        <w:rPr>
          <w:color w:val="231F20"/>
          <w:w w:val="120"/>
        </w:rPr>
        <w:t>fortement</w:t>
      </w:r>
      <w:r>
        <w:rPr>
          <w:color w:val="231F20"/>
          <w:spacing w:val="-13"/>
          <w:w w:val="120"/>
        </w:rPr>
        <w:t> </w:t>
      </w:r>
      <w:r>
        <w:rPr>
          <w:color w:val="231F20"/>
          <w:w w:val="120"/>
        </w:rPr>
        <w:t>dynamique</w:t>
      </w:r>
      <w:r>
        <w:rPr>
          <w:color w:val="231F20"/>
          <w:spacing w:val="-13"/>
          <w:w w:val="120"/>
        </w:rPr>
        <w:t> </w:t>
      </w:r>
      <w:r>
        <w:rPr>
          <w:color w:val="231F20"/>
          <w:w w:val="120"/>
        </w:rPr>
        <w:t>et</w:t>
      </w:r>
      <w:r>
        <w:rPr>
          <w:color w:val="231F20"/>
          <w:spacing w:val="-13"/>
          <w:w w:val="120"/>
        </w:rPr>
        <w:t> </w:t>
      </w:r>
      <w:r>
        <w:rPr>
          <w:color w:val="231F20"/>
          <w:w w:val="120"/>
        </w:rPr>
        <w:t>s’enclenche </w:t>
      </w:r>
      <w:r>
        <w:rPr>
          <w:color w:val="231F20"/>
          <w:spacing w:val="-2"/>
          <w:w w:val="120"/>
        </w:rPr>
        <w:t>chaque</w:t>
      </w:r>
      <w:r>
        <w:rPr>
          <w:color w:val="231F20"/>
          <w:spacing w:val="-10"/>
          <w:w w:val="120"/>
        </w:rPr>
        <w:t> </w:t>
      </w:r>
      <w:r>
        <w:rPr>
          <w:color w:val="231F20"/>
          <w:spacing w:val="-2"/>
          <w:w w:val="120"/>
        </w:rPr>
        <w:t>fois</w:t>
      </w:r>
      <w:r>
        <w:rPr>
          <w:color w:val="231F20"/>
          <w:spacing w:val="-10"/>
          <w:w w:val="120"/>
        </w:rPr>
        <w:t> </w:t>
      </w:r>
      <w:r>
        <w:rPr>
          <w:color w:val="231F20"/>
          <w:spacing w:val="-2"/>
          <w:w w:val="120"/>
        </w:rPr>
        <w:t>qu’un</w:t>
      </w:r>
      <w:r>
        <w:rPr>
          <w:color w:val="231F20"/>
          <w:spacing w:val="-10"/>
          <w:w w:val="120"/>
        </w:rPr>
        <w:t> </w:t>
      </w:r>
      <w:r>
        <w:rPr>
          <w:color w:val="231F20"/>
          <w:spacing w:val="-2"/>
          <w:w w:val="120"/>
        </w:rPr>
        <w:t>élément</w:t>
      </w:r>
      <w:r>
        <w:rPr>
          <w:color w:val="231F20"/>
          <w:spacing w:val="-10"/>
          <w:w w:val="120"/>
        </w:rPr>
        <w:t> </w:t>
      </w:r>
      <w:r>
        <w:rPr>
          <w:color w:val="231F20"/>
          <w:spacing w:val="-2"/>
          <w:w w:val="120"/>
        </w:rPr>
        <w:t>environnemental</w:t>
      </w:r>
      <w:r>
        <w:rPr>
          <w:color w:val="231F20"/>
          <w:spacing w:val="-10"/>
          <w:w w:val="120"/>
        </w:rPr>
        <w:t> </w:t>
      </w:r>
      <w:r>
        <w:rPr>
          <w:color w:val="231F20"/>
          <w:spacing w:val="-2"/>
          <w:w w:val="120"/>
        </w:rPr>
        <w:t>menace</w:t>
      </w:r>
      <w:r>
        <w:rPr>
          <w:color w:val="231F20"/>
          <w:spacing w:val="-10"/>
          <w:w w:val="120"/>
        </w:rPr>
        <w:t> </w:t>
      </w:r>
      <w:r>
        <w:rPr>
          <w:color w:val="231F20"/>
          <w:spacing w:val="-2"/>
          <w:w w:val="120"/>
        </w:rPr>
        <w:t>l’homéostasie.</w:t>
      </w:r>
      <w:r>
        <w:rPr>
          <w:color w:val="231F20"/>
          <w:spacing w:val="-10"/>
          <w:w w:val="120"/>
        </w:rPr>
        <w:t> </w:t>
      </w:r>
      <w:r>
        <w:rPr>
          <w:color w:val="231F20"/>
          <w:spacing w:val="-2"/>
          <w:w w:val="120"/>
        </w:rPr>
        <w:t>Il</w:t>
      </w:r>
      <w:r>
        <w:rPr>
          <w:color w:val="231F20"/>
          <w:spacing w:val="-10"/>
          <w:w w:val="120"/>
        </w:rPr>
        <w:t> </w:t>
      </w:r>
      <w:r>
        <w:rPr>
          <w:color w:val="231F20"/>
          <w:spacing w:val="-2"/>
          <w:w w:val="120"/>
        </w:rPr>
        <w:t>ne </w:t>
      </w:r>
      <w:r>
        <w:rPr>
          <w:color w:val="231F20"/>
          <w:w w:val="120"/>
        </w:rPr>
        <w:t>s’agit donc pas d’un processus linéaire et unidimensionnel, amenant ses composantes et ses évaluations, qui sont interdépendantes, à être temporellement</w:t>
      </w:r>
      <w:r>
        <w:rPr>
          <w:color w:val="231F20"/>
          <w:spacing w:val="-13"/>
          <w:w w:val="120"/>
        </w:rPr>
        <w:t> </w:t>
      </w:r>
      <w:r>
        <w:rPr>
          <w:color w:val="231F20"/>
          <w:w w:val="120"/>
        </w:rPr>
        <w:t>intriquées10.</w:t>
      </w:r>
    </w:p>
    <w:p>
      <w:pPr>
        <w:pStyle w:val="BodyText"/>
        <w:spacing w:line="307" w:lineRule="auto" w:before="79"/>
        <w:ind w:left="510" w:right="496" w:firstLine="250"/>
        <w:jc w:val="both"/>
      </w:pPr>
      <w:r>
        <w:rPr>
          <w:color w:val="231F20"/>
          <w:w w:val="120"/>
        </w:rPr>
        <w:t>Pour</w:t>
      </w:r>
      <w:r>
        <w:rPr>
          <w:color w:val="231F20"/>
          <w:spacing w:val="-15"/>
          <w:w w:val="120"/>
        </w:rPr>
        <w:t> </w:t>
      </w:r>
      <w:r>
        <w:rPr>
          <w:color w:val="231F20"/>
          <w:w w:val="120"/>
        </w:rPr>
        <w:t>résumer</w:t>
      </w:r>
      <w:r>
        <w:rPr>
          <w:color w:val="231F20"/>
          <w:spacing w:val="-13"/>
          <w:w w:val="120"/>
        </w:rPr>
        <w:t> </w:t>
      </w:r>
      <w:r>
        <w:rPr>
          <w:color w:val="231F20"/>
          <w:w w:val="120"/>
        </w:rPr>
        <w:t>la</w:t>
      </w:r>
      <w:r>
        <w:rPr>
          <w:color w:val="231F20"/>
          <w:spacing w:val="-13"/>
          <w:w w:val="120"/>
        </w:rPr>
        <w:t> </w:t>
      </w:r>
      <w:r>
        <w:rPr>
          <w:color w:val="231F20"/>
          <w:w w:val="120"/>
        </w:rPr>
        <w:t>perspective</w:t>
      </w:r>
      <w:r>
        <w:rPr>
          <w:color w:val="231F20"/>
          <w:spacing w:val="-12"/>
          <w:w w:val="120"/>
        </w:rPr>
        <w:t> </w:t>
      </w:r>
      <w:r>
        <w:rPr>
          <w:color w:val="231F20"/>
          <w:w w:val="120"/>
        </w:rPr>
        <w:t>transactionnelle</w:t>
      </w:r>
      <w:r>
        <w:rPr>
          <w:color w:val="231F20"/>
          <w:spacing w:val="-13"/>
          <w:w w:val="120"/>
        </w:rPr>
        <w:t> </w:t>
      </w:r>
      <w:r>
        <w:rPr>
          <w:color w:val="231F20"/>
          <w:w w:val="120"/>
        </w:rPr>
        <w:t>de</w:t>
      </w:r>
      <w:r>
        <w:rPr>
          <w:color w:val="231F20"/>
          <w:spacing w:val="-13"/>
          <w:w w:val="120"/>
        </w:rPr>
        <w:t> </w:t>
      </w:r>
      <w:r>
        <w:rPr>
          <w:color w:val="231F20"/>
          <w:w w:val="120"/>
        </w:rPr>
        <w:t>Lazarus</w:t>
      </w:r>
      <w:r>
        <w:rPr>
          <w:color w:val="231F20"/>
          <w:spacing w:val="-13"/>
          <w:w w:val="120"/>
        </w:rPr>
        <w:t> </w:t>
      </w:r>
      <w:r>
        <w:rPr>
          <w:color w:val="231F20"/>
          <w:w w:val="120"/>
        </w:rPr>
        <w:t>et</w:t>
      </w:r>
      <w:r>
        <w:rPr>
          <w:color w:val="231F20"/>
          <w:spacing w:val="-12"/>
          <w:w w:val="120"/>
        </w:rPr>
        <w:t> </w:t>
      </w:r>
      <w:r>
        <w:rPr>
          <w:color w:val="231F20"/>
          <w:w w:val="120"/>
        </w:rPr>
        <w:t>Folkman, </w:t>
      </w:r>
      <w:r>
        <w:rPr>
          <w:color w:val="231F20"/>
          <w:spacing w:val="-2"/>
          <w:w w:val="120"/>
        </w:rPr>
        <w:t>il</w:t>
      </w:r>
      <w:r>
        <w:rPr>
          <w:color w:val="231F20"/>
          <w:spacing w:val="-6"/>
          <w:w w:val="120"/>
        </w:rPr>
        <w:t> </w:t>
      </w:r>
      <w:r>
        <w:rPr>
          <w:color w:val="231F20"/>
          <w:spacing w:val="-2"/>
          <w:w w:val="120"/>
        </w:rPr>
        <w:t>faut</w:t>
      </w:r>
      <w:r>
        <w:rPr>
          <w:color w:val="231F20"/>
          <w:spacing w:val="-6"/>
          <w:w w:val="120"/>
        </w:rPr>
        <w:t> </w:t>
      </w:r>
      <w:r>
        <w:rPr>
          <w:color w:val="231F20"/>
          <w:spacing w:val="-2"/>
          <w:w w:val="120"/>
        </w:rPr>
        <w:t>considérer</w:t>
      </w:r>
      <w:r>
        <w:rPr>
          <w:color w:val="231F20"/>
          <w:spacing w:val="-6"/>
          <w:w w:val="120"/>
        </w:rPr>
        <w:t> </w:t>
      </w:r>
      <w:r>
        <w:rPr>
          <w:color w:val="231F20"/>
          <w:spacing w:val="-2"/>
          <w:w w:val="120"/>
        </w:rPr>
        <w:t>que</w:t>
      </w:r>
      <w:r>
        <w:rPr>
          <w:color w:val="231F20"/>
          <w:spacing w:val="-6"/>
          <w:w w:val="120"/>
        </w:rPr>
        <w:t> </w:t>
      </w:r>
      <w:r>
        <w:rPr>
          <w:color w:val="231F20"/>
          <w:spacing w:val="-2"/>
          <w:w w:val="120"/>
        </w:rPr>
        <w:t>le</w:t>
      </w:r>
      <w:r>
        <w:rPr>
          <w:color w:val="231F20"/>
          <w:spacing w:val="-6"/>
          <w:w w:val="120"/>
        </w:rPr>
        <w:t> </w:t>
      </w:r>
      <w:r>
        <w:rPr>
          <w:color w:val="231F20"/>
          <w:spacing w:val="-2"/>
          <w:w w:val="120"/>
        </w:rPr>
        <w:t>stress</w:t>
      </w:r>
      <w:r>
        <w:rPr>
          <w:color w:val="231F20"/>
          <w:spacing w:val="-6"/>
          <w:w w:val="120"/>
        </w:rPr>
        <w:t> </w:t>
      </w:r>
      <w:r>
        <w:rPr>
          <w:color w:val="231F20"/>
          <w:spacing w:val="-2"/>
          <w:w w:val="120"/>
        </w:rPr>
        <w:t>est</w:t>
      </w:r>
      <w:r>
        <w:rPr>
          <w:color w:val="231F20"/>
          <w:spacing w:val="-6"/>
          <w:w w:val="120"/>
        </w:rPr>
        <w:t> </w:t>
      </w:r>
      <w:r>
        <w:rPr>
          <w:color w:val="231F20"/>
          <w:spacing w:val="-2"/>
          <w:w w:val="120"/>
        </w:rPr>
        <w:t>un</w:t>
      </w:r>
      <w:r>
        <w:rPr>
          <w:color w:val="231F20"/>
          <w:spacing w:val="-6"/>
          <w:w w:val="120"/>
        </w:rPr>
        <w:t> </w:t>
      </w:r>
      <w:r>
        <w:rPr>
          <w:color w:val="231F20"/>
          <w:spacing w:val="-2"/>
          <w:w w:val="120"/>
        </w:rPr>
        <w:t>processus</w:t>
      </w:r>
      <w:r>
        <w:rPr>
          <w:color w:val="231F20"/>
          <w:spacing w:val="-6"/>
          <w:w w:val="120"/>
        </w:rPr>
        <w:t> </w:t>
      </w:r>
      <w:r>
        <w:rPr>
          <w:color w:val="231F20"/>
          <w:spacing w:val="-2"/>
          <w:w w:val="120"/>
        </w:rPr>
        <w:t>psychologique</w:t>
      </w:r>
      <w:r>
        <w:rPr>
          <w:color w:val="231F20"/>
          <w:spacing w:val="-6"/>
          <w:w w:val="120"/>
        </w:rPr>
        <w:t> </w:t>
      </w:r>
      <w:r>
        <w:rPr>
          <w:color w:val="231F20"/>
          <w:spacing w:val="-2"/>
          <w:w w:val="120"/>
        </w:rPr>
        <w:t>complexe </w:t>
      </w:r>
      <w:r>
        <w:rPr>
          <w:color w:val="231F20"/>
          <w:w w:val="120"/>
        </w:rPr>
        <w:t>et dynamique en trois volets:</w:t>
      </w:r>
    </w:p>
    <w:p>
      <w:pPr>
        <w:pStyle w:val="ListParagraph"/>
        <w:numPr>
          <w:ilvl w:val="0"/>
          <w:numId w:val="24"/>
        </w:numPr>
        <w:tabs>
          <w:tab w:pos="1011" w:val="left" w:leader="none"/>
        </w:tabs>
        <w:spacing w:line="307" w:lineRule="auto" w:before="79" w:after="0"/>
        <w:ind w:left="1010" w:right="497" w:hanging="251"/>
        <w:jc w:val="both"/>
        <w:rPr>
          <w:sz w:val="17"/>
        </w:rPr>
      </w:pPr>
      <w:r>
        <w:rPr>
          <w:color w:val="231F20"/>
          <w:w w:val="120"/>
          <w:sz w:val="17"/>
        </w:rPr>
        <w:t>Une</w:t>
      </w:r>
      <w:r>
        <w:rPr>
          <w:color w:val="231F20"/>
          <w:spacing w:val="-11"/>
          <w:w w:val="120"/>
          <w:sz w:val="17"/>
        </w:rPr>
        <w:t> </w:t>
      </w:r>
      <w:r>
        <w:rPr>
          <w:color w:val="231F20"/>
          <w:w w:val="120"/>
          <w:sz w:val="17"/>
        </w:rPr>
        <w:t>situation</w:t>
      </w:r>
      <w:r>
        <w:rPr>
          <w:color w:val="231F20"/>
          <w:spacing w:val="-11"/>
          <w:w w:val="120"/>
          <w:sz w:val="17"/>
        </w:rPr>
        <w:t> </w:t>
      </w:r>
      <w:r>
        <w:rPr>
          <w:color w:val="231F20"/>
          <w:w w:val="120"/>
          <w:sz w:val="17"/>
        </w:rPr>
        <w:t>initiale</w:t>
      </w:r>
      <w:r>
        <w:rPr>
          <w:color w:val="231F20"/>
          <w:spacing w:val="-11"/>
          <w:w w:val="120"/>
          <w:sz w:val="17"/>
        </w:rPr>
        <w:t> </w:t>
      </w:r>
      <w:r>
        <w:rPr>
          <w:color w:val="231F20"/>
          <w:w w:val="120"/>
          <w:sz w:val="17"/>
        </w:rPr>
        <w:t>[stresseur]</w:t>
      </w:r>
      <w:r>
        <w:rPr>
          <w:color w:val="231F20"/>
          <w:spacing w:val="-11"/>
          <w:w w:val="120"/>
          <w:sz w:val="17"/>
        </w:rPr>
        <w:t> </w:t>
      </w:r>
      <w:r>
        <w:rPr>
          <w:color w:val="231F20"/>
          <w:w w:val="120"/>
          <w:sz w:val="17"/>
        </w:rPr>
        <w:t>évaluée</w:t>
      </w:r>
      <w:r>
        <w:rPr>
          <w:color w:val="231F20"/>
          <w:spacing w:val="-11"/>
          <w:w w:val="120"/>
          <w:sz w:val="17"/>
        </w:rPr>
        <w:t> </w:t>
      </w:r>
      <w:r>
        <w:rPr>
          <w:color w:val="231F20"/>
          <w:w w:val="120"/>
          <w:sz w:val="17"/>
        </w:rPr>
        <w:t>comme</w:t>
      </w:r>
      <w:r>
        <w:rPr>
          <w:color w:val="231F20"/>
          <w:spacing w:val="-11"/>
          <w:w w:val="120"/>
          <w:sz w:val="17"/>
        </w:rPr>
        <w:t> </w:t>
      </w:r>
      <w:r>
        <w:rPr>
          <w:color w:val="231F20"/>
          <w:w w:val="120"/>
          <w:sz w:val="17"/>
        </w:rPr>
        <w:t>outrepassant</w:t>
      </w:r>
      <w:r>
        <w:rPr>
          <w:color w:val="231F20"/>
          <w:spacing w:val="-11"/>
          <w:w w:val="120"/>
          <w:sz w:val="17"/>
        </w:rPr>
        <w:t> </w:t>
      </w:r>
      <w:r>
        <w:rPr>
          <w:color w:val="231F20"/>
          <w:w w:val="120"/>
          <w:sz w:val="17"/>
        </w:rPr>
        <w:t>les ressources</w:t>
      </w:r>
      <w:r>
        <w:rPr>
          <w:color w:val="231F20"/>
          <w:spacing w:val="-13"/>
          <w:w w:val="120"/>
          <w:sz w:val="17"/>
        </w:rPr>
        <w:t> </w:t>
      </w:r>
      <w:r>
        <w:rPr>
          <w:color w:val="231F20"/>
          <w:w w:val="120"/>
          <w:sz w:val="17"/>
        </w:rPr>
        <w:t>personnelles</w:t>
      </w:r>
      <w:r>
        <w:rPr>
          <w:color w:val="231F20"/>
          <w:spacing w:val="-13"/>
          <w:w w:val="120"/>
          <w:sz w:val="17"/>
        </w:rPr>
        <w:t> </w:t>
      </w:r>
      <w:r>
        <w:rPr>
          <w:color w:val="231F20"/>
          <w:w w:val="120"/>
          <w:sz w:val="17"/>
        </w:rPr>
        <w:t>[évaluation</w:t>
      </w:r>
      <w:r>
        <w:rPr>
          <w:color w:val="231F20"/>
          <w:spacing w:val="-13"/>
          <w:w w:val="120"/>
          <w:sz w:val="17"/>
        </w:rPr>
        <w:t> </w:t>
      </w:r>
      <w:r>
        <w:rPr>
          <w:color w:val="231F20"/>
          <w:w w:val="120"/>
          <w:sz w:val="17"/>
        </w:rPr>
        <w:t>primaire]</w:t>
      </w:r>
      <w:r>
        <w:rPr>
          <w:color w:val="231F20"/>
          <w:spacing w:val="-12"/>
          <w:w w:val="120"/>
          <w:sz w:val="17"/>
        </w:rPr>
        <w:t> </w:t>
      </w:r>
      <w:r>
        <w:rPr>
          <w:color w:val="231F20"/>
          <w:w w:val="120"/>
          <w:sz w:val="17"/>
        </w:rPr>
        <w:t>et</w:t>
      </w:r>
      <w:r>
        <w:rPr>
          <w:color w:val="231F20"/>
          <w:spacing w:val="-13"/>
          <w:w w:val="120"/>
          <w:sz w:val="17"/>
        </w:rPr>
        <w:t> </w:t>
      </w:r>
      <w:r>
        <w:rPr>
          <w:color w:val="231F20"/>
          <w:w w:val="120"/>
          <w:sz w:val="17"/>
        </w:rPr>
        <w:t>étant,</w:t>
      </w:r>
      <w:r>
        <w:rPr>
          <w:color w:val="231F20"/>
          <w:spacing w:val="-13"/>
          <w:w w:val="120"/>
          <w:sz w:val="17"/>
        </w:rPr>
        <w:t> </w:t>
      </w:r>
      <w:r>
        <w:rPr>
          <w:color w:val="231F20"/>
          <w:w w:val="120"/>
          <w:sz w:val="17"/>
        </w:rPr>
        <w:t>par</w:t>
      </w:r>
      <w:r>
        <w:rPr>
          <w:color w:val="231F20"/>
          <w:spacing w:val="-13"/>
          <w:w w:val="120"/>
          <w:sz w:val="17"/>
        </w:rPr>
        <w:t> </w:t>
      </w:r>
      <w:r>
        <w:rPr>
          <w:color w:val="231F20"/>
          <w:w w:val="120"/>
          <w:sz w:val="17"/>
        </w:rPr>
        <w:t>ce</w:t>
      </w:r>
      <w:r>
        <w:rPr>
          <w:color w:val="231F20"/>
          <w:spacing w:val="-12"/>
          <w:w w:val="120"/>
          <w:sz w:val="17"/>
        </w:rPr>
        <w:t> </w:t>
      </w:r>
      <w:r>
        <w:rPr>
          <w:color w:val="231F20"/>
          <w:w w:val="120"/>
          <w:sz w:val="17"/>
        </w:rPr>
        <w:t>fait, potentiellement préjudiciable pour l’homéostasie.</w:t>
      </w:r>
    </w:p>
    <w:p>
      <w:pPr>
        <w:pStyle w:val="ListParagraph"/>
        <w:numPr>
          <w:ilvl w:val="0"/>
          <w:numId w:val="24"/>
        </w:numPr>
        <w:tabs>
          <w:tab w:pos="1011" w:val="left" w:leader="none"/>
        </w:tabs>
        <w:spacing w:line="307" w:lineRule="auto" w:before="78" w:after="0"/>
        <w:ind w:left="1010" w:right="497" w:hanging="251"/>
        <w:jc w:val="both"/>
        <w:rPr>
          <w:sz w:val="17"/>
        </w:rPr>
      </w:pPr>
      <w:r>
        <w:rPr>
          <w:color w:val="231F20"/>
          <w:w w:val="115"/>
          <w:sz w:val="17"/>
        </w:rPr>
        <w:t>La</w:t>
      </w:r>
      <w:r>
        <w:rPr>
          <w:color w:val="231F20"/>
          <w:spacing w:val="-11"/>
          <w:w w:val="115"/>
          <w:sz w:val="17"/>
        </w:rPr>
        <w:t> </w:t>
      </w:r>
      <w:r>
        <w:rPr>
          <w:color w:val="231F20"/>
          <w:w w:val="115"/>
          <w:sz w:val="17"/>
        </w:rPr>
        <w:t>mise</w:t>
      </w:r>
      <w:r>
        <w:rPr>
          <w:color w:val="231F20"/>
          <w:spacing w:val="-11"/>
          <w:w w:val="115"/>
          <w:sz w:val="17"/>
        </w:rPr>
        <w:t> </w:t>
      </w:r>
      <w:r>
        <w:rPr>
          <w:color w:val="231F20"/>
          <w:w w:val="115"/>
          <w:sz w:val="17"/>
        </w:rPr>
        <w:t>en</w:t>
      </w:r>
      <w:r>
        <w:rPr>
          <w:color w:val="231F20"/>
          <w:spacing w:val="-11"/>
          <w:w w:val="115"/>
          <w:sz w:val="17"/>
        </w:rPr>
        <w:t> </w:t>
      </w:r>
      <w:r>
        <w:rPr>
          <w:color w:val="231F20"/>
          <w:w w:val="115"/>
          <w:sz w:val="17"/>
        </w:rPr>
        <w:t>place</w:t>
      </w:r>
      <w:r>
        <w:rPr>
          <w:color w:val="231F20"/>
          <w:spacing w:val="-11"/>
          <w:w w:val="115"/>
          <w:sz w:val="17"/>
        </w:rPr>
        <w:t> </w:t>
      </w:r>
      <w:r>
        <w:rPr>
          <w:color w:val="231F20"/>
          <w:w w:val="115"/>
          <w:sz w:val="17"/>
        </w:rPr>
        <w:t>d’un</w:t>
      </w:r>
      <w:r>
        <w:rPr>
          <w:color w:val="231F20"/>
          <w:spacing w:val="-11"/>
          <w:w w:val="115"/>
          <w:sz w:val="17"/>
        </w:rPr>
        <w:t> </w:t>
      </w:r>
      <w:r>
        <w:rPr>
          <w:color w:val="231F20"/>
          <w:w w:val="115"/>
          <w:sz w:val="17"/>
        </w:rPr>
        <w:t>effort</w:t>
      </w:r>
      <w:r>
        <w:rPr>
          <w:color w:val="231F20"/>
          <w:spacing w:val="-11"/>
          <w:w w:val="115"/>
          <w:sz w:val="17"/>
        </w:rPr>
        <w:t> </w:t>
      </w:r>
      <w:r>
        <w:rPr>
          <w:color w:val="231F20"/>
          <w:w w:val="115"/>
          <w:sz w:val="17"/>
        </w:rPr>
        <w:t>adaptatif</w:t>
      </w:r>
      <w:r>
        <w:rPr>
          <w:color w:val="231F20"/>
          <w:spacing w:val="-11"/>
          <w:w w:val="115"/>
          <w:sz w:val="17"/>
        </w:rPr>
        <w:t> </w:t>
      </w:r>
      <w:r>
        <w:rPr>
          <w:color w:val="231F20"/>
          <w:w w:val="115"/>
          <w:sz w:val="17"/>
        </w:rPr>
        <w:t>afin</w:t>
      </w:r>
      <w:r>
        <w:rPr>
          <w:color w:val="231F20"/>
          <w:spacing w:val="-11"/>
          <w:w w:val="115"/>
          <w:sz w:val="17"/>
        </w:rPr>
        <w:t> </w:t>
      </w:r>
      <w:r>
        <w:rPr>
          <w:color w:val="231F20"/>
          <w:w w:val="115"/>
          <w:sz w:val="17"/>
        </w:rPr>
        <w:t>de</w:t>
      </w:r>
      <w:r>
        <w:rPr>
          <w:color w:val="231F20"/>
          <w:spacing w:val="-11"/>
          <w:w w:val="115"/>
          <w:sz w:val="17"/>
        </w:rPr>
        <w:t> </w:t>
      </w:r>
      <w:r>
        <w:rPr>
          <w:color w:val="231F20"/>
          <w:w w:val="115"/>
          <w:sz w:val="17"/>
        </w:rPr>
        <w:t>contrer</w:t>
      </w:r>
      <w:r>
        <w:rPr>
          <w:color w:val="231F20"/>
          <w:spacing w:val="-11"/>
          <w:w w:val="115"/>
          <w:sz w:val="17"/>
        </w:rPr>
        <w:t> </w:t>
      </w:r>
      <w:r>
        <w:rPr>
          <w:color w:val="231F20"/>
          <w:w w:val="115"/>
          <w:sz w:val="17"/>
        </w:rPr>
        <w:t>le</w:t>
      </w:r>
      <w:r>
        <w:rPr>
          <w:color w:val="231F20"/>
          <w:spacing w:val="-11"/>
          <w:w w:val="115"/>
          <w:sz w:val="17"/>
        </w:rPr>
        <w:t> </w:t>
      </w:r>
      <w:r>
        <w:rPr>
          <w:color w:val="231F20"/>
          <w:w w:val="115"/>
          <w:sz w:val="17"/>
        </w:rPr>
        <w:t>déséquilibre </w:t>
      </w:r>
      <w:r>
        <w:rPr>
          <w:color w:val="231F20"/>
          <w:spacing w:val="-2"/>
          <w:w w:val="120"/>
          <w:sz w:val="17"/>
        </w:rPr>
        <w:t>qui</w:t>
      </w:r>
      <w:r>
        <w:rPr>
          <w:color w:val="231F20"/>
          <w:spacing w:val="-9"/>
          <w:w w:val="120"/>
          <w:sz w:val="17"/>
        </w:rPr>
        <w:t> </w:t>
      </w:r>
      <w:r>
        <w:rPr>
          <w:color w:val="231F20"/>
          <w:spacing w:val="-2"/>
          <w:w w:val="120"/>
          <w:sz w:val="17"/>
        </w:rPr>
        <w:t>se</w:t>
      </w:r>
      <w:r>
        <w:rPr>
          <w:color w:val="231F20"/>
          <w:spacing w:val="-9"/>
          <w:w w:val="120"/>
          <w:sz w:val="17"/>
        </w:rPr>
        <w:t> </w:t>
      </w:r>
      <w:r>
        <w:rPr>
          <w:color w:val="231F20"/>
          <w:spacing w:val="-2"/>
          <w:w w:val="120"/>
          <w:sz w:val="17"/>
        </w:rPr>
        <w:t>concrétise</w:t>
      </w:r>
      <w:r>
        <w:rPr>
          <w:color w:val="231F20"/>
          <w:spacing w:val="-9"/>
          <w:w w:val="120"/>
          <w:sz w:val="17"/>
        </w:rPr>
        <w:t> </w:t>
      </w:r>
      <w:r>
        <w:rPr>
          <w:color w:val="231F20"/>
          <w:spacing w:val="-2"/>
          <w:w w:val="120"/>
          <w:sz w:val="17"/>
        </w:rPr>
        <w:t>par</w:t>
      </w:r>
      <w:r>
        <w:rPr>
          <w:color w:val="231F20"/>
          <w:spacing w:val="-9"/>
          <w:w w:val="120"/>
          <w:sz w:val="17"/>
        </w:rPr>
        <w:t> </w:t>
      </w:r>
      <w:r>
        <w:rPr>
          <w:color w:val="231F20"/>
          <w:spacing w:val="-2"/>
          <w:w w:val="120"/>
          <w:sz w:val="17"/>
        </w:rPr>
        <w:t>la</w:t>
      </w:r>
      <w:r>
        <w:rPr>
          <w:color w:val="231F20"/>
          <w:spacing w:val="-9"/>
          <w:w w:val="120"/>
          <w:sz w:val="17"/>
        </w:rPr>
        <w:t> </w:t>
      </w:r>
      <w:r>
        <w:rPr>
          <w:color w:val="231F20"/>
          <w:spacing w:val="-2"/>
          <w:w w:val="120"/>
          <w:sz w:val="17"/>
        </w:rPr>
        <w:t>création</w:t>
      </w:r>
      <w:r>
        <w:rPr>
          <w:color w:val="231F20"/>
          <w:spacing w:val="-9"/>
          <w:w w:val="120"/>
          <w:sz w:val="17"/>
        </w:rPr>
        <w:t> </w:t>
      </w:r>
      <w:r>
        <w:rPr>
          <w:color w:val="231F20"/>
          <w:spacing w:val="-2"/>
          <w:w w:val="120"/>
          <w:sz w:val="17"/>
        </w:rPr>
        <w:t>d’un</w:t>
      </w:r>
      <w:r>
        <w:rPr>
          <w:color w:val="231F20"/>
          <w:spacing w:val="-9"/>
          <w:w w:val="120"/>
          <w:sz w:val="17"/>
        </w:rPr>
        <w:t> </w:t>
      </w:r>
      <w:r>
        <w:rPr>
          <w:color w:val="231F20"/>
          <w:spacing w:val="-2"/>
          <w:w w:val="120"/>
          <w:sz w:val="17"/>
        </w:rPr>
        <w:t>état</w:t>
      </w:r>
      <w:r>
        <w:rPr>
          <w:color w:val="231F20"/>
          <w:spacing w:val="-9"/>
          <w:w w:val="120"/>
          <w:sz w:val="17"/>
        </w:rPr>
        <w:t> </w:t>
      </w:r>
      <w:r>
        <w:rPr>
          <w:color w:val="231F20"/>
          <w:spacing w:val="-2"/>
          <w:w w:val="120"/>
          <w:sz w:val="17"/>
        </w:rPr>
        <w:t>de</w:t>
      </w:r>
      <w:r>
        <w:rPr>
          <w:color w:val="231F20"/>
          <w:spacing w:val="-9"/>
          <w:w w:val="120"/>
          <w:sz w:val="17"/>
        </w:rPr>
        <w:t> </w:t>
      </w:r>
      <w:r>
        <w:rPr>
          <w:color w:val="231F20"/>
          <w:spacing w:val="-2"/>
          <w:w w:val="120"/>
          <w:sz w:val="17"/>
        </w:rPr>
        <w:t>stress</w:t>
      </w:r>
      <w:r>
        <w:rPr>
          <w:color w:val="231F20"/>
          <w:spacing w:val="-9"/>
          <w:w w:val="120"/>
          <w:sz w:val="17"/>
        </w:rPr>
        <w:t> </w:t>
      </w:r>
      <w:r>
        <w:rPr>
          <w:color w:val="231F20"/>
          <w:spacing w:val="-2"/>
          <w:w w:val="120"/>
          <w:sz w:val="17"/>
        </w:rPr>
        <w:t>chez</w:t>
      </w:r>
      <w:r>
        <w:rPr>
          <w:color w:val="231F20"/>
          <w:spacing w:val="-9"/>
          <w:w w:val="120"/>
          <w:sz w:val="17"/>
        </w:rPr>
        <w:t> </w:t>
      </w:r>
      <w:r>
        <w:rPr>
          <w:color w:val="231F20"/>
          <w:spacing w:val="-2"/>
          <w:w w:val="120"/>
          <w:sz w:val="17"/>
        </w:rPr>
        <w:t>l’individu.</w:t>
      </w:r>
    </w:p>
    <w:p>
      <w:pPr>
        <w:pStyle w:val="ListParagraph"/>
        <w:numPr>
          <w:ilvl w:val="0"/>
          <w:numId w:val="24"/>
        </w:numPr>
        <w:tabs>
          <w:tab w:pos="1011" w:val="left" w:leader="none"/>
        </w:tabs>
        <w:spacing w:line="307" w:lineRule="auto" w:before="79" w:after="0"/>
        <w:ind w:left="1010" w:right="497" w:hanging="251"/>
        <w:jc w:val="both"/>
        <w:rPr>
          <w:sz w:val="17"/>
        </w:rPr>
      </w:pPr>
      <w:r>
        <w:rPr>
          <w:color w:val="231F20"/>
          <w:spacing w:val="-2"/>
          <w:w w:val="120"/>
          <w:sz w:val="17"/>
        </w:rPr>
        <w:t>Une</w:t>
      </w:r>
      <w:r>
        <w:rPr>
          <w:color w:val="231F20"/>
          <w:spacing w:val="-4"/>
          <w:w w:val="120"/>
          <w:sz w:val="17"/>
        </w:rPr>
        <w:t> </w:t>
      </w:r>
      <w:r>
        <w:rPr>
          <w:color w:val="231F20"/>
          <w:spacing w:val="-2"/>
          <w:w w:val="120"/>
          <w:sz w:val="17"/>
        </w:rPr>
        <w:t>recherche</w:t>
      </w:r>
      <w:r>
        <w:rPr>
          <w:color w:val="231F20"/>
          <w:spacing w:val="-4"/>
          <w:w w:val="120"/>
          <w:sz w:val="17"/>
        </w:rPr>
        <w:t> </w:t>
      </w:r>
      <w:r>
        <w:rPr>
          <w:color w:val="231F20"/>
          <w:spacing w:val="-2"/>
          <w:w w:val="120"/>
          <w:sz w:val="17"/>
        </w:rPr>
        <w:t>d’accommodation</w:t>
      </w:r>
      <w:r>
        <w:rPr>
          <w:color w:val="231F20"/>
          <w:spacing w:val="-4"/>
          <w:w w:val="120"/>
          <w:sz w:val="17"/>
        </w:rPr>
        <w:t> </w:t>
      </w:r>
      <w:r>
        <w:rPr>
          <w:color w:val="231F20"/>
          <w:spacing w:val="-2"/>
          <w:w w:val="120"/>
          <w:sz w:val="17"/>
        </w:rPr>
        <w:t>à</w:t>
      </w:r>
      <w:r>
        <w:rPr>
          <w:color w:val="231F20"/>
          <w:spacing w:val="-4"/>
          <w:w w:val="120"/>
          <w:sz w:val="17"/>
        </w:rPr>
        <w:t> </w:t>
      </w:r>
      <w:r>
        <w:rPr>
          <w:color w:val="231F20"/>
          <w:spacing w:val="-2"/>
          <w:w w:val="120"/>
          <w:sz w:val="17"/>
        </w:rPr>
        <w:t>la</w:t>
      </w:r>
      <w:r>
        <w:rPr>
          <w:color w:val="231F20"/>
          <w:spacing w:val="-4"/>
          <w:w w:val="120"/>
          <w:sz w:val="17"/>
        </w:rPr>
        <w:t> </w:t>
      </w:r>
      <w:r>
        <w:rPr>
          <w:color w:val="231F20"/>
          <w:spacing w:val="-2"/>
          <w:w w:val="120"/>
          <w:sz w:val="17"/>
        </w:rPr>
        <w:t>situation</w:t>
      </w:r>
      <w:r>
        <w:rPr>
          <w:color w:val="231F20"/>
          <w:spacing w:val="-4"/>
          <w:w w:val="120"/>
          <w:sz w:val="17"/>
        </w:rPr>
        <w:t> </w:t>
      </w:r>
      <w:r>
        <w:rPr>
          <w:color w:val="231F20"/>
          <w:spacing w:val="-2"/>
          <w:w w:val="120"/>
          <w:sz w:val="17"/>
        </w:rPr>
        <w:t>[évaluation</w:t>
      </w:r>
      <w:r>
        <w:rPr>
          <w:color w:val="231F20"/>
          <w:spacing w:val="-4"/>
          <w:w w:val="120"/>
          <w:sz w:val="17"/>
        </w:rPr>
        <w:t> </w:t>
      </w:r>
      <w:r>
        <w:rPr>
          <w:color w:val="231F20"/>
          <w:spacing w:val="-2"/>
          <w:w w:val="120"/>
          <w:sz w:val="17"/>
        </w:rPr>
        <w:t>secon- </w:t>
      </w:r>
      <w:r>
        <w:rPr>
          <w:color w:val="231F20"/>
          <w:w w:val="120"/>
          <w:sz w:val="17"/>
        </w:rPr>
        <w:t>daire] par l’utilisation de stratégies de </w:t>
      </w:r>
      <w:r>
        <w:rPr>
          <w:i/>
          <w:color w:val="231F20"/>
          <w:w w:val="120"/>
          <w:sz w:val="17"/>
        </w:rPr>
        <w:t>coping </w:t>
      </w:r>
      <w:r>
        <w:rPr>
          <w:color w:val="231F20"/>
          <w:w w:val="120"/>
          <w:sz w:val="17"/>
        </w:rPr>
        <w:t>qui cherchent à </w:t>
      </w:r>
      <w:r>
        <w:rPr>
          <w:color w:val="231F20"/>
          <w:spacing w:val="-2"/>
          <w:w w:val="120"/>
          <w:sz w:val="17"/>
        </w:rPr>
        <w:t>réduire</w:t>
      </w:r>
      <w:r>
        <w:rPr>
          <w:color w:val="231F20"/>
          <w:spacing w:val="-11"/>
          <w:w w:val="120"/>
          <w:sz w:val="17"/>
        </w:rPr>
        <w:t> </w:t>
      </w:r>
      <w:r>
        <w:rPr>
          <w:color w:val="231F20"/>
          <w:spacing w:val="-2"/>
          <w:w w:val="120"/>
          <w:sz w:val="17"/>
        </w:rPr>
        <w:t>l’intensité</w:t>
      </w:r>
      <w:r>
        <w:rPr>
          <w:color w:val="231F20"/>
          <w:spacing w:val="-10"/>
          <w:w w:val="120"/>
          <w:sz w:val="17"/>
        </w:rPr>
        <w:t> </w:t>
      </w:r>
      <w:r>
        <w:rPr>
          <w:color w:val="231F20"/>
          <w:spacing w:val="-2"/>
          <w:w w:val="120"/>
          <w:sz w:val="17"/>
        </w:rPr>
        <w:t>ou</w:t>
      </w:r>
      <w:r>
        <w:rPr>
          <w:color w:val="231F20"/>
          <w:spacing w:val="-11"/>
          <w:w w:val="120"/>
          <w:sz w:val="17"/>
        </w:rPr>
        <w:t> </w:t>
      </w:r>
      <w:r>
        <w:rPr>
          <w:color w:val="231F20"/>
          <w:spacing w:val="-2"/>
          <w:w w:val="120"/>
          <w:sz w:val="17"/>
        </w:rPr>
        <w:t>à</w:t>
      </w:r>
      <w:r>
        <w:rPr>
          <w:color w:val="231F20"/>
          <w:spacing w:val="-10"/>
          <w:w w:val="120"/>
          <w:sz w:val="17"/>
        </w:rPr>
        <w:t> </w:t>
      </w:r>
      <w:r>
        <w:rPr>
          <w:color w:val="231F20"/>
          <w:spacing w:val="-2"/>
          <w:w w:val="120"/>
          <w:sz w:val="17"/>
        </w:rPr>
        <w:t>éliminer</w:t>
      </w:r>
      <w:r>
        <w:rPr>
          <w:color w:val="231F20"/>
          <w:spacing w:val="-11"/>
          <w:w w:val="120"/>
          <w:sz w:val="17"/>
        </w:rPr>
        <w:t> </w:t>
      </w:r>
      <w:r>
        <w:rPr>
          <w:color w:val="231F20"/>
          <w:spacing w:val="-2"/>
          <w:w w:val="120"/>
          <w:sz w:val="17"/>
        </w:rPr>
        <w:t>le</w:t>
      </w:r>
      <w:r>
        <w:rPr>
          <w:color w:val="231F20"/>
          <w:spacing w:val="-10"/>
          <w:w w:val="120"/>
          <w:sz w:val="17"/>
        </w:rPr>
        <w:t> </w:t>
      </w:r>
      <w:r>
        <w:rPr>
          <w:color w:val="231F20"/>
          <w:spacing w:val="-2"/>
          <w:w w:val="120"/>
          <w:sz w:val="17"/>
        </w:rPr>
        <w:t>stress</w:t>
      </w:r>
      <w:r>
        <w:rPr>
          <w:color w:val="231F20"/>
          <w:spacing w:val="-11"/>
          <w:w w:val="120"/>
          <w:sz w:val="17"/>
        </w:rPr>
        <w:t> </w:t>
      </w:r>
      <w:r>
        <w:rPr>
          <w:color w:val="231F20"/>
          <w:spacing w:val="-2"/>
          <w:w w:val="120"/>
          <w:sz w:val="17"/>
        </w:rPr>
        <w:t>afin</w:t>
      </w:r>
      <w:r>
        <w:rPr>
          <w:color w:val="231F20"/>
          <w:spacing w:val="-10"/>
          <w:w w:val="120"/>
          <w:sz w:val="17"/>
        </w:rPr>
        <w:t> </w:t>
      </w:r>
      <w:r>
        <w:rPr>
          <w:color w:val="231F20"/>
          <w:spacing w:val="-2"/>
          <w:w w:val="120"/>
          <w:sz w:val="17"/>
        </w:rPr>
        <w:t>de</w:t>
      </w:r>
      <w:r>
        <w:rPr>
          <w:color w:val="231F20"/>
          <w:spacing w:val="-11"/>
          <w:w w:val="120"/>
          <w:sz w:val="17"/>
        </w:rPr>
        <w:t> </w:t>
      </w:r>
      <w:r>
        <w:rPr>
          <w:color w:val="231F20"/>
          <w:spacing w:val="-2"/>
          <w:w w:val="120"/>
          <w:sz w:val="17"/>
        </w:rPr>
        <w:t>limiter</w:t>
      </w:r>
      <w:r>
        <w:rPr>
          <w:color w:val="231F20"/>
          <w:spacing w:val="-10"/>
          <w:w w:val="120"/>
          <w:sz w:val="17"/>
        </w:rPr>
        <w:t> </w:t>
      </w:r>
      <w:r>
        <w:rPr>
          <w:color w:val="231F20"/>
          <w:spacing w:val="-2"/>
          <w:w w:val="120"/>
          <w:sz w:val="17"/>
        </w:rPr>
        <w:t>la</w:t>
      </w:r>
      <w:r>
        <w:rPr>
          <w:color w:val="231F20"/>
          <w:spacing w:val="-11"/>
          <w:w w:val="120"/>
          <w:sz w:val="17"/>
        </w:rPr>
        <w:t> </w:t>
      </w:r>
      <w:r>
        <w:rPr>
          <w:color w:val="231F20"/>
          <w:spacing w:val="-2"/>
          <w:w w:val="120"/>
          <w:sz w:val="17"/>
        </w:rPr>
        <w:t>présence </w:t>
      </w:r>
      <w:r>
        <w:rPr>
          <w:color w:val="231F20"/>
          <w:w w:val="120"/>
          <w:sz w:val="17"/>
        </w:rPr>
        <w:t>de</w:t>
      </w:r>
      <w:r>
        <w:rPr>
          <w:color w:val="231F20"/>
          <w:spacing w:val="-13"/>
          <w:w w:val="120"/>
          <w:sz w:val="17"/>
        </w:rPr>
        <w:t> </w:t>
      </w:r>
      <w:r>
        <w:rPr>
          <w:color w:val="231F20"/>
          <w:w w:val="120"/>
          <w:sz w:val="17"/>
        </w:rPr>
        <w:t>conséquences.</w:t>
      </w:r>
    </w:p>
    <w:p>
      <w:pPr>
        <w:pStyle w:val="BodyText"/>
        <w:spacing w:before="8"/>
        <w:rPr>
          <w:sz w:val="21"/>
        </w:rPr>
      </w:pPr>
    </w:p>
    <w:p>
      <w:pPr>
        <w:spacing w:line="307" w:lineRule="auto" w:before="0"/>
        <w:ind w:left="510" w:right="495" w:firstLine="0"/>
        <w:jc w:val="both"/>
        <w:rPr>
          <w:sz w:val="17"/>
        </w:rPr>
      </w:pPr>
      <w:r>
        <w:rPr>
          <w:b/>
          <w:color w:val="231F20"/>
          <w:w w:val="115"/>
          <w:sz w:val="17"/>
        </w:rPr>
        <w:t>Modèle cognitif et conditionnel du stress professionnel de Dolan et Arsenault.</w:t>
      </w:r>
      <w:r>
        <w:rPr>
          <w:b/>
          <w:color w:val="231F20"/>
          <w:spacing w:val="-5"/>
          <w:w w:val="115"/>
          <w:sz w:val="17"/>
        </w:rPr>
        <w:t> </w:t>
      </w:r>
      <w:r>
        <w:rPr>
          <w:color w:val="231F20"/>
          <w:w w:val="115"/>
          <w:sz w:val="17"/>
        </w:rPr>
        <w:t>Une</w:t>
      </w:r>
      <w:r>
        <w:rPr>
          <w:color w:val="231F20"/>
          <w:spacing w:val="-5"/>
          <w:w w:val="115"/>
          <w:sz w:val="17"/>
        </w:rPr>
        <w:t> </w:t>
      </w:r>
      <w:r>
        <w:rPr>
          <w:color w:val="231F20"/>
          <w:w w:val="115"/>
          <w:sz w:val="17"/>
        </w:rPr>
        <w:t>excellente</w:t>
      </w:r>
      <w:r>
        <w:rPr>
          <w:color w:val="231F20"/>
          <w:spacing w:val="-5"/>
          <w:w w:val="115"/>
          <w:sz w:val="17"/>
        </w:rPr>
        <w:t> </w:t>
      </w:r>
      <w:r>
        <w:rPr>
          <w:color w:val="231F20"/>
          <w:w w:val="115"/>
          <w:sz w:val="17"/>
        </w:rPr>
        <w:t>illustration</w:t>
      </w:r>
      <w:r>
        <w:rPr>
          <w:color w:val="231F20"/>
          <w:spacing w:val="-5"/>
          <w:w w:val="115"/>
          <w:sz w:val="17"/>
        </w:rPr>
        <w:t> </w:t>
      </w:r>
      <w:r>
        <w:rPr>
          <w:color w:val="231F20"/>
          <w:w w:val="115"/>
          <w:sz w:val="17"/>
        </w:rPr>
        <w:t>de</w:t>
      </w:r>
      <w:r>
        <w:rPr>
          <w:color w:val="231F20"/>
          <w:spacing w:val="-5"/>
          <w:w w:val="115"/>
          <w:sz w:val="17"/>
        </w:rPr>
        <w:t> </w:t>
      </w:r>
      <w:r>
        <w:rPr>
          <w:color w:val="231F20"/>
          <w:w w:val="115"/>
          <w:sz w:val="17"/>
        </w:rPr>
        <w:t>l’application</w:t>
      </w:r>
      <w:r>
        <w:rPr>
          <w:color w:val="231F20"/>
          <w:spacing w:val="-5"/>
          <w:w w:val="115"/>
          <w:sz w:val="17"/>
        </w:rPr>
        <w:t> </w:t>
      </w:r>
      <w:r>
        <w:rPr>
          <w:color w:val="231F20"/>
          <w:w w:val="115"/>
          <w:sz w:val="17"/>
        </w:rPr>
        <w:t>des</w:t>
      </w:r>
      <w:r>
        <w:rPr>
          <w:color w:val="231F20"/>
          <w:spacing w:val="-5"/>
          <w:w w:val="115"/>
          <w:sz w:val="17"/>
        </w:rPr>
        <w:t> </w:t>
      </w:r>
      <w:r>
        <w:rPr>
          <w:color w:val="231F20"/>
          <w:w w:val="115"/>
          <w:sz w:val="17"/>
        </w:rPr>
        <w:t>principes</w:t>
      </w:r>
      <w:r>
        <w:rPr>
          <w:color w:val="231F20"/>
          <w:spacing w:val="-5"/>
          <w:w w:val="115"/>
          <w:sz w:val="17"/>
        </w:rPr>
        <w:t> </w:t>
      </w:r>
      <w:r>
        <w:rPr>
          <w:color w:val="231F20"/>
          <w:w w:val="115"/>
          <w:sz w:val="17"/>
        </w:rPr>
        <w:t>tran- </w:t>
      </w:r>
      <w:r>
        <w:rPr>
          <w:color w:val="231F20"/>
          <w:w w:val="120"/>
          <w:sz w:val="17"/>
        </w:rPr>
        <w:t>sactionnels</w:t>
      </w:r>
      <w:r>
        <w:rPr>
          <w:color w:val="231F20"/>
          <w:spacing w:val="-13"/>
          <w:w w:val="120"/>
          <w:sz w:val="17"/>
        </w:rPr>
        <w:t> </w:t>
      </w:r>
      <w:r>
        <w:rPr>
          <w:color w:val="231F20"/>
          <w:w w:val="120"/>
          <w:sz w:val="17"/>
        </w:rPr>
        <w:t>en</w:t>
      </w:r>
      <w:r>
        <w:rPr>
          <w:color w:val="231F20"/>
          <w:spacing w:val="-13"/>
          <w:w w:val="120"/>
          <w:sz w:val="17"/>
        </w:rPr>
        <w:t> </w:t>
      </w:r>
      <w:r>
        <w:rPr>
          <w:color w:val="231F20"/>
          <w:w w:val="120"/>
          <w:sz w:val="17"/>
        </w:rPr>
        <w:t>milieu</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travail</w:t>
      </w:r>
      <w:r>
        <w:rPr>
          <w:color w:val="231F20"/>
          <w:spacing w:val="-13"/>
          <w:w w:val="120"/>
          <w:sz w:val="17"/>
        </w:rPr>
        <w:t> </w:t>
      </w:r>
      <w:r>
        <w:rPr>
          <w:color w:val="231F20"/>
          <w:w w:val="120"/>
          <w:sz w:val="17"/>
        </w:rPr>
        <w:t>est</w:t>
      </w:r>
      <w:r>
        <w:rPr>
          <w:color w:val="231F20"/>
          <w:spacing w:val="-13"/>
          <w:w w:val="120"/>
          <w:sz w:val="17"/>
        </w:rPr>
        <w:t> </w:t>
      </w:r>
      <w:r>
        <w:rPr>
          <w:color w:val="231F20"/>
          <w:w w:val="120"/>
          <w:sz w:val="17"/>
        </w:rPr>
        <w:t>le</w:t>
      </w:r>
      <w:r>
        <w:rPr>
          <w:color w:val="231F20"/>
          <w:spacing w:val="-13"/>
          <w:w w:val="120"/>
          <w:sz w:val="17"/>
        </w:rPr>
        <w:t> </w:t>
      </w:r>
      <w:r>
        <w:rPr>
          <w:color w:val="231F20"/>
          <w:w w:val="120"/>
          <w:sz w:val="17"/>
        </w:rPr>
        <w:t>modèle</w:t>
      </w:r>
      <w:r>
        <w:rPr>
          <w:color w:val="231F20"/>
          <w:spacing w:val="-12"/>
          <w:w w:val="120"/>
          <w:sz w:val="17"/>
        </w:rPr>
        <w:t> </w:t>
      </w:r>
      <w:r>
        <w:rPr>
          <w:color w:val="231F20"/>
          <w:w w:val="120"/>
          <w:sz w:val="17"/>
        </w:rPr>
        <w:t>cognitif</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conditionnel</w:t>
      </w:r>
      <w:r>
        <w:rPr>
          <w:color w:val="231F20"/>
          <w:spacing w:val="-13"/>
          <w:w w:val="120"/>
          <w:sz w:val="17"/>
        </w:rPr>
        <w:t> </w:t>
      </w:r>
      <w:r>
        <w:rPr>
          <w:color w:val="231F20"/>
          <w:w w:val="120"/>
          <w:sz w:val="17"/>
        </w:rPr>
        <w:t>du stress</w:t>
      </w:r>
      <w:r>
        <w:rPr>
          <w:color w:val="231F20"/>
          <w:spacing w:val="-10"/>
          <w:w w:val="120"/>
          <w:sz w:val="17"/>
        </w:rPr>
        <w:t> </w:t>
      </w:r>
      <w:r>
        <w:rPr>
          <w:color w:val="231F20"/>
          <w:w w:val="120"/>
          <w:sz w:val="17"/>
        </w:rPr>
        <w:t>professionnel</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Dolan</w:t>
      </w:r>
      <w:r>
        <w:rPr>
          <w:color w:val="231F20"/>
          <w:spacing w:val="-10"/>
          <w:w w:val="120"/>
          <w:sz w:val="17"/>
        </w:rPr>
        <w:t> </w:t>
      </w:r>
      <w:r>
        <w:rPr>
          <w:color w:val="231F20"/>
          <w:w w:val="120"/>
          <w:sz w:val="17"/>
        </w:rPr>
        <w:t>et</w:t>
      </w:r>
      <w:r>
        <w:rPr>
          <w:color w:val="231F20"/>
          <w:spacing w:val="-10"/>
          <w:w w:val="120"/>
          <w:sz w:val="17"/>
        </w:rPr>
        <w:t> </w:t>
      </w:r>
      <w:r>
        <w:rPr>
          <w:color w:val="231F20"/>
          <w:w w:val="120"/>
          <w:sz w:val="17"/>
        </w:rPr>
        <w:t>Arsenault.</w:t>
      </w:r>
      <w:r>
        <w:rPr>
          <w:color w:val="231F20"/>
          <w:spacing w:val="-10"/>
          <w:w w:val="120"/>
          <w:sz w:val="17"/>
        </w:rPr>
        <w:t> </w:t>
      </w:r>
      <w:r>
        <w:rPr>
          <w:color w:val="231F20"/>
          <w:w w:val="120"/>
          <w:sz w:val="17"/>
        </w:rPr>
        <w:t>Alors</w:t>
      </w:r>
      <w:r>
        <w:rPr>
          <w:color w:val="231F20"/>
          <w:spacing w:val="-10"/>
          <w:w w:val="120"/>
          <w:sz w:val="17"/>
        </w:rPr>
        <w:t> </w:t>
      </w:r>
      <w:r>
        <w:rPr>
          <w:color w:val="231F20"/>
          <w:w w:val="120"/>
          <w:sz w:val="17"/>
        </w:rPr>
        <w:t>que</w:t>
      </w:r>
      <w:r>
        <w:rPr>
          <w:color w:val="231F20"/>
          <w:spacing w:val="-10"/>
          <w:w w:val="120"/>
          <w:sz w:val="17"/>
        </w:rPr>
        <w:t> </w:t>
      </w:r>
      <w:r>
        <w:rPr>
          <w:color w:val="231F20"/>
          <w:w w:val="120"/>
          <w:sz w:val="17"/>
        </w:rPr>
        <w:t>Selye</w:t>
      </w:r>
      <w:r>
        <w:rPr>
          <w:color w:val="231F20"/>
          <w:spacing w:val="-10"/>
          <w:w w:val="120"/>
          <w:sz w:val="17"/>
        </w:rPr>
        <w:t> </w:t>
      </w:r>
      <w:r>
        <w:rPr>
          <w:color w:val="231F20"/>
          <w:w w:val="120"/>
          <w:sz w:val="17"/>
        </w:rPr>
        <w:t>centrait</w:t>
      </w:r>
      <w:r>
        <w:rPr>
          <w:color w:val="231F20"/>
          <w:spacing w:val="-10"/>
          <w:w w:val="120"/>
          <w:sz w:val="17"/>
        </w:rPr>
        <w:t> </w:t>
      </w:r>
      <w:r>
        <w:rPr>
          <w:color w:val="231F20"/>
          <w:w w:val="120"/>
          <w:sz w:val="17"/>
        </w:rPr>
        <w:t>ses</w:t>
      </w:r>
    </w:p>
    <w:p>
      <w:pPr>
        <w:pStyle w:val="BodyText"/>
        <w:spacing w:before="2"/>
        <w:rPr>
          <w:sz w:val="20"/>
        </w:rPr>
      </w:pPr>
      <w:r>
        <w:rPr/>
        <w:pict>
          <v:shape style="position:absolute;margin-left:62.5pt;margin-top:12.823729pt;width:287.5pt;height:.1pt;mso-position-horizontal-relative:page;mso-position-vertical-relative:paragraph;z-index:-15693824;mso-wrap-distance-left:0;mso-wrap-distance-right:0" id="docshape519" coordorigin="1250,256" coordsize="5750,0" path="m1250,256l7000,256e" filled="false" stroked="true" strokeweight=".25pt" strokecolor="#231f20">
            <v:path arrowok="t"/>
            <v:stroke dashstyle="shortdot"/>
            <w10:wrap type="topAndBottom"/>
          </v:shape>
        </w:pict>
      </w:r>
    </w:p>
    <w:p>
      <w:pPr>
        <w:pStyle w:val="ListParagraph"/>
        <w:numPr>
          <w:ilvl w:val="0"/>
          <w:numId w:val="18"/>
        </w:numPr>
        <w:tabs>
          <w:tab w:pos="509" w:val="left" w:leader="none"/>
          <w:tab w:pos="510" w:val="left" w:leader="none"/>
        </w:tabs>
        <w:spacing w:line="240" w:lineRule="auto" w:before="135" w:after="0"/>
        <w:ind w:left="509" w:right="0" w:hanging="406"/>
        <w:jc w:val="left"/>
        <w:rPr>
          <w:rFonts w:ascii="Arial"/>
          <w:sz w:val="12"/>
        </w:rPr>
      </w:pPr>
      <w:r>
        <w:rPr>
          <w:rFonts w:ascii="Arial"/>
          <w:color w:val="231F20"/>
          <w:w w:val="95"/>
          <w:sz w:val="12"/>
        </w:rPr>
        <w:t>Lazarus,</w:t>
      </w:r>
      <w:r>
        <w:rPr>
          <w:rFonts w:ascii="Arial"/>
          <w:color w:val="231F20"/>
          <w:spacing w:val="-1"/>
          <w:sz w:val="12"/>
        </w:rPr>
        <w:t> </w:t>
      </w:r>
      <w:r>
        <w:rPr>
          <w:rFonts w:ascii="Arial"/>
          <w:color w:val="231F20"/>
          <w:w w:val="95"/>
          <w:sz w:val="12"/>
        </w:rPr>
        <w:t>R.</w:t>
      </w:r>
      <w:r>
        <w:rPr>
          <w:rFonts w:ascii="Arial"/>
          <w:color w:val="231F20"/>
          <w:sz w:val="12"/>
        </w:rPr>
        <w:t> </w:t>
      </w:r>
      <w:r>
        <w:rPr>
          <w:rFonts w:ascii="Arial"/>
          <w:color w:val="231F20"/>
          <w:w w:val="95"/>
          <w:sz w:val="12"/>
        </w:rPr>
        <w:t>S.</w:t>
      </w:r>
      <w:r>
        <w:rPr>
          <w:rFonts w:ascii="Arial"/>
          <w:color w:val="231F20"/>
          <w:sz w:val="12"/>
        </w:rPr>
        <w:t> </w:t>
      </w:r>
      <w:r>
        <w:rPr>
          <w:rFonts w:ascii="Arial"/>
          <w:color w:val="231F20"/>
          <w:w w:val="95"/>
          <w:sz w:val="12"/>
        </w:rPr>
        <w:t>(1999).</w:t>
      </w:r>
      <w:r>
        <w:rPr>
          <w:rFonts w:ascii="Arial"/>
          <w:color w:val="231F20"/>
          <w:sz w:val="12"/>
        </w:rPr>
        <w:t> </w:t>
      </w:r>
      <w:r>
        <w:rPr>
          <w:rFonts w:ascii="Arial"/>
          <w:i/>
          <w:color w:val="231F20"/>
          <w:w w:val="95"/>
          <w:sz w:val="12"/>
        </w:rPr>
        <w:t>Stress</w:t>
      </w:r>
      <w:r>
        <w:rPr>
          <w:rFonts w:ascii="Arial"/>
          <w:i/>
          <w:color w:val="231F20"/>
          <w:sz w:val="12"/>
        </w:rPr>
        <w:t> </w:t>
      </w:r>
      <w:r>
        <w:rPr>
          <w:rFonts w:ascii="Arial"/>
          <w:i/>
          <w:color w:val="231F20"/>
          <w:w w:val="95"/>
          <w:sz w:val="12"/>
        </w:rPr>
        <w:t>and</w:t>
      </w:r>
      <w:r>
        <w:rPr>
          <w:rFonts w:ascii="Arial"/>
          <w:i/>
          <w:color w:val="231F20"/>
          <w:sz w:val="12"/>
        </w:rPr>
        <w:t> </w:t>
      </w:r>
      <w:r>
        <w:rPr>
          <w:rFonts w:ascii="Arial"/>
          <w:i/>
          <w:color w:val="231F20"/>
          <w:w w:val="95"/>
          <w:sz w:val="12"/>
        </w:rPr>
        <w:t>Emotion:</w:t>
      </w:r>
      <w:r>
        <w:rPr>
          <w:rFonts w:ascii="Arial"/>
          <w:i/>
          <w:color w:val="231F20"/>
          <w:sz w:val="12"/>
        </w:rPr>
        <w:t> </w:t>
      </w:r>
      <w:r>
        <w:rPr>
          <w:rFonts w:ascii="Arial"/>
          <w:i/>
          <w:color w:val="231F20"/>
          <w:w w:val="95"/>
          <w:sz w:val="12"/>
        </w:rPr>
        <w:t>A</w:t>
      </w:r>
      <w:r>
        <w:rPr>
          <w:rFonts w:ascii="Arial"/>
          <w:i/>
          <w:color w:val="231F20"/>
          <w:sz w:val="12"/>
        </w:rPr>
        <w:t> </w:t>
      </w:r>
      <w:r>
        <w:rPr>
          <w:rFonts w:ascii="Arial"/>
          <w:i/>
          <w:color w:val="231F20"/>
          <w:w w:val="95"/>
          <w:sz w:val="12"/>
        </w:rPr>
        <w:t>New</w:t>
      </w:r>
      <w:r>
        <w:rPr>
          <w:rFonts w:ascii="Arial"/>
          <w:i/>
          <w:color w:val="231F20"/>
          <w:sz w:val="12"/>
        </w:rPr>
        <w:t> </w:t>
      </w:r>
      <w:r>
        <w:rPr>
          <w:rFonts w:ascii="Arial"/>
          <w:i/>
          <w:color w:val="231F20"/>
          <w:w w:val="95"/>
          <w:sz w:val="12"/>
        </w:rPr>
        <w:t>Synthesis</w:t>
      </w:r>
      <w:r>
        <w:rPr>
          <w:rFonts w:ascii="Arial"/>
          <w:color w:val="231F20"/>
          <w:w w:val="95"/>
          <w:sz w:val="12"/>
        </w:rPr>
        <w:t>,</w:t>
      </w:r>
      <w:r>
        <w:rPr>
          <w:rFonts w:ascii="Arial"/>
          <w:color w:val="231F20"/>
          <w:sz w:val="12"/>
        </w:rPr>
        <w:t> </w:t>
      </w:r>
      <w:r>
        <w:rPr>
          <w:rFonts w:ascii="Arial"/>
          <w:color w:val="231F20"/>
          <w:w w:val="95"/>
          <w:sz w:val="12"/>
        </w:rPr>
        <w:t>New</w:t>
      </w:r>
      <w:r>
        <w:rPr>
          <w:rFonts w:ascii="Arial"/>
          <w:color w:val="231F20"/>
          <w:sz w:val="12"/>
        </w:rPr>
        <w:t> </w:t>
      </w:r>
      <w:r>
        <w:rPr>
          <w:rFonts w:ascii="Arial"/>
          <w:color w:val="231F20"/>
          <w:w w:val="95"/>
          <w:sz w:val="12"/>
        </w:rPr>
        <w:t>York,</w:t>
      </w:r>
      <w:r>
        <w:rPr>
          <w:rFonts w:ascii="Arial"/>
          <w:color w:val="231F20"/>
          <w:sz w:val="12"/>
        </w:rPr>
        <w:t> </w:t>
      </w:r>
      <w:r>
        <w:rPr>
          <w:rFonts w:ascii="Arial"/>
          <w:color w:val="231F20"/>
          <w:spacing w:val="-2"/>
          <w:w w:val="95"/>
          <w:sz w:val="12"/>
        </w:rPr>
        <w:t>Springer.</w:t>
      </w:r>
    </w:p>
    <w:p>
      <w:pPr>
        <w:spacing w:after="0" w:line="240" w:lineRule="auto"/>
        <w:jc w:val="left"/>
        <w:rPr>
          <w:rFonts w:ascii="Arial"/>
          <w:sz w:val="12"/>
        </w:rPr>
        <w:sectPr>
          <w:footerReference w:type="default" r:id="rId154"/>
          <w:pgSz w:w="8640" w:h="12960"/>
          <w:pgMar w:footer="424" w:header="0" w:top="520" w:bottom="620" w:left="740" w:right="1140"/>
        </w:sectPr>
      </w:pPr>
    </w:p>
    <w:p>
      <w:pPr>
        <w:spacing w:before="118"/>
        <w:ind w:left="207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900" w:right="105"/>
        <w:jc w:val="both"/>
      </w:pPr>
      <w:r>
        <w:rPr>
          <w:color w:val="231F20"/>
          <w:w w:val="120"/>
        </w:rPr>
        <w:t>travaux sur un modèle animal, Dolan et Arsenault extrapolaient les connaissances</w:t>
      </w:r>
      <w:r>
        <w:rPr>
          <w:color w:val="231F20"/>
          <w:spacing w:val="-12"/>
          <w:w w:val="120"/>
        </w:rPr>
        <w:t> </w:t>
      </w:r>
      <w:r>
        <w:rPr>
          <w:color w:val="231F20"/>
          <w:w w:val="120"/>
        </w:rPr>
        <w:t>acquises</w:t>
      </w:r>
      <w:r>
        <w:rPr>
          <w:color w:val="231F20"/>
          <w:spacing w:val="-12"/>
          <w:w w:val="120"/>
        </w:rPr>
        <w:t> </w:t>
      </w:r>
      <w:r>
        <w:rPr>
          <w:color w:val="231F20"/>
          <w:w w:val="120"/>
        </w:rPr>
        <w:t>sur</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humain</w:t>
      </w:r>
      <w:r>
        <w:rPr>
          <w:color w:val="231F20"/>
          <w:spacing w:val="-12"/>
          <w:w w:val="120"/>
        </w:rPr>
        <w:t> </w:t>
      </w:r>
      <w:r>
        <w:rPr>
          <w:color w:val="231F20"/>
          <w:w w:val="120"/>
        </w:rPr>
        <w:t>en</w:t>
      </w:r>
      <w:r>
        <w:rPr>
          <w:color w:val="231F20"/>
          <w:spacing w:val="-12"/>
          <w:w w:val="120"/>
        </w:rPr>
        <w:t> </w:t>
      </w:r>
      <w:r>
        <w:rPr>
          <w:color w:val="231F20"/>
          <w:w w:val="120"/>
        </w:rPr>
        <w:t>élaborant</w:t>
      </w:r>
      <w:r>
        <w:rPr>
          <w:color w:val="231F20"/>
          <w:spacing w:val="-12"/>
          <w:w w:val="120"/>
        </w:rPr>
        <w:t> </w:t>
      </w:r>
      <w:r>
        <w:rPr>
          <w:color w:val="231F20"/>
          <w:w w:val="120"/>
        </w:rPr>
        <w:t>un</w:t>
      </w:r>
      <w:r>
        <w:rPr>
          <w:color w:val="231F20"/>
          <w:spacing w:val="-12"/>
          <w:w w:val="120"/>
        </w:rPr>
        <w:t> </w:t>
      </w:r>
      <w:r>
        <w:rPr>
          <w:color w:val="231F20"/>
          <w:w w:val="120"/>
        </w:rPr>
        <w:t>cadre</w:t>
      </w:r>
      <w:r>
        <w:rPr>
          <w:color w:val="231F20"/>
          <w:spacing w:val="-12"/>
          <w:w w:val="120"/>
        </w:rPr>
        <w:t> </w:t>
      </w:r>
      <w:r>
        <w:rPr>
          <w:color w:val="231F20"/>
          <w:w w:val="120"/>
        </w:rPr>
        <w:t>théo- </w:t>
      </w:r>
      <w:r>
        <w:rPr>
          <w:color w:val="231F20"/>
          <w:spacing w:val="-2"/>
          <w:w w:val="120"/>
        </w:rPr>
        <w:t>rique</w:t>
      </w:r>
      <w:r>
        <w:rPr>
          <w:color w:val="231F20"/>
          <w:spacing w:val="-8"/>
          <w:w w:val="120"/>
        </w:rPr>
        <w:t> </w:t>
      </w:r>
      <w:r>
        <w:rPr>
          <w:color w:val="231F20"/>
          <w:spacing w:val="-2"/>
          <w:w w:val="120"/>
        </w:rPr>
        <w:t>particulier</w:t>
      </w:r>
      <w:r>
        <w:rPr>
          <w:color w:val="231F20"/>
          <w:spacing w:val="-8"/>
          <w:w w:val="120"/>
        </w:rPr>
        <w:t> </w:t>
      </w:r>
      <w:r>
        <w:rPr>
          <w:color w:val="231F20"/>
          <w:spacing w:val="-2"/>
          <w:w w:val="120"/>
        </w:rPr>
        <w:t>au</w:t>
      </w:r>
      <w:r>
        <w:rPr>
          <w:color w:val="231F20"/>
          <w:spacing w:val="-8"/>
          <w:w w:val="120"/>
        </w:rPr>
        <w:t> </w:t>
      </w:r>
      <w:r>
        <w:rPr>
          <w:color w:val="231F20"/>
          <w:spacing w:val="-2"/>
          <w:w w:val="120"/>
        </w:rPr>
        <w:t>milieu</w:t>
      </w:r>
      <w:r>
        <w:rPr>
          <w:color w:val="231F20"/>
          <w:spacing w:val="-8"/>
          <w:w w:val="120"/>
        </w:rPr>
        <w:t> </w:t>
      </w:r>
      <w:r>
        <w:rPr>
          <w:color w:val="231F20"/>
          <w:spacing w:val="-2"/>
          <w:w w:val="120"/>
        </w:rPr>
        <w:t>de</w:t>
      </w:r>
      <w:r>
        <w:rPr>
          <w:color w:val="231F20"/>
          <w:spacing w:val="-8"/>
          <w:w w:val="120"/>
        </w:rPr>
        <w:t> </w:t>
      </w:r>
      <w:r>
        <w:rPr>
          <w:color w:val="231F20"/>
          <w:spacing w:val="-2"/>
          <w:w w:val="120"/>
        </w:rPr>
        <w:t>travail.</w:t>
      </w:r>
      <w:r>
        <w:rPr>
          <w:color w:val="231F20"/>
          <w:spacing w:val="-8"/>
          <w:w w:val="120"/>
        </w:rPr>
        <w:t> </w:t>
      </w:r>
      <w:r>
        <w:rPr>
          <w:color w:val="231F20"/>
          <w:spacing w:val="-2"/>
          <w:w w:val="120"/>
        </w:rPr>
        <w:t>Une</w:t>
      </w:r>
      <w:r>
        <w:rPr>
          <w:color w:val="231F20"/>
          <w:spacing w:val="-8"/>
          <w:w w:val="120"/>
        </w:rPr>
        <w:t> </w:t>
      </w:r>
      <w:r>
        <w:rPr>
          <w:color w:val="231F20"/>
          <w:spacing w:val="-2"/>
          <w:w w:val="120"/>
        </w:rPr>
        <w:t>équipe</w:t>
      </w:r>
      <w:r>
        <w:rPr>
          <w:color w:val="231F20"/>
          <w:spacing w:val="-8"/>
          <w:w w:val="120"/>
        </w:rPr>
        <w:t> </w:t>
      </w:r>
      <w:r>
        <w:rPr>
          <w:color w:val="231F20"/>
          <w:spacing w:val="-2"/>
          <w:w w:val="120"/>
        </w:rPr>
        <w:t>multidisciplinaire</w:t>
      </w:r>
      <w:r>
        <w:rPr>
          <w:color w:val="231F20"/>
          <w:spacing w:val="-8"/>
          <w:w w:val="120"/>
        </w:rPr>
        <w:t> </w:t>
      </w:r>
      <w:r>
        <w:rPr>
          <w:color w:val="231F20"/>
          <w:spacing w:val="-2"/>
          <w:w w:val="120"/>
        </w:rPr>
        <w:t>avait </w:t>
      </w:r>
      <w:r>
        <w:rPr>
          <w:color w:val="231F20"/>
          <w:w w:val="120"/>
        </w:rPr>
        <w:t>d’ailleurs été formée pour mener à bien ce projet. À partir des années 1980,</w:t>
      </w:r>
      <w:r>
        <w:rPr>
          <w:color w:val="231F20"/>
          <w:spacing w:val="-15"/>
          <w:w w:val="120"/>
        </w:rPr>
        <w:t> </w:t>
      </w:r>
      <w:r>
        <w:rPr>
          <w:color w:val="231F20"/>
          <w:w w:val="120"/>
        </w:rPr>
        <w:t>les</w:t>
      </w:r>
      <w:r>
        <w:rPr>
          <w:color w:val="231F20"/>
          <w:spacing w:val="-13"/>
          <w:w w:val="120"/>
        </w:rPr>
        <w:t> </w:t>
      </w:r>
      <w:r>
        <w:rPr>
          <w:color w:val="231F20"/>
          <w:w w:val="120"/>
        </w:rPr>
        <w:t>travaux</w:t>
      </w:r>
      <w:r>
        <w:rPr>
          <w:color w:val="231F20"/>
          <w:spacing w:val="-13"/>
          <w:w w:val="120"/>
        </w:rPr>
        <w:t> </w:t>
      </w:r>
      <w:r>
        <w:rPr>
          <w:color w:val="231F20"/>
          <w:w w:val="120"/>
        </w:rPr>
        <w:t>de</w:t>
      </w:r>
      <w:r>
        <w:rPr>
          <w:color w:val="231F20"/>
          <w:spacing w:val="-12"/>
          <w:w w:val="120"/>
        </w:rPr>
        <w:t> </w:t>
      </w:r>
      <w:r>
        <w:rPr>
          <w:color w:val="231F20"/>
          <w:w w:val="120"/>
        </w:rPr>
        <w:t>recherche</w:t>
      </w:r>
      <w:r>
        <w:rPr>
          <w:color w:val="231F20"/>
          <w:spacing w:val="-13"/>
          <w:w w:val="120"/>
        </w:rPr>
        <w:t> </w:t>
      </w:r>
      <w:r>
        <w:rPr>
          <w:color w:val="231F20"/>
          <w:w w:val="120"/>
        </w:rPr>
        <w:t>de</w:t>
      </w:r>
      <w:r>
        <w:rPr>
          <w:color w:val="231F20"/>
          <w:spacing w:val="-13"/>
          <w:w w:val="120"/>
        </w:rPr>
        <w:t> </w:t>
      </w:r>
      <w:r>
        <w:rPr>
          <w:color w:val="231F20"/>
          <w:w w:val="120"/>
        </w:rPr>
        <w:t>Dolan</w:t>
      </w:r>
      <w:r>
        <w:rPr>
          <w:color w:val="231F20"/>
          <w:spacing w:val="-13"/>
          <w:w w:val="120"/>
        </w:rPr>
        <w:t> </w:t>
      </w:r>
      <w:r>
        <w:rPr>
          <w:color w:val="231F20"/>
          <w:w w:val="120"/>
        </w:rPr>
        <w:t>et</w:t>
      </w:r>
      <w:r>
        <w:rPr>
          <w:color w:val="231F20"/>
          <w:spacing w:val="-12"/>
          <w:w w:val="120"/>
        </w:rPr>
        <w:t> </w:t>
      </w:r>
      <w:r>
        <w:rPr>
          <w:color w:val="231F20"/>
          <w:w w:val="120"/>
        </w:rPr>
        <w:t>Arsenault</w:t>
      </w:r>
      <w:r>
        <w:rPr>
          <w:color w:val="231F20"/>
          <w:spacing w:val="-13"/>
          <w:w w:val="120"/>
        </w:rPr>
        <w:t> </w:t>
      </w:r>
      <w:r>
        <w:rPr>
          <w:color w:val="231F20"/>
          <w:w w:val="120"/>
        </w:rPr>
        <w:t>ont</w:t>
      </w:r>
      <w:r>
        <w:rPr>
          <w:color w:val="231F20"/>
          <w:spacing w:val="-13"/>
          <w:w w:val="120"/>
        </w:rPr>
        <w:t> </w:t>
      </w:r>
      <w:r>
        <w:rPr>
          <w:color w:val="231F20"/>
          <w:w w:val="120"/>
        </w:rPr>
        <w:t>mené</w:t>
      </w:r>
      <w:r>
        <w:rPr>
          <w:color w:val="231F20"/>
          <w:spacing w:val="-13"/>
          <w:w w:val="120"/>
        </w:rPr>
        <w:t> </w:t>
      </w:r>
      <w:r>
        <w:rPr>
          <w:color w:val="231F20"/>
          <w:w w:val="120"/>
        </w:rPr>
        <w:t>au</w:t>
      </w:r>
      <w:r>
        <w:rPr>
          <w:color w:val="231F20"/>
          <w:spacing w:val="-12"/>
          <w:w w:val="120"/>
        </w:rPr>
        <w:t> </w:t>
      </w:r>
      <w:r>
        <w:rPr>
          <w:color w:val="231F20"/>
          <w:w w:val="120"/>
        </w:rPr>
        <w:t>déve- loppement d’un modèle synthétique et global qui permet de poser un </w:t>
      </w:r>
      <w:r>
        <w:rPr>
          <w:color w:val="231F20"/>
          <w:spacing w:val="-2"/>
          <w:w w:val="120"/>
        </w:rPr>
        <w:t>diagnostic</w:t>
      </w:r>
      <w:r>
        <w:rPr>
          <w:color w:val="231F20"/>
          <w:spacing w:val="-4"/>
          <w:w w:val="120"/>
        </w:rPr>
        <w:t> </w:t>
      </w:r>
      <w:r>
        <w:rPr>
          <w:color w:val="231F20"/>
          <w:spacing w:val="-2"/>
          <w:w w:val="120"/>
        </w:rPr>
        <w:t>susceptible</w:t>
      </w:r>
      <w:r>
        <w:rPr>
          <w:color w:val="231F20"/>
          <w:spacing w:val="-4"/>
          <w:w w:val="120"/>
        </w:rPr>
        <w:t> </w:t>
      </w:r>
      <w:r>
        <w:rPr>
          <w:color w:val="231F20"/>
          <w:spacing w:val="-2"/>
          <w:w w:val="120"/>
        </w:rPr>
        <w:t>de</w:t>
      </w:r>
      <w:r>
        <w:rPr>
          <w:color w:val="231F20"/>
          <w:spacing w:val="-4"/>
          <w:w w:val="120"/>
        </w:rPr>
        <w:t> </w:t>
      </w:r>
      <w:r>
        <w:rPr>
          <w:color w:val="231F20"/>
          <w:spacing w:val="-2"/>
          <w:w w:val="120"/>
        </w:rPr>
        <w:t>servir</w:t>
      </w:r>
      <w:r>
        <w:rPr>
          <w:color w:val="231F20"/>
          <w:spacing w:val="-4"/>
          <w:w w:val="120"/>
        </w:rPr>
        <w:t> </w:t>
      </w:r>
      <w:r>
        <w:rPr>
          <w:color w:val="231F20"/>
          <w:spacing w:val="-2"/>
          <w:w w:val="120"/>
        </w:rPr>
        <w:t>à</w:t>
      </w:r>
      <w:r>
        <w:rPr>
          <w:color w:val="231F20"/>
          <w:spacing w:val="-4"/>
          <w:w w:val="120"/>
        </w:rPr>
        <w:t> </w:t>
      </w:r>
      <w:r>
        <w:rPr>
          <w:color w:val="231F20"/>
          <w:spacing w:val="-2"/>
          <w:w w:val="120"/>
        </w:rPr>
        <w:t>réduire</w:t>
      </w:r>
      <w:r>
        <w:rPr>
          <w:color w:val="231F20"/>
          <w:spacing w:val="-4"/>
          <w:w w:val="120"/>
        </w:rPr>
        <w:t> </w:t>
      </w:r>
      <w:r>
        <w:rPr>
          <w:color w:val="231F20"/>
          <w:spacing w:val="-2"/>
          <w:w w:val="120"/>
        </w:rPr>
        <w:t>la</w:t>
      </w:r>
      <w:r>
        <w:rPr>
          <w:color w:val="231F20"/>
          <w:spacing w:val="-4"/>
          <w:w w:val="120"/>
        </w:rPr>
        <w:t> </w:t>
      </w:r>
      <w:r>
        <w:rPr>
          <w:color w:val="231F20"/>
          <w:spacing w:val="-2"/>
          <w:w w:val="120"/>
        </w:rPr>
        <w:t>fréquence</w:t>
      </w:r>
      <w:r>
        <w:rPr>
          <w:color w:val="231F20"/>
          <w:spacing w:val="-4"/>
          <w:w w:val="120"/>
        </w:rPr>
        <w:t> </w:t>
      </w:r>
      <w:r>
        <w:rPr>
          <w:color w:val="231F20"/>
          <w:spacing w:val="-2"/>
          <w:w w:val="120"/>
        </w:rPr>
        <w:t>des</w:t>
      </w:r>
      <w:r>
        <w:rPr>
          <w:color w:val="231F20"/>
          <w:spacing w:val="-4"/>
          <w:w w:val="120"/>
        </w:rPr>
        <w:t> </w:t>
      </w:r>
      <w:r>
        <w:rPr>
          <w:color w:val="231F20"/>
          <w:spacing w:val="-2"/>
          <w:w w:val="120"/>
        </w:rPr>
        <w:t>conséquences </w:t>
      </w:r>
      <w:r>
        <w:rPr>
          <w:color w:val="231F20"/>
          <w:w w:val="115"/>
        </w:rPr>
        <w:t>à</w:t>
      </w:r>
      <w:r>
        <w:rPr>
          <w:color w:val="231F20"/>
          <w:spacing w:val="-9"/>
          <w:w w:val="115"/>
        </w:rPr>
        <w:t> </w:t>
      </w:r>
      <w:r>
        <w:rPr>
          <w:color w:val="231F20"/>
          <w:w w:val="115"/>
        </w:rPr>
        <w:t>long</w:t>
      </w:r>
      <w:r>
        <w:rPr>
          <w:color w:val="231F20"/>
          <w:spacing w:val="-9"/>
          <w:w w:val="115"/>
        </w:rPr>
        <w:t> </w:t>
      </w:r>
      <w:r>
        <w:rPr>
          <w:color w:val="231F20"/>
          <w:w w:val="115"/>
        </w:rPr>
        <w:t>terme</w:t>
      </w:r>
      <w:r>
        <w:rPr>
          <w:color w:val="231F20"/>
          <w:spacing w:val="-9"/>
          <w:w w:val="115"/>
        </w:rPr>
        <w:t> </w:t>
      </w:r>
      <w:r>
        <w:rPr>
          <w:color w:val="231F20"/>
          <w:w w:val="115"/>
        </w:rPr>
        <w:t>et</w:t>
      </w:r>
      <w:r>
        <w:rPr>
          <w:color w:val="231F20"/>
          <w:spacing w:val="-9"/>
          <w:w w:val="115"/>
        </w:rPr>
        <w:t> </w:t>
      </w:r>
      <w:r>
        <w:rPr>
          <w:color w:val="231F20"/>
          <w:w w:val="115"/>
        </w:rPr>
        <w:t>parfois</w:t>
      </w:r>
      <w:r>
        <w:rPr>
          <w:color w:val="231F20"/>
          <w:spacing w:val="-9"/>
          <w:w w:val="115"/>
        </w:rPr>
        <w:t> </w:t>
      </w:r>
      <w:r>
        <w:rPr>
          <w:color w:val="231F20"/>
          <w:w w:val="115"/>
        </w:rPr>
        <w:t>irréversibles</w:t>
      </w:r>
      <w:r>
        <w:rPr>
          <w:color w:val="231F20"/>
          <w:spacing w:val="-9"/>
          <w:w w:val="115"/>
        </w:rPr>
        <w:t> </w:t>
      </w:r>
      <w:r>
        <w:rPr>
          <w:color w:val="231F20"/>
          <w:w w:val="115"/>
        </w:rPr>
        <w:t>du</w:t>
      </w:r>
      <w:r>
        <w:rPr>
          <w:color w:val="231F20"/>
          <w:spacing w:val="-9"/>
          <w:w w:val="115"/>
        </w:rPr>
        <w:t> </w:t>
      </w:r>
      <w:r>
        <w:rPr>
          <w:color w:val="231F20"/>
          <w:w w:val="115"/>
        </w:rPr>
        <w:t>stress.</w:t>
      </w:r>
      <w:r>
        <w:rPr>
          <w:color w:val="231F20"/>
          <w:spacing w:val="-9"/>
          <w:w w:val="115"/>
        </w:rPr>
        <w:t> </w:t>
      </w:r>
      <w:r>
        <w:rPr>
          <w:color w:val="231F20"/>
          <w:w w:val="115"/>
        </w:rPr>
        <w:t>Ce</w:t>
      </w:r>
      <w:r>
        <w:rPr>
          <w:color w:val="231F20"/>
          <w:spacing w:val="-9"/>
          <w:w w:val="115"/>
        </w:rPr>
        <w:t> </w:t>
      </w:r>
      <w:r>
        <w:rPr>
          <w:color w:val="231F20"/>
          <w:w w:val="115"/>
        </w:rPr>
        <w:t>modèle</w:t>
      </w:r>
      <w:r>
        <w:rPr>
          <w:color w:val="231F20"/>
          <w:spacing w:val="-9"/>
          <w:w w:val="115"/>
        </w:rPr>
        <w:t> </w:t>
      </w:r>
      <w:r>
        <w:rPr>
          <w:color w:val="231F20"/>
          <w:w w:val="115"/>
        </w:rPr>
        <w:t>vise</w:t>
      </w:r>
      <w:r>
        <w:rPr>
          <w:color w:val="231F20"/>
          <w:spacing w:val="-9"/>
          <w:w w:val="115"/>
        </w:rPr>
        <w:t> </w:t>
      </w:r>
      <w:r>
        <w:rPr>
          <w:color w:val="231F20"/>
          <w:w w:val="115"/>
        </w:rPr>
        <w:t>à</w:t>
      </w:r>
      <w:r>
        <w:rPr>
          <w:color w:val="231F20"/>
          <w:spacing w:val="-9"/>
          <w:w w:val="115"/>
        </w:rPr>
        <w:t> </w:t>
      </w:r>
      <w:r>
        <w:rPr>
          <w:color w:val="231F20"/>
          <w:w w:val="115"/>
        </w:rPr>
        <w:t>répondre</w:t>
      </w:r>
      <w:r>
        <w:rPr>
          <w:color w:val="231F20"/>
          <w:spacing w:val="-9"/>
          <w:w w:val="115"/>
        </w:rPr>
        <w:t> </w:t>
      </w:r>
      <w:r>
        <w:rPr>
          <w:color w:val="231F20"/>
          <w:w w:val="115"/>
        </w:rPr>
        <w:t>à </w:t>
      </w:r>
      <w:r>
        <w:rPr>
          <w:color w:val="231F20"/>
          <w:w w:val="120"/>
        </w:rPr>
        <w:t>quatre</w:t>
      </w:r>
      <w:r>
        <w:rPr>
          <w:color w:val="231F20"/>
          <w:spacing w:val="-3"/>
          <w:w w:val="120"/>
        </w:rPr>
        <w:t> </w:t>
      </w:r>
      <w:r>
        <w:rPr>
          <w:color w:val="231F20"/>
          <w:w w:val="120"/>
        </w:rPr>
        <w:t>questions11</w:t>
      </w:r>
      <w:r>
        <w:rPr>
          <w:color w:val="231F20"/>
          <w:spacing w:val="-32"/>
          <w:w w:val="120"/>
        </w:rPr>
        <w:t> </w:t>
      </w:r>
      <w:r>
        <w:rPr>
          <w:color w:val="231F20"/>
          <w:w w:val="120"/>
        </w:rPr>
        <w:t>:</w:t>
      </w:r>
    </w:p>
    <w:p>
      <w:pPr>
        <w:pStyle w:val="ListParagraph"/>
        <w:numPr>
          <w:ilvl w:val="0"/>
          <w:numId w:val="25"/>
        </w:numPr>
        <w:tabs>
          <w:tab w:pos="1401" w:val="left" w:leader="none"/>
        </w:tabs>
        <w:spacing w:line="240" w:lineRule="auto" w:before="78" w:after="0"/>
        <w:ind w:left="1400" w:right="0" w:hanging="251"/>
        <w:jc w:val="both"/>
        <w:rPr>
          <w:sz w:val="17"/>
        </w:rPr>
      </w:pPr>
      <w:r>
        <w:rPr>
          <w:color w:val="231F20"/>
          <w:w w:val="115"/>
          <w:sz w:val="17"/>
        </w:rPr>
        <w:t>Quelles</w:t>
      </w:r>
      <w:r>
        <w:rPr>
          <w:color w:val="231F20"/>
          <w:spacing w:val="4"/>
          <w:w w:val="115"/>
          <w:sz w:val="17"/>
        </w:rPr>
        <w:t> </w:t>
      </w:r>
      <w:r>
        <w:rPr>
          <w:color w:val="231F20"/>
          <w:w w:val="115"/>
          <w:sz w:val="17"/>
        </w:rPr>
        <w:t>sont</w:t>
      </w:r>
      <w:r>
        <w:rPr>
          <w:color w:val="231F20"/>
          <w:spacing w:val="4"/>
          <w:w w:val="115"/>
          <w:sz w:val="17"/>
        </w:rPr>
        <w:t> </w:t>
      </w:r>
      <w:r>
        <w:rPr>
          <w:color w:val="231F20"/>
          <w:w w:val="115"/>
          <w:sz w:val="17"/>
        </w:rPr>
        <w:t>les</w:t>
      </w:r>
      <w:r>
        <w:rPr>
          <w:color w:val="231F20"/>
          <w:spacing w:val="4"/>
          <w:w w:val="115"/>
          <w:sz w:val="17"/>
        </w:rPr>
        <w:t> </w:t>
      </w:r>
      <w:r>
        <w:rPr>
          <w:color w:val="231F20"/>
          <w:w w:val="115"/>
          <w:sz w:val="17"/>
        </w:rPr>
        <w:t>sources</w:t>
      </w:r>
      <w:r>
        <w:rPr>
          <w:color w:val="231F20"/>
          <w:spacing w:val="5"/>
          <w:w w:val="115"/>
          <w:sz w:val="17"/>
        </w:rPr>
        <w:t> </w:t>
      </w:r>
      <w:r>
        <w:rPr>
          <w:color w:val="231F20"/>
          <w:w w:val="115"/>
          <w:sz w:val="17"/>
        </w:rPr>
        <w:t>de</w:t>
      </w:r>
      <w:r>
        <w:rPr>
          <w:color w:val="231F20"/>
          <w:spacing w:val="4"/>
          <w:w w:val="115"/>
          <w:sz w:val="17"/>
        </w:rPr>
        <w:t> </w:t>
      </w:r>
      <w:r>
        <w:rPr>
          <w:color w:val="231F20"/>
          <w:w w:val="115"/>
          <w:sz w:val="17"/>
        </w:rPr>
        <w:t>stress</w:t>
      </w:r>
      <w:r>
        <w:rPr>
          <w:color w:val="231F20"/>
          <w:spacing w:val="4"/>
          <w:w w:val="115"/>
          <w:sz w:val="17"/>
        </w:rPr>
        <w:t> </w:t>
      </w:r>
      <w:r>
        <w:rPr>
          <w:color w:val="231F20"/>
          <w:w w:val="115"/>
          <w:sz w:val="17"/>
        </w:rPr>
        <w:t>en</w:t>
      </w:r>
      <w:r>
        <w:rPr>
          <w:color w:val="231F20"/>
          <w:spacing w:val="5"/>
          <w:w w:val="115"/>
          <w:sz w:val="17"/>
        </w:rPr>
        <w:t> </w:t>
      </w:r>
      <w:r>
        <w:rPr>
          <w:color w:val="231F20"/>
          <w:w w:val="115"/>
          <w:sz w:val="17"/>
        </w:rPr>
        <w:t>milieu</w:t>
      </w:r>
      <w:r>
        <w:rPr>
          <w:color w:val="231F20"/>
          <w:spacing w:val="4"/>
          <w:w w:val="115"/>
          <w:sz w:val="17"/>
        </w:rPr>
        <w:t> </w:t>
      </w:r>
      <w:r>
        <w:rPr>
          <w:color w:val="231F20"/>
          <w:w w:val="115"/>
          <w:sz w:val="17"/>
        </w:rPr>
        <w:t>de</w:t>
      </w:r>
      <w:r>
        <w:rPr>
          <w:color w:val="231F20"/>
          <w:spacing w:val="4"/>
          <w:w w:val="115"/>
          <w:sz w:val="17"/>
        </w:rPr>
        <w:t> </w:t>
      </w:r>
      <w:r>
        <w:rPr>
          <w:color w:val="231F20"/>
          <w:spacing w:val="-2"/>
          <w:w w:val="115"/>
          <w:sz w:val="17"/>
        </w:rPr>
        <w:t>travail?</w:t>
      </w:r>
    </w:p>
    <w:p>
      <w:pPr>
        <w:pStyle w:val="ListParagraph"/>
        <w:numPr>
          <w:ilvl w:val="0"/>
          <w:numId w:val="25"/>
        </w:numPr>
        <w:tabs>
          <w:tab w:pos="1401" w:val="left" w:leader="none"/>
        </w:tabs>
        <w:spacing w:line="307" w:lineRule="auto" w:before="134" w:after="0"/>
        <w:ind w:left="1400" w:right="105" w:hanging="251"/>
        <w:jc w:val="both"/>
        <w:rPr>
          <w:sz w:val="17"/>
        </w:rPr>
      </w:pPr>
      <w:r>
        <w:rPr>
          <w:color w:val="231F20"/>
          <w:w w:val="120"/>
          <w:sz w:val="17"/>
        </w:rPr>
        <w:t>Pourquoi</w:t>
      </w:r>
      <w:r>
        <w:rPr>
          <w:color w:val="231F20"/>
          <w:spacing w:val="-7"/>
          <w:w w:val="120"/>
          <w:sz w:val="17"/>
        </w:rPr>
        <w:t> </w:t>
      </w:r>
      <w:r>
        <w:rPr>
          <w:color w:val="231F20"/>
          <w:w w:val="120"/>
          <w:sz w:val="17"/>
        </w:rPr>
        <w:t>les</w:t>
      </w:r>
      <w:r>
        <w:rPr>
          <w:color w:val="231F20"/>
          <w:spacing w:val="-7"/>
          <w:w w:val="120"/>
          <w:sz w:val="17"/>
        </w:rPr>
        <w:t> </w:t>
      </w:r>
      <w:r>
        <w:rPr>
          <w:color w:val="231F20"/>
          <w:w w:val="120"/>
          <w:sz w:val="17"/>
        </w:rPr>
        <w:t>travailleurs</w:t>
      </w:r>
      <w:r>
        <w:rPr>
          <w:color w:val="231F20"/>
          <w:spacing w:val="-7"/>
          <w:w w:val="120"/>
          <w:sz w:val="17"/>
        </w:rPr>
        <w:t> </w:t>
      </w:r>
      <w:r>
        <w:rPr>
          <w:color w:val="231F20"/>
          <w:w w:val="120"/>
          <w:sz w:val="17"/>
        </w:rPr>
        <w:t>ne</w:t>
      </w:r>
      <w:r>
        <w:rPr>
          <w:color w:val="231F20"/>
          <w:spacing w:val="-7"/>
          <w:w w:val="120"/>
          <w:sz w:val="17"/>
        </w:rPr>
        <w:t> </w:t>
      </w:r>
      <w:r>
        <w:rPr>
          <w:color w:val="231F20"/>
          <w:w w:val="120"/>
          <w:sz w:val="17"/>
        </w:rPr>
        <w:t>sont-ils</w:t>
      </w:r>
      <w:r>
        <w:rPr>
          <w:color w:val="231F20"/>
          <w:spacing w:val="-7"/>
          <w:w w:val="120"/>
          <w:sz w:val="17"/>
        </w:rPr>
        <w:t> </w:t>
      </w:r>
      <w:r>
        <w:rPr>
          <w:color w:val="231F20"/>
          <w:w w:val="120"/>
          <w:sz w:val="17"/>
        </w:rPr>
        <w:t>pas</w:t>
      </w:r>
      <w:r>
        <w:rPr>
          <w:color w:val="231F20"/>
          <w:spacing w:val="-7"/>
          <w:w w:val="120"/>
          <w:sz w:val="17"/>
        </w:rPr>
        <w:t> </w:t>
      </w:r>
      <w:r>
        <w:rPr>
          <w:color w:val="231F20"/>
          <w:w w:val="120"/>
          <w:sz w:val="17"/>
        </w:rPr>
        <w:t>tous</w:t>
      </w:r>
      <w:r>
        <w:rPr>
          <w:color w:val="231F20"/>
          <w:spacing w:val="-7"/>
          <w:w w:val="120"/>
          <w:sz w:val="17"/>
        </w:rPr>
        <w:t> </w:t>
      </w:r>
      <w:r>
        <w:rPr>
          <w:color w:val="231F20"/>
          <w:w w:val="120"/>
          <w:sz w:val="17"/>
        </w:rPr>
        <w:t>affectés</w:t>
      </w:r>
      <w:r>
        <w:rPr>
          <w:color w:val="231F20"/>
          <w:spacing w:val="-7"/>
          <w:w w:val="120"/>
          <w:sz w:val="17"/>
        </w:rPr>
        <w:t> </w:t>
      </w:r>
      <w:r>
        <w:rPr>
          <w:color w:val="231F20"/>
          <w:w w:val="120"/>
          <w:sz w:val="17"/>
        </w:rPr>
        <w:t>de</w:t>
      </w:r>
      <w:r>
        <w:rPr>
          <w:color w:val="231F20"/>
          <w:spacing w:val="-7"/>
          <w:w w:val="120"/>
          <w:sz w:val="17"/>
        </w:rPr>
        <w:t> </w:t>
      </w:r>
      <w:r>
        <w:rPr>
          <w:color w:val="231F20"/>
          <w:w w:val="120"/>
          <w:sz w:val="17"/>
        </w:rPr>
        <w:t>la</w:t>
      </w:r>
      <w:r>
        <w:rPr>
          <w:color w:val="231F20"/>
          <w:spacing w:val="-7"/>
          <w:w w:val="120"/>
          <w:sz w:val="17"/>
        </w:rPr>
        <w:t> </w:t>
      </w:r>
      <w:r>
        <w:rPr>
          <w:color w:val="231F20"/>
          <w:w w:val="120"/>
          <w:sz w:val="17"/>
        </w:rPr>
        <w:t>même façon par le stress?</w:t>
      </w:r>
    </w:p>
    <w:p>
      <w:pPr>
        <w:pStyle w:val="ListParagraph"/>
        <w:numPr>
          <w:ilvl w:val="0"/>
          <w:numId w:val="25"/>
        </w:numPr>
        <w:tabs>
          <w:tab w:pos="1401" w:val="left" w:leader="none"/>
        </w:tabs>
        <w:spacing w:line="307" w:lineRule="auto" w:before="78" w:after="0"/>
        <w:ind w:left="1400" w:right="103" w:hanging="251"/>
        <w:jc w:val="both"/>
        <w:rPr>
          <w:sz w:val="17"/>
        </w:rPr>
      </w:pPr>
      <w:r>
        <w:rPr>
          <w:color w:val="231F20"/>
          <w:w w:val="120"/>
          <w:sz w:val="17"/>
        </w:rPr>
        <w:t>Quelles sont les conséquences physiques et psychologiques </w:t>
      </w:r>
      <w:r>
        <w:rPr>
          <w:color w:val="231F20"/>
          <w:w w:val="120"/>
          <w:sz w:val="17"/>
        </w:rPr>
        <w:t>du</w:t>
      </w:r>
      <w:r>
        <w:rPr>
          <w:color w:val="231F20"/>
          <w:w w:val="120"/>
          <w:sz w:val="17"/>
        </w:rPr>
        <w:t> stress sur l’individu?</w:t>
      </w:r>
    </w:p>
    <w:p>
      <w:pPr>
        <w:pStyle w:val="ListParagraph"/>
        <w:numPr>
          <w:ilvl w:val="0"/>
          <w:numId w:val="25"/>
        </w:numPr>
        <w:tabs>
          <w:tab w:pos="1401" w:val="left" w:leader="none"/>
        </w:tabs>
        <w:spacing w:line="307" w:lineRule="auto" w:before="79" w:after="0"/>
        <w:ind w:left="1400" w:right="109" w:hanging="251"/>
        <w:jc w:val="both"/>
        <w:rPr>
          <w:sz w:val="17"/>
        </w:rPr>
      </w:pPr>
      <w:r>
        <w:rPr>
          <w:color w:val="231F20"/>
          <w:w w:val="115"/>
          <w:sz w:val="17"/>
        </w:rPr>
        <w:t>Quelles</w:t>
      </w:r>
      <w:r>
        <w:rPr>
          <w:color w:val="231F20"/>
          <w:spacing w:val="-6"/>
          <w:w w:val="115"/>
          <w:sz w:val="17"/>
        </w:rPr>
        <w:t> </w:t>
      </w:r>
      <w:r>
        <w:rPr>
          <w:color w:val="231F20"/>
          <w:w w:val="115"/>
          <w:sz w:val="17"/>
        </w:rPr>
        <w:t>sont</w:t>
      </w:r>
      <w:r>
        <w:rPr>
          <w:color w:val="231F20"/>
          <w:spacing w:val="-6"/>
          <w:w w:val="115"/>
          <w:sz w:val="17"/>
        </w:rPr>
        <w:t> </w:t>
      </w:r>
      <w:r>
        <w:rPr>
          <w:color w:val="231F20"/>
          <w:w w:val="115"/>
          <w:sz w:val="17"/>
        </w:rPr>
        <w:t>les</w:t>
      </w:r>
      <w:r>
        <w:rPr>
          <w:color w:val="231F20"/>
          <w:spacing w:val="-6"/>
          <w:w w:val="115"/>
          <w:sz w:val="17"/>
        </w:rPr>
        <w:t> </w:t>
      </w:r>
      <w:r>
        <w:rPr>
          <w:color w:val="231F20"/>
          <w:w w:val="115"/>
          <w:sz w:val="17"/>
        </w:rPr>
        <w:t>conséquences</w:t>
      </w:r>
      <w:r>
        <w:rPr>
          <w:color w:val="231F20"/>
          <w:spacing w:val="-6"/>
          <w:w w:val="115"/>
          <w:sz w:val="17"/>
        </w:rPr>
        <w:t> </w:t>
      </w:r>
      <w:r>
        <w:rPr>
          <w:color w:val="231F20"/>
          <w:w w:val="115"/>
          <w:sz w:val="17"/>
        </w:rPr>
        <w:t>du</w:t>
      </w:r>
      <w:r>
        <w:rPr>
          <w:color w:val="231F20"/>
          <w:spacing w:val="-6"/>
          <w:w w:val="115"/>
          <w:sz w:val="17"/>
        </w:rPr>
        <w:t> </w:t>
      </w:r>
      <w:r>
        <w:rPr>
          <w:color w:val="231F20"/>
          <w:w w:val="115"/>
          <w:sz w:val="17"/>
        </w:rPr>
        <w:t>stress</w:t>
      </w:r>
      <w:r>
        <w:rPr>
          <w:color w:val="231F20"/>
          <w:spacing w:val="-6"/>
          <w:w w:val="115"/>
          <w:sz w:val="17"/>
        </w:rPr>
        <w:t> </w:t>
      </w:r>
      <w:r>
        <w:rPr>
          <w:color w:val="231F20"/>
          <w:w w:val="115"/>
          <w:sz w:val="17"/>
        </w:rPr>
        <w:t>sur</w:t>
      </w:r>
      <w:r>
        <w:rPr>
          <w:color w:val="231F20"/>
          <w:spacing w:val="-6"/>
          <w:w w:val="115"/>
          <w:sz w:val="17"/>
        </w:rPr>
        <w:t> </w:t>
      </w:r>
      <w:r>
        <w:rPr>
          <w:color w:val="231F20"/>
          <w:w w:val="115"/>
          <w:sz w:val="17"/>
        </w:rPr>
        <w:t>l’organisation</w:t>
      </w:r>
      <w:r>
        <w:rPr>
          <w:color w:val="231F20"/>
          <w:spacing w:val="-6"/>
          <w:w w:val="115"/>
          <w:sz w:val="17"/>
        </w:rPr>
        <w:t> </w:t>
      </w:r>
      <w:r>
        <w:rPr>
          <w:color w:val="231F20"/>
          <w:w w:val="115"/>
          <w:sz w:val="17"/>
        </w:rPr>
        <w:t>en</w:t>
      </w:r>
      <w:r>
        <w:rPr>
          <w:color w:val="231F20"/>
          <w:spacing w:val="-6"/>
          <w:w w:val="115"/>
          <w:sz w:val="17"/>
        </w:rPr>
        <w:t> </w:t>
      </w:r>
      <w:r>
        <w:rPr>
          <w:color w:val="231F20"/>
          <w:w w:val="115"/>
          <w:sz w:val="17"/>
        </w:rPr>
        <w:t>ce</w:t>
      </w:r>
      <w:r>
        <w:rPr>
          <w:color w:val="231F20"/>
          <w:spacing w:val="-6"/>
          <w:w w:val="115"/>
          <w:sz w:val="17"/>
        </w:rPr>
        <w:t> </w:t>
      </w:r>
      <w:r>
        <w:rPr>
          <w:color w:val="231F20"/>
          <w:w w:val="115"/>
          <w:sz w:val="17"/>
        </w:rPr>
        <w:t>qui </w:t>
      </w:r>
      <w:r>
        <w:rPr>
          <w:color w:val="231F20"/>
          <w:spacing w:val="-2"/>
          <w:w w:val="120"/>
          <w:sz w:val="17"/>
        </w:rPr>
        <w:t>concerne</w:t>
      </w:r>
      <w:r>
        <w:rPr>
          <w:color w:val="231F20"/>
          <w:spacing w:val="-11"/>
          <w:w w:val="120"/>
          <w:sz w:val="17"/>
        </w:rPr>
        <w:t> </w:t>
      </w:r>
      <w:r>
        <w:rPr>
          <w:color w:val="231F20"/>
          <w:spacing w:val="-2"/>
          <w:w w:val="120"/>
          <w:sz w:val="17"/>
        </w:rPr>
        <w:t>le</w:t>
      </w:r>
      <w:r>
        <w:rPr>
          <w:color w:val="231F20"/>
          <w:spacing w:val="-11"/>
          <w:w w:val="120"/>
          <w:sz w:val="17"/>
        </w:rPr>
        <w:t> </w:t>
      </w:r>
      <w:r>
        <w:rPr>
          <w:color w:val="231F20"/>
          <w:spacing w:val="-2"/>
          <w:w w:val="120"/>
          <w:sz w:val="17"/>
        </w:rPr>
        <w:t>rendement</w:t>
      </w:r>
      <w:r>
        <w:rPr>
          <w:color w:val="231F20"/>
          <w:spacing w:val="-10"/>
          <w:w w:val="120"/>
          <w:sz w:val="17"/>
        </w:rPr>
        <w:t> </w:t>
      </w:r>
      <w:r>
        <w:rPr>
          <w:color w:val="231F20"/>
          <w:spacing w:val="-2"/>
          <w:w w:val="120"/>
          <w:sz w:val="17"/>
        </w:rPr>
        <w:t>des</w:t>
      </w:r>
      <w:r>
        <w:rPr>
          <w:color w:val="231F20"/>
          <w:spacing w:val="-11"/>
          <w:w w:val="120"/>
          <w:sz w:val="17"/>
        </w:rPr>
        <w:t> </w:t>
      </w:r>
      <w:r>
        <w:rPr>
          <w:color w:val="231F20"/>
          <w:spacing w:val="-2"/>
          <w:w w:val="120"/>
          <w:sz w:val="17"/>
        </w:rPr>
        <w:t>travailleurs</w:t>
      </w:r>
      <w:r>
        <w:rPr>
          <w:color w:val="231F20"/>
          <w:spacing w:val="-11"/>
          <w:w w:val="120"/>
          <w:sz w:val="17"/>
        </w:rPr>
        <w:t> </w:t>
      </w:r>
      <w:r>
        <w:rPr>
          <w:color w:val="231F20"/>
          <w:spacing w:val="-2"/>
          <w:w w:val="120"/>
          <w:sz w:val="17"/>
        </w:rPr>
        <w:t>(productivité,</w:t>
      </w:r>
      <w:r>
        <w:rPr>
          <w:color w:val="231F20"/>
          <w:spacing w:val="-10"/>
          <w:w w:val="120"/>
          <w:sz w:val="17"/>
        </w:rPr>
        <w:t> </w:t>
      </w:r>
      <w:r>
        <w:rPr>
          <w:color w:val="231F20"/>
          <w:spacing w:val="-2"/>
          <w:w w:val="120"/>
          <w:sz w:val="17"/>
        </w:rPr>
        <w:t>absentéisme, </w:t>
      </w:r>
      <w:r>
        <w:rPr>
          <w:color w:val="231F20"/>
          <w:w w:val="120"/>
          <w:sz w:val="17"/>
        </w:rPr>
        <w:t>fréquence des accidents du travail, etc.)?</w:t>
      </w:r>
    </w:p>
    <w:p>
      <w:pPr>
        <w:pStyle w:val="BodyText"/>
        <w:spacing w:line="307" w:lineRule="auto" w:before="80"/>
        <w:ind w:left="900" w:right="102"/>
        <w:jc w:val="both"/>
      </w:pPr>
      <w:r>
        <w:rPr>
          <w:color w:val="231F20"/>
          <w:w w:val="120"/>
        </w:rPr>
        <w:t>Les auteurs de ce modèle soutiennent que c’est la discordance entre </w:t>
      </w:r>
      <w:r>
        <w:rPr>
          <w:color w:val="231F20"/>
          <w:spacing w:val="-2"/>
          <w:w w:val="120"/>
        </w:rPr>
        <w:t>l’individu</w:t>
      </w:r>
      <w:r>
        <w:rPr>
          <w:color w:val="231F20"/>
          <w:spacing w:val="-7"/>
          <w:w w:val="120"/>
        </w:rPr>
        <w:t> </w:t>
      </w:r>
      <w:r>
        <w:rPr>
          <w:color w:val="231F20"/>
          <w:spacing w:val="-2"/>
          <w:w w:val="120"/>
        </w:rPr>
        <w:t>et</w:t>
      </w:r>
      <w:r>
        <w:rPr>
          <w:color w:val="231F20"/>
          <w:spacing w:val="-7"/>
          <w:w w:val="120"/>
        </w:rPr>
        <w:t> </w:t>
      </w:r>
      <w:r>
        <w:rPr>
          <w:color w:val="231F20"/>
          <w:spacing w:val="-2"/>
          <w:w w:val="120"/>
        </w:rPr>
        <w:t>son</w:t>
      </w:r>
      <w:r>
        <w:rPr>
          <w:color w:val="231F20"/>
          <w:spacing w:val="-7"/>
          <w:w w:val="120"/>
        </w:rPr>
        <w:t> </w:t>
      </w:r>
      <w:r>
        <w:rPr>
          <w:color w:val="231F20"/>
          <w:spacing w:val="-2"/>
          <w:w w:val="120"/>
        </w:rPr>
        <w:t>milieu</w:t>
      </w:r>
      <w:r>
        <w:rPr>
          <w:color w:val="231F20"/>
          <w:spacing w:val="-7"/>
          <w:w w:val="120"/>
        </w:rPr>
        <w:t> </w:t>
      </w:r>
      <w:r>
        <w:rPr>
          <w:color w:val="231F20"/>
          <w:spacing w:val="-2"/>
          <w:w w:val="120"/>
        </w:rPr>
        <w:t>de</w:t>
      </w:r>
      <w:r>
        <w:rPr>
          <w:color w:val="231F20"/>
          <w:spacing w:val="-7"/>
          <w:w w:val="120"/>
        </w:rPr>
        <w:t> </w:t>
      </w:r>
      <w:r>
        <w:rPr>
          <w:color w:val="231F20"/>
          <w:spacing w:val="-2"/>
          <w:w w:val="120"/>
        </w:rPr>
        <w:t>travail</w:t>
      </w:r>
      <w:r>
        <w:rPr>
          <w:color w:val="231F20"/>
          <w:spacing w:val="-7"/>
          <w:w w:val="120"/>
        </w:rPr>
        <w:t> </w:t>
      </w:r>
      <w:r>
        <w:rPr>
          <w:color w:val="231F20"/>
          <w:spacing w:val="-2"/>
          <w:w w:val="120"/>
        </w:rPr>
        <w:t>qui</w:t>
      </w:r>
      <w:r>
        <w:rPr>
          <w:color w:val="231F20"/>
          <w:spacing w:val="-7"/>
          <w:w w:val="120"/>
        </w:rPr>
        <w:t> </w:t>
      </w:r>
      <w:r>
        <w:rPr>
          <w:color w:val="231F20"/>
          <w:spacing w:val="-2"/>
          <w:w w:val="120"/>
        </w:rPr>
        <w:t>est</w:t>
      </w:r>
      <w:r>
        <w:rPr>
          <w:color w:val="231F20"/>
          <w:spacing w:val="-7"/>
          <w:w w:val="120"/>
        </w:rPr>
        <w:t> </w:t>
      </w:r>
      <w:r>
        <w:rPr>
          <w:color w:val="231F20"/>
          <w:spacing w:val="-2"/>
          <w:w w:val="120"/>
        </w:rPr>
        <w:t>la</w:t>
      </w:r>
      <w:r>
        <w:rPr>
          <w:color w:val="231F20"/>
          <w:spacing w:val="-7"/>
          <w:w w:val="120"/>
        </w:rPr>
        <w:t> </w:t>
      </w:r>
      <w:r>
        <w:rPr>
          <w:color w:val="231F20"/>
          <w:spacing w:val="-2"/>
          <w:w w:val="120"/>
        </w:rPr>
        <w:t>cause</w:t>
      </w:r>
      <w:r>
        <w:rPr>
          <w:color w:val="231F20"/>
          <w:spacing w:val="-7"/>
          <w:w w:val="120"/>
        </w:rPr>
        <w:t> </w:t>
      </w:r>
      <w:r>
        <w:rPr>
          <w:color w:val="231F20"/>
          <w:spacing w:val="-2"/>
          <w:w w:val="120"/>
        </w:rPr>
        <w:t>des</w:t>
      </w:r>
      <w:r>
        <w:rPr>
          <w:color w:val="231F20"/>
          <w:spacing w:val="-7"/>
          <w:w w:val="120"/>
        </w:rPr>
        <w:t> </w:t>
      </w:r>
      <w:r>
        <w:rPr>
          <w:color w:val="231F20"/>
          <w:spacing w:val="-2"/>
          <w:w w:val="120"/>
        </w:rPr>
        <w:t>problèmes</w:t>
      </w:r>
      <w:r>
        <w:rPr>
          <w:color w:val="231F20"/>
          <w:spacing w:val="-7"/>
          <w:w w:val="120"/>
        </w:rPr>
        <w:t> </w:t>
      </w:r>
      <w:r>
        <w:rPr>
          <w:color w:val="231F20"/>
          <w:spacing w:val="-2"/>
          <w:w w:val="120"/>
        </w:rPr>
        <w:t>d’adap- </w:t>
      </w:r>
      <w:r>
        <w:rPr>
          <w:color w:val="231F20"/>
          <w:w w:val="120"/>
        </w:rPr>
        <w:t>tation. Le niveau de concordance permet de constater la présence ou l’absence</w:t>
      </w:r>
      <w:r>
        <w:rPr>
          <w:color w:val="231F20"/>
          <w:spacing w:val="-8"/>
          <w:w w:val="120"/>
        </w:rPr>
        <w:t> </w:t>
      </w:r>
      <w:r>
        <w:rPr>
          <w:color w:val="231F20"/>
          <w:w w:val="120"/>
        </w:rPr>
        <w:t>des</w:t>
      </w:r>
      <w:r>
        <w:rPr>
          <w:color w:val="231F20"/>
          <w:spacing w:val="-8"/>
          <w:w w:val="120"/>
        </w:rPr>
        <w:t> </w:t>
      </w:r>
      <w:r>
        <w:rPr>
          <w:color w:val="231F20"/>
          <w:w w:val="120"/>
        </w:rPr>
        <w:t>divers</w:t>
      </w:r>
      <w:r>
        <w:rPr>
          <w:color w:val="231F20"/>
          <w:spacing w:val="-8"/>
          <w:w w:val="120"/>
        </w:rPr>
        <w:t> </w:t>
      </w:r>
      <w:r>
        <w:rPr>
          <w:color w:val="231F20"/>
          <w:w w:val="120"/>
        </w:rPr>
        <w:t>signes</w:t>
      </w:r>
      <w:r>
        <w:rPr>
          <w:color w:val="231F20"/>
          <w:spacing w:val="-8"/>
          <w:w w:val="120"/>
        </w:rPr>
        <w:t> </w:t>
      </w:r>
      <w:r>
        <w:rPr>
          <w:color w:val="231F20"/>
          <w:w w:val="120"/>
        </w:rPr>
        <w:t>et</w:t>
      </w:r>
      <w:r>
        <w:rPr>
          <w:color w:val="231F20"/>
          <w:spacing w:val="-8"/>
          <w:w w:val="120"/>
        </w:rPr>
        <w:t> </w:t>
      </w:r>
      <w:r>
        <w:rPr>
          <w:color w:val="231F20"/>
          <w:w w:val="120"/>
        </w:rPr>
        <w:t>symptômes</w:t>
      </w:r>
      <w:r>
        <w:rPr>
          <w:color w:val="231F20"/>
          <w:spacing w:val="-8"/>
          <w:w w:val="120"/>
        </w:rPr>
        <w:t> </w:t>
      </w:r>
      <w:r>
        <w:rPr>
          <w:color w:val="231F20"/>
          <w:w w:val="120"/>
        </w:rPr>
        <w:t>de</w:t>
      </w:r>
      <w:r>
        <w:rPr>
          <w:color w:val="231F20"/>
          <w:spacing w:val="-8"/>
          <w:w w:val="120"/>
        </w:rPr>
        <w:t> </w:t>
      </w:r>
      <w:r>
        <w:rPr>
          <w:color w:val="231F20"/>
          <w:w w:val="120"/>
        </w:rPr>
        <w:t>tension</w:t>
      </w:r>
      <w:r>
        <w:rPr>
          <w:color w:val="231F20"/>
          <w:spacing w:val="-8"/>
          <w:w w:val="120"/>
        </w:rPr>
        <w:t> </w:t>
      </w:r>
      <w:r>
        <w:rPr>
          <w:color w:val="231F20"/>
          <w:w w:val="120"/>
        </w:rPr>
        <w:t>qui</w:t>
      </w:r>
      <w:r>
        <w:rPr>
          <w:color w:val="231F20"/>
          <w:spacing w:val="-8"/>
          <w:w w:val="120"/>
        </w:rPr>
        <w:t> </w:t>
      </w:r>
      <w:r>
        <w:rPr>
          <w:color w:val="231F20"/>
          <w:w w:val="120"/>
        </w:rPr>
        <w:t>composent</w:t>
      </w:r>
      <w:r>
        <w:rPr>
          <w:color w:val="231F20"/>
          <w:spacing w:val="-8"/>
          <w:w w:val="120"/>
        </w:rPr>
        <w:t> </w:t>
      </w:r>
      <w:r>
        <w:rPr>
          <w:color w:val="231F20"/>
          <w:w w:val="120"/>
        </w:rPr>
        <w:t>les indicateurs du stress.</w:t>
      </w:r>
    </w:p>
    <w:p>
      <w:pPr>
        <w:pStyle w:val="BodyText"/>
        <w:spacing w:line="307" w:lineRule="auto" w:before="79"/>
        <w:ind w:left="900" w:right="106" w:firstLine="250"/>
        <w:jc w:val="both"/>
      </w:pPr>
      <w:r>
        <w:rPr>
          <w:color w:val="231F20"/>
          <w:spacing w:val="-2"/>
          <w:w w:val="120"/>
        </w:rPr>
        <w:t>Ce</w:t>
      </w:r>
      <w:r>
        <w:rPr>
          <w:color w:val="231F20"/>
          <w:spacing w:val="-9"/>
          <w:w w:val="120"/>
        </w:rPr>
        <w:t> </w:t>
      </w:r>
      <w:r>
        <w:rPr>
          <w:color w:val="231F20"/>
          <w:spacing w:val="-2"/>
          <w:w w:val="120"/>
        </w:rPr>
        <w:t>modèle</w:t>
      </w:r>
      <w:r>
        <w:rPr>
          <w:color w:val="231F20"/>
          <w:spacing w:val="-9"/>
          <w:w w:val="120"/>
        </w:rPr>
        <w:t> </w:t>
      </w:r>
      <w:r>
        <w:rPr>
          <w:color w:val="231F20"/>
          <w:spacing w:val="-2"/>
          <w:w w:val="120"/>
        </w:rPr>
        <w:t>du</w:t>
      </w:r>
      <w:r>
        <w:rPr>
          <w:color w:val="231F20"/>
          <w:spacing w:val="-9"/>
          <w:w w:val="120"/>
        </w:rPr>
        <w:t> </w:t>
      </w:r>
      <w:r>
        <w:rPr>
          <w:color w:val="231F20"/>
          <w:spacing w:val="-2"/>
          <w:w w:val="120"/>
        </w:rPr>
        <w:t>stress</w:t>
      </w:r>
      <w:r>
        <w:rPr>
          <w:color w:val="231F20"/>
          <w:spacing w:val="-9"/>
          <w:w w:val="120"/>
        </w:rPr>
        <w:t> </w:t>
      </w:r>
      <w:r>
        <w:rPr>
          <w:color w:val="231F20"/>
          <w:spacing w:val="-2"/>
          <w:w w:val="120"/>
        </w:rPr>
        <w:t>au</w:t>
      </w:r>
      <w:r>
        <w:rPr>
          <w:color w:val="231F20"/>
          <w:spacing w:val="-9"/>
          <w:w w:val="120"/>
        </w:rPr>
        <w:t> </w:t>
      </w:r>
      <w:r>
        <w:rPr>
          <w:color w:val="231F20"/>
          <w:spacing w:val="-2"/>
          <w:w w:val="120"/>
        </w:rPr>
        <w:t>travail,</w:t>
      </w:r>
      <w:r>
        <w:rPr>
          <w:color w:val="231F20"/>
          <w:spacing w:val="-9"/>
          <w:w w:val="120"/>
        </w:rPr>
        <w:t> </w:t>
      </w:r>
      <w:r>
        <w:rPr>
          <w:color w:val="231F20"/>
          <w:spacing w:val="-2"/>
          <w:w w:val="120"/>
        </w:rPr>
        <w:t>présenté</w:t>
      </w:r>
      <w:r>
        <w:rPr>
          <w:color w:val="231F20"/>
          <w:spacing w:val="-9"/>
          <w:w w:val="120"/>
        </w:rPr>
        <w:t> </w:t>
      </w:r>
      <w:r>
        <w:rPr>
          <w:color w:val="231F20"/>
          <w:spacing w:val="-2"/>
          <w:w w:val="120"/>
        </w:rPr>
        <w:t>à</w:t>
      </w:r>
      <w:r>
        <w:rPr>
          <w:color w:val="231F20"/>
          <w:spacing w:val="-9"/>
          <w:w w:val="120"/>
        </w:rPr>
        <w:t> </w:t>
      </w:r>
      <w:r>
        <w:rPr>
          <w:color w:val="231F20"/>
          <w:spacing w:val="-2"/>
          <w:w w:val="120"/>
        </w:rPr>
        <w:t>la</w:t>
      </w:r>
      <w:r>
        <w:rPr>
          <w:color w:val="231F20"/>
          <w:spacing w:val="-9"/>
          <w:w w:val="120"/>
        </w:rPr>
        <w:t> </w:t>
      </w:r>
      <w:r>
        <w:rPr>
          <w:color w:val="231F20"/>
          <w:spacing w:val="-2"/>
          <w:w w:val="120"/>
        </w:rPr>
        <w:t>figure</w:t>
      </w:r>
      <w:r>
        <w:rPr>
          <w:color w:val="231F20"/>
          <w:spacing w:val="-9"/>
          <w:w w:val="120"/>
        </w:rPr>
        <w:t> </w:t>
      </w:r>
      <w:r>
        <w:rPr>
          <w:color w:val="231F20"/>
          <w:spacing w:val="-2"/>
          <w:w w:val="120"/>
        </w:rPr>
        <w:t>2.6,</w:t>
      </w:r>
      <w:r>
        <w:rPr>
          <w:color w:val="231F20"/>
          <w:spacing w:val="-9"/>
          <w:w w:val="120"/>
        </w:rPr>
        <w:t> </w:t>
      </w:r>
      <w:r>
        <w:rPr>
          <w:color w:val="231F20"/>
          <w:spacing w:val="-2"/>
          <w:w w:val="120"/>
        </w:rPr>
        <w:t>distingue</w:t>
      </w:r>
      <w:r>
        <w:rPr>
          <w:color w:val="231F20"/>
          <w:spacing w:val="-9"/>
          <w:w w:val="120"/>
        </w:rPr>
        <w:t> </w:t>
      </w:r>
      <w:r>
        <w:rPr>
          <w:color w:val="231F20"/>
          <w:spacing w:val="-2"/>
          <w:w w:val="120"/>
        </w:rPr>
        <w:t>trois </w:t>
      </w:r>
      <w:r>
        <w:rPr>
          <w:color w:val="231F20"/>
          <w:w w:val="120"/>
        </w:rPr>
        <w:t>éléments principaux à l’origine du stress au travail:</w:t>
      </w:r>
    </w:p>
    <w:p>
      <w:pPr>
        <w:pStyle w:val="ListParagraph"/>
        <w:numPr>
          <w:ilvl w:val="0"/>
          <w:numId w:val="26"/>
        </w:numPr>
        <w:tabs>
          <w:tab w:pos="1401" w:val="left" w:leader="none"/>
        </w:tabs>
        <w:spacing w:line="307" w:lineRule="auto" w:before="80" w:after="0"/>
        <w:ind w:left="1400" w:right="106" w:hanging="251"/>
        <w:jc w:val="both"/>
        <w:rPr>
          <w:sz w:val="17"/>
        </w:rPr>
      </w:pPr>
      <w:r>
        <w:rPr>
          <w:b/>
          <w:color w:val="231F20"/>
          <w:w w:val="115"/>
          <w:sz w:val="17"/>
        </w:rPr>
        <w:t>La</w:t>
      </w:r>
      <w:r>
        <w:rPr>
          <w:b/>
          <w:color w:val="231F20"/>
          <w:spacing w:val="-11"/>
          <w:w w:val="115"/>
          <w:sz w:val="17"/>
        </w:rPr>
        <w:t> </w:t>
      </w:r>
      <w:r>
        <w:rPr>
          <w:b/>
          <w:color w:val="231F20"/>
          <w:w w:val="115"/>
          <w:sz w:val="17"/>
        </w:rPr>
        <w:t>perception</w:t>
      </w:r>
      <w:r>
        <w:rPr>
          <w:b/>
          <w:color w:val="231F20"/>
          <w:spacing w:val="-11"/>
          <w:w w:val="115"/>
          <w:sz w:val="17"/>
        </w:rPr>
        <w:t> </w:t>
      </w:r>
      <w:r>
        <w:rPr>
          <w:b/>
          <w:color w:val="231F20"/>
          <w:w w:val="115"/>
          <w:sz w:val="17"/>
        </w:rPr>
        <w:t>des</w:t>
      </w:r>
      <w:r>
        <w:rPr>
          <w:b/>
          <w:color w:val="231F20"/>
          <w:spacing w:val="-11"/>
          <w:w w:val="115"/>
          <w:sz w:val="17"/>
        </w:rPr>
        <w:t> </w:t>
      </w:r>
      <w:r>
        <w:rPr>
          <w:b/>
          <w:color w:val="231F20"/>
          <w:w w:val="115"/>
          <w:sz w:val="17"/>
        </w:rPr>
        <w:t>exigences</w:t>
      </w:r>
      <w:r>
        <w:rPr>
          <w:b/>
          <w:color w:val="231F20"/>
          <w:spacing w:val="-11"/>
          <w:w w:val="115"/>
          <w:sz w:val="17"/>
        </w:rPr>
        <w:t> </w:t>
      </w:r>
      <w:r>
        <w:rPr>
          <w:b/>
          <w:color w:val="231F20"/>
          <w:w w:val="115"/>
          <w:sz w:val="17"/>
        </w:rPr>
        <w:t>de</w:t>
      </w:r>
      <w:r>
        <w:rPr>
          <w:b/>
          <w:color w:val="231F20"/>
          <w:spacing w:val="-11"/>
          <w:w w:val="115"/>
          <w:sz w:val="17"/>
        </w:rPr>
        <w:t> </w:t>
      </w:r>
      <w:r>
        <w:rPr>
          <w:b/>
          <w:color w:val="231F20"/>
          <w:w w:val="115"/>
          <w:sz w:val="17"/>
        </w:rPr>
        <w:t>l’emploi</w:t>
      </w:r>
      <w:r>
        <w:rPr>
          <w:color w:val="231F20"/>
          <w:w w:val="115"/>
          <w:sz w:val="17"/>
        </w:rPr>
        <w:t>.</w:t>
      </w:r>
      <w:r>
        <w:rPr>
          <w:color w:val="231F20"/>
          <w:spacing w:val="-8"/>
          <w:w w:val="115"/>
          <w:sz w:val="17"/>
        </w:rPr>
        <w:t> </w:t>
      </w:r>
      <w:r>
        <w:rPr>
          <w:color w:val="231F20"/>
          <w:w w:val="115"/>
          <w:sz w:val="17"/>
        </w:rPr>
        <w:t>La</w:t>
      </w:r>
      <w:r>
        <w:rPr>
          <w:color w:val="231F20"/>
          <w:spacing w:val="-8"/>
          <w:w w:val="115"/>
          <w:sz w:val="17"/>
        </w:rPr>
        <w:t> </w:t>
      </w:r>
      <w:r>
        <w:rPr>
          <w:color w:val="231F20"/>
          <w:w w:val="115"/>
          <w:sz w:val="17"/>
        </w:rPr>
        <w:t>perception</w:t>
      </w:r>
      <w:r>
        <w:rPr>
          <w:color w:val="231F20"/>
          <w:spacing w:val="-8"/>
          <w:w w:val="115"/>
          <w:sz w:val="17"/>
        </w:rPr>
        <w:t> </w:t>
      </w:r>
      <w:r>
        <w:rPr>
          <w:color w:val="231F20"/>
          <w:w w:val="115"/>
          <w:sz w:val="17"/>
        </w:rPr>
        <w:t>qu’ont</w:t>
      </w:r>
      <w:r>
        <w:rPr>
          <w:color w:val="231F20"/>
          <w:spacing w:val="-8"/>
          <w:w w:val="115"/>
          <w:sz w:val="17"/>
        </w:rPr>
        <w:t> </w:t>
      </w:r>
      <w:r>
        <w:rPr>
          <w:color w:val="231F20"/>
          <w:w w:val="115"/>
          <w:sz w:val="17"/>
        </w:rPr>
        <w:t>les </w:t>
      </w:r>
      <w:r>
        <w:rPr>
          <w:color w:val="231F20"/>
          <w:w w:val="120"/>
          <w:sz w:val="17"/>
        </w:rPr>
        <w:t>employés d’une situation peut influer sur leur façon de subir ou </w:t>
      </w:r>
      <w:r>
        <w:rPr>
          <w:color w:val="231F20"/>
          <w:spacing w:val="-4"/>
          <w:w w:val="120"/>
          <w:sz w:val="17"/>
        </w:rPr>
        <w:t>non</w:t>
      </w:r>
      <w:r>
        <w:rPr>
          <w:color w:val="231F20"/>
          <w:spacing w:val="-6"/>
          <w:w w:val="120"/>
          <w:sz w:val="17"/>
        </w:rPr>
        <w:t> </w:t>
      </w:r>
      <w:r>
        <w:rPr>
          <w:color w:val="231F20"/>
          <w:spacing w:val="-4"/>
          <w:w w:val="120"/>
          <w:sz w:val="17"/>
        </w:rPr>
        <w:t>du</w:t>
      </w:r>
      <w:r>
        <w:rPr>
          <w:color w:val="231F20"/>
          <w:spacing w:val="-6"/>
          <w:w w:val="120"/>
          <w:sz w:val="17"/>
        </w:rPr>
        <w:t> </w:t>
      </w:r>
      <w:r>
        <w:rPr>
          <w:color w:val="231F20"/>
          <w:spacing w:val="-4"/>
          <w:w w:val="120"/>
          <w:sz w:val="17"/>
        </w:rPr>
        <w:t>stress.</w:t>
      </w:r>
      <w:r>
        <w:rPr>
          <w:color w:val="231F20"/>
          <w:spacing w:val="-6"/>
          <w:w w:val="120"/>
          <w:sz w:val="17"/>
        </w:rPr>
        <w:t> </w:t>
      </w:r>
      <w:r>
        <w:rPr>
          <w:color w:val="231F20"/>
          <w:spacing w:val="-4"/>
          <w:w w:val="120"/>
          <w:sz w:val="17"/>
        </w:rPr>
        <w:t>Par</w:t>
      </w:r>
      <w:r>
        <w:rPr>
          <w:color w:val="231F20"/>
          <w:spacing w:val="-6"/>
          <w:w w:val="120"/>
          <w:sz w:val="17"/>
        </w:rPr>
        <w:t> </w:t>
      </w:r>
      <w:r>
        <w:rPr>
          <w:color w:val="231F20"/>
          <w:spacing w:val="-4"/>
          <w:w w:val="120"/>
          <w:sz w:val="17"/>
        </w:rPr>
        <w:t>exemple,</w:t>
      </w:r>
      <w:r>
        <w:rPr>
          <w:color w:val="231F20"/>
          <w:spacing w:val="-6"/>
          <w:w w:val="120"/>
          <w:sz w:val="17"/>
        </w:rPr>
        <w:t> </w:t>
      </w:r>
      <w:r>
        <w:rPr>
          <w:color w:val="231F20"/>
          <w:spacing w:val="-4"/>
          <w:w w:val="120"/>
          <w:sz w:val="17"/>
        </w:rPr>
        <w:t>lorsqu’un</w:t>
      </w:r>
      <w:r>
        <w:rPr>
          <w:color w:val="231F20"/>
          <w:spacing w:val="-6"/>
          <w:w w:val="120"/>
          <w:sz w:val="17"/>
        </w:rPr>
        <w:t> </w:t>
      </w:r>
      <w:r>
        <w:rPr>
          <w:color w:val="231F20"/>
          <w:spacing w:val="-4"/>
          <w:w w:val="120"/>
          <w:sz w:val="17"/>
        </w:rPr>
        <w:t>gestionnaire</w:t>
      </w:r>
      <w:r>
        <w:rPr>
          <w:color w:val="231F20"/>
          <w:spacing w:val="-6"/>
          <w:w w:val="120"/>
          <w:sz w:val="17"/>
        </w:rPr>
        <w:t> </w:t>
      </w:r>
      <w:r>
        <w:rPr>
          <w:color w:val="231F20"/>
          <w:spacing w:val="-4"/>
          <w:w w:val="120"/>
          <w:sz w:val="17"/>
        </w:rPr>
        <w:t>demande</w:t>
      </w:r>
      <w:r>
        <w:rPr>
          <w:color w:val="231F20"/>
          <w:spacing w:val="-6"/>
          <w:w w:val="120"/>
          <w:sz w:val="17"/>
        </w:rPr>
        <w:t> </w:t>
      </w:r>
      <w:r>
        <w:rPr>
          <w:color w:val="231F20"/>
          <w:spacing w:val="-4"/>
          <w:w w:val="120"/>
          <w:sz w:val="17"/>
        </w:rPr>
        <w:t>à</w:t>
      </w:r>
      <w:r>
        <w:rPr>
          <w:color w:val="231F20"/>
          <w:spacing w:val="-6"/>
          <w:w w:val="120"/>
          <w:sz w:val="17"/>
        </w:rPr>
        <w:t> </w:t>
      </w:r>
      <w:r>
        <w:rPr>
          <w:color w:val="231F20"/>
          <w:spacing w:val="-4"/>
          <w:w w:val="120"/>
          <w:sz w:val="17"/>
        </w:rPr>
        <w:t>deux </w:t>
      </w:r>
      <w:r>
        <w:rPr>
          <w:color w:val="231F20"/>
          <w:w w:val="120"/>
          <w:sz w:val="17"/>
        </w:rPr>
        <w:t>de</w:t>
      </w:r>
      <w:r>
        <w:rPr>
          <w:color w:val="231F20"/>
          <w:spacing w:val="-2"/>
          <w:w w:val="120"/>
          <w:sz w:val="17"/>
        </w:rPr>
        <w:t> </w:t>
      </w:r>
      <w:r>
        <w:rPr>
          <w:color w:val="231F20"/>
          <w:w w:val="120"/>
          <w:sz w:val="17"/>
        </w:rPr>
        <w:t>ses</w:t>
      </w:r>
      <w:r>
        <w:rPr>
          <w:color w:val="231F20"/>
          <w:spacing w:val="-2"/>
          <w:w w:val="120"/>
          <w:sz w:val="17"/>
        </w:rPr>
        <w:t> </w:t>
      </w:r>
      <w:r>
        <w:rPr>
          <w:color w:val="231F20"/>
          <w:w w:val="120"/>
          <w:sz w:val="17"/>
        </w:rPr>
        <w:t>subordonnés</w:t>
      </w:r>
      <w:r>
        <w:rPr>
          <w:color w:val="231F20"/>
          <w:spacing w:val="-2"/>
          <w:w w:val="120"/>
          <w:sz w:val="17"/>
        </w:rPr>
        <w:t> </w:t>
      </w:r>
      <w:r>
        <w:rPr>
          <w:color w:val="231F20"/>
          <w:w w:val="120"/>
          <w:sz w:val="17"/>
        </w:rPr>
        <w:t>de</w:t>
      </w:r>
      <w:r>
        <w:rPr>
          <w:color w:val="231F20"/>
          <w:spacing w:val="-2"/>
          <w:w w:val="120"/>
          <w:sz w:val="17"/>
        </w:rPr>
        <w:t> </w:t>
      </w:r>
      <w:r>
        <w:rPr>
          <w:color w:val="231F20"/>
          <w:w w:val="120"/>
          <w:sz w:val="17"/>
        </w:rPr>
        <w:t>rester</w:t>
      </w:r>
      <w:r>
        <w:rPr>
          <w:color w:val="231F20"/>
          <w:spacing w:val="-2"/>
          <w:w w:val="120"/>
          <w:sz w:val="17"/>
        </w:rPr>
        <w:t> </w:t>
      </w:r>
      <w:r>
        <w:rPr>
          <w:color w:val="231F20"/>
          <w:w w:val="120"/>
          <w:sz w:val="17"/>
        </w:rPr>
        <w:t>une</w:t>
      </w:r>
      <w:r>
        <w:rPr>
          <w:color w:val="231F20"/>
          <w:spacing w:val="-2"/>
          <w:w w:val="120"/>
          <w:sz w:val="17"/>
        </w:rPr>
        <w:t> </w:t>
      </w:r>
      <w:r>
        <w:rPr>
          <w:color w:val="231F20"/>
          <w:w w:val="120"/>
          <w:sz w:val="17"/>
        </w:rPr>
        <w:t>heure</w:t>
      </w:r>
      <w:r>
        <w:rPr>
          <w:color w:val="231F20"/>
          <w:spacing w:val="-2"/>
          <w:w w:val="120"/>
          <w:sz w:val="17"/>
        </w:rPr>
        <w:t> </w:t>
      </w:r>
      <w:r>
        <w:rPr>
          <w:color w:val="231F20"/>
          <w:w w:val="120"/>
          <w:sz w:val="17"/>
        </w:rPr>
        <w:t>de</w:t>
      </w:r>
      <w:r>
        <w:rPr>
          <w:color w:val="231F20"/>
          <w:spacing w:val="-2"/>
          <w:w w:val="120"/>
          <w:sz w:val="17"/>
        </w:rPr>
        <w:t> </w:t>
      </w:r>
      <w:r>
        <w:rPr>
          <w:color w:val="231F20"/>
          <w:w w:val="120"/>
          <w:sz w:val="17"/>
        </w:rPr>
        <w:t>plus</w:t>
      </w:r>
      <w:r>
        <w:rPr>
          <w:color w:val="231F20"/>
          <w:spacing w:val="-2"/>
          <w:w w:val="120"/>
          <w:sz w:val="17"/>
        </w:rPr>
        <w:t> </w:t>
      </w:r>
      <w:r>
        <w:rPr>
          <w:color w:val="231F20"/>
          <w:w w:val="120"/>
          <w:sz w:val="17"/>
        </w:rPr>
        <w:t>pour</w:t>
      </w:r>
      <w:r>
        <w:rPr>
          <w:color w:val="231F20"/>
          <w:spacing w:val="-2"/>
          <w:w w:val="120"/>
          <w:sz w:val="17"/>
        </w:rPr>
        <w:t> </w:t>
      </w:r>
      <w:r>
        <w:rPr>
          <w:color w:val="231F20"/>
          <w:w w:val="120"/>
          <w:sz w:val="17"/>
        </w:rPr>
        <w:t>terminer</w:t>
      </w:r>
      <w:r>
        <w:rPr>
          <w:color w:val="231F20"/>
          <w:spacing w:val="-2"/>
          <w:w w:val="120"/>
          <w:sz w:val="17"/>
        </w:rPr>
        <w:t> </w:t>
      </w:r>
      <w:r>
        <w:rPr>
          <w:color w:val="231F20"/>
          <w:w w:val="120"/>
          <w:sz w:val="17"/>
        </w:rPr>
        <w:t>un travail</w:t>
      </w:r>
      <w:r>
        <w:rPr>
          <w:color w:val="231F20"/>
          <w:spacing w:val="-15"/>
          <w:w w:val="120"/>
          <w:sz w:val="17"/>
        </w:rPr>
        <w:t> </w:t>
      </w:r>
      <w:r>
        <w:rPr>
          <w:color w:val="231F20"/>
          <w:w w:val="120"/>
          <w:sz w:val="17"/>
        </w:rPr>
        <w:t>important,</w:t>
      </w:r>
      <w:r>
        <w:rPr>
          <w:color w:val="231F20"/>
          <w:spacing w:val="-13"/>
          <w:w w:val="120"/>
          <w:sz w:val="17"/>
        </w:rPr>
        <w:t> </w:t>
      </w:r>
      <w:r>
        <w:rPr>
          <w:color w:val="231F20"/>
          <w:w w:val="120"/>
          <w:sz w:val="17"/>
        </w:rPr>
        <w:t>l’un</w:t>
      </w:r>
      <w:r>
        <w:rPr>
          <w:color w:val="231F20"/>
          <w:spacing w:val="-13"/>
          <w:w w:val="120"/>
          <w:sz w:val="17"/>
        </w:rPr>
        <w:t> </w:t>
      </w:r>
      <w:r>
        <w:rPr>
          <w:color w:val="231F20"/>
          <w:w w:val="120"/>
          <w:sz w:val="17"/>
        </w:rPr>
        <w:t>peut</w:t>
      </w:r>
      <w:r>
        <w:rPr>
          <w:color w:val="231F20"/>
          <w:spacing w:val="-12"/>
          <w:w w:val="120"/>
          <w:sz w:val="17"/>
        </w:rPr>
        <w:t> </w:t>
      </w:r>
      <w:r>
        <w:rPr>
          <w:color w:val="231F20"/>
          <w:w w:val="120"/>
          <w:sz w:val="17"/>
        </w:rPr>
        <w:t>percevoir</w:t>
      </w:r>
      <w:r>
        <w:rPr>
          <w:color w:val="231F20"/>
          <w:spacing w:val="-13"/>
          <w:w w:val="120"/>
          <w:sz w:val="17"/>
        </w:rPr>
        <w:t> </w:t>
      </w:r>
      <w:r>
        <w:rPr>
          <w:color w:val="231F20"/>
          <w:w w:val="120"/>
          <w:sz w:val="17"/>
        </w:rPr>
        <w:t>cette</w:t>
      </w:r>
      <w:r>
        <w:rPr>
          <w:color w:val="231F20"/>
          <w:spacing w:val="-13"/>
          <w:w w:val="120"/>
          <w:sz w:val="17"/>
        </w:rPr>
        <w:t> </w:t>
      </w:r>
      <w:r>
        <w:rPr>
          <w:color w:val="231F20"/>
          <w:w w:val="120"/>
          <w:sz w:val="17"/>
        </w:rPr>
        <w:t>demande</w:t>
      </w:r>
      <w:r>
        <w:rPr>
          <w:color w:val="231F20"/>
          <w:spacing w:val="-13"/>
          <w:w w:val="120"/>
          <w:sz w:val="17"/>
        </w:rPr>
        <w:t> </w:t>
      </w:r>
      <w:r>
        <w:rPr>
          <w:color w:val="231F20"/>
          <w:w w:val="120"/>
          <w:sz w:val="17"/>
        </w:rPr>
        <w:t>comme</w:t>
      </w:r>
      <w:r>
        <w:rPr>
          <w:color w:val="231F20"/>
          <w:spacing w:val="-12"/>
          <w:w w:val="120"/>
          <w:sz w:val="17"/>
        </w:rPr>
        <w:t> </w:t>
      </w:r>
      <w:r>
        <w:rPr>
          <w:color w:val="231F20"/>
          <w:w w:val="120"/>
          <w:sz w:val="17"/>
        </w:rPr>
        <w:t>étant stressante alors qu’elle n’a pas d’effet sur l’autre. Le stress peut aussi</w:t>
      </w:r>
      <w:r>
        <w:rPr>
          <w:color w:val="231F20"/>
          <w:spacing w:val="-10"/>
          <w:w w:val="120"/>
          <w:sz w:val="17"/>
        </w:rPr>
        <w:t> </w:t>
      </w:r>
      <w:r>
        <w:rPr>
          <w:color w:val="231F20"/>
          <w:w w:val="120"/>
          <w:sz w:val="17"/>
        </w:rPr>
        <w:t>bien</w:t>
      </w:r>
      <w:r>
        <w:rPr>
          <w:color w:val="231F20"/>
          <w:spacing w:val="-10"/>
          <w:w w:val="120"/>
          <w:sz w:val="17"/>
        </w:rPr>
        <w:t> </w:t>
      </w:r>
      <w:r>
        <w:rPr>
          <w:color w:val="231F20"/>
          <w:w w:val="120"/>
          <w:sz w:val="17"/>
        </w:rPr>
        <w:t>être</w:t>
      </w:r>
      <w:r>
        <w:rPr>
          <w:color w:val="231F20"/>
          <w:spacing w:val="-10"/>
          <w:w w:val="120"/>
          <w:sz w:val="17"/>
        </w:rPr>
        <w:t> </w:t>
      </w:r>
      <w:r>
        <w:rPr>
          <w:color w:val="231F20"/>
          <w:w w:val="120"/>
          <w:sz w:val="17"/>
        </w:rPr>
        <w:t>occasionné</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un</w:t>
      </w:r>
      <w:r>
        <w:rPr>
          <w:color w:val="231F20"/>
          <w:spacing w:val="-10"/>
          <w:w w:val="120"/>
          <w:sz w:val="17"/>
        </w:rPr>
        <w:t> </w:t>
      </w:r>
      <w:r>
        <w:rPr>
          <w:color w:val="231F20"/>
          <w:w w:val="120"/>
          <w:sz w:val="17"/>
        </w:rPr>
        <w:t>seul</w:t>
      </w:r>
      <w:r>
        <w:rPr>
          <w:color w:val="231F20"/>
          <w:spacing w:val="-10"/>
          <w:w w:val="120"/>
          <w:sz w:val="17"/>
        </w:rPr>
        <w:t> </w:t>
      </w:r>
      <w:r>
        <w:rPr>
          <w:color w:val="231F20"/>
          <w:w w:val="120"/>
          <w:sz w:val="17"/>
        </w:rPr>
        <w:t>agent</w:t>
      </w:r>
      <w:r>
        <w:rPr>
          <w:color w:val="231F20"/>
          <w:spacing w:val="-10"/>
          <w:w w:val="120"/>
          <w:sz w:val="17"/>
        </w:rPr>
        <w:t> </w:t>
      </w:r>
      <w:r>
        <w:rPr>
          <w:color w:val="231F20"/>
          <w:w w:val="120"/>
          <w:sz w:val="17"/>
        </w:rPr>
        <w:t>stressant</w:t>
      </w:r>
      <w:r>
        <w:rPr>
          <w:color w:val="231F20"/>
          <w:spacing w:val="-10"/>
          <w:w w:val="120"/>
          <w:sz w:val="17"/>
        </w:rPr>
        <w:t> </w:t>
      </w:r>
      <w:r>
        <w:rPr>
          <w:color w:val="231F20"/>
          <w:w w:val="120"/>
          <w:sz w:val="17"/>
        </w:rPr>
        <w:t>que</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une combinaison de demandes associées au milieu de travail.</w:t>
      </w:r>
    </w:p>
    <w:p>
      <w:pPr>
        <w:pStyle w:val="BodyText"/>
        <w:rPr>
          <w:sz w:val="20"/>
        </w:rPr>
      </w:pPr>
    </w:p>
    <w:p>
      <w:pPr>
        <w:pStyle w:val="BodyText"/>
        <w:rPr>
          <w:sz w:val="21"/>
        </w:rPr>
      </w:pPr>
      <w:r>
        <w:rPr/>
        <w:pict>
          <v:shape style="position:absolute;margin-left:82pt;margin-top:13.291843pt;width:287.5pt;height:.1pt;mso-position-horizontal-relative:page;mso-position-vertical-relative:paragraph;z-index:-15693312;mso-wrap-distance-left:0;mso-wrap-distance-right:0" id="docshape521" coordorigin="1640,266" coordsize="5750,0" path="m1640,266l7390,266e" filled="false" stroked="true" strokeweight=".25pt" strokecolor="#231f20">
            <v:path arrowok="t"/>
            <v:stroke dashstyle="shortdot"/>
            <w10:wrap type="topAndBottom"/>
          </v:shape>
        </w:pict>
      </w:r>
    </w:p>
    <w:p>
      <w:pPr>
        <w:pStyle w:val="ListParagraph"/>
        <w:numPr>
          <w:ilvl w:val="0"/>
          <w:numId w:val="18"/>
        </w:numPr>
        <w:tabs>
          <w:tab w:pos="900" w:val="left" w:leader="none"/>
        </w:tabs>
        <w:spacing w:line="295" w:lineRule="auto" w:before="135" w:after="0"/>
        <w:ind w:left="899" w:right="108" w:hanging="406"/>
        <w:jc w:val="both"/>
        <w:rPr>
          <w:rFonts w:ascii="Arial" w:hAnsi="Arial"/>
          <w:sz w:val="12"/>
        </w:rPr>
      </w:pPr>
      <w:r>
        <w:rPr>
          <w:rFonts w:ascii="Arial" w:hAnsi="Arial"/>
          <w:color w:val="231F20"/>
          <w:sz w:val="12"/>
        </w:rPr>
        <w:t>Dolan,</w:t>
      </w:r>
      <w:r>
        <w:rPr>
          <w:rFonts w:ascii="Arial" w:hAnsi="Arial"/>
          <w:color w:val="231F20"/>
          <w:spacing w:val="-5"/>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L.</w:t>
      </w:r>
      <w:r>
        <w:rPr>
          <w:rFonts w:ascii="Arial" w:hAnsi="Arial"/>
          <w:color w:val="231F20"/>
          <w:spacing w:val="-5"/>
          <w:sz w:val="12"/>
        </w:rPr>
        <w:t> </w:t>
      </w:r>
      <w:r>
        <w:rPr>
          <w:rFonts w:ascii="Arial" w:hAnsi="Arial"/>
          <w:color w:val="231F20"/>
          <w:sz w:val="12"/>
        </w:rPr>
        <w:t>et</w:t>
      </w:r>
      <w:r>
        <w:rPr>
          <w:rFonts w:ascii="Arial" w:hAnsi="Arial"/>
          <w:color w:val="231F20"/>
          <w:spacing w:val="-5"/>
          <w:sz w:val="12"/>
        </w:rPr>
        <w:t> </w:t>
      </w:r>
      <w:r>
        <w:rPr>
          <w:rFonts w:ascii="Arial" w:hAnsi="Arial"/>
          <w:color w:val="231F20"/>
          <w:sz w:val="12"/>
        </w:rPr>
        <w:t>Arsenault,</w:t>
      </w:r>
      <w:r>
        <w:rPr>
          <w:rFonts w:ascii="Arial" w:hAnsi="Arial"/>
          <w:color w:val="231F20"/>
          <w:spacing w:val="-5"/>
          <w:sz w:val="12"/>
        </w:rPr>
        <w:t> </w:t>
      </w:r>
      <w:r>
        <w:rPr>
          <w:rFonts w:ascii="Arial" w:hAnsi="Arial"/>
          <w:color w:val="231F20"/>
          <w:sz w:val="12"/>
        </w:rPr>
        <w:t>A.</w:t>
      </w:r>
      <w:r>
        <w:rPr>
          <w:rFonts w:ascii="Arial" w:hAnsi="Arial"/>
          <w:color w:val="231F20"/>
          <w:spacing w:val="-5"/>
          <w:sz w:val="12"/>
        </w:rPr>
        <w:t> </w:t>
      </w:r>
      <w:r>
        <w:rPr>
          <w:rFonts w:ascii="Arial" w:hAnsi="Arial"/>
          <w:color w:val="231F20"/>
          <w:sz w:val="12"/>
        </w:rPr>
        <w:t>(1979).</w:t>
      </w:r>
      <w:r>
        <w:rPr>
          <w:rFonts w:ascii="Arial" w:hAnsi="Arial"/>
          <w:color w:val="231F20"/>
          <w:spacing w:val="-5"/>
          <w:sz w:val="12"/>
        </w:rPr>
        <w:t> </w:t>
      </w:r>
      <w:r>
        <w:rPr>
          <w:rFonts w:ascii="Arial" w:hAnsi="Arial"/>
          <w:color w:val="231F20"/>
          <w:sz w:val="12"/>
        </w:rPr>
        <w:t>The</w:t>
      </w:r>
      <w:r>
        <w:rPr>
          <w:rFonts w:ascii="Arial" w:hAnsi="Arial"/>
          <w:color w:val="231F20"/>
          <w:spacing w:val="-5"/>
          <w:sz w:val="12"/>
        </w:rPr>
        <w:t> </w:t>
      </w:r>
      <w:r>
        <w:rPr>
          <w:rFonts w:ascii="Arial" w:hAnsi="Arial"/>
          <w:color w:val="231F20"/>
          <w:sz w:val="12"/>
        </w:rPr>
        <w:t>organisational</w:t>
      </w:r>
      <w:r>
        <w:rPr>
          <w:rFonts w:ascii="Arial" w:hAnsi="Arial"/>
          <w:color w:val="231F20"/>
          <w:spacing w:val="-5"/>
          <w:sz w:val="12"/>
        </w:rPr>
        <w:t> </w:t>
      </w:r>
      <w:r>
        <w:rPr>
          <w:rFonts w:ascii="Arial" w:hAnsi="Arial"/>
          <w:color w:val="231F20"/>
          <w:sz w:val="12"/>
        </w:rPr>
        <w:t>and</w:t>
      </w:r>
      <w:r>
        <w:rPr>
          <w:rFonts w:ascii="Arial" w:hAnsi="Arial"/>
          <w:color w:val="231F20"/>
          <w:spacing w:val="-5"/>
          <w:sz w:val="12"/>
        </w:rPr>
        <w:t> </w:t>
      </w:r>
      <w:r>
        <w:rPr>
          <w:rFonts w:ascii="Arial" w:hAnsi="Arial"/>
          <w:color w:val="231F20"/>
          <w:sz w:val="12"/>
        </w:rPr>
        <w:t>individual</w:t>
      </w:r>
      <w:r>
        <w:rPr>
          <w:rFonts w:ascii="Arial" w:hAnsi="Arial"/>
          <w:color w:val="231F20"/>
          <w:spacing w:val="-5"/>
          <w:sz w:val="12"/>
        </w:rPr>
        <w:t> </w:t>
      </w:r>
      <w:r>
        <w:rPr>
          <w:rFonts w:ascii="Arial" w:hAnsi="Arial"/>
          <w:color w:val="231F20"/>
          <w:sz w:val="12"/>
        </w:rPr>
        <w:t>consequences</w:t>
      </w:r>
      <w:r>
        <w:rPr>
          <w:rFonts w:ascii="Arial" w:hAnsi="Arial"/>
          <w:color w:val="231F20"/>
          <w:spacing w:val="-5"/>
          <w:sz w:val="12"/>
        </w:rPr>
        <w:t> </w:t>
      </w:r>
      <w:r>
        <w:rPr>
          <w:rFonts w:ascii="Arial" w:hAnsi="Arial"/>
          <w:color w:val="231F20"/>
          <w:sz w:val="12"/>
        </w:rPr>
        <w:t>of</w:t>
      </w:r>
      <w:r>
        <w:rPr>
          <w:rFonts w:ascii="Arial" w:hAnsi="Arial"/>
          <w:color w:val="231F20"/>
          <w:spacing w:val="-5"/>
          <w:sz w:val="12"/>
        </w:rPr>
        <w:t> </w:t>
      </w:r>
      <w:r>
        <w:rPr>
          <w:rFonts w:ascii="Arial" w:hAnsi="Arial"/>
          <w:color w:val="231F20"/>
          <w:sz w:val="12"/>
        </w:rPr>
        <w:t>stress</w:t>
      </w:r>
      <w:r>
        <w:rPr>
          <w:rFonts w:ascii="Arial" w:hAnsi="Arial"/>
          <w:color w:val="231F20"/>
          <w:spacing w:val="-5"/>
          <w:sz w:val="12"/>
        </w:rPr>
        <w:t> </w:t>
      </w:r>
      <w:r>
        <w:rPr>
          <w:rFonts w:ascii="Arial" w:hAnsi="Arial"/>
          <w:color w:val="231F20"/>
          <w:sz w:val="12"/>
        </w:rPr>
        <w:t>at</w:t>
      </w:r>
      <w:r>
        <w:rPr>
          <w:rFonts w:ascii="Arial" w:hAnsi="Arial"/>
          <w:color w:val="231F20"/>
          <w:spacing w:val="-5"/>
          <w:sz w:val="12"/>
        </w:rPr>
        <w:t> </w:t>
      </w:r>
      <w:r>
        <w:rPr>
          <w:rFonts w:ascii="Arial" w:hAnsi="Arial"/>
          <w:color w:val="231F20"/>
          <w:sz w:val="12"/>
        </w:rPr>
        <w:t>work:</w:t>
      </w:r>
      <w:r>
        <w:rPr>
          <w:rFonts w:ascii="Arial" w:hAnsi="Arial"/>
          <w:color w:val="231F20"/>
          <w:spacing w:val="-5"/>
          <w:sz w:val="12"/>
        </w:rPr>
        <w:t> </w:t>
      </w:r>
      <w:r>
        <w:rPr>
          <w:rFonts w:ascii="Arial" w:hAnsi="Arial"/>
          <w:color w:val="231F20"/>
          <w:sz w:val="12"/>
        </w:rPr>
        <w:t>A</w:t>
      </w:r>
      <w:r>
        <w:rPr>
          <w:rFonts w:ascii="Arial" w:hAnsi="Arial"/>
          <w:color w:val="231F20"/>
          <w:spacing w:val="-5"/>
          <w:sz w:val="12"/>
        </w:rPr>
        <w:t> </w:t>
      </w:r>
      <w:r>
        <w:rPr>
          <w:rFonts w:ascii="Arial" w:hAnsi="Arial"/>
          <w:color w:val="231F20"/>
          <w:sz w:val="12"/>
        </w:rPr>
        <w:t>new</w:t>
      </w:r>
      <w:r>
        <w:rPr>
          <w:rFonts w:ascii="Arial" w:hAnsi="Arial"/>
          <w:color w:val="231F20"/>
          <w:spacing w:val="40"/>
          <w:sz w:val="12"/>
        </w:rPr>
        <w:t> </w:t>
      </w:r>
      <w:r>
        <w:rPr>
          <w:rFonts w:ascii="Arial" w:hAnsi="Arial"/>
          <w:color w:val="231F20"/>
          <w:spacing w:val="-2"/>
          <w:sz w:val="12"/>
        </w:rPr>
        <w:t>frontier</w:t>
      </w:r>
      <w:r>
        <w:rPr>
          <w:rFonts w:ascii="Arial" w:hAnsi="Arial"/>
          <w:color w:val="231F20"/>
          <w:spacing w:val="-4"/>
          <w:sz w:val="12"/>
        </w:rPr>
        <w:t> </w:t>
      </w:r>
      <w:r>
        <w:rPr>
          <w:rFonts w:ascii="Arial" w:hAnsi="Arial"/>
          <w:color w:val="231F20"/>
          <w:spacing w:val="-2"/>
          <w:sz w:val="12"/>
        </w:rPr>
        <w:t>to</w:t>
      </w:r>
      <w:r>
        <w:rPr>
          <w:rFonts w:ascii="Arial" w:hAnsi="Arial"/>
          <w:color w:val="231F20"/>
          <w:spacing w:val="-4"/>
          <w:sz w:val="12"/>
        </w:rPr>
        <w:t> </w:t>
      </w:r>
      <w:r>
        <w:rPr>
          <w:rFonts w:ascii="Arial" w:hAnsi="Arial"/>
          <w:color w:val="231F20"/>
          <w:spacing w:val="-2"/>
          <w:sz w:val="12"/>
        </w:rPr>
        <w:t>human</w:t>
      </w:r>
      <w:r>
        <w:rPr>
          <w:rFonts w:ascii="Arial" w:hAnsi="Arial"/>
          <w:color w:val="231F20"/>
          <w:spacing w:val="-4"/>
          <w:sz w:val="12"/>
        </w:rPr>
        <w:t> </w:t>
      </w:r>
      <w:r>
        <w:rPr>
          <w:rFonts w:ascii="Arial" w:hAnsi="Arial"/>
          <w:color w:val="231F20"/>
          <w:spacing w:val="-2"/>
          <w:sz w:val="12"/>
        </w:rPr>
        <w:t>resource</w:t>
      </w:r>
      <w:r>
        <w:rPr>
          <w:rFonts w:ascii="Arial" w:hAnsi="Arial"/>
          <w:color w:val="231F20"/>
          <w:spacing w:val="-4"/>
          <w:sz w:val="12"/>
        </w:rPr>
        <w:t> </w:t>
      </w:r>
      <w:r>
        <w:rPr>
          <w:rFonts w:ascii="Arial" w:hAnsi="Arial"/>
          <w:color w:val="231F20"/>
          <w:spacing w:val="-2"/>
          <w:sz w:val="12"/>
        </w:rPr>
        <w:t>administration.</w:t>
      </w:r>
      <w:r>
        <w:rPr>
          <w:rFonts w:ascii="Arial" w:hAnsi="Arial"/>
          <w:color w:val="231F20"/>
          <w:spacing w:val="-4"/>
          <w:sz w:val="12"/>
        </w:rPr>
        <w:t> </w:t>
      </w:r>
      <w:r>
        <w:rPr>
          <w:rFonts w:ascii="Arial" w:hAnsi="Arial"/>
          <w:color w:val="231F20"/>
          <w:spacing w:val="-2"/>
          <w:sz w:val="12"/>
        </w:rPr>
        <w:t>Dans</w:t>
      </w:r>
      <w:r>
        <w:rPr>
          <w:rFonts w:ascii="Arial" w:hAnsi="Arial"/>
          <w:color w:val="231F20"/>
          <w:spacing w:val="-4"/>
          <w:sz w:val="12"/>
        </w:rPr>
        <w:t> </w:t>
      </w:r>
      <w:r>
        <w:rPr>
          <w:rFonts w:ascii="Arial" w:hAnsi="Arial"/>
          <w:color w:val="231F20"/>
          <w:spacing w:val="-2"/>
          <w:sz w:val="12"/>
        </w:rPr>
        <w:t>V.</w:t>
      </w:r>
      <w:r>
        <w:rPr>
          <w:rFonts w:ascii="Arial" w:hAnsi="Arial"/>
          <w:color w:val="231F20"/>
          <w:spacing w:val="-4"/>
          <w:sz w:val="12"/>
        </w:rPr>
        <w:t> </w:t>
      </w:r>
      <w:r>
        <w:rPr>
          <w:rFonts w:ascii="Arial" w:hAnsi="Arial"/>
          <w:color w:val="231F20"/>
          <w:spacing w:val="-2"/>
          <w:sz w:val="12"/>
        </w:rPr>
        <w:t>V.</w:t>
      </w:r>
      <w:r>
        <w:rPr>
          <w:rFonts w:ascii="Arial" w:hAnsi="Arial"/>
          <w:color w:val="231F20"/>
          <w:spacing w:val="-4"/>
          <w:sz w:val="12"/>
        </w:rPr>
        <w:t> </w:t>
      </w:r>
      <w:r>
        <w:rPr>
          <w:rFonts w:ascii="Arial" w:hAnsi="Arial"/>
          <w:color w:val="231F20"/>
          <w:spacing w:val="-2"/>
          <w:sz w:val="12"/>
        </w:rPr>
        <w:t>Veysey</w:t>
      </w:r>
      <w:r>
        <w:rPr>
          <w:rFonts w:ascii="Arial" w:hAnsi="Arial"/>
          <w:color w:val="231F20"/>
          <w:spacing w:val="-4"/>
          <w:sz w:val="12"/>
        </w:rPr>
        <w:t> </w:t>
      </w:r>
      <w:r>
        <w:rPr>
          <w:rFonts w:ascii="Arial" w:hAnsi="Arial"/>
          <w:color w:val="231F20"/>
          <w:spacing w:val="-2"/>
          <w:sz w:val="12"/>
        </w:rPr>
        <w:t>et</w:t>
      </w:r>
      <w:r>
        <w:rPr>
          <w:rFonts w:ascii="Arial" w:hAnsi="Arial"/>
          <w:color w:val="231F20"/>
          <w:spacing w:val="-4"/>
          <w:sz w:val="12"/>
        </w:rPr>
        <w:t> </w:t>
      </w:r>
      <w:r>
        <w:rPr>
          <w:rFonts w:ascii="Arial" w:hAnsi="Arial"/>
          <w:color w:val="231F20"/>
          <w:spacing w:val="-2"/>
          <w:sz w:val="12"/>
        </w:rPr>
        <w:t>G.</w:t>
      </w:r>
      <w:r>
        <w:rPr>
          <w:rFonts w:ascii="Arial" w:hAnsi="Arial"/>
          <w:color w:val="231F20"/>
          <w:spacing w:val="-4"/>
          <w:sz w:val="12"/>
        </w:rPr>
        <w:t> </w:t>
      </w:r>
      <w:r>
        <w:rPr>
          <w:rFonts w:ascii="Arial" w:hAnsi="Arial"/>
          <w:color w:val="231F20"/>
          <w:spacing w:val="-2"/>
          <w:sz w:val="12"/>
        </w:rPr>
        <w:t>A.</w:t>
      </w:r>
      <w:r>
        <w:rPr>
          <w:rFonts w:ascii="Arial" w:hAnsi="Arial"/>
          <w:color w:val="231F20"/>
          <w:spacing w:val="-4"/>
          <w:sz w:val="12"/>
        </w:rPr>
        <w:t> </w:t>
      </w:r>
      <w:r>
        <w:rPr>
          <w:rFonts w:ascii="Arial" w:hAnsi="Arial"/>
          <w:color w:val="231F20"/>
          <w:spacing w:val="-2"/>
          <w:sz w:val="12"/>
        </w:rPr>
        <w:t>Hall</w:t>
      </w:r>
      <w:r>
        <w:rPr>
          <w:rFonts w:ascii="Arial" w:hAnsi="Arial"/>
          <w:color w:val="231F20"/>
          <w:spacing w:val="-4"/>
          <w:sz w:val="12"/>
        </w:rPr>
        <w:t> </w:t>
      </w:r>
      <w:r>
        <w:rPr>
          <w:rFonts w:ascii="Arial" w:hAnsi="Arial"/>
          <w:color w:val="231F20"/>
          <w:spacing w:val="-2"/>
          <w:sz w:val="12"/>
        </w:rPr>
        <w:t>Jr.</w:t>
      </w:r>
      <w:r>
        <w:rPr>
          <w:rFonts w:ascii="Arial" w:hAnsi="Arial"/>
          <w:color w:val="231F20"/>
          <w:spacing w:val="-4"/>
          <w:sz w:val="12"/>
        </w:rPr>
        <w:t> </w:t>
      </w:r>
      <w:r>
        <w:rPr>
          <w:rFonts w:ascii="Arial" w:hAnsi="Arial"/>
          <w:color w:val="231F20"/>
          <w:spacing w:val="-2"/>
          <w:sz w:val="12"/>
        </w:rPr>
        <w:t>(dir.),</w:t>
      </w:r>
      <w:r>
        <w:rPr>
          <w:rFonts w:ascii="Arial" w:hAnsi="Arial"/>
          <w:color w:val="231F20"/>
          <w:spacing w:val="-4"/>
          <w:sz w:val="12"/>
        </w:rPr>
        <w:t> </w:t>
      </w:r>
      <w:r>
        <w:rPr>
          <w:rFonts w:ascii="Arial" w:hAnsi="Arial"/>
          <w:i/>
          <w:color w:val="231F20"/>
          <w:spacing w:val="-2"/>
          <w:sz w:val="12"/>
        </w:rPr>
        <w:t>The</w:t>
      </w:r>
      <w:r>
        <w:rPr>
          <w:rFonts w:ascii="Arial" w:hAnsi="Arial"/>
          <w:i/>
          <w:color w:val="231F20"/>
          <w:spacing w:val="-4"/>
          <w:sz w:val="12"/>
        </w:rPr>
        <w:t> </w:t>
      </w:r>
      <w:r>
        <w:rPr>
          <w:rFonts w:ascii="Arial" w:hAnsi="Arial"/>
          <w:i/>
          <w:color w:val="231F20"/>
          <w:spacing w:val="-2"/>
          <w:sz w:val="12"/>
        </w:rPr>
        <w:t>New</w:t>
      </w:r>
      <w:r>
        <w:rPr>
          <w:rFonts w:ascii="Arial" w:hAnsi="Arial"/>
          <w:i/>
          <w:color w:val="231F20"/>
          <w:spacing w:val="-4"/>
          <w:sz w:val="12"/>
        </w:rPr>
        <w:t> </w:t>
      </w:r>
      <w:r>
        <w:rPr>
          <w:rFonts w:ascii="Arial" w:hAnsi="Arial"/>
          <w:i/>
          <w:color w:val="231F20"/>
          <w:spacing w:val="-2"/>
          <w:sz w:val="12"/>
        </w:rPr>
        <w:t>World</w:t>
      </w:r>
      <w:r>
        <w:rPr>
          <w:rFonts w:ascii="Arial" w:hAnsi="Arial"/>
          <w:i/>
          <w:color w:val="231F20"/>
          <w:spacing w:val="-4"/>
          <w:sz w:val="12"/>
        </w:rPr>
        <w:t> </w:t>
      </w:r>
      <w:r>
        <w:rPr>
          <w:rFonts w:ascii="Arial" w:hAnsi="Arial"/>
          <w:i/>
          <w:color w:val="231F20"/>
          <w:spacing w:val="-2"/>
          <w:sz w:val="12"/>
        </w:rPr>
        <w:t>of</w:t>
      </w:r>
      <w:r>
        <w:rPr>
          <w:rFonts w:ascii="Arial" w:hAnsi="Arial"/>
          <w:i/>
          <w:color w:val="231F20"/>
          <w:spacing w:val="-4"/>
          <w:sz w:val="12"/>
        </w:rPr>
        <w:t> </w:t>
      </w:r>
      <w:r>
        <w:rPr>
          <w:rFonts w:ascii="Arial" w:hAnsi="Arial"/>
          <w:i/>
          <w:color w:val="231F20"/>
          <w:spacing w:val="-2"/>
          <w:sz w:val="12"/>
        </w:rPr>
        <w:t>Managing</w:t>
      </w:r>
      <w:r>
        <w:rPr>
          <w:rFonts w:ascii="Arial" w:hAnsi="Arial"/>
          <w:i/>
          <w:color w:val="231F20"/>
          <w:spacing w:val="40"/>
          <w:sz w:val="12"/>
        </w:rPr>
        <w:t> </w:t>
      </w:r>
      <w:r>
        <w:rPr>
          <w:rFonts w:ascii="Arial" w:hAnsi="Arial"/>
          <w:i/>
          <w:color w:val="231F20"/>
          <w:sz w:val="12"/>
        </w:rPr>
        <w:t>Human</w:t>
      </w:r>
      <w:r>
        <w:rPr>
          <w:rFonts w:ascii="Arial" w:hAnsi="Arial"/>
          <w:i/>
          <w:color w:val="231F20"/>
          <w:spacing w:val="-6"/>
          <w:sz w:val="12"/>
        </w:rPr>
        <w:t> </w:t>
      </w:r>
      <w:r>
        <w:rPr>
          <w:rFonts w:ascii="Arial" w:hAnsi="Arial"/>
          <w:i/>
          <w:color w:val="231F20"/>
          <w:sz w:val="12"/>
        </w:rPr>
        <w:t>Resources</w:t>
      </w:r>
      <w:r>
        <w:rPr>
          <w:rFonts w:ascii="Arial" w:hAnsi="Arial"/>
          <w:color w:val="231F20"/>
          <w:sz w:val="12"/>
        </w:rPr>
        <w:t>,</w:t>
      </w:r>
      <w:r>
        <w:rPr>
          <w:rFonts w:ascii="Arial" w:hAnsi="Arial"/>
          <w:color w:val="231F20"/>
          <w:spacing w:val="-6"/>
          <w:sz w:val="12"/>
        </w:rPr>
        <w:t> </w:t>
      </w:r>
      <w:r>
        <w:rPr>
          <w:rFonts w:ascii="Arial" w:hAnsi="Arial"/>
          <w:color w:val="231F20"/>
          <w:sz w:val="12"/>
        </w:rPr>
        <w:t>Pasadena,</w:t>
      </w:r>
      <w:r>
        <w:rPr>
          <w:rFonts w:ascii="Arial" w:hAnsi="Arial"/>
          <w:color w:val="231F20"/>
          <w:spacing w:val="-6"/>
          <w:sz w:val="12"/>
        </w:rPr>
        <w:t> </w:t>
      </w:r>
      <w:r>
        <w:rPr>
          <w:rFonts w:ascii="Arial" w:hAnsi="Arial"/>
          <w:color w:val="231F20"/>
          <w:sz w:val="12"/>
        </w:rPr>
        <w:t>California</w:t>
      </w:r>
      <w:r>
        <w:rPr>
          <w:rFonts w:ascii="Arial" w:hAnsi="Arial"/>
          <w:color w:val="231F20"/>
          <w:spacing w:val="-6"/>
          <w:sz w:val="12"/>
        </w:rPr>
        <w:t> </w:t>
      </w:r>
      <w:r>
        <w:rPr>
          <w:rFonts w:ascii="Arial" w:hAnsi="Arial"/>
          <w:color w:val="231F20"/>
          <w:sz w:val="12"/>
        </w:rPr>
        <w:t>Institute</w:t>
      </w:r>
      <w:r>
        <w:rPr>
          <w:rFonts w:ascii="Arial" w:hAnsi="Arial"/>
          <w:color w:val="231F20"/>
          <w:spacing w:val="-6"/>
          <w:sz w:val="12"/>
        </w:rPr>
        <w:t> </w:t>
      </w:r>
      <w:r>
        <w:rPr>
          <w:rFonts w:ascii="Arial" w:hAnsi="Arial"/>
          <w:color w:val="231F20"/>
          <w:sz w:val="12"/>
        </w:rPr>
        <w:t>of</w:t>
      </w:r>
      <w:r>
        <w:rPr>
          <w:rFonts w:ascii="Arial" w:hAnsi="Arial"/>
          <w:color w:val="231F20"/>
          <w:spacing w:val="-6"/>
          <w:sz w:val="12"/>
        </w:rPr>
        <w:t> </w:t>
      </w:r>
      <w:r>
        <w:rPr>
          <w:rFonts w:ascii="Arial" w:hAnsi="Arial"/>
          <w:color w:val="231F20"/>
          <w:sz w:val="12"/>
        </w:rPr>
        <w:t>Technology;</w:t>
      </w:r>
      <w:r>
        <w:rPr>
          <w:rFonts w:ascii="Arial" w:hAnsi="Arial"/>
          <w:color w:val="231F20"/>
          <w:spacing w:val="-6"/>
          <w:sz w:val="12"/>
        </w:rPr>
        <w:t> </w:t>
      </w:r>
      <w:r>
        <w:rPr>
          <w:rFonts w:ascii="Arial" w:hAnsi="Arial"/>
          <w:color w:val="231F20"/>
          <w:sz w:val="12"/>
        </w:rPr>
        <w:t>Dolan,</w:t>
      </w:r>
      <w:r>
        <w:rPr>
          <w:rFonts w:ascii="Arial" w:hAnsi="Arial"/>
          <w:color w:val="231F20"/>
          <w:spacing w:val="-6"/>
          <w:sz w:val="12"/>
        </w:rPr>
        <w:t> </w:t>
      </w:r>
      <w:r>
        <w:rPr>
          <w:rFonts w:ascii="Arial" w:hAnsi="Arial"/>
          <w:color w:val="231F20"/>
          <w:sz w:val="12"/>
        </w:rPr>
        <w:t>S.</w:t>
      </w:r>
      <w:r>
        <w:rPr>
          <w:rFonts w:ascii="Arial" w:hAnsi="Arial"/>
          <w:color w:val="231F20"/>
          <w:spacing w:val="-6"/>
          <w:sz w:val="12"/>
        </w:rPr>
        <w:t> </w:t>
      </w:r>
      <w:r>
        <w:rPr>
          <w:rFonts w:ascii="Arial" w:hAnsi="Arial"/>
          <w:color w:val="231F20"/>
          <w:sz w:val="12"/>
        </w:rPr>
        <w:t>L.</w:t>
      </w:r>
      <w:r>
        <w:rPr>
          <w:rFonts w:ascii="Arial" w:hAnsi="Arial"/>
          <w:color w:val="231F20"/>
          <w:spacing w:val="-6"/>
          <w:sz w:val="12"/>
        </w:rPr>
        <w:t> </w:t>
      </w:r>
      <w:r>
        <w:rPr>
          <w:rFonts w:ascii="Arial" w:hAnsi="Arial"/>
          <w:color w:val="231F20"/>
          <w:sz w:val="12"/>
        </w:rPr>
        <w:t>et</w:t>
      </w:r>
      <w:r>
        <w:rPr>
          <w:rFonts w:ascii="Arial" w:hAnsi="Arial"/>
          <w:color w:val="231F20"/>
          <w:spacing w:val="-6"/>
          <w:sz w:val="12"/>
        </w:rPr>
        <w:t> </w:t>
      </w:r>
      <w:r>
        <w:rPr>
          <w:rFonts w:ascii="Arial" w:hAnsi="Arial"/>
          <w:color w:val="231F20"/>
          <w:sz w:val="12"/>
        </w:rPr>
        <w:t>Arsenault,</w:t>
      </w:r>
      <w:r>
        <w:rPr>
          <w:rFonts w:ascii="Arial" w:hAnsi="Arial"/>
          <w:color w:val="231F20"/>
          <w:spacing w:val="-6"/>
          <w:sz w:val="12"/>
        </w:rPr>
        <w:t> </w:t>
      </w:r>
      <w:r>
        <w:rPr>
          <w:rFonts w:ascii="Arial" w:hAnsi="Arial"/>
          <w:color w:val="231F20"/>
          <w:sz w:val="12"/>
        </w:rPr>
        <w:t>A.</w:t>
      </w:r>
      <w:r>
        <w:rPr>
          <w:rFonts w:ascii="Arial" w:hAnsi="Arial"/>
          <w:color w:val="231F20"/>
          <w:spacing w:val="-6"/>
          <w:sz w:val="12"/>
        </w:rPr>
        <w:t> </w:t>
      </w:r>
      <w:r>
        <w:rPr>
          <w:rFonts w:ascii="Arial" w:hAnsi="Arial"/>
          <w:color w:val="231F20"/>
          <w:sz w:val="12"/>
        </w:rPr>
        <w:t>(1980).</w:t>
      </w:r>
      <w:r>
        <w:rPr>
          <w:rFonts w:ascii="Arial" w:hAnsi="Arial"/>
          <w:color w:val="231F20"/>
          <w:spacing w:val="-6"/>
          <w:sz w:val="12"/>
        </w:rPr>
        <w:t> </w:t>
      </w:r>
      <w:r>
        <w:rPr>
          <w:rFonts w:ascii="Arial" w:hAnsi="Arial"/>
          <w:i/>
          <w:color w:val="231F20"/>
          <w:sz w:val="12"/>
        </w:rPr>
        <w:t>Stress,</w:t>
      </w:r>
      <w:r>
        <w:rPr>
          <w:rFonts w:ascii="Arial" w:hAnsi="Arial"/>
          <w:i/>
          <w:color w:val="231F20"/>
          <w:spacing w:val="40"/>
          <w:sz w:val="12"/>
        </w:rPr>
        <w:t> </w:t>
      </w:r>
      <w:r>
        <w:rPr>
          <w:rFonts w:ascii="Arial" w:hAnsi="Arial"/>
          <w:i/>
          <w:color w:val="231F20"/>
          <w:sz w:val="12"/>
        </w:rPr>
        <w:t>santé</w:t>
      </w:r>
      <w:r>
        <w:rPr>
          <w:rFonts w:ascii="Arial" w:hAnsi="Arial"/>
          <w:i/>
          <w:color w:val="231F20"/>
          <w:spacing w:val="25"/>
          <w:sz w:val="12"/>
        </w:rPr>
        <w:t> </w:t>
      </w:r>
      <w:r>
        <w:rPr>
          <w:rFonts w:ascii="Arial" w:hAnsi="Arial"/>
          <w:i/>
          <w:color w:val="231F20"/>
          <w:sz w:val="12"/>
        </w:rPr>
        <w:t>et</w:t>
      </w:r>
      <w:r>
        <w:rPr>
          <w:rFonts w:ascii="Arial" w:hAnsi="Arial"/>
          <w:i/>
          <w:color w:val="231F20"/>
          <w:spacing w:val="25"/>
          <w:sz w:val="12"/>
        </w:rPr>
        <w:t> </w:t>
      </w:r>
      <w:r>
        <w:rPr>
          <w:rFonts w:ascii="Arial" w:hAnsi="Arial"/>
          <w:i/>
          <w:color w:val="231F20"/>
          <w:sz w:val="12"/>
        </w:rPr>
        <w:t>rendement</w:t>
      </w:r>
      <w:r>
        <w:rPr>
          <w:rFonts w:ascii="Arial" w:hAnsi="Arial"/>
          <w:i/>
          <w:color w:val="231F20"/>
          <w:spacing w:val="25"/>
          <w:sz w:val="12"/>
        </w:rPr>
        <w:t> </w:t>
      </w:r>
      <w:r>
        <w:rPr>
          <w:rFonts w:ascii="Arial" w:hAnsi="Arial"/>
          <w:i/>
          <w:color w:val="231F20"/>
          <w:sz w:val="12"/>
        </w:rPr>
        <w:t>au</w:t>
      </w:r>
      <w:r>
        <w:rPr>
          <w:rFonts w:ascii="Arial" w:hAnsi="Arial"/>
          <w:i/>
          <w:color w:val="231F20"/>
          <w:spacing w:val="25"/>
          <w:sz w:val="12"/>
        </w:rPr>
        <w:t> </w:t>
      </w:r>
      <w:r>
        <w:rPr>
          <w:rFonts w:ascii="Arial" w:hAnsi="Arial"/>
          <w:i/>
          <w:color w:val="231F20"/>
          <w:sz w:val="12"/>
        </w:rPr>
        <w:t>travail</w:t>
      </w:r>
      <w:r>
        <w:rPr>
          <w:rFonts w:ascii="Arial" w:hAnsi="Arial"/>
          <w:color w:val="231F20"/>
          <w:sz w:val="12"/>
        </w:rPr>
        <w:t>,</w:t>
      </w:r>
      <w:r>
        <w:rPr>
          <w:rFonts w:ascii="Arial" w:hAnsi="Arial"/>
          <w:color w:val="231F20"/>
          <w:spacing w:val="25"/>
          <w:sz w:val="12"/>
        </w:rPr>
        <w:t> </w:t>
      </w:r>
      <w:r>
        <w:rPr>
          <w:rFonts w:ascii="Arial" w:hAnsi="Arial"/>
          <w:color w:val="231F20"/>
          <w:sz w:val="12"/>
        </w:rPr>
        <w:t>Montréal,</w:t>
      </w:r>
      <w:r>
        <w:rPr>
          <w:rFonts w:ascii="Arial" w:hAnsi="Arial"/>
          <w:color w:val="231F20"/>
          <w:spacing w:val="25"/>
          <w:sz w:val="12"/>
        </w:rPr>
        <w:t> </w:t>
      </w:r>
      <w:r>
        <w:rPr>
          <w:rFonts w:ascii="Arial" w:hAnsi="Arial"/>
          <w:color w:val="231F20"/>
          <w:sz w:val="12"/>
        </w:rPr>
        <w:t>École</w:t>
      </w:r>
      <w:r>
        <w:rPr>
          <w:rFonts w:ascii="Arial" w:hAnsi="Arial"/>
          <w:color w:val="231F20"/>
          <w:spacing w:val="25"/>
          <w:sz w:val="12"/>
        </w:rPr>
        <w:t> </w:t>
      </w:r>
      <w:r>
        <w:rPr>
          <w:rFonts w:ascii="Arial" w:hAnsi="Arial"/>
          <w:color w:val="231F20"/>
          <w:sz w:val="12"/>
        </w:rPr>
        <w:t>de</w:t>
      </w:r>
      <w:r>
        <w:rPr>
          <w:rFonts w:ascii="Arial" w:hAnsi="Arial"/>
          <w:color w:val="231F20"/>
          <w:spacing w:val="25"/>
          <w:sz w:val="12"/>
        </w:rPr>
        <w:t> </w:t>
      </w:r>
      <w:r>
        <w:rPr>
          <w:rFonts w:ascii="Arial" w:hAnsi="Arial"/>
          <w:color w:val="231F20"/>
          <w:sz w:val="12"/>
        </w:rPr>
        <w:t>relations</w:t>
      </w:r>
      <w:r>
        <w:rPr>
          <w:rFonts w:ascii="Arial" w:hAnsi="Arial"/>
          <w:color w:val="231F20"/>
          <w:spacing w:val="25"/>
          <w:sz w:val="12"/>
        </w:rPr>
        <w:t> </w:t>
      </w:r>
      <w:r>
        <w:rPr>
          <w:rFonts w:ascii="Arial" w:hAnsi="Arial"/>
          <w:color w:val="231F20"/>
          <w:sz w:val="12"/>
        </w:rPr>
        <w:t>industrielles,</w:t>
      </w:r>
      <w:r>
        <w:rPr>
          <w:rFonts w:ascii="Arial" w:hAnsi="Arial"/>
          <w:color w:val="231F20"/>
          <w:spacing w:val="25"/>
          <w:sz w:val="12"/>
        </w:rPr>
        <w:t> </w:t>
      </w:r>
      <w:r>
        <w:rPr>
          <w:rFonts w:ascii="Arial" w:hAnsi="Arial"/>
          <w:color w:val="231F20"/>
          <w:sz w:val="12"/>
        </w:rPr>
        <w:t>monographie</w:t>
      </w:r>
      <w:r>
        <w:rPr>
          <w:rFonts w:ascii="Arial" w:hAnsi="Arial"/>
          <w:color w:val="231F20"/>
          <w:spacing w:val="25"/>
          <w:sz w:val="12"/>
        </w:rPr>
        <w:t> </w:t>
      </w:r>
      <w:r>
        <w:rPr>
          <w:rFonts w:ascii="Arial" w:hAnsi="Arial"/>
          <w:color w:val="231F20"/>
          <w:sz w:val="12"/>
        </w:rPr>
        <w:t>n</w:t>
      </w:r>
      <w:r>
        <w:rPr>
          <w:rFonts w:ascii="Arial" w:hAnsi="Arial"/>
          <w:color w:val="231F20"/>
          <w:position w:val="4"/>
          <w:sz w:val="7"/>
        </w:rPr>
        <w:t>o</w:t>
      </w:r>
      <w:r>
        <w:rPr>
          <w:rFonts w:ascii="Arial" w:hAnsi="Arial"/>
          <w:color w:val="231F20"/>
          <w:spacing w:val="36"/>
          <w:position w:val="4"/>
          <w:sz w:val="7"/>
        </w:rPr>
        <w:t> </w:t>
      </w:r>
      <w:r>
        <w:rPr>
          <w:rFonts w:ascii="Arial" w:hAnsi="Arial"/>
          <w:color w:val="231F20"/>
          <w:sz w:val="12"/>
        </w:rPr>
        <w:t>5,</w:t>
      </w:r>
      <w:r>
        <w:rPr>
          <w:rFonts w:ascii="Arial" w:hAnsi="Arial"/>
          <w:color w:val="231F20"/>
          <w:spacing w:val="25"/>
          <w:sz w:val="12"/>
        </w:rPr>
        <w:t> </w:t>
      </w:r>
      <w:r>
        <w:rPr>
          <w:rFonts w:ascii="Arial" w:hAnsi="Arial"/>
          <w:color w:val="231F20"/>
          <w:sz w:val="12"/>
        </w:rPr>
        <w:t>Université</w:t>
      </w:r>
      <w:r>
        <w:rPr>
          <w:rFonts w:ascii="Arial" w:hAnsi="Arial"/>
          <w:color w:val="231F20"/>
          <w:spacing w:val="40"/>
          <w:sz w:val="12"/>
        </w:rPr>
        <w:t> </w:t>
      </w:r>
      <w:r>
        <w:rPr>
          <w:rFonts w:ascii="Arial" w:hAnsi="Arial"/>
          <w:color w:val="231F20"/>
          <w:sz w:val="12"/>
        </w:rPr>
        <w:t>de</w:t>
      </w:r>
      <w:r>
        <w:rPr>
          <w:rFonts w:ascii="Arial" w:hAnsi="Arial"/>
          <w:color w:val="231F20"/>
          <w:spacing w:val="-9"/>
          <w:sz w:val="12"/>
        </w:rPr>
        <w:t> </w:t>
      </w:r>
      <w:r>
        <w:rPr>
          <w:rFonts w:ascii="Arial" w:hAnsi="Arial"/>
          <w:color w:val="231F20"/>
          <w:sz w:val="12"/>
        </w:rPr>
        <w:t>Montréal</w:t>
      </w:r>
      <w:r>
        <w:rPr>
          <w:rFonts w:ascii="Arial" w:hAnsi="Arial"/>
          <w:color w:val="231F20"/>
          <w:spacing w:val="-8"/>
          <w:sz w:val="12"/>
        </w:rPr>
        <w:t> </w:t>
      </w:r>
      <w:r>
        <w:rPr>
          <w:rFonts w:ascii="Arial" w:hAnsi="Arial"/>
          <w:color w:val="231F20"/>
          <w:sz w:val="12"/>
        </w:rPr>
        <w:t>; Rohan, P. et Dolan, S. L. (1980). The management of occupational stress, </w:t>
      </w:r>
      <w:r>
        <w:rPr>
          <w:rFonts w:ascii="Arial" w:hAnsi="Arial"/>
          <w:i/>
          <w:color w:val="231F20"/>
          <w:sz w:val="12"/>
        </w:rPr>
        <w:t>Stress</w:t>
      </w:r>
      <w:r>
        <w:rPr>
          <w:rFonts w:ascii="Arial" w:hAnsi="Arial"/>
          <w:color w:val="231F20"/>
          <w:sz w:val="12"/>
        </w:rPr>
        <w:t>, </w:t>
      </w:r>
      <w:r>
        <w:rPr>
          <w:rFonts w:ascii="Arial" w:hAnsi="Arial"/>
          <w:i/>
          <w:color w:val="231F20"/>
          <w:sz w:val="12"/>
        </w:rPr>
        <w:t>1, </w:t>
      </w:r>
      <w:r>
        <w:rPr>
          <w:rFonts w:ascii="Arial" w:hAnsi="Arial"/>
          <w:color w:val="231F20"/>
          <w:sz w:val="12"/>
        </w:rPr>
        <w:t>13-18</w:t>
      </w:r>
      <w:r>
        <w:rPr>
          <w:rFonts w:ascii="Arial" w:hAnsi="Arial"/>
          <w:color w:val="231F20"/>
          <w:spacing w:val="-9"/>
          <w:sz w:val="12"/>
        </w:rPr>
        <w:t> </w:t>
      </w:r>
      <w:r>
        <w:rPr>
          <w:rFonts w:ascii="Arial" w:hAnsi="Arial"/>
          <w:color w:val="231F20"/>
          <w:sz w:val="12"/>
        </w:rPr>
        <w:t>;</w:t>
      </w:r>
      <w:r>
        <w:rPr>
          <w:rFonts w:ascii="Arial" w:hAnsi="Arial"/>
          <w:color w:val="231F20"/>
          <w:spacing w:val="40"/>
          <w:sz w:val="12"/>
        </w:rPr>
        <w:t> </w:t>
      </w:r>
      <w:r>
        <w:rPr>
          <w:rFonts w:ascii="Arial" w:hAnsi="Arial"/>
          <w:color w:val="231F20"/>
          <w:sz w:val="12"/>
        </w:rPr>
        <w:t>Dolan, S. L. et Arsenault, A. (1981). Occupational stress, </w:t>
      </w:r>
      <w:r>
        <w:rPr>
          <w:rFonts w:ascii="Arial" w:hAnsi="Arial"/>
          <w:i/>
          <w:color w:val="231F20"/>
          <w:sz w:val="12"/>
        </w:rPr>
        <w:t>Quality of Working Life</w:t>
      </w:r>
      <w:r>
        <w:rPr>
          <w:rFonts w:ascii="Arial" w:hAnsi="Arial"/>
          <w:color w:val="231F20"/>
          <w:sz w:val="12"/>
        </w:rPr>
        <w:t>, </w:t>
      </w:r>
      <w:r>
        <w:rPr>
          <w:rFonts w:ascii="Arial" w:hAnsi="Arial"/>
          <w:i/>
          <w:color w:val="231F20"/>
          <w:sz w:val="12"/>
        </w:rPr>
        <w:t>4</w:t>
      </w:r>
      <w:r>
        <w:rPr>
          <w:rFonts w:ascii="Arial" w:hAnsi="Arial"/>
          <w:color w:val="231F20"/>
          <w:sz w:val="12"/>
        </w:rPr>
        <w:t>, 6-9 et 10-15.</w:t>
      </w:r>
    </w:p>
    <w:p>
      <w:pPr>
        <w:spacing w:after="0" w:line="295" w:lineRule="auto"/>
        <w:jc w:val="both"/>
        <w:rPr>
          <w:rFonts w:ascii="Arial" w:hAnsi="Arial"/>
          <w:sz w:val="12"/>
        </w:rPr>
        <w:sectPr>
          <w:footerReference w:type="default" r:id="rId155"/>
          <w:pgSz w:w="8640" w:h="12960"/>
          <w:pgMar w:footer="424" w:header="0" w:top="500" w:bottom="620" w:left="740" w:right="1140"/>
        </w:sectPr>
      </w:pPr>
    </w:p>
    <w:p>
      <w:pPr>
        <w:spacing w:before="103"/>
        <w:ind w:left="2183" w:right="2173"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27"/>
        </w:numPr>
        <w:tabs>
          <w:tab w:pos="1011" w:val="left" w:leader="none"/>
        </w:tabs>
        <w:spacing w:line="307" w:lineRule="auto" w:before="117" w:after="0"/>
        <w:ind w:left="1010" w:right="495" w:hanging="251"/>
        <w:jc w:val="both"/>
        <w:rPr>
          <w:sz w:val="17"/>
        </w:rPr>
      </w:pPr>
      <w:r>
        <w:rPr>
          <w:b/>
          <w:color w:val="231F20"/>
          <w:w w:val="115"/>
          <w:sz w:val="17"/>
        </w:rPr>
        <w:t>Les différences individuelles</w:t>
      </w:r>
      <w:r>
        <w:rPr>
          <w:color w:val="231F20"/>
          <w:w w:val="115"/>
          <w:sz w:val="17"/>
        </w:rPr>
        <w:t>. Plusieurs différences individuelles jouent</w:t>
      </w:r>
      <w:r>
        <w:rPr>
          <w:color w:val="231F20"/>
          <w:spacing w:val="-10"/>
          <w:w w:val="115"/>
          <w:sz w:val="17"/>
        </w:rPr>
        <w:t> </w:t>
      </w:r>
      <w:r>
        <w:rPr>
          <w:color w:val="231F20"/>
          <w:w w:val="115"/>
          <w:sz w:val="17"/>
        </w:rPr>
        <w:t>un</w:t>
      </w:r>
      <w:r>
        <w:rPr>
          <w:color w:val="231F20"/>
          <w:spacing w:val="-10"/>
          <w:w w:val="115"/>
          <w:sz w:val="17"/>
        </w:rPr>
        <w:t> </w:t>
      </w:r>
      <w:r>
        <w:rPr>
          <w:color w:val="231F20"/>
          <w:w w:val="115"/>
          <w:sz w:val="17"/>
        </w:rPr>
        <w:t>rôle</w:t>
      </w:r>
      <w:r>
        <w:rPr>
          <w:color w:val="231F20"/>
          <w:spacing w:val="-10"/>
          <w:w w:val="115"/>
          <w:sz w:val="17"/>
        </w:rPr>
        <w:t> </w:t>
      </w:r>
      <w:r>
        <w:rPr>
          <w:color w:val="231F20"/>
          <w:w w:val="115"/>
          <w:sz w:val="17"/>
        </w:rPr>
        <w:t>important</w:t>
      </w:r>
      <w:r>
        <w:rPr>
          <w:color w:val="231F20"/>
          <w:spacing w:val="-10"/>
          <w:w w:val="115"/>
          <w:sz w:val="17"/>
        </w:rPr>
        <w:t> </w:t>
      </w:r>
      <w:r>
        <w:rPr>
          <w:color w:val="231F20"/>
          <w:w w:val="115"/>
          <w:sz w:val="17"/>
        </w:rPr>
        <w:t>dans</w:t>
      </w:r>
      <w:r>
        <w:rPr>
          <w:color w:val="231F20"/>
          <w:spacing w:val="-10"/>
          <w:w w:val="115"/>
          <w:sz w:val="17"/>
        </w:rPr>
        <w:t> </w:t>
      </w:r>
      <w:r>
        <w:rPr>
          <w:color w:val="231F20"/>
          <w:w w:val="115"/>
          <w:sz w:val="17"/>
        </w:rPr>
        <w:t>la</w:t>
      </w:r>
      <w:r>
        <w:rPr>
          <w:color w:val="231F20"/>
          <w:spacing w:val="-10"/>
          <w:w w:val="115"/>
          <w:sz w:val="17"/>
        </w:rPr>
        <w:t> </w:t>
      </w:r>
      <w:r>
        <w:rPr>
          <w:color w:val="231F20"/>
          <w:w w:val="115"/>
          <w:sz w:val="17"/>
        </w:rPr>
        <w:t>façon</w:t>
      </w:r>
      <w:r>
        <w:rPr>
          <w:color w:val="231F20"/>
          <w:spacing w:val="-10"/>
          <w:w w:val="115"/>
          <w:sz w:val="17"/>
        </w:rPr>
        <w:t> </w:t>
      </w:r>
      <w:r>
        <w:rPr>
          <w:color w:val="231F20"/>
          <w:w w:val="115"/>
          <w:sz w:val="17"/>
        </w:rPr>
        <w:t>dont</w:t>
      </w:r>
      <w:r>
        <w:rPr>
          <w:color w:val="231F20"/>
          <w:spacing w:val="-10"/>
          <w:w w:val="115"/>
          <w:sz w:val="17"/>
        </w:rPr>
        <w:t> </w:t>
      </w:r>
      <w:r>
        <w:rPr>
          <w:color w:val="231F20"/>
          <w:w w:val="115"/>
          <w:sz w:val="17"/>
        </w:rPr>
        <w:t>l’employé</w:t>
      </w:r>
      <w:r>
        <w:rPr>
          <w:color w:val="231F20"/>
          <w:spacing w:val="-10"/>
          <w:w w:val="115"/>
          <w:sz w:val="17"/>
        </w:rPr>
        <w:t> </w:t>
      </w:r>
      <w:r>
        <w:rPr>
          <w:color w:val="231F20"/>
          <w:w w:val="115"/>
          <w:sz w:val="17"/>
        </w:rPr>
        <w:t>subit</w:t>
      </w:r>
      <w:r>
        <w:rPr>
          <w:color w:val="231F20"/>
          <w:spacing w:val="-10"/>
          <w:w w:val="115"/>
          <w:sz w:val="17"/>
        </w:rPr>
        <w:t> </w:t>
      </w:r>
      <w:r>
        <w:rPr>
          <w:color w:val="231F20"/>
          <w:w w:val="115"/>
          <w:sz w:val="17"/>
        </w:rPr>
        <w:t>le</w:t>
      </w:r>
      <w:r>
        <w:rPr>
          <w:color w:val="231F20"/>
          <w:spacing w:val="-10"/>
          <w:w w:val="115"/>
          <w:sz w:val="17"/>
        </w:rPr>
        <w:t> </w:t>
      </w:r>
      <w:r>
        <w:rPr>
          <w:color w:val="231F20"/>
          <w:w w:val="115"/>
          <w:sz w:val="17"/>
        </w:rPr>
        <w:t>stress </w:t>
      </w:r>
      <w:r>
        <w:rPr>
          <w:color w:val="231F20"/>
          <w:w w:val="120"/>
          <w:sz w:val="17"/>
        </w:rPr>
        <w:t>et</w:t>
      </w:r>
      <w:r>
        <w:rPr>
          <w:color w:val="231F20"/>
          <w:spacing w:val="-10"/>
          <w:w w:val="120"/>
          <w:sz w:val="17"/>
        </w:rPr>
        <w:t> </w:t>
      </w:r>
      <w:r>
        <w:rPr>
          <w:color w:val="231F20"/>
          <w:w w:val="120"/>
          <w:sz w:val="17"/>
        </w:rPr>
        <w:t>y</w:t>
      </w:r>
      <w:r>
        <w:rPr>
          <w:color w:val="231F20"/>
          <w:spacing w:val="-10"/>
          <w:w w:val="120"/>
          <w:sz w:val="17"/>
        </w:rPr>
        <w:t> </w:t>
      </w:r>
      <w:r>
        <w:rPr>
          <w:color w:val="231F20"/>
          <w:w w:val="120"/>
          <w:sz w:val="17"/>
        </w:rPr>
        <w:t>réagit.</w:t>
      </w:r>
      <w:r>
        <w:rPr>
          <w:color w:val="231F20"/>
          <w:spacing w:val="-10"/>
          <w:w w:val="120"/>
          <w:sz w:val="17"/>
        </w:rPr>
        <w:t> </w:t>
      </w:r>
      <w:r>
        <w:rPr>
          <w:color w:val="231F20"/>
          <w:w w:val="120"/>
          <w:sz w:val="17"/>
        </w:rPr>
        <w:t>Qu’elles</w:t>
      </w:r>
      <w:r>
        <w:rPr>
          <w:color w:val="231F20"/>
          <w:spacing w:val="-10"/>
          <w:w w:val="120"/>
          <w:sz w:val="17"/>
        </w:rPr>
        <w:t> </w:t>
      </w:r>
      <w:r>
        <w:rPr>
          <w:color w:val="231F20"/>
          <w:w w:val="120"/>
          <w:sz w:val="17"/>
        </w:rPr>
        <w:t>aient</w:t>
      </w:r>
      <w:r>
        <w:rPr>
          <w:color w:val="231F20"/>
          <w:spacing w:val="-10"/>
          <w:w w:val="120"/>
          <w:sz w:val="17"/>
        </w:rPr>
        <w:t> </w:t>
      </w:r>
      <w:r>
        <w:rPr>
          <w:color w:val="231F20"/>
          <w:w w:val="120"/>
          <w:sz w:val="17"/>
        </w:rPr>
        <w:t>trait</w:t>
      </w:r>
      <w:r>
        <w:rPr>
          <w:color w:val="231F20"/>
          <w:spacing w:val="-10"/>
          <w:w w:val="120"/>
          <w:sz w:val="17"/>
        </w:rPr>
        <w:t> </w:t>
      </w:r>
      <w:r>
        <w:rPr>
          <w:color w:val="231F20"/>
          <w:w w:val="120"/>
          <w:sz w:val="17"/>
        </w:rPr>
        <w:t>à</w:t>
      </w:r>
      <w:r>
        <w:rPr>
          <w:color w:val="231F20"/>
          <w:spacing w:val="-10"/>
          <w:w w:val="120"/>
          <w:sz w:val="17"/>
        </w:rPr>
        <w:t> </w:t>
      </w:r>
      <w:r>
        <w:rPr>
          <w:color w:val="231F20"/>
          <w:w w:val="120"/>
          <w:sz w:val="17"/>
        </w:rPr>
        <w:t>des</w:t>
      </w:r>
      <w:r>
        <w:rPr>
          <w:color w:val="231F20"/>
          <w:spacing w:val="-10"/>
          <w:w w:val="120"/>
          <w:sz w:val="17"/>
        </w:rPr>
        <w:t> </w:t>
      </w:r>
      <w:r>
        <w:rPr>
          <w:color w:val="231F20"/>
          <w:w w:val="120"/>
          <w:sz w:val="17"/>
        </w:rPr>
        <w:t>besoins,</w:t>
      </w:r>
      <w:r>
        <w:rPr>
          <w:color w:val="231F20"/>
          <w:spacing w:val="-10"/>
          <w:w w:val="120"/>
          <w:sz w:val="17"/>
        </w:rPr>
        <w:t> </w:t>
      </w:r>
      <w:r>
        <w:rPr>
          <w:color w:val="231F20"/>
          <w:w w:val="120"/>
          <w:sz w:val="17"/>
        </w:rPr>
        <w:t>des</w:t>
      </w:r>
      <w:r>
        <w:rPr>
          <w:color w:val="231F20"/>
          <w:spacing w:val="-10"/>
          <w:w w:val="120"/>
          <w:sz w:val="17"/>
        </w:rPr>
        <w:t> </w:t>
      </w:r>
      <w:r>
        <w:rPr>
          <w:color w:val="231F20"/>
          <w:w w:val="120"/>
          <w:sz w:val="17"/>
        </w:rPr>
        <w:t>valeurs,</w:t>
      </w:r>
      <w:r>
        <w:rPr>
          <w:color w:val="231F20"/>
          <w:spacing w:val="-10"/>
          <w:w w:val="120"/>
          <w:sz w:val="17"/>
        </w:rPr>
        <w:t> </w:t>
      </w:r>
      <w:r>
        <w:rPr>
          <w:color w:val="231F20"/>
          <w:w w:val="120"/>
          <w:sz w:val="17"/>
        </w:rPr>
        <w:t>des</w:t>
      </w:r>
      <w:r>
        <w:rPr>
          <w:color w:val="231F20"/>
          <w:spacing w:val="-10"/>
          <w:w w:val="120"/>
          <w:sz w:val="17"/>
        </w:rPr>
        <w:t> </w:t>
      </w:r>
      <w:r>
        <w:rPr>
          <w:color w:val="231F20"/>
          <w:w w:val="120"/>
          <w:sz w:val="17"/>
        </w:rPr>
        <w:t>atti- tudes,</w:t>
      </w:r>
      <w:r>
        <w:rPr>
          <w:color w:val="231F20"/>
          <w:spacing w:val="-3"/>
          <w:w w:val="120"/>
          <w:sz w:val="17"/>
        </w:rPr>
        <w:t> </w:t>
      </w:r>
      <w:r>
        <w:rPr>
          <w:color w:val="231F20"/>
          <w:w w:val="120"/>
          <w:sz w:val="17"/>
        </w:rPr>
        <w:t>des</w:t>
      </w:r>
      <w:r>
        <w:rPr>
          <w:color w:val="231F20"/>
          <w:spacing w:val="-3"/>
          <w:w w:val="120"/>
          <w:sz w:val="17"/>
        </w:rPr>
        <w:t> </w:t>
      </w:r>
      <w:r>
        <w:rPr>
          <w:color w:val="231F20"/>
          <w:w w:val="120"/>
          <w:sz w:val="17"/>
        </w:rPr>
        <w:t>capacités</w:t>
      </w:r>
      <w:r>
        <w:rPr>
          <w:color w:val="231F20"/>
          <w:spacing w:val="-3"/>
          <w:w w:val="120"/>
          <w:sz w:val="17"/>
        </w:rPr>
        <w:t> </w:t>
      </w:r>
      <w:r>
        <w:rPr>
          <w:color w:val="231F20"/>
          <w:w w:val="120"/>
          <w:sz w:val="17"/>
        </w:rPr>
        <w:t>ou,</w:t>
      </w:r>
      <w:r>
        <w:rPr>
          <w:color w:val="231F20"/>
          <w:spacing w:val="-3"/>
          <w:w w:val="120"/>
          <w:sz w:val="17"/>
        </w:rPr>
        <w:t> </w:t>
      </w:r>
      <w:r>
        <w:rPr>
          <w:color w:val="231F20"/>
          <w:w w:val="120"/>
          <w:sz w:val="17"/>
        </w:rPr>
        <w:t>bien</w:t>
      </w:r>
      <w:r>
        <w:rPr>
          <w:color w:val="231F20"/>
          <w:spacing w:val="-3"/>
          <w:w w:val="120"/>
          <w:sz w:val="17"/>
        </w:rPr>
        <w:t> </w:t>
      </w:r>
      <w:r>
        <w:rPr>
          <w:color w:val="231F20"/>
          <w:w w:val="120"/>
          <w:sz w:val="17"/>
        </w:rPr>
        <w:t>sûr,</w:t>
      </w:r>
      <w:r>
        <w:rPr>
          <w:color w:val="231F20"/>
          <w:spacing w:val="-3"/>
          <w:w w:val="120"/>
          <w:sz w:val="17"/>
        </w:rPr>
        <w:t> </w:t>
      </w:r>
      <w:r>
        <w:rPr>
          <w:color w:val="231F20"/>
          <w:w w:val="120"/>
          <w:sz w:val="17"/>
        </w:rPr>
        <w:t>à</w:t>
      </w:r>
      <w:r>
        <w:rPr>
          <w:color w:val="231F20"/>
          <w:spacing w:val="-3"/>
          <w:w w:val="120"/>
          <w:sz w:val="17"/>
        </w:rPr>
        <w:t> </w:t>
      </w:r>
      <w:r>
        <w:rPr>
          <w:color w:val="231F20"/>
          <w:w w:val="120"/>
          <w:sz w:val="17"/>
        </w:rPr>
        <w:t>des</w:t>
      </w:r>
      <w:r>
        <w:rPr>
          <w:color w:val="231F20"/>
          <w:spacing w:val="-3"/>
          <w:w w:val="120"/>
          <w:sz w:val="17"/>
        </w:rPr>
        <w:t> </w:t>
      </w:r>
      <w:r>
        <w:rPr>
          <w:color w:val="231F20"/>
          <w:w w:val="120"/>
          <w:sz w:val="17"/>
        </w:rPr>
        <w:t>traits</w:t>
      </w:r>
      <w:r>
        <w:rPr>
          <w:color w:val="231F20"/>
          <w:spacing w:val="-3"/>
          <w:w w:val="120"/>
          <w:sz w:val="17"/>
        </w:rPr>
        <w:t> </w:t>
      </w:r>
      <w:r>
        <w:rPr>
          <w:color w:val="231F20"/>
          <w:w w:val="120"/>
          <w:sz w:val="17"/>
        </w:rPr>
        <w:t>de</w:t>
      </w:r>
      <w:r>
        <w:rPr>
          <w:color w:val="231F20"/>
          <w:spacing w:val="-3"/>
          <w:w w:val="120"/>
          <w:sz w:val="17"/>
        </w:rPr>
        <w:t> </w:t>
      </w:r>
      <w:r>
        <w:rPr>
          <w:color w:val="231F20"/>
          <w:w w:val="120"/>
          <w:sz w:val="17"/>
        </w:rPr>
        <w:t>personnalité,</w:t>
      </w:r>
      <w:r>
        <w:rPr>
          <w:color w:val="231F20"/>
          <w:spacing w:val="-3"/>
          <w:w w:val="120"/>
          <w:sz w:val="17"/>
        </w:rPr>
        <w:t> </w:t>
      </w:r>
      <w:r>
        <w:rPr>
          <w:color w:val="231F20"/>
          <w:w w:val="120"/>
          <w:sz w:val="17"/>
        </w:rPr>
        <w:t>ces différences</w:t>
      </w:r>
      <w:r>
        <w:rPr>
          <w:color w:val="231F20"/>
          <w:spacing w:val="-15"/>
          <w:w w:val="120"/>
          <w:sz w:val="17"/>
        </w:rPr>
        <w:t> </w:t>
      </w:r>
      <w:r>
        <w:rPr>
          <w:color w:val="231F20"/>
          <w:w w:val="120"/>
          <w:sz w:val="17"/>
        </w:rPr>
        <w:t>sont</w:t>
      </w:r>
      <w:r>
        <w:rPr>
          <w:color w:val="231F20"/>
          <w:spacing w:val="-13"/>
          <w:w w:val="120"/>
          <w:sz w:val="17"/>
        </w:rPr>
        <w:t> </w:t>
      </w:r>
      <w:r>
        <w:rPr>
          <w:color w:val="231F20"/>
          <w:w w:val="120"/>
          <w:sz w:val="17"/>
        </w:rPr>
        <w:t>importantes</w:t>
      </w:r>
      <w:r>
        <w:rPr>
          <w:color w:val="231F20"/>
          <w:spacing w:val="-13"/>
          <w:w w:val="120"/>
          <w:sz w:val="17"/>
        </w:rPr>
        <w:t> </w:t>
      </w:r>
      <w:r>
        <w:rPr>
          <w:color w:val="231F20"/>
          <w:w w:val="120"/>
          <w:sz w:val="17"/>
        </w:rPr>
        <w:t>parce</w:t>
      </w:r>
      <w:r>
        <w:rPr>
          <w:color w:val="231F20"/>
          <w:spacing w:val="-12"/>
          <w:w w:val="120"/>
          <w:sz w:val="17"/>
        </w:rPr>
        <w:t> </w:t>
      </w:r>
      <w:r>
        <w:rPr>
          <w:color w:val="231F20"/>
          <w:w w:val="120"/>
          <w:sz w:val="17"/>
        </w:rPr>
        <w:t>qu’elles</w:t>
      </w:r>
      <w:r>
        <w:rPr>
          <w:color w:val="231F20"/>
          <w:spacing w:val="-13"/>
          <w:w w:val="120"/>
          <w:sz w:val="17"/>
        </w:rPr>
        <w:t> </w:t>
      </w:r>
      <w:r>
        <w:rPr>
          <w:color w:val="231F20"/>
          <w:w w:val="120"/>
          <w:sz w:val="17"/>
        </w:rPr>
        <w:t>influent,</w:t>
      </w:r>
      <w:r>
        <w:rPr>
          <w:color w:val="231F20"/>
          <w:spacing w:val="-13"/>
          <w:w w:val="120"/>
          <w:sz w:val="17"/>
        </w:rPr>
        <w:t> </w:t>
      </w:r>
      <w:r>
        <w:rPr>
          <w:color w:val="231F20"/>
          <w:w w:val="120"/>
          <w:sz w:val="17"/>
        </w:rPr>
        <w:t>dans</w:t>
      </w:r>
      <w:r>
        <w:rPr>
          <w:color w:val="231F20"/>
          <w:spacing w:val="-13"/>
          <w:w w:val="120"/>
          <w:sz w:val="17"/>
        </w:rPr>
        <w:t> </w:t>
      </w:r>
      <w:r>
        <w:rPr>
          <w:color w:val="231F20"/>
          <w:w w:val="120"/>
          <w:sz w:val="17"/>
        </w:rPr>
        <w:t>un</w:t>
      </w:r>
      <w:r>
        <w:rPr>
          <w:color w:val="231F20"/>
          <w:spacing w:val="-12"/>
          <w:w w:val="120"/>
          <w:sz w:val="17"/>
        </w:rPr>
        <w:t> </w:t>
      </w:r>
      <w:r>
        <w:rPr>
          <w:color w:val="231F20"/>
          <w:w w:val="120"/>
          <w:sz w:val="17"/>
        </w:rPr>
        <w:t>sens</w:t>
      </w:r>
      <w:r>
        <w:rPr>
          <w:color w:val="231F20"/>
          <w:w w:val="120"/>
          <w:sz w:val="17"/>
        </w:rPr>
        <w:t> </w:t>
      </w:r>
      <w:r>
        <w:rPr>
          <w:color w:val="231F20"/>
          <w:w w:val="115"/>
          <w:sz w:val="17"/>
        </w:rPr>
        <w:t>ou</w:t>
      </w:r>
      <w:r>
        <w:rPr>
          <w:color w:val="231F20"/>
          <w:spacing w:val="-11"/>
          <w:w w:val="115"/>
          <w:sz w:val="17"/>
        </w:rPr>
        <w:t> </w:t>
      </w:r>
      <w:r>
        <w:rPr>
          <w:color w:val="231F20"/>
          <w:w w:val="115"/>
          <w:sz w:val="17"/>
        </w:rPr>
        <w:t>dans</w:t>
      </w:r>
      <w:r>
        <w:rPr>
          <w:color w:val="231F20"/>
          <w:spacing w:val="-11"/>
          <w:w w:val="115"/>
          <w:sz w:val="17"/>
        </w:rPr>
        <w:t> </w:t>
      </w:r>
      <w:r>
        <w:rPr>
          <w:color w:val="231F20"/>
          <w:w w:val="115"/>
          <w:sz w:val="17"/>
        </w:rPr>
        <w:t>l’autre,</w:t>
      </w:r>
      <w:r>
        <w:rPr>
          <w:color w:val="231F20"/>
          <w:spacing w:val="-11"/>
          <w:w w:val="115"/>
          <w:sz w:val="17"/>
        </w:rPr>
        <w:t> </w:t>
      </w:r>
      <w:r>
        <w:rPr>
          <w:color w:val="231F20"/>
          <w:w w:val="115"/>
          <w:sz w:val="17"/>
        </w:rPr>
        <w:t>sur</w:t>
      </w:r>
      <w:r>
        <w:rPr>
          <w:color w:val="231F20"/>
          <w:spacing w:val="-11"/>
          <w:w w:val="115"/>
          <w:sz w:val="17"/>
        </w:rPr>
        <w:t> </w:t>
      </w:r>
      <w:r>
        <w:rPr>
          <w:color w:val="231F20"/>
          <w:w w:val="115"/>
          <w:sz w:val="17"/>
        </w:rPr>
        <w:t>la</w:t>
      </w:r>
      <w:r>
        <w:rPr>
          <w:color w:val="231F20"/>
          <w:spacing w:val="-11"/>
          <w:w w:val="115"/>
          <w:sz w:val="17"/>
        </w:rPr>
        <w:t> </w:t>
      </w:r>
      <w:r>
        <w:rPr>
          <w:color w:val="231F20"/>
          <w:w w:val="115"/>
          <w:sz w:val="17"/>
        </w:rPr>
        <w:t>perception</w:t>
      </w:r>
      <w:r>
        <w:rPr>
          <w:color w:val="231F20"/>
          <w:spacing w:val="-11"/>
          <w:w w:val="115"/>
          <w:sz w:val="17"/>
        </w:rPr>
        <w:t> </w:t>
      </w:r>
      <w:r>
        <w:rPr>
          <w:color w:val="231F20"/>
          <w:w w:val="115"/>
          <w:sz w:val="17"/>
        </w:rPr>
        <w:t>relative</w:t>
      </w:r>
      <w:r>
        <w:rPr>
          <w:color w:val="231F20"/>
          <w:spacing w:val="-11"/>
          <w:w w:val="115"/>
          <w:sz w:val="17"/>
        </w:rPr>
        <w:t> </w:t>
      </w:r>
      <w:r>
        <w:rPr>
          <w:color w:val="231F20"/>
          <w:w w:val="115"/>
          <w:sz w:val="17"/>
        </w:rPr>
        <w:t>à</w:t>
      </w:r>
      <w:r>
        <w:rPr>
          <w:color w:val="231F20"/>
          <w:spacing w:val="-11"/>
          <w:w w:val="115"/>
          <w:sz w:val="17"/>
        </w:rPr>
        <w:t> </w:t>
      </w:r>
      <w:r>
        <w:rPr>
          <w:color w:val="231F20"/>
          <w:w w:val="115"/>
          <w:sz w:val="17"/>
        </w:rPr>
        <w:t>la</w:t>
      </w:r>
      <w:r>
        <w:rPr>
          <w:color w:val="231F20"/>
          <w:spacing w:val="-11"/>
          <w:w w:val="115"/>
          <w:sz w:val="17"/>
        </w:rPr>
        <w:t> </w:t>
      </w:r>
      <w:r>
        <w:rPr>
          <w:color w:val="231F20"/>
          <w:w w:val="115"/>
          <w:sz w:val="17"/>
        </w:rPr>
        <w:t>nocivité</w:t>
      </w:r>
      <w:r>
        <w:rPr>
          <w:color w:val="231F20"/>
          <w:spacing w:val="-11"/>
          <w:w w:val="115"/>
          <w:sz w:val="17"/>
        </w:rPr>
        <w:t> </w:t>
      </w:r>
      <w:r>
        <w:rPr>
          <w:color w:val="231F20"/>
          <w:w w:val="115"/>
          <w:sz w:val="17"/>
        </w:rPr>
        <w:t>des</w:t>
      </w:r>
      <w:r>
        <w:rPr>
          <w:color w:val="231F20"/>
          <w:spacing w:val="-11"/>
          <w:w w:val="115"/>
          <w:sz w:val="17"/>
        </w:rPr>
        <w:t> </w:t>
      </w:r>
      <w:r>
        <w:rPr>
          <w:color w:val="231F20"/>
          <w:w w:val="115"/>
          <w:sz w:val="17"/>
        </w:rPr>
        <w:t>exigences de</w:t>
      </w:r>
      <w:r>
        <w:rPr>
          <w:color w:val="231F20"/>
          <w:spacing w:val="-13"/>
          <w:w w:val="115"/>
          <w:sz w:val="17"/>
        </w:rPr>
        <w:t> </w:t>
      </w:r>
      <w:r>
        <w:rPr>
          <w:color w:val="231F20"/>
          <w:w w:val="115"/>
          <w:sz w:val="17"/>
        </w:rPr>
        <w:t>travail.</w:t>
      </w:r>
      <w:r>
        <w:rPr>
          <w:color w:val="231F20"/>
          <w:spacing w:val="-12"/>
          <w:w w:val="115"/>
          <w:sz w:val="17"/>
        </w:rPr>
        <w:t> </w:t>
      </w:r>
      <w:r>
        <w:rPr>
          <w:color w:val="231F20"/>
          <w:w w:val="115"/>
          <w:sz w:val="17"/>
        </w:rPr>
        <w:t>Ainsi,</w:t>
      </w:r>
      <w:r>
        <w:rPr>
          <w:color w:val="231F20"/>
          <w:spacing w:val="-12"/>
          <w:w w:val="115"/>
          <w:sz w:val="17"/>
        </w:rPr>
        <w:t> </w:t>
      </w:r>
      <w:r>
        <w:rPr>
          <w:color w:val="231F20"/>
          <w:w w:val="115"/>
          <w:sz w:val="17"/>
        </w:rPr>
        <w:t>pour</w:t>
      </w:r>
      <w:r>
        <w:rPr>
          <w:color w:val="231F20"/>
          <w:spacing w:val="-12"/>
          <w:w w:val="115"/>
          <w:sz w:val="17"/>
        </w:rPr>
        <w:t> </w:t>
      </w:r>
      <w:r>
        <w:rPr>
          <w:color w:val="231F20"/>
          <w:w w:val="115"/>
          <w:sz w:val="17"/>
        </w:rPr>
        <w:t>savoir</w:t>
      </w:r>
      <w:r>
        <w:rPr>
          <w:color w:val="231F20"/>
          <w:spacing w:val="-13"/>
          <w:w w:val="115"/>
          <w:sz w:val="17"/>
        </w:rPr>
        <w:t> </w:t>
      </w:r>
      <w:r>
        <w:rPr>
          <w:color w:val="231F20"/>
          <w:w w:val="115"/>
          <w:sz w:val="17"/>
        </w:rPr>
        <w:t>si</w:t>
      </w:r>
      <w:r>
        <w:rPr>
          <w:color w:val="231F20"/>
          <w:spacing w:val="-12"/>
          <w:w w:val="115"/>
          <w:sz w:val="17"/>
        </w:rPr>
        <w:t> </w:t>
      </w:r>
      <w:r>
        <w:rPr>
          <w:color w:val="231F20"/>
          <w:w w:val="115"/>
          <w:sz w:val="17"/>
        </w:rPr>
        <w:t>les</w:t>
      </w:r>
      <w:r>
        <w:rPr>
          <w:color w:val="231F20"/>
          <w:spacing w:val="-12"/>
          <w:w w:val="115"/>
          <w:sz w:val="17"/>
        </w:rPr>
        <w:t> </w:t>
      </w:r>
      <w:r>
        <w:rPr>
          <w:color w:val="231F20"/>
          <w:w w:val="115"/>
          <w:sz w:val="17"/>
        </w:rPr>
        <w:t>titulaires</w:t>
      </w:r>
      <w:r>
        <w:rPr>
          <w:color w:val="231F20"/>
          <w:spacing w:val="-12"/>
          <w:w w:val="115"/>
          <w:sz w:val="17"/>
        </w:rPr>
        <w:t> </w:t>
      </w:r>
      <w:r>
        <w:rPr>
          <w:color w:val="231F20"/>
          <w:w w:val="115"/>
          <w:sz w:val="17"/>
        </w:rPr>
        <w:t>d’emploi</w:t>
      </w:r>
      <w:r>
        <w:rPr>
          <w:color w:val="231F20"/>
          <w:spacing w:val="-12"/>
          <w:w w:val="115"/>
          <w:sz w:val="17"/>
        </w:rPr>
        <w:t> </w:t>
      </w:r>
      <w:r>
        <w:rPr>
          <w:color w:val="231F20"/>
          <w:w w:val="115"/>
          <w:sz w:val="17"/>
        </w:rPr>
        <w:t>risquent</w:t>
      </w:r>
      <w:r>
        <w:rPr>
          <w:color w:val="231F20"/>
          <w:spacing w:val="-13"/>
          <w:w w:val="115"/>
          <w:sz w:val="17"/>
        </w:rPr>
        <w:t> </w:t>
      </w:r>
      <w:r>
        <w:rPr>
          <w:color w:val="231F20"/>
          <w:w w:val="115"/>
          <w:sz w:val="17"/>
        </w:rPr>
        <w:t>d’être </w:t>
      </w:r>
      <w:r>
        <w:rPr>
          <w:color w:val="231F20"/>
          <w:w w:val="120"/>
          <w:sz w:val="17"/>
        </w:rPr>
        <w:t>stressés,</w:t>
      </w:r>
      <w:r>
        <w:rPr>
          <w:color w:val="231F20"/>
          <w:spacing w:val="-11"/>
          <w:w w:val="120"/>
          <w:sz w:val="17"/>
        </w:rPr>
        <w:t> </w:t>
      </w:r>
      <w:r>
        <w:rPr>
          <w:color w:val="231F20"/>
          <w:w w:val="120"/>
          <w:sz w:val="17"/>
        </w:rPr>
        <w:t>il</w:t>
      </w:r>
      <w:r>
        <w:rPr>
          <w:color w:val="231F20"/>
          <w:spacing w:val="-11"/>
          <w:w w:val="120"/>
          <w:sz w:val="17"/>
        </w:rPr>
        <w:t> </w:t>
      </w:r>
      <w:r>
        <w:rPr>
          <w:color w:val="231F20"/>
          <w:w w:val="120"/>
          <w:sz w:val="17"/>
        </w:rPr>
        <w:t>est</w:t>
      </w:r>
      <w:r>
        <w:rPr>
          <w:color w:val="231F20"/>
          <w:spacing w:val="-11"/>
          <w:w w:val="120"/>
          <w:sz w:val="17"/>
        </w:rPr>
        <w:t> </w:t>
      </w:r>
      <w:r>
        <w:rPr>
          <w:color w:val="231F20"/>
          <w:w w:val="120"/>
          <w:sz w:val="17"/>
        </w:rPr>
        <w:t>essentiel</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comprendre</w:t>
      </w:r>
      <w:r>
        <w:rPr>
          <w:color w:val="231F20"/>
          <w:spacing w:val="-11"/>
          <w:w w:val="120"/>
          <w:sz w:val="17"/>
        </w:rPr>
        <w:t> </w:t>
      </w:r>
      <w:r>
        <w:rPr>
          <w:color w:val="231F20"/>
          <w:w w:val="120"/>
          <w:sz w:val="17"/>
        </w:rPr>
        <w:t>la</w:t>
      </w:r>
      <w:r>
        <w:rPr>
          <w:color w:val="231F20"/>
          <w:spacing w:val="-11"/>
          <w:w w:val="120"/>
          <w:sz w:val="17"/>
        </w:rPr>
        <w:t> </w:t>
      </w:r>
      <w:r>
        <w:rPr>
          <w:color w:val="231F20"/>
          <w:w w:val="120"/>
          <w:sz w:val="17"/>
        </w:rPr>
        <w:t>perception</w:t>
      </w:r>
      <w:r>
        <w:rPr>
          <w:color w:val="231F20"/>
          <w:spacing w:val="-11"/>
          <w:w w:val="120"/>
          <w:sz w:val="17"/>
        </w:rPr>
        <w:t> </w:t>
      </w:r>
      <w:r>
        <w:rPr>
          <w:color w:val="231F20"/>
          <w:w w:val="120"/>
          <w:sz w:val="17"/>
        </w:rPr>
        <w:t>qu’ils</w:t>
      </w:r>
      <w:r>
        <w:rPr>
          <w:color w:val="231F20"/>
          <w:spacing w:val="-11"/>
          <w:w w:val="120"/>
          <w:sz w:val="17"/>
        </w:rPr>
        <w:t> </w:t>
      </w:r>
      <w:r>
        <w:rPr>
          <w:color w:val="231F20"/>
          <w:w w:val="120"/>
          <w:sz w:val="17"/>
        </w:rPr>
        <w:t>ont</w:t>
      </w:r>
      <w:r>
        <w:rPr>
          <w:color w:val="231F20"/>
          <w:spacing w:val="-11"/>
          <w:w w:val="120"/>
          <w:sz w:val="17"/>
        </w:rPr>
        <w:t> </w:t>
      </w:r>
      <w:r>
        <w:rPr>
          <w:color w:val="231F20"/>
          <w:w w:val="120"/>
          <w:sz w:val="17"/>
        </w:rPr>
        <w:t>de leur</w:t>
      </w:r>
      <w:r>
        <w:rPr>
          <w:color w:val="231F20"/>
          <w:spacing w:val="-5"/>
          <w:w w:val="120"/>
          <w:sz w:val="17"/>
        </w:rPr>
        <w:t> </w:t>
      </w:r>
      <w:r>
        <w:rPr>
          <w:color w:val="231F20"/>
          <w:w w:val="120"/>
          <w:sz w:val="17"/>
        </w:rPr>
        <w:t>travail et de leur organisation</w:t>
      </w:r>
      <w:r>
        <w:rPr>
          <w:color w:val="231F20"/>
          <w:spacing w:val="-13"/>
          <w:w w:val="120"/>
          <w:sz w:val="17"/>
        </w:rPr>
        <w:t> </w:t>
      </w:r>
      <w:r>
        <w:rPr>
          <w:color w:val="231F20"/>
          <w:w w:val="120"/>
          <w:sz w:val="17"/>
        </w:rPr>
        <w:t>; une personne peut très </w:t>
      </w:r>
      <w:r>
        <w:rPr>
          <w:color w:val="231F20"/>
          <w:w w:val="120"/>
          <w:sz w:val="17"/>
        </w:rPr>
        <w:t>bien</w:t>
      </w:r>
      <w:r>
        <w:rPr>
          <w:color w:val="231F20"/>
          <w:w w:val="120"/>
          <w:sz w:val="17"/>
        </w:rPr>
        <w:t> voir</w:t>
      </w:r>
      <w:r>
        <w:rPr>
          <w:color w:val="231F20"/>
          <w:spacing w:val="-9"/>
          <w:w w:val="120"/>
          <w:sz w:val="17"/>
        </w:rPr>
        <w:t> </w:t>
      </w:r>
      <w:r>
        <w:rPr>
          <w:color w:val="231F20"/>
          <w:w w:val="120"/>
          <w:sz w:val="17"/>
        </w:rPr>
        <w:t>une</w:t>
      </w:r>
      <w:r>
        <w:rPr>
          <w:color w:val="231F20"/>
          <w:spacing w:val="-9"/>
          <w:w w:val="120"/>
          <w:sz w:val="17"/>
        </w:rPr>
        <w:t> </w:t>
      </w:r>
      <w:r>
        <w:rPr>
          <w:color w:val="231F20"/>
          <w:w w:val="120"/>
          <w:sz w:val="17"/>
        </w:rPr>
        <w:t>source</w:t>
      </w:r>
      <w:r>
        <w:rPr>
          <w:color w:val="231F20"/>
          <w:spacing w:val="-9"/>
          <w:w w:val="120"/>
          <w:sz w:val="17"/>
        </w:rPr>
        <w:t> </w:t>
      </w:r>
      <w:r>
        <w:rPr>
          <w:color w:val="231F20"/>
          <w:w w:val="120"/>
          <w:sz w:val="17"/>
        </w:rPr>
        <w:t>majeure</w:t>
      </w:r>
      <w:r>
        <w:rPr>
          <w:color w:val="231F20"/>
          <w:spacing w:val="-9"/>
          <w:w w:val="120"/>
          <w:sz w:val="17"/>
        </w:rPr>
        <w:t> </w:t>
      </w:r>
      <w:r>
        <w:rPr>
          <w:color w:val="231F20"/>
          <w:w w:val="120"/>
          <w:sz w:val="17"/>
        </w:rPr>
        <w:t>de</w:t>
      </w:r>
      <w:r>
        <w:rPr>
          <w:color w:val="231F20"/>
          <w:spacing w:val="-9"/>
          <w:w w:val="120"/>
          <w:sz w:val="17"/>
        </w:rPr>
        <w:t> </w:t>
      </w:r>
      <w:r>
        <w:rPr>
          <w:color w:val="231F20"/>
          <w:w w:val="120"/>
          <w:sz w:val="17"/>
        </w:rPr>
        <w:t>stress</w:t>
      </w:r>
      <w:r>
        <w:rPr>
          <w:color w:val="231F20"/>
          <w:spacing w:val="-9"/>
          <w:w w:val="120"/>
          <w:sz w:val="17"/>
        </w:rPr>
        <w:t> </w:t>
      </w:r>
      <w:r>
        <w:rPr>
          <w:color w:val="231F20"/>
          <w:w w:val="120"/>
          <w:sz w:val="17"/>
        </w:rPr>
        <w:t>là</w:t>
      </w:r>
      <w:r>
        <w:rPr>
          <w:color w:val="231F20"/>
          <w:spacing w:val="-9"/>
          <w:w w:val="120"/>
          <w:sz w:val="17"/>
        </w:rPr>
        <w:t> </w:t>
      </w:r>
      <w:r>
        <w:rPr>
          <w:color w:val="231F20"/>
          <w:w w:val="120"/>
          <w:sz w:val="17"/>
        </w:rPr>
        <w:t>où</w:t>
      </w:r>
      <w:r>
        <w:rPr>
          <w:color w:val="231F20"/>
          <w:spacing w:val="-9"/>
          <w:w w:val="120"/>
          <w:sz w:val="17"/>
        </w:rPr>
        <w:t> </w:t>
      </w:r>
      <w:r>
        <w:rPr>
          <w:color w:val="231F20"/>
          <w:w w:val="120"/>
          <w:sz w:val="17"/>
        </w:rPr>
        <w:t>son</w:t>
      </w:r>
      <w:r>
        <w:rPr>
          <w:color w:val="231F20"/>
          <w:spacing w:val="-9"/>
          <w:w w:val="120"/>
          <w:sz w:val="17"/>
        </w:rPr>
        <w:t> </w:t>
      </w:r>
      <w:r>
        <w:rPr>
          <w:color w:val="231F20"/>
          <w:w w:val="120"/>
          <w:sz w:val="17"/>
        </w:rPr>
        <w:t>collègue</w:t>
      </w:r>
      <w:r>
        <w:rPr>
          <w:color w:val="231F20"/>
          <w:spacing w:val="-9"/>
          <w:w w:val="120"/>
          <w:sz w:val="17"/>
        </w:rPr>
        <w:t> </w:t>
      </w:r>
      <w:r>
        <w:rPr>
          <w:color w:val="231F20"/>
          <w:w w:val="120"/>
          <w:sz w:val="17"/>
        </w:rPr>
        <w:t>ne</w:t>
      </w:r>
      <w:r>
        <w:rPr>
          <w:color w:val="231F20"/>
          <w:spacing w:val="-9"/>
          <w:w w:val="120"/>
          <w:sz w:val="17"/>
        </w:rPr>
        <w:t> </w:t>
      </w:r>
      <w:r>
        <w:rPr>
          <w:color w:val="231F20"/>
          <w:w w:val="120"/>
          <w:sz w:val="17"/>
        </w:rPr>
        <w:t>remarque</w:t>
      </w:r>
      <w:r>
        <w:rPr>
          <w:color w:val="231F20"/>
          <w:w w:val="120"/>
          <w:sz w:val="17"/>
        </w:rPr>
        <w:t> pratiquement rien d’anormal.</w:t>
      </w:r>
    </w:p>
    <w:p>
      <w:pPr>
        <w:pStyle w:val="ListParagraph"/>
        <w:numPr>
          <w:ilvl w:val="0"/>
          <w:numId w:val="27"/>
        </w:numPr>
        <w:tabs>
          <w:tab w:pos="1011" w:val="left" w:leader="none"/>
        </w:tabs>
        <w:spacing w:line="194" w:lineRule="exact" w:before="0" w:after="0"/>
        <w:ind w:left="1010" w:right="0" w:hanging="251"/>
        <w:jc w:val="both"/>
        <w:rPr>
          <w:sz w:val="17"/>
        </w:rPr>
      </w:pPr>
      <w:r>
        <w:rPr>
          <w:b/>
          <w:color w:val="231F20"/>
          <w:w w:val="115"/>
          <w:sz w:val="17"/>
        </w:rPr>
        <w:t>Le soutien social</w:t>
      </w:r>
      <w:r>
        <w:rPr>
          <w:color w:val="231F20"/>
          <w:w w:val="115"/>
          <w:sz w:val="17"/>
        </w:rPr>
        <w:t>.</w:t>
      </w:r>
      <w:r>
        <w:rPr>
          <w:color w:val="231F20"/>
          <w:spacing w:val="5"/>
          <w:w w:val="115"/>
          <w:sz w:val="17"/>
        </w:rPr>
        <w:t> </w:t>
      </w:r>
      <w:r>
        <w:rPr>
          <w:color w:val="231F20"/>
          <w:w w:val="115"/>
          <w:sz w:val="17"/>
        </w:rPr>
        <w:t>Les</w:t>
      </w:r>
      <w:r>
        <w:rPr>
          <w:color w:val="231F20"/>
          <w:spacing w:val="5"/>
          <w:w w:val="115"/>
          <w:sz w:val="17"/>
        </w:rPr>
        <w:t> </w:t>
      </w:r>
      <w:r>
        <w:rPr>
          <w:color w:val="231F20"/>
          <w:w w:val="115"/>
          <w:sz w:val="17"/>
        </w:rPr>
        <w:t>mécanismes</w:t>
      </w:r>
      <w:r>
        <w:rPr>
          <w:color w:val="231F20"/>
          <w:spacing w:val="5"/>
          <w:w w:val="115"/>
          <w:sz w:val="17"/>
        </w:rPr>
        <w:t> </w:t>
      </w:r>
      <w:r>
        <w:rPr>
          <w:color w:val="231F20"/>
          <w:w w:val="115"/>
          <w:sz w:val="17"/>
        </w:rPr>
        <w:t>compensatoires</w:t>
      </w:r>
      <w:r>
        <w:rPr>
          <w:color w:val="231F20"/>
          <w:spacing w:val="4"/>
          <w:w w:val="115"/>
          <w:sz w:val="17"/>
        </w:rPr>
        <w:t> </w:t>
      </w:r>
      <w:r>
        <w:rPr>
          <w:color w:val="231F20"/>
          <w:w w:val="115"/>
          <w:sz w:val="17"/>
        </w:rPr>
        <w:t>(aussi</w:t>
      </w:r>
      <w:r>
        <w:rPr>
          <w:color w:val="231F20"/>
          <w:spacing w:val="5"/>
          <w:w w:val="115"/>
          <w:sz w:val="17"/>
        </w:rPr>
        <w:t> </w:t>
      </w:r>
      <w:r>
        <w:rPr>
          <w:color w:val="231F20"/>
          <w:spacing w:val="-2"/>
          <w:w w:val="115"/>
          <w:sz w:val="17"/>
        </w:rPr>
        <w:t>appelés</w:t>
      </w:r>
    </w:p>
    <w:p>
      <w:pPr>
        <w:pStyle w:val="BodyText"/>
        <w:spacing w:line="307" w:lineRule="auto" w:before="55"/>
        <w:ind w:left="1010" w:right="495"/>
        <w:jc w:val="both"/>
      </w:pPr>
      <w:r>
        <w:rPr>
          <w:color w:val="231F20"/>
          <w:w w:val="120"/>
        </w:rPr>
        <w:t>«</w:t>
      </w:r>
      <w:r>
        <w:rPr>
          <w:color w:val="231F20"/>
          <w:spacing w:val="-13"/>
          <w:w w:val="120"/>
        </w:rPr>
        <w:t> </w:t>
      </w:r>
      <w:r>
        <w:rPr>
          <w:color w:val="231F20"/>
          <w:w w:val="120"/>
        </w:rPr>
        <w:t>régulateurs»)</w:t>
      </w:r>
      <w:r>
        <w:rPr>
          <w:color w:val="231F20"/>
          <w:spacing w:val="-13"/>
          <w:w w:val="120"/>
        </w:rPr>
        <w:t> </w:t>
      </w:r>
      <w:r>
        <w:rPr>
          <w:color w:val="231F20"/>
          <w:w w:val="120"/>
        </w:rPr>
        <w:t>qui sont présents ou absents en période de stress sont</w:t>
      </w:r>
      <w:r>
        <w:rPr>
          <w:color w:val="231F20"/>
          <w:spacing w:val="-9"/>
          <w:w w:val="120"/>
        </w:rPr>
        <w:t> </w:t>
      </w:r>
      <w:r>
        <w:rPr>
          <w:color w:val="231F20"/>
          <w:w w:val="120"/>
        </w:rPr>
        <w:t>d’importants</w:t>
      </w:r>
      <w:r>
        <w:rPr>
          <w:color w:val="231F20"/>
          <w:spacing w:val="-9"/>
          <w:w w:val="120"/>
        </w:rPr>
        <w:t> </w:t>
      </w:r>
      <w:r>
        <w:rPr>
          <w:color w:val="231F20"/>
          <w:w w:val="120"/>
        </w:rPr>
        <w:t>modérateurs</w:t>
      </w:r>
      <w:r>
        <w:rPr>
          <w:color w:val="231F20"/>
          <w:spacing w:val="-9"/>
          <w:w w:val="120"/>
        </w:rPr>
        <w:t> </w:t>
      </w:r>
      <w:r>
        <w:rPr>
          <w:color w:val="231F20"/>
          <w:w w:val="120"/>
        </w:rPr>
        <w:t>des</w:t>
      </w:r>
      <w:r>
        <w:rPr>
          <w:color w:val="231F20"/>
          <w:spacing w:val="-9"/>
          <w:w w:val="120"/>
        </w:rPr>
        <w:t> </w:t>
      </w:r>
      <w:r>
        <w:rPr>
          <w:color w:val="231F20"/>
          <w:w w:val="120"/>
        </w:rPr>
        <w:t>réponses</w:t>
      </w:r>
      <w:r>
        <w:rPr>
          <w:color w:val="231F20"/>
          <w:spacing w:val="-9"/>
          <w:w w:val="120"/>
        </w:rPr>
        <w:t> </w:t>
      </w:r>
      <w:r>
        <w:rPr>
          <w:color w:val="231F20"/>
          <w:w w:val="120"/>
        </w:rPr>
        <w:t>au</w:t>
      </w:r>
      <w:r>
        <w:rPr>
          <w:color w:val="231F20"/>
          <w:spacing w:val="-9"/>
          <w:w w:val="120"/>
        </w:rPr>
        <w:t> </w:t>
      </w:r>
      <w:r>
        <w:rPr>
          <w:color w:val="231F20"/>
          <w:w w:val="120"/>
        </w:rPr>
        <w:t>stress.</w:t>
      </w:r>
      <w:r>
        <w:rPr>
          <w:color w:val="231F20"/>
          <w:spacing w:val="-9"/>
          <w:w w:val="120"/>
        </w:rPr>
        <w:t> </w:t>
      </w:r>
      <w:r>
        <w:rPr>
          <w:color w:val="231F20"/>
          <w:w w:val="120"/>
        </w:rPr>
        <w:t>Le</w:t>
      </w:r>
      <w:r>
        <w:rPr>
          <w:color w:val="231F20"/>
          <w:spacing w:val="-9"/>
          <w:w w:val="120"/>
        </w:rPr>
        <w:t> </w:t>
      </w:r>
      <w:r>
        <w:rPr>
          <w:color w:val="231F20"/>
          <w:w w:val="120"/>
        </w:rPr>
        <w:t>soutien social</w:t>
      </w:r>
      <w:r>
        <w:rPr>
          <w:color w:val="231F20"/>
          <w:spacing w:val="-8"/>
          <w:w w:val="120"/>
        </w:rPr>
        <w:t> </w:t>
      </w:r>
      <w:r>
        <w:rPr>
          <w:color w:val="231F20"/>
          <w:w w:val="120"/>
        </w:rPr>
        <w:t>est</w:t>
      </w:r>
      <w:r>
        <w:rPr>
          <w:color w:val="231F20"/>
          <w:spacing w:val="-8"/>
          <w:w w:val="120"/>
        </w:rPr>
        <w:t> </w:t>
      </w:r>
      <w:r>
        <w:rPr>
          <w:color w:val="231F20"/>
          <w:w w:val="120"/>
        </w:rPr>
        <w:t>l’un</w:t>
      </w:r>
      <w:r>
        <w:rPr>
          <w:color w:val="231F20"/>
          <w:spacing w:val="-8"/>
          <w:w w:val="120"/>
        </w:rPr>
        <w:t> </w:t>
      </w:r>
      <w:r>
        <w:rPr>
          <w:color w:val="231F20"/>
          <w:w w:val="120"/>
        </w:rPr>
        <w:t>de</w:t>
      </w:r>
      <w:r>
        <w:rPr>
          <w:color w:val="231F20"/>
          <w:spacing w:val="-8"/>
          <w:w w:val="120"/>
        </w:rPr>
        <w:t> </w:t>
      </w:r>
      <w:r>
        <w:rPr>
          <w:color w:val="231F20"/>
          <w:w w:val="120"/>
        </w:rPr>
        <w:t>ces</w:t>
      </w:r>
      <w:r>
        <w:rPr>
          <w:color w:val="231F20"/>
          <w:spacing w:val="-8"/>
          <w:w w:val="120"/>
        </w:rPr>
        <w:t> </w:t>
      </w:r>
      <w:r>
        <w:rPr>
          <w:color w:val="231F20"/>
          <w:w w:val="120"/>
        </w:rPr>
        <w:t>mécanismes.</w:t>
      </w:r>
      <w:r>
        <w:rPr>
          <w:color w:val="231F20"/>
          <w:spacing w:val="-8"/>
          <w:w w:val="120"/>
        </w:rPr>
        <w:t> </w:t>
      </w:r>
      <w:r>
        <w:rPr>
          <w:color w:val="231F20"/>
          <w:w w:val="120"/>
        </w:rPr>
        <w:t>Les</w:t>
      </w:r>
      <w:r>
        <w:rPr>
          <w:color w:val="231F20"/>
          <w:spacing w:val="-8"/>
          <w:w w:val="120"/>
        </w:rPr>
        <w:t> </w:t>
      </w:r>
      <w:r>
        <w:rPr>
          <w:color w:val="231F20"/>
          <w:w w:val="120"/>
        </w:rPr>
        <w:t>membres</w:t>
      </w:r>
      <w:r>
        <w:rPr>
          <w:color w:val="231F20"/>
          <w:spacing w:val="-8"/>
          <w:w w:val="120"/>
        </w:rPr>
        <w:t> </w:t>
      </w:r>
      <w:r>
        <w:rPr>
          <w:color w:val="231F20"/>
          <w:w w:val="120"/>
        </w:rPr>
        <w:t>du</w:t>
      </w:r>
      <w:r>
        <w:rPr>
          <w:color w:val="231F20"/>
          <w:spacing w:val="-8"/>
          <w:w w:val="120"/>
        </w:rPr>
        <w:t> </w:t>
      </w:r>
      <w:r>
        <w:rPr>
          <w:color w:val="231F20"/>
          <w:w w:val="120"/>
        </w:rPr>
        <w:t>réseau</w:t>
      </w:r>
      <w:r>
        <w:rPr>
          <w:color w:val="231F20"/>
          <w:spacing w:val="-8"/>
          <w:w w:val="120"/>
        </w:rPr>
        <w:t> </w:t>
      </w:r>
      <w:r>
        <w:rPr>
          <w:color w:val="231F20"/>
          <w:w w:val="120"/>
        </w:rPr>
        <w:t>social susceptibles</w:t>
      </w:r>
      <w:r>
        <w:rPr>
          <w:color w:val="231F20"/>
          <w:spacing w:val="-5"/>
          <w:w w:val="120"/>
        </w:rPr>
        <w:t> </w:t>
      </w:r>
      <w:r>
        <w:rPr>
          <w:color w:val="231F20"/>
          <w:w w:val="120"/>
        </w:rPr>
        <w:t>d’apporter</w:t>
      </w:r>
      <w:r>
        <w:rPr>
          <w:color w:val="231F20"/>
          <w:spacing w:val="-5"/>
          <w:w w:val="120"/>
        </w:rPr>
        <w:t> </w:t>
      </w:r>
      <w:r>
        <w:rPr>
          <w:color w:val="231F20"/>
          <w:w w:val="120"/>
        </w:rPr>
        <w:t>leur</w:t>
      </w:r>
      <w:r>
        <w:rPr>
          <w:color w:val="231F20"/>
          <w:spacing w:val="-5"/>
          <w:w w:val="120"/>
        </w:rPr>
        <w:t> </w:t>
      </w:r>
      <w:r>
        <w:rPr>
          <w:color w:val="231F20"/>
          <w:w w:val="120"/>
        </w:rPr>
        <w:t>soutien</w:t>
      </w:r>
      <w:r>
        <w:rPr>
          <w:color w:val="231F20"/>
          <w:spacing w:val="-5"/>
          <w:w w:val="120"/>
        </w:rPr>
        <w:t> </w:t>
      </w:r>
      <w:r>
        <w:rPr>
          <w:color w:val="231F20"/>
          <w:w w:val="120"/>
        </w:rPr>
        <w:t>sont</w:t>
      </w:r>
      <w:r>
        <w:rPr>
          <w:color w:val="231F20"/>
          <w:spacing w:val="-5"/>
          <w:w w:val="120"/>
        </w:rPr>
        <w:t> </w:t>
      </w:r>
      <w:r>
        <w:rPr>
          <w:color w:val="231F20"/>
          <w:w w:val="120"/>
        </w:rPr>
        <w:t>les</w:t>
      </w:r>
      <w:r>
        <w:rPr>
          <w:color w:val="231F20"/>
          <w:spacing w:val="-5"/>
          <w:w w:val="120"/>
        </w:rPr>
        <w:t> </w:t>
      </w:r>
      <w:r>
        <w:rPr>
          <w:color w:val="231F20"/>
          <w:w w:val="120"/>
        </w:rPr>
        <w:t>collègues</w:t>
      </w:r>
      <w:r>
        <w:rPr>
          <w:color w:val="231F20"/>
          <w:spacing w:val="-5"/>
          <w:w w:val="120"/>
        </w:rPr>
        <w:t> </w:t>
      </w:r>
      <w:r>
        <w:rPr>
          <w:color w:val="231F20"/>
          <w:w w:val="120"/>
        </w:rPr>
        <w:t>de</w:t>
      </w:r>
      <w:r>
        <w:rPr>
          <w:color w:val="231F20"/>
          <w:spacing w:val="-5"/>
          <w:w w:val="120"/>
        </w:rPr>
        <w:t> </w:t>
      </w:r>
      <w:r>
        <w:rPr>
          <w:color w:val="231F20"/>
          <w:w w:val="120"/>
        </w:rPr>
        <w:t>travail, les</w:t>
      </w:r>
      <w:r>
        <w:rPr>
          <w:color w:val="231F20"/>
          <w:spacing w:val="-13"/>
          <w:w w:val="120"/>
        </w:rPr>
        <w:t> </w:t>
      </w:r>
      <w:r>
        <w:rPr>
          <w:color w:val="231F20"/>
          <w:w w:val="120"/>
        </w:rPr>
        <w:t>supérieurs,</w:t>
      </w:r>
      <w:r>
        <w:rPr>
          <w:color w:val="231F20"/>
          <w:spacing w:val="-13"/>
          <w:w w:val="120"/>
        </w:rPr>
        <w:t> </w:t>
      </w:r>
      <w:r>
        <w:rPr>
          <w:color w:val="231F20"/>
          <w:w w:val="120"/>
        </w:rPr>
        <w:t>la</w:t>
      </w:r>
      <w:r>
        <w:rPr>
          <w:color w:val="231F20"/>
          <w:spacing w:val="-13"/>
          <w:w w:val="120"/>
        </w:rPr>
        <w:t> </w:t>
      </w:r>
      <w:r>
        <w:rPr>
          <w:color w:val="231F20"/>
          <w:w w:val="120"/>
        </w:rPr>
        <w:t>famille</w:t>
      </w:r>
      <w:r>
        <w:rPr>
          <w:color w:val="231F20"/>
          <w:spacing w:val="-12"/>
          <w:w w:val="120"/>
        </w:rPr>
        <w:t> </w:t>
      </w:r>
      <w:r>
        <w:rPr>
          <w:color w:val="231F20"/>
          <w:w w:val="120"/>
        </w:rPr>
        <w:t>et</w:t>
      </w:r>
      <w:r>
        <w:rPr>
          <w:color w:val="231F20"/>
          <w:spacing w:val="-13"/>
          <w:w w:val="120"/>
        </w:rPr>
        <w:t> </w:t>
      </w:r>
      <w:r>
        <w:rPr>
          <w:color w:val="231F20"/>
          <w:w w:val="120"/>
        </w:rPr>
        <w:t>les</w:t>
      </w:r>
      <w:r>
        <w:rPr>
          <w:color w:val="231F20"/>
          <w:spacing w:val="-13"/>
          <w:w w:val="120"/>
        </w:rPr>
        <w:t> </w:t>
      </w:r>
      <w:r>
        <w:rPr>
          <w:color w:val="231F20"/>
          <w:w w:val="120"/>
        </w:rPr>
        <w:t>amis.</w:t>
      </w:r>
      <w:r>
        <w:rPr>
          <w:color w:val="231F20"/>
          <w:spacing w:val="-13"/>
          <w:w w:val="120"/>
        </w:rPr>
        <w:t> </w:t>
      </w:r>
      <w:r>
        <w:rPr>
          <w:color w:val="231F20"/>
          <w:w w:val="120"/>
        </w:rPr>
        <w:t>La</w:t>
      </w:r>
      <w:r>
        <w:rPr>
          <w:color w:val="231F20"/>
          <w:spacing w:val="-12"/>
          <w:w w:val="120"/>
        </w:rPr>
        <w:t> </w:t>
      </w:r>
      <w:r>
        <w:rPr>
          <w:color w:val="231F20"/>
          <w:w w:val="120"/>
        </w:rPr>
        <w:t>disponibilité</w:t>
      </w:r>
      <w:r>
        <w:rPr>
          <w:color w:val="231F20"/>
          <w:spacing w:val="-13"/>
          <w:w w:val="120"/>
        </w:rPr>
        <w:t> </w:t>
      </w:r>
      <w:r>
        <w:rPr>
          <w:color w:val="231F20"/>
          <w:w w:val="120"/>
        </w:rPr>
        <w:t>d’un</w:t>
      </w:r>
      <w:r>
        <w:rPr>
          <w:color w:val="231F20"/>
          <w:spacing w:val="-13"/>
          <w:w w:val="120"/>
        </w:rPr>
        <w:t> </w:t>
      </w:r>
      <w:r>
        <w:rPr>
          <w:color w:val="231F20"/>
          <w:w w:val="120"/>
        </w:rPr>
        <w:t>tel</w:t>
      </w:r>
      <w:r>
        <w:rPr>
          <w:color w:val="231F20"/>
          <w:spacing w:val="-13"/>
          <w:w w:val="120"/>
        </w:rPr>
        <w:t> </w:t>
      </w:r>
      <w:r>
        <w:rPr>
          <w:color w:val="231F20"/>
          <w:w w:val="120"/>
        </w:rPr>
        <w:t>sou- tien</w:t>
      </w:r>
      <w:r>
        <w:rPr>
          <w:color w:val="231F20"/>
          <w:spacing w:val="-6"/>
          <w:w w:val="120"/>
        </w:rPr>
        <w:t> </w:t>
      </w:r>
      <w:r>
        <w:rPr>
          <w:color w:val="231F20"/>
          <w:w w:val="120"/>
        </w:rPr>
        <w:t>accroît</w:t>
      </w:r>
      <w:r>
        <w:rPr>
          <w:color w:val="231F20"/>
          <w:spacing w:val="-6"/>
          <w:w w:val="120"/>
        </w:rPr>
        <w:t> </w:t>
      </w:r>
      <w:r>
        <w:rPr>
          <w:color w:val="231F20"/>
          <w:w w:val="120"/>
        </w:rPr>
        <w:t>la</w:t>
      </w:r>
      <w:r>
        <w:rPr>
          <w:color w:val="231F20"/>
          <w:spacing w:val="-6"/>
          <w:w w:val="120"/>
        </w:rPr>
        <w:t> </w:t>
      </w:r>
      <w:r>
        <w:rPr>
          <w:color w:val="231F20"/>
          <w:w w:val="120"/>
        </w:rPr>
        <w:t>confiance</w:t>
      </w:r>
      <w:r>
        <w:rPr>
          <w:color w:val="231F20"/>
          <w:spacing w:val="-6"/>
          <w:w w:val="120"/>
        </w:rPr>
        <w:t> </w:t>
      </w:r>
      <w:r>
        <w:rPr>
          <w:color w:val="231F20"/>
          <w:w w:val="120"/>
        </w:rPr>
        <w:t>en</w:t>
      </w:r>
      <w:r>
        <w:rPr>
          <w:color w:val="231F20"/>
          <w:spacing w:val="-6"/>
          <w:w w:val="120"/>
        </w:rPr>
        <w:t> </w:t>
      </w:r>
      <w:r>
        <w:rPr>
          <w:color w:val="231F20"/>
          <w:w w:val="120"/>
        </w:rPr>
        <w:t>soi</w:t>
      </w:r>
      <w:r>
        <w:rPr>
          <w:color w:val="231F20"/>
          <w:spacing w:val="-6"/>
          <w:w w:val="120"/>
        </w:rPr>
        <w:t> </w:t>
      </w:r>
      <w:r>
        <w:rPr>
          <w:color w:val="231F20"/>
          <w:w w:val="120"/>
        </w:rPr>
        <w:t>et</w:t>
      </w:r>
      <w:r>
        <w:rPr>
          <w:color w:val="231F20"/>
          <w:spacing w:val="-6"/>
          <w:w w:val="120"/>
        </w:rPr>
        <w:t> </w:t>
      </w:r>
      <w:r>
        <w:rPr>
          <w:color w:val="231F20"/>
          <w:w w:val="120"/>
        </w:rPr>
        <w:t>renforce</w:t>
      </w:r>
      <w:r>
        <w:rPr>
          <w:color w:val="231F20"/>
          <w:spacing w:val="-6"/>
          <w:w w:val="120"/>
        </w:rPr>
        <w:t> </w:t>
      </w:r>
      <w:r>
        <w:rPr>
          <w:color w:val="231F20"/>
          <w:w w:val="120"/>
        </w:rPr>
        <w:t>la</w:t>
      </w:r>
      <w:r>
        <w:rPr>
          <w:color w:val="231F20"/>
          <w:spacing w:val="-6"/>
          <w:w w:val="120"/>
        </w:rPr>
        <w:t> </w:t>
      </w:r>
      <w:r>
        <w:rPr>
          <w:color w:val="231F20"/>
          <w:w w:val="120"/>
        </w:rPr>
        <w:t>capacité</w:t>
      </w:r>
      <w:r>
        <w:rPr>
          <w:color w:val="231F20"/>
          <w:spacing w:val="-6"/>
          <w:w w:val="120"/>
        </w:rPr>
        <w:t> </w:t>
      </w:r>
      <w:r>
        <w:rPr>
          <w:color w:val="231F20"/>
          <w:w w:val="120"/>
        </w:rPr>
        <w:t>d’affronter le</w:t>
      </w:r>
      <w:r>
        <w:rPr>
          <w:color w:val="231F20"/>
          <w:spacing w:val="-13"/>
          <w:w w:val="120"/>
        </w:rPr>
        <w:t> </w:t>
      </w:r>
      <w:r>
        <w:rPr>
          <w:color w:val="231F20"/>
          <w:w w:val="120"/>
        </w:rPr>
        <w:t>stress.</w:t>
      </w:r>
    </w:p>
    <w:p>
      <w:pPr>
        <w:pStyle w:val="BodyText"/>
        <w:spacing w:line="307" w:lineRule="auto" w:before="79"/>
        <w:ind w:left="510" w:right="492"/>
        <w:jc w:val="both"/>
      </w:pPr>
      <w:r>
        <w:rPr>
          <w:color w:val="231F20"/>
          <w:w w:val="115"/>
        </w:rPr>
        <w:t>Les</w:t>
      </w:r>
      <w:r>
        <w:rPr>
          <w:color w:val="231F20"/>
          <w:spacing w:val="-3"/>
          <w:w w:val="115"/>
        </w:rPr>
        <w:t> </w:t>
      </w:r>
      <w:r>
        <w:rPr>
          <w:color w:val="231F20"/>
          <w:w w:val="115"/>
        </w:rPr>
        <w:t>aspects</w:t>
      </w:r>
      <w:r>
        <w:rPr>
          <w:color w:val="231F20"/>
          <w:spacing w:val="-3"/>
          <w:w w:val="115"/>
        </w:rPr>
        <w:t> </w:t>
      </w:r>
      <w:r>
        <w:rPr>
          <w:color w:val="231F20"/>
          <w:w w:val="115"/>
        </w:rPr>
        <w:t>essentiels</w:t>
      </w:r>
      <w:r>
        <w:rPr>
          <w:color w:val="231F20"/>
          <w:spacing w:val="-3"/>
          <w:w w:val="115"/>
        </w:rPr>
        <w:t> </w:t>
      </w:r>
      <w:r>
        <w:rPr>
          <w:color w:val="231F20"/>
          <w:w w:val="115"/>
        </w:rPr>
        <w:t>de</w:t>
      </w:r>
      <w:r>
        <w:rPr>
          <w:color w:val="231F20"/>
          <w:spacing w:val="-3"/>
          <w:w w:val="115"/>
        </w:rPr>
        <w:t> </w:t>
      </w:r>
      <w:r>
        <w:rPr>
          <w:color w:val="231F20"/>
          <w:w w:val="115"/>
        </w:rPr>
        <w:t>ce</w:t>
      </w:r>
      <w:r>
        <w:rPr>
          <w:color w:val="231F20"/>
          <w:spacing w:val="-3"/>
          <w:w w:val="115"/>
        </w:rPr>
        <w:t> </w:t>
      </w:r>
      <w:r>
        <w:rPr>
          <w:color w:val="231F20"/>
          <w:w w:val="115"/>
        </w:rPr>
        <w:t>modèle</w:t>
      </w:r>
      <w:r>
        <w:rPr>
          <w:color w:val="231F20"/>
          <w:spacing w:val="-3"/>
          <w:w w:val="115"/>
        </w:rPr>
        <w:t> </w:t>
      </w:r>
      <w:r>
        <w:rPr>
          <w:color w:val="231F20"/>
          <w:w w:val="115"/>
        </w:rPr>
        <w:t>cognitif</w:t>
      </w:r>
      <w:r>
        <w:rPr>
          <w:color w:val="231F20"/>
          <w:spacing w:val="-3"/>
          <w:w w:val="115"/>
        </w:rPr>
        <w:t> </w:t>
      </w:r>
      <w:r>
        <w:rPr>
          <w:color w:val="231F20"/>
          <w:w w:val="115"/>
        </w:rPr>
        <w:t>et</w:t>
      </w:r>
      <w:r>
        <w:rPr>
          <w:color w:val="231F20"/>
          <w:spacing w:val="-3"/>
          <w:w w:val="115"/>
        </w:rPr>
        <w:t> </w:t>
      </w:r>
      <w:r>
        <w:rPr>
          <w:color w:val="231F20"/>
          <w:w w:val="115"/>
        </w:rPr>
        <w:t>conditionnel</w:t>
      </w:r>
      <w:r>
        <w:rPr>
          <w:color w:val="231F20"/>
          <w:spacing w:val="-3"/>
          <w:w w:val="115"/>
        </w:rPr>
        <w:t> </w:t>
      </w:r>
      <w:r>
        <w:rPr>
          <w:color w:val="231F20"/>
          <w:w w:val="115"/>
        </w:rPr>
        <w:t>du</w:t>
      </w:r>
      <w:r>
        <w:rPr>
          <w:color w:val="231F20"/>
          <w:spacing w:val="-3"/>
          <w:w w:val="115"/>
        </w:rPr>
        <w:t> </w:t>
      </w:r>
      <w:r>
        <w:rPr>
          <w:color w:val="231F20"/>
          <w:w w:val="115"/>
        </w:rPr>
        <w:t>stress</w:t>
      </w:r>
      <w:r>
        <w:rPr>
          <w:color w:val="231F20"/>
          <w:spacing w:val="-3"/>
          <w:w w:val="115"/>
        </w:rPr>
        <w:t> </w:t>
      </w:r>
      <w:r>
        <w:rPr>
          <w:color w:val="231F20"/>
          <w:w w:val="115"/>
        </w:rPr>
        <w:t>pro- fessionnel</w:t>
      </w:r>
      <w:r>
        <w:rPr>
          <w:color w:val="231F20"/>
          <w:spacing w:val="-13"/>
          <w:w w:val="115"/>
        </w:rPr>
        <w:t> </w:t>
      </w:r>
      <w:r>
        <w:rPr>
          <w:color w:val="231F20"/>
          <w:w w:val="115"/>
        </w:rPr>
        <w:t>de</w:t>
      </w:r>
      <w:r>
        <w:rPr>
          <w:color w:val="231F20"/>
          <w:spacing w:val="-12"/>
          <w:w w:val="115"/>
        </w:rPr>
        <w:t> </w:t>
      </w:r>
      <w:r>
        <w:rPr>
          <w:color w:val="231F20"/>
          <w:w w:val="115"/>
        </w:rPr>
        <w:t>Dolan</w:t>
      </w:r>
      <w:r>
        <w:rPr>
          <w:color w:val="231F20"/>
          <w:spacing w:val="-12"/>
          <w:w w:val="115"/>
        </w:rPr>
        <w:t> </w:t>
      </w:r>
      <w:r>
        <w:rPr>
          <w:color w:val="231F20"/>
          <w:w w:val="115"/>
        </w:rPr>
        <w:t>et</w:t>
      </w:r>
      <w:r>
        <w:rPr>
          <w:color w:val="231F20"/>
          <w:spacing w:val="-12"/>
          <w:w w:val="115"/>
        </w:rPr>
        <w:t> </w:t>
      </w:r>
      <w:r>
        <w:rPr>
          <w:color w:val="231F20"/>
          <w:w w:val="115"/>
        </w:rPr>
        <w:t>Arsenault</w:t>
      </w:r>
      <w:r>
        <w:rPr>
          <w:color w:val="231F20"/>
          <w:spacing w:val="-13"/>
          <w:w w:val="115"/>
        </w:rPr>
        <w:t> </w:t>
      </w:r>
      <w:r>
        <w:rPr>
          <w:color w:val="231F20"/>
          <w:w w:val="115"/>
        </w:rPr>
        <w:t>ont</w:t>
      </w:r>
      <w:r>
        <w:rPr>
          <w:color w:val="231F20"/>
          <w:spacing w:val="-12"/>
          <w:w w:val="115"/>
        </w:rPr>
        <w:t> </w:t>
      </w:r>
      <w:r>
        <w:rPr>
          <w:color w:val="231F20"/>
          <w:w w:val="115"/>
        </w:rPr>
        <w:t>été</w:t>
      </w:r>
      <w:r>
        <w:rPr>
          <w:color w:val="231F20"/>
          <w:spacing w:val="-12"/>
          <w:w w:val="115"/>
        </w:rPr>
        <w:t> </w:t>
      </w:r>
      <w:r>
        <w:rPr>
          <w:color w:val="231F20"/>
          <w:w w:val="115"/>
        </w:rPr>
        <w:t>validés</w:t>
      </w:r>
      <w:r>
        <w:rPr>
          <w:color w:val="231F20"/>
          <w:spacing w:val="-12"/>
          <w:w w:val="115"/>
        </w:rPr>
        <w:t> </w:t>
      </w:r>
      <w:r>
        <w:rPr>
          <w:color w:val="231F20"/>
          <w:w w:val="115"/>
        </w:rPr>
        <w:t>par</w:t>
      </w:r>
      <w:r>
        <w:rPr>
          <w:color w:val="231F20"/>
          <w:spacing w:val="-12"/>
          <w:w w:val="115"/>
        </w:rPr>
        <w:t> </w:t>
      </w:r>
      <w:r>
        <w:rPr>
          <w:color w:val="231F20"/>
          <w:w w:val="115"/>
        </w:rPr>
        <w:t>divers</w:t>
      </w:r>
      <w:r>
        <w:rPr>
          <w:color w:val="231F20"/>
          <w:spacing w:val="-13"/>
          <w:w w:val="115"/>
        </w:rPr>
        <w:t> </w:t>
      </w:r>
      <w:r>
        <w:rPr>
          <w:color w:val="231F20"/>
          <w:w w:val="115"/>
        </w:rPr>
        <w:t>chercheurs</w:t>
      </w:r>
      <w:r>
        <w:rPr>
          <w:color w:val="231F20"/>
          <w:spacing w:val="-12"/>
          <w:w w:val="115"/>
        </w:rPr>
        <w:t> </w:t>
      </w:r>
      <w:r>
        <w:rPr>
          <w:color w:val="231F20"/>
          <w:w w:val="115"/>
        </w:rPr>
        <w:t>dans </w:t>
      </w:r>
      <w:r>
        <w:rPr>
          <w:color w:val="231F20"/>
          <w:w w:val="120"/>
        </w:rPr>
        <w:t>plusieurs</w:t>
      </w:r>
      <w:r>
        <w:rPr>
          <w:color w:val="231F20"/>
          <w:spacing w:val="-2"/>
          <w:w w:val="120"/>
        </w:rPr>
        <w:t> </w:t>
      </w:r>
      <w:r>
        <w:rPr>
          <w:color w:val="231F20"/>
          <w:w w:val="120"/>
        </w:rPr>
        <w:t>organisations</w:t>
      </w:r>
      <w:r>
        <w:rPr>
          <w:color w:val="231F20"/>
          <w:spacing w:val="-3"/>
          <w:w w:val="120"/>
        </w:rPr>
        <w:t> </w:t>
      </w:r>
      <w:r>
        <w:rPr>
          <w:color w:val="231F20"/>
          <w:w w:val="120"/>
        </w:rPr>
        <w:t>couvrant</w:t>
      </w:r>
      <w:r>
        <w:rPr>
          <w:color w:val="231F20"/>
          <w:spacing w:val="-2"/>
          <w:w w:val="120"/>
        </w:rPr>
        <w:t> </w:t>
      </w:r>
      <w:r>
        <w:rPr>
          <w:color w:val="231F20"/>
          <w:w w:val="120"/>
        </w:rPr>
        <w:t>une</w:t>
      </w:r>
      <w:r>
        <w:rPr>
          <w:color w:val="231F20"/>
          <w:spacing w:val="-3"/>
          <w:w w:val="120"/>
        </w:rPr>
        <w:t> </w:t>
      </w:r>
      <w:r>
        <w:rPr>
          <w:color w:val="231F20"/>
          <w:w w:val="120"/>
        </w:rPr>
        <w:t>gamme</w:t>
      </w:r>
      <w:r>
        <w:rPr>
          <w:color w:val="231F20"/>
          <w:spacing w:val="-2"/>
          <w:w w:val="120"/>
        </w:rPr>
        <w:t> </w:t>
      </w:r>
      <w:r>
        <w:rPr>
          <w:color w:val="231F20"/>
          <w:w w:val="120"/>
        </w:rPr>
        <w:t>d’occupations:</w:t>
      </w:r>
      <w:r>
        <w:rPr>
          <w:color w:val="231F20"/>
          <w:spacing w:val="-6"/>
          <w:w w:val="120"/>
        </w:rPr>
        <w:t> </w:t>
      </w:r>
      <w:r>
        <w:rPr>
          <w:color w:val="231F20"/>
          <w:w w:val="120"/>
        </w:rPr>
        <w:t>personnel </w:t>
      </w:r>
      <w:r>
        <w:rPr>
          <w:color w:val="231F20"/>
          <w:spacing w:val="-2"/>
          <w:w w:val="120"/>
        </w:rPr>
        <w:t>hospitalier,</w:t>
      </w:r>
      <w:r>
        <w:rPr>
          <w:color w:val="231F20"/>
          <w:spacing w:val="-10"/>
          <w:w w:val="120"/>
        </w:rPr>
        <w:t> </w:t>
      </w:r>
      <w:r>
        <w:rPr>
          <w:color w:val="231F20"/>
          <w:spacing w:val="-2"/>
          <w:w w:val="120"/>
        </w:rPr>
        <w:t>enseignants,</w:t>
      </w:r>
      <w:r>
        <w:rPr>
          <w:color w:val="231F20"/>
          <w:spacing w:val="-10"/>
          <w:w w:val="120"/>
        </w:rPr>
        <w:t> </w:t>
      </w:r>
      <w:r>
        <w:rPr>
          <w:color w:val="231F20"/>
          <w:spacing w:val="-2"/>
          <w:w w:val="120"/>
        </w:rPr>
        <w:t>policiers,</w:t>
      </w:r>
      <w:r>
        <w:rPr>
          <w:color w:val="231F20"/>
          <w:spacing w:val="-10"/>
          <w:w w:val="120"/>
        </w:rPr>
        <w:t> </w:t>
      </w:r>
      <w:r>
        <w:rPr>
          <w:color w:val="231F20"/>
          <w:spacing w:val="-2"/>
          <w:w w:val="120"/>
        </w:rPr>
        <w:t>procureurs,</w:t>
      </w:r>
      <w:r>
        <w:rPr>
          <w:color w:val="231F20"/>
          <w:spacing w:val="-10"/>
          <w:w w:val="120"/>
        </w:rPr>
        <w:t> </w:t>
      </w:r>
      <w:r>
        <w:rPr>
          <w:color w:val="231F20"/>
          <w:spacing w:val="-2"/>
          <w:w w:val="120"/>
        </w:rPr>
        <w:t>cadres</w:t>
      </w:r>
      <w:r>
        <w:rPr>
          <w:color w:val="231F20"/>
          <w:spacing w:val="-10"/>
          <w:w w:val="120"/>
        </w:rPr>
        <w:t> </w:t>
      </w:r>
      <w:r>
        <w:rPr>
          <w:color w:val="231F20"/>
          <w:spacing w:val="-2"/>
          <w:w w:val="120"/>
        </w:rPr>
        <w:t>dirigeants</w:t>
      </w:r>
      <w:r>
        <w:rPr>
          <w:color w:val="231F20"/>
          <w:spacing w:val="-10"/>
          <w:w w:val="120"/>
        </w:rPr>
        <w:t> </w:t>
      </w:r>
      <w:r>
        <w:rPr>
          <w:color w:val="231F20"/>
          <w:spacing w:val="-2"/>
          <w:w w:val="120"/>
        </w:rPr>
        <w:t>ou</w:t>
      </w:r>
      <w:r>
        <w:rPr>
          <w:color w:val="231F20"/>
          <w:spacing w:val="-10"/>
          <w:w w:val="120"/>
        </w:rPr>
        <w:t> </w:t>
      </w:r>
      <w:r>
        <w:rPr>
          <w:color w:val="231F20"/>
          <w:spacing w:val="-2"/>
          <w:w w:val="120"/>
        </w:rPr>
        <w:t>inter- </w:t>
      </w:r>
      <w:r>
        <w:rPr>
          <w:color w:val="231F20"/>
          <w:w w:val="115"/>
        </w:rPr>
        <w:t>médiaires, superviseurs de première ligne, programmeurs, secrétaires12. On</w:t>
      </w:r>
      <w:r>
        <w:rPr>
          <w:color w:val="231F20"/>
          <w:spacing w:val="-7"/>
          <w:w w:val="115"/>
        </w:rPr>
        <w:t> </w:t>
      </w:r>
      <w:r>
        <w:rPr>
          <w:color w:val="231F20"/>
          <w:w w:val="115"/>
        </w:rPr>
        <w:t>remarquera</w:t>
      </w:r>
      <w:r>
        <w:rPr>
          <w:color w:val="231F20"/>
          <w:spacing w:val="-7"/>
          <w:w w:val="115"/>
        </w:rPr>
        <w:t> </w:t>
      </w:r>
      <w:r>
        <w:rPr>
          <w:color w:val="231F20"/>
          <w:w w:val="115"/>
        </w:rPr>
        <w:t>que</w:t>
      </w:r>
      <w:r>
        <w:rPr>
          <w:color w:val="231F20"/>
          <w:spacing w:val="-7"/>
          <w:w w:val="115"/>
        </w:rPr>
        <w:t> </w:t>
      </w:r>
      <w:r>
        <w:rPr>
          <w:color w:val="231F20"/>
          <w:w w:val="115"/>
        </w:rPr>
        <w:t>les</w:t>
      </w:r>
      <w:r>
        <w:rPr>
          <w:color w:val="231F20"/>
          <w:spacing w:val="-7"/>
          <w:w w:val="115"/>
        </w:rPr>
        <w:t> </w:t>
      </w:r>
      <w:r>
        <w:rPr>
          <w:color w:val="231F20"/>
          <w:w w:val="115"/>
        </w:rPr>
        <w:t>tensions,</w:t>
      </w:r>
      <w:r>
        <w:rPr>
          <w:color w:val="231F20"/>
          <w:spacing w:val="-7"/>
          <w:w w:val="115"/>
        </w:rPr>
        <w:t> </w:t>
      </w:r>
      <w:r>
        <w:rPr>
          <w:color w:val="231F20"/>
          <w:w w:val="115"/>
        </w:rPr>
        <w:t>soit</w:t>
      </w:r>
      <w:r>
        <w:rPr>
          <w:color w:val="231F20"/>
          <w:spacing w:val="-7"/>
          <w:w w:val="115"/>
        </w:rPr>
        <w:t> </w:t>
      </w:r>
      <w:r>
        <w:rPr>
          <w:color w:val="231F20"/>
          <w:w w:val="115"/>
        </w:rPr>
        <w:t>les</w:t>
      </w:r>
      <w:r>
        <w:rPr>
          <w:color w:val="231F20"/>
          <w:spacing w:val="-7"/>
          <w:w w:val="115"/>
        </w:rPr>
        <w:t> </w:t>
      </w:r>
      <w:r>
        <w:rPr>
          <w:color w:val="231F20"/>
          <w:w w:val="115"/>
        </w:rPr>
        <w:t>conséquences</w:t>
      </w:r>
      <w:r>
        <w:rPr>
          <w:color w:val="231F20"/>
          <w:spacing w:val="-7"/>
          <w:w w:val="115"/>
        </w:rPr>
        <w:t> </w:t>
      </w:r>
      <w:r>
        <w:rPr>
          <w:color w:val="231F20"/>
          <w:w w:val="115"/>
        </w:rPr>
        <w:t>du</w:t>
      </w:r>
      <w:r>
        <w:rPr>
          <w:color w:val="231F20"/>
          <w:spacing w:val="-7"/>
          <w:w w:val="115"/>
        </w:rPr>
        <w:t> </w:t>
      </w:r>
      <w:r>
        <w:rPr>
          <w:color w:val="231F20"/>
          <w:w w:val="115"/>
        </w:rPr>
        <w:t>stress</w:t>
      </w:r>
      <w:r>
        <w:rPr>
          <w:color w:val="231F20"/>
          <w:spacing w:val="-7"/>
          <w:w w:val="115"/>
        </w:rPr>
        <w:t> </w:t>
      </w:r>
      <w:r>
        <w:rPr>
          <w:color w:val="231F20"/>
          <w:w w:val="115"/>
        </w:rPr>
        <w:t>au</w:t>
      </w:r>
      <w:r>
        <w:rPr>
          <w:color w:val="231F20"/>
          <w:spacing w:val="-7"/>
          <w:w w:val="115"/>
        </w:rPr>
        <w:t> </w:t>
      </w:r>
      <w:r>
        <w:rPr>
          <w:color w:val="231F20"/>
          <w:w w:val="115"/>
        </w:rPr>
        <w:t>travail, </w:t>
      </w:r>
      <w:r>
        <w:rPr>
          <w:color w:val="231F20"/>
          <w:w w:val="120"/>
        </w:rPr>
        <w:t>sont regroupées en deux catégories</w:t>
      </w:r>
      <w:r>
        <w:rPr>
          <w:color w:val="231F20"/>
          <w:spacing w:val="-13"/>
          <w:w w:val="120"/>
        </w:rPr>
        <w:t> </w:t>
      </w:r>
      <w:r>
        <w:rPr>
          <w:color w:val="231F20"/>
          <w:w w:val="120"/>
        </w:rPr>
        <w:t>: celles qui nuisent à la santé de l’individu</w:t>
      </w:r>
      <w:r>
        <w:rPr>
          <w:color w:val="231F20"/>
          <w:spacing w:val="-1"/>
          <w:w w:val="120"/>
        </w:rPr>
        <w:t> </w:t>
      </w:r>
      <w:r>
        <w:rPr>
          <w:color w:val="231F20"/>
          <w:w w:val="120"/>
        </w:rPr>
        <w:t>et</w:t>
      </w:r>
      <w:r>
        <w:rPr>
          <w:color w:val="231F20"/>
          <w:spacing w:val="-1"/>
          <w:w w:val="120"/>
        </w:rPr>
        <w:t> </w:t>
      </w:r>
      <w:r>
        <w:rPr>
          <w:color w:val="231F20"/>
          <w:w w:val="120"/>
        </w:rPr>
        <w:t>celles</w:t>
      </w:r>
      <w:r>
        <w:rPr>
          <w:color w:val="231F20"/>
          <w:spacing w:val="-1"/>
          <w:w w:val="120"/>
        </w:rPr>
        <w:t> </w:t>
      </w:r>
      <w:r>
        <w:rPr>
          <w:color w:val="231F20"/>
          <w:w w:val="120"/>
        </w:rPr>
        <w:t>qui</w:t>
      </w:r>
      <w:r>
        <w:rPr>
          <w:color w:val="231F20"/>
          <w:spacing w:val="-1"/>
          <w:w w:val="120"/>
        </w:rPr>
        <w:t> </w:t>
      </w:r>
      <w:r>
        <w:rPr>
          <w:color w:val="231F20"/>
          <w:w w:val="120"/>
        </w:rPr>
        <w:t>sont</w:t>
      </w:r>
      <w:r>
        <w:rPr>
          <w:color w:val="231F20"/>
          <w:spacing w:val="-1"/>
          <w:w w:val="120"/>
        </w:rPr>
        <w:t> </w:t>
      </w:r>
      <w:r>
        <w:rPr>
          <w:color w:val="231F20"/>
          <w:w w:val="120"/>
        </w:rPr>
        <w:t>préjudiciables</w:t>
      </w:r>
      <w:r>
        <w:rPr>
          <w:color w:val="231F20"/>
          <w:spacing w:val="-1"/>
          <w:w w:val="120"/>
        </w:rPr>
        <w:t> </w:t>
      </w:r>
      <w:r>
        <w:rPr>
          <w:color w:val="231F20"/>
          <w:w w:val="120"/>
        </w:rPr>
        <w:t>à</w:t>
      </w:r>
      <w:r>
        <w:rPr>
          <w:color w:val="231F20"/>
          <w:spacing w:val="-1"/>
          <w:w w:val="120"/>
        </w:rPr>
        <w:t> </w:t>
      </w:r>
      <w:r>
        <w:rPr>
          <w:color w:val="231F20"/>
          <w:w w:val="120"/>
        </w:rPr>
        <w:t>la</w:t>
      </w:r>
      <w:r>
        <w:rPr>
          <w:color w:val="231F20"/>
          <w:spacing w:val="-1"/>
          <w:w w:val="120"/>
        </w:rPr>
        <w:t> </w:t>
      </w:r>
      <w:r>
        <w:rPr>
          <w:color w:val="231F20"/>
          <w:w w:val="120"/>
        </w:rPr>
        <w:t>santé</w:t>
      </w:r>
      <w:r>
        <w:rPr>
          <w:color w:val="231F20"/>
          <w:spacing w:val="-1"/>
          <w:w w:val="120"/>
        </w:rPr>
        <w:t> </w:t>
      </w:r>
      <w:r>
        <w:rPr>
          <w:color w:val="231F20"/>
          <w:w w:val="120"/>
        </w:rPr>
        <w:t>de</w:t>
      </w:r>
      <w:r>
        <w:rPr>
          <w:color w:val="231F20"/>
          <w:spacing w:val="-1"/>
          <w:w w:val="120"/>
        </w:rPr>
        <w:t> </w:t>
      </w:r>
      <w:r>
        <w:rPr>
          <w:color w:val="231F20"/>
          <w:w w:val="120"/>
        </w:rPr>
        <w:t>l’organisation.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2"/>
        </w:rPr>
      </w:pPr>
      <w:r>
        <w:rPr/>
        <w:pict>
          <v:shape style="position:absolute;margin-left:62.5pt;margin-top:8.282727pt;width:287.5pt;height:.1pt;mso-position-horizontal-relative:page;mso-position-vertical-relative:paragraph;z-index:-15692800;mso-wrap-distance-left:0;mso-wrap-distance-right:0" id="docshape523" coordorigin="1250,166" coordsize="5750,0" path="m1250,166l7000,166e" filled="false" stroked="true" strokeweight=".25pt" strokecolor="#231f20">
            <v:path arrowok="t"/>
            <v:stroke dashstyle="shortdot"/>
            <w10:wrap type="topAndBottom"/>
          </v:shape>
        </w:pict>
      </w:r>
    </w:p>
    <w:p>
      <w:pPr>
        <w:pStyle w:val="ListParagraph"/>
        <w:numPr>
          <w:ilvl w:val="0"/>
          <w:numId w:val="18"/>
        </w:numPr>
        <w:tabs>
          <w:tab w:pos="510" w:val="left" w:leader="none"/>
        </w:tabs>
        <w:spacing w:line="295" w:lineRule="auto" w:before="135" w:after="0"/>
        <w:ind w:left="509" w:right="494" w:hanging="406"/>
        <w:jc w:val="both"/>
        <w:rPr>
          <w:rFonts w:ascii="Arial"/>
          <w:sz w:val="12"/>
        </w:rPr>
      </w:pPr>
      <w:r>
        <w:rPr>
          <w:rFonts w:ascii="Arial"/>
          <w:color w:val="231F20"/>
          <w:sz w:val="12"/>
        </w:rPr>
        <w:t>Dolan, S. L. (1987). Job stress among college administrators</w:t>
      </w:r>
      <w:r>
        <w:rPr>
          <w:rFonts w:ascii="Arial"/>
          <w:color w:val="231F20"/>
          <w:spacing w:val="-9"/>
          <w:sz w:val="12"/>
        </w:rPr>
        <w:t> </w:t>
      </w:r>
      <w:r>
        <w:rPr>
          <w:rFonts w:ascii="Arial"/>
          <w:color w:val="231F20"/>
          <w:sz w:val="12"/>
        </w:rPr>
        <w:t>: An empirical study, </w:t>
      </w:r>
      <w:r>
        <w:rPr>
          <w:rFonts w:ascii="Arial"/>
          <w:i/>
          <w:color w:val="231F20"/>
          <w:sz w:val="12"/>
        </w:rPr>
        <w:t>International Journal of</w:t>
      </w:r>
      <w:r>
        <w:rPr>
          <w:rFonts w:ascii="Arial"/>
          <w:i/>
          <w:color w:val="231F20"/>
          <w:spacing w:val="40"/>
          <w:sz w:val="12"/>
        </w:rPr>
        <w:t> </w:t>
      </w:r>
      <w:r>
        <w:rPr>
          <w:rFonts w:ascii="Arial"/>
          <w:i/>
          <w:color w:val="231F20"/>
          <w:sz w:val="12"/>
        </w:rPr>
        <w:t>Management</w:t>
      </w:r>
      <w:r>
        <w:rPr>
          <w:rFonts w:ascii="Arial"/>
          <w:color w:val="231F20"/>
          <w:sz w:val="12"/>
        </w:rPr>
        <w:t>,</w:t>
      </w:r>
      <w:r>
        <w:rPr>
          <w:rFonts w:ascii="Arial"/>
          <w:color w:val="231F20"/>
          <w:spacing w:val="-9"/>
          <w:sz w:val="12"/>
        </w:rPr>
        <w:t> </w:t>
      </w:r>
      <w:r>
        <w:rPr>
          <w:rFonts w:ascii="Arial"/>
          <w:i/>
          <w:color w:val="231F20"/>
          <w:sz w:val="12"/>
        </w:rPr>
        <w:t>4</w:t>
      </w:r>
      <w:r>
        <w:rPr>
          <w:rFonts w:ascii="Arial"/>
          <w:color w:val="231F20"/>
          <w:sz w:val="12"/>
        </w:rPr>
        <w:t>,</w:t>
      </w:r>
      <w:r>
        <w:rPr>
          <w:rFonts w:ascii="Arial"/>
          <w:color w:val="231F20"/>
          <w:spacing w:val="-5"/>
          <w:sz w:val="12"/>
        </w:rPr>
        <w:t> </w:t>
      </w:r>
      <w:r>
        <w:rPr>
          <w:rFonts w:ascii="Arial"/>
          <w:color w:val="231F20"/>
          <w:sz w:val="12"/>
        </w:rPr>
        <w:t>553-560</w:t>
      </w:r>
      <w:r>
        <w:rPr>
          <w:rFonts w:ascii="Arial"/>
          <w:color w:val="231F20"/>
          <w:spacing w:val="-9"/>
          <w:sz w:val="12"/>
        </w:rPr>
        <w:t> </w:t>
      </w:r>
      <w:r>
        <w:rPr>
          <w:rFonts w:ascii="Arial"/>
          <w:color w:val="231F20"/>
          <w:sz w:val="12"/>
        </w:rPr>
        <w:t>; Van Ameringen, M. R., Arsenault, A. et Dolan, S. L. (1988). Intrinsic job stress as</w:t>
      </w:r>
      <w:r>
        <w:rPr>
          <w:rFonts w:ascii="Arial"/>
          <w:color w:val="231F20"/>
          <w:spacing w:val="40"/>
          <w:sz w:val="12"/>
        </w:rPr>
        <w:t> </w:t>
      </w:r>
      <w:r>
        <w:rPr>
          <w:rFonts w:ascii="Arial"/>
          <w:color w:val="231F20"/>
          <w:sz w:val="12"/>
        </w:rPr>
        <w:t>predictor of diastolic blood pressure among female hospital workers, </w:t>
      </w:r>
      <w:r>
        <w:rPr>
          <w:rFonts w:ascii="Arial"/>
          <w:i/>
          <w:color w:val="231F20"/>
          <w:sz w:val="12"/>
        </w:rPr>
        <w:t>Journal of Occupational Medicine</w:t>
      </w:r>
      <w:r>
        <w:rPr>
          <w:rFonts w:ascii="Arial"/>
          <w:color w:val="231F20"/>
          <w:sz w:val="12"/>
        </w:rPr>
        <w:t>, </w:t>
      </w:r>
      <w:r>
        <w:rPr>
          <w:rFonts w:ascii="Arial"/>
          <w:i/>
          <w:color w:val="231F20"/>
          <w:sz w:val="12"/>
        </w:rPr>
        <w:t>30</w:t>
      </w:r>
      <w:r>
        <w:rPr>
          <w:rFonts w:ascii="Arial"/>
          <w:color w:val="231F20"/>
          <w:sz w:val="12"/>
        </w:rPr>
        <w:t>,</w:t>
      </w:r>
      <w:r>
        <w:rPr>
          <w:rFonts w:ascii="Arial"/>
          <w:color w:val="231F20"/>
          <w:spacing w:val="40"/>
          <w:sz w:val="12"/>
        </w:rPr>
        <w:t> </w:t>
      </w:r>
      <w:r>
        <w:rPr>
          <w:rFonts w:ascii="Arial"/>
          <w:color w:val="231F20"/>
          <w:spacing w:val="-2"/>
          <w:sz w:val="12"/>
        </w:rPr>
        <w:t>93-97</w:t>
      </w:r>
      <w:r>
        <w:rPr>
          <w:rFonts w:ascii="Arial"/>
          <w:color w:val="231F20"/>
          <w:spacing w:val="-7"/>
          <w:sz w:val="12"/>
        </w:rPr>
        <w:t> </w:t>
      </w:r>
      <w:r>
        <w:rPr>
          <w:rFonts w:ascii="Arial"/>
          <w:color w:val="231F20"/>
          <w:spacing w:val="-2"/>
          <w:sz w:val="12"/>
        </w:rPr>
        <w:t>;</w:t>
      </w:r>
      <w:r>
        <w:rPr>
          <w:rFonts w:ascii="Arial"/>
          <w:color w:val="231F20"/>
          <w:spacing w:val="-6"/>
          <w:sz w:val="12"/>
        </w:rPr>
        <w:t> </w:t>
      </w:r>
      <w:r>
        <w:rPr>
          <w:rFonts w:ascii="Arial"/>
          <w:color w:val="231F20"/>
          <w:spacing w:val="-2"/>
          <w:sz w:val="12"/>
        </w:rPr>
        <w:t>Dolan,</w:t>
      </w:r>
      <w:r>
        <w:rPr>
          <w:rFonts w:ascii="Arial"/>
          <w:color w:val="231F20"/>
          <w:spacing w:val="-6"/>
          <w:sz w:val="12"/>
        </w:rPr>
        <w:t> </w:t>
      </w:r>
      <w:r>
        <w:rPr>
          <w:rFonts w:ascii="Arial"/>
          <w:color w:val="231F20"/>
          <w:spacing w:val="-2"/>
          <w:sz w:val="12"/>
        </w:rPr>
        <w:t>S.</w:t>
      </w:r>
      <w:r>
        <w:rPr>
          <w:rFonts w:ascii="Arial"/>
          <w:color w:val="231F20"/>
          <w:spacing w:val="-7"/>
          <w:sz w:val="12"/>
        </w:rPr>
        <w:t> </w:t>
      </w:r>
      <w:r>
        <w:rPr>
          <w:rFonts w:ascii="Arial"/>
          <w:color w:val="231F20"/>
          <w:spacing w:val="-2"/>
          <w:sz w:val="12"/>
        </w:rPr>
        <w:t>L.</w:t>
      </w:r>
      <w:r>
        <w:rPr>
          <w:rFonts w:ascii="Arial"/>
          <w:color w:val="231F20"/>
          <w:spacing w:val="-3"/>
          <w:sz w:val="12"/>
        </w:rPr>
        <w:t> </w:t>
      </w:r>
      <w:r>
        <w:rPr>
          <w:rFonts w:ascii="Arial"/>
          <w:color w:val="231F20"/>
          <w:spacing w:val="-2"/>
          <w:sz w:val="12"/>
        </w:rPr>
        <w:t>et Tziner, A. (1988). Implementing computer-based automation in the office</w:t>
      </w:r>
      <w:r>
        <w:rPr>
          <w:rFonts w:ascii="Arial"/>
          <w:color w:val="231F20"/>
          <w:spacing w:val="-7"/>
          <w:sz w:val="12"/>
        </w:rPr>
        <w:t> </w:t>
      </w:r>
      <w:r>
        <w:rPr>
          <w:rFonts w:ascii="Arial"/>
          <w:color w:val="231F20"/>
          <w:spacing w:val="-2"/>
          <w:sz w:val="12"/>
        </w:rPr>
        <w:t>: A comparative</w:t>
      </w:r>
      <w:r>
        <w:rPr>
          <w:rFonts w:ascii="Arial"/>
          <w:color w:val="231F20"/>
          <w:spacing w:val="40"/>
          <w:sz w:val="12"/>
        </w:rPr>
        <w:t> </w:t>
      </w:r>
      <w:r>
        <w:rPr>
          <w:rFonts w:ascii="Arial"/>
          <w:color w:val="231F20"/>
          <w:sz w:val="12"/>
        </w:rPr>
        <w:t>study</w:t>
      </w:r>
      <w:r>
        <w:rPr>
          <w:rFonts w:ascii="Arial"/>
          <w:color w:val="231F20"/>
          <w:spacing w:val="-9"/>
          <w:sz w:val="12"/>
        </w:rPr>
        <w:t> </w:t>
      </w:r>
      <w:r>
        <w:rPr>
          <w:rFonts w:ascii="Arial"/>
          <w:color w:val="231F20"/>
          <w:sz w:val="12"/>
        </w:rPr>
        <w:t>of</w:t>
      </w:r>
      <w:r>
        <w:rPr>
          <w:rFonts w:ascii="Arial"/>
          <w:color w:val="231F20"/>
          <w:spacing w:val="-8"/>
          <w:sz w:val="12"/>
        </w:rPr>
        <w:t> </w:t>
      </w:r>
      <w:r>
        <w:rPr>
          <w:rFonts w:ascii="Arial"/>
          <w:color w:val="231F20"/>
          <w:sz w:val="12"/>
        </w:rPr>
        <w:t>experienced</w:t>
      </w:r>
      <w:r>
        <w:rPr>
          <w:rFonts w:ascii="Arial"/>
          <w:color w:val="231F20"/>
          <w:spacing w:val="-8"/>
          <w:sz w:val="12"/>
        </w:rPr>
        <w:t> </w:t>
      </w:r>
      <w:r>
        <w:rPr>
          <w:rFonts w:ascii="Arial"/>
          <w:color w:val="231F20"/>
          <w:sz w:val="12"/>
        </w:rPr>
        <w:t>stress,</w:t>
      </w:r>
      <w:r>
        <w:rPr>
          <w:rFonts w:ascii="Arial"/>
          <w:color w:val="231F20"/>
          <w:spacing w:val="-9"/>
          <w:sz w:val="12"/>
        </w:rPr>
        <w:t> </w:t>
      </w:r>
      <w:r>
        <w:rPr>
          <w:rFonts w:ascii="Arial"/>
          <w:i/>
          <w:color w:val="231F20"/>
          <w:sz w:val="12"/>
        </w:rPr>
        <w:t>Journal</w:t>
      </w:r>
      <w:r>
        <w:rPr>
          <w:rFonts w:ascii="Arial"/>
          <w:i/>
          <w:color w:val="231F20"/>
          <w:spacing w:val="-5"/>
          <w:sz w:val="12"/>
        </w:rPr>
        <w:t> </w:t>
      </w:r>
      <w:r>
        <w:rPr>
          <w:rFonts w:ascii="Arial"/>
          <w:i/>
          <w:color w:val="231F20"/>
          <w:sz w:val="12"/>
        </w:rPr>
        <w:t>of</w:t>
      </w:r>
      <w:r>
        <w:rPr>
          <w:rFonts w:ascii="Arial"/>
          <w:i/>
          <w:color w:val="231F20"/>
          <w:spacing w:val="-5"/>
          <w:sz w:val="12"/>
        </w:rPr>
        <w:t> </w:t>
      </w:r>
      <w:r>
        <w:rPr>
          <w:rFonts w:ascii="Arial"/>
          <w:i/>
          <w:color w:val="231F20"/>
          <w:sz w:val="12"/>
        </w:rPr>
        <w:t>Organizational</w:t>
      </w:r>
      <w:r>
        <w:rPr>
          <w:rFonts w:ascii="Arial"/>
          <w:i/>
          <w:color w:val="231F20"/>
          <w:spacing w:val="-5"/>
          <w:sz w:val="12"/>
        </w:rPr>
        <w:t> </w:t>
      </w:r>
      <w:r>
        <w:rPr>
          <w:rFonts w:ascii="Arial"/>
          <w:i/>
          <w:color w:val="231F20"/>
          <w:sz w:val="12"/>
        </w:rPr>
        <w:t>Behavior</w:t>
      </w:r>
      <w:r>
        <w:rPr>
          <w:rFonts w:ascii="Arial"/>
          <w:color w:val="231F20"/>
          <w:sz w:val="12"/>
        </w:rPr>
        <w:t>,</w:t>
      </w:r>
      <w:r>
        <w:rPr>
          <w:rFonts w:ascii="Arial"/>
          <w:color w:val="231F20"/>
          <w:spacing w:val="-5"/>
          <w:sz w:val="12"/>
        </w:rPr>
        <w:t> </w:t>
      </w:r>
      <w:r>
        <w:rPr>
          <w:rFonts w:ascii="Arial"/>
          <w:i/>
          <w:color w:val="231F20"/>
          <w:sz w:val="12"/>
        </w:rPr>
        <w:t>19</w:t>
      </w:r>
      <w:r>
        <w:rPr>
          <w:rFonts w:ascii="Arial"/>
          <w:color w:val="231F20"/>
          <w:sz w:val="12"/>
        </w:rPr>
        <w:t>,</w:t>
      </w:r>
      <w:r>
        <w:rPr>
          <w:rFonts w:ascii="Arial"/>
          <w:color w:val="231F20"/>
          <w:spacing w:val="-5"/>
          <w:sz w:val="12"/>
        </w:rPr>
        <w:t> </w:t>
      </w:r>
      <w:r>
        <w:rPr>
          <w:rFonts w:ascii="Arial"/>
          <w:color w:val="231F20"/>
          <w:sz w:val="12"/>
        </w:rPr>
        <w:t>183-187</w:t>
      </w:r>
      <w:r>
        <w:rPr>
          <w:rFonts w:ascii="Arial"/>
          <w:color w:val="231F20"/>
          <w:spacing w:val="-9"/>
          <w:sz w:val="12"/>
        </w:rPr>
        <w:t> </w:t>
      </w:r>
      <w:r>
        <w:rPr>
          <w:rFonts w:ascii="Arial"/>
          <w:color w:val="231F20"/>
          <w:sz w:val="12"/>
        </w:rPr>
        <w:t>;</w:t>
      </w:r>
      <w:r>
        <w:rPr>
          <w:rFonts w:ascii="Arial"/>
          <w:color w:val="231F20"/>
          <w:spacing w:val="-4"/>
          <w:sz w:val="12"/>
        </w:rPr>
        <w:t> </w:t>
      </w:r>
      <w:r>
        <w:rPr>
          <w:rFonts w:ascii="Arial"/>
          <w:color w:val="231F20"/>
          <w:sz w:val="12"/>
        </w:rPr>
        <w:t>Dolan,</w:t>
      </w:r>
      <w:r>
        <w:rPr>
          <w:rFonts w:ascii="Arial"/>
          <w:color w:val="231F20"/>
          <w:spacing w:val="-5"/>
          <w:sz w:val="12"/>
        </w:rPr>
        <w:t> </w:t>
      </w:r>
      <w:r>
        <w:rPr>
          <w:rFonts w:ascii="Arial"/>
          <w:color w:val="231F20"/>
          <w:sz w:val="12"/>
        </w:rPr>
        <w:t>S.</w:t>
      </w:r>
      <w:r>
        <w:rPr>
          <w:rFonts w:ascii="Arial"/>
          <w:color w:val="231F20"/>
          <w:spacing w:val="-5"/>
          <w:sz w:val="12"/>
        </w:rPr>
        <w:t> </w:t>
      </w:r>
      <w:r>
        <w:rPr>
          <w:rFonts w:ascii="Arial"/>
          <w:color w:val="231F20"/>
          <w:sz w:val="12"/>
        </w:rPr>
        <w:t>L.</w:t>
      </w:r>
      <w:r>
        <w:rPr>
          <w:rFonts w:ascii="Arial"/>
          <w:color w:val="231F20"/>
          <w:spacing w:val="-5"/>
          <w:sz w:val="12"/>
        </w:rPr>
        <w:t> </w:t>
      </w:r>
      <w:r>
        <w:rPr>
          <w:rFonts w:ascii="Arial"/>
          <w:color w:val="231F20"/>
          <w:sz w:val="12"/>
        </w:rPr>
        <w:t>(1990).</w:t>
      </w:r>
      <w:r>
        <w:rPr>
          <w:rFonts w:ascii="Arial"/>
          <w:color w:val="231F20"/>
          <w:spacing w:val="-5"/>
          <w:sz w:val="12"/>
        </w:rPr>
        <w:t> </w:t>
      </w:r>
      <w:r>
        <w:rPr>
          <w:rFonts w:ascii="Arial"/>
          <w:color w:val="231F20"/>
          <w:sz w:val="12"/>
        </w:rPr>
        <w:t>Case</w:t>
      </w:r>
      <w:r>
        <w:rPr>
          <w:rFonts w:ascii="Arial"/>
          <w:color w:val="231F20"/>
          <w:spacing w:val="-5"/>
          <w:sz w:val="12"/>
        </w:rPr>
        <w:t> </w:t>
      </w:r>
      <w:r>
        <w:rPr>
          <w:rFonts w:ascii="Arial"/>
          <w:color w:val="231F20"/>
          <w:sz w:val="12"/>
        </w:rPr>
        <w:t>illus-</w:t>
      </w:r>
      <w:r>
        <w:rPr>
          <w:rFonts w:ascii="Arial"/>
          <w:color w:val="231F20"/>
          <w:spacing w:val="40"/>
          <w:sz w:val="12"/>
        </w:rPr>
        <w:t> </w:t>
      </w:r>
      <w:r>
        <w:rPr>
          <w:rFonts w:ascii="Arial"/>
          <w:color w:val="231F20"/>
          <w:sz w:val="12"/>
        </w:rPr>
        <w:t>tration of proneness to stress among hospital workers. Dans L. E. Miller et J. Seltzer (dir.), </w:t>
      </w:r>
      <w:r>
        <w:rPr>
          <w:rFonts w:ascii="Arial"/>
          <w:i/>
          <w:color w:val="231F20"/>
          <w:sz w:val="12"/>
        </w:rPr>
        <w:t>Innovations in</w:t>
      </w:r>
      <w:r>
        <w:rPr>
          <w:rFonts w:ascii="Arial"/>
          <w:i/>
          <w:color w:val="231F20"/>
          <w:spacing w:val="40"/>
          <w:sz w:val="12"/>
        </w:rPr>
        <w:t> </w:t>
      </w:r>
      <w:r>
        <w:rPr>
          <w:rFonts w:ascii="Arial"/>
          <w:i/>
          <w:color w:val="231F20"/>
          <w:sz w:val="12"/>
        </w:rPr>
        <w:t>Research and Teaching</w:t>
      </w:r>
      <w:r>
        <w:rPr>
          <w:rFonts w:ascii="Arial"/>
          <w:color w:val="231F20"/>
          <w:sz w:val="12"/>
        </w:rPr>
        <w:t>, Proceedings of the 27th Annual Meeting of the Eastern Academy of Management,</w:t>
      </w:r>
      <w:r>
        <w:rPr>
          <w:rFonts w:ascii="Arial"/>
          <w:color w:val="231F20"/>
          <w:spacing w:val="40"/>
          <w:sz w:val="12"/>
        </w:rPr>
        <w:t> </w:t>
      </w:r>
      <w:r>
        <w:rPr>
          <w:rFonts w:ascii="Arial"/>
          <w:color w:val="231F20"/>
          <w:sz w:val="12"/>
        </w:rPr>
        <w:t>Philadelphia,</w:t>
      </w:r>
      <w:r>
        <w:rPr>
          <w:rFonts w:ascii="Arial"/>
          <w:color w:val="231F20"/>
          <w:spacing w:val="-9"/>
          <w:sz w:val="12"/>
        </w:rPr>
        <w:t> </w:t>
      </w:r>
      <w:r>
        <w:rPr>
          <w:rFonts w:ascii="Arial"/>
          <w:color w:val="231F20"/>
          <w:sz w:val="12"/>
        </w:rPr>
        <w:t>p.</w:t>
      </w:r>
      <w:r>
        <w:rPr>
          <w:rFonts w:ascii="Arial"/>
          <w:color w:val="231F20"/>
          <w:spacing w:val="-8"/>
          <w:sz w:val="12"/>
        </w:rPr>
        <w:t> </w:t>
      </w:r>
      <w:r>
        <w:rPr>
          <w:rFonts w:ascii="Arial"/>
          <w:color w:val="231F20"/>
          <w:sz w:val="12"/>
        </w:rPr>
        <w:t>308-311</w:t>
      </w:r>
      <w:r>
        <w:rPr>
          <w:rFonts w:ascii="Arial"/>
          <w:color w:val="231F20"/>
          <w:spacing w:val="-8"/>
          <w:sz w:val="12"/>
        </w:rPr>
        <w:t> </w:t>
      </w:r>
      <w:r>
        <w:rPr>
          <w:rFonts w:ascii="Arial"/>
          <w:color w:val="231F20"/>
          <w:sz w:val="12"/>
        </w:rPr>
        <w:t>;</w:t>
      </w:r>
      <w:r>
        <w:rPr>
          <w:rFonts w:ascii="Arial"/>
          <w:color w:val="231F20"/>
          <w:spacing w:val="-9"/>
          <w:sz w:val="12"/>
        </w:rPr>
        <w:t> </w:t>
      </w:r>
      <w:r>
        <w:rPr>
          <w:rFonts w:ascii="Arial"/>
          <w:color w:val="231F20"/>
          <w:sz w:val="12"/>
        </w:rPr>
        <w:t>Dolan,</w:t>
      </w:r>
      <w:r>
        <w:rPr>
          <w:rFonts w:ascii="Arial"/>
          <w:color w:val="231F20"/>
          <w:spacing w:val="-8"/>
          <w:sz w:val="12"/>
        </w:rPr>
        <w:t> </w:t>
      </w:r>
      <w:r>
        <w:rPr>
          <w:rFonts w:ascii="Arial"/>
          <w:color w:val="231F20"/>
          <w:sz w:val="12"/>
        </w:rPr>
        <w:t>S.</w:t>
      </w:r>
      <w:r>
        <w:rPr>
          <w:rFonts w:ascii="Arial"/>
          <w:color w:val="231F20"/>
          <w:spacing w:val="-8"/>
          <w:sz w:val="12"/>
        </w:rPr>
        <w:t> </w:t>
      </w:r>
      <w:r>
        <w:rPr>
          <w:rFonts w:ascii="Arial"/>
          <w:color w:val="231F20"/>
          <w:sz w:val="12"/>
        </w:rPr>
        <w:t>L.</w:t>
      </w:r>
      <w:r>
        <w:rPr>
          <w:rFonts w:ascii="Arial"/>
          <w:color w:val="231F20"/>
          <w:spacing w:val="-9"/>
          <w:sz w:val="12"/>
        </w:rPr>
        <w:t> </w:t>
      </w:r>
      <w:r>
        <w:rPr>
          <w:rFonts w:ascii="Arial"/>
          <w:color w:val="231F20"/>
          <w:sz w:val="12"/>
        </w:rPr>
        <w:t>(1995).</w:t>
      </w:r>
      <w:r>
        <w:rPr>
          <w:rFonts w:ascii="Arial"/>
          <w:color w:val="231F20"/>
          <w:spacing w:val="-8"/>
          <w:sz w:val="12"/>
        </w:rPr>
        <w:t> </w:t>
      </w:r>
      <w:r>
        <w:rPr>
          <w:rFonts w:ascii="Arial"/>
          <w:color w:val="231F20"/>
          <w:sz w:val="12"/>
        </w:rPr>
        <w:t>Individual,</w:t>
      </w:r>
      <w:r>
        <w:rPr>
          <w:rFonts w:ascii="Arial"/>
          <w:color w:val="231F20"/>
          <w:spacing w:val="-9"/>
          <w:sz w:val="12"/>
        </w:rPr>
        <w:t> </w:t>
      </w:r>
      <w:r>
        <w:rPr>
          <w:rFonts w:ascii="Arial"/>
          <w:color w:val="231F20"/>
          <w:sz w:val="12"/>
        </w:rPr>
        <w:t>organizational</w:t>
      </w:r>
      <w:r>
        <w:rPr>
          <w:rFonts w:ascii="Arial"/>
          <w:color w:val="231F20"/>
          <w:spacing w:val="-8"/>
          <w:sz w:val="12"/>
        </w:rPr>
        <w:t> </w:t>
      </w:r>
      <w:r>
        <w:rPr>
          <w:rFonts w:ascii="Arial"/>
          <w:color w:val="231F20"/>
          <w:sz w:val="12"/>
        </w:rPr>
        <w:t>and</w:t>
      </w:r>
      <w:r>
        <w:rPr>
          <w:rFonts w:ascii="Arial"/>
          <w:color w:val="231F20"/>
          <w:spacing w:val="-8"/>
          <w:sz w:val="12"/>
        </w:rPr>
        <w:t> </w:t>
      </w:r>
      <w:r>
        <w:rPr>
          <w:rFonts w:ascii="Arial"/>
          <w:color w:val="231F20"/>
          <w:sz w:val="12"/>
        </w:rPr>
        <w:t>social</w:t>
      </w:r>
      <w:r>
        <w:rPr>
          <w:rFonts w:ascii="Arial"/>
          <w:color w:val="231F20"/>
          <w:spacing w:val="-9"/>
          <w:sz w:val="12"/>
        </w:rPr>
        <w:t> </w:t>
      </w:r>
      <w:r>
        <w:rPr>
          <w:rFonts w:ascii="Arial"/>
          <w:color w:val="231F20"/>
          <w:sz w:val="12"/>
        </w:rPr>
        <w:t>determinants</w:t>
      </w:r>
      <w:r>
        <w:rPr>
          <w:rFonts w:ascii="Arial"/>
          <w:color w:val="231F20"/>
          <w:spacing w:val="-8"/>
          <w:sz w:val="12"/>
        </w:rPr>
        <w:t> </w:t>
      </w:r>
      <w:r>
        <w:rPr>
          <w:rFonts w:ascii="Arial"/>
          <w:color w:val="231F20"/>
          <w:sz w:val="12"/>
        </w:rPr>
        <w:t>of</w:t>
      </w:r>
      <w:r>
        <w:rPr>
          <w:rFonts w:ascii="Arial"/>
          <w:color w:val="231F20"/>
          <w:spacing w:val="-8"/>
          <w:sz w:val="12"/>
        </w:rPr>
        <w:t> </w:t>
      </w:r>
      <w:r>
        <w:rPr>
          <w:rFonts w:ascii="Arial"/>
          <w:color w:val="231F20"/>
          <w:sz w:val="12"/>
        </w:rPr>
        <w:t>managerial</w:t>
      </w:r>
      <w:r>
        <w:rPr>
          <w:rFonts w:ascii="Arial"/>
          <w:color w:val="231F20"/>
          <w:spacing w:val="40"/>
          <w:sz w:val="12"/>
        </w:rPr>
        <w:t> </w:t>
      </w:r>
      <w:r>
        <w:rPr>
          <w:rFonts w:ascii="Arial"/>
          <w:color w:val="231F20"/>
          <w:w w:val="95"/>
          <w:sz w:val="12"/>
        </w:rPr>
        <w:t>burnout</w:t>
      </w:r>
      <w:r>
        <w:rPr>
          <w:rFonts w:ascii="Arial"/>
          <w:color w:val="231F20"/>
          <w:spacing w:val="-7"/>
          <w:w w:val="95"/>
          <w:sz w:val="12"/>
        </w:rPr>
        <w:t> </w:t>
      </w:r>
      <w:r>
        <w:rPr>
          <w:rFonts w:ascii="Arial"/>
          <w:color w:val="231F20"/>
          <w:w w:val="95"/>
          <w:sz w:val="12"/>
        </w:rPr>
        <w:t>:</w:t>
      </w:r>
      <w:r>
        <w:rPr>
          <w:rFonts w:ascii="Arial"/>
          <w:color w:val="231F20"/>
          <w:spacing w:val="-7"/>
          <w:w w:val="95"/>
          <w:sz w:val="12"/>
        </w:rPr>
        <w:t> </w:t>
      </w:r>
      <w:r>
        <w:rPr>
          <w:rFonts w:ascii="Arial"/>
          <w:color w:val="231F20"/>
          <w:w w:val="95"/>
          <w:sz w:val="12"/>
        </w:rPr>
        <w:t>Theoretical</w:t>
      </w:r>
      <w:r>
        <w:rPr>
          <w:rFonts w:ascii="Arial"/>
          <w:color w:val="231F20"/>
          <w:spacing w:val="-6"/>
          <w:w w:val="95"/>
          <w:sz w:val="12"/>
        </w:rPr>
        <w:t> </w:t>
      </w:r>
      <w:r>
        <w:rPr>
          <w:rFonts w:ascii="Arial"/>
          <w:color w:val="231F20"/>
          <w:w w:val="95"/>
          <w:sz w:val="12"/>
        </w:rPr>
        <w:t>and</w:t>
      </w:r>
      <w:r>
        <w:rPr>
          <w:rFonts w:ascii="Arial"/>
          <w:color w:val="231F20"/>
          <w:spacing w:val="-3"/>
          <w:w w:val="95"/>
          <w:sz w:val="12"/>
        </w:rPr>
        <w:t> </w:t>
      </w:r>
      <w:r>
        <w:rPr>
          <w:rFonts w:ascii="Arial"/>
          <w:color w:val="231F20"/>
          <w:w w:val="95"/>
          <w:sz w:val="12"/>
        </w:rPr>
        <w:t>empirical update. Dans P. Perrewe (dir.), </w:t>
      </w:r>
      <w:r>
        <w:rPr>
          <w:rFonts w:ascii="Arial"/>
          <w:i/>
          <w:color w:val="231F20"/>
          <w:w w:val="95"/>
          <w:sz w:val="12"/>
        </w:rPr>
        <w:t>Occupational Stress</w:t>
      </w:r>
      <w:r>
        <w:rPr>
          <w:rFonts w:ascii="Arial"/>
          <w:i/>
          <w:color w:val="231F20"/>
          <w:spacing w:val="-7"/>
          <w:w w:val="95"/>
          <w:sz w:val="12"/>
        </w:rPr>
        <w:t> </w:t>
      </w:r>
      <w:r>
        <w:rPr>
          <w:rFonts w:ascii="Arial"/>
          <w:i/>
          <w:color w:val="231F20"/>
          <w:w w:val="95"/>
          <w:sz w:val="12"/>
        </w:rPr>
        <w:t>: A Handbook</w:t>
      </w:r>
      <w:r>
        <w:rPr>
          <w:rFonts w:ascii="Arial"/>
          <w:color w:val="231F20"/>
          <w:w w:val="95"/>
          <w:sz w:val="12"/>
        </w:rPr>
        <w:t>, New York,</w:t>
      </w:r>
      <w:r>
        <w:rPr>
          <w:rFonts w:ascii="Arial"/>
          <w:color w:val="231F20"/>
          <w:spacing w:val="40"/>
          <w:sz w:val="12"/>
        </w:rPr>
        <w:t> </w:t>
      </w:r>
      <w:r>
        <w:rPr>
          <w:rFonts w:ascii="Arial"/>
          <w:color w:val="231F20"/>
          <w:sz w:val="12"/>
        </w:rPr>
        <w:t>Taylor and Francis, p. 223-238.</w:t>
      </w:r>
    </w:p>
    <w:p>
      <w:pPr>
        <w:spacing w:after="0" w:line="295" w:lineRule="auto"/>
        <w:jc w:val="both"/>
        <w:rPr>
          <w:rFonts w:ascii="Arial"/>
          <w:sz w:val="12"/>
        </w:rPr>
        <w:sectPr>
          <w:footerReference w:type="default" r:id="rId156"/>
          <w:pgSz w:w="8640" w:h="12960"/>
          <w:pgMar w:footer="424" w:header="0" w:top="520" w:bottom="620" w:left="740" w:right="1140"/>
        </w:sectPr>
      </w:pPr>
    </w:p>
    <w:p>
      <w:pPr>
        <w:pStyle w:val="BodyText"/>
        <w:spacing w:before="4"/>
        <w:rPr>
          <w:rFonts w:ascii="Arial"/>
        </w:rPr>
      </w:pPr>
      <w:r>
        <w:rPr/>
        <w:pict>
          <v:group style="position:absolute;margin-left:60.5pt;margin-top:81.25pt;width:512.5pt;height:264.45pt;mso-position-horizontal-relative:page;mso-position-vertical-relative:page;z-index:15764992" id="docshapegroup524" coordorigin="1210,1625" coordsize="10250,5289">
            <v:shape style="position:absolute;left:1210;top:1625;width:10250;height:5289" id="docshape525" coordorigin="1210,1625" coordsize="10250,5289" path="m11460,1625l1210,1625,1210,2170,1210,2330,1210,6914,11460,6914,11460,2330,11460,2170,11460,1625xe" filled="true" fillcolor="#e2e3e4" stroked="false">
              <v:path arrowok="t"/>
              <v:fill type="solid"/>
            </v:shape>
            <v:shape style="position:absolute;left:1460;top:2724;width:9770;height:1874" id="docshape526" coordorigin="1460,2725" coordsize="9770,1874" path="m4218,2725l1460,2725,1460,4598,4218,4598,4218,2725xm11230,2725l9697,2725,9697,4517,11230,4517,11230,2725xe" filled="true" fillcolor="#c7c8ca" stroked="false">
              <v:path arrowok="t"/>
              <v:fill type="solid"/>
            </v:shape>
            <v:line style="position:absolute" from="1460,2294" to="11142,2294" stroked="true" strokeweight="2.0350pt" strokecolor="#231f20">
              <v:stroke dashstyle="solid"/>
            </v:line>
            <v:shape style="position:absolute;left:11124;top:2244;width:106;height:111" id="docshape527" coordorigin="11125,2244" coordsize="106,111" path="m11230,2294l11144,2244,11125,2244,11125,2355,11230,2294xe" filled="true" fillcolor="#231f20" stroked="false">
              <v:path arrowok="t"/>
              <v:fill type="solid"/>
            </v:shape>
            <v:shape style="position:absolute;left:1460;top:2724;width:8113;height:3893" id="docshape528" coordorigin="1460,2725" coordsize="8113,3893" path="m4218,4639l1460,4639,1460,6320,4218,6320,4218,4639xm5978,4080l4340,4080,4340,4589,5978,4589,5978,4080xm5978,3533l4340,3533,4340,4042,5978,4042,5978,3533xm5978,3129l4340,3129,4340,3495,5978,3495,5978,3129xm5978,2725l4340,2725,4340,3091,5978,3091,5978,2725xm9573,4424l6103,4424,6103,5239,9573,5239,9573,4424xm9573,3388l6103,3388,6103,4386,9573,4386,9573,3388xm9573,2725l6103,2725,6103,3356,9573,3356,9573,2725xm9573,5280l6103,5280,6103,6617,9573,6617,9573,5280xe" filled="true" fillcolor="#c7c8ca" stroked="false">
              <v:path arrowok="t"/>
              <v:fill type="solid"/>
            </v:shape>
            <v:shape style="position:absolute;left:1460;top:1796;width:5245;height:246" type="#_x0000_t202" id="docshape529" filled="false" stroked="false">
              <v:textbox inset="0,0,0,0">
                <w:txbxContent>
                  <w:p>
                    <w:pPr>
                      <w:spacing w:before="44"/>
                      <w:ind w:left="0" w:right="0" w:firstLine="0"/>
                      <w:jc w:val="left"/>
                      <w:rPr>
                        <w:rFonts w:ascii="Arial" w:hAnsi="Arial"/>
                        <w:b/>
                        <w:sz w:val="17"/>
                      </w:rPr>
                    </w:pPr>
                    <w:bookmarkStart w:name="Figure 2.6 / Modèle cognitif et conditio" w:id="53"/>
                    <w:bookmarkEnd w:id="53"/>
                    <w:r>
                      <w:rPr/>
                    </w:r>
                    <w:bookmarkStart w:name="_bookmark22" w:id="54"/>
                    <w:bookmarkEnd w:id="54"/>
                    <w:r>
                      <w:rPr/>
                    </w:r>
                    <w:r>
                      <w:rPr>
                        <w:rFonts w:ascii="Arial" w:hAnsi="Arial"/>
                        <w:color w:val="231F20"/>
                        <w:w w:val="95"/>
                        <w:sz w:val="17"/>
                      </w:rPr>
                      <w:t>Figure</w:t>
                    </w:r>
                    <w:r>
                      <w:rPr>
                        <w:rFonts w:ascii="Arial" w:hAnsi="Arial"/>
                        <w:color w:val="231F20"/>
                        <w:spacing w:val="8"/>
                        <w:sz w:val="17"/>
                      </w:rPr>
                      <w:t> </w:t>
                    </w:r>
                    <w:r>
                      <w:rPr>
                        <w:rFonts w:ascii="Arial" w:hAnsi="Arial"/>
                        <w:color w:val="231F20"/>
                        <w:w w:val="95"/>
                        <w:sz w:val="17"/>
                      </w:rPr>
                      <w:t>2.6</w:t>
                    </w:r>
                    <w:r>
                      <w:rPr>
                        <w:rFonts w:ascii="Arial" w:hAnsi="Arial"/>
                        <w:color w:val="231F20"/>
                        <w:spacing w:val="-4"/>
                        <w:w w:val="95"/>
                        <w:sz w:val="17"/>
                      </w:rPr>
                      <w:t> </w:t>
                    </w:r>
                    <w:r>
                      <w:rPr>
                        <w:rFonts w:ascii="Arial" w:hAnsi="Arial"/>
                        <w:i/>
                        <w:color w:val="231F20"/>
                        <w:w w:val="95"/>
                        <w:sz w:val="17"/>
                      </w:rPr>
                      <w:t>/</w:t>
                    </w:r>
                    <w:r>
                      <w:rPr>
                        <w:rFonts w:ascii="Arial" w:hAnsi="Arial"/>
                        <w:i/>
                        <w:color w:val="231F20"/>
                        <w:spacing w:val="63"/>
                        <w:sz w:val="17"/>
                      </w:rPr>
                      <w:t> </w:t>
                    </w:r>
                    <w:r>
                      <w:rPr>
                        <w:rFonts w:ascii="Arial" w:hAnsi="Arial"/>
                        <w:b/>
                        <w:color w:val="231F20"/>
                        <w:w w:val="95"/>
                        <w:sz w:val="17"/>
                      </w:rPr>
                      <w:t>Modèle</w:t>
                    </w:r>
                    <w:r>
                      <w:rPr>
                        <w:rFonts w:ascii="Arial" w:hAnsi="Arial"/>
                        <w:b/>
                        <w:color w:val="231F20"/>
                        <w:spacing w:val="2"/>
                        <w:sz w:val="17"/>
                      </w:rPr>
                      <w:t> </w:t>
                    </w:r>
                    <w:r>
                      <w:rPr>
                        <w:rFonts w:ascii="Arial" w:hAnsi="Arial"/>
                        <w:b/>
                        <w:color w:val="231F20"/>
                        <w:w w:val="95"/>
                        <w:sz w:val="17"/>
                      </w:rPr>
                      <w:t>cognitif</w:t>
                    </w:r>
                    <w:r>
                      <w:rPr>
                        <w:rFonts w:ascii="Arial" w:hAnsi="Arial"/>
                        <w:b/>
                        <w:color w:val="231F20"/>
                        <w:spacing w:val="1"/>
                        <w:sz w:val="17"/>
                      </w:rPr>
                      <w:t> </w:t>
                    </w:r>
                    <w:r>
                      <w:rPr>
                        <w:rFonts w:ascii="Arial" w:hAnsi="Arial"/>
                        <w:b/>
                        <w:color w:val="231F20"/>
                        <w:w w:val="95"/>
                        <w:sz w:val="17"/>
                      </w:rPr>
                      <w:t>et</w:t>
                    </w:r>
                    <w:r>
                      <w:rPr>
                        <w:rFonts w:ascii="Arial" w:hAnsi="Arial"/>
                        <w:b/>
                        <w:color w:val="231F20"/>
                        <w:spacing w:val="2"/>
                        <w:sz w:val="17"/>
                      </w:rPr>
                      <w:t> </w:t>
                    </w:r>
                    <w:r>
                      <w:rPr>
                        <w:rFonts w:ascii="Arial" w:hAnsi="Arial"/>
                        <w:b/>
                        <w:color w:val="231F20"/>
                        <w:w w:val="95"/>
                        <w:sz w:val="17"/>
                      </w:rPr>
                      <w:t>conditionnel</w:t>
                    </w:r>
                    <w:r>
                      <w:rPr>
                        <w:rFonts w:ascii="Arial" w:hAnsi="Arial"/>
                        <w:b/>
                        <w:color w:val="231F20"/>
                        <w:spacing w:val="2"/>
                        <w:sz w:val="17"/>
                      </w:rPr>
                      <w:t> </w:t>
                    </w:r>
                    <w:r>
                      <w:rPr>
                        <w:rFonts w:ascii="Arial" w:hAnsi="Arial"/>
                        <w:b/>
                        <w:color w:val="231F20"/>
                        <w:w w:val="95"/>
                        <w:sz w:val="17"/>
                      </w:rPr>
                      <w:t>du</w:t>
                    </w:r>
                    <w:r>
                      <w:rPr>
                        <w:rFonts w:ascii="Arial" w:hAnsi="Arial"/>
                        <w:b/>
                        <w:color w:val="231F20"/>
                        <w:spacing w:val="1"/>
                        <w:sz w:val="17"/>
                      </w:rPr>
                      <w:t> </w:t>
                    </w:r>
                    <w:r>
                      <w:rPr>
                        <w:rFonts w:ascii="Arial" w:hAnsi="Arial"/>
                        <w:b/>
                        <w:color w:val="231F20"/>
                        <w:w w:val="95"/>
                        <w:sz w:val="17"/>
                      </w:rPr>
                      <w:t>stress</w:t>
                    </w:r>
                    <w:r>
                      <w:rPr>
                        <w:rFonts w:ascii="Arial" w:hAnsi="Arial"/>
                        <w:b/>
                        <w:color w:val="231F20"/>
                        <w:spacing w:val="2"/>
                        <w:sz w:val="17"/>
                      </w:rPr>
                      <w:t> </w:t>
                    </w:r>
                    <w:r>
                      <w:rPr>
                        <w:rFonts w:ascii="Arial" w:hAnsi="Arial"/>
                        <w:b/>
                        <w:color w:val="231F20"/>
                        <w:spacing w:val="-2"/>
                        <w:w w:val="95"/>
                        <w:sz w:val="17"/>
                      </w:rPr>
                      <w:t>professionnel</w:t>
                    </w:r>
                  </w:p>
                </w:txbxContent>
              </v:textbox>
              <w10:wrap type="none"/>
            </v:shape>
            <v:shape style="position:absolute;left:1460;top:2326;width:2716;height:3939" type="#_x0000_t202" id="docshape530" filled="false" stroked="false">
              <v:textbox inset="0,0,0,0">
                <w:txbxContent>
                  <w:p>
                    <w:pPr>
                      <w:spacing w:before="23"/>
                      <w:ind w:left="0" w:right="0" w:firstLine="0"/>
                      <w:jc w:val="left"/>
                      <w:rPr>
                        <w:rFonts w:ascii="Arial"/>
                        <w:b/>
                        <w:sz w:val="14"/>
                      </w:rPr>
                    </w:pPr>
                    <w:r>
                      <w:rPr>
                        <w:rFonts w:ascii="Arial"/>
                        <w:b/>
                        <w:color w:val="231F20"/>
                        <w:w w:val="90"/>
                        <w:sz w:val="14"/>
                      </w:rPr>
                      <w:t>Groupe</w:t>
                    </w:r>
                    <w:r>
                      <w:rPr>
                        <w:rFonts w:ascii="Arial"/>
                        <w:b/>
                        <w:color w:val="231F20"/>
                        <w:spacing w:val="-12"/>
                        <w:w w:val="90"/>
                        <w:sz w:val="14"/>
                      </w:rPr>
                      <w:t> </w:t>
                    </w:r>
                    <w:r>
                      <w:rPr>
                        <w:rFonts w:ascii="Arial"/>
                        <w:b/>
                        <w:color w:val="231F20"/>
                        <w:spacing w:val="-10"/>
                        <w:sz w:val="14"/>
                      </w:rPr>
                      <w:t>I</w:t>
                    </w:r>
                  </w:p>
                  <w:p>
                    <w:pPr>
                      <w:spacing w:before="1"/>
                      <w:ind w:left="0" w:right="0" w:firstLine="0"/>
                      <w:jc w:val="left"/>
                      <w:rPr>
                        <w:rFonts w:ascii="Arial"/>
                        <w:sz w:val="14"/>
                      </w:rPr>
                    </w:pPr>
                    <w:r>
                      <w:rPr>
                        <w:rFonts w:ascii="Arial"/>
                        <w:color w:val="231F20"/>
                        <w:w w:val="90"/>
                        <w:sz w:val="14"/>
                      </w:rPr>
                      <w:t>Sources</w:t>
                    </w:r>
                    <w:r>
                      <w:rPr>
                        <w:rFonts w:ascii="Arial"/>
                        <w:color w:val="231F20"/>
                        <w:spacing w:val="-7"/>
                        <w:w w:val="90"/>
                        <w:sz w:val="14"/>
                      </w:rPr>
                      <w:t> </w:t>
                    </w:r>
                    <w:r>
                      <w:rPr>
                        <w:rFonts w:ascii="Arial"/>
                        <w:color w:val="231F20"/>
                        <w:w w:val="90"/>
                        <w:sz w:val="14"/>
                      </w:rPr>
                      <w:t>de</w:t>
                    </w:r>
                    <w:r>
                      <w:rPr>
                        <w:rFonts w:ascii="Arial"/>
                        <w:color w:val="231F20"/>
                        <w:spacing w:val="-7"/>
                        <w:w w:val="90"/>
                        <w:sz w:val="14"/>
                      </w:rPr>
                      <w:t> </w:t>
                    </w:r>
                    <w:r>
                      <w:rPr>
                        <w:rFonts w:ascii="Arial"/>
                        <w:color w:val="231F20"/>
                        <w:w w:val="90"/>
                        <w:sz w:val="14"/>
                      </w:rPr>
                      <w:t>stress</w:t>
                    </w:r>
                    <w:r>
                      <w:rPr>
                        <w:rFonts w:ascii="Arial"/>
                        <w:color w:val="231F20"/>
                        <w:spacing w:val="-6"/>
                        <w:w w:val="90"/>
                        <w:sz w:val="14"/>
                      </w:rPr>
                      <w:t> </w:t>
                    </w:r>
                    <w:r>
                      <w:rPr>
                        <w:rFonts w:ascii="Arial"/>
                        <w:color w:val="231F20"/>
                        <w:w w:val="90"/>
                        <w:sz w:val="14"/>
                      </w:rPr>
                      <w:t>en</w:t>
                    </w:r>
                    <w:r>
                      <w:rPr>
                        <w:rFonts w:ascii="Arial"/>
                        <w:color w:val="231F20"/>
                        <w:spacing w:val="-7"/>
                        <w:w w:val="90"/>
                        <w:sz w:val="14"/>
                      </w:rPr>
                      <w:t> </w:t>
                    </w:r>
                    <w:r>
                      <w:rPr>
                        <w:rFonts w:ascii="Arial"/>
                        <w:color w:val="231F20"/>
                        <w:w w:val="90"/>
                        <w:sz w:val="14"/>
                      </w:rPr>
                      <w:t>milieu</w:t>
                    </w:r>
                    <w:r>
                      <w:rPr>
                        <w:rFonts w:ascii="Arial"/>
                        <w:color w:val="231F20"/>
                        <w:spacing w:val="-6"/>
                        <w:w w:val="90"/>
                        <w:sz w:val="14"/>
                      </w:rPr>
                      <w:t> </w:t>
                    </w:r>
                    <w:r>
                      <w:rPr>
                        <w:rFonts w:ascii="Arial"/>
                        <w:color w:val="231F20"/>
                        <w:w w:val="90"/>
                        <w:sz w:val="14"/>
                      </w:rPr>
                      <w:t>de</w:t>
                    </w:r>
                    <w:r>
                      <w:rPr>
                        <w:rFonts w:ascii="Arial"/>
                        <w:color w:val="231F20"/>
                        <w:spacing w:val="-7"/>
                        <w:w w:val="90"/>
                        <w:sz w:val="14"/>
                      </w:rPr>
                      <w:t> </w:t>
                    </w:r>
                    <w:r>
                      <w:rPr>
                        <w:rFonts w:ascii="Arial"/>
                        <w:color w:val="231F20"/>
                        <w:spacing w:val="-2"/>
                        <w:w w:val="90"/>
                        <w:sz w:val="14"/>
                      </w:rPr>
                      <w:t>travail</w:t>
                    </w:r>
                  </w:p>
                  <w:p>
                    <w:pPr>
                      <w:spacing w:before="111"/>
                      <w:ind w:left="85" w:right="0" w:firstLine="0"/>
                      <w:jc w:val="left"/>
                      <w:rPr>
                        <w:rFonts w:ascii="Arial" w:hAnsi="Arial"/>
                        <w:b/>
                        <w:sz w:val="14"/>
                      </w:rPr>
                    </w:pPr>
                    <w:r>
                      <w:rPr>
                        <w:rFonts w:ascii="Arial" w:hAnsi="Arial"/>
                        <w:b/>
                        <w:color w:val="231F20"/>
                        <w:w w:val="85"/>
                        <w:sz w:val="14"/>
                      </w:rPr>
                      <w:t>Sources</w:t>
                    </w:r>
                    <w:r>
                      <w:rPr>
                        <w:rFonts w:ascii="Arial" w:hAnsi="Arial"/>
                        <w:b/>
                        <w:color w:val="231F20"/>
                        <w:spacing w:val="5"/>
                        <w:sz w:val="14"/>
                      </w:rPr>
                      <w:t> </w:t>
                    </w:r>
                    <w:r>
                      <w:rPr>
                        <w:rFonts w:ascii="Arial" w:hAnsi="Arial"/>
                        <w:b/>
                        <w:color w:val="231F20"/>
                        <w:spacing w:val="-2"/>
                        <w:sz w:val="14"/>
                      </w:rPr>
                      <w:t>extrinsèques</w:t>
                    </w:r>
                  </w:p>
                  <w:p>
                    <w:pPr>
                      <w:numPr>
                        <w:ilvl w:val="0"/>
                        <w:numId w:val="28"/>
                      </w:numPr>
                      <w:tabs>
                        <w:tab w:pos="208" w:val="left" w:leader="none"/>
                      </w:tabs>
                      <w:spacing w:before="23"/>
                      <w:ind w:left="207" w:right="377" w:hanging="123"/>
                      <w:jc w:val="left"/>
                      <w:rPr>
                        <w:rFonts w:ascii="Arial" w:hAnsi="Arial"/>
                        <w:sz w:val="14"/>
                      </w:rPr>
                    </w:pPr>
                    <w:r>
                      <w:rPr>
                        <w:rFonts w:ascii="Arial" w:hAnsi="Arial"/>
                        <w:color w:val="231F20"/>
                        <w:w w:val="95"/>
                        <w:sz w:val="14"/>
                      </w:rPr>
                      <w:t>Médiocrité</w:t>
                    </w:r>
                    <w:r>
                      <w:rPr>
                        <w:rFonts w:ascii="Arial" w:hAnsi="Arial"/>
                        <w:color w:val="231F20"/>
                        <w:spacing w:val="-11"/>
                        <w:w w:val="95"/>
                        <w:sz w:val="14"/>
                      </w:rPr>
                      <w:t> </w:t>
                    </w:r>
                    <w:r>
                      <w:rPr>
                        <w:rFonts w:ascii="Arial" w:hAnsi="Arial"/>
                        <w:color w:val="231F20"/>
                        <w:w w:val="95"/>
                        <w:sz w:val="14"/>
                      </w:rPr>
                      <w:t>des</w:t>
                    </w:r>
                    <w:r>
                      <w:rPr>
                        <w:rFonts w:ascii="Arial" w:hAnsi="Arial"/>
                        <w:color w:val="231F20"/>
                        <w:spacing w:val="-10"/>
                        <w:w w:val="95"/>
                        <w:sz w:val="14"/>
                      </w:rPr>
                      <w:t> </w:t>
                    </w:r>
                    <w:r>
                      <w:rPr>
                        <w:rFonts w:ascii="Arial" w:hAnsi="Arial"/>
                        <w:color w:val="231F20"/>
                        <w:w w:val="95"/>
                        <w:sz w:val="14"/>
                      </w:rPr>
                      <w:t>conditions</w:t>
                    </w:r>
                    <w:r>
                      <w:rPr>
                        <w:rFonts w:ascii="Arial" w:hAnsi="Arial"/>
                        <w:color w:val="231F20"/>
                        <w:spacing w:val="-10"/>
                        <w:w w:val="95"/>
                        <w:sz w:val="14"/>
                      </w:rPr>
                      <w:t> </w:t>
                    </w:r>
                    <w:r>
                      <w:rPr>
                        <w:rFonts w:ascii="Arial" w:hAnsi="Arial"/>
                        <w:color w:val="231F20"/>
                        <w:w w:val="95"/>
                        <w:sz w:val="14"/>
                      </w:rPr>
                      <w:t>physiques</w:t>
                    </w:r>
                    <w:r>
                      <w:rPr>
                        <w:rFonts w:ascii="Arial" w:hAnsi="Arial"/>
                        <w:color w:val="231F20"/>
                        <w:spacing w:val="40"/>
                        <w:sz w:val="14"/>
                      </w:rPr>
                      <w:t> </w:t>
                    </w:r>
                    <w:r>
                      <w:rPr>
                        <w:rFonts w:ascii="Arial" w:hAnsi="Arial"/>
                        <w:color w:val="231F20"/>
                        <w:spacing w:val="-2"/>
                        <w:sz w:val="14"/>
                      </w:rPr>
                      <w:t>d’emploi</w:t>
                    </w:r>
                  </w:p>
                  <w:p>
                    <w:pPr>
                      <w:numPr>
                        <w:ilvl w:val="0"/>
                        <w:numId w:val="28"/>
                      </w:numPr>
                      <w:tabs>
                        <w:tab w:pos="208" w:val="left" w:leader="none"/>
                      </w:tabs>
                      <w:spacing w:before="24"/>
                      <w:ind w:left="207" w:right="876" w:hanging="123"/>
                      <w:jc w:val="left"/>
                      <w:rPr>
                        <w:rFonts w:ascii="Arial" w:hAnsi="Arial"/>
                        <w:sz w:val="14"/>
                      </w:rPr>
                    </w:pPr>
                    <w:r>
                      <w:rPr>
                        <w:rFonts w:ascii="Arial" w:hAnsi="Arial"/>
                        <w:color w:val="231F20"/>
                        <w:w w:val="95"/>
                        <w:sz w:val="14"/>
                      </w:rPr>
                      <w:t>Ambiguïté</w:t>
                    </w:r>
                    <w:r>
                      <w:rPr>
                        <w:rFonts w:ascii="Arial" w:hAnsi="Arial"/>
                        <w:color w:val="231F20"/>
                        <w:spacing w:val="-11"/>
                        <w:w w:val="95"/>
                        <w:sz w:val="14"/>
                      </w:rPr>
                      <w:t> </w:t>
                    </w:r>
                    <w:r>
                      <w:rPr>
                        <w:rFonts w:ascii="Arial" w:hAnsi="Arial"/>
                        <w:color w:val="231F20"/>
                        <w:w w:val="95"/>
                        <w:sz w:val="14"/>
                      </w:rPr>
                      <w:t>du</w:t>
                    </w:r>
                    <w:r>
                      <w:rPr>
                        <w:rFonts w:ascii="Arial" w:hAnsi="Arial"/>
                        <w:color w:val="231F20"/>
                        <w:spacing w:val="-10"/>
                        <w:w w:val="95"/>
                        <w:sz w:val="14"/>
                      </w:rPr>
                      <w:t> </w:t>
                    </w:r>
                    <w:r>
                      <w:rPr>
                        <w:rFonts w:ascii="Arial" w:hAnsi="Arial"/>
                        <w:color w:val="231F20"/>
                        <w:w w:val="95"/>
                        <w:sz w:val="14"/>
                      </w:rPr>
                      <w:t>cheminement</w:t>
                    </w:r>
                    <w:r>
                      <w:rPr>
                        <w:rFonts w:ascii="Arial" w:hAnsi="Arial"/>
                        <w:color w:val="231F20"/>
                        <w:spacing w:val="40"/>
                        <w:sz w:val="14"/>
                      </w:rPr>
                      <w:t> </w:t>
                    </w:r>
                    <w:r>
                      <w:rPr>
                        <w:rFonts w:ascii="Arial" w:hAnsi="Arial"/>
                        <w:color w:val="231F20"/>
                        <w:sz w:val="14"/>
                      </w:rPr>
                      <w:t>de</w:t>
                    </w:r>
                    <w:r>
                      <w:rPr>
                        <w:rFonts w:ascii="Arial" w:hAnsi="Arial"/>
                        <w:color w:val="231F20"/>
                        <w:spacing w:val="-12"/>
                        <w:sz w:val="14"/>
                      </w:rPr>
                      <w:t> </w:t>
                    </w:r>
                    <w:r>
                      <w:rPr>
                        <w:rFonts w:ascii="Arial" w:hAnsi="Arial"/>
                        <w:color w:val="231F20"/>
                        <w:sz w:val="14"/>
                      </w:rPr>
                      <w:t>carrière</w:t>
                    </w:r>
                  </w:p>
                  <w:p>
                    <w:pPr>
                      <w:numPr>
                        <w:ilvl w:val="0"/>
                        <w:numId w:val="28"/>
                      </w:numPr>
                      <w:tabs>
                        <w:tab w:pos="208" w:val="left" w:leader="none"/>
                      </w:tabs>
                      <w:spacing w:before="24"/>
                      <w:ind w:left="207" w:right="0" w:hanging="123"/>
                      <w:jc w:val="left"/>
                      <w:rPr>
                        <w:rFonts w:ascii="Arial" w:hAnsi="Arial"/>
                        <w:sz w:val="14"/>
                      </w:rPr>
                    </w:pPr>
                    <w:r>
                      <w:rPr>
                        <w:rFonts w:ascii="Arial" w:hAnsi="Arial"/>
                        <w:color w:val="231F20"/>
                        <w:w w:val="95"/>
                        <w:sz w:val="14"/>
                      </w:rPr>
                      <w:t>Insécurité</w:t>
                    </w:r>
                    <w:r>
                      <w:rPr>
                        <w:rFonts w:ascii="Arial" w:hAnsi="Arial"/>
                        <w:color w:val="231F20"/>
                        <w:spacing w:val="-11"/>
                        <w:w w:val="95"/>
                        <w:sz w:val="14"/>
                      </w:rPr>
                      <w:t> </w:t>
                    </w:r>
                    <w:r>
                      <w:rPr>
                        <w:rFonts w:ascii="Arial" w:hAnsi="Arial"/>
                        <w:color w:val="231F20"/>
                        <w:spacing w:val="-2"/>
                        <w:sz w:val="14"/>
                      </w:rPr>
                      <w:t>d’emploi</w:t>
                    </w:r>
                  </w:p>
                  <w:p>
                    <w:pPr>
                      <w:numPr>
                        <w:ilvl w:val="0"/>
                        <w:numId w:val="28"/>
                      </w:numPr>
                      <w:tabs>
                        <w:tab w:pos="208" w:val="left" w:leader="none"/>
                      </w:tabs>
                      <w:spacing w:before="22"/>
                      <w:ind w:left="207" w:right="0" w:hanging="123"/>
                      <w:jc w:val="left"/>
                      <w:rPr>
                        <w:rFonts w:ascii="Arial"/>
                        <w:sz w:val="14"/>
                      </w:rPr>
                    </w:pPr>
                    <w:r>
                      <w:rPr>
                        <w:rFonts w:ascii="Arial"/>
                        <w:color w:val="231F20"/>
                        <w:w w:val="90"/>
                        <w:sz w:val="14"/>
                      </w:rPr>
                      <w:t>Niveau</w:t>
                    </w:r>
                    <w:r>
                      <w:rPr>
                        <w:rFonts w:ascii="Arial"/>
                        <w:color w:val="231F20"/>
                        <w:spacing w:val="-1"/>
                        <w:sz w:val="14"/>
                      </w:rPr>
                      <w:t> </w:t>
                    </w:r>
                    <w:r>
                      <w:rPr>
                        <w:rFonts w:ascii="Arial"/>
                        <w:color w:val="231F20"/>
                        <w:w w:val="90"/>
                        <w:sz w:val="14"/>
                      </w:rPr>
                      <w:t>de</w:t>
                    </w:r>
                    <w:r>
                      <w:rPr>
                        <w:rFonts w:ascii="Arial"/>
                        <w:color w:val="231F20"/>
                        <w:spacing w:val="-1"/>
                        <w:sz w:val="14"/>
                      </w:rPr>
                      <w:t> </w:t>
                    </w:r>
                    <w:r>
                      <w:rPr>
                        <w:rFonts w:ascii="Arial"/>
                        <w:color w:val="231F20"/>
                        <w:spacing w:val="-2"/>
                        <w:w w:val="90"/>
                        <w:sz w:val="14"/>
                      </w:rPr>
                      <w:t>risque</w:t>
                    </w:r>
                  </w:p>
                  <w:p>
                    <w:pPr>
                      <w:numPr>
                        <w:ilvl w:val="0"/>
                        <w:numId w:val="28"/>
                      </w:numPr>
                      <w:tabs>
                        <w:tab w:pos="208" w:val="left" w:leader="none"/>
                      </w:tabs>
                      <w:spacing w:before="22"/>
                      <w:ind w:left="207" w:right="0" w:hanging="123"/>
                      <w:jc w:val="left"/>
                      <w:rPr>
                        <w:rFonts w:ascii="Arial" w:hAnsi="Arial"/>
                        <w:sz w:val="14"/>
                      </w:rPr>
                    </w:pPr>
                    <w:r>
                      <w:rPr>
                        <w:rFonts w:ascii="Arial" w:hAnsi="Arial"/>
                        <w:color w:val="231F20"/>
                        <w:w w:val="95"/>
                        <w:sz w:val="14"/>
                      </w:rPr>
                      <w:t>Iniquité</w:t>
                    </w:r>
                    <w:r>
                      <w:rPr>
                        <w:rFonts w:ascii="Arial" w:hAnsi="Arial"/>
                        <w:color w:val="231F20"/>
                        <w:spacing w:val="1"/>
                        <w:sz w:val="14"/>
                      </w:rPr>
                      <w:t> </w:t>
                    </w:r>
                    <w:r>
                      <w:rPr>
                        <w:rFonts w:ascii="Arial" w:hAnsi="Arial"/>
                        <w:color w:val="231F20"/>
                        <w:spacing w:val="-2"/>
                        <w:sz w:val="14"/>
                      </w:rPr>
                      <w:t>salariale</w:t>
                    </w:r>
                  </w:p>
                  <w:p>
                    <w:pPr>
                      <w:numPr>
                        <w:ilvl w:val="0"/>
                        <w:numId w:val="28"/>
                      </w:numPr>
                      <w:tabs>
                        <w:tab w:pos="208" w:val="left" w:leader="none"/>
                      </w:tabs>
                      <w:spacing w:before="22"/>
                      <w:ind w:left="207" w:right="0" w:hanging="123"/>
                      <w:jc w:val="left"/>
                      <w:rPr>
                        <w:rFonts w:ascii="Arial" w:hAnsi="Arial"/>
                        <w:sz w:val="14"/>
                      </w:rPr>
                    </w:pPr>
                    <w:r>
                      <w:rPr>
                        <w:rFonts w:ascii="Arial" w:hAnsi="Arial"/>
                        <w:color w:val="231F20"/>
                        <w:w w:val="95"/>
                        <w:sz w:val="14"/>
                      </w:rPr>
                      <w:t>Conflits</w:t>
                    </w:r>
                    <w:r>
                      <w:rPr>
                        <w:rFonts w:ascii="Arial" w:hAnsi="Arial"/>
                        <w:color w:val="231F20"/>
                        <w:spacing w:val="-11"/>
                        <w:w w:val="95"/>
                        <w:sz w:val="14"/>
                      </w:rPr>
                      <w:t> </w:t>
                    </w:r>
                    <w:r>
                      <w:rPr>
                        <w:rFonts w:ascii="Arial" w:hAnsi="Arial"/>
                        <w:color w:val="231F20"/>
                        <w:w w:val="95"/>
                        <w:sz w:val="14"/>
                      </w:rPr>
                      <w:t>de</w:t>
                    </w:r>
                    <w:r>
                      <w:rPr>
                        <w:rFonts w:ascii="Arial" w:hAnsi="Arial"/>
                        <w:color w:val="231F20"/>
                        <w:spacing w:val="-10"/>
                        <w:w w:val="95"/>
                        <w:sz w:val="14"/>
                      </w:rPr>
                      <w:t> </w:t>
                    </w:r>
                    <w:r>
                      <w:rPr>
                        <w:rFonts w:ascii="Arial" w:hAnsi="Arial"/>
                        <w:color w:val="231F20"/>
                        <w:spacing w:val="-2"/>
                        <w:w w:val="95"/>
                        <w:sz w:val="14"/>
                      </w:rPr>
                      <w:t>rôles</w:t>
                    </w:r>
                  </w:p>
                  <w:p>
                    <w:pPr>
                      <w:numPr>
                        <w:ilvl w:val="0"/>
                        <w:numId w:val="28"/>
                      </w:numPr>
                      <w:tabs>
                        <w:tab w:pos="208" w:val="left" w:leader="none"/>
                      </w:tabs>
                      <w:spacing w:before="23"/>
                      <w:ind w:left="207" w:right="0" w:hanging="123"/>
                      <w:jc w:val="left"/>
                      <w:rPr>
                        <w:rFonts w:ascii="Arial"/>
                        <w:sz w:val="14"/>
                      </w:rPr>
                    </w:pPr>
                    <w:r>
                      <w:rPr>
                        <w:rFonts w:ascii="Arial"/>
                        <w:color w:val="231F20"/>
                        <w:w w:val="95"/>
                        <w:sz w:val="14"/>
                      </w:rPr>
                      <w:t>Coercition</w:t>
                    </w:r>
                    <w:r>
                      <w:rPr>
                        <w:rFonts w:ascii="Arial"/>
                        <w:color w:val="231F20"/>
                        <w:spacing w:val="-1"/>
                        <w:w w:val="95"/>
                        <w:sz w:val="14"/>
                      </w:rPr>
                      <w:t> </w:t>
                    </w:r>
                    <w:r>
                      <w:rPr>
                        <w:rFonts w:ascii="Arial"/>
                        <w:color w:val="231F20"/>
                        <w:w w:val="95"/>
                        <w:sz w:val="14"/>
                      </w:rPr>
                      <w:t>du</w:t>
                    </w:r>
                    <w:r>
                      <w:rPr>
                        <w:rFonts w:ascii="Arial"/>
                        <w:color w:val="231F20"/>
                        <w:spacing w:val="-1"/>
                        <w:w w:val="95"/>
                        <w:sz w:val="14"/>
                      </w:rPr>
                      <w:t> </w:t>
                    </w:r>
                    <w:r>
                      <w:rPr>
                        <w:rFonts w:ascii="Arial"/>
                        <w:color w:val="231F20"/>
                        <w:w w:val="95"/>
                        <w:sz w:val="14"/>
                      </w:rPr>
                      <w:t>comportement</w:t>
                    </w:r>
                    <w:r>
                      <w:rPr>
                        <w:rFonts w:ascii="Arial"/>
                        <w:color w:val="231F20"/>
                        <w:spacing w:val="-2"/>
                        <w:sz w:val="14"/>
                      </w:rPr>
                      <w:t> </w:t>
                    </w:r>
                    <w:r>
                      <w:rPr>
                        <w:rFonts w:ascii="Arial"/>
                        <w:color w:val="231F20"/>
                        <w:w w:val="95"/>
                        <w:sz w:val="14"/>
                      </w:rPr>
                      <w:t>du</w:t>
                    </w:r>
                    <w:r>
                      <w:rPr>
                        <w:rFonts w:ascii="Arial"/>
                        <w:color w:val="231F20"/>
                        <w:spacing w:val="-1"/>
                        <w:w w:val="95"/>
                        <w:sz w:val="14"/>
                      </w:rPr>
                      <w:t> </w:t>
                    </w:r>
                    <w:r>
                      <w:rPr>
                        <w:rFonts w:ascii="Arial"/>
                        <w:color w:val="231F20"/>
                        <w:spacing w:val="-2"/>
                        <w:w w:val="95"/>
                        <w:sz w:val="14"/>
                      </w:rPr>
                      <w:t>personnel</w:t>
                    </w:r>
                  </w:p>
                  <w:p>
                    <w:pPr>
                      <w:spacing w:before="144"/>
                      <w:ind w:left="85" w:right="0" w:firstLine="0"/>
                      <w:jc w:val="left"/>
                      <w:rPr>
                        <w:rFonts w:ascii="Arial" w:hAnsi="Arial"/>
                        <w:b/>
                        <w:sz w:val="14"/>
                      </w:rPr>
                    </w:pPr>
                    <w:r>
                      <w:rPr>
                        <w:rFonts w:ascii="Arial" w:hAnsi="Arial"/>
                        <w:b/>
                        <w:color w:val="231F20"/>
                        <w:w w:val="85"/>
                        <w:sz w:val="14"/>
                      </w:rPr>
                      <w:t>Sources</w:t>
                    </w:r>
                    <w:r>
                      <w:rPr>
                        <w:rFonts w:ascii="Arial" w:hAnsi="Arial"/>
                        <w:b/>
                        <w:color w:val="231F20"/>
                        <w:spacing w:val="5"/>
                        <w:sz w:val="14"/>
                      </w:rPr>
                      <w:t> </w:t>
                    </w:r>
                    <w:r>
                      <w:rPr>
                        <w:rFonts w:ascii="Arial" w:hAnsi="Arial"/>
                        <w:b/>
                        <w:color w:val="231F20"/>
                        <w:spacing w:val="-2"/>
                        <w:w w:val="95"/>
                        <w:sz w:val="14"/>
                      </w:rPr>
                      <w:t>intrinsèques</w:t>
                    </w:r>
                  </w:p>
                  <w:p>
                    <w:pPr>
                      <w:numPr>
                        <w:ilvl w:val="0"/>
                        <w:numId w:val="28"/>
                      </w:numPr>
                      <w:tabs>
                        <w:tab w:pos="208" w:val="left" w:leader="none"/>
                      </w:tabs>
                      <w:spacing w:before="23"/>
                      <w:ind w:left="207" w:right="0" w:hanging="123"/>
                      <w:jc w:val="left"/>
                      <w:rPr>
                        <w:rFonts w:ascii="Arial"/>
                        <w:sz w:val="14"/>
                      </w:rPr>
                    </w:pPr>
                    <w:r>
                      <w:rPr>
                        <w:rFonts w:ascii="Arial"/>
                        <w:color w:val="231F20"/>
                        <w:w w:val="90"/>
                        <w:sz w:val="14"/>
                      </w:rPr>
                      <w:t>Contraintes</w:t>
                    </w:r>
                    <w:r>
                      <w:rPr>
                        <w:rFonts w:ascii="Arial"/>
                        <w:color w:val="231F20"/>
                        <w:spacing w:val="7"/>
                        <w:sz w:val="14"/>
                      </w:rPr>
                      <w:t> </w:t>
                    </w:r>
                    <w:r>
                      <w:rPr>
                        <w:rFonts w:ascii="Arial"/>
                        <w:color w:val="231F20"/>
                        <w:w w:val="90"/>
                        <w:sz w:val="14"/>
                      </w:rPr>
                      <w:t>de</w:t>
                    </w:r>
                    <w:r>
                      <w:rPr>
                        <w:rFonts w:ascii="Arial"/>
                        <w:color w:val="231F20"/>
                        <w:spacing w:val="8"/>
                        <w:sz w:val="14"/>
                      </w:rPr>
                      <w:t> </w:t>
                    </w:r>
                    <w:r>
                      <w:rPr>
                        <w:rFonts w:ascii="Arial"/>
                        <w:color w:val="231F20"/>
                        <w:spacing w:val="-4"/>
                        <w:w w:val="90"/>
                        <w:sz w:val="14"/>
                      </w:rPr>
                      <w:t>temps</w:t>
                    </w:r>
                  </w:p>
                  <w:p>
                    <w:pPr>
                      <w:numPr>
                        <w:ilvl w:val="0"/>
                        <w:numId w:val="28"/>
                      </w:numPr>
                      <w:tabs>
                        <w:tab w:pos="208" w:val="left" w:leader="none"/>
                      </w:tabs>
                      <w:spacing w:before="22"/>
                      <w:ind w:left="207" w:right="0" w:hanging="123"/>
                      <w:jc w:val="left"/>
                      <w:rPr>
                        <w:rFonts w:ascii="Arial"/>
                        <w:sz w:val="14"/>
                      </w:rPr>
                    </w:pPr>
                    <w:r>
                      <w:rPr>
                        <w:rFonts w:ascii="Arial"/>
                        <w:color w:val="231F20"/>
                        <w:w w:val="90"/>
                        <w:sz w:val="14"/>
                      </w:rPr>
                      <w:t>Surcharge</w:t>
                    </w:r>
                    <w:r>
                      <w:rPr>
                        <w:rFonts w:ascii="Arial"/>
                        <w:color w:val="231F20"/>
                        <w:spacing w:val="-1"/>
                        <w:w w:val="90"/>
                        <w:sz w:val="14"/>
                      </w:rPr>
                      <w:t> </w:t>
                    </w:r>
                    <w:r>
                      <w:rPr>
                        <w:rFonts w:ascii="Arial"/>
                        <w:color w:val="231F20"/>
                        <w:w w:val="90"/>
                        <w:sz w:val="14"/>
                      </w:rPr>
                      <w:t>de</w:t>
                    </w:r>
                    <w:r>
                      <w:rPr>
                        <w:rFonts w:ascii="Arial"/>
                        <w:color w:val="231F20"/>
                        <w:spacing w:val="-1"/>
                        <w:w w:val="90"/>
                        <w:sz w:val="14"/>
                      </w:rPr>
                      <w:t> </w:t>
                    </w:r>
                    <w:r>
                      <w:rPr>
                        <w:rFonts w:ascii="Arial"/>
                        <w:color w:val="231F20"/>
                        <w:spacing w:val="-2"/>
                        <w:w w:val="90"/>
                        <w:sz w:val="14"/>
                      </w:rPr>
                      <w:t>travail</w:t>
                    </w:r>
                  </w:p>
                  <w:p>
                    <w:pPr>
                      <w:numPr>
                        <w:ilvl w:val="0"/>
                        <w:numId w:val="28"/>
                      </w:numPr>
                      <w:tabs>
                        <w:tab w:pos="208" w:val="left" w:leader="none"/>
                      </w:tabs>
                      <w:spacing w:before="22"/>
                      <w:ind w:left="207" w:right="191" w:hanging="123"/>
                      <w:jc w:val="left"/>
                      <w:rPr>
                        <w:rFonts w:ascii="Arial" w:hAnsi="Arial"/>
                        <w:sz w:val="14"/>
                      </w:rPr>
                    </w:pPr>
                    <w:r>
                      <w:rPr>
                        <w:rFonts w:ascii="Arial" w:hAnsi="Arial"/>
                        <w:color w:val="231F20"/>
                        <w:w w:val="95"/>
                        <w:sz w:val="14"/>
                      </w:rPr>
                      <w:t>Niveau</w:t>
                    </w:r>
                    <w:r>
                      <w:rPr>
                        <w:rFonts w:ascii="Arial" w:hAnsi="Arial"/>
                        <w:color w:val="231F20"/>
                        <w:spacing w:val="-8"/>
                        <w:w w:val="95"/>
                        <w:sz w:val="14"/>
                      </w:rPr>
                      <w:t> </w:t>
                    </w:r>
                    <w:r>
                      <w:rPr>
                        <w:rFonts w:ascii="Arial" w:hAnsi="Arial"/>
                        <w:color w:val="231F20"/>
                        <w:w w:val="95"/>
                        <w:sz w:val="14"/>
                      </w:rPr>
                      <w:t>de</w:t>
                    </w:r>
                    <w:r>
                      <w:rPr>
                        <w:rFonts w:ascii="Arial" w:hAnsi="Arial"/>
                        <w:color w:val="231F20"/>
                        <w:spacing w:val="-8"/>
                        <w:w w:val="95"/>
                        <w:sz w:val="14"/>
                      </w:rPr>
                      <w:t> </w:t>
                    </w:r>
                    <w:r>
                      <w:rPr>
                        <w:rFonts w:ascii="Arial" w:hAnsi="Arial"/>
                        <w:color w:val="231F20"/>
                        <w:w w:val="95"/>
                        <w:sz w:val="14"/>
                      </w:rPr>
                      <w:t>difficulté</w:t>
                    </w:r>
                    <w:r>
                      <w:rPr>
                        <w:rFonts w:ascii="Arial" w:hAnsi="Arial"/>
                        <w:color w:val="231F20"/>
                        <w:spacing w:val="-8"/>
                        <w:w w:val="95"/>
                        <w:sz w:val="14"/>
                      </w:rPr>
                      <w:t> </w:t>
                    </w:r>
                    <w:r>
                      <w:rPr>
                        <w:rFonts w:ascii="Arial" w:hAnsi="Arial"/>
                        <w:color w:val="231F20"/>
                        <w:w w:val="95"/>
                        <w:sz w:val="14"/>
                      </w:rPr>
                      <w:t>du</w:t>
                    </w:r>
                    <w:r>
                      <w:rPr>
                        <w:rFonts w:ascii="Arial" w:hAnsi="Arial"/>
                        <w:color w:val="231F20"/>
                        <w:spacing w:val="-8"/>
                        <w:w w:val="95"/>
                        <w:sz w:val="14"/>
                      </w:rPr>
                      <w:t> </w:t>
                    </w:r>
                    <w:r>
                      <w:rPr>
                        <w:rFonts w:ascii="Arial" w:hAnsi="Arial"/>
                        <w:color w:val="231F20"/>
                        <w:w w:val="95"/>
                        <w:sz w:val="14"/>
                      </w:rPr>
                      <w:t>travail</w:t>
                    </w:r>
                    <w:r>
                      <w:rPr>
                        <w:rFonts w:ascii="Arial" w:hAnsi="Arial"/>
                        <w:color w:val="231F20"/>
                        <w:spacing w:val="-8"/>
                        <w:w w:val="95"/>
                        <w:sz w:val="14"/>
                      </w:rPr>
                      <w:t> </w:t>
                    </w:r>
                    <w:r>
                      <w:rPr>
                        <w:rFonts w:ascii="Arial" w:hAnsi="Arial"/>
                        <w:color w:val="231F20"/>
                        <w:w w:val="95"/>
                        <w:sz w:val="14"/>
                      </w:rPr>
                      <w:t>trop</w:t>
                    </w:r>
                    <w:r>
                      <w:rPr>
                        <w:rFonts w:ascii="Arial" w:hAnsi="Arial"/>
                        <w:color w:val="231F20"/>
                        <w:spacing w:val="-8"/>
                        <w:w w:val="95"/>
                        <w:sz w:val="14"/>
                      </w:rPr>
                      <w:t> </w:t>
                    </w:r>
                    <w:r>
                      <w:rPr>
                        <w:rFonts w:ascii="Arial" w:hAnsi="Arial"/>
                        <w:color w:val="231F20"/>
                        <w:w w:val="95"/>
                        <w:sz w:val="14"/>
                      </w:rPr>
                      <w:t>faible</w:t>
                    </w:r>
                    <w:r>
                      <w:rPr>
                        <w:rFonts w:ascii="Arial" w:hAnsi="Arial"/>
                        <w:color w:val="231F20"/>
                        <w:spacing w:val="40"/>
                        <w:sz w:val="14"/>
                      </w:rPr>
                      <w:t> </w:t>
                    </w:r>
                    <w:r>
                      <w:rPr>
                        <w:rFonts w:ascii="Arial" w:hAnsi="Arial"/>
                        <w:color w:val="231F20"/>
                        <w:sz w:val="14"/>
                      </w:rPr>
                      <w:t>ou</w:t>
                    </w:r>
                    <w:r>
                      <w:rPr>
                        <w:rFonts w:ascii="Arial" w:hAnsi="Arial"/>
                        <w:color w:val="231F20"/>
                        <w:spacing w:val="-6"/>
                        <w:sz w:val="14"/>
                      </w:rPr>
                      <w:t> </w:t>
                    </w:r>
                    <w:r>
                      <w:rPr>
                        <w:rFonts w:ascii="Arial" w:hAnsi="Arial"/>
                        <w:color w:val="231F20"/>
                        <w:sz w:val="14"/>
                      </w:rPr>
                      <w:t>trop</w:t>
                    </w:r>
                    <w:r>
                      <w:rPr>
                        <w:rFonts w:ascii="Arial" w:hAnsi="Arial"/>
                        <w:color w:val="231F20"/>
                        <w:spacing w:val="-6"/>
                        <w:sz w:val="14"/>
                      </w:rPr>
                      <w:t> </w:t>
                    </w:r>
                    <w:r>
                      <w:rPr>
                        <w:rFonts w:ascii="Arial" w:hAnsi="Arial"/>
                        <w:color w:val="231F20"/>
                        <w:sz w:val="14"/>
                      </w:rPr>
                      <w:t>élevé</w:t>
                    </w:r>
                  </w:p>
                  <w:p>
                    <w:pPr>
                      <w:numPr>
                        <w:ilvl w:val="0"/>
                        <w:numId w:val="28"/>
                      </w:numPr>
                      <w:tabs>
                        <w:tab w:pos="208" w:val="left" w:leader="none"/>
                      </w:tabs>
                      <w:spacing w:before="24"/>
                      <w:ind w:left="207" w:right="268" w:hanging="123"/>
                      <w:jc w:val="left"/>
                      <w:rPr>
                        <w:rFonts w:ascii="Arial" w:hAnsi="Arial"/>
                        <w:sz w:val="14"/>
                      </w:rPr>
                    </w:pPr>
                    <w:r>
                      <w:rPr>
                        <w:rFonts w:ascii="Arial" w:hAnsi="Arial"/>
                        <w:color w:val="231F20"/>
                        <w:w w:val="95"/>
                        <w:sz w:val="14"/>
                      </w:rPr>
                      <w:t>Niveau</w:t>
                    </w:r>
                    <w:r>
                      <w:rPr>
                        <w:rFonts w:ascii="Arial" w:hAnsi="Arial"/>
                        <w:color w:val="231F20"/>
                        <w:spacing w:val="-11"/>
                        <w:w w:val="95"/>
                        <w:sz w:val="14"/>
                      </w:rPr>
                      <w:t> </w:t>
                    </w:r>
                    <w:r>
                      <w:rPr>
                        <w:rFonts w:ascii="Arial" w:hAnsi="Arial"/>
                        <w:color w:val="231F20"/>
                        <w:w w:val="95"/>
                        <w:sz w:val="14"/>
                      </w:rPr>
                      <w:t>de</w:t>
                    </w:r>
                    <w:r>
                      <w:rPr>
                        <w:rFonts w:ascii="Arial" w:hAnsi="Arial"/>
                        <w:color w:val="231F20"/>
                        <w:spacing w:val="-10"/>
                        <w:w w:val="95"/>
                        <w:sz w:val="14"/>
                      </w:rPr>
                      <w:t> </w:t>
                    </w:r>
                    <w:r>
                      <w:rPr>
                        <w:rFonts w:ascii="Arial" w:hAnsi="Arial"/>
                        <w:color w:val="231F20"/>
                        <w:w w:val="95"/>
                        <w:sz w:val="14"/>
                      </w:rPr>
                      <w:t>responsabilité</w:t>
                    </w:r>
                    <w:r>
                      <w:rPr>
                        <w:rFonts w:ascii="Arial" w:hAnsi="Arial"/>
                        <w:color w:val="231F20"/>
                        <w:spacing w:val="-10"/>
                        <w:w w:val="95"/>
                        <w:sz w:val="14"/>
                      </w:rPr>
                      <w:t> </w:t>
                    </w:r>
                    <w:r>
                      <w:rPr>
                        <w:rFonts w:ascii="Arial" w:hAnsi="Arial"/>
                        <w:color w:val="231F20"/>
                        <w:w w:val="95"/>
                        <w:sz w:val="14"/>
                      </w:rPr>
                      <w:t>trop</w:t>
                    </w:r>
                    <w:r>
                      <w:rPr>
                        <w:rFonts w:ascii="Arial" w:hAnsi="Arial"/>
                        <w:color w:val="231F20"/>
                        <w:spacing w:val="-10"/>
                        <w:w w:val="95"/>
                        <w:sz w:val="14"/>
                      </w:rPr>
                      <w:t> </w:t>
                    </w:r>
                    <w:r>
                      <w:rPr>
                        <w:rFonts w:ascii="Arial" w:hAnsi="Arial"/>
                        <w:color w:val="231F20"/>
                        <w:w w:val="95"/>
                        <w:sz w:val="14"/>
                      </w:rPr>
                      <w:t>faible</w:t>
                    </w:r>
                    <w:r>
                      <w:rPr>
                        <w:rFonts w:ascii="Arial" w:hAnsi="Arial"/>
                        <w:color w:val="231F20"/>
                        <w:spacing w:val="-10"/>
                        <w:w w:val="95"/>
                        <w:sz w:val="14"/>
                      </w:rPr>
                      <w:t> </w:t>
                    </w:r>
                    <w:r>
                      <w:rPr>
                        <w:rFonts w:ascii="Arial" w:hAnsi="Arial"/>
                        <w:color w:val="231F20"/>
                        <w:w w:val="95"/>
                        <w:sz w:val="14"/>
                      </w:rPr>
                      <w:t>ou</w:t>
                    </w:r>
                    <w:r>
                      <w:rPr>
                        <w:rFonts w:ascii="Arial" w:hAnsi="Arial"/>
                        <w:color w:val="231F20"/>
                        <w:spacing w:val="40"/>
                        <w:sz w:val="14"/>
                      </w:rPr>
                      <w:t> </w:t>
                    </w:r>
                    <w:r>
                      <w:rPr>
                        <w:rFonts w:ascii="Arial" w:hAnsi="Arial"/>
                        <w:color w:val="231F20"/>
                        <w:sz w:val="14"/>
                      </w:rPr>
                      <w:t>trop</w:t>
                    </w:r>
                    <w:r>
                      <w:rPr>
                        <w:rFonts w:ascii="Arial" w:hAnsi="Arial"/>
                        <w:color w:val="231F20"/>
                        <w:spacing w:val="-12"/>
                        <w:sz w:val="14"/>
                      </w:rPr>
                      <w:t> </w:t>
                    </w:r>
                    <w:r>
                      <w:rPr>
                        <w:rFonts w:ascii="Arial" w:hAnsi="Arial"/>
                        <w:color w:val="231F20"/>
                        <w:sz w:val="14"/>
                      </w:rPr>
                      <w:t>élevé</w:t>
                    </w:r>
                  </w:p>
                  <w:p>
                    <w:pPr>
                      <w:numPr>
                        <w:ilvl w:val="0"/>
                        <w:numId w:val="28"/>
                      </w:numPr>
                      <w:tabs>
                        <w:tab w:pos="208" w:val="left" w:leader="none"/>
                      </w:tabs>
                      <w:spacing w:before="24"/>
                      <w:ind w:left="207" w:right="0" w:hanging="123"/>
                      <w:jc w:val="left"/>
                      <w:rPr>
                        <w:rFonts w:ascii="Arial" w:hAnsi="Arial"/>
                        <w:sz w:val="14"/>
                      </w:rPr>
                    </w:pPr>
                    <w:r>
                      <w:rPr>
                        <w:rFonts w:ascii="Arial" w:hAnsi="Arial"/>
                        <w:color w:val="231F20"/>
                        <w:w w:val="95"/>
                        <w:sz w:val="14"/>
                      </w:rPr>
                      <w:t>Niveau</w:t>
                    </w:r>
                    <w:r>
                      <w:rPr>
                        <w:rFonts w:ascii="Arial" w:hAnsi="Arial"/>
                        <w:color w:val="231F20"/>
                        <w:spacing w:val="-10"/>
                        <w:w w:val="95"/>
                        <w:sz w:val="14"/>
                      </w:rPr>
                      <w:t> </w:t>
                    </w:r>
                    <w:r>
                      <w:rPr>
                        <w:rFonts w:ascii="Arial" w:hAnsi="Arial"/>
                        <w:color w:val="231F20"/>
                        <w:w w:val="95"/>
                        <w:sz w:val="14"/>
                      </w:rPr>
                      <w:t>de</w:t>
                    </w:r>
                    <w:r>
                      <w:rPr>
                        <w:rFonts w:ascii="Arial" w:hAnsi="Arial"/>
                        <w:color w:val="231F20"/>
                        <w:spacing w:val="-10"/>
                        <w:w w:val="95"/>
                        <w:sz w:val="14"/>
                      </w:rPr>
                      <w:t> </w:t>
                    </w:r>
                    <w:r>
                      <w:rPr>
                        <w:rFonts w:ascii="Arial" w:hAnsi="Arial"/>
                        <w:color w:val="231F20"/>
                        <w:w w:val="95"/>
                        <w:sz w:val="14"/>
                      </w:rPr>
                      <w:t>participation</w:t>
                    </w:r>
                    <w:r>
                      <w:rPr>
                        <w:rFonts w:ascii="Arial" w:hAnsi="Arial"/>
                        <w:color w:val="231F20"/>
                        <w:spacing w:val="-9"/>
                        <w:w w:val="95"/>
                        <w:sz w:val="14"/>
                      </w:rPr>
                      <w:t> </w:t>
                    </w:r>
                    <w:r>
                      <w:rPr>
                        <w:rFonts w:ascii="Arial" w:hAnsi="Arial"/>
                        <w:color w:val="231F20"/>
                        <w:w w:val="95"/>
                        <w:sz w:val="14"/>
                      </w:rPr>
                      <w:t>à</w:t>
                    </w:r>
                    <w:r>
                      <w:rPr>
                        <w:rFonts w:ascii="Arial" w:hAnsi="Arial"/>
                        <w:color w:val="231F20"/>
                        <w:spacing w:val="-10"/>
                        <w:w w:val="95"/>
                        <w:sz w:val="14"/>
                      </w:rPr>
                      <w:t> </w:t>
                    </w:r>
                    <w:r>
                      <w:rPr>
                        <w:rFonts w:ascii="Arial" w:hAnsi="Arial"/>
                        <w:color w:val="231F20"/>
                        <w:w w:val="95"/>
                        <w:sz w:val="14"/>
                      </w:rPr>
                      <w:t>la</w:t>
                    </w:r>
                    <w:r>
                      <w:rPr>
                        <w:rFonts w:ascii="Arial" w:hAnsi="Arial"/>
                        <w:color w:val="231F20"/>
                        <w:spacing w:val="-9"/>
                        <w:w w:val="95"/>
                        <w:sz w:val="14"/>
                      </w:rPr>
                      <w:t> </w:t>
                    </w:r>
                    <w:r>
                      <w:rPr>
                        <w:rFonts w:ascii="Arial" w:hAnsi="Arial"/>
                        <w:color w:val="231F20"/>
                        <w:spacing w:val="-2"/>
                        <w:w w:val="95"/>
                        <w:sz w:val="14"/>
                      </w:rPr>
                      <w:t>prise</w:t>
                    </w:r>
                  </w:p>
                  <w:p>
                    <w:pPr>
                      <w:spacing w:before="2"/>
                      <w:ind w:left="207" w:right="0" w:firstLine="0"/>
                      <w:jc w:val="left"/>
                      <w:rPr>
                        <w:rFonts w:ascii="Arial" w:hAnsi="Arial"/>
                        <w:sz w:val="14"/>
                      </w:rPr>
                    </w:pPr>
                    <w:r>
                      <w:rPr>
                        <w:rFonts w:ascii="Arial" w:hAnsi="Arial"/>
                        <w:color w:val="231F20"/>
                        <w:w w:val="95"/>
                        <w:sz w:val="14"/>
                      </w:rPr>
                      <w:t>de</w:t>
                    </w:r>
                    <w:r>
                      <w:rPr>
                        <w:rFonts w:ascii="Arial" w:hAnsi="Arial"/>
                        <w:color w:val="231F20"/>
                        <w:spacing w:val="-5"/>
                        <w:w w:val="95"/>
                        <w:sz w:val="14"/>
                      </w:rPr>
                      <w:t> </w:t>
                    </w:r>
                    <w:r>
                      <w:rPr>
                        <w:rFonts w:ascii="Arial" w:hAnsi="Arial"/>
                        <w:color w:val="231F20"/>
                        <w:w w:val="95"/>
                        <w:sz w:val="14"/>
                      </w:rPr>
                      <w:t>décision</w:t>
                    </w:r>
                    <w:r>
                      <w:rPr>
                        <w:rFonts w:ascii="Arial" w:hAnsi="Arial"/>
                        <w:color w:val="231F20"/>
                        <w:spacing w:val="-4"/>
                        <w:w w:val="95"/>
                        <w:sz w:val="14"/>
                      </w:rPr>
                      <w:t> </w:t>
                    </w:r>
                    <w:r>
                      <w:rPr>
                        <w:rFonts w:ascii="Arial" w:hAnsi="Arial"/>
                        <w:color w:val="231F20"/>
                        <w:w w:val="95"/>
                        <w:sz w:val="14"/>
                      </w:rPr>
                      <w:t>trop</w:t>
                    </w:r>
                    <w:r>
                      <w:rPr>
                        <w:rFonts w:ascii="Arial" w:hAnsi="Arial"/>
                        <w:color w:val="231F20"/>
                        <w:spacing w:val="-5"/>
                        <w:w w:val="95"/>
                        <w:sz w:val="14"/>
                      </w:rPr>
                      <w:t> </w:t>
                    </w:r>
                    <w:r>
                      <w:rPr>
                        <w:rFonts w:ascii="Arial" w:hAnsi="Arial"/>
                        <w:color w:val="231F20"/>
                        <w:w w:val="95"/>
                        <w:sz w:val="14"/>
                      </w:rPr>
                      <w:t>faible</w:t>
                    </w:r>
                    <w:r>
                      <w:rPr>
                        <w:rFonts w:ascii="Arial" w:hAnsi="Arial"/>
                        <w:color w:val="231F20"/>
                        <w:spacing w:val="-4"/>
                        <w:w w:val="95"/>
                        <w:sz w:val="14"/>
                      </w:rPr>
                      <w:t> </w:t>
                    </w:r>
                    <w:r>
                      <w:rPr>
                        <w:rFonts w:ascii="Arial" w:hAnsi="Arial"/>
                        <w:color w:val="231F20"/>
                        <w:w w:val="95"/>
                        <w:sz w:val="14"/>
                      </w:rPr>
                      <w:t>ou</w:t>
                    </w:r>
                    <w:r>
                      <w:rPr>
                        <w:rFonts w:ascii="Arial" w:hAnsi="Arial"/>
                        <w:color w:val="231F20"/>
                        <w:spacing w:val="-5"/>
                        <w:w w:val="95"/>
                        <w:sz w:val="14"/>
                      </w:rPr>
                      <w:t> </w:t>
                    </w:r>
                    <w:r>
                      <w:rPr>
                        <w:rFonts w:ascii="Arial" w:hAnsi="Arial"/>
                        <w:color w:val="231F20"/>
                        <w:w w:val="95"/>
                        <w:sz w:val="14"/>
                      </w:rPr>
                      <w:t>trop</w:t>
                    </w:r>
                    <w:r>
                      <w:rPr>
                        <w:rFonts w:ascii="Arial" w:hAnsi="Arial"/>
                        <w:color w:val="231F20"/>
                        <w:spacing w:val="-4"/>
                        <w:w w:val="95"/>
                        <w:sz w:val="14"/>
                      </w:rPr>
                      <w:t> </w:t>
                    </w:r>
                    <w:r>
                      <w:rPr>
                        <w:rFonts w:ascii="Arial" w:hAnsi="Arial"/>
                        <w:color w:val="231F20"/>
                        <w:spacing w:val="-2"/>
                        <w:w w:val="95"/>
                        <w:sz w:val="14"/>
                      </w:rPr>
                      <w:t>élevé</w:t>
                    </w:r>
                  </w:p>
                </w:txbxContent>
              </v:textbox>
              <w10:wrap type="none"/>
            </v:shape>
            <v:shape style="position:absolute;left:4339;top:2326;width:565;height:186" type="#_x0000_t202" id="docshape531" filled="false" stroked="false">
              <v:textbox inset="0,0,0,0">
                <w:txbxContent>
                  <w:p>
                    <w:pPr>
                      <w:spacing w:before="23"/>
                      <w:ind w:left="0" w:right="0" w:firstLine="0"/>
                      <w:jc w:val="left"/>
                      <w:rPr>
                        <w:rFonts w:ascii="Arial"/>
                        <w:b/>
                        <w:sz w:val="14"/>
                      </w:rPr>
                    </w:pPr>
                    <w:r>
                      <w:rPr>
                        <w:rFonts w:ascii="Arial"/>
                        <w:b/>
                        <w:color w:val="231F20"/>
                        <w:spacing w:val="-2"/>
                        <w:w w:val="90"/>
                        <w:sz w:val="14"/>
                      </w:rPr>
                      <w:t>Groupe</w:t>
                    </w:r>
                    <w:r>
                      <w:rPr>
                        <w:rFonts w:ascii="Arial"/>
                        <w:b/>
                        <w:color w:val="231F20"/>
                        <w:spacing w:val="-12"/>
                        <w:w w:val="90"/>
                        <w:sz w:val="14"/>
                      </w:rPr>
                      <w:t> </w:t>
                    </w:r>
                    <w:r>
                      <w:rPr>
                        <w:rFonts w:ascii="Arial"/>
                        <w:b/>
                        <w:color w:val="231F20"/>
                        <w:spacing w:val="-5"/>
                        <w:sz w:val="14"/>
                      </w:rPr>
                      <w:t>II</w:t>
                    </w:r>
                  </w:p>
                </w:txbxContent>
              </v:textbox>
              <w10:wrap type="none"/>
            </v:shape>
            <v:shape style="position:absolute;left:6100;top:2326;width:617;height:186" type="#_x0000_t202" id="docshape532" filled="false" stroked="false">
              <v:textbox inset="0,0,0,0">
                <w:txbxContent>
                  <w:p>
                    <w:pPr>
                      <w:spacing w:before="23"/>
                      <w:ind w:left="0" w:right="0" w:firstLine="0"/>
                      <w:jc w:val="left"/>
                      <w:rPr>
                        <w:rFonts w:ascii="Arial"/>
                        <w:b/>
                        <w:sz w:val="14"/>
                      </w:rPr>
                    </w:pPr>
                    <w:r>
                      <w:rPr>
                        <w:rFonts w:ascii="Arial"/>
                        <w:b/>
                        <w:color w:val="231F20"/>
                        <w:w w:val="90"/>
                        <w:sz w:val="14"/>
                      </w:rPr>
                      <w:t>Groupe</w:t>
                    </w:r>
                    <w:r>
                      <w:rPr>
                        <w:rFonts w:ascii="Arial"/>
                        <w:b/>
                        <w:color w:val="231F20"/>
                        <w:spacing w:val="-12"/>
                        <w:w w:val="90"/>
                        <w:sz w:val="14"/>
                      </w:rPr>
                      <w:t> </w:t>
                    </w:r>
                    <w:r>
                      <w:rPr>
                        <w:rFonts w:ascii="Arial"/>
                        <w:b/>
                        <w:color w:val="231F20"/>
                        <w:spacing w:val="-5"/>
                        <w:sz w:val="14"/>
                      </w:rPr>
                      <w:t>III</w:t>
                    </w:r>
                  </w:p>
                </w:txbxContent>
              </v:textbox>
              <w10:wrap type="none"/>
            </v:shape>
            <v:shape style="position:absolute;left:4339;top:2492;width:3624;height:183" type="#_x0000_t202" id="docshape533" filled="false" stroked="false">
              <v:textbox inset="0,0,0,0">
                <w:txbxContent>
                  <w:p>
                    <w:pPr>
                      <w:spacing w:before="20"/>
                      <w:ind w:left="0" w:right="0" w:firstLine="0"/>
                      <w:jc w:val="left"/>
                      <w:rPr>
                        <w:rFonts w:ascii="Arial" w:hAnsi="Arial"/>
                        <w:sz w:val="14"/>
                      </w:rPr>
                    </w:pPr>
                    <w:r>
                      <w:rPr>
                        <w:rFonts w:ascii="Arial" w:hAnsi="Arial"/>
                        <w:color w:val="231F20"/>
                        <w:w w:val="90"/>
                        <w:sz w:val="14"/>
                      </w:rPr>
                      <w:t>Caractéristiques</w:t>
                    </w:r>
                    <w:r>
                      <w:rPr>
                        <w:rFonts w:ascii="Arial" w:hAnsi="Arial"/>
                        <w:color w:val="231F20"/>
                        <w:spacing w:val="-11"/>
                        <w:w w:val="90"/>
                        <w:sz w:val="14"/>
                      </w:rPr>
                      <w:t> </w:t>
                    </w:r>
                    <w:r>
                      <w:rPr>
                        <w:rFonts w:ascii="Arial" w:hAnsi="Arial"/>
                        <w:color w:val="231F20"/>
                        <w:w w:val="90"/>
                        <w:sz w:val="14"/>
                      </w:rPr>
                      <w:t>individuelles</w:t>
                    </w:r>
                    <w:r>
                      <w:rPr>
                        <w:rFonts w:ascii="Arial" w:hAnsi="Arial"/>
                        <w:color w:val="231F20"/>
                        <w:spacing w:val="77"/>
                        <w:w w:val="150"/>
                        <w:sz w:val="14"/>
                      </w:rPr>
                      <w:t> </w:t>
                    </w:r>
                    <w:r>
                      <w:rPr>
                        <w:rFonts w:ascii="Arial" w:hAnsi="Arial"/>
                        <w:color w:val="231F20"/>
                        <w:w w:val="90"/>
                        <w:sz w:val="14"/>
                      </w:rPr>
                      <w:t>Symptômes</w:t>
                    </w:r>
                    <w:r>
                      <w:rPr>
                        <w:rFonts w:ascii="Arial" w:hAnsi="Arial"/>
                        <w:color w:val="231F20"/>
                        <w:spacing w:val="-9"/>
                        <w:w w:val="90"/>
                        <w:sz w:val="14"/>
                      </w:rPr>
                      <w:t> </w:t>
                    </w:r>
                    <w:r>
                      <w:rPr>
                        <w:rFonts w:ascii="Arial" w:hAnsi="Arial"/>
                        <w:color w:val="231F20"/>
                        <w:w w:val="90"/>
                        <w:sz w:val="14"/>
                      </w:rPr>
                      <w:t>et</w:t>
                    </w:r>
                    <w:r>
                      <w:rPr>
                        <w:rFonts w:ascii="Arial" w:hAnsi="Arial"/>
                        <w:color w:val="231F20"/>
                        <w:spacing w:val="-8"/>
                        <w:w w:val="90"/>
                        <w:sz w:val="14"/>
                      </w:rPr>
                      <w:t> </w:t>
                    </w:r>
                    <w:r>
                      <w:rPr>
                        <w:rFonts w:ascii="Arial" w:hAnsi="Arial"/>
                        <w:color w:val="231F20"/>
                        <w:w w:val="90"/>
                        <w:sz w:val="14"/>
                      </w:rPr>
                      <w:t>signes</w:t>
                    </w:r>
                    <w:r>
                      <w:rPr>
                        <w:rFonts w:ascii="Arial" w:hAnsi="Arial"/>
                        <w:color w:val="231F20"/>
                        <w:spacing w:val="-8"/>
                        <w:w w:val="90"/>
                        <w:sz w:val="14"/>
                      </w:rPr>
                      <w:t> </w:t>
                    </w:r>
                    <w:r>
                      <w:rPr>
                        <w:rFonts w:ascii="Arial" w:hAnsi="Arial"/>
                        <w:color w:val="231F20"/>
                        <w:w w:val="90"/>
                        <w:sz w:val="14"/>
                      </w:rPr>
                      <w:t>de</w:t>
                    </w:r>
                    <w:r>
                      <w:rPr>
                        <w:rFonts w:ascii="Arial" w:hAnsi="Arial"/>
                        <w:color w:val="231F20"/>
                        <w:spacing w:val="-8"/>
                        <w:w w:val="90"/>
                        <w:sz w:val="14"/>
                      </w:rPr>
                      <w:t> </w:t>
                    </w:r>
                    <w:r>
                      <w:rPr>
                        <w:rFonts w:ascii="Arial" w:hAnsi="Arial"/>
                        <w:color w:val="231F20"/>
                        <w:spacing w:val="-2"/>
                        <w:w w:val="90"/>
                        <w:sz w:val="14"/>
                      </w:rPr>
                      <w:t>tension</w:t>
                    </w:r>
                  </w:p>
                </w:txbxContent>
              </v:textbox>
              <w10:wrap type="none"/>
            </v:shape>
            <v:shape style="position:absolute;left:4421;top:2806;width:872;height:186" type="#_x0000_t202" id="docshape534" filled="false" stroked="false">
              <v:textbox inset="0,0,0,0">
                <w:txbxContent>
                  <w:p>
                    <w:pPr>
                      <w:spacing w:before="23"/>
                      <w:ind w:left="0" w:right="0" w:firstLine="0"/>
                      <w:jc w:val="left"/>
                      <w:rPr>
                        <w:rFonts w:ascii="Arial"/>
                        <w:b/>
                        <w:sz w:val="14"/>
                      </w:rPr>
                    </w:pPr>
                    <w:r>
                      <w:rPr>
                        <w:rFonts w:ascii="Arial"/>
                        <w:b/>
                        <w:color w:val="231F20"/>
                        <w:w w:val="90"/>
                        <w:sz w:val="14"/>
                      </w:rPr>
                      <w:t>Soutien</w:t>
                    </w:r>
                    <w:r>
                      <w:rPr>
                        <w:rFonts w:ascii="Arial"/>
                        <w:b/>
                        <w:color w:val="231F20"/>
                        <w:spacing w:val="-4"/>
                        <w:sz w:val="14"/>
                      </w:rPr>
                      <w:t> </w:t>
                    </w:r>
                    <w:r>
                      <w:rPr>
                        <w:rFonts w:ascii="Arial"/>
                        <w:b/>
                        <w:color w:val="231F20"/>
                        <w:spacing w:val="-2"/>
                        <w:w w:val="90"/>
                        <w:sz w:val="14"/>
                      </w:rPr>
                      <w:t>social</w:t>
                    </w:r>
                  </w:p>
                </w:txbxContent>
              </v:textbox>
              <w10:wrap type="none"/>
            </v:shape>
            <v:shape style="position:absolute;left:6188;top:2761;width:1750;height:186" type="#_x0000_t202" id="docshape535" filled="false" stroked="false">
              <v:textbox inset="0,0,0,0">
                <w:txbxContent>
                  <w:p>
                    <w:pPr>
                      <w:spacing w:before="23"/>
                      <w:ind w:left="0" w:right="0" w:firstLine="0"/>
                      <w:jc w:val="left"/>
                      <w:rPr>
                        <w:rFonts w:ascii="Arial" w:hAnsi="Arial"/>
                        <w:b/>
                        <w:sz w:val="14"/>
                      </w:rPr>
                    </w:pPr>
                    <w:r>
                      <w:rPr>
                        <w:rFonts w:ascii="Arial" w:hAnsi="Arial"/>
                        <w:b/>
                        <w:color w:val="231F20"/>
                        <w:w w:val="90"/>
                        <w:sz w:val="14"/>
                      </w:rPr>
                      <w:t>Symptômes</w:t>
                    </w:r>
                    <w:r>
                      <w:rPr>
                        <w:rFonts w:ascii="Arial" w:hAnsi="Arial"/>
                        <w:b/>
                        <w:color w:val="231F20"/>
                        <w:spacing w:val="9"/>
                        <w:sz w:val="14"/>
                      </w:rPr>
                      <w:t> </w:t>
                    </w:r>
                    <w:r>
                      <w:rPr>
                        <w:rFonts w:ascii="Arial" w:hAnsi="Arial"/>
                        <w:b/>
                        <w:color w:val="231F20"/>
                        <w:spacing w:val="-2"/>
                        <w:w w:val="90"/>
                        <w:sz w:val="14"/>
                      </w:rPr>
                      <w:t>psychologiques</w:t>
                    </w:r>
                  </w:p>
                </w:txbxContent>
              </v:textbox>
              <w10:wrap type="none"/>
            </v:shape>
            <v:shape style="position:absolute;left:4421;top:3211;width:804;height:186" type="#_x0000_t202" id="docshape536" filled="false" stroked="false">
              <v:textbox inset="0,0,0,0">
                <w:txbxContent>
                  <w:p>
                    <w:pPr>
                      <w:spacing w:before="23"/>
                      <w:ind w:left="0" w:right="0" w:firstLine="0"/>
                      <w:jc w:val="left"/>
                      <w:rPr>
                        <w:rFonts w:ascii="Arial" w:hAnsi="Arial"/>
                        <w:b/>
                        <w:sz w:val="14"/>
                      </w:rPr>
                    </w:pPr>
                    <w:r>
                      <w:rPr>
                        <w:rFonts w:ascii="Arial" w:hAnsi="Arial"/>
                        <w:b/>
                        <w:color w:val="231F20"/>
                        <w:spacing w:val="-2"/>
                        <w:w w:val="95"/>
                        <w:sz w:val="14"/>
                      </w:rPr>
                      <w:t>Personnalité</w:t>
                    </w:r>
                  </w:p>
                </w:txbxContent>
              </v:textbox>
              <w10:wrap type="none"/>
            </v:shape>
            <v:shape style="position:absolute;left:4421;top:3595;width:1237;height:349" type="#_x0000_t202" id="docshape537" filled="false" stroked="false">
              <v:textbox inset="0,0,0,0">
                <w:txbxContent>
                  <w:p>
                    <w:pPr>
                      <w:spacing w:before="23"/>
                      <w:ind w:left="0" w:right="10" w:firstLine="0"/>
                      <w:jc w:val="left"/>
                      <w:rPr>
                        <w:rFonts w:ascii="Arial" w:hAnsi="Arial"/>
                        <w:b/>
                        <w:sz w:val="14"/>
                      </w:rPr>
                    </w:pPr>
                    <w:r>
                      <w:rPr>
                        <w:rFonts w:ascii="Arial" w:hAnsi="Arial"/>
                        <w:b/>
                        <w:color w:val="231F20"/>
                        <w:w w:val="95"/>
                        <w:sz w:val="14"/>
                      </w:rPr>
                      <w:t>Importance</w:t>
                    </w:r>
                    <w:r>
                      <w:rPr>
                        <w:rFonts w:ascii="Arial" w:hAnsi="Arial"/>
                        <w:b/>
                        <w:color w:val="231F20"/>
                        <w:spacing w:val="-13"/>
                        <w:w w:val="95"/>
                        <w:sz w:val="14"/>
                      </w:rPr>
                      <w:t> </w:t>
                    </w:r>
                    <w:r>
                      <w:rPr>
                        <w:rFonts w:ascii="Arial" w:hAnsi="Arial"/>
                        <w:b/>
                        <w:color w:val="231F20"/>
                        <w:w w:val="95"/>
                        <w:sz w:val="14"/>
                      </w:rPr>
                      <w:t>relative</w:t>
                    </w:r>
                    <w:r>
                      <w:rPr>
                        <w:rFonts w:ascii="Arial" w:hAnsi="Arial"/>
                        <w:b/>
                        <w:color w:val="231F20"/>
                        <w:spacing w:val="40"/>
                        <w:sz w:val="14"/>
                      </w:rPr>
                      <w:t> </w:t>
                    </w:r>
                    <w:r>
                      <w:rPr>
                        <w:rFonts w:ascii="Arial" w:hAnsi="Arial"/>
                        <w:b/>
                        <w:color w:val="231F20"/>
                        <w:sz w:val="14"/>
                      </w:rPr>
                      <w:t>de</w:t>
                    </w:r>
                    <w:r>
                      <w:rPr>
                        <w:rFonts w:ascii="Arial" w:hAnsi="Arial"/>
                        <w:b/>
                        <w:color w:val="231F20"/>
                        <w:spacing w:val="-14"/>
                        <w:sz w:val="14"/>
                      </w:rPr>
                      <w:t> </w:t>
                    </w:r>
                    <w:r>
                      <w:rPr>
                        <w:rFonts w:ascii="Arial" w:hAnsi="Arial"/>
                        <w:b/>
                        <w:color w:val="231F20"/>
                        <w:sz w:val="14"/>
                      </w:rPr>
                      <w:t>l’emploi</w:t>
                    </w:r>
                  </w:p>
                </w:txbxContent>
              </v:textbox>
              <w10:wrap type="none"/>
            </v:shape>
            <v:shape style="position:absolute;left:6188;top:2947;width:1507;height:1212" type="#_x0000_t202" id="docshape538" filled="false" stroked="false">
              <v:textbox inset="0,0,0,0">
                <w:txbxContent>
                  <w:p>
                    <w:pPr>
                      <w:numPr>
                        <w:ilvl w:val="0"/>
                        <w:numId w:val="29"/>
                      </w:numPr>
                      <w:tabs>
                        <w:tab w:pos="123" w:val="left" w:leader="none"/>
                      </w:tabs>
                      <w:spacing w:before="20"/>
                      <w:ind w:left="122" w:right="0" w:hanging="123"/>
                      <w:jc w:val="left"/>
                      <w:rPr>
                        <w:rFonts w:ascii="Arial" w:hAnsi="Arial"/>
                        <w:sz w:val="14"/>
                      </w:rPr>
                    </w:pPr>
                    <w:r>
                      <w:rPr>
                        <w:rFonts w:ascii="Arial" w:hAnsi="Arial"/>
                        <w:color w:val="231F20"/>
                        <w:spacing w:val="-2"/>
                        <w:sz w:val="14"/>
                      </w:rPr>
                      <w:t>Dépression</w:t>
                    </w:r>
                  </w:p>
                  <w:p>
                    <w:pPr>
                      <w:numPr>
                        <w:ilvl w:val="0"/>
                        <w:numId w:val="29"/>
                      </w:numPr>
                      <w:tabs>
                        <w:tab w:pos="123" w:val="left" w:leader="none"/>
                      </w:tabs>
                      <w:spacing w:before="22"/>
                      <w:ind w:left="122" w:right="0" w:hanging="123"/>
                      <w:jc w:val="left"/>
                      <w:rPr>
                        <w:rFonts w:ascii="Arial" w:hAnsi="Arial"/>
                        <w:sz w:val="14"/>
                      </w:rPr>
                    </w:pPr>
                    <w:r>
                      <w:rPr>
                        <w:rFonts w:ascii="Arial" w:hAnsi="Arial"/>
                        <w:color w:val="231F20"/>
                        <w:spacing w:val="-2"/>
                        <w:sz w:val="14"/>
                      </w:rPr>
                      <w:t>Anxiété</w:t>
                    </w:r>
                  </w:p>
                  <w:p>
                    <w:pPr>
                      <w:spacing w:before="156"/>
                      <w:ind w:left="0" w:right="0" w:firstLine="0"/>
                      <w:jc w:val="left"/>
                      <w:rPr>
                        <w:rFonts w:ascii="Arial" w:hAnsi="Arial"/>
                        <w:b/>
                        <w:sz w:val="14"/>
                      </w:rPr>
                    </w:pPr>
                    <w:r>
                      <w:rPr>
                        <w:rFonts w:ascii="Arial" w:hAnsi="Arial"/>
                        <w:b/>
                        <w:color w:val="231F20"/>
                        <w:w w:val="90"/>
                        <w:sz w:val="14"/>
                      </w:rPr>
                      <w:t>Symptômes</w:t>
                    </w:r>
                    <w:r>
                      <w:rPr>
                        <w:rFonts w:ascii="Arial" w:hAnsi="Arial"/>
                        <w:b/>
                        <w:color w:val="231F20"/>
                        <w:spacing w:val="9"/>
                        <w:sz w:val="14"/>
                      </w:rPr>
                      <w:t> </w:t>
                    </w:r>
                    <w:r>
                      <w:rPr>
                        <w:rFonts w:ascii="Arial" w:hAnsi="Arial"/>
                        <w:b/>
                        <w:color w:val="231F20"/>
                        <w:spacing w:val="-2"/>
                        <w:w w:val="95"/>
                        <w:sz w:val="14"/>
                      </w:rPr>
                      <w:t>somatiques</w:t>
                    </w:r>
                  </w:p>
                  <w:p>
                    <w:pPr>
                      <w:numPr>
                        <w:ilvl w:val="0"/>
                        <w:numId w:val="29"/>
                      </w:numPr>
                      <w:tabs>
                        <w:tab w:pos="123" w:val="left" w:leader="none"/>
                      </w:tabs>
                      <w:spacing w:before="22"/>
                      <w:ind w:left="122" w:right="402" w:hanging="123"/>
                      <w:jc w:val="left"/>
                      <w:rPr>
                        <w:rFonts w:ascii="Arial"/>
                        <w:sz w:val="14"/>
                      </w:rPr>
                    </w:pPr>
                    <w:r>
                      <w:rPr>
                        <w:rFonts w:ascii="Arial"/>
                        <w:color w:val="231F20"/>
                        <w:spacing w:val="-2"/>
                        <w:w w:val="95"/>
                        <w:sz w:val="14"/>
                      </w:rPr>
                      <w:t>Myalgie</w:t>
                    </w:r>
                    <w:r>
                      <w:rPr>
                        <w:rFonts w:ascii="Arial"/>
                        <w:color w:val="231F20"/>
                        <w:spacing w:val="-11"/>
                        <w:w w:val="95"/>
                        <w:sz w:val="14"/>
                      </w:rPr>
                      <w:t> </w:t>
                    </w:r>
                    <w:r>
                      <w:rPr>
                        <w:rFonts w:ascii="Arial"/>
                        <w:color w:val="231F20"/>
                        <w:spacing w:val="-2"/>
                        <w:w w:val="95"/>
                        <w:sz w:val="14"/>
                      </w:rPr>
                      <w:t>(douleur</w:t>
                    </w:r>
                    <w:r>
                      <w:rPr>
                        <w:rFonts w:ascii="Arial"/>
                        <w:color w:val="231F20"/>
                        <w:spacing w:val="40"/>
                        <w:sz w:val="14"/>
                      </w:rPr>
                      <w:t> </w:t>
                    </w:r>
                    <w:r>
                      <w:rPr>
                        <w:rFonts w:ascii="Arial"/>
                        <w:color w:val="231F20"/>
                        <w:spacing w:val="-2"/>
                        <w:sz w:val="14"/>
                      </w:rPr>
                      <w:t>musculaire)</w:t>
                    </w:r>
                  </w:p>
                  <w:p>
                    <w:pPr>
                      <w:numPr>
                        <w:ilvl w:val="0"/>
                        <w:numId w:val="29"/>
                      </w:numPr>
                      <w:tabs>
                        <w:tab w:pos="123" w:val="left" w:leader="none"/>
                      </w:tabs>
                      <w:spacing w:before="24"/>
                      <w:ind w:left="122" w:right="0" w:hanging="123"/>
                      <w:jc w:val="left"/>
                      <w:rPr>
                        <w:rFonts w:ascii="Arial"/>
                        <w:sz w:val="14"/>
                      </w:rPr>
                    </w:pPr>
                    <w:r>
                      <w:rPr>
                        <w:rFonts w:ascii="Arial"/>
                        <w:color w:val="231F20"/>
                        <w:spacing w:val="-2"/>
                        <w:sz w:val="14"/>
                      </w:rPr>
                      <w:t>Dermatite</w:t>
                    </w:r>
                  </w:p>
                </w:txbxContent>
              </v:textbox>
              <w10:wrap type="none"/>
            </v:shape>
            <v:shape style="position:absolute;left:7779;top:2952;width:1666;height:366" type="#_x0000_t202" id="docshape539" filled="false" stroked="false">
              <v:textbox inset="0,0,0,0">
                <w:txbxContent>
                  <w:p>
                    <w:pPr>
                      <w:numPr>
                        <w:ilvl w:val="0"/>
                        <w:numId w:val="30"/>
                      </w:numPr>
                      <w:tabs>
                        <w:tab w:pos="123" w:val="left" w:leader="none"/>
                      </w:tabs>
                      <w:spacing w:before="20"/>
                      <w:ind w:left="122" w:right="0" w:hanging="123"/>
                      <w:jc w:val="left"/>
                      <w:rPr>
                        <w:rFonts w:ascii="Arial"/>
                        <w:sz w:val="14"/>
                      </w:rPr>
                    </w:pPr>
                    <w:r>
                      <w:rPr>
                        <w:rFonts w:ascii="Arial"/>
                        <w:color w:val="231F20"/>
                        <w:spacing w:val="-2"/>
                        <w:sz w:val="14"/>
                      </w:rPr>
                      <w:t>Fatigue</w:t>
                    </w:r>
                  </w:p>
                  <w:p>
                    <w:pPr>
                      <w:numPr>
                        <w:ilvl w:val="0"/>
                        <w:numId w:val="30"/>
                      </w:numPr>
                      <w:tabs>
                        <w:tab w:pos="123" w:val="left" w:leader="none"/>
                      </w:tabs>
                      <w:spacing w:before="22"/>
                      <w:ind w:left="122" w:right="0" w:hanging="123"/>
                      <w:jc w:val="left"/>
                      <w:rPr>
                        <w:rFonts w:ascii="Arial" w:hAnsi="Arial"/>
                        <w:sz w:val="14"/>
                      </w:rPr>
                    </w:pPr>
                    <w:r>
                      <w:rPr>
                        <w:rFonts w:ascii="Arial" w:hAnsi="Arial"/>
                        <w:color w:val="231F20"/>
                        <w:w w:val="90"/>
                        <w:sz w:val="14"/>
                      </w:rPr>
                      <w:t>Épuisement</w:t>
                    </w:r>
                    <w:r>
                      <w:rPr>
                        <w:rFonts w:ascii="Arial" w:hAnsi="Arial"/>
                        <w:color w:val="231F20"/>
                        <w:spacing w:val="17"/>
                        <w:sz w:val="14"/>
                      </w:rPr>
                      <w:t> </w:t>
                    </w:r>
                    <w:r>
                      <w:rPr>
                        <w:rFonts w:ascii="Arial" w:hAnsi="Arial"/>
                        <w:color w:val="231F20"/>
                        <w:spacing w:val="-2"/>
                        <w:w w:val="95"/>
                        <w:sz w:val="14"/>
                      </w:rPr>
                      <w:t>professionnel</w:t>
                    </w:r>
                  </w:p>
                </w:txbxContent>
              </v:textbox>
              <w10:wrap type="none"/>
            </v:shape>
            <v:shape style="position:absolute;left:4421;top:4141;width:1394;height:349" type="#_x0000_t202" id="docshape540" filled="false" stroked="false">
              <v:textbox inset="0,0,0,0">
                <w:txbxContent>
                  <w:p>
                    <w:pPr>
                      <w:spacing w:before="23"/>
                      <w:ind w:left="0" w:right="0" w:firstLine="0"/>
                      <w:jc w:val="left"/>
                      <w:rPr>
                        <w:rFonts w:ascii="Arial" w:hAnsi="Arial"/>
                        <w:b/>
                        <w:sz w:val="14"/>
                      </w:rPr>
                    </w:pPr>
                    <w:r>
                      <w:rPr>
                        <w:rFonts w:ascii="Arial" w:hAnsi="Arial"/>
                        <w:b/>
                        <w:color w:val="231F20"/>
                        <w:spacing w:val="-2"/>
                        <w:sz w:val="14"/>
                      </w:rPr>
                      <w:t>Caractéristiques</w:t>
                    </w:r>
                    <w:r>
                      <w:rPr>
                        <w:rFonts w:ascii="Arial" w:hAnsi="Arial"/>
                        <w:b/>
                        <w:color w:val="231F20"/>
                        <w:spacing w:val="40"/>
                        <w:sz w:val="14"/>
                      </w:rPr>
                      <w:t> </w:t>
                    </w:r>
                    <w:r>
                      <w:rPr>
                        <w:rFonts w:ascii="Arial" w:hAnsi="Arial"/>
                        <w:b/>
                        <w:color w:val="231F20"/>
                        <w:spacing w:val="-2"/>
                        <w:w w:val="90"/>
                        <w:sz w:val="14"/>
                      </w:rPr>
                      <w:t>sociodémographiques</w:t>
                    </w:r>
                  </w:p>
                </w:txbxContent>
              </v:textbox>
              <w10:wrap type="none"/>
            </v:shape>
            <v:shape style="position:absolute;left:7779;top:3630;width:1740;height:712" type="#_x0000_t202" id="docshape541" filled="false" stroked="false">
              <v:textbox inset="0,0,0,0">
                <w:txbxContent>
                  <w:p>
                    <w:pPr>
                      <w:numPr>
                        <w:ilvl w:val="0"/>
                        <w:numId w:val="31"/>
                      </w:numPr>
                      <w:tabs>
                        <w:tab w:pos="123" w:val="left" w:leader="none"/>
                      </w:tabs>
                      <w:spacing w:before="20"/>
                      <w:ind w:left="122" w:right="0" w:hanging="123"/>
                      <w:jc w:val="left"/>
                      <w:rPr>
                        <w:rFonts w:ascii="Arial"/>
                        <w:sz w:val="14"/>
                      </w:rPr>
                    </w:pPr>
                    <w:r>
                      <w:rPr>
                        <w:rFonts w:ascii="Arial"/>
                        <w:color w:val="231F20"/>
                        <w:spacing w:val="-2"/>
                        <w:sz w:val="14"/>
                      </w:rPr>
                      <w:t>Troubles</w:t>
                    </w:r>
                  </w:p>
                  <w:p>
                    <w:pPr>
                      <w:spacing w:before="1"/>
                      <w:ind w:left="122" w:right="0" w:firstLine="0"/>
                      <w:jc w:val="left"/>
                      <w:rPr>
                        <w:rFonts w:ascii="Arial"/>
                        <w:sz w:val="14"/>
                      </w:rPr>
                    </w:pPr>
                    <w:r>
                      <w:rPr>
                        <w:rFonts w:ascii="Arial"/>
                        <w:color w:val="231F20"/>
                        <w:w w:val="90"/>
                        <w:sz w:val="14"/>
                      </w:rPr>
                      <w:t>gastro-</w:t>
                    </w:r>
                    <w:r>
                      <w:rPr>
                        <w:rFonts w:ascii="Arial"/>
                        <w:color w:val="231F20"/>
                        <w:spacing w:val="-2"/>
                        <w:sz w:val="14"/>
                      </w:rPr>
                      <w:t>intestinaux</w:t>
                    </w:r>
                  </w:p>
                  <w:p>
                    <w:pPr>
                      <w:numPr>
                        <w:ilvl w:val="0"/>
                        <w:numId w:val="31"/>
                      </w:numPr>
                      <w:tabs>
                        <w:tab w:pos="123" w:val="left" w:leader="none"/>
                      </w:tabs>
                      <w:spacing w:before="23"/>
                      <w:ind w:left="122" w:right="0" w:hanging="123"/>
                      <w:jc w:val="left"/>
                      <w:rPr>
                        <w:rFonts w:ascii="Arial"/>
                        <w:sz w:val="14"/>
                      </w:rPr>
                    </w:pPr>
                    <w:r>
                      <w:rPr>
                        <w:rFonts w:ascii="Arial"/>
                        <w:color w:val="231F20"/>
                        <w:spacing w:val="-2"/>
                        <w:w w:val="95"/>
                        <w:sz w:val="14"/>
                      </w:rPr>
                      <w:t>Tremblement</w:t>
                    </w:r>
                    <w:r>
                      <w:rPr>
                        <w:rFonts w:ascii="Arial"/>
                        <w:color w:val="231F20"/>
                        <w:spacing w:val="9"/>
                        <w:sz w:val="14"/>
                      </w:rPr>
                      <w:t> </w:t>
                    </w:r>
                    <w:r>
                      <w:rPr>
                        <w:rFonts w:ascii="Arial"/>
                        <w:color w:val="231F20"/>
                        <w:spacing w:val="-2"/>
                        <w:w w:val="95"/>
                        <w:sz w:val="14"/>
                      </w:rPr>
                      <w:t>neurologique</w:t>
                    </w:r>
                  </w:p>
                  <w:p>
                    <w:pPr>
                      <w:numPr>
                        <w:ilvl w:val="0"/>
                        <w:numId w:val="31"/>
                      </w:numPr>
                      <w:tabs>
                        <w:tab w:pos="123" w:val="left" w:leader="none"/>
                      </w:tabs>
                      <w:spacing w:before="22"/>
                      <w:ind w:left="122" w:right="0" w:hanging="123"/>
                      <w:jc w:val="left"/>
                      <w:rPr>
                        <w:rFonts w:ascii="Arial" w:hAnsi="Arial"/>
                        <w:sz w:val="14"/>
                      </w:rPr>
                    </w:pPr>
                    <w:r>
                      <w:rPr>
                        <w:rFonts w:ascii="Arial" w:hAnsi="Arial"/>
                        <w:color w:val="231F20"/>
                        <w:w w:val="90"/>
                        <w:sz w:val="14"/>
                      </w:rPr>
                      <w:t>Problèmes</w:t>
                    </w:r>
                    <w:r>
                      <w:rPr>
                        <w:rFonts w:ascii="Arial" w:hAnsi="Arial"/>
                        <w:color w:val="231F20"/>
                        <w:spacing w:val="7"/>
                        <w:sz w:val="14"/>
                      </w:rPr>
                      <w:t> </w:t>
                    </w:r>
                    <w:r>
                      <w:rPr>
                        <w:rFonts w:ascii="Arial" w:hAnsi="Arial"/>
                        <w:color w:val="231F20"/>
                        <w:spacing w:val="-2"/>
                        <w:sz w:val="14"/>
                      </w:rPr>
                      <w:t>cardiaques</w:t>
                    </w:r>
                  </w:p>
                </w:txbxContent>
              </v:textbox>
              <w10:wrap type="none"/>
            </v:shape>
            <v:shape style="position:absolute;left:9692;top:2326;width:1297;height:2161" type="#_x0000_t202" id="docshape542" filled="false" stroked="false">
              <v:textbox inset="0,0,0,0">
                <w:txbxContent>
                  <w:p>
                    <w:pPr>
                      <w:spacing w:before="23"/>
                      <w:ind w:left="0" w:right="0" w:firstLine="0"/>
                      <w:jc w:val="left"/>
                      <w:rPr>
                        <w:rFonts w:ascii="Arial"/>
                        <w:b/>
                        <w:sz w:val="14"/>
                      </w:rPr>
                    </w:pPr>
                    <w:r>
                      <w:rPr>
                        <w:rFonts w:ascii="Arial"/>
                        <w:b/>
                        <w:color w:val="231F20"/>
                        <w:w w:val="90"/>
                        <w:sz w:val="14"/>
                      </w:rPr>
                      <w:t>Groupe</w:t>
                    </w:r>
                    <w:r>
                      <w:rPr>
                        <w:rFonts w:ascii="Arial"/>
                        <w:b/>
                        <w:color w:val="231F20"/>
                        <w:spacing w:val="-12"/>
                        <w:w w:val="90"/>
                        <w:sz w:val="14"/>
                      </w:rPr>
                      <w:t> </w:t>
                    </w:r>
                    <w:r>
                      <w:rPr>
                        <w:rFonts w:ascii="Arial"/>
                        <w:b/>
                        <w:color w:val="231F20"/>
                        <w:spacing w:val="-5"/>
                        <w:sz w:val="14"/>
                      </w:rPr>
                      <w:t>IV</w:t>
                    </w:r>
                  </w:p>
                  <w:p>
                    <w:pPr>
                      <w:spacing w:before="1"/>
                      <w:ind w:left="0" w:right="0" w:firstLine="0"/>
                      <w:jc w:val="left"/>
                      <w:rPr>
                        <w:rFonts w:ascii="Arial" w:hAnsi="Arial"/>
                        <w:sz w:val="14"/>
                      </w:rPr>
                    </w:pPr>
                    <w:r>
                      <w:rPr>
                        <w:rFonts w:ascii="Arial" w:hAnsi="Arial"/>
                        <w:color w:val="231F20"/>
                        <w:spacing w:val="-2"/>
                        <w:sz w:val="14"/>
                      </w:rPr>
                      <w:t>Résultats</w:t>
                    </w:r>
                  </w:p>
                  <w:p>
                    <w:pPr>
                      <w:spacing w:before="105"/>
                      <w:ind w:left="91" w:right="0" w:firstLine="0"/>
                      <w:jc w:val="left"/>
                      <w:rPr>
                        <w:rFonts w:ascii="Arial" w:hAnsi="Arial"/>
                        <w:b/>
                        <w:sz w:val="14"/>
                      </w:rPr>
                    </w:pPr>
                    <w:r>
                      <w:rPr>
                        <w:rFonts w:ascii="Arial" w:hAnsi="Arial"/>
                        <w:b/>
                        <w:color w:val="231F20"/>
                        <w:w w:val="90"/>
                        <w:sz w:val="14"/>
                      </w:rPr>
                      <w:t>Santé</w:t>
                    </w:r>
                    <w:r>
                      <w:rPr>
                        <w:rFonts w:ascii="Arial" w:hAnsi="Arial"/>
                        <w:b/>
                        <w:color w:val="231F20"/>
                        <w:spacing w:val="-3"/>
                        <w:w w:val="90"/>
                        <w:sz w:val="14"/>
                      </w:rPr>
                      <w:t> </w:t>
                    </w:r>
                    <w:r>
                      <w:rPr>
                        <w:rFonts w:ascii="Arial" w:hAnsi="Arial"/>
                        <w:b/>
                        <w:color w:val="231F20"/>
                        <w:w w:val="90"/>
                        <w:sz w:val="14"/>
                      </w:rPr>
                      <w:t>de</w:t>
                    </w:r>
                    <w:r>
                      <w:rPr>
                        <w:rFonts w:ascii="Arial" w:hAnsi="Arial"/>
                        <w:b/>
                        <w:color w:val="231F20"/>
                        <w:spacing w:val="-2"/>
                        <w:w w:val="90"/>
                        <w:sz w:val="14"/>
                      </w:rPr>
                      <w:t> l’individu</w:t>
                    </w:r>
                  </w:p>
                  <w:p>
                    <w:pPr>
                      <w:numPr>
                        <w:ilvl w:val="0"/>
                        <w:numId w:val="32"/>
                      </w:numPr>
                      <w:tabs>
                        <w:tab w:pos="214" w:val="left" w:leader="none"/>
                      </w:tabs>
                      <w:spacing w:before="22"/>
                      <w:ind w:left="213" w:right="379" w:hanging="123"/>
                      <w:jc w:val="left"/>
                      <w:rPr>
                        <w:rFonts w:ascii="Arial"/>
                        <w:sz w:val="14"/>
                      </w:rPr>
                    </w:pPr>
                    <w:r>
                      <w:rPr>
                        <w:rFonts w:ascii="Arial"/>
                        <w:color w:val="231F20"/>
                        <w:spacing w:val="-2"/>
                        <w:sz w:val="14"/>
                      </w:rPr>
                      <w:t>Maladies</w:t>
                    </w:r>
                    <w:r>
                      <w:rPr>
                        <w:rFonts w:ascii="Arial"/>
                        <w:color w:val="231F20"/>
                        <w:spacing w:val="40"/>
                        <w:sz w:val="14"/>
                      </w:rPr>
                      <w:t> </w:t>
                    </w:r>
                    <w:r>
                      <w:rPr>
                        <w:rFonts w:ascii="Arial"/>
                        <w:color w:val="231F20"/>
                        <w:spacing w:val="-4"/>
                        <w:w w:val="95"/>
                        <w:sz w:val="14"/>
                      </w:rPr>
                      <w:t>des</w:t>
                    </w:r>
                    <w:r>
                      <w:rPr>
                        <w:rFonts w:ascii="Arial"/>
                        <w:color w:val="231F20"/>
                        <w:spacing w:val="-11"/>
                        <w:w w:val="95"/>
                        <w:sz w:val="14"/>
                      </w:rPr>
                      <w:t> </w:t>
                    </w:r>
                    <w:r>
                      <w:rPr>
                        <w:rFonts w:ascii="Arial"/>
                        <w:color w:val="231F20"/>
                        <w:spacing w:val="-4"/>
                        <w:w w:val="95"/>
                        <w:sz w:val="14"/>
                      </w:rPr>
                      <w:t>organes</w:t>
                    </w:r>
                  </w:p>
                  <w:p>
                    <w:pPr>
                      <w:numPr>
                        <w:ilvl w:val="0"/>
                        <w:numId w:val="32"/>
                      </w:numPr>
                      <w:tabs>
                        <w:tab w:pos="214" w:val="left" w:leader="none"/>
                      </w:tabs>
                      <w:spacing w:before="24"/>
                      <w:ind w:left="213" w:right="82" w:hanging="123"/>
                      <w:jc w:val="left"/>
                      <w:rPr>
                        <w:rFonts w:ascii="Arial"/>
                        <w:sz w:val="14"/>
                      </w:rPr>
                    </w:pPr>
                    <w:r>
                      <w:rPr>
                        <w:rFonts w:ascii="Arial"/>
                        <w:color w:val="231F20"/>
                        <w:spacing w:val="-2"/>
                        <w:sz w:val="14"/>
                      </w:rPr>
                      <w:t>Maladies</w:t>
                    </w:r>
                    <w:r>
                      <w:rPr>
                        <w:rFonts w:ascii="Arial"/>
                        <w:color w:val="231F20"/>
                        <w:spacing w:val="40"/>
                        <w:sz w:val="14"/>
                      </w:rPr>
                      <w:t> </w:t>
                    </w:r>
                    <w:r>
                      <w:rPr>
                        <w:rFonts w:ascii="Arial"/>
                        <w:color w:val="231F20"/>
                        <w:spacing w:val="-2"/>
                        <w:w w:val="90"/>
                        <w:sz w:val="14"/>
                      </w:rPr>
                      <w:t>cardiovasculaires</w:t>
                    </w:r>
                  </w:p>
                  <w:p>
                    <w:pPr>
                      <w:numPr>
                        <w:ilvl w:val="0"/>
                        <w:numId w:val="32"/>
                      </w:numPr>
                      <w:tabs>
                        <w:tab w:pos="214" w:val="left" w:leader="none"/>
                      </w:tabs>
                      <w:spacing w:before="25"/>
                      <w:ind w:left="213" w:right="0" w:hanging="123"/>
                      <w:jc w:val="left"/>
                      <w:rPr>
                        <w:rFonts w:ascii="Arial" w:hAnsi="Arial"/>
                        <w:sz w:val="14"/>
                      </w:rPr>
                    </w:pPr>
                    <w:r>
                      <w:rPr>
                        <w:rFonts w:ascii="Arial" w:hAnsi="Arial"/>
                        <w:color w:val="231F20"/>
                        <w:spacing w:val="-2"/>
                        <w:sz w:val="14"/>
                      </w:rPr>
                      <w:t>Ulcères</w:t>
                    </w:r>
                  </w:p>
                  <w:p>
                    <w:pPr>
                      <w:spacing w:before="1"/>
                      <w:ind w:left="213" w:right="0" w:firstLine="0"/>
                      <w:jc w:val="left"/>
                      <w:rPr>
                        <w:rFonts w:ascii="Arial"/>
                        <w:sz w:val="14"/>
                      </w:rPr>
                    </w:pPr>
                    <w:r>
                      <w:rPr>
                        <w:rFonts w:ascii="Arial"/>
                        <w:color w:val="231F20"/>
                        <w:w w:val="90"/>
                        <w:sz w:val="14"/>
                      </w:rPr>
                      <w:t>gastro-</w:t>
                    </w:r>
                    <w:r>
                      <w:rPr>
                        <w:rFonts w:ascii="Arial"/>
                        <w:color w:val="231F20"/>
                        <w:spacing w:val="-2"/>
                        <w:sz w:val="14"/>
                      </w:rPr>
                      <w:t>intestinaux</w:t>
                    </w:r>
                  </w:p>
                  <w:p>
                    <w:pPr>
                      <w:numPr>
                        <w:ilvl w:val="0"/>
                        <w:numId w:val="32"/>
                      </w:numPr>
                      <w:tabs>
                        <w:tab w:pos="214" w:val="left" w:leader="none"/>
                      </w:tabs>
                      <w:spacing w:before="23"/>
                      <w:ind w:left="213" w:right="113" w:hanging="123"/>
                      <w:jc w:val="left"/>
                      <w:rPr>
                        <w:rFonts w:ascii="Arial" w:hAnsi="Arial"/>
                        <w:sz w:val="14"/>
                      </w:rPr>
                    </w:pPr>
                    <w:r>
                      <w:rPr>
                        <w:rFonts w:ascii="Arial" w:hAnsi="Arial"/>
                        <w:color w:val="231F20"/>
                        <w:spacing w:val="-2"/>
                        <w:sz w:val="14"/>
                      </w:rPr>
                      <w:t>Déséquilibre</w:t>
                    </w:r>
                    <w:r>
                      <w:rPr>
                        <w:rFonts w:ascii="Arial" w:hAnsi="Arial"/>
                        <w:color w:val="231F20"/>
                        <w:spacing w:val="40"/>
                        <w:sz w:val="14"/>
                      </w:rPr>
                      <w:t> </w:t>
                    </w:r>
                    <w:r>
                      <w:rPr>
                        <w:rFonts w:ascii="Arial" w:hAnsi="Arial"/>
                        <w:color w:val="231F20"/>
                        <w:spacing w:val="-2"/>
                        <w:sz w:val="14"/>
                      </w:rPr>
                      <w:t>psychologique</w:t>
                    </w:r>
                    <w:r>
                      <w:rPr>
                        <w:rFonts w:ascii="Arial" w:hAnsi="Arial"/>
                        <w:color w:val="231F20"/>
                        <w:spacing w:val="40"/>
                        <w:sz w:val="14"/>
                      </w:rPr>
                      <w:t> </w:t>
                    </w:r>
                    <w:r>
                      <w:rPr>
                        <w:rFonts w:ascii="Arial" w:hAnsi="Arial"/>
                        <w:color w:val="231F20"/>
                        <w:w w:val="95"/>
                        <w:sz w:val="14"/>
                      </w:rPr>
                      <w:t>ou</w:t>
                    </w:r>
                    <w:r>
                      <w:rPr>
                        <w:rFonts w:ascii="Arial" w:hAnsi="Arial"/>
                        <w:color w:val="231F20"/>
                        <w:spacing w:val="-11"/>
                        <w:w w:val="95"/>
                        <w:sz w:val="14"/>
                      </w:rPr>
                      <w:t> </w:t>
                    </w:r>
                    <w:r>
                      <w:rPr>
                        <w:rFonts w:ascii="Arial" w:hAnsi="Arial"/>
                        <w:color w:val="231F20"/>
                        <w:w w:val="95"/>
                        <w:sz w:val="14"/>
                      </w:rPr>
                      <w:t>psychiatrique</w:t>
                    </w:r>
                  </w:p>
                </w:txbxContent>
              </v:textbox>
              <w10:wrap type="none"/>
            </v:shape>
            <v:shape style="position:absolute;left:6188;top:4460;width:1613;height:186" type="#_x0000_t202" id="docshape543" filled="false" stroked="false">
              <v:textbox inset="0,0,0,0">
                <w:txbxContent>
                  <w:p>
                    <w:pPr>
                      <w:spacing w:before="23"/>
                      <w:ind w:left="0" w:right="0" w:firstLine="0"/>
                      <w:jc w:val="left"/>
                      <w:rPr>
                        <w:rFonts w:ascii="Arial"/>
                        <w:b/>
                        <w:sz w:val="14"/>
                      </w:rPr>
                    </w:pPr>
                    <w:r>
                      <w:rPr>
                        <w:rFonts w:ascii="Arial"/>
                        <w:b/>
                        <w:color w:val="231F20"/>
                        <w:w w:val="85"/>
                        <w:sz w:val="14"/>
                      </w:rPr>
                      <w:t>Signes</w:t>
                    </w:r>
                    <w:r>
                      <w:rPr>
                        <w:rFonts w:ascii="Arial"/>
                        <w:b/>
                        <w:color w:val="231F20"/>
                        <w:spacing w:val="-1"/>
                        <w:w w:val="95"/>
                        <w:sz w:val="14"/>
                      </w:rPr>
                      <w:t> </w:t>
                    </w:r>
                    <w:r>
                      <w:rPr>
                        <w:rFonts w:ascii="Arial"/>
                        <w:b/>
                        <w:color w:val="231F20"/>
                        <w:spacing w:val="-2"/>
                        <w:w w:val="95"/>
                        <w:sz w:val="14"/>
                      </w:rPr>
                      <w:t>comportementaux</w:t>
                    </w:r>
                  </w:p>
                </w:txbxContent>
              </v:textbox>
              <w10:wrap type="none"/>
            </v:shape>
            <v:shape style="position:absolute;left:6188;top:4646;width:880;height:549" type="#_x0000_t202" id="docshape544" filled="false" stroked="false">
              <v:textbox inset="0,0,0,0">
                <w:txbxContent>
                  <w:p>
                    <w:pPr>
                      <w:numPr>
                        <w:ilvl w:val="0"/>
                        <w:numId w:val="33"/>
                      </w:numPr>
                      <w:tabs>
                        <w:tab w:pos="123" w:val="left" w:leader="none"/>
                      </w:tabs>
                      <w:spacing w:before="20"/>
                      <w:ind w:left="122" w:right="0" w:hanging="123"/>
                      <w:jc w:val="left"/>
                      <w:rPr>
                        <w:rFonts w:ascii="Arial"/>
                        <w:sz w:val="14"/>
                      </w:rPr>
                    </w:pPr>
                    <w:r>
                      <w:rPr>
                        <w:rFonts w:ascii="Arial"/>
                        <w:color w:val="231F20"/>
                        <w:spacing w:val="-2"/>
                        <w:sz w:val="14"/>
                      </w:rPr>
                      <w:t>Tabagisme</w:t>
                    </w:r>
                  </w:p>
                  <w:p>
                    <w:pPr>
                      <w:numPr>
                        <w:ilvl w:val="0"/>
                        <w:numId w:val="33"/>
                      </w:numPr>
                      <w:tabs>
                        <w:tab w:pos="123" w:val="left" w:leader="none"/>
                      </w:tabs>
                      <w:spacing w:before="22"/>
                      <w:ind w:left="122" w:right="0" w:hanging="123"/>
                      <w:jc w:val="left"/>
                      <w:rPr>
                        <w:rFonts w:ascii="Arial"/>
                        <w:sz w:val="14"/>
                      </w:rPr>
                    </w:pPr>
                    <w:r>
                      <w:rPr>
                        <w:rFonts w:ascii="Arial"/>
                        <w:color w:val="231F20"/>
                        <w:spacing w:val="-2"/>
                        <w:sz w:val="14"/>
                      </w:rPr>
                      <w:t>Alcoolisme</w:t>
                    </w:r>
                  </w:p>
                  <w:p>
                    <w:pPr>
                      <w:numPr>
                        <w:ilvl w:val="0"/>
                        <w:numId w:val="33"/>
                      </w:numPr>
                      <w:tabs>
                        <w:tab w:pos="123" w:val="left" w:leader="none"/>
                      </w:tabs>
                      <w:spacing w:before="22"/>
                      <w:ind w:left="122" w:right="0" w:hanging="123"/>
                      <w:jc w:val="left"/>
                      <w:rPr>
                        <w:rFonts w:ascii="Arial"/>
                        <w:sz w:val="14"/>
                      </w:rPr>
                    </w:pPr>
                    <w:r>
                      <w:rPr>
                        <w:rFonts w:ascii="Arial"/>
                        <w:color w:val="231F20"/>
                        <w:spacing w:val="-2"/>
                        <w:w w:val="95"/>
                        <w:sz w:val="14"/>
                      </w:rPr>
                      <w:t>Toxicomanie</w:t>
                    </w:r>
                  </w:p>
                </w:txbxContent>
              </v:textbox>
              <w10:wrap type="none"/>
            </v:shape>
            <v:shape style="position:absolute;left:7779;top:4648;width:1474;height:529" type="#_x0000_t202" id="docshape545" filled="false" stroked="false">
              <v:textbox inset="0,0,0,0">
                <w:txbxContent>
                  <w:p>
                    <w:pPr>
                      <w:numPr>
                        <w:ilvl w:val="0"/>
                        <w:numId w:val="34"/>
                      </w:numPr>
                      <w:tabs>
                        <w:tab w:pos="123" w:val="left" w:leader="none"/>
                      </w:tabs>
                      <w:spacing w:before="20"/>
                      <w:ind w:left="122" w:right="0" w:hanging="123"/>
                      <w:jc w:val="left"/>
                      <w:rPr>
                        <w:rFonts w:ascii="Arial"/>
                        <w:sz w:val="14"/>
                      </w:rPr>
                    </w:pPr>
                    <w:r>
                      <w:rPr>
                        <w:rFonts w:ascii="Arial"/>
                        <w:color w:val="231F20"/>
                        <w:w w:val="95"/>
                        <w:sz w:val="14"/>
                      </w:rPr>
                      <w:t>Dysfonctions</w:t>
                    </w:r>
                    <w:r>
                      <w:rPr>
                        <w:rFonts w:ascii="Arial"/>
                        <w:color w:val="231F20"/>
                        <w:spacing w:val="-6"/>
                        <w:w w:val="95"/>
                        <w:sz w:val="14"/>
                      </w:rPr>
                      <w:t> </w:t>
                    </w:r>
                    <w:r>
                      <w:rPr>
                        <w:rFonts w:ascii="Arial"/>
                        <w:color w:val="231F20"/>
                        <w:spacing w:val="-2"/>
                        <w:w w:val="95"/>
                        <w:sz w:val="14"/>
                      </w:rPr>
                      <w:t>sexuelles</w:t>
                    </w:r>
                  </w:p>
                  <w:p>
                    <w:pPr>
                      <w:numPr>
                        <w:ilvl w:val="0"/>
                        <w:numId w:val="34"/>
                      </w:numPr>
                      <w:tabs>
                        <w:tab w:pos="123" w:val="left" w:leader="none"/>
                      </w:tabs>
                      <w:spacing w:before="22"/>
                      <w:ind w:left="122" w:right="211" w:hanging="123"/>
                      <w:jc w:val="left"/>
                      <w:rPr>
                        <w:rFonts w:ascii="Arial"/>
                        <w:sz w:val="14"/>
                      </w:rPr>
                    </w:pPr>
                    <w:r>
                      <w:rPr>
                        <w:rFonts w:ascii="Arial"/>
                        <w:color w:val="231F20"/>
                        <w:spacing w:val="-2"/>
                        <w:w w:val="95"/>
                        <w:sz w:val="14"/>
                      </w:rPr>
                      <w:t>Grave</w:t>
                    </w:r>
                    <w:r>
                      <w:rPr>
                        <w:rFonts w:ascii="Arial"/>
                        <w:color w:val="231F20"/>
                        <w:spacing w:val="-11"/>
                        <w:w w:val="95"/>
                        <w:sz w:val="14"/>
                      </w:rPr>
                      <w:t> </w:t>
                    </w:r>
                    <w:r>
                      <w:rPr>
                        <w:rFonts w:ascii="Arial"/>
                        <w:color w:val="231F20"/>
                        <w:spacing w:val="-2"/>
                        <w:w w:val="95"/>
                        <w:sz w:val="14"/>
                      </w:rPr>
                      <w:t>perte</w:t>
                    </w:r>
                    <w:r>
                      <w:rPr>
                        <w:rFonts w:ascii="Arial"/>
                        <w:color w:val="231F20"/>
                        <w:spacing w:val="-10"/>
                        <w:w w:val="95"/>
                        <w:sz w:val="14"/>
                      </w:rPr>
                      <w:t> </w:t>
                    </w:r>
                    <w:r>
                      <w:rPr>
                        <w:rFonts w:ascii="Arial"/>
                        <w:color w:val="231F20"/>
                        <w:spacing w:val="-2"/>
                        <w:w w:val="95"/>
                        <w:sz w:val="14"/>
                      </w:rPr>
                      <w:t>ou</w:t>
                    </w:r>
                    <w:r>
                      <w:rPr>
                        <w:rFonts w:ascii="Arial"/>
                        <w:color w:val="231F20"/>
                        <w:spacing w:val="-10"/>
                        <w:w w:val="95"/>
                        <w:sz w:val="14"/>
                      </w:rPr>
                      <w:t> </w:t>
                    </w:r>
                    <w:r>
                      <w:rPr>
                        <w:rFonts w:ascii="Arial"/>
                        <w:color w:val="231F20"/>
                        <w:spacing w:val="-2"/>
                        <w:w w:val="95"/>
                        <w:sz w:val="14"/>
                      </w:rPr>
                      <w:t>gain</w:t>
                    </w:r>
                    <w:r>
                      <w:rPr>
                        <w:rFonts w:ascii="Arial"/>
                        <w:color w:val="231F20"/>
                        <w:spacing w:val="40"/>
                        <w:sz w:val="14"/>
                      </w:rPr>
                      <w:t> </w:t>
                    </w:r>
                    <w:r>
                      <w:rPr>
                        <w:rFonts w:ascii="Arial"/>
                        <w:color w:val="231F20"/>
                        <w:sz w:val="14"/>
                      </w:rPr>
                      <w:t>de</w:t>
                    </w:r>
                    <w:r>
                      <w:rPr>
                        <w:rFonts w:ascii="Arial"/>
                        <w:color w:val="231F20"/>
                        <w:spacing w:val="-12"/>
                        <w:sz w:val="14"/>
                      </w:rPr>
                      <w:t> </w:t>
                    </w:r>
                    <w:r>
                      <w:rPr>
                        <w:rFonts w:ascii="Arial"/>
                        <w:color w:val="231F20"/>
                        <w:sz w:val="14"/>
                      </w:rPr>
                      <w:t>poids</w:t>
                    </w:r>
                  </w:p>
                </w:txbxContent>
              </v:textbox>
              <w10:wrap type="none"/>
            </v:shape>
            <v:shape style="position:absolute;left:6188;top:5316;width:2875;height:369" type="#_x0000_t202" id="docshape546" filled="false" stroked="false">
              <v:textbox inset="0,0,0,0">
                <w:txbxContent>
                  <w:p>
                    <w:pPr>
                      <w:spacing w:before="23"/>
                      <w:ind w:left="0" w:right="0" w:firstLine="0"/>
                      <w:jc w:val="left"/>
                      <w:rPr>
                        <w:rFonts w:ascii="Arial"/>
                        <w:b/>
                        <w:sz w:val="14"/>
                      </w:rPr>
                    </w:pPr>
                    <w:r>
                      <w:rPr>
                        <w:rFonts w:ascii="Arial"/>
                        <w:b/>
                        <w:color w:val="231F20"/>
                        <w:w w:val="85"/>
                        <w:sz w:val="14"/>
                      </w:rPr>
                      <w:t>Signes</w:t>
                    </w:r>
                    <w:r>
                      <w:rPr>
                        <w:rFonts w:ascii="Arial"/>
                        <w:b/>
                        <w:color w:val="231F20"/>
                        <w:spacing w:val="-3"/>
                        <w:sz w:val="14"/>
                      </w:rPr>
                      <w:t> </w:t>
                    </w:r>
                    <w:r>
                      <w:rPr>
                        <w:rFonts w:ascii="Arial"/>
                        <w:b/>
                        <w:color w:val="231F20"/>
                        <w:spacing w:val="-2"/>
                        <w:sz w:val="14"/>
                      </w:rPr>
                      <w:t>physiologiques</w:t>
                    </w:r>
                  </w:p>
                  <w:p>
                    <w:pPr>
                      <w:numPr>
                        <w:ilvl w:val="0"/>
                        <w:numId w:val="35"/>
                      </w:numPr>
                      <w:tabs>
                        <w:tab w:pos="123" w:val="left" w:leader="none"/>
                      </w:tabs>
                      <w:spacing w:before="12"/>
                      <w:ind w:left="122" w:right="0" w:hanging="123"/>
                      <w:jc w:val="left"/>
                      <w:rPr>
                        <w:rFonts w:ascii="Arial" w:hAnsi="Arial"/>
                        <w:sz w:val="14"/>
                      </w:rPr>
                    </w:pPr>
                    <w:r>
                      <w:rPr>
                        <w:rFonts w:ascii="Arial" w:hAnsi="Arial"/>
                        <w:color w:val="231F20"/>
                        <w:w w:val="95"/>
                        <w:sz w:val="14"/>
                      </w:rPr>
                      <w:t>Hypertension</w:t>
                    </w:r>
                    <w:r>
                      <w:rPr>
                        <w:rFonts w:ascii="Arial" w:hAnsi="Arial"/>
                        <w:color w:val="231F20"/>
                        <w:spacing w:val="-9"/>
                        <w:w w:val="95"/>
                        <w:sz w:val="14"/>
                      </w:rPr>
                      <w:t> </w:t>
                    </w:r>
                    <w:r>
                      <w:rPr>
                        <w:rFonts w:ascii="Arial" w:hAnsi="Arial"/>
                        <w:color w:val="231F20"/>
                        <w:w w:val="95"/>
                        <w:sz w:val="14"/>
                      </w:rPr>
                      <w:t>artérielle</w:t>
                    </w:r>
                    <w:r>
                      <w:rPr>
                        <w:rFonts w:ascii="Arial" w:hAnsi="Arial"/>
                        <w:color w:val="231F20"/>
                        <w:spacing w:val="71"/>
                        <w:w w:val="150"/>
                        <w:sz w:val="14"/>
                      </w:rPr>
                      <w:t> </w:t>
                    </w:r>
                    <w:r>
                      <w:rPr>
                        <w:rFonts w:ascii="Arial" w:hAnsi="Arial"/>
                        <w:color w:val="231F20"/>
                        <w:w w:val="95"/>
                        <w:position w:val="1"/>
                        <w:sz w:val="14"/>
                      </w:rPr>
                      <w:t>•</w:t>
                    </w:r>
                    <w:r>
                      <w:rPr>
                        <w:rFonts w:ascii="Arial" w:hAnsi="Arial"/>
                        <w:color w:val="231F20"/>
                        <w:spacing w:val="36"/>
                        <w:position w:val="1"/>
                        <w:sz w:val="14"/>
                      </w:rPr>
                      <w:t> </w:t>
                    </w:r>
                    <w:r>
                      <w:rPr>
                        <w:rFonts w:ascii="Arial" w:hAnsi="Arial"/>
                        <w:color w:val="231F20"/>
                        <w:w w:val="95"/>
                        <w:position w:val="1"/>
                        <w:sz w:val="14"/>
                      </w:rPr>
                      <w:t>Élévation</w:t>
                    </w:r>
                    <w:r>
                      <w:rPr>
                        <w:rFonts w:ascii="Arial" w:hAnsi="Arial"/>
                        <w:color w:val="231F20"/>
                        <w:spacing w:val="-8"/>
                        <w:w w:val="95"/>
                        <w:position w:val="1"/>
                        <w:sz w:val="14"/>
                      </w:rPr>
                      <w:t> </w:t>
                    </w:r>
                    <w:r>
                      <w:rPr>
                        <w:rFonts w:ascii="Arial" w:hAnsi="Arial"/>
                        <w:color w:val="231F20"/>
                        <w:w w:val="95"/>
                        <w:position w:val="1"/>
                        <w:sz w:val="14"/>
                      </w:rPr>
                      <w:t>du</w:t>
                    </w:r>
                    <w:r>
                      <w:rPr>
                        <w:rFonts w:ascii="Arial" w:hAnsi="Arial"/>
                        <w:color w:val="231F20"/>
                        <w:spacing w:val="-9"/>
                        <w:w w:val="95"/>
                        <w:position w:val="1"/>
                        <w:sz w:val="14"/>
                      </w:rPr>
                      <w:t> </w:t>
                    </w:r>
                    <w:r>
                      <w:rPr>
                        <w:rFonts w:ascii="Arial" w:hAnsi="Arial"/>
                        <w:color w:val="231F20"/>
                        <w:spacing w:val="-2"/>
                        <w:w w:val="95"/>
                        <w:position w:val="1"/>
                        <w:sz w:val="14"/>
                      </w:rPr>
                      <w:t>niveau</w:t>
                    </w:r>
                  </w:p>
                </w:txbxContent>
              </v:textbox>
              <w10:wrap type="none"/>
            </v:shape>
            <v:shape style="position:absolute;left:6188;top:5685;width:1408;height:895" type="#_x0000_t202" id="docshape547" filled="false" stroked="false">
              <v:textbox inset="0,0,0,0">
                <w:txbxContent>
                  <w:p>
                    <w:pPr>
                      <w:numPr>
                        <w:ilvl w:val="0"/>
                        <w:numId w:val="36"/>
                      </w:numPr>
                      <w:tabs>
                        <w:tab w:pos="123" w:val="left" w:leader="none"/>
                      </w:tabs>
                      <w:spacing w:before="20"/>
                      <w:ind w:left="122" w:right="292" w:hanging="123"/>
                      <w:jc w:val="left"/>
                      <w:rPr>
                        <w:rFonts w:ascii="Arial" w:hAnsi="Arial"/>
                        <w:sz w:val="14"/>
                      </w:rPr>
                    </w:pPr>
                    <w:r>
                      <w:rPr>
                        <w:rFonts w:ascii="Arial" w:hAnsi="Arial"/>
                        <w:color w:val="231F20"/>
                        <w:spacing w:val="-2"/>
                        <w:sz w:val="14"/>
                      </w:rPr>
                      <w:t>Fréquence</w:t>
                    </w:r>
                    <w:r>
                      <w:rPr>
                        <w:rFonts w:ascii="Arial" w:hAnsi="Arial"/>
                        <w:color w:val="231F20"/>
                        <w:spacing w:val="40"/>
                        <w:sz w:val="14"/>
                      </w:rPr>
                      <w:t> </w:t>
                    </w:r>
                    <w:r>
                      <w:rPr>
                        <w:rFonts w:ascii="Arial" w:hAnsi="Arial"/>
                        <w:color w:val="231F20"/>
                        <w:spacing w:val="-2"/>
                        <w:w w:val="95"/>
                        <w:sz w:val="14"/>
                      </w:rPr>
                      <w:t>cardiaque</w:t>
                    </w:r>
                    <w:r>
                      <w:rPr>
                        <w:rFonts w:ascii="Arial" w:hAnsi="Arial"/>
                        <w:color w:val="231F20"/>
                        <w:spacing w:val="-11"/>
                        <w:w w:val="95"/>
                        <w:sz w:val="14"/>
                      </w:rPr>
                      <w:t> </w:t>
                    </w:r>
                    <w:r>
                      <w:rPr>
                        <w:rFonts w:ascii="Arial" w:hAnsi="Arial"/>
                        <w:color w:val="231F20"/>
                        <w:spacing w:val="-2"/>
                        <w:w w:val="95"/>
                        <w:sz w:val="14"/>
                      </w:rPr>
                      <w:t>accrue</w:t>
                    </w:r>
                  </w:p>
                  <w:p>
                    <w:pPr>
                      <w:numPr>
                        <w:ilvl w:val="0"/>
                        <w:numId w:val="36"/>
                      </w:numPr>
                      <w:tabs>
                        <w:tab w:pos="123" w:val="left" w:leader="none"/>
                      </w:tabs>
                      <w:spacing w:before="24"/>
                      <w:ind w:left="122" w:right="0" w:hanging="123"/>
                      <w:jc w:val="left"/>
                      <w:rPr>
                        <w:rFonts w:ascii="Arial"/>
                        <w:sz w:val="14"/>
                      </w:rPr>
                    </w:pPr>
                    <w:r>
                      <w:rPr>
                        <w:rFonts w:ascii="Arial"/>
                        <w:color w:val="231F20"/>
                        <w:spacing w:val="-2"/>
                        <w:sz w:val="14"/>
                      </w:rPr>
                      <w:t>Migraines</w:t>
                    </w:r>
                  </w:p>
                  <w:p>
                    <w:pPr>
                      <w:numPr>
                        <w:ilvl w:val="0"/>
                        <w:numId w:val="36"/>
                      </w:numPr>
                      <w:tabs>
                        <w:tab w:pos="123" w:val="left" w:leader="none"/>
                      </w:tabs>
                      <w:spacing w:before="22"/>
                      <w:ind w:left="122" w:right="0" w:hanging="123"/>
                      <w:jc w:val="left"/>
                      <w:rPr>
                        <w:rFonts w:ascii="Arial"/>
                        <w:sz w:val="14"/>
                      </w:rPr>
                    </w:pPr>
                    <w:r>
                      <w:rPr>
                        <w:rFonts w:ascii="Arial"/>
                        <w:color w:val="231F20"/>
                        <w:w w:val="90"/>
                        <w:sz w:val="14"/>
                      </w:rPr>
                      <w:t>Troubles</w:t>
                    </w:r>
                    <w:r>
                      <w:rPr>
                        <w:rFonts w:ascii="Arial"/>
                        <w:color w:val="231F20"/>
                        <w:spacing w:val="-1"/>
                        <w:sz w:val="14"/>
                      </w:rPr>
                      <w:t> </w:t>
                    </w:r>
                    <w:r>
                      <w:rPr>
                        <w:rFonts w:ascii="Arial"/>
                        <w:color w:val="231F20"/>
                        <w:spacing w:val="-2"/>
                        <w:w w:val="95"/>
                        <w:sz w:val="14"/>
                      </w:rPr>
                      <w:t>respiratoires</w:t>
                    </w:r>
                  </w:p>
                  <w:p>
                    <w:pPr>
                      <w:numPr>
                        <w:ilvl w:val="0"/>
                        <w:numId w:val="36"/>
                      </w:numPr>
                      <w:tabs>
                        <w:tab w:pos="123" w:val="left" w:leader="none"/>
                      </w:tabs>
                      <w:spacing w:before="22"/>
                      <w:ind w:left="122" w:right="0" w:hanging="123"/>
                      <w:jc w:val="left"/>
                      <w:rPr>
                        <w:rFonts w:ascii="Arial"/>
                        <w:sz w:val="14"/>
                      </w:rPr>
                    </w:pPr>
                    <w:r>
                      <w:rPr>
                        <w:rFonts w:ascii="Arial"/>
                        <w:color w:val="231F20"/>
                        <w:spacing w:val="-2"/>
                        <w:sz w:val="14"/>
                      </w:rPr>
                      <w:t>Sudation</w:t>
                    </w:r>
                  </w:p>
                </w:txbxContent>
              </v:textbox>
              <w10:wrap type="none"/>
            </v:shape>
            <v:shape style="position:absolute;left:7779;top:5651;width:1284;height:875" type="#_x0000_t202" id="docshape548" filled="false" stroked="false">
              <v:textbox inset="0,0,0,0">
                <w:txbxContent>
                  <w:p>
                    <w:pPr>
                      <w:spacing w:before="20"/>
                      <w:ind w:left="122" w:right="0" w:firstLine="0"/>
                      <w:jc w:val="left"/>
                      <w:rPr>
                        <w:rFonts w:ascii="Arial" w:hAnsi="Arial"/>
                        <w:sz w:val="14"/>
                      </w:rPr>
                    </w:pPr>
                    <w:r>
                      <w:rPr>
                        <w:rFonts w:ascii="Arial" w:hAnsi="Arial"/>
                        <w:color w:val="231F20"/>
                        <w:w w:val="95"/>
                        <w:sz w:val="14"/>
                      </w:rPr>
                      <w:t>de</w:t>
                    </w:r>
                    <w:r>
                      <w:rPr>
                        <w:rFonts w:ascii="Arial" w:hAnsi="Arial"/>
                        <w:color w:val="231F20"/>
                        <w:spacing w:val="-11"/>
                        <w:w w:val="95"/>
                        <w:sz w:val="14"/>
                      </w:rPr>
                      <w:t> </w:t>
                    </w:r>
                    <w:r>
                      <w:rPr>
                        <w:rFonts w:ascii="Arial" w:hAnsi="Arial"/>
                        <w:color w:val="231F20"/>
                        <w:spacing w:val="-2"/>
                        <w:sz w:val="14"/>
                      </w:rPr>
                      <w:t>catécholamines</w:t>
                    </w:r>
                  </w:p>
                  <w:p>
                    <w:pPr>
                      <w:numPr>
                        <w:ilvl w:val="0"/>
                        <w:numId w:val="37"/>
                      </w:numPr>
                      <w:tabs>
                        <w:tab w:pos="123" w:val="left" w:leader="none"/>
                      </w:tabs>
                      <w:spacing w:before="22"/>
                      <w:ind w:left="122" w:right="18" w:hanging="123"/>
                      <w:jc w:val="left"/>
                      <w:rPr>
                        <w:rFonts w:ascii="Arial" w:hAnsi="Arial"/>
                        <w:sz w:val="14"/>
                      </w:rPr>
                    </w:pPr>
                    <w:r>
                      <w:rPr>
                        <w:rFonts w:ascii="Arial" w:hAnsi="Arial"/>
                        <w:color w:val="231F20"/>
                        <w:spacing w:val="-2"/>
                        <w:w w:val="95"/>
                        <w:sz w:val="14"/>
                      </w:rPr>
                      <w:t>Élévation</w:t>
                    </w:r>
                    <w:r>
                      <w:rPr>
                        <w:rFonts w:ascii="Arial" w:hAnsi="Arial"/>
                        <w:color w:val="231F20"/>
                        <w:spacing w:val="-11"/>
                        <w:w w:val="95"/>
                        <w:sz w:val="14"/>
                      </w:rPr>
                      <w:t> </w:t>
                    </w:r>
                    <w:r>
                      <w:rPr>
                        <w:rFonts w:ascii="Arial" w:hAnsi="Arial"/>
                        <w:color w:val="231F20"/>
                        <w:spacing w:val="-2"/>
                        <w:w w:val="95"/>
                        <w:sz w:val="14"/>
                      </w:rPr>
                      <w:t>du</w:t>
                    </w:r>
                    <w:r>
                      <w:rPr>
                        <w:rFonts w:ascii="Arial" w:hAnsi="Arial"/>
                        <w:color w:val="231F20"/>
                        <w:spacing w:val="-10"/>
                        <w:w w:val="95"/>
                        <w:sz w:val="14"/>
                      </w:rPr>
                      <w:t> </w:t>
                    </w:r>
                    <w:r>
                      <w:rPr>
                        <w:rFonts w:ascii="Arial" w:hAnsi="Arial"/>
                        <w:color w:val="231F20"/>
                        <w:spacing w:val="-2"/>
                        <w:w w:val="95"/>
                        <w:sz w:val="14"/>
                      </w:rPr>
                      <w:t>niveau</w:t>
                    </w:r>
                    <w:r>
                      <w:rPr>
                        <w:rFonts w:ascii="Arial" w:hAnsi="Arial"/>
                        <w:color w:val="231F20"/>
                        <w:spacing w:val="40"/>
                        <w:sz w:val="14"/>
                      </w:rPr>
                      <w:t> </w:t>
                    </w:r>
                    <w:r>
                      <w:rPr>
                        <w:rFonts w:ascii="Arial" w:hAnsi="Arial"/>
                        <w:color w:val="231F20"/>
                        <w:sz w:val="14"/>
                      </w:rPr>
                      <w:t>de</w:t>
                    </w:r>
                    <w:r>
                      <w:rPr>
                        <w:rFonts w:ascii="Arial" w:hAnsi="Arial"/>
                        <w:color w:val="231F20"/>
                        <w:spacing w:val="-12"/>
                        <w:sz w:val="14"/>
                      </w:rPr>
                      <w:t> </w:t>
                    </w:r>
                    <w:r>
                      <w:rPr>
                        <w:rFonts w:ascii="Arial" w:hAnsi="Arial"/>
                        <w:color w:val="231F20"/>
                        <w:sz w:val="14"/>
                      </w:rPr>
                      <w:t>stéroïdes</w:t>
                    </w:r>
                  </w:p>
                  <w:p>
                    <w:pPr>
                      <w:numPr>
                        <w:ilvl w:val="0"/>
                        <w:numId w:val="37"/>
                      </w:numPr>
                      <w:tabs>
                        <w:tab w:pos="123" w:val="left" w:leader="none"/>
                      </w:tabs>
                      <w:spacing w:before="24"/>
                      <w:ind w:left="122" w:right="18" w:hanging="123"/>
                      <w:jc w:val="left"/>
                      <w:rPr>
                        <w:rFonts w:ascii="Arial" w:hAnsi="Arial"/>
                        <w:sz w:val="14"/>
                      </w:rPr>
                    </w:pPr>
                    <w:r>
                      <w:rPr>
                        <w:rFonts w:ascii="Arial" w:hAnsi="Arial"/>
                        <w:color w:val="231F20"/>
                        <w:spacing w:val="-2"/>
                        <w:w w:val="95"/>
                        <w:sz w:val="14"/>
                      </w:rPr>
                      <w:t>Élévation</w:t>
                    </w:r>
                    <w:r>
                      <w:rPr>
                        <w:rFonts w:ascii="Arial" w:hAnsi="Arial"/>
                        <w:color w:val="231F20"/>
                        <w:spacing w:val="-11"/>
                        <w:w w:val="95"/>
                        <w:sz w:val="14"/>
                      </w:rPr>
                      <w:t> </w:t>
                    </w:r>
                    <w:r>
                      <w:rPr>
                        <w:rFonts w:ascii="Arial" w:hAnsi="Arial"/>
                        <w:color w:val="231F20"/>
                        <w:spacing w:val="-2"/>
                        <w:w w:val="95"/>
                        <w:sz w:val="14"/>
                      </w:rPr>
                      <w:t>du</w:t>
                    </w:r>
                    <w:r>
                      <w:rPr>
                        <w:rFonts w:ascii="Arial" w:hAnsi="Arial"/>
                        <w:color w:val="231F20"/>
                        <w:spacing w:val="-10"/>
                        <w:w w:val="95"/>
                        <w:sz w:val="14"/>
                      </w:rPr>
                      <w:t> </w:t>
                    </w:r>
                    <w:r>
                      <w:rPr>
                        <w:rFonts w:ascii="Arial" w:hAnsi="Arial"/>
                        <w:color w:val="231F20"/>
                        <w:spacing w:val="-2"/>
                        <w:w w:val="95"/>
                        <w:sz w:val="14"/>
                      </w:rPr>
                      <w:t>niveau</w:t>
                    </w:r>
                    <w:r>
                      <w:rPr>
                        <w:rFonts w:ascii="Arial" w:hAnsi="Arial"/>
                        <w:color w:val="231F20"/>
                        <w:spacing w:val="40"/>
                        <w:sz w:val="14"/>
                      </w:rPr>
                      <w:t> </w:t>
                    </w:r>
                    <w:r>
                      <w:rPr>
                        <w:rFonts w:ascii="Arial" w:hAnsi="Arial"/>
                        <w:color w:val="231F20"/>
                        <w:sz w:val="14"/>
                      </w:rPr>
                      <w:t>de</w:t>
                    </w:r>
                    <w:r>
                      <w:rPr>
                        <w:rFonts w:ascii="Arial" w:hAnsi="Arial"/>
                        <w:color w:val="231F20"/>
                        <w:spacing w:val="-12"/>
                        <w:sz w:val="14"/>
                      </w:rPr>
                      <w:t> </w:t>
                    </w:r>
                    <w:r>
                      <w:rPr>
                        <w:rFonts w:ascii="Arial" w:hAnsi="Arial"/>
                        <w:color w:val="231F20"/>
                        <w:sz w:val="14"/>
                      </w:rPr>
                      <w:t>cholestérol</w:t>
                    </w:r>
                  </w:p>
                </w:txbxContent>
              </v:textbox>
              <w10:wrap type="none"/>
            </v:shape>
            <w10:wrap type="none"/>
          </v:group>
        </w:pict>
      </w:r>
      <w:r>
        <w:rPr/>
        <w:pict>
          <v:shape style="position:absolute;margin-left:607.773987pt;margin-top:139.847pt;width:11.95pt;height:171.85pt;mso-position-horizontal-relative:page;mso-position-vertical-relative:page;z-index:15765504" type="#_x0000_t202" id="docshape549" filled="false" stroked="false">
            <v:textbox inset="0,0,0,0" style="layout-flow:vertical">
              <w:txbxContent>
                <w:p>
                  <w:pPr>
                    <w:spacing w:before="52"/>
                    <w:ind w:left="20"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txbxContent>
            </v:textbox>
            <w10:wrap type="none"/>
          </v:shape>
        </w:pict>
      </w:r>
      <w:r>
        <w:rPr/>
        <w:pict>
          <v:shape style="position:absolute;margin-left:20.271pt;margin-top:220.718002pt;width:11.95pt;height:10pt;mso-position-horizontal-relative:page;mso-position-vertical-relative:page;z-index:15766016" type="#_x0000_t202" id="docshape550" filled="false" stroked="false">
            <v:textbox inset="0,0,0,0" style="layout-flow:vertical">
              <w:txbxContent>
                <w:p>
                  <w:pPr>
                    <w:spacing w:before="52"/>
                    <w:ind w:left="20" w:right="0" w:firstLine="0"/>
                    <w:jc w:val="left"/>
                    <w:rPr>
                      <w:rFonts w:ascii="Arial"/>
                      <w:sz w:val="14"/>
                    </w:rPr>
                  </w:pPr>
                  <w:r>
                    <w:rPr>
                      <w:rFonts w:ascii="Arial"/>
                      <w:color w:val="231F20"/>
                      <w:spacing w:val="-5"/>
                      <w:w w:val="105"/>
                      <w:sz w:val="14"/>
                    </w:rPr>
                    <w:t>59</w:t>
                  </w:r>
                </w:p>
              </w:txbxContent>
            </v:textbox>
            <w10:wrap type="none"/>
          </v:shape>
        </w:pict>
      </w:r>
    </w:p>
    <w:p>
      <w:pPr>
        <w:spacing w:after="0"/>
        <w:rPr>
          <w:rFonts w:ascii="Arial"/>
        </w:rPr>
        <w:sectPr>
          <w:footerReference w:type="default" r:id="rId157"/>
          <w:pgSz w:w="12960" w:h="8640" w:orient="landscape"/>
          <w:pgMar w:footer="0" w:header="0" w:top="780" w:bottom="280" w:left="1840" w:right="1840"/>
        </w:sectPr>
      </w:pPr>
    </w:p>
    <w:p>
      <w:pPr>
        <w:spacing w:before="103"/>
        <w:ind w:left="1028" w:right="698" w:firstLine="0"/>
        <w:jc w:val="center"/>
        <w:rPr>
          <w:rFonts w:ascii="Arial" w:hAnsi="Arial"/>
          <w:sz w:val="14"/>
        </w:rPr>
      </w:pPr>
      <w:bookmarkStart w:name=" 2.3.3 / Modèles interactionnistes du st" w:id="55"/>
      <w:bookmarkEnd w:id="55"/>
      <w:r>
        <w:rPr/>
      </w:r>
      <w:bookmarkStart w:name="_bookmark23" w:id="56"/>
      <w:bookmarkEnd w:id="5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rPr>
          <w:rFonts w:ascii="Arial"/>
          <w:sz w:val="29"/>
        </w:rPr>
      </w:pPr>
    </w:p>
    <w:p>
      <w:pPr>
        <w:pStyle w:val="Heading4"/>
        <w:numPr>
          <w:ilvl w:val="2"/>
          <w:numId w:val="17"/>
        </w:numPr>
        <w:tabs>
          <w:tab w:pos="529" w:val="left" w:leader="none"/>
          <w:tab w:pos="829" w:val="left" w:leader="none"/>
        </w:tabs>
        <w:spacing w:line="240" w:lineRule="auto" w:before="0" w:after="0"/>
        <w:ind w:left="528" w:right="0" w:hanging="395"/>
        <w:jc w:val="left"/>
        <w:rPr>
          <w:b w:val="0"/>
          <w:color w:val="231F20"/>
        </w:rPr>
      </w:pPr>
      <w:r>
        <w:rPr>
          <w:b w:val="0"/>
          <w:i/>
          <w:color w:val="231F20"/>
          <w:spacing w:val="-10"/>
        </w:rPr>
        <w:t>/</w:t>
      </w:r>
      <w:r>
        <w:rPr>
          <w:b w:val="0"/>
          <w:i/>
          <w:color w:val="231F20"/>
        </w:rPr>
        <w:tab/>
      </w:r>
      <w:r>
        <w:rPr>
          <w:color w:val="231F20"/>
          <w:w w:val="95"/>
        </w:rPr>
        <w:t>Modèles</w:t>
      </w:r>
      <w:r>
        <w:rPr>
          <w:color w:val="231F20"/>
          <w:spacing w:val="-8"/>
          <w:w w:val="95"/>
        </w:rPr>
        <w:t> </w:t>
      </w:r>
      <w:r>
        <w:rPr>
          <w:color w:val="231F20"/>
          <w:w w:val="95"/>
        </w:rPr>
        <w:t>interactionnistes</w:t>
      </w:r>
      <w:r>
        <w:rPr>
          <w:color w:val="231F20"/>
          <w:spacing w:val="-7"/>
          <w:w w:val="95"/>
        </w:rPr>
        <w:t> </w:t>
      </w:r>
      <w:r>
        <w:rPr>
          <w:color w:val="231F20"/>
          <w:w w:val="95"/>
        </w:rPr>
        <w:t>du</w:t>
      </w:r>
      <w:r>
        <w:rPr>
          <w:color w:val="231F20"/>
          <w:spacing w:val="-7"/>
          <w:w w:val="95"/>
        </w:rPr>
        <w:t> </w:t>
      </w:r>
      <w:r>
        <w:rPr>
          <w:color w:val="231F20"/>
          <w:spacing w:val="-2"/>
          <w:w w:val="95"/>
        </w:rPr>
        <w:t>stress</w:t>
      </w:r>
    </w:p>
    <w:p>
      <w:pPr>
        <w:pStyle w:val="BodyText"/>
        <w:spacing w:line="307" w:lineRule="auto" w:before="234"/>
        <w:ind w:left="830" w:right="492"/>
        <w:jc w:val="both"/>
      </w:pPr>
      <w:r>
        <w:rPr>
          <w:color w:val="231F20"/>
          <w:spacing w:val="-2"/>
          <w:w w:val="120"/>
        </w:rPr>
        <w:t>La</w:t>
      </w:r>
      <w:r>
        <w:rPr>
          <w:color w:val="231F20"/>
          <w:spacing w:val="-10"/>
          <w:w w:val="120"/>
        </w:rPr>
        <w:t> </w:t>
      </w:r>
      <w:r>
        <w:rPr>
          <w:color w:val="231F20"/>
          <w:spacing w:val="-2"/>
          <w:w w:val="120"/>
        </w:rPr>
        <w:t>conception</w:t>
      </w:r>
      <w:r>
        <w:rPr>
          <w:color w:val="231F20"/>
          <w:spacing w:val="-10"/>
          <w:w w:val="120"/>
        </w:rPr>
        <w:t> </w:t>
      </w:r>
      <w:r>
        <w:rPr>
          <w:color w:val="231F20"/>
          <w:spacing w:val="-2"/>
          <w:w w:val="120"/>
        </w:rPr>
        <w:t>interactionniste</w:t>
      </w:r>
      <w:r>
        <w:rPr>
          <w:color w:val="231F20"/>
          <w:spacing w:val="-10"/>
          <w:w w:val="120"/>
        </w:rPr>
        <w:t> </w:t>
      </w:r>
      <w:r>
        <w:rPr>
          <w:color w:val="231F20"/>
          <w:spacing w:val="-2"/>
          <w:w w:val="120"/>
        </w:rPr>
        <w:t>tire</w:t>
      </w:r>
      <w:r>
        <w:rPr>
          <w:color w:val="231F20"/>
          <w:spacing w:val="-10"/>
          <w:w w:val="120"/>
        </w:rPr>
        <w:t> </w:t>
      </w:r>
      <w:r>
        <w:rPr>
          <w:color w:val="231F20"/>
          <w:spacing w:val="-2"/>
          <w:w w:val="120"/>
        </w:rPr>
        <w:t>son</w:t>
      </w:r>
      <w:r>
        <w:rPr>
          <w:color w:val="231F20"/>
          <w:spacing w:val="-10"/>
          <w:w w:val="120"/>
        </w:rPr>
        <w:t> </w:t>
      </w:r>
      <w:r>
        <w:rPr>
          <w:color w:val="231F20"/>
          <w:spacing w:val="-2"/>
          <w:w w:val="120"/>
        </w:rPr>
        <w:t>nom</w:t>
      </w:r>
      <w:r>
        <w:rPr>
          <w:color w:val="231F20"/>
          <w:spacing w:val="-10"/>
          <w:w w:val="120"/>
        </w:rPr>
        <w:t> </w:t>
      </w:r>
      <w:r>
        <w:rPr>
          <w:color w:val="231F20"/>
          <w:spacing w:val="-2"/>
          <w:w w:val="120"/>
        </w:rPr>
        <w:t>de</w:t>
      </w:r>
      <w:r>
        <w:rPr>
          <w:color w:val="231F20"/>
          <w:spacing w:val="-10"/>
          <w:w w:val="120"/>
        </w:rPr>
        <w:t> </w:t>
      </w:r>
      <w:r>
        <w:rPr>
          <w:color w:val="231F20"/>
          <w:spacing w:val="-2"/>
          <w:w w:val="120"/>
        </w:rPr>
        <w:t>la</w:t>
      </w:r>
      <w:r>
        <w:rPr>
          <w:color w:val="231F20"/>
          <w:spacing w:val="-10"/>
          <w:w w:val="120"/>
        </w:rPr>
        <w:t> </w:t>
      </w:r>
      <w:r>
        <w:rPr>
          <w:color w:val="231F20"/>
          <w:spacing w:val="-2"/>
          <w:w w:val="120"/>
        </w:rPr>
        <w:t>nature</w:t>
      </w:r>
      <w:r>
        <w:rPr>
          <w:color w:val="231F20"/>
          <w:spacing w:val="-10"/>
          <w:w w:val="120"/>
        </w:rPr>
        <w:t> </w:t>
      </w:r>
      <w:r>
        <w:rPr>
          <w:color w:val="231F20"/>
          <w:spacing w:val="-2"/>
          <w:w w:val="120"/>
        </w:rPr>
        <w:t>de</w:t>
      </w:r>
      <w:r>
        <w:rPr>
          <w:color w:val="231F20"/>
          <w:spacing w:val="-10"/>
          <w:w w:val="120"/>
        </w:rPr>
        <w:t> </w:t>
      </w:r>
      <w:r>
        <w:rPr>
          <w:color w:val="231F20"/>
          <w:spacing w:val="-2"/>
          <w:w w:val="120"/>
        </w:rPr>
        <w:t>la</w:t>
      </w:r>
      <w:r>
        <w:rPr>
          <w:color w:val="231F20"/>
          <w:spacing w:val="-10"/>
          <w:w w:val="120"/>
        </w:rPr>
        <w:t> </w:t>
      </w:r>
      <w:r>
        <w:rPr>
          <w:color w:val="231F20"/>
          <w:spacing w:val="-2"/>
          <w:w w:val="120"/>
        </w:rPr>
        <w:t>dynamique </w:t>
      </w:r>
      <w:r>
        <w:rPr>
          <w:color w:val="231F20"/>
          <w:w w:val="115"/>
        </w:rPr>
        <w:t>qu’elle</w:t>
      </w:r>
      <w:r>
        <w:rPr>
          <w:color w:val="231F20"/>
          <w:spacing w:val="-12"/>
          <w:w w:val="115"/>
        </w:rPr>
        <w:t> </w:t>
      </w:r>
      <w:r>
        <w:rPr>
          <w:color w:val="231F20"/>
          <w:w w:val="115"/>
        </w:rPr>
        <w:t>propose</w:t>
      </w:r>
      <w:r>
        <w:rPr>
          <w:color w:val="231F20"/>
          <w:spacing w:val="-12"/>
          <w:w w:val="115"/>
        </w:rPr>
        <w:t> </w:t>
      </w:r>
      <w:r>
        <w:rPr>
          <w:color w:val="231F20"/>
          <w:w w:val="115"/>
        </w:rPr>
        <w:t>comme</w:t>
      </w:r>
      <w:r>
        <w:rPr>
          <w:color w:val="231F20"/>
          <w:spacing w:val="-12"/>
          <w:w w:val="115"/>
        </w:rPr>
        <w:t> </w:t>
      </w:r>
      <w:r>
        <w:rPr>
          <w:color w:val="231F20"/>
          <w:w w:val="115"/>
        </w:rPr>
        <w:t>origine</w:t>
      </w:r>
      <w:r>
        <w:rPr>
          <w:color w:val="231F20"/>
          <w:spacing w:val="-12"/>
          <w:w w:val="115"/>
        </w:rPr>
        <w:t> </w:t>
      </w:r>
      <w:r>
        <w:rPr>
          <w:color w:val="231F20"/>
          <w:w w:val="115"/>
        </w:rPr>
        <w:t>au</w:t>
      </w:r>
      <w:r>
        <w:rPr>
          <w:color w:val="231F20"/>
          <w:spacing w:val="-12"/>
          <w:w w:val="115"/>
        </w:rPr>
        <w:t> </w:t>
      </w:r>
      <w:r>
        <w:rPr>
          <w:color w:val="231F20"/>
          <w:w w:val="115"/>
        </w:rPr>
        <w:t>stress.</w:t>
      </w:r>
      <w:r>
        <w:rPr>
          <w:color w:val="231F20"/>
          <w:spacing w:val="-12"/>
          <w:w w:val="115"/>
        </w:rPr>
        <w:t> </w:t>
      </w:r>
      <w:r>
        <w:rPr>
          <w:color w:val="231F20"/>
          <w:w w:val="115"/>
        </w:rPr>
        <w:t>Ainsi,</w:t>
      </w:r>
      <w:r>
        <w:rPr>
          <w:color w:val="231F20"/>
          <w:spacing w:val="-12"/>
          <w:w w:val="115"/>
        </w:rPr>
        <w:t> </w:t>
      </w:r>
      <w:r>
        <w:rPr>
          <w:color w:val="231F20"/>
          <w:w w:val="115"/>
        </w:rPr>
        <w:t>selon</w:t>
      </w:r>
      <w:r>
        <w:rPr>
          <w:color w:val="231F20"/>
          <w:spacing w:val="-12"/>
          <w:w w:val="115"/>
        </w:rPr>
        <w:t> </w:t>
      </w:r>
      <w:r>
        <w:rPr>
          <w:color w:val="231F20"/>
          <w:w w:val="115"/>
        </w:rPr>
        <w:t>cette</w:t>
      </w:r>
      <w:r>
        <w:rPr>
          <w:color w:val="231F20"/>
          <w:spacing w:val="-12"/>
          <w:w w:val="115"/>
        </w:rPr>
        <w:t> </w:t>
      </w:r>
      <w:r>
        <w:rPr>
          <w:color w:val="231F20"/>
          <w:w w:val="115"/>
        </w:rPr>
        <w:t>approche,</w:t>
      </w:r>
      <w:r>
        <w:rPr>
          <w:color w:val="231F20"/>
          <w:spacing w:val="-12"/>
          <w:w w:val="115"/>
        </w:rPr>
        <w:t> </w:t>
      </w:r>
      <w:r>
        <w:rPr>
          <w:color w:val="231F20"/>
          <w:w w:val="115"/>
        </w:rPr>
        <w:t>c’est </w:t>
      </w:r>
      <w:r>
        <w:rPr>
          <w:color w:val="231F20"/>
          <w:w w:val="120"/>
        </w:rPr>
        <w:t>l’interaction</w:t>
      </w:r>
      <w:r>
        <w:rPr>
          <w:color w:val="231F20"/>
          <w:spacing w:val="-13"/>
          <w:w w:val="120"/>
        </w:rPr>
        <w:t> </w:t>
      </w:r>
      <w:r>
        <w:rPr>
          <w:color w:val="231F20"/>
          <w:w w:val="120"/>
        </w:rPr>
        <w:t>causale</w:t>
      </w:r>
      <w:r>
        <w:rPr>
          <w:color w:val="231F20"/>
          <w:spacing w:val="-13"/>
          <w:w w:val="120"/>
        </w:rPr>
        <w:t> </w:t>
      </w:r>
      <w:r>
        <w:rPr>
          <w:color w:val="231F20"/>
          <w:w w:val="120"/>
        </w:rPr>
        <w:t>entre</w:t>
      </w:r>
      <w:r>
        <w:rPr>
          <w:color w:val="231F20"/>
          <w:spacing w:val="-13"/>
          <w:w w:val="120"/>
        </w:rPr>
        <w:t> </w:t>
      </w:r>
      <w:r>
        <w:rPr>
          <w:color w:val="231F20"/>
          <w:w w:val="120"/>
        </w:rPr>
        <w:t>certaines</w:t>
      </w:r>
      <w:r>
        <w:rPr>
          <w:color w:val="231F20"/>
          <w:spacing w:val="-12"/>
          <w:w w:val="120"/>
        </w:rPr>
        <w:t> </w:t>
      </w:r>
      <w:r>
        <w:rPr>
          <w:color w:val="231F20"/>
          <w:w w:val="120"/>
        </w:rPr>
        <w:t>caractéristiques</w:t>
      </w:r>
      <w:r>
        <w:rPr>
          <w:color w:val="231F20"/>
          <w:spacing w:val="-13"/>
          <w:w w:val="120"/>
        </w:rPr>
        <w:t> </w:t>
      </w:r>
      <w:r>
        <w:rPr>
          <w:color w:val="231F20"/>
          <w:w w:val="120"/>
        </w:rPr>
        <w:t>sensibles</w:t>
      </w:r>
      <w:r>
        <w:rPr>
          <w:color w:val="231F20"/>
          <w:spacing w:val="-13"/>
          <w:w w:val="120"/>
        </w:rPr>
        <w:t> </w:t>
      </w:r>
      <w:r>
        <w:rPr>
          <w:color w:val="231F20"/>
          <w:w w:val="120"/>
        </w:rPr>
        <w:t>de</w:t>
      </w:r>
      <w:r>
        <w:rPr>
          <w:color w:val="231F20"/>
          <w:spacing w:val="-13"/>
          <w:w w:val="120"/>
        </w:rPr>
        <w:t> </w:t>
      </w:r>
      <w:r>
        <w:rPr>
          <w:color w:val="231F20"/>
          <w:w w:val="120"/>
        </w:rPr>
        <w:t>l’envi- ronnement,</w:t>
      </w:r>
      <w:r>
        <w:rPr>
          <w:color w:val="231F20"/>
          <w:spacing w:val="-2"/>
          <w:w w:val="120"/>
        </w:rPr>
        <w:t> </w:t>
      </w:r>
      <w:r>
        <w:rPr>
          <w:color w:val="231F20"/>
          <w:w w:val="120"/>
        </w:rPr>
        <w:t>du</w:t>
      </w:r>
      <w:r>
        <w:rPr>
          <w:color w:val="231F20"/>
          <w:spacing w:val="-2"/>
          <w:w w:val="120"/>
        </w:rPr>
        <w:t> </w:t>
      </w:r>
      <w:r>
        <w:rPr>
          <w:color w:val="231F20"/>
          <w:w w:val="120"/>
        </w:rPr>
        <w:t>contexte</w:t>
      </w:r>
      <w:r>
        <w:rPr>
          <w:color w:val="231F20"/>
          <w:spacing w:val="-2"/>
          <w:w w:val="120"/>
        </w:rPr>
        <w:t> </w:t>
      </w:r>
      <w:r>
        <w:rPr>
          <w:color w:val="231F20"/>
          <w:w w:val="120"/>
        </w:rPr>
        <w:t>ou</w:t>
      </w:r>
      <w:r>
        <w:rPr>
          <w:color w:val="231F20"/>
          <w:spacing w:val="-2"/>
          <w:w w:val="120"/>
        </w:rPr>
        <w:t> </w:t>
      </w:r>
      <w:r>
        <w:rPr>
          <w:color w:val="231F20"/>
          <w:w w:val="120"/>
        </w:rPr>
        <w:t>de</w:t>
      </w:r>
      <w:r>
        <w:rPr>
          <w:color w:val="231F20"/>
          <w:spacing w:val="-2"/>
          <w:w w:val="120"/>
        </w:rPr>
        <w:t> </w:t>
      </w:r>
      <w:r>
        <w:rPr>
          <w:color w:val="231F20"/>
          <w:w w:val="120"/>
        </w:rPr>
        <w:t>l’individu</w:t>
      </w:r>
      <w:r>
        <w:rPr>
          <w:color w:val="231F20"/>
          <w:spacing w:val="-2"/>
          <w:w w:val="120"/>
        </w:rPr>
        <w:t> </w:t>
      </w:r>
      <w:r>
        <w:rPr>
          <w:color w:val="231F20"/>
          <w:w w:val="120"/>
        </w:rPr>
        <w:t>qui</w:t>
      </w:r>
      <w:r>
        <w:rPr>
          <w:color w:val="231F20"/>
          <w:spacing w:val="-2"/>
          <w:w w:val="120"/>
        </w:rPr>
        <w:t> </w:t>
      </w:r>
      <w:r>
        <w:rPr>
          <w:color w:val="231F20"/>
          <w:w w:val="120"/>
        </w:rPr>
        <w:t>seront</w:t>
      </w:r>
      <w:r>
        <w:rPr>
          <w:color w:val="231F20"/>
          <w:spacing w:val="-2"/>
          <w:w w:val="120"/>
        </w:rPr>
        <w:t> </w:t>
      </w:r>
      <w:r>
        <w:rPr>
          <w:color w:val="231F20"/>
          <w:w w:val="120"/>
        </w:rPr>
        <w:t>à</w:t>
      </w:r>
      <w:r>
        <w:rPr>
          <w:color w:val="231F20"/>
          <w:spacing w:val="-2"/>
          <w:w w:val="120"/>
        </w:rPr>
        <w:t> </w:t>
      </w:r>
      <w:r>
        <w:rPr>
          <w:color w:val="231F20"/>
          <w:w w:val="120"/>
        </w:rPr>
        <w:t>même</w:t>
      </w:r>
      <w:r>
        <w:rPr>
          <w:color w:val="231F20"/>
          <w:spacing w:val="-2"/>
          <w:w w:val="120"/>
        </w:rPr>
        <w:t> </w:t>
      </w:r>
      <w:r>
        <w:rPr>
          <w:color w:val="231F20"/>
          <w:w w:val="120"/>
        </w:rPr>
        <w:t>de</w:t>
      </w:r>
      <w:r>
        <w:rPr>
          <w:color w:val="231F20"/>
          <w:spacing w:val="-2"/>
          <w:w w:val="120"/>
        </w:rPr>
        <w:t> </w:t>
      </w:r>
      <w:r>
        <w:rPr>
          <w:color w:val="231F20"/>
          <w:w w:val="120"/>
        </w:rPr>
        <w:t>générer </w:t>
      </w:r>
      <w:r>
        <w:rPr>
          <w:color w:val="231F20"/>
          <w:w w:val="115"/>
        </w:rPr>
        <w:t>le</w:t>
      </w:r>
      <w:r>
        <w:rPr>
          <w:color w:val="231F20"/>
          <w:spacing w:val="-13"/>
          <w:w w:val="115"/>
        </w:rPr>
        <w:t> </w:t>
      </w:r>
      <w:r>
        <w:rPr>
          <w:color w:val="231F20"/>
          <w:w w:val="115"/>
        </w:rPr>
        <w:t>stress.</w:t>
      </w:r>
      <w:r>
        <w:rPr>
          <w:color w:val="231F20"/>
          <w:spacing w:val="-7"/>
          <w:w w:val="115"/>
        </w:rPr>
        <w:t> </w:t>
      </w:r>
      <w:r>
        <w:rPr>
          <w:color w:val="231F20"/>
          <w:w w:val="115"/>
        </w:rPr>
        <w:t>Le</w:t>
      </w:r>
      <w:r>
        <w:rPr>
          <w:color w:val="231F20"/>
          <w:spacing w:val="-1"/>
          <w:w w:val="115"/>
        </w:rPr>
        <w:t> </w:t>
      </w:r>
      <w:r>
        <w:rPr>
          <w:color w:val="231F20"/>
          <w:w w:val="115"/>
        </w:rPr>
        <w:t>stress</w:t>
      </w:r>
      <w:r>
        <w:rPr>
          <w:color w:val="231F20"/>
          <w:spacing w:val="-1"/>
          <w:w w:val="115"/>
        </w:rPr>
        <w:t> </w:t>
      </w:r>
      <w:r>
        <w:rPr>
          <w:color w:val="231F20"/>
          <w:w w:val="115"/>
        </w:rPr>
        <w:t>est</w:t>
      </w:r>
      <w:r>
        <w:rPr>
          <w:color w:val="231F20"/>
          <w:spacing w:val="-1"/>
          <w:w w:val="115"/>
        </w:rPr>
        <w:t> </w:t>
      </w:r>
      <w:r>
        <w:rPr>
          <w:color w:val="231F20"/>
          <w:w w:val="115"/>
        </w:rPr>
        <w:t>alors</w:t>
      </w:r>
      <w:r>
        <w:rPr>
          <w:color w:val="231F20"/>
          <w:spacing w:val="-1"/>
          <w:w w:val="115"/>
        </w:rPr>
        <w:t> </w:t>
      </w:r>
      <w:r>
        <w:rPr>
          <w:color w:val="231F20"/>
          <w:w w:val="115"/>
        </w:rPr>
        <w:t>considéré</w:t>
      </w:r>
      <w:r>
        <w:rPr>
          <w:color w:val="231F20"/>
          <w:spacing w:val="-1"/>
          <w:w w:val="115"/>
        </w:rPr>
        <w:t> </w:t>
      </w:r>
      <w:r>
        <w:rPr>
          <w:color w:val="231F20"/>
          <w:w w:val="115"/>
        </w:rPr>
        <w:t>comme</w:t>
      </w:r>
      <w:r>
        <w:rPr>
          <w:color w:val="231F20"/>
          <w:spacing w:val="-1"/>
          <w:w w:val="115"/>
        </w:rPr>
        <w:t> </w:t>
      </w:r>
      <w:r>
        <w:rPr>
          <w:color w:val="231F20"/>
          <w:w w:val="115"/>
        </w:rPr>
        <w:t>«</w:t>
      </w:r>
      <w:r>
        <w:rPr>
          <w:color w:val="231F20"/>
          <w:spacing w:val="-13"/>
          <w:w w:val="115"/>
        </w:rPr>
        <w:t> </w:t>
      </w:r>
      <w:r>
        <w:rPr>
          <w:i/>
          <w:color w:val="231F20"/>
          <w:w w:val="115"/>
        </w:rPr>
        <w:t>une variable</w:t>
      </w:r>
      <w:r>
        <w:rPr>
          <w:i/>
          <w:color w:val="231F20"/>
          <w:spacing w:val="-1"/>
          <w:w w:val="115"/>
        </w:rPr>
        <w:t> </w:t>
      </w:r>
      <w:r>
        <w:rPr>
          <w:i/>
          <w:color w:val="231F20"/>
          <w:w w:val="115"/>
        </w:rPr>
        <w:t>relationnelle </w:t>
      </w:r>
      <w:r>
        <w:rPr>
          <w:i/>
          <w:color w:val="231F20"/>
          <w:spacing w:val="-2"/>
          <w:w w:val="115"/>
        </w:rPr>
        <w:t>entre</w:t>
      </w:r>
      <w:r>
        <w:rPr>
          <w:i/>
          <w:color w:val="231F20"/>
          <w:spacing w:val="-11"/>
          <w:w w:val="115"/>
        </w:rPr>
        <w:t> </w:t>
      </w:r>
      <w:r>
        <w:rPr>
          <w:i/>
          <w:color w:val="231F20"/>
          <w:spacing w:val="-2"/>
          <w:w w:val="115"/>
        </w:rPr>
        <w:t>un</w:t>
      </w:r>
      <w:r>
        <w:rPr>
          <w:i/>
          <w:color w:val="231F20"/>
          <w:spacing w:val="-10"/>
          <w:w w:val="115"/>
        </w:rPr>
        <w:t> </w:t>
      </w:r>
      <w:r>
        <w:rPr>
          <w:i/>
          <w:color w:val="231F20"/>
          <w:spacing w:val="-2"/>
          <w:w w:val="115"/>
        </w:rPr>
        <w:t>individu</w:t>
      </w:r>
      <w:r>
        <w:rPr>
          <w:i/>
          <w:color w:val="231F20"/>
          <w:spacing w:val="-10"/>
          <w:w w:val="115"/>
        </w:rPr>
        <w:t> </w:t>
      </w:r>
      <w:r>
        <w:rPr>
          <w:i/>
          <w:color w:val="231F20"/>
          <w:spacing w:val="-2"/>
          <w:w w:val="115"/>
        </w:rPr>
        <w:t>et</w:t>
      </w:r>
      <w:r>
        <w:rPr>
          <w:i/>
          <w:color w:val="231F20"/>
          <w:spacing w:val="-7"/>
          <w:w w:val="115"/>
        </w:rPr>
        <w:t> </w:t>
      </w:r>
      <w:r>
        <w:rPr>
          <w:i/>
          <w:color w:val="231F20"/>
          <w:spacing w:val="-2"/>
          <w:w w:val="115"/>
        </w:rPr>
        <w:t>sa</w:t>
      </w:r>
      <w:r>
        <w:rPr>
          <w:i/>
          <w:color w:val="231F20"/>
          <w:spacing w:val="-5"/>
          <w:w w:val="115"/>
        </w:rPr>
        <w:t> </w:t>
      </w:r>
      <w:r>
        <w:rPr>
          <w:i/>
          <w:color w:val="231F20"/>
          <w:spacing w:val="-2"/>
          <w:w w:val="115"/>
        </w:rPr>
        <w:t>situation</w:t>
      </w:r>
      <w:r>
        <w:rPr>
          <w:color w:val="231F20"/>
          <w:spacing w:val="-2"/>
          <w:w w:val="115"/>
        </w:rPr>
        <w:t>13</w:t>
      </w:r>
      <w:r>
        <w:rPr>
          <w:color w:val="231F20"/>
          <w:spacing w:val="-11"/>
          <w:w w:val="115"/>
        </w:rPr>
        <w:t> </w:t>
      </w:r>
      <w:r>
        <w:rPr>
          <w:color w:val="231F20"/>
          <w:spacing w:val="-2"/>
          <w:w w:val="115"/>
        </w:rPr>
        <w:t>».</w:t>
      </w:r>
      <w:r>
        <w:rPr>
          <w:color w:val="231F20"/>
          <w:spacing w:val="-4"/>
          <w:w w:val="115"/>
        </w:rPr>
        <w:t> </w:t>
      </w:r>
      <w:r>
        <w:rPr>
          <w:color w:val="231F20"/>
          <w:spacing w:val="-2"/>
          <w:w w:val="115"/>
        </w:rPr>
        <w:t>Nombre</w:t>
      </w:r>
      <w:r>
        <w:rPr>
          <w:color w:val="231F20"/>
          <w:spacing w:val="-5"/>
          <w:w w:val="115"/>
        </w:rPr>
        <w:t> </w:t>
      </w:r>
      <w:r>
        <w:rPr>
          <w:color w:val="231F20"/>
          <w:spacing w:val="-2"/>
          <w:w w:val="115"/>
        </w:rPr>
        <w:t>de</w:t>
      </w:r>
      <w:r>
        <w:rPr>
          <w:color w:val="231F20"/>
          <w:spacing w:val="-5"/>
          <w:w w:val="115"/>
        </w:rPr>
        <w:t> </w:t>
      </w:r>
      <w:r>
        <w:rPr>
          <w:color w:val="231F20"/>
          <w:spacing w:val="-2"/>
          <w:w w:val="115"/>
        </w:rPr>
        <w:t>variables</w:t>
      </w:r>
      <w:r>
        <w:rPr>
          <w:color w:val="231F20"/>
          <w:spacing w:val="-5"/>
          <w:w w:val="115"/>
        </w:rPr>
        <w:t> </w:t>
      </w:r>
      <w:r>
        <w:rPr>
          <w:color w:val="231F20"/>
          <w:spacing w:val="-2"/>
          <w:w w:val="115"/>
        </w:rPr>
        <w:t>ont</w:t>
      </w:r>
      <w:r>
        <w:rPr>
          <w:color w:val="231F20"/>
          <w:spacing w:val="-5"/>
          <w:w w:val="115"/>
        </w:rPr>
        <w:t> </w:t>
      </w:r>
      <w:r>
        <w:rPr>
          <w:color w:val="231F20"/>
          <w:spacing w:val="-2"/>
          <w:w w:val="115"/>
        </w:rPr>
        <w:t>été</w:t>
      </w:r>
      <w:r>
        <w:rPr>
          <w:color w:val="231F20"/>
          <w:spacing w:val="-5"/>
          <w:w w:val="115"/>
        </w:rPr>
        <w:t> </w:t>
      </w:r>
      <w:r>
        <w:rPr>
          <w:color w:val="231F20"/>
          <w:spacing w:val="-2"/>
          <w:w w:val="115"/>
        </w:rPr>
        <w:t>explorées </w:t>
      </w:r>
      <w:r>
        <w:rPr>
          <w:color w:val="231F20"/>
          <w:spacing w:val="-2"/>
          <w:w w:val="120"/>
        </w:rPr>
        <w:t>à</w:t>
      </w:r>
      <w:r>
        <w:rPr>
          <w:color w:val="231F20"/>
          <w:spacing w:val="-11"/>
          <w:w w:val="120"/>
        </w:rPr>
        <w:t> </w:t>
      </w:r>
      <w:r>
        <w:rPr>
          <w:color w:val="231F20"/>
          <w:spacing w:val="-2"/>
          <w:w w:val="120"/>
        </w:rPr>
        <w:t>cet</w:t>
      </w:r>
      <w:r>
        <w:rPr>
          <w:color w:val="231F20"/>
          <w:spacing w:val="-11"/>
          <w:w w:val="120"/>
        </w:rPr>
        <w:t> </w:t>
      </w:r>
      <w:r>
        <w:rPr>
          <w:color w:val="231F20"/>
          <w:spacing w:val="-2"/>
          <w:w w:val="120"/>
        </w:rPr>
        <w:t>effet,</w:t>
      </w:r>
      <w:r>
        <w:rPr>
          <w:color w:val="231F20"/>
          <w:spacing w:val="-10"/>
          <w:w w:val="120"/>
        </w:rPr>
        <w:t> </w:t>
      </w:r>
      <w:r>
        <w:rPr>
          <w:color w:val="231F20"/>
          <w:spacing w:val="-2"/>
          <w:w w:val="120"/>
        </w:rPr>
        <w:t>amenant</w:t>
      </w:r>
      <w:r>
        <w:rPr>
          <w:color w:val="231F20"/>
          <w:spacing w:val="-11"/>
          <w:w w:val="120"/>
        </w:rPr>
        <w:t> </w:t>
      </w:r>
      <w:r>
        <w:rPr>
          <w:color w:val="231F20"/>
          <w:spacing w:val="-2"/>
          <w:w w:val="120"/>
        </w:rPr>
        <w:t>la</w:t>
      </w:r>
      <w:r>
        <w:rPr>
          <w:color w:val="231F20"/>
          <w:spacing w:val="-11"/>
          <w:w w:val="120"/>
        </w:rPr>
        <w:t> </w:t>
      </w:r>
      <w:r>
        <w:rPr>
          <w:color w:val="231F20"/>
          <w:spacing w:val="-2"/>
          <w:w w:val="120"/>
        </w:rPr>
        <w:t>formulation</w:t>
      </w:r>
      <w:r>
        <w:rPr>
          <w:color w:val="231F20"/>
          <w:spacing w:val="-10"/>
          <w:w w:val="120"/>
        </w:rPr>
        <w:t> </w:t>
      </w:r>
      <w:r>
        <w:rPr>
          <w:color w:val="231F20"/>
          <w:spacing w:val="-2"/>
          <w:w w:val="120"/>
        </w:rPr>
        <w:t>de</w:t>
      </w:r>
      <w:r>
        <w:rPr>
          <w:color w:val="231F20"/>
          <w:spacing w:val="-11"/>
          <w:w w:val="120"/>
        </w:rPr>
        <w:t> </w:t>
      </w:r>
      <w:r>
        <w:rPr>
          <w:color w:val="231F20"/>
          <w:spacing w:val="-2"/>
          <w:w w:val="120"/>
        </w:rPr>
        <w:t>presque</w:t>
      </w:r>
      <w:r>
        <w:rPr>
          <w:color w:val="231F20"/>
          <w:spacing w:val="-11"/>
          <w:w w:val="120"/>
        </w:rPr>
        <w:t> </w:t>
      </w:r>
      <w:r>
        <w:rPr>
          <w:color w:val="231F20"/>
          <w:spacing w:val="-2"/>
          <w:w w:val="120"/>
        </w:rPr>
        <w:t>autant</w:t>
      </w:r>
      <w:r>
        <w:rPr>
          <w:color w:val="231F20"/>
          <w:spacing w:val="-10"/>
          <w:w w:val="120"/>
        </w:rPr>
        <w:t> </w:t>
      </w:r>
      <w:r>
        <w:rPr>
          <w:color w:val="231F20"/>
          <w:spacing w:val="-2"/>
          <w:w w:val="120"/>
        </w:rPr>
        <w:t>de</w:t>
      </w:r>
      <w:r>
        <w:rPr>
          <w:color w:val="231F20"/>
          <w:spacing w:val="-11"/>
          <w:w w:val="120"/>
        </w:rPr>
        <w:t> </w:t>
      </w:r>
      <w:r>
        <w:rPr>
          <w:color w:val="231F20"/>
          <w:spacing w:val="-2"/>
          <w:w w:val="120"/>
        </w:rPr>
        <w:t>modèles.</w:t>
      </w:r>
      <w:r>
        <w:rPr>
          <w:color w:val="231F20"/>
          <w:spacing w:val="-11"/>
          <w:w w:val="120"/>
        </w:rPr>
        <w:t> </w:t>
      </w:r>
      <w:r>
        <w:rPr>
          <w:color w:val="231F20"/>
          <w:spacing w:val="-2"/>
          <w:w w:val="120"/>
        </w:rPr>
        <w:t>Cepen- </w:t>
      </w:r>
      <w:r>
        <w:rPr>
          <w:color w:val="231F20"/>
          <w:w w:val="120"/>
        </w:rPr>
        <w:t>dant, on retiendra particulièrement les modèles </w:t>
      </w:r>
      <w:r>
        <w:rPr>
          <w:i/>
          <w:color w:val="231F20"/>
          <w:w w:val="120"/>
        </w:rPr>
        <w:t>Demande-Contrôle- </w:t>
      </w:r>
      <w:r>
        <w:rPr>
          <w:i/>
          <w:color w:val="231F20"/>
          <w:spacing w:val="-2"/>
          <w:w w:val="115"/>
        </w:rPr>
        <w:t>Soutien</w:t>
      </w:r>
      <w:r>
        <w:rPr>
          <w:i/>
          <w:color w:val="231F20"/>
          <w:spacing w:val="-4"/>
          <w:w w:val="115"/>
        </w:rPr>
        <w:t> </w:t>
      </w:r>
      <w:r>
        <w:rPr>
          <w:color w:val="231F20"/>
          <w:spacing w:val="-2"/>
          <w:w w:val="115"/>
        </w:rPr>
        <w:t>de</w:t>
      </w:r>
      <w:r>
        <w:rPr>
          <w:color w:val="231F20"/>
          <w:spacing w:val="-4"/>
          <w:w w:val="115"/>
        </w:rPr>
        <w:t> </w:t>
      </w:r>
      <w:r>
        <w:rPr>
          <w:color w:val="231F20"/>
          <w:spacing w:val="-2"/>
          <w:w w:val="115"/>
        </w:rPr>
        <w:t>Karasek</w:t>
      </w:r>
      <w:r>
        <w:rPr>
          <w:color w:val="231F20"/>
          <w:spacing w:val="-4"/>
          <w:w w:val="115"/>
        </w:rPr>
        <w:t> </w:t>
      </w:r>
      <w:r>
        <w:rPr>
          <w:color w:val="231F20"/>
          <w:spacing w:val="-2"/>
          <w:w w:val="115"/>
        </w:rPr>
        <w:t>et</w:t>
      </w:r>
      <w:r>
        <w:rPr>
          <w:color w:val="231F20"/>
          <w:spacing w:val="-4"/>
          <w:w w:val="115"/>
        </w:rPr>
        <w:t> </w:t>
      </w:r>
      <w:r>
        <w:rPr>
          <w:i/>
          <w:color w:val="231F20"/>
          <w:spacing w:val="-2"/>
          <w:w w:val="115"/>
        </w:rPr>
        <w:t>Déséquilibre</w:t>
      </w:r>
      <w:r>
        <w:rPr>
          <w:i/>
          <w:color w:val="231F20"/>
          <w:spacing w:val="-4"/>
          <w:w w:val="115"/>
        </w:rPr>
        <w:t> </w:t>
      </w:r>
      <w:r>
        <w:rPr>
          <w:i/>
          <w:color w:val="231F20"/>
          <w:spacing w:val="-2"/>
          <w:w w:val="115"/>
        </w:rPr>
        <w:t>efforts/récompenses</w:t>
      </w:r>
      <w:r>
        <w:rPr>
          <w:i/>
          <w:color w:val="231F20"/>
          <w:spacing w:val="-4"/>
          <w:w w:val="115"/>
        </w:rPr>
        <w:t> </w:t>
      </w:r>
      <w:r>
        <w:rPr>
          <w:color w:val="231F20"/>
          <w:spacing w:val="-2"/>
          <w:w w:val="115"/>
        </w:rPr>
        <w:t>de</w:t>
      </w:r>
      <w:r>
        <w:rPr>
          <w:color w:val="231F20"/>
          <w:spacing w:val="-4"/>
          <w:w w:val="115"/>
        </w:rPr>
        <w:t> </w:t>
      </w:r>
      <w:r>
        <w:rPr>
          <w:color w:val="231F20"/>
          <w:spacing w:val="-2"/>
          <w:w w:val="115"/>
        </w:rPr>
        <w:t>Siegrist</w:t>
      </w:r>
      <w:r>
        <w:rPr>
          <w:color w:val="231F20"/>
          <w:spacing w:val="-4"/>
          <w:w w:val="115"/>
        </w:rPr>
        <w:t> </w:t>
      </w:r>
      <w:r>
        <w:rPr>
          <w:color w:val="231F20"/>
          <w:spacing w:val="-2"/>
          <w:w w:val="115"/>
        </w:rPr>
        <w:t>comme </w:t>
      </w:r>
      <w:r>
        <w:rPr>
          <w:color w:val="231F20"/>
          <w:spacing w:val="-2"/>
          <w:w w:val="120"/>
        </w:rPr>
        <w:t>étant</w:t>
      </w:r>
      <w:r>
        <w:rPr>
          <w:color w:val="231F20"/>
          <w:spacing w:val="-10"/>
          <w:w w:val="120"/>
        </w:rPr>
        <w:t> </w:t>
      </w:r>
      <w:r>
        <w:rPr>
          <w:color w:val="231F20"/>
          <w:spacing w:val="-2"/>
          <w:w w:val="120"/>
        </w:rPr>
        <w:t>les</w:t>
      </w:r>
      <w:r>
        <w:rPr>
          <w:color w:val="231F20"/>
          <w:spacing w:val="-10"/>
          <w:w w:val="120"/>
        </w:rPr>
        <w:t> </w:t>
      </w:r>
      <w:r>
        <w:rPr>
          <w:color w:val="231F20"/>
          <w:spacing w:val="-2"/>
          <w:w w:val="120"/>
        </w:rPr>
        <w:t>fers</w:t>
      </w:r>
      <w:r>
        <w:rPr>
          <w:color w:val="231F20"/>
          <w:spacing w:val="-10"/>
          <w:w w:val="120"/>
        </w:rPr>
        <w:t> </w:t>
      </w:r>
      <w:r>
        <w:rPr>
          <w:color w:val="231F20"/>
          <w:spacing w:val="-2"/>
          <w:w w:val="120"/>
        </w:rPr>
        <w:t>de</w:t>
      </w:r>
      <w:r>
        <w:rPr>
          <w:color w:val="231F20"/>
          <w:spacing w:val="-10"/>
          <w:w w:val="120"/>
        </w:rPr>
        <w:t> </w:t>
      </w:r>
      <w:r>
        <w:rPr>
          <w:color w:val="231F20"/>
          <w:spacing w:val="-2"/>
          <w:w w:val="120"/>
        </w:rPr>
        <w:t>lance</w:t>
      </w:r>
      <w:r>
        <w:rPr>
          <w:color w:val="231F20"/>
          <w:spacing w:val="-10"/>
          <w:w w:val="120"/>
        </w:rPr>
        <w:t> </w:t>
      </w:r>
      <w:r>
        <w:rPr>
          <w:color w:val="231F20"/>
          <w:spacing w:val="-2"/>
          <w:w w:val="120"/>
        </w:rPr>
        <w:t>de</w:t>
      </w:r>
      <w:r>
        <w:rPr>
          <w:color w:val="231F20"/>
          <w:spacing w:val="-10"/>
          <w:w w:val="120"/>
        </w:rPr>
        <w:t> </w:t>
      </w:r>
      <w:r>
        <w:rPr>
          <w:color w:val="231F20"/>
          <w:spacing w:val="-2"/>
          <w:w w:val="120"/>
        </w:rPr>
        <w:t>cette</w:t>
      </w:r>
      <w:r>
        <w:rPr>
          <w:color w:val="231F20"/>
          <w:spacing w:val="-10"/>
          <w:w w:val="120"/>
        </w:rPr>
        <w:t> </w:t>
      </w:r>
      <w:r>
        <w:rPr>
          <w:color w:val="231F20"/>
          <w:spacing w:val="-2"/>
          <w:w w:val="120"/>
        </w:rPr>
        <w:t>perspective</w:t>
      </w:r>
      <w:r>
        <w:rPr>
          <w:color w:val="231F20"/>
          <w:spacing w:val="-10"/>
          <w:w w:val="120"/>
        </w:rPr>
        <w:t> </w:t>
      </w:r>
      <w:r>
        <w:rPr>
          <w:color w:val="231F20"/>
          <w:spacing w:val="-2"/>
          <w:w w:val="120"/>
        </w:rPr>
        <w:t>conceptuelle.</w:t>
      </w:r>
      <w:r>
        <w:rPr>
          <w:color w:val="231F20"/>
          <w:spacing w:val="-10"/>
          <w:w w:val="120"/>
        </w:rPr>
        <w:t> </w:t>
      </w:r>
      <w:r>
        <w:rPr>
          <w:color w:val="231F20"/>
          <w:spacing w:val="-2"/>
          <w:w w:val="120"/>
        </w:rPr>
        <w:t>Ces</w:t>
      </w:r>
      <w:r>
        <w:rPr>
          <w:color w:val="231F20"/>
          <w:spacing w:val="-10"/>
          <w:w w:val="120"/>
        </w:rPr>
        <w:t> </w:t>
      </w:r>
      <w:r>
        <w:rPr>
          <w:color w:val="231F20"/>
          <w:spacing w:val="-2"/>
          <w:w w:val="120"/>
        </w:rPr>
        <w:t>explications sont</w:t>
      </w:r>
      <w:r>
        <w:rPr>
          <w:color w:val="231F20"/>
          <w:spacing w:val="-6"/>
          <w:w w:val="120"/>
        </w:rPr>
        <w:t> </w:t>
      </w:r>
      <w:r>
        <w:rPr>
          <w:color w:val="231F20"/>
          <w:spacing w:val="-2"/>
          <w:w w:val="120"/>
        </w:rPr>
        <w:t>des</w:t>
      </w:r>
      <w:r>
        <w:rPr>
          <w:color w:val="231F20"/>
          <w:spacing w:val="-6"/>
          <w:w w:val="120"/>
        </w:rPr>
        <w:t> </w:t>
      </w:r>
      <w:r>
        <w:rPr>
          <w:color w:val="231F20"/>
          <w:spacing w:val="-2"/>
          <w:w w:val="120"/>
        </w:rPr>
        <w:t>solutions</w:t>
      </w:r>
      <w:r>
        <w:rPr>
          <w:color w:val="231F20"/>
          <w:spacing w:val="-6"/>
          <w:w w:val="120"/>
        </w:rPr>
        <w:t> </w:t>
      </w:r>
      <w:r>
        <w:rPr>
          <w:color w:val="231F20"/>
          <w:spacing w:val="-2"/>
          <w:w w:val="120"/>
        </w:rPr>
        <w:t>de</w:t>
      </w:r>
      <w:r>
        <w:rPr>
          <w:color w:val="231F20"/>
          <w:spacing w:val="-6"/>
          <w:w w:val="120"/>
        </w:rPr>
        <w:t> </w:t>
      </w:r>
      <w:r>
        <w:rPr>
          <w:color w:val="231F20"/>
          <w:spacing w:val="-2"/>
          <w:w w:val="120"/>
        </w:rPr>
        <w:t>rechange</w:t>
      </w:r>
      <w:r>
        <w:rPr>
          <w:color w:val="231F20"/>
          <w:spacing w:val="-6"/>
          <w:w w:val="120"/>
        </w:rPr>
        <w:t> </w:t>
      </w:r>
      <w:r>
        <w:rPr>
          <w:color w:val="231F20"/>
          <w:spacing w:val="-2"/>
          <w:w w:val="120"/>
        </w:rPr>
        <w:t>aux</w:t>
      </w:r>
      <w:r>
        <w:rPr>
          <w:color w:val="231F20"/>
          <w:spacing w:val="-6"/>
          <w:w w:val="120"/>
        </w:rPr>
        <w:t> </w:t>
      </w:r>
      <w:r>
        <w:rPr>
          <w:color w:val="231F20"/>
          <w:spacing w:val="-2"/>
          <w:w w:val="120"/>
        </w:rPr>
        <w:t>modèles</w:t>
      </w:r>
      <w:r>
        <w:rPr>
          <w:color w:val="231F20"/>
          <w:spacing w:val="-6"/>
          <w:w w:val="120"/>
        </w:rPr>
        <w:t> </w:t>
      </w:r>
      <w:r>
        <w:rPr>
          <w:color w:val="231F20"/>
          <w:spacing w:val="-2"/>
          <w:w w:val="120"/>
        </w:rPr>
        <w:t>transactionnels</w:t>
      </w:r>
      <w:r>
        <w:rPr>
          <w:color w:val="231F20"/>
          <w:spacing w:val="-6"/>
          <w:w w:val="120"/>
        </w:rPr>
        <w:t> </w:t>
      </w:r>
      <w:r>
        <w:rPr>
          <w:color w:val="231F20"/>
          <w:spacing w:val="-2"/>
          <w:w w:val="120"/>
        </w:rPr>
        <w:t>dont</w:t>
      </w:r>
      <w:r>
        <w:rPr>
          <w:color w:val="231F20"/>
          <w:spacing w:val="-6"/>
          <w:w w:val="120"/>
        </w:rPr>
        <w:t> </w:t>
      </w:r>
      <w:r>
        <w:rPr>
          <w:color w:val="231F20"/>
          <w:spacing w:val="-2"/>
          <w:w w:val="120"/>
        </w:rPr>
        <w:t>l’appli- </w:t>
      </w:r>
      <w:r>
        <w:rPr>
          <w:color w:val="231F20"/>
          <w:w w:val="120"/>
        </w:rPr>
        <w:t>cabilité</w:t>
      </w:r>
      <w:r>
        <w:rPr>
          <w:color w:val="231F20"/>
          <w:spacing w:val="-12"/>
          <w:w w:val="120"/>
        </w:rPr>
        <w:t> </w:t>
      </w:r>
      <w:r>
        <w:rPr>
          <w:color w:val="231F20"/>
          <w:w w:val="120"/>
        </w:rPr>
        <w:t>directe</w:t>
      </w:r>
      <w:r>
        <w:rPr>
          <w:color w:val="231F20"/>
          <w:spacing w:val="-12"/>
          <w:w w:val="120"/>
        </w:rPr>
        <w:t> </w:t>
      </w:r>
      <w:r>
        <w:rPr>
          <w:color w:val="231F20"/>
          <w:w w:val="120"/>
        </w:rPr>
        <w:t>est</w:t>
      </w:r>
      <w:r>
        <w:rPr>
          <w:color w:val="231F20"/>
          <w:spacing w:val="-12"/>
          <w:w w:val="120"/>
        </w:rPr>
        <w:t> </w:t>
      </w:r>
      <w:r>
        <w:rPr>
          <w:color w:val="231F20"/>
          <w:w w:val="120"/>
        </w:rPr>
        <w:t>plus</w:t>
      </w:r>
      <w:r>
        <w:rPr>
          <w:color w:val="231F20"/>
          <w:spacing w:val="-12"/>
          <w:w w:val="120"/>
        </w:rPr>
        <w:t> </w:t>
      </w:r>
      <w:r>
        <w:rPr>
          <w:color w:val="231F20"/>
          <w:w w:val="120"/>
        </w:rPr>
        <w:t>complexe.</w:t>
      </w:r>
      <w:r>
        <w:rPr>
          <w:color w:val="231F20"/>
          <w:spacing w:val="-12"/>
          <w:w w:val="120"/>
        </w:rPr>
        <w:t> </w:t>
      </w:r>
      <w:r>
        <w:rPr>
          <w:color w:val="231F20"/>
          <w:w w:val="120"/>
        </w:rPr>
        <w:t>Ainsi,</w:t>
      </w:r>
      <w:r>
        <w:rPr>
          <w:color w:val="231F20"/>
          <w:spacing w:val="-12"/>
          <w:w w:val="120"/>
        </w:rPr>
        <w:t> </w:t>
      </w:r>
      <w:r>
        <w:rPr>
          <w:color w:val="231F20"/>
          <w:w w:val="120"/>
        </w:rPr>
        <w:t>malgré</w:t>
      </w:r>
      <w:r>
        <w:rPr>
          <w:color w:val="231F20"/>
          <w:spacing w:val="-12"/>
          <w:w w:val="120"/>
        </w:rPr>
        <w:t> </w:t>
      </w:r>
      <w:r>
        <w:rPr>
          <w:color w:val="231F20"/>
          <w:w w:val="120"/>
        </w:rPr>
        <w:t>leurs</w:t>
      </w:r>
      <w:r>
        <w:rPr>
          <w:color w:val="231F20"/>
          <w:spacing w:val="-12"/>
          <w:w w:val="120"/>
        </w:rPr>
        <w:t> </w:t>
      </w:r>
      <w:r>
        <w:rPr>
          <w:color w:val="231F20"/>
          <w:w w:val="120"/>
        </w:rPr>
        <w:t>particularités,</w:t>
      </w:r>
      <w:r>
        <w:rPr>
          <w:color w:val="231F20"/>
          <w:spacing w:val="-12"/>
          <w:w w:val="120"/>
        </w:rPr>
        <w:t> </w:t>
      </w:r>
      <w:r>
        <w:rPr>
          <w:color w:val="231F20"/>
          <w:w w:val="120"/>
        </w:rPr>
        <w:t>les </w:t>
      </w:r>
      <w:r>
        <w:rPr>
          <w:color w:val="231F20"/>
          <w:spacing w:val="-2"/>
          <w:w w:val="120"/>
        </w:rPr>
        <w:t>divers</w:t>
      </w:r>
      <w:r>
        <w:rPr>
          <w:color w:val="231F20"/>
          <w:spacing w:val="-11"/>
          <w:w w:val="120"/>
        </w:rPr>
        <w:t> </w:t>
      </w:r>
      <w:r>
        <w:rPr>
          <w:color w:val="231F20"/>
          <w:spacing w:val="-2"/>
          <w:w w:val="120"/>
        </w:rPr>
        <w:t>modèles</w:t>
      </w:r>
      <w:r>
        <w:rPr>
          <w:color w:val="231F20"/>
          <w:spacing w:val="-11"/>
          <w:w w:val="120"/>
        </w:rPr>
        <w:t> </w:t>
      </w:r>
      <w:r>
        <w:rPr>
          <w:color w:val="231F20"/>
          <w:spacing w:val="-2"/>
          <w:w w:val="120"/>
        </w:rPr>
        <w:t>interactionnistes</w:t>
      </w:r>
      <w:r>
        <w:rPr>
          <w:color w:val="231F20"/>
          <w:spacing w:val="-11"/>
          <w:w w:val="120"/>
        </w:rPr>
        <w:t> </w:t>
      </w:r>
      <w:r>
        <w:rPr>
          <w:color w:val="231F20"/>
          <w:spacing w:val="-2"/>
          <w:w w:val="120"/>
        </w:rPr>
        <w:t>cherchent</w:t>
      </w:r>
      <w:r>
        <w:rPr>
          <w:color w:val="231F20"/>
          <w:spacing w:val="-10"/>
          <w:w w:val="120"/>
        </w:rPr>
        <w:t> </w:t>
      </w:r>
      <w:r>
        <w:rPr>
          <w:color w:val="231F20"/>
          <w:spacing w:val="-2"/>
          <w:w w:val="120"/>
        </w:rPr>
        <w:t>à</w:t>
      </w:r>
      <w:r>
        <w:rPr>
          <w:color w:val="231F20"/>
          <w:spacing w:val="-11"/>
          <w:w w:val="120"/>
        </w:rPr>
        <w:t> </w:t>
      </w:r>
      <w:r>
        <w:rPr>
          <w:color w:val="231F20"/>
          <w:spacing w:val="-2"/>
          <w:w w:val="120"/>
        </w:rPr>
        <w:t>simplifier</w:t>
      </w:r>
      <w:r>
        <w:rPr>
          <w:color w:val="231F20"/>
          <w:spacing w:val="-11"/>
          <w:w w:val="120"/>
        </w:rPr>
        <w:t> </w:t>
      </w:r>
      <w:r>
        <w:rPr>
          <w:color w:val="231F20"/>
          <w:spacing w:val="-2"/>
          <w:w w:val="120"/>
        </w:rPr>
        <w:t>la</w:t>
      </w:r>
      <w:r>
        <w:rPr>
          <w:color w:val="231F20"/>
          <w:spacing w:val="-11"/>
          <w:w w:val="120"/>
        </w:rPr>
        <w:t> </w:t>
      </w:r>
      <w:r>
        <w:rPr>
          <w:color w:val="231F20"/>
          <w:spacing w:val="-2"/>
          <w:w w:val="120"/>
        </w:rPr>
        <w:t>compréhension </w:t>
      </w:r>
      <w:r>
        <w:rPr>
          <w:color w:val="231F20"/>
          <w:w w:val="120"/>
        </w:rPr>
        <w:t>du stress et à générer des pistes d’interventions organisationnelles concrètes. Pour ce faire, l’accent sera alors concentré sur l’incidence du croisement de quelques facteurs sensibles en milieu de travail pour expliquer la dynamique du stress et ses principales conséquences.</w:t>
      </w:r>
    </w:p>
    <w:p>
      <w:pPr>
        <w:pStyle w:val="BodyText"/>
        <w:spacing w:before="5"/>
        <w:rPr>
          <w:sz w:val="21"/>
        </w:rPr>
      </w:pPr>
    </w:p>
    <w:p>
      <w:pPr>
        <w:pStyle w:val="BodyText"/>
        <w:spacing w:line="307" w:lineRule="auto"/>
        <w:ind w:left="830" w:right="490"/>
        <w:jc w:val="both"/>
      </w:pPr>
      <w:r>
        <w:rPr>
          <w:b/>
          <w:color w:val="231F20"/>
          <w:w w:val="110"/>
        </w:rPr>
        <w:t>Modèle</w:t>
      </w:r>
      <w:r>
        <w:rPr>
          <w:b/>
          <w:color w:val="231F20"/>
          <w:spacing w:val="-7"/>
          <w:w w:val="110"/>
        </w:rPr>
        <w:t> </w:t>
      </w:r>
      <w:r>
        <w:rPr>
          <w:b/>
          <w:color w:val="231F20"/>
          <w:w w:val="110"/>
        </w:rPr>
        <w:t>Demande-Contrôle-Soutien</w:t>
      </w:r>
      <w:r>
        <w:rPr>
          <w:b/>
          <w:color w:val="231F20"/>
          <w:spacing w:val="-7"/>
          <w:w w:val="110"/>
        </w:rPr>
        <w:t> </w:t>
      </w:r>
      <w:r>
        <w:rPr>
          <w:b/>
          <w:color w:val="231F20"/>
          <w:w w:val="110"/>
        </w:rPr>
        <w:t>(DCS)</w:t>
      </w:r>
      <w:r>
        <w:rPr>
          <w:b/>
          <w:color w:val="231F20"/>
          <w:spacing w:val="-7"/>
          <w:w w:val="110"/>
        </w:rPr>
        <w:t> </w:t>
      </w:r>
      <w:r>
        <w:rPr>
          <w:b/>
          <w:color w:val="231F20"/>
          <w:w w:val="110"/>
        </w:rPr>
        <w:t>de</w:t>
      </w:r>
      <w:r>
        <w:rPr>
          <w:b/>
          <w:color w:val="231F20"/>
          <w:spacing w:val="-7"/>
          <w:w w:val="110"/>
        </w:rPr>
        <w:t> </w:t>
      </w:r>
      <w:r>
        <w:rPr>
          <w:b/>
          <w:color w:val="231F20"/>
          <w:w w:val="110"/>
        </w:rPr>
        <w:t>Karasek</w:t>
      </w:r>
      <w:r>
        <w:rPr>
          <w:color w:val="231F20"/>
          <w:w w:val="110"/>
        </w:rPr>
        <w:t>.</w:t>
      </w:r>
      <w:r>
        <w:rPr>
          <w:color w:val="231F20"/>
          <w:spacing w:val="-3"/>
          <w:w w:val="110"/>
        </w:rPr>
        <w:t> </w:t>
      </w:r>
      <w:r>
        <w:rPr>
          <w:color w:val="231F20"/>
          <w:w w:val="110"/>
        </w:rPr>
        <w:t>L’un</w:t>
      </w:r>
      <w:r>
        <w:rPr>
          <w:color w:val="231F20"/>
          <w:spacing w:val="-3"/>
          <w:w w:val="110"/>
        </w:rPr>
        <w:t> </w:t>
      </w:r>
      <w:r>
        <w:rPr>
          <w:color w:val="231F20"/>
          <w:w w:val="110"/>
        </w:rPr>
        <w:t>des</w:t>
      </w:r>
      <w:r>
        <w:rPr>
          <w:color w:val="231F20"/>
          <w:spacing w:val="-3"/>
          <w:w w:val="110"/>
        </w:rPr>
        <w:t> </w:t>
      </w:r>
      <w:r>
        <w:rPr>
          <w:color w:val="231F20"/>
          <w:w w:val="110"/>
        </w:rPr>
        <w:t>modèles </w:t>
      </w:r>
      <w:r>
        <w:rPr>
          <w:color w:val="231F20"/>
          <w:w w:val="120"/>
        </w:rPr>
        <w:t>interactionnistes</w:t>
      </w:r>
      <w:r>
        <w:rPr>
          <w:color w:val="231F20"/>
          <w:spacing w:val="-13"/>
          <w:w w:val="120"/>
        </w:rPr>
        <w:t> </w:t>
      </w:r>
      <w:r>
        <w:rPr>
          <w:color w:val="231F20"/>
          <w:w w:val="120"/>
        </w:rPr>
        <w:t>les</w:t>
      </w:r>
      <w:r>
        <w:rPr>
          <w:color w:val="231F20"/>
          <w:spacing w:val="-13"/>
          <w:w w:val="120"/>
        </w:rPr>
        <w:t> </w:t>
      </w:r>
      <w:r>
        <w:rPr>
          <w:color w:val="231F20"/>
          <w:w w:val="120"/>
        </w:rPr>
        <w:t>plus</w:t>
      </w:r>
      <w:r>
        <w:rPr>
          <w:color w:val="231F20"/>
          <w:spacing w:val="-13"/>
          <w:w w:val="120"/>
        </w:rPr>
        <w:t> </w:t>
      </w:r>
      <w:r>
        <w:rPr>
          <w:color w:val="231F20"/>
          <w:w w:val="120"/>
        </w:rPr>
        <w:t>intéressants</w:t>
      </w:r>
      <w:r>
        <w:rPr>
          <w:color w:val="231F20"/>
          <w:spacing w:val="-12"/>
          <w:w w:val="120"/>
        </w:rPr>
        <w:t> </w:t>
      </w:r>
      <w:r>
        <w:rPr>
          <w:color w:val="231F20"/>
          <w:w w:val="120"/>
        </w:rPr>
        <w:t>est</w:t>
      </w:r>
      <w:r>
        <w:rPr>
          <w:color w:val="231F20"/>
          <w:spacing w:val="-13"/>
          <w:w w:val="120"/>
        </w:rPr>
        <w:t> </w:t>
      </w:r>
      <w:r>
        <w:rPr>
          <w:color w:val="231F20"/>
          <w:w w:val="120"/>
        </w:rPr>
        <w:t>le</w:t>
      </w:r>
      <w:r>
        <w:rPr>
          <w:color w:val="231F20"/>
          <w:spacing w:val="-13"/>
          <w:w w:val="120"/>
        </w:rPr>
        <w:t> </w:t>
      </w:r>
      <w:r>
        <w:rPr>
          <w:color w:val="231F20"/>
          <w:w w:val="120"/>
        </w:rPr>
        <w:t>modèle</w:t>
      </w:r>
      <w:r>
        <w:rPr>
          <w:color w:val="231F20"/>
          <w:spacing w:val="-13"/>
          <w:w w:val="120"/>
        </w:rPr>
        <w:t> </w:t>
      </w:r>
      <w:r>
        <w:rPr>
          <w:color w:val="231F20"/>
          <w:w w:val="120"/>
        </w:rPr>
        <w:t>Demande-Contrôle- Soutien.</w:t>
      </w:r>
      <w:r>
        <w:rPr>
          <w:color w:val="231F20"/>
          <w:spacing w:val="-7"/>
          <w:w w:val="120"/>
        </w:rPr>
        <w:t> </w:t>
      </w:r>
      <w:r>
        <w:rPr>
          <w:color w:val="231F20"/>
          <w:w w:val="120"/>
        </w:rPr>
        <w:t>Ce</w:t>
      </w:r>
      <w:r>
        <w:rPr>
          <w:color w:val="231F20"/>
          <w:spacing w:val="-7"/>
          <w:w w:val="120"/>
        </w:rPr>
        <w:t> </w:t>
      </w:r>
      <w:r>
        <w:rPr>
          <w:color w:val="231F20"/>
          <w:w w:val="120"/>
        </w:rPr>
        <w:t>modèle</w:t>
      </w:r>
      <w:r>
        <w:rPr>
          <w:color w:val="231F20"/>
          <w:spacing w:val="-7"/>
          <w:w w:val="120"/>
        </w:rPr>
        <w:t> </w:t>
      </w:r>
      <w:r>
        <w:rPr>
          <w:color w:val="231F20"/>
          <w:w w:val="120"/>
        </w:rPr>
        <w:t>met</w:t>
      </w:r>
      <w:r>
        <w:rPr>
          <w:color w:val="231F20"/>
          <w:spacing w:val="-7"/>
          <w:w w:val="120"/>
        </w:rPr>
        <w:t> </w:t>
      </w:r>
      <w:r>
        <w:rPr>
          <w:color w:val="231F20"/>
          <w:w w:val="120"/>
        </w:rPr>
        <w:t>en</w:t>
      </w:r>
      <w:r>
        <w:rPr>
          <w:color w:val="231F20"/>
          <w:spacing w:val="-7"/>
          <w:w w:val="120"/>
        </w:rPr>
        <w:t> </w:t>
      </w:r>
      <w:r>
        <w:rPr>
          <w:color w:val="231F20"/>
          <w:w w:val="120"/>
        </w:rPr>
        <w:t>scène</w:t>
      </w:r>
      <w:r>
        <w:rPr>
          <w:color w:val="231F20"/>
          <w:spacing w:val="-7"/>
          <w:w w:val="120"/>
        </w:rPr>
        <w:t> </w:t>
      </w:r>
      <w:r>
        <w:rPr>
          <w:color w:val="231F20"/>
          <w:w w:val="120"/>
        </w:rPr>
        <w:t>trois</w:t>
      </w:r>
      <w:r>
        <w:rPr>
          <w:color w:val="231F20"/>
          <w:spacing w:val="-7"/>
          <w:w w:val="120"/>
        </w:rPr>
        <w:t> </w:t>
      </w:r>
      <w:r>
        <w:rPr>
          <w:color w:val="231F20"/>
          <w:w w:val="120"/>
        </w:rPr>
        <w:t>éléments</w:t>
      </w:r>
      <w:r>
        <w:rPr>
          <w:color w:val="231F20"/>
          <w:spacing w:val="-7"/>
          <w:w w:val="120"/>
        </w:rPr>
        <w:t> </w:t>
      </w:r>
      <w:r>
        <w:rPr>
          <w:color w:val="231F20"/>
          <w:w w:val="120"/>
        </w:rPr>
        <w:t>de</w:t>
      </w:r>
      <w:r>
        <w:rPr>
          <w:color w:val="231F20"/>
          <w:spacing w:val="-7"/>
          <w:w w:val="120"/>
        </w:rPr>
        <w:t> </w:t>
      </w:r>
      <w:r>
        <w:rPr>
          <w:color w:val="231F20"/>
          <w:w w:val="120"/>
        </w:rPr>
        <w:t>l’environnement</w:t>
      </w:r>
      <w:r>
        <w:rPr>
          <w:color w:val="231F20"/>
          <w:spacing w:val="-7"/>
          <w:w w:val="120"/>
        </w:rPr>
        <w:t> </w:t>
      </w:r>
      <w:r>
        <w:rPr>
          <w:color w:val="231F20"/>
          <w:w w:val="120"/>
        </w:rPr>
        <w:t>de travail</w:t>
      </w:r>
      <w:r>
        <w:rPr>
          <w:color w:val="231F20"/>
          <w:spacing w:val="-13"/>
          <w:w w:val="120"/>
        </w:rPr>
        <w:t> </w:t>
      </w:r>
      <w:r>
        <w:rPr>
          <w:color w:val="231F20"/>
          <w:w w:val="120"/>
        </w:rPr>
        <w:t>afin</w:t>
      </w:r>
      <w:r>
        <w:rPr>
          <w:color w:val="231F20"/>
          <w:spacing w:val="-13"/>
          <w:w w:val="120"/>
        </w:rPr>
        <w:t> </w:t>
      </w:r>
      <w:r>
        <w:rPr>
          <w:color w:val="231F20"/>
          <w:w w:val="120"/>
        </w:rPr>
        <w:t>d’expliquer</w:t>
      </w:r>
      <w:r>
        <w:rPr>
          <w:color w:val="231F20"/>
          <w:spacing w:val="-13"/>
          <w:w w:val="120"/>
        </w:rPr>
        <w:t> </w:t>
      </w:r>
      <w:r>
        <w:rPr>
          <w:color w:val="231F20"/>
          <w:w w:val="120"/>
        </w:rPr>
        <w:t>la</w:t>
      </w:r>
      <w:r>
        <w:rPr>
          <w:color w:val="231F20"/>
          <w:spacing w:val="-12"/>
          <w:w w:val="120"/>
        </w:rPr>
        <w:t> </w:t>
      </w:r>
      <w:r>
        <w:rPr>
          <w:color w:val="231F20"/>
          <w:w w:val="120"/>
        </w:rPr>
        <w:t>dynamique</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3"/>
          <w:w w:val="120"/>
        </w:rPr>
        <w:t> </w:t>
      </w:r>
      <w:r>
        <w:rPr>
          <w:color w:val="231F20"/>
          <w:w w:val="120"/>
        </w:rPr>
        <w:t>les</w:t>
      </w:r>
      <w:r>
        <w:rPr>
          <w:color w:val="231F20"/>
          <w:spacing w:val="-12"/>
          <w:w w:val="120"/>
        </w:rPr>
        <w:t> </w:t>
      </w:r>
      <w:r>
        <w:rPr>
          <w:color w:val="231F20"/>
          <w:w w:val="120"/>
        </w:rPr>
        <w:t>demandes</w:t>
      </w:r>
      <w:r>
        <w:rPr>
          <w:color w:val="231F20"/>
          <w:spacing w:val="-13"/>
          <w:w w:val="120"/>
        </w:rPr>
        <w:t> </w:t>
      </w:r>
      <w:r>
        <w:rPr>
          <w:color w:val="231F20"/>
          <w:w w:val="120"/>
        </w:rPr>
        <w:t>au</w:t>
      </w:r>
      <w:r>
        <w:rPr>
          <w:color w:val="231F20"/>
          <w:spacing w:val="-13"/>
          <w:w w:val="120"/>
        </w:rPr>
        <w:t> </w:t>
      </w:r>
      <w:r>
        <w:rPr>
          <w:color w:val="231F20"/>
          <w:w w:val="120"/>
        </w:rPr>
        <w:t>travail, le contrôle sur les tâches (latitude décisionnelle) et le soutien social </w:t>
      </w:r>
      <w:r>
        <w:rPr>
          <w:color w:val="231F20"/>
          <w:w w:val="115"/>
        </w:rPr>
        <w:t>(figure 2.7)14. Cette conception formule que la cooccurrence d’une forte </w:t>
      </w:r>
      <w:r>
        <w:rPr>
          <w:color w:val="231F20"/>
          <w:w w:val="120"/>
        </w:rPr>
        <w:t>demande</w:t>
      </w:r>
      <w:r>
        <w:rPr>
          <w:color w:val="231F20"/>
          <w:spacing w:val="-5"/>
          <w:w w:val="120"/>
        </w:rPr>
        <w:t> </w:t>
      </w:r>
      <w:r>
        <w:rPr>
          <w:color w:val="231F20"/>
          <w:w w:val="120"/>
        </w:rPr>
        <w:t>et</w:t>
      </w:r>
      <w:r>
        <w:rPr>
          <w:color w:val="231F20"/>
          <w:spacing w:val="-5"/>
          <w:w w:val="120"/>
        </w:rPr>
        <w:t> </w:t>
      </w:r>
      <w:r>
        <w:rPr>
          <w:color w:val="231F20"/>
          <w:w w:val="120"/>
        </w:rPr>
        <w:t>d’un</w:t>
      </w:r>
      <w:r>
        <w:rPr>
          <w:color w:val="231F20"/>
          <w:spacing w:val="-5"/>
          <w:w w:val="120"/>
        </w:rPr>
        <w:t> </w:t>
      </w:r>
      <w:r>
        <w:rPr>
          <w:color w:val="231F20"/>
          <w:w w:val="120"/>
        </w:rPr>
        <w:t>faible</w:t>
      </w:r>
      <w:r>
        <w:rPr>
          <w:color w:val="231F20"/>
          <w:spacing w:val="-5"/>
          <w:w w:val="120"/>
        </w:rPr>
        <w:t> </w:t>
      </w:r>
      <w:r>
        <w:rPr>
          <w:color w:val="231F20"/>
          <w:w w:val="120"/>
        </w:rPr>
        <w:t>contrôle</w:t>
      </w:r>
      <w:r>
        <w:rPr>
          <w:color w:val="231F20"/>
          <w:spacing w:val="-5"/>
          <w:w w:val="120"/>
        </w:rPr>
        <w:t> </w:t>
      </w:r>
      <w:r>
        <w:rPr>
          <w:color w:val="231F20"/>
          <w:w w:val="120"/>
        </w:rPr>
        <w:t>contribue</w:t>
      </w:r>
      <w:r>
        <w:rPr>
          <w:color w:val="231F20"/>
          <w:spacing w:val="-5"/>
          <w:w w:val="120"/>
        </w:rPr>
        <w:t> </w:t>
      </w:r>
      <w:r>
        <w:rPr>
          <w:color w:val="231F20"/>
          <w:w w:val="120"/>
        </w:rPr>
        <w:t>à</w:t>
      </w:r>
      <w:r>
        <w:rPr>
          <w:color w:val="231F20"/>
          <w:spacing w:val="-5"/>
          <w:w w:val="120"/>
        </w:rPr>
        <w:t> </w:t>
      </w:r>
      <w:r>
        <w:rPr>
          <w:color w:val="231F20"/>
          <w:w w:val="120"/>
        </w:rPr>
        <w:t>la</w:t>
      </w:r>
      <w:r>
        <w:rPr>
          <w:color w:val="231F20"/>
          <w:spacing w:val="-5"/>
          <w:w w:val="120"/>
        </w:rPr>
        <w:t> </w:t>
      </w:r>
      <w:r>
        <w:rPr>
          <w:color w:val="231F20"/>
          <w:w w:val="120"/>
        </w:rPr>
        <w:t>tension,</w:t>
      </w:r>
      <w:r>
        <w:rPr>
          <w:color w:val="231F20"/>
          <w:spacing w:val="-5"/>
          <w:w w:val="120"/>
        </w:rPr>
        <w:t> </w:t>
      </w:r>
      <w:r>
        <w:rPr>
          <w:color w:val="231F20"/>
          <w:w w:val="120"/>
        </w:rPr>
        <w:t>en</w:t>
      </w:r>
      <w:r>
        <w:rPr>
          <w:color w:val="231F20"/>
          <w:spacing w:val="-5"/>
          <w:w w:val="120"/>
        </w:rPr>
        <w:t> </w:t>
      </w:r>
      <w:r>
        <w:rPr>
          <w:color w:val="231F20"/>
          <w:w w:val="120"/>
        </w:rPr>
        <w:t>particulier</w:t>
      </w:r>
      <w:r>
        <w:rPr>
          <w:color w:val="231F20"/>
          <w:spacing w:val="-5"/>
          <w:w w:val="120"/>
        </w:rPr>
        <w:t> </w:t>
      </w:r>
      <w:r>
        <w:rPr>
          <w:color w:val="231F20"/>
          <w:w w:val="120"/>
        </w:rPr>
        <w:t>si elle se combine à une absence de soutien social. À l’inverse, une forte demande</w:t>
      </w:r>
      <w:r>
        <w:rPr>
          <w:color w:val="231F20"/>
          <w:w w:val="120"/>
        </w:rPr>
        <w:t> professionnelle</w:t>
      </w:r>
      <w:r>
        <w:rPr>
          <w:color w:val="231F20"/>
          <w:w w:val="120"/>
        </w:rPr>
        <w:t> est</w:t>
      </w:r>
      <w:r>
        <w:rPr>
          <w:color w:val="231F20"/>
          <w:w w:val="120"/>
        </w:rPr>
        <w:t> moins</w:t>
      </w:r>
      <w:r>
        <w:rPr>
          <w:color w:val="231F20"/>
          <w:w w:val="120"/>
        </w:rPr>
        <w:t> contraignante</w:t>
      </w:r>
      <w:r>
        <w:rPr>
          <w:color w:val="231F20"/>
          <w:w w:val="120"/>
        </w:rPr>
        <w:t> lorsqu’elle</w:t>
      </w:r>
      <w:r>
        <w:rPr>
          <w:color w:val="231F20"/>
          <w:w w:val="120"/>
        </w:rPr>
        <w:t> est conjuguée</w:t>
      </w:r>
      <w:r>
        <w:rPr>
          <w:color w:val="231F20"/>
          <w:spacing w:val="-1"/>
          <w:w w:val="120"/>
        </w:rPr>
        <w:t> </w:t>
      </w:r>
      <w:r>
        <w:rPr>
          <w:color w:val="231F20"/>
          <w:w w:val="120"/>
        </w:rPr>
        <w:t>à</w:t>
      </w:r>
      <w:r>
        <w:rPr>
          <w:color w:val="231F20"/>
          <w:spacing w:val="-1"/>
          <w:w w:val="120"/>
        </w:rPr>
        <w:t> </w:t>
      </w:r>
      <w:r>
        <w:rPr>
          <w:color w:val="231F20"/>
          <w:w w:val="120"/>
        </w:rPr>
        <w:t>beaucoup</w:t>
      </w:r>
      <w:r>
        <w:rPr>
          <w:color w:val="231F20"/>
          <w:spacing w:val="-1"/>
          <w:w w:val="120"/>
        </w:rPr>
        <w:t> </w:t>
      </w:r>
      <w:r>
        <w:rPr>
          <w:color w:val="231F20"/>
          <w:w w:val="120"/>
        </w:rPr>
        <w:t>de</w:t>
      </w:r>
      <w:r>
        <w:rPr>
          <w:color w:val="231F20"/>
          <w:spacing w:val="-1"/>
          <w:w w:val="120"/>
        </w:rPr>
        <w:t> </w:t>
      </w:r>
      <w:r>
        <w:rPr>
          <w:color w:val="231F20"/>
          <w:w w:val="120"/>
        </w:rPr>
        <w:t>contrôle</w:t>
      </w:r>
      <w:r>
        <w:rPr>
          <w:color w:val="231F20"/>
          <w:spacing w:val="-1"/>
          <w:w w:val="120"/>
        </w:rPr>
        <w:t> </w:t>
      </w:r>
      <w:r>
        <w:rPr>
          <w:color w:val="231F20"/>
          <w:w w:val="120"/>
        </w:rPr>
        <w:t>et</w:t>
      </w:r>
      <w:r>
        <w:rPr>
          <w:color w:val="231F20"/>
          <w:spacing w:val="-1"/>
          <w:w w:val="120"/>
        </w:rPr>
        <w:t> </w:t>
      </w:r>
      <w:r>
        <w:rPr>
          <w:color w:val="231F20"/>
          <w:w w:val="120"/>
        </w:rPr>
        <w:t>à</w:t>
      </w:r>
      <w:r>
        <w:rPr>
          <w:color w:val="231F20"/>
          <w:spacing w:val="-1"/>
          <w:w w:val="120"/>
        </w:rPr>
        <w:t> </w:t>
      </w:r>
      <w:r>
        <w:rPr>
          <w:color w:val="231F20"/>
          <w:w w:val="120"/>
        </w:rPr>
        <w:t>un</w:t>
      </w:r>
      <w:r>
        <w:rPr>
          <w:color w:val="231F20"/>
          <w:spacing w:val="-1"/>
          <w:w w:val="120"/>
        </w:rPr>
        <w:t> </w:t>
      </w:r>
      <w:r>
        <w:rPr>
          <w:color w:val="231F20"/>
          <w:w w:val="120"/>
        </w:rPr>
        <w:t>bon</w:t>
      </w:r>
      <w:r>
        <w:rPr>
          <w:color w:val="231F20"/>
          <w:spacing w:val="-1"/>
          <w:w w:val="120"/>
        </w:rPr>
        <w:t> </w:t>
      </w:r>
      <w:r>
        <w:rPr>
          <w:color w:val="231F20"/>
          <w:w w:val="120"/>
        </w:rPr>
        <w:t>soutien</w:t>
      </w:r>
      <w:r>
        <w:rPr>
          <w:color w:val="231F20"/>
          <w:spacing w:val="-1"/>
          <w:w w:val="120"/>
        </w:rPr>
        <w:t> </w:t>
      </w:r>
      <w:r>
        <w:rPr>
          <w:color w:val="231F20"/>
          <w:w w:val="120"/>
        </w:rPr>
        <w:t>social15.</w:t>
      </w:r>
    </w:p>
    <w:p>
      <w:pPr>
        <w:pStyle w:val="BodyText"/>
        <w:spacing w:line="307" w:lineRule="auto" w:before="79"/>
        <w:ind w:left="830" w:right="497" w:firstLine="250"/>
        <w:jc w:val="both"/>
      </w:pPr>
      <w:r>
        <w:rPr>
          <w:color w:val="231F20"/>
          <w:w w:val="120"/>
        </w:rPr>
        <w:t>Ce</w:t>
      </w:r>
      <w:r>
        <w:rPr>
          <w:color w:val="231F20"/>
          <w:spacing w:val="-13"/>
          <w:w w:val="120"/>
        </w:rPr>
        <w:t> </w:t>
      </w:r>
      <w:r>
        <w:rPr>
          <w:color w:val="231F20"/>
          <w:w w:val="120"/>
        </w:rPr>
        <w:t>modèle</w:t>
      </w:r>
      <w:r>
        <w:rPr>
          <w:color w:val="231F20"/>
          <w:spacing w:val="-13"/>
          <w:w w:val="120"/>
        </w:rPr>
        <w:t> </w:t>
      </w:r>
      <w:r>
        <w:rPr>
          <w:color w:val="231F20"/>
          <w:w w:val="120"/>
        </w:rPr>
        <w:t>stimule</w:t>
      </w:r>
      <w:r>
        <w:rPr>
          <w:color w:val="231F20"/>
          <w:spacing w:val="-13"/>
          <w:w w:val="120"/>
        </w:rPr>
        <w:t> </w:t>
      </w:r>
      <w:r>
        <w:rPr>
          <w:color w:val="231F20"/>
          <w:w w:val="120"/>
        </w:rPr>
        <w:t>beaucoup</w:t>
      </w:r>
      <w:r>
        <w:rPr>
          <w:color w:val="231F20"/>
          <w:spacing w:val="-12"/>
          <w:w w:val="120"/>
        </w:rPr>
        <w:t> </w:t>
      </w:r>
      <w:r>
        <w:rPr>
          <w:color w:val="231F20"/>
          <w:w w:val="120"/>
        </w:rPr>
        <w:t>la</w:t>
      </w:r>
      <w:r>
        <w:rPr>
          <w:color w:val="231F20"/>
          <w:spacing w:val="-13"/>
          <w:w w:val="120"/>
        </w:rPr>
        <w:t> </w:t>
      </w:r>
      <w:r>
        <w:rPr>
          <w:color w:val="231F20"/>
          <w:w w:val="120"/>
        </w:rPr>
        <w:t>recherche</w:t>
      </w:r>
      <w:r>
        <w:rPr>
          <w:color w:val="231F20"/>
          <w:spacing w:val="-13"/>
          <w:w w:val="120"/>
        </w:rPr>
        <w:t> </w:t>
      </w:r>
      <w:r>
        <w:rPr>
          <w:color w:val="231F20"/>
          <w:w w:val="120"/>
        </w:rPr>
        <w:t>depuis</w:t>
      </w:r>
      <w:r>
        <w:rPr>
          <w:color w:val="231F20"/>
          <w:spacing w:val="-13"/>
          <w:w w:val="120"/>
        </w:rPr>
        <w:t> </w:t>
      </w:r>
      <w:r>
        <w:rPr>
          <w:color w:val="231F20"/>
          <w:w w:val="120"/>
        </w:rPr>
        <w:t>plusieurs</w:t>
      </w:r>
      <w:r>
        <w:rPr>
          <w:color w:val="231F20"/>
          <w:spacing w:val="-12"/>
          <w:w w:val="120"/>
        </w:rPr>
        <w:t> </w:t>
      </w:r>
      <w:r>
        <w:rPr>
          <w:color w:val="231F20"/>
          <w:w w:val="120"/>
        </w:rPr>
        <w:t>années</w:t>
      </w:r>
      <w:r>
        <w:rPr>
          <w:color w:val="231F20"/>
          <w:spacing w:val="-13"/>
          <w:w w:val="120"/>
        </w:rPr>
        <w:t> </w:t>
      </w:r>
      <w:r>
        <w:rPr>
          <w:color w:val="231F20"/>
          <w:w w:val="120"/>
        </w:rPr>
        <w:t>et oriente</w:t>
      </w:r>
      <w:r>
        <w:rPr>
          <w:color w:val="231F20"/>
          <w:spacing w:val="-13"/>
          <w:w w:val="120"/>
        </w:rPr>
        <w:t> </w:t>
      </w:r>
      <w:r>
        <w:rPr>
          <w:color w:val="231F20"/>
          <w:w w:val="120"/>
        </w:rPr>
        <w:t>un</w:t>
      </w:r>
      <w:r>
        <w:rPr>
          <w:color w:val="231F20"/>
          <w:spacing w:val="-13"/>
          <w:w w:val="120"/>
        </w:rPr>
        <w:t> </w:t>
      </w:r>
      <w:r>
        <w:rPr>
          <w:color w:val="231F20"/>
          <w:w w:val="120"/>
        </w:rPr>
        <w:t>nombre</w:t>
      </w:r>
      <w:r>
        <w:rPr>
          <w:color w:val="231F20"/>
          <w:spacing w:val="-13"/>
          <w:w w:val="120"/>
        </w:rPr>
        <w:t> </w:t>
      </w:r>
      <w:r>
        <w:rPr>
          <w:color w:val="231F20"/>
          <w:w w:val="120"/>
        </w:rPr>
        <w:t>important</w:t>
      </w:r>
      <w:r>
        <w:rPr>
          <w:color w:val="231F20"/>
          <w:spacing w:val="-12"/>
          <w:w w:val="120"/>
        </w:rPr>
        <w:t> </w:t>
      </w:r>
      <w:r>
        <w:rPr>
          <w:color w:val="231F20"/>
          <w:w w:val="120"/>
        </w:rPr>
        <w:t>d’interventions</w:t>
      </w:r>
      <w:r>
        <w:rPr>
          <w:color w:val="231F20"/>
          <w:spacing w:val="-13"/>
          <w:w w:val="120"/>
        </w:rPr>
        <w:t> </w:t>
      </w:r>
      <w:r>
        <w:rPr>
          <w:color w:val="231F20"/>
          <w:w w:val="120"/>
        </w:rPr>
        <w:t>en</w:t>
      </w:r>
      <w:r>
        <w:rPr>
          <w:color w:val="231F20"/>
          <w:spacing w:val="-13"/>
          <w:w w:val="120"/>
        </w:rPr>
        <w:t> </w:t>
      </w:r>
      <w:r>
        <w:rPr>
          <w:color w:val="231F20"/>
          <w:w w:val="120"/>
        </w:rPr>
        <w:t>milieu</w:t>
      </w:r>
      <w:r>
        <w:rPr>
          <w:color w:val="231F20"/>
          <w:spacing w:val="-13"/>
          <w:w w:val="120"/>
        </w:rPr>
        <w:t> </w:t>
      </w:r>
      <w:r>
        <w:rPr>
          <w:color w:val="231F20"/>
          <w:w w:val="120"/>
        </w:rPr>
        <w:t>organisationnel. Il</w:t>
      </w:r>
      <w:r>
        <w:rPr>
          <w:color w:val="231F20"/>
          <w:spacing w:val="-8"/>
          <w:w w:val="120"/>
        </w:rPr>
        <w:t> </w:t>
      </w:r>
      <w:r>
        <w:rPr>
          <w:color w:val="231F20"/>
          <w:w w:val="120"/>
        </w:rPr>
        <w:t>a</w:t>
      </w:r>
      <w:r>
        <w:rPr>
          <w:color w:val="231F20"/>
          <w:spacing w:val="-8"/>
          <w:w w:val="120"/>
        </w:rPr>
        <w:t> </w:t>
      </w:r>
      <w:r>
        <w:rPr>
          <w:color w:val="231F20"/>
          <w:w w:val="120"/>
        </w:rPr>
        <w:t>contribué</w:t>
      </w:r>
      <w:r>
        <w:rPr>
          <w:color w:val="231F20"/>
          <w:spacing w:val="-8"/>
          <w:w w:val="120"/>
        </w:rPr>
        <w:t> </w:t>
      </w:r>
      <w:r>
        <w:rPr>
          <w:color w:val="231F20"/>
          <w:w w:val="120"/>
        </w:rPr>
        <w:t>à</w:t>
      </w:r>
      <w:r>
        <w:rPr>
          <w:color w:val="231F20"/>
          <w:spacing w:val="-8"/>
          <w:w w:val="120"/>
        </w:rPr>
        <w:t> </w:t>
      </w:r>
      <w:r>
        <w:rPr>
          <w:color w:val="231F20"/>
          <w:w w:val="120"/>
        </w:rPr>
        <w:t>documenter</w:t>
      </w:r>
      <w:r>
        <w:rPr>
          <w:color w:val="231F20"/>
          <w:spacing w:val="-8"/>
          <w:w w:val="120"/>
        </w:rPr>
        <w:t> </w:t>
      </w:r>
      <w:r>
        <w:rPr>
          <w:color w:val="231F20"/>
          <w:w w:val="120"/>
        </w:rPr>
        <w:t>plus</w:t>
      </w:r>
      <w:r>
        <w:rPr>
          <w:color w:val="231F20"/>
          <w:spacing w:val="-8"/>
          <w:w w:val="120"/>
        </w:rPr>
        <w:t> </w:t>
      </w:r>
      <w:r>
        <w:rPr>
          <w:color w:val="231F20"/>
          <w:w w:val="120"/>
        </w:rPr>
        <w:t>précisément</w:t>
      </w:r>
      <w:r>
        <w:rPr>
          <w:color w:val="231F20"/>
          <w:spacing w:val="-8"/>
          <w:w w:val="120"/>
        </w:rPr>
        <w:t> </w:t>
      </w:r>
      <w:r>
        <w:rPr>
          <w:color w:val="231F20"/>
          <w:w w:val="120"/>
        </w:rPr>
        <w:t>l’importance</w:t>
      </w:r>
      <w:r>
        <w:rPr>
          <w:color w:val="231F20"/>
          <w:spacing w:val="-8"/>
          <w:w w:val="120"/>
        </w:rPr>
        <w:t> </w:t>
      </w:r>
      <w:r>
        <w:rPr>
          <w:color w:val="231F20"/>
          <w:w w:val="120"/>
        </w:rPr>
        <w:t>des</w:t>
      </w:r>
      <w:r>
        <w:rPr>
          <w:color w:val="231F20"/>
          <w:spacing w:val="-8"/>
          <w:w w:val="120"/>
        </w:rPr>
        <w:t> </w:t>
      </w:r>
      <w:r>
        <w:rPr>
          <w:color w:val="231F20"/>
          <w:w w:val="120"/>
        </w:rPr>
        <w:t>facteurs sociaux</w:t>
      </w:r>
      <w:r>
        <w:rPr>
          <w:color w:val="231F20"/>
          <w:spacing w:val="-7"/>
          <w:w w:val="120"/>
        </w:rPr>
        <w:t> </w:t>
      </w:r>
      <w:r>
        <w:rPr>
          <w:color w:val="231F20"/>
          <w:w w:val="120"/>
        </w:rPr>
        <w:t>et</w:t>
      </w:r>
      <w:r>
        <w:rPr>
          <w:color w:val="231F20"/>
          <w:spacing w:val="-7"/>
          <w:w w:val="120"/>
        </w:rPr>
        <w:t> </w:t>
      </w:r>
      <w:r>
        <w:rPr>
          <w:color w:val="231F20"/>
          <w:w w:val="120"/>
        </w:rPr>
        <w:t>psychologiques</w:t>
      </w:r>
      <w:r>
        <w:rPr>
          <w:color w:val="231F20"/>
          <w:spacing w:val="-6"/>
          <w:w w:val="120"/>
        </w:rPr>
        <w:t> </w:t>
      </w:r>
      <w:r>
        <w:rPr>
          <w:color w:val="231F20"/>
          <w:w w:val="120"/>
        </w:rPr>
        <w:t>dans</w:t>
      </w:r>
      <w:r>
        <w:rPr>
          <w:color w:val="231F20"/>
          <w:spacing w:val="-7"/>
          <w:w w:val="120"/>
        </w:rPr>
        <w:t> </w:t>
      </w:r>
      <w:r>
        <w:rPr>
          <w:color w:val="231F20"/>
          <w:w w:val="120"/>
        </w:rPr>
        <w:t>la</w:t>
      </w:r>
      <w:r>
        <w:rPr>
          <w:color w:val="231F20"/>
          <w:spacing w:val="-7"/>
          <w:w w:val="120"/>
        </w:rPr>
        <w:t> </w:t>
      </w:r>
      <w:r>
        <w:rPr>
          <w:color w:val="231F20"/>
          <w:w w:val="120"/>
        </w:rPr>
        <w:t>structure</w:t>
      </w:r>
      <w:r>
        <w:rPr>
          <w:color w:val="231F20"/>
          <w:spacing w:val="-6"/>
          <w:w w:val="120"/>
        </w:rPr>
        <w:t> </w:t>
      </w:r>
      <w:r>
        <w:rPr>
          <w:color w:val="231F20"/>
          <w:w w:val="120"/>
        </w:rPr>
        <w:t>des</w:t>
      </w:r>
      <w:r>
        <w:rPr>
          <w:color w:val="231F20"/>
          <w:spacing w:val="-7"/>
          <w:w w:val="120"/>
        </w:rPr>
        <w:t> </w:t>
      </w:r>
      <w:r>
        <w:rPr>
          <w:color w:val="231F20"/>
          <w:w w:val="120"/>
        </w:rPr>
        <w:t>emplois</w:t>
      </w:r>
      <w:r>
        <w:rPr>
          <w:color w:val="231F20"/>
          <w:spacing w:val="-6"/>
          <w:w w:val="120"/>
        </w:rPr>
        <w:t> </w:t>
      </w:r>
      <w:r>
        <w:rPr>
          <w:color w:val="231F20"/>
          <w:w w:val="120"/>
        </w:rPr>
        <w:t>actuels</w:t>
      </w:r>
      <w:r>
        <w:rPr>
          <w:color w:val="231F20"/>
          <w:spacing w:val="-7"/>
          <w:w w:val="120"/>
        </w:rPr>
        <w:t> </w:t>
      </w:r>
      <w:r>
        <w:rPr>
          <w:color w:val="231F20"/>
          <w:w w:val="120"/>
        </w:rPr>
        <w:t>en</w:t>
      </w:r>
      <w:r>
        <w:rPr>
          <w:color w:val="231F20"/>
          <w:spacing w:val="-7"/>
          <w:w w:val="120"/>
        </w:rPr>
        <w:t> </w:t>
      </w:r>
      <w:r>
        <w:rPr>
          <w:color w:val="231F20"/>
          <w:spacing w:val="-4"/>
          <w:w w:val="120"/>
        </w:rPr>
        <w:t>tant</w:t>
      </w:r>
    </w:p>
    <w:p>
      <w:pPr>
        <w:pStyle w:val="BodyText"/>
        <w:rPr>
          <w:sz w:val="20"/>
        </w:rPr>
      </w:pPr>
    </w:p>
    <w:p>
      <w:pPr>
        <w:pStyle w:val="BodyText"/>
        <w:spacing w:before="7"/>
        <w:rPr>
          <w:sz w:val="10"/>
        </w:rPr>
      </w:pPr>
      <w:r>
        <w:rPr/>
        <w:pict>
          <v:shape style="position:absolute;margin-left:62.5pt;margin-top:7.317571pt;width:287.5pt;height:.1pt;mso-position-horizontal-relative:page;mso-position-vertical-relative:paragraph;z-index:-15690752;mso-wrap-distance-left:0;mso-wrap-distance-right:0" id="docshape552" coordorigin="1250,146" coordsize="5750,0" path="m1250,146l7000,146e" filled="false" stroked="true" strokeweight=".25pt" strokecolor="#231f20">
            <v:path arrowok="t"/>
            <v:stroke dashstyle="shortdot"/>
            <w10:wrap type="topAndBottom"/>
          </v:shape>
        </w:pict>
      </w:r>
    </w:p>
    <w:p>
      <w:pPr>
        <w:pStyle w:val="ListParagraph"/>
        <w:numPr>
          <w:ilvl w:val="0"/>
          <w:numId w:val="18"/>
        </w:numPr>
        <w:tabs>
          <w:tab w:pos="830" w:val="left" w:leader="none"/>
        </w:tabs>
        <w:spacing w:line="295" w:lineRule="auto" w:before="135" w:after="0"/>
        <w:ind w:left="829" w:right="497" w:hanging="406"/>
        <w:jc w:val="both"/>
        <w:rPr>
          <w:rFonts w:ascii="Arial" w:hAnsi="Arial"/>
          <w:sz w:val="12"/>
        </w:rPr>
      </w:pPr>
      <w:r>
        <w:rPr>
          <w:rFonts w:ascii="Arial" w:hAnsi="Arial"/>
          <w:color w:val="231F20"/>
          <w:w w:val="95"/>
          <w:sz w:val="12"/>
        </w:rPr>
        <w:t>Van Wassenhove, W. (2014). Modèle de Karasek. Dans P. Zawieja et F. Guarnieri (dir.), </w:t>
      </w:r>
      <w:r>
        <w:rPr>
          <w:rFonts w:ascii="Arial" w:hAnsi="Arial"/>
          <w:i/>
          <w:color w:val="231F20"/>
          <w:w w:val="95"/>
          <w:sz w:val="12"/>
        </w:rPr>
        <w:t>Dictionnaire des risques</w:t>
      </w:r>
      <w:r>
        <w:rPr>
          <w:rFonts w:ascii="Arial" w:hAnsi="Arial"/>
          <w:i/>
          <w:color w:val="231F20"/>
          <w:spacing w:val="40"/>
          <w:sz w:val="12"/>
        </w:rPr>
        <w:t> </w:t>
      </w:r>
      <w:r>
        <w:rPr>
          <w:rFonts w:ascii="Arial" w:hAnsi="Arial"/>
          <w:i/>
          <w:color w:val="231F20"/>
          <w:sz w:val="12"/>
        </w:rPr>
        <w:t>psychosociaux</w:t>
      </w:r>
      <w:r>
        <w:rPr>
          <w:rFonts w:ascii="Arial" w:hAnsi="Arial"/>
          <w:color w:val="231F20"/>
          <w:sz w:val="12"/>
        </w:rPr>
        <w:t>,</w:t>
      </w:r>
      <w:r>
        <w:rPr>
          <w:rFonts w:ascii="Arial" w:hAnsi="Arial"/>
          <w:color w:val="231F20"/>
          <w:spacing w:val="-2"/>
          <w:sz w:val="12"/>
        </w:rPr>
        <w:t> </w:t>
      </w:r>
      <w:r>
        <w:rPr>
          <w:rFonts w:ascii="Arial" w:hAnsi="Arial"/>
          <w:color w:val="231F20"/>
          <w:sz w:val="12"/>
        </w:rPr>
        <w:t>Paris,</w:t>
      </w:r>
      <w:r>
        <w:rPr>
          <w:rFonts w:ascii="Arial" w:hAnsi="Arial"/>
          <w:color w:val="231F20"/>
          <w:spacing w:val="-2"/>
          <w:sz w:val="12"/>
        </w:rPr>
        <w:t> </w:t>
      </w:r>
      <w:r>
        <w:rPr>
          <w:rFonts w:ascii="Arial" w:hAnsi="Arial"/>
          <w:color w:val="231F20"/>
          <w:sz w:val="12"/>
        </w:rPr>
        <w:t>Le</w:t>
      </w:r>
      <w:r>
        <w:rPr>
          <w:rFonts w:ascii="Arial" w:hAnsi="Arial"/>
          <w:color w:val="231F20"/>
          <w:spacing w:val="-2"/>
          <w:sz w:val="12"/>
        </w:rPr>
        <w:t> </w:t>
      </w:r>
      <w:r>
        <w:rPr>
          <w:rFonts w:ascii="Arial" w:hAnsi="Arial"/>
          <w:color w:val="231F20"/>
          <w:sz w:val="12"/>
        </w:rPr>
        <w:t>Seuil,</w:t>
      </w:r>
      <w:r>
        <w:rPr>
          <w:rFonts w:ascii="Arial" w:hAnsi="Arial"/>
          <w:color w:val="231F20"/>
          <w:spacing w:val="-2"/>
          <w:sz w:val="12"/>
        </w:rPr>
        <w:t> </w:t>
      </w:r>
      <w:r>
        <w:rPr>
          <w:rFonts w:ascii="Arial" w:hAnsi="Arial"/>
          <w:color w:val="231F20"/>
          <w:sz w:val="12"/>
        </w:rPr>
        <w:t>p.</w:t>
      </w:r>
      <w:r>
        <w:rPr>
          <w:rFonts w:ascii="Arial" w:hAnsi="Arial"/>
          <w:color w:val="231F20"/>
          <w:spacing w:val="-2"/>
          <w:sz w:val="12"/>
        </w:rPr>
        <w:t> </w:t>
      </w:r>
      <w:r>
        <w:rPr>
          <w:rFonts w:ascii="Arial" w:hAnsi="Arial"/>
          <w:color w:val="231F20"/>
          <w:sz w:val="12"/>
        </w:rPr>
        <w:t>170-174.</w:t>
      </w:r>
    </w:p>
    <w:p>
      <w:pPr>
        <w:pStyle w:val="ListParagraph"/>
        <w:numPr>
          <w:ilvl w:val="0"/>
          <w:numId w:val="18"/>
        </w:numPr>
        <w:tabs>
          <w:tab w:pos="830" w:val="left" w:leader="none"/>
        </w:tabs>
        <w:spacing w:line="240" w:lineRule="auto" w:before="0" w:after="0"/>
        <w:ind w:left="829" w:right="0" w:hanging="406"/>
        <w:jc w:val="both"/>
        <w:rPr>
          <w:rFonts w:ascii="Arial"/>
          <w:sz w:val="12"/>
        </w:rPr>
      </w:pPr>
      <w:r>
        <w:rPr>
          <w:rFonts w:ascii="Arial"/>
          <w:color w:val="231F20"/>
          <w:sz w:val="12"/>
        </w:rPr>
        <w:t>Karasek,</w:t>
      </w:r>
      <w:r>
        <w:rPr>
          <w:rFonts w:ascii="Arial"/>
          <w:color w:val="231F20"/>
          <w:spacing w:val="11"/>
          <w:sz w:val="12"/>
        </w:rPr>
        <w:t> </w:t>
      </w:r>
      <w:r>
        <w:rPr>
          <w:rFonts w:ascii="Arial"/>
          <w:color w:val="231F20"/>
          <w:sz w:val="12"/>
        </w:rPr>
        <w:t>R.</w:t>
      </w:r>
      <w:r>
        <w:rPr>
          <w:rFonts w:ascii="Arial"/>
          <w:color w:val="231F20"/>
          <w:spacing w:val="10"/>
          <w:sz w:val="12"/>
        </w:rPr>
        <w:t> </w:t>
      </w:r>
      <w:r>
        <w:rPr>
          <w:rFonts w:ascii="Arial"/>
          <w:color w:val="231F20"/>
          <w:sz w:val="12"/>
        </w:rPr>
        <w:t>A.</w:t>
      </w:r>
      <w:r>
        <w:rPr>
          <w:rFonts w:ascii="Arial"/>
          <w:color w:val="231F20"/>
          <w:spacing w:val="11"/>
          <w:sz w:val="12"/>
        </w:rPr>
        <w:t> </w:t>
      </w:r>
      <w:r>
        <w:rPr>
          <w:rFonts w:ascii="Arial"/>
          <w:color w:val="231F20"/>
          <w:sz w:val="12"/>
        </w:rPr>
        <w:t>(1979).</w:t>
      </w:r>
      <w:r>
        <w:rPr>
          <w:rFonts w:ascii="Arial"/>
          <w:color w:val="231F20"/>
          <w:spacing w:val="11"/>
          <w:sz w:val="12"/>
        </w:rPr>
        <w:t> </w:t>
      </w:r>
      <w:r>
        <w:rPr>
          <w:rFonts w:ascii="Arial"/>
          <w:color w:val="231F20"/>
          <w:sz w:val="12"/>
        </w:rPr>
        <w:t>Job</w:t>
      </w:r>
      <w:r>
        <w:rPr>
          <w:rFonts w:ascii="Arial"/>
          <w:color w:val="231F20"/>
          <w:spacing w:val="11"/>
          <w:sz w:val="12"/>
        </w:rPr>
        <w:t> </w:t>
      </w:r>
      <w:r>
        <w:rPr>
          <w:rFonts w:ascii="Arial"/>
          <w:color w:val="231F20"/>
          <w:sz w:val="12"/>
        </w:rPr>
        <w:t>demands,</w:t>
      </w:r>
      <w:r>
        <w:rPr>
          <w:rFonts w:ascii="Arial"/>
          <w:color w:val="231F20"/>
          <w:spacing w:val="11"/>
          <w:sz w:val="12"/>
        </w:rPr>
        <w:t> </w:t>
      </w:r>
      <w:r>
        <w:rPr>
          <w:rFonts w:ascii="Arial"/>
          <w:color w:val="231F20"/>
          <w:sz w:val="12"/>
        </w:rPr>
        <w:t>job</w:t>
      </w:r>
      <w:r>
        <w:rPr>
          <w:rFonts w:ascii="Arial"/>
          <w:color w:val="231F20"/>
          <w:spacing w:val="11"/>
          <w:sz w:val="12"/>
        </w:rPr>
        <w:t> </w:t>
      </w:r>
      <w:r>
        <w:rPr>
          <w:rFonts w:ascii="Arial"/>
          <w:color w:val="231F20"/>
          <w:sz w:val="12"/>
        </w:rPr>
        <w:t>decision</w:t>
      </w:r>
      <w:r>
        <w:rPr>
          <w:rFonts w:ascii="Arial"/>
          <w:color w:val="231F20"/>
          <w:spacing w:val="11"/>
          <w:sz w:val="12"/>
        </w:rPr>
        <w:t> </w:t>
      </w:r>
      <w:r>
        <w:rPr>
          <w:rFonts w:ascii="Arial"/>
          <w:color w:val="231F20"/>
          <w:sz w:val="12"/>
        </w:rPr>
        <w:t>latitude</w:t>
      </w:r>
      <w:r>
        <w:rPr>
          <w:rFonts w:ascii="Arial"/>
          <w:color w:val="231F20"/>
          <w:spacing w:val="11"/>
          <w:sz w:val="12"/>
        </w:rPr>
        <w:t> </w:t>
      </w:r>
      <w:r>
        <w:rPr>
          <w:rFonts w:ascii="Arial"/>
          <w:color w:val="231F20"/>
          <w:sz w:val="12"/>
        </w:rPr>
        <w:t>and</w:t>
      </w:r>
      <w:r>
        <w:rPr>
          <w:rFonts w:ascii="Arial"/>
          <w:color w:val="231F20"/>
          <w:spacing w:val="11"/>
          <w:sz w:val="12"/>
        </w:rPr>
        <w:t> </w:t>
      </w:r>
      <w:r>
        <w:rPr>
          <w:rFonts w:ascii="Arial"/>
          <w:color w:val="231F20"/>
          <w:sz w:val="12"/>
        </w:rPr>
        <w:t>mental</w:t>
      </w:r>
      <w:r>
        <w:rPr>
          <w:rFonts w:ascii="Arial"/>
          <w:color w:val="231F20"/>
          <w:spacing w:val="11"/>
          <w:sz w:val="12"/>
        </w:rPr>
        <w:t> </w:t>
      </w:r>
      <w:r>
        <w:rPr>
          <w:rFonts w:ascii="Arial"/>
          <w:color w:val="231F20"/>
          <w:sz w:val="12"/>
        </w:rPr>
        <w:t>strain</w:t>
      </w:r>
      <w:r>
        <w:rPr>
          <w:rFonts w:ascii="Arial"/>
          <w:color w:val="231F20"/>
          <w:spacing w:val="-17"/>
          <w:sz w:val="12"/>
        </w:rPr>
        <w:t> </w:t>
      </w:r>
      <w:r>
        <w:rPr>
          <w:rFonts w:ascii="Arial"/>
          <w:color w:val="231F20"/>
          <w:sz w:val="12"/>
        </w:rPr>
        <w:t>:</w:t>
      </w:r>
      <w:r>
        <w:rPr>
          <w:rFonts w:ascii="Arial"/>
          <w:color w:val="231F20"/>
          <w:spacing w:val="11"/>
          <w:sz w:val="12"/>
        </w:rPr>
        <w:t> </w:t>
      </w:r>
      <w:r>
        <w:rPr>
          <w:rFonts w:ascii="Arial"/>
          <w:color w:val="231F20"/>
          <w:sz w:val="12"/>
        </w:rPr>
        <w:t>Implications</w:t>
      </w:r>
      <w:r>
        <w:rPr>
          <w:rFonts w:ascii="Arial"/>
          <w:color w:val="231F20"/>
          <w:spacing w:val="11"/>
          <w:sz w:val="12"/>
        </w:rPr>
        <w:t> </w:t>
      </w:r>
      <w:r>
        <w:rPr>
          <w:rFonts w:ascii="Arial"/>
          <w:color w:val="231F20"/>
          <w:sz w:val="12"/>
        </w:rPr>
        <w:t>for</w:t>
      </w:r>
      <w:r>
        <w:rPr>
          <w:rFonts w:ascii="Arial"/>
          <w:color w:val="231F20"/>
          <w:spacing w:val="11"/>
          <w:sz w:val="12"/>
        </w:rPr>
        <w:t> </w:t>
      </w:r>
      <w:r>
        <w:rPr>
          <w:rFonts w:ascii="Arial"/>
          <w:color w:val="231F20"/>
          <w:sz w:val="12"/>
        </w:rPr>
        <w:t>job</w:t>
      </w:r>
      <w:r>
        <w:rPr>
          <w:rFonts w:ascii="Arial"/>
          <w:color w:val="231F20"/>
          <w:spacing w:val="11"/>
          <w:sz w:val="12"/>
        </w:rPr>
        <w:t> </w:t>
      </w:r>
      <w:r>
        <w:rPr>
          <w:rFonts w:ascii="Arial"/>
          <w:color w:val="231F20"/>
          <w:spacing w:val="-2"/>
          <w:sz w:val="12"/>
        </w:rPr>
        <w:t>design,</w:t>
      </w:r>
    </w:p>
    <w:p>
      <w:pPr>
        <w:spacing w:before="32"/>
        <w:ind w:left="829" w:right="0" w:firstLine="0"/>
        <w:jc w:val="both"/>
        <w:rPr>
          <w:rFonts w:ascii="Arial"/>
          <w:sz w:val="12"/>
        </w:rPr>
      </w:pPr>
      <w:r>
        <w:rPr>
          <w:rFonts w:ascii="Arial"/>
          <w:i/>
          <w:color w:val="231F20"/>
          <w:w w:val="95"/>
          <w:sz w:val="12"/>
        </w:rPr>
        <w:t>Administration</w:t>
      </w:r>
      <w:r>
        <w:rPr>
          <w:rFonts w:ascii="Arial"/>
          <w:i/>
          <w:color w:val="231F20"/>
          <w:spacing w:val="15"/>
          <w:sz w:val="12"/>
        </w:rPr>
        <w:t> </w:t>
      </w:r>
      <w:r>
        <w:rPr>
          <w:rFonts w:ascii="Arial"/>
          <w:i/>
          <w:color w:val="231F20"/>
          <w:w w:val="95"/>
          <w:sz w:val="12"/>
        </w:rPr>
        <w:t>Sciences</w:t>
      </w:r>
      <w:r>
        <w:rPr>
          <w:rFonts w:ascii="Arial"/>
          <w:i/>
          <w:color w:val="231F20"/>
          <w:spacing w:val="15"/>
          <w:sz w:val="12"/>
        </w:rPr>
        <w:t> </w:t>
      </w:r>
      <w:r>
        <w:rPr>
          <w:rFonts w:ascii="Arial"/>
          <w:i/>
          <w:color w:val="231F20"/>
          <w:w w:val="95"/>
          <w:sz w:val="12"/>
        </w:rPr>
        <w:t>Quaterly</w:t>
      </w:r>
      <w:r>
        <w:rPr>
          <w:rFonts w:ascii="Arial"/>
          <w:color w:val="231F20"/>
          <w:w w:val="95"/>
          <w:sz w:val="12"/>
        </w:rPr>
        <w:t>,</w:t>
      </w:r>
      <w:r>
        <w:rPr>
          <w:rFonts w:ascii="Arial"/>
          <w:color w:val="231F20"/>
          <w:spacing w:val="15"/>
          <w:sz w:val="12"/>
        </w:rPr>
        <w:t> </w:t>
      </w:r>
      <w:r>
        <w:rPr>
          <w:rFonts w:ascii="Arial"/>
          <w:i/>
          <w:color w:val="231F20"/>
          <w:w w:val="95"/>
          <w:sz w:val="12"/>
        </w:rPr>
        <w:t>24</w:t>
      </w:r>
      <w:r>
        <w:rPr>
          <w:rFonts w:ascii="Arial"/>
          <w:color w:val="231F20"/>
          <w:w w:val="95"/>
          <w:sz w:val="12"/>
        </w:rPr>
        <w:t>,</w:t>
      </w:r>
      <w:r>
        <w:rPr>
          <w:rFonts w:ascii="Arial"/>
          <w:color w:val="231F20"/>
          <w:spacing w:val="15"/>
          <w:sz w:val="12"/>
        </w:rPr>
        <w:t> </w:t>
      </w:r>
      <w:r>
        <w:rPr>
          <w:rFonts w:ascii="Arial"/>
          <w:color w:val="231F20"/>
          <w:w w:val="95"/>
          <w:sz w:val="12"/>
        </w:rPr>
        <w:t>285-</w:t>
      </w:r>
      <w:r>
        <w:rPr>
          <w:rFonts w:ascii="Arial"/>
          <w:color w:val="231F20"/>
          <w:spacing w:val="-4"/>
          <w:w w:val="95"/>
          <w:sz w:val="12"/>
        </w:rPr>
        <w:t>308.</w:t>
      </w:r>
    </w:p>
    <w:p>
      <w:pPr>
        <w:pStyle w:val="ListParagraph"/>
        <w:numPr>
          <w:ilvl w:val="0"/>
          <w:numId w:val="18"/>
        </w:numPr>
        <w:tabs>
          <w:tab w:pos="830" w:val="left" w:leader="none"/>
        </w:tabs>
        <w:spacing w:line="295" w:lineRule="auto" w:before="32" w:after="0"/>
        <w:ind w:left="829" w:right="495" w:hanging="406"/>
        <w:jc w:val="both"/>
        <w:rPr>
          <w:rFonts w:ascii="Arial" w:hAnsi="Arial"/>
          <w:sz w:val="12"/>
        </w:rPr>
      </w:pPr>
      <w:r>
        <w:rPr>
          <w:rFonts w:ascii="Arial" w:hAnsi="Arial"/>
          <w:color w:val="231F20"/>
          <w:sz w:val="12"/>
        </w:rPr>
        <w:t>Gosselin, E., Dolan, S. et Morin, D. (2017). </w:t>
      </w:r>
      <w:r>
        <w:rPr>
          <w:rFonts w:ascii="Arial" w:hAnsi="Arial"/>
          <w:i/>
          <w:color w:val="231F20"/>
          <w:sz w:val="12"/>
        </w:rPr>
        <w:t>Aspects humains des organisations</w:t>
      </w:r>
      <w:r>
        <w:rPr>
          <w:rFonts w:ascii="Arial" w:hAnsi="Arial"/>
          <w:i/>
          <w:color w:val="231F20"/>
          <w:spacing w:val="-9"/>
          <w:sz w:val="12"/>
        </w:rPr>
        <w:t> </w:t>
      </w:r>
      <w:r>
        <w:rPr>
          <w:rFonts w:ascii="Arial" w:hAnsi="Arial"/>
          <w:i/>
          <w:color w:val="231F20"/>
          <w:sz w:val="12"/>
        </w:rPr>
        <w:t>: psychologie du travail et</w:t>
      </w:r>
      <w:r>
        <w:rPr>
          <w:rFonts w:ascii="Arial" w:hAnsi="Arial"/>
          <w:i/>
          <w:color w:val="231F20"/>
          <w:spacing w:val="40"/>
          <w:sz w:val="12"/>
        </w:rPr>
        <w:t> </w:t>
      </w:r>
      <w:r>
        <w:rPr>
          <w:rFonts w:ascii="Arial" w:hAnsi="Arial"/>
          <w:i/>
          <w:color w:val="231F20"/>
          <w:sz w:val="12"/>
        </w:rPr>
        <w:t>comportement</w:t>
      </w:r>
      <w:r>
        <w:rPr>
          <w:rFonts w:ascii="Arial" w:hAnsi="Arial"/>
          <w:i/>
          <w:color w:val="231F20"/>
          <w:spacing w:val="-8"/>
          <w:sz w:val="12"/>
        </w:rPr>
        <w:t> </w:t>
      </w:r>
      <w:r>
        <w:rPr>
          <w:rFonts w:ascii="Arial" w:hAnsi="Arial"/>
          <w:i/>
          <w:color w:val="231F20"/>
          <w:sz w:val="12"/>
        </w:rPr>
        <w:t>organisationnel</w:t>
      </w:r>
      <w:r>
        <w:rPr>
          <w:rFonts w:ascii="Arial" w:hAnsi="Arial"/>
          <w:color w:val="231F20"/>
          <w:sz w:val="12"/>
        </w:rPr>
        <w:t>, Montréal, Chenelière Éducation</w:t>
      </w:r>
      <w:r>
        <w:rPr>
          <w:rFonts w:ascii="Arial" w:hAnsi="Arial"/>
          <w:color w:val="231F20"/>
          <w:spacing w:val="-9"/>
          <w:sz w:val="12"/>
        </w:rPr>
        <w:t> </w:t>
      </w:r>
      <w:r>
        <w:rPr>
          <w:rFonts w:ascii="Arial" w:hAnsi="Arial"/>
          <w:color w:val="231F20"/>
          <w:sz w:val="12"/>
        </w:rPr>
        <w:t>; Karasek, R. et T. Theorell (1990). </w:t>
      </w:r>
      <w:r>
        <w:rPr>
          <w:rFonts w:ascii="Arial" w:hAnsi="Arial"/>
          <w:i/>
          <w:color w:val="231F20"/>
          <w:sz w:val="12"/>
        </w:rPr>
        <w:t>Healthy</w:t>
      </w:r>
      <w:r>
        <w:rPr>
          <w:rFonts w:ascii="Arial" w:hAnsi="Arial"/>
          <w:i/>
          <w:color w:val="231F20"/>
          <w:spacing w:val="40"/>
          <w:sz w:val="12"/>
        </w:rPr>
        <w:t> </w:t>
      </w:r>
      <w:r>
        <w:rPr>
          <w:rFonts w:ascii="Arial" w:hAnsi="Arial"/>
          <w:i/>
          <w:color w:val="231F20"/>
          <w:sz w:val="12"/>
        </w:rPr>
        <w:t>work: stress, productivity, and the reconstruction of working life</w:t>
      </w:r>
      <w:r>
        <w:rPr>
          <w:rFonts w:ascii="Arial" w:hAnsi="Arial"/>
          <w:color w:val="231F20"/>
          <w:sz w:val="12"/>
        </w:rPr>
        <w:t>. New York, Basic Books.</w:t>
      </w:r>
    </w:p>
    <w:p>
      <w:pPr>
        <w:spacing w:after="0" w:line="295" w:lineRule="auto"/>
        <w:jc w:val="both"/>
        <w:rPr>
          <w:rFonts w:ascii="Arial" w:hAnsi="Arial"/>
          <w:sz w:val="12"/>
        </w:rPr>
        <w:sectPr>
          <w:footerReference w:type="default" r:id="rId158"/>
          <w:pgSz w:w="8640" w:h="12960"/>
          <w:pgMar w:footer="424" w:header="0" w:top="520" w:bottom="620" w:left="420" w:right="1140"/>
        </w:sectPr>
      </w:pPr>
    </w:p>
    <w:p>
      <w:pPr>
        <w:spacing w:before="118"/>
        <w:ind w:left="2396" w:right="0" w:firstLine="0"/>
        <w:jc w:val="left"/>
        <w:rPr>
          <w:rFonts w:ascii="Arial" w:hAnsi="Arial"/>
          <w:sz w:val="14"/>
        </w:rPr>
      </w:pPr>
      <w:bookmarkStart w:name="Figure 2.7 / Modèle DCS de Karasek et Th" w:id="57"/>
      <w:bookmarkEnd w:id="57"/>
      <w:r>
        <w:rPr/>
      </w:r>
      <w:bookmarkStart w:name="_bookmark24" w:id="58"/>
      <w:bookmarkEnd w:id="58"/>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4"/>
        <w:jc w:val="both"/>
      </w:pPr>
      <w:r>
        <w:rPr>
          <w:color w:val="231F20"/>
          <w:w w:val="115"/>
        </w:rPr>
        <w:t>que facteurs de risque associés aux maladies et aux troubles psycholo- giques liés au travail. On a réussi à le vérifier de façon empirique et à établir une relation claire entre des conditions de travail défavorables (en particulier une faible latitude décisionnelle) et la coronaropathie16.</w:t>
      </w:r>
    </w:p>
    <w:p>
      <w:pPr>
        <w:pStyle w:val="BodyText"/>
        <w:spacing w:line="307" w:lineRule="auto" w:before="79"/>
        <w:ind w:left="1220" w:right="103" w:firstLine="250"/>
        <w:jc w:val="both"/>
      </w:pPr>
      <w:r>
        <w:rPr>
          <w:color w:val="231F20"/>
          <w:spacing w:val="-2"/>
          <w:w w:val="120"/>
        </w:rPr>
        <w:t>Il</w:t>
      </w:r>
      <w:r>
        <w:rPr>
          <w:color w:val="231F20"/>
          <w:spacing w:val="-11"/>
          <w:w w:val="120"/>
        </w:rPr>
        <w:t> </w:t>
      </w:r>
      <w:r>
        <w:rPr>
          <w:color w:val="231F20"/>
          <w:spacing w:val="-2"/>
          <w:w w:val="120"/>
        </w:rPr>
        <w:t>demeure</w:t>
      </w:r>
      <w:r>
        <w:rPr>
          <w:color w:val="231F20"/>
          <w:spacing w:val="-11"/>
          <w:w w:val="120"/>
        </w:rPr>
        <w:t> </w:t>
      </w:r>
      <w:r>
        <w:rPr>
          <w:color w:val="231F20"/>
          <w:spacing w:val="-2"/>
          <w:w w:val="120"/>
        </w:rPr>
        <w:t>cependant</w:t>
      </w:r>
      <w:r>
        <w:rPr>
          <w:color w:val="231F20"/>
          <w:spacing w:val="-11"/>
          <w:w w:val="120"/>
        </w:rPr>
        <w:t> </w:t>
      </w:r>
      <w:r>
        <w:rPr>
          <w:color w:val="231F20"/>
          <w:spacing w:val="-2"/>
          <w:w w:val="120"/>
        </w:rPr>
        <w:t>difficile</w:t>
      </w:r>
      <w:r>
        <w:rPr>
          <w:color w:val="231F20"/>
          <w:spacing w:val="-10"/>
          <w:w w:val="120"/>
        </w:rPr>
        <w:t> </w:t>
      </w:r>
      <w:r>
        <w:rPr>
          <w:color w:val="231F20"/>
          <w:spacing w:val="-2"/>
          <w:w w:val="120"/>
        </w:rPr>
        <w:t>de</w:t>
      </w:r>
      <w:r>
        <w:rPr>
          <w:color w:val="231F20"/>
          <w:spacing w:val="-11"/>
          <w:w w:val="120"/>
        </w:rPr>
        <w:t> </w:t>
      </w:r>
      <w:r>
        <w:rPr>
          <w:color w:val="231F20"/>
          <w:spacing w:val="-2"/>
          <w:w w:val="120"/>
        </w:rPr>
        <w:t>préciser</w:t>
      </w:r>
      <w:r>
        <w:rPr>
          <w:color w:val="231F20"/>
          <w:spacing w:val="-11"/>
          <w:w w:val="120"/>
        </w:rPr>
        <w:t> </w:t>
      </w:r>
      <w:r>
        <w:rPr>
          <w:color w:val="231F20"/>
          <w:spacing w:val="-2"/>
          <w:w w:val="120"/>
        </w:rPr>
        <w:t>quels</w:t>
      </w:r>
      <w:r>
        <w:rPr>
          <w:color w:val="231F20"/>
          <w:spacing w:val="-11"/>
          <w:w w:val="120"/>
        </w:rPr>
        <w:t> </w:t>
      </w:r>
      <w:r>
        <w:rPr>
          <w:color w:val="231F20"/>
          <w:spacing w:val="-2"/>
          <w:w w:val="120"/>
        </w:rPr>
        <w:t>aspects</w:t>
      </w:r>
      <w:r>
        <w:rPr>
          <w:color w:val="231F20"/>
          <w:spacing w:val="-10"/>
          <w:w w:val="120"/>
        </w:rPr>
        <w:t> </w:t>
      </w:r>
      <w:r>
        <w:rPr>
          <w:color w:val="231F20"/>
          <w:spacing w:val="-2"/>
          <w:w w:val="120"/>
        </w:rPr>
        <w:t>des</w:t>
      </w:r>
      <w:r>
        <w:rPr>
          <w:color w:val="231F20"/>
          <w:spacing w:val="-11"/>
          <w:w w:val="120"/>
        </w:rPr>
        <w:t> </w:t>
      </w:r>
      <w:r>
        <w:rPr>
          <w:color w:val="231F20"/>
          <w:spacing w:val="-2"/>
          <w:w w:val="120"/>
        </w:rPr>
        <w:t>demandes au</w:t>
      </w:r>
      <w:r>
        <w:rPr>
          <w:color w:val="231F20"/>
          <w:spacing w:val="-9"/>
          <w:w w:val="120"/>
        </w:rPr>
        <w:t> </w:t>
      </w:r>
      <w:r>
        <w:rPr>
          <w:color w:val="231F20"/>
          <w:spacing w:val="-2"/>
          <w:w w:val="120"/>
        </w:rPr>
        <w:t>travail</w:t>
      </w:r>
      <w:r>
        <w:rPr>
          <w:color w:val="231F20"/>
          <w:spacing w:val="-9"/>
          <w:w w:val="120"/>
        </w:rPr>
        <w:t> </w:t>
      </w:r>
      <w:r>
        <w:rPr>
          <w:color w:val="231F20"/>
          <w:spacing w:val="-2"/>
          <w:w w:val="120"/>
        </w:rPr>
        <w:t>ou</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color w:val="231F20"/>
          <w:spacing w:val="-2"/>
          <w:w w:val="120"/>
        </w:rPr>
        <w:t>latitude</w:t>
      </w:r>
      <w:r>
        <w:rPr>
          <w:color w:val="231F20"/>
          <w:spacing w:val="-9"/>
          <w:w w:val="120"/>
        </w:rPr>
        <w:t> </w:t>
      </w:r>
      <w:r>
        <w:rPr>
          <w:color w:val="231F20"/>
          <w:spacing w:val="-2"/>
          <w:w w:val="120"/>
        </w:rPr>
        <w:t>décisionnelle</w:t>
      </w:r>
      <w:r>
        <w:rPr>
          <w:color w:val="231F20"/>
          <w:spacing w:val="-9"/>
          <w:w w:val="120"/>
        </w:rPr>
        <w:t> </w:t>
      </w:r>
      <w:r>
        <w:rPr>
          <w:color w:val="231F20"/>
          <w:spacing w:val="-2"/>
          <w:w w:val="120"/>
        </w:rPr>
        <w:t>ont</w:t>
      </w:r>
      <w:r>
        <w:rPr>
          <w:color w:val="231F20"/>
          <w:spacing w:val="-9"/>
          <w:w w:val="120"/>
        </w:rPr>
        <w:t> </w:t>
      </w:r>
      <w:r>
        <w:rPr>
          <w:color w:val="231F20"/>
          <w:spacing w:val="-2"/>
          <w:w w:val="120"/>
        </w:rPr>
        <w:t>le</w:t>
      </w:r>
      <w:r>
        <w:rPr>
          <w:color w:val="231F20"/>
          <w:spacing w:val="-9"/>
          <w:w w:val="120"/>
        </w:rPr>
        <w:t> </w:t>
      </w:r>
      <w:r>
        <w:rPr>
          <w:color w:val="231F20"/>
          <w:spacing w:val="-2"/>
          <w:w w:val="120"/>
        </w:rPr>
        <w:t>plus</w:t>
      </w:r>
      <w:r>
        <w:rPr>
          <w:color w:val="231F20"/>
          <w:spacing w:val="-9"/>
          <w:w w:val="120"/>
        </w:rPr>
        <w:t> </w:t>
      </w:r>
      <w:r>
        <w:rPr>
          <w:color w:val="231F20"/>
          <w:spacing w:val="-2"/>
          <w:w w:val="120"/>
        </w:rPr>
        <w:t>d’importance</w:t>
      </w:r>
      <w:r>
        <w:rPr>
          <w:color w:val="231F20"/>
          <w:spacing w:val="-9"/>
          <w:w w:val="120"/>
        </w:rPr>
        <w:t> </w:t>
      </w:r>
      <w:r>
        <w:rPr>
          <w:color w:val="231F20"/>
          <w:spacing w:val="-2"/>
          <w:w w:val="120"/>
        </w:rPr>
        <w:t>dans</w:t>
      </w:r>
      <w:r>
        <w:rPr>
          <w:color w:val="231F20"/>
          <w:spacing w:val="-9"/>
          <w:w w:val="120"/>
        </w:rPr>
        <w:t> </w:t>
      </w:r>
      <w:r>
        <w:rPr>
          <w:color w:val="231F20"/>
          <w:spacing w:val="-2"/>
          <w:w w:val="120"/>
        </w:rPr>
        <w:t>ce </w:t>
      </w:r>
      <w:r>
        <w:rPr>
          <w:color w:val="231F20"/>
          <w:w w:val="120"/>
        </w:rPr>
        <w:t>modèle et quelles sont les catégories de travailleurs les plus touchées. Pour répondre à ces questions, il faudra approfondir l’explication des effets physiologiques et microcomportementaux des demandes, de la latitude</w:t>
      </w:r>
      <w:r>
        <w:rPr>
          <w:color w:val="231F20"/>
          <w:spacing w:val="-9"/>
          <w:w w:val="120"/>
        </w:rPr>
        <w:t> </w:t>
      </w:r>
      <w:r>
        <w:rPr>
          <w:color w:val="231F20"/>
          <w:w w:val="120"/>
        </w:rPr>
        <w:t>décisionnelle</w:t>
      </w:r>
      <w:r>
        <w:rPr>
          <w:color w:val="231F20"/>
          <w:spacing w:val="-9"/>
          <w:w w:val="120"/>
        </w:rPr>
        <w:t> </w:t>
      </w:r>
      <w:r>
        <w:rPr>
          <w:color w:val="231F20"/>
          <w:w w:val="120"/>
        </w:rPr>
        <w:t>et</w:t>
      </w:r>
      <w:r>
        <w:rPr>
          <w:color w:val="231F20"/>
          <w:spacing w:val="-9"/>
          <w:w w:val="120"/>
        </w:rPr>
        <w:t> </w:t>
      </w:r>
      <w:r>
        <w:rPr>
          <w:color w:val="231F20"/>
          <w:w w:val="120"/>
        </w:rPr>
        <w:t>du</w:t>
      </w:r>
      <w:r>
        <w:rPr>
          <w:color w:val="231F20"/>
          <w:spacing w:val="-9"/>
          <w:w w:val="120"/>
        </w:rPr>
        <w:t> </w:t>
      </w:r>
      <w:r>
        <w:rPr>
          <w:color w:val="231F20"/>
          <w:w w:val="120"/>
        </w:rPr>
        <w:t>soutien</w:t>
      </w:r>
      <w:r>
        <w:rPr>
          <w:color w:val="231F20"/>
          <w:spacing w:val="-9"/>
          <w:w w:val="120"/>
        </w:rPr>
        <w:t> </w:t>
      </w:r>
      <w:r>
        <w:rPr>
          <w:color w:val="231F20"/>
          <w:w w:val="120"/>
        </w:rPr>
        <w:t>social</w:t>
      </w:r>
      <w:r>
        <w:rPr>
          <w:color w:val="231F20"/>
          <w:spacing w:val="-9"/>
          <w:w w:val="120"/>
        </w:rPr>
        <w:t> </w:t>
      </w:r>
      <w:r>
        <w:rPr>
          <w:color w:val="231F20"/>
          <w:w w:val="120"/>
        </w:rPr>
        <w:t>que</w:t>
      </w:r>
      <w:r>
        <w:rPr>
          <w:color w:val="231F20"/>
          <w:spacing w:val="-9"/>
          <w:w w:val="120"/>
        </w:rPr>
        <w:t> </w:t>
      </w:r>
      <w:r>
        <w:rPr>
          <w:color w:val="231F20"/>
          <w:w w:val="120"/>
        </w:rPr>
        <w:t>donne</w:t>
      </w:r>
      <w:r>
        <w:rPr>
          <w:color w:val="231F20"/>
          <w:spacing w:val="-9"/>
          <w:w w:val="120"/>
        </w:rPr>
        <w:t> </w:t>
      </w:r>
      <w:r>
        <w:rPr>
          <w:color w:val="231F20"/>
          <w:w w:val="120"/>
        </w:rPr>
        <w:t>la</w:t>
      </w:r>
      <w:r>
        <w:rPr>
          <w:color w:val="231F20"/>
          <w:spacing w:val="-9"/>
          <w:w w:val="120"/>
        </w:rPr>
        <w:t> </w:t>
      </w:r>
      <w:r>
        <w:rPr>
          <w:color w:val="231F20"/>
          <w:w w:val="120"/>
        </w:rPr>
        <w:t>formulation</w:t>
      </w:r>
      <w:r>
        <w:rPr>
          <w:color w:val="231F20"/>
          <w:spacing w:val="-9"/>
          <w:w w:val="120"/>
        </w:rPr>
        <w:t> </w:t>
      </w:r>
      <w:r>
        <w:rPr>
          <w:color w:val="231F20"/>
          <w:w w:val="120"/>
        </w:rPr>
        <w:t>ini- tiale</w:t>
      </w:r>
      <w:r>
        <w:rPr>
          <w:color w:val="231F20"/>
          <w:spacing w:val="-10"/>
          <w:w w:val="120"/>
        </w:rPr>
        <w:t> </w:t>
      </w:r>
      <w:r>
        <w:rPr>
          <w:color w:val="231F20"/>
          <w:w w:val="120"/>
        </w:rPr>
        <w:t>du</w:t>
      </w:r>
      <w:r>
        <w:rPr>
          <w:color w:val="231F20"/>
          <w:spacing w:val="-10"/>
          <w:w w:val="120"/>
        </w:rPr>
        <w:t> </w:t>
      </w:r>
      <w:r>
        <w:rPr>
          <w:color w:val="231F20"/>
          <w:w w:val="120"/>
        </w:rPr>
        <w:t>modèle</w:t>
      </w:r>
      <w:r>
        <w:rPr>
          <w:color w:val="231F20"/>
          <w:spacing w:val="-10"/>
          <w:w w:val="120"/>
        </w:rPr>
        <w:t> </w:t>
      </w:r>
      <w:r>
        <w:rPr>
          <w:color w:val="231F20"/>
          <w:w w:val="120"/>
        </w:rPr>
        <w:t>et,</w:t>
      </w:r>
      <w:r>
        <w:rPr>
          <w:color w:val="231F20"/>
          <w:spacing w:val="-10"/>
          <w:w w:val="120"/>
        </w:rPr>
        <w:t> </w:t>
      </w:r>
      <w:r>
        <w:rPr>
          <w:color w:val="231F20"/>
          <w:w w:val="120"/>
        </w:rPr>
        <w:t>en</w:t>
      </w:r>
      <w:r>
        <w:rPr>
          <w:color w:val="231F20"/>
          <w:spacing w:val="-10"/>
          <w:w w:val="120"/>
        </w:rPr>
        <w:t> </w:t>
      </w:r>
      <w:r>
        <w:rPr>
          <w:color w:val="231F20"/>
          <w:w w:val="120"/>
        </w:rPr>
        <w:t>même</w:t>
      </w:r>
      <w:r>
        <w:rPr>
          <w:color w:val="231F20"/>
          <w:spacing w:val="-10"/>
          <w:w w:val="120"/>
        </w:rPr>
        <w:t> </w:t>
      </w:r>
      <w:r>
        <w:rPr>
          <w:color w:val="231F20"/>
          <w:w w:val="120"/>
        </w:rPr>
        <w:t>temps,</w:t>
      </w:r>
      <w:r>
        <w:rPr>
          <w:color w:val="231F20"/>
          <w:spacing w:val="-10"/>
          <w:w w:val="120"/>
        </w:rPr>
        <w:t> </w:t>
      </w:r>
      <w:r>
        <w:rPr>
          <w:color w:val="231F20"/>
          <w:w w:val="120"/>
        </w:rPr>
        <w:t>soumettre</w:t>
      </w:r>
      <w:r>
        <w:rPr>
          <w:color w:val="231F20"/>
          <w:spacing w:val="-10"/>
          <w:w w:val="120"/>
        </w:rPr>
        <w:t> </w:t>
      </w:r>
      <w:r>
        <w:rPr>
          <w:color w:val="231F20"/>
          <w:w w:val="120"/>
        </w:rPr>
        <w:t>à</w:t>
      </w:r>
      <w:r>
        <w:rPr>
          <w:color w:val="231F20"/>
          <w:spacing w:val="-10"/>
          <w:w w:val="120"/>
        </w:rPr>
        <w:t> </w:t>
      </w:r>
      <w:r>
        <w:rPr>
          <w:color w:val="231F20"/>
          <w:w w:val="120"/>
        </w:rPr>
        <w:t>divers</w:t>
      </w:r>
      <w:r>
        <w:rPr>
          <w:color w:val="231F20"/>
          <w:spacing w:val="-10"/>
          <w:w w:val="120"/>
        </w:rPr>
        <w:t> </w:t>
      </w:r>
      <w:r>
        <w:rPr>
          <w:color w:val="231F20"/>
          <w:w w:val="120"/>
        </w:rPr>
        <w:t>essais</w:t>
      </w:r>
      <w:r>
        <w:rPr>
          <w:color w:val="231F20"/>
          <w:spacing w:val="-10"/>
          <w:w w:val="120"/>
        </w:rPr>
        <w:t> </w:t>
      </w:r>
      <w:r>
        <w:rPr>
          <w:color w:val="231F20"/>
          <w:w w:val="120"/>
        </w:rPr>
        <w:t>sa</w:t>
      </w:r>
      <w:r>
        <w:rPr>
          <w:color w:val="231F20"/>
          <w:spacing w:val="-10"/>
          <w:w w:val="120"/>
        </w:rPr>
        <w:t> </w:t>
      </w:r>
      <w:r>
        <w:rPr>
          <w:color w:val="231F20"/>
          <w:w w:val="120"/>
        </w:rPr>
        <w:t>version dynamique, y compris les hypothèses active et passive17.</w:t>
      </w:r>
    </w:p>
    <w:p>
      <w:pPr>
        <w:pStyle w:val="BodyText"/>
        <w:spacing w:before="6"/>
        <w:rPr>
          <w:sz w:val="11"/>
        </w:rPr>
      </w:pPr>
      <w:r>
        <w:rPr/>
        <w:pict>
          <v:group style="position:absolute;margin-left:82pt;margin-top:7.872266pt;width:287.5pt;height:218.8pt;mso-position-horizontal-relative:page;mso-position-vertical-relative:paragraph;z-index:-15690240;mso-wrap-distance-left:0;mso-wrap-distance-right:0" id="docshapegroup554" coordorigin="1640,157" coordsize="5750,4376">
            <v:shape style="position:absolute;left:1640;top:157;width:5750;height:4376" id="docshape555" coordorigin="1640,157" coordsize="5750,4376" path="m7390,157l1640,157,1640,702,1640,862,1640,3863,1640,3973,1640,4533,7390,4533,7390,3973,7390,3863,7390,862,7390,702,7390,157xe" filled="true" fillcolor="#e2e3e4" stroked="false">
              <v:path arrowok="t"/>
              <v:fill type="solid"/>
            </v:shape>
            <v:line style="position:absolute" from="1890,3861" to="7140,3861" stroked="true" strokeweight=".25pt" strokecolor="#231f20">
              <v:stroke dashstyle="shortdot"/>
            </v:line>
            <v:shape style="position:absolute;left:3128;top:2044;width:2525;height:295" id="docshape556" coordorigin="3129,2044" coordsize="2525,295" path="m3129,2339l3586,2044,5653,2044e" filled="false" stroked="true" strokeweight="1pt" strokecolor="#939598">
              <v:path arrowok="t"/>
              <v:stroke dashstyle="solid"/>
            </v:shape>
            <v:shape style="position:absolute;left:3128;top:988;width:455;height:2383" id="docshape557" coordorigin="3129,988" coordsize="455,2383" path="m3583,988l3583,3077,3129,3371e" filled="false" stroked="true" strokeweight="1pt" strokecolor="#939598">
              <v:path arrowok="t"/>
              <v:stroke dashstyle="solid"/>
            </v:shape>
            <v:shape style="position:absolute;left:4172;top:988;width:455;height:2383" id="docshape558" coordorigin="4172,988" coordsize="455,2383" path="m4626,988l4626,3077,4172,3371e" filled="false" stroked="true" strokeweight="1pt" strokecolor="#939598">
              <v:path arrowok="t"/>
              <v:stroke dashstyle="solid"/>
            </v:shape>
            <v:line style="position:absolute" from="3583,3077" to="5653,3077" stroked="true" strokeweight="1pt" strokecolor="#939598">
              <v:stroke dashstyle="solid"/>
            </v:line>
            <v:shape style="position:absolute;left:3120;top:1091;width:2384;height:774" id="docshape559" coordorigin="3121,1091" coordsize="2384,774" path="m5504,1091l3425,1091,3121,1285,5215,1865,5504,1091xe" filled="true" fillcolor="#636466" stroked="false">
              <v:path arrowok="t"/>
              <v:fill type="solid"/>
            </v:shape>
            <v:shape style="position:absolute;left:4629;top:2044;width:1024;height:1153" id="docshape560" coordorigin="4630,2044" coordsize="1024,1153" path="m5653,2044l4630,3086,5482,3197,5653,3080,5653,2044xe" filled="true" fillcolor="#c7c8ca" stroked="false">
              <v:path arrowok="t"/>
              <v:fill type="solid"/>
            </v:shape>
            <v:shape style="position:absolute;left:5481;top:2044;width:181;height:1153" id="docshape561" coordorigin="5482,2044" coordsize="181,1153" path="m5653,2044l5482,3197,5662,3080,5653,2044xe" filled="true" fillcolor="#b1b3b6" stroked="false">
              <v:path arrowok="t"/>
              <v:fill type="solid"/>
            </v:shape>
            <v:shape style="position:absolute;left:3128;top:2044;width:2534;height:295" id="docshape562" coordorigin="3129,2044" coordsize="2534,295" path="m3129,2339l5215,2339,5662,2044e" filled="false" stroked="true" strokeweight="1pt" strokecolor="#231f20">
              <v:path arrowok="t"/>
              <v:stroke dashstyle="solid"/>
            </v:shape>
            <v:shape style="position:absolute;left:3122;top:988;width:2540;height:297" id="docshape563" coordorigin="3123,988" coordsize="2540,297" path="m3123,1284l3583,988,5662,988,5215,1284,3123,1284xe" filled="false" stroked="true" strokeweight="1pt" strokecolor="#231f20">
              <v:path arrowok="t"/>
              <v:stroke dashstyle="solid"/>
            </v:shape>
            <v:shape style="position:absolute;left:5219;top:978;width:443;height:2395" id="docshape564" coordorigin="5220,978" coordsize="443,2395" path="m5662,978l5662,3082,5220,3373e" filled="false" stroked="true" strokeweight="1pt" strokecolor="#231f20">
              <v:path arrowok="t"/>
              <v:stroke dashstyle="solid"/>
            </v:shape>
            <v:line style="position:absolute" from="3168,3478" to="5165,3478" stroked="true" strokeweight=".5pt" strokecolor="#231f20">
              <v:stroke dashstyle="solid"/>
            </v:line>
            <v:shape style="position:absolute;left:3117;top:3443;width:2098;height:70" id="docshape565" coordorigin="3118,3444" coordsize="2098,70" path="m3178,3444l3118,3478,3178,3513,3178,3444xm5215,3478l5155,3444,5155,3513,5215,3478xe" filled="true" fillcolor="#231f20" stroked="false">
              <v:path arrowok="t"/>
              <v:fill type="solid"/>
            </v:shape>
            <v:line style="position:absolute" from="3018,1334" to="3018,3323" stroked="true" strokeweight=".5pt" strokecolor="#231f20">
              <v:stroke dashstyle="solid"/>
            </v:line>
            <v:shape style="position:absolute;left:2982;top:1284;width:70;height:2089" id="docshape566" coordorigin="2983,1284" coordsize="70,2089" path="m3053,3312l2983,3312,3018,3373,3053,3312xm3053,1345l3018,1284,2983,1345,3053,1345xe" filled="true" fillcolor="#231f20" stroked="false">
              <v:path arrowok="t"/>
              <v:fill type="solid"/>
            </v:shape>
            <v:shape style="position:absolute;left:3008;top:948;width:455;height:297" type="#_x0000_t75" id="docshape567" stroked="false">
              <v:imagedata r:id="rId160" o:title=""/>
            </v:shape>
            <v:rect style="position:absolute;left:3128;top:1284;width:2087;height:581" id="docshape568" filled="true" fillcolor="#77787b" stroked="false">
              <v:fill type="solid"/>
            </v:rect>
            <v:rect style="position:absolute;left:3128;top:1284;width:2087;height:2087" id="docshape569" filled="false" stroked="true" strokeweight="1pt" strokecolor="#231f20">
              <v:stroke dashstyle="solid"/>
            </v:rect>
            <v:shape style="position:absolute;left:4172;top:988;width:461;height:2383" id="docshape570" coordorigin="4172,988" coordsize="461,2383" path="m4632,988l4172,1284,4172,3371e" filled="false" stroked="true" strokeweight="1pt" strokecolor="#231f20">
              <v:path arrowok="t"/>
              <v:stroke dashstyle="solid"/>
            </v:shape>
            <v:shape style="position:absolute;left:1890;top:329;width:3668;height:246" type="#_x0000_t202" id="docshape571"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2.7</w:t>
                    </w:r>
                    <w:r>
                      <w:rPr>
                        <w:rFonts w:ascii="Arial" w:hAnsi="Arial"/>
                        <w:color w:val="231F20"/>
                        <w:spacing w:val="-9"/>
                        <w:w w:val="95"/>
                        <w:sz w:val="17"/>
                      </w:rPr>
                      <w:t> </w:t>
                    </w:r>
                    <w:r>
                      <w:rPr>
                        <w:rFonts w:ascii="Arial" w:hAnsi="Arial"/>
                        <w:i/>
                        <w:color w:val="231F20"/>
                        <w:w w:val="95"/>
                        <w:sz w:val="17"/>
                      </w:rPr>
                      <w:t>/</w:t>
                    </w:r>
                    <w:r>
                      <w:rPr>
                        <w:rFonts w:ascii="Arial" w:hAnsi="Arial"/>
                        <w:i/>
                        <w:color w:val="231F20"/>
                        <w:spacing w:val="50"/>
                        <w:sz w:val="17"/>
                      </w:rPr>
                      <w:t> </w:t>
                    </w:r>
                    <w:r>
                      <w:rPr>
                        <w:rFonts w:ascii="Arial" w:hAnsi="Arial"/>
                        <w:b/>
                        <w:color w:val="231F20"/>
                        <w:w w:val="95"/>
                        <w:sz w:val="17"/>
                      </w:rPr>
                      <w:t>Modèle</w:t>
                    </w:r>
                    <w:r>
                      <w:rPr>
                        <w:rFonts w:ascii="Arial" w:hAnsi="Arial"/>
                        <w:b/>
                        <w:color w:val="231F20"/>
                        <w:spacing w:val="-2"/>
                        <w:w w:val="95"/>
                        <w:sz w:val="17"/>
                      </w:rPr>
                      <w:t> </w:t>
                    </w:r>
                    <w:r>
                      <w:rPr>
                        <w:rFonts w:ascii="Arial" w:hAnsi="Arial"/>
                        <w:b/>
                        <w:color w:val="231F20"/>
                        <w:w w:val="95"/>
                        <w:sz w:val="17"/>
                      </w:rPr>
                      <w:t>DCS</w:t>
                    </w:r>
                    <w:r>
                      <w:rPr>
                        <w:rFonts w:ascii="Arial" w:hAnsi="Arial"/>
                        <w:b/>
                        <w:color w:val="231F20"/>
                        <w:spacing w:val="-1"/>
                        <w:w w:val="95"/>
                        <w:sz w:val="17"/>
                      </w:rPr>
                      <w:t> </w:t>
                    </w:r>
                    <w:r>
                      <w:rPr>
                        <w:rFonts w:ascii="Arial" w:hAnsi="Arial"/>
                        <w:b/>
                        <w:color w:val="231F20"/>
                        <w:w w:val="95"/>
                        <w:sz w:val="17"/>
                      </w:rPr>
                      <w:t>de</w:t>
                    </w:r>
                    <w:r>
                      <w:rPr>
                        <w:rFonts w:ascii="Arial" w:hAnsi="Arial"/>
                        <w:b/>
                        <w:color w:val="231F20"/>
                        <w:spacing w:val="-2"/>
                        <w:w w:val="95"/>
                        <w:sz w:val="17"/>
                      </w:rPr>
                      <w:t> </w:t>
                    </w:r>
                    <w:r>
                      <w:rPr>
                        <w:rFonts w:ascii="Arial" w:hAnsi="Arial"/>
                        <w:b/>
                        <w:color w:val="231F20"/>
                        <w:w w:val="95"/>
                        <w:sz w:val="17"/>
                      </w:rPr>
                      <w:t>Karasek</w:t>
                    </w:r>
                    <w:r>
                      <w:rPr>
                        <w:rFonts w:ascii="Arial" w:hAnsi="Arial"/>
                        <w:b/>
                        <w:color w:val="231F20"/>
                        <w:spacing w:val="-2"/>
                        <w:w w:val="95"/>
                        <w:sz w:val="17"/>
                      </w:rPr>
                      <w:t> </w:t>
                    </w:r>
                    <w:r>
                      <w:rPr>
                        <w:rFonts w:ascii="Arial" w:hAnsi="Arial"/>
                        <w:b/>
                        <w:color w:val="231F20"/>
                        <w:w w:val="95"/>
                        <w:sz w:val="17"/>
                      </w:rPr>
                      <w:t>et</w:t>
                    </w:r>
                    <w:r>
                      <w:rPr>
                        <w:rFonts w:ascii="Arial" w:hAnsi="Arial"/>
                        <w:b/>
                        <w:color w:val="231F20"/>
                        <w:spacing w:val="-2"/>
                        <w:w w:val="95"/>
                        <w:sz w:val="17"/>
                      </w:rPr>
                      <w:t> Theorell</w:t>
                    </w:r>
                  </w:p>
                </w:txbxContent>
              </v:textbox>
              <w10:wrap type="none"/>
            </v:shape>
            <v:shape style="position:absolute;left:2423;top:825;width:523;height:684" type="#_x0000_t202" id="docshape572" filled="false" stroked="false">
              <v:textbox inset="0,0,0,0">
                <w:txbxContent>
                  <w:p>
                    <w:pPr>
                      <w:spacing w:before="21"/>
                      <w:ind w:left="167" w:right="0" w:hanging="168"/>
                      <w:jc w:val="left"/>
                      <w:rPr>
                        <w:rFonts w:ascii="Arial"/>
                        <w:b/>
                        <w:sz w:val="15"/>
                      </w:rPr>
                    </w:pPr>
                    <w:r>
                      <w:rPr>
                        <w:rFonts w:ascii="Arial"/>
                        <w:b/>
                        <w:color w:val="231F20"/>
                        <w:spacing w:val="-2"/>
                        <w:w w:val="95"/>
                        <w:sz w:val="15"/>
                      </w:rPr>
                      <w:t>Soutien</w:t>
                    </w:r>
                  </w:p>
                  <w:p>
                    <w:pPr>
                      <w:spacing w:line="240" w:lineRule="atLeast" w:before="6"/>
                      <w:ind w:left="167" w:right="8" w:firstLine="0"/>
                      <w:jc w:val="left"/>
                      <w:rPr>
                        <w:rFonts w:ascii="Arial" w:hAnsi="Arial"/>
                        <w:sz w:val="15"/>
                      </w:rPr>
                    </w:pPr>
                    <w:r>
                      <w:rPr>
                        <w:rFonts w:ascii="Arial" w:hAnsi="Arial"/>
                        <w:color w:val="231F20"/>
                        <w:spacing w:val="-2"/>
                        <w:w w:val="90"/>
                        <w:sz w:val="15"/>
                      </w:rPr>
                      <w:t>Élevé</w:t>
                    </w:r>
                    <w:r>
                      <w:rPr>
                        <w:rFonts w:ascii="Arial" w:hAnsi="Arial"/>
                        <w:color w:val="231F20"/>
                        <w:sz w:val="15"/>
                      </w:rPr>
                      <w:t> </w:t>
                    </w:r>
                    <w:r>
                      <w:rPr>
                        <w:rFonts w:ascii="Arial" w:hAnsi="Arial"/>
                        <w:color w:val="231F20"/>
                        <w:spacing w:val="-2"/>
                        <w:w w:val="90"/>
                        <w:sz w:val="15"/>
                      </w:rPr>
                      <w:t>Élevé</w:t>
                    </w:r>
                  </w:p>
                </w:txbxContent>
              </v:textbox>
              <w10:wrap type="none"/>
            </v:shape>
            <v:shape style="position:absolute;left:3134;top:739;width:383;height:192" type="#_x0000_t202" id="docshape573" filled="false" stroked="false">
              <v:textbox inset="0,0,0,0">
                <w:txbxContent>
                  <w:p>
                    <w:pPr>
                      <w:spacing w:before="18"/>
                      <w:ind w:left="0" w:right="0" w:firstLine="0"/>
                      <w:jc w:val="left"/>
                      <w:rPr>
                        <w:rFonts w:ascii="Arial"/>
                        <w:sz w:val="15"/>
                      </w:rPr>
                    </w:pPr>
                    <w:r>
                      <w:rPr>
                        <w:rFonts w:ascii="Arial"/>
                        <w:color w:val="231F20"/>
                        <w:spacing w:val="-4"/>
                        <w:w w:val="95"/>
                        <w:sz w:val="15"/>
                      </w:rPr>
                      <w:t>Faible</w:t>
                    </w:r>
                  </w:p>
                </w:txbxContent>
              </v:textbox>
              <w10:wrap type="none"/>
            </v:shape>
            <v:shape style="position:absolute;left:3283;top:1388;width:595;height:376" type="#_x0000_t202" id="docshape574" filled="false" stroked="false">
              <v:textbox inset="0,0,0,0">
                <w:txbxContent>
                  <w:p>
                    <w:pPr>
                      <w:spacing w:line="249" w:lineRule="auto" w:before="17"/>
                      <w:ind w:left="0" w:right="0" w:firstLine="0"/>
                      <w:jc w:val="left"/>
                      <w:rPr>
                        <w:rFonts w:ascii="Arial"/>
                        <w:b/>
                        <w:sz w:val="15"/>
                      </w:rPr>
                    </w:pPr>
                    <w:r>
                      <w:rPr>
                        <w:rFonts w:ascii="Arial"/>
                        <w:b/>
                        <w:color w:val="FFFFFF"/>
                        <w:spacing w:val="-4"/>
                        <w:w w:val="90"/>
                        <w:sz w:val="15"/>
                      </w:rPr>
                      <w:t>TRAVAIL</w:t>
                    </w:r>
                    <w:r>
                      <w:rPr>
                        <w:rFonts w:ascii="Arial"/>
                        <w:b/>
                        <w:color w:val="FFFFFF"/>
                        <w:sz w:val="15"/>
                      </w:rPr>
                      <w:t> </w:t>
                    </w:r>
                    <w:r>
                      <w:rPr>
                        <w:rFonts w:ascii="Arial"/>
                        <w:b/>
                        <w:color w:val="FFFFFF"/>
                        <w:spacing w:val="-4"/>
                        <w:sz w:val="15"/>
                      </w:rPr>
                      <w:t>SAIN</w:t>
                    </w:r>
                  </w:p>
                </w:txbxContent>
              </v:textbox>
              <w10:wrap type="none"/>
            </v:shape>
            <v:shape style="position:absolute;left:1890;top:2197;width:5270;height:2117" type="#_x0000_t202" id="docshape575" filled="false" stroked="false">
              <v:textbox inset="0,0,0,0">
                <w:txbxContent>
                  <w:p>
                    <w:pPr>
                      <w:spacing w:before="21"/>
                      <w:ind w:left="0" w:right="4231" w:firstLine="0"/>
                      <w:jc w:val="right"/>
                      <w:rPr>
                        <w:rFonts w:ascii="Arial" w:hAnsi="Arial"/>
                        <w:b/>
                        <w:sz w:val="15"/>
                      </w:rPr>
                    </w:pPr>
                    <w:r>
                      <w:rPr>
                        <w:rFonts w:ascii="Arial" w:hAnsi="Arial"/>
                        <w:b/>
                        <w:color w:val="231F20"/>
                        <w:spacing w:val="-2"/>
                        <w:sz w:val="15"/>
                      </w:rPr>
                      <w:t>Contrôle</w:t>
                    </w:r>
                  </w:p>
                  <w:p>
                    <w:pPr>
                      <w:spacing w:line="249" w:lineRule="auto" w:before="34"/>
                      <w:ind w:left="3856" w:right="549" w:firstLine="0"/>
                      <w:jc w:val="left"/>
                      <w:rPr>
                        <w:rFonts w:ascii="Arial"/>
                        <w:b/>
                        <w:sz w:val="15"/>
                      </w:rPr>
                    </w:pPr>
                    <w:r>
                      <w:rPr>
                        <w:rFonts w:ascii="Arial"/>
                        <w:b/>
                        <w:color w:val="231F20"/>
                        <w:spacing w:val="-2"/>
                        <w:sz w:val="15"/>
                      </w:rPr>
                      <w:t>TRAVAIL</w:t>
                    </w:r>
                    <w:r>
                      <w:rPr>
                        <w:rFonts w:ascii="Arial"/>
                        <w:b/>
                        <w:color w:val="231F20"/>
                        <w:sz w:val="15"/>
                      </w:rPr>
                      <w:t> </w:t>
                    </w:r>
                    <w:r>
                      <w:rPr>
                        <w:rFonts w:ascii="Arial"/>
                        <w:b/>
                        <w:color w:val="231F20"/>
                        <w:spacing w:val="-2"/>
                        <w:w w:val="90"/>
                        <w:sz w:val="15"/>
                      </w:rPr>
                      <w:t>DANGEREUX</w:t>
                    </w:r>
                  </w:p>
                  <w:p>
                    <w:pPr>
                      <w:spacing w:line="240" w:lineRule="auto" w:before="0"/>
                      <w:rPr>
                        <w:rFonts w:ascii="Arial"/>
                        <w:b/>
                        <w:sz w:val="20"/>
                      </w:rPr>
                    </w:pPr>
                  </w:p>
                  <w:p>
                    <w:pPr>
                      <w:spacing w:before="147"/>
                      <w:ind w:left="0" w:right="4231" w:firstLine="0"/>
                      <w:jc w:val="right"/>
                      <w:rPr>
                        <w:rFonts w:ascii="Arial"/>
                        <w:sz w:val="15"/>
                      </w:rPr>
                    </w:pPr>
                    <w:r>
                      <w:rPr>
                        <w:rFonts w:ascii="Arial"/>
                        <w:color w:val="231F20"/>
                        <w:spacing w:val="-2"/>
                        <w:sz w:val="15"/>
                      </w:rPr>
                      <w:t>Faible</w:t>
                    </w:r>
                  </w:p>
                  <w:p>
                    <w:pPr>
                      <w:spacing w:line="240" w:lineRule="auto" w:before="8"/>
                      <w:rPr>
                        <w:rFonts w:ascii="Arial"/>
                        <w:sz w:val="16"/>
                      </w:rPr>
                    </w:pPr>
                  </w:p>
                  <w:p>
                    <w:pPr>
                      <w:tabs>
                        <w:tab w:pos="1960" w:val="left" w:leader="none"/>
                        <w:tab w:pos="2857" w:val="left" w:leader="none"/>
                      </w:tabs>
                      <w:spacing w:before="0"/>
                      <w:ind w:left="1281" w:right="0" w:firstLine="0"/>
                      <w:jc w:val="left"/>
                      <w:rPr>
                        <w:rFonts w:ascii="Arial" w:hAnsi="Arial"/>
                        <w:sz w:val="15"/>
                      </w:rPr>
                    </w:pPr>
                    <w:r>
                      <w:rPr>
                        <w:rFonts w:ascii="Arial" w:hAnsi="Arial"/>
                        <w:color w:val="231F20"/>
                        <w:spacing w:val="-2"/>
                        <w:sz w:val="15"/>
                      </w:rPr>
                      <w:t>Faible</w:t>
                    </w:r>
                    <w:r>
                      <w:rPr>
                        <w:rFonts w:ascii="Arial" w:hAnsi="Arial"/>
                        <w:color w:val="231F20"/>
                        <w:sz w:val="15"/>
                      </w:rPr>
                      <w:tab/>
                    </w:r>
                    <w:r>
                      <w:rPr>
                        <w:rFonts w:ascii="Arial" w:hAnsi="Arial"/>
                        <w:b/>
                        <w:color w:val="231F20"/>
                        <w:spacing w:val="-2"/>
                        <w:sz w:val="15"/>
                      </w:rPr>
                      <w:t>Demande</w:t>
                    </w:r>
                    <w:r>
                      <w:rPr>
                        <w:rFonts w:ascii="Arial" w:hAnsi="Arial"/>
                        <w:b/>
                        <w:color w:val="231F20"/>
                        <w:sz w:val="15"/>
                      </w:rPr>
                      <w:tab/>
                    </w:r>
                    <w:r>
                      <w:rPr>
                        <w:rFonts w:ascii="Arial" w:hAnsi="Arial"/>
                        <w:color w:val="231F20"/>
                        <w:spacing w:val="-2"/>
                        <w:sz w:val="15"/>
                      </w:rPr>
                      <w:t>Élevée</w:t>
                    </w:r>
                  </w:p>
                  <w:p>
                    <w:pPr>
                      <w:spacing w:line="240" w:lineRule="auto" w:before="11"/>
                      <w:rPr>
                        <w:rFonts w:ascii="Arial"/>
                        <w:sz w:val="25"/>
                      </w:rPr>
                    </w:pPr>
                  </w:p>
                  <w:p>
                    <w:pPr>
                      <w:spacing w:line="295" w:lineRule="auto" w:before="0"/>
                      <w:ind w:left="0" w:right="18" w:firstLine="0"/>
                      <w:jc w:val="left"/>
                      <w:rPr>
                        <w:rFonts w:ascii="Arial" w:hAnsi="Arial"/>
                        <w:sz w:val="12"/>
                      </w:rPr>
                    </w:pPr>
                    <w:r>
                      <w:rPr>
                        <w:rFonts w:ascii="Arial" w:hAnsi="Arial"/>
                        <w:color w:val="231F20"/>
                        <w:sz w:val="12"/>
                      </w:rPr>
                      <w:t>Source</w:t>
                    </w:r>
                    <w:r>
                      <w:rPr>
                        <w:rFonts w:ascii="Arial" w:hAnsi="Arial"/>
                        <w:color w:val="231F20"/>
                        <w:spacing w:val="-24"/>
                        <w:sz w:val="12"/>
                      </w:rPr>
                      <w:t> </w:t>
                    </w:r>
                    <w:r>
                      <w:rPr>
                        <w:rFonts w:ascii="Arial" w:hAnsi="Arial"/>
                        <w:color w:val="231F20"/>
                        <w:sz w:val="12"/>
                      </w:rPr>
                      <w:t>:</w:t>
                    </w:r>
                    <w:r>
                      <w:rPr>
                        <w:rFonts w:ascii="Arial" w:hAnsi="Arial"/>
                        <w:color w:val="231F20"/>
                        <w:spacing w:val="-9"/>
                        <w:sz w:val="12"/>
                      </w:rPr>
                      <w:t> </w:t>
                    </w:r>
                    <w:r>
                      <w:rPr>
                        <w:rFonts w:ascii="Arial" w:hAnsi="Arial"/>
                        <w:color w:val="231F20"/>
                        <w:sz w:val="12"/>
                      </w:rPr>
                      <w:t>&lt;https://</w:t>
                    </w:r>
                    <w:hyperlink r:id="rId161">
                      <w:r>
                        <w:rPr>
                          <w:rFonts w:ascii="Arial" w:hAnsi="Arial"/>
                          <w:color w:val="231F20"/>
                          <w:sz w:val="12"/>
                        </w:rPr>
                        <w:t>www.researchgate.net/figure/Modele-demande-controle-soutien-social-Karasek-</w:t>
                      </w:r>
                    </w:hyperlink>
                    <w:r>
                      <w:rPr>
                        <w:rFonts w:ascii="Arial" w:hAnsi="Arial"/>
                        <w:color w:val="231F20"/>
                        <w:spacing w:val="40"/>
                        <w:w w:val="105"/>
                        <w:sz w:val="12"/>
                      </w:rPr>
                      <w:t> </w:t>
                    </w:r>
                    <w:r>
                      <w:rPr>
                        <w:rFonts w:ascii="Arial" w:hAnsi="Arial"/>
                        <w:color w:val="231F20"/>
                        <w:w w:val="105"/>
                        <w:sz w:val="12"/>
                      </w:rPr>
                      <w:t>et-Johnson-1986_fig2_296331510&gt;, consulté le 22 octobre 2021.</w:t>
                    </w:r>
                  </w:p>
                </w:txbxContent>
              </v:textbox>
              <w10:wrap type="none"/>
            </v:shape>
            <w10:wrap type="topAndBottom"/>
          </v:group>
        </w:pict>
      </w:r>
    </w:p>
    <w:p>
      <w:pPr>
        <w:pStyle w:val="BodyText"/>
        <w:spacing w:before="1"/>
      </w:pPr>
    </w:p>
    <w:p>
      <w:pPr>
        <w:pStyle w:val="BodyText"/>
        <w:spacing w:line="307" w:lineRule="auto" w:before="145"/>
        <w:ind w:left="1220" w:right="106"/>
        <w:jc w:val="both"/>
      </w:pPr>
      <w:r>
        <w:rPr>
          <w:b/>
          <w:color w:val="231F20"/>
          <w:w w:val="115"/>
        </w:rPr>
        <w:t>Modèle</w:t>
      </w:r>
      <w:r>
        <w:rPr>
          <w:b/>
          <w:color w:val="231F20"/>
          <w:spacing w:val="-5"/>
          <w:w w:val="115"/>
        </w:rPr>
        <w:t> </w:t>
      </w:r>
      <w:r>
        <w:rPr>
          <w:b/>
          <w:color w:val="231F20"/>
          <w:w w:val="115"/>
        </w:rPr>
        <w:t>du</w:t>
      </w:r>
      <w:r>
        <w:rPr>
          <w:b/>
          <w:color w:val="231F20"/>
          <w:spacing w:val="-5"/>
          <w:w w:val="115"/>
        </w:rPr>
        <w:t> </w:t>
      </w:r>
      <w:r>
        <w:rPr>
          <w:b/>
          <w:color w:val="231F20"/>
          <w:w w:val="115"/>
        </w:rPr>
        <w:t>Déséquilibre</w:t>
      </w:r>
      <w:r>
        <w:rPr>
          <w:b/>
          <w:color w:val="231F20"/>
          <w:spacing w:val="-5"/>
          <w:w w:val="115"/>
        </w:rPr>
        <w:t> </w:t>
      </w:r>
      <w:r>
        <w:rPr>
          <w:b/>
          <w:color w:val="231F20"/>
          <w:w w:val="115"/>
        </w:rPr>
        <w:t>Effort/Récompense</w:t>
      </w:r>
      <w:r>
        <w:rPr>
          <w:b/>
          <w:color w:val="231F20"/>
          <w:spacing w:val="-5"/>
          <w:w w:val="115"/>
        </w:rPr>
        <w:t> </w:t>
      </w:r>
      <w:r>
        <w:rPr>
          <w:b/>
          <w:color w:val="231F20"/>
          <w:w w:val="115"/>
        </w:rPr>
        <w:t>de</w:t>
      </w:r>
      <w:r>
        <w:rPr>
          <w:b/>
          <w:color w:val="231F20"/>
          <w:spacing w:val="-5"/>
          <w:w w:val="115"/>
        </w:rPr>
        <w:t> </w:t>
      </w:r>
      <w:r>
        <w:rPr>
          <w:b/>
          <w:color w:val="231F20"/>
          <w:w w:val="115"/>
        </w:rPr>
        <w:t>Siegrist</w:t>
      </w:r>
      <w:r>
        <w:rPr>
          <w:color w:val="231F20"/>
          <w:w w:val="115"/>
        </w:rPr>
        <w:t>.</w:t>
      </w:r>
      <w:r>
        <w:rPr>
          <w:color w:val="231F20"/>
          <w:spacing w:val="-1"/>
          <w:w w:val="115"/>
        </w:rPr>
        <w:t> </w:t>
      </w:r>
      <w:r>
        <w:rPr>
          <w:color w:val="231F20"/>
          <w:w w:val="115"/>
        </w:rPr>
        <w:t>Le</w:t>
      </w:r>
      <w:r>
        <w:rPr>
          <w:color w:val="231F20"/>
          <w:spacing w:val="-1"/>
          <w:w w:val="115"/>
        </w:rPr>
        <w:t> </w:t>
      </w:r>
      <w:r>
        <w:rPr>
          <w:color w:val="231F20"/>
          <w:w w:val="115"/>
        </w:rPr>
        <w:t>modèle</w:t>
      </w:r>
      <w:r>
        <w:rPr>
          <w:color w:val="231F20"/>
          <w:spacing w:val="-1"/>
          <w:w w:val="115"/>
        </w:rPr>
        <w:t> </w:t>
      </w:r>
      <w:r>
        <w:rPr>
          <w:color w:val="231F20"/>
          <w:w w:val="115"/>
        </w:rPr>
        <w:t>du </w:t>
      </w:r>
      <w:r>
        <w:rPr>
          <w:color w:val="231F20"/>
          <w:spacing w:val="-2"/>
          <w:w w:val="120"/>
        </w:rPr>
        <w:t>déséquilibre</w:t>
      </w:r>
      <w:r>
        <w:rPr>
          <w:color w:val="231F20"/>
          <w:spacing w:val="-11"/>
          <w:w w:val="120"/>
        </w:rPr>
        <w:t> </w:t>
      </w:r>
      <w:r>
        <w:rPr>
          <w:color w:val="231F20"/>
          <w:spacing w:val="-2"/>
          <w:w w:val="120"/>
        </w:rPr>
        <w:t>effort/récompense</w:t>
      </w:r>
      <w:r>
        <w:rPr>
          <w:color w:val="231F20"/>
          <w:spacing w:val="-11"/>
          <w:w w:val="120"/>
        </w:rPr>
        <w:t> </w:t>
      </w:r>
      <w:r>
        <w:rPr>
          <w:color w:val="231F20"/>
          <w:spacing w:val="-2"/>
          <w:w w:val="120"/>
        </w:rPr>
        <w:t>est</w:t>
      </w:r>
      <w:r>
        <w:rPr>
          <w:color w:val="231F20"/>
          <w:spacing w:val="-11"/>
          <w:w w:val="120"/>
        </w:rPr>
        <w:t> </w:t>
      </w:r>
      <w:r>
        <w:rPr>
          <w:color w:val="231F20"/>
          <w:spacing w:val="-2"/>
          <w:w w:val="120"/>
        </w:rPr>
        <w:t>du</w:t>
      </w:r>
      <w:r>
        <w:rPr>
          <w:color w:val="231F20"/>
          <w:spacing w:val="-10"/>
          <w:w w:val="120"/>
        </w:rPr>
        <w:t> </w:t>
      </w:r>
      <w:r>
        <w:rPr>
          <w:color w:val="231F20"/>
          <w:spacing w:val="-2"/>
          <w:w w:val="120"/>
        </w:rPr>
        <w:t>même</w:t>
      </w:r>
      <w:r>
        <w:rPr>
          <w:color w:val="231F20"/>
          <w:spacing w:val="-11"/>
          <w:w w:val="120"/>
        </w:rPr>
        <w:t> </w:t>
      </w:r>
      <w:r>
        <w:rPr>
          <w:color w:val="231F20"/>
          <w:spacing w:val="-2"/>
          <w:w w:val="120"/>
        </w:rPr>
        <w:t>acabit</w:t>
      </w:r>
      <w:r>
        <w:rPr>
          <w:color w:val="231F20"/>
          <w:spacing w:val="-11"/>
          <w:w w:val="120"/>
        </w:rPr>
        <w:t> </w:t>
      </w:r>
      <w:r>
        <w:rPr>
          <w:color w:val="231F20"/>
          <w:spacing w:val="-2"/>
          <w:w w:val="120"/>
        </w:rPr>
        <w:t>que</w:t>
      </w:r>
      <w:r>
        <w:rPr>
          <w:color w:val="231F20"/>
          <w:spacing w:val="-11"/>
          <w:w w:val="120"/>
        </w:rPr>
        <w:t> </w:t>
      </w:r>
      <w:r>
        <w:rPr>
          <w:color w:val="231F20"/>
          <w:spacing w:val="-2"/>
          <w:w w:val="120"/>
        </w:rPr>
        <w:t>celui</w:t>
      </w:r>
      <w:r>
        <w:rPr>
          <w:color w:val="231F20"/>
          <w:spacing w:val="-10"/>
          <w:w w:val="120"/>
        </w:rPr>
        <w:t> </w:t>
      </w:r>
      <w:r>
        <w:rPr>
          <w:color w:val="231F20"/>
          <w:spacing w:val="-2"/>
          <w:w w:val="120"/>
        </w:rPr>
        <w:t>de</w:t>
      </w:r>
      <w:r>
        <w:rPr>
          <w:color w:val="231F20"/>
          <w:spacing w:val="-11"/>
          <w:w w:val="120"/>
        </w:rPr>
        <w:t> </w:t>
      </w:r>
      <w:r>
        <w:rPr>
          <w:color w:val="231F20"/>
          <w:spacing w:val="-2"/>
          <w:w w:val="120"/>
        </w:rPr>
        <w:t>Karasek. À</w:t>
      </w:r>
      <w:r>
        <w:rPr>
          <w:color w:val="231F20"/>
          <w:spacing w:val="-4"/>
          <w:w w:val="120"/>
        </w:rPr>
        <w:t> </w:t>
      </w:r>
      <w:r>
        <w:rPr>
          <w:color w:val="231F20"/>
          <w:spacing w:val="-2"/>
          <w:w w:val="120"/>
        </w:rPr>
        <w:t>partir</w:t>
      </w:r>
      <w:r>
        <w:rPr>
          <w:color w:val="231F20"/>
          <w:spacing w:val="-4"/>
          <w:w w:val="120"/>
        </w:rPr>
        <w:t> </w:t>
      </w:r>
      <w:r>
        <w:rPr>
          <w:color w:val="231F20"/>
          <w:spacing w:val="-2"/>
          <w:w w:val="120"/>
        </w:rPr>
        <w:t>d’une</w:t>
      </w:r>
      <w:r>
        <w:rPr>
          <w:color w:val="231F20"/>
          <w:spacing w:val="-4"/>
          <w:w w:val="120"/>
        </w:rPr>
        <w:t> </w:t>
      </w:r>
      <w:r>
        <w:rPr>
          <w:color w:val="231F20"/>
          <w:spacing w:val="-2"/>
          <w:w w:val="120"/>
        </w:rPr>
        <w:t>logique</w:t>
      </w:r>
      <w:r>
        <w:rPr>
          <w:color w:val="231F20"/>
          <w:spacing w:val="-4"/>
          <w:w w:val="120"/>
        </w:rPr>
        <w:t> </w:t>
      </w:r>
      <w:r>
        <w:rPr>
          <w:color w:val="231F20"/>
          <w:spacing w:val="-2"/>
          <w:w w:val="120"/>
        </w:rPr>
        <w:t>interactionniste,</w:t>
      </w:r>
      <w:r>
        <w:rPr>
          <w:color w:val="231F20"/>
          <w:spacing w:val="-4"/>
          <w:w w:val="120"/>
        </w:rPr>
        <w:t> </w:t>
      </w:r>
      <w:r>
        <w:rPr>
          <w:color w:val="231F20"/>
          <w:spacing w:val="-2"/>
          <w:w w:val="120"/>
        </w:rPr>
        <w:t>ce</w:t>
      </w:r>
      <w:r>
        <w:rPr>
          <w:color w:val="231F20"/>
          <w:spacing w:val="-4"/>
          <w:w w:val="120"/>
        </w:rPr>
        <w:t> </w:t>
      </w:r>
      <w:r>
        <w:rPr>
          <w:color w:val="231F20"/>
          <w:spacing w:val="-2"/>
          <w:w w:val="120"/>
        </w:rPr>
        <w:t>modèle</w:t>
      </w:r>
      <w:r>
        <w:rPr>
          <w:color w:val="231F20"/>
          <w:spacing w:val="-4"/>
          <w:w w:val="120"/>
        </w:rPr>
        <w:t> </w:t>
      </w:r>
      <w:r>
        <w:rPr>
          <w:color w:val="231F20"/>
          <w:spacing w:val="-2"/>
          <w:w w:val="120"/>
        </w:rPr>
        <w:t>met</w:t>
      </w:r>
      <w:r>
        <w:rPr>
          <w:color w:val="231F20"/>
          <w:spacing w:val="-4"/>
          <w:w w:val="120"/>
        </w:rPr>
        <w:t> </w:t>
      </w:r>
      <w:r>
        <w:rPr>
          <w:color w:val="231F20"/>
          <w:spacing w:val="-2"/>
          <w:w w:val="120"/>
        </w:rPr>
        <w:t>de</w:t>
      </w:r>
      <w:r>
        <w:rPr>
          <w:color w:val="231F20"/>
          <w:spacing w:val="-4"/>
          <w:w w:val="120"/>
        </w:rPr>
        <w:t> </w:t>
      </w:r>
      <w:r>
        <w:rPr>
          <w:color w:val="231F20"/>
          <w:spacing w:val="-2"/>
          <w:w w:val="120"/>
        </w:rPr>
        <w:t>l’avant</w:t>
      </w:r>
      <w:r>
        <w:rPr>
          <w:color w:val="231F20"/>
          <w:spacing w:val="-4"/>
          <w:w w:val="120"/>
        </w:rPr>
        <w:t> </w:t>
      </w:r>
      <w:r>
        <w:rPr>
          <w:color w:val="231F20"/>
          <w:spacing w:val="-2"/>
          <w:w w:val="120"/>
        </w:rPr>
        <w:t>l’équi- libre</w:t>
      </w:r>
      <w:r>
        <w:rPr>
          <w:color w:val="231F20"/>
          <w:spacing w:val="-9"/>
          <w:w w:val="120"/>
        </w:rPr>
        <w:t> </w:t>
      </w:r>
      <w:r>
        <w:rPr>
          <w:color w:val="231F20"/>
          <w:spacing w:val="-2"/>
          <w:w w:val="120"/>
        </w:rPr>
        <w:t>entre</w:t>
      </w:r>
      <w:r>
        <w:rPr>
          <w:color w:val="231F20"/>
          <w:spacing w:val="-9"/>
          <w:w w:val="120"/>
        </w:rPr>
        <w:t> </w:t>
      </w:r>
      <w:r>
        <w:rPr>
          <w:color w:val="231F20"/>
          <w:spacing w:val="-2"/>
          <w:w w:val="120"/>
        </w:rPr>
        <w:t>les</w:t>
      </w:r>
      <w:r>
        <w:rPr>
          <w:color w:val="231F20"/>
          <w:spacing w:val="-9"/>
          <w:w w:val="120"/>
        </w:rPr>
        <w:t> </w:t>
      </w:r>
      <w:r>
        <w:rPr>
          <w:color w:val="231F20"/>
          <w:spacing w:val="-2"/>
          <w:w w:val="120"/>
        </w:rPr>
        <w:t>contributions</w:t>
      </w:r>
      <w:r>
        <w:rPr>
          <w:color w:val="231F20"/>
          <w:spacing w:val="-8"/>
          <w:w w:val="120"/>
        </w:rPr>
        <w:t> </w:t>
      </w:r>
      <w:r>
        <w:rPr>
          <w:color w:val="231F20"/>
          <w:spacing w:val="-2"/>
          <w:w w:val="120"/>
        </w:rPr>
        <w:t>et</w:t>
      </w:r>
      <w:r>
        <w:rPr>
          <w:color w:val="231F20"/>
          <w:spacing w:val="-9"/>
          <w:w w:val="120"/>
        </w:rPr>
        <w:t> </w:t>
      </w:r>
      <w:r>
        <w:rPr>
          <w:color w:val="231F20"/>
          <w:spacing w:val="-2"/>
          <w:w w:val="120"/>
        </w:rPr>
        <w:t>les</w:t>
      </w:r>
      <w:r>
        <w:rPr>
          <w:color w:val="231F20"/>
          <w:spacing w:val="-9"/>
          <w:w w:val="120"/>
        </w:rPr>
        <w:t> </w:t>
      </w:r>
      <w:r>
        <w:rPr>
          <w:color w:val="231F20"/>
          <w:spacing w:val="-2"/>
          <w:w w:val="120"/>
        </w:rPr>
        <w:t>rétributions</w:t>
      </w:r>
      <w:r>
        <w:rPr>
          <w:color w:val="231F20"/>
          <w:spacing w:val="-9"/>
          <w:w w:val="120"/>
        </w:rPr>
        <w:t> </w:t>
      </w:r>
      <w:r>
        <w:rPr>
          <w:color w:val="231F20"/>
          <w:spacing w:val="-2"/>
          <w:w w:val="120"/>
        </w:rPr>
        <w:t>comme</w:t>
      </w:r>
      <w:r>
        <w:rPr>
          <w:color w:val="231F20"/>
          <w:spacing w:val="-8"/>
          <w:w w:val="120"/>
        </w:rPr>
        <w:t> </w:t>
      </w:r>
      <w:r>
        <w:rPr>
          <w:color w:val="231F20"/>
          <w:spacing w:val="-2"/>
          <w:w w:val="120"/>
        </w:rPr>
        <w:t>vecteur</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8"/>
          <w:w w:val="120"/>
        </w:rPr>
        <w:t> </w:t>
      </w:r>
      <w:r>
        <w:rPr>
          <w:color w:val="231F20"/>
          <w:spacing w:val="-2"/>
          <w:w w:val="120"/>
        </w:rPr>
        <w:t>santé</w:t>
      </w:r>
    </w:p>
    <w:p>
      <w:pPr>
        <w:pStyle w:val="BodyText"/>
        <w:rPr>
          <w:sz w:val="20"/>
        </w:rPr>
      </w:pPr>
    </w:p>
    <w:p>
      <w:pPr>
        <w:pStyle w:val="BodyText"/>
        <w:rPr>
          <w:sz w:val="20"/>
        </w:rPr>
      </w:pPr>
    </w:p>
    <w:p>
      <w:pPr>
        <w:pStyle w:val="BodyText"/>
        <w:spacing w:before="1"/>
        <w:rPr>
          <w:sz w:val="11"/>
        </w:rPr>
      </w:pPr>
      <w:r>
        <w:rPr/>
        <w:pict>
          <v:shape style="position:absolute;margin-left:82pt;margin-top:7.583833pt;width:287.5pt;height:.1pt;mso-position-horizontal-relative:page;mso-position-vertical-relative:paragraph;z-index:-15689728;mso-wrap-distance-left:0;mso-wrap-distance-right:0" id="docshape576" coordorigin="1640,152" coordsize="5750,0" path="m1640,152l7390,152e" filled="false" stroked="true" strokeweight=".25pt" strokecolor="#231f20">
            <v:path arrowok="t"/>
            <v:stroke dashstyle="shortdot"/>
            <w10:wrap type="topAndBottom"/>
          </v:shape>
        </w:pict>
      </w:r>
    </w:p>
    <w:p>
      <w:pPr>
        <w:pStyle w:val="ListParagraph"/>
        <w:numPr>
          <w:ilvl w:val="0"/>
          <w:numId w:val="18"/>
        </w:numPr>
        <w:tabs>
          <w:tab w:pos="1219" w:val="left" w:leader="none"/>
          <w:tab w:pos="1220" w:val="left" w:leader="none"/>
        </w:tabs>
        <w:spacing w:line="295" w:lineRule="auto" w:before="135" w:after="0"/>
        <w:ind w:left="1219" w:right="108" w:hanging="406"/>
        <w:jc w:val="left"/>
        <w:rPr>
          <w:rFonts w:ascii="Arial"/>
          <w:sz w:val="12"/>
        </w:rPr>
      </w:pPr>
      <w:r>
        <w:rPr>
          <w:rFonts w:ascii="Arial"/>
          <w:color w:val="231F20"/>
          <w:sz w:val="12"/>
        </w:rPr>
        <w:t>Habibi,</w:t>
      </w:r>
      <w:r>
        <w:rPr>
          <w:rFonts w:ascii="Arial"/>
          <w:color w:val="231F20"/>
          <w:spacing w:val="-2"/>
          <w:sz w:val="12"/>
        </w:rPr>
        <w:t> </w:t>
      </w:r>
      <w:r>
        <w:rPr>
          <w:rFonts w:ascii="Arial"/>
          <w:color w:val="231F20"/>
          <w:sz w:val="12"/>
        </w:rPr>
        <w:t>E.,</w:t>
      </w:r>
      <w:r>
        <w:rPr>
          <w:rFonts w:ascii="Arial"/>
          <w:color w:val="231F20"/>
          <w:spacing w:val="-2"/>
          <w:sz w:val="12"/>
        </w:rPr>
        <w:t> </w:t>
      </w:r>
      <w:r>
        <w:rPr>
          <w:rFonts w:ascii="Arial"/>
          <w:color w:val="231F20"/>
          <w:sz w:val="12"/>
        </w:rPr>
        <w:t>Poorabdian,</w:t>
      </w:r>
      <w:r>
        <w:rPr>
          <w:rFonts w:ascii="Arial"/>
          <w:color w:val="231F20"/>
          <w:spacing w:val="-2"/>
          <w:sz w:val="12"/>
        </w:rPr>
        <w:t> </w:t>
      </w:r>
      <w:r>
        <w:rPr>
          <w:rFonts w:ascii="Arial"/>
          <w:color w:val="231F20"/>
          <w:sz w:val="12"/>
        </w:rPr>
        <w:t>S.</w:t>
      </w:r>
      <w:r>
        <w:rPr>
          <w:rFonts w:ascii="Arial"/>
          <w:color w:val="231F20"/>
          <w:spacing w:val="-2"/>
          <w:sz w:val="12"/>
        </w:rPr>
        <w:t> </w:t>
      </w:r>
      <w:r>
        <w:rPr>
          <w:rFonts w:ascii="Arial"/>
          <w:color w:val="231F20"/>
          <w:sz w:val="12"/>
        </w:rPr>
        <w:t>et</w:t>
      </w:r>
      <w:r>
        <w:rPr>
          <w:rFonts w:ascii="Arial"/>
          <w:color w:val="231F20"/>
          <w:spacing w:val="-2"/>
          <w:sz w:val="12"/>
        </w:rPr>
        <w:t> </w:t>
      </w:r>
      <w:r>
        <w:rPr>
          <w:rFonts w:ascii="Arial"/>
          <w:color w:val="231F20"/>
          <w:sz w:val="12"/>
        </w:rPr>
        <w:t>Shakerian,</w:t>
      </w:r>
      <w:r>
        <w:rPr>
          <w:rFonts w:ascii="Arial"/>
          <w:color w:val="231F20"/>
          <w:spacing w:val="-2"/>
          <w:sz w:val="12"/>
        </w:rPr>
        <w:t> </w:t>
      </w:r>
      <w:r>
        <w:rPr>
          <w:rFonts w:ascii="Arial"/>
          <w:color w:val="231F20"/>
          <w:sz w:val="12"/>
        </w:rPr>
        <w:t>M.</w:t>
      </w:r>
      <w:r>
        <w:rPr>
          <w:rFonts w:ascii="Arial"/>
          <w:color w:val="231F20"/>
          <w:spacing w:val="-2"/>
          <w:sz w:val="12"/>
        </w:rPr>
        <w:t> </w:t>
      </w:r>
      <w:r>
        <w:rPr>
          <w:rFonts w:ascii="Arial"/>
          <w:color w:val="231F20"/>
          <w:sz w:val="12"/>
        </w:rPr>
        <w:t>(2015).</w:t>
      </w:r>
      <w:r>
        <w:rPr>
          <w:rFonts w:ascii="Arial"/>
          <w:color w:val="231F20"/>
          <w:spacing w:val="-2"/>
          <w:sz w:val="12"/>
        </w:rPr>
        <w:t> </w:t>
      </w:r>
      <w:r>
        <w:rPr>
          <w:rFonts w:ascii="Arial"/>
          <w:color w:val="231F20"/>
          <w:sz w:val="12"/>
        </w:rPr>
        <w:t>Job</w:t>
      </w:r>
      <w:r>
        <w:rPr>
          <w:rFonts w:ascii="Arial"/>
          <w:color w:val="231F20"/>
          <w:spacing w:val="-2"/>
          <w:sz w:val="12"/>
        </w:rPr>
        <w:t> </w:t>
      </w:r>
      <w:r>
        <w:rPr>
          <w:rFonts w:ascii="Arial"/>
          <w:color w:val="231F20"/>
          <w:sz w:val="12"/>
        </w:rPr>
        <w:t>strain</w:t>
      </w:r>
      <w:r>
        <w:rPr>
          <w:rFonts w:ascii="Arial"/>
          <w:color w:val="231F20"/>
          <w:spacing w:val="-2"/>
          <w:sz w:val="12"/>
        </w:rPr>
        <w:t> </w:t>
      </w:r>
      <w:r>
        <w:rPr>
          <w:rFonts w:ascii="Arial"/>
          <w:color w:val="231F20"/>
          <w:sz w:val="12"/>
        </w:rPr>
        <w:t>(demands</w:t>
      </w:r>
      <w:r>
        <w:rPr>
          <w:rFonts w:ascii="Arial"/>
          <w:color w:val="231F20"/>
          <w:spacing w:val="-2"/>
          <w:sz w:val="12"/>
        </w:rPr>
        <w:t> </w:t>
      </w:r>
      <w:r>
        <w:rPr>
          <w:rFonts w:ascii="Arial"/>
          <w:color w:val="231F20"/>
          <w:sz w:val="12"/>
        </w:rPr>
        <w:t>and</w:t>
      </w:r>
      <w:r>
        <w:rPr>
          <w:rFonts w:ascii="Arial"/>
          <w:color w:val="231F20"/>
          <w:spacing w:val="-2"/>
          <w:sz w:val="12"/>
        </w:rPr>
        <w:t> </w:t>
      </w:r>
      <w:r>
        <w:rPr>
          <w:rFonts w:ascii="Arial"/>
          <w:color w:val="231F20"/>
          <w:sz w:val="12"/>
        </w:rPr>
        <w:t>control</w:t>
      </w:r>
      <w:r>
        <w:rPr>
          <w:rFonts w:ascii="Arial"/>
          <w:color w:val="231F20"/>
          <w:spacing w:val="-2"/>
          <w:sz w:val="12"/>
        </w:rPr>
        <w:t> </w:t>
      </w:r>
      <w:r>
        <w:rPr>
          <w:rFonts w:ascii="Arial"/>
          <w:color w:val="231F20"/>
          <w:sz w:val="12"/>
        </w:rPr>
        <w:t>model)</w:t>
      </w:r>
      <w:r>
        <w:rPr>
          <w:rFonts w:ascii="Arial"/>
          <w:color w:val="231F20"/>
          <w:spacing w:val="-2"/>
          <w:sz w:val="12"/>
        </w:rPr>
        <w:t> </w:t>
      </w:r>
      <w:r>
        <w:rPr>
          <w:rFonts w:ascii="Arial"/>
          <w:color w:val="231F20"/>
          <w:sz w:val="12"/>
        </w:rPr>
        <w:t>as</w:t>
      </w:r>
      <w:r>
        <w:rPr>
          <w:rFonts w:ascii="Arial"/>
          <w:color w:val="231F20"/>
          <w:spacing w:val="-2"/>
          <w:sz w:val="12"/>
        </w:rPr>
        <w:t> </w:t>
      </w:r>
      <w:r>
        <w:rPr>
          <w:rFonts w:ascii="Arial"/>
          <w:color w:val="231F20"/>
          <w:sz w:val="12"/>
        </w:rPr>
        <w:t>a</w:t>
      </w:r>
      <w:r>
        <w:rPr>
          <w:rFonts w:ascii="Arial"/>
          <w:color w:val="231F20"/>
          <w:spacing w:val="-2"/>
          <w:sz w:val="12"/>
        </w:rPr>
        <w:t> </w:t>
      </w:r>
      <w:r>
        <w:rPr>
          <w:rFonts w:ascii="Arial"/>
          <w:color w:val="231F20"/>
          <w:sz w:val="12"/>
        </w:rPr>
        <w:t>predictor</w:t>
      </w:r>
      <w:r>
        <w:rPr>
          <w:rFonts w:ascii="Arial"/>
          <w:color w:val="231F20"/>
          <w:spacing w:val="-2"/>
          <w:sz w:val="12"/>
        </w:rPr>
        <w:t> </w:t>
      </w:r>
      <w:r>
        <w:rPr>
          <w:rFonts w:ascii="Arial"/>
          <w:color w:val="231F20"/>
          <w:sz w:val="12"/>
        </w:rPr>
        <w:t>of</w:t>
      </w:r>
      <w:r>
        <w:rPr>
          <w:rFonts w:ascii="Arial"/>
          <w:color w:val="231F20"/>
          <w:spacing w:val="40"/>
          <w:sz w:val="12"/>
        </w:rPr>
        <w:t> </w:t>
      </w:r>
      <w:r>
        <w:rPr>
          <w:rFonts w:ascii="Arial"/>
          <w:color w:val="231F20"/>
          <w:sz w:val="12"/>
        </w:rPr>
        <w:t>cardiovascular</w:t>
      </w:r>
      <w:r>
        <w:rPr>
          <w:rFonts w:ascii="Arial"/>
          <w:color w:val="231F20"/>
          <w:spacing w:val="-9"/>
          <w:sz w:val="12"/>
        </w:rPr>
        <w:t> </w:t>
      </w:r>
      <w:r>
        <w:rPr>
          <w:rFonts w:ascii="Arial"/>
          <w:color w:val="231F20"/>
          <w:sz w:val="12"/>
        </w:rPr>
        <w:t>risk</w:t>
      </w:r>
      <w:r>
        <w:rPr>
          <w:rFonts w:ascii="Arial"/>
          <w:color w:val="231F20"/>
          <w:spacing w:val="-9"/>
          <w:sz w:val="12"/>
        </w:rPr>
        <w:t> </w:t>
      </w:r>
      <w:r>
        <w:rPr>
          <w:rFonts w:ascii="Arial"/>
          <w:color w:val="231F20"/>
          <w:sz w:val="12"/>
        </w:rPr>
        <w:t>factors</w:t>
      </w:r>
      <w:r>
        <w:rPr>
          <w:rFonts w:ascii="Arial"/>
          <w:color w:val="231F20"/>
          <w:spacing w:val="-9"/>
          <w:sz w:val="12"/>
        </w:rPr>
        <w:t> </w:t>
      </w:r>
      <w:r>
        <w:rPr>
          <w:rFonts w:ascii="Arial"/>
          <w:color w:val="231F20"/>
          <w:sz w:val="12"/>
        </w:rPr>
        <w:t>among</w:t>
      </w:r>
      <w:r>
        <w:rPr>
          <w:rFonts w:ascii="Arial"/>
          <w:color w:val="231F20"/>
          <w:spacing w:val="-9"/>
          <w:sz w:val="12"/>
        </w:rPr>
        <w:t> </w:t>
      </w:r>
      <w:r>
        <w:rPr>
          <w:rFonts w:ascii="Arial"/>
          <w:color w:val="231F20"/>
          <w:sz w:val="12"/>
        </w:rPr>
        <w:t>petrochemical</w:t>
      </w:r>
      <w:r>
        <w:rPr>
          <w:rFonts w:ascii="Arial"/>
          <w:color w:val="231F20"/>
          <w:spacing w:val="-9"/>
          <w:sz w:val="12"/>
        </w:rPr>
        <w:t> </w:t>
      </w:r>
      <w:r>
        <w:rPr>
          <w:rFonts w:ascii="Arial"/>
          <w:color w:val="231F20"/>
          <w:sz w:val="12"/>
        </w:rPr>
        <w:t>personnel,</w:t>
      </w:r>
      <w:r>
        <w:rPr>
          <w:rFonts w:ascii="Arial"/>
          <w:color w:val="231F20"/>
          <w:spacing w:val="-9"/>
          <w:sz w:val="12"/>
        </w:rPr>
        <w:t> </w:t>
      </w:r>
      <w:r>
        <w:rPr>
          <w:rFonts w:ascii="Arial"/>
          <w:i/>
          <w:color w:val="231F20"/>
          <w:sz w:val="12"/>
        </w:rPr>
        <w:t>Journal</w:t>
      </w:r>
      <w:r>
        <w:rPr>
          <w:rFonts w:ascii="Arial"/>
          <w:i/>
          <w:color w:val="231F20"/>
          <w:spacing w:val="-9"/>
          <w:sz w:val="12"/>
        </w:rPr>
        <w:t> </w:t>
      </w:r>
      <w:r>
        <w:rPr>
          <w:rFonts w:ascii="Arial"/>
          <w:i/>
          <w:color w:val="231F20"/>
          <w:sz w:val="12"/>
        </w:rPr>
        <w:t>of</w:t>
      </w:r>
      <w:r>
        <w:rPr>
          <w:rFonts w:ascii="Arial"/>
          <w:i/>
          <w:color w:val="231F20"/>
          <w:spacing w:val="-9"/>
          <w:sz w:val="12"/>
        </w:rPr>
        <w:t> </w:t>
      </w:r>
      <w:r>
        <w:rPr>
          <w:rFonts w:ascii="Arial"/>
          <w:i/>
          <w:color w:val="231F20"/>
          <w:sz w:val="12"/>
        </w:rPr>
        <w:t>Education</w:t>
      </w:r>
      <w:r>
        <w:rPr>
          <w:rFonts w:ascii="Arial"/>
          <w:i/>
          <w:color w:val="231F20"/>
          <w:spacing w:val="-9"/>
          <w:sz w:val="12"/>
        </w:rPr>
        <w:t> </w:t>
      </w:r>
      <w:r>
        <w:rPr>
          <w:rFonts w:ascii="Arial"/>
          <w:i/>
          <w:color w:val="231F20"/>
          <w:sz w:val="12"/>
        </w:rPr>
        <w:t>and</w:t>
      </w:r>
      <w:r>
        <w:rPr>
          <w:rFonts w:ascii="Arial"/>
          <w:i/>
          <w:color w:val="231F20"/>
          <w:spacing w:val="-9"/>
          <w:sz w:val="12"/>
        </w:rPr>
        <w:t> </w:t>
      </w:r>
      <w:r>
        <w:rPr>
          <w:rFonts w:ascii="Arial"/>
          <w:i/>
          <w:color w:val="231F20"/>
          <w:sz w:val="12"/>
        </w:rPr>
        <w:t>Health</w:t>
      </w:r>
      <w:r>
        <w:rPr>
          <w:rFonts w:ascii="Arial"/>
          <w:i/>
          <w:color w:val="231F20"/>
          <w:spacing w:val="-9"/>
          <w:sz w:val="12"/>
        </w:rPr>
        <w:t> </w:t>
      </w:r>
      <w:r>
        <w:rPr>
          <w:rFonts w:ascii="Arial"/>
          <w:i/>
          <w:color w:val="231F20"/>
          <w:sz w:val="12"/>
        </w:rPr>
        <w:t>Promotion</w:t>
      </w:r>
      <w:r>
        <w:rPr>
          <w:rFonts w:ascii="Arial"/>
          <w:color w:val="231F20"/>
          <w:sz w:val="12"/>
        </w:rPr>
        <w:t>,</w:t>
      </w:r>
      <w:r>
        <w:rPr>
          <w:rFonts w:ascii="Arial"/>
          <w:color w:val="231F20"/>
          <w:spacing w:val="-10"/>
          <w:sz w:val="12"/>
        </w:rPr>
        <w:t> </w:t>
      </w:r>
      <w:r>
        <w:rPr>
          <w:rFonts w:ascii="Arial"/>
          <w:i/>
          <w:color w:val="231F20"/>
          <w:sz w:val="12"/>
        </w:rPr>
        <w:t>4</w:t>
      </w:r>
      <w:r>
        <w:rPr>
          <w:rFonts w:ascii="Arial"/>
          <w:color w:val="231F20"/>
          <w:sz w:val="12"/>
        </w:rPr>
        <w:t>,</w:t>
      </w:r>
      <w:r>
        <w:rPr>
          <w:rFonts w:ascii="Arial"/>
          <w:color w:val="231F20"/>
          <w:spacing w:val="-9"/>
          <w:sz w:val="12"/>
        </w:rPr>
        <w:t> </w:t>
      </w:r>
      <w:r>
        <w:rPr>
          <w:rFonts w:ascii="Arial"/>
          <w:color w:val="231F20"/>
          <w:sz w:val="12"/>
        </w:rPr>
        <w:t>16.</w:t>
      </w:r>
    </w:p>
    <w:p>
      <w:pPr>
        <w:pStyle w:val="ListParagraph"/>
        <w:numPr>
          <w:ilvl w:val="0"/>
          <w:numId w:val="18"/>
        </w:numPr>
        <w:tabs>
          <w:tab w:pos="1219" w:val="left" w:leader="none"/>
          <w:tab w:pos="1220" w:val="left" w:leader="none"/>
        </w:tabs>
        <w:spacing w:line="240" w:lineRule="auto" w:before="0" w:after="0"/>
        <w:ind w:left="1219" w:right="0" w:hanging="407"/>
        <w:jc w:val="left"/>
        <w:rPr>
          <w:rFonts w:ascii="Arial"/>
          <w:sz w:val="12"/>
        </w:rPr>
      </w:pPr>
      <w:r>
        <w:rPr>
          <w:rFonts w:ascii="Arial"/>
          <w:color w:val="231F20"/>
          <w:sz w:val="12"/>
        </w:rPr>
        <w:t>Voir,</w:t>
      </w:r>
      <w:r>
        <w:rPr>
          <w:rFonts w:ascii="Arial"/>
          <w:color w:val="231F20"/>
          <w:spacing w:val="-8"/>
          <w:sz w:val="12"/>
        </w:rPr>
        <w:t> </w:t>
      </w:r>
      <w:r>
        <w:rPr>
          <w:rFonts w:ascii="Arial"/>
          <w:color w:val="231F20"/>
          <w:sz w:val="12"/>
        </w:rPr>
        <w:t>par</w:t>
      </w:r>
      <w:r>
        <w:rPr>
          <w:rFonts w:ascii="Arial"/>
          <w:color w:val="231F20"/>
          <w:spacing w:val="-7"/>
          <w:sz w:val="12"/>
        </w:rPr>
        <w:t> </w:t>
      </w:r>
      <w:r>
        <w:rPr>
          <w:rFonts w:ascii="Arial"/>
          <w:color w:val="231F20"/>
          <w:sz w:val="12"/>
        </w:rPr>
        <w:t>exemple:</w:t>
      </w:r>
      <w:r>
        <w:rPr>
          <w:rFonts w:ascii="Arial"/>
          <w:color w:val="231F20"/>
          <w:spacing w:val="-7"/>
          <w:sz w:val="12"/>
        </w:rPr>
        <w:t> </w:t>
      </w:r>
      <w:r>
        <w:rPr>
          <w:rFonts w:ascii="Arial"/>
          <w:color w:val="231F20"/>
          <w:sz w:val="12"/>
        </w:rPr>
        <w:t>Karasek,</w:t>
      </w:r>
      <w:r>
        <w:rPr>
          <w:rFonts w:ascii="Arial"/>
          <w:color w:val="231F20"/>
          <w:spacing w:val="-7"/>
          <w:sz w:val="12"/>
        </w:rPr>
        <w:t> </w:t>
      </w:r>
      <w:r>
        <w:rPr>
          <w:rFonts w:ascii="Arial"/>
          <w:color w:val="231F20"/>
          <w:sz w:val="12"/>
        </w:rPr>
        <w:t>R.</w:t>
      </w:r>
      <w:r>
        <w:rPr>
          <w:rFonts w:ascii="Arial"/>
          <w:color w:val="231F20"/>
          <w:spacing w:val="-8"/>
          <w:sz w:val="12"/>
        </w:rPr>
        <w:t> </w:t>
      </w:r>
      <w:r>
        <w:rPr>
          <w:rFonts w:ascii="Arial"/>
          <w:color w:val="231F20"/>
          <w:sz w:val="12"/>
        </w:rPr>
        <w:t>A.</w:t>
      </w:r>
      <w:r>
        <w:rPr>
          <w:rFonts w:ascii="Arial"/>
          <w:color w:val="231F20"/>
          <w:spacing w:val="-7"/>
          <w:sz w:val="12"/>
        </w:rPr>
        <w:t> </w:t>
      </w:r>
      <w:r>
        <w:rPr>
          <w:rFonts w:ascii="Arial"/>
          <w:color w:val="231F20"/>
          <w:sz w:val="12"/>
        </w:rPr>
        <w:t>et</w:t>
      </w:r>
      <w:r>
        <w:rPr>
          <w:rFonts w:ascii="Arial"/>
          <w:color w:val="231F20"/>
          <w:spacing w:val="-7"/>
          <w:sz w:val="12"/>
        </w:rPr>
        <w:t> </w:t>
      </w:r>
      <w:r>
        <w:rPr>
          <w:rFonts w:ascii="Arial"/>
          <w:color w:val="231F20"/>
          <w:sz w:val="12"/>
        </w:rPr>
        <w:t>Theorell,</w:t>
      </w:r>
      <w:r>
        <w:rPr>
          <w:rFonts w:ascii="Arial"/>
          <w:color w:val="231F20"/>
          <w:spacing w:val="-7"/>
          <w:sz w:val="12"/>
        </w:rPr>
        <w:t> </w:t>
      </w:r>
      <w:r>
        <w:rPr>
          <w:rFonts w:ascii="Arial"/>
          <w:color w:val="231F20"/>
          <w:sz w:val="12"/>
        </w:rPr>
        <w:t>T.</w:t>
      </w:r>
      <w:r>
        <w:rPr>
          <w:rFonts w:ascii="Arial"/>
          <w:color w:val="231F20"/>
          <w:spacing w:val="-8"/>
          <w:sz w:val="12"/>
        </w:rPr>
        <w:t> </w:t>
      </w:r>
      <w:r>
        <w:rPr>
          <w:rFonts w:ascii="Arial"/>
          <w:color w:val="231F20"/>
          <w:sz w:val="12"/>
        </w:rPr>
        <w:t>(1990).</w:t>
      </w:r>
      <w:r>
        <w:rPr>
          <w:rFonts w:ascii="Arial"/>
          <w:color w:val="231F20"/>
          <w:spacing w:val="-7"/>
          <w:sz w:val="12"/>
        </w:rPr>
        <w:t> </w:t>
      </w:r>
      <w:r>
        <w:rPr>
          <w:rFonts w:ascii="Arial"/>
          <w:i/>
          <w:color w:val="231F20"/>
          <w:sz w:val="12"/>
        </w:rPr>
        <w:t>Healthy</w:t>
      </w:r>
      <w:r>
        <w:rPr>
          <w:rFonts w:ascii="Arial"/>
          <w:i/>
          <w:color w:val="231F20"/>
          <w:spacing w:val="-7"/>
          <w:sz w:val="12"/>
        </w:rPr>
        <w:t> </w:t>
      </w:r>
      <w:r>
        <w:rPr>
          <w:rFonts w:ascii="Arial"/>
          <w:i/>
          <w:color w:val="231F20"/>
          <w:sz w:val="12"/>
        </w:rPr>
        <w:t>Work</w:t>
      </w:r>
      <w:r>
        <w:rPr>
          <w:rFonts w:ascii="Arial"/>
          <w:color w:val="231F20"/>
          <w:sz w:val="12"/>
        </w:rPr>
        <w:t>,</w:t>
      </w:r>
      <w:r>
        <w:rPr>
          <w:rFonts w:ascii="Arial"/>
          <w:color w:val="231F20"/>
          <w:spacing w:val="-7"/>
          <w:sz w:val="12"/>
        </w:rPr>
        <w:t> </w:t>
      </w:r>
      <w:r>
        <w:rPr>
          <w:rFonts w:ascii="Arial"/>
          <w:color w:val="231F20"/>
          <w:sz w:val="12"/>
        </w:rPr>
        <w:t>New</w:t>
      </w:r>
      <w:r>
        <w:rPr>
          <w:rFonts w:ascii="Arial"/>
          <w:color w:val="231F20"/>
          <w:spacing w:val="-8"/>
          <w:sz w:val="12"/>
        </w:rPr>
        <w:t> </w:t>
      </w:r>
      <w:r>
        <w:rPr>
          <w:rFonts w:ascii="Arial"/>
          <w:color w:val="231F20"/>
          <w:sz w:val="12"/>
        </w:rPr>
        <w:t>York,</w:t>
      </w:r>
      <w:r>
        <w:rPr>
          <w:rFonts w:ascii="Arial"/>
          <w:color w:val="231F20"/>
          <w:spacing w:val="-7"/>
          <w:sz w:val="12"/>
        </w:rPr>
        <w:t> </w:t>
      </w:r>
      <w:r>
        <w:rPr>
          <w:rFonts w:ascii="Arial"/>
          <w:color w:val="231F20"/>
          <w:sz w:val="12"/>
        </w:rPr>
        <w:t>Basic</w:t>
      </w:r>
      <w:r>
        <w:rPr>
          <w:rFonts w:ascii="Arial"/>
          <w:color w:val="231F20"/>
          <w:spacing w:val="-7"/>
          <w:sz w:val="12"/>
        </w:rPr>
        <w:t> </w:t>
      </w:r>
      <w:r>
        <w:rPr>
          <w:rFonts w:ascii="Arial"/>
          <w:color w:val="231F20"/>
          <w:spacing w:val="-2"/>
          <w:sz w:val="12"/>
        </w:rPr>
        <w:t>Books.</w:t>
      </w:r>
    </w:p>
    <w:p>
      <w:pPr>
        <w:spacing w:after="0" w:line="240" w:lineRule="auto"/>
        <w:jc w:val="left"/>
        <w:rPr>
          <w:rFonts w:ascii="Arial"/>
          <w:sz w:val="12"/>
        </w:rPr>
        <w:sectPr>
          <w:footerReference w:type="default" r:id="rId159"/>
          <w:pgSz w:w="8640" w:h="12960"/>
          <w:pgMar w:footer="424" w:header="0" w:top="500" w:bottom="620" w:left="420" w:right="1140"/>
        </w:sectPr>
      </w:pPr>
    </w:p>
    <w:p>
      <w:pPr>
        <w:spacing w:before="103"/>
        <w:ind w:left="1028" w:right="698" w:firstLine="0"/>
        <w:jc w:val="center"/>
        <w:rPr>
          <w:rFonts w:ascii="Arial" w:hAnsi="Arial"/>
          <w:sz w:val="14"/>
        </w:rPr>
      </w:pPr>
      <w:bookmarkStart w:name="Figure 2.8 / Modèle effort/récompense de" w:id="59"/>
      <w:bookmarkEnd w:id="59"/>
      <w:r>
        <w:rPr/>
      </w:r>
      <w:bookmarkStart w:name="_bookmark25" w:id="60"/>
      <w:bookmarkEnd w:id="6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4"/>
        <w:jc w:val="both"/>
      </w:pPr>
      <w:r>
        <w:rPr>
          <w:color w:val="231F20"/>
          <w:spacing w:val="-2"/>
          <w:w w:val="115"/>
        </w:rPr>
        <w:t>psychologique</w:t>
      </w:r>
      <w:r>
        <w:rPr>
          <w:color w:val="231F20"/>
          <w:spacing w:val="-9"/>
          <w:w w:val="115"/>
        </w:rPr>
        <w:t> </w:t>
      </w:r>
      <w:r>
        <w:rPr>
          <w:color w:val="231F20"/>
          <w:spacing w:val="-2"/>
          <w:w w:val="115"/>
        </w:rPr>
        <w:t>(figure</w:t>
      </w:r>
      <w:r>
        <w:rPr>
          <w:color w:val="231F20"/>
          <w:spacing w:val="-9"/>
          <w:w w:val="115"/>
        </w:rPr>
        <w:t> </w:t>
      </w:r>
      <w:r>
        <w:rPr>
          <w:color w:val="231F20"/>
          <w:spacing w:val="-2"/>
          <w:w w:val="115"/>
        </w:rPr>
        <w:t>2.8)18.</w:t>
      </w:r>
      <w:r>
        <w:rPr>
          <w:color w:val="231F20"/>
          <w:spacing w:val="-9"/>
          <w:w w:val="115"/>
        </w:rPr>
        <w:t> </w:t>
      </w:r>
      <w:r>
        <w:rPr>
          <w:i/>
          <w:color w:val="231F20"/>
          <w:spacing w:val="-2"/>
          <w:w w:val="115"/>
        </w:rPr>
        <w:t>A</w:t>
      </w:r>
      <w:r>
        <w:rPr>
          <w:i/>
          <w:color w:val="231F20"/>
          <w:spacing w:val="-9"/>
          <w:w w:val="115"/>
        </w:rPr>
        <w:t> </w:t>
      </w:r>
      <w:r>
        <w:rPr>
          <w:i/>
          <w:color w:val="231F20"/>
          <w:spacing w:val="-2"/>
          <w:w w:val="115"/>
        </w:rPr>
        <w:t>contrario</w:t>
      </w:r>
      <w:r>
        <w:rPr>
          <w:color w:val="231F20"/>
          <w:spacing w:val="-2"/>
          <w:w w:val="115"/>
        </w:rPr>
        <w:t>,</w:t>
      </w:r>
      <w:r>
        <w:rPr>
          <w:color w:val="231F20"/>
          <w:spacing w:val="-9"/>
          <w:w w:val="115"/>
        </w:rPr>
        <w:t> </w:t>
      </w:r>
      <w:r>
        <w:rPr>
          <w:color w:val="231F20"/>
          <w:spacing w:val="-2"/>
          <w:w w:val="115"/>
        </w:rPr>
        <w:t>le</w:t>
      </w:r>
      <w:r>
        <w:rPr>
          <w:color w:val="231F20"/>
          <w:spacing w:val="-9"/>
          <w:w w:val="115"/>
        </w:rPr>
        <w:t> </w:t>
      </w:r>
      <w:r>
        <w:rPr>
          <w:color w:val="231F20"/>
          <w:spacing w:val="-2"/>
          <w:w w:val="115"/>
        </w:rPr>
        <w:t>stress</w:t>
      </w:r>
      <w:r>
        <w:rPr>
          <w:color w:val="231F20"/>
          <w:spacing w:val="-9"/>
          <w:w w:val="115"/>
        </w:rPr>
        <w:t> </w:t>
      </w:r>
      <w:r>
        <w:rPr>
          <w:color w:val="231F20"/>
          <w:spacing w:val="-2"/>
          <w:w w:val="115"/>
        </w:rPr>
        <w:t>émerge</w:t>
      </w:r>
      <w:r>
        <w:rPr>
          <w:color w:val="231F20"/>
          <w:spacing w:val="-9"/>
          <w:w w:val="115"/>
        </w:rPr>
        <w:t> </w:t>
      </w:r>
      <w:r>
        <w:rPr>
          <w:color w:val="231F20"/>
          <w:spacing w:val="-2"/>
          <w:w w:val="115"/>
        </w:rPr>
        <w:t>lorsque</w:t>
      </w:r>
      <w:r>
        <w:rPr>
          <w:color w:val="231F20"/>
          <w:spacing w:val="-9"/>
          <w:w w:val="115"/>
        </w:rPr>
        <w:t> </w:t>
      </w:r>
      <w:r>
        <w:rPr>
          <w:color w:val="231F20"/>
          <w:spacing w:val="-2"/>
          <w:w w:val="115"/>
        </w:rPr>
        <w:t>survient </w:t>
      </w:r>
      <w:r>
        <w:rPr>
          <w:color w:val="231F20"/>
          <w:w w:val="120"/>
        </w:rPr>
        <w:t>un</w:t>
      </w:r>
      <w:r>
        <w:rPr>
          <w:color w:val="231F20"/>
          <w:spacing w:val="-13"/>
          <w:w w:val="120"/>
        </w:rPr>
        <w:t> </w:t>
      </w:r>
      <w:r>
        <w:rPr>
          <w:color w:val="231F20"/>
          <w:w w:val="120"/>
        </w:rPr>
        <w:t>déséquilibre</w:t>
      </w:r>
      <w:r>
        <w:rPr>
          <w:color w:val="231F20"/>
          <w:spacing w:val="-13"/>
          <w:w w:val="120"/>
        </w:rPr>
        <w:t> </w:t>
      </w:r>
      <w:r>
        <w:rPr>
          <w:color w:val="231F20"/>
          <w:w w:val="120"/>
        </w:rPr>
        <w:t>entre</w:t>
      </w:r>
      <w:r>
        <w:rPr>
          <w:color w:val="231F20"/>
          <w:spacing w:val="-13"/>
          <w:w w:val="120"/>
        </w:rPr>
        <w:t> </w:t>
      </w:r>
      <w:r>
        <w:rPr>
          <w:color w:val="231F20"/>
          <w:w w:val="120"/>
        </w:rPr>
        <w:t>les</w:t>
      </w:r>
      <w:r>
        <w:rPr>
          <w:color w:val="231F20"/>
          <w:spacing w:val="-12"/>
          <w:w w:val="120"/>
        </w:rPr>
        <w:t> </w:t>
      </w:r>
      <w:r>
        <w:rPr>
          <w:color w:val="231F20"/>
          <w:w w:val="120"/>
        </w:rPr>
        <w:t>efforts</w:t>
      </w:r>
      <w:r>
        <w:rPr>
          <w:color w:val="231F20"/>
          <w:spacing w:val="-13"/>
          <w:w w:val="120"/>
        </w:rPr>
        <w:t> </w:t>
      </w:r>
      <w:r>
        <w:rPr>
          <w:color w:val="231F20"/>
          <w:w w:val="120"/>
        </w:rPr>
        <w:t>du</w:t>
      </w:r>
      <w:r>
        <w:rPr>
          <w:color w:val="231F20"/>
          <w:spacing w:val="-13"/>
          <w:w w:val="120"/>
        </w:rPr>
        <w:t> </w:t>
      </w:r>
      <w:r>
        <w:rPr>
          <w:color w:val="231F20"/>
          <w:w w:val="120"/>
        </w:rPr>
        <w:t>travailleur</w:t>
      </w:r>
      <w:r>
        <w:rPr>
          <w:color w:val="231F20"/>
          <w:spacing w:val="-13"/>
          <w:w w:val="120"/>
        </w:rPr>
        <w:t> </w:t>
      </w:r>
      <w:r>
        <w:rPr>
          <w:color w:val="231F20"/>
          <w:w w:val="120"/>
        </w:rPr>
        <w:t>et</w:t>
      </w:r>
      <w:r>
        <w:rPr>
          <w:color w:val="231F20"/>
          <w:spacing w:val="-12"/>
          <w:w w:val="120"/>
        </w:rPr>
        <w:t> </w:t>
      </w:r>
      <w:r>
        <w:rPr>
          <w:color w:val="231F20"/>
          <w:w w:val="120"/>
        </w:rPr>
        <w:t>les</w:t>
      </w:r>
      <w:r>
        <w:rPr>
          <w:color w:val="231F20"/>
          <w:spacing w:val="-13"/>
          <w:w w:val="120"/>
        </w:rPr>
        <w:t> </w:t>
      </w:r>
      <w:r>
        <w:rPr>
          <w:color w:val="231F20"/>
          <w:w w:val="120"/>
        </w:rPr>
        <w:t>récompenses</w:t>
      </w:r>
      <w:r>
        <w:rPr>
          <w:color w:val="231F20"/>
          <w:spacing w:val="-13"/>
          <w:w w:val="120"/>
        </w:rPr>
        <w:t> </w:t>
      </w:r>
      <w:r>
        <w:rPr>
          <w:color w:val="231F20"/>
          <w:w w:val="120"/>
        </w:rPr>
        <w:t>qui</w:t>
      </w:r>
      <w:r>
        <w:rPr>
          <w:color w:val="231F20"/>
          <w:spacing w:val="-13"/>
          <w:w w:val="120"/>
        </w:rPr>
        <w:t> </w:t>
      </w:r>
      <w:r>
        <w:rPr>
          <w:color w:val="231F20"/>
          <w:w w:val="120"/>
        </w:rPr>
        <w:t>lui sont</w:t>
      </w:r>
      <w:r>
        <w:rPr>
          <w:color w:val="231F20"/>
          <w:spacing w:val="-7"/>
          <w:w w:val="120"/>
        </w:rPr>
        <w:t> </w:t>
      </w:r>
      <w:r>
        <w:rPr>
          <w:color w:val="231F20"/>
          <w:w w:val="120"/>
        </w:rPr>
        <w:t>consenties</w:t>
      </w:r>
      <w:r>
        <w:rPr>
          <w:color w:val="231F20"/>
          <w:spacing w:val="-7"/>
          <w:w w:val="120"/>
        </w:rPr>
        <w:t> </w:t>
      </w:r>
      <w:r>
        <w:rPr>
          <w:color w:val="231F20"/>
          <w:w w:val="120"/>
        </w:rPr>
        <w:t>par</w:t>
      </w:r>
      <w:r>
        <w:rPr>
          <w:color w:val="231F20"/>
          <w:spacing w:val="-7"/>
          <w:w w:val="120"/>
        </w:rPr>
        <w:t> </w:t>
      </w:r>
      <w:r>
        <w:rPr>
          <w:color w:val="231F20"/>
          <w:w w:val="120"/>
        </w:rPr>
        <w:t>l’organisation.</w:t>
      </w:r>
      <w:r>
        <w:rPr>
          <w:color w:val="231F20"/>
          <w:spacing w:val="-7"/>
          <w:w w:val="120"/>
        </w:rPr>
        <w:t> </w:t>
      </w:r>
      <w:r>
        <w:rPr>
          <w:color w:val="231F20"/>
          <w:w w:val="120"/>
        </w:rPr>
        <w:t>Ainsi,</w:t>
      </w:r>
      <w:r>
        <w:rPr>
          <w:color w:val="231F20"/>
          <w:spacing w:val="-7"/>
          <w:w w:val="120"/>
        </w:rPr>
        <w:t> </w:t>
      </w:r>
      <w:r>
        <w:rPr>
          <w:color w:val="231F20"/>
          <w:w w:val="120"/>
        </w:rPr>
        <w:t>ce</w:t>
      </w:r>
      <w:r>
        <w:rPr>
          <w:color w:val="231F20"/>
          <w:spacing w:val="-7"/>
          <w:w w:val="120"/>
        </w:rPr>
        <w:t> </w:t>
      </w:r>
      <w:r>
        <w:rPr>
          <w:color w:val="231F20"/>
          <w:w w:val="120"/>
        </w:rPr>
        <w:t>modèle</w:t>
      </w:r>
      <w:r>
        <w:rPr>
          <w:color w:val="231F20"/>
          <w:spacing w:val="-7"/>
          <w:w w:val="120"/>
        </w:rPr>
        <w:t> </w:t>
      </w:r>
      <w:r>
        <w:rPr>
          <w:color w:val="231F20"/>
          <w:w w:val="120"/>
        </w:rPr>
        <w:t>révèle</w:t>
      </w:r>
      <w:r>
        <w:rPr>
          <w:color w:val="231F20"/>
          <w:spacing w:val="-7"/>
          <w:w w:val="120"/>
        </w:rPr>
        <w:t> </w:t>
      </w:r>
      <w:r>
        <w:rPr>
          <w:color w:val="231F20"/>
          <w:w w:val="120"/>
        </w:rPr>
        <w:t>qu’un</w:t>
      </w:r>
      <w:r>
        <w:rPr>
          <w:color w:val="231F20"/>
          <w:spacing w:val="-7"/>
          <w:w w:val="120"/>
        </w:rPr>
        <w:t> </w:t>
      </w:r>
      <w:r>
        <w:rPr>
          <w:color w:val="231F20"/>
          <w:w w:val="120"/>
        </w:rPr>
        <w:t>désé- quilibre entre un grand effort (contribution) et une faible récompense (rétribution) génère une tension qui contribue à un éventail de consé- </w:t>
      </w:r>
      <w:r>
        <w:rPr>
          <w:color w:val="231F20"/>
          <w:spacing w:val="-2"/>
          <w:w w:val="120"/>
        </w:rPr>
        <w:t>quences</w:t>
      </w:r>
      <w:r>
        <w:rPr>
          <w:color w:val="231F20"/>
          <w:spacing w:val="-7"/>
          <w:w w:val="120"/>
        </w:rPr>
        <w:t> </w:t>
      </w:r>
      <w:r>
        <w:rPr>
          <w:color w:val="231F20"/>
          <w:spacing w:val="-2"/>
          <w:w w:val="120"/>
        </w:rPr>
        <w:t>négatives</w:t>
      </w:r>
      <w:r>
        <w:rPr>
          <w:color w:val="231F20"/>
          <w:spacing w:val="-7"/>
          <w:w w:val="120"/>
        </w:rPr>
        <w:t> </w:t>
      </w:r>
      <w:r>
        <w:rPr>
          <w:color w:val="231F20"/>
          <w:spacing w:val="-2"/>
          <w:w w:val="120"/>
        </w:rPr>
        <w:t>pour</w:t>
      </w:r>
      <w:r>
        <w:rPr>
          <w:color w:val="231F20"/>
          <w:spacing w:val="-7"/>
          <w:w w:val="120"/>
        </w:rPr>
        <w:t> </w:t>
      </w:r>
      <w:r>
        <w:rPr>
          <w:color w:val="231F20"/>
          <w:spacing w:val="-2"/>
          <w:w w:val="120"/>
        </w:rPr>
        <w:t>la</w:t>
      </w:r>
      <w:r>
        <w:rPr>
          <w:color w:val="231F20"/>
          <w:spacing w:val="-7"/>
          <w:w w:val="120"/>
        </w:rPr>
        <w:t> </w:t>
      </w:r>
      <w:r>
        <w:rPr>
          <w:color w:val="231F20"/>
          <w:spacing w:val="-2"/>
          <w:w w:val="120"/>
        </w:rPr>
        <w:t>santé,</w:t>
      </w:r>
      <w:r>
        <w:rPr>
          <w:color w:val="231F20"/>
          <w:spacing w:val="-7"/>
          <w:w w:val="120"/>
        </w:rPr>
        <w:t> </w:t>
      </w:r>
      <w:r>
        <w:rPr>
          <w:color w:val="231F20"/>
          <w:spacing w:val="-2"/>
          <w:w w:val="120"/>
        </w:rPr>
        <w:t>parmi</w:t>
      </w:r>
      <w:r>
        <w:rPr>
          <w:color w:val="231F20"/>
          <w:spacing w:val="-7"/>
          <w:w w:val="120"/>
        </w:rPr>
        <w:t> </w:t>
      </w:r>
      <w:r>
        <w:rPr>
          <w:color w:val="231F20"/>
          <w:spacing w:val="-2"/>
          <w:w w:val="120"/>
        </w:rPr>
        <w:t>lesquelles</w:t>
      </w:r>
      <w:r>
        <w:rPr>
          <w:color w:val="231F20"/>
          <w:spacing w:val="-7"/>
          <w:w w:val="120"/>
        </w:rPr>
        <w:t> </w:t>
      </w:r>
      <w:r>
        <w:rPr>
          <w:color w:val="231F20"/>
          <w:spacing w:val="-2"/>
          <w:w w:val="120"/>
        </w:rPr>
        <w:t>ressortent</w:t>
      </w:r>
      <w:r>
        <w:rPr>
          <w:color w:val="231F20"/>
          <w:spacing w:val="-7"/>
          <w:w w:val="120"/>
        </w:rPr>
        <w:t> </w:t>
      </w:r>
      <w:r>
        <w:rPr>
          <w:color w:val="231F20"/>
          <w:spacing w:val="-2"/>
          <w:w w:val="120"/>
        </w:rPr>
        <w:t>les</w:t>
      </w:r>
      <w:r>
        <w:rPr>
          <w:color w:val="231F20"/>
          <w:spacing w:val="-7"/>
          <w:w w:val="120"/>
        </w:rPr>
        <w:t> </w:t>
      </w:r>
      <w:r>
        <w:rPr>
          <w:color w:val="231F20"/>
          <w:spacing w:val="-2"/>
          <w:w w:val="120"/>
        </w:rPr>
        <w:t>maladies cardiovasculaires</w:t>
      </w:r>
      <w:r>
        <w:rPr>
          <w:color w:val="231F20"/>
          <w:spacing w:val="-3"/>
          <w:w w:val="120"/>
        </w:rPr>
        <w:t> </w:t>
      </w:r>
      <w:r>
        <w:rPr>
          <w:color w:val="231F20"/>
          <w:spacing w:val="-2"/>
          <w:w w:val="120"/>
        </w:rPr>
        <w:t>et</w:t>
      </w:r>
      <w:r>
        <w:rPr>
          <w:color w:val="231F20"/>
          <w:spacing w:val="-3"/>
          <w:w w:val="120"/>
        </w:rPr>
        <w:t> </w:t>
      </w:r>
      <w:r>
        <w:rPr>
          <w:color w:val="231F20"/>
          <w:spacing w:val="-2"/>
          <w:w w:val="120"/>
        </w:rPr>
        <w:t>les</w:t>
      </w:r>
      <w:r>
        <w:rPr>
          <w:color w:val="231F20"/>
          <w:spacing w:val="-3"/>
          <w:w w:val="120"/>
        </w:rPr>
        <w:t> </w:t>
      </w:r>
      <w:r>
        <w:rPr>
          <w:color w:val="231F20"/>
          <w:spacing w:val="-2"/>
          <w:w w:val="120"/>
        </w:rPr>
        <w:t>problèmes</w:t>
      </w:r>
      <w:r>
        <w:rPr>
          <w:color w:val="231F20"/>
          <w:spacing w:val="-3"/>
          <w:w w:val="120"/>
        </w:rPr>
        <w:t> </w:t>
      </w:r>
      <w:r>
        <w:rPr>
          <w:color w:val="231F20"/>
          <w:spacing w:val="-2"/>
          <w:w w:val="120"/>
        </w:rPr>
        <w:t>de</w:t>
      </w:r>
      <w:r>
        <w:rPr>
          <w:color w:val="231F20"/>
          <w:spacing w:val="-3"/>
          <w:w w:val="120"/>
        </w:rPr>
        <w:t> </w:t>
      </w:r>
      <w:r>
        <w:rPr>
          <w:color w:val="231F20"/>
          <w:spacing w:val="-2"/>
          <w:w w:val="120"/>
        </w:rPr>
        <w:t>santé</w:t>
      </w:r>
      <w:r>
        <w:rPr>
          <w:color w:val="231F20"/>
          <w:spacing w:val="-3"/>
          <w:w w:val="120"/>
        </w:rPr>
        <w:t> </w:t>
      </w:r>
      <w:r>
        <w:rPr>
          <w:color w:val="231F20"/>
          <w:spacing w:val="-2"/>
          <w:w w:val="120"/>
        </w:rPr>
        <w:t>psychologique</w:t>
      </w:r>
      <w:r>
        <w:rPr>
          <w:color w:val="231F20"/>
          <w:spacing w:val="-3"/>
          <w:w w:val="120"/>
        </w:rPr>
        <w:t> </w:t>
      </w:r>
      <w:r>
        <w:rPr>
          <w:color w:val="231F20"/>
          <w:spacing w:val="-2"/>
          <w:w w:val="120"/>
        </w:rPr>
        <w:t>tels</w:t>
      </w:r>
      <w:r>
        <w:rPr>
          <w:color w:val="231F20"/>
          <w:spacing w:val="-3"/>
          <w:w w:val="120"/>
        </w:rPr>
        <w:t> </w:t>
      </w:r>
      <w:r>
        <w:rPr>
          <w:color w:val="231F20"/>
          <w:spacing w:val="-2"/>
          <w:w w:val="120"/>
        </w:rPr>
        <w:t>que</w:t>
      </w:r>
      <w:r>
        <w:rPr>
          <w:color w:val="231F20"/>
          <w:spacing w:val="-3"/>
          <w:w w:val="120"/>
        </w:rPr>
        <w:t> </w:t>
      </w:r>
      <w:r>
        <w:rPr>
          <w:color w:val="231F20"/>
          <w:spacing w:val="-2"/>
          <w:w w:val="120"/>
        </w:rPr>
        <w:t>l’an- </w:t>
      </w:r>
      <w:r>
        <w:rPr>
          <w:color w:val="231F20"/>
          <w:w w:val="115"/>
        </w:rPr>
        <w:t>xiété et la dépression. Pour Siegrist, l’effort regroupe un grand ensemble </w:t>
      </w:r>
      <w:r>
        <w:rPr>
          <w:color w:val="231F20"/>
          <w:spacing w:val="-2"/>
          <w:w w:val="120"/>
        </w:rPr>
        <w:t>de réalités incluant le nombre d’heures travaillées, l’assiduité au travail, </w:t>
      </w:r>
      <w:r>
        <w:rPr>
          <w:color w:val="231F20"/>
          <w:w w:val="120"/>
        </w:rPr>
        <w:t>l’engagement</w:t>
      </w:r>
      <w:r>
        <w:rPr>
          <w:color w:val="231F20"/>
          <w:spacing w:val="-13"/>
          <w:w w:val="120"/>
        </w:rPr>
        <w:t> </w:t>
      </w:r>
      <w:r>
        <w:rPr>
          <w:color w:val="231F20"/>
          <w:w w:val="120"/>
        </w:rPr>
        <w:t>envers</w:t>
      </w:r>
      <w:r>
        <w:rPr>
          <w:color w:val="231F20"/>
          <w:spacing w:val="-13"/>
          <w:w w:val="120"/>
        </w:rPr>
        <w:t> </w:t>
      </w:r>
      <w:r>
        <w:rPr>
          <w:color w:val="231F20"/>
          <w:w w:val="120"/>
        </w:rPr>
        <w:t>l’organisation,</w:t>
      </w:r>
      <w:r>
        <w:rPr>
          <w:color w:val="231F20"/>
          <w:spacing w:val="-13"/>
          <w:w w:val="120"/>
        </w:rPr>
        <w:t> </w:t>
      </w:r>
      <w:r>
        <w:rPr>
          <w:color w:val="231F20"/>
          <w:w w:val="120"/>
        </w:rPr>
        <w:t>la</w:t>
      </w:r>
      <w:r>
        <w:rPr>
          <w:color w:val="231F20"/>
          <w:spacing w:val="-12"/>
          <w:w w:val="120"/>
        </w:rPr>
        <w:t> </w:t>
      </w:r>
      <w:r>
        <w:rPr>
          <w:color w:val="231F20"/>
          <w:w w:val="120"/>
        </w:rPr>
        <w:t>prestation</w:t>
      </w:r>
      <w:r>
        <w:rPr>
          <w:color w:val="231F20"/>
          <w:spacing w:val="-13"/>
          <w:w w:val="120"/>
        </w:rPr>
        <w:t> </w:t>
      </w:r>
      <w:r>
        <w:rPr>
          <w:color w:val="231F20"/>
          <w:w w:val="120"/>
        </w:rPr>
        <w:t>de</w:t>
      </w:r>
      <w:r>
        <w:rPr>
          <w:color w:val="231F20"/>
          <w:spacing w:val="-13"/>
          <w:w w:val="120"/>
        </w:rPr>
        <w:t> </w:t>
      </w:r>
      <w:r>
        <w:rPr>
          <w:color w:val="231F20"/>
          <w:w w:val="120"/>
        </w:rPr>
        <w:t>travail</w:t>
      </w:r>
      <w:r>
        <w:rPr>
          <w:color w:val="231F20"/>
          <w:spacing w:val="-13"/>
          <w:w w:val="120"/>
        </w:rPr>
        <w:t> </w:t>
      </w:r>
      <w:r>
        <w:rPr>
          <w:color w:val="231F20"/>
          <w:w w:val="120"/>
        </w:rPr>
        <w:t>et</w:t>
      </w:r>
      <w:r>
        <w:rPr>
          <w:color w:val="231F20"/>
          <w:spacing w:val="-12"/>
          <w:w w:val="120"/>
        </w:rPr>
        <w:t> </w:t>
      </w:r>
      <w:r>
        <w:rPr>
          <w:color w:val="231F20"/>
          <w:w w:val="120"/>
        </w:rPr>
        <w:t>la</w:t>
      </w:r>
      <w:r>
        <w:rPr>
          <w:color w:val="231F20"/>
          <w:spacing w:val="-13"/>
          <w:w w:val="120"/>
        </w:rPr>
        <w:t> </w:t>
      </w:r>
      <w:r>
        <w:rPr>
          <w:color w:val="231F20"/>
          <w:w w:val="120"/>
        </w:rPr>
        <w:t>loyauté </w:t>
      </w:r>
      <w:r>
        <w:rPr>
          <w:color w:val="231F20"/>
          <w:spacing w:val="-2"/>
          <w:w w:val="120"/>
        </w:rPr>
        <w:t>envers</w:t>
      </w:r>
      <w:r>
        <w:rPr>
          <w:color w:val="231F20"/>
          <w:spacing w:val="-11"/>
          <w:w w:val="120"/>
        </w:rPr>
        <w:t> </w:t>
      </w:r>
      <w:r>
        <w:rPr>
          <w:color w:val="231F20"/>
          <w:spacing w:val="-2"/>
          <w:w w:val="120"/>
        </w:rPr>
        <w:t>l’entreprise.</w:t>
      </w:r>
      <w:r>
        <w:rPr>
          <w:color w:val="231F20"/>
          <w:spacing w:val="-11"/>
          <w:w w:val="120"/>
        </w:rPr>
        <w:t> </w:t>
      </w:r>
      <w:r>
        <w:rPr>
          <w:color w:val="231F20"/>
          <w:spacing w:val="-2"/>
          <w:w w:val="120"/>
        </w:rPr>
        <w:t>Un</w:t>
      </w:r>
      <w:r>
        <w:rPr>
          <w:color w:val="231F20"/>
          <w:spacing w:val="-11"/>
          <w:w w:val="120"/>
        </w:rPr>
        <w:t> </w:t>
      </w:r>
      <w:r>
        <w:rPr>
          <w:color w:val="231F20"/>
          <w:spacing w:val="-2"/>
          <w:w w:val="120"/>
        </w:rPr>
        <w:t>vaste</w:t>
      </w:r>
      <w:r>
        <w:rPr>
          <w:color w:val="231F20"/>
          <w:spacing w:val="-10"/>
          <w:w w:val="120"/>
        </w:rPr>
        <w:t> </w:t>
      </w:r>
      <w:r>
        <w:rPr>
          <w:color w:val="231F20"/>
          <w:spacing w:val="-2"/>
          <w:w w:val="120"/>
        </w:rPr>
        <w:t>éventail</w:t>
      </w:r>
      <w:r>
        <w:rPr>
          <w:color w:val="231F20"/>
          <w:spacing w:val="-11"/>
          <w:w w:val="120"/>
        </w:rPr>
        <w:t> </w:t>
      </w:r>
      <w:r>
        <w:rPr>
          <w:color w:val="231F20"/>
          <w:spacing w:val="-2"/>
          <w:w w:val="120"/>
        </w:rPr>
        <w:t>de</w:t>
      </w:r>
      <w:r>
        <w:rPr>
          <w:color w:val="231F20"/>
          <w:spacing w:val="-11"/>
          <w:w w:val="120"/>
        </w:rPr>
        <w:t> </w:t>
      </w:r>
      <w:r>
        <w:rPr>
          <w:color w:val="231F20"/>
          <w:spacing w:val="-2"/>
          <w:w w:val="120"/>
        </w:rPr>
        <w:t>réalités</w:t>
      </w:r>
      <w:r>
        <w:rPr>
          <w:color w:val="231F20"/>
          <w:spacing w:val="-11"/>
          <w:w w:val="120"/>
        </w:rPr>
        <w:t> </w:t>
      </w:r>
      <w:r>
        <w:rPr>
          <w:color w:val="231F20"/>
          <w:spacing w:val="-2"/>
          <w:w w:val="120"/>
        </w:rPr>
        <w:t>rejoint</w:t>
      </w:r>
      <w:r>
        <w:rPr>
          <w:color w:val="231F20"/>
          <w:spacing w:val="-10"/>
          <w:w w:val="120"/>
        </w:rPr>
        <w:t> </w:t>
      </w:r>
      <w:r>
        <w:rPr>
          <w:color w:val="231F20"/>
          <w:spacing w:val="-2"/>
          <w:w w:val="120"/>
        </w:rPr>
        <w:t>aussi</w:t>
      </w:r>
      <w:r>
        <w:rPr>
          <w:color w:val="231F20"/>
          <w:spacing w:val="-11"/>
          <w:w w:val="120"/>
        </w:rPr>
        <w:t> </w:t>
      </w:r>
      <w:r>
        <w:rPr>
          <w:color w:val="231F20"/>
          <w:spacing w:val="-2"/>
          <w:w w:val="120"/>
        </w:rPr>
        <w:t>la</w:t>
      </w:r>
      <w:r>
        <w:rPr>
          <w:color w:val="231F20"/>
          <w:spacing w:val="-11"/>
          <w:w w:val="120"/>
        </w:rPr>
        <w:t> </w:t>
      </w:r>
      <w:r>
        <w:rPr>
          <w:color w:val="231F20"/>
          <w:spacing w:val="-2"/>
          <w:w w:val="120"/>
        </w:rPr>
        <w:t>notion</w:t>
      </w:r>
      <w:r>
        <w:rPr>
          <w:color w:val="231F20"/>
          <w:spacing w:val="-11"/>
          <w:w w:val="120"/>
        </w:rPr>
        <w:t> </w:t>
      </w:r>
      <w:r>
        <w:rPr>
          <w:color w:val="231F20"/>
          <w:spacing w:val="-2"/>
          <w:w w:val="120"/>
        </w:rPr>
        <w:t>de </w:t>
      </w:r>
      <w:r>
        <w:rPr>
          <w:i/>
          <w:color w:val="231F20"/>
          <w:w w:val="115"/>
        </w:rPr>
        <w:t>récompense </w:t>
      </w:r>
      <w:r>
        <w:rPr>
          <w:color w:val="231F20"/>
          <w:w w:val="115"/>
        </w:rPr>
        <w:t>dans ce modèle; la récompense pouvant être de l’ordre de la </w:t>
      </w:r>
      <w:r>
        <w:rPr>
          <w:color w:val="231F20"/>
          <w:w w:val="120"/>
        </w:rPr>
        <w:t>rémunération,</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reconnaissance,</w:t>
      </w:r>
      <w:r>
        <w:rPr>
          <w:color w:val="231F20"/>
          <w:spacing w:val="-2"/>
          <w:w w:val="120"/>
        </w:rPr>
        <w:t> </w:t>
      </w:r>
      <w:r>
        <w:rPr>
          <w:color w:val="231F20"/>
          <w:w w:val="120"/>
        </w:rPr>
        <w:t>des</w:t>
      </w:r>
      <w:r>
        <w:rPr>
          <w:color w:val="231F20"/>
          <w:spacing w:val="-2"/>
          <w:w w:val="120"/>
        </w:rPr>
        <w:t> </w:t>
      </w:r>
      <w:r>
        <w:rPr>
          <w:color w:val="231F20"/>
          <w:w w:val="120"/>
        </w:rPr>
        <w:t>possibilités</w:t>
      </w:r>
      <w:r>
        <w:rPr>
          <w:color w:val="231F20"/>
          <w:spacing w:val="-2"/>
          <w:w w:val="120"/>
        </w:rPr>
        <w:t> </w:t>
      </w:r>
      <w:r>
        <w:rPr>
          <w:color w:val="231F20"/>
          <w:w w:val="120"/>
        </w:rPr>
        <w:t>de</w:t>
      </w:r>
      <w:r>
        <w:rPr>
          <w:color w:val="231F20"/>
          <w:spacing w:val="-2"/>
          <w:w w:val="120"/>
        </w:rPr>
        <w:t> </w:t>
      </w:r>
      <w:r>
        <w:rPr>
          <w:color w:val="231F20"/>
          <w:w w:val="120"/>
        </w:rPr>
        <w:t>promotion,</w:t>
      </w:r>
      <w:r>
        <w:rPr>
          <w:color w:val="231F20"/>
          <w:spacing w:val="-2"/>
          <w:w w:val="120"/>
        </w:rPr>
        <w:t> </w:t>
      </w:r>
      <w:r>
        <w:rPr>
          <w:color w:val="231F20"/>
          <w:w w:val="120"/>
        </w:rPr>
        <w:t>des </w:t>
      </w:r>
      <w:r>
        <w:rPr>
          <w:color w:val="231F20"/>
          <w:w w:val="115"/>
        </w:rPr>
        <w:t>défis à relever. Dans une logique d’échange social entre l’organisation et l’employé,</w:t>
      </w:r>
      <w:r>
        <w:rPr>
          <w:color w:val="231F20"/>
          <w:spacing w:val="-10"/>
          <w:w w:val="115"/>
        </w:rPr>
        <w:t> </w:t>
      </w:r>
      <w:r>
        <w:rPr>
          <w:color w:val="231F20"/>
          <w:w w:val="115"/>
        </w:rPr>
        <w:t>un</w:t>
      </w:r>
      <w:r>
        <w:rPr>
          <w:color w:val="231F20"/>
          <w:spacing w:val="-10"/>
          <w:w w:val="115"/>
        </w:rPr>
        <w:t> </w:t>
      </w:r>
      <w:r>
        <w:rPr>
          <w:color w:val="231F20"/>
          <w:w w:val="115"/>
        </w:rPr>
        <w:t>équilibre</w:t>
      </w:r>
      <w:r>
        <w:rPr>
          <w:color w:val="231F20"/>
          <w:spacing w:val="-10"/>
          <w:w w:val="115"/>
        </w:rPr>
        <w:t> </w:t>
      </w:r>
      <w:r>
        <w:rPr>
          <w:color w:val="231F20"/>
          <w:w w:val="115"/>
        </w:rPr>
        <w:t>entre</w:t>
      </w:r>
      <w:r>
        <w:rPr>
          <w:color w:val="231F20"/>
          <w:spacing w:val="-10"/>
          <w:w w:val="115"/>
        </w:rPr>
        <w:t> </w:t>
      </w:r>
      <w:r>
        <w:rPr>
          <w:color w:val="231F20"/>
          <w:w w:val="115"/>
        </w:rPr>
        <w:t>l’effort</w:t>
      </w:r>
      <w:r>
        <w:rPr>
          <w:color w:val="231F20"/>
          <w:spacing w:val="-10"/>
          <w:w w:val="115"/>
        </w:rPr>
        <w:t> </w:t>
      </w:r>
      <w:r>
        <w:rPr>
          <w:color w:val="231F20"/>
          <w:w w:val="115"/>
        </w:rPr>
        <w:t>déployé</w:t>
      </w:r>
      <w:r>
        <w:rPr>
          <w:color w:val="231F20"/>
          <w:spacing w:val="-10"/>
          <w:w w:val="115"/>
        </w:rPr>
        <w:t> </w:t>
      </w:r>
      <w:r>
        <w:rPr>
          <w:color w:val="231F20"/>
          <w:w w:val="115"/>
        </w:rPr>
        <w:t>et</w:t>
      </w:r>
      <w:r>
        <w:rPr>
          <w:color w:val="231F20"/>
          <w:spacing w:val="-10"/>
          <w:w w:val="115"/>
        </w:rPr>
        <w:t> </w:t>
      </w:r>
      <w:r>
        <w:rPr>
          <w:color w:val="231F20"/>
          <w:w w:val="115"/>
        </w:rPr>
        <w:t>les</w:t>
      </w:r>
      <w:r>
        <w:rPr>
          <w:color w:val="231F20"/>
          <w:spacing w:val="-10"/>
          <w:w w:val="115"/>
        </w:rPr>
        <w:t> </w:t>
      </w:r>
      <w:r>
        <w:rPr>
          <w:color w:val="231F20"/>
          <w:w w:val="115"/>
        </w:rPr>
        <w:t>récompenses</w:t>
      </w:r>
      <w:r>
        <w:rPr>
          <w:color w:val="231F20"/>
          <w:spacing w:val="-10"/>
          <w:w w:val="115"/>
        </w:rPr>
        <w:t> </w:t>
      </w:r>
      <w:r>
        <w:rPr>
          <w:color w:val="231F20"/>
          <w:w w:val="115"/>
        </w:rPr>
        <w:t>obtenues </w:t>
      </w:r>
      <w:r>
        <w:rPr>
          <w:color w:val="231F20"/>
          <w:w w:val="120"/>
        </w:rPr>
        <w:t>est la condition nécessaire afin d’obtenir un environnement de travail favorisant le bien-être.</w:t>
      </w:r>
    </w:p>
    <w:p>
      <w:pPr>
        <w:pStyle w:val="BodyText"/>
        <w:spacing w:before="4"/>
        <w:rPr>
          <w:sz w:val="11"/>
        </w:rPr>
      </w:pPr>
      <w:r>
        <w:rPr/>
        <w:pict>
          <v:group style="position:absolute;margin-left:62.5pt;margin-top:7.742529pt;width:287.5pt;height:222.6pt;mso-position-horizontal-relative:page;mso-position-vertical-relative:paragraph;z-index:-15689216;mso-wrap-distance-left:0;mso-wrap-distance-right:0" id="docshapegroup578" coordorigin="1250,155" coordsize="5750,4452">
            <v:shape style="position:absolute;left:1250;top:154;width:5750;height:4452" id="docshape579" coordorigin="1250,155" coordsize="5750,4452" path="m7000,155l1250,155,1250,700,1250,860,1250,3937,1250,4047,1250,4607,7000,4607,7000,4047,7000,3937,7000,860,7000,700,7000,155xe" filled="true" fillcolor="#e2e3e4" stroked="false">
              <v:path arrowok="t"/>
              <v:fill type="solid"/>
            </v:shape>
            <v:line style="position:absolute" from="1500,3934" to="6750,3934" stroked="true" strokeweight=".25pt" strokecolor="#231f20">
              <v:stroke dashstyle="shortdot"/>
            </v:line>
            <v:line style="position:absolute" from="1535,2435" to="1637,2435" stroked="true" strokeweight=".25pt" strokecolor="#231f20">
              <v:stroke dashstyle="shortdot"/>
            </v:line>
            <v:line style="position:absolute" from="1657,2435" to="6735,2435" stroked="true" strokeweight=".25pt" strokecolor="#231f20">
              <v:stroke dashstyle="shortdot"/>
            </v:line>
            <v:shape style="position:absolute;left:3340;top:2472;width:1594;height:1284" id="docshape580" coordorigin="3340,2472" coordsize="1594,1284" path="m4137,2472l3340,3756,4933,3756,4137,2472xe" filled="true" fillcolor="#939598" stroked="false">
              <v:path arrowok="t"/>
              <v:fill type="solid"/>
            </v:shape>
            <v:line style="position:absolute" from="2288,2749" to="5953,2138" stroked="true" strokeweight="2pt" strokecolor="#939598">
              <v:stroke dashstyle="solid"/>
            </v:line>
            <v:line style="position:absolute" from="2284,1755" to="2284,1948" stroked="true" strokeweight=".25pt" strokecolor="#231f20">
              <v:stroke dashstyle="solid"/>
            </v:line>
            <v:shape style="position:absolute;left:2252;top:1938;width:65;height:57" id="docshape581" coordorigin="2252,1939" coordsize="65,57" path="m2317,1939l2252,1939,2284,1995,2317,1939xe" filled="true" fillcolor="#231f20" stroked="false">
              <v:path arrowok="t"/>
              <v:fill type="solid"/>
            </v:shape>
            <v:line style="position:absolute" from="5957,1333" to="5957,1526" stroked="true" strokeweight=".25pt" strokecolor="#231f20">
              <v:stroke dashstyle="solid"/>
            </v:line>
            <v:shape style="position:absolute;left:5924;top:1516;width:65;height:57" id="docshape582" coordorigin="5924,1517" coordsize="65,57" path="m5989,1517l5924,1517,5957,1573,5989,1517xe" filled="true" fillcolor="#231f20" stroked="false">
              <v:path arrowok="t"/>
              <v:fill type="solid"/>
            </v:shape>
            <v:line style="position:absolute" from="5957,3133" to="5957,2940" stroked="true" strokeweight=".25pt" strokecolor="#231f20">
              <v:stroke dashstyle="solid"/>
            </v:line>
            <v:shape style="position:absolute;left:5924;top:2892;width:65;height:57" id="docshape583" coordorigin="5924,2893" coordsize="65,57" path="m5957,2893l5924,2949,5989,2949,5957,2893xe" filled="true" fillcolor="#231f20" stroked="false">
              <v:path arrowok="t"/>
              <v:fill type="solid"/>
            </v:shape>
            <v:shape style="position:absolute;left:1684;top:2051;width:1200;height:1200" id="docshape584" coordorigin="1684,2052" coordsize="1200,1200" path="m2824,2052l1744,2052,1721,2057,1702,2070,1689,2089,1684,2112,1684,3192,1689,3215,1702,3234,1721,3247,1744,3252,2824,3252,2848,3247,2867,3234,2880,3215,2884,3192,2884,2112,2880,2089,2867,2070,2848,2057,2824,2052xe" filled="true" fillcolor="#636466" stroked="false">
              <v:path arrowok="t"/>
              <v:fill type="solid"/>
            </v:shape>
            <v:shape style="position:absolute;left:5356;top:1635;width:1200;height:1200" id="docshape585" coordorigin="5357,1636" coordsize="1200,1200" path="m6497,1636l5417,1636,5393,1640,5374,1653,5361,1672,5357,1696,5357,2776,5361,2799,5374,2818,5393,2831,5417,2836,6497,2836,6520,2831,6539,2818,6552,2799,6557,2776,6557,1696,6552,1672,6539,1653,6520,1640,6497,1636xe" filled="true" fillcolor="#c7c8ca" stroked="false">
              <v:path arrowok="t"/>
              <v:fill type="solid"/>
            </v:shape>
            <v:line style="position:absolute" from="2284,3555" to="2284,3361" stroked="true" strokeweight=".25pt" strokecolor="#231f20">
              <v:stroke dashstyle="solid"/>
            </v:line>
            <v:shape style="position:absolute;left:2252;top:3314;width:65;height:57" id="docshape586" coordorigin="2252,3315" coordsize="65,57" path="m2285,3315l2252,3371,2317,3371,2285,3315xe" filled="true" fillcolor="#231f20" stroked="false">
              <v:path arrowok="t"/>
              <v:fill type="solid"/>
            </v:shape>
            <v:shape style="position:absolute;left:1250;top:154;width:5750;height:4452" type="#_x0000_t202" id="docshape587" filled="false" stroked="false">
              <v:textbox inset="0,0,0,0">
                <w:txbxContent>
                  <w:p>
                    <w:pPr>
                      <w:spacing w:line="240" w:lineRule="auto" w:before="9"/>
                      <w:rPr>
                        <w:sz w:val="18"/>
                      </w:rPr>
                    </w:pPr>
                  </w:p>
                  <w:p>
                    <w:pPr>
                      <w:spacing w:before="0"/>
                      <w:ind w:left="250" w:right="0" w:firstLine="0"/>
                      <w:jc w:val="left"/>
                      <w:rPr>
                        <w:rFonts w:ascii="Arial" w:hAnsi="Arial"/>
                        <w:b/>
                        <w:sz w:val="17"/>
                      </w:rPr>
                    </w:pPr>
                    <w:r>
                      <w:rPr>
                        <w:rFonts w:ascii="Arial" w:hAnsi="Arial"/>
                        <w:color w:val="231F20"/>
                        <w:sz w:val="17"/>
                      </w:rPr>
                      <w:t>Figure</w:t>
                    </w:r>
                    <w:r>
                      <w:rPr>
                        <w:rFonts w:ascii="Arial" w:hAnsi="Arial"/>
                        <w:color w:val="231F20"/>
                        <w:spacing w:val="-8"/>
                        <w:sz w:val="17"/>
                      </w:rPr>
                      <w:t> </w:t>
                    </w:r>
                    <w:r>
                      <w:rPr>
                        <w:rFonts w:ascii="Arial" w:hAnsi="Arial"/>
                        <w:color w:val="231F20"/>
                        <w:sz w:val="17"/>
                      </w:rPr>
                      <w:t>2.8</w:t>
                    </w:r>
                    <w:r>
                      <w:rPr>
                        <w:rFonts w:ascii="Arial" w:hAnsi="Arial"/>
                        <w:color w:val="231F20"/>
                        <w:spacing w:val="-16"/>
                        <w:sz w:val="17"/>
                      </w:rPr>
                      <w:t> </w:t>
                    </w:r>
                    <w:r>
                      <w:rPr>
                        <w:rFonts w:ascii="Arial" w:hAnsi="Arial"/>
                        <w:i/>
                        <w:color w:val="231F20"/>
                        <w:sz w:val="17"/>
                      </w:rPr>
                      <w:t>/</w:t>
                    </w:r>
                    <w:r>
                      <w:rPr>
                        <w:rFonts w:ascii="Arial" w:hAnsi="Arial"/>
                        <w:i/>
                        <w:color w:val="231F20"/>
                        <w:spacing w:val="34"/>
                        <w:sz w:val="17"/>
                      </w:rPr>
                      <w:t> </w:t>
                    </w:r>
                    <w:r>
                      <w:rPr>
                        <w:rFonts w:ascii="Arial" w:hAnsi="Arial"/>
                        <w:b/>
                        <w:color w:val="231F20"/>
                        <w:sz w:val="17"/>
                      </w:rPr>
                      <w:t>Modèle</w:t>
                    </w:r>
                    <w:r>
                      <w:rPr>
                        <w:rFonts w:ascii="Arial" w:hAnsi="Arial"/>
                        <w:b/>
                        <w:color w:val="231F20"/>
                        <w:spacing w:val="-11"/>
                        <w:sz w:val="17"/>
                      </w:rPr>
                      <w:t> </w:t>
                    </w:r>
                    <w:r>
                      <w:rPr>
                        <w:rFonts w:ascii="Arial" w:hAnsi="Arial"/>
                        <w:b/>
                        <w:color w:val="231F20"/>
                        <w:sz w:val="17"/>
                      </w:rPr>
                      <w:t>effort/récompense</w:t>
                    </w:r>
                    <w:r>
                      <w:rPr>
                        <w:rFonts w:ascii="Arial" w:hAnsi="Arial"/>
                        <w:b/>
                        <w:color w:val="231F20"/>
                        <w:spacing w:val="-11"/>
                        <w:sz w:val="17"/>
                      </w:rPr>
                      <w:t> </w:t>
                    </w:r>
                    <w:r>
                      <w:rPr>
                        <w:rFonts w:ascii="Arial" w:hAnsi="Arial"/>
                        <w:b/>
                        <w:color w:val="231F20"/>
                        <w:sz w:val="17"/>
                      </w:rPr>
                      <w:t>de</w:t>
                    </w:r>
                    <w:r>
                      <w:rPr>
                        <w:rFonts w:ascii="Arial" w:hAnsi="Arial"/>
                        <w:b/>
                        <w:color w:val="231F20"/>
                        <w:spacing w:val="-11"/>
                        <w:sz w:val="17"/>
                      </w:rPr>
                      <w:t> </w:t>
                    </w:r>
                    <w:r>
                      <w:rPr>
                        <w:rFonts w:ascii="Arial" w:hAnsi="Arial"/>
                        <w:b/>
                        <w:color w:val="231F20"/>
                        <w:spacing w:val="-2"/>
                        <w:sz w:val="17"/>
                      </w:rPr>
                      <w:t>Siegrist</w:t>
                    </w:r>
                  </w:p>
                  <w:p>
                    <w:pPr>
                      <w:spacing w:line="249" w:lineRule="auto" w:before="196"/>
                      <w:ind w:left="4095" w:right="438" w:firstLine="0"/>
                      <w:jc w:val="center"/>
                      <w:rPr>
                        <w:rFonts w:ascii="Arial" w:hAnsi="Arial"/>
                        <w:sz w:val="15"/>
                      </w:rPr>
                    </w:pPr>
                    <w:r>
                      <w:rPr>
                        <w:rFonts w:ascii="Arial" w:hAnsi="Arial"/>
                        <w:color w:val="231F20"/>
                        <w:spacing w:val="-2"/>
                        <w:sz w:val="15"/>
                      </w:rPr>
                      <w:t>Rémunération</w:t>
                    </w:r>
                    <w:r>
                      <w:rPr>
                        <w:rFonts w:ascii="Arial" w:hAnsi="Arial"/>
                        <w:color w:val="231F20"/>
                        <w:sz w:val="15"/>
                      </w:rPr>
                      <w:t> </w:t>
                    </w:r>
                    <w:r>
                      <w:rPr>
                        <w:rFonts w:ascii="Arial" w:hAnsi="Arial"/>
                        <w:color w:val="231F20"/>
                        <w:spacing w:val="-2"/>
                        <w:sz w:val="15"/>
                      </w:rPr>
                      <w:t>Estime</w:t>
                    </w:r>
                    <w:r>
                      <w:rPr>
                        <w:rFonts w:ascii="Arial" w:hAnsi="Arial"/>
                        <w:color w:val="231F20"/>
                        <w:sz w:val="15"/>
                      </w:rPr>
                      <w:t> </w:t>
                    </w:r>
                    <w:r>
                      <w:rPr>
                        <w:rFonts w:ascii="Arial" w:hAnsi="Arial"/>
                        <w:color w:val="231F20"/>
                        <w:spacing w:val="-2"/>
                        <w:w w:val="95"/>
                        <w:sz w:val="15"/>
                      </w:rPr>
                      <w:t>Promotion/Sécurité</w:t>
                    </w:r>
                  </w:p>
                  <w:p>
                    <w:pPr>
                      <w:spacing w:line="240" w:lineRule="auto" w:before="0"/>
                      <w:rPr>
                        <w:rFonts w:ascii="Arial"/>
                        <w:sz w:val="22"/>
                      </w:rPr>
                    </w:pPr>
                  </w:p>
                  <w:p>
                    <w:pPr>
                      <w:spacing w:before="0"/>
                      <w:ind w:left="276" w:right="3956" w:firstLine="0"/>
                      <w:jc w:val="center"/>
                      <w:rPr>
                        <w:rFonts w:ascii="Arial"/>
                        <w:sz w:val="15"/>
                      </w:rPr>
                    </w:pPr>
                    <w:r>
                      <w:rPr>
                        <w:rFonts w:ascii="Arial"/>
                        <w:color w:val="231F20"/>
                        <w:spacing w:val="-2"/>
                        <w:sz w:val="15"/>
                      </w:rPr>
                      <w:t>Demandes/Obligations</w:t>
                    </w:r>
                  </w:p>
                  <w:p>
                    <w:pPr>
                      <w:spacing w:line="240" w:lineRule="auto" w:before="0"/>
                      <w:rPr>
                        <w:rFonts w:ascii="Arial"/>
                        <w:sz w:val="18"/>
                      </w:rPr>
                    </w:pPr>
                  </w:p>
                  <w:p>
                    <w:pPr>
                      <w:spacing w:line="240" w:lineRule="auto" w:before="1"/>
                      <w:rPr>
                        <w:rFonts w:ascii="Arial"/>
                        <w:sz w:val="18"/>
                      </w:rPr>
                    </w:pPr>
                  </w:p>
                  <w:p>
                    <w:pPr>
                      <w:spacing w:before="1"/>
                      <w:ind w:left="4093" w:right="438" w:firstLine="0"/>
                      <w:jc w:val="center"/>
                      <w:rPr>
                        <w:rFonts w:ascii="Arial" w:hAnsi="Arial"/>
                        <w:b/>
                        <w:sz w:val="15"/>
                      </w:rPr>
                    </w:pPr>
                    <w:r>
                      <w:rPr>
                        <w:rFonts w:ascii="Arial" w:hAnsi="Arial"/>
                        <w:b/>
                        <w:color w:val="231F20"/>
                        <w:spacing w:val="-2"/>
                        <w:sz w:val="15"/>
                      </w:rPr>
                      <w:t>Récompense</w:t>
                    </w:r>
                  </w:p>
                  <w:p>
                    <w:pPr>
                      <w:spacing w:line="240" w:lineRule="auto" w:before="2"/>
                      <w:rPr>
                        <w:rFonts w:ascii="Arial"/>
                        <w:b/>
                        <w:sz w:val="21"/>
                      </w:rPr>
                    </w:pPr>
                  </w:p>
                  <w:p>
                    <w:pPr>
                      <w:spacing w:before="0"/>
                      <w:ind w:left="276" w:right="3947" w:firstLine="0"/>
                      <w:jc w:val="center"/>
                      <w:rPr>
                        <w:rFonts w:ascii="Arial"/>
                        <w:b/>
                        <w:sz w:val="15"/>
                      </w:rPr>
                    </w:pPr>
                    <w:r>
                      <w:rPr>
                        <w:rFonts w:ascii="Arial"/>
                        <w:b/>
                        <w:color w:val="FFFFFF"/>
                        <w:spacing w:val="-2"/>
                        <w:sz w:val="15"/>
                      </w:rPr>
                      <w:t>Effort</w:t>
                    </w:r>
                  </w:p>
                  <w:p>
                    <w:pPr>
                      <w:spacing w:line="240" w:lineRule="auto" w:before="0"/>
                      <w:rPr>
                        <w:rFonts w:ascii="Arial"/>
                        <w:b/>
                        <w:sz w:val="20"/>
                      </w:rPr>
                    </w:pPr>
                  </w:p>
                  <w:p>
                    <w:pPr>
                      <w:spacing w:before="165"/>
                      <w:ind w:left="4095" w:right="432" w:firstLine="0"/>
                      <w:jc w:val="center"/>
                      <w:rPr>
                        <w:rFonts w:ascii="Arial"/>
                        <w:sz w:val="15"/>
                      </w:rPr>
                    </w:pPr>
                    <w:r>
                      <w:rPr>
                        <w:rFonts w:ascii="Arial"/>
                        <w:color w:val="231F20"/>
                        <w:spacing w:val="-2"/>
                        <w:sz w:val="15"/>
                      </w:rPr>
                      <w:t>Motivation</w:t>
                    </w:r>
                  </w:p>
                  <w:p>
                    <w:pPr>
                      <w:spacing w:line="240" w:lineRule="auto" w:before="6"/>
                      <w:rPr>
                        <w:rFonts w:ascii="Arial"/>
                        <w:sz w:val="22"/>
                      </w:rPr>
                    </w:pPr>
                  </w:p>
                  <w:p>
                    <w:pPr>
                      <w:spacing w:before="0"/>
                      <w:ind w:left="276" w:right="3956" w:firstLine="0"/>
                      <w:jc w:val="center"/>
                      <w:rPr>
                        <w:rFonts w:ascii="Arial"/>
                        <w:sz w:val="15"/>
                      </w:rPr>
                    </w:pPr>
                    <w:r>
                      <w:rPr>
                        <w:rFonts w:ascii="Arial"/>
                        <w:color w:val="231F20"/>
                        <w:spacing w:val="-2"/>
                        <w:sz w:val="15"/>
                      </w:rPr>
                      <w:t>Motivation</w:t>
                    </w:r>
                  </w:p>
                  <w:p>
                    <w:pPr>
                      <w:spacing w:line="240" w:lineRule="auto" w:before="0"/>
                      <w:rPr>
                        <w:rFonts w:ascii="Arial"/>
                        <w:sz w:val="18"/>
                      </w:rPr>
                    </w:pPr>
                  </w:p>
                  <w:p>
                    <w:pPr>
                      <w:spacing w:line="295" w:lineRule="auto" w:before="138"/>
                      <w:ind w:left="250" w:right="244" w:firstLine="0"/>
                      <w:jc w:val="left"/>
                      <w:rPr>
                        <w:rFonts w:ascii="Arial" w:hAnsi="Arial"/>
                        <w:sz w:val="12"/>
                      </w:rPr>
                    </w:pPr>
                    <w:r>
                      <w:rPr>
                        <w:rFonts w:ascii="Arial" w:hAnsi="Arial"/>
                        <w:color w:val="231F20"/>
                        <w:sz w:val="12"/>
                      </w:rPr>
                      <w:t>Source</w:t>
                    </w:r>
                    <w:r>
                      <w:rPr>
                        <w:rFonts w:ascii="Arial" w:hAnsi="Arial"/>
                        <w:color w:val="231F20"/>
                        <w:spacing w:val="-23"/>
                        <w:sz w:val="12"/>
                      </w:rPr>
                      <w:t> </w:t>
                    </w:r>
                    <w:r>
                      <w:rPr>
                        <w:rFonts w:ascii="Arial" w:hAnsi="Arial"/>
                        <w:color w:val="231F20"/>
                        <w:sz w:val="12"/>
                      </w:rPr>
                      <w:t>:</w:t>
                    </w:r>
                    <w:r>
                      <w:rPr>
                        <w:rFonts w:ascii="Arial" w:hAnsi="Arial"/>
                        <w:color w:val="231F20"/>
                        <w:spacing w:val="-9"/>
                        <w:sz w:val="12"/>
                      </w:rPr>
                      <w:t> </w:t>
                    </w:r>
                    <w:r>
                      <w:rPr>
                        <w:rFonts w:ascii="Arial" w:hAnsi="Arial"/>
                        <w:color w:val="231F20"/>
                        <w:sz w:val="12"/>
                      </w:rPr>
                      <w:t>&lt;https://</w:t>
                    </w:r>
                    <w:hyperlink r:id="rId163">
                      <w:r>
                        <w:rPr>
                          <w:rFonts w:ascii="Arial" w:hAnsi="Arial"/>
                          <w:color w:val="231F20"/>
                          <w:sz w:val="12"/>
                        </w:rPr>
                        <w:t>www.atousante.com/risques-professionnels/sante-mentale/stress-professionnel/</w:t>
                      </w:r>
                    </w:hyperlink>
                    <w:r>
                      <w:rPr>
                        <w:rFonts w:ascii="Arial" w:hAnsi="Arial"/>
                        <w:color w:val="231F20"/>
                        <w:spacing w:val="40"/>
                        <w:sz w:val="12"/>
                      </w:rPr>
                      <w:t> </w:t>
                    </w:r>
                    <w:r>
                      <w:rPr>
                        <w:rFonts w:ascii="Arial" w:hAnsi="Arial"/>
                        <w:color w:val="231F20"/>
                        <w:sz w:val="12"/>
                      </w:rPr>
                      <w:t>mesure-desequilibre-efforts-recompenses-questionnaire-siegrist&gt;,</w:t>
                    </w:r>
                    <w:r>
                      <w:rPr>
                        <w:rFonts w:ascii="Arial" w:hAnsi="Arial"/>
                        <w:color w:val="231F20"/>
                        <w:spacing w:val="17"/>
                        <w:sz w:val="12"/>
                      </w:rPr>
                      <w:t> </w:t>
                    </w:r>
                    <w:r>
                      <w:rPr>
                        <w:rFonts w:ascii="Arial" w:hAnsi="Arial"/>
                        <w:color w:val="231F20"/>
                        <w:sz w:val="12"/>
                      </w:rPr>
                      <w:t>consulté</w:t>
                    </w:r>
                    <w:r>
                      <w:rPr>
                        <w:rFonts w:ascii="Arial" w:hAnsi="Arial"/>
                        <w:color w:val="231F20"/>
                        <w:spacing w:val="17"/>
                        <w:sz w:val="12"/>
                      </w:rPr>
                      <w:t> </w:t>
                    </w:r>
                    <w:r>
                      <w:rPr>
                        <w:rFonts w:ascii="Arial" w:hAnsi="Arial"/>
                        <w:color w:val="231F20"/>
                        <w:sz w:val="12"/>
                      </w:rPr>
                      <w:t>le</w:t>
                    </w:r>
                    <w:r>
                      <w:rPr>
                        <w:rFonts w:ascii="Arial" w:hAnsi="Arial"/>
                        <w:color w:val="231F20"/>
                        <w:spacing w:val="17"/>
                        <w:sz w:val="12"/>
                      </w:rPr>
                      <w:t> </w:t>
                    </w:r>
                    <w:r>
                      <w:rPr>
                        <w:rFonts w:ascii="Arial" w:hAnsi="Arial"/>
                        <w:color w:val="231F20"/>
                        <w:sz w:val="12"/>
                      </w:rPr>
                      <w:t>22</w:t>
                    </w:r>
                    <w:r>
                      <w:rPr>
                        <w:rFonts w:ascii="Arial" w:hAnsi="Arial"/>
                        <w:color w:val="231F20"/>
                        <w:spacing w:val="17"/>
                        <w:sz w:val="12"/>
                      </w:rPr>
                      <w:t> </w:t>
                    </w:r>
                    <w:r>
                      <w:rPr>
                        <w:rFonts w:ascii="Arial" w:hAnsi="Arial"/>
                        <w:color w:val="231F20"/>
                        <w:sz w:val="12"/>
                      </w:rPr>
                      <w:t>octobre</w:t>
                    </w:r>
                    <w:r>
                      <w:rPr>
                        <w:rFonts w:ascii="Arial" w:hAnsi="Arial"/>
                        <w:color w:val="231F20"/>
                        <w:spacing w:val="17"/>
                        <w:sz w:val="12"/>
                      </w:rPr>
                      <w:t> </w:t>
                    </w:r>
                    <w:r>
                      <w:rPr>
                        <w:rFonts w:ascii="Arial" w:hAnsi="Arial"/>
                        <w:color w:val="231F20"/>
                        <w:spacing w:val="-2"/>
                        <w:sz w:val="12"/>
                      </w:rPr>
                      <w:t>2021.</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spacing w:before="3"/>
        <w:rPr>
          <w:sz w:val="14"/>
        </w:rPr>
      </w:pPr>
      <w:r>
        <w:rPr/>
        <w:pict>
          <v:shape style="position:absolute;margin-left:62.5pt;margin-top:9.40283pt;width:287.5pt;height:.1pt;mso-position-horizontal-relative:page;mso-position-vertical-relative:paragraph;z-index:-15688704;mso-wrap-distance-left:0;mso-wrap-distance-right:0" id="docshape588" coordorigin="1250,188" coordsize="5750,0" path="m1250,188l7000,188e" filled="false" stroked="true" strokeweight=".25pt" strokecolor="#231f20">
            <v:path arrowok="t"/>
            <v:stroke dashstyle="shortdot"/>
            <w10:wrap type="topAndBottom"/>
          </v:shape>
        </w:pict>
      </w:r>
    </w:p>
    <w:p>
      <w:pPr>
        <w:pStyle w:val="ListParagraph"/>
        <w:numPr>
          <w:ilvl w:val="0"/>
          <w:numId w:val="18"/>
        </w:numPr>
        <w:tabs>
          <w:tab w:pos="829" w:val="left" w:leader="none"/>
          <w:tab w:pos="830" w:val="left" w:leader="none"/>
        </w:tabs>
        <w:spacing w:line="295" w:lineRule="auto" w:before="135" w:after="0"/>
        <w:ind w:left="829" w:right="498" w:hanging="406"/>
        <w:jc w:val="left"/>
        <w:rPr>
          <w:rFonts w:ascii="Arial" w:hAnsi="Arial"/>
          <w:sz w:val="12"/>
        </w:rPr>
      </w:pPr>
      <w:r>
        <w:rPr>
          <w:rFonts w:ascii="Arial" w:hAnsi="Arial"/>
          <w:color w:val="231F20"/>
          <w:sz w:val="12"/>
        </w:rPr>
        <w:t>Siegrist,</w:t>
      </w:r>
      <w:r>
        <w:rPr>
          <w:rFonts w:ascii="Arial" w:hAnsi="Arial"/>
          <w:color w:val="231F20"/>
          <w:spacing w:val="-10"/>
          <w:sz w:val="12"/>
        </w:rPr>
        <w:t> </w:t>
      </w:r>
      <w:r>
        <w:rPr>
          <w:rFonts w:ascii="Arial" w:hAnsi="Arial"/>
          <w:color w:val="231F20"/>
          <w:sz w:val="12"/>
        </w:rPr>
        <w:t>J.</w:t>
      </w:r>
      <w:r>
        <w:rPr>
          <w:rFonts w:ascii="Arial" w:hAnsi="Arial"/>
          <w:color w:val="231F20"/>
          <w:spacing w:val="-10"/>
          <w:sz w:val="12"/>
        </w:rPr>
        <w:t> </w:t>
      </w:r>
      <w:r>
        <w:rPr>
          <w:rFonts w:ascii="Arial" w:hAnsi="Arial"/>
          <w:color w:val="231F20"/>
          <w:sz w:val="12"/>
        </w:rPr>
        <w:t>(1996).</w:t>
      </w:r>
      <w:r>
        <w:rPr>
          <w:rFonts w:ascii="Arial" w:hAnsi="Arial"/>
          <w:color w:val="231F20"/>
          <w:spacing w:val="-10"/>
          <w:sz w:val="12"/>
        </w:rPr>
        <w:t> </w:t>
      </w:r>
      <w:r>
        <w:rPr>
          <w:rFonts w:ascii="Arial" w:hAnsi="Arial"/>
          <w:color w:val="231F20"/>
          <w:sz w:val="12"/>
        </w:rPr>
        <w:t>Adverse</w:t>
      </w:r>
      <w:r>
        <w:rPr>
          <w:rFonts w:ascii="Arial" w:hAnsi="Arial"/>
          <w:color w:val="231F20"/>
          <w:spacing w:val="-10"/>
          <w:sz w:val="12"/>
        </w:rPr>
        <w:t> </w:t>
      </w:r>
      <w:r>
        <w:rPr>
          <w:rFonts w:ascii="Arial" w:hAnsi="Arial"/>
          <w:color w:val="231F20"/>
          <w:sz w:val="12"/>
        </w:rPr>
        <w:t>health</w:t>
      </w:r>
      <w:r>
        <w:rPr>
          <w:rFonts w:ascii="Arial" w:hAnsi="Arial"/>
          <w:color w:val="231F20"/>
          <w:spacing w:val="-10"/>
          <w:sz w:val="12"/>
        </w:rPr>
        <w:t> </w:t>
      </w:r>
      <w:r>
        <w:rPr>
          <w:rFonts w:ascii="Arial" w:hAnsi="Arial"/>
          <w:color w:val="231F20"/>
          <w:sz w:val="12"/>
        </w:rPr>
        <w:t>effects</w:t>
      </w:r>
      <w:r>
        <w:rPr>
          <w:rFonts w:ascii="Arial" w:hAnsi="Arial"/>
          <w:color w:val="231F20"/>
          <w:spacing w:val="-10"/>
          <w:sz w:val="12"/>
        </w:rPr>
        <w:t> </w:t>
      </w:r>
      <w:r>
        <w:rPr>
          <w:rFonts w:ascii="Arial" w:hAnsi="Arial"/>
          <w:color w:val="231F20"/>
          <w:sz w:val="12"/>
        </w:rPr>
        <w:t>of</w:t>
      </w:r>
      <w:r>
        <w:rPr>
          <w:rFonts w:ascii="Arial" w:hAnsi="Arial"/>
          <w:color w:val="231F20"/>
          <w:spacing w:val="-10"/>
          <w:sz w:val="12"/>
        </w:rPr>
        <w:t> </w:t>
      </w:r>
      <w:r>
        <w:rPr>
          <w:rFonts w:ascii="Arial" w:hAnsi="Arial"/>
          <w:color w:val="231F20"/>
          <w:sz w:val="12"/>
        </w:rPr>
        <w:t>high</w:t>
      </w:r>
      <w:r>
        <w:rPr>
          <w:rFonts w:ascii="Arial" w:hAnsi="Arial"/>
          <w:color w:val="231F20"/>
          <w:spacing w:val="-10"/>
          <w:sz w:val="12"/>
        </w:rPr>
        <w:t> </w:t>
      </w:r>
      <w:r>
        <w:rPr>
          <w:rFonts w:ascii="Arial" w:hAnsi="Arial"/>
          <w:color w:val="231F20"/>
          <w:sz w:val="12"/>
        </w:rPr>
        <w:t>effort–low</w:t>
      </w:r>
      <w:r>
        <w:rPr>
          <w:rFonts w:ascii="Arial" w:hAnsi="Arial"/>
          <w:color w:val="231F20"/>
          <w:spacing w:val="-10"/>
          <w:sz w:val="12"/>
        </w:rPr>
        <w:t> </w:t>
      </w:r>
      <w:r>
        <w:rPr>
          <w:rFonts w:ascii="Arial" w:hAnsi="Arial"/>
          <w:color w:val="231F20"/>
          <w:sz w:val="12"/>
        </w:rPr>
        <w:t>reward</w:t>
      </w:r>
      <w:r>
        <w:rPr>
          <w:rFonts w:ascii="Arial" w:hAnsi="Arial"/>
          <w:color w:val="231F20"/>
          <w:spacing w:val="-10"/>
          <w:sz w:val="12"/>
        </w:rPr>
        <w:t> </w:t>
      </w:r>
      <w:r>
        <w:rPr>
          <w:rFonts w:ascii="Arial" w:hAnsi="Arial"/>
          <w:color w:val="231F20"/>
          <w:sz w:val="12"/>
        </w:rPr>
        <w:t>conditions</w:t>
      </w:r>
      <w:r>
        <w:rPr>
          <w:rFonts w:ascii="Arial" w:hAnsi="Arial"/>
          <w:color w:val="231F20"/>
          <w:spacing w:val="-10"/>
          <w:sz w:val="12"/>
        </w:rPr>
        <w:t> </w:t>
      </w:r>
      <w:r>
        <w:rPr>
          <w:rFonts w:ascii="Arial" w:hAnsi="Arial"/>
          <w:color w:val="231F20"/>
          <w:sz w:val="12"/>
        </w:rPr>
        <w:t>at</w:t>
      </w:r>
      <w:r>
        <w:rPr>
          <w:rFonts w:ascii="Arial" w:hAnsi="Arial"/>
          <w:color w:val="231F20"/>
          <w:spacing w:val="-10"/>
          <w:sz w:val="12"/>
        </w:rPr>
        <w:t> </w:t>
      </w:r>
      <w:r>
        <w:rPr>
          <w:rFonts w:ascii="Arial" w:hAnsi="Arial"/>
          <w:color w:val="231F20"/>
          <w:sz w:val="12"/>
        </w:rPr>
        <w:t>work,</w:t>
      </w:r>
      <w:r>
        <w:rPr>
          <w:rFonts w:ascii="Arial" w:hAnsi="Arial"/>
          <w:color w:val="231F20"/>
          <w:spacing w:val="-10"/>
          <w:sz w:val="12"/>
        </w:rPr>
        <w:t> </w:t>
      </w:r>
      <w:r>
        <w:rPr>
          <w:rFonts w:ascii="Arial" w:hAnsi="Arial"/>
          <w:i/>
          <w:color w:val="231F20"/>
          <w:sz w:val="12"/>
        </w:rPr>
        <w:t>Journal</w:t>
      </w:r>
      <w:r>
        <w:rPr>
          <w:rFonts w:ascii="Arial" w:hAnsi="Arial"/>
          <w:i/>
          <w:color w:val="231F20"/>
          <w:spacing w:val="-10"/>
          <w:sz w:val="12"/>
        </w:rPr>
        <w:t> </w:t>
      </w:r>
      <w:r>
        <w:rPr>
          <w:rFonts w:ascii="Arial" w:hAnsi="Arial"/>
          <w:i/>
          <w:color w:val="231F20"/>
          <w:sz w:val="12"/>
        </w:rPr>
        <w:t>of</w:t>
      </w:r>
      <w:r>
        <w:rPr>
          <w:rFonts w:ascii="Arial" w:hAnsi="Arial"/>
          <w:i/>
          <w:color w:val="231F20"/>
          <w:spacing w:val="-12"/>
          <w:sz w:val="12"/>
        </w:rPr>
        <w:t> </w:t>
      </w:r>
      <w:r>
        <w:rPr>
          <w:rFonts w:ascii="Arial" w:hAnsi="Arial"/>
          <w:i/>
          <w:color w:val="231F20"/>
          <w:sz w:val="12"/>
        </w:rPr>
        <w:t>Occupational</w:t>
      </w:r>
      <w:r>
        <w:rPr>
          <w:rFonts w:ascii="Arial" w:hAnsi="Arial"/>
          <w:i/>
          <w:color w:val="231F20"/>
          <w:spacing w:val="40"/>
          <w:w w:val="105"/>
          <w:sz w:val="12"/>
        </w:rPr>
        <w:t> </w:t>
      </w:r>
      <w:r>
        <w:rPr>
          <w:rFonts w:ascii="Arial" w:hAnsi="Arial"/>
          <w:i/>
          <w:color w:val="231F20"/>
          <w:w w:val="105"/>
          <w:sz w:val="12"/>
        </w:rPr>
        <w:t>Health</w:t>
      </w:r>
      <w:r>
        <w:rPr>
          <w:rFonts w:ascii="Arial" w:hAnsi="Arial"/>
          <w:i/>
          <w:color w:val="231F20"/>
          <w:spacing w:val="-8"/>
          <w:w w:val="105"/>
          <w:sz w:val="12"/>
        </w:rPr>
        <w:t> </w:t>
      </w:r>
      <w:r>
        <w:rPr>
          <w:rFonts w:ascii="Arial" w:hAnsi="Arial"/>
          <w:i/>
          <w:color w:val="231F20"/>
          <w:w w:val="105"/>
          <w:sz w:val="12"/>
        </w:rPr>
        <w:t>Psychology</w:t>
      </w:r>
      <w:r>
        <w:rPr>
          <w:rFonts w:ascii="Arial" w:hAnsi="Arial"/>
          <w:color w:val="231F20"/>
          <w:w w:val="105"/>
          <w:sz w:val="12"/>
        </w:rPr>
        <w:t>,</w:t>
      </w:r>
      <w:r>
        <w:rPr>
          <w:rFonts w:ascii="Arial" w:hAnsi="Arial"/>
          <w:color w:val="231F20"/>
          <w:spacing w:val="-8"/>
          <w:w w:val="105"/>
          <w:sz w:val="12"/>
        </w:rPr>
        <w:t> </w:t>
      </w:r>
      <w:r>
        <w:rPr>
          <w:rFonts w:ascii="Arial" w:hAnsi="Arial"/>
          <w:i/>
          <w:color w:val="231F20"/>
          <w:w w:val="105"/>
          <w:sz w:val="12"/>
        </w:rPr>
        <w:t>1</w:t>
      </w:r>
      <w:r>
        <w:rPr>
          <w:rFonts w:ascii="Arial" w:hAnsi="Arial"/>
          <w:color w:val="231F20"/>
          <w:w w:val="105"/>
          <w:sz w:val="12"/>
        </w:rPr>
        <w:t>,</w:t>
      </w:r>
      <w:r>
        <w:rPr>
          <w:rFonts w:ascii="Arial" w:hAnsi="Arial"/>
          <w:color w:val="231F20"/>
          <w:spacing w:val="-8"/>
          <w:w w:val="105"/>
          <w:sz w:val="12"/>
        </w:rPr>
        <w:t> </w:t>
      </w:r>
      <w:r>
        <w:rPr>
          <w:rFonts w:ascii="Arial" w:hAnsi="Arial"/>
          <w:color w:val="231F20"/>
          <w:w w:val="105"/>
          <w:sz w:val="12"/>
        </w:rPr>
        <w:t>27-43.</w:t>
      </w:r>
    </w:p>
    <w:p>
      <w:pPr>
        <w:spacing w:after="0" w:line="295" w:lineRule="auto"/>
        <w:jc w:val="left"/>
        <w:rPr>
          <w:rFonts w:ascii="Arial" w:hAnsi="Arial"/>
          <w:sz w:val="12"/>
        </w:rPr>
        <w:sectPr>
          <w:footerReference w:type="default" r:id="rId162"/>
          <w:pgSz w:w="8640" w:h="12960"/>
          <w:pgMar w:footer="424" w:header="0" w:top="520" w:bottom="620" w:left="420" w:right="1140"/>
        </w:sectPr>
      </w:pPr>
    </w:p>
    <w:p>
      <w:pPr>
        <w:spacing w:before="118"/>
        <w:ind w:left="2396" w:right="0" w:firstLine="0"/>
        <w:jc w:val="left"/>
        <w:rPr>
          <w:rFonts w:ascii="Arial" w:hAnsi="Arial"/>
          <w:sz w:val="14"/>
        </w:rPr>
      </w:pPr>
      <w:bookmarkStart w:name=" 2.4 / Facteurs déterminant le stress au" w:id="61"/>
      <w:bookmarkEnd w:id="61"/>
      <w:r>
        <w:rPr/>
      </w:r>
      <w:bookmarkStart w:name=" 2.4.1 / Vulnérabilité au stress" w:id="62"/>
      <w:bookmarkEnd w:id="62"/>
      <w:r>
        <w:rPr/>
      </w:r>
      <w:bookmarkStart w:name="_bookmark26" w:id="63"/>
      <w:bookmarkEnd w:id="63"/>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0"/>
        <w:jc w:val="both"/>
      </w:pPr>
      <w:r>
        <w:rPr>
          <w:color w:val="231F20"/>
          <w:w w:val="120"/>
        </w:rPr>
        <w:t>Comme</w:t>
      </w:r>
      <w:r>
        <w:rPr>
          <w:color w:val="231F20"/>
          <w:spacing w:val="-11"/>
          <w:w w:val="120"/>
        </w:rPr>
        <w:t> </w:t>
      </w:r>
      <w:r>
        <w:rPr>
          <w:color w:val="231F20"/>
          <w:w w:val="120"/>
        </w:rPr>
        <w:t>on</w:t>
      </w:r>
      <w:r>
        <w:rPr>
          <w:color w:val="231F20"/>
          <w:spacing w:val="-11"/>
          <w:w w:val="120"/>
        </w:rPr>
        <w:t> </w:t>
      </w:r>
      <w:r>
        <w:rPr>
          <w:color w:val="231F20"/>
          <w:w w:val="120"/>
        </w:rPr>
        <w:t>peut</w:t>
      </w:r>
      <w:r>
        <w:rPr>
          <w:color w:val="231F20"/>
          <w:spacing w:val="-11"/>
          <w:w w:val="120"/>
        </w:rPr>
        <w:t> </w:t>
      </w:r>
      <w:r>
        <w:rPr>
          <w:color w:val="231F20"/>
          <w:w w:val="120"/>
        </w:rPr>
        <w:t>le</w:t>
      </w:r>
      <w:r>
        <w:rPr>
          <w:color w:val="231F20"/>
          <w:spacing w:val="-11"/>
          <w:w w:val="120"/>
        </w:rPr>
        <w:t> </w:t>
      </w:r>
      <w:r>
        <w:rPr>
          <w:color w:val="231F20"/>
          <w:w w:val="120"/>
        </w:rPr>
        <w:t>constater,</w:t>
      </w:r>
      <w:r>
        <w:rPr>
          <w:color w:val="231F20"/>
          <w:spacing w:val="-11"/>
          <w:w w:val="120"/>
        </w:rPr>
        <w:t> </w:t>
      </w:r>
      <w:r>
        <w:rPr>
          <w:color w:val="231F20"/>
          <w:w w:val="120"/>
        </w:rPr>
        <w:t>il</w:t>
      </w:r>
      <w:r>
        <w:rPr>
          <w:color w:val="231F20"/>
          <w:spacing w:val="-11"/>
          <w:w w:val="120"/>
        </w:rPr>
        <w:t> </w:t>
      </w:r>
      <w:r>
        <w:rPr>
          <w:color w:val="231F20"/>
          <w:w w:val="120"/>
        </w:rPr>
        <w:t>y</w:t>
      </w:r>
      <w:r>
        <w:rPr>
          <w:color w:val="231F20"/>
          <w:spacing w:val="-11"/>
          <w:w w:val="120"/>
        </w:rPr>
        <w:t> </w:t>
      </w:r>
      <w:r>
        <w:rPr>
          <w:color w:val="231F20"/>
          <w:w w:val="120"/>
        </w:rPr>
        <w:t>a</w:t>
      </w:r>
      <w:r>
        <w:rPr>
          <w:color w:val="231F20"/>
          <w:spacing w:val="-11"/>
          <w:w w:val="120"/>
        </w:rPr>
        <w:t> </w:t>
      </w:r>
      <w:r>
        <w:rPr>
          <w:color w:val="231F20"/>
          <w:w w:val="120"/>
        </w:rPr>
        <w:t>des</w:t>
      </w:r>
      <w:r>
        <w:rPr>
          <w:color w:val="231F20"/>
          <w:spacing w:val="-11"/>
          <w:w w:val="120"/>
        </w:rPr>
        <w:t> </w:t>
      </w:r>
      <w:r>
        <w:rPr>
          <w:color w:val="231F20"/>
          <w:w w:val="120"/>
        </w:rPr>
        <w:t>ramifications</w:t>
      </w:r>
      <w:r>
        <w:rPr>
          <w:color w:val="231F20"/>
          <w:spacing w:val="-11"/>
          <w:w w:val="120"/>
        </w:rPr>
        <w:t> </w:t>
      </w:r>
      <w:r>
        <w:rPr>
          <w:color w:val="231F20"/>
          <w:w w:val="120"/>
        </w:rPr>
        <w:t>évidentes</w:t>
      </w:r>
      <w:r>
        <w:rPr>
          <w:color w:val="231F20"/>
          <w:spacing w:val="-11"/>
          <w:w w:val="120"/>
        </w:rPr>
        <w:t> </w:t>
      </w:r>
      <w:r>
        <w:rPr>
          <w:color w:val="231F20"/>
          <w:w w:val="120"/>
        </w:rPr>
        <w:t>entre</w:t>
      </w:r>
      <w:r>
        <w:rPr>
          <w:color w:val="231F20"/>
          <w:spacing w:val="-11"/>
          <w:w w:val="120"/>
        </w:rPr>
        <w:t> </w:t>
      </w:r>
      <w:r>
        <w:rPr>
          <w:color w:val="231F20"/>
          <w:w w:val="120"/>
        </w:rPr>
        <w:t>ces modèles, complémentarité qui peut aussi être retrouvée dans d’autres modèles interactionnistes qui mettent en jeu divers facteurs contribu- tifs19. Plus particulièrement, des études démontrent clairement que le </w:t>
      </w:r>
      <w:r>
        <w:rPr>
          <w:color w:val="231F20"/>
          <w:spacing w:val="-2"/>
          <w:w w:val="120"/>
        </w:rPr>
        <w:t>contrôle</w:t>
      </w:r>
      <w:r>
        <w:rPr>
          <w:color w:val="231F20"/>
          <w:spacing w:val="-11"/>
          <w:w w:val="120"/>
        </w:rPr>
        <w:t> </w:t>
      </w:r>
      <w:r>
        <w:rPr>
          <w:color w:val="231F20"/>
          <w:spacing w:val="-2"/>
          <w:w w:val="120"/>
        </w:rPr>
        <w:t>sur</w:t>
      </w:r>
      <w:r>
        <w:rPr>
          <w:color w:val="231F20"/>
          <w:spacing w:val="-10"/>
          <w:w w:val="120"/>
        </w:rPr>
        <w:t> </w:t>
      </w:r>
      <w:r>
        <w:rPr>
          <w:color w:val="231F20"/>
          <w:spacing w:val="-2"/>
          <w:w w:val="120"/>
        </w:rPr>
        <w:t>le</w:t>
      </w:r>
      <w:r>
        <w:rPr>
          <w:color w:val="231F20"/>
          <w:spacing w:val="-11"/>
          <w:w w:val="120"/>
        </w:rPr>
        <w:t> </w:t>
      </w:r>
      <w:r>
        <w:rPr>
          <w:color w:val="231F20"/>
          <w:spacing w:val="-2"/>
          <w:w w:val="120"/>
        </w:rPr>
        <w:t>travail,</w:t>
      </w:r>
      <w:r>
        <w:rPr>
          <w:color w:val="231F20"/>
          <w:spacing w:val="-10"/>
          <w:w w:val="120"/>
        </w:rPr>
        <w:t> </w:t>
      </w:r>
      <w:r>
        <w:rPr>
          <w:color w:val="231F20"/>
          <w:spacing w:val="-2"/>
          <w:w w:val="120"/>
        </w:rPr>
        <w:t>le</w:t>
      </w:r>
      <w:r>
        <w:rPr>
          <w:color w:val="231F20"/>
          <w:spacing w:val="-11"/>
          <w:w w:val="120"/>
        </w:rPr>
        <w:t> </w:t>
      </w:r>
      <w:r>
        <w:rPr>
          <w:color w:val="231F20"/>
          <w:spacing w:val="-2"/>
          <w:w w:val="120"/>
        </w:rPr>
        <w:t>soutien</w:t>
      </w:r>
      <w:r>
        <w:rPr>
          <w:color w:val="231F20"/>
          <w:spacing w:val="-10"/>
          <w:w w:val="120"/>
        </w:rPr>
        <w:t> </w:t>
      </w:r>
      <w:r>
        <w:rPr>
          <w:color w:val="231F20"/>
          <w:spacing w:val="-2"/>
          <w:w w:val="120"/>
        </w:rPr>
        <w:t>social</w:t>
      </w:r>
      <w:r>
        <w:rPr>
          <w:color w:val="231F20"/>
          <w:spacing w:val="-11"/>
          <w:w w:val="120"/>
        </w:rPr>
        <w:t> </w:t>
      </w:r>
      <w:r>
        <w:rPr>
          <w:color w:val="231F20"/>
          <w:spacing w:val="-2"/>
          <w:w w:val="120"/>
        </w:rPr>
        <w:t>et</w:t>
      </w:r>
      <w:r>
        <w:rPr>
          <w:color w:val="231F20"/>
          <w:spacing w:val="-10"/>
          <w:w w:val="120"/>
        </w:rPr>
        <w:t> </w:t>
      </w:r>
      <w:r>
        <w:rPr>
          <w:color w:val="231F20"/>
          <w:spacing w:val="-2"/>
          <w:w w:val="120"/>
        </w:rPr>
        <w:t>les</w:t>
      </w:r>
      <w:r>
        <w:rPr>
          <w:color w:val="231F20"/>
          <w:spacing w:val="-11"/>
          <w:w w:val="120"/>
        </w:rPr>
        <w:t> </w:t>
      </w:r>
      <w:r>
        <w:rPr>
          <w:color w:val="231F20"/>
          <w:spacing w:val="-2"/>
          <w:w w:val="120"/>
        </w:rPr>
        <w:t>récompenses</w:t>
      </w:r>
      <w:r>
        <w:rPr>
          <w:color w:val="231F20"/>
          <w:spacing w:val="-10"/>
          <w:w w:val="120"/>
        </w:rPr>
        <w:t> </w:t>
      </w:r>
      <w:r>
        <w:rPr>
          <w:color w:val="231F20"/>
          <w:spacing w:val="-2"/>
          <w:w w:val="120"/>
        </w:rPr>
        <w:t>s’additionnent </w:t>
      </w:r>
      <w:r>
        <w:rPr>
          <w:color w:val="231F20"/>
          <w:w w:val="120"/>
        </w:rPr>
        <w:t>selon une logique où plus est préférable à moins. Ainsi, globalement, les</w:t>
      </w:r>
      <w:r>
        <w:rPr>
          <w:color w:val="231F20"/>
          <w:spacing w:val="-4"/>
          <w:w w:val="120"/>
        </w:rPr>
        <w:t> </w:t>
      </w:r>
      <w:r>
        <w:rPr>
          <w:color w:val="231F20"/>
          <w:w w:val="120"/>
        </w:rPr>
        <w:t>travailleurs</w:t>
      </w:r>
      <w:r>
        <w:rPr>
          <w:color w:val="231F20"/>
          <w:spacing w:val="-4"/>
          <w:w w:val="120"/>
        </w:rPr>
        <w:t> </w:t>
      </w:r>
      <w:r>
        <w:rPr>
          <w:color w:val="231F20"/>
          <w:w w:val="120"/>
        </w:rPr>
        <w:t>ayant</w:t>
      </w:r>
      <w:r>
        <w:rPr>
          <w:color w:val="231F20"/>
          <w:spacing w:val="-4"/>
          <w:w w:val="120"/>
        </w:rPr>
        <w:t> </w:t>
      </w:r>
      <w:r>
        <w:rPr>
          <w:color w:val="231F20"/>
          <w:w w:val="120"/>
        </w:rPr>
        <w:t>du</w:t>
      </w:r>
      <w:r>
        <w:rPr>
          <w:color w:val="231F20"/>
          <w:spacing w:val="-4"/>
          <w:w w:val="120"/>
        </w:rPr>
        <w:t> </w:t>
      </w:r>
      <w:r>
        <w:rPr>
          <w:color w:val="231F20"/>
          <w:w w:val="120"/>
        </w:rPr>
        <w:t>contrôle,</w:t>
      </w:r>
      <w:r>
        <w:rPr>
          <w:color w:val="231F20"/>
          <w:spacing w:val="-4"/>
          <w:w w:val="120"/>
        </w:rPr>
        <w:t> </w:t>
      </w:r>
      <w:r>
        <w:rPr>
          <w:color w:val="231F20"/>
          <w:w w:val="120"/>
        </w:rPr>
        <w:t>du</w:t>
      </w:r>
      <w:r>
        <w:rPr>
          <w:color w:val="231F20"/>
          <w:spacing w:val="-4"/>
          <w:w w:val="120"/>
        </w:rPr>
        <w:t> </w:t>
      </w:r>
      <w:r>
        <w:rPr>
          <w:color w:val="231F20"/>
          <w:w w:val="120"/>
        </w:rPr>
        <w:t>soutien</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reconnaissance</w:t>
      </w:r>
      <w:r>
        <w:rPr>
          <w:color w:val="231F20"/>
          <w:spacing w:val="-4"/>
          <w:w w:val="120"/>
        </w:rPr>
        <w:t> </w:t>
      </w:r>
      <w:r>
        <w:rPr>
          <w:color w:val="231F20"/>
          <w:w w:val="120"/>
        </w:rPr>
        <w:t>se </w:t>
      </w:r>
      <w:r>
        <w:rPr>
          <w:color w:val="231F20"/>
          <w:spacing w:val="-2"/>
          <w:w w:val="120"/>
        </w:rPr>
        <w:t>portent</w:t>
      </w:r>
      <w:r>
        <w:rPr>
          <w:color w:val="231F20"/>
          <w:spacing w:val="-11"/>
          <w:w w:val="120"/>
        </w:rPr>
        <w:t> </w:t>
      </w:r>
      <w:r>
        <w:rPr>
          <w:color w:val="231F20"/>
          <w:spacing w:val="-2"/>
          <w:w w:val="120"/>
        </w:rPr>
        <w:t>psychologiquement</w:t>
      </w:r>
      <w:r>
        <w:rPr>
          <w:color w:val="231F20"/>
          <w:spacing w:val="-11"/>
          <w:w w:val="120"/>
        </w:rPr>
        <w:t> </w:t>
      </w:r>
      <w:r>
        <w:rPr>
          <w:color w:val="231F20"/>
          <w:spacing w:val="-2"/>
          <w:w w:val="120"/>
        </w:rPr>
        <w:t>mieux</w:t>
      </w:r>
      <w:r>
        <w:rPr>
          <w:color w:val="231F20"/>
          <w:spacing w:val="-10"/>
          <w:w w:val="120"/>
        </w:rPr>
        <w:t> </w:t>
      </w:r>
      <w:r>
        <w:rPr>
          <w:color w:val="231F20"/>
          <w:spacing w:val="-2"/>
          <w:w w:val="120"/>
        </w:rPr>
        <w:t>que</w:t>
      </w:r>
      <w:r>
        <w:rPr>
          <w:color w:val="231F20"/>
          <w:spacing w:val="-11"/>
          <w:w w:val="120"/>
        </w:rPr>
        <w:t> </w:t>
      </w:r>
      <w:r>
        <w:rPr>
          <w:color w:val="231F20"/>
          <w:spacing w:val="-2"/>
          <w:w w:val="120"/>
        </w:rPr>
        <w:t>leurs</w:t>
      </w:r>
      <w:r>
        <w:rPr>
          <w:color w:val="231F20"/>
          <w:spacing w:val="-11"/>
          <w:w w:val="120"/>
        </w:rPr>
        <w:t> </w:t>
      </w:r>
      <w:r>
        <w:rPr>
          <w:color w:val="231F20"/>
          <w:spacing w:val="-2"/>
          <w:w w:val="120"/>
        </w:rPr>
        <w:t>collègues</w:t>
      </w:r>
      <w:r>
        <w:rPr>
          <w:color w:val="231F20"/>
          <w:spacing w:val="-10"/>
          <w:w w:val="120"/>
        </w:rPr>
        <w:t> </w:t>
      </w:r>
      <w:r>
        <w:rPr>
          <w:color w:val="231F20"/>
          <w:spacing w:val="-2"/>
          <w:w w:val="120"/>
        </w:rPr>
        <w:t>dans</w:t>
      </w:r>
      <w:r>
        <w:rPr>
          <w:color w:val="231F20"/>
          <w:spacing w:val="-11"/>
          <w:w w:val="120"/>
        </w:rPr>
        <w:t> </w:t>
      </w:r>
      <w:r>
        <w:rPr>
          <w:color w:val="231F20"/>
          <w:spacing w:val="-2"/>
          <w:w w:val="120"/>
        </w:rPr>
        <w:t>une</w:t>
      </w:r>
      <w:r>
        <w:rPr>
          <w:color w:val="231F20"/>
          <w:spacing w:val="-11"/>
          <w:w w:val="120"/>
        </w:rPr>
        <w:t> </w:t>
      </w:r>
      <w:r>
        <w:rPr>
          <w:color w:val="231F20"/>
          <w:spacing w:val="-2"/>
          <w:w w:val="120"/>
        </w:rPr>
        <w:t>situation </w:t>
      </w:r>
      <w:r>
        <w:rPr>
          <w:color w:val="231F20"/>
          <w:w w:val="120"/>
        </w:rPr>
        <w:t>inverse20. Cependant, force est de reconnaître que les modèles inter- actionnistes</w:t>
      </w:r>
      <w:r>
        <w:rPr>
          <w:color w:val="231F20"/>
          <w:spacing w:val="-7"/>
          <w:w w:val="120"/>
        </w:rPr>
        <w:t> </w:t>
      </w:r>
      <w:r>
        <w:rPr>
          <w:color w:val="231F20"/>
          <w:w w:val="120"/>
        </w:rPr>
        <w:t>n’attaquent</w:t>
      </w:r>
      <w:r>
        <w:rPr>
          <w:color w:val="231F20"/>
          <w:spacing w:val="-7"/>
          <w:w w:val="120"/>
        </w:rPr>
        <w:t> </w:t>
      </w:r>
      <w:r>
        <w:rPr>
          <w:color w:val="231F20"/>
          <w:w w:val="120"/>
        </w:rPr>
        <w:t>pas</w:t>
      </w:r>
      <w:r>
        <w:rPr>
          <w:color w:val="231F20"/>
          <w:spacing w:val="-7"/>
          <w:w w:val="120"/>
        </w:rPr>
        <w:t> </w:t>
      </w:r>
      <w:r>
        <w:rPr>
          <w:color w:val="231F20"/>
          <w:w w:val="120"/>
        </w:rPr>
        <w:t>le</w:t>
      </w:r>
      <w:r>
        <w:rPr>
          <w:color w:val="231F20"/>
          <w:spacing w:val="-7"/>
          <w:w w:val="120"/>
        </w:rPr>
        <w:t> </w:t>
      </w:r>
      <w:r>
        <w:rPr>
          <w:color w:val="231F20"/>
          <w:w w:val="120"/>
        </w:rPr>
        <w:t>problème</w:t>
      </w:r>
      <w:r>
        <w:rPr>
          <w:color w:val="231F20"/>
          <w:spacing w:val="-7"/>
          <w:w w:val="120"/>
        </w:rPr>
        <w:t> </w:t>
      </w:r>
      <w:r>
        <w:rPr>
          <w:color w:val="231F20"/>
          <w:w w:val="120"/>
        </w:rPr>
        <w:t>à</w:t>
      </w:r>
      <w:r>
        <w:rPr>
          <w:color w:val="231F20"/>
          <w:spacing w:val="-7"/>
          <w:w w:val="120"/>
        </w:rPr>
        <w:t> </w:t>
      </w:r>
      <w:r>
        <w:rPr>
          <w:color w:val="231F20"/>
          <w:w w:val="120"/>
        </w:rPr>
        <w:t>sa</w:t>
      </w:r>
      <w:r>
        <w:rPr>
          <w:color w:val="231F20"/>
          <w:spacing w:val="-7"/>
          <w:w w:val="120"/>
        </w:rPr>
        <w:t> </w:t>
      </w:r>
      <w:r>
        <w:rPr>
          <w:color w:val="231F20"/>
          <w:w w:val="120"/>
        </w:rPr>
        <w:t>source,</w:t>
      </w:r>
      <w:r>
        <w:rPr>
          <w:color w:val="231F20"/>
          <w:spacing w:val="-7"/>
          <w:w w:val="120"/>
        </w:rPr>
        <w:t> </w:t>
      </w:r>
      <w:r>
        <w:rPr>
          <w:color w:val="231F20"/>
          <w:w w:val="120"/>
        </w:rPr>
        <w:t>c’est-à-dire</w:t>
      </w:r>
      <w:r>
        <w:rPr>
          <w:color w:val="231F20"/>
          <w:spacing w:val="-7"/>
          <w:w w:val="120"/>
        </w:rPr>
        <w:t> </w:t>
      </w:r>
      <w:r>
        <w:rPr>
          <w:color w:val="231F20"/>
          <w:w w:val="120"/>
        </w:rPr>
        <w:t>direc- tement les stresseurs. Ces modèles proposent plutôt des éléments organisationnels limitant les effets négatifs du stress sans mettre en cause</w:t>
      </w:r>
      <w:r>
        <w:rPr>
          <w:color w:val="231F20"/>
          <w:spacing w:val="-13"/>
          <w:w w:val="120"/>
        </w:rPr>
        <w:t> </w:t>
      </w:r>
      <w:r>
        <w:rPr>
          <w:color w:val="231F20"/>
          <w:w w:val="120"/>
        </w:rPr>
        <w:t>l’organisation</w:t>
      </w:r>
      <w:r>
        <w:rPr>
          <w:color w:val="231F20"/>
          <w:spacing w:val="-13"/>
          <w:w w:val="120"/>
        </w:rPr>
        <w:t> </w:t>
      </w:r>
      <w:r>
        <w:rPr>
          <w:color w:val="231F20"/>
          <w:w w:val="120"/>
        </w:rPr>
        <w:t>du</w:t>
      </w:r>
      <w:r>
        <w:rPr>
          <w:color w:val="231F20"/>
          <w:spacing w:val="-13"/>
          <w:w w:val="120"/>
        </w:rPr>
        <w:t> </w:t>
      </w:r>
      <w:r>
        <w:rPr>
          <w:color w:val="231F20"/>
          <w:w w:val="120"/>
        </w:rPr>
        <w:t>travail;</w:t>
      </w:r>
      <w:r>
        <w:rPr>
          <w:color w:val="231F20"/>
          <w:spacing w:val="-12"/>
          <w:w w:val="120"/>
        </w:rPr>
        <w:t> </w:t>
      </w:r>
      <w:r>
        <w:rPr>
          <w:color w:val="231F20"/>
          <w:w w:val="120"/>
        </w:rPr>
        <w:t>ce</w:t>
      </w:r>
      <w:r>
        <w:rPr>
          <w:color w:val="231F20"/>
          <w:spacing w:val="-13"/>
          <w:w w:val="120"/>
        </w:rPr>
        <w:t> </w:t>
      </w:r>
      <w:r>
        <w:rPr>
          <w:color w:val="231F20"/>
          <w:w w:val="120"/>
        </w:rPr>
        <w:t>qui</w:t>
      </w:r>
      <w:r>
        <w:rPr>
          <w:color w:val="231F20"/>
          <w:spacing w:val="-13"/>
          <w:w w:val="120"/>
        </w:rPr>
        <w:t> </w:t>
      </w:r>
      <w:r>
        <w:rPr>
          <w:color w:val="231F20"/>
          <w:w w:val="120"/>
        </w:rPr>
        <w:t>est</w:t>
      </w:r>
      <w:r>
        <w:rPr>
          <w:color w:val="231F20"/>
          <w:spacing w:val="-13"/>
          <w:w w:val="120"/>
        </w:rPr>
        <w:t> </w:t>
      </w:r>
      <w:r>
        <w:rPr>
          <w:color w:val="231F20"/>
          <w:w w:val="120"/>
        </w:rPr>
        <w:t>d’ailleurs</w:t>
      </w:r>
      <w:r>
        <w:rPr>
          <w:color w:val="231F20"/>
          <w:spacing w:val="-12"/>
          <w:w w:val="120"/>
        </w:rPr>
        <w:t> </w:t>
      </w:r>
      <w:r>
        <w:rPr>
          <w:color w:val="231F20"/>
          <w:w w:val="120"/>
        </w:rPr>
        <w:t>une</w:t>
      </w:r>
      <w:r>
        <w:rPr>
          <w:color w:val="231F20"/>
          <w:spacing w:val="-13"/>
          <w:w w:val="120"/>
        </w:rPr>
        <w:t> </w:t>
      </w:r>
      <w:r>
        <w:rPr>
          <w:color w:val="231F20"/>
          <w:w w:val="120"/>
        </w:rPr>
        <w:t>des</w:t>
      </w:r>
      <w:r>
        <w:rPr>
          <w:color w:val="231F20"/>
          <w:spacing w:val="-13"/>
          <w:w w:val="120"/>
        </w:rPr>
        <w:t> </w:t>
      </w:r>
      <w:r>
        <w:rPr>
          <w:color w:val="231F20"/>
          <w:w w:val="120"/>
        </w:rPr>
        <w:t>explications justifiant leur grande popularité en milieu de travail.</w:t>
      </w:r>
    </w:p>
    <w:p>
      <w:pPr>
        <w:pStyle w:val="BodyText"/>
        <w:rPr>
          <w:sz w:val="24"/>
        </w:rPr>
      </w:pPr>
    </w:p>
    <w:p>
      <w:pPr>
        <w:pStyle w:val="Heading2"/>
        <w:numPr>
          <w:ilvl w:val="1"/>
          <w:numId w:val="17"/>
        </w:numPr>
        <w:tabs>
          <w:tab w:pos="911" w:val="left" w:leader="none"/>
          <w:tab w:pos="1219" w:val="left" w:leader="none"/>
        </w:tabs>
        <w:spacing w:line="240" w:lineRule="auto" w:before="183" w:after="0"/>
        <w:ind w:left="910" w:right="0" w:hanging="314"/>
        <w:jc w:val="left"/>
      </w:pPr>
      <w:r>
        <w:rPr>
          <w:b w:val="0"/>
          <w:i/>
          <w:color w:val="231F20"/>
          <w:spacing w:val="-10"/>
        </w:rPr>
        <w:t>/</w:t>
      </w:r>
      <w:r>
        <w:rPr>
          <w:b w:val="0"/>
          <w:i/>
          <w:color w:val="231F20"/>
        </w:rPr>
        <w:tab/>
      </w:r>
      <w:r>
        <w:rPr>
          <w:color w:val="231F20"/>
          <w:w w:val="95"/>
        </w:rPr>
        <w:t>Facteurs</w:t>
      </w:r>
      <w:r>
        <w:rPr>
          <w:color w:val="231F20"/>
          <w:spacing w:val="-6"/>
          <w:w w:val="95"/>
        </w:rPr>
        <w:t> </w:t>
      </w:r>
      <w:r>
        <w:rPr>
          <w:color w:val="231F20"/>
          <w:w w:val="95"/>
        </w:rPr>
        <w:t>déterminant</w:t>
      </w:r>
      <w:r>
        <w:rPr>
          <w:color w:val="231F20"/>
          <w:spacing w:val="-6"/>
          <w:w w:val="95"/>
        </w:rPr>
        <w:t> </w:t>
      </w:r>
      <w:r>
        <w:rPr>
          <w:color w:val="231F20"/>
          <w:w w:val="95"/>
        </w:rPr>
        <w:t>le</w:t>
      </w:r>
      <w:r>
        <w:rPr>
          <w:color w:val="231F20"/>
          <w:spacing w:val="-6"/>
          <w:w w:val="95"/>
        </w:rPr>
        <w:t> </w:t>
      </w:r>
      <w:r>
        <w:rPr>
          <w:color w:val="231F20"/>
          <w:w w:val="95"/>
        </w:rPr>
        <w:t>stress</w:t>
      </w:r>
      <w:r>
        <w:rPr>
          <w:color w:val="231F20"/>
          <w:spacing w:val="-5"/>
          <w:w w:val="95"/>
        </w:rPr>
        <w:t> </w:t>
      </w:r>
      <w:r>
        <w:rPr>
          <w:color w:val="231F20"/>
          <w:w w:val="95"/>
        </w:rPr>
        <w:t>au</w:t>
      </w:r>
      <w:r>
        <w:rPr>
          <w:color w:val="231F20"/>
          <w:spacing w:val="-6"/>
          <w:w w:val="95"/>
        </w:rPr>
        <w:t> </w:t>
      </w:r>
      <w:r>
        <w:rPr>
          <w:color w:val="231F20"/>
          <w:spacing w:val="-2"/>
          <w:w w:val="95"/>
        </w:rPr>
        <w:t>travail</w:t>
      </w:r>
    </w:p>
    <w:p>
      <w:pPr>
        <w:pStyle w:val="BodyText"/>
        <w:spacing w:before="9"/>
        <w:rPr>
          <w:rFonts w:ascii="Arial"/>
          <w:b/>
          <w:sz w:val="25"/>
        </w:rPr>
      </w:pPr>
    </w:p>
    <w:p>
      <w:pPr>
        <w:pStyle w:val="BodyText"/>
        <w:spacing w:line="307" w:lineRule="auto"/>
        <w:ind w:left="1220" w:right="100"/>
        <w:jc w:val="both"/>
      </w:pPr>
      <w:r>
        <w:rPr>
          <w:color w:val="231F20"/>
          <w:w w:val="115"/>
        </w:rPr>
        <w:t>La</w:t>
      </w:r>
      <w:r>
        <w:rPr>
          <w:color w:val="231F20"/>
          <w:spacing w:val="-3"/>
          <w:w w:val="115"/>
        </w:rPr>
        <w:t> </w:t>
      </w:r>
      <w:r>
        <w:rPr>
          <w:color w:val="231F20"/>
          <w:w w:val="115"/>
        </w:rPr>
        <w:t>dernière</w:t>
      </w:r>
      <w:r>
        <w:rPr>
          <w:color w:val="231F20"/>
          <w:spacing w:val="-3"/>
          <w:w w:val="115"/>
        </w:rPr>
        <w:t> </w:t>
      </w:r>
      <w:r>
        <w:rPr>
          <w:color w:val="231F20"/>
          <w:w w:val="115"/>
        </w:rPr>
        <w:t>décennie</w:t>
      </w:r>
      <w:r>
        <w:rPr>
          <w:color w:val="231F20"/>
          <w:spacing w:val="-3"/>
          <w:w w:val="115"/>
        </w:rPr>
        <w:t> </w:t>
      </w:r>
      <w:r>
        <w:rPr>
          <w:color w:val="231F20"/>
          <w:w w:val="115"/>
        </w:rPr>
        <w:t>a</w:t>
      </w:r>
      <w:r>
        <w:rPr>
          <w:color w:val="231F20"/>
          <w:spacing w:val="-3"/>
          <w:w w:val="115"/>
        </w:rPr>
        <w:t> </w:t>
      </w:r>
      <w:r>
        <w:rPr>
          <w:color w:val="231F20"/>
          <w:w w:val="115"/>
        </w:rPr>
        <w:t>vu</w:t>
      </w:r>
      <w:r>
        <w:rPr>
          <w:color w:val="231F20"/>
          <w:spacing w:val="-3"/>
          <w:w w:val="115"/>
        </w:rPr>
        <w:t> </w:t>
      </w:r>
      <w:r>
        <w:rPr>
          <w:color w:val="231F20"/>
          <w:w w:val="115"/>
        </w:rPr>
        <w:t>croître</w:t>
      </w:r>
      <w:r>
        <w:rPr>
          <w:color w:val="231F20"/>
          <w:spacing w:val="-3"/>
          <w:w w:val="115"/>
        </w:rPr>
        <w:t> </w:t>
      </w:r>
      <w:r>
        <w:rPr>
          <w:color w:val="231F20"/>
          <w:w w:val="115"/>
        </w:rPr>
        <w:t>l’intérêt</w:t>
      </w:r>
      <w:r>
        <w:rPr>
          <w:color w:val="231F20"/>
          <w:spacing w:val="-3"/>
          <w:w w:val="115"/>
        </w:rPr>
        <w:t> </w:t>
      </w:r>
      <w:r>
        <w:rPr>
          <w:color w:val="231F20"/>
          <w:w w:val="115"/>
        </w:rPr>
        <w:t>pour</w:t>
      </w:r>
      <w:r>
        <w:rPr>
          <w:color w:val="231F20"/>
          <w:spacing w:val="-3"/>
          <w:w w:val="115"/>
        </w:rPr>
        <w:t> </w:t>
      </w:r>
      <w:r>
        <w:rPr>
          <w:color w:val="231F20"/>
          <w:w w:val="115"/>
        </w:rPr>
        <w:t>la</w:t>
      </w:r>
      <w:r>
        <w:rPr>
          <w:color w:val="231F20"/>
          <w:spacing w:val="-3"/>
          <w:w w:val="115"/>
        </w:rPr>
        <w:t> </w:t>
      </w:r>
      <w:r>
        <w:rPr>
          <w:color w:val="231F20"/>
          <w:w w:val="115"/>
        </w:rPr>
        <w:t>connaissance</w:t>
      </w:r>
      <w:r>
        <w:rPr>
          <w:color w:val="231F20"/>
          <w:spacing w:val="-3"/>
          <w:w w:val="115"/>
        </w:rPr>
        <w:t> </w:t>
      </w:r>
      <w:r>
        <w:rPr>
          <w:color w:val="231F20"/>
          <w:w w:val="115"/>
        </w:rPr>
        <w:t>et</w:t>
      </w:r>
      <w:r>
        <w:rPr>
          <w:color w:val="231F20"/>
          <w:spacing w:val="-3"/>
          <w:w w:val="115"/>
        </w:rPr>
        <w:t> </w:t>
      </w:r>
      <w:r>
        <w:rPr>
          <w:color w:val="231F20"/>
          <w:w w:val="115"/>
        </w:rPr>
        <w:t>la</w:t>
      </w:r>
      <w:r>
        <w:rPr>
          <w:color w:val="231F20"/>
          <w:spacing w:val="-3"/>
          <w:w w:val="115"/>
        </w:rPr>
        <w:t> </w:t>
      </w:r>
      <w:r>
        <w:rPr>
          <w:color w:val="231F20"/>
          <w:w w:val="115"/>
        </w:rPr>
        <w:t>com- </w:t>
      </w:r>
      <w:r>
        <w:rPr>
          <w:color w:val="231F20"/>
          <w:w w:val="120"/>
        </w:rPr>
        <w:t>préhension</w:t>
      </w:r>
      <w:r>
        <w:rPr>
          <w:color w:val="231F20"/>
          <w:spacing w:val="-12"/>
          <w:w w:val="120"/>
        </w:rPr>
        <w:t> </w:t>
      </w:r>
      <w:r>
        <w:rPr>
          <w:color w:val="231F20"/>
          <w:w w:val="120"/>
        </w:rPr>
        <w:t>des</w:t>
      </w:r>
      <w:r>
        <w:rPr>
          <w:color w:val="231F20"/>
          <w:spacing w:val="-12"/>
          <w:w w:val="120"/>
        </w:rPr>
        <w:t> </w:t>
      </w:r>
      <w:r>
        <w:rPr>
          <w:color w:val="231F20"/>
          <w:w w:val="120"/>
        </w:rPr>
        <w:t>conditions</w:t>
      </w:r>
      <w:r>
        <w:rPr>
          <w:color w:val="231F20"/>
          <w:spacing w:val="-12"/>
          <w:w w:val="120"/>
        </w:rPr>
        <w:t> </w:t>
      </w:r>
      <w:r>
        <w:rPr>
          <w:color w:val="231F20"/>
          <w:w w:val="120"/>
        </w:rPr>
        <w:t>susceptibles</w:t>
      </w:r>
      <w:r>
        <w:rPr>
          <w:color w:val="231F20"/>
          <w:spacing w:val="-12"/>
          <w:w w:val="120"/>
        </w:rPr>
        <w:t> </w:t>
      </w:r>
      <w:r>
        <w:rPr>
          <w:color w:val="231F20"/>
          <w:w w:val="120"/>
        </w:rPr>
        <w:t>d’humaniser</w:t>
      </w:r>
      <w:r>
        <w:rPr>
          <w:color w:val="231F20"/>
          <w:spacing w:val="-12"/>
          <w:w w:val="120"/>
        </w:rPr>
        <w:t> </w:t>
      </w:r>
      <w:r>
        <w:rPr>
          <w:color w:val="231F20"/>
          <w:w w:val="120"/>
        </w:rPr>
        <w:t>le</w:t>
      </w:r>
      <w:r>
        <w:rPr>
          <w:color w:val="231F20"/>
          <w:spacing w:val="-12"/>
          <w:w w:val="120"/>
        </w:rPr>
        <w:t> </w:t>
      </w:r>
      <w:r>
        <w:rPr>
          <w:color w:val="231F20"/>
          <w:w w:val="120"/>
        </w:rPr>
        <w:t>milieu</w:t>
      </w:r>
      <w:r>
        <w:rPr>
          <w:color w:val="231F20"/>
          <w:spacing w:val="-12"/>
          <w:w w:val="120"/>
        </w:rPr>
        <w:t> </w:t>
      </w:r>
      <w:r>
        <w:rPr>
          <w:color w:val="231F20"/>
          <w:w w:val="120"/>
        </w:rPr>
        <w:t>de</w:t>
      </w:r>
      <w:r>
        <w:rPr>
          <w:color w:val="231F20"/>
          <w:spacing w:val="-12"/>
          <w:w w:val="120"/>
        </w:rPr>
        <w:t> </w:t>
      </w:r>
      <w:r>
        <w:rPr>
          <w:color w:val="231F20"/>
          <w:w w:val="120"/>
        </w:rPr>
        <w:t>travail </w:t>
      </w:r>
      <w:r>
        <w:rPr>
          <w:color w:val="231F20"/>
          <w:spacing w:val="-2"/>
          <w:w w:val="120"/>
        </w:rPr>
        <w:t>et</w:t>
      </w:r>
      <w:r>
        <w:rPr>
          <w:color w:val="231F20"/>
          <w:spacing w:val="-5"/>
          <w:w w:val="120"/>
        </w:rPr>
        <w:t> </w:t>
      </w:r>
      <w:r>
        <w:rPr>
          <w:color w:val="231F20"/>
          <w:spacing w:val="-2"/>
          <w:w w:val="120"/>
        </w:rPr>
        <w:t>de</w:t>
      </w:r>
      <w:r>
        <w:rPr>
          <w:color w:val="231F20"/>
          <w:spacing w:val="-5"/>
          <w:w w:val="120"/>
        </w:rPr>
        <w:t> </w:t>
      </w:r>
      <w:r>
        <w:rPr>
          <w:color w:val="231F20"/>
          <w:spacing w:val="-2"/>
          <w:w w:val="120"/>
        </w:rPr>
        <w:t>le</w:t>
      </w:r>
      <w:r>
        <w:rPr>
          <w:color w:val="231F20"/>
          <w:spacing w:val="-5"/>
          <w:w w:val="120"/>
        </w:rPr>
        <w:t> </w:t>
      </w:r>
      <w:r>
        <w:rPr>
          <w:color w:val="231F20"/>
          <w:spacing w:val="-2"/>
          <w:w w:val="120"/>
        </w:rPr>
        <w:t>rendre</w:t>
      </w:r>
      <w:r>
        <w:rPr>
          <w:color w:val="231F20"/>
          <w:spacing w:val="-5"/>
          <w:w w:val="120"/>
        </w:rPr>
        <w:t> </w:t>
      </w:r>
      <w:r>
        <w:rPr>
          <w:color w:val="231F20"/>
          <w:spacing w:val="-2"/>
          <w:w w:val="120"/>
        </w:rPr>
        <w:t>moins</w:t>
      </w:r>
      <w:r>
        <w:rPr>
          <w:color w:val="231F20"/>
          <w:spacing w:val="-5"/>
          <w:w w:val="120"/>
        </w:rPr>
        <w:t> </w:t>
      </w:r>
      <w:r>
        <w:rPr>
          <w:color w:val="231F20"/>
          <w:spacing w:val="-2"/>
          <w:w w:val="120"/>
        </w:rPr>
        <w:t>nocif</w:t>
      </w:r>
      <w:r>
        <w:rPr>
          <w:color w:val="231F20"/>
          <w:spacing w:val="-5"/>
          <w:w w:val="120"/>
        </w:rPr>
        <w:t> </w:t>
      </w:r>
      <w:r>
        <w:rPr>
          <w:color w:val="231F20"/>
          <w:spacing w:val="-2"/>
          <w:w w:val="120"/>
        </w:rPr>
        <w:t>pour</w:t>
      </w:r>
      <w:r>
        <w:rPr>
          <w:color w:val="231F20"/>
          <w:spacing w:val="-5"/>
          <w:w w:val="120"/>
        </w:rPr>
        <w:t> </w:t>
      </w:r>
      <w:r>
        <w:rPr>
          <w:color w:val="231F20"/>
          <w:spacing w:val="-2"/>
          <w:w w:val="120"/>
        </w:rPr>
        <w:t>les</w:t>
      </w:r>
      <w:r>
        <w:rPr>
          <w:color w:val="231F20"/>
          <w:spacing w:val="-5"/>
          <w:w w:val="120"/>
        </w:rPr>
        <w:t> </w:t>
      </w:r>
      <w:r>
        <w:rPr>
          <w:color w:val="231F20"/>
          <w:spacing w:val="-2"/>
          <w:w w:val="120"/>
        </w:rPr>
        <w:t>travailleurs.</w:t>
      </w:r>
      <w:r>
        <w:rPr>
          <w:color w:val="231F20"/>
          <w:spacing w:val="-5"/>
          <w:w w:val="120"/>
        </w:rPr>
        <w:t> </w:t>
      </w:r>
      <w:r>
        <w:rPr>
          <w:color w:val="231F20"/>
          <w:spacing w:val="-2"/>
          <w:w w:val="120"/>
        </w:rPr>
        <w:t>Il</w:t>
      </w:r>
      <w:r>
        <w:rPr>
          <w:color w:val="231F20"/>
          <w:spacing w:val="-5"/>
          <w:w w:val="120"/>
        </w:rPr>
        <w:t> </w:t>
      </w:r>
      <w:r>
        <w:rPr>
          <w:color w:val="231F20"/>
          <w:spacing w:val="-2"/>
          <w:w w:val="120"/>
        </w:rPr>
        <w:t>est</w:t>
      </w:r>
      <w:r>
        <w:rPr>
          <w:color w:val="231F20"/>
          <w:spacing w:val="-5"/>
          <w:w w:val="120"/>
        </w:rPr>
        <w:t> </w:t>
      </w:r>
      <w:r>
        <w:rPr>
          <w:color w:val="231F20"/>
          <w:spacing w:val="-2"/>
          <w:w w:val="120"/>
        </w:rPr>
        <w:t>toutefois</w:t>
      </w:r>
      <w:r>
        <w:rPr>
          <w:color w:val="231F20"/>
          <w:spacing w:val="-5"/>
          <w:w w:val="120"/>
        </w:rPr>
        <w:t> </w:t>
      </w:r>
      <w:r>
        <w:rPr>
          <w:color w:val="231F20"/>
          <w:spacing w:val="-2"/>
          <w:w w:val="120"/>
        </w:rPr>
        <w:t>pratique- </w:t>
      </w:r>
      <w:r>
        <w:rPr>
          <w:color w:val="231F20"/>
          <w:w w:val="120"/>
        </w:rPr>
        <w:t>ment impossible de dresser une liste complète des agents stressants (stresseurs)</w:t>
      </w:r>
      <w:r>
        <w:rPr>
          <w:color w:val="231F20"/>
          <w:spacing w:val="-12"/>
          <w:w w:val="120"/>
        </w:rPr>
        <w:t> </w:t>
      </w:r>
      <w:r>
        <w:rPr>
          <w:color w:val="231F20"/>
          <w:w w:val="120"/>
        </w:rPr>
        <w:t>et</w:t>
      </w:r>
      <w:r>
        <w:rPr>
          <w:color w:val="231F20"/>
          <w:spacing w:val="-12"/>
          <w:w w:val="120"/>
        </w:rPr>
        <w:t> </w:t>
      </w:r>
      <w:r>
        <w:rPr>
          <w:color w:val="231F20"/>
          <w:w w:val="120"/>
        </w:rPr>
        <w:t>de</w:t>
      </w:r>
      <w:r>
        <w:rPr>
          <w:color w:val="231F20"/>
          <w:spacing w:val="-12"/>
          <w:w w:val="120"/>
        </w:rPr>
        <w:t> </w:t>
      </w:r>
      <w:r>
        <w:rPr>
          <w:color w:val="231F20"/>
          <w:w w:val="120"/>
        </w:rPr>
        <w:t>leurs</w:t>
      </w:r>
      <w:r>
        <w:rPr>
          <w:color w:val="231F20"/>
          <w:spacing w:val="-12"/>
          <w:w w:val="120"/>
        </w:rPr>
        <w:t> </w:t>
      </w:r>
      <w:r>
        <w:rPr>
          <w:color w:val="231F20"/>
          <w:w w:val="120"/>
        </w:rPr>
        <w:t>conséquences,</w:t>
      </w:r>
      <w:r>
        <w:rPr>
          <w:color w:val="231F20"/>
          <w:spacing w:val="-12"/>
          <w:w w:val="120"/>
        </w:rPr>
        <w:t> </w:t>
      </w:r>
      <w:r>
        <w:rPr>
          <w:color w:val="231F20"/>
          <w:w w:val="120"/>
        </w:rPr>
        <w:t>surtout</w:t>
      </w:r>
      <w:r>
        <w:rPr>
          <w:color w:val="231F20"/>
          <w:spacing w:val="-12"/>
          <w:w w:val="120"/>
        </w:rPr>
        <w:t> </w:t>
      </w:r>
      <w:r>
        <w:rPr>
          <w:color w:val="231F20"/>
          <w:w w:val="120"/>
        </w:rPr>
        <w:t>si</w:t>
      </w:r>
      <w:r>
        <w:rPr>
          <w:color w:val="231F20"/>
          <w:spacing w:val="-12"/>
          <w:w w:val="120"/>
        </w:rPr>
        <w:t> </w:t>
      </w:r>
      <w:r>
        <w:rPr>
          <w:color w:val="231F20"/>
          <w:w w:val="120"/>
        </w:rPr>
        <w:t>l’on</w:t>
      </w:r>
      <w:r>
        <w:rPr>
          <w:color w:val="231F20"/>
          <w:spacing w:val="-12"/>
          <w:w w:val="120"/>
        </w:rPr>
        <w:t> </w:t>
      </w:r>
      <w:r>
        <w:rPr>
          <w:color w:val="231F20"/>
          <w:w w:val="120"/>
        </w:rPr>
        <w:t>garde</w:t>
      </w:r>
      <w:r>
        <w:rPr>
          <w:color w:val="231F20"/>
          <w:spacing w:val="-12"/>
          <w:w w:val="120"/>
        </w:rPr>
        <w:t> </w:t>
      </w:r>
      <w:r>
        <w:rPr>
          <w:color w:val="231F20"/>
          <w:w w:val="120"/>
        </w:rPr>
        <w:t>à</w:t>
      </w:r>
      <w:r>
        <w:rPr>
          <w:color w:val="231F20"/>
          <w:spacing w:val="-12"/>
          <w:w w:val="120"/>
        </w:rPr>
        <w:t> </w:t>
      </w:r>
      <w:r>
        <w:rPr>
          <w:color w:val="231F20"/>
          <w:w w:val="120"/>
        </w:rPr>
        <w:t>l’esprit</w:t>
      </w:r>
      <w:r>
        <w:rPr>
          <w:color w:val="231F20"/>
          <w:spacing w:val="-12"/>
          <w:w w:val="120"/>
        </w:rPr>
        <w:t> </w:t>
      </w:r>
      <w:r>
        <w:rPr>
          <w:color w:val="231F20"/>
          <w:w w:val="120"/>
        </w:rPr>
        <w:t>que les</w:t>
      </w:r>
      <w:r>
        <w:rPr>
          <w:color w:val="231F20"/>
          <w:w w:val="120"/>
        </w:rPr>
        <w:t> propriétés</w:t>
      </w:r>
      <w:r>
        <w:rPr>
          <w:color w:val="231F20"/>
          <w:w w:val="120"/>
        </w:rPr>
        <w:t> stressogènes</w:t>
      </w:r>
      <w:r>
        <w:rPr>
          <w:color w:val="231F20"/>
          <w:w w:val="120"/>
        </w:rPr>
        <w:t> d’une</w:t>
      </w:r>
      <w:r>
        <w:rPr>
          <w:color w:val="231F20"/>
          <w:w w:val="120"/>
        </w:rPr>
        <w:t> condition</w:t>
      </w:r>
      <w:r>
        <w:rPr>
          <w:color w:val="231F20"/>
          <w:w w:val="120"/>
        </w:rPr>
        <w:t> particulière</w:t>
      </w:r>
      <w:r>
        <w:rPr>
          <w:color w:val="231F20"/>
          <w:w w:val="120"/>
        </w:rPr>
        <w:t> de</w:t>
      </w:r>
      <w:r>
        <w:rPr>
          <w:color w:val="231F20"/>
          <w:w w:val="120"/>
        </w:rPr>
        <w:t> travail dépendent</w:t>
      </w:r>
      <w:r>
        <w:rPr>
          <w:color w:val="231F20"/>
          <w:spacing w:val="-13"/>
          <w:w w:val="120"/>
        </w:rPr>
        <w:t> </w:t>
      </w:r>
      <w:r>
        <w:rPr>
          <w:color w:val="231F20"/>
          <w:w w:val="120"/>
        </w:rPr>
        <w:t>de</w:t>
      </w:r>
      <w:r>
        <w:rPr>
          <w:color w:val="231F20"/>
          <w:spacing w:val="-12"/>
          <w:w w:val="120"/>
        </w:rPr>
        <w:t> </w:t>
      </w:r>
      <w:r>
        <w:rPr>
          <w:color w:val="231F20"/>
          <w:w w:val="120"/>
        </w:rPr>
        <w:t>l’évaluation</w:t>
      </w:r>
      <w:r>
        <w:rPr>
          <w:color w:val="231F20"/>
          <w:spacing w:val="-13"/>
          <w:w w:val="120"/>
        </w:rPr>
        <w:t> </w:t>
      </w:r>
      <w:r>
        <w:rPr>
          <w:color w:val="231F20"/>
          <w:w w:val="120"/>
        </w:rPr>
        <w:t>que</w:t>
      </w:r>
      <w:r>
        <w:rPr>
          <w:color w:val="231F20"/>
          <w:spacing w:val="-12"/>
          <w:w w:val="120"/>
        </w:rPr>
        <w:t> </w:t>
      </w:r>
      <w:r>
        <w:rPr>
          <w:color w:val="231F20"/>
          <w:w w:val="120"/>
        </w:rPr>
        <w:t>chaque</w:t>
      </w:r>
      <w:r>
        <w:rPr>
          <w:color w:val="231F20"/>
          <w:spacing w:val="-13"/>
          <w:w w:val="120"/>
        </w:rPr>
        <w:t> </w:t>
      </w:r>
      <w:r>
        <w:rPr>
          <w:color w:val="231F20"/>
          <w:w w:val="120"/>
        </w:rPr>
        <w:t>individu</w:t>
      </w:r>
      <w:r>
        <w:rPr>
          <w:color w:val="231F20"/>
          <w:spacing w:val="-12"/>
          <w:w w:val="120"/>
        </w:rPr>
        <w:t> </w:t>
      </w:r>
      <w:r>
        <w:rPr>
          <w:color w:val="231F20"/>
          <w:w w:val="120"/>
        </w:rPr>
        <w:t>fait</w:t>
      </w:r>
      <w:r>
        <w:rPr>
          <w:color w:val="231F20"/>
          <w:spacing w:val="-13"/>
          <w:w w:val="120"/>
        </w:rPr>
        <w:t> </w:t>
      </w:r>
      <w:r>
        <w:rPr>
          <w:color w:val="231F20"/>
          <w:w w:val="120"/>
        </w:rPr>
        <w:t>d’une</w:t>
      </w:r>
      <w:r>
        <w:rPr>
          <w:color w:val="231F20"/>
          <w:spacing w:val="-12"/>
          <w:w w:val="120"/>
        </w:rPr>
        <w:t> </w:t>
      </w:r>
      <w:r>
        <w:rPr>
          <w:color w:val="231F20"/>
          <w:w w:val="120"/>
        </w:rPr>
        <w:t>situation</w:t>
      </w:r>
      <w:r>
        <w:rPr>
          <w:color w:val="231F20"/>
          <w:spacing w:val="-13"/>
          <w:w w:val="120"/>
        </w:rPr>
        <w:t> </w:t>
      </w:r>
      <w:r>
        <w:rPr>
          <w:color w:val="231F20"/>
          <w:w w:val="120"/>
        </w:rPr>
        <w:t>don- </w:t>
      </w:r>
      <w:r>
        <w:rPr>
          <w:color w:val="231F20"/>
          <w:w w:val="115"/>
        </w:rPr>
        <w:t>née.</w:t>
      </w:r>
      <w:r>
        <w:rPr>
          <w:color w:val="231F20"/>
          <w:spacing w:val="-8"/>
          <w:w w:val="115"/>
        </w:rPr>
        <w:t> </w:t>
      </w:r>
      <w:r>
        <w:rPr>
          <w:color w:val="231F20"/>
          <w:w w:val="115"/>
        </w:rPr>
        <w:t>Il</w:t>
      </w:r>
      <w:r>
        <w:rPr>
          <w:color w:val="231F20"/>
          <w:spacing w:val="-8"/>
          <w:w w:val="115"/>
        </w:rPr>
        <w:t> </w:t>
      </w:r>
      <w:r>
        <w:rPr>
          <w:color w:val="231F20"/>
          <w:w w:val="115"/>
        </w:rPr>
        <w:t>est</w:t>
      </w:r>
      <w:r>
        <w:rPr>
          <w:color w:val="231F20"/>
          <w:spacing w:val="-8"/>
          <w:w w:val="115"/>
        </w:rPr>
        <w:t> </w:t>
      </w:r>
      <w:r>
        <w:rPr>
          <w:color w:val="231F20"/>
          <w:w w:val="115"/>
        </w:rPr>
        <w:t>tout</w:t>
      </w:r>
      <w:r>
        <w:rPr>
          <w:color w:val="231F20"/>
          <w:spacing w:val="-8"/>
          <w:w w:val="115"/>
        </w:rPr>
        <w:t> </w:t>
      </w:r>
      <w:r>
        <w:rPr>
          <w:color w:val="231F20"/>
          <w:w w:val="115"/>
        </w:rPr>
        <w:t>de</w:t>
      </w:r>
      <w:r>
        <w:rPr>
          <w:color w:val="231F20"/>
          <w:spacing w:val="-8"/>
          <w:w w:val="115"/>
        </w:rPr>
        <w:t> </w:t>
      </w:r>
      <w:r>
        <w:rPr>
          <w:color w:val="231F20"/>
          <w:w w:val="115"/>
        </w:rPr>
        <w:t>même</w:t>
      </w:r>
      <w:r>
        <w:rPr>
          <w:color w:val="231F20"/>
          <w:spacing w:val="-8"/>
          <w:w w:val="115"/>
        </w:rPr>
        <w:t> </w:t>
      </w:r>
      <w:r>
        <w:rPr>
          <w:color w:val="231F20"/>
          <w:w w:val="115"/>
        </w:rPr>
        <w:t>possible</w:t>
      </w:r>
      <w:r>
        <w:rPr>
          <w:color w:val="231F20"/>
          <w:spacing w:val="-8"/>
          <w:w w:val="115"/>
        </w:rPr>
        <w:t> </w:t>
      </w:r>
      <w:r>
        <w:rPr>
          <w:color w:val="231F20"/>
          <w:w w:val="115"/>
        </w:rPr>
        <w:t>d’identifier</w:t>
      </w:r>
      <w:r>
        <w:rPr>
          <w:color w:val="231F20"/>
          <w:spacing w:val="-8"/>
          <w:w w:val="115"/>
        </w:rPr>
        <w:t> </w:t>
      </w:r>
      <w:r>
        <w:rPr>
          <w:color w:val="231F20"/>
          <w:w w:val="115"/>
        </w:rPr>
        <w:t>et</w:t>
      </w:r>
      <w:r>
        <w:rPr>
          <w:color w:val="231F20"/>
          <w:spacing w:val="-8"/>
          <w:w w:val="115"/>
        </w:rPr>
        <w:t> </w:t>
      </w:r>
      <w:r>
        <w:rPr>
          <w:color w:val="231F20"/>
          <w:w w:val="115"/>
        </w:rPr>
        <w:t>de</w:t>
      </w:r>
      <w:r>
        <w:rPr>
          <w:color w:val="231F20"/>
          <w:spacing w:val="-8"/>
          <w:w w:val="115"/>
        </w:rPr>
        <w:t> </w:t>
      </w:r>
      <w:r>
        <w:rPr>
          <w:color w:val="231F20"/>
          <w:w w:val="115"/>
        </w:rPr>
        <w:t>recenser</w:t>
      </w:r>
      <w:r>
        <w:rPr>
          <w:color w:val="231F20"/>
          <w:spacing w:val="-8"/>
          <w:w w:val="115"/>
        </w:rPr>
        <w:t> </w:t>
      </w:r>
      <w:r>
        <w:rPr>
          <w:color w:val="231F20"/>
          <w:w w:val="115"/>
        </w:rPr>
        <w:t>certains</w:t>
      </w:r>
      <w:r>
        <w:rPr>
          <w:color w:val="231F20"/>
          <w:spacing w:val="-8"/>
          <w:w w:val="115"/>
        </w:rPr>
        <w:t> </w:t>
      </w:r>
      <w:r>
        <w:rPr>
          <w:color w:val="231F20"/>
          <w:w w:val="115"/>
        </w:rPr>
        <w:t>agents </w:t>
      </w:r>
      <w:r>
        <w:rPr>
          <w:color w:val="231F20"/>
          <w:w w:val="120"/>
        </w:rPr>
        <w:t>stressants prépondérants sur les plans organisationnel et personnel.</w:t>
      </w:r>
    </w:p>
    <w:p>
      <w:pPr>
        <w:pStyle w:val="BodyText"/>
        <w:spacing w:before="9"/>
        <w:rPr>
          <w:sz w:val="26"/>
        </w:rPr>
      </w:pPr>
    </w:p>
    <w:p>
      <w:pPr>
        <w:pStyle w:val="Heading4"/>
        <w:numPr>
          <w:ilvl w:val="2"/>
          <w:numId w:val="17"/>
        </w:numPr>
        <w:tabs>
          <w:tab w:pos="919" w:val="left" w:leader="none"/>
          <w:tab w:pos="1219" w:val="left" w:leader="none"/>
        </w:tabs>
        <w:spacing w:line="240" w:lineRule="auto" w:before="0" w:after="0"/>
        <w:ind w:left="918" w:right="0" w:hanging="387"/>
        <w:jc w:val="left"/>
        <w:rPr>
          <w:b w:val="0"/>
          <w:color w:val="231F20"/>
        </w:rPr>
      </w:pPr>
      <w:r>
        <w:rPr>
          <w:b w:val="0"/>
          <w:i/>
          <w:color w:val="231F20"/>
          <w:spacing w:val="-10"/>
        </w:rPr>
        <w:t>/</w:t>
      </w:r>
      <w:r>
        <w:rPr>
          <w:b w:val="0"/>
          <w:i/>
          <w:color w:val="231F20"/>
        </w:rPr>
        <w:tab/>
      </w:r>
      <w:r>
        <w:rPr>
          <w:color w:val="231F20"/>
          <w:w w:val="95"/>
        </w:rPr>
        <w:t>Vulnérabilité</w:t>
      </w:r>
      <w:r>
        <w:rPr>
          <w:color w:val="231F20"/>
          <w:spacing w:val="-3"/>
          <w:w w:val="95"/>
        </w:rPr>
        <w:t> </w:t>
      </w:r>
      <w:r>
        <w:rPr>
          <w:color w:val="231F20"/>
          <w:w w:val="95"/>
        </w:rPr>
        <w:t>au</w:t>
      </w:r>
      <w:r>
        <w:rPr>
          <w:color w:val="231F20"/>
          <w:spacing w:val="-2"/>
          <w:w w:val="95"/>
        </w:rPr>
        <w:t> stress</w:t>
      </w:r>
    </w:p>
    <w:p>
      <w:pPr>
        <w:pStyle w:val="BodyText"/>
        <w:spacing w:line="307" w:lineRule="auto" w:before="233"/>
        <w:ind w:left="1220" w:right="106"/>
        <w:jc w:val="both"/>
      </w:pPr>
      <w:r>
        <w:rPr>
          <w:color w:val="231F20"/>
          <w:w w:val="120"/>
        </w:rPr>
        <w:t>De</w:t>
      </w:r>
      <w:r>
        <w:rPr>
          <w:color w:val="231F20"/>
          <w:spacing w:val="-11"/>
          <w:w w:val="120"/>
        </w:rPr>
        <w:t> </w:t>
      </w:r>
      <w:r>
        <w:rPr>
          <w:color w:val="231F20"/>
          <w:w w:val="120"/>
        </w:rPr>
        <w:t>nombreux</w:t>
      </w:r>
      <w:r>
        <w:rPr>
          <w:color w:val="231F20"/>
          <w:spacing w:val="-11"/>
          <w:w w:val="120"/>
        </w:rPr>
        <w:t> </w:t>
      </w:r>
      <w:r>
        <w:rPr>
          <w:color w:val="231F20"/>
          <w:w w:val="120"/>
        </w:rPr>
        <w:t>auteurs</w:t>
      </w:r>
      <w:r>
        <w:rPr>
          <w:color w:val="231F20"/>
          <w:spacing w:val="-11"/>
          <w:w w:val="120"/>
        </w:rPr>
        <w:t> </w:t>
      </w:r>
      <w:r>
        <w:rPr>
          <w:color w:val="231F20"/>
          <w:w w:val="120"/>
        </w:rPr>
        <w:t>ont</w:t>
      </w:r>
      <w:r>
        <w:rPr>
          <w:color w:val="231F20"/>
          <w:spacing w:val="-11"/>
          <w:w w:val="120"/>
        </w:rPr>
        <w:t> </w:t>
      </w:r>
      <w:r>
        <w:rPr>
          <w:color w:val="231F20"/>
          <w:w w:val="120"/>
        </w:rPr>
        <w:t>souligné</w:t>
      </w:r>
      <w:r>
        <w:rPr>
          <w:color w:val="231F20"/>
          <w:spacing w:val="-11"/>
          <w:w w:val="120"/>
        </w:rPr>
        <w:t> </w:t>
      </w:r>
      <w:r>
        <w:rPr>
          <w:color w:val="231F20"/>
          <w:w w:val="120"/>
        </w:rPr>
        <w:t>l’importance</w:t>
      </w:r>
      <w:r>
        <w:rPr>
          <w:color w:val="231F20"/>
          <w:spacing w:val="-11"/>
          <w:w w:val="120"/>
        </w:rPr>
        <w:t> </w:t>
      </w:r>
      <w:r>
        <w:rPr>
          <w:color w:val="231F20"/>
          <w:w w:val="120"/>
        </w:rPr>
        <w:t>de</w:t>
      </w:r>
      <w:r>
        <w:rPr>
          <w:color w:val="231F20"/>
          <w:spacing w:val="-11"/>
          <w:w w:val="120"/>
        </w:rPr>
        <w:t> </w:t>
      </w:r>
      <w:r>
        <w:rPr>
          <w:color w:val="231F20"/>
          <w:w w:val="120"/>
        </w:rPr>
        <w:t>facteurs</w:t>
      </w:r>
      <w:r>
        <w:rPr>
          <w:color w:val="231F20"/>
          <w:spacing w:val="-11"/>
          <w:w w:val="120"/>
        </w:rPr>
        <w:t> </w:t>
      </w:r>
      <w:r>
        <w:rPr>
          <w:color w:val="231F20"/>
          <w:w w:val="120"/>
        </w:rPr>
        <w:t>individuels tels</w:t>
      </w:r>
      <w:r>
        <w:rPr>
          <w:color w:val="231F20"/>
          <w:spacing w:val="-6"/>
          <w:w w:val="120"/>
        </w:rPr>
        <w:t> </w:t>
      </w:r>
      <w:r>
        <w:rPr>
          <w:color w:val="231F20"/>
          <w:w w:val="120"/>
        </w:rPr>
        <w:t>que</w:t>
      </w:r>
      <w:r>
        <w:rPr>
          <w:color w:val="231F20"/>
          <w:spacing w:val="-6"/>
          <w:w w:val="120"/>
        </w:rPr>
        <w:t> </w:t>
      </w:r>
      <w:r>
        <w:rPr>
          <w:color w:val="231F20"/>
          <w:w w:val="120"/>
        </w:rPr>
        <w:t>les</w:t>
      </w:r>
      <w:r>
        <w:rPr>
          <w:color w:val="231F20"/>
          <w:spacing w:val="-6"/>
          <w:w w:val="120"/>
        </w:rPr>
        <w:t> </w:t>
      </w:r>
      <w:r>
        <w:rPr>
          <w:color w:val="231F20"/>
          <w:w w:val="120"/>
        </w:rPr>
        <w:t>valeurs,</w:t>
      </w:r>
      <w:r>
        <w:rPr>
          <w:color w:val="231F20"/>
          <w:spacing w:val="-6"/>
          <w:w w:val="120"/>
        </w:rPr>
        <w:t> </w:t>
      </w:r>
      <w:r>
        <w:rPr>
          <w:color w:val="231F20"/>
          <w:w w:val="120"/>
        </w:rPr>
        <w:t>les</w:t>
      </w:r>
      <w:r>
        <w:rPr>
          <w:color w:val="231F20"/>
          <w:spacing w:val="-6"/>
          <w:w w:val="120"/>
        </w:rPr>
        <w:t> </w:t>
      </w:r>
      <w:r>
        <w:rPr>
          <w:color w:val="231F20"/>
          <w:w w:val="120"/>
        </w:rPr>
        <w:t>attitudes</w:t>
      </w:r>
      <w:r>
        <w:rPr>
          <w:color w:val="231F20"/>
          <w:spacing w:val="-6"/>
          <w:w w:val="120"/>
        </w:rPr>
        <w:t> </w:t>
      </w:r>
      <w:r>
        <w:rPr>
          <w:color w:val="231F20"/>
          <w:w w:val="120"/>
        </w:rPr>
        <w:t>et</w:t>
      </w:r>
      <w:r>
        <w:rPr>
          <w:color w:val="231F20"/>
          <w:spacing w:val="-6"/>
          <w:w w:val="120"/>
        </w:rPr>
        <w:t> </w:t>
      </w:r>
      <w:r>
        <w:rPr>
          <w:color w:val="231F20"/>
          <w:w w:val="120"/>
        </w:rPr>
        <w:t>les</w:t>
      </w:r>
      <w:r>
        <w:rPr>
          <w:color w:val="231F20"/>
          <w:spacing w:val="-6"/>
          <w:w w:val="120"/>
        </w:rPr>
        <w:t> </w:t>
      </w:r>
      <w:r>
        <w:rPr>
          <w:color w:val="231F20"/>
          <w:w w:val="120"/>
        </w:rPr>
        <w:t>besoins</w:t>
      </w:r>
      <w:r>
        <w:rPr>
          <w:color w:val="231F20"/>
          <w:spacing w:val="-6"/>
          <w:w w:val="120"/>
        </w:rPr>
        <w:t> </w:t>
      </w:r>
      <w:r>
        <w:rPr>
          <w:color w:val="231F20"/>
          <w:w w:val="120"/>
        </w:rPr>
        <w:t>ainsi</w:t>
      </w:r>
      <w:r>
        <w:rPr>
          <w:color w:val="231F20"/>
          <w:spacing w:val="-6"/>
          <w:w w:val="120"/>
        </w:rPr>
        <w:t> </w:t>
      </w:r>
      <w:r>
        <w:rPr>
          <w:color w:val="231F20"/>
          <w:w w:val="120"/>
        </w:rPr>
        <w:t>que</w:t>
      </w:r>
      <w:r>
        <w:rPr>
          <w:color w:val="231F20"/>
          <w:spacing w:val="-6"/>
          <w:w w:val="120"/>
        </w:rPr>
        <w:t> </w:t>
      </w:r>
      <w:r>
        <w:rPr>
          <w:color w:val="231F20"/>
          <w:w w:val="120"/>
        </w:rPr>
        <w:t>la</w:t>
      </w:r>
      <w:r>
        <w:rPr>
          <w:color w:val="231F20"/>
          <w:spacing w:val="-6"/>
          <w:w w:val="120"/>
        </w:rPr>
        <w:t> </w:t>
      </w:r>
      <w:r>
        <w:rPr>
          <w:color w:val="231F20"/>
          <w:w w:val="120"/>
        </w:rPr>
        <w:t>personnalité </w:t>
      </w:r>
      <w:r>
        <w:rPr>
          <w:color w:val="231F20"/>
          <w:spacing w:val="-2"/>
          <w:w w:val="120"/>
        </w:rPr>
        <w:t>et</w:t>
      </w:r>
      <w:r>
        <w:rPr>
          <w:color w:val="231F20"/>
          <w:spacing w:val="-8"/>
          <w:w w:val="120"/>
        </w:rPr>
        <w:t> </w:t>
      </w:r>
      <w:r>
        <w:rPr>
          <w:color w:val="231F20"/>
          <w:spacing w:val="-2"/>
          <w:w w:val="120"/>
        </w:rPr>
        <w:t>les</w:t>
      </w:r>
      <w:r>
        <w:rPr>
          <w:color w:val="231F20"/>
          <w:spacing w:val="-8"/>
          <w:w w:val="120"/>
        </w:rPr>
        <w:t> </w:t>
      </w:r>
      <w:r>
        <w:rPr>
          <w:color w:val="231F20"/>
          <w:spacing w:val="-2"/>
          <w:w w:val="120"/>
        </w:rPr>
        <w:t>aspirations</w:t>
      </w:r>
      <w:r>
        <w:rPr>
          <w:color w:val="231F20"/>
          <w:spacing w:val="-8"/>
          <w:w w:val="120"/>
        </w:rPr>
        <w:t> </w:t>
      </w:r>
      <w:r>
        <w:rPr>
          <w:color w:val="231F20"/>
          <w:spacing w:val="-2"/>
          <w:w w:val="120"/>
        </w:rPr>
        <w:t>de</w:t>
      </w:r>
      <w:r>
        <w:rPr>
          <w:color w:val="231F20"/>
          <w:spacing w:val="-8"/>
          <w:w w:val="120"/>
        </w:rPr>
        <w:t> </w:t>
      </w:r>
      <w:r>
        <w:rPr>
          <w:color w:val="231F20"/>
          <w:spacing w:val="-2"/>
          <w:w w:val="120"/>
        </w:rPr>
        <w:t>l’individu</w:t>
      </w:r>
      <w:r>
        <w:rPr>
          <w:color w:val="231F20"/>
          <w:spacing w:val="-8"/>
          <w:w w:val="120"/>
        </w:rPr>
        <w:t> </w:t>
      </w:r>
      <w:r>
        <w:rPr>
          <w:color w:val="231F20"/>
          <w:spacing w:val="-2"/>
          <w:w w:val="120"/>
        </w:rPr>
        <w:t>pour</w:t>
      </w:r>
      <w:r>
        <w:rPr>
          <w:color w:val="231F20"/>
          <w:spacing w:val="-8"/>
          <w:w w:val="120"/>
        </w:rPr>
        <w:t> </w:t>
      </w:r>
      <w:r>
        <w:rPr>
          <w:color w:val="231F20"/>
          <w:spacing w:val="-2"/>
          <w:w w:val="120"/>
        </w:rPr>
        <w:t>déterminer</w:t>
      </w:r>
      <w:r>
        <w:rPr>
          <w:color w:val="231F20"/>
          <w:spacing w:val="-8"/>
          <w:w w:val="120"/>
        </w:rPr>
        <w:t> </w:t>
      </w:r>
      <w:r>
        <w:rPr>
          <w:color w:val="231F20"/>
          <w:spacing w:val="-2"/>
          <w:w w:val="120"/>
        </w:rPr>
        <w:t>sa</w:t>
      </w:r>
      <w:r>
        <w:rPr>
          <w:color w:val="231F20"/>
          <w:spacing w:val="-8"/>
          <w:w w:val="120"/>
        </w:rPr>
        <w:t> </w:t>
      </w:r>
      <w:r>
        <w:rPr>
          <w:color w:val="231F20"/>
          <w:spacing w:val="-2"/>
          <w:w w:val="120"/>
        </w:rPr>
        <w:t>vulnérabilité</w:t>
      </w:r>
      <w:r>
        <w:rPr>
          <w:color w:val="231F20"/>
          <w:spacing w:val="-8"/>
          <w:w w:val="120"/>
        </w:rPr>
        <w:t> </w:t>
      </w:r>
      <w:r>
        <w:rPr>
          <w:color w:val="231F20"/>
          <w:spacing w:val="-2"/>
          <w:w w:val="120"/>
        </w:rPr>
        <w:t>au</w:t>
      </w:r>
      <w:r>
        <w:rPr>
          <w:color w:val="231F20"/>
          <w:spacing w:val="-8"/>
          <w:w w:val="120"/>
        </w:rPr>
        <w:t> </w:t>
      </w:r>
      <w:r>
        <w:rPr>
          <w:color w:val="231F20"/>
          <w:spacing w:val="-2"/>
          <w:w w:val="120"/>
        </w:rPr>
        <w:t>stress. </w:t>
      </w:r>
      <w:r>
        <w:rPr>
          <w:color w:val="231F20"/>
          <w:w w:val="120"/>
        </w:rPr>
        <w:t>Ces</w:t>
      </w:r>
      <w:r>
        <w:rPr>
          <w:color w:val="231F20"/>
          <w:spacing w:val="-11"/>
          <w:w w:val="120"/>
        </w:rPr>
        <w:t> </w:t>
      </w:r>
      <w:r>
        <w:rPr>
          <w:color w:val="231F20"/>
          <w:w w:val="120"/>
        </w:rPr>
        <w:t>facteurs</w:t>
      </w:r>
      <w:r>
        <w:rPr>
          <w:color w:val="231F20"/>
          <w:spacing w:val="-10"/>
          <w:w w:val="120"/>
        </w:rPr>
        <w:t> </w:t>
      </w:r>
      <w:r>
        <w:rPr>
          <w:color w:val="231F20"/>
          <w:w w:val="120"/>
        </w:rPr>
        <w:t>individuels</w:t>
      </w:r>
      <w:r>
        <w:rPr>
          <w:color w:val="231F20"/>
          <w:spacing w:val="-11"/>
          <w:w w:val="120"/>
        </w:rPr>
        <w:t> </w:t>
      </w:r>
      <w:r>
        <w:rPr>
          <w:color w:val="231F20"/>
          <w:w w:val="120"/>
        </w:rPr>
        <w:t>englobent</w:t>
      </w:r>
      <w:r>
        <w:rPr>
          <w:color w:val="231F20"/>
          <w:spacing w:val="-10"/>
          <w:w w:val="120"/>
        </w:rPr>
        <w:t> </w:t>
      </w:r>
      <w:r>
        <w:rPr>
          <w:color w:val="231F20"/>
          <w:w w:val="120"/>
        </w:rPr>
        <w:t>des</w:t>
      </w:r>
      <w:r>
        <w:rPr>
          <w:color w:val="231F20"/>
          <w:spacing w:val="-10"/>
          <w:w w:val="120"/>
        </w:rPr>
        <w:t> </w:t>
      </w:r>
      <w:r>
        <w:rPr>
          <w:color w:val="231F20"/>
          <w:w w:val="120"/>
        </w:rPr>
        <w:t>caractéristiques</w:t>
      </w:r>
      <w:r>
        <w:rPr>
          <w:color w:val="231F20"/>
          <w:spacing w:val="-11"/>
          <w:w w:val="120"/>
        </w:rPr>
        <w:t> </w:t>
      </w:r>
      <w:r>
        <w:rPr>
          <w:color w:val="231F20"/>
          <w:w w:val="120"/>
        </w:rPr>
        <w:t>perceptuelles</w:t>
      </w:r>
      <w:r>
        <w:rPr>
          <w:color w:val="231F20"/>
          <w:spacing w:val="-10"/>
          <w:w w:val="120"/>
        </w:rPr>
        <w:t> </w:t>
      </w:r>
      <w:r>
        <w:rPr>
          <w:color w:val="231F20"/>
          <w:spacing w:val="-5"/>
          <w:w w:val="120"/>
        </w:rPr>
        <w:t>et</w:t>
      </w:r>
    </w:p>
    <w:p>
      <w:pPr>
        <w:pStyle w:val="BodyText"/>
        <w:rPr>
          <w:sz w:val="20"/>
        </w:rPr>
      </w:pPr>
    </w:p>
    <w:p>
      <w:pPr>
        <w:pStyle w:val="BodyText"/>
        <w:spacing w:before="5"/>
        <w:rPr>
          <w:sz w:val="26"/>
        </w:rPr>
      </w:pPr>
      <w:r>
        <w:rPr/>
        <w:pict>
          <v:shape style="position:absolute;margin-left:82pt;margin-top:16.414644pt;width:287.5pt;height:.1pt;mso-position-horizontal-relative:page;mso-position-vertical-relative:paragraph;z-index:-15688192;mso-wrap-distance-left:0;mso-wrap-distance-right:0" id="docshape590" coordorigin="1640,328" coordsize="5750,0" path="m1640,328l7390,328e" filled="false" stroked="true" strokeweight=".25pt" strokecolor="#231f20">
            <v:path arrowok="t"/>
            <v:stroke dashstyle="shortdot"/>
            <w10:wrap type="topAndBottom"/>
          </v:shape>
        </w:pict>
      </w:r>
    </w:p>
    <w:p>
      <w:pPr>
        <w:pStyle w:val="ListParagraph"/>
        <w:numPr>
          <w:ilvl w:val="0"/>
          <w:numId w:val="18"/>
        </w:numPr>
        <w:tabs>
          <w:tab w:pos="1220" w:val="left" w:leader="none"/>
        </w:tabs>
        <w:spacing w:line="295" w:lineRule="auto" w:before="135" w:after="0"/>
        <w:ind w:left="1219" w:right="106" w:hanging="406"/>
        <w:jc w:val="both"/>
        <w:rPr>
          <w:rFonts w:ascii="Arial"/>
          <w:sz w:val="12"/>
        </w:rPr>
      </w:pPr>
      <w:r>
        <w:rPr>
          <w:rFonts w:ascii="Arial"/>
          <w:color w:val="231F20"/>
          <w:sz w:val="12"/>
        </w:rPr>
        <w:t>Harnois, C., Picard, K., Rivard, S., Tremblay, J.-F. et Gosselin, E. (2020). La dynamique du stress au travail</w:t>
      </w:r>
      <w:r>
        <w:rPr>
          <w:rFonts w:ascii="Arial"/>
          <w:color w:val="231F20"/>
          <w:spacing w:val="40"/>
          <w:sz w:val="12"/>
        </w:rPr>
        <w:t> </w:t>
      </w:r>
      <w:r>
        <w:rPr>
          <w:rFonts w:ascii="Arial"/>
          <w:color w:val="231F20"/>
          <w:sz w:val="12"/>
        </w:rPr>
        <w:t>est-elle transactionnelle?, </w:t>
      </w:r>
      <w:r>
        <w:rPr>
          <w:rFonts w:ascii="Arial"/>
          <w:i/>
          <w:color w:val="231F20"/>
          <w:sz w:val="12"/>
        </w:rPr>
        <w:t>Ad Machina</w:t>
      </w:r>
      <w:r>
        <w:rPr>
          <w:rFonts w:ascii="Arial"/>
          <w:color w:val="231F20"/>
          <w:sz w:val="12"/>
        </w:rPr>
        <w:t>, </w:t>
      </w:r>
      <w:r>
        <w:rPr>
          <w:rFonts w:ascii="Arial"/>
          <w:i/>
          <w:color w:val="231F20"/>
          <w:sz w:val="12"/>
        </w:rPr>
        <w:t>4</w:t>
      </w:r>
      <w:r>
        <w:rPr>
          <w:rFonts w:ascii="Arial"/>
          <w:color w:val="231F20"/>
          <w:sz w:val="12"/>
        </w:rPr>
        <w:t>, 1-17.</w:t>
      </w:r>
    </w:p>
    <w:p>
      <w:pPr>
        <w:pStyle w:val="ListParagraph"/>
        <w:numPr>
          <w:ilvl w:val="0"/>
          <w:numId w:val="18"/>
        </w:numPr>
        <w:tabs>
          <w:tab w:pos="1220" w:val="left" w:leader="none"/>
        </w:tabs>
        <w:spacing w:line="295" w:lineRule="auto" w:before="0" w:after="0"/>
        <w:ind w:left="1219" w:right="107" w:hanging="406"/>
        <w:jc w:val="both"/>
        <w:rPr>
          <w:rFonts w:ascii="Arial"/>
          <w:sz w:val="12"/>
        </w:rPr>
      </w:pPr>
      <w:r>
        <w:rPr>
          <w:rFonts w:ascii="Arial"/>
          <w:color w:val="231F20"/>
          <w:sz w:val="12"/>
        </w:rPr>
        <w:t>Rydstedt, L. W., Devereux, J. et Sverke, M. (2007). Comparing and combining the demand-control-support</w:t>
      </w:r>
      <w:r>
        <w:rPr>
          <w:rFonts w:ascii="Arial"/>
          <w:color w:val="231F20"/>
          <w:spacing w:val="40"/>
          <w:sz w:val="12"/>
        </w:rPr>
        <w:t> </w:t>
      </w:r>
      <w:r>
        <w:rPr>
          <w:rFonts w:ascii="Arial"/>
          <w:color w:val="231F20"/>
          <w:sz w:val="12"/>
        </w:rPr>
        <w:t>model and the effort reward imbalance model to predict long-term mental strain, </w:t>
      </w:r>
      <w:r>
        <w:rPr>
          <w:rFonts w:ascii="Arial"/>
          <w:i/>
          <w:color w:val="231F20"/>
          <w:sz w:val="12"/>
        </w:rPr>
        <w:t>European Journal of </w:t>
      </w:r>
      <w:r>
        <w:rPr>
          <w:rFonts w:ascii="Arial"/>
          <w:i/>
          <w:color w:val="231F20"/>
          <w:sz w:val="12"/>
        </w:rPr>
        <w:t>Work</w:t>
      </w:r>
      <w:r>
        <w:rPr>
          <w:rFonts w:ascii="Arial"/>
          <w:i/>
          <w:color w:val="231F20"/>
          <w:spacing w:val="40"/>
          <w:sz w:val="12"/>
        </w:rPr>
        <w:t> </w:t>
      </w:r>
      <w:r>
        <w:rPr>
          <w:rFonts w:ascii="Arial"/>
          <w:i/>
          <w:color w:val="231F20"/>
          <w:sz w:val="12"/>
        </w:rPr>
        <w:t>and</w:t>
      </w:r>
      <w:r>
        <w:rPr>
          <w:rFonts w:ascii="Arial"/>
          <w:i/>
          <w:color w:val="231F20"/>
          <w:spacing w:val="-9"/>
          <w:sz w:val="12"/>
        </w:rPr>
        <w:t> </w:t>
      </w:r>
      <w:r>
        <w:rPr>
          <w:rFonts w:ascii="Arial"/>
          <w:i/>
          <w:color w:val="231F20"/>
          <w:sz w:val="12"/>
        </w:rPr>
        <w:t>Organizational</w:t>
      </w:r>
      <w:r>
        <w:rPr>
          <w:rFonts w:ascii="Arial"/>
          <w:i/>
          <w:color w:val="231F20"/>
          <w:spacing w:val="-8"/>
          <w:sz w:val="12"/>
        </w:rPr>
        <w:t> </w:t>
      </w:r>
      <w:r>
        <w:rPr>
          <w:rFonts w:ascii="Arial"/>
          <w:i/>
          <w:color w:val="231F20"/>
          <w:sz w:val="12"/>
        </w:rPr>
        <w:t>Psychology</w:t>
      </w:r>
      <w:r>
        <w:rPr>
          <w:rFonts w:ascii="Arial"/>
          <w:color w:val="231F20"/>
          <w:sz w:val="12"/>
        </w:rPr>
        <w:t>,</w:t>
      </w:r>
      <w:r>
        <w:rPr>
          <w:rFonts w:ascii="Arial"/>
          <w:color w:val="231F20"/>
          <w:spacing w:val="-8"/>
          <w:sz w:val="12"/>
        </w:rPr>
        <w:t> </w:t>
      </w:r>
      <w:r>
        <w:rPr>
          <w:rFonts w:ascii="Arial"/>
          <w:i/>
          <w:color w:val="231F20"/>
          <w:sz w:val="12"/>
        </w:rPr>
        <w:t>16</w:t>
      </w:r>
      <w:r>
        <w:rPr>
          <w:rFonts w:ascii="Arial"/>
          <w:color w:val="231F20"/>
          <w:sz w:val="12"/>
        </w:rPr>
        <w:t>,</w:t>
      </w:r>
      <w:r>
        <w:rPr>
          <w:rFonts w:ascii="Arial"/>
          <w:color w:val="231F20"/>
          <w:spacing w:val="-9"/>
          <w:sz w:val="12"/>
        </w:rPr>
        <w:t> </w:t>
      </w:r>
      <w:r>
        <w:rPr>
          <w:rFonts w:ascii="Arial"/>
          <w:color w:val="231F20"/>
          <w:sz w:val="12"/>
        </w:rPr>
        <w:t>261-278</w:t>
      </w:r>
      <w:r>
        <w:rPr>
          <w:rFonts w:ascii="Arial"/>
          <w:color w:val="231F20"/>
          <w:spacing w:val="-8"/>
          <w:sz w:val="12"/>
        </w:rPr>
        <w:t> </w:t>
      </w:r>
      <w:r>
        <w:rPr>
          <w:rFonts w:ascii="Arial"/>
          <w:color w:val="231F20"/>
          <w:sz w:val="12"/>
        </w:rPr>
        <w:t>;</w:t>
      </w:r>
      <w:r>
        <w:rPr>
          <w:rFonts w:ascii="Arial"/>
          <w:color w:val="231F20"/>
          <w:spacing w:val="-8"/>
          <w:sz w:val="12"/>
        </w:rPr>
        <w:t> </w:t>
      </w:r>
      <w:r>
        <w:rPr>
          <w:rFonts w:ascii="Arial"/>
          <w:color w:val="231F20"/>
          <w:sz w:val="12"/>
        </w:rPr>
        <w:t>Cowan,</w:t>
      </w:r>
      <w:r>
        <w:rPr>
          <w:rFonts w:ascii="Arial"/>
          <w:color w:val="231F20"/>
          <w:spacing w:val="-9"/>
          <w:sz w:val="12"/>
        </w:rPr>
        <w:t> </w:t>
      </w:r>
      <w:r>
        <w:rPr>
          <w:rFonts w:ascii="Arial"/>
          <w:color w:val="231F20"/>
          <w:sz w:val="12"/>
        </w:rPr>
        <w:t>S.</w:t>
      </w:r>
      <w:r>
        <w:rPr>
          <w:rFonts w:ascii="Arial"/>
          <w:color w:val="231F20"/>
          <w:spacing w:val="-8"/>
          <w:sz w:val="12"/>
        </w:rPr>
        <w:t> </w:t>
      </w:r>
      <w:r>
        <w:rPr>
          <w:rFonts w:ascii="Arial"/>
          <w:color w:val="231F20"/>
          <w:sz w:val="12"/>
        </w:rPr>
        <w:t>et</w:t>
      </w:r>
      <w:r>
        <w:rPr>
          <w:rFonts w:ascii="Arial"/>
          <w:color w:val="231F20"/>
          <w:spacing w:val="-6"/>
          <w:sz w:val="12"/>
        </w:rPr>
        <w:t> </w:t>
      </w:r>
      <w:r>
        <w:rPr>
          <w:rFonts w:ascii="Arial"/>
          <w:color w:val="231F20"/>
          <w:sz w:val="12"/>
        </w:rPr>
        <w:t>Kinman,</w:t>
      </w:r>
      <w:r>
        <w:rPr>
          <w:rFonts w:ascii="Arial"/>
          <w:color w:val="231F20"/>
          <w:spacing w:val="-7"/>
          <w:sz w:val="12"/>
        </w:rPr>
        <w:t> </w:t>
      </w:r>
      <w:r>
        <w:rPr>
          <w:rFonts w:ascii="Arial"/>
          <w:color w:val="231F20"/>
          <w:sz w:val="12"/>
        </w:rPr>
        <w:t>G.</w:t>
      </w:r>
      <w:r>
        <w:rPr>
          <w:rFonts w:ascii="Arial"/>
          <w:color w:val="231F20"/>
          <w:spacing w:val="-7"/>
          <w:sz w:val="12"/>
        </w:rPr>
        <w:t> </w:t>
      </w:r>
      <w:r>
        <w:rPr>
          <w:rFonts w:ascii="Arial"/>
          <w:color w:val="231F20"/>
          <w:sz w:val="12"/>
        </w:rPr>
        <w:t>(2015).</w:t>
      </w:r>
      <w:r>
        <w:rPr>
          <w:rFonts w:ascii="Arial"/>
          <w:color w:val="231F20"/>
          <w:spacing w:val="-7"/>
          <w:sz w:val="12"/>
        </w:rPr>
        <w:t> </w:t>
      </w:r>
      <w:r>
        <w:rPr>
          <w:rFonts w:ascii="Arial"/>
          <w:color w:val="231F20"/>
          <w:sz w:val="12"/>
        </w:rPr>
        <w:t>Interview</w:t>
      </w:r>
      <w:r>
        <w:rPr>
          <w:rFonts w:ascii="Arial"/>
          <w:color w:val="231F20"/>
          <w:spacing w:val="-7"/>
          <w:sz w:val="12"/>
        </w:rPr>
        <w:t> </w:t>
      </w:r>
      <w:r>
        <w:rPr>
          <w:rFonts w:ascii="Arial"/>
          <w:color w:val="231F20"/>
          <w:sz w:val="12"/>
        </w:rPr>
        <w:t>with</w:t>
      </w:r>
      <w:r>
        <w:rPr>
          <w:rFonts w:ascii="Arial"/>
          <w:color w:val="231F20"/>
          <w:spacing w:val="-7"/>
          <w:sz w:val="12"/>
        </w:rPr>
        <w:t> </w:t>
      </w:r>
      <w:r>
        <w:rPr>
          <w:rFonts w:ascii="Arial"/>
          <w:color w:val="231F20"/>
          <w:sz w:val="12"/>
        </w:rPr>
        <w:t>Robert</w:t>
      </w:r>
      <w:r>
        <w:rPr>
          <w:rFonts w:ascii="Arial"/>
          <w:color w:val="231F20"/>
          <w:spacing w:val="-7"/>
          <w:sz w:val="12"/>
        </w:rPr>
        <w:t> </w:t>
      </w:r>
      <w:r>
        <w:rPr>
          <w:rFonts w:ascii="Arial"/>
          <w:color w:val="231F20"/>
          <w:sz w:val="12"/>
        </w:rPr>
        <w:t>Karasek</w:t>
      </w:r>
      <w:r>
        <w:rPr>
          <w:rFonts w:ascii="Arial"/>
          <w:color w:val="231F20"/>
          <w:spacing w:val="40"/>
          <w:sz w:val="12"/>
        </w:rPr>
        <w:t> </w:t>
      </w:r>
      <w:r>
        <w:rPr>
          <w:rFonts w:ascii="Arial"/>
          <w:color w:val="231F20"/>
          <w:sz w:val="12"/>
        </w:rPr>
        <w:t>and Johannes Siegrist, </w:t>
      </w:r>
      <w:r>
        <w:rPr>
          <w:rFonts w:ascii="Arial"/>
          <w:i/>
          <w:color w:val="231F20"/>
          <w:sz w:val="12"/>
        </w:rPr>
        <w:t>Occupational Health Psychologist</w:t>
      </w:r>
      <w:r>
        <w:rPr>
          <w:rFonts w:ascii="Arial"/>
          <w:color w:val="231F20"/>
          <w:sz w:val="12"/>
        </w:rPr>
        <w:t>, </w:t>
      </w:r>
      <w:r>
        <w:rPr>
          <w:rFonts w:ascii="Arial"/>
          <w:i/>
          <w:color w:val="231F20"/>
          <w:sz w:val="12"/>
        </w:rPr>
        <w:t>11</w:t>
      </w:r>
      <w:r>
        <w:rPr>
          <w:rFonts w:ascii="Arial"/>
          <w:color w:val="231F20"/>
          <w:sz w:val="12"/>
        </w:rPr>
        <w:t>, 6-10.</w:t>
      </w:r>
    </w:p>
    <w:p>
      <w:pPr>
        <w:spacing w:after="0" w:line="295" w:lineRule="auto"/>
        <w:jc w:val="both"/>
        <w:rPr>
          <w:rFonts w:ascii="Arial"/>
          <w:sz w:val="12"/>
        </w:rPr>
        <w:sectPr>
          <w:footerReference w:type="default" r:id="rId164"/>
          <w:pgSz w:w="8640" w:h="12960"/>
          <w:pgMar w:footer="424" w:header="0" w:top="500" w:bottom="620" w:left="420" w:right="1140"/>
        </w:sectPr>
      </w:pPr>
    </w:p>
    <w:p>
      <w:pPr>
        <w:spacing w:before="103"/>
        <w:ind w:left="1028" w:right="698" w:firstLine="0"/>
        <w:jc w:val="center"/>
        <w:rPr>
          <w:rFonts w:ascii="Arial" w:hAnsi="Arial"/>
          <w:sz w:val="14"/>
        </w:rPr>
      </w:pPr>
      <w:bookmarkStart w:name=" 2.4.2 / Stresseurs organisationnels" w:id="64"/>
      <w:bookmarkEnd w:id="64"/>
      <w:r>
        <w:rPr/>
      </w:r>
      <w:bookmarkStart w:name="_bookmark27" w:id="65"/>
      <w:bookmarkEnd w:id="65"/>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2"/>
        <w:jc w:val="both"/>
      </w:pPr>
      <w:r>
        <w:rPr>
          <w:color w:val="231F20"/>
          <w:w w:val="115"/>
        </w:rPr>
        <w:t>cognitives</w:t>
      </w:r>
      <w:r>
        <w:rPr>
          <w:color w:val="231F20"/>
          <w:spacing w:val="-9"/>
          <w:w w:val="115"/>
        </w:rPr>
        <w:t> </w:t>
      </w:r>
      <w:r>
        <w:rPr>
          <w:color w:val="231F20"/>
          <w:w w:val="115"/>
        </w:rPr>
        <w:t>particulières</w:t>
      </w:r>
      <w:r>
        <w:rPr>
          <w:color w:val="231F20"/>
          <w:spacing w:val="-9"/>
          <w:w w:val="115"/>
        </w:rPr>
        <w:t> </w:t>
      </w:r>
      <w:r>
        <w:rPr>
          <w:color w:val="231F20"/>
          <w:w w:val="115"/>
        </w:rPr>
        <w:t>qui</w:t>
      </w:r>
      <w:r>
        <w:rPr>
          <w:color w:val="231F20"/>
          <w:spacing w:val="-9"/>
          <w:w w:val="115"/>
        </w:rPr>
        <w:t> </w:t>
      </w:r>
      <w:r>
        <w:rPr>
          <w:color w:val="231F20"/>
          <w:w w:val="115"/>
        </w:rPr>
        <w:t>influent</w:t>
      </w:r>
      <w:r>
        <w:rPr>
          <w:color w:val="231F20"/>
          <w:spacing w:val="-9"/>
          <w:w w:val="115"/>
        </w:rPr>
        <w:t> </w:t>
      </w:r>
      <w:r>
        <w:rPr>
          <w:color w:val="231F20"/>
          <w:w w:val="115"/>
        </w:rPr>
        <w:t>à</w:t>
      </w:r>
      <w:r>
        <w:rPr>
          <w:color w:val="231F20"/>
          <w:spacing w:val="-9"/>
          <w:w w:val="115"/>
        </w:rPr>
        <w:t> </w:t>
      </w:r>
      <w:r>
        <w:rPr>
          <w:color w:val="231F20"/>
          <w:w w:val="115"/>
        </w:rPr>
        <w:t>la</w:t>
      </w:r>
      <w:r>
        <w:rPr>
          <w:color w:val="231F20"/>
          <w:spacing w:val="-9"/>
          <w:w w:val="115"/>
        </w:rPr>
        <w:t> </w:t>
      </w:r>
      <w:r>
        <w:rPr>
          <w:color w:val="231F20"/>
          <w:w w:val="115"/>
        </w:rPr>
        <w:t>fois</w:t>
      </w:r>
      <w:r>
        <w:rPr>
          <w:color w:val="231F20"/>
          <w:spacing w:val="-9"/>
          <w:w w:val="115"/>
        </w:rPr>
        <w:t> </w:t>
      </w:r>
      <w:r>
        <w:rPr>
          <w:color w:val="231F20"/>
          <w:w w:val="115"/>
        </w:rPr>
        <w:t>sur</w:t>
      </w:r>
      <w:r>
        <w:rPr>
          <w:color w:val="231F20"/>
          <w:spacing w:val="-9"/>
          <w:w w:val="115"/>
        </w:rPr>
        <w:t> </w:t>
      </w:r>
      <w:r>
        <w:rPr>
          <w:color w:val="231F20"/>
          <w:w w:val="115"/>
        </w:rPr>
        <w:t>l’interprétation</w:t>
      </w:r>
      <w:r>
        <w:rPr>
          <w:color w:val="231F20"/>
          <w:spacing w:val="-9"/>
          <w:w w:val="115"/>
        </w:rPr>
        <w:t> </w:t>
      </w:r>
      <w:r>
        <w:rPr>
          <w:color w:val="231F20"/>
          <w:w w:val="115"/>
        </w:rPr>
        <w:t>subjective </w:t>
      </w:r>
      <w:r>
        <w:rPr>
          <w:color w:val="231F20"/>
          <w:w w:val="120"/>
        </w:rPr>
        <w:t>de ce qui constitue un stresseur (hypothèse de la sensibilité) et sur la réaction au stress (hypothèse de la réactivité).</w:t>
      </w:r>
    </w:p>
    <w:p>
      <w:pPr>
        <w:pStyle w:val="BodyText"/>
        <w:spacing w:line="307" w:lineRule="auto" w:before="80"/>
        <w:ind w:left="830" w:right="493" w:firstLine="250"/>
        <w:jc w:val="both"/>
      </w:pPr>
      <w:r>
        <w:rPr>
          <w:color w:val="231F20"/>
          <w:w w:val="120"/>
        </w:rPr>
        <w:t>Bien des facettes de la personnalité ont fait l’objet d’études sur le stress.</w:t>
      </w:r>
      <w:r>
        <w:rPr>
          <w:color w:val="231F20"/>
          <w:spacing w:val="-6"/>
          <w:w w:val="120"/>
        </w:rPr>
        <w:t> </w:t>
      </w:r>
      <w:r>
        <w:rPr>
          <w:color w:val="231F20"/>
          <w:w w:val="120"/>
        </w:rPr>
        <w:t>Les</w:t>
      </w:r>
      <w:r>
        <w:rPr>
          <w:color w:val="231F20"/>
          <w:spacing w:val="-6"/>
          <w:w w:val="120"/>
        </w:rPr>
        <w:t> </w:t>
      </w:r>
      <w:r>
        <w:rPr>
          <w:color w:val="231F20"/>
          <w:w w:val="120"/>
        </w:rPr>
        <w:t>réactions</w:t>
      </w:r>
      <w:r>
        <w:rPr>
          <w:color w:val="231F20"/>
          <w:spacing w:val="-6"/>
          <w:w w:val="120"/>
        </w:rPr>
        <w:t> </w:t>
      </w:r>
      <w:r>
        <w:rPr>
          <w:color w:val="231F20"/>
          <w:w w:val="120"/>
        </w:rPr>
        <w:t>types</w:t>
      </w:r>
      <w:r>
        <w:rPr>
          <w:color w:val="231F20"/>
          <w:spacing w:val="-6"/>
          <w:w w:val="120"/>
        </w:rPr>
        <w:t> </w:t>
      </w:r>
      <w:r>
        <w:rPr>
          <w:color w:val="231F20"/>
          <w:w w:val="120"/>
        </w:rPr>
        <w:t>au</w:t>
      </w:r>
      <w:r>
        <w:rPr>
          <w:color w:val="231F20"/>
          <w:spacing w:val="-6"/>
          <w:w w:val="120"/>
        </w:rPr>
        <w:t> </w:t>
      </w:r>
      <w:r>
        <w:rPr>
          <w:color w:val="231F20"/>
          <w:w w:val="120"/>
        </w:rPr>
        <w:t>stress</w:t>
      </w:r>
      <w:r>
        <w:rPr>
          <w:color w:val="231F20"/>
          <w:spacing w:val="-6"/>
          <w:w w:val="120"/>
        </w:rPr>
        <w:t> </w:t>
      </w:r>
      <w:r>
        <w:rPr>
          <w:color w:val="231F20"/>
          <w:w w:val="120"/>
        </w:rPr>
        <w:t>varient</w:t>
      </w:r>
      <w:r>
        <w:rPr>
          <w:color w:val="231F20"/>
          <w:spacing w:val="-6"/>
          <w:w w:val="120"/>
        </w:rPr>
        <w:t> </w:t>
      </w:r>
      <w:r>
        <w:rPr>
          <w:color w:val="231F20"/>
          <w:w w:val="120"/>
        </w:rPr>
        <w:t>en</w:t>
      </w:r>
      <w:r>
        <w:rPr>
          <w:color w:val="231F20"/>
          <w:spacing w:val="-6"/>
          <w:w w:val="120"/>
        </w:rPr>
        <w:t> </w:t>
      </w:r>
      <w:r>
        <w:rPr>
          <w:color w:val="231F20"/>
          <w:w w:val="120"/>
        </w:rPr>
        <w:t>fonction</w:t>
      </w:r>
      <w:r>
        <w:rPr>
          <w:color w:val="231F20"/>
          <w:spacing w:val="-6"/>
          <w:w w:val="120"/>
        </w:rPr>
        <w:t> </w:t>
      </w:r>
      <w:r>
        <w:rPr>
          <w:color w:val="231F20"/>
          <w:w w:val="120"/>
        </w:rPr>
        <w:t>de</w:t>
      </w:r>
      <w:r>
        <w:rPr>
          <w:color w:val="231F20"/>
          <w:spacing w:val="-6"/>
          <w:w w:val="120"/>
        </w:rPr>
        <w:t> </w:t>
      </w:r>
      <w:r>
        <w:rPr>
          <w:color w:val="231F20"/>
          <w:w w:val="120"/>
        </w:rPr>
        <w:t>traits</w:t>
      </w:r>
      <w:r>
        <w:rPr>
          <w:color w:val="231F20"/>
          <w:spacing w:val="-6"/>
          <w:w w:val="120"/>
        </w:rPr>
        <w:t> </w:t>
      </w:r>
      <w:r>
        <w:rPr>
          <w:color w:val="231F20"/>
          <w:w w:val="120"/>
        </w:rPr>
        <w:t>de</w:t>
      </w:r>
      <w:r>
        <w:rPr>
          <w:color w:val="231F20"/>
          <w:spacing w:val="-6"/>
          <w:w w:val="120"/>
        </w:rPr>
        <w:t> </w:t>
      </w:r>
      <w:r>
        <w:rPr>
          <w:color w:val="231F20"/>
          <w:w w:val="120"/>
        </w:rPr>
        <w:t>per- </w:t>
      </w:r>
      <w:r>
        <w:rPr>
          <w:color w:val="231F20"/>
          <w:w w:val="115"/>
        </w:rPr>
        <w:t>sonnalité</w:t>
      </w:r>
      <w:r>
        <w:rPr>
          <w:color w:val="231F20"/>
          <w:spacing w:val="-3"/>
          <w:w w:val="115"/>
        </w:rPr>
        <w:t> </w:t>
      </w:r>
      <w:r>
        <w:rPr>
          <w:color w:val="231F20"/>
          <w:w w:val="115"/>
        </w:rPr>
        <w:t>tels</w:t>
      </w:r>
      <w:r>
        <w:rPr>
          <w:color w:val="231F20"/>
          <w:spacing w:val="-3"/>
          <w:w w:val="115"/>
        </w:rPr>
        <w:t> </w:t>
      </w:r>
      <w:r>
        <w:rPr>
          <w:color w:val="231F20"/>
          <w:w w:val="115"/>
        </w:rPr>
        <w:t>que</w:t>
      </w:r>
      <w:r>
        <w:rPr>
          <w:color w:val="231F20"/>
          <w:spacing w:val="-3"/>
          <w:w w:val="115"/>
        </w:rPr>
        <w:t> </w:t>
      </w:r>
      <w:r>
        <w:rPr>
          <w:color w:val="231F20"/>
          <w:w w:val="115"/>
        </w:rPr>
        <w:t>l’introversion</w:t>
      </w:r>
      <w:r>
        <w:rPr>
          <w:color w:val="231F20"/>
          <w:spacing w:val="-3"/>
          <w:w w:val="115"/>
        </w:rPr>
        <w:t> </w:t>
      </w:r>
      <w:r>
        <w:rPr>
          <w:color w:val="231F20"/>
          <w:w w:val="115"/>
        </w:rPr>
        <w:t>ou</w:t>
      </w:r>
      <w:r>
        <w:rPr>
          <w:color w:val="231F20"/>
          <w:spacing w:val="-3"/>
          <w:w w:val="115"/>
        </w:rPr>
        <w:t> </w:t>
      </w:r>
      <w:r>
        <w:rPr>
          <w:color w:val="231F20"/>
          <w:w w:val="115"/>
        </w:rPr>
        <w:t>l’extraversion,</w:t>
      </w:r>
      <w:r>
        <w:rPr>
          <w:color w:val="231F20"/>
          <w:spacing w:val="-3"/>
          <w:w w:val="115"/>
        </w:rPr>
        <w:t> </w:t>
      </w:r>
      <w:r>
        <w:rPr>
          <w:color w:val="231F20"/>
          <w:w w:val="115"/>
        </w:rPr>
        <w:t>la</w:t>
      </w:r>
      <w:r>
        <w:rPr>
          <w:color w:val="231F20"/>
          <w:spacing w:val="-3"/>
          <w:w w:val="115"/>
        </w:rPr>
        <w:t> </w:t>
      </w:r>
      <w:r>
        <w:rPr>
          <w:color w:val="231F20"/>
          <w:w w:val="115"/>
        </w:rPr>
        <w:t>rigidité,</w:t>
      </w:r>
      <w:r>
        <w:rPr>
          <w:color w:val="231F20"/>
          <w:spacing w:val="-3"/>
          <w:w w:val="115"/>
        </w:rPr>
        <w:t> </w:t>
      </w:r>
      <w:r>
        <w:rPr>
          <w:color w:val="231F20"/>
          <w:w w:val="115"/>
        </w:rPr>
        <w:t>la</w:t>
      </w:r>
      <w:r>
        <w:rPr>
          <w:color w:val="231F20"/>
          <w:spacing w:val="-3"/>
          <w:w w:val="115"/>
        </w:rPr>
        <w:t> </w:t>
      </w:r>
      <w:r>
        <w:rPr>
          <w:color w:val="231F20"/>
          <w:w w:val="115"/>
        </w:rPr>
        <w:t>souplesse </w:t>
      </w:r>
      <w:r>
        <w:rPr>
          <w:color w:val="231F20"/>
          <w:w w:val="120"/>
        </w:rPr>
        <w:t>et</w:t>
      </w:r>
      <w:r>
        <w:rPr>
          <w:color w:val="231F20"/>
          <w:spacing w:val="-4"/>
          <w:w w:val="120"/>
        </w:rPr>
        <w:t> </w:t>
      </w:r>
      <w:r>
        <w:rPr>
          <w:color w:val="231F20"/>
          <w:w w:val="120"/>
        </w:rPr>
        <w:t>l’ambition.</w:t>
      </w:r>
      <w:r>
        <w:rPr>
          <w:color w:val="231F20"/>
          <w:spacing w:val="-4"/>
          <w:w w:val="120"/>
        </w:rPr>
        <w:t> </w:t>
      </w:r>
      <w:r>
        <w:rPr>
          <w:color w:val="231F20"/>
          <w:w w:val="120"/>
        </w:rPr>
        <w:t>On</w:t>
      </w:r>
      <w:r>
        <w:rPr>
          <w:color w:val="231F20"/>
          <w:spacing w:val="-4"/>
          <w:w w:val="120"/>
        </w:rPr>
        <w:t> </w:t>
      </w:r>
      <w:r>
        <w:rPr>
          <w:color w:val="231F20"/>
          <w:w w:val="120"/>
        </w:rPr>
        <w:t>trouvera</w:t>
      </w:r>
      <w:r>
        <w:rPr>
          <w:color w:val="231F20"/>
          <w:spacing w:val="-5"/>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fin</w:t>
      </w:r>
      <w:r>
        <w:rPr>
          <w:color w:val="231F20"/>
          <w:spacing w:val="-4"/>
          <w:w w:val="120"/>
        </w:rPr>
        <w:t> </w:t>
      </w:r>
      <w:r>
        <w:rPr>
          <w:color w:val="231F20"/>
          <w:w w:val="120"/>
        </w:rPr>
        <w:t>du</w:t>
      </w:r>
      <w:r>
        <w:rPr>
          <w:color w:val="231F20"/>
          <w:spacing w:val="-4"/>
          <w:w w:val="120"/>
        </w:rPr>
        <w:t> </w:t>
      </w:r>
      <w:r>
        <w:rPr>
          <w:color w:val="231F20"/>
          <w:w w:val="120"/>
        </w:rPr>
        <w:t>présent</w:t>
      </w:r>
      <w:r>
        <w:rPr>
          <w:color w:val="231F20"/>
          <w:spacing w:val="-4"/>
          <w:w w:val="120"/>
        </w:rPr>
        <w:t> </w:t>
      </w:r>
      <w:r>
        <w:rPr>
          <w:color w:val="231F20"/>
          <w:w w:val="120"/>
        </w:rPr>
        <w:t>chapitre</w:t>
      </w:r>
      <w:r>
        <w:rPr>
          <w:color w:val="231F20"/>
          <w:spacing w:val="-4"/>
          <w:w w:val="120"/>
        </w:rPr>
        <w:t> </w:t>
      </w:r>
      <w:r>
        <w:rPr>
          <w:color w:val="231F20"/>
          <w:w w:val="120"/>
        </w:rPr>
        <w:t>un</w:t>
      </w:r>
      <w:r>
        <w:rPr>
          <w:color w:val="231F20"/>
          <w:spacing w:val="-4"/>
          <w:w w:val="120"/>
        </w:rPr>
        <w:t> </w:t>
      </w:r>
      <w:r>
        <w:rPr>
          <w:color w:val="231F20"/>
          <w:w w:val="120"/>
        </w:rPr>
        <w:t>questionnaire permettant de vérifier la propension individuelle au stress.</w:t>
      </w:r>
    </w:p>
    <w:p>
      <w:pPr>
        <w:pStyle w:val="BodyText"/>
        <w:spacing w:line="175" w:lineRule="exact" w:before="79"/>
        <w:ind w:left="3079"/>
        <w:jc w:val="both"/>
      </w:pPr>
      <w:r>
        <w:rPr>
          <w:color w:val="231F20"/>
          <w:spacing w:val="-4"/>
          <w:w w:val="120"/>
        </w:rPr>
        <w:t>Les</w:t>
      </w:r>
      <w:r>
        <w:rPr>
          <w:color w:val="231F20"/>
          <w:spacing w:val="-11"/>
          <w:w w:val="120"/>
        </w:rPr>
        <w:t> </w:t>
      </w:r>
      <w:r>
        <w:rPr>
          <w:color w:val="231F20"/>
          <w:spacing w:val="-4"/>
          <w:w w:val="120"/>
        </w:rPr>
        <w:t>stresseurs</w:t>
      </w:r>
      <w:r>
        <w:rPr>
          <w:color w:val="231F20"/>
          <w:spacing w:val="-10"/>
          <w:w w:val="120"/>
        </w:rPr>
        <w:t> </w:t>
      </w:r>
      <w:r>
        <w:rPr>
          <w:color w:val="231F20"/>
          <w:spacing w:val="-4"/>
          <w:w w:val="120"/>
        </w:rPr>
        <w:t>personnels</w:t>
      </w:r>
      <w:r>
        <w:rPr>
          <w:color w:val="231F20"/>
          <w:spacing w:val="-10"/>
          <w:w w:val="120"/>
        </w:rPr>
        <w:t> </w:t>
      </w:r>
      <w:r>
        <w:rPr>
          <w:color w:val="231F20"/>
          <w:spacing w:val="-4"/>
          <w:w w:val="120"/>
        </w:rPr>
        <w:t>ont</w:t>
      </w:r>
      <w:r>
        <w:rPr>
          <w:color w:val="231F20"/>
          <w:spacing w:val="-10"/>
          <w:w w:val="120"/>
        </w:rPr>
        <w:t> </w:t>
      </w:r>
      <w:r>
        <w:rPr>
          <w:color w:val="231F20"/>
          <w:spacing w:val="-4"/>
          <w:w w:val="120"/>
        </w:rPr>
        <w:t>comme</w:t>
      </w:r>
      <w:r>
        <w:rPr>
          <w:color w:val="231F20"/>
          <w:spacing w:val="-10"/>
          <w:w w:val="120"/>
        </w:rPr>
        <w:t> </w:t>
      </w:r>
      <w:r>
        <w:rPr>
          <w:color w:val="231F20"/>
          <w:spacing w:val="-4"/>
          <w:w w:val="120"/>
        </w:rPr>
        <w:t>origine</w:t>
      </w:r>
    </w:p>
    <w:p>
      <w:pPr>
        <w:spacing w:after="0" w:line="175" w:lineRule="exact"/>
        <w:jc w:val="both"/>
        <w:sectPr>
          <w:footerReference w:type="default" r:id="rId165"/>
          <w:pgSz w:w="8640" w:h="12960"/>
          <w:pgMar w:footer="424" w:header="0" w:top="520" w:bottom="620" w:left="420" w:right="1140"/>
        </w:sectPr>
      </w:pPr>
    </w:p>
    <w:p>
      <w:pPr>
        <w:spacing w:line="268" w:lineRule="auto" w:before="32"/>
        <w:ind w:left="829" w:right="0" w:firstLine="275"/>
        <w:jc w:val="right"/>
        <w:rPr>
          <w:rFonts w:ascii="Arial" w:hAnsi="Arial"/>
          <w:sz w:val="14"/>
        </w:rPr>
      </w:pPr>
      <w:r>
        <w:rPr>
          <w:rFonts w:ascii="Arial" w:hAnsi="Arial"/>
          <w:color w:val="231F20"/>
          <w:sz w:val="14"/>
        </w:rPr>
        <w:t>Des</w:t>
      </w:r>
      <w:r>
        <w:rPr>
          <w:rFonts w:ascii="Arial" w:hAnsi="Arial"/>
          <w:color w:val="231F20"/>
          <w:spacing w:val="-10"/>
          <w:sz w:val="14"/>
        </w:rPr>
        <w:t> </w:t>
      </w:r>
      <w:r>
        <w:rPr>
          <w:rFonts w:ascii="Arial" w:hAnsi="Arial"/>
          <w:color w:val="231F20"/>
          <w:sz w:val="14"/>
        </w:rPr>
        <w:t>facteurs</w:t>
      </w:r>
      <w:r>
        <w:rPr>
          <w:rFonts w:ascii="Arial" w:hAnsi="Arial"/>
          <w:color w:val="231F20"/>
          <w:spacing w:val="-10"/>
          <w:sz w:val="14"/>
        </w:rPr>
        <w:t> </w:t>
      </w:r>
      <w:r>
        <w:rPr>
          <w:rFonts w:ascii="Arial" w:hAnsi="Arial"/>
          <w:color w:val="231F20"/>
          <w:sz w:val="14"/>
        </w:rPr>
        <w:t>individuels</w:t>
      </w:r>
      <w:r>
        <w:rPr>
          <w:rFonts w:ascii="Arial" w:hAnsi="Arial"/>
          <w:color w:val="231F20"/>
          <w:spacing w:val="40"/>
          <w:sz w:val="14"/>
        </w:rPr>
        <w:t> </w:t>
      </w:r>
      <w:r>
        <w:rPr>
          <w:rFonts w:ascii="Arial" w:hAnsi="Arial"/>
          <w:color w:val="231F20"/>
          <w:sz w:val="14"/>
        </w:rPr>
        <w:t>tels que les valeurs, les</w:t>
      </w:r>
      <w:r>
        <w:rPr>
          <w:rFonts w:ascii="Arial" w:hAnsi="Arial"/>
          <w:color w:val="231F20"/>
          <w:spacing w:val="40"/>
          <w:sz w:val="14"/>
        </w:rPr>
        <w:t> </w:t>
      </w:r>
      <w:r>
        <w:rPr>
          <w:rFonts w:ascii="Arial" w:hAnsi="Arial"/>
          <w:color w:val="231F20"/>
          <w:sz w:val="14"/>
        </w:rPr>
        <w:t>attitudes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les</w:t>
      </w:r>
      <w:r>
        <w:rPr>
          <w:rFonts w:ascii="Arial" w:hAnsi="Arial"/>
          <w:color w:val="231F20"/>
          <w:spacing w:val="-8"/>
          <w:sz w:val="14"/>
        </w:rPr>
        <w:t> </w:t>
      </w:r>
      <w:r>
        <w:rPr>
          <w:rFonts w:ascii="Arial" w:hAnsi="Arial"/>
          <w:color w:val="231F20"/>
          <w:sz w:val="14"/>
        </w:rPr>
        <w:t>besoins</w:t>
      </w:r>
      <w:r>
        <w:rPr>
          <w:rFonts w:ascii="Arial" w:hAnsi="Arial"/>
          <w:color w:val="231F20"/>
          <w:spacing w:val="-8"/>
          <w:sz w:val="14"/>
        </w:rPr>
        <w:t> </w:t>
      </w:r>
      <w:r>
        <w:rPr>
          <w:rFonts w:ascii="Arial" w:hAnsi="Arial"/>
          <w:color w:val="231F20"/>
          <w:sz w:val="14"/>
        </w:rPr>
        <w:t>ainsi</w:t>
      </w:r>
      <w:r>
        <w:rPr>
          <w:rFonts w:ascii="Arial" w:hAnsi="Arial"/>
          <w:color w:val="231F20"/>
          <w:spacing w:val="40"/>
          <w:sz w:val="14"/>
        </w:rPr>
        <w:t> </w:t>
      </w:r>
      <w:r>
        <w:rPr>
          <w:rFonts w:ascii="Arial" w:hAnsi="Arial"/>
          <w:color w:val="231F20"/>
          <w:sz w:val="14"/>
        </w:rPr>
        <w:t>que la personnalité et les</w:t>
      </w:r>
      <w:r>
        <w:rPr>
          <w:rFonts w:ascii="Arial" w:hAnsi="Arial"/>
          <w:color w:val="231F20"/>
          <w:spacing w:val="40"/>
          <w:sz w:val="14"/>
        </w:rPr>
        <w:t> </w:t>
      </w:r>
      <w:r>
        <w:rPr>
          <w:rFonts w:ascii="Arial" w:hAnsi="Arial"/>
          <w:color w:val="231F20"/>
          <w:sz w:val="14"/>
        </w:rPr>
        <w:t>aspirations de l’individu</w:t>
      </w:r>
    </w:p>
    <w:p>
      <w:pPr>
        <w:spacing w:line="268" w:lineRule="auto" w:before="0"/>
        <w:ind w:left="1177" w:right="0" w:firstLine="468"/>
        <w:jc w:val="right"/>
        <w:rPr>
          <w:rFonts w:ascii="Arial" w:hAnsi="Arial"/>
          <w:sz w:val="14"/>
        </w:rPr>
      </w:pPr>
      <w:r>
        <w:rPr>
          <w:rFonts w:ascii="Arial" w:hAnsi="Arial"/>
          <w:color w:val="231F20"/>
          <w:sz w:val="14"/>
        </w:rPr>
        <w:t>déterminent</w:t>
      </w:r>
      <w:r>
        <w:rPr>
          <w:rFonts w:ascii="Arial" w:hAnsi="Arial"/>
          <w:color w:val="231F20"/>
          <w:spacing w:val="-10"/>
          <w:sz w:val="14"/>
        </w:rPr>
        <w:t> </w:t>
      </w:r>
      <w:r>
        <w:rPr>
          <w:rFonts w:ascii="Arial" w:hAnsi="Arial"/>
          <w:color w:val="231F20"/>
          <w:sz w:val="14"/>
        </w:rPr>
        <w:t>sa</w:t>
      </w:r>
      <w:r>
        <w:rPr>
          <w:rFonts w:ascii="Arial" w:hAnsi="Arial"/>
          <w:color w:val="231F20"/>
          <w:spacing w:val="40"/>
          <w:sz w:val="14"/>
        </w:rPr>
        <w:t> </w:t>
      </w:r>
      <w:r>
        <w:rPr>
          <w:rFonts w:ascii="Arial" w:hAnsi="Arial"/>
          <w:color w:val="231F20"/>
          <w:sz w:val="14"/>
        </w:rPr>
        <w:t>vulnérabilité</w:t>
      </w:r>
      <w:r>
        <w:rPr>
          <w:rFonts w:ascii="Arial" w:hAnsi="Arial"/>
          <w:color w:val="231F20"/>
          <w:spacing w:val="11"/>
          <w:sz w:val="14"/>
        </w:rPr>
        <w:t> </w:t>
      </w:r>
      <w:r>
        <w:rPr>
          <w:rFonts w:ascii="Arial" w:hAnsi="Arial"/>
          <w:color w:val="231F20"/>
          <w:sz w:val="14"/>
        </w:rPr>
        <w:t>au</w:t>
      </w:r>
      <w:r>
        <w:rPr>
          <w:rFonts w:ascii="Arial" w:hAnsi="Arial"/>
          <w:color w:val="231F20"/>
          <w:spacing w:val="11"/>
          <w:sz w:val="14"/>
        </w:rPr>
        <w:t> </w:t>
      </w:r>
      <w:r>
        <w:rPr>
          <w:rFonts w:ascii="Arial" w:hAnsi="Arial"/>
          <w:color w:val="231F20"/>
          <w:spacing w:val="-2"/>
          <w:sz w:val="14"/>
        </w:rPr>
        <w:t>stress.</w:t>
      </w:r>
    </w:p>
    <w:p>
      <w:pPr>
        <w:pStyle w:val="BodyText"/>
        <w:spacing w:line="307" w:lineRule="auto" w:before="70"/>
        <w:ind w:left="199" w:right="497"/>
        <w:jc w:val="both"/>
      </w:pPr>
      <w:r>
        <w:rPr/>
        <w:br w:type="column"/>
      </w:r>
      <w:r>
        <w:rPr>
          <w:color w:val="231F20"/>
          <w:w w:val="115"/>
        </w:rPr>
        <w:t>la vie extraprofessionnelle, c’est-à-dire les acti- vités</w:t>
      </w:r>
      <w:r>
        <w:rPr>
          <w:color w:val="231F20"/>
          <w:spacing w:val="-2"/>
          <w:w w:val="115"/>
        </w:rPr>
        <w:t> </w:t>
      </w:r>
      <w:r>
        <w:rPr>
          <w:color w:val="231F20"/>
          <w:w w:val="115"/>
        </w:rPr>
        <w:t>dans</w:t>
      </w:r>
      <w:r>
        <w:rPr>
          <w:color w:val="231F20"/>
          <w:spacing w:val="-2"/>
          <w:w w:val="115"/>
        </w:rPr>
        <w:t> </w:t>
      </w:r>
      <w:r>
        <w:rPr>
          <w:color w:val="231F20"/>
          <w:w w:val="115"/>
        </w:rPr>
        <w:t>lesquelles</w:t>
      </w:r>
      <w:r>
        <w:rPr>
          <w:color w:val="231F20"/>
          <w:spacing w:val="-2"/>
          <w:w w:val="115"/>
        </w:rPr>
        <w:t> </w:t>
      </w:r>
      <w:r>
        <w:rPr>
          <w:color w:val="231F20"/>
          <w:w w:val="115"/>
        </w:rPr>
        <w:t>les</w:t>
      </w:r>
      <w:r>
        <w:rPr>
          <w:color w:val="231F20"/>
          <w:spacing w:val="-2"/>
          <w:w w:val="115"/>
        </w:rPr>
        <w:t> </w:t>
      </w:r>
      <w:r>
        <w:rPr>
          <w:color w:val="231F20"/>
          <w:w w:val="115"/>
        </w:rPr>
        <w:t>personnes</w:t>
      </w:r>
      <w:r>
        <w:rPr>
          <w:color w:val="231F20"/>
          <w:spacing w:val="-2"/>
          <w:w w:val="115"/>
        </w:rPr>
        <w:t> </w:t>
      </w:r>
      <w:r>
        <w:rPr>
          <w:color w:val="231F20"/>
          <w:w w:val="115"/>
        </w:rPr>
        <w:t>s’engagent</w:t>
      </w:r>
      <w:r>
        <w:rPr>
          <w:color w:val="231F20"/>
          <w:spacing w:val="-2"/>
          <w:w w:val="115"/>
        </w:rPr>
        <w:t> </w:t>
      </w:r>
      <w:r>
        <w:rPr>
          <w:color w:val="231F20"/>
          <w:w w:val="115"/>
        </w:rPr>
        <w:t>à </w:t>
      </w:r>
      <w:r>
        <w:rPr>
          <w:color w:val="231F20"/>
          <w:spacing w:val="-2"/>
          <w:w w:val="120"/>
        </w:rPr>
        <w:t>l’extérieur</w:t>
      </w:r>
      <w:r>
        <w:rPr>
          <w:color w:val="231F20"/>
          <w:spacing w:val="-11"/>
          <w:w w:val="120"/>
        </w:rPr>
        <w:t> </w:t>
      </w:r>
      <w:r>
        <w:rPr>
          <w:color w:val="231F20"/>
          <w:spacing w:val="-2"/>
          <w:w w:val="120"/>
        </w:rPr>
        <w:t>du</w:t>
      </w:r>
      <w:r>
        <w:rPr>
          <w:color w:val="231F20"/>
          <w:spacing w:val="-11"/>
          <w:w w:val="120"/>
        </w:rPr>
        <w:t> </w:t>
      </w:r>
      <w:r>
        <w:rPr>
          <w:color w:val="231F20"/>
          <w:spacing w:val="-2"/>
          <w:w w:val="120"/>
        </w:rPr>
        <w:t>milieu</w:t>
      </w:r>
      <w:r>
        <w:rPr>
          <w:color w:val="231F20"/>
          <w:spacing w:val="-11"/>
          <w:w w:val="120"/>
        </w:rPr>
        <w:t> </w:t>
      </w:r>
      <w:r>
        <w:rPr>
          <w:color w:val="231F20"/>
          <w:spacing w:val="-2"/>
          <w:w w:val="120"/>
        </w:rPr>
        <w:t>de</w:t>
      </w:r>
      <w:r>
        <w:rPr>
          <w:color w:val="231F20"/>
          <w:spacing w:val="-10"/>
          <w:w w:val="120"/>
        </w:rPr>
        <w:t> </w:t>
      </w:r>
      <w:r>
        <w:rPr>
          <w:color w:val="231F20"/>
          <w:spacing w:val="-2"/>
          <w:w w:val="120"/>
        </w:rPr>
        <w:t>travail</w:t>
      </w:r>
      <w:r>
        <w:rPr>
          <w:color w:val="231F20"/>
          <w:spacing w:val="-11"/>
          <w:w w:val="120"/>
        </w:rPr>
        <w:t> </w:t>
      </w:r>
      <w:r>
        <w:rPr>
          <w:color w:val="231F20"/>
          <w:spacing w:val="-2"/>
          <w:w w:val="120"/>
        </w:rPr>
        <w:t>;</w:t>
      </w:r>
      <w:r>
        <w:rPr>
          <w:color w:val="231F20"/>
          <w:spacing w:val="-11"/>
          <w:w w:val="120"/>
        </w:rPr>
        <w:t> </w:t>
      </w:r>
      <w:r>
        <w:rPr>
          <w:color w:val="231F20"/>
          <w:spacing w:val="-2"/>
          <w:w w:val="120"/>
        </w:rPr>
        <w:t>ce</w:t>
      </w:r>
      <w:r>
        <w:rPr>
          <w:color w:val="231F20"/>
          <w:spacing w:val="-11"/>
          <w:w w:val="120"/>
        </w:rPr>
        <w:t> </w:t>
      </w:r>
      <w:r>
        <w:rPr>
          <w:color w:val="231F20"/>
          <w:spacing w:val="-2"/>
          <w:w w:val="120"/>
        </w:rPr>
        <w:t>sont</w:t>
      </w:r>
      <w:r>
        <w:rPr>
          <w:color w:val="231F20"/>
          <w:spacing w:val="-10"/>
          <w:w w:val="120"/>
        </w:rPr>
        <w:t> </w:t>
      </w:r>
      <w:r>
        <w:rPr>
          <w:color w:val="231F20"/>
          <w:spacing w:val="-2"/>
          <w:w w:val="120"/>
        </w:rPr>
        <w:t>des</w:t>
      </w:r>
      <w:r>
        <w:rPr>
          <w:color w:val="231F20"/>
          <w:spacing w:val="-11"/>
          <w:w w:val="120"/>
        </w:rPr>
        <w:t> </w:t>
      </w:r>
      <w:r>
        <w:rPr>
          <w:color w:val="231F20"/>
          <w:spacing w:val="-2"/>
          <w:w w:val="120"/>
        </w:rPr>
        <w:t>fac- </w:t>
      </w:r>
      <w:r>
        <w:rPr>
          <w:color w:val="231F20"/>
          <w:w w:val="115"/>
        </w:rPr>
        <w:t>teurs</w:t>
      </w:r>
      <w:r>
        <w:rPr>
          <w:color w:val="231F20"/>
          <w:spacing w:val="-13"/>
          <w:w w:val="115"/>
        </w:rPr>
        <w:t> </w:t>
      </w:r>
      <w:r>
        <w:rPr>
          <w:color w:val="231F20"/>
          <w:w w:val="115"/>
        </w:rPr>
        <w:t>d’ordre</w:t>
      </w:r>
      <w:r>
        <w:rPr>
          <w:color w:val="231F20"/>
          <w:spacing w:val="-12"/>
          <w:w w:val="115"/>
        </w:rPr>
        <w:t> </w:t>
      </w:r>
      <w:r>
        <w:rPr>
          <w:color w:val="231F20"/>
          <w:w w:val="115"/>
        </w:rPr>
        <w:t>familial,</w:t>
      </w:r>
      <w:r>
        <w:rPr>
          <w:color w:val="231F20"/>
          <w:spacing w:val="-12"/>
          <w:w w:val="115"/>
        </w:rPr>
        <w:t> </w:t>
      </w:r>
      <w:r>
        <w:rPr>
          <w:color w:val="231F20"/>
          <w:w w:val="115"/>
        </w:rPr>
        <w:t>conjugal,</w:t>
      </w:r>
      <w:r>
        <w:rPr>
          <w:color w:val="231F20"/>
          <w:spacing w:val="-12"/>
          <w:w w:val="115"/>
        </w:rPr>
        <w:t> </w:t>
      </w:r>
      <w:r>
        <w:rPr>
          <w:color w:val="231F20"/>
          <w:w w:val="115"/>
        </w:rPr>
        <w:t>social,</w:t>
      </w:r>
      <w:r>
        <w:rPr>
          <w:color w:val="231F20"/>
          <w:spacing w:val="-13"/>
          <w:w w:val="115"/>
        </w:rPr>
        <w:t> </w:t>
      </w:r>
      <w:r>
        <w:rPr>
          <w:color w:val="231F20"/>
          <w:w w:val="115"/>
        </w:rPr>
        <w:t>politique </w:t>
      </w:r>
      <w:r>
        <w:rPr>
          <w:color w:val="231F20"/>
          <w:w w:val="120"/>
        </w:rPr>
        <w:t>ou</w:t>
      </w:r>
      <w:r>
        <w:rPr>
          <w:color w:val="231F20"/>
          <w:spacing w:val="-7"/>
          <w:w w:val="120"/>
        </w:rPr>
        <w:t> </w:t>
      </w:r>
      <w:r>
        <w:rPr>
          <w:color w:val="231F20"/>
          <w:w w:val="120"/>
        </w:rPr>
        <w:t>économique</w:t>
      </w:r>
      <w:r>
        <w:rPr>
          <w:color w:val="231F20"/>
          <w:spacing w:val="-7"/>
          <w:w w:val="120"/>
        </w:rPr>
        <w:t> </w:t>
      </w:r>
      <w:r>
        <w:rPr>
          <w:color w:val="231F20"/>
          <w:w w:val="120"/>
        </w:rPr>
        <w:t>qui</w:t>
      </w:r>
      <w:r>
        <w:rPr>
          <w:color w:val="231F20"/>
          <w:spacing w:val="-7"/>
          <w:w w:val="120"/>
        </w:rPr>
        <w:t> </w:t>
      </w:r>
      <w:r>
        <w:rPr>
          <w:color w:val="231F20"/>
          <w:w w:val="120"/>
        </w:rPr>
        <w:t>ont</w:t>
      </w:r>
      <w:r>
        <w:rPr>
          <w:color w:val="231F20"/>
          <w:spacing w:val="-7"/>
          <w:w w:val="120"/>
        </w:rPr>
        <w:t> </w:t>
      </w:r>
      <w:r>
        <w:rPr>
          <w:color w:val="231F20"/>
          <w:w w:val="120"/>
        </w:rPr>
        <w:t>une</w:t>
      </w:r>
      <w:r>
        <w:rPr>
          <w:color w:val="231F20"/>
          <w:spacing w:val="-7"/>
          <w:w w:val="120"/>
        </w:rPr>
        <w:t> </w:t>
      </w:r>
      <w:r>
        <w:rPr>
          <w:color w:val="231F20"/>
          <w:w w:val="120"/>
        </w:rPr>
        <w:t>incidence</w:t>
      </w:r>
      <w:r>
        <w:rPr>
          <w:color w:val="231F20"/>
          <w:spacing w:val="-7"/>
          <w:w w:val="120"/>
        </w:rPr>
        <w:t> </w:t>
      </w:r>
      <w:r>
        <w:rPr>
          <w:color w:val="231F20"/>
          <w:w w:val="120"/>
        </w:rPr>
        <w:t>sur</w:t>
      </w:r>
      <w:r>
        <w:rPr>
          <w:color w:val="231F20"/>
          <w:spacing w:val="-7"/>
          <w:w w:val="120"/>
        </w:rPr>
        <w:t> </w:t>
      </w:r>
      <w:r>
        <w:rPr>
          <w:color w:val="231F20"/>
          <w:w w:val="120"/>
        </w:rPr>
        <w:t>l’in- dividu.</w:t>
      </w:r>
      <w:r>
        <w:rPr>
          <w:color w:val="231F20"/>
          <w:spacing w:val="11"/>
          <w:w w:val="120"/>
        </w:rPr>
        <w:t> </w:t>
      </w:r>
      <w:r>
        <w:rPr>
          <w:color w:val="231F20"/>
          <w:w w:val="120"/>
        </w:rPr>
        <w:t>Bien</w:t>
      </w:r>
      <w:r>
        <w:rPr>
          <w:color w:val="231F20"/>
          <w:spacing w:val="11"/>
          <w:w w:val="120"/>
        </w:rPr>
        <w:t> </w:t>
      </w:r>
      <w:r>
        <w:rPr>
          <w:color w:val="231F20"/>
          <w:w w:val="120"/>
        </w:rPr>
        <w:t>que</w:t>
      </w:r>
      <w:r>
        <w:rPr>
          <w:color w:val="231F20"/>
          <w:spacing w:val="11"/>
          <w:w w:val="120"/>
        </w:rPr>
        <w:t> </w:t>
      </w:r>
      <w:r>
        <w:rPr>
          <w:color w:val="231F20"/>
          <w:w w:val="120"/>
        </w:rPr>
        <w:t>des</w:t>
      </w:r>
      <w:r>
        <w:rPr>
          <w:color w:val="231F20"/>
          <w:spacing w:val="11"/>
          <w:w w:val="120"/>
        </w:rPr>
        <w:t> </w:t>
      </w:r>
      <w:r>
        <w:rPr>
          <w:color w:val="231F20"/>
          <w:w w:val="120"/>
        </w:rPr>
        <w:t>études</w:t>
      </w:r>
      <w:r>
        <w:rPr>
          <w:color w:val="231F20"/>
          <w:spacing w:val="11"/>
          <w:w w:val="120"/>
        </w:rPr>
        <w:t> </w:t>
      </w:r>
      <w:r>
        <w:rPr>
          <w:color w:val="231F20"/>
          <w:w w:val="120"/>
        </w:rPr>
        <w:t>récentes</w:t>
      </w:r>
      <w:r>
        <w:rPr>
          <w:color w:val="231F20"/>
          <w:spacing w:val="12"/>
          <w:w w:val="120"/>
        </w:rPr>
        <w:t> </w:t>
      </w:r>
      <w:r>
        <w:rPr>
          <w:color w:val="231F20"/>
          <w:spacing w:val="-2"/>
          <w:w w:val="120"/>
        </w:rPr>
        <w:t>laissent</w:t>
      </w:r>
    </w:p>
    <w:p>
      <w:pPr>
        <w:spacing w:after="0" w:line="307" w:lineRule="auto"/>
        <w:jc w:val="both"/>
        <w:sectPr>
          <w:type w:val="continuous"/>
          <w:pgSz w:w="8640" w:h="12960"/>
          <w:pgMar w:header="0" w:footer="424" w:top="1220" w:bottom="280" w:left="420" w:right="1140"/>
          <w:cols w:num="2" w:equalWidth="0">
            <w:col w:w="2591" w:space="40"/>
            <w:col w:w="4449"/>
          </w:cols>
        </w:sectPr>
      </w:pPr>
    </w:p>
    <w:p>
      <w:pPr>
        <w:pStyle w:val="BodyText"/>
        <w:spacing w:line="307" w:lineRule="auto" w:before="4"/>
        <w:ind w:left="829" w:right="493"/>
        <w:jc w:val="both"/>
      </w:pPr>
      <w:r>
        <w:rPr>
          <w:color w:val="231F20"/>
          <w:w w:val="120"/>
        </w:rPr>
        <w:t>entendre</w:t>
      </w:r>
      <w:r>
        <w:rPr>
          <w:color w:val="231F20"/>
          <w:spacing w:val="-13"/>
          <w:w w:val="120"/>
        </w:rPr>
        <w:t> </w:t>
      </w:r>
      <w:r>
        <w:rPr>
          <w:color w:val="231F20"/>
          <w:w w:val="120"/>
        </w:rPr>
        <w:t>que</w:t>
      </w:r>
      <w:r>
        <w:rPr>
          <w:color w:val="231F20"/>
          <w:spacing w:val="-13"/>
          <w:w w:val="120"/>
        </w:rPr>
        <w:t> </w:t>
      </w:r>
      <w:r>
        <w:rPr>
          <w:color w:val="231F20"/>
          <w:w w:val="120"/>
        </w:rPr>
        <w:t>les</w:t>
      </w:r>
      <w:r>
        <w:rPr>
          <w:color w:val="231F20"/>
          <w:spacing w:val="-13"/>
          <w:w w:val="120"/>
        </w:rPr>
        <w:t> </w:t>
      </w:r>
      <w:r>
        <w:rPr>
          <w:color w:val="231F20"/>
          <w:w w:val="120"/>
        </w:rPr>
        <w:t>facteurs</w:t>
      </w:r>
      <w:r>
        <w:rPr>
          <w:color w:val="231F20"/>
          <w:spacing w:val="-12"/>
          <w:w w:val="120"/>
        </w:rPr>
        <w:t> </w:t>
      </w:r>
      <w:r>
        <w:rPr>
          <w:color w:val="231F20"/>
          <w:w w:val="120"/>
        </w:rPr>
        <w:t>de</w:t>
      </w:r>
      <w:r>
        <w:rPr>
          <w:color w:val="231F20"/>
          <w:spacing w:val="-13"/>
          <w:w w:val="120"/>
        </w:rPr>
        <w:t> </w:t>
      </w:r>
      <w:r>
        <w:rPr>
          <w:color w:val="231F20"/>
          <w:w w:val="120"/>
        </w:rPr>
        <w:t>stress</w:t>
      </w:r>
      <w:r>
        <w:rPr>
          <w:color w:val="231F20"/>
          <w:spacing w:val="-13"/>
          <w:w w:val="120"/>
        </w:rPr>
        <w:t> </w:t>
      </w:r>
      <w:r>
        <w:rPr>
          <w:color w:val="231F20"/>
          <w:w w:val="120"/>
        </w:rPr>
        <w:t>liés</w:t>
      </w:r>
      <w:r>
        <w:rPr>
          <w:color w:val="231F20"/>
          <w:spacing w:val="-13"/>
          <w:w w:val="120"/>
        </w:rPr>
        <w:t> </w:t>
      </w:r>
      <w:r>
        <w:rPr>
          <w:color w:val="231F20"/>
          <w:w w:val="120"/>
        </w:rPr>
        <w:t>au</w:t>
      </w:r>
      <w:r>
        <w:rPr>
          <w:color w:val="231F20"/>
          <w:spacing w:val="-12"/>
          <w:w w:val="120"/>
        </w:rPr>
        <w:t> </w:t>
      </w:r>
      <w:r>
        <w:rPr>
          <w:color w:val="231F20"/>
          <w:w w:val="120"/>
        </w:rPr>
        <w:t>travail</w:t>
      </w:r>
      <w:r>
        <w:rPr>
          <w:color w:val="231F20"/>
          <w:spacing w:val="-13"/>
          <w:w w:val="120"/>
        </w:rPr>
        <w:t> </w:t>
      </w:r>
      <w:r>
        <w:rPr>
          <w:color w:val="231F20"/>
          <w:w w:val="120"/>
        </w:rPr>
        <w:t>sont</w:t>
      </w:r>
      <w:r>
        <w:rPr>
          <w:color w:val="231F20"/>
          <w:spacing w:val="-13"/>
          <w:w w:val="120"/>
        </w:rPr>
        <w:t> </w:t>
      </w:r>
      <w:r>
        <w:rPr>
          <w:color w:val="231F20"/>
          <w:w w:val="120"/>
        </w:rPr>
        <w:t>plus</w:t>
      </w:r>
      <w:r>
        <w:rPr>
          <w:color w:val="231F20"/>
          <w:spacing w:val="-13"/>
          <w:w w:val="120"/>
        </w:rPr>
        <w:t> </w:t>
      </w:r>
      <w:r>
        <w:rPr>
          <w:color w:val="231F20"/>
          <w:w w:val="120"/>
        </w:rPr>
        <w:t>prégnants</w:t>
      </w:r>
      <w:r>
        <w:rPr>
          <w:color w:val="231F20"/>
          <w:spacing w:val="-12"/>
          <w:w w:val="120"/>
        </w:rPr>
        <w:t> </w:t>
      </w:r>
      <w:r>
        <w:rPr>
          <w:color w:val="231F20"/>
          <w:w w:val="120"/>
        </w:rPr>
        <w:t>que ceux qui relèvent des autres sphères de la vie, on ne peut passer sous </w:t>
      </w:r>
      <w:r>
        <w:rPr>
          <w:color w:val="231F20"/>
          <w:spacing w:val="-2"/>
          <w:w w:val="115"/>
        </w:rPr>
        <w:t>silence</w:t>
      </w:r>
      <w:r>
        <w:rPr>
          <w:color w:val="231F20"/>
          <w:spacing w:val="-11"/>
          <w:w w:val="115"/>
        </w:rPr>
        <w:t> </w:t>
      </w:r>
      <w:r>
        <w:rPr>
          <w:color w:val="231F20"/>
          <w:spacing w:val="-2"/>
          <w:w w:val="115"/>
        </w:rPr>
        <w:t>l’interdépendance</w:t>
      </w:r>
      <w:r>
        <w:rPr>
          <w:color w:val="231F20"/>
          <w:spacing w:val="-10"/>
          <w:w w:val="115"/>
        </w:rPr>
        <w:t> </w:t>
      </w:r>
      <w:r>
        <w:rPr>
          <w:color w:val="231F20"/>
          <w:spacing w:val="-2"/>
          <w:w w:val="115"/>
        </w:rPr>
        <w:t>entre</w:t>
      </w:r>
      <w:r>
        <w:rPr>
          <w:color w:val="231F20"/>
          <w:spacing w:val="-10"/>
          <w:w w:val="115"/>
        </w:rPr>
        <w:t> </w:t>
      </w:r>
      <w:r>
        <w:rPr>
          <w:color w:val="231F20"/>
          <w:spacing w:val="-2"/>
          <w:w w:val="115"/>
        </w:rPr>
        <w:t>le</w:t>
      </w:r>
      <w:r>
        <w:rPr>
          <w:color w:val="231F20"/>
          <w:spacing w:val="-10"/>
          <w:w w:val="115"/>
        </w:rPr>
        <w:t> </w:t>
      </w:r>
      <w:r>
        <w:rPr>
          <w:color w:val="231F20"/>
          <w:spacing w:val="-2"/>
          <w:w w:val="115"/>
        </w:rPr>
        <w:t>milieu</w:t>
      </w:r>
      <w:r>
        <w:rPr>
          <w:color w:val="231F20"/>
          <w:spacing w:val="-11"/>
          <w:w w:val="115"/>
        </w:rPr>
        <w:t> </w:t>
      </w:r>
      <w:r>
        <w:rPr>
          <w:color w:val="231F20"/>
          <w:spacing w:val="-2"/>
          <w:w w:val="115"/>
        </w:rPr>
        <w:t>de</w:t>
      </w:r>
      <w:r>
        <w:rPr>
          <w:color w:val="231F20"/>
          <w:spacing w:val="-10"/>
          <w:w w:val="115"/>
        </w:rPr>
        <w:t> </w:t>
      </w:r>
      <w:r>
        <w:rPr>
          <w:color w:val="231F20"/>
          <w:spacing w:val="-2"/>
          <w:w w:val="115"/>
        </w:rPr>
        <w:t>travail</w:t>
      </w:r>
      <w:r>
        <w:rPr>
          <w:color w:val="231F20"/>
          <w:spacing w:val="-10"/>
          <w:w w:val="115"/>
        </w:rPr>
        <w:t> </w:t>
      </w:r>
      <w:r>
        <w:rPr>
          <w:color w:val="231F20"/>
          <w:spacing w:val="-2"/>
          <w:w w:val="115"/>
        </w:rPr>
        <w:t>et</w:t>
      </w:r>
      <w:r>
        <w:rPr>
          <w:color w:val="231F20"/>
          <w:spacing w:val="-10"/>
          <w:w w:val="115"/>
        </w:rPr>
        <w:t> </w:t>
      </w:r>
      <w:r>
        <w:rPr>
          <w:color w:val="231F20"/>
          <w:spacing w:val="-2"/>
          <w:w w:val="115"/>
        </w:rPr>
        <w:t>le</w:t>
      </w:r>
      <w:r>
        <w:rPr>
          <w:color w:val="231F20"/>
          <w:spacing w:val="-10"/>
          <w:w w:val="115"/>
        </w:rPr>
        <w:t> </w:t>
      </w:r>
      <w:r>
        <w:rPr>
          <w:color w:val="231F20"/>
          <w:spacing w:val="-2"/>
          <w:w w:val="115"/>
        </w:rPr>
        <w:t>milieu</w:t>
      </w:r>
      <w:r>
        <w:rPr>
          <w:color w:val="231F20"/>
          <w:spacing w:val="-11"/>
          <w:w w:val="115"/>
        </w:rPr>
        <w:t> </w:t>
      </w:r>
      <w:r>
        <w:rPr>
          <w:color w:val="231F20"/>
          <w:spacing w:val="-2"/>
          <w:w w:val="115"/>
        </w:rPr>
        <w:t>de</w:t>
      </w:r>
      <w:r>
        <w:rPr>
          <w:color w:val="231F20"/>
          <w:spacing w:val="-10"/>
          <w:w w:val="115"/>
        </w:rPr>
        <w:t> </w:t>
      </w:r>
      <w:r>
        <w:rPr>
          <w:color w:val="231F20"/>
          <w:spacing w:val="-2"/>
          <w:w w:val="115"/>
        </w:rPr>
        <w:t>vie.</w:t>
      </w:r>
      <w:r>
        <w:rPr>
          <w:color w:val="231F20"/>
          <w:spacing w:val="-10"/>
          <w:w w:val="115"/>
        </w:rPr>
        <w:t> </w:t>
      </w:r>
      <w:r>
        <w:rPr>
          <w:color w:val="231F20"/>
          <w:spacing w:val="-2"/>
          <w:w w:val="115"/>
        </w:rPr>
        <w:t>L’ina- déquation,</w:t>
      </w:r>
      <w:r>
        <w:rPr>
          <w:color w:val="231F20"/>
          <w:spacing w:val="-4"/>
          <w:w w:val="115"/>
        </w:rPr>
        <w:t> </w:t>
      </w:r>
      <w:r>
        <w:rPr>
          <w:color w:val="231F20"/>
          <w:spacing w:val="-2"/>
          <w:w w:val="115"/>
        </w:rPr>
        <w:t>les</w:t>
      </w:r>
      <w:r>
        <w:rPr>
          <w:color w:val="231F20"/>
          <w:spacing w:val="-4"/>
          <w:w w:val="115"/>
        </w:rPr>
        <w:t> </w:t>
      </w:r>
      <w:r>
        <w:rPr>
          <w:color w:val="231F20"/>
          <w:spacing w:val="-2"/>
          <w:w w:val="115"/>
        </w:rPr>
        <w:t>conflits,</w:t>
      </w:r>
      <w:r>
        <w:rPr>
          <w:color w:val="231F20"/>
          <w:spacing w:val="-4"/>
          <w:w w:val="115"/>
        </w:rPr>
        <w:t> </w:t>
      </w:r>
      <w:r>
        <w:rPr>
          <w:color w:val="231F20"/>
          <w:spacing w:val="-2"/>
          <w:w w:val="115"/>
        </w:rPr>
        <w:t>les</w:t>
      </w:r>
      <w:r>
        <w:rPr>
          <w:color w:val="231F20"/>
          <w:spacing w:val="-4"/>
          <w:w w:val="115"/>
        </w:rPr>
        <w:t> </w:t>
      </w:r>
      <w:r>
        <w:rPr>
          <w:color w:val="231F20"/>
          <w:spacing w:val="-2"/>
          <w:w w:val="115"/>
        </w:rPr>
        <w:t>désajustements</w:t>
      </w:r>
      <w:r>
        <w:rPr>
          <w:color w:val="231F20"/>
          <w:spacing w:val="-4"/>
          <w:w w:val="115"/>
        </w:rPr>
        <w:t> </w:t>
      </w:r>
      <w:r>
        <w:rPr>
          <w:color w:val="231F20"/>
          <w:spacing w:val="-2"/>
          <w:w w:val="115"/>
        </w:rPr>
        <w:t>entre</w:t>
      </w:r>
      <w:r>
        <w:rPr>
          <w:color w:val="231F20"/>
          <w:spacing w:val="-4"/>
          <w:w w:val="115"/>
        </w:rPr>
        <w:t> </w:t>
      </w:r>
      <w:r>
        <w:rPr>
          <w:color w:val="231F20"/>
          <w:spacing w:val="-2"/>
          <w:w w:val="115"/>
        </w:rPr>
        <w:t>le</w:t>
      </w:r>
      <w:r>
        <w:rPr>
          <w:color w:val="231F20"/>
          <w:spacing w:val="-4"/>
          <w:w w:val="115"/>
        </w:rPr>
        <w:t> </w:t>
      </w:r>
      <w:r>
        <w:rPr>
          <w:color w:val="231F20"/>
          <w:spacing w:val="-2"/>
          <w:w w:val="115"/>
        </w:rPr>
        <w:t>milieu</w:t>
      </w:r>
      <w:r>
        <w:rPr>
          <w:color w:val="231F20"/>
          <w:spacing w:val="-4"/>
          <w:w w:val="115"/>
        </w:rPr>
        <w:t> </w:t>
      </w:r>
      <w:r>
        <w:rPr>
          <w:color w:val="231F20"/>
          <w:spacing w:val="-2"/>
          <w:w w:val="115"/>
        </w:rPr>
        <w:t>de</w:t>
      </w:r>
      <w:r>
        <w:rPr>
          <w:color w:val="231F20"/>
          <w:spacing w:val="-4"/>
          <w:w w:val="115"/>
        </w:rPr>
        <w:t> </w:t>
      </w:r>
      <w:r>
        <w:rPr>
          <w:color w:val="231F20"/>
          <w:spacing w:val="-2"/>
          <w:w w:val="115"/>
        </w:rPr>
        <w:t>vie</w:t>
      </w:r>
      <w:r>
        <w:rPr>
          <w:color w:val="231F20"/>
          <w:spacing w:val="-4"/>
          <w:w w:val="115"/>
        </w:rPr>
        <w:t> </w:t>
      </w:r>
      <w:r>
        <w:rPr>
          <w:color w:val="231F20"/>
          <w:spacing w:val="-2"/>
          <w:w w:val="115"/>
        </w:rPr>
        <w:t>et</w:t>
      </w:r>
      <w:r>
        <w:rPr>
          <w:color w:val="231F20"/>
          <w:spacing w:val="-4"/>
          <w:w w:val="115"/>
        </w:rPr>
        <w:t> </w:t>
      </w:r>
      <w:r>
        <w:rPr>
          <w:color w:val="231F20"/>
          <w:spacing w:val="-2"/>
          <w:w w:val="115"/>
        </w:rPr>
        <w:t>le</w:t>
      </w:r>
      <w:r>
        <w:rPr>
          <w:color w:val="231F20"/>
          <w:spacing w:val="-4"/>
          <w:w w:val="115"/>
        </w:rPr>
        <w:t> </w:t>
      </w:r>
      <w:r>
        <w:rPr>
          <w:color w:val="231F20"/>
          <w:spacing w:val="-2"/>
          <w:w w:val="115"/>
        </w:rPr>
        <w:t>milieu </w:t>
      </w:r>
      <w:r>
        <w:rPr>
          <w:color w:val="231F20"/>
          <w:w w:val="115"/>
        </w:rPr>
        <w:t>de</w:t>
      </w:r>
      <w:r>
        <w:rPr>
          <w:color w:val="231F20"/>
          <w:spacing w:val="-13"/>
          <w:w w:val="115"/>
        </w:rPr>
        <w:t> </w:t>
      </w:r>
      <w:r>
        <w:rPr>
          <w:color w:val="231F20"/>
          <w:w w:val="115"/>
        </w:rPr>
        <w:t>travail</w:t>
      </w:r>
      <w:r>
        <w:rPr>
          <w:color w:val="231F20"/>
          <w:spacing w:val="-12"/>
          <w:w w:val="115"/>
        </w:rPr>
        <w:t> </w:t>
      </w:r>
      <w:r>
        <w:rPr>
          <w:color w:val="231F20"/>
          <w:w w:val="115"/>
        </w:rPr>
        <w:t>peuvent</w:t>
      </w:r>
      <w:r>
        <w:rPr>
          <w:color w:val="231F20"/>
          <w:spacing w:val="-12"/>
          <w:w w:val="115"/>
        </w:rPr>
        <w:t> </w:t>
      </w:r>
      <w:r>
        <w:rPr>
          <w:color w:val="231F20"/>
          <w:w w:val="115"/>
        </w:rPr>
        <w:t>occasionner</w:t>
      </w:r>
      <w:r>
        <w:rPr>
          <w:color w:val="231F20"/>
          <w:spacing w:val="-12"/>
          <w:w w:val="115"/>
        </w:rPr>
        <w:t> </w:t>
      </w:r>
      <w:r>
        <w:rPr>
          <w:color w:val="231F20"/>
          <w:w w:val="115"/>
        </w:rPr>
        <w:t>des</w:t>
      </w:r>
      <w:r>
        <w:rPr>
          <w:color w:val="231F20"/>
          <w:spacing w:val="-12"/>
          <w:w w:val="115"/>
        </w:rPr>
        <w:t> </w:t>
      </w:r>
      <w:r>
        <w:rPr>
          <w:color w:val="231F20"/>
          <w:w w:val="115"/>
        </w:rPr>
        <w:t>difficultés</w:t>
      </w:r>
      <w:r>
        <w:rPr>
          <w:color w:val="231F20"/>
          <w:spacing w:val="-13"/>
          <w:w w:val="115"/>
        </w:rPr>
        <w:t> </w:t>
      </w:r>
      <w:r>
        <w:rPr>
          <w:color w:val="231F20"/>
          <w:w w:val="115"/>
        </w:rPr>
        <w:t>psychologiques,</w:t>
      </w:r>
      <w:r>
        <w:rPr>
          <w:color w:val="231F20"/>
          <w:spacing w:val="-12"/>
          <w:w w:val="115"/>
        </w:rPr>
        <w:t> </w:t>
      </w:r>
      <w:r>
        <w:rPr>
          <w:color w:val="231F20"/>
          <w:w w:val="115"/>
        </w:rPr>
        <w:t>de</w:t>
      </w:r>
      <w:r>
        <w:rPr>
          <w:color w:val="231F20"/>
          <w:spacing w:val="-12"/>
          <w:w w:val="115"/>
        </w:rPr>
        <w:t> </w:t>
      </w:r>
      <w:r>
        <w:rPr>
          <w:color w:val="231F20"/>
          <w:w w:val="115"/>
        </w:rPr>
        <w:t>l’épuise- </w:t>
      </w:r>
      <w:r>
        <w:rPr>
          <w:color w:val="231F20"/>
          <w:spacing w:val="-2"/>
          <w:w w:val="120"/>
        </w:rPr>
        <w:t>ment,</w:t>
      </w:r>
      <w:r>
        <w:rPr>
          <w:color w:val="231F20"/>
          <w:spacing w:val="-7"/>
          <w:w w:val="120"/>
        </w:rPr>
        <w:t> </w:t>
      </w:r>
      <w:r>
        <w:rPr>
          <w:color w:val="231F20"/>
          <w:spacing w:val="-2"/>
          <w:w w:val="120"/>
        </w:rPr>
        <w:t>une</w:t>
      </w:r>
      <w:r>
        <w:rPr>
          <w:color w:val="231F20"/>
          <w:spacing w:val="-7"/>
          <w:w w:val="120"/>
        </w:rPr>
        <w:t> </w:t>
      </w:r>
      <w:r>
        <w:rPr>
          <w:color w:val="231F20"/>
          <w:spacing w:val="-2"/>
          <w:w w:val="120"/>
        </w:rPr>
        <w:t>baisse</w:t>
      </w:r>
      <w:r>
        <w:rPr>
          <w:color w:val="231F20"/>
          <w:spacing w:val="-7"/>
          <w:w w:val="120"/>
        </w:rPr>
        <w:t> </w:t>
      </w:r>
      <w:r>
        <w:rPr>
          <w:color w:val="231F20"/>
          <w:spacing w:val="-2"/>
          <w:w w:val="120"/>
        </w:rPr>
        <w:t>de</w:t>
      </w:r>
      <w:r>
        <w:rPr>
          <w:color w:val="231F20"/>
          <w:spacing w:val="-7"/>
          <w:w w:val="120"/>
        </w:rPr>
        <w:t> </w:t>
      </w:r>
      <w:r>
        <w:rPr>
          <w:color w:val="231F20"/>
          <w:spacing w:val="-2"/>
          <w:w w:val="120"/>
        </w:rPr>
        <w:t>la</w:t>
      </w:r>
      <w:r>
        <w:rPr>
          <w:color w:val="231F20"/>
          <w:spacing w:val="-7"/>
          <w:w w:val="120"/>
        </w:rPr>
        <w:t> </w:t>
      </w:r>
      <w:r>
        <w:rPr>
          <w:color w:val="231F20"/>
          <w:spacing w:val="-2"/>
          <w:w w:val="120"/>
        </w:rPr>
        <w:t>motivation,</w:t>
      </w:r>
      <w:r>
        <w:rPr>
          <w:color w:val="231F20"/>
          <w:spacing w:val="-7"/>
          <w:w w:val="120"/>
        </w:rPr>
        <w:t> </w:t>
      </w:r>
      <w:r>
        <w:rPr>
          <w:color w:val="231F20"/>
          <w:spacing w:val="-2"/>
          <w:w w:val="120"/>
        </w:rPr>
        <w:t>une</w:t>
      </w:r>
      <w:r>
        <w:rPr>
          <w:color w:val="231F20"/>
          <w:spacing w:val="-7"/>
          <w:w w:val="120"/>
        </w:rPr>
        <w:t> </w:t>
      </w:r>
      <w:r>
        <w:rPr>
          <w:color w:val="231F20"/>
          <w:spacing w:val="-2"/>
          <w:w w:val="120"/>
        </w:rPr>
        <w:t>réduction</w:t>
      </w:r>
      <w:r>
        <w:rPr>
          <w:color w:val="231F20"/>
          <w:spacing w:val="-7"/>
          <w:w w:val="120"/>
        </w:rPr>
        <w:t> </w:t>
      </w:r>
      <w:r>
        <w:rPr>
          <w:color w:val="231F20"/>
          <w:spacing w:val="-2"/>
          <w:w w:val="120"/>
        </w:rPr>
        <w:t>de</w:t>
      </w:r>
      <w:r>
        <w:rPr>
          <w:color w:val="231F20"/>
          <w:spacing w:val="-7"/>
          <w:w w:val="120"/>
        </w:rPr>
        <w:t> </w:t>
      </w:r>
      <w:r>
        <w:rPr>
          <w:color w:val="231F20"/>
          <w:spacing w:val="-2"/>
          <w:w w:val="120"/>
        </w:rPr>
        <w:t>la</w:t>
      </w:r>
      <w:r>
        <w:rPr>
          <w:color w:val="231F20"/>
          <w:spacing w:val="-7"/>
          <w:w w:val="120"/>
        </w:rPr>
        <w:t> </w:t>
      </w:r>
      <w:r>
        <w:rPr>
          <w:color w:val="231F20"/>
          <w:spacing w:val="-2"/>
          <w:w w:val="120"/>
        </w:rPr>
        <w:t>productivité,</w:t>
      </w:r>
      <w:r>
        <w:rPr>
          <w:color w:val="231F20"/>
          <w:spacing w:val="-7"/>
          <w:w w:val="120"/>
        </w:rPr>
        <w:t> </w:t>
      </w:r>
      <w:r>
        <w:rPr>
          <w:color w:val="231F20"/>
          <w:spacing w:val="-2"/>
          <w:w w:val="120"/>
        </w:rPr>
        <w:t>ainsi qu’une</w:t>
      </w:r>
      <w:r>
        <w:rPr>
          <w:color w:val="231F20"/>
          <w:spacing w:val="-11"/>
          <w:w w:val="120"/>
        </w:rPr>
        <w:t> </w:t>
      </w:r>
      <w:r>
        <w:rPr>
          <w:color w:val="231F20"/>
          <w:spacing w:val="-2"/>
          <w:w w:val="120"/>
        </w:rPr>
        <w:t>détérioration</w:t>
      </w:r>
      <w:r>
        <w:rPr>
          <w:color w:val="231F20"/>
          <w:spacing w:val="-11"/>
          <w:w w:val="120"/>
        </w:rPr>
        <w:t> </w:t>
      </w:r>
      <w:r>
        <w:rPr>
          <w:color w:val="231F20"/>
          <w:spacing w:val="-2"/>
          <w:w w:val="120"/>
        </w:rPr>
        <w:t>de</w:t>
      </w:r>
      <w:r>
        <w:rPr>
          <w:color w:val="231F20"/>
          <w:spacing w:val="-11"/>
          <w:w w:val="120"/>
        </w:rPr>
        <w:t> </w:t>
      </w:r>
      <w:r>
        <w:rPr>
          <w:color w:val="231F20"/>
          <w:spacing w:val="-2"/>
          <w:w w:val="120"/>
        </w:rPr>
        <w:t>la</w:t>
      </w:r>
      <w:r>
        <w:rPr>
          <w:color w:val="231F20"/>
          <w:spacing w:val="-10"/>
          <w:w w:val="120"/>
        </w:rPr>
        <w:t> </w:t>
      </w:r>
      <w:r>
        <w:rPr>
          <w:color w:val="231F20"/>
          <w:spacing w:val="-2"/>
          <w:w w:val="120"/>
        </w:rPr>
        <w:t>qualité</w:t>
      </w:r>
      <w:r>
        <w:rPr>
          <w:color w:val="231F20"/>
          <w:spacing w:val="-11"/>
          <w:w w:val="120"/>
        </w:rPr>
        <w:t> </w:t>
      </w:r>
      <w:r>
        <w:rPr>
          <w:color w:val="231F20"/>
          <w:spacing w:val="-2"/>
          <w:w w:val="120"/>
        </w:rPr>
        <w:t>des</w:t>
      </w:r>
      <w:r>
        <w:rPr>
          <w:color w:val="231F20"/>
          <w:spacing w:val="-11"/>
          <w:w w:val="120"/>
        </w:rPr>
        <w:t> </w:t>
      </w:r>
      <w:r>
        <w:rPr>
          <w:color w:val="231F20"/>
          <w:spacing w:val="-2"/>
          <w:w w:val="120"/>
        </w:rPr>
        <w:t>relations.</w:t>
      </w:r>
      <w:r>
        <w:rPr>
          <w:color w:val="231F20"/>
          <w:spacing w:val="-11"/>
          <w:w w:val="120"/>
        </w:rPr>
        <w:t> </w:t>
      </w:r>
      <w:r>
        <w:rPr>
          <w:color w:val="231F20"/>
          <w:spacing w:val="-2"/>
          <w:w w:val="120"/>
        </w:rPr>
        <w:t>Puisque</w:t>
      </w:r>
      <w:r>
        <w:rPr>
          <w:color w:val="231F20"/>
          <w:spacing w:val="-10"/>
          <w:w w:val="120"/>
        </w:rPr>
        <w:t> </w:t>
      </w:r>
      <w:r>
        <w:rPr>
          <w:color w:val="231F20"/>
          <w:spacing w:val="-2"/>
          <w:w w:val="120"/>
        </w:rPr>
        <w:t>la</w:t>
      </w:r>
      <w:r>
        <w:rPr>
          <w:color w:val="231F20"/>
          <w:spacing w:val="-11"/>
          <w:w w:val="120"/>
        </w:rPr>
        <w:t> </w:t>
      </w:r>
      <w:r>
        <w:rPr>
          <w:color w:val="231F20"/>
          <w:spacing w:val="-2"/>
          <w:w w:val="120"/>
        </w:rPr>
        <w:t>capacité</w:t>
      </w:r>
      <w:r>
        <w:rPr>
          <w:color w:val="231F20"/>
          <w:spacing w:val="-11"/>
          <w:w w:val="120"/>
        </w:rPr>
        <w:t> </w:t>
      </w:r>
      <w:r>
        <w:rPr>
          <w:color w:val="231F20"/>
          <w:spacing w:val="-2"/>
          <w:w w:val="120"/>
        </w:rPr>
        <w:t>adap- tative</w:t>
      </w:r>
      <w:r>
        <w:rPr>
          <w:color w:val="231F20"/>
          <w:spacing w:val="-11"/>
          <w:w w:val="120"/>
        </w:rPr>
        <w:t> </w:t>
      </w:r>
      <w:r>
        <w:rPr>
          <w:color w:val="231F20"/>
          <w:spacing w:val="-2"/>
          <w:w w:val="120"/>
        </w:rPr>
        <w:t>d’une</w:t>
      </w:r>
      <w:r>
        <w:rPr>
          <w:color w:val="231F20"/>
          <w:spacing w:val="-11"/>
          <w:w w:val="120"/>
        </w:rPr>
        <w:t> </w:t>
      </w:r>
      <w:r>
        <w:rPr>
          <w:color w:val="231F20"/>
          <w:spacing w:val="-2"/>
          <w:w w:val="120"/>
        </w:rPr>
        <w:t>personne</w:t>
      </w:r>
      <w:r>
        <w:rPr>
          <w:color w:val="231F20"/>
          <w:spacing w:val="-10"/>
          <w:w w:val="120"/>
        </w:rPr>
        <w:t> </w:t>
      </w:r>
      <w:r>
        <w:rPr>
          <w:color w:val="231F20"/>
          <w:spacing w:val="-2"/>
          <w:w w:val="120"/>
        </w:rPr>
        <w:t>n’est</w:t>
      </w:r>
      <w:r>
        <w:rPr>
          <w:color w:val="231F20"/>
          <w:spacing w:val="-11"/>
          <w:w w:val="120"/>
        </w:rPr>
        <w:t> </w:t>
      </w:r>
      <w:r>
        <w:rPr>
          <w:color w:val="231F20"/>
          <w:spacing w:val="-2"/>
          <w:w w:val="120"/>
        </w:rPr>
        <w:t>pas</w:t>
      </w:r>
      <w:r>
        <w:rPr>
          <w:color w:val="231F20"/>
          <w:spacing w:val="-11"/>
          <w:w w:val="120"/>
        </w:rPr>
        <w:t> </w:t>
      </w:r>
      <w:r>
        <w:rPr>
          <w:color w:val="231F20"/>
          <w:spacing w:val="-2"/>
          <w:w w:val="120"/>
        </w:rPr>
        <w:t>sans</w:t>
      </w:r>
      <w:r>
        <w:rPr>
          <w:color w:val="231F20"/>
          <w:spacing w:val="-10"/>
          <w:w w:val="120"/>
        </w:rPr>
        <w:t> </w:t>
      </w:r>
      <w:r>
        <w:rPr>
          <w:color w:val="231F20"/>
          <w:spacing w:val="-2"/>
          <w:w w:val="120"/>
        </w:rPr>
        <w:t>limites,</w:t>
      </w:r>
      <w:r>
        <w:rPr>
          <w:color w:val="231F20"/>
          <w:spacing w:val="-11"/>
          <w:w w:val="120"/>
        </w:rPr>
        <w:t> </w:t>
      </w:r>
      <w:r>
        <w:rPr>
          <w:color w:val="231F20"/>
          <w:spacing w:val="-2"/>
          <w:w w:val="120"/>
        </w:rPr>
        <w:t>nombre</w:t>
      </w:r>
      <w:r>
        <w:rPr>
          <w:color w:val="231F20"/>
          <w:spacing w:val="-11"/>
          <w:w w:val="120"/>
        </w:rPr>
        <w:t> </w:t>
      </w:r>
      <w:r>
        <w:rPr>
          <w:color w:val="231F20"/>
          <w:spacing w:val="-2"/>
          <w:w w:val="120"/>
        </w:rPr>
        <w:t>de</w:t>
      </w:r>
      <w:r>
        <w:rPr>
          <w:color w:val="231F20"/>
          <w:spacing w:val="-10"/>
          <w:w w:val="120"/>
        </w:rPr>
        <w:t> </w:t>
      </w:r>
      <w:r>
        <w:rPr>
          <w:color w:val="231F20"/>
          <w:spacing w:val="-2"/>
          <w:w w:val="120"/>
        </w:rPr>
        <w:t>facteurs</w:t>
      </w:r>
      <w:r>
        <w:rPr>
          <w:color w:val="231F20"/>
          <w:spacing w:val="-11"/>
          <w:w w:val="120"/>
        </w:rPr>
        <w:t> </w:t>
      </w:r>
      <w:r>
        <w:rPr>
          <w:color w:val="231F20"/>
          <w:spacing w:val="-2"/>
          <w:w w:val="120"/>
        </w:rPr>
        <w:t>de</w:t>
      </w:r>
      <w:r>
        <w:rPr>
          <w:color w:val="231F20"/>
          <w:spacing w:val="-11"/>
          <w:w w:val="120"/>
        </w:rPr>
        <w:t> </w:t>
      </w:r>
      <w:r>
        <w:rPr>
          <w:color w:val="231F20"/>
          <w:spacing w:val="-2"/>
          <w:w w:val="120"/>
        </w:rPr>
        <w:t>sa</w:t>
      </w:r>
      <w:r>
        <w:rPr>
          <w:color w:val="231F20"/>
          <w:spacing w:val="-10"/>
          <w:w w:val="120"/>
        </w:rPr>
        <w:t> </w:t>
      </w:r>
      <w:r>
        <w:rPr>
          <w:color w:val="231F20"/>
          <w:spacing w:val="-2"/>
          <w:w w:val="120"/>
        </w:rPr>
        <w:t>vie </w:t>
      </w:r>
      <w:r>
        <w:rPr>
          <w:color w:val="231F20"/>
          <w:w w:val="120"/>
        </w:rPr>
        <w:t>personnelle</w:t>
      </w:r>
      <w:r>
        <w:rPr>
          <w:color w:val="231F20"/>
          <w:spacing w:val="-6"/>
          <w:w w:val="120"/>
        </w:rPr>
        <w:t> </w:t>
      </w:r>
      <w:r>
        <w:rPr>
          <w:color w:val="231F20"/>
          <w:w w:val="120"/>
        </w:rPr>
        <w:t>viennent</w:t>
      </w:r>
      <w:r>
        <w:rPr>
          <w:color w:val="231F20"/>
          <w:spacing w:val="-6"/>
          <w:w w:val="120"/>
        </w:rPr>
        <w:t> </w:t>
      </w:r>
      <w:r>
        <w:rPr>
          <w:color w:val="231F20"/>
          <w:w w:val="120"/>
        </w:rPr>
        <w:t>teinter</w:t>
      </w:r>
      <w:r>
        <w:rPr>
          <w:color w:val="231F20"/>
          <w:spacing w:val="-6"/>
          <w:w w:val="120"/>
        </w:rPr>
        <w:t> </w:t>
      </w:r>
      <w:r>
        <w:rPr>
          <w:color w:val="231F20"/>
          <w:w w:val="120"/>
        </w:rPr>
        <w:t>sa</w:t>
      </w:r>
      <w:r>
        <w:rPr>
          <w:color w:val="231F20"/>
          <w:spacing w:val="-6"/>
          <w:w w:val="120"/>
        </w:rPr>
        <w:t> </w:t>
      </w:r>
      <w:r>
        <w:rPr>
          <w:color w:val="231F20"/>
          <w:w w:val="120"/>
        </w:rPr>
        <w:t>capacité</w:t>
      </w:r>
      <w:r>
        <w:rPr>
          <w:color w:val="231F20"/>
          <w:spacing w:val="-6"/>
          <w:w w:val="120"/>
        </w:rPr>
        <w:t> </w:t>
      </w:r>
      <w:r>
        <w:rPr>
          <w:color w:val="231F20"/>
          <w:w w:val="120"/>
        </w:rPr>
        <w:t>à</w:t>
      </w:r>
      <w:r>
        <w:rPr>
          <w:color w:val="231F20"/>
          <w:spacing w:val="-6"/>
          <w:w w:val="120"/>
        </w:rPr>
        <w:t> </w:t>
      </w:r>
      <w:r>
        <w:rPr>
          <w:color w:val="231F20"/>
          <w:w w:val="120"/>
        </w:rPr>
        <w:t>faire</w:t>
      </w:r>
      <w:r>
        <w:rPr>
          <w:color w:val="231F20"/>
          <w:spacing w:val="-6"/>
          <w:w w:val="120"/>
        </w:rPr>
        <w:t> </w:t>
      </w:r>
      <w:r>
        <w:rPr>
          <w:color w:val="231F20"/>
          <w:w w:val="120"/>
        </w:rPr>
        <w:t>face</w:t>
      </w:r>
      <w:r>
        <w:rPr>
          <w:color w:val="231F20"/>
          <w:spacing w:val="-6"/>
          <w:w w:val="120"/>
        </w:rPr>
        <w:t> </w:t>
      </w:r>
      <w:r>
        <w:rPr>
          <w:color w:val="231F20"/>
          <w:w w:val="120"/>
        </w:rPr>
        <w:t>au</w:t>
      </w:r>
      <w:r>
        <w:rPr>
          <w:color w:val="231F20"/>
          <w:spacing w:val="-6"/>
          <w:w w:val="120"/>
        </w:rPr>
        <w:t> </w:t>
      </w:r>
      <w:r>
        <w:rPr>
          <w:color w:val="231F20"/>
          <w:w w:val="120"/>
        </w:rPr>
        <w:t>stress</w:t>
      </w:r>
      <w:r>
        <w:rPr>
          <w:color w:val="231F20"/>
          <w:spacing w:val="-6"/>
          <w:w w:val="120"/>
        </w:rPr>
        <w:t> </w:t>
      </w:r>
      <w:r>
        <w:rPr>
          <w:color w:val="231F20"/>
          <w:w w:val="120"/>
        </w:rPr>
        <w:t>au</w:t>
      </w:r>
      <w:r>
        <w:rPr>
          <w:color w:val="231F20"/>
          <w:spacing w:val="-6"/>
          <w:w w:val="120"/>
        </w:rPr>
        <w:t> </w:t>
      </w:r>
      <w:r>
        <w:rPr>
          <w:color w:val="231F20"/>
          <w:w w:val="120"/>
        </w:rPr>
        <w:t>travail. </w:t>
      </w:r>
      <w:r>
        <w:rPr>
          <w:color w:val="231F20"/>
          <w:w w:val="115"/>
        </w:rPr>
        <w:t>Ainsi, la vulnérabilité d’un travailleur au stress professionnel est bien sûr </w:t>
      </w:r>
      <w:r>
        <w:rPr>
          <w:color w:val="231F20"/>
          <w:w w:val="120"/>
        </w:rPr>
        <w:t>directement</w:t>
      </w:r>
      <w:r>
        <w:rPr>
          <w:color w:val="231F20"/>
          <w:spacing w:val="-8"/>
          <w:w w:val="120"/>
        </w:rPr>
        <w:t> </w:t>
      </w:r>
      <w:r>
        <w:rPr>
          <w:color w:val="231F20"/>
          <w:w w:val="120"/>
        </w:rPr>
        <w:t>dépendante</w:t>
      </w:r>
      <w:r>
        <w:rPr>
          <w:color w:val="231F20"/>
          <w:spacing w:val="-8"/>
          <w:w w:val="120"/>
        </w:rPr>
        <w:t> </w:t>
      </w:r>
      <w:r>
        <w:rPr>
          <w:color w:val="231F20"/>
          <w:w w:val="120"/>
        </w:rPr>
        <w:t>des</w:t>
      </w:r>
      <w:r>
        <w:rPr>
          <w:color w:val="231F20"/>
          <w:spacing w:val="-8"/>
          <w:w w:val="120"/>
        </w:rPr>
        <w:t> </w:t>
      </w:r>
      <w:r>
        <w:rPr>
          <w:color w:val="231F20"/>
          <w:w w:val="120"/>
        </w:rPr>
        <w:t>stresseurs</w:t>
      </w:r>
      <w:r>
        <w:rPr>
          <w:color w:val="231F20"/>
          <w:spacing w:val="-8"/>
          <w:w w:val="120"/>
        </w:rPr>
        <w:t> </w:t>
      </w:r>
      <w:r>
        <w:rPr>
          <w:color w:val="231F20"/>
          <w:w w:val="120"/>
        </w:rPr>
        <w:t>organisationnels,</w:t>
      </w:r>
      <w:r>
        <w:rPr>
          <w:color w:val="231F20"/>
          <w:spacing w:val="-8"/>
          <w:w w:val="120"/>
        </w:rPr>
        <w:t> </w:t>
      </w:r>
      <w:r>
        <w:rPr>
          <w:color w:val="231F20"/>
          <w:w w:val="120"/>
        </w:rPr>
        <w:t>mais</w:t>
      </w:r>
      <w:r>
        <w:rPr>
          <w:color w:val="231F20"/>
          <w:spacing w:val="-8"/>
          <w:w w:val="120"/>
        </w:rPr>
        <w:t> </w:t>
      </w:r>
      <w:r>
        <w:rPr>
          <w:color w:val="231F20"/>
          <w:w w:val="120"/>
        </w:rPr>
        <w:t>aussi</w:t>
      </w:r>
      <w:r>
        <w:rPr>
          <w:color w:val="231F20"/>
          <w:spacing w:val="-8"/>
          <w:w w:val="120"/>
        </w:rPr>
        <w:t> </w:t>
      </w:r>
      <w:r>
        <w:rPr>
          <w:color w:val="231F20"/>
          <w:w w:val="120"/>
        </w:rPr>
        <w:t>des </w:t>
      </w:r>
      <w:r>
        <w:rPr>
          <w:color w:val="231F20"/>
          <w:spacing w:val="-2"/>
          <w:w w:val="120"/>
        </w:rPr>
        <w:t>stresseurs</w:t>
      </w:r>
      <w:r>
        <w:rPr>
          <w:color w:val="231F20"/>
          <w:spacing w:val="-11"/>
          <w:w w:val="120"/>
        </w:rPr>
        <w:t> </w:t>
      </w:r>
      <w:r>
        <w:rPr>
          <w:color w:val="231F20"/>
          <w:spacing w:val="-2"/>
          <w:w w:val="120"/>
        </w:rPr>
        <w:t>qui</w:t>
      </w:r>
      <w:r>
        <w:rPr>
          <w:color w:val="231F20"/>
          <w:spacing w:val="-10"/>
          <w:w w:val="120"/>
        </w:rPr>
        <w:t> </w:t>
      </w:r>
      <w:r>
        <w:rPr>
          <w:color w:val="231F20"/>
          <w:spacing w:val="-2"/>
          <w:w w:val="120"/>
        </w:rPr>
        <w:t>émanent</w:t>
      </w:r>
      <w:r>
        <w:rPr>
          <w:color w:val="231F20"/>
          <w:spacing w:val="-11"/>
          <w:w w:val="120"/>
        </w:rPr>
        <w:t> </w:t>
      </w:r>
      <w:r>
        <w:rPr>
          <w:color w:val="231F20"/>
          <w:spacing w:val="-2"/>
          <w:w w:val="120"/>
        </w:rPr>
        <w:t>de</w:t>
      </w:r>
      <w:r>
        <w:rPr>
          <w:color w:val="231F20"/>
          <w:spacing w:val="-10"/>
          <w:w w:val="120"/>
        </w:rPr>
        <w:t> </w:t>
      </w:r>
      <w:r>
        <w:rPr>
          <w:color w:val="231F20"/>
          <w:spacing w:val="-2"/>
          <w:w w:val="120"/>
        </w:rPr>
        <w:t>sa</w:t>
      </w:r>
      <w:r>
        <w:rPr>
          <w:color w:val="231F20"/>
          <w:spacing w:val="-11"/>
          <w:w w:val="120"/>
        </w:rPr>
        <w:t> </w:t>
      </w:r>
      <w:r>
        <w:rPr>
          <w:color w:val="231F20"/>
          <w:spacing w:val="-2"/>
          <w:w w:val="120"/>
        </w:rPr>
        <w:t>vie</w:t>
      </w:r>
      <w:r>
        <w:rPr>
          <w:color w:val="231F20"/>
          <w:spacing w:val="-10"/>
          <w:w w:val="120"/>
        </w:rPr>
        <w:t> </w:t>
      </w:r>
      <w:r>
        <w:rPr>
          <w:color w:val="231F20"/>
          <w:spacing w:val="-2"/>
          <w:w w:val="120"/>
        </w:rPr>
        <w:t>personnelle.</w:t>
      </w:r>
      <w:r>
        <w:rPr>
          <w:color w:val="231F20"/>
          <w:spacing w:val="-11"/>
          <w:w w:val="120"/>
        </w:rPr>
        <w:t> </w:t>
      </w:r>
      <w:r>
        <w:rPr>
          <w:color w:val="231F20"/>
          <w:spacing w:val="-2"/>
          <w:w w:val="120"/>
        </w:rPr>
        <w:t>L’organisme</w:t>
      </w:r>
      <w:r>
        <w:rPr>
          <w:color w:val="231F20"/>
          <w:spacing w:val="-10"/>
          <w:w w:val="120"/>
        </w:rPr>
        <w:t> </w:t>
      </w:r>
      <w:r>
        <w:rPr>
          <w:color w:val="231F20"/>
          <w:spacing w:val="-2"/>
          <w:w w:val="120"/>
        </w:rPr>
        <w:t>ne</w:t>
      </w:r>
      <w:r>
        <w:rPr>
          <w:color w:val="231F20"/>
          <w:spacing w:val="-11"/>
          <w:w w:val="120"/>
        </w:rPr>
        <w:t> </w:t>
      </w:r>
      <w:r>
        <w:rPr>
          <w:color w:val="231F20"/>
          <w:spacing w:val="-2"/>
          <w:w w:val="120"/>
        </w:rPr>
        <w:t>fait</w:t>
      </w:r>
      <w:r>
        <w:rPr>
          <w:color w:val="231F20"/>
          <w:spacing w:val="-10"/>
          <w:w w:val="120"/>
        </w:rPr>
        <w:t> </w:t>
      </w:r>
      <w:r>
        <w:rPr>
          <w:color w:val="231F20"/>
          <w:spacing w:val="-2"/>
          <w:w w:val="120"/>
        </w:rPr>
        <w:t>aucune </w:t>
      </w:r>
      <w:r>
        <w:rPr>
          <w:color w:val="231F20"/>
          <w:spacing w:val="-4"/>
          <w:w w:val="120"/>
        </w:rPr>
        <w:t>distinction</w:t>
      </w:r>
      <w:r>
        <w:rPr>
          <w:color w:val="231F20"/>
          <w:spacing w:val="-5"/>
          <w:w w:val="120"/>
        </w:rPr>
        <w:t> </w:t>
      </w:r>
      <w:r>
        <w:rPr>
          <w:color w:val="231F20"/>
          <w:spacing w:val="-4"/>
          <w:w w:val="120"/>
        </w:rPr>
        <w:t>quant</w:t>
      </w:r>
      <w:r>
        <w:rPr>
          <w:color w:val="231F20"/>
          <w:spacing w:val="-5"/>
          <w:w w:val="120"/>
        </w:rPr>
        <w:t> </w:t>
      </w:r>
      <w:r>
        <w:rPr>
          <w:color w:val="231F20"/>
          <w:spacing w:val="-4"/>
          <w:w w:val="120"/>
        </w:rPr>
        <w:t>à</w:t>
      </w:r>
      <w:r>
        <w:rPr>
          <w:color w:val="231F20"/>
          <w:spacing w:val="-5"/>
          <w:w w:val="120"/>
        </w:rPr>
        <w:t> </w:t>
      </w:r>
      <w:r>
        <w:rPr>
          <w:color w:val="231F20"/>
          <w:spacing w:val="-4"/>
          <w:w w:val="120"/>
        </w:rPr>
        <w:t>la</w:t>
      </w:r>
      <w:r>
        <w:rPr>
          <w:color w:val="231F20"/>
          <w:spacing w:val="-5"/>
          <w:w w:val="120"/>
        </w:rPr>
        <w:t> </w:t>
      </w:r>
      <w:r>
        <w:rPr>
          <w:color w:val="231F20"/>
          <w:spacing w:val="-4"/>
          <w:w w:val="120"/>
        </w:rPr>
        <w:t>provenance</w:t>
      </w:r>
      <w:r>
        <w:rPr>
          <w:color w:val="231F20"/>
          <w:spacing w:val="-5"/>
          <w:w w:val="120"/>
        </w:rPr>
        <w:t> </w:t>
      </w:r>
      <w:r>
        <w:rPr>
          <w:color w:val="231F20"/>
          <w:spacing w:val="-4"/>
          <w:w w:val="120"/>
        </w:rPr>
        <w:t>des</w:t>
      </w:r>
      <w:r>
        <w:rPr>
          <w:color w:val="231F20"/>
          <w:spacing w:val="-5"/>
          <w:w w:val="120"/>
        </w:rPr>
        <w:t> </w:t>
      </w:r>
      <w:r>
        <w:rPr>
          <w:color w:val="231F20"/>
          <w:spacing w:val="-4"/>
          <w:w w:val="120"/>
        </w:rPr>
        <w:t>demandes</w:t>
      </w:r>
      <w:r>
        <w:rPr>
          <w:color w:val="231F20"/>
          <w:spacing w:val="-5"/>
          <w:w w:val="120"/>
        </w:rPr>
        <w:t> </w:t>
      </w:r>
      <w:r>
        <w:rPr>
          <w:color w:val="231F20"/>
          <w:spacing w:val="-4"/>
          <w:w w:val="120"/>
        </w:rPr>
        <w:t>adaptatives</w:t>
      </w:r>
      <w:r>
        <w:rPr>
          <w:color w:val="231F20"/>
          <w:spacing w:val="-5"/>
          <w:w w:val="120"/>
        </w:rPr>
        <w:t> </w:t>
      </w:r>
      <w:r>
        <w:rPr>
          <w:color w:val="231F20"/>
          <w:spacing w:val="-4"/>
          <w:w w:val="120"/>
        </w:rPr>
        <w:t>et</w:t>
      </w:r>
      <w:r>
        <w:rPr>
          <w:color w:val="231F20"/>
          <w:spacing w:val="-5"/>
          <w:w w:val="120"/>
        </w:rPr>
        <w:t> </w:t>
      </w:r>
      <w:r>
        <w:rPr>
          <w:color w:val="231F20"/>
          <w:spacing w:val="-4"/>
          <w:w w:val="120"/>
        </w:rPr>
        <w:t>l’incidence </w:t>
      </w:r>
      <w:r>
        <w:rPr>
          <w:color w:val="231F20"/>
          <w:spacing w:val="-2"/>
          <w:w w:val="115"/>
        </w:rPr>
        <w:t>des</w:t>
      </w:r>
      <w:r>
        <w:rPr>
          <w:color w:val="231F20"/>
          <w:spacing w:val="-9"/>
          <w:w w:val="115"/>
        </w:rPr>
        <w:t> </w:t>
      </w:r>
      <w:r>
        <w:rPr>
          <w:color w:val="231F20"/>
          <w:spacing w:val="-2"/>
          <w:w w:val="115"/>
        </w:rPr>
        <w:t>stresseurs</w:t>
      </w:r>
      <w:r>
        <w:rPr>
          <w:color w:val="231F20"/>
          <w:spacing w:val="-9"/>
          <w:w w:val="115"/>
        </w:rPr>
        <w:t> </w:t>
      </w:r>
      <w:r>
        <w:rPr>
          <w:color w:val="231F20"/>
          <w:spacing w:val="-2"/>
          <w:w w:val="115"/>
        </w:rPr>
        <w:t>est</w:t>
      </w:r>
      <w:r>
        <w:rPr>
          <w:color w:val="231F20"/>
          <w:spacing w:val="-9"/>
          <w:w w:val="115"/>
        </w:rPr>
        <w:t> </w:t>
      </w:r>
      <w:r>
        <w:rPr>
          <w:color w:val="231F20"/>
          <w:spacing w:val="-2"/>
          <w:w w:val="115"/>
        </w:rPr>
        <w:t>additive,</w:t>
      </w:r>
      <w:r>
        <w:rPr>
          <w:color w:val="231F20"/>
          <w:spacing w:val="-9"/>
          <w:w w:val="115"/>
        </w:rPr>
        <w:t> </w:t>
      </w:r>
      <w:r>
        <w:rPr>
          <w:color w:val="231F20"/>
          <w:spacing w:val="-2"/>
          <w:w w:val="115"/>
        </w:rPr>
        <w:t>peu</w:t>
      </w:r>
      <w:r>
        <w:rPr>
          <w:color w:val="231F20"/>
          <w:spacing w:val="-9"/>
          <w:w w:val="115"/>
        </w:rPr>
        <w:t> </w:t>
      </w:r>
      <w:r>
        <w:rPr>
          <w:color w:val="231F20"/>
          <w:spacing w:val="-2"/>
          <w:w w:val="115"/>
        </w:rPr>
        <w:t>importe</w:t>
      </w:r>
      <w:r>
        <w:rPr>
          <w:color w:val="231F20"/>
          <w:spacing w:val="-9"/>
          <w:w w:val="115"/>
        </w:rPr>
        <w:t> </w:t>
      </w:r>
      <w:r>
        <w:rPr>
          <w:color w:val="231F20"/>
          <w:spacing w:val="-2"/>
          <w:w w:val="115"/>
        </w:rPr>
        <w:t>l’origine</w:t>
      </w:r>
      <w:r>
        <w:rPr>
          <w:color w:val="231F20"/>
          <w:spacing w:val="-9"/>
          <w:w w:val="115"/>
        </w:rPr>
        <w:t> </w:t>
      </w:r>
      <w:r>
        <w:rPr>
          <w:color w:val="231F20"/>
          <w:spacing w:val="-2"/>
          <w:w w:val="115"/>
        </w:rPr>
        <w:t>de</w:t>
      </w:r>
      <w:r>
        <w:rPr>
          <w:color w:val="231F20"/>
          <w:spacing w:val="-9"/>
          <w:w w:val="115"/>
        </w:rPr>
        <w:t> </w:t>
      </w:r>
      <w:r>
        <w:rPr>
          <w:color w:val="231F20"/>
          <w:spacing w:val="-2"/>
          <w:w w:val="115"/>
        </w:rPr>
        <w:t>ces</w:t>
      </w:r>
      <w:r>
        <w:rPr>
          <w:color w:val="231F20"/>
          <w:spacing w:val="-9"/>
          <w:w w:val="115"/>
        </w:rPr>
        <w:t> </w:t>
      </w:r>
      <w:r>
        <w:rPr>
          <w:color w:val="231F20"/>
          <w:spacing w:val="-2"/>
          <w:w w:val="115"/>
        </w:rPr>
        <w:t>derniers.</w:t>
      </w:r>
      <w:r>
        <w:rPr>
          <w:color w:val="231F20"/>
          <w:spacing w:val="-9"/>
          <w:w w:val="115"/>
        </w:rPr>
        <w:t> </w:t>
      </w:r>
      <w:r>
        <w:rPr>
          <w:color w:val="231F20"/>
          <w:spacing w:val="-2"/>
          <w:w w:val="115"/>
        </w:rPr>
        <w:t>En</w:t>
      </w:r>
      <w:r>
        <w:rPr>
          <w:color w:val="231F20"/>
          <w:spacing w:val="-9"/>
          <w:w w:val="115"/>
        </w:rPr>
        <w:t> </w:t>
      </w:r>
      <w:r>
        <w:rPr>
          <w:color w:val="231F20"/>
          <w:spacing w:val="-2"/>
          <w:w w:val="115"/>
        </w:rPr>
        <w:t>ce</w:t>
      </w:r>
      <w:r>
        <w:rPr>
          <w:color w:val="231F20"/>
          <w:spacing w:val="-9"/>
          <w:w w:val="115"/>
        </w:rPr>
        <w:t> </w:t>
      </w:r>
      <w:r>
        <w:rPr>
          <w:color w:val="231F20"/>
          <w:spacing w:val="-2"/>
          <w:w w:val="115"/>
        </w:rPr>
        <w:t>sens, </w:t>
      </w:r>
      <w:r>
        <w:rPr>
          <w:color w:val="231F20"/>
          <w:spacing w:val="-2"/>
          <w:w w:val="120"/>
        </w:rPr>
        <w:t>des</w:t>
      </w:r>
      <w:r>
        <w:rPr>
          <w:color w:val="231F20"/>
          <w:spacing w:val="-7"/>
          <w:w w:val="120"/>
        </w:rPr>
        <w:t> </w:t>
      </w:r>
      <w:r>
        <w:rPr>
          <w:color w:val="231F20"/>
          <w:spacing w:val="-2"/>
          <w:w w:val="120"/>
        </w:rPr>
        <w:t>difficultés</w:t>
      </w:r>
      <w:r>
        <w:rPr>
          <w:color w:val="231F20"/>
          <w:spacing w:val="-7"/>
          <w:w w:val="120"/>
        </w:rPr>
        <w:t> </w:t>
      </w:r>
      <w:r>
        <w:rPr>
          <w:color w:val="231F20"/>
          <w:spacing w:val="-2"/>
          <w:w w:val="120"/>
        </w:rPr>
        <w:t>dans</w:t>
      </w:r>
      <w:r>
        <w:rPr>
          <w:color w:val="231F20"/>
          <w:spacing w:val="-7"/>
          <w:w w:val="120"/>
        </w:rPr>
        <w:t> </w:t>
      </w:r>
      <w:r>
        <w:rPr>
          <w:color w:val="231F20"/>
          <w:spacing w:val="-2"/>
          <w:w w:val="120"/>
        </w:rPr>
        <w:t>une</w:t>
      </w:r>
      <w:r>
        <w:rPr>
          <w:color w:val="231F20"/>
          <w:spacing w:val="-7"/>
          <w:w w:val="120"/>
        </w:rPr>
        <w:t> </w:t>
      </w:r>
      <w:r>
        <w:rPr>
          <w:color w:val="231F20"/>
          <w:spacing w:val="-2"/>
          <w:w w:val="120"/>
        </w:rPr>
        <w:t>sphère</w:t>
      </w:r>
      <w:r>
        <w:rPr>
          <w:color w:val="231F20"/>
          <w:spacing w:val="-7"/>
          <w:w w:val="120"/>
        </w:rPr>
        <w:t> </w:t>
      </w:r>
      <w:r>
        <w:rPr>
          <w:color w:val="231F20"/>
          <w:spacing w:val="-2"/>
          <w:w w:val="120"/>
        </w:rPr>
        <w:t>de</w:t>
      </w:r>
      <w:r>
        <w:rPr>
          <w:color w:val="231F20"/>
          <w:spacing w:val="-7"/>
          <w:w w:val="120"/>
        </w:rPr>
        <w:t> </w:t>
      </w:r>
      <w:r>
        <w:rPr>
          <w:color w:val="231F20"/>
          <w:spacing w:val="-2"/>
          <w:w w:val="120"/>
        </w:rPr>
        <w:t>la</w:t>
      </w:r>
      <w:r>
        <w:rPr>
          <w:color w:val="231F20"/>
          <w:spacing w:val="-7"/>
          <w:w w:val="120"/>
        </w:rPr>
        <w:t> </w:t>
      </w:r>
      <w:r>
        <w:rPr>
          <w:color w:val="231F20"/>
          <w:spacing w:val="-2"/>
          <w:w w:val="120"/>
        </w:rPr>
        <w:t>vie</w:t>
      </w:r>
      <w:r>
        <w:rPr>
          <w:color w:val="231F20"/>
          <w:spacing w:val="-7"/>
          <w:w w:val="120"/>
        </w:rPr>
        <w:t> </w:t>
      </w:r>
      <w:r>
        <w:rPr>
          <w:color w:val="231F20"/>
          <w:spacing w:val="-2"/>
          <w:w w:val="120"/>
        </w:rPr>
        <w:t>se</w:t>
      </w:r>
      <w:r>
        <w:rPr>
          <w:color w:val="231F20"/>
          <w:spacing w:val="-7"/>
          <w:w w:val="120"/>
        </w:rPr>
        <w:t> </w:t>
      </w:r>
      <w:r>
        <w:rPr>
          <w:color w:val="231F20"/>
          <w:spacing w:val="-2"/>
          <w:w w:val="120"/>
        </w:rPr>
        <w:t>répercutent</w:t>
      </w:r>
      <w:r>
        <w:rPr>
          <w:color w:val="231F20"/>
          <w:spacing w:val="-7"/>
          <w:w w:val="120"/>
        </w:rPr>
        <w:t> </w:t>
      </w:r>
      <w:r>
        <w:rPr>
          <w:color w:val="231F20"/>
          <w:spacing w:val="-2"/>
          <w:w w:val="120"/>
        </w:rPr>
        <w:t>toujours</w:t>
      </w:r>
      <w:r>
        <w:rPr>
          <w:color w:val="231F20"/>
          <w:spacing w:val="-7"/>
          <w:w w:val="120"/>
        </w:rPr>
        <w:t> </w:t>
      </w:r>
      <w:r>
        <w:rPr>
          <w:color w:val="231F20"/>
          <w:spacing w:val="-2"/>
          <w:w w:val="120"/>
        </w:rPr>
        <w:t>sur</w:t>
      </w:r>
      <w:r>
        <w:rPr>
          <w:color w:val="231F20"/>
          <w:spacing w:val="-7"/>
          <w:w w:val="120"/>
        </w:rPr>
        <w:t> </w:t>
      </w:r>
      <w:r>
        <w:rPr>
          <w:color w:val="231F20"/>
          <w:spacing w:val="-2"/>
          <w:w w:val="120"/>
        </w:rPr>
        <w:t>notre </w:t>
      </w:r>
      <w:r>
        <w:rPr>
          <w:color w:val="231F20"/>
          <w:spacing w:val="-4"/>
          <w:w w:val="120"/>
        </w:rPr>
        <w:t>capacité</w:t>
      </w:r>
      <w:r>
        <w:rPr>
          <w:color w:val="231F20"/>
          <w:spacing w:val="-5"/>
          <w:w w:val="120"/>
        </w:rPr>
        <w:t> </w:t>
      </w:r>
      <w:r>
        <w:rPr>
          <w:color w:val="231F20"/>
          <w:spacing w:val="-4"/>
          <w:w w:val="120"/>
        </w:rPr>
        <w:t>à</w:t>
      </w:r>
      <w:r>
        <w:rPr>
          <w:color w:val="231F20"/>
          <w:spacing w:val="-5"/>
          <w:w w:val="120"/>
        </w:rPr>
        <w:t> </w:t>
      </w:r>
      <w:r>
        <w:rPr>
          <w:color w:val="231F20"/>
          <w:spacing w:val="-4"/>
          <w:w w:val="120"/>
        </w:rPr>
        <w:t>transiger</w:t>
      </w:r>
      <w:r>
        <w:rPr>
          <w:color w:val="231F20"/>
          <w:spacing w:val="-5"/>
          <w:w w:val="120"/>
        </w:rPr>
        <w:t> </w:t>
      </w:r>
      <w:r>
        <w:rPr>
          <w:color w:val="231F20"/>
          <w:spacing w:val="-4"/>
          <w:w w:val="120"/>
        </w:rPr>
        <w:t>avec</w:t>
      </w:r>
      <w:r>
        <w:rPr>
          <w:color w:val="231F20"/>
          <w:spacing w:val="-5"/>
          <w:w w:val="120"/>
        </w:rPr>
        <w:t> </w:t>
      </w:r>
      <w:r>
        <w:rPr>
          <w:color w:val="231F20"/>
          <w:spacing w:val="-4"/>
          <w:w w:val="120"/>
        </w:rPr>
        <w:t>des</w:t>
      </w:r>
      <w:r>
        <w:rPr>
          <w:color w:val="231F20"/>
          <w:spacing w:val="-5"/>
          <w:w w:val="120"/>
        </w:rPr>
        <w:t> </w:t>
      </w:r>
      <w:r>
        <w:rPr>
          <w:color w:val="231F20"/>
          <w:spacing w:val="-4"/>
          <w:w w:val="120"/>
        </w:rPr>
        <w:t>stresseurs</w:t>
      </w:r>
      <w:r>
        <w:rPr>
          <w:color w:val="231F20"/>
          <w:spacing w:val="-5"/>
          <w:w w:val="120"/>
        </w:rPr>
        <w:t> </w:t>
      </w:r>
      <w:r>
        <w:rPr>
          <w:color w:val="231F20"/>
          <w:spacing w:val="-4"/>
          <w:w w:val="120"/>
        </w:rPr>
        <w:t>provenant</w:t>
      </w:r>
      <w:r>
        <w:rPr>
          <w:color w:val="231F20"/>
          <w:spacing w:val="-5"/>
          <w:w w:val="120"/>
        </w:rPr>
        <w:t> </w:t>
      </w:r>
      <w:r>
        <w:rPr>
          <w:color w:val="231F20"/>
          <w:spacing w:val="-4"/>
          <w:w w:val="120"/>
        </w:rPr>
        <w:t>des</w:t>
      </w:r>
      <w:r>
        <w:rPr>
          <w:color w:val="231F20"/>
          <w:spacing w:val="-5"/>
          <w:w w:val="120"/>
        </w:rPr>
        <w:t> </w:t>
      </w:r>
      <w:r>
        <w:rPr>
          <w:color w:val="231F20"/>
          <w:spacing w:val="-4"/>
          <w:w w:val="120"/>
        </w:rPr>
        <w:t>autres</w:t>
      </w:r>
      <w:r>
        <w:rPr>
          <w:color w:val="231F20"/>
          <w:spacing w:val="-5"/>
          <w:w w:val="120"/>
        </w:rPr>
        <w:t> </w:t>
      </w:r>
      <w:r>
        <w:rPr>
          <w:color w:val="231F20"/>
          <w:spacing w:val="-4"/>
          <w:w w:val="120"/>
        </w:rPr>
        <w:t>sphères</w:t>
      </w:r>
      <w:r>
        <w:rPr>
          <w:color w:val="231F20"/>
          <w:spacing w:val="-5"/>
          <w:w w:val="120"/>
        </w:rPr>
        <w:t> </w:t>
      </w:r>
      <w:r>
        <w:rPr>
          <w:color w:val="231F20"/>
          <w:spacing w:val="-4"/>
          <w:w w:val="120"/>
        </w:rPr>
        <w:t>d’ac- </w:t>
      </w:r>
      <w:r>
        <w:rPr>
          <w:color w:val="231F20"/>
          <w:w w:val="120"/>
        </w:rPr>
        <w:t>tivités.</w:t>
      </w:r>
      <w:r>
        <w:rPr>
          <w:color w:val="231F20"/>
          <w:spacing w:val="-2"/>
          <w:w w:val="120"/>
        </w:rPr>
        <w:t> </w:t>
      </w:r>
      <w:r>
        <w:rPr>
          <w:color w:val="231F20"/>
          <w:w w:val="120"/>
        </w:rPr>
        <w:t>Malheureusement,</w:t>
      </w:r>
      <w:r>
        <w:rPr>
          <w:color w:val="231F20"/>
          <w:spacing w:val="-2"/>
          <w:w w:val="120"/>
        </w:rPr>
        <w:t> </w:t>
      </w:r>
      <w:r>
        <w:rPr>
          <w:color w:val="231F20"/>
          <w:w w:val="120"/>
        </w:rPr>
        <w:t>ces</w:t>
      </w:r>
      <w:r>
        <w:rPr>
          <w:color w:val="231F20"/>
          <w:spacing w:val="-2"/>
          <w:w w:val="120"/>
        </w:rPr>
        <w:t> </w:t>
      </w:r>
      <w:r>
        <w:rPr>
          <w:color w:val="231F20"/>
          <w:w w:val="120"/>
        </w:rPr>
        <w:t>considérations</w:t>
      </w:r>
      <w:r>
        <w:rPr>
          <w:color w:val="231F20"/>
          <w:spacing w:val="-2"/>
          <w:w w:val="120"/>
        </w:rPr>
        <w:t> </w:t>
      </w:r>
      <w:r>
        <w:rPr>
          <w:color w:val="231F20"/>
          <w:w w:val="120"/>
        </w:rPr>
        <w:t>ne</w:t>
      </w:r>
      <w:r>
        <w:rPr>
          <w:color w:val="231F20"/>
          <w:spacing w:val="-2"/>
          <w:w w:val="120"/>
        </w:rPr>
        <w:t> </w:t>
      </w:r>
      <w:r>
        <w:rPr>
          <w:color w:val="231F20"/>
          <w:w w:val="120"/>
        </w:rPr>
        <w:t>sont</w:t>
      </w:r>
      <w:r>
        <w:rPr>
          <w:color w:val="231F20"/>
          <w:spacing w:val="-2"/>
          <w:w w:val="120"/>
        </w:rPr>
        <w:t> </w:t>
      </w:r>
      <w:r>
        <w:rPr>
          <w:color w:val="231F20"/>
          <w:w w:val="120"/>
        </w:rPr>
        <w:t>pas</w:t>
      </w:r>
      <w:r>
        <w:rPr>
          <w:color w:val="231F20"/>
          <w:spacing w:val="-2"/>
          <w:w w:val="120"/>
        </w:rPr>
        <w:t> </w:t>
      </w:r>
      <w:r>
        <w:rPr>
          <w:color w:val="231F20"/>
          <w:w w:val="120"/>
        </w:rPr>
        <w:t>toujours</w:t>
      </w:r>
      <w:r>
        <w:rPr>
          <w:color w:val="231F20"/>
          <w:spacing w:val="-2"/>
          <w:w w:val="120"/>
        </w:rPr>
        <w:t> </w:t>
      </w:r>
      <w:r>
        <w:rPr>
          <w:color w:val="231F20"/>
          <w:w w:val="120"/>
        </w:rPr>
        <w:t>éva- </w:t>
      </w:r>
      <w:r>
        <w:rPr>
          <w:color w:val="231F20"/>
          <w:spacing w:val="-2"/>
          <w:w w:val="120"/>
        </w:rPr>
        <w:t>luées</w:t>
      </w:r>
      <w:r>
        <w:rPr>
          <w:color w:val="231F20"/>
          <w:spacing w:val="-10"/>
          <w:w w:val="120"/>
        </w:rPr>
        <w:t> </w:t>
      </w:r>
      <w:r>
        <w:rPr>
          <w:color w:val="231F20"/>
          <w:spacing w:val="-2"/>
          <w:w w:val="120"/>
        </w:rPr>
        <w:t>adéquatement,</w:t>
      </w:r>
      <w:r>
        <w:rPr>
          <w:color w:val="231F20"/>
          <w:spacing w:val="-10"/>
          <w:w w:val="120"/>
        </w:rPr>
        <w:t> </w:t>
      </w:r>
      <w:r>
        <w:rPr>
          <w:color w:val="231F20"/>
          <w:spacing w:val="-2"/>
          <w:w w:val="120"/>
        </w:rPr>
        <w:t>tant</w:t>
      </w:r>
      <w:r>
        <w:rPr>
          <w:color w:val="231F20"/>
          <w:spacing w:val="-10"/>
          <w:w w:val="120"/>
        </w:rPr>
        <w:t> </w:t>
      </w:r>
      <w:r>
        <w:rPr>
          <w:color w:val="231F20"/>
          <w:spacing w:val="-2"/>
          <w:w w:val="120"/>
        </w:rPr>
        <w:t>par</w:t>
      </w:r>
      <w:r>
        <w:rPr>
          <w:color w:val="231F20"/>
          <w:spacing w:val="-10"/>
          <w:w w:val="120"/>
        </w:rPr>
        <w:t> </w:t>
      </w:r>
      <w:r>
        <w:rPr>
          <w:color w:val="231F20"/>
          <w:spacing w:val="-2"/>
          <w:w w:val="120"/>
        </w:rPr>
        <w:t>l’entreprise</w:t>
      </w:r>
      <w:r>
        <w:rPr>
          <w:color w:val="231F20"/>
          <w:spacing w:val="-10"/>
          <w:w w:val="120"/>
        </w:rPr>
        <w:t> </w:t>
      </w:r>
      <w:r>
        <w:rPr>
          <w:color w:val="231F20"/>
          <w:spacing w:val="-2"/>
          <w:w w:val="120"/>
        </w:rPr>
        <w:t>que</w:t>
      </w:r>
      <w:r>
        <w:rPr>
          <w:color w:val="231F20"/>
          <w:spacing w:val="-10"/>
          <w:w w:val="120"/>
        </w:rPr>
        <w:t> </w:t>
      </w:r>
      <w:r>
        <w:rPr>
          <w:color w:val="231F20"/>
          <w:spacing w:val="-2"/>
          <w:w w:val="120"/>
        </w:rPr>
        <w:t>par</w:t>
      </w:r>
      <w:r>
        <w:rPr>
          <w:color w:val="231F20"/>
          <w:spacing w:val="-10"/>
          <w:w w:val="120"/>
        </w:rPr>
        <w:t> </w:t>
      </w:r>
      <w:r>
        <w:rPr>
          <w:color w:val="231F20"/>
          <w:spacing w:val="-2"/>
          <w:w w:val="120"/>
        </w:rPr>
        <w:t>le</w:t>
      </w:r>
      <w:r>
        <w:rPr>
          <w:color w:val="231F20"/>
          <w:spacing w:val="-10"/>
          <w:w w:val="120"/>
        </w:rPr>
        <w:t> </w:t>
      </w:r>
      <w:r>
        <w:rPr>
          <w:color w:val="231F20"/>
          <w:spacing w:val="-2"/>
          <w:w w:val="120"/>
        </w:rPr>
        <w:t>travailleur</w:t>
      </w:r>
      <w:r>
        <w:rPr>
          <w:color w:val="231F20"/>
          <w:spacing w:val="-10"/>
          <w:w w:val="120"/>
        </w:rPr>
        <w:t> </w:t>
      </w:r>
      <w:r>
        <w:rPr>
          <w:color w:val="231F20"/>
          <w:spacing w:val="-2"/>
          <w:w w:val="120"/>
        </w:rPr>
        <w:t>lui-même.</w:t>
      </w:r>
    </w:p>
    <w:p>
      <w:pPr>
        <w:pStyle w:val="BodyText"/>
        <w:spacing w:before="6"/>
        <w:rPr>
          <w:sz w:val="26"/>
        </w:rPr>
      </w:pPr>
    </w:p>
    <w:p>
      <w:pPr>
        <w:pStyle w:val="Heading4"/>
        <w:numPr>
          <w:ilvl w:val="2"/>
          <w:numId w:val="17"/>
        </w:numPr>
        <w:tabs>
          <w:tab w:pos="529" w:val="left" w:leader="none"/>
          <w:tab w:pos="829" w:val="left" w:leader="none"/>
        </w:tabs>
        <w:spacing w:line="240" w:lineRule="auto" w:before="0" w:after="0"/>
        <w:ind w:left="528" w:right="0" w:hanging="407"/>
        <w:jc w:val="left"/>
        <w:rPr>
          <w:b w:val="0"/>
          <w:color w:val="231F20"/>
        </w:rPr>
      </w:pPr>
      <w:r>
        <w:rPr>
          <w:b w:val="0"/>
          <w:i/>
          <w:color w:val="231F20"/>
          <w:spacing w:val="-10"/>
        </w:rPr>
        <w:t>/</w:t>
      </w:r>
      <w:r>
        <w:rPr>
          <w:b w:val="0"/>
          <w:i/>
          <w:color w:val="231F20"/>
        </w:rPr>
        <w:tab/>
      </w:r>
      <w:r>
        <w:rPr>
          <w:color w:val="231F20"/>
          <w:w w:val="90"/>
        </w:rPr>
        <w:t>Stresseurs</w:t>
      </w:r>
      <w:r>
        <w:rPr>
          <w:color w:val="231F20"/>
          <w:spacing w:val="8"/>
        </w:rPr>
        <w:t> </w:t>
      </w:r>
      <w:r>
        <w:rPr>
          <w:color w:val="231F20"/>
          <w:spacing w:val="-2"/>
        </w:rPr>
        <w:t>organisationnels</w:t>
      </w:r>
    </w:p>
    <w:p>
      <w:pPr>
        <w:pStyle w:val="BodyText"/>
        <w:spacing w:line="307" w:lineRule="auto" w:before="233"/>
        <w:ind w:left="830" w:right="496"/>
        <w:jc w:val="both"/>
      </w:pPr>
      <w:r>
        <w:rPr>
          <w:color w:val="231F20"/>
          <w:w w:val="115"/>
        </w:rPr>
        <w:t>Pour</w:t>
      </w:r>
      <w:r>
        <w:rPr>
          <w:color w:val="231F20"/>
          <w:spacing w:val="-4"/>
          <w:w w:val="115"/>
        </w:rPr>
        <w:t> </w:t>
      </w:r>
      <w:r>
        <w:rPr>
          <w:color w:val="231F20"/>
          <w:w w:val="115"/>
        </w:rPr>
        <w:t>faciliter</w:t>
      </w:r>
      <w:r>
        <w:rPr>
          <w:color w:val="231F20"/>
          <w:spacing w:val="-4"/>
          <w:w w:val="115"/>
        </w:rPr>
        <w:t> </w:t>
      </w:r>
      <w:r>
        <w:rPr>
          <w:color w:val="231F20"/>
          <w:w w:val="115"/>
        </w:rPr>
        <w:t>l’étude</w:t>
      </w:r>
      <w:r>
        <w:rPr>
          <w:color w:val="231F20"/>
          <w:spacing w:val="-4"/>
          <w:w w:val="115"/>
        </w:rPr>
        <w:t> </w:t>
      </w:r>
      <w:r>
        <w:rPr>
          <w:color w:val="231F20"/>
          <w:w w:val="115"/>
        </w:rPr>
        <w:t>et</w:t>
      </w:r>
      <w:r>
        <w:rPr>
          <w:color w:val="231F20"/>
          <w:spacing w:val="-4"/>
          <w:w w:val="115"/>
        </w:rPr>
        <w:t> </w:t>
      </w:r>
      <w:r>
        <w:rPr>
          <w:color w:val="231F20"/>
          <w:w w:val="115"/>
        </w:rPr>
        <w:t>la</w:t>
      </w:r>
      <w:r>
        <w:rPr>
          <w:color w:val="231F20"/>
          <w:spacing w:val="-4"/>
          <w:w w:val="115"/>
        </w:rPr>
        <w:t> </w:t>
      </w:r>
      <w:r>
        <w:rPr>
          <w:color w:val="231F20"/>
          <w:w w:val="115"/>
        </w:rPr>
        <w:t>compréhension</w:t>
      </w:r>
      <w:r>
        <w:rPr>
          <w:color w:val="231F20"/>
          <w:spacing w:val="-4"/>
          <w:w w:val="115"/>
        </w:rPr>
        <w:t> </w:t>
      </w:r>
      <w:r>
        <w:rPr>
          <w:color w:val="231F20"/>
          <w:w w:val="115"/>
        </w:rPr>
        <w:t>des</w:t>
      </w:r>
      <w:r>
        <w:rPr>
          <w:color w:val="231F20"/>
          <w:spacing w:val="-4"/>
          <w:w w:val="115"/>
        </w:rPr>
        <w:t> </w:t>
      </w:r>
      <w:r>
        <w:rPr>
          <w:color w:val="231F20"/>
          <w:w w:val="115"/>
        </w:rPr>
        <w:t>stresseurs</w:t>
      </w:r>
      <w:r>
        <w:rPr>
          <w:color w:val="231F20"/>
          <w:spacing w:val="-4"/>
          <w:w w:val="115"/>
        </w:rPr>
        <w:t> </w:t>
      </w:r>
      <w:r>
        <w:rPr>
          <w:color w:val="231F20"/>
          <w:w w:val="115"/>
        </w:rPr>
        <w:t>organisationnels, </w:t>
      </w:r>
      <w:r>
        <w:rPr>
          <w:color w:val="231F20"/>
          <w:spacing w:val="-2"/>
          <w:w w:val="120"/>
        </w:rPr>
        <w:t>nous</w:t>
      </w:r>
      <w:r>
        <w:rPr>
          <w:color w:val="231F20"/>
          <w:spacing w:val="-9"/>
          <w:w w:val="120"/>
        </w:rPr>
        <w:t> </w:t>
      </w:r>
      <w:r>
        <w:rPr>
          <w:color w:val="231F20"/>
          <w:spacing w:val="-2"/>
          <w:w w:val="120"/>
        </w:rPr>
        <w:t>les</w:t>
      </w:r>
      <w:r>
        <w:rPr>
          <w:color w:val="231F20"/>
          <w:spacing w:val="-9"/>
          <w:w w:val="120"/>
        </w:rPr>
        <w:t> </w:t>
      </w:r>
      <w:r>
        <w:rPr>
          <w:color w:val="231F20"/>
          <w:spacing w:val="-2"/>
          <w:w w:val="120"/>
        </w:rPr>
        <w:t>regrouperons</w:t>
      </w:r>
      <w:r>
        <w:rPr>
          <w:color w:val="231F20"/>
          <w:spacing w:val="-9"/>
          <w:w w:val="120"/>
        </w:rPr>
        <w:t> </w:t>
      </w:r>
      <w:r>
        <w:rPr>
          <w:color w:val="231F20"/>
          <w:spacing w:val="-2"/>
          <w:w w:val="120"/>
        </w:rPr>
        <w:t>en</w:t>
      </w:r>
      <w:r>
        <w:rPr>
          <w:color w:val="231F20"/>
          <w:spacing w:val="-9"/>
          <w:w w:val="120"/>
        </w:rPr>
        <w:t> </w:t>
      </w:r>
      <w:r>
        <w:rPr>
          <w:color w:val="231F20"/>
          <w:spacing w:val="-2"/>
          <w:w w:val="120"/>
        </w:rPr>
        <w:t>quatre</w:t>
      </w:r>
      <w:r>
        <w:rPr>
          <w:color w:val="231F20"/>
          <w:spacing w:val="-9"/>
          <w:w w:val="120"/>
        </w:rPr>
        <w:t> </w:t>
      </w:r>
      <w:r>
        <w:rPr>
          <w:color w:val="231F20"/>
          <w:spacing w:val="-2"/>
          <w:w w:val="120"/>
        </w:rPr>
        <w:t>types.</w:t>
      </w:r>
      <w:r>
        <w:rPr>
          <w:color w:val="231F20"/>
          <w:spacing w:val="-9"/>
          <w:w w:val="120"/>
        </w:rPr>
        <w:t> </w:t>
      </w:r>
      <w:r>
        <w:rPr>
          <w:color w:val="231F20"/>
          <w:spacing w:val="-2"/>
          <w:w w:val="120"/>
        </w:rPr>
        <w:t>Naturellement,</w:t>
      </w:r>
      <w:r>
        <w:rPr>
          <w:color w:val="231F20"/>
          <w:spacing w:val="-9"/>
          <w:w w:val="120"/>
        </w:rPr>
        <w:t> </w:t>
      </w:r>
      <w:r>
        <w:rPr>
          <w:color w:val="231F20"/>
          <w:spacing w:val="-2"/>
          <w:w w:val="120"/>
        </w:rPr>
        <w:t>ces</w:t>
      </w:r>
      <w:r>
        <w:rPr>
          <w:color w:val="231F20"/>
          <w:spacing w:val="-9"/>
          <w:w w:val="120"/>
        </w:rPr>
        <w:t> </w:t>
      </w:r>
      <w:r>
        <w:rPr>
          <w:color w:val="231F20"/>
          <w:spacing w:val="-2"/>
          <w:w w:val="120"/>
        </w:rPr>
        <w:t>types</w:t>
      </w:r>
      <w:r>
        <w:rPr>
          <w:color w:val="231F20"/>
          <w:spacing w:val="-9"/>
          <w:w w:val="120"/>
        </w:rPr>
        <w:t> </w:t>
      </w:r>
      <w:r>
        <w:rPr>
          <w:color w:val="231F20"/>
          <w:spacing w:val="-2"/>
          <w:w w:val="120"/>
        </w:rPr>
        <w:t>de</w:t>
      </w:r>
      <w:r>
        <w:rPr>
          <w:color w:val="231F20"/>
          <w:spacing w:val="-9"/>
          <w:w w:val="120"/>
        </w:rPr>
        <w:t> </w:t>
      </w:r>
      <w:r>
        <w:rPr>
          <w:color w:val="231F20"/>
          <w:spacing w:val="-2"/>
          <w:w w:val="120"/>
        </w:rPr>
        <w:t>stres- </w:t>
      </w:r>
      <w:r>
        <w:rPr>
          <w:color w:val="231F20"/>
          <w:w w:val="120"/>
        </w:rPr>
        <w:t>seurs ne sont pas mutuellement exclusifs, certains stresseurs ayant évidemment une incidence transversale dans l’organisation.</w:t>
      </w:r>
    </w:p>
    <w:p>
      <w:pPr>
        <w:spacing w:after="0" w:line="307" w:lineRule="auto"/>
        <w:jc w:val="both"/>
        <w:sectPr>
          <w:type w:val="continuous"/>
          <w:pgSz w:w="8640" w:h="12960"/>
          <w:pgMar w:header="0" w:footer="424" w:top="1220" w:bottom="28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3"/>
          <w:numId w:val="17"/>
        </w:numPr>
        <w:tabs>
          <w:tab w:pos="1721" w:val="left" w:leader="none"/>
        </w:tabs>
        <w:spacing w:line="307" w:lineRule="auto" w:before="121" w:after="0"/>
        <w:ind w:left="1720" w:right="104" w:hanging="251"/>
        <w:jc w:val="both"/>
        <w:rPr>
          <w:sz w:val="17"/>
        </w:rPr>
      </w:pPr>
      <w:r>
        <w:rPr>
          <w:b/>
          <w:color w:val="231F20"/>
          <w:w w:val="120"/>
          <w:sz w:val="17"/>
        </w:rPr>
        <w:t>Les</w:t>
      </w:r>
      <w:r>
        <w:rPr>
          <w:b/>
          <w:color w:val="231F20"/>
          <w:spacing w:val="-13"/>
          <w:w w:val="120"/>
          <w:sz w:val="17"/>
        </w:rPr>
        <w:t> </w:t>
      </w:r>
      <w:r>
        <w:rPr>
          <w:b/>
          <w:color w:val="231F20"/>
          <w:w w:val="120"/>
          <w:sz w:val="17"/>
        </w:rPr>
        <w:t>stresseurs</w:t>
      </w:r>
      <w:r>
        <w:rPr>
          <w:b/>
          <w:color w:val="231F20"/>
          <w:spacing w:val="-13"/>
          <w:w w:val="120"/>
          <w:sz w:val="17"/>
        </w:rPr>
        <w:t> </w:t>
      </w:r>
      <w:r>
        <w:rPr>
          <w:b/>
          <w:color w:val="231F20"/>
          <w:w w:val="120"/>
          <w:sz w:val="17"/>
        </w:rPr>
        <w:t>physiques</w:t>
      </w:r>
      <w:r>
        <w:rPr>
          <w:color w:val="231F20"/>
          <w:w w:val="120"/>
          <w:sz w:val="17"/>
        </w:rPr>
        <w:t>.</w:t>
      </w:r>
      <w:r>
        <w:rPr>
          <w:color w:val="231F20"/>
          <w:spacing w:val="-9"/>
          <w:w w:val="120"/>
          <w:sz w:val="17"/>
        </w:rPr>
        <w:t> </w:t>
      </w:r>
      <w:r>
        <w:rPr>
          <w:color w:val="231F20"/>
          <w:w w:val="120"/>
          <w:sz w:val="17"/>
        </w:rPr>
        <w:t>La</w:t>
      </w:r>
      <w:r>
        <w:rPr>
          <w:color w:val="231F20"/>
          <w:spacing w:val="-9"/>
          <w:w w:val="120"/>
          <w:sz w:val="17"/>
        </w:rPr>
        <w:t> </w:t>
      </w:r>
      <w:r>
        <w:rPr>
          <w:color w:val="231F20"/>
          <w:w w:val="120"/>
          <w:sz w:val="17"/>
        </w:rPr>
        <w:t>luminosité,</w:t>
      </w:r>
      <w:r>
        <w:rPr>
          <w:color w:val="231F20"/>
          <w:spacing w:val="-9"/>
          <w:w w:val="120"/>
          <w:sz w:val="17"/>
        </w:rPr>
        <w:t> </w:t>
      </w:r>
      <w:r>
        <w:rPr>
          <w:color w:val="231F20"/>
          <w:w w:val="120"/>
          <w:sz w:val="17"/>
        </w:rPr>
        <w:t>le</w:t>
      </w:r>
      <w:r>
        <w:rPr>
          <w:color w:val="231F20"/>
          <w:spacing w:val="-9"/>
          <w:w w:val="120"/>
          <w:sz w:val="17"/>
        </w:rPr>
        <w:t> </w:t>
      </w:r>
      <w:r>
        <w:rPr>
          <w:color w:val="231F20"/>
          <w:w w:val="120"/>
          <w:sz w:val="17"/>
        </w:rPr>
        <w:t>bruit,</w:t>
      </w:r>
      <w:r>
        <w:rPr>
          <w:color w:val="231F20"/>
          <w:spacing w:val="-9"/>
          <w:w w:val="120"/>
          <w:sz w:val="17"/>
        </w:rPr>
        <w:t> </w:t>
      </w:r>
      <w:r>
        <w:rPr>
          <w:color w:val="231F20"/>
          <w:w w:val="120"/>
          <w:sz w:val="17"/>
        </w:rPr>
        <w:t>les</w:t>
      </w:r>
      <w:r>
        <w:rPr>
          <w:color w:val="231F20"/>
          <w:spacing w:val="-9"/>
          <w:w w:val="120"/>
          <w:sz w:val="17"/>
        </w:rPr>
        <w:t> </w:t>
      </w:r>
      <w:r>
        <w:rPr>
          <w:color w:val="231F20"/>
          <w:w w:val="120"/>
          <w:sz w:val="17"/>
        </w:rPr>
        <w:t>vibrations, l’organisation</w:t>
      </w:r>
      <w:r>
        <w:rPr>
          <w:color w:val="231F20"/>
          <w:spacing w:val="-15"/>
          <w:w w:val="120"/>
          <w:sz w:val="17"/>
        </w:rPr>
        <w:t> </w:t>
      </w:r>
      <w:r>
        <w:rPr>
          <w:color w:val="231F20"/>
          <w:w w:val="120"/>
          <w:sz w:val="17"/>
        </w:rPr>
        <w:t>spatiale</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lieux,</w:t>
      </w:r>
      <w:r>
        <w:rPr>
          <w:color w:val="231F20"/>
          <w:spacing w:val="-12"/>
          <w:w w:val="120"/>
          <w:sz w:val="17"/>
        </w:rPr>
        <w:t> </w:t>
      </w:r>
      <w:r>
        <w:rPr>
          <w:color w:val="231F20"/>
          <w:w w:val="120"/>
          <w:sz w:val="17"/>
        </w:rPr>
        <w:t>les</w:t>
      </w:r>
      <w:r>
        <w:rPr>
          <w:color w:val="231F20"/>
          <w:spacing w:val="-13"/>
          <w:w w:val="120"/>
          <w:sz w:val="17"/>
        </w:rPr>
        <w:t> </w:t>
      </w:r>
      <w:r>
        <w:rPr>
          <w:color w:val="231F20"/>
          <w:w w:val="120"/>
          <w:sz w:val="17"/>
        </w:rPr>
        <w:t>risques</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contamination,</w:t>
      </w:r>
      <w:r>
        <w:rPr>
          <w:color w:val="231F20"/>
          <w:spacing w:val="-12"/>
          <w:w w:val="120"/>
          <w:sz w:val="17"/>
        </w:rPr>
        <w:t> </w:t>
      </w:r>
      <w:r>
        <w:rPr>
          <w:color w:val="231F20"/>
          <w:w w:val="120"/>
          <w:sz w:val="17"/>
        </w:rPr>
        <w:t>les</w:t>
      </w:r>
      <w:r>
        <w:rPr>
          <w:color w:val="231F20"/>
          <w:w w:val="120"/>
          <w:sz w:val="17"/>
        </w:rPr>
        <w:t> risques d’accident de travail et de maladies professionnelles.</w:t>
      </w:r>
    </w:p>
    <w:p>
      <w:pPr>
        <w:pStyle w:val="ListParagraph"/>
        <w:numPr>
          <w:ilvl w:val="3"/>
          <w:numId w:val="17"/>
        </w:numPr>
        <w:tabs>
          <w:tab w:pos="1721" w:val="left" w:leader="none"/>
        </w:tabs>
        <w:spacing w:line="307" w:lineRule="auto" w:before="59" w:after="0"/>
        <w:ind w:left="1720" w:right="107" w:hanging="251"/>
        <w:jc w:val="both"/>
        <w:rPr>
          <w:sz w:val="17"/>
        </w:rPr>
      </w:pPr>
      <w:r>
        <w:rPr>
          <w:b/>
          <w:color w:val="231F20"/>
          <w:w w:val="115"/>
          <w:sz w:val="17"/>
        </w:rPr>
        <w:t>Les stresseurs</w:t>
      </w:r>
      <w:r>
        <w:rPr>
          <w:b/>
          <w:color w:val="231F20"/>
          <w:spacing w:val="-4"/>
          <w:w w:val="115"/>
          <w:sz w:val="17"/>
        </w:rPr>
        <w:t> </w:t>
      </w:r>
      <w:r>
        <w:rPr>
          <w:b/>
          <w:color w:val="231F20"/>
          <w:w w:val="115"/>
          <w:sz w:val="17"/>
        </w:rPr>
        <w:t>individuels</w:t>
      </w:r>
      <w:r>
        <w:rPr>
          <w:color w:val="231F20"/>
          <w:w w:val="115"/>
          <w:sz w:val="17"/>
        </w:rPr>
        <w:t>. La surcharge de travail, les conflits de </w:t>
      </w:r>
      <w:r>
        <w:rPr>
          <w:color w:val="231F20"/>
          <w:w w:val="120"/>
          <w:sz w:val="17"/>
        </w:rPr>
        <w:t>rôles,</w:t>
      </w:r>
      <w:r>
        <w:rPr>
          <w:color w:val="231F20"/>
          <w:spacing w:val="-11"/>
          <w:w w:val="120"/>
          <w:sz w:val="17"/>
        </w:rPr>
        <w:t> </w:t>
      </w:r>
      <w:r>
        <w:rPr>
          <w:color w:val="231F20"/>
          <w:w w:val="120"/>
          <w:sz w:val="17"/>
        </w:rPr>
        <w:t>l’ambiguïté</w:t>
      </w:r>
      <w:r>
        <w:rPr>
          <w:color w:val="231F20"/>
          <w:spacing w:val="-11"/>
          <w:w w:val="120"/>
          <w:sz w:val="17"/>
        </w:rPr>
        <w:t> </w:t>
      </w:r>
      <w:r>
        <w:rPr>
          <w:color w:val="231F20"/>
          <w:w w:val="120"/>
          <w:sz w:val="17"/>
        </w:rPr>
        <w:t>des</w:t>
      </w:r>
      <w:r>
        <w:rPr>
          <w:color w:val="231F20"/>
          <w:spacing w:val="-11"/>
          <w:w w:val="120"/>
          <w:sz w:val="17"/>
        </w:rPr>
        <w:t> </w:t>
      </w:r>
      <w:r>
        <w:rPr>
          <w:color w:val="231F20"/>
          <w:w w:val="120"/>
          <w:sz w:val="17"/>
        </w:rPr>
        <w:t>rôles,</w:t>
      </w:r>
      <w:r>
        <w:rPr>
          <w:color w:val="231F20"/>
          <w:spacing w:val="-11"/>
          <w:w w:val="120"/>
          <w:sz w:val="17"/>
        </w:rPr>
        <w:t> </w:t>
      </w:r>
      <w:r>
        <w:rPr>
          <w:color w:val="231F20"/>
          <w:w w:val="120"/>
          <w:sz w:val="17"/>
        </w:rPr>
        <w:t>les</w:t>
      </w:r>
      <w:r>
        <w:rPr>
          <w:color w:val="231F20"/>
          <w:spacing w:val="-11"/>
          <w:w w:val="120"/>
          <w:sz w:val="17"/>
        </w:rPr>
        <w:t> </w:t>
      </w:r>
      <w:r>
        <w:rPr>
          <w:color w:val="231F20"/>
          <w:w w:val="120"/>
          <w:sz w:val="17"/>
        </w:rPr>
        <w:t>possibilités</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développement,</w:t>
      </w:r>
      <w:r>
        <w:rPr>
          <w:color w:val="231F20"/>
          <w:spacing w:val="-11"/>
          <w:w w:val="120"/>
          <w:sz w:val="17"/>
        </w:rPr>
        <w:t> </w:t>
      </w:r>
      <w:r>
        <w:rPr>
          <w:color w:val="231F20"/>
          <w:w w:val="120"/>
          <w:sz w:val="17"/>
        </w:rPr>
        <w:t>la rencontre des aspirations professionnelles.</w:t>
      </w:r>
    </w:p>
    <w:p>
      <w:pPr>
        <w:pStyle w:val="ListParagraph"/>
        <w:numPr>
          <w:ilvl w:val="3"/>
          <w:numId w:val="17"/>
        </w:numPr>
        <w:tabs>
          <w:tab w:pos="1721" w:val="left" w:leader="none"/>
        </w:tabs>
        <w:spacing w:line="307" w:lineRule="auto" w:before="59" w:after="0"/>
        <w:ind w:left="1720" w:right="105" w:hanging="251"/>
        <w:jc w:val="both"/>
        <w:rPr>
          <w:sz w:val="17"/>
        </w:rPr>
      </w:pPr>
      <w:r>
        <w:rPr>
          <w:b/>
          <w:color w:val="231F20"/>
          <w:w w:val="115"/>
          <w:sz w:val="17"/>
        </w:rPr>
        <w:t>Les stresseurs relationnels</w:t>
      </w:r>
      <w:r>
        <w:rPr>
          <w:color w:val="231F20"/>
          <w:w w:val="115"/>
          <w:sz w:val="17"/>
        </w:rPr>
        <w:t>. Le manque de cohésion, les conflits interpersonnels,</w:t>
      </w:r>
      <w:r>
        <w:rPr>
          <w:color w:val="231F20"/>
          <w:spacing w:val="-13"/>
          <w:w w:val="115"/>
          <w:sz w:val="17"/>
        </w:rPr>
        <w:t> </w:t>
      </w:r>
      <w:r>
        <w:rPr>
          <w:color w:val="231F20"/>
          <w:w w:val="115"/>
          <w:sz w:val="17"/>
        </w:rPr>
        <w:t>les</w:t>
      </w:r>
      <w:r>
        <w:rPr>
          <w:color w:val="231F20"/>
          <w:spacing w:val="-12"/>
          <w:w w:val="115"/>
          <w:sz w:val="17"/>
        </w:rPr>
        <w:t> </w:t>
      </w:r>
      <w:r>
        <w:rPr>
          <w:color w:val="231F20"/>
          <w:w w:val="115"/>
          <w:sz w:val="17"/>
        </w:rPr>
        <w:t>pressions</w:t>
      </w:r>
      <w:r>
        <w:rPr>
          <w:color w:val="231F20"/>
          <w:spacing w:val="-12"/>
          <w:w w:val="115"/>
          <w:sz w:val="17"/>
        </w:rPr>
        <w:t> </w:t>
      </w:r>
      <w:r>
        <w:rPr>
          <w:color w:val="231F20"/>
          <w:w w:val="115"/>
          <w:sz w:val="17"/>
        </w:rPr>
        <w:t>exercées</w:t>
      </w:r>
      <w:r>
        <w:rPr>
          <w:color w:val="231F20"/>
          <w:spacing w:val="-12"/>
          <w:w w:val="115"/>
          <w:sz w:val="17"/>
        </w:rPr>
        <w:t> </w:t>
      </w:r>
      <w:r>
        <w:rPr>
          <w:color w:val="231F20"/>
          <w:w w:val="115"/>
          <w:sz w:val="17"/>
        </w:rPr>
        <w:t>par</w:t>
      </w:r>
      <w:r>
        <w:rPr>
          <w:color w:val="231F20"/>
          <w:spacing w:val="-13"/>
          <w:w w:val="115"/>
          <w:sz w:val="17"/>
        </w:rPr>
        <w:t> </w:t>
      </w:r>
      <w:r>
        <w:rPr>
          <w:color w:val="231F20"/>
          <w:w w:val="115"/>
          <w:sz w:val="17"/>
        </w:rPr>
        <w:t>le</w:t>
      </w:r>
      <w:r>
        <w:rPr>
          <w:color w:val="231F20"/>
          <w:spacing w:val="-12"/>
          <w:w w:val="115"/>
          <w:sz w:val="17"/>
        </w:rPr>
        <w:t> </w:t>
      </w:r>
      <w:r>
        <w:rPr>
          <w:color w:val="231F20"/>
          <w:w w:val="115"/>
          <w:sz w:val="17"/>
        </w:rPr>
        <w:t>groupe,</w:t>
      </w:r>
      <w:r>
        <w:rPr>
          <w:color w:val="231F20"/>
          <w:spacing w:val="-12"/>
          <w:w w:val="115"/>
          <w:sz w:val="17"/>
        </w:rPr>
        <w:t> </w:t>
      </w:r>
      <w:r>
        <w:rPr>
          <w:color w:val="231F20"/>
          <w:w w:val="115"/>
          <w:sz w:val="17"/>
        </w:rPr>
        <w:t>le</w:t>
      </w:r>
      <w:r>
        <w:rPr>
          <w:color w:val="231F20"/>
          <w:spacing w:val="-12"/>
          <w:w w:val="115"/>
          <w:sz w:val="17"/>
        </w:rPr>
        <w:t> </w:t>
      </w:r>
      <w:r>
        <w:rPr>
          <w:color w:val="231F20"/>
          <w:w w:val="115"/>
          <w:sz w:val="17"/>
        </w:rPr>
        <w:t>harcèlement </w:t>
      </w:r>
      <w:r>
        <w:rPr>
          <w:color w:val="231F20"/>
          <w:w w:val="120"/>
          <w:sz w:val="17"/>
        </w:rPr>
        <w:t>psychologique et la violence au travail.</w:t>
      </w:r>
    </w:p>
    <w:p>
      <w:pPr>
        <w:pStyle w:val="ListParagraph"/>
        <w:numPr>
          <w:ilvl w:val="3"/>
          <w:numId w:val="17"/>
        </w:numPr>
        <w:tabs>
          <w:tab w:pos="1721" w:val="left" w:leader="none"/>
        </w:tabs>
        <w:spacing w:line="307" w:lineRule="auto" w:before="59" w:after="0"/>
        <w:ind w:left="1720" w:right="101" w:hanging="251"/>
        <w:jc w:val="both"/>
        <w:rPr>
          <w:sz w:val="17"/>
        </w:rPr>
      </w:pPr>
      <w:r>
        <w:rPr>
          <w:b/>
          <w:color w:val="231F20"/>
          <w:w w:val="120"/>
          <w:sz w:val="17"/>
        </w:rPr>
        <w:t>Les stresseurs contextuels</w:t>
      </w:r>
      <w:r>
        <w:rPr>
          <w:color w:val="231F20"/>
          <w:w w:val="120"/>
          <w:sz w:val="17"/>
        </w:rPr>
        <w:t>.</w:t>
      </w:r>
      <w:r>
        <w:rPr>
          <w:color w:val="231F20"/>
          <w:w w:val="120"/>
          <w:sz w:val="17"/>
        </w:rPr>
        <w:t> Le</w:t>
      </w:r>
      <w:r>
        <w:rPr>
          <w:color w:val="231F20"/>
          <w:w w:val="120"/>
          <w:sz w:val="17"/>
        </w:rPr>
        <w:t> climat</w:t>
      </w:r>
      <w:r>
        <w:rPr>
          <w:color w:val="231F20"/>
          <w:w w:val="120"/>
          <w:sz w:val="17"/>
        </w:rPr>
        <w:t> de</w:t>
      </w:r>
      <w:r>
        <w:rPr>
          <w:color w:val="231F20"/>
          <w:w w:val="120"/>
          <w:sz w:val="17"/>
        </w:rPr>
        <w:t> travail,</w:t>
      </w:r>
      <w:r>
        <w:rPr>
          <w:color w:val="231F20"/>
          <w:w w:val="120"/>
          <w:sz w:val="17"/>
        </w:rPr>
        <w:t> la</w:t>
      </w:r>
      <w:r>
        <w:rPr>
          <w:color w:val="231F20"/>
          <w:w w:val="120"/>
          <w:sz w:val="17"/>
        </w:rPr>
        <w:t> taille</w:t>
      </w:r>
      <w:r>
        <w:rPr>
          <w:color w:val="231F20"/>
          <w:w w:val="120"/>
          <w:sz w:val="17"/>
        </w:rPr>
        <w:t> de l’organisation</w:t>
      </w:r>
      <w:r>
        <w:rPr>
          <w:color w:val="231F20"/>
          <w:spacing w:val="-12"/>
          <w:w w:val="120"/>
          <w:sz w:val="17"/>
        </w:rPr>
        <w:t> </w:t>
      </w:r>
      <w:r>
        <w:rPr>
          <w:color w:val="231F20"/>
          <w:w w:val="120"/>
          <w:sz w:val="17"/>
        </w:rPr>
        <w:t>et</w:t>
      </w:r>
      <w:r>
        <w:rPr>
          <w:color w:val="231F20"/>
          <w:spacing w:val="-12"/>
          <w:w w:val="120"/>
          <w:sz w:val="17"/>
        </w:rPr>
        <w:t> </w:t>
      </w:r>
      <w:r>
        <w:rPr>
          <w:color w:val="231F20"/>
          <w:w w:val="120"/>
          <w:sz w:val="17"/>
        </w:rPr>
        <w:t>son</w:t>
      </w:r>
      <w:r>
        <w:rPr>
          <w:color w:val="231F20"/>
          <w:spacing w:val="-12"/>
          <w:w w:val="120"/>
          <w:sz w:val="17"/>
        </w:rPr>
        <w:t> </w:t>
      </w:r>
      <w:r>
        <w:rPr>
          <w:color w:val="231F20"/>
          <w:w w:val="120"/>
          <w:sz w:val="17"/>
        </w:rPr>
        <w:t>style</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gestion,</w:t>
      </w:r>
      <w:r>
        <w:rPr>
          <w:color w:val="231F20"/>
          <w:spacing w:val="-12"/>
          <w:w w:val="120"/>
          <w:sz w:val="17"/>
        </w:rPr>
        <w:t> </w:t>
      </w:r>
      <w:r>
        <w:rPr>
          <w:color w:val="231F20"/>
          <w:w w:val="120"/>
          <w:sz w:val="17"/>
        </w:rPr>
        <w:t>la</w:t>
      </w:r>
      <w:r>
        <w:rPr>
          <w:color w:val="231F20"/>
          <w:spacing w:val="-12"/>
          <w:w w:val="120"/>
          <w:sz w:val="17"/>
        </w:rPr>
        <w:t> </w:t>
      </w:r>
      <w:r>
        <w:rPr>
          <w:color w:val="231F20"/>
          <w:w w:val="120"/>
          <w:sz w:val="17"/>
        </w:rPr>
        <w:t>structure</w:t>
      </w:r>
      <w:r>
        <w:rPr>
          <w:color w:val="231F20"/>
          <w:spacing w:val="-12"/>
          <w:w w:val="120"/>
          <w:sz w:val="17"/>
        </w:rPr>
        <w:t> </w:t>
      </w:r>
      <w:r>
        <w:rPr>
          <w:color w:val="231F20"/>
          <w:w w:val="120"/>
          <w:sz w:val="17"/>
        </w:rPr>
        <w:t>hiérarchique,</w:t>
      </w:r>
      <w:r>
        <w:rPr>
          <w:color w:val="231F20"/>
          <w:spacing w:val="-12"/>
          <w:w w:val="120"/>
          <w:sz w:val="17"/>
        </w:rPr>
        <w:t> </w:t>
      </w:r>
      <w:r>
        <w:rPr>
          <w:color w:val="231F20"/>
          <w:w w:val="120"/>
          <w:sz w:val="17"/>
        </w:rPr>
        <w:t>la technologie, la culture organisationnelle.</w:t>
      </w:r>
    </w:p>
    <w:p>
      <w:pPr>
        <w:pStyle w:val="BodyText"/>
        <w:spacing w:before="8"/>
        <w:rPr>
          <w:sz w:val="21"/>
        </w:rPr>
      </w:pPr>
    </w:p>
    <w:p>
      <w:pPr>
        <w:pStyle w:val="BodyText"/>
        <w:spacing w:line="307" w:lineRule="auto"/>
        <w:ind w:left="1220" w:right="106"/>
        <w:jc w:val="both"/>
      </w:pPr>
      <w:r>
        <w:rPr>
          <w:b/>
          <w:color w:val="231F20"/>
          <w:w w:val="120"/>
        </w:rPr>
        <w:t>Les</w:t>
      </w:r>
      <w:r>
        <w:rPr>
          <w:b/>
          <w:color w:val="231F20"/>
          <w:spacing w:val="-12"/>
          <w:w w:val="120"/>
        </w:rPr>
        <w:t> </w:t>
      </w:r>
      <w:r>
        <w:rPr>
          <w:b/>
          <w:color w:val="231F20"/>
          <w:w w:val="120"/>
        </w:rPr>
        <w:t>stresseurs</w:t>
      </w:r>
      <w:r>
        <w:rPr>
          <w:b/>
          <w:color w:val="231F20"/>
          <w:spacing w:val="-12"/>
          <w:w w:val="120"/>
        </w:rPr>
        <w:t> </w:t>
      </w:r>
      <w:r>
        <w:rPr>
          <w:b/>
          <w:color w:val="231F20"/>
          <w:w w:val="120"/>
        </w:rPr>
        <w:t>physiques</w:t>
      </w:r>
      <w:r>
        <w:rPr>
          <w:color w:val="231F20"/>
          <w:w w:val="120"/>
        </w:rPr>
        <w:t>.</w:t>
      </w:r>
      <w:r>
        <w:rPr>
          <w:color w:val="231F20"/>
          <w:spacing w:val="-9"/>
          <w:w w:val="120"/>
        </w:rPr>
        <w:t> </w:t>
      </w:r>
      <w:r>
        <w:rPr>
          <w:color w:val="231F20"/>
          <w:w w:val="120"/>
        </w:rPr>
        <w:t>Ces</w:t>
      </w:r>
      <w:r>
        <w:rPr>
          <w:color w:val="231F20"/>
          <w:spacing w:val="-9"/>
          <w:w w:val="120"/>
        </w:rPr>
        <w:t> </w:t>
      </w:r>
      <w:r>
        <w:rPr>
          <w:color w:val="231F20"/>
          <w:w w:val="120"/>
        </w:rPr>
        <w:t>facteurs</w:t>
      </w:r>
      <w:r>
        <w:rPr>
          <w:color w:val="231F20"/>
          <w:spacing w:val="-9"/>
          <w:w w:val="120"/>
        </w:rPr>
        <w:t> </w:t>
      </w:r>
      <w:r>
        <w:rPr>
          <w:color w:val="231F20"/>
          <w:w w:val="120"/>
        </w:rPr>
        <w:t>exigent</w:t>
      </w:r>
      <w:r>
        <w:rPr>
          <w:color w:val="231F20"/>
          <w:spacing w:val="-9"/>
          <w:w w:val="120"/>
        </w:rPr>
        <w:t> </w:t>
      </w:r>
      <w:r>
        <w:rPr>
          <w:color w:val="231F20"/>
          <w:w w:val="120"/>
        </w:rPr>
        <w:t>une</w:t>
      </w:r>
      <w:r>
        <w:rPr>
          <w:color w:val="231F20"/>
          <w:spacing w:val="-9"/>
          <w:w w:val="120"/>
        </w:rPr>
        <w:t> </w:t>
      </w:r>
      <w:r>
        <w:rPr>
          <w:color w:val="231F20"/>
          <w:w w:val="120"/>
        </w:rPr>
        <w:t>adaptation</w:t>
      </w:r>
      <w:r>
        <w:rPr>
          <w:color w:val="231F20"/>
          <w:spacing w:val="-9"/>
          <w:w w:val="120"/>
        </w:rPr>
        <w:t> </w:t>
      </w:r>
      <w:r>
        <w:rPr>
          <w:color w:val="231F20"/>
          <w:w w:val="120"/>
        </w:rPr>
        <w:t>double, </w:t>
      </w:r>
      <w:r>
        <w:rPr>
          <w:color w:val="231F20"/>
          <w:w w:val="115"/>
        </w:rPr>
        <w:t>à</w:t>
      </w:r>
      <w:r>
        <w:rPr>
          <w:color w:val="231F20"/>
          <w:spacing w:val="-11"/>
          <w:w w:val="115"/>
        </w:rPr>
        <w:t> </w:t>
      </w:r>
      <w:r>
        <w:rPr>
          <w:color w:val="231F20"/>
          <w:w w:val="115"/>
        </w:rPr>
        <w:t>la</w:t>
      </w:r>
      <w:r>
        <w:rPr>
          <w:color w:val="231F20"/>
          <w:spacing w:val="-11"/>
          <w:w w:val="115"/>
        </w:rPr>
        <w:t> </w:t>
      </w:r>
      <w:r>
        <w:rPr>
          <w:color w:val="231F20"/>
          <w:w w:val="115"/>
        </w:rPr>
        <w:t>fois</w:t>
      </w:r>
      <w:r>
        <w:rPr>
          <w:color w:val="231F20"/>
          <w:spacing w:val="-11"/>
          <w:w w:val="115"/>
        </w:rPr>
        <w:t> </w:t>
      </w:r>
      <w:r>
        <w:rPr>
          <w:color w:val="231F20"/>
          <w:w w:val="115"/>
        </w:rPr>
        <w:t>sur</w:t>
      </w:r>
      <w:r>
        <w:rPr>
          <w:color w:val="231F20"/>
          <w:spacing w:val="-11"/>
          <w:w w:val="115"/>
        </w:rPr>
        <w:t> </w:t>
      </w:r>
      <w:r>
        <w:rPr>
          <w:color w:val="231F20"/>
          <w:w w:val="115"/>
        </w:rPr>
        <w:t>les</w:t>
      </w:r>
      <w:r>
        <w:rPr>
          <w:color w:val="231F20"/>
          <w:spacing w:val="-11"/>
          <w:w w:val="115"/>
        </w:rPr>
        <w:t> </w:t>
      </w:r>
      <w:r>
        <w:rPr>
          <w:color w:val="231F20"/>
          <w:w w:val="115"/>
        </w:rPr>
        <w:t>plans</w:t>
      </w:r>
      <w:r>
        <w:rPr>
          <w:color w:val="231F20"/>
          <w:spacing w:val="-11"/>
          <w:w w:val="115"/>
        </w:rPr>
        <w:t> </w:t>
      </w:r>
      <w:r>
        <w:rPr>
          <w:color w:val="231F20"/>
          <w:w w:val="115"/>
        </w:rPr>
        <w:t>physique</w:t>
      </w:r>
      <w:r>
        <w:rPr>
          <w:color w:val="231F20"/>
          <w:spacing w:val="-11"/>
          <w:w w:val="115"/>
        </w:rPr>
        <w:t> </w:t>
      </w:r>
      <w:r>
        <w:rPr>
          <w:color w:val="231F20"/>
          <w:w w:val="115"/>
        </w:rPr>
        <w:t>et</w:t>
      </w:r>
      <w:r>
        <w:rPr>
          <w:color w:val="231F20"/>
          <w:spacing w:val="-11"/>
          <w:w w:val="115"/>
        </w:rPr>
        <w:t> </w:t>
      </w:r>
      <w:r>
        <w:rPr>
          <w:color w:val="231F20"/>
          <w:w w:val="115"/>
        </w:rPr>
        <w:t>psychologique.</w:t>
      </w:r>
      <w:r>
        <w:rPr>
          <w:color w:val="231F20"/>
          <w:spacing w:val="-11"/>
          <w:w w:val="115"/>
        </w:rPr>
        <w:t> </w:t>
      </w:r>
      <w:r>
        <w:rPr>
          <w:color w:val="231F20"/>
          <w:w w:val="115"/>
        </w:rPr>
        <w:t>Bien</w:t>
      </w:r>
      <w:r>
        <w:rPr>
          <w:color w:val="231F20"/>
          <w:spacing w:val="-11"/>
          <w:w w:val="115"/>
        </w:rPr>
        <w:t> </w:t>
      </w:r>
      <w:r>
        <w:rPr>
          <w:color w:val="231F20"/>
          <w:w w:val="115"/>
        </w:rPr>
        <w:t>que</w:t>
      </w:r>
      <w:r>
        <w:rPr>
          <w:color w:val="231F20"/>
          <w:spacing w:val="-11"/>
          <w:w w:val="115"/>
        </w:rPr>
        <w:t> </w:t>
      </w:r>
      <w:r>
        <w:rPr>
          <w:color w:val="231F20"/>
          <w:w w:val="115"/>
        </w:rPr>
        <w:t>les</w:t>
      </w:r>
      <w:r>
        <w:rPr>
          <w:color w:val="231F20"/>
          <w:spacing w:val="-11"/>
          <w:w w:val="115"/>
        </w:rPr>
        <w:t> </w:t>
      </w:r>
      <w:r>
        <w:rPr>
          <w:color w:val="231F20"/>
          <w:w w:val="115"/>
        </w:rPr>
        <w:t>lois</w:t>
      </w:r>
      <w:r>
        <w:rPr>
          <w:color w:val="231F20"/>
          <w:spacing w:val="-11"/>
          <w:w w:val="115"/>
        </w:rPr>
        <w:t> </w:t>
      </w:r>
      <w:r>
        <w:rPr>
          <w:color w:val="231F20"/>
          <w:w w:val="115"/>
        </w:rPr>
        <w:t>régulant </w:t>
      </w:r>
      <w:r>
        <w:rPr>
          <w:color w:val="231F20"/>
          <w:w w:val="120"/>
        </w:rPr>
        <w:t>la</w:t>
      </w:r>
      <w:r>
        <w:rPr>
          <w:color w:val="231F20"/>
          <w:spacing w:val="-13"/>
          <w:w w:val="120"/>
        </w:rPr>
        <w:t> </w:t>
      </w:r>
      <w:r>
        <w:rPr>
          <w:color w:val="231F20"/>
          <w:w w:val="120"/>
        </w:rPr>
        <w:t>santé</w:t>
      </w:r>
      <w:r>
        <w:rPr>
          <w:color w:val="231F20"/>
          <w:spacing w:val="-13"/>
          <w:w w:val="120"/>
        </w:rPr>
        <w:t> </w:t>
      </w:r>
      <w:r>
        <w:rPr>
          <w:color w:val="231F20"/>
          <w:w w:val="120"/>
        </w:rPr>
        <w:t>et</w:t>
      </w:r>
      <w:r>
        <w:rPr>
          <w:color w:val="231F20"/>
          <w:spacing w:val="-12"/>
          <w:w w:val="120"/>
        </w:rPr>
        <w:t> </w:t>
      </w:r>
      <w:r>
        <w:rPr>
          <w:color w:val="231F20"/>
          <w:w w:val="120"/>
        </w:rPr>
        <w:t>la</w:t>
      </w:r>
      <w:r>
        <w:rPr>
          <w:color w:val="231F20"/>
          <w:spacing w:val="-13"/>
          <w:w w:val="120"/>
        </w:rPr>
        <w:t> </w:t>
      </w:r>
      <w:r>
        <w:rPr>
          <w:color w:val="231F20"/>
          <w:w w:val="120"/>
        </w:rPr>
        <w:t>sécurité</w:t>
      </w:r>
      <w:r>
        <w:rPr>
          <w:color w:val="231F20"/>
          <w:spacing w:val="-13"/>
          <w:w w:val="120"/>
        </w:rPr>
        <w:t> </w:t>
      </w:r>
      <w:r>
        <w:rPr>
          <w:color w:val="231F20"/>
          <w:w w:val="120"/>
        </w:rPr>
        <w:t>au</w:t>
      </w:r>
      <w:r>
        <w:rPr>
          <w:color w:val="231F20"/>
          <w:spacing w:val="-12"/>
          <w:w w:val="120"/>
        </w:rPr>
        <w:t> </w:t>
      </w:r>
      <w:r>
        <w:rPr>
          <w:color w:val="231F20"/>
          <w:w w:val="120"/>
        </w:rPr>
        <w:t>travail</w:t>
      </w:r>
      <w:r>
        <w:rPr>
          <w:color w:val="231F20"/>
          <w:spacing w:val="-13"/>
          <w:w w:val="120"/>
        </w:rPr>
        <w:t> </w:t>
      </w:r>
      <w:r>
        <w:rPr>
          <w:color w:val="231F20"/>
          <w:w w:val="120"/>
        </w:rPr>
        <w:t>aient</w:t>
      </w:r>
      <w:r>
        <w:rPr>
          <w:color w:val="231F20"/>
          <w:spacing w:val="-13"/>
          <w:w w:val="120"/>
        </w:rPr>
        <w:t> </w:t>
      </w:r>
      <w:r>
        <w:rPr>
          <w:color w:val="231F20"/>
          <w:w w:val="120"/>
        </w:rPr>
        <w:t>largement</w:t>
      </w:r>
      <w:r>
        <w:rPr>
          <w:color w:val="231F20"/>
          <w:spacing w:val="-12"/>
          <w:w w:val="120"/>
        </w:rPr>
        <w:t> </w:t>
      </w:r>
      <w:r>
        <w:rPr>
          <w:color w:val="231F20"/>
          <w:w w:val="120"/>
        </w:rPr>
        <w:t>limité</w:t>
      </w:r>
      <w:r>
        <w:rPr>
          <w:color w:val="231F20"/>
          <w:spacing w:val="-13"/>
          <w:w w:val="120"/>
        </w:rPr>
        <w:t> </w:t>
      </w:r>
      <w:r>
        <w:rPr>
          <w:color w:val="231F20"/>
          <w:w w:val="120"/>
        </w:rPr>
        <w:t>la</w:t>
      </w:r>
      <w:r>
        <w:rPr>
          <w:color w:val="231F20"/>
          <w:spacing w:val="-13"/>
          <w:w w:val="120"/>
        </w:rPr>
        <w:t> </w:t>
      </w:r>
      <w:r>
        <w:rPr>
          <w:color w:val="231F20"/>
          <w:w w:val="120"/>
        </w:rPr>
        <w:t>présence</w:t>
      </w:r>
      <w:r>
        <w:rPr>
          <w:color w:val="231F20"/>
          <w:spacing w:val="-12"/>
          <w:w w:val="120"/>
        </w:rPr>
        <w:t> </w:t>
      </w:r>
      <w:r>
        <w:rPr>
          <w:color w:val="231F20"/>
          <w:w w:val="120"/>
        </w:rPr>
        <w:t>de</w:t>
      </w:r>
      <w:r>
        <w:rPr>
          <w:color w:val="231F20"/>
          <w:spacing w:val="-13"/>
          <w:w w:val="120"/>
        </w:rPr>
        <w:t> </w:t>
      </w:r>
      <w:r>
        <w:rPr>
          <w:color w:val="231F20"/>
          <w:w w:val="120"/>
        </w:rPr>
        <w:t>ces </w:t>
      </w:r>
      <w:r>
        <w:rPr>
          <w:color w:val="231F20"/>
          <w:spacing w:val="-2"/>
          <w:w w:val="120"/>
        </w:rPr>
        <w:t>stresseurs</w:t>
      </w:r>
      <w:r>
        <w:rPr>
          <w:color w:val="231F20"/>
          <w:spacing w:val="-9"/>
          <w:w w:val="120"/>
        </w:rPr>
        <w:t> </w:t>
      </w:r>
      <w:r>
        <w:rPr>
          <w:color w:val="231F20"/>
          <w:spacing w:val="-2"/>
          <w:w w:val="120"/>
        </w:rPr>
        <w:t>dans</w:t>
      </w:r>
      <w:r>
        <w:rPr>
          <w:color w:val="231F20"/>
          <w:spacing w:val="-9"/>
          <w:w w:val="120"/>
        </w:rPr>
        <w:t> </w:t>
      </w:r>
      <w:r>
        <w:rPr>
          <w:color w:val="231F20"/>
          <w:spacing w:val="-2"/>
          <w:w w:val="120"/>
        </w:rPr>
        <w:t>l’environnement</w:t>
      </w:r>
      <w:r>
        <w:rPr>
          <w:color w:val="231F20"/>
          <w:spacing w:val="-9"/>
          <w:w w:val="120"/>
        </w:rPr>
        <w:t> </w:t>
      </w:r>
      <w:r>
        <w:rPr>
          <w:color w:val="231F20"/>
          <w:spacing w:val="-2"/>
          <w:w w:val="120"/>
        </w:rPr>
        <w:t>de</w:t>
      </w:r>
      <w:r>
        <w:rPr>
          <w:color w:val="231F20"/>
          <w:spacing w:val="-9"/>
          <w:w w:val="120"/>
        </w:rPr>
        <w:t> </w:t>
      </w:r>
      <w:r>
        <w:rPr>
          <w:color w:val="231F20"/>
          <w:spacing w:val="-2"/>
          <w:w w:val="120"/>
        </w:rPr>
        <w:t>travail,</w:t>
      </w:r>
      <w:r>
        <w:rPr>
          <w:color w:val="231F20"/>
          <w:spacing w:val="-9"/>
          <w:w w:val="120"/>
        </w:rPr>
        <w:t> </w:t>
      </w:r>
      <w:r>
        <w:rPr>
          <w:color w:val="231F20"/>
          <w:spacing w:val="-2"/>
          <w:w w:val="120"/>
        </w:rPr>
        <w:t>il</w:t>
      </w:r>
      <w:r>
        <w:rPr>
          <w:color w:val="231F20"/>
          <w:spacing w:val="-9"/>
          <w:w w:val="120"/>
        </w:rPr>
        <w:t> </w:t>
      </w:r>
      <w:r>
        <w:rPr>
          <w:color w:val="231F20"/>
          <w:spacing w:val="-2"/>
          <w:w w:val="120"/>
        </w:rPr>
        <w:t>demeure</w:t>
      </w:r>
      <w:r>
        <w:rPr>
          <w:color w:val="231F20"/>
          <w:spacing w:val="-9"/>
          <w:w w:val="120"/>
        </w:rPr>
        <w:t> </w:t>
      </w:r>
      <w:r>
        <w:rPr>
          <w:color w:val="231F20"/>
          <w:spacing w:val="-2"/>
          <w:w w:val="120"/>
        </w:rPr>
        <w:t>que</w:t>
      </w:r>
      <w:r>
        <w:rPr>
          <w:color w:val="231F20"/>
          <w:spacing w:val="-9"/>
          <w:w w:val="120"/>
        </w:rPr>
        <w:t> </w:t>
      </w:r>
      <w:r>
        <w:rPr>
          <w:color w:val="231F20"/>
          <w:spacing w:val="-2"/>
          <w:w w:val="120"/>
        </w:rPr>
        <w:t>certains</w:t>
      </w:r>
      <w:r>
        <w:rPr>
          <w:color w:val="231F20"/>
          <w:spacing w:val="-9"/>
          <w:w w:val="120"/>
        </w:rPr>
        <w:t> </w:t>
      </w:r>
      <w:r>
        <w:rPr>
          <w:color w:val="231F20"/>
          <w:spacing w:val="-2"/>
          <w:w w:val="120"/>
        </w:rPr>
        <w:t>types </w:t>
      </w:r>
      <w:r>
        <w:rPr>
          <w:color w:val="231F20"/>
          <w:w w:val="120"/>
        </w:rPr>
        <w:t>d’emploi</w:t>
      </w:r>
      <w:r>
        <w:rPr>
          <w:color w:val="231F20"/>
          <w:spacing w:val="-12"/>
          <w:w w:val="120"/>
        </w:rPr>
        <w:t> </w:t>
      </w:r>
      <w:r>
        <w:rPr>
          <w:color w:val="231F20"/>
          <w:w w:val="120"/>
        </w:rPr>
        <w:t>restent</w:t>
      </w:r>
      <w:r>
        <w:rPr>
          <w:color w:val="231F20"/>
          <w:spacing w:val="-12"/>
          <w:w w:val="120"/>
        </w:rPr>
        <w:t> </w:t>
      </w:r>
      <w:r>
        <w:rPr>
          <w:color w:val="231F20"/>
          <w:w w:val="120"/>
        </w:rPr>
        <w:t>propices</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présence</w:t>
      </w:r>
      <w:r>
        <w:rPr>
          <w:color w:val="231F20"/>
          <w:spacing w:val="-12"/>
          <w:w w:val="120"/>
        </w:rPr>
        <w:t> </w:t>
      </w:r>
      <w:r>
        <w:rPr>
          <w:color w:val="231F20"/>
          <w:w w:val="120"/>
        </w:rPr>
        <w:t>de</w:t>
      </w:r>
      <w:r>
        <w:rPr>
          <w:color w:val="231F20"/>
          <w:spacing w:val="-12"/>
          <w:w w:val="120"/>
        </w:rPr>
        <w:t> </w:t>
      </w:r>
      <w:r>
        <w:rPr>
          <w:color w:val="231F20"/>
          <w:w w:val="120"/>
        </w:rPr>
        <w:t>ces</w:t>
      </w:r>
      <w:r>
        <w:rPr>
          <w:color w:val="231F20"/>
          <w:spacing w:val="-12"/>
          <w:w w:val="120"/>
        </w:rPr>
        <w:t> </w:t>
      </w:r>
      <w:r>
        <w:rPr>
          <w:color w:val="231F20"/>
          <w:w w:val="120"/>
        </w:rPr>
        <w:t>derniers.</w:t>
      </w:r>
      <w:r>
        <w:rPr>
          <w:color w:val="231F20"/>
          <w:spacing w:val="-12"/>
          <w:w w:val="120"/>
        </w:rPr>
        <w:t> </w:t>
      </w:r>
      <w:r>
        <w:rPr>
          <w:color w:val="231F20"/>
          <w:w w:val="120"/>
        </w:rPr>
        <w:t>Voici</w:t>
      </w:r>
      <w:r>
        <w:rPr>
          <w:color w:val="231F20"/>
          <w:spacing w:val="-12"/>
          <w:w w:val="120"/>
        </w:rPr>
        <w:t> </w:t>
      </w:r>
      <w:r>
        <w:rPr>
          <w:color w:val="231F20"/>
          <w:w w:val="120"/>
        </w:rPr>
        <w:t>une</w:t>
      </w:r>
      <w:r>
        <w:rPr>
          <w:color w:val="231F20"/>
          <w:spacing w:val="-12"/>
          <w:w w:val="120"/>
        </w:rPr>
        <w:t> </w:t>
      </w:r>
      <w:r>
        <w:rPr>
          <w:color w:val="231F20"/>
          <w:w w:val="120"/>
        </w:rPr>
        <w:t>brève </w:t>
      </w:r>
      <w:r>
        <w:rPr>
          <w:color w:val="231F20"/>
          <w:spacing w:val="-2"/>
          <w:w w:val="120"/>
        </w:rPr>
        <w:t>description</w:t>
      </w:r>
      <w:r>
        <w:rPr>
          <w:color w:val="231F20"/>
          <w:spacing w:val="-5"/>
          <w:w w:val="120"/>
        </w:rPr>
        <w:t> </w:t>
      </w:r>
      <w:r>
        <w:rPr>
          <w:color w:val="231F20"/>
          <w:spacing w:val="-2"/>
          <w:w w:val="120"/>
        </w:rPr>
        <w:t>des</w:t>
      </w:r>
      <w:r>
        <w:rPr>
          <w:color w:val="231F20"/>
          <w:spacing w:val="-5"/>
          <w:w w:val="120"/>
        </w:rPr>
        <w:t> </w:t>
      </w:r>
      <w:r>
        <w:rPr>
          <w:color w:val="231F20"/>
          <w:spacing w:val="-2"/>
          <w:w w:val="120"/>
        </w:rPr>
        <w:t>principaux</w:t>
      </w:r>
      <w:r>
        <w:rPr>
          <w:color w:val="231F20"/>
          <w:spacing w:val="-5"/>
          <w:w w:val="120"/>
        </w:rPr>
        <w:t> </w:t>
      </w:r>
      <w:r>
        <w:rPr>
          <w:color w:val="231F20"/>
          <w:spacing w:val="-2"/>
          <w:w w:val="120"/>
        </w:rPr>
        <w:t>stresseurs</w:t>
      </w:r>
      <w:r>
        <w:rPr>
          <w:color w:val="231F20"/>
          <w:spacing w:val="-5"/>
          <w:w w:val="120"/>
        </w:rPr>
        <w:t> </w:t>
      </w:r>
      <w:r>
        <w:rPr>
          <w:color w:val="231F20"/>
          <w:spacing w:val="-2"/>
          <w:w w:val="120"/>
        </w:rPr>
        <w:t>physiques</w:t>
      </w:r>
      <w:r>
        <w:rPr>
          <w:color w:val="231F20"/>
          <w:spacing w:val="-5"/>
          <w:w w:val="120"/>
        </w:rPr>
        <w:t> </w:t>
      </w:r>
      <w:r>
        <w:rPr>
          <w:color w:val="231F20"/>
          <w:spacing w:val="-2"/>
          <w:w w:val="120"/>
        </w:rPr>
        <w:t>que</w:t>
      </w:r>
      <w:r>
        <w:rPr>
          <w:color w:val="231F20"/>
          <w:spacing w:val="-5"/>
          <w:w w:val="120"/>
        </w:rPr>
        <w:t> </w:t>
      </w:r>
      <w:r>
        <w:rPr>
          <w:color w:val="231F20"/>
          <w:spacing w:val="-2"/>
          <w:w w:val="120"/>
        </w:rPr>
        <w:t>l’on</w:t>
      </w:r>
      <w:r>
        <w:rPr>
          <w:color w:val="231F20"/>
          <w:spacing w:val="-5"/>
          <w:w w:val="120"/>
        </w:rPr>
        <w:t> </w:t>
      </w:r>
      <w:r>
        <w:rPr>
          <w:color w:val="231F20"/>
          <w:spacing w:val="-2"/>
          <w:w w:val="120"/>
        </w:rPr>
        <w:t>peut</w:t>
      </w:r>
      <w:r>
        <w:rPr>
          <w:color w:val="231F20"/>
          <w:spacing w:val="-5"/>
          <w:w w:val="120"/>
        </w:rPr>
        <w:t> </w:t>
      </w:r>
      <w:r>
        <w:rPr>
          <w:color w:val="231F20"/>
          <w:spacing w:val="-2"/>
          <w:w w:val="120"/>
        </w:rPr>
        <w:t>rencontrer </w:t>
      </w:r>
      <w:r>
        <w:rPr>
          <w:color w:val="231F20"/>
          <w:w w:val="120"/>
        </w:rPr>
        <w:t>en milieu de travail:</w:t>
      </w:r>
    </w:p>
    <w:p>
      <w:pPr>
        <w:pStyle w:val="ListParagraph"/>
        <w:numPr>
          <w:ilvl w:val="0"/>
          <w:numId w:val="38"/>
        </w:numPr>
        <w:tabs>
          <w:tab w:pos="1721" w:val="left" w:leader="none"/>
        </w:tabs>
        <w:spacing w:line="307" w:lineRule="auto" w:before="59" w:after="0"/>
        <w:ind w:left="1720" w:right="107" w:hanging="251"/>
        <w:jc w:val="both"/>
        <w:rPr>
          <w:sz w:val="17"/>
        </w:rPr>
      </w:pPr>
      <w:r>
        <w:rPr>
          <w:i/>
          <w:color w:val="231F20"/>
          <w:w w:val="115"/>
          <w:sz w:val="17"/>
        </w:rPr>
        <w:t>Une</w:t>
      </w:r>
      <w:r>
        <w:rPr>
          <w:i/>
          <w:color w:val="231F20"/>
          <w:spacing w:val="-11"/>
          <w:w w:val="115"/>
          <w:sz w:val="17"/>
        </w:rPr>
        <w:t> </w:t>
      </w:r>
      <w:r>
        <w:rPr>
          <w:i/>
          <w:color w:val="231F20"/>
          <w:w w:val="115"/>
          <w:sz w:val="17"/>
        </w:rPr>
        <w:t>luminosité</w:t>
      </w:r>
      <w:r>
        <w:rPr>
          <w:i/>
          <w:color w:val="231F20"/>
          <w:spacing w:val="-11"/>
          <w:w w:val="115"/>
          <w:sz w:val="17"/>
        </w:rPr>
        <w:t> </w:t>
      </w:r>
      <w:r>
        <w:rPr>
          <w:i/>
          <w:color w:val="231F20"/>
          <w:w w:val="115"/>
          <w:sz w:val="17"/>
        </w:rPr>
        <w:t>insuffisante</w:t>
      </w:r>
      <w:r>
        <w:rPr>
          <w:i/>
          <w:color w:val="231F20"/>
          <w:spacing w:val="-11"/>
          <w:w w:val="115"/>
          <w:sz w:val="17"/>
        </w:rPr>
        <w:t> </w:t>
      </w:r>
      <w:r>
        <w:rPr>
          <w:i/>
          <w:color w:val="231F20"/>
          <w:w w:val="115"/>
          <w:sz w:val="17"/>
        </w:rPr>
        <w:t>ou</w:t>
      </w:r>
      <w:r>
        <w:rPr>
          <w:i/>
          <w:color w:val="231F20"/>
          <w:spacing w:val="-11"/>
          <w:w w:val="115"/>
          <w:sz w:val="17"/>
        </w:rPr>
        <w:t> </w:t>
      </w:r>
      <w:r>
        <w:rPr>
          <w:i/>
          <w:color w:val="231F20"/>
          <w:w w:val="115"/>
          <w:sz w:val="17"/>
        </w:rPr>
        <w:t>excessive</w:t>
      </w:r>
      <w:r>
        <w:rPr>
          <w:color w:val="231F20"/>
          <w:w w:val="115"/>
          <w:sz w:val="17"/>
        </w:rPr>
        <w:t>.</w:t>
      </w:r>
      <w:r>
        <w:rPr>
          <w:color w:val="231F20"/>
          <w:spacing w:val="-11"/>
          <w:w w:val="115"/>
          <w:sz w:val="17"/>
        </w:rPr>
        <w:t> </w:t>
      </w:r>
      <w:r>
        <w:rPr>
          <w:color w:val="231F20"/>
          <w:w w:val="115"/>
          <w:sz w:val="17"/>
        </w:rPr>
        <w:t>Un</w:t>
      </w:r>
      <w:r>
        <w:rPr>
          <w:color w:val="231F20"/>
          <w:spacing w:val="-11"/>
          <w:w w:val="115"/>
          <w:sz w:val="17"/>
        </w:rPr>
        <w:t> </w:t>
      </w:r>
      <w:r>
        <w:rPr>
          <w:color w:val="231F20"/>
          <w:w w:val="115"/>
          <w:sz w:val="17"/>
        </w:rPr>
        <w:t>éclairage</w:t>
      </w:r>
      <w:r>
        <w:rPr>
          <w:color w:val="231F20"/>
          <w:spacing w:val="-11"/>
          <w:w w:val="115"/>
          <w:sz w:val="17"/>
        </w:rPr>
        <w:t> </w:t>
      </w:r>
      <w:r>
        <w:rPr>
          <w:color w:val="231F20"/>
          <w:w w:val="115"/>
          <w:sz w:val="17"/>
        </w:rPr>
        <w:t>inadéquat</w:t>
      </w:r>
      <w:r>
        <w:rPr>
          <w:color w:val="231F20"/>
          <w:spacing w:val="-11"/>
          <w:w w:val="115"/>
          <w:sz w:val="17"/>
        </w:rPr>
        <w:t> </w:t>
      </w:r>
      <w:r>
        <w:rPr>
          <w:color w:val="231F20"/>
          <w:w w:val="115"/>
          <w:sz w:val="17"/>
        </w:rPr>
        <w:t>au </w:t>
      </w:r>
      <w:r>
        <w:rPr>
          <w:color w:val="231F20"/>
          <w:w w:val="120"/>
          <w:sz w:val="17"/>
        </w:rPr>
        <w:t>travail</w:t>
      </w:r>
      <w:r>
        <w:rPr>
          <w:color w:val="231F20"/>
          <w:spacing w:val="-12"/>
          <w:w w:val="120"/>
          <w:sz w:val="17"/>
        </w:rPr>
        <w:t> </w:t>
      </w:r>
      <w:r>
        <w:rPr>
          <w:color w:val="231F20"/>
          <w:w w:val="120"/>
          <w:sz w:val="17"/>
        </w:rPr>
        <w:t>peut</w:t>
      </w:r>
      <w:r>
        <w:rPr>
          <w:color w:val="231F20"/>
          <w:spacing w:val="-12"/>
          <w:w w:val="120"/>
          <w:sz w:val="17"/>
        </w:rPr>
        <w:t> </w:t>
      </w:r>
      <w:r>
        <w:rPr>
          <w:color w:val="231F20"/>
          <w:w w:val="120"/>
          <w:sz w:val="17"/>
        </w:rPr>
        <w:t>avoir</w:t>
      </w:r>
      <w:r>
        <w:rPr>
          <w:color w:val="231F20"/>
          <w:spacing w:val="-12"/>
          <w:w w:val="120"/>
          <w:sz w:val="17"/>
        </w:rPr>
        <w:t> </w:t>
      </w:r>
      <w:r>
        <w:rPr>
          <w:color w:val="231F20"/>
          <w:w w:val="120"/>
          <w:sz w:val="17"/>
        </w:rPr>
        <w:t>des</w:t>
      </w:r>
      <w:r>
        <w:rPr>
          <w:color w:val="231F20"/>
          <w:spacing w:val="-12"/>
          <w:w w:val="120"/>
          <w:sz w:val="17"/>
        </w:rPr>
        <w:t> </w:t>
      </w:r>
      <w:r>
        <w:rPr>
          <w:color w:val="231F20"/>
          <w:w w:val="120"/>
          <w:sz w:val="17"/>
        </w:rPr>
        <w:t>effets</w:t>
      </w:r>
      <w:r>
        <w:rPr>
          <w:color w:val="231F20"/>
          <w:spacing w:val="-12"/>
          <w:w w:val="120"/>
          <w:sz w:val="17"/>
        </w:rPr>
        <w:t> </w:t>
      </w:r>
      <w:r>
        <w:rPr>
          <w:color w:val="231F20"/>
          <w:w w:val="120"/>
          <w:sz w:val="17"/>
        </w:rPr>
        <w:t>négatifs</w:t>
      </w:r>
      <w:r>
        <w:rPr>
          <w:color w:val="231F20"/>
          <w:spacing w:val="-12"/>
          <w:w w:val="120"/>
          <w:sz w:val="17"/>
        </w:rPr>
        <w:t> </w:t>
      </w:r>
      <w:r>
        <w:rPr>
          <w:color w:val="231F20"/>
          <w:w w:val="120"/>
          <w:sz w:val="17"/>
        </w:rPr>
        <w:t>variés:</w:t>
      </w:r>
      <w:r>
        <w:rPr>
          <w:color w:val="231F20"/>
          <w:spacing w:val="-12"/>
          <w:w w:val="120"/>
          <w:sz w:val="17"/>
        </w:rPr>
        <w:t> </w:t>
      </w:r>
      <w:r>
        <w:rPr>
          <w:color w:val="231F20"/>
          <w:w w:val="120"/>
          <w:sz w:val="17"/>
        </w:rPr>
        <w:t>une</w:t>
      </w:r>
      <w:r>
        <w:rPr>
          <w:color w:val="231F20"/>
          <w:spacing w:val="-12"/>
          <w:w w:val="120"/>
          <w:sz w:val="17"/>
        </w:rPr>
        <w:t> </w:t>
      </w:r>
      <w:r>
        <w:rPr>
          <w:color w:val="231F20"/>
          <w:w w:val="120"/>
          <w:sz w:val="17"/>
        </w:rPr>
        <w:t>vision</w:t>
      </w:r>
      <w:r>
        <w:rPr>
          <w:color w:val="231F20"/>
          <w:spacing w:val="-12"/>
          <w:w w:val="120"/>
          <w:sz w:val="17"/>
        </w:rPr>
        <w:t> </w:t>
      </w:r>
      <w:r>
        <w:rPr>
          <w:color w:val="231F20"/>
          <w:w w:val="120"/>
          <w:sz w:val="17"/>
        </w:rPr>
        <w:t>déficiente, des maux de tête, une fatigue oculaire, une tension et une </w:t>
      </w:r>
      <w:r>
        <w:rPr>
          <w:color w:val="231F20"/>
          <w:w w:val="120"/>
          <w:sz w:val="17"/>
        </w:rPr>
        <w:t>frus-</w:t>
      </w:r>
      <w:r>
        <w:rPr>
          <w:color w:val="231F20"/>
          <w:w w:val="120"/>
          <w:sz w:val="17"/>
        </w:rPr>
        <w:t> tration causés par un environnement de travail incommodant et rendant difficile l’atteinte des objectifs productifs.</w:t>
      </w:r>
    </w:p>
    <w:p>
      <w:pPr>
        <w:pStyle w:val="ListParagraph"/>
        <w:numPr>
          <w:ilvl w:val="0"/>
          <w:numId w:val="38"/>
        </w:numPr>
        <w:tabs>
          <w:tab w:pos="1721" w:val="left" w:leader="none"/>
        </w:tabs>
        <w:spacing w:line="307" w:lineRule="auto" w:before="0" w:after="0"/>
        <w:ind w:left="1720" w:right="101" w:hanging="251"/>
        <w:jc w:val="both"/>
        <w:rPr>
          <w:sz w:val="17"/>
        </w:rPr>
      </w:pPr>
      <w:r>
        <w:rPr>
          <w:i/>
          <w:color w:val="231F20"/>
          <w:w w:val="115"/>
          <w:sz w:val="17"/>
        </w:rPr>
        <w:t>Le</w:t>
      </w:r>
      <w:r>
        <w:rPr>
          <w:i/>
          <w:color w:val="231F20"/>
          <w:spacing w:val="-9"/>
          <w:w w:val="115"/>
          <w:sz w:val="17"/>
        </w:rPr>
        <w:t> </w:t>
      </w:r>
      <w:r>
        <w:rPr>
          <w:i/>
          <w:color w:val="231F20"/>
          <w:w w:val="115"/>
          <w:sz w:val="17"/>
        </w:rPr>
        <w:t>bruit</w:t>
      </w:r>
      <w:r>
        <w:rPr>
          <w:color w:val="231F20"/>
          <w:w w:val="115"/>
          <w:sz w:val="17"/>
        </w:rPr>
        <w:t>.</w:t>
      </w:r>
      <w:r>
        <w:rPr>
          <w:color w:val="231F20"/>
          <w:spacing w:val="-9"/>
          <w:w w:val="115"/>
          <w:sz w:val="17"/>
        </w:rPr>
        <w:t> </w:t>
      </w:r>
      <w:r>
        <w:rPr>
          <w:color w:val="231F20"/>
          <w:w w:val="115"/>
          <w:sz w:val="17"/>
        </w:rPr>
        <w:t>Le</w:t>
      </w:r>
      <w:r>
        <w:rPr>
          <w:color w:val="231F20"/>
          <w:spacing w:val="-9"/>
          <w:w w:val="115"/>
          <w:sz w:val="17"/>
        </w:rPr>
        <w:t> </w:t>
      </w:r>
      <w:r>
        <w:rPr>
          <w:color w:val="231F20"/>
          <w:w w:val="115"/>
          <w:sz w:val="17"/>
        </w:rPr>
        <w:t>fait</w:t>
      </w:r>
      <w:r>
        <w:rPr>
          <w:color w:val="231F20"/>
          <w:spacing w:val="-9"/>
          <w:w w:val="115"/>
          <w:sz w:val="17"/>
        </w:rPr>
        <w:t> </w:t>
      </w:r>
      <w:r>
        <w:rPr>
          <w:color w:val="231F20"/>
          <w:w w:val="115"/>
          <w:sz w:val="17"/>
        </w:rPr>
        <w:t>de</w:t>
      </w:r>
      <w:r>
        <w:rPr>
          <w:color w:val="231F20"/>
          <w:spacing w:val="-9"/>
          <w:w w:val="115"/>
          <w:sz w:val="17"/>
        </w:rPr>
        <w:t> </w:t>
      </w:r>
      <w:r>
        <w:rPr>
          <w:color w:val="231F20"/>
          <w:w w:val="115"/>
          <w:sz w:val="17"/>
        </w:rPr>
        <w:t>travailler</w:t>
      </w:r>
      <w:r>
        <w:rPr>
          <w:color w:val="231F20"/>
          <w:spacing w:val="-9"/>
          <w:w w:val="115"/>
          <w:sz w:val="17"/>
        </w:rPr>
        <w:t> </w:t>
      </w:r>
      <w:r>
        <w:rPr>
          <w:color w:val="231F20"/>
          <w:w w:val="115"/>
          <w:sz w:val="17"/>
        </w:rPr>
        <w:t>dans</w:t>
      </w:r>
      <w:r>
        <w:rPr>
          <w:color w:val="231F20"/>
          <w:spacing w:val="-9"/>
          <w:w w:val="115"/>
          <w:sz w:val="17"/>
        </w:rPr>
        <w:t> </w:t>
      </w:r>
      <w:r>
        <w:rPr>
          <w:color w:val="231F20"/>
          <w:w w:val="115"/>
          <w:sz w:val="17"/>
        </w:rPr>
        <w:t>un</w:t>
      </w:r>
      <w:r>
        <w:rPr>
          <w:color w:val="231F20"/>
          <w:spacing w:val="-9"/>
          <w:w w:val="115"/>
          <w:sz w:val="17"/>
        </w:rPr>
        <w:t> </w:t>
      </w:r>
      <w:r>
        <w:rPr>
          <w:color w:val="231F20"/>
          <w:w w:val="115"/>
          <w:sz w:val="17"/>
        </w:rPr>
        <w:t>environnement</w:t>
      </w:r>
      <w:r>
        <w:rPr>
          <w:color w:val="231F20"/>
          <w:spacing w:val="-9"/>
          <w:w w:val="115"/>
          <w:sz w:val="17"/>
        </w:rPr>
        <w:t> </w:t>
      </w:r>
      <w:r>
        <w:rPr>
          <w:color w:val="231F20"/>
          <w:w w:val="115"/>
          <w:sz w:val="17"/>
        </w:rPr>
        <w:t>bruyant</w:t>
      </w:r>
      <w:r>
        <w:rPr>
          <w:color w:val="231F20"/>
          <w:spacing w:val="-9"/>
          <w:w w:val="115"/>
          <w:sz w:val="17"/>
        </w:rPr>
        <w:t> </w:t>
      </w:r>
      <w:r>
        <w:rPr>
          <w:color w:val="231F20"/>
          <w:w w:val="115"/>
          <w:sz w:val="17"/>
        </w:rPr>
        <w:t>exerce </w:t>
      </w:r>
      <w:r>
        <w:rPr>
          <w:color w:val="231F20"/>
          <w:spacing w:val="-2"/>
          <w:w w:val="120"/>
          <w:sz w:val="17"/>
        </w:rPr>
        <w:t>une</w:t>
      </w:r>
      <w:r>
        <w:rPr>
          <w:color w:val="231F20"/>
          <w:spacing w:val="-11"/>
          <w:w w:val="120"/>
          <w:sz w:val="17"/>
        </w:rPr>
        <w:t> </w:t>
      </w:r>
      <w:r>
        <w:rPr>
          <w:color w:val="231F20"/>
          <w:spacing w:val="-2"/>
          <w:w w:val="120"/>
          <w:sz w:val="17"/>
        </w:rPr>
        <w:t>influence</w:t>
      </w:r>
      <w:r>
        <w:rPr>
          <w:color w:val="231F20"/>
          <w:spacing w:val="-11"/>
          <w:w w:val="120"/>
          <w:sz w:val="17"/>
        </w:rPr>
        <w:t> </w:t>
      </w:r>
      <w:r>
        <w:rPr>
          <w:color w:val="231F20"/>
          <w:spacing w:val="-2"/>
          <w:w w:val="120"/>
          <w:sz w:val="17"/>
        </w:rPr>
        <w:t>négative</w:t>
      </w:r>
      <w:r>
        <w:rPr>
          <w:color w:val="231F20"/>
          <w:spacing w:val="-11"/>
          <w:w w:val="120"/>
          <w:sz w:val="17"/>
        </w:rPr>
        <w:t> </w:t>
      </w:r>
      <w:r>
        <w:rPr>
          <w:color w:val="231F20"/>
          <w:spacing w:val="-2"/>
          <w:w w:val="120"/>
          <w:sz w:val="17"/>
        </w:rPr>
        <w:t>sur</w:t>
      </w:r>
      <w:r>
        <w:rPr>
          <w:color w:val="231F20"/>
          <w:spacing w:val="-10"/>
          <w:w w:val="120"/>
          <w:sz w:val="17"/>
        </w:rPr>
        <w:t> </w:t>
      </w:r>
      <w:r>
        <w:rPr>
          <w:color w:val="231F20"/>
          <w:spacing w:val="-2"/>
          <w:w w:val="120"/>
          <w:sz w:val="17"/>
        </w:rPr>
        <w:t>le</w:t>
      </w:r>
      <w:r>
        <w:rPr>
          <w:color w:val="231F20"/>
          <w:spacing w:val="-11"/>
          <w:w w:val="120"/>
          <w:sz w:val="17"/>
        </w:rPr>
        <w:t> </w:t>
      </w:r>
      <w:r>
        <w:rPr>
          <w:color w:val="231F20"/>
          <w:spacing w:val="-2"/>
          <w:w w:val="120"/>
          <w:sz w:val="17"/>
        </w:rPr>
        <w:t>niveau</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satisfaction,</w:t>
      </w:r>
      <w:r>
        <w:rPr>
          <w:color w:val="231F20"/>
          <w:spacing w:val="-10"/>
          <w:w w:val="120"/>
          <w:sz w:val="17"/>
        </w:rPr>
        <w:t> </w:t>
      </w:r>
      <w:r>
        <w:rPr>
          <w:color w:val="231F20"/>
          <w:spacing w:val="-2"/>
          <w:w w:val="120"/>
          <w:sz w:val="17"/>
        </w:rPr>
        <w:t>la</w:t>
      </w:r>
      <w:r>
        <w:rPr>
          <w:color w:val="231F20"/>
          <w:spacing w:val="-11"/>
          <w:w w:val="120"/>
          <w:sz w:val="17"/>
        </w:rPr>
        <w:t> </w:t>
      </w:r>
      <w:r>
        <w:rPr>
          <w:color w:val="231F20"/>
          <w:spacing w:val="-2"/>
          <w:w w:val="120"/>
          <w:sz w:val="17"/>
        </w:rPr>
        <w:t>productivité </w:t>
      </w:r>
      <w:r>
        <w:rPr>
          <w:color w:val="231F20"/>
          <w:w w:val="120"/>
          <w:sz w:val="17"/>
        </w:rPr>
        <w:t>et la vulnérabilité aux accidents, car il accroît possiblement le taux</w:t>
      </w:r>
      <w:r>
        <w:rPr>
          <w:color w:val="231F20"/>
          <w:spacing w:val="-4"/>
          <w:w w:val="120"/>
          <w:sz w:val="17"/>
        </w:rPr>
        <w:t> </w:t>
      </w:r>
      <w:r>
        <w:rPr>
          <w:color w:val="231F20"/>
          <w:w w:val="120"/>
          <w:sz w:val="17"/>
        </w:rPr>
        <w:t>d’erreurs.</w:t>
      </w:r>
      <w:r>
        <w:rPr>
          <w:color w:val="231F20"/>
          <w:spacing w:val="-4"/>
          <w:w w:val="120"/>
          <w:sz w:val="17"/>
        </w:rPr>
        <w:t> </w:t>
      </w:r>
      <w:r>
        <w:rPr>
          <w:color w:val="231F20"/>
          <w:w w:val="120"/>
          <w:sz w:val="17"/>
        </w:rPr>
        <w:t>En</w:t>
      </w:r>
      <w:r>
        <w:rPr>
          <w:color w:val="231F20"/>
          <w:spacing w:val="-4"/>
          <w:w w:val="120"/>
          <w:sz w:val="17"/>
        </w:rPr>
        <w:t> </w:t>
      </w:r>
      <w:r>
        <w:rPr>
          <w:color w:val="231F20"/>
          <w:w w:val="120"/>
          <w:sz w:val="17"/>
        </w:rPr>
        <w:t>outre,</w:t>
      </w:r>
      <w:r>
        <w:rPr>
          <w:color w:val="231F20"/>
          <w:spacing w:val="-4"/>
          <w:w w:val="120"/>
          <w:sz w:val="17"/>
        </w:rPr>
        <w:t> </w:t>
      </w:r>
      <w:r>
        <w:rPr>
          <w:color w:val="231F20"/>
          <w:w w:val="120"/>
          <w:sz w:val="17"/>
        </w:rPr>
        <w:t>le</w:t>
      </w:r>
      <w:r>
        <w:rPr>
          <w:color w:val="231F20"/>
          <w:spacing w:val="-4"/>
          <w:w w:val="120"/>
          <w:sz w:val="17"/>
        </w:rPr>
        <w:t> </w:t>
      </w:r>
      <w:r>
        <w:rPr>
          <w:color w:val="231F20"/>
          <w:w w:val="120"/>
          <w:sz w:val="17"/>
        </w:rPr>
        <w:t>bruit</w:t>
      </w:r>
      <w:r>
        <w:rPr>
          <w:color w:val="231F20"/>
          <w:spacing w:val="-4"/>
          <w:w w:val="120"/>
          <w:sz w:val="17"/>
        </w:rPr>
        <w:t> </w:t>
      </w:r>
      <w:r>
        <w:rPr>
          <w:color w:val="231F20"/>
          <w:w w:val="120"/>
          <w:sz w:val="17"/>
        </w:rPr>
        <w:t>est</w:t>
      </w:r>
      <w:r>
        <w:rPr>
          <w:color w:val="231F20"/>
          <w:spacing w:val="-4"/>
          <w:w w:val="120"/>
          <w:sz w:val="17"/>
        </w:rPr>
        <w:t> </w:t>
      </w:r>
      <w:r>
        <w:rPr>
          <w:color w:val="231F20"/>
          <w:w w:val="120"/>
          <w:sz w:val="17"/>
        </w:rPr>
        <w:t>nuisible</w:t>
      </w:r>
      <w:r>
        <w:rPr>
          <w:color w:val="231F20"/>
          <w:spacing w:val="-4"/>
          <w:w w:val="120"/>
          <w:sz w:val="17"/>
        </w:rPr>
        <w:t> </w:t>
      </w:r>
      <w:r>
        <w:rPr>
          <w:color w:val="231F20"/>
          <w:w w:val="120"/>
          <w:sz w:val="17"/>
        </w:rPr>
        <w:t>aux</w:t>
      </w:r>
      <w:r>
        <w:rPr>
          <w:color w:val="231F20"/>
          <w:spacing w:val="-4"/>
          <w:w w:val="120"/>
          <w:sz w:val="17"/>
        </w:rPr>
        <w:t> </w:t>
      </w:r>
      <w:r>
        <w:rPr>
          <w:color w:val="231F20"/>
          <w:w w:val="120"/>
          <w:sz w:val="17"/>
        </w:rPr>
        <w:t>comportements coopératifs</w:t>
      </w:r>
      <w:r>
        <w:rPr>
          <w:color w:val="231F20"/>
          <w:spacing w:val="-8"/>
          <w:w w:val="120"/>
          <w:sz w:val="17"/>
        </w:rPr>
        <w:t> </w:t>
      </w:r>
      <w:r>
        <w:rPr>
          <w:color w:val="231F20"/>
          <w:w w:val="120"/>
          <w:sz w:val="17"/>
        </w:rPr>
        <w:t>et</w:t>
      </w:r>
      <w:r>
        <w:rPr>
          <w:color w:val="231F20"/>
          <w:spacing w:val="-8"/>
          <w:w w:val="120"/>
          <w:sz w:val="17"/>
        </w:rPr>
        <w:t> </w:t>
      </w:r>
      <w:r>
        <w:rPr>
          <w:color w:val="231F20"/>
          <w:w w:val="120"/>
          <w:sz w:val="17"/>
        </w:rPr>
        <w:t>propice</w:t>
      </w:r>
      <w:r>
        <w:rPr>
          <w:color w:val="231F20"/>
          <w:spacing w:val="-8"/>
          <w:w w:val="120"/>
          <w:sz w:val="17"/>
        </w:rPr>
        <w:t> </w:t>
      </w:r>
      <w:r>
        <w:rPr>
          <w:color w:val="231F20"/>
          <w:w w:val="120"/>
          <w:sz w:val="17"/>
        </w:rPr>
        <w:t>aux</w:t>
      </w:r>
      <w:r>
        <w:rPr>
          <w:color w:val="231F20"/>
          <w:spacing w:val="-8"/>
          <w:w w:val="120"/>
          <w:sz w:val="17"/>
        </w:rPr>
        <w:t> </w:t>
      </w:r>
      <w:r>
        <w:rPr>
          <w:color w:val="231F20"/>
          <w:w w:val="120"/>
          <w:sz w:val="17"/>
        </w:rPr>
        <w:t>attitudes</w:t>
      </w:r>
      <w:r>
        <w:rPr>
          <w:color w:val="231F20"/>
          <w:spacing w:val="-8"/>
          <w:w w:val="120"/>
          <w:sz w:val="17"/>
        </w:rPr>
        <w:t> </w:t>
      </w:r>
      <w:r>
        <w:rPr>
          <w:color w:val="231F20"/>
          <w:w w:val="120"/>
          <w:sz w:val="17"/>
        </w:rPr>
        <w:t>négatives</w:t>
      </w:r>
      <w:r>
        <w:rPr>
          <w:color w:val="231F20"/>
          <w:spacing w:val="-8"/>
          <w:w w:val="120"/>
          <w:sz w:val="17"/>
        </w:rPr>
        <w:t> </w:t>
      </w:r>
      <w:r>
        <w:rPr>
          <w:color w:val="231F20"/>
          <w:w w:val="120"/>
          <w:sz w:val="17"/>
        </w:rPr>
        <w:t>envers</w:t>
      </w:r>
      <w:r>
        <w:rPr>
          <w:color w:val="231F20"/>
          <w:spacing w:val="-8"/>
          <w:w w:val="120"/>
          <w:sz w:val="17"/>
        </w:rPr>
        <w:t> </w:t>
      </w:r>
      <w:r>
        <w:rPr>
          <w:color w:val="231F20"/>
          <w:w w:val="120"/>
          <w:sz w:val="17"/>
        </w:rPr>
        <w:t>autrui.</w:t>
      </w:r>
      <w:r>
        <w:rPr>
          <w:color w:val="231F20"/>
          <w:spacing w:val="-8"/>
          <w:w w:val="120"/>
          <w:sz w:val="17"/>
        </w:rPr>
        <w:t> </w:t>
      </w:r>
      <w:r>
        <w:rPr>
          <w:color w:val="231F20"/>
          <w:w w:val="120"/>
          <w:sz w:val="17"/>
        </w:rPr>
        <w:t>Il</w:t>
      </w:r>
      <w:r>
        <w:rPr>
          <w:color w:val="231F20"/>
          <w:spacing w:val="-8"/>
          <w:w w:val="120"/>
          <w:sz w:val="17"/>
        </w:rPr>
        <w:t> </w:t>
      </w:r>
      <w:r>
        <w:rPr>
          <w:color w:val="231F20"/>
          <w:w w:val="120"/>
          <w:sz w:val="17"/>
        </w:rPr>
        <w:t>est souvent associé à une augmentation du niveau d’hostilité.</w:t>
      </w:r>
    </w:p>
    <w:p>
      <w:pPr>
        <w:pStyle w:val="ListParagraph"/>
        <w:numPr>
          <w:ilvl w:val="0"/>
          <w:numId w:val="38"/>
        </w:numPr>
        <w:tabs>
          <w:tab w:pos="1721" w:val="left" w:leader="none"/>
        </w:tabs>
        <w:spacing w:line="307" w:lineRule="auto" w:before="0" w:after="0"/>
        <w:ind w:left="1720" w:right="104" w:hanging="251"/>
        <w:jc w:val="both"/>
        <w:rPr>
          <w:sz w:val="17"/>
        </w:rPr>
      </w:pPr>
      <w:r>
        <w:rPr>
          <w:i/>
          <w:color w:val="231F20"/>
          <w:w w:val="120"/>
          <w:sz w:val="17"/>
        </w:rPr>
        <w:t>Les vibrations</w:t>
      </w:r>
      <w:r>
        <w:rPr>
          <w:color w:val="231F20"/>
          <w:w w:val="120"/>
          <w:sz w:val="17"/>
        </w:rPr>
        <w:t>. L’exposition constante aux vibrations accroît la production</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catécholamines</w:t>
      </w:r>
      <w:r>
        <w:rPr>
          <w:color w:val="231F20"/>
          <w:spacing w:val="-10"/>
          <w:w w:val="120"/>
          <w:sz w:val="17"/>
        </w:rPr>
        <w:t> </w:t>
      </w:r>
      <w:r>
        <w:rPr>
          <w:color w:val="231F20"/>
          <w:w w:val="120"/>
          <w:sz w:val="17"/>
        </w:rPr>
        <w:t>ainsi</w:t>
      </w:r>
      <w:r>
        <w:rPr>
          <w:color w:val="231F20"/>
          <w:spacing w:val="-10"/>
          <w:w w:val="120"/>
          <w:sz w:val="17"/>
        </w:rPr>
        <w:t> </w:t>
      </w:r>
      <w:r>
        <w:rPr>
          <w:color w:val="231F20"/>
          <w:w w:val="120"/>
          <w:sz w:val="17"/>
        </w:rPr>
        <w:t>que</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prévalence</w:t>
      </w:r>
      <w:r>
        <w:rPr>
          <w:color w:val="231F20"/>
          <w:spacing w:val="-10"/>
          <w:w w:val="120"/>
          <w:sz w:val="17"/>
        </w:rPr>
        <w:t> </w:t>
      </w:r>
      <w:r>
        <w:rPr>
          <w:color w:val="231F20"/>
          <w:w w:val="120"/>
          <w:sz w:val="17"/>
        </w:rPr>
        <w:t>des</w:t>
      </w:r>
      <w:r>
        <w:rPr>
          <w:color w:val="231F20"/>
          <w:spacing w:val="-10"/>
          <w:w w:val="120"/>
          <w:sz w:val="17"/>
        </w:rPr>
        <w:t> </w:t>
      </w:r>
      <w:r>
        <w:rPr>
          <w:color w:val="231F20"/>
          <w:w w:val="120"/>
          <w:sz w:val="17"/>
        </w:rPr>
        <w:t>lésions médullaires et des altérations neurologiques.</w:t>
      </w:r>
    </w:p>
    <w:p>
      <w:pPr>
        <w:pStyle w:val="ListParagraph"/>
        <w:numPr>
          <w:ilvl w:val="0"/>
          <w:numId w:val="38"/>
        </w:numPr>
        <w:tabs>
          <w:tab w:pos="1721" w:val="left" w:leader="none"/>
        </w:tabs>
        <w:spacing w:line="307" w:lineRule="auto" w:before="0" w:after="0"/>
        <w:ind w:left="1720" w:right="107" w:hanging="251"/>
        <w:jc w:val="both"/>
        <w:rPr>
          <w:sz w:val="17"/>
        </w:rPr>
      </w:pPr>
      <w:r>
        <w:rPr>
          <w:i/>
          <w:color w:val="231F20"/>
          <w:w w:val="115"/>
          <w:sz w:val="17"/>
        </w:rPr>
        <w:t>L’espace</w:t>
      </w:r>
      <w:r>
        <w:rPr>
          <w:i/>
          <w:color w:val="231F20"/>
          <w:spacing w:val="-5"/>
          <w:w w:val="115"/>
          <w:sz w:val="17"/>
        </w:rPr>
        <w:t> </w:t>
      </w:r>
      <w:r>
        <w:rPr>
          <w:i/>
          <w:color w:val="231F20"/>
          <w:w w:val="115"/>
          <w:sz w:val="17"/>
        </w:rPr>
        <w:t>physique</w:t>
      </w:r>
      <w:r>
        <w:rPr>
          <w:i/>
          <w:color w:val="231F20"/>
          <w:spacing w:val="-5"/>
          <w:w w:val="115"/>
          <w:sz w:val="17"/>
        </w:rPr>
        <w:t> </w:t>
      </w:r>
      <w:r>
        <w:rPr>
          <w:i/>
          <w:color w:val="231F20"/>
          <w:w w:val="115"/>
          <w:sz w:val="17"/>
        </w:rPr>
        <w:t>disponible</w:t>
      </w:r>
      <w:r>
        <w:rPr>
          <w:i/>
          <w:color w:val="231F20"/>
          <w:spacing w:val="-5"/>
          <w:w w:val="115"/>
          <w:sz w:val="17"/>
        </w:rPr>
        <w:t> </w:t>
      </w:r>
      <w:r>
        <w:rPr>
          <w:i/>
          <w:color w:val="231F20"/>
          <w:w w:val="115"/>
          <w:sz w:val="17"/>
        </w:rPr>
        <w:t>et</w:t>
      </w:r>
      <w:r>
        <w:rPr>
          <w:i/>
          <w:color w:val="231F20"/>
          <w:spacing w:val="-5"/>
          <w:w w:val="115"/>
          <w:sz w:val="17"/>
        </w:rPr>
        <w:t> </w:t>
      </w:r>
      <w:r>
        <w:rPr>
          <w:i/>
          <w:color w:val="231F20"/>
          <w:w w:val="115"/>
          <w:sz w:val="17"/>
        </w:rPr>
        <w:t>l’organisation</w:t>
      </w:r>
      <w:r>
        <w:rPr>
          <w:i/>
          <w:color w:val="231F20"/>
          <w:spacing w:val="-5"/>
          <w:w w:val="115"/>
          <w:sz w:val="17"/>
        </w:rPr>
        <w:t> </w:t>
      </w:r>
      <w:r>
        <w:rPr>
          <w:i/>
          <w:color w:val="231F20"/>
          <w:w w:val="115"/>
          <w:sz w:val="17"/>
        </w:rPr>
        <w:t>spatiale</w:t>
      </w:r>
      <w:r>
        <w:rPr>
          <w:color w:val="231F20"/>
          <w:w w:val="115"/>
          <w:sz w:val="17"/>
        </w:rPr>
        <w:t>.</w:t>
      </w:r>
      <w:r>
        <w:rPr>
          <w:color w:val="231F20"/>
          <w:spacing w:val="-5"/>
          <w:w w:val="115"/>
          <w:sz w:val="17"/>
        </w:rPr>
        <w:t> </w:t>
      </w:r>
      <w:r>
        <w:rPr>
          <w:color w:val="231F20"/>
          <w:w w:val="115"/>
          <w:sz w:val="17"/>
        </w:rPr>
        <w:t>Un</w:t>
      </w:r>
      <w:r>
        <w:rPr>
          <w:color w:val="231F20"/>
          <w:spacing w:val="-5"/>
          <w:w w:val="115"/>
          <w:sz w:val="17"/>
        </w:rPr>
        <w:t> </w:t>
      </w:r>
      <w:r>
        <w:rPr>
          <w:color w:val="231F20"/>
          <w:w w:val="115"/>
          <w:sz w:val="17"/>
        </w:rPr>
        <w:t>espace </w:t>
      </w:r>
      <w:r>
        <w:rPr>
          <w:color w:val="231F20"/>
          <w:spacing w:val="-2"/>
          <w:w w:val="120"/>
          <w:sz w:val="17"/>
        </w:rPr>
        <w:t>physique</w:t>
      </w:r>
      <w:r>
        <w:rPr>
          <w:color w:val="231F20"/>
          <w:spacing w:val="-8"/>
          <w:w w:val="120"/>
          <w:sz w:val="17"/>
        </w:rPr>
        <w:t> </w:t>
      </w:r>
      <w:r>
        <w:rPr>
          <w:color w:val="231F20"/>
          <w:spacing w:val="-2"/>
          <w:w w:val="120"/>
          <w:sz w:val="17"/>
        </w:rPr>
        <w:t>insuffisant</w:t>
      </w:r>
      <w:r>
        <w:rPr>
          <w:color w:val="231F20"/>
          <w:spacing w:val="-8"/>
          <w:w w:val="120"/>
          <w:sz w:val="17"/>
        </w:rPr>
        <w:t> </w:t>
      </w:r>
      <w:r>
        <w:rPr>
          <w:color w:val="231F20"/>
          <w:spacing w:val="-2"/>
          <w:w w:val="120"/>
          <w:sz w:val="17"/>
        </w:rPr>
        <w:t>ou</w:t>
      </w:r>
      <w:r>
        <w:rPr>
          <w:color w:val="231F20"/>
          <w:spacing w:val="-8"/>
          <w:w w:val="120"/>
          <w:sz w:val="17"/>
        </w:rPr>
        <w:t> </w:t>
      </w:r>
      <w:r>
        <w:rPr>
          <w:color w:val="231F20"/>
          <w:spacing w:val="-2"/>
          <w:w w:val="120"/>
          <w:sz w:val="17"/>
        </w:rPr>
        <w:t>mal</w:t>
      </w:r>
      <w:r>
        <w:rPr>
          <w:color w:val="231F20"/>
          <w:spacing w:val="-8"/>
          <w:w w:val="120"/>
          <w:sz w:val="17"/>
        </w:rPr>
        <w:t> </w:t>
      </w:r>
      <w:r>
        <w:rPr>
          <w:color w:val="231F20"/>
          <w:spacing w:val="-2"/>
          <w:w w:val="120"/>
          <w:sz w:val="17"/>
        </w:rPr>
        <w:t>organisé</w:t>
      </w:r>
      <w:r>
        <w:rPr>
          <w:color w:val="231F20"/>
          <w:spacing w:val="-8"/>
          <w:w w:val="120"/>
          <w:sz w:val="17"/>
        </w:rPr>
        <w:t> </w:t>
      </w:r>
      <w:r>
        <w:rPr>
          <w:color w:val="231F20"/>
          <w:spacing w:val="-2"/>
          <w:w w:val="120"/>
          <w:sz w:val="17"/>
        </w:rPr>
        <w:t>multiplie</w:t>
      </w:r>
      <w:r>
        <w:rPr>
          <w:color w:val="231F20"/>
          <w:spacing w:val="-8"/>
          <w:w w:val="120"/>
          <w:sz w:val="17"/>
        </w:rPr>
        <w:t> </w:t>
      </w:r>
      <w:r>
        <w:rPr>
          <w:color w:val="231F20"/>
          <w:spacing w:val="-2"/>
          <w:w w:val="120"/>
          <w:sz w:val="17"/>
        </w:rPr>
        <w:t>le</w:t>
      </w:r>
      <w:r>
        <w:rPr>
          <w:color w:val="231F20"/>
          <w:spacing w:val="-8"/>
          <w:w w:val="120"/>
          <w:sz w:val="17"/>
        </w:rPr>
        <w:t> </w:t>
      </w:r>
      <w:r>
        <w:rPr>
          <w:color w:val="231F20"/>
          <w:spacing w:val="-2"/>
          <w:w w:val="120"/>
          <w:sz w:val="17"/>
        </w:rPr>
        <w:t>nombre</w:t>
      </w:r>
      <w:r>
        <w:rPr>
          <w:color w:val="231F20"/>
          <w:spacing w:val="-8"/>
          <w:w w:val="120"/>
          <w:sz w:val="17"/>
        </w:rPr>
        <w:t> </w:t>
      </w:r>
      <w:r>
        <w:rPr>
          <w:color w:val="231F20"/>
          <w:spacing w:val="-2"/>
          <w:w w:val="120"/>
          <w:sz w:val="17"/>
        </w:rPr>
        <w:t>de</w:t>
      </w:r>
      <w:r>
        <w:rPr>
          <w:color w:val="231F20"/>
          <w:spacing w:val="-8"/>
          <w:w w:val="120"/>
          <w:sz w:val="17"/>
        </w:rPr>
        <w:t> </w:t>
      </w:r>
      <w:r>
        <w:rPr>
          <w:color w:val="231F20"/>
          <w:spacing w:val="-2"/>
          <w:w w:val="120"/>
          <w:sz w:val="17"/>
        </w:rPr>
        <w:t>mou- vements</w:t>
      </w:r>
      <w:r>
        <w:rPr>
          <w:color w:val="231F20"/>
          <w:spacing w:val="-11"/>
          <w:w w:val="120"/>
          <w:sz w:val="17"/>
        </w:rPr>
        <w:t> </w:t>
      </w:r>
      <w:r>
        <w:rPr>
          <w:color w:val="231F20"/>
          <w:spacing w:val="-2"/>
          <w:w w:val="120"/>
          <w:sz w:val="17"/>
        </w:rPr>
        <w:t>à</w:t>
      </w:r>
      <w:r>
        <w:rPr>
          <w:color w:val="231F20"/>
          <w:spacing w:val="-11"/>
          <w:w w:val="120"/>
          <w:sz w:val="17"/>
        </w:rPr>
        <w:t> </w:t>
      </w:r>
      <w:r>
        <w:rPr>
          <w:color w:val="231F20"/>
          <w:spacing w:val="-2"/>
          <w:w w:val="120"/>
          <w:sz w:val="17"/>
        </w:rPr>
        <w:t>faire,</w:t>
      </w:r>
      <w:r>
        <w:rPr>
          <w:color w:val="231F20"/>
          <w:spacing w:val="-11"/>
          <w:w w:val="120"/>
          <w:sz w:val="17"/>
        </w:rPr>
        <w:t> </w:t>
      </w:r>
      <w:r>
        <w:rPr>
          <w:color w:val="231F20"/>
          <w:spacing w:val="-2"/>
          <w:w w:val="120"/>
          <w:sz w:val="17"/>
        </w:rPr>
        <w:t>ce</w:t>
      </w:r>
      <w:r>
        <w:rPr>
          <w:color w:val="231F20"/>
          <w:spacing w:val="-10"/>
          <w:w w:val="120"/>
          <w:sz w:val="17"/>
        </w:rPr>
        <w:t> </w:t>
      </w:r>
      <w:r>
        <w:rPr>
          <w:color w:val="231F20"/>
          <w:spacing w:val="-2"/>
          <w:w w:val="120"/>
          <w:sz w:val="17"/>
        </w:rPr>
        <w:t>qui</w:t>
      </w:r>
      <w:r>
        <w:rPr>
          <w:color w:val="231F20"/>
          <w:spacing w:val="-11"/>
          <w:w w:val="120"/>
          <w:sz w:val="17"/>
        </w:rPr>
        <w:t> </w:t>
      </w:r>
      <w:r>
        <w:rPr>
          <w:color w:val="231F20"/>
          <w:spacing w:val="-2"/>
          <w:w w:val="120"/>
          <w:sz w:val="17"/>
        </w:rPr>
        <w:t>entraîne</w:t>
      </w:r>
      <w:r>
        <w:rPr>
          <w:color w:val="231F20"/>
          <w:spacing w:val="-11"/>
          <w:w w:val="120"/>
          <w:sz w:val="17"/>
        </w:rPr>
        <w:t> </w:t>
      </w:r>
      <w:r>
        <w:rPr>
          <w:color w:val="231F20"/>
          <w:spacing w:val="-2"/>
          <w:w w:val="120"/>
          <w:sz w:val="17"/>
        </w:rPr>
        <w:t>une</w:t>
      </w:r>
      <w:r>
        <w:rPr>
          <w:color w:val="231F20"/>
          <w:spacing w:val="-11"/>
          <w:w w:val="120"/>
          <w:sz w:val="17"/>
        </w:rPr>
        <w:t> </w:t>
      </w:r>
      <w:r>
        <w:rPr>
          <w:color w:val="231F20"/>
          <w:spacing w:val="-2"/>
          <w:w w:val="120"/>
          <w:sz w:val="17"/>
        </w:rPr>
        <w:t>augmentation</w:t>
      </w:r>
      <w:r>
        <w:rPr>
          <w:color w:val="231F20"/>
          <w:spacing w:val="-10"/>
          <w:w w:val="120"/>
          <w:sz w:val="17"/>
        </w:rPr>
        <w:t> </w:t>
      </w:r>
      <w:r>
        <w:rPr>
          <w:color w:val="231F20"/>
          <w:spacing w:val="-2"/>
          <w:w w:val="120"/>
          <w:sz w:val="17"/>
        </w:rPr>
        <w:t>de</w:t>
      </w:r>
      <w:r>
        <w:rPr>
          <w:color w:val="231F20"/>
          <w:spacing w:val="-11"/>
          <w:w w:val="120"/>
          <w:sz w:val="17"/>
        </w:rPr>
        <w:t> </w:t>
      </w:r>
      <w:r>
        <w:rPr>
          <w:color w:val="231F20"/>
          <w:spacing w:val="-2"/>
          <w:w w:val="120"/>
          <w:sz w:val="17"/>
        </w:rPr>
        <w:t>l’effort</w:t>
      </w:r>
      <w:r>
        <w:rPr>
          <w:color w:val="231F20"/>
          <w:spacing w:val="-11"/>
          <w:w w:val="120"/>
          <w:sz w:val="17"/>
        </w:rPr>
        <w:t> </w:t>
      </w:r>
      <w:r>
        <w:rPr>
          <w:color w:val="231F20"/>
          <w:spacing w:val="-2"/>
          <w:w w:val="120"/>
          <w:sz w:val="17"/>
        </w:rPr>
        <w:t>et</w:t>
      </w:r>
      <w:r>
        <w:rPr>
          <w:color w:val="231F20"/>
          <w:spacing w:val="-11"/>
          <w:w w:val="120"/>
          <w:sz w:val="17"/>
        </w:rPr>
        <w:t> </w:t>
      </w:r>
      <w:r>
        <w:rPr>
          <w:color w:val="231F20"/>
          <w:spacing w:val="-2"/>
          <w:w w:val="120"/>
          <w:sz w:val="17"/>
        </w:rPr>
        <w:t>des </w:t>
      </w:r>
      <w:r>
        <w:rPr>
          <w:color w:val="231F20"/>
          <w:w w:val="115"/>
          <w:sz w:val="17"/>
        </w:rPr>
        <w:t>pertes de temps. Cela est en lien avec l’importance de l’ergonomie </w:t>
      </w:r>
      <w:r>
        <w:rPr>
          <w:color w:val="231F20"/>
          <w:w w:val="120"/>
          <w:sz w:val="17"/>
        </w:rPr>
        <w:t>au travail afin de minimiser les risques de lésions associées aux mouvements</w:t>
      </w:r>
      <w:r>
        <w:rPr>
          <w:color w:val="231F20"/>
          <w:spacing w:val="-13"/>
          <w:w w:val="120"/>
          <w:sz w:val="17"/>
        </w:rPr>
        <w:t> </w:t>
      </w:r>
      <w:r>
        <w:rPr>
          <w:color w:val="231F20"/>
          <w:w w:val="120"/>
          <w:sz w:val="17"/>
        </w:rPr>
        <w:t>répétitifs.</w:t>
      </w:r>
    </w:p>
    <w:p>
      <w:pPr>
        <w:spacing w:after="0" w:line="307" w:lineRule="auto"/>
        <w:jc w:val="both"/>
        <w:rPr>
          <w:sz w:val="17"/>
        </w:rPr>
        <w:sectPr>
          <w:footerReference w:type="default" r:id="rId166"/>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39"/>
        </w:numPr>
        <w:tabs>
          <w:tab w:pos="1331" w:val="left" w:leader="none"/>
        </w:tabs>
        <w:spacing w:line="307" w:lineRule="auto" w:before="117" w:after="0"/>
        <w:ind w:left="1330" w:right="495" w:hanging="251"/>
        <w:jc w:val="both"/>
        <w:rPr>
          <w:sz w:val="17"/>
        </w:rPr>
      </w:pPr>
      <w:r>
        <w:rPr>
          <w:i/>
          <w:color w:val="231F20"/>
          <w:w w:val="115"/>
          <w:sz w:val="17"/>
        </w:rPr>
        <w:t>Les</w:t>
      </w:r>
      <w:r>
        <w:rPr>
          <w:i/>
          <w:color w:val="231F20"/>
          <w:spacing w:val="-9"/>
          <w:w w:val="115"/>
          <w:sz w:val="17"/>
        </w:rPr>
        <w:t> </w:t>
      </w:r>
      <w:r>
        <w:rPr>
          <w:i/>
          <w:color w:val="231F20"/>
          <w:w w:val="115"/>
          <w:sz w:val="17"/>
        </w:rPr>
        <w:t>risques</w:t>
      </w:r>
      <w:r>
        <w:rPr>
          <w:i/>
          <w:color w:val="231F20"/>
          <w:spacing w:val="-9"/>
          <w:w w:val="115"/>
          <w:sz w:val="17"/>
        </w:rPr>
        <w:t> </w:t>
      </w:r>
      <w:r>
        <w:rPr>
          <w:i/>
          <w:color w:val="231F20"/>
          <w:w w:val="115"/>
          <w:sz w:val="17"/>
        </w:rPr>
        <w:t>de</w:t>
      </w:r>
      <w:r>
        <w:rPr>
          <w:i/>
          <w:color w:val="231F20"/>
          <w:spacing w:val="-9"/>
          <w:w w:val="115"/>
          <w:sz w:val="17"/>
        </w:rPr>
        <w:t> </w:t>
      </w:r>
      <w:r>
        <w:rPr>
          <w:i/>
          <w:color w:val="231F20"/>
          <w:w w:val="115"/>
          <w:sz w:val="17"/>
        </w:rPr>
        <w:t>contamination</w:t>
      </w:r>
      <w:r>
        <w:rPr>
          <w:color w:val="231F20"/>
          <w:w w:val="115"/>
          <w:sz w:val="17"/>
        </w:rPr>
        <w:t>.</w:t>
      </w:r>
      <w:r>
        <w:rPr>
          <w:color w:val="231F20"/>
          <w:spacing w:val="-9"/>
          <w:w w:val="115"/>
          <w:sz w:val="17"/>
        </w:rPr>
        <w:t> </w:t>
      </w:r>
      <w:r>
        <w:rPr>
          <w:color w:val="231F20"/>
          <w:w w:val="115"/>
          <w:sz w:val="17"/>
        </w:rPr>
        <w:t>Certains</w:t>
      </w:r>
      <w:r>
        <w:rPr>
          <w:color w:val="231F20"/>
          <w:spacing w:val="-9"/>
          <w:w w:val="115"/>
          <w:sz w:val="17"/>
        </w:rPr>
        <w:t> </w:t>
      </w:r>
      <w:r>
        <w:rPr>
          <w:color w:val="231F20"/>
          <w:w w:val="115"/>
          <w:sz w:val="17"/>
        </w:rPr>
        <w:t>contextes</w:t>
      </w:r>
      <w:r>
        <w:rPr>
          <w:color w:val="231F20"/>
          <w:spacing w:val="-9"/>
          <w:w w:val="115"/>
          <w:sz w:val="17"/>
        </w:rPr>
        <w:t> </w:t>
      </w:r>
      <w:r>
        <w:rPr>
          <w:color w:val="231F20"/>
          <w:w w:val="115"/>
          <w:sz w:val="17"/>
        </w:rPr>
        <w:t>de</w:t>
      </w:r>
      <w:r>
        <w:rPr>
          <w:color w:val="231F20"/>
          <w:spacing w:val="-9"/>
          <w:w w:val="115"/>
          <w:sz w:val="17"/>
        </w:rPr>
        <w:t> </w:t>
      </w:r>
      <w:r>
        <w:rPr>
          <w:color w:val="231F20"/>
          <w:w w:val="115"/>
          <w:sz w:val="17"/>
        </w:rPr>
        <w:t>travail</w:t>
      </w:r>
      <w:r>
        <w:rPr>
          <w:color w:val="231F20"/>
          <w:spacing w:val="-9"/>
          <w:w w:val="115"/>
          <w:sz w:val="17"/>
        </w:rPr>
        <w:t> </w:t>
      </w:r>
      <w:r>
        <w:rPr>
          <w:color w:val="231F20"/>
          <w:w w:val="115"/>
          <w:sz w:val="17"/>
        </w:rPr>
        <w:t>peuvent </w:t>
      </w:r>
      <w:r>
        <w:rPr>
          <w:color w:val="231F20"/>
          <w:w w:val="120"/>
          <w:sz w:val="17"/>
        </w:rPr>
        <w:t>mettre à risque la santé des travailleurs en raison des risques de </w:t>
      </w:r>
      <w:r>
        <w:rPr>
          <w:color w:val="231F20"/>
          <w:spacing w:val="-2"/>
          <w:w w:val="120"/>
          <w:sz w:val="17"/>
        </w:rPr>
        <w:t>contamination</w:t>
      </w:r>
      <w:r>
        <w:rPr>
          <w:color w:val="231F20"/>
          <w:spacing w:val="-6"/>
          <w:w w:val="120"/>
          <w:sz w:val="17"/>
        </w:rPr>
        <w:t> </w:t>
      </w:r>
      <w:r>
        <w:rPr>
          <w:color w:val="231F20"/>
          <w:spacing w:val="-2"/>
          <w:w w:val="120"/>
          <w:sz w:val="17"/>
        </w:rPr>
        <w:t>chimique</w:t>
      </w:r>
      <w:r>
        <w:rPr>
          <w:color w:val="231F20"/>
          <w:spacing w:val="-7"/>
          <w:w w:val="120"/>
          <w:sz w:val="17"/>
        </w:rPr>
        <w:t> </w:t>
      </w:r>
      <w:r>
        <w:rPr>
          <w:color w:val="231F20"/>
          <w:spacing w:val="-2"/>
          <w:w w:val="120"/>
          <w:sz w:val="17"/>
        </w:rPr>
        <w:t>ou</w:t>
      </w:r>
      <w:r>
        <w:rPr>
          <w:color w:val="231F20"/>
          <w:spacing w:val="-6"/>
          <w:w w:val="120"/>
          <w:sz w:val="17"/>
        </w:rPr>
        <w:t> </w:t>
      </w:r>
      <w:r>
        <w:rPr>
          <w:color w:val="231F20"/>
          <w:spacing w:val="-2"/>
          <w:w w:val="120"/>
          <w:sz w:val="17"/>
        </w:rPr>
        <w:t>biologique.</w:t>
      </w:r>
      <w:r>
        <w:rPr>
          <w:color w:val="231F20"/>
          <w:spacing w:val="-7"/>
          <w:w w:val="120"/>
          <w:sz w:val="17"/>
        </w:rPr>
        <w:t> </w:t>
      </w:r>
      <w:r>
        <w:rPr>
          <w:color w:val="231F20"/>
          <w:spacing w:val="-2"/>
          <w:w w:val="120"/>
          <w:sz w:val="17"/>
        </w:rPr>
        <w:t>Pensons,</w:t>
      </w:r>
      <w:r>
        <w:rPr>
          <w:color w:val="231F20"/>
          <w:spacing w:val="-6"/>
          <w:w w:val="120"/>
          <w:sz w:val="17"/>
        </w:rPr>
        <w:t> </w:t>
      </w:r>
      <w:r>
        <w:rPr>
          <w:color w:val="231F20"/>
          <w:spacing w:val="-2"/>
          <w:w w:val="120"/>
          <w:sz w:val="17"/>
        </w:rPr>
        <w:t>entre</w:t>
      </w:r>
      <w:r>
        <w:rPr>
          <w:color w:val="231F20"/>
          <w:spacing w:val="-7"/>
          <w:w w:val="120"/>
          <w:sz w:val="17"/>
        </w:rPr>
        <w:t> </w:t>
      </w:r>
      <w:r>
        <w:rPr>
          <w:color w:val="231F20"/>
          <w:spacing w:val="-2"/>
          <w:w w:val="120"/>
          <w:sz w:val="17"/>
        </w:rPr>
        <w:t>autres,</w:t>
      </w:r>
      <w:r>
        <w:rPr>
          <w:color w:val="231F20"/>
          <w:spacing w:val="-6"/>
          <w:w w:val="120"/>
          <w:sz w:val="17"/>
        </w:rPr>
        <w:t> </w:t>
      </w:r>
      <w:r>
        <w:rPr>
          <w:color w:val="231F20"/>
          <w:spacing w:val="-2"/>
          <w:w w:val="120"/>
          <w:sz w:val="17"/>
        </w:rPr>
        <w:t>aux </w:t>
      </w:r>
      <w:r>
        <w:rPr>
          <w:color w:val="231F20"/>
          <w:w w:val="115"/>
          <w:sz w:val="17"/>
        </w:rPr>
        <w:t>nombreux</w:t>
      </w:r>
      <w:r>
        <w:rPr>
          <w:color w:val="231F20"/>
          <w:spacing w:val="-8"/>
          <w:w w:val="115"/>
          <w:sz w:val="17"/>
        </w:rPr>
        <w:t> </w:t>
      </w:r>
      <w:r>
        <w:rPr>
          <w:color w:val="231F20"/>
          <w:w w:val="115"/>
          <w:sz w:val="17"/>
        </w:rPr>
        <w:t>travailleurs</w:t>
      </w:r>
      <w:r>
        <w:rPr>
          <w:color w:val="231F20"/>
          <w:spacing w:val="-8"/>
          <w:w w:val="115"/>
          <w:sz w:val="17"/>
        </w:rPr>
        <w:t> </w:t>
      </w:r>
      <w:r>
        <w:rPr>
          <w:color w:val="231F20"/>
          <w:w w:val="115"/>
          <w:sz w:val="17"/>
        </w:rPr>
        <w:t>de</w:t>
      </w:r>
      <w:r>
        <w:rPr>
          <w:color w:val="231F20"/>
          <w:spacing w:val="-8"/>
          <w:w w:val="115"/>
          <w:sz w:val="17"/>
        </w:rPr>
        <w:t> </w:t>
      </w:r>
      <w:r>
        <w:rPr>
          <w:color w:val="231F20"/>
          <w:w w:val="115"/>
          <w:sz w:val="17"/>
        </w:rPr>
        <w:t>la</w:t>
      </w:r>
      <w:r>
        <w:rPr>
          <w:color w:val="231F20"/>
          <w:spacing w:val="-8"/>
          <w:w w:val="115"/>
          <w:sz w:val="17"/>
        </w:rPr>
        <w:t> </w:t>
      </w:r>
      <w:r>
        <w:rPr>
          <w:color w:val="231F20"/>
          <w:w w:val="115"/>
          <w:sz w:val="17"/>
        </w:rPr>
        <w:t>santé</w:t>
      </w:r>
      <w:r>
        <w:rPr>
          <w:color w:val="231F20"/>
          <w:spacing w:val="-8"/>
          <w:w w:val="115"/>
          <w:sz w:val="17"/>
        </w:rPr>
        <w:t> </w:t>
      </w:r>
      <w:r>
        <w:rPr>
          <w:color w:val="231F20"/>
          <w:w w:val="115"/>
          <w:sz w:val="17"/>
        </w:rPr>
        <w:t>qui</w:t>
      </w:r>
      <w:r>
        <w:rPr>
          <w:color w:val="231F20"/>
          <w:spacing w:val="-8"/>
          <w:w w:val="115"/>
          <w:sz w:val="17"/>
        </w:rPr>
        <w:t> </w:t>
      </w:r>
      <w:r>
        <w:rPr>
          <w:color w:val="231F20"/>
          <w:w w:val="115"/>
          <w:sz w:val="17"/>
        </w:rPr>
        <w:t>ont</w:t>
      </w:r>
      <w:r>
        <w:rPr>
          <w:color w:val="231F20"/>
          <w:spacing w:val="-8"/>
          <w:w w:val="115"/>
          <w:sz w:val="17"/>
        </w:rPr>
        <w:t> </w:t>
      </w:r>
      <w:r>
        <w:rPr>
          <w:color w:val="231F20"/>
          <w:w w:val="115"/>
          <w:sz w:val="17"/>
        </w:rPr>
        <w:t>été</w:t>
      </w:r>
      <w:r>
        <w:rPr>
          <w:color w:val="231F20"/>
          <w:spacing w:val="-8"/>
          <w:w w:val="115"/>
          <w:sz w:val="17"/>
        </w:rPr>
        <w:t> </w:t>
      </w:r>
      <w:r>
        <w:rPr>
          <w:color w:val="231F20"/>
          <w:w w:val="115"/>
          <w:sz w:val="17"/>
        </w:rPr>
        <w:t>exposés</w:t>
      </w:r>
      <w:r>
        <w:rPr>
          <w:color w:val="231F20"/>
          <w:spacing w:val="-8"/>
          <w:w w:val="115"/>
          <w:sz w:val="17"/>
        </w:rPr>
        <w:t> </w:t>
      </w:r>
      <w:r>
        <w:rPr>
          <w:color w:val="231F20"/>
          <w:w w:val="115"/>
          <w:sz w:val="17"/>
        </w:rPr>
        <w:t>à</w:t>
      </w:r>
      <w:r>
        <w:rPr>
          <w:color w:val="231F20"/>
          <w:spacing w:val="-8"/>
          <w:w w:val="115"/>
          <w:sz w:val="17"/>
        </w:rPr>
        <w:t> </w:t>
      </w:r>
      <w:r>
        <w:rPr>
          <w:color w:val="231F20"/>
          <w:w w:val="115"/>
          <w:sz w:val="17"/>
        </w:rPr>
        <w:t>une</w:t>
      </w:r>
      <w:r>
        <w:rPr>
          <w:color w:val="231F20"/>
          <w:spacing w:val="-8"/>
          <w:w w:val="115"/>
          <w:sz w:val="17"/>
        </w:rPr>
        <w:t> </w:t>
      </w:r>
      <w:r>
        <w:rPr>
          <w:color w:val="231F20"/>
          <w:w w:val="115"/>
          <w:sz w:val="17"/>
        </w:rPr>
        <w:t>possible </w:t>
      </w:r>
      <w:r>
        <w:rPr>
          <w:color w:val="231F20"/>
          <w:w w:val="120"/>
          <w:sz w:val="17"/>
        </w:rPr>
        <w:t>contamination</w:t>
      </w:r>
      <w:r>
        <w:rPr>
          <w:color w:val="231F20"/>
          <w:spacing w:val="-10"/>
          <w:w w:val="120"/>
          <w:sz w:val="17"/>
        </w:rPr>
        <w:t> </w:t>
      </w:r>
      <w:r>
        <w:rPr>
          <w:color w:val="231F20"/>
          <w:w w:val="120"/>
          <w:sz w:val="17"/>
        </w:rPr>
        <w:t>biologique</w:t>
      </w:r>
      <w:r>
        <w:rPr>
          <w:color w:val="231F20"/>
          <w:spacing w:val="-10"/>
          <w:w w:val="120"/>
          <w:sz w:val="17"/>
        </w:rPr>
        <w:t> </w:t>
      </w:r>
      <w:r>
        <w:rPr>
          <w:color w:val="231F20"/>
          <w:w w:val="120"/>
          <w:sz w:val="17"/>
        </w:rPr>
        <w:t>lors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pandémie</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COVID-19.</w:t>
      </w:r>
    </w:p>
    <w:p>
      <w:pPr>
        <w:pStyle w:val="ListParagraph"/>
        <w:numPr>
          <w:ilvl w:val="0"/>
          <w:numId w:val="39"/>
        </w:numPr>
        <w:tabs>
          <w:tab w:pos="1331" w:val="left" w:leader="none"/>
        </w:tabs>
        <w:spacing w:line="307" w:lineRule="auto" w:before="0" w:after="0"/>
        <w:ind w:left="1330" w:right="496" w:hanging="251"/>
        <w:jc w:val="both"/>
        <w:rPr>
          <w:sz w:val="17"/>
        </w:rPr>
      </w:pPr>
      <w:r>
        <w:rPr>
          <w:i/>
          <w:color w:val="231F20"/>
          <w:w w:val="115"/>
          <w:sz w:val="17"/>
        </w:rPr>
        <w:t>Les risques d’accident de travail et de maladies professionnelles</w:t>
      </w:r>
      <w:r>
        <w:rPr>
          <w:color w:val="231F20"/>
          <w:w w:val="115"/>
          <w:sz w:val="17"/>
        </w:rPr>
        <w:t>. </w:t>
      </w:r>
      <w:r>
        <w:rPr>
          <w:color w:val="231F20"/>
          <w:w w:val="120"/>
          <w:sz w:val="17"/>
        </w:rPr>
        <w:t>Aucun environnement de travail n’est complètement exempt de </w:t>
      </w:r>
      <w:r>
        <w:rPr>
          <w:color w:val="231F20"/>
          <w:spacing w:val="-4"/>
          <w:w w:val="120"/>
          <w:sz w:val="17"/>
        </w:rPr>
        <w:t>risques</w:t>
      </w:r>
      <w:r>
        <w:rPr>
          <w:color w:val="231F20"/>
          <w:spacing w:val="-5"/>
          <w:w w:val="120"/>
          <w:sz w:val="17"/>
        </w:rPr>
        <w:t> </w:t>
      </w:r>
      <w:r>
        <w:rPr>
          <w:color w:val="231F20"/>
          <w:spacing w:val="-4"/>
          <w:w w:val="120"/>
          <w:sz w:val="17"/>
        </w:rPr>
        <w:t>de</w:t>
      </w:r>
      <w:r>
        <w:rPr>
          <w:color w:val="231F20"/>
          <w:spacing w:val="-5"/>
          <w:w w:val="120"/>
          <w:sz w:val="17"/>
        </w:rPr>
        <w:t> </w:t>
      </w:r>
      <w:r>
        <w:rPr>
          <w:color w:val="231F20"/>
          <w:spacing w:val="-4"/>
          <w:w w:val="120"/>
          <w:sz w:val="17"/>
        </w:rPr>
        <w:t>subir</w:t>
      </w:r>
      <w:r>
        <w:rPr>
          <w:color w:val="231F20"/>
          <w:spacing w:val="-5"/>
          <w:w w:val="120"/>
          <w:sz w:val="17"/>
        </w:rPr>
        <w:t> </w:t>
      </w:r>
      <w:r>
        <w:rPr>
          <w:color w:val="231F20"/>
          <w:spacing w:val="-4"/>
          <w:w w:val="120"/>
          <w:sz w:val="17"/>
        </w:rPr>
        <w:t>un</w:t>
      </w:r>
      <w:r>
        <w:rPr>
          <w:color w:val="231F20"/>
          <w:spacing w:val="-5"/>
          <w:w w:val="120"/>
          <w:sz w:val="17"/>
        </w:rPr>
        <w:t> </w:t>
      </w:r>
      <w:r>
        <w:rPr>
          <w:color w:val="231F20"/>
          <w:spacing w:val="-4"/>
          <w:w w:val="120"/>
          <w:sz w:val="17"/>
        </w:rPr>
        <w:t>accident</w:t>
      </w:r>
      <w:r>
        <w:rPr>
          <w:color w:val="231F20"/>
          <w:spacing w:val="-5"/>
          <w:w w:val="120"/>
          <w:sz w:val="17"/>
        </w:rPr>
        <w:t> </w:t>
      </w:r>
      <w:r>
        <w:rPr>
          <w:color w:val="231F20"/>
          <w:spacing w:val="-4"/>
          <w:w w:val="120"/>
          <w:sz w:val="17"/>
        </w:rPr>
        <w:t>de</w:t>
      </w:r>
      <w:r>
        <w:rPr>
          <w:color w:val="231F20"/>
          <w:spacing w:val="-5"/>
          <w:w w:val="120"/>
          <w:sz w:val="17"/>
        </w:rPr>
        <w:t> </w:t>
      </w:r>
      <w:r>
        <w:rPr>
          <w:color w:val="231F20"/>
          <w:spacing w:val="-4"/>
          <w:w w:val="120"/>
          <w:sz w:val="17"/>
        </w:rPr>
        <w:t>travail</w:t>
      </w:r>
      <w:r>
        <w:rPr>
          <w:color w:val="231F20"/>
          <w:spacing w:val="-5"/>
          <w:w w:val="120"/>
          <w:sz w:val="17"/>
        </w:rPr>
        <w:t> </w:t>
      </w:r>
      <w:r>
        <w:rPr>
          <w:color w:val="231F20"/>
          <w:spacing w:val="-4"/>
          <w:w w:val="120"/>
          <w:sz w:val="17"/>
        </w:rPr>
        <w:t>ou</w:t>
      </w:r>
      <w:r>
        <w:rPr>
          <w:color w:val="231F20"/>
          <w:spacing w:val="-5"/>
          <w:w w:val="120"/>
          <w:sz w:val="17"/>
        </w:rPr>
        <w:t> </w:t>
      </w:r>
      <w:r>
        <w:rPr>
          <w:color w:val="231F20"/>
          <w:spacing w:val="-4"/>
          <w:w w:val="120"/>
          <w:sz w:val="17"/>
        </w:rPr>
        <w:t>de</w:t>
      </w:r>
      <w:r>
        <w:rPr>
          <w:color w:val="231F20"/>
          <w:spacing w:val="-5"/>
          <w:w w:val="120"/>
          <w:sz w:val="17"/>
        </w:rPr>
        <w:t> </w:t>
      </w:r>
      <w:r>
        <w:rPr>
          <w:color w:val="231F20"/>
          <w:spacing w:val="-4"/>
          <w:w w:val="120"/>
          <w:sz w:val="17"/>
        </w:rPr>
        <w:t>contracter</w:t>
      </w:r>
      <w:r>
        <w:rPr>
          <w:color w:val="231F20"/>
          <w:spacing w:val="-5"/>
          <w:w w:val="120"/>
          <w:sz w:val="17"/>
        </w:rPr>
        <w:t> </w:t>
      </w:r>
      <w:r>
        <w:rPr>
          <w:color w:val="231F20"/>
          <w:spacing w:val="-4"/>
          <w:w w:val="120"/>
          <w:sz w:val="17"/>
        </w:rPr>
        <w:t>une</w:t>
      </w:r>
      <w:r>
        <w:rPr>
          <w:color w:val="231F20"/>
          <w:spacing w:val="-5"/>
          <w:w w:val="120"/>
          <w:sz w:val="17"/>
        </w:rPr>
        <w:t> </w:t>
      </w:r>
      <w:r>
        <w:rPr>
          <w:color w:val="231F20"/>
          <w:spacing w:val="-4"/>
          <w:w w:val="120"/>
          <w:sz w:val="17"/>
        </w:rPr>
        <w:t>maladie </w:t>
      </w:r>
      <w:r>
        <w:rPr>
          <w:color w:val="231F20"/>
          <w:w w:val="120"/>
          <w:sz w:val="17"/>
        </w:rPr>
        <w:t>professionnelle. Certains environnements de travail présentent plus de risques que d’autres. Afin de limiter ces stresseurs phy- siques,</w:t>
      </w:r>
      <w:r>
        <w:rPr>
          <w:color w:val="231F20"/>
          <w:spacing w:val="-5"/>
          <w:w w:val="120"/>
          <w:sz w:val="17"/>
        </w:rPr>
        <w:t> </w:t>
      </w:r>
      <w:r>
        <w:rPr>
          <w:color w:val="231F20"/>
          <w:w w:val="120"/>
          <w:sz w:val="17"/>
        </w:rPr>
        <w:t>il</w:t>
      </w:r>
      <w:r>
        <w:rPr>
          <w:color w:val="231F20"/>
          <w:spacing w:val="-5"/>
          <w:w w:val="120"/>
          <w:sz w:val="17"/>
        </w:rPr>
        <w:t> </w:t>
      </w:r>
      <w:r>
        <w:rPr>
          <w:color w:val="231F20"/>
          <w:w w:val="120"/>
          <w:sz w:val="17"/>
        </w:rPr>
        <w:t>en</w:t>
      </w:r>
      <w:r>
        <w:rPr>
          <w:color w:val="231F20"/>
          <w:spacing w:val="-5"/>
          <w:w w:val="120"/>
          <w:sz w:val="17"/>
        </w:rPr>
        <w:t> </w:t>
      </w:r>
      <w:r>
        <w:rPr>
          <w:color w:val="231F20"/>
          <w:w w:val="120"/>
          <w:sz w:val="17"/>
        </w:rPr>
        <w:t>revient</w:t>
      </w:r>
      <w:r>
        <w:rPr>
          <w:color w:val="231F20"/>
          <w:spacing w:val="-5"/>
          <w:w w:val="120"/>
          <w:sz w:val="17"/>
        </w:rPr>
        <w:t> </w:t>
      </w:r>
      <w:r>
        <w:rPr>
          <w:color w:val="231F20"/>
          <w:w w:val="120"/>
          <w:sz w:val="17"/>
        </w:rPr>
        <w:t>à</w:t>
      </w:r>
      <w:r>
        <w:rPr>
          <w:color w:val="231F20"/>
          <w:spacing w:val="-5"/>
          <w:w w:val="120"/>
          <w:sz w:val="17"/>
        </w:rPr>
        <w:t> </w:t>
      </w:r>
      <w:r>
        <w:rPr>
          <w:color w:val="231F20"/>
          <w:w w:val="120"/>
          <w:sz w:val="17"/>
        </w:rPr>
        <w:t>l’entreprise</w:t>
      </w:r>
      <w:r>
        <w:rPr>
          <w:color w:val="231F20"/>
          <w:spacing w:val="-5"/>
          <w:w w:val="120"/>
          <w:sz w:val="17"/>
        </w:rPr>
        <w:t> </w:t>
      </w:r>
      <w:r>
        <w:rPr>
          <w:color w:val="231F20"/>
          <w:w w:val="120"/>
          <w:sz w:val="17"/>
        </w:rPr>
        <w:t>de</w:t>
      </w:r>
      <w:r>
        <w:rPr>
          <w:color w:val="231F20"/>
          <w:spacing w:val="-5"/>
          <w:w w:val="120"/>
          <w:sz w:val="17"/>
        </w:rPr>
        <w:t> </w:t>
      </w:r>
      <w:r>
        <w:rPr>
          <w:color w:val="231F20"/>
          <w:w w:val="120"/>
          <w:sz w:val="17"/>
        </w:rPr>
        <w:t>fournir</w:t>
      </w:r>
      <w:r>
        <w:rPr>
          <w:color w:val="231F20"/>
          <w:spacing w:val="-5"/>
          <w:w w:val="120"/>
          <w:sz w:val="17"/>
        </w:rPr>
        <w:t> </w:t>
      </w:r>
      <w:r>
        <w:rPr>
          <w:color w:val="231F20"/>
          <w:w w:val="120"/>
          <w:sz w:val="17"/>
        </w:rPr>
        <w:t>les</w:t>
      </w:r>
      <w:r>
        <w:rPr>
          <w:color w:val="231F20"/>
          <w:spacing w:val="-5"/>
          <w:w w:val="120"/>
          <w:sz w:val="17"/>
        </w:rPr>
        <w:t> </w:t>
      </w:r>
      <w:r>
        <w:rPr>
          <w:color w:val="231F20"/>
          <w:w w:val="120"/>
          <w:sz w:val="17"/>
        </w:rPr>
        <w:t>procédures</w:t>
      </w:r>
      <w:r>
        <w:rPr>
          <w:color w:val="231F20"/>
          <w:spacing w:val="-5"/>
          <w:w w:val="120"/>
          <w:sz w:val="17"/>
        </w:rPr>
        <w:t> </w:t>
      </w:r>
      <w:r>
        <w:rPr>
          <w:color w:val="231F20"/>
          <w:w w:val="120"/>
          <w:sz w:val="17"/>
        </w:rPr>
        <w:t>et</w:t>
      </w:r>
      <w:r>
        <w:rPr>
          <w:color w:val="231F20"/>
          <w:spacing w:val="-5"/>
          <w:w w:val="120"/>
          <w:sz w:val="17"/>
        </w:rPr>
        <w:t> </w:t>
      </w:r>
      <w:r>
        <w:rPr>
          <w:color w:val="231F20"/>
          <w:w w:val="120"/>
          <w:sz w:val="17"/>
        </w:rPr>
        <w:t>les </w:t>
      </w:r>
      <w:r>
        <w:rPr>
          <w:color w:val="231F20"/>
          <w:w w:val="115"/>
          <w:sz w:val="17"/>
        </w:rPr>
        <w:t>équipements</w:t>
      </w:r>
      <w:r>
        <w:rPr>
          <w:color w:val="231F20"/>
          <w:spacing w:val="-6"/>
          <w:w w:val="115"/>
          <w:sz w:val="17"/>
        </w:rPr>
        <w:t> </w:t>
      </w:r>
      <w:r>
        <w:rPr>
          <w:color w:val="231F20"/>
          <w:w w:val="115"/>
          <w:sz w:val="17"/>
        </w:rPr>
        <w:t>de</w:t>
      </w:r>
      <w:r>
        <w:rPr>
          <w:color w:val="231F20"/>
          <w:spacing w:val="-6"/>
          <w:w w:val="115"/>
          <w:sz w:val="17"/>
        </w:rPr>
        <w:t> </w:t>
      </w:r>
      <w:r>
        <w:rPr>
          <w:color w:val="231F20"/>
          <w:w w:val="115"/>
          <w:sz w:val="17"/>
        </w:rPr>
        <w:t>protection</w:t>
      </w:r>
      <w:r>
        <w:rPr>
          <w:color w:val="231F20"/>
          <w:spacing w:val="-6"/>
          <w:w w:val="115"/>
          <w:sz w:val="17"/>
        </w:rPr>
        <w:t> </w:t>
      </w:r>
      <w:r>
        <w:rPr>
          <w:color w:val="231F20"/>
          <w:w w:val="115"/>
          <w:sz w:val="17"/>
        </w:rPr>
        <w:t>afin</w:t>
      </w:r>
      <w:r>
        <w:rPr>
          <w:color w:val="231F20"/>
          <w:spacing w:val="-6"/>
          <w:w w:val="115"/>
          <w:sz w:val="17"/>
        </w:rPr>
        <w:t> </w:t>
      </w:r>
      <w:r>
        <w:rPr>
          <w:color w:val="231F20"/>
          <w:w w:val="115"/>
          <w:sz w:val="17"/>
        </w:rPr>
        <w:t>d’offrir</w:t>
      </w:r>
      <w:r>
        <w:rPr>
          <w:color w:val="231F20"/>
          <w:spacing w:val="-6"/>
          <w:w w:val="115"/>
          <w:sz w:val="17"/>
        </w:rPr>
        <w:t> </w:t>
      </w:r>
      <w:r>
        <w:rPr>
          <w:color w:val="231F20"/>
          <w:w w:val="115"/>
          <w:sz w:val="17"/>
        </w:rPr>
        <w:t>aux</w:t>
      </w:r>
      <w:r>
        <w:rPr>
          <w:color w:val="231F20"/>
          <w:spacing w:val="-6"/>
          <w:w w:val="115"/>
          <w:sz w:val="17"/>
        </w:rPr>
        <w:t> </w:t>
      </w:r>
      <w:r>
        <w:rPr>
          <w:color w:val="231F20"/>
          <w:w w:val="115"/>
          <w:sz w:val="17"/>
        </w:rPr>
        <w:t>travailleurs</w:t>
      </w:r>
      <w:r>
        <w:rPr>
          <w:color w:val="231F20"/>
          <w:spacing w:val="-6"/>
          <w:w w:val="115"/>
          <w:sz w:val="17"/>
        </w:rPr>
        <w:t> </w:t>
      </w:r>
      <w:r>
        <w:rPr>
          <w:color w:val="231F20"/>
          <w:w w:val="115"/>
          <w:sz w:val="17"/>
        </w:rPr>
        <w:t>les</w:t>
      </w:r>
      <w:r>
        <w:rPr>
          <w:color w:val="231F20"/>
          <w:spacing w:val="-6"/>
          <w:w w:val="115"/>
          <w:sz w:val="17"/>
        </w:rPr>
        <w:t> </w:t>
      </w:r>
      <w:r>
        <w:rPr>
          <w:color w:val="231F20"/>
          <w:w w:val="115"/>
          <w:sz w:val="17"/>
        </w:rPr>
        <w:t>mesures </w:t>
      </w:r>
      <w:r>
        <w:rPr>
          <w:color w:val="231F20"/>
          <w:w w:val="120"/>
          <w:sz w:val="17"/>
        </w:rPr>
        <w:t>nécessaires pour assurer leur bien-être et leur sécurité physique sur les lieux de travail.</w:t>
      </w:r>
    </w:p>
    <w:p>
      <w:pPr>
        <w:pStyle w:val="BodyText"/>
        <w:spacing w:before="6"/>
        <w:rPr>
          <w:sz w:val="21"/>
        </w:rPr>
      </w:pPr>
    </w:p>
    <w:p>
      <w:pPr>
        <w:pStyle w:val="BodyText"/>
        <w:spacing w:line="307" w:lineRule="auto"/>
        <w:ind w:left="830" w:right="494"/>
        <w:jc w:val="both"/>
      </w:pPr>
      <w:r>
        <w:rPr>
          <w:b/>
          <w:color w:val="231F20"/>
          <w:w w:val="120"/>
        </w:rPr>
        <w:t>Les stresseurs individuels</w:t>
      </w:r>
      <w:r>
        <w:rPr>
          <w:color w:val="231F20"/>
          <w:w w:val="120"/>
        </w:rPr>
        <w:t>. Les environnements de travail présentent </w:t>
      </w:r>
      <w:r>
        <w:rPr>
          <w:color w:val="231F20"/>
          <w:spacing w:val="-2"/>
          <w:w w:val="120"/>
        </w:rPr>
        <w:t>divers</w:t>
      </w:r>
      <w:r>
        <w:rPr>
          <w:color w:val="231F20"/>
          <w:spacing w:val="-8"/>
          <w:w w:val="120"/>
        </w:rPr>
        <w:t> </w:t>
      </w:r>
      <w:r>
        <w:rPr>
          <w:color w:val="231F20"/>
          <w:spacing w:val="-2"/>
          <w:w w:val="120"/>
        </w:rPr>
        <w:t>stresseurs</w:t>
      </w:r>
      <w:r>
        <w:rPr>
          <w:color w:val="231F20"/>
          <w:spacing w:val="-8"/>
          <w:w w:val="120"/>
        </w:rPr>
        <w:t> </w:t>
      </w:r>
      <w:r>
        <w:rPr>
          <w:color w:val="231F20"/>
          <w:spacing w:val="-2"/>
          <w:w w:val="120"/>
        </w:rPr>
        <w:t>individuels</w:t>
      </w:r>
      <w:r>
        <w:rPr>
          <w:color w:val="231F20"/>
          <w:spacing w:val="-8"/>
          <w:w w:val="120"/>
        </w:rPr>
        <w:t> </w:t>
      </w:r>
      <w:r>
        <w:rPr>
          <w:color w:val="231F20"/>
          <w:spacing w:val="-2"/>
          <w:w w:val="120"/>
        </w:rPr>
        <w:t>qui</w:t>
      </w:r>
      <w:r>
        <w:rPr>
          <w:color w:val="231F20"/>
          <w:spacing w:val="-8"/>
          <w:w w:val="120"/>
        </w:rPr>
        <w:t> </w:t>
      </w:r>
      <w:r>
        <w:rPr>
          <w:color w:val="231F20"/>
          <w:spacing w:val="-2"/>
          <w:w w:val="120"/>
        </w:rPr>
        <w:t>varient</w:t>
      </w:r>
      <w:r>
        <w:rPr>
          <w:color w:val="231F20"/>
          <w:spacing w:val="-8"/>
          <w:w w:val="120"/>
        </w:rPr>
        <w:t> </w:t>
      </w:r>
      <w:r>
        <w:rPr>
          <w:color w:val="231F20"/>
          <w:spacing w:val="-2"/>
          <w:w w:val="120"/>
        </w:rPr>
        <w:t>selon</w:t>
      </w:r>
      <w:r>
        <w:rPr>
          <w:color w:val="231F20"/>
          <w:spacing w:val="-8"/>
          <w:w w:val="120"/>
        </w:rPr>
        <w:t> </w:t>
      </w:r>
      <w:r>
        <w:rPr>
          <w:color w:val="231F20"/>
          <w:spacing w:val="-2"/>
          <w:w w:val="120"/>
        </w:rPr>
        <w:t>le</w:t>
      </w:r>
      <w:r>
        <w:rPr>
          <w:color w:val="231F20"/>
          <w:spacing w:val="-8"/>
          <w:w w:val="120"/>
        </w:rPr>
        <w:t> </w:t>
      </w:r>
      <w:r>
        <w:rPr>
          <w:color w:val="231F20"/>
          <w:spacing w:val="-2"/>
          <w:w w:val="120"/>
        </w:rPr>
        <w:t>contexte</w:t>
      </w:r>
      <w:r>
        <w:rPr>
          <w:color w:val="231F20"/>
          <w:spacing w:val="-8"/>
          <w:w w:val="120"/>
        </w:rPr>
        <w:t> </w:t>
      </w:r>
      <w:r>
        <w:rPr>
          <w:color w:val="231F20"/>
          <w:spacing w:val="-2"/>
          <w:w w:val="120"/>
        </w:rPr>
        <w:t>et</w:t>
      </w:r>
      <w:r>
        <w:rPr>
          <w:color w:val="231F20"/>
          <w:spacing w:val="-8"/>
          <w:w w:val="120"/>
        </w:rPr>
        <w:t> </w:t>
      </w:r>
      <w:r>
        <w:rPr>
          <w:color w:val="231F20"/>
          <w:spacing w:val="-2"/>
          <w:w w:val="120"/>
        </w:rPr>
        <w:t>la</w:t>
      </w:r>
      <w:r>
        <w:rPr>
          <w:color w:val="231F20"/>
          <w:spacing w:val="-8"/>
          <w:w w:val="120"/>
        </w:rPr>
        <w:t> </w:t>
      </w:r>
      <w:r>
        <w:rPr>
          <w:color w:val="231F20"/>
          <w:spacing w:val="-2"/>
          <w:w w:val="120"/>
        </w:rPr>
        <w:t>nature</w:t>
      </w:r>
      <w:r>
        <w:rPr>
          <w:color w:val="231F20"/>
          <w:spacing w:val="-8"/>
          <w:w w:val="120"/>
        </w:rPr>
        <w:t> </w:t>
      </w:r>
      <w:r>
        <w:rPr>
          <w:color w:val="231F20"/>
          <w:spacing w:val="-2"/>
          <w:w w:val="120"/>
        </w:rPr>
        <w:t>des </w:t>
      </w:r>
      <w:r>
        <w:rPr>
          <w:color w:val="231F20"/>
          <w:spacing w:val="-2"/>
          <w:w w:val="115"/>
        </w:rPr>
        <w:t>tâches</w:t>
      </w:r>
      <w:r>
        <w:rPr>
          <w:color w:val="231F20"/>
          <w:spacing w:val="-4"/>
          <w:w w:val="115"/>
        </w:rPr>
        <w:t> </w:t>
      </w:r>
      <w:r>
        <w:rPr>
          <w:color w:val="231F20"/>
          <w:spacing w:val="-2"/>
          <w:w w:val="115"/>
        </w:rPr>
        <w:t>à</w:t>
      </w:r>
      <w:r>
        <w:rPr>
          <w:color w:val="231F20"/>
          <w:spacing w:val="-4"/>
          <w:w w:val="115"/>
        </w:rPr>
        <w:t> </w:t>
      </w:r>
      <w:r>
        <w:rPr>
          <w:color w:val="231F20"/>
          <w:spacing w:val="-2"/>
          <w:w w:val="115"/>
        </w:rPr>
        <w:t>effectuer.</w:t>
      </w:r>
      <w:r>
        <w:rPr>
          <w:color w:val="231F20"/>
          <w:spacing w:val="-4"/>
          <w:w w:val="115"/>
        </w:rPr>
        <w:t> </w:t>
      </w:r>
      <w:r>
        <w:rPr>
          <w:color w:val="231F20"/>
          <w:spacing w:val="-2"/>
          <w:w w:val="115"/>
        </w:rPr>
        <w:t>Bien</w:t>
      </w:r>
      <w:r>
        <w:rPr>
          <w:color w:val="231F20"/>
          <w:spacing w:val="-4"/>
          <w:w w:val="115"/>
        </w:rPr>
        <w:t> </w:t>
      </w:r>
      <w:r>
        <w:rPr>
          <w:color w:val="231F20"/>
          <w:spacing w:val="-2"/>
          <w:w w:val="115"/>
        </w:rPr>
        <w:t>qu’il</w:t>
      </w:r>
      <w:r>
        <w:rPr>
          <w:color w:val="231F20"/>
          <w:spacing w:val="-4"/>
          <w:w w:val="115"/>
        </w:rPr>
        <w:t> </w:t>
      </w:r>
      <w:r>
        <w:rPr>
          <w:color w:val="231F20"/>
          <w:spacing w:val="-2"/>
          <w:w w:val="115"/>
        </w:rPr>
        <w:t>soit</w:t>
      </w:r>
      <w:r>
        <w:rPr>
          <w:color w:val="231F20"/>
          <w:spacing w:val="-4"/>
          <w:w w:val="115"/>
        </w:rPr>
        <w:t> </w:t>
      </w:r>
      <w:r>
        <w:rPr>
          <w:color w:val="231F20"/>
          <w:spacing w:val="-2"/>
          <w:w w:val="115"/>
        </w:rPr>
        <w:t>difficile</w:t>
      </w:r>
      <w:r>
        <w:rPr>
          <w:color w:val="231F20"/>
          <w:spacing w:val="-4"/>
          <w:w w:val="115"/>
        </w:rPr>
        <w:t> </w:t>
      </w:r>
      <w:r>
        <w:rPr>
          <w:color w:val="231F20"/>
          <w:spacing w:val="-2"/>
          <w:w w:val="115"/>
        </w:rPr>
        <w:t>d’en</w:t>
      </w:r>
      <w:r>
        <w:rPr>
          <w:color w:val="231F20"/>
          <w:spacing w:val="-4"/>
          <w:w w:val="115"/>
        </w:rPr>
        <w:t> </w:t>
      </w:r>
      <w:r>
        <w:rPr>
          <w:color w:val="231F20"/>
          <w:spacing w:val="-2"/>
          <w:w w:val="115"/>
        </w:rPr>
        <w:t>dresser</w:t>
      </w:r>
      <w:r>
        <w:rPr>
          <w:color w:val="231F20"/>
          <w:spacing w:val="-4"/>
          <w:w w:val="115"/>
        </w:rPr>
        <w:t> </w:t>
      </w:r>
      <w:r>
        <w:rPr>
          <w:color w:val="231F20"/>
          <w:spacing w:val="-2"/>
          <w:w w:val="115"/>
        </w:rPr>
        <w:t>une</w:t>
      </w:r>
      <w:r>
        <w:rPr>
          <w:color w:val="231F20"/>
          <w:spacing w:val="-4"/>
          <w:w w:val="115"/>
        </w:rPr>
        <w:t> </w:t>
      </w:r>
      <w:r>
        <w:rPr>
          <w:color w:val="231F20"/>
          <w:spacing w:val="-2"/>
          <w:w w:val="115"/>
        </w:rPr>
        <w:t>liste</w:t>
      </w:r>
      <w:r>
        <w:rPr>
          <w:color w:val="231F20"/>
          <w:spacing w:val="-4"/>
          <w:w w:val="115"/>
        </w:rPr>
        <w:t> </w:t>
      </w:r>
      <w:r>
        <w:rPr>
          <w:color w:val="231F20"/>
          <w:spacing w:val="-2"/>
          <w:w w:val="115"/>
        </w:rPr>
        <w:t>exhaustive, </w:t>
      </w:r>
      <w:r>
        <w:rPr>
          <w:color w:val="231F20"/>
          <w:spacing w:val="-2"/>
          <w:w w:val="120"/>
        </w:rPr>
        <w:t>voici</w:t>
      </w:r>
      <w:r>
        <w:rPr>
          <w:color w:val="231F20"/>
          <w:spacing w:val="-11"/>
          <w:w w:val="120"/>
        </w:rPr>
        <w:t> </w:t>
      </w:r>
      <w:r>
        <w:rPr>
          <w:color w:val="231F20"/>
          <w:spacing w:val="-2"/>
          <w:w w:val="120"/>
        </w:rPr>
        <w:t>les</w:t>
      </w:r>
      <w:r>
        <w:rPr>
          <w:color w:val="231F20"/>
          <w:spacing w:val="-11"/>
          <w:w w:val="120"/>
        </w:rPr>
        <w:t> </w:t>
      </w:r>
      <w:r>
        <w:rPr>
          <w:color w:val="231F20"/>
          <w:spacing w:val="-2"/>
          <w:w w:val="120"/>
        </w:rPr>
        <w:t>principaux</w:t>
      </w:r>
      <w:r>
        <w:rPr>
          <w:color w:val="231F20"/>
          <w:spacing w:val="-11"/>
          <w:w w:val="120"/>
        </w:rPr>
        <w:t> </w:t>
      </w:r>
      <w:r>
        <w:rPr>
          <w:color w:val="231F20"/>
          <w:spacing w:val="-2"/>
          <w:w w:val="120"/>
        </w:rPr>
        <w:t>stresseurs</w:t>
      </w:r>
      <w:r>
        <w:rPr>
          <w:color w:val="231F20"/>
          <w:spacing w:val="-10"/>
          <w:w w:val="120"/>
        </w:rPr>
        <w:t> </w:t>
      </w:r>
      <w:r>
        <w:rPr>
          <w:color w:val="231F20"/>
          <w:spacing w:val="-2"/>
          <w:w w:val="120"/>
        </w:rPr>
        <w:t>individuels</w:t>
      </w:r>
      <w:r>
        <w:rPr>
          <w:color w:val="231F20"/>
          <w:spacing w:val="-11"/>
          <w:w w:val="120"/>
        </w:rPr>
        <w:t> </w:t>
      </w:r>
      <w:r>
        <w:rPr>
          <w:color w:val="231F20"/>
          <w:spacing w:val="-2"/>
          <w:w w:val="120"/>
        </w:rPr>
        <w:t>qu’on</w:t>
      </w:r>
      <w:r>
        <w:rPr>
          <w:color w:val="231F20"/>
          <w:spacing w:val="-11"/>
          <w:w w:val="120"/>
        </w:rPr>
        <w:t> </w:t>
      </w:r>
      <w:r>
        <w:rPr>
          <w:color w:val="231F20"/>
          <w:spacing w:val="-2"/>
          <w:w w:val="120"/>
        </w:rPr>
        <w:t>rencontre</w:t>
      </w:r>
      <w:r>
        <w:rPr>
          <w:color w:val="231F20"/>
          <w:spacing w:val="-11"/>
          <w:w w:val="120"/>
        </w:rPr>
        <w:t> </w:t>
      </w:r>
      <w:r>
        <w:rPr>
          <w:color w:val="231F20"/>
          <w:spacing w:val="-2"/>
          <w:w w:val="120"/>
        </w:rPr>
        <w:t>régulièrement </w:t>
      </w:r>
      <w:r>
        <w:rPr>
          <w:color w:val="231F20"/>
          <w:w w:val="120"/>
        </w:rPr>
        <w:t>dans les organisations:</w:t>
      </w:r>
    </w:p>
    <w:p>
      <w:pPr>
        <w:pStyle w:val="ListParagraph"/>
        <w:numPr>
          <w:ilvl w:val="0"/>
          <w:numId w:val="39"/>
        </w:numPr>
        <w:tabs>
          <w:tab w:pos="1331" w:val="left" w:leader="none"/>
        </w:tabs>
        <w:spacing w:line="307" w:lineRule="auto" w:before="80" w:after="0"/>
        <w:ind w:left="1330" w:right="491" w:hanging="251"/>
        <w:jc w:val="both"/>
        <w:rPr>
          <w:sz w:val="17"/>
        </w:rPr>
      </w:pPr>
      <w:r>
        <w:rPr>
          <w:i/>
          <w:color w:val="231F20"/>
          <w:spacing w:val="-2"/>
          <w:w w:val="115"/>
          <w:sz w:val="17"/>
        </w:rPr>
        <w:t>La</w:t>
      </w:r>
      <w:r>
        <w:rPr>
          <w:i/>
          <w:color w:val="231F20"/>
          <w:spacing w:val="-5"/>
          <w:w w:val="115"/>
          <w:sz w:val="17"/>
        </w:rPr>
        <w:t> </w:t>
      </w:r>
      <w:r>
        <w:rPr>
          <w:i/>
          <w:color w:val="231F20"/>
          <w:spacing w:val="-2"/>
          <w:w w:val="115"/>
          <w:sz w:val="17"/>
        </w:rPr>
        <w:t>surcharge</w:t>
      </w:r>
      <w:r>
        <w:rPr>
          <w:i/>
          <w:color w:val="231F20"/>
          <w:spacing w:val="-5"/>
          <w:w w:val="115"/>
          <w:sz w:val="17"/>
        </w:rPr>
        <w:t> </w:t>
      </w:r>
      <w:r>
        <w:rPr>
          <w:i/>
          <w:color w:val="231F20"/>
          <w:spacing w:val="-2"/>
          <w:w w:val="115"/>
          <w:sz w:val="17"/>
        </w:rPr>
        <w:t>de</w:t>
      </w:r>
      <w:r>
        <w:rPr>
          <w:i/>
          <w:color w:val="231F20"/>
          <w:spacing w:val="-5"/>
          <w:w w:val="115"/>
          <w:sz w:val="17"/>
        </w:rPr>
        <w:t> </w:t>
      </w:r>
      <w:r>
        <w:rPr>
          <w:i/>
          <w:color w:val="231F20"/>
          <w:spacing w:val="-2"/>
          <w:w w:val="115"/>
          <w:sz w:val="17"/>
        </w:rPr>
        <w:t>travail</w:t>
      </w:r>
      <w:r>
        <w:rPr>
          <w:color w:val="231F20"/>
          <w:spacing w:val="-2"/>
          <w:w w:val="115"/>
          <w:sz w:val="17"/>
        </w:rPr>
        <w:t>.</w:t>
      </w:r>
      <w:r>
        <w:rPr>
          <w:color w:val="231F20"/>
          <w:spacing w:val="-5"/>
          <w:w w:val="115"/>
          <w:sz w:val="17"/>
        </w:rPr>
        <w:t> </w:t>
      </w:r>
      <w:r>
        <w:rPr>
          <w:color w:val="231F20"/>
          <w:spacing w:val="-2"/>
          <w:w w:val="115"/>
          <w:sz w:val="17"/>
        </w:rPr>
        <w:t>Une</w:t>
      </w:r>
      <w:r>
        <w:rPr>
          <w:color w:val="231F20"/>
          <w:spacing w:val="-5"/>
          <w:w w:val="115"/>
          <w:sz w:val="17"/>
        </w:rPr>
        <w:t> </w:t>
      </w:r>
      <w:r>
        <w:rPr>
          <w:color w:val="231F20"/>
          <w:spacing w:val="-2"/>
          <w:w w:val="115"/>
          <w:sz w:val="17"/>
        </w:rPr>
        <w:t>charge</w:t>
      </w:r>
      <w:r>
        <w:rPr>
          <w:color w:val="231F20"/>
          <w:spacing w:val="-5"/>
          <w:w w:val="115"/>
          <w:sz w:val="17"/>
        </w:rPr>
        <w:t> </w:t>
      </w:r>
      <w:r>
        <w:rPr>
          <w:color w:val="231F20"/>
          <w:spacing w:val="-2"/>
          <w:w w:val="115"/>
          <w:sz w:val="17"/>
        </w:rPr>
        <w:t>de</w:t>
      </w:r>
      <w:r>
        <w:rPr>
          <w:color w:val="231F20"/>
          <w:spacing w:val="-5"/>
          <w:w w:val="115"/>
          <w:sz w:val="17"/>
        </w:rPr>
        <w:t> </w:t>
      </w:r>
      <w:r>
        <w:rPr>
          <w:color w:val="231F20"/>
          <w:spacing w:val="-2"/>
          <w:w w:val="115"/>
          <w:sz w:val="17"/>
        </w:rPr>
        <w:t>travail</w:t>
      </w:r>
      <w:r>
        <w:rPr>
          <w:color w:val="231F20"/>
          <w:spacing w:val="-5"/>
          <w:w w:val="115"/>
          <w:sz w:val="17"/>
        </w:rPr>
        <w:t> </w:t>
      </w:r>
      <w:r>
        <w:rPr>
          <w:color w:val="231F20"/>
          <w:spacing w:val="-2"/>
          <w:w w:val="115"/>
          <w:sz w:val="17"/>
        </w:rPr>
        <w:t>excessive,</w:t>
      </w:r>
      <w:r>
        <w:rPr>
          <w:color w:val="231F20"/>
          <w:spacing w:val="-5"/>
          <w:w w:val="115"/>
          <w:sz w:val="17"/>
        </w:rPr>
        <w:t> </w:t>
      </w:r>
      <w:r>
        <w:rPr>
          <w:color w:val="231F20"/>
          <w:spacing w:val="-2"/>
          <w:w w:val="115"/>
          <w:sz w:val="17"/>
        </w:rPr>
        <w:t>en</w:t>
      </w:r>
      <w:r>
        <w:rPr>
          <w:color w:val="231F20"/>
          <w:spacing w:val="-5"/>
          <w:w w:val="115"/>
          <w:sz w:val="17"/>
        </w:rPr>
        <w:t> </w:t>
      </w:r>
      <w:r>
        <w:rPr>
          <w:color w:val="231F20"/>
          <w:spacing w:val="-2"/>
          <w:w w:val="115"/>
          <w:sz w:val="17"/>
        </w:rPr>
        <w:t>quantité </w:t>
      </w:r>
      <w:r>
        <w:rPr>
          <w:color w:val="231F20"/>
          <w:w w:val="115"/>
          <w:sz w:val="17"/>
        </w:rPr>
        <w:t>comme</w:t>
      </w:r>
      <w:r>
        <w:rPr>
          <w:color w:val="231F20"/>
          <w:spacing w:val="-3"/>
          <w:w w:val="115"/>
          <w:sz w:val="17"/>
        </w:rPr>
        <w:t> </w:t>
      </w:r>
      <w:r>
        <w:rPr>
          <w:color w:val="231F20"/>
          <w:w w:val="115"/>
          <w:sz w:val="17"/>
        </w:rPr>
        <w:t>en</w:t>
      </w:r>
      <w:r>
        <w:rPr>
          <w:color w:val="231F20"/>
          <w:spacing w:val="-3"/>
          <w:w w:val="115"/>
          <w:sz w:val="17"/>
        </w:rPr>
        <w:t> </w:t>
      </w:r>
      <w:r>
        <w:rPr>
          <w:color w:val="231F20"/>
          <w:w w:val="115"/>
          <w:sz w:val="17"/>
        </w:rPr>
        <w:t>qualité,</w:t>
      </w:r>
      <w:r>
        <w:rPr>
          <w:color w:val="231F20"/>
          <w:spacing w:val="-3"/>
          <w:w w:val="115"/>
          <w:sz w:val="17"/>
        </w:rPr>
        <w:t> </w:t>
      </w:r>
      <w:r>
        <w:rPr>
          <w:color w:val="231F20"/>
          <w:w w:val="115"/>
          <w:sz w:val="17"/>
        </w:rPr>
        <w:t>est</w:t>
      </w:r>
      <w:r>
        <w:rPr>
          <w:color w:val="231F20"/>
          <w:spacing w:val="-3"/>
          <w:w w:val="115"/>
          <w:sz w:val="17"/>
        </w:rPr>
        <w:t> </w:t>
      </w:r>
      <w:r>
        <w:rPr>
          <w:color w:val="231F20"/>
          <w:w w:val="115"/>
          <w:sz w:val="17"/>
        </w:rPr>
        <w:t>une</w:t>
      </w:r>
      <w:r>
        <w:rPr>
          <w:color w:val="231F20"/>
          <w:spacing w:val="-3"/>
          <w:w w:val="115"/>
          <w:sz w:val="17"/>
        </w:rPr>
        <w:t> </w:t>
      </w:r>
      <w:r>
        <w:rPr>
          <w:color w:val="231F20"/>
          <w:w w:val="115"/>
          <w:sz w:val="17"/>
        </w:rPr>
        <w:t>source</w:t>
      </w:r>
      <w:r>
        <w:rPr>
          <w:color w:val="231F20"/>
          <w:spacing w:val="-3"/>
          <w:w w:val="115"/>
          <w:sz w:val="17"/>
        </w:rPr>
        <w:t> </w:t>
      </w:r>
      <w:r>
        <w:rPr>
          <w:color w:val="231F20"/>
          <w:w w:val="115"/>
          <w:sz w:val="17"/>
        </w:rPr>
        <w:t>de</w:t>
      </w:r>
      <w:r>
        <w:rPr>
          <w:color w:val="231F20"/>
          <w:spacing w:val="-3"/>
          <w:w w:val="115"/>
          <w:sz w:val="17"/>
        </w:rPr>
        <w:t> </w:t>
      </w:r>
      <w:r>
        <w:rPr>
          <w:color w:val="231F20"/>
          <w:w w:val="115"/>
          <w:sz w:val="17"/>
        </w:rPr>
        <w:t>stress</w:t>
      </w:r>
      <w:r>
        <w:rPr>
          <w:color w:val="231F20"/>
          <w:spacing w:val="-3"/>
          <w:w w:val="115"/>
          <w:sz w:val="17"/>
        </w:rPr>
        <w:t> </w:t>
      </w:r>
      <w:r>
        <w:rPr>
          <w:color w:val="231F20"/>
          <w:w w:val="115"/>
          <w:sz w:val="17"/>
        </w:rPr>
        <w:t>commune.</w:t>
      </w:r>
      <w:r>
        <w:rPr>
          <w:color w:val="231F20"/>
          <w:spacing w:val="-3"/>
          <w:w w:val="115"/>
          <w:sz w:val="17"/>
        </w:rPr>
        <w:t> </w:t>
      </w:r>
      <w:r>
        <w:rPr>
          <w:color w:val="231F20"/>
          <w:w w:val="115"/>
          <w:sz w:val="17"/>
        </w:rPr>
        <w:t>La</w:t>
      </w:r>
      <w:r>
        <w:rPr>
          <w:color w:val="231F20"/>
          <w:spacing w:val="-3"/>
          <w:w w:val="115"/>
          <w:sz w:val="17"/>
        </w:rPr>
        <w:t> </w:t>
      </w:r>
      <w:r>
        <w:rPr>
          <w:color w:val="231F20"/>
          <w:w w:val="115"/>
          <w:sz w:val="17"/>
        </w:rPr>
        <w:t>surcharge </w:t>
      </w:r>
      <w:r>
        <w:rPr>
          <w:color w:val="231F20"/>
          <w:w w:val="120"/>
          <w:sz w:val="17"/>
        </w:rPr>
        <w:t>ou la tension associée à la surstimulation peut être objective ou </w:t>
      </w:r>
      <w:r>
        <w:rPr>
          <w:color w:val="231F20"/>
          <w:w w:val="115"/>
          <w:sz w:val="17"/>
        </w:rPr>
        <w:t>subjective,</w:t>
      </w:r>
      <w:r>
        <w:rPr>
          <w:color w:val="231F20"/>
          <w:spacing w:val="-4"/>
          <w:w w:val="115"/>
          <w:sz w:val="17"/>
        </w:rPr>
        <w:t> </w:t>
      </w:r>
      <w:r>
        <w:rPr>
          <w:color w:val="231F20"/>
          <w:w w:val="115"/>
          <w:sz w:val="17"/>
        </w:rPr>
        <w:t>selon</w:t>
      </w:r>
      <w:r>
        <w:rPr>
          <w:color w:val="231F20"/>
          <w:spacing w:val="-4"/>
          <w:w w:val="115"/>
          <w:sz w:val="17"/>
        </w:rPr>
        <w:t> </w:t>
      </w:r>
      <w:r>
        <w:rPr>
          <w:color w:val="231F20"/>
          <w:w w:val="115"/>
          <w:sz w:val="17"/>
        </w:rPr>
        <w:t>l’évaluation</w:t>
      </w:r>
      <w:r>
        <w:rPr>
          <w:color w:val="231F20"/>
          <w:spacing w:val="-4"/>
          <w:w w:val="115"/>
          <w:sz w:val="17"/>
        </w:rPr>
        <w:t> </w:t>
      </w:r>
      <w:r>
        <w:rPr>
          <w:color w:val="231F20"/>
          <w:w w:val="115"/>
          <w:sz w:val="17"/>
        </w:rPr>
        <w:t>qu’en</w:t>
      </w:r>
      <w:r>
        <w:rPr>
          <w:color w:val="231F20"/>
          <w:spacing w:val="-4"/>
          <w:w w:val="115"/>
          <w:sz w:val="17"/>
        </w:rPr>
        <w:t> </w:t>
      </w:r>
      <w:r>
        <w:rPr>
          <w:color w:val="231F20"/>
          <w:w w:val="115"/>
          <w:sz w:val="17"/>
        </w:rPr>
        <w:t>fait</w:t>
      </w:r>
      <w:r>
        <w:rPr>
          <w:color w:val="231F20"/>
          <w:spacing w:val="-4"/>
          <w:w w:val="115"/>
          <w:sz w:val="17"/>
        </w:rPr>
        <w:t> </w:t>
      </w:r>
      <w:r>
        <w:rPr>
          <w:color w:val="231F20"/>
          <w:w w:val="115"/>
          <w:sz w:val="17"/>
        </w:rPr>
        <w:t>l’individu</w:t>
      </w:r>
      <w:r>
        <w:rPr>
          <w:color w:val="231F20"/>
          <w:spacing w:val="-4"/>
          <w:w w:val="115"/>
          <w:sz w:val="17"/>
        </w:rPr>
        <w:t> </w:t>
      </w:r>
      <w:r>
        <w:rPr>
          <w:color w:val="231F20"/>
          <w:w w:val="115"/>
          <w:sz w:val="17"/>
        </w:rPr>
        <w:t>et</w:t>
      </w:r>
      <w:r>
        <w:rPr>
          <w:color w:val="231F20"/>
          <w:spacing w:val="-4"/>
          <w:w w:val="115"/>
          <w:sz w:val="17"/>
        </w:rPr>
        <w:t> </w:t>
      </w:r>
      <w:r>
        <w:rPr>
          <w:color w:val="231F20"/>
          <w:w w:val="115"/>
          <w:sz w:val="17"/>
        </w:rPr>
        <w:t>ses</w:t>
      </w:r>
      <w:r>
        <w:rPr>
          <w:color w:val="231F20"/>
          <w:spacing w:val="-4"/>
          <w:w w:val="115"/>
          <w:sz w:val="17"/>
        </w:rPr>
        <w:t> </w:t>
      </w:r>
      <w:r>
        <w:rPr>
          <w:color w:val="231F20"/>
          <w:w w:val="115"/>
          <w:sz w:val="17"/>
        </w:rPr>
        <w:t>caractéris- </w:t>
      </w:r>
      <w:r>
        <w:rPr>
          <w:color w:val="231F20"/>
          <w:w w:val="120"/>
          <w:sz w:val="17"/>
        </w:rPr>
        <w:t>tiques</w:t>
      </w:r>
      <w:r>
        <w:rPr>
          <w:color w:val="231F20"/>
          <w:spacing w:val="-9"/>
          <w:w w:val="120"/>
          <w:sz w:val="17"/>
        </w:rPr>
        <w:t> </w:t>
      </w:r>
      <w:r>
        <w:rPr>
          <w:color w:val="231F20"/>
          <w:w w:val="120"/>
          <w:sz w:val="17"/>
        </w:rPr>
        <w:t>personnelles.</w:t>
      </w:r>
      <w:r>
        <w:rPr>
          <w:color w:val="231F20"/>
          <w:spacing w:val="-9"/>
          <w:w w:val="120"/>
          <w:sz w:val="17"/>
        </w:rPr>
        <w:t> </w:t>
      </w:r>
      <w:r>
        <w:rPr>
          <w:color w:val="231F20"/>
          <w:w w:val="120"/>
          <w:sz w:val="17"/>
        </w:rPr>
        <w:t>En</w:t>
      </w:r>
      <w:r>
        <w:rPr>
          <w:color w:val="231F20"/>
          <w:spacing w:val="-9"/>
          <w:w w:val="120"/>
          <w:sz w:val="17"/>
        </w:rPr>
        <w:t> </w:t>
      </w:r>
      <w:r>
        <w:rPr>
          <w:color w:val="231F20"/>
          <w:w w:val="120"/>
          <w:sz w:val="17"/>
        </w:rPr>
        <w:t>revanche,</w:t>
      </w:r>
      <w:r>
        <w:rPr>
          <w:color w:val="231F20"/>
          <w:spacing w:val="-9"/>
          <w:w w:val="120"/>
          <w:sz w:val="17"/>
        </w:rPr>
        <w:t> </w:t>
      </w:r>
      <w:r>
        <w:rPr>
          <w:color w:val="231F20"/>
          <w:w w:val="120"/>
          <w:sz w:val="17"/>
        </w:rPr>
        <w:t>le</w:t>
      </w:r>
      <w:r>
        <w:rPr>
          <w:color w:val="231F20"/>
          <w:spacing w:val="-9"/>
          <w:w w:val="120"/>
          <w:sz w:val="17"/>
        </w:rPr>
        <w:t> </w:t>
      </w:r>
      <w:r>
        <w:rPr>
          <w:color w:val="231F20"/>
          <w:w w:val="120"/>
          <w:sz w:val="17"/>
        </w:rPr>
        <w:t>manque</w:t>
      </w:r>
      <w:r>
        <w:rPr>
          <w:color w:val="231F20"/>
          <w:spacing w:val="-9"/>
          <w:w w:val="120"/>
          <w:sz w:val="17"/>
        </w:rPr>
        <w:t> </w:t>
      </w:r>
      <w:r>
        <w:rPr>
          <w:color w:val="231F20"/>
          <w:w w:val="120"/>
          <w:sz w:val="17"/>
        </w:rPr>
        <w:t>de</w:t>
      </w:r>
      <w:r>
        <w:rPr>
          <w:color w:val="231F20"/>
          <w:spacing w:val="-9"/>
          <w:w w:val="120"/>
          <w:sz w:val="17"/>
        </w:rPr>
        <w:t> </w:t>
      </w:r>
      <w:r>
        <w:rPr>
          <w:color w:val="231F20"/>
          <w:w w:val="120"/>
          <w:sz w:val="17"/>
        </w:rPr>
        <w:t>travail</w:t>
      </w:r>
      <w:r>
        <w:rPr>
          <w:color w:val="231F20"/>
          <w:spacing w:val="-9"/>
          <w:w w:val="120"/>
          <w:sz w:val="17"/>
        </w:rPr>
        <w:t> </w:t>
      </w:r>
      <w:r>
        <w:rPr>
          <w:color w:val="231F20"/>
          <w:w w:val="120"/>
          <w:sz w:val="17"/>
        </w:rPr>
        <w:t>peut</w:t>
      </w:r>
      <w:r>
        <w:rPr>
          <w:color w:val="231F20"/>
          <w:spacing w:val="-9"/>
          <w:w w:val="120"/>
          <w:sz w:val="17"/>
        </w:rPr>
        <w:t> </w:t>
      </w:r>
      <w:r>
        <w:rPr>
          <w:color w:val="231F20"/>
          <w:w w:val="120"/>
          <w:sz w:val="17"/>
        </w:rPr>
        <w:t>aussi être une source de stress par manque de stimulation. En effet, </w:t>
      </w:r>
      <w:r>
        <w:rPr>
          <w:color w:val="231F20"/>
          <w:w w:val="115"/>
          <w:sz w:val="17"/>
        </w:rPr>
        <w:t>l’absence</w:t>
      </w:r>
      <w:r>
        <w:rPr>
          <w:color w:val="231F20"/>
          <w:spacing w:val="-11"/>
          <w:w w:val="115"/>
          <w:sz w:val="17"/>
        </w:rPr>
        <w:t> </w:t>
      </w:r>
      <w:r>
        <w:rPr>
          <w:color w:val="231F20"/>
          <w:w w:val="115"/>
          <w:sz w:val="17"/>
        </w:rPr>
        <w:t>de</w:t>
      </w:r>
      <w:r>
        <w:rPr>
          <w:color w:val="231F20"/>
          <w:spacing w:val="-11"/>
          <w:w w:val="115"/>
          <w:sz w:val="17"/>
        </w:rPr>
        <w:t> </w:t>
      </w:r>
      <w:r>
        <w:rPr>
          <w:color w:val="231F20"/>
          <w:w w:val="115"/>
          <w:sz w:val="17"/>
        </w:rPr>
        <w:t>stimuli</w:t>
      </w:r>
      <w:r>
        <w:rPr>
          <w:color w:val="231F20"/>
          <w:spacing w:val="-11"/>
          <w:w w:val="115"/>
          <w:sz w:val="17"/>
        </w:rPr>
        <w:t> </w:t>
      </w:r>
      <w:r>
        <w:rPr>
          <w:color w:val="231F20"/>
          <w:w w:val="115"/>
          <w:sz w:val="17"/>
        </w:rPr>
        <w:t>limite</w:t>
      </w:r>
      <w:r>
        <w:rPr>
          <w:color w:val="231F20"/>
          <w:spacing w:val="-11"/>
          <w:w w:val="115"/>
          <w:sz w:val="17"/>
        </w:rPr>
        <w:t> </w:t>
      </w:r>
      <w:r>
        <w:rPr>
          <w:color w:val="231F20"/>
          <w:w w:val="115"/>
          <w:sz w:val="17"/>
        </w:rPr>
        <w:t>la</w:t>
      </w:r>
      <w:r>
        <w:rPr>
          <w:color w:val="231F20"/>
          <w:spacing w:val="-11"/>
          <w:w w:val="115"/>
          <w:sz w:val="17"/>
        </w:rPr>
        <w:t> </w:t>
      </w:r>
      <w:r>
        <w:rPr>
          <w:color w:val="231F20"/>
          <w:w w:val="115"/>
          <w:sz w:val="17"/>
        </w:rPr>
        <w:t>créativité</w:t>
      </w:r>
      <w:r>
        <w:rPr>
          <w:color w:val="231F20"/>
          <w:spacing w:val="-11"/>
          <w:w w:val="115"/>
          <w:sz w:val="17"/>
        </w:rPr>
        <w:t> </w:t>
      </w:r>
      <w:r>
        <w:rPr>
          <w:color w:val="231F20"/>
          <w:w w:val="115"/>
          <w:sz w:val="17"/>
        </w:rPr>
        <w:t>et</w:t>
      </w:r>
      <w:r>
        <w:rPr>
          <w:color w:val="231F20"/>
          <w:spacing w:val="-11"/>
          <w:w w:val="115"/>
          <w:sz w:val="17"/>
        </w:rPr>
        <w:t> </w:t>
      </w:r>
      <w:r>
        <w:rPr>
          <w:color w:val="231F20"/>
          <w:w w:val="115"/>
          <w:sz w:val="17"/>
        </w:rPr>
        <w:t>la</w:t>
      </w:r>
      <w:r>
        <w:rPr>
          <w:color w:val="231F20"/>
          <w:spacing w:val="-11"/>
          <w:w w:val="115"/>
          <w:sz w:val="17"/>
        </w:rPr>
        <w:t> </w:t>
      </w:r>
      <w:r>
        <w:rPr>
          <w:color w:val="231F20"/>
          <w:w w:val="115"/>
          <w:sz w:val="17"/>
        </w:rPr>
        <w:t>réflexion</w:t>
      </w:r>
      <w:r>
        <w:rPr>
          <w:color w:val="231F20"/>
          <w:spacing w:val="-11"/>
          <w:w w:val="115"/>
          <w:sz w:val="17"/>
        </w:rPr>
        <w:t> </w:t>
      </w:r>
      <w:r>
        <w:rPr>
          <w:color w:val="231F20"/>
          <w:w w:val="115"/>
          <w:sz w:val="17"/>
        </w:rPr>
        <w:t>indépendante. </w:t>
      </w:r>
      <w:r>
        <w:rPr>
          <w:color w:val="231F20"/>
          <w:spacing w:val="-2"/>
          <w:w w:val="120"/>
          <w:sz w:val="17"/>
        </w:rPr>
        <w:t>Une</w:t>
      </w:r>
      <w:r>
        <w:rPr>
          <w:color w:val="231F20"/>
          <w:spacing w:val="-3"/>
          <w:w w:val="120"/>
          <w:sz w:val="17"/>
        </w:rPr>
        <w:t> </w:t>
      </w:r>
      <w:r>
        <w:rPr>
          <w:color w:val="231F20"/>
          <w:spacing w:val="-2"/>
          <w:w w:val="120"/>
          <w:sz w:val="17"/>
        </w:rPr>
        <w:t>telle</w:t>
      </w:r>
      <w:r>
        <w:rPr>
          <w:color w:val="231F20"/>
          <w:spacing w:val="-3"/>
          <w:w w:val="120"/>
          <w:sz w:val="17"/>
        </w:rPr>
        <w:t> </w:t>
      </w:r>
      <w:r>
        <w:rPr>
          <w:color w:val="231F20"/>
          <w:spacing w:val="-2"/>
          <w:w w:val="120"/>
          <w:sz w:val="17"/>
        </w:rPr>
        <w:t>situation</w:t>
      </w:r>
      <w:r>
        <w:rPr>
          <w:color w:val="231F20"/>
          <w:spacing w:val="-3"/>
          <w:w w:val="120"/>
          <w:sz w:val="17"/>
        </w:rPr>
        <w:t> </w:t>
      </w:r>
      <w:r>
        <w:rPr>
          <w:color w:val="231F20"/>
          <w:spacing w:val="-2"/>
          <w:w w:val="120"/>
          <w:sz w:val="17"/>
        </w:rPr>
        <w:t>favorise</w:t>
      </w:r>
      <w:r>
        <w:rPr>
          <w:color w:val="231F20"/>
          <w:spacing w:val="-3"/>
          <w:w w:val="120"/>
          <w:sz w:val="17"/>
        </w:rPr>
        <w:t> </w:t>
      </w:r>
      <w:r>
        <w:rPr>
          <w:color w:val="231F20"/>
          <w:spacing w:val="-2"/>
          <w:w w:val="120"/>
          <w:sz w:val="17"/>
        </w:rPr>
        <w:t>la</w:t>
      </w:r>
      <w:r>
        <w:rPr>
          <w:color w:val="231F20"/>
          <w:spacing w:val="-3"/>
          <w:w w:val="120"/>
          <w:sz w:val="17"/>
        </w:rPr>
        <w:t> </w:t>
      </w:r>
      <w:r>
        <w:rPr>
          <w:color w:val="231F20"/>
          <w:spacing w:val="-2"/>
          <w:w w:val="120"/>
          <w:sz w:val="17"/>
        </w:rPr>
        <w:t>distraction</w:t>
      </w:r>
      <w:r>
        <w:rPr>
          <w:color w:val="231F20"/>
          <w:spacing w:val="-3"/>
          <w:w w:val="120"/>
          <w:sz w:val="17"/>
        </w:rPr>
        <w:t> </w:t>
      </w:r>
      <w:r>
        <w:rPr>
          <w:color w:val="231F20"/>
          <w:spacing w:val="-2"/>
          <w:w w:val="120"/>
          <w:sz w:val="17"/>
        </w:rPr>
        <w:t>et</w:t>
      </w:r>
      <w:r>
        <w:rPr>
          <w:color w:val="231F20"/>
          <w:spacing w:val="-3"/>
          <w:w w:val="120"/>
          <w:sz w:val="17"/>
        </w:rPr>
        <w:t> </w:t>
      </w:r>
      <w:r>
        <w:rPr>
          <w:color w:val="231F20"/>
          <w:spacing w:val="-2"/>
          <w:w w:val="120"/>
          <w:sz w:val="17"/>
        </w:rPr>
        <w:t>l’inattention</w:t>
      </w:r>
      <w:r>
        <w:rPr>
          <w:color w:val="231F20"/>
          <w:spacing w:val="-3"/>
          <w:w w:val="120"/>
          <w:sz w:val="17"/>
        </w:rPr>
        <w:t> </w:t>
      </w:r>
      <w:r>
        <w:rPr>
          <w:color w:val="231F20"/>
          <w:spacing w:val="-2"/>
          <w:w w:val="120"/>
          <w:sz w:val="17"/>
        </w:rPr>
        <w:t>et</w:t>
      </w:r>
      <w:r>
        <w:rPr>
          <w:color w:val="231F20"/>
          <w:spacing w:val="-3"/>
          <w:w w:val="120"/>
          <w:sz w:val="17"/>
        </w:rPr>
        <w:t> </w:t>
      </w:r>
      <w:r>
        <w:rPr>
          <w:color w:val="231F20"/>
          <w:spacing w:val="-2"/>
          <w:w w:val="120"/>
          <w:sz w:val="17"/>
        </w:rPr>
        <w:t>accroît </w:t>
      </w:r>
      <w:r>
        <w:rPr>
          <w:color w:val="231F20"/>
          <w:w w:val="115"/>
          <w:sz w:val="17"/>
        </w:rPr>
        <w:t>ainsi</w:t>
      </w:r>
      <w:r>
        <w:rPr>
          <w:color w:val="231F20"/>
          <w:spacing w:val="-5"/>
          <w:w w:val="115"/>
          <w:sz w:val="17"/>
        </w:rPr>
        <w:t> </w:t>
      </w:r>
      <w:r>
        <w:rPr>
          <w:color w:val="231F20"/>
          <w:w w:val="115"/>
          <w:sz w:val="17"/>
        </w:rPr>
        <w:t>le</w:t>
      </w:r>
      <w:r>
        <w:rPr>
          <w:color w:val="231F20"/>
          <w:spacing w:val="-5"/>
          <w:w w:val="115"/>
          <w:sz w:val="17"/>
        </w:rPr>
        <w:t> </w:t>
      </w:r>
      <w:r>
        <w:rPr>
          <w:color w:val="231F20"/>
          <w:w w:val="115"/>
          <w:sz w:val="17"/>
        </w:rPr>
        <w:t>risque</w:t>
      </w:r>
      <w:r>
        <w:rPr>
          <w:color w:val="231F20"/>
          <w:spacing w:val="-5"/>
          <w:w w:val="115"/>
          <w:sz w:val="17"/>
        </w:rPr>
        <w:t> </w:t>
      </w:r>
      <w:r>
        <w:rPr>
          <w:color w:val="231F20"/>
          <w:w w:val="115"/>
          <w:sz w:val="17"/>
        </w:rPr>
        <w:t>d’accident</w:t>
      </w:r>
      <w:r>
        <w:rPr>
          <w:color w:val="231F20"/>
          <w:spacing w:val="-5"/>
          <w:w w:val="115"/>
          <w:sz w:val="17"/>
        </w:rPr>
        <w:t> </w:t>
      </w:r>
      <w:r>
        <w:rPr>
          <w:color w:val="231F20"/>
          <w:w w:val="115"/>
          <w:sz w:val="17"/>
        </w:rPr>
        <w:t>de</w:t>
      </w:r>
      <w:r>
        <w:rPr>
          <w:color w:val="231F20"/>
          <w:spacing w:val="-5"/>
          <w:w w:val="115"/>
          <w:sz w:val="17"/>
        </w:rPr>
        <w:t> </w:t>
      </w:r>
      <w:r>
        <w:rPr>
          <w:color w:val="231F20"/>
          <w:w w:val="115"/>
          <w:sz w:val="17"/>
        </w:rPr>
        <w:t>travail.</w:t>
      </w:r>
      <w:r>
        <w:rPr>
          <w:color w:val="231F20"/>
          <w:spacing w:val="-5"/>
          <w:w w:val="115"/>
          <w:sz w:val="17"/>
        </w:rPr>
        <w:t> </w:t>
      </w:r>
      <w:r>
        <w:rPr>
          <w:color w:val="231F20"/>
          <w:w w:val="115"/>
          <w:sz w:val="17"/>
        </w:rPr>
        <w:t>Quant</w:t>
      </w:r>
      <w:r>
        <w:rPr>
          <w:color w:val="231F20"/>
          <w:spacing w:val="-5"/>
          <w:w w:val="115"/>
          <w:sz w:val="17"/>
        </w:rPr>
        <w:t> </w:t>
      </w:r>
      <w:r>
        <w:rPr>
          <w:color w:val="231F20"/>
          <w:w w:val="115"/>
          <w:sz w:val="17"/>
        </w:rPr>
        <w:t>à</w:t>
      </w:r>
      <w:r>
        <w:rPr>
          <w:color w:val="231F20"/>
          <w:spacing w:val="-5"/>
          <w:w w:val="115"/>
          <w:sz w:val="17"/>
        </w:rPr>
        <w:t> </w:t>
      </w:r>
      <w:r>
        <w:rPr>
          <w:color w:val="231F20"/>
          <w:w w:val="115"/>
          <w:sz w:val="17"/>
        </w:rPr>
        <w:t>la</w:t>
      </w:r>
      <w:r>
        <w:rPr>
          <w:color w:val="231F20"/>
          <w:spacing w:val="-5"/>
          <w:w w:val="115"/>
          <w:sz w:val="17"/>
        </w:rPr>
        <w:t> </w:t>
      </w:r>
      <w:r>
        <w:rPr>
          <w:color w:val="231F20"/>
          <w:w w:val="115"/>
          <w:sz w:val="17"/>
        </w:rPr>
        <w:t>surcharge</w:t>
      </w:r>
      <w:r>
        <w:rPr>
          <w:color w:val="231F20"/>
          <w:spacing w:val="-5"/>
          <w:w w:val="115"/>
          <w:sz w:val="17"/>
        </w:rPr>
        <w:t> </w:t>
      </w:r>
      <w:r>
        <w:rPr>
          <w:color w:val="231F20"/>
          <w:w w:val="115"/>
          <w:sz w:val="17"/>
        </w:rPr>
        <w:t>de</w:t>
      </w:r>
      <w:r>
        <w:rPr>
          <w:color w:val="231F20"/>
          <w:spacing w:val="-5"/>
          <w:w w:val="115"/>
          <w:sz w:val="17"/>
        </w:rPr>
        <w:t> </w:t>
      </w:r>
      <w:r>
        <w:rPr>
          <w:color w:val="231F20"/>
          <w:w w:val="115"/>
          <w:sz w:val="17"/>
        </w:rPr>
        <w:t>travail, </w:t>
      </w:r>
      <w:r>
        <w:rPr>
          <w:color w:val="231F20"/>
          <w:w w:val="120"/>
          <w:sz w:val="17"/>
        </w:rPr>
        <w:t>elle peut entraîner l’insatisfaction, le désengagement, le fléchis- sement</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l’estime</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soi,</w:t>
      </w:r>
      <w:r>
        <w:rPr>
          <w:color w:val="231F20"/>
          <w:spacing w:val="-13"/>
          <w:w w:val="120"/>
          <w:sz w:val="17"/>
        </w:rPr>
        <w:t> </w:t>
      </w:r>
      <w:r>
        <w:rPr>
          <w:color w:val="231F20"/>
          <w:w w:val="120"/>
          <w:sz w:val="17"/>
        </w:rPr>
        <w:t>un</w:t>
      </w:r>
      <w:r>
        <w:rPr>
          <w:color w:val="231F20"/>
          <w:spacing w:val="-13"/>
          <w:w w:val="120"/>
          <w:sz w:val="17"/>
        </w:rPr>
        <w:t> </w:t>
      </w:r>
      <w:r>
        <w:rPr>
          <w:color w:val="231F20"/>
          <w:w w:val="120"/>
          <w:sz w:val="17"/>
        </w:rPr>
        <w:t>sentiment</w:t>
      </w:r>
      <w:r>
        <w:rPr>
          <w:color w:val="231F20"/>
          <w:spacing w:val="-13"/>
          <w:w w:val="120"/>
          <w:sz w:val="17"/>
        </w:rPr>
        <w:t> </w:t>
      </w:r>
      <w:r>
        <w:rPr>
          <w:color w:val="231F20"/>
          <w:w w:val="120"/>
          <w:sz w:val="17"/>
        </w:rPr>
        <w:t>d’impuissance,</w:t>
      </w:r>
      <w:r>
        <w:rPr>
          <w:color w:val="231F20"/>
          <w:spacing w:val="-12"/>
          <w:w w:val="120"/>
          <w:sz w:val="17"/>
        </w:rPr>
        <w:t> </w:t>
      </w:r>
      <w:r>
        <w:rPr>
          <w:color w:val="231F20"/>
          <w:w w:val="120"/>
          <w:sz w:val="17"/>
        </w:rPr>
        <w:t>en</w:t>
      </w:r>
      <w:r>
        <w:rPr>
          <w:color w:val="231F20"/>
          <w:spacing w:val="-13"/>
          <w:w w:val="120"/>
          <w:sz w:val="17"/>
        </w:rPr>
        <w:t> </w:t>
      </w:r>
      <w:r>
        <w:rPr>
          <w:color w:val="231F20"/>
          <w:w w:val="120"/>
          <w:sz w:val="17"/>
        </w:rPr>
        <w:t>plus</w:t>
      </w:r>
      <w:r>
        <w:rPr>
          <w:color w:val="231F20"/>
          <w:spacing w:val="-13"/>
          <w:w w:val="120"/>
          <w:sz w:val="17"/>
        </w:rPr>
        <w:t> </w:t>
      </w:r>
      <w:r>
        <w:rPr>
          <w:color w:val="231F20"/>
          <w:w w:val="120"/>
          <w:sz w:val="17"/>
        </w:rPr>
        <w:t>de favoriser</w:t>
      </w:r>
      <w:r>
        <w:rPr>
          <w:color w:val="231F20"/>
          <w:w w:val="120"/>
          <w:sz w:val="17"/>
        </w:rPr>
        <w:t> la</w:t>
      </w:r>
      <w:r>
        <w:rPr>
          <w:color w:val="231F20"/>
          <w:w w:val="120"/>
          <w:sz w:val="17"/>
        </w:rPr>
        <w:t> consommation</w:t>
      </w:r>
      <w:r>
        <w:rPr>
          <w:color w:val="231F20"/>
          <w:w w:val="120"/>
          <w:sz w:val="17"/>
        </w:rPr>
        <w:t> d’alcool,</w:t>
      </w:r>
      <w:r>
        <w:rPr>
          <w:color w:val="231F20"/>
          <w:w w:val="120"/>
          <w:sz w:val="17"/>
        </w:rPr>
        <w:t> de</w:t>
      </w:r>
      <w:r>
        <w:rPr>
          <w:color w:val="231F20"/>
          <w:w w:val="120"/>
          <w:sz w:val="17"/>
        </w:rPr>
        <w:t> nicotine</w:t>
      </w:r>
      <w:r>
        <w:rPr>
          <w:color w:val="231F20"/>
          <w:w w:val="120"/>
          <w:sz w:val="17"/>
        </w:rPr>
        <w:t> et</w:t>
      </w:r>
      <w:r>
        <w:rPr>
          <w:color w:val="231F20"/>
          <w:w w:val="120"/>
          <w:sz w:val="17"/>
        </w:rPr>
        <w:t> d’autres substances</w:t>
      </w:r>
      <w:r>
        <w:rPr>
          <w:color w:val="231F20"/>
          <w:spacing w:val="-13"/>
          <w:w w:val="120"/>
          <w:sz w:val="17"/>
        </w:rPr>
        <w:t> </w:t>
      </w:r>
      <w:r>
        <w:rPr>
          <w:color w:val="231F20"/>
          <w:w w:val="120"/>
          <w:sz w:val="17"/>
        </w:rPr>
        <w:t>toxicomanogènes.</w:t>
      </w:r>
    </w:p>
    <w:p>
      <w:pPr>
        <w:pStyle w:val="ListParagraph"/>
        <w:numPr>
          <w:ilvl w:val="0"/>
          <w:numId w:val="39"/>
        </w:numPr>
        <w:tabs>
          <w:tab w:pos="1331" w:val="left" w:leader="none"/>
        </w:tabs>
        <w:spacing w:line="307" w:lineRule="auto" w:before="0" w:after="0"/>
        <w:ind w:left="1330" w:right="493" w:hanging="251"/>
        <w:jc w:val="both"/>
        <w:rPr>
          <w:sz w:val="17"/>
        </w:rPr>
      </w:pPr>
      <w:r>
        <w:rPr>
          <w:i/>
          <w:color w:val="231F20"/>
          <w:w w:val="115"/>
          <w:sz w:val="17"/>
        </w:rPr>
        <w:t>Le</w:t>
      </w:r>
      <w:r>
        <w:rPr>
          <w:i/>
          <w:color w:val="231F20"/>
          <w:spacing w:val="-10"/>
          <w:w w:val="115"/>
          <w:sz w:val="17"/>
        </w:rPr>
        <w:t> </w:t>
      </w:r>
      <w:r>
        <w:rPr>
          <w:i/>
          <w:color w:val="231F20"/>
          <w:w w:val="115"/>
          <w:sz w:val="17"/>
        </w:rPr>
        <w:t>conflit</w:t>
      </w:r>
      <w:r>
        <w:rPr>
          <w:i/>
          <w:color w:val="231F20"/>
          <w:spacing w:val="-10"/>
          <w:w w:val="115"/>
          <w:sz w:val="17"/>
        </w:rPr>
        <w:t> </w:t>
      </w:r>
      <w:r>
        <w:rPr>
          <w:i/>
          <w:color w:val="231F20"/>
          <w:w w:val="115"/>
          <w:sz w:val="17"/>
        </w:rPr>
        <w:t>de</w:t>
      </w:r>
      <w:r>
        <w:rPr>
          <w:i/>
          <w:color w:val="231F20"/>
          <w:spacing w:val="-10"/>
          <w:w w:val="115"/>
          <w:sz w:val="17"/>
        </w:rPr>
        <w:t> </w:t>
      </w:r>
      <w:r>
        <w:rPr>
          <w:i/>
          <w:color w:val="231F20"/>
          <w:w w:val="115"/>
          <w:sz w:val="17"/>
        </w:rPr>
        <w:t>rôles</w:t>
      </w:r>
      <w:r>
        <w:rPr>
          <w:color w:val="231F20"/>
          <w:w w:val="115"/>
          <w:sz w:val="17"/>
        </w:rPr>
        <w:t>.</w:t>
      </w:r>
      <w:r>
        <w:rPr>
          <w:color w:val="231F20"/>
          <w:spacing w:val="-10"/>
          <w:w w:val="115"/>
          <w:sz w:val="17"/>
        </w:rPr>
        <w:t> </w:t>
      </w:r>
      <w:r>
        <w:rPr>
          <w:color w:val="231F20"/>
          <w:w w:val="115"/>
          <w:sz w:val="17"/>
        </w:rPr>
        <w:t>Le</w:t>
      </w:r>
      <w:r>
        <w:rPr>
          <w:color w:val="231F20"/>
          <w:spacing w:val="-10"/>
          <w:w w:val="115"/>
          <w:sz w:val="17"/>
        </w:rPr>
        <w:t> </w:t>
      </w:r>
      <w:r>
        <w:rPr>
          <w:color w:val="231F20"/>
          <w:w w:val="115"/>
          <w:sz w:val="17"/>
        </w:rPr>
        <w:t>conflit</w:t>
      </w:r>
      <w:r>
        <w:rPr>
          <w:color w:val="231F20"/>
          <w:spacing w:val="-10"/>
          <w:w w:val="115"/>
          <w:sz w:val="17"/>
        </w:rPr>
        <w:t> </w:t>
      </w:r>
      <w:r>
        <w:rPr>
          <w:color w:val="231F20"/>
          <w:w w:val="115"/>
          <w:sz w:val="17"/>
        </w:rPr>
        <w:t>de</w:t>
      </w:r>
      <w:r>
        <w:rPr>
          <w:color w:val="231F20"/>
          <w:spacing w:val="-10"/>
          <w:w w:val="115"/>
          <w:sz w:val="17"/>
        </w:rPr>
        <w:t> </w:t>
      </w:r>
      <w:r>
        <w:rPr>
          <w:color w:val="231F20"/>
          <w:w w:val="115"/>
          <w:sz w:val="17"/>
        </w:rPr>
        <w:t>rôles</w:t>
      </w:r>
      <w:r>
        <w:rPr>
          <w:color w:val="231F20"/>
          <w:spacing w:val="-10"/>
          <w:w w:val="115"/>
          <w:sz w:val="17"/>
        </w:rPr>
        <w:t> </w:t>
      </w:r>
      <w:r>
        <w:rPr>
          <w:color w:val="231F20"/>
          <w:w w:val="115"/>
          <w:sz w:val="17"/>
        </w:rPr>
        <w:t>peut</w:t>
      </w:r>
      <w:r>
        <w:rPr>
          <w:color w:val="231F20"/>
          <w:spacing w:val="-10"/>
          <w:w w:val="115"/>
          <w:sz w:val="17"/>
        </w:rPr>
        <w:t> </w:t>
      </w:r>
      <w:r>
        <w:rPr>
          <w:color w:val="231F20"/>
          <w:w w:val="115"/>
          <w:sz w:val="17"/>
        </w:rPr>
        <w:t>être</w:t>
      </w:r>
      <w:r>
        <w:rPr>
          <w:color w:val="231F20"/>
          <w:spacing w:val="-10"/>
          <w:w w:val="115"/>
          <w:sz w:val="17"/>
        </w:rPr>
        <w:t> </w:t>
      </w:r>
      <w:r>
        <w:rPr>
          <w:color w:val="231F20"/>
          <w:w w:val="115"/>
          <w:sz w:val="17"/>
        </w:rPr>
        <w:t>objectif</w:t>
      </w:r>
      <w:r>
        <w:rPr>
          <w:color w:val="231F20"/>
          <w:spacing w:val="-10"/>
          <w:w w:val="115"/>
          <w:sz w:val="17"/>
        </w:rPr>
        <w:t> </w:t>
      </w:r>
      <w:r>
        <w:rPr>
          <w:color w:val="231F20"/>
          <w:w w:val="115"/>
          <w:sz w:val="17"/>
        </w:rPr>
        <w:t>ou</w:t>
      </w:r>
      <w:r>
        <w:rPr>
          <w:color w:val="231F20"/>
          <w:spacing w:val="-10"/>
          <w:w w:val="115"/>
          <w:sz w:val="17"/>
        </w:rPr>
        <w:t> </w:t>
      </w:r>
      <w:r>
        <w:rPr>
          <w:color w:val="231F20"/>
          <w:w w:val="115"/>
          <w:sz w:val="17"/>
        </w:rPr>
        <w:t>subjectif. </w:t>
      </w:r>
      <w:r>
        <w:rPr>
          <w:color w:val="231F20"/>
          <w:w w:val="120"/>
          <w:sz w:val="17"/>
        </w:rPr>
        <w:t>Un conflit de rôles objectif survient lorsque deux ou plusieurs personnes donnent des directives contradictoires à un employé. Quant</w:t>
      </w:r>
      <w:r>
        <w:rPr>
          <w:color w:val="231F20"/>
          <w:spacing w:val="-1"/>
          <w:w w:val="120"/>
          <w:sz w:val="17"/>
        </w:rPr>
        <w:t> </w:t>
      </w:r>
      <w:r>
        <w:rPr>
          <w:color w:val="231F20"/>
          <w:w w:val="120"/>
          <w:sz w:val="17"/>
        </w:rPr>
        <w:t>au</w:t>
      </w:r>
      <w:r>
        <w:rPr>
          <w:color w:val="231F20"/>
          <w:spacing w:val="-1"/>
          <w:w w:val="120"/>
          <w:sz w:val="17"/>
        </w:rPr>
        <w:t> </w:t>
      </w:r>
      <w:r>
        <w:rPr>
          <w:color w:val="231F20"/>
          <w:w w:val="120"/>
          <w:sz w:val="17"/>
        </w:rPr>
        <w:t>conflit</w:t>
      </w:r>
      <w:r>
        <w:rPr>
          <w:color w:val="231F20"/>
          <w:spacing w:val="-1"/>
          <w:w w:val="120"/>
          <w:sz w:val="17"/>
        </w:rPr>
        <w:t> </w:t>
      </w:r>
      <w:r>
        <w:rPr>
          <w:color w:val="231F20"/>
          <w:w w:val="120"/>
          <w:sz w:val="17"/>
        </w:rPr>
        <w:t>de</w:t>
      </w:r>
      <w:r>
        <w:rPr>
          <w:color w:val="231F20"/>
          <w:spacing w:val="-1"/>
          <w:w w:val="120"/>
          <w:sz w:val="17"/>
        </w:rPr>
        <w:t> </w:t>
      </w:r>
      <w:r>
        <w:rPr>
          <w:color w:val="231F20"/>
          <w:w w:val="120"/>
          <w:sz w:val="17"/>
        </w:rPr>
        <w:t>rôles</w:t>
      </w:r>
      <w:r>
        <w:rPr>
          <w:color w:val="231F20"/>
          <w:spacing w:val="-1"/>
          <w:w w:val="120"/>
          <w:sz w:val="17"/>
        </w:rPr>
        <w:t> </w:t>
      </w:r>
      <w:r>
        <w:rPr>
          <w:color w:val="231F20"/>
          <w:w w:val="120"/>
          <w:sz w:val="17"/>
        </w:rPr>
        <w:t>subjectif,</w:t>
      </w:r>
      <w:r>
        <w:rPr>
          <w:color w:val="231F20"/>
          <w:spacing w:val="-1"/>
          <w:w w:val="120"/>
          <w:sz w:val="17"/>
        </w:rPr>
        <w:t> </w:t>
      </w:r>
      <w:r>
        <w:rPr>
          <w:color w:val="231F20"/>
          <w:w w:val="120"/>
          <w:sz w:val="17"/>
        </w:rPr>
        <w:t>il</w:t>
      </w:r>
      <w:r>
        <w:rPr>
          <w:color w:val="231F20"/>
          <w:spacing w:val="-1"/>
          <w:w w:val="120"/>
          <w:sz w:val="17"/>
        </w:rPr>
        <w:t> </w:t>
      </w:r>
      <w:r>
        <w:rPr>
          <w:color w:val="231F20"/>
          <w:w w:val="120"/>
          <w:sz w:val="17"/>
        </w:rPr>
        <w:t>résulte</w:t>
      </w:r>
      <w:r>
        <w:rPr>
          <w:color w:val="231F20"/>
          <w:spacing w:val="-1"/>
          <w:w w:val="120"/>
          <w:sz w:val="17"/>
        </w:rPr>
        <w:t> </w:t>
      </w:r>
      <w:r>
        <w:rPr>
          <w:color w:val="231F20"/>
          <w:w w:val="120"/>
          <w:sz w:val="17"/>
        </w:rPr>
        <w:t>d’une</w:t>
      </w:r>
      <w:r>
        <w:rPr>
          <w:color w:val="231F20"/>
          <w:spacing w:val="-1"/>
          <w:w w:val="120"/>
          <w:sz w:val="17"/>
        </w:rPr>
        <w:t> </w:t>
      </w:r>
      <w:r>
        <w:rPr>
          <w:color w:val="231F20"/>
          <w:w w:val="120"/>
          <w:sz w:val="17"/>
        </w:rPr>
        <w:t>contradiction </w:t>
      </w:r>
      <w:r>
        <w:rPr>
          <w:color w:val="231F20"/>
          <w:spacing w:val="-2"/>
          <w:w w:val="120"/>
          <w:sz w:val="17"/>
        </w:rPr>
        <w:t>entre</w:t>
      </w:r>
      <w:r>
        <w:rPr>
          <w:color w:val="231F20"/>
          <w:spacing w:val="-18"/>
          <w:w w:val="120"/>
          <w:sz w:val="17"/>
        </w:rPr>
        <w:t> </w:t>
      </w:r>
      <w:r>
        <w:rPr>
          <w:color w:val="231F20"/>
          <w:spacing w:val="-2"/>
          <w:w w:val="120"/>
          <w:sz w:val="17"/>
        </w:rPr>
        <w:t>une</w:t>
      </w:r>
      <w:r>
        <w:rPr>
          <w:color w:val="231F20"/>
          <w:spacing w:val="-18"/>
          <w:w w:val="120"/>
          <w:sz w:val="17"/>
        </w:rPr>
        <w:t> </w:t>
      </w:r>
      <w:r>
        <w:rPr>
          <w:color w:val="231F20"/>
          <w:spacing w:val="-2"/>
          <w:w w:val="120"/>
          <w:sz w:val="17"/>
        </w:rPr>
        <w:t>directive</w:t>
      </w:r>
      <w:r>
        <w:rPr>
          <w:color w:val="231F20"/>
          <w:spacing w:val="-18"/>
          <w:w w:val="120"/>
          <w:sz w:val="17"/>
        </w:rPr>
        <w:t> </w:t>
      </w:r>
      <w:r>
        <w:rPr>
          <w:color w:val="231F20"/>
          <w:spacing w:val="-2"/>
          <w:w w:val="120"/>
          <w:sz w:val="17"/>
        </w:rPr>
        <w:t>officielle</w:t>
      </w:r>
      <w:r>
        <w:rPr>
          <w:color w:val="231F20"/>
          <w:spacing w:val="-18"/>
          <w:w w:val="120"/>
          <w:sz w:val="17"/>
        </w:rPr>
        <w:t> </w:t>
      </w:r>
      <w:r>
        <w:rPr>
          <w:color w:val="231F20"/>
          <w:spacing w:val="-2"/>
          <w:w w:val="120"/>
          <w:sz w:val="17"/>
        </w:rPr>
        <w:t>reçue</w:t>
      </w:r>
      <w:r>
        <w:rPr>
          <w:color w:val="231F20"/>
          <w:spacing w:val="-18"/>
          <w:w w:val="120"/>
          <w:sz w:val="17"/>
        </w:rPr>
        <w:t> </w:t>
      </w:r>
      <w:r>
        <w:rPr>
          <w:color w:val="231F20"/>
          <w:spacing w:val="-2"/>
          <w:w w:val="120"/>
          <w:sz w:val="17"/>
        </w:rPr>
        <w:t>par</w:t>
      </w:r>
      <w:r>
        <w:rPr>
          <w:color w:val="231F20"/>
          <w:spacing w:val="-18"/>
          <w:w w:val="120"/>
          <w:sz w:val="17"/>
        </w:rPr>
        <w:t> </w:t>
      </w:r>
      <w:r>
        <w:rPr>
          <w:color w:val="231F20"/>
          <w:spacing w:val="-2"/>
          <w:w w:val="120"/>
          <w:sz w:val="17"/>
        </w:rPr>
        <w:t>l’individu</w:t>
      </w:r>
      <w:r>
        <w:rPr>
          <w:color w:val="231F20"/>
          <w:spacing w:val="-18"/>
          <w:w w:val="120"/>
          <w:sz w:val="17"/>
        </w:rPr>
        <w:t> </w:t>
      </w:r>
      <w:r>
        <w:rPr>
          <w:color w:val="231F20"/>
          <w:spacing w:val="-2"/>
          <w:w w:val="120"/>
          <w:sz w:val="17"/>
        </w:rPr>
        <w:t>et</w:t>
      </w:r>
      <w:r>
        <w:rPr>
          <w:color w:val="231F20"/>
          <w:spacing w:val="-18"/>
          <w:w w:val="120"/>
          <w:sz w:val="17"/>
        </w:rPr>
        <w:t> </w:t>
      </w:r>
      <w:r>
        <w:rPr>
          <w:color w:val="231F20"/>
          <w:spacing w:val="-2"/>
          <w:w w:val="120"/>
          <w:sz w:val="17"/>
        </w:rPr>
        <w:t>ses</w:t>
      </w:r>
      <w:r>
        <w:rPr>
          <w:color w:val="231F20"/>
          <w:spacing w:val="-18"/>
          <w:w w:val="120"/>
          <w:sz w:val="17"/>
        </w:rPr>
        <w:t> </w:t>
      </w:r>
      <w:r>
        <w:rPr>
          <w:color w:val="231F20"/>
          <w:spacing w:val="-2"/>
          <w:w w:val="120"/>
          <w:sz w:val="17"/>
        </w:rPr>
        <w:t>propres</w:t>
      </w:r>
      <w:r>
        <w:rPr>
          <w:color w:val="231F20"/>
          <w:spacing w:val="-18"/>
          <w:w w:val="120"/>
          <w:sz w:val="17"/>
        </w:rPr>
        <w:t> </w:t>
      </w:r>
      <w:r>
        <w:rPr>
          <w:color w:val="231F20"/>
          <w:spacing w:val="-2"/>
          <w:w w:val="120"/>
          <w:sz w:val="17"/>
        </w:rPr>
        <w:t>buts</w:t>
      </w:r>
    </w:p>
    <w:p>
      <w:pPr>
        <w:spacing w:after="0" w:line="307" w:lineRule="auto"/>
        <w:jc w:val="both"/>
        <w:rPr>
          <w:sz w:val="17"/>
        </w:rPr>
        <w:sectPr>
          <w:footerReference w:type="default" r:id="rId167"/>
          <w:pgSz w:w="8640" w:h="12960"/>
          <w:pgMar w:footer="424" w:header="0" w:top="520" w:bottom="62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720" w:right="102"/>
        <w:jc w:val="both"/>
      </w:pPr>
      <w:r>
        <w:rPr>
          <w:color w:val="231F20"/>
          <w:w w:val="120"/>
        </w:rPr>
        <w:t>et valeurs. Les conflits de rôles génèrent un niveau d’anxiété et d’insatisfaction</w:t>
      </w:r>
      <w:r>
        <w:rPr>
          <w:color w:val="231F20"/>
          <w:spacing w:val="-3"/>
          <w:w w:val="120"/>
        </w:rPr>
        <w:t> </w:t>
      </w:r>
      <w:r>
        <w:rPr>
          <w:color w:val="231F20"/>
          <w:w w:val="120"/>
        </w:rPr>
        <w:t>à</w:t>
      </w:r>
      <w:r>
        <w:rPr>
          <w:color w:val="231F20"/>
          <w:spacing w:val="-3"/>
          <w:w w:val="120"/>
        </w:rPr>
        <w:t> </w:t>
      </w:r>
      <w:r>
        <w:rPr>
          <w:color w:val="231F20"/>
          <w:w w:val="120"/>
        </w:rPr>
        <w:t>l’égard</w:t>
      </w:r>
      <w:r>
        <w:rPr>
          <w:color w:val="231F20"/>
          <w:spacing w:val="-3"/>
          <w:w w:val="120"/>
        </w:rPr>
        <w:t> </w:t>
      </w:r>
      <w:r>
        <w:rPr>
          <w:color w:val="231F20"/>
          <w:w w:val="120"/>
        </w:rPr>
        <w:t>du</w:t>
      </w:r>
      <w:r>
        <w:rPr>
          <w:color w:val="231F20"/>
          <w:spacing w:val="-3"/>
          <w:w w:val="120"/>
        </w:rPr>
        <w:t> </w:t>
      </w:r>
      <w:r>
        <w:rPr>
          <w:color w:val="231F20"/>
          <w:w w:val="120"/>
        </w:rPr>
        <w:t>travail</w:t>
      </w:r>
      <w:r>
        <w:rPr>
          <w:color w:val="231F20"/>
          <w:spacing w:val="-3"/>
          <w:w w:val="120"/>
        </w:rPr>
        <w:t> </w:t>
      </w:r>
      <w:r>
        <w:rPr>
          <w:color w:val="231F20"/>
          <w:w w:val="120"/>
        </w:rPr>
        <w:t>qui</w:t>
      </w:r>
      <w:r>
        <w:rPr>
          <w:color w:val="231F20"/>
          <w:spacing w:val="-3"/>
          <w:w w:val="120"/>
        </w:rPr>
        <w:t> </w:t>
      </w:r>
      <w:r>
        <w:rPr>
          <w:color w:val="231F20"/>
          <w:w w:val="120"/>
        </w:rPr>
        <w:t>augmente</w:t>
      </w:r>
      <w:r>
        <w:rPr>
          <w:color w:val="231F20"/>
          <w:spacing w:val="-3"/>
          <w:w w:val="120"/>
        </w:rPr>
        <w:t> </w:t>
      </w:r>
      <w:r>
        <w:rPr>
          <w:color w:val="231F20"/>
          <w:w w:val="120"/>
        </w:rPr>
        <w:t>en</w:t>
      </w:r>
      <w:r>
        <w:rPr>
          <w:color w:val="231F20"/>
          <w:spacing w:val="-3"/>
          <w:w w:val="120"/>
        </w:rPr>
        <w:t> </w:t>
      </w:r>
      <w:r>
        <w:rPr>
          <w:color w:val="231F20"/>
          <w:w w:val="120"/>
        </w:rPr>
        <w:t>fonction</w:t>
      </w:r>
      <w:r>
        <w:rPr>
          <w:color w:val="231F20"/>
          <w:spacing w:val="-3"/>
          <w:w w:val="120"/>
        </w:rPr>
        <w:t> </w:t>
      </w:r>
      <w:r>
        <w:rPr>
          <w:color w:val="231F20"/>
          <w:w w:val="120"/>
        </w:rPr>
        <w:t>du </w:t>
      </w:r>
      <w:r>
        <w:rPr>
          <w:color w:val="231F20"/>
          <w:w w:val="115"/>
        </w:rPr>
        <w:t>niveau</w:t>
      </w:r>
      <w:r>
        <w:rPr>
          <w:color w:val="231F20"/>
          <w:spacing w:val="-13"/>
          <w:w w:val="115"/>
        </w:rPr>
        <w:t> </w:t>
      </w:r>
      <w:r>
        <w:rPr>
          <w:color w:val="231F20"/>
          <w:w w:val="115"/>
        </w:rPr>
        <w:t>d’autorité</w:t>
      </w:r>
      <w:r>
        <w:rPr>
          <w:color w:val="231F20"/>
          <w:spacing w:val="-12"/>
          <w:w w:val="115"/>
        </w:rPr>
        <w:t> </w:t>
      </w:r>
      <w:r>
        <w:rPr>
          <w:color w:val="231F20"/>
          <w:w w:val="115"/>
        </w:rPr>
        <w:t>de</w:t>
      </w:r>
      <w:r>
        <w:rPr>
          <w:color w:val="231F20"/>
          <w:spacing w:val="-12"/>
          <w:w w:val="115"/>
        </w:rPr>
        <w:t> </w:t>
      </w:r>
      <w:r>
        <w:rPr>
          <w:color w:val="231F20"/>
          <w:w w:val="115"/>
        </w:rPr>
        <w:t>la</w:t>
      </w:r>
      <w:r>
        <w:rPr>
          <w:color w:val="231F20"/>
          <w:spacing w:val="-12"/>
          <w:w w:val="115"/>
        </w:rPr>
        <w:t> </w:t>
      </w:r>
      <w:r>
        <w:rPr>
          <w:color w:val="231F20"/>
          <w:w w:val="115"/>
        </w:rPr>
        <w:t>personne</w:t>
      </w:r>
      <w:r>
        <w:rPr>
          <w:color w:val="231F20"/>
          <w:spacing w:val="-13"/>
          <w:w w:val="115"/>
        </w:rPr>
        <w:t> </w:t>
      </w:r>
      <w:r>
        <w:rPr>
          <w:color w:val="231F20"/>
          <w:w w:val="115"/>
        </w:rPr>
        <w:t>à</w:t>
      </w:r>
      <w:r>
        <w:rPr>
          <w:color w:val="231F20"/>
          <w:spacing w:val="-12"/>
          <w:w w:val="115"/>
        </w:rPr>
        <w:t> </w:t>
      </w:r>
      <w:r>
        <w:rPr>
          <w:color w:val="231F20"/>
          <w:w w:val="115"/>
        </w:rPr>
        <w:t>l’origine</w:t>
      </w:r>
      <w:r>
        <w:rPr>
          <w:color w:val="231F20"/>
          <w:spacing w:val="-12"/>
          <w:w w:val="115"/>
        </w:rPr>
        <w:t> </w:t>
      </w:r>
      <w:r>
        <w:rPr>
          <w:color w:val="231F20"/>
          <w:w w:val="115"/>
        </w:rPr>
        <w:t>de</w:t>
      </w:r>
      <w:r>
        <w:rPr>
          <w:color w:val="231F20"/>
          <w:spacing w:val="-12"/>
          <w:w w:val="115"/>
        </w:rPr>
        <w:t> </w:t>
      </w:r>
      <w:r>
        <w:rPr>
          <w:color w:val="231F20"/>
          <w:w w:val="115"/>
        </w:rPr>
        <w:t>la</w:t>
      </w:r>
      <w:r>
        <w:rPr>
          <w:color w:val="231F20"/>
          <w:spacing w:val="-12"/>
          <w:w w:val="115"/>
        </w:rPr>
        <w:t> </w:t>
      </w:r>
      <w:r>
        <w:rPr>
          <w:color w:val="231F20"/>
          <w:w w:val="115"/>
        </w:rPr>
        <w:t>directive</w:t>
      </w:r>
      <w:r>
        <w:rPr>
          <w:color w:val="231F20"/>
          <w:spacing w:val="-13"/>
          <w:w w:val="115"/>
        </w:rPr>
        <w:t> </w:t>
      </w:r>
      <w:r>
        <w:rPr>
          <w:color w:val="231F20"/>
          <w:w w:val="115"/>
        </w:rPr>
        <w:t>contradic- toire.</w:t>
      </w:r>
      <w:r>
        <w:rPr>
          <w:color w:val="231F20"/>
          <w:spacing w:val="-13"/>
          <w:w w:val="115"/>
        </w:rPr>
        <w:t> </w:t>
      </w:r>
      <w:r>
        <w:rPr>
          <w:color w:val="231F20"/>
          <w:w w:val="115"/>
        </w:rPr>
        <w:t>Ce</w:t>
      </w:r>
      <w:r>
        <w:rPr>
          <w:color w:val="231F20"/>
          <w:spacing w:val="-12"/>
          <w:w w:val="115"/>
        </w:rPr>
        <w:t> </w:t>
      </w:r>
      <w:r>
        <w:rPr>
          <w:color w:val="231F20"/>
          <w:w w:val="115"/>
        </w:rPr>
        <w:t>genre</w:t>
      </w:r>
      <w:r>
        <w:rPr>
          <w:color w:val="231F20"/>
          <w:spacing w:val="-12"/>
          <w:w w:val="115"/>
        </w:rPr>
        <w:t> </w:t>
      </w:r>
      <w:r>
        <w:rPr>
          <w:color w:val="231F20"/>
          <w:w w:val="115"/>
        </w:rPr>
        <w:t>de</w:t>
      </w:r>
      <w:r>
        <w:rPr>
          <w:color w:val="231F20"/>
          <w:spacing w:val="-12"/>
          <w:w w:val="115"/>
        </w:rPr>
        <w:t> </w:t>
      </w:r>
      <w:r>
        <w:rPr>
          <w:color w:val="231F20"/>
          <w:w w:val="115"/>
        </w:rPr>
        <w:t>situation</w:t>
      </w:r>
      <w:r>
        <w:rPr>
          <w:color w:val="231F20"/>
          <w:spacing w:val="-13"/>
          <w:w w:val="115"/>
        </w:rPr>
        <w:t> </w:t>
      </w:r>
      <w:r>
        <w:rPr>
          <w:color w:val="231F20"/>
          <w:w w:val="115"/>
        </w:rPr>
        <w:t>est</w:t>
      </w:r>
      <w:r>
        <w:rPr>
          <w:color w:val="231F20"/>
          <w:spacing w:val="-12"/>
          <w:w w:val="115"/>
        </w:rPr>
        <w:t> </w:t>
      </w:r>
      <w:r>
        <w:rPr>
          <w:color w:val="231F20"/>
          <w:w w:val="115"/>
        </w:rPr>
        <w:t>préjudiciable</w:t>
      </w:r>
      <w:r>
        <w:rPr>
          <w:color w:val="231F20"/>
          <w:spacing w:val="-12"/>
          <w:w w:val="115"/>
        </w:rPr>
        <w:t> </w:t>
      </w:r>
      <w:r>
        <w:rPr>
          <w:color w:val="231F20"/>
          <w:w w:val="115"/>
        </w:rPr>
        <w:t>à</w:t>
      </w:r>
      <w:r>
        <w:rPr>
          <w:color w:val="231F20"/>
          <w:spacing w:val="-12"/>
          <w:w w:val="115"/>
        </w:rPr>
        <w:t> </w:t>
      </w:r>
      <w:r>
        <w:rPr>
          <w:color w:val="231F20"/>
          <w:w w:val="115"/>
        </w:rPr>
        <w:t>l’initiative,</w:t>
      </w:r>
      <w:r>
        <w:rPr>
          <w:color w:val="231F20"/>
          <w:spacing w:val="-12"/>
          <w:w w:val="115"/>
        </w:rPr>
        <w:t> </w:t>
      </w:r>
      <w:r>
        <w:rPr>
          <w:color w:val="231F20"/>
          <w:w w:val="115"/>
        </w:rPr>
        <w:t>car</w:t>
      </w:r>
      <w:r>
        <w:rPr>
          <w:color w:val="231F20"/>
          <w:spacing w:val="-13"/>
          <w:w w:val="115"/>
        </w:rPr>
        <w:t> </w:t>
      </w:r>
      <w:r>
        <w:rPr>
          <w:color w:val="231F20"/>
          <w:w w:val="115"/>
        </w:rPr>
        <w:t>la</w:t>
      </w:r>
      <w:r>
        <w:rPr>
          <w:color w:val="231F20"/>
          <w:spacing w:val="-12"/>
          <w:w w:val="115"/>
        </w:rPr>
        <w:t> </w:t>
      </w:r>
      <w:r>
        <w:rPr>
          <w:color w:val="231F20"/>
          <w:w w:val="115"/>
        </w:rPr>
        <w:t>peur </w:t>
      </w:r>
      <w:r>
        <w:rPr>
          <w:color w:val="231F20"/>
          <w:w w:val="120"/>
        </w:rPr>
        <w:t>de l’échec se traduit par une baisse du rendement professionnel.</w:t>
      </w:r>
    </w:p>
    <w:p>
      <w:pPr>
        <w:pStyle w:val="ListParagraph"/>
        <w:numPr>
          <w:ilvl w:val="1"/>
          <w:numId w:val="39"/>
        </w:numPr>
        <w:tabs>
          <w:tab w:pos="1720" w:val="left" w:leader="none"/>
        </w:tabs>
        <w:spacing w:line="307" w:lineRule="auto" w:before="0" w:after="0"/>
        <w:ind w:left="1720" w:right="106" w:hanging="251"/>
        <w:jc w:val="both"/>
        <w:rPr>
          <w:sz w:val="17"/>
        </w:rPr>
      </w:pPr>
      <w:r>
        <w:rPr>
          <w:i/>
          <w:color w:val="231F20"/>
          <w:w w:val="115"/>
          <w:sz w:val="17"/>
        </w:rPr>
        <w:t>L’ambiguïté</w:t>
      </w:r>
      <w:r>
        <w:rPr>
          <w:i/>
          <w:color w:val="231F20"/>
          <w:spacing w:val="-13"/>
          <w:w w:val="115"/>
          <w:sz w:val="17"/>
        </w:rPr>
        <w:t> </w:t>
      </w:r>
      <w:r>
        <w:rPr>
          <w:i/>
          <w:color w:val="231F20"/>
          <w:w w:val="115"/>
          <w:sz w:val="17"/>
        </w:rPr>
        <w:t>de</w:t>
      </w:r>
      <w:r>
        <w:rPr>
          <w:i/>
          <w:color w:val="231F20"/>
          <w:spacing w:val="-12"/>
          <w:w w:val="115"/>
          <w:sz w:val="17"/>
        </w:rPr>
        <w:t> </w:t>
      </w:r>
      <w:r>
        <w:rPr>
          <w:i/>
          <w:color w:val="231F20"/>
          <w:w w:val="115"/>
          <w:sz w:val="17"/>
        </w:rPr>
        <w:t>rôles</w:t>
      </w:r>
      <w:r>
        <w:rPr>
          <w:color w:val="231F20"/>
          <w:w w:val="115"/>
          <w:sz w:val="17"/>
        </w:rPr>
        <w:t>.</w:t>
      </w:r>
      <w:r>
        <w:rPr>
          <w:color w:val="231F20"/>
          <w:spacing w:val="-12"/>
          <w:w w:val="115"/>
          <w:sz w:val="17"/>
        </w:rPr>
        <w:t> </w:t>
      </w:r>
      <w:r>
        <w:rPr>
          <w:color w:val="231F20"/>
          <w:w w:val="115"/>
          <w:sz w:val="17"/>
        </w:rPr>
        <w:t>Ce</w:t>
      </w:r>
      <w:r>
        <w:rPr>
          <w:color w:val="231F20"/>
          <w:spacing w:val="-12"/>
          <w:w w:val="115"/>
          <w:sz w:val="17"/>
        </w:rPr>
        <w:t> </w:t>
      </w:r>
      <w:r>
        <w:rPr>
          <w:color w:val="231F20"/>
          <w:w w:val="115"/>
          <w:sz w:val="17"/>
        </w:rPr>
        <w:t>problème</w:t>
      </w:r>
      <w:r>
        <w:rPr>
          <w:color w:val="231F20"/>
          <w:spacing w:val="-13"/>
          <w:w w:val="115"/>
          <w:sz w:val="17"/>
        </w:rPr>
        <w:t> </w:t>
      </w:r>
      <w:r>
        <w:rPr>
          <w:color w:val="231F20"/>
          <w:w w:val="115"/>
          <w:sz w:val="17"/>
        </w:rPr>
        <w:t>est</w:t>
      </w:r>
      <w:r>
        <w:rPr>
          <w:color w:val="231F20"/>
          <w:spacing w:val="-12"/>
          <w:w w:val="115"/>
          <w:sz w:val="17"/>
        </w:rPr>
        <w:t> </w:t>
      </w:r>
      <w:r>
        <w:rPr>
          <w:color w:val="231F20"/>
          <w:w w:val="115"/>
          <w:sz w:val="17"/>
        </w:rPr>
        <w:t>associé</w:t>
      </w:r>
      <w:r>
        <w:rPr>
          <w:color w:val="231F20"/>
          <w:spacing w:val="-12"/>
          <w:w w:val="115"/>
          <w:sz w:val="17"/>
        </w:rPr>
        <w:t> </w:t>
      </w:r>
      <w:r>
        <w:rPr>
          <w:color w:val="231F20"/>
          <w:w w:val="115"/>
          <w:sz w:val="17"/>
        </w:rPr>
        <w:t>à</w:t>
      </w:r>
      <w:r>
        <w:rPr>
          <w:color w:val="231F20"/>
          <w:spacing w:val="-12"/>
          <w:w w:val="115"/>
          <w:sz w:val="17"/>
        </w:rPr>
        <w:t> </w:t>
      </w:r>
      <w:r>
        <w:rPr>
          <w:color w:val="231F20"/>
          <w:w w:val="115"/>
          <w:sz w:val="17"/>
        </w:rPr>
        <w:t>un</w:t>
      </w:r>
      <w:r>
        <w:rPr>
          <w:color w:val="231F20"/>
          <w:spacing w:val="-12"/>
          <w:w w:val="115"/>
          <w:sz w:val="17"/>
        </w:rPr>
        <w:t> </w:t>
      </w:r>
      <w:r>
        <w:rPr>
          <w:color w:val="231F20"/>
          <w:w w:val="115"/>
          <w:sz w:val="17"/>
        </w:rPr>
        <w:t>manque</w:t>
      </w:r>
      <w:r>
        <w:rPr>
          <w:color w:val="231F20"/>
          <w:spacing w:val="-13"/>
          <w:w w:val="115"/>
          <w:sz w:val="17"/>
        </w:rPr>
        <w:t> </w:t>
      </w:r>
      <w:r>
        <w:rPr>
          <w:color w:val="231F20"/>
          <w:w w:val="115"/>
          <w:sz w:val="17"/>
        </w:rPr>
        <w:t>de</w:t>
      </w:r>
      <w:r>
        <w:rPr>
          <w:color w:val="231F20"/>
          <w:spacing w:val="-12"/>
          <w:w w:val="115"/>
          <w:sz w:val="17"/>
        </w:rPr>
        <w:t> </w:t>
      </w:r>
      <w:r>
        <w:rPr>
          <w:color w:val="231F20"/>
          <w:w w:val="115"/>
          <w:sz w:val="17"/>
        </w:rPr>
        <w:t>clarté </w:t>
      </w:r>
      <w:r>
        <w:rPr>
          <w:color w:val="231F20"/>
          <w:w w:val="120"/>
          <w:sz w:val="17"/>
        </w:rPr>
        <w:t>quant</w:t>
      </w:r>
      <w:r>
        <w:rPr>
          <w:color w:val="231F20"/>
          <w:spacing w:val="-12"/>
          <w:w w:val="120"/>
          <w:sz w:val="17"/>
        </w:rPr>
        <w:t> </w:t>
      </w:r>
      <w:r>
        <w:rPr>
          <w:color w:val="231F20"/>
          <w:w w:val="120"/>
          <w:sz w:val="17"/>
        </w:rPr>
        <w:t>au</w:t>
      </w:r>
      <w:r>
        <w:rPr>
          <w:color w:val="231F20"/>
          <w:spacing w:val="-12"/>
          <w:w w:val="120"/>
          <w:sz w:val="17"/>
        </w:rPr>
        <w:t> </w:t>
      </w:r>
      <w:r>
        <w:rPr>
          <w:color w:val="231F20"/>
          <w:w w:val="120"/>
          <w:sz w:val="17"/>
        </w:rPr>
        <w:t>rôle</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l’individu,</w:t>
      </w:r>
      <w:r>
        <w:rPr>
          <w:color w:val="231F20"/>
          <w:spacing w:val="-12"/>
          <w:w w:val="120"/>
          <w:sz w:val="17"/>
        </w:rPr>
        <w:t> </w:t>
      </w:r>
      <w:r>
        <w:rPr>
          <w:color w:val="231F20"/>
          <w:w w:val="120"/>
          <w:sz w:val="17"/>
        </w:rPr>
        <w:t>aux</w:t>
      </w:r>
      <w:r>
        <w:rPr>
          <w:color w:val="231F20"/>
          <w:spacing w:val="-12"/>
          <w:w w:val="120"/>
          <w:sz w:val="17"/>
        </w:rPr>
        <w:t> </w:t>
      </w:r>
      <w:r>
        <w:rPr>
          <w:color w:val="231F20"/>
          <w:w w:val="120"/>
          <w:sz w:val="17"/>
        </w:rPr>
        <w:t>objectifs</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l’emploi</w:t>
      </w:r>
      <w:r>
        <w:rPr>
          <w:color w:val="231F20"/>
          <w:spacing w:val="-12"/>
          <w:w w:val="120"/>
          <w:sz w:val="17"/>
        </w:rPr>
        <w:t> </w:t>
      </w:r>
      <w:r>
        <w:rPr>
          <w:color w:val="231F20"/>
          <w:w w:val="120"/>
          <w:sz w:val="17"/>
        </w:rPr>
        <w:t>lui-même</w:t>
      </w:r>
      <w:r>
        <w:rPr>
          <w:color w:val="231F20"/>
          <w:spacing w:val="-12"/>
          <w:w w:val="120"/>
          <w:sz w:val="17"/>
        </w:rPr>
        <w:t> </w:t>
      </w:r>
      <w:r>
        <w:rPr>
          <w:color w:val="231F20"/>
          <w:w w:val="120"/>
          <w:sz w:val="17"/>
        </w:rPr>
        <w:t>et au champ de responsabilité qui lui est associé. En général, une tâche</w:t>
      </w:r>
      <w:r>
        <w:rPr>
          <w:color w:val="231F20"/>
          <w:spacing w:val="-9"/>
          <w:w w:val="120"/>
          <w:sz w:val="17"/>
        </w:rPr>
        <w:t> </w:t>
      </w:r>
      <w:r>
        <w:rPr>
          <w:color w:val="231F20"/>
          <w:w w:val="120"/>
          <w:sz w:val="17"/>
        </w:rPr>
        <w:t>peu</w:t>
      </w:r>
      <w:r>
        <w:rPr>
          <w:color w:val="231F20"/>
          <w:spacing w:val="-9"/>
          <w:w w:val="120"/>
          <w:sz w:val="17"/>
        </w:rPr>
        <w:t> </w:t>
      </w:r>
      <w:r>
        <w:rPr>
          <w:color w:val="231F20"/>
          <w:w w:val="120"/>
          <w:sz w:val="17"/>
        </w:rPr>
        <w:t>gratifiante</w:t>
      </w:r>
      <w:r>
        <w:rPr>
          <w:color w:val="231F20"/>
          <w:spacing w:val="-9"/>
          <w:w w:val="120"/>
          <w:sz w:val="17"/>
        </w:rPr>
        <w:t> </w:t>
      </w:r>
      <w:r>
        <w:rPr>
          <w:color w:val="231F20"/>
          <w:w w:val="120"/>
          <w:sz w:val="17"/>
        </w:rPr>
        <w:t>abaisse</w:t>
      </w:r>
      <w:r>
        <w:rPr>
          <w:color w:val="231F20"/>
          <w:spacing w:val="-9"/>
          <w:w w:val="120"/>
          <w:sz w:val="17"/>
        </w:rPr>
        <w:t> </w:t>
      </w:r>
      <w:r>
        <w:rPr>
          <w:color w:val="231F20"/>
          <w:w w:val="120"/>
          <w:sz w:val="17"/>
        </w:rPr>
        <w:t>le</w:t>
      </w:r>
      <w:r>
        <w:rPr>
          <w:color w:val="231F20"/>
          <w:spacing w:val="-9"/>
          <w:w w:val="120"/>
          <w:sz w:val="17"/>
        </w:rPr>
        <w:t> </w:t>
      </w:r>
      <w:r>
        <w:rPr>
          <w:color w:val="231F20"/>
          <w:w w:val="120"/>
          <w:sz w:val="17"/>
        </w:rPr>
        <w:t>niveau</w:t>
      </w:r>
      <w:r>
        <w:rPr>
          <w:color w:val="231F20"/>
          <w:spacing w:val="-9"/>
          <w:w w:val="120"/>
          <w:sz w:val="17"/>
        </w:rPr>
        <w:t> </w:t>
      </w:r>
      <w:r>
        <w:rPr>
          <w:color w:val="231F20"/>
          <w:w w:val="120"/>
          <w:sz w:val="17"/>
        </w:rPr>
        <w:t>d’estime</w:t>
      </w:r>
      <w:r>
        <w:rPr>
          <w:color w:val="231F20"/>
          <w:spacing w:val="-9"/>
          <w:w w:val="120"/>
          <w:sz w:val="17"/>
        </w:rPr>
        <w:t> </w:t>
      </w:r>
      <w:r>
        <w:rPr>
          <w:color w:val="231F20"/>
          <w:w w:val="120"/>
          <w:sz w:val="17"/>
        </w:rPr>
        <w:t>de</w:t>
      </w:r>
      <w:r>
        <w:rPr>
          <w:color w:val="231F20"/>
          <w:spacing w:val="-9"/>
          <w:w w:val="120"/>
          <w:sz w:val="17"/>
        </w:rPr>
        <w:t> </w:t>
      </w:r>
      <w:r>
        <w:rPr>
          <w:color w:val="231F20"/>
          <w:w w:val="120"/>
          <w:sz w:val="17"/>
        </w:rPr>
        <w:t>soi</w:t>
      </w:r>
      <w:r>
        <w:rPr>
          <w:color w:val="231F20"/>
          <w:spacing w:val="-9"/>
          <w:w w:val="120"/>
          <w:sz w:val="17"/>
        </w:rPr>
        <w:t> </w:t>
      </w:r>
      <w:r>
        <w:rPr>
          <w:color w:val="231F20"/>
          <w:w w:val="120"/>
          <w:sz w:val="17"/>
        </w:rPr>
        <w:t>et</w:t>
      </w:r>
      <w:r>
        <w:rPr>
          <w:color w:val="231F20"/>
          <w:spacing w:val="-9"/>
          <w:w w:val="120"/>
          <w:sz w:val="17"/>
        </w:rPr>
        <w:t> </w:t>
      </w:r>
      <w:r>
        <w:rPr>
          <w:color w:val="231F20"/>
          <w:w w:val="120"/>
          <w:sz w:val="17"/>
        </w:rPr>
        <w:t>de</w:t>
      </w:r>
      <w:r>
        <w:rPr>
          <w:color w:val="231F20"/>
          <w:spacing w:val="-9"/>
          <w:w w:val="120"/>
          <w:sz w:val="17"/>
        </w:rPr>
        <w:t> </w:t>
      </w:r>
      <w:r>
        <w:rPr>
          <w:color w:val="231F20"/>
          <w:w w:val="120"/>
          <w:sz w:val="17"/>
        </w:rPr>
        <w:t>satis- faction</w:t>
      </w:r>
      <w:r>
        <w:rPr>
          <w:color w:val="231F20"/>
          <w:spacing w:val="-12"/>
          <w:w w:val="120"/>
          <w:sz w:val="17"/>
        </w:rPr>
        <w:t> </w:t>
      </w:r>
      <w:r>
        <w:rPr>
          <w:color w:val="231F20"/>
          <w:w w:val="120"/>
          <w:sz w:val="17"/>
        </w:rPr>
        <w:t>professionnelle,</w:t>
      </w:r>
      <w:r>
        <w:rPr>
          <w:color w:val="231F20"/>
          <w:spacing w:val="-12"/>
          <w:w w:val="120"/>
          <w:sz w:val="17"/>
        </w:rPr>
        <w:t> </w:t>
      </w:r>
      <w:r>
        <w:rPr>
          <w:color w:val="231F20"/>
          <w:w w:val="120"/>
          <w:sz w:val="17"/>
        </w:rPr>
        <w:t>la</w:t>
      </w:r>
      <w:r>
        <w:rPr>
          <w:color w:val="231F20"/>
          <w:spacing w:val="-12"/>
          <w:w w:val="120"/>
          <w:sz w:val="17"/>
        </w:rPr>
        <w:t> </w:t>
      </w:r>
      <w:r>
        <w:rPr>
          <w:color w:val="231F20"/>
          <w:w w:val="120"/>
          <w:sz w:val="17"/>
        </w:rPr>
        <w:t>qualité</w:t>
      </w:r>
      <w:r>
        <w:rPr>
          <w:color w:val="231F20"/>
          <w:spacing w:val="-12"/>
          <w:w w:val="120"/>
          <w:sz w:val="17"/>
        </w:rPr>
        <w:t> </w:t>
      </w:r>
      <w:r>
        <w:rPr>
          <w:color w:val="231F20"/>
          <w:w w:val="120"/>
          <w:sz w:val="17"/>
        </w:rPr>
        <w:t>du</w:t>
      </w:r>
      <w:r>
        <w:rPr>
          <w:color w:val="231F20"/>
          <w:spacing w:val="-12"/>
          <w:w w:val="120"/>
          <w:sz w:val="17"/>
        </w:rPr>
        <w:t> </w:t>
      </w:r>
      <w:r>
        <w:rPr>
          <w:color w:val="231F20"/>
          <w:w w:val="120"/>
          <w:sz w:val="17"/>
        </w:rPr>
        <w:t>travail</w:t>
      </w:r>
      <w:r>
        <w:rPr>
          <w:color w:val="231F20"/>
          <w:spacing w:val="-12"/>
          <w:w w:val="120"/>
          <w:sz w:val="17"/>
        </w:rPr>
        <w:t> </w:t>
      </w:r>
      <w:r>
        <w:rPr>
          <w:color w:val="231F20"/>
          <w:w w:val="120"/>
          <w:sz w:val="17"/>
        </w:rPr>
        <w:t>et</w:t>
      </w:r>
      <w:r>
        <w:rPr>
          <w:color w:val="231F20"/>
          <w:spacing w:val="-12"/>
          <w:w w:val="120"/>
          <w:sz w:val="17"/>
        </w:rPr>
        <w:t> </w:t>
      </w:r>
      <w:r>
        <w:rPr>
          <w:color w:val="231F20"/>
          <w:w w:val="120"/>
          <w:sz w:val="17"/>
        </w:rPr>
        <w:t>le</w:t>
      </w:r>
      <w:r>
        <w:rPr>
          <w:color w:val="231F20"/>
          <w:spacing w:val="-12"/>
          <w:w w:val="120"/>
          <w:sz w:val="17"/>
        </w:rPr>
        <w:t> </w:t>
      </w:r>
      <w:r>
        <w:rPr>
          <w:color w:val="231F20"/>
          <w:w w:val="120"/>
          <w:sz w:val="17"/>
        </w:rPr>
        <w:t>degré</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partici- pation</w:t>
      </w:r>
      <w:r>
        <w:rPr>
          <w:color w:val="231F20"/>
          <w:spacing w:val="-13"/>
          <w:w w:val="120"/>
          <w:sz w:val="17"/>
        </w:rPr>
        <w:t> </w:t>
      </w:r>
      <w:r>
        <w:rPr>
          <w:color w:val="231F20"/>
          <w:w w:val="120"/>
          <w:sz w:val="17"/>
        </w:rPr>
        <w:t>à</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prise</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décision.</w:t>
      </w:r>
      <w:r>
        <w:rPr>
          <w:color w:val="231F20"/>
          <w:spacing w:val="-13"/>
          <w:w w:val="120"/>
          <w:sz w:val="17"/>
        </w:rPr>
        <w:t> </w:t>
      </w:r>
      <w:r>
        <w:rPr>
          <w:color w:val="231F20"/>
          <w:w w:val="120"/>
          <w:sz w:val="17"/>
        </w:rPr>
        <w:t>L’adéquation</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l’information</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des communications</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clarté</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description</w:t>
      </w:r>
      <w:r>
        <w:rPr>
          <w:color w:val="231F20"/>
          <w:spacing w:val="-13"/>
          <w:w w:val="120"/>
          <w:sz w:val="17"/>
        </w:rPr>
        <w:t> </w:t>
      </w:r>
      <w:r>
        <w:rPr>
          <w:color w:val="231F20"/>
          <w:w w:val="120"/>
          <w:sz w:val="17"/>
        </w:rPr>
        <w:t>des</w:t>
      </w:r>
      <w:r>
        <w:rPr>
          <w:color w:val="231F20"/>
          <w:spacing w:val="-12"/>
          <w:w w:val="120"/>
          <w:sz w:val="17"/>
        </w:rPr>
        <w:t> </w:t>
      </w:r>
      <w:r>
        <w:rPr>
          <w:color w:val="231F20"/>
          <w:w w:val="120"/>
          <w:sz w:val="17"/>
        </w:rPr>
        <w:t>tâches</w:t>
      </w:r>
      <w:r>
        <w:rPr>
          <w:color w:val="231F20"/>
          <w:spacing w:val="-13"/>
          <w:w w:val="120"/>
          <w:sz w:val="17"/>
        </w:rPr>
        <w:t> </w:t>
      </w:r>
      <w:r>
        <w:rPr>
          <w:color w:val="231F20"/>
          <w:w w:val="120"/>
          <w:sz w:val="17"/>
        </w:rPr>
        <w:t>réduisent ce type de conflit en améliorant l’orientation des tâches.</w:t>
      </w:r>
    </w:p>
    <w:p>
      <w:pPr>
        <w:pStyle w:val="ListParagraph"/>
        <w:numPr>
          <w:ilvl w:val="1"/>
          <w:numId w:val="39"/>
        </w:numPr>
        <w:tabs>
          <w:tab w:pos="1720" w:val="left" w:leader="none"/>
        </w:tabs>
        <w:spacing w:line="307" w:lineRule="auto" w:before="0" w:after="0"/>
        <w:ind w:left="1720" w:right="103" w:hanging="251"/>
        <w:jc w:val="both"/>
        <w:rPr>
          <w:sz w:val="17"/>
        </w:rPr>
      </w:pPr>
      <w:r>
        <w:rPr>
          <w:i/>
          <w:color w:val="231F20"/>
          <w:w w:val="115"/>
          <w:sz w:val="17"/>
        </w:rPr>
        <w:t>Les</w:t>
      </w:r>
      <w:r>
        <w:rPr>
          <w:i/>
          <w:color w:val="231F20"/>
          <w:spacing w:val="-13"/>
          <w:w w:val="115"/>
          <w:sz w:val="17"/>
        </w:rPr>
        <w:t> </w:t>
      </w:r>
      <w:r>
        <w:rPr>
          <w:i/>
          <w:color w:val="231F20"/>
          <w:w w:val="115"/>
          <w:sz w:val="17"/>
        </w:rPr>
        <w:t>possibilités</w:t>
      </w:r>
      <w:r>
        <w:rPr>
          <w:i/>
          <w:color w:val="231F20"/>
          <w:spacing w:val="-12"/>
          <w:w w:val="115"/>
          <w:sz w:val="17"/>
        </w:rPr>
        <w:t> </w:t>
      </w:r>
      <w:r>
        <w:rPr>
          <w:i/>
          <w:color w:val="231F20"/>
          <w:w w:val="115"/>
          <w:sz w:val="17"/>
        </w:rPr>
        <w:t>de</w:t>
      </w:r>
      <w:r>
        <w:rPr>
          <w:i/>
          <w:color w:val="231F20"/>
          <w:spacing w:val="-12"/>
          <w:w w:val="115"/>
          <w:sz w:val="17"/>
        </w:rPr>
        <w:t> </w:t>
      </w:r>
      <w:r>
        <w:rPr>
          <w:i/>
          <w:color w:val="231F20"/>
          <w:w w:val="115"/>
          <w:sz w:val="17"/>
        </w:rPr>
        <w:t>développement</w:t>
      </w:r>
      <w:r>
        <w:rPr>
          <w:color w:val="231F20"/>
          <w:w w:val="115"/>
          <w:sz w:val="17"/>
        </w:rPr>
        <w:t>.</w:t>
      </w:r>
      <w:r>
        <w:rPr>
          <w:color w:val="231F20"/>
          <w:spacing w:val="-12"/>
          <w:w w:val="115"/>
          <w:sz w:val="17"/>
        </w:rPr>
        <w:t> </w:t>
      </w:r>
      <w:r>
        <w:rPr>
          <w:color w:val="231F20"/>
          <w:w w:val="115"/>
          <w:sz w:val="17"/>
        </w:rPr>
        <w:t>À</w:t>
      </w:r>
      <w:r>
        <w:rPr>
          <w:color w:val="231F20"/>
          <w:spacing w:val="-13"/>
          <w:w w:val="115"/>
          <w:sz w:val="17"/>
        </w:rPr>
        <w:t> </w:t>
      </w:r>
      <w:r>
        <w:rPr>
          <w:color w:val="231F20"/>
          <w:w w:val="115"/>
          <w:sz w:val="17"/>
        </w:rPr>
        <w:t>divers</w:t>
      </w:r>
      <w:r>
        <w:rPr>
          <w:color w:val="231F20"/>
          <w:spacing w:val="-12"/>
          <w:w w:val="115"/>
          <w:sz w:val="17"/>
        </w:rPr>
        <w:t> </w:t>
      </w:r>
      <w:r>
        <w:rPr>
          <w:color w:val="231F20"/>
          <w:w w:val="115"/>
          <w:sz w:val="17"/>
        </w:rPr>
        <w:t>niveaux,</w:t>
      </w:r>
      <w:r>
        <w:rPr>
          <w:color w:val="231F20"/>
          <w:spacing w:val="-12"/>
          <w:w w:val="115"/>
          <w:sz w:val="17"/>
        </w:rPr>
        <w:t> </w:t>
      </w:r>
      <w:r>
        <w:rPr>
          <w:color w:val="231F20"/>
          <w:w w:val="115"/>
          <w:sz w:val="17"/>
        </w:rPr>
        <w:t>les</w:t>
      </w:r>
      <w:r>
        <w:rPr>
          <w:color w:val="231F20"/>
          <w:spacing w:val="-12"/>
          <w:w w:val="115"/>
          <w:sz w:val="17"/>
        </w:rPr>
        <w:t> </w:t>
      </w:r>
      <w:r>
        <w:rPr>
          <w:color w:val="231F20"/>
          <w:w w:val="115"/>
          <w:sz w:val="17"/>
        </w:rPr>
        <w:t>travailleurs </w:t>
      </w:r>
      <w:r>
        <w:rPr>
          <w:color w:val="231F20"/>
          <w:spacing w:val="-2"/>
          <w:w w:val="120"/>
          <w:sz w:val="17"/>
        </w:rPr>
        <w:t>sont</w:t>
      </w:r>
      <w:r>
        <w:rPr>
          <w:color w:val="231F20"/>
          <w:spacing w:val="-9"/>
          <w:w w:val="120"/>
          <w:sz w:val="17"/>
        </w:rPr>
        <w:t> </w:t>
      </w:r>
      <w:r>
        <w:rPr>
          <w:color w:val="231F20"/>
          <w:spacing w:val="-2"/>
          <w:w w:val="120"/>
          <w:sz w:val="17"/>
        </w:rPr>
        <w:t>à</w:t>
      </w:r>
      <w:r>
        <w:rPr>
          <w:color w:val="231F20"/>
          <w:spacing w:val="-9"/>
          <w:w w:val="120"/>
          <w:sz w:val="17"/>
        </w:rPr>
        <w:t> </w:t>
      </w:r>
      <w:r>
        <w:rPr>
          <w:color w:val="231F20"/>
          <w:spacing w:val="-2"/>
          <w:w w:val="120"/>
          <w:sz w:val="17"/>
        </w:rPr>
        <w:t>la</w:t>
      </w:r>
      <w:r>
        <w:rPr>
          <w:color w:val="231F20"/>
          <w:spacing w:val="-9"/>
          <w:w w:val="120"/>
          <w:sz w:val="17"/>
        </w:rPr>
        <w:t> </w:t>
      </w:r>
      <w:r>
        <w:rPr>
          <w:color w:val="231F20"/>
          <w:spacing w:val="-2"/>
          <w:w w:val="120"/>
          <w:sz w:val="17"/>
        </w:rPr>
        <w:t>recherche</w:t>
      </w:r>
      <w:r>
        <w:rPr>
          <w:color w:val="231F20"/>
          <w:spacing w:val="-9"/>
          <w:w w:val="120"/>
          <w:sz w:val="17"/>
        </w:rPr>
        <w:t> </w:t>
      </w:r>
      <w:r>
        <w:rPr>
          <w:color w:val="231F20"/>
          <w:spacing w:val="-2"/>
          <w:w w:val="120"/>
          <w:sz w:val="17"/>
        </w:rPr>
        <w:t>du</w:t>
      </w:r>
      <w:r>
        <w:rPr>
          <w:color w:val="231F20"/>
          <w:spacing w:val="-9"/>
          <w:w w:val="120"/>
          <w:sz w:val="17"/>
        </w:rPr>
        <w:t> </w:t>
      </w:r>
      <w:r>
        <w:rPr>
          <w:color w:val="231F20"/>
          <w:spacing w:val="-2"/>
          <w:w w:val="120"/>
          <w:sz w:val="17"/>
        </w:rPr>
        <w:t>développement</w:t>
      </w:r>
      <w:r>
        <w:rPr>
          <w:color w:val="231F20"/>
          <w:spacing w:val="-9"/>
          <w:w w:val="120"/>
          <w:sz w:val="17"/>
        </w:rPr>
        <w:t> </w:t>
      </w:r>
      <w:r>
        <w:rPr>
          <w:color w:val="231F20"/>
          <w:spacing w:val="-2"/>
          <w:w w:val="120"/>
          <w:sz w:val="17"/>
        </w:rPr>
        <w:t>de</w:t>
      </w:r>
      <w:r>
        <w:rPr>
          <w:color w:val="231F20"/>
          <w:spacing w:val="-9"/>
          <w:w w:val="120"/>
          <w:sz w:val="17"/>
        </w:rPr>
        <w:t> </w:t>
      </w:r>
      <w:r>
        <w:rPr>
          <w:color w:val="231F20"/>
          <w:spacing w:val="-2"/>
          <w:w w:val="120"/>
          <w:sz w:val="17"/>
        </w:rPr>
        <w:t>leurs</w:t>
      </w:r>
      <w:r>
        <w:rPr>
          <w:color w:val="231F20"/>
          <w:spacing w:val="-9"/>
          <w:w w:val="120"/>
          <w:sz w:val="17"/>
        </w:rPr>
        <w:t> </w:t>
      </w:r>
      <w:r>
        <w:rPr>
          <w:color w:val="231F20"/>
          <w:spacing w:val="-2"/>
          <w:w w:val="120"/>
          <w:sz w:val="17"/>
        </w:rPr>
        <w:t>connaissances</w:t>
      </w:r>
      <w:r>
        <w:rPr>
          <w:color w:val="231F20"/>
          <w:spacing w:val="-9"/>
          <w:w w:val="120"/>
          <w:sz w:val="17"/>
        </w:rPr>
        <w:t> </w:t>
      </w:r>
      <w:r>
        <w:rPr>
          <w:color w:val="231F20"/>
          <w:spacing w:val="-2"/>
          <w:w w:val="120"/>
          <w:sz w:val="17"/>
        </w:rPr>
        <w:t>et</w:t>
      </w:r>
      <w:r>
        <w:rPr>
          <w:color w:val="231F20"/>
          <w:spacing w:val="-9"/>
          <w:w w:val="120"/>
          <w:sz w:val="17"/>
        </w:rPr>
        <w:t> </w:t>
      </w:r>
      <w:r>
        <w:rPr>
          <w:color w:val="231F20"/>
          <w:spacing w:val="-2"/>
          <w:w w:val="120"/>
          <w:sz w:val="17"/>
        </w:rPr>
        <w:t>de </w:t>
      </w:r>
      <w:r>
        <w:rPr>
          <w:color w:val="231F20"/>
          <w:w w:val="120"/>
          <w:sz w:val="17"/>
        </w:rPr>
        <w:t>leurs</w:t>
      </w:r>
      <w:r>
        <w:rPr>
          <w:color w:val="231F20"/>
          <w:spacing w:val="-1"/>
          <w:w w:val="120"/>
          <w:sz w:val="17"/>
        </w:rPr>
        <w:t> </w:t>
      </w:r>
      <w:r>
        <w:rPr>
          <w:color w:val="231F20"/>
          <w:w w:val="120"/>
          <w:sz w:val="17"/>
        </w:rPr>
        <w:t>compétences</w:t>
      </w:r>
      <w:r>
        <w:rPr>
          <w:color w:val="231F20"/>
          <w:spacing w:val="-1"/>
          <w:w w:val="120"/>
          <w:sz w:val="17"/>
        </w:rPr>
        <w:t> </w:t>
      </w:r>
      <w:r>
        <w:rPr>
          <w:color w:val="231F20"/>
          <w:w w:val="120"/>
          <w:sz w:val="17"/>
        </w:rPr>
        <w:t>professionnelles.</w:t>
      </w:r>
      <w:r>
        <w:rPr>
          <w:color w:val="231F20"/>
          <w:spacing w:val="-1"/>
          <w:w w:val="120"/>
          <w:sz w:val="17"/>
        </w:rPr>
        <w:t> </w:t>
      </w:r>
      <w:r>
        <w:rPr>
          <w:color w:val="231F20"/>
          <w:w w:val="120"/>
          <w:sz w:val="17"/>
        </w:rPr>
        <w:t>La</w:t>
      </w:r>
      <w:r>
        <w:rPr>
          <w:color w:val="231F20"/>
          <w:spacing w:val="-1"/>
          <w:w w:val="120"/>
          <w:sz w:val="17"/>
        </w:rPr>
        <w:t> </w:t>
      </w:r>
      <w:r>
        <w:rPr>
          <w:color w:val="231F20"/>
          <w:w w:val="120"/>
          <w:sz w:val="17"/>
        </w:rPr>
        <w:t>majorité</w:t>
      </w:r>
      <w:r>
        <w:rPr>
          <w:color w:val="231F20"/>
          <w:spacing w:val="-1"/>
          <w:w w:val="120"/>
          <w:sz w:val="17"/>
        </w:rPr>
        <w:t> </w:t>
      </w:r>
      <w:r>
        <w:rPr>
          <w:color w:val="231F20"/>
          <w:w w:val="120"/>
          <w:sz w:val="17"/>
        </w:rPr>
        <w:t>des</w:t>
      </w:r>
      <w:r>
        <w:rPr>
          <w:color w:val="231F20"/>
          <w:spacing w:val="-1"/>
          <w:w w:val="120"/>
          <w:sz w:val="17"/>
        </w:rPr>
        <w:t> </w:t>
      </w:r>
      <w:r>
        <w:rPr>
          <w:color w:val="231F20"/>
          <w:w w:val="120"/>
          <w:sz w:val="17"/>
        </w:rPr>
        <w:t>travailleurs </w:t>
      </w:r>
      <w:r>
        <w:rPr>
          <w:color w:val="231F20"/>
          <w:spacing w:val="-2"/>
          <w:w w:val="120"/>
          <w:sz w:val="17"/>
        </w:rPr>
        <w:t>aspirent</w:t>
      </w:r>
      <w:r>
        <w:rPr>
          <w:color w:val="231F20"/>
          <w:spacing w:val="-13"/>
          <w:w w:val="120"/>
          <w:sz w:val="17"/>
        </w:rPr>
        <w:t> </w:t>
      </w:r>
      <w:r>
        <w:rPr>
          <w:color w:val="231F20"/>
          <w:spacing w:val="-2"/>
          <w:w w:val="120"/>
          <w:sz w:val="17"/>
        </w:rPr>
        <w:t>à</w:t>
      </w:r>
      <w:r>
        <w:rPr>
          <w:color w:val="231F20"/>
          <w:spacing w:val="-11"/>
          <w:w w:val="120"/>
          <w:sz w:val="17"/>
        </w:rPr>
        <w:t> </w:t>
      </w:r>
      <w:r>
        <w:rPr>
          <w:color w:val="231F20"/>
          <w:spacing w:val="-2"/>
          <w:w w:val="120"/>
          <w:sz w:val="17"/>
        </w:rPr>
        <w:t>devenir</w:t>
      </w:r>
      <w:r>
        <w:rPr>
          <w:color w:val="231F20"/>
          <w:spacing w:val="-11"/>
          <w:w w:val="120"/>
          <w:sz w:val="17"/>
        </w:rPr>
        <w:t> </w:t>
      </w:r>
      <w:r>
        <w:rPr>
          <w:color w:val="231F20"/>
          <w:spacing w:val="-2"/>
          <w:w w:val="120"/>
          <w:sz w:val="17"/>
        </w:rPr>
        <w:t>meilleurs.</w:t>
      </w:r>
      <w:r>
        <w:rPr>
          <w:color w:val="231F20"/>
          <w:spacing w:val="-10"/>
          <w:w w:val="120"/>
          <w:sz w:val="17"/>
        </w:rPr>
        <w:t> </w:t>
      </w:r>
      <w:r>
        <w:rPr>
          <w:color w:val="231F20"/>
          <w:spacing w:val="-2"/>
          <w:w w:val="120"/>
          <w:sz w:val="17"/>
        </w:rPr>
        <w:t>Tout</w:t>
      </w:r>
      <w:r>
        <w:rPr>
          <w:color w:val="231F20"/>
          <w:spacing w:val="-11"/>
          <w:w w:val="120"/>
          <w:sz w:val="17"/>
        </w:rPr>
        <w:t> </w:t>
      </w:r>
      <w:r>
        <w:rPr>
          <w:color w:val="231F20"/>
          <w:spacing w:val="-2"/>
          <w:w w:val="120"/>
          <w:sz w:val="17"/>
        </w:rPr>
        <w:t>d’abord,</w:t>
      </w:r>
      <w:r>
        <w:rPr>
          <w:color w:val="231F20"/>
          <w:spacing w:val="-11"/>
          <w:w w:val="120"/>
          <w:sz w:val="17"/>
        </w:rPr>
        <w:t> </w:t>
      </w:r>
      <w:r>
        <w:rPr>
          <w:color w:val="231F20"/>
          <w:spacing w:val="-2"/>
          <w:w w:val="120"/>
          <w:sz w:val="17"/>
        </w:rPr>
        <w:t>une</w:t>
      </w:r>
      <w:r>
        <w:rPr>
          <w:color w:val="231F20"/>
          <w:spacing w:val="-11"/>
          <w:w w:val="120"/>
          <w:sz w:val="17"/>
        </w:rPr>
        <w:t> </w:t>
      </w:r>
      <w:r>
        <w:rPr>
          <w:color w:val="231F20"/>
          <w:spacing w:val="-2"/>
          <w:w w:val="120"/>
          <w:sz w:val="17"/>
        </w:rPr>
        <w:t>sous-utilisation</w:t>
      </w:r>
      <w:r>
        <w:rPr>
          <w:color w:val="231F20"/>
          <w:spacing w:val="-10"/>
          <w:w w:val="120"/>
          <w:sz w:val="17"/>
        </w:rPr>
        <w:t> </w:t>
      </w:r>
      <w:r>
        <w:rPr>
          <w:color w:val="231F20"/>
          <w:spacing w:val="-2"/>
          <w:w w:val="120"/>
          <w:sz w:val="17"/>
        </w:rPr>
        <w:t>des </w:t>
      </w:r>
      <w:r>
        <w:rPr>
          <w:color w:val="231F20"/>
          <w:w w:val="120"/>
          <w:sz w:val="17"/>
        </w:rPr>
        <w:t>compétences</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employés</w:t>
      </w:r>
      <w:r>
        <w:rPr>
          <w:color w:val="231F20"/>
          <w:spacing w:val="-13"/>
          <w:w w:val="120"/>
          <w:sz w:val="17"/>
        </w:rPr>
        <w:t> </w:t>
      </w:r>
      <w:r>
        <w:rPr>
          <w:color w:val="231F20"/>
          <w:w w:val="120"/>
          <w:sz w:val="17"/>
        </w:rPr>
        <w:t>peut</w:t>
      </w:r>
      <w:r>
        <w:rPr>
          <w:color w:val="231F20"/>
          <w:spacing w:val="-12"/>
          <w:w w:val="120"/>
          <w:sz w:val="17"/>
        </w:rPr>
        <w:t> </w:t>
      </w:r>
      <w:r>
        <w:rPr>
          <w:color w:val="231F20"/>
          <w:w w:val="120"/>
          <w:sz w:val="17"/>
        </w:rPr>
        <w:t>être</w:t>
      </w:r>
      <w:r>
        <w:rPr>
          <w:color w:val="231F20"/>
          <w:spacing w:val="-13"/>
          <w:w w:val="120"/>
          <w:sz w:val="17"/>
        </w:rPr>
        <w:t> </w:t>
      </w:r>
      <w:r>
        <w:rPr>
          <w:color w:val="231F20"/>
          <w:w w:val="120"/>
          <w:sz w:val="17"/>
        </w:rPr>
        <w:t>une</w:t>
      </w:r>
      <w:r>
        <w:rPr>
          <w:color w:val="231F20"/>
          <w:spacing w:val="-13"/>
          <w:w w:val="120"/>
          <w:sz w:val="17"/>
        </w:rPr>
        <w:t> </w:t>
      </w:r>
      <w:r>
        <w:rPr>
          <w:color w:val="231F20"/>
          <w:w w:val="120"/>
          <w:sz w:val="17"/>
        </w:rPr>
        <w:t>source</w:t>
      </w:r>
      <w:r>
        <w:rPr>
          <w:color w:val="231F20"/>
          <w:spacing w:val="-13"/>
          <w:w w:val="120"/>
          <w:sz w:val="17"/>
        </w:rPr>
        <w:t> </w:t>
      </w:r>
      <w:r>
        <w:rPr>
          <w:color w:val="231F20"/>
          <w:w w:val="120"/>
          <w:sz w:val="17"/>
        </w:rPr>
        <w:t>notable</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stress, particulièrement lorsque cela bouleverse le sens du travail et le </w:t>
      </w:r>
      <w:r>
        <w:rPr>
          <w:color w:val="231F20"/>
          <w:w w:val="115"/>
          <w:sz w:val="17"/>
        </w:rPr>
        <w:t>sentiment</w:t>
      </w:r>
      <w:r>
        <w:rPr>
          <w:color w:val="231F20"/>
          <w:spacing w:val="-8"/>
          <w:w w:val="115"/>
          <w:sz w:val="17"/>
        </w:rPr>
        <w:t> </w:t>
      </w:r>
      <w:r>
        <w:rPr>
          <w:color w:val="231F20"/>
          <w:w w:val="115"/>
          <w:sz w:val="17"/>
        </w:rPr>
        <w:t>d’utilité</w:t>
      </w:r>
      <w:r>
        <w:rPr>
          <w:color w:val="231F20"/>
          <w:spacing w:val="-8"/>
          <w:w w:val="115"/>
          <w:sz w:val="17"/>
        </w:rPr>
        <w:t> </w:t>
      </w:r>
      <w:r>
        <w:rPr>
          <w:color w:val="231F20"/>
          <w:w w:val="115"/>
          <w:sz w:val="17"/>
        </w:rPr>
        <w:t>organisationnelle</w:t>
      </w:r>
      <w:r>
        <w:rPr>
          <w:color w:val="231F20"/>
          <w:spacing w:val="-8"/>
          <w:w w:val="115"/>
          <w:sz w:val="17"/>
        </w:rPr>
        <w:t> </w:t>
      </w:r>
      <w:r>
        <w:rPr>
          <w:color w:val="231F20"/>
          <w:w w:val="115"/>
          <w:sz w:val="17"/>
        </w:rPr>
        <w:t>et</w:t>
      </w:r>
      <w:r>
        <w:rPr>
          <w:color w:val="231F20"/>
          <w:spacing w:val="-8"/>
          <w:w w:val="115"/>
          <w:sz w:val="17"/>
        </w:rPr>
        <w:t> </w:t>
      </w:r>
      <w:r>
        <w:rPr>
          <w:color w:val="231F20"/>
          <w:w w:val="115"/>
          <w:sz w:val="17"/>
        </w:rPr>
        <w:t>sociale.</w:t>
      </w:r>
      <w:r>
        <w:rPr>
          <w:color w:val="231F20"/>
          <w:spacing w:val="-8"/>
          <w:w w:val="115"/>
          <w:sz w:val="17"/>
        </w:rPr>
        <w:t> </w:t>
      </w:r>
      <w:r>
        <w:rPr>
          <w:color w:val="231F20"/>
          <w:w w:val="115"/>
          <w:sz w:val="17"/>
        </w:rPr>
        <w:t>De</w:t>
      </w:r>
      <w:r>
        <w:rPr>
          <w:color w:val="231F20"/>
          <w:spacing w:val="-8"/>
          <w:w w:val="115"/>
          <w:sz w:val="17"/>
        </w:rPr>
        <w:t> </w:t>
      </w:r>
      <w:r>
        <w:rPr>
          <w:color w:val="231F20"/>
          <w:w w:val="115"/>
          <w:sz w:val="17"/>
        </w:rPr>
        <w:t>plus,</w:t>
      </w:r>
      <w:r>
        <w:rPr>
          <w:color w:val="231F20"/>
          <w:spacing w:val="-8"/>
          <w:w w:val="115"/>
          <w:sz w:val="17"/>
        </w:rPr>
        <w:t> </w:t>
      </w:r>
      <w:r>
        <w:rPr>
          <w:color w:val="231F20"/>
          <w:w w:val="115"/>
          <w:sz w:val="17"/>
        </w:rPr>
        <w:t>une</w:t>
      </w:r>
      <w:r>
        <w:rPr>
          <w:color w:val="231F20"/>
          <w:spacing w:val="-8"/>
          <w:w w:val="115"/>
          <w:sz w:val="17"/>
        </w:rPr>
        <w:t> </w:t>
      </w:r>
      <w:r>
        <w:rPr>
          <w:color w:val="231F20"/>
          <w:w w:val="115"/>
          <w:sz w:val="17"/>
        </w:rPr>
        <w:t>impos- </w:t>
      </w:r>
      <w:r>
        <w:rPr>
          <w:color w:val="231F20"/>
          <w:w w:val="120"/>
          <w:sz w:val="17"/>
        </w:rPr>
        <w:t>sibilité de se perfectionner, de développer ses compétences ou </w:t>
      </w:r>
      <w:r>
        <w:rPr>
          <w:color w:val="231F20"/>
          <w:spacing w:val="-2"/>
          <w:w w:val="120"/>
          <w:sz w:val="17"/>
        </w:rPr>
        <w:t>d’améliorer</w:t>
      </w:r>
      <w:r>
        <w:rPr>
          <w:color w:val="231F20"/>
          <w:spacing w:val="-13"/>
          <w:w w:val="120"/>
          <w:sz w:val="17"/>
        </w:rPr>
        <w:t> </w:t>
      </w:r>
      <w:r>
        <w:rPr>
          <w:color w:val="231F20"/>
          <w:spacing w:val="-2"/>
          <w:w w:val="120"/>
          <w:sz w:val="17"/>
        </w:rPr>
        <w:t>ses</w:t>
      </w:r>
      <w:r>
        <w:rPr>
          <w:color w:val="231F20"/>
          <w:spacing w:val="-11"/>
          <w:w w:val="120"/>
          <w:sz w:val="17"/>
        </w:rPr>
        <w:t> </w:t>
      </w:r>
      <w:r>
        <w:rPr>
          <w:color w:val="231F20"/>
          <w:spacing w:val="-2"/>
          <w:w w:val="120"/>
          <w:sz w:val="17"/>
        </w:rPr>
        <w:t>connaissances</w:t>
      </w:r>
      <w:r>
        <w:rPr>
          <w:color w:val="231F20"/>
          <w:spacing w:val="-11"/>
          <w:w w:val="120"/>
          <w:sz w:val="17"/>
        </w:rPr>
        <w:t> </w:t>
      </w:r>
      <w:r>
        <w:rPr>
          <w:color w:val="231F20"/>
          <w:spacing w:val="-2"/>
          <w:w w:val="120"/>
          <w:sz w:val="17"/>
        </w:rPr>
        <w:t>peut</w:t>
      </w:r>
      <w:r>
        <w:rPr>
          <w:color w:val="231F20"/>
          <w:spacing w:val="-10"/>
          <w:w w:val="120"/>
          <w:sz w:val="17"/>
        </w:rPr>
        <w:t> </w:t>
      </w:r>
      <w:r>
        <w:rPr>
          <w:color w:val="231F20"/>
          <w:spacing w:val="-2"/>
          <w:w w:val="120"/>
          <w:sz w:val="17"/>
        </w:rPr>
        <w:t>être</w:t>
      </w:r>
      <w:r>
        <w:rPr>
          <w:color w:val="231F20"/>
          <w:spacing w:val="-11"/>
          <w:w w:val="120"/>
          <w:sz w:val="17"/>
        </w:rPr>
        <w:t> </w:t>
      </w:r>
      <w:r>
        <w:rPr>
          <w:color w:val="231F20"/>
          <w:spacing w:val="-2"/>
          <w:w w:val="120"/>
          <w:sz w:val="17"/>
        </w:rPr>
        <w:t>perçue</w:t>
      </w:r>
      <w:r>
        <w:rPr>
          <w:color w:val="231F20"/>
          <w:spacing w:val="-11"/>
          <w:w w:val="120"/>
          <w:sz w:val="17"/>
        </w:rPr>
        <w:t> </w:t>
      </w:r>
      <w:r>
        <w:rPr>
          <w:color w:val="231F20"/>
          <w:spacing w:val="-2"/>
          <w:w w:val="120"/>
          <w:sz w:val="17"/>
        </w:rPr>
        <w:t>comme</w:t>
      </w:r>
      <w:r>
        <w:rPr>
          <w:color w:val="231F20"/>
          <w:spacing w:val="-11"/>
          <w:w w:val="120"/>
          <w:sz w:val="17"/>
        </w:rPr>
        <w:t> </w:t>
      </w:r>
      <w:r>
        <w:rPr>
          <w:color w:val="231F20"/>
          <w:spacing w:val="-2"/>
          <w:w w:val="120"/>
          <w:sz w:val="17"/>
        </w:rPr>
        <w:t>un</w:t>
      </w:r>
      <w:r>
        <w:rPr>
          <w:color w:val="231F20"/>
          <w:spacing w:val="-10"/>
          <w:w w:val="120"/>
          <w:sz w:val="17"/>
        </w:rPr>
        <w:t> </w:t>
      </w:r>
      <w:r>
        <w:rPr>
          <w:color w:val="231F20"/>
          <w:spacing w:val="-2"/>
          <w:w w:val="120"/>
          <w:sz w:val="17"/>
        </w:rPr>
        <w:t>manque </w:t>
      </w:r>
      <w:r>
        <w:rPr>
          <w:color w:val="231F20"/>
          <w:w w:val="120"/>
          <w:sz w:val="17"/>
        </w:rPr>
        <w:t>de</w:t>
      </w:r>
      <w:r>
        <w:rPr>
          <w:color w:val="231F20"/>
          <w:spacing w:val="-13"/>
          <w:w w:val="120"/>
          <w:sz w:val="17"/>
        </w:rPr>
        <w:t> </w:t>
      </w:r>
      <w:r>
        <w:rPr>
          <w:color w:val="231F20"/>
          <w:w w:val="120"/>
          <w:sz w:val="17"/>
        </w:rPr>
        <w:t>confiance</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la</w:t>
      </w:r>
      <w:r>
        <w:rPr>
          <w:color w:val="231F20"/>
          <w:spacing w:val="-12"/>
          <w:w w:val="120"/>
          <w:sz w:val="17"/>
        </w:rPr>
        <w:t> </w:t>
      </w:r>
      <w:r>
        <w:rPr>
          <w:color w:val="231F20"/>
          <w:w w:val="120"/>
          <w:sz w:val="17"/>
        </w:rPr>
        <w:t>part</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direction</w:t>
      </w:r>
      <w:r>
        <w:rPr>
          <w:color w:val="231F20"/>
          <w:spacing w:val="-12"/>
          <w:w w:val="120"/>
          <w:sz w:val="17"/>
        </w:rPr>
        <w:t> </w:t>
      </w:r>
      <w:r>
        <w:rPr>
          <w:color w:val="231F20"/>
          <w:w w:val="120"/>
          <w:sz w:val="17"/>
        </w:rPr>
        <w:t>et</w:t>
      </w:r>
      <w:r>
        <w:rPr>
          <w:color w:val="231F20"/>
          <w:spacing w:val="-13"/>
          <w:w w:val="120"/>
          <w:sz w:val="17"/>
        </w:rPr>
        <w:t> </w:t>
      </w:r>
      <w:r>
        <w:rPr>
          <w:color w:val="231F20"/>
          <w:w w:val="120"/>
          <w:sz w:val="17"/>
        </w:rPr>
        <w:t>avoir</w:t>
      </w:r>
      <w:r>
        <w:rPr>
          <w:color w:val="231F20"/>
          <w:spacing w:val="-13"/>
          <w:w w:val="120"/>
          <w:sz w:val="17"/>
        </w:rPr>
        <w:t> </w:t>
      </w:r>
      <w:r>
        <w:rPr>
          <w:color w:val="231F20"/>
          <w:w w:val="120"/>
          <w:sz w:val="17"/>
        </w:rPr>
        <w:t>une</w:t>
      </w:r>
      <w:r>
        <w:rPr>
          <w:color w:val="231F20"/>
          <w:spacing w:val="-13"/>
          <w:w w:val="120"/>
          <w:sz w:val="17"/>
        </w:rPr>
        <w:t> </w:t>
      </w:r>
      <w:r>
        <w:rPr>
          <w:color w:val="231F20"/>
          <w:w w:val="120"/>
          <w:sz w:val="17"/>
        </w:rPr>
        <w:t>incidence</w:t>
      </w:r>
      <w:r>
        <w:rPr>
          <w:color w:val="231F20"/>
          <w:spacing w:val="-12"/>
          <w:w w:val="120"/>
          <w:sz w:val="17"/>
        </w:rPr>
        <w:t> </w:t>
      </w:r>
      <w:r>
        <w:rPr>
          <w:color w:val="231F20"/>
          <w:w w:val="120"/>
          <w:sz w:val="17"/>
        </w:rPr>
        <w:t>sur</w:t>
      </w:r>
      <w:r>
        <w:rPr>
          <w:color w:val="231F20"/>
          <w:spacing w:val="-13"/>
          <w:w w:val="120"/>
          <w:sz w:val="17"/>
        </w:rPr>
        <w:t> </w:t>
      </w:r>
      <w:r>
        <w:rPr>
          <w:color w:val="231F20"/>
          <w:w w:val="120"/>
          <w:sz w:val="17"/>
        </w:rPr>
        <w:t>la satisfaction des besoins d’estime et d’actualisation.</w:t>
      </w:r>
    </w:p>
    <w:p>
      <w:pPr>
        <w:pStyle w:val="ListParagraph"/>
        <w:numPr>
          <w:ilvl w:val="1"/>
          <w:numId w:val="39"/>
        </w:numPr>
        <w:tabs>
          <w:tab w:pos="1720" w:val="left" w:leader="none"/>
        </w:tabs>
        <w:spacing w:line="307" w:lineRule="auto" w:before="0" w:after="0"/>
        <w:ind w:left="1720" w:right="102" w:hanging="251"/>
        <w:jc w:val="both"/>
        <w:rPr>
          <w:sz w:val="17"/>
        </w:rPr>
      </w:pPr>
      <w:r>
        <w:rPr>
          <w:i/>
          <w:color w:val="231F20"/>
          <w:w w:val="115"/>
          <w:sz w:val="17"/>
        </w:rPr>
        <w:t>Les aspirations de carrière</w:t>
      </w:r>
      <w:r>
        <w:rPr>
          <w:color w:val="231F20"/>
          <w:w w:val="115"/>
          <w:sz w:val="17"/>
        </w:rPr>
        <w:t>. L’insécurité d’emploi, l’incertitude </w:t>
      </w:r>
      <w:r>
        <w:rPr>
          <w:color w:val="231F20"/>
          <w:w w:val="120"/>
          <w:sz w:val="17"/>
        </w:rPr>
        <w:t>quant</w:t>
      </w:r>
      <w:r>
        <w:rPr>
          <w:color w:val="231F20"/>
          <w:spacing w:val="-1"/>
          <w:w w:val="120"/>
          <w:sz w:val="17"/>
        </w:rPr>
        <w:t> </w:t>
      </w:r>
      <w:r>
        <w:rPr>
          <w:color w:val="231F20"/>
          <w:w w:val="120"/>
          <w:sz w:val="17"/>
        </w:rPr>
        <w:t>aux</w:t>
      </w:r>
      <w:r>
        <w:rPr>
          <w:color w:val="231F20"/>
          <w:spacing w:val="-1"/>
          <w:w w:val="120"/>
          <w:sz w:val="17"/>
        </w:rPr>
        <w:t> </w:t>
      </w:r>
      <w:r>
        <w:rPr>
          <w:color w:val="231F20"/>
          <w:w w:val="120"/>
          <w:sz w:val="17"/>
        </w:rPr>
        <w:t>futures</w:t>
      </w:r>
      <w:r>
        <w:rPr>
          <w:color w:val="231F20"/>
          <w:spacing w:val="-1"/>
          <w:w w:val="120"/>
          <w:sz w:val="17"/>
        </w:rPr>
        <w:t> </w:t>
      </w:r>
      <w:r>
        <w:rPr>
          <w:color w:val="231F20"/>
          <w:w w:val="120"/>
          <w:sz w:val="17"/>
        </w:rPr>
        <w:t>promotions</w:t>
      </w:r>
      <w:r>
        <w:rPr>
          <w:color w:val="231F20"/>
          <w:spacing w:val="-1"/>
          <w:w w:val="120"/>
          <w:sz w:val="17"/>
        </w:rPr>
        <w:t> </w:t>
      </w:r>
      <w:r>
        <w:rPr>
          <w:color w:val="231F20"/>
          <w:w w:val="120"/>
          <w:sz w:val="17"/>
        </w:rPr>
        <w:t>et</w:t>
      </w:r>
      <w:r>
        <w:rPr>
          <w:color w:val="231F20"/>
          <w:spacing w:val="-1"/>
          <w:w w:val="120"/>
          <w:sz w:val="17"/>
        </w:rPr>
        <w:t> </w:t>
      </w:r>
      <w:r>
        <w:rPr>
          <w:color w:val="231F20"/>
          <w:w w:val="120"/>
          <w:sz w:val="17"/>
        </w:rPr>
        <w:t>la</w:t>
      </w:r>
      <w:r>
        <w:rPr>
          <w:color w:val="231F20"/>
          <w:spacing w:val="-1"/>
          <w:w w:val="120"/>
          <w:sz w:val="17"/>
        </w:rPr>
        <w:t> </w:t>
      </w:r>
      <w:r>
        <w:rPr>
          <w:color w:val="231F20"/>
          <w:w w:val="120"/>
          <w:sz w:val="17"/>
        </w:rPr>
        <w:t>frustration</w:t>
      </w:r>
      <w:r>
        <w:rPr>
          <w:color w:val="231F20"/>
          <w:spacing w:val="-1"/>
          <w:w w:val="120"/>
          <w:sz w:val="17"/>
        </w:rPr>
        <w:t> </w:t>
      </w:r>
      <w:r>
        <w:rPr>
          <w:color w:val="231F20"/>
          <w:w w:val="120"/>
          <w:sz w:val="17"/>
        </w:rPr>
        <w:t>d’aspirations</w:t>
      </w:r>
      <w:r>
        <w:rPr>
          <w:color w:val="231F20"/>
          <w:spacing w:val="-1"/>
          <w:w w:val="120"/>
          <w:sz w:val="17"/>
        </w:rPr>
        <w:t> </w:t>
      </w:r>
      <w:r>
        <w:rPr>
          <w:color w:val="231F20"/>
          <w:w w:val="120"/>
          <w:sz w:val="17"/>
        </w:rPr>
        <w:t>légi- </w:t>
      </w:r>
      <w:r>
        <w:rPr>
          <w:color w:val="231F20"/>
          <w:spacing w:val="-2"/>
          <w:w w:val="120"/>
          <w:sz w:val="17"/>
        </w:rPr>
        <w:t>times</w:t>
      </w:r>
      <w:r>
        <w:rPr>
          <w:color w:val="231F20"/>
          <w:spacing w:val="-4"/>
          <w:w w:val="120"/>
          <w:sz w:val="17"/>
        </w:rPr>
        <w:t> </w:t>
      </w:r>
      <w:r>
        <w:rPr>
          <w:color w:val="231F20"/>
          <w:spacing w:val="-2"/>
          <w:w w:val="120"/>
          <w:sz w:val="17"/>
        </w:rPr>
        <w:t>amènent</w:t>
      </w:r>
      <w:r>
        <w:rPr>
          <w:color w:val="231F20"/>
          <w:spacing w:val="-4"/>
          <w:w w:val="120"/>
          <w:sz w:val="17"/>
        </w:rPr>
        <w:t> </w:t>
      </w:r>
      <w:r>
        <w:rPr>
          <w:color w:val="231F20"/>
          <w:spacing w:val="-2"/>
          <w:w w:val="120"/>
          <w:sz w:val="17"/>
        </w:rPr>
        <w:t>l’individu</w:t>
      </w:r>
      <w:r>
        <w:rPr>
          <w:color w:val="231F20"/>
          <w:spacing w:val="-4"/>
          <w:w w:val="120"/>
          <w:sz w:val="17"/>
        </w:rPr>
        <w:t> </w:t>
      </w:r>
      <w:r>
        <w:rPr>
          <w:color w:val="231F20"/>
          <w:spacing w:val="-2"/>
          <w:w w:val="120"/>
          <w:sz w:val="17"/>
        </w:rPr>
        <w:t>à</w:t>
      </w:r>
      <w:r>
        <w:rPr>
          <w:color w:val="231F20"/>
          <w:spacing w:val="-4"/>
          <w:w w:val="120"/>
          <w:sz w:val="17"/>
        </w:rPr>
        <w:t> </w:t>
      </w:r>
      <w:r>
        <w:rPr>
          <w:color w:val="231F20"/>
          <w:spacing w:val="-2"/>
          <w:w w:val="120"/>
          <w:sz w:val="17"/>
        </w:rPr>
        <w:t>s’interroger</w:t>
      </w:r>
      <w:r>
        <w:rPr>
          <w:color w:val="231F20"/>
          <w:spacing w:val="-4"/>
          <w:w w:val="120"/>
          <w:sz w:val="17"/>
        </w:rPr>
        <w:t> </w:t>
      </w:r>
      <w:r>
        <w:rPr>
          <w:color w:val="231F20"/>
          <w:spacing w:val="-2"/>
          <w:w w:val="120"/>
          <w:sz w:val="17"/>
        </w:rPr>
        <w:t>sur</w:t>
      </w:r>
      <w:r>
        <w:rPr>
          <w:color w:val="231F20"/>
          <w:spacing w:val="-4"/>
          <w:w w:val="120"/>
          <w:sz w:val="17"/>
        </w:rPr>
        <w:t> </w:t>
      </w:r>
      <w:r>
        <w:rPr>
          <w:color w:val="231F20"/>
          <w:spacing w:val="-2"/>
          <w:w w:val="120"/>
          <w:sz w:val="17"/>
        </w:rPr>
        <w:t>son</w:t>
      </w:r>
      <w:r>
        <w:rPr>
          <w:color w:val="231F20"/>
          <w:spacing w:val="-4"/>
          <w:w w:val="120"/>
          <w:sz w:val="17"/>
        </w:rPr>
        <w:t> </w:t>
      </w:r>
      <w:r>
        <w:rPr>
          <w:color w:val="231F20"/>
          <w:spacing w:val="-2"/>
          <w:w w:val="120"/>
          <w:sz w:val="17"/>
        </w:rPr>
        <w:t>cheminement</w:t>
      </w:r>
      <w:r>
        <w:rPr>
          <w:color w:val="231F20"/>
          <w:spacing w:val="-4"/>
          <w:w w:val="120"/>
          <w:sz w:val="17"/>
        </w:rPr>
        <w:t> </w:t>
      </w:r>
      <w:r>
        <w:rPr>
          <w:color w:val="231F20"/>
          <w:spacing w:val="-2"/>
          <w:w w:val="120"/>
          <w:sz w:val="17"/>
        </w:rPr>
        <w:t>pro- </w:t>
      </w:r>
      <w:r>
        <w:rPr>
          <w:color w:val="231F20"/>
          <w:w w:val="120"/>
          <w:sz w:val="17"/>
        </w:rPr>
        <w:t>fessionnel et à douter de ses choix. L’insatisfaction associée à l’incompatibilité</w:t>
      </w:r>
      <w:r>
        <w:rPr>
          <w:color w:val="231F20"/>
          <w:spacing w:val="-3"/>
          <w:w w:val="120"/>
          <w:sz w:val="17"/>
        </w:rPr>
        <w:t> </w:t>
      </w:r>
      <w:r>
        <w:rPr>
          <w:color w:val="231F20"/>
          <w:w w:val="120"/>
          <w:sz w:val="17"/>
        </w:rPr>
        <w:t>entre</w:t>
      </w:r>
      <w:r>
        <w:rPr>
          <w:color w:val="231F20"/>
          <w:spacing w:val="-3"/>
          <w:w w:val="120"/>
          <w:sz w:val="17"/>
        </w:rPr>
        <w:t> </w:t>
      </w:r>
      <w:r>
        <w:rPr>
          <w:color w:val="231F20"/>
          <w:w w:val="120"/>
          <w:sz w:val="17"/>
        </w:rPr>
        <w:t>les</w:t>
      </w:r>
      <w:r>
        <w:rPr>
          <w:color w:val="231F20"/>
          <w:spacing w:val="-3"/>
          <w:w w:val="120"/>
          <w:sz w:val="17"/>
        </w:rPr>
        <w:t> </w:t>
      </w:r>
      <w:r>
        <w:rPr>
          <w:color w:val="231F20"/>
          <w:w w:val="120"/>
          <w:sz w:val="17"/>
        </w:rPr>
        <w:t>désirs</w:t>
      </w:r>
      <w:r>
        <w:rPr>
          <w:color w:val="231F20"/>
          <w:spacing w:val="-3"/>
          <w:w w:val="120"/>
          <w:sz w:val="17"/>
        </w:rPr>
        <w:t> </w:t>
      </w:r>
      <w:r>
        <w:rPr>
          <w:color w:val="231F20"/>
          <w:w w:val="120"/>
          <w:sz w:val="17"/>
        </w:rPr>
        <w:t>du</w:t>
      </w:r>
      <w:r>
        <w:rPr>
          <w:color w:val="231F20"/>
          <w:spacing w:val="-3"/>
          <w:w w:val="120"/>
          <w:sz w:val="17"/>
        </w:rPr>
        <w:t> </w:t>
      </w:r>
      <w:r>
        <w:rPr>
          <w:color w:val="231F20"/>
          <w:w w:val="120"/>
          <w:sz w:val="17"/>
        </w:rPr>
        <w:t>travailleur</w:t>
      </w:r>
      <w:r>
        <w:rPr>
          <w:color w:val="231F20"/>
          <w:spacing w:val="-3"/>
          <w:w w:val="120"/>
          <w:sz w:val="17"/>
        </w:rPr>
        <w:t> </w:t>
      </w:r>
      <w:r>
        <w:rPr>
          <w:color w:val="231F20"/>
          <w:w w:val="120"/>
          <w:sz w:val="17"/>
        </w:rPr>
        <w:t>et</w:t>
      </w:r>
      <w:r>
        <w:rPr>
          <w:color w:val="231F20"/>
          <w:spacing w:val="-3"/>
          <w:w w:val="120"/>
          <w:sz w:val="17"/>
        </w:rPr>
        <w:t> </w:t>
      </w:r>
      <w:r>
        <w:rPr>
          <w:color w:val="231F20"/>
          <w:w w:val="120"/>
          <w:sz w:val="17"/>
        </w:rPr>
        <w:t>ses</w:t>
      </w:r>
      <w:r>
        <w:rPr>
          <w:color w:val="231F20"/>
          <w:spacing w:val="-3"/>
          <w:w w:val="120"/>
          <w:sz w:val="17"/>
        </w:rPr>
        <w:t> </w:t>
      </w:r>
      <w:r>
        <w:rPr>
          <w:color w:val="231F20"/>
          <w:w w:val="120"/>
          <w:sz w:val="17"/>
        </w:rPr>
        <w:t>possibilités d’accomplissements est une source d’anxiété, de frustration, de dépression</w:t>
      </w:r>
      <w:r>
        <w:rPr>
          <w:color w:val="231F20"/>
          <w:spacing w:val="23"/>
          <w:w w:val="120"/>
          <w:sz w:val="17"/>
        </w:rPr>
        <w:t> </w:t>
      </w:r>
      <w:r>
        <w:rPr>
          <w:color w:val="231F20"/>
          <w:w w:val="120"/>
          <w:sz w:val="17"/>
        </w:rPr>
        <w:t>et</w:t>
      </w:r>
      <w:r>
        <w:rPr>
          <w:color w:val="231F20"/>
          <w:spacing w:val="23"/>
          <w:w w:val="120"/>
          <w:sz w:val="17"/>
        </w:rPr>
        <w:t> </w:t>
      </w:r>
      <w:r>
        <w:rPr>
          <w:color w:val="231F20"/>
          <w:w w:val="120"/>
          <w:sz w:val="17"/>
        </w:rPr>
        <w:t>de</w:t>
      </w:r>
      <w:r>
        <w:rPr>
          <w:color w:val="231F20"/>
          <w:spacing w:val="23"/>
          <w:w w:val="120"/>
          <w:sz w:val="17"/>
        </w:rPr>
        <w:t> </w:t>
      </w:r>
      <w:r>
        <w:rPr>
          <w:color w:val="231F20"/>
          <w:w w:val="120"/>
          <w:sz w:val="17"/>
        </w:rPr>
        <w:t>stress,</w:t>
      </w:r>
      <w:r>
        <w:rPr>
          <w:color w:val="231F20"/>
          <w:spacing w:val="23"/>
          <w:w w:val="120"/>
          <w:sz w:val="17"/>
        </w:rPr>
        <w:t> </w:t>
      </w:r>
      <w:r>
        <w:rPr>
          <w:color w:val="231F20"/>
          <w:w w:val="120"/>
          <w:sz w:val="17"/>
        </w:rPr>
        <w:t>en</w:t>
      </w:r>
      <w:r>
        <w:rPr>
          <w:color w:val="231F20"/>
          <w:spacing w:val="23"/>
          <w:w w:val="120"/>
          <w:sz w:val="17"/>
        </w:rPr>
        <w:t> </w:t>
      </w:r>
      <w:r>
        <w:rPr>
          <w:color w:val="231F20"/>
          <w:w w:val="120"/>
          <w:sz w:val="17"/>
        </w:rPr>
        <w:t>particulier</w:t>
      </w:r>
      <w:r>
        <w:rPr>
          <w:color w:val="231F20"/>
          <w:spacing w:val="23"/>
          <w:w w:val="120"/>
          <w:sz w:val="17"/>
        </w:rPr>
        <w:t> </w:t>
      </w:r>
      <w:r>
        <w:rPr>
          <w:color w:val="231F20"/>
          <w:w w:val="120"/>
          <w:sz w:val="17"/>
        </w:rPr>
        <w:t>dans</w:t>
      </w:r>
      <w:r>
        <w:rPr>
          <w:color w:val="231F20"/>
          <w:spacing w:val="23"/>
          <w:w w:val="120"/>
          <w:sz w:val="17"/>
        </w:rPr>
        <w:t> </w:t>
      </w:r>
      <w:r>
        <w:rPr>
          <w:color w:val="231F20"/>
          <w:w w:val="120"/>
          <w:sz w:val="17"/>
        </w:rPr>
        <w:t>le</w:t>
      </w:r>
      <w:r>
        <w:rPr>
          <w:color w:val="231F20"/>
          <w:spacing w:val="23"/>
          <w:w w:val="120"/>
          <w:sz w:val="17"/>
        </w:rPr>
        <w:t> </w:t>
      </w:r>
      <w:r>
        <w:rPr>
          <w:color w:val="231F20"/>
          <w:w w:val="120"/>
          <w:sz w:val="17"/>
        </w:rPr>
        <w:t>groupe</w:t>
      </w:r>
      <w:r>
        <w:rPr>
          <w:color w:val="231F20"/>
          <w:spacing w:val="23"/>
          <w:w w:val="120"/>
          <w:sz w:val="17"/>
        </w:rPr>
        <w:t> </w:t>
      </w:r>
      <w:r>
        <w:rPr>
          <w:color w:val="231F20"/>
          <w:w w:val="120"/>
          <w:sz w:val="17"/>
        </w:rPr>
        <w:t>des</w:t>
      </w:r>
      <w:r>
        <w:rPr>
          <w:color w:val="231F20"/>
          <w:spacing w:val="23"/>
          <w:w w:val="120"/>
          <w:sz w:val="17"/>
        </w:rPr>
        <w:t> </w:t>
      </w:r>
      <w:r>
        <w:rPr>
          <w:color w:val="231F20"/>
          <w:w w:val="120"/>
          <w:sz w:val="17"/>
        </w:rPr>
        <w:t>35</w:t>
      </w:r>
      <w:r>
        <w:rPr>
          <w:color w:val="231F20"/>
          <w:spacing w:val="23"/>
          <w:w w:val="120"/>
          <w:sz w:val="17"/>
        </w:rPr>
        <w:t> </w:t>
      </w:r>
      <w:r>
        <w:rPr>
          <w:color w:val="231F20"/>
          <w:w w:val="120"/>
          <w:sz w:val="17"/>
        </w:rPr>
        <w:t>à </w:t>
      </w:r>
      <w:r>
        <w:rPr>
          <w:color w:val="231F20"/>
          <w:spacing w:val="-2"/>
          <w:w w:val="120"/>
          <w:sz w:val="17"/>
        </w:rPr>
        <w:t>50</w:t>
      </w:r>
      <w:r>
        <w:rPr>
          <w:color w:val="231F20"/>
          <w:spacing w:val="-11"/>
          <w:w w:val="120"/>
          <w:sz w:val="17"/>
        </w:rPr>
        <w:t> </w:t>
      </w:r>
      <w:r>
        <w:rPr>
          <w:color w:val="231F20"/>
          <w:spacing w:val="-2"/>
          <w:w w:val="120"/>
          <w:sz w:val="17"/>
        </w:rPr>
        <w:t>ans.</w:t>
      </w:r>
      <w:r>
        <w:rPr>
          <w:color w:val="231F20"/>
          <w:spacing w:val="-11"/>
          <w:w w:val="120"/>
          <w:sz w:val="17"/>
        </w:rPr>
        <w:t> </w:t>
      </w:r>
      <w:r>
        <w:rPr>
          <w:color w:val="231F20"/>
          <w:spacing w:val="-2"/>
          <w:w w:val="120"/>
          <w:sz w:val="17"/>
        </w:rPr>
        <w:t>Outre</w:t>
      </w:r>
      <w:r>
        <w:rPr>
          <w:color w:val="231F20"/>
          <w:spacing w:val="-11"/>
          <w:w w:val="120"/>
          <w:sz w:val="17"/>
        </w:rPr>
        <w:t> </w:t>
      </w:r>
      <w:r>
        <w:rPr>
          <w:color w:val="231F20"/>
          <w:spacing w:val="-2"/>
          <w:w w:val="120"/>
          <w:sz w:val="17"/>
        </w:rPr>
        <w:t>un</w:t>
      </w:r>
      <w:r>
        <w:rPr>
          <w:color w:val="231F20"/>
          <w:spacing w:val="-10"/>
          <w:w w:val="120"/>
          <w:sz w:val="17"/>
        </w:rPr>
        <w:t> </w:t>
      </w:r>
      <w:r>
        <w:rPr>
          <w:color w:val="231F20"/>
          <w:spacing w:val="-2"/>
          <w:w w:val="120"/>
          <w:sz w:val="17"/>
        </w:rPr>
        <w:t>rendement</w:t>
      </w:r>
      <w:r>
        <w:rPr>
          <w:color w:val="231F20"/>
          <w:spacing w:val="-11"/>
          <w:w w:val="120"/>
          <w:sz w:val="17"/>
        </w:rPr>
        <w:t> </w:t>
      </w:r>
      <w:r>
        <w:rPr>
          <w:color w:val="231F20"/>
          <w:spacing w:val="-2"/>
          <w:w w:val="120"/>
          <w:sz w:val="17"/>
        </w:rPr>
        <w:t>insatisfaisant,</w:t>
      </w:r>
      <w:r>
        <w:rPr>
          <w:color w:val="231F20"/>
          <w:spacing w:val="-11"/>
          <w:w w:val="120"/>
          <w:sz w:val="17"/>
        </w:rPr>
        <w:t> </w:t>
      </w:r>
      <w:r>
        <w:rPr>
          <w:color w:val="231F20"/>
          <w:spacing w:val="-2"/>
          <w:w w:val="120"/>
          <w:sz w:val="17"/>
        </w:rPr>
        <w:t>une</w:t>
      </w:r>
      <w:r>
        <w:rPr>
          <w:color w:val="231F20"/>
          <w:spacing w:val="-11"/>
          <w:w w:val="120"/>
          <w:sz w:val="17"/>
        </w:rPr>
        <w:t> </w:t>
      </w:r>
      <w:r>
        <w:rPr>
          <w:color w:val="231F20"/>
          <w:spacing w:val="-2"/>
          <w:w w:val="120"/>
          <w:sz w:val="17"/>
        </w:rPr>
        <w:t>baisse</w:t>
      </w:r>
      <w:r>
        <w:rPr>
          <w:color w:val="231F20"/>
          <w:spacing w:val="-10"/>
          <w:w w:val="120"/>
          <w:sz w:val="17"/>
        </w:rPr>
        <w:t> </w:t>
      </w:r>
      <w:r>
        <w:rPr>
          <w:color w:val="231F20"/>
          <w:spacing w:val="-2"/>
          <w:w w:val="120"/>
          <w:sz w:val="17"/>
        </w:rPr>
        <w:t>de</w:t>
      </w:r>
      <w:r>
        <w:rPr>
          <w:color w:val="231F20"/>
          <w:spacing w:val="-11"/>
          <w:w w:val="120"/>
          <w:sz w:val="17"/>
        </w:rPr>
        <w:t> </w:t>
      </w:r>
      <w:r>
        <w:rPr>
          <w:color w:val="231F20"/>
          <w:spacing w:val="-2"/>
          <w:w w:val="120"/>
          <w:sz w:val="17"/>
        </w:rPr>
        <w:t>la</w:t>
      </w:r>
      <w:r>
        <w:rPr>
          <w:color w:val="231F20"/>
          <w:spacing w:val="-11"/>
          <w:w w:val="120"/>
          <w:sz w:val="17"/>
        </w:rPr>
        <w:t> </w:t>
      </w:r>
      <w:r>
        <w:rPr>
          <w:color w:val="231F20"/>
          <w:spacing w:val="-2"/>
          <w:w w:val="120"/>
          <w:sz w:val="17"/>
        </w:rPr>
        <w:t>loyauté, </w:t>
      </w:r>
      <w:r>
        <w:rPr>
          <w:color w:val="231F20"/>
          <w:w w:val="120"/>
          <w:sz w:val="17"/>
        </w:rPr>
        <w:t>de</w:t>
      </w:r>
      <w:r>
        <w:rPr>
          <w:color w:val="231F20"/>
          <w:spacing w:val="-4"/>
          <w:w w:val="120"/>
          <w:sz w:val="17"/>
        </w:rPr>
        <w:t> </w:t>
      </w:r>
      <w:r>
        <w:rPr>
          <w:color w:val="231F20"/>
          <w:w w:val="120"/>
          <w:sz w:val="17"/>
        </w:rPr>
        <w:t>l’assiduité</w:t>
      </w:r>
      <w:r>
        <w:rPr>
          <w:color w:val="231F20"/>
          <w:spacing w:val="-4"/>
          <w:w w:val="120"/>
          <w:sz w:val="17"/>
        </w:rPr>
        <w:t> </w:t>
      </w:r>
      <w:r>
        <w:rPr>
          <w:color w:val="231F20"/>
          <w:w w:val="120"/>
          <w:sz w:val="17"/>
        </w:rPr>
        <w:t>et</w:t>
      </w:r>
      <w:r>
        <w:rPr>
          <w:color w:val="231F20"/>
          <w:spacing w:val="-4"/>
          <w:w w:val="120"/>
          <w:sz w:val="17"/>
        </w:rPr>
        <w:t> </w:t>
      </w:r>
      <w:r>
        <w:rPr>
          <w:color w:val="231F20"/>
          <w:w w:val="120"/>
          <w:sz w:val="17"/>
        </w:rPr>
        <w:t>de</w:t>
      </w:r>
      <w:r>
        <w:rPr>
          <w:color w:val="231F20"/>
          <w:spacing w:val="-4"/>
          <w:w w:val="120"/>
          <w:sz w:val="17"/>
        </w:rPr>
        <w:t> </w:t>
      </w:r>
      <w:r>
        <w:rPr>
          <w:color w:val="231F20"/>
          <w:w w:val="120"/>
          <w:sz w:val="17"/>
        </w:rPr>
        <w:t>l’engagement</w:t>
      </w:r>
      <w:r>
        <w:rPr>
          <w:color w:val="231F20"/>
          <w:spacing w:val="-4"/>
          <w:w w:val="120"/>
          <w:sz w:val="17"/>
        </w:rPr>
        <w:t> </w:t>
      </w:r>
      <w:r>
        <w:rPr>
          <w:color w:val="231F20"/>
          <w:w w:val="120"/>
          <w:sz w:val="17"/>
        </w:rPr>
        <w:t>organisationnel</w:t>
      </w:r>
      <w:r>
        <w:rPr>
          <w:color w:val="231F20"/>
          <w:spacing w:val="-4"/>
          <w:w w:val="120"/>
          <w:sz w:val="17"/>
        </w:rPr>
        <w:t> </w:t>
      </w:r>
      <w:r>
        <w:rPr>
          <w:color w:val="231F20"/>
          <w:w w:val="120"/>
          <w:sz w:val="17"/>
        </w:rPr>
        <w:t>est</w:t>
      </w:r>
      <w:r>
        <w:rPr>
          <w:color w:val="231F20"/>
          <w:spacing w:val="-4"/>
          <w:w w:val="120"/>
          <w:sz w:val="17"/>
        </w:rPr>
        <w:t> </w:t>
      </w:r>
      <w:r>
        <w:rPr>
          <w:color w:val="231F20"/>
          <w:w w:val="120"/>
          <w:sz w:val="17"/>
        </w:rPr>
        <w:t>le</w:t>
      </w:r>
      <w:r>
        <w:rPr>
          <w:color w:val="231F20"/>
          <w:spacing w:val="-4"/>
          <w:w w:val="120"/>
          <w:sz w:val="17"/>
        </w:rPr>
        <w:t> </w:t>
      </w:r>
      <w:r>
        <w:rPr>
          <w:color w:val="231F20"/>
          <w:w w:val="120"/>
          <w:sz w:val="17"/>
        </w:rPr>
        <w:t>principal effet de l’impossibilité de «</w:t>
      </w:r>
      <w:r>
        <w:rPr>
          <w:color w:val="231F20"/>
          <w:spacing w:val="-29"/>
          <w:w w:val="120"/>
          <w:sz w:val="17"/>
        </w:rPr>
        <w:t> </w:t>
      </w:r>
      <w:r>
        <w:rPr>
          <w:color w:val="231F20"/>
          <w:w w:val="120"/>
          <w:sz w:val="17"/>
        </w:rPr>
        <w:t>faire carrière».</w:t>
      </w:r>
    </w:p>
    <w:p>
      <w:pPr>
        <w:pStyle w:val="BodyText"/>
        <w:spacing w:before="3"/>
        <w:rPr>
          <w:sz w:val="21"/>
        </w:rPr>
      </w:pPr>
    </w:p>
    <w:p>
      <w:pPr>
        <w:pStyle w:val="BodyText"/>
        <w:spacing w:line="307" w:lineRule="auto"/>
        <w:ind w:left="1220" w:right="107"/>
        <w:jc w:val="both"/>
      </w:pPr>
      <w:r>
        <w:rPr>
          <w:b/>
          <w:color w:val="231F20"/>
          <w:w w:val="115"/>
        </w:rPr>
        <w:t>Les</w:t>
      </w:r>
      <w:r>
        <w:rPr>
          <w:b/>
          <w:color w:val="231F20"/>
          <w:spacing w:val="-13"/>
          <w:w w:val="115"/>
        </w:rPr>
        <w:t> </w:t>
      </w:r>
      <w:r>
        <w:rPr>
          <w:b/>
          <w:color w:val="231F20"/>
          <w:w w:val="115"/>
        </w:rPr>
        <w:t>stresseurs</w:t>
      </w:r>
      <w:r>
        <w:rPr>
          <w:b/>
          <w:color w:val="231F20"/>
          <w:spacing w:val="-12"/>
          <w:w w:val="115"/>
        </w:rPr>
        <w:t> </w:t>
      </w:r>
      <w:r>
        <w:rPr>
          <w:b/>
          <w:color w:val="231F20"/>
          <w:w w:val="115"/>
        </w:rPr>
        <w:t>relationnels</w:t>
      </w:r>
      <w:r>
        <w:rPr>
          <w:color w:val="231F20"/>
          <w:w w:val="115"/>
        </w:rPr>
        <w:t>.</w:t>
      </w:r>
      <w:r>
        <w:rPr>
          <w:color w:val="231F20"/>
          <w:spacing w:val="-12"/>
          <w:w w:val="115"/>
        </w:rPr>
        <w:t> </w:t>
      </w:r>
      <w:r>
        <w:rPr>
          <w:color w:val="231F20"/>
          <w:w w:val="115"/>
        </w:rPr>
        <w:t>La</w:t>
      </w:r>
      <w:r>
        <w:rPr>
          <w:color w:val="231F20"/>
          <w:spacing w:val="-12"/>
          <w:w w:val="115"/>
        </w:rPr>
        <w:t> </w:t>
      </w:r>
      <w:r>
        <w:rPr>
          <w:color w:val="231F20"/>
          <w:w w:val="115"/>
        </w:rPr>
        <w:t>qualité</w:t>
      </w:r>
      <w:r>
        <w:rPr>
          <w:color w:val="231F20"/>
          <w:spacing w:val="-13"/>
          <w:w w:val="115"/>
        </w:rPr>
        <w:t> </w:t>
      </w:r>
      <w:r>
        <w:rPr>
          <w:color w:val="231F20"/>
          <w:w w:val="115"/>
        </w:rPr>
        <w:t>des</w:t>
      </w:r>
      <w:r>
        <w:rPr>
          <w:color w:val="231F20"/>
          <w:spacing w:val="-12"/>
          <w:w w:val="115"/>
        </w:rPr>
        <w:t> </w:t>
      </w:r>
      <w:r>
        <w:rPr>
          <w:color w:val="231F20"/>
          <w:w w:val="115"/>
        </w:rPr>
        <w:t>relations</w:t>
      </w:r>
      <w:r>
        <w:rPr>
          <w:color w:val="231F20"/>
          <w:spacing w:val="-12"/>
          <w:w w:val="115"/>
        </w:rPr>
        <w:t> </w:t>
      </w:r>
      <w:r>
        <w:rPr>
          <w:color w:val="231F20"/>
          <w:w w:val="115"/>
        </w:rPr>
        <w:t>en</w:t>
      </w:r>
      <w:r>
        <w:rPr>
          <w:color w:val="231F20"/>
          <w:spacing w:val="-12"/>
          <w:w w:val="115"/>
        </w:rPr>
        <w:t> </w:t>
      </w:r>
      <w:r>
        <w:rPr>
          <w:color w:val="231F20"/>
          <w:w w:val="115"/>
        </w:rPr>
        <w:t>contexte</w:t>
      </w:r>
      <w:r>
        <w:rPr>
          <w:color w:val="231F20"/>
          <w:spacing w:val="-12"/>
          <w:w w:val="115"/>
        </w:rPr>
        <w:t> </w:t>
      </w:r>
      <w:r>
        <w:rPr>
          <w:color w:val="231F20"/>
          <w:w w:val="115"/>
        </w:rPr>
        <w:t>de</w:t>
      </w:r>
      <w:r>
        <w:rPr>
          <w:color w:val="231F20"/>
          <w:spacing w:val="-13"/>
          <w:w w:val="115"/>
        </w:rPr>
        <w:t> </w:t>
      </w:r>
      <w:r>
        <w:rPr>
          <w:color w:val="231F20"/>
          <w:w w:val="115"/>
        </w:rPr>
        <w:t>travail </w:t>
      </w:r>
      <w:r>
        <w:rPr>
          <w:color w:val="231F20"/>
          <w:spacing w:val="-2"/>
          <w:w w:val="120"/>
        </w:rPr>
        <w:t>est</w:t>
      </w:r>
      <w:r>
        <w:rPr>
          <w:color w:val="231F20"/>
          <w:spacing w:val="-11"/>
          <w:w w:val="120"/>
        </w:rPr>
        <w:t> </w:t>
      </w:r>
      <w:r>
        <w:rPr>
          <w:color w:val="231F20"/>
          <w:spacing w:val="-2"/>
          <w:w w:val="120"/>
        </w:rPr>
        <w:t>un</w:t>
      </w:r>
      <w:r>
        <w:rPr>
          <w:color w:val="231F20"/>
          <w:spacing w:val="-11"/>
          <w:w w:val="120"/>
        </w:rPr>
        <w:t> </w:t>
      </w:r>
      <w:r>
        <w:rPr>
          <w:color w:val="231F20"/>
          <w:spacing w:val="-2"/>
          <w:w w:val="120"/>
        </w:rPr>
        <w:t>facteur</w:t>
      </w:r>
      <w:r>
        <w:rPr>
          <w:color w:val="231F20"/>
          <w:spacing w:val="-11"/>
          <w:w w:val="120"/>
        </w:rPr>
        <w:t> </w:t>
      </w:r>
      <w:r>
        <w:rPr>
          <w:color w:val="231F20"/>
          <w:spacing w:val="-2"/>
          <w:w w:val="120"/>
        </w:rPr>
        <w:t>important</w:t>
      </w:r>
      <w:r>
        <w:rPr>
          <w:color w:val="231F20"/>
          <w:spacing w:val="-10"/>
          <w:w w:val="120"/>
        </w:rPr>
        <w:t> </w:t>
      </w:r>
      <w:r>
        <w:rPr>
          <w:color w:val="231F20"/>
          <w:spacing w:val="-2"/>
          <w:w w:val="120"/>
        </w:rPr>
        <w:t>de</w:t>
      </w:r>
      <w:r>
        <w:rPr>
          <w:color w:val="231F20"/>
          <w:spacing w:val="-11"/>
          <w:w w:val="120"/>
        </w:rPr>
        <w:t> </w:t>
      </w:r>
      <w:r>
        <w:rPr>
          <w:color w:val="231F20"/>
          <w:spacing w:val="-2"/>
          <w:w w:val="120"/>
        </w:rPr>
        <w:t>stress</w:t>
      </w:r>
      <w:r>
        <w:rPr>
          <w:color w:val="231F20"/>
          <w:spacing w:val="-11"/>
          <w:w w:val="120"/>
        </w:rPr>
        <w:t> </w:t>
      </w:r>
      <w:r>
        <w:rPr>
          <w:color w:val="231F20"/>
          <w:spacing w:val="-2"/>
          <w:w w:val="120"/>
        </w:rPr>
        <w:t>professionnel.</w:t>
      </w:r>
      <w:r>
        <w:rPr>
          <w:color w:val="231F20"/>
          <w:spacing w:val="-11"/>
          <w:w w:val="120"/>
        </w:rPr>
        <w:t> </w:t>
      </w:r>
      <w:r>
        <w:rPr>
          <w:color w:val="231F20"/>
          <w:spacing w:val="-2"/>
          <w:w w:val="120"/>
        </w:rPr>
        <w:t>La</w:t>
      </w:r>
      <w:r>
        <w:rPr>
          <w:color w:val="231F20"/>
          <w:spacing w:val="-10"/>
          <w:w w:val="120"/>
        </w:rPr>
        <w:t> </w:t>
      </w:r>
      <w:r>
        <w:rPr>
          <w:color w:val="231F20"/>
          <w:spacing w:val="-2"/>
          <w:w w:val="120"/>
        </w:rPr>
        <w:t>prévalence</w:t>
      </w:r>
      <w:r>
        <w:rPr>
          <w:color w:val="231F20"/>
          <w:spacing w:val="-11"/>
          <w:w w:val="120"/>
        </w:rPr>
        <w:t> </w:t>
      </w:r>
      <w:r>
        <w:rPr>
          <w:color w:val="231F20"/>
          <w:spacing w:val="-2"/>
          <w:w w:val="120"/>
        </w:rPr>
        <w:t>de</w:t>
      </w:r>
      <w:r>
        <w:rPr>
          <w:color w:val="231F20"/>
          <w:spacing w:val="-11"/>
          <w:w w:val="120"/>
        </w:rPr>
        <w:t> </w:t>
      </w:r>
      <w:r>
        <w:rPr>
          <w:color w:val="231F20"/>
          <w:spacing w:val="-2"/>
          <w:w w:val="120"/>
        </w:rPr>
        <w:t>bonnes </w:t>
      </w:r>
      <w:r>
        <w:rPr>
          <w:color w:val="231F20"/>
          <w:w w:val="120"/>
        </w:rPr>
        <w:t>relations</w:t>
      </w:r>
      <w:r>
        <w:rPr>
          <w:color w:val="231F20"/>
          <w:spacing w:val="15"/>
          <w:w w:val="120"/>
        </w:rPr>
        <w:t> </w:t>
      </w:r>
      <w:r>
        <w:rPr>
          <w:color w:val="231F20"/>
          <w:w w:val="120"/>
        </w:rPr>
        <w:t>entre</w:t>
      </w:r>
      <w:r>
        <w:rPr>
          <w:color w:val="231F20"/>
          <w:spacing w:val="16"/>
          <w:w w:val="120"/>
        </w:rPr>
        <w:t> </w:t>
      </w:r>
      <w:r>
        <w:rPr>
          <w:color w:val="231F20"/>
          <w:w w:val="120"/>
        </w:rPr>
        <w:t>les</w:t>
      </w:r>
      <w:r>
        <w:rPr>
          <w:color w:val="231F20"/>
          <w:spacing w:val="16"/>
          <w:w w:val="120"/>
        </w:rPr>
        <w:t> </w:t>
      </w:r>
      <w:r>
        <w:rPr>
          <w:color w:val="231F20"/>
          <w:w w:val="120"/>
        </w:rPr>
        <w:t>membres</w:t>
      </w:r>
      <w:r>
        <w:rPr>
          <w:color w:val="231F20"/>
          <w:spacing w:val="16"/>
          <w:w w:val="120"/>
        </w:rPr>
        <w:t> </w:t>
      </w:r>
      <w:r>
        <w:rPr>
          <w:color w:val="231F20"/>
          <w:w w:val="120"/>
        </w:rPr>
        <w:t>d’une</w:t>
      </w:r>
      <w:r>
        <w:rPr>
          <w:color w:val="231F20"/>
          <w:spacing w:val="16"/>
          <w:w w:val="120"/>
        </w:rPr>
        <w:t> </w:t>
      </w:r>
      <w:r>
        <w:rPr>
          <w:color w:val="231F20"/>
          <w:w w:val="120"/>
        </w:rPr>
        <w:t>équipe</w:t>
      </w:r>
      <w:r>
        <w:rPr>
          <w:color w:val="231F20"/>
          <w:spacing w:val="16"/>
          <w:w w:val="120"/>
        </w:rPr>
        <w:t> </w:t>
      </w:r>
      <w:r>
        <w:rPr>
          <w:color w:val="231F20"/>
          <w:w w:val="120"/>
        </w:rPr>
        <w:t>est</w:t>
      </w:r>
      <w:r>
        <w:rPr>
          <w:color w:val="231F20"/>
          <w:spacing w:val="16"/>
          <w:w w:val="120"/>
        </w:rPr>
        <w:t> </w:t>
      </w:r>
      <w:r>
        <w:rPr>
          <w:color w:val="231F20"/>
          <w:w w:val="120"/>
        </w:rPr>
        <w:t>un</w:t>
      </w:r>
      <w:r>
        <w:rPr>
          <w:color w:val="231F20"/>
          <w:spacing w:val="16"/>
          <w:w w:val="120"/>
        </w:rPr>
        <w:t> </w:t>
      </w:r>
      <w:r>
        <w:rPr>
          <w:color w:val="231F20"/>
          <w:w w:val="120"/>
        </w:rPr>
        <w:t>facteur</w:t>
      </w:r>
      <w:r>
        <w:rPr>
          <w:color w:val="231F20"/>
          <w:spacing w:val="16"/>
          <w:w w:val="120"/>
        </w:rPr>
        <w:t> </w:t>
      </w:r>
      <w:r>
        <w:rPr>
          <w:color w:val="231F20"/>
          <w:w w:val="120"/>
        </w:rPr>
        <w:t>clé</w:t>
      </w:r>
      <w:r>
        <w:rPr>
          <w:color w:val="231F20"/>
          <w:spacing w:val="16"/>
          <w:w w:val="120"/>
        </w:rPr>
        <w:t> </w:t>
      </w:r>
      <w:r>
        <w:rPr>
          <w:color w:val="231F20"/>
          <w:w w:val="120"/>
        </w:rPr>
        <w:t>de</w:t>
      </w:r>
      <w:r>
        <w:rPr>
          <w:color w:val="231F20"/>
          <w:spacing w:val="16"/>
          <w:w w:val="120"/>
        </w:rPr>
        <w:t> </w:t>
      </w:r>
      <w:r>
        <w:rPr>
          <w:color w:val="231F20"/>
          <w:spacing w:val="-2"/>
          <w:w w:val="120"/>
        </w:rPr>
        <w:t>santé</w:t>
      </w:r>
    </w:p>
    <w:p>
      <w:pPr>
        <w:spacing w:after="0" w:line="307" w:lineRule="auto"/>
        <w:jc w:val="both"/>
        <w:sectPr>
          <w:footerReference w:type="default" r:id="rId168"/>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3"/>
        <w:jc w:val="both"/>
      </w:pPr>
      <w:r>
        <w:rPr>
          <w:color w:val="231F20"/>
          <w:w w:val="120"/>
        </w:rPr>
        <w:t>psychologique et organisationnelle. En revanche, les relations </w:t>
      </w:r>
      <w:r>
        <w:rPr>
          <w:color w:val="231F20"/>
          <w:w w:val="120"/>
        </w:rPr>
        <w:t>plutôt toxiques</w:t>
      </w:r>
      <w:r>
        <w:rPr>
          <w:color w:val="231F20"/>
          <w:spacing w:val="-13"/>
          <w:w w:val="120"/>
        </w:rPr>
        <w:t> </w:t>
      </w:r>
      <w:r>
        <w:rPr>
          <w:color w:val="231F20"/>
          <w:w w:val="120"/>
        </w:rPr>
        <w:t>et</w:t>
      </w:r>
      <w:r>
        <w:rPr>
          <w:color w:val="231F20"/>
          <w:spacing w:val="-13"/>
          <w:w w:val="120"/>
        </w:rPr>
        <w:t> </w:t>
      </w:r>
      <w:r>
        <w:rPr>
          <w:color w:val="231F20"/>
          <w:w w:val="120"/>
        </w:rPr>
        <w:t>marquées</w:t>
      </w:r>
      <w:r>
        <w:rPr>
          <w:color w:val="231F20"/>
          <w:spacing w:val="-12"/>
          <w:w w:val="120"/>
        </w:rPr>
        <w:t> </w:t>
      </w:r>
      <w:r>
        <w:rPr>
          <w:color w:val="231F20"/>
          <w:w w:val="120"/>
        </w:rPr>
        <w:t>par</w:t>
      </w:r>
      <w:r>
        <w:rPr>
          <w:color w:val="231F20"/>
          <w:spacing w:val="-13"/>
          <w:w w:val="120"/>
        </w:rPr>
        <w:t> </w:t>
      </w:r>
      <w:r>
        <w:rPr>
          <w:color w:val="231F20"/>
          <w:w w:val="120"/>
        </w:rPr>
        <w:t>l’absence</w:t>
      </w:r>
      <w:r>
        <w:rPr>
          <w:color w:val="231F20"/>
          <w:spacing w:val="-13"/>
          <w:w w:val="120"/>
        </w:rPr>
        <w:t> </w:t>
      </w:r>
      <w:r>
        <w:rPr>
          <w:color w:val="231F20"/>
          <w:w w:val="120"/>
        </w:rPr>
        <w:t>de</w:t>
      </w:r>
      <w:r>
        <w:rPr>
          <w:color w:val="231F20"/>
          <w:spacing w:val="-12"/>
          <w:w w:val="120"/>
        </w:rPr>
        <w:t> </w:t>
      </w:r>
      <w:r>
        <w:rPr>
          <w:color w:val="231F20"/>
          <w:w w:val="120"/>
        </w:rPr>
        <w:t>confiance</w:t>
      </w:r>
      <w:r>
        <w:rPr>
          <w:color w:val="231F20"/>
          <w:spacing w:val="-13"/>
          <w:w w:val="120"/>
        </w:rPr>
        <w:t> </w:t>
      </w:r>
      <w:r>
        <w:rPr>
          <w:color w:val="231F20"/>
          <w:w w:val="120"/>
        </w:rPr>
        <w:t>mutuelle,</w:t>
      </w:r>
      <w:r>
        <w:rPr>
          <w:color w:val="231F20"/>
          <w:spacing w:val="-13"/>
          <w:w w:val="120"/>
        </w:rPr>
        <w:t> </w:t>
      </w:r>
      <w:r>
        <w:rPr>
          <w:color w:val="231F20"/>
          <w:w w:val="120"/>
        </w:rPr>
        <w:t>de</w:t>
      </w:r>
      <w:r>
        <w:rPr>
          <w:color w:val="231F20"/>
          <w:spacing w:val="-12"/>
          <w:w w:val="120"/>
        </w:rPr>
        <w:t> </w:t>
      </w:r>
      <w:r>
        <w:rPr>
          <w:color w:val="231F20"/>
          <w:w w:val="120"/>
        </w:rPr>
        <w:t>soutien</w:t>
      </w:r>
      <w:r>
        <w:rPr>
          <w:color w:val="231F20"/>
          <w:spacing w:val="-13"/>
          <w:w w:val="120"/>
        </w:rPr>
        <w:t> </w:t>
      </w:r>
      <w:r>
        <w:rPr>
          <w:color w:val="231F20"/>
          <w:w w:val="120"/>
        </w:rPr>
        <w:t>et </w:t>
      </w:r>
      <w:r>
        <w:rPr>
          <w:color w:val="231F20"/>
          <w:spacing w:val="-2"/>
          <w:w w:val="120"/>
        </w:rPr>
        <w:t>de</w:t>
      </w:r>
      <w:r>
        <w:rPr>
          <w:color w:val="231F20"/>
          <w:spacing w:val="-10"/>
          <w:w w:val="120"/>
        </w:rPr>
        <w:t> </w:t>
      </w:r>
      <w:r>
        <w:rPr>
          <w:color w:val="231F20"/>
          <w:spacing w:val="-2"/>
          <w:w w:val="120"/>
        </w:rPr>
        <w:t>coopération</w:t>
      </w:r>
      <w:r>
        <w:rPr>
          <w:color w:val="231F20"/>
          <w:spacing w:val="-10"/>
          <w:w w:val="120"/>
        </w:rPr>
        <w:t> </w:t>
      </w:r>
      <w:r>
        <w:rPr>
          <w:color w:val="231F20"/>
          <w:spacing w:val="-2"/>
          <w:w w:val="120"/>
        </w:rPr>
        <w:t>élèvent</w:t>
      </w:r>
      <w:r>
        <w:rPr>
          <w:color w:val="231F20"/>
          <w:spacing w:val="-10"/>
          <w:w w:val="120"/>
        </w:rPr>
        <w:t> </w:t>
      </w:r>
      <w:r>
        <w:rPr>
          <w:color w:val="231F20"/>
          <w:spacing w:val="-2"/>
          <w:w w:val="120"/>
        </w:rPr>
        <w:t>le</w:t>
      </w:r>
      <w:r>
        <w:rPr>
          <w:color w:val="231F20"/>
          <w:spacing w:val="-10"/>
          <w:w w:val="120"/>
        </w:rPr>
        <w:t> </w:t>
      </w:r>
      <w:r>
        <w:rPr>
          <w:color w:val="231F20"/>
          <w:spacing w:val="-2"/>
          <w:w w:val="120"/>
        </w:rPr>
        <w:t>niveau</w:t>
      </w:r>
      <w:r>
        <w:rPr>
          <w:color w:val="231F20"/>
          <w:spacing w:val="-10"/>
          <w:w w:val="120"/>
        </w:rPr>
        <w:t> </w:t>
      </w:r>
      <w:r>
        <w:rPr>
          <w:color w:val="231F20"/>
          <w:spacing w:val="-2"/>
          <w:w w:val="120"/>
        </w:rPr>
        <w:t>de</w:t>
      </w:r>
      <w:r>
        <w:rPr>
          <w:color w:val="231F20"/>
          <w:spacing w:val="-10"/>
          <w:w w:val="120"/>
        </w:rPr>
        <w:t> </w:t>
      </w:r>
      <w:r>
        <w:rPr>
          <w:color w:val="231F20"/>
          <w:spacing w:val="-2"/>
          <w:w w:val="120"/>
        </w:rPr>
        <w:t>tension</w:t>
      </w:r>
      <w:r>
        <w:rPr>
          <w:color w:val="231F20"/>
          <w:spacing w:val="-10"/>
          <w:w w:val="120"/>
        </w:rPr>
        <w:t> </w:t>
      </w:r>
      <w:r>
        <w:rPr>
          <w:color w:val="231F20"/>
          <w:spacing w:val="-2"/>
          <w:w w:val="120"/>
        </w:rPr>
        <w:t>et</w:t>
      </w:r>
      <w:r>
        <w:rPr>
          <w:color w:val="231F20"/>
          <w:spacing w:val="-10"/>
          <w:w w:val="120"/>
        </w:rPr>
        <w:t> </w:t>
      </w:r>
      <w:r>
        <w:rPr>
          <w:color w:val="231F20"/>
          <w:spacing w:val="-2"/>
          <w:w w:val="120"/>
        </w:rPr>
        <w:t>de</w:t>
      </w:r>
      <w:r>
        <w:rPr>
          <w:color w:val="231F20"/>
          <w:spacing w:val="-10"/>
          <w:w w:val="120"/>
        </w:rPr>
        <w:t> </w:t>
      </w:r>
      <w:r>
        <w:rPr>
          <w:color w:val="231F20"/>
          <w:spacing w:val="-2"/>
          <w:w w:val="120"/>
        </w:rPr>
        <w:t>stress</w:t>
      </w:r>
      <w:r>
        <w:rPr>
          <w:color w:val="231F20"/>
          <w:spacing w:val="-10"/>
          <w:w w:val="120"/>
        </w:rPr>
        <w:t> </w:t>
      </w:r>
      <w:r>
        <w:rPr>
          <w:color w:val="231F20"/>
          <w:spacing w:val="-2"/>
          <w:w w:val="120"/>
        </w:rPr>
        <w:t>au</w:t>
      </w:r>
      <w:r>
        <w:rPr>
          <w:color w:val="231F20"/>
          <w:spacing w:val="-10"/>
          <w:w w:val="120"/>
        </w:rPr>
        <w:t> </w:t>
      </w:r>
      <w:r>
        <w:rPr>
          <w:color w:val="231F20"/>
          <w:spacing w:val="-2"/>
          <w:w w:val="120"/>
        </w:rPr>
        <w:t>sein</w:t>
      </w:r>
      <w:r>
        <w:rPr>
          <w:color w:val="231F20"/>
          <w:spacing w:val="-10"/>
          <w:w w:val="120"/>
        </w:rPr>
        <w:t> </w:t>
      </w:r>
      <w:r>
        <w:rPr>
          <w:color w:val="231F20"/>
          <w:spacing w:val="-2"/>
          <w:w w:val="120"/>
        </w:rPr>
        <w:t>du</w:t>
      </w:r>
      <w:r>
        <w:rPr>
          <w:color w:val="231F20"/>
          <w:spacing w:val="-10"/>
          <w:w w:val="120"/>
        </w:rPr>
        <w:t> </w:t>
      </w:r>
      <w:r>
        <w:rPr>
          <w:color w:val="231F20"/>
          <w:spacing w:val="-2"/>
          <w:w w:val="120"/>
        </w:rPr>
        <w:t>groupe </w:t>
      </w:r>
      <w:r>
        <w:rPr>
          <w:color w:val="231F20"/>
          <w:w w:val="115"/>
        </w:rPr>
        <w:t>ou</w:t>
      </w:r>
      <w:r>
        <w:rPr>
          <w:color w:val="231F20"/>
          <w:spacing w:val="-5"/>
          <w:w w:val="115"/>
        </w:rPr>
        <w:t> </w:t>
      </w:r>
      <w:r>
        <w:rPr>
          <w:color w:val="231F20"/>
          <w:w w:val="115"/>
        </w:rPr>
        <w:t>de</w:t>
      </w:r>
      <w:r>
        <w:rPr>
          <w:color w:val="231F20"/>
          <w:spacing w:val="-5"/>
          <w:w w:val="115"/>
        </w:rPr>
        <w:t> </w:t>
      </w:r>
      <w:r>
        <w:rPr>
          <w:color w:val="231F20"/>
          <w:w w:val="115"/>
        </w:rPr>
        <w:t>l’organisation.</w:t>
      </w:r>
      <w:r>
        <w:rPr>
          <w:color w:val="231F20"/>
          <w:spacing w:val="-5"/>
          <w:w w:val="115"/>
        </w:rPr>
        <w:t> </w:t>
      </w:r>
      <w:r>
        <w:rPr>
          <w:color w:val="231F20"/>
          <w:w w:val="115"/>
        </w:rPr>
        <w:t>Les</w:t>
      </w:r>
      <w:r>
        <w:rPr>
          <w:color w:val="231F20"/>
          <w:spacing w:val="-5"/>
          <w:w w:val="115"/>
        </w:rPr>
        <w:t> </w:t>
      </w:r>
      <w:r>
        <w:rPr>
          <w:color w:val="231F20"/>
          <w:w w:val="115"/>
        </w:rPr>
        <w:t>facteurs</w:t>
      </w:r>
      <w:r>
        <w:rPr>
          <w:color w:val="231F20"/>
          <w:spacing w:val="-5"/>
          <w:w w:val="115"/>
        </w:rPr>
        <w:t> </w:t>
      </w:r>
      <w:r>
        <w:rPr>
          <w:color w:val="231F20"/>
          <w:w w:val="115"/>
        </w:rPr>
        <w:t>de</w:t>
      </w:r>
      <w:r>
        <w:rPr>
          <w:color w:val="231F20"/>
          <w:spacing w:val="-5"/>
          <w:w w:val="115"/>
        </w:rPr>
        <w:t> </w:t>
      </w:r>
      <w:r>
        <w:rPr>
          <w:color w:val="231F20"/>
          <w:w w:val="115"/>
        </w:rPr>
        <w:t>stress</w:t>
      </w:r>
      <w:r>
        <w:rPr>
          <w:color w:val="231F20"/>
          <w:spacing w:val="-5"/>
          <w:w w:val="115"/>
        </w:rPr>
        <w:t> </w:t>
      </w:r>
      <w:r>
        <w:rPr>
          <w:color w:val="231F20"/>
          <w:w w:val="115"/>
        </w:rPr>
        <w:t>qui</w:t>
      </w:r>
      <w:r>
        <w:rPr>
          <w:color w:val="231F20"/>
          <w:spacing w:val="-5"/>
          <w:w w:val="115"/>
        </w:rPr>
        <w:t> </w:t>
      </w:r>
      <w:r>
        <w:rPr>
          <w:color w:val="231F20"/>
          <w:w w:val="115"/>
        </w:rPr>
        <w:t>suivent</w:t>
      </w:r>
      <w:r>
        <w:rPr>
          <w:color w:val="231F20"/>
          <w:spacing w:val="-5"/>
          <w:w w:val="115"/>
        </w:rPr>
        <w:t> </w:t>
      </w:r>
      <w:r>
        <w:rPr>
          <w:color w:val="231F20"/>
          <w:w w:val="115"/>
        </w:rPr>
        <w:t>sont</w:t>
      </w:r>
      <w:r>
        <w:rPr>
          <w:color w:val="231F20"/>
          <w:spacing w:val="-5"/>
          <w:w w:val="115"/>
        </w:rPr>
        <w:t> </w:t>
      </w:r>
      <w:r>
        <w:rPr>
          <w:color w:val="231F20"/>
          <w:w w:val="115"/>
        </w:rPr>
        <w:t>les</w:t>
      </w:r>
      <w:r>
        <w:rPr>
          <w:color w:val="231F20"/>
          <w:spacing w:val="-5"/>
          <w:w w:val="115"/>
        </w:rPr>
        <w:t> </w:t>
      </w:r>
      <w:r>
        <w:rPr>
          <w:color w:val="231F20"/>
          <w:w w:val="115"/>
        </w:rPr>
        <w:t>prinicpaux </w:t>
      </w:r>
      <w:r>
        <w:rPr>
          <w:color w:val="231F20"/>
          <w:w w:val="120"/>
        </w:rPr>
        <w:t>éléments de la catégorie des stresseurs relationnels:</w:t>
      </w:r>
    </w:p>
    <w:p>
      <w:pPr>
        <w:pStyle w:val="ListParagraph"/>
        <w:numPr>
          <w:ilvl w:val="0"/>
          <w:numId w:val="39"/>
        </w:numPr>
        <w:tabs>
          <w:tab w:pos="1331" w:val="left" w:leader="none"/>
        </w:tabs>
        <w:spacing w:line="307" w:lineRule="auto" w:before="79" w:after="0"/>
        <w:ind w:left="1330" w:right="492" w:hanging="251"/>
        <w:jc w:val="both"/>
        <w:rPr>
          <w:sz w:val="17"/>
        </w:rPr>
      </w:pPr>
      <w:r>
        <w:rPr>
          <w:i/>
          <w:color w:val="231F20"/>
          <w:w w:val="120"/>
          <w:sz w:val="17"/>
        </w:rPr>
        <w:t>Le</w:t>
      </w:r>
      <w:r>
        <w:rPr>
          <w:i/>
          <w:color w:val="231F20"/>
          <w:spacing w:val="-6"/>
          <w:w w:val="120"/>
          <w:sz w:val="17"/>
        </w:rPr>
        <w:t> </w:t>
      </w:r>
      <w:r>
        <w:rPr>
          <w:i/>
          <w:color w:val="231F20"/>
          <w:w w:val="120"/>
          <w:sz w:val="17"/>
        </w:rPr>
        <w:t>manque</w:t>
      </w:r>
      <w:r>
        <w:rPr>
          <w:i/>
          <w:color w:val="231F20"/>
          <w:spacing w:val="-6"/>
          <w:w w:val="120"/>
          <w:sz w:val="17"/>
        </w:rPr>
        <w:t> </w:t>
      </w:r>
      <w:r>
        <w:rPr>
          <w:i/>
          <w:color w:val="231F20"/>
          <w:w w:val="120"/>
          <w:sz w:val="17"/>
        </w:rPr>
        <w:t>de</w:t>
      </w:r>
      <w:r>
        <w:rPr>
          <w:i/>
          <w:color w:val="231F20"/>
          <w:spacing w:val="-6"/>
          <w:w w:val="120"/>
          <w:sz w:val="17"/>
        </w:rPr>
        <w:t> </w:t>
      </w:r>
      <w:r>
        <w:rPr>
          <w:i/>
          <w:color w:val="231F20"/>
          <w:w w:val="120"/>
          <w:sz w:val="17"/>
        </w:rPr>
        <w:t>cohésion</w:t>
      </w:r>
      <w:r>
        <w:rPr>
          <w:color w:val="231F20"/>
          <w:w w:val="120"/>
          <w:sz w:val="17"/>
        </w:rPr>
        <w:t>.</w:t>
      </w:r>
      <w:r>
        <w:rPr>
          <w:color w:val="231F20"/>
          <w:spacing w:val="-6"/>
          <w:w w:val="120"/>
          <w:sz w:val="17"/>
        </w:rPr>
        <w:t> </w:t>
      </w:r>
      <w:r>
        <w:rPr>
          <w:color w:val="231F20"/>
          <w:w w:val="120"/>
          <w:sz w:val="17"/>
        </w:rPr>
        <w:t>L’absence</w:t>
      </w:r>
      <w:r>
        <w:rPr>
          <w:color w:val="231F20"/>
          <w:spacing w:val="-6"/>
          <w:w w:val="120"/>
          <w:sz w:val="17"/>
        </w:rPr>
        <w:t> </w:t>
      </w:r>
      <w:r>
        <w:rPr>
          <w:color w:val="231F20"/>
          <w:w w:val="120"/>
          <w:sz w:val="17"/>
        </w:rPr>
        <w:t>de</w:t>
      </w:r>
      <w:r>
        <w:rPr>
          <w:color w:val="231F20"/>
          <w:spacing w:val="-6"/>
          <w:w w:val="120"/>
          <w:sz w:val="17"/>
        </w:rPr>
        <w:t> </w:t>
      </w:r>
      <w:r>
        <w:rPr>
          <w:color w:val="231F20"/>
          <w:w w:val="120"/>
          <w:sz w:val="17"/>
        </w:rPr>
        <w:t>cohésion</w:t>
      </w:r>
      <w:r>
        <w:rPr>
          <w:color w:val="231F20"/>
          <w:spacing w:val="-6"/>
          <w:w w:val="120"/>
          <w:sz w:val="17"/>
        </w:rPr>
        <w:t> </w:t>
      </w:r>
      <w:r>
        <w:rPr>
          <w:color w:val="231F20"/>
          <w:w w:val="120"/>
          <w:sz w:val="17"/>
        </w:rPr>
        <w:t>est</w:t>
      </w:r>
      <w:r>
        <w:rPr>
          <w:color w:val="231F20"/>
          <w:spacing w:val="-6"/>
          <w:w w:val="120"/>
          <w:sz w:val="17"/>
        </w:rPr>
        <w:t> </w:t>
      </w:r>
      <w:r>
        <w:rPr>
          <w:color w:val="231F20"/>
          <w:w w:val="120"/>
          <w:sz w:val="17"/>
        </w:rPr>
        <w:t>un</w:t>
      </w:r>
      <w:r>
        <w:rPr>
          <w:color w:val="231F20"/>
          <w:spacing w:val="-6"/>
          <w:w w:val="120"/>
          <w:sz w:val="17"/>
        </w:rPr>
        <w:t> </w:t>
      </w:r>
      <w:r>
        <w:rPr>
          <w:color w:val="231F20"/>
          <w:w w:val="120"/>
          <w:sz w:val="17"/>
        </w:rPr>
        <w:t>facteur</w:t>
      </w:r>
      <w:r>
        <w:rPr>
          <w:color w:val="231F20"/>
          <w:spacing w:val="-6"/>
          <w:w w:val="120"/>
          <w:sz w:val="17"/>
        </w:rPr>
        <w:t> </w:t>
      </w:r>
      <w:r>
        <w:rPr>
          <w:color w:val="231F20"/>
          <w:w w:val="120"/>
          <w:sz w:val="17"/>
        </w:rPr>
        <w:t>de </w:t>
      </w:r>
      <w:r>
        <w:rPr>
          <w:color w:val="231F20"/>
          <w:w w:val="115"/>
          <w:sz w:val="17"/>
        </w:rPr>
        <w:t>stress</w:t>
      </w:r>
      <w:r>
        <w:rPr>
          <w:color w:val="231F20"/>
          <w:spacing w:val="-8"/>
          <w:w w:val="115"/>
          <w:sz w:val="17"/>
        </w:rPr>
        <w:t> </w:t>
      </w:r>
      <w:r>
        <w:rPr>
          <w:color w:val="231F20"/>
          <w:w w:val="115"/>
          <w:sz w:val="17"/>
        </w:rPr>
        <w:t>potentiel</w:t>
      </w:r>
      <w:r>
        <w:rPr>
          <w:color w:val="231F20"/>
          <w:spacing w:val="-8"/>
          <w:w w:val="115"/>
          <w:sz w:val="17"/>
        </w:rPr>
        <w:t> </w:t>
      </w:r>
      <w:r>
        <w:rPr>
          <w:color w:val="231F20"/>
          <w:w w:val="115"/>
          <w:sz w:val="17"/>
        </w:rPr>
        <w:t>pour</w:t>
      </w:r>
      <w:r>
        <w:rPr>
          <w:color w:val="231F20"/>
          <w:spacing w:val="-8"/>
          <w:w w:val="115"/>
          <w:sz w:val="17"/>
        </w:rPr>
        <w:t> </w:t>
      </w:r>
      <w:r>
        <w:rPr>
          <w:color w:val="231F20"/>
          <w:w w:val="115"/>
          <w:sz w:val="17"/>
        </w:rPr>
        <w:t>les</w:t>
      </w:r>
      <w:r>
        <w:rPr>
          <w:color w:val="231F20"/>
          <w:spacing w:val="-8"/>
          <w:w w:val="115"/>
          <w:sz w:val="17"/>
        </w:rPr>
        <w:t> </w:t>
      </w:r>
      <w:r>
        <w:rPr>
          <w:color w:val="231F20"/>
          <w:w w:val="115"/>
          <w:sz w:val="17"/>
        </w:rPr>
        <w:t>membres</w:t>
      </w:r>
      <w:r>
        <w:rPr>
          <w:color w:val="231F20"/>
          <w:spacing w:val="-8"/>
          <w:w w:val="115"/>
          <w:sz w:val="17"/>
        </w:rPr>
        <w:t> </w:t>
      </w:r>
      <w:r>
        <w:rPr>
          <w:color w:val="231F20"/>
          <w:w w:val="115"/>
          <w:sz w:val="17"/>
        </w:rPr>
        <w:t>d’un</w:t>
      </w:r>
      <w:r>
        <w:rPr>
          <w:color w:val="231F20"/>
          <w:spacing w:val="-8"/>
          <w:w w:val="115"/>
          <w:sz w:val="17"/>
        </w:rPr>
        <w:t> </w:t>
      </w:r>
      <w:r>
        <w:rPr>
          <w:color w:val="231F20"/>
          <w:w w:val="115"/>
          <w:sz w:val="17"/>
        </w:rPr>
        <w:t>groupe.</w:t>
      </w:r>
      <w:r>
        <w:rPr>
          <w:color w:val="231F20"/>
          <w:spacing w:val="-8"/>
          <w:w w:val="115"/>
          <w:sz w:val="17"/>
        </w:rPr>
        <w:t> </w:t>
      </w:r>
      <w:r>
        <w:rPr>
          <w:color w:val="231F20"/>
          <w:w w:val="115"/>
          <w:sz w:val="17"/>
        </w:rPr>
        <w:t>Le</w:t>
      </w:r>
      <w:r>
        <w:rPr>
          <w:color w:val="231F20"/>
          <w:spacing w:val="-8"/>
          <w:w w:val="115"/>
          <w:sz w:val="17"/>
        </w:rPr>
        <w:t> </w:t>
      </w:r>
      <w:r>
        <w:rPr>
          <w:color w:val="231F20"/>
          <w:w w:val="115"/>
          <w:sz w:val="17"/>
        </w:rPr>
        <w:t>manque</w:t>
      </w:r>
      <w:r>
        <w:rPr>
          <w:color w:val="231F20"/>
          <w:spacing w:val="-8"/>
          <w:w w:val="115"/>
          <w:sz w:val="17"/>
        </w:rPr>
        <w:t> </w:t>
      </w:r>
      <w:r>
        <w:rPr>
          <w:color w:val="231F20"/>
          <w:w w:val="115"/>
          <w:sz w:val="17"/>
        </w:rPr>
        <w:t>de</w:t>
      </w:r>
      <w:r>
        <w:rPr>
          <w:color w:val="231F20"/>
          <w:spacing w:val="-8"/>
          <w:w w:val="115"/>
          <w:sz w:val="17"/>
        </w:rPr>
        <w:t> </w:t>
      </w:r>
      <w:r>
        <w:rPr>
          <w:color w:val="231F20"/>
          <w:w w:val="115"/>
          <w:sz w:val="17"/>
        </w:rPr>
        <w:t>cohé- </w:t>
      </w:r>
      <w:r>
        <w:rPr>
          <w:color w:val="231F20"/>
          <w:w w:val="120"/>
          <w:sz w:val="17"/>
        </w:rPr>
        <w:t>sion dans un groupe de travail va souvent de pair avec une plus faible</w:t>
      </w:r>
      <w:r>
        <w:rPr>
          <w:color w:val="231F20"/>
          <w:spacing w:val="-5"/>
          <w:w w:val="120"/>
          <w:sz w:val="17"/>
        </w:rPr>
        <w:t> </w:t>
      </w:r>
      <w:r>
        <w:rPr>
          <w:color w:val="231F20"/>
          <w:w w:val="120"/>
          <w:sz w:val="17"/>
        </w:rPr>
        <w:t>confiance</w:t>
      </w:r>
      <w:r>
        <w:rPr>
          <w:color w:val="231F20"/>
          <w:spacing w:val="-5"/>
          <w:w w:val="120"/>
          <w:sz w:val="17"/>
        </w:rPr>
        <w:t> </w:t>
      </w:r>
      <w:r>
        <w:rPr>
          <w:color w:val="231F20"/>
          <w:w w:val="120"/>
          <w:sz w:val="17"/>
        </w:rPr>
        <w:t>mutuelle,</w:t>
      </w:r>
      <w:r>
        <w:rPr>
          <w:color w:val="231F20"/>
          <w:spacing w:val="-5"/>
          <w:w w:val="120"/>
          <w:sz w:val="17"/>
        </w:rPr>
        <w:t> </w:t>
      </w:r>
      <w:r>
        <w:rPr>
          <w:color w:val="231F20"/>
          <w:w w:val="120"/>
          <w:sz w:val="17"/>
        </w:rPr>
        <w:t>moins</w:t>
      </w:r>
      <w:r>
        <w:rPr>
          <w:color w:val="231F20"/>
          <w:spacing w:val="-5"/>
          <w:w w:val="120"/>
          <w:sz w:val="17"/>
        </w:rPr>
        <w:t> </w:t>
      </w:r>
      <w:r>
        <w:rPr>
          <w:color w:val="231F20"/>
          <w:w w:val="120"/>
          <w:sz w:val="17"/>
        </w:rPr>
        <w:t>de</w:t>
      </w:r>
      <w:r>
        <w:rPr>
          <w:color w:val="231F20"/>
          <w:spacing w:val="-5"/>
          <w:w w:val="120"/>
          <w:sz w:val="17"/>
        </w:rPr>
        <w:t> </w:t>
      </w:r>
      <w:r>
        <w:rPr>
          <w:color w:val="231F20"/>
          <w:w w:val="120"/>
          <w:sz w:val="17"/>
        </w:rPr>
        <w:t>soutien</w:t>
      </w:r>
      <w:r>
        <w:rPr>
          <w:color w:val="231F20"/>
          <w:spacing w:val="-5"/>
          <w:w w:val="120"/>
          <w:sz w:val="17"/>
        </w:rPr>
        <w:t> </w:t>
      </w:r>
      <w:r>
        <w:rPr>
          <w:color w:val="231F20"/>
          <w:w w:val="120"/>
          <w:sz w:val="17"/>
        </w:rPr>
        <w:t>et</w:t>
      </w:r>
      <w:r>
        <w:rPr>
          <w:color w:val="231F20"/>
          <w:spacing w:val="-5"/>
          <w:w w:val="120"/>
          <w:sz w:val="17"/>
        </w:rPr>
        <w:t> </w:t>
      </w:r>
      <w:r>
        <w:rPr>
          <w:color w:val="231F20"/>
          <w:w w:val="120"/>
          <w:sz w:val="17"/>
        </w:rPr>
        <w:t>une</w:t>
      </w:r>
      <w:r>
        <w:rPr>
          <w:color w:val="231F20"/>
          <w:spacing w:val="-5"/>
          <w:w w:val="120"/>
          <w:sz w:val="17"/>
        </w:rPr>
        <w:t> </w:t>
      </w:r>
      <w:r>
        <w:rPr>
          <w:color w:val="231F20"/>
          <w:w w:val="120"/>
          <w:sz w:val="17"/>
        </w:rPr>
        <w:t>moins</w:t>
      </w:r>
      <w:r>
        <w:rPr>
          <w:color w:val="231F20"/>
          <w:spacing w:val="-5"/>
          <w:w w:val="120"/>
          <w:sz w:val="17"/>
        </w:rPr>
        <w:t> </w:t>
      </w:r>
      <w:r>
        <w:rPr>
          <w:color w:val="231F20"/>
          <w:w w:val="120"/>
          <w:sz w:val="17"/>
        </w:rPr>
        <w:t>grande </w:t>
      </w:r>
      <w:r>
        <w:rPr>
          <w:color w:val="231F20"/>
          <w:w w:val="115"/>
          <w:sz w:val="17"/>
        </w:rPr>
        <w:t>tendance</w:t>
      </w:r>
      <w:r>
        <w:rPr>
          <w:color w:val="231F20"/>
          <w:spacing w:val="-13"/>
          <w:w w:val="115"/>
          <w:sz w:val="17"/>
        </w:rPr>
        <w:t> </w:t>
      </w:r>
      <w:r>
        <w:rPr>
          <w:color w:val="231F20"/>
          <w:w w:val="115"/>
          <w:sz w:val="17"/>
        </w:rPr>
        <w:t>à</w:t>
      </w:r>
      <w:r>
        <w:rPr>
          <w:color w:val="231F20"/>
          <w:spacing w:val="-12"/>
          <w:w w:val="115"/>
          <w:sz w:val="17"/>
        </w:rPr>
        <w:t> </w:t>
      </w:r>
      <w:r>
        <w:rPr>
          <w:color w:val="231F20"/>
          <w:w w:val="115"/>
          <w:sz w:val="17"/>
        </w:rPr>
        <w:t>la</w:t>
      </w:r>
      <w:r>
        <w:rPr>
          <w:color w:val="231F20"/>
          <w:spacing w:val="-12"/>
          <w:w w:val="115"/>
          <w:sz w:val="17"/>
        </w:rPr>
        <w:t> </w:t>
      </w:r>
      <w:r>
        <w:rPr>
          <w:color w:val="231F20"/>
          <w:w w:val="115"/>
          <w:sz w:val="17"/>
        </w:rPr>
        <w:t>collaboration,</w:t>
      </w:r>
      <w:r>
        <w:rPr>
          <w:color w:val="231F20"/>
          <w:spacing w:val="-12"/>
          <w:w w:val="115"/>
          <w:sz w:val="17"/>
        </w:rPr>
        <w:t> </w:t>
      </w:r>
      <w:r>
        <w:rPr>
          <w:color w:val="231F20"/>
          <w:w w:val="115"/>
          <w:sz w:val="17"/>
        </w:rPr>
        <w:t>facteurs</w:t>
      </w:r>
      <w:r>
        <w:rPr>
          <w:color w:val="231F20"/>
          <w:spacing w:val="-13"/>
          <w:w w:val="115"/>
          <w:sz w:val="17"/>
        </w:rPr>
        <w:t> </w:t>
      </w:r>
      <w:r>
        <w:rPr>
          <w:color w:val="231F20"/>
          <w:w w:val="115"/>
          <w:sz w:val="17"/>
        </w:rPr>
        <w:t>qui</w:t>
      </w:r>
      <w:r>
        <w:rPr>
          <w:color w:val="231F20"/>
          <w:spacing w:val="-12"/>
          <w:w w:val="115"/>
          <w:sz w:val="17"/>
        </w:rPr>
        <w:t> </w:t>
      </w:r>
      <w:r>
        <w:rPr>
          <w:color w:val="231F20"/>
          <w:w w:val="115"/>
          <w:sz w:val="17"/>
        </w:rPr>
        <w:t>peuvent</w:t>
      </w:r>
      <w:r>
        <w:rPr>
          <w:color w:val="231F20"/>
          <w:spacing w:val="-12"/>
          <w:w w:val="115"/>
          <w:sz w:val="17"/>
        </w:rPr>
        <w:t> </w:t>
      </w:r>
      <w:r>
        <w:rPr>
          <w:color w:val="231F20"/>
          <w:w w:val="115"/>
          <w:sz w:val="17"/>
        </w:rPr>
        <w:t>engendrer</w:t>
      </w:r>
      <w:r>
        <w:rPr>
          <w:color w:val="231F20"/>
          <w:spacing w:val="-12"/>
          <w:w w:val="115"/>
          <w:sz w:val="17"/>
        </w:rPr>
        <w:t> </w:t>
      </w:r>
      <w:r>
        <w:rPr>
          <w:color w:val="231F20"/>
          <w:w w:val="115"/>
          <w:sz w:val="17"/>
        </w:rPr>
        <w:t>du</w:t>
      </w:r>
      <w:r>
        <w:rPr>
          <w:color w:val="231F20"/>
          <w:spacing w:val="-12"/>
          <w:w w:val="115"/>
          <w:sz w:val="17"/>
        </w:rPr>
        <w:t> </w:t>
      </w:r>
      <w:r>
        <w:rPr>
          <w:color w:val="231F20"/>
          <w:w w:val="115"/>
          <w:sz w:val="17"/>
        </w:rPr>
        <w:t>stress </w:t>
      </w:r>
      <w:r>
        <w:rPr>
          <w:color w:val="231F20"/>
          <w:w w:val="120"/>
          <w:sz w:val="17"/>
        </w:rPr>
        <w:t>ou encore limiter la capacité de faire face à d’autres stresseurs.</w:t>
      </w:r>
    </w:p>
    <w:p>
      <w:pPr>
        <w:pStyle w:val="ListParagraph"/>
        <w:numPr>
          <w:ilvl w:val="0"/>
          <w:numId w:val="39"/>
        </w:numPr>
        <w:tabs>
          <w:tab w:pos="1331" w:val="left" w:leader="none"/>
        </w:tabs>
        <w:spacing w:line="307" w:lineRule="auto" w:before="0" w:after="0"/>
        <w:ind w:left="1330" w:right="490" w:hanging="251"/>
        <w:jc w:val="both"/>
        <w:rPr>
          <w:sz w:val="17"/>
        </w:rPr>
      </w:pPr>
      <w:r>
        <w:rPr>
          <w:i/>
          <w:color w:val="231F20"/>
          <w:w w:val="120"/>
          <w:sz w:val="17"/>
        </w:rPr>
        <w:t>Les conflits au sein du groupe</w:t>
      </w:r>
      <w:r>
        <w:rPr>
          <w:color w:val="231F20"/>
          <w:w w:val="120"/>
          <w:sz w:val="17"/>
        </w:rPr>
        <w:t>. Le conflit est inévitable dans un groupe</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travail.</w:t>
      </w:r>
      <w:r>
        <w:rPr>
          <w:color w:val="231F20"/>
          <w:spacing w:val="-11"/>
          <w:w w:val="120"/>
          <w:sz w:val="17"/>
        </w:rPr>
        <w:t> </w:t>
      </w:r>
      <w:r>
        <w:rPr>
          <w:color w:val="231F20"/>
          <w:w w:val="120"/>
          <w:sz w:val="17"/>
        </w:rPr>
        <w:t>Un</w:t>
      </w:r>
      <w:r>
        <w:rPr>
          <w:color w:val="231F20"/>
          <w:spacing w:val="-11"/>
          <w:w w:val="120"/>
          <w:sz w:val="17"/>
        </w:rPr>
        <w:t> </w:t>
      </w:r>
      <w:r>
        <w:rPr>
          <w:color w:val="231F20"/>
          <w:w w:val="120"/>
          <w:sz w:val="17"/>
        </w:rPr>
        <w:t>épisode</w:t>
      </w:r>
      <w:r>
        <w:rPr>
          <w:color w:val="231F20"/>
          <w:spacing w:val="-11"/>
          <w:w w:val="120"/>
          <w:sz w:val="17"/>
        </w:rPr>
        <w:t> </w:t>
      </w:r>
      <w:r>
        <w:rPr>
          <w:color w:val="231F20"/>
          <w:w w:val="120"/>
          <w:sz w:val="17"/>
        </w:rPr>
        <w:t>conflictuel</w:t>
      </w:r>
      <w:r>
        <w:rPr>
          <w:color w:val="231F20"/>
          <w:spacing w:val="-11"/>
          <w:w w:val="120"/>
          <w:sz w:val="17"/>
        </w:rPr>
        <w:t> </w:t>
      </w:r>
      <w:r>
        <w:rPr>
          <w:color w:val="231F20"/>
          <w:w w:val="120"/>
          <w:sz w:val="17"/>
        </w:rPr>
        <w:t>découle</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l’expression </w:t>
      </w:r>
      <w:r>
        <w:rPr>
          <w:color w:val="231F20"/>
          <w:w w:val="115"/>
          <w:sz w:val="17"/>
        </w:rPr>
        <w:t>d’un désaccord et il faut en privilégier l’expression, car il peut être </w:t>
      </w:r>
      <w:r>
        <w:rPr>
          <w:color w:val="231F20"/>
          <w:w w:val="120"/>
          <w:sz w:val="17"/>
        </w:rPr>
        <w:t>une</w:t>
      </w:r>
      <w:r>
        <w:rPr>
          <w:color w:val="231F20"/>
          <w:spacing w:val="-7"/>
          <w:w w:val="120"/>
          <w:sz w:val="17"/>
        </w:rPr>
        <w:t> </w:t>
      </w:r>
      <w:r>
        <w:rPr>
          <w:color w:val="231F20"/>
          <w:w w:val="120"/>
          <w:sz w:val="17"/>
        </w:rPr>
        <w:t>source</w:t>
      </w:r>
      <w:r>
        <w:rPr>
          <w:color w:val="231F20"/>
          <w:spacing w:val="-7"/>
          <w:w w:val="120"/>
          <w:sz w:val="17"/>
        </w:rPr>
        <w:t> </w:t>
      </w:r>
      <w:r>
        <w:rPr>
          <w:color w:val="231F20"/>
          <w:w w:val="120"/>
          <w:sz w:val="17"/>
        </w:rPr>
        <w:t>d’amélioration</w:t>
      </w:r>
      <w:r>
        <w:rPr>
          <w:color w:val="231F20"/>
          <w:spacing w:val="-7"/>
          <w:w w:val="120"/>
          <w:sz w:val="17"/>
        </w:rPr>
        <w:t> </w:t>
      </w:r>
      <w:r>
        <w:rPr>
          <w:color w:val="231F20"/>
          <w:w w:val="120"/>
          <w:sz w:val="17"/>
        </w:rPr>
        <w:t>des</w:t>
      </w:r>
      <w:r>
        <w:rPr>
          <w:color w:val="231F20"/>
          <w:spacing w:val="-7"/>
          <w:w w:val="120"/>
          <w:sz w:val="17"/>
        </w:rPr>
        <w:t> </w:t>
      </w:r>
      <w:r>
        <w:rPr>
          <w:color w:val="231F20"/>
          <w:w w:val="120"/>
          <w:sz w:val="17"/>
        </w:rPr>
        <w:t>façons</w:t>
      </w:r>
      <w:r>
        <w:rPr>
          <w:color w:val="231F20"/>
          <w:spacing w:val="-7"/>
          <w:w w:val="120"/>
          <w:sz w:val="17"/>
        </w:rPr>
        <w:t> </w:t>
      </w:r>
      <w:r>
        <w:rPr>
          <w:color w:val="231F20"/>
          <w:w w:val="120"/>
          <w:sz w:val="17"/>
        </w:rPr>
        <w:t>de</w:t>
      </w:r>
      <w:r>
        <w:rPr>
          <w:color w:val="231F20"/>
          <w:spacing w:val="-7"/>
          <w:w w:val="120"/>
          <w:sz w:val="17"/>
        </w:rPr>
        <w:t> </w:t>
      </w:r>
      <w:r>
        <w:rPr>
          <w:color w:val="231F20"/>
          <w:w w:val="120"/>
          <w:sz w:val="17"/>
        </w:rPr>
        <w:t>faire</w:t>
      </w:r>
      <w:r>
        <w:rPr>
          <w:color w:val="231F20"/>
          <w:spacing w:val="-7"/>
          <w:w w:val="120"/>
          <w:sz w:val="17"/>
        </w:rPr>
        <w:t> </w:t>
      </w:r>
      <w:r>
        <w:rPr>
          <w:color w:val="231F20"/>
          <w:w w:val="120"/>
          <w:sz w:val="17"/>
        </w:rPr>
        <w:t>ou</w:t>
      </w:r>
      <w:r>
        <w:rPr>
          <w:color w:val="231F20"/>
          <w:spacing w:val="-7"/>
          <w:w w:val="120"/>
          <w:sz w:val="17"/>
        </w:rPr>
        <w:t> </w:t>
      </w:r>
      <w:r>
        <w:rPr>
          <w:color w:val="231F20"/>
          <w:w w:val="120"/>
          <w:sz w:val="17"/>
        </w:rPr>
        <w:t>des</w:t>
      </w:r>
      <w:r>
        <w:rPr>
          <w:color w:val="231F20"/>
          <w:spacing w:val="-7"/>
          <w:w w:val="120"/>
          <w:sz w:val="17"/>
        </w:rPr>
        <w:t> </w:t>
      </w:r>
      <w:r>
        <w:rPr>
          <w:color w:val="231F20"/>
          <w:w w:val="120"/>
          <w:sz w:val="17"/>
        </w:rPr>
        <w:t>procédures. Ce qu’il faut éviter, et ce qui génère davantage de stress, c’est l’escalade d’un conflit. Pour ce faire, une prompte gestion </w:t>
      </w:r>
      <w:r>
        <w:rPr>
          <w:color w:val="231F20"/>
          <w:w w:val="120"/>
          <w:sz w:val="17"/>
        </w:rPr>
        <w:t>des</w:t>
      </w:r>
      <w:r>
        <w:rPr>
          <w:color w:val="231F20"/>
          <w:w w:val="120"/>
          <w:sz w:val="17"/>
        </w:rPr>
        <w:t> </w:t>
      </w:r>
      <w:r>
        <w:rPr>
          <w:color w:val="231F20"/>
          <w:spacing w:val="-2"/>
          <w:w w:val="120"/>
          <w:sz w:val="17"/>
        </w:rPr>
        <w:t>conflits</w:t>
      </w:r>
      <w:r>
        <w:rPr>
          <w:color w:val="231F20"/>
          <w:spacing w:val="-5"/>
          <w:w w:val="120"/>
          <w:sz w:val="17"/>
        </w:rPr>
        <w:t> </w:t>
      </w:r>
      <w:r>
        <w:rPr>
          <w:color w:val="231F20"/>
          <w:spacing w:val="-2"/>
          <w:w w:val="120"/>
          <w:sz w:val="17"/>
        </w:rPr>
        <w:t>est</w:t>
      </w:r>
      <w:r>
        <w:rPr>
          <w:color w:val="231F20"/>
          <w:spacing w:val="-5"/>
          <w:w w:val="120"/>
          <w:sz w:val="17"/>
        </w:rPr>
        <w:t> </w:t>
      </w:r>
      <w:r>
        <w:rPr>
          <w:color w:val="231F20"/>
          <w:spacing w:val="-2"/>
          <w:w w:val="120"/>
          <w:sz w:val="17"/>
        </w:rPr>
        <w:t>nécessaire</w:t>
      </w:r>
      <w:r>
        <w:rPr>
          <w:color w:val="231F20"/>
          <w:spacing w:val="-5"/>
          <w:w w:val="120"/>
          <w:sz w:val="17"/>
        </w:rPr>
        <w:t> </w:t>
      </w:r>
      <w:r>
        <w:rPr>
          <w:color w:val="231F20"/>
          <w:spacing w:val="-2"/>
          <w:w w:val="120"/>
          <w:sz w:val="17"/>
        </w:rPr>
        <w:t>et</w:t>
      </w:r>
      <w:r>
        <w:rPr>
          <w:color w:val="231F20"/>
          <w:spacing w:val="-5"/>
          <w:w w:val="120"/>
          <w:sz w:val="17"/>
        </w:rPr>
        <w:t> </w:t>
      </w:r>
      <w:r>
        <w:rPr>
          <w:color w:val="231F20"/>
          <w:spacing w:val="-2"/>
          <w:w w:val="120"/>
          <w:sz w:val="17"/>
        </w:rPr>
        <w:t>doit</w:t>
      </w:r>
      <w:r>
        <w:rPr>
          <w:color w:val="231F20"/>
          <w:spacing w:val="-5"/>
          <w:w w:val="120"/>
          <w:sz w:val="17"/>
        </w:rPr>
        <w:t> </w:t>
      </w:r>
      <w:r>
        <w:rPr>
          <w:color w:val="231F20"/>
          <w:spacing w:val="-2"/>
          <w:w w:val="120"/>
          <w:sz w:val="17"/>
        </w:rPr>
        <w:t>être</w:t>
      </w:r>
      <w:r>
        <w:rPr>
          <w:color w:val="231F20"/>
          <w:spacing w:val="-5"/>
          <w:w w:val="120"/>
          <w:sz w:val="17"/>
        </w:rPr>
        <w:t> </w:t>
      </w:r>
      <w:r>
        <w:rPr>
          <w:color w:val="231F20"/>
          <w:spacing w:val="-2"/>
          <w:w w:val="120"/>
          <w:sz w:val="17"/>
        </w:rPr>
        <w:t>pilotée</w:t>
      </w:r>
      <w:r>
        <w:rPr>
          <w:color w:val="231F20"/>
          <w:spacing w:val="-5"/>
          <w:w w:val="120"/>
          <w:sz w:val="17"/>
        </w:rPr>
        <w:t> </w:t>
      </w:r>
      <w:r>
        <w:rPr>
          <w:color w:val="231F20"/>
          <w:spacing w:val="-2"/>
          <w:w w:val="120"/>
          <w:sz w:val="17"/>
        </w:rPr>
        <w:t>par</w:t>
      </w:r>
      <w:r>
        <w:rPr>
          <w:color w:val="231F20"/>
          <w:spacing w:val="-5"/>
          <w:w w:val="120"/>
          <w:sz w:val="17"/>
        </w:rPr>
        <w:t> </w:t>
      </w:r>
      <w:r>
        <w:rPr>
          <w:color w:val="231F20"/>
          <w:spacing w:val="-2"/>
          <w:w w:val="120"/>
          <w:sz w:val="17"/>
        </w:rPr>
        <w:t>le</w:t>
      </w:r>
      <w:r>
        <w:rPr>
          <w:color w:val="231F20"/>
          <w:spacing w:val="-5"/>
          <w:w w:val="120"/>
          <w:sz w:val="17"/>
        </w:rPr>
        <w:t> </w:t>
      </w:r>
      <w:r>
        <w:rPr>
          <w:color w:val="231F20"/>
          <w:spacing w:val="-2"/>
          <w:w w:val="120"/>
          <w:sz w:val="17"/>
        </w:rPr>
        <w:t>gestionnaire</w:t>
      </w:r>
      <w:r>
        <w:rPr>
          <w:color w:val="231F20"/>
          <w:spacing w:val="-5"/>
          <w:w w:val="120"/>
          <w:sz w:val="17"/>
        </w:rPr>
        <w:t> </w:t>
      </w:r>
      <w:r>
        <w:rPr>
          <w:color w:val="231F20"/>
          <w:spacing w:val="-2"/>
          <w:w w:val="120"/>
          <w:sz w:val="17"/>
        </w:rPr>
        <w:t>d’une </w:t>
      </w:r>
      <w:r>
        <w:rPr>
          <w:color w:val="231F20"/>
          <w:w w:val="120"/>
          <w:sz w:val="17"/>
        </w:rPr>
        <w:t>équipe</w:t>
      </w:r>
      <w:r>
        <w:rPr>
          <w:color w:val="231F20"/>
          <w:spacing w:val="-5"/>
          <w:w w:val="120"/>
          <w:sz w:val="17"/>
        </w:rPr>
        <w:t> </w:t>
      </w:r>
      <w:r>
        <w:rPr>
          <w:color w:val="231F20"/>
          <w:w w:val="120"/>
          <w:sz w:val="17"/>
        </w:rPr>
        <w:t>de</w:t>
      </w:r>
      <w:r>
        <w:rPr>
          <w:color w:val="231F20"/>
          <w:spacing w:val="-5"/>
          <w:w w:val="120"/>
          <w:sz w:val="17"/>
        </w:rPr>
        <w:t> </w:t>
      </w:r>
      <w:r>
        <w:rPr>
          <w:color w:val="231F20"/>
          <w:w w:val="120"/>
          <w:sz w:val="17"/>
        </w:rPr>
        <w:t>travail.</w:t>
      </w:r>
      <w:r>
        <w:rPr>
          <w:color w:val="231F20"/>
          <w:spacing w:val="-5"/>
          <w:w w:val="120"/>
          <w:sz w:val="17"/>
        </w:rPr>
        <w:t> </w:t>
      </w:r>
      <w:r>
        <w:rPr>
          <w:color w:val="231F20"/>
          <w:w w:val="120"/>
          <w:sz w:val="17"/>
        </w:rPr>
        <w:t>Les</w:t>
      </w:r>
      <w:r>
        <w:rPr>
          <w:color w:val="231F20"/>
          <w:spacing w:val="-5"/>
          <w:w w:val="120"/>
          <w:sz w:val="17"/>
        </w:rPr>
        <w:t> </w:t>
      </w:r>
      <w:r>
        <w:rPr>
          <w:color w:val="231F20"/>
          <w:w w:val="120"/>
          <w:sz w:val="17"/>
        </w:rPr>
        <w:t>conflits</w:t>
      </w:r>
      <w:r>
        <w:rPr>
          <w:color w:val="231F20"/>
          <w:spacing w:val="-5"/>
          <w:w w:val="120"/>
          <w:sz w:val="17"/>
        </w:rPr>
        <w:t> </w:t>
      </w:r>
      <w:r>
        <w:rPr>
          <w:color w:val="231F20"/>
          <w:w w:val="120"/>
          <w:sz w:val="17"/>
        </w:rPr>
        <w:t>non</w:t>
      </w:r>
      <w:r>
        <w:rPr>
          <w:color w:val="231F20"/>
          <w:spacing w:val="-5"/>
          <w:w w:val="120"/>
          <w:sz w:val="17"/>
        </w:rPr>
        <w:t> </w:t>
      </w:r>
      <w:r>
        <w:rPr>
          <w:color w:val="231F20"/>
          <w:w w:val="120"/>
          <w:sz w:val="17"/>
        </w:rPr>
        <w:t>gérés</w:t>
      </w:r>
      <w:r>
        <w:rPr>
          <w:color w:val="231F20"/>
          <w:spacing w:val="-5"/>
          <w:w w:val="120"/>
          <w:sz w:val="17"/>
        </w:rPr>
        <w:t> </w:t>
      </w:r>
      <w:r>
        <w:rPr>
          <w:color w:val="231F20"/>
          <w:w w:val="120"/>
          <w:sz w:val="17"/>
        </w:rPr>
        <w:t>risquent</w:t>
      </w:r>
      <w:r>
        <w:rPr>
          <w:color w:val="231F20"/>
          <w:spacing w:val="-5"/>
          <w:w w:val="120"/>
          <w:sz w:val="17"/>
        </w:rPr>
        <w:t> </w:t>
      </w:r>
      <w:r>
        <w:rPr>
          <w:color w:val="231F20"/>
          <w:w w:val="120"/>
          <w:sz w:val="17"/>
        </w:rPr>
        <w:t>de</w:t>
      </w:r>
      <w:r>
        <w:rPr>
          <w:color w:val="231F20"/>
          <w:spacing w:val="-5"/>
          <w:w w:val="120"/>
          <w:sz w:val="17"/>
        </w:rPr>
        <w:t> </w:t>
      </w:r>
      <w:r>
        <w:rPr>
          <w:color w:val="231F20"/>
          <w:w w:val="120"/>
          <w:sz w:val="17"/>
        </w:rPr>
        <w:t>dégénérer</w:t>
      </w:r>
      <w:r>
        <w:rPr>
          <w:color w:val="231F20"/>
          <w:spacing w:val="-5"/>
          <w:w w:val="120"/>
          <w:sz w:val="17"/>
        </w:rPr>
        <w:t> </w:t>
      </w:r>
      <w:r>
        <w:rPr>
          <w:color w:val="231F20"/>
          <w:w w:val="120"/>
          <w:sz w:val="17"/>
        </w:rPr>
        <w:t>et de provoquer des réponses émotionnelles comme la frustration, les tensions, l’insatisfaction, l’épuisement émotionnel ou les troubles</w:t>
      </w:r>
      <w:r>
        <w:rPr>
          <w:color w:val="231F20"/>
          <w:spacing w:val="-13"/>
          <w:w w:val="120"/>
          <w:sz w:val="17"/>
        </w:rPr>
        <w:t> </w:t>
      </w:r>
      <w:r>
        <w:rPr>
          <w:color w:val="231F20"/>
          <w:w w:val="120"/>
          <w:sz w:val="17"/>
        </w:rPr>
        <w:t>somatiques.</w:t>
      </w:r>
    </w:p>
    <w:p>
      <w:pPr>
        <w:pStyle w:val="ListParagraph"/>
        <w:numPr>
          <w:ilvl w:val="0"/>
          <w:numId w:val="39"/>
        </w:numPr>
        <w:tabs>
          <w:tab w:pos="1331" w:val="left" w:leader="none"/>
        </w:tabs>
        <w:spacing w:line="307" w:lineRule="auto" w:before="0" w:after="0"/>
        <w:ind w:left="1330" w:right="495" w:hanging="251"/>
        <w:jc w:val="both"/>
        <w:rPr>
          <w:sz w:val="17"/>
        </w:rPr>
      </w:pPr>
      <w:r>
        <w:rPr>
          <w:i/>
          <w:color w:val="231F20"/>
          <w:w w:val="115"/>
          <w:sz w:val="17"/>
        </w:rPr>
        <w:t>Le</w:t>
      </w:r>
      <w:r>
        <w:rPr>
          <w:i/>
          <w:color w:val="231F20"/>
          <w:spacing w:val="-13"/>
          <w:w w:val="115"/>
          <w:sz w:val="17"/>
        </w:rPr>
        <w:t> </w:t>
      </w:r>
      <w:r>
        <w:rPr>
          <w:i/>
          <w:color w:val="231F20"/>
          <w:w w:val="115"/>
          <w:sz w:val="17"/>
        </w:rPr>
        <w:t>climat</w:t>
      </w:r>
      <w:r>
        <w:rPr>
          <w:i/>
          <w:color w:val="231F20"/>
          <w:spacing w:val="-12"/>
          <w:w w:val="115"/>
          <w:sz w:val="17"/>
        </w:rPr>
        <w:t> </w:t>
      </w:r>
      <w:r>
        <w:rPr>
          <w:i/>
          <w:color w:val="231F20"/>
          <w:w w:val="115"/>
          <w:sz w:val="17"/>
        </w:rPr>
        <w:t>du</w:t>
      </w:r>
      <w:r>
        <w:rPr>
          <w:i/>
          <w:color w:val="231F20"/>
          <w:spacing w:val="-12"/>
          <w:w w:val="115"/>
          <w:sz w:val="17"/>
        </w:rPr>
        <w:t> </w:t>
      </w:r>
      <w:r>
        <w:rPr>
          <w:i/>
          <w:color w:val="231F20"/>
          <w:w w:val="115"/>
          <w:sz w:val="17"/>
        </w:rPr>
        <w:t>groupe</w:t>
      </w:r>
      <w:r>
        <w:rPr>
          <w:color w:val="231F20"/>
          <w:w w:val="115"/>
          <w:sz w:val="17"/>
        </w:rPr>
        <w:t>.</w:t>
      </w:r>
      <w:r>
        <w:rPr>
          <w:color w:val="231F20"/>
          <w:spacing w:val="-12"/>
          <w:w w:val="115"/>
          <w:sz w:val="17"/>
        </w:rPr>
        <w:t> </w:t>
      </w:r>
      <w:r>
        <w:rPr>
          <w:color w:val="231F20"/>
          <w:w w:val="115"/>
          <w:sz w:val="17"/>
        </w:rPr>
        <w:t>Le</w:t>
      </w:r>
      <w:r>
        <w:rPr>
          <w:color w:val="231F20"/>
          <w:spacing w:val="-13"/>
          <w:w w:val="115"/>
          <w:sz w:val="17"/>
        </w:rPr>
        <w:t> </w:t>
      </w:r>
      <w:r>
        <w:rPr>
          <w:color w:val="231F20"/>
          <w:w w:val="115"/>
          <w:sz w:val="17"/>
        </w:rPr>
        <w:t>climat</w:t>
      </w:r>
      <w:r>
        <w:rPr>
          <w:color w:val="231F20"/>
          <w:spacing w:val="-12"/>
          <w:w w:val="115"/>
          <w:sz w:val="17"/>
        </w:rPr>
        <w:t> </w:t>
      </w:r>
      <w:r>
        <w:rPr>
          <w:color w:val="231F20"/>
          <w:w w:val="115"/>
          <w:sz w:val="17"/>
        </w:rPr>
        <w:t>qui</w:t>
      </w:r>
      <w:r>
        <w:rPr>
          <w:color w:val="231F20"/>
          <w:spacing w:val="-12"/>
          <w:w w:val="115"/>
          <w:sz w:val="17"/>
        </w:rPr>
        <w:t> </w:t>
      </w:r>
      <w:r>
        <w:rPr>
          <w:color w:val="231F20"/>
          <w:w w:val="115"/>
          <w:sz w:val="17"/>
        </w:rPr>
        <w:t>règne</w:t>
      </w:r>
      <w:r>
        <w:rPr>
          <w:color w:val="231F20"/>
          <w:spacing w:val="-12"/>
          <w:w w:val="115"/>
          <w:sz w:val="17"/>
        </w:rPr>
        <w:t> </w:t>
      </w:r>
      <w:r>
        <w:rPr>
          <w:color w:val="231F20"/>
          <w:w w:val="115"/>
          <w:sz w:val="17"/>
        </w:rPr>
        <w:t>au</w:t>
      </w:r>
      <w:r>
        <w:rPr>
          <w:color w:val="231F20"/>
          <w:spacing w:val="-12"/>
          <w:w w:val="115"/>
          <w:sz w:val="17"/>
        </w:rPr>
        <w:t> </w:t>
      </w:r>
      <w:r>
        <w:rPr>
          <w:color w:val="231F20"/>
          <w:w w:val="115"/>
          <w:sz w:val="17"/>
        </w:rPr>
        <w:t>sein</w:t>
      </w:r>
      <w:r>
        <w:rPr>
          <w:color w:val="231F20"/>
          <w:spacing w:val="-13"/>
          <w:w w:val="115"/>
          <w:sz w:val="17"/>
        </w:rPr>
        <w:t> </w:t>
      </w:r>
      <w:r>
        <w:rPr>
          <w:color w:val="231F20"/>
          <w:w w:val="115"/>
          <w:sz w:val="17"/>
        </w:rPr>
        <w:t>d’une</w:t>
      </w:r>
      <w:r>
        <w:rPr>
          <w:color w:val="231F20"/>
          <w:spacing w:val="-12"/>
          <w:w w:val="115"/>
          <w:sz w:val="17"/>
        </w:rPr>
        <w:t> </w:t>
      </w:r>
      <w:r>
        <w:rPr>
          <w:color w:val="231F20"/>
          <w:w w:val="115"/>
          <w:sz w:val="17"/>
        </w:rPr>
        <w:t>équipe</w:t>
      </w:r>
      <w:r>
        <w:rPr>
          <w:color w:val="231F20"/>
          <w:spacing w:val="-12"/>
          <w:w w:val="115"/>
          <w:sz w:val="17"/>
        </w:rPr>
        <w:t> </w:t>
      </w:r>
      <w:r>
        <w:rPr>
          <w:color w:val="231F20"/>
          <w:w w:val="115"/>
          <w:sz w:val="17"/>
        </w:rPr>
        <w:t>est</w:t>
      </w:r>
      <w:r>
        <w:rPr>
          <w:color w:val="231F20"/>
          <w:spacing w:val="-12"/>
          <w:w w:val="115"/>
          <w:sz w:val="17"/>
        </w:rPr>
        <w:t> </w:t>
      </w:r>
      <w:r>
        <w:rPr>
          <w:color w:val="231F20"/>
          <w:w w:val="115"/>
          <w:sz w:val="17"/>
        </w:rPr>
        <w:t>un </w:t>
      </w:r>
      <w:r>
        <w:rPr>
          <w:color w:val="231F20"/>
          <w:w w:val="120"/>
          <w:sz w:val="17"/>
        </w:rPr>
        <w:t>autre</w:t>
      </w:r>
      <w:r>
        <w:rPr>
          <w:color w:val="231F20"/>
          <w:spacing w:val="-13"/>
          <w:w w:val="120"/>
          <w:sz w:val="17"/>
        </w:rPr>
        <w:t> </w:t>
      </w:r>
      <w:r>
        <w:rPr>
          <w:color w:val="231F20"/>
          <w:w w:val="120"/>
          <w:sz w:val="17"/>
        </w:rPr>
        <w:t>facteur</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stress</w:t>
      </w:r>
      <w:r>
        <w:rPr>
          <w:color w:val="231F20"/>
          <w:spacing w:val="-12"/>
          <w:w w:val="120"/>
          <w:sz w:val="17"/>
        </w:rPr>
        <w:t> </w:t>
      </w:r>
      <w:r>
        <w:rPr>
          <w:color w:val="231F20"/>
          <w:w w:val="120"/>
          <w:sz w:val="17"/>
        </w:rPr>
        <w:t>pour</w:t>
      </w:r>
      <w:r>
        <w:rPr>
          <w:color w:val="231F20"/>
          <w:spacing w:val="-13"/>
          <w:w w:val="120"/>
          <w:sz w:val="17"/>
        </w:rPr>
        <w:t> </w:t>
      </w:r>
      <w:r>
        <w:rPr>
          <w:color w:val="231F20"/>
          <w:w w:val="120"/>
          <w:sz w:val="17"/>
        </w:rPr>
        <w:t>ses</w:t>
      </w:r>
      <w:r>
        <w:rPr>
          <w:color w:val="231F20"/>
          <w:spacing w:val="-13"/>
          <w:w w:val="120"/>
          <w:sz w:val="17"/>
        </w:rPr>
        <w:t> </w:t>
      </w:r>
      <w:r>
        <w:rPr>
          <w:color w:val="231F20"/>
          <w:w w:val="120"/>
          <w:sz w:val="17"/>
        </w:rPr>
        <w:t>membres.</w:t>
      </w:r>
      <w:r>
        <w:rPr>
          <w:color w:val="231F20"/>
          <w:spacing w:val="-13"/>
          <w:w w:val="120"/>
          <w:sz w:val="17"/>
        </w:rPr>
        <w:t> </w:t>
      </w:r>
      <w:r>
        <w:rPr>
          <w:color w:val="231F20"/>
          <w:w w:val="120"/>
          <w:sz w:val="17"/>
        </w:rPr>
        <w:t>Un</w:t>
      </w:r>
      <w:r>
        <w:rPr>
          <w:color w:val="231F20"/>
          <w:spacing w:val="-12"/>
          <w:w w:val="120"/>
          <w:sz w:val="17"/>
        </w:rPr>
        <w:t> </w:t>
      </w:r>
      <w:r>
        <w:rPr>
          <w:color w:val="231F20"/>
          <w:w w:val="120"/>
          <w:sz w:val="17"/>
        </w:rPr>
        <w:t>climat</w:t>
      </w:r>
      <w:r>
        <w:rPr>
          <w:color w:val="231F20"/>
          <w:spacing w:val="-13"/>
          <w:w w:val="120"/>
          <w:sz w:val="17"/>
        </w:rPr>
        <w:t> </w:t>
      </w:r>
      <w:r>
        <w:rPr>
          <w:color w:val="231F20"/>
          <w:w w:val="120"/>
          <w:sz w:val="17"/>
        </w:rPr>
        <w:t>qui</w:t>
      </w:r>
      <w:r>
        <w:rPr>
          <w:color w:val="231F20"/>
          <w:spacing w:val="-13"/>
          <w:w w:val="120"/>
          <w:sz w:val="17"/>
        </w:rPr>
        <w:t> </w:t>
      </w:r>
      <w:r>
        <w:rPr>
          <w:color w:val="231F20"/>
          <w:w w:val="120"/>
          <w:sz w:val="17"/>
        </w:rPr>
        <w:t>comporte</w:t>
      </w:r>
      <w:r>
        <w:rPr>
          <w:color w:val="231F20"/>
          <w:w w:val="120"/>
          <w:sz w:val="17"/>
        </w:rPr>
        <w:t> certaines</w:t>
      </w:r>
      <w:r>
        <w:rPr>
          <w:color w:val="231F20"/>
          <w:spacing w:val="-2"/>
          <w:w w:val="120"/>
          <w:sz w:val="17"/>
        </w:rPr>
        <w:t> </w:t>
      </w:r>
      <w:r>
        <w:rPr>
          <w:color w:val="231F20"/>
          <w:w w:val="120"/>
          <w:sz w:val="17"/>
        </w:rPr>
        <w:t>animosités,</w:t>
      </w:r>
      <w:r>
        <w:rPr>
          <w:color w:val="231F20"/>
          <w:spacing w:val="-2"/>
          <w:w w:val="120"/>
          <w:sz w:val="17"/>
        </w:rPr>
        <w:t> </w:t>
      </w:r>
      <w:r>
        <w:rPr>
          <w:color w:val="231F20"/>
          <w:w w:val="120"/>
          <w:sz w:val="17"/>
        </w:rPr>
        <w:t>une</w:t>
      </w:r>
      <w:r>
        <w:rPr>
          <w:color w:val="231F20"/>
          <w:spacing w:val="-2"/>
          <w:w w:val="120"/>
          <w:sz w:val="17"/>
        </w:rPr>
        <w:t> </w:t>
      </w:r>
      <w:r>
        <w:rPr>
          <w:color w:val="231F20"/>
          <w:w w:val="120"/>
          <w:sz w:val="17"/>
        </w:rPr>
        <w:t>compétitivité</w:t>
      </w:r>
      <w:r>
        <w:rPr>
          <w:color w:val="231F20"/>
          <w:spacing w:val="-2"/>
          <w:w w:val="120"/>
          <w:sz w:val="17"/>
        </w:rPr>
        <w:t> </w:t>
      </w:r>
      <w:r>
        <w:rPr>
          <w:color w:val="231F20"/>
          <w:w w:val="120"/>
          <w:sz w:val="17"/>
        </w:rPr>
        <w:t>ou</w:t>
      </w:r>
      <w:r>
        <w:rPr>
          <w:color w:val="231F20"/>
          <w:spacing w:val="-2"/>
          <w:w w:val="120"/>
          <w:sz w:val="17"/>
        </w:rPr>
        <w:t> </w:t>
      </w:r>
      <w:r>
        <w:rPr>
          <w:color w:val="231F20"/>
          <w:w w:val="120"/>
          <w:sz w:val="17"/>
        </w:rPr>
        <w:t>encore</w:t>
      </w:r>
      <w:r>
        <w:rPr>
          <w:color w:val="231F20"/>
          <w:spacing w:val="-2"/>
          <w:w w:val="120"/>
          <w:sz w:val="17"/>
        </w:rPr>
        <w:t> </w:t>
      </w:r>
      <w:r>
        <w:rPr>
          <w:color w:val="231F20"/>
          <w:w w:val="120"/>
          <w:sz w:val="17"/>
        </w:rPr>
        <w:t>des</w:t>
      </w:r>
      <w:r>
        <w:rPr>
          <w:color w:val="231F20"/>
          <w:spacing w:val="-2"/>
          <w:w w:val="120"/>
          <w:sz w:val="17"/>
        </w:rPr>
        <w:t> </w:t>
      </w:r>
      <w:r>
        <w:rPr>
          <w:color w:val="231F20"/>
          <w:w w:val="120"/>
          <w:sz w:val="17"/>
        </w:rPr>
        <w:t>difficultés relationnelles</w:t>
      </w:r>
      <w:r>
        <w:rPr>
          <w:color w:val="231F20"/>
          <w:spacing w:val="-13"/>
          <w:w w:val="120"/>
          <w:sz w:val="17"/>
        </w:rPr>
        <w:t> </w:t>
      </w:r>
      <w:r>
        <w:rPr>
          <w:color w:val="231F20"/>
          <w:w w:val="120"/>
          <w:sz w:val="17"/>
        </w:rPr>
        <w:t>s’avère</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facteurs</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stress</w:t>
      </w:r>
      <w:r>
        <w:rPr>
          <w:color w:val="231F20"/>
          <w:spacing w:val="-13"/>
          <w:w w:val="120"/>
          <w:sz w:val="17"/>
        </w:rPr>
        <w:t> </w:t>
      </w:r>
      <w:r>
        <w:rPr>
          <w:color w:val="231F20"/>
          <w:w w:val="120"/>
          <w:sz w:val="17"/>
        </w:rPr>
        <w:t>dans</w:t>
      </w:r>
      <w:r>
        <w:rPr>
          <w:color w:val="231F20"/>
          <w:spacing w:val="-13"/>
          <w:w w:val="120"/>
          <w:sz w:val="17"/>
        </w:rPr>
        <w:t> </w:t>
      </w:r>
      <w:r>
        <w:rPr>
          <w:color w:val="231F20"/>
          <w:w w:val="120"/>
          <w:sz w:val="17"/>
        </w:rPr>
        <w:t>l’environnement de</w:t>
      </w:r>
      <w:r>
        <w:rPr>
          <w:color w:val="231F20"/>
          <w:spacing w:val="-13"/>
          <w:w w:val="120"/>
          <w:sz w:val="17"/>
        </w:rPr>
        <w:t> </w:t>
      </w:r>
      <w:r>
        <w:rPr>
          <w:color w:val="231F20"/>
          <w:w w:val="120"/>
          <w:sz w:val="17"/>
        </w:rPr>
        <w:t>travail.</w:t>
      </w:r>
    </w:p>
    <w:p>
      <w:pPr>
        <w:pStyle w:val="ListParagraph"/>
        <w:numPr>
          <w:ilvl w:val="0"/>
          <w:numId w:val="39"/>
        </w:numPr>
        <w:tabs>
          <w:tab w:pos="1331" w:val="left" w:leader="none"/>
        </w:tabs>
        <w:spacing w:line="307" w:lineRule="auto" w:before="0" w:after="0"/>
        <w:ind w:left="1330" w:right="491" w:hanging="251"/>
        <w:jc w:val="both"/>
        <w:rPr>
          <w:sz w:val="17"/>
        </w:rPr>
      </w:pPr>
      <w:r>
        <w:rPr>
          <w:i/>
          <w:color w:val="231F20"/>
          <w:w w:val="120"/>
          <w:sz w:val="17"/>
        </w:rPr>
        <w:t>La</w:t>
      </w:r>
      <w:r>
        <w:rPr>
          <w:i/>
          <w:color w:val="231F20"/>
          <w:w w:val="120"/>
          <w:sz w:val="17"/>
        </w:rPr>
        <w:t> pression</w:t>
      </w:r>
      <w:r>
        <w:rPr>
          <w:i/>
          <w:color w:val="231F20"/>
          <w:w w:val="120"/>
          <w:sz w:val="17"/>
        </w:rPr>
        <w:t> du</w:t>
      </w:r>
      <w:r>
        <w:rPr>
          <w:i/>
          <w:color w:val="231F20"/>
          <w:w w:val="120"/>
          <w:sz w:val="17"/>
        </w:rPr>
        <w:t> groupe</w:t>
      </w:r>
      <w:r>
        <w:rPr>
          <w:color w:val="231F20"/>
          <w:w w:val="120"/>
          <w:sz w:val="17"/>
        </w:rPr>
        <w:t>.</w:t>
      </w:r>
      <w:r>
        <w:rPr>
          <w:color w:val="231F20"/>
          <w:w w:val="120"/>
          <w:sz w:val="17"/>
        </w:rPr>
        <w:t> La</w:t>
      </w:r>
      <w:r>
        <w:rPr>
          <w:color w:val="231F20"/>
          <w:w w:val="120"/>
          <w:sz w:val="17"/>
        </w:rPr>
        <w:t> pression</w:t>
      </w:r>
      <w:r>
        <w:rPr>
          <w:color w:val="231F20"/>
          <w:w w:val="120"/>
          <w:sz w:val="17"/>
        </w:rPr>
        <w:t> exercée</w:t>
      </w:r>
      <w:r>
        <w:rPr>
          <w:color w:val="231F20"/>
          <w:w w:val="120"/>
          <w:sz w:val="17"/>
        </w:rPr>
        <w:t> par</w:t>
      </w:r>
      <w:r>
        <w:rPr>
          <w:color w:val="231F20"/>
          <w:w w:val="120"/>
          <w:sz w:val="17"/>
        </w:rPr>
        <w:t> le</w:t>
      </w:r>
      <w:r>
        <w:rPr>
          <w:color w:val="231F20"/>
          <w:w w:val="120"/>
          <w:sz w:val="17"/>
        </w:rPr>
        <w:t> groupe</w:t>
      </w:r>
      <w:r>
        <w:rPr>
          <w:color w:val="231F20"/>
          <w:w w:val="120"/>
          <w:sz w:val="17"/>
        </w:rPr>
        <w:t> sur chacun de ses membres peut être une source de stress, en parti- culier</w:t>
      </w:r>
      <w:r>
        <w:rPr>
          <w:color w:val="231F20"/>
          <w:spacing w:val="-8"/>
          <w:w w:val="120"/>
          <w:sz w:val="17"/>
        </w:rPr>
        <w:t> </w:t>
      </w:r>
      <w:r>
        <w:rPr>
          <w:color w:val="231F20"/>
          <w:w w:val="120"/>
          <w:sz w:val="17"/>
        </w:rPr>
        <w:t>si</w:t>
      </w:r>
      <w:r>
        <w:rPr>
          <w:color w:val="231F20"/>
          <w:spacing w:val="-8"/>
          <w:w w:val="120"/>
          <w:sz w:val="17"/>
        </w:rPr>
        <w:t> </w:t>
      </w:r>
      <w:r>
        <w:rPr>
          <w:color w:val="231F20"/>
          <w:w w:val="120"/>
          <w:sz w:val="17"/>
        </w:rPr>
        <w:t>elle</w:t>
      </w:r>
      <w:r>
        <w:rPr>
          <w:color w:val="231F20"/>
          <w:spacing w:val="-8"/>
          <w:w w:val="120"/>
          <w:sz w:val="17"/>
        </w:rPr>
        <w:t> </w:t>
      </w:r>
      <w:r>
        <w:rPr>
          <w:color w:val="231F20"/>
          <w:w w:val="120"/>
          <w:sz w:val="17"/>
        </w:rPr>
        <w:t>a</w:t>
      </w:r>
      <w:r>
        <w:rPr>
          <w:color w:val="231F20"/>
          <w:spacing w:val="-8"/>
          <w:w w:val="120"/>
          <w:sz w:val="17"/>
        </w:rPr>
        <w:t> </w:t>
      </w:r>
      <w:r>
        <w:rPr>
          <w:color w:val="231F20"/>
          <w:w w:val="120"/>
          <w:sz w:val="17"/>
        </w:rPr>
        <w:t>pour</w:t>
      </w:r>
      <w:r>
        <w:rPr>
          <w:color w:val="231F20"/>
          <w:spacing w:val="-8"/>
          <w:w w:val="120"/>
          <w:sz w:val="17"/>
        </w:rPr>
        <w:t> </w:t>
      </w:r>
      <w:r>
        <w:rPr>
          <w:color w:val="231F20"/>
          <w:w w:val="120"/>
          <w:sz w:val="17"/>
        </w:rPr>
        <w:t>objet</w:t>
      </w:r>
      <w:r>
        <w:rPr>
          <w:color w:val="231F20"/>
          <w:spacing w:val="-8"/>
          <w:w w:val="120"/>
          <w:sz w:val="17"/>
        </w:rPr>
        <w:t> </w:t>
      </w:r>
      <w:r>
        <w:rPr>
          <w:color w:val="231F20"/>
          <w:w w:val="120"/>
          <w:sz w:val="17"/>
        </w:rPr>
        <w:t>d’amener</w:t>
      </w:r>
      <w:r>
        <w:rPr>
          <w:color w:val="231F20"/>
          <w:spacing w:val="-8"/>
          <w:w w:val="120"/>
          <w:sz w:val="17"/>
        </w:rPr>
        <w:t> </w:t>
      </w:r>
      <w:r>
        <w:rPr>
          <w:color w:val="231F20"/>
          <w:w w:val="120"/>
          <w:sz w:val="17"/>
        </w:rPr>
        <w:t>les</w:t>
      </w:r>
      <w:r>
        <w:rPr>
          <w:color w:val="231F20"/>
          <w:spacing w:val="-8"/>
          <w:w w:val="120"/>
          <w:sz w:val="17"/>
        </w:rPr>
        <w:t> </w:t>
      </w:r>
      <w:r>
        <w:rPr>
          <w:color w:val="231F20"/>
          <w:w w:val="120"/>
          <w:sz w:val="17"/>
        </w:rPr>
        <w:t>membres</w:t>
      </w:r>
      <w:r>
        <w:rPr>
          <w:color w:val="231F20"/>
          <w:spacing w:val="-8"/>
          <w:w w:val="120"/>
          <w:sz w:val="17"/>
        </w:rPr>
        <w:t> </w:t>
      </w:r>
      <w:r>
        <w:rPr>
          <w:color w:val="231F20"/>
          <w:w w:val="120"/>
          <w:sz w:val="17"/>
        </w:rPr>
        <w:t>à</w:t>
      </w:r>
      <w:r>
        <w:rPr>
          <w:color w:val="231F20"/>
          <w:spacing w:val="-8"/>
          <w:w w:val="120"/>
          <w:sz w:val="17"/>
        </w:rPr>
        <w:t> </w:t>
      </w:r>
      <w:r>
        <w:rPr>
          <w:color w:val="231F20"/>
          <w:w w:val="120"/>
          <w:sz w:val="17"/>
        </w:rPr>
        <w:t>souscrire</w:t>
      </w:r>
      <w:r>
        <w:rPr>
          <w:color w:val="231F20"/>
          <w:spacing w:val="-8"/>
          <w:w w:val="120"/>
          <w:sz w:val="17"/>
        </w:rPr>
        <w:t> </w:t>
      </w:r>
      <w:r>
        <w:rPr>
          <w:color w:val="231F20"/>
          <w:w w:val="120"/>
          <w:sz w:val="17"/>
        </w:rPr>
        <w:t>à</w:t>
      </w:r>
      <w:r>
        <w:rPr>
          <w:color w:val="231F20"/>
          <w:spacing w:val="-8"/>
          <w:w w:val="120"/>
          <w:sz w:val="17"/>
        </w:rPr>
        <w:t> </w:t>
      </w:r>
      <w:r>
        <w:rPr>
          <w:color w:val="231F20"/>
          <w:w w:val="120"/>
          <w:sz w:val="17"/>
        </w:rPr>
        <w:t>des valeurs</w:t>
      </w:r>
      <w:r>
        <w:rPr>
          <w:color w:val="231F20"/>
          <w:spacing w:val="-13"/>
          <w:w w:val="120"/>
          <w:sz w:val="17"/>
        </w:rPr>
        <w:t> </w:t>
      </w:r>
      <w:r>
        <w:rPr>
          <w:color w:val="231F20"/>
          <w:w w:val="120"/>
          <w:sz w:val="17"/>
        </w:rPr>
        <w:t>ou</w:t>
      </w:r>
      <w:r>
        <w:rPr>
          <w:color w:val="231F20"/>
          <w:spacing w:val="-13"/>
          <w:w w:val="120"/>
          <w:sz w:val="17"/>
        </w:rPr>
        <w:t> </w:t>
      </w:r>
      <w:r>
        <w:rPr>
          <w:color w:val="231F20"/>
          <w:w w:val="120"/>
          <w:sz w:val="17"/>
        </w:rPr>
        <w:t>à</w:t>
      </w:r>
      <w:r>
        <w:rPr>
          <w:color w:val="231F20"/>
          <w:spacing w:val="-13"/>
          <w:w w:val="120"/>
          <w:sz w:val="17"/>
        </w:rPr>
        <w:t> </w:t>
      </w:r>
      <w:r>
        <w:rPr>
          <w:color w:val="231F20"/>
          <w:w w:val="120"/>
          <w:sz w:val="17"/>
        </w:rPr>
        <w:t>des</w:t>
      </w:r>
      <w:r>
        <w:rPr>
          <w:color w:val="231F20"/>
          <w:spacing w:val="-12"/>
          <w:w w:val="120"/>
          <w:sz w:val="17"/>
        </w:rPr>
        <w:t> </w:t>
      </w:r>
      <w:r>
        <w:rPr>
          <w:color w:val="231F20"/>
          <w:w w:val="120"/>
          <w:sz w:val="17"/>
        </w:rPr>
        <w:t>croyances</w:t>
      </w:r>
      <w:r>
        <w:rPr>
          <w:color w:val="231F20"/>
          <w:spacing w:val="-13"/>
          <w:w w:val="120"/>
          <w:sz w:val="17"/>
        </w:rPr>
        <w:t> </w:t>
      </w:r>
      <w:r>
        <w:rPr>
          <w:color w:val="231F20"/>
          <w:w w:val="120"/>
          <w:sz w:val="17"/>
        </w:rPr>
        <w:t>contraires</w:t>
      </w:r>
      <w:r>
        <w:rPr>
          <w:color w:val="231F20"/>
          <w:spacing w:val="-13"/>
          <w:w w:val="120"/>
          <w:sz w:val="17"/>
        </w:rPr>
        <w:t> </w:t>
      </w:r>
      <w:r>
        <w:rPr>
          <w:color w:val="231F20"/>
          <w:w w:val="120"/>
          <w:sz w:val="17"/>
        </w:rPr>
        <w:t>à</w:t>
      </w:r>
      <w:r>
        <w:rPr>
          <w:color w:val="231F20"/>
          <w:spacing w:val="-13"/>
          <w:w w:val="120"/>
          <w:sz w:val="17"/>
        </w:rPr>
        <w:t> </w:t>
      </w:r>
      <w:r>
        <w:rPr>
          <w:color w:val="231F20"/>
          <w:w w:val="120"/>
          <w:sz w:val="17"/>
        </w:rPr>
        <w:t>leurs</w:t>
      </w:r>
      <w:r>
        <w:rPr>
          <w:color w:val="231F20"/>
          <w:spacing w:val="-12"/>
          <w:w w:val="120"/>
          <w:sz w:val="17"/>
        </w:rPr>
        <w:t> </w:t>
      </w:r>
      <w:r>
        <w:rPr>
          <w:color w:val="231F20"/>
          <w:w w:val="120"/>
          <w:sz w:val="17"/>
        </w:rPr>
        <w:t>propres</w:t>
      </w:r>
      <w:r>
        <w:rPr>
          <w:color w:val="231F20"/>
          <w:spacing w:val="-13"/>
          <w:w w:val="120"/>
          <w:sz w:val="17"/>
        </w:rPr>
        <w:t> </w:t>
      </w:r>
      <w:r>
        <w:rPr>
          <w:color w:val="231F20"/>
          <w:w w:val="120"/>
          <w:sz w:val="17"/>
        </w:rPr>
        <w:t>orientations. </w:t>
      </w:r>
      <w:r>
        <w:rPr>
          <w:color w:val="231F20"/>
          <w:w w:val="115"/>
          <w:sz w:val="17"/>
        </w:rPr>
        <w:t>Ce genre de pression est à l’origine de divers changements d’ordre </w:t>
      </w:r>
      <w:r>
        <w:rPr>
          <w:color w:val="231F20"/>
          <w:w w:val="120"/>
          <w:sz w:val="17"/>
        </w:rPr>
        <w:t>psychologique et comportemental.</w:t>
      </w:r>
    </w:p>
    <w:p>
      <w:pPr>
        <w:pStyle w:val="ListParagraph"/>
        <w:numPr>
          <w:ilvl w:val="0"/>
          <w:numId w:val="39"/>
        </w:numPr>
        <w:tabs>
          <w:tab w:pos="1331" w:val="left" w:leader="none"/>
        </w:tabs>
        <w:spacing w:line="307" w:lineRule="auto" w:before="0" w:after="0"/>
        <w:ind w:left="1330" w:right="495" w:hanging="251"/>
        <w:jc w:val="both"/>
        <w:rPr>
          <w:sz w:val="17"/>
        </w:rPr>
      </w:pPr>
      <w:r>
        <w:rPr>
          <w:i/>
          <w:color w:val="231F20"/>
          <w:w w:val="115"/>
          <w:sz w:val="17"/>
        </w:rPr>
        <w:t>Le</w:t>
      </w:r>
      <w:r>
        <w:rPr>
          <w:i/>
          <w:color w:val="231F20"/>
          <w:spacing w:val="-13"/>
          <w:w w:val="115"/>
          <w:sz w:val="17"/>
        </w:rPr>
        <w:t> </w:t>
      </w:r>
      <w:r>
        <w:rPr>
          <w:i/>
          <w:color w:val="231F20"/>
          <w:w w:val="115"/>
          <w:sz w:val="17"/>
        </w:rPr>
        <w:t>harcèlement</w:t>
      </w:r>
      <w:r>
        <w:rPr>
          <w:i/>
          <w:color w:val="231F20"/>
          <w:spacing w:val="-12"/>
          <w:w w:val="115"/>
          <w:sz w:val="17"/>
        </w:rPr>
        <w:t> </w:t>
      </w:r>
      <w:r>
        <w:rPr>
          <w:i/>
          <w:color w:val="231F20"/>
          <w:w w:val="115"/>
          <w:sz w:val="17"/>
        </w:rPr>
        <w:t>psychologique</w:t>
      </w:r>
      <w:r>
        <w:rPr>
          <w:i/>
          <w:color w:val="231F20"/>
          <w:spacing w:val="-12"/>
          <w:w w:val="115"/>
          <w:sz w:val="17"/>
        </w:rPr>
        <w:t> </w:t>
      </w:r>
      <w:r>
        <w:rPr>
          <w:i/>
          <w:color w:val="231F20"/>
          <w:w w:val="115"/>
          <w:sz w:val="17"/>
        </w:rPr>
        <w:t>et</w:t>
      </w:r>
      <w:r>
        <w:rPr>
          <w:i/>
          <w:color w:val="231F20"/>
          <w:spacing w:val="-12"/>
          <w:w w:val="115"/>
          <w:sz w:val="17"/>
        </w:rPr>
        <w:t> </w:t>
      </w:r>
      <w:r>
        <w:rPr>
          <w:i/>
          <w:color w:val="231F20"/>
          <w:w w:val="115"/>
          <w:sz w:val="17"/>
        </w:rPr>
        <w:t>la</w:t>
      </w:r>
      <w:r>
        <w:rPr>
          <w:i/>
          <w:color w:val="231F20"/>
          <w:spacing w:val="-13"/>
          <w:w w:val="115"/>
          <w:sz w:val="17"/>
        </w:rPr>
        <w:t> </w:t>
      </w:r>
      <w:r>
        <w:rPr>
          <w:i/>
          <w:color w:val="231F20"/>
          <w:w w:val="115"/>
          <w:sz w:val="17"/>
        </w:rPr>
        <w:t>violence</w:t>
      </w:r>
      <w:r>
        <w:rPr>
          <w:i/>
          <w:color w:val="231F20"/>
          <w:spacing w:val="-12"/>
          <w:w w:val="115"/>
          <w:sz w:val="17"/>
        </w:rPr>
        <w:t> </w:t>
      </w:r>
      <w:r>
        <w:rPr>
          <w:i/>
          <w:color w:val="231F20"/>
          <w:w w:val="115"/>
          <w:sz w:val="17"/>
        </w:rPr>
        <w:t>au</w:t>
      </w:r>
      <w:r>
        <w:rPr>
          <w:i/>
          <w:color w:val="231F20"/>
          <w:spacing w:val="-12"/>
          <w:w w:val="115"/>
          <w:sz w:val="17"/>
        </w:rPr>
        <w:t> </w:t>
      </w:r>
      <w:r>
        <w:rPr>
          <w:i/>
          <w:color w:val="231F20"/>
          <w:w w:val="115"/>
          <w:sz w:val="17"/>
        </w:rPr>
        <w:t>travail</w:t>
      </w:r>
      <w:r>
        <w:rPr>
          <w:color w:val="231F20"/>
          <w:w w:val="115"/>
          <w:sz w:val="17"/>
        </w:rPr>
        <w:t>.</w:t>
      </w:r>
      <w:r>
        <w:rPr>
          <w:color w:val="231F20"/>
          <w:spacing w:val="-12"/>
          <w:w w:val="115"/>
          <w:sz w:val="17"/>
        </w:rPr>
        <w:t> </w:t>
      </w:r>
      <w:r>
        <w:rPr>
          <w:color w:val="231F20"/>
          <w:w w:val="115"/>
          <w:sz w:val="17"/>
        </w:rPr>
        <w:t>Lorsque</w:t>
      </w:r>
      <w:r>
        <w:rPr>
          <w:color w:val="231F20"/>
          <w:spacing w:val="-12"/>
          <w:w w:val="115"/>
          <w:sz w:val="17"/>
        </w:rPr>
        <w:t> </w:t>
      </w:r>
      <w:r>
        <w:rPr>
          <w:color w:val="231F20"/>
          <w:w w:val="115"/>
          <w:sz w:val="17"/>
        </w:rPr>
        <w:t>des </w:t>
      </w:r>
      <w:r>
        <w:rPr>
          <w:color w:val="231F20"/>
          <w:w w:val="120"/>
          <w:sz w:val="17"/>
        </w:rPr>
        <w:t>conflits</w:t>
      </w:r>
      <w:r>
        <w:rPr>
          <w:color w:val="231F20"/>
          <w:spacing w:val="-15"/>
          <w:w w:val="120"/>
          <w:sz w:val="17"/>
        </w:rPr>
        <w:t> </w:t>
      </w:r>
      <w:r>
        <w:rPr>
          <w:color w:val="231F20"/>
          <w:w w:val="120"/>
          <w:sz w:val="17"/>
        </w:rPr>
        <w:t>dégénèrent</w:t>
      </w:r>
      <w:r>
        <w:rPr>
          <w:color w:val="231F20"/>
          <w:spacing w:val="-13"/>
          <w:w w:val="120"/>
          <w:sz w:val="17"/>
        </w:rPr>
        <w:t> </w:t>
      </w:r>
      <w:r>
        <w:rPr>
          <w:color w:val="231F20"/>
          <w:w w:val="120"/>
          <w:sz w:val="17"/>
        </w:rPr>
        <w:t>dans</w:t>
      </w:r>
      <w:r>
        <w:rPr>
          <w:color w:val="231F20"/>
          <w:spacing w:val="-13"/>
          <w:w w:val="120"/>
          <w:sz w:val="17"/>
        </w:rPr>
        <w:t> </w:t>
      </w:r>
      <w:r>
        <w:rPr>
          <w:color w:val="231F20"/>
          <w:w w:val="120"/>
          <w:sz w:val="17"/>
        </w:rPr>
        <w:t>l’organisation</w:t>
      </w:r>
      <w:r>
        <w:rPr>
          <w:color w:val="231F20"/>
          <w:spacing w:val="-12"/>
          <w:w w:val="120"/>
          <w:sz w:val="17"/>
        </w:rPr>
        <w:t> </w:t>
      </w:r>
      <w:r>
        <w:rPr>
          <w:color w:val="231F20"/>
          <w:w w:val="120"/>
          <w:sz w:val="17"/>
        </w:rPr>
        <w:t>ou</w:t>
      </w:r>
      <w:r>
        <w:rPr>
          <w:color w:val="231F20"/>
          <w:spacing w:val="-13"/>
          <w:w w:val="120"/>
          <w:sz w:val="17"/>
        </w:rPr>
        <w:t> </w:t>
      </w:r>
      <w:r>
        <w:rPr>
          <w:color w:val="231F20"/>
          <w:w w:val="120"/>
          <w:sz w:val="17"/>
        </w:rPr>
        <w:t>que</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relations</w:t>
      </w:r>
      <w:r>
        <w:rPr>
          <w:color w:val="231F20"/>
          <w:spacing w:val="-12"/>
          <w:w w:val="120"/>
          <w:sz w:val="17"/>
        </w:rPr>
        <w:t> </w:t>
      </w:r>
      <w:r>
        <w:rPr>
          <w:color w:val="231F20"/>
          <w:w w:val="120"/>
          <w:sz w:val="17"/>
        </w:rPr>
        <w:t>inter-</w:t>
      </w:r>
      <w:r>
        <w:rPr>
          <w:color w:val="231F20"/>
          <w:w w:val="120"/>
          <w:sz w:val="17"/>
        </w:rPr>
        <w:t> personnelles</w:t>
      </w:r>
      <w:r>
        <w:rPr>
          <w:color w:val="231F20"/>
          <w:spacing w:val="24"/>
          <w:w w:val="120"/>
          <w:sz w:val="17"/>
        </w:rPr>
        <w:t> </w:t>
      </w:r>
      <w:r>
        <w:rPr>
          <w:color w:val="231F20"/>
          <w:w w:val="120"/>
          <w:sz w:val="17"/>
        </w:rPr>
        <w:t>deviennent</w:t>
      </w:r>
      <w:r>
        <w:rPr>
          <w:color w:val="231F20"/>
          <w:spacing w:val="24"/>
          <w:w w:val="120"/>
          <w:sz w:val="17"/>
        </w:rPr>
        <w:t> </w:t>
      </w:r>
      <w:r>
        <w:rPr>
          <w:color w:val="231F20"/>
          <w:w w:val="120"/>
          <w:sz w:val="17"/>
        </w:rPr>
        <w:t>dysfonctionnelles,</w:t>
      </w:r>
      <w:r>
        <w:rPr>
          <w:color w:val="231F20"/>
          <w:spacing w:val="24"/>
          <w:w w:val="120"/>
          <w:sz w:val="17"/>
        </w:rPr>
        <w:t> </w:t>
      </w:r>
      <w:r>
        <w:rPr>
          <w:color w:val="231F20"/>
          <w:w w:val="120"/>
          <w:sz w:val="17"/>
        </w:rPr>
        <w:t>cela</w:t>
      </w:r>
      <w:r>
        <w:rPr>
          <w:color w:val="231F20"/>
          <w:spacing w:val="24"/>
          <w:w w:val="120"/>
          <w:sz w:val="17"/>
        </w:rPr>
        <w:t> </w:t>
      </w:r>
      <w:r>
        <w:rPr>
          <w:color w:val="231F20"/>
          <w:w w:val="120"/>
          <w:sz w:val="17"/>
        </w:rPr>
        <w:t>ouvre</w:t>
      </w:r>
      <w:r>
        <w:rPr>
          <w:color w:val="231F20"/>
          <w:spacing w:val="24"/>
          <w:w w:val="120"/>
          <w:sz w:val="17"/>
        </w:rPr>
        <w:t> </w:t>
      </w:r>
      <w:r>
        <w:rPr>
          <w:color w:val="231F20"/>
          <w:w w:val="120"/>
          <w:sz w:val="17"/>
        </w:rPr>
        <w:t>la</w:t>
      </w:r>
      <w:r>
        <w:rPr>
          <w:color w:val="231F20"/>
          <w:spacing w:val="24"/>
          <w:w w:val="120"/>
          <w:sz w:val="17"/>
        </w:rPr>
        <w:t> </w:t>
      </w:r>
      <w:r>
        <w:rPr>
          <w:color w:val="231F20"/>
          <w:w w:val="120"/>
          <w:sz w:val="17"/>
        </w:rPr>
        <w:t>porte à divers types de violences et d’incivilités, dont le harcèlement psychologique</w:t>
      </w:r>
      <w:r>
        <w:rPr>
          <w:color w:val="231F20"/>
          <w:spacing w:val="-12"/>
          <w:w w:val="120"/>
          <w:sz w:val="17"/>
        </w:rPr>
        <w:t> </w:t>
      </w:r>
      <w:r>
        <w:rPr>
          <w:color w:val="231F20"/>
          <w:w w:val="120"/>
          <w:sz w:val="17"/>
        </w:rPr>
        <w:t>au</w:t>
      </w:r>
      <w:r>
        <w:rPr>
          <w:color w:val="231F20"/>
          <w:spacing w:val="-12"/>
          <w:w w:val="120"/>
          <w:sz w:val="17"/>
        </w:rPr>
        <w:t> </w:t>
      </w:r>
      <w:r>
        <w:rPr>
          <w:color w:val="231F20"/>
          <w:w w:val="120"/>
          <w:sz w:val="17"/>
        </w:rPr>
        <w:t>travail.</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telles</w:t>
      </w:r>
      <w:r>
        <w:rPr>
          <w:color w:val="231F20"/>
          <w:spacing w:val="-12"/>
          <w:w w:val="120"/>
          <w:sz w:val="17"/>
        </w:rPr>
        <w:t> </w:t>
      </w:r>
      <w:r>
        <w:rPr>
          <w:color w:val="231F20"/>
          <w:w w:val="120"/>
          <w:sz w:val="17"/>
        </w:rPr>
        <w:t>situations</w:t>
      </w:r>
      <w:r>
        <w:rPr>
          <w:color w:val="231F20"/>
          <w:spacing w:val="-12"/>
          <w:w w:val="120"/>
          <w:sz w:val="17"/>
        </w:rPr>
        <w:t> </w:t>
      </w:r>
      <w:r>
        <w:rPr>
          <w:color w:val="231F20"/>
          <w:w w:val="120"/>
          <w:sz w:val="17"/>
        </w:rPr>
        <w:t>créent,</w:t>
      </w:r>
      <w:r>
        <w:rPr>
          <w:color w:val="231F20"/>
          <w:spacing w:val="-12"/>
          <w:w w:val="120"/>
          <w:sz w:val="17"/>
        </w:rPr>
        <w:t> </w:t>
      </w:r>
      <w:r>
        <w:rPr>
          <w:color w:val="231F20"/>
          <w:w w:val="120"/>
          <w:sz w:val="17"/>
        </w:rPr>
        <w:t>entre</w:t>
      </w:r>
      <w:r>
        <w:rPr>
          <w:color w:val="231F20"/>
          <w:spacing w:val="-12"/>
          <w:w w:val="120"/>
          <w:sz w:val="17"/>
        </w:rPr>
        <w:t> </w:t>
      </w:r>
      <w:r>
        <w:rPr>
          <w:color w:val="231F20"/>
          <w:w w:val="120"/>
          <w:sz w:val="17"/>
        </w:rPr>
        <w:t>autres,</w:t>
      </w:r>
    </w:p>
    <w:p>
      <w:pPr>
        <w:spacing w:after="0" w:line="307" w:lineRule="auto"/>
        <w:jc w:val="both"/>
        <w:rPr>
          <w:sz w:val="17"/>
        </w:rPr>
        <w:sectPr>
          <w:footerReference w:type="default" r:id="rId169"/>
          <w:pgSz w:w="8640" w:h="12960"/>
          <w:pgMar w:footer="424" w:header="0" w:top="520" w:bottom="62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720" w:right="108"/>
        <w:jc w:val="both"/>
      </w:pPr>
      <w:r>
        <w:rPr>
          <w:color w:val="231F20"/>
          <w:w w:val="120"/>
        </w:rPr>
        <w:t>une grande insécurité chez le travailleur qui en est victime, ce qui engendrera à coup sûr un accroissement du niveau de stress au</w:t>
      </w:r>
      <w:r>
        <w:rPr>
          <w:color w:val="231F20"/>
          <w:spacing w:val="-13"/>
          <w:w w:val="120"/>
        </w:rPr>
        <w:t> </w:t>
      </w:r>
      <w:r>
        <w:rPr>
          <w:color w:val="231F20"/>
          <w:w w:val="120"/>
        </w:rPr>
        <w:t>travail.</w:t>
      </w:r>
    </w:p>
    <w:p>
      <w:pPr>
        <w:pStyle w:val="BodyText"/>
        <w:spacing w:before="8"/>
        <w:rPr>
          <w:sz w:val="21"/>
        </w:rPr>
      </w:pPr>
    </w:p>
    <w:p>
      <w:pPr>
        <w:pStyle w:val="BodyText"/>
        <w:spacing w:line="307" w:lineRule="auto"/>
        <w:ind w:left="1220" w:right="107"/>
        <w:jc w:val="both"/>
      </w:pPr>
      <w:r>
        <w:rPr>
          <w:b/>
          <w:color w:val="231F20"/>
          <w:w w:val="120"/>
        </w:rPr>
        <w:t>Les stresseurs contextuels</w:t>
      </w:r>
      <w:r>
        <w:rPr>
          <w:color w:val="231F20"/>
          <w:w w:val="120"/>
        </w:rPr>
        <w:t>. Les stresseurs contextuels concernent les </w:t>
      </w:r>
      <w:r>
        <w:rPr>
          <w:color w:val="231F20"/>
          <w:spacing w:val="-4"/>
          <w:w w:val="120"/>
        </w:rPr>
        <w:t>facteurs de l’environnement de travail dans lequel les tâches particulières </w:t>
      </w:r>
      <w:r>
        <w:rPr>
          <w:color w:val="231F20"/>
          <w:spacing w:val="-2"/>
          <w:w w:val="120"/>
        </w:rPr>
        <w:t>du</w:t>
      </w:r>
      <w:r>
        <w:rPr>
          <w:color w:val="231F20"/>
          <w:spacing w:val="-3"/>
          <w:w w:val="120"/>
        </w:rPr>
        <w:t> </w:t>
      </w:r>
      <w:r>
        <w:rPr>
          <w:color w:val="231F20"/>
          <w:spacing w:val="-2"/>
          <w:w w:val="120"/>
        </w:rPr>
        <w:t>travailleur</w:t>
      </w:r>
      <w:r>
        <w:rPr>
          <w:color w:val="231F20"/>
          <w:spacing w:val="-3"/>
          <w:w w:val="120"/>
        </w:rPr>
        <w:t> </w:t>
      </w:r>
      <w:r>
        <w:rPr>
          <w:color w:val="231F20"/>
          <w:spacing w:val="-2"/>
          <w:w w:val="120"/>
        </w:rPr>
        <w:t>sont</w:t>
      </w:r>
      <w:r>
        <w:rPr>
          <w:color w:val="231F20"/>
          <w:spacing w:val="-3"/>
          <w:w w:val="120"/>
        </w:rPr>
        <w:t> </w:t>
      </w:r>
      <w:r>
        <w:rPr>
          <w:color w:val="231F20"/>
          <w:spacing w:val="-2"/>
          <w:w w:val="120"/>
        </w:rPr>
        <w:t>exécutées.</w:t>
      </w:r>
      <w:r>
        <w:rPr>
          <w:color w:val="231F20"/>
          <w:spacing w:val="-3"/>
          <w:w w:val="120"/>
        </w:rPr>
        <w:t> </w:t>
      </w:r>
      <w:r>
        <w:rPr>
          <w:color w:val="231F20"/>
          <w:spacing w:val="-2"/>
          <w:w w:val="120"/>
        </w:rPr>
        <w:t>Il</w:t>
      </w:r>
      <w:r>
        <w:rPr>
          <w:color w:val="231F20"/>
          <w:spacing w:val="-3"/>
          <w:w w:val="120"/>
        </w:rPr>
        <w:t> </w:t>
      </w:r>
      <w:r>
        <w:rPr>
          <w:color w:val="231F20"/>
          <w:spacing w:val="-2"/>
          <w:w w:val="120"/>
        </w:rPr>
        <w:t>s’agit</w:t>
      </w:r>
      <w:r>
        <w:rPr>
          <w:color w:val="231F20"/>
          <w:spacing w:val="-3"/>
          <w:w w:val="120"/>
        </w:rPr>
        <w:t> </w:t>
      </w:r>
      <w:r>
        <w:rPr>
          <w:color w:val="231F20"/>
          <w:spacing w:val="-2"/>
          <w:w w:val="120"/>
        </w:rPr>
        <w:t>habituellement</w:t>
      </w:r>
      <w:r>
        <w:rPr>
          <w:color w:val="231F20"/>
          <w:spacing w:val="-3"/>
          <w:w w:val="120"/>
        </w:rPr>
        <w:t> </w:t>
      </w:r>
      <w:r>
        <w:rPr>
          <w:color w:val="231F20"/>
          <w:spacing w:val="-2"/>
          <w:w w:val="120"/>
        </w:rPr>
        <w:t>d’éléments</w:t>
      </w:r>
      <w:r>
        <w:rPr>
          <w:color w:val="231F20"/>
          <w:spacing w:val="-3"/>
          <w:w w:val="120"/>
        </w:rPr>
        <w:t> </w:t>
      </w:r>
      <w:r>
        <w:rPr>
          <w:color w:val="231F20"/>
          <w:spacing w:val="-2"/>
          <w:w w:val="120"/>
        </w:rPr>
        <w:t>extrin- </w:t>
      </w:r>
      <w:r>
        <w:rPr>
          <w:color w:val="231F20"/>
          <w:w w:val="120"/>
        </w:rPr>
        <w:t>sèques</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tâche,</w:t>
      </w:r>
      <w:r>
        <w:rPr>
          <w:color w:val="231F20"/>
          <w:spacing w:val="-12"/>
          <w:w w:val="120"/>
        </w:rPr>
        <w:t> </w:t>
      </w:r>
      <w:r>
        <w:rPr>
          <w:color w:val="231F20"/>
          <w:w w:val="120"/>
        </w:rPr>
        <w:t>mais</w:t>
      </w:r>
      <w:r>
        <w:rPr>
          <w:color w:val="231F20"/>
          <w:spacing w:val="-13"/>
          <w:w w:val="120"/>
        </w:rPr>
        <w:t> </w:t>
      </w:r>
      <w:r>
        <w:rPr>
          <w:color w:val="231F20"/>
          <w:w w:val="120"/>
        </w:rPr>
        <w:t>qui</w:t>
      </w:r>
      <w:r>
        <w:rPr>
          <w:color w:val="231F20"/>
          <w:spacing w:val="-13"/>
          <w:w w:val="120"/>
        </w:rPr>
        <w:t> </w:t>
      </w:r>
      <w:r>
        <w:rPr>
          <w:color w:val="231F20"/>
          <w:w w:val="120"/>
        </w:rPr>
        <w:t>ont</w:t>
      </w:r>
      <w:r>
        <w:rPr>
          <w:color w:val="231F20"/>
          <w:spacing w:val="-13"/>
          <w:w w:val="120"/>
        </w:rPr>
        <w:t> </w:t>
      </w:r>
      <w:r>
        <w:rPr>
          <w:color w:val="231F20"/>
          <w:w w:val="120"/>
        </w:rPr>
        <w:t>nécessairement</w:t>
      </w:r>
      <w:r>
        <w:rPr>
          <w:color w:val="231F20"/>
          <w:spacing w:val="-12"/>
          <w:w w:val="120"/>
        </w:rPr>
        <w:t> </w:t>
      </w:r>
      <w:r>
        <w:rPr>
          <w:color w:val="231F20"/>
          <w:w w:val="120"/>
        </w:rPr>
        <w:t>une</w:t>
      </w:r>
      <w:r>
        <w:rPr>
          <w:color w:val="231F20"/>
          <w:spacing w:val="-13"/>
          <w:w w:val="120"/>
        </w:rPr>
        <w:t> </w:t>
      </w:r>
      <w:r>
        <w:rPr>
          <w:color w:val="231F20"/>
          <w:w w:val="120"/>
        </w:rPr>
        <w:t>incidence</w:t>
      </w:r>
      <w:r>
        <w:rPr>
          <w:color w:val="231F20"/>
          <w:spacing w:val="-13"/>
          <w:w w:val="120"/>
        </w:rPr>
        <w:t> </w:t>
      </w:r>
      <w:r>
        <w:rPr>
          <w:color w:val="231F20"/>
          <w:w w:val="120"/>
        </w:rPr>
        <w:t>directe</w:t>
      </w:r>
      <w:r>
        <w:rPr>
          <w:color w:val="231F20"/>
          <w:spacing w:val="-13"/>
          <w:w w:val="120"/>
        </w:rPr>
        <w:t> </w:t>
      </w:r>
      <w:r>
        <w:rPr>
          <w:color w:val="231F20"/>
          <w:w w:val="120"/>
        </w:rPr>
        <w:t>sur le vécu du travailleur et sur le rendement de ce dernier. À ce titre, les éléments suivants méritent d’être soulignés:</w:t>
      </w:r>
    </w:p>
    <w:p>
      <w:pPr>
        <w:pStyle w:val="ListParagraph"/>
        <w:numPr>
          <w:ilvl w:val="1"/>
          <w:numId w:val="39"/>
        </w:numPr>
        <w:tabs>
          <w:tab w:pos="1721" w:val="left" w:leader="none"/>
        </w:tabs>
        <w:spacing w:line="307" w:lineRule="auto" w:before="79" w:after="0"/>
        <w:ind w:left="1720" w:right="105" w:hanging="251"/>
        <w:jc w:val="both"/>
        <w:rPr>
          <w:sz w:val="17"/>
        </w:rPr>
      </w:pPr>
      <w:r>
        <w:rPr>
          <w:i/>
          <w:color w:val="231F20"/>
          <w:w w:val="115"/>
          <w:sz w:val="17"/>
        </w:rPr>
        <w:t>Le climat de travail</w:t>
      </w:r>
      <w:r>
        <w:rPr>
          <w:color w:val="231F20"/>
          <w:w w:val="115"/>
          <w:sz w:val="17"/>
        </w:rPr>
        <w:t>. Chaque organisation a sa propre personnalité, </w:t>
      </w:r>
      <w:r>
        <w:rPr>
          <w:color w:val="231F20"/>
          <w:spacing w:val="-2"/>
          <w:w w:val="120"/>
          <w:sz w:val="17"/>
        </w:rPr>
        <w:t>son</w:t>
      </w:r>
      <w:r>
        <w:rPr>
          <w:color w:val="231F20"/>
          <w:spacing w:val="-5"/>
          <w:w w:val="120"/>
          <w:sz w:val="17"/>
        </w:rPr>
        <w:t> </w:t>
      </w:r>
      <w:r>
        <w:rPr>
          <w:color w:val="231F20"/>
          <w:spacing w:val="-2"/>
          <w:w w:val="120"/>
          <w:sz w:val="17"/>
        </w:rPr>
        <w:t>propre</w:t>
      </w:r>
      <w:r>
        <w:rPr>
          <w:color w:val="231F20"/>
          <w:spacing w:val="-5"/>
          <w:w w:val="120"/>
          <w:sz w:val="17"/>
        </w:rPr>
        <w:t> </w:t>
      </w:r>
      <w:r>
        <w:rPr>
          <w:color w:val="231F20"/>
          <w:spacing w:val="-2"/>
          <w:w w:val="120"/>
          <w:sz w:val="17"/>
        </w:rPr>
        <w:t>climat,</w:t>
      </w:r>
      <w:r>
        <w:rPr>
          <w:color w:val="231F20"/>
          <w:spacing w:val="-5"/>
          <w:w w:val="120"/>
          <w:sz w:val="17"/>
        </w:rPr>
        <w:t> </w:t>
      </w:r>
      <w:r>
        <w:rPr>
          <w:color w:val="231F20"/>
          <w:spacing w:val="-2"/>
          <w:w w:val="120"/>
          <w:sz w:val="17"/>
        </w:rPr>
        <w:t>qui</w:t>
      </w:r>
      <w:r>
        <w:rPr>
          <w:color w:val="231F20"/>
          <w:spacing w:val="-5"/>
          <w:w w:val="120"/>
          <w:sz w:val="17"/>
        </w:rPr>
        <w:t> </w:t>
      </w:r>
      <w:r>
        <w:rPr>
          <w:color w:val="231F20"/>
          <w:spacing w:val="-2"/>
          <w:w w:val="120"/>
          <w:sz w:val="17"/>
        </w:rPr>
        <w:t>conditionne</w:t>
      </w:r>
      <w:r>
        <w:rPr>
          <w:color w:val="231F20"/>
          <w:spacing w:val="-5"/>
          <w:w w:val="120"/>
          <w:sz w:val="17"/>
        </w:rPr>
        <w:t> </w:t>
      </w:r>
      <w:r>
        <w:rPr>
          <w:color w:val="231F20"/>
          <w:spacing w:val="-2"/>
          <w:w w:val="120"/>
          <w:sz w:val="17"/>
        </w:rPr>
        <w:t>le</w:t>
      </w:r>
      <w:r>
        <w:rPr>
          <w:color w:val="231F20"/>
          <w:spacing w:val="-5"/>
          <w:w w:val="120"/>
          <w:sz w:val="17"/>
        </w:rPr>
        <w:t> </w:t>
      </w:r>
      <w:r>
        <w:rPr>
          <w:color w:val="231F20"/>
          <w:spacing w:val="-2"/>
          <w:w w:val="120"/>
          <w:sz w:val="17"/>
        </w:rPr>
        <w:t>comportement</w:t>
      </w:r>
      <w:r>
        <w:rPr>
          <w:color w:val="231F20"/>
          <w:spacing w:val="-5"/>
          <w:w w:val="120"/>
          <w:sz w:val="17"/>
        </w:rPr>
        <w:t> </w:t>
      </w:r>
      <w:r>
        <w:rPr>
          <w:color w:val="231F20"/>
          <w:spacing w:val="-2"/>
          <w:w w:val="120"/>
          <w:sz w:val="17"/>
        </w:rPr>
        <w:t>des</w:t>
      </w:r>
      <w:r>
        <w:rPr>
          <w:color w:val="231F20"/>
          <w:spacing w:val="-5"/>
          <w:w w:val="120"/>
          <w:sz w:val="17"/>
        </w:rPr>
        <w:t> </w:t>
      </w:r>
      <w:r>
        <w:rPr>
          <w:color w:val="231F20"/>
          <w:spacing w:val="-2"/>
          <w:w w:val="120"/>
          <w:sz w:val="17"/>
        </w:rPr>
        <w:t>individus qui</w:t>
      </w:r>
      <w:r>
        <w:rPr>
          <w:color w:val="231F20"/>
          <w:spacing w:val="-8"/>
          <w:w w:val="120"/>
          <w:sz w:val="17"/>
        </w:rPr>
        <w:t> </w:t>
      </w:r>
      <w:r>
        <w:rPr>
          <w:color w:val="231F20"/>
          <w:spacing w:val="-2"/>
          <w:w w:val="120"/>
          <w:sz w:val="17"/>
        </w:rPr>
        <w:t>la</w:t>
      </w:r>
      <w:r>
        <w:rPr>
          <w:color w:val="231F20"/>
          <w:spacing w:val="-8"/>
          <w:w w:val="120"/>
          <w:sz w:val="17"/>
        </w:rPr>
        <w:t> </w:t>
      </w:r>
      <w:r>
        <w:rPr>
          <w:color w:val="231F20"/>
          <w:spacing w:val="-2"/>
          <w:w w:val="120"/>
          <w:sz w:val="17"/>
        </w:rPr>
        <w:t>composent.</w:t>
      </w:r>
      <w:r>
        <w:rPr>
          <w:color w:val="231F20"/>
          <w:spacing w:val="-8"/>
          <w:w w:val="120"/>
          <w:sz w:val="17"/>
        </w:rPr>
        <w:t> </w:t>
      </w:r>
      <w:r>
        <w:rPr>
          <w:color w:val="231F20"/>
          <w:spacing w:val="-2"/>
          <w:w w:val="120"/>
          <w:sz w:val="17"/>
        </w:rPr>
        <w:t>Il</w:t>
      </w:r>
      <w:r>
        <w:rPr>
          <w:color w:val="231F20"/>
          <w:spacing w:val="-8"/>
          <w:w w:val="120"/>
          <w:sz w:val="17"/>
        </w:rPr>
        <w:t> </w:t>
      </w:r>
      <w:r>
        <w:rPr>
          <w:color w:val="231F20"/>
          <w:spacing w:val="-2"/>
          <w:w w:val="120"/>
          <w:sz w:val="17"/>
        </w:rPr>
        <w:t>demeure</w:t>
      </w:r>
      <w:r>
        <w:rPr>
          <w:color w:val="231F20"/>
          <w:spacing w:val="-8"/>
          <w:w w:val="120"/>
          <w:sz w:val="17"/>
        </w:rPr>
        <w:t> </w:t>
      </w:r>
      <w:r>
        <w:rPr>
          <w:color w:val="231F20"/>
          <w:spacing w:val="-2"/>
          <w:w w:val="120"/>
          <w:sz w:val="17"/>
        </w:rPr>
        <w:t>complexe</w:t>
      </w:r>
      <w:r>
        <w:rPr>
          <w:color w:val="231F20"/>
          <w:spacing w:val="-8"/>
          <w:w w:val="120"/>
          <w:sz w:val="17"/>
        </w:rPr>
        <w:t> </w:t>
      </w:r>
      <w:r>
        <w:rPr>
          <w:color w:val="231F20"/>
          <w:spacing w:val="-2"/>
          <w:w w:val="120"/>
          <w:sz w:val="17"/>
        </w:rPr>
        <w:t>d’évaluer</w:t>
      </w:r>
      <w:r>
        <w:rPr>
          <w:color w:val="231F20"/>
          <w:spacing w:val="-8"/>
          <w:w w:val="120"/>
          <w:sz w:val="17"/>
        </w:rPr>
        <w:t> </w:t>
      </w:r>
      <w:r>
        <w:rPr>
          <w:color w:val="231F20"/>
          <w:spacing w:val="-2"/>
          <w:w w:val="120"/>
          <w:sz w:val="17"/>
        </w:rPr>
        <w:t>concrètement</w:t>
      </w:r>
      <w:r>
        <w:rPr>
          <w:color w:val="231F20"/>
          <w:spacing w:val="-8"/>
          <w:w w:val="120"/>
          <w:sz w:val="17"/>
        </w:rPr>
        <w:t> </w:t>
      </w:r>
      <w:r>
        <w:rPr>
          <w:color w:val="231F20"/>
          <w:spacing w:val="-2"/>
          <w:w w:val="120"/>
          <w:sz w:val="17"/>
        </w:rPr>
        <w:t>le </w:t>
      </w:r>
      <w:r>
        <w:rPr>
          <w:color w:val="231F20"/>
          <w:w w:val="120"/>
          <w:sz w:val="17"/>
        </w:rPr>
        <w:t>climat d’une organisation, mais les personnes qui travaillent au sein</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celle-ci</w:t>
      </w:r>
      <w:r>
        <w:rPr>
          <w:color w:val="231F20"/>
          <w:spacing w:val="-13"/>
          <w:w w:val="120"/>
          <w:sz w:val="17"/>
        </w:rPr>
        <w:t> </w:t>
      </w:r>
      <w:r>
        <w:rPr>
          <w:color w:val="231F20"/>
          <w:w w:val="120"/>
          <w:sz w:val="17"/>
        </w:rPr>
        <w:t>peuvent</w:t>
      </w:r>
      <w:r>
        <w:rPr>
          <w:color w:val="231F20"/>
          <w:spacing w:val="-12"/>
          <w:w w:val="120"/>
          <w:sz w:val="17"/>
        </w:rPr>
        <w:t> </w:t>
      </w:r>
      <w:r>
        <w:rPr>
          <w:color w:val="231F20"/>
          <w:w w:val="120"/>
          <w:sz w:val="17"/>
        </w:rPr>
        <w:t>habituellement</w:t>
      </w:r>
      <w:r>
        <w:rPr>
          <w:color w:val="231F20"/>
          <w:spacing w:val="-13"/>
          <w:w w:val="120"/>
          <w:sz w:val="17"/>
        </w:rPr>
        <w:t> </w:t>
      </w:r>
      <w:r>
        <w:rPr>
          <w:color w:val="231F20"/>
          <w:w w:val="120"/>
          <w:sz w:val="17"/>
        </w:rPr>
        <w:t>le</w:t>
      </w:r>
      <w:r>
        <w:rPr>
          <w:color w:val="231F20"/>
          <w:spacing w:val="-13"/>
          <w:w w:val="120"/>
          <w:sz w:val="17"/>
        </w:rPr>
        <w:t> </w:t>
      </w:r>
      <w:r>
        <w:rPr>
          <w:color w:val="231F20"/>
          <w:w w:val="120"/>
          <w:sz w:val="17"/>
        </w:rPr>
        <w:t>décrire</w:t>
      </w:r>
      <w:r>
        <w:rPr>
          <w:color w:val="231F20"/>
          <w:spacing w:val="-13"/>
          <w:w w:val="120"/>
          <w:sz w:val="17"/>
        </w:rPr>
        <w:t> </w:t>
      </w:r>
      <w:r>
        <w:rPr>
          <w:color w:val="231F20"/>
          <w:w w:val="120"/>
          <w:sz w:val="17"/>
        </w:rPr>
        <w:t>sans</w:t>
      </w:r>
      <w:r>
        <w:rPr>
          <w:color w:val="231F20"/>
          <w:spacing w:val="-12"/>
          <w:w w:val="120"/>
          <w:sz w:val="17"/>
        </w:rPr>
        <w:t> </w:t>
      </w:r>
      <w:r>
        <w:rPr>
          <w:color w:val="231F20"/>
          <w:w w:val="120"/>
          <w:sz w:val="17"/>
        </w:rPr>
        <w:t>trop</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dif- </w:t>
      </w:r>
      <w:r>
        <w:rPr>
          <w:color w:val="231F20"/>
          <w:w w:val="115"/>
          <w:sz w:val="17"/>
        </w:rPr>
        <w:t>ficulté.</w:t>
      </w:r>
      <w:r>
        <w:rPr>
          <w:color w:val="231F20"/>
          <w:spacing w:val="-11"/>
          <w:w w:val="115"/>
          <w:sz w:val="17"/>
        </w:rPr>
        <w:t> </w:t>
      </w:r>
      <w:r>
        <w:rPr>
          <w:color w:val="231F20"/>
          <w:w w:val="115"/>
          <w:sz w:val="17"/>
        </w:rPr>
        <w:t>On</w:t>
      </w:r>
      <w:r>
        <w:rPr>
          <w:color w:val="231F20"/>
          <w:spacing w:val="-11"/>
          <w:w w:val="115"/>
          <w:sz w:val="17"/>
        </w:rPr>
        <w:t> </w:t>
      </w:r>
      <w:r>
        <w:rPr>
          <w:color w:val="231F20"/>
          <w:w w:val="115"/>
          <w:sz w:val="17"/>
        </w:rPr>
        <w:t>qualifie</w:t>
      </w:r>
      <w:r>
        <w:rPr>
          <w:color w:val="231F20"/>
          <w:spacing w:val="-11"/>
          <w:w w:val="115"/>
          <w:sz w:val="17"/>
        </w:rPr>
        <w:t> </w:t>
      </w:r>
      <w:r>
        <w:rPr>
          <w:color w:val="231F20"/>
          <w:w w:val="115"/>
          <w:sz w:val="17"/>
        </w:rPr>
        <w:t>ainsi,</w:t>
      </w:r>
      <w:r>
        <w:rPr>
          <w:color w:val="231F20"/>
          <w:spacing w:val="-11"/>
          <w:w w:val="115"/>
          <w:sz w:val="17"/>
        </w:rPr>
        <w:t> </w:t>
      </w:r>
      <w:r>
        <w:rPr>
          <w:color w:val="231F20"/>
          <w:w w:val="115"/>
          <w:sz w:val="17"/>
        </w:rPr>
        <w:t>par</w:t>
      </w:r>
      <w:r>
        <w:rPr>
          <w:color w:val="231F20"/>
          <w:spacing w:val="-11"/>
          <w:w w:val="115"/>
          <w:sz w:val="17"/>
        </w:rPr>
        <w:t> </w:t>
      </w:r>
      <w:r>
        <w:rPr>
          <w:color w:val="231F20"/>
          <w:w w:val="115"/>
          <w:sz w:val="17"/>
        </w:rPr>
        <w:t>exemple,</w:t>
      </w:r>
      <w:r>
        <w:rPr>
          <w:color w:val="231F20"/>
          <w:spacing w:val="-11"/>
          <w:w w:val="115"/>
          <w:sz w:val="17"/>
        </w:rPr>
        <w:t> </w:t>
      </w:r>
      <w:r>
        <w:rPr>
          <w:color w:val="231F20"/>
          <w:w w:val="115"/>
          <w:sz w:val="17"/>
        </w:rPr>
        <w:t>le</w:t>
      </w:r>
      <w:r>
        <w:rPr>
          <w:color w:val="231F20"/>
          <w:spacing w:val="-11"/>
          <w:w w:val="115"/>
          <w:sz w:val="17"/>
        </w:rPr>
        <w:t> </w:t>
      </w:r>
      <w:r>
        <w:rPr>
          <w:color w:val="231F20"/>
          <w:w w:val="115"/>
          <w:sz w:val="17"/>
        </w:rPr>
        <w:t>climat</w:t>
      </w:r>
      <w:r>
        <w:rPr>
          <w:color w:val="231F20"/>
          <w:spacing w:val="-11"/>
          <w:w w:val="115"/>
          <w:sz w:val="17"/>
        </w:rPr>
        <w:t> </w:t>
      </w:r>
      <w:r>
        <w:rPr>
          <w:color w:val="231F20"/>
          <w:w w:val="115"/>
          <w:sz w:val="17"/>
        </w:rPr>
        <w:t>comme</w:t>
      </w:r>
      <w:r>
        <w:rPr>
          <w:color w:val="231F20"/>
          <w:spacing w:val="-11"/>
          <w:w w:val="115"/>
          <w:sz w:val="17"/>
        </w:rPr>
        <w:t> </w:t>
      </w:r>
      <w:r>
        <w:rPr>
          <w:color w:val="231F20"/>
          <w:w w:val="115"/>
          <w:sz w:val="17"/>
        </w:rPr>
        <w:t>étant</w:t>
      </w:r>
      <w:r>
        <w:rPr>
          <w:color w:val="231F20"/>
          <w:spacing w:val="-11"/>
          <w:w w:val="115"/>
          <w:sz w:val="17"/>
        </w:rPr>
        <w:t> </w:t>
      </w:r>
      <w:r>
        <w:rPr>
          <w:color w:val="231F20"/>
          <w:w w:val="115"/>
          <w:sz w:val="17"/>
        </w:rPr>
        <w:t>tendu, </w:t>
      </w:r>
      <w:r>
        <w:rPr>
          <w:color w:val="231F20"/>
          <w:w w:val="120"/>
          <w:sz w:val="17"/>
        </w:rPr>
        <w:t>compétitif, collaboratif, cordial, soutenant. Dans chaque cas, le niveau</w:t>
      </w:r>
      <w:r>
        <w:rPr>
          <w:color w:val="231F20"/>
          <w:spacing w:val="-2"/>
          <w:w w:val="120"/>
          <w:sz w:val="17"/>
        </w:rPr>
        <w:t> </w:t>
      </w:r>
      <w:r>
        <w:rPr>
          <w:color w:val="231F20"/>
          <w:w w:val="120"/>
          <w:sz w:val="17"/>
        </w:rPr>
        <w:t>de</w:t>
      </w:r>
      <w:r>
        <w:rPr>
          <w:color w:val="231F20"/>
          <w:spacing w:val="-2"/>
          <w:w w:val="120"/>
          <w:sz w:val="17"/>
        </w:rPr>
        <w:t> </w:t>
      </w:r>
      <w:r>
        <w:rPr>
          <w:color w:val="231F20"/>
          <w:w w:val="120"/>
          <w:sz w:val="17"/>
        </w:rPr>
        <w:t>stress</w:t>
      </w:r>
      <w:r>
        <w:rPr>
          <w:color w:val="231F20"/>
          <w:spacing w:val="-2"/>
          <w:w w:val="120"/>
          <w:sz w:val="17"/>
        </w:rPr>
        <w:t> </w:t>
      </w:r>
      <w:r>
        <w:rPr>
          <w:color w:val="231F20"/>
          <w:w w:val="120"/>
          <w:sz w:val="17"/>
        </w:rPr>
        <w:t>individuel</w:t>
      </w:r>
      <w:r>
        <w:rPr>
          <w:color w:val="231F20"/>
          <w:spacing w:val="-2"/>
          <w:w w:val="120"/>
          <w:sz w:val="17"/>
        </w:rPr>
        <w:t> </w:t>
      </w:r>
      <w:r>
        <w:rPr>
          <w:color w:val="231F20"/>
          <w:w w:val="120"/>
          <w:sz w:val="17"/>
        </w:rPr>
        <w:t>associé</w:t>
      </w:r>
      <w:r>
        <w:rPr>
          <w:color w:val="231F20"/>
          <w:spacing w:val="-2"/>
          <w:w w:val="120"/>
          <w:sz w:val="17"/>
        </w:rPr>
        <w:t> </w:t>
      </w:r>
      <w:r>
        <w:rPr>
          <w:color w:val="231F20"/>
          <w:w w:val="120"/>
          <w:sz w:val="17"/>
        </w:rPr>
        <w:t>au</w:t>
      </w:r>
      <w:r>
        <w:rPr>
          <w:color w:val="231F20"/>
          <w:spacing w:val="-2"/>
          <w:w w:val="120"/>
          <w:sz w:val="17"/>
        </w:rPr>
        <w:t> </w:t>
      </w:r>
      <w:r>
        <w:rPr>
          <w:color w:val="231F20"/>
          <w:w w:val="120"/>
          <w:sz w:val="17"/>
        </w:rPr>
        <w:t>climat</w:t>
      </w:r>
      <w:r>
        <w:rPr>
          <w:color w:val="231F20"/>
          <w:spacing w:val="-2"/>
          <w:w w:val="120"/>
          <w:sz w:val="17"/>
        </w:rPr>
        <w:t> </w:t>
      </w:r>
      <w:r>
        <w:rPr>
          <w:color w:val="231F20"/>
          <w:w w:val="120"/>
          <w:sz w:val="17"/>
        </w:rPr>
        <w:t>de</w:t>
      </w:r>
      <w:r>
        <w:rPr>
          <w:color w:val="231F20"/>
          <w:spacing w:val="-2"/>
          <w:w w:val="120"/>
          <w:sz w:val="17"/>
        </w:rPr>
        <w:t> </w:t>
      </w:r>
      <w:r>
        <w:rPr>
          <w:color w:val="231F20"/>
          <w:w w:val="120"/>
          <w:sz w:val="17"/>
        </w:rPr>
        <w:t>travail</w:t>
      </w:r>
      <w:r>
        <w:rPr>
          <w:color w:val="231F20"/>
          <w:spacing w:val="-2"/>
          <w:w w:val="120"/>
          <w:sz w:val="17"/>
        </w:rPr>
        <w:t> </w:t>
      </w:r>
      <w:r>
        <w:rPr>
          <w:color w:val="231F20"/>
          <w:w w:val="120"/>
          <w:sz w:val="17"/>
        </w:rPr>
        <w:t>dépendra de la sensibilité et de la vulnérabilité de chacun.</w:t>
      </w:r>
    </w:p>
    <w:p>
      <w:pPr>
        <w:pStyle w:val="ListParagraph"/>
        <w:numPr>
          <w:ilvl w:val="1"/>
          <w:numId w:val="39"/>
        </w:numPr>
        <w:tabs>
          <w:tab w:pos="1721" w:val="left" w:leader="none"/>
        </w:tabs>
        <w:spacing w:line="307" w:lineRule="auto" w:before="0" w:after="0"/>
        <w:ind w:left="1720" w:right="105" w:hanging="251"/>
        <w:jc w:val="both"/>
        <w:rPr>
          <w:sz w:val="17"/>
        </w:rPr>
      </w:pPr>
      <w:r>
        <w:rPr>
          <w:i/>
          <w:color w:val="231F20"/>
          <w:w w:val="115"/>
          <w:sz w:val="17"/>
        </w:rPr>
        <w:t>La</w:t>
      </w:r>
      <w:r>
        <w:rPr>
          <w:i/>
          <w:color w:val="231F20"/>
          <w:spacing w:val="-13"/>
          <w:w w:val="115"/>
          <w:sz w:val="17"/>
        </w:rPr>
        <w:t> </w:t>
      </w:r>
      <w:r>
        <w:rPr>
          <w:i/>
          <w:color w:val="231F20"/>
          <w:w w:val="115"/>
          <w:sz w:val="17"/>
        </w:rPr>
        <w:t>taille</w:t>
      </w:r>
      <w:r>
        <w:rPr>
          <w:i/>
          <w:color w:val="231F20"/>
          <w:spacing w:val="-12"/>
          <w:w w:val="115"/>
          <w:sz w:val="17"/>
        </w:rPr>
        <w:t> </w:t>
      </w:r>
      <w:r>
        <w:rPr>
          <w:i/>
          <w:color w:val="231F20"/>
          <w:w w:val="115"/>
          <w:sz w:val="17"/>
        </w:rPr>
        <w:t>de</w:t>
      </w:r>
      <w:r>
        <w:rPr>
          <w:i/>
          <w:color w:val="231F20"/>
          <w:spacing w:val="-12"/>
          <w:w w:val="115"/>
          <w:sz w:val="17"/>
        </w:rPr>
        <w:t> </w:t>
      </w:r>
      <w:r>
        <w:rPr>
          <w:i/>
          <w:color w:val="231F20"/>
          <w:w w:val="115"/>
          <w:sz w:val="17"/>
        </w:rPr>
        <w:t>l’organisation</w:t>
      </w:r>
      <w:r>
        <w:rPr>
          <w:i/>
          <w:color w:val="231F20"/>
          <w:spacing w:val="-12"/>
          <w:w w:val="115"/>
          <w:sz w:val="17"/>
        </w:rPr>
        <w:t> </w:t>
      </w:r>
      <w:r>
        <w:rPr>
          <w:i/>
          <w:color w:val="231F20"/>
          <w:w w:val="115"/>
          <w:sz w:val="17"/>
        </w:rPr>
        <w:t>et</w:t>
      </w:r>
      <w:r>
        <w:rPr>
          <w:i/>
          <w:color w:val="231F20"/>
          <w:spacing w:val="-13"/>
          <w:w w:val="115"/>
          <w:sz w:val="17"/>
        </w:rPr>
        <w:t> </w:t>
      </w:r>
      <w:r>
        <w:rPr>
          <w:i/>
          <w:color w:val="231F20"/>
          <w:w w:val="115"/>
          <w:sz w:val="17"/>
        </w:rPr>
        <w:t>son</w:t>
      </w:r>
      <w:r>
        <w:rPr>
          <w:i/>
          <w:color w:val="231F20"/>
          <w:spacing w:val="-12"/>
          <w:w w:val="115"/>
          <w:sz w:val="17"/>
        </w:rPr>
        <w:t> </w:t>
      </w:r>
      <w:r>
        <w:rPr>
          <w:i/>
          <w:color w:val="231F20"/>
          <w:w w:val="115"/>
          <w:sz w:val="17"/>
        </w:rPr>
        <w:t>style</w:t>
      </w:r>
      <w:r>
        <w:rPr>
          <w:i/>
          <w:color w:val="231F20"/>
          <w:spacing w:val="-12"/>
          <w:w w:val="115"/>
          <w:sz w:val="17"/>
        </w:rPr>
        <w:t> </w:t>
      </w:r>
      <w:r>
        <w:rPr>
          <w:i/>
          <w:color w:val="231F20"/>
          <w:w w:val="115"/>
          <w:sz w:val="17"/>
        </w:rPr>
        <w:t>de</w:t>
      </w:r>
      <w:r>
        <w:rPr>
          <w:i/>
          <w:color w:val="231F20"/>
          <w:spacing w:val="-12"/>
          <w:w w:val="115"/>
          <w:sz w:val="17"/>
        </w:rPr>
        <w:t> </w:t>
      </w:r>
      <w:r>
        <w:rPr>
          <w:i/>
          <w:color w:val="231F20"/>
          <w:w w:val="115"/>
          <w:sz w:val="17"/>
        </w:rPr>
        <w:t>gestion</w:t>
      </w:r>
      <w:r>
        <w:rPr>
          <w:color w:val="231F20"/>
          <w:w w:val="115"/>
          <w:sz w:val="17"/>
        </w:rPr>
        <w:t>.</w:t>
      </w:r>
      <w:r>
        <w:rPr>
          <w:color w:val="231F20"/>
          <w:spacing w:val="-12"/>
          <w:w w:val="115"/>
          <w:sz w:val="17"/>
        </w:rPr>
        <w:t> </w:t>
      </w:r>
      <w:r>
        <w:rPr>
          <w:color w:val="231F20"/>
          <w:w w:val="115"/>
          <w:sz w:val="17"/>
        </w:rPr>
        <w:t>Ensemble,</w:t>
      </w:r>
      <w:r>
        <w:rPr>
          <w:color w:val="231F20"/>
          <w:spacing w:val="-13"/>
          <w:w w:val="115"/>
          <w:sz w:val="17"/>
        </w:rPr>
        <w:t> </w:t>
      </w:r>
      <w:r>
        <w:rPr>
          <w:color w:val="231F20"/>
          <w:w w:val="115"/>
          <w:sz w:val="17"/>
        </w:rPr>
        <w:t>la</w:t>
      </w:r>
      <w:r>
        <w:rPr>
          <w:color w:val="231F20"/>
          <w:spacing w:val="-12"/>
          <w:w w:val="115"/>
          <w:sz w:val="17"/>
        </w:rPr>
        <w:t> </w:t>
      </w:r>
      <w:r>
        <w:rPr>
          <w:color w:val="231F20"/>
          <w:w w:val="115"/>
          <w:sz w:val="17"/>
        </w:rPr>
        <w:t>taille </w:t>
      </w:r>
      <w:r>
        <w:rPr>
          <w:color w:val="231F20"/>
          <w:w w:val="120"/>
          <w:sz w:val="17"/>
        </w:rPr>
        <w:t>de l’organisation et le niveau de formalisme de son fonctionne- ment,</w:t>
      </w:r>
      <w:r>
        <w:rPr>
          <w:color w:val="231F20"/>
          <w:spacing w:val="-7"/>
          <w:w w:val="120"/>
          <w:sz w:val="17"/>
        </w:rPr>
        <w:t> </w:t>
      </w:r>
      <w:r>
        <w:rPr>
          <w:color w:val="231F20"/>
          <w:w w:val="120"/>
          <w:sz w:val="17"/>
        </w:rPr>
        <w:t>en</w:t>
      </w:r>
      <w:r>
        <w:rPr>
          <w:color w:val="231F20"/>
          <w:spacing w:val="-7"/>
          <w:w w:val="120"/>
          <w:sz w:val="17"/>
        </w:rPr>
        <w:t> </w:t>
      </w:r>
      <w:r>
        <w:rPr>
          <w:color w:val="231F20"/>
          <w:w w:val="120"/>
          <w:sz w:val="17"/>
        </w:rPr>
        <w:t>un</w:t>
      </w:r>
      <w:r>
        <w:rPr>
          <w:color w:val="231F20"/>
          <w:spacing w:val="-7"/>
          <w:w w:val="120"/>
          <w:sz w:val="17"/>
        </w:rPr>
        <w:t> </w:t>
      </w:r>
      <w:r>
        <w:rPr>
          <w:color w:val="231F20"/>
          <w:w w:val="120"/>
          <w:sz w:val="17"/>
        </w:rPr>
        <w:t>mot</w:t>
      </w:r>
      <w:r>
        <w:rPr>
          <w:color w:val="231F20"/>
          <w:spacing w:val="-7"/>
          <w:w w:val="120"/>
          <w:sz w:val="17"/>
        </w:rPr>
        <w:t> </w:t>
      </w:r>
      <w:r>
        <w:rPr>
          <w:color w:val="231F20"/>
          <w:w w:val="120"/>
          <w:sz w:val="17"/>
        </w:rPr>
        <w:t>la</w:t>
      </w:r>
      <w:r>
        <w:rPr>
          <w:color w:val="231F20"/>
          <w:spacing w:val="-7"/>
          <w:w w:val="120"/>
          <w:sz w:val="17"/>
        </w:rPr>
        <w:t> </w:t>
      </w:r>
      <w:r>
        <w:rPr>
          <w:color w:val="231F20"/>
          <w:w w:val="120"/>
          <w:sz w:val="17"/>
        </w:rPr>
        <w:t>bureaucratie,</w:t>
      </w:r>
      <w:r>
        <w:rPr>
          <w:color w:val="231F20"/>
          <w:spacing w:val="-7"/>
          <w:w w:val="120"/>
          <w:sz w:val="17"/>
        </w:rPr>
        <w:t> </w:t>
      </w:r>
      <w:r>
        <w:rPr>
          <w:color w:val="231F20"/>
          <w:w w:val="120"/>
          <w:sz w:val="17"/>
        </w:rPr>
        <w:t>constituent</w:t>
      </w:r>
      <w:r>
        <w:rPr>
          <w:color w:val="231F20"/>
          <w:spacing w:val="-7"/>
          <w:w w:val="120"/>
          <w:sz w:val="17"/>
        </w:rPr>
        <w:t> </w:t>
      </w:r>
      <w:r>
        <w:rPr>
          <w:color w:val="231F20"/>
          <w:w w:val="120"/>
          <w:sz w:val="17"/>
        </w:rPr>
        <w:t>l’une</w:t>
      </w:r>
      <w:r>
        <w:rPr>
          <w:color w:val="231F20"/>
          <w:spacing w:val="-7"/>
          <w:w w:val="120"/>
          <w:sz w:val="17"/>
        </w:rPr>
        <w:t> </w:t>
      </w:r>
      <w:r>
        <w:rPr>
          <w:color w:val="231F20"/>
          <w:w w:val="120"/>
          <w:sz w:val="17"/>
        </w:rPr>
        <w:t>des</w:t>
      </w:r>
      <w:r>
        <w:rPr>
          <w:color w:val="231F20"/>
          <w:spacing w:val="-7"/>
          <w:w w:val="120"/>
          <w:sz w:val="17"/>
        </w:rPr>
        <w:t> </w:t>
      </w:r>
      <w:r>
        <w:rPr>
          <w:color w:val="231F20"/>
          <w:w w:val="120"/>
          <w:sz w:val="17"/>
        </w:rPr>
        <w:t>sources</w:t>
      </w:r>
      <w:r>
        <w:rPr>
          <w:color w:val="231F20"/>
          <w:spacing w:val="-7"/>
          <w:w w:val="120"/>
          <w:sz w:val="17"/>
        </w:rPr>
        <w:t> </w:t>
      </w:r>
      <w:r>
        <w:rPr>
          <w:color w:val="231F20"/>
          <w:w w:val="120"/>
          <w:sz w:val="17"/>
        </w:rPr>
        <w:t>de </w:t>
      </w:r>
      <w:r>
        <w:rPr>
          <w:color w:val="231F20"/>
          <w:spacing w:val="-2"/>
          <w:w w:val="120"/>
          <w:sz w:val="17"/>
        </w:rPr>
        <w:t>stress</w:t>
      </w:r>
      <w:r>
        <w:rPr>
          <w:color w:val="231F20"/>
          <w:spacing w:val="-7"/>
          <w:w w:val="120"/>
          <w:sz w:val="17"/>
        </w:rPr>
        <w:t> </w:t>
      </w:r>
      <w:r>
        <w:rPr>
          <w:color w:val="231F20"/>
          <w:spacing w:val="-2"/>
          <w:w w:val="120"/>
          <w:sz w:val="17"/>
        </w:rPr>
        <w:t>les</w:t>
      </w:r>
      <w:r>
        <w:rPr>
          <w:color w:val="231F20"/>
          <w:spacing w:val="-7"/>
          <w:w w:val="120"/>
          <w:sz w:val="17"/>
        </w:rPr>
        <w:t> </w:t>
      </w:r>
      <w:r>
        <w:rPr>
          <w:color w:val="231F20"/>
          <w:spacing w:val="-2"/>
          <w:w w:val="120"/>
          <w:sz w:val="17"/>
        </w:rPr>
        <w:t>plus</w:t>
      </w:r>
      <w:r>
        <w:rPr>
          <w:color w:val="231F20"/>
          <w:spacing w:val="-7"/>
          <w:w w:val="120"/>
          <w:sz w:val="17"/>
        </w:rPr>
        <w:t> </w:t>
      </w:r>
      <w:r>
        <w:rPr>
          <w:color w:val="231F20"/>
          <w:spacing w:val="-2"/>
          <w:w w:val="120"/>
          <w:sz w:val="17"/>
        </w:rPr>
        <w:t>communes.</w:t>
      </w:r>
      <w:r>
        <w:rPr>
          <w:color w:val="231F20"/>
          <w:spacing w:val="-7"/>
          <w:w w:val="120"/>
          <w:sz w:val="17"/>
        </w:rPr>
        <w:t> </w:t>
      </w:r>
      <w:r>
        <w:rPr>
          <w:color w:val="231F20"/>
          <w:spacing w:val="-2"/>
          <w:w w:val="120"/>
          <w:sz w:val="17"/>
        </w:rPr>
        <w:t>Bon</w:t>
      </w:r>
      <w:r>
        <w:rPr>
          <w:color w:val="231F20"/>
          <w:spacing w:val="-7"/>
          <w:w w:val="120"/>
          <w:sz w:val="17"/>
        </w:rPr>
        <w:t> </w:t>
      </w:r>
      <w:r>
        <w:rPr>
          <w:color w:val="231F20"/>
          <w:spacing w:val="-2"/>
          <w:w w:val="120"/>
          <w:sz w:val="17"/>
        </w:rPr>
        <w:t>nombre</w:t>
      </w:r>
      <w:r>
        <w:rPr>
          <w:color w:val="231F20"/>
          <w:spacing w:val="-7"/>
          <w:w w:val="120"/>
          <w:sz w:val="17"/>
        </w:rPr>
        <w:t> </w:t>
      </w:r>
      <w:r>
        <w:rPr>
          <w:color w:val="231F20"/>
          <w:spacing w:val="-2"/>
          <w:w w:val="120"/>
          <w:sz w:val="17"/>
        </w:rPr>
        <w:t>d’études</w:t>
      </w:r>
      <w:r>
        <w:rPr>
          <w:color w:val="231F20"/>
          <w:spacing w:val="-7"/>
          <w:w w:val="120"/>
          <w:sz w:val="17"/>
        </w:rPr>
        <w:t> </w:t>
      </w:r>
      <w:r>
        <w:rPr>
          <w:color w:val="231F20"/>
          <w:spacing w:val="-2"/>
          <w:w w:val="120"/>
          <w:sz w:val="17"/>
        </w:rPr>
        <w:t>tendent</w:t>
      </w:r>
      <w:r>
        <w:rPr>
          <w:color w:val="231F20"/>
          <w:spacing w:val="-7"/>
          <w:w w:val="120"/>
          <w:sz w:val="17"/>
        </w:rPr>
        <w:t> </w:t>
      </w:r>
      <w:r>
        <w:rPr>
          <w:color w:val="231F20"/>
          <w:spacing w:val="-2"/>
          <w:w w:val="120"/>
          <w:sz w:val="17"/>
        </w:rPr>
        <w:t>à</w:t>
      </w:r>
      <w:r>
        <w:rPr>
          <w:color w:val="231F20"/>
          <w:spacing w:val="-7"/>
          <w:w w:val="120"/>
          <w:sz w:val="17"/>
        </w:rPr>
        <w:t> </w:t>
      </w:r>
      <w:r>
        <w:rPr>
          <w:color w:val="231F20"/>
          <w:spacing w:val="-2"/>
          <w:w w:val="120"/>
          <w:sz w:val="17"/>
        </w:rPr>
        <w:t>démon- </w:t>
      </w:r>
      <w:r>
        <w:rPr>
          <w:color w:val="231F20"/>
          <w:w w:val="120"/>
          <w:sz w:val="17"/>
        </w:rPr>
        <w:t>trer</w:t>
      </w:r>
      <w:r>
        <w:rPr>
          <w:color w:val="231F20"/>
          <w:spacing w:val="-10"/>
          <w:w w:val="120"/>
          <w:sz w:val="17"/>
        </w:rPr>
        <w:t> </w:t>
      </w:r>
      <w:r>
        <w:rPr>
          <w:color w:val="231F20"/>
          <w:w w:val="120"/>
          <w:sz w:val="17"/>
        </w:rPr>
        <w:t>que</w:t>
      </w:r>
      <w:r>
        <w:rPr>
          <w:color w:val="231F20"/>
          <w:spacing w:val="-10"/>
          <w:w w:val="120"/>
          <w:sz w:val="17"/>
        </w:rPr>
        <w:t> </w:t>
      </w:r>
      <w:r>
        <w:rPr>
          <w:color w:val="231F20"/>
          <w:w w:val="120"/>
          <w:sz w:val="17"/>
        </w:rPr>
        <w:t>les</w:t>
      </w:r>
      <w:r>
        <w:rPr>
          <w:color w:val="231F20"/>
          <w:spacing w:val="-10"/>
          <w:w w:val="120"/>
          <w:sz w:val="17"/>
        </w:rPr>
        <w:t> </w:t>
      </w:r>
      <w:r>
        <w:rPr>
          <w:color w:val="231F20"/>
          <w:w w:val="120"/>
          <w:sz w:val="17"/>
        </w:rPr>
        <w:t>organisations</w:t>
      </w:r>
      <w:r>
        <w:rPr>
          <w:color w:val="231F20"/>
          <w:spacing w:val="-10"/>
          <w:w w:val="120"/>
          <w:sz w:val="17"/>
        </w:rPr>
        <w:t> </w:t>
      </w:r>
      <w:r>
        <w:rPr>
          <w:color w:val="231F20"/>
          <w:w w:val="120"/>
          <w:sz w:val="17"/>
        </w:rPr>
        <w:t>les</w:t>
      </w:r>
      <w:r>
        <w:rPr>
          <w:color w:val="231F20"/>
          <w:spacing w:val="-10"/>
          <w:w w:val="120"/>
          <w:sz w:val="17"/>
        </w:rPr>
        <w:t> </w:t>
      </w:r>
      <w:r>
        <w:rPr>
          <w:color w:val="231F20"/>
          <w:w w:val="120"/>
          <w:sz w:val="17"/>
        </w:rPr>
        <w:t>plus</w:t>
      </w:r>
      <w:r>
        <w:rPr>
          <w:color w:val="231F20"/>
          <w:spacing w:val="-10"/>
          <w:w w:val="120"/>
          <w:sz w:val="17"/>
        </w:rPr>
        <w:t> </w:t>
      </w:r>
      <w:r>
        <w:rPr>
          <w:color w:val="231F20"/>
          <w:w w:val="120"/>
          <w:sz w:val="17"/>
        </w:rPr>
        <w:t>bureaucratiques</w:t>
      </w:r>
      <w:r>
        <w:rPr>
          <w:color w:val="231F20"/>
          <w:spacing w:val="-10"/>
          <w:w w:val="120"/>
          <w:sz w:val="17"/>
        </w:rPr>
        <w:t> </w:t>
      </w:r>
      <w:r>
        <w:rPr>
          <w:color w:val="231F20"/>
          <w:w w:val="120"/>
          <w:sz w:val="17"/>
        </w:rPr>
        <w:t>tentent</w:t>
      </w:r>
      <w:r>
        <w:rPr>
          <w:color w:val="231F20"/>
          <w:spacing w:val="-10"/>
          <w:w w:val="120"/>
          <w:sz w:val="17"/>
        </w:rPr>
        <w:t> </w:t>
      </w:r>
      <w:r>
        <w:rPr>
          <w:color w:val="231F20"/>
          <w:w w:val="120"/>
          <w:sz w:val="17"/>
        </w:rPr>
        <w:t>d’ame-</w:t>
      </w:r>
      <w:r>
        <w:rPr>
          <w:color w:val="231F20"/>
          <w:w w:val="120"/>
          <w:sz w:val="17"/>
        </w:rPr>
        <w:t> </w:t>
      </w:r>
      <w:r>
        <w:rPr>
          <w:color w:val="231F20"/>
          <w:spacing w:val="-2"/>
          <w:w w:val="120"/>
          <w:sz w:val="17"/>
        </w:rPr>
        <w:t>ner</w:t>
      </w:r>
      <w:r>
        <w:rPr>
          <w:color w:val="231F20"/>
          <w:spacing w:val="-6"/>
          <w:w w:val="120"/>
          <w:sz w:val="17"/>
        </w:rPr>
        <w:t> </w:t>
      </w:r>
      <w:r>
        <w:rPr>
          <w:color w:val="231F20"/>
          <w:spacing w:val="-2"/>
          <w:w w:val="120"/>
          <w:sz w:val="17"/>
        </w:rPr>
        <w:t>leurs</w:t>
      </w:r>
      <w:r>
        <w:rPr>
          <w:color w:val="231F20"/>
          <w:spacing w:val="-6"/>
          <w:w w:val="120"/>
          <w:sz w:val="17"/>
        </w:rPr>
        <w:t> </w:t>
      </w:r>
      <w:r>
        <w:rPr>
          <w:color w:val="231F20"/>
          <w:spacing w:val="-2"/>
          <w:w w:val="120"/>
          <w:sz w:val="17"/>
        </w:rPr>
        <w:t>employés</w:t>
      </w:r>
      <w:r>
        <w:rPr>
          <w:color w:val="231F20"/>
          <w:spacing w:val="-6"/>
          <w:w w:val="120"/>
          <w:sz w:val="17"/>
        </w:rPr>
        <w:t> </w:t>
      </w:r>
      <w:r>
        <w:rPr>
          <w:color w:val="231F20"/>
          <w:spacing w:val="-2"/>
          <w:w w:val="120"/>
          <w:sz w:val="17"/>
        </w:rPr>
        <w:t>à</w:t>
      </w:r>
      <w:r>
        <w:rPr>
          <w:color w:val="231F20"/>
          <w:spacing w:val="-6"/>
          <w:w w:val="120"/>
          <w:sz w:val="17"/>
        </w:rPr>
        <w:t> </w:t>
      </w:r>
      <w:r>
        <w:rPr>
          <w:color w:val="231F20"/>
          <w:spacing w:val="-2"/>
          <w:w w:val="120"/>
          <w:sz w:val="17"/>
        </w:rPr>
        <w:t>se</w:t>
      </w:r>
      <w:r>
        <w:rPr>
          <w:color w:val="231F20"/>
          <w:spacing w:val="-6"/>
          <w:w w:val="120"/>
          <w:sz w:val="17"/>
        </w:rPr>
        <w:t> </w:t>
      </w:r>
      <w:r>
        <w:rPr>
          <w:color w:val="231F20"/>
          <w:spacing w:val="-2"/>
          <w:w w:val="120"/>
          <w:sz w:val="17"/>
        </w:rPr>
        <w:t>conformer</w:t>
      </w:r>
      <w:r>
        <w:rPr>
          <w:color w:val="231F20"/>
          <w:spacing w:val="-6"/>
          <w:w w:val="120"/>
          <w:sz w:val="17"/>
        </w:rPr>
        <w:t> </w:t>
      </w:r>
      <w:r>
        <w:rPr>
          <w:color w:val="231F20"/>
          <w:spacing w:val="-2"/>
          <w:w w:val="120"/>
          <w:sz w:val="17"/>
        </w:rPr>
        <w:t>à</w:t>
      </w:r>
      <w:r>
        <w:rPr>
          <w:color w:val="231F20"/>
          <w:spacing w:val="-6"/>
          <w:w w:val="120"/>
          <w:sz w:val="17"/>
        </w:rPr>
        <w:t> </w:t>
      </w:r>
      <w:r>
        <w:rPr>
          <w:color w:val="231F20"/>
          <w:spacing w:val="-2"/>
          <w:w w:val="120"/>
          <w:sz w:val="17"/>
        </w:rPr>
        <w:t>des</w:t>
      </w:r>
      <w:r>
        <w:rPr>
          <w:color w:val="231F20"/>
          <w:spacing w:val="-6"/>
          <w:w w:val="120"/>
          <w:sz w:val="17"/>
        </w:rPr>
        <w:t> </w:t>
      </w:r>
      <w:r>
        <w:rPr>
          <w:color w:val="231F20"/>
          <w:spacing w:val="-2"/>
          <w:w w:val="120"/>
          <w:sz w:val="17"/>
        </w:rPr>
        <w:t>normes</w:t>
      </w:r>
      <w:r>
        <w:rPr>
          <w:color w:val="231F20"/>
          <w:spacing w:val="-6"/>
          <w:w w:val="120"/>
          <w:sz w:val="17"/>
        </w:rPr>
        <w:t> </w:t>
      </w:r>
      <w:r>
        <w:rPr>
          <w:color w:val="231F20"/>
          <w:spacing w:val="-2"/>
          <w:w w:val="120"/>
          <w:sz w:val="17"/>
        </w:rPr>
        <w:t>strictes.</w:t>
      </w:r>
      <w:r>
        <w:rPr>
          <w:color w:val="231F20"/>
          <w:spacing w:val="-6"/>
          <w:w w:val="120"/>
          <w:sz w:val="17"/>
        </w:rPr>
        <w:t> </w:t>
      </w:r>
      <w:r>
        <w:rPr>
          <w:color w:val="231F20"/>
          <w:spacing w:val="-2"/>
          <w:w w:val="120"/>
          <w:sz w:val="17"/>
        </w:rPr>
        <w:t>Bien</w:t>
      </w:r>
      <w:r>
        <w:rPr>
          <w:color w:val="231F20"/>
          <w:spacing w:val="-6"/>
          <w:w w:val="120"/>
          <w:sz w:val="17"/>
        </w:rPr>
        <w:t> </w:t>
      </w:r>
      <w:r>
        <w:rPr>
          <w:color w:val="231F20"/>
          <w:spacing w:val="-2"/>
          <w:w w:val="120"/>
          <w:sz w:val="17"/>
        </w:rPr>
        <w:t>sûr,</w:t>
      </w:r>
      <w:r>
        <w:rPr>
          <w:color w:val="231F20"/>
          <w:spacing w:val="-2"/>
          <w:w w:val="120"/>
          <w:sz w:val="17"/>
        </w:rPr>
        <w:t> </w:t>
      </w:r>
      <w:r>
        <w:rPr>
          <w:color w:val="231F20"/>
          <w:w w:val="115"/>
          <w:sz w:val="17"/>
        </w:rPr>
        <w:t>cela</w:t>
      </w:r>
      <w:r>
        <w:rPr>
          <w:color w:val="231F20"/>
          <w:spacing w:val="-13"/>
          <w:w w:val="115"/>
          <w:sz w:val="17"/>
        </w:rPr>
        <w:t> </w:t>
      </w:r>
      <w:r>
        <w:rPr>
          <w:color w:val="231F20"/>
          <w:w w:val="115"/>
          <w:sz w:val="17"/>
        </w:rPr>
        <w:t>va</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pair</w:t>
      </w:r>
      <w:r>
        <w:rPr>
          <w:color w:val="231F20"/>
          <w:spacing w:val="-12"/>
          <w:w w:val="115"/>
          <w:sz w:val="17"/>
        </w:rPr>
        <w:t> </w:t>
      </w:r>
      <w:r>
        <w:rPr>
          <w:color w:val="231F20"/>
          <w:w w:val="115"/>
          <w:sz w:val="17"/>
        </w:rPr>
        <w:t>avec</w:t>
      </w:r>
      <w:r>
        <w:rPr>
          <w:color w:val="231F20"/>
          <w:spacing w:val="-13"/>
          <w:w w:val="115"/>
          <w:sz w:val="17"/>
        </w:rPr>
        <w:t> </w:t>
      </w:r>
      <w:r>
        <w:rPr>
          <w:color w:val="231F20"/>
          <w:w w:val="115"/>
          <w:sz w:val="17"/>
        </w:rPr>
        <w:t>le</w:t>
      </w:r>
      <w:r>
        <w:rPr>
          <w:color w:val="231F20"/>
          <w:spacing w:val="-12"/>
          <w:w w:val="115"/>
          <w:sz w:val="17"/>
        </w:rPr>
        <w:t> </w:t>
      </w:r>
      <w:r>
        <w:rPr>
          <w:color w:val="231F20"/>
          <w:w w:val="115"/>
          <w:sz w:val="17"/>
        </w:rPr>
        <w:t>style</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leadership</w:t>
      </w:r>
      <w:r>
        <w:rPr>
          <w:color w:val="231F20"/>
          <w:spacing w:val="-12"/>
          <w:w w:val="115"/>
          <w:sz w:val="17"/>
        </w:rPr>
        <w:t> </w:t>
      </w:r>
      <w:r>
        <w:rPr>
          <w:color w:val="231F20"/>
          <w:w w:val="115"/>
          <w:sz w:val="17"/>
        </w:rPr>
        <w:t>privilégié</w:t>
      </w:r>
      <w:r>
        <w:rPr>
          <w:color w:val="231F20"/>
          <w:spacing w:val="-13"/>
          <w:w w:val="115"/>
          <w:sz w:val="17"/>
        </w:rPr>
        <w:t> </w:t>
      </w:r>
      <w:r>
        <w:rPr>
          <w:color w:val="231F20"/>
          <w:w w:val="115"/>
          <w:sz w:val="17"/>
        </w:rPr>
        <w:t>dans</w:t>
      </w:r>
      <w:r>
        <w:rPr>
          <w:color w:val="231F20"/>
          <w:spacing w:val="-12"/>
          <w:w w:val="115"/>
          <w:sz w:val="17"/>
        </w:rPr>
        <w:t> </w:t>
      </w:r>
      <w:r>
        <w:rPr>
          <w:color w:val="231F20"/>
          <w:w w:val="115"/>
          <w:sz w:val="17"/>
        </w:rPr>
        <w:t>l’entreprise </w:t>
      </w:r>
      <w:r>
        <w:rPr>
          <w:color w:val="231F20"/>
          <w:w w:val="120"/>
          <w:sz w:val="17"/>
        </w:rPr>
        <w:t>ou l’unité de travail.</w:t>
      </w:r>
    </w:p>
    <w:p>
      <w:pPr>
        <w:pStyle w:val="ListParagraph"/>
        <w:numPr>
          <w:ilvl w:val="1"/>
          <w:numId w:val="39"/>
        </w:numPr>
        <w:tabs>
          <w:tab w:pos="1721" w:val="left" w:leader="none"/>
        </w:tabs>
        <w:spacing w:line="307" w:lineRule="auto" w:before="0" w:after="0"/>
        <w:ind w:left="1720" w:right="103" w:hanging="251"/>
        <w:jc w:val="both"/>
        <w:rPr>
          <w:sz w:val="17"/>
        </w:rPr>
      </w:pPr>
      <w:r>
        <w:rPr>
          <w:i/>
          <w:color w:val="231F20"/>
          <w:w w:val="115"/>
          <w:sz w:val="17"/>
        </w:rPr>
        <w:t>La structure hiérarchique</w:t>
      </w:r>
      <w:r>
        <w:rPr>
          <w:color w:val="231F20"/>
          <w:w w:val="115"/>
          <w:sz w:val="17"/>
        </w:rPr>
        <w:t>. Dans toute hiérarchie où la distribution </w:t>
      </w:r>
      <w:r>
        <w:rPr>
          <w:color w:val="231F20"/>
          <w:w w:val="120"/>
          <w:sz w:val="17"/>
        </w:rPr>
        <w:t>du</w:t>
      </w:r>
      <w:r>
        <w:rPr>
          <w:color w:val="231F20"/>
          <w:spacing w:val="-10"/>
          <w:w w:val="120"/>
          <w:sz w:val="17"/>
        </w:rPr>
        <w:t> </w:t>
      </w:r>
      <w:r>
        <w:rPr>
          <w:color w:val="231F20"/>
          <w:w w:val="120"/>
          <w:sz w:val="17"/>
        </w:rPr>
        <w:t>pouvoir</w:t>
      </w:r>
      <w:r>
        <w:rPr>
          <w:color w:val="231F20"/>
          <w:spacing w:val="-10"/>
          <w:w w:val="120"/>
          <w:sz w:val="17"/>
        </w:rPr>
        <w:t> </w:t>
      </w:r>
      <w:r>
        <w:rPr>
          <w:color w:val="231F20"/>
          <w:w w:val="120"/>
          <w:sz w:val="17"/>
        </w:rPr>
        <w:t>est</w:t>
      </w:r>
      <w:r>
        <w:rPr>
          <w:color w:val="231F20"/>
          <w:spacing w:val="-10"/>
          <w:w w:val="120"/>
          <w:sz w:val="17"/>
        </w:rPr>
        <w:t> </w:t>
      </w:r>
      <w:r>
        <w:rPr>
          <w:color w:val="231F20"/>
          <w:w w:val="120"/>
          <w:sz w:val="17"/>
        </w:rPr>
        <w:t>inégale,</w:t>
      </w:r>
      <w:r>
        <w:rPr>
          <w:color w:val="231F20"/>
          <w:spacing w:val="-10"/>
          <w:w w:val="120"/>
          <w:sz w:val="17"/>
        </w:rPr>
        <w:t> </w:t>
      </w:r>
      <w:r>
        <w:rPr>
          <w:color w:val="231F20"/>
          <w:w w:val="120"/>
          <w:sz w:val="17"/>
        </w:rPr>
        <w:t>plus</w:t>
      </w:r>
      <w:r>
        <w:rPr>
          <w:color w:val="231F20"/>
          <w:spacing w:val="-10"/>
          <w:w w:val="120"/>
          <w:sz w:val="17"/>
        </w:rPr>
        <w:t> </w:t>
      </w:r>
      <w:r>
        <w:rPr>
          <w:color w:val="231F20"/>
          <w:w w:val="120"/>
          <w:sz w:val="17"/>
        </w:rPr>
        <w:t>le</w:t>
      </w:r>
      <w:r>
        <w:rPr>
          <w:color w:val="231F20"/>
          <w:spacing w:val="-10"/>
          <w:w w:val="120"/>
          <w:sz w:val="17"/>
        </w:rPr>
        <w:t> </w:t>
      </w:r>
      <w:r>
        <w:rPr>
          <w:color w:val="231F20"/>
          <w:w w:val="120"/>
          <w:sz w:val="17"/>
        </w:rPr>
        <w:t>niveau</w:t>
      </w:r>
      <w:r>
        <w:rPr>
          <w:color w:val="231F20"/>
          <w:spacing w:val="-10"/>
          <w:w w:val="120"/>
          <w:sz w:val="17"/>
        </w:rPr>
        <w:t> </w:t>
      </w:r>
      <w:r>
        <w:rPr>
          <w:color w:val="231F20"/>
          <w:w w:val="120"/>
          <w:sz w:val="17"/>
        </w:rPr>
        <w:t>hiérarchique</w:t>
      </w:r>
      <w:r>
        <w:rPr>
          <w:color w:val="231F20"/>
          <w:spacing w:val="-10"/>
          <w:w w:val="120"/>
          <w:sz w:val="17"/>
        </w:rPr>
        <w:t> </w:t>
      </w:r>
      <w:r>
        <w:rPr>
          <w:color w:val="231F20"/>
          <w:w w:val="120"/>
          <w:sz w:val="17"/>
        </w:rPr>
        <w:t>est</w:t>
      </w:r>
      <w:r>
        <w:rPr>
          <w:color w:val="231F20"/>
          <w:spacing w:val="-10"/>
          <w:w w:val="120"/>
          <w:sz w:val="17"/>
        </w:rPr>
        <w:t> </w:t>
      </w:r>
      <w:r>
        <w:rPr>
          <w:color w:val="231F20"/>
          <w:w w:val="120"/>
          <w:sz w:val="17"/>
        </w:rPr>
        <w:t>élevé,</w:t>
      </w:r>
      <w:r>
        <w:rPr>
          <w:color w:val="231F20"/>
          <w:spacing w:val="-10"/>
          <w:w w:val="120"/>
          <w:sz w:val="17"/>
        </w:rPr>
        <w:t> </w:t>
      </w:r>
      <w:r>
        <w:rPr>
          <w:color w:val="231F20"/>
          <w:w w:val="120"/>
          <w:sz w:val="17"/>
        </w:rPr>
        <w:t>plus les</w:t>
      </w:r>
      <w:r>
        <w:rPr>
          <w:color w:val="231F20"/>
          <w:spacing w:val="-2"/>
          <w:w w:val="120"/>
          <w:sz w:val="17"/>
        </w:rPr>
        <w:t> </w:t>
      </w:r>
      <w:r>
        <w:rPr>
          <w:color w:val="231F20"/>
          <w:w w:val="120"/>
          <w:sz w:val="17"/>
        </w:rPr>
        <w:t>quelques</w:t>
      </w:r>
      <w:r>
        <w:rPr>
          <w:color w:val="231F20"/>
          <w:spacing w:val="-2"/>
          <w:w w:val="120"/>
          <w:sz w:val="17"/>
        </w:rPr>
        <w:t> </w:t>
      </w:r>
      <w:r>
        <w:rPr>
          <w:color w:val="231F20"/>
          <w:w w:val="120"/>
          <w:sz w:val="17"/>
        </w:rPr>
        <w:t>personnes</w:t>
      </w:r>
      <w:r>
        <w:rPr>
          <w:color w:val="231F20"/>
          <w:spacing w:val="-2"/>
          <w:w w:val="120"/>
          <w:sz w:val="17"/>
        </w:rPr>
        <w:t> </w:t>
      </w:r>
      <w:r>
        <w:rPr>
          <w:color w:val="231F20"/>
          <w:w w:val="120"/>
          <w:sz w:val="17"/>
        </w:rPr>
        <w:t>qui</w:t>
      </w:r>
      <w:r>
        <w:rPr>
          <w:color w:val="231F20"/>
          <w:spacing w:val="-2"/>
          <w:w w:val="120"/>
          <w:sz w:val="17"/>
        </w:rPr>
        <w:t> </w:t>
      </w:r>
      <w:r>
        <w:rPr>
          <w:color w:val="231F20"/>
          <w:w w:val="120"/>
          <w:sz w:val="17"/>
        </w:rPr>
        <w:t>l’occupent</w:t>
      </w:r>
      <w:r>
        <w:rPr>
          <w:color w:val="231F20"/>
          <w:spacing w:val="-2"/>
          <w:w w:val="120"/>
          <w:sz w:val="17"/>
        </w:rPr>
        <w:t> </w:t>
      </w:r>
      <w:r>
        <w:rPr>
          <w:color w:val="231F20"/>
          <w:w w:val="120"/>
          <w:sz w:val="17"/>
        </w:rPr>
        <w:t>ont</w:t>
      </w:r>
      <w:r>
        <w:rPr>
          <w:color w:val="231F20"/>
          <w:spacing w:val="-2"/>
          <w:w w:val="120"/>
          <w:sz w:val="17"/>
        </w:rPr>
        <w:t> </w:t>
      </w:r>
      <w:r>
        <w:rPr>
          <w:color w:val="231F20"/>
          <w:w w:val="120"/>
          <w:sz w:val="17"/>
        </w:rPr>
        <w:t>tendance</w:t>
      </w:r>
      <w:r>
        <w:rPr>
          <w:color w:val="231F20"/>
          <w:spacing w:val="-2"/>
          <w:w w:val="120"/>
          <w:sz w:val="17"/>
        </w:rPr>
        <w:t> </w:t>
      </w:r>
      <w:r>
        <w:rPr>
          <w:color w:val="231F20"/>
          <w:w w:val="120"/>
          <w:sz w:val="17"/>
        </w:rPr>
        <w:t>à</w:t>
      </w:r>
      <w:r>
        <w:rPr>
          <w:color w:val="231F20"/>
          <w:spacing w:val="-2"/>
          <w:w w:val="120"/>
          <w:sz w:val="17"/>
        </w:rPr>
        <w:t> </w:t>
      </w:r>
      <w:r>
        <w:rPr>
          <w:color w:val="231F20"/>
          <w:w w:val="120"/>
          <w:sz w:val="17"/>
        </w:rPr>
        <w:t>exercer</w:t>
      </w:r>
      <w:r>
        <w:rPr>
          <w:color w:val="231F20"/>
          <w:spacing w:val="-2"/>
          <w:w w:val="120"/>
          <w:sz w:val="17"/>
        </w:rPr>
        <w:t> </w:t>
      </w:r>
      <w:r>
        <w:rPr>
          <w:color w:val="231F20"/>
          <w:w w:val="120"/>
          <w:sz w:val="17"/>
        </w:rPr>
        <w:t>un </w:t>
      </w:r>
      <w:r>
        <w:rPr>
          <w:color w:val="231F20"/>
          <w:spacing w:val="-2"/>
          <w:w w:val="120"/>
          <w:sz w:val="17"/>
        </w:rPr>
        <w:t>contrôle</w:t>
      </w:r>
      <w:r>
        <w:rPr>
          <w:color w:val="231F20"/>
          <w:spacing w:val="-9"/>
          <w:w w:val="120"/>
          <w:sz w:val="17"/>
        </w:rPr>
        <w:t> </w:t>
      </w:r>
      <w:r>
        <w:rPr>
          <w:color w:val="231F20"/>
          <w:spacing w:val="-2"/>
          <w:w w:val="120"/>
          <w:sz w:val="17"/>
        </w:rPr>
        <w:t>sur</w:t>
      </w:r>
      <w:r>
        <w:rPr>
          <w:color w:val="231F20"/>
          <w:spacing w:val="-9"/>
          <w:w w:val="120"/>
          <w:sz w:val="17"/>
        </w:rPr>
        <w:t> </w:t>
      </w:r>
      <w:r>
        <w:rPr>
          <w:color w:val="231F20"/>
          <w:spacing w:val="-2"/>
          <w:w w:val="120"/>
          <w:sz w:val="17"/>
        </w:rPr>
        <w:t>leurs</w:t>
      </w:r>
      <w:r>
        <w:rPr>
          <w:color w:val="231F20"/>
          <w:spacing w:val="-9"/>
          <w:w w:val="120"/>
          <w:sz w:val="17"/>
        </w:rPr>
        <w:t> </w:t>
      </w:r>
      <w:r>
        <w:rPr>
          <w:color w:val="231F20"/>
          <w:spacing w:val="-2"/>
          <w:w w:val="120"/>
          <w:sz w:val="17"/>
        </w:rPr>
        <w:t>subordonnés.</w:t>
      </w:r>
      <w:r>
        <w:rPr>
          <w:color w:val="231F20"/>
          <w:spacing w:val="-9"/>
          <w:w w:val="120"/>
          <w:sz w:val="17"/>
        </w:rPr>
        <w:t> </w:t>
      </w:r>
      <w:r>
        <w:rPr>
          <w:color w:val="231F20"/>
          <w:spacing w:val="-2"/>
          <w:w w:val="120"/>
          <w:sz w:val="17"/>
        </w:rPr>
        <w:t>Ainsi,</w:t>
      </w:r>
      <w:r>
        <w:rPr>
          <w:color w:val="231F20"/>
          <w:spacing w:val="-9"/>
          <w:w w:val="120"/>
          <w:sz w:val="17"/>
        </w:rPr>
        <w:t> </w:t>
      </w:r>
      <w:r>
        <w:rPr>
          <w:color w:val="231F20"/>
          <w:spacing w:val="-2"/>
          <w:w w:val="120"/>
          <w:sz w:val="17"/>
        </w:rPr>
        <w:t>bien</w:t>
      </w:r>
      <w:r>
        <w:rPr>
          <w:color w:val="231F20"/>
          <w:spacing w:val="-9"/>
          <w:w w:val="120"/>
          <w:sz w:val="17"/>
        </w:rPr>
        <w:t> </w:t>
      </w:r>
      <w:r>
        <w:rPr>
          <w:color w:val="231F20"/>
          <w:spacing w:val="-2"/>
          <w:w w:val="120"/>
          <w:sz w:val="17"/>
        </w:rPr>
        <w:t>que</w:t>
      </w:r>
      <w:r>
        <w:rPr>
          <w:color w:val="231F20"/>
          <w:spacing w:val="-9"/>
          <w:w w:val="120"/>
          <w:sz w:val="17"/>
        </w:rPr>
        <w:t> </w:t>
      </w:r>
      <w:r>
        <w:rPr>
          <w:color w:val="231F20"/>
          <w:spacing w:val="-2"/>
          <w:w w:val="120"/>
          <w:sz w:val="17"/>
        </w:rPr>
        <w:t>le</w:t>
      </w:r>
      <w:r>
        <w:rPr>
          <w:color w:val="231F20"/>
          <w:spacing w:val="-9"/>
          <w:w w:val="120"/>
          <w:sz w:val="17"/>
        </w:rPr>
        <w:t> </w:t>
      </w:r>
      <w:r>
        <w:rPr>
          <w:color w:val="231F20"/>
          <w:spacing w:val="-2"/>
          <w:w w:val="120"/>
          <w:sz w:val="17"/>
        </w:rPr>
        <w:t>stress</w:t>
      </w:r>
      <w:r>
        <w:rPr>
          <w:color w:val="231F20"/>
          <w:spacing w:val="-9"/>
          <w:w w:val="120"/>
          <w:sz w:val="17"/>
        </w:rPr>
        <w:t> </w:t>
      </w:r>
      <w:r>
        <w:rPr>
          <w:color w:val="231F20"/>
          <w:spacing w:val="-2"/>
          <w:w w:val="120"/>
          <w:sz w:val="17"/>
        </w:rPr>
        <w:t>soit</w:t>
      </w:r>
      <w:r>
        <w:rPr>
          <w:color w:val="231F20"/>
          <w:spacing w:val="-9"/>
          <w:w w:val="120"/>
          <w:sz w:val="17"/>
        </w:rPr>
        <w:t> </w:t>
      </w:r>
      <w:r>
        <w:rPr>
          <w:color w:val="231F20"/>
          <w:spacing w:val="-2"/>
          <w:w w:val="120"/>
          <w:sz w:val="17"/>
        </w:rPr>
        <w:t>main- </w:t>
      </w:r>
      <w:r>
        <w:rPr>
          <w:color w:val="231F20"/>
          <w:w w:val="120"/>
          <w:sz w:val="17"/>
        </w:rPr>
        <w:t>tenant présent dans toutes les strates hiérarchiques, sa nature et son</w:t>
      </w:r>
      <w:r>
        <w:rPr>
          <w:color w:val="231F20"/>
          <w:spacing w:val="-7"/>
          <w:w w:val="120"/>
          <w:sz w:val="17"/>
        </w:rPr>
        <w:t> </w:t>
      </w:r>
      <w:r>
        <w:rPr>
          <w:color w:val="231F20"/>
          <w:w w:val="120"/>
          <w:sz w:val="17"/>
        </w:rPr>
        <w:t>intensité</w:t>
      </w:r>
      <w:r>
        <w:rPr>
          <w:color w:val="231F20"/>
          <w:spacing w:val="-7"/>
          <w:w w:val="120"/>
          <w:sz w:val="17"/>
        </w:rPr>
        <w:t> </w:t>
      </w:r>
      <w:r>
        <w:rPr>
          <w:color w:val="231F20"/>
          <w:w w:val="120"/>
          <w:sz w:val="17"/>
        </w:rPr>
        <w:t>peuvent</w:t>
      </w:r>
      <w:r>
        <w:rPr>
          <w:color w:val="231F20"/>
          <w:spacing w:val="-7"/>
          <w:w w:val="120"/>
          <w:sz w:val="17"/>
        </w:rPr>
        <w:t> </w:t>
      </w:r>
      <w:r>
        <w:rPr>
          <w:color w:val="231F20"/>
          <w:w w:val="120"/>
          <w:sz w:val="17"/>
        </w:rPr>
        <w:t>grandement</w:t>
      </w:r>
      <w:r>
        <w:rPr>
          <w:color w:val="231F20"/>
          <w:spacing w:val="-7"/>
          <w:w w:val="120"/>
          <w:sz w:val="17"/>
        </w:rPr>
        <w:t> </w:t>
      </w:r>
      <w:r>
        <w:rPr>
          <w:color w:val="231F20"/>
          <w:w w:val="120"/>
          <w:sz w:val="17"/>
        </w:rPr>
        <w:t>varier</w:t>
      </w:r>
      <w:r>
        <w:rPr>
          <w:color w:val="231F20"/>
          <w:spacing w:val="-7"/>
          <w:w w:val="120"/>
          <w:sz w:val="17"/>
        </w:rPr>
        <w:t> </w:t>
      </w:r>
      <w:r>
        <w:rPr>
          <w:color w:val="231F20"/>
          <w:w w:val="120"/>
          <w:sz w:val="17"/>
        </w:rPr>
        <w:t>en</w:t>
      </w:r>
      <w:r>
        <w:rPr>
          <w:color w:val="231F20"/>
          <w:spacing w:val="-7"/>
          <w:w w:val="120"/>
          <w:sz w:val="17"/>
        </w:rPr>
        <w:t> </w:t>
      </w:r>
      <w:r>
        <w:rPr>
          <w:color w:val="231F20"/>
          <w:w w:val="120"/>
          <w:sz w:val="17"/>
        </w:rPr>
        <w:t>fonction</w:t>
      </w:r>
      <w:r>
        <w:rPr>
          <w:color w:val="231F20"/>
          <w:spacing w:val="-7"/>
          <w:w w:val="120"/>
          <w:sz w:val="17"/>
        </w:rPr>
        <w:t> </w:t>
      </w:r>
      <w:r>
        <w:rPr>
          <w:color w:val="231F20"/>
          <w:w w:val="120"/>
          <w:sz w:val="17"/>
        </w:rPr>
        <w:t>du</w:t>
      </w:r>
      <w:r>
        <w:rPr>
          <w:color w:val="231F20"/>
          <w:spacing w:val="-7"/>
          <w:w w:val="120"/>
          <w:sz w:val="17"/>
        </w:rPr>
        <w:t> </w:t>
      </w:r>
      <w:r>
        <w:rPr>
          <w:color w:val="231F20"/>
          <w:w w:val="120"/>
          <w:sz w:val="17"/>
        </w:rPr>
        <w:t>position- nement d’un employé. Il en revient aux gestionnaires de bien cerner les stresseurs particuliers dans leur unité de travail et de privilégier une organisation et une distribution des tâches qui limitera l’intensité du stress.</w:t>
      </w:r>
    </w:p>
    <w:p>
      <w:pPr>
        <w:spacing w:after="0" w:line="307" w:lineRule="auto"/>
        <w:jc w:val="both"/>
        <w:rPr>
          <w:sz w:val="17"/>
        </w:rPr>
        <w:sectPr>
          <w:footerReference w:type="default" r:id="rId170"/>
          <w:pgSz w:w="8640" w:h="12960"/>
          <w:pgMar w:footer="424" w:header="0" w:top="500" w:bottom="620" w:left="420" w:right="1140"/>
        </w:sectPr>
      </w:pPr>
    </w:p>
    <w:p>
      <w:pPr>
        <w:spacing w:before="103"/>
        <w:ind w:left="1028" w:right="698" w:firstLine="0"/>
        <w:jc w:val="center"/>
        <w:rPr>
          <w:rFonts w:ascii="Arial" w:hAnsi="Arial"/>
          <w:sz w:val="14"/>
        </w:rPr>
      </w:pPr>
      <w:bookmarkStart w:name=" 2.5 / Stress, émotions et santé" w:id="66"/>
      <w:bookmarkEnd w:id="66"/>
      <w:r>
        <w:rPr/>
      </w:r>
      <w:bookmarkStart w:name="_bookmark28" w:id="67"/>
      <w:bookmarkEnd w:id="67"/>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39"/>
        </w:numPr>
        <w:tabs>
          <w:tab w:pos="1331" w:val="left" w:leader="none"/>
        </w:tabs>
        <w:spacing w:line="307" w:lineRule="auto" w:before="117" w:after="0"/>
        <w:ind w:left="1330" w:right="494" w:hanging="251"/>
        <w:jc w:val="both"/>
        <w:rPr>
          <w:sz w:val="17"/>
        </w:rPr>
      </w:pPr>
      <w:r>
        <w:rPr>
          <w:i/>
          <w:color w:val="231F20"/>
          <w:w w:val="115"/>
          <w:sz w:val="17"/>
        </w:rPr>
        <w:t>La</w:t>
      </w:r>
      <w:r>
        <w:rPr>
          <w:i/>
          <w:color w:val="231F20"/>
          <w:spacing w:val="-2"/>
          <w:w w:val="115"/>
          <w:sz w:val="17"/>
        </w:rPr>
        <w:t> </w:t>
      </w:r>
      <w:r>
        <w:rPr>
          <w:i/>
          <w:color w:val="231F20"/>
          <w:w w:val="115"/>
          <w:sz w:val="17"/>
        </w:rPr>
        <w:t>technologie</w:t>
      </w:r>
      <w:r>
        <w:rPr>
          <w:color w:val="231F20"/>
          <w:w w:val="115"/>
          <w:sz w:val="17"/>
        </w:rPr>
        <w:t>.</w:t>
      </w:r>
      <w:r>
        <w:rPr>
          <w:color w:val="231F20"/>
          <w:spacing w:val="-2"/>
          <w:w w:val="115"/>
          <w:sz w:val="17"/>
        </w:rPr>
        <w:t> </w:t>
      </w:r>
      <w:r>
        <w:rPr>
          <w:color w:val="231F20"/>
          <w:w w:val="115"/>
          <w:sz w:val="17"/>
        </w:rPr>
        <w:t>L’intégration</w:t>
      </w:r>
      <w:r>
        <w:rPr>
          <w:color w:val="231F20"/>
          <w:spacing w:val="-2"/>
          <w:w w:val="115"/>
          <w:sz w:val="17"/>
        </w:rPr>
        <w:t> </w:t>
      </w:r>
      <w:r>
        <w:rPr>
          <w:color w:val="231F20"/>
          <w:w w:val="115"/>
          <w:sz w:val="17"/>
        </w:rPr>
        <w:t>de</w:t>
      </w:r>
      <w:r>
        <w:rPr>
          <w:color w:val="231F20"/>
          <w:spacing w:val="-2"/>
          <w:w w:val="115"/>
          <w:sz w:val="17"/>
        </w:rPr>
        <w:t> </w:t>
      </w:r>
      <w:r>
        <w:rPr>
          <w:color w:val="231F20"/>
          <w:w w:val="115"/>
          <w:sz w:val="17"/>
        </w:rPr>
        <w:t>nouvelles</w:t>
      </w:r>
      <w:r>
        <w:rPr>
          <w:color w:val="231F20"/>
          <w:spacing w:val="-2"/>
          <w:w w:val="115"/>
          <w:sz w:val="17"/>
        </w:rPr>
        <w:t> </w:t>
      </w:r>
      <w:r>
        <w:rPr>
          <w:color w:val="231F20"/>
          <w:w w:val="115"/>
          <w:sz w:val="17"/>
        </w:rPr>
        <w:t>technologies</w:t>
      </w:r>
      <w:r>
        <w:rPr>
          <w:color w:val="231F20"/>
          <w:spacing w:val="-2"/>
          <w:w w:val="115"/>
          <w:sz w:val="17"/>
        </w:rPr>
        <w:t> </w:t>
      </w:r>
      <w:r>
        <w:rPr>
          <w:color w:val="231F20"/>
          <w:w w:val="115"/>
          <w:sz w:val="17"/>
        </w:rPr>
        <w:t>a</w:t>
      </w:r>
      <w:r>
        <w:rPr>
          <w:color w:val="231F20"/>
          <w:spacing w:val="-2"/>
          <w:w w:val="115"/>
          <w:sz w:val="17"/>
        </w:rPr>
        <w:t> </w:t>
      </w:r>
      <w:r>
        <w:rPr>
          <w:color w:val="231F20"/>
          <w:w w:val="115"/>
          <w:sz w:val="17"/>
        </w:rPr>
        <w:t>de</w:t>
      </w:r>
      <w:r>
        <w:rPr>
          <w:color w:val="231F20"/>
          <w:spacing w:val="-2"/>
          <w:w w:val="115"/>
          <w:sz w:val="17"/>
        </w:rPr>
        <w:t> </w:t>
      </w:r>
      <w:r>
        <w:rPr>
          <w:color w:val="231F20"/>
          <w:w w:val="115"/>
          <w:sz w:val="17"/>
        </w:rPr>
        <w:t>fortes </w:t>
      </w:r>
      <w:r>
        <w:rPr>
          <w:color w:val="231F20"/>
          <w:spacing w:val="-2"/>
          <w:w w:val="120"/>
          <w:sz w:val="17"/>
        </w:rPr>
        <w:t>répercussions</w:t>
      </w:r>
      <w:r>
        <w:rPr>
          <w:color w:val="231F20"/>
          <w:spacing w:val="-9"/>
          <w:w w:val="120"/>
          <w:sz w:val="17"/>
        </w:rPr>
        <w:t> </w:t>
      </w:r>
      <w:r>
        <w:rPr>
          <w:color w:val="231F20"/>
          <w:spacing w:val="-2"/>
          <w:w w:val="120"/>
          <w:sz w:val="17"/>
        </w:rPr>
        <w:t>sur</w:t>
      </w:r>
      <w:r>
        <w:rPr>
          <w:color w:val="231F20"/>
          <w:spacing w:val="-9"/>
          <w:w w:val="120"/>
          <w:sz w:val="17"/>
        </w:rPr>
        <w:t> </w:t>
      </w:r>
      <w:r>
        <w:rPr>
          <w:color w:val="231F20"/>
          <w:spacing w:val="-2"/>
          <w:w w:val="120"/>
          <w:sz w:val="17"/>
        </w:rPr>
        <w:t>nombre</w:t>
      </w:r>
      <w:r>
        <w:rPr>
          <w:color w:val="231F20"/>
          <w:spacing w:val="-9"/>
          <w:w w:val="120"/>
          <w:sz w:val="17"/>
        </w:rPr>
        <w:t> </w:t>
      </w:r>
      <w:r>
        <w:rPr>
          <w:color w:val="231F20"/>
          <w:spacing w:val="-2"/>
          <w:w w:val="120"/>
          <w:sz w:val="17"/>
        </w:rPr>
        <w:t>d’aspects</w:t>
      </w:r>
      <w:r>
        <w:rPr>
          <w:color w:val="231F20"/>
          <w:spacing w:val="-9"/>
          <w:w w:val="120"/>
          <w:sz w:val="17"/>
        </w:rPr>
        <w:t> </w:t>
      </w:r>
      <w:r>
        <w:rPr>
          <w:color w:val="231F20"/>
          <w:spacing w:val="-2"/>
          <w:w w:val="120"/>
          <w:sz w:val="17"/>
        </w:rPr>
        <w:t>du</w:t>
      </w:r>
      <w:r>
        <w:rPr>
          <w:color w:val="231F20"/>
          <w:spacing w:val="-9"/>
          <w:w w:val="120"/>
          <w:sz w:val="17"/>
        </w:rPr>
        <w:t> </w:t>
      </w:r>
      <w:r>
        <w:rPr>
          <w:color w:val="231F20"/>
          <w:spacing w:val="-2"/>
          <w:w w:val="120"/>
          <w:sz w:val="17"/>
        </w:rPr>
        <w:t>travail</w:t>
      </w:r>
      <w:r>
        <w:rPr>
          <w:color w:val="231F20"/>
          <w:spacing w:val="-9"/>
          <w:w w:val="120"/>
          <w:sz w:val="17"/>
        </w:rPr>
        <w:t> </w:t>
      </w:r>
      <w:r>
        <w:rPr>
          <w:color w:val="231F20"/>
          <w:spacing w:val="-2"/>
          <w:w w:val="120"/>
          <w:sz w:val="17"/>
        </w:rPr>
        <w:t>et</w:t>
      </w:r>
      <w:r>
        <w:rPr>
          <w:color w:val="231F20"/>
          <w:spacing w:val="-9"/>
          <w:w w:val="120"/>
          <w:sz w:val="17"/>
        </w:rPr>
        <w:t> </w:t>
      </w:r>
      <w:r>
        <w:rPr>
          <w:color w:val="231F20"/>
          <w:spacing w:val="-2"/>
          <w:w w:val="120"/>
          <w:sz w:val="17"/>
        </w:rPr>
        <w:t>de</w:t>
      </w:r>
      <w:r>
        <w:rPr>
          <w:color w:val="231F20"/>
          <w:spacing w:val="-9"/>
          <w:w w:val="120"/>
          <w:sz w:val="17"/>
        </w:rPr>
        <w:t> </w:t>
      </w:r>
      <w:r>
        <w:rPr>
          <w:color w:val="231F20"/>
          <w:spacing w:val="-2"/>
          <w:w w:val="120"/>
          <w:sz w:val="17"/>
        </w:rPr>
        <w:t>l’organisation. </w:t>
      </w:r>
      <w:r>
        <w:rPr>
          <w:color w:val="231F20"/>
          <w:w w:val="120"/>
          <w:sz w:val="17"/>
        </w:rPr>
        <w:t>Elle</w:t>
      </w:r>
      <w:r>
        <w:rPr>
          <w:color w:val="231F20"/>
          <w:spacing w:val="-12"/>
          <w:w w:val="120"/>
          <w:sz w:val="17"/>
        </w:rPr>
        <w:t> </w:t>
      </w:r>
      <w:r>
        <w:rPr>
          <w:color w:val="231F20"/>
          <w:w w:val="120"/>
          <w:sz w:val="17"/>
        </w:rPr>
        <w:t>peut</w:t>
      </w:r>
      <w:r>
        <w:rPr>
          <w:color w:val="231F20"/>
          <w:spacing w:val="-12"/>
          <w:w w:val="120"/>
          <w:sz w:val="17"/>
        </w:rPr>
        <w:t> </w:t>
      </w:r>
      <w:r>
        <w:rPr>
          <w:color w:val="231F20"/>
          <w:w w:val="120"/>
          <w:sz w:val="17"/>
        </w:rPr>
        <w:t>s’accompagner</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changements</w:t>
      </w:r>
      <w:r>
        <w:rPr>
          <w:color w:val="231F20"/>
          <w:spacing w:val="-12"/>
          <w:w w:val="120"/>
          <w:sz w:val="17"/>
        </w:rPr>
        <w:t> </w:t>
      </w:r>
      <w:r>
        <w:rPr>
          <w:color w:val="231F20"/>
          <w:w w:val="120"/>
          <w:sz w:val="17"/>
        </w:rPr>
        <w:t>aux</w:t>
      </w:r>
      <w:r>
        <w:rPr>
          <w:color w:val="231F20"/>
          <w:spacing w:val="-12"/>
          <w:w w:val="120"/>
          <w:sz w:val="17"/>
        </w:rPr>
        <w:t> </w:t>
      </w:r>
      <w:r>
        <w:rPr>
          <w:color w:val="231F20"/>
          <w:w w:val="120"/>
          <w:sz w:val="17"/>
        </w:rPr>
        <w:t>tâches,</w:t>
      </w:r>
      <w:r>
        <w:rPr>
          <w:color w:val="231F20"/>
          <w:spacing w:val="-12"/>
          <w:w w:val="120"/>
          <w:sz w:val="17"/>
        </w:rPr>
        <w:t> </w:t>
      </w:r>
      <w:r>
        <w:rPr>
          <w:color w:val="231F20"/>
          <w:w w:val="120"/>
          <w:sz w:val="17"/>
        </w:rPr>
        <w:t>aux</w:t>
      </w:r>
      <w:r>
        <w:rPr>
          <w:color w:val="231F20"/>
          <w:spacing w:val="-12"/>
          <w:w w:val="120"/>
          <w:sz w:val="17"/>
        </w:rPr>
        <w:t> </w:t>
      </w:r>
      <w:r>
        <w:rPr>
          <w:color w:val="231F20"/>
          <w:w w:val="120"/>
          <w:sz w:val="17"/>
        </w:rPr>
        <w:t>rôles,</w:t>
      </w:r>
      <w:r>
        <w:rPr>
          <w:color w:val="231F20"/>
          <w:spacing w:val="-12"/>
          <w:w w:val="120"/>
          <w:sz w:val="17"/>
        </w:rPr>
        <w:t> </w:t>
      </w:r>
      <w:r>
        <w:rPr>
          <w:color w:val="231F20"/>
          <w:w w:val="120"/>
          <w:sz w:val="17"/>
        </w:rPr>
        <w:t>à </w:t>
      </w:r>
      <w:r>
        <w:rPr>
          <w:color w:val="231F20"/>
          <w:spacing w:val="-2"/>
          <w:w w:val="120"/>
          <w:sz w:val="17"/>
        </w:rPr>
        <w:t>la</w:t>
      </w:r>
      <w:r>
        <w:rPr>
          <w:color w:val="231F20"/>
          <w:spacing w:val="-7"/>
          <w:w w:val="120"/>
          <w:sz w:val="17"/>
        </w:rPr>
        <w:t> </w:t>
      </w:r>
      <w:r>
        <w:rPr>
          <w:color w:val="231F20"/>
          <w:spacing w:val="-2"/>
          <w:w w:val="120"/>
          <w:sz w:val="17"/>
        </w:rPr>
        <w:t>supervision,</w:t>
      </w:r>
      <w:r>
        <w:rPr>
          <w:color w:val="231F20"/>
          <w:spacing w:val="-7"/>
          <w:w w:val="120"/>
          <w:sz w:val="17"/>
        </w:rPr>
        <w:t> </w:t>
      </w:r>
      <w:r>
        <w:rPr>
          <w:color w:val="231F20"/>
          <w:spacing w:val="-2"/>
          <w:w w:val="120"/>
          <w:sz w:val="17"/>
        </w:rPr>
        <w:t>aux</w:t>
      </w:r>
      <w:r>
        <w:rPr>
          <w:color w:val="231F20"/>
          <w:spacing w:val="-7"/>
          <w:w w:val="120"/>
          <w:sz w:val="17"/>
        </w:rPr>
        <w:t> </w:t>
      </w:r>
      <w:r>
        <w:rPr>
          <w:color w:val="231F20"/>
          <w:spacing w:val="-2"/>
          <w:w w:val="120"/>
          <w:sz w:val="17"/>
        </w:rPr>
        <w:t>structures</w:t>
      </w:r>
      <w:r>
        <w:rPr>
          <w:color w:val="231F20"/>
          <w:spacing w:val="-7"/>
          <w:w w:val="120"/>
          <w:sz w:val="17"/>
        </w:rPr>
        <w:t> </w:t>
      </w:r>
      <w:r>
        <w:rPr>
          <w:color w:val="231F20"/>
          <w:spacing w:val="-2"/>
          <w:w w:val="120"/>
          <w:sz w:val="17"/>
        </w:rPr>
        <w:t>et</w:t>
      </w:r>
      <w:r>
        <w:rPr>
          <w:color w:val="231F20"/>
          <w:spacing w:val="-7"/>
          <w:w w:val="120"/>
          <w:sz w:val="17"/>
        </w:rPr>
        <w:t> </w:t>
      </w:r>
      <w:r>
        <w:rPr>
          <w:color w:val="231F20"/>
          <w:spacing w:val="-2"/>
          <w:w w:val="120"/>
          <w:sz w:val="17"/>
        </w:rPr>
        <w:t>à</w:t>
      </w:r>
      <w:r>
        <w:rPr>
          <w:color w:val="231F20"/>
          <w:spacing w:val="-7"/>
          <w:w w:val="120"/>
          <w:sz w:val="17"/>
        </w:rPr>
        <w:t> </w:t>
      </w:r>
      <w:r>
        <w:rPr>
          <w:color w:val="231F20"/>
          <w:spacing w:val="-2"/>
          <w:w w:val="120"/>
          <w:sz w:val="17"/>
        </w:rPr>
        <w:t>la</w:t>
      </w:r>
      <w:r>
        <w:rPr>
          <w:color w:val="231F20"/>
          <w:spacing w:val="-7"/>
          <w:w w:val="120"/>
          <w:sz w:val="17"/>
        </w:rPr>
        <w:t> </w:t>
      </w:r>
      <w:r>
        <w:rPr>
          <w:color w:val="231F20"/>
          <w:spacing w:val="-2"/>
          <w:w w:val="120"/>
          <w:sz w:val="17"/>
        </w:rPr>
        <w:t>culture</w:t>
      </w:r>
      <w:r>
        <w:rPr>
          <w:color w:val="231F20"/>
          <w:spacing w:val="-7"/>
          <w:w w:val="120"/>
          <w:sz w:val="17"/>
        </w:rPr>
        <w:t> </w:t>
      </w:r>
      <w:r>
        <w:rPr>
          <w:color w:val="231F20"/>
          <w:spacing w:val="-2"/>
          <w:w w:val="120"/>
          <w:sz w:val="17"/>
        </w:rPr>
        <w:t>organisationnelle.</w:t>
      </w:r>
      <w:r>
        <w:rPr>
          <w:color w:val="231F20"/>
          <w:spacing w:val="-7"/>
          <w:w w:val="120"/>
          <w:sz w:val="17"/>
        </w:rPr>
        <w:t> </w:t>
      </w:r>
      <w:r>
        <w:rPr>
          <w:color w:val="231F20"/>
          <w:spacing w:val="-2"/>
          <w:w w:val="120"/>
          <w:sz w:val="17"/>
        </w:rPr>
        <w:t>Ces </w:t>
      </w:r>
      <w:r>
        <w:rPr>
          <w:color w:val="231F20"/>
          <w:spacing w:val="-4"/>
          <w:w w:val="120"/>
          <w:sz w:val="17"/>
        </w:rPr>
        <w:t>changements</w:t>
      </w:r>
      <w:r>
        <w:rPr>
          <w:color w:val="231F20"/>
          <w:spacing w:val="-9"/>
          <w:w w:val="120"/>
          <w:sz w:val="17"/>
        </w:rPr>
        <w:t> </w:t>
      </w:r>
      <w:r>
        <w:rPr>
          <w:color w:val="231F20"/>
          <w:spacing w:val="-4"/>
          <w:w w:val="120"/>
          <w:sz w:val="17"/>
        </w:rPr>
        <w:t>peuvent</w:t>
      </w:r>
      <w:r>
        <w:rPr>
          <w:color w:val="231F20"/>
          <w:spacing w:val="-9"/>
          <w:w w:val="120"/>
          <w:sz w:val="17"/>
        </w:rPr>
        <w:t> </w:t>
      </w:r>
      <w:r>
        <w:rPr>
          <w:color w:val="231F20"/>
          <w:spacing w:val="-4"/>
          <w:w w:val="120"/>
          <w:sz w:val="17"/>
        </w:rPr>
        <w:t>ouvrir</w:t>
      </w:r>
      <w:r>
        <w:rPr>
          <w:color w:val="231F20"/>
          <w:spacing w:val="-9"/>
          <w:w w:val="120"/>
          <w:sz w:val="17"/>
        </w:rPr>
        <w:t> </w:t>
      </w:r>
      <w:r>
        <w:rPr>
          <w:color w:val="231F20"/>
          <w:spacing w:val="-4"/>
          <w:w w:val="120"/>
          <w:sz w:val="17"/>
        </w:rPr>
        <w:t>la</w:t>
      </w:r>
      <w:r>
        <w:rPr>
          <w:color w:val="231F20"/>
          <w:spacing w:val="-8"/>
          <w:w w:val="120"/>
          <w:sz w:val="17"/>
        </w:rPr>
        <w:t> </w:t>
      </w:r>
      <w:r>
        <w:rPr>
          <w:color w:val="231F20"/>
          <w:spacing w:val="-4"/>
          <w:w w:val="120"/>
          <w:sz w:val="17"/>
        </w:rPr>
        <w:t>voie</w:t>
      </w:r>
      <w:r>
        <w:rPr>
          <w:color w:val="231F20"/>
          <w:spacing w:val="-9"/>
          <w:w w:val="120"/>
          <w:sz w:val="17"/>
        </w:rPr>
        <w:t> </w:t>
      </w:r>
      <w:r>
        <w:rPr>
          <w:color w:val="231F20"/>
          <w:spacing w:val="-4"/>
          <w:w w:val="120"/>
          <w:sz w:val="17"/>
        </w:rPr>
        <w:t>à</w:t>
      </w:r>
      <w:r>
        <w:rPr>
          <w:color w:val="231F20"/>
          <w:spacing w:val="-9"/>
          <w:w w:val="120"/>
          <w:sz w:val="17"/>
        </w:rPr>
        <w:t> </w:t>
      </w:r>
      <w:r>
        <w:rPr>
          <w:color w:val="231F20"/>
          <w:spacing w:val="-4"/>
          <w:w w:val="120"/>
          <w:sz w:val="17"/>
        </w:rPr>
        <w:t>de</w:t>
      </w:r>
      <w:r>
        <w:rPr>
          <w:color w:val="231F20"/>
          <w:spacing w:val="-9"/>
          <w:w w:val="120"/>
          <w:sz w:val="17"/>
        </w:rPr>
        <w:t> </w:t>
      </w:r>
      <w:r>
        <w:rPr>
          <w:color w:val="231F20"/>
          <w:spacing w:val="-4"/>
          <w:w w:val="120"/>
          <w:sz w:val="17"/>
        </w:rPr>
        <w:t>nouveaux</w:t>
      </w:r>
      <w:r>
        <w:rPr>
          <w:color w:val="231F20"/>
          <w:spacing w:val="-8"/>
          <w:w w:val="120"/>
          <w:sz w:val="17"/>
        </w:rPr>
        <w:t> </w:t>
      </w:r>
      <w:r>
        <w:rPr>
          <w:color w:val="231F20"/>
          <w:spacing w:val="-4"/>
          <w:w w:val="120"/>
          <w:sz w:val="17"/>
        </w:rPr>
        <w:t>agents</w:t>
      </w:r>
      <w:r>
        <w:rPr>
          <w:color w:val="231F20"/>
          <w:spacing w:val="-9"/>
          <w:w w:val="120"/>
          <w:sz w:val="17"/>
        </w:rPr>
        <w:t> </w:t>
      </w:r>
      <w:r>
        <w:rPr>
          <w:color w:val="231F20"/>
          <w:spacing w:val="-4"/>
          <w:w w:val="120"/>
          <w:sz w:val="17"/>
        </w:rPr>
        <w:t>stressants </w:t>
      </w:r>
      <w:r>
        <w:rPr>
          <w:color w:val="231F20"/>
          <w:w w:val="120"/>
          <w:sz w:val="17"/>
        </w:rPr>
        <w:t>en</w:t>
      </w:r>
      <w:r>
        <w:rPr>
          <w:color w:val="231F20"/>
          <w:spacing w:val="-9"/>
          <w:w w:val="120"/>
          <w:sz w:val="17"/>
        </w:rPr>
        <w:t> </w:t>
      </w:r>
      <w:r>
        <w:rPr>
          <w:color w:val="231F20"/>
          <w:w w:val="120"/>
          <w:sz w:val="17"/>
        </w:rPr>
        <w:t>milieu</w:t>
      </w:r>
      <w:r>
        <w:rPr>
          <w:color w:val="231F20"/>
          <w:spacing w:val="-9"/>
          <w:w w:val="120"/>
          <w:sz w:val="17"/>
        </w:rPr>
        <w:t> </w:t>
      </w:r>
      <w:r>
        <w:rPr>
          <w:color w:val="231F20"/>
          <w:w w:val="120"/>
          <w:sz w:val="17"/>
        </w:rPr>
        <w:t>de</w:t>
      </w:r>
      <w:r>
        <w:rPr>
          <w:color w:val="231F20"/>
          <w:spacing w:val="-9"/>
          <w:w w:val="120"/>
          <w:sz w:val="17"/>
        </w:rPr>
        <w:t> </w:t>
      </w:r>
      <w:r>
        <w:rPr>
          <w:color w:val="231F20"/>
          <w:w w:val="120"/>
          <w:sz w:val="17"/>
        </w:rPr>
        <w:t>travail,</w:t>
      </w:r>
      <w:r>
        <w:rPr>
          <w:color w:val="231F20"/>
          <w:spacing w:val="-9"/>
          <w:w w:val="120"/>
          <w:sz w:val="17"/>
        </w:rPr>
        <w:t> </w:t>
      </w:r>
      <w:r>
        <w:rPr>
          <w:color w:val="231F20"/>
          <w:w w:val="120"/>
          <w:sz w:val="17"/>
        </w:rPr>
        <w:t>tout</w:t>
      </w:r>
      <w:r>
        <w:rPr>
          <w:color w:val="231F20"/>
          <w:spacing w:val="-9"/>
          <w:w w:val="120"/>
          <w:sz w:val="17"/>
        </w:rPr>
        <w:t> </w:t>
      </w:r>
      <w:r>
        <w:rPr>
          <w:color w:val="231F20"/>
          <w:w w:val="120"/>
          <w:sz w:val="17"/>
        </w:rPr>
        <w:t>en</w:t>
      </w:r>
      <w:r>
        <w:rPr>
          <w:color w:val="231F20"/>
          <w:spacing w:val="-9"/>
          <w:w w:val="120"/>
          <w:sz w:val="17"/>
        </w:rPr>
        <w:t> </w:t>
      </w:r>
      <w:r>
        <w:rPr>
          <w:color w:val="231F20"/>
          <w:w w:val="120"/>
          <w:sz w:val="17"/>
        </w:rPr>
        <w:t>pouvant</w:t>
      </w:r>
      <w:r>
        <w:rPr>
          <w:color w:val="231F20"/>
          <w:spacing w:val="-9"/>
          <w:w w:val="120"/>
          <w:sz w:val="17"/>
        </w:rPr>
        <w:t> </w:t>
      </w:r>
      <w:r>
        <w:rPr>
          <w:color w:val="231F20"/>
          <w:w w:val="120"/>
          <w:sz w:val="17"/>
        </w:rPr>
        <w:t>parfois</w:t>
      </w:r>
      <w:r>
        <w:rPr>
          <w:color w:val="231F20"/>
          <w:spacing w:val="-9"/>
          <w:w w:val="120"/>
          <w:sz w:val="17"/>
        </w:rPr>
        <w:t> </w:t>
      </w:r>
      <w:r>
        <w:rPr>
          <w:color w:val="231F20"/>
          <w:w w:val="120"/>
          <w:sz w:val="17"/>
        </w:rPr>
        <w:t>en</w:t>
      </w:r>
      <w:r>
        <w:rPr>
          <w:color w:val="231F20"/>
          <w:spacing w:val="-9"/>
          <w:w w:val="120"/>
          <w:sz w:val="17"/>
        </w:rPr>
        <w:t> </w:t>
      </w:r>
      <w:r>
        <w:rPr>
          <w:color w:val="231F20"/>
          <w:w w:val="120"/>
          <w:sz w:val="17"/>
        </w:rPr>
        <w:t>éliminer</w:t>
      </w:r>
      <w:r>
        <w:rPr>
          <w:color w:val="231F20"/>
          <w:spacing w:val="-9"/>
          <w:w w:val="120"/>
          <w:sz w:val="17"/>
        </w:rPr>
        <w:t> </w:t>
      </w:r>
      <w:r>
        <w:rPr>
          <w:color w:val="231F20"/>
          <w:w w:val="120"/>
          <w:sz w:val="17"/>
        </w:rPr>
        <w:t>d’autres.</w:t>
      </w:r>
    </w:p>
    <w:p>
      <w:pPr>
        <w:pStyle w:val="ListParagraph"/>
        <w:numPr>
          <w:ilvl w:val="0"/>
          <w:numId w:val="39"/>
        </w:numPr>
        <w:tabs>
          <w:tab w:pos="1331" w:val="left" w:leader="none"/>
        </w:tabs>
        <w:spacing w:line="307" w:lineRule="auto" w:before="0" w:after="0"/>
        <w:ind w:left="1330" w:right="495" w:hanging="251"/>
        <w:jc w:val="both"/>
        <w:rPr>
          <w:sz w:val="17"/>
        </w:rPr>
      </w:pPr>
      <w:r>
        <w:rPr>
          <w:i/>
          <w:color w:val="231F20"/>
          <w:spacing w:val="-2"/>
          <w:w w:val="115"/>
          <w:sz w:val="17"/>
        </w:rPr>
        <w:t>La</w:t>
      </w:r>
      <w:r>
        <w:rPr>
          <w:i/>
          <w:color w:val="231F20"/>
          <w:spacing w:val="-11"/>
          <w:w w:val="115"/>
          <w:sz w:val="17"/>
        </w:rPr>
        <w:t> </w:t>
      </w:r>
      <w:r>
        <w:rPr>
          <w:i/>
          <w:color w:val="231F20"/>
          <w:spacing w:val="-2"/>
          <w:w w:val="115"/>
          <w:sz w:val="17"/>
        </w:rPr>
        <w:t>culture</w:t>
      </w:r>
      <w:r>
        <w:rPr>
          <w:i/>
          <w:color w:val="231F20"/>
          <w:spacing w:val="-10"/>
          <w:w w:val="115"/>
          <w:sz w:val="17"/>
        </w:rPr>
        <w:t> </w:t>
      </w:r>
      <w:r>
        <w:rPr>
          <w:i/>
          <w:color w:val="231F20"/>
          <w:spacing w:val="-2"/>
          <w:w w:val="115"/>
          <w:sz w:val="17"/>
        </w:rPr>
        <w:t>organisationnelle</w:t>
      </w:r>
      <w:r>
        <w:rPr>
          <w:color w:val="231F20"/>
          <w:spacing w:val="-2"/>
          <w:w w:val="115"/>
          <w:sz w:val="17"/>
        </w:rPr>
        <w:t>.</w:t>
      </w:r>
      <w:r>
        <w:rPr>
          <w:color w:val="231F20"/>
          <w:spacing w:val="-10"/>
          <w:w w:val="115"/>
          <w:sz w:val="17"/>
        </w:rPr>
        <w:t> </w:t>
      </w:r>
      <w:r>
        <w:rPr>
          <w:color w:val="231F20"/>
          <w:spacing w:val="-2"/>
          <w:w w:val="115"/>
          <w:sz w:val="17"/>
        </w:rPr>
        <w:t>La</w:t>
      </w:r>
      <w:r>
        <w:rPr>
          <w:color w:val="231F20"/>
          <w:spacing w:val="-10"/>
          <w:w w:val="115"/>
          <w:sz w:val="17"/>
        </w:rPr>
        <w:t> </w:t>
      </w:r>
      <w:r>
        <w:rPr>
          <w:color w:val="231F20"/>
          <w:spacing w:val="-2"/>
          <w:w w:val="115"/>
          <w:sz w:val="17"/>
        </w:rPr>
        <w:t>culture</w:t>
      </w:r>
      <w:r>
        <w:rPr>
          <w:color w:val="231F20"/>
          <w:spacing w:val="-11"/>
          <w:w w:val="115"/>
          <w:sz w:val="17"/>
        </w:rPr>
        <w:t> </w:t>
      </w:r>
      <w:r>
        <w:rPr>
          <w:color w:val="231F20"/>
          <w:spacing w:val="-2"/>
          <w:w w:val="115"/>
          <w:sz w:val="17"/>
        </w:rPr>
        <w:t>d’une</w:t>
      </w:r>
      <w:r>
        <w:rPr>
          <w:color w:val="231F20"/>
          <w:spacing w:val="-10"/>
          <w:w w:val="115"/>
          <w:sz w:val="17"/>
        </w:rPr>
        <w:t> </w:t>
      </w:r>
      <w:r>
        <w:rPr>
          <w:color w:val="231F20"/>
          <w:spacing w:val="-2"/>
          <w:w w:val="115"/>
          <w:sz w:val="17"/>
        </w:rPr>
        <w:t>organisation</w:t>
      </w:r>
      <w:r>
        <w:rPr>
          <w:color w:val="231F20"/>
          <w:spacing w:val="-10"/>
          <w:w w:val="115"/>
          <w:sz w:val="17"/>
        </w:rPr>
        <w:t> </w:t>
      </w:r>
      <w:r>
        <w:rPr>
          <w:color w:val="231F20"/>
          <w:spacing w:val="-2"/>
          <w:w w:val="115"/>
          <w:sz w:val="17"/>
        </w:rPr>
        <w:t>s’articule </w:t>
      </w:r>
      <w:r>
        <w:rPr>
          <w:color w:val="231F20"/>
          <w:w w:val="120"/>
          <w:sz w:val="17"/>
        </w:rPr>
        <w:t>autour</w:t>
      </w:r>
      <w:r>
        <w:rPr>
          <w:color w:val="231F20"/>
          <w:spacing w:val="-7"/>
          <w:w w:val="120"/>
          <w:sz w:val="17"/>
        </w:rPr>
        <w:t> </w:t>
      </w:r>
      <w:r>
        <w:rPr>
          <w:color w:val="231F20"/>
          <w:w w:val="120"/>
          <w:sz w:val="17"/>
        </w:rPr>
        <w:t>des</w:t>
      </w:r>
      <w:r>
        <w:rPr>
          <w:color w:val="231F20"/>
          <w:spacing w:val="-7"/>
          <w:w w:val="120"/>
          <w:sz w:val="17"/>
        </w:rPr>
        <w:t> </w:t>
      </w:r>
      <w:r>
        <w:rPr>
          <w:color w:val="231F20"/>
          <w:w w:val="120"/>
          <w:sz w:val="17"/>
        </w:rPr>
        <w:t>valeurs</w:t>
      </w:r>
      <w:r>
        <w:rPr>
          <w:color w:val="231F20"/>
          <w:spacing w:val="-7"/>
          <w:w w:val="120"/>
          <w:sz w:val="17"/>
        </w:rPr>
        <w:t> </w:t>
      </w:r>
      <w:r>
        <w:rPr>
          <w:color w:val="231F20"/>
          <w:w w:val="120"/>
          <w:sz w:val="17"/>
        </w:rPr>
        <w:t>mises</w:t>
      </w:r>
      <w:r>
        <w:rPr>
          <w:color w:val="231F20"/>
          <w:spacing w:val="-7"/>
          <w:w w:val="120"/>
          <w:sz w:val="17"/>
        </w:rPr>
        <w:t> </w:t>
      </w:r>
      <w:r>
        <w:rPr>
          <w:color w:val="231F20"/>
          <w:w w:val="120"/>
          <w:sz w:val="17"/>
        </w:rPr>
        <w:t>de</w:t>
      </w:r>
      <w:r>
        <w:rPr>
          <w:color w:val="231F20"/>
          <w:spacing w:val="-7"/>
          <w:w w:val="120"/>
          <w:sz w:val="17"/>
        </w:rPr>
        <w:t> </w:t>
      </w:r>
      <w:r>
        <w:rPr>
          <w:color w:val="231F20"/>
          <w:w w:val="120"/>
          <w:sz w:val="17"/>
        </w:rPr>
        <w:t>l’avant</w:t>
      </w:r>
      <w:r>
        <w:rPr>
          <w:color w:val="231F20"/>
          <w:spacing w:val="-7"/>
          <w:w w:val="120"/>
          <w:sz w:val="17"/>
        </w:rPr>
        <w:t> </w:t>
      </w:r>
      <w:r>
        <w:rPr>
          <w:color w:val="231F20"/>
          <w:w w:val="120"/>
          <w:sz w:val="17"/>
        </w:rPr>
        <w:t>par</w:t>
      </w:r>
      <w:r>
        <w:rPr>
          <w:color w:val="231F20"/>
          <w:spacing w:val="-7"/>
          <w:w w:val="120"/>
          <w:sz w:val="17"/>
        </w:rPr>
        <w:t> </w:t>
      </w:r>
      <w:r>
        <w:rPr>
          <w:color w:val="231F20"/>
          <w:w w:val="120"/>
          <w:sz w:val="17"/>
        </w:rPr>
        <w:t>une</w:t>
      </w:r>
      <w:r>
        <w:rPr>
          <w:color w:val="231F20"/>
          <w:spacing w:val="-7"/>
          <w:w w:val="120"/>
          <w:sz w:val="17"/>
        </w:rPr>
        <w:t> </w:t>
      </w:r>
      <w:r>
        <w:rPr>
          <w:color w:val="231F20"/>
          <w:w w:val="120"/>
          <w:sz w:val="17"/>
        </w:rPr>
        <w:t>entreprise</w:t>
      </w:r>
      <w:r>
        <w:rPr>
          <w:color w:val="231F20"/>
          <w:spacing w:val="-7"/>
          <w:w w:val="120"/>
          <w:sz w:val="17"/>
        </w:rPr>
        <w:t> </w:t>
      </w:r>
      <w:r>
        <w:rPr>
          <w:color w:val="231F20"/>
          <w:w w:val="120"/>
          <w:sz w:val="17"/>
        </w:rPr>
        <w:t>ou</w:t>
      </w:r>
      <w:r>
        <w:rPr>
          <w:color w:val="231F20"/>
          <w:spacing w:val="-7"/>
          <w:w w:val="120"/>
          <w:sz w:val="17"/>
        </w:rPr>
        <w:t> </w:t>
      </w:r>
      <w:r>
        <w:rPr>
          <w:color w:val="231F20"/>
          <w:w w:val="120"/>
          <w:sz w:val="17"/>
        </w:rPr>
        <w:t>par</w:t>
      </w:r>
      <w:r>
        <w:rPr>
          <w:color w:val="231F20"/>
          <w:spacing w:val="-7"/>
          <w:w w:val="120"/>
          <w:sz w:val="17"/>
        </w:rPr>
        <w:t> </w:t>
      </w:r>
      <w:r>
        <w:rPr>
          <w:color w:val="231F20"/>
          <w:w w:val="120"/>
          <w:sz w:val="17"/>
        </w:rPr>
        <w:t>une unité</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gestion.</w:t>
      </w:r>
      <w:r>
        <w:rPr>
          <w:color w:val="231F20"/>
          <w:spacing w:val="-11"/>
          <w:w w:val="120"/>
          <w:sz w:val="17"/>
        </w:rPr>
        <w:t> </w:t>
      </w:r>
      <w:r>
        <w:rPr>
          <w:color w:val="231F20"/>
          <w:w w:val="120"/>
          <w:sz w:val="17"/>
        </w:rPr>
        <w:t>Cette</w:t>
      </w:r>
      <w:r>
        <w:rPr>
          <w:color w:val="231F20"/>
          <w:spacing w:val="-11"/>
          <w:w w:val="120"/>
          <w:sz w:val="17"/>
        </w:rPr>
        <w:t> </w:t>
      </w:r>
      <w:r>
        <w:rPr>
          <w:color w:val="231F20"/>
          <w:w w:val="120"/>
          <w:sz w:val="17"/>
        </w:rPr>
        <w:t>culture</w:t>
      </w:r>
      <w:r>
        <w:rPr>
          <w:color w:val="231F20"/>
          <w:spacing w:val="-11"/>
          <w:w w:val="120"/>
          <w:sz w:val="17"/>
        </w:rPr>
        <w:t> </w:t>
      </w:r>
      <w:r>
        <w:rPr>
          <w:color w:val="231F20"/>
          <w:w w:val="120"/>
          <w:sz w:val="17"/>
        </w:rPr>
        <w:t>balise</w:t>
      </w:r>
      <w:r>
        <w:rPr>
          <w:color w:val="231F20"/>
          <w:spacing w:val="-11"/>
          <w:w w:val="120"/>
          <w:sz w:val="17"/>
        </w:rPr>
        <w:t> </w:t>
      </w:r>
      <w:r>
        <w:rPr>
          <w:color w:val="231F20"/>
          <w:w w:val="120"/>
          <w:sz w:val="17"/>
        </w:rPr>
        <w:t>les</w:t>
      </w:r>
      <w:r>
        <w:rPr>
          <w:color w:val="231F20"/>
          <w:spacing w:val="-11"/>
          <w:w w:val="120"/>
          <w:sz w:val="17"/>
        </w:rPr>
        <w:t> </w:t>
      </w:r>
      <w:r>
        <w:rPr>
          <w:color w:val="231F20"/>
          <w:w w:val="120"/>
          <w:sz w:val="17"/>
        </w:rPr>
        <w:t>actions</w:t>
      </w:r>
      <w:r>
        <w:rPr>
          <w:color w:val="231F20"/>
          <w:spacing w:val="-11"/>
          <w:w w:val="120"/>
          <w:sz w:val="17"/>
        </w:rPr>
        <w:t> </w:t>
      </w:r>
      <w:r>
        <w:rPr>
          <w:color w:val="231F20"/>
          <w:w w:val="120"/>
          <w:sz w:val="17"/>
        </w:rPr>
        <w:t>recherchées</w:t>
      </w:r>
      <w:r>
        <w:rPr>
          <w:color w:val="231F20"/>
          <w:spacing w:val="-11"/>
          <w:w w:val="120"/>
          <w:sz w:val="17"/>
        </w:rPr>
        <w:t> </w:t>
      </w:r>
      <w:r>
        <w:rPr>
          <w:color w:val="231F20"/>
          <w:w w:val="120"/>
          <w:sz w:val="17"/>
        </w:rPr>
        <w:t>chez </w:t>
      </w:r>
      <w:r>
        <w:rPr>
          <w:color w:val="231F20"/>
          <w:spacing w:val="-2"/>
          <w:w w:val="120"/>
          <w:sz w:val="17"/>
        </w:rPr>
        <w:t>les</w:t>
      </w:r>
      <w:r>
        <w:rPr>
          <w:color w:val="231F20"/>
          <w:spacing w:val="-7"/>
          <w:w w:val="120"/>
          <w:sz w:val="17"/>
        </w:rPr>
        <w:t> </w:t>
      </w:r>
      <w:r>
        <w:rPr>
          <w:color w:val="231F20"/>
          <w:spacing w:val="-2"/>
          <w:w w:val="120"/>
          <w:sz w:val="17"/>
        </w:rPr>
        <w:t>travailleurs</w:t>
      </w:r>
      <w:r>
        <w:rPr>
          <w:color w:val="231F20"/>
          <w:spacing w:val="-7"/>
          <w:w w:val="120"/>
          <w:sz w:val="17"/>
        </w:rPr>
        <w:t> </w:t>
      </w:r>
      <w:r>
        <w:rPr>
          <w:color w:val="231F20"/>
          <w:spacing w:val="-2"/>
          <w:w w:val="120"/>
          <w:sz w:val="17"/>
        </w:rPr>
        <w:t>en</w:t>
      </w:r>
      <w:r>
        <w:rPr>
          <w:color w:val="231F20"/>
          <w:spacing w:val="-7"/>
          <w:w w:val="120"/>
          <w:sz w:val="17"/>
        </w:rPr>
        <w:t> </w:t>
      </w:r>
      <w:r>
        <w:rPr>
          <w:color w:val="231F20"/>
          <w:spacing w:val="-2"/>
          <w:w w:val="120"/>
          <w:sz w:val="17"/>
        </w:rPr>
        <w:t>fonction</w:t>
      </w:r>
      <w:r>
        <w:rPr>
          <w:color w:val="231F20"/>
          <w:spacing w:val="-7"/>
          <w:w w:val="120"/>
          <w:sz w:val="17"/>
        </w:rPr>
        <w:t> </w:t>
      </w:r>
      <w:r>
        <w:rPr>
          <w:color w:val="231F20"/>
          <w:spacing w:val="-2"/>
          <w:w w:val="120"/>
          <w:sz w:val="17"/>
        </w:rPr>
        <w:t>de</w:t>
      </w:r>
      <w:r>
        <w:rPr>
          <w:color w:val="231F20"/>
          <w:spacing w:val="-7"/>
          <w:w w:val="120"/>
          <w:sz w:val="17"/>
        </w:rPr>
        <w:t> </w:t>
      </w:r>
      <w:r>
        <w:rPr>
          <w:color w:val="231F20"/>
          <w:spacing w:val="-2"/>
          <w:w w:val="120"/>
          <w:sz w:val="17"/>
        </w:rPr>
        <w:t>l’atteinte</w:t>
      </w:r>
      <w:r>
        <w:rPr>
          <w:color w:val="231F20"/>
          <w:spacing w:val="-7"/>
          <w:w w:val="120"/>
          <w:sz w:val="17"/>
        </w:rPr>
        <w:t> </w:t>
      </w:r>
      <w:r>
        <w:rPr>
          <w:color w:val="231F20"/>
          <w:spacing w:val="-2"/>
          <w:w w:val="120"/>
          <w:sz w:val="17"/>
        </w:rPr>
        <w:t>des</w:t>
      </w:r>
      <w:r>
        <w:rPr>
          <w:color w:val="231F20"/>
          <w:spacing w:val="-7"/>
          <w:w w:val="120"/>
          <w:sz w:val="17"/>
        </w:rPr>
        <w:t> </w:t>
      </w:r>
      <w:r>
        <w:rPr>
          <w:color w:val="231F20"/>
          <w:spacing w:val="-2"/>
          <w:w w:val="120"/>
          <w:sz w:val="17"/>
        </w:rPr>
        <w:t>objectifs</w:t>
      </w:r>
      <w:r>
        <w:rPr>
          <w:color w:val="231F20"/>
          <w:spacing w:val="-7"/>
          <w:w w:val="120"/>
          <w:sz w:val="17"/>
        </w:rPr>
        <w:t> </w:t>
      </w:r>
      <w:r>
        <w:rPr>
          <w:color w:val="231F20"/>
          <w:spacing w:val="-2"/>
          <w:w w:val="120"/>
          <w:sz w:val="17"/>
        </w:rPr>
        <w:t>organisation- </w:t>
      </w:r>
      <w:r>
        <w:rPr>
          <w:color w:val="231F20"/>
          <w:w w:val="120"/>
          <w:sz w:val="17"/>
        </w:rPr>
        <w:t>nels.</w:t>
      </w:r>
      <w:r>
        <w:rPr>
          <w:color w:val="231F20"/>
          <w:spacing w:val="-2"/>
          <w:w w:val="120"/>
          <w:sz w:val="17"/>
        </w:rPr>
        <w:t> </w:t>
      </w:r>
      <w:r>
        <w:rPr>
          <w:color w:val="231F20"/>
          <w:w w:val="120"/>
          <w:sz w:val="17"/>
        </w:rPr>
        <w:t>Cependant,</w:t>
      </w:r>
      <w:r>
        <w:rPr>
          <w:color w:val="231F20"/>
          <w:spacing w:val="-2"/>
          <w:w w:val="120"/>
          <w:sz w:val="17"/>
        </w:rPr>
        <w:t> </w:t>
      </w:r>
      <w:r>
        <w:rPr>
          <w:color w:val="231F20"/>
          <w:w w:val="120"/>
          <w:sz w:val="17"/>
        </w:rPr>
        <w:t>cette</w:t>
      </w:r>
      <w:r>
        <w:rPr>
          <w:color w:val="231F20"/>
          <w:spacing w:val="-2"/>
          <w:w w:val="120"/>
          <w:sz w:val="17"/>
        </w:rPr>
        <w:t> </w:t>
      </w:r>
      <w:r>
        <w:rPr>
          <w:color w:val="231F20"/>
          <w:w w:val="120"/>
          <w:sz w:val="17"/>
        </w:rPr>
        <w:t>culture</w:t>
      </w:r>
      <w:r>
        <w:rPr>
          <w:color w:val="231F20"/>
          <w:spacing w:val="-2"/>
          <w:w w:val="120"/>
          <w:sz w:val="17"/>
        </w:rPr>
        <w:t> </w:t>
      </w:r>
      <w:r>
        <w:rPr>
          <w:color w:val="231F20"/>
          <w:w w:val="120"/>
          <w:sz w:val="17"/>
        </w:rPr>
        <w:t>peut</w:t>
      </w:r>
      <w:r>
        <w:rPr>
          <w:color w:val="231F20"/>
          <w:spacing w:val="-2"/>
          <w:w w:val="120"/>
          <w:sz w:val="17"/>
        </w:rPr>
        <w:t> </w:t>
      </w:r>
      <w:r>
        <w:rPr>
          <w:color w:val="231F20"/>
          <w:w w:val="120"/>
          <w:sz w:val="17"/>
        </w:rPr>
        <w:t>aussi</w:t>
      </w:r>
      <w:r>
        <w:rPr>
          <w:color w:val="231F20"/>
          <w:spacing w:val="-2"/>
          <w:w w:val="120"/>
          <w:sz w:val="17"/>
        </w:rPr>
        <w:t> </w:t>
      </w:r>
      <w:r>
        <w:rPr>
          <w:color w:val="231F20"/>
          <w:w w:val="120"/>
          <w:sz w:val="17"/>
        </w:rPr>
        <w:t>parfois</w:t>
      </w:r>
      <w:r>
        <w:rPr>
          <w:color w:val="231F20"/>
          <w:spacing w:val="-2"/>
          <w:w w:val="120"/>
          <w:sz w:val="17"/>
        </w:rPr>
        <w:t> </w:t>
      </w:r>
      <w:r>
        <w:rPr>
          <w:color w:val="231F20"/>
          <w:w w:val="120"/>
          <w:sz w:val="17"/>
        </w:rPr>
        <w:t>promouvoir</w:t>
      </w:r>
      <w:r>
        <w:rPr>
          <w:color w:val="231F20"/>
          <w:spacing w:val="-2"/>
          <w:w w:val="120"/>
          <w:sz w:val="17"/>
        </w:rPr>
        <w:t> </w:t>
      </w:r>
      <w:r>
        <w:rPr>
          <w:color w:val="231F20"/>
          <w:w w:val="120"/>
          <w:sz w:val="17"/>
        </w:rPr>
        <w:t>des comportements</w:t>
      </w:r>
      <w:r>
        <w:rPr>
          <w:color w:val="231F20"/>
          <w:spacing w:val="-2"/>
          <w:w w:val="120"/>
          <w:sz w:val="17"/>
        </w:rPr>
        <w:t> </w:t>
      </w:r>
      <w:r>
        <w:rPr>
          <w:color w:val="231F20"/>
          <w:w w:val="120"/>
          <w:sz w:val="17"/>
        </w:rPr>
        <w:t>indésirables,</w:t>
      </w:r>
      <w:r>
        <w:rPr>
          <w:color w:val="231F20"/>
          <w:spacing w:val="-2"/>
          <w:w w:val="120"/>
          <w:sz w:val="17"/>
        </w:rPr>
        <w:t> </w:t>
      </w:r>
      <w:r>
        <w:rPr>
          <w:color w:val="231F20"/>
          <w:w w:val="120"/>
          <w:sz w:val="17"/>
        </w:rPr>
        <w:t>voire</w:t>
      </w:r>
      <w:r>
        <w:rPr>
          <w:color w:val="231F20"/>
          <w:spacing w:val="-2"/>
          <w:w w:val="120"/>
          <w:sz w:val="17"/>
        </w:rPr>
        <w:t> </w:t>
      </w:r>
      <w:r>
        <w:rPr>
          <w:color w:val="231F20"/>
          <w:w w:val="120"/>
          <w:sz w:val="17"/>
        </w:rPr>
        <w:t>stressogènes.</w:t>
      </w:r>
      <w:r>
        <w:rPr>
          <w:color w:val="231F20"/>
          <w:spacing w:val="-2"/>
          <w:w w:val="120"/>
          <w:sz w:val="17"/>
        </w:rPr>
        <w:t> </w:t>
      </w:r>
      <w:r>
        <w:rPr>
          <w:color w:val="231F20"/>
          <w:w w:val="120"/>
          <w:sz w:val="17"/>
        </w:rPr>
        <w:t>La</w:t>
      </w:r>
      <w:r>
        <w:rPr>
          <w:color w:val="231F20"/>
          <w:spacing w:val="-2"/>
          <w:w w:val="120"/>
          <w:sz w:val="17"/>
        </w:rPr>
        <w:t> </w:t>
      </w:r>
      <w:r>
        <w:rPr>
          <w:color w:val="231F20"/>
          <w:w w:val="120"/>
          <w:sz w:val="17"/>
        </w:rPr>
        <w:t>pression</w:t>
      </w:r>
      <w:r>
        <w:rPr>
          <w:color w:val="231F20"/>
          <w:spacing w:val="-2"/>
          <w:w w:val="120"/>
          <w:sz w:val="17"/>
        </w:rPr>
        <w:t> </w:t>
      </w:r>
      <w:r>
        <w:rPr>
          <w:color w:val="231F20"/>
          <w:w w:val="120"/>
          <w:sz w:val="17"/>
        </w:rPr>
        <w:t>sur le</w:t>
      </w:r>
      <w:r>
        <w:rPr>
          <w:color w:val="231F20"/>
          <w:spacing w:val="-7"/>
          <w:w w:val="120"/>
          <w:sz w:val="17"/>
        </w:rPr>
        <w:t> </w:t>
      </w:r>
      <w:r>
        <w:rPr>
          <w:color w:val="231F20"/>
          <w:w w:val="120"/>
          <w:sz w:val="17"/>
        </w:rPr>
        <w:t>rendement,</w:t>
      </w:r>
      <w:r>
        <w:rPr>
          <w:color w:val="231F20"/>
          <w:spacing w:val="-7"/>
          <w:w w:val="120"/>
          <w:sz w:val="17"/>
        </w:rPr>
        <w:t> </w:t>
      </w:r>
      <w:r>
        <w:rPr>
          <w:color w:val="231F20"/>
          <w:w w:val="120"/>
          <w:sz w:val="17"/>
        </w:rPr>
        <w:t>une</w:t>
      </w:r>
      <w:r>
        <w:rPr>
          <w:color w:val="231F20"/>
          <w:spacing w:val="-7"/>
          <w:w w:val="120"/>
          <w:sz w:val="17"/>
        </w:rPr>
        <w:t> </w:t>
      </w:r>
      <w:r>
        <w:rPr>
          <w:color w:val="231F20"/>
          <w:w w:val="120"/>
          <w:sz w:val="17"/>
        </w:rPr>
        <w:t>compétitivité</w:t>
      </w:r>
      <w:r>
        <w:rPr>
          <w:color w:val="231F20"/>
          <w:spacing w:val="-7"/>
          <w:w w:val="120"/>
          <w:sz w:val="17"/>
        </w:rPr>
        <w:t> </w:t>
      </w:r>
      <w:r>
        <w:rPr>
          <w:color w:val="231F20"/>
          <w:w w:val="120"/>
          <w:sz w:val="17"/>
        </w:rPr>
        <w:t>accrue</w:t>
      </w:r>
      <w:r>
        <w:rPr>
          <w:color w:val="231F20"/>
          <w:spacing w:val="-7"/>
          <w:w w:val="120"/>
          <w:sz w:val="17"/>
        </w:rPr>
        <w:t> </w:t>
      </w:r>
      <w:r>
        <w:rPr>
          <w:color w:val="231F20"/>
          <w:w w:val="120"/>
          <w:sz w:val="17"/>
        </w:rPr>
        <w:t>entre</w:t>
      </w:r>
      <w:r>
        <w:rPr>
          <w:color w:val="231F20"/>
          <w:spacing w:val="-7"/>
          <w:w w:val="120"/>
          <w:sz w:val="17"/>
        </w:rPr>
        <w:t> </w:t>
      </w:r>
      <w:r>
        <w:rPr>
          <w:color w:val="231F20"/>
          <w:w w:val="120"/>
          <w:sz w:val="17"/>
        </w:rPr>
        <w:t>les</w:t>
      </w:r>
      <w:r>
        <w:rPr>
          <w:color w:val="231F20"/>
          <w:spacing w:val="-7"/>
          <w:w w:val="120"/>
          <w:sz w:val="17"/>
        </w:rPr>
        <w:t> </w:t>
      </w:r>
      <w:r>
        <w:rPr>
          <w:color w:val="231F20"/>
          <w:w w:val="120"/>
          <w:sz w:val="17"/>
        </w:rPr>
        <w:t>travailleurs,</w:t>
      </w:r>
      <w:r>
        <w:rPr>
          <w:color w:val="231F20"/>
          <w:spacing w:val="-7"/>
          <w:w w:val="120"/>
          <w:sz w:val="17"/>
        </w:rPr>
        <w:t> </w:t>
      </w:r>
      <w:r>
        <w:rPr>
          <w:color w:val="231F20"/>
          <w:w w:val="120"/>
          <w:sz w:val="17"/>
        </w:rPr>
        <w:t>une valorisation</w:t>
      </w:r>
      <w:r>
        <w:rPr>
          <w:color w:val="231F20"/>
          <w:spacing w:val="-8"/>
          <w:w w:val="120"/>
          <w:sz w:val="17"/>
        </w:rPr>
        <w:t> </w:t>
      </w:r>
      <w:r>
        <w:rPr>
          <w:color w:val="231F20"/>
          <w:w w:val="120"/>
          <w:sz w:val="17"/>
        </w:rPr>
        <w:t>du</w:t>
      </w:r>
      <w:r>
        <w:rPr>
          <w:color w:val="231F20"/>
          <w:spacing w:val="-8"/>
          <w:w w:val="120"/>
          <w:sz w:val="17"/>
        </w:rPr>
        <w:t> </w:t>
      </w:r>
      <w:r>
        <w:rPr>
          <w:color w:val="231F20"/>
          <w:w w:val="120"/>
          <w:sz w:val="17"/>
        </w:rPr>
        <w:t>silence,</w:t>
      </w:r>
      <w:r>
        <w:rPr>
          <w:color w:val="231F20"/>
          <w:spacing w:val="-8"/>
          <w:w w:val="120"/>
          <w:sz w:val="17"/>
        </w:rPr>
        <w:t> </w:t>
      </w:r>
      <w:r>
        <w:rPr>
          <w:color w:val="231F20"/>
          <w:w w:val="120"/>
          <w:sz w:val="17"/>
        </w:rPr>
        <w:t>l’acceptation</w:t>
      </w:r>
      <w:r>
        <w:rPr>
          <w:color w:val="231F20"/>
          <w:spacing w:val="-8"/>
          <w:w w:val="120"/>
          <w:sz w:val="17"/>
        </w:rPr>
        <w:t> </w:t>
      </w:r>
      <w:r>
        <w:rPr>
          <w:color w:val="231F20"/>
          <w:w w:val="120"/>
          <w:sz w:val="17"/>
        </w:rPr>
        <w:t>de</w:t>
      </w:r>
      <w:r>
        <w:rPr>
          <w:color w:val="231F20"/>
          <w:spacing w:val="-8"/>
          <w:w w:val="120"/>
          <w:sz w:val="17"/>
        </w:rPr>
        <w:t> </w:t>
      </w:r>
      <w:r>
        <w:rPr>
          <w:color w:val="231F20"/>
          <w:w w:val="120"/>
          <w:sz w:val="17"/>
        </w:rPr>
        <w:t>gestes</w:t>
      </w:r>
      <w:r>
        <w:rPr>
          <w:color w:val="231F20"/>
          <w:spacing w:val="-8"/>
          <w:w w:val="120"/>
          <w:sz w:val="17"/>
        </w:rPr>
        <w:t> </w:t>
      </w:r>
      <w:r>
        <w:rPr>
          <w:color w:val="231F20"/>
          <w:w w:val="120"/>
          <w:sz w:val="17"/>
        </w:rPr>
        <w:t>éthiquement</w:t>
      </w:r>
      <w:r>
        <w:rPr>
          <w:color w:val="231F20"/>
          <w:spacing w:val="-8"/>
          <w:w w:val="120"/>
          <w:sz w:val="17"/>
        </w:rPr>
        <w:t> </w:t>
      </w:r>
      <w:r>
        <w:rPr>
          <w:color w:val="231F20"/>
          <w:w w:val="120"/>
          <w:sz w:val="17"/>
        </w:rPr>
        <w:t>dou- teux</w:t>
      </w:r>
      <w:r>
        <w:rPr>
          <w:color w:val="231F20"/>
          <w:spacing w:val="-10"/>
          <w:w w:val="120"/>
          <w:sz w:val="17"/>
        </w:rPr>
        <w:t> </w:t>
      </w:r>
      <w:r>
        <w:rPr>
          <w:color w:val="231F20"/>
          <w:w w:val="120"/>
          <w:sz w:val="17"/>
        </w:rPr>
        <w:t>peuvent</w:t>
      </w:r>
      <w:r>
        <w:rPr>
          <w:color w:val="231F20"/>
          <w:spacing w:val="-10"/>
          <w:w w:val="120"/>
          <w:sz w:val="17"/>
        </w:rPr>
        <w:t> </w:t>
      </w:r>
      <w:r>
        <w:rPr>
          <w:color w:val="231F20"/>
          <w:w w:val="120"/>
          <w:sz w:val="17"/>
        </w:rPr>
        <w:t>aussi</w:t>
      </w:r>
      <w:r>
        <w:rPr>
          <w:color w:val="231F20"/>
          <w:spacing w:val="-10"/>
          <w:w w:val="120"/>
          <w:sz w:val="17"/>
        </w:rPr>
        <w:t> </w:t>
      </w:r>
      <w:r>
        <w:rPr>
          <w:color w:val="231F20"/>
          <w:w w:val="120"/>
          <w:sz w:val="17"/>
        </w:rPr>
        <w:t>être</w:t>
      </w:r>
      <w:r>
        <w:rPr>
          <w:color w:val="231F20"/>
          <w:spacing w:val="-10"/>
          <w:w w:val="120"/>
          <w:sz w:val="17"/>
        </w:rPr>
        <w:t> </w:t>
      </w:r>
      <w:r>
        <w:rPr>
          <w:color w:val="231F20"/>
          <w:w w:val="120"/>
          <w:sz w:val="17"/>
        </w:rPr>
        <w:t>soutenues</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certains</w:t>
      </w:r>
      <w:r>
        <w:rPr>
          <w:color w:val="231F20"/>
          <w:spacing w:val="-10"/>
          <w:w w:val="120"/>
          <w:sz w:val="17"/>
        </w:rPr>
        <w:t> </w:t>
      </w:r>
      <w:r>
        <w:rPr>
          <w:color w:val="231F20"/>
          <w:w w:val="120"/>
          <w:sz w:val="17"/>
        </w:rPr>
        <w:t>volets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culture organisationnelle et ainsi contribuer au stress au travail.</w:t>
      </w:r>
    </w:p>
    <w:p>
      <w:pPr>
        <w:pStyle w:val="BodyText"/>
        <w:rPr>
          <w:sz w:val="24"/>
        </w:rPr>
      </w:pPr>
    </w:p>
    <w:p>
      <w:pPr>
        <w:pStyle w:val="Heading2"/>
        <w:numPr>
          <w:ilvl w:val="1"/>
          <w:numId w:val="17"/>
        </w:numPr>
        <w:tabs>
          <w:tab w:pos="521" w:val="left" w:leader="none"/>
          <w:tab w:pos="829" w:val="left" w:leader="none"/>
        </w:tabs>
        <w:spacing w:line="240" w:lineRule="auto" w:before="182" w:after="0"/>
        <w:ind w:left="520" w:right="0" w:hanging="301"/>
        <w:jc w:val="left"/>
      </w:pPr>
      <w:r>
        <w:rPr>
          <w:b w:val="0"/>
          <w:i/>
          <w:color w:val="231F20"/>
          <w:spacing w:val="-10"/>
        </w:rPr>
        <w:t>/</w:t>
      </w:r>
      <w:r>
        <w:rPr>
          <w:b w:val="0"/>
          <w:i/>
          <w:color w:val="231F20"/>
        </w:rPr>
        <w:tab/>
      </w:r>
      <w:r>
        <w:rPr>
          <w:color w:val="231F20"/>
          <w:w w:val="95"/>
        </w:rPr>
        <w:t>Stress,</w:t>
      </w:r>
      <w:r>
        <w:rPr>
          <w:color w:val="231F20"/>
          <w:spacing w:val="-5"/>
          <w:w w:val="95"/>
        </w:rPr>
        <w:t> </w:t>
      </w:r>
      <w:r>
        <w:rPr>
          <w:color w:val="231F20"/>
          <w:w w:val="95"/>
        </w:rPr>
        <w:t>émotions</w:t>
      </w:r>
      <w:r>
        <w:rPr>
          <w:color w:val="231F20"/>
          <w:spacing w:val="-4"/>
          <w:w w:val="95"/>
        </w:rPr>
        <w:t> </w:t>
      </w:r>
      <w:r>
        <w:rPr>
          <w:color w:val="231F20"/>
          <w:w w:val="95"/>
        </w:rPr>
        <w:t>et</w:t>
      </w:r>
      <w:r>
        <w:rPr>
          <w:color w:val="231F20"/>
          <w:spacing w:val="-4"/>
          <w:w w:val="95"/>
        </w:rPr>
        <w:t> </w:t>
      </w:r>
      <w:r>
        <w:rPr>
          <w:color w:val="231F20"/>
          <w:spacing w:val="-2"/>
          <w:w w:val="95"/>
        </w:rPr>
        <w:t>santé</w:t>
      </w:r>
    </w:p>
    <w:p>
      <w:pPr>
        <w:pStyle w:val="BodyText"/>
        <w:spacing w:before="9"/>
        <w:rPr>
          <w:rFonts w:ascii="Arial"/>
          <w:b/>
          <w:sz w:val="25"/>
        </w:rPr>
      </w:pPr>
    </w:p>
    <w:p>
      <w:pPr>
        <w:pStyle w:val="BodyText"/>
        <w:spacing w:line="307" w:lineRule="auto" w:before="1"/>
        <w:ind w:left="830" w:right="496"/>
        <w:jc w:val="both"/>
      </w:pPr>
      <w:r>
        <w:rPr>
          <w:color w:val="231F20"/>
          <w:w w:val="120"/>
        </w:rPr>
        <w:t>Depuis un demi-siècle, beaucoup de chercheurs ont étudié l’effet des </w:t>
      </w:r>
      <w:r>
        <w:rPr>
          <w:color w:val="231F20"/>
          <w:spacing w:val="-2"/>
          <w:w w:val="120"/>
        </w:rPr>
        <w:t>émotions</w:t>
      </w:r>
      <w:r>
        <w:rPr>
          <w:color w:val="231F20"/>
          <w:spacing w:val="-8"/>
          <w:w w:val="120"/>
        </w:rPr>
        <w:t> </w:t>
      </w:r>
      <w:r>
        <w:rPr>
          <w:color w:val="231F20"/>
          <w:spacing w:val="-2"/>
          <w:w w:val="120"/>
        </w:rPr>
        <w:t>sur</w:t>
      </w:r>
      <w:r>
        <w:rPr>
          <w:color w:val="231F20"/>
          <w:spacing w:val="-8"/>
          <w:w w:val="120"/>
        </w:rPr>
        <w:t> </w:t>
      </w:r>
      <w:r>
        <w:rPr>
          <w:color w:val="231F20"/>
          <w:spacing w:val="-2"/>
          <w:w w:val="120"/>
        </w:rPr>
        <w:t>les</w:t>
      </w:r>
      <w:r>
        <w:rPr>
          <w:color w:val="231F20"/>
          <w:spacing w:val="-8"/>
          <w:w w:val="120"/>
        </w:rPr>
        <w:t> </w:t>
      </w:r>
      <w:r>
        <w:rPr>
          <w:color w:val="231F20"/>
          <w:spacing w:val="-2"/>
          <w:w w:val="120"/>
        </w:rPr>
        <w:t>maladies.</w:t>
      </w:r>
      <w:r>
        <w:rPr>
          <w:color w:val="231F20"/>
          <w:spacing w:val="-8"/>
          <w:w w:val="120"/>
        </w:rPr>
        <w:t> </w:t>
      </w:r>
      <w:r>
        <w:rPr>
          <w:color w:val="231F20"/>
          <w:spacing w:val="-2"/>
          <w:w w:val="120"/>
        </w:rPr>
        <w:t>Les</w:t>
      </w:r>
      <w:r>
        <w:rPr>
          <w:color w:val="231F20"/>
          <w:spacing w:val="-8"/>
          <w:w w:val="120"/>
        </w:rPr>
        <w:t> </w:t>
      </w:r>
      <w:r>
        <w:rPr>
          <w:color w:val="231F20"/>
          <w:spacing w:val="-2"/>
          <w:w w:val="120"/>
        </w:rPr>
        <w:t>intérêts</w:t>
      </w:r>
      <w:r>
        <w:rPr>
          <w:color w:val="231F20"/>
          <w:spacing w:val="-8"/>
          <w:w w:val="120"/>
        </w:rPr>
        <w:t> </w:t>
      </w:r>
      <w:r>
        <w:rPr>
          <w:color w:val="231F20"/>
          <w:spacing w:val="-2"/>
          <w:w w:val="120"/>
        </w:rPr>
        <w:t>communs</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psychologie</w:t>
      </w:r>
      <w:r>
        <w:rPr>
          <w:color w:val="231F20"/>
          <w:spacing w:val="-8"/>
          <w:w w:val="120"/>
        </w:rPr>
        <w:t> </w:t>
      </w:r>
      <w:r>
        <w:rPr>
          <w:color w:val="231F20"/>
          <w:spacing w:val="-2"/>
          <w:w w:val="120"/>
        </w:rPr>
        <w:t>et</w:t>
      </w:r>
      <w:r>
        <w:rPr>
          <w:color w:val="231F20"/>
          <w:spacing w:val="-8"/>
          <w:w w:val="120"/>
        </w:rPr>
        <w:t> </w:t>
      </w:r>
      <w:r>
        <w:rPr>
          <w:color w:val="231F20"/>
          <w:spacing w:val="-2"/>
          <w:w w:val="120"/>
        </w:rPr>
        <w:t>de </w:t>
      </w:r>
      <w:r>
        <w:rPr>
          <w:color w:val="231F20"/>
          <w:w w:val="120"/>
        </w:rPr>
        <w:t>la</w:t>
      </w:r>
      <w:r>
        <w:rPr>
          <w:color w:val="231F20"/>
          <w:spacing w:val="-11"/>
          <w:w w:val="120"/>
        </w:rPr>
        <w:t> </w:t>
      </w:r>
      <w:r>
        <w:rPr>
          <w:color w:val="231F20"/>
          <w:w w:val="120"/>
        </w:rPr>
        <w:t>médecine</w:t>
      </w:r>
      <w:r>
        <w:rPr>
          <w:color w:val="231F20"/>
          <w:spacing w:val="-11"/>
          <w:w w:val="120"/>
        </w:rPr>
        <w:t> </w:t>
      </w:r>
      <w:r>
        <w:rPr>
          <w:color w:val="231F20"/>
          <w:w w:val="120"/>
        </w:rPr>
        <w:t>ont</w:t>
      </w:r>
      <w:r>
        <w:rPr>
          <w:color w:val="231F20"/>
          <w:spacing w:val="-11"/>
          <w:w w:val="120"/>
        </w:rPr>
        <w:t> </w:t>
      </w:r>
      <w:r>
        <w:rPr>
          <w:color w:val="231F20"/>
          <w:w w:val="120"/>
        </w:rPr>
        <w:t>donné</w:t>
      </w:r>
      <w:r>
        <w:rPr>
          <w:color w:val="231F20"/>
          <w:spacing w:val="-11"/>
          <w:w w:val="120"/>
        </w:rPr>
        <w:t> </w:t>
      </w:r>
      <w:r>
        <w:rPr>
          <w:color w:val="231F20"/>
          <w:w w:val="120"/>
        </w:rPr>
        <w:t>naissance</w:t>
      </w:r>
      <w:r>
        <w:rPr>
          <w:color w:val="231F20"/>
          <w:spacing w:val="-11"/>
          <w:w w:val="120"/>
        </w:rPr>
        <w:t> </w:t>
      </w:r>
      <w:r>
        <w:rPr>
          <w:color w:val="231F20"/>
          <w:w w:val="120"/>
        </w:rPr>
        <w:t>au</w:t>
      </w:r>
      <w:r>
        <w:rPr>
          <w:color w:val="231F20"/>
          <w:spacing w:val="-11"/>
          <w:w w:val="120"/>
        </w:rPr>
        <w:t> </w:t>
      </w:r>
      <w:r>
        <w:rPr>
          <w:color w:val="231F20"/>
          <w:w w:val="120"/>
        </w:rPr>
        <w:t>domaine</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médecine</w:t>
      </w:r>
      <w:r>
        <w:rPr>
          <w:color w:val="231F20"/>
          <w:spacing w:val="-11"/>
          <w:w w:val="120"/>
        </w:rPr>
        <w:t> </w:t>
      </w:r>
      <w:r>
        <w:rPr>
          <w:color w:val="231F20"/>
          <w:w w:val="120"/>
        </w:rPr>
        <w:t>psychoso- </w:t>
      </w:r>
      <w:r>
        <w:rPr>
          <w:color w:val="231F20"/>
          <w:w w:val="115"/>
        </w:rPr>
        <w:t>matique</w:t>
      </w:r>
      <w:r>
        <w:rPr>
          <w:color w:val="231F20"/>
          <w:spacing w:val="-9"/>
          <w:w w:val="115"/>
        </w:rPr>
        <w:t> </w:t>
      </w:r>
      <w:r>
        <w:rPr>
          <w:color w:val="231F20"/>
          <w:w w:val="115"/>
        </w:rPr>
        <w:t>ainsi</w:t>
      </w:r>
      <w:r>
        <w:rPr>
          <w:color w:val="231F20"/>
          <w:spacing w:val="-9"/>
          <w:w w:val="115"/>
        </w:rPr>
        <w:t> </w:t>
      </w:r>
      <w:r>
        <w:rPr>
          <w:color w:val="231F20"/>
          <w:w w:val="115"/>
        </w:rPr>
        <w:t>qu’à</w:t>
      </w:r>
      <w:r>
        <w:rPr>
          <w:color w:val="231F20"/>
          <w:spacing w:val="-9"/>
          <w:w w:val="115"/>
        </w:rPr>
        <w:t> </w:t>
      </w:r>
      <w:r>
        <w:rPr>
          <w:color w:val="231F20"/>
          <w:w w:val="115"/>
        </w:rPr>
        <w:t>la</w:t>
      </w:r>
      <w:r>
        <w:rPr>
          <w:color w:val="231F20"/>
          <w:spacing w:val="-9"/>
          <w:w w:val="115"/>
        </w:rPr>
        <w:t> </w:t>
      </w:r>
      <w:r>
        <w:rPr>
          <w:color w:val="231F20"/>
          <w:w w:val="115"/>
        </w:rPr>
        <w:t>psychologie</w:t>
      </w:r>
      <w:r>
        <w:rPr>
          <w:color w:val="231F20"/>
          <w:spacing w:val="-9"/>
          <w:w w:val="115"/>
        </w:rPr>
        <w:t> </w:t>
      </w:r>
      <w:r>
        <w:rPr>
          <w:color w:val="231F20"/>
          <w:w w:val="115"/>
        </w:rPr>
        <w:t>de</w:t>
      </w:r>
      <w:r>
        <w:rPr>
          <w:color w:val="231F20"/>
          <w:spacing w:val="-9"/>
          <w:w w:val="115"/>
        </w:rPr>
        <w:t> </w:t>
      </w:r>
      <w:r>
        <w:rPr>
          <w:color w:val="231F20"/>
          <w:w w:val="115"/>
        </w:rPr>
        <w:t>la</w:t>
      </w:r>
      <w:r>
        <w:rPr>
          <w:color w:val="231F20"/>
          <w:spacing w:val="-9"/>
          <w:w w:val="115"/>
        </w:rPr>
        <w:t> </w:t>
      </w:r>
      <w:r>
        <w:rPr>
          <w:color w:val="231F20"/>
          <w:w w:val="115"/>
        </w:rPr>
        <w:t>santé</w:t>
      </w:r>
      <w:r>
        <w:rPr>
          <w:color w:val="231F20"/>
          <w:spacing w:val="-9"/>
          <w:w w:val="115"/>
        </w:rPr>
        <w:t> </w:t>
      </w:r>
      <w:r>
        <w:rPr>
          <w:color w:val="231F20"/>
          <w:w w:val="115"/>
        </w:rPr>
        <w:t>(ou</w:t>
      </w:r>
      <w:r>
        <w:rPr>
          <w:color w:val="231F20"/>
          <w:spacing w:val="-9"/>
          <w:w w:val="115"/>
        </w:rPr>
        <w:t> </w:t>
      </w:r>
      <w:r>
        <w:rPr>
          <w:color w:val="231F20"/>
          <w:w w:val="115"/>
        </w:rPr>
        <w:t>médecine</w:t>
      </w:r>
      <w:r>
        <w:rPr>
          <w:color w:val="231F20"/>
          <w:spacing w:val="-9"/>
          <w:w w:val="115"/>
        </w:rPr>
        <w:t> </w:t>
      </w:r>
      <w:r>
        <w:rPr>
          <w:color w:val="231F20"/>
          <w:w w:val="115"/>
        </w:rPr>
        <w:t>comportemen- tale). Les chercheurs de ces disciplines émergentes tentent d’explorer, de comprendre</w:t>
      </w:r>
      <w:r>
        <w:rPr>
          <w:color w:val="231F20"/>
          <w:spacing w:val="-6"/>
          <w:w w:val="115"/>
        </w:rPr>
        <w:t> </w:t>
      </w:r>
      <w:r>
        <w:rPr>
          <w:color w:val="231F20"/>
          <w:w w:val="115"/>
        </w:rPr>
        <w:t>et</w:t>
      </w:r>
      <w:r>
        <w:rPr>
          <w:color w:val="231F20"/>
          <w:spacing w:val="-6"/>
          <w:w w:val="115"/>
        </w:rPr>
        <w:t> </w:t>
      </w:r>
      <w:r>
        <w:rPr>
          <w:color w:val="231F20"/>
          <w:w w:val="115"/>
        </w:rPr>
        <w:t>d’expliquer</w:t>
      </w:r>
      <w:r>
        <w:rPr>
          <w:color w:val="231F20"/>
          <w:spacing w:val="-6"/>
          <w:w w:val="115"/>
        </w:rPr>
        <w:t> </w:t>
      </w:r>
      <w:r>
        <w:rPr>
          <w:color w:val="231F20"/>
          <w:w w:val="115"/>
        </w:rPr>
        <w:t>les</w:t>
      </w:r>
      <w:r>
        <w:rPr>
          <w:color w:val="231F20"/>
          <w:spacing w:val="-6"/>
          <w:w w:val="115"/>
        </w:rPr>
        <w:t> </w:t>
      </w:r>
      <w:r>
        <w:rPr>
          <w:color w:val="231F20"/>
          <w:w w:val="115"/>
        </w:rPr>
        <w:t>relations</w:t>
      </w:r>
      <w:r>
        <w:rPr>
          <w:color w:val="231F20"/>
          <w:spacing w:val="-6"/>
          <w:w w:val="115"/>
        </w:rPr>
        <w:t> </w:t>
      </w:r>
      <w:r>
        <w:rPr>
          <w:color w:val="231F20"/>
          <w:w w:val="115"/>
        </w:rPr>
        <w:t>entre</w:t>
      </w:r>
      <w:r>
        <w:rPr>
          <w:color w:val="231F20"/>
          <w:spacing w:val="-6"/>
          <w:w w:val="115"/>
        </w:rPr>
        <w:t> </w:t>
      </w:r>
      <w:r>
        <w:rPr>
          <w:color w:val="231F20"/>
          <w:w w:val="115"/>
        </w:rPr>
        <w:t>le</w:t>
      </w:r>
      <w:r>
        <w:rPr>
          <w:color w:val="231F20"/>
          <w:spacing w:val="-6"/>
          <w:w w:val="115"/>
        </w:rPr>
        <w:t> </w:t>
      </w:r>
      <w:r>
        <w:rPr>
          <w:color w:val="231F20"/>
          <w:w w:val="115"/>
        </w:rPr>
        <w:t>stress,</w:t>
      </w:r>
      <w:r>
        <w:rPr>
          <w:color w:val="231F20"/>
          <w:spacing w:val="-6"/>
          <w:w w:val="115"/>
        </w:rPr>
        <w:t> </w:t>
      </w:r>
      <w:r>
        <w:rPr>
          <w:color w:val="231F20"/>
          <w:w w:val="115"/>
        </w:rPr>
        <w:t>la</w:t>
      </w:r>
      <w:r>
        <w:rPr>
          <w:color w:val="231F20"/>
          <w:spacing w:val="-6"/>
          <w:w w:val="115"/>
        </w:rPr>
        <w:t> </w:t>
      </w:r>
      <w:r>
        <w:rPr>
          <w:color w:val="231F20"/>
          <w:w w:val="115"/>
        </w:rPr>
        <w:t>vie</w:t>
      </w:r>
      <w:r>
        <w:rPr>
          <w:color w:val="231F20"/>
          <w:spacing w:val="-6"/>
          <w:w w:val="115"/>
        </w:rPr>
        <w:t> </w:t>
      </w:r>
      <w:r>
        <w:rPr>
          <w:color w:val="231F20"/>
          <w:w w:val="115"/>
        </w:rPr>
        <w:t>émotionnelle </w:t>
      </w:r>
      <w:r>
        <w:rPr>
          <w:color w:val="231F20"/>
          <w:w w:val="120"/>
        </w:rPr>
        <w:t>et l’apparition de maladies.</w:t>
      </w:r>
    </w:p>
    <w:p>
      <w:pPr>
        <w:pStyle w:val="BodyText"/>
        <w:spacing w:line="307" w:lineRule="auto" w:before="78"/>
        <w:ind w:left="830" w:right="490" w:firstLine="250"/>
        <w:jc w:val="both"/>
      </w:pPr>
      <w:r>
        <w:rPr>
          <w:color w:val="231F20"/>
          <w:w w:val="120"/>
        </w:rPr>
        <w:t>L’une</w:t>
      </w:r>
      <w:r>
        <w:rPr>
          <w:color w:val="231F20"/>
          <w:spacing w:val="-13"/>
          <w:w w:val="120"/>
        </w:rPr>
        <w:t> </w:t>
      </w:r>
      <w:r>
        <w:rPr>
          <w:color w:val="231F20"/>
          <w:w w:val="120"/>
        </w:rPr>
        <w:t>des</w:t>
      </w:r>
      <w:r>
        <w:rPr>
          <w:color w:val="231F20"/>
          <w:spacing w:val="-13"/>
          <w:w w:val="120"/>
        </w:rPr>
        <w:t> </w:t>
      </w:r>
      <w:r>
        <w:rPr>
          <w:color w:val="231F20"/>
          <w:w w:val="120"/>
        </w:rPr>
        <w:t>principales</w:t>
      </w:r>
      <w:r>
        <w:rPr>
          <w:color w:val="231F20"/>
          <w:spacing w:val="-13"/>
          <w:w w:val="120"/>
        </w:rPr>
        <w:t> </w:t>
      </w:r>
      <w:r>
        <w:rPr>
          <w:color w:val="231F20"/>
          <w:w w:val="120"/>
        </w:rPr>
        <w:t>écoles</w:t>
      </w:r>
      <w:r>
        <w:rPr>
          <w:color w:val="231F20"/>
          <w:spacing w:val="-12"/>
          <w:w w:val="120"/>
        </w:rPr>
        <w:t> </w:t>
      </w:r>
      <w:r>
        <w:rPr>
          <w:color w:val="231F20"/>
          <w:w w:val="120"/>
        </w:rPr>
        <w:t>de</w:t>
      </w:r>
      <w:r>
        <w:rPr>
          <w:color w:val="231F20"/>
          <w:spacing w:val="-13"/>
          <w:w w:val="120"/>
        </w:rPr>
        <w:t> </w:t>
      </w:r>
      <w:r>
        <w:rPr>
          <w:color w:val="231F20"/>
          <w:w w:val="120"/>
        </w:rPr>
        <w:t>pensée</w:t>
      </w:r>
      <w:r>
        <w:rPr>
          <w:color w:val="231F20"/>
          <w:spacing w:val="-13"/>
          <w:w w:val="120"/>
        </w:rPr>
        <w:t> </w:t>
      </w:r>
      <w:r>
        <w:rPr>
          <w:color w:val="231F20"/>
          <w:w w:val="120"/>
        </w:rPr>
        <w:t>dans</w:t>
      </w:r>
      <w:r>
        <w:rPr>
          <w:color w:val="231F20"/>
          <w:spacing w:val="-13"/>
          <w:w w:val="120"/>
        </w:rPr>
        <w:t> </w:t>
      </w:r>
      <w:r>
        <w:rPr>
          <w:color w:val="231F20"/>
          <w:w w:val="120"/>
        </w:rPr>
        <w:t>ce</w:t>
      </w:r>
      <w:r>
        <w:rPr>
          <w:color w:val="231F20"/>
          <w:spacing w:val="-12"/>
          <w:w w:val="120"/>
        </w:rPr>
        <w:t> </w:t>
      </w:r>
      <w:r>
        <w:rPr>
          <w:color w:val="231F20"/>
          <w:w w:val="120"/>
        </w:rPr>
        <w:t>domaine</w:t>
      </w:r>
      <w:r>
        <w:rPr>
          <w:color w:val="231F20"/>
          <w:spacing w:val="-13"/>
          <w:w w:val="120"/>
        </w:rPr>
        <w:t> </w:t>
      </w:r>
      <w:r>
        <w:rPr>
          <w:color w:val="231F20"/>
          <w:w w:val="120"/>
        </w:rPr>
        <w:t>souligne</w:t>
      </w:r>
      <w:r>
        <w:rPr>
          <w:color w:val="231F20"/>
          <w:spacing w:val="-13"/>
          <w:w w:val="120"/>
        </w:rPr>
        <w:t> </w:t>
      </w:r>
      <w:r>
        <w:rPr>
          <w:color w:val="231F20"/>
          <w:w w:val="120"/>
        </w:rPr>
        <w:t>les liens</w:t>
      </w:r>
      <w:r>
        <w:rPr>
          <w:color w:val="231F20"/>
          <w:spacing w:val="-7"/>
          <w:w w:val="120"/>
        </w:rPr>
        <w:t> </w:t>
      </w:r>
      <w:r>
        <w:rPr>
          <w:color w:val="231F20"/>
          <w:w w:val="120"/>
        </w:rPr>
        <w:t>qui</w:t>
      </w:r>
      <w:r>
        <w:rPr>
          <w:color w:val="231F20"/>
          <w:spacing w:val="-7"/>
          <w:w w:val="120"/>
        </w:rPr>
        <w:t> </w:t>
      </w:r>
      <w:r>
        <w:rPr>
          <w:color w:val="231F20"/>
          <w:w w:val="120"/>
        </w:rPr>
        <w:t>unissent</w:t>
      </w:r>
      <w:r>
        <w:rPr>
          <w:color w:val="231F20"/>
          <w:spacing w:val="-7"/>
          <w:w w:val="120"/>
        </w:rPr>
        <w:t> </w:t>
      </w:r>
      <w:r>
        <w:rPr>
          <w:color w:val="231F20"/>
          <w:w w:val="120"/>
        </w:rPr>
        <w:t>les</w:t>
      </w:r>
      <w:r>
        <w:rPr>
          <w:color w:val="231F20"/>
          <w:spacing w:val="-7"/>
          <w:w w:val="120"/>
        </w:rPr>
        <w:t> </w:t>
      </w:r>
      <w:r>
        <w:rPr>
          <w:color w:val="231F20"/>
          <w:w w:val="120"/>
        </w:rPr>
        <w:t>émotions</w:t>
      </w:r>
      <w:r>
        <w:rPr>
          <w:color w:val="231F20"/>
          <w:spacing w:val="-7"/>
          <w:w w:val="120"/>
        </w:rPr>
        <w:t> </w:t>
      </w:r>
      <w:r>
        <w:rPr>
          <w:color w:val="231F20"/>
          <w:w w:val="120"/>
        </w:rPr>
        <w:t>et</w:t>
      </w:r>
      <w:r>
        <w:rPr>
          <w:color w:val="231F20"/>
          <w:spacing w:val="-7"/>
          <w:w w:val="120"/>
        </w:rPr>
        <w:t> </w:t>
      </w:r>
      <w:r>
        <w:rPr>
          <w:color w:val="231F20"/>
          <w:w w:val="120"/>
        </w:rPr>
        <w:t>le</w:t>
      </w:r>
      <w:r>
        <w:rPr>
          <w:color w:val="231F20"/>
          <w:spacing w:val="-7"/>
          <w:w w:val="120"/>
        </w:rPr>
        <w:t> </w:t>
      </w:r>
      <w:r>
        <w:rPr>
          <w:color w:val="231F20"/>
          <w:w w:val="120"/>
        </w:rPr>
        <w:t>stress</w:t>
      </w:r>
      <w:r>
        <w:rPr>
          <w:color w:val="231F20"/>
          <w:spacing w:val="-7"/>
          <w:w w:val="120"/>
        </w:rPr>
        <w:t> </w:t>
      </w:r>
      <w:r>
        <w:rPr>
          <w:color w:val="231F20"/>
          <w:w w:val="120"/>
        </w:rPr>
        <w:t>aux</w:t>
      </w:r>
      <w:r>
        <w:rPr>
          <w:color w:val="231F20"/>
          <w:spacing w:val="-7"/>
          <w:w w:val="120"/>
        </w:rPr>
        <w:t> </w:t>
      </w:r>
      <w:r>
        <w:rPr>
          <w:color w:val="231F20"/>
          <w:w w:val="120"/>
        </w:rPr>
        <w:t>maladies</w:t>
      </w:r>
      <w:r>
        <w:rPr>
          <w:color w:val="231F20"/>
          <w:spacing w:val="-7"/>
          <w:w w:val="120"/>
        </w:rPr>
        <w:t> </w:t>
      </w:r>
      <w:r>
        <w:rPr>
          <w:color w:val="231F20"/>
          <w:w w:val="120"/>
        </w:rPr>
        <w:t>par</w:t>
      </w:r>
      <w:r>
        <w:rPr>
          <w:color w:val="231F20"/>
          <w:spacing w:val="-7"/>
          <w:w w:val="120"/>
        </w:rPr>
        <w:t> </w:t>
      </w:r>
      <w:r>
        <w:rPr>
          <w:color w:val="231F20"/>
          <w:w w:val="120"/>
        </w:rPr>
        <w:t>l’entremise du</w:t>
      </w:r>
      <w:r>
        <w:rPr>
          <w:color w:val="231F20"/>
          <w:spacing w:val="-10"/>
          <w:w w:val="120"/>
        </w:rPr>
        <w:t> </w:t>
      </w:r>
      <w:r>
        <w:rPr>
          <w:color w:val="231F20"/>
          <w:w w:val="120"/>
        </w:rPr>
        <w:t>système</w:t>
      </w:r>
      <w:r>
        <w:rPr>
          <w:color w:val="231F20"/>
          <w:spacing w:val="-10"/>
          <w:w w:val="120"/>
        </w:rPr>
        <w:t> </w:t>
      </w:r>
      <w:r>
        <w:rPr>
          <w:color w:val="231F20"/>
          <w:w w:val="120"/>
        </w:rPr>
        <w:t>immunitaire.</w:t>
      </w:r>
      <w:r>
        <w:rPr>
          <w:color w:val="231F20"/>
          <w:spacing w:val="-10"/>
          <w:w w:val="120"/>
        </w:rPr>
        <w:t> </w:t>
      </w:r>
      <w:r>
        <w:rPr>
          <w:color w:val="231F20"/>
          <w:w w:val="120"/>
        </w:rPr>
        <w:t>Ces</w:t>
      </w:r>
      <w:r>
        <w:rPr>
          <w:color w:val="231F20"/>
          <w:spacing w:val="-10"/>
          <w:w w:val="120"/>
        </w:rPr>
        <w:t> </w:t>
      </w:r>
      <w:r>
        <w:rPr>
          <w:color w:val="231F20"/>
          <w:w w:val="120"/>
        </w:rPr>
        <w:t>chercheurs</w:t>
      </w:r>
      <w:r>
        <w:rPr>
          <w:color w:val="231F20"/>
          <w:spacing w:val="-10"/>
          <w:w w:val="120"/>
        </w:rPr>
        <w:t> </w:t>
      </w:r>
      <w:r>
        <w:rPr>
          <w:color w:val="231F20"/>
          <w:w w:val="120"/>
        </w:rPr>
        <w:t>considèrent</w:t>
      </w:r>
      <w:r>
        <w:rPr>
          <w:color w:val="231F20"/>
          <w:spacing w:val="-10"/>
          <w:w w:val="120"/>
        </w:rPr>
        <w:t> </w:t>
      </w:r>
      <w:r>
        <w:rPr>
          <w:color w:val="231F20"/>
          <w:w w:val="120"/>
        </w:rPr>
        <w:t>le</w:t>
      </w:r>
      <w:r>
        <w:rPr>
          <w:color w:val="231F20"/>
          <w:spacing w:val="-10"/>
          <w:w w:val="120"/>
        </w:rPr>
        <w:t> </w:t>
      </w:r>
      <w:r>
        <w:rPr>
          <w:color w:val="231F20"/>
          <w:w w:val="120"/>
        </w:rPr>
        <w:t>système</w:t>
      </w:r>
      <w:r>
        <w:rPr>
          <w:color w:val="231F20"/>
          <w:spacing w:val="-10"/>
          <w:w w:val="120"/>
        </w:rPr>
        <w:t> </w:t>
      </w:r>
      <w:r>
        <w:rPr>
          <w:color w:val="231F20"/>
          <w:w w:val="120"/>
        </w:rPr>
        <w:t>immu- nitaire comme un mécanisme autonome. Ainsi, un agent </w:t>
      </w:r>
      <w:r>
        <w:rPr>
          <w:color w:val="231F20"/>
          <w:w w:val="120"/>
        </w:rPr>
        <w:t>pathogène (virus</w:t>
      </w:r>
      <w:r>
        <w:rPr>
          <w:color w:val="231F20"/>
          <w:spacing w:val="-8"/>
          <w:w w:val="120"/>
        </w:rPr>
        <w:t> </w:t>
      </w:r>
      <w:r>
        <w:rPr>
          <w:color w:val="231F20"/>
          <w:w w:val="120"/>
        </w:rPr>
        <w:t>ou</w:t>
      </w:r>
      <w:r>
        <w:rPr>
          <w:color w:val="231F20"/>
          <w:spacing w:val="-8"/>
          <w:w w:val="120"/>
        </w:rPr>
        <w:t> </w:t>
      </w:r>
      <w:r>
        <w:rPr>
          <w:color w:val="231F20"/>
          <w:w w:val="120"/>
        </w:rPr>
        <w:t>bactérie)</w:t>
      </w:r>
      <w:r>
        <w:rPr>
          <w:color w:val="231F20"/>
          <w:spacing w:val="-8"/>
          <w:w w:val="120"/>
        </w:rPr>
        <w:t> </w:t>
      </w:r>
      <w:r>
        <w:rPr>
          <w:color w:val="231F20"/>
          <w:w w:val="120"/>
        </w:rPr>
        <w:t>qui</w:t>
      </w:r>
      <w:r>
        <w:rPr>
          <w:color w:val="231F20"/>
          <w:spacing w:val="-8"/>
          <w:w w:val="120"/>
        </w:rPr>
        <w:t> </w:t>
      </w:r>
      <w:r>
        <w:rPr>
          <w:color w:val="231F20"/>
          <w:w w:val="120"/>
        </w:rPr>
        <w:t>menace</w:t>
      </w:r>
      <w:r>
        <w:rPr>
          <w:color w:val="231F20"/>
          <w:spacing w:val="-8"/>
          <w:w w:val="120"/>
        </w:rPr>
        <w:t> </w:t>
      </w:r>
      <w:r>
        <w:rPr>
          <w:color w:val="231F20"/>
          <w:w w:val="120"/>
        </w:rPr>
        <w:t>l’organisme</w:t>
      </w:r>
      <w:r>
        <w:rPr>
          <w:color w:val="231F20"/>
          <w:spacing w:val="-8"/>
          <w:w w:val="120"/>
        </w:rPr>
        <w:t> </w:t>
      </w:r>
      <w:r>
        <w:rPr>
          <w:color w:val="231F20"/>
          <w:w w:val="120"/>
        </w:rPr>
        <w:t>déclenche</w:t>
      </w:r>
      <w:r>
        <w:rPr>
          <w:color w:val="231F20"/>
          <w:spacing w:val="-8"/>
          <w:w w:val="120"/>
        </w:rPr>
        <w:t> </w:t>
      </w:r>
      <w:r>
        <w:rPr>
          <w:color w:val="231F20"/>
          <w:w w:val="120"/>
        </w:rPr>
        <w:t>le</w:t>
      </w:r>
      <w:r>
        <w:rPr>
          <w:color w:val="231F20"/>
          <w:spacing w:val="-8"/>
          <w:w w:val="120"/>
        </w:rPr>
        <w:t> </w:t>
      </w:r>
      <w:r>
        <w:rPr>
          <w:color w:val="231F20"/>
          <w:w w:val="120"/>
        </w:rPr>
        <w:t>mécanisme</w:t>
      </w:r>
      <w:r>
        <w:rPr>
          <w:color w:val="231F20"/>
          <w:spacing w:val="-8"/>
          <w:w w:val="120"/>
        </w:rPr>
        <w:t> </w:t>
      </w:r>
      <w:r>
        <w:rPr>
          <w:color w:val="231F20"/>
          <w:w w:val="120"/>
        </w:rPr>
        <w:t>de défense du système immunitaire. Normalement, nous réagissons à ce </w:t>
      </w:r>
      <w:r>
        <w:rPr>
          <w:color w:val="231F20"/>
          <w:spacing w:val="-2"/>
          <w:w w:val="120"/>
        </w:rPr>
        <w:t>genre</w:t>
      </w:r>
      <w:r>
        <w:rPr>
          <w:color w:val="231F20"/>
          <w:spacing w:val="-11"/>
          <w:w w:val="120"/>
        </w:rPr>
        <w:t> </w:t>
      </w:r>
      <w:r>
        <w:rPr>
          <w:color w:val="231F20"/>
          <w:spacing w:val="-2"/>
          <w:w w:val="120"/>
        </w:rPr>
        <w:t>de</w:t>
      </w:r>
      <w:r>
        <w:rPr>
          <w:color w:val="231F20"/>
          <w:spacing w:val="-11"/>
          <w:w w:val="120"/>
        </w:rPr>
        <w:t> </w:t>
      </w:r>
      <w:r>
        <w:rPr>
          <w:color w:val="231F20"/>
          <w:spacing w:val="-2"/>
          <w:w w:val="120"/>
        </w:rPr>
        <w:t>menace</w:t>
      </w:r>
      <w:r>
        <w:rPr>
          <w:color w:val="231F20"/>
          <w:spacing w:val="-11"/>
          <w:w w:val="120"/>
        </w:rPr>
        <w:t> </w:t>
      </w:r>
      <w:r>
        <w:rPr>
          <w:color w:val="231F20"/>
          <w:spacing w:val="-2"/>
          <w:w w:val="120"/>
        </w:rPr>
        <w:t>au</w:t>
      </w:r>
      <w:r>
        <w:rPr>
          <w:color w:val="231F20"/>
          <w:spacing w:val="-10"/>
          <w:w w:val="120"/>
        </w:rPr>
        <w:t> </w:t>
      </w:r>
      <w:r>
        <w:rPr>
          <w:color w:val="231F20"/>
          <w:spacing w:val="-2"/>
          <w:w w:val="120"/>
        </w:rPr>
        <w:t>moyen</w:t>
      </w:r>
      <w:r>
        <w:rPr>
          <w:color w:val="231F20"/>
          <w:spacing w:val="-11"/>
          <w:w w:val="120"/>
        </w:rPr>
        <w:t> </w:t>
      </w:r>
      <w:r>
        <w:rPr>
          <w:color w:val="231F20"/>
          <w:spacing w:val="-2"/>
          <w:w w:val="120"/>
        </w:rPr>
        <w:t>de</w:t>
      </w:r>
      <w:r>
        <w:rPr>
          <w:color w:val="231F20"/>
          <w:spacing w:val="-11"/>
          <w:w w:val="120"/>
        </w:rPr>
        <w:t> </w:t>
      </w:r>
      <w:r>
        <w:rPr>
          <w:color w:val="231F20"/>
          <w:spacing w:val="-2"/>
          <w:w w:val="120"/>
        </w:rPr>
        <w:t>l’arsenal</w:t>
      </w:r>
      <w:r>
        <w:rPr>
          <w:color w:val="231F20"/>
          <w:spacing w:val="-11"/>
          <w:w w:val="120"/>
        </w:rPr>
        <w:t> </w:t>
      </w:r>
      <w:r>
        <w:rPr>
          <w:color w:val="231F20"/>
          <w:spacing w:val="-2"/>
          <w:w w:val="120"/>
        </w:rPr>
        <w:t>des</w:t>
      </w:r>
      <w:r>
        <w:rPr>
          <w:color w:val="231F20"/>
          <w:spacing w:val="-10"/>
          <w:w w:val="120"/>
        </w:rPr>
        <w:t> </w:t>
      </w:r>
      <w:r>
        <w:rPr>
          <w:color w:val="231F20"/>
          <w:spacing w:val="-2"/>
          <w:w w:val="120"/>
        </w:rPr>
        <w:t>anticorps</w:t>
      </w:r>
      <w:r>
        <w:rPr>
          <w:color w:val="231F20"/>
          <w:spacing w:val="-11"/>
          <w:w w:val="120"/>
        </w:rPr>
        <w:t> </w:t>
      </w:r>
      <w:r>
        <w:rPr>
          <w:color w:val="231F20"/>
          <w:spacing w:val="-2"/>
          <w:w w:val="120"/>
        </w:rPr>
        <w:t>et</w:t>
      </w:r>
      <w:r>
        <w:rPr>
          <w:color w:val="231F20"/>
          <w:spacing w:val="-11"/>
          <w:w w:val="120"/>
        </w:rPr>
        <w:t> </w:t>
      </w:r>
      <w:r>
        <w:rPr>
          <w:color w:val="231F20"/>
          <w:spacing w:val="-2"/>
          <w:w w:val="120"/>
        </w:rPr>
        <w:t>autres</w:t>
      </w:r>
      <w:r>
        <w:rPr>
          <w:color w:val="231F20"/>
          <w:spacing w:val="-11"/>
          <w:w w:val="120"/>
        </w:rPr>
        <w:t> </w:t>
      </w:r>
      <w:r>
        <w:rPr>
          <w:color w:val="231F20"/>
          <w:spacing w:val="-2"/>
          <w:w w:val="120"/>
        </w:rPr>
        <w:t>dispositifs immunologiques;</w:t>
      </w:r>
      <w:r>
        <w:rPr>
          <w:color w:val="231F20"/>
          <w:spacing w:val="-9"/>
          <w:w w:val="120"/>
        </w:rPr>
        <w:t> </w:t>
      </w:r>
      <w:r>
        <w:rPr>
          <w:color w:val="231F20"/>
          <w:spacing w:val="-2"/>
          <w:w w:val="120"/>
        </w:rPr>
        <w:t>le</w:t>
      </w:r>
      <w:r>
        <w:rPr>
          <w:color w:val="231F20"/>
          <w:spacing w:val="-9"/>
          <w:w w:val="120"/>
        </w:rPr>
        <w:t> </w:t>
      </w:r>
      <w:r>
        <w:rPr>
          <w:color w:val="231F20"/>
          <w:spacing w:val="-2"/>
          <w:w w:val="120"/>
        </w:rPr>
        <w:t>système</w:t>
      </w:r>
      <w:r>
        <w:rPr>
          <w:color w:val="231F20"/>
          <w:spacing w:val="-9"/>
          <w:w w:val="120"/>
        </w:rPr>
        <w:t> </w:t>
      </w:r>
      <w:r>
        <w:rPr>
          <w:color w:val="231F20"/>
          <w:spacing w:val="-2"/>
          <w:w w:val="120"/>
        </w:rPr>
        <w:t>immunitaire</w:t>
      </w:r>
      <w:r>
        <w:rPr>
          <w:color w:val="231F20"/>
          <w:spacing w:val="-9"/>
          <w:w w:val="120"/>
        </w:rPr>
        <w:t> </w:t>
      </w:r>
      <w:r>
        <w:rPr>
          <w:color w:val="231F20"/>
          <w:spacing w:val="-2"/>
          <w:w w:val="120"/>
        </w:rPr>
        <w:t>reconnaît</w:t>
      </w:r>
      <w:r>
        <w:rPr>
          <w:color w:val="231F20"/>
          <w:spacing w:val="-9"/>
          <w:w w:val="120"/>
        </w:rPr>
        <w:t> </w:t>
      </w:r>
      <w:r>
        <w:rPr>
          <w:color w:val="231F20"/>
          <w:spacing w:val="-2"/>
          <w:w w:val="120"/>
        </w:rPr>
        <w:t>les</w:t>
      </w:r>
      <w:r>
        <w:rPr>
          <w:color w:val="231F20"/>
          <w:spacing w:val="-9"/>
          <w:w w:val="120"/>
        </w:rPr>
        <w:t> </w:t>
      </w:r>
      <w:r>
        <w:rPr>
          <w:color w:val="231F20"/>
          <w:spacing w:val="-2"/>
          <w:w w:val="120"/>
        </w:rPr>
        <w:t>intrus</w:t>
      </w:r>
      <w:r>
        <w:rPr>
          <w:color w:val="231F20"/>
          <w:spacing w:val="-9"/>
          <w:w w:val="120"/>
        </w:rPr>
        <w:t> </w:t>
      </w:r>
      <w:r>
        <w:rPr>
          <w:color w:val="231F20"/>
          <w:spacing w:val="-2"/>
          <w:w w:val="120"/>
        </w:rPr>
        <w:t>et</w:t>
      </w:r>
      <w:r>
        <w:rPr>
          <w:color w:val="231F20"/>
          <w:spacing w:val="-9"/>
          <w:w w:val="120"/>
        </w:rPr>
        <w:t> </w:t>
      </w:r>
      <w:r>
        <w:rPr>
          <w:color w:val="231F20"/>
          <w:spacing w:val="-2"/>
          <w:w w:val="120"/>
        </w:rPr>
        <w:t>interagit avec</w:t>
      </w:r>
      <w:r>
        <w:rPr>
          <w:color w:val="231F20"/>
          <w:spacing w:val="-10"/>
          <w:w w:val="120"/>
        </w:rPr>
        <w:t> </w:t>
      </w:r>
      <w:r>
        <w:rPr>
          <w:color w:val="231F20"/>
          <w:spacing w:val="-2"/>
          <w:w w:val="120"/>
        </w:rPr>
        <w:t>divers</w:t>
      </w:r>
      <w:r>
        <w:rPr>
          <w:color w:val="231F20"/>
          <w:spacing w:val="-10"/>
          <w:w w:val="120"/>
        </w:rPr>
        <w:t> </w:t>
      </w:r>
      <w:r>
        <w:rPr>
          <w:color w:val="231F20"/>
          <w:spacing w:val="-2"/>
          <w:w w:val="120"/>
        </w:rPr>
        <w:t>organes,</w:t>
      </w:r>
      <w:r>
        <w:rPr>
          <w:color w:val="231F20"/>
          <w:spacing w:val="-10"/>
          <w:w w:val="120"/>
        </w:rPr>
        <w:t> </w:t>
      </w:r>
      <w:r>
        <w:rPr>
          <w:color w:val="231F20"/>
          <w:spacing w:val="-2"/>
          <w:w w:val="120"/>
        </w:rPr>
        <w:t>en</w:t>
      </w:r>
      <w:r>
        <w:rPr>
          <w:color w:val="231F20"/>
          <w:spacing w:val="-10"/>
          <w:w w:val="120"/>
        </w:rPr>
        <w:t> </w:t>
      </w:r>
      <w:r>
        <w:rPr>
          <w:color w:val="231F20"/>
          <w:spacing w:val="-2"/>
          <w:w w:val="120"/>
        </w:rPr>
        <w:t>particulier</w:t>
      </w:r>
      <w:r>
        <w:rPr>
          <w:color w:val="231F20"/>
          <w:spacing w:val="-10"/>
          <w:w w:val="120"/>
        </w:rPr>
        <w:t> </w:t>
      </w:r>
      <w:r>
        <w:rPr>
          <w:color w:val="231F20"/>
          <w:spacing w:val="-2"/>
          <w:w w:val="120"/>
        </w:rPr>
        <w:t>les</w:t>
      </w:r>
      <w:r>
        <w:rPr>
          <w:color w:val="231F20"/>
          <w:spacing w:val="-10"/>
          <w:w w:val="120"/>
        </w:rPr>
        <w:t> </w:t>
      </w:r>
      <w:r>
        <w:rPr>
          <w:color w:val="231F20"/>
          <w:spacing w:val="-2"/>
          <w:w w:val="120"/>
        </w:rPr>
        <w:t>systèmes</w:t>
      </w:r>
      <w:r>
        <w:rPr>
          <w:color w:val="231F20"/>
          <w:spacing w:val="-10"/>
          <w:w w:val="120"/>
        </w:rPr>
        <w:t> </w:t>
      </w:r>
      <w:r>
        <w:rPr>
          <w:color w:val="231F20"/>
          <w:spacing w:val="-2"/>
          <w:w w:val="120"/>
        </w:rPr>
        <w:t>hormonaux</w:t>
      </w:r>
      <w:r>
        <w:rPr>
          <w:color w:val="231F20"/>
          <w:spacing w:val="-10"/>
          <w:w w:val="120"/>
        </w:rPr>
        <w:t> </w:t>
      </w:r>
      <w:r>
        <w:rPr>
          <w:color w:val="231F20"/>
          <w:spacing w:val="-2"/>
          <w:w w:val="120"/>
        </w:rPr>
        <w:t>et</w:t>
      </w:r>
      <w:r>
        <w:rPr>
          <w:color w:val="231F20"/>
          <w:spacing w:val="-10"/>
          <w:w w:val="120"/>
        </w:rPr>
        <w:t> </w:t>
      </w:r>
      <w:r>
        <w:rPr>
          <w:color w:val="231F20"/>
          <w:spacing w:val="-2"/>
          <w:w w:val="120"/>
        </w:rPr>
        <w:t>le</w:t>
      </w:r>
      <w:r>
        <w:rPr>
          <w:color w:val="231F20"/>
          <w:spacing w:val="-10"/>
          <w:w w:val="120"/>
        </w:rPr>
        <w:t> </w:t>
      </w:r>
      <w:r>
        <w:rPr>
          <w:color w:val="231F20"/>
          <w:spacing w:val="-2"/>
          <w:w w:val="120"/>
        </w:rPr>
        <w:t>système </w:t>
      </w:r>
      <w:r>
        <w:rPr>
          <w:color w:val="231F20"/>
          <w:spacing w:val="-4"/>
          <w:w w:val="120"/>
        </w:rPr>
        <w:t>nerveux.</w:t>
      </w:r>
      <w:r>
        <w:rPr>
          <w:color w:val="231F20"/>
          <w:spacing w:val="-6"/>
          <w:w w:val="120"/>
        </w:rPr>
        <w:t> </w:t>
      </w:r>
      <w:r>
        <w:rPr>
          <w:color w:val="231F20"/>
          <w:spacing w:val="-4"/>
          <w:w w:val="120"/>
        </w:rPr>
        <w:t>L’interaction</w:t>
      </w:r>
      <w:r>
        <w:rPr>
          <w:color w:val="231F20"/>
          <w:spacing w:val="-6"/>
          <w:w w:val="120"/>
        </w:rPr>
        <w:t> </w:t>
      </w:r>
      <w:r>
        <w:rPr>
          <w:color w:val="231F20"/>
          <w:spacing w:val="-4"/>
          <w:w w:val="120"/>
        </w:rPr>
        <w:t>entre</w:t>
      </w:r>
      <w:r>
        <w:rPr>
          <w:color w:val="231F20"/>
          <w:spacing w:val="-6"/>
          <w:w w:val="120"/>
        </w:rPr>
        <w:t> </w:t>
      </w:r>
      <w:r>
        <w:rPr>
          <w:color w:val="231F20"/>
          <w:spacing w:val="-4"/>
          <w:w w:val="120"/>
        </w:rPr>
        <w:t>ces</w:t>
      </w:r>
      <w:r>
        <w:rPr>
          <w:color w:val="231F20"/>
          <w:spacing w:val="-6"/>
          <w:w w:val="120"/>
        </w:rPr>
        <w:t> </w:t>
      </w:r>
      <w:r>
        <w:rPr>
          <w:color w:val="231F20"/>
          <w:spacing w:val="-4"/>
          <w:w w:val="120"/>
        </w:rPr>
        <w:t>systèmes</w:t>
      </w:r>
      <w:r>
        <w:rPr>
          <w:color w:val="231F20"/>
          <w:spacing w:val="-6"/>
          <w:w w:val="120"/>
        </w:rPr>
        <w:t> </w:t>
      </w:r>
      <w:r>
        <w:rPr>
          <w:color w:val="231F20"/>
          <w:spacing w:val="-4"/>
          <w:w w:val="120"/>
        </w:rPr>
        <w:t>met</w:t>
      </w:r>
      <w:r>
        <w:rPr>
          <w:color w:val="231F20"/>
          <w:spacing w:val="-6"/>
          <w:w w:val="120"/>
        </w:rPr>
        <w:t> </w:t>
      </w:r>
      <w:r>
        <w:rPr>
          <w:color w:val="231F20"/>
          <w:spacing w:val="-4"/>
          <w:w w:val="120"/>
        </w:rPr>
        <w:t>en</w:t>
      </w:r>
      <w:r>
        <w:rPr>
          <w:color w:val="231F20"/>
          <w:spacing w:val="-6"/>
          <w:w w:val="120"/>
        </w:rPr>
        <w:t> </w:t>
      </w:r>
      <w:r>
        <w:rPr>
          <w:color w:val="231F20"/>
          <w:spacing w:val="-4"/>
          <w:w w:val="120"/>
        </w:rPr>
        <w:t>jeu</w:t>
      </w:r>
      <w:r>
        <w:rPr>
          <w:color w:val="231F20"/>
          <w:spacing w:val="-6"/>
          <w:w w:val="120"/>
        </w:rPr>
        <w:t> </w:t>
      </w:r>
      <w:r>
        <w:rPr>
          <w:color w:val="231F20"/>
          <w:spacing w:val="-4"/>
          <w:w w:val="120"/>
        </w:rPr>
        <w:t>d’autres</w:t>
      </w:r>
      <w:r>
        <w:rPr>
          <w:color w:val="231F20"/>
          <w:spacing w:val="-6"/>
          <w:w w:val="120"/>
        </w:rPr>
        <w:t> </w:t>
      </w:r>
      <w:r>
        <w:rPr>
          <w:color w:val="231F20"/>
          <w:spacing w:val="-4"/>
          <w:w w:val="120"/>
        </w:rPr>
        <w:t>agents,</w:t>
      </w:r>
      <w:r>
        <w:rPr>
          <w:color w:val="231F20"/>
          <w:spacing w:val="-6"/>
          <w:w w:val="120"/>
        </w:rPr>
        <w:t> </w:t>
      </w:r>
      <w:r>
        <w:rPr>
          <w:color w:val="231F20"/>
          <w:spacing w:val="-4"/>
          <w:w w:val="120"/>
        </w:rPr>
        <w:t>dont </w:t>
      </w:r>
      <w:r>
        <w:rPr>
          <w:color w:val="231F20"/>
          <w:w w:val="120"/>
        </w:rPr>
        <w:t>le</w:t>
      </w:r>
      <w:r>
        <w:rPr>
          <w:color w:val="231F20"/>
          <w:spacing w:val="-1"/>
          <w:w w:val="120"/>
        </w:rPr>
        <w:t> </w:t>
      </w:r>
      <w:r>
        <w:rPr>
          <w:color w:val="231F20"/>
          <w:w w:val="120"/>
        </w:rPr>
        <w:t>système</w:t>
      </w:r>
      <w:r>
        <w:rPr>
          <w:color w:val="231F20"/>
          <w:spacing w:val="-1"/>
          <w:w w:val="120"/>
        </w:rPr>
        <w:t> </w:t>
      </w:r>
      <w:r>
        <w:rPr>
          <w:color w:val="231F20"/>
          <w:w w:val="120"/>
        </w:rPr>
        <w:t>endocrinien,</w:t>
      </w:r>
      <w:r>
        <w:rPr>
          <w:color w:val="231F20"/>
          <w:spacing w:val="-1"/>
          <w:w w:val="120"/>
        </w:rPr>
        <w:t> </w:t>
      </w:r>
      <w:r>
        <w:rPr>
          <w:color w:val="231F20"/>
          <w:w w:val="120"/>
        </w:rPr>
        <w:t>comme</w:t>
      </w:r>
      <w:r>
        <w:rPr>
          <w:color w:val="231F20"/>
          <w:spacing w:val="-1"/>
          <w:w w:val="120"/>
        </w:rPr>
        <w:t> </w:t>
      </w:r>
      <w:r>
        <w:rPr>
          <w:color w:val="231F20"/>
          <w:w w:val="120"/>
        </w:rPr>
        <w:t>on</w:t>
      </w:r>
      <w:r>
        <w:rPr>
          <w:color w:val="231F20"/>
          <w:spacing w:val="-1"/>
          <w:w w:val="120"/>
        </w:rPr>
        <w:t> </w:t>
      </w:r>
      <w:r>
        <w:rPr>
          <w:color w:val="231F20"/>
          <w:w w:val="120"/>
        </w:rPr>
        <w:t>l’a</w:t>
      </w:r>
      <w:r>
        <w:rPr>
          <w:color w:val="231F20"/>
          <w:spacing w:val="-1"/>
          <w:w w:val="120"/>
        </w:rPr>
        <w:t> </w:t>
      </w:r>
      <w:r>
        <w:rPr>
          <w:color w:val="231F20"/>
          <w:w w:val="120"/>
        </w:rPr>
        <w:t>vu</w:t>
      </w:r>
      <w:r>
        <w:rPr>
          <w:color w:val="231F20"/>
          <w:spacing w:val="-1"/>
          <w:w w:val="120"/>
        </w:rPr>
        <w:t> </w:t>
      </w:r>
      <w:r>
        <w:rPr>
          <w:color w:val="231F20"/>
          <w:w w:val="120"/>
        </w:rPr>
        <w:t>précédemment.</w:t>
      </w:r>
      <w:r>
        <w:rPr>
          <w:color w:val="231F20"/>
          <w:spacing w:val="-1"/>
          <w:w w:val="120"/>
        </w:rPr>
        <w:t> </w:t>
      </w:r>
      <w:r>
        <w:rPr>
          <w:color w:val="231F20"/>
          <w:w w:val="120"/>
        </w:rPr>
        <w:t>Les</w:t>
      </w:r>
      <w:r>
        <w:rPr>
          <w:color w:val="231F20"/>
          <w:spacing w:val="-1"/>
          <w:w w:val="120"/>
        </w:rPr>
        <w:t> </w:t>
      </w:r>
      <w:r>
        <w:rPr>
          <w:color w:val="231F20"/>
          <w:w w:val="120"/>
        </w:rPr>
        <w:t>résultats </w:t>
      </w:r>
      <w:r>
        <w:rPr>
          <w:color w:val="231F20"/>
          <w:spacing w:val="-2"/>
          <w:w w:val="120"/>
        </w:rPr>
        <w:t>des</w:t>
      </w:r>
      <w:r>
        <w:rPr>
          <w:color w:val="231F20"/>
          <w:spacing w:val="-10"/>
          <w:w w:val="120"/>
        </w:rPr>
        <w:t> </w:t>
      </w:r>
      <w:r>
        <w:rPr>
          <w:color w:val="231F20"/>
          <w:spacing w:val="-2"/>
          <w:w w:val="120"/>
        </w:rPr>
        <w:t>recherches</w:t>
      </w:r>
      <w:r>
        <w:rPr>
          <w:color w:val="231F20"/>
          <w:spacing w:val="-9"/>
          <w:w w:val="120"/>
        </w:rPr>
        <w:t> </w:t>
      </w:r>
      <w:r>
        <w:rPr>
          <w:color w:val="231F20"/>
          <w:spacing w:val="-2"/>
          <w:w w:val="120"/>
        </w:rPr>
        <w:t>nous</w:t>
      </w:r>
      <w:r>
        <w:rPr>
          <w:color w:val="231F20"/>
          <w:spacing w:val="-9"/>
          <w:w w:val="120"/>
        </w:rPr>
        <w:t> </w:t>
      </w:r>
      <w:r>
        <w:rPr>
          <w:color w:val="231F20"/>
          <w:spacing w:val="-2"/>
          <w:w w:val="120"/>
        </w:rPr>
        <w:t>permettent</w:t>
      </w:r>
      <w:r>
        <w:rPr>
          <w:color w:val="231F20"/>
          <w:spacing w:val="-9"/>
          <w:w w:val="120"/>
        </w:rPr>
        <w:t> </w:t>
      </w:r>
      <w:r>
        <w:rPr>
          <w:color w:val="231F20"/>
          <w:spacing w:val="-2"/>
          <w:w w:val="120"/>
        </w:rPr>
        <w:t>de</w:t>
      </w:r>
      <w:r>
        <w:rPr>
          <w:color w:val="231F20"/>
          <w:spacing w:val="-10"/>
          <w:w w:val="120"/>
        </w:rPr>
        <w:t> </w:t>
      </w:r>
      <w:r>
        <w:rPr>
          <w:color w:val="231F20"/>
          <w:spacing w:val="-2"/>
          <w:w w:val="120"/>
        </w:rPr>
        <w:t>présumer</w:t>
      </w:r>
      <w:r>
        <w:rPr>
          <w:color w:val="231F20"/>
          <w:spacing w:val="-9"/>
          <w:w w:val="120"/>
        </w:rPr>
        <w:t> </w:t>
      </w:r>
      <w:r>
        <w:rPr>
          <w:color w:val="231F20"/>
          <w:spacing w:val="-2"/>
          <w:w w:val="120"/>
        </w:rPr>
        <w:t>qu’un</w:t>
      </w:r>
      <w:r>
        <w:rPr>
          <w:color w:val="231F20"/>
          <w:spacing w:val="-9"/>
          <w:w w:val="120"/>
        </w:rPr>
        <w:t> </w:t>
      </w:r>
      <w:r>
        <w:rPr>
          <w:color w:val="231F20"/>
          <w:spacing w:val="-2"/>
          <w:w w:val="120"/>
        </w:rPr>
        <w:t>système</w:t>
      </w:r>
      <w:r>
        <w:rPr>
          <w:color w:val="231F20"/>
          <w:spacing w:val="-9"/>
          <w:w w:val="120"/>
        </w:rPr>
        <w:t> </w:t>
      </w:r>
      <w:r>
        <w:rPr>
          <w:color w:val="231F20"/>
          <w:spacing w:val="-2"/>
          <w:w w:val="120"/>
        </w:rPr>
        <w:t>immunitaire</w:t>
      </w:r>
    </w:p>
    <w:p>
      <w:pPr>
        <w:spacing w:after="0" w:line="307" w:lineRule="auto"/>
        <w:jc w:val="both"/>
        <w:sectPr>
          <w:footerReference w:type="default" r:id="rId171"/>
          <w:pgSz w:w="8640" w:h="12960"/>
          <w:pgMar w:footer="424" w:header="0" w:top="520" w:bottom="62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2"/>
        <w:jc w:val="both"/>
      </w:pPr>
      <w:r>
        <w:rPr>
          <w:color w:val="231F20"/>
          <w:w w:val="120"/>
        </w:rPr>
        <w:t>«</w:t>
      </w:r>
      <w:r>
        <w:rPr>
          <w:color w:val="231F20"/>
          <w:spacing w:val="-13"/>
          <w:w w:val="120"/>
        </w:rPr>
        <w:t> </w:t>
      </w:r>
      <w:r>
        <w:rPr>
          <w:color w:val="231F20"/>
          <w:w w:val="120"/>
        </w:rPr>
        <w:t>hypothéqué</w:t>
      </w:r>
      <w:r>
        <w:rPr>
          <w:color w:val="231F20"/>
          <w:spacing w:val="-13"/>
          <w:w w:val="120"/>
        </w:rPr>
        <w:t> </w:t>
      </w:r>
      <w:r>
        <w:rPr>
          <w:color w:val="231F20"/>
          <w:w w:val="120"/>
        </w:rPr>
        <w:t>»</w:t>
      </w:r>
      <w:r>
        <w:rPr>
          <w:color w:val="231F20"/>
          <w:spacing w:val="-13"/>
          <w:w w:val="120"/>
        </w:rPr>
        <w:t> </w:t>
      </w:r>
      <w:r>
        <w:rPr>
          <w:color w:val="231F20"/>
          <w:w w:val="120"/>
        </w:rPr>
        <w:t>par un stress chronique fonctionne de moins en moins </w:t>
      </w:r>
      <w:r>
        <w:rPr>
          <w:color w:val="231F20"/>
          <w:w w:val="115"/>
        </w:rPr>
        <w:t>bien, ce qui accroît d’autant la vulnérabilité de l’organisme aux maladies </w:t>
      </w:r>
      <w:r>
        <w:rPr>
          <w:color w:val="231F20"/>
          <w:w w:val="120"/>
        </w:rPr>
        <w:t>infectieuses et aux maladies auto-immunes.</w:t>
      </w:r>
    </w:p>
    <w:p>
      <w:pPr>
        <w:pStyle w:val="BodyText"/>
        <w:spacing w:line="307" w:lineRule="auto" w:before="80"/>
        <w:ind w:left="1220" w:right="104" w:firstLine="250"/>
        <w:jc w:val="both"/>
      </w:pPr>
      <w:r>
        <w:rPr>
          <w:color w:val="231F20"/>
          <w:w w:val="115"/>
        </w:rPr>
        <w:t>Mais</w:t>
      </w:r>
      <w:r>
        <w:rPr>
          <w:color w:val="231F20"/>
          <w:spacing w:val="-11"/>
          <w:w w:val="115"/>
        </w:rPr>
        <w:t> </w:t>
      </w:r>
      <w:r>
        <w:rPr>
          <w:color w:val="231F20"/>
          <w:w w:val="115"/>
        </w:rPr>
        <w:t>comment fonctionne le système immunitaire</w:t>
      </w:r>
      <w:r>
        <w:rPr>
          <w:color w:val="231F20"/>
          <w:spacing w:val="-13"/>
          <w:w w:val="115"/>
        </w:rPr>
        <w:t> </w:t>
      </w:r>
      <w:r>
        <w:rPr>
          <w:color w:val="231F20"/>
          <w:w w:val="115"/>
        </w:rPr>
        <w:t>? Dans le sang, des </w:t>
      </w:r>
      <w:r>
        <w:rPr>
          <w:color w:val="231F20"/>
          <w:w w:val="120"/>
        </w:rPr>
        <w:t>globules</w:t>
      </w:r>
      <w:r>
        <w:rPr>
          <w:color w:val="231F20"/>
          <w:spacing w:val="-13"/>
          <w:w w:val="120"/>
        </w:rPr>
        <w:t> </w:t>
      </w:r>
      <w:r>
        <w:rPr>
          <w:color w:val="231F20"/>
          <w:w w:val="120"/>
        </w:rPr>
        <w:t>blancs</w:t>
      </w:r>
      <w:r>
        <w:rPr>
          <w:color w:val="231F20"/>
          <w:spacing w:val="-4"/>
          <w:w w:val="120"/>
        </w:rPr>
        <w:t> </w:t>
      </w:r>
      <w:r>
        <w:rPr>
          <w:color w:val="231F20"/>
          <w:w w:val="120"/>
        </w:rPr>
        <w:t>appelés «</w:t>
      </w:r>
      <w:r>
        <w:rPr>
          <w:color w:val="231F20"/>
          <w:spacing w:val="-13"/>
          <w:w w:val="120"/>
        </w:rPr>
        <w:t> </w:t>
      </w:r>
      <w:r>
        <w:rPr>
          <w:color w:val="231F20"/>
          <w:w w:val="120"/>
        </w:rPr>
        <w:t>phagocytes</w:t>
      </w:r>
      <w:r>
        <w:rPr>
          <w:color w:val="231F20"/>
          <w:spacing w:val="-13"/>
          <w:w w:val="120"/>
        </w:rPr>
        <w:t> </w:t>
      </w:r>
      <w:r>
        <w:rPr>
          <w:color w:val="231F20"/>
          <w:w w:val="120"/>
        </w:rPr>
        <w:t>» se mobilisent pour détruire les germes envahissants. Pour cela, il faut que d’autres globules blancs, les</w:t>
      </w:r>
      <w:r>
        <w:rPr>
          <w:color w:val="231F20"/>
          <w:spacing w:val="-15"/>
          <w:w w:val="120"/>
        </w:rPr>
        <w:t> </w:t>
      </w:r>
      <w:r>
        <w:rPr>
          <w:color w:val="231F20"/>
          <w:w w:val="120"/>
        </w:rPr>
        <w:t>lymphocytes,</w:t>
      </w:r>
      <w:r>
        <w:rPr>
          <w:color w:val="231F20"/>
          <w:spacing w:val="-13"/>
          <w:w w:val="120"/>
        </w:rPr>
        <w:t> </w:t>
      </w:r>
      <w:r>
        <w:rPr>
          <w:color w:val="231F20"/>
          <w:w w:val="120"/>
        </w:rPr>
        <w:t>leur</w:t>
      </w:r>
      <w:r>
        <w:rPr>
          <w:color w:val="231F20"/>
          <w:spacing w:val="-13"/>
          <w:w w:val="120"/>
        </w:rPr>
        <w:t> </w:t>
      </w:r>
      <w:r>
        <w:rPr>
          <w:color w:val="231F20"/>
          <w:w w:val="120"/>
        </w:rPr>
        <w:t>donnent</w:t>
      </w:r>
      <w:r>
        <w:rPr>
          <w:color w:val="231F20"/>
          <w:spacing w:val="-12"/>
          <w:w w:val="120"/>
        </w:rPr>
        <w:t> </w:t>
      </w:r>
      <w:r>
        <w:rPr>
          <w:color w:val="231F20"/>
          <w:w w:val="120"/>
        </w:rPr>
        <w:t>l’instruction</w:t>
      </w:r>
      <w:r>
        <w:rPr>
          <w:color w:val="231F20"/>
          <w:spacing w:val="-13"/>
          <w:w w:val="120"/>
        </w:rPr>
        <w:t> </w:t>
      </w:r>
      <w:r>
        <w:rPr>
          <w:color w:val="231F20"/>
          <w:w w:val="120"/>
        </w:rPr>
        <w:t>d’attaquer</w:t>
      </w:r>
      <w:r>
        <w:rPr>
          <w:color w:val="231F20"/>
          <w:spacing w:val="-13"/>
          <w:w w:val="120"/>
        </w:rPr>
        <w:t> </w:t>
      </w:r>
      <w:r>
        <w:rPr>
          <w:color w:val="231F20"/>
          <w:w w:val="120"/>
        </w:rPr>
        <w:t>l’intrus.</w:t>
      </w:r>
      <w:r>
        <w:rPr>
          <w:color w:val="231F20"/>
          <w:spacing w:val="-13"/>
          <w:w w:val="120"/>
        </w:rPr>
        <w:t> </w:t>
      </w:r>
      <w:r>
        <w:rPr>
          <w:color w:val="231F20"/>
          <w:w w:val="120"/>
        </w:rPr>
        <w:t>Les</w:t>
      </w:r>
      <w:r>
        <w:rPr>
          <w:color w:val="231F20"/>
          <w:spacing w:val="-12"/>
          <w:w w:val="120"/>
        </w:rPr>
        <w:t> </w:t>
      </w:r>
      <w:r>
        <w:rPr>
          <w:color w:val="231F20"/>
          <w:w w:val="120"/>
        </w:rPr>
        <w:t>lym- phocytes B (bursodépendants), qui se forment dans la moelle osseuse, </w:t>
      </w:r>
      <w:r>
        <w:rPr>
          <w:color w:val="231F20"/>
          <w:spacing w:val="-2"/>
          <w:w w:val="120"/>
        </w:rPr>
        <w:t>produisent</w:t>
      </w:r>
      <w:r>
        <w:rPr>
          <w:color w:val="231F20"/>
          <w:spacing w:val="-13"/>
          <w:w w:val="120"/>
        </w:rPr>
        <w:t> </w:t>
      </w:r>
      <w:r>
        <w:rPr>
          <w:color w:val="231F20"/>
          <w:spacing w:val="-2"/>
          <w:w w:val="120"/>
        </w:rPr>
        <w:t>des</w:t>
      </w:r>
      <w:r>
        <w:rPr>
          <w:color w:val="231F20"/>
          <w:spacing w:val="-11"/>
          <w:w w:val="120"/>
        </w:rPr>
        <w:t> </w:t>
      </w:r>
      <w:r>
        <w:rPr>
          <w:color w:val="231F20"/>
          <w:spacing w:val="-2"/>
          <w:w w:val="120"/>
        </w:rPr>
        <w:t>protéines,</w:t>
      </w:r>
      <w:r>
        <w:rPr>
          <w:color w:val="231F20"/>
          <w:spacing w:val="-11"/>
          <w:w w:val="120"/>
        </w:rPr>
        <w:t> </w:t>
      </w:r>
      <w:r>
        <w:rPr>
          <w:color w:val="231F20"/>
          <w:spacing w:val="-2"/>
          <w:w w:val="120"/>
        </w:rPr>
        <w:t>les</w:t>
      </w:r>
      <w:r>
        <w:rPr>
          <w:color w:val="231F20"/>
          <w:spacing w:val="-10"/>
          <w:w w:val="120"/>
        </w:rPr>
        <w:t> </w:t>
      </w:r>
      <w:r>
        <w:rPr>
          <w:color w:val="231F20"/>
          <w:spacing w:val="-2"/>
          <w:w w:val="120"/>
        </w:rPr>
        <w:t>anticorps.</w:t>
      </w:r>
      <w:r>
        <w:rPr>
          <w:color w:val="231F20"/>
          <w:spacing w:val="-11"/>
          <w:w w:val="120"/>
        </w:rPr>
        <w:t> </w:t>
      </w:r>
      <w:r>
        <w:rPr>
          <w:color w:val="231F20"/>
          <w:spacing w:val="-2"/>
          <w:w w:val="120"/>
        </w:rPr>
        <w:t>Ceux-ci</w:t>
      </w:r>
      <w:r>
        <w:rPr>
          <w:color w:val="231F20"/>
          <w:spacing w:val="-11"/>
          <w:w w:val="120"/>
        </w:rPr>
        <w:t> </w:t>
      </w:r>
      <w:r>
        <w:rPr>
          <w:color w:val="231F20"/>
          <w:spacing w:val="-2"/>
          <w:w w:val="120"/>
        </w:rPr>
        <w:t>s’attachent</w:t>
      </w:r>
      <w:r>
        <w:rPr>
          <w:color w:val="231F20"/>
          <w:spacing w:val="-11"/>
          <w:w w:val="120"/>
        </w:rPr>
        <w:t> </w:t>
      </w:r>
      <w:r>
        <w:rPr>
          <w:color w:val="231F20"/>
          <w:spacing w:val="-2"/>
          <w:w w:val="120"/>
        </w:rPr>
        <w:t>aux</w:t>
      </w:r>
      <w:r>
        <w:rPr>
          <w:color w:val="231F20"/>
          <w:spacing w:val="-10"/>
          <w:w w:val="120"/>
        </w:rPr>
        <w:t> </w:t>
      </w:r>
      <w:r>
        <w:rPr>
          <w:color w:val="231F20"/>
          <w:spacing w:val="-2"/>
          <w:w w:val="120"/>
        </w:rPr>
        <w:t>antigènes </w:t>
      </w:r>
      <w:r>
        <w:rPr>
          <w:color w:val="231F20"/>
          <w:w w:val="115"/>
        </w:rPr>
        <w:t>(les</w:t>
      </w:r>
      <w:r>
        <w:rPr>
          <w:color w:val="231F20"/>
          <w:spacing w:val="-4"/>
          <w:w w:val="115"/>
        </w:rPr>
        <w:t> </w:t>
      </w:r>
      <w:r>
        <w:rPr>
          <w:color w:val="231F20"/>
          <w:w w:val="115"/>
        </w:rPr>
        <w:t>molécules</w:t>
      </w:r>
      <w:r>
        <w:rPr>
          <w:color w:val="231F20"/>
          <w:spacing w:val="-4"/>
          <w:w w:val="115"/>
        </w:rPr>
        <w:t> </w:t>
      </w:r>
      <w:r>
        <w:rPr>
          <w:color w:val="231F20"/>
          <w:w w:val="115"/>
        </w:rPr>
        <w:t>étrangères),</w:t>
      </w:r>
      <w:r>
        <w:rPr>
          <w:color w:val="231F20"/>
          <w:spacing w:val="-4"/>
          <w:w w:val="115"/>
        </w:rPr>
        <w:t> </w:t>
      </w:r>
      <w:r>
        <w:rPr>
          <w:color w:val="231F20"/>
          <w:w w:val="115"/>
        </w:rPr>
        <w:t>tels</w:t>
      </w:r>
      <w:r>
        <w:rPr>
          <w:color w:val="231F20"/>
          <w:spacing w:val="-4"/>
          <w:w w:val="115"/>
        </w:rPr>
        <w:t> </w:t>
      </w:r>
      <w:r>
        <w:rPr>
          <w:color w:val="231F20"/>
          <w:w w:val="115"/>
        </w:rPr>
        <w:t>les</w:t>
      </w:r>
      <w:r>
        <w:rPr>
          <w:color w:val="231F20"/>
          <w:spacing w:val="-4"/>
          <w:w w:val="115"/>
        </w:rPr>
        <w:t> </w:t>
      </w:r>
      <w:r>
        <w:rPr>
          <w:color w:val="231F20"/>
          <w:w w:val="115"/>
        </w:rPr>
        <w:t>virus</w:t>
      </w:r>
      <w:r>
        <w:rPr>
          <w:color w:val="231F20"/>
          <w:spacing w:val="-4"/>
          <w:w w:val="115"/>
        </w:rPr>
        <w:t> </w:t>
      </w:r>
      <w:r>
        <w:rPr>
          <w:color w:val="231F20"/>
          <w:w w:val="115"/>
        </w:rPr>
        <w:t>ou</w:t>
      </w:r>
      <w:r>
        <w:rPr>
          <w:color w:val="231F20"/>
          <w:spacing w:val="-4"/>
          <w:w w:val="115"/>
        </w:rPr>
        <w:t> </w:t>
      </w:r>
      <w:r>
        <w:rPr>
          <w:color w:val="231F20"/>
          <w:w w:val="115"/>
        </w:rPr>
        <w:t>les</w:t>
      </w:r>
      <w:r>
        <w:rPr>
          <w:color w:val="231F20"/>
          <w:spacing w:val="-4"/>
          <w:w w:val="115"/>
        </w:rPr>
        <w:t> </w:t>
      </w:r>
      <w:r>
        <w:rPr>
          <w:color w:val="231F20"/>
          <w:w w:val="115"/>
        </w:rPr>
        <w:t>bactéries,</w:t>
      </w:r>
      <w:r>
        <w:rPr>
          <w:color w:val="231F20"/>
          <w:spacing w:val="-4"/>
          <w:w w:val="115"/>
        </w:rPr>
        <w:t> </w:t>
      </w:r>
      <w:r>
        <w:rPr>
          <w:color w:val="231F20"/>
          <w:w w:val="115"/>
        </w:rPr>
        <w:t>et</w:t>
      </w:r>
      <w:r>
        <w:rPr>
          <w:color w:val="231F20"/>
          <w:spacing w:val="-4"/>
          <w:w w:val="115"/>
        </w:rPr>
        <w:t> </w:t>
      </w:r>
      <w:r>
        <w:rPr>
          <w:color w:val="231F20"/>
          <w:w w:val="115"/>
        </w:rPr>
        <w:t>mobilisent</w:t>
      </w:r>
      <w:r>
        <w:rPr>
          <w:color w:val="231F20"/>
          <w:spacing w:val="-4"/>
          <w:w w:val="115"/>
        </w:rPr>
        <w:t> </w:t>
      </w:r>
      <w:r>
        <w:rPr>
          <w:color w:val="231F20"/>
          <w:w w:val="115"/>
        </w:rPr>
        <w:t>les </w:t>
      </w:r>
      <w:r>
        <w:rPr>
          <w:color w:val="231F20"/>
          <w:spacing w:val="-2"/>
          <w:w w:val="120"/>
        </w:rPr>
        <w:t>phagocytes</w:t>
      </w:r>
      <w:r>
        <w:rPr>
          <w:color w:val="231F20"/>
          <w:spacing w:val="-6"/>
          <w:w w:val="120"/>
        </w:rPr>
        <w:t> </w:t>
      </w:r>
      <w:r>
        <w:rPr>
          <w:color w:val="231F20"/>
          <w:spacing w:val="-2"/>
          <w:w w:val="120"/>
        </w:rPr>
        <w:t>et</w:t>
      </w:r>
      <w:r>
        <w:rPr>
          <w:color w:val="231F20"/>
          <w:spacing w:val="-6"/>
          <w:w w:val="120"/>
        </w:rPr>
        <w:t> </w:t>
      </w:r>
      <w:r>
        <w:rPr>
          <w:color w:val="231F20"/>
          <w:spacing w:val="-2"/>
          <w:w w:val="120"/>
        </w:rPr>
        <w:t>les</w:t>
      </w:r>
      <w:r>
        <w:rPr>
          <w:color w:val="231F20"/>
          <w:spacing w:val="-6"/>
          <w:w w:val="120"/>
        </w:rPr>
        <w:t> </w:t>
      </w:r>
      <w:r>
        <w:rPr>
          <w:color w:val="231F20"/>
          <w:spacing w:val="-2"/>
          <w:w w:val="120"/>
        </w:rPr>
        <w:t>protéines</w:t>
      </w:r>
      <w:r>
        <w:rPr>
          <w:color w:val="231F20"/>
          <w:spacing w:val="-6"/>
          <w:w w:val="120"/>
        </w:rPr>
        <w:t> </w:t>
      </w:r>
      <w:r>
        <w:rPr>
          <w:color w:val="231F20"/>
          <w:spacing w:val="-2"/>
          <w:w w:val="120"/>
        </w:rPr>
        <w:t>en</w:t>
      </w:r>
      <w:r>
        <w:rPr>
          <w:color w:val="231F20"/>
          <w:spacing w:val="-6"/>
          <w:w w:val="120"/>
        </w:rPr>
        <w:t> </w:t>
      </w:r>
      <w:r>
        <w:rPr>
          <w:color w:val="231F20"/>
          <w:spacing w:val="-2"/>
          <w:w w:val="120"/>
        </w:rPr>
        <w:t>circulation</w:t>
      </w:r>
      <w:r>
        <w:rPr>
          <w:color w:val="231F20"/>
          <w:spacing w:val="-6"/>
          <w:w w:val="120"/>
        </w:rPr>
        <w:t> </w:t>
      </w:r>
      <w:r>
        <w:rPr>
          <w:color w:val="231F20"/>
          <w:spacing w:val="-2"/>
          <w:w w:val="120"/>
        </w:rPr>
        <w:t>pour</w:t>
      </w:r>
      <w:r>
        <w:rPr>
          <w:color w:val="231F20"/>
          <w:spacing w:val="-6"/>
          <w:w w:val="120"/>
        </w:rPr>
        <w:t> </w:t>
      </w:r>
      <w:r>
        <w:rPr>
          <w:color w:val="231F20"/>
          <w:spacing w:val="-2"/>
          <w:w w:val="120"/>
        </w:rPr>
        <w:t>détruire</w:t>
      </w:r>
      <w:r>
        <w:rPr>
          <w:color w:val="231F20"/>
          <w:spacing w:val="-6"/>
          <w:w w:val="120"/>
        </w:rPr>
        <w:t> </w:t>
      </w:r>
      <w:r>
        <w:rPr>
          <w:color w:val="231F20"/>
          <w:spacing w:val="-2"/>
          <w:w w:val="120"/>
        </w:rPr>
        <w:t>les</w:t>
      </w:r>
      <w:r>
        <w:rPr>
          <w:color w:val="231F20"/>
          <w:spacing w:val="-6"/>
          <w:w w:val="120"/>
        </w:rPr>
        <w:t> </w:t>
      </w:r>
      <w:r>
        <w:rPr>
          <w:color w:val="231F20"/>
          <w:spacing w:val="-2"/>
          <w:w w:val="120"/>
        </w:rPr>
        <w:t>envahisseurs. </w:t>
      </w:r>
      <w:r>
        <w:rPr>
          <w:color w:val="231F20"/>
          <w:w w:val="115"/>
        </w:rPr>
        <w:t>Les</w:t>
      </w:r>
      <w:r>
        <w:rPr>
          <w:color w:val="231F20"/>
          <w:spacing w:val="-8"/>
          <w:w w:val="115"/>
        </w:rPr>
        <w:t> </w:t>
      </w:r>
      <w:r>
        <w:rPr>
          <w:color w:val="231F20"/>
          <w:w w:val="115"/>
        </w:rPr>
        <w:t>lymphocytes</w:t>
      </w:r>
      <w:r>
        <w:rPr>
          <w:color w:val="231F20"/>
          <w:spacing w:val="-8"/>
          <w:w w:val="115"/>
        </w:rPr>
        <w:t> </w:t>
      </w:r>
      <w:r>
        <w:rPr>
          <w:color w:val="231F20"/>
          <w:w w:val="115"/>
        </w:rPr>
        <w:t>T</w:t>
      </w:r>
      <w:r>
        <w:rPr>
          <w:color w:val="231F20"/>
          <w:spacing w:val="-8"/>
          <w:w w:val="115"/>
        </w:rPr>
        <w:t> </w:t>
      </w:r>
      <w:r>
        <w:rPr>
          <w:color w:val="231F20"/>
          <w:w w:val="115"/>
        </w:rPr>
        <w:t>(thymodépendants)</w:t>
      </w:r>
      <w:r>
        <w:rPr>
          <w:color w:val="231F20"/>
          <w:spacing w:val="-8"/>
          <w:w w:val="115"/>
        </w:rPr>
        <w:t> </w:t>
      </w:r>
      <w:r>
        <w:rPr>
          <w:color w:val="231F20"/>
          <w:w w:val="115"/>
        </w:rPr>
        <w:t>sont</w:t>
      </w:r>
      <w:r>
        <w:rPr>
          <w:color w:val="231F20"/>
          <w:spacing w:val="-8"/>
          <w:w w:val="115"/>
        </w:rPr>
        <w:t> </w:t>
      </w:r>
      <w:r>
        <w:rPr>
          <w:color w:val="231F20"/>
          <w:w w:val="115"/>
        </w:rPr>
        <w:t>les</w:t>
      </w:r>
      <w:r>
        <w:rPr>
          <w:color w:val="231F20"/>
          <w:spacing w:val="-8"/>
          <w:w w:val="115"/>
        </w:rPr>
        <w:t> </w:t>
      </w:r>
      <w:r>
        <w:rPr>
          <w:color w:val="231F20"/>
          <w:w w:val="115"/>
        </w:rPr>
        <w:t>cellules</w:t>
      </w:r>
      <w:r>
        <w:rPr>
          <w:color w:val="231F20"/>
          <w:spacing w:val="-8"/>
          <w:w w:val="115"/>
        </w:rPr>
        <w:t> </w:t>
      </w:r>
      <w:r>
        <w:rPr>
          <w:color w:val="231F20"/>
          <w:w w:val="115"/>
        </w:rPr>
        <w:t>tueuses.</w:t>
      </w:r>
      <w:r>
        <w:rPr>
          <w:color w:val="231F20"/>
          <w:spacing w:val="-8"/>
          <w:w w:val="115"/>
        </w:rPr>
        <w:t> </w:t>
      </w:r>
      <w:r>
        <w:rPr>
          <w:color w:val="231F20"/>
          <w:w w:val="115"/>
        </w:rPr>
        <w:t>En</w:t>
      </w:r>
      <w:r>
        <w:rPr>
          <w:color w:val="231F20"/>
          <w:spacing w:val="-8"/>
          <w:w w:val="115"/>
        </w:rPr>
        <w:t> </w:t>
      </w:r>
      <w:r>
        <w:rPr>
          <w:color w:val="231F20"/>
          <w:w w:val="115"/>
        </w:rPr>
        <w:t>outre, </w:t>
      </w:r>
      <w:r>
        <w:rPr>
          <w:color w:val="231F20"/>
          <w:w w:val="120"/>
        </w:rPr>
        <w:t>certains lymphocytes T sécrètent des cytokines, les protéines de com- munication intercellulaire (interleukines et lymphokines) qui régulent l’activité</w:t>
      </w:r>
      <w:r>
        <w:rPr>
          <w:color w:val="231F20"/>
          <w:spacing w:val="-13"/>
          <w:w w:val="120"/>
        </w:rPr>
        <w:t> </w:t>
      </w:r>
      <w:r>
        <w:rPr>
          <w:color w:val="231F20"/>
          <w:w w:val="120"/>
        </w:rPr>
        <w:t>des</w:t>
      </w:r>
      <w:r>
        <w:rPr>
          <w:color w:val="231F20"/>
          <w:spacing w:val="-13"/>
          <w:w w:val="120"/>
        </w:rPr>
        <w:t> </w:t>
      </w:r>
      <w:r>
        <w:rPr>
          <w:color w:val="231F20"/>
          <w:w w:val="120"/>
        </w:rPr>
        <w:t>lymphocytes</w:t>
      </w:r>
      <w:r>
        <w:rPr>
          <w:color w:val="231F20"/>
          <w:spacing w:val="-13"/>
          <w:w w:val="120"/>
        </w:rPr>
        <w:t> </w:t>
      </w:r>
      <w:r>
        <w:rPr>
          <w:color w:val="231F20"/>
          <w:w w:val="120"/>
        </w:rPr>
        <w:t>B</w:t>
      </w:r>
      <w:r>
        <w:rPr>
          <w:color w:val="231F20"/>
          <w:spacing w:val="-12"/>
          <w:w w:val="120"/>
        </w:rPr>
        <w:t> </w:t>
      </w:r>
      <w:r>
        <w:rPr>
          <w:color w:val="231F20"/>
          <w:w w:val="120"/>
        </w:rPr>
        <w:t>et</w:t>
      </w:r>
      <w:r>
        <w:rPr>
          <w:color w:val="231F20"/>
          <w:spacing w:val="-13"/>
          <w:w w:val="120"/>
        </w:rPr>
        <w:t> </w:t>
      </w:r>
      <w:r>
        <w:rPr>
          <w:color w:val="231F20"/>
          <w:w w:val="120"/>
        </w:rPr>
        <w:t>des</w:t>
      </w:r>
      <w:r>
        <w:rPr>
          <w:color w:val="231F20"/>
          <w:spacing w:val="-13"/>
          <w:w w:val="120"/>
        </w:rPr>
        <w:t> </w:t>
      </w:r>
      <w:r>
        <w:rPr>
          <w:color w:val="231F20"/>
          <w:w w:val="120"/>
        </w:rPr>
        <w:t>phagocytes.</w:t>
      </w:r>
      <w:r>
        <w:rPr>
          <w:color w:val="231F20"/>
          <w:spacing w:val="-13"/>
          <w:w w:val="120"/>
        </w:rPr>
        <w:t> </w:t>
      </w:r>
      <w:r>
        <w:rPr>
          <w:color w:val="231F20"/>
          <w:w w:val="120"/>
        </w:rPr>
        <w:t>Ces</w:t>
      </w:r>
      <w:r>
        <w:rPr>
          <w:color w:val="231F20"/>
          <w:spacing w:val="-12"/>
          <w:w w:val="120"/>
        </w:rPr>
        <w:t> </w:t>
      </w:r>
      <w:r>
        <w:rPr>
          <w:color w:val="231F20"/>
          <w:w w:val="120"/>
        </w:rPr>
        <w:t>cellules</w:t>
      </w:r>
      <w:r>
        <w:rPr>
          <w:color w:val="231F20"/>
          <w:spacing w:val="-13"/>
          <w:w w:val="120"/>
        </w:rPr>
        <w:t> </w:t>
      </w:r>
      <w:r>
        <w:rPr>
          <w:color w:val="231F20"/>
          <w:w w:val="120"/>
        </w:rPr>
        <w:t>du</w:t>
      </w:r>
      <w:r>
        <w:rPr>
          <w:color w:val="231F20"/>
          <w:spacing w:val="-13"/>
          <w:w w:val="120"/>
        </w:rPr>
        <w:t> </w:t>
      </w:r>
      <w:r>
        <w:rPr>
          <w:color w:val="231F20"/>
          <w:w w:val="120"/>
        </w:rPr>
        <w:t>système immunitaire</w:t>
      </w:r>
      <w:r>
        <w:rPr>
          <w:color w:val="231F20"/>
          <w:spacing w:val="-8"/>
          <w:w w:val="120"/>
        </w:rPr>
        <w:t> </w:t>
      </w:r>
      <w:r>
        <w:rPr>
          <w:color w:val="231F20"/>
          <w:w w:val="120"/>
        </w:rPr>
        <w:t>se</w:t>
      </w:r>
      <w:r>
        <w:rPr>
          <w:color w:val="231F20"/>
          <w:spacing w:val="-8"/>
          <w:w w:val="120"/>
        </w:rPr>
        <w:t> </w:t>
      </w:r>
      <w:r>
        <w:rPr>
          <w:color w:val="231F20"/>
          <w:w w:val="120"/>
        </w:rPr>
        <w:t>forment</w:t>
      </w:r>
      <w:r>
        <w:rPr>
          <w:color w:val="231F20"/>
          <w:spacing w:val="-8"/>
          <w:w w:val="120"/>
        </w:rPr>
        <w:t> </w:t>
      </w:r>
      <w:r>
        <w:rPr>
          <w:color w:val="231F20"/>
          <w:w w:val="120"/>
        </w:rPr>
        <w:t>dans</w:t>
      </w:r>
      <w:r>
        <w:rPr>
          <w:color w:val="231F20"/>
          <w:spacing w:val="-8"/>
          <w:w w:val="120"/>
        </w:rPr>
        <w:t> </w:t>
      </w:r>
      <w:r>
        <w:rPr>
          <w:color w:val="231F20"/>
          <w:w w:val="120"/>
        </w:rPr>
        <w:t>le</w:t>
      </w:r>
      <w:r>
        <w:rPr>
          <w:color w:val="231F20"/>
          <w:spacing w:val="-8"/>
          <w:w w:val="120"/>
        </w:rPr>
        <w:t> </w:t>
      </w:r>
      <w:r>
        <w:rPr>
          <w:color w:val="231F20"/>
          <w:w w:val="120"/>
        </w:rPr>
        <w:t>thymus,</w:t>
      </w:r>
      <w:r>
        <w:rPr>
          <w:color w:val="231F20"/>
          <w:spacing w:val="-8"/>
          <w:w w:val="120"/>
        </w:rPr>
        <w:t> </w:t>
      </w:r>
      <w:r>
        <w:rPr>
          <w:color w:val="231F20"/>
          <w:w w:val="120"/>
        </w:rPr>
        <w:t>la</w:t>
      </w:r>
      <w:r>
        <w:rPr>
          <w:color w:val="231F20"/>
          <w:spacing w:val="-8"/>
          <w:w w:val="120"/>
        </w:rPr>
        <w:t> </w:t>
      </w:r>
      <w:r>
        <w:rPr>
          <w:color w:val="231F20"/>
          <w:w w:val="120"/>
        </w:rPr>
        <w:t>moelle</w:t>
      </w:r>
      <w:r>
        <w:rPr>
          <w:color w:val="231F20"/>
          <w:spacing w:val="-8"/>
          <w:w w:val="120"/>
        </w:rPr>
        <w:t> </w:t>
      </w:r>
      <w:r>
        <w:rPr>
          <w:color w:val="231F20"/>
          <w:w w:val="120"/>
        </w:rPr>
        <w:t>osseuse,</w:t>
      </w:r>
      <w:r>
        <w:rPr>
          <w:color w:val="231F20"/>
          <w:spacing w:val="-8"/>
          <w:w w:val="120"/>
        </w:rPr>
        <w:t> </w:t>
      </w:r>
      <w:r>
        <w:rPr>
          <w:color w:val="231F20"/>
          <w:w w:val="120"/>
        </w:rPr>
        <w:t>la</w:t>
      </w:r>
      <w:r>
        <w:rPr>
          <w:color w:val="231F20"/>
          <w:spacing w:val="-8"/>
          <w:w w:val="120"/>
        </w:rPr>
        <w:t> </w:t>
      </w:r>
      <w:r>
        <w:rPr>
          <w:color w:val="231F20"/>
          <w:w w:val="120"/>
        </w:rPr>
        <w:t>rate</w:t>
      </w:r>
      <w:r>
        <w:rPr>
          <w:color w:val="231F20"/>
          <w:spacing w:val="-8"/>
          <w:w w:val="120"/>
        </w:rPr>
        <w:t> </w:t>
      </w:r>
      <w:r>
        <w:rPr>
          <w:color w:val="231F20"/>
          <w:w w:val="120"/>
        </w:rPr>
        <w:t>et</w:t>
      </w:r>
      <w:r>
        <w:rPr>
          <w:color w:val="231F20"/>
          <w:spacing w:val="-8"/>
          <w:w w:val="120"/>
        </w:rPr>
        <w:t> </w:t>
      </w:r>
      <w:r>
        <w:rPr>
          <w:color w:val="231F20"/>
          <w:w w:val="120"/>
        </w:rPr>
        <w:t>les </w:t>
      </w:r>
      <w:r>
        <w:rPr>
          <w:color w:val="231F20"/>
          <w:w w:val="115"/>
        </w:rPr>
        <w:t>ganglions</w:t>
      </w:r>
      <w:r>
        <w:rPr>
          <w:color w:val="231F20"/>
          <w:spacing w:val="-9"/>
          <w:w w:val="115"/>
        </w:rPr>
        <w:t> </w:t>
      </w:r>
      <w:r>
        <w:rPr>
          <w:color w:val="231F20"/>
          <w:w w:val="115"/>
        </w:rPr>
        <w:t>lymphatiques</w:t>
      </w:r>
      <w:r>
        <w:rPr>
          <w:color w:val="231F20"/>
          <w:spacing w:val="-9"/>
          <w:w w:val="115"/>
        </w:rPr>
        <w:t> </w:t>
      </w:r>
      <w:r>
        <w:rPr>
          <w:color w:val="231F20"/>
          <w:w w:val="115"/>
        </w:rPr>
        <w:t>avant</w:t>
      </w:r>
      <w:r>
        <w:rPr>
          <w:color w:val="231F20"/>
          <w:spacing w:val="-9"/>
          <w:w w:val="115"/>
        </w:rPr>
        <w:t> </w:t>
      </w:r>
      <w:r>
        <w:rPr>
          <w:color w:val="231F20"/>
          <w:w w:val="115"/>
        </w:rPr>
        <w:t>d’être</w:t>
      </w:r>
      <w:r>
        <w:rPr>
          <w:color w:val="231F20"/>
          <w:spacing w:val="-8"/>
          <w:w w:val="115"/>
        </w:rPr>
        <w:t> </w:t>
      </w:r>
      <w:r>
        <w:rPr>
          <w:color w:val="231F20"/>
          <w:w w:val="115"/>
        </w:rPr>
        <w:t>libérées</w:t>
      </w:r>
      <w:r>
        <w:rPr>
          <w:color w:val="231F20"/>
          <w:spacing w:val="-9"/>
          <w:w w:val="115"/>
        </w:rPr>
        <w:t> </w:t>
      </w:r>
      <w:r>
        <w:rPr>
          <w:color w:val="231F20"/>
          <w:w w:val="115"/>
        </w:rPr>
        <w:t>dans</w:t>
      </w:r>
      <w:r>
        <w:rPr>
          <w:color w:val="231F20"/>
          <w:spacing w:val="-9"/>
          <w:w w:val="115"/>
        </w:rPr>
        <w:t> </w:t>
      </w:r>
      <w:r>
        <w:rPr>
          <w:color w:val="231F20"/>
          <w:w w:val="115"/>
        </w:rPr>
        <w:t>la</w:t>
      </w:r>
      <w:r>
        <w:rPr>
          <w:color w:val="231F20"/>
          <w:spacing w:val="-9"/>
          <w:w w:val="115"/>
        </w:rPr>
        <w:t> </w:t>
      </w:r>
      <w:r>
        <w:rPr>
          <w:color w:val="231F20"/>
          <w:w w:val="115"/>
        </w:rPr>
        <w:t>circulation</w:t>
      </w:r>
      <w:r>
        <w:rPr>
          <w:color w:val="231F20"/>
          <w:spacing w:val="-8"/>
          <w:w w:val="115"/>
        </w:rPr>
        <w:t> </w:t>
      </w:r>
      <w:r>
        <w:rPr>
          <w:color w:val="231F20"/>
          <w:spacing w:val="-2"/>
          <w:w w:val="115"/>
        </w:rPr>
        <w:t>sanguine.</w:t>
      </w:r>
    </w:p>
    <w:p>
      <w:pPr>
        <w:pStyle w:val="BodyText"/>
        <w:spacing w:line="307" w:lineRule="auto" w:before="77"/>
        <w:ind w:left="1220" w:right="101" w:firstLine="250"/>
        <w:jc w:val="both"/>
      </w:pPr>
      <w:r>
        <w:rPr>
          <w:color w:val="231F20"/>
          <w:w w:val="120"/>
        </w:rPr>
        <w:t>L’immunité</w:t>
      </w:r>
      <w:r>
        <w:rPr>
          <w:color w:val="231F20"/>
          <w:w w:val="120"/>
        </w:rPr>
        <w:t> est</w:t>
      </w:r>
      <w:r>
        <w:rPr>
          <w:color w:val="231F20"/>
          <w:w w:val="120"/>
        </w:rPr>
        <w:t> une</w:t>
      </w:r>
      <w:r>
        <w:rPr>
          <w:color w:val="231F20"/>
          <w:w w:val="120"/>
        </w:rPr>
        <w:t> mécanique</w:t>
      </w:r>
      <w:r>
        <w:rPr>
          <w:color w:val="231F20"/>
          <w:w w:val="120"/>
        </w:rPr>
        <w:t> fort</w:t>
      </w:r>
      <w:r>
        <w:rPr>
          <w:color w:val="231F20"/>
          <w:w w:val="120"/>
        </w:rPr>
        <w:t> complexe</w:t>
      </w:r>
      <w:r>
        <w:rPr>
          <w:color w:val="231F20"/>
          <w:w w:val="120"/>
        </w:rPr>
        <w:t> qui</w:t>
      </w:r>
      <w:r>
        <w:rPr>
          <w:color w:val="231F20"/>
          <w:w w:val="120"/>
        </w:rPr>
        <w:t> pourrait</w:t>
      </w:r>
      <w:r>
        <w:rPr>
          <w:color w:val="231F20"/>
          <w:w w:val="120"/>
        </w:rPr>
        <w:t> être déréglée</w:t>
      </w:r>
      <w:r>
        <w:rPr>
          <w:color w:val="231F20"/>
          <w:spacing w:val="17"/>
          <w:w w:val="120"/>
        </w:rPr>
        <w:t> </w:t>
      </w:r>
      <w:r>
        <w:rPr>
          <w:color w:val="231F20"/>
          <w:w w:val="120"/>
        </w:rPr>
        <w:t>par</w:t>
      </w:r>
      <w:r>
        <w:rPr>
          <w:color w:val="231F20"/>
          <w:spacing w:val="17"/>
          <w:w w:val="120"/>
        </w:rPr>
        <w:t> </w:t>
      </w:r>
      <w:r>
        <w:rPr>
          <w:color w:val="231F20"/>
          <w:w w:val="120"/>
        </w:rPr>
        <w:t>le stress,</w:t>
      </w:r>
      <w:r>
        <w:rPr>
          <w:color w:val="231F20"/>
          <w:spacing w:val="17"/>
          <w:w w:val="120"/>
        </w:rPr>
        <w:t> </w:t>
      </w:r>
      <w:r>
        <w:rPr>
          <w:color w:val="231F20"/>
          <w:w w:val="120"/>
        </w:rPr>
        <w:t>dont</w:t>
      </w:r>
      <w:r>
        <w:rPr>
          <w:color w:val="231F20"/>
          <w:spacing w:val="17"/>
          <w:w w:val="120"/>
        </w:rPr>
        <w:t> </w:t>
      </w:r>
      <w:r>
        <w:rPr>
          <w:color w:val="231F20"/>
          <w:w w:val="120"/>
        </w:rPr>
        <w:t>par une de</w:t>
      </w:r>
      <w:r>
        <w:rPr>
          <w:color w:val="231F20"/>
          <w:spacing w:val="17"/>
          <w:w w:val="120"/>
        </w:rPr>
        <w:t> </w:t>
      </w:r>
      <w:r>
        <w:rPr>
          <w:color w:val="231F20"/>
          <w:w w:val="120"/>
        </w:rPr>
        <w:t>ses</w:t>
      </w:r>
      <w:r>
        <w:rPr>
          <w:color w:val="231F20"/>
          <w:spacing w:val="17"/>
          <w:w w:val="120"/>
        </w:rPr>
        <w:t> </w:t>
      </w:r>
      <w:r>
        <w:rPr>
          <w:color w:val="231F20"/>
          <w:w w:val="120"/>
        </w:rPr>
        <w:t>principales sources qu’est le stress au travail. De plus en plus d’études indiquent que le stress chronique,</w:t>
      </w:r>
      <w:r>
        <w:rPr>
          <w:color w:val="231F20"/>
          <w:spacing w:val="-4"/>
          <w:w w:val="120"/>
        </w:rPr>
        <w:t> </w:t>
      </w:r>
      <w:r>
        <w:rPr>
          <w:color w:val="231F20"/>
          <w:w w:val="120"/>
        </w:rPr>
        <w:t>c’est-à-dire</w:t>
      </w:r>
      <w:r>
        <w:rPr>
          <w:color w:val="231F20"/>
          <w:spacing w:val="-4"/>
          <w:w w:val="120"/>
        </w:rPr>
        <w:t> </w:t>
      </w:r>
      <w:r>
        <w:rPr>
          <w:color w:val="231F20"/>
          <w:w w:val="120"/>
        </w:rPr>
        <w:t>vécu</w:t>
      </w:r>
      <w:r>
        <w:rPr>
          <w:color w:val="231F20"/>
          <w:spacing w:val="-4"/>
          <w:w w:val="120"/>
        </w:rPr>
        <w:t> </w:t>
      </w:r>
      <w:r>
        <w:rPr>
          <w:color w:val="231F20"/>
          <w:w w:val="120"/>
        </w:rPr>
        <w:t>de</w:t>
      </w:r>
      <w:r>
        <w:rPr>
          <w:color w:val="231F20"/>
          <w:spacing w:val="-4"/>
          <w:w w:val="120"/>
        </w:rPr>
        <w:t> </w:t>
      </w:r>
      <w:r>
        <w:rPr>
          <w:color w:val="231F20"/>
          <w:w w:val="120"/>
        </w:rPr>
        <w:t>façon</w:t>
      </w:r>
      <w:r>
        <w:rPr>
          <w:color w:val="231F20"/>
          <w:spacing w:val="-4"/>
          <w:w w:val="120"/>
        </w:rPr>
        <w:t> </w:t>
      </w:r>
      <w:r>
        <w:rPr>
          <w:color w:val="231F20"/>
          <w:w w:val="120"/>
        </w:rPr>
        <w:t>continue</w:t>
      </w:r>
      <w:r>
        <w:rPr>
          <w:color w:val="231F20"/>
          <w:spacing w:val="-4"/>
          <w:w w:val="120"/>
        </w:rPr>
        <w:t> </w:t>
      </w:r>
      <w:r>
        <w:rPr>
          <w:color w:val="231F20"/>
          <w:w w:val="120"/>
        </w:rPr>
        <w:t>sur</w:t>
      </w:r>
      <w:r>
        <w:rPr>
          <w:color w:val="231F20"/>
          <w:spacing w:val="-4"/>
          <w:w w:val="120"/>
        </w:rPr>
        <w:t> </w:t>
      </w:r>
      <w:r>
        <w:rPr>
          <w:color w:val="231F20"/>
          <w:w w:val="120"/>
        </w:rPr>
        <w:t>une</w:t>
      </w:r>
      <w:r>
        <w:rPr>
          <w:color w:val="231F20"/>
          <w:spacing w:val="-4"/>
          <w:w w:val="120"/>
        </w:rPr>
        <w:t> </w:t>
      </w:r>
      <w:r>
        <w:rPr>
          <w:color w:val="231F20"/>
          <w:w w:val="120"/>
        </w:rPr>
        <w:t>longue</w:t>
      </w:r>
      <w:r>
        <w:rPr>
          <w:color w:val="231F20"/>
          <w:spacing w:val="-4"/>
          <w:w w:val="120"/>
        </w:rPr>
        <w:t> </w:t>
      </w:r>
      <w:r>
        <w:rPr>
          <w:color w:val="231F20"/>
          <w:w w:val="120"/>
        </w:rPr>
        <w:t>période, crée une immunodépression21. Et un système immunitaire déprimé</w:t>
      </w:r>
      <w:r>
        <w:rPr>
          <w:color w:val="231F20"/>
          <w:spacing w:val="40"/>
          <w:w w:val="120"/>
        </w:rPr>
        <w:t> </w:t>
      </w:r>
      <w:r>
        <w:rPr>
          <w:color w:val="231F20"/>
          <w:w w:val="120"/>
        </w:rPr>
        <w:t>est moins efficace pour nous protéger des intrus biologiques qui nous assaillent</w:t>
      </w:r>
      <w:r>
        <w:rPr>
          <w:color w:val="231F20"/>
          <w:spacing w:val="-13"/>
          <w:w w:val="120"/>
        </w:rPr>
        <w:t> </w:t>
      </w:r>
      <w:r>
        <w:rPr>
          <w:color w:val="231F20"/>
          <w:w w:val="120"/>
        </w:rPr>
        <w:t>régulièrement.</w:t>
      </w:r>
    </w:p>
    <w:p>
      <w:pPr>
        <w:pStyle w:val="BodyText"/>
        <w:spacing w:before="6"/>
        <w:rPr>
          <w:sz w:val="11"/>
        </w:rPr>
      </w:pPr>
      <w:r>
        <w:rPr/>
        <w:pict>
          <v:group style="position:absolute;margin-left:82pt;margin-top:7.841016pt;width:287.5pt;height:147.75pt;mso-position-horizontal-relative:page;mso-position-vertical-relative:paragraph;z-index:-15687680;mso-wrap-distance-left:0;mso-wrap-distance-right:0" id="docshapegroup599" coordorigin="1640,157" coordsize="5750,2955">
            <v:rect style="position:absolute;left:1640;top:156;width:5750;height:705" id="docshape600" filled="true" fillcolor="#e2e3e4" stroked="false">
              <v:fill type="solid"/>
            </v:rect>
            <v:line style="position:absolute" from="1890,704" to="7140,704" stroked="true" strokeweight=".25pt" strokecolor="#231f20">
              <v:stroke dashstyle="shortdot"/>
            </v:line>
            <v:shape style="position:absolute;left:1640;top:781;width:5750;height:2330" id="docshape601" coordorigin="1640,782" coordsize="5750,2330" path="m7390,782l1640,782,1640,1737,1640,2032,1640,3112,7390,3112,7390,2032,7390,1737,7390,782xe" filled="true" fillcolor="#e2e3e4" stroked="false">
              <v:path arrowok="t"/>
              <v:fill type="solid"/>
            </v:shape>
            <v:shape style="position:absolute;left:1640;top:156;width:5750;height:2955" type="#_x0000_t202" id="docshape602" filled="false" stroked="false">
              <v:textbox inset="0,0,0,0">
                <w:txbxContent>
                  <w:p>
                    <w:pPr>
                      <w:spacing w:line="240" w:lineRule="auto" w:before="9"/>
                      <w:rPr>
                        <w:sz w:val="18"/>
                      </w:rPr>
                    </w:pPr>
                  </w:p>
                  <w:p>
                    <w:pPr>
                      <w:spacing w:before="1"/>
                      <w:ind w:left="250" w:right="0" w:firstLine="0"/>
                      <w:jc w:val="both"/>
                      <w:rPr>
                        <w:rFonts w:ascii="Arial" w:hAnsi="Arial"/>
                        <w:b/>
                        <w:sz w:val="17"/>
                      </w:rPr>
                    </w:pPr>
                    <w:r>
                      <w:rPr>
                        <w:rFonts w:ascii="Arial" w:hAnsi="Arial"/>
                        <w:color w:val="231F20"/>
                        <w:w w:val="95"/>
                        <w:sz w:val="17"/>
                      </w:rPr>
                      <w:t>à</w:t>
                    </w:r>
                    <w:r>
                      <w:rPr>
                        <w:rFonts w:ascii="Arial" w:hAnsi="Arial"/>
                        <w:color w:val="231F20"/>
                        <w:spacing w:val="5"/>
                        <w:sz w:val="17"/>
                      </w:rPr>
                      <w:t> </w:t>
                    </w:r>
                    <w:r>
                      <w:rPr>
                        <w:rFonts w:ascii="Arial" w:hAnsi="Arial"/>
                        <w:color w:val="231F20"/>
                        <w:w w:val="95"/>
                        <w:sz w:val="17"/>
                      </w:rPr>
                      <w:t>la</w:t>
                    </w:r>
                    <w:r>
                      <w:rPr>
                        <w:rFonts w:ascii="Arial" w:hAnsi="Arial"/>
                        <w:color w:val="231F20"/>
                        <w:spacing w:val="5"/>
                        <w:sz w:val="17"/>
                      </w:rPr>
                      <w:t> </w:t>
                    </w:r>
                    <w:r>
                      <w:rPr>
                        <w:rFonts w:ascii="Arial" w:hAnsi="Arial"/>
                        <w:color w:val="231F20"/>
                        <w:w w:val="95"/>
                        <w:sz w:val="17"/>
                      </w:rPr>
                      <w:t>une</w:t>
                    </w:r>
                    <w:r>
                      <w:rPr>
                        <w:rFonts w:ascii="Arial" w:hAnsi="Arial"/>
                        <w:color w:val="231F20"/>
                        <w:spacing w:val="-6"/>
                        <w:w w:val="95"/>
                        <w:sz w:val="17"/>
                      </w:rPr>
                      <w:t> </w:t>
                    </w:r>
                    <w:r>
                      <w:rPr>
                        <w:rFonts w:ascii="Arial" w:hAnsi="Arial"/>
                        <w:i/>
                        <w:color w:val="231F20"/>
                        <w:w w:val="95"/>
                        <w:sz w:val="17"/>
                      </w:rPr>
                      <w:t>/</w:t>
                    </w:r>
                    <w:r>
                      <w:rPr>
                        <w:rFonts w:ascii="Arial" w:hAnsi="Arial"/>
                        <w:i/>
                        <w:color w:val="231F20"/>
                        <w:spacing w:val="57"/>
                        <w:sz w:val="17"/>
                      </w:rPr>
                      <w:t> </w:t>
                    </w:r>
                    <w:r>
                      <w:rPr>
                        <w:rFonts w:ascii="Arial" w:hAnsi="Arial"/>
                        <w:b/>
                        <w:color w:val="231F20"/>
                        <w:w w:val="95"/>
                        <w:sz w:val="17"/>
                      </w:rPr>
                      <w:t>Comment</w:t>
                    </w:r>
                    <w:r>
                      <w:rPr>
                        <w:rFonts w:ascii="Arial" w:hAnsi="Arial"/>
                        <w:b/>
                        <w:color w:val="231F20"/>
                        <w:spacing w:val="-1"/>
                        <w:sz w:val="17"/>
                      </w:rPr>
                      <w:t> </w:t>
                    </w:r>
                    <w:r>
                      <w:rPr>
                        <w:rFonts w:ascii="Arial" w:hAnsi="Arial"/>
                        <w:b/>
                        <w:color w:val="231F20"/>
                        <w:w w:val="95"/>
                        <w:sz w:val="17"/>
                      </w:rPr>
                      <w:t>le</w:t>
                    </w:r>
                    <w:r>
                      <w:rPr>
                        <w:rFonts w:ascii="Arial" w:hAnsi="Arial"/>
                        <w:b/>
                        <w:color w:val="231F20"/>
                        <w:spacing w:val="-1"/>
                        <w:sz w:val="17"/>
                      </w:rPr>
                      <w:t> </w:t>
                    </w:r>
                    <w:r>
                      <w:rPr>
                        <w:rFonts w:ascii="Arial" w:hAnsi="Arial"/>
                        <w:b/>
                        <w:color w:val="231F20"/>
                        <w:w w:val="95"/>
                        <w:sz w:val="17"/>
                      </w:rPr>
                      <w:t>stress</w:t>
                    </w:r>
                    <w:r>
                      <w:rPr>
                        <w:rFonts w:ascii="Arial" w:hAnsi="Arial"/>
                        <w:b/>
                        <w:color w:val="231F20"/>
                        <w:spacing w:val="-1"/>
                        <w:sz w:val="17"/>
                      </w:rPr>
                      <w:t> </w:t>
                    </w:r>
                    <w:r>
                      <w:rPr>
                        <w:rFonts w:ascii="Arial" w:hAnsi="Arial"/>
                        <w:b/>
                        <w:color w:val="231F20"/>
                        <w:w w:val="95"/>
                        <w:sz w:val="17"/>
                      </w:rPr>
                      <w:t>chronique</w:t>
                    </w:r>
                    <w:r>
                      <w:rPr>
                        <w:rFonts w:ascii="Arial" w:hAnsi="Arial"/>
                        <w:b/>
                        <w:color w:val="231F20"/>
                        <w:spacing w:val="-1"/>
                        <w:sz w:val="17"/>
                      </w:rPr>
                      <w:t> </w:t>
                    </w:r>
                    <w:r>
                      <w:rPr>
                        <w:rFonts w:ascii="Arial" w:hAnsi="Arial"/>
                        <w:b/>
                        <w:color w:val="231F20"/>
                        <w:w w:val="95"/>
                        <w:sz w:val="17"/>
                      </w:rPr>
                      <w:t>peut</w:t>
                    </w:r>
                    <w:r>
                      <w:rPr>
                        <w:rFonts w:ascii="Arial" w:hAnsi="Arial"/>
                        <w:b/>
                        <w:color w:val="231F20"/>
                        <w:spacing w:val="-1"/>
                        <w:sz w:val="17"/>
                      </w:rPr>
                      <w:t> </w:t>
                    </w:r>
                    <w:r>
                      <w:rPr>
                        <w:rFonts w:ascii="Arial" w:hAnsi="Arial"/>
                        <w:b/>
                        <w:color w:val="231F20"/>
                        <w:w w:val="95"/>
                        <w:sz w:val="17"/>
                      </w:rPr>
                      <w:t>mener</w:t>
                    </w:r>
                    <w:r>
                      <w:rPr>
                        <w:rFonts w:ascii="Arial" w:hAnsi="Arial"/>
                        <w:b/>
                        <w:color w:val="231F20"/>
                        <w:spacing w:val="-1"/>
                        <w:sz w:val="17"/>
                      </w:rPr>
                      <w:t> </w:t>
                    </w:r>
                    <w:r>
                      <w:rPr>
                        <w:rFonts w:ascii="Arial" w:hAnsi="Arial"/>
                        <w:b/>
                        <w:color w:val="231F20"/>
                        <w:w w:val="95"/>
                        <w:sz w:val="17"/>
                      </w:rPr>
                      <w:t>à</w:t>
                    </w:r>
                    <w:r>
                      <w:rPr>
                        <w:rFonts w:ascii="Arial" w:hAnsi="Arial"/>
                        <w:b/>
                        <w:color w:val="231F20"/>
                        <w:spacing w:val="-1"/>
                        <w:sz w:val="17"/>
                      </w:rPr>
                      <w:t> </w:t>
                    </w:r>
                    <w:r>
                      <w:rPr>
                        <w:rFonts w:ascii="Arial" w:hAnsi="Arial"/>
                        <w:b/>
                        <w:color w:val="231F20"/>
                        <w:spacing w:val="-2"/>
                        <w:w w:val="95"/>
                        <w:sz w:val="17"/>
                      </w:rPr>
                      <w:t>l’anxiété</w:t>
                    </w:r>
                  </w:p>
                  <w:p>
                    <w:pPr>
                      <w:spacing w:line="240" w:lineRule="auto" w:before="5"/>
                      <w:rPr>
                        <w:rFonts w:ascii="Arial"/>
                        <w:b/>
                        <w:sz w:val="26"/>
                      </w:rPr>
                    </w:pPr>
                  </w:p>
                  <w:p>
                    <w:pPr>
                      <w:spacing w:line="307" w:lineRule="auto" w:before="0"/>
                      <w:ind w:left="250" w:right="246" w:firstLine="0"/>
                      <w:jc w:val="both"/>
                      <w:rPr>
                        <w:rFonts w:ascii="Arial" w:hAnsi="Arial"/>
                        <w:sz w:val="17"/>
                      </w:rPr>
                    </w:pPr>
                    <w:r>
                      <w:rPr>
                        <w:rFonts w:ascii="Arial" w:hAnsi="Arial"/>
                        <w:color w:val="231F20"/>
                        <w:sz w:val="17"/>
                      </w:rPr>
                      <w:t>Un</w:t>
                    </w:r>
                    <w:r>
                      <w:rPr>
                        <w:rFonts w:ascii="Arial" w:hAnsi="Arial"/>
                        <w:color w:val="231F20"/>
                        <w:spacing w:val="-8"/>
                        <w:sz w:val="17"/>
                      </w:rPr>
                      <w:t> </w:t>
                    </w:r>
                    <w:r>
                      <w:rPr>
                        <w:rFonts w:ascii="Arial" w:hAnsi="Arial"/>
                        <w:color w:val="231F20"/>
                        <w:sz w:val="17"/>
                      </w:rPr>
                      <w:t>article</w:t>
                    </w:r>
                    <w:r>
                      <w:rPr>
                        <w:rFonts w:ascii="Arial" w:hAnsi="Arial"/>
                        <w:color w:val="231F20"/>
                        <w:spacing w:val="-8"/>
                        <w:sz w:val="17"/>
                      </w:rPr>
                      <w:t> </w:t>
                    </w:r>
                    <w:r>
                      <w:rPr>
                        <w:rFonts w:ascii="Arial" w:hAnsi="Arial"/>
                        <w:color w:val="231F20"/>
                        <w:sz w:val="17"/>
                      </w:rPr>
                      <w:t>fascinant</w:t>
                    </w:r>
                    <w:r>
                      <w:rPr>
                        <w:rFonts w:ascii="Arial" w:hAnsi="Arial"/>
                        <w:color w:val="231F20"/>
                        <w:spacing w:val="-8"/>
                        <w:sz w:val="17"/>
                      </w:rPr>
                      <w:t> </w:t>
                    </w:r>
                    <w:r>
                      <w:rPr>
                        <w:rFonts w:ascii="Arial" w:hAnsi="Arial"/>
                        <w:color w:val="231F20"/>
                        <w:sz w:val="17"/>
                      </w:rPr>
                      <w:t>montre</w:t>
                    </w:r>
                    <w:r>
                      <w:rPr>
                        <w:rFonts w:ascii="Arial" w:hAnsi="Arial"/>
                        <w:color w:val="231F20"/>
                        <w:spacing w:val="-8"/>
                        <w:sz w:val="17"/>
                      </w:rPr>
                      <w:t> </w:t>
                    </w:r>
                    <w:r>
                      <w:rPr>
                        <w:rFonts w:ascii="Arial" w:hAnsi="Arial"/>
                        <w:color w:val="231F20"/>
                        <w:sz w:val="17"/>
                      </w:rPr>
                      <w:t>que</w:t>
                    </w:r>
                    <w:r>
                      <w:rPr>
                        <w:rFonts w:ascii="Arial" w:hAnsi="Arial"/>
                        <w:color w:val="231F20"/>
                        <w:spacing w:val="-8"/>
                        <w:sz w:val="17"/>
                      </w:rPr>
                      <w:t> </w:t>
                    </w:r>
                    <w:r>
                      <w:rPr>
                        <w:rFonts w:ascii="Arial" w:hAnsi="Arial"/>
                        <w:color w:val="231F20"/>
                        <w:sz w:val="17"/>
                      </w:rPr>
                      <w:t>le</w:t>
                    </w:r>
                    <w:r>
                      <w:rPr>
                        <w:rFonts w:ascii="Arial" w:hAnsi="Arial"/>
                        <w:color w:val="231F20"/>
                        <w:spacing w:val="-8"/>
                        <w:sz w:val="17"/>
                      </w:rPr>
                      <w:t> </w:t>
                    </w:r>
                    <w:r>
                      <w:rPr>
                        <w:rFonts w:ascii="Arial" w:hAnsi="Arial"/>
                        <w:color w:val="231F20"/>
                        <w:sz w:val="17"/>
                      </w:rPr>
                      <w:t>stress</w:t>
                    </w:r>
                    <w:r>
                      <w:rPr>
                        <w:rFonts w:ascii="Arial" w:hAnsi="Arial"/>
                        <w:color w:val="231F20"/>
                        <w:spacing w:val="-8"/>
                        <w:sz w:val="17"/>
                      </w:rPr>
                      <w:t> </w:t>
                    </w:r>
                    <w:r>
                      <w:rPr>
                        <w:rFonts w:ascii="Arial" w:hAnsi="Arial"/>
                        <w:color w:val="231F20"/>
                        <w:sz w:val="17"/>
                      </w:rPr>
                      <w:t>chronique</w:t>
                    </w:r>
                    <w:r>
                      <w:rPr>
                        <w:rFonts w:ascii="Arial" w:hAnsi="Arial"/>
                        <w:color w:val="231F20"/>
                        <w:spacing w:val="-8"/>
                        <w:sz w:val="17"/>
                      </w:rPr>
                      <w:t> </w:t>
                    </w:r>
                    <w:r>
                      <w:rPr>
                        <w:rFonts w:ascii="Arial" w:hAnsi="Arial"/>
                        <w:color w:val="231F20"/>
                        <w:sz w:val="17"/>
                      </w:rPr>
                      <w:t>provoque</w:t>
                    </w:r>
                    <w:r>
                      <w:rPr>
                        <w:rFonts w:ascii="Arial" w:hAnsi="Arial"/>
                        <w:color w:val="231F20"/>
                        <w:spacing w:val="-8"/>
                        <w:sz w:val="17"/>
                      </w:rPr>
                      <w:t> </w:t>
                    </w:r>
                    <w:r>
                      <w:rPr>
                        <w:rFonts w:ascii="Arial" w:hAnsi="Arial"/>
                        <w:color w:val="231F20"/>
                        <w:sz w:val="17"/>
                      </w:rPr>
                      <w:t>une</w:t>
                    </w:r>
                    <w:r>
                      <w:rPr>
                        <w:rFonts w:ascii="Arial" w:hAnsi="Arial"/>
                        <w:color w:val="231F20"/>
                        <w:spacing w:val="-8"/>
                        <w:sz w:val="17"/>
                      </w:rPr>
                      <w:t> </w:t>
                    </w:r>
                    <w:r>
                      <w:rPr>
                        <w:rFonts w:ascii="Arial" w:hAnsi="Arial"/>
                        <w:color w:val="231F20"/>
                        <w:sz w:val="17"/>
                      </w:rPr>
                      <w:t>alté- ration</w:t>
                    </w:r>
                    <w:r>
                      <w:rPr>
                        <w:rFonts w:ascii="Arial" w:hAnsi="Arial"/>
                        <w:color w:val="231F20"/>
                        <w:spacing w:val="-11"/>
                        <w:sz w:val="17"/>
                      </w:rPr>
                      <w:t> </w:t>
                    </w:r>
                    <w:r>
                      <w:rPr>
                        <w:rFonts w:ascii="Arial" w:hAnsi="Arial"/>
                        <w:color w:val="231F20"/>
                        <w:sz w:val="17"/>
                      </w:rPr>
                      <w:t>de</w:t>
                    </w:r>
                    <w:r>
                      <w:rPr>
                        <w:rFonts w:ascii="Arial" w:hAnsi="Arial"/>
                        <w:color w:val="231F20"/>
                        <w:spacing w:val="-11"/>
                        <w:sz w:val="17"/>
                      </w:rPr>
                      <w:t> </w:t>
                    </w:r>
                    <w:r>
                      <w:rPr>
                        <w:rFonts w:ascii="Arial" w:hAnsi="Arial"/>
                        <w:color w:val="231F20"/>
                        <w:sz w:val="17"/>
                      </w:rPr>
                      <w:t>certaines</w:t>
                    </w:r>
                    <w:r>
                      <w:rPr>
                        <w:rFonts w:ascii="Arial" w:hAnsi="Arial"/>
                        <w:color w:val="231F20"/>
                        <w:spacing w:val="-11"/>
                        <w:sz w:val="17"/>
                      </w:rPr>
                      <w:t> </w:t>
                    </w:r>
                    <w:r>
                      <w:rPr>
                        <w:rFonts w:ascii="Arial" w:hAnsi="Arial"/>
                        <w:color w:val="231F20"/>
                        <w:sz w:val="17"/>
                      </w:rPr>
                      <w:t>cellules</w:t>
                    </w:r>
                    <w:r>
                      <w:rPr>
                        <w:rFonts w:ascii="Arial" w:hAnsi="Arial"/>
                        <w:color w:val="231F20"/>
                        <w:spacing w:val="-11"/>
                        <w:sz w:val="17"/>
                      </w:rPr>
                      <w:t> </w:t>
                    </w:r>
                    <w:r>
                      <w:rPr>
                        <w:rFonts w:ascii="Arial" w:hAnsi="Arial"/>
                        <w:color w:val="231F20"/>
                        <w:sz w:val="17"/>
                      </w:rPr>
                      <w:t>immunitaires,</w:t>
                    </w:r>
                    <w:r>
                      <w:rPr>
                        <w:rFonts w:ascii="Arial" w:hAnsi="Arial"/>
                        <w:color w:val="231F20"/>
                        <w:spacing w:val="-11"/>
                        <w:sz w:val="17"/>
                      </w:rPr>
                      <w:t> </w:t>
                    </w:r>
                    <w:r>
                      <w:rPr>
                        <w:rFonts w:ascii="Arial" w:hAnsi="Arial"/>
                        <w:color w:val="231F20"/>
                        <w:sz w:val="17"/>
                      </w:rPr>
                      <w:t>ce</w:t>
                    </w:r>
                    <w:r>
                      <w:rPr>
                        <w:rFonts w:ascii="Arial" w:hAnsi="Arial"/>
                        <w:color w:val="231F20"/>
                        <w:spacing w:val="-11"/>
                        <w:sz w:val="17"/>
                      </w:rPr>
                      <w:t> </w:t>
                    </w:r>
                    <w:r>
                      <w:rPr>
                        <w:rFonts w:ascii="Arial" w:hAnsi="Arial"/>
                        <w:color w:val="231F20"/>
                        <w:sz w:val="17"/>
                      </w:rPr>
                      <w:t>qui</w:t>
                    </w:r>
                    <w:r>
                      <w:rPr>
                        <w:rFonts w:ascii="Arial" w:hAnsi="Arial"/>
                        <w:color w:val="231F20"/>
                        <w:spacing w:val="-11"/>
                        <w:sz w:val="17"/>
                      </w:rPr>
                      <w:t> </w:t>
                    </w:r>
                    <w:r>
                      <w:rPr>
                        <w:rFonts w:ascii="Arial" w:hAnsi="Arial"/>
                        <w:color w:val="231F20"/>
                        <w:sz w:val="17"/>
                      </w:rPr>
                      <w:t>déclenche</w:t>
                    </w:r>
                    <w:r>
                      <w:rPr>
                        <w:rFonts w:ascii="Arial" w:hAnsi="Arial"/>
                        <w:color w:val="231F20"/>
                        <w:spacing w:val="-11"/>
                        <w:sz w:val="17"/>
                      </w:rPr>
                      <w:t> </w:t>
                    </w:r>
                    <w:r>
                      <w:rPr>
                        <w:rFonts w:ascii="Arial" w:hAnsi="Arial"/>
                        <w:color w:val="231F20"/>
                        <w:sz w:val="17"/>
                      </w:rPr>
                      <w:t>la</w:t>
                    </w:r>
                    <w:r>
                      <w:rPr>
                        <w:rFonts w:ascii="Arial" w:hAnsi="Arial"/>
                        <w:color w:val="231F20"/>
                        <w:spacing w:val="-11"/>
                        <w:sz w:val="17"/>
                      </w:rPr>
                      <w:t> </w:t>
                    </w:r>
                    <w:r>
                      <w:rPr>
                        <w:rFonts w:ascii="Arial" w:hAnsi="Arial"/>
                        <w:color w:val="231F20"/>
                        <w:sz w:val="17"/>
                      </w:rPr>
                      <w:t>libération d’une</w:t>
                    </w:r>
                    <w:r>
                      <w:rPr>
                        <w:rFonts w:ascii="Arial" w:hAnsi="Arial"/>
                        <w:color w:val="231F20"/>
                        <w:spacing w:val="-1"/>
                        <w:sz w:val="17"/>
                      </w:rPr>
                      <w:t> </w:t>
                    </w:r>
                    <w:r>
                      <w:rPr>
                        <w:rFonts w:ascii="Arial" w:hAnsi="Arial"/>
                        <w:color w:val="231F20"/>
                        <w:sz w:val="17"/>
                      </w:rPr>
                      <w:t>molécule</w:t>
                    </w:r>
                    <w:r>
                      <w:rPr>
                        <w:rFonts w:ascii="Arial" w:hAnsi="Arial"/>
                        <w:color w:val="231F20"/>
                        <w:spacing w:val="-1"/>
                        <w:sz w:val="17"/>
                      </w:rPr>
                      <w:t> </w:t>
                    </w:r>
                    <w:r>
                      <w:rPr>
                        <w:rFonts w:ascii="Arial" w:hAnsi="Arial"/>
                        <w:color w:val="231F20"/>
                        <w:sz w:val="17"/>
                      </w:rPr>
                      <w:t>qui</w:t>
                    </w:r>
                    <w:r>
                      <w:rPr>
                        <w:rFonts w:ascii="Arial" w:hAnsi="Arial"/>
                        <w:color w:val="231F20"/>
                        <w:spacing w:val="-1"/>
                        <w:sz w:val="17"/>
                      </w:rPr>
                      <w:t> </w:t>
                    </w:r>
                    <w:r>
                      <w:rPr>
                        <w:rFonts w:ascii="Arial" w:hAnsi="Arial"/>
                        <w:color w:val="231F20"/>
                        <w:sz w:val="17"/>
                      </w:rPr>
                      <w:t>atteint</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cerveau</w:t>
                    </w:r>
                    <w:r>
                      <w:rPr>
                        <w:rFonts w:ascii="Arial" w:hAnsi="Arial"/>
                        <w:color w:val="231F20"/>
                        <w:spacing w:val="-1"/>
                        <w:sz w:val="17"/>
                      </w:rPr>
                      <w:t> </w:t>
                    </w:r>
                    <w:r>
                      <w:rPr>
                        <w:rFonts w:ascii="Arial" w:hAnsi="Arial"/>
                        <w:color w:val="231F20"/>
                        <w:sz w:val="17"/>
                      </w:rPr>
                      <w:t>et</w:t>
                    </w:r>
                    <w:r>
                      <w:rPr>
                        <w:rFonts w:ascii="Arial" w:hAnsi="Arial"/>
                        <w:color w:val="231F20"/>
                        <w:spacing w:val="-1"/>
                        <w:sz w:val="17"/>
                      </w:rPr>
                      <w:t> </w:t>
                    </w:r>
                    <w:r>
                      <w:rPr>
                        <w:rFonts w:ascii="Arial" w:hAnsi="Arial"/>
                        <w:color w:val="231F20"/>
                        <w:sz w:val="17"/>
                      </w:rPr>
                      <w:t>favorise</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développement</w:t>
                    </w:r>
                    <w:r>
                      <w:rPr>
                        <w:rFonts w:ascii="Arial" w:hAnsi="Arial"/>
                        <w:color w:val="231F20"/>
                        <w:spacing w:val="-1"/>
                        <w:sz w:val="17"/>
                      </w:rPr>
                      <w:t> </w:t>
                    </w:r>
                    <w:r>
                      <w:rPr>
                        <w:rFonts w:ascii="Arial" w:hAnsi="Arial"/>
                        <w:color w:val="231F20"/>
                        <w:sz w:val="17"/>
                      </w:rPr>
                      <w:t>de </w:t>
                    </w:r>
                    <w:r>
                      <w:rPr>
                        <w:rFonts w:ascii="Arial" w:hAnsi="Arial"/>
                        <w:color w:val="231F20"/>
                        <w:w w:val="105"/>
                        <w:sz w:val="17"/>
                      </w:rPr>
                      <w:t>comportements</w:t>
                    </w:r>
                    <w:r>
                      <w:rPr>
                        <w:rFonts w:ascii="Arial" w:hAnsi="Arial"/>
                        <w:color w:val="231F20"/>
                        <w:spacing w:val="-6"/>
                        <w:w w:val="105"/>
                        <w:sz w:val="17"/>
                      </w:rPr>
                      <w:t> </w:t>
                    </w:r>
                    <w:r>
                      <w:rPr>
                        <w:rFonts w:ascii="Arial" w:hAnsi="Arial"/>
                        <w:color w:val="231F20"/>
                        <w:w w:val="105"/>
                        <w:sz w:val="17"/>
                      </w:rPr>
                      <w:t>anxieux.</w:t>
                    </w:r>
                  </w:p>
                  <w:p>
                    <w:pPr>
                      <w:spacing w:line="307" w:lineRule="auto" w:before="79"/>
                      <w:ind w:left="250" w:right="243" w:firstLine="0"/>
                      <w:jc w:val="both"/>
                      <w:rPr>
                        <w:rFonts w:ascii="Arial" w:hAnsi="Arial"/>
                        <w:sz w:val="17"/>
                      </w:rPr>
                    </w:pPr>
                    <w:r>
                      <w:rPr>
                        <w:rFonts w:ascii="Arial" w:hAnsi="Arial"/>
                        <w:color w:val="231F20"/>
                        <w:spacing w:val="-2"/>
                        <w:sz w:val="17"/>
                      </w:rPr>
                      <w:t>À</w:t>
                    </w:r>
                    <w:r>
                      <w:rPr>
                        <w:rFonts w:ascii="Arial" w:hAnsi="Arial"/>
                        <w:color w:val="231F20"/>
                        <w:spacing w:val="-10"/>
                        <w:sz w:val="17"/>
                      </w:rPr>
                      <w:t> </w:t>
                    </w:r>
                    <w:r>
                      <w:rPr>
                        <w:rFonts w:ascii="Arial" w:hAnsi="Arial"/>
                        <w:color w:val="231F20"/>
                        <w:spacing w:val="-2"/>
                        <w:sz w:val="17"/>
                      </w:rPr>
                      <w:t>la</w:t>
                    </w:r>
                    <w:r>
                      <w:rPr>
                        <w:rFonts w:ascii="Arial" w:hAnsi="Arial"/>
                        <w:color w:val="231F20"/>
                        <w:spacing w:val="-10"/>
                        <w:sz w:val="17"/>
                      </w:rPr>
                      <w:t> </w:t>
                    </w:r>
                    <w:r>
                      <w:rPr>
                        <w:rFonts w:ascii="Arial" w:hAnsi="Arial"/>
                        <w:color w:val="231F20"/>
                        <w:spacing w:val="-2"/>
                        <w:sz w:val="17"/>
                      </w:rPr>
                      <w:t>base,</w:t>
                    </w:r>
                    <w:r>
                      <w:rPr>
                        <w:rFonts w:ascii="Arial" w:hAnsi="Arial"/>
                        <w:color w:val="231F20"/>
                        <w:spacing w:val="-10"/>
                        <w:sz w:val="17"/>
                      </w:rPr>
                      <w:t> </w:t>
                    </w:r>
                    <w:r>
                      <w:rPr>
                        <w:rFonts w:ascii="Arial" w:hAnsi="Arial"/>
                        <w:color w:val="231F20"/>
                        <w:spacing w:val="-2"/>
                        <w:sz w:val="17"/>
                      </w:rPr>
                      <w:t>le</w:t>
                    </w:r>
                    <w:r>
                      <w:rPr>
                        <w:rFonts w:ascii="Arial" w:hAnsi="Arial"/>
                        <w:color w:val="231F20"/>
                        <w:spacing w:val="-10"/>
                        <w:sz w:val="17"/>
                      </w:rPr>
                      <w:t> </w:t>
                    </w:r>
                    <w:r>
                      <w:rPr>
                        <w:rFonts w:ascii="Arial" w:hAnsi="Arial"/>
                        <w:color w:val="231F20"/>
                        <w:spacing w:val="-2"/>
                        <w:sz w:val="17"/>
                      </w:rPr>
                      <w:t>stress</w:t>
                    </w:r>
                    <w:r>
                      <w:rPr>
                        <w:rFonts w:ascii="Arial" w:hAnsi="Arial"/>
                        <w:color w:val="231F20"/>
                        <w:spacing w:val="-10"/>
                        <w:sz w:val="17"/>
                      </w:rPr>
                      <w:t> </w:t>
                    </w:r>
                    <w:r>
                      <w:rPr>
                        <w:rFonts w:ascii="Arial" w:hAnsi="Arial"/>
                        <w:color w:val="231F20"/>
                        <w:spacing w:val="-2"/>
                        <w:sz w:val="17"/>
                      </w:rPr>
                      <w:t>est</w:t>
                    </w:r>
                    <w:r>
                      <w:rPr>
                        <w:rFonts w:ascii="Arial" w:hAnsi="Arial"/>
                        <w:color w:val="231F20"/>
                        <w:spacing w:val="-9"/>
                        <w:sz w:val="17"/>
                      </w:rPr>
                      <w:t> </w:t>
                    </w:r>
                    <w:r>
                      <w:rPr>
                        <w:rFonts w:ascii="Arial" w:hAnsi="Arial"/>
                        <w:color w:val="231F20"/>
                        <w:spacing w:val="-2"/>
                        <w:sz w:val="17"/>
                      </w:rPr>
                      <w:t>une</w:t>
                    </w:r>
                    <w:r>
                      <w:rPr>
                        <w:rFonts w:ascii="Arial" w:hAnsi="Arial"/>
                        <w:color w:val="231F20"/>
                        <w:spacing w:val="-10"/>
                        <w:sz w:val="17"/>
                      </w:rPr>
                      <w:t> </w:t>
                    </w:r>
                    <w:r>
                      <w:rPr>
                        <w:rFonts w:ascii="Arial" w:hAnsi="Arial"/>
                        <w:color w:val="231F20"/>
                        <w:spacing w:val="-2"/>
                        <w:sz w:val="17"/>
                      </w:rPr>
                      <w:t>adaptation</w:t>
                    </w:r>
                    <w:r>
                      <w:rPr>
                        <w:rFonts w:ascii="Arial" w:hAnsi="Arial"/>
                        <w:color w:val="231F20"/>
                        <w:spacing w:val="-10"/>
                        <w:sz w:val="17"/>
                      </w:rPr>
                      <w:t> </w:t>
                    </w:r>
                    <w:r>
                      <w:rPr>
                        <w:rFonts w:ascii="Arial" w:hAnsi="Arial"/>
                        <w:color w:val="231F20"/>
                        <w:spacing w:val="-2"/>
                        <w:sz w:val="17"/>
                      </w:rPr>
                      <w:t>physiologique</w:t>
                    </w:r>
                    <w:r>
                      <w:rPr>
                        <w:rFonts w:ascii="Arial" w:hAnsi="Arial"/>
                        <w:color w:val="231F20"/>
                        <w:spacing w:val="-10"/>
                        <w:sz w:val="17"/>
                      </w:rPr>
                      <w:t> </w:t>
                    </w:r>
                    <w:r>
                      <w:rPr>
                        <w:rFonts w:ascii="Arial" w:hAnsi="Arial"/>
                        <w:color w:val="231F20"/>
                        <w:spacing w:val="-2"/>
                        <w:sz w:val="17"/>
                      </w:rPr>
                      <w:t>au</w:t>
                    </w:r>
                    <w:r>
                      <w:rPr>
                        <w:rFonts w:ascii="Arial" w:hAnsi="Arial"/>
                        <w:color w:val="231F20"/>
                        <w:spacing w:val="-10"/>
                        <w:sz w:val="17"/>
                      </w:rPr>
                      <w:t> </w:t>
                    </w:r>
                    <w:r>
                      <w:rPr>
                        <w:rFonts w:ascii="Arial" w:hAnsi="Arial"/>
                        <w:color w:val="231F20"/>
                        <w:spacing w:val="-2"/>
                        <w:sz w:val="17"/>
                      </w:rPr>
                      <w:t>danger</w:t>
                    </w:r>
                    <w:r>
                      <w:rPr>
                        <w:rFonts w:ascii="Arial" w:hAnsi="Arial"/>
                        <w:color w:val="231F20"/>
                        <w:spacing w:val="-9"/>
                        <w:sz w:val="17"/>
                      </w:rPr>
                      <w:t> </w:t>
                    </w:r>
                    <w:r>
                      <w:rPr>
                        <w:rFonts w:ascii="Arial" w:hAnsi="Arial"/>
                        <w:color w:val="231F20"/>
                        <w:spacing w:val="-2"/>
                        <w:sz w:val="17"/>
                      </w:rPr>
                      <w:t>:</w:t>
                    </w:r>
                    <w:r>
                      <w:rPr>
                        <w:rFonts w:ascii="Arial" w:hAnsi="Arial"/>
                        <w:color w:val="231F20"/>
                        <w:spacing w:val="-10"/>
                        <w:sz w:val="17"/>
                      </w:rPr>
                      <w:t> </w:t>
                    </w:r>
                    <w:r>
                      <w:rPr>
                        <w:rFonts w:ascii="Arial" w:hAnsi="Arial"/>
                        <w:color w:val="231F20"/>
                        <w:spacing w:val="-2"/>
                        <w:sz w:val="17"/>
                      </w:rPr>
                      <w:t>lorsque </w:t>
                    </w:r>
                    <w:r>
                      <w:rPr>
                        <w:rFonts w:ascii="Arial" w:hAnsi="Arial"/>
                        <w:color w:val="231F20"/>
                        <w:sz w:val="17"/>
                      </w:rPr>
                      <w:t>nous faisons face à une menace, le cerveau commande la libération </w:t>
                    </w:r>
                    <w:r>
                      <w:rPr>
                        <w:rFonts w:ascii="Arial" w:hAnsi="Arial"/>
                        <w:color w:val="231F20"/>
                        <w:spacing w:val="-2"/>
                        <w:sz w:val="17"/>
                      </w:rPr>
                      <w:t>dans</w:t>
                    </w:r>
                    <w:r>
                      <w:rPr>
                        <w:rFonts w:ascii="Arial" w:hAnsi="Arial"/>
                        <w:color w:val="231F20"/>
                        <w:spacing w:val="-10"/>
                        <w:sz w:val="17"/>
                      </w:rPr>
                      <w:t> </w:t>
                    </w:r>
                    <w:r>
                      <w:rPr>
                        <w:rFonts w:ascii="Arial" w:hAnsi="Arial"/>
                        <w:color w:val="231F20"/>
                        <w:spacing w:val="-2"/>
                        <w:sz w:val="17"/>
                      </w:rPr>
                      <w:t>le</w:t>
                    </w:r>
                    <w:r>
                      <w:rPr>
                        <w:rFonts w:ascii="Arial" w:hAnsi="Arial"/>
                        <w:color w:val="231F20"/>
                        <w:spacing w:val="-9"/>
                        <w:sz w:val="17"/>
                      </w:rPr>
                      <w:t> </w:t>
                    </w:r>
                    <w:r>
                      <w:rPr>
                        <w:rFonts w:ascii="Arial" w:hAnsi="Arial"/>
                        <w:color w:val="231F20"/>
                        <w:spacing w:val="-2"/>
                        <w:sz w:val="17"/>
                      </w:rPr>
                      <w:t>sang</w:t>
                    </w:r>
                    <w:r>
                      <w:rPr>
                        <w:rFonts w:ascii="Arial" w:hAnsi="Arial"/>
                        <w:color w:val="231F20"/>
                        <w:spacing w:val="-10"/>
                        <w:sz w:val="17"/>
                      </w:rPr>
                      <w:t> </w:t>
                    </w:r>
                    <w:r>
                      <w:rPr>
                        <w:rFonts w:ascii="Arial" w:hAnsi="Arial"/>
                        <w:color w:val="231F20"/>
                        <w:spacing w:val="-2"/>
                        <w:sz w:val="17"/>
                      </w:rPr>
                      <w:t>d’hormones</w:t>
                    </w:r>
                    <w:r>
                      <w:rPr>
                        <w:rFonts w:ascii="Arial" w:hAnsi="Arial"/>
                        <w:color w:val="231F20"/>
                        <w:spacing w:val="-9"/>
                        <w:sz w:val="17"/>
                      </w:rPr>
                      <w:t> </w:t>
                    </w:r>
                    <w:r>
                      <w:rPr>
                        <w:rFonts w:ascii="Arial" w:hAnsi="Arial"/>
                        <w:color w:val="231F20"/>
                        <w:spacing w:val="-2"/>
                        <w:sz w:val="17"/>
                      </w:rPr>
                      <w:t>comme</w:t>
                    </w:r>
                    <w:r>
                      <w:rPr>
                        <w:rFonts w:ascii="Arial" w:hAnsi="Arial"/>
                        <w:color w:val="231F20"/>
                        <w:spacing w:val="-10"/>
                        <w:sz w:val="17"/>
                      </w:rPr>
                      <w:t> </w:t>
                    </w:r>
                    <w:r>
                      <w:rPr>
                        <w:rFonts w:ascii="Arial" w:hAnsi="Arial"/>
                        <w:color w:val="231F20"/>
                        <w:spacing w:val="-2"/>
                        <w:sz w:val="17"/>
                      </w:rPr>
                      <w:t>l’adrénaline</w:t>
                    </w:r>
                    <w:r>
                      <w:rPr>
                        <w:rFonts w:ascii="Arial" w:hAnsi="Arial"/>
                        <w:color w:val="231F20"/>
                        <w:spacing w:val="-9"/>
                        <w:sz w:val="17"/>
                      </w:rPr>
                      <w:t> </w:t>
                    </w:r>
                    <w:r>
                      <w:rPr>
                        <w:rFonts w:ascii="Arial" w:hAnsi="Arial"/>
                        <w:color w:val="231F20"/>
                        <w:spacing w:val="-2"/>
                        <w:sz w:val="17"/>
                      </w:rPr>
                      <w:t>pour</w:t>
                    </w:r>
                    <w:r>
                      <w:rPr>
                        <w:rFonts w:ascii="Arial" w:hAnsi="Arial"/>
                        <w:color w:val="231F20"/>
                        <w:spacing w:val="-10"/>
                        <w:sz w:val="17"/>
                      </w:rPr>
                      <w:t> </w:t>
                    </w:r>
                    <w:r>
                      <w:rPr>
                        <w:rFonts w:ascii="Arial" w:hAnsi="Arial"/>
                        <w:color w:val="231F20"/>
                        <w:spacing w:val="-2"/>
                        <w:sz w:val="17"/>
                      </w:rPr>
                      <w:t>augmenter</w:t>
                    </w:r>
                    <w:r>
                      <w:rPr>
                        <w:rFonts w:ascii="Arial" w:hAnsi="Arial"/>
                        <w:color w:val="231F20"/>
                        <w:spacing w:val="-9"/>
                        <w:sz w:val="17"/>
                      </w:rPr>
                      <w:t> </w:t>
                    </w:r>
                    <w:r>
                      <w:rPr>
                        <w:rFonts w:ascii="Arial" w:hAnsi="Arial"/>
                        <w:color w:val="231F20"/>
                        <w:spacing w:val="-2"/>
                        <w:sz w:val="17"/>
                      </w:rPr>
                      <w:t>le</w:t>
                    </w:r>
                    <w:r>
                      <w:rPr>
                        <w:rFonts w:ascii="Arial" w:hAnsi="Arial"/>
                        <w:color w:val="231F20"/>
                        <w:spacing w:val="-10"/>
                        <w:sz w:val="17"/>
                      </w:rPr>
                      <w:t> </w:t>
                    </w:r>
                    <w:r>
                      <w:rPr>
                        <w:rFonts w:ascii="Arial" w:hAnsi="Arial"/>
                        <w:color w:val="231F20"/>
                        <w:spacing w:val="-2"/>
                        <w:sz w:val="17"/>
                      </w:rPr>
                      <w:t>rythme </w:t>
                    </w:r>
                    <w:r>
                      <w:rPr>
                        <w:rFonts w:ascii="Arial" w:hAnsi="Arial"/>
                        <w:color w:val="231F20"/>
                        <w:sz w:val="17"/>
                      </w:rPr>
                      <w:t>respiratoire,</w:t>
                    </w:r>
                    <w:r>
                      <w:rPr>
                        <w:rFonts w:ascii="Arial" w:hAnsi="Arial"/>
                        <w:color w:val="231F20"/>
                        <w:spacing w:val="2"/>
                        <w:sz w:val="17"/>
                      </w:rPr>
                      <w:t> </w:t>
                    </w:r>
                    <w:r>
                      <w:rPr>
                        <w:rFonts w:ascii="Arial" w:hAnsi="Arial"/>
                        <w:color w:val="231F20"/>
                        <w:sz w:val="17"/>
                      </w:rPr>
                      <w:t>les</w:t>
                    </w:r>
                    <w:r>
                      <w:rPr>
                        <w:rFonts w:ascii="Arial" w:hAnsi="Arial"/>
                        <w:color w:val="231F20"/>
                        <w:spacing w:val="3"/>
                        <w:sz w:val="17"/>
                      </w:rPr>
                      <w:t> </w:t>
                    </w:r>
                    <w:r>
                      <w:rPr>
                        <w:rFonts w:ascii="Arial" w:hAnsi="Arial"/>
                        <w:color w:val="231F20"/>
                        <w:sz w:val="17"/>
                      </w:rPr>
                      <w:t>pulsations</w:t>
                    </w:r>
                    <w:r>
                      <w:rPr>
                        <w:rFonts w:ascii="Arial" w:hAnsi="Arial"/>
                        <w:color w:val="231F20"/>
                        <w:spacing w:val="3"/>
                        <w:sz w:val="17"/>
                      </w:rPr>
                      <w:t> </w:t>
                    </w:r>
                    <w:r>
                      <w:rPr>
                        <w:rFonts w:ascii="Arial" w:hAnsi="Arial"/>
                        <w:color w:val="231F20"/>
                        <w:sz w:val="17"/>
                      </w:rPr>
                      <w:t>cardiaques,</w:t>
                    </w:r>
                    <w:r>
                      <w:rPr>
                        <w:rFonts w:ascii="Arial" w:hAnsi="Arial"/>
                        <w:color w:val="231F20"/>
                        <w:spacing w:val="2"/>
                        <w:sz w:val="17"/>
                      </w:rPr>
                      <w:t> </w:t>
                    </w:r>
                    <w:r>
                      <w:rPr>
                        <w:rFonts w:ascii="Arial" w:hAnsi="Arial"/>
                        <w:color w:val="231F20"/>
                        <w:sz w:val="17"/>
                      </w:rPr>
                      <w:t>l’apport</w:t>
                    </w:r>
                    <w:r>
                      <w:rPr>
                        <w:rFonts w:ascii="Arial" w:hAnsi="Arial"/>
                        <w:color w:val="231F20"/>
                        <w:spacing w:val="3"/>
                        <w:sz w:val="17"/>
                      </w:rPr>
                      <w:t> </w:t>
                    </w:r>
                    <w:r>
                      <w:rPr>
                        <w:rFonts w:ascii="Arial" w:hAnsi="Arial"/>
                        <w:color w:val="231F20"/>
                        <w:sz w:val="17"/>
                      </w:rPr>
                      <w:t>d’oxygène</w:t>
                    </w:r>
                    <w:r>
                      <w:rPr>
                        <w:rFonts w:ascii="Arial" w:hAnsi="Arial"/>
                        <w:color w:val="231F20"/>
                        <w:spacing w:val="3"/>
                        <w:sz w:val="17"/>
                      </w:rPr>
                      <w:t> </w:t>
                    </w:r>
                    <w:r>
                      <w:rPr>
                        <w:rFonts w:ascii="Arial" w:hAnsi="Arial"/>
                        <w:color w:val="231F20"/>
                        <w:sz w:val="17"/>
                      </w:rPr>
                      <w:t>aux</w:t>
                    </w:r>
                    <w:r>
                      <w:rPr>
                        <w:rFonts w:ascii="Arial" w:hAnsi="Arial"/>
                        <w:color w:val="231F20"/>
                        <w:spacing w:val="2"/>
                        <w:sz w:val="17"/>
                      </w:rPr>
                      <w:t> </w:t>
                    </w:r>
                    <w:r>
                      <w:rPr>
                        <w:rFonts w:ascii="Arial" w:hAnsi="Arial"/>
                        <w:color w:val="231F20"/>
                        <w:spacing w:val="-2"/>
                        <w:sz w:val="17"/>
                      </w:rPr>
                      <w:t>tissus,</w:t>
                    </w:r>
                  </w:p>
                </w:txbxContent>
              </v:textbox>
              <w10:wrap type="none"/>
            </v:shape>
            <w10:wrap type="topAndBottom"/>
          </v:group>
        </w:pict>
      </w:r>
    </w:p>
    <w:p>
      <w:pPr>
        <w:pStyle w:val="BodyText"/>
        <w:rPr>
          <w:sz w:val="20"/>
        </w:rPr>
      </w:pPr>
    </w:p>
    <w:p>
      <w:pPr>
        <w:pStyle w:val="BodyText"/>
        <w:spacing w:before="4"/>
        <w:rPr>
          <w:sz w:val="18"/>
        </w:rPr>
      </w:pPr>
      <w:r>
        <w:rPr/>
        <w:pict>
          <v:shape style="position:absolute;margin-left:82pt;margin-top:11.750977pt;width:287.5pt;height:.1pt;mso-position-horizontal-relative:page;mso-position-vertical-relative:paragraph;z-index:-15687168;mso-wrap-distance-left:0;mso-wrap-distance-right:0" id="docshape603" coordorigin="1640,235" coordsize="5750,0" path="m1640,235l7390,235e" filled="false" stroked="true" strokeweight=".25pt" strokecolor="#231f20">
            <v:path arrowok="t"/>
            <v:stroke dashstyle="shortdot"/>
            <w10:wrap type="topAndBottom"/>
          </v:shape>
        </w:pict>
      </w:r>
    </w:p>
    <w:p>
      <w:pPr>
        <w:tabs>
          <w:tab w:pos="1219" w:val="left" w:leader="none"/>
        </w:tabs>
        <w:spacing w:line="295" w:lineRule="auto" w:before="135"/>
        <w:ind w:left="1219" w:right="108" w:hanging="406"/>
        <w:jc w:val="left"/>
        <w:rPr>
          <w:rFonts w:ascii="Arial" w:hAnsi="Arial"/>
          <w:sz w:val="12"/>
        </w:rPr>
      </w:pPr>
      <w:r>
        <w:rPr>
          <w:rFonts w:ascii="Arial" w:hAnsi="Arial"/>
          <w:color w:val="231F20"/>
          <w:spacing w:val="-6"/>
          <w:sz w:val="12"/>
        </w:rPr>
        <w:t>21</w:t>
      </w:r>
      <w:r>
        <w:rPr>
          <w:rFonts w:ascii="Arial" w:hAnsi="Arial"/>
          <w:color w:val="231F20"/>
          <w:sz w:val="12"/>
        </w:rPr>
        <w:tab/>
        <w:t>Seiler,</w:t>
      </w:r>
      <w:r>
        <w:rPr>
          <w:rFonts w:ascii="Arial" w:hAnsi="Arial"/>
          <w:color w:val="231F20"/>
          <w:spacing w:val="-8"/>
          <w:sz w:val="12"/>
        </w:rPr>
        <w:t> </w:t>
      </w:r>
      <w:r>
        <w:rPr>
          <w:rFonts w:ascii="Arial" w:hAnsi="Arial"/>
          <w:color w:val="231F20"/>
          <w:sz w:val="12"/>
        </w:rPr>
        <w:t>A.,</w:t>
      </w:r>
      <w:r>
        <w:rPr>
          <w:rFonts w:ascii="Arial" w:hAnsi="Arial"/>
          <w:color w:val="231F20"/>
          <w:spacing w:val="-8"/>
          <w:sz w:val="12"/>
        </w:rPr>
        <w:t> </w:t>
      </w:r>
      <w:r>
        <w:rPr>
          <w:rFonts w:ascii="Arial" w:hAnsi="Arial"/>
          <w:color w:val="231F20"/>
          <w:sz w:val="12"/>
        </w:rPr>
        <w:t>Fagundes,</w:t>
      </w:r>
      <w:r>
        <w:rPr>
          <w:rFonts w:ascii="Arial" w:hAnsi="Arial"/>
          <w:color w:val="231F20"/>
          <w:spacing w:val="-8"/>
          <w:sz w:val="12"/>
        </w:rPr>
        <w:t> </w:t>
      </w:r>
      <w:r>
        <w:rPr>
          <w:rFonts w:ascii="Arial" w:hAnsi="Arial"/>
          <w:color w:val="231F20"/>
          <w:sz w:val="12"/>
        </w:rPr>
        <w:t>C.</w:t>
      </w:r>
      <w:r>
        <w:rPr>
          <w:rFonts w:ascii="Arial" w:hAnsi="Arial"/>
          <w:color w:val="231F20"/>
          <w:spacing w:val="-8"/>
          <w:sz w:val="12"/>
        </w:rPr>
        <w:t> </w:t>
      </w:r>
      <w:r>
        <w:rPr>
          <w:rFonts w:ascii="Arial" w:hAnsi="Arial"/>
          <w:color w:val="231F20"/>
          <w:sz w:val="12"/>
        </w:rPr>
        <w:t>P.</w:t>
      </w:r>
      <w:r>
        <w:rPr>
          <w:rFonts w:ascii="Arial" w:hAnsi="Arial"/>
          <w:color w:val="231F20"/>
          <w:spacing w:val="-8"/>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Christian,</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M.</w:t>
      </w:r>
      <w:r>
        <w:rPr>
          <w:rFonts w:ascii="Arial" w:hAnsi="Arial"/>
          <w:color w:val="231F20"/>
          <w:spacing w:val="-8"/>
          <w:sz w:val="12"/>
        </w:rPr>
        <w:t> </w:t>
      </w:r>
      <w:r>
        <w:rPr>
          <w:rFonts w:ascii="Arial" w:hAnsi="Arial"/>
          <w:color w:val="231F20"/>
          <w:sz w:val="12"/>
        </w:rPr>
        <w:t>(2019).</w:t>
      </w:r>
      <w:r>
        <w:rPr>
          <w:rFonts w:ascii="Arial" w:hAnsi="Arial"/>
          <w:color w:val="231F20"/>
          <w:spacing w:val="-8"/>
          <w:sz w:val="12"/>
        </w:rPr>
        <w:t> </w:t>
      </w:r>
      <w:r>
        <w:rPr>
          <w:rFonts w:ascii="Arial" w:hAnsi="Arial"/>
          <w:color w:val="231F20"/>
          <w:sz w:val="12"/>
        </w:rPr>
        <w:t>The</w:t>
      </w:r>
      <w:r>
        <w:rPr>
          <w:rFonts w:ascii="Arial" w:hAnsi="Arial"/>
          <w:color w:val="231F20"/>
          <w:spacing w:val="-8"/>
          <w:sz w:val="12"/>
        </w:rPr>
        <w:t> </w:t>
      </w:r>
      <w:r>
        <w:rPr>
          <w:rFonts w:ascii="Arial" w:hAnsi="Arial"/>
          <w:color w:val="231F20"/>
          <w:sz w:val="12"/>
        </w:rPr>
        <w:t>impact</w:t>
      </w:r>
      <w:r>
        <w:rPr>
          <w:rFonts w:ascii="Arial" w:hAnsi="Arial"/>
          <w:color w:val="231F20"/>
          <w:spacing w:val="-8"/>
          <w:sz w:val="12"/>
        </w:rPr>
        <w:t> </w:t>
      </w:r>
      <w:r>
        <w:rPr>
          <w:rFonts w:ascii="Arial" w:hAnsi="Arial"/>
          <w:color w:val="231F20"/>
          <w:sz w:val="12"/>
        </w:rPr>
        <w:t>of</w:t>
      </w:r>
      <w:r>
        <w:rPr>
          <w:rFonts w:ascii="Arial" w:hAnsi="Arial"/>
          <w:color w:val="231F20"/>
          <w:spacing w:val="-8"/>
          <w:sz w:val="12"/>
        </w:rPr>
        <w:t> </w:t>
      </w:r>
      <w:r>
        <w:rPr>
          <w:rFonts w:ascii="Arial" w:hAnsi="Arial"/>
          <w:color w:val="231F20"/>
          <w:sz w:val="12"/>
        </w:rPr>
        <w:t>everyday</w:t>
      </w:r>
      <w:r>
        <w:rPr>
          <w:rFonts w:ascii="Arial" w:hAnsi="Arial"/>
          <w:color w:val="231F20"/>
          <w:spacing w:val="-8"/>
          <w:sz w:val="12"/>
        </w:rPr>
        <w:t> </w:t>
      </w:r>
      <w:r>
        <w:rPr>
          <w:rFonts w:ascii="Arial" w:hAnsi="Arial"/>
          <w:color w:val="231F20"/>
          <w:sz w:val="12"/>
        </w:rPr>
        <w:t>stressors</w:t>
      </w:r>
      <w:r>
        <w:rPr>
          <w:rFonts w:ascii="Arial" w:hAnsi="Arial"/>
          <w:color w:val="231F20"/>
          <w:spacing w:val="-8"/>
          <w:sz w:val="12"/>
        </w:rPr>
        <w:t> </w:t>
      </w:r>
      <w:r>
        <w:rPr>
          <w:rFonts w:ascii="Arial" w:hAnsi="Arial"/>
          <w:color w:val="231F20"/>
          <w:sz w:val="12"/>
        </w:rPr>
        <w:t>on</w:t>
      </w:r>
      <w:r>
        <w:rPr>
          <w:rFonts w:ascii="Arial" w:hAnsi="Arial"/>
          <w:color w:val="231F20"/>
          <w:spacing w:val="-8"/>
          <w:sz w:val="12"/>
        </w:rPr>
        <w:t> </w:t>
      </w:r>
      <w:r>
        <w:rPr>
          <w:rFonts w:ascii="Arial" w:hAnsi="Arial"/>
          <w:color w:val="231F20"/>
          <w:sz w:val="12"/>
        </w:rPr>
        <w:t>the</w:t>
      </w:r>
      <w:r>
        <w:rPr>
          <w:rFonts w:ascii="Arial" w:hAnsi="Arial"/>
          <w:color w:val="231F20"/>
          <w:spacing w:val="-8"/>
          <w:sz w:val="12"/>
        </w:rPr>
        <w:t> </w:t>
      </w:r>
      <w:r>
        <w:rPr>
          <w:rFonts w:ascii="Arial" w:hAnsi="Arial"/>
          <w:color w:val="231F20"/>
          <w:sz w:val="12"/>
        </w:rPr>
        <w:t>immune</w:t>
      </w:r>
      <w:r>
        <w:rPr>
          <w:rFonts w:ascii="Arial" w:hAnsi="Arial"/>
          <w:color w:val="231F20"/>
          <w:spacing w:val="-8"/>
          <w:sz w:val="12"/>
        </w:rPr>
        <w:t> </w:t>
      </w:r>
      <w:r>
        <w:rPr>
          <w:rFonts w:ascii="Arial" w:hAnsi="Arial"/>
          <w:color w:val="231F20"/>
          <w:sz w:val="12"/>
        </w:rPr>
        <w:t>system</w:t>
      </w:r>
      <w:r>
        <w:rPr>
          <w:rFonts w:ascii="Arial" w:hAnsi="Arial"/>
          <w:color w:val="231F20"/>
          <w:spacing w:val="40"/>
          <w:sz w:val="12"/>
        </w:rPr>
        <w:t> </w:t>
      </w:r>
      <w:r>
        <w:rPr>
          <w:rFonts w:ascii="Arial" w:hAnsi="Arial"/>
          <w:color w:val="231F20"/>
          <w:sz w:val="12"/>
        </w:rPr>
        <w:t>and</w:t>
      </w:r>
      <w:r>
        <w:rPr>
          <w:rFonts w:ascii="Arial" w:hAnsi="Arial"/>
          <w:color w:val="231F20"/>
          <w:spacing w:val="-4"/>
          <w:sz w:val="12"/>
        </w:rPr>
        <w:t> </w:t>
      </w:r>
      <w:r>
        <w:rPr>
          <w:rFonts w:ascii="Arial" w:hAnsi="Arial"/>
          <w:color w:val="231F20"/>
          <w:sz w:val="12"/>
        </w:rPr>
        <w:t>health.</w:t>
      </w:r>
      <w:r>
        <w:rPr>
          <w:rFonts w:ascii="Arial" w:hAnsi="Arial"/>
          <w:color w:val="231F20"/>
          <w:spacing w:val="-4"/>
          <w:sz w:val="12"/>
        </w:rPr>
        <w:t> </w:t>
      </w:r>
      <w:r>
        <w:rPr>
          <w:rFonts w:ascii="Arial" w:hAnsi="Arial"/>
          <w:color w:val="231F20"/>
          <w:sz w:val="12"/>
        </w:rPr>
        <w:t>Dans</w:t>
      </w:r>
      <w:r>
        <w:rPr>
          <w:rFonts w:ascii="Arial" w:hAnsi="Arial"/>
          <w:color w:val="231F20"/>
          <w:spacing w:val="-4"/>
          <w:sz w:val="12"/>
        </w:rPr>
        <w:t> </w:t>
      </w:r>
      <w:r>
        <w:rPr>
          <w:rFonts w:ascii="Arial" w:hAnsi="Arial"/>
          <w:color w:val="231F20"/>
          <w:sz w:val="12"/>
        </w:rPr>
        <w:t>A.</w:t>
      </w:r>
      <w:r>
        <w:rPr>
          <w:rFonts w:ascii="Arial" w:hAnsi="Arial"/>
          <w:color w:val="231F20"/>
          <w:spacing w:val="-4"/>
          <w:sz w:val="12"/>
        </w:rPr>
        <w:t> </w:t>
      </w:r>
      <w:r>
        <w:rPr>
          <w:rFonts w:ascii="Arial" w:hAnsi="Arial"/>
          <w:color w:val="231F20"/>
          <w:sz w:val="12"/>
        </w:rPr>
        <w:t>Choukèr</w:t>
      </w:r>
      <w:r>
        <w:rPr>
          <w:rFonts w:ascii="Arial" w:hAnsi="Arial"/>
          <w:color w:val="231F20"/>
          <w:spacing w:val="-4"/>
          <w:sz w:val="12"/>
        </w:rPr>
        <w:t> </w:t>
      </w:r>
      <w:r>
        <w:rPr>
          <w:rFonts w:ascii="Arial" w:hAnsi="Arial"/>
          <w:color w:val="231F20"/>
          <w:sz w:val="12"/>
        </w:rPr>
        <w:t>(dir.),</w:t>
      </w:r>
      <w:r>
        <w:rPr>
          <w:rFonts w:ascii="Arial" w:hAnsi="Arial"/>
          <w:color w:val="231F20"/>
          <w:spacing w:val="-4"/>
          <w:sz w:val="12"/>
        </w:rPr>
        <w:t> </w:t>
      </w:r>
      <w:r>
        <w:rPr>
          <w:rFonts w:ascii="Arial" w:hAnsi="Arial"/>
          <w:i/>
          <w:color w:val="231F20"/>
          <w:sz w:val="12"/>
        </w:rPr>
        <w:t>Stress</w:t>
      </w:r>
      <w:r>
        <w:rPr>
          <w:rFonts w:ascii="Arial" w:hAnsi="Arial"/>
          <w:i/>
          <w:color w:val="231F20"/>
          <w:spacing w:val="-4"/>
          <w:sz w:val="12"/>
        </w:rPr>
        <w:t> </w:t>
      </w:r>
      <w:r>
        <w:rPr>
          <w:rFonts w:ascii="Arial" w:hAnsi="Arial"/>
          <w:i/>
          <w:color w:val="231F20"/>
          <w:sz w:val="12"/>
        </w:rPr>
        <w:t>Challenges</w:t>
      </w:r>
      <w:r>
        <w:rPr>
          <w:rFonts w:ascii="Arial" w:hAnsi="Arial"/>
          <w:i/>
          <w:color w:val="231F20"/>
          <w:spacing w:val="-4"/>
          <w:sz w:val="12"/>
        </w:rPr>
        <w:t> </w:t>
      </w:r>
      <w:r>
        <w:rPr>
          <w:rFonts w:ascii="Arial" w:hAnsi="Arial"/>
          <w:i/>
          <w:color w:val="231F20"/>
          <w:sz w:val="12"/>
        </w:rPr>
        <w:t>and</w:t>
      </w:r>
      <w:r>
        <w:rPr>
          <w:rFonts w:ascii="Arial" w:hAnsi="Arial"/>
          <w:i/>
          <w:color w:val="231F20"/>
          <w:spacing w:val="-4"/>
          <w:sz w:val="12"/>
        </w:rPr>
        <w:t> </w:t>
      </w:r>
      <w:r>
        <w:rPr>
          <w:rFonts w:ascii="Arial" w:hAnsi="Arial"/>
          <w:i/>
          <w:color w:val="231F20"/>
          <w:sz w:val="12"/>
        </w:rPr>
        <w:t>Immunity</w:t>
      </w:r>
      <w:r>
        <w:rPr>
          <w:rFonts w:ascii="Arial" w:hAnsi="Arial"/>
          <w:i/>
          <w:color w:val="231F20"/>
          <w:spacing w:val="-4"/>
          <w:sz w:val="12"/>
        </w:rPr>
        <w:t> </w:t>
      </w:r>
      <w:r>
        <w:rPr>
          <w:rFonts w:ascii="Arial" w:hAnsi="Arial"/>
          <w:i/>
          <w:color w:val="231F20"/>
          <w:sz w:val="12"/>
        </w:rPr>
        <w:t>in</w:t>
      </w:r>
      <w:r>
        <w:rPr>
          <w:rFonts w:ascii="Arial" w:hAnsi="Arial"/>
          <w:i/>
          <w:color w:val="231F20"/>
          <w:spacing w:val="-4"/>
          <w:sz w:val="12"/>
        </w:rPr>
        <w:t> </w:t>
      </w:r>
      <w:r>
        <w:rPr>
          <w:rFonts w:ascii="Arial" w:hAnsi="Arial"/>
          <w:i/>
          <w:color w:val="231F20"/>
          <w:sz w:val="12"/>
        </w:rPr>
        <w:t>Space</w:t>
      </w:r>
      <w:r>
        <w:rPr>
          <w:rFonts w:ascii="Arial" w:hAnsi="Arial"/>
          <w:color w:val="231F20"/>
          <w:sz w:val="12"/>
        </w:rPr>
        <w:t>,</w:t>
      </w:r>
      <w:r>
        <w:rPr>
          <w:rFonts w:ascii="Arial" w:hAnsi="Arial"/>
          <w:color w:val="231F20"/>
          <w:spacing w:val="-4"/>
          <w:sz w:val="12"/>
        </w:rPr>
        <w:t> </w:t>
      </w:r>
      <w:r>
        <w:rPr>
          <w:rFonts w:ascii="Arial" w:hAnsi="Arial"/>
          <w:color w:val="231F20"/>
          <w:sz w:val="12"/>
        </w:rPr>
        <w:t>Springer,</w:t>
      </w:r>
      <w:r>
        <w:rPr>
          <w:rFonts w:ascii="Arial" w:hAnsi="Arial"/>
          <w:color w:val="231F20"/>
          <w:spacing w:val="-4"/>
          <w:sz w:val="12"/>
        </w:rPr>
        <w:t> </w:t>
      </w:r>
      <w:r>
        <w:rPr>
          <w:rFonts w:ascii="Arial" w:hAnsi="Arial"/>
          <w:color w:val="231F20"/>
          <w:sz w:val="12"/>
        </w:rPr>
        <w:t>p.</w:t>
      </w:r>
      <w:r>
        <w:rPr>
          <w:rFonts w:ascii="Arial" w:hAnsi="Arial"/>
          <w:color w:val="231F20"/>
          <w:spacing w:val="-4"/>
          <w:sz w:val="12"/>
        </w:rPr>
        <w:t> </w:t>
      </w:r>
      <w:r>
        <w:rPr>
          <w:rFonts w:ascii="Arial" w:hAnsi="Arial"/>
          <w:color w:val="231F20"/>
          <w:sz w:val="12"/>
        </w:rPr>
        <w:t>71-92.</w:t>
      </w:r>
    </w:p>
    <w:p>
      <w:pPr>
        <w:spacing w:after="0" w:line="295" w:lineRule="auto"/>
        <w:jc w:val="left"/>
        <w:rPr>
          <w:rFonts w:ascii="Arial" w:hAnsi="Arial"/>
          <w:sz w:val="12"/>
        </w:rPr>
        <w:sectPr>
          <w:footerReference w:type="default" r:id="rId17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39"/>
        <w:ind w:left="1080" w:right="748"/>
        <w:jc w:val="both"/>
        <w:rPr>
          <w:rFonts w:ascii="Arial" w:hAnsi="Arial"/>
        </w:rPr>
      </w:pPr>
      <w:r>
        <w:rPr/>
        <w:pict>
          <v:shape style="position:absolute;margin-left:62.500004pt;margin-top:-3.827127pt;width:287.5pt;height:430.25pt;mso-position-horizontal-relative:page;mso-position-vertical-relative:paragraph;z-index:-20966912" id="docshape605" coordorigin="1250,-77" coordsize="5750,8605" path="m7000,-77l1250,-77,1250,753,1250,1048,1250,8528,7000,8528,7000,753,7000,-77xe" filled="true" fillcolor="#e2e3e4" stroked="false">
            <v:path arrowok="t"/>
            <v:fill type="solid"/>
            <w10:wrap type="none"/>
          </v:shape>
        </w:pict>
      </w:r>
      <w:r>
        <w:rPr>
          <w:rFonts w:ascii="Arial" w:hAnsi="Arial"/>
          <w:color w:val="231F20"/>
        </w:rPr>
        <w:t>ainsi que le niveau d’éveil et d’attention cérébrale, des changements </w:t>
      </w:r>
      <w:r>
        <w:rPr>
          <w:rFonts w:ascii="Arial" w:hAnsi="Arial"/>
          <w:color w:val="231F20"/>
          <w:w w:val="105"/>
        </w:rPr>
        <w:t>qui,</w:t>
      </w:r>
      <w:r>
        <w:rPr>
          <w:rFonts w:ascii="Arial" w:hAnsi="Arial"/>
          <w:color w:val="231F20"/>
          <w:spacing w:val="-5"/>
          <w:w w:val="105"/>
        </w:rPr>
        <w:t> </w:t>
      </w:r>
      <w:r>
        <w:rPr>
          <w:rFonts w:ascii="Arial" w:hAnsi="Arial"/>
          <w:color w:val="231F20"/>
          <w:w w:val="105"/>
        </w:rPr>
        <w:t>collectivement,</w:t>
      </w:r>
      <w:r>
        <w:rPr>
          <w:rFonts w:ascii="Arial" w:hAnsi="Arial"/>
          <w:color w:val="231F20"/>
          <w:spacing w:val="-5"/>
          <w:w w:val="105"/>
        </w:rPr>
        <w:t> </w:t>
      </w:r>
      <w:r>
        <w:rPr>
          <w:rFonts w:ascii="Arial" w:hAnsi="Arial"/>
          <w:color w:val="231F20"/>
          <w:w w:val="105"/>
        </w:rPr>
        <w:t>permettent</w:t>
      </w:r>
      <w:r>
        <w:rPr>
          <w:rFonts w:ascii="Arial" w:hAnsi="Arial"/>
          <w:color w:val="231F20"/>
          <w:spacing w:val="-5"/>
          <w:w w:val="105"/>
        </w:rPr>
        <w:t> </w:t>
      </w:r>
      <w:r>
        <w:rPr>
          <w:rFonts w:ascii="Arial" w:hAnsi="Arial"/>
          <w:color w:val="231F20"/>
          <w:w w:val="105"/>
        </w:rPr>
        <w:t>de</w:t>
      </w:r>
      <w:r>
        <w:rPr>
          <w:rFonts w:ascii="Arial" w:hAnsi="Arial"/>
          <w:color w:val="231F20"/>
          <w:spacing w:val="-5"/>
          <w:w w:val="105"/>
        </w:rPr>
        <w:t> </w:t>
      </w:r>
      <w:r>
        <w:rPr>
          <w:rFonts w:ascii="Arial" w:hAnsi="Arial"/>
          <w:color w:val="231F20"/>
          <w:w w:val="105"/>
        </w:rPr>
        <w:t>combattre</w:t>
      </w:r>
      <w:r>
        <w:rPr>
          <w:rFonts w:ascii="Arial" w:hAnsi="Arial"/>
          <w:color w:val="231F20"/>
          <w:spacing w:val="-5"/>
          <w:w w:val="105"/>
        </w:rPr>
        <w:t> </w:t>
      </w:r>
      <w:r>
        <w:rPr>
          <w:rFonts w:ascii="Arial" w:hAnsi="Arial"/>
          <w:color w:val="231F20"/>
          <w:w w:val="105"/>
        </w:rPr>
        <w:t>ou</w:t>
      </w:r>
      <w:r>
        <w:rPr>
          <w:rFonts w:ascii="Arial" w:hAnsi="Arial"/>
          <w:color w:val="231F20"/>
          <w:spacing w:val="-5"/>
          <w:w w:val="105"/>
        </w:rPr>
        <w:t> </w:t>
      </w:r>
      <w:r>
        <w:rPr>
          <w:rFonts w:ascii="Arial" w:hAnsi="Arial"/>
          <w:color w:val="231F20"/>
          <w:w w:val="105"/>
        </w:rPr>
        <w:t>de</w:t>
      </w:r>
      <w:r>
        <w:rPr>
          <w:rFonts w:ascii="Arial" w:hAnsi="Arial"/>
          <w:color w:val="231F20"/>
          <w:spacing w:val="-5"/>
          <w:w w:val="105"/>
        </w:rPr>
        <w:t> </w:t>
      </w:r>
      <w:r>
        <w:rPr>
          <w:rFonts w:ascii="Arial" w:hAnsi="Arial"/>
          <w:color w:val="231F20"/>
          <w:w w:val="105"/>
        </w:rPr>
        <w:t>fuir</w:t>
      </w:r>
      <w:r>
        <w:rPr>
          <w:rFonts w:ascii="Arial" w:hAnsi="Arial"/>
          <w:color w:val="231F20"/>
          <w:spacing w:val="-5"/>
          <w:w w:val="105"/>
        </w:rPr>
        <w:t> </w:t>
      </w:r>
      <w:r>
        <w:rPr>
          <w:rFonts w:ascii="Arial" w:hAnsi="Arial"/>
          <w:color w:val="231F20"/>
          <w:w w:val="105"/>
        </w:rPr>
        <w:t>rapidement le</w:t>
      </w:r>
      <w:r>
        <w:rPr>
          <w:rFonts w:ascii="Arial" w:hAnsi="Arial"/>
          <w:color w:val="231F20"/>
          <w:spacing w:val="-6"/>
          <w:w w:val="105"/>
        </w:rPr>
        <w:t> </w:t>
      </w:r>
      <w:r>
        <w:rPr>
          <w:rFonts w:ascii="Arial" w:hAnsi="Arial"/>
          <w:color w:val="231F20"/>
          <w:w w:val="105"/>
        </w:rPr>
        <w:t>danger.</w:t>
      </w:r>
    </w:p>
    <w:p>
      <w:pPr>
        <w:pStyle w:val="BodyText"/>
        <w:spacing w:line="307" w:lineRule="auto" w:before="80"/>
        <w:ind w:left="1080" w:right="748"/>
        <w:jc w:val="both"/>
        <w:rPr>
          <w:rFonts w:ascii="Arial" w:hAnsi="Arial"/>
        </w:rPr>
      </w:pPr>
      <w:r>
        <w:rPr>
          <w:rFonts w:ascii="Arial" w:hAnsi="Arial"/>
          <w:color w:val="231F20"/>
        </w:rPr>
        <w:t>C’est</w:t>
      </w:r>
      <w:r>
        <w:rPr>
          <w:rFonts w:ascii="Arial" w:hAnsi="Arial"/>
          <w:color w:val="231F20"/>
          <w:spacing w:val="-12"/>
        </w:rPr>
        <w:t> </w:t>
      </w:r>
      <w:r>
        <w:rPr>
          <w:rFonts w:ascii="Arial" w:hAnsi="Arial"/>
          <w:color w:val="231F20"/>
        </w:rPr>
        <w:t>ce qu’on appelle la «</w:t>
      </w:r>
      <w:r>
        <w:rPr>
          <w:rFonts w:ascii="Arial" w:hAnsi="Arial"/>
          <w:color w:val="231F20"/>
          <w:spacing w:val="-12"/>
        </w:rPr>
        <w:t> </w:t>
      </w:r>
      <w:r>
        <w:rPr>
          <w:rFonts w:ascii="Arial" w:hAnsi="Arial"/>
          <w:color w:val="231F20"/>
        </w:rPr>
        <w:t>réaction de combat-fuite</w:t>
      </w:r>
      <w:r>
        <w:rPr>
          <w:rFonts w:ascii="Arial" w:hAnsi="Arial"/>
          <w:color w:val="231F20"/>
          <w:spacing w:val="-12"/>
        </w:rPr>
        <w:t> </w:t>
      </w:r>
      <w:r>
        <w:rPr>
          <w:rFonts w:ascii="Arial" w:hAnsi="Arial"/>
          <w:color w:val="231F20"/>
        </w:rPr>
        <w:t>» (</w:t>
      </w:r>
      <w:r>
        <w:rPr>
          <w:rFonts w:ascii="Arial" w:hAnsi="Arial"/>
          <w:i/>
          <w:color w:val="231F20"/>
        </w:rPr>
        <w:t>flight or fight</w:t>
      </w:r>
      <w:r>
        <w:rPr>
          <w:rFonts w:ascii="Arial" w:hAnsi="Arial"/>
          <w:color w:val="231F20"/>
        </w:rPr>
        <w:t>), absolument essentielle à la survie.</w:t>
      </w:r>
    </w:p>
    <w:p>
      <w:pPr>
        <w:pStyle w:val="BodyText"/>
        <w:spacing w:line="307" w:lineRule="auto" w:before="79"/>
        <w:ind w:left="1080" w:right="744"/>
        <w:jc w:val="both"/>
        <w:rPr>
          <w:rFonts w:ascii="Arial" w:hAnsi="Arial"/>
        </w:rPr>
      </w:pPr>
      <w:r>
        <w:rPr>
          <w:rFonts w:ascii="Arial" w:hAnsi="Arial"/>
          <w:color w:val="231F20"/>
        </w:rPr>
        <w:t>Les</w:t>
      </w:r>
      <w:r>
        <w:rPr>
          <w:rFonts w:ascii="Arial" w:hAnsi="Arial"/>
          <w:color w:val="231F20"/>
          <w:spacing w:val="-10"/>
        </w:rPr>
        <w:t> </w:t>
      </w:r>
      <w:r>
        <w:rPr>
          <w:rFonts w:ascii="Arial" w:hAnsi="Arial"/>
          <w:color w:val="231F20"/>
        </w:rPr>
        <w:t>changements</w:t>
      </w:r>
      <w:r>
        <w:rPr>
          <w:rFonts w:ascii="Arial" w:hAnsi="Arial"/>
          <w:color w:val="231F20"/>
          <w:spacing w:val="-10"/>
        </w:rPr>
        <w:t> </w:t>
      </w:r>
      <w:r>
        <w:rPr>
          <w:rFonts w:ascii="Arial" w:hAnsi="Arial"/>
          <w:color w:val="231F20"/>
        </w:rPr>
        <w:t>physiologiques</w:t>
      </w:r>
      <w:r>
        <w:rPr>
          <w:rFonts w:ascii="Arial" w:hAnsi="Arial"/>
          <w:color w:val="231F20"/>
          <w:spacing w:val="-10"/>
        </w:rPr>
        <w:t> </w:t>
      </w:r>
      <w:r>
        <w:rPr>
          <w:rFonts w:ascii="Arial" w:hAnsi="Arial"/>
          <w:color w:val="231F20"/>
        </w:rPr>
        <w:t>qui</w:t>
      </w:r>
      <w:r>
        <w:rPr>
          <w:rFonts w:ascii="Arial" w:hAnsi="Arial"/>
          <w:color w:val="231F20"/>
          <w:spacing w:val="-10"/>
        </w:rPr>
        <w:t> </w:t>
      </w:r>
      <w:r>
        <w:rPr>
          <w:rFonts w:ascii="Arial" w:hAnsi="Arial"/>
          <w:color w:val="231F20"/>
        </w:rPr>
        <w:t>accompagnent</w:t>
      </w:r>
      <w:r>
        <w:rPr>
          <w:rFonts w:ascii="Arial" w:hAnsi="Arial"/>
          <w:color w:val="231F20"/>
          <w:spacing w:val="-10"/>
        </w:rPr>
        <w:t> </w:t>
      </w:r>
      <w:r>
        <w:rPr>
          <w:rFonts w:ascii="Arial" w:hAnsi="Arial"/>
          <w:color w:val="231F20"/>
        </w:rPr>
        <w:t>le</w:t>
      </w:r>
      <w:r>
        <w:rPr>
          <w:rFonts w:ascii="Arial" w:hAnsi="Arial"/>
          <w:color w:val="231F20"/>
          <w:spacing w:val="-10"/>
        </w:rPr>
        <w:t> </w:t>
      </w:r>
      <w:r>
        <w:rPr>
          <w:rFonts w:ascii="Arial" w:hAnsi="Arial"/>
          <w:color w:val="231F20"/>
        </w:rPr>
        <w:t>stress</w:t>
      </w:r>
      <w:r>
        <w:rPr>
          <w:rFonts w:ascii="Arial" w:hAnsi="Arial"/>
          <w:color w:val="231F20"/>
          <w:spacing w:val="-10"/>
        </w:rPr>
        <w:t> </w:t>
      </w:r>
      <w:r>
        <w:rPr>
          <w:rFonts w:ascii="Arial" w:hAnsi="Arial"/>
          <w:color w:val="231F20"/>
        </w:rPr>
        <w:t>peuvent cependant devenir néfastes lorsque le stress perçu par le cerveau devient</w:t>
      </w:r>
      <w:r>
        <w:rPr>
          <w:rFonts w:ascii="Arial" w:hAnsi="Arial"/>
          <w:color w:val="231F20"/>
          <w:spacing w:val="-5"/>
        </w:rPr>
        <w:t> </w:t>
      </w:r>
      <w:r>
        <w:rPr>
          <w:rFonts w:ascii="Arial" w:hAnsi="Arial"/>
          <w:color w:val="231F20"/>
        </w:rPr>
        <w:t>chronique,</w:t>
      </w:r>
      <w:r>
        <w:rPr>
          <w:rFonts w:ascii="Arial" w:hAnsi="Arial"/>
          <w:color w:val="231F20"/>
          <w:spacing w:val="-5"/>
        </w:rPr>
        <w:t> </w:t>
      </w:r>
      <w:r>
        <w:rPr>
          <w:rFonts w:ascii="Arial" w:hAnsi="Arial"/>
          <w:color w:val="231F20"/>
        </w:rPr>
        <w:t>c’est-à-dire</w:t>
      </w:r>
      <w:r>
        <w:rPr>
          <w:rFonts w:ascii="Arial" w:hAnsi="Arial"/>
          <w:color w:val="231F20"/>
          <w:spacing w:val="-5"/>
        </w:rPr>
        <w:t> </w:t>
      </w:r>
      <w:r>
        <w:rPr>
          <w:rFonts w:ascii="Arial" w:hAnsi="Arial"/>
          <w:color w:val="231F20"/>
        </w:rPr>
        <w:t>qui</w:t>
      </w:r>
      <w:r>
        <w:rPr>
          <w:rFonts w:ascii="Arial" w:hAnsi="Arial"/>
          <w:color w:val="231F20"/>
          <w:spacing w:val="-5"/>
        </w:rPr>
        <w:t> </w:t>
      </w:r>
      <w:r>
        <w:rPr>
          <w:rFonts w:ascii="Arial" w:hAnsi="Arial"/>
          <w:color w:val="231F20"/>
        </w:rPr>
        <w:t>se</w:t>
      </w:r>
      <w:r>
        <w:rPr>
          <w:rFonts w:ascii="Arial" w:hAnsi="Arial"/>
          <w:color w:val="231F20"/>
          <w:spacing w:val="-5"/>
        </w:rPr>
        <w:t> </w:t>
      </w:r>
      <w:r>
        <w:rPr>
          <w:rFonts w:ascii="Arial" w:hAnsi="Arial"/>
          <w:color w:val="231F20"/>
        </w:rPr>
        <w:t>produit</w:t>
      </w:r>
      <w:r>
        <w:rPr>
          <w:rFonts w:ascii="Arial" w:hAnsi="Arial"/>
          <w:color w:val="231F20"/>
          <w:spacing w:val="-5"/>
        </w:rPr>
        <w:t> </w:t>
      </w:r>
      <w:r>
        <w:rPr>
          <w:rFonts w:ascii="Arial" w:hAnsi="Arial"/>
          <w:color w:val="231F20"/>
        </w:rPr>
        <w:t>sur</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longues</w:t>
      </w:r>
      <w:r>
        <w:rPr>
          <w:rFonts w:ascii="Arial" w:hAnsi="Arial"/>
          <w:color w:val="231F20"/>
          <w:spacing w:val="-5"/>
        </w:rPr>
        <w:t> </w:t>
      </w:r>
      <w:r>
        <w:rPr>
          <w:rFonts w:ascii="Arial" w:hAnsi="Arial"/>
          <w:color w:val="231F20"/>
        </w:rPr>
        <w:t>périodes.</w:t>
      </w:r>
    </w:p>
    <w:p>
      <w:pPr>
        <w:pStyle w:val="BodyText"/>
        <w:spacing w:line="307" w:lineRule="auto" w:before="80"/>
        <w:ind w:left="1080" w:right="744"/>
        <w:jc w:val="both"/>
        <w:rPr>
          <w:rFonts w:ascii="Arial" w:hAnsi="Arial"/>
        </w:rPr>
      </w:pPr>
      <w:r>
        <w:rPr>
          <w:rFonts w:ascii="Arial" w:hAnsi="Arial"/>
          <w:color w:val="231F20"/>
        </w:rPr>
        <w:t>Un très grand nombre d’études ont clairement montré qu’un stress psychologique prolongé perturbe plusieurs systèmes physiologiques, en</w:t>
      </w:r>
      <w:r>
        <w:rPr>
          <w:rFonts w:ascii="Arial" w:hAnsi="Arial"/>
          <w:color w:val="231F20"/>
          <w:spacing w:val="-12"/>
        </w:rPr>
        <w:t> </w:t>
      </w:r>
      <w:r>
        <w:rPr>
          <w:rFonts w:ascii="Arial" w:hAnsi="Arial"/>
          <w:color w:val="231F20"/>
        </w:rPr>
        <w:t>particulier sur le plan de l’immunité</w:t>
      </w:r>
      <w:r>
        <w:rPr>
          <w:rFonts w:ascii="Arial" w:hAnsi="Arial"/>
          <w:color w:val="231F20"/>
          <w:spacing w:val="-12"/>
        </w:rPr>
        <w:t> </w:t>
      </w:r>
      <w:r>
        <w:rPr>
          <w:rFonts w:ascii="Arial" w:hAnsi="Arial"/>
          <w:color w:val="231F20"/>
        </w:rPr>
        <w:t>: les personnes exposées à un stress chronique présentent un degré d’inflammation plus élevé, ont un risque accru de développer des infections respiratoires virales et répondent moins bien à différents vaccins22.</w:t>
      </w:r>
    </w:p>
    <w:p>
      <w:pPr>
        <w:pStyle w:val="BodyText"/>
        <w:spacing w:before="7"/>
        <w:rPr>
          <w:rFonts w:ascii="Arial"/>
          <w:sz w:val="21"/>
        </w:rPr>
      </w:pPr>
    </w:p>
    <w:p>
      <w:pPr>
        <w:pStyle w:val="Heading6"/>
        <w:ind w:left="1080"/>
      </w:pPr>
      <w:r>
        <w:rPr>
          <w:color w:val="231F20"/>
          <w:w w:val="95"/>
        </w:rPr>
        <w:t>Lien</w:t>
      </w:r>
      <w:r>
        <w:rPr>
          <w:color w:val="231F20"/>
          <w:spacing w:val="-2"/>
        </w:rPr>
        <w:t> </w:t>
      </w:r>
      <w:r>
        <w:rPr>
          <w:color w:val="231F20"/>
          <w:w w:val="95"/>
        </w:rPr>
        <w:t>immunité</w:t>
      </w:r>
      <w:r>
        <w:rPr>
          <w:color w:val="231F20"/>
          <w:spacing w:val="-2"/>
        </w:rPr>
        <w:t> </w:t>
      </w:r>
      <w:r>
        <w:rPr>
          <w:color w:val="231F20"/>
          <w:w w:val="95"/>
        </w:rPr>
        <w:t>et</w:t>
      </w:r>
      <w:r>
        <w:rPr>
          <w:color w:val="231F20"/>
          <w:spacing w:val="-2"/>
        </w:rPr>
        <w:t> </w:t>
      </w:r>
      <w:r>
        <w:rPr>
          <w:color w:val="231F20"/>
          <w:spacing w:val="-2"/>
          <w:w w:val="95"/>
        </w:rPr>
        <w:t>cerveau</w:t>
      </w:r>
    </w:p>
    <w:p>
      <w:pPr>
        <w:pStyle w:val="BodyText"/>
        <w:spacing w:line="307" w:lineRule="auto" w:before="135"/>
        <w:ind w:left="1080" w:right="740"/>
        <w:jc w:val="both"/>
        <w:rPr>
          <w:rFonts w:ascii="Arial" w:hAnsi="Arial"/>
        </w:rPr>
      </w:pPr>
      <w:r>
        <w:rPr>
          <w:rFonts w:ascii="Arial" w:hAnsi="Arial"/>
          <w:color w:val="231F20"/>
        </w:rPr>
        <w:t>Un</w:t>
      </w:r>
      <w:r>
        <w:rPr>
          <w:rFonts w:ascii="Arial" w:hAnsi="Arial"/>
          <w:color w:val="231F20"/>
          <w:spacing w:val="-9"/>
        </w:rPr>
        <w:t> </w:t>
      </w:r>
      <w:r>
        <w:rPr>
          <w:rFonts w:ascii="Arial" w:hAnsi="Arial"/>
          <w:color w:val="231F20"/>
        </w:rPr>
        <w:t>autre</w:t>
      </w:r>
      <w:r>
        <w:rPr>
          <w:rFonts w:ascii="Arial" w:hAnsi="Arial"/>
          <w:color w:val="231F20"/>
          <w:spacing w:val="-9"/>
        </w:rPr>
        <w:t> </w:t>
      </w:r>
      <w:r>
        <w:rPr>
          <w:rFonts w:ascii="Arial" w:hAnsi="Arial"/>
          <w:color w:val="231F20"/>
        </w:rPr>
        <w:t>effet</w:t>
      </w:r>
      <w:r>
        <w:rPr>
          <w:rFonts w:ascii="Arial" w:hAnsi="Arial"/>
          <w:color w:val="231F20"/>
          <w:spacing w:val="-9"/>
        </w:rPr>
        <w:t> </w:t>
      </w:r>
      <w:r>
        <w:rPr>
          <w:rFonts w:ascii="Arial" w:hAnsi="Arial"/>
          <w:color w:val="231F20"/>
        </w:rPr>
        <w:t>bien</w:t>
      </w:r>
      <w:r>
        <w:rPr>
          <w:rFonts w:ascii="Arial" w:hAnsi="Arial"/>
          <w:color w:val="231F20"/>
          <w:spacing w:val="-9"/>
        </w:rPr>
        <w:t> </w:t>
      </w:r>
      <w:r>
        <w:rPr>
          <w:rFonts w:ascii="Arial" w:hAnsi="Arial"/>
          <w:color w:val="231F20"/>
        </w:rPr>
        <w:t>documenté</w:t>
      </w:r>
      <w:r>
        <w:rPr>
          <w:rFonts w:ascii="Arial" w:hAnsi="Arial"/>
          <w:color w:val="231F20"/>
          <w:spacing w:val="-9"/>
        </w:rPr>
        <w:t> </w:t>
      </w:r>
      <w:r>
        <w:rPr>
          <w:rFonts w:ascii="Arial" w:hAnsi="Arial"/>
          <w:color w:val="231F20"/>
        </w:rPr>
        <w:t>du</w:t>
      </w:r>
      <w:r>
        <w:rPr>
          <w:rFonts w:ascii="Arial" w:hAnsi="Arial"/>
          <w:color w:val="231F20"/>
          <w:spacing w:val="-9"/>
        </w:rPr>
        <w:t> </w:t>
      </w:r>
      <w:r>
        <w:rPr>
          <w:rFonts w:ascii="Arial" w:hAnsi="Arial"/>
          <w:color w:val="231F20"/>
        </w:rPr>
        <w:t>stress</w:t>
      </w:r>
      <w:r>
        <w:rPr>
          <w:rFonts w:ascii="Arial" w:hAnsi="Arial"/>
          <w:color w:val="231F20"/>
          <w:spacing w:val="-9"/>
        </w:rPr>
        <w:t> </w:t>
      </w:r>
      <w:r>
        <w:rPr>
          <w:rFonts w:ascii="Arial" w:hAnsi="Arial"/>
          <w:color w:val="231F20"/>
        </w:rPr>
        <w:t>chronique</w:t>
      </w:r>
      <w:r>
        <w:rPr>
          <w:rFonts w:ascii="Arial" w:hAnsi="Arial"/>
          <w:color w:val="231F20"/>
          <w:spacing w:val="-9"/>
        </w:rPr>
        <w:t> </w:t>
      </w:r>
      <w:r>
        <w:rPr>
          <w:rFonts w:ascii="Arial" w:hAnsi="Arial"/>
          <w:color w:val="231F20"/>
        </w:rPr>
        <w:t>ou</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certains</w:t>
      </w:r>
      <w:r>
        <w:rPr>
          <w:rFonts w:ascii="Arial" w:hAnsi="Arial"/>
          <w:color w:val="231F20"/>
          <w:spacing w:val="-9"/>
        </w:rPr>
        <w:t> </w:t>
      </w:r>
      <w:r>
        <w:rPr>
          <w:rFonts w:ascii="Arial" w:hAnsi="Arial"/>
          <w:color w:val="231F20"/>
        </w:rPr>
        <w:t>évé- nements</w:t>
      </w:r>
      <w:r>
        <w:rPr>
          <w:rFonts w:ascii="Arial" w:hAnsi="Arial"/>
          <w:color w:val="231F20"/>
          <w:spacing w:val="-8"/>
        </w:rPr>
        <w:t> </w:t>
      </w:r>
      <w:r>
        <w:rPr>
          <w:rFonts w:ascii="Arial" w:hAnsi="Arial"/>
          <w:color w:val="231F20"/>
        </w:rPr>
        <w:t>traumatisants</w:t>
      </w:r>
      <w:r>
        <w:rPr>
          <w:rFonts w:ascii="Arial" w:hAnsi="Arial"/>
          <w:color w:val="231F20"/>
          <w:spacing w:val="-8"/>
        </w:rPr>
        <w:t> </w:t>
      </w:r>
      <w:r>
        <w:rPr>
          <w:rFonts w:ascii="Arial" w:hAnsi="Arial"/>
          <w:color w:val="231F20"/>
        </w:rPr>
        <w:t>est</w:t>
      </w:r>
      <w:r>
        <w:rPr>
          <w:rFonts w:ascii="Arial" w:hAnsi="Arial"/>
          <w:color w:val="231F20"/>
          <w:spacing w:val="-8"/>
        </w:rPr>
        <w:t> </w:t>
      </w:r>
      <w:r>
        <w:rPr>
          <w:rFonts w:ascii="Arial" w:hAnsi="Arial"/>
          <w:color w:val="231F20"/>
        </w:rPr>
        <w:t>le</w:t>
      </w:r>
      <w:r>
        <w:rPr>
          <w:rFonts w:ascii="Arial" w:hAnsi="Arial"/>
          <w:color w:val="231F20"/>
          <w:spacing w:val="-8"/>
        </w:rPr>
        <w:t> </w:t>
      </w:r>
      <w:r>
        <w:rPr>
          <w:rFonts w:ascii="Arial" w:hAnsi="Arial"/>
          <w:color w:val="231F20"/>
        </w:rPr>
        <w:t>développement</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certaines</w:t>
      </w:r>
      <w:r>
        <w:rPr>
          <w:rFonts w:ascii="Arial" w:hAnsi="Arial"/>
          <w:color w:val="231F20"/>
          <w:spacing w:val="-8"/>
        </w:rPr>
        <w:t> </w:t>
      </w:r>
      <w:r>
        <w:rPr>
          <w:rFonts w:ascii="Arial" w:hAnsi="Arial"/>
          <w:color w:val="231F20"/>
        </w:rPr>
        <w:t>pathologies </w:t>
      </w:r>
      <w:r>
        <w:rPr>
          <w:rFonts w:ascii="Arial" w:hAnsi="Arial"/>
          <w:color w:val="231F20"/>
          <w:w w:val="105"/>
        </w:rPr>
        <w:t>psychiques comme le trouble de stress post-traumatique (PTSD), l’anxiété et la dépression.</w:t>
      </w:r>
    </w:p>
    <w:p>
      <w:pPr>
        <w:pStyle w:val="BodyText"/>
        <w:spacing w:line="307" w:lineRule="auto" w:before="79"/>
        <w:ind w:left="1080" w:right="744"/>
        <w:jc w:val="both"/>
        <w:rPr>
          <w:rFonts w:ascii="Arial" w:hAnsi="Arial"/>
        </w:rPr>
      </w:pPr>
      <w:r>
        <w:rPr>
          <w:rFonts w:ascii="Arial" w:hAnsi="Arial"/>
          <w:color w:val="231F20"/>
        </w:rPr>
        <w:t>La</w:t>
      </w:r>
      <w:r>
        <w:rPr>
          <w:rFonts w:ascii="Arial" w:hAnsi="Arial"/>
          <w:color w:val="231F20"/>
          <w:spacing w:val="-8"/>
        </w:rPr>
        <w:t> </w:t>
      </w:r>
      <w:r>
        <w:rPr>
          <w:rFonts w:ascii="Arial" w:hAnsi="Arial"/>
          <w:color w:val="231F20"/>
        </w:rPr>
        <w:t>recherche</w:t>
      </w:r>
      <w:r>
        <w:rPr>
          <w:rFonts w:ascii="Arial" w:hAnsi="Arial"/>
          <w:color w:val="231F20"/>
          <w:spacing w:val="-8"/>
        </w:rPr>
        <w:t> </w:t>
      </w:r>
      <w:r>
        <w:rPr>
          <w:rFonts w:ascii="Arial" w:hAnsi="Arial"/>
          <w:color w:val="231F20"/>
        </w:rPr>
        <w:t>des</w:t>
      </w:r>
      <w:r>
        <w:rPr>
          <w:rFonts w:ascii="Arial" w:hAnsi="Arial"/>
          <w:color w:val="231F20"/>
          <w:spacing w:val="-8"/>
        </w:rPr>
        <w:t> </w:t>
      </w:r>
      <w:r>
        <w:rPr>
          <w:rFonts w:ascii="Arial" w:hAnsi="Arial"/>
          <w:color w:val="231F20"/>
        </w:rPr>
        <w:t>dernières</w:t>
      </w:r>
      <w:r>
        <w:rPr>
          <w:rFonts w:ascii="Arial" w:hAnsi="Arial"/>
          <w:color w:val="231F20"/>
          <w:spacing w:val="-8"/>
        </w:rPr>
        <w:t> </w:t>
      </w:r>
      <w:r>
        <w:rPr>
          <w:rFonts w:ascii="Arial" w:hAnsi="Arial"/>
          <w:color w:val="231F20"/>
        </w:rPr>
        <w:t>années</w:t>
      </w:r>
      <w:r>
        <w:rPr>
          <w:rFonts w:ascii="Arial" w:hAnsi="Arial"/>
          <w:color w:val="231F20"/>
          <w:spacing w:val="-8"/>
        </w:rPr>
        <w:t> </w:t>
      </w:r>
      <w:r>
        <w:rPr>
          <w:rFonts w:ascii="Arial" w:hAnsi="Arial"/>
          <w:color w:val="231F20"/>
        </w:rPr>
        <w:t>[laisse</w:t>
      </w:r>
      <w:r>
        <w:rPr>
          <w:rFonts w:ascii="Arial" w:hAnsi="Arial"/>
          <w:color w:val="231F20"/>
          <w:spacing w:val="-8"/>
        </w:rPr>
        <w:t> </w:t>
      </w:r>
      <w:r>
        <w:rPr>
          <w:rFonts w:ascii="Arial" w:hAnsi="Arial"/>
          <w:color w:val="231F20"/>
        </w:rPr>
        <w:t>penser]</w:t>
      </w:r>
      <w:r>
        <w:rPr>
          <w:rFonts w:ascii="Arial" w:hAnsi="Arial"/>
          <w:color w:val="231F20"/>
          <w:spacing w:val="-8"/>
        </w:rPr>
        <w:t> </w:t>
      </w:r>
      <w:r>
        <w:rPr>
          <w:rFonts w:ascii="Arial" w:hAnsi="Arial"/>
          <w:color w:val="231F20"/>
        </w:rPr>
        <w:t>que</w:t>
      </w:r>
      <w:r>
        <w:rPr>
          <w:rFonts w:ascii="Arial" w:hAnsi="Arial"/>
          <w:color w:val="231F20"/>
          <w:spacing w:val="-8"/>
        </w:rPr>
        <w:t> </w:t>
      </w:r>
      <w:r>
        <w:rPr>
          <w:rFonts w:ascii="Arial" w:hAnsi="Arial"/>
          <w:color w:val="231F20"/>
        </w:rPr>
        <w:t>ce</w:t>
      </w:r>
      <w:r>
        <w:rPr>
          <w:rFonts w:ascii="Arial" w:hAnsi="Arial"/>
          <w:color w:val="231F20"/>
          <w:spacing w:val="-8"/>
        </w:rPr>
        <w:t> </w:t>
      </w:r>
      <w:r>
        <w:rPr>
          <w:rFonts w:ascii="Arial" w:hAnsi="Arial"/>
          <w:color w:val="231F20"/>
        </w:rPr>
        <w:t>lien</w:t>
      </w:r>
      <w:r>
        <w:rPr>
          <w:rFonts w:ascii="Arial" w:hAnsi="Arial"/>
          <w:color w:val="231F20"/>
          <w:spacing w:val="-8"/>
        </w:rPr>
        <w:t> </w:t>
      </w:r>
      <w:r>
        <w:rPr>
          <w:rFonts w:ascii="Arial" w:hAnsi="Arial"/>
          <w:color w:val="231F20"/>
        </w:rPr>
        <w:t>entre</w:t>
      </w:r>
      <w:r>
        <w:rPr>
          <w:rFonts w:ascii="Arial" w:hAnsi="Arial"/>
          <w:color w:val="231F20"/>
          <w:spacing w:val="-8"/>
        </w:rPr>
        <w:t> </w:t>
      </w:r>
      <w:r>
        <w:rPr>
          <w:rFonts w:ascii="Arial" w:hAnsi="Arial"/>
          <w:color w:val="231F20"/>
        </w:rPr>
        <w:t>le stress et le cerveau fait également intervenir le système immunitaire:</w:t>
      </w:r>
      <w:r>
        <w:rPr>
          <w:rFonts w:ascii="Arial" w:hAnsi="Arial"/>
          <w:color w:val="231F20"/>
          <w:w w:val="105"/>
        </w:rPr>
        <w:t> il a été montré que le stress stimule la réponse inflammatoire et la </w:t>
      </w:r>
      <w:r>
        <w:rPr>
          <w:rFonts w:ascii="Arial" w:hAnsi="Arial"/>
          <w:color w:val="231F20"/>
        </w:rPr>
        <w:t>relâche de cytokines et que ces molécules sont [sollicitées] dans les </w:t>
      </w:r>
      <w:r>
        <w:rPr>
          <w:rFonts w:ascii="Arial" w:hAnsi="Arial"/>
          <w:color w:val="231F20"/>
          <w:w w:val="105"/>
        </w:rPr>
        <w:t>comportements de fuite face à un danger.</w:t>
      </w:r>
    </w:p>
    <w:p>
      <w:pPr>
        <w:pStyle w:val="BodyText"/>
        <w:spacing w:line="307" w:lineRule="auto" w:before="79"/>
        <w:ind w:left="1080" w:right="743"/>
        <w:jc w:val="both"/>
        <w:rPr>
          <w:rFonts w:ascii="Arial" w:hAnsi="Arial"/>
        </w:rPr>
      </w:pPr>
      <w:r>
        <w:rPr>
          <w:rFonts w:ascii="Arial" w:hAnsi="Arial"/>
          <w:color w:val="231F20"/>
        </w:rPr>
        <w:t>Chez</w:t>
      </w:r>
      <w:r>
        <w:rPr>
          <w:rFonts w:ascii="Arial" w:hAnsi="Arial"/>
          <w:color w:val="231F20"/>
          <w:spacing w:val="-12"/>
        </w:rPr>
        <w:t> </w:t>
      </w:r>
      <w:r>
        <w:rPr>
          <w:rFonts w:ascii="Arial" w:hAnsi="Arial"/>
          <w:color w:val="231F20"/>
        </w:rPr>
        <w:t>nos</w:t>
      </w:r>
      <w:r>
        <w:rPr>
          <w:rFonts w:ascii="Arial" w:hAnsi="Arial"/>
          <w:color w:val="231F20"/>
          <w:spacing w:val="-12"/>
        </w:rPr>
        <w:t> </w:t>
      </w:r>
      <w:r>
        <w:rPr>
          <w:rFonts w:ascii="Arial" w:hAnsi="Arial"/>
          <w:color w:val="231F20"/>
        </w:rPr>
        <w:t>lointains</w:t>
      </w:r>
      <w:r>
        <w:rPr>
          <w:rFonts w:ascii="Arial" w:hAnsi="Arial"/>
          <w:color w:val="231F20"/>
          <w:spacing w:val="-12"/>
        </w:rPr>
        <w:t> </w:t>
      </w:r>
      <w:r>
        <w:rPr>
          <w:rFonts w:ascii="Arial" w:hAnsi="Arial"/>
          <w:color w:val="231F20"/>
        </w:rPr>
        <w:t>ancêtres,</w:t>
      </w:r>
      <w:r>
        <w:rPr>
          <w:rFonts w:ascii="Arial" w:hAnsi="Arial"/>
          <w:color w:val="231F20"/>
          <w:spacing w:val="-12"/>
        </w:rPr>
        <w:t> </w:t>
      </w:r>
      <w:r>
        <w:rPr>
          <w:rFonts w:ascii="Arial" w:hAnsi="Arial"/>
          <w:color w:val="231F20"/>
        </w:rPr>
        <w:t>qui</w:t>
      </w:r>
      <w:r>
        <w:rPr>
          <w:rFonts w:ascii="Arial" w:hAnsi="Arial"/>
          <w:color w:val="231F20"/>
          <w:spacing w:val="-12"/>
        </w:rPr>
        <w:t> </w:t>
      </w:r>
      <w:r>
        <w:rPr>
          <w:rFonts w:ascii="Arial" w:hAnsi="Arial"/>
          <w:color w:val="231F20"/>
        </w:rPr>
        <w:t>vivaient</w:t>
      </w:r>
      <w:r>
        <w:rPr>
          <w:rFonts w:ascii="Arial" w:hAnsi="Arial"/>
          <w:color w:val="231F20"/>
          <w:spacing w:val="-11"/>
        </w:rPr>
        <w:t> </w:t>
      </w:r>
      <w:r>
        <w:rPr>
          <w:rFonts w:ascii="Arial" w:hAnsi="Arial"/>
          <w:color w:val="231F20"/>
        </w:rPr>
        <w:t>dans</w:t>
      </w:r>
      <w:r>
        <w:rPr>
          <w:rFonts w:ascii="Arial" w:hAnsi="Arial"/>
          <w:color w:val="231F20"/>
          <w:spacing w:val="-12"/>
        </w:rPr>
        <w:t> </w:t>
      </w:r>
      <w:r>
        <w:rPr>
          <w:rFonts w:ascii="Arial" w:hAnsi="Arial"/>
          <w:color w:val="231F20"/>
        </w:rPr>
        <w:t>un</w:t>
      </w:r>
      <w:r>
        <w:rPr>
          <w:rFonts w:ascii="Arial" w:hAnsi="Arial"/>
          <w:color w:val="231F20"/>
          <w:spacing w:val="-12"/>
        </w:rPr>
        <w:t> </w:t>
      </w:r>
      <w:r>
        <w:rPr>
          <w:rFonts w:ascii="Arial" w:hAnsi="Arial"/>
          <w:color w:val="231F20"/>
        </w:rPr>
        <w:t>environnement</w:t>
      </w:r>
      <w:r>
        <w:rPr>
          <w:rFonts w:ascii="Arial" w:hAnsi="Arial"/>
          <w:color w:val="231F20"/>
          <w:spacing w:val="-12"/>
        </w:rPr>
        <w:t> </w:t>
      </w:r>
      <w:r>
        <w:rPr>
          <w:rFonts w:ascii="Arial" w:hAnsi="Arial"/>
          <w:color w:val="231F20"/>
        </w:rPr>
        <w:t>extrê- mement précaire, cette réponse de fuite stimulée par la réponse inflammatoire jouait un rôle crucial pour éviter les nombreux dangers qui les menaçaient. À notre époque, beaucoup plus sécuritaire, ces comportements d’évitement deviennent cependant pathologiques et peuvent</w:t>
      </w:r>
      <w:r>
        <w:rPr>
          <w:rFonts w:ascii="Arial" w:hAnsi="Arial"/>
          <w:color w:val="231F20"/>
          <w:spacing w:val="-5"/>
        </w:rPr>
        <w:t> </w:t>
      </w:r>
      <w:r>
        <w:rPr>
          <w:rFonts w:ascii="Arial" w:hAnsi="Arial"/>
          <w:color w:val="231F20"/>
        </w:rPr>
        <w:t>favoriser</w:t>
      </w:r>
      <w:r>
        <w:rPr>
          <w:rFonts w:ascii="Arial" w:hAnsi="Arial"/>
          <w:color w:val="231F20"/>
          <w:spacing w:val="-4"/>
        </w:rPr>
        <w:t> </w:t>
      </w:r>
      <w:r>
        <w:rPr>
          <w:rFonts w:ascii="Arial" w:hAnsi="Arial"/>
          <w:color w:val="231F20"/>
        </w:rPr>
        <w:t>le</w:t>
      </w:r>
      <w:r>
        <w:rPr>
          <w:rFonts w:ascii="Arial" w:hAnsi="Arial"/>
          <w:color w:val="231F20"/>
          <w:spacing w:val="-4"/>
        </w:rPr>
        <w:t> </w:t>
      </w:r>
      <w:r>
        <w:rPr>
          <w:rFonts w:ascii="Arial" w:hAnsi="Arial"/>
          <w:color w:val="231F20"/>
        </w:rPr>
        <w:t>développement</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troubles</w:t>
      </w:r>
      <w:r>
        <w:rPr>
          <w:rFonts w:ascii="Arial" w:hAnsi="Arial"/>
          <w:color w:val="231F20"/>
          <w:spacing w:val="-4"/>
        </w:rPr>
        <w:t> </w:t>
      </w:r>
      <w:r>
        <w:rPr>
          <w:rFonts w:ascii="Arial" w:hAnsi="Arial"/>
          <w:color w:val="231F20"/>
        </w:rPr>
        <w:t>comme</w:t>
      </w:r>
      <w:r>
        <w:rPr>
          <w:rFonts w:ascii="Arial" w:hAnsi="Arial"/>
          <w:color w:val="231F20"/>
          <w:spacing w:val="-5"/>
        </w:rPr>
        <w:t> </w:t>
      </w:r>
      <w:r>
        <w:rPr>
          <w:rFonts w:ascii="Arial" w:hAnsi="Arial"/>
          <w:color w:val="231F20"/>
        </w:rPr>
        <w:t>l’anxiété</w:t>
      </w:r>
      <w:r>
        <w:rPr>
          <w:rFonts w:ascii="Arial" w:hAnsi="Arial"/>
          <w:color w:val="231F20"/>
          <w:spacing w:val="-4"/>
        </w:rPr>
        <w:t> </w:t>
      </w:r>
      <w:r>
        <w:rPr>
          <w:rFonts w:ascii="Arial" w:hAnsi="Arial"/>
          <w:color w:val="231F20"/>
        </w:rPr>
        <w:t>et</w:t>
      </w:r>
      <w:r>
        <w:rPr>
          <w:rFonts w:ascii="Arial" w:hAnsi="Arial"/>
          <w:color w:val="231F20"/>
          <w:spacing w:val="-4"/>
        </w:rPr>
        <w:t> </w:t>
      </w:r>
      <w:r>
        <w:rPr>
          <w:rFonts w:ascii="Arial" w:hAnsi="Arial"/>
          <w:color w:val="231F20"/>
          <w:spacing w:val="-5"/>
        </w:rPr>
        <w:t>la</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9"/>
        </w:rPr>
      </w:pPr>
      <w:r>
        <w:rPr/>
        <w:pict>
          <v:shape style="position:absolute;margin-left:62.5pt;margin-top:17.892967pt;width:287.5pt;height:.1pt;mso-position-horizontal-relative:page;mso-position-vertical-relative:paragraph;z-index:-15686656;mso-wrap-distance-left:0;mso-wrap-distance-right:0" id="docshape606" coordorigin="1250,358" coordsize="5750,0" path="m1250,358l7000,358e" filled="false" stroked="true" strokeweight=".25pt" strokecolor="#231f20">
            <v:path arrowok="t"/>
            <v:stroke dashstyle="shortdot"/>
            <w10:wrap type="topAndBottom"/>
          </v:shape>
        </w:pict>
      </w:r>
    </w:p>
    <w:p>
      <w:pPr>
        <w:tabs>
          <w:tab w:pos="829" w:val="left" w:leader="none"/>
        </w:tabs>
        <w:spacing w:line="295" w:lineRule="auto" w:before="135"/>
        <w:ind w:left="829" w:right="500" w:hanging="406"/>
        <w:jc w:val="left"/>
        <w:rPr>
          <w:rFonts w:ascii="Arial"/>
          <w:sz w:val="12"/>
        </w:rPr>
      </w:pPr>
      <w:r>
        <w:rPr>
          <w:rFonts w:ascii="Arial"/>
          <w:color w:val="231F20"/>
          <w:spacing w:val="-6"/>
          <w:w w:val="105"/>
          <w:sz w:val="12"/>
        </w:rPr>
        <w:t>22</w:t>
      </w:r>
      <w:r>
        <w:rPr>
          <w:rFonts w:ascii="Arial"/>
          <w:color w:val="231F20"/>
          <w:sz w:val="12"/>
        </w:rPr>
        <w:tab/>
        <w:t>Glaser,</w:t>
      </w:r>
      <w:r>
        <w:rPr>
          <w:rFonts w:ascii="Arial"/>
          <w:color w:val="231F20"/>
          <w:spacing w:val="-6"/>
          <w:sz w:val="12"/>
        </w:rPr>
        <w:t> </w:t>
      </w:r>
      <w:r>
        <w:rPr>
          <w:rFonts w:ascii="Arial"/>
          <w:color w:val="231F20"/>
          <w:sz w:val="12"/>
        </w:rPr>
        <w:t>R.</w:t>
      </w:r>
      <w:r>
        <w:rPr>
          <w:rFonts w:ascii="Arial"/>
          <w:color w:val="231F20"/>
          <w:spacing w:val="-6"/>
          <w:sz w:val="12"/>
        </w:rPr>
        <w:t> </w:t>
      </w:r>
      <w:r>
        <w:rPr>
          <w:rFonts w:ascii="Arial"/>
          <w:color w:val="231F20"/>
          <w:sz w:val="12"/>
        </w:rPr>
        <w:t>et</w:t>
      </w:r>
      <w:r>
        <w:rPr>
          <w:rFonts w:ascii="Arial"/>
          <w:color w:val="231F20"/>
          <w:spacing w:val="-6"/>
          <w:sz w:val="12"/>
        </w:rPr>
        <w:t> </w:t>
      </w:r>
      <w:r>
        <w:rPr>
          <w:rFonts w:ascii="Arial"/>
          <w:color w:val="231F20"/>
          <w:sz w:val="12"/>
        </w:rPr>
        <w:t>Kiecolt-Glaser,</w:t>
      </w:r>
      <w:r>
        <w:rPr>
          <w:rFonts w:ascii="Arial"/>
          <w:color w:val="231F20"/>
          <w:spacing w:val="-6"/>
          <w:sz w:val="12"/>
        </w:rPr>
        <w:t> </w:t>
      </w:r>
      <w:r>
        <w:rPr>
          <w:rFonts w:ascii="Arial"/>
          <w:color w:val="231F20"/>
          <w:sz w:val="12"/>
        </w:rPr>
        <w:t>J.</w:t>
      </w:r>
      <w:r>
        <w:rPr>
          <w:rFonts w:ascii="Arial"/>
          <w:color w:val="231F20"/>
          <w:spacing w:val="-6"/>
          <w:sz w:val="12"/>
        </w:rPr>
        <w:t> </w:t>
      </w:r>
      <w:r>
        <w:rPr>
          <w:rFonts w:ascii="Arial"/>
          <w:color w:val="231F20"/>
          <w:sz w:val="12"/>
        </w:rPr>
        <w:t>K.</w:t>
      </w:r>
      <w:r>
        <w:rPr>
          <w:rFonts w:ascii="Arial"/>
          <w:color w:val="231F20"/>
          <w:spacing w:val="-6"/>
          <w:sz w:val="12"/>
        </w:rPr>
        <w:t> </w:t>
      </w:r>
      <w:r>
        <w:rPr>
          <w:rFonts w:ascii="Arial"/>
          <w:color w:val="231F20"/>
          <w:sz w:val="12"/>
        </w:rPr>
        <w:t>(2005).</w:t>
      </w:r>
      <w:r>
        <w:rPr>
          <w:rFonts w:ascii="Arial"/>
          <w:color w:val="231F20"/>
          <w:spacing w:val="-6"/>
          <w:sz w:val="12"/>
        </w:rPr>
        <w:t> </w:t>
      </w:r>
      <w:r>
        <w:rPr>
          <w:rFonts w:ascii="Arial"/>
          <w:color w:val="231F20"/>
          <w:sz w:val="12"/>
        </w:rPr>
        <w:t>Stress-induced</w:t>
      </w:r>
      <w:r>
        <w:rPr>
          <w:rFonts w:ascii="Arial"/>
          <w:color w:val="231F20"/>
          <w:spacing w:val="-6"/>
          <w:sz w:val="12"/>
        </w:rPr>
        <w:t> </w:t>
      </w:r>
      <w:r>
        <w:rPr>
          <w:rFonts w:ascii="Arial"/>
          <w:color w:val="231F20"/>
          <w:sz w:val="12"/>
        </w:rPr>
        <w:t>immune</w:t>
      </w:r>
      <w:r>
        <w:rPr>
          <w:rFonts w:ascii="Arial"/>
          <w:color w:val="231F20"/>
          <w:spacing w:val="-6"/>
          <w:sz w:val="12"/>
        </w:rPr>
        <w:t> </w:t>
      </w:r>
      <w:r>
        <w:rPr>
          <w:rFonts w:ascii="Arial"/>
          <w:color w:val="231F20"/>
          <w:sz w:val="12"/>
        </w:rPr>
        <w:t>dysfunction</w:t>
      </w:r>
      <w:r>
        <w:rPr>
          <w:rFonts w:ascii="Arial"/>
          <w:color w:val="231F20"/>
          <w:spacing w:val="-22"/>
          <w:sz w:val="12"/>
        </w:rPr>
        <w:t> </w:t>
      </w:r>
      <w:r>
        <w:rPr>
          <w:rFonts w:ascii="Arial"/>
          <w:color w:val="231F20"/>
          <w:sz w:val="12"/>
        </w:rPr>
        <w:t>:</w:t>
      </w:r>
      <w:r>
        <w:rPr>
          <w:rFonts w:ascii="Arial"/>
          <w:color w:val="231F20"/>
          <w:spacing w:val="-6"/>
          <w:sz w:val="12"/>
        </w:rPr>
        <w:t> </w:t>
      </w:r>
      <w:r>
        <w:rPr>
          <w:rFonts w:ascii="Arial"/>
          <w:color w:val="231F20"/>
          <w:sz w:val="12"/>
        </w:rPr>
        <w:t>Implications</w:t>
      </w:r>
      <w:r>
        <w:rPr>
          <w:rFonts w:ascii="Arial"/>
          <w:color w:val="231F20"/>
          <w:spacing w:val="-6"/>
          <w:sz w:val="12"/>
        </w:rPr>
        <w:t> </w:t>
      </w:r>
      <w:r>
        <w:rPr>
          <w:rFonts w:ascii="Arial"/>
          <w:color w:val="231F20"/>
          <w:sz w:val="12"/>
        </w:rPr>
        <w:t>for</w:t>
      </w:r>
      <w:r>
        <w:rPr>
          <w:rFonts w:ascii="Arial"/>
          <w:color w:val="231F20"/>
          <w:spacing w:val="-6"/>
          <w:sz w:val="12"/>
        </w:rPr>
        <w:t> </w:t>
      </w:r>
      <w:r>
        <w:rPr>
          <w:rFonts w:ascii="Arial"/>
          <w:color w:val="231F20"/>
          <w:sz w:val="12"/>
        </w:rPr>
        <w:t>health,</w:t>
      </w:r>
      <w:r>
        <w:rPr>
          <w:rFonts w:ascii="Arial"/>
          <w:color w:val="231F20"/>
          <w:spacing w:val="-6"/>
          <w:sz w:val="12"/>
        </w:rPr>
        <w:t> </w:t>
      </w:r>
      <w:r>
        <w:rPr>
          <w:rFonts w:ascii="Arial"/>
          <w:i/>
          <w:color w:val="231F20"/>
          <w:sz w:val="12"/>
        </w:rPr>
        <w:t>Nature</w:t>
      </w:r>
      <w:r>
        <w:rPr>
          <w:rFonts w:ascii="Arial"/>
          <w:i/>
          <w:color w:val="231F20"/>
          <w:spacing w:val="40"/>
          <w:w w:val="105"/>
          <w:sz w:val="12"/>
        </w:rPr>
        <w:t> </w:t>
      </w:r>
      <w:r>
        <w:rPr>
          <w:rFonts w:ascii="Arial"/>
          <w:i/>
          <w:color w:val="231F20"/>
          <w:w w:val="105"/>
          <w:sz w:val="12"/>
        </w:rPr>
        <w:t>Reviews</w:t>
      </w:r>
      <w:r>
        <w:rPr>
          <w:rFonts w:ascii="Arial"/>
          <w:i/>
          <w:color w:val="231F20"/>
          <w:spacing w:val="-9"/>
          <w:w w:val="105"/>
          <w:sz w:val="12"/>
        </w:rPr>
        <w:t> </w:t>
      </w:r>
      <w:r>
        <w:rPr>
          <w:rFonts w:ascii="Arial"/>
          <w:i/>
          <w:color w:val="231F20"/>
          <w:w w:val="105"/>
          <w:sz w:val="12"/>
        </w:rPr>
        <w:t>Immunology</w:t>
      </w:r>
      <w:r>
        <w:rPr>
          <w:rFonts w:ascii="Arial"/>
          <w:color w:val="231F20"/>
          <w:w w:val="105"/>
          <w:sz w:val="12"/>
        </w:rPr>
        <w:t>,</w:t>
      </w:r>
      <w:r>
        <w:rPr>
          <w:rFonts w:ascii="Arial"/>
          <w:color w:val="231F20"/>
          <w:spacing w:val="-9"/>
          <w:w w:val="105"/>
          <w:sz w:val="12"/>
        </w:rPr>
        <w:t> </w:t>
      </w:r>
      <w:r>
        <w:rPr>
          <w:rFonts w:ascii="Arial"/>
          <w:i/>
          <w:color w:val="231F20"/>
          <w:w w:val="105"/>
          <w:sz w:val="12"/>
        </w:rPr>
        <w:t>5</w:t>
      </w:r>
      <w:r>
        <w:rPr>
          <w:rFonts w:ascii="Arial"/>
          <w:color w:val="231F20"/>
          <w:w w:val="105"/>
          <w:sz w:val="12"/>
        </w:rPr>
        <w:t>,</w:t>
      </w:r>
      <w:r>
        <w:rPr>
          <w:rFonts w:ascii="Arial"/>
          <w:color w:val="231F20"/>
          <w:spacing w:val="-9"/>
          <w:w w:val="105"/>
          <w:sz w:val="12"/>
        </w:rPr>
        <w:t> </w:t>
      </w:r>
      <w:r>
        <w:rPr>
          <w:rFonts w:ascii="Arial"/>
          <w:color w:val="231F20"/>
          <w:w w:val="105"/>
          <w:sz w:val="12"/>
        </w:rPr>
        <w:t>243-251.</w:t>
      </w:r>
    </w:p>
    <w:p>
      <w:pPr>
        <w:spacing w:after="0" w:line="295" w:lineRule="auto"/>
        <w:jc w:val="left"/>
        <w:rPr>
          <w:rFonts w:ascii="Arial"/>
          <w:sz w:val="12"/>
        </w:rPr>
        <w:sectPr>
          <w:footerReference w:type="default" r:id="rId173"/>
          <w:pgSz w:w="8640" w:h="12960"/>
          <w:pgMar w:footer="424" w:header="0" w:top="520" w:bottom="62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BodyText"/>
        <w:spacing w:line="307" w:lineRule="auto" w:before="139"/>
        <w:ind w:left="1470" w:right="356"/>
        <w:jc w:val="both"/>
        <w:rPr>
          <w:rFonts w:ascii="Arial" w:hAnsi="Arial"/>
        </w:rPr>
      </w:pPr>
      <w:r>
        <w:rPr/>
        <w:pict>
          <v:shape style="position:absolute;margin-left:82.000008pt;margin-top:-3.827127pt;width:287.5pt;height:426.75pt;mso-position-horizontal-relative:page;mso-position-vertical-relative:paragraph;z-index:-20965888" id="docshape608" coordorigin="1640,-77" coordsize="5750,8535" path="m7390,-77l1640,-77,1640,1673,1640,1798,1640,8458,7390,8458,7390,1673,7390,-77xe" filled="true" fillcolor="#e2e3e4" stroked="false">
            <v:path arrowok="t"/>
            <v:fill type="solid"/>
            <w10:wrap type="none"/>
          </v:shape>
        </w:pict>
      </w:r>
      <w:r>
        <w:rPr>
          <w:rFonts w:ascii="Arial" w:hAnsi="Arial"/>
          <w:color w:val="231F20"/>
        </w:rPr>
        <w:t>dépression.</w:t>
      </w:r>
      <w:r>
        <w:rPr>
          <w:rFonts w:ascii="Arial" w:hAnsi="Arial"/>
          <w:color w:val="231F20"/>
          <w:spacing w:val="-6"/>
        </w:rPr>
        <w:t> </w:t>
      </w:r>
      <w:r>
        <w:rPr>
          <w:rFonts w:ascii="Arial" w:hAnsi="Arial"/>
          <w:color w:val="231F20"/>
        </w:rPr>
        <w:t>En</w:t>
      </w:r>
      <w:r>
        <w:rPr>
          <w:rFonts w:ascii="Arial" w:hAnsi="Arial"/>
          <w:color w:val="231F20"/>
          <w:spacing w:val="-6"/>
        </w:rPr>
        <w:t> </w:t>
      </w:r>
      <w:r>
        <w:rPr>
          <w:rFonts w:ascii="Arial" w:hAnsi="Arial"/>
          <w:color w:val="231F20"/>
        </w:rPr>
        <w:t>ce</w:t>
      </w:r>
      <w:r>
        <w:rPr>
          <w:rFonts w:ascii="Arial" w:hAnsi="Arial"/>
          <w:color w:val="231F20"/>
          <w:spacing w:val="-6"/>
        </w:rPr>
        <w:t> </w:t>
      </w:r>
      <w:r>
        <w:rPr>
          <w:rFonts w:ascii="Arial" w:hAnsi="Arial"/>
          <w:color w:val="231F20"/>
        </w:rPr>
        <w:t>sens,</w:t>
      </w:r>
      <w:r>
        <w:rPr>
          <w:rFonts w:ascii="Arial" w:hAnsi="Arial"/>
          <w:color w:val="231F20"/>
          <w:spacing w:val="-6"/>
        </w:rPr>
        <w:t> </w:t>
      </w:r>
      <w:r>
        <w:rPr>
          <w:rFonts w:ascii="Arial" w:hAnsi="Arial"/>
          <w:color w:val="231F20"/>
        </w:rPr>
        <w:t>il</w:t>
      </w:r>
      <w:r>
        <w:rPr>
          <w:rFonts w:ascii="Arial" w:hAnsi="Arial"/>
          <w:color w:val="231F20"/>
          <w:spacing w:val="-6"/>
        </w:rPr>
        <w:t> </w:t>
      </w:r>
      <w:r>
        <w:rPr>
          <w:rFonts w:ascii="Arial" w:hAnsi="Arial"/>
          <w:color w:val="231F20"/>
        </w:rPr>
        <w:t>est</w:t>
      </w:r>
      <w:r>
        <w:rPr>
          <w:rFonts w:ascii="Arial" w:hAnsi="Arial"/>
          <w:color w:val="231F20"/>
          <w:spacing w:val="-6"/>
        </w:rPr>
        <w:t> </w:t>
      </w:r>
      <w:r>
        <w:rPr>
          <w:rFonts w:ascii="Arial" w:hAnsi="Arial"/>
          <w:color w:val="231F20"/>
        </w:rPr>
        <w:t>intéressant</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noter</w:t>
      </w:r>
      <w:r>
        <w:rPr>
          <w:rFonts w:ascii="Arial" w:hAnsi="Arial"/>
          <w:color w:val="231F20"/>
          <w:spacing w:val="-6"/>
        </w:rPr>
        <w:t> </w:t>
      </w:r>
      <w:r>
        <w:rPr>
          <w:rFonts w:ascii="Arial" w:hAnsi="Arial"/>
          <w:color w:val="231F20"/>
        </w:rPr>
        <w:t>que</w:t>
      </w:r>
      <w:r>
        <w:rPr>
          <w:rFonts w:ascii="Arial" w:hAnsi="Arial"/>
          <w:color w:val="231F20"/>
          <w:spacing w:val="-6"/>
        </w:rPr>
        <w:t> </w:t>
      </w:r>
      <w:r>
        <w:rPr>
          <w:rFonts w:ascii="Arial" w:hAnsi="Arial"/>
          <w:color w:val="231F20"/>
        </w:rPr>
        <w:t>l’administration à des patients atteints de dépression d’un anticorps neutralisant la molécule inflammatoire TNF alpha provoque une amélioration </w:t>
      </w:r>
      <w:r>
        <w:rPr>
          <w:rFonts w:ascii="Arial" w:hAnsi="Arial"/>
          <w:color w:val="231F20"/>
        </w:rPr>
        <w:t>signifi- cative des symptômes dépressifs. Il y a donc [manifestement] un lien entre</w:t>
      </w:r>
      <w:r>
        <w:rPr>
          <w:rFonts w:ascii="Arial" w:hAnsi="Arial"/>
          <w:color w:val="231F20"/>
          <w:spacing w:val="-7"/>
        </w:rPr>
        <w:t> </w:t>
      </w:r>
      <w:r>
        <w:rPr>
          <w:rFonts w:ascii="Arial" w:hAnsi="Arial"/>
          <w:color w:val="231F20"/>
        </w:rPr>
        <w:t>la</w:t>
      </w:r>
      <w:r>
        <w:rPr>
          <w:rFonts w:ascii="Arial" w:hAnsi="Arial"/>
          <w:color w:val="231F20"/>
          <w:spacing w:val="-7"/>
        </w:rPr>
        <w:t> </w:t>
      </w:r>
      <w:r>
        <w:rPr>
          <w:rFonts w:ascii="Arial" w:hAnsi="Arial"/>
          <w:color w:val="231F20"/>
        </w:rPr>
        <w:t>réponse</w:t>
      </w:r>
      <w:r>
        <w:rPr>
          <w:rFonts w:ascii="Arial" w:hAnsi="Arial"/>
          <w:color w:val="231F20"/>
          <w:spacing w:val="-7"/>
        </w:rPr>
        <w:t> </w:t>
      </w:r>
      <w:r>
        <w:rPr>
          <w:rFonts w:ascii="Arial" w:hAnsi="Arial"/>
          <w:color w:val="231F20"/>
        </w:rPr>
        <w:t>immunitaire</w:t>
      </w:r>
      <w:r>
        <w:rPr>
          <w:rFonts w:ascii="Arial" w:hAnsi="Arial"/>
          <w:color w:val="231F20"/>
          <w:spacing w:val="-7"/>
        </w:rPr>
        <w:t> </w:t>
      </w:r>
      <w:r>
        <w:rPr>
          <w:rFonts w:ascii="Arial" w:hAnsi="Arial"/>
          <w:color w:val="231F20"/>
        </w:rPr>
        <w:t>engendrée</w:t>
      </w:r>
      <w:r>
        <w:rPr>
          <w:rFonts w:ascii="Arial" w:hAnsi="Arial"/>
          <w:color w:val="231F20"/>
          <w:spacing w:val="-7"/>
        </w:rPr>
        <w:t> </w:t>
      </w:r>
      <w:r>
        <w:rPr>
          <w:rFonts w:ascii="Arial" w:hAnsi="Arial"/>
          <w:color w:val="231F20"/>
        </w:rPr>
        <w:t>par</w:t>
      </w:r>
      <w:r>
        <w:rPr>
          <w:rFonts w:ascii="Arial" w:hAnsi="Arial"/>
          <w:color w:val="231F20"/>
          <w:spacing w:val="-7"/>
        </w:rPr>
        <w:t> </w:t>
      </w:r>
      <w:r>
        <w:rPr>
          <w:rFonts w:ascii="Arial" w:hAnsi="Arial"/>
          <w:color w:val="231F20"/>
        </w:rPr>
        <w:t>le</w:t>
      </w:r>
      <w:r>
        <w:rPr>
          <w:rFonts w:ascii="Arial" w:hAnsi="Arial"/>
          <w:color w:val="231F20"/>
          <w:spacing w:val="-7"/>
        </w:rPr>
        <w:t> </w:t>
      </w:r>
      <w:r>
        <w:rPr>
          <w:rFonts w:ascii="Arial" w:hAnsi="Arial"/>
          <w:color w:val="231F20"/>
        </w:rPr>
        <w:t>stress</w:t>
      </w:r>
      <w:r>
        <w:rPr>
          <w:rFonts w:ascii="Arial" w:hAnsi="Arial"/>
          <w:color w:val="231F20"/>
          <w:spacing w:val="-7"/>
        </w:rPr>
        <w:t> </w:t>
      </w:r>
      <w:r>
        <w:rPr>
          <w:rFonts w:ascii="Arial" w:hAnsi="Arial"/>
          <w:color w:val="231F20"/>
        </w:rPr>
        <w:t>et</w:t>
      </w:r>
      <w:r>
        <w:rPr>
          <w:rFonts w:ascii="Arial" w:hAnsi="Arial"/>
          <w:color w:val="231F20"/>
          <w:spacing w:val="-7"/>
        </w:rPr>
        <w:t> </w:t>
      </w:r>
      <w:r>
        <w:rPr>
          <w:rFonts w:ascii="Arial" w:hAnsi="Arial"/>
          <w:color w:val="231F20"/>
        </w:rPr>
        <w:t>l’apparition</w:t>
      </w:r>
      <w:r>
        <w:rPr>
          <w:rFonts w:ascii="Arial" w:hAnsi="Arial"/>
          <w:color w:val="231F20"/>
          <w:spacing w:val="-7"/>
        </w:rPr>
        <w:t> </w:t>
      </w:r>
      <w:r>
        <w:rPr>
          <w:rFonts w:ascii="Arial" w:hAnsi="Arial"/>
          <w:color w:val="231F20"/>
        </w:rPr>
        <w:t>de troubles</w:t>
      </w:r>
      <w:r>
        <w:rPr>
          <w:rFonts w:ascii="Arial" w:hAnsi="Arial"/>
          <w:color w:val="231F20"/>
          <w:spacing w:val="-3"/>
        </w:rPr>
        <w:t> </w:t>
      </w:r>
      <w:r>
        <w:rPr>
          <w:rFonts w:ascii="Arial" w:hAnsi="Arial"/>
          <w:color w:val="231F20"/>
        </w:rPr>
        <w:t>psychiques.</w:t>
      </w:r>
    </w:p>
    <w:p>
      <w:pPr>
        <w:pStyle w:val="BodyText"/>
        <w:spacing w:before="8"/>
        <w:rPr>
          <w:rFonts w:ascii="Arial"/>
          <w:sz w:val="21"/>
        </w:rPr>
      </w:pPr>
    </w:p>
    <w:p>
      <w:pPr>
        <w:pStyle w:val="Heading6"/>
        <w:ind w:left="1470"/>
      </w:pPr>
      <w:r>
        <w:rPr>
          <w:color w:val="231F20"/>
          <w:w w:val="95"/>
        </w:rPr>
        <w:t>Mitochondries</w:t>
      </w:r>
      <w:r>
        <w:rPr>
          <w:color w:val="231F20"/>
          <w:spacing w:val="-2"/>
        </w:rPr>
        <w:t> fissurées</w:t>
      </w:r>
    </w:p>
    <w:p>
      <w:pPr>
        <w:pStyle w:val="BodyText"/>
        <w:spacing w:line="307" w:lineRule="auto" w:before="134"/>
        <w:ind w:left="1470" w:right="352"/>
        <w:jc w:val="both"/>
        <w:rPr>
          <w:rFonts w:ascii="Arial" w:hAnsi="Arial"/>
        </w:rPr>
      </w:pPr>
      <w:r>
        <w:rPr>
          <w:rFonts w:ascii="Arial" w:hAnsi="Arial"/>
          <w:color w:val="231F20"/>
        </w:rPr>
        <w:t>Une étude très intéressante [indique] que ce lien entre l’immunité et les troubles psychiques générés par le stress chronique pourrait faire intervenir les mitochondries, les centrales énergétiques de nos cel- </w:t>
      </w:r>
      <w:r>
        <w:rPr>
          <w:rFonts w:ascii="Arial" w:hAnsi="Arial"/>
          <w:color w:val="231F20"/>
          <w:spacing w:val="-2"/>
        </w:rPr>
        <w:t>lules23.</w:t>
      </w:r>
      <w:r>
        <w:rPr>
          <w:rFonts w:ascii="Arial" w:hAnsi="Arial"/>
          <w:color w:val="231F20"/>
          <w:spacing w:val="-9"/>
        </w:rPr>
        <w:t> </w:t>
      </w:r>
      <w:r>
        <w:rPr>
          <w:rFonts w:ascii="Arial" w:hAnsi="Arial"/>
          <w:color w:val="231F20"/>
          <w:spacing w:val="-2"/>
        </w:rPr>
        <w:t>Puisque</w:t>
      </w:r>
      <w:r>
        <w:rPr>
          <w:rFonts w:ascii="Arial" w:hAnsi="Arial"/>
          <w:color w:val="231F20"/>
          <w:spacing w:val="-9"/>
        </w:rPr>
        <w:t> </w:t>
      </w:r>
      <w:r>
        <w:rPr>
          <w:rFonts w:ascii="Arial" w:hAnsi="Arial"/>
          <w:color w:val="231F20"/>
          <w:spacing w:val="-2"/>
        </w:rPr>
        <w:t>le</w:t>
      </w:r>
      <w:r>
        <w:rPr>
          <w:rFonts w:ascii="Arial" w:hAnsi="Arial"/>
          <w:color w:val="231F20"/>
          <w:spacing w:val="-9"/>
        </w:rPr>
        <w:t> </w:t>
      </w:r>
      <w:r>
        <w:rPr>
          <w:rFonts w:ascii="Arial" w:hAnsi="Arial"/>
          <w:color w:val="231F20"/>
          <w:spacing w:val="-2"/>
        </w:rPr>
        <w:t>stress</w:t>
      </w:r>
      <w:r>
        <w:rPr>
          <w:rFonts w:ascii="Arial" w:hAnsi="Arial"/>
          <w:color w:val="231F20"/>
          <w:spacing w:val="-9"/>
        </w:rPr>
        <w:t> </w:t>
      </w:r>
      <w:r>
        <w:rPr>
          <w:rFonts w:ascii="Arial" w:hAnsi="Arial"/>
          <w:color w:val="231F20"/>
          <w:spacing w:val="-2"/>
        </w:rPr>
        <w:t>chronique</w:t>
      </w:r>
      <w:r>
        <w:rPr>
          <w:rFonts w:ascii="Arial" w:hAnsi="Arial"/>
          <w:color w:val="231F20"/>
          <w:spacing w:val="-9"/>
        </w:rPr>
        <w:t> </w:t>
      </w:r>
      <w:r>
        <w:rPr>
          <w:rFonts w:ascii="Arial" w:hAnsi="Arial"/>
          <w:color w:val="231F20"/>
          <w:spacing w:val="-2"/>
        </w:rPr>
        <w:t>perturbe</w:t>
      </w:r>
      <w:r>
        <w:rPr>
          <w:rFonts w:ascii="Arial" w:hAnsi="Arial"/>
          <w:color w:val="231F20"/>
          <w:spacing w:val="-9"/>
        </w:rPr>
        <w:t> </w:t>
      </w:r>
      <w:r>
        <w:rPr>
          <w:rFonts w:ascii="Arial" w:hAnsi="Arial"/>
          <w:color w:val="231F20"/>
          <w:spacing w:val="-2"/>
        </w:rPr>
        <w:t>l’immunité,</w:t>
      </w:r>
      <w:r>
        <w:rPr>
          <w:rFonts w:ascii="Arial" w:hAnsi="Arial"/>
          <w:color w:val="231F20"/>
          <w:spacing w:val="-9"/>
        </w:rPr>
        <w:t> </w:t>
      </w:r>
      <w:r>
        <w:rPr>
          <w:rFonts w:ascii="Arial" w:hAnsi="Arial"/>
          <w:color w:val="231F20"/>
          <w:spacing w:val="-2"/>
        </w:rPr>
        <w:t>les</w:t>
      </w:r>
      <w:r>
        <w:rPr>
          <w:rFonts w:ascii="Arial" w:hAnsi="Arial"/>
          <w:color w:val="231F20"/>
          <w:spacing w:val="-9"/>
        </w:rPr>
        <w:t> </w:t>
      </w:r>
      <w:r>
        <w:rPr>
          <w:rFonts w:ascii="Arial" w:hAnsi="Arial"/>
          <w:color w:val="231F20"/>
          <w:spacing w:val="-2"/>
        </w:rPr>
        <w:t>chercheurs </w:t>
      </w:r>
      <w:r>
        <w:rPr>
          <w:rFonts w:ascii="Arial" w:hAnsi="Arial"/>
          <w:color w:val="231F20"/>
        </w:rPr>
        <w:t>ont soumis des animaux à un environnement stressant (petites décharges électriques répétées à intervalles) et examiné la fonction des</w:t>
      </w:r>
      <w:r>
        <w:rPr>
          <w:rFonts w:ascii="Arial" w:hAnsi="Arial"/>
          <w:color w:val="231F20"/>
          <w:spacing w:val="-1"/>
        </w:rPr>
        <w:t> </w:t>
      </w:r>
      <w:r>
        <w:rPr>
          <w:rFonts w:ascii="Arial" w:hAnsi="Arial"/>
          <w:color w:val="231F20"/>
        </w:rPr>
        <w:t>lymphocytes</w:t>
      </w:r>
      <w:r>
        <w:rPr>
          <w:rFonts w:ascii="Arial" w:hAnsi="Arial"/>
          <w:color w:val="231F20"/>
          <w:spacing w:val="-1"/>
        </w:rPr>
        <w:t> </w:t>
      </w:r>
      <w:r>
        <w:rPr>
          <w:rFonts w:ascii="Arial" w:hAnsi="Arial"/>
          <w:color w:val="231F20"/>
        </w:rPr>
        <w:t>CD4+,</w:t>
      </w:r>
      <w:r>
        <w:rPr>
          <w:rFonts w:ascii="Arial" w:hAnsi="Arial"/>
          <w:color w:val="231F20"/>
          <w:spacing w:val="-1"/>
        </w:rPr>
        <w:t> </w:t>
      </w:r>
      <w:r>
        <w:rPr>
          <w:rFonts w:ascii="Arial" w:hAnsi="Arial"/>
          <w:color w:val="231F20"/>
        </w:rPr>
        <w:t>un</w:t>
      </w:r>
      <w:r>
        <w:rPr>
          <w:rFonts w:ascii="Arial" w:hAnsi="Arial"/>
          <w:color w:val="231F20"/>
          <w:spacing w:val="-1"/>
        </w:rPr>
        <w:t> </w:t>
      </w:r>
      <w:r>
        <w:rPr>
          <w:rFonts w:ascii="Arial" w:hAnsi="Arial"/>
          <w:color w:val="231F20"/>
        </w:rPr>
        <w:t>élément</w:t>
      </w:r>
      <w:r>
        <w:rPr>
          <w:rFonts w:ascii="Arial" w:hAnsi="Arial"/>
          <w:color w:val="231F20"/>
          <w:spacing w:val="-1"/>
        </w:rPr>
        <w:t> </w:t>
      </w:r>
      <w:r>
        <w:rPr>
          <w:rFonts w:ascii="Arial" w:hAnsi="Arial"/>
          <w:color w:val="231F20"/>
        </w:rPr>
        <w:t>clé</w:t>
      </w:r>
      <w:r>
        <w:rPr>
          <w:rFonts w:ascii="Arial" w:hAnsi="Arial"/>
          <w:color w:val="231F20"/>
          <w:spacing w:val="-1"/>
        </w:rPr>
        <w:t> </w:t>
      </w:r>
      <w:r>
        <w:rPr>
          <w:rFonts w:ascii="Arial" w:hAnsi="Arial"/>
          <w:color w:val="231F20"/>
        </w:rPr>
        <w:t>de</w:t>
      </w:r>
      <w:r>
        <w:rPr>
          <w:rFonts w:ascii="Arial" w:hAnsi="Arial"/>
          <w:color w:val="231F20"/>
          <w:spacing w:val="-1"/>
        </w:rPr>
        <w:t> </w:t>
      </w:r>
      <w:r>
        <w:rPr>
          <w:rFonts w:ascii="Arial" w:hAnsi="Arial"/>
          <w:color w:val="231F20"/>
        </w:rPr>
        <w:t>la</w:t>
      </w:r>
      <w:r>
        <w:rPr>
          <w:rFonts w:ascii="Arial" w:hAnsi="Arial"/>
          <w:color w:val="231F20"/>
          <w:spacing w:val="-1"/>
        </w:rPr>
        <w:t> </w:t>
      </w:r>
      <w:r>
        <w:rPr>
          <w:rFonts w:ascii="Arial" w:hAnsi="Arial"/>
          <w:color w:val="231F20"/>
        </w:rPr>
        <w:t>réponse</w:t>
      </w:r>
      <w:r>
        <w:rPr>
          <w:rFonts w:ascii="Arial" w:hAnsi="Arial"/>
          <w:color w:val="231F20"/>
          <w:spacing w:val="-1"/>
        </w:rPr>
        <w:t> </w:t>
      </w:r>
      <w:r>
        <w:rPr>
          <w:rFonts w:ascii="Arial" w:hAnsi="Arial"/>
          <w:color w:val="231F20"/>
        </w:rPr>
        <w:t>immunitaire.</w:t>
      </w:r>
      <w:r>
        <w:rPr>
          <w:rFonts w:ascii="Arial" w:hAnsi="Arial"/>
          <w:color w:val="231F20"/>
          <w:spacing w:val="-1"/>
        </w:rPr>
        <w:t> </w:t>
      </w:r>
      <w:r>
        <w:rPr>
          <w:rFonts w:ascii="Arial" w:hAnsi="Arial"/>
          <w:color w:val="231F20"/>
        </w:rPr>
        <w:t>Ils ont observé des changements drastiques dans la morphologie des mitochondries</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ces</w:t>
      </w:r>
      <w:r>
        <w:rPr>
          <w:rFonts w:ascii="Arial" w:hAnsi="Arial"/>
          <w:color w:val="231F20"/>
          <w:spacing w:val="-12"/>
        </w:rPr>
        <w:t> </w:t>
      </w:r>
      <w:r>
        <w:rPr>
          <w:rFonts w:ascii="Arial" w:hAnsi="Arial"/>
          <w:color w:val="231F20"/>
        </w:rPr>
        <w:t>cellules,</w:t>
      </w:r>
      <w:r>
        <w:rPr>
          <w:rFonts w:ascii="Arial" w:hAnsi="Arial"/>
          <w:color w:val="231F20"/>
          <w:spacing w:val="-11"/>
        </w:rPr>
        <w:t> </w:t>
      </w:r>
      <w:r>
        <w:rPr>
          <w:rFonts w:ascii="Arial" w:hAnsi="Arial"/>
          <w:color w:val="231F20"/>
        </w:rPr>
        <w:t>avec</w:t>
      </w:r>
      <w:r>
        <w:rPr>
          <w:rFonts w:ascii="Arial" w:hAnsi="Arial"/>
          <w:color w:val="231F20"/>
          <w:spacing w:val="-12"/>
        </w:rPr>
        <w:t> </w:t>
      </w:r>
      <w:r>
        <w:rPr>
          <w:rFonts w:ascii="Arial" w:hAnsi="Arial"/>
          <w:color w:val="231F20"/>
        </w:rPr>
        <w:t>notamment</w:t>
      </w:r>
      <w:r>
        <w:rPr>
          <w:rFonts w:ascii="Arial" w:hAnsi="Arial"/>
          <w:color w:val="231F20"/>
          <w:spacing w:val="-12"/>
        </w:rPr>
        <w:t> </w:t>
      </w:r>
      <w:r>
        <w:rPr>
          <w:rFonts w:ascii="Arial" w:hAnsi="Arial"/>
          <w:color w:val="231F20"/>
        </w:rPr>
        <w:t>l’apparition</w:t>
      </w:r>
      <w:r>
        <w:rPr>
          <w:rFonts w:ascii="Arial" w:hAnsi="Arial"/>
          <w:color w:val="231F20"/>
          <w:spacing w:val="-12"/>
        </w:rPr>
        <w:t> </w:t>
      </w:r>
      <w:r>
        <w:rPr>
          <w:rFonts w:ascii="Arial" w:hAnsi="Arial"/>
          <w:color w:val="231F20"/>
        </w:rPr>
        <w:t>de</w:t>
      </w:r>
      <w:r>
        <w:rPr>
          <w:rFonts w:ascii="Arial" w:hAnsi="Arial"/>
          <w:color w:val="231F20"/>
          <w:spacing w:val="-11"/>
        </w:rPr>
        <w:t> </w:t>
      </w:r>
      <w:r>
        <w:rPr>
          <w:rFonts w:ascii="Arial" w:hAnsi="Arial"/>
          <w:color w:val="231F20"/>
        </w:rPr>
        <w:t>fissures dans leurs structures, qui étaient corrélés avec l’apparition d’un com- portement anxieux chez les animaux. Cette anxiété semble vraiment associée</w:t>
      </w:r>
      <w:r>
        <w:rPr>
          <w:rFonts w:ascii="Arial" w:hAnsi="Arial"/>
          <w:color w:val="231F20"/>
          <w:spacing w:val="-9"/>
        </w:rPr>
        <w:t> </w:t>
      </w:r>
      <w:r>
        <w:rPr>
          <w:rFonts w:ascii="Arial" w:hAnsi="Arial"/>
          <w:color w:val="231F20"/>
        </w:rPr>
        <w:t>aux</w:t>
      </w:r>
      <w:r>
        <w:rPr>
          <w:rFonts w:ascii="Arial" w:hAnsi="Arial"/>
          <w:color w:val="231F20"/>
          <w:spacing w:val="-9"/>
        </w:rPr>
        <w:t> </w:t>
      </w:r>
      <w:r>
        <w:rPr>
          <w:rFonts w:ascii="Arial" w:hAnsi="Arial"/>
          <w:color w:val="231F20"/>
        </w:rPr>
        <w:t>changements</w:t>
      </w:r>
      <w:r>
        <w:rPr>
          <w:rFonts w:ascii="Arial" w:hAnsi="Arial"/>
          <w:color w:val="231F20"/>
          <w:spacing w:val="-9"/>
        </w:rPr>
        <w:t> </w:t>
      </w:r>
      <w:r>
        <w:rPr>
          <w:rFonts w:ascii="Arial" w:hAnsi="Arial"/>
          <w:color w:val="231F20"/>
        </w:rPr>
        <w:t>observés</w:t>
      </w:r>
      <w:r>
        <w:rPr>
          <w:rFonts w:ascii="Arial" w:hAnsi="Arial"/>
          <w:color w:val="231F20"/>
          <w:spacing w:val="-9"/>
        </w:rPr>
        <w:t> </w:t>
      </w:r>
      <w:r>
        <w:rPr>
          <w:rFonts w:ascii="Arial" w:hAnsi="Arial"/>
          <w:color w:val="231F20"/>
        </w:rPr>
        <w:t>dans</w:t>
      </w:r>
      <w:r>
        <w:rPr>
          <w:rFonts w:ascii="Arial" w:hAnsi="Arial"/>
          <w:color w:val="231F20"/>
          <w:spacing w:val="-9"/>
        </w:rPr>
        <w:t> </w:t>
      </w:r>
      <w:r>
        <w:rPr>
          <w:rFonts w:ascii="Arial" w:hAnsi="Arial"/>
          <w:color w:val="231F20"/>
        </w:rPr>
        <w:t>les</w:t>
      </w:r>
      <w:r>
        <w:rPr>
          <w:rFonts w:ascii="Arial" w:hAnsi="Arial"/>
          <w:color w:val="231F20"/>
          <w:spacing w:val="-9"/>
        </w:rPr>
        <w:t> </w:t>
      </w:r>
      <w:r>
        <w:rPr>
          <w:rFonts w:ascii="Arial" w:hAnsi="Arial"/>
          <w:color w:val="231F20"/>
        </w:rPr>
        <w:t>lymphocytes</w:t>
      </w:r>
      <w:r>
        <w:rPr>
          <w:rFonts w:ascii="Arial" w:hAnsi="Arial"/>
          <w:color w:val="231F20"/>
          <w:spacing w:val="-9"/>
        </w:rPr>
        <w:t> </w:t>
      </w:r>
      <w:r>
        <w:rPr>
          <w:rFonts w:ascii="Arial" w:hAnsi="Arial"/>
          <w:color w:val="231F20"/>
        </w:rPr>
        <w:t>CD4+,</w:t>
      </w:r>
      <w:r>
        <w:rPr>
          <w:rFonts w:ascii="Arial" w:hAnsi="Arial"/>
          <w:color w:val="231F20"/>
          <w:spacing w:val="-9"/>
        </w:rPr>
        <w:t> </w:t>
      </w:r>
      <w:r>
        <w:rPr>
          <w:rFonts w:ascii="Arial" w:hAnsi="Arial"/>
          <w:color w:val="231F20"/>
        </w:rPr>
        <w:t>car des</w:t>
      </w:r>
      <w:r>
        <w:rPr>
          <w:rFonts w:ascii="Arial" w:hAnsi="Arial"/>
          <w:color w:val="231F20"/>
          <w:spacing w:val="-12"/>
        </w:rPr>
        <w:t> </w:t>
      </w:r>
      <w:r>
        <w:rPr>
          <w:rFonts w:ascii="Arial" w:hAnsi="Arial"/>
          <w:color w:val="231F20"/>
        </w:rPr>
        <w:t>mutants</w:t>
      </w:r>
      <w:r>
        <w:rPr>
          <w:rFonts w:ascii="Arial" w:hAnsi="Arial"/>
          <w:color w:val="231F20"/>
          <w:spacing w:val="-12"/>
        </w:rPr>
        <w:t> </w:t>
      </w:r>
      <w:r>
        <w:rPr>
          <w:rFonts w:ascii="Arial" w:hAnsi="Arial"/>
          <w:color w:val="231F20"/>
        </w:rPr>
        <w:t>dépourvus</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ces</w:t>
      </w:r>
      <w:r>
        <w:rPr>
          <w:rFonts w:ascii="Arial" w:hAnsi="Arial"/>
          <w:color w:val="231F20"/>
          <w:spacing w:val="-12"/>
        </w:rPr>
        <w:t> </w:t>
      </w:r>
      <w:r>
        <w:rPr>
          <w:rFonts w:ascii="Arial" w:hAnsi="Arial"/>
          <w:color w:val="231F20"/>
        </w:rPr>
        <w:t>cellules</w:t>
      </w:r>
      <w:r>
        <w:rPr>
          <w:rFonts w:ascii="Arial" w:hAnsi="Arial"/>
          <w:color w:val="231F20"/>
          <w:spacing w:val="-11"/>
        </w:rPr>
        <w:t> </w:t>
      </w:r>
      <w:r>
        <w:rPr>
          <w:rFonts w:ascii="Arial" w:hAnsi="Arial"/>
          <w:color w:val="231F20"/>
        </w:rPr>
        <w:t>ne</w:t>
      </w:r>
      <w:r>
        <w:rPr>
          <w:rFonts w:ascii="Arial" w:hAnsi="Arial"/>
          <w:color w:val="231F20"/>
          <w:spacing w:val="-12"/>
        </w:rPr>
        <w:t> </w:t>
      </w:r>
      <w:r>
        <w:rPr>
          <w:rFonts w:ascii="Arial" w:hAnsi="Arial"/>
          <w:color w:val="231F20"/>
        </w:rPr>
        <w:t>présentaient</w:t>
      </w:r>
      <w:r>
        <w:rPr>
          <w:rFonts w:ascii="Arial" w:hAnsi="Arial"/>
          <w:color w:val="231F20"/>
          <w:spacing w:val="-12"/>
        </w:rPr>
        <w:t> </w:t>
      </w:r>
      <w:r>
        <w:rPr>
          <w:rFonts w:ascii="Arial" w:hAnsi="Arial"/>
          <w:color w:val="231F20"/>
        </w:rPr>
        <w:t>aucun</w:t>
      </w:r>
      <w:r>
        <w:rPr>
          <w:rFonts w:ascii="Arial" w:hAnsi="Arial"/>
          <w:color w:val="231F20"/>
          <w:spacing w:val="-12"/>
        </w:rPr>
        <w:t> </w:t>
      </w:r>
      <w:r>
        <w:rPr>
          <w:rFonts w:ascii="Arial" w:hAnsi="Arial"/>
          <w:color w:val="231F20"/>
        </w:rPr>
        <w:t>signe</w:t>
      </w:r>
      <w:r>
        <w:rPr>
          <w:rFonts w:ascii="Arial" w:hAnsi="Arial"/>
          <w:color w:val="231F20"/>
          <w:spacing w:val="-12"/>
        </w:rPr>
        <w:t> </w:t>
      </w:r>
      <w:r>
        <w:rPr>
          <w:rFonts w:ascii="Arial" w:hAnsi="Arial"/>
          <w:color w:val="231F20"/>
        </w:rPr>
        <w:t>de troubles</w:t>
      </w:r>
      <w:r>
        <w:rPr>
          <w:rFonts w:ascii="Arial" w:hAnsi="Arial"/>
          <w:color w:val="231F20"/>
          <w:spacing w:val="-2"/>
        </w:rPr>
        <w:t> </w:t>
      </w:r>
      <w:r>
        <w:rPr>
          <w:rFonts w:ascii="Arial" w:hAnsi="Arial"/>
          <w:color w:val="231F20"/>
        </w:rPr>
        <w:t>anxieux</w:t>
      </w:r>
      <w:r>
        <w:rPr>
          <w:rFonts w:ascii="Arial" w:hAnsi="Arial"/>
          <w:color w:val="231F20"/>
          <w:spacing w:val="-2"/>
        </w:rPr>
        <w:t> </w:t>
      </w:r>
      <w:r>
        <w:rPr>
          <w:rFonts w:ascii="Arial" w:hAnsi="Arial"/>
          <w:color w:val="231F20"/>
        </w:rPr>
        <w:t>à</w:t>
      </w:r>
      <w:r>
        <w:rPr>
          <w:rFonts w:ascii="Arial" w:hAnsi="Arial"/>
          <w:color w:val="231F20"/>
          <w:spacing w:val="-2"/>
        </w:rPr>
        <w:t> </w:t>
      </w:r>
      <w:r>
        <w:rPr>
          <w:rFonts w:ascii="Arial" w:hAnsi="Arial"/>
          <w:color w:val="231F20"/>
        </w:rPr>
        <w:t>la</w:t>
      </w:r>
      <w:r>
        <w:rPr>
          <w:rFonts w:ascii="Arial" w:hAnsi="Arial"/>
          <w:color w:val="231F20"/>
          <w:spacing w:val="-2"/>
        </w:rPr>
        <w:t> </w:t>
      </w:r>
      <w:r>
        <w:rPr>
          <w:rFonts w:ascii="Arial" w:hAnsi="Arial"/>
          <w:color w:val="231F20"/>
        </w:rPr>
        <w:t>suite</w:t>
      </w:r>
      <w:r>
        <w:rPr>
          <w:rFonts w:ascii="Arial" w:hAnsi="Arial"/>
          <w:color w:val="231F20"/>
          <w:spacing w:val="-2"/>
        </w:rPr>
        <w:t> </w:t>
      </w:r>
      <w:r>
        <w:rPr>
          <w:rFonts w:ascii="Arial" w:hAnsi="Arial"/>
          <w:color w:val="231F20"/>
        </w:rPr>
        <w:t>d’une</w:t>
      </w:r>
      <w:r>
        <w:rPr>
          <w:rFonts w:ascii="Arial" w:hAnsi="Arial"/>
          <w:color w:val="231F20"/>
          <w:spacing w:val="-2"/>
        </w:rPr>
        <w:t> </w:t>
      </w:r>
      <w:r>
        <w:rPr>
          <w:rFonts w:ascii="Arial" w:hAnsi="Arial"/>
          <w:color w:val="231F20"/>
        </w:rPr>
        <w:t>exposition</w:t>
      </w:r>
      <w:r>
        <w:rPr>
          <w:rFonts w:ascii="Arial" w:hAnsi="Arial"/>
          <w:color w:val="231F20"/>
          <w:spacing w:val="-2"/>
        </w:rPr>
        <w:t> </w:t>
      </w:r>
      <w:r>
        <w:rPr>
          <w:rFonts w:ascii="Arial" w:hAnsi="Arial"/>
          <w:color w:val="231F20"/>
        </w:rPr>
        <w:t>au</w:t>
      </w:r>
      <w:r>
        <w:rPr>
          <w:rFonts w:ascii="Arial" w:hAnsi="Arial"/>
          <w:color w:val="231F20"/>
          <w:spacing w:val="-2"/>
        </w:rPr>
        <w:t> </w:t>
      </w:r>
      <w:r>
        <w:rPr>
          <w:rFonts w:ascii="Arial" w:hAnsi="Arial"/>
          <w:color w:val="231F20"/>
        </w:rPr>
        <w:t>même</w:t>
      </w:r>
      <w:r>
        <w:rPr>
          <w:rFonts w:ascii="Arial" w:hAnsi="Arial"/>
          <w:color w:val="231F20"/>
          <w:spacing w:val="-2"/>
        </w:rPr>
        <w:t> environnement.</w:t>
      </w:r>
    </w:p>
    <w:p>
      <w:pPr>
        <w:pStyle w:val="BodyText"/>
        <w:spacing w:line="307" w:lineRule="auto" w:before="78"/>
        <w:ind w:left="1470" w:right="354"/>
        <w:jc w:val="both"/>
        <w:rPr>
          <w:rFonts w:ascii="Arial" w:hAnsi="Arial"/>
        </w:rPr>
      </w:pPr>
      <w:r>
        <w:rPr>
          <w:rFonts w:ascii="Arial" w:hAnsi="Arial"/>
          <w:color w:val="231F20"/>
        </w:rPr>
        <w:t>Une</w:t>
      </w:r>
      <w:r>
        <w:rPr>
          <w:rFonts w:ascii="Arial" w:hAnsi="Arial"/>
          <w:color w:val="231F20"/>
          <w:spacing w:val="-1"/>
        </w:rPr>
        <w:t> </w:t>
      </w:r>
      <w:r>
        <w:rPr>
          <w:rFonts w:ascii="Arial" w:hAnsi="Arial"/>
          <w:color w:val="231F20"/>
        </w:rPr>
        <w:t>analyse</w:t>
      </w:r>
      <w:r>
        <w:rPr>
          <w:rFonts w:ascii="Arial" w:hAnsi="Arial"/>
          <w:color w:val="231F20"/>
          <w:spacing w:val="-1"/>
        </w:rPr>
        <w:t> </w:t>
      </w:r>
      <w:r>
        <w:rPr>
          <w:rFonts w:ascii="Arial" w:hAnsi="Arial"/>
          <w:color w:val="231F20"/>
        </w:rPr>
        <w:t>plus</w:t>
      </w:r>
      <w:r>
        <w:rPr>
          <w:rFonts w:ascii="Arial" w:hAnsi="Arial"/>
          <w:color w:val="231F20"/>
          <w:spacing w:val="-2"/>
        </w:rPr>
        <w:t> </w:t>
      </w:r>
      <w:r>
        <w:rPr>
          <w:rFonts w:ascii="Arial" w:hAnsi="Arial"/>
          <w:color w:val="231F20"/>
        </w:rPr>
        <w:t>poussée</w:t>
      </w:r>
      <w:r>
        <w:rPr>
          <w:rFonts w:ascii="Arial" w:hAnsi="Arial"/>
          <w:color w:val="231F20"/>
          <w:spacing w:val="-1"/>
        </w:rPr>
        <w:t> </w:t>
      </w:r>
      <w:r>
        <w:rPr>
          <w:rFonts w:ascii="Arial" w:hAnsi="Arial"/>
          <w:color w:val="231F20"/>
        </w:rPr>
        <w:t>a</w:t>
      </w:r>
      <w:r>
        <w:rPr>
          <w:rFonts w:ascii="Arial" w:hAnsi="Arial"/>
          <w:color w:val="231F20"/>
          <w:spacing w:val="-1"/>
        </w:rPr>
        <w:t> </w:t>
      </w:r>
      <w:r>
        <w:rPr>
          <w:rFonts w:ascii="Arial" w:hAnsi="Arial"/>
          <w:color w:val="231F20"/>
        </w:rPr>
        <w:t>révélé</w:t>
      </w:r>
      <w:r>
        <w:rPr>
          <w:rFonts w:ascii="Arial" w:hAnsi="Arial"/>
          <w:color w:val="231F20"/>
          <w:spacing w:val="-2"/>
        </w:rPr>
        <w:t> </w:t>
      </w:r>
      <w:r>
        <w:rPr>
          <w:rFonts w:ascii="Arial" w:hAnsi="Arial"/>
          <w:color w:val="231F20"/>
        </w:rPr>
        <w:t>que</w:t>
      </w:r>
      <w:r>
        <w:rPr>
          <w:rFonts w:ascii="Arial" w:hAnsi="Arial"/>
          <w:color w:val="231F20"/>
          <w:spacing w:val="-1"/>
        </w:rPr>
        <w:t> </w:t>
      </w:r>
      <w:r>
        <w:rPr>
          <w:rFonts w:ascii="Arial" w:hAnsi="Arial"/>
          <w:color w:val="231F20"/>
        </w:rPr>
        <w:t>la</w:t>
      </w:r>
      <w:r>
        <w:rPr>
          <w:rFonts w:ascii="Arial" w:hAnsi="Arial"/>
          <w:color w:val="231F20"/>
          <w:spacing w:val="-1"/>
        </w:rPr>
        <w:t> </w:t>
      </w:r>
      <w:r>
        <w:rPr>
          <w:rFonts w:ascii="Arial" w:hAnsi="Arial"/>
          <w:color w:val="231F20"/>
        </w:rPr>
        <w:t>cassure</w:t>
      </w:r>
      <w:r>
        <w:rPr>
          <w:rFonts w:ascii="Arial" w:hAnsi="Arial"/>
          <w:color w:val="231F20"/>
          <w:spacing w:val="-2"/>
        </w:rPr>
        <w:t> </w:t>
      </w:r>
      <w:r>
        <w:rPr>
          <w:rFonts w:ascii="Arial" w:hAnsi="Arial"/>
          <w:color w:val="231F20"/>
        </w:rPr>
        <w:t>des</w:t>
      </w:r>
      <w:r>
        <w:rPr>
          <w:rFonts w:ascii="Arial" w:hAnsi="Arial"/>
          <w:color w:val="231F20"/>
          <w:spacing w:val="-1"/>
        </w:rPr>
        <w:t> </w:t>
      </w:r>
      <w:r>
        <w:rPr>
          <w:rFonts w:ascii="Arial" w:hAnsi="Arial"/>
          <w:color w:val="231F20"/>
        </w:rPr>
        <w:t>mitochondries </w:t>
      </w:r>
      <w:r>
        <w:rPr>
          <w:rFonts w:ascii="Arial" w:hAnsi="Arial"/>
          <w:color w:val="231F20"/>
          <w:spacing w:val="-2"/>
        </w:rPr>
        <w:t>s’accompagnait</w:t>
      </w:r>
      <w:r>
        <w:rPr>
          <w:rFonts w:ascii="Arial" w:hAnsi="Arial"/>
          <w:color w:val="231F20"/>
          <w:spacing w:val="-6"/>
        </w:rPr>
        <w:t> </w:t>
      </w:r>
      <w:r>
        <w:rPr>
          <w:rFonts w:ascii="Arial" w:hAnsi="Arial"/>
          <w:color w:val="231F20"/>
          <w:spacing w:val="-2"/>
        </w:rPr>
        <w:t>d’une</w:t>
      </w:r>
      <w:r>
        <w:rPr>
          <w:rFonts w:ascii="Arial" w:hAnsi="Arial"/>
          <w:color w:val="231F20"/>
          <w:spacing w:val="-6"/>
        </w:rPr>
        <w:t> </w:t>
      </w:r>
      <w:r>
        <w:rPr>
          <w:rFonts w:ascii="Arial" w:hAnsi="Arial"/>
          <w:color w:val="231F20"/>
          <w:spacing w:val="-2"/>
        </w:rPr>
        <w:t>augmentation</w:t>
      </w:r>
      <w:r>
        <w:rPr>
          <w:rFonts w:ascii="Arial" w:hAnsi="Arial"/>
          <w:color w:val="231F20"/>
          <w:spacing w:val="-6"/>
        </w:rPr>
        <w:t> </w:t>
      </w:r>
      <w:r>
        <w:rPr>
          <w:rFonts w:ascii="Arial" w:hAnsi="Arial"/>
          <w:color w:val="231F20"/>
          <w:spacing w:val="-2"/>
        </w:rPr>
        <w:t>dans</w:t>
      </w:r>
      <w:r>
        <w:rPr>
          <w:rFonts w:ascii="Arial" w:hAnsi="Arial"/>
          <w:color w:val="231F20"/>
          <w:spacing w:val="-6"/>
        </w:rPr>
        <w:t> </w:t>
      </w:r>
      <w:r>
        <w:rPr>
          <w:rFonts w:ascii="Arial" w:hAnsi="Arial"/>
          <w:color w:val="231F20"/>
          <w:spacing w:val="-2"/>
        </w:rPr>
        <w:t>le</w:t>
      </w:r>
      <w:r>
        <w:rPr>
          <w:rFonts w:ascii="Arial" w:hAnsi="Arial"/>
          <w:color w:val="231F20"/>
          <w:spacing w:val="-6"/>
        </w:rPr>
        <w:t> </w:t>
      </w:r>
      <w:r>
        <w:rPr>
          <w:rFonts w:ascii="Arial" w:hAnsi="Arial"/>
          <w:color w:val="231F20"/>
          <w:spacing w:val="-2"/>
        </w:rPr>
        <w:t>sang</w:t>
      </w:r>
      <w:r>
        <w:rPr>
          <w:rFonts w:ascii="Arial" w:hAnsi="Arial"/>
          <w:color w:val="231F20"/>
          <w:spacing w:val="-6"/>
        </w:rPr>
        <w:t> </w:t>
      </w:r>
      <w:r>
        <w:rPr>
          <w:rFonts w:ascii="Arial" w:hAnsi="Arial"/>
          <w:color w:val="231F20"/>
          <w:spacing w:val="-2"/>
        </w:rPr>
        <w:t>des</w:t>
      </w:r>
      <w:r>
        <w:rPr>
          <w:rFonts w:ascii="Arial" w:hAnsi="Arial"/>
          <w:color w:val="231F20"/>
          <w:spacing w:val="-6"/>
        </w:rPr>
        <w:t> </w:t>
      </w:r>
      <w:r>
        <w:rPr>
          <w:rFonts w:ascii="Arial" w:hAnsi="Arial"/>
          <w:color w:val="231F20"/>
          <w:spacing w:val="-2"/>
        </w:rPr>
        <w:t>animaux</w:t>
      </w:r>
      <w:r>
        <w:rPr>
          <w:rFonts w:ascii="Arial" w:hAnsi="Arial"/>
          <w:color w:val="231F20"/>
          <w:spacing w:val="-6"/>
        </w:rPr>
        <w:t> </w:t>
      </w:r>
      <w:r>
        <w:rPr>
          <w:rFonts w:ascii="Arial" w:hAnsi="Arial"/>
          <w:color w:val="231F20"/>
          <w:spacing w:val="-2"/>
        </w:rPr>
        <w:t>anxieux </w:t>
      </w:r>
      <w:r>
        <w:rPr>
          <w:rFonts w:ascii="Arial" w:hAnsi="Arial"/>
          <w:color w:val="231F20"/>
        </w:rPr>
        <w:t>des</w:t>
      </w:r>
      <w:r>
        <w:rPr>
          <w:rFonts w:ascii="Arial" w:hAnsi="Arial"/>
          <w:color w:val="231F20"/>
          <w:spacing w:val="-8"/>
        </w:rPr>
        <w:t> </w:t>
      </w:r>
      <w:r>
        <w:rPr>
          <w:rFonts w:ascii="Arial" w:hAnsi="Arial"/>
          <w:color w:val="231F20"/>
        </w:rPr>
        <w:t>taux</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xanthine,</w:t>
      </w:r>
      <w:r>
        <w:rPr>
          <w:rFonts w:ascii="Arial" w:hAnsi="Arial"/>
          <w:color w:val="231F20"/>
          <w:spacing w:val="-8"/>
        </w:rPr>
        <w:t> </w:t>
      </w:r>
      <w:r>
        <w:rPr>
          <w:rFonts w:ascii="Arial" w:hAnsi="Arial"/>
          <w:color w:val="231F20"/>
        </w:rPr>
        <w:t>une</w:t>
      </w:r>
      <w:r>
        <w:rPr>
          <w:rFonts w:ascii="Arial" w:hAnsi="Arial"/>
          <w:color w:val="231F20"/>
          <w:spacing w:val="-9"/>
        </w:rPr>
        <w:t> </w:t>
      </w:r>
      <w:r>
        <w:rPr>
          <w:rFonts w:ascii="Arial" w:hAnsi="Arial"/>
          <w:color w:val="231F20"/>
        </w:rPr>
        <w:t>molécule</w:t>
      </w:r>
      <w:r>
        <w:rPr>
          <w:rFonts w:ascii="Arial" w:hAnsi="Arial"/>
          <w:color w:val="231F20"/>
          <w:spacing w:val="-9"/>
        </w:rPr>
        <w:t> </w:t>
      </w:r>
      <w:r>
        <w:rPr>
          <w:rFonts w:ascii="Arial" w:hAnsi="Arial"/>
          <w:color w:val="231F20"/>
        </w:rPr>
        <w:t>provenant</w:t>
      </w:r>
      <w:r>
        <w:rPr>
          <w:rFonts w:ascii="Arial" w:hAnsi="Arial"/>
          <w:color w:val="231F20"/>
          <w:spacing w:val="-8"/>
        </w:rPr>
        <w:t> </w:t>
      </w:r>
      <w:r>
        <w:rPr>
          <w:rFonts w:ascii="Arial" w:hAnsi="Arial"/>
          <w:color w:val="231F20"/>
        </w:rPr>
        <w:t>du</w:t>
      </w:r>
      <w:r>
        <w:rPr>
          <w:rFonts w:ascii="Arial" w:hAnsi="Arial"/>
          <w:color w:val="231F20"/>
          <w:spacing w:val="-9"/>
        </w:rPr>
        <w:t> </w:t>
      </w:r>
      <w:r>
        <w:rPr>
          <w:rFonts w:ascii="Arial" w:hAnsi="Arial"/>
          <w:color w:val="231F20"/>
        </w:rPr>
        <w:t>métabolisme</w:t>
      </w:r>
      <w:r>
        <w:rPr>
          <w:rFonts w:ascii="Arial" w:hAnsi="Arial"/>
          <w:color w:val="231F20"/>
          <w:spacing w:val="-8"/>
        </w:rPr>
        <w:t> </w:t>
      </w:r>
      <w:r>
        <w:rPr>
          <w:rFonts w:ascii="Arial" w:hAnsi="Arial"/>
          <w:color w:val="231F20"/>
        </w:rPr>
        <w:t>de</w:t>
      </w:r>
      <w:r>
        <w:rPr>
          <w:rFonts w:ascii="Arial" w:hAnsi="Arial"/>
          <w:color w:val="231F20"/>
          <w:spacing w:val="-9"/>
        </w:rPr>
        <w:t> </w:t>
      </w:r>
      <w:r>
        <w:rPr>
          <w:rFonts w:ascii="Arial" w:hAnsi="Arial"/>
          <w:color w:val="231F20"/>
        </w:rPr>
        <w:t>cer- tains</w:t>
      </w:r>
      <w:r>
        <w:rPr>
          <w:rFonts w:ascii="Arial" w:hAnsi="Arial"/>
          <w:color w:val="231F20"/>
          <w:spacing w:val="-10"/>
        </w:rPr>
        <w:t> </w:t>
      </w:r>
      <w:r>
        <w:rPr>
          <w:rFonts w:ascii="Arial" w:hAnsi="Arial"/>
          <w:color w:val="231F20"/>
        </w:rPr>
        <w:t>constituants</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l’ADN</w:t>
      </w:r>
      <w:r>
        <w:rPr>
          <w:rFonts w:ascii="Arial" w:hAnsi="Arial"/>
          <w:color w:val="231F20"/>
          <w:spacing w:val="-10"/>
        </w:rPr>
        <w:t> </w:t>
      </w:r>
      <w:r>
        <w:rPr>
          <w:rFonts w:ascii="Arial" w:hAnsi="Arial"/>
          <w:color w:val="231F20"/>
        </w:rPr>
        <w:t>(purines).</w:t>
      </w:r>
      <w:r>
        <w:rPr>
          <w:rFonts w:ascii="Arial" w:hAnsi="Arial"/>
          <w:color w:val="231F20"/>
          <w:spacing w:val="-10"/>
        </w:rPr>
        <w:t> </w:t>
      </w:r>
      <w:r>
        <w:rPr>
          <w:rFonts w:ascii="Arial" w:hAnsi="Arial"/>
          <w:color w:val="231F20"/>
        </w:rPr>
        <w:t>L’injection</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xanthine</w:t>
      </w:r>
      <w:r>
        <w:rPr>
          <w:rFonts w:ascii="Arial" w:hAnsi="Arial"/>
          <w:color w:val="231F20"/>
          <w:spacing w:val="-10"/>
        </w:rPr>
        <w:t> </w:t>
      </w:r>
      <w:r>
        <w:rPr>
          <w:rFonts w:ascii="Arial" w:hAnsi="Arial"/>
          <w:color w:val="231F20"/>
        </w:rPr>
        <w:t>s’est</w:t>
      </w:r>
      <w:r>
        <w:rPr>
          <w:rFonts w:ascii="Arial" w:hAnsi="Arial"/>
          <w:color w:val="231F20"/>
          <w:spacing w:val="-10"/>
        </w:rPr>
        <w:t> </w:t>
      </w:r>
      <w:r>
        <w:rPr>
          <w:rFonts w:ascii="Arial" w:hAnsi="Arial"/>
          <w:color w:val="231F20"/>
        </w:rPr>
        <w:t>avé- rée suffisante pour générer à elle seule des comportements anxieux, sans nécessiter de stress externe, confirmant le rôle central de cette </w:t>
      </w:r>
      <w:r>
        <w:rPr>
          <w:rFonts w:ascii="Arial" w:hAnsi="Arial"/>
          <w:color w:val="231F20"/>
          <w:spacing w:val="-2"/>
        </w:rPr>
        <w:t>molécule</w:t>
      </w:r>
      <w:r>
        <w:rPr>
          <w:rFonts w:ascii="Arial" w:hAnsi="Arial"/>
          <w:color w:val="231F20"/>
          <w:spacing w:val="-5"/>
        </w:rPr>
        <w:t> </w:t>
      </w:r>
      <w:r>
        <w:rPr>
          <w:rFonts w:ascii="Arial" w:hAnsi="Arial"/>
          <w:color w:val="231F20"/>
          <w:spacing w:val="-2"/>
        </w:rPr>
        <w:t>dans</w:t>
      </w:r>
      <w:r>
        <w:rPr>
          <w:rFonts w:ascii="Arial" w:hAnsi="Arial"/>
          <w:color w:val="231F20"/>
          <w:spacing w:val="-5"/>
        </w:rPr>
        <w:t> </w:t>
      </w:r>
      <w:r>
        <w:rPr>
          <w:rFonts w:ascii="Arial" w:hAnsi="Arial"/>
          <w:color w:val="231F20"/>
          <w:spacing w:val="-2"/>
        </w:rPr>
        <w:t>le</w:t>
      </w:r>
      <w:r>
        <w:rPr>
          <w:rFonts w:ascii="Arial" w:hAnsi="Arial"/>
          <w:color w:val="231F20"/>
          <w:spacing w:val="-5"/>
        </w:rPr>
        <w:t> </w:t>
      </w:r>
      <w:r>
        <w:rPr>
          <w:rFonts w:ascii="Arial" w:hAnsi="Arial"/>
          <w:color w:val="231F20"/>
          <w:spacing w:val="-2"/>
        </w:rPr>
        <w:t>phénomène</w:t>
      </w:r>
      <w:r>
        <w:rPr>
          <w:rFonts w:ascii="Arial" w:hAnsi="Arial"/>
          <w:color w:val="231F20"/>
          <w:spacing w:val="-5"/>
        </w:rPr>
        <w:t> </w:t>
      </w:r>
      <w:r>
        <w:rPr>
          <w:rFonts w:ascii="Arial" w:hAnsi="Arial"/>
          <w:color w:val="231F20"/>
          <w:spacing w:val="-2"/>
        </w:rPr>
        <w:t>d’anxiété.</w:t>
      </w:r>
      <w:r>
        <w:rPr>
          <w:rFonts w:ascii="Arial" w:hAnsi="Arial"/>
          <w:color w:val="231F20"/>
          <w:spacing w:val="-5"/>
        </w:rPr>
        <w:t> </w:t>
      </w:r>
      <w:r>
        <w:rPr>
          <w:rFonts w:ascii="Arial" w:hAnsi="Arial"/>
          <w:color w:val="231F20"/>
          <w:spacing w:val="-2"/>
        </w:rPr>
        <w:t>Les</w:t>
      </w:r>
      <w:r>
        <w:rPr>
          <w:rFonts w:ascii="Arial" w:hAnsi="Arial"/>
          <w:color w:val="231F20"/>
          <w:spacing w:val="-5"/>
        </w:rPr>
        <w:t> </w:t>
      </w:r>
      <w:r>
        <w:rPr>
          <w:rFonts w:ascii="Arial" w:hAnsi="Arial"/>
          <w:color w:val="231F20"/>
          <w:spacing w:val="-2"/>
        </w:rPr>
        <w:t>données</w:t>
      </w:r>
      <w:r>
        <w:rPr>
          <w:rFonts w:ascii="Arial" w:hAnsi="Arial"/>
          <w:color w:val="231F20"/>
          <w:spacing w:val="-5"/>
        </w:rPr>
        <w:t> </w:t>
      </w:r>
      <w:r>
        <w:rPr>
          <w:rFonts w:ascii="Arial" w:hAnsi="Arial"/>
          <w:color w:val="231F20"/>
          <w:spacing w:val="-2"/>
        </w:rPr>
        <w:t>recueillies</w:t>
      </w:r>
      <w:r>
        <w:rPr>
          <w:rFonts w:ascii="Arial" w:hAnsi="Arial"/>
          <w:color w:val="231F20"/>
          <w:spacing w:val="-5"/>
        </w:rPr>
        <w:t> </w:t>
      </w:r>
      <w:r>
        <w:rPr>
          <w:rFonts w:ascii="Arial" w:hAnsi="Arial"/>
          <w:color w:val="231F20"/>
          <w:spacing w:val="-2"/>
        </w:rPr>
        <w:t>par</w:t>
      </w:r>
      <w:r>
        <w:rPr>
          <w:rFonts w:ascii="Arial" w:hAnsi="Arial"/>
          <w:color w:val="231F20"/>
          <w:spacing w:val="-5"/>
        </w:rPr>
        <w:t> </w:t>
      </w:r>
      <w:r>
        <w:rPr>
          <w:rFonts w:ascii="Arial" w:hAnsi="Arial"/>
          <w:color w:val="231F20"/>
          <w:spacing w:val="-2"/>
        </w:rPr>
        <w:t>les chercheurs</w:t>
      </w:r>
      <w:r>
        <w:rPr>
          <w:rFonts w:ascii="Arial" w:hAnsi="Arial"/>
          <w:color w:val="231F20"/>
          <w:spacing w:val="-3"/>
        </w:rPr>
        <w:t> </w:t>
      </w:r>
      <w:r>
        <w:rPr>
          <w:rFonts w:ascii="Arial" w:hAnsi="Arial"/>
          <w:color w:val="231F20"/>
          <w:spacing w:val="-2"/>
        </w:rPr>
        <w:t>indiquent</w:t>
      </w:r>
      <w:r>
        <w:rPr>
          <w:rFonts w:ascii="Arial" w:hAnsi="Arial"/>
          <w:color w:val="231F20"/>
          <w:spacing w:val="-3"/>
        </w:rPr>
        <w:t> </w:t>
      </w:r>
      <w:r>
        <w:rPr>
          <w:rFonts w:ascii="Arial" w:hAnsi="Arial"/>
          <w:color w:val="231F20"/>
          <w:spacing w:val="-2"/>
        </w:rPr>
        <w:t>que</w:t>
      </w:r>
      <w:r>
        <w:rPr>
          <w:rFonts w:ascii="Arial" w:hAnsi="Arial"/>
          <w:color w:val="231F20"/>
          <w:spacing w:val="-3"/>
        </w:rPr>
        <w:t> </w:t>
      </w:r>
      <w:r>
        <w:rPr>
          <w:rFonts w:ascii="Arial" w:hAnsi="Arial"/>
          <w:color w:val="231F20"/>
          <w:spacing w:val="-2"/>
        </w:rPr>
        <w:t>la</w:t>
      </w:r>
      <w:r>
        <w:rPr>
          <w:rFonts w:ascii="Arial" w:hAnsi="Arial"/>
          <w:color w:val="231F20"/>
          <w:spacing w:val="-3"/>
        </w:rPr>
        <w:t> </w:t>
      </w:r>
      <w:r>
        <w:rPr>
          <w:rFonts w:ascii="Arial" w:hAnsi="Arial"/>
          <w:color w:val="231F20"/>
          <w:spacing w:val="-2"/>
        </w:rPr>
        <w:t>xanthine</w:t>
      </w:r>
      <w:r>
        <w:rPr>
          <w:rFonts w:ascii="Arial" w:hAnsi="Arial"/>
          <w:color w:val="231F20"/>
          <w:spacing w:val="-3"/>
        </w:rPr>
        <w:t> </w:t>
      </w:r>
      <w:r>
        <w:rPr>
          <w:rFonts w:ascii="Arial" w:hAnsi="Arial"/>
          <w:color w:val="231F20"/>
          <w:spacing w:val="-2"/>
        </w:rPr>
        <w:t>libérée</w:t>
      </w:r>
      <w:r>
        <w:rPr>
          <w:rFonts w:ascii="Arial" w:hAnsi="Arial"/>
          <w:color w:val="231F20"/>
          <w:spacing w:val="-3"/>
        </w:rPr>
        <w:t> </w:t>
      </w:r>
      <w:r>
        <w:rPr>
          <w:rFonts w:ascii="Arial" w:hAnsi="Arial"/>
          <w:color w:val="231F20"/>
          <w:spacing w:val="-2"/>
        </w:rPr>
        <w:t>par</w:t>
      </w:r>
      <w:r>
        <w:rPr>
          <w:rFonts w:ascii="Arial" w:hAnsi="Arial"/>
          <w:color w:val="231F20"/>
          <w:spacing w:val="-3"/>
        </w:rPr>
        <w:t> </w:t>
      </w:r>
      <w:r>
        <w:rPr>
          <w:rFonts w:ascii="Arial" w:hAnsi="Arial"/>
          <w:color w:val="231F20"/>
          <w:spacing w:val="-2"/>
        </w:rPr>
        <w:t>les</w:t>
      </w:r>
      <w:r>
        <w:rPr>
          <w:rFonts w:ascii="Arial" w:hAnsi="Arial"/>
          <w:color w:val="231F20"/>
          <w:spacing w:val="-3"/>
        </w:rPr>
        <w:t> </w:t>
      </w:r>
      <w:r>
        <w:rPr>
          <w:rFonts w:ascii="Arial" w:hAnsi="Arial"/>
          <w:color w:val="231F20"/>
          <w:spacing w:val="-2"/>
        </w:rPr>
        <w:t>lymphocytes</w:t>
      </w:r>
      <w:r>
        <w:rPr>
          <w:rFonts w:ascii="Arial" w:hAnsi="Arial"/>
          <w:color w:val="231F20"/>
          <w:spacing w:val="-3"/>
        </w:rPr>
        <w:t> </w:t>
      </w:r>
      <w:r>
        <w:rPr>
          <w:rFonts w:ascii="Arial" w:hAnsi="Arial"/>
          <w:color w:val="231F20"/>
          <w:spacing w:val="-2"/>
        </w:rPr>
        <w:t>migre </w:t>
      </w:r>
      <w:r>
        <w:rPr>
          <w:rFonts w:ascii="Arial" w:hAnsi="Arial"/>
          <w:color w:val="231F20"/>
        </w:rPr>
        <w:t>vers</w:t>
      </w:r>
      <w:r>
        <w:rPr>
          <w:rFonts w:ascii="Arial" w:hAnsi="Arial"/>
          <w:color w:val="231F20"/>
          <w:spacing w:val="-9"/>
        </w:rPr>
        <w:t> </w:t>
      </w:r>
      <w:r>
        <w:rPr>
          <w:rFonts w:ascii="Arial" w:hAnsi="Arial"/>
          <w:color w:val="231F20"/>
        </w:rPr>
        <w:t>le</w:t>
      </w:r>
      <w:r>
        <w:rPr>
          <w:rFonts w:ascii="Arial" w:hAnsi="Arial"/>
          <w:color w:val="231F20"/>
          <w:spacing w:val="-9"/>
        </w:rPr>
        <w:t> </w:t>
      </w:r>
      <w:r>
        <w:rPr>
          <w:rFonts w:ascii="Arial" w:hAnsi="Arial"/>
          <w:color w:val="231F20"/>
        </w:rPr>
        <w:t>cerveau</w:t>
      </w:r>
      <w:r>
        <w:rPr>
          <w:rFonts w:ascii="Arial" w:hAnsi="Arial"/>
          <w:color w:val="231F20"/>
          <w:spacing w:val="-9"/>
        </w:rPr>
        <w:t> </w:t>
      </w:r>
      <w:r>
        <w:rPr>
          <w:rFonts w:ascii="Arial" w:hAnsi="Arial"/>
          <w:color w:val="231F20"/>
        </w:rPr>
        <w:t>où</w:t>
      </w:r>
      <w:r>
        <w:rPr>
          <w:rFonts w:ascii="Arial" w:hAnsi="Arial"/>
          <w:color w:val="231F20"/>
          <w:spacing w:val="-9"/>
        </w:rPr>
        <w:t> </w:t>
      </w:r>
      <w:r>
        <w:rPr>
          <w:rFonts w:ascii="Arial" w:hAnsi="Arial"/>
          <w:color w:val="231F20"/>
        </w:rPr>
        <w:t>elle</w:t>
      </w:r>
      <w:r>
        <w:rPr>
          <w:rFonts w:ascii="Arial" w:hAnsi="Arial"/>
          <w:color w:val="231F20"/>
          <w:spacing w:val="-9"/>
        </w:rPr>
        <w:t> </w:t>
      </w:r>
      <w:r>
        <w:rPr>
          <w:rFonts w:ascii="Arial" w:hAnsi="Arial"/>
          <w:color w:val="231F20"/>
        </w:rPr>
        <w:t>agit</w:t>
      </w:r>
      <w:r>
        <w:rPr>
          <w:rFonts w:ascii="Arial" w:hAnsi="Arial"/>
          <w:color w:val="231F20"/>
          <w:spacing w:val="-9"/>
        </w:rPr>
        <w:t> </w:t>
      </w:r>
      <w:r>
        <w:rPr>
          <w:rFonts w:ascii="Arial" w:hAnsi="Arial"/>
          <w:color w:val="231F20"/>
        </w:rPr>
        <w:t>[sur]</w:t>
      </w:r>
      <w:r>
        <w:rPr>
          <w:rFonts w:ascii="Arial" w:hAnsi="Arial"/>
          <w:color w:val="231F20"/>
          <w:spacing w:val="-9"/>
        </w:rPr>
        <w:t> </w:t>
      </w:r>
      <w:r>
        <w:rPr>
          <w:rFonts w:ascii="Arial" w:hAnsi="Arial"/>
          <w:color w:val="231F20"/>
        </w:rPr>
        <w:t>l’amygdale</w:t>
      </w:r>
      <w:r>
        <w:rPr>
          <w:rFonts w:ascii="Arial" w:hAnsi="Arial"/>
          <w:color w:val="231F20"/>
          <w:spacing w:val="-9"/>
        </w:rPr>
        <w:t> </w:t>
      </w:r>
      <w:r>
        <w:rPr>
          <w:rFonts w:ascii="Arial" w:hAnsi="Arial"/>
          <w:color w:val="231F20"/>
        </w:rPr>
        <w:t>pour</w:t>
      </w:r>
      <w:r>
        <w:rPr>
          <w:rFonts w:ascii="Arial" w:hAnsi="Arial"/>
          <w:color w:val="231F20"/>
          <w:spacing w:val="-9"/>
        </w:rPr>
        <w:t> </w:t>
      </w:r>
      <w:r>
        <w:rPr>
          <w:rFonts w:ascii="Arial" w:hAnsi="Arial"/>
          <w:color w:val="231F20"/>
        </w:rPr>
        <w:t>influencer</w:t>
      </w:r>
      <w:r>
        <w:rPr>
          <w:rFonts w:ascii="Arial" w:hAnsi="Arial"/>
          <w:color w:val="231F20"/>
          <w:spacing w:val="-9"/>
        </w:rPr>
        <w:t> </w:t>
      </w:r>
      <w:r>
        <w:rPr>
          <w:rFonts w:ascii="Arial" w:hAnsi="Arial"/>
          <w:color w:val="231F20"/>
        </w:rPr>
        <w:t>l’apparition </w:t>
      </w:r>
      <w:r>
        <w:rPr>
          <w:rFonts w:ascii="Arial" w:hAnsi="Arial"/>
          <w:color w:val="231F20"/>
          <w:w w:val="105"/>
        </w:rPr>
        <w:t>de comportements anxieux.</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5"/>
        </w:rPr>
      </w:pPr>
      <w:r>
        <w:rPr/>
        <w:pict>
          <v:shape style="position:absolute;margin-left:82pt;margin-top:9.833006pt;width:287.5pt;height:.1pt;mso-position-horizontal-relative:page;mso-position-vertical-relative:paragraph;z-index:-15685632;mso-wrap-distance-left:0;mso-wrap-distance-right:0" id="docshape609" coordorigin="1640,197" coordsize="5750,0" path="m1640,197l7390,197e" filled="false" stroked="true" strokeweight=".25pt" strokecolor="#231f20">
            <v:path arrowok="t"/>
            <v:stroke dashstyle="shortdot"/>
            <w10:wrap type="topAndBottom"/>
          </v:shape>
        </w:pict>
      </w:r>
    </w:p>
    <w:p>
      <w:pPr>
        <w:tabs>
          <w:tab w:pos="1219" w:val="left" w:leader="none"/>
        </w:tabs>
        <w:spacing w:line="295" w:lineRule="auto" w:before="135"/>
        <w:ind w:left="1219" w:right="108" w:hanging="406"/>
        <w:jc w:val="left"/>
        <w:rPr>
          <w:rFonts w:ascii="Arial"/>
          <w:sz w:val="12"/>
        </w:rPr>
      </w:pPr>
      <w:r>
        <w:rPr>
          <w:rFonts w:ascii="Arial"/>
          <w:color w:val="231F20"/>
          <w:spacing w:val="-6"/>
          <w:sz w:val="12"/>
        </w:rPr>
        <w:t>23</w:t>
      </w:r>
      <w:r>
        <w:rPr>
          <w:rFonts w:ascii="Arial"/>
          <w:color w:val="231F20"/>
          <w:sz w:val="12"/>
        </w:rPr>
        <w:tab/>
        <w:t>Fan, K. Q. </w:t>
      </w:r>
      <w:r>
        <w:rPr>
          <w:rFonts w:ascii="Arial"/>
          <w:i/>
          <w:color w:val="231F20"/>
          <w:sz w:val="12"/>
        </w:rPr>
        <w:t>et al</w:t>
      </w:r>
      <w:r>
        <w:rPr>
          <w:rFonts w:ascii="Arial"/>
          <w:color w:val="231F20"/>
          <w:sz w:val="12"/>
        </w:rPr>
        <w:t>. (2019). Stress-induced metabolic disorder in peripheral CD4+ T cells leads to anxiety-like</w:t>
      </w:r>
      <w:r>
        <w:rPr>
          <w:rFonts w:ascii="Arial"/>
          <w:color w:val="231F20"/>
          <w:spacing w:val="40"/>
          <w:sz w:val="12"/>
        </w:rPr>
        <w:t> </w:t>
      </w:r>
      <w:r>
        <w:rPr>
          <w:rFonts w:ascii="Arial"/>
          <w:color w:val="231F20"/>
          <w:sz w:val="12"/>
        </w:rPr>
        <w:t>behavior, </w:t>
      </w:r>
      <w:r>
        <w:rPr>
          <w:rFonts w:ascii="Arial"/>
          <w:i/>
          <w:color w:val="231F20"/>
          <w:sz w:val="12"/>
        </w:rPr>
        <w:t>Cell</w:t>
      </w:r>
      <w:r>
        <w:rPr>
          <w:rFonts w:ascii="Arial"/>
          <w:color w:val="231F20"/>
          <w:sz w:val="12"/>
        </w:rPr>
        <w:t>, </w:t>
      </w:r>
      <w:r>
        <w:rPr>
          <w:rFonts w:ascii="Arial"/>
          <w:i/>
          <w:color w:val="231F20"/>
          <w:sz w:val="12"/>
        </w:rPr>
        <w:t>179</w:t>
      </w:r>
      <w:r>
        <w:rPr>
          <w:rFonts w:ascii="Arial"/>
          <w:color w:val="231F20"/>
          <w:sz w:val="12"/>
        </w:rPr>
        <w:t>, 864-879.</w:t>
      </w:r>
    </w:p>
    <w:p>
      <w:pPr>
        <w:spacing w:after="0" w:line="295" w:lineRule="auto"/>
        <w:jc w:val="left"/>
        <w:rPr>
          <w:rFonts w:ascii="Arial"/>
          <w:sz w:val="12"/>
        </w:rPr>
        <w:sectPr>
          <w:footerReference w:type="default" r:id="rId174"/>
          <w:pgSz w:w="8640" w:h="12960"/>
          <w:pgMar w:footer="424" w:header="0" w:top="500" w:bottom="620" w:left="420" w:right="1140"/>
        </w:sectPr>
      </w:pPr>
    </w:p>
    <w:p>
      <w:pPr>
        <w:spacing w:before="103"/>
        <w:ind w:left="1028" w:right="698" w:firstLine="0"/>
        <w:jc w:val="center"/>
        <w:rPr>
          <w:rFonts w:ascii="Arial" w:hAnsi="Arial"/>
          <w:sz w:val="14"/>
        </w:rPr>
      </w:pPr>
      <w:bookmarkStart w:name=" 2.6 / Post-scriptum" w:id="68"/>
      <w:bookmarkEnd w:id="68"/>
      <w:r>
        <w:rPr/>
      </w:r>
      <w:bookmarkStart w:name="_bookmark29" w:id="69"/>
      <w:bookmarkEnd w:id="69"/>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3"/>
        <w:rPr>
          <w:rFonts w:ascii="Arial"/>
          <w:sz w:val="29"/>
        </w:rPr>
      </w:pPr>
      <w:r>
        <w:rPr/>
        <w:pict>
          <v:group style="position:absolute;margin-left:62.5pt;margin-top:18.051661pt;width:287.5pt;height:264.75pt;mso-position-horizontal-relative:page;mso-position-vertical-relative:paragraph;z-index:-15684608;mso-wrap-distance-left:0;mso-wrap-distance-right:0" id="docshapegroup611" coordorigin="1250,361" coordsize="5750,5295">
            <v:shape style="position:absolute;left:1250;top:361;width:5750;height:5295" id="docshape612" coordorigin="1250,361" coordsize="5750,5295" path="m7000,361l1250,361,1250,1441,1250,1736,1250,5656,7000,5656,7000,1441,7000,361xe" filled="true" fillcolor="#e2e3e4" stroked="false">
              <v:path arrowok="t"/>
              <v:fill type="solid"/>
            </v:shape>
            <v:line style="position:absolute" from="1500,4814" to="6750,4814" stroked="true" strokeweight=".25pt" strokecolor="#231f20">
              <v:stroke dashstyle="shortdot"/>
            </v:line>
            <v:shape style="position:absolute;left:1250;top:361;width:5750;height:5295" type="#_x0000_t202" id="docshape613" filled="false" stroked="false">
              <v:textbox inset="0,0,0,0">
                <w:txbxContent>
                  <w:p>
                    <w:pPr>
                      <w:spacing w:line="307" w:lineRule="auto" w:before="215"/>
                      <w:ind w:left="250" w:right="245" w:firstLine="0"/>
                      <w:jc w:val="both"/>
                      <w:rPr>
                        <w:rFonts w:ascii="Arial" w:hAnsi="Arial"/>
                        <w:sz w:val="17"/>
                      </w:rPr>
                    </w:pPr>
                    <w:r>
                      <w:rPr>
                        <w:rFonts w:ascii="Arial" w:hAnsi="Arial"/>
                        <w:color w:val="231F20"/>
                        <w:sz w:val="17"/>
                      </w:rPr>
                      <w:t>On a souvent tendance à considérer le cerveau comme un organe à </w:t>
                    </w:r>
                    <w:r>
                      <w:rPr>
                        <w:rFonts w:ascii="Arial" w:hAnsi="Arial"/>
                        <w:color w:val="231F20"/>
                        <w:spacing w:val="-2"/>
                        <w:sz w:val="17"/>
                      </w:rPr>
                      <w:t>part,</w:t>
                    </w:r>
                    <w:r>
                      <w:rPr>
                        <w:rFonts w:ascii="Arial" w:hAnsi="Arial"/>
                        <w:color w:val="231F20"/>
                        <w:spacing w:val="-9"/>
                        <w:sz w:val="17"/>
                      </w:rPr>
                      <w:t> </w:t>
                    </w:r>
                    <w:r>
                      <w:rPr>
                        <w:rFonts w:ascii="Arial" w:hAnsi="Arial"/>
                        <w:color w:val="231F20"/>
                        <w:spacing w:val="-2"/>
                        <w:sz w:val="17"/>
                      </w:rPr>
                      <w:t>avec</w:t>
                    </w:r>
                    <w:r>
                      <w:rPr>
                        <w:rFonts w:ascii="Arial" w:hAnsi="Arial"/>
                        <w:color w:val="231F20"/>
                        <w:spacing w:val="-9"/>
                        <w:sz w:val="17"/>
                      </w:rPr>
                      <w:t> </w:t>
                    </w:r>
                    <w:r>
                      <w:rPr>
                        <w:rFonts w:ascii="Arial" w:hAnsi="Arial"/>
                        <w:color w:val="231F20"/>
                        <w:spacing w:val="-2"/>
                        <w:sz w:val="17"/>
                      </w:rPr>
                      <w:t>comme</w:t>
                    </w:r>
                    <w:r>
                      <w:rPr>
                        <w:rFonts w:ascii="Arial" w:hAnsi="Arial"/>
                        <w:color w:val="231F20"/>
                        <w:spacing w:val="-9"/>
                        <w:sz w:val="17"/>
                      </w:rPr>
                      <w:t> </w:t>
                    </w:r>
                    <w:r>
                      <w:rPr>
                        <w:rFonts w:ascii="Arial" w:hAnsi="Arial"/>
                        <w:color w:val="231F20"/>
                        <w:spacing w:val="-2"/>
                        <w:sz w:val="17"/>
                      </w:rPr>
                      <w:t>conséquence</w:t>
                    </w:r>
                    <w:r>
                      <w:rPr>
                        <w:rFonts w:ascii="Arial" w:hAnsi="Arial"/>
                        <w:color w:val="231F20"/>
                        <w:spacing w:val="-9"/>
                        <w:sz w:val="17"/>
                      </w:rPr>
                      <w:t> </w:t>
                    </w:r>
                    <w:r>
                      <w:rPr>
                        <w:rFonts w:ascii="Arial" w:hAnsi="Arial"/>
                        <w:color w:val="231F20"/>
                        <w:spacing w:val="-2"/>
                        <w:sz w:val="17"/>
                      </w:rPr>
                      <w:t>que</w:t>
                    </w:r>
                    <w:r>
                      <w:rPr>
                        <w:rFonts w:ascii="Arial" w:hAnsi="Arial"/>
                        <w:color w:val="231F20"/>
                        <w:spacing w:val="-9"/>
                        <w:sz w:val="17"/>
                      </w:rPr>
                      <w:t> </w:t>
                    </w:r>
                    <w:r>
                      <w:rPr>
                        <w:rFonts w:ascii="Arial" w:hAnsi="Arial"/>
                        <w:color w:val="231F20"/>
                        <w:spacing w:val="-2"/>
                        <w:sz w:val="17"/>
                      </w:rPr>
                      <w:t>les</w:t>
                    </w:r>
                    <w:r>
                      <w:rPr>
                        <w:rFonts w:ascii="Arial" w:hAnsi="Arial"/>
                        <w:color w:val="231F20"/>
                        <w:spacing w:val="-9"/>
                        <w:sz w:val="17"/>
                      </w:rPr>
                      <w:t> </w:t>
                    </w:r>
                    <w:r>
                      <w:rPr>
                        <w:rFonts w:ascii="Arial" w:hAnsi="Arial"/>
                        <w:color w:val="231F20"/>
                        <w:spacing w:val="-2"/>
                        <w:sz w:val="17"/>
                      </w:rPr>
                      <w:t>troubles</w:t>
                    </w:r>
                    <w:r>
                      <w:rPr>
                        <w:rFonts w:ascii="Arial" w:hAnsi="Arial"/>
                        <w:color w:val="231F20"/>
                        <w:spacing w:val="-9"/>
                        <w:sz w:val="17"/>
                      </w:rPr>
                      <w:t> </w:t>
                    </w:r>
                    <w:r>
                      <w:rPr>
                        <w:rFonts w:ascii="Arial" w:hAnsi="Arial"/>
                        <w:color w:val="231F20"/>
                        <w:spacing w:val="-2"/>
                        <w:sz w:val="17"/>
                      </w:rPr>
                      <w:t>psychiques</w:t>
                    </w:r>
                    <w:r>
                      <w:rPr>
                        <w:rFonts w:ascii="Arial" w:hAnsi="Arial"/>
                        <w:color w:val="231F20"/>
                        <w:spacing w:val="-9"/>
                        <w:sz w:val="17"/>
                      </w:rPr>
                      <w:t> </w:t>
                    </w:r>
                    <w:r>
                      <w:rPr>
                        <w:rFonts w:ascii="Arial" w:hAnsi="Arial"/>
                        <w:color w:val="231F20"/>
                        <w:spacing w:val="-2"/>
                        <w:sz w:val="17"/>
                      </w:rPr>
                      <w:t>sont</w:t>
                    </w:r>
                    <w:r>
                      <w:rPr>
                        <w:rFonts w:ascii="Arial" w:hAnsi="Arial"/>
                        <w:color w:val="231F20"/>
                        <w:spacing w:val="-9"/>
                        <w:sz w:val="17"/>
                      </w:rPr>
                      <w:t> </w:t>
                    </w:r>
                    <w:r>
                      <w:rPr>
                        <w:rFonts w:ascii="Arial" w:hAnsi="Arial"/>
                        <w:color w:val="231F20"/>
                        <w:spacing w:val="-2"/>
                        <w:sz w:val="17"/>
                      </w:rPr>
                      <w:t>géné- </w:t>
                    </w:r>
                    <w:r>
                      <w:rPr>
                        <w:rFonts w:ascii="Arial" w:hAnsi="Arial"/>
                        <w:color w:val="231F20"/>
                        <w:sz w:val="17"/>
                      </w:rPr>
                      <w:t>ralement</w:t>
                    </w:r>
                    <w:r>
                      <w:rPr>
                        <w:rFonts w:ascii="Arial" w:hAnsi="Arial"/>
                        <w:color w:val="231F20"/>
                        <w:spacing w:val="33"/>
                        <w:sz w:val="17"/>
                      </w:rPr>
                      <w:t> </w:t>
                    </w:r>
                    <w:r>
                      <w:rPr>
                        <w:rFonts w:ascii="Arial" w:hAnsi="Arial"/>
                        <w:color w:val="231F20"/>
                        <w:sz w:val="17"/>
                      </w:rPr>
                      <w:t>considérés</w:t>
                    </w:r>
                    <w:r>
                      <w:rPr>
                        <w:rFonts w:ascii="Arial" w:hAnsi="Arial"/>
                        <w:color w:val="231F20"/>
                        <w:spacing w:val="33"/>
                        <w:sz w:val="17"/>
                      </w:rPr>
                      <w:t> </w:t>
                    </w:r>
                    <w:r>
                      <w:rPr>
                        <w:rFonts w:ascii="Arial" w:hAnsi="Arial"/>
                        <w:color w:val="231F20"/>
                        <w:sz w:val="17"/>
                      </w:rPr>
                      <w:t>comme</w:t>
                    </w:r>
                    <w:r>
                      <w:rPr>
                        <w:rFonts w:ascii="Arial" w:hAnsi="Arial"/>
                        <w:color w:val="231F20"/>
                        <w:spacing w:val="33"/>
                        <w:sz w:val="17"/>
                      </w:rPr>
                      <w:t> </w:t>
                    </w:r>
                    <w:r>
                      <w:rPr>
                        <w:rFonts w:ascii="Arial" w:hAnsi="Arial"/>
                        <w:color w:val="231F20"/>
                        <w:sz w:val="17"/>
                      </w:rPr>
                      <w:t>des</w:t>
                    </w:r>
                    <w:r>
                      <w:rPr>
                        <w:rFonts w:ascii="Arial" w:hAnsi="Arial"/>
                        <w:color w:val="231F20"/>
                        <w:spacing w:val="33"/>
                        <w:sz w:val="17"/>
                      </w:rPr>
                      <w:t> </w:t>
                    </w:r>
                    <w:r>
                      <w:rPr>
                        <w:rFonts w:ascii="Arial" w:hAnsi="Arial"/>
                        <w:color w:val="231F20"/>
                        <w:sz w:val="17"/>
                      </w:rPr>
                      <w:t>maladies</w:t>
                    </w:r>
                    <w:r>
                      <w:rPr>
                        <w:rFonts w:ascii="Arial" w:hAnsi="Arial"/>
                        <w:color w:val="231F20"/>
                        <w:spacing w:val="33"/>
                        <w:sz w:val="17"/>
                      </w:rPr>
                      <w:t> </w:t>
                    </w:r>
                    <w:r>
                      <w:rPr>
                        <w:rFonts w:ascii="Arial" w:hAnsi="Arial"/>
                        <w:color w:val="231F20"/>
                        <w:sz w:val="17"/>
                      </w:rPr>
                      <w:t>sans</w:t>
                    </w:r>
                    <w:r>
                      <w:rPr>
                        <w:rFonts w:ascii="Arial" w:hAnsi="Arial"/>
                        <w:color w:val="231F20"/>
                        <w:spacing w:val="33"/>
                        <w:sz w:val="17"/>
                      </w:rPr>
                      <w:t> </w:t>
                    </w:r>
                    <w:r>
                      <w:rPr>
                        <w:rFonts w:ascii="Arial" w:hAnsi="Arial"/>
                        <w:color w:val="231F20"/>
                        <w:sz w:val="17"/>
                      </w:rPr>
                      <w:t>lien</w:t>
                    </w:r>
                    <w:r>
                      <w:rPr>
                        <w:rFonts w:ascii="Arial" w:hAnsi="Arial"/>
                        <w:color w:val="231F20"/>
                        <w:spacing w:val="33"/>
                        <w:sz w:val="17"/>
                      </w:rPr>
                      <w:t> </w:t>
                    </w:r>
                    <w:r>
                      <w:rPr>
                        <w:rFonts w:ascii="Arial" w:hAnsi="Arial"/>
                        <w:color w:val="231F20"/>
                        <w:sz w:val="17"/>
                      </w:rPr>
                      <w:t>avec</w:t>
                    </w:r>
                    <w:r>
                      <w:rPr>
                        <w:rFonts w:ascii="Arial" w:hAnsi="Arial"/>
                        <w:color w:val="231F20"/>
                        <w:spacing w:val="33"/>
                        <w:sz w:val="17"/>
                      </w:rPr>
                      <w:t> </w:t>
                    </w:r>
                    <w:r>
                      <w:rPr>
                        <w:rFonts w:ascii="Arial" w:hAnsi="Arial"/>
                        <w:color w:val="231F20"/>
                        <w:sz w:val="17"/>
                      </w:rPr>
                      <w:t>le</w:t>
                    </w:r>
                    <w:r>
                      <w:rPr>
                        <w:rFonts w:ascii="Arial" w:hAnsi="Arial"/>
                        <w:color w:val="231F20"/>
                        <w:spacing w:val="33"/>
                        <w:sz w:val="17"/>
                      </w:rPr>
                      <w:t> </w:t>
                    </w:r>
                    <w:r>
                      <w:rPr>
                        <w:rFonts w:ascii="Arial" w:hAnsi="Arial"/>
                        <w:color w:val="231F20"/>
                        <w:sz w:val="17"/>
                      </w:rPr>
                      <w:t>reste du</w:t>
                    </w:r>
                    <w:r>
                      <w:rPr>
                        <w:rFonts w:ascii="Arial" w:hAnsi="Arial"/>
                        <w:color w:val="231F20"/>
                        <w:spacing w:val="-3"/>
                        <w:sz w:val="17"/>
                      </w:rPr>
                      <w:t> </w:t>
                    </w:r>
                    <w:r>
                      <w:rPr>
                        <w:rFonts w:ascii="Arial" w:hAnsi="Arial"/>
                        <w:color w:val="231F20"/>
                        <w:sz w:val="17"/>
                      </w:rPr>
                      <w:t>corps.</w:t>
                    </w:r>
                  </w:p>
                  <w:p>
                    <w:pPr>
                      <w:spacing w:line="307" w:lineRule="auto" w:before="80"/>
                      <w:ind w:left="250" w:right="242" w:firstLine="0"/>
                      <w:jc w:val="both"/>
                      <w:rPr>
                        <w:rFonts w:ascii="Arial" w:hAnsi="Arial"/>
                        <w:sz w:val="17"/>
                      </w:rPr>
                    </w:pPr>
                    <w:r>
                      <w:rPr>
                        <w:rFonts w:ascii="Arial" w:hAnsi="Arial"/>
                        <w:color w:val="231F20"/>
                        <w:sz w:val="17"/>
                      </w:rPr>
                      <w:t>Les résultats de cette étude montrent clairement que ce n’est pas le cas,</w:t>
                    </w:r>
                    <w:r>
                      <w:rPr>
                        <w:rFonts w:ascii="Arial" w:hAnsi="Arial"/>
                        <w:color w:val="231F20"/>
                        <w:spacing w:val="-2"/>
                        <w:sz w:val="17"/>
                      </w:rPr>
                      <w:t> </w:t>
                    </w:r>
                    <w:r>
                      <w:rPr>
                        <w:rFonts w:ascii="Arial" w:hAnsi="Arial"/>
                        <w:color w:val="231F20"/>
                        <w:sz w:val="17"/>
                      </w:rPr>
                      <w:t>et</w:t>
                    </w:r>
                    <w:r>
                      <w:rPr>
                        <w:rFonts w:ascii="Arial" w:hAnsi="Arial"/>
                        <w:color w:val="231F20"/>
                        <w:spacing w:val="-2"/>
                        <w:sz w:val="17"/>
                      </w:rPr>
                      <w:t> </w:t>
                    </w:r>
                    <w:r>
                      <w:rPr>
                        <w:rFonts w:ascii="Arial" w:hAnsi="Arial"/>
                        <w:color w:val="231F20"/>
                        <w:sz w:val="17"/>
                      </w:rPr>
                      <w:t>que</w:t>
                    </w:r>
                    <w:r>
                      <w:rPr>
                        <w:rFonts w:ascii="Arial" w:hAnsi="Arial"/>
                        <w:color w:val="231F20"/>
                        <w:spacing w:val="-2"/>
                        <w:sz w:val="17"/>
                      </w:rPr>
                      <w:t> </w:t>
                    </w:r>
                    <w:r>
                      <w:rPr>
                        <w:rFonts w:ascii="Arial" w:hAnsi="Arial"/>
                        <w:color w:val="231F20"/>
                        <w:sz w:val="17"/>
                      </w:rPr>
                      <w:t>des</w:t>
                    </w:r>
                    <w:r>
                      <w:rPr>
                        <w:rFonts w:ascii="Arial" w:hAnsi="Arial"/>
                        <w:color w:val="231F20"/>
                        <w:spacing w:val="-2"/>
                        <w:sz w:val="17"/>
                      </w:rPr>
                      <w:t> </w:t>
                    </w:r>
                    <w:r>
                      <w:rPr>
                        <w:rFonts w:ascii="Arial" w:hAnsi="Arial"/>
                        <w:color w:val="231F20"/>
                        <w:sz w:val="17"/>
                      </w:rPr>
                      <w:t>perturbations</w:t>
                    </w:r>
                    <w:r>
                      <w:rPr>
                        <w:rFonts w:ascii="Arial" w:hAnsi="Arial"/>
                        <w:color w:val="231F20"/>
                        <w:spacing w:val="-2"/>
                        <w:sz w:val="17"/>
                      </w:rPr>
                      <w:t> </w:t>
                    </w:r>
                    <w:r>
                      <w:rPr>
                        <w:rFonts w:ascii="Arial" w:hAnsi="Arial"/>
                        <w:color w:val="231F20"/>
                        <w:sz w:val="17"/>
                      </w:rPr>
                      <w:t>métaboliques</w:t>
                    </w:r>
                    <w:r>
                      <w:rPr>
                        <w:rFonts w:ascii="Arial" w:hAnsi="Arial"/>
                        <w:color w:val="231F20"/>
                        <w:spacing w:val="-2"/>
                        <w:sz w:val="17"/>
                      </w:rPr>
                      <w:t> </w:t>
                    </w:r>
                    <w:r>
                      <w:rPr>
                        <w:rFonts w:ascii="Arial" w:hAnsi="Arial"/>
                        <w:color w:val="231F20"/>
                        <w:sz w:val="17"/>
                      </w:rPr>
                      <w:t>qui</w:t>
                    </w:r>
                    <w:r>
                      <w:rPr>
                        <w:rFonts w:ascii="Arial" w:hAnsi="Arial"/>
                        <w:color w:val="231F20"/>
                        <w:spacing w:val="-2"/>
                        <w:sz w:val="17"/>
                      </w:rPr>
                      <w:t> </w:t>
                    </w:r>
                    <w:r>
                      <w:rPr>
                        <w:rFonts w:ascii="Arial" w:hAnsi="Arial"/>
                        <w:color w:val="231F20"/>
                        <w:sz w:val="17"/>
                      </w:rPr>
                      <w:t>se</w:t>
                    </w:r>
                    <w:r>
                      <w:rPr>
                        <w:rFonts w:ascii="Arial" w:hAnsi="Arial"/>
                        <w:color w:val="231F20"/>
                        <w:spacing w:val="-2"/>
                        <w:sz w:val="17"/>
                      </w:rPr>
                      <w:t> </w:t>
                    </w:r>
                    <w:r>
                      <w:rPr>
                        <w:rFonts w:ascii="Arial" w:hAnsi="Arial"/>
                        <w:color w:val="231F20"/>
                        <w:sz w:val="17"/>
                      </w:rPr>
                      <w:t>produisent</w:t>
                    </w:r>
                    <w:r>
                      <w:rPr>
                        <w:rFonts w:ascii="Arial" w:hAnsi="Arial"/>
                        <w:color w:val="231F20"/>
                        <w:spacing w:val="-2"/>
                        <w:sz w:val="17"/>
                      </w:rPr>
                      <w:t> </w:t>
                    </w:r>
                    <w:r>
                      <w:rPr>
                        <w:rFonts w:ascii="Arial" w:hAnsi="Arial"/>
                        <w:color w:val="231F20"/>
                        <w:sz w:val="17"/>
                      </w:rPr>
                      <w:t>à</w:t>
                    </w:r>
                    <w:r>
                      <w:rPr>
                        <w:rFonts w:ascii="Arial" w:hAnsi="Arial"/>
                        <w:color w:val="231F20"/>
                        <w:spacing w:val="-2"/>
                        <w:sz w:val="17"/>
                      </w:rPr>
                      <w:t> </w:t>
                    </w:r>
                    <w:r>
                      <w:rPr>
                        <w:rFonts w:ascii="Arial" w:hAnsi="Arial"/>
                        <w:color w:val="231F20"/>
                        <w:sz w:val="17"/>
                      </w:rPr>
                      <w:t>l’exté- rieur du cerveau, dans ce cas-ci sur le plan du système immunitaire, peuvent</w:t>
                    </w:r>
                    <w:r>
                      <w:rPr>
                        <w:rFonts w:ascii="Arial" w:hAnsi="Arial"/>
                        <w:color w:val="231F20"/>
                        <w:spacing w:val="-10"/>
                        <w:sz w:val="17"/>
                      </w:rPr>
                      <w:t> </w:t>
                    </w:r>
                    <w:r>
                      <w:rPr>
                        <w:rFonts w:ascii="Arial" w:hAnsi="Arial"/>
                        <w:color w:val="231F20"/>
                        <w:sz w:val="17"/>
                      </w:rPr>
                      <w:t>jouer</w:t>
                    </w:r>
                    <w:r>
                      <w:rPr>
                        <w:rFonts w:ascii="Arial" w:hAnsi="Arial"/>
                        <w:color w:val="231F20"/>
                        <w:spacing w:val="-10"/>
                        <w:sz w:val="17"/>
                      </w:rPr>
                      <w:t> </w:t>
                    </w:r>
                    <w:r>
                      <w:rPr>
                        <w:rFonts w:ascii="Arial" w:hAnsi="Arial"/>
                        <w:color w:val="231F20"/>
                        <w:sz w:val="17"/>
                      </w:rPr>
                      <w:t>un</w:t>
                    </w:r>
                    <w:r>
                      <w:rPr>
                        <w:rFonts w:ascii="Arial" w:hAnsi="Arial"/>
                        <w:color w:val="231F20"/>
                        <w:spacing w:val="-10"/>
                        <w:sz w:val="17"/>
                      </w:rPr>
                      <w:t> </w:t>
                    </w:r>
                    <w:r>
                      <w:rPr>
                        <w:rFonts w:ascii="Arial" w:hAnsi="Arial"/>
                        <w:color w:val="231F20"/>
                        <w:sz w:val="17"/>
                      </w:rPr>
                      <w:t>rôle</w:t>
                    </w:r>
                    <w:r>
                      <w:rPr>
                        <w:rFonts w:ascii="Arial" w:hAnsi="Arial"/>
                        <w:color w:val="231F20"/>
                        <w:spacing w:val="-10"/>
                        <w:sz w:val="17"/>
                      </w:rPr>
                      <w:t> </w:t>
                    </w:r>
                    <w:r>
                      <w:rPr>
                        <w:rFonts w:ascii="Arial" w:hAnsi="Arial"/>
                        <w:color w:val="231F20"/>
                        <w:sz w:val="17"/>
                      </w:rPr>
                      <w:t>clé</w:t>
                    </w:r>
                    <w:r>
                      <w:rPr>
                        <w:rFonts w:ascii="Arial" w:hAnsi="Arial"/>
                        <w:color w:val="231F20"/>
                        <w:spacing w:val="-11"/>
                        <w:sz w:val="17"/>
                      </w:rPr>
                      <w:t> </w:t>
                    </w:r>
                    <w:r>
                      <w:rPr>
                        <w:rFonts w:ascii="Arial" w:hAnsi="Arial"/>
                        <w:color w:val="231F20"/>
                        <w:sz w:val="17"/>
                      </w:rPr>
                      <w:t>dans</w:t>
                    </w:r>
                    <w:r>
                      <w:rPr>
                        <w:rFonts w:ascii="Arial" w:hAnsi="Arial"/>
                        <w:color w:val="231F20"/>
                        <w:spacing w:val="-10"/>
                        <w:sz w:val="17"/>
                      </w:rPr>
                      <w:t> </w:t>
                    </w:r>
                    <w:r>
                      <w:rPr>
                        <w:rFonts w:ascii="Arial" w:hAnsi="Arial"/>
                        <w:color w:val="231F20"/>
                        <w:sz w:val="17"/>
                      </w:rPr>
                      <w:t>le</w:t>
                    </w:r>
                    <w:r>
                      <w:rPr>
                        <w:rFonts w:ascii="Arial" w:hAnsi="Arial"/>
                        <w:color w:val="231F20"/>
                        <w:spacing w:val="-10"/>
                        <w:sz w:val="17"/>
                      </w:rPr>
                      <w:t> </w:t>
                    </w:r>
                    <w:r>
                      <w:rPr>
                        <w:rFonts w:ascii="Arial" w:hAnsi="Arial"/>
                        <w:color w:val="231F20"/>
                        <w:sz w:val="17"/>
                      </w:rPr>
                      <w:t>déclenchement</w:t>
                    </w:r>
                    <w:r>
                      <w:rPr>
                        <w:rFonts w:ascii="Arial" w:hAnsi="Arial"/>
                        <w:color w:val="231F20"/>
                        <w:spacing w:val="-10"/>
                        <w:sz w:val="17"/>
                      </w:rPr>
                      <w:t> </w:t>
                    </w:r>
                    <w:r>
                      <w:rPr>
                        <w:rFonts w:ascii="Arial" w:hAnsi="Arial"/>
                        <w:color w:val="231F20"/>
                        <w:sz w:val="17"/>
                      </w:rPr>
                      <w:t>des</w:t>
                    </w:r>
                    <w:r>
                      <w:rPr>
                        <w:rFonts w:ascii="Arial" w:hAnsi="Arial"/>
                        <w:color w:val="231F20"/>
                        <w:spacing w:val="-11"/>
                        <w:sz w:val="17"/>
                      </w:rPr>
                      <w:t> </w:t>
                    </w:r>
                    <w:r>
                      <w:rPr>
                        <w:rFonts w:ascii="Arial" w:hAnsi="Arial"/>
                        <w:color w:val="231F20"/>
                        <w:sz w:val="17"/>
                      </w:rPr>
                      <w:t>troubles</w:t>
                    </w:r>
                    <w:r>
                      <w:rPr>
                        <w:rFonts w:ascii="Arial" w:hAnsi="Arial"/>
                        <w:color w:val="231F20"/>
                        <w:spacing w:val="-10"/>
                        <w:sz w:val="17"/>
                      </w:rPr>
                      <w:t> </w:t>
                    </w:r>
                    <w:r>
                      <w:rPr>
                        <w:rFonts w:ascii="Arial" w:hAnsi="Arial"/>
                        <w:color w:val="231F20"/>
                        <w:sz w:val="17"/>
                      </w:rPr>
                      <w:t>anxieux. Cela [semble donc indiquer] que le traitement de certains troubles psychiques</w:t>
                    </w:r>
                    <w:r>
                      <w:rPr>
                        <w:rFonts w:ascii="Arial" w:hAnsi="Arial"/>
                        <w:color w:val="231F20"/>
                        <w:spacing w:val="-4"/>
                        <w:sz w:val="17"/>
                      </w:rPr>
                      <w:t> </w:t>
                    </w:r>
                    <w:r>
                      <w:rPr>
                        <w:rFonts w:ascii="Arial" w:hAnsi="Arial"/>
                        <w:color w:val="231F20"/>
                        <w:sz w:val="17"/>
                      </w:rPr>
                      <w:t>ne</w:t>
                    </w:r>
                    <w:r>
                      <w:rPr>
                        <w:rFonts w:ascii="Arial" w:hAnsi="Arial"/>
                        <w:color w:val="231F20"/>
                        <w:spacing w:val="-4"/>
                        <w:sz w:val="17"/>
                      </w:rPr>
                      <w:t> </w:t>
                    </w:r>
                    <w:r>
                      <w:rPr>
                        <w:rFonts w:ascii="Arial" w:hAnsi="Arial"/>
                        <w:color w:val="231F20"/>
                        <w:sz w:val="17"/>
                      </w:rPr>
                      <w:t>passerait</w:t>
                    </w:r>
                    <w:r>
                      <w:rPr>
                        <w:rFonts w:ascii="Arial" w:hAnsi="Arial"/>
                        <w:color w:val="231F20"/>
                        <w:spacing w:val="-4"/>
                        <w:sz w:val="17"/>
                      </w:rPr>
                      <w:t> </w:t>
                    </w:r>
                    <w:r>
                      <w:rPr>
                        <w:rFonts w:ascii="Arial" w:hAnsi="Arial"/>
                        <w:color w:val="231F20"/>
                        <w:sz w:val="17"/>
                      </w:rPr>
                      <w:t>pas</w:t>
                    </w:r>
                    <w:r>
                      <w:rPr>
                        <w:rFonts w:ascii="Arial" w:hAnsi="Arial"/>
                        <w:color w:val="231F20"/>
                        <w:spacing w:val="-4"/>
                        <w:sz w:val="17"/>
                      </w:rPr>
                      <w:t> </w:t>
                    </w:r>
                    <w:r>
                      <w:rPr>
                        <w:rFonts w:ascii="Arial" w:hAnsi="Arial"/>
                        <w:color w:val="231F20"/>
                        <w:sz w:val="17"/>
                      </w:rPr>
                      <w:t>seulement</w:t>
                    </w:r>
                    <w:r>
                      <w:rPr>
                        <w:rFonts w:ascii="Arial" w:hAnsi="Arial"/>
                        <w:color w:val="231F20"/>
                        <w:spacing w:val="-4"/>
                        <w:sz w:val="17"/>
                      </w:rPr>
                      <w:t> </w:t>
                    </w:r>
                    <w:r>
                      <w:rPr>
                        <w:rFonts w:ascii="Arial" w:hAnsi="Arial"/>
                        <w:color w:val="231F20"/>
                        <w:sz w:val="17"/>
                      </w:rPr>
                      <w:t>par</w:t>
                    </w:r>
                    <w:r>
                      <w:rPr>
                        <w:rFonts w:ascii="Arial" w:hAnsi="Arial"/>
                        <w:color w:val="231F20"/>
                        <w:spacing w:val="-4"/>
                        <w:sz w:val="17"/>
                      </w:rPr>
                      <w:t> </w:t>
                    </w:r>
                    <w:r>
                      <w:rPr>
                        <w:rFonts w:ascii="Arial" w:hAnsi="Arial"/>
                        <w:color w:val="231F20"/>
                        <w:sz w:val="17"/>
                      </w:rPr>
                      <w:t>l’utilisation</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substances pharmacologiques qui agissent [sur le] cerveau, mais aussi par des approches plus globales qui ciblent l’ensemble du corps.</w:t>
                    </w:r>
                  </w:p>
                  <w:p>
                    <w:pPr>
                      <w:spacing w:line="307" w:lineRule="auto" w:before="78"/>
                      <w:ind w:left="250" w:right="247" w:firstLine="0"/>
                      <w:jc w:val="both"/>
                      <w:rPr>
                        <w:rFonts w:ascii="Arial" w:hAnsi="Arial"/>
                        <w:sz w:val="17"/>
                      </w:rPr>
                    </w:pPr>
                    <w:r>
                      <w:rPr>
                        <w:rFonts w:ascii="Arial" w:hAnsi="Arial"/>
                        <w:color w:val="231F20"/>
                        <w:sz w:val="17"/>
                      </w:rPr>
                      <w:t>Bien</w:t>
                    </w:r>
                    <w:r>
                      <w:rPr>
                        <w:rFonts w:ascii="Arial" w:hAnsi="Arial"/>
                        <w:color w:val="231F20"/>
                        <w:spacing w:val="-4"/>
                        <w:sz w:val="17"/>
                      </w:rPr>
                      <w:t> </w:t>
                    </w:r>
                    <w:r>
                      <w:rPr>
                        <w:rFonts w:ascii="Arial" w:hAnsi="Arial"/>
                        <w:color w:val="231F20"/>
                        <w:sz w:val="17"/>
                      </w:rPr>
                      <w:t>gérer</w:t>
                    </w:r>
                    <w:r>
                      <w:rPr>
                        <w:rFonts w:ascii="Arial" w:hAnsi="Arial"/>
                        <w:color w:val="231F20"/>
                        <w:spacing w:val="-4"/>
                        <w:sz w:val="17"/>
                      </w:rPr>
                      <w:t> </w:t>
                    </w:r>
                    <w:r>
                      <w:rPr>
                        <w:rFonts w:ascii="Arial" w:hAnsi="Arial"/>
                        <w:color w:val="231F20"/>
                        <w:sz w:val="17"/>
                      </w:rPr>
                      <w:t>le</w:t>
                    </w:r>
                    <w:r>
                      <w:rPr>
                        <w:rFonts w:ascii="Arial" w:hAnsi="Arial"/>
                        <w:color w:val="231F20"/>
                        <w:spacing w:val="-4"/>
                        <w:sz w:val="17"/>
                      </w:rPr>
                      <w:t> </w:t>
                    </w:r>
                    <w:r>
                      <w:rPr>
                        <w:rFonts w:ascii="Arial" w:hAnsi="Arial"/>
                        <w:color w:val="231F20"/>
                        <w:sz w:val="17"/>
                      </w:rPr>
                      <w:t>stress</w:t>
                    </w:r>
                    <w:r>
                      <w:rPr>
                        <w:rFonts w:ascii="Arial" w:hAnsi="Arial"/>
                        <w:color w:val="231F20"/>
                        <w:spacing w:val="-4"/>
                        <w:sz w:val="17"/>
                      </w:rPr>
                      <w:t> </w:t>
                    </w:r>
                    <w:r>
                      <w:rPr>
                        <w:rFonts w:ascii="Arial" w:hAnsi="Arial"/>
                        <w:color w:val="231F20"/>
                        <w:sz w:val="17"/>
                      </w:rPr>
                      <w:t>n’est</w:t>
                    </w:r>
                    <w:r>
                      <w:rPr>
                        <w:rFonts w:ascii="Arial" w:hAnsi="Arial"/>
                        <w:color w:val="231F20"/>
                        <w:spacing w:val="-4"/>
                        <w:sz w:val="17"/>
                      </w:rPr>
                      <w:t> </w:t>
                    </w:r>
                    <w:r>
                      <w:rPr>
                        <w:rFonts w:ascii="Arial" w:hAnsi="Arial"/>
                        <w:color w:val="231F20"/>
                        <w:sz w:val="17"/>
                      </w:rPr>
                      <w:t>évidemment</w:t>
                    </w:r>
                    <w:r>
                      <w:rPr>
                        <w:rFonts w:ascii="Arial" w:hAnsi="Arial"/>
                        <w:color w:val="231F20"/>
                        <w:spacing w:val="-4"/>
                        <w:sz w:val="17"/>
                      </w:rPr>
                      <w:t> </w:t>
                    </w:r>
                    <w:r>
                      <w:rPr>
                        <w:rFonts w:ascii="Arial" w:hAnsi="Arial"/>
                        <w:color w:val="231F20"/>
                        <w:sz w:val="17"/>
                      </w:rPr>
                      <w:t>pas</w:t>
                    </w:r>
                    <w:r>
                      <w:rPr>
                        <w:rFonts w:ascii="Arial" w:hAnsi="Arial"/>
                        <w:color w:val="231F20"/>
                        <w:spacing w:val="-4"/>
                        <w:sz w:val="17"/>
                      </w:rPr>
                      <w:t> </w:t>
                    </w:r>
                    <w:r>
                      <w:rPr>
                        <w:rFonts w:ascii="Arial" w:hAnsi="Arial"/>
                        <w:color w:val="231F20"/>
                        <w:sz w:val="17"/>
                      </w:rPr>
                      <w:t>facile,</w:t>
                    </w:r>
                    <w:r>
                      <w:rPr>
                        <w:rFonts w:ascii="Arial" w:hAnsi="Arial"/>
                        <w:color w:val="231F20"/>
                        <w:spacing w:val="-4"/>
                        <w:sz w:val="17"/>
                      </w:rPr>
                      <w:t> </w:t>
                    </w:r>
                    <w:r>
                      <w:rPr>
                        <w:rFonts w:ascii="Arial" w:hAnsi="Arial"/>
                        <w:color w:val="231F20"/>
                        <w:sz w:val="17"/>
                      </w:rPr>
                      <w:t>mais</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plus</w:t>
                    </w:r>
                    <w:r>
                      <w:rPr>
                        <w:rFonts w:ascii="Arial" w:hAnsi="Arial"/>
                        <w:color w:val="231F20"/>
                        <w:spacing w:val="-4"/>
                        <w:sz w:val="17"/>
                      </w:rPr>
                      <w:t> </w:t>
                    </w:r>
                    <w:r>
                      <w:rPr>
                        <w:rFonts w:ascii="Arial" w:hAnsi="Arial"/>
                        <w:color w:val="231F20"/>
                        <w:sz w:val="17"/>
                      </w:rPr>
                      <w:t>en</w:t>
                    </w:r>
                    <w:r>
                      <w:rPr>
                        <w:rFonts w:ascii="Arial" w:hAnsi="Arial"/>
                        <w:color w:val="231F20"/>
                        <w:spacing w:val="-4"/>
                        <w:sz w:val="17"/>
                      </w:rPr>
                      <w:t> </w:t>
                    </w:r>
                    <w:r>
                      <w:rPr>
                        <w:rFonts w:ascii="Arial" w:hAnsi="Arial"/>
                        <w:color w:val="231F20"/>
                        <w:sz w:val="17"/>
                      </w:rPr>
                      <w:t>plus d’options sont disponibles. La première est l’activité physique, dont le rôle anxiolytique est bien documenté, mais d’autres activités comme </w:t>
                    </w:r>
                    <w:r>
                      <w:rPr>
                        <w:rFonts w:ascii="Arial" w:hAnsi="Arial"/>
                        <w:color w:val="231F20"/>
                        <w:w w:val="105"/>
                        <w:sz w:val="17"/>
                      </w:rPr>
                      <w:t>le yoga, le tai-chi et la méditation peuvent être très positives.</w:t>
                    </w:r>
                  </w:p>
                  <w:p>
                    <w:pPr>
                      <w:spacing w:line="295" w:lineRule="auto" w:before="216"/>
                      <w:ind w:left="250" w:right="244" w:firstLine="0"/>
                      <w:jc w:val="both"/>
                      <w:rPr>
                        <w:rFonts w:ascii="Arial" w:hAnsi="Arial"/>
                        <w:sz w:val="12"/>
                      </w:rPr>
                    </w:pPr>
                    <w:r>
                      <w:rPr>
                        <w:rFonts w:ascii="Arial" w:hAnsi="Arial"/>
                        <w:color w:val="231F20"/>
                        <w:w w:val="105"/>
                        <w:sz w:val="12"/>
                      </w:rPr>
                      <w:t>Source</w:t>
                    </w:r>
                    <w:r>
                      <w:rPr>
                        <w:rFonts w:ascii="Arial" w:hAnsi="Arial"/>
                        <w:color w:val="231F20"/>
                        <w:spacing w:val="-9"/>
                        <w:w w:val="105"/>
                        <w:sz w:val="12"/>
                      </w:rPr>
                      <w:t> </w:t>
                    </w:r>
                    <w:r>
                      <w:rPr>
                        <w:rFonts w:ascii="Arial" w:hAnsi="Arial"/>
                        <w:color w:val="231F20"/>
                        <w:w w:val="105"/>
                        <w:sz w:val="12"/>
                      </w:rPr>
                      <w:t>:</w:t>
                    </w:r>
                    <w:r>
                      <w:rPr>
                        <w:rFonts w:ascii="Arial" w:hAnsi="Arial"/>
                        <w:color w:val="231F20"/>
                        <w:spacing w:val="-9"/>
                        <w:w w:val="105"/>
                        <w:sz w:val="12"/>
                      </w:rPr>
                      <w:t> </w:t>
                    </w:r>
                    <w:r>
                      <w:rPr>
                        <w:rFonts w:ascii="Arial" w:hAnsi="Arial"/>
                        <w:color w:val="231F20"/>
                        <w:w w:val="105"/>
                        <w:sz w:val="12"/>
                      </w:rPr>
                      <w:t>Béliveau,</w:t>
                    </w:r>
                    <w:r>
                      <w:rPr>
                        <w:rFonts w:ascii="Arial" w:hAnsi="Arial"/>
                        <w:color w:val="231F20"/>
                        <w:spacing w:val="-2"/>
                        <w:w w:val="105"/>
                        <w:sz w:val="12"/>
                      </w:rPr>
                      <w:t> </w:t>
                    </w:r>
                    <w:r>
                      <w:rPr>
                        <w:rFonts w:ascii="Arial" w:hAnsi="Arial"/>
                        <w:color w:val="231F20"/>
                        <w:w w:val="105"/>
                        <w:sz w:val="12"/>
                      </w:rPr>
                      <w:t>R. (2020). Comment le stress chronique peut mener à l’anxiété, </w:t>
                    </w:r>
                    <w:r>
                      <w:rPr>
                        <w:rFonts w:ascii="Arial" w:hAnsi="Arial"/>
                        <w:i/>
                        <w:color w:val="231F20"/>
                        <w:w w:val="105"/>
                        <w:sz w:val="12"/>
                      </w:rPr>
                      <w:t>Journal de</w:t>
                    </w:r>
                    <w:r>
                      <w:rPr>
                        <w:rFonts w:ascii="Arial" w:hAnsi="Arial"/>
                        <w:i/>
                        <w:color w:val="231F20"/>
                        <w:spacing w:val="40"/>
                        <w:w w:val="105"/>
                        <w:sz w:val="12"/>
                      </w:rPr>
                      <w:t> </w:t>
                    </w:r>
                    <w:r>
                      <w:rPr>
                        <w:rFonts w:ascii="Arial" w:hAnsi="Arial"/>
                        <w:i/>
                        <w:color w:val="231F20"/>
                        <w:w w:val="105"/>
                        <w:sz w:val="12"/>
                      </w:rPr>
                      <w:t>Montréal</w:t>
                    </w:r>
                    <w:r>
                      <w:rPr>
                        <w:rFonts w:ascii="Arial" w:hAnsi="Arial"/>
                        <w:color w:val="231F20"/>
                        <w:w w:val="105"/>
                        <w:sz w:val="12"/>
                      </w:rPr>
                      <w:t>, 23 février, &lt;https://</w:t>
                    </w:r>
                    <w:hyperlink r:id="rId176">
                      <w:r>
                        <w:rPr>
                          <w:rFonts w:ascii="Arial" w:hAnsi="Arial"/>
                          <w:color w:val="231F20"/>
                          <w:w w:val="105"/>
                          <w:sz w:val="12"/>
                        </w:rPr>
                        <w:t>www.journaldemontreal.com/2020/02/23/comment-le-stress-</w:t>
                      </w:r>
                    </w:hyperlink>
                    <w:r>
                      <w:rPr>
                        <w:rFonts w:ascii="Arial" w:hAnsi="Arial"/>
                        <w:color w:val="231F20"/>
                        <w:spacing w:val="40"/>
                        <w:w w:val="105"/>
                        <w:sz w:val="12"/>
                      </w:rPr>
                      <w:t> </w:t>
                    </w:r>
                    <w:r>
                      <w:rPr>
                        <w:rFonts w:ascii="Arial" w:hAnsi="Arial"/>
                        <w:color w:val="231F20"/>
                        <w:w w:val="105"/>
                        <w:sz w:val="12"/>
                      </w:rPr>
                      <w:t>chronique-peut-mener-a-lanxiete&gt;, consulté le 15 novembre 2021.</w:t>
                    </w:r>
                  </w:p>
                </w:txbxContent>
              </v:textbox>
              <w10:wrap type="none"/>
            </v:shape>
            <w10:wrap type="topAndBottom"/>
          </v:group>
        </w:pict>
      </w:r>
    </w:p>
    <w:p>
      <w:pPr>
        <w:pStyle w:val="BodyText"/>
        <w:rPr>
          <w:rFonts w:ascii="Arial"/>
          <w:sz w:val="20"/>
        </w:rPr>
      </w:pPr>
    </w:p>
    <w:p>
      <w:pPr>
        <w:pStyle w:val="BodyText"/>
        <w:spacing w:before="1"/>
        <w:rPr>
          <w:rFonts w:ascii="Arial"/>
          <w:sz w:val="28"/>
        </w:rPr>
      </w:pPr>
    </w:p>
    <w:p>
      <w:pPr>
        <w:pStyle w:val="Heading2"/>
        <w:numPr>
          <w:ilvl w:val="1"/>
          <w:numId w:val="17"/>
        </w:numPr>
        <w:tabs>
          <w:tab w:pos="521" w:val="left" w:leader="none"/>
          <w:tab w:pos="829" w:val="left" w:leader="none"/>
        </w:tabs>
        <w:spacing w:line="240" w:lineRule="auto" w:before="0" w:after="0"/>
        <w:ind w:left="520" w:right="0" w:hanging="317"/>
        <w:jc w:val="left"/>
      </w:pPr>
      <w:r>
        <w:rPr>
          <w:b w:val="0"/>
          <w:i/>
          <w:color w:val="231F20"/>
          <w:spacing w:val="-10"/>
        </w:rPr>
        <w:t>/</w:t>
      </w:r>
      <w:r>
        <w:rPr>
          <w:b w:val="0"/>
          <w:i/>
          <w:color w:val="231F20"/>
        </w:rPr>
        <w:tab/>
      </w:r>
      <w:r>
        <w:rPr>
          <w:color w:val="231F20"/>
          <w:spacing w:val="-2"/>
          <w:w w:val="95"/>
        </w:rPr>
        <w:t>Post-</w:t>
      </w:r>
      <w:r>
        <w:rPr>
          <w:color w:val="231F20"/>
          <w:spacing w:val="-2"/>
        </w:rPr>
        <w:t>scriptum</w:t>
      </w:r>
    </w:p>
    <w:p>
      <w:pPr>
        <w:pStyle w:val="BodyText"/>
        <w:spacing w:before="9"/>
        <w:rPr>
          <w:rFonts w:ascii="Arial"/>
          <w:b/>
          <w:sz w:val="25"/>
        </w:rPr>
      </w:pPr>
    </w:p>
    <w:p>
      <w:pPr>
        <w:pStyle w:val="BodyText"/>
        <w:spacing w:line="307" w:lineRule="auto"/>
        <w:ind w:left="830" w:right="498"/>
        <w:jc w:val="both"/>
      </w:pPr>
      <w:r>
        <w:rPr>
          <w:color w:val="231F20"/>
          <w:w w:val="115"/>
        </w:rPr>
        <w:t>Le</w:t>
      </w:r>
      <w:r>
        <w:rPr>
          <w:color w:val="231F20"/>
          <w:spacing w:val="-6"/>
          <w:w w:val="115"/>
        </w:rPr>
        <w:t> </w:t>
      </w:r>
      <w:r>
        <w:rPr>
          <w:color w:val="231F20"/>
          <w:w w:val="115"/>
        </w:rPr>
        <w:t>stress</w:t>
      </w:r>
      <w:r>
        <w:rPr>
          <w:color w:val="231F20"/>
          <w:spacing w:val="-6"/>
          <w:w w:val="115"/>
        </w:rPr>
        <w:t> </w:t>
      </w:r>
      <w:r>
        <w:rPr>
          <w:color w:val="231F20"/>
          <w:w w:val="115"/>
        </w:rPr>
        <w:t>est</w:t>
      </w:r>
      <w:r>
        <w:rPr>
          <w:color w:val="231F20"/>
          <w:spacing w:val="-6"/>
          <w:w w:val="115"/>
        </w:rPr>
        <w:t> </w:t>
      </w:r>
      <w:r>
        <w:rPr>
          <w:color w:val="231F20"/>
          <w:w w:val="115"/>
        </w:rPr>
        <w:t>un</w:t>
      </w:r>
      <w:r>
        <w:rPr>
          <w:color w:val="231F20"/>
          <w:spacing w:val="-6"/>
          <w:w w:val="115"/>
        </w:rPr>
        <w:t> </w:t>
      </w:r>
      <w:r>
        <w:rPr>
          <w:color w:val="231F20"/>
          <w:w w:val="115"/>
        </w:rPr>
        <w:t>facteur</w:t>
      </w:r>
      <w:r>
        <w:rPr>
          <w:color w:val="231F20"/>
          <w:spacing w:val="-6"/>
          <w:w w:val="115"/>
        </w:rPr>
        <w:t> </w:t>
      </w:r>
      <w:r>
        <w:rPr>
          <w:color w:val="231F20"/>
          <w:w w:val="115"/>
        </w:rPr>
        <w:t>directement</w:t>
      </w:r>
      <w:r>
        <w:rPr>
          <w:color w:val="231F20"/>
          <w:spacing w:val="-6"/>
          <w:w w:val="115"/>
        </w:rPr>
        <w:t> </w:t>
      </w:r>
      <w:r>
        <w:rPr>
          <w:color w:val="231F20"/>
          <w:w w:val="115"/>
        </w:rPr>
        <w:t>associé</w:t>
      </w:r>
      <w:r>
        <w:rPr>
          <w:color w:val="231F20"/>
          <w:spacing w:val="-6"/>
          <w:w w:val="115"/>
        </w:rPr>
        <w:t> </w:t>
      </w:r>
      <w:r>
        <w:rPr>
          <w:color w:val="231F20"/>
          <w:w w:val="115"/>
        </w:rPr>
        <w:t>aux</w:t>
      </w:r>
      <w:r>
        <w:rPr>
          <w:color w:val="231F20"/>
          <w:spacing w:val="-6"/>
          <w:w w:val="115"/>
        </w:rPr>
        <w:t> </w:t>
      </w:r>
      <w:r>
        <w:rPr>
          <w:color w:val="231F20"/>
          <w:w w:val="115"/>
        </w:rPr>
        <w:t>maladies</w:t>
      </w:r>
      <w:r>
        <w:rPr>
          <w:color w:val="231F20"/>
          <w:spacing w:val="-6"/>
          <w:w w:val="115"/>
        </w:rPr>
        <w:t> </w:t>
      </w:r>
      <w:r>
        <w:rPr>
          <w:color w:val="231F20"/>
          <w:w w:val="115"/>
        </w:rPr>
        <w:t>psychologiques, </w:t>
      </w:r>
      <w:r>
        <w:rPr>
          <w:color w:val="231F20"/>
          <w:spacing w:val="-2"/>
          <w:w w:val="120"/>
        </w:rPr>
        <w:t>et</w:t>
      </w:r>
      <w:r>
        <w:rPr>
          <w:color w:val="231F20"/>
          <w:spacing w:val="-11"/>
          <w:w w:val="120"/>
        </w:rPr>
        <w:t> </w:t>
      </w:r>
      <w:r>
        <w:rPr>
          <w:color w:val="231F20"/>
          <w:spacing w:val="-2"/>
          <w:w w:val="120"/>
        </w:rPr>
        <w:t>même</w:t>
      </w:r>
      <w:r>
        <w:rPr>
          <w:color w:val="231F20"/>
          <w:spacing w:val="-11"/>
          <w:w w:val="120"/>
        </w:rPr>
        <w:t> </w:t>
      </w:r>
      <w:r>
        <w:rPr>
          <w:color w:val="231F20"/>
          <w:spacing w:val="-2"/>
          <w:w w:val="120"/>
        </w:rPr>
        <w:t>physiques,</w:t>
      </w:r>
      <w:r>
        <w:rPr>
          <w:color w:val="231F20"/>
          <w:spacing w:val="-11"/>
          <w:w w:val="120"/>
        </w:rPr>
        <w:t> </w:t>
      </w:r>
      <w:r>
        <w:rPr>
          <w:color w:val="231F20"/>
          <w:spacing w:val="-2"/>
          <w:w w:val="120"/>
        </w:rPr>
        <w:t>les</w:t>
      </w:r>
      <w:r>
        <w:rPr>
          <w:color w:val="231F20"/>
          <w:spacing w:val="-10"/>
          <w:w w:val="120"/>
        </w:rPr>
        <w:t> </w:t>
      </w:r>
      <w:r>
        <w:rPr>
          <w:color w:val="231F20"/>
          <w:spacing w:val="-2"/>
          <w:w w:val="120"/>
        </w:rPr>
        <w:t>plus</w:t>
      </w:r>
      <w:r>
        <w:rPr>
          <w:color w:val="231F20"/>
          <w:spacing w:val="-11"/>
          <w:w w:val="120"/>
        </w:rPr>
        <w:t> </w:t>
      </w:r>
      <w:r>
        <w:rPr>
          <w:color w:val="231F20"/>
          <w:spacing w:val="-2"/>
          <w:w w:val="120"/>
        </w:rPr>
        <w:t>courantes,</w:t>
      </w:r>
      <w:r>
        <w:rPr>
          <w:color w:val="231F20"/>
          <w:spacing w:val="-11"/>
          <w:w w:val="120"/>
        </w:rPr>
        <w:t> </w:t>
      </w:r>
      <w:r>
        <w:rPr>
          <w:color w:val="231F20"/>
          <w:spacing w:val="-2"/>
          <w:w w:val="120"/>
        </w:rPr>
        <w:t>d’où</w:t>
      </w:r>
      <w:r>
        <w:rPr>
          <w:color w:val="231F20"/>
          <w:spacing w:val="-11"/>
          <w:w w:val="120"/>
        </w:rPr>
        <w:t> </w:t>
      </w:r>
      <w:r>
        <w:rPr>
          <w:color w:val="231F20"/>
          <w:spacing w:val="-2"/>
          <w:w w:val="120"/>
        </w:rPr>
        <w:t>l’importance</w:t>
      </w:r>
      <w:r>
        <w:rPr>
          <w:color w:val="231F20"/>
          <w:spacing w:val="-10"/>
          <w:w w:val="120"/>
        </w:rPr>
        <w:t> </w:t>
      </w:r>
      <w:r>
        <w:rPr>
          <w:color w:val="231F20"/>
          <w:spacing w:val="-2"/>
          <w:w w:val="120"/>
        </w:rPr>
        <w:t>de</w:t>
      </w:r>
      <w:r>
        <w:rPr>
          <w:color w:val="231F20"/>
          <w:spacing w:val="-11"/>
          <w:w w:val="120"/>
        </w:rPr>
        <w:t> </w:t>
      </w:r>
      <w:r>
        <w:rPr>
          <w:color w:val="231F20"/>
          <w:spacing w:val="-2"/>
          <w:w w:val="120"/>
        </w:rPr>
        <w:t>comprendre </w:t>
      </w:r>
      <w:r>
        <w:rPr>
          <w:color w:val="231F20"/>
          <w:w w:val="120"/>
        </w:rPr>
        <w:t>et de scruter son incidence au sein des organisations.</w:t>
      </w:r>
    </w:p>
    <w:p>
      <w:pPr>
        <w:pStyle w:val="BodyText"/>
        <w:spacing w:line="307" w:lineRule="auto" w:before="80"/>
        <w:ind w:left="830" w:right="494" w:firstLine="250"/>
        <w:jc w:val="both"/>
      </w:pPr>
      <w:r>
        <w:rPr>
          <w:color w:val="231F20"/>
          <w:w w:val="115"/>
        </w:rPr>
        <w:t>Le</w:t>
      </w:r>
      <w:r>
        <w:rPr>
          <w:color w:val="231F20"/>
          <w:spacing w:val="-6"/>
          <w:w w:val="115"/>
        </w:rPr>
        <w:t> </w:t>
      </w:r>
      <w:r>
        <w:rPr>
          <w:color w:val="231F20"/>
          <w:w w:val="115"/>
        </w:rPr>
        <w:t>stress</w:t>
      </w:r>
      <w:r>
        <w:rPr>
          <w:color w:val="231F20"/>
          <w:spacing w:val="-6"/>
          <w:w w:val="115"/>
        </w:rPr>
        <w:t> </w:t>
      </w:r>
      <w:r>
        <w:rPr>
          <w:color w:val="231F20"/>
          <w:w w:val="115"/>
        </w:rPr>
        <w:t>est</w:t>
      </w:r>
      <w:r>
        <w:rPr>
          <w:color w:val="231F20"/>
          <w:spacing w:val="-6"/>
          <w:w w:val="115"/>
        </w:rPr>
        <w:t> </w:t>
      </w:r>
      <w:r>
        <w:rPr>
          <w:color w:val="231F20"/>
          <w:w w:val="115"/>
        </w:rPr>
        <w:t>l’effort</w:t>
      </w:r>
      <w:r>
        <w:rPr>
          <w:color w:val="231F20"/>
          <w:spacing w:val="-6"/>
          <w:w w:val="115"/>
        </w:rPr>
        <w:t> </w:t>
      </w:r>
      <w:r>
        <w:rPr>
          <w:color w:val="231F20"/>
          <w:w w:val="115"/>
        </w:rPr>
        <w:t>déployé</w:t>
      </w:r>
      <w:r>
        <w:rPr>
          <w:color w:val="231F20"/>
          <w:spacing w:val="-4"/>
          <w:w w:val="115"/>
        </w:rPr>
        <w:t> </w:t>
      </w:r>
      <w:r>
        <w:rPr>
          <w:color w:val="231F20"/>
          <w:w w:val="115"/>
        </w:rPr>
        <w:t>par</w:t>
      </w:r>
      <w:r>
        <w:rPr>
          <w:color w:val="231F20"/>
          <w:spacing w:val="-6"/>
          <w:w w:val="115"/>
        </w:rPr>
        <w:t> </w:t>
      </w:r>
      <w:r>
        <w:rPr>
          <w:color w:val="231F20"/>
          <w:w w:val="115"/>
        </w:rPr>
        <w:t>l’individu</w:t>
      </w:r>
      <w:r>
        <w:rPr>
          <w:color w:val="231F20"/>
          <w:spacing w:val="-6"/>
          <w:w w:val="115"/>
        </w:rPr>
        <w:t> </w:t>
      </w:r>
      <w:r>
        <w:rPr>
          <w:color w:val="231F20"/>
          <w:w w:val="115"/>
        </w:rPr>
        <w:t>pour</w:t>
      </w:r>
      <w:r>
        <w:rPr>
          <w:color w:val="231F20"/>
          <w:spacing w:val="-6"/>
          <w:w w:val="115"/>
        </w:rPr>
        <w:t> </w:t>
      </w:r>
      <w:r>
        <w:rPr>
          <w:color w:val="231F20"/>
          <w:w w:val="115"/>
        </w:rPr>
        <w:t>s’adapter</w:t>
      </w:r>
      <w:r>
        <w:rPr>
          <w:color w:val="231F20"/>
          <w:spacing w:val="-6"/>
          <w:w w:val="115"/>
        </w:rPr>
        <w:t> </w:t>
      </w:r>
      <w:r>
        <w:rPr>
          <w:color w:val="231F20"/>
          <w:w w:val="115"/>
        </w:rPr>
        <w:t>aux</w:t>
      </w:r>
      <w:r>
        <w:rPr>
          <w:color w:val="231F20"/>
          <w:spacing w:val="-6"/>
          <w:w w:val="115"/>
        </w:rPr>
        <w:t> </w:t>
      </w:r>
      <w:r>
        <w:rPr>
          <w:color w:val="231F20"/>
          <w:w w:val="115"/>
        </w:rPr>
        <w:t>change- </w:t>
      </w:r>
      <w:r>
        <w:rPr>
          <w:color w:val="231F20"/>
          <w:w w:val="120"/>
        </w:rPr>
        <w:t>ments qui surviennent dans son environnement. Le stress sain est une activation nécessaire de l’organisme qui lui permet de s’adapter à </w:t>
      </w:r>
      <w:r>
        <w:rPr>
          <w:color w:val="231F20"/>
          <w:w w:val="120"/>
        </w:rPr>
        <w:t>une situation;</w:t>
      </w:r>
      <w:r>
        <w:rPr>
          <w:color w:val="231F20"/>
          <w:spacing w:val="-2"/>
          <w:w w:val="120"/>
        </w:rPr>
        <w:t> </w:t>
      </w:r>
      <w:r>
        <w:rPr>
          <w:color w:val="231F20"/>
          <w:w w:val="120"/>
        </w:rPr>
        <w:t>il</w:t>
      </w:r>
      <w:r>
        <w:rPr>
          <w:color w:val="231F20"/>
          <w:spacing w:val="-2"/>
          <w:w w:val="120"/>
        </w:rPr>
        <w:t> </w:t>
      </w:r>
      <w:r>
        <w:rPr>
          <w:color w:val="231F20"/>
          <w:w w:val="120"/>
        </w:rPr>
        <w:t>est</w:t>
      </w:r>
      <w:r>
        <w:rPr>
          <w:color w:val="231F20"/>
          <w:spacing w:val="-2"/>
          <w:w w:val="120"/>
        </w:rPr>
        <w:t> </w:t>
      </w:r>
      <w:r>
        <w:rPr>
          <w:color w:val="231F20"/>
          <w:w w:val="120"/>
        </w:rPr>
        <w:t>alors</w:t>
      </w:r>
      <w:r>
        <w:rPr>
          <w:color w:val="231F20"/>
          <w:spacing w:val="-2"/>
          <w:w w:val="120"/>
        </w:rPr>
        <w:t> </w:t>
      </w:r>
      <w:r>
        <w:rPr>
          <w:color w:val="231F20"/>
          <w:w w:val="120"/>
        </w:rPr>
        <w:t>suivi</w:t>
      </w:r>
      <w:r>
        <w:rPr>
          <w:color w:val="231F20"/>
          <w:spacing w:val="-2"/>
          <w:w w:val="120"/>
        </w:rPr>
        <w:t> </w:t>
      </w:r>
      <w:r>
        <w:rPr>
          <w:color w:val="231F20"/>
          <w:w w:val="120"/>
        </w:rPr>
        <w:t>d’une</w:t>
      </w:r>
      <w:r>
        <w:rPr>
          <w:color w:val="231F20"/>
          <w:spacing w:val="-2"/>
          <w:w w:val="120"/>
        </w:rPr>
        <w:t> </w:t>
      </w:r>
      <w:r>
        <w:rPr>
          <w:color w:val="231F20"/>
          <w:w w:val="120"/>
        </w:rPr>
        <w:t>désactivation</w:t>
      </w:r>
      <w:r>
        <w:rPr>
          <w:color w:val="231F20"/>
          <w:spacing w:val="-2"/>
          <w:w w:val="120"/>
        </w:rPr>
        <w:t> </w:t>
      </w:r>
      <w:r>
        <w:rPr>
          <w:color w:val="231F20"/>
          <w:w w:val="120"/>
        </w:rPr>
        <w:t>rapide</w:t>
      </w:r>
      <w:r>
        <w:rPr>
          <w:color w:val="231F20"/>
          <w:spacing w:val="-2"/>
          <w:w w:val="120"/>
        </w:rPr>
        <w:t> </w:t>
      </w:r>
      <w:r>
        <w:rPr>
          <w:color w:val="231F20"/>
          <w:w w:val="120"/>
        </w:rPr>
        <w:t>lorsque</w:t>
      </w:r>
      <w:r>
        <w:rPr>
          <w:color w:val="231F20"/>
          <w:spacing w:val="-2"/>
          <w:w w:val="120"/>
        </w:rPr>
        <w:t> </w:t>
      </w:r>
      <w:r>
        <w:rPr>
          <w:color w:val="231F20"/>
          <w:w w:val="120"/>
        </w:rPr>
        <w:t>le</w:t>
      </w:r>
      <w:r>
        <w:rPr>
          <w:color w:val="231F20"/>
          <w:spacing w:val="-2"/>
          <w:w w:val="120"/>
        </w:rPr>
        <w:t> </w:t>
      </w:r>
      <w:r>
        <w:rPr>
          <w:color w:val="231F20"/>
          <w:w w:val="120"/>
        </w:rPr>
        <w:t>besoin </w:t>
      </w:r>
      <w:r>
        <w:rPr>
          <w:color w:val="231F20"/>
          <w:spacing w:val="-2"/>
          <w:w w:val="120"/>
        </w:rPr>
        <w:t>adaptatif</w:t>
      </w:r>
      <w:r>
        <w:rPr>
          <w:color w:val="231F20"/>
          <w:spacing w:val="-5"/>
          <w:w w:val="120"/>
        </w:rPr>
        <w:t> </w:t>
      </w:r>
      <w:r>
        <w:rPr>
          <w:color w:val="231F20"/>
          <w:spacing w:val="-2"/>
          <w:w w:val="120"/>
        </w:rPr>
        <w:t>s’estompe.</w:t>
      </w:r>
      <w:r>
        <w:rPr>
          <w:color w:val="231F20"/>
          <w:spacing w:val="-5"/>
          <w:w w:val="120"/>
        </w:rPr>
        <w:t> </w:t>
      </w:r>
      <w:r>
        <w:rPr>
          <w:color w:val="231F20"/>
          <w:spacing w:val="-2"/>
          <w:w w:val="120"/>
        </w:rPr>
        <w:t>Le</w:t>
      </w:r>
      <w:r>
        <w:rPr>
          <w:color w:val="231F20"/>
          <w:spacing w:val="-5"/>
          <w:w w:val="120"/>
        </w:rPr>
        <w:t> </w:t>
      </w:r>
      <w:r>
        <w:rPr>
          <w:color w:val="231F20"/>
          <w:spacing w:val="-2"/>
          <w:w w:val="120"/>
        </w:rPr>
        <w:t>stress</w:t>
      </w:r>
      <w:r>
        <w:rPr>
          <w:color w:val="231F20"/>
          <w:spacing w:val="-5"/>
          <w:w w:val="120"/>
        </w:rPr>
        <w:t> </w:t>
      </w:r>
      <w:r>
        <w:rPr>
          <w:color w:val="231F20"/>
          <w:spacing w:val="-2"/>
          <w:w w:val="120"/>
        </w:rPr>
        <w:t>nocif</w:t>
      </w:r>
      <w:r>
        <w:rPr>
          <w:color w:val="231F20"/>
          <w:spacing w:val="-5"/>
          <w:w w:val="120"/>
        </w:rPr>
        <w:t> </w:t>
      </w:r>
      <w:r>
        <w:rPr>
          <w:color w:val="231F20"/>
          <w:spacing w:val="-2"/>
          <w:w w:val="120"/>
        </w:rPr>
        <w:t>est</w:t>
      </w:r>
      <w:r>
        <w:rPr>
          <w:color w:val="231F20"/>
          <w:spacing w:val="-5"/>
          <w:w w:val="120"/>
        </w:rPr>
        <w:t> </w:t>
      </w:r>
      <w:r>
        <w:rPr>
          <w:color w:val="231F20"/>
          <w:spacing w:val="-2"/>
          <w:w w:val="120"/>
        </w:rPr>
        <w:t>une</w:t>
      </w:r>
      <w:r>
        <w:rPr>
          <w:color w:val="231F20"/>
          <w:spacing w:val="-5"/>
          <w:w w:val="120"/>
        </w:rPr>
        <w:t> </w:t>
      </w:r>
      <w:r>
        <w:rPr>
          <w:color w:val="231F20"/>
          <w:spacing w:val="-2"/>
          <w:w w:val="120"/>
        </w:rPr>
        <w:t>activation</w:t>
      </w:r>
      <w:r>
        <w:rPr>
          <w:color w:val="231F20"/>
          <w:spacing w:val="-5"/>
          <w:w w:val="120"/>
        </w:rPr>
        <w:t> </w:t>
      </w:r>
      <w:r>
        <w:rPr>
          <w:color w:val="231F20"/>
          <w:spacing w:val="-2"/>
          <w:w w:val="120"/>
        </w:rPr>
        <w:t>chronique</w:t>
      </w:r>
      <w:r>
        <w:rPr>
          <w:color w:val="231F20"/>
          <w:spacing w:val="-5"/>
          <w:w w:val="120"/>
        </w:rPr>
        <w:t> </w:t>
      </w:r>
      <w:r>
        <w:rPr>
          <w:color w:val="231F20"/>
          <w:spacing w:val="-2"/>
          <w:w w:val="120"/>
        </w:rPr>
        <w:t>de</w:t>
      </w:r>
      <w:r>
        <w:rPr>
          <w:color w:val="231F20"/>
          <w:spacing w:val="-5"/>
          <w:w w:val="120"/>
        </w:rPr>
        <w:t> </w:t>
      </w:r>
      <w:r>
        <w:rPr>
          <w:color w:val="231F20"/>
          <w:spacing w:val="-2"/>
          <w:w w:val="120"/>
        </w:rPr>
        <w:t>l’or- </w:t>
      </w:r>
      <w:r>
        <w:rPr>
          <w:color w:val="231F20"/>
          <w:w w:val="120"/>
        </w:rPr>
        <w:t>ganisme</w:t>
      </w:r>
      <w:r>
        <w:rPr>
          <w:color w:val="231F20"/>
          <w:spacing w:val="-4"/>
          <w:w w:val="120"/>
        </w:rPr>
        <w:t> </w:t>
      </w:r>
      <w:r>
        <w:rPr>
          <w:color w:val="231F20"/>
          <w:w w:val="120"/>
        </w:rPr>
        <w:t>dans</w:t>
      </w:r>
      <w:r>
        <w:rPr>
          <w:color w:val="231F20"/>
          <w:spacing w:val="-4"/>
          <w:w w:val="120"/>
        </w:rPr>
        <w:t> </w:t>
      </w:r>
      <w:r>
        <w:rPr>
          <w:color w:val="231F20"/>
          <w:w w:val="120"/>
        </w:rPr>
        <w:t>une</w:t>
      </w:r>
      <w:r>
        <w:rPr>
          <w:color w:val="231F20"/>
          <w:spacing w:val="-4"/>
          <w:w w:val="120"/>
        </w:rPr>
        <w:t> </w:t>
      </w:r>
      <w:r>
        <w:rPr>
          <w:color w:val="231F20"/>
          <w:w w:val="120"/>
        </w:rPr>
        <w:t>tentative</w:t>
      </w:r>
      <w:r>
        <w:rPr>
          <w:color w:val="231F20"/>
          <w:spacing w:val="-4"/>
          <w:w w:val="120"/>
        </w:rPr>
        <w:t> </w:t>
      </w:r>
      <w:r>
        <w:rPr>
          <w:color w:val="231F20"/>
          <w:w w:val="120"/>
        </w:rPr>
        <w:t>de</w:t>
      </w:r>
      <w:r>
        <w:rPr>
          <w:color w:val="231F20"/>
          <w:spacing w:val="-4"/>
          <w:w w:val="120"/>
        </w:rPr>
        <w:t> </w:t>
      </w:r>
      <w:r>
        <w:rPr>
          <w:color w:val="231F20"/>
          <w:w w:val="120"/>
        </w:rPr>
        <w:t>s’adapter</w:t>
      </w:r>
      <w:r>
        <w:rPr>
          <w:color w:val="231F20"/>
          <w:spacing w:val="-4"/>
          <w:w w:val="120"/>
        </w:rPr>
        <w:t> </w:t>
      </w:r>
      <w:r>
        <w:rPr>
          <w:color w:val="231F20"/>
          <w:w w:val="120"/>
        </w:rPr>
        <w:t>à</w:t>
      </w:r>
      <w:r>
        <w:rPr>
          <w:color w:val="231F20"/>
          <w:spacing w:val="-4"/>
          <w:w w:val="120"/>
        </w:rPr>
        <w:t> </w:t>
      </w:r>
      <w:r>
        <w:rPr>
          <w:color w:val="231F20"/>
          <w:w w:val="120"/>
        </w:rPr>
        <w:t>une</w:t>
      </w:r>
      <w:r>
        <w:rPr>
          <w:color w:val="231F20"/>
          <w:spacing w:val="-4"/>
          <w:w w:val="120"/>
        </w:rPr>
        <w:t> </w:t>
      </w:r>
      <w:r>
        <w:rPr>
          <w:color w:val="231F20"/>
          <w:w w:val="120"/>
        </w:rPr>
        <w:t>situation</w:t>
      </w:r>
      <w:r>
        <w:rPr>
          <w:color w:val="231F20"/>
          <w:spacing w:val="-4"/>
          <w:w w:val="120"/>
        </w:rPr>
        <w:t> </w:t>
      </w:r>
      <w:r>
        <w:rPr>
          <w:color w:val="231F20"/>
          <w:w w:val="120"/>
        </w:rPr>
        <w:t>qu’il</w:t>
      </w:r>
      <w:r>
        <w:rPr>
          <w:color w:val="231F20"/>
          <w:spacing w:val="-4"/>
          <w:w w:val="120"/>
        </w:rPr>
        <w:t> </w:t>
      </w:r>
      <w:r>
        <w:rPr>
          <w:color w:val="231F20"/>
          <w:w w:val="120"/>
        </w:rPr>
        <w:t>interprète comme</w:t>
      </w:r>
      <w:r>
        <w:rPr>
          <w:color w:val="231F20"/>
          <w:spacing w:val="-13"/>
          <w:w w:val="120"/>
        </w:rPr>
        <w:t> </w:t>
      </w:r>
      <w:r>
        <w:rPr>
          <w:color w:val="231F20"/>
          <w:w w:val="120"/>
        </w:rPr>
        <w:t>une</w:t>
      </w:r>
      <w:r>
        <w:rPr>
          <w:color w:val="231F20"/>
          <w:spacing w:val="-13"/>
          <w:w w:val="120"/>
        </w:rPr>
        <w:t> </w:t>
      </w:r>
      <w:r>
        <w:rPr>
          <w:color w:val="231F20"/>
          <w:w w:val="120"/>
        </w:rPr>
        <w:t>menace;</w:t>
      </w:r>
      <w:r>
        <w:rPr>
          <w:color w:val="231F20"/>
          <w:spacing w:val="-13"/>
          <w:w w:val="120"/>
        </w:rPr>
        <w:t> </w:t>
      </w:r>
      <w:r>
        <w:rPr>
          <w:color w:val="231F20"/>
          <w:w w:val="120"/>
        </w:rPr>
        <w:t>il</w:t>
      </w:r>
      <w:r>
        <w:rPr>
          <w:color w:val="231F20"/>
          <w:spacing w:val="-12"/>
          <w:w w:val="120"/>
        </w:rPr>
        <w:t> </w:t>
      </w:r>
      <w:r>
        <w:rPr>
          <w:color w:val="231F20"/>
          <w:w w:val="120"/>
        </w:rPr>
        <w:t>n’est</w:t>
      </w:r>
      <w:r>
        <w:rPr>
          <w:color w:val="231F20"/>
          <w:spacing w:val="-13"/>
          <w:w w:val="120"/>
        </w:rPr>
        <w:t> </w:t>
      </w:r>
      <w:r>
        <w:rPr>
          <w:color w:val="231F20"/>
          <w:w w:val="120"/>
        </w:rPr>
        <w:t>suivi</w:t>
      </w:r>
      <w:r>
        <w:rPr>
          <w:color w:val="231F20"/>
          <w:spacing w:val="-13"/>
          <w:w w:val="120"/>
        </w:rPr>
        <w:t> </w:t>
      </w:r>
      <w:r>
        <w:rPr>
          <w:color w:val="231F20"/>
          <w:w w:val="120"/>
        </w:rPr>
        <w:t>d’aucune</w:t>
      </w:r>
      <w:r>
        <w:rPr>
          <w:color w:val="231F20"/>
          <w:spacing w:val="-13"/>
          <w:w w:val="120"/>
        </w:rPr>
        <w:t> </w:t>
      </w:r>
      <w:r>
        <w:rPr>
          <w:color w:val="231F20"/>
          <w:w w:val="120"/>
        </w:rPr>
        <w:t>désactivation</w:t>
      </w:r>
      <w:r>
        <w:rPr>
          <w:color w:val="231F20"/>
          <w:spacing w:val="-12"/>
          <w:w w:val="120"/>
        </w:rPr>
        <w:t> </w:t>
      </w:r>
      <w:r>
        <w:rPr>
          <w:color w:val="231F20"/>
          <w:w w:val="120"/>
        </w:rPr>
        <w:t>et</w:t>
      </w:r>
      <w:r>
        <w:rPr>
          <w:color w:val="231F20"/>
          <w:spacing w:val="-13"/>
          <w:w w:val="120"/>
        </w:rPr>
        <w:t> </w:t>
      </w:r>
      <w:r>
        <w:rPr>
          <w:color w:val="231F20"/>
          <w:w w:val="120"/>
        </w:rPr>
        <w:t>la</w:t>
      </w:r>
      <w:r>
        <w:rPr>
          <w:color w:val="231F20"/>
          <w:spacing w:val="-13"/>
          <w:w w:val="120"/>
        </w:rPr>
        <w:t> </w:t>
      </w:r>
      <w:r>
        <w:rPr>
          <w:color w:val="231F20"/>
          <w:w w:val="120"/>
        </w:rPr>
        <w:t>personne </w:t>
      </w:r>
      <w:r>
        <w:rPr>
          <w:color w:val="231F20"/>
          <w:spacing w:val="-4"/>
          <w:w w:val="120"/>
        </w:rPr>
        <w:t>se retrouve dans un effort continu et répété d’adaptation. Il serait illusoire </w:t>
      </w:r>
      <w:r>
        <w:rPr>
          <w:color w:val="231F20"/>
          <w:w w:val="120"/>
        </w:rPr>
        <w:t>de</w:t>
      </w:r>
      <w:r>
        <w:rPr>
          <w:color w:val="231F20"/>
          <w:spacing w:val="-2"/>
          <w:w w:val="120"/>
        </w:rPr>
        <w:t> </w:t>
      </w:r>
      <w:r>
        <w:rPr>
          <w:color w:val="231F20"/>
          <w:w w:val="120"/>
        </w:rPr>
        <w:t>vouloir</w:t>
      </w:r>
      <w:r>
        <w:rPr>
          <w:color w:val="231F20"/>
          <w:spacing w:val="-2"/>
          <w:w w:val="120"/>
        </w:rPr>
        <w:t> </w:t>
      </w:r>
      <w:r>
        <w:rPr>
          <w:color w:val="231F20"/>
          <w:w w:val="120"/>
        </w:rPr>
        <w:t>vivre</w:t>
      </w:r>
      <w:r>
        <w:rPr>
          <w:color w:val="231F20"/>
          <w:spacing w:val="-2"/>
          <w:w w:val="120"/>
        </w:rPr>
        <w:t> </w:t>
      </w:r>
      <w:r>
        <w:rPr>
          <w:color w:val="231F20"/>
          <w:w w:val="120"/>
        </w:rPr>
        <w:t>dans</w:t>
      </w:r>
      <w:r>
        <w:rPr>
          <w:color w:val="231F20"/>
          <w:spacing w:val="-2"/>
          <w:w w:val="120"/>
        </w:rPr>
        <w:t> </w:t>
      </w:r>
      <w:r>
        <w:rPr>
          <w:color w:val="231F20"/>
          <w:w w:val="120"/>
        </w:rPr>
        <w:t>un</w:t>
      </w:r>
      <w:r>
        <w:rPr>
          <w:color w:val="231F20"/>
          <w:spacing w:val="-2"/>
          <w:w w:val="120"/>
        </w:rPr>
        <w:t> </w:t>
      </w:r>
      <w:r>
        <w:rPr>
          <w:color w:val="231F20"/>
          <w:w w:val="120"/>
        </w:rPr>
        <w:t>environnement</w:t>
      </w:r>
      <w:r>
        <w:rPr>
          <w:color w:val="231F20"/>
          <w:spacing w:val="-2"/>
          <w:w w:val="120"/>
        </w:rPr>
        <w:t> </w:t>
      </w:r>
      <w:r>
        <w:rPr>
          <w:color w:val="231F20"/>
          <w:w w:val="120"/>
        </w:rPr>
        <w:t>qui</w:t>
      </w:r>
      <w:r>
        <w:rPr>
          <w:color w:val="231F20"/>
          <w:spacing w:val="-2"/>
          <w:w w:val="120"/>
        </w:rPr>
        <w:t> </w:t>
      </w:r>
      <w:r>
        <w:rPr>
          <w:color w:val="231F20"/>
          <w:w w:val="120"/>
        </w:rPr>
        <w:t>ne</w:t>
      </w:r>
      <w:r>
        <w:rPr>
          <w:color w:val="231F20"/>
          <w:spacing w:val="-2"/>
          <w:w w:val="120"/>
        </w:rPr>
        <w:t> </w:t>
      </w:r>
      <w:r>
        <w:rPr>
          <w:color w:val="231F20"/>
          <w:w w:val="120"/>
        </w:rPr>
        <w:t>demande</w:t>
      </w:r>
      <w:r>
        <w:rPr>
          <w:color w:val="231F20"/>
          <w:spacing w:val="-2"/>
          <w:w w:val="120"/>
        </w:rPr>
        <w:t> </w:t>
      </w:r>
      <w:r>
        <w:rPr>
          <w:color w:val="231F20"/>
          <w:w w:val="120"/>
        </w:rPr>
        <w:t>aucune</w:t>
      </w:r>
      <w:r>
        <w:rPr>
          <w:color w:val="231F20"/>
          <w:spacing w:val="-2"/>
          <w:w w:val="120"/>
        </w:rPr>
        <w:t> </w:t>
      </w:r>
      <w:r>
        <w:rPr>
          <w:color w:val="231F20"/>
          <w:w w:val="120"/>
        </w:rPr>
        <w:t>adap- </w:t>
      </w:r>
      <w:r>
        <w:rPr>
          <w:color w:val="231F20"/>
          <w:spacing w:val="-2"/>
          <w:w w:val="120"/>
        </w:rPr>
        <w:t>tation,</w:t>
      </w:r>
      <w:r>
        <w:rPr>
          <w:color w:val="231F20"/>
          <w:spacing w:val="-11"/>
          <w:w w:val="120"/>
        </w:rPr>
        <w:t> </w:t>
      </w:r>
      <w:r>
        <w:rPr>
          <w:color w:val="231F20"/>
          <w:spacing w:val="-2"/>
          <w:w w:val="120"/>
        </w:rPr>
        <w:t>car</w:t>
      </w:r>
      <w:r>
        <w:rPr>
          <w:color w:val="231F20"/>
          <w:spacing w:val="-11"/>
          <w:w w:val="120"/>
        </w:rPr>
        <w:t> </w:t>
      </w:r>
      <w:r>
        <w:rPr>
          <w:color w:val="231F20"/>
          <w:spacing w:val="-2"/>
          <w:w w:val="120"/>
        </w:rPr>
        <w:t>l’évolution</w:t>
      </w:r>
      <w:r>
        <w:rPr>
          <w:color w:val="231F20"/>
          <w:spacing w:val="-11"/>
          <w:w w:val="120"/>
        </w:rPr>
        <w:t> </w:t>
      </w:r>
      <w:r>
        <w:rPr>
          <w:color w:val="231F20"/>
          <w:spacing w:val="-2"/>
          <w:w w:val="120"/>
        </w:rPr>
        <w:t>et</w:t>
      </w:r>
      <w:r>
        <w:rPr>
          <w:color w:val="231F20"/>
          <w:spacing w:val="-10"/>
          <w:w w:val="120"/>
        </w:rPr>
        <w:t> </w:t>
      </w:r>
      <w:r>
        <w:rPr>
          <w:color w:val="231F20"/>
          <w:spacing w:val="-2"/>
          <w:w w:val="120"/>
        </w:rPr>
        <w:t>l’émancipation</w:t>
      </w:r>
      <w:r>
        <w:rPr>
          <w:color w:val="231F20"/>
          <w:spacing w:val="-11"/>
          <w:w w:val="120"/>
        </w:rPr>
        <w:t> </w:t>
      </w:r>
      <w:r>
        <w:rPr>
          <w:color w:val="231F20"/>
          <w:spacing w:val="-2"/>
          <w:w w:val="120"/>
        </w:rPr>
        <w:t>de</w:t>
      </w:r>
      <w:r>
        <w:rPr>
          <w:color w:val="231F20"/>
          <w:spacing w:val="-11"/>
          <w:w w:val="120"/>
        </w:rPr>
        <w:t> </w:t>
      </w:r>
      <w:r>
        <w:rPr>
          <w:color w:val="231F20"/>
          <w:spacing w:val="-2"/>
          <w:w w:val="120"/>
        </w:rPr>
        <w:t>toute</w:t>
      </w:r>
      <w:r>
        <w:rPr>
          <w:color w:val="231F20"/>
          <w:spacing w:val="-11"/>
          <w:w w:val="120"/>
        </w:rPr>
        <w:t> </w:t>
      </w:r>
      <w:r>
        <w:rPr>
          <w:color w:val="231F20"/>
          <w:spacing w:val="-2"/>
          <w:w w:val="120"/>
        </w:rPr>
        <w:t>personne</w:t>
      </w:r>
      <w:r>
        <w:rPr>
          <w:color w:val="231F20"/>
          <w:spacing w:val="-10"/>
          <w:w w:val="120"/>
        </w:rPr>
        <w:t> </w:t>
      </w:r>
      <w:r>
        <w:rPr>
          <w:color w:val="231F20"/>
          <w:spacing w:val="-2"/>
          <w:w w:val="120"/>
        </w:rPr>
        <w:t>passent</w:t>
      </w:r>
      <w:r>
        <w:rPr>
          <w:color w:val="231F20"/>
          <w:spacing w:val="-11"/>
          <w:w w:val="120"/>
        </w:rPr>
        <w:t> </w:t>
      </w:r>
      <w:r>
        <w:rPr>
          <w:color w:val="231F20"/>
          <w:spacing w:val="-2"/>
          <w:w w:val="120"/>
        </w:rPr>
        <w:t>néces- </w:t>
      </w:r>
      <w:r>
        <w:rPr>
          <w:color w:val="231F20"/>
          <w:w w:val="120"/>
        </w:rPr>
        <w:t>sairement</w:t>
      </w:r>
      <w:r>
        <w:rPr>
          <w:color w:val="231F20"/>
          <w:spacing w:val="21"/>
          <w:w w:val="120"/>
        </w:rPr>
        <w:t> </w:t>
      </w:r>
      <w:r>
        <w:rPr>
          <w:color w:val="231F20"/>
          <w:w w:val="120"/>
        </w:rPr>
        <w:t>par</w:t>
      </w:r>
      <w:r>
        <w:rPr>
          <w:color w:val="231F20"/>
          <w:spacing w:val="21"/>
          <w:w w:val="120"/>
        </w:rPr>
        <w:t> </w:t>
      </w:r>
      <w:r>
        <w:rPr>
          <w:color w:val="231F20"/>
          <w:w w:val="120"/>
        </w:rPr>
        <w:t>des</w:t>
      </w:r>
      <w:r>
        <w:rPr>
          <w:color w:val="231F20"/>
          <w:spacing w:val="21"/>
          <w:w w:val="120"/>
        </w:rPr>
        <w:t> </w:t>
      </w:r>
      <w:r>
        <w:rPr>
          <w:color w:val="231F20"/>
          <w:w w:val="120"/>
        </w:rPr>
        <w:t>efforts</w:t>
      </w:r>
      <w:r>
        <w:rPr>
          <w:color w:val="231F20"/>
          <w:spacing w:val="21"/>
          <w:w w:val="120"/>
        </w:rPr>
        <w:t> </w:t>
      </w:r>
      <w:r>
        <w:rPr>
          <w:color w:val="231F20"/>
          <w:w w:val="120"/>
        </w:rPr>
        <w:t>adaptatifs.</w:t>
      </w:r>
      <w:r>
        <w:rPr>
          <w:color w:val="231F20"/>
          <w:spacing w:val="21"/>
          <w:w w:val="120"/>
        </w:rPr>
        <w:t> </w:t>
      </w:r>
      <w:r>
        <w:rPr>
          <w:color w:val="231F20"/>
          <w:w w:val="120"/>
        </w:rPr>
        <w:t>Il</w:t>
      </w:r>
      <w:r>
        <w:rPr>
          <w:color w:val="231F20"/>
          <w:spacing w:val="21"/>
          <w:w w:val="120"/>
        </w:rPr>
        <w:t> </w:t>
      </w:r>
      <w:r>
        <w:rPr>
          <w:color w:val="231F20"/>
          <w:w w:val="120"/>
        </w:rPr>
        <w:t>faut</w:t>
      </w:r>
      <w:r>
        <w:rPr>
          <w:color w:val="231F20"/>
          <w:spacing w:val="21"/>
          <w:w w:val="120"/>
        </w:rPr>
        <w:t> </w:t>
      </w:r>
      <w:r>
        <w:rPr>
          <w:color w:val="231F20"/>
          <w:w w:val="120"/>
        </w:rPr>
        <w:t>alors</w:t>
      </w:r>
      <w:r>
        <w:rPr>
          <w:color w:val="231F20"/>
          <w:spacing w:val="21"/>
          <w:w w:val="120"/>
        </w:rPr>
        <w:t> </w:t>
      </w:r>
      <w:r>
        <w:rPr>
          <w:color w:val="231F20"/>
          <w:w w:val="120"/>
        </w:rPr>
        <w:t>considérer</w:t>
      </w:r>
      <w:r>
        <w:rPr>
          <w:color w:val="231F20"/>
          <w:spacing w:val="21"/>
          <w:w w:val="120"/>
        </w:rPr>
        <w:t> </w:t>
      </w:r>
      <w:r>
        <w:rPr>
          <w:color w:val="231F20"/>
          <w:w w:val="120"/>
        </w:rPr>
        <w:t>le</w:t>
      </w:r>
      <w:r>
        <w:rPr>
          <w:color w:val="231F20"/>
          <w:spacing w:val="21"/>
          <w:w w:val="120"/>
        </w:rPr>
        <w:t> </w:t>
      </w:r>
      <w:r>
        <w:rPr>
          <w:color w:val="231F20"/>
          <w:w w:val="120"/>
        </w:rPr>
        <w:t>stress</w:t>
      </w:r>
    </w:p>
    <w:p>
      <w:pPr>
        <w:spacing w:after="0" w:line="307" w:lineRule="auto"/>
        <w:jc w:val="both"/>
        <w:sectPr>
          <w:footerReference w:type="default" r:id="rId175"/>
          <w:pgSz w:w="8640" w:h="12960"/>
          <w:pgMar w:footer="424" w:header="0" w:top="520" w:bottom="620" w:left="420" w:right="1140"/>
        </w:sectPr>
      </w:pPr>
    </w:p>
    <w:p>
      <w:pPr>
        <w:spacing w:before="118"/>
        <w:ind w:left="2396" w:right="0" w:firstLine="0"/>
        <w:jc w:val="left"/>
        <w:rPr>
          <w:rFonts w:ascii="Arial" w:hAnsi="Arial"/>
          <w:sz w:val="14"/>
        </w:rPr>
      </w:pPr>
      <w:bookmarkStart w:name="Exercice 2.1 / Évaluez votre propension " w:id="70"/>
      <w:bookmarkEnd w:id="70"/>
      <w:r>
        <w:rPr/>
      </w:r>
      <w:bookmarkStart w:name="_bookmark30" w:id="71"/>
      <w:bookmarkEnd w:id="71"/>
      <w:r>
        <w:rPr/>
      </w: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color w:val="231F20"/>
          <w:w w:val="120"/>
        </w:rPr>
        <w:t>comme</w:t>
      </w:r>
      <w:r>
        <w:rPr>
          <w:color w:val="231F20"/>
          <w:spacing w:val="-13"/>
          <w:w w:val="120"/>
        </w:rPr>
        <w:t> </w:t>
      </w:r>
      <w:r>
        <w:rPr>
          <w:color w:val="231F20"/>
          <w:w w:val="120"/>
        </w:rPr>
        <w:t>«</w:t>
      </w:r>
      <w:r>
        <w:rPr>
          <w:color w:val="231F20"/>
          <w:spacing w:val="-13"/>
          <w:w w:val="120"/>
        </w:rPr>
        <w:t> </w:t>
      </w:r>
      <w:r>
        <w:rPr>
          <w:color w:val="231F20"/>
          <w:w w:val="120"/>
        </w:rPr>
        <w:t>un</w:t>
      </w:r>
      <w:r>
        <w:rPr>
          <w:color w:val="231F20"/>
          <w:spacing w:val="-3"/>
          <w:w w:val="120"/>
        </w:rPr>
        <w:t> </w:t>
      </w:r>
      <w:r>
        <w:rPr>
          <w:color w:val="231F20"/>
          <w:w w:val="120"/>
        </w:rPr>
        <w:t>mal nécessaire</w:t>
      </w:r>
      <w:r>
        <w:rPr>
          <w:color w:val="231F20"/>
          <w:spacing w:val="-13"/>
          <w:w w:val="120"/>
        </w:rPr>
        <w:t> </w:t>
      </w:r>
      <w:r>
        <w:rPr>
          <w:color w:val="231F20"/>
          <w:w w:val="120"/>
        </w:rPr>
        <w:t>». Un stress pondéré et de brève durée est </w:t>
      </w:r>
      <w:r>
        <w:rPr>
          <w:color w:val="231F20"/>
          <w:w w:val="115"/>
        </w:rPr>
        <w:t>beaucoup</w:t>
      </w:r>
      <w:r>
        <w:rPr>
          <w:color w:val="231F20"/>
          <w:spacing w:val="-8"/>
          <w:w w:val="115"/>
        </w:rPr>
        <w:t> </w:t>
      </w:r>
      <w:r>
        <w:rPr>
          <w:color w:val="231F20"/>
          <w:w w:val="115"/>
        </w:rPr>
        <w:t>moins</w:t>
      </w:r>
      <w:r>
        <w:rPr>
          <w:color w:val="231F20"/>
          <w:spacing w:val="-8"/>
          <w:w w:val="115"/>
        </w:rPr>
        <w:t> </w:t>
      </w:r>
      <w:r>
        <w:rPr>
          <w:color w:val="231F20"/>
          <w:w w:val="115"/>
        </w:rPr>
        <w:t>dommageable,</w:t>
      </w:r>
      <w:r>
        <w:rPr>
          <w:color w:val="231F20"/>
          <w:spacing w:val="-8"/>
          <w:w w:val="115"/>
        </w:rPr>
        <w:t> </w:t>
      </w:r>
      <w:r>
        <w:rPr>
          <w:color w:val="231F20"/>
          <w:w w:val="115"/>
        </w:rPr>
        <w:t>car</w:t>
      </w:r>
      <w:r>
        <w:rPr>
          <w:color w:val="231F20"/>
          <w:spacing w:val="-8"/>
          <w:w w:val="115"/>
        </w:rPr>
        <w:t> </w:t>
      </w:r>
      <w:r>
        <w:rPr>
          <w:color w:val="231F20"/>
          <w:w w:val="115"/>
        </w:rPr>
        <w:t>il</w:t>
      </w:r>
      <w:r>
        <w:rPr>
          <w:color w:val="231F20"/>
          <w:spacing w:val="-8"/>
          <w:w w:val="115"/>
        </w:rPr>
        <w:t> </w:t>
      </w:r>
      <w:r>
        <w:rPr>
          <w:color w:val="231F20"/>
          <w:w w:val="115"/>
        </w:rPr>
        <w:t>aide</w:t>
      </w:r>
      <w:r>
        <w:rPr>
          <w:color w:val="231F20"/>
          <w:spacing w:val="-8"/>
          <w:w w:val="115"/>
        </w:rPr>
        <w:t> </w:t>
      </w:r>
      <w:r>
        <w:rPr>
          <w:color w:val="231F20"/>
          <w:w w:val="115"/>
        </w:rPr>
        <w:t>l’individu</w:t>
      </w:r>
      <w:r>
        <w:rPr>
          <w:color w:val="231F20"/>
          <w:spacing w:val="-8"/>
          <w:w w:val="115"/>
        </w:rPr>
        <w:t> </w:t>
      </w:r>
      <w:r>
        <w:rPr>
          <w:color w:val="231F20"/>
          <w:w w:val="115"/>
        </w:rPr>
        <w:t>à</w:t>
      </w:r>
      <w:r>
        <w:rPr>
          <w:color w:val="231F20"/>
          <w:spacing w:val="-8"/>
          <w:w w:val="115"/>
        </w:rPr>
        <w:t> </w:t>
      </w:r>
      <w:r>
        <w:rPr>
          <w:color w:val="231F20"/>
          <w:w w:val="115"/>
        </w:rPr>
        <w:t>refaire</w:t>
      </w:r>
      <w:r>
        <w:rPr>
          <w:color w:val="231F20"/>
          <w:spacing w:val="-8"/>
          <w:w w:val="115"/>
        </w:rPr>
        <w:t> </w:t>
      </w:r>
      <w:r>
        <w:rPr>
          <w:color w:val="231F20"/>
          <w:w w:val="115"/>
        </w:rPr>
        <w:t>ses</w:t>
      </w:r>
      <w:r>
        <w:rPr>
          <w:color w:val="231F20"/>
          <w:spacing w:val="-8"/>
          <w:w w:val="115"/>
        </w:rPr>
        <w:t> </w:t>
      </w:r>
      <w:r>
        <w:rPr>
          <w:color w:val="231F20"/>
          <w:w w:val="115"/>
        </w:rPr>
        <w:t>énergies </w:t>
      </w:r>
      <w:r>
        <w:rPr>
          <w:color w:val="231F20"/>
          <w:w w:val="120"/>
        </w:rPr>
        <w:t>entre</w:t>
      </w:r>
      <w:r>
        <w:rPr>
          <w:color w:val="231F20"/>
          <w:spacing w:val="-11"/>
          <w:w w:val="120"/>
        </w:rPr>
        <w:t> </w:t>
      </w:r>
      <w:r>
        <w:rPr>
          <w:color w:val="231F20"/>
          <w:w w:val="120"/>
        </w:rPr>
        <w:t>les</w:t>
      </w:r>
      <w:r>
        <w:rPr>
          <w:color w:val="231F20"/>
          <w:spacing w:val="-11"/>
          <w:w w:val="120"/>
        </w:rPr>
        <w:t> </w:t>
      </w:r>
      <w:r>
        <w:rPr>
          <w:color w:val="231F20"/>
          <w:w w:val="120"/>
        </w:rPr>
        <w:t>périodes</w:t>
      </w:r>
      <w:r>
        <w:rPr>
          <w:color w:val="231F20"/>
          <w:spacing w:val="-11"/>
          <w:w w:val="120"/>
        </w:rPr>
        <w:t> </w:t>
      </w:r>
      <w:r>
        <w:rPr>
          <w:color w:val="231F20"/>
          <w:w w:val="120"/>
        </w:rPr>
        <w:t>d’adaptation.</w:t>
      </w:r>
      <w:r>
        <w:rPr>
          <w:color w:val="231F20"/>
          <w:spacing w:val="-11"/>
          <w:w w:val="120"/>
        </w:rPr>
        <w:t> </w:t>
      </w:r>
      <w:r>
        <w:rPr>
          <w:color w:val="231F20"/>
          <w:w w:val="120"/>
        </w:rPr>
        <w:t>Le</w:t>
      </w:r>
      <w:r>
        <w:rPr>
          <w:color w:val="231F20"/>
          <w:spacing w:val="-11"/>
          <w:w w:val="120"/>
        </w:rPr>
        <w:t> </w:t>
      </w:r>
      <w:r>
        <w:rPr>
          <w:color w:val="231F20"/>
          <w:w w:val="120"/>
        </w:rPr>
        <w:t>mécanisme</w:t>
      </w:r>
      <w:r>
        <w:rPr>
          <w:color w:val="231F20"/>
          <w:spacing w:val="-11"/>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est</w:t>
      </w:r>
      <w:r>
        <w:rPr>
          <w:color w:val="231F20"/>
          <w:spacing w:val="-11"/>
          <w:w w:val="120"/>
        </w:rPr>
        <w:t> </w:t>
      </w:r>
      <w:r>
        <w:rPr>
          <w:color w:val="231F20"/>
          <w:w w:val="120"/>
        </w:rPr>
        <w:t>biologique- </w:t>
      </w:r>
      <w:r>
        <w:rPr>
          <w:color w:val="231F20"/>
          <w:spacing w:val="-2"/>
          <w:w w:val="120"/>
        </w:rPr>
        <w:t>ment</w:t>
      </w:r>
      <w:r>
        <w:rPr>
          <w:color w:val="231F20"/>
          <w:spacing w:val="-7"/>
          <w:w w:val="120"/>
        </w:rPr>
        <w:t> </w:t>
      </w:r>
      <w:r>
        <w:rPr>
          <w:color w:val="231F20"/>
          <w:spacing w:val="-2"/>
          <w:w w:val="120"/>
        </w:rPr>
        <w:t>énergivore</w:t>
      </w:r>
      <w:r>
        <w:rPr>
          <w:color w:val="231F20"/>
          <w:spacing w:val="-7"/>
          <w:w w:val="120"/>
        </w:rPr>
        <w:t> </w:t>
      </w:r>
      <w:r>
        <w:rPr>
          <w:color w:val="231F20"/>
          <w:spacing w:val="-2"/>
          <w:w w:val="120"/>
        </w:rPr>
        <w:t>et</w:t>
      </w:r>
      <w:r>
        <w:rPr>
          <w:color w:val="231F20"/>
          <w:spacing w:val="-7"/>
          <w:w w:val="120"/>
        </w:rPr>
        <w:t> </w:t>
      </w:r>
      <w:r>
        <w:rPr>
          <w:color w:val="231F20"/>
          <w:spacing w:val="-2"/>
          <w:w w:val="120"/>
        </w:rPr>
        <w:t>demande</w:t>
      </w:r>
      <w:r>
        <w:rPr>
          <w:color w:val="231F20"/>
          <w:spacing w:val="-7"/>
          <w:w w:val="120"/>
        </w:rPr>
        <w:t> </w:t>
      </w:r>
      <w:r>
        <w:rPr>
          <w:color w:val="231F20"/>
          <w:spacing w:val="-2"/>
          <w:w w:val="120"/>
        </w:rPr>
        <w:t>une</w:t>
      </w:r>
      <w:r>
        <w:rPr>
          <w:color w:val="231F20"/>
          <w:spacing w:val="-7"/>
          <w:w w:val="120"/>
        </w:rPr>
        <w:t> </w:t>
      </w:r>
      <w:r>
        <w:rPr>
          <w:color w:val="231F20"/>
          <w:spacing w:val="-2"/>
          <w:w w:val="120"/>
        </w:rPr>
        <w:t>période</w:t>
      </w:r>
      <w:r>
        <w:rPr>
          <w:color w:val="231F20"/>
          <w:spacing w:val="-7"/>
          <w:w w:val="120"/>
        </w:rPr>
        <w:t> </w:t>
      </w:r>
      <w:r>
        <w:rPr>
          <w:color w:val="231F20"/>
          <w:spacing w:val="-2"/>
          <w:w w:val="120"/>
        </w:rPr>
        <w:t>de</w:t>
      </w:r>
      <w:r>
        <w:rPr>
          <w:color w:val="231F20"/>
          <w:spacing w:val="-7"/>
          <w:w w:val="120"/>
        </w:rPr>
        <w:t> </w:t>
      </w:r>
      <w:r>
        <w:rPr>
          <w:color w:val="231F20"/>
          <w:spacing w:val="-2"/>
          <w:w w:val="120"/>
        </w:rPr>
        <w:t>récupération</w:t>
      </w:r>
      <w:r>
        <w:rPr>
          <w:color w:val="231F20"/>
          <w:spacing w:val="-7"/>
          <w:w w:val="120"/>
        </w:rPr>
        <w:t> </w:t>
      </w:r>
      <w:r>
        <w:rPr>
          <w:color w:val="231F20"/>
          <w:spacing w:val="-2"/>
          <w:w w:val="120"/>
        </w:rPr>
        <w:t>pour</w:t>
      </w:r>
      <w:r>
        <w:rPr>
          <w:color w:val="231F20"/>
          <w:spacing w:val="-7"/>
          <w:w w:val="120"/>
        </w:rPr>
        <w:t> </w:t>
      </w:r>
      <w:r>
        <w:rPr>
          <w:color w:val="231F20"/>
          <w:spacing w:val="-2"/>
          <w:w w:val="120"/>
        </w:rPr>
        <w:t>maintenir </w:t>
      </w:r>
      <w:r>
        <w:rPr>
          <w:color w:val="231F20"/>
          <w:w w:val="120"/>
        </w:rPr>
        <w:t>son efficacité dans le temps. Ce qui est le plus délétère, c’est le stress </w:t>
      </w:r>
      <w:r>
        <w:rPr>
          <w:color w:val="231F20"/>
          <w:spacing w:val="-2"/>
          <w:w w:val="120"/>
        </w:rPr>
        <w:t>chronique,</w:t>
      </w:r>
      <w:r>
        <w:rPr>
          <w:color w:val="231F20"/>
          <w:spacing w:val="-11"/>
          <w:w w:val="120"/>
        </w:rPr>
        <w:t> </w:t>
      </w:r>
      <w:r>
        <w:rPr>
          <w:color w:val="231F20"/>
          <w:spacing w:val="-2"/>
          <w:w w:val="120"/>
        </w:rPr>
        <w:t>car</w:t>
      </w:r>
      <w:r>
        <w:rPr>
          <w:color w:val="231F20"/>
          <w:spacing w:val="-11"/>
          <w:w w:val="120"/>
        </w:rPr>
        <w:t> </w:t>
      </w:r>
      <w:r>
        <w:rPr>
          <w:color w:val="231F20"/>
          <w:spacing w:val="-2"/>
          <w:w w:val="120"/>
        </w:rPr>
        <w:t>il</w:t>
      </w:r>
      <w:r>
        <w:rPr>
          <w:color w:val="231F20"/>
          <w:spacing w:val="-11"/>
          <w:w w:val="120"/>
        </w:rPr>
        <w:t> </w:t>
      </w:r>
      <w:r>
        <w:rPr>
          <w:color w:val="231F20"/>
          <w:spacing w:val="-2"/>
          <w:w w:val="120"/>
        </w:rPr>
        <w:t>relève</w:t>
      </w:r>
      <w:r>
        <w:rPr>
          <w:color w:val="231F20"/>
          <w:spacing w:val="-10"/>
          <w:w w:val="120"/>
        </w:rPr>
        <w:t> </w:t>
      </w:r>
      <w:r>
        <w:rPr>
          <w:color w:val="231F20"/>
          <w:spacing w:val="-2"/>
          <w:w w:val="120"/>
        </w:rPr>
        <w:t>d’efforts</w:t>
      </w:r>
      <w:r>
        <w:rPr>
          <w:color w:val="231F20"/>
          <w:spacing w:val="-11"/>
          <w:w w:val="120"/>
        </w:rPr>
        <w:t> </w:t>
      </w:r>
      <w:r>
        <w:rPr>
          <w:color w:val="231F20"/>
          <w:spacing w:val="-2"/>
          <w:w w:val="120"/>
        </w:rPr>
        <w:t>adaptatifs</w:t>
      </w:r>
      <w:r>
        <w:rPr>
          <w:color w:val="231F20"/>
          <w:spacing w:val="-11"/>
          <w:w w:val="120"/>
        </w:rPr>
        <w:t> </w:t>
      </w:r>
      <w:r>
        <w:rPr>
          <w:color w:val="231F20"/>
          <w:spacing w:val="-2"/>
          <w:w w:val="120"/>
        </w:rPr>
        <w:t>perpétuels,</w:t>
      </w:r>
      <w:r>
        <w:rPr>
          <w:color w:val="231F20"/>
          <w:spacing w:val="-11"/>
          <w:w w:val="120"/>
        </w:rPr>
        <w:t> </w:t>
      </w:r>
      <w:r>
        <w:rPr>
          <w:color w:val="231F20"/>
          <w:spacing w:val="-2"/>
          <w:w w:val="120"/>
        </w:rPr>
        <w:t>efforts</w:t>
      </w:r>
      <w:r>
        <w:rPr>
          <w:color w:val="231F20"/>
          <w:spacing w:val="-10"/>
          <w:w w:val="120"/>
        </w:rPr>
        <w:t> </w:t>
      </w:r>
      <w:r>
        <w:rPr>
          <w:color w:val="231F20"/>
          <w:spacing w:val="-2"/>
          <w:w w:val="120"/>
        </w:rPr>
        <w:t>qui</w:t>
      </w:r>
      <w:r>
        <w:rPr>
          <w:color w:val="231F20"/>
          <w:spacing w:val="-11"/>
          <w:w w:val="120"/>
        </w:rPr>
        <w:t> </w:t>
      </w:r>
      <w:r>
        <w:rPr>
          <w:color w:val="231F20"/>
          <w:spacing w:val="-2"/>
          <w:w w:val="120"/>
        </w:rPr>
        <w:t>finiront </w:t>
      </w:r>
      <w:r>
        <w:rPr>
          <w:color w:val="231F20"/>
          <w:w w:val="120"/>
        </w:rPr>
        <w:t>invariablement par s’épuiser et engendrer des problèmes de santé.</w:t>
      </w:r>
    </w:p>
    <w:p>
      <w:pPr>
        <w:pStyle w:val="BodyText"/>
        <w:spacing w:line="307" w:lineRule="auto" w:before="79"/>
        <w:ind w:left="1219" w:right="105" w:firstLine="250"/>
        <w:jc w:val="both"/>
      </w:pPr>
      <w:r>
        <w:rPr>
          <w:color w:val="231F20"/>
          <w:w w:val="115"/>
        </w:rPr>
        <w:t>Divers</w:t>
      </w:r>
      <w:r>
        <w:rPr>
          <w:color w:val="231F20"/>
          <w:spacing w:val="-13"/>
          <w:w w:val="115"/>
        </w:rPr>
        <w:t> </w:t>
      </w:r>
      <w:r>
        <w:rPr>
          <w:color w:val="231F20"/>
          <w:w w:val="115"/>
        </w:rPr>
        <w:t>modèles servent à expliquer le stress</w:t>
      </w:r>
      <w:r>
        <w:rPr>
          <w:color w:val="231F20"/>
          <w:spacing w:val="-13"/>
          <w:w w:val="115"/>
        </w:rPr>
        <w:t> </w:t>
      </w:r>
      <w:r>
        <w:rPr>
          <w:color w:val="231F20"/>
          <w:w w:val="115"/>
        </w:rPr>
        <w:t>; certains reposent sur ses </w:t>
      </w:r>
      <w:r>
        <w:rPr>
          <w:color w:val="231F20"/>
          <w:w w:val="120"/>
        </w:rPr>
        <w:t>conséquences</w:t>
      </w:r>
      <w:r>
        <w:rPr>
          <w:color w:val="231F20"/>
          <w:spacing w:val="-13"/>
          <w:w w:val="120"/>
        </w:rPr>
        <w:t> </w:t>
      </w:r>
      <w:r>
        <w:rPr>
          <w:color w:val="231F20"/>
          <w:w w:val="120"/>
        </w:rPr>
        <w:t>physiologiques,</w:t>
      </w:r>
      <w:r>
        <w:rPr>
          <w:color w:val="231F20"/>
          <w:spacing w:val="-13"/>
          <w:w w:val="120"/>
        </w:rPr>
        <w:t> </w:t>
      </w:r>
      <w:r>
        <w:rPr>
          <w:color w:val="231F20"/>
          <w:w w:val="120"/>
        </w:rPr>
        <w:t>d’autres</w:t>
      </w:r>
      <w:r>
        <w:rPr>
          <w:color w:val="231F20"/>
          <w:spacing w:val="-13"/>
          <w:w w:val="120"/>
        </w:rPr>
        <w:t> </w:t>
      </w:r>
      <w:r>
        <w:rPr>
          <w:color w:val="231F20"/>
          <w:w w:val="120"/>
        </w:rPr>
        <w:t>sur</w:t>
      </w:r>
      <w:r>
        <w:rPr>
          <w:color w:val="231F20"/>
          <w:spacing w:val="-12"/>
          <w:w w:val="120"/>
        </w:rPr>
        <w:t> </w:t>
      </w:r>
      <w:r>
        <w:rPr>
          <w:color w:val="231F20"/>
          <w:w w:val="120"/>
        </w:rPr>
        <w:t>ses</w:t>
      </w:r>
      <w:r>
        <w:rPr>
          <w:color w:val="231F20"/>
          <w:spacing w:val="-13"/>
          <w:w w:val="120"/>
        </w:rPr>
        <w:t> </w:t>
      </w:r>
      <w:r>
        <w:rPr>
          <w:color w:val="231F20"/>
          <w:w w:val="120"/>
        </w:rPr>
        <w:t>conséquences</w:t>
      </w:r>
      <w:r>
        <w:rPr>
          <w:color w:val="231F20"/>
          <w:spacing w:val="-13"/>
          <w:w w:val="120"/>
        </w:rPr>
        <w:t> </w:t>
      </w:r>
      <w:r>
        <w:rPr>
          <w:color w:val="231F20"/>
          <w:w w:val="120"/>
        </w:rPr>
        <w:t>psycholo- giques et comportementales</w:t>
      </w:r>
      <w:r>
        <w:rPr>
          <w:color w:val="231F20"/>
          <w:spacing w:val="-13"/>
          <w:w w:val="120"/>
        </w:rPr>
        <w:t> </w:t>
      </w:r>
      <w:r>
        <w:rPr>
          <w:color w:val="231F20"/>
          <w:w w:val="120"/>
        </w:rPr>
        <w:t>; quant à la perspective transactionnelle, dont</w:t>
      </w:r>
      <w:r>
        <w:rPr>
          <w:color w:val="231F20"/>
          <w:spacing w:val="-4"/>
          <w:w w:val="120"/>
        </w:rPr>
        <w:t> </w:t>
      </w:r>
      <w:r>
        <w:rPr>
          <w:color w:val="231F20"/>
          <w:w w:val="120"/>
        </w:rPr>
        <w:t>le</w:t>
      </w:r>
      <w:r>
        <w:rPr>
          <w:color w:val="231F20"/>
          <w:spacing w:val="-4"/>
          <w:w w:val="120"/>
        </w:rPr>
        <w:t> </w:t>
      </w:r>
      <w:r>
        <w:rPr>
          <w:color w:val="231F20"/>
          <w:w w:val="120"/>
        </w:rPr>
        <w:t>modèle</w:t>
      </w:r>
      <w:r>
        <w:rPr>
          <w:color w:val="231F20"/>
          <w:spacing w:val="-4"/>
          <w:w w:val="120"/>
        </w:rPr>
        <w:t> </w:t>
      </w:r>
      <w:r>
        <w:rPr>
          <w:color w:val="231F20"/>
          <w:w w:val="120"/>
        </w:rPr>
        <w:t>cognitif</w:t>
      </w:r>
      <w:r>
        <w:rPr>
          <w:color w:val="231F20"/>
          <w:spacing w:val="-4"/>
          <w:w w:val="120"/>
        </w:rPr>
        <w:t> </w:t>
      </w:r>
      <w:r>
        <w:rPr>
          <w:color w:val="231F20"/>
          <w:w w:val="120"/>
        </w:rPr>
        <w:t>et</w:t>
      </w:r>
      <w:r>
        <w:rPr>
          <w:color w:val="231F20"/>
          <w:spacing w:val="-4"/>
          <w:w w:val="120"/>
        </w:rPr>
        <w:t> </w:t>
      </w:r>
      <w:r>
        <w:rPr>
          <w:color w:val="231F20"/>
          <w:w w:val="120"/>
        </w:rPr>
        <w:t>conditionnel</w:t>
      </w:r>
      <w:r>
        <w:rPr>
          <w:color w:val="231F20"/>
          <w:spacing w:val="-4"/>
          <w:w w:val="120"/>
        </w:rPr>
        <w:t> </w:t>
      </w:r>
      <w:r>
        <w:rPr>
          <w:color w:val="231F20"/>
          <w:w w:val="120"/>
        </w:rPr>
        <w:t>de</w:t>
      </w:r>
      <w:r>
        <w:rPr>
          <w:color w:val="231F20"/>
          <w:spacing w:val="-4"/>
          <w:w w:val="120"/>
        </w:rPr>
        <w:t> </w:t>
      </w:r>
      <w:r>
        <w:rPr>
          <w:color w:val="231F20"/>
          <w:w w:val="120"/>
        </w:rPr>
        <w:t>Dolan</w:t>
      </w:r>
      <w:r>
        <w:rPr>
          <w:color w:val="231F20"/>
          <w:spacing w:val="-4"/>
          <w:w w:val="120"/>
        </w:rPr>
        <w:t> </w:t>
      </w:r>
      <w:r>
        <w:rPr>
          <w:color w:val="231F20"/>
          <w:w w:val="120"/>
        </w:rPr>
        <w:t>et</w:t>
      </w:r>
      <w:r>
        <w:rPr>
          <w:color w:val="231F20"/>
          <w:spacing w:val="-4"/>
          <w:w w:val="120"/>
        </w:rPr>
        <w:t> </w:t>
      </w:r>
      <w:r>
        <w:rPr>
          <w:color w:val="231F20"/>
          <w:w w:val="120"/>
        </w:rPr>
        <w:t>Arsenault,</w:t>
      </w:r>
      <w:r>
        <w:rPr>
          <w:color w:val="231F20"/>
          <w:spacing w:val="-4"/>
          <w:w w:val="120"/>
        </w:rPr>
        <w:t> </w:t>
      </w:r>
      <w:r>
        <w:rPr>
          <w:color w:val="231F20"/>
          <w:w w:val="120"/>
        </w:rPr>
        <w:t>elle</w:t>
      </w:r>
      <w:r>
        <w:rPr>
          <w:color w:val="231F20"/>
          <w:spacing w:val="-4"/>
          <w:w w:val="120"/>
        </w:rPr>
        <w:t> </w:t>
      </w:r>
      <w:r>
        <w:rPr>
          <w:color w:val="231F20"/>
          <w:w w:val="120"/>
        </w:rPr>
        <w:t>met en lumière les problèmes d’adaptation occasionnés par la discordance entre</w:t>
      </w:r>
      <w:r>
        <w:rPr>
          <w:color w:val="231F20"/>
          <w:spacing w:val="-12"/>
          <w:w w:val="120"/>
        </w:rPr>
        <w:t> </w:t>
      </w:r>
      <w:r>
        <w:rPr>
          <w:color w:val="231F20"/>
          <w:w w:val="120"/>
        </w:rPr>
        <w:t>les</w:t>
      </w:r>
      <w:r>
        <w:rPr>
          <w:color w:val="231F20"/>
          <w:spacing w:val="-12"/>
          <w:w w:val="120"/>
        </w:rPr>
        <w:t> </w:t>
      </w:r>
      <w:r>
        <w:rPr>
          <w:color w:val="231F20"/>
          <w:w w:val="120"/>
        </w:rPr>
        <w:t>caractéristiques</w:t>
      </w:r>
      <w:r>
        <w:rPr>
          <w:color w:val="231F20"/>
          <w:spacing w:val="-12"/>
          <w:w w:val="120"/>
        </w:rPr>
        <w:t> </w:t>
      </w:r>
      <w:r>
        <w:rPr>
          <w:color w:val="231F20"/>
          <w:w w:val="120"/>
        </w:rPr>
        <w:t>de</w:t>
      </w:r>
      <w:r>
        <w:rPr>
          <w:color w:val="231F20"/>
          <w:spacing w:val="-12"/>
          <w:w w:val="120"/>
        </w:rPr>
        <w:t> </w:t>
      </w:r>
      <w:r>
        <w:rPr>
          <w:color w:val="231F20"/>
          <w:w w:val="120"/>
        </w:rPr>
        <w:t>l’individu</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demandes</w:t>
      </w:r>
      <w:r>
        <w:rPr>
          <w:color w:val="231F20"/>
          <w:spacing w:val="-12"/>
          <w:w w:val="120"/>
        </w:rPr>
        <w:t> </w:t>
      </w:r>
      <w:r>
        <w:rPr>
          <w:color w:val="231F20"/>
          <w:w w:val="120"/>
        </w:rPr>
        <w:t>de</w:t>
      </w:r>
      <w:r>
        <w:rPr>
          <w:color w:val="231F20"/>
          <w:spacing w:val="-12"/>
          <w:w w:val="120"/>
        </w:rPr>
        <w:t> </w:t>
      </w:r>
      <w:r>
        <w:rPr>
          <w:color w:val="231F20"/>
          <w:w w:val="120"/>
        </w:rPr>
        <w:t>son</w:t>
      </w:r>
      <w:r>
        <w:rPr>
          <w:color w:val="231F20"/>
          <w:spacing w:val="-12"/>
          <w:w w:val="120"/>
        </w:rPr>
        <w:t> </w:t>
      </w:r>
      <w:r>
        <w:rPr>
          <w:color w:val="231F20"/>
          <w:w w:val="120"/>
        </w:rPr>
        <w:t>milieu</w:t>
      </w:r>
      <w:r>
        <w:rPr>
          <w:color w:val="231F20"/>
          <w:spacing w:val="-12"/>
          <w:w w:val="120"/>
        </w:rPr>
        <w:t> </w:t>
      </w:r>
      <w:r>
        <w:rPr>
          <w:color w:val="231F20"/>
          <w:w w:val="120"/>
        </w:rPr>
        <w:t>de travail. Ces diverses explications du phénomène du stress sont néces- </w:t>
      </w:r>
      <w:r>
        <w:rPr>
          <w:color w:val="231F20"/>
          <w:w w:val="115"/>
        </w:rPr>
        <w:t>saires</w:t>
      </w:r>
      <w:r>
        <w:rPr>
          <w:color w:val="231F20"/>
          <w:spacing w:val="-13"/>
          <w:w w:val="115"/>
        </w:rPr>
        <w:t> </w:t>
      </w:r>
      <w:r>
        <w:rPr>
          <w:color w:val="231F20"/>
          <w:w w:val="115"/>
        </w:rPr>
        <w:t>afin</w:t>
      </w:r>
      <w:r>
        <w:rPr>
          <w:color w:val="231F20"/>
          <w:spacing w:val="-12"/>
          <w:w w:val="115"/>
        </w:rPr>
        <w:t> </w:t>
      </w:r>
      <w:r>
        <w:rPr>
          <w:color w:val="231F20"/>
          <w:w w:val="115"/>
        </w:rPr>
        <w:t>d’en</w:t>
      </w:r>
      <w:r>
        <w:rPr>
          <w:color w:val="231F20"/>
          <w:spacing w:val="-12"/>
          <w:w w:val="115"/>
        </w:rPr>
        <w:t> </w:t>
      </w:r>
      <w:r>
        <w:rPr>
          <w:color w:val="231F20"/>
          <w:w w:val="115"/>
        </w:rPr>
        <w:t>comprendre</w:t>
      </w:r>
      <w:r>
        <w:rPr>
          <w:color w:val="231F20"/>
          <w:spacing w:val="-12"/>
          <w:w w:val="115"/>
        </w:rPr>
        <w:t> </w:t>
      </w:r>
      <w:r>
        <w:rPr>
          <w:color w:val="231F20"/>
          <w:w w:val="115"/>
        </w:rPr>
        <w:t>les</w:t>
      </w:r>
      <w:r>
        <w:rPr>
          <w:color w:val="231F20"/>
          <w:spacing w:val="-13"/>
          <w:w w:val="115"/>
        </w:rPr>
        <w:t> </w:t>
      </w:r>
      <w:r>
        <w:rPr>
          <w:color w:val="231F20"/>
          <w:w w:val="115"/>
        </w:rPr>
        <w:t>origines</w:t>
      </w:r>
      <w:r>
        <w:rPr>
          <w:color w:val="231F20"/>
          <w:spacing w:val="-12"/>
          <w:w w:val="115"/>
        </w:rPr>
        <w:t> </w:t>
      </w:r>
      <w:r>
        <w:rPr>
          <w:color w:val="231F20"/>
          <w:w w:val="115"/>
        </w:rPr>
        <w:t>ainsi</w:t>
      </w:r>
      <w:r>
        <w:rPr>
          <w:color w:val="231F20"/>
          <w:spacing w:val="-12"/>
          <w:w w:val="115"/>
        </w:rPr>
        <w:t> </w:t>
      </w:r>
      <w:r>
        <w:rPr>
          <w:color w:val="231F20"/>
          <w:w w:val="115"/>
        </w:rPr>
        <w:t>que</w:t>
      </w:r>
      <w:r>
        <w:rPr>
          <w:color w:val="231F20"/>
          <w:spacing w:val="-12"/>
          <w:w w:val="115"/>
        </w:rPr>
        <w:t> </w:t>
      </w:r>
      <w:r>
        <w:rPr>
          <w:color w:val="231F20"/>
          <w:w w:val="115"/>
        </w:rPr>
        <w:t>la</w:t>
      </w:r>
      <w:r>
        <w:rPr>
          <w:color w:val="231F20"/>
          <w:spacing w:val="-12"/>
          <w:w w:val="115"/>
        </w:rPr>
        <w:t> </w:t>
      </w:r>
      <w:r>
        <w:rPr>
          <w:color w:val="231F20"/>
          <w:w w:val="115"/>
        </w:rPr>
        <w:t>dynamique,</w:t>
      </w:r>
      <w:r>
        <w:rPr>
          <w:color w:val="231F20"/>
          <w:spacing w:val="-13"/>
          <w:w w:val="115"/>
        </w:rPr>
        <w:t> </w:t>
      </w:r>
      <w:r>
        <w:rPr>
          <w:color w:val="231F20"/>
          <w:w w:val="115"/>
        </w:rPr>
        <w:t>mais</w:t>
      </w:r>
      <w:r>
        <w:rPr>
          <w:color w:val="231F20"/>
          <w:spacing w:val="-12"/>
          <w:w w:val="115"/>
        </w:rPr>
        <w:t> </w:t>
      </w:r>
      <w:r>
        <w:rPr>
          <w:color w:val="231F20"/>
          <w:w w:val="115"/>
        </w:rPr>
        <w:t>elles </w:t>
      </w:r>
      <w:r>
        <w:rPr>
          <w:color w:val="231F20"/>
          <w:w w:val="120"/>
        </w:rPr>
        <w:t>sont aussi importantes afin d’entrevoir les modes d’action disponibles </w:t>
      </w:r>
      <w:r>
        <w:rPr>
          <w:color w:val="231F20"/>
          <w:spacing w:val="-2"/>
          <w:w w:val="120"/>
        </w:rPr>
        <w:t>aux</w:t>
      </w:r>
      <w:r>
        <w:rPr>
          <w:color w:val="231F20"/>
          <w:spacing w:val="-4"/>
          <w:w w:val="120"/>
        </w:rPr>
        <w:t> </w:t>
      </w:r>
      <w:r>
        <w:rPr>
          <w:color w:val="231F20"/>
          <w:spacing w:val="-2"/>
          <w:w w:val="120"/>
        </w:rPr>
        <w:t>gestionnaires</w:t>
      </w:r>
      <w:r>
        <w:rPr>
          <w:color w:val="231F20"/>
          <w:spacing w:val="-4"/>
          <w:w w:val="120"/>
        </w:rPr>
        <w:t> </w:t>
      </w:r>
      <w:r>
        <w:rPr>
          <w:color w:val="231F20"/>
          <w:spacing w:val="-2"/>
          <w:w w:val="120"/>
        </w:rPr>
        <w:t>et</w:t>
      </w:r>
      <w:r>
        <w:rPr>
          <w:color w:val="231F20"/>
          <w:spacing w:val="-4"/>
          <w:w w:val="120"/>
        </w:rPr>
        <w:t> </w:t>
      </w:r>
      <w:r>
        <w:rPr>
          <w:color w:val="231F20"/>
          <w:spacing w:val="-2"/>
          <w:w w:val="120"/>
        </w:rPr>
        <w:t>aux</w:t>
      </w:r>
      <w:r>
        <w:rPr>
          <w:color w:val="231F20"/>
          <w:spacing w:val="-4"/>
          <w:w w:val="120"/>
        </w:rPr>
        <w:t> </w:t>
      </w:r>
      <w:r>
        <w:rPr>
          <w:color w:val="231F20"/>
          <w:spacing w:val="-2"/>
          <w:w w:val="120"/>
        </w:rPr>
        <w:t>organisations</w:t>
      </w:r>
      <w:r>
        <w:rPr>
          <w:color w:val="231F20"/>
          <w:spacing w:val="-4"/>
          <w:w w:val="120"/>
        </w:rPr>
        <w:t> </w:t>
      </w:r>
      <w:r>
        <w:rPr>
          <w:color w:val="231F20"/>
          <w:spacing w:val="-2"/>
          <w:w w:val="120"/>
        </w:rPr>
        <w:t>afin</w:t>
      </w:r>
      <w:r>
        <w:rPr>
          <w:color w:val="231F20"/>
          <w:spacing w:val="-4"/>
          <w:w w:val="120"/>
        </w:rPr>
        <w:t> </w:t>
      </w:r>
      <w:r>
        <w:rPr>
          <w:color w:val="231F20"/>
          <w:spacing w:val="-2"/>
          <w:w w:val="120"/>
        </w:rPr>
        <w:t>d’effectuer</w:t>
      </w:r>
      <w:r>
        <w:rPr>
          <w:color w:val="231F20"/>
          <w:spacing w:val="-4"/>
          <w:w w:val="120"/>
        </w:rPr>
        <w:t> </w:t>
      </w:r>
      <w:r>
        <w:rPr>
          <w:color w:val="231F20"/>
          <w:spacing w:val="-2"/>
          <w:w w:val="120"/>
        </w:rPr>
        <w:t>une</w:t>
      </w:r>
      <w:r>
        <w:rPr>
          <w:color w:val="231F20"/>
          <w:spacing w:val="-4"/>
          <w:w w:val="120"/>
        </w:rPr>
        <w:t> </w:t>
      </w:r>
      <w:r>
        <w:rPr>
          <w:color w:val="231F20"/>
          <w:spacing w:val="-2"/>
          <w:w w:val="120"/>
        </w:rPr>
        <w:t>saine</w:t>
      </w:r>
      <w:r>
        <w:rPr>
          <w:color w:val="231F20"/>
          <w:spacing w:val="-4"/>
          <w:w w:val="120"/>
        </w:rPr>
        <w:t> </w:t>
      </w:r>
      <w:r>
        <w:rPr>
          <w:color w:val="231F20"/>
          <w:spacing w:val="-2"/>
          <w:w w:val="120"/>
        </w:rPr>
        <w:t>gestion de</w:t>
      </w:r>
      <w:r>
        <w:rPr>
          <w:color w:val="231F20"/>
          <w:spacing w:val="-9"/>
          <w:w w:val="120"/>
        </w:rPr>
        <w:t> </w:t>
      </w:r>
      <w:r>
        <w:rPr>
          <w:color w:val="231F20"/>
          <w:spacing w:val="-2"/>
          <w:w w:val="120"/>
        </w:rPr>
        <w:t>la</w:t>
      </w:r>
      <w:r>
        <w:rPr>
          <w:color w:val="231F20"/>
          <w:spacing w:val="-9"/>
          <w:w w:val="120"/>
        </w:rPr>
        <w:t> </w:t>
      </w:r>
      <w:r>
        <w:rPr>
          <w:color w:val="231F20"/>
          <w:spacing w:val="-2"/>
          <w:w w:val="120"/>
        </w:rPr>
        <w:t>santé</w:t>
      </w:r>
      <w:r>
        <w:rPr>
          <w:color w:val="231F20"/>
          <w:spacing w:val="-9"/>
          <w:w w:val="120"/>
        </w:rPr>
        <w:t> </w:t>
      </w:r>
      <w:r>
        <w:rPr>
          <w:color w:val="231F20"/>
          <w:spacing w:val="-2"/>
          <w:w w:val="120"/>
        </w:rPr>
        <w:t>psychologique</w:t>
      </w:r>
      <w:r>
        <w:rPr>
          <w:color w:val="231F20"/>
          <w:spacing w:val="-9"/>
          <w:w w:val="120"/>
        </w:rPr>
        <w:t> </w:t>
      </w:r>
      <w:r>
        <w:rPr>
          <w:color w:val="231F20"/>
          <w:spacing w:val="-2"/>
          <w:w w:val="120"/>
        </w:rPr>
        <w:t>au</w:t>
      </w:r>
      <w:r>
        <w:rPr>
          <w:color w:val="231F20"/>
          <w:spacing w:val="-9"/>
          <w:w w:val="120"/>
        </w:rPr>
        <w:t> </w:t>
      </w:r>
      <w:r>
        <w:rPr>
          <w:color w:val="231F20"/>
          <w:spacing w:val="-2"/>
          <w:w w:val="120"/>
        </w:rPr>
        <w:t>travail.</w:t>
      </w:r>
      <w:r>
        <w:rPr>
          <w:color w:val="231F20"/>
          <w:spacing w:val="-9"/>
          <w:w w:val="120"/>
        </w:rPr>
        <w:t> </w:t>
      </w:r>
      <w:r>
        <w:rPr>
          <w:color w:val="231F20"/>
          <w:spacing w:val="-2"/>
          <w:w w:val="120"/>
        </w:rPr>
        <w:t>C’est</w:t>
      </w:r>
      <w:r>
        <w:rPr>
          <w:color w:val="231F20"/>
          <w:spacing w:val="-9"/>
          <w:w w:val="120"/>
        </w:rPr>
        <w:t> </w:t>
      </w:r>
      <w:r>
        <w:rPr>
          <w:color w:val="231F20"/>
          <w:spacing w:val="-2"/>
          <w:w w:val="120"/>
        </w:rPr>
        <w:t>ce</w:t>
      </w:r>
      <w:r>
        <w:rPr>
          <w:color w:val="231F20"/>
          <w:spacing w:val="-9"/>
          <w:w w:val="120"/>
        </w:rPr>
        <w:t> </w:t>
      </w:r>
      <w:r>
        <w:rPr>
          <w:color w:val="231F20"/>
          <w:spacing w:val="-2"/>
          <w:w w:val="120"/>
        </w:rPr>
        <w:t>dont</w:t>
      </w:r>
      <w:r>
        <w:rPr>
          <w:color w:val="231F20"/>
          <w:spacing w:val="-9"/>
          <w:w w:val="120"/>
        </w:rPr>
        <w:t> </w:t>
      </w:r>
      <w:r>
        <w:rPr>
          <w:color w:val="231F20"/>
          <w:spacing w:val="-2"/>
          <w:w w:val="120"/>
        </w:rPr>
        <w:t>nous</w:t>
      </w:r>
      <w:r>
        <w:rPr>
          <w:color w:val="231F20"/>
          <w:spacing w:val="-9"/>
          <w:w w:val="120"/>
        </w:rPr>
        <w:t> </w:t>
      </w:r>
      <w:r>
        <w:rPr>
          <w:color w:val="231F20"/>
          <w:spacing w:val="-2"/>
          <w:w w:val="120"/>
        </w:rPr>
        <w:t>discuterons</w:t>
      </w:r>
      <w:r>
        <w:rPr>
          <w:color w:val="231F20"/>
          <w:spacing w:val="-9"/>
          <w:w w:val="120"/>
        </w:rPr>
        <w:t> </w:t>
      </w:r>
      <w:r>
        <w:rPr>
          <w:color w:val="231F20"/>
          <w:spacing w:val="-2"/>
          <w:w w:val="120"/>
        </w:rPr>
        <w:t>dans </w:t>
      </w:r>
      <w:r>
        <w:rPr>
          <w:color w:val="231F20"/>
          <w:w w:val="120"/>
        </w:rPr>
        <w:t>les prochains chapitres.</w:t>
      </w:r>
    </w:p>
    <w:p>
      <w:pPr>
        <w:pStyle w:val="BodyText"/>
        <w:rPr>
          <w:sz w:val="24"/>
        </w:rPr>
      </w:pPr>
    </w:p>
    <w:p>
      <w:pPr>
        <w:spacing w:before="183"/>
        <w:ind w:left="1220" w:right="0" w:firstLine="0"/>
        <w:jc w:val="both"/>
        <w:rPr>
          <w:rFonts w:ascii="Arial"/>
          <w:i/>
          <w:sz w:val="21"/>
        </w:rPr>
      </w:pPr>
      <w:r>
        <w:rPr>
          <w:rFonts w:ascii="Arial"/>
          <w:color w:val="231F20"/>
          <w:w w:val="95"/>
          <w:sz w:val="21"/>
        </w:rPr>
        <w:t>exerCiCe</w:t>
      </w:r>
      <w:r>
        <w:rPr>
          <w:rFonts w:ascii="Arial"/>
          <w:color w:val="231F20"/>
          <w:spacing w:val="-10"/>
          <w:w w:val="95"/>
          <w:sz w:val="21"/>
        </w:rPr>
        <w:t> </w:t>
      </w:r>
      <w:r>
        <w:rPr>
          <w:rFonts w:ascii="Arial"/>
          <w:color w:val="231F20"/>
          <w:w w:val="95"/>
          <w:sz w:val="21"/>
        </w:rPr>
        <w:t>2.1</w:t>
      </w:r>
      <w:r>
        <w:rPr>
          <w:rFonts w:ascii="Arial"/>
          <w:color w:val="231F20"/>
          <w:spacing w:val="-17"/>
          <w:w w:val="95"/>
          <w:sz w:val="21"/>
        </w:rPr>
        <w:t> </w:t>
      </w:r>
      <w:r>
        <w:rPr>
          <w:rFonts w:ascii="Arial"/>
          <w:i/>
          <w:color w:val="231F20"/>
          <w:spacing w:val="-10"/>
          <w:w w:val="95"/>
          <w:sz w:val="21"/>
        </w:rPr>
        <w:t>/</w:t>
      </w:r>
    </w:p>
    <w:p>
      <w:pPr>
        <w:pStyle w:val="Heading2"/>
        <w:spacing w:before="8"/>
        <w:ind w:left="1220"/>
        <w:jc w:val="both"/>
      </w:pPr>
      <w:r>
        <w:rPr>
          <w:color w:val="231F20"/>
          <w:w w:val="95"/>
        </w:rPr>
        <w:t>Évaluez</w:t>
      </w:r>
      <w:r>
        <w:rPr>
          <w:color w:val="231F20"/>
          <w:spacing w:val="-8"/>
          <w:w w:val="95"/>
        </w:rPr>
        <w:t> </w:t>
      </w:r>
      <w:r>
        <w:rPr>
          <w:color w:val="231F20"/>
          <w:w w:val="95"/>
        </w:rPr>
        <w:t>votre</w:t>
      </w:r>
      <w:r>
        <w:rPr>
          <w:color w:val="231F20"/>
          <w:spacing w:val="-7"/>
          <w:w w:val="95"/>
        </w:rPr>
        <w:t> </w:t>
      </w:r>
      <w:r>
        <w:rPr>
          <w:color w:val="231F20"/>
          <w:w w:val="95"/>
        </w:rPr>
        <w:t>propension</w:t>
      </w:r>
      <w:r>
        <w:rPr>
          <w:color w:val="231F20"/>
          <w:spacing w:val="-8"/>
          <w:w w:val="95"/>
        </w:rPr>
        <w:t> </w:t>
      </w:r>
      <w:r>
        <w:rPr>
          <w:color w:val="231F20"/>
          <w:w w:val="95"/>
        </w:rPr>
        <w:t>générale</w:t>
      </w:r>
      <w:r>
        <w:rPr>
          <w:color w:val="231F20"/>
          <w:spacing w:val="-7"/>
          <w:w w:val="95"/>
        </w:rPr>
        <w:t> </w:t>
      </w:r>
      <w:r>
        <w:rPr>
          <w:color w:val="231F20"/>
          <w:w w:val="95"/>
        </w:rPr>
        <w:t>au</w:t>
      </w:r>
      <w:r>
        <w:rPr>
          <w:color w:val="231F20"/>
          <w:spacing w:val="-7"/>
          <w:w w:val="95"/>
        </w:rPr>
        <w:t> </w:t>
      </w:r>
      <w:r>
        <w:rPr>
          <w:color w:val="231F20"/>
          <w:spacing w:val="-2"/>
          <w:w w:val="95"/>
        </w:rPr>
        <w:t>stress</w:t>
      </w:r>
    </w:p>
    <w:p>
      <w:pPr>
        <w:pStyle w:val="BodyText"/>
        <w:spacing w:before="9"/>
        <w:rPr>
          <w:rFonts w:ascii="Arial"/>
          <w:b/>
          <w:sz w:val="25"/>
        </w:rPr>
      </w:pPr>
    </w:p>
    <w:p>
      <w:pPr>
        <w:pStyle w:val="BodyText"/>
        <w:spacing w:line="307" w:lineRule="auto"/>
        <w:ind w:left="1220" w:right="102"/>
        <w:jc w:val="both"/>
      </w:pPr>
      <w:r>
        <w:rPr>
          <w:color w:val="231F20"/>
          <w:spacing w:val="-2"/>
          <w:w w:val="120"/>
        </w:rPr>
        <w:t>Le</w:t>
      </w:r>
      <w:r>
        <w:rPr>
          <w:color w:val="231F20"/>
          <w:spacing w:val="-7"/>
          <w:w w:val="120"/>
        </w:rPr>
        <w:t> </w:t>
      </w:r>
      <w:r>
        <w:rPr>
          <w:color w:val="231F20"/>
          <w:spacing w:val="-2"/>
          <w:w w:val="120"/>
        </w:rPr>
        <w:t>questionnaire</w:t>
      </w:r>
      <w:r>
        <w:rPr>
          <w:color w:val="231F20"/>
          <w:spacing w:val="-7"/>
          <w:w w:val="120"/>
        </w:rPr>
        <w:t> </w:t>
      </w:r>
      <w:r>
        <w:rPr>
          <w:color w:val="231F20"/>
          <w:spacing w:val="-2"/>
          <w:w w:val="120"/>
        </w:rPr>
        <w:t>qui</w:t>
      </w:r>
      <w:r>
        <w:rPr>
          <w:color w:val="231F20"/>
          <w:spacing w:val="-7"/>
          <w:w w:val="120"/>
        </w:rPr>
        <w:t> </w:t>
      </w:r>
      <w:r>
        <w:rPr>
          <w:color w:val="231F20"/>
          <w:spacing w:val="-2"/>
          <w:w w:val="120"/>
        </w:rPr>
        <w:t>suit</w:t>
      </w:r>
      <w:r>
        <w:rPr>
          <w:color w:val="231F20"/>
          <w:spacing w:val="-7"/>
          <w:w w:val="120"/>
        </w:rPr>
        <w:t> </w:t>
      </w:r>
      <w:r>
        <w:rPr>
          <w:color w:val="231F20"/>
          <w:spacing w:val="-2"/>
          <w:w w:val="120"/>
        </w:rPr>
        <w:t>est</w:t>
      </w:r>
      <w:r>
        <w:rPr>
          <w:color w:val="231F20"/>
          <w:spacing w:val="-7"/>
          <w:w w:val="120"/>
        </w:rPr>
        <w:t> </w:t>
      </w:r>
      <w:r>
        <w:rPr>
          <w:color w:val="231F20"/>
          <w:spacing w:val="-2"/>
          <w:w w:val="120"/>
        </w:rPr>
        <w:t>conçu</w:t>
      </w:r>
      <w:r>
        <w:rPr>
          <w:color w:val="231F20"/>
          <w:spacing w:val="-7"/>
          <w:w w:val="120"/>
        </w:rPr>
        <w:t> </w:t>
      </w:r>
      <w:r>
        <w:rPr>
          <w:color w:val="231F20"/>
          <w:spacing w:val="-2"/>
          <w:w w:val="120"/>
        </w:rPr>
        <w:t>pour</w:t>
      </w:r>
      <w:r>
        <w:rPr>
          <w:color w:val="231F20"/>
          <w:spacing w:val="-7"/>
          <w:w w:val="120"/>
        </w:rPr>
        <w:t> </w:t>
      </w:r>
      <w:r>
        <w:rPr>
          <w:color w:val="231F20"/>
          <w:spacing w:val="-2"/>
          <w:w w:val="120"/>
        </w:rPr>
        <w:t>vous</w:t>
      </w:r>
      <w:r>
        <w:rPr>
          <w:color w:val="231F20"/>
          <w:spacing w:val="-7"/>
          <w:w w:val="120"/>
        </w:rPr>
        <w:t> </w:t>
      </w:r>
      <w:r>
        <w:rPr>
          <w:color w:val="231F20"/>
          <w:spacing w:val="-2"/>
          <w:w w:val="120"/>
        </w:rPr>
        <w:t>aider</w:t>
      </w:r>
      <w:r>
        <w:rPr>
          <w:color w:val="231F20"/>
          <w:spacing w:val="-7"/>
          <w:w w:val="120"/>
        </w:rPr>
        <w:t> </w:t>
      </w:r>
      <w:r>
        <w:rPr>
          <w:color w:val="231F20"/>
          <w:spacing w:val="-2"/>
          <w:w w:val="120"/>
        </w:rPr>
        <w:t>à</w:t>
      </w:r>
      <w:r>
        <w:rPr>
          <w:color w:val="231F20"/>
          <w:spacing w:val="-7"/>
          <w:w w:val="120"/>
        </w:rPr>
        <w:t> </w:t>
      </w:r>
      <w:r>
        <w:rPr>
          <w:color w:val="231F20"/>
          <w:spacing w:val="-2"/>
          <w:w w:val="120"/>
        </w:rPr>
        <w:t>estimer</w:t>
      </w:r>
      <w:r>
        <w:rPr>
          <w:color w:val="231F20"/>
          <w:spacing w:val="-7"/>
          <w:w w:val="120"/>
        </w:rPr>
        <w:t> </w:t>
      </w:r>
      <w:r>
        <w:rPr>
          <w:color w:val="231F20"/>
          <w:spacing w:val="-2"/>
          <w:w w:val="120"/>
        </w:rPr>
        <w:t>votre</w:t>
      </w:r>
      <w:r>
        <w:rPr>
          <w:color w:val="231F20"/>
          <w:spacing w:val="-7"/>
          <w:w w:val="120"/>
        </w:rPr>
        <w:t> </w:t>
      </w:r>
      <w:r>
        <w:rPr>
          <w:color w:val="231F20"/>
          <w:spacing w:val="-2"/>
          <w:w w:val="120"/>
        </w:rPr>
        <w:t>stress </w:t>
      </w:r>
      <w:r>
        <w:rPr>
          <w:color w:val="231F20"/>
          <w:w w:val="120"/>
        </w:rPr>
        <w:t>et votre propension au stress. Répondez à chacune des questions en fonction de l’échelle suivante.</w:t>
      </w:r>
    </w:p>
    <w:p>
      <w:pPr>
        <w:pStyle w:val="BodyText"/>
        <w:spacing w:before="3"/>
        <w:rPr>
          <w:sz w:val="7"/>
        </w:rPr>
      </w:pPr>
      <w:r>
        <w:rPr/>
        <w:pict>
          <v:group style="position:absolute;margin-left:82pt;margin-top:5.442431pt;width:287.75pt;height:38.85pt;mso-position-horizontal-relative:page;mso-position-vertical-relative:paragraph;z-index:-15684096;mso-wrap-distance-left:0;mso-wrap-distance-right:0" id="docshapegroup615" coordorigin="1640,109" coordsize="5755,777">
            <v:line style="position:absolute" from="1640,111" to="7395,111" stroked="true" strokeweight=".25pt" strokecolor="#231f20">
              <v:stroke dashstyle="solid"/>
            </v:line>
            <v:line style="position:absolute" from="1643,880" to="1643,114" stroked="true" strokeweight=".25pt" strokecolor="#231f20">
              <v:stroke dashstyle="solid"/>
            </v:line>
            <v:line style="position:absolute" from="7393,880" to="7393,114" stroked="true" strokeweight=".25pt" strokecolor="#231f20">
              <v:stroke dashstyle="solid"/>
            </v:line>
            <v:line style="position:absolute" from="1640,883" to="7395,883" stroked="true" strokeweight=".25pt" strokecolor="#231f20">
              <v:stroke dashstyle="solid"/>
            </v:line>
            <v:shape style="position:absolute;left:1882;top:295;width:620;height:383" type="#_x0000_t202" id="docshape616" filled="false" stroked="false">
              <v:textbox inset="0,0,0,0">
                <w:txbxContent>
                  <w:p>
                    <w:pPr>
                      <w:spacing w:before="36"/>
                      <w:ind w:left="0" w:right="0" w:firstLine="0"/>
                      <w:jc w:val="left"/>
                      <w:rPr>
                        <w:rFonts w:ascii="Arial"/>
                        <w:b/>
                        <w:sz w:val="14"/>
                      </w:rPr>
                    </w:pPr>
                    <w:r>
                      <w:rPr>
                        <w:rFonts w:ascii="Arial"/>
                        <w:b/>
                        <w:color w:val="231F20"/>
                        <w:spacing w:val="-2"/>
                        <w:sz w:val="14"/>
                      </w:rPr>
                      <w:t>Jamais</w:t>
                    </w:r>
                  </w:p>
                  <w:p>
                    <w:pPr>
                      <w:tabs>
                        <w:tab w:pos="508" w:val="left" w:leader="none"/>
                      </w:tabs>
                      <w:spacing w:before="19"/>
                      <w:ind w:left="0" w:right="0" w:firstLine="0"/>
                      <w:jc w:val="left"/>
                      <w:rPr>
                        <w:rFonts w:ascii="Arial"/>
                        <w:b/>
                        <w:sz w:val="14"/>
                      </w:rPr>
                    </w:pPr>
                    <w:r>
                      <w:rPr>
                        <w:rFonts w:ascii="Arial"/>
                        <w:b/>
                        <w:color w:val="231F20"/>
                        <w:spacing w:val="-10"/>
                        <w:w w:val="115"/>
                        <w:sz w:val="14"/>
                      </w:rPr>
                      <w:t>0</w:t>
                    </w:r>
                    <w:r>
                      <w:rPr>
                        <w:rFonts w:ascii="Arial"/>
                        <w:b/>
                        <w:color w:val="231F20"/>
                        <w:sz w:val="14"/>
                      </w:rPr>
                      <w:tab/>
                    </w:r>
                    <w:r>
                      <w:rPr>
                        <w:rFonts w:ascii="Arial"/>
                        <w:b/>
                        <w:color w:val="231F20"/>
                        <w:spacing w:val="-10"/>
                        <w:w w:val="115"/>
                        <w:sz w:val="14"/>
                      </w:rPr>
                      <w:t>1</w:t>
                    </w:r>
                  </w:p>
                </w:txbxContent>
              </v:textbox>
              <w10:wrap type="none"/>
            </v:shape>
            <v:shape style="position:absolute;left:2900;top:475;width:111;height:203" type="#_x0000_t202" id="docshape617" filled="false" stroked="false">
              <v:textbox inset="0,0,0,0">
                <w:txbxContent>
                  <w:p>
                    <w:pPr>
                      <w:spacing w:before="36"/>
                      <w:ind w:left="0" w:right="0" w:firstLine="0"/>
                      <w:jc w:val="left"/>
                      <w:rPr>
                        <w:rFonts w:ascii="Arial"/>
                        <w:b/>
                        <w:sz w:val="14"/>
                      </w:rPr>
                    </w:pPr>
                    <w:r>
                      <w:rPr>
                        <w:rFonts w:ascii="Arial"/>
                        <w:b/>
                        <w:color w:val="231F20"/>
                        <w:w w:val="116"/>
                        <w:sz w:val="14"/>
                      </w:rPr>
                      <w:t>2</w:t>
                    </w:r>
                  </w:p>
                </w:txbxContent>
              </v:textbox>
              <w10:wrap type="none"/>
            </v:shape>
            <v:shape style="position:absolute;left:3408;top:475;width:111;height:203" type="#_x0000_t202" id="docshape618" filled="false" stroked="false">
              <v:textbox inset="0,0,0,0">
                <w:txbxContent>
                  <w:p>
                    <w:pPr>
                      <w:spacing w:before="36"/>
                      <w:ind w:left="0" w:right="0" w:firstLine="0"/>
                      <w:jc w:val="left"/>
                      <w:rPr>
                        <w:rFonts w:ascii="Arial"/>
                        <w:b/>
                        <w:sz w:val="14"/>
                      </w:rPr>
                    </w:pPr>
                    <w:r>
                      <w:rPr>
                        <w:rFonts w:ascii="Arial"/>
                        <w:b/>
                        <w:color w:val="231F20"/>
                        <w:w w:val="116"/>
                        <w:sz w:val="14"/>
                      </w:rPr>
                      <w:t>3</w:t>
                    </w:r>
                  </w:p>
                </w:txbxContent>
              </v:textbox>
              <w10:wrap type="none"/>
            </v:shape>
            <v:shape style="position:absolute;left:3917;top:295;width:1129;height:383" type="#_x0000_t202" id="docshape619" filled="false" stroked="false">
              <v:textbox inset="0,0,0,0">
                <w:txbxContent>
                  <w:p>
                    <w:pPr>
                      <w:spacing w:before="36"/>
                      <w:ind w:left="19" w:right="18" w:firstLine="0"/>
                      <w:jc w:val="center"/>
                      <w:rPr>
                        <w:rFonts w:ascii="Arial"/>
                        <w:b/>
                        <w:sz w:val="14"/>
                      </w:rPr>
                    </w:pPr>
                    <w:r>
                      <w:rPr>
                        <w:rFonts w:ascii="Arial"/>
                        <w:b/>
                        <w:color w:val="231F20"/>
                        <w:spacing w:val="-2"/>
                        <w:sz w:val="14"/>
                      </w:rPr>
                      <w:t>Parfois</w:t>
                    </w:r>
                  </w:p>
                  <w:p>
                    <w:pPr>
                      <w:tabs>
                        <w:tab w:pos="508" w:val="left" w:leader="none"/>
                        <w:tab w:pos="1017" w:val="left" w:leader="none"/>
                      </w:tabs>
                      <w:spacing w:before="19"/>
                      <w:ind w:left="0" w:right="18" w:firstLine="0"/>
                      <w:jc w:val="center"/>
                      <w:rPr>
                        <w:rFonts w:ascii="Arial"/>
                        <w:b/>
                        <w:sz w:val="14"/>
                      </w:rPr>
                    </w:pPr>
                    <w:r>
                      <w:rPr>
                        <w:rFonts w:ascii="Arial"/>
                        <w:b/>
                        <w:color w:val="231F20"/>
                        <w:spacing w:val="-10"/>
                        <w:w w:val="115"/>
                        <w:sz w:val="14"/>
                      </w:rPr>
                      <w:t>4</w:t>
                    </w:r>
                    <w:r>
                      <w:rPr>
                        <w:rFonts w:ascii="Arial"/>
                        <w:b/>
                        <w:color w:val="231F20"/>
                        <w:sz w:val="14"/>
                      </w:rPr>
                      <w:tab/>
                    </w:r>
                    <w:r>
                      <w:rPr>
                        <w:rFonts w:ascii="Arial"/>
                        <w:b/>
                        <w:color w:val="231F20"/>
                        <w:spacing w:val="-10"/>
                        <w:w w:val="115"/>
                        <w:sz w:val="14"/>
                      </w:rPr>
                      <w:t>5</w:t>
                    </w:r>
                    <w:r>
                      <w:rPr>
                        <w:rFonts w:ascii="Arial"/>
                        <w:b/>
                        <w:color w:val="231F20"/>
                        <w:sz w:val="14"/>
                      </w:rPr>
                      <w:tab/>
                    </w:r>
                    <w:r>
                      <w:rPr>
                        <w:rFonts w:ascii="Arial"/>
                        <w:b/>
                        <w:color w:val="231F20"/>
                        <w:spacing w:val="-10"/>
                        <w:w w:val="115"/>
                        <w:sz w:val="14"/>
                      </w:rPr>
                      <w:t>6</w:t>
                    </w:r>
                  </w:p>
                </w:txbxContent>
              </v:textbox>
              <w10:wrap type="none"/>
            </v:shape>
            <v:shape style="position:absolute;left:5443;top:475;width:111;height:203" type="#_x0000_t202" id="docshape620" filled="false" stroked="false">
              <v:textbox inset="0,0,0,0">
                <w:txbxContent>
                  <w:p>
                    <w:pPr>
                      <w:spacing w:before="36"/>
                      <w:ind w:left="0" w:right="0" w:firstLine="0"/>
                      <w:jc w:val="left"/>
                      <w:rPr>
                        <w:rFonts w:ascii="Arial"/>
                        <w:b/>
                        <w:sz w:val="14"/>
                      </w:rPr>
                    </w:pPr>
                    <w:r>
                      <w:rPr>
                        <w:rFonts w:ascii="Arial"/>
                        <w:b/>
                        <w:color w:val="231F20"/>
                        <w:w w:val="116"/>
                        <w:sz w:val="14"/>
                      </w:rPr>
                      <w:t>7</w:t>
                    </w:r>
                  </w:p>
                </w:txbxContent>
              </v:textbox>
              <w10:wrap type="none"/>
            </v:shape>
            <v:shape style="position:absolute;left:5952;top:475;width:111;height:203" type="#_x0000_t202" id="docshape621" filled="false" stroked="false">
              <v:textbox inset="0,0,0,0">
                <w:txbxContent>
                  <w:p>
                    <w:pPr>
                      <w:spacing w:before="36"/>
                      <w:ind w:left="0" w:right="0" w:firstLine="0"/>
                      <w:jc w:val="left"/>
                      <w:rPr>
                        <w:rFonts w:ascii="Arial"/>
                        <w:b/>
                        <w:sz w:val="14"/>
                      </w:rPr>
                    </w:pPr>
                    <w:r>
                      <w:rPr>
                        <w:rFonts w:ascii="Arial"/>
                        <w:b/>
                        <w:color w:val="231F20"/>
                        <w:w w:val="116"/>
                        <w:sz w:val="14"/>
                      </w:rPr>
                      <w:t>8</w:t>
                    </w:r>
                  </w:p>
                </w:txbxContent>
              </v:textbox>
              <w10:wrap type="none"/>
            </v:shape>
            <v:shape style="position:absolute;left:6461;top:295;width:711;height:383" type="#_x0000_t202" id="docshape622" filled="false" stroked="false">
              <v:textbox inset="0,0,0,0">
                <w:txbxContent>
                  <w:p>
                    <w:pPr>
                      <w:tabs>
                        <w:tab w:pos="690" w:val="right" w:leader="none"/>
                      </w:tabs>
                      <w:spacing w:line="268" w:lineRule="auto" w:before="31"/>
                      <w:ind w:left="0" w:right="18" w:firstLine="132"/>
                      <w:jc w:val="left"/>
                      <w:rPr>
                        <w:rFonts w:ascii="Arial"/>
                        <w:b/>
                        <w:sz w:val="14"/>
                      </w:rPr>
                    </w:pPr>
                    <w:r>
                      <w:rPr>
                        <w:rFonts w:ascii="Arial"/>
                        <w:b/>
                        <w:color w:val="231F20"/>
                        <w:spacing w:val="-4"/>
                        <w:w w:val="95"/>
                        <w:sz w:val="14"/>
                      </w:rPr>
                      <w:t>Toujours</w:t>
                    </w:r>
                    <w:r>
                      <w:rPr>
                        <w:rFonts w:ascii="Arial"/>
                        <w:b/>
                        <w:color w:val="231F20"/>
                        <w:spacing w:val="40"/>
                        <w:w w:val="105"/>
                        <w:sz w:val="14"/>
                      </w:rPr>
                      <w:t> </w:t>
                    </w:r>
                    <w:r>
                      <w:rPr>
                        <w:rFonts w:ascii="Arial"/>
                        <w:b/>
                        <w:color w:val="231F20"/>
                        <w:spacing w:val="-10"/>
                        <w:w w:val="105"/>
                        <w:sz w:val="14"/>
                      </w:rPr>
                      <w:t>9</w:t>
                    </w:r>
                    <w:r>
                      <w:rPr>
                        <w:rFonts w:ascii="Arial"/>
                        <w:b/>
                        <w:color w:val="231F20"/>
                        <w:sz w:val="14"/>
                      </w:rPr>
                      <w:tab/>
                    </w:r>
                    <w:r>
                      <w:rPr>
                        <w:rFonts w:ascii="Arial"/>
                        <w:b/>
                        <w:color w:val="231F20"/>
                        <w:spacing w:val="-5"/>
                        <w:sz w:val="14"/>
                      </w:rPr>
                      <w:t>10</w:t>
                    </w:r>
                  </w:p>
                </w:txbxContent>
              </v:textbox>
              <w10:wrap type="none"/>
            </v:shape>
            <w10:wrap type="topAndBottom"/>
          </v:group>
        </w:pict>
      </w:r>
    </w:p>
    <w:p>
      <w:pPr>
        <w:pStyle w:val="BodyText"/>
        <w:spacing w:before="1"/>
      </w:pPr>
    </w:p>
    <w:p>
      <w:pPr>
        <w:pStyle w:val="BodyText"/>
        <w:spacing w:before="145"/>
        <w:ind w:left="1220"/>
      </w:pPr>
      <w:r>
        <w:rPr>
          <w:color w:val="231F20"/>
          <w:w w:val="115"/>
        </w:rPr>
        <w:t>Inversez</w:t>
      </w:r>
      <w:r>
        <w:rPr>
          <w:color w:val="231F20"/>
          <w:spacing w:val="-3"/>
          <w:w w:val="115"/>
        </w:rPr>
        <w:t> </w:t>
      </w:r>
      <w:r>
        <w:rPr>
          <w:color w:val="231F20"/>
          <w:w w:val="115"/>
        </w:rPr>
        <w:t>l’échelle</w:t>
      </w:r>
      <w:r>
        <w:rPr>
          <w:color w:val="231F20"/>
          <w:spacing w:val="-3"/>
          <w:w w:val="115"/>
        </w:rPr>
        <w:t> </w:t>
      </w:r>
      <w:r>
        <w:rPr>
          <w:color w:val="231F20"/>
          <w:w w:val="115"/>
        </w:rPr>
        <w:t>pour</w:t>
      </w:r>
      <w:r>
        <w:rPr>
          <w:color w:val="231F20"/>
          <w:spacing w:val="-2"/>
          <w:w w:val="115"/>
        </w:rPr>
        <w:t> </w:t>
      </w:r>
      <w:r>
        <w:rPr>
          <w:color w:val="231F20"/>
          <w:w w:val="115"/>
        </w:rPr>
        <w:t>les</w:t>
      </w:r>
      <w:r>
        <w:rPr>
          <w:color w:val="231F20"/>
          <w:spacing w:val="-3"/>
          <w:w w:val="115"/>
        </w:rPr>
        <w:t> </w:t>
      </w:r>
      <w:r>
        <w:rPr>
          <w:color w:val="231F20"/>
          <w:w w:val="115"/>
        </w:rPr>
        <w:t>questions</w:t>
      </w:r>
      <w:r>
        <w:rPr>
          <w:color w:val="231F20"/>
          <w:spacing w:val="-3"/>
          <w:w w:val="115"/>
        </w:rPr>
        <w:t> </w:t>
      </w:r>
      <w:r>
        <w:rPr>
          <w:color w:val="231F20"/>
          <w:w w:val="115"/>
        </w:rPr>
        <w:t>sur</w:t>
      </w:r>
      <w:r>
        <w:rPr>
          <w:color w:val="231F20"/>
          <w:spacing w:val="-2"/>
          <w:w w:val="115"/>
        </w:rPr>
        <w:t> </w:t>
      </w:r>
      <w:r>
        <w:rPr>
          <w:color w:val="231F20"/>
          <w:w w:val="115"/>
        </w:rPr>
        <w:t>fond</w:t>
      </w:r>
      <w:r>
        <w:rPr>
          <w:color w:val="231F20"/>
          <w:spacing w:val="-3"/>
          <w:w w:val="115"/>
        </w:rPr>
        <w:t> </w:t>
      </w:r>
      <w:r>
        <w:rPr>
          <w:color w:val="231F20"/>
          <w:w w:val="115"/>
        </w:rPr>
        <w:t>gris</w:t>
      </w:r>
      <w:r>
        <w:rPr>
          <w:color w:val="231F20"/>
          <w:spacing w:val="-3"/>
          <w:w w:val="115"/>
        </w:rPr>
        <w:t> </w:t>
      </w:r>
      <w:r>
        <w:rPr>
          <w:color w:val="231F20"/>
          <w:w w:val="115"/>
        </w:rPr>
        <w:t>(1,</w:t>
      </w:r>
      <w:r>
        <w:rPr>
          <w:color w:val="231F20"/>
          <w:spacing w:val="-2"/>
          <w:w w:val="115"/>
        </w:rPr>
        <w:t> </w:t>
      </w:r>
      <w:r>
        <w:rPr>
          <w:color w:val="231F20"/>
          <w:w w:val="115"/>
        </w:rPr>
        <w:t>5,</w:t>
      </w:r>
      <w:r>
        <w:rPr>
          <w:color w:val="231F20"/>
          <w:spacing w:val="-3"/>
          <w:w w:val="115"/>
        </w:rPr>
        <w:t> </w:t>
      </w:r>
      <w:r>
        <w:rPr>
          <w:color w:val="231F20"/>
          <w:w w:val="115"/>
        </w:rPr>
        <w:t>9,</w:t>
      </w:r>
      <w:r>
        <w:rPr>
          <w:color w:val="231F20"/>
          <w:spacing w:val="-2"/>
          <w:w w:val="115"/>
        </w:rPr>
        <w:t> </w:t>
      </w:r>
      <w:r>
        <w:rPr>
          <w:color w:val="231F20"/>
          <w:w w:val="115"/>
        </w:rPr>
        <w:t>14,</w:t>
      </w:r>
      <w:r>
        <w:rPr>
          <w:color w:val="231F20"/>
          <w:spacing w:val="-3"/>
          <w:w w:val="115"/>
        </w:rPr>
        <w:t> </w:t>
      </w:r>
      <w:r>
        <w:rPr>
          <w:color w:val="231F20"/>
          <w:w w:val="115"/>
        </w:rPr>
        <w:t>15,</w:t>
      </w:r>
      <w:r>
        <w:rPr>
          <w:color w:val="231F20"/>
          <w:spacing w:val="-3"/>
          <w:w w:val="115"/>
        </w:rPr>
        <w:t> </w:t>
      </w:r>
      <w:r>
        <w:rPr>
          <w:color w:val="231F20"/>
          <w:w w:val="115"/>
        </w:rPr>
        <w:t>18,</w:t>
      </w:r>
      <w:r>
        <w:rPr>
          <w:color w:val="231F20"/>
          <w:spacing w:val="-2"/>
          <w:w w:val="115"/>
        </w:rPr>
        <w:t> </w:t>
      </w:r>
      <w:r>
        <w:rPr>
          <w:color w:val="231F20"/>
          <w:spacing w:val="-5"/>
          <w:w w:val="115"/>
        </w:rPr>
        <w:t>20,</w:t>
      </w:r>
    </w:p>
    <w:p>
      <w:pPr>
        <w:pStyle w:val="BodyText"/>
        <w:spacing w:before="54"/>
        <w:ind w:left="1220"/>
      </w:pPr>
      <w:r>
        <w:rPr>
          <w:color w:val="231F20"/>
          <w:w w:val="110"/>
        </w:rPr>
        <w:t>21,</w:t>
      </w:r>
      <w:r>
        <w:rPr>
          <w:color w:val="231F20"/>
          <w:spacing w:val="-6"/>
          <w:w w:val="110"/>
        </w:rPr>
        <w:t> </w:t>
      </w:r>
      <w:r>
        <w:rPr>
          <w:color w:val="231F20"/>
          <w:w w:val="110"/>
        </w:rPr>
        <w:t>28).</w:t>
      </w:r>
      <w:r>
        <w:rPr>
          <w:color w:val="231F20"/>
          <w:spacing w:val="-6"/>
          <w:w w:val="110"/>
        </w:rPr>
        <w:t> </w:t>
      </w:r>
      <w:r>
        <w:rPr>
          <w:color w:val="231F20"/>
          <w:w w:val="110"/>
        </w:rPr>
        <w:t>Les</w:t>
      </w:r>
      <w:r>
        <w:rPr>
          <w:color w:val="231F20"/>
          <w:spacing w:val="-6"/>
          <w:w w:val="110"/>
        </w:rPr>
        <w:t> </w:t>
      </w:r>
      <w:r>
        <w:rPr>
          <w:color w:val="231F20"/>
          <w:w w:val="110"/>
        </w:rPr>
        <w:t>règles</w:t>
      </w:r>
      <w:r>
        <w:rPr>
          <w:color w:val="231F20"/>
          <w:spacing w:val="-6"/>
          <w:w w:val="110"/>
        </w:rPr>
        <w:t> </w:t>
      </w:r>
      <w:r>
        <w:rPr>
          <w:color w:val="231F20"/>
          <w:w w:val="110"/>
        </w:rPr>
        <w:t>de</w:t>
      </w:r>
      <w:r>
        <w:rPr>
          <w:color w:val="231F20"/>
          <w:spacing w:val="-6"/>
          <w:w w:val="110"/>
        </w:rPr>
        <w:t> </w:t>
      </w:r>
      <w:r>
        <w:rPr>
          <w:color w:val="231F20"/>
          <w:w w:val="110"/>
        </w:rPr>
        <w:t>l’inversion</w:t>
      </w:r>
      <w:r>
        <w:rPr>
          <w:color w:val="231F20"/>
          <w:spacing w:val="-6"/>
          <w:w w:val="110"/>
        </w:rPr>
        <w:t> </w:t>
      </w:r>
      <w:r>
        <w:rPr>
          <w:color w:val="231F20"/>
          <w:w w:val="110"/>
        </w:rPr>
        <w:t>sont</w:t>
      </w:r>
      <w:r>
        <w:rPr>
          <w:color w:val="231F20"/>
          <w:spacing w:val="-29"/>
          <w:w w:val="110"/>
        </w:rPr>
        <w:t> </w:t>
      </w:r>
      <w:r>
        <w:rPr>
          <w:color w:val="231F20"/>
          <w:w w:val="110"/>
        </w:rPr>
        <w:t>:</w:t>
      </w:r>
      <w:r>
        <w:rPr>
          <w:color w:val="231F20"/>
          <w:spacing w:val="-6"/>
          <w:w w:val="110"/>
        </w:rPr>
        <w:t> </w:t>
      </w:r>
      <w:r>
        <w:rPr>
          <w:color w:val="231F20"/>
          <w:w w:val="110"/>
        </w:rPr>
        <w:t>10</w:t>
      </w:r>
      <w:r>
        <w:rPr>
          <w:color w:val="231F20"/>
          <w:spacing w:val="-5"/>
          <w:w w:val="110"/>
        </w:rPr>
        <w:t> </w:t>
      </w:r>
      <w:r>
        <w:rPr>
          <w:color w:val="231F20"/>
          <w:w w:val="110"/>
        </w:rPr>
        <w:t>=</w:t>
      </w:r>
      <w:r>
        <w:rPr>
          <w:color w:val="231F20"/>
          <w:spacing w:val="-6"/>
          <w:w w:val="110"/>
        </w:rPr>
        <w:t> </w:t>
      </w:r>
      <w:r>
        <w:rPr>
          <w:color w:val="231F20"/>
          <w:w w:val="110"/>
        </w:rPr>
        <w:t>0</w:t>
      </w:r>
      <w:r>
        <w:rPr>
          <w:color w:val="231F20"/>
          <w:spacing w:val="-29"/>
          <w:w w:val="110"/>
        </w:rPr>
        <w:t> </w:t>
      </w:r>
      <w:r>
        <w:rPr>
          <w:color w:val="231F20"/>
          <w:w w:val="110"/>
        </w:rPr>
        <w:t>;</w:t>
      </w:r>
      <w:r>
        <w:rPr>
          <w:color w:val="231F20"/>
          <w:spacing w:val="-6"/>
          <w:w w:val="110"/>
        </w:rPr>
        <w:t> </w:t>
      </w:r>
      <w:r>
        <w:rPr>
          <w:color w:val="231F20"/>
          <w:w w:val="110"/>
        </w:rPr>
        <w:t>9</w:t>
      </w:r>
      <w:r>
        <w:rPr>
          <w:color w:val="231F20"/>
          <w:spacing w:val="-6"/>
          <w:w w:val="110"/>
        </w:rPr>
        <w:t> </w:t>
      </w:r>
      <w:r>
        <w:rPr>
          <w:color w:val="231F20"/>
          <w:w w:val="110"/>
        </w:rPr>
        <w:t>=</w:t>
      </w:r>
      <w:r>
        <w:rPr>
          <w:color w:val="231F20"/>
          <w:spacing w:val="-6"/>
          <w:w w:val="110"/>
        </w:rPr>
        <w:t> </w:t>
      </w:r>
      <w:r>
        <w:rPr>
          <w:color w:val="231F20"/>
          <w:w w:val="110"/>
        </w:rPr>
        <w:t>1</w:t>
      </w:r>
      <w:r>
        <w:rPr>
          <w:color w:val="231F20"/>
          <w:spacing w:val="-28"/>
          <w:w w:val="110"/>
        </w:rPr>
        <w:t> </w:t>
      </w:r>
      <w:r>
        <w:rPr>
          <w:color w:val="231F20"/>
          <w:w w:val="110"/>
        </w:rPr>
        <w:t>;</w:t>
      </w:r>
      <w:r>
        <w:rPr>
          <w:color w:val="231F20"/>
          <w:spacing w:val="-6"/>
          <w:w w:val="110"/>
        </w:rPr>
        <w:t> </w:t>
      </w:r>
      <w:r>
        <w:rPr>
          <w:color w:val="231F20"/>
          <w:w w:val="110"/>
        </w:rPr>
        <w:t>8</w:t>
      </w:r>
      <w:r>
        <w:rPr>
          <w:color w:val="231F20"/>
          <w:spacing w:val="-6"/>
          <w:w w:val="110"/>
        </w:rPr>
        <w:t> </w:t>
      </w:r>
      <w:r>
        <w:rPr>
          <w:color w:val="231F20"/>
          <w:w w:val="110"/>
        </w:rPr>
        <w:t>=</w:t>
      </w:r>
      <w:r>
        <w:rPr>
          <w:color w:val="231F20"/>
          <w:spacing w:val="-6"/>
          <w:w w:val="110"/>
        </w:rPr>
        <w:t> </w:t>
      </w:r>
      <w:r>
        <w:rPr>
          <w:color w:val="231F20"/>
          <w:w w:val="110"/>
        </w:rPr>
        <w:t>2</w:t>
      </w:r>
      <w:r>
        <w:rPr>
          <w:color w:val="231F20"/>
          <w:spacing w:val="-28"/>
          <w:w w:val="110"/>
        </w:rPr>
        <w:t> </w:t>
      </w:r>
      <w:r>
        <w:rPr>
          <w:color w:val="231F20"/>
          <w:w w:val="110"/>
        </w:rPr>
        <w:t>;</w:t>
      </w:r>
      <w:r>
        <w:rPr>
          <w:color w:val="231F20"/>
          <w:spacing w:val="-6"/>
          <w:w w:val="110"/>
        </w:rPr>
        <w:t> </w:t>
      </w:r>
      <w:r>
        <w:rPr>
          <w:color w:val="231F20"/>
          <w:w w:val="110"/>
        </w:rPr>
        <w:t>7</w:t>
      </w:r>
      <w:r>
        <w:rPr>
          <w:color w:val="231F20"/>
          <w:spacing w:val="-6"/>
          <w:w w:val="110"/>
        </w:rPr>
        <w:t> </w:t>
      </w:r>
      <w:r>
        <w:rPr>
          <w:color w:val="231F20"/>
          <w:w w:val="110"/>
        </w:rPr>
        <w:t>=</w:t>
      </w:r>
      <w:r>
        <w:rPr>
          <w:color w:val="231F20"/>
          <w:spacing w:val="-6"/>
          <w:w w:val="110"/>
        </w:rPr>
        <w:t> </w:t>
      </w:r>
      <w:r>
        <w:rPr>
          <w:color w:val="231F20"/>
          <w:w w:val="110"/>
        </w:rPr>
        <w:t>3</w:t>
      </w:r>
      <w:r>
        <w:rPr>
          <w:color w:val="231F20"/>
          <w:spacing w:val="-29"/>
          <w:w w:val="110"/>
        </w:rPr>
        <w:t> </w:t>
      </w:r>
      <w:r>
        <w:rPr>
          <w:color w:val="231F20"/>
          <w:w w:val="110"/>
        </w:rPr>
        <w:t>;</w:t>
      </w:r>
      <w:r>
        <w:rPr>
          <w:color w:val="231F20"/>
          <w:spacing w:val="-6"/>
          <w:w w:val="110"/>
        </w:rPr>
        <w:t> </w:t>
      </w:r>
      <w:r>
        <w:rPr>
          <w:color w:val="231F20"/>
          <w:w w:val="110"/>
        </w:rPr>
        <w:t>6</w:t>
      </w:r>
      <w:r>
        <w:rPr>
          <w:color w:val="231F20"/>
          <w:spacing w:val="-6"/>
          <w:w w:val="110"/>
        </w:rPr>
        <w:t> </w:t>
      </w:r>
      <w:r>
        <w:rPr>
          <w:color w:val="231F20"/>
          <w:w w:val="110"/>
        </w:rPr>
        <w:t>=</w:t>
      </w:r>
      <w:r>
        <w:rPr>
          <w:color w:val="231F20"/>
          <w:spacing w:val="-5"/>
          <w:w w:val="110"/>
        </w:rPr>
        <w:t> </w:t>
      </w:r>
      <w:r>
        <w:rPr>
          <w:color w:val="231F20"/>
          <w:w w:val="110"/>
        </w:rPr>
        <w:t>4,</w:t>
      </w:r>
      <w:r>
        <w:rPr>
          <w:color w:val="231F20"/>
          <w:spacing w:val="-6"/>
          <w:w w:val="110"/>
        </w:rPr>
        <w:t> </w:t>
      </w:r>
      <w:r>
        <w:rPr>
          <w:color w:val="231F20"/>
          <w:spacing w:val="-4"/>
          <w:w w:val="110"/>
        </w:rPr>
        <w:t>etc.</w:t>
      </w:r>
    </w:p>
    <w:p>
      <w:pPr>
        <w:pStyle w:val="BodyText"/>
        <w:rPr>
          <w:sz w:val="14"/>
        </w:rPr>
      </w:pPr>
    </w:p>
    <w:tbl>
      <w:tblPr>
        <w:tblW w:w="0" w:type="auto"/>
        <w:jc w:val="left"/>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5270"/>
        <w:gridCol w:w="480"/>
      </w:tblGrid>
      <w:tr>
        <w:trPr>
          <w:trHeight w:val="264" w:hRule="atLeast"/>
        </w:trPr>
        <w:tc>
          <w:tcPr>
            <w:tcW w:w="5270" w:type="dxa"/>
            <w:tcBorders>
              <w:left w:val="nil"/>
              <w:bottom w:val="nil"/>
              <w:right w:val="single" w:sz="4" w:space="0" w:color="FFFFFF"/>
            </w:tcBorders>
            <w:shd w:val="clear" w:color="auto" w:fill="E2E3E4"/>
          </w:tcPr>
          <w:p>
            <w:pPr>
              <w:pStyle w:val="TableParagraph"/>
              <w:spacing w:before="57"/>
              <w:ind w:left="185"/>
              <w:rPr>
                <w:sz w:val="14"/>
              </w:rPr>
            </w:pPr>
            <w:r>
              <w:rPr>
                <w:b/>
                <w:color w:val="231F20"/>
                <w:spacing w:val="-2"/>
                <w:w w:val="105"/>
                <w:sz w:val="14"/>
              </w:rPr>
              <w:t>1.</w:t>
            </w:r>
            <w:r>
              <w:rPr>
                <w:b/>
                <w:color w:val="231F20"/>
                <w:spacing w:val="38"/>
                <w:w w:val="105"/>
                <w:sz w:val="14"/>
              </w:rPr>
              <w:t>  </w:t>
            </w:r>
            <w:r>
              <w:rPr>
                <w:color w:val="231F20"/>
                <w:spacing w:val="-2"/>
                <w:w w:val="105"/>
                <w:sz w:val="14"/>
              </w:rPr>
              <w:t>Votre</w:t>
            </w:r>
            <w:r>
              <w:rPr>
                <w:color w:val="231F20"/>
                <w:spacing w:val="-5"/>
                <w:w w:val="105"/>
                <w:sz w:val="14"/>
              </w:rPr>
              <w:t> </w:t>
            </w:r>
            <w:r>
              <w:rPr>
                <w:color w:val="231F20"/>
                <w:spacing w:val="-2"/>
                <w:w w:val="105"/>
                <w:sz w:val="14"/>
              </w:rPr>
              <w:t>entourage</w:t>
            </w:r>
            <w:r>
              <w:rPr>
                <w:color w:val="231F20"/>
                <w:spacing w:val="-6"/>
                <w:w w:val="105"/>
                <w:sz w:val="14"/>
              </w:rPr>
              <w:t> </w:t>
            </w:r>
            <w:r>
              <w:rPr>
                <w:color w:val="231F20"/>
                <w:spacing w:val="-2"/>
                <w:w w:val="105"/>
                <w:sz w:val="14"/>
              </w:rPr>
              <w:t>considère-t-il</w:t>
            </w:r>
            <w:r>
              <w:rPr>
                <w:color w:val="231F20"/>
                <w:spacing w:val="-6"/>
                <w:w w:val="105"/>
                <w:sz w:val="14"/>
              </w:rPr>
              <w:t> </w:t>
            </w:r>
            <w:r>
              <w:rPr>
                <w:color w:val="231F20"/>
                <w:spacing w:val="-2"/>
                <w:w w:val="105"/>
                <w:sz w:val="14"/>
              </w:rPr>
              <w:t>que</w:t>
            </w:r>
            <w:r>
              <w:rPr>
                <w:color w:val="231F20"/>
                <w:spacing w:val="-5"/>
                <w:w w:val="105"/>
                <w:sz w:val="14"/>
              </w:rPr>
              <w:t> </w:t>
            </w:r>
            <w:r>
              <w:rPr>
                <w:color w:val="231F20"/>
                <w:spacing w:val="-2"/>
                <w:w w:val="105"/>
                <w:sz w:val="14"/>
              </w:rPr>
              <w:t>vous</w:t>
            </w:r>
            <w:r>
              <w:rPr>
                <w:color w:val="231F20"/>
                <w:spacing w:val="-6"/>
                <w:w w:val="105"/>
                <w:sz w:val="14"/>
              </w:rPr>
              <w:t> </w:t>
            </w:r>
            <w:r>
              <w:rPr>
                <w:color w:val="231F20"/>
                <w:spacing w:val="-2"/>
                <w:w w:val="105"/>
                <w:sz w:val="14"/>
              </w:rPr>
              <w:t>voyez</w:t>
            </w:r>
            <w:r>
              <w:rPr>
                <w:color w:val="231F20"/>
                <w:spacing w:val="-6"/>
                <w:w w:val="105"/>
                <w:sz w:val="14"/>
              </w:rPr>
              <w:t> </w:t>
            </w:r>
            <w:r>
              <w:rPr>
                <w:color w:val="231F20"/>
                <w:spacing w:val="-2"/>
                <w:w w:val="105"/>
                <w:sz w:val="14"/>
              </w:rPr>
              <w:t>le</w:t>
            </w:r>
            <w:r>
              <w:rPr>
                <w:color w:val="231F20"/>
                <w:spacing w:val="-6"/>
                <w:w w:val="105"/>
                <w:sz w:val="14"/>
              </w:rPr>
              <w:t> </w:t>
            </w:r>
            <w:r>
              <w:rPr>
                <w:color w:val="231F20"/>
                <w:spacing w:val="-2"/>
                <w:w w:val="105"/>
                <w:sz w:val="14"/>
              </w:rPr>
              <w:t>bon</w:t>
            </w:r>
            <w:r>
              <w:rPr>
                <w:color w:val="231F20"/>
                <w:spacing w:val="-6"/>
                <w:w w:val="105"/>
                <w:sz w:val="14"/>
              </w:rPr>
              <w:t> </w:t>
            </w:r>
            <w:r>
              <w:rPr>
                <w:color w:val="231F20"/>
                <w:spacing w:val="-2"/>
                <w:w w:val="105"/>
                <w:sz w:val="14"/>
              </w:rPr>
              <w:t>côté</w:t>
            </w:r>
            <w:r>
              <w:rPr>
                <w:color w:val="231F20"/>
                <w:spacing w:val="-6"/>
                <w:w w:val="105"/>
                <w:sz w:val="14"/>
              </w:rPr>
              <w:t> </w:t>
            </w:r>
            <w:r>
              <w:rPr>
                <w:color w:val="231F20"/>
                <w:spacing w:val="-2"/>
                <w:w w:val="105"/>
                <w:sz w:val="14"/>
              </w:rPr>
              <w:t>de</w:t>
            </w:r>
            <w:r>
              <w:rPr>
                <w:color w:val="231F20"/>
                <w:spacing w:val="-6"/>
                <w:w w:val="105"/>
                <w:sz w:val="14"/>
              </w:rPr>
              <w:t> </w:t>
            </w:r>
            <w:r>
              <w:rPr>
                <w:color w:val="231F20"/>
                <w:spacing w:val="-2"/>
                <w:w w:val="105"/>
                <w:sz w:val="14"/>
              </w:rPr>
              <w:t>la</w:t>
            </w:r>
            <w:r>
              <w:rPr>
                <w:color w:val="231F20"/>
                <w:spacing w:val="-5"/>
                <w:w w:val="105"/>
                <w:sz w:val="14"/>
              </w:rPr>
              <w:t> </w:t>
            </w:r>
            <w:r>
              <w:rPr>
                <w:color w:val="231F20"/>
                <w:spacing w:val="-4"/>
                <w:w w:val="105"/>
                <w:sz w:val="14"/>
              </w:rPr>
              <w:t>vie?</w:t>
            </w: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0" w:type="dxa"/>
            <w:tcBorders>
              <w:top w:val="nil"/>
              <w:left w:val="nil"/>
              <w:bottom w:val="single" w:sz="4" w:space="0" w:color="E2E3E4"/>
              <w:right w:val="single" w:sz="4" w:space="0" w:color="FFFFFF"/>
            </w:tcBorders>
          </w:tcPr>
          <w:p>
            <w:pPr>
              <w:pStyle w:val="TableParagraph"/>
              <w:spacing w:before="55"/>
              <w:ind w:left="185"/>
              <w:rPr>
                <w:sz w:val="14"/>
              </w:rPr>
            </w:pPr>
            <w:r>
              <w:rPr>
                <w:b/>
                <w:color w:val="231F20"/>
                <w:sz w:val="14"/>
              </w:rPr>
              <w:t>2.</w:t>
            </w:r>
            <w:r>
              <w:rPr>
                <w:b/>
                <w:color w:val="231F20"/>
                <w:spacing w:val="45"/>
                <w:sz w:val="14"/>
              </w:rPr>
              <w:t>  </w:t>
            </w:r>
            <w:r>
              <w:rPr>
                <w:color w:val="231F20"/>
                <w:sz w:val="14"/>
              </w:rPr>
              <w:t>Avez-vous</w:t>
            </w:r>
            <w:r>
              <w:rPr>
                <w:color w:val="231F20"/>
                <w:spacing w:val="-2"/>
                <w:sz w:val="14"/>
              </w:rPr>
              <w:t> </w:t>
            </w:r>
            <w:r>
              <w:rPr>
                <w:color w:val="231F20"/>
                <w:sz w:val="14"/>
              </w:rPr>
              <w:t>l’impression</w:t>
            </w:r>
            <w:r>
              <w:rPr>
                <w:color w:val="231F20"/>
                <w:spacing w:val="-2"/>
                <w:sz w:val="14"/>
              </w:rPr>
              <w:t> </w:t>
            </w:r>
            <w:r>
              <w:rPr>
                <w:color w:val="231F20"/>
                <w:sz w:val="14"/>
              </w:rPr>
              <w:t>de</w:t>
            </w:r>
            <w:r>
              <w:rPr>
                <w:color w:val="231F20"/>
                <w:spacing w:val="-2"/>
                <w:sz w:val="14"/>
              </w:rPr>
              <w:t> </w:t>
            </w:r>
            <w:r>
              <w:rPr>
                <w:color w:val="231F20"/>
                <w:sz w:val="14"/>
              </w:rPr>
              <w:t>refouler</w:t>
            </w:r>
            <w:r>
              <w:rPr>
                <w:color w:val="231F20"/>
                <w:spacing w:val="-2"/>
                <w:sz w:val="14"/>
              </w:rPr>
              <w:t> </w:t>
            </w:r>
            <w:r>
              <w:rPr>
                <w:color w:val="231F20"/>
                <w:sz w:val="14"/>
              </w:rPr>
              <w:t>vos</w:t>
            </w:r>
            <w:r>
              <w:rPr>
                <w:color w:val="231F20"/>
                <w:spacing w:val="-2"/>
                <w:sz w:val="14"/>
              </w:rPr>
              <w:t> sentiments?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441" w:hRule="atLeast"/>
        </w:trPr>
        <w:tc>
          <w:tcPr>
            <w:tcW w:w="527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264" w:hanging="290"/>
              <w:rPr>
                <w:sz w:val="14"/>
              </w:rPr>
            </w:pPr>
            <w:r>
              <w:rPr>
                <w:b/>
                <w:color w:val="231F20"/>
                <w:sz w:val="14"/>
              </w:rPr>
              <w:t>3.</w:t>
            </w:r>
            <w:r>
              <w:rPr>
                <w:b/>
                <w:color w:val="231F20"/>
                <w:spacing w:val="73"/>
                <w:sz w:val="14"/>
              </w:rPr>
              <w:t> </w:t>
            </w:r>
            <w:r>
              <w:rPr>
                <w:color w:val="231F20"/>
                <w:sz w:val="14"/>
              </w:rPr>
              <w:t>Ressentez-vous</w:t>
            </w:r>
            <w:r>
              <w:rPr>
                <w:color w:val="231F20"/>
                <w:spacing w:val="-10"/>
                <w:sz w:val="14"/>
              </w:rPr>
              <w:t> </w:t>
            </w:r>
            <w:r>
              <w:rPr>
                <w:color w:val="231F20"/>
                <w:sz w:val="14"/>
              </w:rPr>
              <w:t>une</w:t>
            </w:r>
            <w:r>
              <w:rPr>
                <w:color w:val="231F20"/>
                <w:spacing w:val="-10"/>
                <w:sz w:val="14"/>
              </w:rPr>
              <w:t> </w:t>
            </w:r>
            <w:r>
              <w:rPr>
                <w:color w:val="231F20"/>
                <w:sz w:val="14"/>
              </w:rPr>
              <w:t>impression</w:t>
            </w:r>
            <w:r>
              <w:rPr>
                <w:color w:val="231F20"/>
                <w:spacing w:val="-9"/>
                <w:sz w:val="14"/>
              </w:rPr>
              <w:t> </w:t>
            </w:r>
            <w:r>
              <w:rPr>
                <w:color w:val="231F20"/>
                <w:sz w:val="14"/>
              </w:rPr>
              <w:t>d’écrasement</w:t>
            </w:r>
            <w:r>
              <w:rPr>
                <w:color w:val="231F20"/>
                <w:spacing w:val="-10"/>
                <w:sz w:val="14"/>
              </w:rPr>
              <w:t> </w:t>
            </w:r>
            <w:r>
              <w:rPr>
                <w:color w:val="231F20"/>
                <w:sz w:val="14"/>
              </w:rPr>
              <w:t>parce</w:t>
            </w:r>
            <w:r>
              <w:rPr>
                <w:color w:val="231F20"/>
                <w:spacing w:val="-10"/>
                <w:sz w:val="14"/>
              </w:rPr>
              <w:t> </w:t>
            </w:r>
            <w:r>
              <w:rPr>
                <w:color w:val="231F20"/>
                <w:sz w:val="14"/>
              </w:rPr>
              <w:t>que</w:t>
            </w:r>
            <w:r>
              <w:rPr>
                <w:color w:val="231F20"/>
                <w:spacing w:val="-10"/>
                <w:sz w:val="14"/>
              </w:rPr>
              <w:t> </w:t>
            </w:r>
            <w:r>
              <w:rPr>
                <w:color w:val="231F20"/>
                <w:sz w:val="14"/>
              </w:rPr>
              <w:t>vous</w:t>
            </w:r>
            <w:r>
              <w:rPr>
                <w:color w:val="231F20"/>
                <w:spacing w:val="-9"/>
                <w:sz w:val="14"/>
              </w:rPr>
              <w:t> </w:t>
            </w:r>
            <w:r>
              <w:rPr>
                <w:color w:val="231F20"/>
                <w:sz w:val="14"/>
              </w:rPr>
              <w:t>n’avez</w:t>
            </w:r>
            <w:r>
              <w:rPr>
                <w:color w:val="231F20"/>
                <w:spacing w:val="-10"/>
                <w:sz w:val="14"/>
              </w:rPr>
              <w:t> </w:t>
            </w:r>
            <w:r>
              <w:rPr>
                <w:color w:val="231F20"/>
                <w:sz w:val="14"/>
              </w:rPr>
              <w:t>pas</w:t>
            </w:r>
            <w:r>
              <w:rPr>
                <w:color w:val="231F20"/>
                <w:spacing w:val="40"/>
                <w:sz w:val="14"/>
              </w:rPr>
              <w:t> </w:t>
            </w:r>
            <w:r>
              <w:rPr>
                <w:color w:val="231F20"/>
                <w:sz w:val="14"/>
              </w:rPr>
              <w:t>le temps de remplir toutes vos obligations?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bl>
    <w:p>
      <w:pPr>
        <w:spacing w:after="0"/>
        <w:rPr>
          <w:rFonts w:ascii="Times New Roman"/>
          <w:sz w:val="16"/>
        </w:rPr>
        <w:sectPr>
          <w:footerReference w:type="default" r:id="rId17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rPr>
      </w:pPr>
    </w:p>
    <w:tbl>
      <w:tblPr>
        <w:tblW w:w="0" w:type="auto"/>
        <w:jc w:val="left"/>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top w:w="0" w:type="dxa"/>
          <w:left w:w="0" w:type="dxa"/>
          <w:bottom w:w="0" w:type="dxa"/>
          <w:right w:w="0" w:type="dxa"/>
        </w:tblCellMar>
        <w:tblLook w:val="01E0"/>
      </w:tblPr>
      <w:tblGrid>
        <w:gridCol w:w="5270"/>
        <w:gridCol w:w="480"/>
      </w:tblGrid>
      <w:tr>
        <w:trPr>
          <w:trHeight w:val="261" w:hRule="atLeast"/>
        </w:trPr>
        <w:tc>
          <w:tcPr>
            <w:tcW w:w="5270" w:type="dxa"/>
            <w:tcBorders>
              <w:left w:val="nil"/>
              <w:bottom w:val="nil"/>
              <w:right w:val="single" w:sz="4" w:space="0" w:color="FFFFFF"/>
            </w:tcBorders>
          </w:tcPr>
          <w:p>
            <w:pPr>
              <w:pStyle w:val="TableParagraph"/>
              <w:spacing w:before="55"/>
              <w:ind w:left="185"/>
              <w:rPr>
                <w:sz w:val="14"/>
              </w:rPr>
            </w:pPr>
            <w:r>
              <w:rPr>
                <w:b/>
                <w:color w:val="231F20"/>
                <w:w w:val="105"/>
                <w:sz w:val="14"/>
              </w:rPr>
              <w:t>4.</w:t>
            </w:r>
            <w:r>
              <w:rPr>
                <w:b/>
                <w:color w:val="231F20"/>
                <w:spacing w:val="65"/>
                <w:w w:val="150"/>
                <w:sz w:val="14"/>
              </w:rPr>
              <w:t> </w:t>
            </w:r>
            <w:r>
              <w:rPr>
                <w:color w:val="231F20"/>
                <w:w w:val="105"/>
                <w:sz w:val="14"/>
              </w:rPr>
              <w:t>Vous</w:t>
            </w:r>
            <w:r>
              <w:rPr>
                <w:color w:val="231F20"/>
                <w:spacing w:val="-10"/>
                <w:w w:val="105"/>
                <w:sz w:val="14"/>
              </w:rPr>
              <w:t> </w:t>
            </w:r>
            <w:r>
              <w:rPr>
                <w:color w:val="231F20"/>
                <w:w w:val="105"/>
                <w:sz w:val="14"/>
              </w:rPr>
              <w:t>arrive-t-il</w:t>
            </w:r>
            <w:r>
              <w:rPr>
                <w:color w:val="231F20"/>
                <w:spacing w:val="-11"/>
                <w:w w:val="105"/>
                <w:sz w:val="14"/>
              </w:rPr>
              <w:t> </w:t>
            </w:r>
            <w:r>
              <w:rPr>
                <w:color w:val="231F20"/>
                <w:w w:val="105"/>
                <w:sz w:val="14"/>
              </w:rPr>
              <w:t>de</w:t>
            </w:r>
            <w:r>
              <w:rPr>
                <w:color w:val="231F20"/>
                <w:spacing w:val="-10"/>
                <w:w w:val="105"/>
                <w:sz w:val="14"/>
              </w:rPr>
              <w:t> </w:t>
            </w:r>
            <w:r>
              <w:rPr>
                <w:color w:val="231F20"/>
                <w:w w:val="105"/>
                <w:sz w:val="14"/>
              </w:rPr>
              <w:t>n’avoir</w:t>
            </w:r>
            <w:r>
              <w:rPr>
                <w:color w:val="231F20"/>
                <w:spacing w:val="-10"/>
                <w:w w:val="105"/>
                <w:sz w:val="14"/>
              </w:rPr>
              <w:t> </w:t>
            </w:r>
            <w:r>
              <w:rPr>
                <w:color w:val="231F20"/>
                <w:w w:val="105"/>
                <w:sz w:val="14"/>
              </w:rPr>
              <w:t>rien</w:t>
            </w:r>
            <w:r>
              <w:rPr>
                <w:color w:val="231F20"/>
                <w:spacing w:val="-10"/>
                <w:w w:val="105"/>
                <w:sz w:val="14"/>
              </w:rPr>
              <w:t> </w:t>
            </w:r>
            <w:r>
              <w:rPr>
                <w:color w:val="231F20"/>
                <w:w w:val="105"/>
                <w:sz w:val="14"/>
              </w:rPr>
              <w:t>à</w:t>
            </w:r>
            <w:r>
              <w:rPr>
                <w:color w:val="231F20"/>
                <w:spacing w:val="-10"/>
                <w:w w:val="105"/>
                <w:sz w:val="14"/>
              </w:rPr>
              <w:t> </w:t>
            </w:r>
            <w:r>
              <w:rPr>
                <w:color w:val="231F20"/>
                <w:w w:val="105"/>
                <w:sz w:val="14"/>
              </w:rPr>
              <w:t>faire</w:t>
            </w:r>
            <w:r>
              <w:rPr>
                <w:color w:val="231F20"/>
                <w:spacing w:val="-28"/>
                <w:w w:val="105"/>
                <w:sz w:val="14"/>
              </w:rPr>
              <w:t> </w:t>
            </w:r>
            <w:r>
              <w:rPr>
                <w:color w:val="231F20"/>
                <w:spacing w:val="-10"/>
                <w:w w:val="105"/>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bottom w:val="nil"/>
              <w:right w:val="single" w:sz="4" w:space="0" w:color="FFFFFF"/>
            </w:tcBorders>
            <w:shd w:val="clear" w:color="auto" w:fill="E2E3E4"/>
          </w:tcPr>
          <w:p>
            <w:pPr>
              <w:pStyle w:val="TableParagraph"/>
              <w:spacing w:before="55"/>
              <w:ind w:left="185"/>
              <w:rPr>
                <w:sz w:val="14"/>
              </w:rPr>
            </w:pPr>
            <w:r>
              <w:rPr>
                <w:b/>
                <w:color w:val="231F20"/>
                <w:sz w:val="14"/>
              </w:rPr>
              <w:t>5.</w:t>
            </w:r>
            <w:r>
              <w:rPr>
                <w:b/>
                <w:color w:val="231F20"/>
                <w:spacing w:val="46"/>
                <w:sz w:val="14"/>
              </w:rPr>
              <w:t>  </w:t>
            </w:r>
            <w:r>
              <w:rPr>
                <w:color w:val="231F20"/>
                <w:sz w:val="14"/>
              </w:rPr>
              <w:t>Savez-vous</w:t>
            </w:r>
            <w:r>
              <w:rPr>
                <w:color w:val="231F20"/>
                <w:spacing w:val="-1"/>
                <w:sz w:val="14"/>
              </w:rPr>
              <w:t> </w:t>
            </w:r>
            <w:r>
              <w:rPr>
                <w:color w:val="231F20"/>
                <w:sz w:val="14"/>
              </w:rPr>
              <w:t>recourir</w:t>
            </w:r>
            <w:r>
              <w:rPr>
                <w:color w:val="231F20"/>
                <w:spacing w:val="-1"/>
                <w:sz w:val="14"/>
              </w:rPr>
              <w:t> </w:t>
            </w:r>
            <w:r>
              <w:rPr>
                <w:color w:val="231F20"/>
                <w:sz w:val="14"/>
              </w:rPr>
              <w:t>à</w:t>
            </w:r>
            <w:r>
              <w:rPr>
                <w:color w:val="231F20"/>
                <w:spacing w:val="-2"/>
                <w:sz w:val="14"/>
              </w:rPr>
              <w:t> </w:t>
            </w:r>
            <w:r>
              <w:rPr>
                <w:color w:val="231F20"/>
                <w:sz w:val="14"/>
              </w:rPr>
              <w:t>l’humour</w:t>
            </w:r>
            <w:r>
              <w:rPr>
                <w:color w:val="231F20"/>
                <w:spacing w:val="-1"/>
                <w:sz w:val="14"/>
              </w:rPr>
              <w:t> </w:t>
            </w:r>
            <w:r>
              <w:rPr>
                <w:color w:val="231F20"/>
                <w:sz w:val="14"/>
              </w:rPr>
              <w:t>dans</w:t>
            </w:r>
            <w:r>
              <w:rPr>
                <w:color w:val="231F20"/>
                <w:spacing w:val="-2"/>
                <w:sz w:val="14"/>
              </w:rPr>
              <w:t> </w:t>
            </w:r>
            <w:r>
              <w:rPr>
                <w:color w:val="231F20"/>
                <w:sz w:val="14"/>
              </w:rPr>
              <w:t>une</w:t>
            </w:r>
            <w:r>
              <w:rPr>
                <w:color w:val="231F20"/>
                <w:spacing w:val="-1"/>
                <w:sz w:val="14"/>
              </w:rPr>
              <w:t> </w:t>
            </w:r>
            <w:r>
              <w:rPr>
                <w:color w:val="231F20"/>
                <w:sz w:val="14"/>
              </w:rPr>
              <w:t>situation</w:t>
            </w:r>
            <w:r>
              <w:rPr>
                <w:color w:val="231F20"/>
                <w:spacing w:val="-2"/>
                <w:sz w:val="14"/>
              </w:rPr>
              <w:t> </w:t>
            </w:r>
            <w:r>
              <w:rPr>
                <w:color w:val="231F20"/>
                <w:sz w:val="14"/>
              </w:rPr>
              <w:t>difficile</w:t>
            </w:r>
            <w:r>
              <w:rPr>
                <w:color w:val="231F20"/>
                <w:spacing w:val="-25"/>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top w:val="nil"/>
              <w:left w:val="nil"/>
              <w:right w:val="single" w:sz="4" w:space="0" w:color="FFFFFF"/>
            </w:tcBorders>
          </w:tcPr>
          <w:p>
            <w:pPr>
              <w:pStyle w:val="TableParagraph"/>
              <w:spacing w:line="268" w:lineRule="auto" w:before="55"/>
              <w:ind w:left="475" w:right="406" w:hanging="290"/>
              <w:rPr>
                <w:sz w:val="14"/>
              </w:rPr>
            </w:pPr>
            <w:r>
              <w:rPr>
                <w:b/>
                <w:color w:val="231F20"/>
                <w:sz w:val="14"/>
              </w:rPr>
              <w:t>6.</w:t>
            </w:r>
            <w:r>
              <w:rPr>
                <w:b/>
                <w:color w:val="231F20"/>
                <w:spacing w:val="80"/>
                <w:w w:val="150"/>
                <w:sz w:val="14"/>
              </w:rPr>
              <w:t> </w:t>
            </w:r>
            <w:r>
              <w:rPr>
                <w:color w:val="231F20"/>
                <w:sz w:val="14"/>
              </w:rPr>
              <w:t>Croyez-vous</w:t>
            </w:r>
            <w:r>
              <w:rPr>
                <w:color w:val="231F20"/>
                <w:spacing w:val="-4"/>
                <w:sz w:val="14"/>
              </w:rPr>
              <w:t> </w:t>
            </w:r>
            <w:r>
              <w:rPr>
                <w:color w:val="231F20"/>
                <w:sz w:val="14"/>
              </w:rPr>
              <w:t>que</w:t>
            </w:r>
            <w:r>
              <w:rPr>
                <w:color w:val="231F20"/>
                <w:spacing w:val="-4"/>
                <w:sz w:val="14"/>
              </w:rPr>
              <w:t> </w:t>
            </w:r>
            <w:r>
              <w:rPr>
                <w:color w:val="231F20"/>
                <w:sz w:val="14"/>
              </w:rPr>
              <w:t>votre</w:t>
            </w:r>
            <w:r>
              <w:rPr>
                <w:color w:val="231F20"/>
                <w:spacing w:val="-4"/>
                <w:sz w:val="14"/>
              </w:rPr>
              <w:t> </w:t>
            </w:r>
            <w:r>
              <w:rPr>
                <w:color w:val="231F20"/>
                <w:sz w:val="14"/>
              </w:rPr>
              <w:t>emploi</w:t>
            </w:r>
            <w:r>
              <w:rPr>
                <w:color w:val="231F20"/>
                <w:spacing w:val="-4"/>
                <w:sz w:val="14"/>
              </w:rPr>
              <w:t> </w:t>
            </w:r>
            <w:r>
              <w:rPr>
                <w:color w:val="231F20"/>
                <w:sz w:val="14"/>
              </w:rPr>
              <w:t>ait</w:t>
            </w:r>
            <w:r>
              <w:rPr>
                <w:color w:val="231F20"/>
                <w:spacing w:val="-4"/>
                <w:sz w:val="14"/>
              </w:rPr>
              <w:t> </w:t>
            </w:r>
            <w:r>
              <w:rPr>
                <w:color w:val="231F20"/>
                <w:sz w:val="14"/>
              </w:rPr>
              <w:t>une</w:t>
            </w:r>
            <w:r>
              <w:rPr>
                <w:color w:val="231F20"/>
                <w:spacing w:val="-4"/>
                <w:sz w:val="14"/>
              </w:rPr>
              <w:t> </w:t>
            </w:r>
            <w:r>
              <w:rPr>
                <w:color w:val="231F20"/>
                <w:sz w:val="14"/>
              </w:rPr>
              <w:t>incidence</w:t>
            </w:r>
            <w:r>
              <w:rPr>
                <w:color w:val="231F20"/>
                <w:spacing w:val="-4"/>
                <w:sz w:val="14"/>
              </w:rPr>
              <w:t> </w:t>
            </w:r>
            <w:r>
              <w:rPr>
                <w:color w:val="231F20"/>
                <w:sz w:val="14"/>
              </w:rPr>
              <w:t>sur</w:t>
            </w:r>
            <w:r>
              <w:rPr>
                <w:color w:val="231F20"/>
                <w:spacing w:val="-4"/>
                <w:sz w:val="14"/>
              </w:rPr>
              <w:t> </w:t>
            </w:r>
            <w:r>
              <w:rPr>
                <w:color w:val="231F20"/>
                <w:sz w:val="14"/>
              </w:rPr>
              <w:t>vos</w:t>
            </w:r>
            <w:r>
              <w:rPr>
                <w:color w:val="231F20"/>
                <w:spacing w:val="-4"/>
                <w:sz w:val="14"/>
              </w:rPr>
              <w:t> </w:t>
            </w:r>
            <w:r>
              <w:rPr>
                <w:color w:val="231F20"/>
                <w:sz w:val="14"/>
              </w:rPr>
              <w:t>relations</w:t>
            </w:r>
            <w:r>
              <w:rPr>
                <w:color w:val="231F20"/>
                <w:spacing w:val="-4"/>
                <w:sz w:val="14"/>
              </w:rPr>
              <w:t> </w:t>
            </w:r>
            <w:r>
              <w:rPr>
                <w:color w:val="231F20"/>
                <w:sz w:val="14"/>
              </w:rPr>
              <w:t>avec</w:t>
            </w:r>
            <w:r>
              <w:rPr>
                <w:color w:val="231F20"/>
                <w:spacing w:val="40"/>
                <w:sz w:val="14"/>
              </w:rPr>
              <w:t> </w:t>
            </w:r>
            <w:r>
              <w:rPr>
                <w:color w:val="231F20"/>
                <w:sz w:val="14"/>
              </w:rPr>
              <w:t>les personnes que vous aimez le plus?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left w:val="nil"/>
              <w:right w:val="single" w:sz="4" w:space="0" w:color="FFFFFF"/>
            </w:tcBorders>
          </w:tcPr>
          <w:p>
            <w:pPr>
              <w:pStyle w:val="TableParagraph"/>
              <w:spacing w:line="268" w:lineRule="auto" w:before="55"/>
              <w:ind w:left="475" w:right="406" w:hanging="290"/>
              <w:rPr>
                <w:sz w:val="14"/>
              </w:rPr>
            </w:pPr>
            <w:r>
              <w:rPr>
                <w:b/>
                <w:color w:val="231F20"/>
                <w:sz w:val="14"/>
              </w:rPr>
              <w:t>7.</w:t>
            </w:r>
            <w:r>
              <w:rPr>
                <w:b/>
                <w:color w:val="231F20"/>
                <w:spacing w:val="80"/>
                <w:w w:val="150"/>
                <w:sz w:val="14"/>
              </w:rPr>
              <w:t> </w:t>
            </w:r>
            <w:r>
              <w:rPr>
                <w:color w:val="231F20"/>
                <w:sz w:val="14"/>
              </w:rPr>
              <w:t>Avez-vous</w:t>
            </w:r>
            <w:r>
              <w:rPr>
                <w:color w:val="231F20"/>
                <w:spacing w:val="-4"/>
                <w:sz w:val="14"/>
              </w:rPr>
              <w:t> </w:t>
            </w:r>
            <w:r>
              <w:rPr>
                <w:color w:val="231F20"/>
                <w:sz w:val="14"/>
              </w:rPr>
              <w:t>besoin</w:t>
            </w:r>
            <w:r>
              <w:rPr>
                <w:color w:val="231F20"/>
                <w:spacing w:val="-4"/>
                <w:sz w:val="14"/>
              </w:rPr>
              <w:t> </w:t>
            </w:r>
            <w:r>
              <w:rPr>
                <w:color w:val="231F20"/>
                <w:sz w:val="14"/>
              </w:rPr>
              <w:t>d’une</w:t>
            </w:r>
            <w:r>
              <w:rPr>
                <w:color w:val="231F20"/>
                <w:spacing w:val="-4"/>
                <w:sz w:val="14"/>
              </w:rPr>
              <w:t> </w:t>
            </w:r>
            <w:r>
              <w:rPr>
                <w:color w:val="231F20"/>
                <w:sz w:val="14"/>
              </w:rPr>
              <w:t>«</w:t>
            </w:r>
            <w:r>
              <w:rPr>
                <w:color w:val="231F20"/>
                <w:spacing w:val="-26"/>
                <w:sz w:val="14"/>
              </w:rPr>
              <w:t> </w:t>
            </w:r>
            <w:r>
              <w:rPr>
                <w:color w:val="231F20"/>
                <w:sz w:val="14"/>
              </w:rPr>
              <w:t>dose</w:t>
            </w:r>
            <w:r>
              <w:rPr>
                <w:color w:val="231F20"/>
                <w:spacing w:val="-26"/>
                <w:sz w:val="14"/>
              </w:rPr>
              <w:t> </w:t>
            </w:r>
            <w:r>
              <w:rPr>
                <w:color w:val="231F20"/>
                <w:sz w:val="14"/>
              </w:rPr>
              <w:t>»</w:t>
            </w:r>
            <w:r>
              <w:rPr>
                <w:color w:val="231F20"/>
                <w:spacing w:val="-4"/>
                <w:sz w:val="14"/>
              </w:rPr>
              <w:t> </w:t>
            </w:r>
            <w:r>
              <w:rPr>
                <w:color w:val="231F20"/>
                <w:sz w:val="14"/>
              </w:rPr>
              <w:t>de</w:t>
            </w:r>
            <w:r>
              <w:rPr>
                <w:color w:val="231F20"/>
                <w:spacing w:val="-4"/>
                <w:sz w:val="14"/>
              </w:rPr>
              <w:t> </w:t>
            </w:r>
            <w:r>
              <w:rPr>
                <w:color w:val="231F20"/>
                <w:sz w:val="14"/>
              </w:rPr>
              <w:t>travail</w:t>
            </w:r>
            <w:r>
              <w:rPr>
                <w:color w:val="231F20"/>
                <w:spacing w:val="-4"/>
                <w:sz w:val="14"/>
              </w:rPr>
              <w:t> </w:t>
            </w:r>
            <w:r>
              <w:rPr>
                <w:color w:val="231F20"/>
                <w:sz w:val="14"/>
              </w:rPr>
              <w:t>de</w:t>
            </w:r>
            <w:r>
              <w:rPr>
                <w:color w:val="231F20"/>
                <w:spacing w:val="-4"/>
                <w:sz w:val="14"/>
              </w:rPr>
              <w:t> </w:t>
            </w:r>
            <w:r>
              <w:rPr>
                <w:color w:val="231F20"/>
                <w:sz w:val="14"/>
              </w:rPr>
              <w:t>plus</w:t>
            </w:r>
            <w:r>
              <w:rPr>
                <w:color w:val="231F20"/>
                <w:spacing w:val="-4"/>
                <w:sz w:val="14"/>
              </w:rPr>
              <w:t> </w:t>
            </w:r>
            <w:r>
              <w:rPr>
                <w:color w:val="231F20"/>
                <w:sz w:val="14"/>
              </w:rPr>
              <w:t>en</w:t>
            </w:r>
            <w:r>
              <w:rPr>
                <w:color w:val="231F20"/>
                <w:spacing w:val="-4"/>
                <w:sz w:val="14"/>
              </w:rPr>
              <w:t> </w:t>
            </w:r>
            <w:r>
              <w:rPr>
                <w:color w:val="231F20"/>
                <w:sz w:val="14"/>
              </w:rPr>
              <w:t>plus</w:t>
            </w:r>
            <w:r>
              <w:rPr>
                <w:color w:val="231F20"/>
                <w:spacing w:val="-4"/>
                <w:sz w:val="14"/>
              </w:rPr>
              <w:t> </w:t>
            </w:r>
            <w:r>
              <w:rPr>
                <w:color w:val="231F20"/>
                <w:sz w:val="14"/>
              </w:rPr>
              <w:t>fréquente</w:t>
            </w:r>
            <w:r>
              <w:rPr>
                <w:color w:val="231F20"/>
                <w:w w:val="105"/>
                <w:sz w:val="14"/>
              </w:rPr>
              <w:t> pour vous stimuler?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bottom w:val="nil"/>
              <w:right w:val="single" w:sz="4" w:space="0" w:color="FFFFFF"/>
            </w:tcBorders>
          </w:tcPr>
          <w:p>
            <w:pPr>
              <w:pStyle w:val="TableParagraph"/>
              <w:spacing w:before="55"/>
              <w:ind w:left="185"/>
              <w:rPr>
                <w:sz w:val="14"/>
              </w:rPr>
            </w:pPr>
            <w:r>
              <w:rPr>
                <w:b/>
                <w:color w:val="231F20"/>
                <w:sz w:val="14"/>
              </w:rPr>
              <w:t>8.</w:t>
            </w:r>
            <w:r>
              <w:rPr>
                <w:b/>
                <w:color w:val="231F20"/>
                <w:spacing w:val="40"/>
                <w:sz w:val="14"/>
              </w:rPr>
              <w:t>  </w:t>
            </w:r>
            <w:r>
              <w:rPr>
                <w:color w:val="231F20"/>
                <w:sz w:val="14"/>
              </w:rPr>
              <w:t>Prenez-vous</w:t>
            </w:r>
            <w:r>
              <w:rPr>
                <w:color w:val="231F20"/>
                <w:spacing w:val="-3"/>
                <w:sz w:val="14"/>
              </w:rPr>
              <w:t> </w:t>
            </w:r>
            <w:r>
              <w:rPr>
                <w:color w:val="231F20"/>
                <w:sz w:val="14"/>
              </w:rPr>
              <w:t>beaucoup</w:t>
            </w:r>
            <w:r>
              <w:rPr>
                <w:color w:val="231F20"/>
                <w:spacing w:val="-4"/>
                <w:sz w:val="14"/>
              </w:rPr>
              <w:t> </w:t>
            </w:r>
            <w:r>
              <w:rPr>
                <w:color w:val="231F20"/>
                <w:sz w:val="14"/>
              </w:rPr>
              <w:t>de</w:t>
            </w:r>
            <w:r>
              <w:rPr>
                <w:color w:val="231F20"/>
                <w:spacing w:val="-4"/>
                <w:sz w:val="14"/>
              </w:rPr>
              <w:t> </w:t>
            </w:r>
            <w:r>
              <w:rPr>
                <w:color w:val="231F20"/>
                <w:sz w:val="14"/>
              </w:rPr>
              <w:t>temps</w:t>
            </w:r>
            <w:r>
              <w:rPr>
                <w:color w:val="231F20"/>
                <w:spacing w:val="-4"/>
                <w:sz w:val="14"/>
              </w:rPr>
              <w:t> </w:t>
            </w:r>
            <w:r>
              <w:rPr>
                <w:color w:val="231F20"/>
                <w:sz w:val="14"/>
              </w:rPr>
              <w:t>à</w:t>
            </w:r>
            <w:r>
              <w:rPr>
                <w:color w:val="231F20"/>
                <w:spacing w:val="-4"/>
                <w:sz w:val="14"/>
              </w:rPr>
              <w:t> </w:t>
            </w:r>
            <w:r>
              <w:rPr>
                <w:color w:val="231F20"/>
                <w:sz w:val="14"/>
              </w:rPr>
              <w:t>démarrer</w:t>
            </w:r>
            <w:r>
              <w:rPr>
                <w:color w:val="231F20"/>
                <w:spacing w:val="-4"/>
                <w:sz w:val="14"/>
              </w:rPr>
              <w:t> </w:t>
            </w:r>
            <w:r>
              <w:rPr>
                <w:color w:val="231F20"/>
                <w:sz w:val="14"/>
              </w:rPr>
              <w:t>votre</w:t>
            </w:r>
            <w:r>
              <w:rPr>
                <w:color w:val="231F20"/>
                <w:spacing w:val="-3"/>
                <w:sz w:val="14"/>
              </w:rPr>
              <w:t> </w:t>
            </w:r>
            <w:r>
              <w:rPr>
                <w:color w:val="231F20"/>
                <w:spacing w:val="-2"/>
                <w:sz w:val="14"/>
              </w:rPr>
              <w:t>journée?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bottom w:val="nil"/>
              <w:right w:val="single" w:sz="4" w:space="0" w:color="FFFFFF"/>
            </w:tcBorders>
            <w:shd w:val="clear" w:color="auto" w:fill="E2E3E4"/>
          </w:tcPr>
          <w:p>
            <w:pPr>
              <w:pStyle w:val="TableParagraph"/>
              <w:spacing w:before="55"/>
              <w:ind w:left="185"/>
              <w:rPr>
                <w:sz w:val="14"/>
              </w:rPr>
            </w:pPr>
            <w:r>
              <w:rPr>
                <w:b/>
                <w:color w:val="231F20"/>
                <w:sz w:val="14"/>
              </w:rPr>
              <w:t>9.</w:t>
            </w:r>
            <w:r>
              <w:rPr>
                <w:b/>
                <w:color w:val="231F20"/>
                <w:spacing w:val="46"/>
                <w:sz w:val="14"/>
              </w:rPr>
              <w:t>  </w:t>
            </w:r>
            <w:r>
              <w:rPr>
                <w:color w:val="231F20"/>
                <w:sz w:val="14"/>
              </w:rPr>
              <w:t>Avez-vous</w:t>
            </w:r>
            <w:r>
              <w:rPr>
                <w:color w:val="231F20"/>
                <w:spacing w:val="-1"/>
                <w:sz w:val="14"/>
              </w:rPr>
              <w:t> </w:t>
            </w:r>
            <w:r>
              <w:rPr>
                <w:color w:val="231F20"/>
                <w:sz w:val="14"/>
              </w:rPr>
              <w:t>le</w:t>
            </w:r>
            <w:r>
              <w:rPr>
                <w:color w:val="231F20"/>
                <w:spacing w:val="-1"/>
                <w:sz w:val="14"/>
              </w:rPr>
              <w:t> </w:t>
            </w:r>
            <w:r>
              <w:rPr>
                <w:color w:val="231F20"/>
                <w:sz w:val="14"/>
              </w:rPr>
              <w:t>sentiment</w:t>
            </w:r>
            <w:r>
              <w:rPr>
                <w:color w:val="231F20"/>
                <w:spacing w:val="-2"/>
                <w:sz w:val="14"/>
              </w:rPr>
              <w:t> </w:t>
            </w:r>
            <w:r>
              <w:rPr>
                <w:color w:val="231F20"/>
                <w:sz w:val="14"/>
              </w:rPr>
              <w:t>d’avoir</w:t>
            </w:r>
            <w:r>
              <w:rPr>
                <w:color w:val="231F20"/>
                <w:spacing w:val="-1"/>
                <w:sz w:val="14"/>
              </w:rPr>
              <w:t> </w:t>
            </w:r>
            <w:r>
              <w:rPr>
                <w:color w:val="231F20"/>
                <w:sz w:val="14"/>
              </w:rPr>
              <w:t>de</w:t>
            </w:r>
            <w:r>
              <w:rPr>
                <w:color w:val="231F20"/>
                <w:spacing w:val="-2"/>
                <w:sz w:val="14"/>
              </w:rPr>
              <w:t> </w:t>
            </w:r>
            <w:r>
              <w:rPr>
                <w:color w:val="231F20"/>
                <w:sz w:val="14"/>
              </w:rPr>
              <w:t>véritables</w:t>
            </w:r>
            <w:r>
              <w:rPr>
                <w:color w:val="231F20"/>
                <w:spacing w:val="-1"/>
                <w:sz w:val="14"/>
              </w:rPr>
              <w:t> </w:t>
            </w:r>
            <w:r>
              <w:rPr>
                <w:color w:val="231F20"/>
                <w:sz w:val="14"/>
              </w:rPr>
              <w:t>amis</w:t>
            </w:r>
            <w:r>
              <w:rPr>
                <w:color w:val="231F20"/>
                <w:spacing w:val="-25"/>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right w:val="single" w:sz="4" w:space="0" w:color="FFFFFF"/>
            </w:tcBorders>
          </w:tcPr>
          <w:p>
            <w:pPr>
              <w:pStyle w:val="TableParagraph"/>
              <w:spacing w:before="55"/>
              <w:ind w:left="94"/>
              <w:rPr>
                <w:sz w:val="14"/>
              </w:rPr>
            </w:pPr>
            <w:r>
              <w:rPr>
                <w:b/>
                <w:color w:val="231F20"/>
                <w:sz w:val="14"/>
              </w:rPr>
              <w:t>10.</w:t>
            </w:r>
            <w:r>
              <w:rPr>
                <w:b/>
                <w:color w:val="231F20"/>
                <w:spacing w:val="51"/>
                <w:sz w:val="14"/>
              </w:rPr>
              <w:t>  </w:t>
            </w:r>
            <w:r>
              <w:rPr>
                <w:color w:val="231F20"/>
                <w:sz w:val="14"/>
              </w:rPr>
              <w:t>Vous arrive-t-il</w:t>
            </w:r>
            <w:r>
              <w:rPr>
                <w:color w:val="231F20"/>
                <w:spacing w:val="1"/>
                <w:sz w:val="14"/>
              </w:rPr>
              <w:t> </w:t>
            </w:r>
            <w:r>
              <w:rPr>
                <w:color w:val="231F20"/>
                <w:sz w:val="14"/>
              </w:rPr>
              <w:t>de</w:t>
            </w:r>
            <w:r>
              <w:rPr>
                <w:color w:val="231F20"/>
                <w:spacing w:val="1"/>
                <w:sz w:val="14"/>
              </w:rPr>
              <w:t> </w:t>
            </w:r>
            <w:r>
              <w:rPr>
                <w:color w:val="231F20"/>
                <w:sz w:val="14"/>
              </w:rPr>
              <w:t>vous dire:</w:t>
            </w:r>
            <w:r>
              <w:rPr>
                <w:color w:val="231F20"/>
                <w:spacing w:val="1"/>
                <w:sz w:val="14"/>
              </w:rPr>
              <w:t> </w:t>
            </w:r>
            <w:r>
              <w:rPr>
                <w:color w:val="231F20"/>
                <w:sz w:val="14"/>
              </w:rPr>
              <w:t>«</w:t>
            </w:r>
            <w:r>
              <w:rPr>
                <w:color w:val="231F20"/>
                <w:spacing w:val="-24"/>
                <w:sz w:val="14"/>
              </w:rPr>
              <w:t> </w:t>
            </w:r>
            <w:r>
              <w:rPr>
                <w:color w:val="231F20"/>
                <w:sz w:val="14"/>
              </w:rPr>
              <w:t>Je n’en</w:t>
            </w:r>
            <w:r>
              <w:rPr>
                <w:color w:val="231F20"/>
                <w:spacing w:val="1"/>
                <w:sz w:val="14"/>
              </w:rPr>
              <w:t> </w:t>
            </w:r>
            <w:r>
              <w:rPr>
                <w:color w:val="231F20"/>
                <w:sz w:val="14"/>
              </w:rPr>
              <w:t>peux</w:t>
            </w:r>
            <w:r>
              <w:rPr>
                <w:color w:val="231F20"/>
                <w:spacing w:val="1"/>
                <w:sz w:val="14"/>
              </w:rPr>
              <w:t> </w:t>
            </w:r>
            <w:r>
              <w:rPr>
                <w:color w:val="231F20"/>
                <w:sz w:val="14"/>
              </w:rPr>
              <w:t>plus»</w:t>
            </w:r>
            <w:r>
              <w:rPr>
                <w:color w:val="231F20"/>
                <w:spacing w:val="-25"/>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right w:val="single" w:sz="4" w:space="0" w:color="FFFFFF"/>
            </w:tcBorders>
          </w:tcPr>
          <w:p>
            <w:pPr>
              <w:pStyle w:val="TableParagraph"/>
              <w:spacing w:before="55"/>
              <w:ind w:left="94"/>
              <w:rPr>
                <w:sz w:val="14"/>
              </w:rPr>
            </w:pPr>
            <w:r>
              <w:rPr>
                <w:b/>
                <w:color w:val="231F20"/>
                <w:sz w:val="14"/>
              </w:rPr>
              <w:t>11.</w:t>
            </w:r>
            <w:r>
              <w:rPr>
                <w:b/>
                <w:color w:val="231F20"/>
                <w:spacing w:val="47"/>
                <w:sz w:val="14"/>
              </w:rPr>
              <w:t>  </w:t>
            </w:r>
            <w:r>
              <w:rPr>
                <w:color w:val="231F20"/>
                <w:sz w:val="14"/>
              </w:rPr>
              <w:t>Avez-vous</w:t>
            </w:r>
            <w:r>
              <w:rPr>
                <w:color w:val="231F20"/>
                <w:spacing w:val="-1"/>
                <w:sz w:val="14"/>
              </w:rPr>
              <w:t> </w:t>
            </w:r>
            <w:r>
              <w:rPr>
                <w:color w:val="231F20"/>
                <w:sz w:val="14"/>
              </w:rPr>
              <w:t>du</w:t>
            </w:r>
            <w:r>
              <w:rPr>
                <w:color w:val="231F20"/>
                <w:spacing w:val="-1"/>
                <w:sz w:val="14"/>
              </w:rPr>
              <w:t> </w:t>
            </w:r>
            <w:r>
              <w:rPr>
                <w:color w:val="231F20"/>
                <w:sz w:val="14"/>
              </w:rPr>
              <w:t>mal</w:t>
            </w:r>
            <w:r>
              <w:rPr>
                <w:color w:val="231F20"/>
                <w:spacing w:val="-1"/>
                <w:sz w:val="14"/>
              </w:rPr>
              <w:t> </w:t>
            </w:r>
            <w:r>
              <w:rPr>
                <w:color w:val="231F20"/>
                <w:sz w:val="14"/>
              </w:rPr>
              <w:t>à</w:t>
            </w:r>
            <w:r>
              <w:rPr>
                <w:color w:val="231F20"/>
                <w:spacing w:val="-1"/>
                <w:sz w:val="14"/>
              </w:rPr>
              <w:t> </w:t>
            </w:r>
            <w:r>
              <w:rPr>
                <w:color w:val="231F20"/>
                <w:sz w:val="14"/>
              </w:rPr>
              <w:t>trouver</w:t>
            </w:r>
            <w:r>
              <w:rPr>
                <w:color w:val="231F20"/>
                <w:spacing w:val="-1"/>
                <w:sz w:val="14"/>
              </w:rPr>
              <w:t> </w:t>
            </w:r>
            <w:r>
              <w:rPr>
                <w:color w:val="231F20"/>
                <w:sz w:val="14"/>
              </w:rPr>
              <w:t>quelqu’un</w:t>
            </w:r>
            <w:r>
              <w:rPr>
                <w:color w:val="231F20"/>
                <w:spacing w:val="-1"/>
                <w:sz w:val="14"/>
              </w:rPr>
              <w:t> </w:t>
            </w:r>
            <w:r>
              <w:rPr>
                <w:color w:val="231F20"/>
                <w:sz w:val="14"/>
              </w:rPr>
              <w:t>à</w:t>
            </w:r>
            <w:r>
              <w:rPr>
                <w:color w:val="231F20"/>
                <w:spacing w:val="-1"/>
                <w:sz w:val="14"/>
              </w:rPr>
              <w:t> </w:t>
            </w:r>
            <w:r>
              <w:rPr>
                <w:color w:val="231F20"/>
                <w:sz w:val="14"/>
              </w:rPr>
              <w:t>qui</w:t>
            </w:r>
            <w:r>
              <w:rPr>
                <w:color w:val="231F20"/>
                <w:spacing w:val="-1"/>
                <w:sz w:val="14"/>
              </w:rPr>
              <w:t> </w:t>
            </w:r>
            <w:r>
              <w:rPr>
                <w:color w:val="231F20"/>
                <w:sz w:val="14"/>
              </w:rPr>
              <w:t>parler</w:t>
            </w:r>
            <w:r>
              <w:rPr>
                <w:color w:val="231F20"/>
                <w:spacing w:val="-1"/>
                <w:sz w:val="14"/>
              </w:rPr>
              <w:t> </w:t>
            </w:r>
            <w:r>
              <w:rPr>
                <w:color w:val="231F20"/>
                <w:sz w:val="14"/>
              </w:rPr>
              <w:t>de</w:t>
            </w:r>
            <w:r>
              <w:rPr>
                <w:color w:val="231F20"/>
                <w:spacing w:val="-1"/>
                <w:sz w:val="14"/>
              </w:rPr>
              <w:t> </w:t>
            </w:r>
            <w:r>
              <w:rPr>
                <w:color w:val="231F20"/>
                <w:sz w:val="14"/>
              </w:rPr>
              <w:t>vos</w:t>
            </w:r>
            <w:r>
              <w:rPr>
                <w:color w:val="231F20"/>
                <w:spacing w:val="-1"/>
                <w:sz w:val="14"/>
              </w:rPr>
              <w:t> </w:t>
            </w:r>
            <w:r>
              <w:rPr>
                <w:color w:val="231F20"/>
                <w:spacing w:val="-2"/>
                <w:sz w:val="14"/>
              </w:rPr>
              <w:t>problèmes?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right w:val="single" w:sz="4" w:space="0" w:color="FFFFFF"/>
            </w:tcBorders>
          </w:tcPr>
          <w:p>
            <w:pPr>
              <w:pStyle w:val="TableParagraph"/>
              <w:spacing w:before="55"/>
              <w:ind w:left="94"/>
              <w:rPr>
                <w:sz w:val="14"/>
              </w:rPr>
            </w:pPr>
            <w:r>
              <w:rPr>
                <w:b/>
                <w:color w:val="231F20"/>
                <w:sz w:val="14"/>
              </w:rPr>
              <w:t>12.</w:t>
            </w:r>
            <w:r>
              <w:rPr>
                <w:b/>
                <w:color w:val="231F20"/>
                <w:spacing w:val="40"/>
                <w:sz w:val="14"/>
              </w:rPr>
              <w:t>  </w:t>
            </w:r>
            <w:r>
              <w:rPr>
                <w:color w:val="231F20"/>
                <w:sz w:val="14"/>
              </w:rPr>
              <w:t>Voulez-vous</w:t>
            </w:r>
            <w:r>
              <w:rPr>
                <w:color w:val="231F20"/>
                <w:spacing w:val="-4"/>
                <w:sz w:val="14"/>
              </w:rPr>
              <w:t> </w:t>
            </w:r>
            <w:r>
              <w:rPr>
                <w:color w:val="231F20"/>
                <w:sz w:val="14"/>
              </w:rPr>
              <w:t>qu’on</w:t>
            </w:r>
            <w:r>
              <w:rPr>
                <w:color w:val="231F20"/>
                <w:spacing w:val="-5"/>
                <w:sz w:val="14"/>
              </w:rPr>
              <w:t> </w:t>
            </w:r>
            <w:r>
              <w:rPr>
                <w:color w:val="231F20"/>
                <w:sz w:val="14"/>
              </w:rPr>
              <w:t>vous</w:t>
            </w:r>
            <w:r>
              <w:rPr>
                <w:color w:val="231F20"/>
                <w:spacing w:val="-4"/>
                <w:sz w:val="14"/>
              </w:rPr>
              <w:t> </w:t>
            </w:r>
            <w:r>
              <w:rPr>
                <w:color w:val="231F20"/>
                <w:sz w:val="14"/>
              </w:rPr>
              <w:t>laisse</w:t>
            </w:r>
            <w:r>
              <w:rPr>
                <w:color w:val="231F20"/>
                <w:spacing w:val="-4"/>
                <w:sz w:val="14"/>
              </w:rPr>
              <w:t> </w:t>
            </w:r>
            <w:r>
              <w:rPr>
                <w:color w:val="231F20"/>
                <w:spacing w:val="-2"/>
                <w:sz w:val="14"/>
              </w:rPr>
              <w:t>tranquille?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bottom w:val="nil"/>
              <w:right w:val="single" w:sz="4" w:space="0" w:color="FFFFFF"/>
            </w:tcBorders>
          </w:tcPr>
          <w:p>
            <w:pPr>
              <w:pStyle w:val="TableParagraph"/>
              <w:spacing w:before="55"/>
              <w:ind w:left="94"/>
              <w:rPr>
                <w:sz w:val="14"/>
              </w:rPr>
            </w:pPr>
            <w:r>
              <w:rPr>
                <w:b/>
                <w:color w:val="231F20"/>
                <w:sz w:val="14"/>
              </w:rPr>
              <w:t>13.</w:t>
            </w:r>
            <w:r>
              <w:rPr>
                <w:b/>
                <w:color w:val="231F20"/>
                <w:spacing w:val="44"/>
                <w:sz w:val="14"/>
              </w:rPr>
              <w:t>  </w:t>
            </w:r>
            <w:r>
              <w:rPr>
                <w:color w:val="231F20"/>
                <w:sz w:val="14"/>
              </w:rPr>
              <w:t>Trouvez-vous</w:t>
            </w:r>
            <w:r>
              <w:rPr>
                <w:color w:val="231F20"/>
                <w:spacing w:val="-1"/>
                <w:sz w:val="14"/>
              </w:rPr>
              <w:t> </w:t>
            </w:r>
            <w:r>
              <w:rPr>
                <w:color w:val="231F20"/>
                <w:sz w:val="14"/>
              </w:rPr>
              <w:t>que</w:t>
            </w:r>
            <w:r>
              <w:rPr>
                <w:color w:val="231F20"/>
                <w:spacing w:val="-2"/>
                <w:sz w:val="14"/>
              </w:rPr>
              <w:t> </w:t>
            </w:r>
            <w:r>
              <w:rPr>
                <w:color w:val="231F20"/>
                <w:sz w:val="14"/>
              </w:rPr>
              <w:t>la</w:t>
            </w:r>
            <w:r>
              <w:rPr>
                <w:color w:val="231F20"/>
                <w:spacing w:val="-1"/>
                <w:sz w:val="14"/>
              </w:rPr>
              <w:t> </w:t>
            </w:r>
            <w:r>
              <w:rPr>
                <w:color w:val="231F20"/>
                <w:sz w:val="14"/>
              </w:rPr>
              <w:t>vie</w:t>
            </w:r>
            <w:r>
              <w:rPr>
                <w:color w:val="231F20"/>
                <w:spacing w:val="-2"/>
                <w:sz w:val="14"/>
              </w:rPr>
              <w:t> </w:t>
            </w:r>
            <w:r>
              <w:rPr>
                <w:color w:val="231F20"/>
                <w:sz w:val="14"/>
              </w:rPr>
              <w:t>passe</w:t>
            </w:r>
            <w:r>
              <w:rPr>
                <w:color w:val="231F20"/>
                <w:spacing w:val="-1"/>
                <w:sz w:val="14"/>
              </w:rPr>
              <w:t> </w:t>
            </w:r>
            <w:r>
              <w:rPr>
                <w:color w:val="231F20"/>
                <w:sz w:val="14"/>
              </w:rPr>
              <w:t>trop</w:t>
            </w:r>
            <w:r>
              <w:rPr>
                <w:color w:val="231F20"/>
                <w:spacing w:val="-1"/>
                <w:sz w:val="14"/>
              </w:rPr>
              <w:t> </w:t>
            </w:r>
            <w:r>
              <w:rPr>
                <w:color w:val="231F20"/>
                <w:sz w:val="14"/>
              </w:rPr>
              <w:t>vite</w:t>
            </w:r>
            <w:r>
              <w:rPr>
                <w:color w:val="231F20"/>
                <w:spacing w:val="-25"/>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bottom w:val="single" w:sz="4" w:space="0" w:color="FFFFFF"/>
              <w:right w:val="single" w:sz="4" w:space="0" w:color="FFFFFF"/>
            </w:tcBorders>
            <w:shd w:val="clear" w:color="auto" w:fill="E2E3E4"/>
          </w:tcPr>
          <w:p>
            <w:pPr>
              <w:pStyle w:val="TableParagraph"/>
              <w:spacing w:before="55"/>
              <w:ind w:left="94"/>
              <w:rPr>
                <w:sz w:val="14"/>
              </w:rPr>
            </w:pPr>
            <w:r>
              <w:rPr>
                <w:b/>
                <w:color w:val="231F20"/>
                <w:sz w:val="14"/>
              </w:rPr>
              <w:t>14.</w:t>
            </w:r>
            <w:r>
              <w:rPr>
                <w:b/>
                <w:color w:val="231F20"/>
                <w:spacing w:val="31"/>
                <w:sz w:val="14"/>
              </w:rPr>
              <w:t>  </w:t>
            </w:r>
            <w:r>
              <w:rPr>
                <w:color w:val="231F20"/>
                <w:sz w:val="14"/>
              </w:rPr>
              <w:t>Pensez-vous</w:t>
            </w:r>
            <w:r>
              <w:rPr>
                <w:color w:val="231F20"/>
                <w:spacing w:val="-8"/>
                <w:sz w:val="14"/>
              </w:rPr>
              <w:t> </w:t>
            </w:r>
            <w:r>
              <w:rPr>
                <w:color w:val="231F20"/>
                <w:sz w:val="14"/>
              </w:rPr>
              <w:t>qu’on</w:t>
            </w:r>
            <w:r>
              <w:rPr>
                <w:color w:val="231F20"/>
                <w:spacing w:val="-8"/>
                <w:sz w:val="14"/>
              </w:rPr>
              <w:t> </w:t>
            </w:r>
            <w:r>
              <w:rPr>
                <w:color w:val="231F20"/>
                <w:sz w:val="14"/>
              </w:rPr>
              <w:t>vous</w:t>
            </w:r>
            <w:r>
              <w:rPr>
                <w:color w:val="231F20"/>
                <w:spacing w:val="-8"/>
                <w:sz w:val="14"/>
              </w:rPr>
              <w:t> </w:t>
            </w:r>
            <w:r>
              <w:rPr>
                <w:color w:val="231F20"/>
                <w:sz w:val="14"/>
              </w:rPr>
              <w:t>considère</w:t>
            </w:r>
            <w:r>
              <w:rPr>
                <w:color w:val="231F20"/>
                <w:spacing w:val="-8"/>
                <w:sz w:val="14"/>
              </w:rPr>
              <w:t> </w:t>
            </w:r>
            <w:r>
              <w:rPr>
                <w:color w:val="231F20"/>
                <w:sz w:val="14"/>
              </w:rPr>
              <w:t>comme</w:t>
            </w:r>
            <w:r>
              <w:rPr>
                <w:color w:val="231F20"/>
                <w:spacing w:val="-8"/>
                <w:sz w:val="14"/>
              </w:rPr>
              <w:t> </w:t>
            </w:r>
            <w:r>
              <w:rPr>
                <w:color w:val="231F20"/>
                <w:sz w:val="14"/>
              </w:rPr>
              <w:t>une</w:t>
            </w:r>
            <w:r>
              <w:rPr>
                <w:color w:val="231F20"/>
                <w:spacing w:val="-8"/>
                <w:sz w:val="14"/>
              </w:rPr>
              <w:t> </w:t>
            </w:r>
            <w:r>
              <w:rPr>
                <w:color w:val="231F20"/>
                <w:sz w:val="14"/>
              </w:rPr>
              <w:t>personne</w:t>
            </w:r>
            <w:r>
              <w:rPr>
                <w:color w:val="231F20"/>
                <w:spacing w:val="-8"/>
                <w:sz w:val="14"/>
              </w:rPr>
              <w:t> </w:t>
            </w:r>
            <w:r>
              <w:rPr>
                <w:color w:val="231F20"/>
                <w:sz w:val="14"/>
              </w:rPr>
              <w:t>amicale</w:t>
            </w:r>
            <w:r>
              <w:rPr>
                <w:color w:val="231F20"/>
                <w:spacing w:val="-26"/>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single" w:sz="4" w:space="0" w:color="FFFFFF"/>
              <w:left w:val="nil"/>
              <w:bottom w:val="nil"/>
              <w:right w:val="single" w:sz="4" w:space="0" w:color="FFFFFF"/>
            </w:tcBorders>
            <w:shd w:val="clear" w:color="auto" w:fill="E2E3E4"/>
          </w:tcPr>
          <w:p>
            <w:pPr>
              <w:pStyle w:val="TableParagraph"/>
              <w:spacing w:before="55"/>
              <w:ind w:left="94"/>
              <w:rPr>
                <w:sz w:val="14"/>
              </w:rPr>
            </w:pPr>
            <w:r>
              <w:rPr>
                <w:b/>
                <w:color w:val="231F20"/>
                <w:sz w:val="14"/>
              </w:rPr>
              <w:t>15.</w:t>
            </w:r>
            <w:r>
              <w:rPr>
                <w:b/>
                <w:color w:val="231F20"/>
                <w:spacing w:val="69"/>
                <w:w w:val="150"/>
                <w:sz w:val="14"/>
              </w:rPr>
              <w:t> </w:t>
            </w:r>
            <w:r>
              <w:rPr>
                <w:color w:val="231F20"/>
                <w:sz w:val="14"/>
              </w:rPr>
              <w:t>Connaissez-vous</w:t>
            </w:r>
            <w:r>
              <w:rPr>
                <w:color w:val="231F20"/>
                <w:spacing w:val="-10"/>
                <w:sz w:val="14"/>
              </w:rPr>
              <w:t> </w:t>
            </w:r>
            <w:r>
              <w:rPr>
                <w:color w:val="231F20"/>
                <w:sz w:val="14"/>
              </w:rPr>
              <w:t>des</w:t>
            </w:r>
            <w:r>
              <w:rPr>
                <w:color w:val="231F20"/>
                <w:spacing w:val="-9"/>
                <w:sz w:val="14"/>
              </w:rPr>
              <w:t> </w:t>
            </w:r>
            <w:r>
              <w:rPr>
                <w:color w:val="231F20"/>
                <w:sz w:val="14"/>
              </w:rPr>
              <w:t>gens</w:t>
            </w:r>
            <w:r>
              <w:rPr>
                <w:color w:val="231F20"/>
                <w:spacing w:val="-10"/>
                <w:sz w:val="14"/>
              </w:rPr>
              <w:t> </w:t>
            </w:r>
            <w:r>
              <w:rPr>
                <w:color w:val="231F20"/>
                <w:sz w:val="14"/>
              </w:rPr>
              <w:t>amusants</w:t>
            </w:r>
            <w:r>
              <w:rPr>
                <w:color w:val="231F20"/>
                <w:spacing w:val="-26"/>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right w:val="single" w:sz="4" w:space="0" w:color="FFFFFF"/>
            </w:tcBorders>
          </w:tcPr>
          <w:p>
            <w:pPr>
              <w:pStyle w:val="TableParagraph"/>
              <w:spacing w:before="55"/>
              <w:ind w:left="94"/>
              <w:rPr>
                <w:sz w:val="14"/>
              </w:rPr>
            </w:pPr>
            <w:r>
              <w:rPr>
                <w:b/>
                <w:color w:val="231F20"/>
                <w:sz w:val="14"/>
              </w:rPr>
              <w:t>16.</w:t>
            </w:r>
            <w:r>
              <w:rPr>
                <w:b/>
                <w:color w:val="231F20"/>
                <w:spacing w:val="40"/>
                <w:sz w:val="14"/>
              </w:rPr>
              <w:t>  </w:t>
            </w:r>
            <w:r>
              <w:rPr>
                <w:color w:val="231F20"/>
                <w:sz w:val="14"/>
              </w:rPr>
              <w:t>Avez-vous</w:t>
            </w:r>
            <w:r>
              <w:rPr>
                <w:color w:val="231F20"/>
                <w:spacing w:val="-4"/>
                <w:sz w:val="14"/>
              </w:rPr>
              <w:t> </w:t>
            </w:r>
            <w:r>
              <w:rPr>
                <w:color w:val="231F20"/>
                <w:sz w:val="14"/>
              </w:rPr>
              <w:t>du</w:t>
            </w:r>
            <w:r>
              <w:rPr>
                <w:color w:val="231F20"/>
                <w:spacing w:val="-4"/>
                <w:sz w:val="14"/>
              </w:rPr>
              <w:t> </w:t>
            </w:r>
            <w:r>
              <w:rPr>
                <w:color w:val="231F20"/>
                <w:sz w:val="14"/>
              </w:rPr>
              <w:t>mal</w:t>
            </w:r>
            <w:r>
              <w:rPr>
                <w:color w:val="231F20"/>
                <w:spacing w:val="-5"/>
                <w:sz w:val="14"/>
              </w:rPr>
              <w:t> </w:t>
            </w:r>
            <w:r>
              <w:rPr>
                <w:color w:val="231F20"/>
                <w:sz w:val="14"/>
              </w:rPr>
              <w:t>à</w:t>
            </w:r>
            <w:r>
              <w:rPr>
                <w:color w:val="231F20"/>
                <w:spacing w:val="-4"/>
                <w:sz w:val="14"/>
              </w:rPr>
              <w:t> </w:t>
            </w:r>
            <w:r>
              <w:rPr>
                <w:color w:val="231F20"/>
                <w:sz w:val="14"/>
              </w:rPr>
              <w:t>vous</w:t>
            </w:r>
            <w:r>
              <w:rPr>
                <w:color w:val="231F20"/>
                <w:spacing w:val="-4"/>
                <w:sz w:val="14"/>
              </w:rPr>
              <w:t> </w:t>
            </w:r>
            <w:r>
              <w:rPr>
                <w:color w:val="231F20"/>
                <w:sz w:val="14"/>
              </w:rPr>
              <w:t>déconnecter</w:t>
            </w:r>
            <w:r>
              <w:rPr>
                <w:color w:val="231F20"/>
                <w:spacing w:val="-4"/>
                <w:sz w:val="14"/>
              </w:rPr>
              <w:t> </w:t>
            </w:r>
            <w:r>
              <w:rPr>
                <w:color w:val="231F20"/>
                <w:sz w:val="14"/>
              </w:rPr>
              <w:t>de</w:t>
            </w:r>
            <w:r>
              <w:rPr>
                <w:color w:val="231F20"/>
                <w:spacing w:val="-4"/>
                <w:sz w:val="14"/>
              </w:rPr>
              <w:t> </w:t>
            </w:r>
            <w:r>
              <w:rPr>
                <w:color w:val="231F20"/>
                <w:sz w:val="14"/>
              </w:rPr>
              <w:t>ce</w:t>
            </w:r>
            <w:r>
              <w:rPr>
                <w:color w:val="231F20"/>
                <w:spacing w:val="-4"/>
                <w:sz w:val="14"/>
              </w:rPr>
              <w:t> </w:t>
            </w:r>
            <w:r>
              <w:rPr>
                <w:color w:val="231F20"/>
                <w:sz w:val="14"/>
              </w:rPr>
              <w:t>qui</w:t>
            </w:r>
            <w:r>
              <w:rPr>
                <w:color w:val="231F20"/>
                <w:spacing w:val="-5"/>
                <w:sz w:val="14"/>
              </w:rPr>
              <w:t> </w:t>
            </w:r>
            <w:r>
              <w:rPr>
                <w:color w:val="231F20"/>
                <w:sz w:val="14"/>
              </w:rPr>
              <w:t>vous</w:t>
            </w:r>
            <w:r>
              <w:rPr>
                <w:color w:val="231F20"/>
                <w:spacing w:val="-4"/>
                <w:sz w:val="14"/>
              </w:rPr>
              <w:t> </w:t>
            </w:r>
            <w:r>
              <w:rPr>
                <w:color w:val="231F20"/>
                <w:spacing w:val="-2"/>
                <w:sz w:val="14"/>
              </w:rPr>
              <w:t>trouble?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bottom w:val="nil"/>
              <w:right w:val="single" w:sz="4" w:space="0" w:color="FFFFFF"/>
            </w:tcBorders>
          </w:tcPr>
          <w:p>
            <w:pPr>
              <w:pStyle w:val="TableParagraph"/>
              <w:spacing w:before="55"/>
              <w:ind w:left="94"/>
              <w:rPr>
                <w:sz w:val="14"/>
              </w:rPr>
            </w:pPr>
            <w:r>
              <w:rPr>
                <w:b/>
                <w:color w:val="231F20"/>
                <w:sz w:val="14"/>
              </w:rPr>
              <w:t>17.</w:t>
            </w:r>
            <w:r>
              <w:rPr>
                <w:b/>
                <w:color w:val="231F20"/>
                <w:spacing w:val="41"/>
                <w:sz w:val="14"/>
              </w:rPr>
              <w:t>  </w:t>
            </w:r>
            <w:r>
              <w:rPr>
                <w:color w:val="231F20"/>
                <w:sz w:val="14"/>
              </w:rPr>
              <w:t>Avez-vous</w:t>
            </w:r>
            <w:r>
              <w:rPr>
                <w:color w:val="231F20"/>
                <w:spacing w:val="-3"/>
                <w:sz w:val="14"/>
              </w:rPr>
              <w:t> </w:t>
            </w:r>
            <w:r>
              <w:rPr>
                <w:color w:val="231F20"/>
                <w:sz w:val="14"/>
              </w:rPr>
              <w:t>du</w:t>
            </w:r>
            <w:r>
              <w:rPr>
                <w:color w:val="231F20"/>
                <w:spacing w:val="-4"/>
                <w:sz w:val="14"/>
              </w:rPr>
              <w:t> </w:t>
            </w:r>
            <w:r>
              <w:rPr>
                <w:color w:val="231F20"/>
                <w:sz w:val="14"/>
              </w:rPr>
              <w:t>mal</w:t>
            </w:r>
            <w:r>
              <w:rPr>
                <w:color w:val="231F20"/>
                <w:spacing w:val="-4"/>
                <w:sz w:val="14"/>
              </w:rPr>
              <w:t> </w:t>
            </w:r>
            <w:r>
              <w:rPr>
                <w:color w:val="231F20"/>
                <w:sz w:val="14"/>
              </w:rPr>
              <w:t>à</w:t>
            </w:r>
            <w:r>
              <w:rPr>
                <w:color w:val="231F20"/>
                <w:spacing w:val="-3"/>
                <w:sz w:val="14"/>
              </w:rPr>
              <w:t> </w:t>
            </w:r>
            <w:r>
              <w:rPr>
                <w:color w:val="231F20"/>
                <w:sz w:val="14"/>
              </w:rPr>
              <w:t>vous</w:t>
            </w:r>
            <w:r>
              <w:rPr>
                <w:color w:val="231F20"/>
                <w:spacing w:val="-4"/>
                <w:sz w:val="14"/>
              </w:rPr>
              <w:t> </w:t>
            </w:r>
            <w:r>
              <w:rPr>
                <w:color w:val="231F20"/>
                <w:spacing w:val="-2"/>
                <w:sz w:val="14"/>
              </w:rPr>
              <w:t>endormir?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bottom w:val="nil"/>
              <w:right w:val="single" w:sz="4" w:space="0" w:color="FFFFFF"/>
            </w:tcBorders>
            <w:shd w:val="clear" w:color="auto" w:fill="E2E3E4"/>
          </w:tcPr>
          <w:p>
            <w:pPr>
              <w:pStyle w:val="TableParagraph"/>
              <w:spacing w:before="55"/>
              <w:ind w:left="94"/>
              <w:rPr>
                <w:sz w:val="14"/>
              </w:rPr>
            </w:pPr>
            <w:r>
              <w:rPr>
                <w:b/>
                <w:color w:val="231F20"/>
                <w:sz w:val="14"/>
              </w:rPr>
              <w:t>18.</w:t>
            </w:r>
            <w:r>
              <w:rPr>
                <w:b/>
                <w:color w:val="231F20"/>
                <w:spacing w:val="36"/>
                <w:sz w:val="14"/>
              </w:rPr>
              <w:t>  </w:t>
            </w:r>
            <w:r>
              <w:rPr>
                <w:color w:val="231F20"/>
                <w:sz w:val="14"/>
              </w:rPr>
              <w:t>Savez-vous</w:t>
            </w:r>
            <w:r>
              <w:rPr>
                <w:color w:val="231F20"/>
                <w:spacing w:val="-6"/>
                <w:sz w:val="14"/>
              </w:rPr>
              <w:t> </w:t>
            </w:r>
            <w:r>
              <w:rPr>
                <w:color w:val="231F20"/>
                <w:sz w:val="14"/>
              </w:rPr>
              <w:t>comment</w:t>
            </w:r>
            <w:r>
              <w:rPr>
                <w:color w:val="231F20"/>
                <w:spacing w:val="-6"/>
                <w:sz w:val="14"/>
              </w:rPr>
              <w:t> </w:t>
            </w:r>
            <w:r>
              <w:rPr>
                <w:color w:val="231F20"/>
                <w:sz w:val="14"/>
              </w:rPr>
              <w:t>vous</w:t>
            </w:r>
            <w:r>
              <w:rPr>
                <w:color w:val="231F20"/>
                <w:spacing w:val="-6"/>
                <w:sz w:val="14"/>
              </w:rPr>
              <w:t> </w:t>
            </w:r>
            <w:r>
              <w:rPr>
                <w:color w:val="231F20"/>
                <w:sz w:val="14"/>
              </w:rPr>
              <w:t>encourager</w:t>
            </w:r>
            <w:r>
              <w:rPr>
                <w:color w:val="231F20"/>
                <w:spacing w:val="-6"/>
                <w:sz w:val="14"/>
              </w:rPr>
              <w:t> </w:t>
            </w:r>
            <w:r>
              <w:rPr>
                <w:color w:val="231F20"/>
                <w:sz w:val="14"/>
              </w:rPr>
              <w:t>vous-</w:t>
            </w:r>
            <w:r>
              <w:rPr>
                <w:color w:val="231F20"/>
                <w:spacing w:val="-2"/>
                <w:sz w:val="14"/>
              </w:rPr>
              <w:t>même?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top w:val="nil"/>
              <w:left w:val="nil"/>
              <w:bottom w:val="nil"/>
              <w:right w:val="single" w:sz="4" w:space="0" w:color="FFFFFF"/>
            </w:tcBorders>
          </w:tcPr>
          <w:p>
            <w:pPr>
              <w:pStyle w:val="TableParagraph"/>
              <w:spacing w:line="268" w:lineRule="auto" w:before="55"/>
              <w:ind w:left="475" w:right="747" w:hanging="381"/>
              <w:rPr>
                <w:sz w:val="14"/>
              </w:rPr>
            </w:pPr>
            <w:r>
              <w:rPr>
                <w:b/>
                <w:color w:val="231F20"/>
                <w:sz w:val="14"/>
              </w:rPr>
              <w:t>19.</w:t>
            </w:r>
            <w:r>
              <w:rPr>
                <w:b/>
                <w:color w:val="231F20"/>
                <w:spacing w:val="80"/>
                <w:w w:val="150"/>
                <w:sz w:val="14"/>
              </w:rPr>
              <w:t> </w:t>
            </w:r>
            <w:r>
              <w:rPr>
                <w:color w:val="231F20"/>
                <w:sz w:val="14"/>
              </w:rPr>
              <w:t>Avez-vous</w:t>
            </w:r>
            <w:r>
              <w:rPr>
                <w:color w:val="231F20"/>
                <w:spacing w:val="-5"/>
                <w:sz w:val="14"/>
              </w:rPr>
              <w:t> </w:t>
            </w:r>
            <w:r>
              <w:rPr>
                <w:color w:val="231F20"/>
                <w:sz w:val="14"/>
              </w:rPr>
              <w:t>du</w:t>
            </w:r>
            <w:r>
              <w:rPr>
                <w:color w:val="231F20"/>
                <w:spacing w:val="-5"/>
                <w:sz w:val="14"/>
              </w:rPr>
              <w:t> </w:t>
            </w:r>
            <w:r>
              <w:rPr>
                <w:color w:val="231F20"/>
                <w:sz w:val="14"/>
              </w:rPr>
              <w:t>mal</w:t>
            </w:r>
            <w:r>
              <w:rPr>
                <w:color w:val="231F20"/>
                <w:spacing w:val="-5"/>
                <w:sz w:val="14"/>
              </w:rPr>
              <w:t> </w:t>
            </w:r>
            <w:r>
              <w:rPr>
                <w:color w:val="231F20"/>
                <w:sz w:val="14"/>
              </w:rPr>
              <w:t>à</w:t>
            </w:r>
            <w:r>
              <w:rPr>
                <w:color w:val="231F20"/>
                <w:spacing w:val="-5"/>
                <w:sz w:val="14"/>
              </w:rPr>
              <w:t> </w:t>
            </w:r>
            <w:r>
              <w:rPr>
                <w:color w:val="231F20"/>
                <w:sz w:val="14"/>
              </w:rPr>
              <w:t>vous</w:t>
            </w:r>
            <w:r>
              <w:rPr>
                <w:color w:val="231F20"/>
                <w:spacing w:val="-5"/>
                <w:sz w:val="14"/>
              </w:rPr>
              <w:t> </w:t>
            </w:r>
            <w:r>
              <w:rPr>
                <w:color w:val="231F20"/>
                <w:sz w:val="14"/>
              </w:rPr>
              <w:t>déconnecter</w:t>
            </w:r>
            <w:r>
              <w:rPr>
                <w:color w:val="231F20"/>
                <w:spacing w:val="-5"/>
                <w:sz w:val="14"/>
              </w:rPr>
              <w:t> </w:t>
            </w:r>
            <w:r>
              <w:rPr>
                <w:color w:val="231F20"/>
                <w:sz w:val="14"/>
              </w:rPr>
              <w:t>après</w:t>
            </w:r>
            <w:r>
              <w:rPr>
                <w:color w:val="231F20"/>
                <w:spacing w:val="-5"/>
                <w:sz w:val="14"/>
              </w:rPr>
              <w:t> </w:t>
            </w:r>
            <w:r>
              <w:rPr>
                <w:color w:val="231F20"/>
                <w:sz w:val="14"/>
              </w:rPr>
              <w:t>une</w:t>
            </w:r>
            <w:r>
              <w:rPr>
                <w:color w:val="231F20"/>
                <w:spacing w:val="-5"/>
                <w:sz w:val="14"/>
              </w:rPr>
              <w:t> </w:t>
            </w:r>
            <w:r>
              <w:rPr>
                <w:color w:val="231F20"/>
                <w:sz w:val="14"/>
              </w:rPr>
              <w:t>longue</w:t>
            </w:r>
            <w:r>
              <w:rPr>
                <w:color w:val="231F20"/>
                <w:spacing w:val="-5"/>
                <w:sz w:val="14"/>
              </w:rPr>
              <w:t> </w:t>
            </w:r>
            <w:r>
              <w:rPr>
                <w:color w:val="231F20"/>
                <w:sz w:val="14"/>
              </w:rPr>
              <w:t>journée</w:t>
            </w:r>
            <w:r>
              <w:rPr>
                <w:color w:val="231F20"/>
                <w:spacing w:val="40"/>
                <w:sz w:val="14"/>
              </w:rPr>
              <w:t> </w:t>
            </w:r>
            <w:r>
              <w:rPr>
                <w:color w:val="231F20"/>
                <w:sz w:val="14"/>
              </w:rPr>
              <w:t>de</w:t>
            </w:r>
            <w:r>
              <w:rPr>
                <w:color w:val="231F20"/>
                <w:spacing w:val="-10"/>
                <w:sz w:val="14"/>
              </w:rPr>
              <w:t> </w:t>
            </w:r>
            <w:r>
              <w:rPr>
                <w:color w:val="231F20"/>
                <w:sz w:val="14"/>
              </w:rPr>
              <w:t>travail?</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bottom w:val="single" w:sz="4" w:space="0" w:color="FFFFFF"/>
              <w:right w:val="single" w:sz="4" w:space="0" w:color="FFFFFF"/>
            </w:tcBorders>
            <w:shd w:val="clear" w:color="auto" w:fill="E2E3E4"/>
          </w:tcPr>
          <w:p>
            <w:pPr>
              <w:pStyle w:val="TableParagraph"/>
              <w:spacing w:before="55"/>
              <w:ind w:left="94"/>
              <w:rPr>
                <w:sz w:val="14"/>
              </w:rPr>
            </w:pPr>
            <w:r>
              <w:rPr>
                <w:b/>
                <w:color w:val="231F20"/>
                <w:sz w:val="14"/>
              </w:rPr>
              <w:t>20.</w:t>
            </w:r>
            <w:r>
              <w:rPr>
                <w:b/>
                <w:color w:val="231F20"/>
                <w:spacing w:val="36"/>
                <w:sz w:val="14"/>
              </w:rPr>
              <w:t>  </w:t>
            </w:r>
            <w:r>
              <w:rPr>
                <w:color w:val="231F20"/>
                <w:sz w:val="14"/>
              </w:rPr>
              <w:t>Savez-vous</w:t>
            </w:r>
            <w:r>
              <w:rPr>
                <w:color w:val="231F20"/>
                <w:spacing w:val="-6"/>
                <w:sz w:val="14"/>
              </w:rPr>
              <w:t> </w:t>
            </w:r>
            <w:r>
              <w:rPr>
                <w:color w:val="231F20"/>
                <w:sz w:val="14"/>
              </w:rPr>
              <w:t>comment</w:t>
            </w:r>
            <w:r>
              <w:rPr>
                <w:color w:val="231F20"/>
                <w:spacing w:val="-5"/>
                <w:sz w:val="14"/>
              </w:rPr>
              <w:t> </w:t>
            </w:r>
            <w:r>
              <w:rPr>
                <w:color w:val="231F20"/>
                <w:sz w:val="14"/>
              </w:rPr>
              <w:t>relaxer</w:t>
            </w:r>
            <w:r>
              <w:rPr>
                <w:color w:val="231F20"/>
                <w:spacing w:val="-6"/>
                <w:sz w:val="14"/>
              </w:rPr>
              <w:t> </w:t>
            </w:r>
            <w:r>
              <w:rPr>
                <w:color w:val="231F20"/>
                <w:sz w:val="14"/>
              </w:rPr>
              <w:t>quand</w:t>
            </w:r>
            <w:r>
              <w:rPr>
                <w:color w:val="231F20"/>
                <w:spacing w:val="-6"/>
                <w:sz w:val="14"/>
              </w:rPr>
              <w:t> </w:t>
            </w:r>
            <w:r>
              <w:rPr>
                <w:color w:val="231F20"/>
                <w:sz w:val="14"/>
              </w:rPr>
              <w:t>vous</w:t>
            </w:r>
            <w:r>
              <w:rPr>
                <w:color w:val="231F20"/>
                <w:spacing w:val="-5"/>
                <w:sz w:val="14"/>
              </w:rPr>
              <w:t> </w:t>
            </w:r>
            <w:r>
              <w:rPr>
                <w:color w:val="231F20"/>
                <w:sz w:val="14"/>
              </w:rPr>
              <w:t>en</w:t>
            </w:r>
            <w:r>
              <w:rPr>
                <w:color w:val="231F20"/>
                <w:spacing w:val="-6"/>
                <w:sz w:val="14"/>
              </w:rPr>
              <w:t> </w:t>
            </w:r>
            <w:r>
              <w:rPr>
                <w:color w:val="231F20"/>
                <w:sz w:val="14"/>
              </w:rPr>
              <w:t>avez</w:t>
            </w:r>
            <w:r>
              <w:rPr>
                <w:color w:val="231F20"/>
                <w:spacing w:val="-6"/>
                <w:sz w:val="14"/>
              </w:rPr>
              <w:t> </w:t>
            </w:r>
            <w:r>
              <w:rPr>
                <w:color w:val="231F20"/>
                <w:sz w:val="14"/>
              </w:rPr>
              <w:t>envie</w:t>
            </w:r>
            <w:r>
              <w:rPr>
                <w:color w:val="231F20"/>
                <w:spacing w:val="-26"/>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single" w:sz="4" w:space="0" w:color="FFFFFF"/>
              <w:left w:val="nil"/>
              <w:bottom w:val="nil"/>
              <w:right w:val="single" w:sz="4" w:space="0" w:color="FFFFFF"/>
            </w:tcBorders>
            <w:shd w:val="clear" w:color="auto" w:fill="E2E3E4"/>
          </w:tcPr>
          <w:p>
            <w:pPr>
              <w:pStyle w:val="TableParagraph"/>
              <w:spacing w:before="55"/>
              <w:ind w:left="94"/>
              <w:rPr>
                <w:sz w:val="14"/>
              </w:rPr>
            </w:pPr>
            <w:r>
              <w:rPr>
                <w:b/>
                <w:color w:val="231F20"/>
                <w:w w:val="105"/>
                <w:sz w:val="14"/>
              </w:rPr>
              <w:t>21.</w:t>
            </w:r>
            <w:r>
              <w:rPr>
                <w:b/>
                <w:color w:val="231F20"/>
                <w:spacing w:val="67"/>
                <w:w w:val="105"/>
                <w:sz w:val="14"/>
              </w:rPr>
              <w:t> </w:t>
            </w:r>
            <w:r>
              <w:rPr>
                <w:color w:val="231F20"/>
                <w:w w:val="105"/>
                <w:sz w:val="14"/>
              </w:rPr>
              <w:t>Avez-vous</w:t>
            </w:r>
            <w:r>
              <w:rPr>
                <w:color w:val="231F20"/>
                <w:spacing w:val="-10"/>
                <w:w w:val="105"/>
                <w:sz w:val="14"/>
              </w:rPr>
              <w:t> </w:t>
            </w:r>
            <w:r>
              <w:rPr>
                <w:color w:val="231F20"/>
                <w:w w:val="105"/>
                <w:sz w:val="14"/>
              </w:rPr>
              <w:t>le</w:t>
            </w:r>
            <w:r>
              <w:rPr>
                <w:color w:val="231F20"/>
                <w:spacing w:val="-10"/>
                <w:w w:val="105"/>
                <w:sz w:val="14"/>
              </w:rPr>
              <w:t> </w:t>
            </w:r>
            <w:r>
              <w:rPr>
                <w:color w:val="231F20"/>
                <w:w w:val="105"/>
                <w:sz w:val="14"/>
              </w:rPr>
              <w:t>temps</w:t>
            </w:r>
            <w:r>
              <w:rPr>
                <w:color w:val="231F20"/>
                <w:spacing w:val="-10"/>
                <w:w w:val="105"/>
                <w:sz w:val="14"/>
              </w:rPr>
              <w:t> </w:t>
            </w:r>
            <w:r>
              <w:rPr>
                <w:color w:val="231F20"/>
                <w:w w:val="105"/>
                <w:sz w:val="14"/>
              </w:rPr>
              <w:t>de</w:t>
            </w:r>
            <w:r>
              <w:rPr>
                <w:color w:val="231F20"/>
                <w:spacing w:val="-11"/>
                <w:w w:val="105"/>
                <w:sz w:val="14"/>
              </w:rPr>
              <w:t> </w:t>
            </w:r>
            <w:r>
              <w:rPr>
                <w:color w:val="231F20"/>
                <w:w w:val="105"/>
                <w:sz w:val="14"/>
              </w:rPr>
              <w:t>vous</w:t>
            </w:r>
            <w:r>
              <w:rPr>
                <w:color w:val="231F20"/>
                <w:spacing w:val="-10"/>
                <w:w w:val="105"/>
                <w:sz w:val="14"/>
              </w:rPr>
              <w:t> </w:t>
            </w:r>
            <w:r>
              <w:rPr>
                <w:color w:val="231F20"/>
                <w:spacing w:val="-2"/>
                <w:w w:val="105"/>
                <w:sz w:val="14"/>
              </w:rPr>
              <w:t>dorloter?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top w:val="nil"/>
              <w:left w:val="nil"/>
              <w:right w:val="single" w:sz="4" w:space="0" w:color="FFFFFF"/>
            </w:tcBorders>
          </w:tcPr>
          <w:p>
            <w:pPr>
              <w:pStyle w:val="TableParagraph"/>
              <w:spacing w:before="55"/>
              <w:ind w:left="94"/>
              <w:rPr>
                <w:sz w:val="14"/>
              </w:rPr>
            </w:pPr>
            <w:r>
              <w:rPr>
                <w:b/>
                <w:color w:val="231F20"/>
                <w:sz w:val="14"/>
              </w:rPr>
              <w:t>22.</w:t>
            </w:r>
            <w:r>
              <w:rPr>
                <w:b/>
                <w:color w:val="231F20"/>
                <w:spacing w:val="38"/>
                <w:sz w:val="14"/>
              </w:rPr>
              <w:t>  </w:t>
            </w:r>
            <w:r>
              <w:rPr>
                <w:color w:val="231F20"/>
                <w:sz w:val="14"/>
              </w:rPr>
              <w:t>Pensez-vous</w:t>
            </w:r>
            <w:r>
              <w:rPr>
                <w:color w:val="231F20"/>
                <w:spacing w:val="-3"/>
                <w:sz w:val="14"/>
              </w:rPr>
              <w:t> </w:t>
            </w:r>
            <w:r>
              <w:rPr>
                <w:color w:val="231F20"/>
                <w:sz w:val="14"/>
              </w:rPr>
              <w:t>être</w:t>
            </w:r>
            <w:r>
              <w:rPr>
                <w:color w:val="231F20"/>
                <w:spacing w:val="-5"/>
                <w:sz w:val="14"/>
              </w:rPr>
              <w:t> </w:t>
            </w:r>
            <w:r>
              <w:rPr>
                <w:color w:val="231F20"/>
                <w:sz w:val="14"/>
              </w:rPr>
              <w:t>«</w:t>
            </w:r>
            <w:r>
              <w:rPr>
                <w:color w:val="231F20"/>
                <w:spacing w:val="-26"/>
                <w:sz w:val="14"/>
              </w:rPr>
              <w:t> </w:t>
            </w:r>
            <w:r>
              <w:rPr>
                <w:color w:val="231F20"/>
                <w:sz w:val="14"/>
              </w:rPr>
              <w:t>accro</w:t>
            </w:r>
            <w:r>
              <w:rPr>
                <w:color w:val="231F20"/>
                <w:spacing w:val="-26"/>
                <w:sz w:val="14"/>
              </w:rPr>
              <w:t> </w:t>
            </w:r>
            <w:r>
              <w:rPr>
                <w:color w:val="231F20"/>
                <w:sz w:val="14"/>
              </w:rPr>
              <w:t>»</w:t>
            </w:r>
            <w:r>
              <w:rPr>
                <w:color w:val="231F20"/>
                <w:spacing w:val="-5"/>
                <w:sz w:val="14"/>
              </w:rPr>
              <w:t> </w:t>
            </w:r>
            <w:r>
              <w:rPr>
                <w:color w:val="231F20"/>
                <w:sz w:val="14"/>
              </w:rPr>
              <w:t>à</w:t>
            </w:r>
            <w:r>
              <w:rPr>
                <w:color w:val="231F20"/>
                <w:spacing w:val="-4"/>
                <w:sz w:val="14"/>
              </w:rPr>
              <w:t> </w:t>
            </w:r>
            <w:r>
              <w:rPr>
                <w:color w:val="231F20"/>
                <w:sz w:val="14"/>
              </w:rPr>
              <w:t>votre</w:t>
            </w:r>
            <w:r>
              <w:rPr>
                <w:color w:val="231F20"/>
                <w:spacing w:val="-5"/>
                <w:sz w:val="14"/>
              </w:rPr>
              <w:t> </w:t>
            </w:r>
            <w:r>
              <w:rPr>
                <w:color w:val="231F20"/>
                <w:spacing w:val="-2"/>
                <w:sz w:val="14"/>
              </w:rPr>
              <w:t>travail?</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left w:val="nil"/>
              <w:right w:val="single" w:sz="4" w:space="0" w:color="FFFFFF"/>
            </w:tcBorders>
          </w:tcPr>
          <w:p>
            <w:pPr>
              <w:pStyle w:val="TableParagraph"/>
              <w:spacing w:line="268" w:lineRule="auto" w:before="55"/>
              <w:ind w:left="475" w:right="561" w:hanging="381"/>
              <w:rPr>
                <w:sz w:val="14"/>
              </w:rPr>
            </w:pPr>
            <w:r>
              <w:rPr>
                <w:b/>
                <w:color w:val="231F20"/>
                <w:sz w:val="14"/>
              </w:rPr>
              <w:t>23.</w:t>
            </w:r>
            <w:r>
              <w:rPr>
                <w:b/>
                <w:color w:val="231F20"/>
                <w:spacing w:val="80"/>
                <w:w w:val="150"/>
                <w:sz w:val="14"/>
              </w:rPr>
              <w:t> </w:t>
            </w:r>
            <w:r>
              <w:rPr>
                <w:color w:val="231F20"/>
                <w:sz w:val="14"/>
              </w:rPr>
              <w:t>Avez-vous</w:t>
            </w:r>
            <w:r>
              <w:rPr>
                <w:color w:val="231F20"/>
                <w:spacing w:val="-3"/>
                <w:sz w:val="14"/>
              </w:rPr>
              <w:t> </w:t>
            </w:r>
            <w:r>
              <w:rPr>
                <w:color w:val="231F20"/>
                <w:sz w:val="14"/>
              </w:rPr>
              <w:t>besoin</w:t>
            </w:r>
            <w:r>
              <w:rPr>
                <w:color w:val="231F20"/>
                <w:spacing w:val="-3"/>
                <w:sz w:val="14"/>
              </w:rPr>
              <w:t> </w:t>
            </w:r>
            <w:r>
              <w:rPr>
                <w:color w:val="231F20"/>
                <w:sz w:val="14"/>
              </w:rPr>
              <w:t>de</w:t>
            </w:r>
            <w:r>
              <w:rPr>
                <w:color w:val="231F20"/>
                <w:spacing w:val="-3"/>
                <w:sz w:val="14"/>
              </w:rPr>
              <w:t> </w:t>
            </w:r>
            <w:r>
              <w:rPr>
                <w:color w:val="231F20"/>
                <w:sz w:val="14"/>
              </w:rPr>
              <w:t>consommer</w:t>
            </w:r>
            <w:r>
              <w:rPr>
                <w:color w:val="231F20"/>
                <w:spacing w:val="-3"/>
                <w:sz w:val="14"/>
              </w:rPr>
              <w:t> </w:t>
            </w:r>
            <w:r>
              <w:rPr>
                <w:color w:val="231F20"/>
                <w:sz w:val="14"/>
              </w:rPr>
              <w:t>du</w:t>
            </w:r>
            <w:r>
              <w:rPr>
                <w:color w:val="231F20"/>
                <w:spacing w:val="-3"/>
                <w:sz w:val="14"/>
              </w:rPr>
              <w:t> </w:t>
            </w:r>
            <w:r>
              <w:rPr>
                <w:color w:val="231F20"/>
                <w:sz w:val="14"/>
              </w:rPr>
              <w:t>café,</w:t>
            </w:r>
            <w:r>
              <w:rPr>
                <w:color w:val="231F20"/>
                <w:spacing w:val="-3"/>
                <w:sz w:val="14"/>
              </w:rPr>
              <w:t> </w:t>
            </w:r>
            <w:r>
              <w:rPr>
                <w:color w:val="231F20"/>
                <w:sz w:val="14"/>
              </w:rPr>
              <w:t>de</w:t>
            </w:r>
            <w:r>
              <w:rPr>
                <w:color w:val="231F20"/>
                <w:spacing w:val="-3"/>
                <w:sz w:val="14"/>
              </w:rPr>
              <w:t> </w:t>
            </w:r>
            <w:r>
              <w:rPr>
                <w:color w:val="231F20"/>
                <w:sz w:val="14"/>
              </w:rPr>
              <w:t>la</w:t>
            </w:r>
            <w:r>
              <w:rPr>
                <w:color w:val="231F20"/>
                <w:spacing w:val="-3"/>
                <w:sz w:val="14"/>
              </w:rPr>
              <w:t> </w:t>
            </w:r>
            <w:r>
              <w:rPr>
                <w:color w:val="231F20"/>
                <w:sz w:val="14"/>
              </w:rPr>
              <w:t>nicotine,</w:t>
            </w:r>
            <w:r>
              <w:rPr>
                <w:color w:val="231F20"/>
                <w:spacing w:val="-3"/>
                <w:sz w:val="14"/>
              </w:rPr>
              <w:t> </w:t>
            </w:r>
            <w:r>
              <w:rPr>
                <w:color w:val="231F20"/>
                <w:sz w:val="14"/>
              </w:rPr>
              <w:t>de</w:t>
            </w:r>
            <w:r>
              <w:rPr>
                <w:color w:val="231F20"/>
                <w:spacing w:val="-3"/>
                <w:sz w:val="14"/>
              </w:rPr>
              <w:t> </w:t>
            </w:r>
            <w:r>
              <w:rPr>
                <w:color w:val="231F20"/>
                <w:sz w:val="14"/>
              </w:rPr>
              <w:t>l’alcool</w:t>
            </w:r>
            <w:r>
              <w:rPr>
                <w:color w:val="231F20"/>
                <w:spacing w:val="40"/>
                <w:sz w:val="14"/>
              </w:rPr>
              <w:t> </w:t>
            </w:r>
            <w:r>
              <w:rPr>
                <w:color w:val="231F20"/>
                <w:sz w:val="14"/>
              </w:rPr>
              <w:t>ou d’autres substances pour «</w:t>
            </w:r>
            <w:r>
              <w:rPr>
                <w:color w:val="231F20"/>
                <w:spacing w:val="-20"/>
                <w:sz w:val="14"/>
              </w:rPr>
              <w:t> </w:t>
            </w:r>
            <w:r>
              <w:rPr>
                <w:color w:val="231F20"/>
                <w:sz w:val="14"/>
              </w:rPr>
              <w:t>tenir le coup</w:t>
            </w:r>
            <w:r>
              <w:rPr>
                <w:color w:val="231F20"/>
                <w:spacing w:val="-20"/>
                <w:sz w:val="14"/>
              </w:rPr>
              <w:t> </w:t>
            </w:r>
            <w:r>
              <w:rPr>
                <w:color w:val="231F20"/>
                <w:sz w:val="14"/>
              </w:rPr>
              <w:t>»</w:t>
            </w:r>
            <w:r>
              <w:rPr>
                <w:color w:val="231F20"/>
                <w:spacing w:val="-20"/>
                <w:sz w:val="14"/>
              </w:rPr>
              <w:t>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left w:val="nil"/>
              <w:right w:val="single" w:sz="4" w:space="0" w:color="FFFFFF"/>
            </w:tcBorders>
          </w:tcPr>
          <w:p>
            <w:pPr>
              <w:pStyle w:val="TableParagraph"/>
              <w:spacing w:line="268" w:lineRule="auto" w:before="56"/>
              <w:ind w:left="475" w:right="406" w:hanging="381"/>
              <w:rPr>
                <w:sz w:val="14"/>
              </w:rPr>
            </w:pPr>
            <w:r>
              <w:rPr>
                <w:b/>
                <w:color w:val="231F20"/>
                <w:sz w:val="14"/>
              </w:rPr>
              <w:t>24.</w:t>
            </w:r>
            <w:r>
              <w:rPr>
                <w:b/>
                <w:color w:val="231F20"/>
                <w:spacing w:val="80"/>
                <w:w w:val="150"/>
                <w:sz w:val="14"/>
              </w:rPr>
              <w:t> </w:t>
            </w:r>
            <w:r>
              <w:rPr>
                <w:color w:val="231F20"/>
                <w:sz w:val="14"/>
              </w:rPr>
              <w:t>Vous</w:t>
            </w:r>
            <w:r>
              <w:rPr>
                <w:color w:val="231F20"/>
                <w:spacing w:val="-6"/>
                <w:sz w:val="14"/>
              </w:rPr>
              <w:t> </w:t>
            </w:r>
            <w:r>
              <w:rPr>
                <w:color w:val="231F20"/>
                <w:sz w:val="14"/>
              </w:rPr>
              <w:t>dites-vous</w:t>
            </w:r>
            <w:r>
              <w:rPr>
                <w:color w:val="231F20"/>
                <w:spacing w:val="-26"/>
                <w:sz w:val="14"/>
              </w:rPr>
              <w:t> </w:t>
            </w:r>
            <w:r>
              <w:rPr>
                <w:color w:val="231F20"/>
                <w:sz w:val="14"/>
              </w:rPr>
              <w:t>:</w:t>
            </w:r>
            <w:r>
              <w:rPr>
                <w:color w:val="231F20"/>
                <w:spacing w:val="-6"/>
                <w:sz w:val="14"/>
              </w:rPr>
              <w:t> </w:t>
            </w:r>
            <w:r>
              <w:rPr>
                <w:color w:val="231F20"/>
                <w:sz w:val="14"/>
              </w:rPr>
              <w:t>«</w:t>
            </w:r>
            <w:r>
              <w:rPr>
                <w:color w:val="231F20"/>
                <w:spacing w:val="-26"/>
                <w:sz w:val="14"/>
              </w:rPr>
              <w:t> </w:t>
            </w:r>
            <w:r>
              <w:rPr>
                <w:color w:val="231F20"/>
                <w:sz w:val="14"/>
              </w:rPr>
              <w:t>Si</w:t>
            </w:r>
            <w:r>
              <w:rPr>
                <w:color w:val="231F20"/>
                <w:spacing w:val="-6"/>
                <w:sz w:val="14"/>
              </w:rPr>
              <w:t> </w:t>
            </w:r>
            <w:r>
              <w:rPr>
                <w:color w:val="231F20"/>
                <w:sz w:val="14"/>
              </w:rPr>
              <w:t>je</w:t>
            </w:r>
            <w:r>
              <w:rPr>
                <w:color w:val="231F20"/>
                <w:spacing w:val="-6"/>
                <w:sz w:val="14"/>
              </w:rPr>
              <w:t> </w:t>
            </w:r>
            <w:r>
              <w:rPr>
                <w:color w:val="231F20"/>
                <w:sz w:val="14"/>
              </w:rPr>
              <w:t>disais</w:t>
            </w:r>
            <w:r>
              <w:rPr>
                <w:color w:val="231F20"/>
                <w:spacing w:val="-6"/>
                <w:sz w:val="14"/>
              </w:rPr>
              <w:t> </w:t>
            </w:r>
            <w:r>
              <w:rPr>
                <w:color w:val="231F20"/>
                <w:sz w:val="14"/>
              </w:rPr>
              <w:t>ce</w:t>
            </w:r>
            <w:r>
              <w:rPr>
                <w:color w:val="231F20"/>
                <w:spacing w:val="-6"/>
                <w:sz w:val="14"/>
              </w:rPr>
              <w:t> </w:t>
            </w:r>
            <w:r>
              <w:rPr>
                <w:color w:val="231F20"/>
                <w:sz w:val="14"/>
              </w:rPr>
              <w:t>que</w:t>
            </w:r>
            <w:r>
              <w:rPr>
                <w:color w:val="231F20"/>
                <w:spacing w:val="-6"/>
                <w:sz w:val="14"/>
              </w:rPr>
              <w:t> </w:t>
            </w:r>
            <w:r>
              <w:rPr>
                <w:color w:val="231F20"/>
                <w:sz w:val="14"/>
              </w:rPr>
              <w:t>je</w:t>
            </w:r>
            <w:r>
              <w:rPr>
                <w:color w:val="231F20"/>
                <w:spacing w:val="-6"/>
                <w:sz w:val="14"/>
              </w:rPr>
              <w:t> </w:t>
            </w:r>
            <w:r>
              <w:rPr>
                <w:color w:val="231F20"/>
                <w:sz w:val="14"/>
              </w:rPr>
              <w:t>pense,</w:t>
            </w:r>
            <w:r>
              <w:rPr>
                <w:color w:val="231F20"/>
                <w:spacing w:val="-6"/>
                <w:sz w:val="14"/>
              </w:rPr>
              <w:t> </w:t>
            </w:r>
            <w:r>
              <w:rPr>
                <w:color w:val="231F20"/>
                <w:sz w:val="14"/>
              </w:rPr>
              <w:t>ça</w:t>
            </w:r>
            <w:r>
              <w:rPr>
                <w:color w:val="231F20"/>
                <w:spacing w:val="-6"/>
                <w:sz w:val="14"/>
              </w:rPr>
              <w:t> </w:t>
            </w:r>
            <w:r>
              <w:rPr>
                <w:color w:val="231F20"/>
                <w:sz w:val="14"/>
              </w:rPr>
              <w:t>ne</w:t>
            </w:r>
            <w:r>
              <w:rPr>
                <w:color w:val="231F20"/>
                <w:spacing w:val="-6"/>
                <w:sz w:val="14"/>
              </w:rPr>
              <w:t> </w:t>
            </w:r>
            <w:r>
              <w:rPr>
                <w:color w:val="231F20"/>
                <w:sz w:val="14"/>
              </w:rPr>
              <w:t>ferait</w:t>
            </w:r>
            <w:r>
              <w:rPr>
                <w:color w:val="231F20"/>
                <w:spacing w:val="-6"/>
                <w:sz w:val="14"/>
              </w:rPr>
              <w:t> </w:t>
            </w:r>
            <w:r>
              <w:rPr>
                <w:color w:val="231F20"/>
                <w:sz w:val="14"/>
              </w:rPr>
              <w:t>qu’empirer</w:t>
            </w:r>
            <w:r>
              <w:rPr>
                <w:color w:val="231F20"/>
                <w:spacing w:val="40"/>
                <w:sz w:val="14"/>
              </w:rPr>
              <w:t> </w:t>
            </w:r>
            <w:r>
              <w:rPr>
                <w:color w:val="231F20"/>
                <w:sz w:val="14"/>
              </w:rPr>
              <w:t>les choses</w:t>
            </w:r>
            <w:r>
              <w:rPr>
                <w:color w:val="231F20"/>
                <w:spacing w:val="-22"/>
                <w:sz w:val="14"/>
              </w:rPr>
              <w:t> </w:t>
            </w:r>
            <w:r>
              <w:rPr>
                <w:color w:val="231F20"/>
                <w:sz w:val="14"/>
              </w:rPr>
              <w:t>»</w:t>
            </w:r>
            <w:r>
              <w:rPr>
                <w:color w:val="231F20"/>
                <w:spacing w:val="-22"/>
                <w:sz w:val="14"/>
              </w:rPr>
              <w:t>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left w:val="nil"/>
              <w:right w:val="single" w:sz="4" w:space="0" w:color="FFFFFF"/>
            </w:tcBorders>
          </w:tcPr>
          <w:p>
            <w:pPr>
              <w:pStyle w:val="TableParagraph"/>
              <w:spacing w:line="268" w:lineRule="auto" w:before="56"/>
              <w:ind w:left="475" w:right="264" w:hanging="381"/>
              <w:rPr>
                <w:sz w:val="14"/>
              </w:rPr>
            </w:pPr>
            <w:r>
              <w:rPr>
                <w:b/>
                <w:color w:val="231F20"/>
                <w:sz w:val="14"/>
              </w:rPr>
              <w:t>25.</w:t>
            </w:r>
            <w:r>
              <w:rPr>
                <w:b/>
                <w:color w:val="231F20"/>
                <w:spacing w:val="80"/>
                <w:w w:val="150"/>
                <w:sz w:val="14"/>
              </w:rPr>
              <w:t> </w:t>
            </w:r>
            <w:r>
              <w:rPr>
                <w:color w:val="231F20"/>
                <w:sz w:val="14"/>
              </w:rPr>
              <w:t>Êtes-vous</w:t>
            </w:r>
            <w:r>
              <w:rPr>
                <w:color w:val="231F20"/>
                <w:spacing w:val="-5"/>
                <w:sz w:val="14"/>
              </w:rPr>
              <w:t> </w:t>
            </w:r>
            <w:r>
              <w:rPr>
                <w:color w:val="231F20"/>
                <w:sz w:val="14"/>
              </w:rPr>
              <w:t>irritable</w:t>
            </w:r>
            <w:r>
              <w:rPr>
                <w:color w:val="231F20"/>
                <w:spacing w:val="-5"/>
                <w:sz w:val="14"/>
              </w:rPr>
              <w:t> </w:t>
            </w:r>
            <w:r>
              <w:rPr>
                <w:color w:val="231F20"/>
                <w:sz w:val="14"/>
              </w:rPr>
              <w:t>ou</w:t>
            </w:r>
            <w:r>
              <w:rPr>
                <w:color w:val="231F20"/>
                <w:spacing w:val="-5"/>
                <w:sz w:val="14"/>
              </w:rPr>
              <w:t> </w:t>
            </w:r>
            <w:r>
              <w:rPr>
                <w:color w:val="231F20"/>
                <w:sz w:val="14"/>
              </w:rPr>
              <w:t>de</w:t>
            </w:r>
            <w:r>
              <w:rPr>
                <w:color w:val="231F20"/>
                <w:spacing w:val="-5"/>
                <w:sz w:val="14"/>
              </w:rPr>
              <w:t> </w:t>
            </w:r>
            <w:r>
              <w:rPr>
                <w:color w:val="231F20"/>
                <w:sz w:val="14"/>
              </w:rPr>
              <w:t>mauvaise</w:t>
            </w:r>
            <w:r>
              <w:rPr>
                <w:color w:val="231F20"/>
                <w:spacing w:val="-5"/>
                <w:sz w:val="14"/>
              </w:rPr>
              <w:t> </w:t>
            </w:r>
            <w:r>
              <w:rPr>
                <w:color w:val="231F20"/>
                <w:sz w:val="14"/>
              </w:rPr>
              <w:t>humeur</w:t>
            </w:r>
            <w:r>
              <w:rPr>
                <w:color w:val="231F20"/>
                <w:spacing w:val="-5"/>
                <w:sz w:val="14"/>
              </w:rPr>
              <w:t> </w:t>
            </w:r>
            <w:r>
              <w:rPr>
                <w:color w:val="231F20"/>
                <w:sz w:val="14"/>
              </w:rPr>
              <w:t>face</w:t>
            </w:r>
            <w:r>
              <w:rPr>
                <w:color w:val="231F20"/>
                <w:spacing w:val="-5"/>
                <w:sz w:val="14"/>
              </w:rPr>
              <w:t> </w:t>
            </w:r>
            <w:r>
              <w:rPr>
                <w:color w:val="231F20"/>
                <w:sz w:val="14"/>
              </w:rPr>
              <w:t>à</w:t>
            </w:r>
            <w:r>
              <w:rPr>
                <w:color w:val="231F20"/>
                <w:spacing w:val="-5"/>
                <w:sz w:val="14"/>
              </w:rPr>
              <w:t> </w:t>
            </w:r>
            <w:r>
              <w:rPr>
                <w:color w:val="231F20"/>
                <w:sz w:val="14"/>
              </w:rPr>
              <w:t>des</w:t>
            </w:r>
            <w:r>
              <w:rPr>
                <w:color w:val="231F20"/>
                <w:spacing w:val="-5"/>
                <w:sz w:val="14"/>
              </w:rPr>
              <w:t> </w:t>
            </w:r>
            <w:r>
              <w:rPr>
                <w:color w:val="231F20"/>
                <w:sz w:val="14"/>
              </w:rPr>
              <w:t>problèmes</w:t>
            </w:r>
            <w:r>
              <w:rPr>
                <w:color w:val="231F20"/>
                <w:spacing w:val="40"/>
                <w:sz w:val="14"/>
              </w:rPr>
              <w:t> </w:t>
            </w:r>
            <w:r>
              <w:rPr>
                <w:color w:val="231F20"/>
                <w:spacing w:val="-2"/>
                <w:sz w:val="14"/>
              </w:rPr>
              <w:t>insignifiants?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0" w:type="dxa"/>
            <w:tcBorders>
              <w:left w:val="nil"/>
              <w:right w:val="single" w:sz="4" w:space="0" w:color="FFFFFF"/>
            </w:tcBorders>
          </w:tcPr>
          <w:p>
            <w:pPr>
              <w:pStyle w:val="TableParagraph"/>
              <w:spacing w:before="56"/>
              <w:ind w:left="94"/>
              <w:rPr>
                <w:sz w:val="14"/>
              </w:rPr>
            </w:pPr>
            <w:r>
              <w:rPr>
                <w:b/>
                <w:color w:val="231F20"/>
                <w:sz w:val="14"/>
              </w:rPr>
              <w:t>26.</w:t>
            </w:r>
            <w:r>
              <w:rPr>
                <w:b/>
                <w:color w:val="231F20"/>
                <w:spacing w:val="35"/>
                <w:sz w:val="14"/>
              </w:rPr>
              <w:t>  </w:t>
            </w:r>
            <w:r>
              <w:rPr>
                <w:color w:val="231F20"/>
                <w:sz w:val="14"/>
              </w:rPr>
              <w:t>Pensez-vous</w:t>
            </w:r>
            <w:r>
              <w:rPr>
                <w:color w:val="231F20"/>
                <w:spacing w:val="-7"/>
                <w:sz w:val="14"/>
              </w:rPr>
              <w:t> </w:t>
            </w:r>
            <w:r>
              <w:rPr>
                <w:color w:val="231F20"/>
                <w:sz w:val="14"/>
              </w:rPr>
              <w:t>avoir</w:t>
            </w:r>
            <w:r>
              <w:rPr>
                <w:color w:val="231F20"/>
                <w:spacing w:val="-6"/>
                <w:sz w:val="14"/>
              </w:rPr>
              <w:t> </w:t>
            </w:r>
            <w:r>
              <w:rPr>
                <w:color w:val="231F20"/>
                <w:sz w:val="14"/>
              </w:rPr>
              <w:t>trop</w:t>
            </w:r>
            <w:r>
              <w:rPr>
                <w:color w:val="231F20"/>
                <w:spacing w:val="-6"/>
                <w:sz w:val="14"/>
              </w:rPr>
              <w:t> </w:t>
            </w:r>
            <w:r>
              <w:rPr>
                <w:color w:val="231F20"/>
                <w:sz w:val="14"/>
              </w:rPr>
              <w:t>d’exigences</w:t>
            </w:r>
            <w:r>
              <w:rPr>
                <w:color w:val="231F20"/>
                <w:spacing w:val="-7"/>
                <w:sz w:val="14"/>
              </w:rPr>
              <w:t> </w:t>
            </w:r>
            <w:r>
              <w:rPr>
                <w:color w:val="231F20"/>
                <w:sz w:val="14"/>
              </w:rPr>
              <w:t>envers</w:t>
            </w:r>
            <w:r>
              <w:rPr>
                <w:color w:val="231F20"/>
                <w:spacing w:val="-6"/>
                <w:sz w:val="14"/>
              </w:rPr>
              <w:t> </w:t>
            </w:r>
            <w:r>
              <w:rPr>
                <w:color w:val="231F20"/>
                <w:sz w:val="14"/>
              </w:rPr>
              <w:t>vous-</w:t>
            </w:r>
            <w:r>
              <w:rPr>
                <w:color w:val="231F20"/>
                <w:spacing w:val="-2"/>
                <w:sz w:val="14"/>
              </w:rPr>
              <w:t>même?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0" w:type="dxa"/>
            <w:tcBorders>
              <w:left w:val="nil"/>
              <w:bottom w:val="nil"/>
              <w:right w:val="single" w:sz="4" w:space="0" w:color="FFFFFF"/>
            </w:tcBorders>
          </w:tcPr>
          <w:p>
            <w:pPr>
              <w:pStyle w:val="TableParagraph"/>
              <w:spacing w:line="268" w:lineRule="auto" w:before="56"/>
              <w:ind w:left="475" w:right="747" w:hanging="381"/>
              <w:rPr>
                <w:sz w:val="14"/>
              </w:rPr>
            </w:pPr>
            <w:r>
              <w:rPr>
                <w:b/>
                <w:color w:val="231F20"/>
                <w:sz w:val="14"/>
              </w:rPr>
              <w:t>27.</w:t>
            </w:r>
            <w:r>
              <w:rPr>
                <w:b/>
                <w:color w:val="231F20"/>
                <w:spacing w:val="80"/>
                <w:w w:val="150"/>
                <w:sz w:val="14"/>
              </w:rPr>
              <w:t> </w:t>
            </w:r>
            <w:r>
              <w:rPr>
                <w:color w:val="231F20"/>
                <w:sz w:val="14"/>
              </w:rPr>
              <w:t>Souffrez-vous</w:t>
            </w:r>
            <w:r>
              <w:rPr>
                <w:color w:val="231F20"/>
                <w:spacing w:val="-3"/>
                <w:sz w:val="14"/>
              </w:rPr>
              <w:t> </w:t>
            </w:r>
            <w:r>
              <w:rPr>
                <w:color w:val="231F20"/>
                <w:sz w:val="14"/>
              </w:rPr>
              <w:t>de</w:t>
            </w:r>
            <w:r>
              <w:rPr>
                <w:color w:val="231F20"/>
                <w:spacing w:val="-3"/>
                <w:sz w:val="14"/>
              </w:rPr>
              <w:t> </w:t>
            </w:r>
            <w:r>
              <w:rPr>
                <w:color w:val="231F20"/>
                <w:sz w:val="14"/>
              </w:rPr>
              <w:t>maux</w:t>
            </w:r>
            <w:r>
              <w:rPr>
                <w:color w:val="231F20"/>
                <w:spacing w:val="-3"/>
                <w:sz w:val="14"/>
              </w:rPr>
              <w:t> </w:t>
            </w:r>
            <w:r>
              <w:rPr>
                <w:color w:val="231F20"/>
                <w:sz w:val="14"/>
              </w:rPr>
              <w:t>de</w:t>
            </w:r>
            <w:r>
              <w:rPr>
                <w:color w:val="231F20"/>
                <w:spacing w:val="-3"/>
                <w:sz w:val="14"/>
              </w:rPr>
              <w:t> </w:t>
            </w:r>
            <w:r>
              <w:rPr>
                <w:color w:val="231F20"/>
                <w:sz w:val="14"/>
              </w:rPr>
              <w:t>dos,</w:t>
            </w:r>
            <w:r>
              <w:rPr>
                <w:color w:val="231F20"/>
                <w:spacing w:val="-3"/>
                <w:sz w:val="14"/>
              </w:rPr>
              <w:t> </w:t>
            </w:r>
            <w:r>
              <w:rPr>
                <w:color w:val="231F20"/>
                <w:sz w:val="14"/>
              </w:rPr>
              <w:t>de</w:t>
            </w:r>
            <w:r>
              <w:rPr>
                <w:color w:val="231F20"/>
                <w:spacing w:val="-3"/>
                <w:sz w:val="14"/>
              </w:rPr>
              <w:t> </w:t>
            </w:r>
            <w:r>
              <w:rPr>
                <w:color w:val="231F20"/>
                <w:sz w:val="14"/>
              </w:rPr>
              <w:t>maux</w:t>
            </w:r>
            <w:r>
              <w:rPr>
                <w:color w:val="231F20"/>
                <w:spacing w:val="-3"/>
                <w:sz w:val="14"/>
              </w:rPr>
              <w:t> </w:t>
            </w:r>
            <w:r>
              <w:rPr>
                <w:color w:val="231F20"/>
                <w:sz w:val="14"/>
              </w:rPr>
              <w:t>de</w:t>
            </w:r>
            <w:r>
              <w:rPr>
                <w:color w:val="231F20"/>
                <w:spacing w:val="-3"/>
                <w:sz w:val="14"/>
              </w:rPr>
              <w:t> </w:t>
            </w:r>
            <w:r>
              <w:rPr>
                <w:color w:val="231F20"/>
                <w:sz w:val="14"/>
              </w:rPr>
              <w:t>tête</w:t>
            </w:r>
            <w:r>
              <w:rPr>
                <w:color w:val="231F20"/>
                <w:spacing w:val="-3"/>
                <w:sz w:val="14"/>
              </w:rPr>
              <w:t> </w:t>
            </w:r>
            <w:r>
              <w:rPr>
                <w:color w:val="231F20"/>
                <w:sz w:val="14"/>
              </w:rPr>
              <w:t>ou</w:t>
            </w:r>
            <w:r>
              <w:rPr>
                <w:color w:val="231F20"/>
                <w:spacing w:val="-3"/>
                <w:sz w:val="14"/>
              </w:rPr>
              <w:t> </w:t>
            </w:r>
            <w:r>
              <w:rPr>
                <w:color w:val="231F20"/>
                <w:sz w:val="14"/>
              </w:rPr>
              <w:t>de</w:t>
            </w:r>
            <w:r>
              <w:rPr>
                <w:color w:val="231F20"/>
                <w:spacing w:val="-3"/>
                <w:sz w:val="14"/>
              </w:rPr>
              <w:t> </w:t>
            </w:r>
            <w:r>
              <w:rPr>
                <w:color w:val="231F20"/>
                <w:sz w:val="14"/>
              </w:rPr>
              <w:t>douleurs</w:t>
            </w:r>
            <w:r>
              <w:rPr>
                <w:color w:val="231F20"/>
                <w:spacing w:val="40"/>
                <w:sz w:val="14"/>
              </w:rPr>
              <w:t> </w:t>
            </w:r>
            <w:r>
              <w:rPr>
                <w:color w:val="231F20"/>
                <w:sz w:val="14"/>
              </w:rPr>
              <w:t>aux mâchoires</w:t>
            </w:r>
            <w:r>
              <w:rPr>
                <w:color w:val="231F20"/>
                <w:spacing w:val="-24"/>
                <w:sz w:val="14"/>
              </w:rPr>
              <w:t>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4" w:hRule="atLeast"/>
        </w:trPr>
        <w:tc>
          <w:tcPr>
            <w:tcW w:w="5270" w:type="dxa"/>
            <w:tcBorders>
              <w:top w:val="nil"/>
              <w:left w:val="nil"/>
              <w:bottom w:val="single" w:sz="2" w:space="0" w:color="231F20"/>
              <w:right w:val="single" w:sz="4" w:space="0" w:color="FFFFFF"/>
            </w:tcBorders>
            <w:shd w:val="clear" w:color="auto" w:fill="E2E3E4"/>
          </w:tcPr>
          <w:p>
            <w:pPr>
              <w:pStyle w:val="TableParagraph"/>
              <w:spacing w:before="56"/>
              <w:ind w:left="94"/>
              <w:rPr>
                <w:sz w:val="14"/>
              </w:rPr>
            </w:pPr>
            <w:r>
              <w:rPr>
                <w:b/>
                <w:color w:val="231F20"/>
                <w:w w:val="105"/>
                <w:sz w:val="14"/>
              </w:rPr>
              <w:t>28.</w:t>
            </w:r>
            <w:r>
              <w:rPr>
                <w:b/>
                <w:color w:val="231F20"/>
                <w:spacing w:val="70"/>
                <w:w w:val="150"/>
                <w:sz w:val="14"/>
              </w:rPr>
              <w:t> </w:t>
            </w:r>
            <w:r>
              <w:rPr>
                <w:color w:val="231F20"/>
                <w:w w:val="105"/>
                <w:sz w:val="14"/>
              </w:rPr>
              <w:t>Riez-vous</w:t>
            </w:r>
            <w:r>
              <w:rPr>
                <w:color w:val="231F20"/>
                <w:spacing w:val="-10"/>
                <w:w w:val="105"/>
                <w:sz w:val="14"/>
              </w:rPr>
              <w:t> </w:t>
            </w:r>
            <w:r>
              <w:rPr>
                <w:color w:val="231F20"/>
                <w:spacing w:val="-2"/>
                <w:w w:val="105"/>
                <w:sz w:val="14"/>
              </w:rPr>
              <w:t>facilement?</w:t>
            </w:r>
          </w:p>
        </w:tc>
        <w:tc>
          <w:tcPr>
            <w:tcW w:w="480" w:type="dxa"/>
            <w:tcBorders>
              <w:top w:val="single" w:sz="4" w:space="0" w:color="FFFFFF"/>
              <w:left w:val="single" w:sz="4" w:space="0" w:color="FFFFFF"/>
              <w:bottom w:val="single" w:sz="2" w:space="0" w:color="231F20"/>
              <w:right w:val="nil"/>
            </w:tcBorders>
            <w:shd w:val="clear" w:color="auto" w:fill="E2E3E4"/>
          </w:tcPr>
          <w:p>
            <w:pPr>
              <w:pStyle w:val="TableParagraph"/>
              <w:rPr>
                <w:rFonts w:ascii="Times New Roman"/>
                <w:sz w:val="14"/>
              </w:rPr>
            </w:pPr>
          </w:p>
        </w:tc>
      </w:tr>
      <w:tr>
        <w:trPr>
          <w:trHeight w:val="266" w:hRule="atLeast"/>
        </w:trPr>
        <w:tc>
          <w:tcPr>
            <w:tcW w:w="5270" w:type="dxa"/>
            <w:tcBorders>
              <w:top w:val="single" w:sz="2" w:space="0" w:color="231F20"/>
              <w:left w:val="nil"/>
              <w:bottom w:val="single" w:sz="2" w:space="0" w:color="231F20"/>
              <w:right w:val="single" w:sz="4" w:space="0" w:color="FFFFFF"/>
            </w:tcBorders>
          </w:tcPr>
          <w:p>
            <w:pPr>
              <w:pStyle w:val="TableParagraph"/>
              <w:spacing w:before="58"/>
              <w:ind w:left="475"/>
              <w:rPr>
                <w:b/>
                <w:sz w:val="14"/>
              </w:rPr>
            </w:pPr>
            <w:r>
              <w:rPr>
                <w:b/>
                <w:color w:val="231F20"/>
                <w:spacing w:val="-2"/>
                <w:sz w:val="14"/>
              </w:rPr>
              <w:t>TOTAL</w:t>
            </w:r>
          </w:p>
        </w:tc>
        <w:tc>
          <w:tcPr>
            <w:tcW w:w="480" w:type="dxa"/>
            <w:tcBorders>
              <w:top w:val="single" w:sz="2" w:space="0" w:color="231F20"/>
              <w:left w:val="single" w:sz="4" w:space="0" w:color="FFFFFF"/>
              <w:bottom w:val="single" w:sz="2" w:space="0" w:color="231F20"/>
              <w:right w:val="nil"/>
            </w:tcBorders>
            <w:shd w:val="clear" w:color="auto" w:fill="E2E3E4"/>
          </w:tcPr>
          <w:p>
            <w:pPr>
              <w:pStyle w:val="TableParagraph"/>
              <w:rPr>
                <w:rFonts w:ascii="Times New Roman"/>
                <w:sz w:val="14"/>
              </w:rPr>
            </w:pPr>
          </w:p>
        </w:tc>
      </w:tr>
    </w:tbl>
    <w:p>
      <w:pPr>
        <w:spacing w:after="0"/>
        <w:rPr>
          <w:rFonts w:ascii="Times New Roman"/>
          <w:sz w:val="14"/>
        </w:rPr>
        <w:sectPr>
          <w:footerReference w:type="default" r:id="rId178"/>
          <w:pgSz w:w="8640" w:h="12960"/>
          <w:pgMar w:footer="424" w:header="0" w:top="520" w:bottom="620" w:left="420" w:right="1140"/>
        </w:sectPr>
      </w:pPr>
    </w:p>
    <w:p>
      <w:pPr>
        <w:spacing w:before="118"/>
        <w:ind w:left="2396"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2</w:t>
      </w:r>
      <w:r>
        <w:rPr>
          <w:rFonts w:ascii="Arial" w:hAnsi="Arial"/>
          <w:color w:val="231F20"/>
          <w:spacing w:val="-3"/>
          <w:sz w:val="14"/>
        </w:rPr>
        <w:t> </w:t>
      </w:r>
      <w:r>
        <w:rPr>
          <w:rFonts w:ascii="Arial" w:hAnsi="Arial"/>
          <w:i/>
          <w:color w:val="231F20"/>
          <w:sz w:val="14"/>
        </w:rPr>
        <w:t>/</w:t>
      </w:r>
      <w:r>
        <w:rPr>
          <w:rFonts w:ascii="Arial" w:hAnsi="Arial"/>
          <w:i/>
          <w:color w:val="231F20"/>
          <w:spacing w:val="-2"/>
          <w:sz w:val="14"/>
        </w:rPr>
        <w:t> </w:t>
      </w:r>
      <w:r>
        <w:rPr>
          <w:rFonts w:ascii="Arial" w:hAnsi="Arial"/>
          <w:color w:val="231F20"/>
          <w:sz w:val="14"/>
        </w:rPr>
        <w:t>Stress</w:t>
      </w:r>
      <w:r>
        <w:rPr>
          <w:rFonts w:ascii="Arial" w:hAnsi="Arial"/>
          <w:color w:val="231F20"/>
          <w:spacing w:val="-3"/>
          <w:sz w:val="14"/>
        </w:rPr>
        <w:t> </w:t>
      </w:r>
      <w:r>
        <w:rPr>
          <w:rFonts w:ascii="Arial" w:hAnsi="Arial"/>
          <w:color w:val="231F20"/>
          <w:sz w:val="14"/>
        </w:rPr>
        <w:t>professionnel:</w:t>
      </w:r>
      <w:r>
        <w:rPr>
          <w:rFonts w:ascii="Arial" w:hAnsi="Arial"/>
          <w:color w:val="231F20"/>
          <w:spacing w:val="-2"/>
          <w:sz w:val="14"/>
        </w:rPr>
        <w:t> </w:t>
      </w:r>
      <w:r>
        <w:rPr>
          <w:rFonts w:ascii="Arial" w:hAnsi="Arial"/>
          <w:color w:val="231F20"/>
          <w:sz w:val="14"/>
        </w:rPr>
        <w:t>modèles</w:t>
      </w:r>
      <w:r>
        <w:rPr>
          <w:rFonts w:ascii="Arial" w:hAnsi="Arial"/>
          <w:color w:val="231F20"/>
          <w:spacing w:val="-3"/>
          <w:sz w:val="14"/>
        </w:rPr>
        <w:t> </w:t>
      </w:r>
      <w:r>
        <w:rPr>
          <w:rFonts w:ascii="Arial" w:hAnsi="Arial"/>
          <w:color w:val="231F20"/>
          <w:sz w:val="14"/>
        </w:rPr>
        <w:t>et</w:t>
      </w:r>
      <w:r>
        <w:rPr>
          <w:rFonts w:ascii="Arial" w:hAnsi="Arial"/>
          <w:color w:val="231F20"/>
          <w:spacing w:val="-2"/>
          <w:sz w:val="14"/>
        </w:rPr>
        <w:t> concepts</w:t>
      </w:r>
    </w:p>
    <w:p>
      <w:pPr>
        <w:pStyle w:val="BodyText"/>
        <w:rPr>
          <w:rFonts w:ascii="Arial"/>
          <w:sz w:val="20"/>
        </w:rPr>
      </w:pPr>
    </w:p>
    <w:p>
      <w:pPr>
        <w:pStyle w:val="BodyText"/>
        <w:rPr>
          <w:rFonts w:ascii="Arial"/>
          <w:sz w:val="20"/>
        </w:rPr>
      </w:pPr>
    </w:p>
    <w:p>
      <w:pPr>
        <w:pStyle w:val="BodyText"/>
        <w:spacing w:before="8"/>
        <w:rPr>
          <w:rFonts w:ascii="Arial"/>
          <w:sz w:val="29"/>
        </w:rPr>
      </w:pPr>
    </w:p>
    <w:p>
      <w:pPr>
        <w:pStyle w:val="Heading5"/>
        <w:ind w:left="1220"/>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spacing w:line="307" w:lineRule="auto" w:before="134"/>
        <w:ind w:left="1220" w:right="0" w:firstLine="0"/>
        <w:jc w:val="left"/>
        <w:rPr>
          <w:sz w:val="17"/>
        </w:rPr>
      </w:pPr>
      <w:r>
        <w:rPr>
          <w:i/>
          <w:color w:val="231F20"/>
          <w:w w:val="120"/>
          <w:sz w:val="17"/>
        </w:rPr>
        <w:t>De</w:t>
      </w:r>
      <w:r>
        <w:rPr>
          <w:i/>
          <w:color w:val="231F20"/>
          <w:spacing w:val="-1"/>
          <w:w w:val="120"/>
          <w:sz w:val="17"/>
        </w:rPr>
        <w:t> </w:t>
      </w:r>
      <w:r>
        <w:rPr>
          <w:i/>
          <w:color w:val="231F20"/>
          <w:w w:val="120"/>
          <w:sz w:val="17"/>
        </w:rPr>
        <w:t>0</w:t>
      </w:r>
      <w:r>
        <w:rPr>
          <w:i/>
          <w:color w:val="231F20"/>
          <w:spacing w:val="-1"/>
          <w:w w:val="120"/>
          <w:sz w:val="17"/>
        </w:rPr>
        <w:t> </w:t>
      </w:r>
      <w:r>
        <w:rPr>
          <w:i/>
          <w:color w:val="231F20"/>
          <w:w w:val="120"/>
          <w:sz w:val="17"/>
        </w:rPr>
        <w:t>à</w:t>
      </w:r>
      <w:r>
        <w:rPr>
          <w:i/>
          <w:color w:val="231F20"/>
          <w:spacing w:val="-1"/>
          <w:w w:val="120"/>
          <w:sz w:val="17"/>
        </w:rPr>
        <w:t> </w:t>
      </w:r>
      <w:r>
        <w:rPr>
          <w:i/>
          <w:color w:val="231F20"/>
          <w:w w:val="120"/>
          <w:sz w:val="17"/>
        </w:rPr>
        <w:t>90</w:t>
      </w:r>
      <w:r>
        <w:rPr>
          <w:i/>
          <w:color w:val="231F20"/>
          <w:spacing w:val="-1"/>
          <w:w w:val="120"/>
          <w:sz w:val="17"/>
        </w:rPr>
        <w:t> </w:t>
      </w:r>
      <w:r>
        <w:rPr>
          <w:i/>
          <w:color w:val="231F20"/>
          <w:w w:val="120"/>
          <w:sz w:val="17"/>
        </w:rPr>
        <w:t>points</w:t>
      </w:r>
      <w:r>
        <w:rPr>
          <w:i/>
          <w:color w:val="231F20"/>
          <w:spacing w:val="-1"/>
          <w:w w:val="120"/>
          <w:sz w:val="17"/>
        </w:rPr>
        <w:t> </w:t>
      </w:r>
      <w:r>
        <w:rPr>
          <w:color w:val="231F20"/>
          <w:w w:val="120"/>
          <w:sz w:val="17"/>
        </w:rPr>
        <w:t>–</w:t>
      </w:r>
      <w:r>
        <w:rPr>
          <w:color w:val="231F20"/>
          <w:spacing w:val="-1"/>
          <w:w w:val="120"/>
          <w:sz w:val="17"/>
        </w:rPr>
        <w:t> </w:t>
      </w:r>
      <w:r>
        <w:rPr>
          <w:color w:val="231F20"/>
          <w:w w:val="120"/>
          <w:sz w:val="17"/>
        </w:rPr>
        <w:t>Vous</w:t>
      </w:r>
      <w:r>
        <w:rPr>
          <w:color w:val="231F20"/>
          <w:spacing w:val="-1"/>
          <w:w w:val="120"/>
          <w:sz w:val="17"/>
        </w:rPr>
        <w:t> </w:t>
      </w:r>
      <w:r>
        <w:rPr>
          <w:color w:val="231F20"/>
          <w:w w:val="120"/>
          <w:sz w:val="17"/>
        </w:rPr>
        <w:t>êtes</w:t>
      </w:r>
      <w:r>
        <w:rPr>
          <w:color w:val="231F20"/>
          <w:spacing w:val="-1"/>
          <w:w w:val="120"/>
          <w:sz w:val="17"/>
        </w:rPr>
        <w:t> </w:t>
      </w:r>
      <w:r>
        <w:rPr>
          <w:color w:val="231F20"/>
          <w:w w:val="120"/>
          <w:sz w:val="17"/>
        </w:rPr>
        <w:t>possiblement</w:t>
      </w:r>
      <w:r>
        <w:rPr>
          <w:color w:val="231F20"/>
          <w:spacing w:val="-1"/>
          <w:w w:val="120"/>
          <w:sz w:val="17"/>
        </w:rPr>
        <w:t> </w:t>
      </w:r>
      <w:r>
        <w:rPr>
          <w:color w:val="231F20"/>
          <w:w w:val="120"/>
          <w:sz w:val="17"/>
        </w:rPr>
        <w:t>une</w:t>
      </w:r>
      <w:r>
        <w:rPr>
          <w:color w:val="231F20"/>
          <w:spacing w:val="-1"/>
          <w:w w:val="120"/>
          <w:sz w:val="17"/>
        </w:rPr>
        <w:t> </w:t>
      </w:r>
      <w:r>
        <w:rPr>
          <w:color w:val="231F20"/>
          <w:w w:val="120"/>
          <w:sz w:val="17"/>
        </w:rPr>
        <w:t>personne</w:t>
      </w:r>
      <w:r>
        <w:rPr>
          <w:color w:val="231F20"/>
          <w:spacing w:val="-1"/>
          <w:w w:val="120"/>
          <w:sz w:val="17"/>
        </w:rPr>
        <w:t> </w:t>
      </w:r>
      <w:r>
        <w:rPr>
          <w:color w:val="231F20"/>
          <w:w w:val="120"/>
          <w:sz w:val="17"/>
        </w:rPr>
        <w:t>dont</w:t>
      </w:r>
      <w:r>
        <w:rPr>
          <w:color w:val="231F20"/>
          <w:spacing w:val="-1"/>
          <w:w w:val="120"/>
          <w:sz w:val="17"/>
        </w:rPr>
        <w:t> </w:t>
      </w:r>
      <w:r>
        <w:rPr>
          <w:color w:val="231F20"/>
          <w:w w:val="120"/>
          <w:sz w:val="17"/>
        </w:rPr>
        <w:t>le</w:t>
      </w:r>
      <w:r>
        <w:rPr>
          <w:color w:val="231F20"/>
          <w:spacing w:val="-1"/>
          <w:w w:val="120"/>
          <w:sz w:val="17"/>
        </w:rPr>
        <w:t> </w:t>
      </w:r>
      <w:r>
        <w:rPr>
          <w:color w:val="231F20"/>
          <w:w w:val="120"/>
          <w:sz w:val="17"/>
        </w:rPr>
        <w:t>stress est</w:t>
      </w:r>
      <w:r>
        <w:rPr>
          <w:color w:val="231F20"/>
          <w:spacing w:val="-13"/>
          <w:w w:val="120"/>
          <w:sz w:val="17"/>
        </w:rPr>
        <w:t> </w:t>
      </w:r>
      <w:r>
        <w:rPr>
          <w:color w:val="231F20"/>
          <w:w w:val="120"/>
          <w:sz w:val="17"/>
        </w:rPr>
        <w:t>faible.</w:t>
      </w:r>
    </w:p>
    <w:p>
      <w:pPr>
        <w:spacing w:line="307" w:lineRule="auto" w:before="79"/>
        <w:ind w:left="1220" w:right="0" w:firstLine="0"/>
        <w:jc w:val="left"/>
        <w:rPr>
          <w:sz w:val="17"/>
        </w:rPr>
      </w:pPr>
      <w:r>
        <w:rPr>
          <w:i/>
          <w:color w:val="231F20"/>
          <w:w w:val="115"/>
          <w:sz w:val="17"/>
        </w:rPr>
        <w:t>De 91 à 180 points </w:t>
      </w:r>
      <w:r>
        <w:rPr>
          <w:color w:val="231F20"/>
          <w:w w:val="115"/>
          <w:sz w:val="17"/>
        </w:rPr>
        <w:t>– Vous êtes possiblement une personne dont le stress est</w:t>
      </w:r>
      <w:r>
        <w:rPr>
          <w:color w:val="231F20"/>
          <w:spacing w:val="-13"/>
          <w:w w:val="115"/>
          <w:sz w:val="17"/>
        </w:rPr>
        <w:t> </w:t>
      </w:r>
      <w:r>
        <w:rPr>
          <w:color w:val="231F20"/>
          <w:w w:val="115"/>
          <w:sz w:val="17"/>
        </w:rPr>
        <w:t>modéré.</w:t>
      </w:r>
    </w:p>
    <w:p>
      <w:pPr>
        <w:spacing w:line="307" w:lineRule="auto" w:before="80"/>
        <w:ind w:left="1220" w:right="0" w:firstLine="0"/>
        <w:jc w:val="left"/>
        <w:rPr>
          <w:sz w:val="17"/>
        </w:rPr>
      </w:pPr>
      <w:r>
        <w:rPr>
          <w:i/>
          <w:color w:val="231F20"/>
          <w:w w:val="115"/>
          <w:sz w:val="17"/>
        </w:rPr>
        <w:t>De</w:t>
      </w:r>
      <w:r>
        <w:rPr>
          <w:i/>
          <w:color w:val="231F20"/>
          <w:spacing w:val="-6"/>
          <w:w w:val="115"/>
          <w:sz w:val="17"/>
        </w:rPr>
        <w:t> </w:t>
      </w:r>
      <w:r>
        <w:rPr>
          <w:i/>
          <w:color w:val="231F20"/>
          <w:w w:val="115"/>
          <w:sz w:val="17"/>
        </w:rPr>
        <w:t>181</w:t>
      </w:r>
      <w:r>
        <w:rPr>
          <w:i/>
          <w:color w:val="231F20"/>
          <w:spacing w:val="-6"/>
          <w:w w:val="115"/>
          <w:sz w:val="17"/>
        </w:rPr>
        <w:t> </w:t>
      </w:r>
      <w:r>
        <w:rPr>
          <w:i/>
          <w:color w:val="231F20"/>
          <w:w w:val="115"/>
          <w:sz w:val="17"/>
        </w:rPr>
        <w:t>à</w:t>
      </w:r>
      <w:r>
        <w:rPr>
          <w:i/>
          <w:color w:val="231F20"/>
          <w:spacing w:val="-6"/>
          <w:w w:val="115"/>
          <w:sz w:val="17"/>
        </w:rPr>
        <w:t> </w:t>
      </w:r>
      <w:r>
        <w:rPr>
          <w:i/>
          <w:color w:val="231F20"/>
          <w:w w:val="115"/>
          <w:sz w:val="17"/>
        </w:rPr>
        <w:t>280</w:t>
      </w:r>
      <w:r>
        <w:rPr>
          <w:i/>
          <w:color w:val="231F20"/>
          <w:spacing w:val="-6"/>
          <w:w w:val="115"/>
          <w:sz w:val="17"/>
        </w:rPr>
        <w:t> </w:t>
      </w:r>
      <w:r>
        <w:rPr>
          <w:i/>
          <w:color w:val="231F20"/>
          <w:w w:val="115"/>
          <w:sz w:val="17"/>
        </w:rPr>
        <w:t>points</w:t>
      </w:r>
      <w:r>
        <w:rPr>
          <w:i/>
          <w:color w:val="231F20"/>
          <w:spacing w:val="-6"/>
          <w:w w:val="115"/>
          <w:sz w:val="17"/>
        </w:rPr>
        <w:t> </w:t>
      </w:r>
      <w:r>
        <w:rPr>
          <w:color w:val="231F20"/>
          <w:w w:val="115"/>
          <w:sz w:val="17"/>
        </w:rPr>
        <w:t>–</w:t>
      </w:r>
      <w:r>
        <w:rPr>
          <w:color w:val="231F20"/>
          <w:spacing w:val="-6"/>
          <w:w w:val="115"/>
          <w:sz w:val="17"/>
        </w:rPr>
        <w:t> </w:t>
      </w:r>
      <w:r>
        <w:rPr>
          <w:color w:val="231F20"/>
          <w:w w:val="115"/>
          <w:sz w:val="17"/>
        </w:rPr>
        <w:t>Vous</w:t>
      </w:r>
      <w:r>
        <w:rPr>
          <w:color w:val="231F20"/>
          <w:spacing w:val="-6"/>
          <w:w w:val="115"/>
          <w:sz w:val="17"/>
        </w:rPr>
        <w:t> </w:t>
      </w:r>
      <w:r>
        <w:rPr>
          <w:color w:val="231F20"/>
          <w:w w:val="115"/>
          <w:sz w:val="17"/>
        </w:rPr>
        <w:t>êtes</w:t>
      </w:r>
      <w:r>
        <w:rPr>
          <w:color w:val="231F20"/>
          <w:spacing w:val="-6"/>
          <w:w w:val="115"/>
          <w:sz w:val="17"/>
        </w:rPr>
        <w:t> </w:t>
      </w:r>
      <w:r>
        <w:rPr>
          <w:color w:val="231F20"/>
          <w:w w:val="115"/>
          <w:sz w:val="17"/>
        </w:rPr>
        <w:t>possiblement</w:t>
      </w:r>
      <w:r>
        <w:rPr>
          <w:color w:val="231F20"/>
          <w:spacing w:val="-6"/>
          <w:w w:val="115"/>
          <w:sz w:val="17"/>
        </w:rPr>
        <w:t> </w:t>
      </w:r>
      <w:r>
        <w:rPr>
          <w:color w:val="231F20"/>
          <w:w w:val="115"/>
          <w:sz w:val="17"/>
        </w:rPr>
        <w:t>une</w:t>
      </w:r>
      <w:r>
        <w:rPr>
          <w:color w:val="231F20"/>
          <w:spacing w:val="-6"/>
          <w:w w:val="115"/>
          <w:sz w:val="17"/>
        </w:rPr>
        <w:t> </w:t>
      </w:r>
      <w:r>
        <w:rPr>
          <w:color w:val="231F20"/>
          <w:w w:val="115"/>
          <w:sz w:val="17"/>
        </w:rPr>
        <w:t>personne</w:t>
      </w:r>
      <w:r>
        <w:rPr>
          <w:color w:val="231F20"/>
          <w:spacing w:val="-6"/>
          <w:w w:val="115"/>
          <w:sz w:val="17"/>
        </w:rPr>
        <w:t> </w:t>
      </w:r>
      <w:r>
        <w:rPr>
          <w:color w:val="231F20"/>
          <w:w w:val="115"/>
          <w:sz w:val="17"/>
        </w:rPr>
        <w:t>dont</w:t>
      </w:r>
      <w:r>
        <w:rPr>
          <w:color w:val="231F20"/>
          <w:spacing w:val="-6"/>
          <w:w w:val="115"/>
          <w:sz w:val="17"/>
        </w:rPr>
        <w:t> </w:t>
      </w:r>
      <w:r>
        <w:rPr>
          <w:color w:val="231F20"/>
          <w:w w:val="115"/>
          <w:sz w:val="17"/>
        </w:rPr>
        <w:t>le</w:t>
      </w:r>
      <w:r>
        <w:rPr>
          <w:color w:val="231F20"/>
          <w:spacing w:val="-6"/>
          <w:w w:val="115"/>
          <w:sz w:val="17"/>
        </w:rPr>
        <w:t> </w:t>
      </w:r>
      <w:r>
        <w:rPr>
          <w:color w:val="231F20"/>
          <w:w w:val="115"/>
          <w:sz w:val="17"/>
        </w:rPr>
        <w:t>stress est</w:t>
      </w:r>
      <w:r>
        <w:rPr>
          <w:color w:val="231F20"/>
          <w:spacing w:val="-13"/>
          <w:w w:val="115"/>
          <w:sz w:val="17"/>
        </w:rPr>
        <w:t> </w:t>
      </w:r>
      <w:r>
        <w:rPr>
          <w:color w:val="231F20"/>
          <w:w w:val="115"/>
          <w:sz w:val="17"/>
        </w:rPr>
        <w:t>élevé.</w:t>
      </w:r>
    </w:p>
    <w:p>
      <w:pPr>
        <w:spacing w:after="0" w:line="307" w:lineRule="auto"/>
        <w:jc w:val="left"/>
        <w:rPr>
          <w:sz w:val="17"/>
        </w:rPr>
        <w:sectPr>
          <w:footerReference w:type="default" r:id="rId179"/>
          <w:pgSz w:w="8640" w:h="12960"/>
          <w:pgMar w:footer="424" w:header="0" w:top="500" w:bottom="620" w:left="420" w:right="1140"/>
        </w:sectPr>
      </w:pPr>
    </w:p>
    <w:p>
      <w:pPr>
        <w:pStyle w:val="BodyText"/>
        <w:spacing w:before="4"/>
      </w:pPr>
    </w:p>
    <w:p>
      <w:pPr>
        <w:spacing w:after="0"/>
        <w:sectPr>
          <w:footerReference w:type="default" r:id="rId180"/>
          <w:pgSz w:w="8640" w:h="12960"/>
          <w:pgMar w:footer="0" w:header="0" w:top="1220" w:bottom="280" w:left="420" w:right="1140"/>
        </w:sectPr>
      </w:pPr>
    </w:p>
    <w:p>
      <w:pPr>
        <w:pStyle w:val="BodyText"/>
        <w:rPr>
          <w:sz w:val="18"/>
        </w:rPr>
      </w:pPr>
    </w:p>
    <w:p>
      <w:pPr>
        <w:pStyle w:val="Heading3"/>
        <w:rPr>
          <w:i/>
        </w:rPr>
      </w:pPr>
      <w:bookmarkStart w:name="Chapitre 3 /" w:id="72"/>
      <w:bookmarkEnd w:id="72"/>
      <w:r>
        <w:rPr/>
      </w:r>
      <w:bookmarkStart w:name="Antécédents et conséquences du stress pr" w:id="73"/>
      <w:bookmarkEnd w:id="73"/>
      <w:r>
        <w:rPr/>
      </w:r>
      <w:bookmarkStart w:name=" 3.1 / Une question d’adaptation à l’env" w:id="74"/>
      <w:bookmarkEnd w:id="74"/>
      <w:r>
        <w:rPr/>
      </w:r>
      <w:bookmarkStart w:name="_bookmark31" w:id="75"/>
      <w:bookmarkEnd w:id="75"/>
      <w:r>
        <w:rPr/>
      </w:r>
      <w:r>
        <w:rPr>
          <w:color w:val="231F20"/>
          <w:spacing w:val="12"/>
        </w:rPr>
        <w:t>Chapitre</w:t>
      </w:r>
      <w:r>
        <w:rPr>
          <w:color w:val="231F20"/>
          <w:spacing w:val="66"/>
        </w:rPr>
        <w:t> </w:t>
      </w:r>
      <w:r>
        <w:rPr>
          <w:color w:val="231F20"/>
        </w:rPr>
        <w:t>3</w:t>
      </w:r>
      <w:r>
        <w:rPr>
          <w:color w:val="231F20"/>
          <w:spacing w:val="46"/>
        </w:rPr>
        <w:t> </w:t>
      </w:r>
      <w:r>
        <w:rPr>
          <w:i/>
          <w:color w:val="231F20"/>
          <w:spacing w:val="-10"/>
        </w:rPr>
        <w:t>/</w:t>
      </w:r>
    </w:p>
    <w:p>
      <w:pPr>
        <w:pStyle w:val="BodyText"/>
        <w:rPr>
          <w:rFonts w:ascii="Arial"/>
          <w:i/>
          <w:sz w:val="26"/>
        </w:rPr>
      </w:pPr>
    </w:p>
    <w:p>
      <w:pPr>
        <w:pStyle w:val="BodyText"/>
        <w:spacing w:before="3"/>
        <w:rPr>
          <w:rFonts w:ascii="Arial"/>
          <w:i/>
          <w:sz w:val="31"/>
        </w:rPr>
      </w:pPr>
    </w:p>
    <w:p>
      <w:pPr>
        <w:pStyle w:val="Heading1"/>
        <w:spacing w:line="237" w:lineRule="auto"/>
        <w:ind w:right="698"/>
        <w:jc w:val="center"/>
      </w:pPr>
      <w:r>
        <w:rPr>
          <w:color w:val="231F20"/>
          <w:w w:val="90"/>
        </w:rPr>
        <w:t>Antécédents</w:t>
      </w:r>
      <w:r>
        <w:rPr>
          <w:color w:val="231F20"/>
          <w:spacing w:val="-2"/>
          <w:w w:val="90"/>
        </w:rPr>
        <w:t> </w:t>
      </w:r>
      <w:r>
        <w:rPr>
          <w:color w:val="231F20"/>
          <w:w w:val="90"/>
        </w:rPr>
        <w:t>et</w:t>
      </w:r>
      <w:r>
        <w:rPr>
          <w:color w:val="231F20"/>
          <w:spacing w:val="-2"/>
          <w:w w:val="90"/>
        </w:rPr>
        <w:t> </w:t>
      </w:r>
      <w:r>
        <w:rPr>
          <w:color w:val="231F20"/>
          <w:w w:val="90"/>
        </w:rPr>
        <w:t>conséquences </w:t>
      </w:r>
      <w:r>
        <w:rPr>
          <w:color w:val="231F20"/>
          <w:w w:val="95"/>
        </w:rPr>
        <w:t>du</w:t>
      </w:r>
      <w:r>
        <w:rPr>
          <w:color w:val="231F20"/>
          <w:spacing w:val="-6"/>
          <w:w w:val="95"/>
        </w:rPr>
        <w:t> </w:t>
      </w:r>
      <w:r>
        <w:rPr>
          <w:color w:val="231F20"/>
          <w:w w:val="95"/>
        </w:rPr>
        <w:t>stress</w:t>
      </w:r>
      <w:r>
        <w:rPr>
          <w:color w:val="231F20"/>
          <w:spacing w:val="-6"/>
          <w:w w:val="95"/>
        </w:rPr>
        <w:t> </w:t>
      </w:r>
      <w:r>
        <w:rPr>
          <w:color w:val="231F20"/>
          <w:w w:val="95"/>
        </w:rPr>
        <w:t>professionnel</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3"/>
        </w:rPr>
      </w:pPr>
    </w:p>
    <w:p>
      <w:pPr>
        <w:spacing w:before="0"/>
        <w:ind w:left="1220" w:right="0" w:firstLine="0"/>
        <w:jc w:val="left"/>
        <w:rPr>
          <w:rFonts w:ascii="Arial" w:hAnsi="Arial"/>
          <w:sz w:val="14"/>
        </w:rPr>
      </w:pPr>
      <w:r>
        <w:rPr>
          <w:rFonts w:ascii="Arial" w:hAnsi="Arial"/>
          <w:color w:val="231F20"/>
          <w:sz w:val="14"/>
        </w:rPr>
        <w:t>Je</w:t>
      </w:r>
      <w:r>
        <w:rPr>
          <w:rFonts w:ascii="Arial" w:hAnsi="Arial"/>
          <w:color w:val="231F20"/>
          <w:spacing w:val="-4"/>
          <w:sz w:val="14"/>
        </w:rPr>
        <w:t> </w:t>
      </w:r>
      <w:r>
        <w:rPr>
          <w:rFonts w:ascii="Arial" w:hAnsi="Arial"/>
          <w:color w:val="231F20"/>
          <w:sz w:val="14"/>
        </w:rPr>
        <w:t>suis</w:t>
      </w:r>
      <w:r>
        <w:rPr>
          <w:rFonts w:ascii="Arial" w:hAnsi="Arial"/>
          <w:color w:val="231F20"/>
          <w:spacing w:val="-3"/>
          <w:sz w:val="14"/>
        </w:rPr>
        <w:t> </w:t>
      </w:r>
      <w:r>
        <w:rPr>
          <w:rFonts w:ascii="Arial" w:hAnsi="Arial"/>
          <w:color w:val="231F20"/>
          <w:sz w:val="14"/>
        </w:rPr>
        <w:t>un</w:t>
      </w:r>
      <w:r>
        <w:rPr>
          <w:rFonts w:ascii="Arial" w:hAnsi="Arial"/>
          <w:color w:val="231F20"/>
          <w:spacing w:val="-4"/>
          <w:sz w:val="14"/>
        </w:rPr>
        <w:t> </w:t>
      </w:r>
      <w:r>
        <w:rPr>
          <w:rFonts w:ascii="Arial" w:hAnsi="Arial"/>
          <w:color w:val="231F20"/>
          <w:sz w:val="14"/>
        </w:rPr>
        <w:t>vieil</w:t>
      </w:r>
      <w:r>
        <w:rPr>
          <w:rFonts w:ascii="Arial" w:hAnsi="Arial"/>
          <w:color w:val="231F20"/>
          <w:spacing w:val="-3"/>
          <w:sz w:val="14"/>
        </w:rPr>
        <w:t> </w:t>
      </w:r>
      <w:r>
        <w:rPr>
          <w:rFonts w:ascii="Arial" w:hAnsi="Arial"/>
          <w:color w:val="231F20"/>
          <w:sz w:val="14"/>
        </w:rPr>
        <w:t>homme,</w:t>
      </w:r>
      <w:r>
        <w:rPr>
          <w:rFonts w:ascii="Arial" w:hAnsi="Arial"/>
          <w:color w:val="231F20"/>
          <w:spacing w:val="-3"/>
          <w:sz w:val="14"/>
        </w:rPr>
        <w:t> </w:t>
      </w:r>
      <w:r>
        <w:rPr>
          <w:rFonts w:ascii="Arial" w:hAnsi="Arial"/>
          <w:color w:val="231F20"/>
          <w:sz w:val="14"/>
        </w:rPr>
        <w:t>et</w:t>
      </w:r>
      <w:r>
        <w:rPr>
          <w:rFonts w:ascii="Arial" w:hAnsi="Arial"/>
          <w:color w:val="231F20"/>
          <w:spacing w:val="-4"/>
          <w:sz w:val="14"/>
        </w:rPr>
        <w:t> </w:t>
      </w:r>
      <w:r>
        <w:rPr>
          <w:rFonts w:ascii="Arial" w:hAnsi="Arial"/>
          <w:color w:val="231F20"/>
          <w:sz w:val="14"/>
        </w:rPr>
        <w:t>j’ai</w:t>
      </w:r>
      <w:r>
        <w:rPr>
          <w:rFonts w:ascii="Arial" w:hAnsi="Arial"/>
          <w:color w:val="231F20"/>
          <w:spacing w:val="-3"/>
          <w:sz w:val="14"/>
        </w:rPr>
        <w:t> </w:t>
      </w:r>
      <w:r>
        <w:rPr>
          <w:rFonts w:ascii="Arial" w:hAnsi="Arial"/>
          <w:color w:val="231F20"/>
          <w:sz w:val="14"/>
        </w:rPr>
        <w:t>connu</w:t>
      </w:r>
      <w:r>
        <w:rPr>
          <w:rFonts w:ascii="Arial" w:hAnsi="Arial"/>
          <w:color w:val="231F20"/>
          <w:spacing w:val="-3"/>
          <w:sz w:val="14"/>
        </w:rPr>
        <w:t> </w:t>
      </w:r>
      <w:r>
        <w:rPr>
          <w:rFonts w:ascii="Arial" w:hAnsi="Arial"/>
          <w:color w:val="231F20"/>
          <w:spacing w:val="-2"/>
          <w:sz w:val="14"/>
        </w:rPr>
        <w:t>beaucoup</w:t>
      </w:r>
    </w:p>
    <w:p>
      <w:pPr>
        <w:spacing w:line="552" w:lineRule="auto" w:before="49"/>
        <w:ind w:left="1220" w:right="2332" w:firstLine="0"/>
        <w:jc w:val="left"/>
        <w:rPr>
          <w:rFonts w:ascii="Arial" w:hAnsi="Arial"/>
          <w:sz w:val="14"/>
        </w:rPr>
      </w:pPr>
      <w:r>
        <w:rPr>
          <w:rFonts w:ascii="Arial" w:hAnsi="Arial"/>
          <w:color w:val="231F20"/>
          <w:sz w:val="14"/>
        </w:rPr>
        <w:t>de</w:t>
      </w:r>
      <w:r>
        <w:rPr>
          <w:rFonts w:ascii="Arial" w:hAnsi="Arial"/>
          <w:color w:val="231F20"/>
          <w:spacing w:val="-2"/>
          <w:sz w:val="14"/>
        </w:rPr>
        <w:t> </w:t>
      </w:r>
      <w:r>
        <w:rPr>
          <w:rFonts w:ascii="Arial" w:hAnsi="Arial"/>
          <w:color w:val="231F20"/>
          <w:sz w:val="14"/>
        </w:rPr>
        <w:t>problèmes,</w:t>
      </w:r>
      <w:r>
        <w:rPr>
          <w:rFonts w:ascii="Arial" w:hAnsi="Arial"/>
          <w:color w:val="231F20"/>
          <w:spacing w:val="-2"/>
          <w:sz w:val="14"/>
        </w:rPr>
        <w:t> </w:t>
      </w:r>
      <w:r>
        <w:rPr>
          <w:rFonts w:ascii="Arial" w:hAnsi="Arial"/>
          <w:color w:val="231F20"/>
          <w:sz w:val="14"/>
        </w:rPr>
        <w:t>dont</w:t>
      </w:r>
      <w:r>
        <w:rPr>
          <w:rFonts w:ascii="Arial" w:hAnsi="Arial"/>
          <w:color w:val="231F20"/>
          <w:spacing w:val="-2"/>
          <w:sz w:val="14"/>
        </w:rPr>
        <w:t> </w:t>
      </w:r>
      <w:r>
        <w:rPr>
          <w:rFonts w:ascii="Arial" w:hAnsi="Arial"/>
          <w:color w:val="231F20"/>
          <w:sz w:val="14"/>
        </w:rPr>
        <w:t>la</w:t>
      </w:r>
      <w:r>
        <w:rPr>
          <w:rFonts w:ascii="Arial" w:hAnsi="Arial"/>
          <w:color w:val="231F20"/>
          <w:spacing w:val="-2"/>
          <w:sz w:val="14"/>
        </w:rPr>
        <w:t> </w:t>
      </w:r>
      <w:r>
        <w:rPr>
          <w:rFonts w:ascii="Arial" w:hAnsi="Arial"/>
          <w:color w:val="231F20"/>
          <w:sz w:val="14"/>
        </w:rPr>
        <w:t>plupart</w:t>
      </w:r>
      <w:r>
        <w:rPr>
          <w:rFonts w:ascii="Arial" w:hAnsi="Arial"/>
          <w:color w:val="231F20"/>
          <w:spacing w:val="-2"/>
          <w:sz w:val="14"/>
        </w:rPr>
        <w:t> </w:t>
      </w:r>
      <w:r>
        <w:rPr>
          <w:rFonts w:ascii="Arial" w:hAnsi="Arial"/>
          <w:color w:val="231F20"/>
          <w:sz w:val="14"/>
        </w:rPr>
        <w:t>ne</w:t>
      </w:r>
      <w:r>
        <w:rPr>
          <w:rFonts w:ascii="Arial" w:hAnsi="Arial"/>
          <w:color w:val="231F20"/>
          <w:spacing w:val="-2"/>
          <w:sz w:val="14"/>
        </w:rPr>
        <w:t> </w:t>
      </w:r>
      <w:r>
        <w:rPr>
          <w:rFonts w:ascii="Arial" w:hAnsi="Arial"/>
          <w:color w:val="231F20"/>
          <w:sz w:val="14"/>
        </w:rPr>
        <w:t>sont</w:t>
      </w:r>
      <w:r>
        <w:rPr>
          <w:rFonts w:ascii="Arial" w:hAnsi="Arial"/>
          <w:color w:val="231F20"/>
          <w:spacing w:val="-2"/>
          <w:sz w:val="14"/>
        </w:rPr>
        <w:t> </w:t>
      </w:r>
      <w:r>
        <w:rPr>
          <w:rFonts w:ascii="Arial" w:hAnsi="Arial"/>
          <w:color w:val="231F20"/>
          <w:sz w:val="14"/>
        </w:rPr>
        <w:t>jamais</w:t>
      </w:r>
      <w:r>
        <w:rPr>
          <w:rFonts w:ascii="Arial" w:hAnsi="Arial"/>
          <w:color w:val="231F20"/>
          <w:spacing w:val="-2"/>
          <w:sz w:val="14"/>
        </w:rPr>
        <w:t> </w:t>
      </w:r>
      <w:r>
        <w:rPr>
          <w:rFonts w:ascii="Arial" w:hAnsi="Arial"/>
          <w:color w:val="231F20"/>
          <w:sz w:val="14"/>
        </w:rPr>
        <w:t>arrivés.</w:t>
      </w:r>
      <w:r>
        <w:rPr>
          <w:rFonts w:ascii="Arial" w:hAnsi="Arial"/>
          <w:color w:val="231F20"/>
          <w:spacing w:val="40"/>
          <w:sz w:val="14"/>
        </w:rPr>
        <w:t> </w:t>
      </w:r>
      <w:r>
        <w:rPr>
          <w:rFonts w:ascii="Arial" w:hAnsi="Arial"/>
          <w:color w:val="231F20"/>
          <w:sz w:val="14"/>
        </w:rPr>
        <w:t>Mark</w:t>
      </w:r>
      <w:r>
        <w:rPr>
          <w:rFonts w:ascii="Arial" w:hAnsi="Arial"/>
          <w:color w:val="231F20"/>
          <w:spacing w:val="-10"/>
          <w:sz w:val="14"/>
        </w:rPr>
        <w:t> </w:t>
      </w:r>
      <w:r>
        <w:rPr>
          <w:rFonts w:ascii="Arial" w:hAnsi="Arial"/>
          <w:color w:val="231F20"/>
          <w:sz w:val="14"/>
        </w:rPr>
        <w:t>TWAIN</w:t>
      </w:r>
    </w:p>
    <w:p>
      <w:pPr>
        <w:pStyle w:val="BodyText"/>
        <w:spacing w:before="4"/>
        <w:rPr>
          <w:rFonts w:ascii="Arial"/>
          <w:sz w:val="20"/>
        </w:rPr>
      </w:pPr>
      <w:r>
        <w:rPr/>
        <w:pict>
          <v:shape style="position:absolute;margin-left:82pt;margin-top:12.917114pt;width:87.5pt;height:.1pt;mso-position-horizontal-relative:page;mso-position-vertical-relative:paragraph;z-index:-15683584;mso-wrap-distance-left:0;mso-wrap-distance-right:0" id="docshape625" coordorigin="1640,258" coordsize="1750,0" path="m1640,258l3390,258e" filled="false" stroked="true" strokeweight=".25pt" strokecolor="#231f20">
            <v:path arrowok="t"/>
            <v:stroke dashstyle="solid"/>
            <w10:wrap type="topAndBottom"/>
          </v:shape>
        </w:pict>
      </w:r>
    </w:p>
    <w:p>
      <w:pPr>
        <w:pStyle w:val="BodyText"/>
        <w:spacing w:before="4"/>
        <w:rPr>
          <w:rFonts w:ascii="Arial"/>
          <w:sz w:val="26"/>
        </w:rPr>
      </w:pPr>
    </w:p>
    <w:p>
      <w:pPr>
        <w:pStyle w:val="Heading2"/>
        <w:numPr>
          <w:ilvl w:val="1"/>
          <w:numId w:val="40"/>
        </w:numPr>
        <w:tabs>
          <w:tab w:pos="911" w:val="left" w:leader="none"/>
          <w:tab w:pos="1219" w:val="left" w:leader="none"/>
        </w:tabs>
        <w:spacing w:line="240" w:lineRule="auto" w:before="0" w:after="0"/>
        <w:ind w:left="910" w:right="0" w:hanging="278"/>
        <w:jc w:val="left"/>
      </w:pPr>
      <w:r>
        <w:rPr>
          <w:b w:val="0"/>
          <w:i/>
          <w:color w:val="231F20"/>
          <w:spacing w:val="-10"/>
        </w:rPr>
        <w:t>/</w:t>
      </w:r>
      <w:r>
        <w:rPr>
          <w:b w:val="0"/>
          <w:i/>
          <w:color w:val="231F20"/>
        </w:rPr>
        <w:tab/>
      </w:r>
      <w:r>
        <w:rPr>
          <w:color w:val="231F20"/>
          <w:w w:val="95"/>
        </w:rPr>
        <w:t>Une</w:t>
      </w:r>
      <w:r>
        <w:rPr>
          <w:color w:val="231F20"/>
          <w:spacing w:val="-1"/>
          <w:w w:val="95"/>
        </w:rPr>
        <w:t> </w:t>
      </w:r>
      <w:r>
        <w:rPr>
          <w:color w:val="231F20"/>
          <w:w w:val="95"/>
        </w:rPr>
        <w:t>question</w:t>
      </w:r>
      <w:r>
        <w:rPr>
          <w:color w:val="231F20"/>
          <w:spacing w:val="-1"/>
          <w:w w:val="95"/>
        </w:rPr>
        <w:t> </w:t>
      </w:r>
      <w:r>
        <w:rPr>
          <w:color w:val="231F20"/>
          <w:w w:val="95"/>
        </w:rPr>
        <w:t>d’adaptation</w:t>
      </w:r>
      <w:r>
        <w:rPr>
          <w:color w:val="231F20"/>
          <w:spacing w:val="-1"/>
          <w:w w:val="95"/>
        </w:rPr>
        <w:t> </w:t>
      </w:r>
      <w:r>
        <w:rPr>
          <w:color w:val="231F20"/>
          <w:w w:val="95"/>
        </w:rPr>
        <w:t>à</w:t>
      </w:r>
      <w:r>
        <w:rPr>
          <w:color w:val="231F20"/>
          <w:spacing w:val="-1"/>
          <w:w w:val="95"/>
        </w:rPr>
        <w:t> </w:t>
      </w:r>
      <w:r>
        <w:rPr>
          <w:color w:val="231F20"/>
          <w:spacing w:val="-2"/>
          <w:w w:val="95"/>
        </w:rPr>
        <w:t>l’environnement</w:t>
      </w:r>
    </w:p>
    <w:p>
      <w:pPr>
        <w:pStyle w:val="BodyText"/>
        <w:spacing w:before="9"/>
        <w:rPr>
          <w:rFonts w:ascii="Arial"/>
          <w:b/>
          <w:sz w:val="25"/>
        </w:rPr>
      </w:pPr>
    </w:p>
    <w:p>
      <w:pPr>
        <w:pStyle w:val="BodyText"/>
        <w:spacing w:line="307" w:lineRule="auto"/>
        <w:ind w:left="1220" w:right="100"/>
        <w:jc w:val="both"/>
      </w:pPr>
      <w:r>
        <w:rPr>
          <w:color w:val="231F20"/>
          <w:w w:val="120"/>
        </w:rPr>
        <w:t>Le stress est un élément normal de notre vie quotidienne. Bien que ce ne</w:t>
      </w:r>
      <w:r>
        <w:rPr>
          <w:color w:val="231F20"/>
          <w:spacing w:val="-1"/>
          <w:w w:val="120"/>
        </w:rPr>
        <w:t> </w:t>
      </w:r>
      <w:r>
        <w:rPr>
          <w:color w:val="231F20"/>
          <w:w w:val="120"/>
        </w:rPr>
        <w:t>soit</w:t>
      </w:r>
      <w:r>
        <w:rPr>
          <w:color w:val="231F20"/>
          <w:spacing w:val="-1"/>
          <w:w w:val="120"/>
        </w:rPr>
        <w:t> </w:t>
      </w:r>
      <w:r>
        <w:rPr>
          <w:color w:val="231F20"/>
          <w:w w:val="120"/>
        </w:rPr>
        <w:t>pas</w:t>
      </w:r>
      <w:r>
        <w:rPr>
          <w:color w:val="231F20"/>
          <w:spacing w:val="-1"/>
          <w:w w:val="120"/>
        </w:rPr>
        <w:t> </w:t>
      </w:r>
      <w:r>
        <w:rPr>
          <w:color w:val="231F20"/>
          <w:w w:val="120"/>
        </w:rPr>
        <w:t>toujours</w:t>
      </w:r>
      <w:r>
        <w:rPr>
          <w:color w:val="231F20"/>
          <w:spacing w:val="-1"/>
          <w:w w:val="120"/>
        </w:rPr>
        <w:t> </w:t>
      </w:r>
      <w:r>
        <w:rPr>
          <w:color w:val="231F20"/>
          <w:w w:val="120"/>
        </w:rPr>
        <w:t>le</w:t>
      </w:r>
      <w:r>
        <w:rPr>
          <w:color w:val="231F20"/>
          <w:spacing w:val="-1"/>
          <w:w w:val="120"/>
        </w:rPr>
        <w:t> </w:t>
      </w:r>
      <w:r>
        <w:rPr>
          <w:color w:val="231F20"/>
          <w:w w:val="120"/>
        </w:rPr>
        <w:t>cas,</w:t>
      </w:r>
      <w:r>
        <w:rPr>
          <w:color w:val="231F20"/>
          <w:spacing w:val="-1"/>
          <w:w w:val="120"/>
        </w:rPr>
        <w:t> </w:t>
      </w:r>
      <w:r>
        <w:rPr>
          <w:color w:val="231F20"/>
          <w:w w:val="120"/>
        </w:rPr>
        <w:t>il</w:t>
      </w:r>
      <w:r>
        <w:rPr>
          <w:color w:val="231F20"/>
          <w:spacing w:val="-1"/>
          <w:w w:val="120"/>
        </w:rPr>
        <w:t> </w:t>
      </w:r>
      <w:r>
        <w:rPr>
          <w:color w:val="231F20"/>
          <w:w w:val="120"/>
        </w:rPr>
        <w:t>est</w:t>
      </w:r>
      <w:r>
        <w:rPr>
          <w:color w:val="231F20"/>
          <w:spacing w:val="-1"/>
          <w:w w:val="120"/>
        </w:rPr>
        <w:t> </w:t>
      </w:r>
      <w:r>
        <w:rPr>
          <w:color w:val="231F20"/>
          <w:w w:val="120"/>
        </w:rPr>
        <w:t>généralement</w:t>
      </w:r>
      <w:r>
        <w:rPr>
          <w:color w:val="231F20"/>
          <w:spacing w:val="-1"/>
          <w:w w:val="120"/>
        </w:rPr>
        <w:t> </w:t>
      </w:r>
      <w:r>
        <w:rPr>
          <w:color w:val="231F20"/>
          <w:w w:val="120"/>
        </w:rPr>
        <w:t>associé</w:t>
      </w:r>
      <w:r>
        <w:rPr>
          <w:color w:val="231F20"/>
          <w:spacing w:val="-1"/>
          <w:w w:val="120"/>
        </w:rPr>
        <w:t> </w:t>
      </w:r>
      <w:r>
        <w:rPr>
          <w:color w:val="231F20"/>
          <w:w w:val="120"/>
        </w:rPr>
        <w:t>à</w:t>
      </w:r>
      <w:r>
        <w:rPr>
          <w:color w:val="231F20"/>
          <w:spacing w:val="-1"/>
          <w:w w:val="120"/>
        </w:rPr>
        <w:t> </w:t>
      </w:r>
      <w:r>
        <w:rPr>
          <w:color w:val="231F20"/>
          <w:w w:val="120"/>
        </w:rPr>
        <w:t>un</w:t>
      </w:r>
      <w:r>
        <w:rPr>
          <w:color w:val="231F20"/>
          <w:spacing w:val="-1"/>
          <w:w w:val="120"/>
        </w:rPr>
        <w:t> </w:t>
      </w:r>
      <w:r>
        <w:rPr>
          <w:color w:val="231F20"/>
          <w:w w:val="120"/>
        </w:rPr>
        <w:t>état</w:t>
      </w:r>
      <w:r>
        <w:rPr>
          <w:color w:val="231F20"/>
          <w:spacing w:val="-1"/>
          <w:w w:val="120"/>
        </w:rPr>
        <w:t> </w:t>
      </w:r>
      <w:r>
        <w:rPr>
          <w:color w:val="231F20"/>
          <w:w w:val="120"/>
        </w:rPr>
        <w:t>négatif </w:t>
      </w:r>
      <w:r>
        <w:rPr>
          <w:color w:val="231F20"/>
          <w:w w:val="115"/>
        </w:rPr>
        <w:t>ou</w:t>
      </w:r>
      <w:r>
        <w:rPr>
          <w:color w:val="231F20"/>
          <w:spacing w:val="-2"/>
          <w:w w:val="115"/>
        </w:rPr>
        <w:t> </w:t>
      </w:r>
      <w:r>
        <w:rPr>
          <w:color w:val="231F20"/>
          <w:w w:val="115"/>
        </w:rPr>
        <w:t>à</w:t>
      </w:r>
      <w:r>
        <w:rPr>
          <w:color w:val="231F20"/>
          <w:spacing w:val="-2"/>
          <w:w w:val="115"/>
        </w:rPr>
        <w:t> </w:t>
      </w:r>
      <w:r>
        <w:rPr>
          <w:color w:val="231F20"/>
          <w:w w:val="115"/>
        </w:rPr>
        <w:t>une</w:t>
      </w:r>
      <w:r>
        <w:rPr>
          <w:color w:val="231F20"/>
          <w:spacing w:val="-2"/>
          <w:w w:val="115"/>
        </w:rPr>
        <w:t> </w:t>
      </w:r>
      <w:r>
        <w:rPr>
          <w:color w:val="231F20"/>
          <w:w w:val="115"/>
        </w:rPr>
        <w:t>expérience</w:t>
      </w:r>
      <w:r>
        <w:rPr>
          <w:color w:val="231F20"/>
          <w:spacing w:val="-2"/>
          <w:w w:val="115"/>
        </w:rPr>
        <w:t> </w:t>
      </w:r>
      <w:r>
        <w:rPr>
          <w:color w:val="231F20"/>
          <w:w w:val="115"/>
        </w:rPr>
        <w:t>préjudiciable</w:t>
      </w:r>
      <w:r>
        <w:rPr>
          <w:color w:val="231F20"/>
          <w:spacing w:val="-2"/>
          <w:w w:val="115"/>
        </w:rPr>
        <w:t> </w:t>
      </w:r>
      <w:r>
        <w:rPr>
          <w:color w:val="231F20"/>
          <w:w w:val="115"/>
        </w:rPr>
        <w:t>qu’il</w:t>
      </w:r>
      <w:r>
        <w:rPr>
          <w:color w:val="231F20"/>
          <w:spacing w:val="-2"/>
          <w:w w:val="115"/>
        </w:rPr>
        <w:t> </w:t>
      </w:r>
      <w:r>
        <w:rPr>
          <w:color w:val="231F20"/>
          <w:w w:val="115"/>
        </w:rPr>
        <w:t>faut</w:t>
      </w:r>
      <w:r>
        <w:rPr>
          <w:color w:val="231F20"/>
          <w:spacing w:val="-2"/>
          <w:w w:val="115"/>
        </w:rPr>
        <w:t> </w:t>
      </w:r>
      <w:r>
        <w:rPr>
          <w:color w:val="231F20"/>
          <w:w w:val="115"/>
        </w:rPr>
        <w:t>éliminer</w:t>
      </w:r>
      <w:r>
        <w:rPr>
          <w:color w:val="231F20"/>
          <w:spacing w:val="-2"/>
          <w:w w:val="115"/>
        </w:rPr>
        <w:t> </w:t>
      </w:r>
      <w:r>
        <w:rPr>
          <w:color w:val="231F20"/>
          <w:w w:val="115"/>
        </w:rPr>
        <w:t>à</w:t>
      </w:r>
      <w:r>
        <w:rPr>
          <w:color w:val="231F20"/>
          <w:spacing w:val="-2"/>
          <w:w w:val="115"/>
        </w:rPr>
        <w:t> </w:t>
      </w:r>
      <w:r>
        <w:rPr>
          <w:color w:val="231F20"/>
          <w:w w:val="115"/>
        </w:rPr>
        <w:t>tout</w:t>
      </w:r>
      <w:r>
        <w:rPr>
          <w:color w:val="231F20"/>
          <w:spacing w:val="-2"/>
          <w:w w:val="115"/>
        </w:rPr>
        <w:t> </w:t>
      </w:r>
      <w:r>
        <w:rPr>
          <w:color w:val="231F20"/>
          <w:w w:val="115"/>
        </w:rPr>
        <w:t>prix.</w:t>
      </w:r>
      <w:r>
        <w:rPr>
          <w:color w:val="231F20"/>
          <w:spacing w:val="-2"/>
          <w:w w:val="115"/>
        </w:rPr>
        <w:t> </w:t>
      </w:r>
      <w:r>
        <w:rPr>
          <w:color w:val="231F20"/>
          <w:w w:val="115"/>
        </w:rPr>
        <w:t>Le</w:t>
      </w:r>
      <w:r>
        <w:rPr>
          <w:color w:val="231F20"/>
          <w:spacing w:val="-2"/>
          <w:w w:val="115"/>
        </w:rPr>
        <w:t> </w:t>
      </w:r>
      <w:r>
        <w:rPr>
          <w:color w:val="231F20"/>
          <w:w w:val="115"/>
        </w:rPr>
        <w:t>stress </w:t>
      </w:r>
      <w:r>
        <w:rPr>
          <w:color w:val="231F20"/>
          <w:spacing w:val="-2"/>
          <w:w w:val="120"/>
        </w:rPr>
        <w:t>devient</w:t>
      </w:r>
      <w:r>
        <w:rPr>
          <w:color w:val="231F20"/>
          <w:spacing w:val="-4"/>
          <w:w w:val="120"/>
        </w:rPr>
        <w:t> </w:t>
      </w:r>
      <w:r>
        <w:rPr>
          <w:color w:val="231F20"/>
          <w:spacing w:val="-2"/>
          <w:w w:val="120"/>
        </w:rPr>
        <w:t>dommageable</w:t>
      </w:r>
      <w:r>
        <w:rPr>
          <w:color w:val="231F20"/>
          <w:spacing w:val="-4"/>
          <w:w w:val="120"/>
        </w:rPr>
        <w:t> </w:t>
      </w:r>
      <w:r>
        <w:rPr>
          <w:color w:val="231F20"/>
          <w:spacing w:val="-2"/>
          <w:w w:val="120"/>
        </w:rPr>
        <w:t>lorsque</w:t>
      </w:r>
      <w:r>
        <w:rPr>
          <w:color w:val="231F20"/>
          <w:spacing w:val="-4"/>
          <w:w w:val="120"/>
        </w:rPr>
        <w:t> </w:t>
      </w:r>
      <w:r>
        <w:rPr>
          <w:color w:val="231F20"/>
          <w:spacing w:val="-2"/>
          <w:w w:val="120"/>
        </w:rPr>
        <w:t>cette</w:t>
      </w:r>
      <w:r>
        <w:rPr>
          <w:color w:val="231F20"/>
          <w:spacing w:val="-4"/>
          <w:w w:val="120"/>
        </w:rPr>
        <w:t> </w:t>
      </w:r>
      <w:r>
        <w:rPr>
          <w:color w:val="231F20"/>
          <w:spacing w:val="-2"/>
          <w:w w:val="120"/>
        </w:rPr>
        <w:t>expérience</w:t>
      </w:r>
      <w:r>
        <w:rPr>
          <w:color w:val="231F20"/>
          <w:spacing w:val="-4"/>
          <w:w w:val="120"/>
        </w:rPr>
        <w:t> </w:t>
      </w:r>
      <w:r>
        <w:rPr>
          <w:color w:val="231F20"/>
          <w:spacing w:val="-2"/>
          <w:w w:val="120"/>
        </w:rPr>
        <w:t>devient</w:t>
      </w:r>
      <w:r>
        <w:rPr>
          <w:color w:val="231F20"/>
          <w:spacing w:val="-4"/>
          <w:w w:val="120"/>
        </w:rPr>
        <w:t> </w:t>
      </w:r>
      <w:r>
        <w:rPr>
          <w:color w:val="231F20"/>
          <w:spacing w:val="-2"/>
          <w:w w:val="120"/>
        </w:rPr>
        <w:t>exagérée,</w:t>
      </w:r>
      <w:r>
        <w:rPr>
          <w:color w:val="231F20"/>
          <w:spacing w:val="-4"/>
          <w:w w:val="120"/>
        </w:rPr>
        <w:t> </w:t>
      </w:r>
      <w:r>
        <w:rPr>
          <w:color w:val="231F20"/>
          <w:spacing w:val="-2"/>
          <w:w w:val="120"/>
        </w:rPr>
        <w:t>incon- </w:t>
      </w:r>
      <w:r>
        <w:rPr>
          <w:color w:val="231F20"/>
          <w:w w:val="120"/>
        </w:rPr>
        <w:t>trôlée ou incontrôlable. En milieu de travail, la surcharge comme le manque de travail inhibent le travailleur, ce qui entraîne des consé- quences sur son état physique et psychologique. Le stress lié au tra- vail peut prendre des formes variées, selon le type d’emploi et les caractéristiques</w:t>
      </w:r>
      <w:r>
        <w:rPr>
          <w:color w:val="231F20"/>
          <w:spacing w:val="-13"/>
          <w:w w:val="120"/>
        </w:rPr>
        <w:t> </w:t>
      </w:r>
      <w:r>
        <w:rPr>
          <w:color w:val="231F20"/>
          <w:w w:val="120"/>
        </w:rPr>
        <w:t>organisationnelles.</w:t>
      </w:r>
    </w:p>
    <w:p>
      <w:pPr>
        <w:pStyle w:val="BodyText"/>
        <w:spacing w:line="307" w:lineRule="auto" w:before="79"/>
        <w:ind w:left="1220" w:right="103" w:firstLine="250"/>
        <w:jc w:val="both"/>
      </w:pPr>
      <w:r>
        <w:rPr>
          <w:color w:val="231F20"/>
          <w:w w:val="120"/>
        </w:rPr>
        <w:t>De</w:t>
      </w:r>
      <w:r>
        <w:rPr>
          <w:color w:val="231F20"/>
          <w:spacing w:val="-11"/>
          <w:w w:val="120"/>
        </w:rPr>
        <w:t> </w:t>
      </w:r>
      <w:r>
        <w:rPr>
          <w:color w:val="231F20"/>
          <w:w w:val="120"/>
        </w:rPr>
        <w:t>ce</w:t>
      </w:r>
      <w:r>
        <w:rPr>
          <w:color w:val="231F20"/>
          <w:spacing w:val="-11"/>
          <w:w w:val="120"/>
        </w:rPr>
        <w:t> </w:t>
      </w:r>
      <w:r>
        <w:rPr>
          <w:color w:val="231F20"/>
          <w:w w:val="120"/>
        </w:rPr>
        <w:t>point</w:t>
      </w:r>
      <w:r>
        <w:rPr>
          <w:color w:val="231F20"/>
          <w:spacing w:val="-11"/>
          <w:w w:val="120"/>
        </w:rPr>
        <w:t> </w:t>
      </w:r>
      <w:r>
        <w:rPr>
          <w:color w:val="231F20"/>
          <w:w w:val="120"/>
        </w:rPr>
        <w:t>de</w:t>
      </w:r>
      <w:r>
        <w:rPr>
          <w:color w:val="231F20"/>
          <w:spacing w:val="-11"/>
          <w:w w:val="120"/>
        </w:rPr>
        <w:t> </w:t>
      </w:r>
      <w:r>
        <w:rPr>
          <w:color w:val="231F20"/>
          <w:w w:val="120"/>
        </w:rPr>
        <w:t>vue</w:t>
      </w:r>
      <w:r>
        <w:rPr>
          <w:color w:val="231F20"/>
          <w:spacing w:val="-11"/>
          <w:w w:val="120"/>
        </w:rPr>
        <w:t> </w:t>
      </w:r>
      <w:r>
        <w:rPr>
          <w:color w:val="231F20"/>
          <w:w w:val="120"/>
        </w:rPr>
        <w:t>et</w:t>
      </w:r>
      <w:r>
        <w:rPr>
          <w:color w:val="231F20"/>
          <w:spacing w:val="-11"/>
          <w:w w:val="120"/>
        </w:rPr>
        <w:t> </w:t>
      </w:r>
      <w:r>
        <w:rPr>
          <w:color w:val="231F20"/>
          <w:w w:val="120"/>
        </w:rPr>
        <w:t>dans</w:t>
      </w:r>
      <w:r>
        <w:rPr>
          <w:color w:val="231F20"/>
          <w:spacing w:val="-11"/>
          <w:w w:val="120"/>
        </w:rPr>
        <w:t> </w:t>
      </w:r>
      <w:r>
        <w:rPr>
          <w:color w:val="231F20"/>
          <w:w w:val="120"/>
        </w:rPr>
        <w:t>une</w:t>
      </w:r>
      <w:r>
        <w:rPr>
          <w:color w:val="231F20"/>
          <w:spacing w:val="-11"/>
          <w:w w:val="120"/>
        </w:rPr>
        <w:t> </w:t>
      </w:r>
      <w:r>
        <w:rPr>
          <w:color w:val="231F20"/>
          <w:w w:val="120"/>
        </w:rPr>
        <w:t>perspective</w:t>
      </w:r>
      <w:r>
        <w:rPr>
          <w:color w:val="231F20"/>
          <w:spacing w:val="-11"/>
          <w:w w:val="120"/>
        </w:rPr>
        <w:t> </w:t>
      </w:r>
      <w:r>
        <w:rPr>
          <w:color w:val="231F20"/>
          <w:w w:val="120"/>
        </w:rPr>
        <w:t>générale,</w:t>
      </w:r>
      <w:r>
        <w:rPr>
          <w:color w:val="231F20"/>
          <w:spacing w:val="-11"/>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corres- pond</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effort</w:t>
      </w:r>
      <w:r>
        <w:rPr>
          <w:color w:val="231F20"/>
          <w:spacing w:val="-7"/>
          <w:w w:val="120"/>
        </w:rPr>
        <w:t> </w:t>
      </w:r>
      <w:r>
        <w:rPr>
          <w:color w:val="231F20"/>
          <w:w w:val="120"/>
        </w:rPr>
        <w:t>d’adaptation.</w:t>
      </w:r>
      <w:r>
        <w:rPr>
          <w:color w:val="231F20"/>
          <w:spacing w:val="-7"/>
          <w:w w:val="120"/>
        </w:rPr>
        <w:t> </w:t>
      </w:r>
      <w:r>
        <w:rPr>
          <w:color w:val="231F20"/>
          <w:w w:val="120"/>
        </w:rPr>
        <w:t>Face</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surcroît</w:t>
      </w:r>
      <w:r>
        <w:rPr>
          <w:color w:val="231F20"/>
          <w:spacing w:val="-7"/>
          <w:w w:val="120"/>
        </w:rPr>
        <w:t> </w:t>
      </w:r>
      <w:r>
        <w:rPr>
          <w:color w:val="231F20"/>
          <w:w w:val="120"/>
        </w:rPr>
        <w:t>d’exigences</w:t>
      </w:r>
      <w:r>
        <w:rPr>
          <w:color w:val="231F20"/>
          <w:spacing w:val="-7"/>
          <w:w w:val="120"/>
        </w:rPr>
        <w:t> </w:t>
      </w:r>
      <w:r>
        <w:rPr>
          <w:color w:val="231F20"/>
          <w:w w:val="120"/>
        </w:rPr>
        <w:t>du</w:t>
      </w:r>
      <w:r>
        <w:rPr>
          <w:color w:val="231F20"/>
          <w:spacing w:val="-7"/>
          <w:w w:val="120"/>
        </w:rPr>
        <w:t> </w:t>
      </w:r>
      <w:r>
        <w:rPr>
          <w:color w:val="231F20"/>
          <w:w w:val="120"/>
        </w:rPr>
        <w:t>milieu </w:t>
      </w:r>
      <w:r>
        <w:rPr>
          <w:color w:val="231F20"/>
          <w:spacing w:val="-2"/>
          <w:w w:val="120"/>
        </w:rPr>
        <w:t>(surstimulation),</w:t>
      </w:r>
      <w:r>
        <w:rPr>
          <w:color w:val="231F20"/>
          <w:spacing w:val="-11"/>
          <w:w w:val="120"/>
        </w:rPr>
        <w:t> </w:t>
      </w:r>
      <w:r>
        <w:rPr>
          <w:color w:val="231F20"/>
          <w:spacing w:val="-2"/>
          <w:w w:val="120"/>
        </w:rPr>
        <w:t>l’individu</w:t>
      </w:r>
      <w:r>
        <w:rPr>
          <w:color w:val="231F20"/>
          <w:spacing w:val="-11"/>
          <w:w w:val="120"/>
        </w:rPr>
        <w:t> </w:t>
      </w:r>
      <w:r>
        <w:rPr>
          <w:color w:val="231F20"/>
          <w:spacing w:val="-2"/>
          <w:w w:val="120"/>
        </w:rPr>
        <w:t>peut</w:t>
      </w:r>
      <w:r>
        <w:rPr>
          <w:color w:val="231F20"/>
          <w:spacing w:val="-11"/>
          <w:w w:val="120"/>
        </w:rPr>
        <w:t> </w:t>
      </w:r>
      <w:r>
        <w:rPr>
          <w:color w:val="231F20"/>
          <w:spacing w:val="-2"/>
          <w:w w:val="120"/>
        </w:rPr>
        <w:t>estimer</w:t>
      </w:r>
      <w:r>
        <w:rPr>
          <w:color w:val="231F20"/>
          <w:spacing w:val="-10"/>
          <w:w w:val="120"/>
        </w:rPr>
        <w:t> </w:t>
      </w:r>
      <w:r>
        <w:rPr>
          <w:color w:val="231F20"/>
          <w:spacing w:val="-2"/>
          <w:w w:val="120"/>
        </w:rPr>
        <w:t>que</w:t>
      </w:r>
      <w:r>
        <w:rPr>
          <w:color w:val="231F20"/>
          <w:spacing w:val="-11"/>
          <w:w w:val="120"/>
        </w:rPr>
        <w:t> </w:t>
      </w:r>
      <w:r>
        <w:rPr>
          <w:color w:val="231F20"/>
          <w:spacing w:val="-2"/>
          <w:w w:val="120"/>
        </w:rPr>
        <w:t>ses</w:t>
      </w:r>
      <w:r>
        <w:rPr>
          <w:color w:val="231F20"/>
          <w:spacing w:val="-11"/>
          <w:w w:val="120"/>
        </w:rPr>
        <w:t> </w:t>
      </w:r>
      <w:r>
        <w:rPr>
          <w:color w:val="231F20"/>
          <w:spacing w:val="-2"/>
          <w:w w:val="120"/>
        </w:rPr>
        <w:t>ressources,</w:t>
      </w:r>
      <w:r>
        <w:rPr>
          <w:color w:val="231F20"/>
          <w:spacing w:val="-11"/>
          <w:w w:val="120"/>
        </w:rPr>
        <w:t> </w:t>
      </w:r>
      <w:r>
        <w:rPr>
          <w:color w:val="231F20"/>
          <w:spacing w:val="-2"/>
          <w:w w:val="120"/>
        </w:rPr>
        <w:t>personnelles </w:t>
      </w:r>
      <w:r>
        <w:rPr>
          <w:color w:val="231F20"/>
          <w:w w:val="120"/>
        </w:rPr>
        <w:t>et</w:t>
      </w:r>
      <w:r>
        <w:rPr>
          <w:color w:val="231F20"/>
          <w:spacing w:val="-5"/>
          <w:w w:val="120"/>
        </w:rPr>
        <w:t> </w:t>
      </w:r>
      <w:r>
        <w:rPr>
          <w:color w:val="231F20"/>
          <w:w w:val="120"/>
        </w:rPr>
        <w:t>professionnelles,</w:t>
      </w:r>
      <w:r>
        <w:rPr>
          <w:color w:val="231F20"/>
          <w:spacing w:val="-5"/>
          <w:w w:val="120"/>
        </w:rPr>
        <w:t> </w:t>
      </w:r>
      <w:r>
        <w:rPr>
          <w:color w:val="231F20"/>
          <w:w w:val="120"/>
        </w:rPr>
        <w:t>sont</w:t>
      </w:r>
      <w:r>
        <w:rPr>
          <w:color w:val="231F20"/>
          <w:spacing w:val="-5"/>
          <w:w w:val="120"/>
        </w:rPr>
        <w:t> </w:t>
      </w:r>
      <w:r>
        <w:rPr>
          <w:color w:val="231F20"/>
          <w:w w:val="120"/>
        </w:rPr>
        <w:t>insuffisantes</w:t>
      </w:r>
      <w:r>
        <w:rPr>
          <w:color w:val="231F20"/>
          <w:spacing w:val="-5"/>
          <w:w w:val="120"/>
        </w:rPr>
        <w:t> </w:t>
      </w:r>
      <w:r>
        <w:rPr>
          <w:color w:val="231F20"/>
          <w:w w:val="120"/>
        </w:rPr>
        <w:t>afin</w:t>
      </w:r>
      <w:r>
        <w:rPr>
          <w:color w:val="231F20"/>
          <w:spacing w:val="-5"/>
          <w:w w:val="120"/>
        </w:rPr>
        <w:t> </w:t>
      </w:r>
      <w:r>
        <w:rPr>
          <w:color w:val="231F20"/>
          <w:w w:val="120"/>
        </w:rPr>
        <w:t>d’adéquatement</w:t>
      </w:r>
      <w:r>
        <w:rPr>
          <w:color w:val="231F20"/>
          <w:spacing w:val="-5"/>
          <w:w w:val="120"/>
        </w:rPr>
        <w:t> </w:t>
      </w:r>
      <w:r>
        <w:rPr>
          <w:color w:val="231F20"/>
          <w:w w:val="120"/>
        </w:rPr>
        <w:t>y</w:t>
      </w:r>
      <w:r>
        <w:rPr>
          <w:color w:val="231F20"/>
          <w:spacing w:val="-5"/>
          <w:w w:val="120"/>
        </w:rPr>
        <w:t> </w:t>
      </w:r>
      <w:r>
        <w:rPr>
          <w:color w:val="231F20"/>
          <w:w w:val="120"/>
        </w:rPr>
        <w:t>répondre. </w:t>
      </w:r>
      <w:r>
        <w:rPr>
          <w:color w:val="231F20"/>
          <w:spacing w:val="-4"/>
          <w:w w:val="120"/>
        </w:rPr>
        <w:t>C’est parfois aussi le manque de stimulation du milieu (sous-stimulation) </w:t>
      </w:r>
      <w:r>
        <w:rPr>
          <w:color w:val="231F20"/>
          <w:w w:val="120"/>
        </w:rPr>
        <w:t>qui engendre de l’ennui et une perte de sens chez l’individu. Dans les </w:t>
      </w:r>
      <w:r>
        <w:rPr>
          <w:color w:val="231F20"/>
          <w:spacing w:val="-2"/>
          <w:w w:val="120"/>
        </w:rPr>
        <w:t>deux</w:t>
      </w:r>
      <w:r>
        <w:rPr>
          <w:color w:val="231F20"/>
          <w:spacing w:val="-7"/>
          <w:w w:val="120"/>
        </w:rPr>
        <w:t> </w:t>
      </w:r>
      <w:r>
        <w:rPr>
          <w:color w:val="231F20"/>
          <w:spacing w:val="-2"/>
          <w:w w:val="120"/>
        </w:rPr>
        <w:t>cas,</w:t>
      </w:r>
      <w:r>
        <w:rPr>
          <w:color w:val="231F20"/>
          <w:spacing w:val="-7"/>
          <w:w w:val="120"/>
        </w:rPr>
        <w:t> </w:t>
      </w:r>
      <w:r>
        <w:rPr>
          <w:color w:val="231F20"/>
          <w:spacing w:val="-2"/>
          <w:w w:val="120"/>
        </w:rPr>
        <w:t>il</w:t>
      </w:r>
      <w:r>
        <w:rPr>
          <w:color w:val="231F20"/>
          <w:spacing w:val="-7"/>
          <w:w w:val="120"/>
        </w:rPr>
        <w:t> </w:t>
      </w:r>
      <w:r>
        <w:rPr>
          <w:color w:val="231F20"/>
          <w:spacing w:val="-2"/>
          <w:w w:val="120"/>
        </w:rPr>
        <w:t>y</w:t>
      </w:r>
      <w:r>
        <w:rPr>
          <w:color w:val="231F20"/>
          <w:spacing w:val="-7"/>
          <w:w w:val="120"/>
        </w:rPr>
        <w:t> </w:t>
      </w:r>
      <w:r>
        <w:rPr>
          <w:color w:val="231F20"/>
          <w:spacing w:val="-2"/>
          <w:w w:val="120"/>
        </w:rPr>
        <w:t>a</w:t>
      </w:r>
      <w:r>
        <w:rPr>
          <w:color w:val="231F20"/>
          <w:spacing w:val="-7"/>
          <w:w w:val="120"/>
        </w:rPr>
        <w:t> </w:t>
      </w:r>
      <w:r>
        <w:rPr>
          <w:color w:val="231F20"/>
          <w:spacing w:val="-2"/>
          <w:w w:val="120"/>
        </w:rPr>
        <w:t>une</w:t>
      </w:r>
      <w:r>
        <w:rPr>
          <w:color w:val="231F20"/>
          <w:spacing w:val="-7"/>
          <w:w w:val="120"/>
        </w:rPr>
        <w:t> </w:t>
      </w:r>
      <w:r>
        <w:rPr>
          <w:color w:val="231F20"/>
          <w:spacing w:val="-2"/>
          <w:w w:val="120"/>
        </w:rPr>
        <w:t>inhibition</w:t>
      </w:r>
      <w:r>
        <w:rPr>
          <w:color w:val="231F20"/>
          <w:spacing w:val="-7"/>
          <w:w w:val="120"/>
        </w:rPr>
        <w:t> </w:t>
      </w:r>
      <w:r>
        <w:rPr>
          <w:color w:val="231F20"/>
          <w:spacing w:val="-2"/>
          <w:w w:val="120"/>
        </w:rPr>
        <w:t>de</w:t>
      </w:r>
      <w:r>
        <w:rPr>
          <w:color w:val="231F20"/>
          <w:spacing w:val="-7"/>
          <w:w w:val="120"/>
        </w:rPr>
        <w:t> </w:t>
      </w:r>
      <w:r>
        <w:rPr>
          <w:color w:val="231F20"/>
          <w:spacing w:val="-2"/>
          <w:w w:val="120"/>
        </w:rPr>
        <w:t>l’action</w:t>
      </w:r>
      <w:r>
        <w:rPr>
          <w:color w:val="231F20"/>
          <w:spacing w:val="-7"/>
          <w:w w:val="120"/>
        </w:rPr>
        <w:t> </w:t>
      </w:r>
      <w:r>
        <w:rPr>
          <w:color w:val="231F20"/>
          <w:spacing w:val="-2"/>
          <w:w w:val="120"/>
        </w:rPr>
        <w:t>que</w:t>
      </w:r>
      <w:r>
        <w:rPr>
          <w:color w:val="231F20"/>
          <w:spacing w:val="-7"/>
          <w:w w:val="120"/>
        </w:rPr>
        <w:t> </w:t>
      </w:r>
      <w:r>
        <w:rPr>
          <w:color w:val="231F20"/>
          <w:spacing w:val="-2"/>
          <w:w w:val="120"/>
        </w:rPr>
        <w:t>la</w:t>
      </w:r>
      <w:r>
        <w:rPr>
          <w:color w:val="231F20"/>
          <w:spacing w:val="-7"/>
          <w:w w:val="120"/>
        </w:rPr>
        <w:t> </w:t>
      </w:r>
      <w:r>
        <w:rPr>
          <w:color w:val="231F20"/>
          <w:spacing w:val="-2"/>
          <w:w w:val="120"/>
        </w:rPr>
        <w:t>personne</w:t>
      </w:r>
      <w:r>
        <w:rPr>
          <w:color w:val="231F20"/>
          <w:spacing w:val="-7"/>
          <w:w w:val="120"/>
        </w:rPr>
        <w:t> </w:t>
      </w:r>
      <w:r>
        <w:rPr>
          <w:color w:val="231F20"/>
          <w:spacing w:val="-2"/>
          <w:w w:val="120"/>
        </w:rPr>
        <w:t>devrait</w:t>
      </w:r>
      <w:r>
        <w:rPr>
          <w:color w:val="231F20"/>
          <w:spacing w:val="-7"/>
          <w:w w:val="120"/>
        </w:rPr>
        <w:t> </w:t>
      </w:r>
      <w:r>
        <w:rPr>
          <w:color w:val="231F20"/>
          <w:spacing w:val="-2"/>
          <w:w w:val="120"/>
        </w:rPr>
        <w:t>accom- </w:t>
      </w:r>
      <w:r>
        <w:rPr>
          <w:color w:val="231F20"/>
          <w:w w:val="115"/>
        </w:rPr>
        <w:t>plir</w:t>
      </w:r>
      <w:r>
        <w:rPr>
          <w:color w:val="231F20"/>
          <w:spacing w:val="-13"/>
          <w:w w:val="115"/>
        </w:rPr>
        <w:t> </w:t>
      </w:r>
      <w:r>
        <w:rPr>
          <w:color w:val="231F20"/>
          <w:w w:val="115"/>
        </w:rPr>
        <w:t>pour</w:t>
      </w:r>
      <w:r>
        <w:rPr>
          <w:color w:val="231F20"/>
          <w:spacing w:val="-12"/>
          <w:w w:val="115"/>
        </w:rPr>
        <w:t> </w:t>
      </w:r>
      <w:r>
        <w:rPr>
          <w:color w:val="231F20"/>
          <w:w w:val="115"/>
        </w:rPr>
        <w:t>s’adapter</w:t>
      </w:r>
      <w:r>
        <w:rPr>
          <w:color w:val="231F20"/>
          <w:spacing w:val="-12"/>
          <w:w w:val="115"/>
        </w:rPr>
        <w:t> </w:t>
      </w:r>
      <w:r>
        <w:rPr>
          <w:color w:val="231F20"/>
          <w:w w:val="115"/>
        </w:rPr>
        <w:t>à</w:t>
      </w:r>
      <w:r>
        <w:rPr>
          <w:color w:val="231F20"/>
          <w:spacing w:val="-12"/>
          <w:w w:val="115"/>
        </w:rPr>
        <w:t> </w:t>
      </w:r>
      <w:r>
        <w:rPr>
          <w:color w:val="231F20"/>
          <w:w w:val="115"/>
        </w:rPr>
        <w:t>la</w:t>
      </w:r>
      <w:r>
        <w:rPr>
          <w:color w:val="231F20"/>
          <w:spacing w:val="-13"/>
          <w:w w:val="115"/>
        </w:rPr>
        <w:t> </w:t>
      </w:r>
      <w:r>
        <w:rPr>
          <w:color w:val="231F20"/>
          <w:w w:val="115"/>
        </w:rPr>
        <w:t>situation.</w:t>
      </w:r>
      <w:r>
        <w:rPr>
          <w:color w:val="231F20"/>
          <w:spacing w:val="-12"/>
          <w:w w:val="115"/>
        </w:rPr>
        <w:t> </w:t>
      </w:r>
      <w:r>
        <w:rPr>
          <w:color w:val="231F20"/>
          <w:w w:val="115"/>
        </w:rPr>
        <w:t>Il</w:t>
      </w:r>
      <w:r>
        <w:rPr>
          <w:color w:val="231F20"/>
          <w:spacing w:val="-12"/>
          <w:w w:val="115"/>
        </w:rPr>
        <w:t> </w:t>
      </w:r>
      <w:r>
        <w:rPr>
          <w:color w:val="231F20"/>
          <w:w w:val="115"/>
        </w:rPr>
        <w:t>est</w:t>
      </w:r>
      <w:r>
        <w:rPr>
          <w:color w:val="231F20"/>
          <w:spacing w:val="-12"/>
          <w:w w:val="115"/>
        </w:rPr>
        <w:t> </w:t>
      </w:r>
      <w:r>
        <w:rPr>
          <w:color w:val="231F20"/>
          <w:w w:val="115"/>
        </w:rPr>
        <w:t>ainsi</w:t>
      </w:r>
      <w:r>
        <w:rPr>
          <w:color w:val="231F20"/>
          <w:spacing w:val="-12"/>
          <w:w w:val="115"/>
        </w:rPr>
        <w:t> </w:t>
      </w:r>
      <w:r>
        <w:rPr>
          <w:color w:val="231F20"/>
          <w:w w:val="115"/>
        </w:rPr>
        <w:t>possible</w:t>
      </w:r>
      <w:r>
        <w:rPr>
          <w:color w:val="231F20"/>
          <w:spacing w:val="-13"/>
          <w:w w:val="115"/>
        </w:rPr>
        <w:t> </w:t>
      </w:r>
      <w:r>
        <w:rPr>
          <w:color w:val="231F20"/>
          <w:w w:val="115"/>
        </w:rPr>
        <w:t>d’entrevoir</w:t>
      </w:r>
      <w:r>
        <w:rPr>
          <w:color w:val="231F20"/>
          <w:spacing w:val="-12"/>
          <w:w w:val="115"/>
        </w:rPr>
        <w:t> </w:t>
      </w:r>
      <w:r>
        <w:rPr>
          <w:color w:val="231F20"/>
          <w:w w:val="115"/>
        </w:rPr>
        <w:t>l’à-propos </w:t>
      </w:r>
      <w:r>
        <w:rPr>
          <w:color w:val="231F20"/>
          <w:spacing w:val="-4"/>
          <w:w w:val="120"/>
        </w:rPr>
        <w:t>de</w:t>
      </w:r>
      <w:r>
        <w:rPr>
          <w:color w:val="231F20"/>
          <w:spacing w:val="-5"/>
          <w:w w:val="120"/>
        </w:rPr>
        <w:t> </w:t>
      </w:r>
      <w:r>
        <w:rPr>
          <w:color w:val="231F20"/>
          <w:spacing w:val="-4"/>
          <w:w w:val="120"/>
        </w:rPr>
        <w:t>la</w:t>
      </w:r>
      <w:r>
        <w:rPr>
          <w:color w:val="231F20"/>
          <w:spacing w:val="-5"/>
          <w:w w:val="120"/>
        </w:rPr>
        <w:t> </w:t>
      </w:r>
      <w:r>
        <w:rPr>
          <w:color w:val="231F20"/>
          <w:spacing w:val="-4"/>
          <w:w w:val="120"/>
        </w:rPr>
        <w:t>traditionnelle</w:t>
      </w:r>
      <w:r>
        <w:rPr>
          <w:color w:val="231F20"/>
          <w:spacing w:val="-5"/>
          <w:w w:val="120"/>
        </w:rPr>
        <w:t> </w:t>
      </w:r>
      <w:r>
        <w:rPr>
          <w:color w:val="231F20"/>
          <w:spacing w:val="-4"/>
          <w:w w:val="120"/>
        </w:rPr>
        <w:t>courbe</w:t>
      </w:r>
      <w:r>
        <w:rPr>
          <w:color w:val="231F20"/>
          <w:spacing w:val="-5"/>
          <w:w w:val="120"/>
        </w:rPr>
        <w:t> </w:t>
      </w:r>
      <w:r>
        <w:rPr>
          <w:color w:val="231F20"/>
          <w:spacing w:val="-4"/>
          <w:w w:val="120"/>
        </w:rPr>
        <w:t>de</w:t>
      </w:r>
      <w:r>
        <w:rPr>
          <w:color w:val="231F20"/>
          <w:spacing w:val="-5"/>
          <w:w w:val="120"/>
        </w:rPr>
        <w:t> </w:t>
      </w:r>
      <w:r>
        <w:rPr>
          <w:color w:val="231F20"/>
          <w:spacing w:val="-4"/>
          <w:w w:val="120"/>
        </w:rPr>
        <w:t>la</w:t>
      </w:r>
      <w:r>
        <w:rPr>
          <w:color w:val="231F20"/>
          <w:spacing w:val="-5"/>
          <w:w w:val="120"/>
        </w:rPr>
        <w:t> </w:t>
      </w:r>
      <w:r>
        <w:rPr>
          <w:color w:val="231F20"/>
          <w:spacing w:val="-4"/>
          <w:w w:val="120"/>
        </w:rPr>
        <w:t>relation</w:t>
      </w:r>
      <w:r>
        <w:rPr>
          <w:color w:val="231F20"/>
          <w:spacing w:val="-5"/>
          <w:w w:val="120"/>
        </w:rPr>
        <w:t> </w:t>
      </w:r>
      <w:r>
        <w:rPr>
          <w:color w:val="231F20"/>
          <w:spacing w:val="-4"/>
          <w:w w:val="120"/>
        </w:rPr>
        <w:t>entre</w:t>
      </w:r>
      <w:r>
        <w:rPr>
          <w:color w:val="231F20"/>
          <w:spacing w:val="-5"/>
          <w:w w:val="120"/>
        </w:rPr>
        <w:t> </w:t>
      </w:r>
      <w:r>
        <w:rPr>
          <w:color w:val="231F20"/>
          <w:spacing w:val="-4"/>
          <w:w w:val="120"/>
        </w:rPr>
        <w:t>le</w:t>
      </w:r>
      <w:r>
        <w:rPr>
          <w:color w:val="231F20"/>
          <w:spacing w:val="-5"/>
          <w:w w:val="120"/>
        </w:rPr>
        <w:t> </w:t>
      </w:r>
      <w:r>
        <w:rPr>
          <w:color w:val="231F20"/>
          <w:spacing w:val="-4"/>
          <w:w w:val="120"/>
        </w:rPr>
        <w:t>stress</w:t>
      </w:r>
      <w:r>
        <w:rPr>
          <w:color w:val="231F20"/>
          <w:spacing w:val="-5"/>
          <w:w w:val="120"/>
        </w:rPr>
        <w:t> </w:t>
      </w:r>
      <w:r>
        <w:rPr>
          <w:color w:val="231F20"/>
          <w:spacing w:val="-4"/>
          <w:w w:val="120"/>
        </w:rPr>
        <w:t>et</w:t>
      </w:r>
      <w:r>
        <w:rPr>
          <w:color w:val="231F20"/>
          <w:spacing w:val="-5"/>
          <w:w w:val="120"/>
        </w:rPr>
        <w:t> </w:t>
      </w:r>
      <w:r>
        <w:rPr>
          <w:color w:val="231F20"/>
          <w:spacing w:val="-4"/>
          <w:w w:val="120"/>
        </w:rPr>
        <w:t>le</w:t>
      </w:r>
      <w:r>
        <w:rPr>
          <w:color w:val="231F20"/>
          <w:spacing w:val="-5"/>
          <w:w w:val="120"/>
        </w:rPr>
        <w:t> </w:t>
      </w:r>
      <w:r>
        <w:rPr>
          <w:color w:val="231F20"/>
          <w:spacing w:val="-4"/>
          <w:w w:val="120"/>
        </w:rPr>
        <w:t>rendement</w:t>
      </w:r>
      <w:r>
        <w:rPr>
          <w:color w:val="231F20"/>
          <w:spacing w:val="-5"/>
          <w:w w:val="120"/>
        </w:rPr>
        <w:t> </w:t>
      </w:r>
      <w:r>
        <w:rPr>
          <w:color w:val="231F20"/>
          <w:spacing w:val="-4"/>
          <w:w w:val="120"/>
        </w:rPr>
        <w:t>qui </w:t>
      </w:r>
      <w:r>
        <w:rPr>
          <w:color w:val="231F20"/>
          <w:w w:val="115"/>
        </w:rPr>
        <w:t>prend</w:t>
      </w:r>
      <w:r>
        <w:rPr>
          <w:color w:val="231F20"/>
          <w:spacing w:val="-13"/>
          <w:w w:val="115"/>
        </w:rPr>
        <w:t> </w:t>
      </w:r>
      <w:r>
        <w:rPr>
          <w:color w:val="231F20"/>
          <w:w w:val="115"/>
        </w:rPr>
        <w:t>la</w:t>
      </w:r>
      <w:r>
        <w:rPr>
          <w:color w:val="231F20"/>
          <w:spacing w:val="-12"/>
          <w:w w:val="115"/>
        </w:rPr>
        <w:t> </w:t>
      </w:r>
      <w:r>
        <w:rPr>
          <w:color w:val="231F20"/>
          <w:w w:val="115"/>
        </w:rPr>
        <w:t>forme</w:t>
      </w:r>
      <w:r>
        <w:rPr>
          <w:color w:val="231F20"/>
          <w:spacing w:val="-12"/>
          <w:w w:val="115"/>
        </w:rPr>
        <w:t> </w:t>
      </w:r>
      <w:r>
        <w:rPr>
          <w:color w:val="231F20"/>
          <w:w w:val="115"/>
        </w:rPr>
        <w:t>d’un</w:t>
      </w:r>
      <w:r>
        <w:rPr>
          <w:color w:val="231F20"/>
          <w:spacing w:val="-3"/>
          <w:w w:val="115"/>
        </w:rPr>
        <w:t> </w:t>
      </w:r>
      <w:r>
        <w:rPr>
          <w:color w:val="231F20"/>
          <w:w w:val="115"/>
        </w:rPr>
        <w:t>«</w:t>
      </w:r>
      <w:r>
        <w:rPr>
          <w:color w:val="231F20"/>
          <w:spacing w:val="-13"/>
          <w:w w:val="115"/>
        </w:rPr>
        <w:t> </w:t>
      </w:r>
      <w:r>
        <w:rPr>
          <w:color w:val="231F20"/>
          <w:w w:val="115"/>
        </w:rPr>
        <w:t>U</w:t>
      </w:r>
      <w:r>
        <w:rPr>
          <w:color w:val="231F20"/>
          <w:spacing w:val="-12"/>
          <w:w w:val="115"/>
        </w:rPr>
        <w:t> </w:t>
      </w:r>
      <w:r>
        <w:rPr>
          <w:color w:val="231F20"/>
          <w:w w:val="115"/>
        </w:rPr>
        <w:t>» inversé</w:t>
      </w:r>
      <w:r>
        <w:rPr>
          <w:color w:val="231F20"/>
          <w:spacing w:val="-1"/>
          <w:w w:val="115"/>
        </w:rPr>
        <w:t> </w:t>
      </w:r>
      <w:r>
        <w:rPr>
          <w:color w:val="231F20"/>
          <w:w w:val="115"/>
        </w:rPr>
        <w:t>(figure</w:t>
      </w:r>
      <w:r>
        <w:rPr>
          <w:color w:val="231F20"/>
          <w:spacing w:val="-1"/>
          <w:w w:val="115"/>
        </w:rPr>
        <w:t> </w:t>
      </w:r>
      <w:r>
        <w:rPr>
          <w:color w:val="231F20"/>
          <w:w w:val="115"/>
        </w:rPr>
        <w:t>3.1).</w:t>
      </w:r>
      <w:r>
        <w:rPr>
          <w:color w:val="231F20"/>
          <w:spacing w:val="-1"/>
          <w:w w:val="115"/>
        </w:rPr>
        <w:t> </w:t>
      </w:r>
      <w:r>
        <w:rPr>
          <w:color w:val="231F20"/>
          <w:w w:val="115"/>
        </w:rPr>
        <w:t>Si</w:t>
      </w:r>
      <w:r>
        <w:rPr>
          <w:color w:val="231F20"/>
          <w:spacing w:val="-1"/>
          <w:w w:val="115"/>
        </w:rPr>
        <w:t> </w:t>
      </w:r>
      <w:r>
        <w:rPr>
          <w:color w:val="231F20"/>
          <w:w w:val="115"/>
        </w:rPr>
        <w:t>la</w:t>
      </w:r>
      <w:r>
        <w:rPr>
          <w:color w:val="231F20"/>
          <w:spacing w:val="-1"/>
          <w:w w:val="115"/>
        </w:rPr>
        <w:t> </w:t>
      </w:r>
      <w:r>
        <w:rPr>
          <w:color w:val="231F20"/>
          <w:w w:val="115"/>
        </w:rPr>
        <w:t>stimulation</w:t>
      </w:r>
      <w:r>
        <w:rPr>
          <w:color w:val="231F20"/>
          <w:spacing w:val="-1"/>
          <w:w w:val="115"/>
        </w:rPr>
        <w:t> </w:t>
      </w:r>
      <w:r>
        <w:rPr>
          <w:color w:val="231F20"/>
          <w:w w:val="115"/>
        </w:rPr>
        <w:t>est</w:t>
      </w:r>
      <w:r>
        <w:rPr>
          <w:color w:val="231F20"/>
          <w:spacing w:val="-1"/>
          <w:w w:val="115"/>
        </w:rPr>
        <w:t> </w:t>
      </w:r>
      <w:r>
        <w:rPr>
          <w:color w:val="231F20"/>
          <w:w w:val="115"/>
        </w:rPr>
        <w:t>faible, la</w:t>
      </w:r>
      <w:r>
        <w:rPr>
          <w:color w:val="231F20"/>
          <w:spacing w:val="3"/>
          <w:w w:val="115"/>
        </w:rPr>
        <w:t> </w:t>
      </w:r>
      <w:r>
        <w:rPr>
          <w:color w:val="231F20"/>
          <w:w w:val="115"/>
        </w:rPr>
        <w:t>personne</w:t>
      </w:r>
      <w:r>
        <w:rPr>
          <w:color w:val="231F20"/>
          <w:spacing w:val="4"/>
          <w:w w:val="115"/>
        </w:rPr>
        <w:t> </w:t>
      </w:r>
      <w:r>
        <w:rPr>
          <w:color w:val="231F20"/>
          <w:w w:val="115"/>
        </w:rPr>
        <w:t>a</w:t>
      </w:r>
      <w:r>
        <w:rPr>
          <w:color w:val="231F20"/>
          <w:spacing w:val="4"/>
          <w:w w:val="115"/>
        </w:rPr>
        <w:t> </w:t>
      </w:r>
      <w:r>
        <w:rPr>
          <w:color w:val="231F20"/>
          <w:w w:val="115"/>
        </w:rPr>
        <w:t>un</w:t>
      </w:r>
      <w:r>
        <w:rPr>
          <w:color w:val="231F20"/>
          <w:spacing w:val="4"/>
          <w:w w:val="115"/>
        </w:rPr>
        <w:t> </w:t>
      </w:r>
      <w:r>
        <w:rPr>
          <w:color w:val="231F20"/>
          <w:w w:val="115"/>
        </w:rPr>
        <w:t>rendement</w:t>
      </w:r>
      <w:r>
        <w:rPr>
          <w:color w:val="231F20"/>
          <w:spacing w:val="3"/>
          <w:w w:val="115"/>
        </w:rPr>
        <w:t> </w:t>
      </w:r>
      <w:r>
        <w:rPr>
          <w:color w:val="231F20"/>
          <w:w w:val="115"/>
        </w:rPr>
        <w:t>faible,</w:t>
      </w:r>
      <w:r>
        <w:rPr>
          <w:color w:val="231F20"/>
          <w:spacing w:val="4"/>
          <w:w w:val="115"/>
        </w:rPr>
        <w:t> </w:t>
      </w:r>
      <w:r>
        <w:rPr>
          <w:color w:val="231F20"/>
          <w:w w:val="115"/>
        </w:rPr>
        <w:t>ce</w:t>
      </w:r>
      <w:r>
        <w:rPr>
          <w:color w:val="231F20"/>
          <w:spacing w:val="4"/>
          <w:w w:val="115"/>
        </w:rPr>
        <w:t> </w:t>
      </w:r>
      <w:r>
        <w:rPr>
          <w:color w:val="231F20"/>
          <w:w w:val="115"/>
        </w:rPr>
        <w:t>qui</w:t>
      </w:r>
      <w:r>
        <w:rPr>
          <w:color w:val="231F20"/>
          <w:spacing w:val="4"/>
          <w:w w:val="115"/>
        </w:rPr>
        <w:t> </w:t>
      </w:r>
      <w:r>
        <w:rPr>
          <w:color w:val="231F20"/>
          <w:w w:val="115"/>
        </w:rPr>
        <w:t>signifie</w:t>
      </w:r>
      <w:r>
        <w:rPr>
          <w:color w:val="231F20"/>
          <w:spacing w:val="4"/>
          <w:w w:val="115"/>
        </w:rPr>
        <w:t> </w:t>
      </w:r>
      <w:r>
        <w:rPr>
          <w:color w:val="231F20"/>
          <w:w w:val="115"/>
        </w:rPr>
        <w:t>qu’elle</w:t>
      </w:r>
      <w:r>
        <w:rPr>
          <w:color w:val="231F20"/>
          <w:spacing w:val="3"/>
          <w:w w:val="115"/>
        </w:rPr>
        <w:t> </w:t>
      </w:r>
      <w:r>
        <w:rPr>
          <w:color w:val="231F20"/>
          <w:w w:val="115"/>
        </w:rPr>
        <w:t>sous-utilise</w:t>
      </w:r>
      <w:r>
        <w:rPr>
          <w:color w:val="231F20"/>
          <w:spacing w:val="4"/>
          <w:w w:val="115"/>
        </w:rPr>
        <w:t> </w:t>
      </w:r>
      <w:r>
        <w:rPr>
          <w:color w:val="231F20"/>
          <w:spacing w:val="-5"/>
          <w:w w:val="115"/>
        </w:rPr>
        <w:t>ses</w:t>
      </w:r>
    </w:p>
    <w:p>
      <w:pPr>
        <w:spacing w:after="0" w:line="307" w:lineRule="auto"/>
        <w:jc w:val="both"/>
        <w:sectPr>
          <w:footerReference w:type="default" r:id="rId181"/>
          <w:pgSz w:w="8640" w:h="12960"/>
          <w:pgMar w:footer="0" w:header="0" w:top="1220" w:bottom="280" w:left="420" w:right="1140"/>
        </w:sectPr>
      </w:pPr>
    </w:p>
    <w:p>
      <w:pPr>
        <w:spacing w:before="103"/>
        <w:ind w:left="1028" w:right="698" w:firstLine="0"/>
        <w:jc w:val="center"/>
        <w:rPr>
          <w:rFonts w:ascii="Arial" w:hAnsi="Arial"/>
          <w:sz w:val="14"/>
        </w:rPr>
      </w:pPr>
      <w:r>
        <w:rPr/>
        <w:pict>
          <v:group style="position:absolute;margin-left:62.5pt;margin-top:42.715919pt;width:287.5pt;height:201.6pt;mso-position-horizontal-relative:page;mso-position-vertical-relative:paragraph;z-index:15774720" id="docshapegroup627" coordorigin="1250,854" coordsize="5750,4032">
            <v:shape style="position:absolute;left:1250;top:854;width:5750;height:4032" id="docshape628" coordorigin="1250,854" coordsize="5750,4032" path="m7000,854l1250,854,1250,1649,1250,1809,1250,4886,7000,4886,7000,1809,7000,1649,7000,854xe" filled="true" fillcolor="#e2e3e4" stroked="false">
              <v:path arrowok="t"/>
              <v:fill type="solid"/>
            </v:shape>
            <v:shape style="position:absolute;left:2444;top:2163;width:3815;height:2237" id="docshape629" coordorigin="2445,2163" coordsize="3815,2237" path="m2445,2163l2445,4400,6260,4400e" filled="false" stroked="true" strokeweight=".5pt" strokecolor="#231f20">
              <v:path arrowok="t"/>
              <v:stroke dashstyle="solid"/>
            </v:shape>
            <v:shape style="position:absolute;left:2409;top:2112;width:3900;height:2322" id="docshape630" coordorigin="2410,2113" coordsize="3900,2322" path="m2480,2173l2445,2113,2410,2173,2480,2173xm6310,4400l6249,4365,6249,4435,6310,4400xe" filled="true" fillcolor="#231f20" stroked="false">
              <v:path arrowok="t"/>
              <v:fill type="solid"/>
            </v:shape>
            <v:line style="position:absolute" from="4341,2331" to="4341,4400" stroked="true" strokeweight=".25pt" strokecolor="#231f20">
              <v:stroke dashstyle="solid"/>
            </v:line>
            <v:shape style="position:absolute;left:2800;top:4389;width:2;height:10" id="docshape631" coordorigin="2800,4390" coordsize="1,10" path="m2800,4400l2800,4396,2801,4390e" filled="false" stroked="true" strokeweight=".5pt" strokecolor="#231f20">
              <v:path arrowok="t"/>
              <v:stroke dashstyle="solid"/>
            </v:shape>
            <v:shape style="position:absolute;left:2804;top:4251;width:12;height:99" id="docshape632" coordorigin="2804,4252" coordsize="12,99" path="m2804,4350l2807,4330,2809,4307,2812,4281,2816,4252e" filled="false" stroked="true" strokeweight=".5pt" strokecolor="#231f20">
              <v:path arrowok="t"/>
              <v:stroke dashstyle="dot"/>
            </v:shape>
            <v:shape style="position:absolute;left:2818;top:2404;width:3020;height:1966" id="docshape633" coordorigin="2819,2404" coordsize="3020,1966" path="m2819,4232l2831,4149,2848,4054,2870,3948,2898,3834,2913,3774,2931,3713,2950,3651,2971,3587,2993,3523,3018,3459,3044,3394,3072,3330,3103,3265,3135,3201,3170,3138,3207,3076,3246,3015,3288,2956,3332,2898,3379,2842,3428,2789,3480,2738,3535,2689,3593,2644,3653,2602,3717,2563,3784,2528,3853,2496,3926,2469,4002,2447,4082,2429,4165,2415,4251,2407,4341,2404,4435,2407,4525,2416,4611,2431,4693,2451,4771,2475,4846,2505,4917,2539,4985,2577,5050,2619,5111,2665,5169,2714,5223,2766,5275,2821,5324,2878,5370,2938,5413,2999,5453,3063,5491,3128,5526,3193,5559,3260,5589,3328,5618,3395,5644,3463,5668,3530,5689,3597,5709,3663,5728,3728,5744,3792,5759,3854,5772,3914,5794,4027,5811,4130,5823,4219,5831,4293,5836,4349,5838,4370e" filled="false" stroked="true" strokeweight=".5pt" strokecolor="#231f20">
              <v:path arrowok="t"/>
              <v:stroke dashstyle="dot"/>
            </v:shape>
            <v:shape style="position:absolute;left:5839;top:4389;width:2;height:10" id="docshape634" coordorigin="5839,4390" coordsize="1,10" path="m5839,4390l5840,4396,5840,4400e" filled="false" stroked="true" strokeweight=".5pt" strokecolor="#231f20">
              <v:path arrowok="t"/>
              <v:stroke dashstyle="solid"/>
            </v:shape>
            <v:shape style="position:absolute;left:1500;top:1026;width:4197;height:857" type="#_x0000_t202" id="docshape635" filled="false" stroked="false">
              <v:textbox inset="0,0,0,0">
                <w:txbxContent>
                  <w:p>
                    <w:pPr>
                      <w:spacing w:line="307" w:lineRule="auto" w:before="44"/>
                      <w:ind w:left="0" w:right="0" w:firstLine="0"/>
                      <w:jc w:val="left"/>
                      <w:rPr>
                        <w:rFonts w:ascii="Arial" w:hAnsi="Arial"/>
                        <w:b/>
                        <w:sz w:val="17"/>
                      </w:rPr>
                    </w:pPr>
                    <w:r>
                      <w:rPr>
                        <w:rFonts w:ascii="Arial" w:hAnsi="Arial"/>
                        <w:color w:val="231F20"/>
                        <w:w w:val="95"/>
                        <w:sz w:val="17"/>
                      </w:rPr>
                      <w:t>Figure 3.1</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0"/>
                        <w:sz w:val="17"/>
                      </w:rPr>
                      <w:t> </w:t>
                    </w:r>
                    <w:r>
                      <w:rPr>
                        <w:rFonts w:ascii="Arial" w:hAnsi="Arial"/>
                        <w:b/>
                        <w:color w:val="231F20"/>
                        <w:w w:val="95"/>
                        <w:sz w:val="17"/>
                      </w:rPr>
                      <w:t>Courbe</w:t>
                    </w:r>
                    <w:r>
                      <w:rPr>
                        <w:rFonts w:ascii="Arial" w:hAnsi="Arial"/>
                        <w:b/>
                        <w:color w:val="231F20"/>
                        <w:spacing w:val="-3"/>
                        <w:w w:val="95"/>
                        <w:sz w:val="17"/>
                      </w:rPr>
                      <w:t> </w:t>
                    </w:r>
                    <w:r>
                      <w:rPr>
                        <w:rFonts w:ascii="Arial" w:hAnsi="Arial"/>
                        <w:b/>
                        <w:color w:val="231F20"/>
                        <w:w w:val="95"/>
                        <w:sz w:val="17"/>
                      </w:rPr>
                      <w:t>en</w:t>
                    </w:r>
                    <w:r>
                      <w:rPr>
                        <w:rFonts w:ascii="Arial" w:hAnsi="Arial"/>
                        <w:b/>
                        <w:color w:val="231F20"/>
                        <w:spacing w:val="-3"/>
                        <w:w w:val="95"/>
                        <w:sz w:val="17"/>
                      </w:rPr>
                      <w:t> </w:t>
                    </w:r>
                    <w:r>
                      <w:rPr>
                        <w:rFonts w:ascii="Arial" w:hAnsi="Arial"/>
                        <w:b/>
                        <w:color w:val="231F20"/>
                        <w:w w:val="95"/>
                        <w:sz w:val="17"/>
                      </w:rPr>
                      <w:t>«</w:t>
                    </w:r>
                    <w:r>
                      <w:rPr>
                        <w:rFonts w:ascii="Arial" w:hAnsi="Arial"/>
                        <w:b/>
                        <w:color w:val="231F20"/>
                        <w:spacing w:val="-28"/>
                        <w:w w:val="95"/>
                        <w:sz w:val="17"/>
                      </w:rPr>
                      <w:t> </w:t>
                    </w:r>
                    <w:r>
                      <w:rPr>
                        <w:rFonts w:ascii="Arial" w:hAnsi="Arial"/>
                        <w:b/>
                        <w:color w:val="231F20"/>
                        <w:w w:val="95"/>
                        <w:sz w:val="17"/>
                      </w:rPr>
                      <w:t>U</w:t>
                    </w:r>
                    <w:r>
                      <w:rPr>
                        <w:rFonts w:ascii="Arial" w:hAnsi="Arial"/>
                        <w:b/>
                        <w:color w:val="231F20"/>
                        <w:spacing w:val="-28"/>
                        <w:w w:val="95"/>
                        <w:sz w:val="17"/>
                      </w:rPr>
                      <w:t> </w:t>
                    </w:r>
                    <w:r>
                      <w:rPr>
                        <w:rFonts w:ascii="Arial" w:hAnsi="Arial"/>
                        <w:b/>
                        <w:color w:val="231F20"/>
                        <w:w w:val="95"/>
                        <w:sz w:val="17"/>
                      </w:rPr>
                      <w:t>»</w:t>
                    </w:r>
                    <w:r>
                      <w:rPr>
                        <w:rFonts w:ascii="Arial" w:hAnsi="Arial"/>
                        <w:b/>
                        <w:color w:val="231F20"/>
                        <w:spacing w:val="-3"/>
                        <w:w w:val="95"/>
                        <w:sz w:val="17"/>
                      </w:rPr>
                      <w:t> </w:t>
                    </w:r>
                    <w:r>
                      <w:rPr>
                        <w:rFonts w:ascii="Arial" w:hAnsi="Arial"/>
                        <w:b/>
                        <w:color w:val="231F20"/>
                        <w:w w:val="95"/>
                        <w:sz w:val="17"/>
                      </w:rPr>
                      <w:t>inversé</w:t>
                    </w:r>
                    <w:r>
                      <w:rPr>
                        <w:rFonts w:ascii="Arial" w:hAnsi="Arial"/>
                        <w:b/>
                        <w:color w:val="231F20"/>
                        <w:spacing w:val="-3"/>
                        <w:w w:val="95"/>
                        <w:sz w:val="17"/>
                      </w:rPr>
                      <w:t> </w:t>
                    </w:r>
                    <w:r>
                      <w:rPr>
                        <w:rFonts w:ascii="Arial" w:hAnsi="Arial"/>
                        <w:b/>
                        <w:color w:val="231F20"/>
                        <w:w w:val="95"/>
                        <w:sz w:val="17"/>
                      </w:rPr>
                      <w:t>liant</w:t>
                    </w:r>
                    <w:r>
                      <w:rPr>
                        <w:rFonts w:ascii="Arial" w:hAnsi="Arial"/>
                        <w:b/>
                        <w:color w:val="231F20"/>
                        <w:spacing w:val="-3"/>
                        <w:w w:val="95"/>
                        <w:sz w:val="17"/>
                      </w:rPr>
                      <w:t> </w:t>
                    </w:r>
                    <w:r>
                      <w:rPr>
                        <w:rFonts w:ascii="Arial" w:hAnsi="Arial"/>
                        <w:b/>
                        <w:color w:val="231F20"/>
                        <w:w w:val="95"/>
                        <w:sz w:val="17"/>
                      </w:rPr>
                      <w:t>la</w:t>
                    </w:r>
                    <w:r>
                      <w:rPr>
                        <w:rFonts w:ascii="Arial" w:hAnsi="Arial"/>
                        <w:b/>
                        <w:color w:val="231F20"/>
                        <w:spacing w:val="-3"/>
                        <w:w w:val="95"/>
                        <w:sz w:val="17"/>
                      </w:rPr>
                      <w:t> </w:t>
                    </w:r>
                    <w:r>
                      <w:rPr>
                        <w:rFonts w:ascii="Arial" w:hAnsi="Arial"/>
                        <w:b/>
                        <w:color w:val="231F20"/>
                        <w:w w:val="95"/>
                        <w:sz w:val="17"/>
                      </w:rPr>
                      <w:t>stimulation </w:t>
                    </w:r>
                    <w:r>
                      <w:rPr>
                        <w:rFonts w:ascii="Arial" w:hAnsi="Arial"/>
                        <w:b/>
                        <w:color w:val="231F20"/>
                        <w:sz w:val="17"/>
                      </w:rPr>
                      <w:t>à la performance</w:t>
                    </w:r>
                  </w:p>
                  <w:p>
                    <w:pPr>
                      <w:spacing w:before="138"/>
                      <w:ind w:left="2088" w:right="0" w:firstLine="0"/>
                      <w:jc w:val="left"/>
                      <w:rPr>
                        <w:rFonts w:ascii="Arial"/>
                        <w:b/>
                        <w:sz w:val="15"/>
                      </w:rPr>
                    </w:pPr>
                    <w:r>
                      <w:rPr>
                        <w:rFonts w:ascii="Arial"/>
                        <w:b/>
                        <w:color w:val="231F20"/>
                        <w:spacing w:val="-2"/>
                        <w:w w:val="90"/>
                        <w:sz w:val="15"/>
                      </w:rPr>
                      <w:t>Courbe</w:t>
                    </w:r>
                    <w:r>
                      <w:rPr>
                        <w:rFonts w:ascii="Arial"/>
                        <w:b/>
                        <w:color w:val="231F20"/>
                        <w:spacing w:val="-5"/>
                        <w:sz w:val="15"/>
                      </w:rPr>
                      <w:t> </w:t>
                    </w:r>
                    <w:r>
                      <w:rPr>
                        <w:rFonts w:ascii="Arial"/>
                        <w:b/>
                        <w:color w:val="231F20"/>
                        <w:spacing w:val="-2"/>
                        <w:w w:val="90"/>
                        <w:sz w:val="15"/>
                      </w:rPr>
                      <w:t>Yerkes-Dodson</w:t>
                    </w:r>
                  </w:p>
                </w:txbxContent>
              </v:textbox>
              <w10:wrap type="none"/>
            </v:shape>
            <v:shape style="position:absolute;left:1988;top:2118;width:356;height:192" type="#_x0000_t202" id="docshape636" filled="false" stroked="false">
              <v:textbox inset="0,0,0,0">
                <w:txbxContent>
                  <w:p>
                    <w:pPr>
                      <w:spacing w:before="18"/>
                      <w:ind w:left="0" w:right="0" w:firstLine="0"/>
                      <w:jc w:val="left"/>
                      <w:rPr>
                        <w:rFonts w:ascii="Arial" w:hAnsi="Arial"/>
                        <w:sz w:val="15"/>
                      </w:rPr>
                    </w:pPr>
                    <w:r>
                      <w:rPr>
                        <w:rFonts w:ascii="Arial" w:hAnsi="Arial"/>
                        <w:color w:val="231F20"/>
                        <w:spacing w:val="-4"/>
                        <w:w w:val="95"/>
                        <w:sz w:val="15"/>
                      </w:rPr>
                      <w:t>Élevé</w:t>
                    </w:r>
                  </w:p>
                </w:txbxContent>
              </v:textbox>
              <w10:wrap type="none"/>
            </v:shape>
            <v:shape style="position:absolute;left:3865;top:2093;width:1004;height:196" type="#_x0000_t202" id="docshape637" filled="false" stroked="false">
              <v:textbox inset="0,0,0,0">
                <w:txbxContent>
                  <w:p>
                    <w:pPr>
                      <w:spacing w:before="21"/>
                      <w:ind w:left="0" w:right="0" w:firstLine="0"/>
                      <w:jc w:val="left"/>
                      <w:rPr>
                        <w:rFonts w:ascii="Arial"/>
                        <w:b/>
                        <w:sz w:val="15"/>
                      </w:rPr>
                    </w:pPr>
                    <w:r>
                      <w:rPr>
                        <w:rFonts w:ascii="Arial"/>
                        <w:b/>
                        <w:color w:val="231F20"/>
                        <w:w w:val="90"/>
                        <w:sz w:val="15"/>
                      </w:rPr>
                      <w:t>Niveau</w:t>
                    </w:r>
                    <w:r>
                      <w:rPr>
                        <w:rFonts w:ascii="Arial"/>
                        <w:b/>
                        <w:color w:val="231F20"/>
                        <w:spacing w:val="-3"/>
                        <w:w w:val="90"/>
                        <w:sz w:val="15"/>
                      </w:rPr>
                      <w:t> </w:t>
                    </w:r>
                    <w:r>
                      <w:rPr>
                        <w:rFonts w:ascii="Arial"/>
                        <w:b/>
                        <w:color w:val="231F20"/>
                        <w:spacing w:val="-2"/>
                        <w:w w:val="95"/>
                        <w:sz w:val="15"/>
                      </w:rPr>
                      <w:t>optimal</w:t>
                    </w:r>
                  </w:p>
                </w:txbxContent>
              </v:textbox>
              <w10:wrap type="none"/>
            </v:shape>
            <v:shape style="position:absolute;left:1960;top:4187;width:383;height:192" type="#_x0000_t202" id="docshape638" filled="false" stroked="false">
              <v:textbox inset="0,0,0,0">
                <w:txbxContent>
                  <w:p>
                    <w:pPr>
                      <w:spacing w:before="18"/>
                      <w:ind w:left="0" w:right="0" w:firstLine="0"/>
                      <w:jc w:val="left"/>
                      <w:rPr>
                        <w:rFonts w:ascii="Arial"/>
                        <w:sz w:val="15"/>
                      </w:rPr>
                    </w:pPr>
                    <w:r>
                      <w:rPr>
                        <w:rFonts w:ascii="Arial"/>
                        <w:color w:val="231F20"/>
                        <w:spacing w:val="-4"/>
                        <w:w w:val="95"/>
                        <w:sz w:val="15"/>
                      </w:rPr>
                      <w:t>Faible</w:t>
                    </w:r>
                  </w:p>
                </w:txbxContent>
              </v:textbox>
              <w10:wrap type="none"/>
            </v:shape>
            <v:shape style="position:absolute;left:2439;top:4435;width:383;height:192" type="#_x0000_t202" id="docshape639" filled="false" stroked="false">
              <v:textbox inset="0,0,0,0">
                <w:txbxContent>
                  <w:p>
                    <w:pPr>
                      <w:spacing w:before="18"/>
                      <w:ind w:left="0" w:right="0" w:firstLine="0"/>
                      <w:jc w:val="left"/>
                      <w:rPr>
                        <w:rFonts w:ascii="Arial"/>
                        <w:sz w:val="15"/>
                      </w:rPr>
                    </w:pPr>
                    <w:r>
                      <w:rPr>
                        <w:rFonts w:ascii="Arial"/>
                        <w:color w:val="231F20"/>
                        <w:spacing w:val="-4"/>
                        <w:w w:val="95"/>
                        <w:sz w:val="15"/>
                      </w:rPr>
                      <w:t>Faible</w:t>
                    </w:r>
                  </w:p>
                </w:txbxContent>
              </v:textbox>
              <w10:wrap type="none"/>
            </v:shape>
            <v:shape style="position:absolute;left:3824;top:4432;width:1079;height:196" type="#_x0000_t202" id="docshape640" filled="false" stroked="false">
              <v:textbox inset="0,0,0,0">
                <w:txbxContent>
                  <w:p>
                    <w:pPr>
                      <w:spacing w:before="21"/>
                      <w:ind w:left="0" w:right="0" w:firstLine="0"/>
                      <w:jc w:val="left"/>
                      <w:rPr>
                        <w:rFonts w:ascii="Arial"/>
                        <w:b/>
                        <w:sz w:val="15"/>
                      </w:rPr>
                    </w:pPr>
                    <w:r>
                      <w:rPr>
                        <w:rFonts w:ascii="Arial"/>
                        <w:b/>
                        <w:color w:val="231F20"/>
                        <w:w w:val="90"/>
                        <w:sz w:val="15"/>
                      </w:rPr>
                      <w:t>Niveau</w:t>
                    </w:r>
                    <w:r>
                      <w:rPr>
                        <w:rFonts w:ascii="Arial"/>
                        <w:b/>
                        <w:color w:val="231F20"/>
                        <w:spacing w:val="-4"/>
                        <w:w w:val="90"/>
                        <w:sz w:val="15"/>
                      </w:rPr>
                      <w:t> </w:t>
                    </w:r>
                    <w:r>
                      <w:rPr>
                        <w:rFonts w:ascii="Arial"/>
                        <w:b/>
                        <w:color w:val="231F20"/>
                        <w:w w:val="90"/>
                        <w:sz w:val="15"/>
                      </w:rPr>
                      <w:t>de</w:t>
                    </w:r>
                    <w:r>
                      <w:rPr>
                        <w:rFonts w:ascii="Arial"/>
                        <w:b/>
                        <w:color w:val="231F20"/>
                        <w:spacing w:val="-4"/>
                        <w:w w:val="90"/>
                        <w:sz w:val="15"/>
                      </w:rPr>
                      <w:t> </w:t>
                    </w:r>
                    <w:r>
                      <w:rPr>
                        <w:rFonts w:ascii="Arial"/>
                        <w:b/>
                        <w:color w:val="231F20"/>
                        <w:spacing w:val="-2"/>
                        <w:w w:val="90"/>
                        <w:sz w:val="15"/>
                      </w:rPr>
                      <w:t>stress</w:t>
                    </w:r>
                  </w:p>
                </w:txbxContent>
              </v:textbox>
              <w10:wrap type="none"/>
            </v:shape>
            <v:shape style="position:absolute;left:5875;top:4435;width:356;height:192" type="#_x0000_t202" id="docshape641" filled="false" stroked="false">
              <v:textbox inset="0,0,0,0">
                <w:txbxContent>
                  <w:p>
                    <w:pPr>
                      <w:spacing w:before="18"/>
                      <w:ind w:left="0" w:right="0" w:firstLine="0"/>
                      <w:jc w:val="left"/>
                      <w:rPr>
                        <w:rFonts w:ascii="Arial" w:hAnsi="Arial"/>
                        <w:sz w:val="15"/>
                      </w:rPr>
                    </w:pPr>
                    <w:r>
                      <w:rPr>
                        <w:rFonts w:ascii="Arial" w:hAnsi="Arial"/>
                        <w:color w:val="231F20"/>
                        <w:spacing w:val="-4"/>
                        <w:w w:val="95"/>
                        <w:sz w:val="15"/>
                      </w:rPr>
                      <w:t>Élevé</w:t>
                    </w:r>
                  </w:p>
                </w:txbxContent>
              </v:textbox>
              <w10:wrap type="none"/>
            </v:shape>
            <w10:wrap type="none"/>
          </v:group>
        </w:pict>
      </w:r>
      <w:r>
        <w:rPr/>
        <w:pict>
          <v:shape style="position:absolute;margin-left:109.497398pt;margin-top:123.808563pt;width:11.8pt;height:78.05pt;mso-position-horizontal-relative:page;mso-position-vertical-relative:paragraph;z-index:15775232" type="#_x0000_t202" id="docshape642" filled="false" stroked="false">
            <v:textbox inset="0,0,0,0" style="layout-flow:vertical;mso-layout-flow-alt:bottom-to-top">
              <w:txbxContent>
                <w:p>
                  <w:pPr>
                    <w:spacing w:before="41"/>
                    <w:ind w:left="20" w:right="0" w:firstLine="0"/>
                    <w:jc w:val="left"/>
                    <w:rPr>
                      <w:rFonts w:ascii="Arial"/>
                      <w:b/>
                      <w:sz w:val="15"/>
                    </w:rPr>
                  </w:pPr>
                  <w:r>
                    <w:rPr>
                      <w:rFonts w:ascii="Arial"/>
                      <w:b/>
                      <w:color w:val="231F20"/>
                      <w:w w:val="90"/>
                      <w:sz w:val="15"/>
                    </w:rPr>
                    <w:t>Niveau</w:t>
                  </w:r>
                  <w:r>
                    <w:rPr>
                      <w:rFonts w:ascii="Arial"/>
                      <w:b/>
                      <w:color w:val="231F20"/>
                      <w:spacing w:val="-4"/>
                      <w:w w:val="90"/>
                      <w:sz w:val="15"/>
                    </w:rPr>
                    <w:t> </w:t>
                  </w:r>
                  <w:r>
                    <w:rPr>
                      <w:rFonts w:ascii="Arial"/>
                      <w:b/>
                      <w:color w:val="231F20"/>
                      <w:w w:val="90"/>
                      <w:sz w:val="15"/>
                    </w:rPr>
                    <w:t>de</w:t>
                  </w:r>
                  <w:r>
                    <w:rPr>
                      <w:rFonts w:ascii="Arial"/>
                      <w:b/>
                      <w:color w:val="231F20"/>
                      <w:spacing w:val="-4"/>
                      <w:w w:val="90"/>
                      <w:sz w:val="15"/>
                    </w:rPr>
                    <w:t> </w:t>
                  </w:r>
                  <w:r>
                    <w:rPr>
                      <w:rFonts w:ascii="Arial"/>
                      <w:b/>
                      <w:color w:val="231F20"/>
                      <w:spacing w:val="-2"/>
                      <w:w w:val="90"/>
                      <w:sz w:val="15"/>
                    </w:rPr>
                    <w:t>performance</w:t>
                  </w:r>
                </w:p>
              </w:txbxContent>
            </v:textbox>
            <w10:wrap type="none"/>
          </v:shape>
        </w:pict>
      </w:r>
      <w:bookmarkStart w:name="Figure 3.1 / Courbe en « U » inversé lia" w:id="76"/>
      <w:bookmarkEnd w:id="76"/>
      <w:r>
        <w:rPr/>
      </w:r>
      <w:bookmarkStart w:name="_bookmark32" w:id="77"/>
      <w:bookmarkEnd w:id="77"/>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77"/>
        <w:ind w:left="830" w:right="491"/>
        <w:jc w:val="both"/>
      </w:pPr>
      <w:r>
        <w:rPr>
          <w:color w:val="231F20"/>
          <w:w w:val="120"/>
        </w:rPr>
        <w:t>ressources,</w:t>
      </w:r>
      <w:r>
        <w:rPr>
          <w:color w:val="231F20"/>
          <w:spacing w:val="-8"/>
          <w:w w:val="120"/>
        </w:rPr>
        <w:t> </w:t>
      </w:r>
      <w:r>
        <w:rPr>
          <w:color w:val="231F20"/>
          <w:w w:val="120"/>
        </w:rPr>
        <w:t>donc</w:t>
      </w:r>
      <w:r>
        <w:rPr>
          <w:color w:val="231F20"/>
          <w:spacing w:val="-8"/>
          <w:w w:val="120"/>
        </w:rPr>
        <w:t> </w:t>
      </w:r>
      <w:r>
        <w:rPr>
          <w:color w:val="231F20"/>
          <w:w w:val="120"/>
        </w:rPr>
        <w:t>ses</w:t>
      </w:r>
      <w:r>
        <w:rPr>
          <w:color w:val="231F20"/>
          <w:spacing w:val="-8"/>
          <w:w w:val="120"/>
        </w:rPr>
        <w:t> </w:t>
      </w:r>
      <w:r>
        <w:rPr>
          <w:color w:val="231F20"/>
          <w:w w:val="120"/>
        </w:rPr>
        <w:t>compétences.</w:t>
      </w:r>
      <w:r>
        <w:rPr>
          <w:color w:val="231F20"/>
          <w:spacing w:val="-8"/>
          <w:w w:val="120"/>
        </w:rPr>
        <w:t> </w:t>
      </w:r>
      <w:r>
        <w:rPr>
          <w:color w:val="231F20"/>
          <w:w w:val="120"/>
        </w:rPr>
        <w:t>Lorsque</w:t>
      </w:r>
      <w:r>
        <w:rPr>
          <w:color w:val="231F20"/>
          <w:spacing w:val="-8"/>
          <w:w w:val="120"/>
        </w:rPr>
        <w:t> </w:t>
      </w:r>
      <w:r>
        <w:rPr>
          <w:color w:val="231F20"/>
          <w:w w:val="120"/>
        </w:rPr>
        <w:t>la</w:t>
      </w:r>
      <w:r>
        <w:rPr>
          <w:color w:val="231F20"/>
          <w:spacing w:val="-8"/>
          <w:w w:val="120"/>
        </w:rPr>
        <w:t> </w:t>
      </w:r>
      <w:r>
        <w:rPr>
          <w:color w:val="231F20"/>
          <w:w w:val="120"/>
        </w:rPr>
        <w:t>stimulation</w:t>
      </w:r>
      <w:r>
        <w:rPr>
          <w:color w:val="231F20"/>
          <w:spacing w:val="-8"/>
          <w:w w:val="120"/>
        </w:rPr>
        <w:t> </w:t>
      </w:r>
      <w:r>
        <w:rPr>
          <w:color w:val="231F20"/>
          <w:w w:val="120"/>
        </w:rPr>
        <w:t>est</w:t>
      </w:r>
      <w:r>
        <w:rPr>
          <w:color w:val="231F20"/>
          <w:spacing w:val="-8"/>
          <w:w w:val="120"/>
        </w:rPr>
        <w:t> </w:t>
      </w:r>
      <w:r>
        <w:rPr>
          <w:color w:val="231F20"/>
          <w:w w:val="120"/>
        </w:rPr>
        <w:t>élevée,</w:t>
      </w:r>
      <w:r>
        <w:rPr>
          <w:color w:val="231F20"/>
          <w:spacing w:val="-8"/>
          <w:w w:val="120"/>
        </w:rPr>
        <w:t> </w:t>
      </w:r>
      <w:r>
        <w:rPr>
          <w:color w:val="231F20"/>
          <w:w w:val="120"/>
        </w:rPr>
        <w:t>la personne</w:t>
      </w:r>
      <w:r>
        <w:rPr>
          <w:color w:val="231F20"/>
          <w:spacing w:val="-1"/>
          <w:w w:val="120"/>
        </w:rPr>
        <w:t> </w:t>
      </w:r>
      <w:r>
        <w:rPr>
          <w:color w:val="231F20"/>
          <w:w w:val="120"/>
        </w:rPr>
        <w:t>a</w:t>
      </w:r>
      <w:r>
        <w:rPr>
          <w:color w:val="231F20"/>
          <w:spacing w:val="-1"/>
          <w:w w:val="120"/>
        </w:rPr>
        <w:t> </w:t>
      </w:r>
      <w:r>
        <w:rPr>
          <w:color w:val="231F20"/>
          <w:w w:val="120"/>
        </w:rPr>
        <w:t>aussi</w:t>
      </w:r>
      <w:r>
        <w:rPr>
          <w:color w:val="231F20"/>
          <w:spacing w:val="-1"/>
          <w:w w:val="120"/>
        </w:rPr>
        <w:t> </w:t>
      </w:r>
      <w:r>
        <w:rPr>
          <w:color w:val="231F20"/>
          <w:w w:val="120"/>
        </w:rPr>
        <w:t>un</w:t>
      </w:r>
      <w:r>
        <w:rPr>
          <w:color w:val="231F20"/>
          <w:spacing w:val="-1"/>
          <w:w w:val="120"/>
        </w:rPr>
        <w:t> </w:t>
      </w:r>
      <w:r>
        <w:rPr>
          <w:color w:val="231F20"/>
          <w:w w:val="120"/>
        </w:rPr>
        <w:t>rendement</w:t>
      </w:r>
      <w:r>
        <w:rPr>
          <w:color w:val="231F20"/>
          <w:spacing w:val="-1"/>
          <w:w w:val="120"/>
        </w:rPr>
        <w:t> </w:t>
      </w:r>
      <w:r>
        <w:rPr>
          <w:color w:val="231F20"/>
          <w:w w:val="120"/>
        </w:rPr>
        <w:t>faible;</w:t>
      </w:r>
      <w:r>
        <w:rPr>
          <w:color w:val="231F20"/>
          <w:spacing w:val="-1"/>
          <w:w w:val="120"/>
        </w:rPr>
        <w:t> </w:t>
      </w:r>
      <w:r>
        <w:rPr>
          <w:color w:val="231F20"/>
          <w:w w:val="120"/>
        </w:rPr>
        <w:t>dans</w:t>
      </w:r>
      <w:r>
        <w:rPr>
          <w:color w:val="231F20"/>
          <w:spacing w:val="-1"/>
          <w:w w:val="120"/>
        </w:rPr>
        <w:t> </w:t>
      </w:r>
      <w:r>
        <w:rPr>
          <w:color w:val="231F20"/>
          <w:w w:val="120"/>
        </w:rPr>
        <w:t>ce</w:t>
      </w:r>
      <w:r>
        <w:rPr>
          <w:color w:val="231F20"/>
          <w:spacing w:val="-1"/>
          <w:w w:val="120"/>
        </w:rPr>
        <w:t> </w:t>
      </w:r>
      <w:r>
        <w:rPr>
          <w:color w:val="231F20"/>
          <w:w w:val="120"/>
        </w:rPr>
        <w:t>cas,</w:t>
      </w:r>
      <w:r>
        <w:rPr>
          <w:color w:val="231F20"/>
          <w:spacing w:val="-1"/>
          <w:w w:val="120"/>
        </w:rPr>
        <w:t> </w:t>
      </w:r>
      <w:r>
        <w:rPr>
          <w:color w:val="231F20"/>
          <w:w w:val="120"/>
        </w:rPr>
        <w:t>c’est</w:t>
      </w:r>
      <w:r>
        <w:rPr>
          <w:color w:val="231F20"/>
          <w:spacing w:val="-1"/>
          <w:w w:val="120"/>
        </w:rPr>
        <w:t> </w:t>
      </w:r>
      <w:r>
        <w:rPr>
          <w:color w:val="231F20"/>
          <w:w w:val="120"/>
        </w:rPr>
        <w:t>l’accablement qui</w:t>
      </w:r>
      <w:r>
        <w:rPr>
          <w:color w:val="231F20"/>
          <w:spacing w:val="-13"/>
          <w:w w:val="120"/>
        </w:rPr>
        <w:t> </w:t>
      </w:r>
      <w:r>
        <w:rPr>
          <w:color w:val="231F20"/>
          <w:w w:val="120"/>
        </w:rPr>
        <w:t>la</w:t>
      </w:r>
      <w:r>
        <w:rPr>
          <w:color w:val="231F20"/>
          <w:spacing w:val="-13"/>
          <w:w w:val="120"/>
        </w:rPr>
        <w:t> </w:t>
      </w:r>
      <w:r>
        <w:rPr>
          <w:color w:val="231F20"/>
          <w:w w:val="120"/>
        </w:rPr>
        <w:t>rend</w:t>
      </w:r>
      <w:r>
        <w:rPr>
          <w:color w:val="231F20"/>
          <w:spacing w:val="-13"/>
          <w:w w:val="120"/>
        </w:rPr>
        <w:t> </w:t>
      </w:r>
      <w:r>
        <w:rPr>
          <w:color w:val="231F20"/>
          <w:w w:val="120"/>
        </w:rPr>
        <w:t>incapable</w:t>
      </w:r>
      <w:r>
        <w:rPr>
          <w:color w:val="231F20"/>
          <w:spacing w:val="-12"/>
          <w:w w:val="120"/>
        </w:rPr>
        <w:t> </w:t>
      </w:r>
      <w:r>
        <w:rPr>
          <w:color w:val="231F20"/>
          <w:w w:val="120"/>
        </w:rPr>
        <w:t>de</w:t>
      </w:r>
      <w:r>
        <w:rPr>
          <w:color w:val="231F20"/>
          <w:spacing w:val="-13"/>
          <w:w w:val="120"/>
        </w:rPr>
        <w:t> </w:t>
      </w:r>
      <w:r>
        <w:rPr>
          <w:color w:val="231F20"/>
          <w:w w:val="120"/>
        </w:rPr>
        <w:t>produire.</w:t>
      </w:r>
      <w:r>
        <w:rPr>
          <w:color w:val="231F20"/>
          <w:spacing w:val="-13"/>
          <w:w w:val="120"/>
        </w:rPr>
        <w:t> </w:t>
      </w:r>
      <w:r>
        <w:rPr>
          <w:color w:val="231F20"/>
          <w:w w:val="120"/>
        </w:rPr>
        <w:t>Curieusement,</w:t>
      </w:r>
      <w:r>
        <w:rPr>
          <w:color w:val="231F20"/>
          <w:spacing w:val="-13"/>
          <w:w w:val="120"/>
        </w:rPr>
        <w:t> </w:t>
      </w:r>
      <w:r>
        <w:rPr>
          <w:color w:val="231F20"/>
          <w:w w:val="120"/>
        </w:rPr>
        <w:t>selon</w:t>
      </w:r>
      <w:r>
        <w:rPr>
          <w:color w:val="231F20"/>
          <w:spacing w:val="-12"/>
          <w:w w:val="120"/>
        </w:rPr>
        <w:t> </w:t>
      </w:r>
      <w:r>
        <w:rPr>
          <w:color w:val="231F20"/>
          <w:w w:val="120"/>
        </w:rPr>
        <w:t>cette</w:t>
      </w:r>
      <w:r>
        <w:rPr>
          <w:color w:val="231F20"/>
          <w:spacing w:val="-13"/>
          <w:w w:val="120"/>
        </w:rPr>
        <w:t> </w:t>
      </w:r>
      <w:r>
        <w:rPr>
          <w:color w:val="231F20"/>
          <w:w w:val="120"/>
        </w:rPr>
        <w:t>courbe</w:t>
      </w:r>
      <w:r>
        <w:rPr>
          <w:color w:val="231F20"/>
          <w:spacing w:val="-13"/>
          <w:w w:val="120"/>
        </w:rPr>
        <w:t> </w:t>
      </w:r>
      <w:r>
        <w:rPr>
          <w:color w:val="231F20"/>
          <w:w w:val="120"/>
        </w:rPr>
        <w:t>que certains</w:t>
      </w:r>
      <w:r>
        <w:rPr>
          <w:color w:val="231F20"/>
          <w:spacing w:val="-11"/>
          <w:w w:val="120"/>
        </w:rPr>
        <w:t> </w:t>
      </w:r>
      <w:r>
        <w:rPr>
          <w:color w:val="231F20"/>
          <w:w w:val="120"/>
        </w:rPr>
        <w:t>associent</w:t>
      </w:r>
      <w:r>
        <w:rPr>
          <w:color w:val="231F20"/>
          <w:spacing w:val="-11"/>
          <w:w w:val="120"/>
        </w:rPr>
        <w:t> </w:t>
      </w:r>
      <w:r>
        <w:rPr>
          <w:color w:val="231F20"/>
          <w:w w:val="120"/>
        </w:rPr>
        <w:t>au</w:t>
      </w:r>
      <w:r>
        <w:rPr>
          <w:color w:val="231F20"/>
          <w:spacing w:val="-11"/>
          <w:w w:val="120"/>
        </w:rPr>
        <w:t> </w:t>
      </w:r>
      <w:r>
        <w:rPr>
          <w:color w:val="231F20"/>
          <w:w w:val="120"/>
        </w:rPr>
        <w:t>principe</w:t>
      </w:r>
      <w:r>
        <w:rPr>
          <w:color w:val="231F20"/>
          <w:spacing w:val="-11"/>
          <w:w w:val="120"/>
        </w:rPr>
        <w:t> </w:t>
      </w:r>
      <w:r>
        <w:rPr>
          <w:color w:val="231F20"/>
          <w:w w:val="120"/>
        </w:rPr>
        <w:t>de</w:t>
      </w:r>
      <w:r>
        <w:rPr>
          <w:color w:val="231F20"/>
          <w:spacing w:val="-11"/>
          <w:w w:val="120"/>
        </w:rPr>
        <w:t> </w:t>
      </w:r>
      <w:r>
        <w:rPr>
          <w:color w:val="231F20"/>
          <w:w w:val="120"/>
        </w:rPr>
        <w:t>Yerkes-Dobson,</w:t>
      </w:r>
      <w:r>
        <w:rPr>
          <w:color w:val="231F20"/>
          <w:spacing w:val="-11"/>
          <w:w w:val="120"/>
        </w:rPr>
        <w:t> </w:t>
      </w:r>
      <w:r>
        <w:rPr>
          <w:color w:val="231F20"/>
          <w:w w:val="120"/>
        </w:rPr>
        <w:t>la</w:t>
      </w:r>
      <w:r>
        <w:rPr>
          <w:color w:val="231F20"/>
          <w:spacing w:val="-11"/>
          <w:w w:val="120"/>
        </w:rPr>
        <w:t> </w:t>
      </w:r>
      <w:r>
        <w:rPr>
          <w:color w:val="231F20"/>
          <w:w w:val="120"/>
        </w:rPr>
        <w:t>seule</w:t>
      </w:r>
      <w:r>
        <w:rPr>
          <w:color w:val="231F20"/>
          <w:spacing w:val="-11"/>
          <w:w w:val="120"/>
        </w:rPr>
        <w:t> </w:t>
      </w:r>
      <w:r>
        <w:rPr>
          <w:color w:val="231F20"/>
          <w:w w:val="120"/>
        </w:rPr>
        <w:t>façon</w:t>
      </w:r>
      <w:r>
        <w:rPr>
          <w:color w:val="231F20"/>
          <w:spacing w:val="-11"/>
          <w:w w:val="120"/>
        </w:rPr>
        <w:t> </w:t>
      </w:r>
      <w:r>
        <w:rPr>
          <w:color w:val="231F20"/>
          <w:w w:val="120"/>
        </w:rPr>
        <w:t>de</w:t>
      </w:r>
      <w:r>
        <w:rPr>
          <w:color w:val="231F20"/>
          <w:spacing w:val="-11"/>
          <w:w w:val="120"/>
        </w:rPr>
        <w:t> </w:t>
      </w:r>
      <w:r>
        <w:rPr>
          <w:color w:val="231F20"/>
          <w:w w:val="120"/>
        </w:rPr>
        <w:t>pro- </w:t>
      </w:r>
      <w:r>
        <w:rPr>
          <w:color w:val="231F20"/>
          <w:spacing w:val="-4"/>
          <w:w w:val="120"/>
        </w:rPr>
        <w:t>duire</w:t>
      </w:r>
      <w:r>
        <w:rPr>
          <w:color w:val="231F20"/>
          <w:spacing w:val="-6"/>
          <w:w w:val="120"/>
        </w:rPr>
        <w:t> </w:t>
      </w:r>
      <w:r>
        <w:rPr>
          <w:color w:val="231F20"/>
          <w:spacing w:val="-4"/>
          <w:w w:val="120"/>
        </w:rPr>
        <w:t>un</w:t>
      </w:r>
      <w:r>
        <w:rPr>
          <w:color w:val="231F20"/>
          <w:spacing w:val="-6"/>
          <w:w w:val="120"/>
        </w:rPr>
        <w:t> </w:t>
      </w:r>
      <w:r>
        <w:rPr>
          <w:color w:val="231F20"/>
          <w:spacing w:val="-4"/>
          <w:w w:val="120"/>
        </w:rPr>
        <w:t>rendement</w:t>
      </w:r>
      <w:r>
        <w:rPr>
          <w:color w:val="231F20"/>
          <w:spacing w:val="-6"/>
          <w:w w:val="120"/>
        </w:rPr>
        <w:t> </w:t>
      </w:r>
      <w:r>
        <w:rPr>
          <w:color w:val="231F20"/>
          <w:spacing w:val="-4"/>
          <w:w w:val="120"/>
        </w:rPr>
        <w:t>élevé</w:t>
      </w:r>
      <w:r>
        <w:rPr>
          <w:color w:val="231F20"/>
          <w:spacing w:val="-6"/>
          <w:w w:val="120"/>
        </w:rPr>
        <w:t> </w:t>
      </w:r>
      <w:r>
        <w:rPr>
          <w:color w:val="231F20"/>
          <w:spacing w:val="-4"/>
          <w:w w:val="120"/>
        </w:rPr>
        <w:t>est</w:t>
      </w:r>
      <w:r>
        <w:rPr>
          <w:color w:val="231F20"/>
          <w:spacing w:val="-6"/>
          <w:w w:val="120"/>
        </w:rPr>
        <w:t> </w:t>
      </w:r>
      <w:r>
        <w:rPr>
          <w:color w:val="231F20"/>
          <w:spacing w:val="-4"/>
          <w:w w:val="120"/>
        </w:rPr>
        <w:t>de</w:t>
      </w:r>
      <w:r>
        <w:rPr>
          <w:color w:val="231F20"/>
          <w:spacing w:val="-6"/>
          <w:w w:val="120"/>
        </w:rPr>
        <w:t> </w:t>
      </w:r>
      <w:r>
        <w:rPr>
          <w:color w:val="231F20"/>
          <w:spacing w:val="-4"/>
          <w:w w:val="120"/>
        </w:rPr>
        <w:t>générer</w:t>
      </w:r>
      <w:r>
        <w:rPr>
          <w:color w:val="231F20"/>
          <w:spacing w:val="-6"/>
          <w:w w:val="120"/>
        </w:rPr>
        <w:t> </w:t>
      </w:r>
      <w:r>
        <w:rPr>
          <w:color w:val="231F20"/>
          <w:spacing w:val="-4"/>
          <w:w w:val="120"/>
        </w:rPr>
        <w:t>un</w:t>
      </w:r>
      <w:r>
        <w:rPr>
          <w:color w:val="231F20"/>
          <w:spacing w:val="-6"/>
          <w:w w:val="120"/>
        </w:rPr>
        <w:t> </w:t>
      </w:r>
      <w:r>
        <w:rPr>
          <w:color w:val="231F20"/>
          <w:spacing w:val="-4"/>
          <w:w w:val="120"/>
        </w:rPr>
        <w:t>niveau</w:t>
      </w:r>
      <w:r>
        <w:rPr>
          <w:color w:val="231F20"/>
          <w:spacing w:val="-6"/>
          <w:w w:val="120"/>
        </w:rPr>
        <w:t> </w:t>
      </w:r>
      <w:r>
        <w:rPr>
          <w:color w:val="231F20"/>
          <w:spacing w:val="-4"/>
          <w:w w:val="120"/>
        </w:rPr>
        <w:t>modéré</w:t>
      </w:r>
      <w:r>
        <w:rPr>
          <w:color w:val="231F20"/>
          <w:spacing w:val="-6"/>
          <w:w w:val="120"/>
        </w:rPr>
        <w:t> </w:t>
      </w:r>
      <w:r>
        <w:rPr>
          <w:color w:val="231F20"/>
          <w:spacing w:val="-4"/>
          <w:w w:val="120"/>
        </w:rPr>
        <w:t>de</w:t>
      </w:r>
      <w:r>
        <w:rPr>
          <w:color w:val="231F20"/>
          <w:spacing w:val="-6"/>
          <w:w w:val="120"/>
        </w:rPr>
        <w:t> </w:t>
      </w:r>
      <w:r>
        <w:rPr>
          <w:color w:val="231F20"/>
          <w:spacing w:val="-4"/>
          <w:w w:val="120"/>
        </w:rPr>
        <w:t>stimulation. </w:t>
      </w:r>
      <w:r>
        <w:rPr>
          <w:color w:val="231F20"/>
          <w:spacing w:val="-2"/>
          <w:w w:val="120"/>
        </w:rPr>
        <w:t>C’est</w:t>
      </w:r>
      <w:r>
        <w:rPr>
          <w:color w:val="231F20"/>
          <w:spacing w:val="-7"/>
          <w:w w:val="120"/>
        </w:rPr>
        <w:t> </w:t>
      </w:r>
      <w:r>
        <w:rPr>
          <w:color w:val="231F20"/>
          <w:spacing w:val="-2"/>
          <w:w w:val="120"/>
        </w:rPr>
        <w:t>cette</w:t>
      </w:r>
      <w:r>
        <w:rPr>
          <w:color w:val="231F20"/>
          <w:spacing w:val="-7"/>
          <w:w w:val="120"/>
        </w:rPr>
        <w:t> </w:t>
      </w:r>
      <w:r>
        <w:rPr>
          <w:color w:val="231F20"/>
          <w:spacing w:val="-2"/>
          <w:w w:val="120"/>
        </w:rPr>
        <w:t>logique</w:t>
      </w:r>
      <w:r>
        <w:rPr>
          <w:color w:val="231F20"/>
          <w:spacing w:val="-7"/>
          <w:w w:val="120"/>
        </w:rPr>
        <w:t> </w:t>
      </w:r>
      <w:r>
        <w:rPr>
          <w:color w:val="231F20"/>
          <w:spacing w:val="-2"/>
          <w:w w:val="120"/>
        </w:rPr>
        <w:t>qui</w:t>
      </w:r>
      <w:r>
        <w:rPr>
          <w:color w:val="231F20"/>
          <w:spacing w:val="-7"/>
          <w:w w:val="120"/>
        </w:rPr>
        <w:t> </w:t>
      </w:r>
      <w:r>
        <w:rPr>
          <w:color w:val="231F20"/>
          <w:spacing w:val="-2"/>
          <w:w w:val="120"/>
        </w:rPr>
        <w:t>alimente</w:t>
      </w:r>
      <w:r>
        <w:rPr>
          <w:color w:val="231F20"/>
          <w:spacing w:val="-7"/>
          <w:w w:val="120"/>
        </w:rPr>
        <w:t> </w:t>
      </w:r>
      <w:r>
        <w:rPr>
          <w:color w:val="231F20"/>
          <w:spacing w:val="-2"/>
          <w:w w:val="120"/>
        </w:rPr>
        <w:t>des</w:t>
      </w:r>
      <w:r>
        <w:rPr>
          <w:color w:val="231F20"/>
          <w:spacing w:val="-7"/>
          <w:w w:val="120"/>
        </w:rPr>
        <w:t> </w:t>
      </w:r>
      <w:r>
        <w:rPr>
          <w:color w:val="231F20"/>
          <w:spacing w:val="-2"/>
          <w:w w:val="120"/>
        </w:rPr>
        <w:t>notions</w:t>
      </w:r>
      <w:r>
        <w:rPr>
          <w:color w:val="231F20"/>
          <w:spacing w:val="-7"/>
          <w:w w:val="120"/>
        </w:rPr>
        <w:t> </w:t>
      </w:r>
      <w:r>
        <w:rPr>
          <w:color w:val="231F20"/>
          <w:spacing w:val="-2"/>
          <w:w w:val="120"/>
        </w:rPr>
        <w:t>telles</w:t>
      </w:r>
      <w:r>
        <w:rPr>
          <w:color w:val="231F20"/>
          <w:spacing w:val="-7"/>
          <w:w w:val="120"/>
        </w:rPr>
        <w:t> </w:t>
      </w:r>
      <w:r>
        <w:rPr>
          <w:color w:val="231F20"/>
          <w:spacing w:val="-2"/>
          <w:w w:val="120"/>
        </w:rPr>
        <w:t>que</w:t>
      </w:r>
      <w:r>
        <w:rPr>
          <w:color w:val="231F20"/>
          <w:spacing w:val="-7"/>
          <w:w w:val="120"/>
        </w:rPr>
        <w:t> </w:t>
      </w:r>
      <w:r>
        <w:rPr>
          <w:color w:val="231F20"/>
          <w:spacing w:val="-2"/>
          <w:w w:val="120"/>
        </w:rPr>
        <w:t>le</w:t>
      </w:r>
      <w:r>
        <w:rPr>
          <w:color w:val="231F20"/>
          <w:spacing w:val="-7"/>
          <w:w w:val="120"/>
        </w:rPr>
        <w:t> </w:t>
      </w:r>
      <w:r>
        <w:rPr>
          <w:color w:val="231F20"/>
          <w:spacing w:val="-2"/>
          <w:w w:val="120"/>
        </w:rPr>
        <w:t>stress</w:t>
      </w:r>
      <w:r>
        <w:rPr>
          <w:color w:val="231F20"/>
          <w:spacing w:val="-7"/>
          <w:w w:val="120"/>
        </w:rPr>
        <w:t> </w:t>
      </w:r>
      <w:r>
        <w:rPr>
          <w:color w:val="231F20"/>
          <w:spacing w:val="-2"/>
          <w:w w:val="120"/>
        </w:rPr>
        <w:t>positif</w:t>
      </w:r>
      <w:r>
        <w:rPr>
          <w:color w:val="231F20"/>
          <w:spacing w:val="-7"/>
          <w:w w:val="120"/>
        </w:rPr>
        <w:t> </w:t>
      </w:r>
      <w:r>
        <w:rPr>
          <w:color w:val="231F20"/>
          <w:spacing w:val="-2"/>
          <w:w w:val="120"/>
        </w:rPr>
        <w:t>ou </w:t>
      </w:r>
      <w:r>
        <w:rPr>
          <w:color w:val="231F20"/>
          <w:w w:val="120"/>
        </w:rPr>
        <w:t>le</w:t>
      </w:r>
      <w:r>
        <w:rPr>
          <w:color w:val="231F20"/>
          <w:spacing w:val="-1"/>
          <w:w w:val="120"/>
        </w:rPr>
        <w:t> </w:t>
      </w:r>
      <w:r>
        <w:rPr>
          <w:color w:val="231F20"/>
          <w:w w:val="120"/>
        </w:rPr>
        <w:t>stress</w:t>
      </w:r>
      <w:r>
        <w:rPr>
          <w:color w:val="231F20"/>
          <w:spacing w:val="-1"/>
          <w:w w:val="120"/>
        </w:rPr>
        <w:t> </w:t>
      </w:r>
      <w:r>
        <w:rPr>
          <w:color w:val="231F20"/>
          <w:w w:val="120"/>
        </w:rPr>
        <w:t>optimal.</w:t>
      </w:r>
      <w:r>
        <w:rPr>
          <w:color w:val="231F20"/>
          <w:spacing w:val="-1"/>
          <w:w w:val="120"/>
        </w:rPr>
        <w:t> </w:t>
      </w:r>
      <w:r>
        <w:rPr>
          <w:color w:val="231F20"/>
          <w:w w:val="120"/>
        </w:rPr>
        <w:t>Ainsi,</w:t>
      </w:r>
      <w:r>
        <w:rPr>
          <w:color w:val="231F20"/>
          <w:spacing w:val="-1"/>
          <w:w w:val="120"/>
        </w:rPr>
        <w:t> </w:t>
      </w:r>
      <w:r>
        <w:rPr>
          <w:color w:val="231F20"/>
          <w:w w:val="120"/>
        </w:rPr>
        <w:t>selon</w:t>
      </w:r>
      <w:r>
        <w:rPr>
          <w:color w:val="231F20"/>
          <w:spacing w:val="-1"/>
          <w:w w:val="120"/>
        </w:rPr>
        <w:t> </w:t>
      </w:r>
      <w:r>
        <w:rPr>
          <w:color w:val="231F20"/>
          <w:w w:val="120"/>
        </w:rPr>
        <w:t>ce</w:t>
      </w:r>
      <w:r>
        <w:rPr>
          <w:color w:val="231F20"/>
          <w:spacing w:val="-1"/>
          <w:w w:val="120"/>
        </w:rPr>
        <w:t> </w:t>
      </w:r>
      <w:r>
        <w:rPr>
          <w:color w:val="231F20"/>
          <w:w w:val="120"/>
        </w:rPr>
        <w:t>principe,</w:t>
      </w:r>
      <w:r>
        <w:rPr>
          <w:color w:val="231F20"/>
          <w:spacing w:val="-1"/>
          <w:w w:val="120"/>
        </w:rPr>
        <w:t> </w:t>
      </w:r>
      <w:r>
        <w:rPr>
          <w:color w:val="231F20"/>
          <w:w w:val="120"/>
        </w:rPr>
        <w:t>les</w:t>
      </w:r>
      <w:r>
        <w:rPr>
          <w:color w:val="231F20"/>
          <w:spacing w:val="-1"/>
          <w:w w:val="120"/>
        </w:rPr>
        <w:t> </w:t>
      </w:r>
      <w:r>
        <w:rPr>
          <w:color w:val="231F20"/>
          <w:w w:val="120"/>
        </w:rPr>
        <w:t>personnes</w:t>
      </w:r>
      <w:r>
        <w:rPr>
          <w:color w:val="231F20"/>
          <w:spacing w:val="-1"/>
          <w:w w:val="120"/>
        </w:rPr>
        <w:t> </w:t>
      </w:r>
      <w:r>
        <w:rPr>
          <w:color w:val="231F20"/>
          <w:w w:val="120"/>
        </w:rPr>
        <w:t>atteignent</w:t>
      </w:r>
      <w:r>
        <w:rPr>
          <w:color w:val="231F20"/>
          <w:spacing w:val="-1"/>
          <w:w w:val="120"/>
        </w:rPr>
        <w:t> </w:t>
      </w:r>
      <w:r>
        <w:rPr>
          <w:color w:val="231F20"/>
          <w:w w:val="120"/>
        </w:rPr>
        <w:t>des rendements optimaux lorsqu’elles sont soumises à des stimulations d’intensité</w:t>
      </w:r>
      <w:r>
        <w:rPr>
          <w:color w:val="231F20"/>
          <w:spacing w:val="-13"/>
          <w:w w:val="120"/>
        </w:rPr>
        <w:t> </w:t>
      </w:r>
      <w:r>
        <w:rPr>
          <w:color w:val="231F20"/>
          <w:w w:val="120"/>
        </w:rPr>
        <w:t>moyenne,</w:t>
      </w:r>
      <w:r>
        <w:rPr>
          <w:color w:val="231F20"/>
          <w:spacing w:val="-12"/>
          <w:w w:val="120"/>
        </w:rPr>
        <w:t> </w:t>
      </w:r>
      <w:r>
        <w:rPr>
          <w:color w:val="231F20"/>
          <w:w w:val="120"/>
        </w:rPr>
        <w:t>c’est-à-dire</w:t>
      </w:r>
      <w:r>
        <w:rPr>
          <w:color w:val="231F20"/>
          <w:spacing w:val="-13"/>
          <w:w w:val="120"/>
        </w:rPr>
        <w:t> </w:t>
      </w:r>
      <w:r>
        <w:rPr>
          <w:color w:val="231F20"/>
          <w:w w:val="120"/>
        </w:rPr>
        <w:t>à</w:t>
      </w:r>
      <w:r>
        <w:rPr>
          <w:color w:val="231F20"/>
          <w:spacing w:val="-12"/>
          <w:w w:val="120"/>
        </w:rPr>
        <w:t> </w:t>
      </w:r>
      <w:r>
        <w:rPr>
          <w:color w:val="231F20"/>
          <w:w w:val="120"/>
        </w:rPr>
        <w:t>des</w:t>
      </w:r>
      <w:r>
        <w:rPr>
          <w:color w:val="231F20"/>
          <w:spacing w:val="-13"/>
          <w:w w:val="120"/>
        </w:rPr>
        <w:t> </w:t>
      </w:r>
      <w:r>
        <w:rPr>
          <w:color w:val="231F20"/>
          <w:w w:val="120"/>
        </w:rPr>
        <w:t>stress</w:t>
      </w:r>
      <w:r>
        <w:rPr>
          <w:color w:val="231F20"/>
          <w:spacing w:val="-12"/>
          <w:w w:val="120"/>
        </w:rPr>
        <w:t> </w:t>
      </w:r>
      <w:r>
        <w:rPr>
          <w:color w:val="231F20"/>
          <w:w w:val="120"/>
        </w:rPr>
        <w:t>de</w:t>
      </w:r>
      <w:r>
        <w:rPr>
          <w:color w:val="231F20"/>
          <w:spacing w:val="-13"/>
          <w:w w:val="120"/>
        </w:rPr>
        <w:t> </w:t>
      </w:r>
      <w:r>
        <w:rPr>
          <w:color w:val="231F20"/>
          <w:w w:val="120"/>
        </w:rPr>
        <w:t>niveaux</w:t>
      </w:r>
      <w:r>
        <w:rPr>
          <w:color w:val="231F20"/>
          <w:spacing w:val="-12"/>
          <w:w w:val="120"/>
        </w:rPr>
        <w:t> </w:t>
      </w:r>
      <w:r>
        <w:rPr>
          <w:color w:val="231F20"/>
          <w:w w:val="120"/>
        </w:rPr>
        <w:t>modérés.</w:t>
      </w:r>
      <w:r>
        <w:rPr>
          <w:color w:val="231F20"/>
          <w:spacing w:val="-13"/>
          <w:w w:val="120"/>
        </w:rPr>
        <w:t> </w:t>
      </w:r>
      <w:r>
        <w:rPr>
          <w:color w:val="231F20"/>
          <w:w w:val="120"/>
        </w:rPr>
        <w:t>Bien que cette logique unissant le stress au rendement tombe sous le sens </w:t>
      </w:r>
      <w:r>
        <w:rPr>
          <w:color w:val="231F20"/>
          <w:spacing w:val="-2"/>
          <w:w w:val="120"/>
        </w:rPr>
        <w:t>commun,</w:t>
      </w:r>
      <w:r>
        <w:rPr>
          <w:color w:val="231F20"/>
          <w:spacing w:val="-11"/>
          <w:w w:val="120"/>
        </w:rPr>
        <w:t> </w:t>
      </w:r>
      <w:r>
        <w:rPr>
          <w:color w:val="231F20"/>
          <w:spacing w:val="-2"/>
          <w:w w:val="120"/>
        </w:rPr>
        <w:t>très</w:t>
      </w:r>
      <w:r>
        <w:rPr>
          <w:color w:val="231F20"/>
          <w:spacing w:val="-11"/>
          <w:w w:val="120"/>
        </w:rPr>
        <w:t> </w:t>
      </w:r>
      <w:r>
        <w:rPr>
          <w:color w:val="231F20"/>
          <w:spacing w:val="-2"/>
          <w:w w:val="120"/>
        </w:rPr>
        <w:t>peu</w:t>
      </w:r>
      <w:r>
        <w:rPr>
          <w:color w:val="231F20"/>
          <w:spacing w:val="-11"/>
          <w:w w:val="120"/>
        </w:rPr>
        <w:t> </w:t>
      </w:r>
      <w:r>
        <w:rPr>
          <w:color w:val="231F20"/>
          <w:spacing w:val="-2"/>
          <w:w w:val="120"/>
        </w:rPr>
        <w:t>d’études</w:t>
      </w:r>
      <w:r>
        <w:rPr>
          <w:color w:val="231F20"/>
          <w:spacing w:val="-10"/>
          <w:w w:val="120"/>
        </w:rPr>
        <w:t> </w:t>
      </w:r>
      <w:r>
        <w:rPr>
          <w:color w:val="231F20"/>
          <w:spacing w:val="-2"/>
          <w:w w:val="120"/>
        </w:rPr>
        <w:t>permettent</w:t>
      </w:r>
      <w:r>
        <w:rPr>
          <w:color w:val="231F20"/>
          <w:spacing w:val="-11"/>
          <w:w w:val="120"/>
        </w:rPr>
        <w:t> </w:t>
      </w:r>
      <w:r>
        <w:rPr>
          <w:color w:val="231F20"/>
          <w:spacing w:val="-2"/>
          <w:w w:val="120"/>
        </w:rPr>
        <w:t>cependant</w:t>
      </w:r>
      <w:r>
        <w:rPr>
          <w:color w:val="231F20"/>
          <w:spacing w:val="-11"/>
          <w:w w:val="120"/>
        </w:rPr>
        <w:t> </w:t>
      </w:r>
      <w:r>
        <w:rPr>
          <w:color w:val="231F20"/>
          <w:spacing w:val="-2"/>
          <w:w w:val="120"/>
        </w:rPr>
        <w:t>d’en</w:t>
      </w:r>
      <w:r>
        <w:rPr>
          <w:color w:val="231F20"/>
          <w:spacing w:val="-11"/>
          <w:w w:val="120"/>
        </w:rPr>
        <w:t> </w:t>
      </w:r>
      <w:r>
        <w:rPr>
          <w:color w:val="231F20"/>
          <w:spacing w:val="-2"/>
          <w:w w:val="120"/>
        </w:rPr>
        <w:t>confirmer</w:t>
      </w:r>
      <w:r>
        <w:rPr>
          <w:color w:val="231F20"/>
          <w:spacing w:val="-10"/>
          <w:w w:val="120"/>
        </w:rPr>
        <w:t> </w:t>
      </w:r>
      <w:r>
        <w:rPr>
          <w:color w:val="231F20"/>
          <w:spacing w:val="-2"/>
          <w:w w:val="120"/>
        </w:rPr>
        <w:t>la</w:t>
      </w:r>
      <w:r>
        <w:rPr>
          <w:color w:val="231F20"/>
          <w:spacing w:val="-11"/>
          <w:w w:val="120"/>
        </w:rPr>
        <w:t> </w:t>
      </w:r>
      <w:r>
        <w:rPr>
          <w:color w:val="231F20"/>
          <w:spacing w:val="-2"/>
          <w:w w:val="120"/>
        </w:rPr>
        <w:t>véra- </w:t>
      </w:r>
      <w:r>
        <w:rPr>
          <w:color w:val="231F20"/>
          <w:w w:val="120"/>
        </w:rPr>
        <w:t>cité.</w:t>
      </w:r>
      <w:r>
        <w:rPr>
          <w:color w:val="231F20"/>
          <w:spacing w:val="-10"/>
          <w:w w:val="120"/>
        </w:rPr>
        <w:t> </w:t>
      </w:r>
      <w:r>
        <w:rPr>
          <w:color w:val="231F20"/>
          <w:w w:val="120"/>
        </w:rPr>
        <w:t>En</w:t>
      </w:r>
      <w:r>
        <w:rPr>
          <w:color w:val="231F20"/>
          <w:spacing w:val="-10"/>
          <w:w w:val="120"/>
        </w:rPr>
        <w:t> </w:t>
      </w:r>
      <w:r>
        <w:rPr>
          <w:color w:val="231F20"/>
          <w:w w:val="120"/>
        </w:rPr>
        <w:t>fait,</w:t>
      </w:r>
      <w:r>
        <w:rPr>
          <w:color w:val="231F20"/>
          <w:spacing w:val="-10"/>
          <w:w w:val="120"/>
        </w:rPr>
        <w:t> </w:t>
      </w:r>
      <w:r>
        <w:rPr>
          <w:color w:val="231F20"/>
          <w:w w:val="120"/>
        </w:rPr>
        <w:t>la</w:t>
      </w:r>
      <w:r>
        <w:rPr>
          <w:color w:val="231F20"/>
          <w:spacing w:val="-10"/>
          <w:w w:val="120"/>
        </w:rPr>
        <w:t> </w:t>
      </w:r>
      <w:r>
        <w:rPr>
          <w:color w:val="231F20"/>
          <w:w w:val="120"/>
        </w:rPr>
        <w:t>grande</w:t>
      </w:r>
      <w:r>
        <w:rPr>
          <w:color w:val="231F20"/>
          <w:spacing w:val="-10"/>
          <w:w w:val="120"/>
        </w:rPr>
        <w:t> </w:t>
      </w:r>
      <w:r>
        <w:rPr>
          <w:color w:val="231F20"/>
          <w:w w:val="120"/>
        </w:rPr>
        <w:t>majorité</w:t>
      </w:r>
      <w:r>
        <w:rPr>
          <w:color w:val="231F20"/>
          <w:spacing w:val="-10"/>
          <w:w w:val="120"/>
        </w:rPr>
        <w:t> </w:t>
      </w:r>
      <w:r>
        <w:rPr>
          <w:color w:val="231F20"/>
          <w:w w:val="120"/>
        </w:rPr>
        <w:t>des</w:t>
      </w:r>
      <w:r>
        <w:rPr>
          <w:color w:val="231F20"/>
          <w:spacing w:val="-10"/>
          <w:w w:val="120"/>
        </w:rPr>
        <w:t> </w:t>
      </w:r>
      <w:r>
        <w:rPr>
          <w:color w:val="231F20"/>
          <w:w w:val="120"/>
        </w:rPr>
        <w:t>études1</w:t>
      </w:r>
      <w:r>
        <w:rPr>
          <w:color w:val="231F20"/>
          <w:spacing w:val="-9"/>
          <w:w w:val="120"/>
        </w:rPr>
        <w:t> </w:t>
      </w:r>
      <w:r>
        <w:rPr>
          <w:color w:val="231F20"/>
          <w:w w:val="120"/>
        </w:rPr>
        <w:t>scrutant</w:t>
      </w:r>
      <w:r>
        <w:rPr>
          <w:color w:val="231F20"/>
          <w:spacing w:val="-10"/>
          <w:w w:val="120"/>
        </w:rPr>
        <w:t> </w:t>
      </w:r>
      <w:r>
        <w:rPr>
          <w:color w:val="231F20"/>
          <w:w w:val="120"/>
        </w:rPr>
        <w:t>l’effet</w:t>
      </w:r>
      <w:r>
        <w:rPr>
          <w:color w:val="231F20"/>
          <w:spacing w:val="-10"/>
          <w:w w:val="120"/>
        </w:rPr>
        <w:t> </w:t>
      </w:r>
      <w:r>
        <w:rPr>
          <w:color w:val="231F20"/>
          <w:w w:val="120"/>
        </w:rPr>
        <w:t>du</w:t>
      </w:r>
      <w:r>
        <w:rPr>
          <w:color w:val="231F20"/>
          <w:spacing w:val="-10"/>
          <w:w w:val="120"/>
        </w:rPr>
        <w:t> </w:t>
      </w:r>
      <w:r>
        <w:rPr>
          <w:color w:val="231F20"/>
          <w:w w:val="120"/>
        </w:rPr>
        <w:t>stress</w:t>
      </w:r>
      <w:r>
        <w:rPr>
          <w:color w:val="231F20"/>
          <w:spacing w:val="-10"/>
          <w:w w:val="120"/>
        </w:rPr>
        <w:t> </w:t>
      </w:r>
      <w:r>
        <w:rPr>
          <w:color w:val="231F20"/>
          <w:w w:val="120"/>
        </w:rPr>
        <w:t>sur la performance au travail observent plutôt que le stress est générale- </w:t>
      </w:r>
      <w:r>
        <w:rPr>
          <w:color w:val="231F20"/>
          <w:w w:val="115"/>
        </w:rPr>
        <w:t>ment</w:t>
      </w:r>
      <w:r>
        <w:rPr>
          <w:color w:val="231F20"/>
          <w:spacing w:val="-12"/>
          <w:w w:val="115"/>
        </w:rPr>
        <w:t> </w:t>
      </w:r>
      <w:r>
        <w:rPr>
          <w:color w:val="231F20"/>
          <w:w w:val="115"/>
        </w:rPr>
        <w:t>un frein à la performance. Ainsi, selon les résultats de plus de 70</w:t>
      </w:r>
      <w:r>
        <w:rPr>
          <w:color w:val="231F20"/>
          <w:spacing w:val="-13"/>
          <w:w w:val="115"/>
        </w:rPr>
        <w:t> </w:t>
      </w:r>
      <w:r>
        <w:rPr>
          <w:color w:val="231F20"/>
          <w:w w:val="115"/>
        </w:rPr>
        <w:t>% </w:t>
      </w:r>
      <w:r>
        <w:rPr>
          <w:color w:val="231F20"/>
          <w:w w:val="120"/>
        </w:rPr>
        <w:t>des</w:t>
      </w:r>
      <w:r>
        <w:rPr>
          <w:color w:val="231F20"/>
          <w:spacing w:val="-13"/>
          <w:w w:val="120"/>
        </w:rPr>
        <w:t> </w:t>
      </w:r>
      <w:r>
        <w:rPr>
          <w:color w:val="231F20"/>
          <w:w w:val="120"/>
        </w:rPr>
        <w:t>études,</w:t>
      </w:r>
      <w:r>
        <w:rPr>
          <w:color w:val="231F20"/>
          <w:spacing w:val="-13"/>
          <w:w w:val="120"/>
        </w:rPr>
        <w:t> </w:t>
      </w:r>
      <w:r>
        <w:rPr>
          <w:color w:val="231F20"/>
          <w:w w:val="120"/>
        </w:rPr>
        <w:t>plus</w:t>
      </w:r>
      <w:r>
        <w:rPr>
          <w:color w:val="231F20"/>
          <w:spacing w:val="-13"/>
          <w:w w:val="120"/>
        </w:rPr>
        <w:t> </w:t>
      </w:r>
      <w:r>
        <w:rPr>
          <w:color w:val="231F20"/>
          <w:w w:val="120"/>
        </w:rPr>
        <w:t>le</w:t>
      </w:r>
      <w:r>
        <w:rPr>
          <w:color w:val="231F20"/>
          <w:spacing w:val="-12"/>
          <w:w w:val="120"/>
        </w:rPr>
        <w:t> </w:t>
      </w:r>
      <w:r>
        <w:rPr>
          <w:color w:val="231F20"/>
          <w:w w:val="120"/>
        </w:rPr>
        <w:t>stress</w:t>
      </w:r>
      <w:r>
        <w:rPr>
          <w:color w:val="231F20"/>
          <w:spacing w:val="-13"/>
          <w:w w:val="120"/>
        </w:rPr>
        <w:t> </w:t>
      </w:r>
      <w:r>
        <w:rPr>
          <w:color w:val="231F20"/>
          <w:w w:val="120"/>
        </w:rPr>
        <w:t>des</w:t>
      </w:r>
      <w:r>
        <w:rPr>
          <w:color w:val="231F20"/>
          <w:spacing w:val="-13"/>
          <w:w w:val="120"/>
        </w:rPr>
        <w:t> </w:t>
      </w:r>
      <w:r>
        <w:rPr>
          <w:color w:val="231F20"/>
          <w:w w:val="120"/>
        </w:rPr>
        <w:t>travailleurs</w:t>
      </w:r>
      <w:r>
        <w:rPr>
          <w:color w:val="231F20"/>
          <w:spacing w:val="-13"/>
          <w:w w:val="120"/>
        </w:rPr>
        <w:t> </w:t>
      </w:r>
      <w:r>
        <w:rPr>
          <w:color w:val="231F20"/>
          <w:w w:val="120"/>
        </w:rPr>
        <w:t>augmente,</w:t>
      </w:r>
      <w:r>
        <w:rPr>
          <w:color w:val="231F20"/>
          <w:spacing w:val="-12"/>
          <w:w w:val="120"/>
        </w:rPr>
        <w:t> </w:t>
      </w:r>
      <w:r>
        <w:rPr>
          <w:color w:val="231F20"/>
          <w:w w:val="120"/>
        </w:rPr>
        <w:t>plus</w:t>
      </w:r>
      <w:r>
        <w:rPr>
          <w:color w:val="231F20"/>
          <w:spacing w:val="-13"/>
          <w:w w:val="120"/>
        </w:rPr>
        <w:t> </w:t>
      </w:r>
      <w:r>
        <w:rPr>
          <w:color w:val="231F20"/>
          <w:w w:val="120"/>
        </w:rPr>
        <w:t>leur</w:t>
      </w:r>
      <w:r>
        <w:rPr>
          <w:color w:val="231F20"/>
          <w:spacing w:val="-13"/>
          <w:w w:val="120"/>
        </w:rPr>
        <w:t> </w:t>
      </w:r>
      <w:r>
        <w:rPr>
          <w:color w:val="231F20"/>
          <w:w w:val="120"/>
        </w:rPr>
        <w:t>rendement décline. Cependant, les caractéristiques des travailleurs et celles de la tâche à effectuer ne sont pas étrangères au réel effet du stress sur le rendement.</w:t>
      </w:r>
      <w:r>
        <w:rPr>
          <w:color w:val="231F20"/>
          <w:spacing w:val="8"/>
          <w:w w:val="120"/>
        </w:rPr>
        <w:t> </w:t>
      </w:r>
      <w:r>
        <w:rPr>
          <w:color w:val="231F20"/>
          <w:w w:val="120"/>
        </w:rPr>
        <w:t>Cela</w:t>
      </w:r>
      <w:r>
        <w:rPr>
          <w:color w:val="231F20"/>
          <w:spacing w:val="9"/>
          <w:w w:val="120"/>
        </w:rPr>
        <w:t> </w:t>
      </w:r>
      <w:r>
        <w:rPr>
          <w:color w:val="231F20"/>
          <w:w w:val="120"/>
        </w:rPr>
        <w:t>a</w:t>
      </w:r>
      <w:r>
        <w:rPr>
          <w:color w:val="231F20"/>
          <w:spacing w:val="9"/>
          <w:w w:val="120"/>
        </w:rPr>
        <w:t> </w:t>
      </w:r>
      <w:r>
        <w:rPr>
          <w:color w:val="231F20"/>
          <w:w w:val="120"/>
        </w:rPr>
        <w:t>amené</w:t>
      </w:r>
      <w:r>
        <w:rPr>
          <w:color w:val="231F20"/>
          <w:spacing w:val="8"/>
          <w:w w:val="120"/>
        </w:rPr>
        <w:t> </w:t>
      </w:r>
      <w:r>
        <w:rPr>
          <w:color w:val="231F20"/>
          <w:w w:val="120"/>
        </w:rPr>
        <w:t>certains</w:t>
      </w:r>
      <w:r>
        <w:rPr>
          <w:color w:val="231F20"/>
          <w:spacing w:val="9"/>
          <w:w w:val="120"/>
        </w:rPr>
        <w:t> </w:t>
      </w:r>
      <w:r>
        <w:rPr>
          <w:color w:val="231F20"/>
          <w:w w:val="120"/>
        </w:rPr>
        <w:t>chercheurs2</w:t>
      </w:r>
      <w:r>
        <w:rPr>
          <w:color w:val="231F20"/>
          <w:spacing w:val="8"/>
          <w:w w:val="120"/>
        </w:rPr>
        <w:t> </w:t>
      </w:r>
      <w:r>
        <w:rPr>
          <w:color w:val="231F20"/>
          <w:w w:val="120"/>
        </w:rPr>
        <w:t>à</w:t>
      </w:r>
      <w:r>
        <w:rPr>
          <w:color w:val="231F20"/>
          <w:spacing w:val="8"/>
          <w:w w:val="120"/>
        </w:rPr>
        <w:t> </w:t>
      </w:r>
      <w:r>
        <w:rPr>
          <w:color w:val="231F20"/>
          <w:w w:val="120"/>
        </w:rPr>
        <w:t>proposer</w:t>
      </w:r>
      <w:r>
        <w:rPr>
          <w:color w:val="231F20"/>
          <w:spacing w:val="9"/>
          <w:w w:val="120"/>
        </w:rPr>
        <w:t> </w:t>
      </w:r>
      <w:r>
        <w:rPr>
          <w:color w:val="231F20"/>
          <w:w w:val="120"/>
        </w:rPr>
        <w:t>un</w:t>
      </w:r>
      <w:r>
        <w:rPr>
          <w:color w:val="231F20"/>
          <w:spacing w:val="9"/>
          <w:w w:val="120"/>
        </w:rPr>
        <w:t> </w:t>
      </w:r>
      <w:r>
        <w:rPr>
          <w:color w:val="231F20"/>
          <w:spacing w:val="-2"/>
          <w:w w:val="120"/>
        </w:rPr>
        <w:t>modèle</w:t>
      </w:r>
    </w:p>
    <w:p>
      <w:pPr>
        <w:pStyle w:val="BodyText"/>
        <w:rPr>
          <w:sz w:val="20"/>
        </w:rPr>
      </w:pPr>
    </w:p>
    <w:p>
      <w:pPr>
        <w:pStyle w:val="BodyText"/>
        <w:rPr>
          <w:sz w:val="20"/>
        </w:rPr>
      </w:pPr>
    </w:p>
    <w:p>
      <w:pPr>
        <w:pStyle w:val="BodyText"/>
        <w:spacing w:before="4"/>
        <w:rPr>
          <w:sz w:val="18"/>
        </w:rPr>
      </w:pPr>
      <w:r>
        <w:rPr/>
        <w:pict>
          <v:shape style="position:absolute;margin-left:62.5pt;margin-top:11.77627pt;width:287.5pt;height:.1pt;mso-position-horizontal-relative:page;mso-position-vertical-relative:paragraph;z-index:-15683072;mso-wrap-distance-left:0;mso-wrap-distance-right:0" id="docshape643" coordorigin="1250,236" coordsize="5750,0" path="m1250,236l7000,236e" filled="false" stroked="true" strokeweight=".25pt" strokecolor="#231f20">
            <v:path arrowok="t"/>
            <v:stroke dashstyle="shortdot"/>
            <w10:wrap type="topAndBottom"/>
          </v:shape>
        </w:pict>
      </w:r>
    </w:p>
    <w:p>
      <w:pPr>
        <w:pStyle w:val="ListParagraph"/>
        <w:numPr>
          <w:ilvl w:val="0"/>
          <w:numId w:val="41"/>
        </w:numPr>
        <w:tabs>
          <w:tab w:pos="829" w:val="left" w:leader="none"/>
          <w:tab w:pos="830" w:val="left" w:leader="none"/>
        </w:tabs>
        <w:spacing w:line="295" w:lineRule="auto" w:before="135" w:after="0"/>
        <w:ind w:left="829" w:right="498" w:hanging="328"/>
        <w:jc w:val="left"/>
        <w:rPr>
          <w:rFonts w:ascii="Arial" w:hAnsi="Arial"/>
          <w:sz w:val="12"/>
        </w:rPr>
      </w:pPr>
      <w:r>
        <w:rPr>
          <w:rFonts w:ascii="Arial" w:hAnsi="Arial"/>
          <w:color w:val="231F20"/>
          <w:sz w:val="12"/>
        </w:rPr>
        <w:t>Campbell,</w:t>
      </w:r>
      <w:r>
        <w:rPr>
          <w:rFonts w:ascii="Arial" w:hAnsi="Arial"/>
          <w:color w:val="231F20"/>
          <w:spacing w:val="-4"/>
          <w:sz w:val="12"/>
        </w:rPr>
        <w:t> </w:t>
      </w:r>
      <w:r>
        <w:rPr>
          <w:rFonts w:ascii="Arial" w:hAnsi="Arial"/>
          <w:color w:val="231F20"/>
          <w:sz w:val="12"/>
        </w:rPr>
        <w:t>M.,</w:t>
      </w:r>
      <w:r>
        <w:rPr>
          <w:rFonts w:ascii="Arial" w:hAnsi="Arial"/>
          <w:color w:val="231F20"/>
          <w:spacing w:val="-4"/>
          <w:sz w:val="12"/>
        </w:rPr>
        <w:t> </w:t>
      </w:r>
      <w:r>
        <w:rPr>
          <w:rFonts w:ascii="Arial" w:hAnsi="Arial"/>
          <w:color w:val="231F20"/>
          <w:sz w:val="12"/>
        </w:rPr>
        <w:t>Gosselin,</w:t>
      </w:r>
      <w:r>
        <w:rPr>
          <w:rFonts w:ascii="Arial" w:hAnsi="Arial"/>
          <w:color w:val="231F20"/>
          <w:spacing w:val="-4"/>
          <w:sz w:val="12"/>
        </w:rPr>
        <w:t> </w:t>
      </w:r>
      <w:r>
        <w:rPr>
          <w:rFonts w:ascii="Arial" w:hAnsi="Arial"/>
          <w:color w:val="231F20"/>
          <w:sz w:val="12"/>
        </w:rPr>
        <w:t>E.,</w:t>
      </w:r>
      <w:r>
        <w:rPr>
          <w:rFonts w:ascii="Arial" w:hAnsi="Arial"/>
          <w:color w:val="231F20"/>
          <w:spacing w:val="-4"/>
          <w:sz w:val="12"/>
        </w:rPr>
        <w:t> </w:t>
      </w:r>
      <w:r>
        <w:rPr>
          <w:rFonts w:ascii="Arial" w:hAnsi="Arial"/>
          <w:color w:val="231F20"/>
          <w:sz w:val="12"/>
        </w:rPr>
        <w:t>Tremblay,</w:t>
      </w:r>
      <w:r>
        <w:rPr>
          <w:rFonts w:ascii="Arial" w:hAnsi="Arial"/>
          <w:color w:val="231F20"/>
          <w:spacing w:val="-4"/>
          <w:sz w:val="12"/>
        </w:rPr>
        <w:t> </w:t>
      </w:r>
      <w:r>
        <w:rPr>
          <w:rFonts w:ascii="Arial" w:hAnsi="Arial"/>
          <w:color w:val="231F20"/>
          <w:sz w:val="12"/>
        </w:rPr>
        <w:t>J.-F.</w:t>
      </w:r>
      <w:r>
        <w:rPr>
          <w:rFonts w:ascii="Arial" w:hAnsi="Arial"/>
          <w:color w:val="231F20"/>
          <w:spacing w:val="-4"/>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Durivage,</w:t>
      </w:r>
      <w:r>
        <w:rPr>
          <w:rFonts w:ascii="Arial" w:hAnsi="Arial"/>
          <w:color w:val="231F20"/>
          <w:spacing w:val="-4"/>
          <w:sz w:val="12"/>
        </w:rPr>
        <w:t> </w:t>
      </w:r>
      <w:r>
        <w:rPr>
          <w:rFonts w:ascii="Arial" w:hAnsi="Arial"/>
          <w:color w:val="231F20"/>
          <w:sz w:val="12"/>
        </w:rPr>
        <w:t>A.</w:t>
      </w:r>
      <w:r>
        <w:rPr>
          <w:rFonts w:ascii="Arial" w:hAnsi="Arial"/>
          <w:color w:val="231F20"/>
          <w:spacing w:val="-4"/>
          <w:sz w:val="12"/>
        </w:rPr>
        <w:t> </w:t>
      </w:r>
      <w:r>
        <w:rPr>
          <w:rFonts w:ascii="Arial" w:hAnsi="Arial"/>
          <w:color w:val="231F20"/>
          <w:sz w:val="12"/>
        </w:rPr>
        <w:t>(2019).</w:t>
      </w:r>
      <w:r>
        <w:rPr>
          <w:rFonts w:ascii="Arial" w:hAnsi="Arial"/>
          <w:color w:val="231F20"/>
          <w:spacing w:val="-4"/>
          <w:sz w:val="12"/>
        </w:rPr>
        <w:t> </w:t>
      </w:r>
      <w:r>
        <w:rPr>
          <w:rFonts w:ascii="Arial" w:hAnsi="Arial"/>
          <w:color w:val="231F20"/>
          <w:sz w:val="12"/>
        </w:rPr>
        <w:t>Relation</w:t>
      </w:r>
      <w:r>
        <w:rPr>
          <w:rFonts w:ascii="Arial" w:hAnsi="Arial"/>
          <w:color w:val="231F20"/>
          <w:spacing w:val="-4"/>
          <w:sz w:val="12"/>
        </w:rPr>
        <w:t> </w:t>
      </w:r>
      <w:r>
        <w:rPr>
          <w:rFonts w:ascii="Arial" w:hAnsi="Arial"/>
          <w:color w:val="231F20"/>
          <w:sz w:val="12"/>
        </w:rPr>
        <w:t>entre</w:t>
      </w:r>
      <w:r>
        <w:rPr>
          <w:rFonts w:ascii="Arial" w:hAnsi="Arial"/>
          <w:color w:val="231F20"/>
          <w:spacing w:val="-4"/>
          <w:sz w:val="12"/>
        </w:rPr>
        <w:t> </w:t>
      </w:r>
      <w:r>
        <w:rPr>
          <w:rFonts w:ascii="Arial" w:hAnsi="Arial"/>
          <w:color w:val="231F20"/>
          <w:sz w:val="12"/>
        </w:rPr>
        <w:t>le</w:t>
      </w:r>
      <w:r>
        <w:rPr>
          <w:rFonts w:ascii="Arial" w:hAnsi="Arial"/>
          <w:color w:val="231F20"/>
          <w:spacing w:val="-4"/>
          <w:sz w:val="12"/>
        </w:rPr>
        <w:t> </w:t>
      </w:r>
      <w:r>
        <w:rPr>
          <w:rFonts w:ascii="Arial" w:hAnsi="Arial"/>
          <w:color w:val="231F20"/>
          <w:sz w:val="12"/>
        </w:rPr>
        <w:t>stress</w:t>
      </w:r>
      <w:r>
        <w:rPr>
          <w:rFonts w:ascii="Arial" w:hAnsi="Arial"/>
          <w:color w:val="231F20"/>
          <w:spacing w:val="-4"/>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la</w:t>
      </w:r>
      <w:r>
        <w:rPr>
          <w:rFonts w:ascii="Arial" w:hAnsi="Arial"/>
          <w:color w:val="231F20"/>
          <w:spacing w:val="-4"/>
          <w:sz w:val="12"/>
        </w:rPr>
        <w:t> </w:t>
      </w:r>
      <w:r>
        <w:rPr>
          <w:rFonts w:ascii="Arial" w:hAnsi="Arial"/>
          <w:color w:val="231F20"/>
          <w:sz w:val="12"/>
        </w:rPr>
        <w:t>performance</w:t>
      </w:r>
      <w:r>
        <w:rPr>
          <w:rFonts w:ascii="Arial" w:hAnsi="Arial"/>
          <w:color w:val="231F20"/>
          <w:spacing w:val="40"/>
          <w:sz w:val="12"/>
        </w:rPr>
        <w:t> </w:t>
      </w:r>
      <w:r>
        <w:rPr>
          <w:rFonts w:ascii="Arial" w:hAnsi="Arial"/>
          <w:color w:val="231F20"/>
          <w:sz w:val="12"/>
        </w:rPr>
        <w:t>au travail: un devis expérimental, </w:t>
      </w:r>
      <w:r>
        <w:rPr>
          <w:rFonts w:ascii="Arial" w:hAnsi="Arial"/>
          <w:i/>
          <w:color w:val="231F20"/>
          <w:sz w:val="12"/>
        </w:rPr>
        <w:t>Ad Machina</w:t>
      </w:r>
      <w:r>
        <w:rPr>
          <w:rFonts w:ascii="Arial" w:hAnsi="Arial"/>
          <w:color w:val="231F20"/>
          <w:sz w:val="12"/>
        </w:rPr>
        <w:t>, </w:t>
      </w:r>
      <w:r>
        <w:rPr>
          <w:rFonts w:ascii="Arial" w:hAnsi="Arial"/>
          <w:i/>
          <w:color w:val="231F20"/>
          <w:sz w:val="12"/>
        </w:rPr>
        <w:t>3</w:t>
      </w:r>
      <w:r>
        <w:rPr>
          <w:rFonts w:ascii="Arial" w:hAnsi="Arial"/>
          <w:color w:val="231F20"/>
          <w:sz w:val="12"/>
        </w:rPr>
        <w:t>, 39-57.</w:t>
      </w:r>
    </w:p>
    <w:p>
      <w:pPr>
        <w:pStyle w:val="ListParagraph"/>
        <w:numPr>
          <w:ilvl w:val="0"/>
          <w:numId w:val="41"/>
        </w:numPr>
        <w:tabs>
          <w:tab w:pos="829" w:val="left" w:leader="none"/>
          <w:tab w:pos="830" w:val="left" w:leader="none"/>
        </w:tabs>
        <w:spacing w:line="295" w:lineRule="auto" w:before="0" w:after="0"/>
        <w:ind w:left="829" w:right="499" w:hanging="328"/>
        <w:jc w:val="left"/>
        <w:rPr>
          <w:rFonts w:ascii="Arial"/>
          <w:sz w:val="12"/>
        </w:rPr>
      </w:pPr>
      <w:r>
        <w:rPr>
          <w:rFonts w:ascii="Arial"/>
          <w:color w:val="231F20"/>
          <w:sz w:val="12"/>
        </w:rPr>
        <w:t>Gosselin,</w:t>
      </w:r>
      <w:r>
        <w:rPr>
          <w:rFonts w:ascii="Arial"/>
          <w:color w:val="231F20"/>
          <w:spacing w:val="-9"/>
          <w:sz w:val="12"/>
        </w:rPr>
        <w:t> </w:t>
      </w:r>
      <w:r>
        <w:rPr>
          <w:rFonts w:ascii="Arial"/>
          <w:color w:val="231F20"/>
          <w:sz w:val="12"/>
        </w:rPr>
        <w:t>E.</w:t>
      </w:r>
      <w:r>
        <w:rPr>
          <w:rFonts w:ascii="Arial"/>
          <w:color w:val="231F20"/>
          <w:spacing w:val="-10"/>
          <w:sz w:val="12"/>
        </w:rPr>
        <w:t> </w:t>
      </w:r>
      <w:r>
        <w:rPr>
          <w:rFonts w:ascii="Arial"/>
          <w:color w:val="231F20"/>
          <w:sz w:val="12"/>
        </w:rPr>
        <w:t>et</w:t>
      </w:r>
      <w:r>
        <w:rPr>
          <w:rFonts w:ascii="Arial"/>
          <w:color w:val="231F20"/>
          <w:spacing w:val="-10"/>
          <w:sz w:val="12"/>
        </w:rPr>
        <w:t> </w:t>
      </w:r>
      <w:r>
        <w:rPr>
          <w:rFonts w:ascii="Arial"/>
          <w:color w:val="231F20"/>
          <w:sz w:val="12"/>
        </w:rPr>
        <w:t>Campbell,</w:t>
      </w:r>
      <w:r>
        <w:rPr>
          <w:rFonts w:ascii="Arial"/>
          <w:color w:val="231F20"/>
          <w:spacing w:val="-8"/>
          <w:sz w:val="12"/>
        </w:rPr>
        <w:t> </w:t>
      </w:r>
      <w:r>
        <w:rPr>
          <w:rFonts w:ascii="Arial"/>
          <w:color w:val="231F20"/>
          <w:sz w:val="12"/>
        </w:rPr>
        <w:t>M.</w:t>
      </w:r>
      <w:r>
        <w:rPr>
          <w:rFonts w:ascii="Arial"/>
          <w:color w:val="231F20"/>
          <w:spacing w:val="-8"/>
          <w:sz w:val="12"/>
        </w:rPr>
        <w:t> </w:t>
      </w:r>
      <w:r>
        <w:rPr>
          <w:rFonts w:ascii="Arial"/>
          <w:color w:val="231F20"/>
          <w:sz w:val="12"/>
        </w:rPr>
        <w:t>(2014).</w:t>
      </w:r>
      <w:r>
        <w:rPr>
          <w:rFonts w:ascii="Arial"/>
          <w:color w:val="231F20"/>
          <w:spacing w:val="-9"/>
          <w:sz w:val="12"/>
        </w:rPr>
        <w:t> </w:t>
      </w:r>
      <w:r>
        <w:rPr>
          <w:rFonts w:ascii="Arial"/>
          <w:color w:val="231F20"/>
          <w:sz w:val="12"/>
        </w:rPr>
        <w:t>Stress</w:t>
      </w:r>
      <w:r>
        <w:rPr>
          <w:rFonts w:ascii="Arial"/>
          <w:color w:val="231F20"/>
          <w:spacing w:val="-8"/>
          <w:sz w:val="12"/>
        </w:rPr>
        <w:t> </w:t>
      </w:r>
      <w:r>
        <w:rPr>
          <w:rFonts w:ascii="Arial"/>
          <w:color w:val="231F20"/>
          <w:sz w:val="12"/>
        </w:rPr>
        <w:t>et</w:t>
      </w:r>
      <w:r>
        <w:rPr>
          <w:rFonts w:ascii="Arial"/>
          <w:color w:val="231F20"/>
          <w:spacing w:val="-8"/>
          <w:sz w:val="12"/>
        </w:rPr>
        <w:t> </w:t>
      </w:r>
      <w:r>
        <w:rPr>
          <w:rFonts w:ascii="Arial"/>
          <w:color w:val="231F20"/>
          <w:sz w:val="12"/>
        </w:rPr>
        <w:t>performance.</w:t>
      </w:r>
      <w:r>
        <w:rPr>
          <w:rFonts w:ascii="Arial"/>
          <w:color w:val="231F20"/>
          <w:spacing w:val="-9"/>
          <w:sz w:val="12"/>
        </w:rPr>
        <w:t> </w:t>
      </w:r>
      <w:r>
        <w:rPr>
          <w:rFonts w:ascii="Arial"/>
          <w:color w:val="231F20"/>
          <w:sz w:val="12"/>
        </w:rPr>
        <w:t>Dans</w:t>
      </w:r>
      <w:r>
        <w:rPr>
          <w:rFonts w:ascii="Arial"/>
          <w:color w:val="231F20"/>
          <w:spacing w:val="-8"/>
          <w:sz w:val="12"/>
        </w:rPr>
        <w:t> </w:t>
      </w:r>
      <w:r>
        <w:rPr>
          <w:rFonts w:ascii="Arial"/>
          <w:color w:val="231F20"/>
          <w:sz w:val="12"/>
        </w:rPr>
        <w:t>P.</w:t>
      </w:r>
      <w:r>
        <w:rPr>
          <w:rFonts w:ascii="Arial"/>
          <w:color w:val="231F20"/>
          <w:spacing w:val="-9"/>
          <w:sz w:val="12"/>
        </w:rPr>
        <w:t> </w:t>
      </w:r>
      <w:r>
        <w:rPr>
          <w:rFonts w:ascii="Arial"/>
          <w:color w:val="231F20"/>
          <w:sz w:val="12"/>
        </w:rPr>
        <w:t>Zawieja</w:t>
      </w:r>
      <w:r>
        <w:rPr>
          <w:rFonts w:ascii="Arial"/>
          <w:color w:val="231F20"/>
          <w:spacing w:val="-8"/>
          <w:sz w:val="12"/>
        </w:rPr>
        <w:t> </w:t>
      </w:r>
      <w:r>
        <w:rPr>
          <w:rFonts w:ascii="Arial"/>
          <w:color w:val="231F20"/>
          <w:sz w:val="12"/>
        </w:rPr>
        <w:t>et</w:t>
      </w:r>
      <w:r>
        <w:rPr>
          <w:rFonts w:ascii="Arial"/>
          <w:color w:val="231F20"/>
          <w:spacing w:val="-8"/>
          <w:sz w:val="12"/>
        </w:rPr>
        <w:t> </w:t>
      </w:r>
      <w:r>
        <w:rPr>
          <w:rFonts w:ascii="Arial"/>
          <w:color w:val="231F20"/>
          <w:sz w:val="12"/>
        </w:rPr>
        <w:t>F.</w:t>
      </w:r>
      <w:r>
        <w:rPr>
          <w:rFonts w:ascii="Arial"/>
          <w:color w:val="231F20"/>
          <w:spacing w:val="-9"/>
          <w:sz w:val="12"/>
        </w:rPr>
        <w:t> </w:t>
      </w:r>
      <w:r>
        <w:rPr>
          <w:rFonts w:ascii="Arial"/>
          <w:color w:val="231F20"/>
          <w:sz w:val="12"/>
        </w:rPr>
        <w:t>Guarnieri</w:t>
      </w:r>
      <w:r>
        <w:rPr>
          <w:rFonts w:ascii="Arial"/>
          <w:color w:val="231F20"/>
          <w:spacing w:val="-8"/>
          <w:sz w:val="12"/>
        </w:rPr>
        <w:t> </w:t>
      </w:r>
      <w:r>
        <w:rPr>
          <w:rFonts w:ascii="Arial"/>
          <w:color w:val="231F20"/>
          <w:sz w:val="12"/>
        </w:rPr>
        <w:t>(dir.),</w:t>
      </w:r>
      <w:r>
        <w:rPr>
          <w:rFonts w:ascii="Arial"/>
          <w:color w:val="231F20"/>
          <w:spacing w:val="-8"/>
          <w:sz w:val="12"/>
        </w:rPr>
        <w:t> </w:t>
      </w:r>
      <w:r>
        <w:rPr>
          <w:rFonts w:ascii="Arial"/>
          <w:i/>
          <w:color w:val="231F20"/>
          <w:sz w:val="12"/>
        </w:rPr>
        <w:t>Dictionnaire</w:t>
      </w:r>
      <w:r>
        <w:rPr>
          <w:rFonts w:ascii="Arial"/>
          <w:i/>
          <w:color w:val="231F20"/>
          <w:spacing w:val="40"/>
          <w:sz w:val="12"/>
        </w:rPr>
        <w:t> </w:t>
      </w:r>
      <w:r>
        <w:rPr>
          <w:rFonts w:ascii="Arial"/>
          <w:i/>
          <w:color w:val="231F20"/>
          <w:sz w:val="12"/>
        </w:rPr>
        <w:t>des</w:t>
      </w:r>
      <w:r>
        <w:rPr>
          <w:rFonts w:ascii="Arial"/>
          <w:i/>
          <w:color w:val="231F20"/>
          <w:spacing w:val="-2"/>
          <w:sz w:val="12"/>
        </w:rPr>
        <w:t> </w:t>
      </w:r>
      <w:r>
        <w:rPr>
          <w:rFonts w:ascii="Arial"/>
          <w:i/>
          <w:color w:val="231F20"/>
          <w:sz w:val="12"/>
        </w:rPr>
        <w:t>risques</w:t>
      </w:r>
      <w:r>
        <w:rPr>
          <w:rFonts w:ascii="Arial"/>
          <w:i/>
          <w:color w:val="231F20"/>
          <w:spacing w:val="-2"/>
          <w:sz w:val="12"/>
        </w:rPr>
        <w:t> </w:t>
      </w:r>
      <w:r>
        <w:rPr>
          <w:rFonts w:ascii="Arial"/>
          <w:i/>
          <w:color w:val="231F20"/>
          <w:sz w:val="12"/>
        </w:rPr>
        <w:t>psychosociaux</w:t>
      </w:r>
      <w:r>
        <w:rPr>
          <w:rFonts w:ascii="Arial"/>
          <w:color w:val="231F20"/>
          <w:sz w:val="12"/>
        </w:rPr>
        <w:t>,</w:t>
      </w:r>
      <w:r>
        <w:rPr>
          <w:rFonts w:ascii="Arial"/>
          <w:color w:val="231F20"/>
          <w:spacing w:val="-2"/>
          <w:sz w:val="12"/>
        </w:rPr>
        <w:t> </w:t>
      </w:r>
      <w:r>
        <w:rPr>
          <w:rFonts w:ascii="Arial"/>
          <w:color w:val="231F20"/>
          <w:sz w:val="12"/>
        </w:rPr>
        <w:t>Paris,</w:t>
      </w:r>
      <w:r>
        <w:rPr>
          <w:rFonts w:ascii="Arial"/>
          <w:color w:val="231F20"/>
          <w:spacing w:val="-2"/>
          <w:sz w:val="12"/>
        </w:rPr>
        <w:t> </w:t>
      </w:r>
      <w:r>
        <w:rPr>
          <w:rFonts w:ascii="Arial"/>
          <w:color w:val="231F20"/>
          <w:sz w:val="12"/>
        </w:rPr>
        <w:t>Seuil,</w:t>
      </w:r>
      <w:r>
        <w:rPr>
          <w:rFonts w:ascii="Arial"/>
          <w:color w:val="231F20"/>
          <w:spacing w:val="-2"/>
          <w:sz w:val="12"/>
        </w:rPr>
        <w:t> </w:t>
      </w:r>
      <w:r>
        <w:rPr>
          <w:rFonts w:ascii="Arial"/>
          <w:color w:val="231F20"/>
          <w:sz w:val="12"/>
        </w:rPr>
        <w:t>p.</w:t>
      </w:r>
      <w:r>
        <w:rPr>
          <w:rFonts w:ascii="Arial"/>
          <w:color w:val="231F20"/>
          <w:spacing w:val="-2"/>
          <w:sz w:val="12"/>
        </w:rPr>
        <w:t> </w:t>
      </w:r>
      <w:r>
        <w:rPr>
          <w:rFonts w:ascii="Arial"/>
          <w:color w:val="231F20"/>
          <w:sz w:val="12"/>
        </w:rPr>
        <w:t>743-744.</w:t>
      </w:r>
    </w:p>
    <w:p>
      <w:pPr>
        <w:spacing w:after="0" w:line="295" w:lineRule="auto"/>
        <w:jc w:val="left"/>
        <w:rPr>
          <w:rFonts w:ascii="Arial"/>
          <w:sz w:val="12"/>
        </w:rPr>
        <w:sectPr>
          <w:footerReference w:type="default" r:id="rId182"/>
          <w:pgSz w:w="8640" w:h="12960"/>
          <w:pgMar w:footer="424" w:header="0" w:top="520" w:bottom="620" w:left="420" w:right="1140"/>
        </w:sectPr>
      </w:pPr>
    </w:p>
    <w:p>
      <w:pPr>
        <w:spacing w:before="118"/>
        <w:ind w:left="2049" w:right="0" w:firstLine="0"/>
        <w:jc w:val="left"/>
        <w:rPr>
          <w:rFonts w:ascii="Arial" w:hAnsi="Arial"/>
          <w:sz w:val="14"/>
        </w:rPr>
      </w:pPr>
      <w:bookmarkStart w:name="Figure 3.2 / Illustration de la concepti" w:id="78"/>
      <w:bookmarkEnd w:id="78"/>
      <w:r>
        <w:rPr/>
      </w:r>
      <w:bookmarkStart w:name="_bookmark33" w:id="79"/>
      <w:bookmarkEnd w:id="79"/>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7"/>
        <w:jc w:val="both"/>
      </w:pPr>
      <w:r>
        <w:rPr/>
        <w:pict>
          <v:group style="position:absolute;margin-left:82pt;margin-top:52.685547pt;width:287.5pt;height:263.25pt;mso-position-horizontal-relative:page;mso-position-vertical-relative:paragraph;z-index:15776256" id="docshapegroup645" coordorigin="1640,1054" coordsize="5750,5265">
            <v:shape style="position:absolute;left:1640;top:1053;width:5750;height:5265" id="docshape646" coordorigin="1640,1054" coordsize="5750,5265" path="m7390,1054l1640,1054,1640,1849,1640,2009,1640,6319,7390,6319,7390,2009,7390,1849,7390,1054xe" filled="true" fillcolor="#e2e3e4" stroked="false">
              <v:path arrowok="t"/>
              <v:fill type="solid"/>
            </v:shape>
            <v:shape style="position:absolute;left:2728;top:1983;width:3815;height:3802" id="docshape647" coordorigin="2728,1984" coordsize="3815,3802" path="m2728,1984l2728,5786,6543,5786e" filled="false" stroked="true" strokeweight=".5pt" strokecolor="#231f20">
              <v:path arrowok="t"/>
              <v:stroke dashstyle="solid"/>
            </v:shape>
            <v:shape style="position:absolute;left:2693;top:1933;width:3900;height:3888" id="docshape648" coordorigin="2694,1934" coordsize="3900,3888" path="m2763,1994l2728,1934,2694,1994,2763,1994xm6593,5786l6533,5751,6533,5821,6593,5786xe" filled="true" fillcolor="#231f20" stroked="false">
              <v:path arrowok="t"/>
              <v:fill type="solid"/>
            </v:shape>
            <v:shape style="position:absolute;left:3215;top:2157;width:2817;height:3526" id="docshape649" coordorigin="3215,2157" coordsize="2817,3526" path="m6032,2157l3215,5682,3721,4366,4037,3690,4294,3440,4624,3405,5075,3756,5533,4527,5889,5299,6032,5650,3215,2157,3712,3471,4025,4145,4284,4394,4624,4429,5082,4074,5539,3293,5891,2512,6032,2157xe" filled="false" stroked="true" strokeweight="2pt" strokecolor="#939598">
              <v:path arrowok="t"/>
              <v:stroke dashstyle="solid"/>
            </v:shape>
            <v:line style="position:absolute" from="3041,3892" to="6219,3892" stroked="true" strokeweight="2pt" strokecolor="#939598">
              <v:stroke dashstyle="solid"/>
            </v:line>
            <v:shape style="position:absolute;left:1640;top:1053;width:5750;height:5265" type="#_x0000_t202" id="docshape650" filled="false" stroked="false">
              <v:textbox inset="0,0,0,0">
                <w:txbxContent>
                  <w:p>
                    <w:pPr>
                      <w:spacing w:line="307" w:lineRule="auto" w:before="215"/>
                      <w:ind w:left="250" w:right="1067" w:firstLine="0"/>
                      <w:jc w:val="left"/>
                      <w:rPr>
                        <w:rFonts w:ascii="Arial"/>
                        <w:b/>
                        <w:sz w:val="17"/>
                      </w:rPr>
                    </w:pPr>
                    <w:r>
                      <w:rPr>
                        <w:rFonts w:ascii="Arial"/>
                        <w:color w:val="231F20"/>
                        <w:w w:val="95"/>
                        <w:sz w:val="17"/>
                      </w:rPr>
                      <w:t>Figure 3.2</w:t>
                    </w:r>
                    <w:r>
                      <w:rPr>
                        <w:rFonts w:ascii="Arial"/>
                        <w:color w:val="231F20"/>
                        <w:spacing w:val="-6"/>
                        <w:w w:val="95"/>
                        <w:sz w:val="17"/>
                      </w:rPr>
                      <w:t> </w:t>
                    </w:r>
                    <w:r>
                      <w:rPr>
                        <w:rFonts w:ascii="Arial"/>
                        <w:i/>
                        <w:color w:val="231F20"/>
                        <w:w w:val="95"/>
                        <w:sz w:val="17"/>
                      </w:rPr>
                      <w:t>/</w:t>
                    </w:r>
                    <w:r>
                      <w:rPr>
                        <w:rFonts w:ascii="Arial"/>
                        <w:i/>
                        <w:color w:val="231F20"/>
                        <w:spacing w:val="40"/>
                        <w:sz w:val="17"/>
                      </w:rPr>
                      <w:t> </w:t>
                    </w:r>
                    <w:r>
                      <w:rPr>
                        <w:rFonts w:ascii="Arial"/>
                        <w:b/>
                        <w:color w:val="231F20"/>
                        <w:w w:val="95"/>
                        <w:sz w:val="17"/>
                      </w:rPr>
                      <w:t>Illustration de la conception </w:t>
                    </w:r>
                    <w:r>
                      <w:rPr>
                        <w:rFonts w:ascii="Arial"/>
                        <w:b/>
                        <w:color w:val="231F20"/>
                        <w:w w:val="95"/>
                        <w:sz w:val="17"/>
                      </w:rPr>
                      <w:t>polymorphique </w:t>
                    </w:r>
                    <w:r>
                      <w:rPr>
                        <w:rFonts w:ascii="Arial"/>
                        <w:b/>
                        <w:color w:val="231F20"/>
                        <w:sz w:val="17"/>
                      </w:rPr>
                      <w:t>de la relation stress/performance</w:t>
                    </w: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11"/>
                      <w:rPr>
                        <w:rFonts w:ascii="Arial"/>
                        <w:b/>
                        <w:sz w:val="20"/>
                      </w:rPr>
                    </w:pPr>
                  </w:p>
                  <w:p>
                    <w:pPr>
                      <w:spacing w:before="0"/>
                      <w:ind w:left="276" w:right="32" w:firstLine="0"/>
                      <w:jc w:val="center"/>
                      <w:rPr>
                        <w:rFonts w:ascii="Arial"/>
                        <w:b/>
                        <w:sz w:val="15"/>
                      </w:rPr>
                    </w:pPr>
                    <w:r>
                      <w:rPr>
                        <w:rFonts w:ascii="Arial"/>
                        <w:b/>
                        <w:color w:val="231F20"/>
                        <w:w w:val="90"/>
                        <w:sz w:val="15"/>
                      </w:rPr>
                      <w:t>Niveau</w:t>
                    </w:r>
                    <w:r>
                      <w:rPr>
                        <w:rFonts w:ascii="Arial"/>
                        <w:b/>
                        <w:color w:val="231F20"/>
                        <w:spacing w:val="-4"/>
                        <w:w w:val="90"/>
                        <w:sz w:val="15"/>
                      </w:rPr>
                      <w:t> </w:t>
                    </w:r>
                    <w:r>
                      <w:rPr>
                        <w:rFonts w:ascii="Arial"/>
                        <w:b/>
                        <w:color w:val="231F20"/>
                        <w:w w:val="90"/>
                        <w:sz w:val="15"/>
                      </w:rPr>
                      <w:t>de</w:t>
                    </w:r>
                    <w:r>
                      <w:rPr>
                        <w:rFonts w:ascii="Arial"/>
                        <w:b/>
                        <w:color w:val="231F20"/>
                        <w:spacing w:val="-4"/>
                        <w:w w:val="90"/>
                        <w:sz w:val="15"/>
                      </w:rPr>
                      <w:t> </w:t>
                    </w:r>
                    <w:r>
                      <w:rPr>
                        <w:rFonts w:ascii="Arial"/>
                        <w:b/>
                        <w:color w:val="231F20"/>
                        <w:spacing w:val="-2"/>
                        <w:w w:val="90"/>
                        <w:sz w:val="15"/>
                      </w:rPr>
                      <w:t>stress</w:t>
                    </w:r>
                  </w:p>
                </w:txbxContent>
              </v:textbox>
              <w10:wrap type="none"/>
            </v:shape>
            <w10:wrap type="none"/>
          </v:group>
        </w:pict>
      </w:r>
      <w:r>
        <w:rPr>
          <w:color w:val="231F20"/>
          <w:w w:val="120"/>
        </w:rPr>
        <w:t>polymorphique de la relation stress/performance où diverses rela- tions</w:t>
      </w:r>
      <w:r>
        <w:rPr>
          <w:color w:val="231F20"/>
          <w:spacing w:val="-8"/>
          <w:w w:val="120"/>
        </w:rPr>
        <w:t> </w:t>
      </w:r>
      <w:r>
        <w:rPr>
          <w:color w:val="231F20"/>
          <w:w w:val="120"/>
        </w:rPr>
        <w:t>peuvent</w:t>
      </w:r>
      <w:r>
        <w:rPr>
          <w:color w:val="231F20"/>
          <w:spacing w:val="-8"/>
          <w:w w:val="120"/>
        </w:rPr>
        <w:t> </w:t>
      </w:r>
      <w:r>
        <w:rPr>
          <w:color w:val="231F20"/>
          <w:w w:val="120"/>
        </w:rPr>
        <w:t>exister</w:t>
      </w:r>
      <w:r>
        <w:rPr>
          <w:color w:val="231F20"/>
          <w:spacing w:val="-8"/>
          <w:w w:val="120"/>
        </w:rPr>
        <w:t> </w:t>
      </w:r>
      <w:r>
        <w:rPr>
          <w:color w:val="231F20"/>
          <w:w w:val="120"/>
        </w:rPr>
        <w:t>entre</w:t>
      </w:r>
      <w:r>
        <w:rPr>
          <w:color w:val="231F20"/>
          <w:spacing w:val="-8"/>
          <w:w w:val="120"/>
        </w:rPr>
        <w:t> </w:t>
      </w:r>
      <w:r>
        <w:rPr>
          <w:color w:val="231F20"/>
          <w:w w:val="120"/>
        </w:rPr>
        <w:t>ces</w:t>
      </w:r>
      <w:r>
        <w:rPr>
          <w:color w:val="231F20"/>
          <w:spacing w:val="-8"/>
          <w:w w:val="120"/>
        </w:rPr>
        <w:t> </w:t>
      </w:r>
      <w:r>
        <w:rPr>
          <w:color w:val="231F20"/>
          <w:w w:val="120"/>
        </w:rPr>
        <w:t>deux</w:t>
      </w:r>
      <w:r>
        <w:rPr>
          <w:color w:val="231F20"/>
          <w:spacing w:val="-8"/>
          <w:w w:val="120"/>
        </w:rPr>
        <w:t> </w:t>
      </w:r>
      <w:r>
        <w:rPr>
          <w:color w:val="231F20"/>
          <w:w w:val="120"/>
        </w:rPr>
        <w:t>variables</w:t>
      </w:r>
      <w:r>
        <w:rPr>
          <w:color w:val="231F20"/>
          <w:spacing w:val="-8"/>
          <w:w w:val="120"/>
        </w:rPr>
        <w:t> </w:t>
      </w:r>
      <w:r>
        <w:rPr>
          <w:color w:val="231F20"/>
          <w:w w:val="120"/>
        </w:rPr>
        <w:t>selon</w:t>
      </w:r>
      <w:r>
        <w:rPr>
          <w:color w:val="231F20"/>
          <w:spacing w:val="-8"/>
          <w:w w:val="120"/>
        </w:rPr>
        <w:t> </w:t>
      </w:r>
      <w:r>
        <w:rPr>
          <w:color w:val="231F20"/>
          <w:w w:val="120"/>
        </w:rPr>
        <w:t>les</w:t>
      </w:r>
      <w:r>
        <w:rPr>
          <w:color w:val="231F20"/>
          <w:spacing w:val="-8"/>
          <w:w w:val="120"/>
        </w:rPr>
        <w:t> </w:t>
      </w:r>
      <w:r>
        <w:rPr>
          <w:color w:val="231F20"/>
          <w:w w:val="120"/>
        </w:rPr>
        <w:t>personnes</w:t>
      </w:r>
      <w:r>
        <w:rPr>
          <w:color w:val="231F20"/>
          <w:spacing w:val="-8"/>
          <w:w w:val="120"/>
        </w:rPr>
        <w:t> </w:t>
      </w:r>
      <w:r>
        <w:rPr>
          <w:color w:val="231F20"/>
          <w:w w:val="120"/>
        </w:rPr>
        <w:t>et</w:t>
      </w:r>
      <w:r>
        <w:rPr>
          <w:color w:val="231F20"/>
          <w:spacing w:val="-8"/>
          <w:w w:val="120"/>
        </w:rPr>
        <w:t> </w:t>
      </w:r>
      <w:r>
        <w:rPr>
          <w:color w:val="231F20"/>
          <w:w w:val="120"/>
        </w:rPr>
        <w:t>les contextes dans lesquelles elles se trouvent (figure 3.23).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p>
    <w:p>
      <w:pPr>
        <w:pStyle w:val="BodyText"/>
        <w:spacing w:line="307" w:lineRule="auto" w:before="145"/>
        <w:ind w:left="1220" w:right="103"/>
        <w:jc w:val="both"/>
      </w:pPr>
      <w:r>
        <w:rPr/>
        <w:pict>
          <v:shape style="position:absolute;margin-left:121.3069pt;margin-top:-168.676102pt;width:11.8pt;height:78.05pt;mso-position-horizontal-relative:page;mso-position-vertical-relative:paragraph;z-index:15776768" type="#_x0000_t202" id="docshape651" filled="false" stroked="false">
            <v:textbox inset="0,0,0,0" style="layout-flow:vertical;mso-layout-flow-alt:bottom-to-top">
              <w:txbxContent>
                <w:p>
                  <w:pPr>
                    <w:spacing w:before="41"/>
                    <w:ind w:left="20" w:right="0" w:firstLine="0"/>
                    <w:jc w:val="left"/>
                    <w:rPr>
                      <w:rFonts w:ascii="Arial"/>
                      <w:b/>
                      <w:sz w:val="15"/>
                    </w:rPr>
                  </w:pPr>
                  <w:r>
                    <w:rPr>
                      <w:rFonts w:ascii="Arial"/>
                      <w:b/>
                      <w:color w:val="231F20"/>
                      <w:w w:val="90"/>
                      <w:sz w:val="15"/>
                    </w:rPr>
                    <w:t>Niveau</w:t>
                  </w:r>
                  <w:r>
                    <w:rPr>
                      <w:rFonts w:ascii="Arial"/>
                      <w:b/>
                      <w:color w:val="231F20"/>
                      <w:spacing w:val="-4"/>
                      <w:w w:val="90"/>
                      <w:sz w:val="15"/>
                    </w:rPr>
                    <w:t> </w:t>
                  </w:r>
                  <w:r>
                    <w:rPr>
                      <w:rFonts w:ascii="Arial"/>
                      <w:b/>
                      <w:color w:val="231F20"/>
                      <w:w w:val="90"/>
                      <w:sz w:val="15"/>
                    </w:rPr>
                    <w:t>de</w:t>
                  </w:r>
                  <w:r>
                    <w:rPr>
                      <w:rFonts w:ascii="Arial"/>
                      <w:b/>
                      <w:color w:val="231F20"/>
                      <w:spacing w:val="-4"/>
                      <w:w w:val="90"/>
                      <w:sz w:val="15"/>
                    </w:rPr>
                    <w:t> </w:t>
                  </w:r>
                  <w:r>
                    <w:rPr>
                      <w:rFonts w:ascii="Arial"/>
                      <w:b/>
                      <w:color w:val="231F20"/>
                      <w:spacing w:val="-2"/>
                      <w:w w:val="90"/>
                      <w:sz w:val="15"/>
                    </w:rPr>
                    <w:t>performance</w:t>
                  </w:r>
                </w:p>
              </w:txbxContent>
            </v:textbox>
            <w10:wrap type="none"/>
          </v:shape>
        </w:pict>
      </w:r>
      <w:r>
        <w:rPr>
          <w:color w:val="231F20"/>
          <w:w w:val="115"/>
        </w:rPr>
        <w:t>Afin</w:t>
      </w:r>
      <w:r>
        <w:rPr>
          <w:color w:val="231F20"/>
          <w:spacing w:val="-5"/>
          <w:w w:val="115"/>
        </w:rPr>
        <w:t> </w:t>
      </w:r>
      <w:r>
        <w:rPr>
          <w:color w:val="231F20"/>
          <w:w w:val="115"/>
        </w:rPr>
        <w:t>d’évaluer</w:t>
      </w:r>
      <w:r>
        <w:rPr>
          <w:color w:val="231F20"/>
          <w:spacing w:val="-5"/>
          <w:w w:val="115"/>
        </w:rPr>
        <w:t> </w:t>
      </w:r>
      <w:r>
        <w:rPr>
          <w:color w:val="231F20"/>
          <w:w w:val="115"/>
        </w:rPr>
        <w:t>le</w:t>
      </w:r>
      <w:r>
        <w:rPr>
          <w:color w:val="231F20"/>
          <w:spacing w:val="-5"/>
          <w:w w:val="115"/>
        </w:rPr>
        <w:t> </w:t>
      </w:r>
      <w:r>
        <w:rPr>
          <w:color w:val="231F20"/>
          <w:w w:val="115"/>
        </w:rPr>
        <w:t>niveau</w:t>
      </w:r>
      <w:r>
        <w:rPr>
          <w:color w:val="231F20"/>
          <w:spacing w:val="-5"/>
          <w:w w:val="115"/>
        </w:rPr>
        <w:t> </w:t>
      </w:r>
      <w:r>
        <w:rPr>
          <w:color w:val="231F20"/>
          <w:w w:val="115"/>
        </w:rPr>
        <w:t>de</w:t>
      </w:r>
      <w:r>
        <w:rPr>
          <w:color w:val="231F20"/>
          <w:spacing w:val="-5"/>
          <w:w w:val="115"/>
        </w:rPr>
        <w:t> </w:t>
      </w:r>
      <w:r>
        <w:rPr>
          <w:color w:val="231F20"/>
          <w:w w:val="115"/>
        </w:rPr>
        <w:t>la</w:t>
      </w:r>
      <w:r>
        <w:rPr>
          <w:color w:val="231F20"/>
          <w:spacing w:val="-5"/>
          <w:w w:val="115"/>
        </w:rPr>
        <w:t> </w:t>
      </w:r>
      <w:r>
        <w:rPr>
          <w:color w:val="231F20"/>
          <w:w w:val="115"/>
        </w:rPr>
        <w:t>demande</w:t>
      </w:r>
      <w:r>
        <w:rPr>
          <w:color w:val="231F20"/>
          <w:spacing w:val="-5"/>
          <w:w w:val="115"/>
        </w:rPr>
        <w:t> </w:t>
      </w:r>
      <w:r>
        <w:rPr>
          <w:color w:val="231F20"/>
          <w:w w:val="115"/>
        </w:rPr>
        <w:t>adaptative</w:t>
      </w:r>
      <w:r>
        <w:rPr>
          <w:color w:val="231F20"/>
          <w:spacing w:val="-5"/>
          <w:w w:val="115"/>
        </w:rPr>
        <w:t> </w:t>
      </w:r>
      <w:r>
        <w:rPr>
          <w:color w:val="231F20"/>
          <w:w w:val="115"/>
        </w:rPr>
        <w:t>imposée</w:t>
      </w:r>
      <w:r>
        <w:rPr>
          <w:color w:val="231F20"/>
          <w:spacing w:val="-5"/>
          <w:w w:val="115"/>
        </w:rPr>
        <w:t> </w:t>
      </w:r>
      <w:r>
        <w:rPr>
          <w:color w:val="231F20"/>
          <w:w w:val="115"/>
        </w:rPr>
        <w:t>à</w:t>
      </w:r>
      <w:r>
        <w:rPr>
          <w:color w:val="231F20"/>
          <w:spacing w:val="-5"/>
          <w:w w:val="115"/>
        </w:rPr>
        <w:t> </w:t>
      </w:r>
      <w:r>
        <w:rPr>
          <w:color w:val="231F20"/>
          <w:w w:val="115"/>
        </w:rPr>
        <w:t>un</w:t>
      </w:r>
      <w:r>
        <w:rPr>
          <w:color w:val="231F20"/>
          <w:spacing w:val="-5"/>
          <w:w w:val="115"/>
        </w:rPr>
        <w:t> </w:t>
      </w:r>
      <w:r>
        <w:rPr>
          <w:color w:val="231F20"/>
          <w:w w:val="115"/>
        </w:rPr>
        <w:t>individu, </w:t>
      </w:r>
      <w:r>
        <w:rPr>
          <w:color w:val="231F20"/>
          <w:w w:val="120"/>
        </w:rPr>
        <w:t>des</w:t>
      </w:r>
      <w:r>
        <w:rPr>
          <w:color w:val="231F20"/>
          <w:spacing w:val="-4"/>
          <w:w w:val="120"/>
        </w:rPr>
        <w:t> </w:t>
      </w:r>
      <w:r>
        <w:rPr>
          <w:color w:val="231F20"/>
          <w:w w:val="120"/>
        </w:rPr>
        <w:t>chercheurs ont initialement mis au point un outil appelé «</w:t>
      </w:r>
      <w:r>
        <w:rPr>
          <w:color w:val="231F20"/>
          <w:spacing w:val="-13"/>
          <w:w w:val="120"/>
        </w:rPr>
        <w:t> </w:t>
      </w:r>
      <w:r>
        <w:rPr>
          <w:color w:val="231F20"/>
          <w:w w:val="120"/>
        </w:rPr>
        <w:t>Événe- ments</w:t>
      </w:r>
      <w:r>
        <w:rPr>
          <w:color w:val="231F20"/>
          <w:spacing w:val="-13"/>
          <w:w w:val="120"/>
        </w:rPr>
        <w:t> </w:t>
      </w:r>
      <w:r>
        <w:rPr>
          <w:color w:val="231F20"/>
          <w:w w:val="120"/>
        </w:rPr>
        <w:t>stressants</w:t>
      </w:r>
      <w:r>
        <w:rPr>
          <w:color w:val="231F20"/>
          <w:spacing w:val="-13"/>
          <w:w w:val="120"/>
        </w:rPr>
        <w:t> </w:t>
      </w:r>
      <w:r>
        <w:rPr>
          <w:color w:val="231F20"/>
          <w:w w:val="120"/>
        </w:rPr>
        <w:t>de</w:t>
      </w:r>
      <w:r>
        <w:rPr>
          <w:color w:val="231F20"/>
          <w:spacing w:val="-10"/>
          <w:w w:val="120"/>
        </w:rPr>
        <w:t> </w:t>
      </w:r>
      <w:r>
        <w:rPr>
          <w:color w:val="231F20"/>
          <w:w w:val="120"/>
        </w:rPr>
        <w:t>la</w:t>
      </w:r>
      <w:r>
        <w:rPr>
          <w:color w:val="231F20"/>
          <w:spacing w:val="-6"/>
          <w:w w:val="120"/>
        </w:rPr>
        <w:t> </w:t>
      </w:r>
      <w:r>
        <w:rPr>
          <w:color w:val="231F20"/>
          <w:w w:val="120"/>
        </w:rPr>
        <w:t>vie</w:t>
      </w:r>
      <w:r>
        <w:rPr>
          <w:color w:val="231F20"/>
          <w:spacing w:val="-13"/>
          <w:w w:val="120"/>
        </w:rPr>
        <w:t> </w:t>
      </w:r>
      <w:r>
        <w:rPr>
          <w:color w:val="231F20"/>
          <w:w w:val="120"/>
        </w:rPr>
        <w:t>»</w:t>
      </w:r>
      <w:r>
        <w:rPr>
          <w:color w:val="231F20"/>
          <w:spacing w:val="-5"/>
          <w:w w:val="120"/>
        </w:rPr>
        <w:t> </w:t>
      </w:r>
      <w:r>
        <w:rPr>
          <w:color w:val="231F20"/>
          <w:w w:val="120"/>
        </w:rPr>
        <w:t>(</w:t>
      </w:r>
      <w:r>
        <w:rPr>
          <w:i/>
          <w:color w:val="231F20"/>
          <w:w w:val="120"/>
        </w:rPr>
        <w:t>Stressful</w:t>
      </w:r>
      <w:r>
        <w:rPr>
          <w:i/>
          <w:color w:val="231F20"/>
          <w:spacing w:val="-6"/>
          <w:w w:val="120"/>
        </w:rPr>
        <w:t> </w:t>
      </w:r>
      <w:r>
        <w:rPr>
          <w:i/>
          <w:color w:val="231F20"/>
          <w:w w:val="120"/>
        </w:rPr>
        <w:t>Life</w:t>
      </w:r>
      <w:r>
        <w:rPr>
          <w:i/>
          <w:color w:val="231F20"/>
          <w:spacing w:val="-6"/>
          <w:w w:val="120"/>
        </w:rPr>
        <w:t> </w:t>
      </w:r>
      <w:r>
        <w:rPr>
          <w:i/>
          <w:color w:val="231F20"/>
          <w:w w:val="120"/>
        </w:rPr>
        <w:t>Events</w:t>
      </w:r>
      <w:r>
        <w:rPr>
          <w:color w:val="231F20"/>
          <w:w w:val="120"/>
        </w:rPr>
        <w:t>).</w:t>
      </w:r>
      <w:r>
        <w:rPr>
          <w:color w:val="231F20"/>
          <w:spacing w:val="-6"/>
          <w:w w:val="120"/>
        </w:rPr>
        <w:t> </w:t>
      </w:r>
      <w:r>
        <w:rPr>
          <w:color w:val="231F20"/>
          <w:w w:val="120"/>
        </w:rPr>
        <w:t>Cette</w:t>
      </w:r>
      <w:r>
        <w:rPr>
          <w:color w:val="231F20"/>
          <w:spacing w:val="-6"/>
          <w:w w:val="120"/>
        </w:rPr>
        <w:t> </w:t>
      </w:r>
      <w:r>
        <w:rPr>
          <w:color w:val="231F20"/>
          <w:w w:val="120"/>
        </w:rPr>
        <w:t>conception</w:t>
      </w:r>
      <w:r>
        <w:rPr>
          <w:color w:val="231F20"/>
          <w:spacing w:val="-6"/>
          <w:w w:val="120"/>
        </w:rPr>
        <w:t> </w:t>
      </w:r>
      <w:r>
        <w:rPr>
          <w:color w:val="231F20"/>
          <w:w w:val="120"/>
        </w:rPr>
        <w:t>du stress</w:t>
      </w:r>
      <w:r>
        <w:rPr>
          <w:color w:val="231F20"/>
          <w:spacing w:val="-2"/>
          <w:w w:val="120"/>
        </w:rPr>
        <w:t> </w:t>
      </w:r>
      <w:r>
        <w:rPr>
          <w:color w:val="231F20"/>
          <w:w w:val="120"/>
        </w:rPr>
        <w:t>permet</w:t>
      </w:r>
      <w:r>
        <w:rPr>
          <w:color w:val="231F20"/>
          <w:spacing w:val="-2"/>
          <w:w w:val="120"/>
        </w:rPr>
        <w:t> </w:t>
      </w:r>
      <w:r>
        <w:rPr>
          <w:color w:val="231F20"/>
          <w:w w:val="120"/>
        </w:rPr>
        <w:t>de</w:t>
      </w:r>
      <w:r>
        <w:rPr>
          <w:color w:val="231F20"/>
          <w:spacing w:val="-2"/>
          <w:w w:val="120"/>
        </w:rPr>
        <w:t> </w:t>
      </w:r>
      <w:r>
        <w:rPr>
          <w:color w:val="231F20"/>
          <w:w w:val="120"/>
        </w:rPr>
        <w:t>comprendre</w:t>
      </w:r>
      <w:r>
        <w:rPr>
          <w:color w:val="231F20"/>
          <w:spacing w:val="-2"/>
          <w:w w:val="120"/>
        </w:rPr>
        <w:t> </w:t>
      </w:r>
      <w:r>
        <w:rPr>
          <w:color w:val="231F20"/>
          <w:w w:val="120"/>
        </w:rPr>
        <w:t>que</w:t>
      </w:r>
      <w:r>
        <w:rPr>
          <w:color w:val="231F20"/>
          <w:spacing w:val="-2"/>
          <w:w w:val="120"/>
        </w:rPr>
        <w:t> </w:t>
      </w:r>
      <w:r>
        <w:rPr>
          <w:color w:val="231F20"/>
          <w:w w:val="120"/>
        </w:rPr>
        <w:t>ce</w:t>
      </w:r>
      <w:r>
        <w:rPr>
          <w:color w:val="231F20"/>
          <w:spacing w:val="-2"/>
          <w:w w:val="120"/>
        </w:rPr>
        <w:t> </w:t>
      </w:r>
      <w:r>
        <w:rPr>
          <w:color w:val="231F20"/>
          <w:w w:val="120"/>
        </w:rPr>
        <w:t>sont</w:t>
      </w:r>
      <w:r>
        <w:rPr>
          <w:color w:val="231F20"/>
          <w:spacing w:val="-2"/>
          <w:w w:val="120"/>
        </w:rPr>
        <w:t> </w:t>
      </w:r>
      <w:r>
        <w:rPr>
          <w:color w:val="231F20"/>
          <w:w w:val="120"/>
        </w:rPr>
        <w:t>les</w:t>
      </w:r>
      <w:r>
        <w:rPr>
          <w:color w:val="231F20"/>
          <w:spacing w:val="-2"/>
          <w:w w:val="120"/>
        </w:rPr>
        <w:t> </w:t>
      </w:r>
      <w:r>
        <w:rPr>
          <w:color w:val="231F20"/>
          <w:w w:val="120"/>
        </w:rPr>
        <w:t>événements</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vie,</w:t>
      </w:r>
      <w:r>
        <w:rPr>
          <w:color w:val="231F20"/>
          <w:spacing w:val="-2"/>
          <w:w w:val="120"/>
        </w:rPr>
        <w:t> </w:t>
      </w:r>
      <w:r>
        <w:rPr>
          <w:color w:val="231F20"/>
          <w:w w:val="120"/>
        </w:rPr>
        <w:t>soit négatifs, et mêmes positifs, qui génèrent un besoin adaptatif, donc du </w:t>
      </w:r>
      <w:r>
        <w:rPr>
          <w:color w:val="231F20"/>
          <w:spacing w:val="-2"/>
          <w:w w:val="120"/>
        </w:rPr>
        <w:t>stress</w:t>
      </w:r>
      <w:r>
        <w:rPr>
          <w:color w:val="231F20"/>
          <w:spacing w:val="-6"/>
          <w:w w:val="120"/>
        </w:rPr>
        <w:t> </w:t>
      </w:r>
      <w:r>
        <w:rPr>
          <w:color w:val="231F20"/>
          <w:spacing w:val="-2"/>
          <w:w w:val="120"/>
        </w:rPr>
        <w:t>chez</w:t>
      </w:r>
      <w:r>
        <w:rPr>
          <w:color w:val="231F20"/>
          <w:spacing w:val="-6"/>
          <w:w w:val="120"/>
        </w:rPr>
        <w:t> </w:t>
      </w:r>
      <w:r>
        <w:rPr>
          <w:color w:val="231F20"/>
          <w:spacing w:val="-2"/>
          <w:w w:val="120"/>
        </w:rPr>
        <w:t>la</w:t>
      </w:r>
      <w:r>
        <w:rPr>
          <w:color w:val="231F20"/>
          <w:spacing w:val="-6"/>
          <w:w w:val="120"/>
        </w:rPr>
        <w:t> </w:t>
      </w:r>
      <w:r>
        <w:rPr>
          <w:color w:val="231F20"/>
          <w:spacing w:val="-2"/>
          <w:w w:val="120"/>
        </w:rPr>
        <w:t>personne.</w:t>
      </w:r>
      <w:r>
        <w:rPr>
          <w:color w:val="231F20"/>
          <w:spacing w:val="-6"/>
          <w:w w:val="120"/>
        </w:rPr>
        <w:t> </w:t>
      </w:r>
      <w:r>
        <w:rPr>
          <w:color w:val="231F20"/>
          <w:spacing w:val="-2"/>
          <w:w w:val="120"/>
        </w:rPr>
        <w:t>Ainsi,</w:t>
      </w:r>
      <w:r>
        <w:rPr>
          <w:color w:val="231F20"/>
          <w:spacing w:val="-6"/>
          <w:w w:val="120"/>
        </w:rPr>
        <w:t> </w:t>
      </w:r>
      <w:r>
        <w:rPr>
          <w:color w:val="231F20"/>
          <w:spacing w:val="-2"/>
          <w:w w:val="120"/>
        </w:rPr>
        <w:t>tout</w:t>
      </w:r>
      <w:r>
        <w:rPr>
          <w:color w:val="231F20"/>
          <w:spacing w:val="-6"/>
          <w:w w:val="120"/>
        </w:rPr>
        <w:t> </w:t>
      </w:r>
      <w:r>
        <w:rPr>
          <w:color w:val="231F20"/>
          <w:spacing w:val="-2"/>
          <w:w w:val="120"/>
        </w:rPr>
        <w:t>changement</w:t>
      </w:r>
      <w:r>
        <w:rPr>
          <w:color w:val="231F20"/>
          <w:spacing w:val="-6"/>
          <w:w w:val="120"/>
        </w:rPr>
        <w:t> </w:t>
      </w:r>
      <w:r>
        <w:rPr>
          <w:color w:val="231F20"/>
          <w:spacing w:val="-2"/>
          <w:w w:val="120"/>
        </w:rPr>
        <w:t>qui</w:t>
      </w:r>
      <w:r>
        <w:rPr>
          <w:color w:val="231F20"/>
          <w:spacing w:val="-6"/>
          <w:w w:val="120"/>
        </w:rPr>
        <w:t> </w:t>
      </w:r>
      <w:r>
        <w:rPr>
          <w:color w:val="231F20"/>
          <w:spacing w:val="-2"/>
          <w:w w:val="120"/>
        </w:rPr>
        <w:t>survient</w:t>
      </w:r>
      <w:r>
        <w:rPr>
          <w:color w:val="231F20"/>
          <w:spacing w:val="-6"/>
          <w:w w:val="120"/>
        </w:rPr>
        <w:t> </w:t>
      </w:r>
      <w:r>
        <w:rPr>
          <w:color w:val="231F20"/>
          <w:spacing w:val="-2"/>
          <w:w w:val="120"/>
        </w:rPr>
        <w:t>dans</w:t>
      </w:r>
      <w:r>
        <w:rPr>
          <w:color w:val="231F20"/>
          <w:spacing w:val="-6"/>
          <w:w w:val="120"/>
        </w:rPr>
        <w:t> </w:t>
      </w:r>
      <w:r>
        <w:rPr>
          <w:color w:val="231F20"/>
          <w:spacing w:val="-2"/>
          <w:w w:val="120"/>
        </w:rPr>
        <w:t>la</w:t>
      </w:r>
      <w:r>
        <w:rPr>
          <w:color w:val="231F20"/>
          <w:spacing w:val="-6"/>
          <w:w w:val="120"/>
        </w:rPr>
        <w:t> </w:t>
      </w:r>
      <w:r>
        <w:rPr>
          <w:color w:val="231F20"/>
          <w:spacing w:val="-2"/>
          <w:w w:val="120"/>
        </w:rPr>
        <w:t>rou- tine</w:t>
      </w:r>
      <w:r>
        <w:rPr>
          <w:color w:val="231F20"/>
          <w:spacing w:val="-11"/>
          <w:w w:val="120"/>
        </w:rPr>
        <w:t> </w:t>
      </w:r>
      <w:r>
        <w:rPr>
          <w:color w:val="231F20"/>
          <w:spacing w:val="-2"/>
          <w:w w:val="120"/>
        </w:rPr>
        <w:t>de</w:t>
      </w:r>
      <w:r>
        <w:rPr>
          <w:color w:val="231F20"/>
          <w:spacing w:val="-10"/>
          <w:w w:val="120"/>
        </w:rPr>
        <w:t> </w:t>
      </w:r>
      <w:r>
        <w:rPr>
          <w:color w:val="231F20"/>
          <w:spacing w:val="-2"/>
          <w:w w:val="120"/>
        </w:rPr>
        <w:t>notre</w:t>
      </w:r>
      <w:r>
        <w:rPr>
          <w:color w:val="231F20"/>
          <w:spacing w:val="-11"/>
          <w:w w:val="120"/>
        </w:rPr>
        <w:t> </w:t>
      </w:r>
      <w:r>
        <w:rPr>
          <w:color w:val="231F20"/>
          <w:spacing w:val="-2"/>
          <w:w w:val="120"/>
        </w:rPr>
        <w:t>vie</w:t>
      </w:r>
      <w:r>
        <w:rPr>
          <w:color w:val="231F20"/>
          <w:spacing w:val="-10"/>
          <w:w w:val="120"/>
        </w:rPr>
        <w:t> </w:t>
      </w:r>
      <w:r>
        <w:rPr>
          <w:color w:val="231F20"/>
          <w:spacing w:val="-2"/>
          <w:w w:val="120"/>
        </w:rPr>
        <w:t>–</w:t>
      </w:r>
      <w:r>
        <w:rPr>
          <w:color w:val="231F20"/>
          <w:spacing w:val="-11"/>
          <w:w w:val="120"/>
        </w:rPr>
        <w:t> </w:t>
      </w:r>
      <w:r>
        <w:rPr>
          <w:color w:val="231F20"/>
          <w:spacing w:val="-2"/>
          <w:w w:val="120"/>
        </w:rPr>
        <w:t>même</w:t>
      </w:r>
      <w:r>
        <w:rPr>
          <w:color w:val="231F20"/>
          <w:spacing w:val="-10"/>
          <w:w w:val="120"/>
        </w:rPr>
        <w:t> </w:t>
      </w:r>
      <w:r>
        <w:rPr>
          <w:color w:val="231F20"/>
          <w:spacing w:val="-2"/>
          <w:w w:val="120"/>
        </w:rPr>
        <w:t>s’il</w:t>
      </w:r>
      <w:r>
        <w:rPr>
          <w:color w:val="231F20"/>
          <w:spacing w:val="-11"/>
          <w:w w:val="120"/>
        </w:rPr>
        <w:t> </w:t>
      </w:r>
      <w:r>
        <w:rPr>
          <w:color w:val="231F20"/>
          <w:spacing w:val="-2"/>
          <w:w w:val="120"/>
        </w:rPr>
        <w:t>est</w:t>
      </w:r>
      <w:r>
        <w:rPr>
          <w:color w:val="231F20"/>
          <w:spacing w:val="-10"/>
          <w:w w:val="120"/>
        </w:rPr>
        <w:t> </w:t>
      </w:r>
      <w:r>
        <w:rPr>
          <w:color w:val="231F20"/>
          <w:spacing w:val="-2"/>
          <w:w w:val="120"/>
        </w:rPr>
        <w:t>le</w:t>
      </w:r>
      <w:r>
        <w:rPr>
          <w:color w:val="231F20"/>
          <w:spacing w:val="-11"/>
          <w:w w:val="120"/>
        </w:rPr>
        <w:t> </w:t>
      </w:r>
      <w:r>
        <w:rPr>
          <w:color w:val="231F20"/>
          <w:spacing w:val="-2"/>
          <w:w w:val="120"/>
        </w:rPr>
        <w:t>bienvenu</w:t>
      </w:r>
      <w:r>
        <w:rPr>
          <w:color w:val="231F20"/>
          <w:spacing w:val="-10"/>
          <w:w w:val="120"/>
        </w:rPr>
        <w:t> </w:t>
      </w:r>
      <w:r>
        <w:rPr>
          <w:color w:val="231F20"/>
          <w:spacing w:val="-2"/>
          <w:w w:val="120"/>
        </w:rPr>
        <w:t>–</w:t>
      </w:r>
      <w:r>
        <w:rPr>
          <w:color w:val="231F20"/>
          <w:spacing w:val="-11"/>
          <w:w w:val="120"/>
        </w:rPr>
        <w:t> </w:t>
      </w:r>
      <w:r>
        <w:rPr>
          <w:color w:val="231F20"/>
          <w:spacing w:val="-2"/>
          <w:w w:val="120"/>
        </w:rPr>
        <w:t>peut</w:t>
      </w:r>
      <w:r>
        <w:rPr>
          <w:color w:val="231F20"/>
          <w:spacing w:val="-10"/>
          <w:w w:val="120"/>
        </w:rPr>
        <w:t> </w:t>
      </w:r>
      <w:r>
        <w:rPr>
          <w:color w:val="231F20"/>
          <w:spacing w:val="-2"/>
          <w:w w:val="120"/>
        </w:rPr>
        <w:t>être</w:t>
      </w:r>
      <w:r>
        <w:rPr>
          <w:color w:val="231F20"/>
          <w:spacing w:val="-11"/>
          <w:w w:val="120"/>
        </w:rPr>
        <w:t> </w:t>
      </w:r>
      <w:r>
        <w:rPr>
          <w:color w:val="231F20"/>
          <w:spacing w:val="-2"/>
          <w:w w:val="120"/>
        </w:rPr>
        <w:t>stressant,</w:t>
      </w:r>
      <w:r>
        <w:rPr>
          <w:color w:val="231F20"/>
          <w:spacing w:val="-10"/>
          <w:w w:val="120"/>
        </w:rPr>
        <w:t> </w:t>
      </w:r>
      <w:r>
        <w:rPr>
          <w:color w:val="231F20"/>
          <w:spacing w:val="-2"/>
          <w:w w:val="120"/>
        </w:rPr>
        <w:t>tant</w:t>
      </w:r>
      <w:r>
        <w:rPr>
          <w:color w:val="231F20"/>
          <w:spacing w:val="-11"/>
          <w:w w:val="120"/>
        </w:rPr>
        <w:t> </w:t>
      </w:r>
      <w:r>
        <w:rPr>
          <w:color w:val="231F20"/>
          <w:spacing w:val="-2"/>
          <w:w w:val="120"/>
        </w:rPr>
        <w:t>par </w:t>
      </w:r>
      <w:r>
        <w:rPr>
          <w:color w:val="231F20"/>
          <w:w w:val="120"/>
        </w:rPr>
        <w:t>notre</w:t>
      </w:r>
      <w:r>
        <w:rPr>
          <w:color w:val="231F20"/>
          <w:spacing w:val="-15"/>
          <w:w w:val="120"/>
        </w:rPr>
        <w:t> </w:t>
      </w:r>
      <w:r>
        <w:rPr>
          <w:color w:val="231F20"/>
          <w:w w:val="120"/>
        </w:rPr>
        <w:t>façon</w:t>
      </w:r>
      <w:r>
        <w:rPr>
          <w:color w:val="231F20"/>
          <w:spacing w:val="-13"/>
          <w:w w:val="120"/>
        </w:rPr>
        <w:t> </w:t>
      </w:r>
      <w:r>
        <w:rPr>
          <w:color w:val="231F20"/>
          <w:w w:val="120"/>
        </w:rPr>
        <w:t>de</w:t>
      </w:r>
      <w:r>
        <w:rPr>
          <w:color w:val="231F20"/>
          <w:spacing w:val="-13"/>
          <w:w w:val="120"/>
        </w:rPr>
        <w:t> </w:t>
      </w:r>
      <w:r>
        <w:rPr>
          <w:color w:val="231F20"/>
          <w:w w:val="120"/>
        </w:rPr>
        <w:t>le</w:t>
      </w:r>
      <w:r>
        <w:rPr>
          <w:color w:val="231F20"/>
          <w:spacing w:val="-12"/>
          <w:w w:val="120"/>
        </w:rPr>
        <w:t> </w:t>
      </w:r>
      <w:r>
        <w:rPr>
          <w:color w:val="231F20"/>
          <w:w w:val="120"/>
        </w:rPr>
        <w:t>percevoir</w:t>
      </w:r>
      <w:r>
        <w:rPr>
          <w:color w:val="231F20"/>
          <w:spacing w:val="-13"/>
          <w:w w:val="120"/>
        </w:rPr>
        <w:t> </w:t>
      </w:r>
      <w:r>
        <w:rPr>
          <w:color w:val="231F20"/>
          <w:w w:val="120"/>
        </w:rPr>
        <w:t>que</w:t>
      </w:r>
      <w:r>
        <w:rPr>
          <w:color w:val="231F20"/>
          <w:spacing w:val="-13"/>
          <w:w w:val="120"/>
        </w:rPr>
        <w:t> </w:t>
      </w:r>
      <w:r>
        <w:rPr>
          <w:color w:val="231F20"/>
          <w:w w:val="120"/>
        </w:rPr>
        <w:t>par</w:t>
      </w:r>
      <w:r>
        <w:rPr>
          <w:color w:val="231F20"/>
          <w:spacing w:val="-13"/>
          <w:w w:val="120"/>
        </w:rPr>
        <w:t> </w:t>
      </w:r>
      <w:r>
        <w:rPr>
          <w:color w:val="231F20"/>
          <w:w w:val="120"/>
        </w:rPr>
        <w:t>la</w:t>
      </w:r>
      <w:r>
        <w:rPr>
          <w:color w:val="231F20"/>
          <w:spacing w:val="-12"/>
          <w:w w:val="120"/>
        </w:rPr>
        <w:t> </w:t>
      </w:r>
      <w:r>
        <w:rPr>
          <w:color w:val="231F20"/>
          <w:w w:val="120"/>
        </w:rPr>
        <w:t>fréquence</w:t>
      </w:r>
      <w:r>
        <w:rPr>
          <w:color w:val="231F20"/>
          <w:spacing w:val="-13"/>
          <w:w w:val="120"/>
        </w:rPr>
        <w:t> </w:t>
      </w:r>
      <w:r>
        <w:rPr>
          <w:color w:val="231F20"/>
          <w:w w:val="120"/>
        </w:rPr>
        <w:t>de</w:t>
      </w:r>
      <w:r>
        <w:rPr>
          <w:color w:val="231F20"/>
          <w:spacing w:val="-13"/>
          <w:w w:val="120"/>
        </w:rPr>
        <w:t> </w:t>
      </w:r>
      <w:r>
        <w:rPr>
          <w:color w:val="231F20"/>
          <w:w w:val="120"/>
        </w:rPr>
        <w:t>sa</w:t>
      </w:r>
      <w:r>
        <w:rPr>
          <w:color w:val="231F20"/>
          <w:spacing w:val="-13"/>
          <w:w w:val="120"/>
        </w:rPr>
        <w:t> </w:t>
      </w:r>
      <w:r>
        <w:rPr>
          <w:color w:val="231F20"/>
          <w:w w:val="120"/>
        </w:rPr>
        <w:t>survenue.</w:t>
      </w:r>
      <w:r>
        <w:rPr>
          <w:color w:val="231F20"/>
          <w:spacing w:val="-12"/>
          <w:w w:val="120"/>
        </w:rPr>
        <w:t> </w:t>
      </w:r>
      <w:r>
        <w:rPr>
          <w:color w:val="231F20"/>
          <w:w w:val="120"/>
        </w:rPr>
        <w:t>Holmes et</w:t>
      </w:r>
      <w:r>
        <w:rPr>
          <w:color w:val="231F20"/>
          <w:spacing w:val="-9"/>
          <w:w w:val="120"/>
        </w:rPr>
        <w:t> </w:t>
      </w:r>
      <w:r>
        <w:rPr>
          <w:color w:val="231F20"/>
          <w:w w:val="120"/>
        </w:rPr>
        <w:t>Rahe4</w:t>
      </w:r>
      <w:r>
        <w:rPr>
          <w:color w:val="231F20"/>
          <w:spacing w:val="-9"/>
          <w:w w:val="120"/>
        </w:rPr>
        <w:t> </w:t>
      </w:r>
      <w:r>
        <w:rPr>
          <w:color w:val="231F20"/>
          <w:w w:val="120"/>
        </w:rPr>
        <w:t>ont</w:t>
      </w:r>
      <w:r>
        <w:rPr>
          <w:color w:val="231F20"/>
          <w:spacing w:val="-9"/>
          <w:w w:val="120"/>
        </w:rPr>
        <w:t> </w:t>
      </w:r>
      <w:r>
        <w:rPr>
          <w:color w:val="231F20"/>
          <w:w w:val="120"/>
        </w:rPr>
        <w:t>développé</w:t>
      </w:r>
      <w:r>
        <w:rPr>
          <w:color w:val="231F20"/>
          <w:spacing w:val="-9"/>
          <w:w w:val="120"/>
        </w:rPr>
        <w:t> </w:t>
      </w:r>
      <w:r>
        <w:rPr>
          <w:color w:val="231F20"/>
          <w:w w:val="120"/>
        </w:rPr>
        <w:t>la</w:t>
      </w:r>
      <w:r>
        <w:rPr>
          <w:color w:val="231F20"/>
          <w:spacing w:val="-9"/>
          <w:w w:val="120"/>
        </w:rPr>
        <w:t> </w:t>
      </w:r>
      <w:r>
        <w:rPr>
          <w:color w:val="231F20"/>
          <w:w w:val="120"/>
        </w:rPr>
        <w:t>plus</w:t>
      </w:r>
      <w:r>
        <w:rPr>
          <w:color w:val="231F20"/>
          <w:spacing w:val="-9"/>
          <w:w w:val="120"/>
        </w:rPr>
        <w:t> </w:t>
      </w:r>
      <w:r>
        <w:rPr>
          <w:color w:val="231F20"/>
          <w:w w:val="120"/>
        </w:rPr>
        <w:t>populaire</w:t>
      </w:r>
      <w:r>
        <w:rPr>
          <w:color w:val="231F20"/>
          <w:spacing w:val="-9"/>
          <w:w w:val="120"/>
        </w:rPr>
        <w:t> </w:t>
      </w:r>
      <w:r>
        <w:rPr>
          <w:color w:val="231F20"/>
          <w:w w:val="120"/>
        </w:rPr>
        <w:t>des</w:t>
      </w:r>
      <w:r>
        <w:rPr>
          <w:color w:val="231F20"/>
          <w:spacing w:val="-9"/>
          <w:w w:val="120"/>
        </w:rPr>
        <w:t> </w:t>
      </w:r>
      <w:r>
        <w:rPr>
          <w:color w:val="231F20"/>
          <w:w w:val="120"/>
        </w:rPr>
        <w:t>listes</w:t>
      </w:r>
      <w:r>
        <w:rPr>
          <w:color w:val="231F20"/>
          <w:spacing w:val="-9"/>
          <w:w w:val="120"/>
        </w:rPr>
        <w:t> </w:t>
      </w:r>
      <w:r>
        <w:rPr>
          <w:color w:val="231F20"/>
          <w:w w:val="120"/>
        </w:rPr>
        <w:t>d’événements</w:t>
      </w:r>
      <w:r>
        <w:rPr>
          <w:color w:val="231F20"/>
          <w:spacing w:val="-9"/>
          <w:w w:val="120"/>
        </w:rPr>
        <w:t> </w:t>
      </w:r>
      <w:r>
        <w:rPr>
          <w:color w:val="231F20"/>
          <w:w w:val="120"/>
        </w:rPr>
        <w:t>stres- sogènes,</w:t>
      </w:r>
      <w:r>
        <w:rPr>
          <w:color w:val="231F20"/>
          <w:spacing w:val="-12"/>
          <w:w w:val="120"/>
        </w:rPr>
        <w:t> </w:t>
      </w:r>
      <w:r>
        <w:rPr>
          <w:color w:val="231F20"/>
          <w:w w:val="120"/>
        </w:rPr>
        <w:t>établie</w:t>
      </w:r>
      <w:r>
        <w:rPr>
          <w:color w:val="231F20"/>
          <w:spacing w:val="-11"/>
          <w:w w:val="120"/>
        </w:rPr>
        <w:t> </w:t>
      </w:r>
      <w:r>
        <w:rPr>
          <w:color w:val="231F20"/>
          <w:w w:val="120"/>
        </w:rPr>
        <w:t>en</w:t>
      </w:r>
      <w:r>
        <w:rPr>
          <w:color w:val="231F20"/>
          <w:spacing w:val="-11"/>
          <w:w w:val="120"/>
        </w:rPr>
        <w:t> </w:t>
      </w:r>
      <w:r>
        <w:rPr>
          <w:color w:val="231F20"/>
          <w:w w:val="120"/>
        </w:rPr>
        <w:t>fonction</w:t>
      </w:r>
      <w:r>
        <w:rPr>
          <w:color w:val="231F20"/>
          <w:spacing w:val="-12"/>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qu’ils</w:t>
      </w:r>
      <w:r>
        <w:rPr>
          <w:color w:val="231F20"/>
          <w:spacing w:val="-12"/>
          <w:w w:val="120"/>
        </w:rPr>
        <w:t> </w:t>
      </w:r>
      <w:r>
        <w:rPr>
          <w:color w:val="231F20"/>
          <w:w w:val="120"/>
        </w:rPr>
        <w:t>peuvent</w:t>
      </w:r>
      <w:r>
        <w:rPr>
          <w:color w:val="231F20"/>
          <w:spacing w:val="-11"/>
          <w:w w:val="120"/>
        </w:rPr>
        <w:t> </w:t>
      </w:r>
      <w:r>
        <w:rPr>
          <w:color w:val="231F20"/>
          <w:w w:val="120"/>
        </w:rPr>
        <w:t>occasionner,</w:t>
      </w:r>
      <w:r>
        <w:rPr>
          <w:color w:val="231F20"/>
          <w:spacing w:val="-11"/>
          <w:w w:val="120"/>
        </w:rPr>
        <w:t> </w:t>
      </w:r>
      <w:r>
        <w:rPr>
          <w:color w:val="231F20"/>
          <w:w w:val="120"/>
        </w:rPr>
        <w:t>et</w:t>
      </w:r>
      <w:r>
        <w:rPr>
          <w:color w:val="231F20"/>
          <w:spacing w:val="-12"/>
          <w:w w:val="120"/>
        </w:rPr>
        <w:t> </w:t>
      </w:r>
      <w:r>
        <w:rPr>
          <w:color w:val="231F20"/>
          <w:spacing w:val="-5"/>
          <w:w w:val="120"/>
        </w:rPr>
        <w:t>des</w:t>
      </w:r>
    </w:p>
    <w:p>
      <w:pPr>
        <w:pStyle w:val="BodyText"/>
        <w:rPr>
          <w:sz w:val="20"/>
        </w:rPr>
      </w:pPr>
    </w:p>
    <w:p>
      <w:pPr>
        <w:pStyle w:val="BodyText"/>
        <w:spacing w:before="8"/>
        <w:rPr>
          <w:sz w:val="13"/>
        </w:rPr>
      </w:pPr>
      <w:r>
        <w:rPr/>
        <w:pict>
          <v:shape style="position:absolute;margin-left:82pt;margin-top:9.085835pt;width:287.5pt;height:.1pt;mso-position-horizontal-relative:page;mso-position-vertical-relative:paragraph;z-index:-15681536;mso-wrap-distance-left:0;mso-wrap-distance-right:0" id="docshape652" coordorigin="1640,182" coordsize="5750,0" path="m1640,182l7390,182e" filled="false" stroked="true" strokeweight=".25pt" strokecolor="#231f20">
            <v:path arrowok="t"/>
            <v:stroke dashstyle="shortdot"/>
            <w10:wrap type="topAndBottom"/>
          </v:shape>
        </w:pict>
      </w:r>
    </w:p>
    <w:p>
      <w:pPr>
        <w:pStyle w:val="ListParagraph"/>
        <w:numPr>
          <w:ilvl w:val="0"/>
          <w:numId w:val="41"/>
        </w:numPr>
        <w:tabs>
          <w:tab w:pos="1219" w:val="left" w:leader="none"/>
          <w:tab w:pos="1220" w:val="left" w:leader="none"/>
        </w:tabs>
        <w:spacing w:line="240" w:lineRule="auto" w:before="135" w:after="0"/>
        <w:ind w:left="1219" w:right="0" w:hanging="328"/>
        <w:jc w:val="left"/>
        <w:rPr>
          <w:rFonts w:ascii="Arial"/>
          <w:i/>
          <w:sz w:val="12"/>
        </w:rPr>
      </w:pPr>
      <w:r>
        <w:rPr>
          <w:rFonts w:ascii="Arial"/>
          <w:color w:val="231F20"/>
          <w:w w:val="95"/>
          <w:sz w:val="12"/>
        </w:rPr>
        <w:t>Stall,</w:t>
      </w:r>
      <w:r>
        <w:rPr>
          <w:rFonts w:ascii="Arial"/>
          <w:color w:val="231F20"/>
          <w:spacing w:val="-1"/>
          <w:w w:val="95"/>
          <w:sz w:val="12"/>
        </w:rPr>
        <w:t> </w:t>
      </w:r>
      <w:r>
        <w:rPr>
          <w:rFonts w:ascii="Arial"/>
          <w:color w:val="231F20"/>
          <w:w w:val="95"/>
          <w:sz w:val="12"/>
        </w:rPr>
        <w:t>M.</w:t>
      </w:r>
      <w:r>
        <w:rPr>
          <w:rFonts w:ascii="Arial"/>
          <w:color w:val="231F20"/>
          <w:spacing w:val="-1"/>
          <w:sz w:val="12"/>
        </w:rPr>
        <w:t> </w:t>
      </w:r>
      <w:r>
        <w:rPr>
          <w:rFonts w:ascii="Arial"/>
          <w:color w:val="231F20"/>
          <w:w w:val="95"/>
          <w:sz w:val="12"/>
        </w:rPr>
        <w:t>A.</w:t>
      </w:r>
      <w:r>
        <w:rPr>
          <w:rFonts w:ascii="Arial"/>
          <w:color w:val="231F20"/>
          <w:spacing w:val="-1"/>
          <w:w w:val="95"/>
          <w:sz w:val="12"/>
        </w:rPr>
        <w:t> </w:t>
      </w:r>
      <w:r>
        <w:rPr>
          <w:rFonts w:ascii="Arial"/>
          <w:color w:val="231F20"/>
          <w:w w:val="95"/>
          <w:sz w:val="12"/>
        </w:rPr>
        <w:t>(2004).</w:t>
      </w:r>
      <w:r>
        <w:rPr>
          <w:rFonts w:ascii="Arial"/>
          <w:color w:val="231F20"/>
          <w:spacing w:val="-2"/>
          <w:sz w:val="12"/>
        </w:rPr>
        <w:t> </w:t>
      </w:r>
      <w:r>
        <w:rPr>
          <w:rFonts w:ascii="Arial"/>
          <w:i/>
          <w:color w:val="231F20"/>
          <w:w w:val="95"/>
          <w:sz w:val="12"/>
        </w:rPr>
        <w:t>Stress,</w:t>
      </w:r>
      <w:r>
        <w:rPr>
          <w:rFonts w:ascii="Arial"/>
          <w:i/>
          <w:color w:val="231F20"/>
          <w:spacing w:val="-1"/>
          <w:sz w:val="12"/>
        </w:rPr>
        <w:t> </w:t>
      </w:r>
      <w:r>
        <w:rPr>
          <w:rFonts w:ascii="Arial"/>
          <w:i/>
          <w:color w:val="231F20"/>
          <w:w w:val="95"/>
          <w:sz w:val="12"/>
        </w:rPr>
        <w:t>Cognition,</w:t>
      </w:r>
      <w:r>
        <w:rPr>
          <w:rFonts w:ascii="Arial"/>
          <w:i/>
          <w:color w:val="231F20"/>
          <w:spacing w:val="-1"/>
          <w:w w:val="95"/>
          <w:sz w:val="12"/>
        </w:rPr>
        <w:t> </w:t>
      </w:r>
      <w:r>
        <w:rPr>
          <w:rFonts w:ascii="Arial"/>
          <w:i/>
          <w:color w:val="231F20"/>
          <w:w w:val="95"/>
          <w:sz w:val="12"/>
        </w:rPr>
        <w:t>and</w:t>
      </w:r>
      <w:r>
        <w:rPr>
          <w:rFonts w:ascii="Arial"/>
          <w:i/>
          <w:color w:val="231F20"/>
          <w:spacing w:val="-1"/>
          <w:sz w:val="12"/>
        </w:rPr>
        <w:t> </w:t>
      </w:r>
      <w:r>
        <w:rPr>
          <w:rFonts w:ascii="Arial"/>
          <w:i/>
          <w:color w:val="231F20"/>
          <w:w w:val="95"/>
          <w:sz w:val="12"/>
        </w:rPr>
        <w:t>Human</w:t>
      </w:r>
      <w:r>
        <w:rPr>
          <w:rFonts w:ascii="Arial"/>
          <w:i/>
          <w:color w:val="231F20"/>
          <w:spacing w:val="-1"/>
          <w:w w:val="95"/>
          <w:sz w:val="12"/>
        </w:rPr>
        <w:t> </w:t>
      </w:r>
      <w:r>
        <w:rPr>
          <w:rFonts w:ascii="Arial"/>
          <w:i/>
          <w:color w:val="231F20"/>
          <w:w w:val="95"/>
          <w:sz w:val="12"/>
        </w:rPr>
        <w:t>Performance</w:t>
      </w:r>
      <w:r>
        <w:rPr>
          <w:rFonts w:ascii="Arial"/>
          <w:i/>
          <w:color w:val="231F20"/>
          <w:spacing w:val="-19"/>
          <w:w w:val="95"/>
          <w:sz w:val="12"/>
        </w:rPr>
        <w:t> </w:t>
      </w:r>
      <w:r>
        <w:rPr>
          <w:rFonts w:ascii="Arial"/>
          <w:i/>
          <w:color w:val="231F20"/>
          <w:w w:val="95"/>
          <w:sz w:val="12"/>
        </w:rPr>
        <w:t>:</w:t>
      </w:r>
      <w:r>
        <w:rPr>
          <w:rFonts w:ascii="Arial"/>
          <w:i/>
          <w:color w:val="231F20"/>
          <w:spacing w:val="-1"/>
          <w:sz w:val="12"/>
        </w:rPr>
        <w:t> </w:t>
      </w:r>
      <w:r>
        <w:rPr>
          <w:rFonts w:ascii="Arial"/>
          <w:i/>
          <w:color w:val="231F20"/>
          <w:w w:val="95"/>
          <w:sz w:val="12"/>
        </w:rPr>
        <w:t>A</w:t>
      </w:r>
      <w:r>
        <w:rPr>
          <w:rFonts w:ascii="Arial"/>
          <w:i/>
          <w:color w:val="231F20"/>
          <w:spacing w:val="-1"/>
          <w:w w:val="95"/>
          <w:sz w:val="12"/>
        </w:rPr>
        <w:t> </w:t>
      </w:r>
      <w:r>
        <w:rPr>
          <w:rFonts w:ascii="Arial"/>
          <w:i/>
          <w:color w:val="231F20"/>
          <w:w w:val="95"/>
          <w:sz w:val="12"/>
        </w:rPr>
        <w:t>Literature</w:t>
      </w:r>
      <w:r>
        <w:rPr>
          <w:rFonts w:ascii="Arial"/>
          <w:i/>
          <w:color w:val="231F20"/>
          <w:spacing w:val="-1"/>
          <w:sz w:val="12"/>
        </w:rPr>
        <w:t> </w:t>
      </w:r>
      <w:r>
        <w:rPr>
          <w:rFonts w:ascii="Arial"/>
          <w:i/>
          <w:color w:val="231F20"/>
          <w:w w:val="95"/>
          <w:sz w:val="12"/>
        </w:rPr>
        <w:t>Review</w:t>
      </w:r>
      <w:r>
        <w:rPr>
          <w:rFonts w:ascii="Arial"/>
          <w:i/>
          <w:color w:val="231F20"/>
          <w:spacing w:val="-1"/>
          <w:w w:val="95"/>
          <w:sz w:val="12"/>
        </w:rPr>
        <w:t> </w:t>
      </w:r>
      <w:r>
        <w:rPr>
          <w:rFonts w:ascii="Arial"/>
          <w:i/>
          <w:color w:val="231F20"/>
          <w:w w:val="95"/>
          <w:sz w:val="12"/>
        </w:rPr>
        <w:t>and</w:t>
      </w:r>
      <w:r>
        <w:rPr>
          <w:rFonts w:ascii="Arial"/>
          <w:i/>
          <w:color w:val="231F20"/>
          <w:spacing w:val="-1"/>
          <w:sz w:val="12"/>
        </w:rPr>
        <w:t> </w:t>
      </w:r>
      <w:r>
        <w:rPr>
          <w:rFonts w:ascii="Arial"/>
          <w:i/>
          <w:color w:val="231F20"/>
          <w:w w:val="95"/>
          <w:sz w:val="12"/>
        </w:rPr>
        <w:t>Conceptual</w:t>
      </w:r>
      <w:r>
        <w:rPr>
          <w:rFonts w:ascii="Arial"/>
          <w:i/>
          <w:color w:val="231F20"/>
          <w:spacing w:val="-1"/>
          <w:w w:val="95"/>
          <w:sz w:val="12"/>
        </w:rPr>
        <w:t> </w:t>
      </w:r>
      <w:r>
        <w:rPr>
          <w:rFonts w:ascii="Arial"/>
          <w:i/>
          <w:color w:val="231F20"/>
          <w:spacing w:val="-2"/>
          <w:w w:val="95"/>
          <w:sz w:val="12"/>
        </w:rPr>
        <w:t>Framework</w:t>
      </w:r>
    </w:p>
    <w:p>
      <w:pPr>
        <w:spacing w:before="32"/>
        <w:ind w:left="1219" w:right="0" w:firstLine="0"/>
        <w:jc w:val="left"/>
        <w:rPr>
          <w:rFonts w:ascii="Arial"/>
          <w:sz w:val="12"/>
        </w:rPr>
      </w:pPr>
      <w:r>
        <w:rPr>
          <w:rFonts w:ascii="Arial"/>
          <w:color w:val="231F20"/>
          <w:w w:val="95"/>
          <w:sz w:val="12"/>
        </w:rPr>
        <w:t>(NASA</w:t>
      </w:r>
      <w:r>
        <w:rPr>
          <w:rFonts w:ascii="Arial"/>
          <w:color w:val="231F20"/>
          <w:spacing w:val="6"/>
          <w:sz w:val="12"/>
        </w:rPr>
        <w:t> </w:t>
      </w:r>
      <w:r>
        <w:rPr>
          <w:rFonts w:ascii="Arial"/>
          <w:color w:val="231F20"/>
          <w:w w:val="95"/>
          <w:sz w:val="12"/>
        </w:rPr>
        <w:t>Tech.</w:t>
      </w:r>
      <w:r>
        <w:rPr>
          <w:rFonts w:ascii="Arial"/>
          <w:color w:val="231F20"/>
          <w:spacing w:val="7"/>
          <w:sz w:val="12"/>
        </w:rPr>
        <w:t> </w:t>
      </w:r>
      <w:r>
        <w:rPr>
          <w:rFonts w:ascii="Arial"/>
          <w:color w:val="231F20"/>
          <w:w w:val="95"/>
          <w:sz w:val="12"/>
        </w:rPr>
        <w:t>Memorandum</w:t>
      </w:r>
      <w:r>
        <w:rPr>
          <w:rFonts w:ascii="Arial"/>
          <w:color w:val="231F20"/>
          <w:spacing w:val="7"/>
          <w:sz w:val="12"/>
        </w:rPr>
        <w:t> </w:t>
      </w:r>
      <w:r>
        <w:rPr>
          <w:rFonts w:ascii="Arial"/>
          <w:color w:val="231F20"/>
          <w:w w:val="95"/>
          <w:sz w:val="12"/>
        </w:rPr>
        <w:t>212824).</w:t>
      </w:r>
      <w:r>
        <w:rPr>
          <w:rFonts w:ascii="Arial"/>
          <w:color w:val="231F20"/>
          <w:spacing w:val="7"/>
          <w:sz w:val="12"/>
        </w:rPr>
        <w:t> </w:t>
      </w:r>
      <w:r>
        <w:rPr>
          <w:rFonts w:ascii="Arial"/>
          <w:color w:val="231F20"/>
          <w:w w:val="95"/>
          <w:sz w:val="12"/>
        </w:rPr>
        <w:t>Moffett</w:t>
      </w:r>
      <w:r>
        <w:rPr>
          <w:rFonts w:ascii="Arial"/>
          <w:color w:val="231F20"/>
          <w:spacing w:val="6"/>
          <w:sz w:val="12"/>
        </w:rPr>
        <w:t> </w:t>
      </w:r>
      <w:r>
        <w:rPr>
          <w:rFonts w:ascii="Arial"/>
          <w:color w:val="231F20"/>
          <w:w w:val="95"/>
          <w:sz w:val="12"/>
        </w:rPr>
        <w:t>Field,</w:t>
      </w:r>
      <w:r>
        <w:rPr>
          <w:rFonts w:ascii="Arial"/>
          <w:color w:val="231F20"/>
          <w:spacing w:val="7"/>
          <w:sz w:val="12"/>
        </w:rPr>
        <w:t> </w:t>
      </w:r>
      <w:r>
        <w:rPr>
          <w:rFonts w:ascii="Arial"/>
          <w:color w:val="231F20"/>
          <w:w w:val="95"/>
          <w:sz w:val="12"/>
        </w:rPr>
        <w:t>NASA</w:t>
      </w:r>
      <w:r>
        <w:rPr>
          <w:rFonts w:ascii="Arial"/>
          <w:color w:val="231F20"/>
          <w:spacing w:val="7"/>
          <w:sz w:val="12"/>
        </w:rPr>
        <w:t> </w:t>
      </w:r>
      <w:r>
        <w:rPr>
          <w:rFonts w:ascii="Arial"/>
          <w:color w:val="231F20"/>
          <w:w w:val="95"/>
          <w:sz w:val="12"/>
        </w:rPr>
        <w:t>Ames</w:t>
      </w:r>
      <w:r>
        <w:rPr>
          <w:rFonts w:ascii="Arial"/>
          <w:color w:val="231F20"/>
          <w:spacing w:val="7"/>
          <w:sz w:val="12"/>
        </w:rPr>
        <w:t> </w:t>
      </w:r>
      <w:r>
        <w:rPr>
          <w:rFonts w:ascii="Arial"/>
          <w:color w:val="231F20"/>
          <w:w w:val="95"/>
          <w:sz w:val="12"/>
        </w:rPr>
        <w:t>Research</w:t>
      </w:r>
      <w:r>
        <w:rPr>
          <w:rFonts w:ascii="Arial"/>
          <w:color w:val="231F20"/>
          <w:spacing w:val="6"/>
          <w:sz w:val="12"/>
        </w:rPr>
        <w:t> </w:t>
      </w:r>
      <w:r>
        <w:rPr>
          <w:rFonts w:ascii="Arial"/>
          <w:color w:val="231F20"/>
          <w:spacing w:val="-2"/>
          <w:w w:val="95"/>
          <w:sz w:val="12"/>
        </w:rPr>
        <w:t>Center.</w:t>
      </w:r>
    </w:p>
    <w:p>
      <w:pPr>
        <w:pStyle w:val="ListParagraph"/>
        <w:numPr>
          <w:ilvl w:val="0"/>
          <w:numId w:val="41"/>
        </w:numPr>
        <w:tabs>
          <w:tab w:pos="1219" w:val="left" w:leader="none"/>
          <w:tab w:pos="1220" w:val="left" w:leader="none"/>
        </w:tabs>
        <w:spacing w:line="295" w:lineRule="auto" w:before="32" w:after="0"/>
        <w:ind w:left="1219" w:right="107" w:hanging="328"/>
        <w:jc w:val="left"/>
        <w:rPr>
          <w:rFonts w:ascii="Arial"/>
          <w:sz w:val="12"/>
        </w:rPr>
      </w:pPr>
      <w:r>
        <w:rPr>
          <w:rFonts w:ascii="Arial"/>
          <w:color w:val="231F20"/>
          <w:sz w:val="12"/>
        </w:rPr>
        <w:t>Holmes,</w:t>
      </w:r>
      <w:r>
        <w:rPr>
          <w:rFonts w:ascii="Arial"/>
          <w:color w:val="231F20"/>
          <w:spacing w:val="23"/>
          <w:sz w:val="12"/>
        </w:rPr>
        <w:t> </w:t>
      </w:r>
      <w:r>
        <w:rPr>
          <w:rFonts w:ascii="Arial"/>
          <w:color w:val="231F20"/>
          <w:sz w:val="12"/>
        </w:rPr>
        <w:t>T.</w:t>
      </w:r>
      <w:r>
        <w:rPr>
          <w:rFonts w:ascii="Arial"/>
          <w:color w:val="231F20"/>
          <w:spacing w:val="23"/>
          <w:sz w:val="12"/>
        </w:rPr>
        <w:t> </w:t>
      </w:r>
      <w:r>
        <w:rPr>
          <w:rFonts w:ascii="Arial"/>
          <w:color w:val="231F20"/>
          <w:sz w:val="12"/>
        </w:rPr>
        <w:t>et</w:t>
      </w:r>
      <w:r>
        <w:rPr>
          <w:rFonts w:ascii="Arial"/>
          <w:color w:val="231F20"/>
          <w:spacing w:val="23"/>
          <w:sz w:val="12"/>
        </w:rPr>
        <w:t> </w:t>
      </w:r>
      <w:r>
        <w:rPr>
          <w:rFonts w:ascii="Arial"/>
          <w:color w:val="231F20"/>
          <w:sz w:val="12"/>
        </w:rPr>
        <w:t>Rahe,</w:t>
      </w:r>
      <w:r>
        <w:rPr>
          <w:rFonts w:ascii="Arial"/>
          <w:color w:val="231F20"/>
          <w:spacing w:val="23"/>
          <w:sz w:val="12"/>
        </w:rPr>
        <w:t> </w:t>
      </w:r>
      <w:r>
        <w:rPr>
          <w:rFonts w:ascii="Arial"/>
          <w:color w:val="231F20"/>
          <w:sz w:val="12"/>
        </w:rPr>
        <w:t>R.</w:t>
      </w:r>
      <w:r>
        <w:rPr>
          <w:rFonts w:ascii="Arial"/>
          <w:color w:val="231F20"/>
          <w:spacing w:val="23"/>
          <w:sz w:val="12"/>
        </w:rPr>
        <w:t> </w:t>
      </w:r>
      <w:r>
        <w:rPr>
          <w:rFonts w:ascii="Arial"/>
          <w:color w:val="231F20"/>
          <w:sz w:val="12"/>
        </w:rPr>
        <w:t>(1967).</w:t>
      </w:r>
      <w:r>
        <w:rPr>
          <w:rFonts w:ascii="Arial"/>
          <w:color w:val="231F20"/>
          <w:spacing w:val="23"/>
          <w:sz w:val="12"/>
        </w:rPr>
        <w:t> </w:t>
      </w:r>
      <w:r>
        <w:rPr>
          <w:rFonts w:ascii="Arial"/>
          <w:color w:val="231F20"/>
          <w:sz w:val="12"/>
        </w:rPr>
        <w:t>Holmes-Rahe</w:t>
      </w:r>
      <w:r>
        <w:rPr>
          <w:rFonts w:ascii="Arial"/>
          <w:color w:val="231F20"/>
          <w:spacing w:val="23"/>
          <w:sz w:val="12"/>
        </w:rPr>
        <w:t> </w:t>
      </w:r>
      <w:r>
        <w:rPr>
          <w:rFonts w:ascii="Arial"/>
          <w:color w:val="231F20"/>
          <w:sz w:val="12"/>
        </w:rPr>
        <w:t>life</w:t>
      </w:r>
      <w:r>
        <w:rPr>
          <w:rFonts w:ascii="Arial"/>
          <w:color w:val="231F20"/>
          <w:spacing w:val="23"/>
          <w:sz w:val="12"/>
        </w:rPr>
        <w:t> </w:t>
      </w:r>
      <w:r>
        <w:rPr>
          <w:rFonts w:ascii="Arial"/>
          <w:color w:val="231F20"/>
          <w:sz w:val="12"/>
        </w:rPr>
        <w:t>changes</w:t>
      </w:r>
      <w:r>
        <w:rPr>
          <w:rFonts w:ascii="Arial"/>
          <w:color w:val="231F20"/>
          <w:spacing w:val="23"/>
          <w:sz w:val="12"/>
        </w:rPr>
        <w:t> </w:t>
      </w:r>
      <w:r>
        <w:rPr>
          <w:rFonts w:ascii="Arial"/>
          <w:color w:val="231F20"/>
          <w:sz w:val="12"/>
        </w:rPr>
        <w:t>scale,</w:t>
      </w:r>
      <w:r>
        <w:rPr>
          <w:rFonts w:ascii="Arial"/>
          <w:color w:val="231F20"/>
          <w:spacing w:val="23"/>
          <w:sz w:val="12"/>
        </w:rPr>
        <w:t> </w:t>
      </w:r>
      <w:r>
        <w:rPr>
          <w:rFonts w:ascii="Arial"/>
          <w:i/>
          <w:color w:val="231F20"/>
          <w:sz w:val="12"/>
        </w:rPr>
        <w:t>Journal</w:t>
      </w:r>
      <w:r>
        <w:rPr>
          <w:rFonts w:ascii="Arial"/>
          <w:i/>
          <w:color w:val="231F20"/>
          <w:spacing w:val="23"/>
          <w:sz w:val="12"/>
        </w:rPr>
        <w:t> </w:t>
      </w:r>
      <w:r>
        <w:rPr>
          <w:rFonts w:ascii="Arial"/>
          <w:i/>
          <w:color w:val="231F20"/>
          <w:sz w:val="12"/>
        </w:rPr>
        <w:t>of</w:t>
      </w:r>
      <w:r>
        <w:rPr>
          <w:rFonts w:ascii="Arial"/>
          <w:i/>
          <w:color w:val="231F20"/>
          <w:spacing w:val="23"/>
          <w:sz w:val="12"/>
        </w:rPr>
        <w:t> </w:t>
      </w:r>
      <w:r>
        <w:rPr>
          <w:rFonts w:ascii="Arial"/>
          <w:i/>
          <w:color w:val="231F20"/>
          <w:sz w:val="12"/>
        </w:rPr>
        <w:t>Psychosomatic</w:t>
      </w:r>
      <w:r>
        <w:rPr>
          <w:rFonts w:ascii="Arial"/>
          <w:i/>
          <w:color w:val="231F20"/>
          <w:spacing w:val="23"/>
          <w:sz w:val="12"/>
        </w:rPr>
        <w:t> </w:t>
      </w:r>
      <w:r>
        <w:rPr>
          <w:rFonts w:ascii="Arial"/>
          <w:i/>
          <w:color w:val="231F20"/>
          <w:sz w:val="12"/>
        </w:rPr>
        <w:t>Research</w:t>
      </w:r>
      <w:r>
        <w:rPr>
          <w:rFonts w:ascii="Arial"/>
          <w:color w:val="231F20"/>
          <w:sz w:val="12"/>
        </w:rPr>
        <w:t>,</w:t>
      </w:r>
      <w:r>
        <w:rPr>
          <w:rFonts w:ascii="Arial"/>
          <w:color w:val="231F20"/>
          <w:spacing w:val="40"/>
          <w:sz w:val="12"/>
        </w:rPr>
        <w:t> </w:t>
      </w:r>
      <w:r>
        <w:rPr>
          <w:rFonts w:ascii="Arial"/>
          <w:i/>
          <w:color w:val="231F20"/>
          <w:sz w:val="12"/>
        </w:rPr>
        <w:t>11</w:t>
      </w:r>
      <w:r>
        <w:rPr>
          <w:rFonts w:ascii="Arial"/>
          <w:color w:val="231F20"/>
          <w:sz w:val="12"/>
        </w:rPr>
        <w:t>,</w:t>
      </w:r>
      <w:r>
        <w:rPr>
          <w:rFonts w:ascii="Arial"/>
          <w:color w:val="231F20"/>
          <w:spacing w:val="-9"/>
          <w:sz w:val="12"/>
        </w:rPr>
        <w:t> </w:t>
      </w:r>
      <w:r>
        <w:rPr>
          <w:rFonts w:ascii="Arial"/>
          <w:color w:val="231F20"/>
          <w:sz w:val="12"/>
        </w:rPr>
        <w:t>213-218.</w:t>
      </w:r>
    </w:p>
    <w:p>
      <w:pPr>
        <w:spacing w:after="0" w:line="295" w:lineRule="auto"/>
        <w:jc w:val="left"/>
        <w:rPr>
          <w:rFonts w:ascii="Arial"/>
          <w:sz w:val="12"/>
        </w:rPr>
        <w:sectPr>
          <w:footerReference w:type="default" r:id="rId183"/>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0"/>
        <w:jc w:val="both"/>
      </w:pPr>
      <w:r>
        <w:rPr>
          <w:color w:val="231F20"/>
          <w:w w:val="120"/>
        </w:rPr>
        <w:t>troubles</w:t>
      </w:r>
      <w:r>
        <w:rPr>
          <w:color w:val="231F20"/>
          <w:spacing w:val="-13"/>
          <w:w w:val="120"/>
        </w:rPr>
        <w:t> </w:t>
      </w:r>
      <w:r>
        <w:rPr>
          <w:color w:val="231F20"/>
          <w:w w:val="120"/>
        </w:rPr>
        <w:t>physiques</w:t>
      </w:r>
      <w:r>
        <w:rPr>
          <w:color w:val="231F20"/>
          <w:spacing w:val="-13"/>
          <w:w w:val="120"/>
        </w:rPr>
        <w:t> </w:t>
      </w:r>
      <w:r>
        <w:rPr>
          <w:color w:val="231F20"/>
          <w:w w:val="120"/>
        </w:rPr>
        <w:t>et</w:t>
      </w:r>
      <w:r>
        <w:rPr>
          <w:color w:val="231F20"/>
          <w:spacing w:val="-13"/>
          <w:w w:val="120"/>
        </w:rPr>
        <w:t> </w:t>
      </w:r>
      <w:r>
        <w:rPr>
          <w:color w:val="231F20"/>
          <w:w w:val="120"/>
        </w:rPr>
        <w:t>psychologiques</w:t>
      </w:r>
      <w:r>
        <w:rPr>
          <w:color w:val="231F20"/>
          <w:spacing w:val="-12"/>
          <w:w w:val="120"/>
        </w:rPr>
        <w:t> </w:t>
      </w:r>
      <w:r>
        <w:rPr>
          <w:color w:val="231F20"/>
          <w:w w:val="120"/>
        </w:rPr>
        <w:t>en</w:t>
      </w:r>
      <w:r>
        <w:rPr>
          <w:color w:val="231F20"/>
          <w:spacing w:val="-13"/>
          <w:w w:val="120"/>
        </w:rPr>
        <w:t> </w:t>
      </w:r>
      <w:r>
        <w:rPr>
          <w:color w:val="231F20"/>
          <w:w w:val="120"/>
        </w:rPr>
        <w:t>découlant.</w:t>
      </w:r>
      <w:r>
        <w:rPr>
          <w:color w:val="231F20"/>
          <w:spacing w:val="-13"/>
          <w:w w:val="120"/>
        </w:rPr>
        <w:t> </w:t>
      </w:r>
      <w:r>
        <w:rPr>
          <w:color w:val="231F20"/>
          <w:w w:val="120"/>
        </w:rPr>
        <w:t>Ainsi,</w:t>
      </w:r>
      <w:r>
        <w:rPr>
          <w:color w:val="231F20"/>
          <w:spacing w:val="-13"/>
          <w:w w:val="120"/>
        </w:rPr>
        <w:t> </w:t>
      </w:r>
      <w:r>
        <w:rPr>
          <w:color w:val="231F20"/>
          <w:w w:val="120"/>
        </w:rPr>
        <w:t>selon</w:t>
      </w:r>
      <w:r>
        <w:rPr>
          <w:color w:val="231F20"/>
          <w:spacing w:val="-12"/>
          <w:w w:val="120"/>
        </w:rPr>
        <w:t> </w:t>
      </w:r>
      <w:r>
        <w:rPr>
          <w:color w:val="231F20"/>
          <w:w w:val="120"/>
        </w:rPr>
        <w:t>l’appa- rition de diverses situations de la vie, il est possible de quantifier une </w:t>
      </w:r>
      <w:r>
        <w:rPr>
          <w:color w:val="231F20"/>
          <w:spacing w:val="-2"/>
          <w:w w:val="120"/>
        </w:rPr>
        <w:t>estimation</w:t>
      </w:r>
      <w:r>
        <w:rPr>
          <w:color w:val="231F20"/>
          <w:spacing w:val="-11"/>
          <w:w w:val="120"/>
        </w:rPr>
        <w:t> </w:t>
      </w:r>
      <w:r>
        <w:rPr>
          <w:color w:val="231F20"/>
          <w:spacing w:val="-2"/>
          <w:w w:val="120"/>
        </w:rPr>
        <w:t>de</w:t>
      </w:r>
      <w:r>
        <w:rPr>
          <w:color w:val="231F20"/>
          <w:spacing w:val="-11"/>
          <w:w w:val="120"/>
        </w:rPr>
        <w:t> </w:t>
      </w:r>
      <w:r>
        <w:rPr>
          <w:color w:val="231F20"/>
          <w:spacing w:val="-2"/>
          <w:w w:val="120"/>
        </w:rPr>
        <w:t>la</w:t>
      </w:r>
      <w:r>
        <w:rPr>
          <w:color w:val="231F20"/>
          <w:spacing w:val="-11"/>
          <w:w w:val="120"/>
        </w:rPr>
        <w:t> </w:t>
      </w:r>
      <w:r>
        <w:rPr>
          <w:color w:val="231F20"/>
          <w:spacing w:val="-2"/>
          <w:w w:val="120"/>
        </w:rPr>
        <w:t>charge</w:t>
      </w:r>
      <w:r>
        <w:rPr>
          <w:color w:val="231F20"/>
          <w:spacing w:val="-10"/>
          <w:w w:val="120"/>
        </w:rPr>
        <w:t> </w:t>
      </w:r>
      <w:r>
        <w:rPr>
          <w:color w:val="231F20"/>
          <w:spacing w:val="-2"/>
          <w:w w:val="120"/>
        </w:rPr>
        <w:t>adaptative</w:t>
      </w:r>
      <w:r>
        <w:rPr>
          <w:color w:val="231F20"/>
          <w:spacing w:val="-11"/>
          <w:w w:val="120"/>
        </w:rPr>
        <w:t> </w:t>
      </w:r>
      <w:r>
        <w:rPr>
          <w:color w:val="231F20"/>
          <w:spacing w:val="-2"/>
          <w:w w:val="120"/>
        </w:rPr>
        <w:t>imposée</w:t>
      </w:r>
      <w:r>
        <w:rPr>
          <w:color w:val="231F20"/>
          <w:spacing w:val="-11"/>
          <w:w w:val="120"/>
        </w:rPr>
        <w:t> </w:t>
      </w:r>
      <w:r>
        <w:rPr>
          <w:color w:val="231F20"/>
          <w:spacing w:val="-2"/>
          <w:w w:val="120"/>
        </w:rPr>
        <w:t>à</w:t>
      </w:r>
      <w:r>
        <w:rPr>
          <w:color w:val="231F20"/>
          <w:spacing w:val="-11"/>
          <w:w w:val="120"/>
        </w:rPr>
        <w:t> </w:t>
      </w:r>
      <w:r>
        <w:rPr>
          <w:color w:val="231F20"/>
          <w:spacing w:val="-2"/>
          <w:w w:val="120"/>
        </w:rPr>
        <w:t>une</w:t>
      </w:r>
      <w:r>
        <w:rPr>
          <w:color w:val="231F20"/>
          <w:spacing w:val="-10"/>
          <w:w w:val="120"/>
        </w:rPr>
        <w:t> </w:t>
      </w:r>
      <w:r>
        <w:rPr>
          <w:color w:val="231F20"/>
          <w:spacing w:val="-2"/>
          <w:w w:val="120"/>
        </w:rPr>
        <w:t>personne</w:t>
      </w:r>
      <w:r>
        <w:rPr>
          <w:color w:val="231F20"/>
          <w:spacing w:val="-11"/>
          <w:w w:val="120"/>
        </w:rPr>
        <w:t> </w:t>
      </w:r>
      <w:r>
        <w:rPr>
          <w:color w:val="231F20"/>
          <w:spacing w:val="-2"/>
          <w:w w:val="120"/>
        </w:rPr>
        <w:t>et</w:t>
      </w:r>
      <w:r>
        <w:rPr>
          <w:color w:val="231F20"/>
          <w:spacing w:val="-11"/>
          <w:w w:val="120"/>
        </w:rPr>
        <w:t> </w:t>
      </w:r>
      <w:r>
        <w:rPr>
          <w:color w:val="231F20"/>
          <w:spacing w:val="-2"/>
          <w:w w:val="120"/>
        </w:rPr>
        <w:t>ainsi</w:t>
      </w:r>
      <w:r>
        <w:rPr>
          <w:color w:val="231F20"/>
          <w:spacing w:val="-11"/>
          <w:w w:val="120"/>
        </w:rPr>
        <w:t> </w:t>
      </w:r>
      <w:r>
        <w:rPr>
          <w:color w:val="231F20"/>
          <w:spacing w:val="-2"/>
          <w:w w:val="120"/>
        </w:rPr>
        <w:t>d’éva- </w:t>
      </w:r>
      <w:r>
        <w:rPr>
          <w:color w:val="231F20"/>
          <w:w w:val="120"/>
        </w:rPr>
        <w:t>luer</w:t>
      </w:r>
      <w:r>
        <w:rPr>
          <w:color w:val="231F20"/>
          <w:spacing w:val="-13"/>
          <w:w w:val="120"/>
        </w:rPr>
        <w:t> </w:t>
      </w:r>
      <w:r>
        <w:rPr>
          <w:color w:val="231F20"/>
          <w:w w:val="120"/>
        </w:rPr>
        <w:t>le</w:t>
      </w:r>
      <w:r>
        <w:rPr>
          <w:color w:val="231F20"/>
          <w:spacing w:val="-13"/>
          <w:w w:val="120"/>
        </w:rPr>
        <w:t> </w:t>
      </w:r>
      <w:r>
        <w:rPr>
          <w:color w:val="231F20"/>
          <w:w w:val="120"/>
        </w:rPr>
        <w:t>niveau</w:t>
      </w:r>
      <w:r>
        <w:rPr>
          <w:color w:val="231F20"/>
          <w:spacing w:val="-13"/>
          <w:w w:val="120"/>
        </w:rPr>
        <w:t> </w:t>
      </w:r>
      <w:r>
        <w:rPr>
          <w:color w:val="231F20"/>
          <w:w w:val="120"/>
        </w:rPr>
        <w:t>de</w:t>
      </w:r>
      <w:r>
        <w:rPr>
          <w:color w:val="231F20"/>
          <w:spacing w:val="-12"/>
          <w:w w:val="120"/>
        </w:rPr>
        <w:t> </w:t>
      </w:r>
      <w:r>
        <w:rPr>
          <w:color w:val="231F20"/>
          <w:w w:val="120"/>
        </w:rPr>
        <w:t>stress</w:t>
      </w:r>
      <w:r>
        <w:rPr>
          <w:color w:val="231F20"/>
          <w:spacing w:val="-13"/>
          <w:w w:val="120"/>
        </w:rPr>
        <w:t> </w:t>
      </w:r>
      <w:r>
        <w:rPr>
          <w:color w:val="231F20"/>
          <w:w w:val="120"/>
        </w:rPr>
        <w:t>vécu.</w:t>
      </w:r>
      <w:r>
        <w:rPr>
          <w:color w:val="231F20"/>
          <w:spacing w:val="-13"/>
          <w:w w:val="120"/>
        </w:rPr>
        <w:t> </w:t>
      </w:r>
      <w:r>
        <w:rPr>
          <w:color w:val="231F20"/>
          <w:w w:val="120"/>
        </w:rPr>
        <w:t>Bien</w:t>
      </w:r>
      <w:r>
        <w:rPr>
          <w:color w:val="231F20"/>
          <w:spacing w:val="-13"/>
          <w:w w:val="120"/>
        </w:rPr>
        <w:t> </w:t>
      </w:r>
      <w:r>
        <w:rPr>
          <w:color w:val="231F20"/>
          <w:w w:val="120"/>
        </w:rPr>
        <w:t>qu’imparfait,</w:t>
      </w:r>
      <w:r>
        <w:rPr>
          <w:color w:val="231F20"/>
          <w:spacing w:val="-12"/>
          <w:w w:val="120"/>
        </w:rPr>
        <w:t> </w:t>
      </w:r>
      <w:r>
        <w:rPr>
          <w:color w:val="231F20"/>
          <w:w w:val="120"/>
        </w:rPr>
        <w:t>cet</w:t>
      </w:r>
      <w:r>
        <w:rPr>
          <w:color w:val="231F20"/>
          <w:spacing w:val="-13"/>
          <w:w w:val="120"/>
        </w:rPr>
        <w:t> </w:t>
      </w:r>
      <w:r>
        <w:rPr>
          <w:color w:val="231F20"/>
          <w:w w:val="120"/>
        </w:rPr>
        <w:t>outil</w:t>
      </w:r>
      <w:r>
        <w:rPr>
          <w:color w:val="231F20"/>
          <w:spacing w:val="-13"/>
          <w:w w:val="120"/>
        </w:rPr>
        <w:t> </w:t>
      </w:r>
      <w:r>
        <w:rPr>
          <w:color w:val="231F20"/>
          <w:w w:val="120"/>
        </w:rPr>
        <w:t>demeure</w:t>
      </w:r>
      <w:r>
        <w:rPr>
          <w:color w:val="231F20"/>
          <w:spacing w:val="-13"/>
          <w:w w:val="120"/>
        </w:rPr>
        <w:t> </w:t>
      </w:r>
      <w:r>
        <w:rPr>
          <w:color w:val="231F20"/>
          <w:w w:val="120"/>
        </w:rPr>
        <w:t>néan- moins</w:t>
      </w:r>
      <w:r>
        <w:rPr>
          <w:color w:val="231F20"/>
          <w:spacing w:val="33"/>
          <w:w w:val="120"/>
        </w:rPr>
        <w:t> </w:t>
      </w:r>
      <w:r>
        <w:rPr>
          <w:color w:val="231F20"/>
          <w:w w:val="120"/>
        </w:rPr>
        <w:t>l’un</w:t>
      </w:r>
      <w:r>
        <w:rPr>
          <w:color w:val="231F20"/>
          <w:spacing w:val="33"/>
          <w:w w:val="120"/>
        </w:rPr>
        <w:t> </w:t>
      </w:r>
      <w:r>
        <w:rPr>
          <w:color w:val="231F20"/>
          <w:w w:val="120"/>
        </w:rPr>
        <w:t>des</w:t>
      </w:r>
      <w:r>
        <w:rPr>
          <w:color w:val="231F20"/>
          <w:spacing w:val="33"/>
          <w:w w:val="120"/>
        </w:rPr>
        <w:t> </w:t>
      </w:r>
      <w:r>
        <w:rPr>
          <w:color w:val="231F20"/>
          <w:w w:val="120"/>
        </w:rPr>
        <w:t>premiers</w:t>
      </w:r>
      <w:r>
        <w:rPr>
          <w:color w:val="231F20"/>
          <w:spacing w:val="33"/>
          <w:w w:val="120"/>
        </w:rPr>
        <w:t> </w:t>
      </w:r>
      <w:r>
        <w:rPr>
          <w:color w:val="231F20"/>
          <w:w w:val="120"/>
        </w:rPr>
        <w:t>à</w:t>
      </w:r>
      <w:r>
        <w:rPr>
          <w:color w:val="231F20"/>
          <w:spacing w:val="33"/>
          <w:w w:val="120"/>
        </w:rPr>
        <w:t> </w:t>
      </w:r>
      <w:r>
        <w:rPr>
          <w:color w:val="231F20"/>
          <w:w w:val="120"/>
        </w:rPr>
        <w:t>avoir</w:t>
      </w:r>
      <w:r>
        <w:rPr>
          <w:color w:val="231F20"/>
          <w:spacing w:val="33"/>
          <w:w w:val="120"/>
        </w:rPr>
        <w:t> </w:t>
      </w:r>
      <w:r>
        <w:rPr>
          <w:color w:val="231F20"/>
          <w:w w:val="120"/>
        </w:rPr>
        <w:t>permis</w:t>
      </w:r>
      <w:r>
        <w:rPr>
          <w:color w:val="231F20"/>
          <w:spacing w:val="33"/>
          <w:w w:val="120"/>
        </w:rPr>
        <w:t> </w:t>
      </w:r>
      <w:r>
        <w:rPr>
          <w:color w:val="231F20"/>
          <w:w w:val="120"/>
        </w:rPr>
        <w:t>une</w:t>
      </w:r>
      <w:r>
        <w:rPr>
          <w:color w:val="231F20"/>
          <w:spacing w:val="33"/>
          <w:w w:val="120"/>
        </w:rPr>
        <w:t> </w:t>
      </w:r>
      <w:r>
        <w:rPr>
          <w:color w:val="231F20"/>
          <w:w w:val="120"/>
        </w:rPr>
        <w:t>quelconque</w:t>
      </w:r>
      <w:r>
        <w:rPr>
          <w:color w:val="231F20"/>
          <w:spacing w:val="33"/>
          <w:w w:val="120"/>
        </w:rPr>
        <w:t> </w:t>
      </w:r>
      <w:r>
        <w:rPr>
          <w:color w:val="231F20"/>
          <w:w w:val="120"/>
        </w:rPr>
        <w:t>évaluation du stress en hiérarchisant l’incidence des événements de la vie qui demandent</w:t>
      </w:r>
      <w:r>
        <w:rPr>
          <w:color w:val="231F20"/>
          <w:spacing w:val="-1"/>
          <w:w w:val="120"/>
        </w:rPr>
        <w:t> </w:t>
      </w:r>
      <w:r>
        <w:rPr>
          <w:color w:val="231F20"/>
          <w:w w:val="120"/>
        </w:rPr>
        <w:t>une</w:t>
      </w:r>
      <w:r>
        <w:rPr>
          <w:color w:val="231F20"/>
          <w:spacing w:val="-1"/>
          <w:w w:val="120"/>
        </w:rPr>
        <w:t> </w:t>
      </w:r>
      <w:r>
        <w:rPr>
          <w:color w:val="231F20"/>
          <w:w w:val="120"/>
        </w:rPr>
        <w:t>adaptation.</w:t>
      </w:r>
      <w:r>
        <w:rPr>
          <w:color w:val="231F20"/>
          <w:spacing w:val="-1"/>
          <w:w w:val="120"/>
        </w:rPr>
        <w:t> </w:t>
      </w:r>
      <w:r>
        <w:rPr>
          <w:color w:val="231F20"/>
          <w:w w:val="120"/>
        </w:rPr>
        <w:t>Cet</w:t>
      </w:r>
      <w:r>
        <w:rPr>
          <w:color w:val="231F20"/>
          <w:spacing w:val="-1"/>
          <w:w w:val="120"/>
        </w:rPr>
        <w:t> </w:t>
      </w:r>
      <w:r>
        <w:rPr>
          <w:color w:val="231F20"/>
          <w:w w:val="120"/>
        </w:rPr>
        <w:t>outil</w:t>
      </w:r>
      <w:r>
        <w:rPr>
          <w:color w:val="231F20"/>
          <w:spacing w:val="-1"/>
          <w:w w:val="120"/>
        </w:rPr>
        <w:t> </w:t>
      </w:r>
      <w:r>
        <w:rPr>
          <w:color w:val="231F20"/>
          <w:w w:val="120"/>
        </w:rPr>
        <w:t>d’évaluation</w:t>
      </w:r>
      <w:r>
        <w:rPr>
          <w:color w:val="231F20"/>
          <w:spacing w:val="-1"/>
          <w:w w:val="120"/>
        </w:rPr>
        <w:t> </w:t>
      </w:r>
      <w:r>
        <w:rPr>
          <w:color w:val="231F20"/>
          <w:w w:val="120"/>
        </w:rPr>
        <w:t>est</w:t>
      </w:r>
      <w:r>
        <w:rPr>
          <w:color w:val="231F20"/>
          <w:spacing w:val="-1"/>
          <w:w w:val="120"/>
        </w:rPr>
        <w:t> </w:t>
      </w:r>
      <w:r>
        <w:rPr>
          <w:color w:val="231F20"/>
          <w:w w:val="120"/>
        </w:rPr>
        <w:t>présenté</w:t>
      </w:r>
      <w:r>
        <w:rPr>
          <w:color w:val="231F20"/>
          <w:spacing w:val="-1"/>
          <w:w w:val="120"/>
        </w:rPr>
        <w:t> </w:t>
      </w:r>
      <w:r>
        <w:rPr>
          <w:color w:val="231F20"/>
          <w:w w:val="120"/>
        </w:rPr>
        <w:t>ci-après afin de permettre au lecteur d’estimer sa propre charge adaptative.</w:t>
      </w:r>
    </w:p>
    <w:p>
      <w:pPr>
        <w:pStyle w:val="BodyText"/>
        <w:spacing w:line="307" w:lineRule="auto" w:before="79"/>
        <w:ind w:left="830" w:right="496" w:firstLine="250"/>
        <w:jc w:val="both"/>
      </w:pPr>
      <w:r>
        <w:rPr>
          <w:color w:val="231F20"/>
          <w:spacing w:val="-2"/>
          <w:w w:val="120"/>
        </w:rPr>
        <w:t>Transposé</w:t>
      </w:r>
      <w:r>
        <w:rPr>
          <w:color w:val="231F20"/>
          <w:spacing w:val="-7"/>
          <w:w w:val="120"/>
        </w:rPr>
        <w:t> </w:t>
      </w:r>
      <w:r>
        <w:rPr>
          <w:color w:val="231F20"/>
          <w:spacing w:val="-2"/>
          <w:w w:val="120"/>
        </w:rPr>
        <w:t>en</w:t>
      </w:r>
      <w:r>
        <w:rPr>
          <w:color w:val="231F20"/>
          <w:spacing w:val="-7"/>
          <w:w w:val="120"/>
        </w:rPr>
        <w:t> </w:t>
      </w:r>
      <w:r>
        <w:rPr>
          <w:color w:val="231F20"/>
          <w:spacing w:val="-2"/>
          <w:w w:val="120"/>
        </w:rPr>
        <w:t>milieu</w:t>
      </w:r>
      <w:r>
        <w:rPr>
          <w:color w:val="231F20"/>
          <w:spacing w:val="-7"/>
          <w:w w:val="120"/>
        </w:rPr>
        <w:t> </w:t>
      </w:r>
      <w:r>
        <w:rPr>
          <w:color w:val="231F20"/>
          <w:spacing w:val="-2"/>
          <w:w w:val="120"/>
        </w:rPr>
        <w:t>de</w:t>
      </w:r>
      <w:r>
        <w:rPr>
          <w:color w:val="231F20"/>
          <w:spacing w:val="-7"/>
          <w:w w:val="120"/>
        </w:rPr>
        <w:t> </w:t>
      </w:r>
      <w:r>
        <w:rPr>
          <w:color w:val="231F20"/>
          <w:spacing w:val="-2"/>
          <w:w w:val="120"/>
        </w:rPr>
        <w:t>travail,</w:t>
      </w:r>
      <w:r>
        <w:rPr>
          <w:color w:val="231F20"/>
          <w:spacing w:val="-7"/>
          <w:w w:val="120"/>
        </w:rPr>
        <w:t> </w:t>
      </w:r>
      <w:r>
        <w:rPr>
          <w:color w:val="231F20"/>
          <w:spacing w:val="-2"/>
          <w:w w:val="120"/>
        </w:rPr>
        <w:t>le</w:t>
      </w:r>
      <w:r>
        <w:rPr>
          <w:color w:val="231F20"/>
          <w:spacing w:val="-7"/>
          <w:w w:val="120"/>
        </w:rPr>
        <w:t> </w:t>
      </w:r>
      <w:r>
        <w:rPr>
          <w:color w:val="231F20"/>
          <w:spacing w:val="-2"/>
          <w:w w:val="120"/>
        </w:rPr>
        <w:t>stress</w:t>
      </w:r>
      <w:r>
        <w:rPr>
          <w:color w:val="231F20"/>
          <w:spacing w:val="-7"/>
          <w:w w:val="120"/>
        </w:rPr>
        <w:t> </w:t>
      </w:r>
      <w:r>
        <w:rPr>
          <w:color w:val="231F20"/>
          <w:spacing w:val="-2"/>
          <w:w w:val="120"/>
        </w:rPr>
        <w:t>professionnel</w:t>
      </w:r>
      <w:r>
        <w:rPr>
          <w:color w:val="231F20"/>
          <w:spacing w:val="-7"/>
          <w:w w:val="120"/>
        </w:rPr>
        <w:t> </w:t>
      </w:r>
      <w:r>
        <w:rPr>
          <w:color w:val="231F20"/>
          <w:spacing w:val="-2"/>
          <w:w w:val="120"/>
        </w:rPr>
        <w:t>est</w:t>
      </w:r>
      <w:r>
        <w:rPr>
          <w:color w:val="231F20"/>
          <w:spacing w:val="-7"/>
          <w:w w:val="120"/>
        </w:rPr>
        <w:t> </w:t>
      </w:r>
      <w:r>
        <w:rPr>
          <w:color w:val="231F20"/>
          <w:spacing w:val="-2"/>
          <w:w w:val="120"/>
        </w:rPr>
        <w:t>un</w:t>
      </w:r>
      <w:r>
        <w:rPr>
          <w:color w:val="231F20"/>
          <w:spacing w:val="-7"/>
          <w:w w:val="120"/>
        </w:rPr>
        <w:t> </w:t>
      </w:r>
      <w:r>
        <w:rPr>
          <w:color w:val="231F20"/>
          <w:spacing w:val="-2"/>
          <w:w w:val="120"/>
        </w:rPr>
        <w:t>déséqui- </w:t>
      </w:r>
      <w:r>
        <w:rPr>
          <w:color w:val="231F20"/>
          <w:w w:val="120"/>
        </w:rPr>
        <w:t>libre</w:t>
      </w:r>
      <w:r>
        <w:rPr>
          <w:color w:val="231F20"/>
          <w:spacing w:val="-7"/>
          <w:w w:val="120"/>
        </w:rPr>
        <w:t> </w:t>
      </w:r>
      <w:r>
        <w:rPr>
          <w:color w:val="231F20"/>
          <w:w w:val="120"/>
        </w:rPr>
        <w:t>entre</w:t>
      </w:r>
      <w:r>
        <w:rPr>
          <w:color w:val="231F20"/>
          <w:spacing w:val="-7"/>
          <w:w w:val="120"/>
        </w:rPr>
        <w:t> </w:t>
      </w:r>
      <w:r>
        <w:rPr>
          <w:color w:val="231F20"/>
          <w:w w:val="120"/>
        </w:rPr>
        <w:t>les</w:t>
      </w:r>
      <w:r>
        <w:rPr>
          <w:color w:val="231F20"/>
          <w:spacing w:val="-7"/>
          <w:w w:val="120"/>
        </w:rPr>
        <w:t> </w:t>
      </w:r>
      <w:r>
        <w:rPr>
          <w:color w:val="231F20"/>
          <w:w w:val="120"/>
        </w:rPr>
        <w:t>aspirations</w:t>
      </w:r>
      <w:r>
        <w:rPr>
          <w:color w:val="231F20"/>
          <w:spacing w:val="-7"/>
          <w:w w:val="120"/>
        </w:rPr>
        <w:t> </w:t>
      </w:r>
      <w:r>
        <w:rPr>
          <w:color w:val="231F20"/>
          <w:w w:val="120"/>
        </w:rPr>
        <w:t>de</w:t>
      </w:r>
      <w:r>
        <w:rPr>
          <w:color w:val="231F20"/>
          <w:spacing w:val="-7"/>
          <w:w w:val="120"/>
        </w:rPr>
        <w:t> </w:t>
      </w:r>
      <w:r>
        <w:rPr>
          <w:color w:val="231F20"/>
          <w:w w:val="120"/>
        </w:rPr>
        <w:t>l’individu</w:t>
      </w:r>
      <w:r>
        <w:rPr>
          <w:color w:val="231F20"/>
          <w:spacing w:val="-7"/>
          <w:w w:val="120"/>
        </w:rPr>
        <w:t> </w:t>
      </w:r>
      <w:r>
        <w:rPr>
          <w:color w:val="231F20"/>
          <w:w w:val="120"/>
        </w:rPr>
        <w:t>et</w:t>
      </w:r>
      <w:r>
        <w:rPr>
          <w:color w:val="231F20"/>
          <w:spacing w:val="-7"/>
          <w:w w:val="120"/>
        </w:rPr>
        <w:t> </w:t>
      </w:r>
      <w:r>
        <w:rPr>
          <w:color w:val="231F20"/>
          <w:w w:val="120"/>
        </w:rPr>
        <w:t>la</w:t>
      </w:r>
      <w:r>
        <w:rPr>
          <w:color w:val="231F20"/>
          <w:spacing w:val="-7"/>
          <w:w w:val="120"/>
        </w:rPr>
        <w:t> </w:t>
      </w:r>
      <w:r>
        <w:rPr>
          <w:color w:val="231F20"/>
          <w:w w:val="120"/>
        </w:rPr>
        <w:t>réalité</w:t>
      </w:r>
      <w:r>
        <w:rPr>
          <w:color w:val="231F20"/>
          <w:spacing w:val="-7"/>
          <w:w w:val="120"/>
        </w:rPr>
        <w:t> </w:t>
      </w:r>
      <w:r>
        <w:rPr>
          <w:color w:val="231F20"/>
          <w:w w:val="120"/>
        </w:rPr>
        <w:t>de</w:t>
      </w:r>
      <w:r>
        <w:rPr>
          <w:color w:val="231F20"/>
          <w:spacing w:val="-7"/>
          <w:w w:val="120"/>
        </w:rPr>
        <w:t> </w:t>
      </w:r>
      <w:r>
        <w:rPr>
          <w:color w:val="231F20"/>
          <w:w w:val="120"/>
        </w:rPr>
        <w:t>ses</w:t>
      </w:r>
      <w:r>
        <w:rPr>
          <w:color w:val="231F20"/>
          <w:spacing w:val="-7"/>
          <w:w w:val="120"/>
        </w:rPr>
        <w:t> </w:t>
      </w:r>
      <w:r>
        <w:rPr>
          <w:color w:val="231F20"/>
          <w:w w:val="120"/>
        </w:rPr>
        <w:t>conditions</w:t>
      </w:r>
      <w:r>
        <w:rPr>
          <w:color w:val="231F20"/>
          <w:spacing w:val="-7"/>
          <w:w w:val="120"/>
        </w:rPr>
        <w:t> </w:t>
      </w:r>
      <w:r>
        <w:rPr>
          <w:color w:val="231F20"/>
          <w:w w:val="120"/>
        </w:rPr>
        <w:t>de travail.</w:t>
      </w:r>
      <w:r>
        <w:rPr>
          <w:color w:val="231F20"/>
          <w:spacing w:val="-2"/>
          <w:w w:val="120"/>
        </w:rPr>
        <w:t> </w:t>
      </w:r>
      <w:r>
        <w:rPr>
          <w:color w:val="231F20"/>
          <w:w w:val="120"/>
        </w:rPr>
        <w:t>C’est</w:t>
      </w:r>
      <w:r>
        <w:rPr>
          <w:color w:val="231F20"/>
          <w:spacing w:val="-2"/>
          <w:w w:val="120"/>
        </w:rPr>
        <w:t> </w:t>
      </w:r>
      <w:r>
        <w:rPr>
          <w:color w:val="231F20"/>
          <w:w w:val="120"/>
        </w:rPr>
        <w:t>la</w:t>
      </w:r>
      <w:r>
        <w:rPr>
          <w:color w:val="231F20"/>
          <w:spacing w:val="-2"/>
          <w:w w:val="120"/>
        </w:rPr>
        <w:t> </w:t>
      </w:r>
      <w:r>
        <w:rPr>
          <w:color w:val="231F20"/>
          <w:w w:val="120"/>
        </w:rPr>
        <w:t>différence</w:t>
      </w:r>
      <w:r>
        <w:rPr>
          <w:color w:val="231F20"/>
          <w:spacing w:val="-2"/>
          <w:w w:val="120"/>
        </w:rPr>
        <w:t> </w:t>
      </w:r>
      <w:r>
        <w:rPr>
          <w:color w:val="231F20"/>
          <w:w w:val="120"/>
        </w:rPr>
        <w:t>perçue</w:t>
      </w:r>
      <w:r>
        <w:rPr>
          <w:color w:val="231F20"/>
          <w:spacing w:val="-2"/>
          <w:w w:val="120"/>
        </w:rPr>
        <w:t> </w:t>
      </w:r>
      <w:r>
        <w:rPr>
          <w:color w:val="231F20"/>
          <w:w w:val="120"/>
        </w:rPr>
        <w:t>par</w:t>
      </w:r>
      <w:r>
        <w:rPr>
          <w:color w:val="231F20"/>
          <w:spacing w:val="-2"/>
          <w:w w:val="120"/>
        </w:rPr>
        <w:t> </w:t>
      </w:r>
      <w:r>
        <w:rPr>
          <w:color w:val="231F20"/>
          <w:w w:val="120"/>
        </w:rPr>
        <w:t>le</w:t>
      </w:r>
      <w:r>
        <w:rPr>
          <w:color w:val="231F20"/>
          <w:spacing w:val="-2"/>
          <w:w w:val="120"/>
        </w:rPr>
        <w:t> </w:t>
      </w:r>
      <w:r>
        <w:rPr>
          <w:color w:val="231F20"/>
          <w:w w:val="120"/>
        </w:rPr>
        <w:t>travailleur</w:t>
      </w:r>
      <w:r>
        <w:rPr>
          <w:color w:val="231F20"/>
          <w:spacing w:val="-2"/>
          <w:w w:val="120"/>
        </w:rPr>
        <w:t> </w:t>
      </w:r>
      <w:r>
        <w:rPr>
          <w:color w:val="231F20"/>
          <w:w w:val="120"/>
        </w:rPr>
        <w:t>entre</w:t>
      </w:r>
      <w:r>
        <w:rPr>
          <w:color w:val="231F20"/>
          <w:spacing w:val="-2"/>
          <w:w w:val="120"/>
        </w:rPr>
        <w:t> </w:t>
      </w:r>
      <w:r>
        <w:rPr>
          <w:color w:val="231F20"/>
          <w:w w:val="120"/>
        </w:rPr>
        <w:t>les</w:t>
      </w:r>
      <w:r>
        <w:rPr>
          <w:color w:val="231F20"/>
          <w:spacing w:val="-2"/>
          <w:w w:val="120"/>
        </w:rPr>
        <w:t> </w:t>
      </w:r>
      <w:r>
        <w:rPr>
          <w:color w:val="231F20"/>
          <w:w w:val="120"/>
        </w:rPr>
        <w:t>demandes </w:t>
      </w:r>
      <w:r>
        <w:rPr>
          <w:color w:val="231F20"/>
          <w:w w:val="115"/>
        </w:rPr>
        <w:t>professionnelles</w:t>
      </w:r>
      <w:r>
        <w:rPr>
          <w:color w:val="231F20"/>
          <w:spacing w:val="-3"/>
          <w:w w:val="115"/>
        </w:rPr>
        <w:t> </w:t>
      </w:r>
      <w:r>
        <w:rPr>
          <w:color w:val="231F20"/>
          <w:w w:val="115"/>
        </w:rPr>
        <w:t>et</w:t>
      </w:r>
      <w:r>
        <w:rPr>
          <w:color w:val="231F20"/>
          <w:spacing w:val="-3"/>
          <w:w w:val="115"/>
        </w:rPr>
        <w:t> </w:t>
      </w:r>
      <w:r>
        <w:rPr>
          <w:color w:val="231F20"/>
          <w:w w:val="115"/>
        </w:rPr>
        <w:t>sa</w:t>
      </w:r>
      <w:r>
        <w:rPr>
          <w:color w:val="231F20"/>
          <w:spacing w:val="-3"/>
          <w:w w:val="115"/>
        </w:rPr>
        <w:t> </w:t>
      </w:r>
      <w:r>
        <w:rPr>
          <w:color w:val="231F20"/>
          <w:w w:val="115"/>
        </w:rPr>
        <w:t>capacité</w:t>
      </w:r>
      <w:r>
        <w:rPr>
          <w:color w:val="231F20"/>
          <w:spacing w:val="-3"/>
          <w:w w:val="115"/>
        </w:rPr>
        <w:t> </w:t>
      </w:r>
      <w:r>
        <w:rPr>
          <w:color w:val="231F20"/>
          <w:w w:val="115"/>
        </w:rPr>
        <w:t>de</w:t>
      </w:r>
      <w:r>
        <w:rPr>
          <w:color w:val="231F20"/>
          <w:spacing w:val="-3"/>
          <w:w w:val="115"/>
        </w:rPr>
        <w:t> </w:t>
      </w:r>
      <w:r>
        <w:rPr>
          <w:color w:val="231F20"/>
          <w:w w:val="115"/>
        </w:rPr>
        <w:t>s’en</w:t>
      </w:r>
      <w:r>
        <w:rPr>
          <w:color w:val="231F20"/>
          <w:spacing w:val="-3"/>
          <w:w w:val="115"/>
        </w:rPr>
        <w:t> </w:t>
      </w:r>
      <w:r>
        <w:rPr>
          <w:color w:val="231F20"/>
          <w:w w:val="115"/>
        </w:rPr>
        <w:t>acquitter.</w:t>
      </w:r>
      <w:r>
        <w:rPr>
          <w:color w:val="231F20"/>
          <w:spacing w:val="-3"/>
          <w:w w:val="115"/>
        </w:rPr>
        <w:t> </w:t>
      </w:r>
      <w:r>
        <w:rPr>
          <w:color w:val="231F20"/>
          <w:w w:val="115"/>
        </w:rPr>
        <w:t>Dans</w:t>
      </w:r>
      <w:r>
        <w:rPr>
          <w:color w:val="231F20"/>
          <w:spacing w:val="-3"/>
          <w:w w:val="115"/>
        </w:rPr>
        <w:t> </w:t>
      </w:r>
      <w:r>
        <w:rPr>
          <w:color w:val="231F20"/>
          <w:w w:val="115"/>
        </w:rPr>
        <w:t>ce</w:t>
      </w:r>
      <w:r>
        <w:rPr>
          <w:color w:val="231F20"/>
          <w:spacing w:val="-3"/>
          <w:w w:val="115"/>
        </w:rPr>
        <w:t> </w:t>
      </w:r>
      <w:r>
        <w:rPr>
          <w:color w:val="231F20"/>
          <w:w w:val="115"/>
        </w:rPr>
        <w:t>contexte,</w:t>
      </w:r>
      <w:r>
        <w:rPr>
          <w:color w:val="231F20"/>
          <w:spacing w:val="-3"/>
          <w:w w:val="115"/>
        </w:rPr>
        <w:t> </w:t>
      </w:r>
      <w:r>
        <w:rPr>
          <w:color w:val="231F20"/>
          <w:w w:val="115"/>
        </w:rPr>
        <w:t>la</w:t>
      </w:r>
      <w:r>
        <w:rPr>
          <w:color w:val="231F20"/>
          <w:spacing w:val="-3"/>
          <w:w w:val="115"/>
        </w:rPr>
        <w:t> </w:t>
      </w:r>
      <w:r>
        <w:rPr>
          <w:color w:val="231F20"/>
          <w:w w:val="115"/>
        </w:rPr>
        <w:t>per- </w:t>
      </w:r>
      <w:r>
        <w:rPr>
          <w:color w:val="231F20"/>
          <w:w w:val="120"/>
        </w:rPr>
        <w:t>ception d’un manque de maîtrise de la situation et le sentiment d’être surmené</w:t>
      </w:r>
      <w:r>
        <w:rPr>
          <w:color w:val="231F20"/>
          <w:spacing w:val="-13"/>
          <w:w w:val="120"/>
        </w:rPr>
        <w:t> </w:t>
      </w:r>
      <w:r>
        <w:rPr>
          <w:color w:val="231F20"/>
          <w:w w:val="120"/>
        </w:rPr>
        <w:t>au-delà</w:t>
      </w:r>
      <w:r>
        <w:rPr>
          <w:color w:val="231F20"/>
          <w:spacing w:val="-13"/>
          <w:w w:val="120"/>
        </w:rPr>
        <w:t> </w:t>
      </w:r>
      <w:r>
        <w:rPr>
          <w:color w:val="231F20"/>
          <w:w w:val="120"/>
        </w:rPr>
        <w:t>de</w:t>
      </w:r>
      <w:r>
        <w:rPr>
          <w:color w:val="231F20"/>
          <w:spacing w:val="-13"/>
          <w:w w:val="120"/>
        </w:rPr>
        <w:t> </w:t>
      </w:r>
      <w:r>
        <w:rPr>
          <w:color w:val="231F20"/>
          <w:w w:val="120"/>
        </w:rPr>
        <w:t>ses</w:t>
      </w:r>
      <w:r>
        <w:rPr>
          <w:color w:val="231F20"/>
          <w:spacing w:val="-12"/>
          <w:w w:val="120"/>
        </w:rPr>
        <w:t> </w:t>
      </w:r>
      <w:r>
        <w:rPr>
          <w:color w:val="231F20"/>
          <w:w w:val="120"/>
        </w:rPr>
        <w:t>ressources</w:t>
      </w:r>
      <w:r>
        <w:rPr>
          <w:color w:val="231F20"/>
          <w:spacing w:val="-13"/>
          <w:w w:val="120"/>
        </w:rPr>
        <w:t> </w:t>
      </w:r>
      <w:r>
        <w:rPr>
          <w:color w:val="231F20"/>
          <w:w w:val="120"/>
        </w:rPr>
        <w:t>amènent</w:t>
      </w:r>
      <w:r>
        <w:rPr>
          <w:color w:val="231F20"/>
          <w:spacing w:val="-13"/>
          <w:w w:val="120"/>
        </w:rPr>
        <w:t> </w:t>
      </w:r>
      <w:r>
        <w:rPr>
          <w:color w:val="231F20"/>
          <w:w w:val="120"/>
        </w:rPr>
        <w:t>l’individu</w:t>
      </w:r>
      <w:r>
        <w:rPr>
          <w:color w:val="231F20"/>
          <w:spacing w:val="-13"/>
          <w:w w:val="120"/>
        </w:rPr>
        <w:t> </w:t>
      </w:r>
      <w:r>
        <w:rPr>
          <w:color w:val="231F20"/>
          <w:w w:val="120"/>
        </w:rPr>
        <w:t>à</w:t>
      </w:r>
      <w:r>
        <w:rPr>
          <w:color w:val="231F20"/>
          <w:spacing w:val="-12"/>
          <w:w w:val="120"/>
        </w:rPr>
        <w:t> </w:t>
      </w:r>
      <w:r>
        <w:rPr>
          <w:color w:val="231F20"/>
          <w:w w:val="120"/>
        </w:rPr>
        <w:t>se</w:t>
      </w:r>
      <w:r>
        <w:rPr>
          <w:color w:val="231F20"/>
          <w:spacing w:val="-13"/>
          <w:w w:val="120"/>
        </w:rPr>
        <w:t> </w:t>
      </w:r>
      <w:r>
        <w:rPr>
          <w:color w:val="231F20"/>
          <w:w w:val="120"/>
        </w:rPr>
        <w:t>sentir</w:t>
      </w:r>
      <w:r>
        <w:rPr>
          <w:color w:val="231F20"/>
          <w:spacing w:val="-13"/>
          <w:w w:val="120"/>
        </w:rPr>
        <w:t> </w:t>
      </w:r>
      <w:r>
        <w:rPr>
          <w:color w:val="231F20"/>
          <w:w w:val="120"/>
        </w:rPr>
        <w:t>lessivé par une activation excessive. Cette usure a des conséquences à divers niveaux:</w:t>
      </w:r>
      <w:r>
        <w:rPr>
          <w:color w:val="231F20"/>
          <w:spacing w:val="-11"/>
          <w:w w:val="120"/>
        </w:rPr>
        <w:t> </w:t>
      </w:r>
      <w:r>
        <w:rPr>
          <w:color w:val="231F20"/>
          <w:w w:val="120"/>
        </w:rPr>
        <w:t>elle</w:t>
      </w:r>
      <w:r>
        <w:rPr>
          <w:color w:val="231F20"/>
          <w:spacing w:val="-11"/>
          <w:w w:val="120"/>
        </w:rPr>
        <w:t> </w:t>
      </w:r>
      <w:r>
        <w:rPr>
          <w:color w:val="231F20"/>
          <w:w w:val="120"/>
        </w:rPr>
        <w:t>génère</w:t>
      </w:r>
      <w:r>
        <w:rPr>
          <w:color w:val="231F20"/>
          <w:spacing w:val="-11"/>
          <w:w w:val="120"/>
        </w:rPr>
        <w:t> </w:t>
      </w:r>
      <w:r>
        <w:rPr>
          <w:color w:val="231F20"/>
          <w:w w:val="120"/>
        </w:rPr>
        <w:t>un</w:t>
      </w:r>
      <w:r>
        <w:rPr>
          <w:color w:val="231F20"/>
          <w:spacing w:val="-11"/>
          <w:w w:val="120"/>
        </w:rPr>
        <w:t> </w:t>
      </w:r>
      <w:r>
        <w:rPr>
          <w:color w:val="231F20"/>
          <w:w w:val="120"/>
        </w:rPr>
        <w:t>état</w:t>
      </w:r>
      <w:r>
        <w:rPr>
          <w:color w:val="231F20"/>
          <w:spacing w:val="-11"/>
          <w:w w:val="120"/>
        </w:rPr>
        <w:t> </w:t>
      </w:r>
      <w:r>
        <w:rPr>
          <w:color w:val="231F20"/>
          <w:w w:val="120"/>
        </w:rPr>
        <w:t>d’irritabilité</w:t>
      </w:r>
      <w:r>
        <w:rPr>
          <w:color w:val="231F20"/>
          <w:spacing w:val="-11"/>
          <w:w w:val="120"/>
        </w:rPr>
        <w:t> </w:t>
      </w:r>
      <w:r>
        <w:rPr>
          <w:color w:val="231F20"/>
          <w:w w:val="120"/>
        </w:rPr>
        <w:t>et</w:t>
      </w:r>
      <w:r>
        <w:rPr>
          <w:color w:val="231F20"/>
          <w:spacing w:val="-11"/>
          <w:w w:val="120"/>
        </w:rPr>
        <w:t> </w:t>
      </w:r>
      <w:r>
        <w:rPr>
          <w:color w:val="231F20"/>
          <w:w w:val="120"/>
        </w:rPr>
        <w:t>un</w:t>
      </w:r>
      <w:r>
        <w:rPr>
          <w:color w:val="231F20"/>
          <w:spacing w:val="-11"/>
          <w:w w:val="120"/>
        </w:rPr>
        <w:t> </w:t>
      </w:r>
      <w:r>
        <w:rPr>
          <w:color w:val="231F20"/>
          <w:w w:val="120"/>
        </w:rPr>
        <w:t>sentiment</w:t>
      </w:r>
      <w:r>
        <w:rPr>
          <w:color w:val="231F20"/>
          <w:spacing w:val="-11"/>
          <w:w w:val="120"/>
        </w:rPr>
        <w:t> </w:t>
      </w:r>
      <w:r>
        <w:rPr>
          <w:color w:val="231F20"/>
          <w:w w:val="120"/>
        </w:rPr>
        <w:t>d’échec</w:t>
      </w:r>
      <w:r>
        <w:rPr>
          <w:color w:val="231F20"/>
          <w:spacing w:val="-11"/>
          <w:w w:val="120"/>
        </w:rPr>
        <w:t> </w:t>
      </w:r>
      <w:r>
        <w:rPr>
          <w:color w:val="231F20"/>
          <w:w w:val="120"/>
        </w:rPr>
        <w:t>à</w:t>
      </w:r>
      <w:r>
        <w:rPr>
          <w:color w:val="231F20"/>
          <w:spacing w:val="-11"/>
          <w:w w:val="120"/>
        </w:rPr>
        <w:t> </w:t>
      </w:r>
      <w:r>
        <w:rPr>
          <w:color w:val="231F20"/>
          <w:w w:val="120"/>
        </w:rPr>
        <w:t>maî- triser</w:t>
      </w:r>
      <w:r>
        <w:rPr>
          <w:color w:val="231F20"/>
          <w:spacing w:val="-9"/>
          <w:w w:val="120"/>
        </w:rPr>
        <w:t> </w:t>
      </w:r>
      <w:r>
        <w:rPr>
          <w:color w:val="231F20"/>
          <w:w w:val="120"/>
        </w:rPr>
        <w:t>la</w:t>
      </w:r>
      <w:r>
        <w:rPr>
          <w:color w:val="231F20"/>
          <w:spacing w:val="-9"/>
          <w:w w:val="120"/>
        </w:rPr>
        <w:t> </w:t>
      </w:r>
      <w:r>
        <w:rPr>
          <w:color w:val="231F20"/>
          <w:w w:val="120"/>
        </w:rPr>
        <w:t>situation,</w:t>
      </w:r>
      <w:r>
        <w:rPr>
          <w:color w:val="231F20"/>
          <w:spacing w:val="-9"/>
          <w:w w:val="120"/>
        </w:rPr>
        <w:t> </w:t>
      </w:r>
      <w:r>
        <w:rPr>
          <w:color w:val="231F20"/>
          <w:w w:val="120"/>
        </w:rPr>
        <w:t>et</w:t>
      </w:r>
      <w:r>
        <w:rPr>
          <w:color w:val="231F20"/>
          <w:spacing w:val="-9"/>
          <w:w w:val="120"/>
        </w:rPr>
        <w:t> </w:t>
      </w:r>
      <w:r>
        <w:rPr>
          <w:color w:val="231F20"/>
          <w:w w:val="120"/>
        </w:rPr>
        <w:t>elle</w:t>
      </w:r>
      <w:r>
        <w:rPr>
          <w:color w:val="231F20"/>
          <w:spacing w:val="-9"/>
          <w:w w:val="120"/>
        </w:rPr>
        <w:t> </w:t>
      </w:r>
      <w:r>
        <w:rPr>
          <w:color w:val="231F20"/>
          <w:w w:val="120"/>
        </w:rPr>
        <w:t>déclenche</w:t>
      </w:r>
      <w:r>
        <w:rPr>
          <w:color w:val="231F20"/>
          <w:spacing w:val="-9"/>
          <w:w w:val="120"/>
        </w:rPr>
        <w:t> </w:t>
      </w:r>
      <w:r>
        <w:rPr>
          <w:color w:val="231F20"/>
          <w:w w:val="120"/>
        </w:rPr>
        <w:t>des</w:t>
      </w:r>
      <w:r>
        <w:rPr>
          <w:color w:val="231F20"/>
          <w:spacing w:val="-9"/>
          <w:w w:val="120"/>
        </w:rPr>
        <w:t> </w:t>
      </w:r>
      <w:r>
        <w:rPr>
          <w:color w:val="231F20"/>
          <w:w w:val="120"/>
        </w:rPr>
        <w:t>processus</w:t>
      </w:r>
      <w:r>
        <w:rPr>
          <w:color w:val="231F20"/>
          <w:spacing w:val="-9"/>
          <w:w w:val="120"/>
        </w:rPr>
        <w:t> </w:t>
      </w:r>
      <w:r>
        <w:rPr>
          <w:color w:val="231F20"/>
          <w:w w:val="120"/>
        </w:rPr>
        <w:t>biologiques</w:t>
      </w:r>
      <w:r>
        <w:rPr>
          <w:color w:val="231F20"/>
          <w:spacing w:val="-9"/>
          <w:w w:val="120"/>
        </w:rPr>
        <w:t> </w:t>
      </w:r>
      <w:r>
        <w:rPr>
          <w:color w:val="231F20"/>
          <w:w w:val="120"/>
        </w:rPr>
        <w:t>qui</w:t>
      </w:r>
      <w:r>
        <w:rPr>
          <w:color w:val="231F20"/>
          <w:spacing w:val="-9"/>
          <w:w w:val="120"/>
        </w:rPr>
        <w:t> </w:t>
      </w:r>
      <w:r>
        <w:rPr>
          <w:color w:val="231F20"/>
          <w:w w:val="120"/>
        </w:rPr>
        <w:t>favo- </w:t>
      </w:r>
      <w:r>
        <w:rPr>
          <w:color w:val="231F20"/>
          <w:spacing w:val="-2"/>
          <w:w w:val="120"/>
        </w:rPr>
        <w:t>risent</w:t>
      </w:r>
      <w:r>
        <w:rPr>
          <w:color w:val="231F20"/>
          <w:spacing w:val="-13"/>
          <w:w w:val="120"/>
        </w:rPr>
        <w:t> </w:t>
      </w:r>
      <w:r>
        <w:rPr>
          <w:color w:val="231F20"/>
          <w:spacing w:val="-2"/>
          <w:w w:val="120"/>
        </w:rPr>
        <w:t>l’apparition</w:t>
      </w:r>
      <w:r>
        <w:rPr>
          <w:color w:val="231F20"/>
          <w:spacing w:val="-11"/>
          <w:w w:val="120"/>
        </w:rPr>
        <w:t> </w:t>
      </w:r>
      <w:r>
        <w:rPr>
          <w:color w:val="231F20"/>
          <w:spacing w:val="-2"/>
          <w:w w:val="120"/>
        </w:rPr>
        <w:t>de</w:t>
      </w:r>
      <w:r>
        <w:rPr>
          <w:color w:val="231F20"/>
          <w:spacing w:val="-11"/>
          <w:w w:val="120"/>
        </w:rPr>
        <w:t> </w:t>
      </w:r>
      <w:r>
        <w:rPr>
          <w:color w:val="231F20"/>
          <w:spacing w:val="-2"/>
          <w:w w:val="120"/>
        </w:rPr>
        <w:t>maladies</w:t>
      </w:r>
      <w:r>
        <w:rPr>
          <w:color w:val="231F20"/>
          <w:spacing w:val="-10"/>
          <w:w w:val="120"/>
        </w:rPr>
        <w:t> </w:t>
      </w:r>
      <w:r>
        <w:rPr>
          <w:color w:val="231F20"/>
          <w:spacing w:val="-2"/>
          <w:w w:val="120"/>
        </w:rPr>
        <w:t>(principalement</w:t>
      </w:r>
      <w:r>
        <w:rPr>
          <w:color w:val="231F20"/>
          <w:spacing w:val="-11"/>
          <w:w w:val="120"/>
        </w:rPr>
        <w:t> </w:t>
      </w:r>
      <w:r>
        <w:rPr>
          <w:color w:val="231F20"/>
          <w:spacing w:val="-2"/>
          <w:w w:val="120"/>
        </w:rPr>
        <w:t>des</w:t>
      </w:r>
      <w:r>
        <w:rPr>
          <w:color w:val="231F20"/>
          <w:spacing w:val="-11"/>
          <w:w w:val="120"/>
        </w:rPr>
        <w:t> </w:t>
      </w:r>
      <w:r>
        <w:rPr>
          <w:color w:val="231F20"/>
          <w:spacing w:val="-2"/>
          <w:w w:val="120"/>
        </w:rPr>
        <w:t>troubles</w:t>
      </w:r>
      <w:r>
        <w:rPr>
          <w:color w:val="231F20"/>
          <w:spacing w:val="-11"/>
          <w:w w:val="120"/>
        </w:rPr>
        <w:t> </w:t>
      </w:r>
      <w:r>
        <w:rPr>
          <w:color w:val="231F20"/>
          <w:spacing w:val="-2"/>
          <w:w w:val="120"/>
        </w:rPr>
        <w:t>de</w:t>
      </w:r>
      <w:r>
        <w:rPr>
          <w:color w:val="231F20"/>
          <w:spacing w:val="-10"/>
          <w:w w:val="120"/>
        </w:rPr>
        <w:t> </w:t>
      </w:r>
      <w:r>
        <w:rPr>
          <w:color w:val="231F20"/>
          <w:spacing w:val="-2"/>
          <w:w w:val="120"/>
        </w:rPr>
        <w:t>l’humeur, </w:t>
      </w:r>
      <w:r>
        <w:rPr>
          <w:color w:val="231F20"/>
          <w:w w:val="120"/>
        </w:rPr>
        <w:t>des problèmes cardiovasculaires et immunologiques).</w:t>
      </w:r>
    </w:p>
    <w:p>
      <w:pPr>
        <w:pStyle w:val="BodyText"/>
        <w:spacing w:line="307" w:lineRule="auto" w:before="78"/>
        <w:ind w:left="830" w:right="495" w:firstLine="250"/>
        <w:jc w:val="both"/>
      </w:pPr>
      <w:r>
        <w:rPr>
          <w:color w:val="231F20"/>
          <w:w w:val="120"/>
        </w:rPr>
        <w:t>Comme</w:t>
      </w:r>
      <w:r>
        <w:rPr>
          <w:color w:val="231F20"/>
          <w:spacing w:val="-3"/>
          <w:w w:val="120"/>
        </w:rPr>
        <w:t> </w:t>
      </w:r>
      <w:r>
        <w:rPr>
          <w:color w:val="231F20"/>
          <w:w w:val="120"/>
        </w:rPr>
        <w:t>nous</w:t>
      </w:r>
      <w:r>
        <w:rPr>
          <w:color w:val="231F20"/>
          <w:spacing w:val="-3"/>
          <w:w w:val="120"/>
        </w:rPr>
        <w:t> </w:t>
      </w:r>
      <w:r>
        <w:rPr>
          <w:color w:val="231F20"/>
          <w:w w:val="120"/>
        </w:rPr>
        <w:t>en</w:t>
      </w:r>
      <w:r>
        <w:rPr>
          <w:color w:val="231F20"/>
          <w:spacing w:val="-3"/>
          <w:w w:val="120"/>
        </w:rPr>
        <w:t> </w:t>
      </w:r>
      <w:r>
        <w:rPr>
          <w:color w:val="231F20"/>
          <w:w w:val="120"/>
        </w:rPr>
        <w:t>avons</w:t>
      </w:r>
      <w:r>
        <w:rPr>
          <w:color w:val="231F20"/>
          <w:spacing w:val="-3"/>
          <w:w w:val="120"/>
        </w:rPr>
        <w:t> </w:t>
      </w:r>
      <w:r>
        <w:rPr>
          <w:color w:val="231F20"/>
          <w:w w:val="120"/>
        </w:rPr>
        <w:t>discuté</w:t>
      </w:r>
      <w:r>
        <w:rPr>
          <w:color w:val="231F20"/>
          <w:spacing w:val="-3"/>
          <w:w w:val="120"/>
        </w:rPr>
        <w:t> </w:t>
      </w:r>
      <w:r>
        <w:rPr>
          <w:color w:val="231F20"/>
          <w:w w:val="120"/>
        </w:rPr>
        <w:t>au</w:t>
      </w:r>
      <w:r>
        <w:rPr>
          <w:color w:val="231F20"/>
          <w:spacing w:val="-3"/>
          <w:w w:val="120"/>
        </w:rPr>
        <w:t> </w:t>
      </w:r>
      <w:r>
        <w:rPr>
          <w:color w:val="231F20"/>
          <w:w w:val="120"/>
        </w:rPr>
        <w:t>chapitre</w:t>
      </w:r>
      <w:r>
        <w:rPr>
          <w:color w:val="231F20"/>
          <w:spacing w:val="-3"/>
          <w:w w:val="120"/>
        </w:rPr>
        <w:t> </w:t>
      </w:r>
      <w:r>
        <w:rPr>
          <w:color w:val="231F20"/>
          <w:w w:val="120"/>
        </w:rPr>
        <w:t>précédent,</w:t>
      </w:r>
      <w:r>
        <w:rPr>
          <w:color w:val="231F20"/>
          <w:spacing w:val="-3"/>
          <w:w w:val="120"/>
        </w:rPr>
        <w:t> </w:t>
      </w:r>
      <w:r>
        <w:rPr>
          <w:color w:val="231F20"/>
          <w:w w:val="120"/>
        </w:rPr>
        <w:t>les</w:t>
      </w:r>
      <w:r>
        <w:rPr>
          <w:color w:val="231F20"/>
          <w:spacing w:val="-3"/>
          <w:w w:val="120"/>
        </w:rPr>
        <w:t> </w:t>
      </w:r>
      <w:r>
        <w:rPr>
          <w:color w:val="231F20"/>
          <w:w w:val="120"/>
        </w:rPr>
        <w:t>écrits</w:t>
      </w:r>
      <w:r>
        <w:rPr>
          <w:color w:val="231F20"/>
          <w:spacing w:val="-3"/>
          <w:w w:val="120"/>
        </w:rPr>
        <w:t> </w:t>
      </w:r>
      <w:r>
        <w:rPr>
          <w:color w:val="231F20"/>
          <w:w w:val="120"/>
        </w:rPr>
        <w:t>spé- cialisés proposent tout un éventail de modèles théoriques </w:t>
      </w:r>
      <w:r>
        <w:rPr>
          <w:color w:val="231F20"/>
          <w:w w:val="120"/>
        </w:rPr>
        <w:t>permettant d’expliquer</w:t>
      </w:r>
      <w:r>
        <w:rPr>
          <w:color w:val="231F20"/>
          <w:spacing w:val="-2"/>
          <w:w w:val="120"/>
        </w:rPr>
        <w:t> </w:t>
      </w:r>
      <w:r>
        <w:rPr>
          <w:color w:val="231F20"/>
          <w:w w:val="120"/>
        </w:rPr>
        <w:t>et</w:t>
      </w:r>
      <w:r>
        <w:rPr>
          <w:color w:val="231F20"/>
          <w:spacing w:val="-2"/>
          <w:w w:val="120"/>
        </w:rPr>
        <w:t> </w:t>
      </w:r>
      <w:r>
        <w:rPr>
          <w:color w:val="231F20"/>
          <w:w w:val="120"/>
        </w:rPr>
        <w:t>de</w:t>
      </w:r>
      <w:r>
        <w:rPr>
          <w:color w:val="231F20"/>
          <w:spacing w:val="-2"/>
          <w:w w:val="120"/>
        </w:rPr>
        <w:t> </w:t>
      </w:r>
      <w:r>
        <w:rPr>
          <w:color w:val="231F20"/>
          <w:w w:val="120"/>
        </w:rPr>
        <w:t>comprendre</w:t>
      </w:r>
      <w:r>
        <w:rPr>
          <w:color w:val="231F20"/>
          <w:spacing w:val="-2"/>
          <w:w w:val="120"/>
        </w:rPr>
        <w:t> </w:t>
      </w:r>
      <w:r>
        <w:rPr>
          <w:color w:val="231F20"/>
          <w:w w:val="120"/>
        </w:rPr>
        <w:t>le</w:t>
      </w:r>
      <w:r>
        <w:rPr>
          <w:color w:val="231F20"/>
          <w:spacing w:val="-2"/>
          <w:w w:val="120"/>
        </w:rPr>
        <w:t> </w:t>
      </w:r>
      <w:r>
        <w:rPr>
          <w:color w:val="231F20"/>
          <w:w w:val="120"/>
        </w:rPr>
        <w:t>stress</w:t>
      </w:r>
      <w:r>
        <w:rPr>
          <w:color w:val="231F20"/>
          <w:spacing w:val="-2"/>
          <w:w w:val="120"/>
        </w:rPr>
        <w:t> </w:t>
      </w:r>
      <w:r>
        <w:rPr>
          <w:color w:val="231F20"/>
          <w:w w:val="120"/>
        </w:rPr>
        <w:t>lié</w:t>
      </w:r>
      <w:r>
        <w:rPr>
          <w:color w:val="231F20"/>
          <w:spacing w:val="-2"/>
          <w:w w:val="120"/>
        </w:rPr>
        <w:t> </w:t>
      </w:r>
      <w:r>
        <w:rPr>
          <w:color w:val="231F20"/>
          <w:w w:val="120"/>
        </w:rPr>
        <w:t>au</w:t>
      </w:r>
      <w:r>
        <w:rPr>
          <w:color w:val="231F20"/>
          <w:spacing w:val="-2"/>
          <w:w w:val="120"/>
        </w:rPr>
        <w:t> </w:t>
      </w:r>
      <w:r>
        <w:rPr>
          <w:color w:val="231F20"/>
          <w:w w:val="120"/>
        </w:rPr>
        <w:t>travail.</w:t>
      </w:r>
      <w:r>
        <w:rPr>
          <w:color w:val="231F20"/>
          <w:spacing w:val="-2"/>
          <w:w w:val="120"/>
        </w:rPr>
        <w:t> </w:t>
      </w:r>
      <w:r>
        <w:rPr>
          <w:color w:val="231F20"/>
          <w:w w:val="120"/>
        </w:rPr>
        <w:t>Le</w:t>
      </w:r>
      <w:r>
        <w:rPr>
          <w:color w:val="231F20"/>
          <w:spacing w:val="-2"/>
          <w:w w:val="120"/>
        </w:rPr>
        <w:t> </w:t>
      </w:r>
      <w:r>
        <w:rPr>
          <w:color w:val="231F20"/>
          <w:w w:val="120"/>
        </w:rPr>
        <w:t>modèle</w:t>
      </w:r>
      <w:r>
        <w:rPr>
          <w:color w:val="231F20"/>
          <w:spacing w:val="-2"/>
          <w:w w:val="120"/>
        </w:rPr>
        <w:t> </w:t>
      </w:r>
      <w:r>
        <w:rPr>
          <w:color w:val="231F20"/>
          <w:w w:val="120"/>
        </w:rPr>
        <w:t>mis</w:t>
      </w:r>
      <w:r>
        <w:rPr>
          <w:color w:val="231F20"/>
          <w:spacing w:val="-2"/>
          <w:w w:val="120"/>
        </w:rPr>
        <w:t> </w:t>
      </w:r>
      <w:r>
        <w:rPr>
          <w:color w:val="231F20"/>
          <w:w w:val="120"/>
        </w:rPr>
        <w:t>de l’avant</w:t>
      </w:r>
      <w:r>
        <w:rPr>
          <w:color w:val="231F20"/>
          <w:spacing w:val="-13"/>
          <w:w w:val="120"/>
        </w:rPr>
        <w:t> </w:t>
      </w:r>
      <w:r>
        <w:rPr>
          <w:color w:val="231F20"/>
          <w:w w:val="120"/>
        </w:rPr>
        <w:t>par</w:t>
      </w:r>
      <w:r>
        <w:rPr>
          <w:color w:val="231F20"/>
          <w:spacing w:val="-13"/>
          <w:w w:val="120"/>
        </w:rPr>
        <w:t> </w:t>
      </w:r>
      <w:r>
        <w:rPr>
          <w:color w:val="231F20"/>
          <w:w w:val="120"/>
        </w:rPr>
        <w:t>Dolan</w:t>
      </w:r>
      <w:r>
        <w:rPr>
          <w:color w:val="231F20"/>
          <w:spacing w:val="-12"/>
          <w:w w:val="120"/>
        </w:rPr>
        <w:t> </w:t>
      </w:r>
      <w:r>
        <w:rPr>
          <w:color w:val="231F20"/>
          <w:w w:val="120"/>
        </w:rPr>
        <w:t>et</w:t>
      </w:r>
      <w:r>
        <w:rPr>
          <w:color w:val="231F20"/>
          <w:spacing w:val="-13"/>
          <w:w w:val="120"/>
        </w:rPr>
        <w:t> </w:t>
      </w:r>
      <w:r>
        <w:rPr>
          <w:color w:val="231F20"/>
          <w:w w:val="120"/>
        </w:rPr>
        <w:t>Arsenault5,</w:t>
      </w:r>
      <w:r>
        <w:rPr>
          <w:color w:val="231F20"/>
          <w:spacing w:val="-13"/>
          <w:w w:val="120"/>
        </w:rPr>
        <w:t> </w:t>
      </w:r>
      <w:r>
        <w:rPr>
          <w:color w:val="231F20"/>
          <w:w w:val="120"/>
        </w:rPr>
        <w:t>par</w:t>
      </w:r>
      <w:r>
        <w:rPr>
          <w:color w:val="231F20"/>
          <w:spacing w:val="-12"/>
          <w:w w:val="120"/>
        </w:rPr>
        <w:t> </w:t>
      </w:r>
      <w:r>
        <w:rPr>
          <w:color w:val="231F20"/>
          <w:w w:val="120"/>
        </w:rPr>
        <w:t>exemple,</w:t>
      </w:r>
      <w:r>
        <w:rPr>
          <w:color w:val="231F20"/>
          <w:spacing w:val="-13"/>
          <w:w w:val="120"/>
        </w:rPr>
        <w:t> </w:t>
      </w:r>
      <w:r>
        <w:rPr>
          <w:color w:val="231F20"/>
          <w:w w:val="120"/>
        </w:rPr>
        <w:t>sert</w:t>
      </w:r>
      <w:r>
        <w:rPr>
          <w:color w:val="231F20"/>
          <w:spacing w:val="-13"/>
          <w:w w:val="120"/>
        </w:rPr>
        <w:t> </w:t>
      </w:r>
      <w:r>
        <w:rPr>
          <w:color w:val="231F20"/>
          <w:w w:val="120"/>
        </w:rPr>
        <w:t>à</w:t>
      </w:r>
      <w:r>
        <w:rPr>
          <w:color w:val="231F20"/>
          <w:spacing w:val="-12"/>
          <w:w w:val="120"/>
        </w:rPr>
        <w:t> </w:t>
      </w:r>
      <w:r>
        <w:rPr>
          <w:color w:val="231F20"/>
          <w:w w:val="120"/>
        </w:rPr>
        <w:t>poser</w:t>
      </w:r>
      <w:r>
        <w:rPr>
          <w:color w:val="231F20"/>
          <w:spacing w:val="-13"/>
          <w:w w:val="120"/>
        </w:rPr>
        <w:t> </w:t>
      </w:r>
      <w:r>
        <w:rPr>
          <w:color w:val="231F20"/>
          <w:w w:val="120"/>
        </w:rPr>
        <w:t>un</w:t>
      </w:r>
      <w:r>
        <w:rPr>
          <w:color w:val="231F20"/>
          <w:spacing w:val="-13"/>
          <w:w w:val="120"/>
        </w:rPr>
        <w:t> </w:t>
      </w:r>
      <w:r>
        <w:rPr>
          <w:color w:val="231F20"/>
          <w:w w:val="120"/>
        </w:rPr>
        <w:t>diagnostic </w:t>
      </w:r>
      <w:r>
        <w:rPr>
          <w:color w:val="231F20"/>
          <w:spacing w:val="-2"/>
          <w:w w:val="120"/>
        </w:rPr>
        <w:t>de</w:t>
      </w:r>
      <w:r>
        <w:rPr>
          <w:color w:val="231F20"/>
          <w:spacing w:val="-6"/>
          <w:w w:val="120"/>
        </w:rPr>
        <w:t> </w:t>
      </w:r>
      <w:r>
        <w:rPr>
          <w:color w:val="231F20"/>
          <w:spacing w:val="-2"/>
          <w:w w:val="120"/>
        </w:rPr>
        <w:t>manière</w:t>
      </w:r>
      <w:r>
        <w:rPr>
          <w:color w:val="231F20"/>
          <w:spacing w:val="-6"/>
          <w:w w:val="120"/>
        </w:rPr>
        <w:t> </w:t>
      </w:r>
      <w:r>
        <w:rPr>
          <w:color w:val="231F20"/>
          <w:spacing w:val="-2"/>
          <w:w w:val="120"/>
        </w:rPr>
        <w:t>à</w:t>
      </w:r>
      <w:r>
        <w:rPr>
          <w:color w:val="231F20"/>
          <w:spacing w:val="-6"/>
          <w:w w:val="120"/>
        </w:rPr>
        <w:t> </w:t>
      </w:r>
      <w:r>
        <w:rPr>
          <w:color w:val="231F20"/>
          <w:spacing w:val="-2"/>
          <w:w w:val="120"/>
        </w:rPr>
        <w:t>réduire</w:t>
      </w:r>
      <w:r>
        <w:rPr>
          <w:color w:val="231F20"/>
          <w:spacing w:val="-6"/>
          <w:w w:val="120"/>
        </w:rPr>
        <w:t> </w:t>
      </w:r>
      <w:r>
        <w:rPr>
          <w:color w:val="231F20"/>
          <w:spacing w:val="-2"/>
          <w:w w:val="120"/>
        </w:rPr>
        <w:t>les</w:t>
      </w:r>
      <w:r>
        <w:rPr>
          <w:color w:val="231F20"/>
          <w:spacing w:val="-6"/>
          <w:w w:val="120"/>
        </w:rPr>
        <w:t> </w:t>
      </w:r>
      <w:r>
        <w:rPr>
          <w:color w:val="231F20"/>
          <w:spacing w:val="-2"/>
          <w:w w:val="120"/>
        </w:rPr>
        <w:t>conséquences</w:t>
      </w:r>
      <w:r>
        <w:rPr>
          <w:color w:val="231F20"/>
          <w:spacing w:val="-6"/>
          <w:w w:val="120"/>
        </w:rPr>
        <w:t> </w:t>
      </w:r>
      <w:r>
        <w:rPr>
          <w:color w:val="231F20"/>
          <w:spacing w:val="-2"/>
          <w:w w:val="120"/>
        </w:rPr>
        <w:t>irréversibles</w:t>
      </w:r>
      <w:r>
        <w:rPr>
          <w:color w:val="231F20"/>
          <w:spacing w:val="-6"/>
          <w:w w:val="120"/>
        </w:rPr>
        <w:t> </w:t>
      </w:r>
      <w:r>
        <w:rPr>
          <w:color w:val="231F20"/>
          <w:spacing w:val="-2"/>
          <w:w w:val="120"/>
        </w:rPr>
        <w:t>et</w:t>
      </w:r>
      <w:r>
        <w:rPr>
          <w:color w:val="231F20"/>
          <w:spacing w:val="-6"/>
          <w:w w:val="120"/>
        </w:rPr>
        <w:t> </w:t>
      </w:r>
      <w:r>
        <w:rPr>
          <w:color w:val="231F20"/>
          <w:spacing w:val="-2"/>
          <w:w w:val="120"/>
        </w:rPr>
        <w:t>de</w:t>
      </w:r>
      <w:r>
        <w:rPr>
          <w:color w:val="231F20"/>
          <w:spacing w:val="-6"/>
          <w:w w:val="120"/>
        </w:rPr>
        <w:t> </w:t>
      </w:r>
      <w:r>
        <w:rPr>
          <w:color w:val="231F20"/>
          <w:spacing w:val="-2"/>
          <w:w w:val="120"/>
        </w:rPr>
        <w:t>longues</w:t>
      </w:r>
      <w:r>
        <w:rPr>
          <w:color w:val="231F20"/>
          <w:spacing w:val="-6"/>
          <w:w w:val="120"/>
        </w:rPr>
        <w:t> </w:t>
      </w:r>
      <w:r>
        <w:rPr>
          <w:color w:val="231F20"/>
          <w:spacing w:val="-2"/>
          <w:w w:val="120"/>
        </w:rPr>
        <w:t>durées </w:t>
      </w:r>
      <w:r>
        <w:rPr>
          <w:color w:val="231F20"/>
          <w:w w:val="120"/>
        </w:rPr>
        <w:t>du</w:t>
      </w:r>
      <w:r>
        <w:rPr>
          <w:color w:val="231F20"/>
          <w:spacing w:val="-1"/>
          <w:w w:val="120"/>
        </w:rPr>
        <w:t> </w:t>
      </w:r>
      <w:r>
        <w:rPr>
          <w:color w:val="231F20"/>
          <w:w w:val="120"/>
        </w:rPr>
        <w:t>stress.</w:t>
      </w:r>
      <w:r>
        <w:rPr>
          <w:color w:val="231F20"/>
          <w:spacing w:val="-1"/>
          <w:w w:val="120"/>
        </w:rPr>
        <w:t> </w:t>
      </w:r>
      <w:r>
        <w:rPr>
          <w:color w:val="231F20"/>
          <w:w w:val="120"/>
        </w:rPr>
        <w:t>Les</w:t>
      </w:r>
      <w:r>
        <w:rPr>
          <w:color w:val="231F20"/>
          <w:spacing w:val="-1"/>
          <w:w w:val="120"/>
        </w:rPr>
        <w:t> </w:t>
      </w:r>
      <w:r>
        <w:rPr>
          <w:color w:val="231F20"/>
          <w:w w:val="120"/>
        </w:rPr>
        <w:t>auteurs</w:t>
      </w:r>
      <w:r>
        <w:rPr>
          <w:color w:val="231F20"/>
          <w:spacing w:val="-1"/>
          <w:w w:val="120"/>
        </w:rPr>
        <w:t> </w:t>
      </w:r>
      <w:r>
        <w:rPr>
          <w:color w:val="231F20"/>
          <w:w w:val="120"/>
        </w:rPr>
        <w:t>soutiennent</w:t>
      </w:r>
      <w:r>
        <w:rPr>
          <w:color w:val="231F20"/>
          <w:spacing w:val="-1"/>
          <w:w w:val="120"/>
        </w:rPr>
        <w:t> </w:t>
      </w:r>
      <w:r>
        <w:rPr>
          <w:color w:val="231F20"/>
          <w:w w:val="120"/>
        </w:rPr>
        <w:t>que</w:t>
      </w:r>
      <w:r>
        <w:rPr>
          <w:color w:val="231F20"/>
          <w:spacing w:val="-1"/>
          <w:w w:val="120"/>
        </w:rPr>
        <w:t> </w:t>
      </w:r>
      <w:r>
        <w:rPr>
          <w:color w:val="231F20"/>
          <w:w w:val="120"/>
        </w:rPr>
        <w:t>les</w:t>
      </w:r>
      <w:r>
        <w:rPr>
          <w:color w:val="231F20"/>
          <w:spacing w:val="-1"/>
          <w:w w:val="120"/>
        </w:rPr>
        <w:t> </w:t>
      </w:r>
      <w:r>
        <w:rPr>
          <w:color w:val="231F20"/>
          <w:w w:val="120"/>
        </w:rPr>
        <w:t>problèmes</w:t>
      </w:r>
      <w:r>
        <w:rPr>
          <w:color w:val="231F20"/>
          <w:spacing w:val="-1"/>
          <w:w w:val="120"/>
        </w:rPr>
        <w:t> </w:t>
      </w:r>
      <w:r>
        <w:rPr>
          <w:color w:val="231F20"/>
          <w:w w:val="120"/>
        </w:rPr>
        <w:t>d’adaptation</w:t>
      </w:r>
      <w:r>
        <w:rPr>
          <w:color w:val="231F20"/>
          <w:spacing w:val="-1"/>
          <w:w w:val="120"/>
        </w:rPr>
        <w:t> </w:t>
      </w:r>
      <w:r>
        <w:rPr>
          <w:color w:val="231F20"/>
          <w:w w:val="120"/>
        </w:rPr>
        <w:t>pro- viennent de la discordance entre les caractéristiques de la personne et </w:t>
      </w:r>
      <w:r>
        <w:rPr>
          <w:color w:val="231F20"/>
          <w:spacing w:val="-2"/>
          <w:w w:val="120"/>
        </w:rPr>
        <w:t>son</w:t>
      </w:r>
      <w:r>
        <w:rPr>
          <w:color w:val="231F20"/>
          <w:spacing w:val="-5"/>
          <w:w w:val="120"/>
        </w:rPr>
        <w:t> </w:t>
      </w:r>
      <w:r>
        <w:rPr>
          <w:color w:val="231F20"/>
          <w:spacing w:val="-2"/>
          <w:w w:val="120"/>
        </w:rPr>
        <w:t>milieu</w:t>
      </w:r>
      <w:r>
        <w:rPr>
          <w:color w:val="231F20"/>
          <w:spacing w:val="-5"/>
          <w:w w:val="120"/>
        </w:rPr>
        <w:t> </w:t>
      </w:r>
      <w:r>
        <w:rPr>
          <w:color w:val="231F20"/>
          <w:spacing w:val="-2"/>
          <w:w w:val="120"/>
        </w:rPr>
        <w:t>de</w:t>
      </w:r>
      <w:r>
        <w:rPr>
          <w:color w:val="231F20"/>
          <w:spacing w:val="-5"/>
          <w:w w:val="120"/>
        </w:rPr>
        <w:t> </w:t>
      </w:r>
      <w:r>
        <w:rPr>
          <w:color w:val="231F20"/>
          <w:spacing w:val="-2"/>
          <w:w w:val="120"/>
        </w:rPr>
        <w:t>travail.</w:t>
      </w:r>
      <w:r>
        <w:rPr>
          <w:color w:val="231F20"/>
          <w:spacing w:val="-5"/>
          <w:w w:val="120"/>
        </w:rPr>
        <w:t> </w:t>
      </w:r>
      <w:r>
        <w:rPr>
          <w:color w:val="231F20"/>
          <w:spacing w:val="-2"/>
          <w:w w:val="120"/>
        </w:rPr>
        <w:t>Selon</w:t>
      </w:r>
      <w:r>
        <w:rPr>
          <w:color w:val="231F20"/>
          <w:spacing w:val="-5"/>
          <w:w w:val="120"/>
        </w:rPr>
        <w:t> </w:t>
      </w:r>
      <w:r>
        <w:rPr>
          <w:color w:val="231F20"/>
          <w:spacing w:val="-2"/>
          <w:w w:val="120"/>
        </w:rPr>
        <w:t>le</w:t>
      </w:r>
      <w:r>
        <w:rPr>
          <w:color w:val="231F20"/>
          <w:spacing w:val="-5"/>
          <w:w w:val="120"/>
        </w:rPr>
        <w:t> </w:t>
      </w:r>
      <w:r>
        <w:rPr>
          <w:color w:val="231F20"/>
          <w:spacing w:val="-2"/>
          <w:w w:val="120"/>
        </w:rPr>
        <w:t>niveau</w:t>
      </w:r>
      <w:r>
        <w:rPr>
          <w:color w:val="231F20"/>
          <w:spacing w:val="-5"/>
          <w:w w:val="120"/>
        </w:rPr>
        <w:t> </w:t>
      </w:r>
      <w:r>
        <w:rPr>
          <w:color w:val="231F20"/>
          <w:spacing w:val="-2"/>
          <w:w w:val="120"/>
        </w:rPr>
        <w:t>de</w:t>
      </w:r>
      <w:r>
        <w:rPr>
          <w:color w:val="231F20"/>
          <w:spacing w:val="-5"/>
          <w:w w:val="120"/>
        </w:rPr>
        <w:t> </w:t>
      </w:r>
      <w:r>
        <w:rPr>
          <w:color w:val="231F20"/>
          <w:spacing w:val="-2"/>
          <w:w w:val="120"/>
        </w:rPr>
        <w:t>discordance,</w:t>
      </w:r>
      <w:r>
        <w:rPr>
          <w:color w:val="231F20"/>
          <w:spacing w:val="-5"/>
          <w:w w:val="120"/>
        </w:rPr>
        <w:t> </w:t>
      </w:r>
      <w:r>
        <w:rPr>
          <w:color w:val="231F20"/>
          <w:spacing w:val="-2"/>
          <w:w w:val="120"/>
        </w:rPr>
        <w:t>divers</w:t>
      </w:r>
      <w:r>
        <w:rPr>
          <w:color w:val="231F20"/>
          <w:spacing w:val="-5"/>
          <w:w w:val="120"/>
        </w:rPr>
        <w:t> </w:t>
      </w:r>
      <w:r>
        <w:rPr>
          <w:color w:val="231F20"/>
          <w:spacing w:val="-2"/>
          <w:w w:val="120"/>
        </w:rPr>
        <w:t>symptômes </w:t>
      </w:r>
      <w:r>
        <w:rPr>
          <w:color w:val="231F20"/>
          <w:w w:val="120"/>
        </w:rPr>
        <w:t>de tension (indicateurs du stress) font leur apparition.</w:t>
      </w:r>
    </w:p>
    <w:p>
      <w:pPr>
        <w:pStyle w:val="BodyText"/>
        <w:spacing w:line="307" w:lineRule="auto" w:before="79"/>
        <w:ind w:left="830" w:right="494" w:firstLine="250"/>
        <w:jc w:val="both"/>
      </w:pPr>
      <w:r>
        <w:rPr>
          <w:color w:val="231F20"/>
          <w:w w:val="120"/>
        </w:rPr>
        <w:t>La relation entre l’individu et son milieu de travail évolue ainsi en fonction</w:t>
      </w:r>
      <w:r>
        <w:rPr>
          <w:color w:val="231F20"/>
          <w:spacing w:val="-2"/>
          <w:w w:val="120"/>
        </w:rPr>
        <w:t> </w:t>
      </w:r>
      <w:r>
        <w:rPr>
          <w:color w:val="231F20"/>
          <w:w w:val="120"/>
        </w:rPr>
        <w:t>du</w:t>
      </w:r>
      <w:r>
        <w:rPr>
          <w:color w:val="231F20"/>
          <w:spacing w:val="-2"/>
          <w:w w:val="120"/>
        </w:rPr>
        <w:t> </w:t>
      </w:r>
      <w:r>
        <w:rPr>
          <w:color w:val="231F20"/>
          <w:w w:val="120"/>
        </w:rPr>
        <w:t>cycle</w:t>
      </w:r>
      <w:r>
        <w:rPr>
          <w:color w:val="231F20"/>
          <w:spacing w:val="-2"/>
          <w:w w:val="120"/>
        </w:rPr>
        <w:t> </w:t>
      </w:r>
      <w:r>
        <w:rPr>
          <w:color w:val="231F20"/>
          <w:w w:val="120"/>
        </w:rPr>
        <w:t>d’adaptation.</w:t>
      </w:r>
      <w:r>
        <w:rPr>
          <w:color w:val="231F20"/>
          <w:spacing w:val="-2"/>
          <w:w w:val="120"/>
        </w:rPr>
        <w:t> </w:t>
      </w:r>
      <w:r>
        <w:rPr>
          <w:color w:val="231F20"/>
          <w:w w:val="120"/>
        </w:rPr>
        <w:t>Celui-ci</w:t>
      </w:r>
      <w:r>
        <w:rPr>
          <w:color w:val="231F20"/>
          <w:spacing w:val="-2"/>
          <w:w w:val="120"/>
        </w:rPr>
        <w:t> </w:t>
      </w:r>
      <w:r>
        <w:rPr>
          <w:color w:val="231F20"/>
          <w:w w:val="120"/>
        </w:rPr>
        <w:t>est</w:t>
      </w:r>
      <w:r>
        <w:rPr>
          <w:color w:val="231F20"/>
          <w:spacing w:val="-2"/>
          <w:w w:val="120"/>
        </w:rPr>
        <w:t> </w:t>
      </w:r>
      <w:r>
        <w:rPr>
          <w:color w:val="231F20"/>
          <w:w w:val="120"/>
        </w:rPr>
        <w:t>sujet</w:t>
      </w:r>
      <w:r>
        <w:rPr>
          <w:color w:val="231F20"/>
          <w:spacing w:val="-2"/>
          <w:w w:val="120"/>
        </w:rPr>
        <w:t> </w:t>
      </w:r>
      <w:r>
        <w:rPr>
          <w:color w:val="231F20"/>
          <w:w w:val="120"/>
        </w:rPr>
        <w:t>à</w:t>
      </w:r>
      <w:r>
        <w:rPr>
          <w:color w:val="231F20"/>
          <w:spacing w:val="-2"/>
          <w:w w:val="120"/>
        </w:rPr>
        <w:t> </w:t>
      </w:r>
      <w:r>
        <w:rPr>
          <w:color w:val="231F20"/>
          <w:w w:val="120"/>
        </w:rPr>
        <w:t>certaines</w:t>
      </w:r>
      <w:r>
        <w:rPr>
          <w:color w:val="231F20"/>
          <w:spacing w:val="-2"/>
          <w:w w:val="120"/>
        </w:rPr>
        <w:t> </w:t>
      </w:r>
      <w:r>
        <w:rPr>
          <w:color w:val="231F20"/>
          <w:w w:val="120"/>
        </w:rPr>
        <w:t>variations en</w:t>
      </w:r>
      <w:r>
        <w:rPr>
          <w:color w:val="231F20"/>
          <w:w w:val="120"/>
        </w:rPr>
        <w:t> fonction</w:t>
      </w:r>
      <w:r>
        <w:rPr>
          <w:color w:val="231F20"/>
          <w:w w:val="120"/>
        </w:rPr>
        <w:t> de</w:t>
      </w:r>
      <w:r>
        <w:rPr>
          <w:color w:val="231F20"/>
          <w:w w:val="120"/>
        </w:rPr>
        <w:t> paramètres</w:t>
      </w:r>
      <w:r>
        <w:rPr>
          <w:color w:val="231F20"/>
          <w:w w:val="120"/>
        </w:rPr>
        <w:t> liés</w:t>
      </w:r>
      <w:r>
        <w:rPr>
          <w:color w:val="231F20"/>
          <w:w w:val="120"/>
        </w:rPr>
        <w:t> au</w:t>
      </w:r>
      <w:r>
        <w:rPr>
          <w:color w:val="231F20"/>
          <w:w w:val="120"/>
        </w:rPr>
        <w:t> temps</w:t>
      </w:r>
      <w:r>
        <w:rPr>
          <w:color w:val="231F20"/>
          <w:w w:val="120"/>
        </w:rPr>
        <w:t> et</w:t>
      </w:r>
      <w:r>
        <w:rPr>
          <w:color w:val="231F20"/>
          <w:w w:val="120"/>
        </w:rPr>
        <w:t> des</w:t>
      </w:r>
      <w:r>
        <w:rPr>
          <w:color w:val="231F20"/>
          <w:w w:val="120"/>
        </w:rPr>
        <w:t> changements</w:t>
      </w:r>
      <w:r>
        <w:rPr>
          <w:color w:val="231F20"/>
          <w:w w:val="120"/>
        </w:rPr>
        <w:t> qui surviennent dans l’organisation ou chez l’individu. Rappelons que </w:t>
      </w:r>
      <w:r>
        <w:rPr>
          <w:color w:val="231F20"/>
          <w:w w:val="120"/>
        </w:rPr>
        <w:t>les divers</w:t>
      </w:r>
      <w:r>
        <w:rPr>
          <w:color w:val="231F20"/>
          <w:spacing w:val="-10"/>
          <w:w w:val="120"/>
        </w:rPr>
        <w:t> </w:t>
      </w:r>
      <w:r>
        <w:rPr>
          <w:color w:val="231F20"/>
          <w:w w:val="120"/>
        </w:rPr>
        <w:t>modèles</w:t>
      </w:r>
      <w:r>
        <w:rPr>
          <w:color w:val="231F20"/>
          <w:spacing w:val="-10"/>
          <w:w w:val="120"/>
        </w:rPr>
        <w:t> </w:t>
      </w:r>
      <w:r>
        <w:rPr>
          <w:color w:val="231F20"/>
          <w:w w:val="120"/>
        </w:rPr>
        <w:t>pouvant</w:t>
      </w:r>
      <w:r>
        <w:rPr>
          <w:color w:val="231F20"/>
          <w:spacing w:val="-10"/>
          <w:w w:val="120"/>
        </w:rPr>
        <w:t> </w:t>
      </w:r>
      <w:r>
        <w:rPr>
          <w:color w:val="231F20"/>
          <w:w w:val="120"/>
        </w:rPr>
        <w:t>expliquer</w:t>
      </w:r>
      <w:r>
        <w:rPr>
          <w:color w:val="231F20"/>
          <w:spacing w:val="-10"/>
          <w:w w:val="120"/>
        </w:rPr>
        <w:t> </w:t>
      </w:r>
      <w:r>
        <w:rPr>
          <w:color w:val="231F20"/>
          <w:w w:val="120"/>
        </w:rPr>
        <w:t>le</w:t>
      </w:r>
      <w:r>
        <w:rPr>
          <w:color w:val="231F20"/>
          <w:spacing w:val="-10"/>
          <w:w w:val="120"/>
        </w:rPr>
        <w:t> </w:t>
      </w:r>
      <w:r>
        <w:rPr>
          <w:color w:val="231F20"/>
          <w:w w:val="120"/>
        </w:rPr>
        <w:t>stress</w:t>
      </w:r>
      <w:r>
        <w:rPr>
          <w:color w:val="231F20"/>
          <w:spacing w:val="-10"/>
          <w:w w:val="120"/>
        </w:rPr>
        <w:t> </w:t>
      </w:r>
      <w:r>
        <w:rPr>
          <w:color w:val="231F20"/>
          <w:w w:val="120"/>
        </w:rPr>
        <w:t>au</w:t>
      </w:r>
      <w:r>
        <w:rPr>
          <w:color w:val="231F20"/>
          <w:spacing w:val="-10"/>
          <w:w w:val="120"/>
        </w:rPr>
        <w:t> </w:t>
      </w:r>
      <w:r>
        <w:rPr>
          <w:color w:val="231F20"/>
          <w:w w:val="120"/>
        </w:rPr>
        <w:t>travail</w:t>
      </w:r>
      <w:r>
        <w:rPr>
          <w:color w:val="231F20"/>
          <w:spacing w:val="-10"/>
          <w:w w:val="120"/>
        </w:rPr>
        <w:t> </w:t>
      </w:r>
      <w:r>
        <w:rPr>
          <w:color w:val="231F20"/>
          <w:w w:val="120"/>
        </w:rPr>
        <w:t>proposent</w:t>
      </w:r>
      <w:r>
        <w:rPr>
          <w:color w:val="231F20"/>
          <w:spacing w:val="-10"/>
          <w:w w:val="120"/>
        </w:rPr>
        <w:t> </w:t>
      </w:r>
      <w:r>
        <w:rPr>
          <w:color w:val="231F20"/>
          <w:w w:val="120"/>
        </w:rPr>
        <w:t>de</w:t>
      </w:r>
      <w:r>
        <w:rPr>
          <w:color w:val="231F20"/>
          <w:spacing w:val="-10"/>
          <w:w w:val="120"/>
        </w:rPr>
        <w:t> </w:t>
      </w:r>
      <w:r>
        <w:rPr>
          <w:color w:val="231F20"/>
          <w:w w:val="120"/>
        </w:rPr>
        <w:t>mul- tiples variables servant d’ancrage à l’articulation de la dynamique du stress</w:t>
      </w:r>
      <w:r>
        <w:rPr>
          <w:color w:val="231F20"/>
          <w:spacing w:val="-13"/>
          <w:w w:val="120"/>
        </w:rPr>
        <w:t> </w:t>
      </w:r>
      <w:r>
        <w:rPr>
          <w:color w:val="231F20"/>
          <w:w w:val="120"/>
        </w:rPr>
        <w:t>professionnel.</w:t>
      </w:r>
    </w:p>
    <w:p>
      <w:pPr>
        <w:pStyle w:val="BodyText"/>
        <w:rPr>
          <w:sz w:val="20"/>
        </w:rPr>
      </w:pPr>
    </w:p>
    <w:p>
      <w:pPr>
        <w:pStyle w:val="BodyText"/>
        <w:rPr>
          <w:sz w:val="20"/>
        </w:rPr>
      </w:pPr>
    </w:p>
    <w:p>
      <w:pPr>
        <w:pStyle w:val="BodyText"/>
        <w:spacing w:before="8"/>
        <w:rPr>
          <w:sz w:val="22"/>
        </w:rPr>
      </w:pPr>
      <w:r>
        <w:rPr/>
        <w:pict>
          <v:shape style="position:absolute;margin-left:62.5pt;margin-top:14.272654pt;width:287.5pt;height:.1pt;mso-position-horizontal-relative:page;mso-position-vertical-relative:paragraph;z-index:-15680000;mso-wrap-distance-left:0;mso-wrap-distance-right:0" id="docshape654" coordorigin="1250,285" coordsize="5750,0" path="m1250,285l7000,285e" filled="false" stroked="true" strokeweight=".25pt" strokecolor="#231f20">
            <v:path arrowok="t"/>
            <v:stroke dashstyle="shortdot"/>
            <w10:wrap type="topAndBottom"/>
          </v:shape>
        </w:pict>
      </w:r>
    </w:p>
    <w:p>
      <w:pPr>
        <w:pStyle w:val="ListParagraph"/>
        <w:numPr>
          <w:ilvl w:val="0"/>
          <w:numId w:val="41"/>
        </w:numPr>
        <w:tabs>
          <w:tab w:pos="829" w:val="left" w:leader="none"/>
          <w:tab w:pos="830" w:val="left" w:leader="none"/>
        </w:tabs>
        <w:spacing w:line="295" w:lineRule="auto" w:before="135" w:after="0"/>
        <w:ind w:left="829" w:right="497" w:hanging="328"/>
        <w:jc w:val="left"/>
        <w:rPr>
          <w:rFonts w:ascii="Arial" w:hAnsi="Arial"/>
          <w:sz w:val="12"/>
        </w:rPr>
      </w:pPr>
      <w:r>
        <w:rPr>
          <w:rFonts w:ascii="Arial" w:hAnsi="Arial"/>
          <w:color w:val="231F20"/>
          <w:sz w:val="12"/>
        </w:rPr>
        <w:t>Dolan, S. L. et Arsenault, A. (1980). </w:t>
      </w:r>
      <w:r>
        <w:rPr>
          <w:rFonts w:ascii="Arial" w:hAnsi="Arial"/>
          <w:i/>
          <w:color w:val="231F20"/>
          <w:sz w:val="12"/>
        </w:rPr>
        <w:t>Stress, santé et rendement au travail</w:t>
      </w:r>
      <w:r>
        <w:rPr>
          <w:rFonts w:ascii="Arial" w:hAnsi="Arial"/>
          <w:color w:val="231F20"/>
          <w:sz w:val="12"/>
        </w:rPr>
        <w:t>, Montréal, Presses de l’Université</w:t>
      </w:r>
      <w:r>
        <w:rPr>
          <w:rFonts w:ascii="Arial" w:hAnsi="Arial"/>
          <w:color w:val="231F20"/>
          <w:spacing w:val="40"/>
          <w:sz w:val="12"/>
        </w:rPr>
        <w:t> </w:t>
      </w:r>
      <w:r>
        <w:rPr>
          <w:rFonts w:ascii="Arial" w:hAnsi="Arial"/>
          <w:color w:val="231F20"/>
          <w:sz w:val="12"/>
        </w:rPr>
        <w:t>de</w:t>
      </w:r>
      <w:r>
        <w:rPr>
          <w:rFonts w:ascii="Arial" w:hAnsi="Arial"/>
          <w:color w:val="231F20"/>
          <w:spacing w:val="-9"/>
          <w:sz w:val="12"/>
        </w:rPr>
        <w:t> </w:t>
      </w:r>
      <w:r>
        <w:rPr>
          <w:rFonts w:ascii="Arial" w:hAnsi="Arial"/>
          <w:color w:val="231F20"/>
          <w:sz w:val="12"/>
        </w:rPr>
        <w:t>Montréal.</w:t>
      </w:r>
    </w:p>
    <w:p>
      <w:pPr>
        <w:spacing w:after="0" w:line="295" w:lineRule="auto"/>
        <w:jc w:val="left"/>
        <w:rPr>
          <w:rFonts w:ascii="Arial" w:hAnsi="Arial"/>
          <w:sz w:val="12"/>
        </w:rPr>
        <w:sectPr>
          <w:footerReference w:type="default" r:id="rId184"/>
          <w:pgSz w:w="8640" w:h="12960"/>
          <w:pgMar w:footer="424" w:header="0" w:top="520" w:bottom="620" w:left="420" w:right="1140"/>
        </w:sectPr>
      </w:pPr>
    </w:p>
    <w:p>
      <w:pPr>
        <w:spacing w:before="118"/>
        <w:ind w:left="2049" w:right="0" w:firstLine="0"/>
        <w:jc w:val="left"/>
        <w:rPr>
          <w:rFonts w:ascii="Arial" w:hAnsi="Arial"/>
          <w:sz w:val="14"/>
        </w:rPr>
      </w:pPr>
      <w:bookmarkStart w:name="Exercice 3.1 / Évaluez votre niveau de s" w:id="80"/>
      <w:bookmarkEnd w:id="80"/>
      <w:r>
        <w:rPr/>
      </w:r>
      <w:bookmarkStart w:name="_bookmark34" w:id="81"/>
      <w:bookmarkEnd w:id="81"/>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b/>
          <w:color w:val="231F20"/>
          <w:spacing w:val="-2"/>
          <w:w w:val="115"/>
        </w:rPr>
        <w:t>Les variables environnementales. </w:t>
      </w:r>
      <w:r>
        <w:rPr>
          <w:color w:val="231F20"/>
          <w:spacing w:val="-2"/>
          <w:w w:val="115"/>
        </w:rPr>
        <w:t>Fondamentalement, une variable envi- </w:t>
      </w:r>
      <w:r>
        <w:rPr>
          <w:color w:val="231F20"/>
          <w:w w:val="120"/>
        </w:rPr>
        <w:t>ronnementale est une disparité ou un déséquilibre entre les demandes </w:t>
      </w:r>
      <w:r>
        <w:rPr>
          <w:color w:val="231F20"/>
          <w:spacing w:val="-2"/>
          <w:w w:val="120"/>
        </w:rPr>
        <w:t>du</w:t>
      </w:r>
      <w:r>
        <w:rPr>
          <w:color w:val="231F20"/>
          <w:spacing w:val="-6"/>
          <w:w w:val="120"/>
        </w:rPr>
        <w:t> </w:t>
      </w:r>
      <w:r>
        <w:rPr>
          <w:color w:val="231F20"/>
          <w:spacing w:val="-2"/>
          <w:w w:val="120"/>
        </w:rPr>
        <w:t>milieu</w:t>
      </w:r>
      <w:r>
        <w:rPr>
          <w:color w:val="231F20"/>
          <w:spacing w:val="-6"/>
          <w:w w:val="120"/>
        </w:rPr>
        <w:t> </w:t>
      </w:r>
      <w:r>
        <w:rPr>
          <w:color w:val="231F20"/>
          <w:spacing w:val="-2"/>
          <w:w w:val="120"/>
        </w:rPr>
        <w:t>et</w:t>
      </w:r>
      <w:r>
        <w:rPr>
          <w:color w:val="231F20"/>
          <w:spacing w:val="-6"/>
          <w:w w:val="120"/>
        </w:rPr>
        <w:t> </w:t>
      </w:r>
      <w:r>
        <w:rPr>
          <w:color w:val="231F20"/>
          <w:spacing w:val="-2"/>
          <w:w w:val="120"/>
        </w:rPr>
        <w:t>les</w:t>
      </w:r>
      <w:r>
        <w:rPr>
          <w:color w:val="231F20"/>
          <w:spacing w:val="-6"/>
          <w:w w:val="120"/>
        </w:rPr>
        <w:t> </w:t>
      </w:r>
      <w:r>
        <w:rPr>
          <w:color w:val="231F20"/>
          <w:spacing w:val="-2"/>
          <w:w w:val="120"/>
        </w:rPr>
        <w:t>ressources</w:t>
      </w:r>
      <w:r>
        <w:rPr>
          <w:color w:val="231F20"/>
          <w:spacing w:val="-6"/>
          <w:w w:val="120"/>
        </w:rPr>
        <w:t> </w:t>
      </w:r>
      <w:r>
        <w:rPr>
          <w:color w:val="231F20"/>
          <w:spacing w:val="-2"/>
          <w:w w:val="120"/>
        </w:rPr>
        <w:t>personnelles</w:t>
      </w:r>
      <w:r>
        <w:rPr>
          <w:color w:val="231F20"/>
          <w:spacing w:val="-6"/>
          <w:w w:val="120"/>
        </w:rPr>
        <w:t> </w:t>
      </w:r>
      <w:r>
        <w:rPr>
          <w:color w:val="231F20"/>
          <w:spacing w:val="-2"/>
          <w:w w:val="120"/>
        </w:rPr>
        <w:t>et</w:t>
      </w:r>
      <w:r>
        <w:rPr>
          <w:color w:val="231F20"/>
          <w:spacing w:val="-6"/>
          <w:w w:val="120"/>
        </w:rPr>
        <w:t> </w:t>
      </w:r>
      <w:r>
        <w:rPr>
          <w:color w:val="231F20"/>
          <w:spacing w:val="-2"/>
          <w:w w:val="120"/>
        </w:rPr>
        <w:t>contextuelles</w:t>
      </w:r>
      <w:r>
        <w:rPr>
          <w:color w:val="231F20"/>
          <w:spacing w:val="-6"/>
          <w:w w:val="120"/>
        </w:rPr>
        <w:t> </w:t>
      </w:r>
      <w:r>
        <w:rPr>
          <w:color w:val="231F20"/>
          <w:spacing w:val="-2"/>
          <w:w w:val="120"/>
        </w:rPr>
        <w:t>disponibles.</w:t>
      </w:r>
      <w:r>
        <w:rPr>
          <w:color w:val="231F20"/>
          <w:spacing w:val="-6"/>
          <w:w w:val="120"/>
        </w:rPr>
        <w:t> </w:t>
      </w:r>
      <w:r>
        <w:rPr>
          <w:color w:val="231F20"/>
          <w:spacing w:val="-2"/>
          <w:w w:val="120"/>
        </w:rPr>
        <w:t>Il</w:t>
      </w:r>
      <w:r>
        <w:rPr>
          <w:color w:val="231F20"/>
          <w:spacing w:val="-6"/>
          <w:w w:val="120"/>
        </w:rPr>
        <w:t> </w:t>
      </w:r>
      <w:r>
        <w:rPr>
          <w:color w:val="231F20"/>
          <w:spacing w:val="-2"/>
          <w:w w:val="120"/>
        </w:rPr>
        <w:t>a </w:t>
      </w:r>
      <w:r>
        <w:rPr>
          <w:color w:val="231F20"/>
          <w:w w:val="120"/>
        </w:rPr>
        <w:t>déjà</w:t>
      </w:r>
      <w:r>
        <w:rPr>
          <w:color w:val="231F20"/>
          <w:spacing w:val="-2"/>
          <w:w w:val="120"/>
        </w:rPr>
        <w:t> </w:t>
      </w:r>
      <w:r>
        <w:rPr>
          <w:color w:val="231F20"/>
          <w:w w:val="120"/>
        </w:rPr>
        <w:t>été</w:t>
      </w:r>
      <w:r>
        <w:rPr>
          <w:color w:val="231F20"/>
          <w:spacing w:val="-2"/>
          <w:w w:val="120"/>
        </w:rPr>
        <w:t> </w:t>
      </w:r>
      <w:r>
        <w:rPr>
          <w:color w:val="231F20"/>
          <w:w w:val="120"/>
        </w:rPr>
        <w:t>démontré</w:t>
      </w:r>
      <w:r>
        <w:rPr>
          <w:color w:val="231F20"/>
          <w:spacing w:val="-2"/>
          <w:w w:val="120"/>
        </w:rPr>
        <w:t> </w:t>
      </w:r>
      <w:r>
        <w:rPr>
          <w:color w:val="231F20"/>
          <w:w w:val="120"/>
        </w:rPr>
        <w:t>que</w:t>
      </w:r>
      <w:r>
        <w:rPr>
          <w:color w:val="231F20"/>
          <w:spacing w:val="-2"/>
          <w:w w:val="120"/>
        </w:rPr>
        <w:t> </w:t>
      </w:r>
      <w:r>
        <w:rPr>
          <w:color w:val="231F20"/>
          <w:w w:val="120"/>
        </w:rPr>
        <w:t>le</w:t>
      </w:r>
      <w:r>
        <w:rPr>
          <w:color w:val="231F20"/>
          <w:spacing w:val="-2"/>
          <w:w w:val="120"/>
        </w:rPr>
        <w:t> </w:t>
      </w:r>
      <w:r>
        <w:rPr>
          <w:color w:val="231F20"/>
          <w:w w:val="120"/>
        </w:rPr>
        <w:t>contrôle,</w:t>
      </w:r>
      <w:r>
        <w:rPr>
          <w:color w:val="231F20"/>
          <w:spacing w:val="-2"/>
          <w:w w:val="120"/>
        </w:rPr>
        <w:t> </w:t>
      </w:r>
      <w:r>
        <w:rPr>
          <w:color w:val="231F20"/>
          <w:w w:val="120"/>
        </w:rPr>
        <w:t>la</w:t>
      </w:r>
      <w:r>
        <w:rPr>
          <w:color w:val="231F20"/>
          <w:spacing w:val="-2"/>
          <w:w w:val="120"/>
        </w:rPr>
        <w:t> </w:t>
      </w:r>
      <w:r>
        <w:rPr>
          <w:color w:val="231F20"/>
          <w:w w:val="120"/>
        </w:rPr>
        <w:t>capacité</w:t>
      </w:r>
      <w:r>
        <w:rPr>
          <w:color w:val="231F20"/>
          <w:spacing w:val="-2"/>
          <w:w w:val="120"/>
        </w:rPr>
        <w:t> </w:t>
      </w:r>
      <w:r>
        <w:rPr>
          <w:color w:val="231F20"/>
          <w:w w:val="120"/>
        </w:rPr>
        <w:t>de</w:t>
      </w:r>
      <w:r>
        <w:rPr>
          <w:color w:val="231F20"/>
          <w:spacing w:val="-2"/>
          <w:w w:val="120"/>
        </w:rPr>
        <w:t> </w:t>
      </w:r>
      <w:r>
        <w:rPr>
          <w:color w:val="231F20"/>
          <w:w w:val="120"/>
        </w:rPr>
        <w:t>prendre</w:t>
      </w:r>
      <w:r>
        <w:rPr>
          <w:color w:val="231F20"/>
          <w:spacing w:val="-2"/>
          <w:w w:val="120"/>
        </w:rPr>
        <w:t> </w:t>
      </w:r>
      <w:r>
        <w:rPr>
          <w:color w:val="231F20"/>
          <w:w w:val="120"/>
        </w:rPr>
        <w:t>des</w:t>
      </w:r>
      <w:r>
        <w:rPr>
          <w:color w:val="231F20"/>
          <w:spacing w:val="-2"/>
          <w:w w:val="120"/>
        </w:rPr>
        <w:t> </w:t>
      </w:r>
      <w:r>
        <w:rPr>
          <w:color w:val="231F20"/>
          <w:w w:val="120"/>
        </w:rPr>
        <w:t>décisions </w:t>
      </w:r>
      <w:r>
        <w:rPr>
          <w:color w:val="231F20"/>
          <w:spacing w:val="-2"/>
          <w:w w:val="120"/>
        </w:rPr>
        <w:t>et</w:t>
      </w:r>
      <w:r>
        <w:rPr>
          <w:color w:val="231F20"/>
          <w:spacing w:val="-5"/>
          <w:w w:val="120"/>
        </w:rPr>
        <w:t> </w:t>
      </w:r>
      <w:r>
        <w:rPr>
          <w:color w:val="231F20"/>
          <w:spacing w:val="-2"/>
          <w:w w:val="120"/>
        </w:rPr>
        <w:t>le</w:t>
      </w:r>
      <w:r>
        <w:rPr>
          <w:color w:val="231F20"/>
          <w:spacing w:val="-5"/>
          <w:w w:val="120"/>
        </w:rPr>
        <w:t> </w:t>
      </w:r>
      <w:r>
        <w:rPr>
          <w:color w:val="231F20"/>
          <w:spacing w:val="-2"/>
          <w:w w:val="120"/>
        </w:rPr>
        <w:t>soutien</w:t>
      </w:r>
      <w:r>
        <w:rPr>
          <w:color w:val="231F20"/>
          <w:spacing w:val="-5"/>
          <w:w w:val="120"/>
        </w:rPr>
        <w:t> </w:t>
      </w:r>
      <w:r>
        <w:rPr>
          <w:color w:val="231F20"/>
          <w:spacing w:val="-2"/>
          <w:w w:val="120"/>
        </w:rPr>
        <w:t>social</w:t>
      </w:r>
      <w:r>
        <w:rPr>
          <w:color w:val="231F20"/>
          <w:spacing w:val="-5"/>
          <w:w w:val="120"/>
        </w:rPr>
        <w:t> </w:t>
      </w:r>
      <w:r>
        <w:rPr>
          <w:color w:val="231F20"/>
          <w:spacing w:val="-2"/>
          <w:w w:val="120"/>
        </w:rPr>
        <w:t>peuvent</w:t>
      </w:r>
      <w:r>
        <w:rPr>
          <w:color w:val="231F20"/>
          <w:spacing w:val="-5"/>
          <w:w w:val="120"/>
        </w:rPr>
        <w:t> </w:t>
      </w:r>
      <w:r>
        <w:rPr>
          <w:color w:val="231F20"/>
          <w:spacing w:val="-2"/>
          <w:w w:val="120"/>
        </w:rPr>
        <w:t>servir</w:t>
      </w:r>
      <w:r>
        <w:rPr>
          <w:color w:val="231F20"/>
          <w:spacing w:val="-5"/>
          <w:w w:val="120"/>
        </w:rPr>
        <w:t> </w:t>
      </w:r>
      <w:r>
        <w:rPr>
          <w:color w:val="231F20"/>
          <w:spacing w:val="-2"/>
          <w:w w:val="120"/>
        </w:rPr>
        <w:t>de</w:t>
      </w:r>
      <w:r>
        <w:rPr>
          <w:color w:val="231F20"/>
          <w:spacing w:val="-5"/>
          <w:w w:val="120"/>
        </w:rPr>
        <w:t> </w:t>
      </w:r>
      <w:r>
        <w:rPr>
          <w:color w:val="231F20"/>
          <w:spacing w:val="-2"/>
          <w:w w:val="120"/>
        </w:rPr>
        <w:t>modérateurs</w:t>
      </w:r>
      <w:r>
        <w:rPr>
          <w:color w:val="231F20"/>
          <w:spacing w:val="-5"/>
          <w:w w:val="120"/>
        </w:rPr>
        <w:t> </w:t>
      </w:r>
      <w:r>
        <w:rPr>
          <w:color w:val="231F20"/>
          <w:spacing w:val="-2"/>
          <w:w w:val="120"/>
        </w:rPr>
        <w:t>ou</w:t>
      </w:r>
      <w:r>
        <w:rPr>
          <w:color w:val="231F20"/>
          <w:spacing w:val="-5"/>
          <w:w w:val="120"/>
        </w:rPr>
        <w:t> </w:t>
      </w:r>
      <w:r>
        <w:rPr>
          <w:color w:val="231F20"/>
          <w:spacing w:val="-2"/>
          <w:w w:val="120"/>
        </w:rPr>
        <w:t>d’amortisseurs</w:t>
      </w:r>
      <w:r>
        <w:rPr>
          <w:color w:val="231F20"/>
          <w:spacing w:val="-5"/>
          <w:w w:val="120"/>
        </w:rPr>
        <w:t> </w:t>
      </w:r>
      <w:r>
        <w:rPr>
          <w:color w:val="231F20"/>
          <w:spacing w:val="-2"/>
          <w:w w:val="120"/>
        </w:rPr>
        <w:t>aux </w:t>
      </w:r>
      <w:r>
        <w:rPr>
          <w:color w:val="231F20"/>
          <w:w w:val="120"/>
        </w:rPr>
        <w:t>résultats et aux conséquences.</w:t>
      </w:r>
    </w:p>
    <w:p>
      <w:pPr>
        <w:pStyle w:val="BodyText"/>
        <w:spacing w:before="4"/>
        <w:rPr>
          <w:sz w:val="31"/>
        </w:rPr>
      </w:pPr>
    </w:p>
    <w:p>
      <w:pPr>
        <w:spacing w:before="0"/>
        <w:ind w:left="1220" w:right="0" w:firstLine="0"/>
        <w:jc w:val="both"/>
        <w:rPr>
          <w:rFonts w:ascii="Arial"/>
          <w:i/>
          <w:sz w:val="21"/>
        </w:rPr>
      </w:pPr>
      <w:r>
        <w:rPr>
          <w:rFonts w:ascii="Arial"/>
          <w:color w:val="231F20"/>
          <w:w w:val="95"/>
          <w:sz w:val="21"/>
        </w:rPr>
        <w:t>exerCiCe</w:t>
      </w:r>
      <w:r>
        <w:rPr>
          <w:rFonts w:ascii="Arial"/>
          <w:color w:val="231F20"/>
          <w:spacing w:val="-10"/>
          <w:w w:val="95"/>
          <w:sz w:val="21"/>
        </w:rPr>
        <w:t> </w:t>
      </w:r>
      <w:r>
        <w:rPr>
          <w:rFonts w:ascii="Arial"/>
          <w:color w:val="231F20"/>
          <w:w w:val="95"/>
          <w:sz w:val="21"/>
        </w:rPr>
        <w:t>3.1</w:t>
      </w:r>
      <w:r>
        <w:rPr>
          <w:rFonts w:ascii="Arial"/>
          <w:color w:val="231F20"/>
          <w:spacing w:val="-17"/>
          <w:w w:val="95"/>
          <w:sz w:val="21"/>
        </w:rPr>
        <w:t> </w:t>
      </w:r>
      <w:r>
        <w:rPr>
          <w:rFonts w:ascii="Arial"/>
          <w:i/>
          <w:color w:val="231F20"/>
          <w:spacing w:val="-10"/>
          <w:w w:val="95"/>
          <w:sz w:val="21"/>
        </w:rPr>
        <w:t>/</w:t>
      </w:r>
    </w:p>
    <w:p>
      <w:pPr>
        <w:pStyle w:val="Heading2"/>
        <w:spacing w:before="8"/>
        <w:ind w:left="1220"/>
        <w:jc w:val="both"/>
      </w:pPr>
      <w:r>
        <w:rPr>
          <w:color w:val="231F20"/>
          <w:w w:val="95"/>
        </w:rPr>
        <w:t>Évaluez</w:t>
      </w:r>
      <w:r>
        <w:rPr>
          <w:color w:val="231F20"/>
          <w:spacing w:val="-7"/>
          <w:w w:val="95"/>
        </w:rPr>
        <w:t> </w:t>
      </w:r>
      <w:r>
        <w:rPr>
          <w:color w:val="231F20"/>
          <w:w w:val="95"/>
        </w:rPr>
        <w:t>votre</w:t>
      </w:r>
      <w:r>
        <w:rPr>
          <w:color w:val="231F20"/>
          <w:spacing w:val="-6"/>
          <w:w w:val="95"/>
        </w:rPr>
        <w:t> </w:t>
      </w:r>
      <w:r>
        <w:rPr>
          <w:color w:val="231F20"/>
          <w:w w:val="95"/>
        </w:rPr>
        <w:t>niveau</w:t>
      </w:r>
      <w:r>
        <w:rPr>
          <w:color w:val="231F20"/>
          <w:spacing w:val="-7"/>
          <w:w w:val="95"/>
        </w:rPr>
        <w:t> </w:t>
      </w:r>
      <w:r>
        <w:rPr>
          <w:color w:val="231F20"/>
          <w:w w:val="95"/>
        </w:rPr>
        <w:t>de</w:t>
      </w:r>
      <w:r>
        <w:rPr>
          <w:color w:val="231F20"/>
          <w:spacing w:val="-6"/>
          <w:w w:val="95"/>
        </w:rPr>
        <w:t> </w:t>
      </w:r>
      <w:r>
        <w:rPr>
          <w:color w:val="231F20"/>
          <w:spacing w:val="-2"/>
          <w:w w:val="95"/>
        </w:rPr>
        <w:t>stress</w:t>
      </w:r>
    </w:p>
    <w:p>
      <w:pPr>
        <w:pStyle w:val="BodyText"/>
        <w:spacing w:line="307" w:lineRule="auto" w:before="247"/>
        <w:ind w:left="1219" w:right="106"/>
        <w:jc w:val="both"/>
      </w:pPr>
      <w:r>
        <w:rPr>
          <w:color w:val="231F20"/>
          <w:w w:val="120"/>
        </w:rPr>
        <w:t>Voici</w:t>
      </w:r>
      <w:r>
        <w:rPr>
          <w:color w:val="231F20"/>
          <w:spacing w:val="-4"/>
          <w:w w:val="120"/>
        </w:rPr>
        <w:t> </w:t>
      </w:r>
      <w:r>
        <w:rPr>
          <w:color w:val="231F20"/>
          <w:w w:val="120"/>
        </w:rPr>
        <w:t>une</w:t>
      </w:r>
      <w:r>
        <w:rPr>
          <w:color w:val="231F20"/>
          <w:spacing w:val="-4"/>
          <w:w w:val="120"/>
        </w:rPr>
        <w:t> </w:t>
      </w:r>
      <w:r>
        <w:rPr>
          <w:color w:val="231F20"/>
          <w:w w:val="120"/>
        </w:rPr>
        <w:t>liste</w:t>
      </w:r>
      <w:r>
        <w:rPr>
          <w:color w:val="231F20"/>
          <w:spacing w:val="-4"/>
          <w:w w:val="120"/>
        </w:rPr>
        <w:t> </w:t>
      </w:r>
      <w:r>
        <w:rPr>
          <w:color w:val="231F20"/>
          <w:w w:val="120"/>
        </w:rPr>
        <w:t>d’événements</w:t>
      </w:r>
      <w:r>
        <w:rPr>
          <w:color w:val="231F20"/>
          <w:spacing w:val="-4"/>
          <w:w w:val="120"/>
        </w:rPr>
        <w:t> </w:t>
      </w:r>
      <w:r>
        <w:rPr>
          <w:color w:val="231F20"/>
          <w:w w:val="120"/>
        </w:rPr>
        <w:t>stressants</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vie.</w:t>
      </w:r>
      <w:r>
        <w:rPr>
          <w:color w:val="231F20"/>
          <w:spacing w:val="-4"/>
          <w:w w:val="120"/>
        </w:rPr>
        <w:t> </w:t>
      </w:r>
      <w:r>
        <w:rPr>
          <w:color w:val="231F20"/>
          <w:w w:val="120"/>
        </w:rPr>
        <w:t>La</w:t>
      </w:r>
      <w:r>
        <w:rPr>
          <w:color w:val="231F20"/>
          <w:spacing w:val="-4"/>
          <w:w w:val="120"/>
        </w:rPr>
        <w:t> </w:t>
      </w:r>
      <w:r>
        <w:rPr>
          <w:color w:val="231F20"/>
          <w:w w:val="120"/>
        </w:rPr>
        <w:t>valeur</w:t>
      </w:r>
      <w:r>
        <w:rPr>
          <w:color w:val="231F20"/>
          <w:spacing w:val="-4"/>
          <w:w w:val="120"/>
        </w:rPr>
        <w:t> </w:t>
      </w:r>
      <w:r>
        <w:rPr>
          <w:color w:val="231F20"/>
          <w:w w:val="120"/>
        </w:rPr>
        <w:t>numérique attribuée</w:t>
      </w:r>
      <w:r>
        <w:rPr>
          <w:color w:val="231F20"/>
          <w:spacing w:val="-13"/>
          <w:w w:val="120"/>
        </w:rPr>
        <w:t> </w:t>
      </w:r>
      <w:r>
        <w:rPr>
          <w:color w:val="231F20"/>
          <w:w w:val="120"/>
        </w:rPr>
        <w:t>à</w:t>
      </w:r>
      <w:r>
        <w:rPr>
          <w:color w:val="231F20"/>
          <w:spacing w:val="-13"/>
          <w:w w:val="120"/>
        </w:rPr>
        <w:t> </w:t>
      </w:r>
      <w:r>
        <w:rPr>
          <w:color w:val="231F20"/>
          <w:w w:val="120"/>
        </w:rPr>
        <w:t>chacun</w:t>
      </w:r>
      <w:r>
        <w:rPr>
          <w:color w:val="231F20"/>
          <w:spacing w:val="-12"/>
          <w:w w:val="120"/>
        </w:rPr>
        <w:t> </w:t>
      </w:r>
      <w:r>
        <w:rPr>
          <w:color w:val="231F20"/>
          <w:w w:val="120"/>
        </w:rPr>
        <w:t>indique</w:t>
      </w:r>
      <w:r>
        <w:rPr>
          <w:color w:val="231F20"/>
          <w:spacing w:val="-13"/>
          <w:w w:val="120"/>
        </w:rPr>
        <w:t> </w:t>
      </w:r>
      <w:r>
        <w:rPr>
          <w:color w:val="231F20"/>
          <w:w w:val="120"/>
        </w:rPr>
        <w:t>le</w:t>
      </w:r>
      <w:r>
        <w:rPr>
          <w:color w:val="231F20"/>
          <w:spacing w:val="-13"/>
          <w:w w:val="120"/>
        </w:rPr>
        <w:t> </w:t>
      </w:r>
      <w:r>
        <w:rPr>
          <w:color w:val="231F20"/>
          <w:w w:val="120"/>
        </w:rPr>
        <w:t>niveau</w:t>
      </w:r>
      <w:r>
        <w:rPr>
          <w:color w:val="231F20"/>
          <w:spacing w:val="-12"/>
          <w:w w:val="120"/>
        </w:rPr>
        <w:t> </w:t>
      </w:r>
      <w:r>
        <w:rPr>
          <w:color w:val="231F20"/>
          <w:w w:val="120"/>
        </w:rPr>
        <w:t>de</w:t>
      </w:r>
      <w:r>
        <w:rPr>
          <w:color w:val="231F20"/>
          <w:spacing w:val="-13"/>
          <w:w w:val="120"/>
        </w:rPr>
        <w:t> </w:t>
      </w:r>
      <w:r>
        <w:rPr>
          <w:color w:val="231F20"/>
          <w:w w:val="120"/>
        </w:rPr>
        <w:t>pression</w:t>
      </w:r>
      <w:r>
        <w:rPr>
          <w:color w:val="231F20"/>
          <w:spacing w:val="-13"/>
          <w:w w:val="120"/>
        </w:rPr>
        <w:t> </w:t>
      </w:r>
      <w:r>
        <w:rPr>
          <w:color w:val="231F20"/>
          <w:w w:val="120"/>
        </w:rPr>
        <w:t>qu’il</w:t>
      </w:r>
      <w:r>
        <w:rPr>
          <w:color w:val="231F20"/>
          <w:spacing w:val="-12"/>
          <w:w w:val="120"/>
        </w:rPr>
        <w:t> </w:t>
      </w:r>
      <w:r>
        <w:rPr>
          <w:color w:val="231F20"/>
          <w:w w:val="120"/>
        </w:rPr>
        <w:t>ajoute</w:t>
      </w:r>
      <w:r>
        <w:rPr>
          <w:color w:val="231F20"/>
          <w:spacing w:val="-13"/>
          <w:w w:val="120"/>
        </w:rPr>
        <w:t> </w:t>
      </w:r>
      <w:r>
        <w:rPr>
          <w:color w:val="231F20"/>
          <w:w w:val="120"/>
        </w:rPr>
        <w:t>à</w:t>
      </w:r>
      <w:r>
        <w:rPr>
          <w:color w:val="231F20"/>
          <w:spacing w:val="-13"/>
          <w:w w:val="120"/>
        </w:rPr>
        <w:t> </w:t>
      </w:r>
      <w:r>
        <w:rPr>
          <w:color w:val="231F20"/>
          <w:w w:val="120"/>
        </w:rPr>
        <w:t>votre</w:t>
      </w:r>
      <w:r>
        <w:rPr>
          <w:color w:val="231F20"/>
          <w:spacing w:val="-12"/>
          <w:w w:val="120"/>
        </w:rPr>
        <w:t> </w:t>
      </w:r>
      <w:r>
        <w:rPr>
          <w:color w:val="231F20"/>
          <w:w w:val="120"/>
        </w:rPr>
        <w:t>vie. Prenez</w:t>
      </w:r>
      <w:r>
        <w:rPr>
          <w:color w:val="231F20"/>
          <w:spacing w:val="-11"/>
          <w:w w:val="120"/>
        </w:rPr>
        <w:t> </w:t>
      </w:r>
      <w:r>
        <w:rPr>
          <w:color w:val="231F20"/>
          <w:w w:val="120"/>
        </w:rPr>
        <w:t>quelques</w:t>
      </w:r>
      <w:r>
        <w:rPr>
          <w:color w:val="231F20"/>
          <w:spacing w:val="-11"/>
          <w:w w:val="120"/>
        </w:rPr>
        <w:t> </w:t>
      </w:r>
      <w:r>
        <w:rPr>
          <w:color w:val="231F20"/>
          <w:w w:val="120"/>
        </w:rPr>
        <w:t>instants</w:t>
      </w:r>
      <w:r>
        <w:rPr>
          <w:color w:val="231F20"/>
          <w:spacing w:val="-11"/>
          <w:w w:val="120"/>
        </w:rPr>
        <w:t> </w:t>
      </w:r>
      <w:r>
        <w:rPr>
          <w:color w:val="231F20"/>
          <w:w w:val="120"/>
        </w:rPr>
        <w:t>pour</w:t>
      </w:r>
      <w:r>
        <w:rPr>
          <w:color w:val="231F20"/>
          <w:spacing w:val="-11"/>
          <w:w w:val="120"/>
        </w:rPr>
        <w:t> </w:t>
      </w:r>
      <w:r>
        <w:rPr>
          <w:color w:val="231F20"/>
          <w:w w:val="120"/>
        </w:rPr>
        <w:t>passer</w:t>
      </w:r>
      <w:r>
        <w:rPr>
          <w:color w:val="231F20"/>
          <w:spacing w:val="-11"/>
          <w:w w:val="120"/>
        </w:rPr>
        <w:t> </w:t>
      </w:r>
      <w:r>
        <w:rPr>
          <w:color w:val="231F20"/>
          <w:w w:val="120"/>
        </w:rPr>
        <w:t>en</w:t>
      </w:r>
      <w:r>
        <w:rPr>
          <w:color w:val="231F20"/>
          <w:spacing w:val="-11"/>
          <w:w w:val="120"/>
        </w:rPr>
        <w:t> </w:t>
      </w:r>
      <w:r>
        <w:rPr>
          <w:color w:val="231F20"/>
          <w:w w:val="120"/>
        </w:rPr>
        <w:t>revue</w:t>
      </w:r>
      <w:r>
        <w:rPr>
          <w:color w:val="231F20"/>
          <w:spacing w:val="-11"/>
          <w:w w:val="120"/>
        </w:rPr>
        <w:t> </w:t>
      </w:r>
      <w:r>
        <w:rPr>
          <w:color w:val="231F20"/>
          <w:w w:val="120"/>
        </w:rPr>
        <w:t>les</w:t>
      </w:r>
      <w:r>
        <w:rPr>
          <w:color w:val="231F20"/>
          <w:spacing w:val="-11"/>
          <w:w w:val="120"/>
        </w:rPr>
        <w:t> </w:t>
      </w:r>
      <w:r>
        <w:rPr>
          <w:color w:val="231F20"/>
          <w:w w:val="120"/>
        </w:rPr>
        <w:t>événements</w:t>
      </w:r>
      <w:r>
        <w:rPr>
          <w:color w:val="231F20"/>
          <w:spacing w:val="-11"/>
          <w:w w:val="120"/>
        </w:rPr>
        <w:t> </w:t>
      </w:r>
      <w:r>
        <w:rPr>
          <w:color w:val="231F20"/>
          <w:w w:val="120"/>
        </w:rPr>
        <w:t>survenus </w:t>
      </w:r>
      <w:r>
        <w:rPr>
          <w:color w:val="231F20"/>
          <w:spacing w:val="-2"/>
          <w:w w:val="120"/>
        </w:rPr>
        <w:t>dans</w:t>
      </w:r>
      <w:r>
        <w:rPr>
          <w:color w:val="231F20"/>
          <w:spacing w:val="-10"/>
          <w:w w:val="120"/>
        </w:rPr>
        <w:t> </w:t>
      </w:r>
      <w:r>
        <w:rPr>
          <w:color w:val="231F20"/>
          <w:spacing w:val="-2"/>
          <w:w w:val="120"/>
        </w:rPr>
        <w:t>votre</w:t>
      </w:r>
      <w:r>
        <w:rPr>
          <w:color w:val="231F20"/>
          <w:spacing w:val="-10"/>
          <w:w w:val="120"/>
        </w:rPr>
        <w:t> </w:t>
      </w:r>
      <w:r>
        <w:rPr>
          <w:color w:val="231F20"/>
          <w:spacing w:val="-2"/>
          <w:w w:val="120"/>
        </w:rPr>
        <w:t>vie</w:t>
      </w:r>
      <w:r>
        <w:rPr>
          <w:color w:val="231F20"/>
          <w:spacing w:val="-10"/>
          <w:w w:val="120"/>
        </w:rPr>
        <w:t> </w:t>
      </w:r>
      <w:r>
        <w:rPr>
          <w:color w:val="231F20"/>
          <w:spacing w:val="-2"/>
          <w:w w:val="120"/>
        </w:rPr>
        <w:t>au</w:t>
      </w:r>
      <w:r>
        <w:rPr>
          <w:color w:val="231F20"/>
          <w:spacing w:val="-10"/>
          <w:w w:val="120"/>
        </w:rPr>
        <w:t> </w:t>
      </w:r>
      <w:r>
        <w:rPr>
          <w:color w:val="231F20"/>
          <w:spacing w:val="-2"/>
          <w:w w:val="120"/>
        </w:rPr>
        <w:t>cours</w:t>
      </w:r>
      <w:r>
        <w:rPr>
          <w:color w:val="231F20"/>
          <w:spacing w:val="-10"/>
          <w:w w:val="120"/>
        </w:rPr>
        <w:t> </w:t>
      </w:r>
      <w:r>
        <w:rPr>
          <w:color w:val="231F20"/>
          <w:spacing w:val="-2"/>
          <w:w w:val="120"/>
        </w:rPr>
        <w:t>des</w:t>
      </w:r>
      <w:r>
        <w:rPr>
          <w:color w:val="231F20"/>
          <w:spacing w:val="-10"/>
          <w:w w:val="120"/>
        </w:rPr>
        <w:t> </w:t>
      </w:r>
      <w:r>
        <w:rPr>
          <w:color w:val="231F20"/>
          <w:spacing w:val="-2"/>
          <w:w w:val="120"/>
        </w:rPr>
        <w:t>24</w:t>
      </w:r>
      <w:r>
        <w:rPr>
          <w:color w:val="231F20"/>
          <w:spacing w:val="-10"/>
          <w:w w:val="120"/>
        </w:rPr>
        <w:t> </w:t>
      </w:r>
      <w:r>
        <w:rPr>
          <w:color w:val="231F20"/>
          <w:spacing w:val="-2"/>
          <w:w w:val="120"/>
        </w:rPr>
        <w:t>derniers</w:t>
      </w:r>
      <w:r>
        <w:rPr>
          <w:color w:val="231F20"/>
          <w:spacing w:val="-10"/>
          <w:w w:val="120"/>
        </w:rPr>
        <w:t> </w:t>
      </w:r>
      <w:r>
        <w:rPr>
          <w:color w:val="231F20"/>
          <w:spacing w:val="-2"/>
          <w:w w:val="120"/>
        </w:rPr>
        <w:t>mois.</w:t>
      </w:r>
      <w:r>
        <w:rPr>
          <w:color w:val="231F20"/>
          <w:spacing w:val="-10"/>
          <w:w w:val="120"/>
        </w:rPr>
        <w:t> </w:t>
      </w:r>
      <w:r>
        <w:rPr>
          <w:color w:val="231F20"/>
          <w:spacing w:val="-2"/>
          <w:w w:val="120"/>
        </w:rPr>
        <w:t>En</w:t>
      </w:r>
      <w:r>
        <w:rPr>
          <w:color w:val="231F20"/>
          <w:spacing w:val="-10"/>
          <w:w w:val="120"/>
        </w:rPr>
        <w:t> </w:t>
      </w:r>
      <w:r>
        <w:rPr>
          <w:color w:val="231F20"/>
          <w:spacing w:val="-2"/>
          <w:w w:val="120"/>
        </w:rPr>
        <w:t>lisant</w:t>
      </w:r>
      <w:r>
        <w:rPr>
          <w:color w:val="231F20"/>
          <w:spacing w:val="-10"/>
          <w:w w:val="120"/>
        </w:rPr>
        <w:t> </w:t>
      </w:r>
      <w:r>
        <w:rPr>
          <w:color w:val="231F20"/>
          <w:spacing w:val="-2"/>
          <w:w w:val="120"/>
        </w:rPr>
        <w:t>la</w:t>
      </w:r>
      <w:r>
        <w:rPr>
          <w:color w:val="231F20"/>
          <w:spacing w:val="-10"/>
          <w:w w:val="120"/>
        </w:rPr>
        <w:t> </w:t>
      </w:r>
      <w:r>
        <w:rPr>
          <w:color w:val="231F20"/>
          <w:spacing w:val="-2"/>
          <w:w w:val="120"/>
        </w:rPr>
        <w:t>liste,</w:t>
      </w:r>
      <w:r>
        <w:rPr>
          <w:color w:val="231F20"/>
          <w:spacing w:val="-10"/>
          <w:w w:val="120"/>
        </w:rPr>
        <w:t> </w:t>
      </w:r>
      <w:r>
        <w:rPr>
          <w:color w:val="231F20"/>
          <w:spacing w:val="-2"/>
          <w:w w:val="120"/>
        </w:rPr>
        <w:t>cochez</w:t>
      </w:r>
      <w:r>
        <w:rPr>
          <w:color w:val="231F20"/>
          <w:spacing w:val="-10"/>
          <w:w w:val="120"/>
        </w:rPr>
        <w:t> </w:t>
      </w:r>
      <w:r>
        <w:rPr>
          <w:color w:val="231F20"/>
          <w:spacing w:val="-2"/>
          <w:w w:val="120"/>
        </w:rPr>
        <w:t>les </w:t>
      </w:r>
      <w:r>
        <w:rPr>
          <w:color w:val="231F20"/>
          <w:w w:val="120"/>
        </w:rPr>
        <w:t>événements</w:t>
      </w:r>
      <w:r>
        <w:rPr>
          <w:color w:val="231F20"/>
          <w:spacing w:val="-11"/>
          <w:w w:val="120"/>
        </w:rPr>
        <w:t> </w:t>
      </w:r>
      <w:r>
        <w:rPr>
          <w:color w:val="231F20"/>
          <w:w w:val="120"/>
        </w:rPr>
        <w:t>stressants</w:t>
      </w:r>
      <w:r>
        <w:rPr>
          <w:color w:val="231F20"/>
          <w:spacing w:val="-11"/>
          <w:w w:val="120"/>
        </w:rPr>
        <w:t> </w:t>
      </w:r>
      <w:r>
        <w:rPr>
          <w:color w:val="231F20"/>
          <w:w w:val="120"/>
        </w:rPr>
        <w:t>qui</w:t>
      </w:r>
      <w:r>
        <w:rPr>
          <w:color w:val="231F20"/>
          <w:spacing w:val="-11"/>
          <w:w w:val="120"/>
        </w:rPr>
        <w:t> </w:t>
      </w:r>
      <w:r>
        <w:rPr>
          <w:color w:val="231F20"/>
          <w:w w:val="120"/>
        </w:rPr>
        <w:t>vous</w:t>
      </w:r>
      <w:r>
        <w:rPr>
          <w:color w:val="231F20"/>
          <w:spacing w:val="-11"/>
          <w:w w:val="120"/>
        </w:rPr>
        <w:t> </w:t>
      </w:r>
      <w:r>
        <w:rPr>
          <w:color w:val="231F20"/>
          <w:w w:val="120"/>
        </w:rPr>
        <w:t>sont</w:t>
      </w:r>
      <w:r>
        <w:rPr>
          <w:color w:val="231F20"/>
          <w:spacing w:val="-11"/>
          <w:w w:val="120"/>
        </w:rPr>
        <w:t> </w:t>
      </w:r>
      <w:r>
        <w:rPr>
          <w:color w:val="231F20"/>
          <w:w w:val="120"/>
        </w:rPr>
        <w:t>arrivés</w:t>
      </w:r>
      <w:r>
        <w:rPr>
          <w:color w:val="231F20"/>
          <w:spacing w:val="-11"/>
          <w:w w:val="120"/>
        </w:rPr>
        <w:t> </w:t>
      </w:r>
      <w:r>
        <w:rPr>
          <w:color w:val="231F20"/>
          <w:w w:val="120"/>
        </w:rPr>
        <w:t>ou</w:t>
      </w:r>
      <w:r>
        <w:rPr>
          <w:color w:val="231F20"/>
          <w:spacing w:val="-11"/>
          <w:w w:val="120"/>
        </w:rPr>
        <w:t> </w:t>
      </w:r>
      <w:r>
        <w:rPr>
          <w:color w:val="231F20"/>
          <w:w w:val="120"/>
        </w:rPr>
        <w:t>que</w:t>
      </w:r>
      <w:r>
        <w:rPr>
          <w:color w:val="231F20"/>
          <w:spacing w:val="-11"/>
          <w:w w:val="120"/>
        </w:rPr>
        <w:t> </w:t>
      </w:r>
      <w:r>
        <w:rPr>
          <w:color w:val="231F20"/>
          <w:w w:val="120"/>
        </w:rPr>
        <w:t>vous</w:t>
      </w:r>
      <w:r>
        <w:rPr>
          <w:color w:val="231F20"/>
          <w:spacing w:val="-11"/>
          <w:w w:val="120"/>
        </w:rPr>
        <w:t> </w:t>
      </w:r>
      <w:r>
        <w:rPr>
          <w:color w:val="231F20"/>
          <w:w w:val="120"/>
        </w:rPr>
        <w:t>vivez</w:t>
      </w:r>
      <w:r>
        <w:rPr>
          <w:color w:val="231F20"/>
          <w:spacing w:val="-11"/>
          <w:w w:val="120"/>
        </w:rPr>
        <w:t> </w:t>
      </w:r>
      <w:r>
        <w:rPr>
          <w:color w:val="231F20"/>
          <w:w w:val="120"/>
        </w:rPr>
        <w:t>actuelle- </w:t>
      </w:r>
      <w:r>
        <w:rPr>
          <w:color w:val="231F20"/>
          <w:w w:val="115"/>
        </w:rPr>
        <w:t>ment.</w:t>
      </w:r>
      <w:r>
        <w:rPr>
          <w:color w:val="231F20"/>
          <w:spacing w:val="-9"/>
          <w:w w:val="115"/>
        </w:rPr>
        <w:t> </w:t>
      </w:r>
      <w:r>
        <w:rPr>
          <w:color w:val="231F20"/>
          <w:w w:val="115"/>
        </w:rPr>
        <w:t>Quand</w:t>
      </w:r>
      <w:r>
        <w:rPr>
          <w:color w:val="231F20"/>
          <w:spacing w:val="-9"/>
          <w:w w:val="115"/>
        </w:rPr>
        <w:t> </w:t>
      </w:r>
      <w:r>
        <w:rPr>
          <w:color w:val="231F20"/>
          <w:w w:val="115"/>
        </w:rPr>
        <w:t>vous</w:t>
      </w:r>
      <w:r>
        <w:rPr>
          <w:color w:val="231F20"/>
          <w:spacing w:val="-9"/>
          <w:w w:val="115"/>
        </w:rPr>
        <w:t> </w:t>
      </w:r>
      <w:r>
        <w:rPr>
          <w:color w:val="231F20"/>
          <w:w w:val="115"/>
        </w:rPr>
        <w:t>aurez</w:t>
      </w:r>
      <w:r>
        <w:rPr>
          <w:color w:val="231F20"/>
          <w:spacing w:val="-9"/>
          <w:w w:val="115"/>
        </w:rPr>
        <w:t> </w:t>
      </w:r>
      <w:r>
        <w:rPr>
          <w:color w:val="231F20"/>
          <w:w w:val="115"/>
        </w:rPr>
        <w:t>terminé,</w:t>
      </w:r>
      <w:r>
        <w:rPr>
          <w:color w:val="231F20"/>
          <w:spacing w:val="-9"/>
          <w:w w:val="115"/>
        </w:rPr>
        <w:t> </w:t>
      </w:r>
      <w:r>
        <w:rPr>
          <w:color w:val="231F20"/>
          <w:w w:val="115"/>
        </w:rPr>
        <w:t>calculez</w:t>
      </w:r>
      <w:r>
        <w:rPr>
          <w:color w:val="231F20"/>
          <w:spacing w:val="-9"/>
          <w:w w:val="115"/>
        </w:rPr>
        <w:t> </w:t>
      </w:r>
      <w:r>
        <w:rPr>
          <w:color w:val="231F20"/>
          <w:w w:val="115"/>
        </w:rPr>
        <w:t>votre</w:t>
      </w:r>
      <w:r>
        <w:rPr>
          <w:color w:val="231F20"/>
          <w:spacing w:val="-9"/>
          <w:w w:val="115"/>
        </w:rPr>
        <w:t> </w:t>
      </w:r>
      <w:r>
        <w:rPr>
          <w:color w:val="231F20"/>
          <w:w w:val="115"/>
        </w:rPr>
        <w:t>score</w:t>
      </w:r>
      <w:r>
        <w:rPr>
          <w:color w:val="231F20"/>
          <w:spacing w:val="-9"/>
          <w:w w:val="115"/>
        </w:rPr>
        <w:t> </w:t>
      </w:r>
      <w:r>
        <w:rPr>
          <w:color w:val="231F20"/>
          <w:w w:val="115"/>
        </w:rPr>
        <w:t>total</w:t>
      </w:r>
      <w:r>
        <w:rPr>
          <w:color w:val="231F20"/>
          <w:spacing w:val="-9"/>
          <w:w w:val="115"/>
        </w:rPr>
        <w:t> </w:t>
      </w:r>
      <w:r>
        <w:rPr>
          <w:color w:val="231F20"/>
          <w:w w:val="115"/>
        </w:rPr>
        <w:t>et</w:t>
      </w:r>
      <w:r>
        <w:rPr>
          <w:color w:val="231F20"/>
          <w:spacing w:val="-10"/>
          <w:w w:val="115"/>
        </w:rPr>
        <w:t> </w:t>
      </w:r>
      <w:r>
        <w:rPr>
          <w:color w:val="231F20"/>
          <w:w w:val="115"/>
        </w:rPr>
        <w:t>comparez-le </w:t>
      </w:r>
      <w:r>
        <w:rPr>
          <w:color w:val="231F20"/>
          <w:w w:val="120"/>
        </w:rPr>
        <w:t>à l’interprétation générale.</w:t>
      </w:r>
    </w:p>
    <w:p>
      <w:pPr>
        <w:pStyle w:val="BodyText"/>
        <w:spacing w:line="307" w:lineRule="auto" w:before="79"/>
        <w:ind w:left="1219" w:right="104"/>
        <w:jc w:val="both"/>
      </w:pPr>
      <w:r>
        <w:rPr/>
        <w:pict>
          <v:group style="position:absolute;margin-left:82pt;margin-top:46.866047pt;width:287.5pt;height:.25pt;mso-position-horizontal-relative:page;mso-position-vertical-relative:paragraph;z-index:15777792" id="docshapegroup656" coordorigin="1640,937" coordsize="5750,5">
            <v:line style="position:absolute" from="1640,940" to="4515,940" stroked="true" strokeweight=".25pt" strokecolor="#231f20">
              <v:stroke dashstyle="solid"/>
            </v:line>
            <v:line style="position:absolute" from="4515,940" to="7390,940" stroked="true" strokeweight=".25pt" strokecolor="#231f20">
              <v:stroke dashstyle="solid"/>
            </v:line>
            <w10:wrap type="none"/>
          </v:group>
        </w:pict>
      </w:r>
      <w:r>
        <w:rPr>
          <w:b/>
          <w:color w:val="231F20"/>
          <w:w w:val="120"/>
        </w:rPr>
        <w:t>Remarque</w:t>
      </w:r>
      <w:r>
        <w:rPr>
          <w:b/>
          <w:color w:val="231F20"/>
          <w:spacing w:val="-13"/>
          <w:w w:val="120"/>
        </w:rPr>
        <w:t> </w:t>
      </w:r>
      <w:r>
        <w:rPr>
          <w:color w:val="231F20"/>
          <w:w w:val="120"/>
        </w:rPr>
        <w:t>:</w:t>
      </w:r>
      <w:r>
        <w:rPr>
          <w:color w:val="231F20"/>
          <w:spacing w:val="-13"/>
          <w:w w:val="120"/>
        </w:rPr>
        <w:t> </w:t>
      </w:r>
      <w:r>
        <w:rPr>
          <w:color w:val="231F20"/>
          <w:w w:val="120"/>
        </w:rPr>
        <w:t>D’autres</w:t>
      </w:r>
      <w:r>
        <w:rPr>
          <w:color w:val="231F20"/>
          <w:spacing w:val="-8"/>
          <w:w w:val="120"/>
        </w:rPr>
        <w:t> </w:t>
      </w:r>
      <w:r>
        <w:rPr>
          <w:color w:val="231F20"/>
          <w:w w:val="120"/>
        </w:rPr>
        <w:t>événements</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vie</w:t>
      </w:r>
      <w:r>
        <w:rPr>
          <w:color w:val="231F20"/>
          <w:spacing w:val="-2"/>
          <w:w w:val="120"/>
        </w:rPr>
        <w:t> </w:t>
      </w:r>
      <w:r>
        <w:rPr>
          <w:color w:val="231F20"/>
          <w:w w:val="120"/>
        </w:rPr>
        <w:t>peuvent</w:t>
      </w:r>
      <w:r>
        <w:rPr>
          <w:color w:val="231F20"/>
          <w:spacing w:val="-2"/>
          <w:w w:val="120"/>
        </w:rPr>
        <w:t> </w:t>
      </w:r>
      <w:r>
        <w:rPr>
          <w:color w:val="231F20"/>
          <w:w w:val="120"/>
        </w:rPr>
        <w:t>être</w:t>
      </w:r>
      <w:r>
        <w:rPr>
          <w:color w:val="231F20"/>
          <w:spacing w:val="-2"/>
          <w:w w:val="120"/>
        </w:rPr>
        <w:t> </w:t>
      </w:r>
      <w:r>
        <w:rPr>
          <w:color w:val="231F20"/>
          <w:w w:val="120"/>
        </w:rPr>
        <w:t>une</w:t>
      </w:r>
      <w:r>
        <w:rPr>
          <w:color w:val="231F20"/>
          <w:spacing w:val="-2"/>
          <w:w w:val="120"/>
        </w:rPr>
        <w:t> </w:t>
      </w:r>
      <w:r>
        <w:rPr>
          <w:color w:val="231F20"/>
          <w:w w:val="120"/>
        </w:rPr>
        <w:t>source</w:t>
      </w:r>
      <w:r>
        <w:rPr>
          <w:color w:val="231F20"/>
          <w:spacing w:val="-2"/>
          <w:w w:val="120"/>
        </w:rPr>
        <w:t> </w:t>
      </w:r>
      <w:r>
        <w:rPr>
          <w:color w:val="231F20"/>
          <w:w w:val="120"/>
        </w:rPr>
        <w:t>de stress.</w:t>
      </w:r>
      <w:r>
        <w:rPr>
          <w:color w:val="231F20"/>
          <w:spacing w:val="-2"/>
          <w:w w:val="120"/>
        </w:rPr>
        <w:t> </w:t>
      </w:r>
      <w:r>
        <w:rPr>
          <w:color w:val="231F20"/>
          <w:w w:val="120"/>
        </w:rPr>
        <w:t>La</w:t>
      </w:r>
      <w:r>
        <w:rPr>
          <w:color w:val="231F20"/>
          <w:spacing w:val="-2"/>
          <w:w w:val="120"/>
        </w:rPr>
        <w:t> </w:t>
      </w:r>
      <w:r>
        <w:rPr>
          <w:color w:val="231F20"/>
          <w:w w:val="120"/>
        </w:rPr>
        <w:t>liste</w:t>
      </w:r>
      <w:r>
        <w:rPr>
          <w:color w:val="231F20"/>
          <w:spacing w:val="-2"/>
          <w:w w:val="120"/>
        </w:rPr>
        <w:t> </w:t>
      </w:r>
      <w:r>
        <w:rPr>
          <w:color w:val="231F20"/>
          <w:w w:val="120"/>
        </w:rPr>
        <w:t>qui</w:t>
      </w:r>
      <w:r>
        <w:rPr>
          <w:color w:val="231F20"/>
          <w:spacing w:val="-2"/>
          <w:w w:val="120"/>
        </w:rPr>
        <w:t> </w:t>
      </w:r>
      <w:r>
        <w:rPr>
          <w:color w:val="231F20"/>
          <w:w w:val="120"/>
        </w:rPr>
        <w:t>vous</w:t>
      </w:r>
      <w:r>
        <w:rPr>
          <w:color w:val="231F20"/>
          <w:spacing w:val="-2"/>
          <w:w w:val="120"/>
        </w:rPr>
        <w:t> </w:t>
      </w:r>
      <w:r>
        <w:rPr>
          <w:color w:val="231F20"/>
          <w:w w:val="120"/>
        </w:rPr>
        <w:t>est</w:t>
      </w:r>
      <w:r>
        <w:rPr>
          <w:color w:val="231F20"/>
          <w:spacing w:val="-2"/>
          <w:w w:val="120"/>
        </w:rPr>
        <w:t> </w:t>
      </w:r>
      <w:r>
        <w:rPr>
          <w:color w:val="231F20"/>
          <w:w w:val="120"/>
        </w:rPr>
        <w:t>proposée</w:t>
      </w:r>
      <w:r>
        <w:rPr>
          <w:color w:val="231F20"/>
          <w:spacing w:val="-2"/>
          <w:w w:val="120"/>
        </w:rPr>
        <w:t> </w:t>
      </w:r>
      <w:r>
        <w:rPr>
          <w:color w:val="231F20"/>
          <w:w w:val="120"/>
        </w:rPr>
        <w:t>s’inspire</w:t>
      </w:r>
      <w:r>
        <w:rPr>
          <w:color w:val="231F20"/>
          <w:spacing w:val="-2"/>
          <w:w w:val="120"/>
        </w:rPr>
        <w:t> </w:t>
      </w:r>
      <w:r>
        <w:rPr>
          <w:color w:val="231F20"/>
          <w:w w:val="120"/>
        </w:rPr>
        <w:t>directement</w:t>
      </w:r>
      <w:r>
        <w:rPr>
          <w:color w:val="231F20"/>
          <w:spacing w:val="-2"/>
          <w:w w:val="120"/>
        </w:rPr>
        <w:t> </w:t>
      </w:r>
      <w:r>
        <w:rPr>
          <w:color w:val="231F20"/>
          <w:w w:val="120"/>
        </w:rPr>
        <w:t>des</w:t>
      </w:r>
      <w:r>
        <w:rPr>
          <w:color w:val="231F20"/>
          <w:spacing w:val="-2"/>
          <w:w w:val="120"/>
        </w:rPr>
        <w:t> </w:t>
      </w:r>
      <w:r>
        <w:rPr>
          <w:color w:val="231F20"/>
          <w:w w:val="120"/>
        </w:rPr>
        <w:t>travaux </w:t>
      </w:r>
      <w:r>
        <w:rPr>
          <w:color w:val="231F20"/>
          <w:w w:val="125"/>
        </w:rPr>
        <w:t>de Holmes et Rahe.</w:t>
      </w:r>
    </w:p>
    <w:p>
      <w:pPr>
        <w:spacing w:after="0" w:line="307" w:lineRule="auto"/>
        <w:jc w:val="both"/>
        <w:sectPr>
          <w:footerReference w:type="default" r:id="rId185"/>
          <w:pgSz w:w="8640" w:h="12960"/>
          <w:pgMar w:footer="424" w:header="0" w:top="500" w:bottom="620" w:left="420" w:right="1140"/>
        </w:sectPr>
      </w:pPr>
    </w:p>
    <w:p>
      <w:pPr>
        <w:spacing w:before="171"/>
        <w:ind w:left="1220" w:right="0" w:firstLine="0"/>
        <w:jc w:val="left"/>
        <w:rPr>
          <w:rFonts w:ascii="Arial" w:hAnsi="Arial"/>
          <w:sz w:val="14"/>
        </w:rPr>
      </w:pPr>
      <w:r>
        <w:rPr>
          <w:rFonts w:ascii="Arial" w:hAnsi="Arial"/>
          <w:color w:val="231F20"/>
          <w:w w:val="105"/>
          <w:sz w:val="14"/>
        </w:rPr>
        <w:t>100</w:t>
      </w:r>
      <w:r>
        <w:rPr>
          <w:rFonts w:ascii="Arial" w:hAnsi="Arial"/>
          <w:color w:val="231F20"/>
          <w:spacing w:val="4"/>
          <w:w w:val="105"/>
          <w:sz w:val="14"/>
        </w:rPr>
        <w:t> </w:t>
      </w:r>
      <w:r>
        <w:rPr>
          <w:rFonts w:ascii="Wingdings" w:hAnsi="Wingdings"/>
          <w:color w:val="231F20"/>
          <w:w w:val="105"/>
          <w:sz w:val="14"/>
        </w:rPr>
        <w:t></w:t>
      </w:r>
      <w:r>
        <w:rPr>
          <w:color w:val="231F20"/>
          <w:spacing w:val="35"/>
          <w:w w:val="105"/>
          <w:sz w:val="14"/>
        </w:rPr>
        <w:t> </w:t>
      </w:r>
      <w:r>
        <w:rPr>
          <w:rFonts w:ascii="Arial" w:hAnsi="Arial"/>
          <w:color w:val="231F20"/>
          <w:w w:val="105"/>
          <w:sz w:val="14"/>
        </w:rPr>
        <w:t>Décès</w:t>
      </w:r>
      <w:r>
        <w:rPr>
          <w:rFonts w:ascii="Arial" w:hAnsi="Arial"/>
          <w:color w:val="231F20"/>
          <w:spacing w:val="-10"/>
          <w:w w:val="105"/>
          <w:sz w:val="14"/>
        </w:rPr>
        <w:t> </w:t>
      </w:r>
      <w:r>
        <w:rPr>
          <w:rFonts w:ascii="Arial" w:hAnsi="Arial"/>
          <w:color w:val="231F20"/>
          <w:w w:val="105"/>
          <w:sz w:val="14"/>
        </w:rPr>
        <w:t>du</w:t>
      </w:r>
      <w:r>
        <w:rPr>
          <w:rFonts w:ascii="Arial" w:hAnsi="Arial"/>
          <w:color w:val="231F20"/>
          <w:spacing w:val="-10"/>
          <w:w w:val="105"/>
          <w:sz w:val="14"/>
        </w:rPr>
        <w:t> </w:t>
      </w:r>
      <w:r>
        <w:rPr>
          <w:rFonts w:ascii="Arial" w:hAnsi="Arial"/>
          <w:color w:val="231F20"/>
          <w:spacing w:val="-2"/>
          <w:w w:val="105"/>
          <w:sz w:val="14"/>
        </w:rPr>
        <w:t>conjoint</w:t>
      </w:r>
    </w:p>
    <w:p>
      <w:pPr>
        <w:spacing w:before="79"/>
        <w:ind w:left="1314" w:right="0" w:firstLine="0"/>
        <w:jc w:val="left"/>
        <w:rPr>
          <w:rFonts w:ascii="Arial" w:hAnsi="Arial"/>
          <w:sz w:val="14"/>
        </w:rPr>
      </w:pPr>
      <w:r>
        <w:rPr>
          <w:rFonts w:ascii="Arial" w:hAnsi="Arial"/>
          <w:color w:val="231F20"/>
          <w:sz w:val="14"/>
        </w:rPr>
        <w:t>73</w:t>
      </w:r>
      <w:r>
        <w:rPr>
          <w:rFonts w:ascii="Arial" w:hAnsi="Arial"/>
          <w:color w:val="231F20"/>
          <w:spacing w:val="33"/>
          <w:sz w:val="14"/>
        </w:rPr>
        <w:t> </w:t>
      </w:r>
      <w:r>
        <w:rPr>
          <w:rFonts w:ascii="Wingdings" w:hAnsi="Wingdings"/>
          <w:color w:val="231F20"/>
          <w:sz w:val="14"/>
        </w:rPr>
        <w:t></w:t>
      </w:r>
      <w:r>
        <w:rPr>
          <w:color w:val="231F20"/>
          <w:spacing w:val="56"/>
          <w:sz w:val="14"/>
        </w:rPr>
        <w:t> </w:t>
      </w:r>
      <w:r>
        <w:rPr>
          <w:rFonts w:ascii="Arial" w:hAnsi="Arial"/>
          <w:color w:val="231F20"/>
          <w:spacing w:val="-2"/>
          <w:sz w:val="14"/>
        </w:rPr>
        <w:t>Divorce</w:t>
      </w:r>
    </w:p>
    <w:p>
      <w:pPr>
        <w:spacing w:line="268" w:lineRule="auto" w:before="79"/>
        <w:ind w:left="1759" w:right="-2" w:hanging="446"/>
        <w:jc w:val="left"/>
        <w:rPr>
          <w:rFonts w:ascii="Arial" w:hAnsi="Arial"/>
          <w:sz w:val="14"/>
        </w:rPr>
      </w:pPr>
      <w:r>
        <w:rPr>
          <w:rFonts w:ascii="Arial" w:hAnsi="Arial"/>
          <w:color w:val="231F20"/>
          <w:w w:val="105"/>
          <w:sz w:val="14"/>
        </w:rPr>
        <w:t>65</w:t>
      </w:r>
      <w:r>
        <w:rPr>
          <w:rFonts w:ascii="Arial" w:hAnsi="Arial"/>
          <w:color w:val="231F20"/>
          <w:spacing w:val="-2"/>
          <w:w w:val="105"/>
          <w:sz w:val="14"/>
        </w:rPr>
        <w:t> </w:t>
      </w:r>
      <w:r>
        <w:rPr>
          <w:rFonts w:ascii="Wingdings" w:hAnsi="Wingdings"/>
          <w:color w:val="231F20"/>
          <w:w w:val="105"/>
          <w:sz w:val="14"/>
        </w:rPr>
        <w:t></w:t>
      </w:r>
      <w:r>
        <w:rPr>
          <w:color w:val="231F20"/>
          <w:spacing w:val="25"/>
          <w:w w:val="105"/>
          <w:sz w:val="14"/>
        </w:rPr>
        <w:t> </w:t>
      </w:r>
      <w:r>
        <w:rPr>
          <w:rFonts w:ascii="Arial" w:hAnsi="Arial"/>
          <w:color w:val="231F20"/>
          <w:w w:val="105"/>
          <w:sz w:val="14"/>
        </w:rPr>
        <w:t>Séparation</w:t>
      </w:r>
      <w:r>
        <w:rPr>
          <w:rFonts w:ascii="Arial" w:hAnsi="Arial"/>
          <w:color w:val="231F20"/>
          <w:spacing w:val="-11"/>
          <w:w w:val="105"/>
          <w:sz w:val="14"/>
        </w:rPr>
        <w:t> </w:t>
      </w:r>
      <w:r>
        <w:rPr>
          <w:rFonts w:ascii="Arial" w:hAnsi="Arial"/>
          <w:color w:val="231F20"/>
          <w:w w:val="105"/>
          <w:sz w:val="14"/>
        </w:rPr>
        <w:t>(ou</w:t>
      </w:r>
      <w:r>
        <w:rPr>
          <w:rFonts w:ascii="Arial" w:hAnsi="Arial"/>
          <w:color w:val="231F20"/>
          <w:spacing w:val="-10"/>
          <w:w w:val="105"/>
          <w:sz w:val="14"/>
        </w:rPr>
        <w:t> </w:t>
      </w:r>
      <w:r>
        <w:rPr>
          <w:rFonts w:ascii="Arial" w:hAnsi="Arial"/>
          <w:color w:val="231F20"/>
          <w:w w:val="105"/>
          <w:sz w:val="14"/>
        </w:rPr>
        <w:t>fin</w:t>
      </w:r>
      <w:r>
        <w:rPr>
          <w:rFonts w:ascii="Arial" w:hAnsi="Arial"/>
          <w:color w:val="231F20"/>
          <w:spacing w:val="-10"/>
          <w:w w:val="105"/>
          <w:sz w:val="14"/>
        </w:rPr>
        <w:t> </w:t>
      </w:r>
      <w:r>
        <w:rPr>
          <w:rFonts w:ascii="Arial" w:hAnsi="Arial"/>
          <w:color w:val="231F20"/>
          <w:w w:val="105"/>
          <w:sz w:val="14"/>
        </w:rPr>
        <w:t>d’une</w:t>
      </w:r>
      <w:r>
        <w:rPr>
          <w:rFonts w:ascii="Arial" w:hAnsi="Arial"/>
          <w:color w:val="231F20"/>
          <w:spacing w:val="-10"/>
          <w:w w:val="105"/>
          <w:sz w:val="14"/>
        </w:rPr>
        <w:t> </w:t>
      </w:r>
      <w:r>
        <w:rPr>
          <w:rFonts w:ascii="Arial" w:hAnsi="Arial"/>
          <w:color w:val="231F20"/>
          <w:w w:val="105"/>
          <w:sz w:val="14"/>
        </w:rPr>
        <w:t>relation intime</w:t>
      </w:r>
      <w:r>
        <w:rPr>
          <w:rFonts w:ascii="Arial" w:hAnsi="Arial"/>
          <w:color w:val="231F20"/>
          <w:spacing w:val="-11"/>
          <w:w w:val="105"/>
          <w:sz w:val="14"/>
        </w:rPr>
        <w:t> </w:t>
      </w:r>
      <w:r>
        <w:rPr>
          <w:rFonts w:ascii="Arial" w:hAnsi="Arial"/>
          <w:color w:val="231F20"/>
          <w:w w:val="105"/>
          <w:sz w:val="14"/>
        </w:rPr>
        <w:t>importante)</w:t>
      </w:r>
    </w:p>
    <w:p>
      <w:pPr>
        <w:spacing w:before="59"/>
        <w:ind w:left="1314" w:right="0" w:firstLine="0"/>
        <w:jc w:val="left"/>
        <w:rPr>
          <w:rFonts w:ascii="Arial" w:hAnsi="Arial"/>
          <w:sz w:val="14"/>
        </w:rPr>
      </w:pPr>
      <w:r>
        <w:rPr>
          <w:rFonts w:ascii="Arial" w:hAnsi="Arial"/>
          <w:color w:val="231F20"/>
          <w:sz w:val="14"/>
        </w:rPr>
        <w:t>63</w:t>
      </w:r>
      <w:r>
        <w:rPr>
          <w:rFonts w:ascii="Arial" w:hAnsi="Arial"/>
          <w:color w:val="231F20"/>
          <w:spacing w:val="18"/>
          <w:sz w:val="14"/>
        </w:rPr>
        <w:t> </w:t>
      </w:r>
      <w:r>
        <w:rPr>
          <w:rFonts w:ascii="Wingdings" w:hAnsi="Wingdings"/>
          <w:color w:val="231F20"/>
          <w:sz w:val="14"/>
        </w:rPr>
        <w:t></w:t>
      </w:r>
      <w:r>
        <w:rPr>
          <w:color w:val="231F20"/>
          <w:spacing w:val="54"/>
          <w:sz w:val="14"/>
        </w:rPr>
        <w:t> </w:t>
      </w:r>
      <w:r>
        <w:rPr>
          <w:rFonts w:ascii="Arial" w:hAnsi="Arial"/>
          <w:color w:val="231F20"/>
          <w:sz w:val="14"/>
        </w:rPr>
        <w:t>Séjour</w:t>
      </w:r>
      <w:r>
        <w:rPr>
          <w:rFonts w:ascii="Arial" w:hAnsi="Arial"/>
          <w:color w:val="231F20"/>
          <w:spacing w:val="-6"/>
          <w:sz w:val="14"/>
        </w:rPr>
        <w:t> </w:t>
      </w:r>
      <w:r>
        <w:rPr>
          <w:rFonts w:ascii="Arial" w:hAnsi="Arial"/>
          <w:color w:val="231F20"/>
          <w:sz w:val="14"/>
        </w:rPr>
        <w:t>en</w:t>
      </w:r>
      <w:r>
        <w:rPr>
          <w:rFonts w:ascii="Arial" w:hAnsi="Arial"/>
          <w:color w:val="231F20"/>
          <w:spacing w:val="-6"/>
          <w:sz w:val="14"/>
        </w:rPr>
        <w:t> </w:t>
      </w:r>
      <w:r>
        <w:rPr>
          <w:rFonts w:ascii="Arial" w:hAnsi="Arial"/>
          <w:color w:val="231F20"/>
          <w:spacing w:val="-2"/>
          <w:sz w:val="14"/>
        </w:rPr>
        <w:t>prison</w:t>
      </w:r>
    </w:p>
    <w:p>
      <w:pPr>
        <w:spacing w:before="79"/>
        <w:ind w:left="1314" w:right="0" w:firstLine="0"/>
        <w:jc w:val="left"/>
        <w:rPr>
          <w:rFonts w:ascii="Arial" w:hAnsi="Arial"/>
          <w:sz w:val="14"/>
        </w:rPr>
      </w:pPr>
      <w:r>
        <w:rPr>
          <w:rFonts w:ascii="Arial" w:hAnsi="Arial"/>
          <w:color w:val="231F20"/>
          <w:sz w:val="14"/>
        </w:rPr>
        <w:t>63</w:t>
      </w:r>
      <w:r>
        <w:rPr>
          <w:rFonts w:ascii="Arial" w:hAnsi="Arial"/>
          <w:color w:val="231F20"/>
          <w:spacing w:val="18"/>
          <w:sz w:val="14"/>
        </w:rPr>
        <w:t> </w:t>
      </w:r>
      <w:r>
        <w:rPr>
          <w:rFonts w:ascii="Wingdings" w:hAnsi="Wingdings"/>
          <w:color w:val="231F20"/>
          <w:sz w:val="14"/>
        </w:rPr>
        <w:t></w:t>
      </w:r>
      <w:r>
        <w:rPr>
          <w:color w:val="231F20"/>
          <w:spacing w:val="54"/>
          <w:sz w:val="14"/>
        </w:rPr>
        <w:t> </w:t>
      </w:r>
      <w:r>
        <w:rPr>
          <w:rFonts w:ascii="Arial" w:hAnsi="Arial"/>
          <w:color w:val="231F20"/>
          <w:sz w:val="14"/>
        </w:rPr>
        <w:t>Décès</w:t>
      </w:r>
      <w:r>
        <w:rPr>
          <w:rFonts w:ascii="Arial" w:hAnsi="Arial"/>
          <w:color w:val="231F20"/>
          <w:spacing w:val="-7"/>
          <w:sz w:val="14"/>
        </w:rPr>
        <w:t> </w:t>
      </w:r>
      <w:r>
        <w:rPr>
          <w:rFonts w:ascii="Arial" w:hAnsi="Arial"/>
          <w:color w:val="231F20"/>
          <w:sz w:val="14"/>
        </w:rPr>
        <w:t>d’un</w:t>
      </w:r>
      <w:r>
        <w:rPr>
          <w:rFonts w:ascii="Arial" w:hAnsi="Arial"/>
          <w:color w:val="231F20"/>
          <w:spacing w:val="-6"/>
          <w:sz w:val="14"/>
        </w:rPr>
        <w:t> </w:t>
      </w:r>
      <w:r>
        <w:rPr>
          <w:rFonts w:ascii="Arial" w:hAnsi="Arial"/>
          <w:color w:val="231F20"/>
          <w:sz w:val="14"/>
        </w:rPr>
        <w:t>proche</w:t>
      </w:r>
      <w:r>
        <w:rPr>
          <w:rFonts w:ascii="Arial" w:hAnsi="Arial"/>
          <w:color w:val="231F20"/>
          <w:spacing w:val="-6"/>
          <w:sz w:val="14"/>
        </w:rPr>
        <w:t> </w:t>
      </w:r>
      <w:r>
        <w:rPr>
          <w:rFonts w:ascii="Arial" w:hAnsi="Arial"/>
          <w:color w:val="231F20"/>
          <w:spacing w:val="-2"/>
          <w:sz w:val="14"/>
        </w:rPr>
        <w:t>parent</w:t>
      </w:r>
    </w:p>
    <w:p>
      <w:pPr>
        <w:spacing w:line="268" w:lineRule="auto" w:before="79"/>
        <w:ind w:left="1759" w:right="0" w:hanging="446"/>
        <w:jc w:val="left"/>
        <w:rPr>
          <w:rFonts w:ascii="Arial" w:hAnsi="Arial"/>
          <w:sz w:val="14"/>
        </w:rPr>
      </w:pPr>
      <w:r>
        <w:rPr>
          <w:rFonts w:ascii="Arial" w:hAnsi="Arial"/>
          <w:color w:val="231F20"/>
          <w:sz w:val="14"/>
        </w:rPr>
        <w:t>53</w:t>
      </w:r>
      <w:r>
        <w:rPr>
          <w:rFonts w:ascii="Arial" w:hAnsi="Arial"/>
          <w:color w:val="231F20"/>
          <w:spacing w:val="10"/>
          <w:sz w:val="14"/>
        </w:rPr>
        <w:t> </w:t>
      </w:r>
      <w:r>
        <w:rPr>
          <w:rFonts w:ascii="Wingdings" w:hAnsi="Wingdings"/>
          <w:color w:val="231F20"/>
          <w:sz w:val="14"/>
        </w:rPr>
        <w:t></w:t>
      </w:r>
      <w:r>
        <w:rPr>
          <w:color w:val="231F20"/>
          <w:spacing w:val="37"/>
          <w:sz w:val="14"/>
        </w:rPr>
        <w:t> </w:t>
      </w:r>
      <w:r>
        <w:rPr>
          <w:rFonts w:ascii="Arial" w:hAnsi="Arial"/>
          <w:color w:val="231F20"/>
          <w:sz w:val="14"/>
        </w:rPr>
        <w:t>Maladies</w:t>
      </w:r>
      <w:r>
        <w:rPr>
          <w:rFonts w:ascii="Arial" w:hAnsi="Arial"/>
          <w:color w:val="231F20"/>
          <w:spacing w:val="-10"/>
          <w:sz w:val="14"/>
        </w:rPr>
        <w:t> </w:t>
      </w:r>
      <w:r>
        <w:rPr>
          <w:rFonts w:ascii="Arial" w:hAnsi="Arial"/>
          <w:color w:val="231F20"/>
          <w:sz w:val="14"/>
        </w:rPr>
        <w:t>ou</w:t>
      </w:r>
      <w:r>
        <w:rPr>
          <w:rFonts w:ascii="Arial" w:hAnsi="Arial"/>
          <w:color w:val="231F20"/>
          <w:spacing w:val="-10"/>
          <w:sz w:val="14"/>
        </w:rPr>
        <w:t> </w:t>
      </w:r>
      <w:r>
        <w:rPr>
          <w:rFonts w:ascii="Arial" w:hAnsi="Arial"/>
          <w:color w:val="231F20"/>
          <w:sz w:val="14"/>
        </w:rPr>
        <w:t>blessures</w:t>
      </w:r>
      <w:r>
        <w:rPr>
          <w:rFonts w:ascii="Arial" w:hAnsi="Arial"/>
          <w:color w:val="231F20"/>
          <w:spacing w:val="40"/>
          <w:sz w:val="14"/>
        </w:rPr>
        <w:t> </w:t>
      </w:r>
      <w:r>
        <w:rPr>
          <w:rFonts w:ascii="Arial" w:hAnsi="Arial"/>
          <w:color w:val="231F20"/>
          <w:spacing w:val="-2"/>
          <w:sz w:val="14"/>
        </w:rPr>
        <w:t>personnelles</w:t>
      </w:r>
    </w:p>
    <w:p>
      <w:pPr>
        <w:spacing w:before="59"/>
        <w:ind w:left="1314" w:right="0" w:firstLine="0"/>
        <w:jc w:val="left"/>
        <w:rPr>
          <w:rFonts w:ascii="Arial" w:hAnsi="Arial"/>
          <w:sz w:val="14"/>
        </w:rPr>
      </w:pPr>
      <w:r>
        <w:rPr>
          <w:rFonts w:ascii="Arial" w:hAnsi="Arial"/>
          <w:color w:val="231F20"/>
          <w:sz w:val="14"/>
        </w:rPr>
        <w:t>50</w:t>
      </w:r>
      <w:r>
        <w:rPr>
          <w:rFonts w:ascii="Arial" w:hAnsi="Arial"/>
          <w:color w:val="231F20"/>
          <w:spacing w:val="20"/>
          <w:sz w:val="14"/>
        </w:rPr>
        <w:t> </w:t>
      </w:r>
      <w:r>
        <w:rPr>
          <w:rFonts w:ascii="Wingdings" w:hAnsi="Wingdings"/>
          <w:color w:val="231F20"/>
          <w:sz w:val="14"/>
        </w:rPr>
        <w:t></w:t>
      </w:r>
      <w:r>
        <w:rPr>
          <w:color w:val="231F20"/>
          <w:spacing w:val="69"/>
          <w:sz w:val="14"/>
        </w:rPr>
        <w:t> </w:t>
      </w:r>
      <w:r>
        <w:rPr>
          <w:rFonts w:ascii="Arial" w:hAnsi="Arial"/>
          <w:color w:val="231F20"/>
          <w:spacing w:val="-2"/>
          <w:sz w:val="14"/>
        </w:rPr>
        <w:t>Mariage</w:t>
      </w:r>
    </w:p>
    <w:p>
      <w:pPr>
        <w:spacing w:before="79"/>
        <w:ind w:left="1314" w:right="0" w:firstLine="0"/>
        <w:jc w:val="left"/>
        <w:rPr>
          <w:rFonts w:ascii="Arial" w:hAnsi="Arial"/>
          <w:sz w:val="14"/>
        </w:rPr>
      </w:pPr>
      <w:r>
        <w:rPr>
          <w:rFonts w:ascii="Arial" w:hAnsi="Arial"/>
          <w:color w:val="231F20"/>
          <w:w w:val="105"/>
          <w:sz w:val="14"/>
        </w:rPr>
        <w:t>47</w:t>
      </w:r>
      <w:r>
        <w:rPr>
          <w:rFonts w:ascii="Arial" w:hAnsi="Arial"/>
          <w:color w:val="231F20"/>
          <w:spacing w:val="15"/>
          <w:w w:val="105"/>
          <w:sz w:val="14"/>
        </w:rPr>
        <w:t> </w:t>
      </w:r>
      <w:r>
        <w:rPr>
          <w:rFonts w:ascii="Wingdings" w:hAnsi="Wingdings"/>
          <w:color w:val="231F20"/>
          <w:w w:val="105"/>
          <w:sz w:val="14"/>
        </w:rPr>
        <w:t></w:t>
      </w:r>
      <w:r>
        <w:rPr>
          <w:color w:val="231F20"/>
          <w:spacing w:val="43"/>
          <w:w w:val="105"/>
          <w:sz w:val="14"/>
        </w:rPr>
        <w:t> </w:t>
      </w:r>
      <w:r>
        <w:rPr>
          <w:rFonts w:ascii="Arial" w:hAnsi="Arial"/>
          <w:color w:val="231F20"/>
          <w:w w:val="105"/>
          <w:sz w:val="14"/>
        </w:rPr>
        <w:t>Perte</w:t>
      </w:r>
      <w:r>
        <w:rPr>
          <w:rFonts w:ascii="Arial" w:hAnsi="Arial"/>
          <w:color w:val="231F20"/>
          <w:spacing w:val="-10"/>
          <w:w w:val="105"/>
          <w:sz w:val="14"/>
        </w:rPr>
        <w:t> </w:t>
      </w:r>
      <w:r>
        <w:rPr>
          <w:rFonts w:ascii="Arial" w:hAnsi="Arial"/>
          <w:color w:val="231F20"/>
          <w:spacing w:val="-2"/>
          <w:w w:val="105"/>
          <w:sz w:val="14"/>
        </w:rPr>
        <w:t>d’emploi</w:t>
      </w:r>
    </w:p>
    <w:p>
      <w:pPr>
        <w:spacing w:line="357" w:lineRule="auto" w:before="79"/>
        <w:ind w:left="1314" w:right="42" w:firstLine="0"/>
        <w:jc w:val="left"/>
        <w:rPr>
          <w:rFonts w:ascii="Arial" w:hAnsi="Arial"/>
          <w:sz w:val="14"/>
        </w:rPr>
      </w:pPr>
      <w:r>
        <w:rPr>
          <w:rFonts w:ascii="Arial" w:hAnsi="Arial"/>
          <w:color w:val="231F20"/>
          <w:sz w:val="14"/>
        </w:rPr>
        <w:t>45</w:t>
      </w:r>
      <w:r>
        <w:rPr>
          <w:rFonts w:ascii="Arial" w:hAnsi="Arial"/>
          <w:color w:val="231F20"/>
          <w:spacing w:val="22"/>
          <w:sz w:val="14"/>
        </w:rPr>
        <w:t> </w:t>
      </w:r>
      <w:r>
        <w:rPr>
          <w:rFonts w:ascii="Wingdings" w:hAnsi="Wingdings"/>
          <w:color w:val="231F20"/>
          <w:sz w:val="14"/>
        </w:rPr>
        <w:t></w:t>
      </w:r>
      <w:r>
        <w:rPr>
          <w:color w:val="231F20"/>
          <w:spacing w:val="40"/>
          <w:sz w:val="14"/>
        </w:rPr>
        <w:t> </w:t>
      </w:r>
      <w:r>
        <w:rPr>
          <w:rFonts w:ascii="Arial" w:hAnsi="Arial"/>
          <w:color w:val="231F20"/>
          <w:sz w:val="14"/>
        </w:rPr>
        <w:t>Réconciliation</w:t>
      </w:r>
      <w:r>
        <w:rPr>
          <w:rFonts w:ascii="Arial" w:hAnsi="Arial"/>
          <w:color w:val="231F20"/>
          <w:spacing w:val="-5"/>
          <w:sz w:val="14"/>
        </w:rPr>
        <w:t> </w:t>
      </w:r>
      <w:r>
        <w:rPr>
          <w:rFonts w:ascii="Arial" w:hAnsi="Arial"/>
          <w:color w:val="231F20"/>
          <w:sz w:val="14"/>
        </w:rPr>
        <w:t>avec</w:t>
      </w:r>
      <w:r>
        <w:rPr>
          <w:rFonts w:ascii="Arial" w:hAnsi="Arial"/>
          <w:color w:val="231F20"/>
          <w:spacing w:val="-5"/>
          <w:sz w:val="14"/>
        </w:rPr>
        <w:t> </w:t>
      </w:r>
      <w:r>
        <w:rPr>
          <w:rFonts w:ascii="Arial" w:hAnsi="Arial"/>
          <w:color w:val="231F20"/>
          <w:sz w:val="14"/>
        </w:rPr>
        <w:t>le</w:t>
      </w:r>
      <w:r>
        <w:rPr>
          <w:rFonts w:ascii="Arial" w:hAnsi="Arial"/>
          <w:color w:val="231F20"/>
          <w:spacing w:val="-5"/>
          <w:sz w:val="14"/>
        </w:rPr>
        <w:t> </w:t>
      </w:r>
      <w:r>
        <w:rPr>
          <w:rFonts w:ascii="Arial" w:hAnsi="Arial"/>
          <w:color w:val="231F20"/>
          <w:sz w:val="14"/>
        </w:rPr>
        <w:t>conjoint</w:t>
      </w:r>
      <w:r>
        <w:rPr>
          <w:rFonts w:ascii="Arial" w:hAnsi="Arial"/>
          <w:color w:val="231F20"/>
          <w:spacing w:val="40"/>
          <w:sz w:val="14"/>
        </w:rPr>
        <w:t> </w:t>
      </w:r>
      <w:r>
        <w:rPr>
          <w:rFonts w:ascii="Arial" w:hAnsi="Arial"/>
          <w:color w:val="231F20"/>
          <w:sz w:val="14"/>
        </w:rPr>
        <w:t>45</w:t>
      </w:r>
      <w:r>
        <w:rPr>
          <w:rFonts w:ascii="Arial" w:hAnsi="Arial"/>
          <w:color w:val="231F20"/>
          <w:spacing w:val="40"/>
          <w:sz w:val="14"/>
        </w:rPr>
        <w:t> </w:t>
      </w:r>
      <w:r>
        <w:rPr>
          <w:rFonts w:ascii="Wingdings" w:hAnsi="Wingdings"/>
          <w:color w:val="231F20"/>
          <w:sz w:val="14"/>
        </w:rPr>
        <w:t></w:t>
      </w:r>
      <w:r>
        <w:rPr>
          <w:color w:val="231F20"/>
          <w:spacing w:val="40"/>
          <w:sz w:val="14"/>
        </w:rPr>
        <w:t> </w:t>
      </w:r>
      <w:r>
        <w:rPr>
          <w:rFonts w:ascii="Arial" w:hAnsi="Arial"/>
          <w:color w:val="231F20"/>
          <w:sz w:val="14"/>
        </w:rPr>
        <w:t>Retraite</w:t>
      </w:r>
    </w:p>
    <w:p>
      <w:pPr>
        <w:spacing w:line="268" w:lineRule="auto" w:before="0"/>
        <w:ind w:left="1759" w:right="0" w:hanging="446"/>
        <w:jc w:val="left"/>
        <w:rPr>
          <w:rFonts w:ascii="Arial" w:hAnsi="Arial"/>
          <w:sz w:val="14"/>
        </w:rPr>
      </w:pPr>
      <w:r>
        <w:rPr>
          <w:rFonts w:ascii="Arial" w:hAnsi="Arial"/>
          <w:color w:val="231F20"/>
          <w:w w:val="105"/>
          <w:sz w:val="14"/>
        </w:rPr>
        <w:t>44</w:t>
      </w:r>
      <w:r>
        <w:rPr>
          <w:rFonts w:ascii="Arial" w:hAnsi="Arial"/>
          <w:color w:val="231F20"/>
          <w:spacing w:val="-8"/>
          <w:w w:val="105"/>
          <w:sz w:val="14"/>
        </w:rPr>
        <w:t> </w:t>
      </w:r>
      <w:r>
        <w:rPr>
          <w:rFonts w:ascii="Wingdings" w:hAnsi="Wingdings"/>
          <w:color w:val="231F20"/>
          <w:w w:val="105"/>
          <w:sz w:val="14"/>
        </w:rPr>
        <w:t></w:t>
      </w:r>
      <w:r>
        <w:rPr>
          <w:color w:val="231F20"/>
          <w:spacing w:val="31"/>
          <w:w w:val="105"/>
          <w:sz w:val="14"/>
        </w:rPr>
        <w:t> </w:t>
      </w:r>
      <w:r>
        <w:rPr>
          <w:rFonts w:ascii="Arial" w:hAnsi="Arial"/>
          <w:color w:val="231F20"/>
          <w:w w:val="105"/>
          <w:sz w:val="14"/>
        </w:rPr>
        <w:t>Modification</w:t>
      </w:r>
      <w:r>
        <w:rPr>
          <w:rFonts w:ascii="Arial" w:hAnsi="Arial"/>
          <w:color w:val="231F20"/>
          <w:spacing w:val="-10"/>
          <w:w w:val="105"/>
          <w:sz w:val="14"/>
        </w:rPr>
        <w:t> </w:t>
      </w:r>
      <w:r>
        <w:rPr>
          <w:rFonts w:ascii="Arial" w:hAnsi="Arial"/>
          <w:color w:val="231F20"/>
          <w:w w:val="105"/>
          <w:sz w:val="14"/>
        </w:rPr>
        <w:t>de</w:t>
      </w:r>
      <w:r>
        <w:rPr>
          <w:rFonts w:ascii="Arial" w:hAnsi="Arial"/>
          <w:color w:val="231F20"/>
          <w:spacing w:val="-10"/>
          <w:w w:val="105"/>
          <w:sz w:val="14"/>
        </w:rPr>
        <w:t> </w:t>
      </w:r>
      <w:r>
        <w:rPr>
          <w:rFonts w:ascii="Arial" w:hAnsi="Arial"/>
          <w:color w:val="231F20"/>
          <w:w w:val="105"/>
          <w:sz w:val="14"/>
        </w:rPr>
        <w:t>l’état</w:t>
      </w:r>
      <w:r>
        <w:rPr>
          <w:rFonts w:ascii="Arial" w:hAnsi="Arial"/>
          <w:color w:val="231F20"/>
          <w:spacing w:val="-10"/>
          <w:w w:val="105"/>
          <w:sz w:val="14"/>
        </w:rPr>
        <w:t> </w:t>
      </w:r>
      <w:r>
        <w:rPr>
          <w:rFonts w:ascii="Arial" w:hAnsi="Arial"/>
          <w:color w:val="231F20"/>
          <w:w w:val="105"/>
          <w:sz w:val="14"/>
        </w:rPr>
        <w:t>de</w:t>
      </w:r>
      <w:r>
        <w:rPr>
          <w:rFonts w:ascii="Arial" w:hAnsi="Arial"/>
          <w:color w:val="231F20"/>
          <w:spacing w:val="-11"/>
          <w:w w:val="105"/>
          <w:sz w:val="14"/>
        </w:rPr>
        <w:t> </w:t>
      </w:r>
      <w:r>
        <w:rPr>
          <w:rFonts w:ascii="Arial" w:hAnsi="Arial"/>
          <w:color w:val="231F20"/>
          <w:w w:val="105"/>
          <w:sz w:val="14"/>
        </w:rPr>
        <w:t>santé</w:t>
      </w:r>
      <w:r>
        <w:rPr>
          <w:rFonts w:ascii="Arial" w:hAnsi="Arial"/>
          <w:color w:val="231F20"/>
          <w:w w:val="105"/>
          <w:sz w:val="14"/>
        </w:rPr>
        <w:t> d’un membre de la famille</w:t>
      </w:r>
    </w:p>
    <w:p>
      <w:pPr>
        <w:spacing w:before="60"/>
        <w:ind w:left="1314" w:right="0" w:firstLine="0"/>
        <w:jc w:val="left"/>
        <w:rPr>
          <w:rFonts w:ascii="Arial" w:hAnsi="Arial"/>
          <w:sz w:val="14"/>
        </w:rPr>
      </w:pPr>
      <w:r>
        <w:rPr>
          <w:rFonts w:ascii="Arial" w:hAnsi="Arial"/>
          <w:color w:val="231F20"/>
          <w:sz w:val="14"/>
        </w:rPr>
        <w:t>40</w:t>
      </w:r>
      <w:r>
        <w:rPr>
          <w:rFonts w:ascii="Arial" w:hAnsi="Arial"/>
          <w:color w:val="231F20"/>
          <w:spacing w:val="13"/>
          <w:sz w:val="14"/>
        </w:rPr>
        <w:t> </w:t>
      </w:r>
      <w:r>
        <w:rPr>
          <w:rFonts w:ascii="Wingdings" w:hAnsi="Wingdings"/>
          <w:color w:val="231F20"/>
          <w:sz w:val="14"/>
        </w:rPr>
        <w:t></w:t>
      </w:r>
      <w:r>
        <w:rPr>
          <w:color w:val="231F20"/>
          <w:spacing w:val="76"/>
          <w:sz w:val="14"/>
        </w:rPr>
        <w:t> </w:t>
      </w:r>
      <w:r>
        <w:rPr>
          <w:rFonts w:ascii="Arial" w:hAnsi="Arial"/>
          <w:color w:val="231F20"/>
          <w:spacing w:val="-2"/>
          <w:sz w:val="14"/>
        </w:rPr>
        <w:t>Grossesse</w:t>
      </w:r>
    </w:p>
    <w:p>
      <w:pPr>
        <w:spacing w:before="79"/>
        <w:ind w:left="1314" w:right="0" w:firstLine="0"/>
        <w:jc w:val="left"/>
        <w:rPr>
          <w:rFonts w:ascii="Arial" w:hAnsi="Arial"/>
          <w:sz w:val="14"/>
        </w:rPr>
      </w:pPr>
      <w:r>
        <w:rPr>
          <w:rFonts w:ascii="Arial" w:hAnsi="Arial"/>
          <w:color w:val="231F20"/>
          <w:sz w:val="14"/>
        </w:rPr>
        <w:t>39</w:t>
      </w:r>
      <w:r>
        <w:rPr>
          <w:rFonts w:ascii="Arial" w:hAnsi="Arial"/>
          <w:color w:val="231F20"/>
          <w:spacing w:val="30"/>
          <w:sz w:val="14"/>
        </w:rPr>
        <w:t> </w:t>
      </w:r>
      <w:r>
        <w:rPr>
          <w:rFonts w:ascii="Wingdings" w:hAnsi="Wingdings"/>
          <w:color w:val="231F20"/>
          <w:sz w:val="14"/>
        </w:rPr>
        <w:t></w:t>
      </w:r>
      <w:r>
        <w:rPr>
          <w:color w:val="231F20"/>
          <w:spacing w:val="70"/>
          <w:sz w:val="14"/>
        </w:rPr>
        <w:t> </w:t>
      </w:r>
      <w:r>
        <w:rPr>
          <w:rFonts w:ascii="Arial" w:hAnsi="Arial"/>
          <w:color w:val="231F20"/>
          <w:sz w:val="14"/>
        </w:rPr>
        <w:t>Difficultés </w:t>
      </w:r>
      <w:r>
        <w:rPr>
          <w:rFonts w:ascii="Arial" w:hAnsi="Arial"/>
          <w:color w:val="231F20"/>
          <w:spacing w:val="-2"/>
          <w:sz w:val="14"/>
        </w:rPr>
        <w:t>sexuelles</w:t>
      </w:r>
    </w:p>
    <w:p>
      <w:pPr>
        <w:spacing w:line="268" w:lineRule="auto" w:before="79"/>
        <w:ind w:left="1759" w:right="453" w:hanging="446"/>
        <w:jc w:val="left"/>
        <w:rPr>
          <w:rFonts w:ascii="Arial" w:hAnsi="Arial"/>
          <w:sz w:val="14"/>
        </w:rPr>
      </w:pPr>
      <w:r>
        <w:rPr>
          <w:rFonts w:ascii="Arial" w:hAnsi="Arial"/>
          <w:color w:val="231F20"/>
          <w:sz w:val="14"/>
        </w:rPr>
        <w:t>39</w:t>
      </w:r>
      <w:r>
        <w:rPr>
          <w:rFonts w:ascii="Arial" w:hAnsi="Arial"/>
          <w:color w:val="231F20"/>
          <w:spacing w:val="20"/>
          <w:sz w:val="14"/>
        </w:rPr>
        <w:t> </w:t>
      </w:r>
      <w:r>
        <w:rPr>
          <w:rFonts w:ascii="Wingdings" w:hAnsi="Wingdings"/>
          <w:color w:val="231F20"/>
          <w:sz w:val="14"/>
        </w:rPr>
        <w:t></w:t>
      </w:r>
      <w:r>
        <w:rPr>
          <w:color w:val="231F20"/>
          <w:spacing w:val="40"/>
          <w:sz w:val="14"/>
        </w:rPr>
        <w:t> </w:t>
      </w:r>
      <w:r>
        <w:rPr>
          <w:rFonts w:ascii="Arial" w:hAnsi="Arial"/>
          <w:color w:val="231F20"/>
          <w:sz w:val="14"/>
        </w:rPr>
        <w:t>Ajout</w:t>
      </w:r>
      <w:r>
        <w:rPr>
          <w:rFonts w:ascii="Arial" w:hAnsi="Arial"/>
          <w:color w:val="231F20"/>
          <w:spacing w:val="-6"/>
          <w:sz w:val="14"/>
        </w:rPr>
        <w:t> </w:t>
      </w:r>
      <w:r>
        <w:rPr>
          <w:rFonts w:ascii="Arial" w:hAnsi="Arial"/>
          <w:color w:val="231F20"/>
          <w:sz w:val="14"/>
        </w:rPr>
        <w:t>d’un</w:t>
      </w:r>
      <w:r>
        <w:rPr>
          <w:rFonts w:ascii="Arial" w:hAnsi="Arial"/>
          <w:color w:val="231F20"/>
          <w:spacing w:val="-6"/>
          <w:sz w:val="14"/>
        </w:rPr>
        <w:t> </w:t>
      </w:r>
      <w:r>
        <w:rPr>
          <w:rFonts w:ascii="Arial" w:hAnsi="Arial"/>
          <w:color w:val="231F20"/>
          <w:sz w:val="14"/>
        </w:rPr>
        <w:t>membre</w:t>
      </w:r>
      <w:r>
        <w:rPr>
          <w:rFonts w:ascii="Arial" w:hAnsi="Arial"/>
          <w:color w:val="231F20"/>
          <w:spacing w:val="-6"/>
          <w:sz w:val="14"/>
        </w:rPr>
        <w:t> </w:t>
      </w:r>
      <w:r>
        <w:rPr>
          <w:rFonts w:ascii="Arial" w:hAnsi="Arial"/>
          <w:color w:val="231F20"/>
          <w:sz w:val="14"/>
        </w:rPr>
        <w:t>dans</w:t>
      </w:r>
      <w:r>
        <w:rPr>
          <w:rFonts w:ascii="Arial" w:hAnsi="Arial"/>
          <w:color w:val="231F20"/>
          <w:spacing w:val="40"/>
          <w:sz w:val="14"/>
        </w:rPr>
        <w:t> </w:t>
      </w:r>
      <w:r>
        <w:rPr>
          <w:rFonts w:ascii="Arial" w:hAnsi="Arial"/>
          <w:color w:val="231F20"/>
          <w:sz w:val="14"/>
        </w:rPr>
        <w:t>la famille (naissance,</w:t>
      </w:r>
      <w:r>
        <w:rPr>
          <w:rFonts w:ascii="Arial" w:hAnsi="Arial"/>
          <w:color w:val="231F20"/>
          <w:spacing w:val="40"/>
          <w:sz w:val="14"/>
        </w:rPr>
        <w:t> </w:t>
      </w:r>
      <w:r>
        <w:rPr>
          <w:rFonts w:ascii="Arial" w:hAnsi="Arial"/>
          <w:color w:val="231F20"/>
          <w:sz w:val="14"/>
        </w:rPr>
        <w:t>adoption,</w:t>
      </w:r>
      <w:r>
        <w:rPr>
          <w:rFonts w:ascii="Arial" w:hAnsi="Arial"/>
          <w:color w:val="231F20"/>
          <w:spacing w:val="-10"/>
          <w:sz w:val="14"/>
        </w:rPr>
        <w:t> </w:t>
      </w:r>
      <w:r>
        <w:rPr>
          <w:rFonts w:ascii="Arial" w:hAnsi="Arial"/>
          <w:color w:val="231F20"/>
          <w:sz w:val="14"/>
        </w:rPr>
        <w:t>remariage)</w:t>
      </w:r>
    </w:p>
    <w:p>
      <w:pPr>
        <w:spacing w:line="268" w:lineRule="auto" w:before="59"/>
        <w:ind w:left="1759" w:right="0" w:hanging="446"/>
        <w:jc w:val="left"/>
        <w:rPr>
          <w:rFonts w:ascii="Arial" w:hAnsi="Arial"/>
          <w:sz w:val="14"/>
        </w:rPr>
      </w:pPr>
      <w:r>
        <w:rPr>
          <w:rFonts w:ascii="Arial" w:hAnsi="Arial"/>
          <w:color w:val="231F20"/>
          <w:sz w:val="14"/>
        </w:rPr>
        <w:t>39</w:t>
      </w:r>
      <w:r>
        <w:rPr>
          <w:rFonts w:ascii="Arial" w:hAnsi="Arial"/>
          <w:color w:val="231F20"/>
          <w:spacing w:val="13"/>
          <w:sz w:val="14"/>
        </w:rPr>
        <w:t> </w:t>
      </w:r>
      <w:r>
        <w:rPr>
          <w:rFonts w:ascii="Wingdings" w:hAnsi="Wingdings"/>
          <w:color w:val="231F20"/>
          <w:sz w:val="14"/>
        </w:rPr>
        <w:t></w:t>
      </w:r>
      <w:r>
        <w:rPr>
          <w:color w:val="231F20"/>
          <w:spacing w:val="40"/>
          <w:sz w:val="14"/>
        </w:rPr>
        <w:t> </w:t>
      </w:r>
      <w:r>
        <w:rPr>
          <w:rFonts w:ascii="Arial" w:hAnsi="Arial"/>
          <w:color w:val="231F20"/>
          <w:sz w:val="14"/>
        </w:rPr>
        <w:t>Changement</w:t>
      </w:r>
      <w:r>
        <w:rPr>
          <w:rFonts w:ascii="Arial" w:hAnsi="Arial"/>
          <w:color w:val="231F20"/>
          <w:spacing w:val="-10"/>
          <w:sz w:val="14"/>
        </w:rPr>
        <w:t> </w:t>
      </w:r>
      <w:r>
        <w:rPr>
          <w:rFonts w:ascii="Arial" w:hAnsi="Arial"/>
          <w:color w:val="231F20"/>
          <w:sz w:val="14"/>
        </w:rPr>
        <w:t>dans</w:t>
      </w:r>
      <w:r>
        <w:rPr>
          <w:rFonts w:ascii="Arial" w:hAnsi="Arial"/>
          <w:color w:val="231F20"/>
          <w:spacing w:val="-9"/>
          <w:sz w:val="14"/>
        </w:rPr>
        <w:t> </w:t>
      </w:r>
      <w:r>
        <w:rPr>
          <w:rFonts w:ascii="Arial" w:hAnsi="Arial"/>
          <w:color w:val="231F20"/>
          <w:sz w:val="14"/>
        </w:rPr>
        <w:t>la</w:t>
      </w:r>
      <w:r>
        <w:rPr>
          <w:rFonts w:ascii="Arial" w:hAnsi="Arial"/>
          <w:color w:val="231F20"/>
          <w:spacing w:val="-10"/>
          <w:sz w:val="14"/>
        </w:rPr>
        <w:t> </w:t>
      </w:r>
      <w:r>
        <w:rPr>
          <w:rFonts w:ascii="Arial" w:hAnsi="Arial"/>
          <w:color w:val="231F20"/>
          <w:sz w:val="14"/>
        </w:rPr>
        <w:t>vie</w:t>
      </w:r>
      <w:r>
        <w:rPr>
          <w:rFonts w:ascii="Arial" w:hAnsi="Arial"/>
          <w:color w:val="231F20"/>
          <w:spacing w:val="40"/>
          <w:sz w:val="14"/>
        </w:rPr>
        <w:t> </w:t>
      </w:r>
      <w:r>
        <w:rPr>
          <w:rFonts w:ascii="Arial" w:hAnsi="Arial"/>
          <w:color w:val="231F20"/>
          <w:spacing w:val="-2"/>
          <w:sz w:val="14"/>
        </w:rPr>
        <w:t>professionnelle</w:t>
      </w:r>
    </w:p>
    <w:p>
      <w:pPr>
        <w:spacing w:before="170"/>
        <w:ind w:left="381" w:right="0" w:firstLine="0"/>
        <w:jc w:val="left"/>
        <w:rPr>
          <w:rFonts w:ascii="Arial" w:hAnsi="Arial"/>
          <w:sz w:val="14"/>
        </w:rPr>
      </w:pPr>
      <w:r>
        <w:rPr/>
        <w:br w:type="column"/>
      </w:r>
      <w:r>
        <w:rPr>
          <w:rFonts w:ascii="Arial" w:hAnsi="Arial"/>
          <w:color w:val="231F20"/>
          <w:sz w:val="14"/>
        </w:rPr>
        <w:t>38</w:t>
      </w:r>
      <w:r>
        <w:rPr>
          <w:rFonts w:ascii="Arial" w:hAnsi="Arial"/>
          <w:color w:val="231F20"/>
          <w:spacing w:val="32"/>
          <w:sz w:val="14"/>
        </w:rPr>
        <w:t> </w:t>
      </w:r>
      <w:r>
        <w:rPr>
          <w:rFonts w:ascii="Wingdings" w:hAnsi="Wingdings"/>
          <w:color w:val="231F20"/>
          <w:sz w:val="14"/>
        </w:rPr>
        <w:t></w:t>
      </w:r>
      <w:r>
        <w:rPr>
          <w:color w:val="231F20"/>
          <w:spacing w:val="79"/>
          <w:sz w:val="14"/>
        </w:rPr>
        <w:t> </w:t>
      </w:r>
      <w:r>
        <w:rPr>
          <w:rFonts w:ascii="Arial" w:hAnsi="Arial"/>
          <w:color w:val="231F20"/>
          <w:sz w:val="14"/>
        </w:rPr>
        <w:t>Modification</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la</w:t>
      </w:r>
      <w:r>
        <w:rPr>
          <w:rFonts w:ascii="Arial" w:hAnsi="Arial"/>
          <w:color w:val="231F20"/>
          <w:spacing w:val="1"/>
          <w:sz w:val="14"/>
        </w:rPr>
        <w:t> </w:t>
      </w:r>
      <w:r>
        <w:rPr>
          <w:rFonts w:ascii="Arial" w:hAnsi="Arial"/>
          <w:color w:val="231F20"/>
          <w:sz w:val="14"/>
        </w:rPr>
        <w:t>situation</w:t>
      </w:r>
      <w:r>
        <w:rPr>
          <w:rFonts w:ascii="Arial" w:hAnsi="Arial"/>
          <w:color w:val="231F20"/>
          <w:spacing w:val="1"/>
          <w:sz w:val="14"/>
        </w:rPr>
        <w:t> </w:t>
      </w:r>
      <w:r>
        <w:rPr>
          <w:rFonts w:ascii="Arial" w:hAnsi="Arial"/>
          <w:color w:val="231F20"/>
          <w:spacing w:val="-2"/>
          <w:sz w:val="14"/>
        </w:rPr>
        <w:t>financière</w:t>
      </w:r>
    </w:p>
    <w:p>
      <w:pPr>
        <w:spacing w:line="357" w:lineRule="auto" w:before="79"/>
        <w:ind w:left="381" w:right="950" w:firstLine="0"/>
        <w:jc w:val="left"/>
        <w:rPr>
          <w:rFonts w:ascii="Arial" w:hAnsi="Arial"/>
          <w:sz w:val="14"/>
        </w:rPr>
      </w:pPr>
      <w:r>
        <w:rPr>
          <w:rFonts w:ascii="Arial" w:hAnsi="Arial"/>
          <w:color w:val="231F20"/>
          <w:sz w:val="14"/>
        </w:rPr>
        <w:t>37</w:t>
      </w:r>
      <w:r>
        <w:rPr>
          <w:rFonts w:ascii="Arial" w:hAnsi="Arial"/>
          <w:color w:val="231F20"/>
          <w:spacing w:val="40"/>
          <w:sz w:val="14"/>
        </w:rPr>
        <w:t> </w:t>
      </w:r>
      <w:r>
        <w:rPr>
          <w:rFonts w:ascii="Wingdings" w:hAnsi="Wingdings"/>
          <w:color w:val="231F20"/>
          <w:sz w:val="14"/>
        </w:rPr>
        <w:t></w:t>
      </w:r>
      <w:r>
        <w:rPr>
          <w:color w:val="231F20"/>
          <w:spacing w:val="80"/>
          <w:sz w:val="14"/>
        </w:rPr>
        <w:t> </w:t>
      </w:r>
      <w:r>
        <w:rPr>
          <w:rFonts w:ascii="Arial" w:hAnsi="Arial"/>
          <w:color w:val="231F20"/>
          <w:sz w:val="14"/>
        </w:rPr>
        <w:t>Mort d’un ami proche</w:t>
      </w:r>
      <w:r>
        <w:rPr>
          <w:rFonts w:ascii="Arial" w:hAnsi="Arial"/>
          <w:color w:val="231F20"/>
          <w:spacing w:val="40"/>
          <w:sz w:val="14"/>
        </w:rPr>
        <w:t> </w:t>
      </w:r>
      <w:r>
        <w:rPr>
          <w:rFonts w:ascii="Arial" w:hAnsi="Arial"/>
          <w:color w:val="231F20"/>
          <w:sz w:val="14"/>
        </w:rPr>
        <w:t>36</w:t>
      </w:r>
      <w:r>
        <w:rPr>
          <w:rFonts w:ascii="Arial" w:hAnsi="Arial"/>
          <w:color w:val="231F20"/>
          <w:spacing w:val="11"/>
          <w:sz w:val="14"/>
        </w:rPr>
        <w:t> </w:t>
      </w:r>
      <w:r>
        <w:rPr>
          <w:rFonts w:ascii="Wingdings" w:hAnsi="Wingdings"/>
          <w:color w:val="231F20"/>
          <w:sz w:val="14"/>
        </w:rPr>
        <w:t></w:t>
      </w:r>
      <w:r>
        <w:rPr>
          <w:color w:val="231F20"/>
          <w:spacing w:val="40"/>
          <w:sz w:val="14"/>
        </w:rPr>
        <w:t> </w:t>
      </w:r>
      <w:r>
        <w:rPr>
          <w:rFonts w:ascii="Arial" w:hAnsi="Arial"/>
          <w:color w:val="231F20"/>
          <w:sz w:val="14"/>
        </w:rPr>
        <w:t>Changement</w:t>
      </w:r>
      <w:r>
        <w:rPr>
          <w:rFonts w:ascii="Arial" w:hAnsi="Arial"/>
          <w:color w:val="231F20"/>
          <w:spacing w:val="-1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carrière</w:t>
      </w:r>
    </w:p>
    <w:p>
      <w:pPr>
        <w:spacing w:line="268" w:lineRule="auto" w:before="0"/>
        <w:ind w:left="826" w:right="223" w:hanging="446"/>
        <w:jc w:val="left"/>
        <w:rPr>
          <w:rFonts w:ascii="Arial" w:hAnsi="Arial"/>
          <w:sz w:val="14"/>
        </w:rPr>
      </w:pPr>
      <w:r>
        <w:rPr>
          <w:rFonts w:ascii="Arial" w:hAnsi="Arial"/>
          <w:color w:val="231F20"/>
          <w:sz w:val="14"/>
        </w:rPr>
        <w:t>35</w:t>
      </w:r>
      <w:r>
        <w:rPr>
          <w:rFonts w:ascii="Arial" w:hAnsi="Arial"/>
          <w:color w:val="231F20"/>
          <w:spacing w:val="35"/>
          <w:sz w:val="14"/>
        </w:rPr>
        <w:t> </w:t>
      </w:r>
      <w:r>
        <w:rPr>
          <w:rFonts w:ascii="Wingdings" w:hAnsi="Wingdings"/>
          <w:color w:val="231F20"/>
          <w:sz w:val="14"/>
        </w:rPr>
        <w:t></w:t>
      </w:r>
      <w:r>
        <w:rPr>
          <w:color w:val="231F20"/>
          <w:spacing w:val="40"/>
          <w:sz w:val="14"/>
        </w:rPr>
        <w:t> </w:t>
      </w:r>
      <w:r>
        <w:rPr>
          <w:rFonts w:ascii="Arial" w:hAnsi="Arial"/>
          <w:color w:val="231F20"/>
          <w:sz w:val="14"/>
        </w:rPr>
        <w:t>Modification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nombre</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disputes</w:t>
      </w:r>
      <w:r>
        <w:rPr>
          <w:rFonts w:ascii="Arial" w:hAnsi="Arial"/>
          <w:color w:val="231F20"/>
          <w:spacing w:val="40"/>
          <w:sz w:val="14"/>
        </w:rPr>
        <w:t> </w:t>
      </w:r>
      <w:r>
        <w:rPr>
          <w:rFonts w:ascii="Arial" w:hAnsi="Arial"/>
          <w:color w:val="231F20"/>
          <w:sz w:val="14"/>
        </w:rPr>
        <w:t>avec le conjoint</w:t>
      </w:r>
    </w:p>
    <w:p>
      <w:pPr>
        <w:spacing w:line="268" w:lineRule="auto" w:before="60"/>
        <w:ind w:left="826" w:right="403" w:hanging="446"/>
        <w:jc w:val="left"/>
        <w:rPr>
          <w:rFonts w:ascii="Arial" w:hAnsi="Arial"/>
          <w:sz w:val="14"/>
        </w:rPr>
      </w:pPr>
      <w:r>
        <w:rPr>
          <w:rFonts w:ascii="Arial" w:hAnsi="Arial"/>
          <w:color w:val="231F20"/>
          <w:sz w:val="14"/>
        </w:rPr>
        <w:t>31</w:t>
      </w:r>
      <w:r>
        <w:rPr>
          <w:rFonts w:ascii="Arial" w:hAnsi="Arial"/>
          <w:color w:val="231F20"/>
          <w:spacing w:val="35"/>
          <w:sz w:val="14"/>
        </w:rPr>
        <w:t> </w:t>
      </w:r>
      <w:r>
        <w:rPr>
          <w:rFonts w:ascii="Wingdings" w:hAnsi="Wingdings"/>
          <w:color w:val="231F20"/>
          <w:sz w:val="14"/>
        </w:rPr>
        <w:t></w:t>
      </w:r>
      <w:r>
        <w:rPr>
          <w:color w:val="231F20"/>
          <w:spacing w:val="40"/>
          <w:sz w:val="14"/>
        </w:rPr>
        <w:t> </w:t>
      </w:r>
      <w:r>
        <w:rPr>
          <w:rFonts w:ascii="Arial" w:hAnsi="Arial"/>
          <w:color w:val="231F20"/>
          <w:sz w:val="14"/>
        </w:rPr>
        <w:t>Hypothèque</w:t>
      </w:r>
      <w:r>
        <w:rPr>
          <w:rFonts w:ascii="Arial" w:hAnsi="Arial"/>
          <w:color w:val="231F20"/>
          <w:spacing w:val="-10"/>
          <w:sz w:val="14"/>
        </w:rPr>
        <w:t> </w:t>
      </w:r>
      <w:r>
        <w:rPr>
          <w:rFonts w:ascii="Arial" w:hAnsi="Arial"/>
          <w:color w:val="231F20"/>
          <w:sz w:val="14"/>
        </w:rPr>
        <w:t>supérieure</w:t>
      </w:r>
      <w:r>
        <w:rPr>
          <w:rFonts w:ascii="Arial" w:hAnsi="Arial"/>
          <w:color w:val="231F20"/>
          <w:spacing w:val="-10"/>
          <w:sz w:val="14"/>
        </w:rPr>
        <w:t> </w:t>
      </w:r>
      <w:r>
        <w:rPr>
          <w:rFonts w:ascii="Arial" w:hAnsi="Arial"/>
          <w:color w:val="231F20"/>
          <w:sz w:val="14"/>
        </w:rPr>
        <w:t>à</w:t>
      </w:r>
      <w:r>
        <w:rPr>
          <w:rFonts w:ascii="Arial" w:hAnsi="Arial"/>
          <w:color w:val="231F20"/>
          <w:spacing w:val="-10"/>
          <w:sz w:val="14"/>
        </w:rPr>
        <w:t> </w:t>
      </w:r>
      <w:r>
        <w:rPr>
          <w:rFonts w:ascii="Arial" w:hAnsi="Arial"/>
          <w:color w:val="231F20"/>
          <w:sz w:val="14"/>
        </w:rPr>
        <w:t>un</w:t>
      </w:r>
      <w:r>
        <w:rPr>
          <w:rFonts w:ascii="Arial" w:hAnsi="Arial"/>
          <w:color w:val="231F20"/>
          <w:spacing w:val="-9"/>
          <w:sz w:val="14"/>
        </w:rPr>
        <w:t> </w:t>
      </w:r>
      <w:r>
        <w:rPr>
          <w:rFonts w:ascii="Arial" w:hAnsi="Arial"/>
          <w:color w:val="231F20"/>
          <w:sz w:val="14"/>
        </w:rPr>
        <w:t>an</w:t>
      </w:r>
      <w:r>
        <w:rPr>
          <w:rFonts w:ascii="Arial" w:hAnsi="Arial"/>
          <w:color w:val="231F20"/>
          <w:spacing w:val="40"/>
          <w:sz w:val="14"/>
        </w:rPr>
        <w:t> </w:t>
      </w:r>
      <w:r>
        <w:rPr>
          <w:rFonts w:ascii="Arial" w:hAnsi="Arial"/>
          <w:color w:val="231F20"/>
          <w:sz w:val="14"/>
        </w:rPr>
        <w:t>de salaire (maison, etc.)</w:t>
      </w:r>
    </w:p>
    <w:p>
      <w:pPr>
        <w:spacing w:before="59"/>
        <w:ind w:left="381" w:right="0" w:firstLine="0"/>
        <w:jc w:val="left"/>
        <w:rPr>
          <w:rFonts w:ascii="Arial" w:hAnsi="Arial"/>
          <w:sz w:val="14"/>
        </w:rPr>
      </w:pPr>
      <w:r>
        <w:rPr>
          <w:rFonts w:ascii="Arial" w:hAnsi="Arial"/>
          <w:color w:val="231F20"/>
          <w:sz w:val="14"/>
        </w:rPr>
        <w:t>30</w:t>
      </w:r>
      <w:r>
        <w:rPr>
          <w:rFonts w:ascii="Arial" w:hAnsi="Arial"/>
          <w:color w:val="231F20"/>
          <w:spacing w:val="15"/>
          <w:sz w:val="14"/>
        </w:rPr>
        <w:t> </w:t>
      </w:r>
      <w:r>
        <w:rPr>
          <w:rFonts w:ascii="Wingdings" w:hAnsi="Wingdings"/>
          <w:color w:val="231F20"/>
          <w:sz w:val="14"/>
        </w:rPr>
        <w:t></w:t>
      </w:r>
      <w:r>
        <w:rPr>
          <w:color w:val="231F20"/>
          <w:spacing w:val="62"/>
          <w:sz w:val="14"/>
        </w:rPr>
        <w:t> </w:t>
      </w:r>
      <w:r>
        <w:rPr>
          <w:rFonts w:ascii="Arial" w:hAnsi="Arial"/>
          <w:color w:val="231F20"/>
          <w:sz w:val="14"/>
        </w:rPr>
        <w:t>Saisie</w:t>
      </w:r>
      <w:r>
        <w:rPr>
          <w:rFonts w:ascii="Arial" w:hAnsi="Arial"/>
          <w:color w:val="231F20"/>
          <w:spacing w:val="-3"/>
          <w:sz w:val="14"/>
        </w:rPr>
        <w:t> </w:t>
      </w:r>
      <w:r>
        <w:rPr>
          <w:rFonts w:ascii="Arial" w:hAnsi="Arial"/>
          <w:color w:val="231F20"/>
          <w:sz w:val="14"/>
        </w:rPr>
        <w:t>d’hypothèque</w:t>
      </w:r>
      <w:r>
        <w:rPr>
          <w:rFonts w:ascii="Arial" w:hAnsi="Arial"/>
          <w:color w:val="231F20"/>
          <w:spacing w:val="-4"/>
          <w:sz w:val="14"/>
        </w:rPr>
        <w:t> </w:t>
      </w:r>
      <w:r>
        <w:rPr>
          <w:rFonts w:ascii="Arial" w:hAnsi="Arial"/>
          <w:color w:val="231F20"/>
          <w:sz w:val="14"/>
        </w:rPr>
        <w:t>ou</w:t>
      </w:r>
      <w:r>
        <w:rPr>
          <w:rFonts w:ascii="Arial" w:hAnsi="Arial"/>
          <w:color w:val="231F20"/>
          <w:spacing w:val="-3"/>
          <w:sz w:val="14"/>
        </w:rPr>
        <w:t> </w:t>
      </w:r>
      <w:r>
        <w:rPr>
          <w:rFonts w:ascii="Arial" w:hAnsi="Arial"/>
          <w:color w:val="231F20"/>
          <w:sz w:val="14"/>
        </w:rPr>
        <w:t>de</w:t>
      </w:r>
      <w:r>
        <w:rPr>
          <w:rFonts w:ascii="Arial" w:hAnsi="Arial"/>
          <w:color w:val="231F20"/>
          <w:spacing w:val="-4"/>
          <w:sz w:val="14"/>
        </w:rPr>
        <w:t> prêt</w:t>
      </w:r>
    </w:p>
    <w:p>
      <w:pPr>
        <w:spacing w:line="268" w:lineRule="auto" w:before="79"/>
        <w:ind w:left="826" w:right="0" w:hanging="446"/>
        <w:jc w:val="left"/>
        <w:rPr>
          <w:rFonts w:ascii="Arial" w:hAnsi="Arial"/>
          <w:sz w:val="14"/>
        </w:rPr>
      </w:pPr>
      <w:r>
        <w:rPr>
          <w:rFonts w:ascii="Arial" w:hAnsi="Arial"/>
          <w:color w:val="231F20"/>
          <w:sz w:val="14"/>
        </w:rPr>
        <w:t>29</w:t>
      </w:r>
      <w:r>
        <w:rPr>
          <w:rFonts w:ascii="Arial" w:hAnsi="Arial"/>
          <w:color w:val="231F20"/>
          <w:spacing w:val="18"/>
          <w:sz w:val="14"/>
        </w:rPr>
        <w:t> </w:t>
      </w:r>
      <w:r>
        <w:rPr>
          <w:rFonts w:ascii="Wingdings" w:hAnsi="Wingdings"/>
          <w:color w:val="231F20"/>
          <w:sz w:val="14"/>
        </w:rPr>
        <w:t></w:t>
      </w:r>
      <w:r>
        <w:rPr>
          <w:color w:val="231F20"/>
          <w:spacing w:val="40"/>
          <w:sz w:val="14"/>
        </w:rPr>
        <w:t> </w:t>
      </w:r>
      <w:r>
        <w:rPr>
          <w:rFonts w:ascii="Arial" w:hAnsi="Arial"/>
          <w:color w:val="231F20"/>
          <w:sz w:val="14"/>
        </w:rPr>
        <w:t>Modification</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ses</w:t>
      </w:r>
      <w:r>
        <w:rPr>
          <w:rFonts w:ascii="Arial" w:hAnsi="Arial"/>
          <w:color w:val="231F20"/>
          <w:spacing w:val="-5"/>
          <w:sz w:val="14"/>
        </w:rPr>
        <w:t> </w:t>
      </w:r>
      <w:r>
        <w:rPr>
          <w:rFonts w:ascii="Arial" w:hAnsi="Arial"/>
          <w:color w:val="231F20"/>
          <w:sz w:val="14"/>
        </w:rPr>
        <w:t>responsabilités</w:t>
      </w:r>
      <w:r>
        <w:rPr>
          <w:rFonts w:ascii="Arial" w:hAnsi="Arial"/>
          <w:color w:val="231F20"/>
          <w:spacing w:val="40"/>
          <w:sz w:val="14"/>
        </w:rPr>
        <w:t> </w:t>
      </w:r>
      <w:r>
        <w:rPr>
          <w:rFonts w:ascii="Arial" w:hAnsi="Arial"/>
          <w:color w:val="231F20"/>
          <w:spacing w:val="-2"/>
          <w:sz w:val="14"/>
        </w:rPr>
        <w:t>professionnelles</w:t>
      </w:r>
    </w:p>
    <w:p>
      <w:pPr>
        <w:spacing w:before="60"/>
        <w:ind w:left="381" w:right="0" w:firstLine="0"/>
        <w:jc w:val="left"/>
        <w:rPr>
          <w:rFonts w:ascii="Arial" w:hAnsi="Arial"/>
          <w:sz w:val="14"/>
        </w:rPr>
      </w:pPr>
      <w:r>
        <w:rPr>
          <w:rFonts w:ascii="Arial" w:hAnsi="Arial"/>
          <w:color w:val="231F20"/>
          <w:sz w:val="14"/>
        </w:rPr>
        <w:t>29</w:t>
      </w:r>
      <w:r>
        <w:rPr>
          <w:rFonts w:ascii="Arial" w:hAnsi="Arial"/>
          <w:color w:val="231F20"/>
          <w:spacing w:val="19"/>
          <w:sz w:val="14"/>
        </w:rPr>
        <w:t> </w:t>
      </w:r>
      <w:r>
        <w:rPr>
          <w:rFonts w:ascii="Wingdings" w:hAnsi="Wingdings"/>
          <w:color w:val="231F20"/>
          <w:sz w:val="14"/>
        </w:rPr>
        <w:t></w:t>
      </w:r>
      <w:r>
        <w:rPr>
          <w:color w:val="231F20"/>
          <w:spacing w:val="60"/>
          <w:sz w:val="14"/>
        </w:rPr>
        <w:t> </w:t>
      </w:r>
      <w:r>
        <w:rPr>
          <w:rFonts w:ascii="Arial" w:hAnsi="Arial"/>
          <w:color w:val="231F20"/>
          <w:sz w:val="14"/>
        </w:rPr>
        <w:t>Départ</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l’un</w:t>
      </w:r>
      <w:r>
        <w:rPr>
          <w:rFonts w:ascii="Arial" w:hAnsi="Arial"/>
          <w:color w:val="231F20"/>
          <w:spacing w:val="-4"/>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ses</w:t>
      </w:r>
      <w:r>
        <w:rPr>
          <w:rFonts w:ascii="Arial" w:hAnsi="Arial"/>
          <w:color w:val="231F20"/>
          <w:spacing w:val="-5"/>
          <w:sz w:val="14"/>
        </w:rPr>
        <w:t> </w:t>
      </w:r>
      <w:r>
        <w:rPr>
          <w:rFonts w:ascii="Arial" w:hAnsi="Arial"/>
          <w:color w:val="231F20"/>
          <w:spacing w:val="-2"/>
          <w:sz w:val="14"/>
        </w:rPr>
        <w:t>enfants</w:t>
      </w:r>
    </w:p>
    <w:p>
      <w:pPr>
        <w:spacing w:line="357" w:lineRule="auto" w:before="79"/>
        <w:ind w:left="381" w:right="223" w:firstLine="0"/>
        <w:jc w:val="left"/>
        <w:rPr>
          <w:rFonts w:ascii="Arial" w:hAnsi="Arial"/>
          <w:sz w:val="14"/>
        </w:rPr>
      </w:pPr>
      <w:r>
        <w:rPr>
          <w:rFonts w:ascii="Arial" w:hAnsi="Arial"/>
          <w:color w:val="231F20"/>
          <w:sz w:val="14"/>
        </w:rPr>
        <w:t>29</w:t>
      </w:r>
      <w:r>
        <w:rPr>
          <w:rFonts w:ascii="Arial" w:hAnsi="Arial"/>
          <w:color w:val="231F20"/>
          <w:spacing w:val="10"/>
          <w:sz w:val="14"/>
        </w:rPr>
        <w:t> </w:t>
      </w:r>
      <w:r>
        <w:rPr>
          <w:rFonts w:ascii="Wingdings" w:hAnsi="Wingdings"/>
          <w:color w:val="231F20"/>
          <w:sz w:val="14"/>
        </w:rPr>
        <w:t></w:t>
      </w:r>
      <w:r>
        <w:rPr>
          <w:color w:val="231F20"/>
          <w:spacing w:val="40"/>
          <w:sz w:val="14"/>
        </w:rPr>
        <w:t> </w:t>
      </w:r>
      <w:r>
        <w:rPr>
          <w:rFonts w:ascii="Arial" w:hAnsi="Arial"/>
          <w:color w:val="231F20"/>
          <w:sz w:val="14"/>
        </w:rPr>
        <w:t>Problèmes</w:t>
      </w:r>
      <w:r>
        <w:rPr>
          <w:rFonts w:ascii="Arial" w:hAnsi="Arial"/>
          <w:color w:val="231F20"/>
          <w:spacing w:val="-10"/>
          <w:sz w:val="14"/>
        </w:rPr>
        <w:t> </w:t>
      </w:r>
      <w:r>
        <w:rPr>
          <w:rFonts w:ascii="Arial" w:hAnsi="Arial"/>
          <w:color w:val="231F20"/>
          <w:sz w:val="14"/>
        </w:rPr>
        <w:t>avec</w:t>
      </w:r>
      <w:r>
        <w:rPr>
          <w:rFonts w:ascii="Arial" w:hAnsi="Arial"/>
          <w:color w:val="231F20"/>
          <w:spacing w:val="-10"/>
          <w:sz w:val="14"/>
        </w:rPr>
        <w:t> </w:t>
      </w:r>
      <w:r>
        <w:rPr>
          <w:rFonts w:ascii="Arial" w:hAnsi="Arial"/>
          <w:color w:val="231F20"/>
          <w:sz w:val="14"/>
        </w:rPr>
        <w:t>les</w:t>
      </w:r>
      <w:r>
        <w:rPr>
          <w:rFonts w:ascii="Arial" w:hAnsi="Arial"/>
          <w:color w:val="231F20"/>
          <w:spacing w:val="-9"/>
          <w:sz w:val="14"/>
        </w:rPr>
        <w:t> </w:t>
      </w:r>
      <w:r>
        <w:rPr>
          <w:rFonts w:ascii="Arial" w:hAnsi="Arial"/>
          <w:color w:val="231F20"/>
          <w:sz w:val="14"/>
        </w:rPr>
        <w:t>beaux-parents</w:t>
      </w:r>
      <w:r>
        <w:rPr>
          <w:rFonts w:ascii="Arial" w:hAnsi="Arial"/>
          <w:color w:val="231F20"/>
          <w:spacing w:val="40"/>
          <w:sz w:val="14"/>
        </w:rPr>
        <w:t> </w:t>
      </w:r>
      <w:r>
        <w:rPr>
          <w:rFonts w:ascii="Arial" w:hAnsi="Arial"/>
          <w:color w:val="231F20"/>
          <w:sz w:val="14"/>
        </w:rPr>
        <w:t>28</w:t>
      </w:r>
      <w:r>
        <w:rPr>
          <w:rFonts w:ascii="Arial" w:hAnsi="Arial"/>
          <w:color w:val="231F20"/>
          <w:spacing w:val="40"/>
          <w:sz w:val="14"/>
        </w:rPr>
        <w:t> </w:t>
      </w:r>
      <w:r>
        <w:rPr>
          <w:rFonts w:ascii="Wingdings" w:hAnsi="Wingdings"/>
          <w:color w:val="231F20"/>
          <w:sz w:val="14"/>
        </w:rPr>
        <w:t></w:t>
      </w:r>
      <w:r>
        <w:rPr>
          <w:color w:val="231F20"/>
          <w:spacing w:val="40"/>
          <w:sz w:val="14"/>
        </w:rPr>
        <w:t> </w:t>
      </w:r>
      <w:r>
        <w:rPr>
          <w:rFonts w:ascii="Arial" w:hAnsi="Arial"/>
          <w:color w:val="231F20"/>
          <w:sz w:val="14"/>
        </w:rPr>
        <w:t>Succès personnel éclatant</w:t>
      </w:r>
    </w:p>
    <w:p>
      <w:pPr>
        <w:spacing w:line="357" w:lineRule="auto" w:before="0"/>
        <w:ind w:left="381" w:right="70" w:firstLine="0"/>
        <w:jc w:val="left"/>
        <w:rPr>
          <w:rFonts w:ascii="Arial" w:hAnsi="Arial"/>
          <w:sz w:val="14"/>
        </w:rPr>
      </w:pPr>
      <w:r>
        <w:rPr>
          <w:rFonts w:ascii="Arial" w:hAnsi="Arial"/>
          <w:color w:val="231F20"/>
          <w:sz w:val="14"/>
        </w:rPr>
        <w:t>26</w:t>
      </w:r>
      <w:r>
        <w:rPr>
          <w:rFonts w:ascii="Arial" w:hAnsi="Arial"/>
          <w:color w:val="231F20"/>
          <w:spacing w:val="14"/>
          <w:sz w:val="14"/>
        </w:rPr>
        <w:t> </w:t>
      </w:r>
      <w:r>
        <w:rPr>
          <w:rFonts w:ascii="Wingdings" w:hAnsi="Wingdings"/>
          <w:color w:val="231F20"/>
          <w:sz w:val="14"/>
        </w:rPr>
        <w:t></w:t>
      </w:r>
      <w:r>
        <w:rPr>
          <w:color w:val="231F20"/>
          <w:spacing w:val="40"/>
          <w:sz w:val="14"/>
        </w:rPr>
        <w:t> </w:t>
      </w:r>
      <w:r>
        <w:rPr>
          <w:rFonts w:ascii="Arial" w:hAnsi="Arial"/>
          <w:color w:val="231F20"/>
          <w:sz w:val="14"/>
        </w:rPr>
        <w:t>Première</w:t>
      </w:r>
      <w:r>
        <w:rPr>
          <w:rFonts w:ascii="Arial" w:hAnsi="Arial"/>
          <w:color w:val="231F20"/>
          <w:spacing w:val="-9"/>
          <w:sz w:val="14"/>
        </w:rPr>
        <w:t> </w:t>
      </w:r>
      <w:r>
        <w:rPr>
          <w:rFonts w:ascii="Arial" w:hAnsi="Arial"/>
          <w:color w:val="231F20"/>
          <w:sz w:val="14"/>
        </w:rPr>
        <w:t>ou</w:t>
      </w:r>
      <w:r>
        <w:rPr>
          <w:rFonts w:ascii="Arial" w:hAnsi="Arial"/>
          <w:color w:val="231F20"/>
          <w:spacing w:val="-9"/>
          <w:sz w:val="14"/>
        </w:rPr>
        <w:t> </w:t>
      </w:r>
      <w:r>
        <w:rPr>
          <w:rFonts w:ascii="Arial" w:hAnsi="Arial"/>
          <w:color w:val="231F20"/>
          <w:sz w:val="14"/>
        </w:rPr>
        <w:t>dernière</w:t>
      </w:r>
      <w:r>
        <w:rPr>
          <w:rFonts w:ascii="Arial" w:hAnsi="Arial"/>
          <w:color w:val="231F20"/>
          <w:spacing w:val="-9"/>
          <w:sz w:val="14"/>
        </w:rPr>
        <w:t> </w:t>
      </w:r>
      <w:r>
        <w:rPr>
          <w:rFonts w:ascii="Arial" w:hAnsi="Arial"/>
          <w:color w:val="231F20"/>
          <w:sz w:val="14"/>
        </w:rPr>
        <w:t>année</w:t>
      </w:r>
      <w:r>
        <w:rPr>
          <w:rFonts w:ascii="Arial" w:hAnsi="Arial"/>
          <w:color w:val="231F20"/>
          <w:spacing w:val="-9"/>
          <w:sz w:val="14"/>
        </w:rPr>
        <w:t> </w:t>
      </w:r>
      <w:r>
        <w:rPr>
          <w:rFonts w:ascii="Arial" w:hAnsi="Arial"/>
          <w:color w:val="231F20"/>
          <w:sz w:val="14"/>
        </w:rPr>
        <w:t>d’études</w:t>
      </w:r>
      <w:r>
        <w:rPr>
          <w:rFonts w:ascii="Arial" w:hAnsi="Arial"/>
          <w:color w:val="231F20"/>
          <w:spacing w:val="40"/>
          <w:sz w:val="14"/>
        </w:rPr>
        <w:t> </w:t>
      </w:r>
      <w:r>
        <w:rPr>
          <w:rFonts w:ascii="Arial" w:hAnsi="Arial"/>
          <w:color w:val="231F20"/>
          <w:sz w:val="14"/>
        </w:rPr>
        <w:t>26</w:t>
      </w:r>
      <w:r>
        <w:rPr>
          <w:rFonts w:ascii="Arial" w:hAnsi="Arial"/>
          <w:color w:val="231F20"/>
          <w:spacing w:val="40"/>
          <w:sz w:val="14"/>
        </w:rPr>
        <w:t> </w:t>
      </w:r>
      <w:r>
        <w:rPr>
          <w:rFonts w:ascii="Wingdings" w:hAnsi="Wingdings"/>
          <w:color w:val="231F20"/>
          <w:sz w:val="14"/>
        </w:rPr>
        <w:t></w:t>
      </w:r>
      <w:r>
        <w:rPr>
          <w:color w:val="231F20"/>
          <w:spacing w:val="40"/>
          <w:sz w:val="14"/>
        </w:rPr>
        <w:t> </w:t>
      </w:r>
      <w:r>
        <w:rPr>
          <w:rFonts w:ascii="Arial" w:hAnsi="Arial"/>
          <w:color w:val="231F20"/>
          <w:sz w:val="14"/>
        </w:rPr>
        <w:t>Début ou fin d’emploi du conjoint</w:t>
      </w:r>
    </w:p>
    <w:p>
      <w:pPr>
        <w:spacing w:line="268" w:lineRule="auto" w:before="0"/>
        <w:ind w:left="826" w:right="0" w:hanging="446"/>
        <w:jc w:val="left"/>
        <w:rPr>
          <w:rFonts w:ascii="Arial" w:hAnsi="Arial"/>
          <w:sz w:val="14"/>
        </w:rPr>
      </w:pPr>
      <w:r>
        <w:rPr>
          <w:rFonts w:ascii="Arial" w:hAnsi="Arial"/>
          <w:color w:val="231F20"/>
          <w:sz w:val="14"/>
        </w:rPr>
        <w:t>25</w:t>
      </w:r>
      <w:r>
        <w:rPr>
          <w:rFonts w:ascii="Arial" w:hAnsi="Arial"/>
          <w:color w:val="231F20"/>
          <w:spacing w:val="30"/>
          <w:sz w:val="14"/>
        </w:rPr>
        <w:t> </w:t>
      </w:r>
      <w:r>
        <w:rPr>
          <w:rFonts w:ascii="Wingdings" w:hAnsi="Wingdings"/>
          <w:color w:val="231F20"/>
          <w:sz w:val="14"/>
        </w:rPr>
        <w:t></w:t>
      </w:r>
      <w:r>
        <w:rPr>
          <w:color w:val="231F20"/>
          <w:spacing w:val="40"/>
          <w:sz w:val="14"/>
        </w:rPr>
        <w:t> </w:t>
      </w:r>
      <w:r>
        <w:rPr>
          <w:rFonts w:ascii="Arial" w:hAnsi="Arial"/>
          <w:color w:val="231F20"/>
          <w:sz w:val="14"/>
        </w:rPr>
        <w:t>Modification</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ses</w:t>
      </w:r>
      <w:r>
        <w:rPr>
          <w:rFonts w:ascii="Arial" w:hAnsi="Arial"/>
          <w:color w:val="231F20"/>
          <w:spacing w:val="-5"/>
          <w:sz w:val="14"/>
        </w:rPr>
        <w:t> </w:t>
      </w:r>
      <w:r>
        <w:rPr>
          <w:rFonts w:ascii="Arial" w:hAnsi="Arial"/>
          <w:color w:val="231F20"/>
          <w:sz w:val="14"/>
        </w:rPr>
        <w:t>conditions</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vie</w:t>
      </w:r>
      <w:r>
        <w:rPr>
          <w:rFonts w:ascii="Arial" w:hAnsi="Arial"/>
          <w:color w:val="231F20"/>
          <w:spacing w:val="40"/>
          <w:sz w:val="14"/>
        </w:rPr>
        <w:t> </w:t>
      </w:r>
      <w:r>
        <w:rPr>
          <w:rFonts w:ascii="Arial" w:hAnsi="Arial"/>
          <w:color w:val="231F20"/>
          <w:sz w:val="14"/>
        </w:rPr>
        <w:t>(reconstruction,</w:t>
      </w:r>
      <w:r>
        <w:rPr>
          <w:rFonts w:ascii="Arial" w:hAnsi="Arial"/>
          <w:color w:val="231F20"/>
          <w:spacing w:val="-10"/>
          <w:sz w:val="14"/>
        </w:rPr>
        <w:t> </w:t>
      </w:r>
      <w:r>
        <w:rPr>
          <w:rFonts w:ascii="Arial" w:hAnsi="Arial"/>
          <w:color w:val="231F20"/>
          <w:sz w:val="14"/>
        </w:rPr>
        <w:t>rénovations)</w:t>
      </w:r>
    </w:p>
    <w:p>
      <w:pPr>
        <w:spacing w:line="268" w:lineRule="auto" w:before="59"/>
        <w:ind w:left="826" w:right="0" w:hanging="446"/>
        <w:jc w:val="left"/>
        <w:rPr>
          <w:rFonts w:ascii="Arial" w:hAnsi="Arial"/>
          <w:sz w:val="14"/>
        </w:rPr>
      </w:pPr>
      <w:r>
        <w:rPr>
          <w:rFonts w:ascii="Arial" w:hAnsi="Arial"/>
          <w:color w:val="231F20"/>
          <w:sz w:val="14"/>
        </w:rPr>
        <w:t>24</w:t>
      </w:r>
      <w:r>
        <w:rPr>
          <w:rFonts w:ascii="Arial" w:hAnsi="Arial"/>
          <w:color w:val="231F20"/>
          <w:spacing w:val="2"/>
          <w:sz w:val="14"/>
        </w:rPr>
        <w:t> </w:t>
      </w:r>
      <w:r>
        <w:rPr>
          <w:rFonts w:ascii="Wingdings" w:hAnsi="Wingdings"/>
          <w:color w:val="231F20"/>
          <w:sz w:val="14"/>
        </w:rPr>
        <w:t></w:t>
      </w:r>
      <w:r>
        <w:rPr>
          <w:color w:val="231F20"/>
          <w:spacing w:val="30"/>
          <w:sz w:val="14"/>
        </w:rPr>
        <w:t> </w:t>
      </w:r>
      <w:r>
        <w:rPr>
          <w:rFonts w:ascii="Arial" w:hAnsi="Arial"/>
          <w:color w:val="231F20"/>
          <w:sz w:val="14"/>
        </w:rPr>
        <w:t>Changements</w:t>
      </w:r>
      <w:r>
        <w:rPr>
          <w:rFonts w:ascii="Arial" w:hAnsi="Arial"/>
          <w:color w:val="231F20"/>
          <w:spacing w:val="-10"/>
          <w:sz w:val="14"/>
        </w:rPr>
        <w:t> </w:t>
      </w:r>
      <w:r>
        <w:rPr>
          <w:rFonts w:ascii="Arial" w:hAnsi="Arial"/>
          <w:color w:val="231F20"/>
          <w:sz w:val="14"/>
        </w:rPr>
        <w:t>dans</w:t>
      </w:r>
      <w:r>
        <w:rPr>
          <w:rFonts w:ascii="Arial" w:hAnsi="Arial"/>
          <w:color w:val="231F20"/>
          <w:spacing w:val="-9"/>
          <w:sz w:val="14"/>
        </w:rPr>
        <w:t> </w:t>
      </w:r>
      <w:r>
        <w:rPr>
          <w:rFonts w:ascii="Arial" w:hAnsi="Arial"/>
          <w:color w:val="231F20"/>
          <w:sz w:val="14"/>
        </w:rPr>
        <w:t>ses</w:t>
      </w:r>
      <w:r>
        <w:rPr>
          <w:rFonts w:ascii="Arial" w:hAnsi="Arial"/>
          <w:color w:val="231F20"/>
          <w:spacing w:val="-10"/>
          <w:sz w:val="14"/>
        </w:rPr>
        <w:t> </w:t>
      </w:r>
      <w:r>
        <w:rPr>
          <w:rFonts w:ascii="Arial" w:hAnsi="Arial"/>
          <w:color w:val="231F20"/>
          <w:sz w:val="14"/>
        </w:rPr>
        <w:t>habitudes</w:t>
      </w:r>
      <w:r>
        <w:rPr>
          <w:rFonts w:ascii="Arial" w:hAnsi="Arial"/>
          <w:color w:val="231F20"/>
          <w:spacing w:val="40"/>
          <w:sz w:val="14"/>
        </w:rPr>
        <w:t> </w:t>
      </w:r>
      <w:r>
        <w:rPr>
          <w:rFonts w:ascii="Arial" w:hAnsi="Arial"/>
          <w:color w:val="231F20"/>
          <w:spacing w:val="-2"/>
          <w:sz w:val="14"/>
        </w:rPr>
        <w:t>personnelles</w:t>
      </w:r>
    </w:p>
    <w:p>
      <w:pPr>
        <w:spacing w:before="60"/>
        <w:ind w:left="381" w:right="0" w:firstLine="0"/>
        <w:jc w:val="left"/>
        <w:rPr>
          <w:rFonts w:ascii="Arial" w:hAnsi="Arial"/>
          <w:sz w:val="14"/>
        </w:rPr>
      </w:pPr>
      <w:r>
        <w:rPr>
          <w:rFonts w:ascii="Arial" w:hAnsi="Arial"/>
          <w:color w:val="231F20"/>
          <w:sz w:val="14"/>
        </w:rPr>
        <w:t>23</w:t>
      </w:r>
      <w:r>
        <w:rPr>
          <w:rFonts w:ascii="Arial" w:hAnsi="Arial"/>
          <w:color w:val="231F20"/>
          <w:spacing w:val="29"/>
          <w:sz w:val="14"/>
        </w:rPr>
        <w:t> </w:t>
      </w:r>
      <w:r>
        <w:rPr>
          <w:rFonts w:ascii="Wingdings" w:hAnsi="Wingdings"/>
          <w:color w:val="231F20"/>
          <w:sz w:val="14"/>
        </w:rPr>
        <w:t></w:t>
      </w:r>
      <w:r>
        <w:rPr>
          <w:color w:val="231F20"/>
          <w:spacing w:val="56"/>
          <w:sz w:val="14"/>
        </w:rPr>
        <w:t> </w:t>
      </w:r>
      <w:r>
        <w:rPr>
          <w:rFonts w:ascii="Arial" w:hAnsi="Arial"/>
          <w:color w:val="231F20"/>
          <w:sz w:val="14"/>
        </w:rPr>
        <w:t>Difficultés</w:t>
      </w:r>
      <w:r>
        <w:rPr>
          <w:rFonts w:ascii="Arial" w:hAnsi="Arial"/>
          <w:color w:val="231F20"/>
          <w:spacing w:val="-5"/>
          <w:sz w:val="14"/>
        </w:rPr>
        <w:t> </w:t>
      </w:r>
      <w:r>
        <w:rPr>
          <w:rFonts w:ascii="Arial" w:hAnsi="Arial"/>
          <w:color w:val="231F20"/>
          <w:sz w:val="14"/>
        </w:rPr>
        <w:t>avec</w:t>
      </w:r>
      <w:r>
        <w:rPr>
          <w:rFonts w:ascii="Arial" w:hAnsi="Arial"/>
          <w:color w:val="231F20"/>
          <w:spacing w:val="-6"/>
          <w:sz w:val="14"/>
        </w:rPr>
        <w:t> </w:t>
      </w:r>
      <w:r>
        <w:rPr>
          <w:rFonts w:ascii="Arial" w:hAnsi="Arial"/>
          <w:color w:val="231F20"/>
          <w:sz w:val="14"/>
        </w:rPr>
        <w:t>son</w:t>
      </w:r>
      <w:r>
        <w:rPr>
          <w:rFonts w:ascii="Arial" w:hAnsi="Arial"/>
          <w:color w:val="231F20"/>
          <w:spacing w:val="-5"/>
          <w:sz w:val="14"/>
        </w:rPr>
        <w:t> </w:t>
      </w:r>
      <w:r>
        <w:rPr>
          <w:rFonts w:ascii="Arial" w:hAnsi="Arial"/>
          <w:color w:val="231F20"/>
          <w:spacing w:val="-2"/>
          <w:sz w:val="14"/>
        </w:rPr>
        <w:t>patron/supérieur</w:t>
      </w:r>
    </w:p>
    <w:p>
      <w:pPr>
        <w:pStyle w:val="BodyText"/>
        <w:spacing w:before="6"/>
        <w:rPr>
          <w:rFonts w:ascii="Arial"/>
          <w:sz w:val="20"/>
        </w:rPr>
      </w:pPr>
    </w:p>
    <w:p>
      <w:pPr>
        <w:spacing w:before="1"/>
        <w:ind w:left="0" w:right="107" w:firstLine="0"/>
        <w:jc w:val="right"/>
        <w:rPr>
          <w:rFonts w:ascii="Arial"/>
          <w:sz w:val="16"/>
        </w:rPr>
      </w:pPr>
      <w:r>
        <w:rPr>
          <w:rFonts w:ascii="Arial"/>
          <w:color w:val="231F20"/>
          <w:spacing w:val="-2"/>
          <w:w w:val="105"/>
          <w:sz w:val="16"/>
        </w:rPr>
        <w:t>(</w:t>
      </w:r>
      <w:r>
        <w:rPr>
          <w:rFonts w:ascii="Arial"/>
          <w:i/>
          <w:color w:val="231F20"/>
          <w:spacing w:val="-2"/>
          <w:w w:val="105"/>
          <w:sz w:val="16"/>
        </w:rPr>
        <w:t>suite</w:t>
      </w:r>
      <w:r>
        <w:rPr>
          <w:rFonts w:ascii="Arial"/>
          <w:color w:val="231F20"/>
          <w:spacing w:val="-2"/>
          <w:w w:val="105"/>
          <w:sz w:val="16"/>
        </w:rPr>
        <w:t>)</w:t>
      </w:r>
    </w:p>
    <w:p>
      <w:pPr>
        <w:spacing w:after="0"/>
        <w:jc w:val="right"/>
        <w:rPr>
          <w:rFonts w:ascii="Arial"/>
          <w:sz w:val="16"/>
        </w:rPr>
        <w:sectPr>
          <w:type w:val="continuous"/>
          <w:pgSz w:w="8640" w:h="12960"/>
          <w:pgMar w:header="0" w:footer="424" w:top="1220" w:bottom="280" w:left="420" w:right="1140"/>
          <w:cols w:num="2" w:equalWidth="0">
            <w:col w:w="3769" w:space="40"/>
            <w:col w:w="3271"/>
          </w:cols>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1"/>
        </w:rPr>
      </w:pPr>
    </w:p>
    <w:tbl>
      <w:tblPr>
        <w:tblW w:w="0" w:type="auto"/>
        <w:jc w:val="left"/>
        <w:tblInd w:w="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
        <w:gridCol w:w="2228"/>
        <w:gridCol w:w="646"/>
        <w:gridCol w:w="2382"/>
      </w:tblGrid>
      <w:tr>
        <w:trPr>
          <w:trHeight w:val="399" w:hRule="atLeast"/>
        </w:trPr>
        <w:tc>
          <w:tcPr>
            <w:tcW w:w="492" w:type="dxa"/>
          </w:tcPr>
          <w:p>
            <w:pPr>
              <w:pStyle w:val="TableParagraph"/>
              <w:spacing w:before="32"/>
              <w:ind w:left="77" w:right="30"/>
              <w:jc w:val="center"/>
              <w:rPr>
                <w:rFonts w:ascii="Wingdings" w:hAnsi="Wingdings"/>
                <w:sz w:val="14"/>
              </w:rPr>
            </w:pPr>
            <w:r>
              <w:rPr>
                <w:color w:val="231F20"/>
                <w:w w:val="105"/>
                <w:sz w:val="14"/>
              </w:rPr>
              <w:t>20</w:t>
            </w:r>
            <w:r>
              <w:rPr>
                <w:color w:val="231F20"/>
                <w:spacing w:val="19"/>
                <w:w w:val="105"/>
                <w:sz w:val="14"/>
              </w:rPr>
              <w:t> </w:t>
            </w:r>
            <w:r>
              <w:rPr>
                <w:rFonts w:ascii="Wingdings" w:hAnsi="Wingdings"/>
                <w:color w:val="231F20"/>
                <w:spacing w:val="-10"/>
                <w:w w:val="105"/>
                <w:sz w:val="14"/>
              </w:rPr>
              <w:t></w:t>
            </w:r>
          </w:p>
        </w:tc>
        <w:tc>
          <w:tcPr>
            <w:tcW w:w="2228" w:type="dxa"/>
          </w:tcPr>
          <w:p>
            <w:pPr>
              <w:pStyle w:val="TableParagraph"/>
              <w:spacing w:line="180" w:lineRule="atLeast" w:before="13"/>
              <w:ind w:left="47" w:right="442"/>
              <w:rPr>
                <w:sz w:val="14"/>
              </w:rPr>
            </w:pPr>
            <w:r>
              <w:rPr>
                <w:color w:val="231F20"/>
                <w:sz w:val="14"/>
              </w:rPr>
              <w:t>Modification</w:t>
            </w:r>
            <w:r>
              <w:rPr>
                <w:color w:val="231F20"/>
                <w:spacing w:val="-8"/>
                <w:sz w:val="14"/>
              </w:rPr>
              <w:t> </w:t>
            </w:r>
            <w:r>
              <w:rPr>
                <w:color w:val="231F20"/>
                <w:sz w:val="14"/>
              </w:rPr>
              <w:t>des</w:t>
            </w:r>
            <w:r>
              <w:rPr>
                <w:color w:val="231F20"/>
                <w:spacing w:val="-8"/>
                <w:sz w:val="14"/>
              </w:rPr>
              <w:t> </w:t>
            </w:r>
            <w:r>
              <w:rPr>
                <w:color w:val="231F20"/>
                <w:sz w:val="14"/>
              </w:rPr>
              <w:t>heures</w:t>
            </w:r>
            <w:r>
              <w:rPr>
                <w:color w:val="231F20"/>
                <w:spacing w:val="-8"/>
                <w:sz w:val="14"/>
              </w:rPr>
              <w:t> </w:t>
            </w:r>
            <w:r>
              <w:rPr>
                <w:color w:val="231F20"/>
                <w:sz w:val="14"/>
              </w:rPr>
              <w:t>et</w:t>
            </w:r>
            <w:r>
              <w:rPr>
                <w:color w:val="231F20"/>
                <w:w w:val="105"/>
                <w:sz w:val="14"/>
              </w:rPr>
              <w:t> des conditions de travail</w:t>
            </w:r>
          </w:p>
        </w:tc>
        <w:tc>
          <w:tcPr>
            <w:tcW w:w="646" w:type="dxa"/>
          </w:tcPr>
          <w:p>
            <w:pPr>
              <w:pStyle w:val="TableParagraph"/>
              <w:spacing w:before="32"/>
              <w:ind w:right="44"/>
              <w:jc w:val="right"/>
              <w:rPr>
                <w:rFonts w:ascii="Wingdings" w:hAnsi="Wingdings"/>
                <w:sz w:val="14"/>
              </w:rPr>
            </w:pPr>
            <w:r>
              <w:rPr>
                <w:color w:val="231F20"/>
                <w:sz w:val="14"/>
              </w:rPr>
              <w:t>16</w:t>
            </w:r>
            <w:r>
              <w:rPr>
                <w:color w:val="231F20"/>
                <w:spacing w:val="28"/>
                <w:sz w:val="14"/>
              </w:rPr>
              <w:t> </w:t>
            </w:r>
            <w:r>
              <w:rPr>
                <w:rFonts w:ascii="Wingdings" w:hAnsi="Wingdings"/>
                <w:color w:val="231F20"/>
                <w:spacing w:val="-12"/>
                <w:sz w:val="14"/>
              </w:rPr>
              <w:t></w:t>
            </w:r>
          </w:p>
        </w:tc>
        <w:tc>
          <w:tcPr>
            <w:tcW w:w="2382" w:type="dxa"/>
          </w:tcPr>
          <w:p>
            <w:pPr>
              <w:pStyle w:val="TableParagraph"/>
              <w:spacing w:line="180" w:lineRule="atLeast" w:before="13"/>
              <w:ind w:left="49" w:right="555"/>
              <w:rPr>
                <w:sz w:val="14"/>
              </w:rPr>
            </w:pPr>
            <w:r>
              <w:rPr>
                <w:color w:val="231F20"/>
                <w:sz w:val="14"/>
              </w:rPr>
              <w:t>Modification</w:t>
            </w:r>
            <w:r>
              <w:rPr>
                <w:color w:val="231F20"/>
                <w:spacing w:val="-8"/>
                <w:sz w:val="14"/>
              </w:rPr>
              <w:t> </w:t>
            </w:r>
            <w:r>
              <w:rPr>
                <w:color w:val="231F20"/>
                <w:sz w:val="14"/>
              </w:rPr>
              <w:t>des</w:t>
            </w:r>
            <w:r>
              <w:rPr>
                <w:color w:val="231F20"/>
                <w:spacing w:val="-8"/>
                <w:sz w:val="14"/>
              </w:rPr>
              <w:t> </w:t>
            </w:r>
            <w:r>
              <w:rPr>
                <w:color w:val="231F20"/>
                <w:sz w:val="14"/>
              </w:rPr>
              <w:t>habitudes</w:t>
            </w:r>
            <w:r>
              <w:rPr>
                <w:color w:val="231F20"/>
                <w:spacing w:val="40"/>
                <w:sz w:val="14"/>
              </w:rPr>
              <w:t> </w:t>
            </w:r>
            <w:r>
              <w:rPr>
                <w:color w:val="231F20"/>
                <w:sz w:val="14"/>
              </w:rPr>
              <w:t>de</w:t>
            </w:r>
            <w:r>
              <w:rPr>
                <w:color w:val="231F20"/>
                <w:spacing w:val="-10"/>
                <w:sz w:val="14"/>
              </w:rPr>
              <w:t> </w:t>
            </w:r>
            <w:r>
              <w:rPr>
                <w:color w:val="231F20"/>
                <w:sz w:val="14"/>
              </w:rPr>
              <w:t>sommeil</w:t>
            </w:r>
          </w:p>
        </w:tc>
      </w:tr>
      <w:tr>
        <w:trPr>
          <w:trHeight w:val="239" w:hRule="atLeast"/>
        </w:trPr>
        <w:tc>
          <w:tcPr>
            <w:tcW w:w="492" w:type="dxa"/>
          </w:tcPr>
          <w:p>
            <w:pPr>
              <w:pStyle w:val="TableParagraph"/>
              <w:spacing w:before="53"/>
              <w:ind w:left="77" w:right="30"/>
              <w:jc w:val="center"/>
              <w:rPr>
                <w:rFonts w:ascii="Wingdings" w:hAnsi="Wingdings"/>
                <w:sz w:val="14"/>
              </w:rPr>
            </w:pPr>
            <w:r>
              <w:rPr>
                <w:color w:val="231F20"/>
                <w:w w:val="105"/>
                <w:sz w:val="14"/>
              </w:rPr>
              <w:t>20</w:t>
            </w:r>
            <w:r>
              <w:rPr>
                <w:color w:val="231F20"/>
                <w:spacing w:val="19"/>
                <w:w w:val="105"/>
                <w:sz w:val="14"/>
              </w:rPr>
              <w:t> </w:t>
            </w:r>
            <w:r>
              <w:rPr>
                <w:rFonts w:ascii="Wingdings" w:hAnsi="Wingdings"/>
                <w:color w:val="231F20"/>
                <w:spacing w:val="-10"/>
                <w:w w:val="105"/>
                <w:sz w:val="14"/>
              </w:rPr>
              <w:t></w:t>
            </w:r>
          </w:p>
        </w:tc>
        <w:tc>
          <w:tcPr>
            <w:tcW w:w="2228" w:type="dxa"/>
          </w:tcPr>
          <w:p>
            <w:pPr>
              <w:pStyle w:val="TableParagraph"/>
              <w:spacing w:before="53"/>
              <w:ind w:left="47"/>
              <w:rPr>
                <w:sz w:val="14"/>
              </w:rPr>
            </w:pPr>
            <w:r>
              <w:rPr>
                <w:color w:val="231F20"/>
                <w:sz w:val="14"/>
              </w:rPr>
              <w:t>Changement</w:t>
            </w:r>
            <w:r>
              <w:rPr>
                <w:color w:val="231F20"/>
                <w:spacing w:val="-9"/>
                <w:sz w:val="14"/>
              </w:rPr>
              <w:t> </w:t>
            </w:r>
            <w:r>
              <w:rPr>
                <w:color w:val="231F20"/>
                <w:sz w:val="14"/>
              </w:rPr>
              <w:t>de</w:t>
            </w:r>
            <w:r>
              <w:rPr>
                <w:color w:val="231F20"/>
                <w:spacing w:val="-9"/>
                <w:sz w:val="14"/>
              </w:rPr>
              <w:t> </w:t>
            </w:r>
            <w:r>
              <w:rPr>
                <w:color w:val="231F20"/>
                <w:spacing w:val="-2"/>
                <w:sz w:val="14"/>
              </w:rPr>
              <w:t>domicile</w:t>
            </w:r>
          </w:p>
        </w:tc>
        <w:tc>
          <w:tcPr>
            <w:tcW w:w="646" w:type="dxa"/>
          </w:tcPr>
          <w:p>
            <w:pPr>
              <w:pStyle w:val="TableParagraph"/>
              <w:spacing w:before="53"/>
              <w:ind w:right="44"/>
              <w:jc w:val="right"/>
              <w:rPr>
                <w:rFonts w:ascii="Wingdings" w:hAnsi="Wingdings"/>
                <w:sz w:val="14"/>
              </w:rPr>
            </w:pPr>
            <w:r>
              <w:rPr>
                <w:color w:val="231F20"/>
                <w:sz w:val="14"/>
              </w:rPr>
              <w:t>15</w:t>
            </w:r>
            <w:r>
              <w:rPr>
                <w:color w:val="231F20"/>
                <w:spacing w:val="28"/>
                <w:sz w:val="14"/>
              </w:rPr>
              <w:t> </w:t>
            </w:r>
            <w:r>
              <w:rPr>
                <w:rFonts w:ascii="Wingdings" w:hAnsi="Wingdings"/>
                <w:color w:val="231F20"/>
                <w:spacing w:val="-10"/>
                <w:sz w:val="14"/>
              </w:rPr>
              <w:t></w:t>
            </w:r>
          </w:p>
        </w:tc>
        <w:tc>
          <w:tcPr>
            <w:tcW w:w="2382" w:type="dxa"/>
          </w:tcPr>
          <w:p>
            <w:pPr>
              <w:pStyle w:val="TableParagraph"/>
              <w:spacing w:before="53"/>
              <w:ind w:left="49"/>
              <w:rPr>
                <w:sz w:val="14"/>
              </w:rPr>
            </w:pPr>
            <w:r>
              <w:rPr>
                <w:color w:val="231F20"/>
                <w:w w:val="95"/>
                <w:sz w:val="14"/>
              </w:rPr>
              <w:t>Voyage</w:t>
            </w:r>
            <w:r>
              <w:rPr>
                <w:color w:val="231F20"/>
                <w:spacing w:val="1"/>
                <w:sz w:val="14"/>
              </w:rPr>
              <w:t> </w:t>
            </w:r>
            <w:r>
              <w:rPr>
                <w:color w:val="231F20"/>
                <w:w w:val="95"/>
                <w:sz w:val="14"/>
              </w:rPr>
              <w:t>ou</w:t>
            </w:r>
            <w:r>
              <w:rPr>
                <w:color w:val="231F20"/>
                <w:spacing w:val="1"/>
                <w:sz w:val="14"/>
              </w:rPr>
              <w:t> </w:t>
            </w:r>
            <w:r>
              <w:rPr>
                <w:color w:val="231F20"/>
                <w:spacing w:val="-2"/>
                <w:w w:val="95"/>
                <w:sz w:val="14"/>
              </w:rPr>
              <w:t>vacances</w:t>
            </w:r>
          </w:p>
        </w:tc>
      </w:tr>
      <w:tr>
        <w:trPr>
          <w:trHeight w:val="239" w:hRule="atLeast"/>
        </w:trPr>
        <w:tc>
          <w:tcPr>
            <w:tcW w:w="492" w:type="dxa"/>
          </w:tcPr>
          <w:p>
            <w:pPr>
              <w:pStyle w:val="TableParagraph"/>
              <w:spacing w:before="53"/>
              <w:ind w:left="77" w:right="30"/>
              <w:jc w:val="center"/>
              <w:rPr>
                <w:rFonts w:ascii="Wingdings" w:hAnsi="Wingdings"/>
                <w:sz w:val="14"/>
              </w:rPr>
            </w:pPr>
            <w:r>
              <w:rPr>
                <w:color w:val="231F20"/>
                <w:w w:val="105"/>
                <w:sz w:val="14"/>
              </w:rPr>
              <w:t>20</w:t>
            </w:r>
            <w:r>
              <w:rPr>
                <w:color w:val="231F20"/>
                <w:spacing w:val="19"/>
                <w:w w:val="105"/>
                <w:sz w:val="14"/>
              </w:rPr>
              <w:t> </w:t>
            </w:r>
            <w:r>
              <w:rPr>
                <w:rFonts w:ascii="Wingdings" w:hAnsi="Wingdings"/>
                <w:color w:val="231F20"/>
                <w:spacing w:val="-10"/>
                <w:w w:val="105"/>
                <w:sz w:val="14"/>
              </w:rPr>
              <w:t></w:t>
            </w:r>
          </w:p>
        </w:tc>
        <w:tc>
          <w:tcPr>
            <w:tcW w:w="2228" w:type="dxa"/>
          </w:tcPr>
          <w:p>
            <w:pPr>
              <w:pStyle w:val="TableParagraph"/>
              <w:spacing w:before="53"/>
              <w:ind w:left="47"/>
              <w:rPr>
                <w:sz w:val="14"/>
              </w:rPr>
            </w:pPr>
            <w:r>
              <w:rPr>
                <w:color w:val="231F20"/>
                <w:w w:val="95"/>
                <w:sz w:val="14"/>
              </w:rPr>
              <w:t>Changement</w:t>
            </w:r>
            <w:r>
              <w:rPr>
                <w:color w:val="231F20"/>
                <w:spacing w:val="28"/>
                <w:sz w:val="14"/>
              </w:rPr>
              <w:t> </w:t>
            </w:r>
            <w:r>
              <w:rPr>
                <w:color w:val="231F20"/>
                <w:spacing w:val="-2"/>
                <w:sz w:val="14"/>
              </w:rPr>
              <w:t>d’école</w:t>
            </w:r>
          </w:p>
        </w:tc>
        <w:tc>
          <w:tcPr>
            <w:tcW w:w="646" w:type="dxa"/>
          </w:tcPr>
          <w:p>
            <w:pPr>
              <w:pStyle w:val="TableParagraph"/>
              <w:spacing w:before="53"/>
              <w:ind w:right="44"/>
              <w:jc w:val="right"/>
              <w:rPr>
                <w:rFonts w:ascii="Wingdings" w:hAnsi="Wingdings"/>
                <w:sz w:val="14"/>
              </w:rPr>
            </w:pPr>
            <w:r>
              <w:rPr>
                <w:color w:val="231F20"/>
                <w:sz w:val="14"/>
              </w:rPr>
              <w:t>15</w:t>
            </w:r>
            <w:r>
              <w:rPr>
                <w:color w:val="231F20"/>
                <w:spacing w:val="28"/>
                <w:sz w:val="14"/>
              </w:rPr>
              <w:t> </w:t>
            </w:r>
            <w:r>
              <w:rPr>
                <w:rFonts w:ascii="Wingdings" w:hAnsi="Wingdings"/>
                <w:color w:val="231F20"/>
                <w:spacing w:val="-10"/>
                <w:sz w:val="14"/>
              </w:rPr>
              <w:t></w:t>
            </w:r>
          </w:p>
        </w:tc>
        <w:tc>
          <w:tcPr>
            <w:tcW w:w="2382" w:type="dxa"/>
          </w:tcPr>
          <w:p>
            <w:pPr>
              <w:pStyle w:val="TableParagraph"/>
              <w:spacing w:before="53"/>
              <w:ind w:left="49"/>
              <w:rPr>
                <w:sz w:val="14"/>
              </w:rPr>
            </w:pPr>
            <w:r>
              <w:rPr>
                <w:color w:val="231F20"/>
                <w:sz w:val="14"/>
              </w:rPr>
              <w:t>Modification</w:t>
            </w:r>
            <w:r>
              <w:rPr>
                <w:color w:val="231F20"/>
                <w:spacing w:val="10"/>
                <w:sz w:val="14"/>
              </w:rPr>
              <w:t> </w:t>
            </w:r>
            <w:r>
              <w:rPr>
                <w:color w:val="231F20"/>
                <w:sz w:val="14"/>
              </w:rPr>
              <w:t>du</w:t>
            </w:r>
            <w:r>
              <w:rPr>
                <w:color w:val="231F20"/>
                <w:spacing w:val="13"/>
                <w:sz w:val="14"/>
              </w:rPr>
              <w:t> </w:t>
            </w:r>
            <w:r>
              <w:rPr>
                <w:color w:val="231F20"/>
                <w:spacing w:val="-2"/>
                <w:sz w:val="14"/>
              </w:rPr>
              <w:t>nombre</w:t>
            </w:r>
          </w:p>
        </w:tc>
      </w:tr>
      <w:tr>
        <w:trPr>
          <w:trHeight w:val="420" w:hRule="atLeast"/>
        </w:trPr>
        <w:tc>
          <w:tcPr>
            <w:tcW w:w="492" w:type="dxa"/>
          </w:tcPr>
          <w:p>
            <w:pPr>
              <w:pStyle w:val="TableParagraph"/>
              <w:spacing w:before="53"/>
              <w:ind w:left="94"/>
              <w:rPr>
                <w:rFonts w:ascii="Wingdings" w:hAnsi="Wingdings"/>
                <w:sz w:val="14"/>
              </w:rPr>
            </w:pPr>
            <w:r>
              <w:rPr>
                <w:color w:val="231F20"/>
                <w:sz w:val="14"/>
              </w:rPr>
              <w:t>19</w:t>
            </w:r>
            <w:r>
              <w:rPr>
                <w:color w:val="231F20"/>
                <w:spacing w:val="28"/>
                <w:sz w:val="14"/>
              </w:rPr>
              <w:t> </w:t>
            </w:r>
            <w:r>
              <w:rPr>
                <w:rFonts w:ascii="Wingdings" w:hAnsi="Wingdings"/>
                <w:color w:val="231F20"/>
                <w:spacing w:val="-12"/>
                <w:sz w:val="14"/>
              </w:rPr>
              <w:t></w:t>
            </w:r>
          </w:p>
        </w:tc>
        <w:tc>
          <w:tcPr>
            <w:tcW w:w="2228" w:type="dxa"/>
          </w:tcPr>
          <w:p>
            <w:pPr>
              <w:pStyle w:val="TableParagraph"/>
              <w:spacing w:line="180" w:lineRule="atLeast" w:before="34"/>
              <w:ind w:left="47" w:right="442"/>
              <w:rPr>
                <w:sz w:val="14"/>
              </w:rPr>
            </w:pPr>
            <w:r>
              <w:rPr>
                <w:color w:val="231F20"/>
                <w:sz w:val="14"/>
              </w:rPr>
              <w:t>Changement</w:t>
            </w:r>
            <w:r>
              <w:rPr>
                <w:color w:val="231F20"/>
                <w:spacing w:val="-10"/>
                <w:sz w:val="14"/>
              </w:rPr>
              <w:t> </w:t>
            </w:r>
            <w:r>
              <w:rPr>
                <w:color w:val="231F20"/>
                <w:sz w:val="14"/>
              </w:rPr>
              <w:t>du</w:t>
            </w:r>
            <w:r>
              <w:rPr>
                <w:color w:val="231F20"/>
                <w:spacing w:val="-10"/>
                <w:sz w:val="14"/>
              </w:rPr>
              <w:t> </w:t>
            </w:r>
            <w:r>
              <w:rPr>
                <w:color w:val="231F20"/>
                <w:sz w:val="14"/>
              </w:rPr>
              <w:t>type</w:t>
            </w:r>
            <w:r>
              <w:rPr>
                <w:color w:val="231F20"/>
                <w:spacing w:val="-9"/>
                <w:sz w:val="14"/>
              </w:rPr>
              <w:t> </w:t>
            </w:r>
            <w:r>
              <w:rPr>
                <w:color w:val="231F20"/>
                <w:sz w:val="14"/>
              </w:rPr>
              <w:t>ou</w:t>
            </w:r>
            <w:r>
              <w:rPr>
                <w:color w:val="231F20"/>
                <w:spacing w:val="-10"/>
                <w:sz w:val="14"/>
              </w:rPr>
              <w:t> </w:t>
            </w:r>
            <w:r>
              <w:rPr>
                <w:color w:val="231F20"/>
                <w:sz w:val="14"/>
              </w:rPr>
              <w:t>de</w:t>
            </w:r>
            <w:r>
              <w:rPr>
                <w:color w:val="231F20"/>
                <w:spacing w:val="40"/>
                <w:sz w:val="14"/>
              </w:rPr>
              <w:t> </w:t>
            </w:r>
            <w:r>
              <w:rPr>
                <w:color w:val="231F20"/>
                <w:sz w:val="14"/>
              </w:rPr>
              <w:t>la quantité de loisirs</w:t>
            </w:r>
          </w:p>
        </w:tc>
        <w:tc>
          <w:tcPr>
            <w:tcW w:w="646" w:type="dxa"/>
          </w:tcPr>
          <w:p>
            <w:pPr>
              <w:pStyle w:val="TableParagraph"/>
              <w:spacing w:before="3"/>
              <w:rPr>
                <w:sz w:val="20"/>
              </w:rPr>
            </w:pPr>
          </w:p>
          <w:p>
            <w:pPr>
              <w:pStyle w:val="TableParagraph"/>
              <w:ind w:right="44"/>
              <w:jc w:val="right"/>
              <w:rPr>
                <w:rFonts w:ascii="Wingdings" w:hAnsi="Wingdings"/>
                <w:sz w:val="14"/>
              </w:rPr>
            </w:pPr>
            <w:r>
              <w:rPr>
                <w:color w:val="231F20"/>
                <w:sz w:val="14"/>
              </w:rPr>
              <w:t>15</w:t>
            </w:r>
            <w:r>
              <w:rPr>
                <w:color w:val="231F20"/>
                <w:spacing w:val="28"/>
                <w:sz w:val="14"/>
              </w:rPr>
              <w:t> </w:t>
            </w:r>
            <w:r>
              <w:rPr>
                <w:rFonts w:ascii="Wingdings" w:hAnsi="Wingdings"/>
                <w:color w:val="231F20"/>
                <w:spacing w:val="-10"/>
                <w:sz w:val="14"/>
              </w:rPr>
              <w:t></w:t>
            </w:r>
          </w:p>
        </w:tc>
        <w:tc>
          <w:tcPr>
            <w:tcW w:w="2382" w:type="dxa"/>
          </w:tcPr>
          <w:p>
            <w:pPr>
              <w:pStyle w:val="TableParagraph"/>
              <w:spacing w:line="154" w:lineRule="exact"/>
              <w:ind w:left="49"/>
              <w:rPr>
                <w:sz w:val="14"/>
              </w:rPr>
            </w:pPr>
            <w:r>
              <w:rPr>
                <w:color w:val="231F20"/>
                <w:sz w:val="14"/>
              </w:rPr>
              <w:t>de</w:t>
            </w:r>
            <w:r>
              <w:rPr>
                <w:color w:val="231F20"/>
                <w:spacing w:val="-5"/>
                <w:sz w:val="14"/>
              </w:rPr>
              <w:t> </w:t>
            </w:r>
            <w:r>
              <w:rPr>
                <w:color w:val="231F20"/>
                <w:sz w:val="14"/>
              </w:rPr>
              <w:t>réunions</w:t>
            </w:r>
            <w:r>
              <w:rPr>
                <w:color w:val="231F20"/>
                <w:spacing w:val="-5"/>
                <w:sz w:val="14"/>
              </w:rPr>
              <w:t> </w:t>
            </w:r>
            <w:r>
              <w:rPr>
                <w:color w:val="231F20"/>
                <w:spacing w:val="-2"/>
                <w:sz w:val="14"/>
              </w:rPr>
              <w:t>familiales</w:t>
            </w:r>
          </w:p>
          <w:p>
            <w:pPr>
              <w:pStyle w:val="TableParagraph"/>
              <w:spacing w:before="79"/>
              <w:ind w:left="49"/>
              <w:rPr>
                <w:sz w:val="14"/>
              </w:rPr>
            </w:pPr>
            <w:r>
              <w:rPr>
                <w:color w:val="231F20"/>
                <w:sz w:val="14"/>
              </w:rPr>
              <w:t>Modification</w:t>
            </w:r>
            <w:r>
              <w:rPr>
                <w:color w:val="231F20"/>
                <w:spacing w:val="6"/>
                <w:sz w:val="14"/>
              </w:rPr>
              <w:t> </w:t>
            </w:r>
            <w:r>
              <w:rPr>
                <w:color w:val="231F20"/>
                <w:sz w:val="14"/>
              </w:rPr>
              <w:t>des</w:t>
            </w:r>
            <w:r>
              <w:rPr>
                <w:color w:val="231F20"/>
                <w:spacing w:val="6"/>
                <w:sz w:val="14"/>
              </w:rPr>
              <w:t> </w:t>
            </w:r>
            <w:r>
              <w:rPr>
                <w:color w:val="231F20"/>
                <w:spacing w:val="-2"/>
                <w:sz w:val="14"/>
              </w:rPr>
              <w:t>habitudes</w:t>
            </w:r>
          </w:p>
        </w:tc>
      </w:tr>
      <w:tr>
        <w:trPr>
          <w:trHeight w:val="419" w:hRule="atLeast"/>
        </w:trPr>
        <w:tc>
          <w:tcPr>
            <w:tcW w:w="492" w:type="dxa"/>
          </w:tcPr>
          <w:p>
            <w:pPr>
              <w:pStyle w:val="TableParagraph"/>
              <w:spacing w:before="53"/>
              <w:ind w:left="94"/>
              <w:rPr>
                <w:rFonts w:ascii="Wingdings" w:hAnsi="Wingdings"/>
                <w:sz w:val="14"/>
              </w:rPr>
            </w:pPr>
            <w:r>
              <w:rPr>
                <w:color w:val="231F20"/>
                <w:sz w:val="14"/>
              </w:rPr>
              <w:t>19</w:t>
            </w:r>
            <w:r>
              <w:rPr>
                <w:color w:val="231F20"/>
                <w:spacing w:val="28"/>
                <w:sz w:val="14"/>
              </w:rPr>
              <w:t> </w:t>
            </w:r>
            <w:r>
              <w:rPr>
                <w:rFonts w:ascii="Wingdings" w:hAnsi="Wingdings"/>
                <w:color w:val="231F20"/>
                <w:spacing w:val="-12"/>
                <w:sz w:val="14"/>
              </w:rPr>
              <w:t></w:t>
            </w:r>
          </w:p>
        </w:tc>
        <w:tc>
          <w:tcPr>
            <w:tcW w:w="2228" w:type="dxa"/>
          </w:tcPr>
          <w:p>
            <w:pPr>
              <w:pStyle w:val="TableParagraph"/>
              <w:spacing w:line="180" w:lineRule="atLeast" w:before="34"/>
              <w:ind w:left="47" w:right="442"/>
              <w:rPr>
                <w:sz w:val="14"/>
              </w:rPr>
            </w:pPr>
            <w:r>
              <w:rPr>
                <w:color w:val="231F20"/>
                <w:sz w:val="14"/>
              </w:rPr>
              <w:t>Modification</w:t>
            </w:r>
            <w:r>
              <w:rPr>
                <w:color w:val="231F20"/>
                <w:spacing w:val="-2"/>
                <w:sz w:val="14"/>
              </w:rPr>
              <w:t> </w:t>
            </w:r>
            <w:r>
              <w:rPr>
                <w:color w:val="231F20"/>
                <w:sz w:val="14"/>
              </w:rPr>
              <w:t>des</w:t>
            </w:r>
            <w:r>
              <w:rPr>
                <w:color w:val="231F20"/>
                <w:spacing w:val="-2"/>
                <w:sz w:val="14"/>
              </w:rPr>
              <w:t> </w:t>
            </w:r>
            <w:r>
              <w:rPr>
                <w:color w:val="231F20"/>
                <w:sz w:val="14"/>
              </w:rPr>
              <w:t>activités</w:t>
            </w:r>
            <w:r>
              <w:rPr>
                <w:color w:val="231F20"/>
                <w:w w:val="105"/>
                <w:sz w:val="14"/>
              </w:rPr>
              <w:t> </w:t>
            </w:r>
            <w:r>
              <w:rPr>
                <w:color w:val="231F20"/>
                <w:spacing w:val="-2"/>
                <w:w w:val="105"/>
                <w:sz w:val="14"/>
              </w:rPr>
              <w:t>religieuses/spirituelles</w:t>
            </w:r>
          </w:p>
        </w:tc>
        <w:tc>
          <w:tcPr>
            <w:tcW w:w="646" w:type="dxa"/>
          </w:tcPr>
          <w:p>
            <w:pPr>
              <w:pStyle w:val="TableParagraph"/>
              <w:spacing w:before="3"/>
              <w:rPr>
                <w:sz w:val="20"/>
              </w:rPr>
            </w:pPr>
          </w:p>
          <w:p>
            <w:pPr>
              <w:pStyle w:val="TableParagraph"/>
              <w:ind w:right="44"/>
              <w:jc w:val="right"/>
              <w:rPr>
                <w:rFonts w:ascii="Wingdings" w:hAnsi="Wingdings"/>
                <w:sz w:val="14"/>
              </w:rPr>
            </w:pPr>
            <w:r>
              <w:rPr>
                <w:color w:val="231F20"/>
                <w:sz w:val="14"/>
              </w:rPr>
              <w:t>12</w:t>
            </w:r>
            <w:r>
              <w:rPr>
                <w:color w:val="231F20"/>
                <w:spacing w:val="28"/>
                <w:sz w:val="14"/>
              </w:rPr>
              <w:t> </w:t>
            </w:r>
            <w:r>
              <w:rPr>
                <w:rFonts w:ascii="Wingdings" w:hAnsi="Wingdings"/>
                <w:color w:val="231F20"/>
                <w:spacing w:val="-10"/>
                <w:sz w:val="14"/>
              </w:rPr>
              <w:t></w:t>
            </w:r>
          </w:p>
        </w:tc>
        <w:tc>
          <w:tcPr>
            <w:tcW w:w="2382" w:type="dxa"/>
          </w:tcPr>
          <w:p>
            <w:pPr>
              <w:pStyle w:val="TableParagraph"/>
              <w:spacing w:line="154" w:lineRule="exact"/>
              <w:ind w:left="49"/>
              <w:rPr>
                <w:sz w:val="14"/>
              </w:rPr>
            </w:pPr>
            <w:r>
              <w:rPr>
                <w:color w:val="231F20"/>
                <w:spacing w:val="-2"/>
                <w:sz w:val="14"/>
              </w:rPr>
              <w:t>alimentaires</w:t>
            </w:r>
          </w:p>
          <w:p>
            <w:pPr>
              <w:pStyle w:val="TableParagraph"/>
              <w:spacing w:before="79"/>
              <w:ind w:left="49"/>
              <w:rPr>
                <w:sz w:val="14"/>
              </w:rPr>
            </w:pPr>
            <w:r>
              <w:rPr>
                <w:color w:val="231F20"/>
                <w:spacing w:val="-4"/>
                <w:sz w:val="14"/>
              </w:rPr>
              <w:t>Noël</w:t>
            </w:r>
          </w:p>
        </w:tc>
      </w:tr>
      <w:tr>
        <w:trPr>
          <w:trHeight w:val="420" w:hRule="atLeast"/>
        </w:trPr>
        <w:tc>
          <w:tcPr>
            <w:tcW w:w="492" w:type="dxa"/>
          </w:tcPr>
          <w:p>
            <w:pPr>
              <w:pStyle w:val="TableParagraph"/>
              <w:spacing w:before="53"/>
              <w:ind w:left="94"/>
              <w:rPr>
                <w:rFonts w:ascii="Wingdings" w:hAnsi="Wingdings"/>
                <w:sz w:val="14"/>
              </w:rPr>
            </w:pPr>
            <w:r>
              <w:rPr>
                <w:color w:val="231F20"/>
                <w:sz w:val="14"/>
              </w:rPr>
              <w:t>18</w:t>
            </w:r>
            <w:r>
              <w:rPr>
                <w:color w:val="231F20"/>
                <w:spacing w:val="29"/>
                <w:sz w:val="14"/>
              </w:rPr>
              <w:t> </w:t>
            </w:r>
            <w:r>
              <w:rPr>
                <w:rFonts w:ascii="Wingdings" w:hAnsi="Wingdings"/>
                <w:color w:val="231F20"/>
                <w:spacing w:val="-10"/>
                <w:sz w:val="14"/>
              </w:rPr>
              <w:t></w:t>
            </w:r>
          </w:p>
        </w:tc>
        <w:tc>
          <w:tcPr>
            <w:tcW w:w="2228" w:type="dxa"/>
          </w:tcPr>
          <w:p>
            <w:pPr>
              <w:pStyle w:val="TableParagraph"/>
              <w:spacing w:line="180" w:lineRule="atLeast" w:before="34"/>
              <w:ind w:left="47" w:right="442"/>
              <w:rPr>
                <w:sz w:val="14"/>
              </w:rPr>
            </w:pPr>
            <w:r>
              <w:rPr>
                <w:color w:val="231F20"/>
                <w:sz w:val="14"/>
              </w:rPr>
              <w:t>Modification</w:t>
            </w:r>
            <w:r>
              <w:rPr>
                <w:color w:val="231F20"/>
                <w:spacing w:val="-2"/>
                <w:sz w:val="14"/>
              </w:rPr>
              <w:t> </w:t>
            </w:r>
            <w:r>
              <w:rPr>
                <w:color w:val="231F20"/>
                <w:sz w:val="14"/>
              </w:rPr>
              <w:t>des</w:t>
            </w:r>
            <w:r>
              <w:rPr>
                <w:color w:val="231F20"/>
                <w:spacing w:val="-2"/>
                <w:sz w:val="14"/>
              </w:rPr>
              <w:t> </w:t>
            </w:r>
            <w:r>
              <w:rPr>
                <w:color w:val="231F20"/>
                <w:sz w:val="14"/>
              </w:rPr>
              <w:t>activités</w:t>
            </w:r>
            <w:r>
              <w:rPr>
                <w:color w:val="231F20"/>
                <w:spacing w:val="40"/>
                <w:sz w:val="14"/>
              </w:rPr>
              <w:t> </w:t>
            </w:r>
            <w:r>
              <w:rPr>
                <w:color w:val="231F20"/>
                <w:spacing w:val="-2"/>
                <w:sz w:val="14"/>
              </w:rPr>
              <w:t>sociales</w:t>
            </w:r>
          </w:p>
        </w:tc>
        <w:tc>
          <w:tcPr>
            <w:tcW w:w="646" w:type="dxa"/>
          </w:tcPr>
          <w:p>
            <w:pPr>
              <w:pStyle w:val="TableParagraph"/>
              <w:spacing w:before="53"/>
              <w:ind w:right="44"/>
              <w:jc w:val="right"/>
              <w:rPr>
                <w:rFonts w:ascii="Wingdings" w:hAnsi="Wingdings"/>
                <w:sz w:val="14"/>
              </w:rPr>
            </w:pPr>
            <w:r>
              <w:rPr>
                <w:color w:val="231F20"/>
                <w:w w:val="95"/>
                <w:sz w:val="14"/>
              </w:rPr>
              <w:t>11</w:t>
            </w:r>
            <w:r>
              <w:rPr>
                <w:color w:val="231F20"/>
                <w:spacing w:val="36"/>
                <w:sz w:val="14"/>
              </w:rPr>
              <w:t> </w:t>
            </w:r>
            <w:r>
              <w:rPr>
                <w:rFonts w:ascii="Wingdings" w:hAnsi="Wingdings"/>
                <w:color w:val="231F20"/>
                <w:spacing w:val="-10"/>
                <w:sz w:val="14"/>
              </w:rPr>
              <w:t></w:t>
            </w:r>
          </w:p>
        </w:tc>
        <w:tc>
          <w:tcPr>
            <w:tcW w:w="2382" w:type="dxa"/>
          </w:tcPr>
          <w:p>
            <w:pPr>
              <w:pStyle w:val="TableParagraph"/>
              <w:spacing w:line="180" w:lineRule="atLeast" w:before="34"/>
              <w:ind w:left="49" w:right="555"/>
              <w:rPr>
                <w:sz w:val="14"/>
              </w:rPr>
            </w:pPr>
            <w:r>
              <w:rPr>
                <w:color w:val="231F20"/>
                <w:sz w:val="14"/>
              </w:rPr>
              <w:t>Infractions</w:t>
            </w:r>
            <w:r>
              <w:rPr>
                <w:color w:val="231F20"/>
                <w:spacing w:val="-6"/>
                <w:sz w:val="14"/>
              </w:rPr>
              <w:t> </w:t>
            </w:r>
            <w:r>
              <w:rPr>
                <w:color w:val="231F20"/>
                <w:sz w:val="14"/>
              </w:rPr>
              <w:t>mineures</w:t>
            </w:r>
            <w:r>
              <w:rPr>
                <w:color w:val="231F20"/>
                <w:spacing w:val="-6"/>
                <w:sz w:val="14"/>
              </w:rPr>
              <w:t> </w:t>
            </w:r>
            <w:r>
              <w:rPr>
                <w:color w:val="231F20"/>
                <w:sz w:val="14"/>
              </w:rPr>
              <w:t>à</w:t>
            </w:r>
            <w:r>
              <w:rPr>
                <w:color w:val="231F20"/>
                <w:spacing w:val="-6"/>
                <w:sz w:val="14"/>
              </w:rPr>
              <w:t> </w:t>
            </w:r>
            <w:r>
              <w:rPr>
                <w:color w:val="231F20"/>
                <w:sz w:val="14"/>
              </w:rPr>
              <w:t>la</w:t>
            </w:r>
            <w:r>
              <w:rPr>
                <w:color w:val="231F20"/>
                <w:spacing w:val="-6"/>
                <w:sz w:val="14"/>
              </w:rPr>
              <w:t> </w:t>
            </w:r>
            <w:r>
              <w:rPr>
                <w:color w:val="231F20"/>
                <w:sz w:val="14"/>
              </w:rPr>
              <w:t>loi</w:t>
            </w:r>
            <w:r>
              <w:rPr>
                <w:color w:val="231F20"/>
                <w:w w:val="105"/>
                <w:sz w:val="14"/>
              </w:rPr>
              <w:t> (contravention,</w:t>
            </w:r>
            <w:r>
              <w:rPr>
                <w:color w:val="231F20"/>
                <w:spacing w:val="-11"/>
                <w:w w:val="105"/>
                <w:sz w:val="14"/>
              </w:rPr>
              <w:t> </w:t>
            </w:r>
            <w:r>
              <w:rPr>
                <w:color w:val="231F20"/>
                <w:w w:val="105"/>
                <w:sz w:val="14"/>
              </w:rPr>
              <w:t>méfait)</w:t>
            </w:r>
          </w:p>
        </w:tc>
      </w:tr>
      <w:tr>
        <w:trPr>
          <w:trHeight w:val="622" w:hRule="atLeast"/>
        </w:trPr>
        <w:tc>
          <w:tcPr>
            <w:tcW w:w="492" w:type="dxa"/>
            <w:tcBorders>
              <w:bottom w:val="single" w:sz="2" w:space="0" w:color="231F20"/>
            </w:tcBorders>
          </w:tcPr>
          <w:p>
            <w:pPr>
              <w:pStyle w:val="TableParagraph"/>
              <w:spacing w:before="53"/>
              <w:ind w:left="94"/>
              <w:rPr>
                <w:rFonts w:ascii="Wingdings" w:hAnsi="Wingdings"/>
                <w:sz w:val="14"/>
              </w:rPr>
            </w:pPr>
            <w:r>
              <w:rPr>
                <w:color w:val="231F20"/>
                <w:sz w:val="14"/>
              </w:rPr>
              <w:t>17</w:t>
            </w:r>
            <w:r>
              <w:rPr>
                <w:color w:val="231F20"/>
                <w:spacing w:val="29"/>
                <w:sz w:val="14"/>
              </w:rPr>
              <w:t> </w:t>
            </w:r>
            <w:r>
              <w:rPr>
                <w:rFonts w:ascii="Wingdings" w:hAnsi="Wingdings"/>
                <w:color w:val="231F20"/>
                <w:spacing w:val="-10"/>
                <w:sz w:val="14"/>
              </w:rPr>
              <w:t></w:t>
            </w:r>
          </w:p>
        </w:tc>
        <w:tc>
          <w:tcPr>
            <w:tcW w:w="2228" w:type="dxa"/>
            <w:tcBorders>
              <w:bottom w:val="single" w:sz="2" w:space="0" w:color="231F20"/>
            </w:tcBorders>
          </w:tcPr>
          <w:p>
            <w:pPr>
              <w:pStyle w:val="TableParagraph"/>
              <w:spacing w:line="268" w:lineRule="auto" w:before="53"/>
              <w:ind w:left="47" w:right="154"/>
              <w:rPr>
                <w:sz w:val="14"/>
              </w:rPr>
            </w:pPr>
            <w:r>
              <w:rPr>
                <w:color w:val="231F20"/>
                <w:sz w:val="14"/>
              </w:rPr>
              <w:t>Hypothèque ou prêt inférieur </w:t>
            </w:r>
            <w:r>
              <w:rPr>
                <w:color w:val="231F20"/>
                <w:sz w:val="14"/>
              </w:rPr>
              <w:t>à</w:t>
            </w:r>
            <w:r>
              <w:rPr>
                <w:color w:val="231F20"/>
                <w:spacing w:val="40"/>
                <w:sz w:val="14"/>
              </w:rPr>
              <w:t> </w:t>
            </w:r>
            <w:r>
              <w:rPr>
                <w:color w:val="231F20"/>
                <w:sz w:val="14"/>
              </w:rPr>
              <w:t>un an de salaire (voiture,</w:t>
            </w:r>
            <w:r>
              <w:rPr>
                <w:color w:val="231F20"/>
                <w:spacing w:val="40"/>
                <w:sz w:val="14"/>
              </w:rPr>
              <w:t> </w:t>
            </w:r>
            <w:r>
              <w:rPr>
                <w:color w:val="231F20"/>
                <w:sz w:val="14"/>
              </w:rPr>
              <w:t>ordinateur,</w:t>
            </w:r>
            <w:r>
              <w:rPr>
                <w:color w:val="231F20"/>
                <w:spacing w:val="-10"/>
                <w:sz w:val="14"/>
              </w:rPr>
              <w:t> </w:t>
            </w:r>
            <w:r>
              <w:rPr>
                <w:color w:val="231F20"/>
                <w:sz w:val="14"/>
              </w:rPr>
              <w:t>etc.)</w:t>
            </w:r>
          </w:p>
        </w:tc>
        <w:tc>
          <w:tcPr>
            <w:tcW w:w="646" w:type="dxa"/>
            <w:tcBorders>
              <w:bottom w:val="single" w:sz="2" w:space="0" w:color="231F20"/>
            </w:tcBorders>
          </w:tcPr>
          <w:p>
            <w:pPr>
              <w:pStyle w:val="TableParagraph"/>
              <w:rPr>
                <w:rFonts w:ascii="Times New Roman"/>
                <w:sz w:val="14"/>
              </w:rPr>
            </w:pPr>
          </w:p>
        </w:tc>
        <w:tc>
          <w:tcPr>
            <w:tcW w:w="2382" w:type="dxa"/>
            <w:tcBorders>
              <w:bottom w:val="single" w:sz="2" w:space="0" w:color="231F20"/>
            </w:tcBorders>
          </w:tcPr>
          <w:p>
            <w:pPr>
              <w:pStyle w:val="TableParagraph"/>
              <w:rPr>
                <w:rFonts w:ascii="Times New Roman"/>
                <w:sz w:val="14"/>
              </w:rPr>
            </w:pPr>
          </w:p>
        </w:tc>
      </w:tr>
    </w:tbl>
    <w:p>
      <w:pPr>
        <w:pStyle w:val="BodyText"/>
        <w:spacing w:before="7"/>
        <w:rPr>
          <w:rFonts w:ascii="Arial"/>
          <w:sz w:val="16"/>
        </w:rPr>
      </w:pPr>
    </w:p>
    <w:p>
      <w:pPr>
        <w:pStyle w:val="Heading5"/>
        <w:spacing w:before="143"/>
        <w:jc w:val="both"/>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BodyText"/>
        <w:spacing w:line="307" w:lineRule="auto" w:before="133"/>
        <w:ind w:left="830" w:right="494"/>
        <w:jc w:val="both"/>
      </w:pPr>
      <w:r>
        <w:rPr>
          <w:i/>
          <w:color w:val="231F20"/>
          <w:w w:val="115"/>
        </w:rPr>
        <w:t>De 0 à 149 </w:t>
      </w:r>
      <w:r>
        <w:rPr>
          <w:color w:val="231F20"/>
          <w:w w:val="115"/>
        </w:rPr>
        <w:t>– Vous êtes relativement peu vulnérable aux maladies liées</w:t>
      </w:r>
      <w:r>
        <w:rPr>
          <w:color w:val="231F20"/>
          <w:spacing w:val="40"/>
          <w:w w:val="115"/>
        </w:rPr>
        <w:t> </w:t>
      </w:r>
      <w:r>
        <w:rPr>
          <w:color w:val="231F20"/>
          <w:w w:val="115"/>
        </w:rPr>
        <w:t>au</w:t>
      </w:r>
      <w:r>
        <w:rPr>
          <w:color w:val="231F20"/>
          <w:spacing w:val="-13"/>
          <w:w w:val="115"/>
        </w:rPr>
        <w:t> </w:t>
      </w:r>
      <w:r>
        <w:rPr>
          <w:color w:val="231F20"/>
          <w:w w:val="115"/>
        </w:rPr>
        <w:t>stress.</w:t>
      </w:r>
    </w:p>
    <w:p>
      <w:pPr>
        <w:pStyle w:val="BodyText"/>
        <w:spacing w:line="307" w:lineRule="auto" w:before="80"/>
        <w:ind w:left="830" w:right="497"/>
        <w:jc w:val="both"/>
      </w:pPr>
      <w:r>
        <w:rPr>
          <w:i/>
          <w:color w:val="231F20"/>
          <w:w w:val="120"/>
        </w:rPr>
        <w:t>De</w:t>
      </w:r>
      <w:r>
        <w:rPr>
          <w:i/>
          <w:color w:val="231F20"/>
          <w:spacing w:val="-15"/>
          <w:w w:val="120"/>
        </w:rPr>
        <w:t> </w:t>
      </w:r>
      <w:r>
        <w:rPr>
          <w:i/>
          <w:color w:val="231F20"/>
          <w:w w:val="120"/>
        </w:rPr>
        <w:t>150</w:t>
      </w:r>
      <w:r>
        <w:rPr>
          <w:i/>
          <w:color w:val="231F20"/>
          <w:spacing w:val="-13"/>
          <w:w w:val="120"/>
        </w:rPr>
        <w:t> </w:t>
      </w:r>
      <w:r>
        <w:rPr>
          <w:i/>
          <w:color w:val="231F20"/>
          <w:w w:val="120"/>
        </w:rPr>
        <w:t>à</w:t>
      </w:r>
      <w:r>
        <w:rPr>
          <w:i/>
          <w:color w:val="231F20"/>
          <w:spacing w:val="-13"/>
          <w:w w:val="120"/>
        </w:rPr>
        <w:t> </w:t>
      </w:r>
      <w:r>
        <w:rPr>
          <w:i/>
          <w:color w:val="231F20"/>
          <w:w w:val="120"/>
        </w:rPr>
        <w:t>299</w:t>
      </w:r>
      <w:r>
        <w:rPr>
          <w:i/>
          <w:color w:val="231F20"/>
          <w:spacing w:val="-12"/>
          <w:w w:val="120"/>
        </w:rPr>
        <w:t> </w:t>
      </w:r>
      <w:r>
        <w:rPr>
          <w:color w:val="231F20"/>
          <w:w w:val="120"/>
        </w:rPr>
        <w:t>–</w:t>
      </w:r>
      <w:r>
        <w:rPr>
          <w:color w:val="231F20"/>
          <w:spacing w:val="-13"/>
          <w:w w:val="120"/>
        </w:rPr>
        <w:t> </w:t>
      </w:r>
      <w:r>
        <w:rPr>
          <w:color w:val="231F20"/>
          <w:w w:val="120"/>
        </w:rPr>
        <w:t>Vous</w:t>
      </w:r>
      <w:r>
        <w:rPr>
          <w:color w:val="231F20"/>
          <w:spacing w:val="-13"/>
          <w:w w:val="120"/>
        </w:rPr>
        <w:t> </w:t>
      </w:r>
      <w:r>
        <w:rPr>
          <w:color w:val="231F20"/>
          <w:w w:val="120"/>
        </w:rPr>
        <w:t>avez</w:t>
      </w:r>
      <w:r>
        <w:rPr>
          <w:color w:val="231F20"/>
          <w:spacing w:val="-13"/>
          <w:w w:val="120"/>
        </w:rPr>
        <w:t> </w:t>
      </w:r>
      <w:r>
        <w:rPr>
          <w:color w:val="231F20"/>
          <w:w w:val="120"/>
        </w:rPr>
        <w:t>une</w:t>
      </w:r>
      <w:r>
        <w:rPr>
          <w:color w:val="231F20"/>
          <w:spacing w:val="-12"/>
          <w:w w:val="120"/>
        </w:rPr>
        <w:t> </w:t>
      </w:r>
      <w:r>
        <w:rPr>
          <w:color w:val="231F20"/>
          <w:w w:val="120"/>
        </w:rPr>
        <w:t>vulnérabilité</w:t>
      </w:r>
      <w:r>
        <w:rPr>
          <w:color w:val="231F20"/>
          <w:spacing w:val="-13"/>
          <w:w w:val="120"/>
        </w:rPr>
        <w:t> </w:t>
      </w:r>
      <w:r>
        <w:rPr>
          <w:color w:val="231F20"/>
          <w:w w:val="120"/>
        </w:rPr>
        <w:t>modérée</w:t>
      </w:r>
      <w:r>
        <w:rPr>
          <w:color w:val="231F20"/>
          <w:spacing w:val="-13"/>
          <w:w w:val="120"/>
        </w:rPr>
        <w:t> </w:t>
      </w:r>
      <w:r>
        <w:rPr>
          <w:color w:val="231F20"/>
          <w:w w:val="120"/>
        </w:rPr>
        <w:t>aux</w:t>
      </w:r>
      <w:r>
        <w:rPr>
          <w:color w:val="231F20"/>
          <w:spacing w:val="-13"/>
          <w:w w:val="120"/>
        </w:rPr>
        <w:t> </w:t>
      </w:r>
      <w:r>
        <w:rPr>
          <w:color w:val="231F20"/>
          <w:w w:val="120"/>
        </w:rPr>
        <w:t>maladies</w:t>
      </w:r>
      <w:r>
        <w:rPr>
          <w:color w:val="231F20"/>
          <w:spacing w:val="-12"/>
          <w:w w:val="120"/>
        </w:rPr>
        <w:t> </w:t>
      </w:r>
      <w:r>
        <w:rPr>
          <w:color w:val="231F20"/>
          <w:w w:val="120"/>
        </w:rPr>
        <w:t>liées au</w:t>
      </w:r>
      <w:r>
        <w:rPr>
          <w:color w:val="231F20"/>
          <w:spacing w:val="-2"/>
          <w:w w:val="120"/>
        </w:rPr>
        <w:t> </w:t>
      </w:r>
      <w:r>
        <w:rPr>
          <w:color w:val="231F20"/>
          <w:w w:val="120"/>
        </w:rPr>
        <w:t>stress.</w:t>
      </w:r>
      <w:r>
        <w:rPr>
          <w:color w:val="231F20"/>
          <w:spacing w:val="-2"/>
          <w:w w:val="120"/>
        </w:rPr>
        <w:t> </w:t>
      </w:r>
      <w:r>
        <w:rPr>
          <w:color w:val="231F20"/>
          <w:w w:val="120"/>
        </w:rPr>
        <w:t>Vous</w:t>
      </w:r>
      <w:r>
        <w:rPr>
          <w:color w:val="231F20"/>
          <w:spacing w:val="-2"/>
          <w:w w:val="120"/>
        </w:rPr>
        <w:t> </w:t>
      </w:r>
      <w:r>
        <w:rPr>
          <w:color w:val="231F20"/>
          <w:w w:val="120"/>
        </w:rPr>
        <w:t>devriez</w:t>
      </w:r>
      <w:r>
        <w:rPr>
          <w:color w:val="231F20"/>
          <w:spacing w:val="-2"/>
          <w:w w:val="120"/>
        </w:rPr>
        <w:t> </w:t>
      </w:r>
      <w:r>
        <w:rPr>
          <w:color w:val="231F20"/>
          <w:w w:val="120"/>
        </w:rPr>
        <w:t>apprendre</w:t>
      </w:r>
      <w:r>
        <w:rPr>
          <w:color w:val="231F20"/>
          <w:spacing w:val="-2"/>
          <w:w w:val="120"/>
        </w:rPr>
        <w:t> </w:t>
      </w:r>
      <w:r>
        <w:rPr>
          <w:color w:val="231F20"/>
          <w:w w:val="120"/>
        </w:rPr>
        <w:t>et</w:t>
      </w:r>
      <w:r>
        <w:rPr>
          <w:color w:val="231F20"/>
          <w:spacing w:val="-2"/>
          <w:w w:val="120"/>
        </w:rPr>
        <w:t> </w:t>
      </w:r>
      <w:r>
        <w:rPr>
          <w:color w:val="231F20"/>
          <w:w w:val="120"/>
        </w:rPr>
        <w:t>mettre</w:t>
      </w:r>
      <w:r>
        <w:rPr>
          <w:color w:val="231F20"/>
          <w:spacing w:val="-2"/>
          <w:w w:val="120"/>
        </w:rPr>
        <w:t> </w:t>
      </w:r>
      <w:r>
        <w:rPr>
          <w:color w:val="231F20"/>
          <w:w w:val="120"/>
        </w:rPr>
        <w:t>en</w:t>
      </w:r>
      <w:r>
        <w:rPr>
          <w:color w:val="231F20"/>
          <w:spacing w:val="-2"/>
          <w:w w:val="120"/>
        </w:rPr>
        <w:t> </w:t>
      </w:r>
      <w:r>
        <w:rPr>
          <w:color w:val="231F20"/>
          <w:w w:val="120"/>
        </w:rPr>
        <w:t>pratique</w:t>
      </w:r>
      <w:r>
        <w:rPr>
          <w:color w:val="231F20"/>
          <w:spacing w:val="-2"/>
          <w:w w:val="120"/>
        </w:rPr>
        <w:t> </w:t>
      </w:r>
      <w:r>
        <w:rPr>
          <w:color w:val="231F20"/>
          <w:w w:val="120"/>
        </w:rPr>
        <w:t>des</w:t>
      </w:r>
      <w:r>
        <w:rPr>
          <w:color w:val="231F20"/>
          <w:spacing w:val="-2"/>
          <w:w w:val="120"/>
        </w:rPr>
        <w:t> </w:t>
      </w:r>
      <w:r>
        <w:rPr>
          <w:color w:val="231F20"/>
          <w:w w:val="120"/>
        </w:rPr>
        <w:t>techniques de gestion du stress et d’adaptation au stress pour continuer de vivre en</w:t>
      </w:r>
      <w:r>
        <w:rPr>
          <w:color w:val="231F20"/>
          <w:spacing w:val="-13"/>
          <w:w w:val="120"/>
        </w:rPr>
        <w:t> </w:t>
      </w:r>
      <w:r>
        <w:rPr>
          <w:color w:val="231F20"/>
          <w:w w:val="120"/>
        </w:rPr>
        <w:t>santé.</w:t>
      </w:r>
    </w:p>
    <w:p>
      <w:pPr>
        <w:pStyle w:val="BodyText"/>
        <w:spacing w:line="307" w:lineRule="auto" w:before="79"/>
        <w:ind w:left="830" w:right="493"/>
        <w:jc w:val="both"/>
      </w:pPr>
      <w:r>
        <w:rPr>
          <w:i/>
          <w:color w:val="231F20"/>
          <w:w w:val="120"/>
        </w:rPr>
        <w:t>300</w:t>
      </w:r>
      <w:r>
        <w:rPr>
          <w:i/>
          <w:color w:val="231F20"/>
          <w:spacing w:val="-9"/>
          <w:w w:val="120"/>
        </w:rPr>
        <w:t> </w:t>
      </w:r>
      <w:r>
        <w:rPr>
          <w:i/>
          <w:color w:val="231F20"/>
          <w:w w:val="120"/>
        </w:rPr>
        <w:t>ou</w:t>
      </w:r>
      <w:r>
        <w:rPr>
          <w:i/>
          <w:color w:val="231F20"/>
          <w:spacing w:val="-9"/>
          <w:w w:val="120"/>
        </w:rPr>
        <w:t> </w:t>
      </w:r>
      <w:r>
        <w:rPr>
          <w:i/>
          <w:color w:val="231F20"/>
          <w:w w:val="120"/>
        </w:rPr>
        <w:t>plus</w:t>
      </w:r>
      <w:r>
        <w:rPr>
          <w:i/>
          <w:color w:val="231F20"/>
          <w:spacing w:val="-9"/>
          <w:w w:val="120"/>
        </w:rPr>
        <w:t> </w:t>
      </w:r>
      <w:r>
        <w:rPr>
          <w:color w:val="231F20"/>
          <w:w w:val="120"/>
        </w:rPr>
        <w:t>–</w:t>
      </w:r>
      <w:r>
        <w:rPr>
          <w:color w:val="231F20"/>
          <w:spacing w:val="-9"/>
          <w:w w:val="120"/>
        </w:rPr>
        <w:t> </w:t>
      </w:r>
      <w:r>
        <w:rPr>
          <w:color w:val="231F20"/>
          <w:w w:val="120"/>
        </w:rPr>
        <w:t>Vous</w:t>
      </w:r>
      <w:r>
        <w:rPr>
          <w:color w:val="231F20"/>
          <w:spacing w:val="-9"/>
          <w:w w:val="120"/>
        </w:rPr>
        <w:t> </w:t>
      </w:r>
      <w:r>
        <w:rPr>
          <w:color w:val="231F20"/>
          <w:w w:val="120"/>
        </w:rPr>
        <w:t>êtes</w:t>
      </w:r>
      <w:r>
        <w:rPr>
          <w:color w:val="231F20"/>
          <w:spacing w:val="-9"/>
          <w:w w:val="120"/>
        </w:rPr>
        <w:t> </w:t>
      </w:r>
      <w:r>
        <w:rPr>
          <w:color w:val="231F20"/>
          <w:w w:val="120"/>
        </w:rPr>
        <w:t>très</w:t>
      </w:r>
      <w:r>
        <w:rPr>
          <w:color w:val="231F20"/>
          <w:spacing w:val="-9"/>
          <w:w w:val="120"/>
        </w:rPr>
        <w:t> </w:t>
      </w:r>
      <w:r>
        <w:rPr>
          <w:color w:val="231F20"/>
          <w:w w:val="120"/>
        </w:rPr>
        <w:t>vulnérable</w:t>
      </w:r>
      <w:r>
        <w:rPr>
          <w:color w:val="231F20"/>
          <w:spacing w:val="-9"/>
          <w:w w:val="120"/>
        </w:rPr>
        <w:t> </w:t>
      </w:r>
      <w:r>
        <w:rPr>
          <w:color w:val="231F20"/>
          <w:w w:val="120"/>
        </w:rPr>
        <w:t>aux</w:t>
      </w:r>
      <w:r>
        <w:rPr>
          <w:color w:val="231F20"/>
          <w:spacing w:val="-9"/>
          <w:w w:val="120"/>
        </w:rPr>
        <w:t> </w:t>
      </w:r>
      <w:r>
        <w:rPr>
          <w:color w:val="231F20"/>
          <w:w w:val="120"/>
        </w:rPr>
        <w:t>maladies</w:t>
      </w:r>
      <w:r>
        <w:rPr>
          <w:color w:val="231F20"/>
          <w:spacing w:val="-9"/>
          <w:w w:val="120"/>
        </w:rPr>
        <w:t> </w:t>
      </w:r>
      <w:r>
        <w:rPr>
          <w:color w:val="231F20"/>
          <w:w w:val="120"/>
        </w:rPr>
        <w:t>liées</w:t>
      </w:r>
      <w:r>
        <w:rPr>
          <w:color w:val="231F20"/>
          <w:spacing w:val="-9"/>
          <w:w w:val="120"/>
        </w:rPr>
        <w:t> </w:t>
      </w:r>
      <w:r>
        <w:rPr>
          <w:color w:val="231F20"/>
          <w:w w:val="120"/>
        </w:rPr>
        <w:t>au</w:t>
      </w:r>
      <w:r>
        <w:rPr>
          <w:color w:val="231F20"/>
          <w:spacing w:val="-9"/>
          <w:w w:val="120"/>
        </w:rPr>
        <w:t> </w:t>
      </w:r>
      <w:r>
        <w:rPr>
          <w:color w:val="231F20"/>
          <w:w w:val="120"/>
        </w:rPr>
        <w:t>stress.</w:t>
      </w:r>
      <w:r>
        <w:rPr>
          <w:color w:val="231F20"/>
          <w:spacing w:val="-9"/>
          <w:w w:val="120"/>
        </w:rPr>
        <w:t> </w:t>
      </w:r>
      <w:r>
        <w:rPr>
          <w:color w:val="231F20"/>
          <w:w w:val="120"/>
        </w:rPr>
        <w:t>La pratique</w:t>
      </w:r>
      <w:r>
        <w:rPr>
          <w:color w:val="231F20"/>
          <w:spacing w:val="-11"/>
          <w:w w:val="120"/>
        </w:rPr>
        <w:t> </w:t>
      </w:r>
      <w:r>
        <w:rPr>
          <w:color w:val="231F20"/>
          <w:w w:val="120"/>
        </w:rPr>
        <w:t>quotidienne</w:t>
      </w:r>
      <w:r>
        <w:rPr>
          <w:color w:val="231F20"/>
          <w:spacing w:val="-11"/>
          <w:w w:val="120"/>
        </w:rPr>
        <w:t> </w:t>
      </w:r>
      <w:r>
        <w:rPr>
          <w:color w:val="231F20"/>
          <w:w w:val="120"/>
        </w:rPr>
        <w:t>de</w:t>
      </w:r>
      <w:r>
        <w:rPr>
          <w:color w:val="231F20"/>
          <w:spacing w:val="-11"/>
          <w:w w:val="120"/>
        </w:rPr>
        <w:t> </w:t>
      </w:r>
      <w:r>
        <w:rPr>
          <w:color w:val="231F20"/>
          <w:w w:val="120"/>
        </w:rPr>
        <w:t>techniques</w:t>
      </w:r>
      <w:r>
        <w:rPr>
          <w:color w:val="231F20"/>
          <w:spacing w:val="-11"/>
          <w:w w:val="120"/>
        </w:rPr>
        <w:t> </w:t>
      </w:r>
      <w:r>
        <w:rPr>
          <w:color w:val="231F20"/>
          <w:w w:val="120"/>
        </w:rPr>
        <w:t>de</w:t>
      </w:r>
      <w:r>
        <w:rPr>
          <w:color w:val="231F20"/>
          <w:spacing w:val="-11"/>
          <w:w w:val="120"/>
        </w:rPr>
        <w:t> </w:t>
      </w:r>
      <w:r>
        <w:rPr>
          <w:color w:val="231F20"/>
          <w:w w:val="120"/>
        </w:rPr>
        <w:t>gestion</w:t>
      </w:r>
      <w:r>
        <w:rPr>
          <w:color w:val="231F20"/>
          <w:spacing w:val="-11"/>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s’impose.</w:t>
      </w:r>
      <w:r>
        <w:rPr>
          <w:color w:val="231F20"/>
          <w:spacing w:val="-11"/>
          <w:w w:val="120"/>
        </w:rPr>
        <w:t> </w:t>
      </w:r>
      <w:r>
        <w:rPr>
          <w:color w:val="231F20"/>
          <w:w w:val="120"/>
        </w:rPr>
        <w:t>C’est</w:t>
      </w:r>
      <w:r>
        <w:rPr>
          <w:color w:val="231F20"/>
          <w:w w:val="120"/>
        </w:rPr>
        <w:t> une décision très importante pour votre bien-être. Attaquez-vous dès maintenant</w:t>
      </w:r>
      <w:r>
        <w:rPr>
          <w:color w:val="231F20"/>
          <w:spacing w:val="-9"/>
          <w:w w:val="120"/>
        </w:rPr>
        <w:t> </w:t>
      </w:r>
      <w:r>
        <w:rPr>
          <w:color w:val="231F20"/>
          <w:w w:val="120"/>
        </w:rPr>
        <w:t>au</w:t>
      </w:r>
      <w:r>
        <w:rPr>
          <w:color w:val="231F20"/>
          <w:spacing w:val="-9"/>
          <w:w w:val="120"/>
        </w:rPr>
        <w:t> </w:t>
      </w:r>
      <w:r>
        <w:rPr>
          <w:color w:val="231F20"/>
          <w:w w:val="120"/>
        </w:rPr>
        <w:t>problème</w:t>
      </w:r>
      <w:r>
        <w:rPr>
          <w:color w:val="231F20"/>
          <w:spacing w:val="-9"/>
          <w:w w:val="120"/>
        </w:rPr>
        <w:t> </w:t>
      </w:r>
      <w:r>
        <w:rPr>
          <w:color w:val="231F20"/>
          <w:w w:val="120"/>
        </w:rPr>
        <w:t>avant</w:t>
      </w:r>
      <w:r>
        <w:rPr>
          <w:color w:val="231F20"/>
          <w:spacing w:val="-9"/>
          <w:w w:val="120"/>
        </w:rPr>
        <w:t> </w:t>
      </w:r>
      <w:r>
        <w:rPr>
          <w:color w:val="231F20"/>
          <w:w w:val="120"/>
        </w:rPr>
        <w:t>qu’une</w:t>
      </w:r>
      <w:r>
        <w:rPr>
          <w:color w:val="231F20"/>
          <w:spacing w:val="-9"/>
          <w:w w:val="120"/>
        </w:rPr>
        <w:t> </w:t>
      </w:r>
      <w:r>
        <w:rPr>
          <w:color w:val="231F20"/>
          <w:w w:val="120"/>
        </w:rPr>
        <w:t>maladie</w:t>
      </w:r>
      <w:r>
        <w:rPr>
          <w:color w:val="231F20"/>
          <w:spacing w:val="-9"/>
          <w:w w:val="120"/>
        </w:rPr>
        <w:t> </w:t>
      </w:r>
      <w:r>
        <w:rPr>
          <w:color w:val="231F20"/>
          <w:w w:val="120"/>
        </w:rPr>
        <w:t>grave</w:t>
      </w:r>
      <w:r>
        <w:rPr>
          <w:color w:val="231F20"/>
          <w:spacing w:val="-9"/>
          <w:w w:val="120"/>
        </w:rPr>
        <w:t> </w:t>
      </w:r>
      <w:r>
        <w:rPr>
          <w:color w:val="231F20"/>
          <w:w w:val="120"/>
        </w:rPr>
        <w:t>n’éclose</w:t>
      </w:r>
      <w:r>
        <w:rPr>
          <w:color w:val="231F20"/>
          <w:spacing w:val="-9"/>
          <w:w w:val="120"/>
        </w:rPr>
        <w:t> </w:t>
      </w:r>
      <w:r>
        <w:rPr>
          <w:color w:val="231F20"/>
          <w:w w:val="120"/>
        </w:rPr>
        <w:t>ou</w:t>
      </w:r>
      <w:r>
        <w:rPr>
          <w:color w:val="231F20"/>
          <w:spacing w:val="-9"/>
          <w:w w:val="120"/>
        </w:rPr>
        <w:t> </w:t>
      </w:r>
      <w:r>
        <w:rPr>
          <w:color w:val="231F20"/>
          <w:w w:val="120"/>
        </w:rPr>
        <w:t>qu’un état dont vous souffrez déjà n’empire.</w:t>
      </w:r>
    </w:p>
    <w:p>
      <w:pPr>
        <w:pStyle w:val="BodyText"/>
        <w:spacing w:before="8"/>
        <w:rPr>
          <w:sz w:val="21"/>
        </w:rPr>
      </w:pPr>
    </w:p>
    <w:p>
      <w:pPr>
        <w:spacing w:line="307" w:lineRule="auto" w:before="0"/>
        <w:ind w:left="732" w:right="494" w:firstLine="0"/>
        <w:jc w:val="right"/>
        <w:rPr>
          <w:sz w:val="17"/>
        </w:rPr>
      </w:pPr>
      <w:r>
        <w:rPr>
          <w:b/>
          <w:color w:val="231F20"/>
          <w:w w:val="115"/>
          <w:sz w:val="17"/>
        </w:rPr>
        <w:t>Les</w:t>
      </w:r>
      <w:r>
        <w:rPr>
          <w:b/>
          <w:color w:val="231F20"/>
          <w:spacing w:val="-1"/>
          <w:w w:val="115"/>
          <w:sz w:val="17"/>
        </w:rPr>
        <w:t> </w:t>
      </w:r>
      <w:r>
        <w:rPr>
          <w:b/>
          <w:color w:val="231F20"/>
          <w:w w:val="115"/>
          <w:sz w:val="17"/>
        </w:rPr>
        <w:t>caractéristiques</w:t>
      </w:r>
      <w:r>
        <w:rPr>
          <w:b/>
          <w:color w:val="231F20"/>
          <w:spacing w:val="-1"/>
          <w:w w:val="115"/>
          <w:sz w:val="17"/>
        </w:rPr>
        <w:t> </w:t>
      </w:r>
      <w:r>
        <w:rPr>
          <w:b/>
          <w:color w:val="231F20"/>
          <w:w w:val="115"/>
          <w:sz w:val="17"/>
        </w:rPr>
        <w:t>personnelles</w:t>
      </w:r>
      <w:r>
        <w:rPr>
          <w:color w:val="231F20"/>
          <w:w w:val="115"/>
          <w:sz w:val="17"/>
        </w:rPr>
        <w:t>. Plusieurs modèles du stress insistent </w:t>
      </w:r>
      <w:r>
        <w:rPr>
          <w:color w:val="231F20"/>
          <w:w w:val="120"/>
          <w:sz w:val="17"/>
        </w:rPr>
        <w:t>sur</w:t>
      </w:r>
      <w:r>
        <w:rPr>
          <w:color w:val="231F20"/>
          <w:spacing w:val="-17"/>
          <w:w w:val="120"/>
          <w:sz w:val="17"/>
        </w:rPr>
        <w:t> </w:t>
      </w:r>
      <w:r>
        <w:rPr>
          <w:color w:val="231F20"/>
          <w:w w:val="120"/>
          <w:sz w:val="17"/>
        </w:rPr>
        <w:t>l’importance</w:t>
      </w:r>
      <w:r>
        <w:rPr>
          <w:color w:val="231F20"/>
          <w:spacing w:val="-16"/>
          <w:w w:val="120"/>
          <w:sz w:val="17"/>
        </w:rPr>
        <w:t> </w:t>
      </w:r>
      <w:r>
        <w:rPr>
          <w:color w:val="231F20"/>
          <w:w w:val="120"/>
          <w:sz w:val="17"/>
        </w:rPr>
        <w:t>des</w:t>
      </w:r>
      <w:r>
        <w:rPr>
          <w:color w:val="231F20"/>
          <w:spacing w:val="-17"/>
          <w:w w:val="120"/>
          <w:sz w:val="17"/>
        </w:rPr>
        <w:t> </w:t>
      </w:r>
      <w:r>
        <w:rPr>
          <w:color w:val="231F20"/>
          <w:w w:val="120"/>
          <w:sz w:val="17"/>
        </w:rPr>
        <w:t>caractéristiques</w:t>
      </w:r>
      <w:r>
        <w:rPr>
          <w:color w:val="231F20"/>
          <w:spacing w:val="-16"/>
          <w:w w:val="120"/>
          <w:sz w:val="17"/>
        </w:rPr>
        <w:t> </w:t>
      </w:r>
      <w:r>
        <w:rPr>
          <w:color w:val="231F20"/>
          <w:w w:val="120"/>
          <w:sz w:val="17"/>
        </w:rPr>
        <w:t>et</w:t>
      </w:r>
      <w:r>
        <w:rPr>
          <w:color w:val="231F20"/>
          <w:spacing w:val="-17"/>
          <w:w w:val="120"/>
          <w:sz w:val="17"/>
        </w:rPr>
        <w:t> </w:t>
      </w:r>
      <w:r>
        <w:rPr>
          <w:color w:val="231F20"/>
          <w:w w:val="120"/>
          <w:sz w:val="17"/>
        </w:rPr>
        <w:t>des</w:t>
      </w:r>
      <w:r>
        <w:rPr>
          <w:color w:val="231F20"/>
          <w:spacing w:val="-16"/>
          <w:w w:val="120"/>
          <w:sz w:val="17"/>
        </w:rPr>
        <w:t> </w:t>
      </w:r>
      <w:r>
        <w:rPr>
          <w:color w:val="231F20"/>
          <w:w w:val="120"/>
          <w:sz w:val="17"/>
        </w:rPr>
        <w:t>différences</w:t>
      </w:r>
      <w:r>
        <w:rPr>
          <w:color w:val="231F20"/>
          <w:spacing w:val="-17"/>
          <w:w w:val="120"/>
          <w:sz w:val="17"/>
        </w:rPr>
        <w:t> </w:t>
      </w:r>
      <w:r>
        <w:rPr>
          <w:color w:val="231F20"/>
          <w:w w:val="120"/>
          <w:sz w:val="17"/>
        </w:rPr>
        <w:t>individuelles</w:t>
      </w:r>
      <w:r>
        <w:rPr>
          <w:color w:val="231F20"/>
          <w:spacing w:val="-16"/>
          <w:w w:val="120"/>
          <w:sz w:val="17"/>
        </w:rPr>
        <w:t> </w:t>
      </w:r>
      <w:r>
        <w:rPr>
          <w:color w:val="231F20"/>
          <w:w w:val="120"/>
          <w:sz w:val="17"/>
        </w:rPr>
        <w:t>sur</w:t>
      </w:r>
    </w:p>
    <w:p>
      <w:pPr>
        <w:pStyle w:val="BodyText"/>
        <w:spacing w:line="174" w:lineRule="exact"/>
        <w:ind w:left="732" w:right="496"/>
        <w:jc w:val="right"/>
      </w:pPr>
      <w:r>
        <w:rPr>
          <w:color w:val="231F20"/>
          <w:w w:val="115"/>
        </w:rPr>
        <w:t>l’émergence</w:t>
      </w:r>
      <w:r>
        <w:rPr>
          <w:color w:val="231F20"/>
          <w:spacing w:val="-17"/>
          <w:w w:val="115"/>
        </w:rPr>
        <w:t> </w:t>
      </w:r>
      <w:r>
        <w:rPr>
          <w:color w:val="231F20"/>
          <w:w w:val="115"/>
        </w:rPr>
        <w:t>du</w:t>
      </w:r>
      <w:r>
        <w:rPr>
          <w:color w:val="231F20"/>
          <w:spacing w:val="-16"/>
          <w:w w:val="115"/>
        </w:rPr>
        <w:t> </w:t>
      </w:r>
      <w:r>
        <w:rPr>
          <w:color w:val="231F20"/>
          <w:w w:val="115"/>
        </w:rPr>
        <w:t>stress.</w:t>
      </w:r>
      <w:r>
        <w:rPr>
          <w:color w:val="231F20"/>
          <w:spacing w:val="-16"/>
          <w:w w:val="115"/>
        </w:rPr>
        <w:t> </w:t>
      </w:r>
      <w:r>
        <w:rPr>
          <w:color w:val="231F20"/>
          <w:w w:val="115"/>
        </w:rPr>
        <w:t>La</w:t>
      </w:r>
      <w:r>
        <w:rPr>
          <w:color w:val="231F20"/>
          <w:spacing w:val="-17"/>
          <w:w w:val="115"/>
        </w:rPr>
        <w:t> </w:t>
      </w:r>
      <w:r>
        <w:rPr>
          <w:color w:val="231F20"/>
          <w:w w:val="115"/>
        </w:rPr>
        <w:t>personnalité</w:t>
      </w:r>
      <w:r>
        <w:rPr>
          <w:color w:val="231F20"/>
          <w:spacing w:val="-16"/>
          <w:w w:val="115"/>
        </w:rPr>
        <w:t> </w:t>
      </w:r>
      <w:r>
        <w:rPr>
          <w:color w:val="231F20"/>
          <w:w w:val="115"/>
        </w:rPr>
        <w:t>de</w:t>
      </w:r>
      <w:r>
        <w:rPr>
          <w:color w:val="231F20"/>
          <w:spacing w:val="-16"/>
          <w:w w:val="115"/>
        </w:rPr>
        <w:t> </w:t>
      </w:r>
      <w:r>
        <w:rPr>
          <w:color w:val="231F20"/>
          <w:w w:val="115"/>
        </w:rPr>
        <w:t>type</w:t>
      </w:r>
      <w:r>
        <w:rPr>
          <w:color w:val="231F20"/>
          <w:spacing w:val="-16"/>
          <w:w w:val="115"/>
        </w:rPr>
        <w:t> </w:t>
      </w:r>
      <w:r>
        <w:rPr>
          <w:color w:val="231F20"/>
          <w:spacing w:val="-5"/>
          <w:w w:val="115"/>
        </w:rPr>
        <w:t>A,</w:t>
      </w:r>
    </w:p>
    <w:p>
      <w:pPr>
        <w:spacing w:after="0" w:line="174" w:lineRule="exact"/>
        <w:jc w:val="right"/>
        <w:sectPr>
          <w:footerReference w:type="default" r:id="rId186"/>
          <w:pgSz w:w="8640" w:h="12960"/>
          <w:pgMar w:footer="424" w:header="0" w:top="520" w:bottom="620" w:left="420" w:right="1140"/>
        </w:sectPr>
      </w:pPr>
    </w:p>
    <w:p>
      <w:pPr>
        <w:spacing w:line="268" w:lineRule="auto" w:before="32"/>
        <w:ind w:left="829" w:right="0" w:firstLine="345"/>
        <w:jc w:val="right"/>
        <w:rPr>
          <w:rFonts w:ascii="Arial" w:hAnsi="Arial"/>
          <w:sz w:val="14"/>
        </w:rPr>
      </w:pPr>
      <w:r>
        <w:rPr>
          <w:rFonts w:ascii="Arial" w:hAnsi="Arial"/>
          <w:color w:val="231F20"/>
          <w:spacing w:val="-2"/>
          <w:sz w:val="14"/>
        </w:rPr>
        <w:t>Le</w:t>
      </w:r>
      <w:r>
        <w:rPr>
          <w:rFonts w:ascii="Arial" w:hAnsi="Arial"/>
          <w:color w:val="231F20"/>
          <w:spacing w:val="-8"/>
          <w:sz w:val="14"/>
        </w:rPr>
        <w:t> </w:t>
      </w:r>
      <w:r>
        <w:rPr>
          <w:rFonts w:ascii="Arial" w:hAnsi="Arial"/>
          <w:color w:val="231F20"/>
          <w:spacing w:val="-2"/>
          <w:sz w:val="14"/>
        </w:rPr>
        <w:t>stress</w:t>
      </w:r>
      <w:r>
        <w:rPr>
          <w:rFonts w:ascii="Arial" w:hAnsi="Arial"/>
          <w:color w:val="231F20"/>
          <w:spacing w:val="-8"/>
          <w:sz w:val="14"/>
        </w:rPr>
        <w:t> </w:t>
      </w:r>
      <w:r>
        <w:rPr>
          <w:rFonts w:ascii="Arial" w:hAnsi="Arial"/>
          <w:color w:val="231F20"/>
          <w:spacing w:val="-2"/>
          <w:sz w:val="14"/>
        </w:rPr>
        <w:t>apparaît</w:t>
      </w:r>
      <w:r>
        <w:rPr>
          <w:rFonts w:ascii="Arial" w:hAnsi="Arial"/>
          <w:color w:val="231F20"/>
          <w:spacing w:val="-8"/>
          <w:sz w:val="14"/>
        </w:rPr>
        <w:t> </w:t>
      </w:r>
      <w:r>
        <w:rPr>
          <w:rFonts w:ascii="Arial" w:hAnsi="Arial"/>
          <w:color w:val="231F20"/>
          <w:spacing w:val="-2"/>
          <w:sz w:val="14"/>
        </w:rPr>
        <w:t>chez</w:t>
      </w:r>
      <w:r>
        <w:rPr>
          <w:rFonts w:ascii="Arial" w:hAnsi="Arial"/>
          <w:color w:val="231F20"/>
          <w:w w:val="105"/>
          <w:sz w:val="14"/>
        </w:rPr>
        <w:t> un individu quand les demandes</w:t>
      </w:r>
      <w:r>
        <w:rPr>
          <w:rFonts w:ascii="Arial" w:hAnsi="Arial"/>
          <w:color w:val="231F20"/>
          <w:spacing w:val="-11"/>
          <w:w w:val="105"/>
          <w:sz w:val="14"/>
        </w:rPr>
        <w:t> </w:t>
      </w:r>
      <w:r>
        <w:rPr>
          <w:rFonts w:ascii="Arial" w:hAnsi="Arial"/>
          <w:color w:val="231F20"/>
          <w:w w:val="105"/>
          <w:sz w:val="14"/>
        </w:rPr>
        <w:t>d’adaptation</w:t>
      </w:r>
      <w:r>
        <w:rPr>
          <w:rFonts w:ascii="Arial" w:hAnsi="Arial"/>
          <w:color w:val="231F20"/>
          <w:spacing w:val="-10"/>
          <w:w w:val="105"/>
          <w:sz w:val="14"/>
        </w:rPr>
        <w:t> </w:t>
      </w:r>
      <w:r>
        <w:rPr>
          <w:rFonts w:ascii="Arial" w:hAnsi="Arial"/>
          <w:color w:val="231F20"/>
          <w:w w:val="105"/>
          <w:sz w:val="14"/>
        </w:rPr>
        <w:t>qui </w:t>
      </w:r>
      <w:r>
        <w:rPr>
          <w:rFonts w:ascii="Arial" w:hAnsi="Arial"/>
          <w:color w:val="231F20"/>
          <w:spacing w:val="-2"/>
          <w:w w:val="105"/>
          <w:sz w:val="14"/>
        </w:rPr>
        <w:t>lui</w:t>
      </w:r>
      <w:r>
        <w:rPr>
          <w:rFonts w:ascii="Arial" w:hAnsi="Arial"/>
          <w:color w:val="231F20"/>
          <w:spacing w:val="-7"/>
          <w:w w:val="105"/>
          <w:sz w:val="14"/>
        </w:rPr>
        <w:t> </w:t>
      </w:r>
      <w:r>
        <w:rPr>
          <w:rFonts w:ascii="Arial" w:hAnsi="Arial"/>
          <w:color w:val="231F20"/>
          <w:spacing w:val="-2"/>
          <w:w w:val="105"/>
          <w:sz w:val="14"/>
        </w:rPr>
        <w:t>sont</w:t>
      </w:r>
      <w:r>
        <w:rPr>
          <w:rFonts w:ascii="Arial" w:hAnsi="Arial"/>
          <w:color w:val="231F20"/>
          <w:spacing w:val="-7"/>
          <w:w w:val="105"/>
          <w:sz w:val="14"/>
        </w:rPr>
        <w:t> </w:t>
      </w:r>
      <w:r>
        <w:rPr>
          <w:rFonts w:ascii="Arial" w:hAnsi="Arial"/>
          <w:color w:val="231F20"/>
          <w:spacing w:val="-2"/>
          <w:w w:val="105"/>
          <w:sz w:val="14"/>
        </w:rPr>
        <w:t>imposées</w:t>
      </w:r>
      <w:r>
        <w:rPr>
          <w:rFonts w:ascii="Arial" w:hAnsi="Arial"/>
          <w:color w:val="231F20"/>
          <w:spacing w:val="-7"/>
          <w:w w:val="105"/>
          <w:sz w:val="14"/>
        </w:rPr>
        <w:t> </w:t>
      </w:r>
      <w:r>
        <w:rPr>
          <w:rFonts w:ascii="Arial" w:hAnsi="Arial"/>
          <w:color w:val="231F20"/>
          <w:spacing w:val="-2"/>
          <w:w w:val="105"/>
          <w:sz w:val="14"/>
        </w:rPr>
        <w:t>par</w:t>
      </w:r>
      <w:r>
        <w:rPr>
          <w:rFonts w:ascii="Arial" w:hAnsi="Arial"/>
          <w:color w:val="231F20"/>
          <w:spacing w:val="-7"/>
          <w:w w:val="105"/>
          <w:sz w:val="14"/>
        </w:rPr>
        <w:t> </w:t>
      </w:r>
      <w:r>
        <w:rPr>
          <w:rFonts w:ascii="Arial" w:hAnsi="Arial"/>
          <w:color w:val="231F20"/>
          <w:spacing w:val="-2"/>
          <w:w w:val="105"/>
          <w:sz w:val="14"/>
        </w:rPr>
        <w:t>autrui</w:t>
      </w:r>
      <w:r>
        <w:rPr>
          <w:rFonts w:ascii="Arial" w:hAnsi="Arial"/>
          <w:color w:val="231F20"/>
          <w:w w:val="105"/>
          <w:sz w:val="14"/>
        </w:rPr>
        <w:t> ou</w:t>
      </w:r>
      <w:r>
        <w:rPr>
          <w:rFonts w:ascii="Arial" w:hAnsi="Arial"/>
          <w:color w:val="231F20"/>
          <w:spacing w:val="-4"/>
          <w:w w:val="105"/>
          <w:sz w:val="14"/>
        </w:rPr>
        <w:t> </w:t>
      </w:r>
      <w:r>
        <w:rPr>
          <w:rFonts w:ascii="Arial" w:hAnsi="Arial"/>
          <w:color w:val="231F20"/>
          <w:w w:val="105"/>
          <w:sz w:val="14"/>
        </w:rPr>
        <w:t>qu’il</w:t>
      </w:r>
      <w:r>
        <w:rPr>
          <w:rFonts w:ascii="Arial" w:hAnsi="Arial"/>
          <w:color w:val="231F20"/>
          <w:spacing w:val="-4"/>
          <w:w w:val="105"/>
          <w:sz w:val="14"/>
        </w:rPr>
        <w:t> </w:t>
      </w:r>
      <w:r>
        <w:rPr>
          <w:rFonts w:ascii="Arial" w:hAnsi="Arial"/>
          <w:color w:val="231F20"/>
          <w:w w:val="105"/>
          <w:sz w:val="14"/>
        </w:rPr>
        <w:t>s’impose</w:t>
      </w:r>
      <w:r>
        <w:rPr>
          <w:rFonts w:ascii="Arial" w:hAnsi="Arial"/>
          <w:color w:val="231F20"/>
          <w:spacing w:val="-4"/>
          <w:w w:val="105"/>
          <w:sz w:val="14"/>
        </w:rPr>
        <w:t> </w:t>
      </w:r>
      <w:r>
        <w:rPr>
          <w:rFonts w:ascii="Arial" w:hAnsi="Arial"/>
          <w:color w:val="231F20"/>
          <w:w w:val="105"/>
          <w:sz w:val="14"/>
        </w:rPr>
        <w:t>lui-même </w:t>
      </w:r>
      <w:r>
        <w:rPr>
          <w:rFonts w:ascii="Arial" w:hAnsi="Arial"/>
          <w:color w:val="231F20"/>
          <w:spacing w:val="-2"/>
          <w:w w:val="105"/>
          <w:sz w:val="14"/>
        </w:rPr>
        <w:t>commencent</w:t>
      </w:r>
      <w:r>
        <w:rPr>
          <w:rFonts w:ascii="Arial" w:hAnsi="Arial"/>
          <w:color w:val="231F20"/>
          <w:spacing w:val="-8"/>
          <w:w w:val="105"/>
          <w:sz w:val="14"/>
        </w:rPr>
        <w:t> </w:t>
      </w:r>
      <w:r>
        <w:rPr>
          <w:rFonts w:ascii="Arial" w:hAnsi="Arial"/>
          <w:color w:val="231F20"/>
          <w:spacing w:val="-2"/>
          <w:w w:val="105"/>
          <w:sz w:val="14"/>
        </w:rPr>
        <w:t>à</w:t>
      </w:r>
      <w:r>
        <w:rPr>
          <w:rFonts w:ascii="Arial" w:hAnsi="Arial"/>
          <w:color w:val="231F20"/>
          <w:spacing w:val="-8"/>
          <w:w w:val="105"/>
          <w:sz w:val="14"/>
        </w:rPr>
        <w:t> </w:t>
      </w:r>
      <w:r>
        <w:rPr>
          <w:rFonts w:ascii="Arial" w:hAnsi="Arial"/>
          <w:color w:val="231F20"/>
          <w:spacing w:val="-2"/>
          <w:w w:val="105"/>
          <w:sz w:val="14"/>
        </w:rPr>
        <w:t>outrepasser</w:t>
      </w:r>
      <w:r>
        <w:rPr>
          <w:rFonts w:ascii="Arial" w:hAnsi="Arial"/>
          <w:color w:val="231F20"/>
          <w:w w:val="105"/>
          <w:sz w:val="14"/>
        </w:rPr>
        <w:t> les ressources dont il dispose</w:t>
      </w:r>
      <w:r>
        <w:rPr>
          <w:rFonts w:ascii="Arial" w:hAnsi="Arial"/>
          <w:color w:val="231F20"/>
          <w:spacing w:val="-1"/>
          <w:w w:val="105"/>
          <w:sz w:val="14"/>
        </w:rPr>
        <w:t> </w:t>
      </w:r>
      <w:r>
        <w:rPr>
          <w:rFonts w:ascii="Arial" w:hAnsi="Arial"/>
          <w:color w:val="231F20"/>
          <w:w w:val="105"/>
          <w:sz w:val="14"/>
        </w:rPr>
        <w:t>pour</w:t>
      </w:r>
      <w:r>
        <w:rPr>
          <w:rFonts w:ascii="Arial" w:hAnsi="Arial"/>
          <w:color w:val="231F20"/>
          <w:spacing w:val="-1"/>
          <w:w w:val="105"/>
          <w:sz w:val="14"/>
        </w:rPr>
        <w:t> </w:t>
      </w:r>
      <w:r>
        <w:rPr>
          <w:rFonts w:ascii="Arial" w:hAnsi="Arial"/>
          <w:color w:val="231F20"/>
          <w:w w:val="105"/>
          <w:sz w:val="14"/>
        </w:rPr>
        <w:t>les</w:t>
      </w:r>
      <w:r>
        <w:rPr>
          <w:rFonts w:ascii="Arial" w:hAnsi="Arial"/>
          <w:color w:val="231F20"/>
          <w:spacing w:val="-1"/>
          <w:w w:val="105"/>
          <w:sz w:val="14"/>
        </w:rPr>
        <w:t> </w:t>
      </w:r>
      <w:r>
        <w:rPr>
          <w:rFonts w:ascii="Arial" w:hAnsi="Arial"/>
          <w:color w:val="231F20"/>
          <w:w w:val="105"/>
          <w:sz w:val="14"/>
        </w:rPr>
        <w:t>maîtriser. </w:t>
      </w:r>
      <w:r>
        <w:rPr>
          <w:rFonts w:ascii="Arial" w:hAnsi="Arial"/>
          <w:color w:val="231F20"/>
          <w:sz w:val="14"/>
        </w:rPr>
        <w:t>L’individu</w:t>
      </w:r>
      <w:r>
        <w:rPr>
          <w:rFonts w:ascii="Arial" w:hAnsi="Arial"/>
          <w:color w:val="231F20"/>
          <w:spacing w:val="-10"/>
          <w:sz w:val="14"/>
        </w:rPr>
        <w:t> </w:t>
      </w:r>
      <w:r>
        <w:rPr>
          <w:rFonts w:ascii="Arial" w:hAnsi="Arial"/>
          <w:color w:val="231F20"/>
          <w:sz w:val="14"/>
        </w:rPr>
        <w:t>commence</w:t>
      </w:r>
      <w:r>
        <w:rPr>
          <w:rFonts w:ascii="Arial" w:hAnsi="Arial"/>
          <w:color w:val="231F20"/>
          <w:spacing w:val="-10"/>
          <w:sz w:val="14"/>
        </w:rPr>
        <w:t> </w:t>
      </w:r>
      <w:r>
        <w:rPr>
          <w:rFonts w:ascii="Arial" w:hAnsi="Arial"/>
          <w:color w:val="231F20"/>
          <w:sz w:val="14"/>
        </w:rPr>
        <w:t>alors</w:t>
      </w:r>
      <w:r>
        <w:rPr>
          <w:rFonts w:ascii="Arial" w:hAnsi="Arial"/>
          <w:color w:val="231F20"/>
          <w:spacing w:val="-10"/>
          <w:sz w:val="14"/>
        </w:rPr>
        <w:t> </w:t>
      </w:r>
      <w:r>
        <w:rPr>
          <w:rFonts w:ascii="Arial" w:hAnsi="Arial"/>
          <w:color w:val="231F20"/>
          <w:sz w:val="14"/>
        </w:rPr>
        <w:t>à</w:t>
      </w:r>
      <w:r>
        <w:rPr>
          <w:rFonts w:ascii="Arial" w:hAnsi="Arial"/>
          <w:color w:val="231F20"/>
          <w:w w:val="105"/>
          <w:sz w:val="14"/>
        </w:rPr>
        <w:t> se</w:t>
      </w:r>
      <w:r>
        <w:rPr>
          <w:rFonts w:ascii="Arial" w:hAnsi="Arial"/>
          <w:color w:val="231F20"/>
          <w:spacing w:val="-11"/>
          <w:w w:val="105"/>
          <w:sz w:val="14"/>
        </w:rPr>
        <w:t> </w:t>
      </w:r>
      <w:r>
        <w:rPr>
          <w:rFonts w:ascii="Arial" w:hAnsi="Arial"/>
          <w:color w:val="231F20"/>
          <w:w w:val="105"/>
          <w:sz w:val="14"/>
        </w:rPr>
        <w:t>sentir</w:t>
      </w:r>
      <w:r>
        <w:rPr>
          <w:rFonts w:ascii="Arial" w:hAnsi="Arial"/>
          <w:color w:val="231F20"/>
          <w:spacing w:val="-10"/>
          <w:w w:val="105"/>
          <w:sz w:val="14"/>
        </w:rPr>
        <w:t> </w:t>
      </w:r>
      <w:r>
        <w:rPr>
          <w:rFonts w:ascii="Arial" w:hAnsi="Arial"/>
          <w:color w:val="231F20"/>
          <w:w w:val="105"/>
          <w:sz w:val="14"/>
        </w:rPr>
        <w:t>frustré</w:t>
      </w:r>
      <w:r>
        <w:rPr>
          <w:rFonts w:ascii="Arial" w:hAnsi="Arial"/>
          <w:color w:val="231F20"/>
          <w:spacing w:val="-10"/>
          <w:w w:val="105"/>
          <w:sz w:val="14"/>
        </w:rPr>
        <w:t> </w:t>
      </w:r>
      <w:r>
        <w:rPr>
          <w:rFonts w:ascii="Arial" w:hAnsi="Arial"/>
          <w:color w:val="231F20"/>
          <w:w w:val="105"/>
          <w:sz w:val="14"/>
        </w:rPr>
        <w:t>et</w:t>
      </w:r>
      <w:r>
        <w:rPr>
          <w:rFonts w:ascii="Arial" w:hAnsi="Arial"/>
          <w:color w:val="231F20"/>
          <w:spacing w:val="-10"/>
          <w:w w:val="105"/>
          <w:sz w:val="14"/>
        </w:rPr>
        <w:t> </w:t>
      </w:r>
      <w:r>
        <w:rPr>
          <w:rFonts w:ascii="Arial" w:hAnsi="Arial"/>
          <w:color w:val="231F20"/>
          <w:w w:val="105"/>
          <w:sz w:val="14"/>
        </w:rPr>
        <w:t>anxieux, </w:t>
      </w:r>
      <w:r>
        <w:rPr>
          <w:rFonts w:ascii="Arial" w:hAnsi="Arial"/>
          <w:color w:val="231F20"/>
          <w:sz w:val="14"/>
        </w:rPr>
        <w:t>et</w:t>
      </w:r>
      <w:r>
        <w:rPr>
          <w:rFonts w:ascii="Arial" w:hAnsi="Arial"/>
          <w:color w:val="231F20"/>
          <w:spacing w:val="-2"/>
          <w:sz w:val="14"/>
        </w:rPr>
        <w:t> </w:t>
      </w:r>
      <w:r>
        <w:rPr>
          <w:rFonts w:ascii="Arial" w:hAnsi="Arial"/>
          <w:color w:val="231F20"/>
          <w:sz w:val="14"/>
        </w:rPr>
        <w:t>son</w:t>
      </w:r>
      <w:r>
        <w:rPr>
          <w:rFonts w:ascii="Arial" w:hAnsi="Arial"/>
          <w:color w:val="231F20"/>
          <w:spacing w:val="-2"/>
          <w:sz w:val="14"/>
        </w:rPr>
        <w:t> </w:t>
      </w:r>
      <w:r>
        <w:rPr>
          <w:rFonts w:ascii="Arial" w:hAnsi="Arial"/>
          <w:color w:val="231F20"/>
          <w:sz w:val="14"/>
        </w:rPr>
        <w:t>bien-être</w:t>
      </w:r>
      <w:r>
        <w:rPr>
          <w:rFonts w:ascii="Arial" w:hAnsi="Arial"/>
          <w:color w:val="231F20"/>
          <w:spacing w:val="-2"/>
          <w:sz w:val="14"/>
        </w:rPr>
        <w:t> </w:t>
      </w:r>
      <w:r>
        <w:rPr>
          <w:rFonts w:ascii="Arial" w:hAnsi="Arial"/>
          <w:color w:val="231F20"/>
          <w:sz w:val="14"/>
        </w:rPr>
        <w:t>est</w:t>
      </w:r>
      <w:r>
        <w:rPr>
          <w:rFonts w:ascii="Arial" w:hAnsi="Arial"/>
          <w:color w:val="231F20"/>
          <w:spacing w:val="-2"/>
          <w:sz w:val="14"/>
        </w:rPr>
        <w:t> </w:t>
      </w:r>
      <w:r>
        <w:rPr>
          <w:rFonts w:ascii="Arial" w:hAnsi="Arial"/>
          <w:color w:val="231F20"/>
          <w:spacing w:val="-4"/>
          <w:sz w:val="14"/>
        </w:rPr>
        <w:t>menacé.</w:t>
      </w:r>
    </w:p>
    <w:p>
      <w:pPr>
        <w:pStyle w:val="BodyText"/>
        <w:spacing w:line="307" w:lineRule="auto" w:before="75"/>
        <w:ind w:left="200" w:right="489"/>
        <w:jc w:val="both"/>
      </w:pPr>
      <w:r>
        <w:rPr/>
        <w:br w:type="column"/>
      </w:r>
      <w:r>
        <w:rPr>
          <w:color w:val="231F20"/>
          <w:w w:val="120"/>
        </w:rPr>
        <w:t>la personnalité résistante, le névrosisme, les </w:t>
      </w:r>
      <w:r>
        <w:rPr>
          <w:color w:val="231F20"/>
          <w:w w:val="115"/>
        </w:rPr>
        <w:t>styles</w:t>
      </w:r>
      <w:r>
        <w:rPr>
          <w:color w:val="231F20"/>
          <w:spacing w:val="-5"/>
          <w:w w:val="115"/>
        </w:rPr>
        <w:t> </w:t>
      </w:r>
      <w:r>
        <w:rPr>
          <w:color w:val="231F20"/>
          <w:w w:val="115"/>
        </w:rPr>
        <w:t>cognitifs,</w:t>
      </w:r>
      <w:r>
        <w:rPr>
          <w:color w:val="231F20"/>
          <w:spacing w:val="-5"/>
          <w:w w:val="115"/>
        </w:rPr>
        <w:t> </w:t>
      </w:r>
      <w:r>
        <w:rPr>
          <w:color w:val="231F20"/>
          <w:w w:val="115"/>
        </w:rPr>
        <w:t>le</w:t>
      </w:r>
      <w:r>
        <w:rPr>
          <w:color w:val="231F20"/>
          <w:spacing w:val="-5"/>
          <w:w w:val="115"/>
        </w:rPr>
        <w:t> </w:t>
      </w:r>
      <w:r>
        <w:rPr>
          <w:color w:val="231F20"/>
          <w:w w:val="115"/>
        </w:rPr>
        <w:t>sentiment</w:t>
      </w:r>
      <w:r>
        <w:rPr>
          <w:color w:val="231F20"/>
          <w:spacing w:val="-5"/>
          <w:w w:val="115"/>
        </w:rPr>
        <w:t> </w:t>
      </w:r>
      <w:r>
        <w:rPr>
          <w:color w:val="231F20"/>
          <w:w w:val="115"/>
        </w:rPr>
        <w:t>d’autoefficacité,</w:t>
      </w:r>
      <w:r>
        <w:rPr>
          <w:color w:val="231F20"/>
          <w:spacing w:val="-5"/>
          <w:w w:val="115"/>
        </w:rPr>
        <w:t> </w:t>
      </w:r>
      <w:r>
        <w:rPr>
          <w:color w:val="231F20"/>
          <w:w w:val="115"/>
        </w:rPr>
        <w:t>le </w:t>
      </w:r>
      <w:r>
        <w:rPr>
          <w:color w:val="231F20"/>
          <w:w w:val="120"/>
        </w:rPr>
        <w:t>locus</w:t>
      </w:r>
      <w:r>
        <w:rPr>
          <w:color w:val="231F20"/>
          <w:spacing w:val="-13"/>
          <w:w w:val="120"/>
        </w:rPr>
        <w:t> </w:t>
      </w:r>
      <w:r>
        <w:rPr>
          <w:color w:val="231F20"/>
          <w:w w:val="120"/>
        </w:rPr>
        <w:t>de</w:t>
      </w:r>
      <w:r>
        <w:rPr>
          <w:color w:val="231F20"/>
          <w:spacing w:val="-13"/>
          <w:w w:val="120"/>
        </w:rPr>
        <w:t> </w:t>
      </w:r>
      <w:r>
        <w:rPr>
          <w:color w:val="231F20"/>
          <w:w w:val="120"/>
        </w:rPr>
        <w:t>contrôle,</w:t>
      </w:r>
      <w:r>
        <w:rPr>
          <w:color w:val="231F20"/>
          <w:spacing w:val="-13"/>
          <w:w w:val="120"/>
        </w:rPr>
        <w:t> </w:t>
      </w:r>
      <w:r>
        <w:rPr>
          <w:color w:val="231F20"/>
          <w:w w:val="120"/>
        </w:rPr>
        <w:t>les</w:t>
      </w:r>
      <w:r>
        <w:rPr>
          <w:color w:val="231F20"/>
          <w:spacing w:val="-12"/>
          <w:w w:val="120"/>
        </w:rPr>
        <w:t> </w:t>
      </w:r>
      <w:r>
        <w:rPr>
          <w:color w:val="231F20"/>
          <w:w w:val="120"/>
        </w:rPr>
        <w:t>valeurs</w:t>
      </w:r>
      <w:r>
        <w:rPr>
          <w:color w:val="231F20"/>
          <w:spacing w:val="-13"/>
          <w:w w:val="120"/>
        </w:rPr>
        <w:t> </w:t>
      </w:r>
      <w:r>
        <w:rPr>
          <w:color w:val="231F20"/>
          <w:w w:val="120"/>
        </w:rPr>
        <w:t>et</w:t>
      </w:r>
      <w:r>
        <w:rPr>
          <w:color w:val="231F20"/>
          <w:spacing w:val="-13"/>
          <w:w w:val="120"/>
        </w:rPr>
        <w:t> </w:t>
      </w:r>
      <w:r>
        <w:rPr>
          <w:color w:val="231F20"/>
          <w:w w:val="120"/>
        </w:rPr>
        <w:t>d’autres</w:t>
      </w:r>
      <w:r>
        <w:rPr>
          <w:color w:val="231F20"/>
          <w:spacing w:val="-13"/>
          <w:w w:val="120"/>
        </w:rPr>
        <w:t> </w:t>
      </w:r>
      <w:r>
        <w:rPr>
          <w:color w:val="231F20"/>
          <w:w w:val="120"/>
        </w:rPr>
        <w:t>carac- téristiques plus ou moins stables ont un effet modulateur</w:t>
      </w:r>
      <w:r>
        <w:rPr>
          <w:color w:val="231F20"/>
          <w:w w:val="120"/>
        </w:rPr>
        <w:t> sur</w:t>
      </w:r>
      <w:r>
        <w:rPr>
          <w:color w:val="231F20"/>
          <w:w w:val="120"/>
        </w:rPr>
        <w:t> les</w:t>
      </w:r>
      <w:r>
        <w:rPr>
          <w:color w:val="231F20"/>
          <w:w w:val="120"/>
        </w:rPr>
        <w:t> diverses</w:t>
      </w:r>
      <w:r>
        <w:rPr>
          <w:color w:val="231F20"/>
          <w:w w:val="120"/>
        </w:rPr>
        <w:t> influences</w:t>
      </w:r>
      <w:r>
        <w:rPr>
          <w:color w:val="231F20"/>
          <w:w w:val="120"/>
        </w:rPr>
        <w:t> qui s’exercent au cours du processus du stress. Nous</w:t>
      </w:r>
      <w:r>
        <w:rPr>
          <w:color w:val="231F20"/>
          <w:w w:val="120"/>
        </w:rPr>
        <w:t> discuterons</w:t>
      </w:r>
      <w:r>
        <w:rPr>
          <w:color w:val="231F20"/>
          <w:w w:val="120"/>
        </w:rPr>
        <w:t> plus</w:t>
      </w:r>
      <w:r>
        <w:rPr>
          <w:color w:val="231F20"/>
          <w:w w:val="120"/>
        </w:rPr>
        <w:t> amplement</w:t>
      </w:r>
      <w:r>
        <w:rPr>
          <w:color w:val="231F20"/>
          <w:w w:val="120"/>
        </w:rPr>
        <w:t> de</w:t>
      </w:r>
      <w:r>
        <w:rPr>
          <w:color w:val="231F20"/>
          <w:w w:val="120"/>
        </w:rPr>
        <w:t> ces caractéristiques au cours de ce chapitre.</w:t>
      </w:r>
    </w:p>
    <w:p>
      <w:pPr>
        <w:spacing w:after="0" w:line="307" w:lineRule="auto"/>
        <w:jc w:val="both"/>
        <w:sectPr>
          <w:type w:val="continuous"/>
          <w:pgSz w:w="8640" w:h="12960"/>
          <w:pgMar w:header="0" w:footer="424" w:top="1220" w:bottom="280" w:left="420" w:right="1140"/>
          <w:cols w:num="2" w:equalWidth="0">
            <w:col w:w="2591" w:space="40"/>
            <w:col w:w="4449"/>
          </w:cols>
        </w:sectPr>
      </w:pPr>
    </w:p>
    <w:p>
      <w:pPr>
        <w:spacing w:before="118"/>
        <w:ind w:left="2049" w:right="0" w:firstLine="0"/>
        <w:jc w:val="left"/>
        <w:rPr>
          <w:rFonts w:ascii="Arial" w:hAnsi="Arial"/>
          <w:sz w:val="14"/>
        </w:rPr>
      </w:pPr>
      <w:bookmarkStart w:name=" 3.2 / Antécédents du stress au travail" w:id="82"/>
      <w:bookmarkEnd w:id="82"/>
      <w:r>
        <w:rPr/>
      </w:r>
      <w:bookmarkStart w:name="_bookmark35" w:id="83"/>
      <w:bookmarkEnd w:id="83"/>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b/>
          <w:color w:val="231F20"/>
          <w:w w:val="115"/>
        </w:rPr>
        <w:t>L’expérience</w:t>
      </w:r>
      <w:r>
        <w:rPr>
          <w:b/>
          <w:color w:val="231F20"/>
          <w:spacing w:val="-13"/>
          <w:w w:val="115"/>
        </w:rPr>
        <w:t> </w:t>
      </w:r>
      <w:r>
        <w:rPr>
          <w:b/>
          <w:color w:val="231F20"/>
          <w:w w:val="115"/>
        </w:rPr>
        <w:t>subjective.</w:t>
      </w:r>
      <w:r>
        <w:rPr>
          <w:b/>
          <w:color w:val="231F20"/>
          <w:spacing w:val="-12"/>
          <w:w w:val="115"/>
        </w:rPr>
        <w:t> </w:t>
      </w:r>
      <w:r>
        <w:rPr>
          <w:color w:val="231F20"/>
          <w:w w:val="115"/>
        </w:rPr>
        <w:t>Ce</w:t>
      </w:r>
      <w:r>
        <w:rPr>
          <w:color w:val="231F20"/>
          <w:spacing w:val="-12"/>
          <w:w w:val="115"/>
        </w:rPr>
        <w:t> </w:t>
      </w:r>
      <w:r>
        <w:rPr>
          <w:color w:val="231F20"/>
          <w:w w:val="115"/>
        </w:rPr>
        <w:t>bloc</w:t>
      </w:r>
      <w:r>
        <w:rPr>
          <w:color w:val="231F20"/>
          <w:spacing w:val="-12"/>
          <w:w w:val="115"/>
        </w:rPr>
        <w:t> </w:t>
      </w:r>
      <w:r>
        <w:rPr>
          <w:color w:val="231F20"/>
          <w:w w:val="115"/>
        </w:rPr>
        <w:t>de</w:t>
      </w:r>
      <w:r>
        <w:rPr>
          <w:color w:val="231F20"/>
          <w:spacing w:val="-13"/>
          <w:w w:val="115"/>
        </w:rPr>
        <w:t> </w:t>
      </w:r>
      <w:r>
        <w:rPr>
          <w:color w:val="231F20"/>
          <w:w w:val="115"/>
        </w:rPr>
        <w:t>variables</w:t>
      </w:r>
      <w:r>
        <w:rPr>
          <w:color w:val="231F20"/>
          <w:spacing w:val="-12"/>
          <w:w w:val="115"/>
        </w:rPr>
        <w:t> </w:t>
      </w:r>
      <w:r>
        <w:rPr>
          <w:color w:val="231F20"/>
          <w:w w:val="115"/>
        </w:rPr>
        <w:t>établit</w:t>
      </w:r>
      <w:r>
        <w:rPr>
          <w:color w:val="231F20"/>
          <w:spacing w:val="-12"/>
          <w:w w:val="115"/>
        </w:rPr>
        <w:t> </w:t>
      </w:r>
      <w:r>
        <w:rPr>
          <w:color w:val="231F20"/>
          <w:w w:val="115"/>
        </w:rPr>
        <w:t>une</w:t>
      </w:r>
      <w:r>
        <w:rPr>
          <w:color w:val="231F20"/>
          <w:spacing w:val="-12"/>
          <w:w w:val="115"/>
        </w:rPr>
        <w:t> </w:t>
      </w:r>
      <w:r>
        <w:rPr>
          <w:color w:val="231F20"/>
          <w:w w:val="115"/>
        </w:rPr>
        <w:t>distinction</w:t>
      </w:r>
      <w:r>
        <w:rPr>
          <w:color w:val="231F20"/>
          <w:spacing w:val="-12"/>
          <w:w w:val="115"/>
        </w:rPr>
        <w:t> </w:t>
      </w:r>
      <w:r>
        <w:rPr>
          <w:color w:val="231F20"/>
          <w:w w:val="115"/>
        </w:rPr>
        <w:t>entre </w:t>
      </w:r>
      <w:r>
        <w:rPr>
          <w:color w:val="231F20"/>
          <w:w w:val="120"/>
        </w:rPr>
        <w:t>l’appréciation et le processus d’adaptation. Certains scientifiques dis- tinguent en outre l’appréciation primaire (l’évaluation de l’état bénin, non</w:t>
      </w:r>
      <w:r>
        <w:rPr>
          <w:color w:val="231F20"/>
          <w:spacing w:val="-3"/>
          <w:w w:val="120"/>
        </w:rPr>
        <w:t> </w:t>
      </w:r>
      <w:r>
        <w:rPr>
          <w:color w:val="231F20"/>
          <w:w w:val="120"/>
        </w:rPr>
        <w:t>pertinent</w:t>
      </w:r>
      <w:r>
        <w:rPr>
          <w:color w:val="231F20"/>
          <w:spacing w:val="-3"/>
          <w:w w:val="120"/>
        </w:rPr>
        <w:t> </w:t>
      </w:r>
      <w:r>
        <w:rPr>
          <w:color w:val="231F20"/>
          <w:w w:val="120"/>
        </w:rPr>
        <w:t>ou</w:t>
      </w:r>
      <w:r>
        <w:rPr>
          <w:color w:val="231F20"/>
          <w:spacing w:val="-3"/>
          <w:w w:val="120"/>
        </w:rPr>
        <w:t> </w:t>
      </w:r>
      <w:r>
        <w:rPr>
          <w:color w:val="231F20"/>
          <w:w w:val="120"/>
        </w:rPr>
        <w:t>négatif</w:t>
      </w:r>
      <w:r>
        <w:rPr>
          <w:color w:val="231F20"/>
          <w:spacing w:val="-3"/>
          <w:w w:val="120"/>
        </w:rPr>
        <w:t> </w:t>
      </w:r>
      <w:r>
        <w:rPr>
          <w:color w:val="231F20"/>
          <w:w w:val="120"/>
        </w:rPr>
        <w:t>d’un</w:t>
      </w:r>
      <w:r>
        <w:rPr>
          <w:color w:val="231F20"/>
          <w:spacing w:val="-3"/>
          <w:w w:val="120"/>
        </w:rPr>
        <w:t> </w:t>
      </w:r>
      <w:r>
        <w:rPr>
          <w:color w:val="231F20"/>
          <w:w w:val="120"/>
        </w:rPr>
        <w:t>événement)</w:t>
      </w:r>
      <w:r>
        <w:rPr>
          <w:color w:val="231F20"/>
          <w:spacing w:val="-3"/>
          <w:w w:val="120"/>
        </w:rPr>
        <w:t> </w:t>
      </w:r>
      <w:r>
        <w:rPr>
          <w:color w:val="231F20"/>
          <w:w w:val="120"/>
        </w:rPr>
        <w:t>de</w:t>
      </w:r>
      <w:r>
        <w:rPr>
          <w:color w:val="231F20"/>
          <w:spacing w:val="-3"/>
          <w:w w:val="120"/>
        </w:rPr>
        <w:t> </w:t>
      </w:r>
      <w:r>
        <w:rPr>
          <w:color w:val="231F20"/>
          <w:w w:val="120"/>
        </w:rPr>
        <w:t>l’appréciation</w:t>
      </w:r>
      <w:r>
        <w:rPr>
          <w:color w:val="231F20"/>
          <w:spacing w:val="-3"/>
          <w:w w:val="120"/>
        </w:rPr>
        <w:t> </w:t>
      </w:r>
      <w:r>
        <w:rPr>
          <w:color w:val="231F20"/>
          <w:w w:val="120"/>
        </w:rPr>
        <w:t>secondaire </w:t>
      </w:r>
      <w:r>
        <w:rPr>
          <w:color w:val="231F20"/>
          <w:spacing w:val="-2"/>
          <w:w w:val="120"/>
        </w:rPr>
        <w:t>(l’évaluation</w:t>
      </w:r>
      <w:r>
        <w:rPr>
          <w:color w:val="231F20"/>
          <w:spacing w:val="-9"/>
          <w:w w:val="120"/>
        </w:rPr>
        <w:t> </w:t>
      </w:r>
      <w:r>
        <w:rPr>
          <w:color w:val="231F20"/>
          <w:spacing w:val="-2"/>
          <w:w w:val="120"/>
        </w:rPr>
        <w:t>des</w:t>
      </w:r>
      <w:r>
        <w:rPr>
          <w:color w:val="231F20"/>
          <w:spacing w:val="-9"/>
          <w:w w:val="120"/>
        </w:rPr>
        <w:t> </w:t>
      </w:r>
      <w:r>
        <w:rPr>
          <w:color w:val="231F20"/>
          <w:spacing w:val="-2"/>
          <w:w w:val="120"/>
        </w:rPr>
        <w:t>ressources</w:t>
      </w:r>
      <w:r>
        <w:rPr>
          <w:color w:val="231F20"/>
          <w:spacing w:val="-9"/>
          <w:w w:val="120"/>
        </w:rPr>
        <w:t> </w:t>
      </w:r>
      <w:r>
        <w:rPr>
          <w:color w:val="231F20"/>
          <w:spacing w:val="-2"/>
          <w:w w:val="120"/>
        </w:rPr>
        <w:t>nécessaires</w:t>
      </w:r>
      <w:r>
        <w:rPr>
          <w:color w:val="231F20"/>
          <w:spacing w:val="-9"/>
          <w:w w:val="120"/>
        </w:rPr>
        <w:t> </w:t>
      </w:r>
      <w:r>
        <w:rPr>
          <w:color w:val="231F20"/>
          <w:spacing w:val="-2"/>
          <w:w w:val="120"/>
        </w:rPr>
        <w:t>pour</w:t>
      </w:r>
      <w:r>
        <w:rPr>
          <w:color w:val="231F20"/>
          <w:spacing w:val="-9"/>
          <w:w w:val="120"/>
        </w:rPr>
        <w:t> </w:t>
      </w:r>
      <w:r>
        <w:rPr>
          <w:color w:val="231F20"/>
          <w:spacing w:val="-2"/>
          <w:w w:val="120"/>
        </w:rPr>
        <w:t>réagir</w:t>
      </w:r>
      <w:r>
        <w:rPr>
          <w:color w:val="231F20"/>
          <w:spacing w:val="-9"/>
          <w:w w:val="120"/>
        </w:rPr>
        <w:t> </w:t>
      </w:r>
      <w:r>
        <w:rPr>
          <w:color w:val="231F20"/>
          <w:spacing w:val="-2"/>
          <w:w w:val="120"/>
        </w:rPr>
        <w:t>à</w:t>
      </w:r>
      <w:r>
        <w:rPr>
          <w:color w:val="231F20"/>
          <w:spacing w:val="-9"/>
          <w:w w:val="120"/>
        </w:rPr>
        <w:t> </w:t>
      </w:r>
      <w:r>
        <w:rPr>
          <w:color w:val="231F20"/>
          <w:spacing w:val="-2"/>
          <w:w w:val="120"/>
        </w:rPr>
        <w:t>un</w:t>
      </w:r>
      <w:r>
        <w:rPr>
          <w:color w:val="231F20"/>
          <w:spacing w:val="-9"/>
          <w:w w:val="120"/>
        </w:rPr>
        <w:t> </w:t>
      </w:r>
      <w:r>
        <w:rPr>
          <w:color w:val="231F20"/>
          <w:spacing w:val="-2"/>
          <w:w w:val="120"/>
        </w:rPr>
        <w:t>événement</w:t>
      </w:r>
      <w:r>
        <w:rPr>
          <w:color w:val="231F20"/>
          <w:spacing w:val="-9"/>
          <w:w w:val="120"/>
        </w:rPr>
        <w:t> </w:t>
      </w:r>
      <w:r>
        <w:rPr>
          <w:color w:val="231F20"/>
          <w:spacing w:val="-2"/>
          <w:w w:val="120"/>
        </w:rPr>
        <w:t>jugé </w:t>
      </w:r>
      <w:r>
        <w:rPr>
          <w:color w:val="231F20"/>
          <w:w w:val="120"/>
        </w:rPr>
        <w:t>négatif).</w:t>
      </w:r>
      <w:r>
        <w:rPr>
          <w:color w:val="231F20"/>
          <w:spacing w:val="-15"/>
          <w:w w:val="120"/>
        </w:rPr>
        <w:t> </w:t>
      </w:r>
      <w:r>
        <w:rPr>
          <w:color w:val="231F20"/>
          <w:w w:val="120"/>
        </w:rPr>
        <w:t>L’adaptation</w:t>
      </w:r>
      <w:r>
        <w:rPr>
          <w:color w:val="231F20"/>
          <w:spacing w:val="-13"/>
          <w:w w:val="120"/>
        </w:rPr>
        <w:t> </w:t>
      </w:r>
      <w:r>
        <w:rPr>
          <w:color w:val="231F20"/>
          <w:w w:val="120"/>
        </w:rPr>
        <w:t>(</w:t>
      </w:r>
      <w:r>
        <w:rPr>
          <w:i/>
          <w:color w:val="231F20"/>
          <w:w w:val="120"/>
        </w:rPr>
        <w:t>coping</w:t>
      </w:r>
      <w:r>
        <w:rPr>
          <w:color w:val="231F20"/>
          <w:w w:val="120"/>
        </w:rPr>
        <w:t>)</w:t>
      </w:r>
      <w:r>
        <w:rPr>
          <w:color w:val="231F20"/>
          <w:spacing w:val="-13"/>
          <w:w w:val="120"/>
        </w:rPr>
        <w:t> </w:t>
      </w:r>
      <w:r>
        <w:rPr>
          <w:color w:val="231F20"/>
          <w:w w:val="120"/>
        </w:rPr>
        <w:t>renvoie</w:t>
      </w:r>
      <w:r>
        <w:rPr>
          <w:color w:val="231F20"/>
          <w:spacing w:val="-12"/>
          <w:w w:val="120"/>
        </w:rPr>
        <w:t> </w:t>
      </w:r>
      <w:r>
        <w:rPr>
          <w:color w:val="231F20"/>
          <w:w w:val="120"/>
        </w:rPr>
        <w:t>aux</w:t>
      </w:r>
      <w:r>
        <w:rPr>
          <w:color w:val="231F20"/>
          <w:spacing w:val="-13"/>
          <w:w w:val="120"/>
        </w:rPr>
        <w:t> </w:t>
      </w:r>
      <w:r>
        <w:rPr>
          <w:color w:val="231F20"/>
          <w:w w:val="120"/>
        </w:rPr>
        <w:t>efforts</w:t>
      </w:r>
      <w:r>
        <w:rPr>
          <w:color w:val="231F20"/>
          <w:spacing w:val="-13"/>
          <w:w w:val="120"/>
        </w:rPr>
        <w:t> </w:t>
      </w:r>
      <w:r>
        <w:rPr>
          <w:color w:val="231F20"/>
          <w:w w:val="120"/>
        </w:rPr>
        <w:t>cognitifs</w:t>
      </w:r>
      <w:r>
        <w:rPr>
          <w:color w:val="231F20"/>
          <w:spacing w:val="-13"/>
          <w:w w:val="120"/>
        </w:rPr>
        <w:t> </w:t>
      </w:r>
      <w:r>
        <w:rPr>
          <w:color w:val="231F20"/>
          <w:w w:val="120"/>
        </w:rPr>
        <w:t>et</w:t>
      </w:r>
      <w:r>
        <w:rPr>
          <w:color w:val="231F20"/>
          <w:spacing w:val="-12"/>
          <w:w w:val="120"/>
        </w:rPr>
        <w:t> </w:t>
      </w:r>
      <w:r>
        <w:rPr>
          <w:color w:val="231F20"/>
          <w:w w:val="120"/>
        </w:rPr>
        <w:t>compor- tementaux visant à maîtriser, à réduire ou à éliminer les effets d’une situation perçue comme étant stressante.</w:t>
      </w:r>
    </w:p>
    <w:p>
      <w:pPr>
        <w:pStyle w:val="BodyText"/>
        <w:spacing w:before="7"/>
        <w:rPr>
          <w:sz w:val="21"/>
        </w:rPr>
      </w:pPr>
    </w:p>
    <w:p>
      <w:pPr>
        <w:pStyle w:val="BodyText"/>
        <w:spacing w:line="307" w:lineRule="auto"/>
        <w:ind w:left="1220" w:right="104"/>
        <w:jc w:val="both"/>
      </w:pPr>
      <w:r>
        <w:rPr>
          <w:b/>
          <w:color w:val="231F20"/>
          <w:w w:val="120"/>
        </w:rPr>
        <w:t>Les</w:t>
      </w:r>
      <w:r>
        <w:rPr>
          <w:b/>
          <w:color w:val="231F20"/>
          <w:spacing w:val="-1"/>
          <w:w w:val="120"/>
        </w:rPr>
        <w:t> </w:t>
      </w:r>
      <w:r>
        <w:rPr>
          <w:b/>
          <w:color w:val="231F20"/>
          <w:w w:val="120"/>
        </w:rPr>
        <w:t>réponses</w:t>
      </w:r>
      <w:r>
        <w:rPr>
          <w:b/>
          <w:color w:val="231F20"/>
          <w:spacing w:val="-1"/>
          <w:w w:val="120"/>
        </w:rPr>
        <w:t> </w:t>
      </w:r>
      <w:r>
        <w:rPr>
          <w:b/>
          <w:color w:val="231F20"/>
          <w:w w:val="120"/>
        </w:rPr>
        <w:t>individuelles. </w:t>
      </w:r>
      <w:r>
        <w:rPr>
          <w:color w:val="231F20"/>
          <w:w w:val="120"/>
        </w:rPr>
        <w:t>Ce bloc, en lien direct avec le précédent, prend en considération les stratégies d’adaptation de l’individu et son appréciation ultérieure du succès de ces stratégies.</w:t>
      </w:r>
    </w:p>
    <w:p>
      <w:pPr>
        <w:pStyle w:val="BodyText"/>
        <w:spacing w:before="8"/>
        <w:rPr>
          <w:sz w:val="21"/>
        </w:rPr>
      </w:pPr>
    </w:p>
    <w:p>
      <w:pPr>
        <w:pStyle w:val="BodyText"/>
        <w:spacing w:line="307" w:lineRule="auto"/>
        <w:ind w:left="1220" w:right="102"/>
        <w:jc w:val="both"/>
      </w:pPr>
      <w:r>
        <w:rPr>
          <w:b/>
          <w:color w:val="231F20"/>
          <w:w w:val="115"/>
        </w:rPr>
        <w:t>Les</w:t>
      </w:r>
      <w:r>
        <w:rPr>
          <w:b/>
          <w:color w:val="231F20"/>
          <w:spacing w:val="-10"/>
          <w:w w:val="115"/>
        </w:rPr>
        <w:t> </w:t>
      </w:r>
      <w:r>
        <w:rPr>
          <w:b/>
          <w:color w:val="231F20"/>
          <w:w w:val="115"/>
        </w:rPr>
        <w:t>résultantes</w:t>
      </w:r>
      <w:r>
        <w:rPr>
          <w:b/>
          <w:color w:val="231F20"/>
          <w:spacing w:val="-10"/>
          <w:w w:val="115"/>
        </w:rPr>
        <w:t> </w:t>
      </w:r>
      <w:r>
        <w:rPr>
          <w:b/>
          <w:color w:val="231F20"/>
          <w:w w:val="115"/>
        </w:rPr>
        <w:t>du</w:t>
      </w:r>
      <w:r>
        <w:rPr>
          <w:b/>
          <w:color w:val="231F20"/>
          <w:spacing w:val="-10"/>
          <w:w w:val="115"/>
        </w:rPr>
        <w:t> </w:t>
      </w:r>
      <w:r>
        <w:rPr>
          <w:b/>
          <w:color w:val="231F20"/>
          <w:w w:val="115"/>
        </w:rPr>
        <w:t>stress.</w:t>
      </w:r>
      <w:r>
        <w:rPr>
          <w:b/>
          <w:color w:val="231F20"/>
          <w:spacing w:val="-7"/>
          <w:w w:val="115"/>
        </w:rPr>
        <w:t> </w:t>
      </w:r>
      <w:r>
        <w:rPr>
          <w:color w:val="231F20"/>
          <w:w w:val="115"/>
        </w:rPr>
        <w:t>Ce</w:t>
      </w:r>
      <w:r>
        <w:rPr>
          <w:color w:val="231F20"/>
          <w:spacing w:val="-7"/>
          <w:w w:val="115"/>
        </w:rPr>
        <w:t> </w:t>
      </w:r>
      <w:r>
        <w:rPr>
          <w:color w:val="231F20"/>
          <w:w w:val="115"/>
        </w:rPr>
        <w:t>dernier</w:t>
      </w:r>
      <w:r>
        <w:rPr>
          <w:color w:val="231F20"/>
          <w:spacing w:val="-7"/>
          <w:w w:val="115"/>
        </w:rPr>
        <w:t> </w:t>
      </w:r>
      <w:r>
        <w:rPr>
          <w:color w:val="231F20"/>
          <w:w w:val="115"/>
        </w:rPr>
        <w:t>groupe</w:t>
      </w:r>
      <w:r>
        <w:rPr>
          <w:color w:val="231F20"/>
          <w:spacing w:val="-7"/>
          <w:w w:val="115"/>
        </w:rPr>
        <w:t> </w:t>
      </w:r>
      <w:r>
        <w:rPr>
          <w:color w:val="231F20"/>
          <w:w w:val="115"/>
        </w:rPr>
        <w:t>de</w:t>
      </w:r>
      <w:r>
        <w:rPr>
          <w:color w:val="231F20"/>
          <w:spacing w:val="-7"/>
          <w:w w:val="115"/>
        </w:rPr>
        <w:t> </w:t>
      </w:r>
      <w:r>
        <w:rPr>
          <w:color w:val="231F20"/>
          <w:w w:val="115"/>
        </w:rPr>
        <w:t>variables</w:t>
      </w:r>
      <w:r>
        <w:rPr>
          <w:color w:val="231F20"/>
          <w:spacing w:val="-7"/>
          <w:w w:val="115"/>
        </w:rPr>
        <w:t> </w:t>
      </w:r>
      <w:r>
        <w:rPr>
          <w:color w:val="231F20"/>
          <w:w w:val="115"/>
        </w:rPr>
        <w:t>définit</w:t>
      </w:r>
      <w:r>
        <w:rPr>
          <w:color w:val="231F20"/>
          <w:spacing w:val="-7"/>
          <w:w w:val="115"/>
        </w:rPr>
        <w:t> </w:t>
      </w:r>
      <w:r>
        <w:rPr>
          <w:color w:val="231F20"/>
          <w:w w:val="115"/>
        </w:rPr>
        <w:t>les</w:t>
      </w:r>
      <w:r>
        <w:rPr>
          <w:color w:val="231F20"/>
          <w:spacing w:val="-7"/>
          <w:w w:val="115"/>
        </w:rPr>
        <w:t> </w:t>
      </w:r>
      <w:r>
        <w:rPr>
          <w:color w:val="231F20"/>
          <w:w w:val="115"/>
        </w:rPr>
        <w:t>réac- </w:t>
      </w:r>
      <w:r>
        <w:rPr>
          <w:color w:val="231F20"/>
          <w:w w:val="120"/>
        </w:rPr>
        <w:t>tions physiologiques, cognitives et comportementales de l’individu </w:t>
      </w:r>
      <w:r>
        <w:rPr>
          <w:color w:val="231F20"/>
          <w:spacing w:val="-2"/>
          <w:w w:val="120"/>
        </w:rPr>
        <w:t>face</w:t>
      </w:r>
      <w:r>
        <w:rPr>
          <w:color w:val="231F20"/>
          <w:spacing w:val="-5"/>
          <w:w w:val="120"/>
        </w:rPr>
        <w:t> </w:t>
      </w:r>
      <w:r>
        <w:rPr>
          <w:color w:val="231F20"/>
          <w:spacing w:val="-2"/>
          <w:w w:val="120"/>
        </w:rPr>
        <w:t>au</w:t>
      </w:r>
      <w:r>
        <w:rPr>
          <w:color w:val="231F20"/>
          <w:spacing w:val="-5"/>
          <w:w w:val="120"/>
        </w:rPr>
        <w:t> </w:t>
      </w:r>
      <w:r>
        <w:rPr>
          <w:color w:val="231F20"/>
          <w:spacing w:val="-2"/>
          <w:w w:val="120"/>
        </w:rPr>
        <w:t>stress</w:t>
      </w:r>
      <w:r>
        <w:rPr>
          <w:color w:val="231F20"/>
          <w:spacing w:val="-5"/>
          <w:w w:val="120"/>
        </w:rPr>
        <w:t> </w:t>
      </w:r>
      <w:r>
        <w:rPr>
          <w:color w:val="231F20"/>
          <w:spacing w:val="-2"/>
          <w:w w:val="120"/>
        </w:rPr>
        <w:t>et</w:t>
      </w:r>
      <w:r>
        <w:rPr>
          <w:color w:val="231F20"/>
          <w:spacing w:val="-5"/>
          <w:w w:val="120"/>
        </w:rPr>
        <w:t> </w:t>
      </w:r>
      <w:r>
        <w:rPr>
          <w:color w:val="231F20"/>
          <w:spacing w:val="-2"/>
          <w:w w:val="120"/>
        </w:rPr>
        <w:t>l’accentuation</w:t>
      </w:r>
      <w:r>
        <w:rPr>
          <w:color w:val="231F20"/>
          <w:spacing w:val="-5"/>
          <w:w w:val="120"/>
        </w:rPr>
        <w:t> </w:t>
      </w:r>
      <w:r>
        <w:rPr>
          <w:color w:val="231F20"/>
          <w:spacing w:val="-2"/>
          <w:w w:val="120"/>
        </w:rPr>
        <w:t>croissante</w:t>
      </w:r>
      <w:r>
        <w:rPr>
          <w:color w:val="231F20"/>
          <w:spacing w:val="-5"/>
          <w:w w:val="120"/>
        </w:rPr>
        <w:t> </w:t>
      </w:r>
      <w:r>
        <w:rPr>
          <w:color w:val="231F20"/>
          <w:spacing w:val="-2"/>
          <w:w w:val="120"/>
        </w:rPr>
        <w:t>des</w:t>
      </w:r>
      <w:r>
        <w:rPr>
          <w:color w:val="231F20"/>
          <w:spacing w:val="-5"/>
          <w:w w:val="120"/>
        </w:rPr>
        <w:t> </w:t>
      </w:r>
      <w:r>
        <w:rPr>
          <w:color w:val="231F20"/>
          <w:spacing w:val="-2"/>
          <w:w w:val="120"/>
        </w:rPr>
        <w:t>symptômes</w:t>
      </w:r>
      <w:r>
        <w:rPr>
          <w:color w:val="231F20"/>
          <w:spacing w:val="-5"/>
          <w:w w:val="120"/>
        </w:rPr>
        <w:t> </w:t>
      </w:r>
      <w:r>
        <w:rPr>
          <w:color w:val="231F20"/>
          <w:spacing w:val="-2"/>
          <w:w w:val="120"/>
        </w:rPr>
        <w:t>en</w:t>
      </w:r>
      <w:r>
        <w:rPr>
          <w:color w:val="231F20"/>
          <w:spacing w:val="-5"/>
          <w:w w:val="120"/>
        </w:rPr>
        <w:t> </w:t>
      </w:r>
      <w:r>
        <w:rPr>
          <w:color w:val="231F20"/>
          <w:spacing w:val="-2"/>
          <w:w w:val="120"/>
        </w:rPr>
        <w:t>fonction</w:t>
      </w:r>
      <w:r>
        <w:rPr>
          <w:color w:val="231F20"/>
          <w:spacing w:val="-5"/>
          <w:w w:val="120"/>
        </w:rPr>
        <w:t> </w:t>
      </w:r>
      <w:r>
        <w:rPr>
          <w:color w:val="231F20"/>
          <w:spacing w:val="-2"/>
          <w:w w:val="120"/>
        </w:rPr>
        <w:t>du </w:t>
      </w:r>
      <w:r>
        <w:rPr>
          <w:color w:val="231F20"/>
          <w:w w:val="120"/>
        </w:rPr>
        <w:t>prolongement de l’épisode de stress.</w:t>
      </w:r>
    </w:p>
    <w:p>
      <w:pPr>
        <w:pStyle w:val="BodyText"/>
        <w:spacing w:line="307" w:lineRule="auto" w:before="80"/>
        <w:ind w:left="1220" w:right="102" w:firstLine="250"/>
        <w:jc w:val="both"/>
      </w:pPr>
      <w:r>
        <w:rPr>
          <w:color w:val="231F20"/>
          <w:w w:val="115"/>
        </w:rPr>
        <w:t>L’ensemble de ces principaux groupes de variables s’imbriquent pour </w:t>
      </w:r>
      <w:r>
        <w:rPr>
          <w:color w:val="231F20"/>
          <w:w w:val="120"/>
        </w:rPr>
        <w:t>actualiser</w:t>
      </w:r>
      <w:r>
        <w:rPr>
          <w:color w:val="231F20"/>
          <w:spacing w:val="-10"/>
          <w:w w:val="120"/>
        </w:rPr>
        <w:t> </w:t>
      </w:r>
      <w:r>
        <w:rPr>
          <w:color w:val="231F20"/>
          <w:w w:val="120"/>
        </w:rPr>
        <w:t>la</w:t>
      </w:r>
      <w:r>
        <w:rPr>
          <w:color w:val="231F20"/>
          <w:spacing w:val="-10"/>
          <w:w w:val="120"/>
        </w:rPr>
        <w:t> </w:t>
      </w:r>
      <w:r>
        <w:rPr>
          <w:color w:val="231F20"/>
          <w:w w:val="120"/>
        </w:rPr>
        <w:t>dynamique</w:t>
      </w:r>
      <w:r>
        <w:rPr>
          <w:color w:val="231F20"/>
          <w:spacing w:val="-10"/>
          <w:w w:val="120"/>
        </w:rPr>
        <w:t> </w:t>
      </w:r>
      <w:r>
        <w:rPr>
          <w:color w:val="231F20"/>
          <w:w w:val="120"/>
        </w:rPr>
        <w:t>transactionnelle</w:t>
      </w:r>
      <w:r>
        <w:rPr>
          <w:color w:val="231F20"/>
          <w:spacing w:val="-10"/>
          <w:w w:val="120"/>
        </w:rPr>
        <w:t> </w:t>
      </w:r>
      <w:r>
        <w:rPr>
          <w:color w:val="231F20"/>
          <w:w w:val="120"/>
        </w:rPr>
        <w:t>du</w:t>
      </w:r>
      <w:r>
        <w:rPr>
          <w:color w:val="231F20"/>
          <w:spacing w:val="-10"/>
          <w:w w:val="120"/>
        </w:rPr>
        <w:t> </w:t>
      </w:r>
      <w:r>
        <w:rPr>
          <w:color w:val="231F20"/>
          <w:w w:val="120"/>
        </w:rPr>
        <w:t>stress</w:t>
      </w:r>
      <w:r>
        <w:rPr>
          <w:color w:val="231F20"/>
          <w:spacing w:val="-10"/>
          <w:w w:val="120"/>
        </w:rPr>
        <w:t> </w:t>
      </w:r>
      <w:r>
        <w:rPr>
          <w:color w:val="231F20"/>
          <w:w w:val="120"/>
        </w:rPr>
        <w:t>chez</w:t>
      </w:r>
      <w:r>
        <w:rPr>
          <w:color w:val="231F20"/>
          <w:spacing w:val="-10"/>
          <w:w w:val="120"/>
        </w:rPr>
        <w:t> </w:t>
      </w:r>
      <w:r>
        <w:rPr>
          <w:color w:val="231F20"/>
          <w:w w:val="120"/>
        </w:rPr>
        <w:t>les</w:t>
      </w:r>
      <w:r>
        <w:rPr>
          <w:color w:val="231F20"/>
          <w:spacing w:val="-10"/>
          <w:w w:val="120"/>
        </w:rPr>
        <w:t> </w:t>
      </w:r>
      <w:r>
        <w:rPr>
          <w:color w:val="231F20"/>
          <w:w w:val="120"/>
        </w:rPr>
        <w:t>individus,</w:t>
      </w:r>
      <w:r>
        <w:rPr>
          <w:color w:val="231F20"/>
          <w:spacing w:val="-10"/>
          <w:w w:val="120"/>
        </w:rPr>
        <w:t> </w:t>
      </w:r>
      <w:r>
        <w:rPr>
          <w:color w:val="231F20"/>
          <w:w w:val="120"/>
        </w:rPr>
        <w:t>et aussi</w:t>
      </w:r>
      <w:r>
        <w:rPr>
          <w:color w:val="231F20"/>
          <w:spacing w:val="-13"/>
          <w:w w:val="120"/>
        </w:rPr>
        <w:t> </w:t>
      </w:r>
      <w:r>
        <w:rPr>
          <w:color w:val="231F20"/>
          <w:w w:val="120"/>
        </w:rPr>
        <w:t>chez</w:t>
      </w:r>
      <w:r>
        <w:rPr>
          <w:color w:val="231F20"/>
          <w:spacing w:val="-13"/>
          <w:w w:val="120"/>
        </w:rPr>
        <w:t> </w:t>
      </w:r>
      <w:r>
        <w:rPr>
          <w:color w:val="231F20"/>
          <w:w w:val="120"/>
        </w:rPr>
        <w:t>les</w:t>
      </w:r>
      <w:r>
        <w:rPr>
          <w:color w:val="231F20"/>
          <w:spacing w:val="-13"/>
          <w:w w:val="120"/>
        </w:rPr>
        <w:t> </w:t>
      </w:r>
      <w:r>
        <w:rPr>
          <w:color w:val="231F20"/>
          <w:w w:val="120"/>
        </w:rPr>
        <w:t>travailleurs.</w:t>
      </w:r>
      <w:r>
        <w:rPr>
          <w:color w:val="231F20"/>
          <w:spacing w:val="-12"/>
          <w:w w:val="120"/>
        </w:rPr>
        <w:t> </w:t>
      </w:r>
      <w:r>
        <w:rPr>
          <w:color w:val="231F20"/>
          <w:w w:val="120"/>
        </w:rPr>
        <w:t>Dans</w:t>
      </w:r>
      <w:r>
        <w:rPr>
          <w:color w:val="231F20"/>
          <w:spacing w:val="-13"/>
          <w:w w:val="120"/>
        </w:rPr>
        <w:t> </w:t>
      </w:r>
      <w:r>
        <w:rPr>
          <w:color w:val="231F20"/>
          <w:w w:val="120"/>
        </w:rPr>
        <w:t>les</w:t>
      </w:r>
      <w:r>
        <w:rPr>
          <w:color w:val="231F20"/>
          <w:spacing w:val="-13"/>
          <w:w w:val="120"/>
        </w:rPr>
        <w:t> </w:t>
      </w:r>
      <w:r>
        <w:rPr>
          <w:color w:val="231F20"/>
          <w:w w:val="120"/>
        </w:rPr>
        <w:t>pages</w:t>
      </w:r>
      <w:r>
        <w:rPr>
          <w:color w:val="231F20"/>
          <w:spacing w:val="-13"/>
          <w:w w:val="120"/>
        </w:rPr>
        <w:t> </w:t>
      </w:r>
      <w:r>
        <w:rPr>
          <w:color w:val="231F20"/>
          <w:w w:val="120"/>
        </w:rPr>
        <w:t>qui</w:t>
      </w:r>
      <w:r>
        <w:rPr>
          <w:color w:val="231F20"/>
          <w:spacing w:val="-12"/>
          <w:w w:val="120"/>
        </w:rPr>
        <w:t> </w:t>
      </w:r>
      <w:r>
        <w:rPr>
          <w:color w:val="231F20"/>
          <w:w w:val="120"/>
        </w:rPr>
        <w:t>suivent,</w:t>
      </w:r>
      <w:r>
        <w:rPr>
          <w:color w:val="231F20"/>
          <w:spacing w:val="-13"/>
          <w:w w:val="120"/>
        </w:rPr>
        <w:t> </w:t>
      </w:r>
      <w:r>
        <w:rPr>
          <w:color w:val="231F20"/>
          <w:w w:val="120"/>
        </w:rPr>
        <w:t>nous</w:t>
      </w:r>
      <w:r>
        <w:rPr>
          <w:color w:val="231F20"/>
          <w:spacing w:val="-13"/>
          <w:w w:val="120"/>
        </w:rPr>
        <w:t> </w:t>
      </w:r>
      <w:r>
        <w:rPr>
          <w:color w:val="231F20"/>
          <w:w w:val="120"/>
        </w:rPr>
        <w:t>explorerons l’amont de cette dynamique en décrivant les antécédents du stress en </w:t>
      </w:r>
      <w:r>
        <w:rPr>
          <w:color w:val="231F20"/>
          <w:spacing w:val="-2"/>
          <w:w w:val="120"/>
        </w:rPr>
        <w:t>contexte</w:t>
      </w:r>
      <w:r>
        <w:rPr>
          <w:color w:val="231F20"/>
          <w:spacing w:val="-9"/>
          <w:w w:val="120"/>
        </w:rPr>
        <w:t> </w:t>
      </w:r>
      <w:r>
        <w:rPr>
          <w:color w:val="231F20"/>
          <w:spacing w:val="-2"/>
          <w:w w:val="120"/>
        </w:rPr>
        <w:t>de</w:t>
      </w:r>
      <w:r>
        <w:rPr>
          <w:color w:val="231F20"/>
          <w:spacing w:val="-9"/>
          <w:w w:val="120"/>
        </w:rPr>
        <w:t> </w:t>
      </w:r>
      <w:r>
        <w:rPr>
          <w:color w:val="231F20"/>
          <w:spacing w:val="-2"/>
          <w:w w:val="120"/>
        </w:rPr>
        <w:t>travail.</w:t>
      </w:r>
      <w:r>
        <w:rPr>
          <w:color w:val="231F20"/>
          <w:spacing w:val="-9"/>
          <w:w w:val="120"/>
        </w:rPr>
        <w:t> </w:t>
      </w:r>
      <w:r>
        <w:rPr>
          <w:color w:val="231F20"/>
          <w:spacing w:val="-2"/>
          <w:w w:val="120"/>
        </w:rPr>
        <w:t>À</w:t>
      </w:r>
      <w:r>
        <w:rPr>
          <w:color w:val="231F20"/>
          <w:spacing w:val="-9"/>
          <w:w w:val="120"/>
        </w:rPr>
        <w:t> </w:t>
      </w:r>
      <w:r>
        <w:rPr>
          <w:color w:val="231F20"/>
          <w:spacing w:val="-2"/>
          <w:w w:val="120"/>
        </w:rPr>
        <w:t>la</w:t>
      </w:r>
      <w:r>
        <w:rPr>
          <w:color w:val="231F20"/>
          <w:spacing w:val="-9"/>
          <w:w w:val="120"/>
        </w:rPr>
        <w:t> </w:t>
      </w:r>
      <w:r>
        <w:rPr>
          <w:color w:val="231F20"/>
          <w:spacing w:val="-2"/>
          <w:w w:val="120"/>
        </w:rPr>
        <w:t>suite</w:t>
      </w:r>
      <w:r>
        <w:rPr>
          <w:color w:val="231F20"/>
          <w:spacing w:val="-9"/>
          <w:w w:val="120"/>
        </w:rPr>
        <w:t> </w:t>
      </w:r>
      <w:r>
        <w:rPr>
          <w:color w:val="231F20"/>
          <w:spacing w:val="-2"/>
          <w:w w:val="120"/>
        </w:rPr>
        <w:t>de</w:t>
      </w:r>
      <w:r>
        <w:rPr>
          <w:color w:val="231F20"/>
          <w:spacing w:val="-9"/>
          <w:w w:val="120"/>
        </w:rPr>
        <w:t> </w:t>
      </w:r>
      <w:r>
        <w:rPr>
          <w:color w:val="231F20"/>
          <w:spacing w:val="-2"/>
          <w:w w:val="120"/>
        </w:rPr>
        <w:t>cela,</w:t>
      </w:r>
      <w:r>
        <w:rPr>
          <w:color w:val="231F20"/>
          <w:spacing w:val="-9"/>
          <w:w w:val="120"/>
        </w:rPr>
        <w:t> </w:t>
      </w:r>
      <w:r>
        <w:rPr>
          <w:color w:val="231F20"/>
          <w:spacing w:val="-2"/>
          <w:w w:val="120"/>
        </w:rPr>
        <w:t>c’est</w:t>
      </w:r>
      <w:r>
        <w:rPr>
          <w:color w:val="231F20"/>
          <w:spacing w:val="-9"/>
          <w:w w:val="120"/>
        </w:rPr>
        <w:t> </w:t>
      </w:r>
      <w:r>
        <w:rPr>
          <w:color w:val="231F20"/>
          <w:spacing w:val="-2"/>
          <w:w w:val="120"/>
        </w:rPr>
        <w:t>l’aval</w:t>
      </w:r>
      <w:r>
        <w:rPr>
          <w:color w:val="231F20"/>
          <w:spacing w:val="-9"/>
          <w:w w:val="120"/>
        </w:rPr>
        <w:t> </w:t>
      </w:r>
      <w:r>
        <w:rPr>
          <w:color w:val="231F20"/>
          <w:spacing w:val="-2"/>
          <w:w w:val="120"/>
        </w:rPr>
        <w:t>qui</w:t>
      </w:r>
      <w:r>
        <w:rPr>
          <w:color w:val="231F20"/>
          <w:spacing w:val="-9"/>
          <w:w w:val="120"/>
        </w:rPr>
        <w:t> </w:t>
      </w:r>
      <w:r>
        <w:rPr>
          <w:color w:val="231F20"/>
          <w:spacing w:val="-2"/>
          <w:w w:val="120"/>
        </w:rPr>
        <w:t>captera</w:t>
      </w:r>
      <w:r>
        <w:rPr>
          <w:color w:val="231F20"/>
          <w:spacing w:val="-9"/>
          <w:w w:val="120"/>
        </w:rPr>
        <w:t> </w:t>
      </w:r>
      <w:r>
        <w:rPr>
          <w:color w:val="231F20"/>
          <w:spacing w:val="-2"/>
          <w:w w:val="120"/>
        </w:rPr>
        <w:t>notre</w:t>
      </w:r>
      <w:r>
        <w:rPr>
          <w:color w:val="231F20"/>
          <w:spacing w:val="-9"/>
          <w:w w:val="120"/>
        </w:rPr>
        <w:t> </w:t>
      </w:r>
      <w:r>
        <w:rPr>
          <w:color w:val="231F20"/>
          <w:spacing w:val="-2"/>
          <w:w w:val="120"/>
        </w:rPr>
        <w:t>atten- </w:t>
      </w:r>
      <w:r>
        <w:rPr>
          <w:color w:val="231F20"/>
          <w:w w:val="120"/>
        </w:rPr>
        <w:t>tion. Il sera alors question des diverses conséquences individuelles et organisationnelles découlant directement ou indirectement du stress vécu par les travailleurs. Ces connaissances permettront d’être mieux outillé</w:t>
      </w:r>
      <w:r>
        <w:rPr>
          <w:color w:val="231F20"/>
          <w:spacing w:val="40"/>
          <w:w w:val="120"/>
        </w:rPr>
        <w:t> </w:t>
      </w:r>
      <w:r>
        <w:rPr>
          <w:color w:val="231F20"/>
          <w:w w:val="120"/>
        </w:rPr>
        <w:t>pour</w:t>
      </w:r>
      <w:r>
        <w:rPr>
          <w:color w:val="231F20"/>
          <w:spacing w:val="40"/>
          <w:w w:val="120"/>
        </w:rPr>
        <w:t> </w:t>
      </w:r>
      <w:r>
        <w:rPr>
          <w:color w:val="231F20"/>
          <w:w w:val="120"/>
        </w:rPr>
        <w:t>diagnostiquer</w:t>
      </w:r>
      <w:r>
        <w:rPr>
          <w:color w:val="231F20"/>
          <w:spacing w:val="40"/>
          <w:w w:val="120"/>
        </w:rPr>
        <w:t> </w:t>
      </w:r>
      <w:r>
        <w:rPr>
          <w:color w:val="231F20"/>
          <w:w w:val="120"/>
        </w:rPr>
        <w:t>les</w:t>
      </w:r>
      <w:r>
        <w:rPr>
          <w:color w:val="231F20"/>
          <w:spacing w:val="40"/>
          <w:w w:val="120"/>
        </w:rPr>
        <w:t> </w:t>
      </w:r>
      <w:r>
        <w:rPr>
          <w:color w:val="231F20"/>
          <w:w w:val="120"/>
        </w:rPr>
        <w:t>sources</w:t>
      </w:r>
      <w:r>
        <w:rPr>
          <w:color w:val="231F20"/>
          <w:spacing w:val="40"/>
          <w:w w:val="120"/>
        </w:rPr>
        <w:t> </w:t>
      </w:r>
      <w:r>
        <w:rPr>
          <w:color w:val="231F20"/>
          <w:w w:val="120"/>
        </w:rPr>
        <w:t>de</w:t>
      </w:r>
      <w:r>
        <w:rPr>
          <w:color w:val="231F20"/>
          <w:spacing w:val="40"/>
          <w:w w:val="120"/>
        </w:rPr>
        <w:t> </w:t>
      </w:r>
      <w:r>
        <w:rPr>
          <w:color w:val="231F20"/>
          <w:w w:val="120"/>
        </w:rPr>
        <w:t>stress</w:t>
      </w:r>
      <w:r>
        <w:rPr>
          <w:color w:val="231F20"/>
          <w:spacing w:val="40"/>
          <w:w w:val="120"/>
        </w:rPr>
        <w:t> </w:t>
      </w:r>
      <w:r>
        <w:rPr>
          <w:color w:val="231F20"/>
          <w:w w:val="120"/>
        </w:rPr>
        <w:t>au</w:t>
      </w:r>
      <w:r>
        <w:rPr>
          <w:color w:val="231F20"/>
          <w:spacing w:val="40"/>
          <w:w w:val="120"/>
        </w:rPr>
        <w:t> </w:t>
      </w:r>
      <w:r>
        <w:rPr>
          <w:color w:val="231F20"/>
          <w:w w:val="120"/>
        </w:rPr>
        <w:t>travail</w:t>
      </w:r>
      <w:r>
        <w:rPr>
          <w:color w:val="231F20"/>
          <w:spacing w:val="40"/>
          <w:w w:val="120"/>
        </w:rPr>
        <w:t> </w:t>
      </w:r>
      <w:r>
        <w:rPr>
          <w:color w:val="231F20"/>
          <w:w w:val="120"/>
        </w:rPr>
        <w:t>et</w:t>
      </w:r>
      <w:r>
        <w:rPr>
          <w:color w:val="231F20"/>
          <w:spacing w:val="40"/>
          <w:w w:val="120"/>
        </w:rPr>
        <w:t> </w:t>
      </w:r>
      <w:r>
        <w:rPr>
          <w:color w:val="231F20"/>
          <w:w w:val="120"/>
        </w:rPr>
        <w:t>de </w:t>
      </w:r>
      <w:r>
        <w:rPr>
          <w:color w:val="231F20"/>
          <w:spacing w:val="-2"/>
          <w:w w:val="120"/>
        </w:rPr>
        <w:t>mieux</w:t>
      </w:r>
      <w:r>
        <w:rPr>
          <w:color w:val="231F20"/>
          <w:spacing w:val="-11"/>
          <w:w w:val="120"/>
        </w:rPr>
        <w:t> </w:t>
      </w:r>
      <w:r>
        <w:rPr>
          <w:color w:val="231F20"/>
          <w:spacing w:val="-2"/>
          <w:w w:val="120"/>
        </w:rPr>
        <w:t>entrevoir</w:t>
      </w:r>
      <w:r>
        <w:rPr>
          <w:color w:val="231F20"/>
          <w:spacing w:val="-10"/>
          <w:w w:val="120"/>
        </w:rPr>
        <w:t> </w:t>
      </w:r>
      <w:r>
        <w:rPr>
          <w:color w:val="231F20"/>
          <w:spacing w:val="-2"/>
          <w:w w:val="120"/>
        </w:rPr>
        <w:t>les</w:t>
      </w:r>
      <w:r>
        <w:rPr>
          <w:color w:val="231F20"/>
          <w:spacing w:val="-10"/>
          <w:w w:val="120"/>
        </w:rPr>
        <w:t> </w:t>
      </w:r>
      <w:r>
        <w:rPr>
          <w:color w:val="231F20"/>
          <w:spacing w:val="-2"/>
          <w:w w:val="120"/>
        </w:rPr>
        <w:t>interventions</w:t>
      </w:r>
      <w:r>
        <w:rPr>
          <w:color w:val="231F20"/>
          <w:spacing w:val="-10"/>
          <w:w w:val="120"/>
        </w:rPr>
        <w:t> </w:t>
      </w:r>
      <w:r>
        <w:rPr>
          <w:color w:val="231F20"/>
          <w:spacing w:val="-2"/>
          <w:w w:val="120"/>
        </w:rPr>
        <w:t>les</w:t>
      </w:r>
      <w:r>
        <w:rPr>
          <w:color w:val="231F20"/>
          <w:spacing w:val="-10"/>
          <w:w w:val="120"/>
        </w:rPr>
        <w:t> </w:t>
      </w:r>
      <w:r>
        <w:rPr>
          <w:color w:val="231F20"/>
          <w:spacing w:val="-2"/>
          <w:w w:val="120"/>
        </w:rPr>
        <w:t>plus</w:t>
      </w:r>
      <w:r>
        <w:rPr>
          <w:color w:val="231F20"/>
          <w:spacing w:val="-10"/>
          <w:w w:val="120"/>
        </w:rPr>
        <w:t> </w:t>
      </w:r>
      <w:r>
        <w:rPr>
          <w:color w:val="231F20"/>
          <w:spacing w:val="-2"/>
          <w:w w:val="120"/>
        </w:rPr>
        <w:t>propices</w:t>
      </w:r>
      <w:r>
        <w:rPr>
          <w:color w:val="231F20"/>
          <w:spacing w:val="-10"/>
          <w:w w:val="120"/>
        </w:rPr>
        <w:t> </w:t>
      </w:r>
      <w:r>
        <w:rPr>
          <w:color w:val="231F20"/>
          <w:spacing w:val="-2"/>
          <w:w w:val="120"/>
        </w:rPr>
        <w:t>à</w:t>
      </w:r>
      <w:r>
        <w:rPr>
          <w:color w:val="231F20"/>
          <w:spacing w:val="-10"/>
          <w:w w:val="120"/>
        </w:rPr>
        <w:t> </w:t>
      </w:r>
      <w:r>
        <w:rPr>
          <w:color w:val="231F20"/>
          <w:spacing w:val="-2"/>
          <w:w w:val="120"/>
        </w:rPr>
        <w:t>restreindre</w:t>
      </w:r>
      <w:r>
        <w:rPr>
          <w:color w:val="231F20"/>
          <w:spacing w:val="-10"/>
          <w:w w:val="120"/>
        </w:rPr>
        <w:t> </w:t>
      </w:r>
      <w:r>
        <w:rPr>
          <w:color w:val="231F20"/>
          <w:spacing w:val="-2"/>
          <w:w w:val="120"/>
        </w:rPr>
        <w:t>les</w:t>
      </w:r>
      <w:r>
        <w:rPr>
          <w:color w:val="231F20"/>
          <w:spacing w:val="-10"/>
          <w:w w:val="120"/>
        </w:rPr>
        <w:t> </w:t>
      </w:r>
      <w:r>
        <w:rPr>
          <w:color w:val="231F20"/>
          <w:spacing w:val="-2"/>
          <w:w w:val="120"/>
        </w:rPr>
        <w:t>effets </w:t>
      </w:r>
      <w:r>
        <w:rPr>
          <w:color w:val="231F20"/>
          <w:w w:val="120"/>
        </w:rPr>
        <w:t>nocifs du stress, tant pour le travailleur que pour l’organisation.</w:t>
      </w:r>
    </w:p>
    <w:p>
      <w:pPr>
        <w:pStyle w:val="BodyText"/>
        <w:rPr>
          <w:sz w:val="24"/>
        </w:rPr>
      </w:pPr>
    </w:p>
    <w:p>
      <w:pPr>
        <w:pStyle w:val="Heading2"/>
        <w:numPr>
          <w:ilvl w:val="1"/>
          <w:numId w:val="40"/>
        </w:numPr>
        <w:tabs>
          <w:tab w:pos="911" w:val="left" w:leader="none"/>
          <w:tab w:pos="1219" w:val="left" w:leader="none"/>
        </w:tabs>
        <w:spacing w:line="240" w:lineRule="auto" w:before="182" w:after="0"/>
        <w:ind w:left="910" w:right="0" w:hanging="301"/>
        <w:jc w:val="left"/>
      </w:pPr>
      <w:r>
        <w:rPr>
          <w:b w:val="0"/>
          <w:i/>
          <w:color w:val="231F20"/>
          <w:spacing w:val="-10"/>
        </w:rPr>
        <w:t>/</w:t>
      </w:r>
      <w:r>
        <w:rPr>
          <w:b w:val="0"/>
          <w:i/>
          <w:color w:val="231F20"/>
        </w:rPr>
        <w:tab/>
      </w:r>
      <w:r>
        <w:rPr>
          <w:color w:val="231F20"/>
          <w:w w:val="95"/>
        </w:rPr>
        <w:t>Antécédents</w:t>
      </w:r>
      <w:r>
        <w:rPr>
          <w:color w:val="231F20"/>
          <w:spacing w:val="-10"/>
          <w:w w:val="95"/>
        </w:rPr>
        <w:t> </w:t>
      </w:r>
      <w:r>
        <w:rPr>
          <w:color w:val="231F20"/>
          <w:w w:val="95"/>
        </w:rPr>
        <w:t>du</w:t>
      </w:r>
      <w:r>
        <w:rPr>
          <w:color w:val="231F20"/>
          <w:spacing w:val="-10"/>
          <w:w w:val="95"/>
        </w:rPr>
        <w:t> </w:t>
      </w:r>
      <w:r>
        <w:rPr>
          <w:color w:val="231F20"/>
          <w:w w:val="95"/>
        </w:rPr>
        <w:t>stress</w:t>
      </w:r>
      <w:r>
        <w:rPr>
          <w:color w:val="231F20"/>
          <w:spacing w:val="-10"/>
          <w:w w:val="95"/>
        </w:rPr>
        <w:t> </w:t>
      </w:r>
      <w:r>
        <w:rPr>
          <w:color w:val="231F20"/>
          <w:w w:val="95"/>
        </w:rPr>
        <w:t>au</w:t>
      </w:r>
      <w:r>
        <w:rPr>
          <w:color w:val="231F20"/>
          <w:spacing w:val="-9"/>
          <w:w w:val="95"/>
        </w:rPr>
        <w:t> </w:t>
      </w:r>
      <w:r>
        <w:rPr>
          <w:color w:val="231F20"/>
          <w:spacing w:val="-2"/>
          <w:w w:val="95"/>
        </w:rPr>
        <w:t>travail</w:t>
      </w:r>
    </w:p>
    <w:p>
      <w:pPr>
        <w:pStyle w:val="BodyText"/>
        <w:spacing w:before="9"/>
        <w:rPr>
          <w:rFonts w:ascii="Arial"/>
          <w:b/>
          <w:sz w:val="25"/>
        </w:rPr>
      </w:pPr>
    </w:p>
    <w:p>
      <w:pPr>
        <w:pStyle w:val="BodyText"/>
        <w:spacing w:line="307" w:lineRule="auto"/>
        <w:ind w:left="1220" w:right="106"/>
        <w:jc w:val="both"/>
      </w:pPr>
      <w:r>
        <w:rPr>
          <w:color w:val="231F20"/>
          <w:w w:val="115"/>
        </w:rPr>
        <w:t>Les</w:t>
      </w:r>
      <w:r>
        <w:rPr>
          <w:color w:val="231F20"/>
          <w:spacing w:val="-5"/>
          <w:w w:val="115"/>
        </w:rPr>
        <w:t> </w:t>
      </w:r>
      <w:r>
        <w:rPr>
          <w:color w:val="231F20"/>
          <w:w w:val="115"/>
        </w:rPr>
        <w:t>premières</w:t>
      </w:r>
      <w:r>
        <w:rPr>
          <w:color w:val="231F20"/>
          <w:spacing w:val="-5"/>
          <w:w w:val="115"/>
        </w:rPr>
        <w:t> </w:t>
      </w:r>
      <w:r>
        <w:rPr>
          <w:color w:val="231F20"/>
          <w:w w:val="115"/>
        </w:rPr>
        <w:t>réflexions</w:t>
      </w:r>
      <w:r>
        <w:rPr>
          <w:color w:val="231F20"/>
          <w:spacing w:val="-5"/>
          <w:w w:val="115"/>
        </w:rPr>
        <w:t> </w:t>
      </w:r>
      <w:r>
        <w:rPr>
          <w:color w:val="231F20"/>
          <w:w w:val="115"/>
        </w:rPr>
        <w:t>sur</w:t>
      </w:r>
      <w:r>
        <w:rPr>
          <w:color w:val="231F20"/>
          <w:spacing w:val="-5"/>
          <w:w w:val="115"/>
        </w:rPr>
        <w:t> </w:t>
      </w:r>
      <w:r>
        <w:rPr>
          <w:color w:val="231F20"/>
          <w:w w:val="115"/>
        </w:rPr>
        <w:t>le</w:t>
      </w:r>
      <w:r>
        <w:rPr>
          <w:color w:val="231F20"/>
          <w:spacing w:val="-5"/>
          <w:w w:val="115"/>
        </w:rPr>
        <w:t> </w:t>
      </w:r>
      <w:r>
        <w:rPr>
          <w:color w:val="231F20"/>
          <w:w w:val="115"/>
        </w:rPr>
        <w:t>concept</w:t>
      </w:r>
      <w:r>
        <w:rPr>
          <w:color w:val="231F20"/>
          <w:spacing w:val="-5"/>
          <w:w w:val="115"/>
        </w:rPr>
        <w:t> </w:t>
      </w:r>
      <w:r>
        <w:rPr>
          <w:color w:val="231F20"/>
          <w:w w:val="115"/>
        </w:rPr>
        <w:t>du</w:t>
      </w:r>
      <w:r>
        <w:rPr>
          <w:color w:val="231F20"/>
          <w:spacing w:val="-5"/>
          <w:w w:val="115"/>
        </w:rPr>
        <w:t> </w:t>
      </w:r>
      <w:r>
        <w:rPr>
          <w:color w:val="231F20"/>
          <w:w w:val="115"/>
        </w:rPr>
        <w:t>stress</w:t>
      </w:r>
      <w:r>
        <w:rPr>
          <w:color w:val="231F20"/>
          <w:spacing w:val="-5"/>
          <w:w w:val="115"/>
        </w:rPr>
        <w:t> </w:t>
      </w:r>
      <w:r>
        <w:rPr>
          <w:color w:val="231F20"/>
          <w:w w:val="115"/>
        </w:rPr>
        <w:t>cherchaient</w:t>
      </w:r>
      <w:r>
        <w:rPr>
          <w:color w:val="231F20"/>
          <w:spacing w:val="-5"/>
          <w:w w:val="115"/>
        </w:rPr>
        <w:t> </w:t>
      </w:r>
      <w:r>
        <w:rPr>
          <w:color w:val="231F20"/>
          <w:w w:val="115"/>
        </w:rPr>
        <w:t>à</w:t>
      </w:r>
      <w:r>
        <w:rPr>
          <w:color w:val="231F20"/>
          <w:spacing w:val="-5"/>
          <w:w w:val="115"/>
        </w:rPr>
        <w:t> </w:t>
      </w:r>
      <w:r>
        <w:rPr>
          <w:color w:val="231F20"/>
          <w:w w:val="115"/>
        </w:rPr>
        <w:t>établir</w:t>
      </w:r>
      <w:r>
        <w:rPr>
          <w:color w:val="231F20"/>
          <w:spacing w:val="-5"/>
          <w:w w:val="115"/>
        </w:rPr>
        <w:t> </w:t>
      </w:r>
      <w:r>
        <w:rPr>
          <w:color w:val="231F20"/>
          <w:w w:val="115"/>
        </w:rPr>
        <w:t>une </w:t>
      </w:r>
      <w:r>
        <w:rPr>
          <w:color w:val="231F20"/>
          <w:w w:val="120"/>
        </w:rPr>
        <w:t>définition</w:t>
      </w:r>
      <w:r>
        <w:rPr>
          <w:color w:val="231F20"/>
          <w:spacing w:val="-15"/>
          <w:w w:val="120"/>
        </w:rPr>
        <w:t> </w:t>
      </w:r>
      <w:r>
        <w:rPr>
          <w:color w:val="231F20"/>
          <w:w w:val="120"/>
        </w:rPr>
        <w:t>univoque</w:t>
      </w:r>
      <w:r>
        <w:rPr>
          <w:color w:val="231F20"/>
          <w:spacing w:val="-13"/>
          <w:w w:val="120"/>
        </w:rPr>
        <w:t> </w:t>
      </w:r>
      <w:r>
        <w:rPr>
          <w:color w:val="231F20"/>
          <w:w w:val="120"/>
        </w:rPr>
        <w:t>axée</w:t>
      </w:r>
      <w:r>
        <w:rPr>
          <w:color w:val="231F20"/>
          <w:spacing w:val="-13"/>
          <w:w w:val="120"/>
        </w:rPr>
        <w:t> </w:t>
      </w:r>
      <w:r>
        <w:rPr>
          <w:color w:val="231F20"/>
          <w:w w:val="120"/>
        </w:rPr>
        <w:t>sur</w:t>
      </w:r>
      <w:r>
        <w:rPr>
          <w:color w:val="231F20"/>
          <w:spacing w:val="-12"/>
          <w:w w:val="120"/>
        </w:rPr>
        <w:t> </w:t>
      </w:r>
      <w:r>
        <w:rPr>
          <w:color w:val="231F20"/>
          <w:w w:val="120"/>
        </w:rPr>
        <w:t>des</w:t>
      </w:r>
      <w:r>
        <w:rPr>
          <w:color w:val="231F20"/>
          <w:spacing w:val="-13"/>
          <w:w w:val="120"/>
        </w:rPr>
        <w:t> </w:t>
      </w:r>
      <w:r>
        <w:rPr>
          <w:color w:val="231F20"/>
          <w:w w:val="120"/>
        </w:rPr>
        <w:t>facteurs</w:t>
      </w:r>
      <w:r>
        <w:rPr>
          <w:color w:val="231F20"/>
          <w:spacing w:val="-13"/>
          <w:w w:val="120"/>
        </w:rPr>
        <w:t> </w:t>
      </w:r>
      <w:r>
        <w:rPr>
          <w:color w:val="231F20"/>
          <w:w w:val="120"/>
        </w:rPr>
        <w:t>physiques,</w:t>
      </w:r>
      <w:r>
        <w:rPr>
          <w:color w:val="231F20"/>
          <w:spacing w:val="-13"/>
          <w:w w:val="120"/>
        </w:rPr>
        <w:t> </w:t>
      </w:r>
      <w:r>
        <w:rPr>
          <w:color w:val="231F20"/>
          <w:w w:val="120"/>
        </w:rPr>
        <w:t>psychologiques</w:t>
      </w:r>
      <w:r>
        <w:rPr>
          <w:color w:val="231F20"/>
          <w:spacing w:val="-12"/>
          <w:w w:val="120"/>
        </w:rPr>
        <w:t> </w:t>
      </w:r>
      <w:r>
        <w:rPr>
          <w:color w:val="231F20"/>
          <w:w w:val="120"/>
        </w:rPr>
        <w:t>ou sociaux. Pour notre part, comme le propose la conception moderne du stress, nous considérons le stress comme un concept multifactoriel </w:t>
      </w:r>
      <w:r>
        <w:rPr>
          <w:color w:val="231F20"/>
          <w:w w:val="120"/>
        </w:rPr>
        <w:t>et dynamique,</w:t>
      </w:r>
      <w:r>
        <w:rPr>
          <w:color w:val="231F20"/>
          <w:spacing w:val="-13"/>
          <w:w w:val="120"/>
        </w:rPr>
        <w:t> </w:t>
      </w:r>
      <w:r>
        <w:rPr>
          <w:color w:val="231F20"/>
          <w:w w:val="120"/>
        </w:rPr>
        <w:t>un</w:t>
      </w:r>
      <w:r>
        <w:rPr>
          <w:color w:val="231F20"/>
          <w:spacing w:val="-13"/>
          <w:w w:val="120"/>
        </w:rPr>
        <w:t> </w:t>
      </w:r>
      <w:r>
        <w:rPr>
          <w:color w:val="231F20"/>
          <w:w w:val="120"/>
        </w:rPr>
        <w:t>phénomène</w:t>
      </w:r>
      <w:r>
        <w:rPr>
          <w:color w:val="231F20"/>
          <w:spacing w:val="-13"/>
          <w:w w:val="120"/>
        </w:rPr>
        <w:t> </w:t>
      </w:r>
      <w:r>
        <w:rPr>
          <w:color w:val="231F20"/>
          <w:w w:val="120"/>
        </w:rPr>
        <w:t>aux</w:t>
      </w:r>
      <w:r>
        <w:rPr>
          <w:color w:val="231F20"/>
          <w:spacing w:val="-12"/>
          <w:w w:val="120"/>
        </w:rPr>
        <w:t> </w:t>
      </w:r>
      <w:r>
        <w:rPr>
          <w:color w:val="231F20"/>
          <w:w w:val="120"/>
        </w:rPr>
        <w:t>causes</w:t>
      </w:r>
      <w:r>
        <w:rPr>
          <w:color w:val="231F20"/>
          <w:spacing w:val="-13"/>
          <w:w w:val="120"/>
        </w:rPr>
        <w:t> </w:t>
      </w:r>
      <w:r>
        <w:rPr>
          <w:color w:val="231F20"/>
          <w:w w:val="120"/>
        </w:rPr>
        <w:t>variées</w:t>
      </w:r>
      <w:r>
        <w:rPr>
          <w:color w:val="231F20"/>
          <w:spacing w:val="-13"/>
          <w:w w:val="120"/>
        </w:rPr>
        <w:t> </w:t>
      </w:r>
      <w:r>
        <w:rPr>
          <w:color w:val="231F20"/>
          <w:w w:val="120"/>
        </w:rPr>
        <w:t>et</w:t>
      </w:r>
      <w:r>
        <w:rPr>
          <w:color w:val="231F20"/>
          <w:spacing w:val="-13"/>
          <w:w w:val="120"/>
        </w:rPr>
        <w:t> </w:t>
      </w:r>
      <w:r>
        <w:rPr>
          <w:color w:val="231F20"/>
          <w:w w:val="120"/>
        </w:rPr>
        <w:t>diverses,</w:t>
      </w:r>
      <w:r>
        <w:rPr>
          <w:color w:val="231F20"/>
          <w:spacing w:val="-12"/>
          <w:w w:val="120"/>
        </w:rPr>
        <w:t> </w:t>
      </w:r>
      <w:r>
        <w:rPr>
          <w:color w:val="231F20"/>
          <w:w w:val="120"/>
        </w:rPr>
        <w:t>qui</w:t>
      </w:r>
      <w:r>
        <w:rPr>
          <w:color w:val="231F20"/>
          <w:spacing w:val="-13"/>
          <w:w w:val="120"/>
        </w:rPr>
        <w:t> </w:t>
      </w:r>
      <w:r>
        <w:rPr>
          <w:color w:val="231F20"/>
          <w:w w:val="120"/>
        </w:rPr>
        <w:t>concerne notamment les caractéristiques individuelles, les caractéristiques psy- chosociales</w:t>
      </w:r>
      <w:r>
        <w:rPr>
          <w:color w:val="231F20"/>
          <w:spacing w:val="-3"/>
          <w:w w:val="120"/>
        </w:rPr>
        <w:t> </w:t>
      </w:r>
      <w:r>
        <w:rPr>
          <w:color w:val="231F20"/>
          <w:w w:val="120"/>
        </w:rPr>
        <w:t>du</w:t>
      </w:r>
      <w:r>
        <w:rPr>
          <w:color w:val="231F20"/>
          <w:spacing w:val="-3"/>
          <w:w w:val="120"/>
        </w:rPr>
        <w:t> </w:t>
      </w:r>
      <w:r>
        <w:rPr>
          <w:color w:val="231F20"/>
          <w:w w:val="120"/>
        </w:rPr>
        <w:t>travail,</w:t>
      </w:r>
      <w:r>
        <w:rPr>
          <w:color w:val="231F20"/>
          <w:spacing w:val="-3"/>
          <w:w w:val="120"/>
        </w:rPr>
        <w:t> </w:t>
      </w:r>
      <w:r>
        <w:rPr>
          <w:color w:val="231F20"/>
          <w:w w:val="120"/>
        </w:rPr>
        <w:t>les</w:t>
      </w:r>
      <w:r>
        <w:rPr>
          <w:color w:val="231F20"/>
          <w:spacing w:val="-3"/>
          <w:w w:val="120"/>
        </w:rPr>
        <w:t> </w:t>
      </w:r>
      <w:r>
        <w:rPr>
          <w:color w:val="231F20"/>
          <w:w w:val="120"/>
        </w:rPr>
        <w:t>caractéristiques</w:t>
      </w:r>
      <w:r>
        <w:rPr>
          <w:color w:val="231F20"/>
          <w:spacing w:val="-3"/>
          <w:w w:val="120"/>
        </w:rPr>
        <w:t> </w:t>
      </w:r>
      <w:r>
        <w:rPr>
          <w:color w:val="231F20"/>
          <w:w w:val="120"/>
        </w:rPr>
        <w:t>organisationnelles</w:t>
      </w:r>
      <w:r>
        <w:rPr>
          <w:color w:val="231F20"/>
          <w:spacing w:val="-3"/>
          <w:w w:val="120"/>
        </w:rPr>
        <w:t> </w:t>
      </w:r>
      <w:r>
        <w:rPr>
          <w:color w:val="231F20"/>
          <w:w w:val="120"/>
        </w:rPr>
        <w:t>ainsi</w:t>
      </w:r>
      <w:r>
        <w:rPr>
          <w:color w:val="231F20"/>
          <w:spacing w:val="-3"/>
          <w:w w:val="120"/>
        </w:rPr>
        <w:t> </w:t>
      </w:r>
      <w:r>
        <w:rPr>
          <w:color w:val="231F20"/>
          <w:w w:val="120"/>
        </w:rPr>
        <w:t>que les aspects sociaux et culturels.</w:t>
      </w:r>
    </w:p>
    <w:p>
      <w:pPr>
        <w:spacing w:after="0" w:line="307" w:lineRule="auto"/>
        <w:jc w:val="both"/>
        <w:sectPr>
          <w:footerReference w:type="default" r:id="rId18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4" w:firstLine="250"/>
        <w:jc w:val="both"/>
      </w:pPr>
      <w:r>
        <w:rPr>
          <w:color w:val="231F20"/>
          <w:spacing w:val="-2"/>
          <w:w w:val="120"/>
        </w:rPr>
        <w:t>Il</w:t>
      </w:r>
      <w:r>
        <w:rPr>
          <w:color w:val="231F20"/>
          <w:spacing w:val="-10"/>
          <w:w w:val="120"/>
        </w:rPr>
        <w:t> </w:t>
      </w:r>
      <w:r>
        <w:rPr>
          <w:color w:val="231F20"/>
          <w:spacing w:val="-2"/>
          <w:w w:val="120"/>
        </w:rPr>
        <w:t>est</w:t>
      </w:r>
      <w:r>
        <w:rPr>
          <w:color w:val="231F20"/>
          <w:spacing w:val="-10"/>
          <w:w w:val="120"/>
        </w:rPr>
        <w:t> </w:t>
      </w:r>
      <w:r>
        <w:rPr>
          <w:color w:val="231F20"/>
          <w:spacing w:val="-2"/>
          <w:w w:val="120"/>
        </w:rPr>
        <w:t>virtuellement</w:t>
      </w:r>
      <w:r>
        <w:rPr>
          <w:color w:val="231F20"/>
          <w:spacing w:val="-10"/>
          <w:w w:val="120"/>
        </w:rPr>
        <w:t> </w:t>
      </w:r>
      <w:r>
        <w:rPr>
          <w:color w:val="231F20"/>
          <w:spacing w:val="-2"/>
          <w:w w:val="120"/>
        </w:rPr>
        <w:t>impossible</w:t>
      </w:r>
      <w:r>
        <w:rPr>
          <w:color w:val="231F20"/>
          <w:spacing w:val="-10"/>
          <w:w w:val="120"/>
        </w:rPr>
        <w:t> </w:t>
      </w:r>
      <w:r>
        <w:rPr>
          <w:color w:val="231F20"/>
          <w:spacing w:val="-2"/>
          <w:w w:val="120"/>
        </w:rPr>
        <w:t>de</w:t>
      </w:r>
      <w:r>
        <w:rPr>
          <w:color w:val="231F20"/>
          <w:spacing w:val="-10"/>
          <w:w w:val="120"/>
        </w:rPr>
        <w:t> </w:t>
      </w:r>
      <w:r>
        <w:rPr>
          <w:color w:val="231F20"/>
          <w:spacing w:val="-2"/>
          <w:w w:val="120"/>
        </w:rPr>
        <w:t>dresser</w:t>
      </w:r>
      <w:r>
        <w:rPr>
          <w:color w:val="231F20"/>
          <w:spacing w:val="-10"/>
          <w:w w:val="120"/>
        </w:rPr>
        <w:t> </w:t>
      </w:r>
      <w:r>
        <w:rPr>
          <w:color w:val="231F20"/>
          <w:spacing w:val="-2"/>
          <w:w w:val="120"/>
        </w:rPr>
        <w:t>une</w:t>
      </w:r>
      <w:r>
        <w:rPr>
          <w:color w:val="231F20"/>
          <w:spacing w:val="-10"/>
          <w:w w:val="120"/>
        </w:rPr>
        <w:t> </w:t>
      </w:r>
      <w:r>
        <w:rPr>
          <w:color w:val="231F20"/>
          <w:spacing w:val="-2"/>
          <w:w w:val="120"/>
        </w:rPr>
        <w:t>liste</w:t>
      </w:r>
      <w:r>
        <w:rPr>
          <w:color w:val="231F20"/>
          <w:spacing w:val="-10"/>
          <w:w w:val="120"/>
        </w:rPr>
        <w:t> </w:t>
      </w:r>
      <w:r>
        <w:rPr>
          <w:color w:val="231F20"/>
          <w:spacing w:val="-2"/>
          <w:w w:val="120"/>
        </w:rPr>
        <w:t>unique</w:t>
      </w:r>
      <w:r>
        <w:rPr>
          <w:color w:val="231F20"/>
          <w:spacing w:val="-10"/>
          <w:w w:val="120"/>
        </w:rPr>
        <w:t> </w:t>
      </w:r>
      <w:r>
        <w:rPr>
          <w:color w:val="231F20"/>
          <w:spacing w:val="-2"/>
          <w:w w:val="120"/>
        </w:rPr>
        <w:t>et</w:t>
      </w:r>
      <w:r>
        <w:rPr>
          <w:color w:val="231F20"/>
          <w:spacing w:val="-10"/>
          <w:w w:val="120"/>
        </w:rPr>
        <w:t> </w:t>
      </w:r>
      <w:r>
        <w:rPr>
          <w:color w:val="231F20"/>
          <w:spacing w:val="-2"/>
          <w:w w:val="120"/>
        </w:rPr>
        <w:t>complète </w:t>
      </w:r>
      <w:r>
        <w:rPr>
          <w:color w:val="231F20"/>
          <w:w w:val="120"/>
        </w:rPr>
        <w:t>des potentiels stresseurs, dont plusieurs ont d’ailleurs été présentés au </w:t>
      </w:r>
      <w:r>
        <w:rPr>
          <w:color w:val="231F20"/>
          <w:w w:val="115"/>
        </w:rPr>
        <w:t>chapitre</w:t>
      </w:r>
      <w:r>
        <w:rPr>
          <w:color w:val="231F20"/>
          <w:spacing w:val="-3"/>
          <w:w w:val="115"/>
        </w:rPr>
        <w:t> </w:t>
      </w:r>
      <w:r>
        <w:rPr>
          <w:color w:val="231F20"/>
          <w:w w:val="115"/>
        </w:rPr>
        <w:t>précédent.</w:t>
      </w:r>
      <w:r>
        <w:rPr>
          <w:color w:val="231F20"/>
          <w:spacing w:val="-3"/>
          <w:w w:val="115"/>
        </w:rPr>
        <w:t> </w:t>
      </w:r>
      <w:r>
        <w:rPr>
          <w:color w:val="231F20"/>
          <w:w w:val="115"/>
        </w:rPr>
        <w:t>Cela</w:t>
      </w:r>
      <w:r>
        <w:rPr>
          <w:color w:val="231F20"/>
          <w:spacing w:val="-3"/>
          <w:w w:val="115"/>
        </w:rPr>
        <w:t> </w:t>
      </w:r>
      <w:r>
        <w:rPr>
          <w:color w:val="231F20"/>
          <w:w w:val="115"/>
        </w:rPr>
        <w:t>est</w:t>
      </w:r>
      <w:r>
        <w:rPr>
          <w:color w:val="231F20"/>
          <w:spacing w:val="-3"/>
          <w:w w:val="115"/>
        </w:rPr>
        <w:t> </w:t>
      </w:r>
      <w:r>
        <w:rPr>
          <w:color w:val="231F20"/>
          <w:w w:val="115"/>
        </w:rPr>
        <w:t>d’autant</w:t>
      </w:r>
      <w:r>
        <w:rPr>
          <w:color w:val="231F20"/>
          <w:spacing w:val="-3"/>
          <w:w w:val="115"/>
        </w:rPr>
        <w:t> </w:t>
      </w:r>
      <w:r>
        <w:rPr>
          <w:color w:val="231F20"/>
          <w:w w:val="115"/>
        </w:rPr>
        <w:t>vrai</w:t>
      </w:r>
      <w:r>
        <w:rPr>
          <w:color w:val="231F20"/>
          <w:spacing w:val="-3"/>
          <w:w w:val="115"/>
        </w:rPr>
        <w:t> </w:t>
      </w:r>
      <w:r>
        <w:rPr>
          <w:color w:val="231F20"/>
          <w:w w:val="115"/>
        </w:rPr>
        <w:t>lorsqu’on</w:t>
      </w:r>
      <w:r>
        <w:rPr>
          <w:color w:val="231F20"/>
          <w:spacing w:val="-3"/>
          <w:w w:val="115"/>
        </w:rPr>
        <w:t> </w:t>
      </w:r>
      <w:r>
        <w:rPr>
          <w:color w:val="231F20"/>
          <w:w w:val="115"/>
        </w:rPr>
        <w:t>garde</w:t>
      </w:r>
      <w:r>
        <w:rPr>
          <w:color w:val="231F20"/>
          <w:spacing w:val="-3"/>
          <w:w w:val="115"/>
        </w:rPr>
        <w:t> </w:t>
      </w:r>
      <w:r>
        <w:rPr>
          <w:color w:val="231F20"/>
          <w:w w:val="115"/>
        </w:rPr>
        <w:t>à</w:t>
      </w:r>
      <w:r>
        <w:rPr>
          <w:color w:val="231F20"/>
          <w:spacing w:val="-3"/>
          <w:w w:val="115"/>
        </w:rPr>
        <w:t> </w:t>
      </w:r>
      <w:r>
        <w:rPr>
          <w:color w:val="231F20"/>
          <w:w w:val="115"/>
        </w:rPr>
        <w:t>l’esprit</w:t>
      </w:r>
      <w:r>
        <w:rPr>
          <w:color w:val="231F20"/>
          <w:spacing w:val="-3"/>
          <w:w w:val="115"/>
        </w:rPr>
        <w:t> </w:t>
      </w:r>
      <w:r>
        <w:rPr>
          <w:color w:val="231F20"/>
          <w:w w:val="115"/>
        </w:rPr>
        <w:t>que</w:t>
      </w:r>
      <w:r>
        <w:rPr>
          <w:color w:val="231F20"/>
          <w:spacing w:val="-3"/>
          <w:w w:val="115"/>
        </w:rPr>
        <w:t> </w:t>
      </w:r>
      <w:r>
        <w:rPr>
          <w:color w:val="231F20"/>
          <w:w w:val="115"/>
        </w:rPr>
        <w:t>la </w:t>
      </w:r>
      <w:r>
        <w:rPr>
          <w:color w:val="231F20"/>
          <w:spacing w:val="-2"/>
          <w:w w:val="120"/>
        </w:rPr>
        <w:t>définition</w:t>
      </w:r>
      <w:r>
        <w:rPr>
          <w:color w:val="231F20"/>
          <w:spacing w:val="-4"/>
          <w:w w:val="120"/>
        </w:rPr>
        <w:t> </w:t>
      </w:r>
      <w:r>
        <w:rPr>
          <w:color w:val="231F20"/>
          <w:spacing w:val="-2"/>
          <w:w w:val="120"/>
        </w:rPr>
        <w:t>de</w:t>
      </w:r>
      <w:r>
        <w:rPr>
          <w:color w:val="231F20"/>
          <w:spacing w:val="-4"/>
          <w:w w:val="120"/>
        </w:rPr>
        <w:t> </w:t>
      </w:r>
      <w:r>
        <w:rPr>
          <w:color w:val="231F20"/>
          <w:spacing w:val="-2"/>
          <w:w w:val="120"/>
        </w:rPr>
        <w:t>l’appréciation</w:t>
      </w:r>
      <w:r>
        <w:rPr>
          <w:color w:val="231F20"/>
          <w:spacing w:val="-4"/>
          <w:w w:val="120"/>
        </w:rPr>
        <w:t> </w:t>
      </w:r>
      <w:r>
        <w:rPr>
          <w:color w:val="231F20"/>
          <w:spacing w:val="-2"/>
          <w:w w:val="120"/>
        </w:rPr>
        <w:t>d’un</w:t>
      </w:r>
      <w:r>
        <w:rPr>
          <w:color w:val="231F20"/>
          <w:spacing w:val="-4"/>
          <w:w w:val="120"/>
        </w:rPr>
        <w:t> </w:t>
      </w:r>
      <w:r>
        <w:rPr>
          <w:color w:val="231F20"/>
          <w:spacing w:val="-2"/>
          <w:w w:val="120"/>
        </w:rPr>
        <w:t>agent</w:t>
      </w:r>
      <w:r>
        <w:rPr>
          <w:color w:val="231F20"/>
          <w:spacing w:val="-4"/>
          <w:w w:val="120"/>
        </w:rPr>
        <w:t> </w:t>
      </w:r>
      <w:r>
        <w:rPr>
          <w:color w:val="231F20"/>
          <w:spacing w:val="-2"/>
          <w:w w:val="120"/>
        </w:rPr>
        <w:t>stressogène</w:t>
      </w:r>
      <w:r>
        <w:rPr>
          <w:color w:val="231F20"/>
          <w:spacing w:val="-4"/>
          <w:w w:val="120"/>
        </w:rPr>
        <w:t> </w:t>
      </w:r>
      <w:r>
        <w:rPr>
          <w:color w:val="231F20"/>
          <w:spacing w:val="-2"/>
          <w:w w:val="120"/>
        </w:rPr>
        <w:t>dépend</w:t>
      </w:r>
      <w:r>
        <w:rPr>
          <w:color w:val="231F20"/>
          <w:spacing w:val="-4"/>
          <w:w w:val="120"/>
        </w:rPr>
        <w:t> </w:t>
      </w:r>
      <w:r>
        <w:rPr>
          <w:color w:val="231F20"/>
          <w:spacing w:val="-2"/>
          <w:w w:val="120"/>
        </w:rPr>
        <w:t>de</w:t>
      </w:r>
      <w:r>
        <w:rPr>
          <w:color w:val="231F20"/>
          <w:spacing w:val="-4"/>
          <w:w w:val="120"/>
        </w:rPr>
        <w:t> </w:t>
      </w:r>
      <w:r>
        <w:rPr>
          <w:color w:val="231F20"/>
          <w:spacing w:val="-2"/>
          <w:w w:val="120"/>
        </w:rPr>
        <w:t>l’individu qui</w:t>
      </w:r>
      <w:r>
        <w:rPr>
          <w:color w:val="231F20"/>
          <w:spacing w:val="-9"/>
          <w:w w:val="120"/>
        </w:rPr>
        <w:t> </w:t>
      </w:r>
      <w:r>
        <w:rPr>
          <w:color w:val="231F20"/>
          <w:spacing w:val="-2"/>
          <w:w w:val="120"/>
        </w:rPr>
        <w:t>évalue</w:t>
      </w:r>
      <w:r>
        <w:rPr>
          <w:color w:val="231F20"/>
          <w:spacing w:val="-9"/>
          <w:w w:val="120"/>
        </w:rPr>
        <w:t> </w:t>
      </w:r>
      <w:r>
        <w:rPr>
          <w:color w:val="231F20"/>
          <w:spacing w:val="-2"/>
          <w:w w:val="120"/>
        </w:rPr>
        <w:t>une</w:t>
      </w:r>
      <w:r>
        <w:rPr>
          <w:color w:val="231F20"/>
          <w:spacing w:val="-9"/>
          <w:w w:val="120"/>
        </w:rPr>
        <w:t> </w:t>
      </w:r>
      <w:r>
        <w:rPr>
          <w:color w:val="231F20"/>
          <w:spacing w:val="-2"/>
          <w:w w:val="120"/>
        </w:rPr>
        <w:t>situation</w:t>
      </w:r>
      <w:r>
        <w:rPr>
          <w:color w:val="231F20"/>
          <w:spacing w:val="-9"/>
          <w:w w:val="120"/>
        </w:rPr>
        <w:t> </w:t>
      </w:r>
      <w:r>
        <w:rPr>
          <w:color w:val="231F20"/>
          <w:spacing w:val="-2"/>
          <w:w w:val="120"/>
        </w:rPr>
        <w:t>donnée.</w:t>
      </w:r>
      <w:r>
        <w:rPr>
          <w:color w:val="231F20"/>
          <w:spacing w:val="-9"/>
          <w:w w:val="120"/>
        </w:rPr>
        <w:t> </w:t>
      </w:r>
      <w:r>
        <w:rPr>
          <w:color w:val="231F20"/>
          <w:spacing w:val="-2"/>
          <w:w w:val="120"/>
        </w:rPr>
        <w:t>On</w:t>
      </w:r>
      <w:r>
        <w:rPr>
          <w:color w:val="231F20"/>
          <w:spacing w:val="-9"/>
          <w:w w:val="120"/>
        </w:rPr>
        <w:t> </w:t>
      </w:r>
      <w:r>
        <w:rPr>
          <w:color w:val="231F20"/>
          <w:spacing w:val="-2"/>
          <w:w w:val="120"/>
        </w:rPr>
        <w:t>peut</w:t>
      </w:r>
      <w:r>
        <w:rPr>
          <w:color w:val="231F20"/>
          <w:spacing w:val="-9"/>
          <w:w w:val="120"/>
        </w:rPr>
        <w:t> </w:t>
      </w:r>
      <w:r>
        <w:rPr>
          <w:color w:val="231F20"/>
          <w:spacing w:val="-2"/>
          <w:w w:val="120"/>
        </w:rPr>
        <w:t>cependant</w:t>
      </w:r>
      <w:r>
        <w:rPr>
          <w:color w:val="231F20"/>
          <w:spacing w:val="-9"/>
          <w:w w:val="120"/>
        </w:rPr>
        <w:t> </w:t>
      </w:r>
      <w:r>
        <w:rPr>
          <w:color w:val="231F20"/>
          <w:spacing w:val="-2"/>
          <w:w w:val="120"/>
        </w:rPr>
        <w:t>répertorier</w:t>
      </w:r>
      <w:r>
        <w:rPr>
          <w:color w:val="231F20"/>
          <w:spacing w:val="-9"/>
          <w:w w:val="120"/>
        </w:rPr>
        <w:t> </w:t>
      </w:r>
      <w:r>
        <w:rPr>
          <w:color w:val="231F20"/>
          <w:spacing w:val="-2"/>
          <w:w w:val="120"/>
        </w:rPr>
        <w:t>et</w:t>
      </w:r>
      <w:r>
        <w:rPr>
          <w:color w:val="231F20"/>
          <w:spacing w:val="-9"/>
          <w:w w:val="120"/>
        </w:rPr>
        <w:t> </w:t>
      </w:r>
      <w:r>
        <w:rPr>
          <w:color w:val="231F20"/>
          <w:spacing w:val="-2"/>
          <w:w w:val="120"/>
        </w:rPr>
        <w:t>classer </w:t>
      </w:r>
      <w:r>
        <w:rPr>
          <w:color w:val="231F20"/>
          <w:w w:val="120"/>
        </w:rPr>
        <w:t>les</w:t>
      </w:r>
      <w:r>
        <w:rPr>
          <w:color w:val="231F20"/>
          <w:spacing w:val="-11"/>
          <w:w w:val="120"/>
        </w:rPr>
        <w:t> </w:t>
      </w:r>
      <w:r>
        <w:rPr>
          <w:color w:val="231F20"/>
          <w:w w:val="120"/>
        </w:rPr>
        <w:t>stresseurs</w:t>
      </w:r>
      <w:r>
        <w:rPr>
          <w:color w:val="231F20"/>
          <w:spacing w:val="-11"/>
          <w:w w:val="120"/>
        </w:rPr>
        <w:t> </w:t>
      </w:r>
      <w:r>
        <w:rPr>
          <w:color w:val="231F20"/>
          <w:w w:val="120"/>
        </w:rPr>
        <w:t>selon</w:t>
      </w:r>
      <w:r>
        <w:rPr>
          <w:color w:val="231F20"/>
          <w:spacing w:val="-11"/>
          <w:w w:val="120"/>
        </w:rPr>
        <w:t> </w:t>
      </w:r>
      <w:r>
        <w:rPr>
          <w:color w:val="231F20"/>
          <w:w w:val="120"/>
        </w:rPr>
        <w:t>leur</w:t>
      </w:r>
      <w:r>
        <w:rPr>
          <w:color w:val="231F20"/>
          <w:spacing w:val="-11"/>
          <w:w w:val="120"/>
        </w:rPr>
        <w:t> </w:t>
      </w:r>
      <w:r>
        <w:rPr>
          <w:color w:val="231F20"/>
          <w:w w:val="120"/>
        </w:rPr>
        <w:t>origine,</w:t>
      </w:r>
      <w:r>
        <w:rPr>
          <w:color w:val="231F20"/>
          <w:spacing w:val="-11"/>
          <w:w w:val="120"/>
        </w:rPr>
        <w:t> </w:t>
      </w:r>
      <w:r>
        <w:rPr>
          <w:color w:val="231F20"/>
          <w:w w:val="120"/>
        </w:rPr>
        <w:t>c’est-à-dire</w:t>
      </w:r>
      <w:r>
        <w:rPr>
          <w:color w:val="231F20"/>
          <w:spacing w:val="-11"/>
          <w:w w:val="120"/>
        </w:rPr>
        <w:t> </w:t>
      </w:r>
      <w:r>
        <w:rPr>
          <w:color w:val="231F20"/>
          <w:w w:val="120"/>
        </w:rPr>
        <w:t>selon</w:t>
      </w:r>
      <w:r>
        <w:rPr>
          <w:color w:val="231F20"/>
          <w:spacing w:val="-11"/>
          <w:w w:val="120"/>
        </w:rPr>
        <w:t> </w:t>
      </w:r>
      <w:r>
        <w:rPr>
          <w:color w:val="231F20"/>
          <w:w w:val="120"/>
        </w:rPr>
        <w:t>qu’ils</w:t>
      </w:r>
      <w:r>
        <w:rPr>
          <w:color w:val="231F20"/>
          <w:spacing w:val="-11"/>
          <w:w w:val="120"/>
        </w:rPr>
        <w:t> </w:t>
      </w:r>
      <w:r>
        <w:rPr>
          <w:color w:val="231F20"/>
          <w:w w:val="120"/>
        </w:rPr>
        <w:t>ont</w:t>
      </w:r>
      <w:r>
        <w:rPr>
          <w:color w:val="231F20"/>
          <w:spacing w:val="-11"/>
          <w:w w:val="120"/>
        </w:rPr>
        <w:t> </w:t>
      </w:r>
      <w:r>
        <w:rPr>
          <w:color w:val="231F20"/>
          <w:w w:val="120"/>
        </w:rPr>
        <w:t>une</w:t>
      </w:r>
      <w:r>
        <w:rPr>
          <w:color w:val="231F20"/>
          <w:spacing w:val="-11"/>
          <w:w w:val="120"/>
        </w:rPr>
        <w:t> </w:t>
      </w:r>
      <w:r>
        <w:rPr>
          <w:color w:val="231F20"/>
          <w:w w:val="120"/>
        </w:rPr>
        <w:t>source intrinsèque ou extrinsèque.</w:t>
      </w:r>
    </w:p>
    <w:p>
      <w:pPr>
        <w:pStyle w:val="BodyText"/>
        <w:spacing w:line="307" w:lineRule="auto" w:before="79"/>
        <w:ind w:left="829" w:right="495" w:firstLine="250"/>
        <w:jc w:val="both"/>
      </w:pPr>
      <w:r>
        <w:rPr>
          <w:color w:val="231F20"/>
          <w:w w:val="120"/>
        </w:rPr>
        <w:t>L’intérêt particulier de cette distinction vient du fait que ces deux </w:t>
      </w:r>
      <w:r>
        <w:rPr>
          <w:color w:val="231F20"/>
          <w:spacing w:val="-2"/>
          <w:w w:val="120"/>
        </w:rPr>
        <w:t>sources</w:t>
      </w:r>
      <w:r>
        <w:rPr>
          <w:color w:val="231F20"/>
          <w:spacing w:val="-9"/>
          <w:w w:val="120"/>
        </w:rPr>
        <w:t> </w:t>
      </w:r>
      <w:r>
        <w:rPr>
          <w:color w:val="231F20"/>
          <w:spacing w:val="-2"/>
          <w:w w:val="120"/>
        </w:rPr>
        <w:t>de</w:t>
      </w:r>
      <w:r>
        <w:rPr>
          <w:color w:val="231F20"/>
          <w:spacing w:val="-9"/>
          <w:w w:val="120"/>
        </w:rPr>
        <w:t> </w:t>
      </w:r>
      <w:r>
        <w:rPr>
          <w:color w:val="231F20"/>
          <w:spacing w:val="-2"/>
          <w:w w:val="120"/>
        </w:rPr>
        <w:t>stress</w:t>
      </w:r>
      <w:r>
        <w:rPr>
          <w:color w:val="231F20"/>
          <w:spacing w:val="-9"/>
          <w:w w:val="120"/>
        </w:rPr>
        <w:t> </w:t>
      </w:r>
      <w:r>
        <w:rPr>
          <w:color w:val="231F20"/>
          <w:spacing w:val="-2"/>
          <w:w w:val="120"/>
        </w:rPr>
        <w:t>ont</w:t>
      </w:r>
      <w:r>
        <w:rPr>
          <w:color w:val="231F20"/>
          <w:spacing w:val="-9"/>
          <w:w w:val="120"/>
        </w:rPr>
        <w:t> </w:t>
      </w:r>
      <w:r>
        <w:rPr>
          <w:color w:val="231F20"/>
          <w:spacing w:val="-2"/>
          <w:w w:val="120"/>
        </w:rPr>
        <w:t>des</w:t>
      </w:r>
      <w:r>
        <w:rPr>
          <w:color w:val="231F20"/>
          <w:spacing w:val="-9"/>
          <w:w w:val="120"/>
        </w:rPr>
        <w:t> </w:t>
      </w:r>
      <w:r>
        <w:rPr>
          <w:color w:val="231F20"/>
          <w:spacing w:val="-2"/>
          <w:w w:val="120"/>
        </w:rPr>
        <w:t>rapports</w:t>
      </w:r>
      <w:r>
        <w:rPr>
          <w:color w:val="231F20"/>
          <w:spacing w:val="-9"/>
          <w:w w:val="120"/>
        </w:rPr>
        <w:t> </w:t>
      </w:r>
      <w:r>
        <w:rPr>
          <w:color w:val="231F20"/>
          <w:spacing w:val="-2"/>
          <w:w w:val="120"/>
        </w:rPr>
        <w:t>différents</w:t>
      </w:r>
      <w:r>
        <w:rPr>
          <w:color w:val="231F20"/>
          <w:spacing w:val="-9"/>
          <w:w w:val="120"/>
        </w:rPr>
        <w:t> </w:t>
      </w:r>
      <w:r>
        <w:rPr>
          <w:color w:val="231F20"/>
          <w:spacing w:val="-2"/>
          <w:w w:val="120"/>
        </w:rPr>
        <w:t>avec</w:t>
      </w:r>
      <w:r>
        <w:rPr>
          <w:color w:val="231F20"/>
          <w:spacing w:val="-9"/>
          <w:w w:val="120"/>
        </w:rPr>
        <w:t> </w:t>
      </w:r>
      <w:r>
        <w:rPr>
          <w:color w:val="231F20"/>
          <w:spacing w:val="-2"/>
          <w:w w:val="120"/>
        </w:rPr>
        <w:t>les</w:t>
      </w:r>
      <w:r>
        <w:rPr>
          <w:color w:val="231F20"/>
          <w:spacing w:val="-9"/>
          <w:w w:val="120"/>
        </w:rPr>
        <w:t> </w:t>
      </w:r>
      <w:r>
        <w:rPr>
          <w:color w:val="231F20"/>
          <w:spacing w:val="-2"/>
          <w:w w:val="120"/>
        </w:rPr>
        <w:t>conséquences</w:t>
      </w:r>
      <w:r>
        <w:rPr>
          <w:color w:val="231F20"/>
          <w:spacing w:val="-9"/>
          <w:w w:val="120"/>
        </w:rPr>
        <w:t> </w:t>
      </w:r>
      <w:r>
        <w:rPr>
          <w:color w:val="231F20"/>
          <w:spacing w:val="-2"/>
          <w:w w:val="120"/>
        </w:rPr>
        <w:t>néga- </w:t>
      </w:r>
      <w:r>
        <w:rPr>
          <w:color w:val="231F20"/>
          <w:w w:val="120"/>
        </w:rPr>
        <w:t>tives</w:t>
      </w:r>
      <w:r>
        <w:rPr>
          <w:color w:val="231F20"/>
          <w:spacing w:val="-12"/>
          <w:w w:val="120"/>
        </w:rPr>
        <w:t> </w:t>
      </w:r>
      <w:r>
        <w:rPr>
          <w:color w:val="231F20"/>
          <w:w w:val="120"/>
        </w:rPr>
        <w:t>du</w:t>
      </w:r>
      <w:r>
        <w:rPr>
          <w:color w:val="231F20"/>
          <w:spacing w:val="-12"/>
          <w:w w:val="120"/>
        </w:rPr>
        <w:t> </w:t>
      </w:r>
      <w:r>
        <w:rPr>
          <w:color w:val="231F20"/>
          <w:w w:val="120"/>
        </w:rPr>
        <w:t>stress6.</w:t>
      </w:r>
      <w:r>
        <w:rPr>
          <w:color w:val="231F20"/>
          <w:spacing w:val="-12"/>
          <w:w w:val="120"/>
        </w:rPr>
        <w:t> </w:t>
      </w:r>
      <w:r>
        <w:rPr>
          <w:color w:val="231F20"/>
          <w:w w:val="120"/>
        </w:rPr>
        <w:t>Les</w:t>
      </w:r>
      <w:r>
        <w:rPr>
          <w:color w:val="231F20"/>
          <w:spacing w:val="-12"/>
          <w:w w:val="120"/>
        </w:rPr>
        <w:t> </w:t>
      </w:r>
      <w:r>
        <w:rPr>
          <w:color w:val="231F20"/>
          <w:w w:val="120"/>
        </w:rPr>
        <w:t>sources</w:t>
      </w:r>
      <w:r>
        <w:rPr>
          <w:color w:val="231F20"/>
          <w:spacing w:val="-12"/>
          <w:w w:val="120"/>
        </w:rPr>
        <w:t> </w:t>
      </w:r>
      <w:r>
        <w:rPr>
          <w:color w:val="231F20"/>
          <w:w w:val="120"/>
        </w:rPr>
        <w:t>extrinsèques</w:t>
      </w:r>
      <w:r>
        <w:rPr>
          <w:color w:val="231F20"/>
          <w:spacing w:val="-12"/>
          <w:w w:val="120"/>
        </w:rPr>
        <w:t> </w:t>
      </w:r>
      <w:r>
        <w:rPr>
          <w:color w:val="231F20"/>
          <w:w w:val="120"/>
        </w:rPr>
        <w:t>de</w:t>
      </w:r>
      <w:r>
        <w:rPr>
          <w:color w:val="231F20"/>
          <w:spacing w:val="-12"/>
          <w:w w:val="120"/>
        </w:rPr>
        <w:t> </w:t>
      </w:r>
      <w:r>
        <w:rPr>
          <w:color w:val="231F20"/>
          <w:w w:val="120"/>
        </w:rPr>
        <w:t>stress,</w:t>
      </w:r>
      <w:r>
        <w:rPr>
          <w:color w:val="231F20"/>
          <w:spacing w:val="-12"/>
          <w:w w:val="120"/>
        </w:rPr>
        <w:t> </w:t>
      </w:r>
      <w:r>
        <w:rPr>
          <w:color w:val="231F20"/>
          <w:w w:val="120"/>
        </w:rPr>
        <w:t>par</w:t>
      </w:r>
      <w:r>
        <w:rPr>
          <w:color w:val="231F20"/>
          <w:spacing w:val="-12"/>
          <w:w w:val="120"/>
        </w:rPr>
        <w:t> </w:t>
      </w:r>
      <w:r>
        <w:rPr>
          <w:color w:val="231F20"/>
          <w:w w:val="120"/>
        </w:rPr>
        <w:t>exemple,</w:t>
      </w:r>
      <w:r>
        <w:rPr>
          <w:color w:val="231F20"/>
          <w:spacing w:val="-12"/>
          <w:w w:val="120"/>
        </w:rPr>
        <w:t> </w:t>
      </w:r>
      <w:r>
        <w:rPr>
          <w:color w:val="231F20"/>
          <w:w w:val="120"/>
        </w:rPr>
        <w:t>ont</w:t>
      </w:r>
      <w:r>
        <w:rPr>
          <w:color w:val="231F20"/>
          <w:spacing w:val="-12"/>
          <w:w w:val="120"/>
        </w:rPr>
        <w:t> </w:t>
      </w:r>
      <w:r>
        <w:rPr>
          <w:color w:val="231F20"/>
          <w:w w:val="120"/>
        </w:rPr>
        <w:t>un rapport linéaire (c’est-à-dire direct) en raison de leur nature additive </w:t>
      </w:r>
      <w:r>
        <w:rPr>
          <w:color w:val="231F20"/>
          <w:w w:val="115"/>
        </w:rPr>
        <w:t>(figure</w:t>
      </w:r>
      <w:r>
        <w:rPr>
          <w:color w:val="231F20"/>
          <w:spacing w:val="-9"/>
          <w:w w:val="115"/>
        </w:rPr>
        <w:t> </w:t>
      </w:r>
      <w:r>
        <w:rPr>
          <w:color w:val="231F20"/>
          <w:w w:val="115"/>
        </w:rPr>
        <w:t>3.2).</w:t>
      </w:r>
      <w:r>
        <w:rPr>
          <w:color w:val="231F20"/>
          <w:spacing w:val="-9"/>
          <w:w w:val="115"/>
        </w:rPr>
        <w:t> </w:t>
      </w:r>
      <w:r>
        <w:rPr>
          <w:color w:val="231F20"/>
          <w:w w:val="115"/>
        </w:rPr>
        <w:t>Le</w:t>
      </w:r>
      <w:r>
        <w:rPr>
          <w:color w:val="231F20"/>
          <w:spacing w:val="-9"/>
          <w:w w:val="115"/>
        </w:rPr>
        <w:t> </w:t>
      </w:r>
      <w:r>
        <w:rPr>
          <w:color w:val="231F20"/>
          <w:w w:val="115"/>
        </w:rPr>
        <w:t>mot</w:t>
      </w:r>
      <w:r>
        <w:rPr>
          <w:color w:val="231F20"/>
          <w:spacing w:val="-9"/>
          <w:w w:val="115"/>
        </w:rPr>
        <w:t> </w:t>
      </w:r>
      <w:r>
        <w:rPr>
          <w:i/>
          <w:color w:val="231F20"/>
          <w:w w:val="115"/>
        </w:rPr>
        <w:t>extrinsèque</w:t>
      </w:r>
      <w:r>
        <w:rPr>
          <w:i/>
          <w:color w:val="231F20"/>
          <w:spacing w:val="-9"/>
          <w:w w:val="115"/>
        </w:rPr>
        <w:t> </w:t>
      </w:r>
      <w:r>
        <w:rPr>
          <w:color w:val="231F20"/>
          <w:w w:val="115"/>
        </w:rPr>
        <w:t>signifie</w:t>
      </w:r>
      <w:r>
        <w:rPr>
          <w:color w:val="231F20"/>
          <w:spacing w:val="-9"/>
          <w:w w:val="115"/>
        </w:rPr>
        <w:t> </w:t>
      </w:r>
      <w:r>
        <w:rPr>
          <w:color w:val="231F20"/>
          <w:w w:val="115"/>
        </w:rPr>
        <w:t>que</w:t>
      </w:r>
      <w:r>
        <w:rPr>
          <w:color w:val="231F20"/>
          <w:spacing w:val="-9"/>
          <w:w w:val="115"/>
        </w:rPr>
        <w:t> </w:t>
      </w:r>
      <w:r>
        <w:rPr>
          <w:color w:val="231F20"/>
          <w:w w:val="115"/>
        </w:rPr>
        <w:t>ces</w:t>
      </w:r>
      <w:r>
        <w:rPr>
          <w:color w:val="231F20"/>
          <w:spacing w:val="-9"/>
          <w:w w:val="115"/>
        </w:rPr>
        <w:t> </w:t>
      </w:r>
      <w:r>
        <w:rPr>
          <w:color w:val="231F20"/>
          <w:w w:val="115"/>
        </w:rPr>
        <w:t>sources</w:t>
      </w:r>
      <w:r>
        <w:rPr>
          <w:color w:val="231F20"/>
          <w:spacing w:val="-9"/>
          <w:w w:val="115"/>
        </w:rPr>
        <w:t> </w:t>
      </w:r>
      <w:r>
        <w:rPr>
          <w:color w:val="231F20"/>
          <w:w w:val="115"/>
        </w:rPr>
        <w:t>de</w:t>
      </w:r>
      <w:r>
        <w:rPr>
          <w:color w:val="231F20"/>
          <w:spacing w:val="-9"/>
          <w:w w:val="115"/>
        </w:rPr>
        <w:t> </w:t>
      </w:r>
      <w:r>
        <w:rPr>
          <w:color w:val="231F20"/>
          <w:w w:val="115"/>
        </w:rPr>
        <w:t>stress</w:t>
      </w:r>
      <w:r>
        <w:rPr>
          <w:color w:val="231F20"/>
          <w:spacing w:val="-9"/>
          <w:w w:val="115"/>
        </w:rPr>
        <w:t> </w:t>
      </w:r>
      <w:r>
        <w:rPr>
          <w:color w:val="231F20"/>
          <w:w w:val="115"/>
        </w:rPr>
        <w:t>ont</w:t>
      </w:r>
      <w:r>
        <w:rPr>
          <w:color w:val="231F20"/>
          <w:spacing w:val="-9"/>
          <w:w w:val="115"/>
        </w:rPr>
        <w:t> </w:t>
      </w:r>
      <w:r>
        <w:rPr>
          <w:color w:val="231F20"/>
          <w:w w:val="115"/>
        </w:rPr>
        <w:t>pour </w:t>
      </w:r>
      <w:r>
        <w:rPr>
          <w:color w:val="231F20"/>
          <w:w w:val="120"/>
        </w:rPr>
        <w:t>dénominateur</w:t>
      </w:r>
      <w:r>
        <w:rPr>
          <w:color w:val="231F20"/>
          <w:spacing w:val="-13"/>
          <w:w w:val="120"/>
        </w:rPr>
        <w:t> </w:t>
      </w:r>
      <w:r>
        <w:rPr>
          <w:color w:val="231F20"/>
          <w:w w:val="120"/>
        </w:rPr>
        <w:t>commun</w:t>
      </w:r>
      <w:r>
        <w:rPr>
          <w:color w:val="231F20"/>
          <w:spacing w:val="-13"/>
          <w:w w:val="120"/>
        </w:rPr>
        <w:t> </w:t>
      </w:r>
      <w:r>
        <w:rPr>
          <w:color w:val="231F20"/>
          <w:w w:val="120"/>
        </w:rPr>
        <w:t>leur</w:t>
      </w:r>
      <w:r>
        <w:rPr>
          <w:color w:val="231F20"/>
          <w:spacing w:val="-13"/>
          <w:w w:val="120"/>
        </w:rPr>
        <w:t> </w:t>
      </w:r>
      <w:r>
        <w:rPr>
          <w:color w:val="231F20"/>
          <w:w w:val="120"/>
        </w:rPr>
        <w:t>relation</w:t>
      </w:r>
      <w:r>
        <w:rPr>
          <w:color w:val="231F20"/>
          <w:spacing w:val="-12"/>
          <w:w w:val="120"/>
        </w:rPr>
        <w:t> </w:t>
      </w:r>
      <w:r>
        <w:rPr>
          <w:color w:val="231F20"/>
          <w:w w:val="120"/>
        </w:rPr>
        <w:t>avec</w:t>
      </w:r>
      <w:r>
        <w:rPr>
          <w:color w:val="231F20"/>
          <w:spacing w:val="-13"/>
          <w:w w:val="120"/>
        </w:rPr>
        <w:t> </w:t>
      </w:r>
      <w:r>
        <w:rPr>
          <w:color w:val="231F20"/>
          <w:w w:val="120"/>
        </w:rPr>
        <w:t>le</w:t>
      </w:r>
      <w:r>
        <w:rPr>
          <w:color w:val="231F20"/>
          <w:spacing w:val="-13"/>
          <w:w w:val="120"/>
        </w:rPr>
        <w:t> </w:t>
      </w:r>
      <w:r>
        <w:rPr>
          <w:color w:val="231F20"/>
          <w:w w:val="120"/>
        </w:rPr>
        <w:t>contexte</w:t>
      </w:r>
      <w:r>
        <w:rPr>
          <w:color w:val="231F20"/>
          <w:spacing w:val="-13"/>
          <w:w w:val="120"/>
        </w:rPr>
        <w:t> </w:t>
      </w:r>
      <w:r>
        <w:rPr>
          <w:color w:val="231F20"/>
          <w:w w:val="120"/>
        </w:rPr>
        <w:t>du</w:t>
      </w:r>
      <w:r>
        <w:rPr>
          <w:color w:val="231F20"/>
          <w:spacing w:val="-12"/>
          <w:w w:val="120"/>
        </w:rPr>
        <w:t> </w:t>
      </w:r>
      <w:r>
        <w:rPr>
          <w:color w:val="231F20"/>
          <w:w w:val="120"/>
        </w:rPr>
        <w:t>travail</w:t>
      </w:r>
      <w:r>
        <w:rPr>
          <w:color w:val="231F20"/>
          <w:spacing w:val="-13"/>
          <w:w w:val="120"/>
        </w:rPr>
        <w:t> </w:t>
      </w:r>
      <w:r>
        <w:rPr>
          <w:color w:val="231F20"/>
          <w:w w:val="120"/>
        </w:rPr>
        <w:t>(p.</w:t>
      </w:r>
      <w:r>
        <w:rPr>
          <w:color w:val="231F20"/>
          <w:spacing w:val="-13"/>
          <w:w w:val="120"/>
        </w:rPr>
        <w:t> </w:t>
      </w:r>
      <w:r>
        <w:rPr>
          <w:color w:val="231F20"/>
          <w:w w:val="120"/>
        </w:rPr>
        <w:t>ex.</w:t>
      </w:r>
      <w:r>
        <w:rPr>
          <w:color w:val="231F20"/>
          <w:spacing w:val="-13"/>
          <w:w w:val="120"/>
        </w:rPr>
        <w:t> </w:t>
      </w:r>
      <w:r>
        <w:rPr>
          <w:color w:val="231F20"/>
          <w:w w:val="120"/>
        </w:rPr>
        <w:t>le salaire, les horaires, les politiques de l’entreprise ou les avantages sociaux). Ainsi, le rapport entre les sources extrinsèques et les consé- </w:t>
      </w:r>
      <w:r>
        <w:rPr>
          <w:color w:val="231F20"/>
          <w:spacing w:val="-2"/>
          <w:w w:val="120"/>
        </w:rPr>
        <w:t>quences</w:t>
      </w:r>
      <w:r>
        <w:rPr>
          <w:color w:val="231F20"/>
          <w:spacing w:val="-6"/>
          <w:w w:val="120"/>
        </w:rPr>
        <w:t> </w:t>
      </w:r>
      <w:r>
        <w:rPr>
          <w:color w:val="231F20"/>
          <w:spacing w:val="-2"/>
          <w:w w:val="120"/>
        </w:rPr>
        <w:t>qui</w:t>
      </w:r>
      <w:r>
        <w:rPr>
          <w:color w:val="231F20"/>
          <w:spacing w:val="-6"/>
          <w:w w:val="120"/>
        </w:rPr>
        <w:t> </w:t>
      </w:r>
      <w:r>
        <w:rPr>
          <w:color w:val="231F20"/>
          <w:spacing w:val="-2"/>
          <w:w w:val="120"/>
        </w:rPr>
        <w:t>en</w:t>
      </w:r>
      <w:r>
        <w:rPr>
          <w:color w:val="231F20"/>
          <w:spacing w:val="-6"/>
          <w:w w:val="120"/>
        </w:rPr>
        <w:t> </w:t>
      </w:r>
      <w:r>
        <w:rPr>
          <w:color w:val="231F20"/>
          <w:spacing w:val="-2"/>
          <w:w w:val="120"/>
        </w:rPr>
        <w:t>découlent</w:t>
      </w:r>
      <w:r>
        <w:rPr>
          <w:color w:val="231F20"/>
          <w:spacing w:val="-6"/>
          <w:w w:val="120"/>
        </w:rPr>
        <w:t> </w:t>
      </w:r>
      <w:r>
        <w:rPr>
          <w:color w:val="231F20"/>
          <w:spacing w:val="-2"/>
          <w:w w:val="120"/>
        </w:rPr>
        <w:t>est</w:t>
      </w:r>
      <w:r>
        <w:rPr>
          <w:color w:val="231F20"/>
          <w:spacing w:val="-6"/>
          <w:w w:val="120"/>
        </w:rPr>
        <w:t> </w:t>
      </w:r>
      <w:r>
        <w:rPr>
          <w:color w:val="231F20"/>
          <w:spacing w:val="-2"/>
          <w:w w:val="120"/>
        </w:rPr>
        <w:t>directement</w:t>
      </w:r>
      <w:r>
        <w:rPr>
          <w:color w:val="231F20"/>
          <w:spacing w:val="-6"/>
          <w:w w:val="120"/>
        </w:rPr>
        <w:t> </w:t>
      </w:r>
      <w:r>
        <w:rPr>
          <w:color w:val="231F20"/>
          <w:spacing w:val="-2"/>
          <w:w w:val="120"/>
        </w:rPr>
        <w:t>proportionnel,</w:t>
      </w:r>
      <w:r>
        <w:rPr>
          <w:color w:val="231F20"/>
          <w:spacing w:val="-6"/>
          <w:w w:val="120"/>
        </w:rPr>
        <w:t> </w:t>
      </w:r>
      <w:r>
        <w:rPr>
          <w:color w:val="231F20"/>
          <w:spacing w:val="-2"/>
          <w:w w:val="120"/>
        </w:rPr>
        <w:t>c’est-à-dire</w:t>
      </w:r>
      <w:r>
        <w:rPr>
          <w:color w:val="231F20"/>
          <w:spacing w:val="-6"/>
          <w:w w:val="120"/>
        </w:rPr>
        <w:t> </w:t>
      </w:r>
      <w:r>
        <w:rPr>
          <w:color w:val="231F20"/>
          <w:spacing w:val="-2"/>
          <w:w w:val="120"/>
        </w:rPr>
        <w:t>que </w:t>
      </w:r>
      <w:r>
        <w:rPr>
          <w:color w:val="231F20"/>
          <w:spacing w:val="-4"/>
          <w:w w:val="120"/>
        </w:rPr>
        <w:t>plus de l’un résulte inévitablement à plus de l’autre. Cette logique permet </w:t>
      </w:r>
      <w:r>
        <w:rPr>
          <w:color w:val="231F20"/>
          <w:spacing w:val="-2"/>
          <w:w w:val="120"/>
        </w:rPr>
        <w:t>de</w:t>
      </w:r>
      <w:r>
        <w:rPr>
          <w:color w:val="231F20"/>
          <w:spacing w:val="-7"/>
          <w:w w:val="120"/>
        </w:rPr>
        <w:t> </w:t>
      </w:r>
      <w:r>
        <w:rPr>
          <w:color w:val="231F20"/>
          <w:spacing w:val="-2"/>
          <w:w w:val="120"/>
        </w:rPr>
        <w:t>comprendre</w:t>
      </w:r>
      <w:r>
        <w:rPr>
          <w:color w:val="231F20"/>
          <w:spacing w:val="-7"/>
          <w:w w:val="120"/>
        </w:rPr>
        <w:t> </w:t>
      </w:r>
      <w:r>
        <w:rPr>
          <w:color w:val="231F20"/>
          <w:spacing w:val="-2"/>
          <w:w w:val="120"/>
        </w:rPr>
        <w:t>que</w:t>
      </w:r>
      <w:r>
        <w:rPr>
          <w:color w:val="231F20"/>
          <w:spacing w:val="-7"/>
          <w:w w:val="120"/>
        </w:rPr>
        <w:t> </w:t>
      </w:r>
      <w:r>
        <w:rPr>
          <w:color w:val="231F20"/>
          <w:spacing w:val="-2"/>
          <w:w w:val="120"/>
        </w:rPr>
        <w:t>la</w:t>
      </w:r>
      <w:r>
        <w:rPr>
          <w:color w:val="231F20"/>
          <w:spacing w:val="-7"/>
          <w:w w:val="120"/>
        </w:rPr>
        <w:t> </w:t>
      </w:r>
      <w:r>
        <w:rPr>
          <w:color w:val="231F20"/>
          <w:spacing w:val="-2"/>
          <w:w w:val="120"/>
        </w:rPr>
        <w:t>gestion</w:t>
      </w:r>
      <w:r>
        <w:rPr>
          <w:color w:val="231F20"/>
          <w:spacing w:val="-7"/>
          <w:w w:val="120"/>
        </w:rPr>
        <w:t> </w:t>
      </w:r>
      <w:r>
        <w:rPr>
          <w:color w:val="231F20"/>
          <w:spacing w:val="-2"/>
          <w:w w:val="120"/>
        </w:rPr>
        <w:t>des</w:t>
      </w:r>
      <w:r>
        <w:rPr>
          <w:color w:val="231F20"/>
          <w:spacing w:val="-7"/>
          <w:w w:val="120"/>
        </w:rPr>
        <w:t> </w:t>
      </w:r>
      <w:r>
        <w:rPr>
          <w:color w:val="231F20"/>
          <w:spacing w:val="-2"/>
          <w:w w:val="120"/>
        </w:rPr>
        <w:t>sources</w:t>
      </w:r>
      <w:r>
        <w:rPr>
          <w:color w:val="231F20"/>
          <w:spacing w:val="-7"/>
          <w:w w:val="120"/>
        </w:rPr>
        <w:t> </w:t>
      </w:r>
      <w:r>
        <w:rPr>
          <w:color w:val="231F20"/>
          <w:spacing w:val="-2"/>
          <w:w w:val="120"/>
        </w:rPr>
        <w:t>extrinsèques</w:t>
      </w:r>
      <w:r>
        <w:rPr>
          <w:color w:val="231F20"/>
          <w:spacing w:val="-7"/>
          <w:w w:val="120"/>
        </w:rPr>
        <w:t> </w:t>
      </w:r>
      <w:r>
        <w:rPr>
          <w:color w:val="231F20"/>
          <w:spacing w:val="-2"/>
          <w:w w:val="120"/>
        </w:rPr>
        <w:t>de</w:t>
      </w:r>
      <w:r>
        <w:rPr>
          <w:color w:val="231F20"/>
          <w:spacing w:val="-7"/>
          <w:w w:val="120"/>
        </w:rPr>
        <w:t> </w:t>
      </w:r>
      <w:r>
        <w:rPr>
          <w:color w:val="231F20"/>
          <w:spacing w:val="-2"/>
          <w:w w:val="120"/>
        </w:rPr>
        <w:t>stress</w:t>
      </w:r>
      <w:r>
        <w:rPr>
          <w:color w:val="231F20"/>
          <w:spacing w:val="-7"/>
          <w:w w:val="120"/>
        </w:rPr>
        <w:t> </w:t>
      </w:r>
      <w:r>
        <w:rPr>
          <w:color w:val="231F20"/>
          <w:spacing w:val="-2"/>
          <w:w w:val="120"/>
        </w:rPr>
        <w:t>est</w:t>
      </w:r>
      <w:r>
        <w:rPr>
          <w:color w:val="231F20"/>
          <w:spacing w:val="-7"/>
          <w:w w:val="120"/>
        </w:rPr>
        <w:t> </w:t>
      </w:r>
      <w:r>
        <w:rPr>
          <w:color w:val="231F20"/>
          <w:spacing w:val="-2"/>
          <w:w w:val="120"/>
        </w:rPr>
        <w:t>rela- </w:t>
      </w:r>
      <w:r>
        <w:rPr>
          <w:color w:val="231F20"/>
          <w:w w:val="120"/>
        </w:rPr>
        <w:t>tivement</w:t>
      </w:r>
      <w:r>
        <w:rPr>
          <w:color w:val="231F20"/>
          <w:spacing w:val="-13"/>
          <w:w w:val="120"/>
        </w:rPr>
        <w:t> </w:t>
      </w:r>
      <w:r>
        <w:rPr>
          <w:color w:val="231F20"/>
          <w:w w:val="120"/>
        </w:rPr>
        <w:t>simple,</w:t>
      </w:r>
      <w:r>
        <w:rPr>
          <w:color w:val="231F20"/>
          <w:spacing w:val="-13"/>
          <w:w w:val="120"/>
        </w:rPr>
        <w:t> </w:t>
      </w:r>
      <w:r>
        <w:rPr>
          <w:color w:val="231F20"/>
          <w:w w:val="120"/>
        </w:rPr>
        <w:t>il</w:t>
      </w:r>
      <w:r>
        <w:rPr>
          <w:color w:val="231F20"/>
          <w:spacing w:val="-13"/>
          <w:w w:val="120"/>
        </w:rPr>
        <w:t> </w:t>
      </w:r>
      <w:r>
        <w:rPr>
          <w:color w:val="231F20"/>
          <w:w w:val="120"/>
        </w:rPr>
        <w:t>suffit</w:t>
      </w:r>
      <w:r>
        <w:rPr>
          <w:color w:val="231F20"/>
          <w:spacing w:val="-12"/>
          <w:w w:val="120"/>
        </w:rPr>
        <w:t> </w:t>
      </w:r>
      <w:r>
        <w:rPr>
          <w:color w:val="231F20"/>
          <w:w w:val="120"/>
        </w:rPr>
        <w:t>d’en</w:t>
      </w:r>
      <w:r>
        <w:rPr>
          <w:color w:val="231F20"/>
          <w:spacing w:val="-13"/>
          <w:w w:val="120"/>
        </w:rPr>
        <w:t> </w:t>
      </w:r>
      <w:r>
        <w:rPr>
          <w:color w:val="231F20"/>
          <w:w w:val="120"/>
        </w:rPr>
        <w:t>réduire</w:t>
      </w:r>
      <w:r>
        <w:rPr>
          <w:color w:val="231F20"/>
          <w:spacing w:val="-13"/>
          <w:w w:val="120"/>
        </w:rPr>
        <w:t> </w:t>
      </w:r>
      <w:r>
        <w:rPr>
          <w:color w:val="231F20"/>
          <w:w w:val="120"/>
        </w:rPr>
        <w:t>l’intensité</w:t>
      </w:r>
      <w:r>
        <w:rPr>
          <w:color w:val="231F20"/>
          <w:spacing w:val="-13"/>
          <w:w w:val="120"/>
        </w:rPr>
        <w:t> </w:t>
      </w:r>
      <w:r>
        <w:rPr>
          <w:color w:val="231F20"/>
          <w:w w:val="120"/>
        </w:rPr>
        <w:t>pour</w:t>
      </w:r>
      <w:r>
        <w:rPr>
          <w:color w:val="231F20"/>
          <w:spacing w:val="-12"/>
          <w:w w:val="120"/>
        </w:rPr>
        <w:t> </w:t>
      </w:r>
      <w:r>
        <w:rPr>
          <w:color w:val="231F20"/>
          <w:w w:val="120"/>
        </w:rPr>
        <w:t>obtenir</w:t>
      </w:r>
      <w:r>
        <w:rPr>
          <w:color w:val="231F20"/>
          <w:spacing w:val="-13"/>
          <w:w w:val="120"/>
        </w:rPr>
        <w:t> </w:t>
      </w:r>
      <w:r>
        <w:rPr>
          <w:color w:val="231F20"/>
          <w:w w:val="120"/>
        </w:rPr>
        <w:t>une</w:t>
      </w:r>
      <w:r>
        <w:rPr>
          <w:color w:val="231F20"/>
          <w:spacing w:val="-13"/>
          <w:w w:val="120"/>
        </w:rPr>
        <w:t> </w:t>
      </w:r>
      <w:r>
        <w:rPr>
          <w:color w:val="231F20"/>
          <w:w w:val="120"/>
        </w:rPr>
        <w:t>baisse </w:t>
      </w:r>
      <w:r>
        <w:rPr>
          <w:color w:val="231F20"/>
          <w:spacing w:val="-2"/>
          <w:w w:val="120"/>
        </w:rPr>
        <w:t>comparable</w:t>
      </w:r>
      <w:r>
        <w:rPr>
          <w:color w:val="231F20"/>
          <w:spacing w:val="-11"/>
          <w:w w:val="120"/>
        </w:rPr>
        <w:t> </w:t>
      </w:r>
      <w:r>
        <w:rPr>
          <w:color w:val="231F20"/>
          <w:spacing w:val="-2"/>
          <w:w w:val="120"/>
        </w:rPr>
        <w:t>des</w:t>
      </w:r>
      <w:r>
        <w:rPr>
          <w:color w:val="231F20"/>
          <w:spacing w:val="-11"/>
          <w:w w:val="120"/>
        </w:rPr>
        <w:t> </w:t>
      </w:r>
      <w:r>
        <w:rPr>
          <w:color w:val="231F20"/>
          <w:spacing w:val="-2"/>
          <w:w w:val="120"/>
        </w:rPr>
        <w:t>conséquences.</w:t>
      </w:r>
      <w:r>
        <w:rPr>
          <w:color w:val="231F20"/>
          <w:spacing w:val="-11"/>
          <w:w w:val="120"/>
        </w:rPr>
        <w:t> </w:t>
      </w:r>
      <w:r>
        <w:rPr>
          <w:color w:val="231F20"/>
          <w:spacing w:val="-2"/>
          <w:w w:val="120"/>
        </w:rPr>
        <w:t>Par</w:t>
      </w:r>
      <w:r>
        <w:rPr>
          <w:color w:val="231F20"/>
          <w:spacing w:val="-10"/>
          <w:w w:val="120"/>
        </w:rPr>
        <w:t> </w:t>
      </w:r>
      <w:r>
        <w:rPr>
          <w:color w:val="231F20"/>
          <w:spacing w:val="-2"/>
          <w:w w:val="120"/>
        </w:rPr>
        <w:t>exemple,</w:t>
      </w:r>
      <w:r>
        <w:rPr>
          <w:color w:val="231F20"/>
          <w:spacing w:val="-11"/>
          <w:w w:val="120"/>
        </w:rPr>
        <w:t> </w:t>
      </w:r>
      <w:r>
        <w:rPr>
          <w:color w:val="231F20"/>
          <w:spacing w:val="-2"/>
          <w:w w:val="120"/>
        </w:rPr>
        <w:t>et</w:t>
      </w:r>
      <w:r>
        <w:rPr>
          <w:color w:val="231F20"/>
          <w:spacing w:val="-11"/>
          <w:w w:val="120"/>
        </w:rPr>
        <w:t> </w:t>
      </w:r>
      <w:r>
        <w:rPr>
          <w:color w:val="231F20"/>
          <w:spacing w:val="-2"/>
          <w:w w:val="120"/>
        </w:rPr>
        <w:t>toutes</w:t>
      </w:r>
      <w:r>
        <w:rPr>
          <w:color w:val="231F20"/>
          <w:spacing w:val="-11"/>
          <w:w w:val="120"/>
        </w:rPr>
        <w:t> </w:t>
      </w:r>
      <w:r>
        <w:rPr>
          <w:color w:val="231F20"/>
          <w:spacing w:val="-2"/>
          <w:w w:val="120"/>
        </w:rPr>
        <w:t>choses</w:t>
      </w:r>
      <w:r>
        <w:rPr>
          <w:color w:val="231F20"/>
          <w:spacing w:val="-10"/>
          <w:w w:val="120"/>
        </w:rPr>
        <w:t> </w:t>
      </w:r>
      <w:r>
        <w:rPr>
          <w:color w:val="231F20"/>
          <w:spacing w:val="-2"/>
          <w:w w:val="120"/>
        </w:rPr>
        <w:t>étant</w:t>
      </w:r>
      <w:r>
        <w:rPr>
          <w:color w:val="231F20"/>
          <w:spacing w:val="-11"/>
          <w:w w:val="120"/>
        </w:rPr>
        <w:t> </w:t>
      </w:r>
      <w:r>
        <w:rPr>
          <w:color w:val="231F20"/>
          <w:spacing w:val="-2"/>
          <w:w w:val="120"/>
        </w:rPr>
        <w:t>égales </w:t>
      </w:r>
      <w:r>
        <w:rPr>
          <w:color w:val="231F20"/>
          <w:w w:val="120"/>
        </w:rPr>
        <w:t>par</w:t>
      </w:r>
      <w:r>
        <w:rPr>
          <w:color w:val="231F20"/>
          <w:spacing w:val="-15"/>
          <w:w w:val="120"/>
        </w:rPr>
        <w:t> </w:t>
      </w:r>
      <w:r>
        <w:rPr>
          <w:color w:val="231F20"/>
          <w:w w:val="120"/>
        </w:rPr>
        <w:t>ailleurs,</w:t>
      </w:r>
      <w:r>
        <w:rPr>
          <w:color w:val="231F20"/>
          <w:spacing w:val="-13"/>
          <w:w w:val="120"/>
        </w:rPr>
        <w:t> </w:t>
      </w:r>
      <w:r>
        <w:rPr>
          <w:color w:val="231F20"/>
          <w:w w:val="120"/>
        </w:rPr>
        <w:t>une</w:t>
      </w:r>
      <w:r>
        <w:rPr>
          <w:color w:val="231F20"/>
          <w:spacing w:val="-13"/>
          <w:w w:val="120"/>
        </w:rPr>
        <w:t> </w:t>
      </w:r>
      <w:r>
        <w:rPr>
          <w:color w:val="231F20"/>
          <w:w w:val="120"/>
        </w:rPr>
        <w:t>augmentation</w:t>
      </w:r>
      <w:r>
        <w:rPr>
          <w:color w:val="231F20"/>
          <w:spacing w:val="-12"/>
          <w:w w:val="120"/>
        </w:rPr>
        <w:t> </w:t>
      </w:r>
      <w:r>
        <w:rPr>
          <w:color w:val="231F20"/>
          <w:w w:val="120"/>
        </w:rPr>
        <w:t>salariale</w:t>
      </w:r>
      <w:r>
        <w:rPr>
          <w:color w:val="231F20"/>
          <w:spacing w:val="-13"/>
          <w:w w:val="120"/>
        </w:rPr>
        <w:t> </w:t>
      </w:r>
      <w:r>
        <w:rPr>
          <w:color w:val="231F20"/>
          <w:w w:val="120"/>
        </w:rPr>
        <w:t>diminuera</w:t>
      </w:r>
      <w:r>
        <w:rPr>
          <w:color w:val="231F20"/>
          <w:spacing w:val="-13"/>
          <w:w w:val="120"/>
        </w:rPr>
        <w:t> </w:t>
      </w:r>
      <w:r>
        <w:rPr>
          <w:color w:val="231F20"/>
          <w:w w:val="120"/>
        </w:rPr>
        <w:t>assurément</w:t>
      </w:r>
      <w:r>
        <w:rPr>
          <w:color w:val="231F20"/>
          <w:spacing w:val="-13"/>
          <w:w w:val="120"/>
        </w:rPr>
        <w:t> </w:t>
      </w:r>
      <w:r>
        <w:rPr>
          <w:color w:val="231F20"/>
          <w:w w:val="120"/>
        </w:rPr>
        <w:t>le</w:t>
      </w:r>
      <w:r>
        <w:rPr>
          <w:color w:val="231F20"/>
          <w:spacing w:val="-12"/>
          <w:w w:val="120"/>
        </w:rPr>
        <w:t> </w:t>
      </w:r>
      <w:r>
        <w:rPr>
          <w:color w:val="231F20"/>
          <w:w w:val="120"/>
        </w:rPr>
        <w:t>niveau de stress associé directement à cette dimension du travail. Il en est de même</w:t>
      </w:r>
      <w:r>
        <w:rPr>
          <w:color w:val="231F20"/>
          <w:spacing w:val="-13"/>
          <w:w w:val="120"/>
        </w:rPr>
        <w:t> </w:t>
      </w:r>
      <w:r>
        <w:rPr>
          <w:color w:val="231F20"/>
          <w:w w:val="120"/>
        </w:rPr>
        <w:t>pour</w:t>
      </w:r>
      <w:r>
        <w:rPr>
          <w:color w:val="231F20"/>
          <w:spacing w:val="-13"/>
          <w:w w:val="120"/>
        </w:rPr>
        <w:t> </w:t>
      </w:r>
      <w:r>
        <w:rPr>
          <w:color w:val="231F20"/>
          <w:w w:val="120"/>
        </w:rPr>
        <w:t>tous</w:t>
      </w:r>
      <w:r>
        <w:rPr>
          <w:color w:val="231F20"/>
          <w:spacing w:val="-13"/>
          <w:w w:val="120"/>
        </w:rPr>
        <w:t> </w:t>
      </w:r>
      <w:r>
        <w:rPr>
          <w:color w:val="231F20"/>
          <w:w w:val="120"/>
        </w:rPr>
        <w:t>les</w:t>
      </w:r>
      <w:r>
        <w:rPr>
          <w:color w:val="231F20"/>
          <w:spacing w:val="-12"/>
          <w:w w:val="120"/>
        </w:rPr>
        <w:t> </w:t>
      </w:r>
      <w:r>
        <w:rPr>
          <w:color w:val="231F20"/>
          <w:w w:val="120"/>
        </w:rPr>
        <w:t>stresseurs</w:t>
      </w:r>
      <w:r>
        <w:rPr>
          <w:color w:val="231F20"/>
          <w:spacing w:val="-13"/>
          <w:w w:val="120"/>
        </w:rPr>
        <w:t> </w:t>
      </w:r>
      <w:r>
        <w:rPr>
          <w:color w:val="231F20"/>
          <w:w w:val="120"/>
        </w:rPr>
        <w:t>pouvant</w:t>
      </w:r>
      <w:r>
        <w:rPr>
          <w:color w:val="231F20"/>
          <w:spacing w:val="-13"/>
          <w:w w:val="120"/>
        </w:rPr>
        <w:t> </w:t>
      </w:r>
      <w:r>
        <w:rPr>
          <w:color w:val="231F20"/>
          <w:w w:val="120"/>
        </w:rPr>
        <w:t>être</w:t>
      </w:r>
      <w:r>
        <w:rPr>
          <w:color w:val="231F20"/>
          <w:spacing w:val="-13"/>
          <w:w w:val="120"/>
        </w:rPr>
        <w:t> </w:t>
      </w:r>
      <w:r>
        <w:rPr>
          <w:color w:val="231F20"/>
          <w:w w:val="120"/>
        </w:rPr>
        <w:t>classés</w:t>
      </w:r>
      <w:r>
        <w:rPr>
          <w:color w:val="231F20"/>
          <w:spacing w:val="-12"/>
          <w:w w:val="120"/>
        </w:rPr>
        <w:t> </w:t>
      </w:r>
      <w:r>
        <w:rPr>
          <w:color w:val="231F20"/>
          <w:w w:val="120"/>
        </w:rPr>
        <w:t>dans</w:t>
      </w:r>
      <w:r>
        <w:rPr>
          <w:color w:val="231F20"/>
          <w:spacing w:val="-13"/>
          <w:w w:val="120"/>
        </w:rPr>
        <w:t> </w:t>
      </w:r>
      <w:r>
        <w:rPr>
          <w:color w:val="231F20"/>
          <w:w w:val="120"/>
        </w:rPr>
        <w:t>la</w:t>
      </w:r>
      <w:r>
        <w:rPr>
          <w:color w:val="231F20"/>
          <w:spacing w:val="-13"/>
          <w:w w:val="120"/>
        </w:rPr>
        <w:t> </w:t>
      </w:r>
      <w:r>
        <w:rPr>
          <w:color w:val="231F20"/>
          <w:w w:val="120"/>
        </w:rPr>
        <w:t>catégorie</w:t>
      </w:r>
      <w:r>
        <w:rPr>
          <w:color w:val="231F20"/>
          <w:spacing w:val="-13"/>
          <w:w w:val="120"/>
        </w:rPr>
        <w:t> </w:t>
      </w:r>
      <w:r>
        <w:rPr>
          <w:color w:val="231F20"/>
          <w:w w:val="120"/>
        </w:rPr>
        <w:t>des sources extrinsèques de stress.</w:t>
      </w:r>
    </w:p>
    <w:p>
      <w:pPr>
        <w:pStyle w:val="BodyText"/>
        <w:spacing w:line="307" w:lineRule="auto" w:before="77"/>
        <w:ind w:left="830" w:right="493" w:firstLine="249"/>
        <w:jc w:val="both"/>
      </w:pPr>
      <w:r>
        <w:rPr>
          <w:color w:val="231F20"/>
          <w:w w:val="120"/>
        </w:rPr>
        <w:t>De leur côté, les sources intrinsèques de stress ont un lien avec le </w:t>
      </w:r>
      <w:r>
        <w:rPr>
          <w:color w:val="231F20"/>
          <w:w w:val="115"/>
        </w:rPr>
        <w:t>contenu</w:t>
      </w:r>
      <w:r>
        <w:rPr>
          <w:color w:val="231F20"/>
          <w:spacing w:val="-4"/>
          <w:w w:val="115"/>
        </w:rPr>
        <w:t> </w:t>
      </w:r>
      <w:r>
        <w:rPr>
          <w:color w:val="231F20"/>
          <w:w w:val="115"/>
        </w:rPr>
        <w:t>particulier</w:t>
      </w:r>
      <w:r>
        <w:rPr>
          <w:color w:val="231F20"/>
          <w:spacing w:val="-4"/>
          <w:w w:val="115"/>
        </w:rPr>
        <w:t> </w:t>
      </w:r>
      <w:r>
        <w:rPr>
          <w:color w:val="231F20"/>
          <w:w w:val="115"/>
        </w:rPr>
        <w:t>de</w:t>
      </w:r>
      <w:r>
        <w:rPr>
          <w:color w:val="231F20"/>
          <w:spacing w:val="-4"/>
          <w:w w:val="115"/>
        </w:rPr>
        <w:t> </w:t>
      </w:r>
      <w:r>
        <w:rPr>
          <w:color w:val="231F20"/>
          <w:w w:val="115"/>
        </w:rPr>
        <w:t>l’emploi</w:t>
      </w:r>
      <w:r>
        <w:rPr>
          <w:color w:val="231F20"/>
          <w:spacing w:val="-4"/>
          <w:w w:val="115"/>
        </w:rPr>
        <w:t> </w:t>
      </w:r>
      <w:r>
        <w:rPr>
          <w:color w:val="231F20"/>
          <w:w w:val="115"/>
        </w:rPr>
        <w:t>(p.</w:t>
      </w:r>
      <w:r>
        <w:rPr>
          <w:color w:val="231F20"/>
          <w:spacing w:val="-4"/>
          <w:w w:val="115"/>
        </w:rPr>
        <w:t> </w:t>
      </w:r>
      <w:r>
        <w:rPr>
          <w:color w:val="231F20"/>
          <w:w w:val="115"/>
        </w:rPr>
        <w:t>ex.</w:t>
      </w:r>
      <w:r>
        <w:rPr>
          <w:color w:val="231F20"/>
          <w:spacing w:val="-4"/>
          <w:w w:val="115"/>
        </w:rPr>
        <w:t> </w:t>
      </w:r>
      <w:r>
        <w:rPr>
          <w:color w:val="231F20"/>
          <w:w w:val="115"/>
        </w:rPr>
        <w:t>les</w:t>
      </w:r>
      <w:r>
        <w:rPr>
          <w:color w:val="231F20"/>
          <w:spacing w:val="-4"/>
          <w:w w:val="115"/>
        </w:rPr>
        <w:t> </w:t>
      </w:r>
      <w:r>
        <w:rPr>
          <w:color w:val="231F20"/>
          <w:w w:val="115"/>
        </w:rPr>
        <w:t>responsabilités,</w:t>
      </w:r>
      <w:r>
        <w:rPr>
          <w:color w:val="231F20"/>
          <w:spacing w:val="-4"/>
          <w:w w:val="115"/>
        </w:rPr>
        <w:t> </w:t>
      </w:r>
      <w:r>
        <w:rPr>
          <w:color w:val="231F20"/>
          <w:w w:val="115"/>
        </w:rPr>
        <w:t>la</w:t>
      </w:r>
      <w:r>
        <w:rPr>
          <w:color w:val="231F20"/>
          <w:spacing w:val="-4"/>
          <w:w w:val="115"/>
        </w:rPr>
        <w:t> </w:t>
      </w:r>
      <w:r>
        <w:rPr>
          <w:color w:val="231F20"/>
          <w:w w:val="115"/>
        </w:rPr>
        <w:t>latitude</w:t>
      </w:r>
      <w:r>
        <w:rPr>
          <w:color w:val="231F20"/>
          <w:spacing w:val="-4"/>
          <w:w w:val="115"/>
        </w:rPr>
        <w:t> </w:t>
      </w:r>
      <w:r>
        <w:rPr>
          <w:color w:val="231F20"/>
          <w:w w:val="115"/>
        </w:rPr>
        <w:t>déci- sionnelle</w:t>
      </w:r>
      <w:r>
        <w:rPr>
          <w:color w:val="231F20"/>
          <w:spacing w:val="-9"/>
          <w:w w:val="115"/>
        </w:rPr>
        <w:t> </w:t>
      </w:r>
      <w:r>
        <w:rPr>
          <w:color w:val="231F20"/>
          <w:w w:val="115"/>
        </w:rPr>
        <w:t>ou</w:t>
      </w:r>
      <w:r>
        <w:rPr>
          <w:color w:val="231F20"/>
          <w:spacing w:val="-9"/>
          <w:w w:val="115"/>
        </w:rPr>
        <w:t> </w:t>
      </w:r>
      <w:r>
        <w:rPr>
          <w:color w:val="231F20"/>
          <w:w w:val="115"/>
        </w:rPr>
        <w:t>l’autonomie)</w:t>
      </w:r>
      <w:r>
        <w:rPr>
          <w:color w:val="231F20"/>
          <w:spacing w:val="-9"/>
          <w:w w:val="115"/>
        </w:rPr>
        <w:t> </w:t>
      </w:r>
      <w:r>
        <w:rPr>
          <w:color w:val="231F20"/>
          <w:w w:val="115"/>
        </w:rPr>
        <w:t>et</w:t>
      </w:r>
      <w:r>
        <w:rPr>
          <w:color w:val="231F20"/>
          <w:spacing w:val="-9"/>
          <w:w w:val="115"/>
        </w:rPr>
        <w:t> </w:t>
      </w:r>
      <w:r>
        <w:rPr>
          <w:color w:val="231F20"/>
          <w:w w:val="115"/>
        </w:rPr>
        <w:t>elles</w:t>
      </w:r>
      <w:r>
        <w:rPr>
          <w:color w:val="231F20"/>
          <w:spacing w:val="-9"/>
          <w:w w:val="115"/>
        </w:rPr>
        <w:t> </w:t>
      </w:r>
      <w:r>
        <w:rPr>
          <w:color w:val="231F20"/>
          <w:w w:val="115"/>
        </w:rPr>
        <w:t>ont</w:t>
      </w:r>
      <w:r>
        <w:rPr>
          <w:color w:val="231F20"/>
          <w:spacing w:val="-9"/>
          <w:w w:val="115"/>
        </w:rPr>
        <w:t> </w:t>
      </w:r>
      <w:r>
        <w:rPr>
          <w:color w:val="231F20"/>
          <w:w w:val="115"/>
        </w:rPr>
        <w:t>une</w:t>
      </w:r>
      <w:r>
        <w:rPr>
          <w:color w:val="231F20"/>
          <w:spacing w:val="-9"/>
          <w:w w:val="115"/>
        </w:rPr>
        <w:t> </w:t>
      </w:r>
      <w:r>
        <w:rPr>
          <w:color w:val="231F20"/>
          <w:w w:val="115"/>
        </w:rPr>
        <w:t>relation</w:t>
      </w:r>
      <w:r>
        <w:rPr>
          <w:color w:val="231F20"/>
          <w:spacing w:val="-9"/>
          <w:w w:val="115"/>
        </w:rPr>
        <w:t> </w:t>
      </w:r>
      <w:r>
        <w:rPr>
          <w:color w:val="231F20"/>
          <w:w w:val="115"/>
        </w:rPr>
        <w:t>plus</w:t>
      </w:r>
      <w:r>
        <w:rPr>
          <w:color w:val="231F20"/>
          <w:spacing w:val="-9"/>
          <w:w w:val="115"/>
        </w:rPr>
        <w:t> </w:t>
      </w:r>
      <w:r>
        <w:rPr>
          <w:color w:val="231F20"/>
          <w:w w:val="115"/>
        </w:rPr>
        <w:t>complexe</w:t>
      </w:r>
      <w:r>
        <w:rPr>
          <w:color w:val="231F20"/>
          <w:spacing w:val="-9"/>
          <w:w w:val="115"/>
        </w:rPr>
        <w:t> </w:t>
      </w:r>
      <w:r>
        <w:rPr>
          <w:color w:val="231F20"/>
          <w:w w:val="115"/>
        </w:rPr>
        <w:t>en</w:t>
      </w:r>
      <w:r>
        <w:rPr>
          <w:color w:val="231F20"/>
          <w:spacing w:val="-9"/>
          <w:w w:val="115"/>
        </w:rPr>
        <w:t> </w:t>
      </w:r>
      <w:r>
        <w:rPr>
          <w:color w:val="231F20"/>
          <w:w w:val="115"/>
        </w:rPr>
        <w:t>forme de</w:t>
      </w:r>
      <w:r>
        <w:rPr>
          <w:color w:val="231F20"/>
          <w:spacing w:val="-8"/>
          <w:w w:val="115"/>
        </w:rPr>
        <w:t> </w:t>
      </w:r>
      <w:r>
        <w:rPr>
          <w:color w:val="231F20"/>
          <w:w w:val="115"/>
        </w:rPr>
        <w:t>U</w:t>
      </w:r>
      <w:r>
        <w:rPr>
          <w:color w:val="231F20"/>
          <w:spacing w:val="-8"/>
          <w:w w:val="115"/>
        </w:rPr>
        <w:t> </w:t>
      </w:r>
      <w:r>
        <w:rPr>
          <w:color w:val="231F20"/>
          <w:w w:val="115"/>
        </w:rPr>
        <w:t>avec</w:t>
      </w:r>
      <w:r>
        <w:rPr>
          <w:color w:val="231F20"/>
          <w:spacing w:val="-8"/>
          <w:w w:val="115"/>
        </w:rPr>
        <w:t> </w:t>
      </w:r>
      <w:r>
        <w:rPr>
          <w:color w:val="231F20"/>
          <w:w w:val="115"/>
        </w:rPr>
        <w:t>les</w:t>
      </w:r>
      <w:r>
        <w:rPr>
          <w:color w:val="231F20"/>
          <w:spacing w:val="-8"/>
          <w:w w:val="115"/>
        </w:rPr>
        <w:t> </w:t>
      </w:r>
      <w:r>
        <w:rPr>
          <w:color w:val="231F20"/>
          <w:w w:val="115"/>
        </w:rPr>
        <w:t>conséquences</w:t>
      </w:r>
      <w:r>
        <w:rPr>
          <w:color w:val="231F20"/>
          <w:spacing w:val="-8"/>
          <w:w w:val="115"/>
        </w:rPr>
        <w:t> </w:t>
      </w:r>
      <w:r>
        <w:rPr>
          <w:color w:val="231F20"/>
          <w:w w:val="115"/>
        </w:rPr>
        <w:t>négatives</w:t>
      </w:r>
      <w:r>
        <w:rPr>
          <w:color w:val="231F20"/>
          <w:spacing w:val="-8"/>
          <w:w w:val="115"/>
        </w:rPr>
        <w:t> </w:t>
      </w:r>
      <w:r>
        <w:rPr>
          <w:color w:val="231F20"/>
          <w:w w:val="115"/>
        </w:rPr>
        <w:t>du</w:t>
      </w:r>
      <w:r>
        <w:rPr>
          <w:color w:val="231F20"/>
          <w:spacing w:val="-8"/>
          <w:w w:val="115"/>
        </w:rPr>
        <w:t> </w:t>
      </w:r>
      <w:r>
        <w:rPr>
          <w:color w:val="231F20"/>
          <w:w w:val="115"/>
        </w:rPr>
        <w:t>stress</w:t>
      </w:r>
      <w:r>
        <w:rPr>
          <w:color w:val="231F20"/>
          <w:spacing w:val="-8"/>
          <w:w w:val="115"/>
        </w:rPr>
        <w:t> </w:t>
      </w:r>
      <w:r>
        <w:rPr>
          <w:color w:val="231F20"/>
          <w:w w:val="115"/>
        </w:rPr>
        <w:t>(figure</w:t>
      </w:r>
      <w:r>
        <w:rPr>
          <w:color w:val="231F20"/>
          <w:spacing w:val="-8"/>
          <w:w w:val="115"/>
        </w:rPr>
        <w:t> </w:t>
      </w:r>
      <w:r>
        <w:rPr>
          <w:color w:val="231F20"/>
          <w:w w:val="115"/>
        </w:rPr>
        <w:t>3.3).</w:t>
      </w:r>
      <w:r>
        <w:rPr>
          <w:color w:val="231F20"/>
          <w:spacing w:val="-8"/>
          <w:w w:val="115"/>
        </w:rPr>
        <w:t> </w:t>
      </w:r>
      <w:r>
        <w:rPr>
          <w:color w:val="231F20"/>
          <w:w w:val="115"/>
        </w:rPr>
        <w:t>L’exemple</w:t>
      </w:r>
      <w:r>
        <w:rPr>
          <w:color w:val="231F20"/>
          <w:spacing w:val="-8"/>
          <w:w w:val="115"/>
        </w:rPr>
        <w:t> </w:t>
      </w:r>
      <w:r>
        <w:rPr>
          <w:color w:val="231F20"/>
          <w:w w:val="115"/>
        </w:rPr>
        <w:t>de </w:t>
      </w:r>
      <w:r>
        <w:rPr>
          <w:color w:val="231F20"/>
          <w:w w:val="120"/>
        </w:rPr>
        <w:t>l’autonomie</w:t>
      </w:r>
      <w:r>
        <w:rPr>
          <w:color w:val="231F20"/>
          <w:spacing w:val="-10"/>
          <w:w w:val="120"/>
        </w:rPr>
        <w:t> </w:t>
      </w:r>
      <w:r>
        <w:rPr>
          <w:color w:val="231F20"/>
          <w:w w:val="120"/>
        </w:rPr>
        <w:t>au</w:t>
      </w:r>
      <w:r>
        <w:rPr>
          <w:color w:val="231F20"/>
          <w:spacing w:val="-10"/>
          <w:w w:val="120"/>
        </w:rPr>
        <w:t> </w:t>
      </w:r>
      <w:r>
        <w:rPr>
          <w:color w:val="231F20"/>
          <w:w w:val="120"/>
        </w:rPr>
        <w:t>travail</w:t>
      </w:r>
      <w:r>
        <w:rPr>
          <w:color w:val="231F20"/>
          <w:spacing w:val="-10"/>
          <w:w w:val="120"/>
        </w:rPr>
        <w:t> </w:t>
      </w:r>
      <w:r>
        <w:rPr>
          <w:color w:val="231F20"/>
          <w:w w:val="120"/>
        </w:rPr>
        <w:t>fera</w:t>
      </w:r>
      <w:r>
        <w:rPr>
          <w:color w:val="231F20"/>
          <w:spacing w:val="-10"/>
          <w:w w:val="120"/>
        </w:rPr>
        <w:t> </w:t>
      </w:r>
      <w:r>
        <w:rPr>
          <w:color w:val="231F20"/>
          <w:w w:val="120"/>
        </w:rPr>
        <w:t>ressortir</w:t>
      </w:r>
      <w:r>
        <w:rPr>
          <w:color w:val="231F20"/>
          <w:spacing w:val="-10"/>
          <w:w w:val="120"/>
        </w:rPr>
        <w:t> </w:t>
      </w:r>
      <w:r>
        <w:rPr>
          <w:color w:val="231F20"/>
          <w:w w:val="120"/>
        </w:rPr>
        <w:t>les</w:t>
      </w:r>
      <w:r>
        <w:rPr>
          <w:color w:val="231F20"/>
          <w:spacing w:val="-10"/>
          <w:w w:val="120"/>
        </w:rPr>
        <w:t> </w:t>
      </w:r>
      <w:r>
        <w:rPr>
          <w:color w:val="231F20"/>
          <w:w w:val="120"/>
        </w:rPr>
        <w:t>particularités</w:t>
      </w:r>
      <w:r>
        <w:rPr>
          <w:color w:val="231F20"/>
          <w:spacing w:val="-10"/>
          <w:w w:val="120"/>
        </w:rPr>
        <w:t> </w:t>
      </w:r>
      <w:r>
        <w:rPr>
          <w:color w:val="231F20"/>
          <w:w w:val="120"/>
        </w:rPr>
        <w:t>de</w:t>
      </w:r>
      <w:r>
        <w:rPr>
          <w:color w:val="231F20"/>
          <w:spacing w:val="-10"/>
          <w:w w:val="120"/>
        </w:rPr>
        <w:t> </w:t>
      </w:r>
      <w:r>
        <w:rPr>
          <w:color w:val="231F20"/>
          <w:w w:val="120"/>
        </w:rPr>
        <w:t>l’incidence</w:t>
      </w:r>
      <w:r>
        <w:rPr>
          <w:color w:val="231F20"/>
          <w:spacing w:val="-10"/>
          <w:w w:val="120"/>
        </w:rPr>
        <w:t> </w:t>
      </w:r>
      <w:r>
        <w:rPr>
          <w:color w:val="231F20"/>
          <w:w w:val="120"/>
        </w:rPr>
        <w:t>des </w:t>
      </w:r>
      <w:r>
        <w:rPr>
          <w:color w:val="231F20"/>
          <w:spacing w:val="-2"/>
          <w:w w:val="120"/>
        </w:rPr>
        <w:t>sources</w:t>
      </w:r>
      <w:r>
        <w:rPr>
          <w:color w:val="231F20"/>
          <w:spacing w:val="-9"/>
          <w:w w:val="120"/>
        </w:rPr>
        <w:t> </w:t>
      </w:r>
      <w:r>
        <w:rPr>
          <w:color w:val="231F20"/>
          <w:spacing w:val="-2"/>
          <w:w w:val="120"/>
        </w:rPr>
        <w:t>intrinsèques</w:t>
      </w:r>
      <w:r>
        <w:rPr>
          <w:color w:val="231F20"/>
          <w:spacing w:val="-9"/>
          <w:w w:val="120"/>
        </w:rPr>
        <w:t> </w:t>
      </w:r>
      <w:r>
        <w:rPr>
          <w:color w:val="231F20"/>
          <w:spacing w:val="-2"/>
          <w:w w:val="120"/>
        </w:rPr>
        <w:t>de</w:t>
      </w:r>
      <w:r>
        <w:rPr>
          <w:color w:val="231F20"/>
          <w:spacing w:val="-9"/>
          <w:w w:val="120"/>
        </w:rPr>
        <w:t> </w:t>
      </w:r>
      <w:r>
        <w:rPr>
          <w:color w:val="231F20"/>
          <w:spacing w:val="-2"/>
          <w:w w:val="120"/>
        </w:rPr>
        <w:t>stress</w:t>
      </w:r>
      <w:r>
        <w:rPr>
          <w:color w:val="231F20"/>
          <w:spacing w:val="-9"/>
          <w:w w:val="120"/>
        </w:rPr>
        <w:t> </w:t>
      </w:r>
      <w:r>
        <w:rPr>
          <w:color w:val="231F20"/>
          <w:spacing w:val="-2"/>
          <w:w w:val="120"/>
        </w:rPr>
        <w:t>sur</w:t>
      </w:r>
      <w:r>
        <w:rPr>
          <w:color w:val="231F20"/>
          <w:spacing w:val="-9"/>
          <w:w w:val="120"/>
        </w:rPr>
        <w:t> </w:t>
      </w:r>
      <w:r>
        <w:rPr>
          <w:color w:val="231F20"/>
          <w:spacing w:val="-2"/>
          <w:w w:val="120"/>
        </w:rPr>
        <w:t>le</w:t>
      </w:r>
      <w:r>
        <w:rPr>
          <w:color w:val="231F20"/>
          <w:spacing w:val="-9"/>
          <w:w w:val="120"/>
        </w:rPr>
        <w:t> </w:t>
      </w:r>
      <w:r>
        <w:rPr>
          <w:color w:val="231F20"/>
          <w:spacing w:val="-2"/>
          <w:w w:val="120"/>
        </w:rPr>
        <w:t>travailleur.</w:t>
      </w:r>
      <w:r>
        <w:rPr>
          <w:color w:val="231F20"/>
          <w:spacing w:val="-9"/>
          <w:w w:val="120"/>
        </w:rPr>
        <w:t> </w:t>
      </w:r>
      <w:r>
        <w:rPr>
          <w:color w:val="231F20"/>
          <w:spacing w:val="-2"/>
          <w:w w:val="120"/>
        </w:rPr>
        <w:t>Tous</w:t>
      </w:r>
      <w:r>
        <w:rPr>
          <w:color w:val="231F20"/>
          <w:spacing w:val="-9"/>
          <w:w w:val="120"/>
        </w:rPr>
        <w:t> </w:t>
      </w:r>
      <w:r>
        <w:rPr>
          <w:color w:val="231F20"/>
          <w:spacing w:val="-2"/>
          <w:w w:val="120"/>
        </w:rPr>
        <w:t>les</w:t>
      </w:r>
      <w:r>
        <w:rPr>
          <w:color w:val="231F20"/>
          <w:spacing w:val="-9"/>
          <w:w w:val="120"/>
        </w:rPr>
        <w:t> </w:t>
      </w:r>
      <w:r>
        <w:rPr>
          <w:color w:val="231F20"/>
          <w:spacing w:val="-2"/>
          <w:w w:val="120"/>
        </w:rPr>
        <w:t>travailleurs</w:t>
      </w:r>
      <w:r>
        <w:rPr>
          <w:color w:val="231F20"/>
          <w:spacing w:val="-9"/>
          <w:w w:val="120"/>
        </w:rPr>
        <w:t> </w:t>
      </w:r>
      <w:r>
        <w:rPr>
          <w:color w:val="231F20"/>
          <w:spacing w:val="-2"/>
          <w:w w:val="120"/>
        </w:rPr>
        <w:t>sont à</w:t>
      </w:r>
      <w:r>
        <w:rPr>
          <w:color w:val="231F20"/>
          <w:spacing w:val="-11"/>
          <w:w w:val="120"/>
        </w:rPr>
        <w:t> </w:t>
      </w:r>
      <w:r>
        <w:rPr>
          <w:color w:val="231F20"/>
          <w:spacing w:val="-2"/>
          <w:w w:val="120"/>
        </w:rPr>
        <w:t>la</w:t>
      </w:r>
      <w:r>
        <w:rPr>
          <w:color w:val="231F20"/>
          <w:spacing w:val="-11"/>
          <w:w w:val="120"/>
        </w:rPr>
        <w:t> </w:t>
      </w:r>
      <w:r>
        <w:rPr>
          <w:color w:val="231F20"/>
          <w:spacing w:val="-2"/>
          <w:w w:val="120"/>
        </w:rPr>
        <w:t>recherche</w:t>
      </w:r>
      <w:r>
        <w:rPr>
          <w:color w:val="231F20"/>
          <w:spacing w:val="-11"/>
          <w:w w:val="120"/>
        </w:rPr>
        <w:t> </w:t>
      </w:r>
      <w:r>
        <w:rPr>
          <w:color w:val="231F20"/>
          <w:spacing w:val="-2"/>
          <w:w w:val="120"/>
        </w:rPr>
        <w:t>d’une</w:t>
      </w:r>
      <w:r>
        <w:rPr>
          <w:color w:val="231F20"/>
          <w:spacing w:val="-10"/>
          <w:w w:val="120"/>
        </w:rPr>
        <w:t> </w:t>
      </w:r>
      <w:r>
        <w:rPr>
          <w:color w:val="231F20"/>
          <w:spacing w:val="-2"/>
          <w:w w:val="120"/>
        </w:rPr>
        <w:t>certaine</w:t>
      </w:r>
      <w:r>
        <w:rPr>
          <w:color w:val="231F20"/>
          <w:spacing w:val="-11"/>
          <w:w w:val="120"/>
        </w:rPr>
        <w:t> </w:t>
      </w:r>
      <w:r>
        <w:rPr>
          <w:color w:val="231F20"/>
          <w:spacing w:val="-2"/>
          <w:w w:val="120"/>
        </w:rPr>
        <w:t>autonomie</w:t>
      </w:r>
      <w:r>
        <w:rPr>
          <w:color w:val="231F20"/>
          <w:spacing w:val="-11"/>
          <w:w w:val="120"/>
        </w:rPr>
        <w:t> </w:t>
      </w:r>
      <w:r>
        <w:rPr>
          <w:color w:val="231F20"/>
          <w:spacing w:val="-2"/>
          <w:w w:val="120"/>
        </w:rPr>
        <w:t>dans</w:t>
      </w:r>
      <w:r>
        <w:rPr>
          <w:color w:val="231F20"/>
          <w:spacing w:val="-11"/>
          <w:w w:val="120"/>
        </w:rPr>
        <w:t> </w:t>
      </w:r>
      <w:r>
        <w:rPr>
          <w:color w:val="231F20"/>
          <w:spacing w:val="-2"/>
          <w:w w:val="120"/>
        </w:rPr>
        <w:t>leurs</w:t>
      </w:r>
      <w:r>
        <w:rPr>
          <w:color w:val="231F20"/>
          <w:spacing w:val="-10"/>
          <w:w w:val="120"/>
        </w:rPr>
        <w:t> </w:t>
      </w:r>
      <w:r>
        <w:rPr>
          <w:color w:val="231F20"/>
          <w:spacing w:val="-2"/>
          <w:w w:val="120"/>
        </w:rPr>
        <w:t>tâches,</w:t>
      </w:r>
      <w:r>
        <w:rPr>
          <w:color w:val="231F20"/>
          <w:spacing w:val="-11"/>
          <w:w w:val="120"/>
        </w:rPr>
        <w:t> </w:t>
      </w:r>
      <w:r>
        <w:rPr>
          <w:color w:val="231F20"/>
          <w:spacing w:val="-2"/>
          <w:w w:val="120"/>
        </w:rPr>
        <w:t>besoin</w:t>
      </w:r>
      <w:r>
        <w:rPr>
          <w:color w:val="231F20"/>
          <w:spacing w:val="-11"/>
          <w:w w:val="120"/>
        </w:rPr>
        <w:t> </w:t>
      </w:r>
      <w:r>
        <w:rPr>
          <w:color w:val="231F20"/>
          <w:spacing w:val="-2"/>
          <w:w w:val="120"/>
        </w:rPr>
        <w:t>qui</w:t>
      </w:r>
      <w:r>
        <w:rPr>
          <w:color w:val="231F20"/>
          <w:spacing w:val="-11"/>
          <w:w w:val="120"/>
        </w:rPr>
        <w:t> </w:t>
      </w:r>
      <w:r>
        <w:rPr>
          <w:color w:val="231F20"/>
          <w:spacing w:val="-2"/>
          <w:w w:val="120"/>
        </w:rPr>
        <w:t>tire </w:t>
      </w:r>
      <w:r>
        <w:rPr>
          <w:color w:val="231F20"/>
          <w:w w:val="120"/>
        </w:rPr>
        <w:t>entre</w:t>
      </w:r>
      <w:r>
        <w:rPr>
          <w:color w:val="231F20"/>
          <w:spacing w:val="-2"/>
          <w:w w:val="120"/>
        </w:rPr>
        <w:t> </w:t>
      </w:r>
      <w:r>
        <w:rPr>
          <w:color w:val="231F20"/>
          <w:w w:val="120"/>
        </w:rPr>
        <w:t>autres</w:t>
      </w:r>
      <w:r>
        <w:rPr>
          <w:color w:val="231F20"/>
          <w:spacing w:val="-2"/>
          <w:w w:val="120"/>
        </w:rPr>
        <w:t> </w:t>
      </w:r>
      <w:r>
        <w:rPr>
          <w:color w:val="231F20"/>
          <w:w w:val="120"/>
        </w:rPr>
        <w:t>son</w:t>
      </w:r>
      <w:r>
        <w:rPr>
          <w:color w:val="231F20"/>
          <w:spacing w:val="-2"/>
          <w:w w:val="120"/>
        </w:rPr>
        <w:t> </w:t>
      </w:r>
      <w:r>
        <w:rPr>
          <w:color w:val="231F20"/>
          <w:w w:val="120"/>
        </w:rPr>
        <w:t>origine</w:t>
      </w:r>
      <w:r>
        <w:rPr>
          <w:color w:val="231F20"/>
          <w:spacing w:val="-2"/>
          <w:w w:val="120"/>
        </w:rPr>
        <w:t> </w:t>
      </w:r>
      <w:r>
        <w:rPr>
          <w:color w:val="231F20"/>
          <w:w w:val="120"/>
        </w:rPr>
        <w:t>d’une</w:t>
      </w:r>
      <w:r>
        <w:rPr>
          <w:color w:val="231F20"/>
          <w:spacing w:val="-2"/>
          <w:w w:val="120"/>
        </w:rPr>
        <w:t> </w:t>
      </w:r>
      <w:r>
        <w:rPr>
          <w:color w:val="231F20"/>
          <w:w w:val="120"/>
        </w:rPr>
        <w:t>recherche</w:t>
      </w:r>
      <w:r>
        <w:rPr>
          <w:color w:val="231F20"/>
          <w:spacing w:val="-2"/>
          <w:w w:val="120"/>
        </w:rPr>
        <w:t> </w:t>
      </w:r>
      <w:r>
        <w:rPr>
          <w:color w:val="231F20"/>
          <w:w w:val="120"/>
        </w:rPr>
        <w:t>d’autodétermination.</w:t>
      </w:r>
      <w:r>
        <w:rPr>
          <w:color w:val="231F20"/>
          <w:spacing w:val="-2"/>
          <w:w w:val="120"/>
        </w:rPr>
        <w:t> </w:t>
      </w:r>
      <w:r>
        <w:rPr>
          <w:color w:val="231F20"/>
          <w:w w:val="120"/>
        </w:rPr>
        <w:t>Ainsi,</w:t>
      </w:r>
      <w:r>
        <w:rPr>
          <w:color w:val="231F20"/>
          <w:spacing w:val="-2"/>
          <w:w w:val="120"/>
        </w:rPr>
        <w:t> </w:t>
      </w:r>
      <w:r>
        <w:rPr>
          <w:color w:val="231F20"/>
          <w:w w:val="120"/>
        </w:rPr>
        <w:t>il </w:t>
      </w:r>
      <w:r>
        <w:rPr>
          <w:color w:val="231F20"/>
          <w:spacing w:val="-2"/>
          <w:w w:val="120"/>
        </w:rPr>
        <w:t>est</w:t>
      </w:r>
      <w:r>
        <w:rPr>
          <w:color w:val="231F20"/>
          <w:spacing w:val="-8"/>
          <w:w w:val="120"/>
        </w:rPr>
        <w:t> </w:t>
      </w:r>
      <w:r>
        <w:rPr>
          <w:color w:val="231F20"/>
          <w:spacing w:val="-2"/>
          <w:w w:val="120"/>
        </w:rPr>
        <w:t>aisé</w:t>
      </w:r>
      <w:r>
        <w:rPr>
          <w:color w:val="231F20"/>
          <w:spacing w:val="-8"/>
          <w:w w:val="120"/>
        </w:rPr>
        <w:t> </w:t>
      </w:r>
      <w:r>
        <w:rPr>
          <w:color w:val="231F20"/>
          <w:spacing w:val="-2"/>
          <w:w w:val="120"/>
        </w:rPr>
        <w:t>de</w:t>
      </w:r>
      <w:r>
        <w:rPr>
          <w:color w:val="231F20"/>
          <w:spacing w:val="-8"/>
          <w:w w:val="120"/>
        </w:rPr>
        <w:t> </w:t>
      </w:r>
      <w:r>
        <w:rPr>
          <w:color w:val="231F20"/>
          <w:spacing w:val="-2"/>
          <w:w w:val="120"/>
        </w:rPr>
        <w:t>comprendre</w:t>
      </w:r>
      <w:r>
        <w:rPr>
          <w:color w:val="231F20"/>
          <w:spacing w:val="-8"/>
          <w:w w:val="120"/>
        </w:rPr>
        <w:t> </w:t>
      </w:r>
      <w:r>
        <w:rPr>
          <w:color w:val="231F20"/>
          <w:spacing w:val="-2"/>
          <w:w w:val="120"/>
        </w:rPr>
        <w:t>qu’un</w:t>
      </w:r>
      <w:r>
        <w:rPr>
          <w:color w:val="231F20"/>
          <w:spacing w:val="-8"/>
          <w:w w:val="120"/>
        </w:rPr>
        <w:t> </w:t>
      </w:r>
      <w:r>
        <w:rPr>
          <w:color w:val="231F20"/>
          <w:spacing w:val="-2"/>
          <w:w w:val="120"/>
        </w:rPr>
        <w:t>employé</w:t>
      </w:r>
      <w:r>
        <w:rPr>
          <w:color w:val="231F20"/>
          <w:spacing w:val="-8"/>
          <w:w w:val="120"/>
        </w:rPr>
        <w:t> </w:t>
      </w:r>
      <w:r>
        <w:rPr>
          <w:color w:val="231F20"/>
          <w:spacing w:val="-2"/>
          <w:w w:val="120"/>
        </w:rPr>
        <w:t>ne</w:t>
      </w:r>
      <w:r>
        <w:rPr>
          <w:color w:val="231F20"/>
          <w:spacing w:val="-8"/>
          <w:w w:val="120"/>
        </w:rPr>
        <w:t> </w:t>
      </w:r>
      <w:r>
        <w:rPr>
          <w:color w:val="231F20"/>
          <w:spacing w:val="-2"/>
          <w:w w:val="120"/>
        </w:rPr>
        <w:t>possédant</w:t>
      </w:r>
      <w:r>
        <w:rPr>
          <w:color w:val="231F20"/>
          <w:spacing w:val="-8"/>
          <w:w w:val="120"/>
        </w:rPr>
        <w:t> </w:t>
      </w:r>
      <w:r>
        <w:rPr>
          <w:color w:val="231F20"/>
          <w:spacing w:val="-2"/>
          <w:w w:val="120"/>
        </w:rPr>
        <w:t>que</w:t>
      </w:r>
      <w:r>
        <w:rPr>
          <w:color w:val="231F20"/>
          <w:spacing w:val="-8"/>
          <w:w w:val="120"/>
        </w:rPr>
        <w:t> </w:t>
      </w:r>
      <w:r>
        <w:rPr>
          <w:color w:val="231F20"/>
          <w:spacing w:val="-2"/>
          <w:w w:val="120"/>
        </w:rPr>
        <w:t>très</w:t>
      </w:r>
      <w:r>
        <w:rPr>
          <w:color w:val="231F20"/>
          <w:spacing w:val="-8"/>
          <w:w w:val="120"/>
        </w:rPr>
        <w:t> </w:t>
      </w:r>
      <w:r>
        <w:rPr>
          <w:color w:val="231F20"/>
          <w:spacing w:val="-2"/>
          <w:w w:val="120"/>
        </w:rPr>
        <w:t>peu</w:t>
      </w:r>
      <w:r>
        <w:rPr>
          <w:color w:val="231F20"/>
          <w:spacing w:val="-8"/>
          <w:w w:val="120"/>
        </w:rPr>
        <w:t> </w:t>
      </w:r>
      <w:r>
        <w:rPr>
          <w:color w:val="231F20"/>
          <w:spacing w:val="-2"/>
          <w:w w:val="120"/>
        </w:rPr>
        <w:t>d’auto- nomie</w:t>
      </w:r>
      <w:r>
        <w:rPr>
          <w:color w:val="231F20"/>
          <w:spacing w:val="-13"/>
          <w:w w:val="120"/>
        </w:rPr>
        <w:t> </w:t>
      </w:r>
      <w:r>
        <w:rPr>
          <w:color w:val="231F20"/>
          <w:spacing w:val="-2"/>
          <w:w w:val="120"/>
        </w:rPr>
        <w:t>dans</w:t>
      </w:r>
      <w:r>
        <w:rPr>
          <w:color w:val="231F20"/>
          <w:spacing w:val="-11"/>
          <w:w w:val="120"/>
        </w:rPr>
        <w:t> </w:t>
      </w:r>
      <w:r>
        <w:rPr>
          <w:color w:val="231F20"/>
          <w:spacing w:val="-2"/>
          <w:w w:val="120"/>
        </w:rPr>
        <w:t>le</w:t>
      </w:r>
      <w:r>
        <w:rPr>
          <w:color w:val="231F20"/>
          <w:spacing w:val="-11"/>
          <w:w w:val="120"/>
        </w:rPr>
        <w:t> </w:t>
      </w:r>
      <w:r>
        <w:rPr>
          <w:color w:val="231F20"/>
          <w:spacing w:val="-2"/>
          <w:w w:val="120"/>
        </w:rPr>
        <w:t>cadre</w:t>
      </w:r>
      <w:r>
        <w:rPr>
          <w:color w:val="231F20"/>
          <w:spacing w:val="-10"/>
          <w:w w:val="120"/>
        </w:rPr>
        <w:t> </w:t>
      </w:r>
      <w:r>
        <w:rPr>
          <w:color w:val="231F20"/>
          <w:spacing w:val="-2"/>
          <w:w w:val="120"/>
        </w:rPr>
        <w:t>de</w:t>
      </w:r>
      <w:r>
        <w:rPr>
          <w:color w:val="231F20"/>
          <w:spacing w:val="-11"/>
          <w:w w:val="120"/>
        </w:rPr>
        <w:t> </w:t>
      </w:r>
      <w:r>
        <w:rPr>
          <w:color w:val="231F20"/>
          <w:spacing w:val="-2"/>
          <w:w w:val="120"/>
        </w:rPr>
        <w:t>son</w:t>
      </w:r>
      <w:r>
        <w:rPr>
          <w:color w:val="231F20"/>
          <w:spacing w:val="-11"/>
          <w:w w:val="120"/>
        </w:rPr>
        <w:t> </w:t>
      </w:r>
      <w:r>
        <w:rPr>
          <w:color w:val="231F20"/>
          <w:spacing w:val="-2"/>
          <w:w w:val="120"/>
        </w:rPr>
        <w:t>travail</w:t>
      </w:r>
      <w:r>
        <w:rPr>
          <w:color w:val="231F20"/>
          <w:spacing w:val="-11"/>
          <w:w w:val="120"/>
        </w:rPr>
        <w:t> </w:t>
      </w:r>
      <w:r>
        <w:rPr>
          <w:color w:val="231F20"/>
          <w:spacing w:val="-2"/>
          <w:w w:val="120"/>
        </w:rPr>
        <w:t>ressentira</w:t>
      </w:r>
      <w:r>
        <w:rPr>
          <w:color w:val="231F20"/>
          <w:spacing w:val="-10"/>
          <w:w w:val="120"/>
        </w:rPr>
        <w:t> </w:t>
      </w:r>
      <w:r>
        <w:rPr>
          <w:color w:val="231F20"/>
          <w:spacing w:val="-2"/>
          <w:w w:val="120"/>
        </w:rPr>
        <w:t>une</w:t>
      </w:r>
      <w:r>
        <w:rPr>
          <w:color w:val="231F20"/>
          <w:spacing w:val="-11"/>
          <w:w w:val="120"/>
        </w:rPr>
        <w:t> </w:t>
      </w:r>
      <w:r>
        <w:rPr>
          <w:color w:val="231F20"/>
          <w:spacing w:val="-2"/>
          <w:w w:val="120"/>
        </w:rPr>
        <w:t>frustration</w:t>
      </w:r>
      <w:r>
        <w:rPr>
          <w:color w:val="231F20"/>
          <w:spacing w:val="-11"/>
          <w:w w:val="120"/>
        </w:rPr>
        <w:t> </w:t>
      </w:r>
      <w:r>
        <w:rPr>
          <w:color w:val="231F20"/>
          <w:spacing w:val="-2"/>
          <w:w w:val="120"/>
        </w:rPr>
        <w:t>et</w:t>
      </w:r>
      <w:r>
        <w:rPr>
          <w:color w:val="231F20"/>
          <w:spacing w:val="-11"/>
          <w:w w:val="120"/>
        </w:rPr>
        <w:t> </w:t>
      </w:r>
      <w:r>
        <w:rPr>
          <w:color w:val="231F20"/>
          <w:spacing w:val="-2"/>
          <w:w w:val="120"/>
        </w:rPr>
        <w:t>un</w:t>
      </w:r>
      <w:r>
        <w:rPr>
          <w:color w:val="231F20"/>
          <w:spacing w:val="-10"/>
          <w:w w:val="120"/>
        </w:rPr>
        <w:t> </w:t>
      </w:r>
      <w:r>
        <w:rPr>
          <w:color w:val="231F20"/>
          <w:spacing w:val="-2"/>
          <w:w w:val="120"/>
        </w:rPr>
        <w:t>mécon- </w:t>
      </w:r>
      <w:r>
        <w:rPr>
          <w:color w:val="231F20"/>
          <w:w w:val="120"/>
        </w:rPr>
        <w:t>tentement liés à une impossibilité de déterminer la façon de faire </w:t>
      </w:r>
      <w:r>
        <w:rPr>
          <w:color w:val="231F20"/>
          <w:w w:val="120"/>
        </w:rPr>
        <w:t>les choses.</w:t>
      </w:r>
      <w:r>
        <w:rPr>
          <w:color w:val="231F20"/>
          <w:spacing w:val="-14"/>
          <w:w w:val="120"/>
        </w:rPr>
        <w:t> </w:t>
      </w:r>
      <w:r>
        <w:rPr>
          <w:color w:val="231F20"/>
          <w:w w:val="120"/>
        </w:rPr>
        <w:t>Cet</w:t>
      </w:r>
      <w:r>
        <w:rPr>
          <w:color w:val="231F20"/>
          <w:spacing w:val="-14"/>
          <w:w w:val="120"/>
        </w:rPr>
        <w:t> </w:t>
      </w:r>
      <w:r>
        <w:rPr>
          <w:color w:val="231F20"/>
          <w:w w:val="120"/>
        </w:rPr>
        <w:t>individu</w:t>
      </w:r>
      <w:r>
        <w:rPr>
          <w:color w:val="231F20"/>
          <w:spacing w:val="-14"/>
          <w:w w:val="120"/>
        </w:rPr>
        <w:t> </w:t>
      </w:r>
      <w:r>
        <w:rPr>
          <w:color w:val="231F20"/>
          <w:w w:val="120"/>
        </w:rPr>
        <w:t>ressentira</w:t>
      </w:r>
      <w:r>
        <w:rPr>
          <w:color w:val="231F20"/>
          <w:spacing w:val="-14"/>
          <w:w w:val="120"/>
        </w:rPr>
        <w:t> </w:t>
      </w:r>
      <w:r>
        <w:rPr>
          <w:color w:val="231F20"/>
          <w:w w:val="120"/>
        </w:rPr>
        <w:t>alors</w:t>
      </w:r>
      <w:r>
        <w:rPr>
          <w:color w:val="231F20"/>
          <w:spacing w:val="-14"/>
          <w:w w:val="120"/>
        </w:rPr>
        <w:t> </w:t>
      </w:r>
      <w:r>
        <w:rPr>
          <w:color w:val="231F20"/>
          <w:w w:val="120"/>
        </w:rPr>
        <w:t>un</w:t>
      </w:r>
      <w:r>
        <w:rPr>
          <w:color w:val="231F20"/>
          <w:spacing w:val="-14"/>
          <w:w w:val="120"/>
        </w:rPr>
        <w:t> </w:t>
      </w:r>
      <w:r>
        <w:rPr>
          <w:color w:val="231F20"/>
          <w:w w:val="120"/>
        </w:rPr>
        <w:t>stress</w:t>
      </w:r>
      <w:r>
        <w:rPr>
          <w:color w:val="231F20"/>
          <w:spacing w:val="-14"/>
          <w:w w:val="120"/>
        </w:rPr>
        <w:t> </w:t>
      </w:r>
      <w:r>
        <w:rPr>
          <w:color w:val="231F20"/>
          <w:w w:val="120"/>
        </w:rPr>
        <w:t>lié</w:t>
      </w:r>
      <w:r>
        <w:rPr>
          <w:color w:val="231F20"/>
          <w:spacing w:val="-13"/>
          <w:w w:val="120"/>
        </w:rPr>
        <w:t> </w:t>
      </w:r>
      <w:r>
        <w:rPr>
          <w:color w:val="231F20"/>
          <w:w w:val="120"/>
        </w:rPr>
        <w:t>à</w:t>
      </w:r>
      <w:r>
        <w:rPr>
          <w:color w:val="231F20"/>
          <w:spacing w:val="-14"/>
          <w:w w:val="120"/>
        </w:rPr>
        <w:t> </w:t>
      </w:r>
      <w:r>
        <w:rPr>
          <w:color w:val="231F20"/>
          <w:w w:val="120"/>
        </w:rPr>
        <w:t>cette</w:t>
      </w:r>
      <w:r>
        <w:rPr>
          <w:color w:val="231F20"/>
          <w:spacing w:val="-14"/>
          <w:w w:val="120"/>
        </w:rPr>
        <w:t> </w:t>
      </w:r>
      <w:r>
        <w:rPr>
          <w:color w:val="231F20"/>
          <w:w w:val="120"/>
        </w:rPr>
        <w:t>dimension</w:t>
      </w:r>
      <w:r>
        <w:rPr>
          <w:color w:val="231F20"/>
          <w:spacing w:val="-14"/>
          <w:w w:val="120"/>
        </w:rPr>
        <w:t> </w:t>
      </w:r>
      <w:r>
        <w:rPr>
          <w:color w:val="231F20"/>
          <w:w w:val="120"/>
        </w:rPr>
        <w:t>de</w:t>
      </w:r>
      <w:r>
        <w:rPr>
          <w:color w:val="231F20"/>
          <w:spacing w:val="-14"/>
          <w:w w:val="120"/>
        </w:rPr>
        <w:t> </w:t>
      </w:r>
      <w:r>
        <w:rPr>
          <w:color w:val="231F20"/>
          <w:spacing w:val="-5"/>
          <w:w w:val="120"/>
        </w:rPr>
        <w:t>sa</w:t>
      </w:r>
    </w:p>
    <w:p>
      <w:pPr>
        <w:pStyle w:val="BodyText"/>
        <w:rPr>
          <w:sz w:val="20"/>
        </w:rPr>
      </w:pPr>
    </w:p>
    <w:p>
      <w:pPr>
        <w:pStyle w:val="BodyText"/>
        <w:spacing w:before="1"/>
        <w:rPr>
          <w:sz w:val="13"/>
        </w:rPr>
      </w:pPr>
      <w:r>
        <w:rPr/>
        <w:pict>
          <v:shape style="position:absolute;margin-left:62.5pt;margin-top:8.760839pt;width:287.5pt;height:.1pt;mso-position-horizontal-relative:page;mso-position-vertical-relative:paragraph;z-index:-15678976;mso-wrap-distance-left:0;mso-wrap-distance-right:0" id="docshape660" coordorigin="1250,175" coordsize="5750,0" path="m1250,175l7000,175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7" w:hanging="328"/>
        <w:jc w:val="both"/>
        <w:rPr>
          <w:rFonts w:ascii="Arial"/>
          <w:sz w:val="12"/>
        </w:rPr>
      </w:pPr>
      <w:r>
        <w:rPr>
          <w:rFonts w:ascii="Arial"/>
          <w:color w:val="231F20"/>
          <w:sz w:val="12"/>
        </w:rPr>
        <w:t>Pottier,</w:t>
      </w:r>
      <w:r>
        <w:rPr>
          <w:rFonts w:ascii="Arial"/>
          <w:color w:val="231F20"/>
          <w:spacing w:val="-4"/>
          <w:sz w:val="12"/>
        </w:rPr>
        <w:t> </w:t>
      </w:r>
      <w:r>
        <w:rPr>
          <w:rFonts w:ascii="Arial"/>
          <w:color w:val="231F20"/>
          <w:sz w:val="12"/>
        </w:rPr>
        <w:t>P.,</w:t>
      </w:r>
      <w:r>
        <w:rPr>
          <w:rFonts w:ascii="Arial"/>
          <w:color w:val="231F20"/>
          <w:spacing w:val="-4"/>
          <w:sz w:val="12"/>
        </w:rPr>
        <w:t> </w:t>
      </w:r>
      <w:r>
        <w:rPr>
          <w:rFonts w:ascii="Arial"/>
          <w:color w:val="231F20"/>
          <w:sz w:val="12"/>
        </w:rPr>
        <w:t>Hardouin,</w:t>
      </w:r>
      <w:r>
        <w:rPr>
          <w:rFonts w:ascii="Arial"/>
          <w:color w:val="231F20"/>
          <w:spacing w:val="-4"/>
          <w:sz w:val="12"/>
        </w:rPr>
        <w:t> </w:t>
      </w:r>
      <w:r>
        <w:rPr>
          <w:rFonts w:ascii="Arial"/>
          <w:color w:val="231F20"/>
          <w:sz w:val="12"/>
        </w:rPr>
        <w:t>J.-B.,</w:t>
      </w:r>
      <w:r>
        <w:rPr>
          <w:rFonts w:ascii="Arial"/>
          <w:color w:val="231F20"/>
          <w:spacing w:val="-4"/>
          <w:sz w:val="12"/>
        </w:rPr>
        <w:t> </w:t>
      </w:r>
      <w:r>
        <w:rPr>
          <w:rFonts w:ascii="Arial"/>
          <w:color w:val="231F20"/>
          <w:sz w:val="12"/>
        </w:rPr>
        <w:t>Dejoie,</w:t>
      </w:r>
      <w:r>
        <w:rPr>
          <w:rFonts w:ascii="Arial"/>
          <w:color w:val="231F20"/>
          <w:spacing w:val="-4"/>
          <w:sz w:val="12"/>
        </w:rPr>
        <w:t> </w:t>
      </w:r>
      <w:r>
        <w:rPr>
          <w:rFonts w:ascii="Arial"/>
          <w:color w:val="231F20"/>
          <w:sz w:val="12"/>
        </w:rPr>
        <w:t>T.,</w:t>
      </w:r>
      <w:r>
        <w:rPr>
          <w:rFonts w:ascii="Arial"/>
          <w:color w:val="231F20"/>
          <w:spacing w:val="-4"/>
          <w:sz w:val="12"/>
        </w:rPr>
        <w:t> </w:t>
      </w:r>
      <w:r>
        <w:rPr>
          <w:rFonts w:ascii="Arial"/>
          <w:color w:val="231F20"/>
          <w:sz w:val="12"/>
        </w:rPr>
        <w:t>Castillo,</w:t>
      </w:r>
      <w:r>
        <w:rPr>
          <w:rFonts w:ascii="Arial"/>
          <w:color w:val="231F20"/>
          <w:spacing w:val="-4"/>
          <w:sz w:val="12"/>
        </w:rPr>
        <w:t> </w:t>
      </w:r>
      <w:r>
        <w:rPr>
          <w:rFonts w:ascii="Arial"/>
          <w:color w:val="231F20"/>
          <w:sz w:val="12"/>
        </w:rPr>
        <w:t>J.-M.,</w:t>
      </w:r>
      <w:r>
        <w:rPr>
          <w:rFonts w:ascii="Arial"/>
          <w:color w:val="231F20"/>
          <w:spacing w:val="-4"/>
          <w:sz w:val="12"/>
        </w:rPr>
        <w:t> </w:t>
      </w:r>
      <w:r>
        <w:rPr>
          <w:rFonts w:ascii="Arial"/>
          <w:color w:val="231F20"/>
          <w:sz w:val="12"/>
        </w:rPr>
        <w:t>Loupp,</w:t>
      </w:r>
      <w:r>
        <w:rPr>
          <w:rFonts w:ascii="Arial"/>
          <w:color w:val="231F20"/>
          <w:spacing w:val="-4"/>
          <w:sz w:val="12"/>
        </w:rPr>
        <w:t> </w:t>
      </w:r>
      <w:r>
        <w:rPr>
          <w:rFonts w:ascii="Arial"/>
          <w:color w:val="231F20"/>
          <w:sz w:val="12"/>
        </w:rPr>
        <w:t>A.-G.,</w:t>
      </w:r>
      <w:r>
        <w:rPr>
          <w:rFonts w:ascii="Arial"/>
          <w:color w:val="231F20"/>
          <w:spacing w:val="-4"/>
          <w:sz w:val="12"/>
        </w:rPr>
        <w:t> </w:t>
      </w:r>
      <w:r>
        <w:rPr>
          <w:rFonts w:ascii="Arial"/>
          <w:color w:val="231F20"/>
          <w:sz w:val="12"/>
        </w:rPr>
        <w:t>Planchon,</w:t>
      </w:r>
      <w:r>
        <w:rPr>
          <w:rFonts w:ascii="Arial"/>
          <w:color w:val="231F20"/>
          <w:spacing w:val="-4"/>
          <w:sz w:val="12"/>
        </w:rPr>
        <w:t> </w:t>
      </w:r>
      <w:r>
        <w:rPr>
          <w:rFonts w:ascii="Arial"/>
          <w:color w:val="231F20"/>
          <w:sz w:val="12"/>
        </w:rPr>
        <w:t>B.,</w:t>
      </w:r>
      <w:r>
        <w:rPr>
          <w:rFonts w:ascii="Arial"/>
          <w:color w:val="231F20"/>
          <w:spacing w:val="-4"/>
          <w:sz w:val="12"/>
        </w:rPr>
        <w:t> </w:t>
      </w:r>
      <w:r>
        <w:rPr>
          <w:rFonts w:ascii="Arial"/>
          <w:color w:val="231F20"/>
          <w:sz w:val="12"/>
        </w:rPr>
        <w:t>Bonnaud,</w:t>
      </w:r>
      <w:r>
        <w:rPr>
          <w:rFonts w:ascii="Arial"/>
          <w:color w:val="231F20"/>
          <w:spacing w:val="-4"/>
          <w:sz w:val="12"/>
        </w:rPr>
        <w:t> </w:t>
      </w:r>
      <w:r>
        <w:rPr>
          <w:rFonts w:ascii="Arial"/>
          <w:color w:val="231F20"/>
          <w:sz w:val="12"/>
        </w:rPr>
        <w:t>A.</w:t>
      </w:r>
      <w:r>
        <w:rPr>
          <w:rFonts w:ascii="Arial"/>
          <w:color w:val="231F20"/>
          <w:spacing w:val="-4"/>
          <w:sz w:val="12"/>
        </w:rPr>
        <w:t> </w:t>
      </w:r>
      <w:r>
        <w:rPr>
          <w:rFonts w:ascii="Arial"/>
          <w:color w:val="231F20"/>
          <w:sz w:val="12"/>
        </w:rPr>
        <w:t>et</w:t>
      </w:r>
      <w:r>
        <w:rPr>
          <w:rFonts w:ascii="Arial"/>
          <w:color w:val="231F20"/>
          <w:spacing w:val="-4"/>
          <w:sz w:val="12"/>
        </w:rPr>
        <w:t> </w:t>
      </w:r>
      <w:r>
        <w:rPr>
          <w:rFonts w:ascii="Arial"/>
          <w:color w:val="231F20"/>
          <w:sz w:val="12"/>
        </w:rPr>
        <w:t>LeBlanc,</w:t>
      </w:r>
      <w:r>
        <w:rPr>
          <w:rFonts w:ascii="Arial"/>
          <w:color w:val="231F20"/>
          <w:spacing w:val="-4"/>
          <w:sz w:val="12"/>
        </w:rPr>
        <w:t> </w:t>
      </w:r>
      <w:r>
        <w:rPr>
          <w:rFonts w:ascii="Arial"/>
          <w:color w:val="231F20"/>
          <w:sz w:val="12"/>
        </w:rPr>
        <w:t>V.</w:t>
      </w:r>
      <w:r>
        <w:rPr>
          <w:rFonts w:ascii="Arial"/>
          <w:color w:val="231F20"/>
          <w:spacing w:val="40"/>
          <w:sz w:val="12"/>
        </w:rPr>
        <w:t> </w:t>
      </w:r>
      <w:r>
        <w:rPr>
          <w:rFonts w:ascii="Arial"/>
          <w:color w:val="231F20"/>
          <w:sz w:val="12"/>
        </w:rPr>
        <w:t>(2015).</w:t>
      </w:r>
      <w:r>
        <w:rPr>
          <w:rFonts w:ascii="Arial"/>
          <w:color w:val="231F20"/>
          <w:spacing w:val="-1"/>
          <w:sz w:val="12"/>
        </w:rPr>
        <w:t> </w:t>
      </w:r>
      <w:r>
        <w:rPr>
          <w:rFonts w:ascii="Arial"/>
          <w:color w:val="231F20"/>
          <w:sz w:val="12"/>
        </w:rPr>
        <w:t>Effect</w:t>
      </w:r>
      <w:r>
        <w:rPr>
          <w:rFonts w:ascii="Arial"/>
          <w:color w:val="231F20"/>
          <w:spacing w:val="-1"/>
          <w:sz w:val="12"/>
        </w:rPr>
        <w:t> </w:t>
      </w:r>
      <w:r>
        <w:rPr>
          <w:rFonts w:ascii="Arial"/>
          <w:color w:val="231F20"/>
          <w:sz w:val="12"/>
        </w:rPr>
        <w:t>of</w:t>
      </w:r>
      <w:r>
        <w:rPr>
          <w:rFonts w:ascii="Arial"/>
          <w:color w:val="231F20"/>
          <w:spacing w:val="-1"/>
          <w:sz w:val="12"/>
        </w:rPr>
        <w:t> </w:t>
      </w:r>
      <w:r>
        <w:rPr>
          <w:rFonts w:ascii="Arial"/>
          <w:color w:val="231F20"/>
          <w:sz w:val="12"/>
        </w:rPr>
        <w:t>extrinsic</w:t>
      </w:r>
      <w:r>
        <w:rPr>
          <w:rFonts w:ascii="Arial"/>
          <w:color w:val="231F20"/>
          <w:spacing w:val="-1"/>
          <w:sz w:val="12"/>
        </w:rPr>
        <w:t> </w:t>
      </w:r>
      <w:r>
        <w:rPr>
          <w:rFonts w:ascii="Arial"/>
          <w:color w:val="231F20"/>
          <w:sz w:val="12"/>
        </w:rPr>
        <w:t>and</w:t>
      </w:r>
      <w:r>
        <w:rPr>
          <w:rFonts w:ascii="Arial"/>
          <w:color w:val="231F20"/>
          <w:spacing w:val="-1"/>
          <w:sz w:val="12"/>
        </w:rPr>
        <w:t> </w:t>
      </w:r>
      <w:r>
        <w:rPr>
          <w:rFonts w:ascii="Arial"/>
          <w:color w:val="231F20"/>
          <w:sz w:val="12"/>
        </w:rPr>
        <w:t>intrinsic</w:t>
      </w:r>
      <w:r>
        <w:rPr>
          <w:rFonts w:ascii="Arial"/>
          <w:color w:val="231F20"/>
          <w:spacing w:val="-1"/>
          <w:sz w:val="12"/>
        </w:rPr>
        <w:t> </w:t>
      </w:r>
      <w:r>
        <w:rPr>
          <w:rFonts w:ascii="Arial"/>
          <w:color w:val="231F20"/>
          <w:sz w:val="12"/>
        </w:rPr>
        <w:t>stressors</w:t>
      </w:r>
      <w:r>
        <w:rPr>
          <w:rFonts w:ascii="Arial"/>
          <w:color w:val="231F20"/>
          <w:spacing w:val="-1"/>
          <w:sz w:val="12"/>
        </w:rPr>
        <w:t> </w:t>
      </w:r>
      <w:r>
        <w:rPr>
          <w:rFonts w:ascii="Arial"/>
          <w:color w:val="231F20"/>
          <w:sz w:val="12"/>
        </w:rPr>
        <w:t>on</w:t>
      </w:r>
      <w:r>
        <w:rPr>
          <w:rFonts w:ascii="Arial"/>
          <w:color w:val="231F20"/>
          <w:spacing w:val="-1"/>
          <w:sz w:val="12"/>
        </w:rPr>
        <w:t> </w:t>
      </w:r>
      <w:r>
        <w:rPr>
          <w:rFonts w:ascii="Arial"/>
          <w:color w:val="231F20"/>
          <w:sz w:val="12"/>
        </w:rPr>
        <w:t>clinical</w:t>
      </w:r>
      <w:r>
        <w:rPr>
          <w:rFonts w:ascii="Arial"/>
          <w:color w:val="231F20"/>
          <w:spacing w:val="-1"/>
          <w:sz w:val="12"/>
        </w:rPr>
        <w:t> </w:t>
      </w:r>
      <w:r>
        <w:rPr>
          <w:rFonts w:ascii="Arial"/>
          <w:color w:val="231F20"/>
          <w:sz w:val="12"/>
        </w:rPr>
        <w:t>skills</w:t>
      </w:r>
      <w:r>
        <w:rPr>
          <w:rFonts w:ascii="Arial"/>
          <w:color w:val="231F20"/>
          <w:spacing w:val="-1"/>
          <w:sz w:val="12"/>
        </w:rPr>
        <w:t> </w:t>
      </w:r>
      <w:r>
        <w:rPr>
          <w:rFonts w:ascii="Arial"/>
          <w:color w:val="231F20"/>
          <w:sz w:val="12"/>
        </w:rPr>
        <w:t>performance</w:t>
      </w:r>
      <w:r>
        <w:rPr>
          <w:rFonts w:ascii="Arial"/>
          <w:color w:val="231F20"/>
          <w:spacing w:val="-1"/>
          <w:sz w:val="12"/>
        </w:rPr>
        <w:t> </w:t>
      </w:r>
      <w:r>
        <w:rPr>
          <w:rFonts w:ascii="Arial"/>
          <w:color w:val="231F20"/>
          <w:sz w:val="12"/>
        </w:rPr>
        <w:t>in</w:t>
      </w:r>
      <w:r>
        <w:rPr>
          <w:rFonts w:ascii="Arial"/>
          <w:color w:val="231F20"/>
          <w:spacing w:val="-1"/>
          <w:sz w:val="12"/>
        </w:rPr>
        <w:t> </w:t>
      </w:r>
      <w:r>
        <w:rPr>
          <w:rFonts w:ascii="Arial"/>
          <w:color w:val="231F20"/>
          <w:sz w:val="12"/>
        </w:rPr>
        <w:t>third-year</w:t>
      </w:r>
      <w:r>
        <w:rPr>
          <w:rFonts w:ascii="Arial"/>
          <w:color w:val="231F20"/>
          <w:spacing w:val="-1"/>
          <w:sz w:val="12"/>
        </w:rPr>
        <w:t> </w:t>
      </w:r>
      <w:r>
        <w:rPr>
          <w:rFonts w:ascii="Arial"/>
          <w:color w:val="231F20"/>
          <w:sz w:val="12"/>
        </w:rPr>
        <w:t>medical</w:t>
      </w:r>
      <w:r>
        <w:rPr>
          <w:rFonts w:ascii="Arial"/>
          <w:color w:val="231F20"/>
          <w:spacing w:val="-1"/>
          <w:sz w:val="12"/>
        </w:rPr>
        <w:t> </w:t>
      </w:r>
      <w:r>
        <w:rPr>
          <w:rFonts w:ascii="Arial"/>
          <w:color w:val="231F20"/>
          <w:sz w:val="12"/>
        </w:rPr>
        <w:t>students,</w:t>
      </w:r>
      <w:r>
        <w:rPr>
          <w:rFonts w:ascii="Arial"/>
          <w:color w:val="231F20"/>
          <w:spacing w:val="40"/>
          <w:sz w:val="12"/>
        </w:rPr>
        <w:t> </w:t>
      </w:r>
      <w:r>
        <w:rPr>
          <w:rFonts w:ascii="Arial"/>
          <w:i/>
          <w:color w:val="231F20"/>
          <w:sz w:val="12"/>
        </w:rPr>
        <w:t>Journal of General Internal Medicine</w:t>
      </w:r>
      <w:r>
        <w:rPr>
          <w:rFonts w:ascii="Arial"/>
          <w:color w:val="231F20"/>
          <w:sz w:val="12"/>
        </w:rPr>
        <w:t>, </w:t>
      </w:r>
      <w:r>
        <w:rPr>
          <w:rFonts w:ascii="Arial"/>
          <w:i/>
          <w:color w:val="231F20"/>
          <w:sz w:val="12"/>
        </w:rPr>
        <w:t>30</w:t>
      </w:r>
      <w:r>
        <w:rPr>
          <w:rFonts w:ascii="Arial"/>
          <w:color w:val="231F20"/>
          <w:sz w:val="12"/>
        </w:rPr>
        <w:t>, 1259-1269.</w:t>
      </w:r>
    </w:p>
    <w:p>
      <w:pPr>
        <w:spacing w:after="0" w:line="295" w:lineRule="auto"/>
        <w:jc w:val="both"/>
        <w:rPr>
          <w:rFonts w:ascii="Arial"/>
          <w:sz w:val="12"/>
        </w:rPr>
        <w:sectPr>
          <w:footerReference w:type="default" r:id="rId188"/>
          <w:pgSz w:w="8640" w:h="12960"/>
          <w:pgMar w:footer="424" w:header="0" w:top="520" w:bottom="620" w:left="420" w:right="1140"/>
        </w:sectPr>
      </w:pPr>
    </w:p>
    <w:p>
      <w:pPr>
        <w:spacing w:before="118"/>
        <w:ind w:left="2049" w:right="0" w:firstLine="0"/>
        <w:jc w:val="left"/>
        <w:rPr>
          <w:rFonts w:ascii="Arial" w:hAnsi="Arial"/>
          <w:sz w:val="14"/>
        </w:rPr>
      </w:pPr>
      <w:bookmarkStart w:name=" 3.2.1 / Principaux antécédents extrinsè" w:id="84"/>
      <w:bookmarkEnd w:id="84"/>
      <w:r>
        <w:rPr/>
      </w:r>
      <w:bookmarkStart w:name="Figure 3.3 / Sources extrinsèques et int" w:id="85"/>
      <w:bookmarkEnd w:id="85"/>
      <w:r>
        <w:rPr/>
      </w:r>
      <w:bookmarkStart w:name="_bookmark36" w:id="86"/>
      <w:bookmarkEnd w:id="86"/>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3"/>
        <w:jc w:val="both"/>
      </w:pPr>
      <w:r>
        <w:rPr/>
        <w:pict>
          <v:group style="position:absolute;margin-left:82pt;margin-top:265.185547pt;width:287.5pt;height:171.05pt;mso-position-horizontal-relative:page;mso-position-vertical-relative:paragraph;z-index:15778816" id="docshapegroup662" coordorigin="1640,5304" coordsize="5750,3421">
            <v:shape style="position:absolute;left:1640;top:5303;width:5750;height:3421" id="docshape663" coordorigin="1640,5304" coordsize="5750,3421" path="m7390,5304l1640,5304,1640,5849,1640,6009,1640,8725,7390,8725,7390,6009,7390,5849,7390,5304xe" filled="true" fillcolor="#e2e3e4" stroked="false">
              <v:path arrowok="t"/>
              <v:fill type="solid"/>
            </v:shape>
            <v:line style="position:absolute" from="2289,7969" to="3806,6189" stroked="true" strokeweight="2pt" strokecolor="#939598">
              <v:stroke dashstyle="solid"/>
            </v:line>
            <v:shape style="position:absolute;left:5083;top:6423;width:1753;height:1737" id="docshape664" coordorigin="5083,6424" coordsize="1753,1737" path="m6778,6479l6796,6544,6811,6611,6822,6681,6830,6752,6835,6825,6836,6898,6834,6972,6829,7047,6821,7122,6810,7196,6796,7270,6778,7344,6758,7416,6735,7486,6709,7555,6679,7622,6647,7686,6612,7748,6575,7806,6534,7861,6491,7913,6445,7960,6397,8004,6346,8042,6292,8076,6236,8105,6177,8128,6116,8145,6052,8156,5986,8160,5916,8158,5849,8150,5785,8137,5723,8118,5665,8094,5608,8065,5555,8031,5504,7993,5456,7951,5411,7904,5369,7855,5330,7802,5293,7745,5259,7686,5228,7624,5200,7560,5175,7494,5153,7426,5134,7356,5118,7285,5105,7213,5095,7141,5088,7067,5084,6994,5083,6920,5086,6846,5091,6773,5100,6701,5112,6629,5127,6559,5145,6491,5166,6424e" filled="false" stroked="true" strokeweight="2pt" strokecolor="#939598">
              <v:path arrowok="t"/>
              <v:stroke dashstyle="solid"/>
            </v:shape>
            <v:shape style="position:absolute;left:2171;top:5997;width:2024;height:2193" id="docshape665" coordorigin="2172,5997" coordsize="2024,2193" path="m2172,5997l2172,8190,4196,8190e" filled="false" stroked="true" strokeweight=".5pt" strokecolor="#231f20">
              <v:path arrowok="t"/>
              <v:stroke dashstyle="solid"/>
            </v:shape>
            <v:shape style="position:absolute;left:2137;top:5947;width:2110;height:2278" id="docshape666" coordorigin="2137,5947" coordsize="2110,2278" path="m2207,6008l2172,5947,2137,6008,2207,6008xm4246,8190l4186,8155,4186,8225,4246,8190xe" filled="true" fillcolor="#231f20" stroked="false">
              <v:path arrowok="t"/>
              <v:fill type="solid"/>
            </v:shape>
            <v:shape style="position:absolute;left:5029;top:5997;width:2024;height:2193" id="docshape667" coordorigin="5029,5997" coordsize="2024,2193" path="m5029,5997l5029,8190,7053,8190e" filled="false" stroked="true" strokeweight=".5pt" strokecolor="#231f20">
              <v:path arrowok="t"/>
              <v:stroke dashstyle="solid"/>
            </v:shape>
            <v:shape style="position:absolute;left:4994;top:5947;width:2110;height:2278" id="docshape668" coordorigin="4994,5947" coordsize="2110,2278" path="m5064,6008l5029,5947,4994,6008,5064,6008xm7103,8190l7043,8155,7043,8225,7103,8190xe" filled="true" fillcolor="#231f20" stroked="false">
              <v:path arrowok="t"/>
              <v:fill type="solid"/>
            </v:shape>
            <v:shape style="position:absolute;left:1890;top:5476;width:4535;height:246" type="#_x0000_t202" id="docshape669"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3.3</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6"/>
                        <w:sz w:val="17"/>
                      </w:rPr>
                      <w:t> </w:t>
                    </w:r>
                    <w:r>
                      <w:rPr>
                        <w:rFonts w:ascii="Arial" w:hAnsi="Arial"/>
                        <w:b/>
                        <w:color w:val="231F20"/>
                        <w:w w:val="95"/>
                        <w:sz w:val="17"/>
                      </w:rPr>
                      <w:t>Sources</w:t>
                    </w:r>
                    <w:r>
                      <w:rPr>
                        <w:rFonts w:ascii="Arial" w:hAnsi="Arial"/>
                        <w:b/>
                        <w:color w:val="231F20"/>
                        <w:spacing w:val="-3"/>
                        <w:w w:val="95"/>
                        <w:sz w:val="17"/>
                      </w:rPr>
                      <w:t> </w:t>
                    </w:r>
                    <w:r>
                      <w:rPr>
                        <w:rFonts w:ascii="Arial" w:hAnsi="Arial"/>
                        <w:b/>
                        <w:color w:val="231F20"/>
                        <w:w w:val="95"/>
                        <w:sz w:val="17"/>
                      </w:rPr>
                      <w:t>extrinsèques</w:t>
                    </w:r>
                    <w:r>
                      <w:rPr>
                        <w:rFonts w:ascii="Arial" w:hAnsi="Arial"/>
                        <w:b/>
                        <w:color w:val="231F20"/>
                        <w:spacing w:val="-4"/>
                        <w:w w:val="95"/>
                        <w:sz w:val="17"/>
                      </w:rPr>
                      <w:t> </w:t>
                    </w:r>
                    <w:r>
                      <w:rPr>
                        <w:rFonts w:ascii="Arial" w:hAnsi="Arial"/>
                        <w:b/>
                        <w:color w:val="231F20"/>
                        <w:w w:val="95"/>
                        <w:sz w:val="17"/>
                      </w:rPr>
                      <w:t>et</w:t>
                    </w:r>
                    <w:r>
                      <w:rPr>
                        <w:rFonts w:ascii="Arial" w:hAnsi="Arial"/>
                        <w:b/>
                        <w:color w:val="231F20"/>
                        <w:spacing w:val="-3"/>
                        <w:w w:val="95"/>
                        <w:sz w:val="17"/>
                      </w:rPr>
                      <w:t> </w:t>
                    </w:r>
                    <w:r>
                      <w:rPr>
                        <w:rFonts w:ascii="Arial" w:hAnsi="Arial"/>
                        <w:b/>
                        <w:color w:val="231F20"/>
                        <w:w w:val="95"/>
                        <w:sz w:val="17"/>
                      </w:rPr>
                      <w:t>intrinsèques</w:t>
                    </w:r>
                    <w:r>
                      <w:rPr>
                        <w:rFonts w:ascii="Arial" w:hAnsi="Arial"/>
                        <w:b/>
                        <w:color w:val="231F20"/>
                        <w:spacing w:val="-4"/>
                        <w:w w:val="95"/>
                        <w:sz w:val="17"/>
                      </w:rPr>
                      <w:t> </w:t>
                    </w:r>
                    <w:r>
                      <w:rPr>
                        <w:rFonts w:ascii="Arial" w:hAnsi="Arial"/>
                        <w:b/>
                        <w:color w:val="231F20"/>
                        <w:w w:val="95"/>
                        <w:sz w:val="17"/>
                      </w:rPr>
                      <w:t>de</w:t>
                    </w:r>
                    <w:r>
                      <w:rPr>
                        <w:rFonts w:ascii="Arial" w:hAnsi="Arial"/>
                        <w:b/>
                        <w:color w:val="231F20"/>
                        <w:spacing w:val="-4"/>
                        <w:w w:val="95"/>
                        <w:sz w:val="17"/>
                      </w:rPr>
                      <w:t> </w:t>
                    </w:r>
                    <w:r>
                      <w:rPr>
                        <w:rFonts w:ascii="Arial" w:hAnsi="Arial"/>
                        <w:b/>
                        <w:color w:val="231F20"/>
                        <w:spacing w:val="-2"/>
                        <w:w w:val="95"/>
                        <w:sz w:val="17"/>
                      </w:rPr>
                      <w:t>stress</w:t>
                    </w:r>
                  </w:p>
                </w:txbxContent>
              </v:textbox>
              <w10:wrap type="none"/>
            </v:shape>
            <v:shape style="position:absolute;left:2255;top:8237;width:1851;height:196" type="#_x0000_t202" id="docshape670" filled="false" stroked="false">
              <v:textbox inset="0,0,0,0">
                <w:txbxContent>
                  <w:p>
                    <w:pPr>
                      <w:spacing w:before="21"/>
                      <w:ind w:left="0" w:right="0" w:firstLine="0"/>
                      <w:jc w:val="left"/>
                      <w:rPr>
                        <w:rFonts w:ascii="Arial" w:hAnsi="Arial"/>
                        <w:b/>
                        <w:sz w:val="15"/>
                      </w:rPr>
                    </w:pPr>
                    <w:r>
                      <w:rPr>
                        <w:rFonts w:ascii="Arial" w:hAnsi="Arial"/>
                        <w:b/>
                        <w:color w:val="231F20"/>
                        <w:spacing w:val="-2"/>
                        <w:w w:val="90"/>
                        <w:sz w:val="15"/>
                      </w:rPr>
                      <w:t>Niveau</w:t>
                    </w:r>
                    <w:r>
                      <w:rPr>
                        <w:rFonts w:ascii="Arial" w:hAnsi="Arial"/>
                        <w:b/>
                        <w:color w:val="231F20"/>
                        <w:spacing w:val="-4"/>
                        <w:w w:val="90"/>
                        <w:sz w:val="15"/>
                      </w:rPr>
                      <w:t> </w:t>
                    </w:r>
                    <w:r>
                      <w:rPr>
                        <w:rFonts w:ascii="Arial" w:hAnsi="Arial"/>
                        <w:b/>
                        <w:color w:val="231F20"/>
                        <w:spacing w:val="-2"/>
                        <w:w w:val="90"/>
                        <w:sz w:val="15"/>
                      </w:rPr>
                      <w:t>de</w:t>
                    </w:r>
                    <w:r>
                      <w:rPr>
                        <w:rFonts w:ascii="Arial" w:hAnsi="Arial"/>
                        <w:b/>
                        <w:color w:val="231F20"/>
                        <w:spacing w:val="-3"/>
                        <w:w w:val="90"/>
                        <w:sz w:val="15"/>
                      </w:rPr>
                      <w:t> </w:t>
                    </w:r>
                    <w:r>
                      <w:rPr>
                        <w:rFonts w:ascii="Arial" w:hAnsi="Arial"/>
                        <w:b/>
                        <w:color w:val="231F20"/>
                        <w:spacing w:val="-2"/>
                        <w:w w:val="90"/>
                        <w:sz w:val="15"/>
                      </w:rPr>
                      <w:t>stress</w:t>
                    </w:r>
                    <w:r>
                      <w:rPr>
                        <w:rFonts w:ascii="Arial" w:hAnsi="Arial"/>
                        <w:b/>
                        <w:color w:val="231F20"/>
                        <w:spacing w:val="-3"/>
                        <w:w w:val="90"/>
                        <w:sz w:val="15"/>
                      </w:rPr>
                      <w:t> </w:t>
                    </w:r>
                    <w:r>
                      <w:rPr>
                        <w:rFonts w:ascii="Arial" w:hAnsi="Arial"/>
                        <w:b/>
                        <w:color w:val="231F20"/>
                        <w:spacing w:val="-2"/>
                        <w:w w:val="90"/>
                        <w:sz w:val="15"/>
                      </w:rPr>
                      <w:t>intrinsèque</w:t>
                    </w:r>
                  </w:p>
                </w:txbxContent>
              </v:textbox>
              <w10:wrap type="none"/>
            </v:shape>
            <v:shape style="position:absolute;left:5177;top:8237;width:1851;height:196" type="#_x0000_t202" id="docshape671" filled="false" stroked="false">
              <v:textbox inset="0,0,0,0">
                <w:txbxContent>
                  <w:p>
                    <w:pPr>
                      <w:spacing w:before="21"/>
                      <w:ind w:left="0" w:right="0" w:firstLine="0"/>
                      <w:jc w:val="left"/>
                      <w:rPr>
                        <w:rFonts w:ascii="Arial" w:hAnsi="Arial"/>
                        <w:b/>
                        <w:sz w:val="15"/>
                      </w:rPr>
                    </w:pPr>
                    <w:r>
                      <w:rPr>
                        <w:rFonts w:ascii="Arial" w:hAnsi="Arial"/>
                        <w:b/>
                        <w:color w:val="231F20"/>
                        <w:spacing w:val="-2"/>
                        <w:w w:val="90"/>
                        <w:sz w:val="15"/>
                      </w:rPr>
                      <w:t>Niveau</w:t>
                    </w:r>
                    <w:r>
                      <w:rPr>
                        <w:rFonts w:ascii="Arial" w:hAnsi="Arial"/>
                        <w:b/>
                        <w:color w:val="231F20"/>
                        <w:spacing w:val="-4"/>
                        <w:w w:val="90"/>
                        <w:sz w:val="15"/>
                      </w:rPr>
                      <w:t> </w:t>
                    </w:r>
                    <w:r>
                      <w:rPr>
                        <w:rFonts w:ascii="Arial" w:hAnsi="Arial"/>
                        <w:b/>
                        <w:color w:val="231F20"/>
                        <w:spacing w:val="-2"/>
                        <w:w w:val="90"/>
                        <w:sz w:val="15"/>
                      </w:rPr>
                      <w:t>de</w:t>
                    </w:r>
                    <w:r>
                      <w:rPr>
                        <w:rFonts w:ascii="Arial" w:hAnsi="Arial"/>
                        <w:b/>
                        <w:color w:val="231F20"/>
                        <w:spacing w:val="-3"/>
                        <w:w w:val="90"/>
                        <w:sz w:val="15"/>
                      </w:rPr>
                      <w:t> </w:t>
                    </w:r>
                    <w:r>
                      <w:rPr>
                        <w:rFonts w:ascii="Arial" w:hAnsi="Arial"/>
                        <w:b/>
                        <w:color w:val="231F20"/>
                        <w:spacing w:val="-2"/>
                        <w:w w:val="90"/>
                        <w:sz w:val="15"/>
                      </w:rPr>
                      <w:t>stress</w:t>
                    </w:r>
                    <w:r>
                      <w:rPr>
                        <w:rFonts w:ascii="Arial" w:hAnsi="Arial"/>
                        <w:b/>
                        <w:color w:val="231F20"/>
                        <w:spacing w:val="-3"/>
                        <w:w w:val="90"/>
                        <w:sz w:val="15"/>
                      </w:rPr>
                      <w:t> </w:t>
                    </w:r>
                    <w:r>
                      <w:rPr>
                        <w:rFonts w:ascii="Arial" w:hAnsi="Arial"/>
                        <w:b/>
                        <w:color w:val="231F20"/>
                        <w:spacing w:val="-2"/>
                        <w:w w:val="90"/>
                        <w:sz w:val="15"/>
                      </w:rPr>
                      <w:t>intrinsèque</w:t>
                    </w:r>
                  </w:p>
                </w:txbxContent>
              </v:textbox>
              <w10:wrap type="none"/>
            </v:shape>
            <w10:wrap type="none"/>
          </v:group>
        </w:pict>
      </w:r>
      <w:r>
        <w:rPr/>
        <w:pict>
          <v:shape style="position:absolute;margin-left:92.237297pt;margin-top:328.675232pt;width:11.8pt;height:49.3pt;mso-position-horizontal-relative:page;mso-position-vertical-relative:paragraph;z-index:15779328" type="#_x0000_t202" id="docshape672" filled="false" stroked="false">
            <v:textbox inset="0,0,0,0" style="layout-flow:vertical;mso-layout-flow-alt:bottom-to-top">
              <w:txbxContent>
                <w:p>
                  <w:pPr>
                    <w:spacing w:before="41"/>
                    <w:ind w:left="20" w:right="0" w:firstLine="0"/>
                    <w:jc w:val="left"/>
                    <w:rPr>
                      <w:rFonts w:ascii="Arial" w:hAnsi="Arial"/>
                      <w:b/>
                      <w:sz w:val="15"/>
                    </w:rPr>
                  </w:pPr>
                  <w:r>
                    <w:rPr>
                      <w:rFonts w:ascii="Arial" w:hAnsi="Arial"/>
                      <w:b/>
                      <w:color w:val="231F20"/>
                      <w:spacing w:val="-2"/>
                      <w:w w:val="90"/>
                      <w:sz w:val="15"/>
                    </w:rPr>
                    <w:t>Conséquences</w:t>
                  </w:r>
                </w:p>
              </w:txbxContent>
            </v:textbox>
            <w10:wrap type="none"/>
          </v:shape>
        </w:pict>
      </w:r>
      <w:r>
        <w:rPr/>
        <w:pict>
          <v:shape style="position:absolute;margin-left:235.176697pt;margin-top:328.675232pt;width:11.8pt;height:49.3pt;mso-position-horizontal-relative:page;mso-position-vertical-relative:paragraph;z-index:15779840" type="#_x0000_t202" id="docshape673" filled="false" stroked="false">
            <v:textbox inset="0,0,0,0" style="layout-flow:vertical;mso-layout-flow-alt:bottom-to-top">
              <w:txbxContent>
                <w:p>
                  <w:pPr>
                    <w:spacing w:before="41"/>
                    <w:ind w:left="20" w:right="0" w:firstLine="0"/>
                    <w:jc w:val="left"/>
                    <w:rPr>
                      <w:rFonts w:ascii="Arial" w:hAnsi="Arial"/>
                      <w:b/>
                      <w:sz w:val="15"/>
                    </w:rPr>
                  </w:pPr>
                  <w:r>
                    <w:rPr>
                      <w:rFonts w:ascii="Arial" w:hAnsi="Arial"/>
                      <w:b/>
                      <w:color w:val="231F20"/>
                      <w:spacing w:val="-2"/>
                      <w:w w:val="90"/>
                      <w:sz w:val="15"/>
                    </w:rPr>
                    <w:t>Conséquences</w:t>
                  </w:r>
                </w:p>
              </w:txbxContent>
            </v:textbox>
            <w10:wrap type="none"/>
          </v:shape>
        </w:pict>
      </w:r>
      <w:r>
        <w:rPr>
          <w:color w:val="231F20"/>
          <w:spacing w:val="-2"/>
          <w:w w:val="120"/>
        </w:rPr>
        <w:t>tâche</w:t>
      </w:r>
      <w:r>
        <w:rPr>
          <w:color w:val="231F20"/>
          <w:spacing w:val="-6"/>
          <w:w w:val="120"/>
        </w:rPr>
        <w:t> </w:t>
      </w:r>
      <w:r>
        <w:rPr>
          <w:color w:val="231F20"/>
          <w:spacing w:val="-2"/>
          <w:w w:val="120"/>
        </w:rPr>
        <w:t>qui</w:t>
      </w:r>
      <w:r>
        <w:rPr>
          <w:color w:val="231F20"/>
          <w:spacing w:val="-6"/>
          <w:w w:val="120"/>
        </w:rPr>
        <w:t> </w:t>
      </w:r>
      <w:r>
        <w:rPr>
          <w:color w:val="231F20"/>
          <w:spacing w:val="-2"/>
          <w:w w:val="120"/>
        </w:rPr>
        <w:t>pourra</w:t>
      </w:r>
      <w:r>
        <w:rPr>
          <w:color w:val="231F20"/>
          <w:spacing w:val="-6"/>
          <w:w w:val="120"/>
        </w:rPr>
        <w:t> </w:t>
      </w:r>
      <w:r>
        <w:rPr>
          <w:color w:val="231F20"/>
          <w:spacing w:val="-2"/>
          <w:w w:val="120"/>
        </w:rPr>
        <w:t>se</w:t>
      </w:r>
      <w:r>
        <w:rPr>
          <w:color w:val="231F20"/>
          <w:spacing w:val="-6"/>
          <w:w w:val="120"/>
        </w:rPr>
        <w:t> </w:t>
      </w:r>
      <w:r>
        <w:rPr>
          <w:color w:val="231F20"/>
          <w:spacing w:val="-2"/>
          <w:w w:val="120"/>
        </w:rPr>
        <w:t>traduire</w:t>
      </w:r>
      <w:r>
        <w:rPr>
          <w:color w:val="231F20"/>
          <w:spacing w:val="-6"/>
          <w:w w:val="120"/>
        </w:rPr>
        <w:t> </w:t>
      </w:r>
      <w:r>
        <w:rPr>
          <w:color w:val="231F20"/>
          <w:spacing w:val="-2"/>
          <w:w w:val="120"/>
        </w:rPr>
        <w:t>par</w:t>
      </w:r>
      <w:r>
        <w:rPr>
          <w:color w:val="231F20"/>
          <w:spacing w:val="-6"/>
          <w:w w:val="120"/>
        </w:rPr>
        <w:t> </w:t>
      </w:r>
      <w:r>
        <w:rPr>
          <w:color w:val="231F20"/>
          <w:spacing w:val="-2"/>
          <w:w w:val="120"/>
        </w:rPr>
        <w:t>une</w:t>
      </w:r>
      <w:r>
        <w:rPr>
          <w:color w:val="231F20"/>
          <w:spacing w:val="-6"/>
          <w:w w:val="120"/>
        </w:rPr>
        <w:t> </w:t>
      </w:r>
      <w:r>
        <w:rPr>
          <w:color w:val="231F20"/>
          <w:spacing w:val="-2"/>
          <w:w w:val="120"/>
        </w:rPr>
        <w:t>insatisfaction,</w:t>
      </w:r>
      <w:r>
        <w:rPr>
          <w:color w:val="231F20"/>
          <w:spacing w:val="-6"/>
          <w:w w:val="120"/>
        </w:rPr>
        <w:t> </w:t>
      </w:r>
      <w:r>
        <w:rPr>
          <w:color w:val="231F20"/>
          <w:spacing w:val="-2"/>
          <w:w w:val="120"/>
        </w:rPr>
        <w:t>un</w:t>
      </w:r>
      <w:r>
        <w:rPr>
          <w:color w:val="231F20"/>
          <w:spacing w:val="-6"/>
          <w:w w:val="120"/>
        </w:rPr>
        <w:t> </w:t>
      </w:r>
      <w:r>
        <w:rPr>
          <w:color w:val="231F20"/>
          <w:spacing w:val="-2"/>
          <w:w w:val="120"/>
        </w:rPr>
        <w:t>désengagement</w:t>
      </w:r>
      <w:r>
        <w:rPr>
          <w:color w:val="231F20"/>
          <w:spacing w:val="-6"/>
          <w:w w:val="120"/>
        </w:rPr>
        <w:t> </w:t>
      </w:r>
      <w:r>
        <w:rPr>
          <w:color w:val="231F20"/>
          <w:spacing w:val="-2"/>
          <w:w w:val="120"/>
        </w:rPr>
        <w:t>ou </w:t>
      </w:r>
      <w:r>
        <w:rPr>
          <w:color w:val="231F20"/>
          <w:w w:val="115"/>
        </w:rPr>
        <w:t>encore</w:t>
      </w:r>
      <w:r>
        <w:rPr>
          <w:color w:val="231F20"/>
          <w:spacing w:val="-5"/>
          <w:w w:val="115"/>
        </w:rPr>
        <w:t> </w:t>
      </w:r>
      <w:r>
        <w:rPr>
          <w:color w:val="231F20"/>
          <w:w w:val="115"/>
        </w:rPr>
        <w:t>le</w:t>
      </w:r>
      <w:r>
        <w:rPr>
          <w:color w:val="231F20"/>
          <w:spacing w:val="-5"/>
          <w:w w:val="115"/>
        </w:rPr>
        <w:t> </w:t>
      </w:r>
      <w:r>
        <w:rPr>
          <w:color w:val="231F20"/>
          <w:w w:val="115"/>
        </w:rPr>
        <w:t>désir</w:t>
      </w:r>
      <w:r>
        <w:rPr>
          <w:color w:val="231F20"/>
          <w:spacing w:val="-5"/>
          <w:w w:val="115"/>
        </w:rPr>
        <w:t> </w:t>
      </w:r>
      <w:r>
        <w:rPr>
          <w:color w:val="231F20"/>
          <w:w w:val="115"/>
        </w:rPr>
        <w:t>de</w:t>
      </w:r>
      <w:r>
        <w:rPr>
          <w:color w:val="231F20"/>
          <w:spacing w:val="-5"/>
          <w:w w:val="115"/>
        </w:rPr>
        <w:t> </w:t>
      </w:r>
      <w:r>
        <w:rPr>
          <w:color w:val="231F20"/>
          <w:w w:val="115"/>
        </w:rPr>
        <w:t>quitter</w:t>
      </w:r>
      <w:r>
        <w:rPr>
          <w:color w:val="231F20"/>
          <w:spacing w:val="-5"/>
          <w:w w:val="115"/>
        </w:rPr>
        <w:t> </w:t>
      </w:r>
      <w:r>
        <w:rPr>
          <w:color w:val="231F20"/>
          <w:w w:val="115"/>
        </w:rPr>
        <w:t>cet</w:t>
      </w:r>
      <w:r>
        <w:rPr>
          <w:color w:val="231F20"/>
          <w:spacing w:val="-5"/>
          <w:w w:val="115"/>
        </w:rPr>
        <w:t> </w:t>
      </w:r>
      <w:r>
        <w:rPr>
          <w:color w:val="231F20"/>
          <w:w w:val="115"/>
        </w:rPr>
        <w:t>emploi.</w:t>
      </w:r>
      <w:r>
        <w:rPr>
          <w:color w:val="231F20"/>
          <w:spacing w:val="-5"/>
          <w:w w:val="115"/>
        </w:rPr>
        <w:t> </w:t>
      </w:r>
      <w:r>
        <w:rPr>
          <w:color w:val="231F20"/>
          <w:w w:val="115"/>
        </w:rPr>
        <w:t>La</w:t>
      </w:r>
      <w:r>
        <w:rPr>
          <w:color w:val="231F20"/>
          <w:spacing w:val="-5"/>
          <w:w w:val="115"/>
        </w:rPr>
        <w:t> </w:t>
      </w:r>
      <w:r>
        <w:rPr>
          <w:color w:val="231F20"/>
          <w:w w:val="115"/>
        </w:rPr>
        <w:t>situation</w:t>
      </w:r>
      <w:r>
        <w:rPr>
          <w:color w:val="231F20"/>
          <w:spacing w:val="-5"/>
          <w:w w:val="115"/>
        </w:rPr>
        <w:t> </w:t>
      </w:r>
      <w:r>
        <w:rPr>
          <w:color w:val="231F20"/>
          <w:w w:val="115"/>
        </w:rPr>
        <w:t>inverse,</w:t>
      </w:r>
      <w:r>
        <w:rPr>
          <w:color w:val="231F20"/>
          <w:spacing w:val="-5"/>
          <w:w w:val="115"/>
        </w:rPr>
        <w:t> </w:t>
      </w:r>
      <w:r>
        <w:rPr>
          <w:color w:val="231F20"/>
          <w:w w:val="115"/>
        </w:rPr>
        <w:t>une</w:t>
      </w:r>
      <w:r>
        <w:rPr>
          <w:color w:val="231F20"/>
          <w:spacing w:val="-5"/>
          <w:w w:val="115"/>
        </w:rPr>
        <w:t> </w:t>
      </w:r>
      <w:r>
        <w:rPr>
          <w:color w:val="231F20"/>
          <w:w w:val="115"/>
        </w:rPr>
        <w:t>trop</w:t>
      </w:r>
      <w:r>
        <w:rPr>
          <w:color w:val="231F20"/>
          <w:spacing w:val="-5"/>
          <w:w w:val="115"/>
        </w:rPr>
        <w:t> </w:t>
      </w:r>
      <w:r>
        <w:rPr>
          <w:color w:val="231F20"/>
          <w:w w:val="115"/>
        </w:rPr>
        <w:t>grande </w:t>
      </w:r>
      <w:r>
        <w:rPr>
          <w:color w:val="231F20"/>
          <w:w w:val="120"/>
        </w:rPr>
        <w:t>autonomie,</w:t>
      </w:r>
      <w:r>
        <w:rPr>
          <w:color w:val="231F20"/>
          <w:spacing w:val="-5"/>
          <w:w w:val="120"/>
        </w:rPr>
        <w:t> </w:t>
      </w:r>
      <w:r>
        <w:rPr>
          <w:color w:val="231F20"/>
          <w:w w:val="120"/>
        </w:rPr>
        <w:t>produit</w:t>
      </w:r>
      <w:r>
        <w:rPr>
          <w:color w:val="231F20"/>
          <w:spacing w:val="-5"/>
          <w:w w:val="120"/>
        </w:rPr>
        <w:t> </w:t>
      </w:r>
      <w:r>
        <w:rPr>
          <w:color w:val="231F20"/>
          <w:w w:val="120"/>
        </w:rPr>
        <w:t>habituellement</w:t>
      </w:r>
      <w:r>
        <w:rPr>
          <w:color w:val="231F20"/>
          <w:spacing w:val="-5"/>
          <w:w w:val="120"/>
        </w:rPr>
        <w:t> </w:t>
      </w:r>
      <w:r>
        <w:rPr>
          <w:color w:val="231F20"/>
          <w:w w:val="120"/>
        </w:rPr>
        <w:t>un</w:t>
      </w:r>
      <w:r>
        <w:rPr>
          <w:color w:val="231F20"/>
          <w:spacing w:val="-5"/>
          <w:w w:val="120"/>
        </w:rPr>
        <w:t> </w:t>
      </w:r>
      <w:r>
        <w:rPr>
          <w:color w:val="231F20"/>
          <w:w w:val="120"/>
        </w:rPr>
        <w:t>effet</w:t>
      </w:r>
      <w:r>
        <w:rPr>
          <w:color w:val="231F20"/>
          <w:spacing w:val="-5"/>
          <w:w w:val="120"/>
        </w:rPr>
        <w:t> </w:t>
      </w:r>
      <w:r>
        <w:rPr>
          <w:color w:val="231F20"/>
          <w:w w:val="120"/>
        </w:rPr>
        <w:t>similaire.</w:t>
      </w:r>
      <w:r>
        <w:rPr>
          <w:color w:val="231F20"/>
          <w:spacing w:val="-5"/>
          <w:w w:val="120"/>
        </w:rPr>
        <w:t> </w:t>
      </w:r>
      <w:r>
        <w:rPr>
          <w:color w:val="231F20"/>
          <w:w w:val="120"/>
        </w:rPr>
        <w:t>Le</w:t>
      </w:r>
      <w:r>
        <w:rPr>
          <w:color w:val="231F20"/>
          <w:spacing w:val="-5"/>
          <w:w w:val="120"/>
        </w:rPr>
        <w:t> </w:t>
      </w:r>
      <w:r>
        <w:rPr>
          <w:color w:val="231F20"/>
          <w:w w:val="120"/>
        </w:rPr>
        <w:t>manque</w:t>
      </w:r>
      <w:r>
        <w:rPr>
          <w:color w:val="231F20"/>
          <w:spacing w:val="-5"/>
          <w:w w:val="120"/>
        </w:rPr>
        <w:t> </w:t>
      </w:r>
      <w:r>
        <w:rPr>
          <w:color w:val="231F20"/>
          <w:w w:val="120"/>
        </w:rPr>
        <w:t>d’en- </w:t>
      </w:r>
      <w:r>
        <w:rPr>
          <w:color w:val="231F20"/>
          <w:spacing w:val="-2"/>
          <w:w w:val="120"/>
        </w:rPr>
        <w:t>cadrement,</w:t>
      </w:r>
      <w:r>
        <w:rPr>
          <w:color w:val="231F20"/>
          <w:spacing w:val="-9"/>
          <w:w w:val="120"/>
        </w:rPr>
        <w:t> </w:t>
      </w:r>
      <w:r>
        <w:rPr>
          <w:color w:val="231F20"/>
          <w:spacing w:val="-2"/>
          <w:w w:val="120"/>
        </w:rPr>
        <w:t>l’absence</w:t>
      </w:r>
      <w:r>
        <w:rPr>
          <w:color w:val="231F20"/>
          <w:spacing w:val="-9"/>
          <w:w w:val="120"/>
        </w:rPr>
        <w:t> </w:t>
      </w:r>
      <w:r>
        <w:rPr>
          <w:color w:val="231F20"/>
          <w:spacing w:val="-2"/>
          <w:w w:val="120"/>
        </w:rPr>
        <w:t>de</w:t>
      </w:r>
      <w:r>
        <w:rPr>
          <w:color w:val="231F20"/>
          <w:spacing w:val="-9"/>
          <w:w w:val="120"/>
        </w:rPr>
        <w:t> </w:t>
      </w:r>
      <w:r>
        <w:rPr>
          <w:color w:val="231F20"/>
          <w:spacing w:val="-2"/>
          <w:w w:val="120"/>
        </w:rPr>
        <w:t>directives</w:t>
      </w:r>
      <w:r>
        <w:rPr>
          <w:color w:val="231F20"/>
          <w:spacing w:val="-9"/>
          <w:w w:val="120"/>
        </w:rPr>
        <w:t> </w:t>
      </w:r>
      <w:r>
        <w:rPr>
          <w:color w:val="231F20"/>
          <w:spacing w:val="-2"/>
          <w:w w:val="120"/>
        </w:rPr>
        <w:t>ou</w:t>
      </w:r>
      <w:r>
        <w:rPr>
          <w:color w:val="231F20"/>
          <w:spacing w:val="-9"/>
          <w:w w:val="120"/>
        </w:rPr>
        <w:t> </w:t>
      </w:r>
      <w:r>
        <w:rPr>
          <w:color w:val="231F20"/>
          <w:spacing w:val="-2"/>
          <w:w w:val="120"/>
        </w:rPr>
        <w:t>une</w:t>
      </w:r>
      <w:r>
        <w:rPr>
          <w:color w:val="231F20"/>
          <w:spacing w:val="-9"/>
          <w:w w:val="120"/>
        </w:rPr>
        <w:t> </w:t>
      </w:r>
      <w:r>
        <w:rPr>
          <w:color w:val="231F20"/>
          <w:spacing w:val="-2"/>
          <w:w w:val="120"/>
        </w:rPr>
        <w:t>ambiguïté</w:t>
      </w:r>
      <w:r>
        <w:rPr>
          <w:color w:val="231F20"/>
          <w:spacing w:val="-9"/>
          <w:w w:val="120"/>
        </w:rPr>
        <w:t> </w:t>
      </w:r>
      <w:r>
        <w:rPr>
          <w:color w:val="231F20"/>
          <w:spacing w:val="-2"/>
          <w:w w:val="120"/>
        </w:rPr>
        <w:t>du</w:t>
      </w:r>
      <w:r>
        <w:rPr>
          <w:color w:val="231F20"/>
          <w:spacing w:val="-9"/>
          <w:w w:val="120"/>
        </w:rPr>
        <w:t> </w:t>
      </w:r>
      <w:r>
        <w:rPr>
          <w:color w:val="231F20"/>
          <w:spacing w:val="-2"/>
          <w:w w:val="120"/>
        </w:rPr>
        <w:t>rôle</w:t>
      </w:r>
      <w:r>
        <w:rPr>
          <w:color w:val="231F20"/>
          <w:spacing w:val="-9"/>
          <w:w w:val="120"/>
        </w:rPr>
        <w:t> </w:t>
      </w:r>
      <w:r>
        <w:rPr>
          <w:color w:val="231F20"/>
          <w:spacing w:val="-2"/>
          <w:w w:val="120"/>
        </w:rPr>
        <w:t>dans</w:t>
      </w:r>
      <w:r>
        <w:rPr>
          <w:color w:val="231F20"/>
          <w:spacing w:val="-9"/>
          <w:w w:val="120"/>
        </w:rPr>
        <w:t> </w:t>
      </w:r>
      <w:r>
        <w:rPr>
          <w:color w:val="231F20"/>
          <w:spacing w:val="-2"/>
          <w:w w:val="120"/>
        </w:rPr>
        <w:t>l’orga- </w:t>
      </w:r>
      <w:r>
        <w:rPr>
          <w:color w:val="231F20"/>
          <w:w w:val="120"/>
        </w:rPr>
        <w:t>nisation</w:t>
      </w:r>
      <w:r>
        <w:rPr>
          <w:color w:val="231F20"/>
          <w:spacing w:val="-5"/>
          <w:w w:val="120"/>
        </w:rPr>
        <w:t> </w:t>
      </w:r>
      <w:r>
        <w:rPr>
          <w:color w:val="231F20"/>
          <w:w w:val="120"/>
        </w:rPr>
        <w:t>liés</w:t>
      </w:r>
      <w:r>
        <w:rPr>
          <w:color w:val="231F20"/>
          <w:spacing w:val="-5"/>
          <w:w w:val="120"/>
        </w:rPr>
        <w:t> </w:t>
      </w:r>
      <w:r>
        <w:rPr>
          <w:color w:val="231F20"/>
          <w:w w:val="120"/>
        </w:rPr>
        <w:t>à</w:t>
      </w:r>
      <w:r>
        <w:rPr>
          <w:color w:val="231F20"/>
          <w:spacing w:val="-5"/>
          <w:w w:val="120"/>
        </w:rPr>
        <w:t> </w:t>
      </w:r>
      <w:r>
        <w:rPr>
          <w:color w:val="231F20"/>
          <w:w w:val="120"/>
        </w:rPr>
        <w:t>une</w:t>
      </w:r>
      <w:r>
        <w:rPr>
          <w:color w:val="231F20"/>
          <w:spacing w:val="-5"/>
          <w:w w:val="120"/>
        </w:rPr>
        <w:t> </w:t>
      </w:r>
      <w:r>
        <w:rPr>
          <w:color w:val="231F20"/>
          <w:w w:val="120"/>
        </w:rPr>
        <w:t>trop</w:t>
      </w:r>
      <w:r>
        <w:rPr>
          <w:color w:val="231F20"/>
          <w:spacing w:val="-5"/>
          <w:w w:val="120"/>
        </w:rPr>
        <w:t> </w:t>
      </w:r>
      <w:r>
        <w:rPr>
          <w:color w:val="231F20"/>
          <w:w w:val="120"/>
        </w:rPr>
        <w:t>grande</w:t>
      </w:r>
      <w:r>
        <w:rPr>
          <w:color w:val="231F20"/>
          <w:spacing w:val="-5"/>
          <w:w w:val="120"/>
        </w:rPr>
        <w:t> </w:t>
      </w:r>
      <w:r>
        <w:rPr>
          <w:color w:val="231F20"/>
          <w:w w:val="120"/>
        </w:rPr>
        <w:t>autonomie</w:t>
      </w:r>
      <w:r>
        <w:rPr>
          <w:color w:val="231F20"/>
          <w:spacing w:val="-5"/>
          <w:w w:val="120"/>
        </w:rPr>
        <w:t> </w:t>
      </w:r>
      <w:r>
        <w:rPr>
          <w:color w:val="231F20"/>
          <w:w w:val="120"/>
        </w:rPr>
        <w:t>seront</w:t>
      </w:r>
      <w:r>
        <w:rPr>
          <w:color w:val="231F20"/>
          <w:spacing w:val="-5"/>
          <w:w w:val="120"/>
        </w:rPr>
        <w:t> </w:t>
      </w:r>
      <w:r>
        <w:rPr>
          <w:color w:val="231F20"/>
          <w:w w:val="120"/>
        </w:rPr>
        <w:t>à</w:t>
      </w:r>
      <w:r>
        <w:rPr>
          <w:color w:val="231F20"/>
          <w:spacing w:val="-5"/>
          <w:w w:val="120"/>
        </w:rPr>
        <w:t> </w:t>
      </w:r>
      <w:r>
        <w:rPr>
          <w:color w:val="231F20"/>
          <w:w w:val="120"/>
        </w:rPr>
        <w:t>même</w:t>
      </w:r>
      <w:r>
        <w:rPr>
          <w:color w:val="231F20"/>
          <w:spacing w:val="-5"/>
          <w:w w:val="120"/>
        </w:rPr>
        <w:t> </w:t>
      </w:r>
      <w:r>
        <w:rPr>
          <w:color w:val="231F20"/>
          <w:w w:val="120"/>
        </w:rPr>
        <w:t>de</w:t>
      </w:r>
      <w:r>
        <w:rPr>
          <w:color w:val="231F20"/>
          <w:spacing w:val="-5"/>
          <w:w w:val="120"/>
        </w:rPr>
        <w:t> </w:t>
      </w:r>
      <w:r>
        <w:rPr>
          <w:color w:val="231F20"/>
          <w:w w:val="120"/>
        </w:rPr>
        <w:t>générer</w:t>
      </w:r>
      <w:r>
        <w:rPr>
          <w:color w:val="231F20"/>
          <w:spacing w:val="-5"/>
          <w:w w:val="120"/>
        </w:rPr>
        <w:t> </w:t>
      </w:r>
      <w:r>
        <w:rPr>
          <w:color w:val="231F20"/>
          <w:w w:val="120"/>
        </w:rPr>
        <w:t>un stress</w:t>
      </w:r>
      <w:r>
        <w:rPr>
          <w:color w:val="231F20"/>
          <w:spacing w:val="-4"/>
          <w:w w:val="120"/>
        </w:rPr>
        <w:t> </w:t>
      </w:r>
      <w:r>
        <w:rPr>
          <w:color w:val="231F20"/>
          <w:w w:val="120"/>
        </w:rPr>
        <w:t>et</w:t>
      </w:r>
      <w:r>
        <w:rPr>
          <w:color w:val="231F20"/>
          <w:spacing w:val="-4"/>
          <w:w w:val="120"/>
        </w:rPr>
        <w:t> </w:t>
      </w:r>
      <w:r>
        <w:rPr>
          <w:color w:val="231F20"/>
          <w:w w:val="120"/>
        </w:rPr>
        <w:t>les</w:t>
      </w:r>
      <w:r>
        <w:rPr>
          <w:color w:val="231F20"/>
          <w:spacing w:val="-4"/>
          <w:w w:val="120"/>
        </w:rPr>
        <w:t> </w:t>
      </w:r>
      <w:r>
        <w:rPr>
          <w:color w:val="231F20"/>
          <w:w w:val="120"/>
        </w:rPr>
        <w:t>conséquences</w:t>
      </w:r>
      <w:r>
        <w:rPr>
          <w:color w:val="231F20"/>
          <w:spacing w:val="-4"/>
          <w:w w:val="120"/>
        </w:rPr>
        <w:t> </w:t>
      </w:r>
      <w:r>
        <w:rPr>
          <w:color w:val="231F20"/>
          <w:w w:val="120"/>
        </w:rPr>
        <w:t>l’accompagnant.</w:t>
      </w:r>
      <w:r>
        <w:rPr>
          <w:color w:val="231F20"/>
          <w:spacing w:val="-4"/>
          <w:w w:val="120"/>
        </w:rPr>
        <w:t> </w:t>
      </w:r>
      <w:r>
        <w:rPr>
          <w:color w:val="231F20"/>
          <w:w w:val="120"/>
        </w:rPr>
        <w:t>Contrairement</w:t>
      </w:r>
      <w:r>
        <w:rPr>
          <w:color w:val="231F20"/>
          <w:spacing w:val="-4"/>
          <w:w w:val="120"/>
        </w:rPr>
        <w:t> </w:t>
      </w:r>
      <w:r>
        <w:rPr>
          <w:color w:val="231F20"/>
          <w:w w:val="120"/>
        </w:rPr>
        <w:t>aux</w:t>
      </w:r>
      <w:r>
        <w:rPr>
          <w:color w:val="231F20"/>
          <w:spacing w:val="-4"/>
          <w:w w:val="120"/>
        </w:rPr>
        <w:t> </w:t>
      </w:r>
      <w:r>
        <w:rPr>
          <w:color w:val="231F20"/>
          <w:w w:val="120"/>
        </w:rPr>
        <w:t>sources </w:t>
      </w:r>
      <w:r>
        <w:rPr>
          <w:color w:val="231F20"/>
          <w:w w:val="115"/>
        </w:rPr>
        <w:t>extrinsèques,</w:t>
      </w:r>
      <w:r>
        <w:rPr>
          <w:color w:val="231F20"/>
          <w:spacing w:val="-13"/>
          <w:w w:val="115"/>
        </w:rPr>
        <w:t> </w:t>
      </w:r>
      <w:r>
        <w:rPr>
          <w:color w:val="231F20"/>
          <w:w w:val="115"/>
        </w:rPr>
        <w:t>il</w:t>
      </w:r>
      <w:r>
        <w:rPr>
          <w:color w:val="231F20"/>
          <w:spacing w:val="-12"/>
          <w:w w:val="115"/>
        </w:rPr>
        <w:t> </w:t>
      </w:r>
      <w:r>
        <w:rPr>
          <w:color w:val="231F20"/>
          <w:w w:val="115"/>
        </w:rPr>
        <w:t>existe</w:t>
      </w:r>
      <w:r>
        <w:rPr>
          <w:color w:val="231F20"/>
          <w:spacing w:val="-12"/>
          <w:w w:val="115"/>
        </w:rPr>
        <w:t> </w:t>
      </w:r>
      <w:r>
        <w:rPr>
          <w:color w:val="231F20"/>
          <w:w w:val="115"/>
        </w:rPr>
        <w:t>pour</w:t>
      </w:r>
      <w:r>
        <w:rPr>
          <w:color w:val="231F20"/>
          <w:spacing w:val="-12"/>
          <w:w w:val="115"/>
        </w:rPr>
        <w:t> </w:t>
      </w:r>
      <w:r>
        <w:rPr>
          <w:color w:val="231F20"/>
          <w:w w:val="115"/>
        </w:rPr>
        <w:t>les</w:t>
      </w:r>
      <w:r>
        <w:rPr>
          <w:color w:val="231F20"/>
          <w:spacing w:val="-13"/>
          <w:w w:val="115"/>
        </w:rPr>
        <w:t> </w:t>
      </w:r>
      <w:r>
        <w:rPr>
          <w:color w:val="231F20"/>
          <w:w w:val="115"/>
        </w:rPr>
        <w:t>sources</w:t>
      </w:r>
      <w:r>
        <w:rPr>
          <w:color w:val="231F20"/>
          <w:spacing w:val="-8"/>
          <w:w w:val="115"/>
        </w:rPr>
        <w:t> </w:t>
      </w:r>
      <w:r>
        <w:rPr>
          <w:color w:val="231F20"/>
          <w:w w:val="115"/>
        </w:rPr>
        <w:t>intrinsèques</w:t>
      </w:r>
      <w:r>
        <w:rPr>
          <w:color w:val="231F20"/>
          <w:spacing w:val="-8"/>
          <w:w w:val="115"/>
        </w:rPr>
        <w:t> </w:t>
      </w:r>
      <w:r>
        <w:rPr>
          <w:color w:val="231F20"/>
          <w:w w:val="115"/>
        </w:rPr>
        <w:t>une</w:t>
      </w:r>
      <w:r>
        <w:rPr>
          <w:color w:val="231F20"/>
          <w:spacing w:val="-8"/>
          <w:w w:val="115"/>
        </w:rPr>
        <w:t> </w:t>
      </w:r>
      <w:r>
        <w:rPr>
          <w:color w:val="231F20"/>
          <w:w w:val="115"/>
        </w:rPr>
        <w:t>«</w:t>
      </w:r>
      <w:r>
        <w:rPr>
          <w:color w:val="231F20"/>
          <w:spacing w:val="-13"/>
          <w:w w:val="115"/>
        </w:rPr>
        <w:t> </w:t>
      </w:r>
      <w:r>
        <w:rPr>
          <w:color w:val="231F20"/>
          <w:w w:val="115"/>
        </w:rPr>
        <w:t>zone</w:t>
      </w:r>
      <w:r>
        <w:rPr>
          <w:color w:val="231F20"/>
          <w:spacing w:val="-8"/>
          <w:w w:val="115"/>
        </w:rPr>
        <w:t> </w:t>
      </w:r>
      <w:r>
        <w:rPr>
          <w:color w:val="231F20"/>
          <w:w w:val="115"/>
        </w:rPr>
        <w:t>de</w:t>
      </w:r>
      <w:r>
        <w:rPr>
          <w:color w:val="231F20"/>
          <w:spacing w:val="-8"/>
          <w:w w:val="115"/>
        </w:rPr>
        <w:t> </w:t>
      </w:r>
      <w:r>
        <w:rPr>
          <w:color w:val="231F20"/>
          <w:w w:val="115"/>
        </w:rPr>
        <w:t>confort» où le niveau de la source correspond au besoin de l’individu. Ainsi, c’est </w:t>
      </w:r>
      <w:r>
        <w:rPr>
          <w:color w:val="231F20"/>
          <w:spacing w:val="-2"/>
          <w:w w:val="120"/>
        </w:rPr>
        <w:t>lorsque</w:t>
      </w:r>
      <w:r>
        <w:rPr>
          <w:color w:val="231F20"/>
          <w:spacing w:val="-10"/>
          <w:w w:val="120"/>
        </w:rPr>
        <w:t> </w:t>
      </w:r>
      <w:r>
        <w:rPr>
          <w:color w:val="231F20"/>
          <w:spacing w:val="-2"/>
          <w:w w:val="120"/>
        </w:rPr>
        <w:t>l’autonomie,</w:t>
      </w:r>
      <w:r>
        <w:rPr>
          <w:color w:val="231F20"/>
          <w:spacing w:val="-10"/>
          <w:w w:val="120"/>
        </w:rPr>
        <w:t> </w:t>
      </w:r>
      <w:r>
        <w:rPr>
          <w:color w:val="231F20"/>
          <w:spacing w:val="-2"/>
          <w:w w:val="120"/>
        </w:rPr>
        <w:t>pour</w:t>
      </w:r>
      <w:r>
        <w:rPr>
          <w:color w:val="231F20"/>
          <w:spacing w:val="-10"/>
          <w:w w:val="120"/>
        </w:rPr>
        <w:t> </w:t>
      </w:r>
      <w:r>
        <w:rPr>
          <w:color w:val="231F20"/>
          <w:spacing w:val="-2"/>
          <w:w w:val="120"/>
        </w:rPr>
        <w:t>reprendre</w:t>
      </w:r>
      <w:r>
        <w:rPr>
          <w:color w:val="231F20"/>
          <w:spacing w:val="-10"/>
          <w:w w:val="120"/>
        </w:rPr>
        <w:t> </w:t>
      </w:r>
      <w:r>
        <w:rPr>
          <w:color w:val="231F20"/>
          <w:spacing w:val="-2"/>
          <w:w w:val="120"/>
        </w:rPr>
        <w:t>notre</w:t>
      </w:r>
      <w:r>
        <w:rPr>
          <w:color w:val="231F20"/>
          <w:spacing w:val="-10"/>
          <w:w w:val="120"/>
        </w:rPr>
        <w:t> </w:t>
      </w:r>
      <w:r>
        <w:rPr>
          <w:color w:val="231F20"/>
          <w:spacing w:val="-2"/>
          <w:w w:val="120"/>
        </w:rPr>
        <w:t>exemple,</w:t>
      </w:r>
      <w:r>
        <w:rPr>
          <w:color w:val="231F20"/>
          <w:spacing w:val="-10"/>
          <w:w w:val="120"/>
        </w:rPr>
        <w:t> </w:t>
      </w:r>
      <w:r>
        <w:rPr>
          <w:color w:val="231F20"/>
          <w:spacing w:val="-2"/>
          <w:w w:val="120"/>
        </w:rPr>
        <w:t>ne</w:t>
      </w:r>
      <w:r>
        <w:rPr>
          <w:color w:val="231F20"/>
          <w:spacing w:val="-10"/>
          <w:w w:val="120"/>
        </w:rPr>
        <w:t> </w:t>
      </w:r>
      <w:r>
        <w:rPr>
          <w:color w:val="231F20"/>
          <w:spacing w:val="-2"/>
          <w:w w:val="120"/>
        </w:rPr>
        <w:t>sera</w:t>
      </w:r>
      <w:r>
        <w:rPr>
          <w:color w:val="231F20"/>
          <w:spacing w:val="-10"/>
          <w:w w:val="120"/>
        </w:rPr>
        <w:t> </w:t>
      </w:r>
      <w:r>
        <w:rPr>
          <w:color w:val="231F20"/>
          <w:spacing w:val="-2"/>
          <w:w w:val="120"/>
        </w:rPr>
        <w:t>ni</w:t>
      </w:r>
      <w:r>
        <w:rPr>
          <w:color w:val="231F20"/>
          <w:spacing w:val="-10"/>
          <w:w w:val="120"/>
        </w:rPr>
        <w:t> </w:t>
      </w:r>
      <w:r>
        <w:rPr>
          <w:color w:val="231F20"/>
          <w:spacing w:val="-2"/>
          <w:w w:val="120"/>
        </w:rPr>
        <w:t>trop</w:t>
      </w:r>
      <w:r>
        <w:rPr>
          <w:color w:val="231F20"/>
          <w:spacing w:val="-10"/>
          <w:w w:val="120"/>
        </w:rPr>
        <w:t> </w:t>
      </w:r>
      <w:r>
        <w:rPr>
          <w:color w:val="231F20"/>
          <w:spacing w:val="-2"/>
          <w:w w:val="120"/>
        </w:rPr>
        <w:t>faible ni</w:t>
      </w:r>
      <w:r>
        <w:rPr>
          <w:color w:val="231F20"/>
          <w:spacing w:val="-7"/>
          <w:w w:val="120"/>
        </w:rPr>
        <w:t> </w:t>
      </w:r>
      <w:r>
        <w:rPr>
          <w:color w:val="231F20"/>
          <w:spacing w:val="-2"/>
          <w:w w:val="120"/>
        </w:rPr>
        <w:t>trop</w:t>
      </w:r>
      <w:r>
        <w:rPr>
          <w:color w:val="231F20"/>
          <w:spacing w:val="-7"/>
          <w:w w:val="120"/>
        </w:rPr>
        <w:t> </w:t>
      </w:r>
      <w:r>
        <w:rPr>
          <w:color w:val="231F20"/>
          <w:spacing w:val="-2"/>
          <w:w w:val="120"/>
        </w:rPr>
        <w:t>élevée</w:t>
      </w:r>
      <w:r>
        <w:rPr>
          <w:color w:val="231F20"/>
          <w:spacing w:val="-7"/>
          <w:w w:val="120"/>
        </w:rPr>
        <w:t> </w:t>
      </w:r>
      <w:r>
        <w:rPr>
          <w:color w:val="231F20"/>
          <w:spacing w:val="-2"/>
          <w:w w:val="120"/>
        </w:rPr>
        <w:t>qu’elle</w:t>
      </w:r>
      <w:r>
        <w:rPr>
          <w:color w:val="231F20"/>
          <w:spacing w:val="-7"/>
          <w:w w:val="120"/>
        </w:rPr>
        <w:t> </w:t>
      </w:r>
      <w:r>
        <w:rPr>
          <w:color w:val="231F20"/>
          <w:spacing w:val="-2"/>
          <w:w w:val="120"/>
        </w:rPr>
        <w:t>ne</w:t>
      </w:r>
      <w:r>
        <w:rPr>
          <w:color w:val="231F20"/>
          <w:spacing w:val="-7"/>
          <w:w w:val="120"/>
        </w:rPr>
        <w:t> </w:t>
      </w:r>
      <w:r>
        <w:rPr>
          <w:color w:val="231F20"/>
          <w:spacing w:val="-2"/>
          <w:w w:val="120"/>
        </w:rPr>
        <w:t>générera</w:t>
      </w:r>
      <w:r>
        <w:rPr>
          <w:color w:val="231F20"/>
          <w:spacing w:val="-7"/>
          <w:w w:val="120"/>
        </w:rPr>
        <w:t> </w:t>
      </w:r>
      <w:r>
        <w:rPr>
          <w:color w:val="231F20"/>
          <w:spacing w:val="-2"/>
          <w:w w:val="120"/>
        </w:rPr>
        <w:t>pas</w:t>
      </w:r>
      <w:r>
        <w:rPr>
          <w:color w:val="231F20"/>
          <w:spacing w:val="-7"/>
          <w:w w:val="120"/>
        </w:rPr>
        <w:t> </w:t>
      </w:r>
      <w:r>
        <w:rPr>
          <w:color w:val="231F20"/>
          <w:spacing w:val="-2"/>
          <w:w w:val="120"/>
        </w:rPr>
        <w:t>de</w:t>
      </w:r>
      <w:r>
        <w:rPr>
          <w:color w:val="231F20"/>
          <w:spacing w:val="-7"/>
          <w:w w:val="120"/>
        </w:rPr>
        <w:t> </w:t>
      </w:r>
      <w:r>
        <w:rPr>
          <w:color w:val="231F20"/>
          <w:spacing w:val="-2"/>
          <w:w w:val="120"/>
        </w:rPr>
        <w:t>stress</w:t>
      </w:r>
      <w:r>
        <w:rPr>
          <w:color w:val="231F20"/>
          <w:spacing w:val="-7"/>
          <w:w w:val="120"/>
        </w:rPr>
        <w:t> </w:t>
      </w:r>
      <w:r>
        <w:rPr>
          <w:color w:val="231F20"/>
          <w:spacing w:val="-2"/>
          <w:w w:val="120"/>
        </w:rPr>
        <w:t>et</w:t>
      </w:r>
      <w:r>
        <w:rPr>
          <w:color w:val="231F20"/>
          <w:spacing w:val="-7"/>
          <w:w w:val="120"/>
        </w:rPr>
        <w:t> </w:t>
      </w:r>
      <w:r>
        <w:rPr>
          <w:color w:val="231F20"/>
          <w:spacing w:val="-2"/>
          <w:w w:val="120"/>
        </w:rPr>
        <w:t>amènera</w:t>
      </w:r>
      <w:r>
        <w:rPr>
          <w:color w:val="231F20"/>
          <w:spacing w:val="-7"/>
          <w:w w:val="120"/>
        </w:rPr>
        <w:t> </w:t>
      </w:r>
      <w:r>
        <w:rPr>
          <w:color w:val="231F20"/>
          <w:spacing w:val="-2"/>
          <w:w w:val="120"/>
        </w:rPr>
        <w:t>une</w:t>
      </w:r>
      <w:r>
        <w:rPr>
          <w:color w:val="231F20"/>
          <w:spacing w:val="-7"/>
          <w:w w:val="120"/>
        </w:rPr>
        <w:t> </w:t>
      </w:r>
      <w:r>
        <w:rPr>
          <w:color w:val="231F20"/>
          <w:spacing w:val="-2"/>
          <w:w w:val="120"/>
        </w:rPr>
        <w:t>améliora- </w:t>
      </w:r>
      <w:r>
        <w:rPr>
          <w:color w:val="231F20"/>
          <w:w w:val="120"/>
        </w:rPr>
        <w:t>tion</w:t>
      </w:r>
      <w:r>
        <w:rPr>
          <w:color w:val="231F20"/>
          <w:spacing w:val="-6"/>
          <w:w w:val="120"/>
        </w:rPr>
        <w:t> </w:t>
      </w:r>
      <w:r>
        <w:rPr>
          <w:color w:val="231F20"/>
          <w:w w:val="120"/>
        </w:rPr>
        <w:t>des</w:t>
      </w:r>
      <w:r>
        <w:rPr>
          <w:color w:val="231F20"/>
          <w:spacing w:val="-6"/>
          <w:w w:val="120"/>
        </w:rPr>
        <w:t> </w:t>
      </w:r>
      <w:r>
        <w:rPr>
          <w:color w:val="231F20"/>
          <w:w w:val="120"/>
        </w:rPr>
        <w:t>indicateurs</w:t>
      </w:r>
      <w:r>
        <w:rPr>
          <w:color w:val="231F20"/>
          <w:spacing w:val="-6"/>
          <w:w w:val="120"/>
        </w:rPr>
        <w:t> </w:t>
      </w:r>
      <w:r>
        <w:rPr>
          <w:color w:val="231F20"/>
          <w:w w:val="120"/>
        </w:rPr>
        <w:t>psychologiques</w:t>
      </w:r>
      <w:r>
        <w:rPr>
          <w:color w:val="231F20"/>
          <w:spacing w:val="-6"/>
          <w:w w:val="120"/>
        </w:rPr>
        <w:t> </w:t>
      </w:r>
      <w:r>
        <w:rPr>
          <w:color w:val="231F20"/>
          <w:w w:val="120"/>
        </w:rPr>
        <w:t>de</w:t>
      </w:r>
      <w:r>
        <w:rPr>
          <w:color w:val="231F20"/>
          <w:spacing w:val="-6"/>
          <w:w w:val="120"/>
        </w:rPr>
        <w:t> </w:t>
      </w:r>
      <w:r>
        <w:rPr>
          <w:color w:val="231F20"/>
          <w:w w:val="120"/>
        </w:rPr>
        <w:t>rendement.</w:t>
      </w:r>
      <w:r>
        <w:rPr>
          <w:color w:val="231F20"/>
          <w:spacing w:val="-6"/>
          <w:w w:val="120"/>
        </w:rPr>
        <w:t> </w:t>
      </w:r>
      <w:r>
        <w:rPr>
          <w:color w:val="231F20"/>
          <w:w w:val="120"/>
        </w:rPr>
        <w:t>En</w:t>
      </w:r>
      <w:r>
        <w:rPr>
          <w:color w:val="231F20"/>
          <w:spacing w:val="-6"/>
          <w:w w:val="120"/>
        </w:rPr>
        <w:t> </w:t>
      </w:r>
      <w:r>
        <w:rPr>
          <w:color w:val="231F20"/>
          <w:w w:val="120"/>
        </w:rPr>
        <w:t>raison</w:t>
      </w:r>
      <w:r>
        <w:rPr>
          <w:color w:val="231F20"/>
          <w:spacing w:val="-6"/>
          <w:w w:val="120"/>
        </w:rPr>
        <w:t> </w:t>
      </w:r>
      <w:r>
        <w:rPr>
          <w:color w:val="231F20"/>
          <w:w w:val="120"/>
        </w:rPr>
        <w:t>des</w:t>
      </w:r>
      <w:r>
        <w:rPr>
          <w:color w:val="231F20"/>
          <w:spacing w:val="-6"/>
          <w:w w:val="120"/>
        </w:rPr>
        <w:t> </w:t>
      </w:r>
      <w:r>
        <w:rPr>
          <w:color w:val="231F20"/>
          <w:w w:val="120"/>
        </w:rPr>
        <w:t>diffé- rences</w:t>
      </w:r>
      <w:r>
        <w:rPr>
          <w:color w:val="231F20"/>
          <w:spacing w:val="-8"/>
          <w:w w:val="120"/>
        </w:rPr>
        <w:t> </w:t>
      </w:r>
      <w:r>
        <w:rPr>
          <w:color w:val="231F20"/>
          <w:w w:val="120"/>
        </w:rPr>
        <w:t>individuelles,</w:t>
      </w:r>
      <w:r>
        <w:rPr>
          <w:color w:val="231F20"/>
          <w:spacing w:val="-8"/>
          <w:w w:val="120"/>
        </w:rPr>
        <w:t> </w:t>
      </w:r>
      <w:r>
        <w:rPr>
          <w:color w:val="231F20"/>
          <w:w w:val="120"/>
        </w:rPr>
        <w:t>entre</w:t>
      </w:r>
      <w:r>
        <w:rPr>
          <w:color w:val="231F20"/>
          <w:spacing w:val="-8"/>
          <w:w w:val="120"/>
        </w:rPr>
        <w:t> </w:t>
      </w:r>
      <w:r>
        <w:rPr>
          <w:color w:val="231F20"/>
          <w:w w:val="120"/>
        </w:rPr>
        <w:t>autres,</w:t>
      </w:r>
      <w:r>
        <w:rPr>
          <w:color w:val="231F20"/>
          <w:spacing w:val="-8"/>
          <w:w w:val="120"/>
        </w:rPr>
        <w:t> </w:t>
      </w:r>
      <w:r>
        <w:rPr>
          <w:color w:val="231F20"/>
          <w:w w:val="120"/>
        </w:rPr>
        <w:t>sur</w:t>
      </w:r>
      <w:r>
        <w:rPr>
          <w:color w:val="231F20"/>
          <w:spacing w:val="-8"/>
          <w:w w:val="120"/>
        </w:rPr>
        <w:t> </w:t>
      </w:r>
      <w:r>
        <w:rPr>
          <w:color w:val="231F20"/>
          <w:w w:val="120"/>
        </w:rPr>
        <w:t>le</w:t>
      </w:r>
      <w:r>
        <w:rPr>
          <w:color w:val="231F20"/>
          <w:spacing w:val="-8"/>
          <w:w w:val="120"/>
        </w:rPr>
        <w:t> </w:t>
      </w:r>
      <w:r>
        <w:rPr>
          <w:color w:val="231F20"/>
          <w:w w:val="120"/>
        </w:rPr>
        <w:t>plan</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personnalité,</w:t>
      </w:r>
      <w:r>
        <w:rPr>
          <w:color w:val="231F20"/>
          <w:spacing w:val="-8"/>
          <w:w w:val="120"/>
        </w:rPr>
        <w:t> </w:t>
      </w:r>
      <w:r>
        <w:rPr>
          <w:color w:val="231F20"/>
          <w:w w:val="120"/>
        </w:rPr>
        <w:t>chacun </w:t>
      </w:r>
      <w:r>
        <w:rPr>
          <w:color w:val="231F20"/>
          <w:spacing w:val="-2"/>
          <w:w w:val="120"/>
        </w:rPr>
        <w:t>a</w:t>
      </w:r>
      <w:r>
        <w:rPr>
          <w:color w:val="231F20"/>
          <w:spacing w:val="-11"/>
          <w:w w:val="120"/>
        </w:rPr>
        <w:t> </w:t>
      </w:r>
      <w:r>
        <w:rPr>
          <w:color w:val="231F20"/>
          <w:spacing w:val="-2"/>
          <w:w w:val="120"/>
        </w:rPr>
        <w:t>son</w:t>
      </w:r>
      <w:r>
        <w:rPr>
          <w:color w:val="231F20"/>
          <w:spacing w:val="-11"/>
          <w:w w:val="120"/>
        </w:rPr>
        <w:t> </w:t>
      </w:r>
      <w:r>
        <w:rPr>
          <w:color w:val="231F20"/>
          <w:spacing w:val="-2"/>
          <w:w w:val="120"/>
        </w:rPr>
        <w:t>propre</w:t>
      </w:r>
      <w:r>
        <w:rPr>
          <w:color w:val="231F20"/>
          <w:spacing w:val="-11"/>
          <w:w w:val="120"/>
        </w:rPr>
        <w:t> </w:t>
      </w:r>
      <w:r>
        <w:rPr>
          <w:color w:val="231F20"/>
          <w:spacing w:val="-2"/>
          <w:w w:val="120"/>
        </w:rPr>
        <w:t>niveau</w:t>
      </w:r>
      <w:r>
        <w:rPr>
          <w:color w:val="231F20"/>
          <w:spacing w:val="-10"/>
          <w:w w:val="120"/>
        </w:rPr>
        <w:t> </w:t>
      </w:r>
      <w:r>
        <w:rPr>
          <w:color w:val="231F20"/>
          <w:spacing w:val="-2"/>
          <w:w w:val="120"/>
        </w:rPr>
        <w:t>optimal</w:t>
      </w:r>
      <w:r>
        <w:rPr>
          <w:color w:val="231F20"/>
          <w:spacing w:val="-11"/>
          <w:w w:val="120"/>
        </w:rPr>
        <w:t> </w:t>
      </w:r>
      <w:r>
        <w:rPr>
          <w:color w:val="231F20"/>
          <w:spacing w:val="-2"/>
          <w:w w:val="120"/>
        </w:rPr>
        <w:t>d’autonomie.</w:t>
      </w:r>
      <w:r>
        <w:rPr>
          <w:color w:val="231F20"/>
          <w:spacing w:val="-11"/>
          <w:w w:val="120"/>
        </w:rPr>
        <w:t> </w:t>
      </w:r>
      <w:r>
        <w:rPr>
          <w:color w:val="231F20"/>
          <w:spacing w:val="-2"/>
          <w:w w:val="120"/>
        </w:rPr>
        <w:t>Il</w:t>
      </w:r>
      <w:r>
        <w:rPr>
          <w:color w:val="231F20"/>
          <w:spacing w:val="-11"/>
          <w:w w:val="120"/>
        </w:rPr>
        <w:t> </w:t>
      </w:r>
      <w:r>
        <w:rPr>
          <w:color w:val="231F20"/>
          <w:spacing w:val="-2"/>
          <w:w w:val="120"/>
        </w:rPr>
        <w:t>ne</w:t>
      </w:r>
      <w:r>
        <w:rPr>
          <w:color w:val="231F20"/>
          <w:spacing w:val="-10"/>
          <w:w w:val="120"/>
        </w:rPr>
        <w:t> </w:t>
      </w:r>
      <w:r>
        <w:rPr>
          <w:color w:val="231F20"/>
          <w:spacing w:val="-2"/>
          <w:w w:val="120"/>
        </w:rPr>
        <w:t>faut</w:t>
      </w:r>
      <w:r>
        <w:rPr>
          <w:color w:val="231F20"/>
          <w:spacing w:val="-11"/>
          <w:w w:val="120"/>
        </w:rPr>
        <w:t> </w:t>
      </w:r>
      <w:r>
        <w:rPr>
          <w:color w:val="231F20"/>
          <w:spacing w:val="-2"/>
          <w:w w:val="120"/>
        </w:rPr>
        <w:t>pas</w:t>
      </w:r>
      <w:r>
        <w:rPr>
          <w:color w:val="231F20"/>
          <w:spacing w:val="-11"/>
          <w:w w:val="120"/>
        </w:rPr>
        <w:t> </w:t>
      </w:r>
      <w:r>
        <w:rPr>
          <w:color w:val="231F20"/>
          <w:spacing w:val="-2"/>
          <w:w w:val="120"/>
        </w:rPr>
        <w:t>simplement</w:t>
      </w:r>
      <w:r>
        <w:rPr>
          <w:color w:val="231F20"/>
          <w:spacing w:val="-11"/>
          <w:w w:val="120"/>
        </w:rPr>
        <w:t> </w:t>
      </w:r>
      <w:r>
        <w:rPr>
          <w:color w:val="231F20"/>
          <w:spacing w:val="-2"/>
          <w:w w:val="120"/>
        </w:rPr>
        <w:t>amé- </w:t>
      </w:r>
      <w:r>
        <w:rPr>
          <w:color w:val="231F20"/>
          <w:w w:val="120"/>
        </w:rPr>
        <w:t>liorer une source intrinsèque pour réduire le stress, il faut déterminer </w:t>
      </w:r>
      <w:r>
        <w:rPr>
          <w:color w:val="231F20"/>
          <w:w w:val="115"/>
        </w:rPr>
        <w:t>pour</w:t>
      </w:r>
      <w:r>
        <w:rPr>
          <w:color w:val="231F20"/>
          <w:spacing w:val="-7"/>
          <w:w w:val="115"/>
        </w:rPr>
        <w:t> </w:t>
      </w:r>
      <w:r>
        <w:rPr>
          <w:color w:val="231F20"/>
          <w:w w:val="115"/>
        </w:rPr>
        <w:t>le</w:t>
      </w:r>
      <w:r>
        <w:rPr>
          <w:color w:val="231F20"/>
          <w:spacing w:val="-7"/>
          <w:w w:val="115"/>
        </w:rPr>
        <w:t> </w:t>
      </w:r>
      <w:r>
        <w:rPr>
          <w:color w:val="231F20"/>
          <w:w w:val="115"/>
        </w:rPr>
        <w:t>travailleur</w:t>
      </w:r>
      <w:r>
        <w:rPr>
          <w:color w:val="231F20"/>
          <w:spacing w:val="-7"/>
          <w:w w:val="115"/>
        </w:rPr>
        <w:t> </w:t>
      </w:r>
      <w:r>
        <w:rPr>
          <w:color w:val="231F20"/>
          <w:w w:val="115"/>
        </w:rPr>
        <w:t>le</w:t>
      </w:r>
      <w:r>
        <w:rPr>
          <w:color w:val="231F20"/>
          <w:spacing w:val="-7"/>
          <w:w w:val="115"/>
        </w:rPr>
        <w:t> </w:t>
      </w:r>
      <w:r>
        <w:rPr>
          <w:color w:val="231F20"/>
          <w:w w:val="115"/>
        </w:rPr>
        <w:t>niveau</w:t>
      </w:r>
      <w:r>
        <w:rPr>
          <w:color w:val="231F20"/>
          <w:spacing w:val="-7"/>
          <w:w w:val="115"/>
        </w:rPr>
        <w:t> </w:t>
      </w:r>
      <w:r>
        <w:rPr>
          <w:color w:val="231F20"/>
          <w:w w:val="115"/>
        </w:rPr>
        <w:t>correspondant</w:t>
      </w:r>
      <w:r>
        <w:rPr>
          <w:color w:val="231F20"/>
          <w:spacing w:val="-7"/>
          <w:w w:val="115"/>
        </w:rPr>
        <w:t> </w:t>
      </w:r>
      <w:r>
        <w:rPr>
          <w:color w:val="231F20"/>
          <w:w w:val="115"/>
        </w:rPr>
        <w:t>à</w:t>
      </w:r>
      <w:r>
        <w:rPr>
          <w:color w:val="231F20"/>
          <w:spacing w:val="-7"/>
          <w:w w:val="115"/>
        </w:rPr>
        <w:t> </w:t>
      </w:r>
      <w:r>
        <w:rPr>
          <w:color w:val="231F20"/>
          <w:w w:val="115"/>
        </w:rPr>
        <w:t>la</w:t>
      </w:r>
      <w:r>
        <w:rPr>
          <w:color w:val="231F20"/>
          <w:spacing w:val="-7"/>
          <w:w w:val="115"/>
        </w:rPr>
        <w:t> </w:t>
      </w:r>
      <w:r>
        <w:rPr>
          <w:color w:val="231F20"/>
          <w:w w:val="115"/>
        </w:rPr>
        <w:t>satisfaction</w:t>
      </w:r>
      <w:r>
        <w:rPr>
          <w:color w:val="231F20"/>
          <w:spacing w:val="-7"/>
          <w:w w:val="115"/>
        </w:rPr>
        <w:t> </w:t>
      </w:r>
      <w:r>
        <w:rPr>
          <w:color w:val="231F20"/>
          <w:w w:val="115"/>
        </w:rPr>
        <w:t>de</w:t>
      </w:r>
      <w:r>
        <w:rPr>
          <w:color w:val="231F20"/>
          <w:spacing w:val="-7"/>
          <w:w w:val="115"/>
        </w:rPr>
        <w:t> </w:t>
      </w:r>
      <w:r>
        <w:rPr>
          <w:color w:val="231F20"/>
          <w:w w:val="115"/>
        </w:rPr>
        <w:t>ses</w:t>
      </w:r>
      <w:r>
        <w:rPr>
          <w:color w:val="231F20"/>
          <w:spacing w:val="-7"/>
          <w:w w:val="115"/>
        </w:rPr>
        <w:t> </w:t>
      </w:r>
      <w:r>
        <w:rPr>
          <w:color w:val="231F20"/>
          <w:w w:val="115"/>
        </w:rPr>
        <w:t>besoins. </w:t>
      </w:r>
      <w:r>
        <w:rPr>
          <w:color w:val="231F20"/>
          <w:w w:val="120"/>
        </w:rPr>
        <w:t>C’est</w:t>
      </w:r>
      <w:r>
        <w:rPr>
          <w:color w:val="231F20"/>
          <w:spacing w:val="-11"/>
          <w:w w:val="120"/>
        </w:rPr>
        <w:t> </w:t>
      </w:r>
      <w:r>
        <w:rPr>
          <w:color w:val="231F20"/>
          <w:w w:val="120"/>
        </w:rPr>
        <w:t>seulement</w:t>
      </w:r>
      <w:r>
        <w:rPr>
          <w:color w:val="231F20"/>
          <w:spacing w:val="-11"/>
          <w:w w:val="120"/>
        </w:rPr>
        <w:t> </w:t>
      </w:r>
      <w:r>
        <w:rPr>
          <w:color w:val="231F20"/>
          <w:w w:val="120"/>
        </w:rPr>
        <w:t>lorsque</w:t>
      </w:r>
      <w:r>
        <w:rPr>
          <w:color w:val="231F20"/>
          <w:spacing w:val="-11"/>
          <w:w w:val="120"/>
        </w:rPr>
        <w:t> </w:t>
      </w:r>
      <w:r>
        <w:rPr>
          <w:color w:val="231F20"/>
          <w:w w:val="120"/>
        </w:rPr>
        <w:t>la</w:t>
      </w:r>
      <w:r>
        <w:rPr>
          <w:color w:val="231F20"/>
          <w:spacing w:val="-11"/>
          <w:w w:val="120"/>
        </w:rPr>
        <w:t> </w:t>
      </w:r>
      <w:r>
        <w:rPr>
          <w:color w:val="231F20"/>
          <w:w w:val="120"/>
        </w:rPr>
        <w:t>source</w:t>
      </w:r>
      <w:r>
        <w:rPr>
          <w:color w:val="231F20"/>
          <w:spacing w:val="-11"/>
          <w:w w:val="120"/>
        </w:rPr>
        <w:t> </w:t>
      </w:r>
      <w:r>
        <w:rPr>
          <w:color w:val="231F20"/>
          <w:w w:val="120"/>
        </w:rPr>
        <w:t>intrinsèque</w:t>
      </w:r>
      <w:r>
        <w:rPr>
          <w:color w:val="231F20"/>
          <w:spacing w:val="-11"/>
          <w:w w:val="120"/>
        </w:rPr>
        <w:t> </w:t>
      </w:r>
      <w:r>
        <w:rPr>
          <w:color w:val="231F20"/>
          <w:w w:val="120"/>
        </w:rPr>
        <w:t>se</w:t>
      </w:r>
      <w:r>
        <w:rPr>
          <w:color w:val="231F20"/>
          <w:spacing w:val="-11"/>
          <w:w w:val="120"/>
        </w:rPr>
        <w:t> </w:t>
      </w:r>
      <w:r>
        <w:rPr>
          <w:color w:val="231F20"/>
          <w:w w:val="120"/>
        </w:rPr>
        <w:t>situera</w:t>
      </w:r>
      <w:r>
        <w:rPr>
          <w:color w:val="231F20"/>
          <w:spacing w:val="-11"/>
          <w:w w:val="120"/>
        </w:rPr>
        <w:t> </w:t>
      </w:r>
      <w:r>
        <w:rPr>
          <w:color w:val="231F20"/>
          <w:w w:val="120"/>
        </w:rPr>
        <w:t>dans</w:t>
      </w:r>
      <w:r>
        <w:rPr>
          <w:color w:val="231F20"/>
          <w:spacing w:val="-11"/>
          <w:w w:val="120"/>
        </w:rPr>
        <w:t> </w:t>
      </w:r>
      <w:r>
        <w:rPr>
          <w:color w:val="231F20"/>
          <w:w w:val="120"/>
        </w:rPr>
        <w:t>les</w:t>
      </w:r>
      <w:r>
        <w:rPr>
          <w:color w:val="231F20"/>
          <w:spacing w:val="-11"/>
          <w:w w:val="120"/>
        </w:rPr>
        <w:t> </w:t>
      </w:r>
      <w:r>
        <w:rPr>
          <w:color w:val="231F20"/>
          <w:w w:val="120"/>
        </w:rPr>
        <w:t>balises de</w:t>
      </w:r>
      <w:r>
        <w:rPr>
          <w:color w:val="231F20"/>
          <w:spacing w:val="-13"/>
          <w:w w:val="120"/>
        </w:rPr>
        <w:t> </w:t>
      </w:r>
      <w:r>
        <w:rPr>
          <w:color w:val="231F20"/>
          <w:w w:val="120"/>
        </w:rPr>
        <w:t>la</w:t>
      </w:r>
      <w:r>
        <w:rPr>
          <w:color w:val="231F20"/>
          <w:spacing w:val="-13"/>
          <w:w w:val="120"/>
        </w:rPr>
        <w:t> </w:t>
      </w:r>
      <w:r>
        <w:rPr>
          <w:color w:val="231F20"/>
          <w:w w:val="120"/>
        </w:rPr>
        <w:t>zone</w:t>
      </w:r>
      <w:r>
        <w:rPr>
          <w:color w:val="231F20"/>
          <w:spacing w:val="-13"/>
          <w:w w:val="120"/>
        </w:rPr>
        <w:t> </w:t>
      </w:r>
      <w:r>
        <w:rPr>
          <w:color w:val="231F20"/>
          <w:w w:val="120"/>
        </w:rPr>
        <w:t>de</w:t>
      </w:r>
      <w:r>
        <w:rPr>
          <w:color w:val="231F20"/>
          <w:spacing w:val="-12"/>
          <w:w w:val="120"/>
        </w:rPr>
        <w:t> </w:t>
      </w:r>
      <w:r>
        <w:rPr>
          <w:color w:val="231F20"/>
          <w:w w:val="120"/>
        </w:rPr>
        <w:t>confort</w:t>
      </w:r>
      <w:r>
        <w:rPr>
          <w:color w:val="231F20"/>
          <w:spacing w:val="-13"/>
          <w:w w:val="120"/>
        </w:rPr>
        <w:t> </w:t>
      </w:r>
      <w:r>
        <w:rPr>
          <w:color w:val="231F20"/>
          <w:w w:val="120"/>
        </w:rPr>
        <w:t>du</w:t>
      </w:r>
      <w:r>
        <w:rPr>
          <w:color w:val="231F20"/>
          <w:spacing w:val="-13"/>
          <w:w w:val="120"/>
        </w:rPr>
        <w:t> </w:t>
      </w:r>
      <w:r>
        <w:rPr>
          <w:color w:val="231F20"/>
          <w:w w:val="120"/>
        </w:rPr>
        <w:t>travailleur</w:t>
      </w:r>
      <w:r>
        <w:rPr>
          <w:color w:val="231F20"/>
          <w:spacing w:val="-13"/>
          <w:w w:val="120"/>
        </w:rPr>
        <w:t> </w:t>
      </w:r>
      <w:r>
        <w:rPr>
          <w:color w:val="231F20"/>
          <w:w w:val="120"/>
        </w:rPr>
        <w:t>qu’elle</w:t>
      </w:r>
      <w:r>
        <w:rPr>
          <w:color w:val="231F20"/>
          <w:spacing w:val="-12"/>
          <w:w w:val="120"/>
        </w:rPr>
        <w:t> </w:t>
      </w:r>
      <w:r>
        <w:rPr>
          <w:color w:val="231F20"/>
          <w:w w:val="120"/>
        </w:rPr>
        <w:t>n’occasionnera</w:t>
      </w:r>
      <w:r>
        <w:rPr>
          <w:color w:val="231F20"/>
          <w:spacing w:val="-13"/>
          <w:w w:val="120"/>
        </w:rPr>
        <w:t> </w:t>
      </w:r>
      <w:r>
        <w:rPr>
          <w:color w:val="231F20"/>
          <w:w w:val="120"/>
        </w:rPr>
        <w:t>pas</w:t>
      </w:r>
      <w:r>
        <w:rPr>
          <w:color w:val="231F20"/>
          <w:spacing w:val="-13"/>
          <w:w w:val="120"/>
        </w:rPr>
        <w:t> </w:t>
      </w:r>
      <w:r>
        <w:rPr>
          <w:color w:val="231F20"/>
          <w:w w:val="120"/>
        </w:rPr>
        <w:t>de</w:t>
      </w:r>
      <w:r>
        <w:rPr>
          <w:color w:val="231F20"/>
          <w:spacing w:val="-13"/>
          <w:w w:val="120"/>
        </w:rPr>
        <w:t> </w:t>
      </w:r>
      <w:r>
        <w:rPr>
          <w:color w:val="231F20"/>
          <w:w w:val="120"/>
        </w:rPr>
        <w:t>stress. Il</w:t>
      </w:r>
      <w:r>
        <w:rPr>
          <w:color w:val="231F20"/>
          <w:spacing w:val="-10"/>
          <w:w w:val="120"/>
        </w:rPr>
        <w:t> </w:t>
      </w:r>
      <w:r>
        <w:rPr>
          <w:color w:val="231F20"/>
          <w:w w:val="120"/>
        </w:rPr>
        <w:t>convient</w:t>
      </w:r>
      <w:r>
        <w:rPr>
          <w:color w:val="231F20"/>
          <w:spacing w:val="-10"/>
          <w:w w:val="120"/>
        </w:rPr>
        <w:t> </w:t>
      </w:r>
      <w:r>
        <w:rPr>
          <w:color w:val="231F20"/>
          <w:w w:val="120"/>
        </w:rPr>
        <w:t>de</w:t>
      </w:r>
      <w:r>
        <w:rPr>
          <w:color w:val="231F20"/>
          <w:spacing w:val="-10"/>
          <w:w w:val="120"/>
        </w:rPr>
        <w:t> </w:t>
      </w:r>
      <w:r>
        <w:rPr>
          <w:color w:val="231F20"/>
          <w:w w:val="120"/>
        </w:rPr>
        <w:t>reconnaître</w:t>
      </w:r>
      <w:r>
        <w:rPr>
          <w:color w:val="231F20"/>
          <w:spacing w:val="-10"/>
          <w:w w:val="120"/>
        </w:rPr>
        <w:t> </w:t>
      </w:r>
      <w:r>
        <w:rPr>
          <w:color w:val="231F20"/>
          <w:w w:val="120"/>
        </w:rPr>
        <w:t>qu’il</w:t>
      </w:r>
      <w:r>
        <w:rPr>
          <w:color w:val="231F20"/>
          <w:spacing w:val="-10"/>
          <w:w w:val="120"/>
        </w:rPr>
        <w:t> </w:t>
      </w:r>
      <w:r>
        <w:rPr>
          <w:color w:val="231F20"/>
          <w:w w:val="120"/>
        </w:rPr>
        <w:t>est</w:t>
      </w:r>
      <w:r>
        <w:rPr>
          <w:color w:val="231F20"/>
          <w:spacing w:val="-10"/>
          <w:w w:val="120"/>
        </w:rPr>
        <w:t> </w:t>
      </w:r>
      <w:r>
        <w:rPr>
          <w:color w:val="231F20"/>
          <w:w w:val="120"/>
        </w:rPr>
        <w:t>bien</w:t>
      </w:r>
      <w:r>
        <w:rPr>
          <w:color w:val="231F20"/>
          <w:spacing w:val="-10"/>
          <w:w w:val="120"/>
        </w:rPr>
        <w:t> </w:t>
      </w:r>
      <w:r>
        <w:rPr>
          <w:color w:val="231F20"/>
          <w:w w:val="120"/>
        </w:rPr>
        <w:t>plus</w:t>
      </w:r>
      <w:r>
        <w:rPr>
          <w:color w:val="231F20"/>
          <w:spacing w:val="-10"/>
          <w:w w:val="120"/>
        </w:rPr>
        <w:t> </w:t>
      </w:r>
      <w:r>
        <w:rPr>
          <w:color w:val="231F20"/>
          <w:w w:val="120"/>
        </w:rPr>
        <w:t>complexe</w:t>
      </w:r>
      <w:r>
        <w:rPr>
          <w:color w:val="231F20"/>
          <w:spacing w:val="-10"/>
          <w:w w:val="120"/>
        </w:rPr>
        <w:t> </w:t>
      </w:r>
      <w:r>
        <w:rPr>
          <w:color w:val="231F20"/>
          <w:w w:val="120"/>
        </w:rPr>
        <w:t>de</w:t>
      </w:r>
      <w:r>
        <w:rPr>
          <w:color w:val="231F20"/>
          <w:spacing w:val="-10"/>
          <w:w w:val="120"/>
        </w:rPr>
        <w:t> </w:t>
      </w:r>
      <w:r>
        <w:rPr>
          <w:color w:val="231F20"/>
          <w:w w:val="120"/>
        </w:rPr>
        <w:t>bien</w:t>
      </w:r>
      <w:r>
        <w:rPr>
          <w:color w:val="231F20"/>
          <w:spacing w:val="-10"/>
          <w:w w:val="120"/>
        </w:rPr>
        <w:t> </w:t>
      </w:r>
      <w:r>
        <w:rPr>
          <w:color w:val="231F20"/>
          <w:w w:val="120"/>
        </w:rPr>
        <w:t>gérer</w:t>
      </w:r>
      <w:r>
        <w:rPr>
          <w:color w:val="231F20"/>
          <w:spacing w:val="-10"/>
          <w:w w:val="120"/>
        </w:rPr>
        <w:t> </w:t>
      </w:r>
      <w:r>
        <w:rPr>
          <w:color w:val="231F20"/>
          <w:w w:val="120"/>
        </w:rPr>
        <w:t>les sources intrinsèques de stress qu’il ne l’est pour celles associées à la dimension extrinsèque du travail.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Heading4"/>
        <w:numPr>
          <w:ilvl w:val="2"/>
          <w:numId w:val="43"/>
        </w:numPr>
        <w:tabs>
          <w:tab w:pos="919" w:val="left" w:leader="none"/>
          <w:tab w:pos="1219" w:val="left" w:leader="none"/>
        </w:tabs>
        <w:spacing w:line="240" w:lineRule="auto" w:before="0" w:after="0"/>
        <w:ind w:left="918" w:right="0" w:hanging="376"/>
        <w:jc w:val="left"/>
      </w:pPr>
      <w:r>
        <w:rPr>
          <w:b w:val="0"/>
          <w:i/>
          <w:color w:val="231F20"/>
          <w:spacing w:val="-10"/>
        </w:rPr>
        <w:t>/</w:t>
      </w:r>
      <w:r>
        <w:rPr>
          <w:b w:val="0"/>
          <w:i/>
          <w:color w:val="231F20"/>
        </w:rPr>
        <w:tab/>
      </w:r>
      <w:r>
        <w:rPr>
          <w:color w:val="231F20"/>
          <w:spacing w:val="-2"/>
          <w:w w:val="95"/>
        </w:rPr>
        <w:t>Principaux</w:t>
      </w:r>
      <w:r>
        <w:rPr>
          <w:color w:val="231F20"/>
          <w:spacing w:val="4"/>
        </w:rPr>
        <w:t> </w:t>
      </w:r>
      <w:r>
        <w:rPr>
          <w:color w:val="231F20"/>
          <w:spacing w:val="-2"/>
          <w:w w:val="95"/>
        </w:rPr>
        <w:t>antécédents</w:t>
      </w:r>
      <w:r>
        <w:rPr>
          <w:color w:val="231F20"/>
          <w:spacing w:val="5"/>
        </w:rPr>
        <w:t> </w:t>
      </w:r>
      <w:r>
        <w:rPr>
          <w:color w:val="231F20"/>
          <w:spacing w:val="-2"/>
          <w:w w:val="95"/>
        </w:rPr>
        <w:t>extrinsèques</w:t>
      </w:r>
      <w:r>
        <w:rPr>
          <w:color w:val="231F20"/>
          <w:spacing w:val="5"/>
        </w:rPr>
        <w:t> </w:t>
      </w:r>
      <w:r>
        <w:rPr>
          <w:color w:val="231F20"/>
          <w:spacing w:val="-2"/>
          <w:w w:val="95"/>
        </w:rPr>
        <w:t>du</w:t>
      </w:r>
      <w:r>
        <w:rPr>
          <w:color w:val="231F20"/>
          <w:spacing w:val="5"/>
        </w:rPr>
        <w:t> </w:t>
      </w:r>
      <w:r>
        <w:rPr>
          <w:color w:val="231F20"/>
          <w:spacing w:val="-2"/>
          <w:w w:val="95"/>
        </w:rPr>
        <w:t>stress</w:t>
      </w:r>
    </w:p>
    <w:p>
      <w:pPr>
        <w:pStyle w:val="BodyText"/>
        <w:spacing w:line="307" w:lineRule="auto" w:before="234"/>
        <w:ind w:left="1220" w:right="105"/>
        <w:jc w:val="both"/>
      </w:pPr>
      <w:r>
        <w:rPr>
          <w:color w:val="231F20"/>
          <w:spacing w:val="-2"/>
          <w:w w:val="120"/>
        </w:rPr>
        <w:t>L’environnement</w:t>
      </w:r>
      <w:r>
        <w:rPr>
          <w:color w:val="231F20"/>
          <w:spacing w:val="-6"/>
          <w:w w:val="120"/>
        </w:rPr>
        <w:t> </w:t>
      </w:r>
      <w:r>
        <w:rPr>
          <w:color w:val="231F20"/>
          <w:spacing w:val="-2"/>
          <w:w w:val="120"/>
        </w:rPr>
        <w:t>où</w:t>
      </w:r>
      <w:r>
        <w:rPr>
          <w:color w:val="231F20"/>
          <w:spacing w:val="-6"/>
          <w:w w:val="120"/>
        </w:rPr>
        <w:t> </w:t>
      </w:r>
      <w:r>
        <w:rPr>
          <w:color w:val="231F20"/>
          <w:spacing w:val="-2"/>
          <w:w w:val="120"/>
        </w:rPr>
        <w:t>travaille</w:t>
      </w:r>
      <w:r>
        <w:rPr>
          <w:color w:val="231F20"/>
          <w:spacing w:val="-6"/>
          <w:w w:val="120"/>
        </w:rPr>
        <w:t> </w:t>
      </w:r>
      <w:r>
        <w:rPr>
          <w:color w:val="231F20"/>
          <w:spacing w:val="-2"/>
          <w:w w:val="120"/>
        </w:rPr>
        <w:t>un</w:t>
      </w:r>
      <w:r>
        <w:rPr>
          <w:color w:val="231F20"/>
          <w:spacing w:val="-6"/>
          <w:w w:val="120"/>
        </w:rPr>
        <w:t> </w:t>
      </w:r>
      <w:r>
        <w:rPr>
          <w:color w:val="231F20"/>
          <w:spacing w:val="-2"/>
          <w:w w:val="120"/>
        </w:rPr>
        <w:t>individu</w:t>
      </w:r>
      <w:r>
        <w:rPr>
          <w:color w:val="231F20"/>
          <w:spacing w:val="-6"/>
          <w:w w:val="120"/>
        </w:rPr>
        <w:t> </w:t>
      </w:r>
      <w:r>
        <w:rPr>
          <w:color w:val="231F20"/>
          <w:spacing w:val="-2"/>
          <w:w w:val="120"/>
        </w:rPr>
        <w:t>influe</w:t>
      </w:r>
      <w:r>
        <w:rPr>
          <w:color w:val="231F20"/>
          <w:spacing w:val="-6"/>
          <w:w w:val="120"/>
        </w:rPr>
        <w:t> </w:t>
      </w:r>
      <w:r>
        <w:rPr>
          <w:color w:val="231F20"/>
          <w:spacing w:val="-2"/>
          <w:w w:val="120"/>
        </w:rPr>
        <w:t>sur</w:t>
      </w:r>
      <w:r>
        <w:rPr>
          <w:color w:val="231F20"/>
          <w:spacing w:val="-6"/>
          <w:w w:val="120"/>
        </w:rPr>
        <w:t> </w:t>
      </w:r>
      <w:r>
        <w:rPr>
          <w:color w:val="231F20"/>
          <w:spacing w:val="-2"/>
          <w:w w:val="120"/>
        </w:rPr>
        <w:t>sa</w:t>
      </w:r>
      <w:r>
        <w:rPr>
          <w:color w:val="231F20"/>
          <w:spacing w:val="-6"/>
          <w:w w:val="120"/>
        </w:rPr>
        <w:t> </w:t>
      </w:r>
      <w:r>
        <w:rPr>
          <w:color w:val="231F20"/>
          <w:spacing w:val="-2"/>
          <w:w w:val="120"/>
        </w:rPr>
        <w:t>santé</w:t>
      </w:r>
      <w:r>
        <w:rPr>
          <w:color w:val="231F20"/>
          <w:spacing w:val="-6"/>
          <w:w w:val="120"/>
        </w:rPr>
        <w:t> </w:t>
      </w:r>
      <w:r>
        <w:rPr>
          <w:color w:val="231F20"/>
          <w:spacing w:val="-2"/>
          <w:w w:val="120"/>
        </w:rPr>
        <w:t>et</w:t>
      </w:r>
      <w:r>
        <w:rPr>
          <w:color w:val="231F20"/>
          <w:spacing w:val="-6"/>
          <w:w w:val="120"/>
        </w:rPr>
        <w:t> </w:t>
      </w:r>
      <w:r>
        <w:rPr>
          <w:color w:val="231F20"/>
          <w:spacing w:val="-2"/>
          <w:w w:val="120"/>
        </w:rPr>
        <w:t>son</w:t>
      </w:r>
      <w:r>
        <w:rPr>
          <w:color w:val="231F20"/>
          <w:spacing w:val="-6"/>
          <w:w w:val="120"/>
        </w:rPr>
        <w:t> </w:t>
      </w:r>
      <w:r>
        <w:rPr>
          <w:color w:val="231F20"/>
          <w:spacing w:val="-2"/>
          <w:w w:val="120"/>
        </w:rPr>
        <w:t>bien- être</w:t>
      </w:r>
      <w:r>
        <w:rPr>
          <w:color w:val="231F20"/>
          <w:spacing w:val="-4"/>
          <w:w w:val="120"/>
        </w:rPr>
        <w:t> </w:t>
      </w:r>
      <w:r>
        <w:rPr>
          <w:color w:val="231F20"/>
          <w:spacing w:val="-2"/>
          <w:w w:val="120"/>
        </w:rPr>
        <w:t>physique,</w:t>
      </w:r>
      <w:r>
        <w:rPr>
          <w:color w:val="231F20"/>
          <w:spacing w:val="-4"/>
          <w:w w:val="120"/>
        </w:rPr>
        <w:t> </w:t>
      </w:r>
      <w:r>
        <w:rPr>
          <w:color w:val="231F20"/>
          <w:spacing w:val="-2"/>
          <w:w w:val="120"/>
        </w:rPr>
        <w:t>psychologique</w:t>
      </w:r>
      <w:r>
        <w:rPr>
          <w:color w:val="231F20"/>
          <w:spacing w:val="-4"/>
          <w:w w:val="120"/>
        </w:rPr>
        <w:t> </w:t>
      </w:r>
      <w:r>
        <w:rPr>
          <w:color w:val="231F20"/>
          <w:spacing w:val="-2"/>
          <w:w w:val="120"/>
        </w:rPr>
        <w:t>et</w:t>
      </w:r>
      <w:r>
        <w:rPr>
          <w:color w:val="231F20"/>
          <w:spacing w:val="-4"/>
          <w:w w:val="120"/>
        </w:rPr>
        <w:t> </w:t>
      </w:r>
      <w:r>
        <w:rPr>
          <w:color w:val="231F20"/>
          <w:spacing w:val="-2"/>
          <w:w w:val="120"/>
        </w:rPr>
        <w:t>social.</w:t>
      </w:r>
      <w:r>
        <w:rPr>
          <w:color w:val="231F20"/>
          <w:spacing w:val="-4"/>
          <w:w w:val="120"/>
        </w:rPr>
        <w:t> </w:t>
      </w:r>
      <w:r>
        <w:rPr>
          <w:color w:val="231F20"/>
          <w:spacing w:val="-2"/>
          <w:w w:val="120"/>
        </w:rPr>
        <w:t>Cet</w:t>
      </w:r>
      <w:r>
        <w:rPr>
          <w:color w:val="231F20"/>
          <w:spacing w:val="-4"/>
          <w:w w:val="120"/>
        </w:rPr>
        <w:t> </w:t>
      </w:r>
      <w:r>
        <w:rPr>
          <w:color w:val="231F20"/>
          <w:spacing w:val="-2"/>
          <w:w w:val="120"/>
        </w:rPr>
        <w:t>environnement</w:t>
      </w:r>
      <w:r>
        <w:rPr>
          <w:color w:val="231F20"/>
          <w:spacing w:val="-4"/>
          <w:w w:val="120"/>
        </w:rPr>
        <w:t> </w:t>
      </w:r>
      <w:r>
        <w:rPr>
          <w:color w:val="231F20"/>
          <w:spacing w:val="-2"/>
          <w:w w:val="120"/>
        </w:rPr>
        <w:t>peut</w:t>
      </w:r>
      <w:r>
        <w:rPr>
          <w:color w:val="231F20"/>
          <w:spacing w:val="-4"/>
          <w:w w:val="120"/>
        </w:rPr>
        <w:t> </w:t>
      </w:r>
      <w:r>
        <w:rPr>
          <w:color w:val="231F20"/>
          <w:spacing w:val="-2"/>
          <w:w w:val="120"/>
        </w:rPr>
        <w:t>être</w:t>
      </w:r>
      <w:r>
        <w:rPr>
          <w:color w:val="231F20"/>
          <w:spacing w:val="-4"/>
          <w:w w:val="120"/>
        </w:rPr>
        <w:t> </w:t>
      </w:r>
      <w:r>
        <w:rPr>
          <w:color w:val="231F20"/>
          <w:spacing w:val="-2"/>
          <w:w w:val="120"/>
        </w:rPr>
        <w:t>une </w:t>
      </w:r>
      <w:r>
        <w:rPr>
          <w:color w:val="231F20"/>
          <w:w w:val="120"/>
        </w:rPr>
        <w:t>source</w:t>
      </w:r>
      <w:r>
        <w:rPr>
          <w:color w:val="231F20"/>
          <w:spacing w:val="-14"/>
          <w:w w:val="120"/>
        </w:rPr>
        <w:t> </w:t>
      </w:r>
      <w:r>
        <w:rPr>
          <w:color w:val="231F20"/>
          <w:w w:val="120"/>
        </w:rPr>
        <w:t>de</w:t>
      </w:r>
      <w:r>
        <w:rPr>
          <w:color w:val="231F20"/>
          <w:spacing w:val="-13"/>
          <w:w w:val="120"/>
        </w:rPr>
        <w:t> </w:t>
      </w:r>
      <w:r>
        <w:rPr>
          <w:color w:val="231F20"/>
          <w:w w:val="120"/>
        </w:rPr>
        <w:t>problèmes,</w:t>
      </w:r>
      <w:r>
        <w:rPr>
          <w:color w:val="231F20"/>
          <w:spacing w:val="-13"/>
          <w:w w:val="120"/>
        </w:rPr>
        <w:t> </w:t>
      </w:r>
      <w:r>
        <w:rPr>
          <w:color w:val="231F20"/>
          <w:w w:val="120"/>
        </w:rPr>
        <w:t>de</w:t>
      </w:r>
      <w:r>
        <w:rPr>
          <w:color w:val="231F20"/>
          <w:spacing w:val="-13"/>
          <w:w w:val="120"/>
        </w:rPr>
        <w:t> </w:t>
      </w:r>
      <w:r>
        <w:rPr>
          <w:color w:val="231F20"/>
          <w:w w:val="120"/>
        </w:rPr>
        <w:t>restrictions</w:t>
      </w:r>
      <w:r>
        <w:rPr>
          <w:color w:val="231F20"/>
          <w:spacing w:val="-13"/>
          <w:w w:val="120"/>
        </w:rPr>
        <w:t> </w:t>
      </w:r>
      <w:r>
        <w:rPr>
          <w:color w:val="231F20"/>
          <w:w w:val="120"/>
        </w:rPr>
        <w:t>et</w:t>
      </w:r>
      <w:r>
        <w:rPr>
          <w:color w:val="231F20"/>
          <w:spacing w:val="-14"/>
          <w:w w:val="120"/>
        </w:rPr>
        <w:t> </w:t>
      </w:r>
      <w:r>
        <w:rPr>
          <w:color w:val="231F20"/>
          <w:w w:val="120"/>
        </w:rPr>
        <w:t>d’inconfort,</w:t>
      </w:r>
      <w:r>
        <w:rPr>
          <w:color w:val="231F20"/>
          <w:spacing w:val="-13"/>
          <w:w w:val="120"/>
        </w:rPr>
        <w:t> </w:t>
      </w:r>
      <w:r>
        <w:rPr>
          <w:color w:val="231F20"/>
          <w:w w:val="120"/>
        </w:rPr>
        <w:t>et</w:t>
      </w:r>
      <w:r>
        <w:rPr>
          <w:color w:val="231F20"/>
          <w:spacing w:val="-13"/>
          <w:w w:val="120"/>
        </w:rPr>
        <w:t> </w:t>
      </w:r>
      <w:r>
        <w:rPr>
          <w:color w:val="231F20"/>
          <w:w w:val="120"/>
        </w:rPr>
        <w:t>mettre</w:t>
      </w:r>
      <w:r>
        <w:rPr>
          <w:color w:val="231F20"/>
          <w:spacing w:val="-13"/>
          <w:w w:val="120"/>
        </w:rPr>
        <w:t> </w:t>
      </w:r>
      <w:r>
        <w:rPr>
          <w:color w:val="231F20"/>
          <w:w w:val="120"/>
        </w:rPr>
        <w:t>à</w:t>
      </w:r>
      <w:r>
        <w:rPr>
          <w:color w:val="231F20"/>
          <w:spacing w:val="-13"/>
          <w:w w:val="120"/>
        </w:rPr>
        <w:t> </w:t>
      </w:r>
      <w:r>
        <w:rPr>
          <w:color w:val="231F20"/>
          <w:spacing w:val="-2"/>
          <w:w w:val="120"/>
        </w:rPr>
        <w:t>l’épreuve</w:t>
      </w:r>
    </w:p>
    <w:p>
      <w:pPr>
        <w:spacing w:after="0" w:line="307" w:lineRule="auto"/>
        <w:jc w:val="both"/>
        <w:sectPr>
          <w:footerReference w:type="default" r:id="rId189"/>
          <w:pgSz w:w="8640" w:h="12960"/>
          <w:pgMar w:footer="424" w:header="0" w:top="500" w:bottom="620" w:left="420" w:right="1140"/>
        </w:sectPr>
      </w:pPr>
    </w:p>
    <w:p>
      <w:pPr>
        <w:spacing w:before="103"/>
        <w:ind w:left="1028" w:right="698" w:firstLine="0"/>
        <w:jc w:val="center"/>
        <w:rPr>
          <w:rFonts w:ascii="Arial" w:hAnsi="Arial"/>
          <w:sz w:val="14"/>
        </w:rPr>
      </w:pPr>
      <w:bookmarkStart w:name=" 3.2.2 / Principaux antécédents intrinsè" w:id="87"/>
      <w:bookmarkEnd w:id="87"/>
      <w:r>
        <w:rPr/>
      </w:r>
      <w:bookmarkStart w:name="_bookmark37" w:id="88"/>
      <w:bookmarkEnd w:id="88"/>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3"/>
        <w:jc w:val="both"/>
      </w:pPr>
      <w:r>
        <w:rPr>
          <w:color w:val="231F20"/>
          <w:w w:val="120"/>
        </w:rPr>
        <w:t>la capacité d’adaptation de la personne. Les attentes et les besoins de l’individu</w:t>
      </w:r>
      <w:r>
        <w:rPr>
          <w:color w:val="231F20"/>
          <w:spacing w:val="-10"/>
          <w:w w:val="120"/>
        </w:rPr>
        <w:t> </w:t>
      </w:r>
      <w:r>
        <w:rPr>
          <w:color w:val="231F20"/>
          <w:w w:val="120"/>
        </w:rPr>
        <w:t>quant</w:t>
      </w:r>
      <w:r>
        <w:rPr>
          <w:color w:val="231F20"/>
          <w:spacing w:val="-10"/>
          <w:w w:val="120"/>
        </w:rPr>
        <w:t> </w:t>
      </w:r>
      <w:r>
        <w:rPr>
          <w:color w:val="231F20"/>
          <w:w w:val="120"/>
        </w:rPr>
        <w:t>aux</w:t>
      </w:r>
      <w:r>
        <w:rPr>
          <w:color w:val="231F20"/>
          <w:spacing w:val="-10"/>
          <w:w w:val="120"/>
        </w:rPr>
        <w:t> </w:t>
      </w:r>
      <w:r>
        <w:rPr>
          <w:color w:val="231F20"/>
          <w:w w:val="120"/>
        </w:rPr>
        <w:t>caractéristiques</w:t>
      </w:r>
      <w:r>
        <w:rPr>
          <w:color w:val="231F20"/>
          <w:spacing w:val="-10"/>
          <w:w w:val="120"/>
        </w:rPr>
        <w:t> </w:t>
      </w:r>
      <w:r>
        <w:rPr>
          <w:color w:val="231F20"/>
          <w:w w:val="120"/>
        </w:rPr>
        <w:t>de</w:t>
      </w:r>
      <w:r>
        <w:rPr>
          <w:color w:val="231F20"/>
          <w:spacing w:val="-10"/>
          <w:w w:val="120"/>
        </w:rPr>
        <w:t> </w:t>
      </w:r>
      <w:r>
        <w:rPr>
          <w:color w:val="231F20"/>
          <w:w w:val="120"/>
        </w:rPr>
        <w:t>son</w:t>
      </w:r>
      <w:r>
        <w:rPr>
          <w:color w:val="231F20"/>
          <w:spacing w:val="-10"/>
          <w:w w:val="120"/>
        </w:rPr>
        <w:t> </w:t>
      </w:r>
      <w:r>
        <w:rPr>
          <w:color w:val="231F20"/>
          <w:w w:val="120"/>
        </w:rPr>
        <w:t>milieu</w:t>
      </w:r>
      <w:r>
        <w:rPr>
          <w:color w:val="231F20"/>
          <w:spacing w:val="-10"/>
          <w:w w:val="120"/>
        </w:rPr>
        <w:t> </w:t>
      </w:r>
      <w:r>
        <w:rPr>
          <w:color w:val="231F20"/>
          <w:w w:val="120"/>
        </w:rPr>
        <w:t>de</w:t>
      </w:r>
      <w:r>
        <w:rPr>
          <w:color w:val="231F20"/>
          <w:spacing w:val="-10"/>
          <w:w w:val="120"/>
        </w:rPr>
        <w:t> </w:t>
      </w:r>
      <w:r>
        <w:rPr>
          <w:color w:val="231F20"/>
          <w:w w:val="120"/>
        </w:rPr>
        <w:t>travail</w:t>
      </w:r>
      <w:r>
        <w:rPr>
          <w:color w:val="231F20"/>
          <w:spacing w:val="-10"/>
          <w:w w:val="120"/>
        </w:rPr>
        <w:t> </w:t>
      </w:r>
      <w:r>
        <w:rPr>
          <w:color w:val="231F20"/>
          <w:w w:val="120"/>
        </w:rPr>
        <w:t>(emplace- ment, taille, etc.) sont généralement semblables à ceux qui concernent l’endroit</w:t>
      </w:r>
      <w:r>
        <w:rPr>
          <w:color w:val="231F20"/>
          <w:spacing w:val="-13"/>
          <w:w w:val="120"/>
        </w:rPr>
        <w:t> </w:t>
      </w:r>
      <w:r>
        <w:rPr>
          <w:color w:val="231F20"/>
          <w:w w:val="120"/>
        </w:rPr>
        <w:t>où</w:t>
      </w:r>
      <w:r>
        <w:rPr>
          <w:color w:val="231F20"/>
          <w:spacing w:val="-13"/>
          <w:w w:val="120"/>
        </w:rPr>
        <w:t> </w:t>
      </w:r>
      <w:r>
        <w:rPr>
          <w:color w:val="231F20"/>
          <w:w w:val="120"/>
        </w:rPr>
        <w:t>il</w:t>
      </w:r>
      <w:r>
        <w:rPr>
          <w:color w:val="231F20"/>
          <w:spacing w:val="-13"/>
          <w:w w:val="120"/>
        </w:rPr>
        <w:t> </w:t>
      </w:r>
      <w:r>
        <w:rPr>
          <w:color w:val="231F20"/>
          <w:w w:val="120"/>
        </w:rPr>
        <w:t>vit.</w:t>
      </w:r>
      <w:r>
        <w:rPr>
          <w:color w:val="231F20"/>
          <w:spacing w:val="-12"/>
          <w:w w:val="120"/>
        </w:rPr>
        <w:t> </w:t>
      </w:r>
      <w:r>
        <w:rPr>
          <w:color w:val="231F20"/>
          <w:w w:val="120"/>
        </w:rPr>
        <w:t>Pour</w:t>
      </w:r>
      <w:r>
        <w:rPr>
          <w:color w:val="231F20"/>
          <w:spacing w:val="-13"/>
          <w:w w:val="120"/>
        </w:rPr>
        <w:t> </w:t>
      </w:r>
      <w:r>
        <w:rPr>
          <w:color w:val="231F20"/>
          <w:w w:val="120"/>
        </w:rPr>
        <w:t>ce</w:t>
      </w:r>
      <w:r>
        <w:rPr>
          <w:color w:val="231F20"/>
          <w:spacing w:val="-13"/>
          <w:w w:val="120"/>
        </w:rPr>
        <w:t> </w:t>
      </w:r>
      <w:r>
        <w:rPr>
          <w:color w:val="231F20"/>
          <w:w w:val="120"/>
        </w:rPr>
        <w:t>qui</w:t>
      </w:r>
      <w:r>
        <w:rPr>
          <w:color w:val="231F20"/>
          <w:spacing w:val="-13"/>
          <w:w w:val="120"/>
        </w:rPr>
        <w:t> </w:t>
      </w:r>
      <w:r>
        <w:rPr>
          <w:color w:val="231F20"/>
          <w:w w:val="120"/>
        </w:rPr>
        <w:t>est</w:t>
      </w:r>
      <w:r>
        <w:rPr>
          <w:color w:val="231F20"/>
          <w:spacing w:val="-12"/>
          <w:w w:val="120"/>
        </w:rPr>
        <w:t> </w:t>
      </w:r>
      <w:r>
        <w:rPr>
          <w:color w:val="231F20"/>
          <w:w w:val="120"/>
        </w:rPr>
        <w:t>du</w:t>
      </w:r>
      <w:r>
        <w:rPr>
          <w:color w:val="231F20"/>
          <w:spacing w:val="-13"/>
          <w:w w:val="120"/>
        </w:rPr>
        <w:t> </w:t>
      </w:r>
      <w:r>
        <w:rPr>
          <w:color w:val="231F20"/>
          <w:w w:val="120"/>
        </w:rPr>
        <w:t>travail,</w:t>
      </w:r>
      <w:r>
        <w:rPr>
          <w:color w:val="231F20"/>
          <w:spacing w:val="-13"/>
          <w:w w:val="120"/>
        </w:rPr>
        <w:t> </w:t>
      </w:r>
      <w:r>
        <w:rPr>
          <w:color w:val="231F20"/>
          <w:w w:val="120"/>
        </w:rPr>
        <w:t>il</w:t>
      </w:r>
      <w:r>
        <w:rPr>
          <w:color w:val="231F20"/>
          <w:spacing w:val="-13"/>
          <w:w w:val="120"/>
        </w:rPr>
        <w:t> </w:t>
      </w:r>
      <w:r>
        <w:rPr>
          <w:color w:val="231F20"/>
          <w:w w:val="120"/>
        </w:rPr>
        <w:t>n’est</w:t>
      </w:r>
      <w:r>
        <w:rPr>
          <w:color w:val="231F20"/>
          <w:spacing w:val="-12"/>
          <w:w w:val="120"/>
        </w:rPr>
        <w:t> </w:t>
      </w:r>
      <w:r>
        <w:rPr>
          <w:color w:val="231F20"/>
          <w:w w:val="120"/>
        </w:rPr>
        <w:t>souvent</w:t>
      </w:r>
      <w:r>
        <w:rPr>
          <w:color w:val="231F20"/>
          <w:spacing w:val="-13"/>
          <w:w w:val="120"/>
        </w:rPr>
        <w:t> </w:t>
      </w:r>
      <w:r>
        <w:rPr>
          <w:color w:val="231F20"/>
          <w:w w:val="120"/>
        </w:rPr>
        <w:t>pas</w:t>
      </w:r>
      <w:r>
        <w:rPr>
          <w:color w:val="231F20"/>
          <w:spacing w:val="-13"/>
          <w:w w:val="120"/>
        </w:rPr>
        <w:t> </w:t>
      </w:r>
      <w:r>
        <w:rPr>
          <w:color w:val="231F20"/>
          <w:w w:val="120"/>
        </w:rPr>
        <w:t>possible </w:t>
      </w:r>
      <w:r>
        <w:rPr>
          <w:color w:val="231F20"/>
          <w:spacing w:val="-2"/>
          <w:w w:val="120"/>
        </w:rPr>
        <w:t>de</w:t>
      </w:r>
      <w:r>
        <w:rPr>
          <w:color w:val="231F20"/>
          <w:spacing w:val="-9"/>
          <w:w w:val="120"/>
        </w:rPr>
        <w:t> </w:t>
      </w:r>
      <w:r>
        <w:rPr>
          <w:color w:val="231F20"/>
          <w:spacing w:val="-2"/>
          <w:w w:val="120"/>
        </w:rPr>
        <w:t>choisir</w:t>
      </w:r>
      <w:r>
        <w:rPr>
          <w:color w:val="231F20"/>
          <w:spacing w:val="-9"/>
          <w:w w:val="120"/>
        </w:rPr>
        <w:t> </w:t>
      </w:r>
      <w:r>
        <w:rPr>
          <w:color w:val="231F20"/>
          <w:spacing w:val="-2"/>
          <w:w w:val="120"/>
        </w:rPr>
        <w:t>une</w:t>
      </w:r>
      <w:r>
        <w:rPr>
          <w:color w:val="231F20"/>
          <w:spacing w:val="-9"/>
          <w:w w:val="120"/>
        </w:rPr>
        <w:t> </w:t>
      </w:r>
      <w:r>
        <w:rPr>
          <w:color w:val="231F20"/>
          <w:spacing w:val="-2"/>
          <w:w w:val="120"/>
        </w:rPr>
        <w:t>entreprise</w:t>
      </w:r>
      <w:r>
        <w:rPr>
          <w:color w:val="231F20"/>
          <w:spacing w:val="-9"/>
          <w:w w:val="120"/>
        </w:rPr>
        <w:t> </w:t>
      </w:r>
      <w:r>
        <w:rPr>
          <w:color w:val="231F20"/>
          <w:spacing w:val="-2"/>
          <w:w w:val="120"/>
        </w:rPr>
        <w:t>qui</w:t>
      </w:r>
      <w:r>
        <w:rPr>
          <w:color w:val="231F20"/>
          <w:spacing w:val="-9"/>
          <w:w w:val="120"/>
        </w:rPr>
        <w:t> </w:t>
      </w:r>
      <w:r>
        <w:rPr>
          <w:color w:val="231F20"/>
          <w:spacing w:val="-2"/>
          <w:w w:val="120"/>
        </w:rPr>
        <w:t>répond</w:t>
      </w:r>
      <w:r>
        <w:rPr>
          <w:color w:val="231F20"/>
          <w:spacing w:val="-9"/>
          <w:w w:val="120"/>
        </w:rPr>
        <w:t> </w:t>
      </w:r>
      <w:r>
        <w:rPr>
          <w:color w:val="231F20"/>
          <w:spacing w:val="-2"/>
          <w:w w:val="120"/>
        </w:rPr>
        <w:t>à</w:t>
      </w:r>
      <w:r>
        <w:rPr>
          <w:color w:val="231F20"/>
          <w:spacing w:val="-9"/>
          <w:w w:val="120"/>
        </w:rPr>
        <w:t> </w:t>
      </w:r>
      <w:r>
        <w:rPr>
          <w:color w:val="231F20"/>
          <w:spacing w:val="-2"/>
          <w:w w:val="120"/>
        </w:rPr>
        <w:t>l’ensemble</w:t>
      </w:r>
      <w:r>
        <w:rPr>
          <w:color w:val="231F20"/>
          <w:spacing w:val="-9"/>
          <w:w w:val="120"/>
        </w:rPr>
        <w:t> </w:t>
      </w:r>
      <w:r>
        <w:rPr>
          <w:color w:val="231F20"/>
          <w:spacing w:val="-2"/>
          <w:w w:val="120"/>
        </w:rPr>
        <w:t>de</w:t>
      </w:r>
      <w:r>
        <w:rPr>
          <w:color w:val="231F20"/>
          <w:spacing w:val="-9"/>
          <w:w w:val="120"/>
        </w:rPr>
        <w:t> </w:t>
      </w:r>
      <w:r>
        <w:rPr>
          <w:color w:val="231F20"/>
          <w:spacing w:val="-2"/>
          <w:w w:val="120"/>
        </w:rPr>
        <w:t>nos</w:t>
      </w:r>
      <w:r>
        <w:rPr>
          <w:color w:val="231F20"/>
          <w:spacing w:val="-9"/>
          <w:w w:val="120"/>
        </w:rPr>
        <w:t> </w:t>
      </w:r>
      <w:r>
        <w:rPr>
          <w:color w:val="231F20"/>
          <w:spacing w:val="-2"/>
          <w:w w:val="120"/>
        </w:rPr>
        <w:t>attentes</w:t>
      </w:r>
      <w:r>
        <w:rPr>
          <w:color w:val="231F20"/>
          <w:spacing w:val="-9"/>
          <w:w w:val="120"/>
        </w:rPr>
        <w:t> </w:t>
      </w:r>
      <w:r>
        <w:rPr>
          <w:color w:val="231F20"/>
          <w:spacing w:val="-2"/>
          <w:w w:val="120"/>
        </w:rPr>
        <w:t>person- nelles.</w:t>
      </w:r>
      <w:r>
        <w:rPr>
          <w:color w:val="231F20"/>
          <w:spacing w:val="-6"/>
          <w:w w:val="120"/>
        </w:rPr>
        <w:t> </w:t>
      </w:r>
      <w:r>
        <w:rPr>
          <w:color w:val="231F20"/>
          <w:spacing w:val="-2"/>
          <w:w w:val="120"/>
        </w:rPr>
        <w:t>Cependant,</w:t>
      </w:r>
      <w:r>
        <w:rPr>
          <w:color w:val="231F20"/>
          <w:spacing w:val="-6"/>
          <w:w w:val="120"/>
        </w:rPr>
        <w:t> </w:t>
      </w:r>
      <w:r>
        <w:rPr>
          <w:color w:val="231F20"/>
          <w:spacing w:val="-2"/>
          <w:w w:val="120"/>
        </w:rPr>
        <w:t>cette</w:t>
      </w:r>
      <w:r>
        <w:rPr>
          <w:color w:val="231F20"/>
          <w:spacing w:val="-6"/>
          <w:w w:val="120"/>
        </w:rPr>
        <w:t> </w:t>
      </w:r>
      <w:r>
        <w:rPr>
          <w:color w:val="231F20"/>
          <w:spacing w:val="-2"/>
          <w:w w:val="120"/>
        </w:rPr>
        <w:t>contrainte</w:t>
      </w:r>
      <w:r>
        <w:rPr>
          <w:color w:val="231F20"/>
          <w:spacing w:val="-6"/>
          <w:w w:val="120"/>
        </w:rPr>
        <w:t> </w:t>
      </w:r>
      <w:r>
        <w:rPr>
          <w:color w:val="231F20"/>
          <w:spacing w:val="-2"/>
          <w:w w:val="120"/>
        </w:rPr>
        <w:t>n’atténue</w:t>
      </w:r>
      <w:r>
        <w:rPr>
          <w:color w:val="231F20"/>
          <w:spacing w:val="-6"/>
          <w:w w:val="120"/>
        </w:rPr>
        <w:t> </w:t>
      </w:r>
      <w:r>
        <w:rPr>
          <w:color w:val="231F20"/>
          <w:spacing w:val="-2"/>
          <w:w w:val="120"/>
        </w:rPr>
        <w:t>en</w:t>
      </w:r>
      <w:r>
        <w:rPr>
          <w:color w:val="231F20"/>
          <w:spacing w:val="-6"/>
          <w:w w:val="120"/>
        </w:rPr>
        <w:t> </w:t>
      </w:r>
      <w:r>
        <w:rPr>
          <w:color w:val="231F20"/>
          <w:spacing w:val="-2"/>
          <w:w w:val="120"/>
        </w:rPr>
        <w:t>rien</w:t>
      </w:r>
      <w:r>
        <w:rPr>
          <w:color w:val="231F20"/>
          <w:spacing w:val="-6"/>
          <w:w w:val="120"/>
        </w:rPr>
        <w:t> </w:t>
      </w:r>
      <w:r>
        <w:rPr>
          <w:color w:val="231F20"/>
          <w:spacing w:val="-2"/>
          <w:w w:val="120"/>
        </w:rPr>
        <w:t>le</w:t>
      </w:r>
      <w:r>
        <w:rPr>
          <w:color w:val="231F20"/>
          <w:spacing w:val="-6"/>
          <w:w w:val="120"/>
        </w:rPr>
        <w:t> </w:t>
      </w:r>
      <w:r>
        <w:rPr>
          <w:color w:val="231F20"/>
          <w:spacing w:val="-2"/>
          <w:w w:val="120"/>
        </w:rPr>
        <w:t>besoin</w:t>
      </w:r>
      <w:r>
        <w:rPr>
          <w:color w:val="231F20"/>
          <w:spacing w:val="-6"/>
          <w:w w:val="120"/>
        </w:rPr>
        <w:t> </w:t>
      </w:r>
      <w:r>
        <w:rPr>
          <w:color w:val="231F20"/>
          <w:spacing w:val="-2"/>
          <w:w w:val="120"/>
        </w:rPr>
        <w:t>ou</w:t>
      </w:r>
      <w:r>
        <w:rPr>
          <w:color w:val="231F20"/>
          <w:spacing w:val="-6"/>
          <w:w w:val="120"/>
        </w:rPr>
        <w:t> </w:t>
      </w:r>
      <w:r>
        <w:rPr>
          <w:color w:val="231F20"/>
          <w:spacing w:val="-2"/>
          <w:w w:val="120"/>
        </w:rPr>
        <w:t>le</w:t>
      </w:r>
      <w:r>
        <w:rPr>
          <w:color w:val="231F20"/>
          <w:spacing w:val="-6"/>
          <w:w w:val="120"/>
        </w:rPr>
        <w:t> </w:t>
      </w:r>
      <w:r>
        <w:rPr>
          <w:color w:val="231F20"/>
          <w:spacing w:val="-2"/>
          <w:w w:val="120"/>
        </w:rPr>
        <w:t>désir </w:t>
      </w:r>
      <w:r>
        <w:rPr>
          <w:color w:val="231F20"/>
          <w:w w:val="120"/>
        </w:rPr>
        <w:t>que l’entreprise réponde à certains critères (cadre et milieu de travail agréables,</w:t>
      </w:r>
      <w:r>
        <w:rPr>
          <w:color w:val="231F20"/>
          <w:spacing w:val="-13"/>
          <w:w w:val="120"/>
        </w:rPr>
        <w:t> </w:t>
      </w:r>
      <w:r>
        <w:rPr>
          <w:color w:val="231F20"/>
          <w:w w:val="120"/>
        </w:rPr>
        <w:t>contexte</w:t>
      </w:r>
      <w:r>
        <w:rPr>
          <w:color w:val="231F20"/>
          <w:spacing w:val="-13"/>
          <w:w w:val="120"/>
        </w:rPr>
        <w:t> </w:t>
      </w:r>
      <w:r>
        <w:rPr>
          <w:color w:val="231F20"/>
          <w:w w:val="120"/>
        </w:rPr>
        <w:t>exempt</w:t>
      </w:r>
      <w:r>
        <w:rPr>
          <w:color w:val="231F20"/>
          <w:spacing w:val="-13"/>
          <w:w w:val="120"/>
        </w:rPr>
        <w:t> </w:t>
      </w:r>
      <w:r>
        <w:rPr>
          <w:color w:val="231F20"/>
          <w:w w:val="120"/>
        </w:rPr>
        <w:t>de</w:t>
      </w:r>
      <w:r>
        <w:rPr>
          <w:color w:val="231F20"/>
          <w:spacing w:val="-12"/>
          <w:w w:val="120"/>
        </w:rPr>
        <w:t> </w:t>
      </w:r>
      <w:r>
        <w:rPr>
          <w:color w:val="231F20"/>
          <w:w w:val="120"/>
        </w:rPr>
        <w:t>harcèlement</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violence,</w:t>
      </w:r>
      <w:r>
        <w:rPr>
          <w:color w:val="231F20"/>
          <w:spacing w:val="-12"/>
          <w:w w:val="120"/>
        </w:rPr>
        <w:t> </w:t>
      </w:r>
      <w:r>
        <w:rPr>
          <w:color w:val="231F20"/>
          <w:w w:val="120"/>
        </w:rPr>
        <w:t>proximité</w:t>
      </w:r>
      <w:r>
        <w:rPr>
          <w:color w:val="231F20"/>
          <w:spacing w:val="-13"/>
          <w:w w:val="120"/>
        </w:rPr>
        <w:t> </w:t>
      </w:r>
      <w:r>
        <w:rPr>
          <w:color w:val="231F20"/>
          <w:w w:val="120"/>
        </w:rPr>
        <w:t>du domicile, image sociale positive, etc.).</w:t>
      </w:r>
    </w:p>
    <w:p>
      <w:pPr>
        <w:pStyle w:val="BodyText"/>
        <w:spacing w:line="307" w:lineRule="auto" w:before="79"/>
        <w:ind w:left="830" w:right="492" w:firstLine="250"/>
        <w:jc w:val="both"/>
      </w:pPr>
      <w:r>
        <w:rPr>
          <w:color w:val="231F20"/>
          <w:spacing w:val="-2"/>
          <w:w w:val="120"/>
        </w:rPr>
        <w:t>L’absence</w:t>
      </w:r>
      <w:r>
        <w:rPr>
          <w:color w:val="231F20"/>
          <w:spacing w:val="-4"/>
          <w:w w:val="120"/>
        </w:rPr>
        <w:t> </w:t>
      </w:r>
      <w:r>
        <w:rPr>
          <w:color w:val="231F20"/>
          <w:spacing w:val="-2"/>
          <w:w w:val="120"/>
        </w:rPr>
        <w:t>de</w:t>
      </w:r>
      <w:r>
        <w:rPr>
          <w:color w:val="231F20"/>
          <w:spacing w:val="-4"/>
          <w:w w:val="120"/>
        </w:rPr>
        <w:t> </w:t>
      </w:r>
      <w:r>
        <w:rPr>
          <w:color w:val="231F20"/>
          <w:spacing w:val="-2"/>
          <w:w w:val="120"/>
        </w:rPr>
        <w:t>ces</w:t>
      </w:r>
      <w:r>
        <w:rPr>
          <w:color w:val="231F20"/>
          <w:spacing w:val="-4"/>
          <w:w w:val="120"/>
        </w:rPr>
        <w:t> </w:t>
      </w:r>
      <w:r>
        <w:rPr>
          <w:color w:val="231F20"/>
          <w:spacing w:val="-2"/>
          <w:w w:val="120"/>
        </w:rPr>
        <w:t>caractéristiques</w:t>
      </w:r>
      <w:r>
        <w:rPr>
          <w:color w:val="231F20"/>
          <w:spacing w:val="-4"/>
          <w:w w:val="120"/>
        </w:rPr>
        <w:t> </w:t>
      </w:r>
      <w:r>
        <w:rPr>
          <w:color w:val="231F20"/>
          <w:spacing w:val="-2"/>
          <w:w w:val="120"/>
        </w:rPr>
        <w:t>ajoute</w:t>
      </w:r>
      <w:r>
        <w:rPr>
          <w:color w:val="231F20"/>
          <w:spacing w:val="-4"/>
          <w:w w:val="120"/>
        </w:rPr>
        <w:t> </w:t>
      </w:r>
      <w:r>
        <w:rPr>
          <w:color w:val="231F20"/>
          <w:spacing w:val="-2"/>
          <w:w w:val="120"/>
        </w:rPr>
        <w:t>parfois</w:t>
      </w:r>
      <w:r>
        <w:rPr>
          <w:color w:val="231F20"/>
          <w:spacing w:val="-4"/>
          <w:w w:val="120"/>
        </w:rPr>
        <w:t> </w:t>
      </w:r>
      <w:r>
        <w:rPr>
          <w:color w:val="231F20"/>
          <w:spacing w:val="-2"/>
          <w:w w:val="120"/>
        </w:rPr>
        <w:t>à</w:t>
      </w:r>
      <w:r>
        <w:rPr>
          <w:color w:val="231F20"/>
          <w:spacing w:val="-4"/>
          <w:w w:val="120"/>
        </w:rPr>
        <w:t> </w:t>
      </w:r>
      <w:r>
        <w:rPr>
          <w:color w:val="231F20"/>
          <w:spacing w:val="-2"/>
          <w:w w:val="120"/>
        </w:rPr>
        <w:t>la</w:t>
      </w:r>
      <w:r>
        <w:rPr>
          <w:color w:val="231F20"/>
          <w:spacing w:val="-4"/>
          <w:w w:val="120"/>
        </w:rPr>
        <w:t> </w:t>
      </w:r>
      <w:r>
        <w:rPr>
          <w:color w:val="231F20"/>
          <w:spacing w:val="-2"/>
          <w:w w:val="120"/>
        </w:rPr>
        <w:t>pression</w:t>
      </w:r>
      <w:r>
        <w:rPr>
          <w:color w:val="231F20"/>
          <w:spacing w:val="-4"/>
          <w:w w:val="120"/>
        </w:rPr>
        <w:t> </w:t>
      </w:r>
      <w:r>
        <w:rPr>
          <w:color w:val="231F20"/>
          <w:spacing w:val="-2"/>
          <w:w w:val="120"/>
        </w:rPr>
        <w:t>exercée </w:t>
      </w:r>
      <w:r>
        <w:rPr>
          <w:color w:val="231F20"/>
          <w:w w:val="120"/>
        </w:rPr>
        <w:t>par</w:t>
      </w:r>
      <w:r>
        <w:rPr>
          <w:color w:val="231F20"/>
          <w:spacing w:val="-7"/>
          <w:w w:val="120"/>
        </w:rPr>
        <w:t> </w:t>
      </w:r>
      <w:r>
        <w:rPr>
          <w:color w:val="231F20"/>
          <w:w w:val="120"/>
        </w:rPr>
        <w:t>les</w:t>
      </w:r>
      <w:r>
        <w:rPr>
          <w:color w:val="231F20"/>
          <w:spacing w:val="-7"/>
          <w:w w:val="120"/>
        </w:rPr>
        <w:t> </w:t>
      </w:r>
      <w:r>
        <w:rPr>
          <w:color w:val="231F20"/>
          <w:w w:val="120"/>
        </w:rPr>
        <w:t>exigences</w:t>
      </w:r>
      <w:r>
        <w:rPr>
          <w:color w:val="231F20"/>
          <w:spacing w:val="-7"/>
          <w:w w:val="120"/>
        </w:rPr>
        <w:t> </w:t>
      </w:r>
      <w:r>
        <w:rPr>
          <w:color w:val="231F20"/>
          <w:w w:val="120"/>
        </w:rPr>
        <w:t>de</w:t>
      </w:r>
      <w:r>
        <w:rPr>
          <w:color w:val="231F20"/>
          <w:spacing w:val="-7"/>
          <w:w w:val="120"/>
        </w:rPr>
        <w:t> </w:t>
      </w:r>
      <w:r>
        <w:rPr>
          <w:color w:val="231F20"/>
          <w:w w:val="120"/>
        </w:rPr>
        <w:t>l’emploi,</w:t>
      </w:r>
      <w:r>
        <w:rPr>
          <w:color w:val="231F20"/>
          <w:spacing w:val="-7"/>
          <w:w w:val="120"/>
        </w:rPr>
        <w:t> </w:t>
      </w:r>
      <w:r>
        <w:rPr>
          <w:color w:val="231F20"/>
          <w:w w:val="120"/>
        </w:rPr>
        <w:t>aggravant</w:t>
      </w:r>
      <w:r>
        <w:rPr>
          <w:color w:val="231F20"/>
          <w:spacing w:val="-7"/>
          <w:w w:val="120"/>
        </w:rPr>
        <w:t> </w:t>
      </w:r>
      <w:r>
        <w:rPr>
          <w:color w:val="231F20"/>
          <w:w w:val="120"/>
        </w:rPr>
        <w:t>ainsi</w:t>
      </w:r>
      <w:r>
        <w:rPr>
          <w:color w:val="231F20"/>
          <w:spacing w:val="-7"/>
          <w:w w:val="120"/>
        </w:rPr>
        <w:t> </w:t>
      </w:r>
      <w:r>
        <w:rPr>
          <w:color w:val="231F20"/>
          <w:w w:val="120"/>
        </w:rPr>
        <w:t>les</w:t>
      </w:r>
      <w:r>
        <w:rPr>
          <w:color w:val="231F20"/>
          <w:spacing w:val="-7"/>
          <w:w w:val="120"/>
        </w:rPr>
        <w:t> </w:t>
      </w:r>
      <w:r>
        <w:rPr>
          <w:color w:val="231F20"/>
          <w:w w:val="120"/>
        </w:rPr>
        <w:t>problèmes</w:t>
      </w:r>
      <w:r>
        <w:rPr>
          <w:color w:val="231F20"/>
          <w:spacing w:val="-7"/>
          <w:w w:val="120"/>
        </w:rPr>
        <w:t> </w:t>
      </w:r>
      <w:r>
        <w:rPr>
          <w:color w:val="231F20"/>
          <w:w w:val="120"/>
        </w:rPr>
        <w:t>psychoso- </w:t>
      </w:r>
      <w:r>
        <w:rPr>
          <w:color w:val="231F20"/>
          <w:w w:val="115"/>
        </w:rPr>
        <w:t>ciaux</w:t>
      </w:r>
      <w:r>
        <w:rPr>
          <w:color w:val="231F20"/>
          <w:spacing w:val="-11"/>
          <w:w w:val="115"/>
        </w:rPr>
        <w:t> </w:t>
      </w:r>
      <w:r>
        <w:rPr>
          <w:color w:val="231F20"/>
          <w:w w:val="115"/>
        </w:rPr>
        <w:t>dont</w:t>
      </w:r>
      <w:r>
        <w:rPr>
          <w:color w:val="231F20"/>
          <w:spacing w:val="-11"/>
          <w:w w:val="115"/>
        </w:rPr>
        <w:t> </w:t>
      </w:r>
      <w:r>
        <w:rPr>
          <w:color w:val="231F20"/>
          <w:w w:val="115"/>
        </w:rPr>
        <w:t>l’individu</w:t>
      </w:r>
      <w:r>
        <w:rPr>
          <w:color w:val="231F20"/>
          <w:spacing w:val="-11"/>
          <w:w w:val="115"/>
        </w:rPr>
        <w:t> </w:t>
      </w:r>
      <w:r>
        <w:rPr>
          <w:color w:val="231F20"/>
          <w:w w:val="115"/>
        </w:rPr>
        <w:t>souffre</w:t>
      </w:r>
      <w:r>
        <w:rPr>
          <w:color w:val="231F20"/>
          <w:spacing w:val="-11"/>
          <w:w w:val="115"/>
        </w:rPr>
        <w:t> </w:t>
      </w:r>
      <w:r>
        <w:rPr>
          <w:color w:val="231F20"/>
          <w:w w:val="115"/>
        </w:rPr>
        <w:t>déjà.</w:t>
      </w:r>
      <w:r>
        <w:rPr>
          <w:color w:val="231F20"/>
          <w:spacing w:val="-11"/>
          <w:w w:val="115"/>
        </w:rPr>
        <w:t> </w:t>
      </w:r>
      <w:r>
        <w:rPr>
          <w:color w:val="231F20"/>
          <w:w w:val="115"/>
        </w:rPr>
        <w:t>Les</w:t>
      </w:r>
      <w:r>
        <w:rPr>
          <w:color w:val="231F20"/>
          <w:spacing w:val="-11"/>
          <w:w w:val="115"/>
        </w:rPr>
        <w:t> </w:t>
      </w:r>
      <w:r>
        <w:rPr>
          <w:color w:val="231F20"/>
          <w:w w:val="115"/>
        </w:rPr>
        <w:t>agents</w:t>
      </w:r>
      <w:r>
        <w:rPr>
          <w:color w:val="231F20"/>
          <w:spacing w:val="-11"/>
          <w:w w:val="115"/>
        </w:rPr>
        <w:t> </w:t>
      </w:r>
      <w:r>
        <w:rPr>
          <w:color w:val="231F20"/>
          <w:w w:val="115"/>
        </w:rPr>
        <w:t>stressants</w:t>
      </w:r>
      <w:r>
        <w:rPr>
          <w:color w:val="231F20"/>
          <w:spacing w:val="-11"/>
          <w:w w:val="115"/>
        </w:rPr>
        <w:t> </w:t>
      </w:r>
      <w:r>
        <w:rPr>
          <w:color w:val="231F20"/>
          <w:w w:val="115"/>
        </w:rPr>
        <w:t>ayant</w:t>
      </w:r>
      <w:r>
        <w:rPr>
          <w:color w:val="231F20"/>
          <w:spacing w:val="-11"/>
          <w:w w:val="115"/>
        </w:rPr>
        <w:t> </w:t>
      </w:r>
      <w:r>
        <w:rPr>
          <w:color w:val="231F20"/>
          <w:w w:val="115"/>
        </w:rPr>
        <w:t>pour</w:t>
      </w:r>
      <w:r>
        <w:rPr>
          <w:color w:val="231F20"/>
          <w:spacing w:val="-11"/>
          <w:w w:val="115"/>
        </w:rPr>
        <w:t> </w:t>
      </w:r>
      <w:r>
        <w:rPr>
          <w:color w:val="231F20"/>
          <w:w w:val="115"/>
        </w:rPr>
        <w:t>origine </w:t>
      </w:r>
      <w:r>
        <w:rPr>
          <w:color w:val="231F20"/>
          <w:w w:val="120"/>
        </w:rPr>
        <w:t>le milieu de travail peuvent affecter la vie professionnelle, mais aussi personnelle</w:t>
      </w:r>
      <w:r>
        <w:rPr>
          <w:color w:val="231F20"/>
          <w:spacing w:val="-13"/>
          <w:w w:val="120"/>
        </w:rPr>
        <w:t> </w:t>
      </w:r>
      <w:r>
        <w:rPr>
          <w:color w:val="231F20"/>
          <w:w w:val="120"/>
        </w:rPr>
        <w:t>de</w:t>
      </w:r>
      <w:r>
        <w:rPr>
          <w:color w:val="231F20"/>
          <w:spacing w:val="-13"/>
          <w:w w:val="120"/>
        </w:rPr>
        <w:t> </w:t>
      </w:r>
      <w:r>
        <w:rPr>
          <w:color w:val="231F20"/>
          <w:w w:val="120"/>
        </w:rPr>
        <w:t>l’individu.</w:t>
      </w:r>
      <w:r>
        <w:rPr>
          <w:color w:val="231F20"/>
          <w:spacing w:val="-13"/>
          <w:w w:val="120"/>
        </w:rPr>
        <w:t> </w:t>
      </w:r>
      <w:r>
        <w:rPr>
          <w:color w:val="231F20"/>
          <w:w w:val="120"/>
        </w:rPr>
        <w:t>La</w:t>
      </w:r>
      <w:r>
        <w:rPr>
          <w:color w:val="231F20"/>
          <w:spacing w:val="-12"/>
          <w:w w:val="120"/>
        </w:rPr>
        <w:t> </w:t>
      </w:r>
      <w:r>
        <w:rPr>
          <w:color w:val="231F20"/>
          <w:w w:val="120"/>
        </w:rPr>
        <w:t>situation</w:t>
      </w:r>
      <w:r>
        <w:rPr>
          <w:color w:val="231F20"/>
          <w:spacing w:val="-13"/>
          <w:w w:val="120"/>
        </w:rPr>
        <w:t> </w:t>
      </w:r>
      <w:r>
        <w:rPr>
          <w:color w:val="231F20"/>
          <w:w w:val="120"/>
        </w:rPr>
        <w:t>devient</w:t>
      </w:r>
      <w:r>
        <w:rPr>
          <w:color w:val="231F20"/>
          <w:spacing w:val="-13"/>
          <w:w w:val="120"/>
        </w:rPr>
        <w:t> </w:t>
      </w:r>
      <w:r>
        <w:rPr>
          <w:color w:val="231F20"/>
          <w:w w:val="120"/>
        </w:rPr>
        <w:t>un</w:t>
      </w:r>
      <w:r>
        <w:rPr>
          <w:color w:val="231F20"/>
          <w:spacing w:val="-13"/>
          <w:w w:val="120"/>
        </w:rPr>
        <w:t> </w:t>
      </w:r>
      <w:r>
        <w:rPr>
          <w:color w:val="231F20"/>
          <w:w w:val="120"/>
        </w:rPr>
        <w:t>cercle</w:t>
      </w:r>
      <w:r>
        <w:rPr>
          <w:color w:val="231F20"/>
          <w:spacing w:val="-12"/>
          <w:w w:val="120"/>
        </w:rPr>
        <w:t> </w:t>
      </w:r>
      <w:r>
        <w:rPr>
          <w:color w:val="231F20"/>
          <w:w w:val="120"/>
        </w:rPr>
        <w:t>vicieux</w:t>
      </w:r>
      <w:r>
        <w:rPr>
          <w:color w:val="231F20"/>
          <w:spacing w:val="-13"/>
          <w:w w:val="120"/>
        </w:rPr>
        <w:t> </w:t>
      </w:r>
      <w:r>
        <w:rPr>
          <w:color w:val="231F20"/>
          <w:w w:val="120"/>
        </w:rPr>
        <w:t>lorsque la situation professionnelle stressante cause des problèmes personnels </w:t>
      </w:r>
      <w:r>
        <w:rPr>
          <w:color w:val="231F20"/>
          <w:spacing w:val="-2"/>
          <w:w w:val="120"/>
        </w:rPr>
        <w:t>au</w:t>
      </w:r>
      <w:r>
        <w:rPr>
          <w:color w:val="231F20"/>
          <w:spacing w:val="-7"/>
          <w:w w:val="120"/>
        </w:rPr>
        <w:t> </w:t>
      </w:r>
      <w:r>
        <w:rPr>
          <w:color w:val="231F20"/>
          <w:spacing w:val="-2"/>
          <w:w w:val="120"/>
        </w:rPr>
        <w:t>travailleur</w:t>
      </w:r>
      <w:r>
        <w:rPr>
          <w:color w:val="231F20"/>
          <w:spacing w:val="-7"/>
          <w:w w:val="120"/>
        </w:rPr>
        <w:t> </w:t>
      </w:r>
      <w:r>
        <w:rPr>
          <w:color w:val="231F20"/>
          <w:spacing w:val="-2"/>
          <w:w w:val="120"/>
        </w:rPr>
        <w:t>et</w:t>
      </w:r>
      <w:r>
        <w:rPr>
          <w:color w:val="231F20"/>
          <w:spacing w:val="-7"/>
          <w:w w:val="120"/>
        </w:rPr>
        <w:t> </w:t>
      </w:r>
      <w:r>
        <w:rPr>
          <w:color w:val="231F20"/>
          <w:spacing w:val="-2"/>
          <w:w w:val="120"/>
        </w:rPr>
        <w:t>que</w:t>
      </w:r>
      <w:r>
        <w:rPr>
          <w:color w:val="231F20"/>
          <w:spacing w:val="-7"/>
          <w:w w:val="120"/>
        </w:rPr>
        <w:t> </w:t>
      </w:r>
      <w:r>
        <w:rPr>
          <w:color w:val="231F20"/>
          <w:spacing w:val="-2"/>
          <w:w w:val="120"/>
        </w:rPr>
        <w:t>ces</w:t>
      </w:r>
      <w:r>
        <w:rPr>
          <w:color w:val="231F20"/>
          <w:spacing w:val="-7"/>
          <w:w w:val="120"/>
        </w:rPr>
        <w:t> </w:t>
      </w:r>
      <w:r>
        <w:rPr>
          <w:color w:val="231F20"/>
          <w:spacing w:val="-2"/>
          <w:w w:val="120"/>
        </w:rPr>
        <w:t>problèmes</w:t>
      </w:r>
      <w:r>
        <w:rPr>
          <w:color w:val="231F20"/>
          <w:spacing w:val="-7"/>
          <w:w w:val="120"/>
        </w:rPr>
        <w:t> </w:t>
      </w:r>
      <w:r>
        <w:rPr>
          <w:color w:val="231F20"/>
          <w:spacing w:val="-2"/>
          <w:w w:val="120"/>
        </w:rPr>
        <w:t>personnels</w:t>
      </w:r>
      <w:r>
        <w:rPr>
          <w:color w:val="231F20"/>
          <w:spacing w:val="-7"/>
          <w:w w:val="120"/>
        </w:rPr>
        <w:t> </w:t>
      </w:r>
      <w:r>
        <w:rPr>
          <w:color w:val="231F20"/>
          <w:spacing w:val="-2"/>
          <w:w w:val="120"/>
        </w:rPr>
        <w:t>se</w:t>
      </w:r>
      <w:r>
        <w:rPr>
          <w:color w:val="231F20"/>
          <w:spacing w:val="-7"/>
          <w:w w:val="120"/>
        </w:rPr>
        <w:t> </w:t>
      </w:r>
      <w:r>
        <w:rPr>
          <w:color w:val="231F20"/>
          <w:spacing w:val="-2"/>
          <w:w w:val="120"/>
        </w:rPr>
        <w:t>répercutent</w:t>
      </w:r>
      <w:r>
        <w:rPr>
          <w:color w:val="231F20"/>
          <w:spacing w:val="-7"/>
          <w:w w:val="120"/>
        </w:rPr>
        <w:t> </w:t>
      </w:r>
      <w:r>
        <w:rPr>
          <w:color w:val="231F20"/>
          <w:spacing w:val="-2"/>
          <w:w w:val="120"/>
        </w:rPr>
        <w:t>sur</w:t>
      </w:r>
      <w:r>
        <w:rPr>
          <w:color w:val="231F20"/>
          <w:spacing w:val="-7"/>
          <w:w w:val="120"/>
        </w:rPr>
        <w:t> </w:t>
      </w:r>
      <w:r>
        <w:rPr>
          <w:color w:val="231F20"/>
          <w:spacing w:val="-2"/>
          <w:w w:val="120"/>
        </w:rPr>
        <w:t>son</w:t>
      </w:r>
      <w:r>
        <w:rPr>
          <w:color w:val="231F20"/>
          <w:spacing w:val="-7"/>
          <w:w w:val="120"/>
        </w:rPr>
        <w:t> </w:t>
      </w:r>
      <w:r>
        <w:rPr>
          <w:color w:val="231F20"/>
          <w:spacing w:val="-2"/>
          <w:w w:val="120"/>
        </w:rPr>
        <w:t>tra- </w:t>
      </w:r>
      <w:r>
        <w:rPr>
          <w:color w:val="231F20"/>
          <w:spacing w:val="-2"/>
          <w:w w:val="115"/>
        </w:rPr>
        <w:t>vail…</w:t>
      </w:r>
      <w:r>
        <w:rPr>
          <w:color w:val="231F20"/>
          <w:spacing w:val="-6"/>
          <w:w w:val="115"/>
        </w:rPr>
        <w:t> </w:t>
      </w:r>
      <w:r>
        <w:rPr>
          <w:color w:val="231F20"/>
          <w:spacing w:val="-2"/>
          <w:w w:val="115"/>
        </w:rPr>
        <w:t>c’est</w:t>
      </w:r>
      <w:r>
        <w:rPr>
          <w:color w:val="231F20"/>
          <w:spacing w:val="-6"/>
          <w:w w:val="115"/>
        </w:rPr>
        <w:t> </w:t>
      </w:r>
      <w:r>
        <w:rPr>
          <w:color w:val="231F20"/>
          <w:spacing w:val="-2"/>
          <w:w w:val="115"/>
        </w:rPr>
        <w:t>la</w:t>
      </w:r>
      <w:r>
        <w:rPr>
          <w:color w:val="231F20"/>
          <w:spacing w:val="-6"/>
          <w:w w:val="115"/>
        </w:rPr>
        <w:t> </w:t>
      </w:r>
      <w:r>
        <w:rPr>
          <w:color w:val="231F20"/>
          <w:spacing w:val="-2"/>
          <w:w w:val="115"/>
        </w:rPr>
        <w:t>spirale</w:t>
      </w:r>
      <w:r>
        <w:rPr>
          <w:color w:val="231F20"/>
          <w:spacing w:val="-6"/>
          <w:w w:val="115"/>
        </w:rPr>
        <w:t> </w:t>
      </w:r>
      <w:r>
        <w:rPr>
          <w:color w:val="231F20"/>
          <w:spacing w:val="-2"/>
          <w:w w:val="115"/>
        </w:rPr>
        <w:t>de</w:t>
      </w:r>
      <w:r>
        <w:rPr>
          <w:color w:val="231F20"/>
          <w:spacing w:val="-6"/>
          <w:w w:val="115"/>
        </w:rPr>
        <w:t> </w:t>
      </w:r>
      <w:r>
        <w:rPr>
          <w:color w:val="231F20"/>
          <w:spacing w:val="-2"/>
          <w:w w:val="115"/>
        </w:rPr>
        <w:t>l’effet</w:t>
      </w:r>
      <w:r>
        <w:rPr>
          <w:color w:val="231F20"/>
          <w:spacing w:val="-6"/>
          <w:w w:val="115"/>
        </w:rPr>
        <w:t> </w:t>
      </w:r>
      <w:r>
        <w:rPr>
          <w:color w:val="231F20"/>
          <w:spacing w:val="-2"/>
          <w:w w:val="115"/>
        </w:rPr>
        <w:t>d’entraînement</w:t>
      </w:r>
      <w:r>
        <w:rPr>
          <w:color w:val="231F20"/>
          <w:spacing w:val="-6"/>
          <w:w w:val="115"/>
        </w:rPr>
        <w:t> </w:t>
      </w:r>
      <w:r>
        <w:rPr>
          <w:color w:val="231F20"/>
          <w:spacing w:val="-2"/>
          <w:w w:val="115"/>
        </w:rPr>
        <w:t>entre</w:t>
      </w:r>
      <w:r>
        <w:rPr>
          <w:color w:val="231F20"/>
          <w:spacing w:val="-6"/>
          <w:w w:val="115"/>
        </w:rPr>
        <w:t> </w:t>
      </w:r>
      <w:r>
        <w:rPr>
          <w:color w:val="231F20"/>
          <w:spacing w:val="-2"/>
          <w:w w:val="115"/>
        </w:rPr>
        <w:t>les</w:t>
      </w:r>
      <w:r>
        <w:rPr>
          <w:color w:val="231F20"/>
          <w:spacing w:val="-6"/>
          <w:w w:val="115"/>
        </w:rPr>
        <w:t> </w:t>
      </w:r>
      <w:r>
        <w:rPr>
          <w:color w:val="231F20"/>
          <w:spacing w:val="-2"/>
          <w:w w:val="115"/>
        </w:rPr>
        <w:t>sphères</w:t>
      </w:r>
      <w:r>
        <w:rPr>
          <w:color w:val="231F20"/>
          <w:spacing w:val="-6"/>
          <w:w w:val="115"/>
        </w:rPr>
        <w:t> </w:t>
      </w:r>
      <w:r>
        <w:rPr>
          <w:color w:val="231F20"/>
          <w:spacing w:val="-2"/>
          <w:w w:val="115"/>
        </w:rPr>
        <w:t>d’activités. </w:t>
      </w:r>
      <w:r>
        <w:rPr>
          <w:color w:val="231F20"/>
          <w:w w:val="120"/>
        </w:rPr>
        <w:t>Nous passons beaucoup de temps à travailler, et une grande partie de notre</w:t>
      </w:r>
      <w:r>
        <w:rPr>
          <w:color w:val="231F20"/>
          <w:spacing w:val="-13"/>
          <w:w w:val="120"/>
        </w:rPr>
        <w:t> </w:t>
      </w:r>
      <w:r>
        <w:rPr>
          <w:color w:val="231F20"/>
          <w:w w:val="120"/>
        </w:rPr>
        <w:t>identité</w:t>
      </w:r>
      <w:r>
        <w:rPr>
          <w:color w:val="231F20"/>
          <w:spacing w:val="-13"/>
          <w:w w:val="120"/>
        </w:rPr>
        <w:t> </w:t>
      </w:r>
      <w:r>
        <w:rPr>
          <w:color w:val="231F20"/>
          <w:w w:val="120"/>
        </w:rPr>
        <w:t>sociale</w:t>
      </w:r>
      <w:r>
        <w:rPr>
          <w:color w:val="231F20"/>
          <w:spacing w:val="-13"/>
          <w:w w:val="120"/>
        </w:rPr>
        <w:t> </w:t>
      </w:r>
      <w:r>
        <w:rPr>
          <w:color w:val="231F20"/>
          <w:w w:val="120"/>
        </w:rPr>
        <w:t>découle</w:t>
      </w:r>
      <w:r>
        <w:rPr>
          <w:color w:val="231F20"/>
          <w:spacing w:val="-12"/>
          <w:w w:val="120"/>
        </w:rPr>
        <w:t> </w:t>
      </w:r>
      <w:r>
        <w:rPr>
          <w:color w:val="231F20"/>
          <w:w w:val="120"/>
        </w:rPr>
        <w:t>de</w:t>
      </w:r>
      <w:r>
        <w:rPr>
          <w:color w:val="231F20"/>
          <w:spacing w:val="-13"/>
          <w:w w:val="120"/>
        </w:rPr>
        <w:t> </w:t>
      </w:r>
      <w:r>
        <w:rPr>
          <w:color w:val="231F20"/>
          <w:w w:val="120"/>
        </w:rPr>
        <w:t>nos</w:t>
      </w:r>
      <w:r>
        <w:rPr>
          <w:color w:val="231F20"/>
          <w:spacing w:val="-13"/>
          <w:w w:val="120"/>
        </w:rPr>
        <w:t> </w:t>
      </w:r>
      <w:r>
        <w:rPr>
          <w:color w:val="231F20"/>
          <w:w w:val="120"/>
        </w:rPr>
        <w:t>activités</w:t>
      </w:r>
      <w:r>
        <w:rPr>
          <w:color w:val="231F20"/>
          <w:spacing w:val="-13"/>
          <w:w w:val="120"/>
        </w:rPr>
        <w:t> </w:t>
      </w:r>
      <w:r>
        <w:rPr>
          <w:color w:val="231F20"/>
          <w:w w:val="120"/>
        </w:rPr>
        <w:t>professionnelles.</w:t>
      </w:r>
      <w:r>
        <w:rPr>
          <w:color w:val="231F20"/>
          <w:spacing w:val="-12"/>
          <w:w w:val="120"/>
        </w:rPr>
        <w:t> </w:t>
      </w:r>
      <w:r>
        <w:rPr>
          <w:color w:val="231F20"/>
          <w:w w:val="120"/>
        </w:rPr>
        <w:t>C’est</w:t>
      </w:r>
      <w:r>
        <w:rPr>
          <w:color w:val="231F20"/>
          <w:spacing w:val="-13"/>
          <w:w w:val="120"/>
        </w:rPr>
        <w:t> </w:t>
      </w:r>
      <w:r>
        <w:rPr>
          <w:color w:val="231F20"/>
          <w:w w:val="120"/>
        </w:rPr>
        <w:t>ce </w:t>
      </w:r>
      <w:r>
        <w:rPr>
          <w:color w:val="231F20"/>
          <w:spacing w:val="-2"/>
          <w:w w:val="120"/>
        </w:rPr>
        <w:t>qui</w:t>
      </w:r>
      <w:r>
        <w:rPr>
          <w:color w:val="231F20"/>
          <w:spacing w:val="-10"/>
          <w:w w:val="120"/>
        </w:rPr>
        <w:t> </w:t>
      </w:r>
      <w:r>
        <w:rPr>
          <w:color w:val="231F20"/>
          <w:spacing w:val="-2"/>
          <w:w w:val="120"/>
        </w:rPr>
        <w:t>donne</w:t>
      </w:r>
      <w:r>
        <w:rPr>
          <w:color w:val="231F20"/>
          <w:spacing w:val="-10"/>
          <w:w w:val="120"/>
        </w:rPr>
        <w:t> </w:t>
      </w:r>
      <w:r>
        <w:rPr>
          <w:color w:val="231F20"/>
          <w:spacing w:val="-2"/>
          <w:w w:val="120"/>
        </w:rPr>
        <w:t>toute</w:t>
      </w:r>
      <w:r>
        <w:rPr>
          <w:color w:val="231F20"/>
          <w:spacing w:val="-10"/>
          <w:w w:val="120"/>
        </w:rPr>
        <w:t> </w:t>
      </w:r>
      <w:r>
        <w:rPr>
          <w:color w:val="231F20"/>
          <w:spacing w:val="-2"/>
          <w:w w:val="120"/>
        </w:rPr>
        <w:t>leur</w:t>
      </w:r>
      <w:r>
        <w:rPr>
          <w:color w:val="231F20"/>
          <w:spacing w:val="-10"/>
          <w:w w:val="120"/>
        </w:rPr>
        <w:t> </w:t>
      </w:r>
      <w:r>
        <w:rPr>
          <w:color w:val="231F20"/>
          <w:spacing w:val="-2"/>
          <w:w w:val="120"/>
        </w:rPr>
        <w:t>importance</w:t>
      </w:r>
      <w:r>
        <w:rPr>
          <w:color w:val="231F20"/>
          <w:spacing w:val="-10"/>
          <w:w w:val="120"/>
        </w:rPr>
        <w:t> </w:t>
      </w:r>
      <w:r>
        <w:rPr>
          <w:color w:val="231F20"/>
          <w:spacing w:val="-2"/>
          <w:w w:val="120"/>
        </w:rPr>
        <w:t>aux</w:t>
      </w:r>
      <w:r>
        <w:rPr>
          <w:color w:val="231F20"/>
          <w:spacing w:val="-10"/>
          <w:w w:val="120"/>
        </w:rPr>
        <w:t> </w:t>
      </w:r>
      <w:r>
        <w:rPr>
          <w:color w:val="231F20"/>
          <w:spacing w:val="-2"/>
          <w:w w:val="120"/>
        </w:rPr>
        <w:t>agents</w:t>
      </w:r>
      <w:r>
        <w:rPr>
          <w:color w:val="231F20"/>
          <w:spacing w:val="-10"/>
          <w:w w:val="120"/>
        </w:rPr>
        <w:t> </w:t>
      </w:r>
      <w:r>
        <w:rPr>
          <w:color w:val="231F20"/>
          <w:spacing w:val="-2"/>
          <w:w w:val="120"/>
        </w:rPr>
        <w:t>stressants</w:t>
      </w:r>
      <w:r>
        <w:rPr>
          <w:color w:val="231F20"/>
          <w:spacing w:val="-10"/>
          <w:w w:val="120"/>
        </w:rPr>
        <w:t> </w:t>
      </w:r>
      <w:r>
        <w:rPr>
          <w:color w:val="231F20"/>
          <w:spacing w:val="-2"/>
          <w:w w:val="120"/>
        </w:rPr>
        <w:t>associés</w:t>
      </w:r>
      <w:r>
        <w:rPr>
          <w:color w:val="231F20"/>
          <w:spacing w:val="-10"/>
          <w:w w:val="120"/>
        </w:rPr>
        <w:t> </w:t>
      </w:r>
      <w:r>
        <w:rPr>
          <w:color w:val="231F20"/>
          <w:spacing w:val="-2"/>
          <w:w w:val="120"/>
        </w:rPr>
        <w:t>au</w:t>
      </w:r>
      <w:r>
        <w:rPr>
          <w:color w:val="231F20"/>
          <w:spacing w:val="-10"/>
          <w:w w:val="120"/>
        </w:rPr>
        <w:t> </w:t>
      </w:r>
      <w:r>
        <w:rPr>
          <w:color w:val="231F20"/>
          <w:spacing w:val="-2"/>
          <w:w w:val="120"/>
        </w:rPr>
        <w:t>travail.</w:t>
      </w:r>
    </w:p>
    <w:p>
      <w:pPr>
        <w:pStyle w:val="BodyText"/>
        <w:spacing w:before="7"/>
        <w:rPr>
          <w:sz w:val="26"/>
        </w:rPr>
      </w:pPr>
    </w:p>
    <w:p>
      <w:pPr>
        <w:pStyle w:val="Heading4"/>
        <w:numPr>
          <w:ilvl w:val="2"/>
          <w:numId w:val="43"/>
        </w:numPr>
        <w:tabs>
          <w:tab w:pos="529" w:val="left" w:leader="none"/>
          <w:tab w:pos="829" w:val="left" w:leader="none"/>
        </w:tabs>
        <w:spacing w:line="240" w:lineRule="auto" w:before="1" w:after="0"/>
        <w:ind w:left="528" w:right="0" w:hanging="396"/>
        <w:jc w:val="left"/>
      </w:pPr>
      <w:r>
        <w:rPr>
          <w:b w:val="0"/>
          <w:i/>
          <w:color w:val="231F20"/>
          <w:spacing w:val="-10"/>
        </w:rPr>
        <w:t>/</w:t>
      </w:r>
      <w:r>
        <w:rPr>
          <w:b w:val="0"/>
          <w:i/>
          <w:color w:val="231F20"/>
        </w:rPr>
        <w:tab/>
      </w:r>
      <w:r>
        <w:rPr>
          <w:color w:val="231F20"/>
          <w:w w:val="90"/>
        </w:rPr>
        <w:t>Principaux</w:t>
      </w:r>
      <w:r>
        <w:rPr>
          <w:color w:val="231F20"/>
          <w:spacing w:val="25"/>
        </w:rPr>
        <w:t> </w:t>
      </w:r>
      <w:r>
        <w:rPr>
          <w:color w:val="231F20"/>
          <w:w w:val="90"/>
        </w:rPr>
        <w:t>antécédents</w:t>
      </w:r>
      <w:r>
        <w:rPr>
          <w:color w:val="231F20"/>
          <w:spacing w:val="26"/>
        </w:rPr>
        <w:t> </w:t>
      </w:r>
      <w:r>
        <w:rPr>
          <w:color w:val="231F20"/>
          <w:w w:val="90"/>
        </w:rPr>
        <w:t>intrinsèques</w:t>
      </w:r>
      <w:r>
        <w:rPr>
          <w:color w:val="231F20"/>
          <w:spacing w:val="25"/>
        </w:rPr>
        <w:t> </w:t>
      </w:r>
      <w:r>
        <w:rPr>
          <w:color w:val="231F20"/>
          <w:w w:val="90"/>
        </w:rPr>
        <w:t>du</w:t>
      </w:r>
      <w:r>
        <w:rPr>
          <w:color w:val="231F20"/>
          <w:spacing w:val="26"/>
        </w:rPr>
        <w:t> </w:t>
      </w:r>
      <w:r>
        <w:rPr>
          <w:color w:val="231F20"/>
          <w:spacing w:val="-2"/>
          <w:w w:val="90"/>
        </w:rPr>
        <w:t>stress</w:t>
      </w:r>
    </w:p>
    <w:p>
      <w:pPr>
        <w:pStyle w:val="BodyText"/>
        <w:spacing w:line="307" w:lineRule="auto" w:before="233"/>
        <w:ind w:left="830" w:right="495"/>
        <w:jc w:val="both"/>
      </w:pPr>
      <w:r>
        <w:rPr>
          <w:color w:val="231F20"/>
          <w:w w:val="120"/>
        </w:rPr>
        <w:t>De</w:t>
      </w:r>
      <w:r>
        <w:rPr>
          <w:color w:val="231F20"/>
          <w:spacing w:val="-3"/>
          <w:w w:val="120"/>
        </w:rPr>
        <w:t> </w:t>
      </w:r>
      <w:r>
        <w:rPr>
          <w:color w:val="231F20"/>
          <w:w w:val="120"/>
        </w:rPr>
        <w:t>nombreux</w:t>
      </w:r>
      <w:r>
        <w:rPr>
          <w:color w:val="231F20"/>
          <w:spacing w:val="-3"/>
          <w:w w:val="120"/>
        </w:rPr>
        <w:t> </w:t>
      </w:r>
      <w:r>
        <w:rPr>
          <w:color w:val="231F20"/>
          <w:w w:val="120"/>
        </w:rPr>
        <w:t>éléments</w:t>
      </w:r>
      <w:r>
        <w:rPr>
          <w:color w:val="231F20"/>
          <w:spacing w:val="-3"/>
          <w:w w:val="120"/>
        </w:rPr>
        <w:t> </w:t>
      </w:r>
      <w:r>
        <w:rPr>
          <w:color w:val="231F20"/>
          <w:w w:val="120"/>
        </w:rPr>
        <w:t>du</w:t>
      </w:r>
      <w:r>
        <w:rPr>
          <w:color w:val="231F20"/>
          <w:spacing w:val="-3"/>
          <w:w w:val="120"/>
        </w:rPr>
        <w:t> </w:t>
      </w:r>
      <w:r>
        <w:rPr>
          <w:color w:val="231F20"/>
          <w:w w:val="120"/>
        </w:rPr>
        <w:t>contenu</w:t>
      </w:r>
      <w:r>
        <w:rPr>
          <w:color w:val="231F20"/>
          <w:spacing w:val="-3"/>
          <w:w w:val="120"/>
        </w:rPr>
        <w:t> </w:t>
      </w:r>
      <w:r>
        <w:rPr>
          <w:color w:val="231F20"/>
          <w:w w:val="120"/>
        </w:rPr>
        <w:t>de</w:t>
      </w:r>
      <w:r>
        <w:rPr>
          <w:color w:val="231F20"/>
          <w:spacing w:val="-3"/>
          <w:w w:val="120"/>
        </w:rPr>
        <w:t> </w:t>
      </w:r>
      <w:r>
        <w:rPr>
          <w:color w:val="231F20"/>
          <w:w w:val="120"/>
        </w:rPr>
        <w:t>l’emploi</w:t>
      </w:r>
      <w:r>
        <w:rPr>
          <w:color w:val="231F20"/>
          <w:spacing w:val="-3"/>
          <w:w w:val="120"/>
        </w:rPr>
        <w:t> </w:t>
      </w:r>
      <w:r>
        <w:rPr>
          <w:color w:val="231F20"/>
          <w:w w:val="120"/>
        </w:rPr>
        <w:t>peuvent</w:t>
      </w:r>
      <w:r>
        <w:rPr>
          <w:color w:val="231F20"/>
          <w:spacing w:val="-3"/>
          <w:w w:val="120"/>
        </w:rPr>
        <w:t> </w:t>
      </w:r>
      <w:r>
        <w:rPr>
          <w:color w:val="231F20"/>
          <w:w w:val="120"/>
        </w:rPr>
        <w:t>être</w:t>
      </w:r>
      <w:r>
        <w:rPr>
          <w:color w:val="231F20"/>
          <w:spacing w:val="-3"/>
          <w:w w:val="120"/>
        </w:rPr>
        <w:t> </w:t>
      </w:r>
      <w:r>
        <w:rPr>
          <w:color w:val="231F20"/>
          <w:w w:val="120"/>
        </w:rPr>
        <w:t>associés</w:t>
      </w:r>
      <w:r>
        <w:rPr>
          <w:color w:val="231F20"/>
          <w:spacing w:val="-3"/>
          <w:w w:val="120"/>
        </w:rPr>
        <w:t> </w:t>
      </w:r>
      <w:r>
        <w:rPr>
          <w:color w:val="231F20"/>
          <w:w w:val="120"/>
        </w:rPr>
        <w:t>à des antécédents intrinsèques de stress. Néanmoins, certains sont plus prégnants que d’autres. En fonction du contexte actuel prévalant dans </w:t>
      </w:r>
      <w:r>
        <w:rPr>
          <w:color w:val="231F20"/>
          <w:spacing w:val="-2"/>
          <w:w w:val="120"/>
        </w:rPr>
        <w:t>les</w:t>
      </w:r>
      <w:r>
        <w:rPr>
          <w:color w:val="231F20"/>
          <w:spacing w:val="-7"/>
          <w:w w:val="120"/>
        </w:rPr>
        <w:t> </w:t>
      </w:r>
      <w:r>
        <w:rPr>
          <w:color w:val="231F20"/>
          <w:spacing w:val="-2"/>
          <w:w w:val="120"/>
        </w:rPr>
        <w:t>organisations,</w:t>
      </w:r>
      <w:r>
        <w:rPr>
          <w:color w:val="231F20"/>
          <w:spacing w:val="-7"/>
          <w:w w:val="120"/>
        </w:rPr>
        <w:t> </w:t>
      </w:r>
      <w:r>
        <w:rPr>
          <w:color w:val="231F20"/>
          <w:spacing w:val="-2"/>
          <w:w w:val="120"/>
        </w:rPr>
        <w:t>voici</w:t>
      </w:r>
      <w:r>
        <w:rPr>
          <w:color w:val="231F20"/>
          <w:spacing w:val="-7"/>
          <w:w w:val="120"/>
        </w:rPr>
        <w:t> </w:t>
      </w:r>
      <w:r>
        <w:rPr>
          <w:color w:val="231F20"/>
          <w:spacing w:val="-2"/>
          <w:w w:val="120"/>
        </w:rPr>
        <w:t>quelques</w:t>
      </w:r>
      <w:r>
        <w:rPr>
          <w:color w:val="231F20"/>
          <w:spacing w:val="-7"/>
          <w:w w:val="120"/>
        </w:rPr>
        <w:t> </w:t>
      </w:r>
      <w:r>
        <w:rPr>
          <w:color w:val="231F20"/>
          <w:spacing w:val="-2"/>
          <w:w w:val="120"/>
        </w:rPr>
        <w:t>sources</w:t>
      </w:r>
      <w:r>
        <w:rPr>
          <w:color w:val="231F20"/>
          <w:spacing w:val="-7"/>
          <w:w w:val="120"/>
        </w:rPr>
        <w:t> </w:t>
      </w:r>
      <w:r>
        <w:rPr>
          <w:color w:val="231F20"/>
          <w:spacing w:val="-2"/>
          <w:w w:val="120"/>
        </w:rPr>
        <w:t>intrinsèques</w:t>
      </w:r>
      <w:r>
        <w:rPr>
          <w:color w:val="231F20"/>
          <w:spacing w:val="-7"/>
          <w:w w:val="120"/>
        </w:rPr>
        <w:t> </w:t>
      </w:r>
      <w:r>
        <w:rPr>
          <w:color w:val="231F20"/>
          <w:spacing w:val="-2"/>
          <w:w w:val="120"/>
        </w:rPr>
        <w:t>auxquelles</w:t>
      </w:r>
      <w:r>
        <w:rPr>
          <w:color w:val="231F20"/>
          <w:spacing w:val="-7"/>
          <w:w w:val="120"/>
        </w:rPr>
        <w:t> </w:t>
      </w:r>
      <w:r>
        <w:rPr>
          <w:color w:val="231F20"/>
          <w:spacing w:val="-2"/>
          <w:w w:val="120"/>
        </w:rPr>
        <w:t>on</w:t>
      </w:r>
      <w:r>
        <w:rPr>
          <w:color w:val="231F20"/>
          <w:spacing w:val="-7"/>
          <w:w w:val="120"/>
        </w:rPr>
        <w:t> </w:t>
      </w:r>
      <w:r>
        <w:rPr>
          <w:color w:val="231F20"/>
          <w:spacing w:val="-2"/>
          <w:w w:val="120"/>
        </w:rPr>
        <w:t>doit </w:t>
      </w:r>
      <w:r>
        <w:rPr>
          <w:color w:val="231F20"/>
          <w:w w:val="120"/>
        </w:rPr>
        <w:t>particulièrement porter attention.</w:t>
      </w:r>
    </w:p>
    <w:p>
      <w:pPr>
        <w:pStyle w:val="BodyText"/>
        <w:spacing w:before="7"/>
        <w:rPr>
          <w:sz w:val="21"/>
        </w:rPr>
      </w:pPr>
    </w:p>
    <w:p>
      <w:pPr>
        <w:pStyle w:val="BodyText"/>
        <w:spacing w:line="307" w:lineRule="auto"/>
        <w:ind w:left="830" w:right="492"/>
        <w:jc w:val="both"/>
      </w:pPr>
      <w:r>
        <w:rPr>
          <w:i/>
          <w:color w:val="231F20"/>
          <w:spacing w:val="-2"/>
          <w:w w:val="115"/>
        </w:rPr>
        <w:t>Contrôle</w:t>
      </w:r>
      <w:r>
        <w:rPr>
          <w:i/>
          <w:color w:val="231F20"/>
          <w:spacing w:val="-6"/>
          <w:w w:val="115"/>
        </w:rPr>
        <w:t> </w:t>
      </w:r>
      <w:r>
        <w:rPr>
          <w:i/>
          <w:color w:val="231F20"/>
          <w:spacing w:val="-2"/>
          <w:w w:val="115"/>
        </w:rPr>
        <w:t>sur</w:t>
      </w:r>
      <w:r>
        <w:rPr>
          <w:i/>
          <w:color w:val="231F20"/>
          <w:spacing w:val="-6"/>
          <w:w w:val="115"/>
        </w:rPr>
        <w:t> </w:t>
      </w:r>
      <w:r>
        <w:rPr>
          <w:i/>
          <w:color w:val="231F20"/>
          <w:spacing w:val="-2"/>
          <w:w w:val="115"/>
        </w:rPr>
        <w:t>les</w:t>
      </w:r>
      <w:r>
        <w:rPr>
          <w:i/>
          <w:color w:val="231F20"/>
          <w:spacing w:val="-6"/>
          <w:w w:val="115"/>
        </w:rPr>
        <w:t> </w:t>
      </w:r>
      <w:r>
        <w:rPr>
          <w:i/>
          <w:color w:val="231F20"/>
          <w:spacing w:val="-2"/>
          <w:w w:val="115"/>
        </w:rPr>
        <w:t>tâches.</w:t>
      </w:r>
      <w:r>
        <w:rPr>
          <w:i/>
          <w:color w:val="231F20"/>
          <w:spacing w:val="-6"/>
          <w:w w:val="115"/>
        </w:rPr>
        <w:t> </w:t>
      </w:r>
      <w:r>
        <w:rPr>
          <w:color w:val="231F20"/>
          <w:spacing w:val="-2"/>
          <w:w w:val="115"/>
        </w:rPr>
        <w:t>La</w:t>
      </w:r>
      <w:r>
        <w:rPr>
          <w:color w:val="231F20"/>
          <w:spacing w:val="-6"/>
          <w:w w:val="115"/>
        </w:rPr>
        <w:t> </w:t>
      </w:r>
      <w:r>
        <w:rPr>
          <w:color w:val="231F20"/>
          <w:spacing w:val="-2"/>
          <w:w w:val="115"/>
        </w:rPr>
        <w:t>mesure</w:t>
      </w:r>
      <w:r>
        <w:rPr>
          <w:color w:val="231F20"/>
          <w:spacing w:val="-6"/>
          <w:w w:val="115"/>
        </w:rPr>
        <w:t> </w:t>
      </w:r>
      <w:r>
        <w:rPr>
          <w:color w:val="231F20"/>
          <w:spacing w:val="-2"/>
          <w:w w:val="115"/>
        </w:rPr>
        <w:t>dans</w:t>
      </w:r>
      <w:r>
        <w:rPr>
          <w:color w:val="231F20"/>
          <w:spacing w:val="-6"/>
          <w:w w:val="115"/>
        </w:rPr>
        <w:t> </w:t>
      </w:r>
      <w:r>
        <w:rPr>
          <w:color w:val="231F20"/>
          <w:spacing w:val="-2"/>
          <w:w w:val="115"/>
        </w:rPr>
        <w:t>laquelle</w:t>
      </w:r>
      <w:r>
        <w:rPr>
          <w:color w:val="231F20"/>
          <w:spacing w:val="-6"/>
          <w:w w:val="115"/>
        </w:rPr>
        <w:t> </w:t>
      </w:r>
      <w:r>
        <w:rPr>
          <w:color w:val="231F20"/>
          <w:spacing w:val="-2"/>
          <w:w w:val="115"/>
        </w:rPr>
        <w:t>le</w:t>
      </w:r>
      <w:r>
        <w:rPr>
          <w:color w:val="231F20"/>
          <w:spacing w:val="-6"/>
          <w:w w:val="115"/>
        </w:rPr>
        <w:t> </w:t>
      </w:r>
      <w:r>
        <w:rPr>
          <w:color w:val="231F20"/>
          <w:spacing w:val="-2"/>
          <w:w w:val="115"/>
        </w:rPr>
        <w:t>milieu</w:t>
      </w:r>
      <w:r>
        <w:rPr>
          <w:color w:val="231F20"/>
          <w:spacing w:val="-6"/>
          <w:w w:val="115"/>
        </w:rPr>
        <w:t> </w:t>
      </w:r>
      <w:r>
        <w:rPr>
          <w:color w:val="231F20"/>
          <w:spacing w:val="-2"/>
          <w:w w:val="115"/>
        </w:rPr>
        <w:t>de</w:t>
      </w:r>
      <w:r>
        <w:rPr>
          <w:color w:val="231F20"/>
          <w:spacing w:val="-6"/>
          <w:w w:val="115"/>
        </w:rPr>
        <w:t> </w:t>
      </w:r>
      <w:r>
        <w:rPr>
          <w:color w:val="231F20"/>
          <w:spacing w:val="-2"/>
          <w:w w:val="115"/>
        </w:rPr>
        <w:t>travail</w:t>
      </w:r>
      <w:r>
        <w:rPr>
          <w:color w:val="231F20"/>
          <w:spacing w:val="-6"/>
          <w:w w:val="115"/>
        </w:rPr>
        <w:t> </w:t>
      </w:r>
      <w:r>
        <w:rPr>
          <w:color w:val="231F20"/>
          <w:spacing w:val="-2"/>
          <w:w w:val="115"/>
        </w:rPr>
        <w:t>permet </w:t>
      </w:r>
      <w:r>
        <w:rPr>
          <w:color w:val="231F20"/>
          <w:w w:val="120"/>
        </w:rPr>
        <w:t>à</w:t>
      </w:r>
      <w:r>
        <w:rPr>
          <w:color w:val="231F20"/>
          <w:spacing w:val="-5"/>
          <w:w w:val="120"/>
        </w:rPr>
        <w:t> </w:t>
      </w:r>
      <w:r>
        <w:rPr>
          <w:color w:val="231F20"/>
          <w:w w:val="120"/>
        </w:rPr>
        <w:t>l’individu</w:t>
      </w:r>
      <w:r>
        <w:rPr>
          <w:color w:val="231F20"/>
          <w:spacing w:val="-5"/>
          <w:w w:val="120"/>
        </w:rPr>
        <w:t> </w:t>
      </w:r>
      <w:r>
        <w:rPr>
          <w:color w:val="231F20"/>
          <w:w w:val="120"/>
        </w:rPr>
        <w:t>d’exercer</w:t>
      </w:r>
      <w:r>
        <w:rPr>
          <w:color w:val="231F20"/>
          <w:spacing w:val="-5"/>
          <w:w w:val="120"/>
        </w:rPr>
        <w:t> </w:t>
      </w:r>
      <w:r>
        <w:rPr>
          <w:color w:val="231F20"/>
          <w:w w:val="120"/>
        </w:rPr>
        <w:t>un</w:t>
      </w:r>
      <w:r>
        <w:rPr>
          <w:color w:val="231F20"/>
          <w:spacing w:val="-5"/>
          <w:w w:val="120"/>
        </w:rPr>
        <w:t> </w:t>
      </w:r>
      <w:r>
        <w:rPr>
          <w:color w:val="231F20"/>
          <w:w w:val="120"/>
        </w:rPr>
        <w:t>contrôle</w:t>
      </w:r>
      <w:r>
        <w:rPr>
          <w:color w:val="231F20"/>
          <w:spacing w:val="-5"/>
          <w:w w:val="120"/>
        </w:rPr>
        <w:t> </w:t>
      </w:r>
      <w:r>
        <w:rPr>
          <w:color w:val="231F20"/>
          <w:w w:val="120"/>
        </w:rPr>
        <w:t>sur</w:t>
      </w:r>
      <w:r>
        <w:rPr>
          <w:color w:val="231F20"/>
          <w:spacing w:val="-5"/>
          <w:w w:val="120"/>
        </w:rPr>
        <w:t> </w:t>
      </w:r>
      <w:r>
        <w:rPr>
          <w:color w:val="231F20"/>
          <w:w w:val="120"/>
        </w:rPr>
        <w:t>ses</w:t>
      </w:r>
      <w:r>
        <w:rPr>
          <w:color w:val="231F20"/>
          <w:spacing w:val="-5"/>
          <w:w w:val="120"/>
        </w:rPr>
        <w:t> </w:t>
      </w:r>
      <w:r>
        <w:rPr>
          <w:color w:val="231F20"/>
          <w:w w:val="120"/>
        </w:rPr>
        <w:t>tâches</w:t>
      </w:r>
      <w:r>
        <w:rPr>
          <w:color w:val="231F20"/>
          <w:spacing w:val="-5"/>
          <w:w w:val="120"/>
        </w:rPr>
        <w:t> </w:t>
      </w:r>
      <w:r>
        <w:rPr>
          <w:color w:val="231F20"/>
          <w:w w:val="120"/>
        </w:rPr>
        <w:t>est</w:t>
      </w:r>
      <w:r>
        <w:rPr>
          <w:color w:val="231F20"/>
          <w:spacing w:val="-5"/>
          <w:w w:val="120"/>
        </w:rPr>
        <w:t> </w:t>
      </w:r>
      <w:r>
        <w:rPr>
          <w:color w:val="231F20"/>
          <w:w w:val="120"/>
        </w:rPr>
        <w:t>une</w:t>
      </w:r>
      <w:r>
        <w:rPr>
          <w:color w:val="231F20"/>
          <w:spacing w:val="-5"/>
          <w:w w:val="120"/>
        </w:rPr>
        <w:t> </w:t>
      </w:r>
      <w:r>
        <w:rPr>
          <w:color w:val="231F20"/>
          <w:w w:val="120"/>
        </w:rPr>
        <w:t>caractéristique qui</w:t>
      </w:r>
      <w:r>
        <w:rPr>
          <w:color w:val="231F20"/>
          <w:spacing w:val="-6"/>
          <w:w w:val="120"/>
        </w:rPr>
        <w:t> </w:t>
      </w:r>
      <w:r>
        <w:rPr>
          <w:color w:val="231F20"/>
          <w:w w:val="120"/>
        </w:rPr>
        <w:t>peut</w:t>
      </w:r>
      <w:r>
        <w:rPr>
          <w:color w:val="231F20"/>
          <w:spacing w:val="-6"/>
          <w:w w:val="120"/>
        </w:rPr>
        <w:t> </w:t>
      </w:r>
      <w:r>
        <w:rPr>
          <w:color w:val="231F20"/>
          <w:w w:val="120"/>
        </w:rPr>
        <w:t>être</w:t>
      </w:r>
      <w:r>
        <w:rPr>
          <w:color w:val="231F20"/>
          <w:spacing w:val="-6"/>
          <w:w w:val="120"/>
        </w:rPr>
        <w:t> </w:t>
      </w:r>
      <w:r>
        <w:rPr>
          <w:color w:val="231F20"/>
          <w:w w:val="120"/>
        </w:rPr>
        <w:t>une</w:t>
      </w:r>
      <w:r>
        <w:rPr>
          <w:color w:val="231F20"/>
          <w:spacing w:val="-6"/>
          <w:w w:val="120"/>
        </w:rPr>
        <w:t> </w:t>
      </w:r>
      <w:r>
        <w:rPr>
          <w:color w:val="231F20"/>
          <w:w w:val="120"/>
        </w:rPr>
        <w:t>source</w:t>
      </w:r>
      <w:r>
        <w:rPr>
          <w:color w:val="231F20"/>
          <w:spacing w:val="-6"/>
          <w:w w:val="120"/>
        </w:rPr>
        <w:t> </w:t>
      </w:r>
      <w:r>
        <w:rPr>
          <w:color w:val="231F20"/>
          <w:w w:val="120"/>
        </w:rPr>
        <w:t>de</w:t>
      </w:r>
      <w:r>
        <w:rPr>
          <w:color w:val="231F20"/>
          <w:spacing w:val="-6"/>
          <w:w w:val="120"/>
        </w:rPr>
        <w:t> </w:t>
      </w:r>
      <w:r>
        <w:rPr>
          <w:color w:val="231F20"/>
          <w:w w:val="120"/>
        </w:rPr>
        <w:t>stress</w:t>
      </w:r>
      <w:r>
        <w:rPr>
          <w:color w:val="231F20"/>
          <w:spacing w:val="-6"/>
          <w:w w:val="120"/>
        </w:rPr>
        <w:t> </w:t>
      </w:r>
      <w:r>
        <w:rPr>
          <w:color w:val="231F20"/>
          <w:w w:val="120"/>
        </w:rPr>
        <w:t>ou,</w:t>
      </w:r>
      <w:r>
        <w:rPr>
          <w:color w:val="231F20"/>
          <w:spacing w:val="-6"/>
          <w:w w:val="120"/>
        </w:rPr>
        <w:t> </w:t>
      </w:r>
      <w:r>
        <w:rPr>
          <w:color w:val="231F20"/>
          <w:w w:val="120"/>
        </w:rPr>
        <w:t>au</w:t>
      </w:r>
      <w:r>
        <w:rPr>
          <w:color w:val="231F20"/>
          <w:spacing w:val="-6"/>
          <w:w w:val="120"/>
        </w:rPr>
        <w:t> </w:t>
      </w:r>
      <w:r>
        <w:rPr>
          <w:color w:val="231F20"/>
          <w:w w:val="120"/>
        </w:rPr>
        <w:t>contraire,</w:t>
      </w:r>
      <w:r>
        <w:rPr>
          <w:color w:val="231F20"/>
          <w:spacing w:val="-6"/>
          <w:w w:val="120"/>
        </w:rPr>
        <w:t> </w:t>
      </w:r>
      <w:r>
        <w:rPr>
          <w:color w:val="231F20"/>
          <w:w w:val="120"/>
        </w:rPr>
        <w:t>de</w:t>
      </w:r>
      <w:r>
        <w:rPr>
          <w:color w:val="231F20"/>
          <w:spacing w:val="-6"/>
          <w:w w:val="120"/>
        </w:rPr>
        <w:t> </w:t>
      </w:r>
      <w:r>
        <w:rPr>
          <w:color w:val="231F20"/>
          <w:w w:val="120"/>
        </w:rPr>
        <w:t>bien-être</w:t>
      </w:r>
      <w:r>
        <w:rPr>
          <w:color w:val="231F20"/>
          <w:spacing w:val="-6"/>
          <w:w w:val="120"/>
        </w:rPr>
        <w:t> </w:t>
      </w:r>
      <w:r>
        <w:rPr>
          <w:color w:val="231F20"/>
          <w:w w:val="120"/>
        </w:rPr>
        <w:t>psycho- </w:t>
      </w:r>
      <w:r>
        <w:rPr>
          <w:color w:val="231F20"/>
          <w:spacing w:val="-2"/>
          <w:w w:val="120"/>
        </w:rPr>
        <w:t>logique.</w:t>
      </w:r>
      <w:r>
        <w:rPr>
          <w:color w:val="231F20"/>
          <w:spacing w:val="-8"/>
          <w:w w:val="120"/>
        </w:rPr>
        <w:t> </w:t>
      </w:r>
      <w:r>
        <w:rPr>
          <w:color w:val="231F20"/>
          <w:spacing w:val="-2"/>
          <w:w w:val="120"/>
        </w:rPr>
        <w:t>Elle</w:t>
      </w:r>
      <w:r>
        <w:rPr>
          <w:color w:val="231F20"/>
          <w:spacing w:val="-8"/>
          <w:w w:val="120"/>
        </w:rPr>
        <w:t> </w:t>
      </w:r>
      <w:r>
        <w:rPr>
          <w:color w:val="231F20"/>
          <w:spacing w:val="-2"/>
          <w:w w:val="120"/>
        </w:rPr>
        <w:t>s’apparente</w:t>
      </w:r>
      <w:r>
        <w:rPr>
          <w:color w:val="231F20"/>
          <w:spacing w:val="-8"/>
          <w:w w:val="120"/>
        </w:rPr>
        <w:t> </w:t>
      </w:r>
      <w:r>
        <w:rPr>
          <w:color w:val="231F20"/>
          <w:spacing w:val="-2"/>
          <w:w w:val="120"/>
        </w:rPr>
        <w:t>à</w:t>
      </w:r>
      <w:r>
        <w:rPr>
          <w:color w:val="231F20"/>
          <w:spacing w:val="-8"/>
          <w:w w:val="120"/>
        </w:rPr>
        <w:t> </w:t>
      </w:r>
      <w:r>
        <w:rPr>
          <w:color w:val="231F20"/>
          <w:spacing w:val="-2"/>
          <w:w w:val="120"/>
        </w:rPr>
        <w:t>des</w:t>
      </w:r>
      <w:r>
        <w:rPr>
          <w:color w:val="231F20"/>
          <w:spacing w:val="-8"/>
          <w:w w:val="120"/>
        </w:rPr>
        <w:t> </w:t>
      </w:r>
      <w:r>
        <w:rPr>
          <w:color w:val="231F20"/>
          <w:spacing w:val="-2"/>
          <w:w w:val="120"/>
        </w:rPr>
        <w:t>notions</w:t>
      </w:r>
      <w:r>
        <w:rPr>
          <w:color w:val="231F20"/>
          <w:spacing w:val="-8"/>
          <w:w w:val="120"/>
        </w:rPr>
        <w:t> </w:t>
      </w:r>
      <w:r>
        <w:rPr>
          <w:color w:val="231F20"/>
          <w:spacing w:val="-2"/>
          <w:w w:val="120"/>
        </w:rPr>
        <w:t>telles</w:t>
      </w:r>
      <w:r>
        <w:rPr>
          <w:color w:val="231F20"/>
          <w:spacing w:val="-8"/>
          <w:w w:val="120"/>
        </w:rPr>
        <w:t> </w:t>
      </w:r>
      <w:r>
        <w:rPr>
          <w:color w:val="231F20"/>
          <w:spacing w:val="-2"/>
          <w:w w:val="120"/>
        </w:rPr>
        <w:t>que</w:t>
      </w:r>
      <w:r>
        <w:rPr>
          <w:color w:val="231F20"/>
          <w:spacing w:val="-8"/>
          <w:w w:val="120"/>
        </w:rPr>
        <w:t> </w:t>
      </w:r>
      <w:r>
        <w:rPr>
          <w:color w:val="231F20"/>
          <w:spacing w:val="-2"/>
          <w:w w:val="120"/>
        </w:rPr>
        <w:t>l’autonomie,</w:t>
      </w:r>
      <w:r>
        <w:rPr>
          <w:color w:val="231F20"/>
          <w:spacing w:val="-8"/>
          <w:w w:val="120"/>
        </w:rPr>
        <w:t> </w:t>
      </w:r>
      <w:r>
        <w:rPr>
          <w:color w:val="231F20"/>
          <w:spacing w:val="-2"/>
          <w:w w:val="120"/>
        </w:rPr>
        <w:t>la</w:t>
      </w:r>
      <w:r>
        <w:rPr>
          <w:color w:val="231F20"/>
          <w:spacing w:val="-8"/>
          <w:w w:val="120"/>
        </w:rPr>
        <w:t> </w:t>
      </w:r>
      <w:r>
        <w:rPr>
          <w:color w:val="231F20"/>
          <w:spacing w:val="-2"/>
          <w:w w:val="120"/>
        </w:rPr>
        <w:t>latitude </w:t>
      </w:r>
      <w:r>
        <w:rPr>
          <w:color w:val="231F20"/>
          <w:spacing w:val="-2"/>
          <w:w w:val="115"/>
        </w:rPr>
        <w:t>décisionnelle,</w:t>
      </w:r>
      <w:r>
        <w:rPr>
          <w:color w:val="231F20"/>
          <w:spacing w:val="-10"/>
          <w:w w:val="115"/>
        </w:rPr>
        <w:t> </w:t>
      </w:r>
      <w:r>
        <w:rPr>
          <w:color w:val="231F20"/>
          <w:spacing w:val="-2"/>
          <w:w w:val="115"/>
        </w:rPr>
        <w:t>l’influence</w:t>
      </w:r>
      <w:r>
        <w:rPr>
          <w:color w:val="231F20"/>
          <w:spacing w:val="-10"/>
          <w:w w:val="115"/>
        </w:rPr>
        <w:t> </w:t>
      </w:r>
      <w:r>
        <w:rPr>
          <w:color w:val="231F20"/>
          <w:spacing w:val="-2"/>
          <w:w w:val="115"/>
        </w:rPr>
        <w:t>et</w:t>
      </w:r>
      <w:r>
        <w:rPr>
          <w:color w:val="231F20"/>
          <w:spacing w:val="-10"/>
          <w:w w:val="115"/>
        </w:rPr>
        <w:t> </w:t>
      </w:r>
      <w:r>
        <w:rPr>
          <w:color w:val="231F20"/>
          <w:spacing w:val="-2"/>
          <w:w w:val="115"/>
        </w:rPr>
        <w:t>le</w:t>
      </w:r>
      <w:r>
        <w:rPr>
          <w:color w:val="231F20"/>
          <w:spacing w:val="-10"/>
          <w:w w:val="115"/>
        </w:rPr>
        <w:t> </w:t>
      </w:r>
      <w:r>
        <w:rPr>
          <w:color w:val="231F20"/>
          <w:spacing w:val="-2"/>
          <w:w w:val="115"/>
        </w:rPr>
        <w:t>pouvoir.</w:t>
      </w:r>
      <w:r>
        <w:rPr>
          <w:color w:val="231F20"/>
          <w:spacing w:val="-10"/>
          <w:w w:val="115"/>
        </w:rPr>
        <w:t> </w:t>
      </w:r>
      <w:r>
        <w:rPr>
          <w:color w:val="231F20"/>
          <w:spacing w:val="-2"/>
          <w:w w:val="115"/>
        </w:rPr>
        <w:t>Pour</w:t>
      </w:r>
      <w:r>
        <w:rPr>
          <w:color w:val="231F20"/>
          <w:spacing w:val="-10"/>
          <w:w w:val="115"/>
        </w:rPr>
        <w:t> </w:t>
      </w:r>
      <w:r>
        <w:rPr>
          <w:color w:val="231F20"/>
          <w:spacing w:val="-2"/>
          <w:w w:val="115"/>
        </w:rPr>
        <w:t>commencer,</w:t>
      </w:r>
      <w:r>
        <w:rPr>
          <w:color w:val="231F20"/>
          <w:spacing w:val="-10"/>
          <w:w w:val="115"/>
        </w:rPr>
        <w:t> </w:t>
      </w:r>
      <w:r>
        <w:rPr>
          <w:color w:val="231F20"/>
          <w:spacing w:val="-2"/>
          <w:w w:val="115"/>
        </w:rPr>
        <w:t>il</w:t>
      </w:r>
      <w:r>
        <w:rPr>
          <w:color w:val="231F20"/>
          <w:spacing w:val="-10"/>
          <w:w w:val="115"/>
        </w:rPr>
        <w:t> </w:t>
      </w:r>
      <w:r>
        <w:rPr>
          <w:color w:val="231F20"/>
          <w:spacing w:val="-2"/>
          <w:w w:val="115"/>
        </w:rPr>
        <w:t>importe</w:t>
      </w:r>
      <w:r>
        <w:rPr>
          <w:color w:val="231F20"/>
          <w:spacing w:val="-10"/>
          <w:w w:val="115"/>
        </w:rPr>
        <w:t> </w:t>
      </w:r>
      <w:r>
        <w:rPr>
          <w:color w:val="231F20"/>
          <w:spacing w:val="-2"/>
          <w:w w:val="115"/>
        </w:rPr>
        <w:t>de</w:t>
      </w:r>
      <w:r>
        <w:rPr>
          <w:color w:val="231F20"/>
          <w:spacing w:val="-10"/>
          <w:w w:val="115"/>
        </w:rPr>
        <w:t> </w:t>
      </w:r>
      <w:r>
        <w:rPr>
          <w:color w:val="231F20"/>
          <w:spacing w:val="-2"/>
          <w:w w:val="115"/>
        </w:rPr>
        <w:t>faire </w:t>
      </w:r>
      <w:r>
        <w:rPr>
          <w:color w:val="231F20"/>
          <w:w w:val="120"/>
        </w:rPr>
        <w:t>la distinction entre le contrôle intrinsèque et extrinsèque. Le contrôle </w:t>
      </w:r>
      <w:r>
        <w:rPr>
          <w:color w:val="231F20"/>
          <w:spacing w:val="-2"/>
          <w:w w:val="120"/>
        </w:rPr>
        <w:t>intrinsèque</w:t>
      </w:r>
      <w:r>
        <w:rPr>
          <w:color w:val="231F20"/>
          <w:spacing w:val="-7"/>
          <w:w w:val="120"/>
        </w:rPr>
        <w:t> </w:t>
      </w:r>
      <w:r>
        <w:rPr>
          <w:color w:val="231F20"/>
          <w:spacing w:val="-2"/>
          <w:w w:val="120"/>
        </w:rPr>
        <w:t>a</w:t>
      </w:r>
      <w:r>
        <w:rPr>
          <w:color w:val="231F20"/>
          <w:spacing w:val="-7"/>
          <w:w w:val="120"/>
        </w:rPr>
        <w:t> </w:t>
      </w:r>
      <w:r>
        <w:rPr>
          <w:color w:val="231F20"/>
          <w:spacing w:val="-2"/>
          <w:w w:val="120"/>
        </w:rPr>
        <w:t>une</w:t>
      </w:r>
      <w:r>
        <w:rPr>
          <w:color w:val="231F20"/>
          <w:spacing w:val="-7"/>
          <w:w w:val="120"/>
        </w:rPr>
        <w:t> </w:t>
      </w:r>
      <w:r>
        <w:rPr>
          <w:color w:val="231F20"/>
          <w:spacing w:val="-2"/>
          <w:w w:val="120"/>
        </w:rPr>
        <w:t>relation</w:t>
      </w:r>
      <w:r>
        <w:rPr>
          <w:color w:val="231F20"/>
          <w:spacing w:val="-7"/>
          <w:w w:val="120"/>
        </w:rPr>
        <w:t> </w:t>
      </w:r>
      <w:r>
        <w:rPr>
          <w:color w:val="231F20"/>
          <w:spacing w:val="-2"/>
          <w:w w:val="120"/>
        </w:rPr>
        <w:t>évidente</w:t>
      </w:r>
      <w:r>
        <w:rPr>
          <w:color w:val="231F20"/>
          <w:spacing w:val="-7"/>
          <w:w w:val="120"/>
        </w:rPr>
        <w:t> </w:t>
      </w:r>
      <w:r>
        <w:rPr>
          <w:color w:val="231F20"/>
          <w:spacing w:val="-2"/>
          <w:w w:val="120"/>
        </w:rPr>
        <w:t>avec</w:t>
      </w:r>
      <w:r>
        <w:rPr>
          <w:color w:val="231F20"/>
          <w:spacing w:val="-7"/>
          <w:w w:val="120"/>
        </w:rPr>
        <w:t> </w:t>
      </w:r>
      <w:r>
        <w:rPr>
          <w:color w:val="231F20"/>
          <w:spacing w:val="-2"/>
          <w:w w:val="120"/>
        </w:rPr>
        <w:t>la</w:t>
      </w:r>
      <w:r>
        <w:rPr>
          <w:color w:val="231F20"/>
          <w:spacing w:val="-7"/>
          <w:w w:val="120"/>
        </w:rPr>
        <w:t> </w:t>
      </w:r>
      <w:r>
        <w:rPr>
          <w:color w:val="231F20"/>
          <w:spacing w:val="-2"/>
          <w:w w:val="120"/>
        </w:rPr>
        <w:t>satisfaction</w:t>
      </w:r>
      <w:r>
        <w:rPr>
          <w:color w:val="231F20"/>
          <w:spacing w:val="-7"/>
          <w:w w:val="120"/>
        </w:rPr>
        <w:t> </w:t>
      </w:r>
      <w:r>
        <w:rPr>
          <w:color w:val="231F20"/>
          <w:spacing w:val="-2"/>
          <w:w w:val="120"/>
        </w:rPr>
        <w:t>à</w:t>
      </w:r>
      <w:r>
        <w:rPr>
          <w:color w:val="231F20"/>
          <w:spacing w:val="-7"/>
          <w:w w:val="120"/>
        </w:rPr>
        <w:t> </w:t>
      </w:r>
      <w:r>
        <w:rPr>
          <w:color w:val="231F20"/>
          <w:spacing w:val="-2"/>
          <w:w w:val="120"/>
        </w:rPr>
        <w:t>l’égard</w:t>
      </w:r>
      <w:r>
        <w:rPr>
          <w:color w:val="231F20"/>
          <w:spacing w:val="-7"/>
          <w:w w:val="120"/>
        </w:rPr>
        <w:t> </w:t>
      </w:r>
      <w:r>
        <w:rPr>
          <w:color w:val="231F20"/>
          <w:spacing w:val="-2"/>
          <w:w w:val="120"/>
        </w:rPr>
        <w:t>de</w:t>
      </w:r>
      <w:r>
        <w:rPr>
          <w:color w:val="231F20"/>
          <w:spacing w:val="-7"/>
          <w:w w:val="120"/>
        </w:rPr>
        <w:t> </w:t>
      </w:r>
      <w:r>
        <w:rPr>
          <w:color w:val="231F20"/>
          <w:spacing w:val="-2"/>
          <w:w w:val="120"/>
        </w:rPr>
        <w:t>l’em- </w:t>
      </w:r>
      <w:r>
        <w:rPr>
          <w:color w:val="231F20"/>
          <w:w w:val="120"/>
        </w:rPr>
        <w:t>ploi</w:t>
      </w:r>
      <w:r>
        <w:rPr>
          <w:color w:val="231F20"/>
          <w:spacing w:val="-13"/>
          <w:w w:val="120"/>
        </w:rPr>
        <w:t> </w:t>
      </w:r>
      <w:r>
        <w:rPr>
          <w:color w:val="231F20"/>
          <w:w w:val="120"/>
        </w:rPr>
        <w:t>lorsqu’il</w:t>
      </w:r>
      <w:r>
        <w:rPr>
          <w:color w:val="231F20"/>
          <w:spacing w:val="-13"/>
          <w:w w:val="120"/>
        </w:rPr>
        <w:t> </w:t>
      </w:r>
      <w:r>
        <w:rPr>
          <w:color w:val="231F20"/>
          <w:w w:val="120"/>
        </w:rPr>
        <w:t>neutralise</w:t>
      </w:r>
      <w:r>
        <w:rPr>
          <w:color w:val="231F20"/>
          <w:spacing w:val="-13"/>
          <w:w w:val="120"/>
        </w:rPr>
        <w:t> </w:t>
      </w:r>
      <w:r>
        <w:rPr>
          <w:color w:val="231F20"/>
          <w:w w:val="120"/>
        </w:rPr>
        <w:t>d’autres</w:t>
      </w:r>
      <w:r>
        <w:rPr>
          <w:color w:val="231F20"/>
          <w:spacing w:val="-12"/>
          <w:w w:val="120"/>
        </w:rPr>
        <w:t> </w:t>
      </w:r>
      <w:r>
        <w:rPr>
          <w:color w:val="231F20"/>
          <w:w w:val="120"/>
        </w:rPr>
        <w:t>facteurs</w:t>
      </w:r>
      <w:r>
        <w:rPr>
          <w:color w:val="231F20"/>
          <w:spacing w:val="-13"/>
          <w:w w:val="120"/>
        </w:rPr>
        <w:t> </w:t>
      </w:r>
      <w:r>
        <w:rPr>
          <w:color w:val="231F20"/>
          <w:w w:val="120"/>
        </w:rPr>
        <w:t>(le</w:t>
      </w:r>
      <w:r>
        <w:rPr>
          <w:color w:val="231F20"/>
          <w:spacing w:val="-13"/>
          <w:w w:val="120"/>
        </w:rPr>
        <w:t> </w:t>
      </w:r>
      <w:r>
        <w:rPr>
          <w:color w:val="231F20"/>
          <w:w w:val="120"/>
        </w:rPr>
        <w:t>salaire,</w:t>
      </w:r>
      <w:r>
        <w:rPr>
          <w:color w:val="231F20"/>
          <w:spacing w:val="-13"/>
          <w:w w:val="120"/>
        </w:rPr>
        <w:t> </w:t>
      </w:r>
      <w:r>
        <w:rPr>
          <w:color w:val="231F20"/>
          <w:w w:val="120"/>
        </w:rPr>
        <w:t>la</w:t>
      </w:r>
      <w:r>
        <w:rPr>
          <w:color w:val="231F20"/>
          <w:spacing w:val="-12"/>
          <w:w w:val="120"/>
        </w:rPr>
        <w:t> </w:t>
      </w:r>
      <w:r>
        <w:rPr>
          <w:color w:val="231F20"/>
          <w:w w:val="120"/>
        </w:rPr>
        <w:t>sécurité,</w:t>
      </w:r>
      <w:r>
        <w:rPr>
          <w:color w:val="231F20"/>
          <w:spacing w:val="-13"/>
          <w:w w:val="120"/>
        </w:rPr>
        <w:t> </w:t>
      </w:r>
      <w:r>
        <w:rPr>
          <w:color w:val="231F20"/>
          <w:w w:val="120"/>
        </w:rPr>
        <w:t>etc.).</w:t>
      </w:r>
      <w:r>
        <w:rPr>
          <w:color w:val="231F20"/>
          <w:spacing w:val="-13"/>
          <w:w w:val="120"/>
        </w:rPr>
        <w:t> </w:t>
      </w:r>
      <w:r>
        <w:rPr>
          <w:color w:val="231F20"/>
          <w:w w:val="120"/>
        </w:rPr>
        <w:t>Le manque de contrôle intrinsèque peut avoir une série de conséquences négatives</w:t>
      </w:r>
      <w:r>
        <w:rPr>
          <w:color w:val="231F20"/>
          <w:spacing w:val="-12"/>
          <w:w w:val="120"/>
        </w:rPr>
        <w:t> </w:t>
      </w:r>
      <w:r>
        <w:rPr>
          <w:color w:val="231F20"/>
          <w:w w:val="120"/>
        </w:rPr>
        <w:t>sur</w:t>
      </w:r>
      <w:r>
        <w:rPr>
          <w:color w:val="231F20"/>
          <w:spacing w:val="-12"/>
          <w:w w:val="120"/>
        </w:rPr>
        <w:t> </w:t>
      </w:r>
      <w:r>
        <w:rPr>
          <w:color w:val="231F20"/>
          <w:w w:val="120"/>
        </w:rPr>
        <w:t>les</w:t>
      </w:r>
      <w:r>
        <w:rPr>
          <w:color w:val="231F20"/>
          <w:spacing w:val="-12"/>
          <w:w w:val="120"/>
        </w:rPr>
        <w:t> </w:t>
      </w:r>
      <w:r>
        <w:rPr>
          <w:color w:val="231F20"/>
          <w:w w:val="120"/>
        </w:rPr>
        <w:t>plans</w:t>
      </w:r>
      <w:r>
        <w:rPr>
          <w:color w:val="231F20"/>
          <w:spacing w:val="-12"/>
          <w:w w:val="120"/>
        </w:rPr>
        <w:t> </w:t>
      </w:r>
      <w:r>
        <w:rPr>
          <w:color w:val="231F20"/>
          <w:w w:val="120"/>
        </w:rPr>
        <w:t>psychologique</w:t>
      </w:r>
      <w:r>
        <w:rPr>
          <w:color w:val="231F20"/>
          <w:spacing w:val="-12"/>
          <w:w w:val="120"/>
        </w:rPr>
        <w:t> </w:t>
      </w:r>
      <w:r>
        <w:rPr>
          <w:color w:val="231F20"/>
          <w:w w:val="120"/>
        </w:rPr>
        <w:t>et</w:t>
      </w:r>
      <w:r>
        <w:rPr>
          <w:color w:val="231F20"/>
          <w:spacing w:val="-12"/>
          <w:w w:val="120"/>
        </w:rPr>
        <w:t> </w:t>
      </w:r>
      <w:r>
        <w:rPr>
          <w:color w:val="231F20"/>
          <w:w w:val="120"/>
        </w:rPr>
        <w:t>somatique</w:t>
      </w:r>
      <w:r>
        <w:rPr>
          <w:color w:val="231F20"/>
          <w:spacing w:val="-12"/>
          <w:w w:val="120"/>
        </w:rPr>
        <w:t> </w:t>
      </w:r>
      <w:r>
        <w:rPr>
          <w:color w:val="231F20"/>
          <w:w w:val="120"/>
        </w:rPr>
        <w:t>(insomnie,</w:t>
      </w:r>
      <w:r>
        <w:rPr>
          <w:color w:val="231F20"/>
          <w:spacing w:val="-12"/>
          <w:w w:val="120"/>
        </w:rPr>
        <w:t> </w:t>
      </w:r>
      <w:r>
        <w:rPr>
          <w:color w:val="231F20"/>
          <w:w w:val="120"/>
        </w:rPr>
        <w:t>maux</w:t>
      </w:r>
      <w:r>
        <w:rPr>
          <w:color w:val="231F20"/>
          <w:spacing w:val="-12"/>
          <w:w w:val="120"/>
        </w:rPr>
        <w:t> </w:t>
      </w:r>
      <w:r>
        <w:rPr>
          <w:color w:val="231F20"/>
          <w:w w:val="120"/>
        </w:rPr>
        <w:t>de tête,</w:t>
      </w:r>
      <w:r>
        <w:rPr>
          <w:color w:val="231F20"/>
          <w:spacing w:val="25"/>
          <w:w w:val="120"/>
        </w:rPr>
        <w:t> </w:t>
      </w:r>
      <w:r>
        <w:rPr>
          <w:color w:val="231F20"/>
          <w:w w:val="120"/>
        </w:rPr>
        <w:t>anxiété,</w:t>
      </w:r>
      <w:r>
        <w:rPr>
          <w:color w:val="231F20"/>
          <w:spacing w:val="25"/>
          <w:w w:val="120"/>
        </w:rPr>
        <w:t> </w:t>
      </w:r>
      <w:r>
        <w:rPr>
          <w:color w:val="231F20"/>
          <w:w w:val="120"/>
        </w:rPr>
        <w:t>épuisement,</w:t>
      </w:r>
      <w:r>
        <w:rPr>
          <w:color w:val="231F20"/>
          <w:spacing w:val="26"/>
          <w:w w:val="120"/>
        </w:rPr>
        <w:t> </w:t>
      </w:r>
      <w:r>
        <w:rPr>
          <w:color w:val="231F20"/>
          <w:w w:val="120"/>
        </w:rPr>
        <w:t>maladies</w:t>
      </w:r>
      <w:r>
        <w:rPr>
          <w:color w:val="231F20"/>
          <w:spacing w:val="25"/>
          <w:w w:val="120"/>
        </w:rPr>
        <w:t> </w:t>
      </w:r>
      <w:r>
        <w:rPr>
          <w:color w:val="231F20"/>
          <w:w w:val="120"/>
        </w:rPr>
        <w:t>coronariennes,</w:t>
      </w:r>
      <w:r>
        <w:rPr>
          <w:color w:val="231F20"/>
          <w:spacing w:val="26"/>
          <w:w w:val="120"/>
        </w:rPr>
        <w:t> </w:t>
      </w:r>
      <w:r>
        <w:rPr>
          <w:color w:val="231F20"/>
          <w:w w:val="120"/>
        </w:rPr>
        <w:t>etc.).</w:t>
      </w:r>
      <w:r>
        <w:rPr>
          <w:color w:val="231F20"/>
          <w:spacing w:val="25"/>
          <w:w w:val="120"/>
        </w:rPr>
        <w:t> </w:t>
      </w:r>
      <w:r>
        <w:rPr>
          <w:color w:val="231F20"/>
          <w:w w:val="120"/>
        </w:rPr>
        <w:t>Le</w:t>
      </w:r>
      <w:r>
        <w:rPr>
          <w:color w:val="231F20"/>
          <w:spacing w:val="25"/>
          <w:w w:val="120"/>
        </w:rPr>
        <w:t> </w:t>
      </w:r>
      <w:r>
        <w:rPr>
          <w:color w:val="231F20"/>
          <w:spacing w:val="-2"/>
          <w:w w:val="120"/>
        </w:rPr>
        <w:t>contrôle</w:t>
      </w:r>
    </w:p>
    <w:p>
      <w:pPr>
        <w:spacing w:after="0" w:line="307" w:lineRule="auto"/>
        <w:jc w:val="both"/>
        <w:sectPr>
          <w:footerReference w:type="default" r:id="rId190"/>
          <w:pgSz w:w="8640" w:h="12960"/>
          <w:pgMar w:footer="424" w:header="0" w:top="520" w:bottom="62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7"/>
        <w:jc w:val="both"/>
      </w:pPr>
      <w:r>
        <w:rPr>
          <w:color w:val="231F20"/>
          <w:spacing w:val="-2"/>
          <w:w w:val="120"/>
        </w:rPr>
        <w:t>excessif</w:t>
      </w:r>
      <w:r>
        <w:rPr>
          <w:color w:val="231F20"/>
          <w:spacing w:val="-4"/>
          <w:w w:val="120"/>
        </w:rPr>
        <w:t> </w:t>
      </w:r>
      <w:r>
        <w:rPr>
          <w:color w:val="231F20"/>
          <w:spacing w:val="-2"/>
          <w:w w:val="120"/>
        </w:rPr>
        <w:t>a</w:t>
      </w:r>
      <w:r>
        <w:rPr>
          <w:color w:val="231F20"/>
          <w:spacing w:val="-4"/>
          <w:w w:val="120"/>
        </w:rPr>
        <w:t> </w:t>
      </w:r>
      <w:r>
        <w:rPr>
          <w:color w:val="231F20"/>
          <w:spacing w:val="-2"/>
          <w:w w:val="120"/>
        </w:rPr>
        <w:t>lui</w:t>
      </w:r>
      <w:r>
        <w:rPr>
          <w:color w:val="231F20"/>
          <w:spacing w:val="-4"/>
          <w:w w:val="120"/>
        </w:rPr>
        <w:t> </w:t>
      </w:r>
      <w:r>
        <w:rPr>
          <w:color w:val="231F20"/>
          <w:spacing w:val="-2"/>
          <w:w w:val="120"/>
        </w:rPr>
        <w:t>aussi</w:t>
      </w:r>
      <w:r>
        <w:rPr>
          <w:color w:val="231F20"/>
          <w:spacing w:val="-4"/>
          <w:w w:val="120"/>
        </w:rPr>
        <w:t> </w:t>
      </w:r>
      <w:r>
        <w:rPr>
          <w:color w:val="231F20"/>
          <w:spacing w:val="-2"/>
          <w:w w:val="120"/>
        </w:rPr>
        <w:t>des</w:t>
      </w:r>
      <w:r>
        <w:rPr>
          <w:color w:val="231F20"/>
          <w:spacing w:val="-4"/>
          <w:w w:val="120"/>
        </w:rPr>
        <w:t> </w:t>
      </w:r>
      <w:r>
        <w:rPr>
          <w:color w:val="231F20"/>
          <w:spacing w:val="-2"/>
          <w:w w:val="120"/>
        </w:rPr>
        <w:t>conséquences</w:t>
      </w:r>
      <w:r>
        <w:rPr>
          <w:color w:val="231F20"/>
          <w:spacing w:val="-4"/>
          <w:w w:val="120"/>
        </w:rPr>
        <w:t> </w:t>
      </w:r>
      <w:r>
        <w:rPr>
          <w:color w:val="231F20"/>
          <w:spacing w:val="-2"/>
          <w:w w:val="120"/>
        </w:rPr>
        <w:t>négatives.</w:t>
      </w:r>
      <w:r>
        <w:rPr>
          <w:color w:val="231F20"/>
          <w:spacing w:val="-4"/>
          <w:w w:val="120"/>
        </w:rPr>
        <w:t> </w:t>
      </w:r>
      <w:r>
        <w:rPr>
          <w:color w:val="231F20"/>
          <w:spacing w:val="-2"/>
          <w:w w:val="120"/>
        </w:rPr>
        <w:t>Le</w:t>
      </w:r>
      <w:r>
        <w:rPr>
          <w:color w:val="231F20"/>
          <w:spacing w:val="-4"/>
          <w:w w:val="120"/>
        </w:rPr>
        <w:t> </w:t>
      </w:r>
      <w:r>
        <w:rPr>
          <w:color w:val="231F20"/>
          <w:spacing w:val="-2"/>
          <w:w w:val="120"/>
        </w:rPr>
        <w:t>contrôle</w:t>
      </w:r>
      <w:r>
        <w:rPr>
          <w:color w:val="231F20"/>
          <w:spacing w:val="-4"/>
          <w:w w:val="120"/>
        </w:rPr>
        <w:t> </w:t>
      </w:r>
      <w:r>
        <w:rPr>
          <w:color w:val="231F20"/>
          <w:spacing w:val="-2"/>
          <w:w w:val="120"/>
        </w:rPr>
        <w:t>extrinsèque </w:t>
      </w:r>
      <w:r>
        <w:rPr>
          <w:color w:val="231F20"/>
          <w:w w:val="120"/>
        </w:rPr>
        <w:t>semble</w:t>
      </w:r>
      <w:r>
        <w:rPr>
          <w:color w:val="231F20"/>
          <w:spacing w:val="-12"/>
          <w:w w:val="120"/>
        </w:rPr>
        <w:t> </w:t>
      </w:r>
      <w:r>
        <w:rPr>
          <w:color w:val="231F20"/>
          <w:w w:val="120"/>
        </w:rPr>
        <w:t>avoir</w:t>
      </w:r>
      <w:r>
        <w:rPr>
          <w:color w:val="231F20"/>
          <w:spacing w:val="-12"/>
          <w:w w:val="120"/>
        </w:rPr>
        <w:t> </w:t>
      </w:r>
      <w:r>
        <w:rPr>
          <w:color w:val="231F20"/>
          <w:w w:val="120"/>
        </w:rPr>
        <w:t>beaucoup</w:t>
      </w:r>
      <w:r>
        <w:rPr>
          <w:color w:val="231F20"/>
          <w:spacing w:val="-12"/>
          <w:w w:val="120"/>
        </w:rPr>
        <w:t> </w:t>
      </w:r>
      <w:r>
        <w:rPr>
          <w:color w:val="231F20"/>
          <w:w w:val="120"/>
        </w:rPr>
        <w:t>moins</w:t>
      </w:r>
      <w:r>
        <w:rPr>
          <w:color w:val="231F20"/>
          <w:spacing w:val="-12"/>
          <w:w w:val="120"/>
        </w:rPr>
        <w:t> </w:t>
      </w:r>
      <w:r>
        <w:rPr>
          <w:color w:val="231F20"/>
          <w:w w:val="120"/>
        </w:rPr>
        <w:t>de</w:t>
      </w:r>
      <w:r>
        <w:rPr>
          <w:color w:val="231F20"/>
          <w:spacing w:val="-12"/>
          <w:w w:val="120"/>
        </w:rPr>
        <w:t> </w:t>
      </w:r>
      <w:r>
        <w:rPr>
          <w:color w:val="231F20"/>
          <w:w w:val="120"/>
        </w:rPr>
        <w:t>prise</w:t>
      </w:r>
      <w:r>
        <w:rPr>
          <w:color w:val="231F20"/>
          <w:spacing w:val="-12"/>
          <w:w w:val="120"/>
        </w:rPr>
        <w:t> </w:t>
      </w:r>
      <w:r>
        <w:rPr>
          <w:color w:val="231F20"/>
          <w:w w:val="120"/>
        </w:rPr>
        <w:t>sur</w:t>
      </w:r>
      <w:r>
        <w:rPr>
          <w:color w:val="231F20"/>
          <w:spacing w:val="-12"/>
          <w:w w:val="120"/>
        </w:rPr>
        <w:t> </w:t>
      </w:r>
      <w:r>
        <w:rPr>
          <w:color w:val="231F20"/>
          <w:w w:val="120"/>
        </w:rPr>
        <w:t>la</w:t>
      </w:r>
      <w:r>
        <w:rPr>
          <w:color w:val="231F20"/>
          <w:spacing w:val="-12"/>
          <w:w w:val="120"/>
        </w:rPr>
        <w:t> </w:t>
      </w:r>
      <w:r>
        <w:rPr>
          <w:color w:val="231F20"/>
          <w:w w:val="120"/>
        </w:rPr>
        <w:t>santé</w:t>
      </w:r>
      <w:r>
        <w:rPr>
          <w:color w:val="231F20"/>
          <w:spacing w:val="-12"/>
          <w:w w:val="120"/>
        </w:rPr>
        <w:t> </w:t>
      </w:r>
      <w:r>
        <w:rPr>
          <w:color w:val="231F20"/>
          <w:w w:val="120"/>
        </w:rPr>
        <w:t>psychologique</w:t>
      </w:r>
      <w:r>
        <w:rPr>
          <w:color w:val="231F20"/>
          <w:spacing w:val="-12"/>
          <w:w w:val="120"/>
        </w:rPr>
        <w:t> </w:t>
      </w:r>
      <w:r>
        <w:rPr>
          <w:color w:val="231F20"/>
          <w:w w:val="120"/>
        </w:rPr>
        <w:t>parce qu’il est souvent dévolu aux représentants de l’entreprise.</w:t>
      </w:r>
    </w:p>
    <w:p>
      <w:pPr>
        <w:pStyle w:val="BodyText"/>
        <w:spacing w:line="307" w:lineRule="auto" w:before="210"/>
        <w:ind w:left="1220" w:right="105"/>
        <w:jc w:val="both"/>
      </w:pPr>
      <w:r>
        <w:rPr>
          <w:i/>
          <w:color w:val="231F20"/>
          <w:w w:val="110"/>
        </w:rPr>
        <w:t>Possibilité de mettre à</w:t>
      </w:r>
      <w:r>
        <w:rPr>
          <w:i/>
          <w:color w:val="231F20"/>
          <w:spacing w:val="-1"/>
          <w:w w:val="110"/>
        </w:rPr>
        <w:t> </w:t>
      </w:r>
      <w:r>
        <w:rPr>
          <w:i/>
          <w:color w:val="231F20"/>
          <w:w w:val="110"/>
        </w:rPr>
        <w:t>profit ses</w:t>
      </w:r>
      <w:r>
        <w:rPr>
          <w:i/>
          <w:color w:val="231F20"/>
          <w:spacing w:val="-1"/>
          <w:w w:val="110"/>
        </w:rPr>
        <w:t> </w:t>
      </w:r>
      <w:r>
        <w:rPr>
          <w:i/>
          <w:color w:val="231F20"/>
          <w:w w:val="110"/>
        </w:rPr>
        <w:t>compétences. </w:t>
      </w:r>
      <w:r>
        <w:rPr>
          <w:color w:val="231F20"/>
          <w:w w:val="110"/>
        </w:rPr>
        <w:t>La possibilité qu’a</w:t>
      </w:r>
      <w:r>
        <w:rPr>
          <w:color w:val="231F20"/>
          <w:spacing w:val="-1"/>
          <w:w w:val="110"/>
        </w:rPr>
        <w:t> </w:t>
      </w:r>
      <w:r>
        <w:rPr>
          <w:color w:val="231F20"/>
          <w:w w:val="110"/>
        </w:rPr>
        <w:t>l’employé </w:t>
      </w:r>
      <w:r>
        <w:rPr>
          <w:color w:val="231F20"/>
          <w:spacing w:val="-2"/>
          <w:w w:val="120"/>
        </w:rPr>
        <w:t>d’utiliser</w:t>
      </w:r>
      <w:r>
        <w:rPr>
          <w:color w:val="231F20"/>
          <w:spacing w:val="-11"/>
          <w:w w:val="120"/>
        </w:rPr>
        <w:t> </w:t>
      </w:r>
      <w:r>
        <w:rPr>
          <w:color w:val="231F20"/>
          <w:spacing w:val="-2"/>
          <w:w w:val="120"/>
        </w:rPr>
        <w:t>et</w:t>
      </w:r>
      <w:r>
        <w:rPr>
          <w:color w:val="231F20"/>
          <w:spacing w:val="-11"/>
          <w:w w:val="120"/>
        </w:rPr>
        <w:t> </w:t>
      </w:r>
      <w:r>
        <w:rPr>
          <w:color w:val="231F20"/>
          <w:spacing w:val="-2"/>
          <w:w w:val="120"/>
        </w:rPr>
        <w:t>de</w:t>
      </w:r>
      <w:r>
        <w:rPr>
          <w:color w:val="231F20"/>
          <w:spacing w:val="-11"/>
          <w:w w:val="120"/>
        </w:rPr>
        <w:t> </w:t>
      </w:r>
      <w:r>
        <w:rPr>
          <w:color w:val="231F20"/>
          <w:spacing w:val="-2"/>
          <w:w w:val="120"/>
        </w:rPr>
        <w:t>développer</w:t>
      </w:r>
      <w:r>
        <w:rPr>
          <w:color w:val="231F20"/>
          <w:spacing w:val="-10"/>
          <w:w w:val="120"/>
        </w:rPr>
        <w:t> </w:t>
      </w:r>
      <w:r>
        <w:rPr>
          <w:color w:val="231F20"/>
          <w:spacing w:val="-2"/>
          <w:w w:val="120"/>
        </w:rPr>
        <w:t>ses</w:t>
      </w:r>
      <w:r>
        <w:rPr>
          <w:color w:val="231F20"/>
          <w:spacing w:val="-11"/>
          <w:w w:val="120"/>
        </w:rPr>
        <w:t> </w:t>
      </w:r>
      <w:r>
        <w:rPr>
          <w:color w:val="231F20"/>
          <w:spacing w:val="-2"/>
          <w:w w:val="120"/>
        </w:rPr>
        <w:t>compétences</w:t>
      </w:r>
      <w:r>
        <w:rPr>
          <w:color w:val="231F20"/>
          <w:spacing w:val="-11"/>
          <w:w w:val="120"/>
        </w:rPr>
        <w:t> </w:t>
      </w:r>
      <w:r>
        <w:rPr>
          <w:color w:val="231F20"/>
          <w:spacing w:val="-2"/>
          <w:w w:val="120"/>
        </w:rPr>
        <w:t>au</w:t>
      </w:r>
      <w:r>
        <w:rPr>
          <w:color w:val="231F20"/>
          <w:spacing w:val="-11"/>
          <w:w w:val="120"/>
        </w:rPr>
        <w:t> </w:t>
      </w:r>
      <w:r>
        <w:rPr>
          <w:color w:val="231F20"/>
          <w:spacing w:val="-2"/>
          <w:w w:val="120"/>
        </w:rPr>
        <w:t>travail</w:t>
      </w:r>
      <w:r>
        <w:rPr>
          <w:color w:val="231F20"/>
          <w:spacing w:val="-10"/>
          <w:w w:val="120"/>
        </w:rPr>
        <w:t> </w:t>
      </w:r>
      <w:r>
        <w:rPr>
          <w:color w:val="231F20"/>
          <w:spacing w:val="-2"/>
          <w:w w:val="120"/>
        </w:rPr>
        <w:t>est</w:t>
      </w:r>
      <w:r>
        <w:rPr>
          <w:color w:val="231F20"/>
          <w:spacing w:val="-11"/>
          <w:w w:val="120"/>
        </w:rPr>
        <w:t> </w:t>
      </w:r>
      <w:r>
        <w:rPr>
          <w:color w:val="231F20"/>
          <w:spacing w:val="-2"/>
          <w:w w:val="120"/>
        </w:rPr>
        <w:t>une</w:t>
      </w:r>
      <w:r>
        <w:rPr>
          <w:color w:val="231F20"/>
          <w:spacing w:val="-11"/>
          <w:w w:val="120"/>
        </w:rPr>
        <w:t> </w:t>
      </w:r>
      <w:r>
        <w:rPr>
          <w:color w:val="231F20"/>
          <w:spacing w:val="-2"/>
          <w:w w:val="120"/>
        </w:rPr>
        <w:t>autre</w:t>
      </w:r>
      <w:r>
        <w:rPr>
          <w:color w:val="231F20"/>
          <w:spacing w:val="-11"/>
          <w:w w:val="120"/>
        </w:rPr>
        <w:t> </w:t>
      </w:r>
      <w:r>
        <w:rPr>
          <w:color w:val="231F20"/>
          <w:spacing w:val="-2"/>
          <w:w w:val="120"/>
        </w:rPr>
        <w:t>carac- téristique</w:t>
      </w:r>
      <w:r>
        <w:rPr>
          <w:color w:val="231F20"/>
          <w:spacing w:val="-7"/>
          <w:w w:val="120"/>
        </w:rPr>
        <w:t> </w:t>
      </w:r>
      <w:r>
        <w:rPr>
          <w:color w:val="231F20"/>
          <w:spacing w:val="-2"/>
          <w:w w:val="120"/>
        </w:rPr>
        <w:t>importante</w:t>
      </w:r>
      <w:r>
        <w:rPr>
          <w:color w:val="231F20"/>
          <w:spacing w:val="-7"/>
          <w:w w:val="120"/>
        </w:rPr>
        <w:t> </w:t>
      </w:r>
      <w:r>
        <w:rPr>
          <w:color w:val="231F20"/>
          <w:spacing w:val="-2"/>
          <w:w w:val="120"/>
        </w:rPr>
        <w:t>du</w:t>
      </w:r>
      <w:r>
        <w:rPr>
          <w:color w:val="231F20"/>
          <w:spacing w:val="-7"/>
          <w:w w:val="120"/>
        </w:rPr>
        <w:t> </w:t>
      </w:r>
      <w:r>
        <w:rPr>
          <w:color w:val="231F20"/>
          <w:spacing w:val="-2"/>
          <w:w w:val="120"/>
        </w:rPr>
        <w:t>bien-être</w:t>
      </w:r>
      <w:r>
        <w:rPr>
          <w:color w:val="231F20"/>
          <w:spacing w:val="-7"/>
          <w:w w:val="120"/>
        </w:rPr>
        <w:t> </w:t>
      </w:r>
      <w:r>
        <w:rPr>
          <w:color w:val="231F20"/>
          <w:spacing w:val="-2"/>
          <w:w w:val="120"/>
        </w:rPr>
        <w:t>psychologique.</w:t>
      </w:r>
      <w:r>
        <w:rPr>
          <w:color w:val="231F20"/>
          <w:spacing w:val="-7"/>
          <w:w w:val="120"/>
        </w:rPr>
        <w:t> </w:t>
      </w:r>
      <w:r>
        <w:rPr>
          <w:color w:val="231F20"/>
          <w:spacing w:val="-2"/>
          <w:w w:val="120"/>
        </w:rPr>
        <w:t>Il</w:t>
      </w:r>
      <w:r>
        <w:rPr>
          <w:color w:val="231F20"/>
          <w:spacing w:val="-7"/>
          <w:w w:val="120"/>
        </w:rPr>
        <w:t> </w:t>
      </w:r>
      <w:r>
        <w:rPr>
          <w:color w:val="231F20"/>
          <w:spacing w:val="-2"/>
          <w:w w:val="120"/>
        </w:rPr>
        <w:t>semble</w:t>
      </w:r>
      <w:r>
        <w:rPr>
          <w:color w:val="231F20"/>
          <w:spacing w:val="-8"/>
          <w:w w:val="120"/>
        </w:rPr>
        <w:t> </w:t>
      </w:r>
      <w:r>
        <w:rPr>
          <w:color w:val="231F20"/>
          <w:spacing w:val="-2"/>
          <w:w w:val="120"/>
        </w:rPr>
        <w:t>que</w:t>
      </w:r>
      <w:r>
        <w:rPr>
          <w:color w:val="231F20"/>
          <w:spacing w:val="-8"/>
          <w:w w:val="120"/>
        </w:rPr>
        <w:t> </w:t>
      </w:r>
      <w:r>
        <w:rPr>
          <w:color w:val="231F20"/>
          <w:spacing w:val="-2"/>
          <w:w w:val="120"/>
        </w:rPr>
        <w:t>plus</w:t>
      </w:r>
      <w:r>
        <w:rPr>
          <w:color w:val="231F20"/>
          <w:spacing w:val="-8"/>
          <w:w w:val="120"/>
        </w:rPr>
        <w:t> </w:t>
      </w:r>
      <w:r>
        <w:rPr>
          <w:color w:val="231F20"/>
          <w:spacing w:val="-2"/>
          <w:w w:val="120"/>
        </w:rPr>
        <w:t>une </w:t>
      </w:r>
      <w:r>
        <w:rPr>
          <w:color w:val="231F20"/>
          <w:w w:val="120"/>
        </w:rPr>
        <w:t>personne</w:t>
      </w:r>
      <w:r>
        <w:rPr>
          <w:color w:val="231F20"/>
          <w:spacing w:val="-7"/>
          <w:w w:val="120"/>
        </w:rPr>
        <w:t> </w:t>
      </w:r>
      <w:r>
        <w:rPr>
          <w:color w:val="231F20"/>
          <w:w w:val="120"/>
        </w:rPr>
        <w:t>occupe</w:t>
      </w:r>
      <w:r>
        <w:rPr>
          <w:color w:val="231F20"/>
          <w:spacing w:val="-7"/>
          <w:w w:val="120"/>
        </w:rPr>
        <w:t> </w:t>
      </w:r>
      <w:r>
        <w:rPr>
          <w:color w:val="231F20"/>
          <w:w w:val="120"/>
        </w:rPr>
        <w:t>un</w:t>
      </w:r>
      <w:r>
        <w:rPr>
          <w:color w:val="231F20"/>
          <w:spacing w:val="-7"/>
          <w:w w:val="120"/>
        </w:rPr>
        <w:t> </w:t>
      </w:r>
      <w:r>
        <w:rPr>
          <w:color w:val="231F20"/>
          <w:w w:val="120"/>
        </w:rPr>
        <w:t>poste</w:t>
      </w:r>
      <w:r>
        <w:rPr>
          <w:color w:val="231F20"/>
          <w:spacing w:val="-7"/>
          <w:w w:val="120"/>
        </w:rPr>
        <w:t> </w:t>
      </w:r>
      <w:r>
        <w:rPr>
          <w:color w:val="231F20"/>
          <w:w w:val="120"/>
        </w:rPr>
        <w:t>important</w:t>
      </w:r>
      <w:r>
        <w:rPr>
          <w:color w:val="231F20"/>
          <w:spacing w:val="-7"/>
          <w:w w:val="120"/>
        </w:rPr>
        <w:t> </w:t>
      </w:r>
      <w:r>
        <w:rPr>
          <w:color w:val="231F20"/>
          <w:w w:val="120"/>
        </w:rPr>
        <w:t>au</w:t>
      </w:r>
      <w:r>
        <w:rPr>
          <w:color w:val="231F20"/>
          <w:spacing w:val="-7"/>
          <w:w w:val="120"/>
        </w:rPr>
        <w:t> </w:t>
      </w:r>
      <w:r>
        <w:rPr>
          <w:color w:val="231F20"/>
          <w:w w:val="120"/>
        </w:rPr>
        <w:t>sein</w:t>
      </w:r>
      <w:r>
        <w:rPr>
          <w:color w:val="231F20"/>
          <w:spacing w:val="-7"/>
          <w:w w:val="120"/>
        </w:rPr>
        <w:t> </w:t>
      </w:r>
      <w:r>
        <w:rPr>
          <w:color w:val="231F20"/>
          <w:w w:val="120"/>
        </w:rPr>
        <w:t>de</w:t>
      </w:r>
      <w:r>
        <w:rPr>
          <w:color w:val="231F20"/>
          <w:spacing w:val="-7"/>
          <w:w w:val="120"/>
        </w:rPr>
        <w:t> </w:t>
      </w:r>
      <w:r>
        <w:rPr>
          <w:color w:val="231F20"/>
          <w:w w:val="120"/>
        </w:rPr>
        <w:t>l’organisation,</w:t>
      </w:r>
      <w:r>
        <w:rPr>
          <w:color w:val="231F20"/>
          <w:spacing w:val="-7"/>
          <w:w w:val="120"/>
        </w:rPr>
        <w:t> </w:t>
      </w:r>
      <w:r>
        <w:rPr>
          <w:color w:val="231F20"/>
          <w:w w:val="120"/>
        </w:rPr>
        <w:t>plus</w:t>
      </w:r>
      <w:r>
        <w:rPr>
          <w:color w:val="231F20"/>
          <w:spacing w:val="-7"/>
          <w:w w:val="120"/>
        </w:rPr>
        <w:t> </w:t>
      </w:r>
      <w:r>
        <w:rPr>
          <w:color w:val="231F20"/>
          <w:w w:val="120"/>
        </w:rPr>
        <w:t>elle </w:t>
      </w:r>
      <w:r>
        <w:rPr>
          <w:color w:val="231F20"/>
          <w:spacing w:val="-2"/>
          <w:w w:val="120"/>
        </w:rPr>
        <w:t>a</w:t>
      </w:r>
      <w:r>
        <w:rPr>
          <w:color w:val="231F20"/>
          <w:spacing w:val="-6"/>
          <w:w w:val="120"/>
        </w:rPr>
        <w:t> </w:t>
      </w:r>
      <w:r>
        <w:rPr>
          <w:color w:val="231F20"/>
          <w:spacing w:val="-2"/>
          <w:w w:val="120"/>
        </w:rPr>
        <w:t>l’occasion</w:t>
      </w:r>
      <w:r>
        <w:rPr>
          <w:color w:val="231F20"/>
          <w:spacing w:val="-6"/>
          <w:w w:val="120"/>
        </w:rPr>
        <w:t> </w:t>
      </w:r>
      <w:r>
        <w:rPr>
          <w:color w:val="231F20"/>
          <w:spacing w:val="-2"/>
          <w:w w:val="120"/>
        </w:rPr>
        <w:t>de</w:t>
      </w:r>
      <w:r>
        <w:rPr>
          <w:color w:val="231F20"/>
          <w:spacing w:val="-6"/>
          <w:w w:val="120"/>
        </w:rPr>
        <w:t> </w:t>
      </w:r>
      <w:r>
        <w:rPr>
          <w:color w:val="231F20"/>
          <w:spacing w:val="-2"/>
          <w:w w:val="120"/>
        </w:rPr>
        <w:t>mettre</w:t>
      </w:r>
      <w:r>
        <w:rPr>
          <w:color w:val="231F20"/>
          <w:spacing w:val="-6"/>
          <w:w w:val="120"/>
        </w:rPr>
        <w:t> </w:t>
      </w:r>
      <w:r>
        <w:rPr>
          <w:color w:val="231F20"/>
          <w:spacing w:val="-2"/>
          <w:w w:val="120"/>
        </w:rPr>
        <w:t>en</w:t>
      </w:r>
      <w:r>
        <w:rPr>
          <w:color w:val="231F20"/>
          <w:spacing w:val="-6"/>
          <w:w w:val="120"/>
        </w:rPr>
        <w:t> </w:t>
      </w:r>
      <w:r>
        <w:rPr>
          <w:color w:val="231F20"/>
          <w:spacing w:val="-2"/>
          <w:w w:val="120"/>
        </w:rPr>
        <w:t>valeur</w:t>
      </w:r>
      <w:r>
        <w:rPr>
          <w:color w:val="231F20"/>
          <w:spacing w:val="-6"/>
          <w:w w:val="120"/>
        </w:rPr>
        <w:t> </w:t>
      </w:r>
      <w:r>
        <w:rPr>
          <w:color w:val="231F20"/>
          <w:spacing w:val="-2"/>
          <w:w w:val="120"/>
        </w:rPr>
        <w:t>ses</w:t>
      </w:r>
      <w:r>
        <w:rPr>
          <w:color w:val="231F20"/>
          <w:spacing w:val="-6"/>
          <w:w w:val="120"/>
        </w:rPr>
        <w:t> </w:t>
      </w:r>
      <w:r>
        <w:rPr>
          <w:color w:val="231F20"/>
          <w:spacing w:val="-2"/>
          <w:w w:val="120"/>
        </w:rPr>
        <w:t>compétences.</w:t>
      </w:r>
      <w:r>
        <w:rPr>
          <w:color w:val="231F20"/>
          <w:spacing w:val="-6"/>
          <w:w w:val="120"/>
        </w:rPr>
        <w:t> </w:t>
      </w:r>
      <w:r>
        <w:rPr>
          <w:color w:val="231F20"/>
          <w:spacing w:val="-2"/>
          <w:w w:val="120"/>
        </w:rPr>
        <w:t>Comme</w:t>
      </w:r>
      <w:r>
        <w:rPr>
          <w:color w:val="231F20"/>
          <w:spacing w:val="-6"/>
          <w:w w:val="120"/>
        </w:rPr>
        <w:t> </w:t>
      </w:r>
      <w:r>
        <w:rPr>
          <w:color w:val="231F20"/>
          <w:spacing w:val="-2"/>
          <w:w w:val="120"/>
        </w:rPr>
        <w:t>pour</w:t>
      </w:r>
      <w:r>
        <w:rPr>
          <w:color w:val="231F20"/>
          <w:spacing w:val="-6"/>
          <w:w w:val="120"/>
        </w:rPr>
        <w:t> </w:t>
      </w:r>
      <w:r>
        <w:rPr>
          <w:color w:val="231F20"/>
          <w:spacing w:val="-2"/>
          <w:w w:val="120"/>
        </w:rPr>
        <w:t>d’autres </w:t>
      </w:r>
      <w:r>
        <w:rPr>
          <w:color w:val="231F20"/>
          <w:w w:val="120"/>
        </w:rPr>
        <w:t>caractéristiques</w:t>
      </w:r>
      <w:r>
        <w:rPr>
          <w:color w:val="231F20"/>
          <w:spacing w:val="-8"/>
          <w:w w:val="120"/>
        </w:rPr>
        <w:t> </w:t>
      </w:r>
      <w:r>
        <w:rPr>
          <w:color w:val="231F20"/>
          <w:w w:val="120"/>
        </w:rPr>
        <w:t>intrinsèques,</w:t>
      </w:r>
      <w:r>
        <w:rPr>
          <w:color w:val="231F20"/>
          <w:spacing w:val="-8"/>
          <w:w w:val="120"/>
        </w:rPr>
        <w:t> </w:t>
      </w:r>
      <w:r>
        <w:rPr>
          <w:color w:val="231F20"/>
          <w:w w:val="120"/>
        </w:rPr>
        <w:t>le</w:t>
      </w:r>
      <w:r>
        <w:rPr>
          <w:color w:val="231F20"/>
          <w:spacing w:val="-8"/>
          <w:w w:val="120"/>
        </w:rPr>
        <w:t> </w:t>
      </w:r>
      <w:r>
        <w:rPr>
          <w:color w:val="231F20"/>
          <w:w w:val="120"/>
        </w:rPr>
        <w:t>niveau</w:t>
      </w:r>
      <w:r>
        <w:rPr>
          <w:color w:val="231F20"/>
          <w:spacing w:val="-8"/>
          <w:w w:val="120"/>
        </w:rPr>
        <w:t> </w:t>
      </w:r>
      <w:r>
        <w:rPr>
          <w:color w:val="231F20"/>
          <w:w w:val="120"/>
        </w:rPr>
        <w:t>intermédiaire</w:t>
      </w:r>
      <w:r>
        <w:rPr>
          <w:color w:val="231F20"/>
          <w:spacing w:val="-8"/>
          <w:w w:val="120"/>
        </w:rPr>
        <w:t> </w:t>
      </w:r>
      <w:r>
        <w:rPr>
          <w:color w:val="231F20"/>
          <w:w w:val="120"/>
        </w:rPr>
        <w:t>serait</w:t>
      </w:r>
      <w:r>
        <w:rPr>
          <w:color w:val="231F20"/>
          <w:spacing w:val="-8"/>
          <w:w w:val="120"/>
        </w:rPr>
        <w:t> </w:t>
      </w:r>
      <w:r>
        <w:rPr>
          <w:color w:val="231F20"/>
          <w:w w:val="120"/>
        </w:rPr>
        <w:t>le</w:t>
      </w:r>
      <w:r>
        <w:rPr>
          <w:color w:val="231F20"/>
          <w:spacing w:val="-8"/>
          <w:w w:val="120"/>
        </w:rPr>
        <w:t> </w:t>
      </w:r>
      <w:r>
        <w:rPr>
          <w:color w:val="231F20"/>
          <w:w w:val="120"/>
        </w:rPr>
        <w:t>plus</w:t>
      </w:r>
      <w:r>
        <w:rPr>
          <w:color w:val="231F20"/>
          <w:spacing w:val="-8"/>
          <w:w w:val="120"/>
        </w:rPr>
        <w:t> </w:t>
      </w:r>
      <w:r>
        <w:rPr>
          <w:color w:val="231F20"/>
          <w:w w:val="120"/>
        </w:rPr>
        <w:t>adé- </w:t>
      </w:r>
      <w:r>
        <w:rPr>
          <w:color w:val="231F20"/>
          <w:w w:val="115"/>
        </w:rPr>
        <w:t>quat:</w:t>
      </w:r>
      <w:r>
        <w:rPr>
          <w:color w:val="231F20"/>
          <w:spacing w:val="-6"/>
          <w:w w:val="115"/>
        </w:rPr>
        <w:t> </w:t>
      </w:r>
      <w:r>
        <w:rPr>
          <w:color w:val="231F20"/>
          <w:w w:val="115"/>
        </w:rPr>
        <w:t>en</w:t>
      </w:r>
      <w:r>
        <w:rPr>
          <w:color w:val="231F20"/>
          <w:spacing w:val="-6"/>
          <w:w w:val="115"/>
        </w:rPr>
        <w:t> </w:t>
      </w:r>
      <w:r>
        <w:rPr>
          <w:color w:val="231F20"/>
          <w:w w:val="115"/>
        </w:rPr>
        <w:t>l’occurrence,</w:t>
      </w:r>
      <w:r>
        <w:rPr>
          <w:color w:val="231F20"/>
          <w:spacing w:val="-6"/>
          <w:w w:val="115"/>
        </w:rPr>
        <w:t> </w:t>
      </w:r>
      <w:r>
        <w:rPr>
          <w:color w:val="231F20"/>
          <w:w w:val="115"/>
        </w:rPr>
        <w:t>la</w:t>
      </w:r>
      <w:r>
        <w:rPr>
          <w:color w:val="231F20"/>
          <w:spacing w:val="-6"/>
          <w:w w:val="115"/>
        </w:rPr>
        <w:t> </w:t>
      </w:r>
      <w:r>
        <w:rPr>
          <w:color w:val="231F20"/>
          <w:w w:val="115"/>
        </w:rPr>
        <w:t>carence</w:t>
      </w:r>
      <w:r>
        <w:rPr>
          <w:color w:val="231F20"/>
          <w:spacing w:val="-6"/>
          <w:w w:val="115"/>
        </w:rPr>
        <w:t> </w:t>
      </w:r>
      <w:r>
        <w:rPr>
          <w:color w:val="231F20"/>
          <w:w w:val="115"/>
        </w:rPr>
        <w:t>et</w:t>
      </w:r>
      <w:r>
        <w:rPr>
          <w:color w:val="231F20"/>
          <w:spacing w:val="-6"/>
          <w:w w:val="115"/>
        </w:rPr>
        <w:t> </w:t>
      </w:r>
      <w:r>
        <w:rPr>
          <w:color w:val="231F20"/>
          <w:w w:val="115"/>
        </w:rPr>
        <w:t>l’excès</w:t>
      </w:r>
      <w:r>
        <w:rPr>
          <w:color w:val="231F20"/>
          <w:spacing w:val="-6"/>
          <w:w w:val="115"/>
        </w:rPr>
        <w:t> </w:t>
      </w:r>
      <w:r>
        <w:rPr>
          <w:color w:val="231F20"/>
          <w:w w:val="115"/>
        </w:rPr>
        <w:t>sont</w:t>
      </w:r>
      <w:r>
        <w:rPr>
          <w:color w:val="231F20"/>
          <w:spacing w:val="-6"/>
          <w:w w:val="115"/>
        </w:rPr>
        <w:t> </w:t>
      </w:r>
      <w:r>
        <w:rPr>
          <w:color w:val="231F20"/>
          <w:w w:val="115"/>
        </w:rPr>
        <w:t>deux</w:t>
      </w:r>
      <w:r>
        <w:rPr>
          <w:color w:val="231F20"/>
          <w:spacing w:val="-6"/>
          <w:w w:val="115"/>
        </w:rPr>
        <w:t> </w:t>
      </w:r>
      <w:r>
        <w:rPr>
          <w:color w:val="231F20"/>
          <w:w w:val="115"/>
        </w:rPr>
        <w:t>sources</w:t>
      </w:r>
      <w:r>
        <w:rPr>
          <w:color w:val="231F20"/>
          <w:spacing w:val="-6"/>
          <w:w w:val="115"/>
        </w:rPr>
        <w:t> </w:t>
      </w:r>
      <w:r>
        <w:rPr>
          <w:color w:val="231F20"/>
          <w:w w:val="115"/>
        </w:rPr>
        <w:t>de</w:t>
      </w:r>
      <w:r>
        <w:rPr>
          <w:color w:val="231F20"/>
          <w:spacing w:val="-6"/>
          <w:w w:val="115"/>
        </w:rPr>
        <w:t> </w:t>
      </w:r>
      <w:r>
        <w:rPr>
          <w:color w:val="231F20"/>
          <w:w w:val="115"/>
        </w:rPr>
        <w:t>stress</w:t>
      </w:r>
      <w:r>
        <w:rPr>
          <w:color w:val="231F20"/>
          <w:spacing w:val="-6"/>
          <w:w w:val="115"/>
        </w:rPr>
        <w:t> </w:t>
      </w:r>
      <w:r>
        <w:rPr>
          <w:color w:val="231F20"/>
          <w:w w:val="115"/>
        </w:rPr>
        <w:t>qui </w:t>
      </w:r>
      <w:r>
        <w:rPr>
          <w:color w:val="231F20"/>
          <w:w w:val="120"/>
        </w:rPr>
        <w:t>peuvent notamment occasionner des problèmes psychologiques.</w:t>
      </w:r>
    </w:p>
    <w:p>
      <w:pPr>
        <w:pStyle w:val="BodyText"/>
        <w:spacing w:line="307" w:lineRule="auto" w:before="208"/>
        <w:ind w:left="1220" w:right="104"/>
        <w:jc w:val="both"/>
      </w:pPr>
      <w:r>
        <w:rPr>
          <w:i/>
          <w:color w:val="231F20"/>
          <w:w w:val="120"/>
        </w:rPr>
        <w:t>Diversité des tâches. </w:t>
      </w:r>
      <w:r>
        <w:rPr>
          <w:color w:val="231F20"/>
          <w:w w:val="120"/>
        </w:rPr>
        <w:t>Cette caractéristique renvoie à la nouveauté et</w:t>
      </w:r>
      <w:r>
        <w:rPr>
          <w:color w:val="231F20"/>
          <w:spacing w:val="80"/>
          <w:w w:val="120"/>
        </w:rPr>
        <w:t> </w:t>
      </w:r>
      <w:r>
        <w:rPr>
          <w:color w:val="231F20"/>
          <w:w w:val="120"/>
        </w:rPr>
        <w:t>au</w:t>
      </w:r>
      <w:r>
        <w:rPr>
          <w:color w:val="231F20"/>
          <w:spacing w:val="-4"/>
          <w:w w:val="120"/>
        </w:rPr>
        <w:t> </w:t>
      </w:r>
      <w:r>
        <w:rPr>
          <w:color w:val="231F20"/>
          <w:w w:val="120"/>
        </w:rPr>
        <w:t>changement</w:t>
      </w:r>
      <w:r>
        <w:rPr>
          <w:color w:val="231F20"/>
          <w:spacing w:val="-4"/>
          <w:w w:val="120"/>
        </w:rPr>
        <w:t> </w:t>
      </w:r>
      <w:r>
        <w:rPr>
          <w:color w:val="231F20"/>
          <w:w w:val="120"/>
        </w:rPr>
        <w:t>dans</w:t>
      </w:r>
      <w:r>
        <w:rPr>
          <w:color w:val="231F20"/>
          <w:spacing w:val="-4"/>
          <w:w w:val="120"/>
        </w:rPr>
        <w:t> </w:t>
      </w:r>
      <w:r>
        <w:rPr>
          <w:color w:val="231F20"/>
          <w:w w:val="120"/>
        </w:rPr>
        <w:t>le</w:t>
      </w:r>
      <w:r>
        <w:rPr>
          <w:color w:val="231F20"/>
          <w:spacing w:val="-4"/>
          <w:w w:val="120"/>
        </w:rPr>
        <w:t> </w:t>
      </w:r>
      <w:r>
        <w:rPr>
          <w:color w:val="231F20"/>
          <w:w w:val="120"/>
        </w:rPr>
        <w:t>cadre</w:t>
      </w:r>
      <w:r>
        <w:rPr>
          <w:color w:val="231F20"/>
          <w:spacing w:val="-4"/>
          <w:w w:val="120"/>
        </w:rPr>
        <w:t> </w:t>
      </w:r>
      <w:r>
        <w:rPr>
          <w:color w:val="231F20"/>
          <w:w w:val="120"/>
        </w:rPr>
        <w:t>du</w:t>
      </w:r>
      <w:r>
        <w:rPr>
          <w:color w:val="231F20"/>
          <w:spacing w:val="-4"/>
          <w:w w:val="120"/>
        </w:rPr>
        <w:t> </w:t>
      </w:r>
      <w:r>
        <w:rPr>
          <w:color w:val="231F20"/>
          <w:w w:val="120"/>
        </w:rPr>
        <w:t>même</w:t>
      </w:r>
      <w:r>
        <w:rPr>
          <w:color w:val="231F20"/>
          <w:spacing w:val="-4"/>
          <w:w w:val="120"/>
        </w:rPr>
        <w:t> </w:t>
      </w:r>
      <w:r>
        <w:rPr>
          <w:color w:val="231F20"/>
          <w:w w:val="120"/>
        </w:rPr>
        <w:t>poste</w:t>
      </w:r>
      <w:r>
        <w:rPr>
          <w:color w:val="231F20"/>
          <w:spacing w:val="-4"/>
          <w:w w:val="120"/>
        </w:rPr>
        <w:t> </w:t>
      </w:r>
      <w:r>
        <w:rPr>
          <w:color w:val="231F20"/>
          <w:w w:val="120"/>
        </w:rPr>
        <w:t>ou</w:t>
      </w:r>
      <w:r>
        <w:rPr>
          <w:color w:val="231F20"/>
          <w:spacing w:val="-4"/>
          <w:w w:val="120"/>
        </w:rPr>
        <w:t> </w:t>
      </w:r>
      <w:r>
        <w:rPr>
          <w:color w:val="231F20"/>
          <w:w w:val="120"/>
        </w:rPr>
        <w:t>du</w:t>
      </w:r>
      <w:r>
        <w:rPr>
          <w:color w:val="231F20"/>
          <w:spacing w:val="-4"/>
          <w:w w:val="120"/>
        </w:rPr>
        <w:t> </w:t>
      </w:r>
      <w:r>
        <w:rPr>
          <w:color w:val="231F20"/>
          <w:w w:val="120"/>
        </w:rPr>
        <w:t>milieu</w:t>
      </w:r>
      <w:r>
        <w:rPr>
          <w:color w:val="231F20"/>
          <w:spacing w:val="-4"/>
          <w:w w:val="120"/>
        </w:rPr>
        <w:t> </w:t>
      </w:r>
      <w:r>
        <w:rPr>
          <w:color w:val="231F20"/>
          <w:w w:val="120"/>
        </w:rPr>
        <w:t>de</w:t>
      </w:r>
      <w:r>
        <w:rPr>
          <w:color w:val="231F20"/>
          <w:spacing w:val="-4"/>
          <w:w w:val="120"/>
        </w:rPr>
        <w:t> </w:t>
      </w:r>
      <w:r>
        <w:rPr>
          <w:color w:val="231F20"/>
          <w:w w:val="120"/>
        </w:rPr>
        <w:t>travail.</w:t>
      </w:r>
      <w:r>
        <w:rPr>
          <w:color w:val="231F20"/>
          <w:spacing w:val="-4"/>
          <w:w w:val="120"/>
        </w:rPr>
        <w:t> </w:t>
      </w:r>
      <w:r>
        <w:rPr>
          <w:color w:val="231F20"/>
          <w:w w:val="120"/>
        </w:rPr>
        <w:t>Il </w:t>
      </w:r>
      <w:r>
        <w:rPr>
          <w:color w:val="231F20"/>
          <w:spacing w:val="-2"/>
          <w:w w:val="120"/>
        </w:rPr>
        <w:t>importe</w:t>
      </w:r>
      <w:r>
        <w:rPr>
          <w:color w:val="231F20"/>
          <w:spacing w:val="-6"/>
          <w:w w:val="120"/>
        </w:rPr>
        <w:t> </w:t>
      </w:r>
      <w:r>
        <w:rPr>
          <w:color w:val="231F20"/>
          <w:spacing w:val="-2"/>
          <w:w w:val="120"/>
        </w:rPr>
        <w:t>en</w:t>
      </w:r>
      <w:r>
        <w:rPr>
          <w:color w:val="231F20"/>
          <w:spacing w:val="-8"/>
          <w:w w:val="120"/>
        </w:rPr>
        <w:t> </w:t>
      </w:r>
      <w:r>
        <w:rPr>
          <w:color w:val="231F20"/>
          <w:spacing w:val="-2"/>
          <w:w w:val="120"/>
        </w:rPr>
        <w:t>effet</w:t>
      </w:r>
      <w:r>
        <w:rPr>
          <w:color w:val="231F20"/>
          <w:spacing w:val="-6"/>
          <w:w w:val="120"/>
        </w:rPr>
        <w:t> </w:t>
      </w:r>
      <w:r>
        <w:rPr>
          <w:color w:val="231F20"/>
          <w:spacing w:val="-2"/>
          <w:w w:val="120"/>
        </w:rPr>
        <w:t>de</w:t>
      </w:r>
      <w:r>
        <w:rPr>
          <w:color w:val="231F20"/>
          <w:spacing w:val="-8"/>
          <w:w w:val="120"/>
        </w:rPr>
        <w:t> </w:t>
      </w:r>
      <w:r>
        <w:rPr>
          <w:color w:val="231F20"/>
          <w:spacing w:val="-2"/>
          <w:w w:val="120"/>
        </w:rPr>
        <w:t>bien</w:t>
      </w:r>
      <w:r>
        <w:rPr>
          <w:color w:val="231F20"/>
          <w:spacing w:val="-8"/>
          <w:w w:val="120"/>
        </w:rPr>
        <w:t> </w:t>
      </w:r>
      <w:r>
        <w:rPr>
          <w:color w:val="231F20"/>
          <w:spacing w:val="-2"/>
          <w:w w:val="120"/>
        </w:rPr>
        <w:t>distinguer</w:t>
      </w:r>
      <w:r>
        <w:rPr>
          <w:color w:val="231F20"/>
          <w:spacing w:val="-8"/>
          <w:w w:val="120"/>
        </w:rPr>
        <w:t> </w:t>
      </w:r>
      <w:r>
        <w:rPr>
          <w:color w:val="231F20"/>
          <w:spacing w:val="-2"/>
          <w:w w:val="120"/>
        </w:rPr>
        <w:t>la</w:t>
      </w:r>
      <w:r>
        <w:rPr>
          <w:color w:val="231F20"/>
          <w:spacing w:val="-8"/>
          <w:w w:val="120"/>
        </w:rPr>
        <w:t> </w:t>
      </w:r>
      <w:r>
        <w:rPr>
          <w:color w:val="231F20"/>
          <w:spacing w:val="-2"/>
          <w:w w:val="120"/>
        </w:rPr>
        <w:t>diversité</w:t>
      </w:r>
      <w:r>
        <w:rPr>
          <w:color w:val="231F20"/>
          <w:spacing w:val="-8"/>
          <w:w w:val="120"/>
        </w:rPr>
        <w:t> </w:t>
      </w:r>
      <w:r>
        <w:rPr>
          <w:color w:val="231F20"/>
          <w:spacing w:val="-2"/>
          <w:w w:val="120"/>
        </w:rPr>
        <w:t>intrinsèque</w:t>
      </w:r>
      <w:r>
        <w:rPr>
          <w:color w:val="231F20"/>
          <w:spacing w:val="-6"/>
          <w:w w:val="120"/>
        </w:rPr>
        <w:t> </w:t>
      </w:r>
      <w:r>
        <w:rPr>
          <w:color w:val="231F20"/>
          <w:spacing w:val="-2"/>
          <w:w w:val="120"/>
        </w:rPr>
        <w:t>et</w:t>
      </w:r>
      <w:r>
        <w:rPr>
          <w:color w:val="231F20"/>
          <w:spacing w:val="-8"/>
          <w:w w:val="120"/>
        </w:rPr>
        <w:t> </w:t>
      </w:r>
      <w:r>
        <w:rPr>
          <w:color w:val="231F20"/>
          <w:spacing w:val="-2"/>
          <w:w w:val="120"/>
        </w:rPr>
        <w:t>extrinsèque </w:t>
      </w:r>
      <w:r>
        <w:rPr>
          <w:color w:val="231F20"/>
          <w:w w:val="115"/>
        </w:rPr>
        <w:t>des</w:t>
      </w:r>
      <w:r>
        <w:rPr>
          <w:color w:val="231F20"/>
          <w:spacing w:val="-4"/>
          <w:w w:val="115"/>
        </w:rPr>
        <w:t> </w:t>
      </w:r>
      <w:r>
        <w:rPr>
          <w:color w:val="231F20"/>
          <w:w w:val="115"/>
        </w:rPr>
        <w:t>tâches.</w:t>
      </w:r>
      <w:r>
        <w:rPr>
          <w:color w:val="231F20"/>
          <w:spacing w:val="-4"/>
          <w:w w:val="115"/>
        </w:rPr>
        <w:t> </w:t>
      </w:r>
      <w:r>
        <w:rPr>
          <w:color w:val="231F20"/>
          <w:w w:val="115"/>
        </w:rPr>
        <w:t>On</w:t>
      </w:r>
      <w:r>
        <w:rPr>
          <w:color w:val="231F20"/>
          <w:spacing w:val="-4"/>
          <w:w w:val="115"/>
        </w:rPr>
        <w:t> </w:t>
      </w:r>
      <w:r>
        <w:rPr>
          <w:color w:val="231F20"/>
          <w:w w:val="115"/>
        </w:rPr>
        <w:t>peut</w:t>
      </w:r>
      <w:r>
        <w:rPr>
          <w:color w:val="231F20"/>
          <w:spacing w:val="-4"/>
          <w:w w:val="115"/>
        </w:rPr>
        <w:t> </w:t>
      </w:r>
      <w:r>
        <w:rPr>
          <w:color w:val="231F20"/>
          <w:w w:val="115"/>
        </w:rPr>
        <w:t>définir</w:t>
      </w:r>
      <w:r>
        <w:rPr>
          <w:color w:val="231F20"/>
          <w:spacing w:val="-4"/>
          <w:w w:val="115"/>
        </w:rPr>
        <w:t> </w:t>
      </w:r>
      <w:r>
        <w:rPr>
          <w:color w:val="231F20"/>
          <w:w w:val="115"/>
        </w:rPr>
        <w:t>la</w:t>
      </w:r>
      <w:r>
        <w:rPr>
          <w:color w:val="231F20"/>
          <w:spacing w:val="-4"/>
          <w:w w:val="115"/>
        </w:rPr>
        <w:t> </w:t>
      </w:r>
      <w:r>
        <w:rPr>
          <w:color w:val="231F20"/>
          <w:w w:val="115"/>
        </w:rPr>
        <w:t>diversité</w:t>
      </w:r>
      <w:r>
        <w:rPr>
          <w:color w:val="231F20"/>
          <w:spacing w:val="-4"/>
          <w:w w:val="115"/>
        </w:rPr>
        <w:t> </w:t>
      </w:r>
      <w:r>
        <w:rPr>
          <w:color w:val="231F20"/>
          <w:w w:val="115"/>
        </w:rPr>
        <w:t>intrinsèque</w:t>
      </w:r>
      <w:r>
        <w:rPr>
          <w:color w:val="231F20"/>
          <w:spacing w:val="-4"/>
          <w:w w:val="115"/>
        </w:rPr>
        <w:t> </w:t>
      </w:r>
      <w:r>
        <w:rPr>
          <w:color w:val="231F20"/>
          <w:w w:val="115"/>
        </w:rPr>
        <w:t>comme</w:t>
      </w:r>
      <w:r>
        <w:rPr>
          <w:color w:val="231F20"/>
          <w:spacing w:val="-4"/>
          <w:w w:val="115"/>
        </w:rPr>
        <w:t> </w:t>
      </w:r>
      <w:r>
        <w:rPr>
          <w:color w:val="231F20"/>
          <w:w w:val="115"/>
        </w:rPr>
        <w:t>la</w:t>
      </w:r>
      <w:r>
        <w:rPr>
          <w:color w:val="231F20"/>
          <w:spacing w:val="-4"/>
          <w:w w:val="115"/>
        </w:rPr>
        <w:t> </w:t>
      </w:r>
      <w:r>
        <w:rPr>
          <w:color w:val="231F20"/>
          <w:w w:val="115"/>
        </w:rPr>
        <w:t>mesure</w:t>
      </w:r>
      <w:r>
        <w:rPr>
          <w:color w:val="231F20"/>
          <w:spacing w:val="-4"/>
          <w:w w:val="115"/>
        </w:rPr>
        <w:t> </w:t>
      </w:r>
      <w:r>
        <w:rPr>
          <w:color w:val="231F20"/>
          <w:w w:val="115"/>
        </w:rPr>
        <w:t>dans </w:t>
      </w:r>
      <w:r>
        <w:rPr>
          <w:color w:val="231F20"/>
          <w:spacing w:val="-2"/>
          <w:w w:val="120"/>
        </w:rPr>
        <w:t>laquelle</w:t>
      </w:r>
      <w:r>
        <w:rPr>
          <w:color w:val="231F20"/>
          <w:spacing w:val="-13"/>
          <w:w w:val="120"/>
        </w:rPr>
        <w:t> </w:t>
      </w:r>
      <w:r>
        <w:rPr>
          <w:color w:val="231F20"/>
          <w:spacing w:val="-2"/>
          <w:w w:val="120"/>
        </w:rPr>
        <w:t>l’exécution</w:t>
      </w:r>
      <w:r>
        <w:rPr>
          <w:color w:val="231F20"/>
          <w:spacing w:val="-11"/>
          <w:w w:val="120"/>
        </w:rPr>
        <w:t> </w:t>
      </w:r>
      <w:r>
        <w:rPr>
          <w:color w:val="231F20"/>
          <w:spacing w:val="-2"/>
          <w:w w:val="120"/>
        </w:rPr>
        <w:t>des</w:t>
      </w:r>
      <w:r>
        <w:rPr>
          <w:color w:val="231F20"/>
          <w:spacing w:val="-11"/>
          <w:w w:val="120"/>
        </w:rPr>
        <w:t> </w:t>
      </w:r>
      <w:r>
        <w:rPr>
          <w:color w:val="231F20"/>
          <w:spacing w:val="-2"/>
          <w:w w:val="120"/>
        </w:rPr>
        <w:t>fonctions</w:t>
      </w:r>
      <w:r>
        <w:rPr>
          <w:color w:val="231F20"/>
          <w:spacing w:val="-10"/>
          <w:w w:val="120"/>
        </w:rPr>
        <w:t> </w:t>
      </w:r>
      <w:r>
        <w:rPr>
          <w:color w:val="231F20"/>
          <w:spacing w:val="-2"/>
          <w:w w:val="120"/>
        </w:rPr>
        <w:t>du</w:t>
      </w:r>
      <w:r>
        <w:rPr>
          <w:color w:val="231F20"/>
          <w:spacing w:val="-11"/>
          <w:w w:val="120"/>
        </w:rPr>
        <w:t> </w:t>
      </w:r>
      <w:r>
        <w:rPr>
          <w:color w:val="231F20"/>
          <w:spacing w:val="-2"/>
          <w:w w:val="120"/>
        </w:rPr>
        <w:t>poste</w:t>
      </w:r>
      <w:r>
        <w:rPr>
          <w:color w:val="231F20"/>
          <w:spacing w:val="-11"/>
          <w:w w:val="120"/>
        </w:rPr>
        <w:t> </w:t>
      </w:r>
      <w:r>
        <w:rPr>
          <w:color w:val="231F20"/>
          <w:spacing w:val="-2"/>
          <w:w w:val="120"/>
        </w:rPr>
        <w:t>comporte</w:t>
      </w:r>
      <w:r>
        <w:rPr>
          <w:color w:val="231F20"/>
          <w:spacing w:val="-11"/>
          <w:w w:val="120"/>
        </w:rPr>
        <w:t> </w:t>
      </w:r>
      <w:r>
        <w:rPr>
          <w:color w:val="231F20"/>
          <w:spacing w:val="-2"/>
          <w:w w:val="120"/>
        </w:rPr>
        <w:t>différentes</w:t>
      </w:r>
      <w:r>
        <w:rPr>
          <w:color w:val="231F20"/>
          <w:spacing w:val="-10"/>
          <w:w w:val="120"/>
        </w:rPr>
        <w:t> </w:t>
      </w:r>
      <w:r>
        <w:rPr>
          <w:color w:val="231F20"/>
          <w:spacing w:val="-2"/>
          <w:w w:val="120"/>
        </w:rPr>
        <w:t>activités </w:t>
      </w:r>
      <w:r>
        <w:rPr>
          <w:color w:val="231F20"/>
          <w:w w:val="120"/>
        </w:rPr>
        <w:t>qui</w:t>
      </w:r>
      <w:r>
        <w:rPr>
          <w:color w:val="231F20"/>
          <w:spacing w:val="-10"/>
          <w:w w:val="120"/>
        </w:rPr>
        <w:t> </w:t>
      </w:r>
      <w:r>
        <w:rPr>
          <w:color w:val="231F20"/>
          <w:w w:val="120"/>
        </w:rPr>
        <w:t>font</w:t>
      </w:r>
      <w:r>
        <w:rPr>
          <w:color w:val="231F20"/>
          <w:spacing w:val="-10"/>
          <w:w w:val="120"/>
        </w:rPr>
        <w:t> </w:t>
      </w:r>
      <w:r>
        <w:rPr>
          <w:color w:val="231F20"/>
          <w:w w:val="120"/>
        </w:rPr>
        <w:t>appel</w:t>
      </w:r>
      <w:r>
        <w:rPr>
          <w:color w:val="231F20"/>
          <w:spacing w:val="-10"/>
          <w:w w:val="120"/>
        </w:rPr>
        <w:t> </w:t>
      </w:r>
      <w:r>
        <w:rPr>
          <w:color w:val="231F20"/>
          <w:w w:val="120"/>
        </w:rPr>
        <w:t>à</w:t>
      </w:r>
      <w:r>
        <w:rPr>
          <w:color w:val="231F20"/>
          <w:spacing w:val="-10"/>
          <w:w w:val="120"/>
        </w:rPr>
        <w:t> </w:t>
      </w:r>
      <w:r>
        <w:rPr>
          <w:color w:val="231F20"/>
          <w:w w:val="120"/>
        </w:rPr>
        <w:t>des</w:t>
      </w:r>
      <w:r>
        <w:rPr>
          <w:color w:val="231F20"/>
          <w:spacing w:val="-10"/>
          <w:w w:val="120"/>
        </w:rPr>
        <w:t> </w:t>
      </w:r>
      <w:r>
        <w:rPr>
          <w:color w:val="231F20"/>
          <w:w w:val="120"/>
        </w:rPr>
        <w:t>compétences</w:t>
      </w:r>
      <w:r>
        <w:rPr>
          <w:color w:val="231F20"/>
          <w:spacing w:val="-10"/>
          <w:w w:val="120"/>
        </w:rPr>
        <w:t> </w:t>
      </w:r>
      <w:r>
        <w:rPr>
          <w:color w:val="231F20"/>
          <w:w w:val="120"/>
        </w:rPr>
        <w:t>et</w:t>
      </w:r>
      <w:r>
        <w:rPr>
          <w:color w:val="231F20"/>
          <w:spacing w:val="-10"/>
          <w:w w:val="120"/>
        </w:rPr>
        <w:t> </w:t>
      </w:r>
      <w:r>
        <w:rPr>
          <w:color w:val="231F20"/>
          <w:w w:val="120"/>
        </w:rPr>
        <w:t>des</w:t>
      </w:r>
      <w:r>
        <w:rPr>
          <w:color w:val="231F20"/>
          <w:spacing w:val="-10"/>
          <w:w w:val="120"/>
        </w:rPr>
        <w:t> </w:t>
      </w:r>
      <w:r>
        <w:rPr>
          <w:color w:val="231F20"/>
          <w:w w:val="120"/>
        </w:rPr>
        <w:t>habiletés</w:t>
      </w:r>
      <w:r>
        <w:rPr>
          <w:color w:val="231F20"/>
          <w:spacing w:val="-10"/>
          <w:w w:val="120"/>
        </w:rPr>
        <w:t> </w:t>
      </w:r>
      <w:r>
        <w:rPr>
          <w:color w:val="231F20"/>
          <w:w w:val="120"/>
        </w:rPr>
        <w:t>variées</w:t>
      </w:r>
      <w:r>
        <w:rPr>
          <w:color w:val="231F20"/>
          <w:spacing w:val="-10"/>
          <w:w w:val="120"/>
        </w:rPr>
        <w:t> </w:t>
      </w:r>
      <w:r>
        <w:rPr>
          <w:color w:val="231F20"/>
          <w:w w:val="120"/>
        </w:rPr>
        <w:t>du</w:t>
      </w:r>
      <w:r>
        <w:rPr>
          <w:color w:val="231F20"/>
          <w:spacing w:val="-10"/>
          <w:w w:val="120"/>
        </w:rPr>
        <w:t> </w:t>
      </w:r>
      <w:r>
        <w:rPr>
          <w:color w:val="231F20"/>
          <w:w w:val="120"/>
        </w:rPr>
        <w:t>travailleur. </w:t>
      </w:r>
      <w:r>
        <w:rPr>
          <w:color w:val="231F20"/>
          <w:w w:val="115"/>
        </w:rPr>
        <w:t>La</w:t>
      </w:r>
      <w:r>
        <w:rPr>
          <w:color w:val="231F20"/>
          <w:spacing w:val="-11"/>
          <w:w w:val="115"/>
        </w:rPr>
        <w:t> </w:t>
      </w:r>
      <w:r>
        <w:rPr>
          <w:color w:val="231F20"/>
          <w:w w:val="115"/>
        </w:rPr>
        <w:t>diversité</w:t>
      </w:r>
      <w:r>
        <w:rPr>
          <w:color w:val="231F20"/>
          <w:spacing w:val="-11"/>
          <w:w w:val="115"/>
        </w:rPr>
        <w:t> </w:t>
      </w:r>
      <w:r>
        <w:rPr>
          <w:color w:val="231F20"/>
          <w:w w:val="115"/>
        </w:rPr>
        <w:t>extrinsèque</w:t>
      </w:r>
      <w:r>
        <w:rPr>
          <w:color w:val="231F20"/>
          <w:spacing w:val="-11"/>
          <w:w w:val="115"/>
        </w:rPr>
        <w:t> </w:t>
      </w:r>
      <w:r>
        <w:rPr>
          <w:color w:val="231F20"/>
          <w:w w:val="115"/>
        </w:rPr>
        <w:t>renvoie</w:t>
      </w:r>
      <w:r>
        <w:rPr>
          <w:color w:val="231F20"/>
          <w:spacing w:val="-11"/>
          <w:w w:val="115"/>
        </w:rPr>
        <w:t> </w:t>
      </w:r>
      <w:r>
        <w:rPr>
          <w:color w:val="231F20"/>
          <w:w w:val="115"/>
        </w:rPr>
        <w:t>aux</w:t>
      </w:r>
      <w:r>
        <w:rPr>
          <w:color w:val="231F20"/>
          <w:spacing w:val="-11"/>
          <w:w w:val="115"/>
        </w:rPr>
        <w:t> </w:t>
      </w:r>
      <w:r>
        <w:rPr>
          <w:color w:val="231F20"/>
          <w:w w:val="115"/>
        </w:rPr>
        <w:t>aspects</w:t>
      </w:r>
      <w:r>
        <w:rPr>
          <w:color w:val="231F20"/>
          <w:spacing w:val="-11"/>
          <w:w w:val="115"/>
        </w:rPr>
        <w:t> </w:t>
      </w:r>
      <w:r>
        <w:rPr>
          <w:color w:val="231F20"/>
          <w:w w:val="115"/>
        </w:rPr>
        <w:t>liés</w:t>
      </w:r>
      <w:r>
        <w:rPr>
          <w:color w:val="231F20"/>
          <w:spacing w:val="-11"/>
          <w:w w:val="115"/>
        </w:rPr>
        <w:t> </w:t>
      </w:r>
      <w:r>
        <w:rPr>
          <w:color w:val="231F20"/>
          <w:w w:val="115"/>
        </w:rPr>
        <w:t>non</w:t>
      </w:r>
      <w:r>
        <w:rPr>
          <w:color w:val="231F20"/>
          <w:spacing w:val="-11"/>
          <w:w w:val="115"/>
        </w:rPr>
        <w:t> </w:t>
      </w:r>
      <w:r>
        <w:rPr>
          <w:color w:val="231F20"/>
          <w:w w:val="115"/>
        </w:rPr>
        <w:t>à</w:t>
      </w:r>
      <w:r>
        <w:rPr>
          <w:color w:val="231F20"/>
          <w:spacing w:val="-11"/>
          <w:w w:val="115"/>
        </w:rPr>
        <w:t> </w:t>
      </w:r>
      <w:r>
        <w:rPr>
          <w:color w:val="231F20"/>
          <w:w w:val="115"/>
        </w:rPr>
        <w:t>la</w:t>
      </w:r>
      <w:r>
        <w:rPr>
          <w:color w:val="231F20"/>
          <w:spacing w:val="-11"/>
          <w:w w:val="115"/>
        </w:rPr>
        <w:t> </w:t>
      </w:r>
      <w:r>
        <w:rPr>
          <w:color w:val="231F20"/>
          <w:w w:val="115"/>
        </w:rPr>
        <w:t>tâche</w:t>
      </w:r>
      <w:r>
        <w:rPr>
          <w:color w:val="231F20"/>
          <w:spacing w:val="-11"/>
          <w:w w:val="115"/>
        </w:rPr>
        <w:t> </w:t>
      </w:r>
      <w:r>
        <w:rPr>
          <w:color w:val="231F20"/>
          <w:w w:val="115"/>
        </w:rPr>
        <w:t>elle-même, </w:t>
      </w:r>
      <w:r>
        <w:rPr>
          <w:color w:val="231F20"/>
          <w:w w:val="120"/>
        </w:rPr>
        <w:t>mais au milieu où elle s’effectue (bruit, éclairage, emplacement, etc.).</w:t>
      </w:r>
    </w:p>
    <w:p>
      <w:pPr>
        <w:pStyle w:val="BodyText"/>
        <w:spacing w:line="307" w:lineRule="auto" w:before="209"/>
        <w:ind w:left="1220" w:right="104"/>
        <w:jc w:val="both"/>
      </w:pPr>
      <w:r>
        <w:rPr>
          <w:i/>
          <w:color w:val="231F20"/>
          <w:w w:val="115"/>
        </w:rPr>
        <w:t>Reconnaissance et rétroaction. </w:t>
      </w:r>
      <w:r>
        <w:rPr>
          <w:color w:val="231F20"/>
          <w:w w:val="115"/>
        </w:rPr>
        <w:t>Dans une certaine mesure, la rétroaction </w:t>
      </w:r>
      <w:r>
        <w:rPr>
          <w:color w:val="231F20"/>
          <w:w w:val="120"/>
        </w:rPr>
        <w:t>reçue</w:t>
      </w:r>
      <w:r>
        <w:rPr>
          <w:color w:val="231F20"/>
          <w:spacing w:val="-5"/>
          <w:w w:val="120"/>
        </w:rPr>
        <w:t> </w:t>
      </w:r>
      <w:r>
        <w:rPr>
          <w:color w:val="231F20"/>
          <w:w w:val="120"/>
        </w:rPr>
        <w:t>par</w:t>
      </w:r>
      <w:r>
        <w:rPr>
          <w:color w:val="231F20"/>
          <w:spacing w:val="-5"/>
          <w:w w:val="120"/>
        </w:rPr>
        <w:t> </w:t>
      </w:r>
      <w:r>
        <w:rPr>
          <w:color w:val="231F20"/>
          <w:w w:val="120"/>
        </w:rPr>
        <w:t>l’employé</w:t>
      </w:r>
      <w:r>
        <w:rPr>
          <w:color w:val="231F20"/>
          <w:spacing w:val="-5"/>
          <w:w w:val="120"/>
        </w:rPr>
        <w:t> </w:t>
      </w:r>
      <w:r>
        <w:rPr>
          <w:color w:val="231F20"/>
          <w:w w:val="120"/>
        </w:rPr>
        <w:t>sur</w:t>
      </w:r>
      <w:r>
        <w:rPr>
          <w:color w:val="231F20"/>
          <w:spacing w:val="-5"/>
          <w:w w:val="120"/>
        </w:rPr>
        <w:t> </w:t>
      </w:r>
      <w:r>
        <w:rPr>
          <w:color w:val="231F20"/>
          <w:w w:val="120"/>
        </w:rPr>
        <w:t>ses</w:t>
      </w:r>
      <w:r>
        <w:rPr>
          <w:color w:val="231F20"/>
          <w:spacing w:val="-5"/>
          <w:w w:val="120"/>
        </w:rPr>
        <w:t> </w:t>
      </w:r>
      <w:r>
        <w:rPr>
          <w:color w:val="231F20"/>
          <w:w w:val="120"/>
        </w:rPr>
        <w:t>actions</w:t>
      </w:r>
      <w:r>
        <w:rPr>
          <w:color w:val="231F20"/>
          <w:spacing w:val="-5"/>
          <w:w w:val="120"/>
        </w:rPr>
        <w:t> </w:t>
      </w:r>
      <w:r>
        <w:rPr>
          <w:color w:val="231F20"/>
          <w:w w:val="120"/>
        </w:rPr>
        <w:t>est</w:t>
      </w:r>
      <w:r>
        <w:rPr>
          <w:color w:val="231F20"/>
          <w:spacing w:val="-5"/>
          <w:w w:val="120"/>
        </w:rPr>
        <w:t> </w:t>
      </w:r>
      <w:r>
        <w:rPr>
          <w:color w:val="231F20"/>
          <w:w w:val="120"/>
        </w:rPr>
        <w:t>un</w:t>
      </w:r>
      <w:r>
        <w:rPr>
          <w:color w:val="231F20"/>
          <w:spacing w:val="-5"/>
          <w:w w:val="120"/>
        </w:rPr>
        <w:t> </w:t>
      </w:r>
      <w:r>
        <w:rPr>
          <w:color w:val="231F20"/>
          <w:w w:val="120"/>
        </w:rPr>
        <w:t>aspect</w:t>
      </w:r>
      <w:r>
        <w:rPr>
          <w:color w:val="231F20"/>
          <w:spacing w:val="-5"/>
          <w:w w:val="120"/>
        </w:rPr>
        <w:t> </w:t>
      </w:r>
      <w:r>
        <w:rPr>
          <w:color w:val="231F20"/>
          <w:w w:val="120"/>
        </w:rPr>
        <w:t>valorisé.</w:t>
      </w:r>
      <w:r>
        <w:rPr>
          <w:color w:val="231F20"/>
          <w:spacing w:val="-5"/>
          <w:w w:val="120"/>
        </w:rPr>
        <w:t> </w:t>
      </w:r>
      <w:r>
        <w:rPr>
          <w:color w:val="231F20"/>
          <w:w w:val="120"/>
        </w:rPr>
        <w:t>Il</w:t>
      </w:r>
      <w:r>
        <w:rPr>
          <w:color w:val="231F20"/>
          <w:spacing w:val="-5"/>
          <w:w w:val="120"/>
        </w:rPr>
        <w:t> </w:t>
      </w:r>
      <w:r>
        <w:rPr>
          <w:color w:val="231F20"/>
          <w:w w:val="120"/>
        </w:rPr>
        <w:t>est</w:t>
      </w:r>
      <w:r>
        <w:rPr>
          <w:color w:val="231F20"/>
          <w:spacing w:val="-5"/>
          <w:w w:val="120"/>
        </w:rPr>
        <w:t> </w:t>
      </w:r>
      <w:r>
        <w:rPr>
          <w:color w:val="231F20"/>
          <w:w w:val="120"/>
        </w:rPr>
        <w:t>prouvé que</w:t>
      </w:r>
      <w:r>
        <w:rPr>
          <w:color w:val="231F20"/>
          <w:spacing w:val="-13"/>
          <w:w w:val="120"/>
        </w:rPr>
        <w:t> </w:t>
      </w:r>
      <w:r>
        <w:rPr>
          <w:color w:val="231F20"/>
          <w:w w:val="120"/>
        </w:rPr>
        <w:t>cette</w:t>
      </w:r>
      <w:r>
        <w:rPr>
          <w:color w:val="231F20"/>
          <w:spacing w:val="-13"/>
          <w:w w:val="120"/>
        </w:rPr>
        <w:t> </w:t>
      </w:r>
      <w:r>
        <w:rPr>
          <w:color w:val="231F20"/>
          <w:w w:val="120"/>
        </w:rPr>
        <w:t>caractéristique</w:t>
      </w:r>
      <w:r>
        <w:rPr>
          <w:color w:val="231F20"/>
          <w:spacing w:val="-13"/>
          <w:w w:val="120"/>
        </w:rPr>
        <w:t> </w:t>
      </w:r>
      <w:r>
        <w:rPr>
          <w:color w:val="231F20"/>
          <w:w w:val="120"/>
        </w:rPr>
        <w:t>d’emploi</w:t>
      </w:r>
      <w:r>
        <w:rPr>
          <w:color w:val="231F20"/>
          <w:spacing w:val="-12"/>
          <w:w w:val="120"/>
        </w:rPr>
        <w:t> </w:t>
      </w:r>
      <w:r>
        <w:rPr>
          <w:color w:val="231F20"/>
          <w:w w:val="120"/>
        </w:rPr>
        <w:t>a</w:t>
      </w:r>
      <w:r>
        <w:rPr>
          <w:color w:val="231F20"/>
          <w:spacing w:val="-13"/>
          <w:w w:val="120"/>
        </w:rPr>
        <w:t> </w:t>
      </w:r>
      <w:r>
        <w:rPr>
          <w:color w:val="231F20"/>
          <w:w w:val="120"/>
        </w:rPr>
        <w:t>une</w:t>
      </w:r>
      <w:r>
        <w:rPr>
          <w:color w:val="231F20"/>
          <w:spacing w:val="-13"/>
          <w:w w:val="120"/>
        </w:rPr>
        <w:t> </w:t>
      </w:r>
      <w:r>
        <w:rPr>
          <w:color w:val="231F20"/>
          <w:w w:val="120"/>
        </w:rPr>
        <w:t>incidence</w:t>
      </w:r>
      <w:r>
        <w:rPr>
          <w:color w:val="231F20"/>
          <w:spacing w:val="-13"/>
          <w:w w:val="120"/>
        </w:rPr>
        <w:t> </w:t>
      </w:r>
      <w:r>
        <w:rPr>
          <w:color w:val="231F20"/>
          <w:w w:val="120"/>
        </w:rPr>
        <w:t>positive</w:t>
      </w:r>
      <w:r>
        <w:rPr>
          <w:color w:val="231F20"/>
          <w:spacing w:val="-12"/>
          <w:w w:val="120"/>
        </w:rPr>
        <w:t> </w:t>
      </w:r>
      <w:r>
        <w:rPr>
          <w:color w:val="231F20"/>
          <w:w w:val="120"/>
        </w:rPr>
        <w:t>sur</w:t>
      </w:r>
      <w:r>
        <w:rPr>
          <w:color w:val="231F20"/>
          <w:spacing w:val="-13"/>
          <w:w w:val="120"/>
        </w:rPr>
        <w:t> </w:t>
      </w:r>
      <w:r>
        <w:rPr>
          <w:color w:val="231F20"/>
          <w:w w:val="120"/>
        </w:rPr>
        <w:t>le</w:t>
      </w:r>
      <w:r>
        <w:rPr>
          <w:color w:val="231F20"/>
          <w:spacing w:val="-13"/>
          <w:w w:val="120"/>
        </w:rPr>
        <w:t> </w:t>
      </w:r>
      <w:r>
        <w:rPr>
          <w:color w:val="231F20"/>
          <w:w w:val="120"/>
        </w:rPr>
        <w:t>niveau de</w:t>
      </w:r>
      <w:r>
        <w:rPr>
          <w:color w:val="231F20"/>
          <w:spacing w:val="-3"/>
          <w:w w:val="120"/>
        </w:rPr>
        <w:t> </w:t>
      </w:r>
      <w:r>
        <w:rPr>
          <w:color w:val="231F20"/>
          <w:w w:val="120"/>
        </w:rPr>
        <w:t>motivation</w:t>
      </w:r>
      <w:r>
        <w:rPr>
          <w:color w:val="231F20"/>
          <w:spacing w:val="-3"/>
          <w:w w:val="120"/>
        </w:rPr>
        <w:t> </w:t>
      </w:r>
      <w:r>
        <w:rPr>
          <w:color w:val="231F20"/>
          <w:w w:val="120"/>
        </w:rPr>
        <w:t>et</w:t>
      </w:r>
      <w:r>
        <w:rPr>
          <w:color w:val="231F20"/>
          <w:spacing w:val="-3"/>
          <w:w w:val="120"/>
        </w:rPr>
        <w:t> </w:t>
      </w:r>
      <w:r>
        <w:rPr>
          <w:color w:val="231F20"/>
          <w:w w:val="120"/>
        </w:rPr>
        <w:t>de</w:t>
      </w:r>
      <w:r>
        <w:rPr>
          <w:color w:val="231F20"/>
          <w:spacing w:val="-3"/>
          <w:w w:val="120"/>
        </w:rPr>
        <w:t> </w:t>
      </w:r>
      <w:r>
        <w:rPr>
          <w:color w:val="231F20"/>
          <w:w w:val="120"/>
        </w:rPr>
        <w:t>satisfaction</w:t>
      </w:r>
      <w:r>
        <w:rPr>
          <w:color w:val="231F20"/>
          <w:spacing w:val="-3"/>
          <w:w w:val="120"/>
        </w:rPr>
        <w:t> </w:t>
      </w:r>
      <w:r>
        <w:rPr>
          <w:color w:val="231F20"/>
          <w:w w:val="120"/>
        </w:rPr>
        <w:t>professionnelles</w:t>
      </w:r>
      <w:r>
        <w:rPr>
          <w:color w:val="231F20"/>
          <w:spacing w:val="-3"/>
          <w:w w:val="120"/>
        </w:rPr>
        <w:t> </w:t>
      </w:r>
      <w:r>
        <w:rPr>
          <w:color w:val="231F20"/>
          <w:w w:val="120"/>
        </w:rPr>
        <w:t>des</w:t>
      </w:r>
      <w:r>
        <w:rPr>
          <w:color w:val="231F20"/>
          <w:spacing w:val="-3"/>
          <w:w w:val="120"/>
        </w:rPr>
        <w:t> </w:t>
      </w:r>
      <w:r>
        <w:rPr>
          <w:color w:val="231F20"/>
          <w:w w:val="120"/>
        </w:rPr>
        <w:t>travailleurs.</w:t>
      </w:r>
      <w:r>
        <w:rPr>
          <w:color w:val="231F20"/>
          <w:spacing w:val="-3"/>
          <w:w w:val="120"/>
        </w:rPr>
        <w:t> </w:t>
      </w:r>
      <w:r>
        <w:rPr>
          <w:color w:val="231F20"/>
          <w:w w:val="120"/>
        </w:rPr>
        <w:t>Dans </w:t>
      </w:r>
      <w:r>
        <w:rPr>
          <w:color w:val="231F20"/>
          <w:spacing w:val="-2"/>
          <w:w w:val="120"/>
        </w:rPr>
        <w:t>une</w:t>
      </w:r>
      <w:r>
        <w:rPr>
          <w:color w:val="231F20"/>
          <w:spacing w:val="-11"/>
          <w:w w:val="120"/>
        </w:rPr>
        <w:t> </w:t>
      </w:r>
      <w:r>
        <w:rPr>
          <w:color w:val="231F20"/>
          <w:spacing w:val="-2"/>
          <w:w w:val="120"/>
        </w:rPr>
        <w:t>logique</w:t>
      </w:r>
      <w:r>
        <w:rPr>
          <w:color w:val="231F20"/>
          <w:spacing w:val="-11"/>
          <w:w w:val="120"/>
        </w:rPr>
        <w:t> </w:t>
      </w:r>
      <w:r>
        <w:rPr>
          <w:color w:val="231F20"/>
          <w:spacing w:val="-2"/>
          <w:w w:val="120"/>
        </w:rPr>
        <w:t>d’un</w:t>
      </w:r>
      <w:r>
        <w:rPr>
          <w:color w:val="231F20"/>
          <w:spacing w:val="-11"/>
          <w:w w:val="120"/>
        </w:rPr>
        <w:t> </w:t>
      </w:r>
      <w:r>
        <w:rPr>
          <w:color w:val="231F20"/>
          <w:spacing w:val="-2"/>
          <w:w w:val="120"/>
        </w:rPr>
        <w:t>équilibre</w:t>
      </w:r>
      <w:r>
        <w:rPr>
          <w:color w:val="231F20"/>
          <w:spacing w:val="-10"/>
          <w:w w:val="120"/>
        </w:rPr>
        <w:t> </w:t>
      </w:r>
      <w:r>
        <w:rPr>
          <w:color w:val="231F20"/>
          <w:spacing w:val="-2"/>
          <w:w w:val="120"/>
        </w:rPr>
        <w:t>entre</w:t>
      </w:r>
      <w:r>
        <w:rPr>
          <w:color w:val="231F20"/>
          <w:spacing w:val="-11"/>
          <w:w w:val="120"/>
        </w:rPr>
        <w:t> </w:t>
      </w:r>
      <w:r>
        <w:rPr>
          <w:color w:val="231F20"/>
          <w:spacing w:val="-2"/>
          <w:w w:val="120"/>
        </w:rPr>
        <w:t>la</w:t>
      </w:r>
      <w:r>
        <w:rPr>
          <w:color w:val="231F20"/>
          <w:spacing w:val="-11"/>
          <w:w w:val="120"/>
        </w:rPr>
        <w:t> </w:t>
      </w:r>
      <w:r>
        <w:rPr>
          <w:color w:val="231F20"/>
          <w:spacing w:val="-2"/>
          <w:w w:val="120"/>
        </w:rPr>
        <w:t>contribution</w:t>
      </w:r>
      <w:r>
        <w:rPr>
          <w:color w:val="231F20"/>
          <w:spacing w:val="-11"/>
          <w:w w:val="120"/>
        </w:rPr>
        <w:t> </w:t>
      </w:r>
      <w:r>
        <w:rPr>
          <w:color w:val="231F20"/>
          <w:spacing w:val="-2"/>
          <w:w w:val="120"/>
        </w:rPr>
        <w:t>et</w:t>
      </w:r>
      <w:r>
        <w:rPr>
          <w:color w:val="231F20"/>
          <w:spacing w:val="-10"/>
          <w:w w:val="120"/>
        </w:rPr>
        <w:t> </w:t>
      </w:r>
      <w:r>
        <w:rPr>
          <w:color w:val="231F20"/>
          <w:spacing w:val="-2"/>
          <w:w w:val="120"/>
        </w:rPr>
        <w:t>la</w:t>
      </w:r>
      <w:r>
        <w:rPr>
          <w:color w:val="231F20"/>
          <w:spacing w:val="-11"/>
          <w:w w:val="120"/>
        </w:rPr>
        <w:t> </w:t>
      </w:r>
      <w:r>
        <w:rPr>
          <w:color w:val="231F20"/>
          <w:spacing w:val="-2"/>
          <w:w w:val="120"/>
        </w:rPr>
        <w:t>rétribution,</w:t>
      </w:r>
      <w:r>
        <w:rPr>
          <w:color w:val="231F20"/>
          <w:spacing w:val="-11"/>
          <w:w w:val="120"/>
        </w:rPr>
        <w:t> </w:t>
      </w:r>
      <w:r>
        <w:rPr>
          <w:color w:val="231F20"/>
          <w:spacing w:val="-2"/>
          <w:w w:val="120"/>
        </w:rPr>
        <w:t>la</w:t>
      </w:r>
      <w:r>
        <w:rPr>
          <w:color w:val="231F20"/>
          <w:spacing w:val="-11"/>
          <w:w w:val="120"/>
        </w:rPr>
        <w:t> </w:t>
      </w:r>
      <w:r>
        <w:rPr>
          <w:color w:val="231F20"/>
          <w:spacing w:val="-2"/>
          <w:w w:val="120"/>
        </w:rPr>
        <w:t>recon- </w:t>
      </w:r>
      <w:r>
        <w:rPr>
          <w:color w:val="231F20"/>
          <w:w w:val="120"/>
        </w:rPr>
        <w:t>naissance</w:t>
      </w:r>
      <w:r>
        <w:rPr>
          <w:color w:val="231F20"/>
          <w:spacing w:val="-2"/>
          <w:w w:val="120"/>
        </w:rPr>
        <w:t> </w:t>
      </w:r>
      <w:r>
        <w:rPr>
          <w:color w:val="231F20"/>
          <w:w w:val="120"/>
        </w:rPr>
        <w:t>et</w:t>
      </w:r>
      <w:r>
        <w:rPr>
          <w:color w:val="231F20"/>
          <w:spacing w:val="-2"/>
          <w:w w:val="120"/>
        </w:rPr>
        <w:t> </w:t>
      </w:r>
      <w:r>
        <w:rPr>
          <w:color w:val="231F20"/>
          <w:w w:val="120"/>
        </w:rPr>
        <w:t>la</w:t>
      </w:r>
      <w:r>
        <w:rPr>
          <w:color w:val="231F20"/>
          <w:spacing w:val="-2"/>
          <w:w w:val="120"/>
        </w:rPr>
        <w:t> </w:t>
      </w:r>
      <w:r>
        <w:rPr>
          <w:color w:val="231F20"/>
          <w:w w:val="120"/>
        </w:rPr>
        <w:t>rétroaction</w:t>
      </w:r>
      <w:r>
        <w:rPr>
          <w:color w:val="231F20"/>
          <w:spacing w:val="-2"/>
          <w:w w:val="120"/>
        </w:rPr>
        <w:t> </w:t>
      </w:r>
      <w:r>
        <w:rPr>
          <w:color w:val="231F20"/>
          <w:w w:val="120"/>
        </w:rPr>
        <w:t>positive</w:t>
      </w:r>
      <w:r>
        <w:rPr>
          <w:color w:val="231F20"/>
          <w:spacing w:val="-2"/>
          <w:w w:val="120"/>
        </w:rPr>
        <w:t> </w:t>
      </w:r>
      <w:r>
        <w:rPr>
          <w:color w:val="231F20"/>
          <w:w w:val="120"/>
        </w:rPr>
        <w:t>peuvent</w:t>
      </w:r>
      <w:r>
        <w:rPr>
          <w:color w:val="231F20"/>
          <w:spacing w:val="-2"/>
          <w:w w:val="120"/>
        </w:rPr>
        <w:t> </w:t>
      </w:r>
      <w:r>
        <w:rPr>
          <w:color w:val="231F20"/>
          <w:w w:val="120"/>
        </w:rPr>
        <w:t>atténuer</w:t>
      </w:r>
      <w:r>
        <w:rPr>
          <w:color w:val="231F20"/>
          <w:spacing w:val="-2"/>
          <w:w w:val="120"/>
        </w:rPr>
        <w:t> </w:t>
      </w:r>
      <w:r>
        <w:rPr>
          <w:color w:val="231F20"/>
          <w:w w:val="120"/>
        </w:rPr>
        <w:t>certains</w:t>
      </w:r>
      <w:r>
        <w:rPr>
          <w:color w:val="231F20"/>
          <w:spacing w:val="-2"/>
          <w:w w:val="120"/>
        </w:rPr>
        <w:t> </w:t>
      </w:r>
      <w:r>
        <w:rPr>
          <w:color w:val="231F20"/>
          <w:w w:val="120"/>
        </w:rPr>
        <w:t>effets</w:t>
      </w:r>
      <w:r>
        <w:rPr>
          <w:color w:val="231F20"/>
          <w:spacing w:val="-2"/>
          <w:w w:val="120"/>
        </w:rPr>
        <w:t> </w:t>
      </w:r>
      <w:r>
        <w:rPr>
          <w:color w:val="231F20"/>
          <w:w w:val="120"/>
        </w:rPr>
        <w:t>des sources intrinsèques de stress.</w:t>
      </w:r>
    </w:p>
    <w:p>
      <w:pPr>
        <w:pStyle w:val="BodyText"/>
        <w:spacing w:line="307" w:lineRule="auto" w:before="79"/>
        <w:ind w:left="1220" w:right="101" w:firstLine="250"/>
        <w:jc w:val="both"/>
      </w:pPr>
      <w:r>
        <w:rPr>
          <w:color w:val="231F20"/>
          <w:w w:val="120"/>
        </w:rPr>
        <w:t>La charge de travail est assurément le principal stresseur, comme </w:t>
      </w:r>
      <w:r>
        <w:rPr>
          <w:color w:val="231F20"/>
          <w:w w:val="115"/>
        </w:rPr>
        <w:t>l’illustre</w:t>
      </w:r>
      <w:r>
        <w:rPr>
          <w:color w:val="231F20"/>
          <w:spacing w:val="-4"/>
          <w:w w:val="115"/>
        </w:rPr>
        <w:t> </w:t>
      </w:r>
      <w:r>
        <w:rPr>
          <w:color w:val="231F20"/>
          <w:w w:val="115"/>
        </w:rPr>
        <w:t>la</w:t>
      </w:r>
      <w:r>
        <w:rPr>
          <w:color w:val="231F20"/>
          <w:spacing w:val="-4"/>
          <w:w w:val="115"/>
        </w:rPr>
        <w:t> </w:t>
      </w:r>
      <w:r>
        <w:rPr>
          <w:color w:val="231F20"/>
          <w:w w:val="115"/>
        </w:rPr>
        <w:t>figure</w:t>
      </w:r>
      <w:r>
        <w:rPr>
          <w:color w:val="231F20"/>
          <w:spacing w:val="-4"/>
          <w:w w:val="115"/>
        </w:rPr>
        <w:t> </w:t>
      </w:r>
      <w:r>
        <w:rPr>
          <w:color w:val="231F20"/>
          <w:w w:val="115"/>
        </w:rPr>
        <w:t>3.4,</w:t>
      </w:r>
      <w:r>
        <w:rPr>
          <w:color w:val="231F20"/>
          <w:spacing w:val="-4"/>
          <w:w w:val="115"/>
        </w:rPr>
        <w:t> </w:t>
      </w:r>
      <w:r>
        <w:rPr>
          <w:color w:val="231F20"/>
          <w:w w:val="115"/>
        </w:rPr>
        <w:t>que</w:t>
      </w:r>
      <w:r>
        <w:rPr>
          <w:color w:val="231F20"/>
          <w:spacing w:val="-4"/>
          <w:w w:val="115"/>
        </w:rPr>
        <w:t> </w:t>
      </w:r>
      <w:r>
        <w:rPr>
          <w:color w:val="231F20"/>
          <w:w w:val="115"/>
        </w:rPr>
        <w:t>l’on</w:t>
      </w:r>
      <w:r>
        <w:rPr>
          <w:color w:val="231F20"/>
          <w:spacing w:val="-4"/>
          <w:w w:val="115"/>
        </w:rPr>
        <w:t> </w:t>
      </w:r>
      <w:r>
        <w:rPr>
          <w:color w:val="231F20"/>
          <w:w w:val="115"/>
        </w:rPr>
        <w:t>retrouve</w:t>
      </w:r>
      <w:r>
        <w:rPr>
          <w:color w:val="231F20"/>
          <w:spacing w:val="-4"/>
          <w:w w:val="115"/>
        </w:rPr>
        <w:t> </w:t>
      </w:r>
      <w:r>
        <w:rPr>
          <w:color w:val="231F20"/>
          <w:w w:val="115"/>
        </w:rPr>
        <w:t>dans</w:t>
      </w:r>
      <w:r>
        <w:rPr>
          <w:color w:val="231F20"/>
          <w:spacing w:val="-4"/>
          <w:w w:val="115"/>
        </w:rPr>
        <w:t> </w:t>
      </w:r>
      <w:r>
        <w:rPr>
          <w:color w:val="231F20"/>
          <w:w w:val="115"/>
        </w:rPr>
        <w:t>la</w:t>
      </w:r>
      <w:r>
        <w:rPr>
          <w:color w:val="231F20"/>
          <w:spacing w:val="-4"/>
          <w:w w:val="115"/>
        </w:rPr>
        <w:t> </w:t>
      </w:r>
      <w:r>
        <w:rPr>
          <w:color w:val="231F20"/>
          <w:w w:val="115"/>
        </w:rPr>
        <w:t>plupart</w:t>
      </w:r>
      <w:r>
        <w:rPr>
          <w:color w:val="231F20"/>
          <w:spacing w:val="-4"/>
          <w:w w:val="115"/>
        </w:rPr>
        <w:t> </w:t>
      </w:r>
      <w:r>
        <w:rPr>
          <w:color w:val="231F20"/>
          <w:w w:val="115"/>
        </w:rPr>
        <w:t>des</w:t>
      </w:r>
      <w:r>
        <w:rPr>
          <w:color w:val="231F20"/>
          <w:spacing w:val="-4"/>
          <w:w w:val="115"/>
        </w:rPr>
        <w:t> </w:t>
      </w:r>
      <w:r>
        <w:rPr>
          <w:color w:val="231F20"/>
          <w:w w:val="115"/>
        </w:rPr>
        <w:t>organisations. </w:t>
      </w:r>
      <w:r>
        <w:rPr>
          <w:color w:val="231F20"/>
          <w:w w:val="120"/>
        </w:rPr>
        <w:t>Il est intéressant de noter que ce stresseur peut tant être catégorisé comme une source extrinsèque que comme une source intrinsèque de stress. La notion de </w:t>
      </w:r>
      <w:r>
        <w:rPr>
          <w:i/>
          <w:color w:val="231F20"/>
          <w:w w:val="120"/>
        </w:rPr>
        <w:t>charge de travail </w:t>
      </w:r>
      <w:r>
        <w:rPr>
          <w:color w:val="231F20"/>
          <w:w w:val="120"/>
        </w:rPr>
        <w:t>est un terme générique qui peut inclure</w:t>
      </w:r>
      <w:r>
        <w:rPr>
          <w:color w:val="231F20"/>
          <w:spacing w:val="-11"/>
          <w:w w:val="120"/>
        </w:rPr>
        <w:t> </w:t>
      </w:r>
      <w:r>
        <w:rPr>
          <w:color w:val="231F20"/>
          <w:w w:val="120"/>
        </w:rPr>
        <w:t>une multitude de facettes de la réalité d’un emploi</w:t>
      </w:r>
      <w:r>
        <w:rPr>
          <w:color w:val="231F20"/>
          <w:spacing w:val="-13"/>
          <w:w w:val="120"/>
        </w:rPr>
        <w:t> </w:t>
      </w:r>
      <w:r>
        <w:rPr>
          <w:color w:val="231F20"/>
          <w:w w:val="120"/>
        </w:rPr>
        <w:t>; il est ainsi </w:t>
      </w:r>
      <w:r>
        <w:rPr>
          <w:color w:val="231F20"/>
          <w:spacing w:val="-2"/>
          <w:w w:val="120"/>
        </w:rPr>
        <w:t>possible</w:t>
      </w:r>
      <w:r>
        <w:rPr>
          <w:color w:val="231F20"/>
          <w:spacing w:val="-6"/>
          <w:w w:val="120"/>
        </w:rPr>
        <w:t> </w:t>
      </w:r>
      <w:r>
        <w:rPr>
          <w:color w:val="231F20"/>
          <w:spacing w:val="-2"/>
          <w:w w:val="120"/>
        </w:rPr>
        <w:t>pour</w:t>
      </w:r>
      <w:r>
        <w:rPr>
          <w:color w:val="231F20"/>
          <w:spacing w:val="-6"/>
          <w:w w:val="120"/>
        </w:rPr>
        <w:t> </w:t>
      </w:r>
      <w:r>
        <w:rPr>
          <w:color w:val="231F20"/>
          <w:spacing w:val="-2"/>
          <w:w w:val="120"/>
        </w:rPr>
        <w:t>certains</w:t>
      </w:r>
      <w:r>
        <w:rPr>
          <w:color w:val="231F20"/>
          <w:spacing w:val="-6"/>
          <w:w w:val="120"/>
        </w:rPr>
        <w:t> </w:t>
      </w:r>
      <w:r>
        <w:rPr>
          <w:color w:val="231F20"/>
          <w:spacing w:val="-2"/>
          <w:w w:val="120"/>
        </w:rPr>
        <w:t>de</w:t>
      </w:r>
      <w:r>
        <w:rPr>
          <w:color w:val="231F20"/>
          <w:spacing w:val="-6"/>
          <w:w w:val="120"/>
        </w:rPr>
        <w:t> </w:t>
      </w:r>
      <w:r>
        <w:rPr>
          <w:color w:val="231F20"/>
          <w:spacing w:val="-2"/>
          <w:w w:val="120"/>
        </w:rPr>
        <w:t>décomposer</w:t>
      </w:r>
      <w:r>
        <w:rPr>
          <w:color w:val="231F20"/>
          <w:spacing w:val="-6"/>
          <w:w w:val="120"/>
        </w:rPr>
        <w:t> </w:t>
      </w:r>
      <w:r>
        <w:rPr>
          <w:color w:val="231F20"/>
          <w:spacing w:val="-2"/>
          <w:w w:val="120"/>
        </w:rPr>
        <w:t>les</w:t>
      </w:r>
      <w:r>
        <w:rPr>
          <w:color w:val="231F20"/>
          <w:spacing w:val="-6"/>
          <w:w w:val="120"/>
        </w:rPr>
        <w:t> </w:t>
      </w:r>
      <w:r>
        <w:rPr>
          <w:color w:val="231F20"/>
          <w:spacing w:val="-2"/>
          <w:w w:val="120"/>
        </w:rPr>
        <w:t>tâches,</w:t>
      </w:r>
      <w:r>
        <w:rPr>
          <w:color w:val="231F20"/>
          <w:spacing w:val="-6"/>
          <w:w w:val="120"/>
        </w:rPr>
        <w:t> </w:t>
      </w:r>
      <w:r>
        <w:rPr>
          <w:color w:val="231F20"/>
          <w:spacing w:val="-2"/>
          <w:w w:val="120"/>
        </w:rPr>
        <w:t>par</w:t>
      </w:r>
      <w:r>
        <w:rPr>
          <w:color w:val="231F20"/>
          <w:spacing w:val="-6"/>
          <w:w w:val="120"/>
        </w:rPr>
        <w:t> </w:t>
      </w:r>
      <w:r>
        <w:rPr>
          <w:color w:val="231F20"/>
          <w:spacing w:val="-2"/>
          <w:w w:val="120"/>
        </w:rPr>
        <w:t>exemple,</w:t>
      </w:r>
      <w:r>
        <w:rPr>
          <w:color w:val="231F20"/>
          <w:spacing w:val="-6"/>
          <w:w w:val="120"/>
        </w:rPr>
        <w:t> </w:t>
      </w:r>
      <w:r>
        <w:rPr>
          <w:color w:val="231F20"/>
          <w:spacing w:val="-2"/>
          <w:w w:val="120"/>
        </w:rPr>
        <w:t>en</w:t>
      </w:r>
      <w:r>
        <w:rPr>
          <w:color w:val="231F20"/>
          <w:spacing w:val="-6"/>
          <w:w w:val="120"/>
        </w:rPr>
        <w:t> </w:t>
      </w:r>
      <w:r>
        <w:rPr>
          <w:color w:val="231F20"/>
          <w:spacing w:val="-2"/>
          <w:w w:val="120"/>
        </w:rPr>
        <w:t>charge émotionnelle, charge cognitive, charge psychologique, charge quantita- tive,</w:t>
      </w:r>
      <w:r>
        <w:rPr>
          <w:color w:val="231F20"/>
          <w:spacing w:val="-11"/>
          <w:w w:val="120"/>
        </w:rPr>
        <w:t> </w:t>
      </w:r>
      <w:r>
        <w:rPr>
          <w:color w:val="231F20"/>
          <w:spacing w:val="-2"/>
          <w:w w:val="120"/>
        </w:rPr>
        <w:t>charge</w:t>
      </w:r>
      <w:r>
        <w:rPr>
          <w:color w:val="231F20"/>
          <w:spacing w:val="-11"/>
          <w:w w:val="120"/>
        </w:rPr>
        <w:t> </w:t>
      </w:r>
      <w:r>
        <w:rPr>
          <w:color w:val="231F20"/>
          <w:spacing w:val="-2"/>
          <w:w w:val="120"/>
        </w:rPr>
        <w:t>qualitative.</w:t>
      </w:r>
      <w:r>
        <w:rPr>
          <w:color w:val="231F20"/>
          <w:spacing w:val="-11"/>
          <w:w w:val="120"/>
        </w:rPr>
        <w:t> </w:t>
      </w:r>
      <w:r>
        <w:rPr>
          <w:color w:val="231F20"/>
          <w:spacing w:val="-2"/>
          <w:w w:val="120"/>
        </w:rPr>
        <w:t>Il</w:t>
      </w:r>
      <w:r>
        <w:rPr>
          <w:color w:val="231F20"/>
          <w:spacing w:val="-10"/>
          <w:w w:val="120"/>
        </w:rPr>
        <w:t> </w:t>
      </w:r>
      <w:r>
        <w:rPr>
          <w:color w:val="231F20"/>
          <w:spacing w:val="-2"/>
          <w:w w:val="120"/>
        </w:rPr>
        <w:t>convient</w:t>
      </w:r>
      <w:r>
        <w:rPr>
          <w:color w:val="231F20"/>
          <w:spacing w:val="-11"/>
          <w:w w:val="120"/>
        </w:rPr>
        <w:t> </w:t>
      </w:r>
      <w:r>
        <w:rPr>
          <w:color w:val="231F20"/>
          <w:spacing w:val="-2"/>
          <w:w w:val="120"/>
        </w:rPr>
        <w:t>de</w:t>
      </w:r>
      <w:r>
        <w:rPr>
          <w:color w:val="231F20"/>
          <w:spacing w:val="-11"/>
          <w:w w:val="120"/>
        </w:rPr>
        <w:t> </w:t>
      </w:r>
      <w:r>
        <w:rPr>
          <w:color w:val="231F20"/>
          <w:spacing w:val="-2"/>
          <w:w w:val="120"/>
        </w:rPr>
        <w:t>distinguer,</w:t>
      </w:r>
      <w:r>
        <w:rPr>
          <w:color w:val="231F20"/>
          <w:spacing w:val="-11"/>
          <w:w w:val="120"/>
        </w:rPr>
        <w:t> </w:t>
      </w:r>
      <w:r>
        <w:rPr>
          <w:color w:val="231F20"/>
          <w:spacing w:val="-2"/>
          <w:w w:val="120"/>
        </w:rPr>
        <w:t>entre</w:t>
      </w:r>
      <w:r>
        <w:rPr>
          <w:color w:val="231F20"/>
          <w:spacing w:val="-10"/>
          <w:w w:val="120"/>
        </w:rPr>
        <w:t> </w:t>
      </w:r>
      <w:r>
        <w:rPr>
          <w:color w:val="231F20"/>
          <w:spacing w:val="-2"/>
          <w:w w:val="120"/>
        </w:rPr>
        <w:t>autres,</w:t>
      </w:r>
      <w:r>
        <w:rPr>
          <w:color w:val="231F20"/>
          <w:spacing w:val="-11"/>
          <w:w w:val="120"/>
        </w:rPr>
        <w:t> </w:t>
      </w:r>
      <w:r>
        <w:rPr>
          <w:color w:val="231F20"/>
          <w:spacing w:val="-2"/>
          <w:w w:val="120"/>
        </w:rPr>
        <w:t>les</w:t>
      </w:r>
      <w:r>
        <w:rPr>
          <w:color w:val="231F20"/>
          <w:spacing w:val="-11"/>
          <w:w w:val="120"/>
        </w:rPr>
        <w:t> </w:t>
      </w:r>
      <w:r>
        <w:rPr>
          <w:color w:val="231F20"/>
          <w:spacing w:val="-2"/>
          <w:w w:val="120"/>
        </w:rPr>
        <w:t>aspects </w:t>
      </w:r>
      <w:r>
        <w:rPr>
          <w:color w:val="231F20"/>
          <w:spacing w:val="-4"/>
          <w:w w:val="120"/>
        </w:rPr>
        <w:t>quantitatifs et qualitatifs de la charge de travail. La charge quantitative de </w:t>
      </w:r>
      <w:r>
        <w:rPr>
          <w:color w:val="231F20"/>
          <w:w w:val="120"/>
        </w:rPr>
        <w:t>travail</w:t>
      </w:r>
      <w:r>
        <w:rPr>
          <w:color w:val="231F20"/>
          <w:spacing w:val="-10"/>
          <w:w w:val="120"/>
        </w:rPr>
        <w:t> </w:t>
      </w:r>
      <w:r>
        <w:rPr>
          <w:color w:val="231F20"/>
          <w:w w:val="120"/>
        </w:rPr>
        <w:t>regroupe</w:t>
      </w:r>
      <w:r>
        <w:rPr>
          <w:color w:val="231F20"/>
          <w:spacing w:val="-10"/>
          <w:w w:val="120"/>
        </w:rPr>
        <w:t> </w:t>
      </w:r>
      <w:r>
        <w:rPr>
          <w:color w:val="231F20"/>
          <w:w w:val="120"/>
        </w:rPr>
        <w:t>les</w:t>
      </w:r>
      <w:r>
        <w:rPr>
          <w:color w:val="231F20"/>
          <w:spacing w:val="-10"/>
          <w:w w:val="120"/>
        </w:rPr>
        <w:t> </w:t>
      </w:r>
      <w:r>
        <w:rPr>
          <w:color w:val="231F20"/>
          <w:w w:val="120"/>
        </w:rPr>
        <w:t>aspects</w:t>
      </w:r>
      <w:r>
        <w:rPr>
          <w:color w:val="231F20"/>
          <w:spacing w:val="-10"/>
          <w:w w:val="120"/>
        </w:rPr>
        <w:t> </w:t>
      </w:r>
      <w:r>
        <w:rPr>
          <w:color w:val="231F20"/>
          <w:w w:val="120"/>
        </w:rPr>
        <w:t>concernant</w:t>
      </w:r>
      <w:r>
        <w:rPr>
          <w:color w:val="231F20"/>
          <w:spacing w:val="-10"/>
          <w:w w:val="120"/>
        </w:rPr>
        <w:t> </w:t>
      </w:r>
      <w:r>
        <w:rPr>
          <w:color w:val="231F20"/>
          <w:w w:val="120"/>
        </w:rPr>
        <w:t>l’importance</w:t>
      </w:r>
      <w:r>
        <w:rPr>
          <w:color w:val="231F20"/>
          <w:spacing w:val="-10"/>
          <w:w w:val="120"/>
        </w:rPr>
        <w:t> </w:t>
      </w:r>
      <w:r>
        <w:rPr>
          <w:color w:val="231F20"/>
          <w:w w:val="120"/>
        </w:rPr>
        <w:t>des</w:t>
      </w:r>
      <w:r>
        <w:rPr>
          <w:color w:val="231F20"/>
          <w:spacing w:val="-10"/>
          <w:w w:val="120"/>
        </w:rPr>
        <w:t> </w:t>
      </w:r>
      <w:r>
        <w:rPr>
          <w:color w:val="231F20"/>
          <w:w w:val="120"/>
        </w:rPr>
        <w:t>tâches</w:t>
      </w:r>
      <w:r>
        <w:rPr>
          <w:color w:val="231F20"/>
          <w:spacing w:val="-10"/>
          <w:w w:val="120"/>
        </w:rPr>
        <w:t> </w:t>
      </w:r>
      <w:r>
        <w:rPr>
          <w:color w:val="231F20"/>
          <w:w w:val="120"/>
        </w:rPr>
        <w:t>à</w:t>
      </w:r>
      <w:r>
        <w:rPr>
          <w:color w:val="231F20"/>
          <w:spacing w:val="-10"/>
          <w:w w:val="120"/>
        </w:rPr>
        <w:t> </w:t>
      </w:r>
      <w:r>
        <w:rPr>
          <w:color w:val="231F20"/>
          <w:w w:val="120"/>
        </w:rPr>
        <w:t>effec- </w:t>
      </w:r>
      <w:r>
        <w:rPr>
          <w:color w:val="231F20"/>
          <w:spacing w:val="-2"/>
          <w:w w:val="120"/>
        </w:rPr>
        <w:t>tuer</w:t>
      </w:r>
      <w:r>
        <w:rPr>
          <w:color w:val="231F20"/>
          <w:spacing w:val="-19"/>
          <w:w w:val="120"/>
        </w:rPr>
        <w:t> </w:t>
      </w:r>
      <w:r>
        <w:rPr>
          <w:color w:val="231F20"/>
          <w:spacing w:val="-2"/>
          <w:w w:val="120"/>
        </w:rPr>
        <w:t>en</w:t>
      </w:r>
      <w:r>
        <w:rPr>
          <w:color w:val="231F20"/>
          <w:spacing w:val="-19"/>
          <w:w w:val="120"/>
        </w:rPr>
        <w:t> </w:t>
      </w:r>
      <w:r>
        <w:rPr>
          <w:color w:val="231F20"/>
          <w:spacing w:val="-2"/>
          <w:w w:val="120"/>
        </w:rPr>
        <w:t>fonction</w:t>
      </w:r>
      <w:r>
        <w:rPr>
          <w:color w:val="231F20"/>
          <w:spacing w:val="-19"/>
          <w:w w:val="120"/>
        </w:rPr>
        <w:t> </w:t>
      </w:r>
      <w:r>
        <w:rPr>
          <w:color w:val="231F20"/>
          <w:spacing w:val="-2"/>
          <w:w w:val="120"/>
        </w:rPr>
        <w:t>d’un</w:t>
      </w:r>
      <w:r>
        <w:rPr>
          <w:color w:val="231F20"/>
          <w:spacing w:val="-19"/>
          <w:w w:val="120"/>
        </w:rPr>
        <w:t> </w:t>
      </w:r>
      <w:r>
        <w:rPr>
          <w:color w:val="231F20"/>
          <w:spacing w:val="-2"/>
          <w:w w:val="120"/>
        </w:rPr>
        <w:t>délai</w:t>
      </w:r>
      <w:r>
        <w:rPr>
          <w:color w:val="231F20"/>
          <w:spacing w:val="-19"/>
          <w:w w:val="120"/>
        </w:rPr>
        <w:t> </w:t>
      </w:r>
      <w:r>
        <w:rPr>
          <w:color w:val="231F20"/>
          <w:spacing w:val="-2"/>
          <w:w w:val="120"/>
        </w:rPr>
        <w:t>prescrit.</w:t>
      </w:r>
      <w:r>
        <w:rPr>
          <w:color w:val="231F20"/>
          <w:spacing w:val="-19"/>
          <w:w w:val="120"/>
        </w:rPr>
        <w:t> </w:t>
      </w:r>
      <w:r>
        <w:rPr>
          <w:color w:val="231F20"/>
          <w:spacing w:val="-2"/>
          <w:w w:val="120"/>
        </w:rPr>
        <w:t>Simplement</w:t>
      </w:r>
      <w:r>
        <w:rPr>
          <w:color w:val="231F20"/>
          <w:spacing w:val="-19"/>
          <w:w w:val="120"/>
        </w:rPr>
        <w:t> </w:t>
      </w:r>
      <w:r>
        <w:rPr>
          <w:color w:val="231F20"/>
          <w:spacing w:val="-2"/>
          <w:w w:val="120"/>
        </w:rPr>
        <w:t>dit,</w:t>
      </w:r>
      <w:r>
        <w:rPr>
          <w:color w:val="231F20"/>
          <w:spacing w:val="-19"/>
          <w:w w:val="120"/>
        </w:rPr>
        <w:t> </w:t>
      </w:r>
      <w:r>
        <w:rPr>
          <w:color w:val="231F20"/>
          <w:spacing w:val="-2"/>
          <w:w w:val="120"/>
        </w:rPr>
        <w:t>la</w:t>
      </w:r>
      <w:r>
        <w:rPr>
          <w:color w:val="231F20"/>
          <w:spacing w:val="-19"/>
          <w:w w:val="120"/>
        </w:rPr>
        <w:t> </w:t>
      </w:r>
      <w:r>
        <w:rPr>
          <w:color w:val="231F20"/>
          <w:spacing w:val="-2"/>
          <w:w w:val="120"/>
        </w:rPr>
        <w:t>charge</w:t>
      </w:r>
      <w:r>
        <w:rPr>
          <w:color w:val="231F20"/>
          <w:spacing w:val="-19"/>
          <w:w w:val="120"/>
        </w:rPr>
        <w:t> </w:t>
      </w:r>
      <w:r>
        <w:rPr>
          <w:color w:val="231F20"/>
          <w:spacing w:val="-2"/>
          <w:w w:val="120"/>
        </w:rPr>
        <w:t>quantitative</w:t>
      </w:r>
    </w:p>
    <w:p>
      <w:pPr>
        <w:spacing w:after="0" w:line="307" w:lineRule="auto"/>
        <w:jc w:val="both"/>
        <w:sectPr>
          <w:footerReference w:type="default" r:id="rId191"/>
          <w:pgSz w:w="8640" w:h="12960"/>
          <w:pgMar w:footer="424" w:header="0" w:top="500" w:bottom="620" w:left="420" w:right="1140"/>
        </w:sectPr>
      </w:pPr>
    </w:p>
    <w:p>
      <w:pPr>
        <w:spacing w:before="103"/>
        <w:ind w:left="1028" w:right="698" w:firstLine="0"/>
        <w:jc w:val="center"/>
        <w:rPr>
          <w:rFonts w:ascii="Arial" w:hAnsi="Arial"/>
          <w:sz w:val="14"/>
        </w:rPr>
      </w:pPr>
      <w:bookmarkStart w:name="Figure 3.4 / Qu’est-ce qui provoque le s" w:id="89"/>
      <w:bookmarkEnd w:id="89"/>
      <w:r>
        <w:rPr/>
      </w:r>
      <w:bookmarkStart w:name="_bookmark38" w:id="90"/>
      <w:bookmarkEnd w:id="9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4"/>
        <w:jc w:val="both"/>
      </w:pPr>
      <w:r>
        <w:rPr>
          <w:color w:val="231F20"/>
          <w:w w:val="120"/>
        </w:rPr>
        <w:t>de travail se résume au nombre de choses que l’on doit effectuer, par exemple,</w:t>
      </w:r>
      <w:r>
        <w:rPr>
          <w:color w:val="231F20"/>
          <w:spacing w:val="-13"/>
          <w:w w:val="120"/>
        </w:rPr>
        <w:t> </w:t>
      </w:r>
      <w:r>
        <w:rPr>
          <w:color w:val="231F20"/>
          <w:w w:val="120"/>
        </w:rPr>
        <w:t>au</w:t>
      </w:r>
      <w:r>
        <w:rPr>
          <w:color w:val="231F20"/>
          <w:spacing w:val="-13"/>
          <w:w w:val="120"/>
        </w:rPr>
        <w:t> </w:t>
      </w:r>
      <w:r>
        <w:rPr>
          <w:color w:val="231F20"/>
          <w:w w:val="120"/>
        </w:rPr>
        <w:t>cours</w:t>
      </w:r>
      <w:r>
        <w:rPr>
          <w:color w:val="231F20"/>
          <w:spacing w:val="-13"/>
          <w:w w:val="120"/>
        </w:rPr>
        <w:t> </w:t>
      </w:r>
      <w:r>
        <w:rPr>
          <w:color w:val="231F20"/>
          <w:w w:val="120"/>
        </w:rPr>
        <w:t>d’une</w:t>
      </w:r>
      <w:r>
        <w:rPr>
          <w:color w:val="231F20"/>
          <w:spacing w:val="-12"/>
          <w:w w:val="120"/>
        </w:rPr>
        <w:t> </w:t>
      </w:r>
      <w:r>
        <w:rPr>
          <w:color w:val="231F20"/>
          <w:w w:val="120"/>
        </w:rPr>
        <w:t>semaine</w:t>
      </w:r>
      <w:r>
        <w:rPr>
          <w:color w:val="231F20"/>
          <w:spacing w:val="-13"/>
          <w:w w:val="120"/>
        </w:rPr>
        <w:t> </w:t>
      </w:r>
      <w:r>
        <w:rPr>
          <w:color w:val="231F20"/>
          <w:w w:val="120"/>
        </w:rPr>
        <w:t>de</w:t>
      </w:r>
      <w:r>
        <w:rPr>
          <w:color w:val="231F20"/>
          <w:spacing w:val="-13"/>
          <w:w w:val="120"/>
        </w:rPr>
        <w:t> </w:t>
      </w:r>
      <w:r>
        <w:rPr>
          <w:color w:val="231F20"/>
          <w:w w:val="120"/>
        </w:rPr>
        <w:t>travail.</w:t>
      </w:r>
      <w:r>
        <w:rPr>
          <w:color w:val="231F20"/>
          <w:spacing w:val="-13"/>
          <w:w w:val="120"/>
        </w:rPr>
        <w:t> </w:t>
      </w:r>
      <w:r>
        <w:rPr>
          <w:color w:val="231F20"/>
          <w:w w:val="120"/>
        </w:rPr>
        <w:t>Lorsque</w:t>
      </w:r>
      <w:r>
        <w:rPr>
          <w:color w:val="231F20"/>
          <w:spacing w:val="-12"/>
          <w:w w:val="120"/>
        </w:rPr>
        <w:t> </w:t>
      </w:r>
      <w:r>
        <w:rPr>
          <w:color w:val="231F20"/>
          <w:w w:val="120"/>
        </w:rPr>
        <w:t>la</w:t>
      </w:r>
      <w:r>
        <w:rPr>
          <w:color w:val="231F20"/>
          <w:spacing w:val="-13"/>
          <w:w w:val="120"/>
        </w:rPr>
        <w:t> </w:t>
      </w:r>
      <w:r>
        <w:rPr>
          <w:color w:val="231F20"/>
          <w:w w:val="120"/>
        </w:rPr>
        <w:t>charge</w:t>
      </w:r>
      <w:r>
        <w:rPr>
          <w:color w:val="231F20"/>
          <w:spacing w:val="-13"/>
          <w:w w:val="120"/>
        </w:rPr>
        <w:t> </w:t>
      </w:r>
      <w:r>
        <w:rPr>
          <w:color w:val="231F20"/>
          <w:w w:val="120"/>
        </w:rPr>
        <w:t>quantita- tive</w:t>
      </w:r>
      <w:r>
        <w:rPr>
          <w:color w:val="231F20"/>
          <w:spacing w:val="-11"/>
          <w:w w:val="120"/>
        </w:rPr>
        <w:t> </w:t>
      </w:r>
      <w:r>
        <w:rPr>
          <w:color w:val="231F20"/>
          <w:w w:val="120"/>
        </w:rPr>
        <w:t>de</w:t>
      </w:r>
      <w:r>
        <w:rPr>
          <w:color w:val="231F20"/>
          <w:spacing w:val="-11"/>
          <w:w w:val="120"/>
        </w:rPr>
        <w:t> </w:t>
      </w:r>
      <w:r>
        <w:rPr>
          <w:color w:val="231F20"/>
          <w:w w:val="120"/>
        </w:rPr>
        <w:t>travail</w:t>
      </w:r>
      <w:r>
        <w:rPr>
          <w:color w:val="231F20"/>
          <w:spacing w:val="-11"/>
          <w:w w:val="120"/>
        </w:rPr>
        <w:t> </w:t>
      </w:r>
      <w:r>
        <w:rPr>
          <w:color w:val="231F20"/>
          <w:w w:val="120"/>
        </w:rPr>
        <w:t>est</w:t>
      </w:r>
      <w:r>
        <w:rPr>
          <w:color w:val="231F20"/>
          <w:spacing w:val="-11"/>
          <w:w w:val="120"/>
        </w:rPr>
        <w:t> </w:t>
      </w:r>
      <w:r>
        <w:rPr>
          <w:color w:val="231F20"/>
          <w:w w:val="120"/>
        </w:rPr>
        <w:t>élevée,</w:t>
      </w:r>
      <w:r>
        <w:rPr>
          <w:color w:val="231F20"/>
          <w:spacing w:val="-11"/>
          <w:w w:val="120"/>
        </w:rPr>
        <w:t> </w:t>
      </w:r>
      <w:r>
        <w:rPr>
          <w:color w:val="231F20"/>
          <w:w w:val="120"/>
        </w:rPr>
        <w:t>il</w:t>
      </w:r>
      <w:r>
        <w:rPr>
          <w:color w:val="231F20"/>
          <w:spacing w:val="-11"/>
          <w:w w:val="120"/>
        </w:rPr>
        <w:t> </w:t>
      </w:r>
      <w:r>
        <w:rPr>
          <w:color w:val="231F20"/>
          <w:w w:val="120"/>
        </w:rPr>
        <w:t>s’agit</w:t>
      </w:r>
      <w:r>
        <w:rPr>
          <w:color w:val="231F20"/>
          <w:spacing w:val="-11"/>
          <w:w w:val="120"/>
        </w:rPr>
        <w:t> </w:t>
      </w:r>
      <w:r>
        <w:rPr>
          <w:color w:val="231F20"/>
          <w:w w:val="120"/>
        </w:rPr>
        <w:t>d’une</w:t>
      </w:r>
      <w:r>
        <w:rPr>
          <w:color w:val="231F20"/>
          <w:spacing w:val="-11"/>
          <w:w w:val="120"/>
        </w:rPr>
        <w:t> </w:t>
      </w:r>
      <w:r>
        <w:rPr>
          <w:color w:val="231F20"/>
          <w:w w:val="120"/>
        </w:rPr>
        <w:t>source</w:t>
      </w:r>
      <w:r>
        <w:rPr>
          <w:color w:val="231F20"/>
          <w:spacing w:val="-11"/>
          <w:w w:val="120"/>
        </w:rPr>
        <w:t> </w:t>
      </w:r>
      <w:r>
        <w:rPr>
          <w:color w:val="231F20"/>
          <w:w w:val="120"/>
        </w:rPr>
        <w:t>extrinsèque</w:t>
      </w:r>
      <w:r>
        <w:rPr>
          <w:color w:val="231F20"/>
          <w:spacing w:val="-11"/>
          <w:w w:val="120"/>
        </w:rPr>
        <w:t> </w:t>
      </w:r>
      <w:r>
        <w:rPr>
          <w:color w:val="231F20"/>
          <w:w w:val="120"/>
        </w:rPr>
        <w:t>de</w:t>
      </w:r>
      <w:r>
        <w:rPr>
          <w:color w:val="231F20"/>
          <w:spacing w:val="-11"/>
          <w:w w:val="120"/>
        </w:rPr>
        <w:t> </w:t>
      </w:r>
      <w:r>
        <w:rPr>
          <w:color w:val="231F20"/>
          <w:w w:val="120"/>
        </w:rPr>
        <w:t>stress</w:t>
      </w:r>
      <w:r>
        <w:rPr>
          <w:color w:val="231F20"/>
          <w:spacing w:val="-11"/>
          <w:w w:val="120"/>
        </w:rPr>
        <w:t> </w:t>
      </w:r>
      <w:r>
        <w:rPr>
          <w:color w:val="231F20"/>
          <w:w w:val="120"/>
        </w:rPr>
        <w:t>qui augmentera</w:t>
      </w:r>
      <w:r>
        <w:rPr>
          <w:color w:val="231F20"/>
          <w:spacing w:val="-13"/>
          <w:w w:val="120"/>
        </w:rPr>
        <w:t> </w:t>
      </w:r>
      <w:r>
        <w:rPr>
          <w:color w:val="231F20"/>
          <w:w w:val="120"/>
        </w:rPr>
        <w:t>proportionnellement</w:t>
      </w:r>
      <w:r>
        <w:rPr>
          <w:color w:val="231F20"/>
          <w:spacing w:val="-13"/>
          <w:w w:val="120"/>
        </w:rPr>
        <w:t> </w:t>
      </w:r>
      <w:r>
        <w:rPr>
          <w:color w:val="231F20"/>
          <w:w w:val="120"/>
        </w:rPr>
        <w:t>les</w:t>
      </w:r>
      <w:r>
        <w:rPr>
          <w:color w:val="231F20"/>
          <w:spacing w:val="-13"/>
          <w:w w:val="120"/>
        </w:rPr>
        <w:t> </w:t>
      </w:r>
      <w:r>
        <w:rPr>
          <w:color w:val="231F20"/>
          <w:w w:val="120"/>
        </w:rPr>
        <w:t>conséquences</w:t>
      </w:r>
      <w:r>
        <w:rPr>
          <w:color w:val="231F20"/>
          <w:spacing w:val="-12"/>
          <w:w w:val="120"/>
        </w:rPr>
        <w:t> </w:t>
      </w:r>
      <w:r>
        <w:rPr>
          <w:color w:val="231F20"/>
          <w:w w:val="120"/>
        </w:rPr>
        <w:t>pouvant</w:t>
      </w:r>
      <w:r>
        <w:rPr>
          <w:color w:val="231F20"/>
          <w:spacing w:val="-13"/>
          <w:w w:val="120"/>
        </w:rPr>
        <w:t> </w:t>
      </w:r>
      <w:r>
        <w:rPr>
          <w:color w:val="231F20"/>
          <w:w w:val="120"/>
        </w:rPr>
        <w:t>y</w:t>
      </w:r>
      <w:r>
        <w:rPr>
          <w:color w:val="231F20"/>
          <w:spacing w:val="-13"/>
          <w:w w:val="120"/>
        </w:rPr>
        <w:t> </w:t>
      </w:r>
      <w:r>
        <w:rPr>
          <w:color w:val="231F20"/>
          <w:w w:val="120"/>
        </w:rPr>
        <w:t>être</w:t>
      </w:r>
      <w:r>
        <w:rPr>
          <w:color w:val="231F20"/>
          <w:spacing w:val="-13"/>
          <w:w w:val="120"/>
        </w:rPr>
        <w:t> </w:t>
      </w:r>
      <w:r>
        <w:rPr>
          <w:color w:val="231F20"/>
          <w:w w:val="120"/>
        </w:rPr>
        <w:t>asso- </w:t>
      </w:r>
      <w:r>
        <w:rPr>
          <w:color w:val="231F20"/>
          <w:w w:val="115"/>
        </w:rPr>
        <w:t>ciées. Quant à elle, la charge qualitative de travail est associée davantage à</w:t>
      </w:r>
      <w:r>
        <w:rPr>
          <w:color w:val="231F20"/>
          <w:spacing w:val="-8"/>
          <w:w w:val="115"/>
        </w:rPr>
        <w:t> </w:t>
      </w:r>
      <w:r>
        <w:rPr>
          <w:color w:val="231F20"/>
          <w:w w:val="115"/>
        </w:rPr>
        <w:t>l’utilisation</w:t>
      </w:r>
      <w:r>
        <w:rPr>
          <w:color w:val="231F20"/>
          <w:spacing w:val="-8"/>
          <w:w w:val="115"/>
        </w:rPr>
        <w:t> </w:t>
      </w:r>
      <w:r>
        <w:rPr>
          <w:color w:val="231F20"/>
          <w:w w:val="115"/>
        </w:rPr>
        <w:t>des</w:t>
      </w:r>
      <w:r>
        <w:rPr>
          <w:color w:val="231F20"/>
          <w:spacing w:val="-8"/>
          <w:w w:val="115"/>
        </w:rPr>
        <w:t> </w:t>
      </w:r>
      <w:r>
        <w:rPr>
          <w:color w:val="231F20"/>
          <w:w w:val="115"/>
        </w:rPr>
        <w:t>compétences</w:t>
      </w:r>
      <w:r>
        <w:rPr>
          <w:color w:val="231F20"/>
          <w:spacing w:val="-8"/>
          <w:w w:val="115"/>
        </w:rPr>
        <w:t> </w:t>
      </w:r>
      <w:r>
        <w:rPr>
          <w:color w:val="231F20"/>
          <w:w w:val="115"/>
        </w:rPr>
        <w:t>dans</w:t>
      </w:r>
      <w:r>
        <w:rPr>
          <w:color w:val="231F20"/>
          <w:spacing w:val="-8"/>
          <w:w w:val="115"/>
        </w:rPr>
        <w:t> </w:t>
      </w:r>
      <w:r>
        <w:rPr>
          <w:color w:val="231F20"/>
          <w:w w:val="115"/>
        </w:rPr>
        <w:t>l’exécution</w:t>
      </w:r>
      <w:r>
        <w:rPr>
          <w:color w:val="231F20"/>
          <w:spacing w:val="-8"/>
          <w:w w:val="115"/>
        </w:rPr>
        <w:t> </w:t>
      </w:r>
      <w:r>
        <w:rPr>
          <w:color w:val="231F20"/>
          <w:w w:val="115"/>
        </w:rPr>
        <w:t>des</w:t>
      </w:r>
      <w:r>
        <w:rPr>
          <w:color w:val="231F20"/>
          <w:spacing w:val="-8"/>
          <w:w w:val="115"/>
        </w:rPr>
        <w:t> </w:t>
      </w:r>
      <w:r>
        <w:rPr>
          <w:color w:val="231F20"/>
          <w:w w:val="115"/>
        </w:rPr>
        <w:t>tâches.</w:t>
      </w:r>
      <w:r>
        <w:rPr>
          <w:color w:val="231F20"/>
          <w:spacing w:val="-8"/>
          <w:w w:val="115"/>
        </w:rPr>
        <w:t> </w:t>
      </w:r>
      <w:r>
        <w:rPr>
          <w:color w:val="231F20"/>
          <w:w w:val="115"/>
        </w:rPr>
        <w:t>Cette</w:t>
      </w:r>
      <w:r>
        <w:rPr>
          <w:color w:val="231F20"/>
          <w:spacing w:val="-8"/>
          <w:w w:val="115"/>
        </w:rPr>
        <w:t> </w:t>
      </w:r>
      <w:r>
        <w:rPr>
          <w:color w:val="231F20"/>
          <w:w w:val="115"/>
        </w:rPr>
        <w:t>dernière </w:t>
      </w:r>
      <w:r>
        <w:rPr>
          <w:color w:val="231F20"/>
          <w:w w:val="120"/>
        </w:rPr>
        <w:t>est un antécédent intrinsèque du stress. Ainsi, une sous-utilisation des compétences (travail ennuyant) ou des tâches outrepassant largement les</w:t>
      </w:r>
      <w:r>
        <w:rPr>
          <w:color w:val="231F20"/>
          <w:spacing w:val="-13"/>
          <w:w w:val="120"/>
        </w:rPr>
        <w:t> </w:t>
      </w:r>
      <w:r>
        <w:rPr>
          <w:color w:val="231F20"/>
          <w:w w:val="120"/>
        </w:rPr>
        <w:t>compétences</w:t>
      </w:r>
      <w:r>
        <w:rPr>
          <w:color w:val="231F20"/>
          <w:spacing w:val="-13"/>
          <w:w w:val="120"/>
        </w:rPr>
        <w:t> </w:t>
      </w:r>
      <w:r>
        <w:rPr>
          <w:color w:val="231F20"/>
          <w:w w:val="120"/>
        </w:rPr>
        <w:t>seront</w:t>
      </w:r>
      <w:r>
        <w:rPr>
          <w:color w:val="231F20"/>
          <w:spacing w:val="-12"/>
          <w:w w:val="120"/>
        </w:rPr>
        <w:t> </w:t>
      </w:r>
      <w:r>
        <w:rPr>
          <w:color w:val="231F20"/>
          <w:w w:val="120"/>
        </w:rPr>
        <w:t>des</w:t>
      </w:r>
      <w:r>
        <w:rPr>
          <w:color w:val="231F20"/>
          <w:spacing w:val="-13"/>
          <w:w w:val="120"/>
        </w:rPr>
        <w:t> </w:t>
      </w:r>
      <w:r>
        <w:rPr>
          <w:color w:val="231F20"/>
          <w:w w:val="120"/>
        </w:rPr>
        <w:t>sources</w:t>
      </w:r>
      <w:r>
        <w:rPr>
          <w:color w:val="231F20"/>
          <w:spacing w:val="-13"/>
          <w:w w:val="120"/>
        </w:rPr>
        <w:t> </w:t>
      </w:r>
      <w:r>
        <w:rPr>
          <w:color w:val="231F20"/>
          <w:w w:val="120"/>
        </w:rPr>
        <w:t>de</w:t>
      </w:r>
      <w:r>
        <w:rPr>
          <w:color w:val="231F20"/>
          <w:spacing w:val="-13"/>
          <w:w w:val="120"/>
        </w:rPr>
        <w:t> </w:t>
      </w:r>
      <w:r>
        <w:rPr>
          <w:color w:val="231F20"/>
          <w:w w:val="120"/>
        </w:rPr>
        <w:t>stress.</w:t>
      </w:r>
      <w:r>
        <w:rPr>
          <w:color w:val="231F20"/>
          <w:spacing w:val="-12"/>
          <w:w w:val="120"/>
        </w:rPr>
        <w:t> </w:t>
      </w:r>
      <w:r>
        <w:rPr>
          <w:color w:val="231F20"/>
          <w:w w:val="120"/>
        </w:rPr>
        <w:t>Comme</w:t>
      </w:r>
      <w:r>
        <w:rPr>
          <w:color w:val="231F20"/>
          <w:spacing w:val="-13"/>
          <w:w w:val="120"/>
        </w:rPr>
        <w:t> </w:t>
      </w:r>
      <w:r>
        <w:rPr>
          <w:color w:val="231F20"/>
          <w:w w:val="120"/>
        </w:rPr>
        <w:t>toutes</w:t>
      </w:r>
      <w:r>
        <w:rPr>
          <w:color w:val="231F20"/>
          <w:spacing w:val="-13"/>
          <w:w w:val="120"/>
        </w:rPr>
        <w:t> </w:t>
      </w:r>
      <w:r>
        <w:rPr>
          <w:color w:val="231F20"/>
          <w:w w:val="120"/>
        </w:rPr>
        <w:t>les</w:t>
      </w:r>
      <w:r>
        <w:rPr>
          <w:color w:val="231F20"/>
          <w:spacing w:val="-12"/>
          <w:w w:val="120"/>
        </w:rPr>
        <w:t> </w:t>
      </w:r>
      <w:r>
        <w:rPr>
          <w:color w:val="231F20"/>
          <w:w w:val="120"/>
        </w:rPr>
        <w:t>sources intrinsèques</w:t>
      </w:r>
      <w:r>
        <w:rPr>
          <w:color w:val="231F20"/>
          <w:spacing w:val="-12"/>
          <w:w w:val="120"/>
        </w:rPr>
        <w:t> </w:t>
      </w:r>
      <w:r>
        <w:rPr>
          <w:color w:val="231F20"/>
          <w:w w:val="120"/>
        </w:rPr>
        <w:t>de</w:t>
      </w:r>
      <w:r>
        <w:rPr>
          <w:color w:val="231F20"/>
          <w:spacing w:val="-13"/>
          <w:w w:val="120"/>
        </w:rPr>
        <w:t> </w:t>
      </w:r>
      <w:r>
        <w:rPr>
          <w:color w:val="231F20"/>
          <w:w w:val="120"/>
        </w:rPr>
        <w:t>stress,</w:t>
      </w:r>
      <w:r>
        <w:rPr>
          <w:color w:val="231F20"/>
          <w:spacing w:val="-12"/>
          <w:w w:val="120"/>
        </w:rPr>
        <w:t> </w:t>
      </w:r>
      <w:r>
        <w:rPr>
          <w:color w:val="231F20"/>
          <w:w w:val="120"/>
        </w:rPr>
        <w:t>une</w:t>
      </w:r>
      <w:r>
        <w:rPr>
          <w:color w:val="231F20"/>
          <w:spacing w:val="-12"/>
          <w:w w:val="120"/>
        </w:rPr>
        <w:t> </w:t>
      </w:r>
      <w:r>
        <w:rPr>
          <w:color w:val="231F20"/>
          <w:w w:val="120"/>
        </w:rPr>
        <w:t>juste</w:t>
      </w:r>
      <w:r>
        <w:rPr>
          <w:color w:val="231F20"/>
          <w:spacing w:val="-13"/>
          <w:w w:val="120"/>
        </w:rPr>
        <w:t> </w:t>
      </w:r>
      <w:r>
        <w:rPr>
          <w:color w:val="231F20"/>
          <w:w w:val="120"/>
        </w:rPr>
        <w:t>utilisation</w:t>
      </w:r>
      <w:r>
        <w:rPr>
          <w:color w:val="231F20"/>
          <w:spacing w:val="-12"/>
          <w:w w:val="120"/>
        </w:rPr>
        <w:t> </w:t>
      </w:r>
      <w:r>
        <w:rPr>
          <w:color w:val="231F20"/>
          <w:w w:val="120"/>
        </w:rPr>
        <w:t>des</w:t>
      </w:r>
      <w:r>
        <w:rPr>
          <w:color w:val="231F20"/>
          <w:spacing w:val="-12"/>
          <w:w w:val="120"/>
        </w:rPr>
        <w:t> </w:t>
      </w:r>
      <w:r>
        <w:rPr>
          <w:color w:val="231F20"/>
          <w:w w:val="120"/>
        </w:rPr>
        <w:t>compétences</w:t>
      </w:r>
      <w:r>
        <w:rPr>
          <w:color w:val="231F20"/>
          <w:spacing w:val="-13"/>
          <w:w w:val="120"/>
        </w:rPr>
        <w:t> </w:t>
      </w:r>
      <w:r>
        <w:rPr>
          <w:color w:val="231F20"/>
          <w:w w:val="120"/>
        </w:rPr>
        <w:t>des</w:t>
      </w:r>
      <w:r>
        <w:rPr>
          <w:color w:val="231F20"/>
          <w:spacing w:val="-12"/>
          <w:w w:val="120"/>
        </w:rPr>
        <w:t> </w:t>
      </w:r>
      <w:r>
        <w:rPr>
          <w:color w:val="231F20"/>
          <w:w w:val="120"/>
        </w:rPr>
        <w:t>travail- leurs</w:t>
      </w:r>
      <w:r>
        <w:rPr>
          <w:color w:val="231F20"/>
          <w:spacing w:val="-9"/>
          <w:w w:val="120"/>
        </w:rPr>
        <w:t> </w:t>
      </w:r>
      <w:r>
        <w:rPr>
          <w:color w:val="231F20"/>
          <w:w w:val="120"/>
        </w:rPr>
        <w:t>sera</w:t>
      </w:r>
      <w:r>
        <w:rPr>
          <w:color w:val="231F20"/>
          <w:spacing w:val="-9"/>
          <w:w w:val="120"/>
        </w:rPr>
        <w:t> </w:t>
      </w:r>
      <w:r>
        <w:rPr>
          <w:color w:val="231F20"/>
          <w:w w:val="120"/>
        </w:rPr>
        <w:t>la</w:t>
      </w:r>
      <w:r>
        <w:rPr>
          <w:color w:val="231F20"/>
          <w:spacing w:val="-9"/>
          <w:w w:val="120"/>
        </w:rPr>
        <w:t> </w:t>
      </w:r>
      <w:r>
        <w:rPr>
          <w:color w:val="231F20"/>
          <w:w w:val="120"/>
        </w:rPr>
        <w:t>cible</w:t>
      </w:r>
      <w:r>
        <w:rPr>
          <w:color w:val="231F20"/>
          <w:spacing w:val="-9"/>
          <w:w w:val="120"/>
        </w:rPr>
        <w:t> </w:t>
      </w:r>
      <w:r>
        <w:rPr>
          <w:color w:val="231F20"/>
          <w:w w:val="120"/>
        </w:rPr>
        <w:t>visée</w:t>
      </w:r>
      <w:r>
        <w:rPr>
          <w:color w:val="231F20"/>
          <w:spacing w:val="-9"/>
          <w:w w:val="120"/>
        </w:rPr>
        <w:t> </w:t>
      </w:r>
      <w:r>
        <w:rPr>
          <w:color w:val="231F20"/>
          <w:w w:val="120"/>
        </w:rPr>
        <w:t>afin</w:t>
      </w:r>
      <w:r>
        <w:rPr>
          <w:color w:val="231F20"/>
          <w:spacing w:val="-9"/>
          <w:w w:val="120"/>
        </w:rPr>
        <w:t> </w:t>
      </w:r>
      <w:r>
        <w:rPr>
          <w:color w:val="231F20"/>
          <w:w w:val="120"/>
        </w:rPr>
        <w:t>de</w:t>
      </w:r>
      <w:r>
        <w:rPr>
          <w:color w:val="231F20"/>
          <w:spacing w:val="-9"/>
          <w:w w:val="120"/>
        </w:rPr>
        <w:t> </w:t>
      </w:r>
      <w:r>
        <w:rPr>
          <w:color w:val="231F20"/>
          <w:w w:val="120"/>
        </w:rPr>
        <w:t>minimiser</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et</w:t>
      </w:r>
      <w:r>
        <w:rPr>
          <w:color w:val="231F20"/>
          <w:spacing w:val="-9"/>
          <w:w w:val="120"/>
        </w:rPr>
        <w:t> </w:t>
      </w:r>
      <w:r>
        <w:rPr>
          <w:color w:val="231F20"/>
          <w:w w:val="120"/>
        </w:rPr>
        <w:t>ses</w:t>
      </w:r>
      <w:r>
        <w:rPr>
          <w:color w:val="231F20"/>
          <w:spacing w:val="-9"/>
          <w:w w:val="120"/>
        </w:rPr>
        <w:t> </w:t>
      </w:r>
      <w:r>
        <w:rPr>
          <w:color w:val="231F20"/>
          <w:spacing w:val="-2"/>
          <w:w w:val="120"/>
        </w:rPr>
        <w:t>conséquences.</w:t>
      </w:r>
    </w:p>
    <w:p>
      <w:pPr>
        <w:pStyle w:val="BodyText"/>
        <w:spacing w:before="5"/>
        <w:rPr>
          <w:sz w:val="11"/>
        </w:rPr>
      </w:pPr>
      <w:r>
        <w:rPr/>
        <w:pict>
          <v:group style="position:absolute;margin-left:62.5pt;margin-top:7.808154pt;width:287.5pt;height:220.4pt;mso-position-horizontal-relative:page;mso-position-vertical-relative:paragraph;z-index:-15676928;mso-wrap-distance-left:0;mso-wrap-distance-right:0" id="docshapegroup677" coordorigin="1250,156" coordsize="5750,4408">
            <v:shape style="position:absolute;left:1250;top:156;width:5750;height:4408" id="docshape678" coordorigin="1250,156" coordsize="5750,4408" path="m7000,156l1250,156,1250,701,1250,861,1250,3894,1250,4004,1250,4564,7000,4564,7000,4004,7000,3894,7000,861,7000,701,7000,156xe" filled="true" fillcolor="#e2e3e4" stroked="false">
              <v:path arrowok="t"/>
              <v:fill type="solid"/>
            </v:shape>
            <v:line style="position:absolute" from="1500,3892" to="6750,3892" stroked="true" strokeweight=".25pt" strokecolor="#231f20">
              <v:stroke dashstyle="shortdot"/>
            </v:line>
            <v:shape style="position:absolute;left:1500;top:775;width:5250;height:2949" type="#_x0000_t75" id="docshape679" stroked="false">
              <v:imagedata r:id="rId193" o:title=""/>
            </v:shape>
            <v:shape style="position:absolute;left:1250;top:156;width:5750;height:4408" type="#_x0000_t202" id="docshape680" filled="false" stroked="false">
              <v:textbox inset="0,0,0,0">
                <w:txbxContent>
                  <w:p>
                    <w:pPr>
                      <w:spacing w:line="240" w:lineRule="auto" w:before="9"/>
                      <w:rPr>
                        <w:sz w:val="18"/>
                      </w:rPr>
                    </w:pPr>
                  </w:p>
                  <w:p>
                    <w:pPr>
                      <w:spacing w:before="0"/>
                      <w:ind w:left="250" w:right="0" w:firstLine="0"/>
                      <w:jc w:val="left"/>
                      <w:rPr>
                        <w:rFonts w:ascii="Arial" w:hAnsi="Arial"/>
                        <w:b/>
                        <w:sz w:val="17"/>
                      </w:rPr>
                    </w:pPr>
                    <w:r>
                      <w:rPr>
                        <w:rFonts w:ascii="Arial" w:hAnsi="Arial"/>
                        <w:color w:val="231F20"/>
                        <w:w w:val="95"/>
                        <w:sz w:val="17"/>
                      </w:rPr>
                      <w:t>Figure</w:t>
                    </w:r>
                    <w:r>
                      <w:rPr>
                        <w:rFonts w:ascii="Arial" w:hAnsi="Arial"/>
                        <w:color w:val="231F20"/>
                        <w:spacing w:val="-2"/>
                        <w:sz w:val="17"/>
                      </w:rPr>
                      <w:t> </w:t>
                    </w:r>
                    <w:r>
                      <w:rPr>
                        <w:rFonts w:ascii="Arial" w:hAnsi="Arial"/>
                        <w:color w:val="231F20"/>
                        <w:w w:val="95"/>
                        <w:sz w:val="17"/>
                      </w:rPr>
                      <w:t>3.4</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5"/>
                        <w:sz w:val="17"/>
                      </w:rPr>
                      <w:t> </w:t>
                    </w:r>
                    <w:r>
                      <w:rPr>
                        <w:rFonts w:ascii="Arial" w:hAnsi="Arial"/>
                        <w:b/>
                        <w:color w:val="231F20"/>
                        <w:w w:val="95"/>
                        <w:sz w:val="17"/>
                      </w:rPr>
                      <w:t>Qu’est-ce</w:t>
                    </w:r>
                    <w:r>
                      <w:rPr>
                        <w:rFonts w:ascii="Arial" w:hAnsi="Arial"/>
                        <w:b/>
                        <w:color w:val="231F20"/>
                        <w:spacing w:val="-5"/>
                        <w:w w:val="95"/>
                        <w:sz w:val="17"/>
                      </w:rPr>
                      <w:t> </w:t>
                    </w:r>
                    <w:r>
                      <w:rPr>
                        <w:rFonts w:ascii="Arial" w:hAnsi="Arial"/>
                        <w:b/>
                        <w:color w:val="231F20"/>
                        <w:w w:val="95"/>
                        <w:sz w:val="17"/>
                      </w:rPr>
                      <w:t>qui</w:t>
                    </w:r>
                    <w:r>
                      <w:rPr>
                        <w:rFonts w:ascii="Arial" w:hAnsi="Arial"/>
                        <w:b/>
                        <w:color w:val="231F20"/>
                        <w:spacing w:val="-4"/>
                        <w:w w:val="95"/>
                        <w:sz w:val="17"/>
                      </w:rPr>
                      <w:t> </w:t>
                    </w:r>
                    <w:r>
                      <w:rPr>
                        <w:rFonts w:ascii="Arial" w:hAnsi="Arial"/>
                        <w:b/>
                        <w:color w:val="231F20"/>
                        <w:w w:val="95"/>
                        <w:sz w:val="17"/>
                      </w:rPr>
                      <w:t>provoque</w:t>
                    </w:r>
                    <w:r>
                      <w:rPr>
                        <w:rFonts w:ascii="Arial" w:hAnsi="Arial"/>
                        <w:b/>
                        <w:color w:val="231F20"/>
                        <w:spacing w:val="-4"/>
                        <w:w w:val="95"/>
                        <w:sz w:val="17"/>
                      </w:rPr>
                      <w:t> </w:t>
                    </w:r>
                    <w:r>
                      <w:rPr>
                        <w:rFonts w:ascii="Arial" w:hAnsi="Arial"/>
                        <w:b/>
                        <w:color w:val="231F20"/>
                        <w:w w:val="95"/>
                        <w:sz w:val="17"/>
                      </w:rPr>
                      <w:t>le</w:t>
                    </w:r>
                    <w:r>
                      <w:rPr>
                        <w:rFonts w:ascii="Arial" w:hAnsi="Arial"/>
                        <w:b/>
                        <w:color w:val="231F20"/>
                        <w:spacing w:val="-4"/>
                        <w:w w:val="95"/>
                        <w:sz w:val="17"/>
                      </w:rPr>
                      <w:t> </w:t>
                    </w:r>
                    <w:r>
                      <w:rPr>
                        <w:rFonts w:ascii="Arial" w:hAnsi="Arial"/>
                        <w:b/>
                        <w:color w:val="231F20"/>
                        <w:w w:val="95"/>
                        <w:sz w:val="17"/>
                      </w:rPr>
                      <w:t>stress</w:t>
                    </w:r>
                    <w:r>
                      <w:rPr>
                        <w:rFonts w:ascii="Arial" w:hAnsi="Arial"/>
                        <w:b/>
                        <w:color w:val="231F20"/>
                        <w:spacing w:val="-4"/>
                        <w:w w:val="95"/>
                        <w:sz w:val="17"/>
                      </w:rPr>
                      <w:t> </w:t>
                    </w:r>
                    <w:r>
                      <w:rPr>
                        <w:rFonts w:ascii="Arial" w:hAnsi="Arial"/>
                        <w:b/>
                        <w:color w:val="231F20"/>
                        <w:w w:val="95"/>
                        <w:sz w:val="17"/>
                      </w:rPr>
                      <w:t>au</w:t>
                    </w:r>
                    <w:r>
                      <w:rPr>
                        <w:rFonts w:ascii="Arial" w:hAnsi="Arial"/>
                        <w:b/>
                        <w:color w:val="231F20"/>
                        <w:spacing w:val="-5"/>
                        <w:w w:val="95"/>
                        <w:sz w:val="17"/>
                      </w:rPr>
                      <w:t> </w:t>
                    </w:r>
                    <w:r>
                      <w:rPr>
                        <w:rFonts w:ascii="Arial" w:hAnsi="Arial"/>
                        <w:b/>
                        <w:color w:val="231F20"/>
                        <w:spacing w:val="-2"/>
                        <w:w w:val="95"/>
                        <w:sz w:val="17"/>
                      </w:rPr>
                      <w:t>travail?</w:t>
                    </w: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95" w:lineRule="auto" w:before="152"/>
                      <w:ind w:left="250" w:right="244" w:firstLine="0"/>
                      <w:jc w:val="left"/>
                      <w:rPr>
                        <w:rFonts w:ascii="Arial" w:hAnsi="Arial"/>
                        <w:sz w:val="12"/>
                      </w:rPr>
                    </w:pPr>
                    <w:r>
                      <w:rPr>
                        <w:rFonts w:ascii="Arial" w:hAnsi="Arial"/>
                        <w:color w:val="231F20"/>
                        <w:w w:val="105"/>
                        <w:sz w:val="12"/>
                      </w:rPr>
                      <w:t>Source</w:t>
                    </w:r>
                    <w:r>
                      <w:rPr>
                        <w:rFonts w:ascii="Arial" w:hAnsi="Arial"/>
                        <w:color w:val="231F20"/>
                        <w:spacing w:val="-17"/>
                        <w:w w:val="105"/>
                        <w:sz w:val="12"/>
                      </w:rPr>
                      <w:t> </w:t>
                    </w:r>
                    <w:r>
                      <w:rPr>
                        <w:rFonts w:ascii="Arial" w:hAnsi="Arial"/>
                        <w:color w:val="231F20"/>
                        <w:w w:val="105"/>
                        <w:sz w:val="12"/>
                      </w:rPr>
                      <w:t>: (s. a.) (2019). La mesure du stress, </w:t>
                    </w:r>
                    <w:r>
                      <w:rPr>
                        <w:rFonts w:ascii="Arial" w:hAnsi="Arial"/>
                        <w:i/>
                        <w:color w:val="231F20"/>
                        <w:w w:val="105"/>
                        <w:sz w:val="12"/>
                      </w:rPr>
                      <w:t>Revue Gestion</w:t>
                    </w:r>
                    <w:r>
                      <w:rPr>
                        <w:rFonts w:ascii="Arial" w:hAnsi="Arial"/>
                        <w:color w:val="231F20"/>
                        <w:w w:val="105"/>
                        <w:sz w:val="12"/>
                      </w:rPr>
                      <w:t>, &lt;https://</w:t>
                    </w:r>
                    <w:hyperlink r:id="rId194">
                      <w:r>
                        <w:rPr>
                          <w:rFonts w:ascii="Arial" w:hAnsi="Arial"/>
                          <w:color w:val="231F20"/>
                          <w:w w:val="105"/>
                          <w:sz w:val="12"/>
                        </w:rPr>
                        <w:t>www.revuegestion.ca/</w:t>
                      </w:r>
                    </w:hyperlink>
                    <w:r>
                      <w:rPr>
                        <w:rFonts w:ascii="Arial" w:hAnsi="Arial"/>
                        <w:color w:val="231F20"/>
                        <w:spacing w:val="80"/>
                        <w:w w:val="105"/>
                        <w:sz w:val="12"/>
                      </w:rPr>
                      <w:t> </w:t>
                    </w:r>
                    <w:r>
                      <w:rPr>
                        <w:rFonts w:ascii="Arial" w:hAnsi="Arial"/>
                        <w:color w:val="231F20"/>
                        <w:w w:val="105"/>
                        <w:sz w:val="12"/>
                      </w:rPr>
                      <w:t>la-mesure-du-stress&gt;, consulté le 15 novembre 2021.</w:t>
                    </w:r>
                  </w:p>
                </w:txbxContent>
              </v:textbox>
              <w10:wrap type="none"/>
            </v:shape>
            <w10:wrap type="topAndBottom"/>
          </v:group>
        </w:pict>
      </w:r>
    </w:p>
    <w:p>
      <w:pPr>
        <w:pStyle w:val="BodyText"/>
        <w:spacing w:before="6"/>
        <w:rPr>
          <w:sz w:val="23"/>
        </w:rPr>
      </w:pPr>
    </w:p>
    <w:p>
      <w:pPr>
        <w:pStyle w:val="BodyText"/>
        <w:spacing w:before="140"/>
        <w:ind w:left="830"/>
        <w:jc w:val="both"/>
        <w:rPr>
          <w:rFonts w:ascii="Arial" w:hAnsi="Arial"/>
        </w:rPr>
      </w:pPr>
      <w:r>
        <w:rPr/>
        <w:pict>
          <v:shape style="position:absolute;margin-left:62.5pt;margin-top:19.097906pt;width:287.5pt;height:.1pt;mso-position-horizontal-relative:page;mso-position-vertical-relative:paragraph;z-index:-15676416;mso-wrap-distance-left:0;mso-wrap-distance-right:0" id="docshape681" coordorigin="1250,382" coordsize="5750,0" path="m1250,382l7000,382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ind w:left="830" w:right="747"/>
        <w:jc w:val="both"/>
        <w:rPr>
          <w:rFonts w:ascii="Arial" w:hAnsi="Arial"/>
        </w:rPr>
      </w:pPr>
      <w:r>
        <w:rPr>
          <w:rFonts w:ascii="Arial" w:hAnsi="Arial"/>
          <w:color w:val="231F20"/>
        </w:rPr>
        <w:t>La</w:t>
      </w:r>
      <w:r>
        <w:rPr>
          <w:rFonts w:ascii="Arial" w:hAnsi="Arial"/>
          <w:color w:val="231F20"/>
          <w:spacing w:val="-11"/>
        </w:rPr>
        <w:t> </w:t>
      </w:r>
      <w:r>
        <w:rPr>
          <w:rFonts w:ascii="Arial" w:hAnsi="Arial"/>
          <w:color w:val="231F20"/>
        </w:rPr>
        <w:t>principale</w:t>
      </w:r>
      <w:r>
        <w:rPr>
          <w:rFonts w:ascii="Arial" w:hAnsi="Arial"/>
          <w:color w:val="231F20"/>
          <w:spacing w:val="-11"/>
        </w:rPr>
        <w:t> </w:t>
      </w:r>
      <w:r>
        <w:rPr>
          <w:rFonts w:ascii="Arial" w:hAnsi="Arial"/>
          <w:color w:val="231F20"/>
        </w:rPr>
        <w:t>source</w:t>
      </w:r>
      <w:r>
        <w:rPr>
          <w:rFonts w:ascii="Arial" w:hAnsi="Arial"/>
          <w:color w:val="231F20"/>
          <w:spacing w:val="-11"/>
        </w:rPr>
        <w:t> </w:t>
      </w:r>
      <w:r>
        <w:rPr>
          <w:rFonts w:ascii="Arial" w:hAnsi="Arial"/>
          <w:color w:val="231F20"/>
        </w:rPr>
        <w:t>de</w:t>
      </w:r>
      <w:r>
        <w:rPr>
          <w:rFonts w:ascii="Arial" w:hAnsi="Arial"/>
          <w:color w:val="231F20"/>
          <w:spacing w:val="-11"/>
        </w:rPr>
        <w:t> </w:t>
      </w:r>
      <w:r>
        <w:rPr>
          <w:rFonts w:ascii="Arial" w:hAnsi="Arial"/>
          <w:color w:val="231F20"/>
        </w:rPr>
        <w:t>stress</w:t>
      </w:r>
      <w:r>
        <w:rPr>
          <w:rFonts w:ascii="Arial" w:hAnsi="Arial"/>
          <w:color w:val="231F20"/>
          <w:spacing w:val="-11"/>
        </w:rPr>
        <w:t> </w:t>
      </w:r>
      <w:r>
        <w:rPr>
          <w:rFonts w:ascii="Arial" w:hAnsi="Arial"/>
          <w:color w:val="231F20"/>
        </w:rPr>
        <w:t>est</w:t>
      </w:r>
      <w:r>
        <w:rPr>
          <w:rFonts w:ascii="Arial" w:hAnsi="Arial"/>
          <w:color w:val="231F20"/>
          <w:spacing w:val="-11"/>
        </w:rPr>
        <w:t> </w:t>
      </w:r>
      <w:r>
        <w:rPr>
          <w:rFonts w:ascii="Arial" w:hAnsi="Arial"/>
          <w:color w:val="231F20"/>
        </w:rPr>
        <w:t>le</w:t>
      </w:r>
      <w:r>
        <w:rPr>
          <w:rFonts w:ascii="Arial" w:hAnsi="Arial"/>
          <w:color w:val="231F20"/>
          <w:spacing w:val="-11"/>
        </w:rPr>
        <w:t> </w:t>
      </w:r>
      <w:r>
        <w:rPr>
          <w:rFonts w:ascii="Arial" w:hAnsi="Arial"/>
          <w:color w:val="231F20"/>
        </w:rPr>
        <w:t>travail.</w:t>
      </w:r>
      <w:r>
        <w:rPr>
          <w:rFonts w:ascii="Arial" w:hAnsi="Arial"/>
          <w:color w:val="231F20"/>
          <w:spacing w:val="-11"/>
        </w:rPr>
        <w:t> </w:t>
      </w:r>
      <w:r>
        <w:rPr>
          <w:rFonts w:ascii="Arial" w:hAnsi="Arial"/>
          <w:color w:val="231F20"/>
        </w:rPr>
        <w:t>Les</w:t>
      </w:r>
      <w:r>
        <w:rPr>
          <w:rFonts w:ascii="Arial" w:hAnsi="Arial"/>
          <w:color w:val="231F20"/>
          <w:spacing w:val="-11"/>
        </w:rPr>
        <w:t> </w:t>
      </w:r>
      <w:r>
        <w:rPr>
          <w:rFonts w:ascii="Arial" w:hAnsi="Arial"/>
          <w:color w:val="231F20"/>
        </w:rPr>
        <w:t>facteurs</w:t>
      </w:r>
      <w:r>
        <w:rPr>
          <w:rFonts w:ascii="Arial" w:hAnsi="Arial"/>
          <w:color w:val="231F20"/>
          <w:spacing w:val="-11"/>
        </w:rPr>
        <w:t> </w:t>
      </w:r>
      <w:r>
        <w:rPr>
          <w:rFonts w:ascii="Arial" w:hAnsi="Arial"/>
          <w:color w:val="231F20"/>
        </w:rPr>
        <w:t>de</w:t>
      </w:r>
      <w:r>
        <w:rPr>
          <w:rFonts w:ascii="Arial" w:hAnsi="Arial"/>
          <w:color w:val="231F20"/>
          <w:spacing w:val="-11"/>
        </w:rPr>
        <w:t> </w:t>
      </w:r>
      <w:r>
        <w:rPr>
          <w:rFonts w:ascii="Arial" w:hAnsi="Arial"/>
          <w:color w:val="231F20"/>
        </w:rPr>
        <w:t>risque</w:t>
      </w:r>
      <w:r>
        <w:rPr>
          <w:rFonts w:ascii="Arial" w:hAnsi="Arial"/>
          <w:color w:val="231F20"/>
          <w:spacing w:val="-11"/>
        </w:rPr>
        <w:t> </w:t>
      </w:r>
      <w:r>
        <w:rPr>
          <w:rFonts w:ascii="Arial" w:hAnsi="Arial"/>
          <w:color w:val="231F20"/>
        </w:rPr>
        <w:t>les</w:t>
      </w:r>
      <w:r>
        <w:rPr>
          <w:rFonts w:ascii="Arial" w:hAnsi="Arial"/>
          <w:color w:val="231F20"/>
          <w:spacing w:val="-11"/>
        </w:rPr>
        <w:t> </w:t>
      </w:r>
      <w:r>
        <w:rPr>
          <w:rFonts w:ascii="Arial" w:hAnsi="Arial"/>
          <w:color w:val="231F20"/>
        </w:rPr>
        <w:t>plus évoqués</w:t>
      </w:r>
      <w:r>
        <w:rPr>
          <w:rFonts w:ascii="Arial" w:hAnsi="Arial"/>
          <w:color w:val="231F20"/>
          <w:spacing w:val="-12"/>
        </w:rPr>
        <w:t> </w:t>
      </w:r>
      <w:r>
        <w:rPr>
          <w:rFonts w:ascii="Arial" w:hAnsi="Arial"/>
          <w:color w:val="231F20"/>
        </w:rPr>
        <w:t>sont par ordre d’importance</w:t>
      </w:r>
      <w:r>
        <w:rPr>
          <w:rFonts w:ascii="Arial" w:hAnsi="Arial"/>
          <w:color w:val="231F20"/>
          <w:spacing w:val="-12"/>
        </w:rPr>
        <w:t> </w:t>
      </w:r>
      <w:r>
        <w:rPr>
          <w:rFonts w:ascii="Arial" w:hAnsi="Arial"/>
          <w:color w:val="231F20"/>
        </w:rPr>
        <w:t>: l’intensité et le temps de travail, le </w:t>
      </w:r>
      <w:r>
        <w:rPr>
          <w:rFonts w:ascii="Arial" w:hAnsi="Arial"/>
          <w:color w:val="231F20"/>
          <w:w w:val="105"/>
        </w:rPr>
        <w:t>manque</w:t>
      </w:r>
      <w:r>
        <w:rPr>
          <w:rFonts w:ascii="Arial" w:hAnsi="Arial"/>
          <w:color w:val="231F20"/>
          <w:spacing w:val="-13"/>
          <w:w w:val="105"/>
        </w:rPr>
        <w:t> </w:t>
      </w:r>
      <w:r>
        <w:rPr>
          <w:rFonts w:ascii="Arial" w:hAnsi="Arial"/>
          <w:color w:val="231F20"/>
          <w:w w:val="105"/>
        </w:rPr>
        <w:t>d’autonomie,</w:t>
      </w:r>
      <w:r>
        <w:rPr>
          <w:rFonts w:ascii="Arial" w:hAnsi="Arial"/>
          <w:color w:val="231F20"/>
          <w:spacing w:val="-12"/>
          <w:w w:val="105"/>
        </w:rPr>
        <w:t> </w:t>
      </w:r>
      <w:r>
        <w:rPr>
          <w:rFonts w:ascii="Arial" w:hAnsi="Arial"/>
          <w:color w:val="231F20"/>
          <w:w w:val="105"/>
        </w:rPr>
        <w:t>les</w:t>
      </w:r>
      <w:r>
        <w:rPr>
          <w:rFonts w:ascii="Arial" w:hAnsi="Arial"/>
          <w:color w:val="231F20"/>
          <w:spacing w:val="-13"/>
          <w:w w:val="105"/>
        </w:rPr>
        <w:t> </w:t>
      </w:r>
      <w:r>
        <w:rPr>
          <w:rFonts w:ascii="Arial" w:hAnsi="Arial"/>
          <w:color w:val="231F20"/>
          <w:w w:val="105"/>
        </w:rPr>
        <w:t>difficultés</w:t>
      </w:r>
      <w:r>
        <w:rPr>
          <w:rFonts w:ascii="Arial" w:hAnsi="Arial"/>
          <w:color w:val="231F20"/>
          <w:spacing w:val="-12"/>
          <w:w w:val="105"/>
        </w:rPr>
        <w:t> </w:t>
      </w:r>
      <w:r>
        <w:rPr>
          <w:rFonts w:ascii="Arial" w:hAnsi="Arial"/>
          <w:color w:val="231F20"/>
          <w:w w:val="105"/>
        </w:rPr>
        <w:t>relationnelles,</w:t>
      </w:r>
      <w:r>
        <w:rPr>
          <w:rFonts w:ascii="Arial" w:hAnsi="Arial"/>
          <w:color w:val="231F20"/>
          <w:spacing w:val="-12"/>
          <w:w w:val="105"/>
        </w:rPr>
        <w:t> </w:t>
      </w:r>
      <w:r>
        <w:rPr>
          <w:rFonts w:ascii="Arial" w:hAnsi="Arial"/>
          <w:color w:val="231F20"/>
          <w:w w:val="105"/>
        </w:rPr>
        <w:t>l’impossibilité</w:t>
      </w:r>
      <w:r>
        <w:rPr>
          <w:rFonts w:ascii="Arial" w:hAnsi="Arial"/>
          <w:color w:val="231F20"/>
          <w:spacing w:val="-13"/>
          <w:w w:val="105"/>
        </w:rPr>
        <w:t> </w:t>
      </w:r>
      <w:r>
        <w:rPr>
          <w:rFonts w:ascii="Arial" w:hAnsi="Arial"/>
          <w:color w:val="231F20"/>
          <w:w w:val="105"/>
        </w:rPr>
        <w:t>d’être </w:t>
      </w:r>
      <w:r>
        <w:rPr>
          <w:rFonts w:ascii="Arial" w:hAnsi="Arial"/>
          <w:color w:val="231F20"/>
        </w:rPr>
        <w:t>vraiment</w:t>
      </w:r>
      <w:r>
        <w:rPr>
          <w:rFonts w:ascii="Arial" w:hAnsi="Arial"/>
          <w:color w:val="231F20"/>
          <w:spacing w:val="-7"/>
        </w:rPr>
        <w:t> </w:t>
      </w:r>
      <w:r>
        <w:rPr>
          <w:rFonts w:ascii="Arial" w:hAnsi="Arial"/>
          <w:color w:val="231F20"/>
        </w:rPr>
        <w:t>soi</w:t>
      </w:r>
      <w:r>
        <w:rPr>
          <w:rFonts w:ascii="Arial" w:hAnsi="Arial"/>
          <w:color w:val="231F20"/>
          <w:spacing w:val="-7"/>
        </w:rPr>
        <w:t> </w:t>
      </w:r>
      <w:r>
        <w:rPr>
          <w:rFonts w:ascii="Arial" w:hAnsi="Arial"/>
          <w:color w:val="231F20"/>
        </w:rPr>
        <w:t>et</w:t>
      </w:r>
      <w:r>
        <w:rPr>
          <w:rFonts w:ascii="Arial" w:hAnsi="Arial"/>
          <w:color w:val="231F20"/>
          <w:spacing w:val="-7"/>
        </w:rPr>
        <w:t> </w:t>
      </w:r>
      <w:r>
        <w:rPr>
          <w:rFonts w:ascii="Arial" w:hAnsi="Arial"/>
          <w:color w:val="231F20"/>
        </w:rPr>
        <w:t>les</w:t>
      </w:r>
      <w:r>
        <w:rPr>
          <w:rFonts w:ascii="Arial" w:hAnsi="Arial"/>
          <w:color w:val="231F20"/>
          <w:spacing w:val="-7"/>
        </w:rPr>
        <w:t> </w:t>
      </w:r>
      <w:r>
        <w:rPr>
          <w:rFonts w:ascii="Arial" w:hAnsi="Arial"/>
          <w:color w:val="231F20"/>
        </w:rPr>
        <w:t>conflits</w:t>
      </w:r>
      <w:r>
        <w:rPr>
          <w:rFonts w:ascii="Arial" w:hAnsi="Arial"/>
          <w:color w:val="231F20"/>
          <w:spacing w:val="-7"/>
        </w:rPr>
        <w:t> </w:t>
      </w:r>
      <w:r>
        <w:rPr>
          <w:rFonts w:ascii="Arial" w:hAnsi="Arial"/>
          <w:color w:val="231F20"/>
        </w:rPr>
        <w:t>de</w:t>
      </w:r>
      <w:r>
        <w:rPr>
          <w:rFonts w:ascii="Arial" w:hAnsi="Arial"/>
          <w:color w:val="231F20"/>
          <w:spacing w:val="-7"/>
        </w:rPr>
        <w:t> </w:t>
      </w:r>
      <w:r>
        <w:rPr>
          <w:rFonts w:ascii="Arial" w:hAnsi="Arial"/>
          <w:color w:val="231F20"/>
        </w:rPr>
        <w:t>valeurs</w:t>
      </w:r>
      <w:r>
        <w:rPr>
          <w:rFonts w:ascii="Arial" w:hAnsi="Arial"/>
          <w:color w:val="231F20"/>
          <w:spacing w:val="-7"/>
        </w:rPr>
        <w:t> </w:t>
      </w:r>
      <w:r>
        <w:rPr>
          <w:rFonts w:ascii="Arial" w:hAnsi="Arial"/>
          <w:color w:val="231F20"/>
        </w:rPr>
        <w:t>(faire</w:t>
      </w:r>
      <w:r>
        <w:rPr>
          <w:rFonts w:ascii="Arial" w:hAnsi="Arial"/>
          <w:color w:val="231F20"/>
          <w:spacing w:val="-7"/>
        </w:rPr>
        <w:t> </w:t>
      </w:r>
      <w:r>
        <w:rPr>
          <w:rFonts w:ascii="Arial" w:hAnsi="Arial"/>
          <w:color w:val="231F20"/>
        </w:rPr>
        <w:t>des</w:t>
      </w:r>
      <w:r>
        <w:rPr>
          <w:rFonts w:ascii="Arial" w:hAnsi="Arial"/>
          <w:color w:val="231F20"/>
          <w:spacing w:val="-7"/>
        </w:rPr>
        <w:t> </w:t>
      </w:r>
      <w:r>
        <w:rPr>
          <w:rFonts w:ascii="Arial" w:hAnsi="Arial"/>
          <w:color w:val="231F20"/>
        </w:rPr>
        <w:t>choses</w:t>
      </w:r>
      <w:r>
        <w:rPr>
          <w:rFonts w:ascii="Arial" w:hAnsi="Arial"/>
          <w:color w:val="231F20"/>
          <w:spacing w:val="-7"/>
        </w:rPr>
        <w:t> </w:t>
      </w:r>
      <w:r>
        <w:rPr>
          <w:rFonts w:ascii="Arial" w:hAnsi="Arial"/>
          <w:color w:val="231F20"/>
        </w:rPr>
        <w:t>contre</w:t>
      </w:r>
      <w:r>
        <w:rPr>
          <w:rFonts w:ascii="Arial" w:hAnsi="Arial"/>
          <w:color w:val="231F20"/>
          <w:spacing w:val="-7"/>
        </w:rPr>
        <w:t> </w:t>
      </w:r>
      <w:r>
        <w:rPr>
          <w:rFonts w:ascii="Arial" w:hAnsi="Arial"/>
          <w:color w:val="231F20"/>
        </w:rPr>
        <w:t>ses</w:t>
      </w:r>
      <w:r>
        <w:rPr>
          <w:rFonts w:ascii="Arial" w:hAnsi="Arial"/>
          <w:color w:val="231F20"/>
          <w:spacing w:val="-7"/>
        </w:rPr>
        <w:t> </w:t>
      </w:r>
      <w:r>
        <w:rPr>
          <w:rFonts w:ascii="Arial" w:hAnsi="Arial"/>
          <w:color w:val="231F20"/>
        </w:rPr>
        <w:t>valeurs </w:t>
      </w:r>
      <w:r>
        <w:rPr>
          <w:rFonts w:ascii="Arial" w:hAnsi="Arial"/>
          <w:color w:val="231F20"/>
          <w:w w:val="105"/>
        </w:rPr>
        <w:t>morales et éthiques).</w:t>
      </w:r>
    </w:p>
    <w:p>
      <w:pPr>
        <w:pStyle w:val="BodyText"/>
        <w:spacing w:before="6"/>
        <w:rPr>
          <w:rFonts w:ascii="Arial"/>
          <w:sz w:val="4"/>
        </w:rPr>
      </w:pPr>
      <w:r>
        <w:rPr/>
        <w:pict>
          <v:shape style="position:absolute;margin-left:62.5pt;margin-top:3.821387pt;width:287.5pt;height:.1pt;mso-position-horizontal-relative:page;mso-position-vertical-relative:paragraph;z-index:-15675904;mso-wrap-distance-left:0;mso-wrap-distance-right:0" id="docshape682" coordorigin="1250,76" coordsize="5750,0" path="m1250,76l7000,76e" filled="false" stroked="true" strokeweight=".25pt" strokecolor="#231f20">
            <v:path arrowok="t"/>
            <v:stroke dashstyle="shortdot"/>
            <w10:wrap type="topAndBottom"/>
          </v:shape>
        </w:pict>
      </w:r>
    </w:p>
    <w:p>
      <w:pPr>
        <w:spacing w:line="295" w:lineRule="auto" w:before="137"/>
        <w:ind w:left="830" w:right="745"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Dulieux,</w:t>
      </w:r>
      <w:r>
        <w:rPr>
          <w:rFonts w:ascii="Arial" w:hAnsi="Arial"/>
          <w:color w:val="231F20"/>
          <w:spacing w:val="-8"/>
          <w:sz w:val="12"/>
        </w:rPr>
        <w:t> </w:t>
      </w:r>
      <w:r>
        <w:rPr>
          <w:rFonts w:ascii="Arial" w:hAnsi="Arial"/>
          <w:color w:val="231F20"/>
          <w:sz w:val="12"/>
        </w:rPr>
        <w:t>A.</w:t>
      </w:r>
      <w:r>
        <w:rPr>
          <w:rFonts w:ascii="Arial" w:hAnsi="Arial"/>
          <w:color w:val="231F20"/>
          <w:spacing w:val="-4"/>
          <w:sz w:val="12"/>
        </w:rPr>
        <w:t> </w:t>
      </w:r>
      <w:r>
        <w:rPr>
          <w:rFonts w:ascii="Arial" w:hAnsi="Arial"/>
          <w:color w:val="231F20"/>
          <w:sz w:val="12"/>
        </w:rPr>
        <w:t>(s.</w:t>
      </w:r>
      <w:r>
        <w:rPr>
          <w:rFonts w:ascii="Arial" w:hAnsi="Arial"/>
          <w:color w:val="231F20"/>
          <w:spacing w:val="-2"/>
          <w:sz w:val="12"/>
        </w:rPr>
        <w:t> </w:t>
      </w:r>
      <w:r>
        <w:rPr>
          <w:rFonts w:ascii="Arial" w:hAnsi="Arial"/>
          <w:color w:val="231F20"/>
          <w:sz w:val="12"/>
        </w:rPr>
        <w:t>d.).</w:t>
      </w:r>
      <w:r>
        <w:rPr>
          <w:rFonts w:ascii="Arial" w:hAnsi="Arial"/>
          <w:color w:val="231F20"/>
          <w:spacing w:val="-2"/>
          <w:sz w:val="12"/>
        </w:rPr>
        <w:t> </w:t>
      </w:r>
      <w:r>
        <w:rPr>
          <w:rFonts w:ascii="Arial" w:hAnsi="Arial"/>
          <w:color w:val="231F20"/>
          <w:sz w:val="12"/>
        </w:rPr>
        <w:t>Les</w:t>
      </w:r>
      <w:r>
        <w:rPr>
          <w:rFonts w:ascii="Arial" w:hAnsi="Arial"/>
          <w:color w:val="231F20"/>
          <w:spacing w:val="-2"/>
          <w:sz w:val="12"/>
        </w:rPr>
        <w:t> </w:t>
      </w:r>
      <w:r>
        <w:rPr>
          <w:rFonts w:ascii="Arial" w:hAnsi="Arial"/>
          <w:color w:val="231F20"/>
          <w:sz w:val="12"/>
        </w:rPr>
        <w:t>10</w:t>
      </w:r>
      <w:r>
        <w:rPr>
          <w:rFonts w:ascii="Arial" w:hAnsi="Arial"/>
          <w:color w:val="231F20"/>
          <w:spacing w:val="-2"/>
          <w:sz w:val="12"/>
        </w:rPr>
        <w:t> </w:t>
      </w:r>
      <w:r>
        <w:rPr>
          <w:rFonts w:ascii="Arial" w:hAnsi="Arial"/>
          <w:color w:val="231F20"/>
          <w:sz w:val="12"/>
        </w:rPr>
        <w:t>sources</w:t>
      </w:r>
      <w:r>
        <w:rPr>
          <w:rFonts w:ascii="Arial" w:hAnsi="Arial"/>
          <w:color w:val="231F20"/>
          <w:spacing w:val="-2"/>
          <w:sz w:val="12"/>
        </w:rPr>
        <w:t> </w:t>
      </w:r>
      <w:r>
        <w:rPr>
          <w:rFonts w:ascii="Arial" w:hAnsi="Arial"/>
          <w:color w:val="231F20"/>
          <w:sz w:val="12"/>
        </w:rPr>
        <w:t>principales</w:t>
      </w:r>
      <w:r>
        <w:rPr>
          <w:rFonts w:ascii="Arial" w:hAnsi="Arial"/>
          <w:color w:val="231F20"/>
          <w:spacing w:val="-2"/>
          <w:sz w:val="12"/>
        </w:rPr>
        <w:t> </w:t>
      </w:r>
      <w:r>
        <w:rPr>
          <w:rFonts w:ascii="Arial" w:hAnsi="Arial"/>
          <w:color w:val="231F20"/>
          <w:sz w:val="12"/>
        </w:rPr>
        <w:t>du</w:t>
      </w:r>
      <w:r>
        <w:rPr>
          <w:rFonts w:ascii="Arial" w:hAnsi="Arial"/>
          <w:color w:val="231F20"/>
          <w:spacing w:val="-2"/>
          <w:sz w:val="12"/>
        </w:rPr>
        <w:t> </w:t>
      </w:r>
      <w:r>
        <w:rPr>
          <w:rFonts w:ascii="Arial" w:hAnsi="Arial"/>
          <w:color w:val="231F20"/>
          <w:sz w:val="12"/>
        </w:rPr>
        <w:t>stress,</w:t>
      </w:r>
      <w:r>
        <w:rPr>
          <w:rFonts w:ascii="Arial" w:hAnsi="Arial"/>
          <w:color w:val="231F20"/>
          <w:spacing w:val="-2"/>
          <w:sz w:val="12"/>
        </w:rPr>
        <w:t> </w:t>
      </w:r>
      <w:r>
        <w:rPr>
          <w:rFonts w:ascii="Arial" w:hAnsi="Arial"/>
          <w:i/>
          <w:color w:val="231F20"/>
          <w:sz w:val="12"/>
        </w:rPr>
        <w:t>Passeport</w:t>
      </w:r>
      <w:r>
        <w:rPr>
          <w:rFonts w:ascii="Arial" w:hAnsi="Arial"/>
          <w:i/>
          <w:color w:val="231F20"/>
          <w:spacing w:val="-2"/>
          <w:sz w:val="12"/>
        </w:rPr>
        <w:t> </w:t>
      </w:r>
      <w:r>
        <w:rPr>
          <w:rFonts w:ascii="Arial" w:hAnsi="Arial"/>
          <w:i/>
          <w:color w:val="231F20"/>
          <w:sz w:val="12"/>
        </w:rPr>
        <w:t>Santé</w:t>
      </w:r>
      <w:r>
        <w:rPr>
          <w:rFonts w:ascii="Arial" w:hAnsi="Arial"/>
          <w:color w:val="231F20"/>
          <w:sz w:val="12"/>
        </w:rPr>
        <w:t>,</w:t>
      </w:r>
      <w:r>
        <w:rPr>
          <w:rFonts w:ascii="Arial" w:hAnsi="Arial"/>
          <w:color w:val="231F20"/>
          <w:spacing w:val="-2"/>
          <w:sz w:val="12"/>
        </w:rPr>
        <w:t> </w:t>
      </w:r>
      <w:r>
        <w:rPr>
          <w:rFonts w:ascii="Arial" w:hAnsi="Arial"/>
          <w:color w:val="231F20"/>
          <w:sz w:val="12"/>
        </w:rPr>
        <w:t>&lt;https://www.passe-</w:t>
      </w:r>
      <w:r>
        <w:rPr>
          <w:rFonts w:ascii="Arial" w:hAnsi="Arial"/>
          <w:color w:val="231F20"/>
          <w:spacing w:val="40"/>
          <w:sz w:val="12"/>
        </w:rPr>
        <w:t> </w:t>
      </w:r>
      <w:r>
        <w:rPr>
          <w:rFonts w:ascii="Arial" w:hAnsi="Arial"/>
          <w:color w:val="231F20"/>
          <w:spacing w:val="-2"/>
          <w:sz w:val="12"/>
        </w:rPr>
        <w:t>portsante.net/fr/Actualites/Dossiers/DossierComplexe.aspx?doc=10-principales-sources-stress&gt;,</w:t>
      </w:r>
      <w:r>
        <w:rPr>
          <w:rFonts w:ascii="Arial" w:hAnsi="Arial"/>
          <w:color w:val="231F20"/>
          <w:spacing w:val="80"/>
          <w:sz w:val="12"/>
        </w:rPr>
        <w:t>  </w:t>
      </w:r>
      <w:r>
        <w:rPr>
          <w:rFonts w:ascii="Arial" w:hAnsi="Arial"/>
          <w:color w:val="231F20"/>
          <w:sz w:val="12"/>
        </w:rPr>
        <w:t>consulté le 22 octobre 2021.</w:t>
      </w:r>
    </w:p>
    <w:p>
      <w:pPr>
        <w:spacing w:after="0" w:line="295" w:lineRule="auto"/>
        <w:jc w:val="both"/>
        <w:rPr>
          <w:rFonts w:ascii="Arial" w:hAnsi="Arial"/>
          <w:sz w:val="12"/>
        </w:rPr>
        <w:sectPr>
          <w:footerReference w:type="default" r:id="rId192"/>
          <w:pgSz w:w="8640" w:h="12960"/>
          <w:pgMar w:footer="424" w:header="0" w:top="520" w:bottom="620" w:left="420" w:right="1140"/>
        </w:sectPr>
      </w:pPr>
    </w:p>
    <w:p>
      <w:pPr>
        <w:spacing w:before="118"/>
        <w:ind w:left="2049" w:right="0" w:firstLine="0"/>
        <w:jc w:val="left"/>
        <w:rPr>
          <w:rFonts w:ascii="Arial" w:hAnsi="Arial"/>
          <w:sz w:val="14"/>
        </w:rPr>
      </w:pPr>
      <w:bookmarkStart w:name=" 3.3 / Stress et personnalité" w:id="91"/>
      <w:bookmarkEnd w:id="91"/>
      <w:r>
        <w:rPr/>
      </w:r>
      <w:bookmarkStart w:name=" 3.3.1 / Type de personnalité A, B et C" w:id="92"/>
      <w:bookmarkEnd w:id="92"/>
      <w:r>
        <w:rPr/>
      </w:r>
      <w:bookmarkStart w:name="Figure 3.5 / Diverses origines structura" w:id="93"/>
      <w:bookmarkEnd w:id="93"/>
      <w:r>
        <w:rPr/>
      </w:r>
      <w:bookmarkStart w:name="_bookmark39" w:id="94"/>
      <w:bookmarkEnd w:id="94"/>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spacing w:before="3"/>
        <w:rPr>
          <w:rFonts w:ascii="Arial"/>
          <w:sz w:val="27"/>
        </w:rPr>
      </w:pPr>
    </w:p>
    <w:p>
      <w:pPr>
        <w:pStyle w:val="Heading2"/>
        <w:numPr>
          <w:ilvl w:val="1"/>
          <w:numId w:val="40"/>
        </w:numPr>
        <w:tabs>
          <w:tab w:pos="911" w:val="left" w:leader="none"/>
          <w:tab w:pos="1219" w:val="left" w:leader="none"/>
        </w:tabs>
        <w:spacing w:line="240" w:lineRule="auto" w:before="0" w:after="0"/>
        <w:ind w:left="910" w:right="0" w:hanging="300"/>
        <w:jc w:val="left"/>
      </w:pPr>
      <w:r>
        <w:rPr>
          <w:b w:val="0"/>
          <w:i/>
          <w:color w:val="231F20"/>
          <w:spacing w:val="-10"/>
        </w:rPr>
        <w:t>/</w:t>
      </w:r>
      <w:r>
        <w:rPr>
          <w:b w:val="0"/>
          <w:i/>
          <w:color w:val="231F20"/>
        </w:rPr>
        <w:tab/>
      </w:r>
      <w:r>
        <w:rPr>
          <w:color w:val="231F20"/>
          <w:w w:val="95"/>
        </w:rPr>
        <w:t>Stress</w:t>
      </w:r>
      <w:r>
        <w:rPr>
          <w:color w:val="231F20"/>
          <w:spacing w:val="-9"/>
          <w:w w:val="95"/>
        </w:rPr>
        <w:t> </w:t>
      </w:r>
      <w:r>
        <w:rPr>
          <w:color w:val="231F20"/>
          <w:w w:val="95"/>
        </w:rPr>
        <w:t>et</w:t>
      </w:r>
      <w:r>
        <w:rPr>
          <w:color w:val="231F20"/>
          <w:spacing w:val="-8"/>
          <w:w w:val="95"/>
        </w:rPr>
        <w:t> </w:t>
      </w:r>
      <w:r>
        <w:rPr>
          <w:color w:val="231F20"/>
          <w:spacing w:val="-2"/>
          <w:w w:val="95"/>
        </w:rPr>
        <w:t>personnalité</w:t>
      </w:r>
    </w:p>
    <w:p>
      <w:pPr>
        <w:pStyle w:val="BodyText"/>
        <w:spacing w:before="9"/>
        <w:rPr>
          <w:rFonts w:ascii="Arial"/>
          <w:b/>
          <w:sz w:val="25"/>
        </w:rPr>
      </w:pPr>
    </w:p>
    <w:p>
      <w:pPr>
        <w:pStyle w:val="BodyText"/>
        <w:spacing w:line="307" w:lineRule="auto" w:before="1"/>
        <w:ind w:left="1220" w:right="101"/>
        <w:jc w:val="both"/>
      </w:pPr>
      <w:r>
        <w:rPr>
          <w:color w:val="231F20"/>
          <w:w w:val="120"/>
        </w:rPr>
        <w:t>Dans une certaine mesure, les réactions de l’individu aux </w:t>
      </w:r>
      <w:r>
        <w:rPr>
          <w:color w:val="231F20"/>
          <w:w w:val="120"/>
        </w:rPr>
        <w:t>différents agents</w:t>
      </w:r>
      <w:r>
        <w:rPr>
          <w:color w:val="231F20"/>
          <w:spacing w:val="-6"/>
          <w:w w:val="120"/>
        </w:rPr>
        <w:t> </w:t>
      </w:r>
      <w:r>
        <w:rPr>
          <w:color w:val="231F20"/>
          <w:w w:val="120"/>
        </w:rPr>
        <w:t>stressants</w:t>
      </w:r>
      <w:r>
        <w:rPr>
          <w:color w:val="231F20"/>
          <w:spacing w:val="-6"/>
          <w:w w:val="120"/>
        </w:rPr>
        <w:t> </w:t>
      </w:r>
      <w:r>
        <w:rPr>
          <w:color w:val="231F20"/>
          <w:w w:val="120"/>
        </w:rPr>
        <w:t>qui</w:t>
      </w:r>
      <w:r>
        <w:rPr>
          <w:color w:val="231F20"/>
          <w:spacing w:val="-6"/>
          <w:w w:val="120"/>
        </w:rPr>
        <w:t> </w:t>
      </w:r>
      <w:r>
        <w:rPr>
          <w:color w:val="231F20"/>
          <w:w w:val="120"/>
        </w:rPr>
        <w:t>le</w:t>
      </w:r>
      <w:r>
        <w:rPr>
          <w:color w:val="231F20"/>
          <w:spacing w:val="-6"/>
          <w:w w:val="120"/>
        </w:rPr>
        <w:t> </w:t>
      </w:r>
      <w:r>
        <w:rPr>
          <w:color w:val="231F20"/>
          <w:w w:val="120"/>
        </w:rPr>
        <w:t>touchent</w:t>
      </w:r>
      <w:r>
        <w:rPr>
          <w:color w:val="231F20"/>
          <w:spacing w:val="-6"/>
          <w:w w:val="120"/>
        </w:rPr>
        <w:t> </w:t>
      </w:r>
      <w:r>
        <w:rPr>
          <w:color w:val="231F20"/>
          <w:w w:val="120"/>
        </w:rPr>
        <w:t>sont</w:t>
      </w:r>
      <w:r>
        <w:rPr>
          <w:color w:val="231F20"/>
          <w:spacing w:val="-6"/>
          <w:w w:val="120"/>
        </w:rPr>
        <w:t> </w:t>
      </w:r>
      <w:r>
        <w:rPr>
          <w:color w:val="231F20"/>
          <w:w w:val="120"/>
        </w:rPr>
        <w:t>conditionnées</w:t>
      </w:r>
      <w:r>
        <w:rPr>
          <w:color w:val="231F20"/>
          <w:spacing w:val="-6"/>
          <w:w w:val="120"/>
        </w:rPr>
        <w:t> </w:t>
      </w:r>
      <w:r>
        <w:rPr>
          <w:color w:val="231F20"/>
          <w:w w:val="120"/>
        </w:rPr>
        <w:t>par</w:t>
      </w:r>
      <w:r>
        <w:rPr>
          <w:color w:val="231F20"/>
          <w:spacing w:val="-6"/>
          <w:w w:val="120"/>
        </w:rPr>
        <w:t> </w:t>
      </w:r>
      <w:r>
        <w:rPr>
          <w:color w:val="231F20"/>
          <w:w w:val="120"/>
        </w:rPr>
        <w:t>diverses</w:t>
      </w:r>
      <w:r>
        <w:rPr>
          <w:color w:val="231F20"/>
          <w:spacing w:val="-6"/>
          <w:w w:val="120"/>
        </w:rPr>
        <w:t> </w:t>
      </w:r>
      <w:r>
        <w:rPr>
          <w:color w:val="231F20"/>
          <w:w w:val="120"/>
        </w:rPr>
        <w:t>carac- téristiques</w:t>
      </w:r>
      <w:r>
        <w:rPr>
          <w:color w:val="231F20"/>
          <w:spacing w:val="-2"/>
          <w:w w:val="120"/>
        </w:rPr>
        <w:t> </w:t>
      </w:r>
      <w:r>
        <w:rPr>
          <w:color w:val="231F20"/>
          <w:w w:val="120"/>
        </w:rPr>
        <w:t>personnelles,</w:t>
      </w:r>
      <w:r>
        <w:rPr>
          <w:color w:val="231F20"/>
          <w:spacing w:val="-2"/>
          <w:w w:val="120"/>
        </w:rPr>
        <w:t> </w:t>
      </w:r>
      <w:r>
        <w:rPr>
          <w:color w:val="231F20"/>
          <w:w w:val="120"/>
        </w:rPr>
        <w:t>dont</w:t>
      </w:r>
      <w:r>
        <w:rPr>
          <w:color w:val="231F20"/>
          <w:spacing w:val="-2"/>
          <w:w w:val="120"/>
        </w:rPr>
        <w:t> </w:t>
      </w:r>
      <w:r>
        <w:rPr>
          <w:color w:val="231F20"/>
          <w:w w:val="120"/>
        </w:rPr>
        <w:t>le</w:t>
      </w:r>
      <w:r>
        <w:rPr>
          <w:color w:val="231F20"/>
          <w:spacing w:val="-2"/>
          <w:w w:val="120"/>
        </w:rPr>
        <w:t> </w:t>
      </w:r>
      <w:r>
        <w:rPr>
          <w:color w:val="231F20"/>
          <w:w w:val="120"/>
        </w:rPr>
        <w:t>profil</w:t>
      </w:r>
      <w:r>
        <w:rPr>
          <w:color w:val="231F20"/>
          <w:spacing w:val="-2"/>
          <w:w w:val="120"/>
        </w:rPr>
        <w:t> </w:t>
      </w:r>
      <w:r>
        <w:rPr>
          <w:color w:val="231F20"/>
          <w:w w:val="120"/>
        </w:rPr>
        <w:t>de</w:t>
      </w:r>
      <w:r>
        <w:rPr>
          <w:color w:val="231F20"/>
          <w:spacing w:val="-2"/>
          <w:w w:val="120"/>
        </w:rPr>
        <w:t> </w:t>
      </w:r>
      <w:r>
        <w:rPr>
          <w:color w:val="231F20"/>
          <w:w w:val="120"/>
        </w:rPr>
        <w:t>sa</w:t>
      </w:r>
      <w:r>
        <w:rPr>
          <w:color w:val="231F20"/>
          <w:spacing w:val="-2"/>
          <w:w w:val="120"/>
        </w:rPr>
        <w:t> </w:t>
      </w:r>
      <w:r>
        <w:rPr>
          <w:color w:val="231F20"/>
          <w:w w:val="120"/>
        </w:rPr>
        <w:t>personnalité.</w:t>
      </w:r>
      <w:r>
        <w:rPr>
          <w:color w:val="231F20"/>
          <w:spacing w:val="-2"/>
          <w:w w:val="120"/>
        </w:rPr>
        <w:t> </w:t>
      </w:r>
      <w:r>
        <w:rPr>
          <w:color w:val="231F20"/>
          <w:w w:val="120"/>
        </w:rPr>
        <w:t>Nous</w:t>
      </w:r>
      <w:r>
        <w:rPr>
          <w:color w:val="231F20"/>
          <w:spacing w:val="-2"/>
          <w:w w:val="120"/>
        </w:rPr>
        <w:t> </w:t>
      </w:r>
      <w:r>
        <w:rPr>
          <w:color w:val="231F20"/>
          <w:w w:val="120"/>
        </w:rPr>
        <w:t>ne</w:t>
      </w:r>
      <w:r>
        <w:rPr>
          <w:color w:val="231F20"/>
          <w:spacing w:val="-2"/>
          <w:w w:val="120"/>
        </w:rPr>
        <w:t> </w:t>
      </w:r>
      <w:r>
        <w:rPr>
          <w:color w:val="231F20"/>
          <w:w w:val="120"/>
        </w:rPr>
        <w:t>réa- gissons</w:t>
      </w:r>
      <w:r>
        <w:rPr>
          <w:color w:val="231F20"/>
          <w:spacing w:val="-13"/>
          <w:w w:val="120"/>
        </w:rPr>
        <w:t> </w:t>
      </w:r>
      <w:r>
        <w:rPr>
          <w:color w:val="231F20"/>
          <w:w w:val="120"/>
        </w:rPr>
        <w:t>pas</w:t>
      </w:r>
      <w:r>
        <w:rPr>
          <w:color w:val="231F20"/>
          <w:spacing w:val="-13"/>
          <w:w w:val="120"/>
        </w:rPr>
        <w:t> </w:t>
      </w:r>
      <w:r>
        <w:rPr>
          <w:color w:val="231F20"/>
          <w:w w:val="120"/>
        </w:rPr>
        <w:t>tous</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même</w:t>
      </w:r>
      <w:r>
        <w:rPr>
          <w:color w:val="231F20"/>
          <w:spacing w:val="-12"/>
          <w:w w:val="120"/>
        </w:rPr>
        <w:t> </w:t>
      </w:r>
      <w:r>
        <w:rPr>
          <w:color w:val="231F20"/>
          <w:w w:val="120"/>
        </w:rPr>
        <w:t>façon,</w:t>
      </w:r>
      <w:r>
        <w:rPr>
          <w:color w:val="231F20"/>
          <w:spacing w:val="-13"/>
          <w:w w:val="120"/>
        </w:rPr>
        <w:t> </w:t>
      </w:r>
      <w:r>
        <w:rPr>
          <w:color w:val="231F20"/>
          <w:w w:val="120"/>
        </w:rPr>
        <w:t>étant</w:t>
      </w:r>
      <w:r>
        <w:rPr>
          <w:color w:val="231F20"/>
          <w:spacing w:val="-13"/>
          <w:w w:val="120"/>
        </w:rPr>
        <w:t> </w:t>
      </w:r>
      <w:r>
        <w:rPr>
          <w:color w:val="231F20"/>
          <w:w w:val="120"/>
        </w:rPr>
        <w:t>donné</w:t>
      </w:r>
      <w:r>
        <w:rPr>
          <w:color w:val="231F20"/>
          <w:spacing w:val="-12"/>
          <w:w w:val="120"/>
        </w:rPr>
        <w:t> </w:t>
      </w:r>
      <w:r>
        <w:rPr>
          <w:color w:val="231F20"/>
          <w:w w:val="120"/>
        </w:rPr>
        <w:t>qu’une</w:t>
      </w:r>
      <w:r>
        <w:rPr>
          <w:color w:val="231F20"/>
          <w:spacing w:val="-13"/>
          <w:w w:val="120"/>
        </w:rPr>
        <w:t> </w:t>
      </w:r>
      <w:r>
        <w:rPr>
          <w:color w:val="231F20"/>
          <w:w w:val="120"/>
        </w:rPr>
        <w:t>large</w:t>
      </w:r>
      <w:r>
        <w:rPr>
          <w:color w:val="231F20"/>
          <w:spacing w:val="-13"/>
          <w:w w:val="120"/>
        </w:rPr>
        <w:t> </w:t>
      </w:r>
      <w:r>
        <w:rPr>
          <w:color w:val="231F20"/>
          <w:w w:val="120"/>
        </w:rPr>
        <w:t>part</w:t>
      </w:r>
      <w:r>
        <w:rPr>
          <w:color w:val="231F20"/>
          <w:spacing w:val="-12"/>
          <w:w w:val="120"/>
        </w:rPr>
        <w:t> </w:t>
      </w:r>
      <w:r>
        <w:rPr>
          <w:color w:val="231F20"/>
          <w:w w:val="120"/>
        </w:rPr>
        <w:t>de</w:t>
      </w:r>
      <w:r>
        <w:rPr>
          <w:color w:val="231F20"/>
          <w:spacing w:val="-13"/>
          <w:w w:val="120"/>
        </w:rPr>
        <w:t> </w:t>
      </w:r>
      <w:r>
        <w:rPr>
          <w:color w:val="231F20"/>
          <w:w w:val="120"/>
        </w:rPr>
        <w:t>nos réponses</w:t>
      </w:r>
      <w:r>
        <w:rPr>
          <w:color w:val="231F20"/>
          <w:spacing w:val="-6"/>
          <w:w w:val="120"/>
        </w:rPr>
        <w:t> </w:t>
      </w:r>
      <w:r>
        <w:rPr>
          <w:color w:val="231F20"/>
          <w:w w:val="120"/>
        </w:rPr>
        <w:t>au</w:t>
      </w:r>
      <w:r>
        <w:rPr>
          <w:color w:val="231F20"/>
          <w:spacing w:val="-6"/>
          <w:w w:val="120"/>
        </w:rPr>
        <w:t> </w:t>
      </w:r>
      <w:r>
        <w:rPr>
          <w:color w:val="231F20"/>
          <w:w w:val="120"/>
        </w:rPr>
        <w:t>stress</w:t>
      </w:r>
      <w:r>
        <w:rPr>
          <w:color w:val="231F20"/>
          <w:spacing w:val="-6"/>
          <w:w w:val="120"/>
        </w:rPr>
        <w:t> </w:t>
      </w:r>
      <w:r>
        <w:rPr>
          <w:color w:val="231F20"/>
          <w:w w:val="120"/>
        </w:rPr>
        <w:t>dépend</w:t>
      </w:r>
      <w:r>
        <w:rPr>
          <w:color w:val="231F20"/>
          <w:spacing w:val="-6"/>
          <w:w w:val="120"/>
        </w:rPr>
        <w:t> </w:t>
      </w:r>
      <w:r>
        <w:rPr>
          <w:color w:val="231F20"/>
          <w:w w:val="120"/>
        </w:rPr>
        <w:t>de</w:t>
      </w:r>
      <w:r>
        <w:rPr>
          <w:color w:val="231F20"/>
          <w:spacing w:val="-6"/>
          <w:w w:val="120"/>
        </w:rPr>
        <w:t> </w:t>
      </w:r>
      <w:r>
        <w:rPr>
          <w:color w:val="231F20"/>
          <w:w w:val="120"/>
        </w:rPr>
        <w:t>facteurs</w:t>
      </w:r>
      <w:r>
        <w:rPr>
          <w:color w:val="231F20"/>
          <w:spacing w:val="-6"/>
          <w:w w:val="120"/>
        </w:rPr>
        <w:t> </w:t>
      </w:r>
      <w:r>
        <w:rPr>
          <w:color w:val="231F20"/>
          <w:w w:val="120"/>
        </w:rPr>
        <w:t>psychologiques.</w:t>
      </w:r>
      <w:r>
        <w:rPr>
          <w:color w:val="231F20"/>
          <w:spacing w:val="-6"/>
          <w:w w:val="120"/>
        </w:rPr>
        <w:t> </w:t>
      </w:r>
      <w:r>
        <w:rPr>
          <w:color w:val="231F20"/>
          <w:w w:val="120"/>
        </w:rPr>
        <w:t>De</w:t>
      </w:r>
      <w:r>
        <w:rPr>
          <w:color w:val="231F20"/>
          <w:spacing w:val="-6"/>
          <w:w w:val="120"/>
        </w:rPr>
        <w:t> </w:t>
      </w:r>
      <w:r>
        <w:rPr>
          <w:color w:val="231F20"/>
          <w:w w:val="120"/>
        </w:rPr>
        <w:t>plus,</w:t>
      </w:r>
      <w:r>
        <w:rPr>
          <w:color w:val="231F20"/>
          <w:spacing w:val="-6"/>
          <w:w w:val="120"/>
        </w:rPr>
        <w:t> </w:t>
      </w:r>
      <w:r>
        <w:rPr>
          <w:color w:val="231F20"/>
          <w:w w:val="120"/>
        </w:rPr>
        <w:t>tous</w:t>
      </w:r>
      <w:r>
        <w:rPr>
          <w:color w:val="231F20"/>
          <w:spacing w:val="-6"/>
          <w:w w:val="120"/>
        </w:rPr>
        <w:t> </w:t>
      </w:r>
      <w:r>
        <w:rPr>
          <w:color w:val="231F20"/>
          <w:w w:val="120"/>
        </w:rPr>
        <w:t>ne </w:t>
      </w:r>
      <w:r>
        <w:rPr>
          <w:color w:val="231F20"/>
          <w:spacing w:val="-2"/>
          <w:w w:val="120"/>
        </w:rPr>
        <w:t>développent</w:t>
      </w:r>
      <w:r>
        <w:rPr>
          <w:color w:val="231F20"/>
          <w:spacing w:val="-11"/>
          <w:w w:val="120"/>
        </w:rPr>
        <w:t> </w:t>
      </w:r>
      <w:r>
        <w:rPr>
          <w:color w:val="231F20"/>
          <w:spacing w:val="-2"/>
          <w:w w:val="120"/>
        </w:rPr>
        <w:t>pas</w:t>
      </w:r>
      <w:r>
        <w:rPr>
          <w:color w:val="231F20"/>
          <w:spacing w:val="-11"/>
          <w:w w:val="120"/>
        </w:rPr>
        <w:t> </w:t>
      </w:r>
      <w:r>
        <w:rPr>
          <w:color w:val="231F20"/>
          <w:spacing w:val="-2"/>
          <w:w w:val="120"/>
        </w:rPr>
        <w:t>les</w:t>
      </w:r>
      <w:r>
        <w:rPr>
          <w:color w:val="231F20"/>
          <w:spacing w:val="-11"/>
          <w:w w:val="120"/>
        </w:rPr>
        <w:t> </w:t>
      </w:r>
      <w:r>
        <w:rPr>
          <w:color w:val="231F20"/>
          <w:spacing w:val="-2"/>
          <w:w w:val="120"/>
        </w:rPr>
        <w:t>mêmes</w:t>
      </w:r>
      <w:r>
        <w:rPr>
          <w:color w:val="231F20"/>
          <w:spacing w:val="-10"/>
          <w:w w:val="120"/>
        </w:rPr>
        <w:t> </w:t>
      </w:r>
      <w:r>
        <w:rPr>
          <w:color w:val="231F20"/>
          <w:spacing w:val="-2"/>
          <w:w w:val="120"/>
        </w:rPr>
        <w:t>problèmes</w:t>
      </w:r>
      <w:r>
        <w:rPr>
          <w:color w:val="231F20"/>
          <w:spacing w:val="-11"/>
          <w:w w:val="120"/>
        </w:rPr>
        <w:t> </w:t>
      </w:r>
      <w:r>
        <w:rPr>
          <w:color w:val="231F20"/>
          <w:spacing w:val="-2"/>
          <w:w w:val="120"/>
        </w:rPr>
        <w:t>d’adaptation</w:t>
      </w:r>
      <w:r>
        <w:rPr>
          <w:color w:val="231F20"/>
          <w:spacing w:val="-11"/>
          <w:w w:val="120"/>
        </w:rPr>
        <w:t> </w:t>
      </w:r>
      <w:r>
        <w:rPr>
          <w:color w:val="231F20"/>
          <w:spacing w:val="-2"/>
          <w:w w:val="120"/>
        </w:rPr>
        <w:t>face</w:t>
      </w:r>
      <w:r>
        <w:rPr>
          <w:color w:val="231F20"/>
          <w:spacing w:val="-11"/>
          <w:w w:val="120"/>
        </w:rPr>
        <w:t> </w:t>
      </w:r>
      <w:r>
        <w:rPr>
          <w:color w:val="231F20"/>
          <w:spacing w:val="-2"/>
          <w:w w:val="120"/>
        </w:rPr>
        <w:t>à</w:t>
      </w:r>
      <w:r>
        <w:rPr>
          <w:color w:val="231F20"/>
          <w:spacing w:val="-10"/>
          <w:w w:val="120"/>
        </w:rPr>
        <w:t> </w:t>
      </w:r>
      <w:r>
        <w:rPr>
          <w:color w:val="231F20"/>
          <w:spacing w:val="-2"/>
          <w:w w:val="120"/>
        </w:rPr>
        <w:t>des</w:t>
      </w:r>
      <w:r>
        <w:rPr>
          <w:color w:val="231F20"/>
          <w:spacing w:val="-11"/>
          <w:w w:val="120"/>
        </w:rPr>
        <w:t> </w:t>
      </w:r>
      <w:r>
        <w:rPr>
          <w:color w:val="231F20"/>
          <w:spacing w:val="-2"/>
          <w:w w:val="120"/>
        </w:rPr>
        <w:t>conditions </w:t>
      </w:r>
      <w:r>
        <w:rPr>
          <w:color w:val="231F20"/>
          <w:w w:val="115"/>
        </w:rPr>
        <w:t>de</w:t>
      </w:r>
      <w:r>
        <w:rPr>
          <w:color w:val="231F20"/>
          <w:spacing w:val="-8"/>
          <w:w w:val="115"/>
        </w:rPr>
        <w:t> </w:t>
      </w:r>
      <w:r>
        <w:rPr>
          <w:color w:val="231F20"/>
          <w:w w:val="115"/>
        </w:rPr>
        <w:t>stress</w:t>
      </w:r>
      <w:r>
        <w:rPr>
          <w:color w:val="231F20"/>
          <w:spacing w:val="-8"/>
          <w:w w:val="115"/>
        </w:rPr>
        <w:t> </w:t>
      </w:r>
      <w:r>
        <w:rPr>
          <w:color w:val="231F20"/>
          <w:w w:val="115"/>
        </w:rPr>
        <w:t>comparables.</w:t>
      </w:r>
      <w:r>
        <w:rPr>
          <w:color w:val="231F20"/>
          <w:spacing w:val="-8"/>
          <w:w w:val="115"/>
        </w:rPr>
        <w:t> </w:t>
      </w:r>
      <w:r>
        <w:rPr>
          <w:color w:val="231F20"/>
          <w:w w:val="115"/>
        </w:rPr>
        <w:t>La</w:t>
      </w:r>
      <w:r>
        <w:rPr>
          <w:color w:val="231F20"/>
          <w:spacing w:val="-8"/>
          <w:w w:val="115"/>
        </w:rPr>
        <w:t> </w:t>
      </w:r>
      <w:r>
        <w:rPr>
          <w:color w:val="231F20"/>
          <w:w w:val="115"/>
        </w:rPr>
        <w:t>notion</w:t>
      </w:r>
      <w:r>
        <w:rPr>
          <w:color w:val="231F20"/>
          <w:spacing w:val="-8"/>
          <w:w w:val="115"/>
        </w:rPr>
        <w:t> </w:t>
      </w:r>
      <w:r>
        <w:rPr>
          <w:color w:val="231F20"/>
          <w:w w:val="115"/>
        </w:rPr>
        <w:t>de</w:t>
      </w:r>
      <w:r>
        <w:rPr>
          <w:color w:val="231F20"/>
          <w:spacing w:val="-8"/>
          <w:w w:val="115"/>
        </w:rPr>
        <w:t> </w:t>
      </w:r>
      <w:r>
        <w:rPr>
          <w:i/>
          <w:color w:val="231F20"/>
          <w:w w:val="115"/>
        </w:rPr>
        <w:t>personnalité</w:t>
      </w:r>
      <w:r>
        <w:rPr>
          <w:i/>
          <w:color w:val="231F20"/>
          <w:spacing w:val="-8"/>
          <w:w w:val="115"/>
        </w:rPr>
        <w:t> </w:t>
      </w:r>
      <w:r>
        <w:rPr>
          <w:color w:val="231F20"/>
          <w:w w:val="115"/>
        </w:rPr>
        <w:t>est</w:t>
      </w:r>
      <w:r>
        <w:rPr>
          <w:color w:val="231F20"/>
          <w:spacing w:val="-8"/>
          <w:w w:val="115"/>
        </w:rPr>
        <w:t> </w:t>
      </w:r>
      <w:r>
        <w:rPr>
          <w:color w:val="231F20"/>
          <w:w w:val="115"/>
        </w:rPr>
        <w:t>un</w:t>
      </w:r>
      <w:r>
        <w:rPr>
          <w:color w:val="231F20"/>
          <w:spacing w:val="-8"/>
          <w:w w:val="115"/>
        </w:rPr>
        <w:t> </w:t>
      </w:r>
      <w:r>
        <w:rPr>
          <w:color w:val="231F20"/>
          <w:w w:val="115"/>
        </w:rPr>
        <w:t>concept</w:t>
      </w:r>
      <w:r>
        <w:rPr>
          <w:color w:val="231F20"/>
          <w:spacing w:val="-8"/>
          <w:w w:val="115"/>
        </w:rPr>
        <w:t> </w:t>
      </w:r>
      <w:r>
        <w:rPr>
          <w:color w:val="231F20"/>
          <w:w w:val="115"/>
        </w:rPr>
        <w:t>complexe </w:t>
      </w:r>
      <w:r>
        <w:rPr>
          <w:color w:val="231F20"/>
          <w:w w:val="120"/>
        </w:rPr>
        <w:t>qui</w:t>
      </w:r>
      <w:r>
        <w:rPr>
          <w:color w:val="231F20"/>
          <w:spacing w:val="-9"/>
          <w:w w:val="120"/>
        </w:rPr>
        <w:t> </w:t>
      </w:r>
      <w:r>
        <w:rPr>
          <w:color w:val="231F20"/>
          <w:w w:val="120"/>
        </w:rPr>
        <w:t>tire</w:t>
      </w:r>
      <w:r>
        <w:rPr>
          <w:color w:val="231F20"/>
          <w:spacing w:val="-9"/>
          <w:w w:val="120"/>
        </w:rPr>
        <w:t> </w:t>
      </w:r>
      <w:r>
        <w:rPr>
          <w:color w:val="231F20"/>
          <w:w w:val="120"/>
        </w:rPr>
        <w:t>son</w:t>
      </w:r>
      <w:r>
        <w:rPr>
          <w:color w:val="231F20"/>
          <w:spacing w:val="-9"/>
          <w:w w:val="120"/>
        </w:rPr>
        <w:t> </w:t>
      </w:r>
      <w:r>
        <w:rPr>
          <w:color w:val="231F20"/>
          <w:w w:val="120"/>
        </w:rPr>
        <w:t>origine</w:t>
      </w:r>
      <w:r>
        <w:rPr>
          <w:color w:val="231F20"/>
          <w:spacing w:val="-9"/>
          <w:w w:val="120"/>
        </w:rPr>
        <w:t> </w:t>
      </w:r>
      <w:r>
        <w:rPr>
          <w:color w:val="231F20"/>
          <w:w w:val="120"/>
        </w:rPr>
        <w:t>de</w:t>
      </w:r>
      <w:r>
        <w:rPr>
          <w:color w:val="231F20"/>
          <w:spacing w:val="-9"/>
          <w:w w:val="120"/>
        </w:rPr>
        <w:t> </w:t>
      </w:r>
      <w:r>
        <w:rPr>
          <w:color w:val="231F20"/>
          <w:w w:val="120"/>
        </w:rPr>
        <w:t>diverses</w:t>
      </w:r>
      <w:r>
        <w:rPr>
          <w:color w:val="231F20"/>
          <w:spacing w:val="-9"/>
          <w:w w:val="120"/>
        </w:rPr>
        <w:t> </w:t>
      </w:r>
      <w:r>
        <w:rPr>
          <w:color w:val="231F20"/>
          <w:w w:val="120"/>
        </w:rPr>
        <w:t>sources</w:t>
      </w:r>
      <w:r>
        <w:rPr>
          <w:color w:val="231F20"/>
          <w:spacing w:val="-9"/>
          <w:w w:val="120"/>
        </w:rPr>
        <w:t> </w:t>
      </w:r>
      <w:r>
        <w:rPr>
          <w:color w:val="231F20"/>
          <w:w w:val="120"/>
        </w:rPr>
        <w:t>(figure</w:t>
      </w:r>
      <w:r>
        <w:rPr>
          <w:color w:val="231F20"/>
          <w:spacing w:val="-9"/>
          <w:w w:val="120"/>
        </w:rPr>
        <w:t> </w:t>
      </w:r>
      <w:r>
        <w:rPr>
          <w:color w:val="231F20"/>
          <w:w w:val="120"/>
        </w:rPr>
        <w:t>3.5)</w:t>
      </w:r>
      <w:r>
        <w:rPr>
          <w:color w:val="231F20"/>
          <w:spacing w:val="-9"/>
          <w:w w:val="120"/>
        </w:rPr>
        <w:t> </w:t>
      </w:r>
      <w:r>
        <w:rPr>
          <w:color w:val="231F20"/>
          <w:w w:val="120"/>
        </w:rPr>
        <w:t>et</w:t>
      </w:r>
      <w:r>
        <w:rPr>
          <w:color w:val="231F20"/>
          <w:spacing w:val="-9"/>
          <w:w w:val="120"/>
        </w:rPr>
        <w:t> </w:t>
      </w:r>
      <w:r>
        <w:rPr>
          <w:color w:val="231F20"/>
          <w:w w:val="120"/>
        </w:rPr>
        <w:t>qui</w:t>
      </w:r>
      <w:r>
        <w:rPr>
          <w:color w:val="231F20"/>
          <w:spacing w:val="-9"/>
          <w:w w:val="120"/>
        </w:rPr>
        <w:t> </w:t>
      </w:r>
      <w:r>
        <w:rPr>
          <w:color w:val="231F20"/>
          <w:w w:val="120"/>
        </w:rPr>
        <w:t>s’actualise</w:t>
      </w:r>
      <w:r>
        <w:rPr>
          <w:color w:val="231F20"/>
          <w:spacing w:val="-9"/>
          <w:w w:val="120"/>
        </w:rPr>
        <w:t> </w:t>
      </w:r>
      <w:r>
        <w:rPr>
          <w:color w:val="231F20"/>
          <w:w w:val="120"/>
        </w:rPr>
        <w:t>de </w:t>
      </w:r>
      <w:r>
        <w:rPr>
          <w:color w:val="231F20"/>
          <w:w w:val="115"/>
        </w:rPr>
        <w:t>multiples façons, d’où les divers modèles explicatifs afin d’en définir les </w:t>
      </w:r>
      <w:r>
        <w:rPr>
          <w:color w:val="231F20"/>
          <w:w w:val="120"/>
        </w:rPr>
        <w:t>paramètres.</w:t>
      </w:r>
      <w:r>
        <w:rPr>
          <w:color w:val="231F20"/>
          <w:spacing w:val="-13"/>
          <w:w w:val="120"/>
        </w:rPr>
        <w:t> </w:t>
      </w:r>
      <w:r>
        <w:rPr>
          <w:color w:val="231F20"/>
          <w:w w:val="120"/>
        </w:rPr>
        <w:t>Dans</w:t>
      </w:r>
      <w:r>
        <w:rPr>
          <w:color w:val="231F20"/>
          <w:spacing w:val="-13"/>
          <w:w w:val="120"/>
        </w:rPr>
        <w:t> </w:t>
      </w:r>
      <w:r>
        <w:rPr>
          <w:color w:val="231F20"/>
          <w:w w:val="120"/>
        </w:rPr>
        <w:t>les</w:t>
      </w:r>
      <w:r>
        <w:rPr>
          <w:color w:val="231F20"/>
          <w:spacing w:val="-13"/>
          <w:w w:val="120"/>
        </w:rPr>
        <w:t> </w:t>
      </w:r>
      <w:r>
        <w:rPr>
          <w:color w:val="231F20"/>
          <w:w w:val="120"/>
        </w:rPr>
        <w:t>pages</w:t>
      </w:r>
      <w:r>
        <w:rPr>
          <w:color w:val="231F20"/>
          <w:spacing w:val="-12"/>
          <w:w w:val="120"/>
        </w:rPr>
        <w:t> </w:t>
      </w:r>
      <w:r>
        <w:rPr>
          <w:color w:val="231F20"/>
          <w:w w:val="120"/>
        </w:rPr>
        <w:t>qui</w:t>
      </w:r>
      <w:r>
        <w:rPr>
          <w:color w:val="231F20"/>
          <w:spacing w:val="-13"/>
          <w:w w:val="120"/>
        </w:rPr>
        <w:t> </w:t>
      </w:r>
      <w:r>
        <w:rPr>
          <w:color w:val="231F20"/>
          <w:w w:val="120"/>
        </w:rPr>
        <w:t>suivent,</w:t>
      </w:r>
      <w:r>
        <w:rPr>
          <w:color w:val="231F20"/>
          <w:spacing w:val="-13"/>
          <w:w w:val="120"/>
        </w:rPr>
        <w:t> </w:t>
      </w:r>
      <w:r>
        <w:rPr>
          <w:color w:val="231F20"/>
          <w:w w:val="120"/>
        </w:rPr>
        <w:t>nous</w:t>
      </w:r>
      <w:r>
        <w:rPr>
          <w:color w:val="231F20"/>
          <w:spacing w:val="-13"/>
          <w:w w:val="120"/>
        </w:rPr>
        <w:t> </w:t>
      </w:r>
      <w:r>
        <w:rPr>
          <w:color w:val="231F20"/>
          <w:w w:val="120"/>
        </w:rPr>
        <w:t>allons</w:t>
      </w:r>
      <w:r>
        <w:rPr>
          <w:color w:val="231F20"/>
          <w:spacing w:val="-12"/>
          <w:w w:val="120"/>
        </w:rPr>
        <w:t> </w:t>
      </w:r>
      <w:r>
        <w:rPr>
          <w:color w:val="231F20"/>
          <w:w w:val="120"/>
        </w:rPr>
        <w:t>examiner</w:t>
      </w:r>
      <w:r>
        <w:rPr>
          <w:color w:val="231F20"/>
          <w:spacing w:val="-13"/>
          <w:w w:val="120"/>
        </w:rPr>
        <w:t> </w:t>
      </w:r>
      <w:r>
        <w:rPr>
          <w:color w:val="231F20"/>
          <w:w w:val="120"/>
        </w:rPr>
        <w:t>la</w:t>
      </w:r>
      <w:r>
        <w:rPr>
          <w:color w:val="231F20"/>
          <w:spacing w:val="-13"/>
          <w:w w:val="120"/>
        </w:rPr>
        <w:t> </w:t>
      </w:r>
      <w:r>
        <w:rPr>
          <w:color w:val="231F20"/>
          <w:w w:val="120"/>
        </w:rPr>
        <w:t>relation entre le stress et la personnalité.</w:t>
      </w:r>
    </w:p>
    <w:p>
      <w:pPr>
        <w:pStyle w:val="BodyText"/>
        <w:spacing w:before="5"/>
        <w:rPr>
          <w:sz w:val="11"/>
        </w:rPr>
      </w:pPr>
      <w:r>
        <w:rPr/>
        <w:pict>
          <v:group style="position:absolute;margin-left:82pt;margin-top:7.810889pt;width:287.5pt;height:190.85pt;mso-position-horizontal-relative:page;mso-position-vertical-relative:paragraph;z-index:-15675392;mso-wrap-distance-left:0;mso-wrap-distance-right:0" id="docshapegroup684" coordorigin="1640,156" coordsize="5750,3817">
            <v:shape style="position:absolute;left:1640;top:156;width:5750;height:3817" id="docshape685" coordorigin="1640,156" coordsize="5750,3817" path="m7390,156l1640,156,1640,701,1640,861,1640,3303,1640,3413,1640,3973,7390,3973,7390,3413,7390,3303,7390,861,7390,701,7390,156xe" filled="true" fillcolor="#e2e3e4" stroked="false">
              <v:path arrowok="t"/>
              <v:fill type="solid"/>
            </v:shape>
            <v:line style="position:absolute" from="1890,3301" to="7140,3301" stroked="true" strokeweight=".25pt" strokecolor="#231f20">
              <v:stroke dashstyle="shortdot"/>
            </v:line>
            <v:shape style="position:absolute;left:3187;top:796;width:3953;height:2316" id="docshape686" coordorigin="3188,796" coordsize="3953,2316" path="m5198,796l5104,798,5010,801,4918,807,4827,816,4737,827,4649,840,4563,855,4478,873,4395,892,4314,914,4235,938,4158,963,4083,990,4011,1020,3941,1051,3873,1083,3808,1118,3746,1154,3686,1191,3629,1230,3575,1270,3525,1312,3477,1355,3433,1399,3392,1445,3354,1492,3320,1539,3290,1588,3263,1638,3241,1689,3222,1740,3207,1793,3196,1846,3190,1900,3188,1954,3190,2009,3196,2063,3207,2116,3222,2168,3241,2220,3263,2270,3290,2320,3320,2369,3354,2417,3392,2463,3433,2509,3477,2553,3525,2596,3575,2638,3629,2678,3686,2717,3746,2755,3808,2791,3873,2825,3941,2858,4011,2889,4083,2918,4158,2945,4235,2971,4314,2994,4395,3016,4478,3036,4563,3053,4649,3068,4737,3082,4827,3092,4918,3101,5010,3107,5104,3111,5198,3112,5293,3111,5386,3107,5479,3101,5570,3092,5659,3082,5747,3068,5834,3053,5919,3036,6002,3016,6083,2994,6162,2971,6239,2945,6313,2918,6386,2889,6456,2858,6524,2825,6589,2791,6651,2755,6711,2717,6767,2678,6821,2638,6872,2596,6919,2553,6964,2509,7005,2463,7042,2417,7076,2369,7107,2320,7133,2270,7140,2255,5198,796xm7140,796l5198,796,5293,798,5386,801,5479,807,5570,816,5659,827,5747,840,5834,855,5919,873,6002,892,6083,914,6162,938,6239,963,6313,990,6386,1020,6456,1051,6524,1083,6589,1118,6651,1154,6711,1191,6767,1230,6821,1270,6872,1312,6919,1355,6964,1399,7005,1445,7042,1492,7076,1539,7107,1588,7133,1638,7140,1653,7140,796xe" filled="true" fillcolor="#ffffff" stroked="false">
              <v:path arrowok="t"/>
              <v:fill type="solid"/>
            </v:shape>
            <v:shape style="position:absolute;left:1940;top:853;width:1095;height:484" id="docshape687" coordorigin="1941,853" coordsize="1095,484" path="m2488,853l2390,857,2297,868,2212,886,2136,910,2070,939,2016,973,1950,1051,1941,1095,1950,1138,2016,1217,2070,1250,2136,1280,2212,1303,2297,1321,2390,1332,2488,1336,2587,1332,2679,1321,2765,1303,2841,1280,2907,1250,2961,1217,3027,1138,3036,1095,3027,1051,2961,973,2907,939,2841,910,2765,886,2679,868,2587,857,2488,853xe" filled="true" fillcolor="#c7c8ca" stroked="false">
              <v:path arrowok="t"/>
              <v:fill type="solid"/>
            </v:shape>
            <v:shape style="position:absolute;left:2792;top:1550;width:1376;height:608" id="docshape688" coordorigin="2792,1550" coordsize="1376,608" path="m3480,1550l3378,1554,3281,1563,3190,1579,3106,1599,3029,1625,2961,1655,2903,1689,2821,1766,2792,1854,2800,1899,2856,1982,2961,2053,3029,2083,3106,2109,3190,2130,3281,2145,3378,2154,3480,2158,3582,2154,3679,2145,3770,2130,3854,2109,3931,2083,3999,2053,4057,2019,4139,1942,4168,1854,4160,1809,4104,1726,3999,1655,3931,1625,3854,1599,3770,1579,3679,1563,3582,1554,3480,1550xe" filled="true" fillcolor="#636466" stroked="false">
              <v:path arrowok="t"/>
              <v:fill type="solid"/>
            </v:shape>
            <v:shape style="position:absolute;left:5723;top:1452;width:1376;height:608" id="docshape689" coordorigin="5724,1452" coordsize="1376,608" path="m6411,1452l6310,1456,6213,1465,6121,1481,6037,1501,5960,1527,5892,1557,5835,1591,5753,1668,5724,1756,5731,1801,5788,1884,5892,1955,5960,1985,6037,2011,6121,2031,6213,2047,6310,2056,6411,2060,6513,2056,6610,2047,6701,2031,6786,2011,6862,1985,6930,1955,6988,1921,7070,1844,7099,1756,7092,1711,7035,1628,6930,1557,6862,1527,6786,1501,6701,1481,6610,1465,6513,1456,6411,1452xe" filled="true" fillcolor="#939598" stroked="false">
              <v:path arrowok="t"/>
              <v:fill type="solid"/>
            </v:shape>
            <v:shape style="position:absolute;left:3595;top:1016;width:3142;height:1957" id="docshape690" coordorigin="3596,1017" coordsize="3142,1957" path="m4690,2489l4681,2446,4656,2405,4615,2367,4561,2334,4496,2305,4419,2281,4334,2263,4241,2252,4143,2248,4044,2252,3952,2263,3867,2281,3790,2305,3724,2334,3670,2367,3630,2405,3604,2446,3596,2489,3604,2533,3630,2574,3670,2611,3724,2645,3790,2674,3867,2698,3952,2716,4044,2727,4143,2731,4241,2727,4334,2716,4419,2698,4496,2674,4561,2645,4615,2611,4656,2574,4681,2533,4690,2489xm5030,1310l5021,1267,4996,1226,4955,1188,4901,1155,4835,1125,4759,1102,4673,1084,4581,1073,4483,1069,4384,1073,4292,1084,4206,1102,4130,1125,4064,1155,4010,1188,3969,1226,3944,1267,3935,1310,3944,1354,3969,1395,4010,1432,4064,1466,4130,1495,4206,1519,4292,1537,4384,1548,4483,1552,4581,1548,4673,1537,4759,1519,4835,1495,4901,1466,4955,1432,4996,1395,5021,1354,5030,1310xm5878,2732l5869,2688,5844,2648,5803,2610,5749,2576,5683,2547,5607,2523,5522,2505,5429,2494,5331,2490,5232,2494,5140,2505,5054,2523,4978,2547,4912,2576,4858,2610,4818,2648,4792,2688,4783,2732,4792,2775,4818,2816,4858,2854,4912,2888,4978,2917,5054,2941,5140,2958,5232,2970,5331,2974,5429,2970,5522,2958,5607,2941,5683,2917,5749,2888,5803,2854,5844,2816,5869,2775,5878,2732xm6230,1258l6221,1215,6196,1174,6155,1136,6101,1103,6035,1073,5959,1050,5874,1032,5781,1020,5683,1017,5584,1020,5492,1032,5406,1050,5330,1073,5264,1103,5210,1136,5169,1174,5144,1215,5135,1258,5144,1302,5169,1343,5210,1380,5264,1414,5330,1443,5406,1467,5492,1485,5584,1496,5683,1500,5781,1496,5874,1485,5959,1467,6035,1443,6101,1414,6155,1380,6196,1343,6221,1302,6230,1258xm6737,2356l6728,2312,6703,2272,6662,2234,6608,2200,6542,2171,6466,2147,6380,2129,6288,2118,6189,2114,6091,2118,5998,2129,5913,2147,5837,2171,5771,2200,5717,2234,5676,2272,5651,2312,5642,2356,5651,2399,5676,2440,5717,2478,5771,2512,5837,2541,5913,2565,5998,2582,6091,2594,6189,2598,6288,2594,6380,2582,6466,2565,6542,2541,6608,2512,6662,2478,6703,2440,6728,2399,6737,2356xe" filled="true" fillcolor="#c7c8ca" stroked="false">
              <v:path arrowok="t"/>
              <v:fill type="solid"/>
            </v:shape>
            <v:line style="position:absolute" from="2780,1299" to="3089,1564" stroked="true" strokeweight=".25pt" strokecolor="#231f20">
              <v:stroke dashstyle="solid"/>
            </v:line>
            <v:shape style="position:absolute;left:3060;top:1533;width:64;height:62" id="docshape691" coordorigin="3061,1533" coordsize="64,62" path="m3103,1533l3061,1582,3125,1594,3103,1533xe" filled="true" fillcolor="#231f20" stroked="false">
              <v:path arrowok="t"/>
              <v:fill type="solid"/>
            </v:shape>
            <v:line style="position:absolute" from="4104,1485" to="3980,1599" stroked="true" strokeweight=".25pt" strokecolor="#231f20">
              <v:stroke dashstyle="solid"/>
            </v:line>
            <v:shape style="position:absolute;left:3946;top:1569;width:64;height:62" id="docshape692" coordorigin="3946,1569" coordsize="64,62" path="m3965,1569l3946,1631,4010,1617,3965,1569xe" filled="true" fillcolor="#231f20" stroked="false">
              <v:path arrowok="t"/>
              <v:fill type="solid"/>
            </v:shape>
            <v:line style="position:absolute" from="5281,1422" to="4193,1769" stroked="true" strokeweight=".25pt" strokecolor="#231f20">
              <v:stroke dashstyle="solid"/>
            </v:line>
            <v:shape style="position:absolute;left:4148;top:1735;width:64;height:62" id="docshape693" coordorigin="4149,1736" coordsize="64,62" path="m4192,1736l4149,1784,4212,1797,4192,1736xe" filled="true" fillcolor="#231f20" stroked="false">
              <v:path arrowok="t"/>
              <v:fill type="solid"/>
            </v:shape>
            <v:line style="position:absolute" from="5683,2265" to="4196,1932" stroked="true" strokeweight=".25pt" strokecolor="#231f20">
              <v:stroke dashstyle="solid"/>
            </v:line>
            <v:shape style="position:absolute;left:4150;top:1902;width:62;height:64" id="docshape694" coordorigin="4150,1902" coordsize="62,64" path="m4212,1902l4150,1921,4198,1965,4212,1902xe" filled="true" fillcolor="#231f20" stroked="false">
              <v:path arrowok="t"/>
              <v:fill type="solid"/>
            </v:shape>
            <v:line style="position:absolute" from="5111,2510" to="4106,2035" stroked="true" strokeweight=".25pt" strokecolor="#231f20">
              <v:stroke dashstyle="solid"/>
            </v:line>
            <v:shape style="position:absolute;left:4063;top:2009;width:65;height:59" id="docshape695" coordorigin="4064,2009" coordsize="65,59" path="m4128,2009l4064,2015,4100,2068,4128,2009xe" filled="true" fillcolor="#231f20" stroked="false">
              <v:path arrowok="t"/>
              <v:fill type="solid"/>
            </v:shape>
            <v:line style="position:absolute" from="4040,2248" to="3960,2121" stroked="true" strokeweight=".25pt" strokecolor="#231f20">
              <v:stroke dashstyle="solid"/>
            </v:line>
            <v:shape style="position:absolute;left:3935;top:2081;width:58;height:65" id="docshape696" coordorigin="3935,2082" coordsize="58,65" path="m3935,2082l3938,2146,3993,2112,3935,2082xe" filled="true" fillcolor="#231f20" stroked="false">
              <v:path arrowok="t"/>
              <v:fill type="solid"/>
            </v:shape>
            <v:shape style="position:absolute;left:1890;top:328;width:4396;height:246" type="#_x0000_t202" id="docshape697"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2"/>
                        <w:sz w:val="17"/>
                      </w:rPr>
                      <w:t> </w:t>
                    </w:r>
                    <w:r>
                      <w:rPr>
                        <w:rFonts w:ascii="Arial" w:hAnsi="Arial"/>
                        <w:color w:val="231F20"/>
                        <w:w w:val="95"/>
                        <w:sz w:val="17"/>
                      </w:rPr>
                      <w:t>3.5</w:t>
                    </w:r>
                    <w:r>
                      <w:rPr>
                        <w:rFonts w:ascii="Arial" w:hAnsi="Arial"/>
                        <w:color w:val="231F20"/>
                        <w:spacing w:val="-8"/>
                        <w:w w:val="95"/>
                        <w:sz w:val="17"/>
                      </w:rPr>
                      <w:t> </w:t>
                    </w:r>
                    <w:r>
                      <w:rPr>
                        <w:rFonts w:ascii="Arial" w:hAnsi="Arial"/>
                        <w:i/>
                        <w:color w:val="231F20"/>
                        <w:w w:val="95"/>
                        <w:sz w:val="17"/>
                      </w:rPr>
                      <w:t>/</w:t>
                    </w:r>
                    <w:r>
                      <w:rPr>
                        <w:rFonts w:ascii="Arial" w:hAnsi="Arial"/>
                        <w:i/>
                        <w:color w:val="231F20"/>
                        <w:spacing w:val="53"/>
                        <w:sz w:val="17"/>
                      </w:rPr>
                      <w:t> </w:t>
                    </w:r>
                    <w:r>
                      <w:rPr>
                        <w:rFonts w:ascii="Arial" w:hAnsi="Arial"/>
                        <w:b/>
                        <w:color w:val="231F20"/>
                        <w:w w:val="95"/>
                        <w:sz w:val="17"/>
                      </w:rPr>
                      <w:t>Diverses</w:t>
                    </w:r>
                    <w:r>
                      <w:rPr>
                        <w:rFonts w:ascii="Arial" w:hAnsi="Arial"/>
                        <w:b/>
                        <w:color w:val="231F20"/>
                        <w:spacing w:val="-1"/>
                        <w:w w:val="95"/>
                        <w:sz w:val="17"/>
                      </w:rPr>
                      <w:t> </w:t>
                    </w:r>
                    <w:r>
                      <w:rPr>
                        <w:rFonts w:ascii="Arial" w:hAnsi="Arial"/>
                        <w:b/>
                        <w:color w:val="231F20"/>
                        <w:w w:val="95"/>
                        <w:sz w:val="17"/>
                      </w:rPr>
                      <w:t>origines</w:t>
                    </w:r>
                    <w:r>
                      <w:rPr>
                        <w:rFonts w:ascii="Arial" w:hAnsi="Arial"/>
                        <w:b/>
                        <w:color w:val="231F20"/>
                        <w:spacing w:val="-1"/>
                        <w:w w:val="95"/>
                        <w:sz w:val="17"/>
                      </w:rPr>
                      <w:t> </w:t>
                    </w:r>
                    <w:r>
                      <w:rPr>
                        <w:rFonts w:ascii="Arial" w:hAnsi="Arial"/>
                        <w:b/>
                        <w:color w:val="231F20"/>
                        <w:w w:val="95"/>
                        <w:sz w:val="17"/>
                      </w:rPr>
                      <w:t>structurant</w:t>
                    </w:r>
                    <w:r>
                      <w:rPr>
                        <w:rFonts w:ascii="Arial" w:hAnsi="Arial"/>
                        <w:b/>
                        <w:color w:val="231F20"/>
                        <w:spacing w:val="-1"/>
                        <w:w w:val="95"/>
                        <w:sz w:val="17"/>
                      </w:rPr>
                      <w:t> </w:t>
                    </w:r>
                    <w:r>
                      <w:rPr>
                        <w:rFonts w:ascii="Arial" w:hAnsi="Arial"/>
                        <w:b/>
                        <w:color w:val="231F20"/>
                        <w:w w:val="95"/>
                        <w:sz w:val="17"/>
                      </w:rPr>
                      <w:t>la</w:t>
                    </w:r>
                    <w:r>
                      <w:rPr>
                        <w:rFonts w:ascii="Arial" w:hAnsi="Arial"/>
                        <w:b/>
                        <w:color w:val="231F20"/>
                        <w:spacing w:val="-3"/>
                        <w:sz w:val="17"/>
                      </w:rPr>
                      <w:t> </w:t>
                    </w:r>
                    <w:r>
                      <w:rPr>
                        <w:rFonts w:ascii="Arial" w:hAnsi="Arial"/>
                        <w:b/>
                        <w:color w:val="231F20"/>
                        <w:spacing w:val="-2"/>
                        <w:w w:val="95"/>
                        <w:sz w:val="17"/>
                      </w:rPr>
                      <w:t>personnalité</w:t>
                    </w:r>
                  </w:p>
                </w:txbxContent>
              </v:textbox>
              <w10:wrap type="none"/>
            </v:shape>
            <v:shape style="position:absolute;left:2218;top:982;width:561;height:192" type="#_x0000_t202" id="docshape698" filled="false" stroked="false">
              <v:textbox inset="0,0,0,0">
                <w:txbxContent>
                  <w:p>
                    <w:pPr>
                      <w:spacing w:before="18"/>
                      <w:ind w:left="0" w:right="0" w:firstLine="0"/>
                      <w:jc w:val="left"/>
                      <w:rPr>
                        <w:rFonts w:ascii="Arial" w:hAnsi="Arial"/>
                        <w:sz w:val="15"/>
                      </w:rPr>
                    </w:pPr>
                    <w:r>
                      <w:rPr>
                        <w:rFonts w:ascii="Arial" w:hAnsi="Arial"/>
                        <w:color w:val="231F20"/>
                        <w:spacing w:val="-2"/>
                        <w:w w:val="95"/>
                        <w:sz w:val="15"/>
                      </w:rPr>
                      <w:t>Hérédité</w:t>
                    </w:r>
                  </w:p>
                </w:txbxContent>
              </v:textbox>
              <w10:wrap type="none"/>
            </v:shape>
            <v:shape style="position:absolute;left:4256;top:1198;width:473;height:192" type="#_x0000_t202" id="docshape699" filled="false" stroked="false">
              <v:textbox inset="0,0,0,0">
                <w:txbxContent>
                  <w:p>
                    <w:pPr>
                      <w:spacing w:before="18"/>
                      <w:ind w:left="0" w:right="0" w:firstLine="0"/>
                      <w:jc w:val="left"/>
                      <w:rPr>
                        <w:rFonts w:ascii="Arial"/>
                        <w:sz w:val="15"/>
                      </w:rPr>
                    </w:pPr>
                    <w:r>
                      <w:rPr>
                        <w:rFonts w:ascii="Arial"/>
                        <w:color w:val="231F20"/>
                        <w:spacing w:val="-2"/>
                        <w:w w:val="95"/>
                        <w:sz w:val="15"/>
                      </w:rPr>
                      <w:t>Culture</w:t>
                    </w:r>
                  </w:p>
                </w:txbxContent>
              </v:textbox>
              <w10:wrap type="none"/>
            </v:shape>
            <v:shape style="position:absolute;left:5465;top:1146;width:455;height:192" type="#_x0000_t202" id="docshape700" filled="false" stroked="false">
              <v:textbox inset="0,0,0,0">
                <w:txbxContent>
                  <w:p>
                    <w:pPr>
                      <w:spacing w:before="18"/>
                      <w:ind w:left="0" w:right="0" w:firstLine="0"/>
                      <w:jc w:val="left"/>
                      <w:rPr>
                        <w:rFonts w:ascii="Arial"/>
                        <w:sz w:val="15"/>
                      </w:rPr>
                    </w:pPr>
                    <w:r>
                      <w:rPr>
                        <w:rFonts w:ascii="Arial"/>
                        <w:color w:val="231F20"/>
                        <w:spacing w:val="-4"/>
                        <w:w w:val="95"/>
                        <w:sz w:val="15"/>
                      </w:rPr>
                      <w:t>Famille</w:t>
                    </w:r>
                  </w:p>
                </w:txbxContent>
              </v:textbox>
              <w10:wrap type="none"/>
            </v:shape>
            <v:shape style="position:absolute;left:2956;top:1740;width:1068;height:196" type="#_x0000_t202" id="docshape701" filled="false" stroked="false">
              <v:textbox inset="0,0,0,0">
                <w:txbxContent>
                  <w:p>
                    <w:pPr>
                      <w:spacing w:before="21"/>
                      <w:ind w:left="0" w:right="0" w:firstLine="0"/>
                      <w:jc w:val="left"/>
                      <w:rPr>
                        <w:rFonts w:ascii="Arial" w:hAnsi="Arial"/>
                        <w:b/>
                        <w:sz w:val="15"/>
                      </w:rPr>
                    </w:pPr>
                    <w:r>
                      <w:rPr>
                        <w:rFonts w:ascii="Arial" w:hAnsi="Arial"/>
                        <w:b/>
                        <w:color w:val="FFFFFF"/>
                        <w:spacing w:val="-2"/>
                        <w:w w:val="90"/>
                        <w:sz w:val="15"/>
                      </w:rPr>
                      <w:t>PERSONNALITÉ</w:t>
                    </w:r>
                  </w:p>
                </w:txbxContent>
              </v:textbox>
              <w10:wrap type="none"/>
            </v:shape>
            <v:shape style="position:absolute;left:5802;top:1640;width:1238;height:196" type="#_x0000_t202" id="docshape702" filled="false" stroked="false">
              <v:textbox inset="0,0,0,0">
                <w:txbxContent>
                  <w:p>
                    <w:pPr>
                      <w:spacing w:before="21"/>
                      <w:ind w:left="0" w:right="0" w:firstLine="0"/>
                      <w:jc w:val="left"/>
                      <w:rPr>
                        <w:rFonts w:ascii="Arial"/>
                        <w:b/>
                        <w:sz w:val="15"/>
                      </w:rPr>
                    </w:pPr>
                    <w:r>
                      <w:rPr>
                        <w:rFonts w:ascii="Arial"/>
                        <w:b/>
                        <w:color w:val="231F20"/>
                        <w:spacing w:val="-2"/>
                        <w:w w:val="90"/>
                        <w:sz w:val="15"/>
                      </w:rPr>
                      <w:t>ENVIRONNEMENT</w:t>
                    </w:r>
                  </w:p>
                </w:txbxContent>
              </v:textbox>
              <w10:wrap type="none"/>
            </v:shape>
            <v:shape style="position:absolute;left:3768;top:2307;width:769;height:372" type="#_x0000_t202" id="docshape703" filled="false" stroked="false">
              <v:textbox inset="0,0,0,0">
                <w:txbxContent>
                  <w:p>
                    <w:pPr>
                      <w:spacing w:line="249" w:lineRule="auto" w:before="14"/>
                      <w:ind w:left="191" w:right="0" w:hanging="192"/>
                      <w:jc w:val="left"/>
                      <w:rPr>
                        <w:rFonts w:ascii="Arial" w:hAnsi="Arial"/>
                        <w:sz w:val="15"/>
                      </w:rPr>
                    </w:pPr>
                    <w:r>
                      <w:rPr>
                        <w:rFonts w:ascii="Arial" w:hAnsi="Arial"/>
                        <w:color w:val="231F20"/>
                        <w:spacing w:val="-2"/>
                        <w:w w:val="90"/>
                        <w:sz w:val="15"/>
                      </w:rPr>
                      <w:t>Expériences</w:t>
                    </w:r>
                    <w:r>
                      <w:rPr>
                        <w:rFonts w:ascii="Arial" w:hAnsi="Arial"/>
                        <w:color w:val="231F20"/>
                        <w:sz w:val="15"/>
                      </w:rPr>
                      <w:t> de</w:t>
                    </w:r>
                    <w:r>
                      <w:rPr>
                        <w:rFonts w:ascii="Arial" w:hAnsi="Arial"/>
                        <w:color w:val="231F20"/>
                        <w:spacing w:val="-13"/>
                        <w:sz w:val="15"/>
                      </w:rPr>
                      <w:t> </w:t>
                    </w:r>
                    <w:r>
                      <w:rPr>
                        <w:rFonts w:ascii="Arial" w:hAnsi="Arial"/>
                        <w:color w:val="231F20"/>
                        <w:sz w:val="15"/>
                      </w:rPr>
                      <w:t>vie</w:t>
                    </w:r>
                  </w:p>
                </w:txbxContent>
              </v:textbox>
              <w10:wrap type="none"/>
            </v:shape>
            <v:shape style="position:absolute;left:5959;top:2244;width:481;height:192" type="#_x0000_t202" id="docshape704" filled="false" stroked="false">
              <v:textbox inset="0,0,0,0">
                <w:txbxContent>
                  <w:p>
                    <w:pPr>
                      <w:spacing w:before="18"/>
                      <w:ind w:left="0" w:right="0" w:firstLine="0"/>
                      <w:jc w:val="left"/>
                      <w:rPr>
                        <w:rFonts w:ascii="Arial"/>
                        <w:sz w:val="15"/>
                      </w:rPr>
                    </w:pPr>
                    <w:r>
                      <w:rPr>
                        <w:rFonts w:ascii="Arial"/>
                        <w:color w:val="231F20"/>
                        <w:spacing w:val="-2"/>
                        <w:w w:val="95"/>
                        <w:sz w:val="15"/>
                      </w:rPr>
                      <w:t>Groupe</w:t>
                    </w:r>
                  </w:p>
                </w:txbxContent>
              </v:textbox>
              <w10:wrap type="none"/>
            </v:shape>
            <v:shape style="position:absolute;left:5164;top:2620;width:354;height:192" type="#_x0000_t202" id="docshape705" filled="false" stroked="false">
              <v:textbox inset="0,0,0,0">
                <w:txbxContent>
                  <w:p>
                    <w:pPr>
                      <w:spacing w:before="18"/>
                      <w:ind w:left="0" w:right="0" w:firstLine="0"/>
                      <w:jc w:val="left"/>
                      <w:rPr>
                        <w:rFonts w:ascii="Arial" w:hAnsi="Arial"/>
                        <w:sz w:val="15"/>
                      </w:rPr>
                    </w:pPr>
                    <w:r>
                      <w:rPr>
                        <w:rFonts w:ascii="Arial" w:hAnsi="Arial"/>
                        <w:color w:val="231F20"/>
                        <w:spacing w:val="-2"/>
                        <w:w w:val="90"/>
                        <w:sz w:val="15"/>
                      </w:rPr>
                      <w:t>Rôles</w:t>
                    </w:r>
                  </w:p>
                </w:txbxContent>
              </v:textbox>
              <w10:wrap type="none"/>
            </v:shape>
            <v:shape style="position:absolute;left:1890;top:3412;width:5267;height:340" type="#_x0000_t202" id="docshape706" filled="false" stroked="false">
              <v:textbox inset="0,0,0,0">
                <w:txbxContent>
                  <w:p>
                    <w:pPr>
                      <w:spacing w:line="295" w:lineRule="auto" w:before="23"/>
                      <w:ind w:left="0" w:right="0" w:firstLine="0"/>
                      <w:jc w:val="left"/>
                      <w:rPr>
                        <w:rFonts w:ascii="Arial" w:hAnsi="Arial"/>
                        <w:sz w:val="12"/>
                      </w:rPr>
                    </w:pPr>
                    <w:r>
                      <w:rPr>
                        <w:rFonts w:ascii="Arial" w:hAnsi="Arial"/>
                        <w:color w:val="231F20"/>
                        <w:sz w:val="12"/>
                      </w:rPr>
                      <w:t>Source</w:t>
                    </w:r>
                    <w:r>
                      <w:rPr>
                        <w:rFonts w:ascii="Arial" w:hAnsi="Arial"/>
                        <w:color w:val="231F20"/>
                        <w:spacing w:val="-16"/>
                        <w:sz w:val="12"/>
                      </w:rPr>
                      <w:t> </w:t>
                    </w:r>
                    <w:r>
                      <w:rPr>
                        <w:rFonts w:ascii="Arial" w:hAnsi="Arial"/>
                        <w:color w:val="231F20"/>
                        <w:sz w:val="12"/>
                      </w:rPr>
                      <w:t>: Gosselin, E., Dolan, S., Morin, D. et Bélisle, L. (2022). </w:t>
                    </w:r>
                    <w:r>
                      <w:rPr>
                        <w:rFonts w:ascii="Arial" w:hAnsi="Arial"/>
                        <w:i/>
                        <w:color w:val="231F20"/>
                        <w:sz w:val="12"/>
                      </w:rPr>
                      <w:t>Comportement organisationnel</w:t>
                    </w:r>
                    <w:r>
                      <w:rPr>
                        <w:rFonts w:ascii="Arial" w:hAnsi="Arial"/>
                        <w:i/>
                        <w:color w:val="231F20"/>
                        <w:spacing w:val="-16"/>
                        <w:sz w:val="12"/>
                      </w:rPr>
                      <w:t> </w:t>
                    </w:r>
                    <w:r>
                      <w:rPr>
                        <w:rFonts w:ascii="Arial" w:hAnsi="Arial"/>
                        <w:i/>
                        <w:color w:val="231F20"/>
                        <w:sz w:val="12"/>
                      </w:rPr>
                      <w:t>:</w:t>
                    </w:r>
                    <w:r>
                      <w:rPr>
                        <w:rFonts w:ascii="Arial" w:hAnsi="Arial"/>
                        <w:i/>
                        <w:color w:val="231F20"/>
                        <w:spacing w:val="40"/>
                        <w:sz w:val="12"/>
                      </w:rPr>
                      <w:t> </w:t>
                    </w:r>
                    <w:r>
                      <w:rPr>
                        <w:rFonts w:ascii="Arial" w:hAnsi="Arial"/>
                        <w:i/>
                        <w:color w:val="231F20"/>
                        <w:sz w:val="12"/>
                      </w:rPr>
                      <w:t>Aspects humains des organisations</w:t>
                    </w:r>
                    <w:r>
                      <w:rPr>
                        <w:rFonts w:ascii="Arial" w:hAnsi="Arial"/>
                        <w:color w:val="231F20"/>
                        <w:sz w:val="12"/>
                      </w:rPr>
                      <w:t>, Chenelière Éducation, Montréal, p. 57.</w:t>
                    </w:r>
                  </w:p>
                </w:txbxContent>
              </v:textbox>
              <w10:wrap type="none"/>
            </v:shape>
            <w10:wrap type="topAndBottom"/>
          </v:group>
        </w:pict>
      </w:r>
    </w:p>
    <w:p>
      <w:pPr>
        <w:pStyle w:val="BodyText"/>
        <w:spacing w:before="1"/>
        <w:rPr>
          <w:sz w:val="22"/>
        </w:rPr>
      </w:pPr>
    </w:p>
    <w:p>
      <w:pPr>
        <w:pStyle w:val="Heading4"/>
        <w:numPr>
          <w:ilvl w:val="2"/>
          <w:numId w:val="44"/>
        </w:numPr>
        <w:tabs>
          <w:tab w:pos="919" w:val="left" w:leader="none"/>
          <w:tab w:pos="1219" w:val="left" w:leader="none"/>
        </w:tabs>
        <w:spacing w:line="240" w:lineRule="auto" w:before="147" w:after="0"/>
        <w:ind w:left="918" w:right="0" w:hanging="375"/>
        <w:jc w:val="left"/>
      </w:pPr>
      <w:r>
        <w:rPr>
          <w:b w:val="0"/>
          <w:i/>
          <w:color w:val="231F20"/>
          <w:spacing w:val="-10"/>
        </w:rPr>
        <w:t>/</w:t>
      </w:r>
      <w:r>
        <w:rPr>
          <w:b w:val="0"/>
          <w:i/>
          <w:color w:val="231F20"/>
        </w:rPr>
        <w:tab/>
      </w:r>
      <w:r>
        <w:rPr>
          <w:color w:val="231F20"/>
          <w:w w:val="95"/>
        </w:rPr>
        <w:t>Type</w:t>
      </w:r>
      <w:r>
        <w:rPr>
          <w:color w:val="231F20"/>
          <w:spacing w:val="-6"/>
          <w:w w:val="95"/>
        </w:rPr>
        <w:t> </w:t>
      </w:r>
      <w:r>
        <w:rPr>
          <w:color w:val="231F20"/>
          <w:w w:val="95"/>
        </w:rPr>
        <w:t>de</w:t>
      </w:r>
      <w:r>
        <w:rPr>
          <w:color w:val="231F20"/>
          <w:spacing w:val="-5"/>
          <w:w w:val="95"/>
        </w:rPr>
        <w:t> </w:t>
      </w:r>
      <w:r>
        <w:rPr>
          <w:color w:val="231F20"/>
          <w:w w:val="95"/>
        </w:rPr>
        <w:t>personnalité</w:t>
      </w:r>
      <w:r>
        <w:rPr>
          <w:color w:val="231F20"/>
          <w:spacing w:val="-6"/>
          <w:w w:val="95"/>
        </w:rPr>
        <w:t> </w:t>
      </w:r>
      <w:r>
        <w:rPr>
          <w:color w:val="231F20"/>
          <w:w w:val="95"/>
        </w:rPr>
        <w:t>A,</w:t>
      </w:r>
      <w:r>
        <w:rPr>
          <w:color w:val="231F20"/>
          <w:spacing w:val="-5"/>
          <w:w w:val="95"/>
        </w:rPr>
        <w:t> </w:t>
      </w:r>
      <w:r>
        <w:rPr>
          <w:color w:val="231F20"/>
          <w:w w:val="95"/>
        </w:rPr>
        <w:t>B</w:t>
      </w:r>
      <w:r>
        <w:rPr>
          <w:color w:val="231F20"/>
          <w:spacing w:val="-6"/>
          <w:w w:val="95"/>
        </w:rPr>
        <w:t> </w:t>
      </w:r>
      <w:r>
        <w:rPr>
          <w:color w:val="231F20"/>
          <w:w w:val="95"/>
        </w:rPr>
        <w:t>et</w:t>
      </w:r>
      <w:r>
        <w:rPr>
          <w:color w:val="231F20"/>
          <w:spacing w:val="-5"/>
          <w:w w:val="95"/>
        </w:rPr>
        <w:t> </w:t>
      </w:r>
      <w:r>
        <w:rPr>
          <w:color w:val="231F20"/>
          <w:spacing w:val="-10"/>
          <w:w w:val="95"/>
        </w:rPr>
        <w:t>C</w:t>
      </w:r>
    </w:p>
    <w:p>
      <w:pPr>
        <w:pStyle w:val="BodyText"/>
        <w:spacing w:line="307" w:lineRule="auto" w:before="233"/>
        <w:ind w:left="1220" w:right="104"/>
        <w:jc w:val="both"/>
      </w:pPr>
      <w:r>
        <w:rPr>
          <w:color w:val="231F20"/>
          <w:w w:val="120"/>
        </w:rPr>
        <w:t>La</w:t>
      </w:r>
      <w:r>
        <w:rPr>
          <w:color w:val="231F20"/>
          <w:spacing w:val="-10"/>
          <w:w w:val="120"/>
        </w:rPr>
        <w:t> </w:t>
      </w:r>
      <w:r>
        <w:rPr>
          <w:color w:val="231F20"/>
          <w:w w:val="120"/>
        </w:rPr>
        <w:t>façon</w:t>
      </w:r>
      <w:r>
        <w:rPr>
          <w:color w:val="231F20"/>
          <w:spacing w:val="-9"/>
          <w:w w:val="120"/>
        </w:rPr>
        <w:t> </w:t>
      </w:r>
      <w:r>
        <w:rPr>
          <w:color w:val="231F20"/>
          <w:w w:val="120"/>
        </w:rPr>
        <w:t>dont</w:t>
      </w:r>
      <w:r>
        <w:rPr>
          <w:color w:val="231F20"/>
          <w:spacing w:val="-9"/>
          <w:w w:val="120"/>
        </w:rPr>
        <w:t> </w:t>
      </w:r>
      <w:r>
        <w:rPr>
          <w:color w:val="231F20"/>
          <w:w w:val="120"/>
        </w:rPr>
        <w:t>un</w:t>
      </w:r>
      <w:r>
        <w:rPr>
          <w:color w:val="231F20"/>
          <w:spacing w:val="-10"/>
          <w:w w:val="120"/>
        </w:rPr>
        <w:t> </w:t>
      </w:r>
      <w:r>
        <w:rPr>
          <w:color w:val="231F20"/>
          <w:w w:val="120"/>
        </w:rPr>
        <w:t>individu</w:t>
      </w:r>
      <w:r>
        <w:rPr>
          <w:color w:val="231F20"/>
          <w:spacing w:val="-10"/>
          <w:w w:val="120"/>
        </w:rPr>
        <w:t> </w:t>
      </w:r>
      <w:r>
        <w:rPr>
          <w:color w:val="231F20"/>
          <w:w w:val="120"/>
        </w:rPr>
        <w:t>réagit</w:t>
      </w:r>
      <w:r>
        <w:rPr>
          <w:color w:val="231F20"/>
          <w:spacing w:val="-9"/>
          <w:w w:val="120"/>
        </w:rPr>
        <w:t> </w:t>
      </w:r>
      <w:r>
        <w:rPr>
          <w:color w:val="231F20"/>
          <w:w w:val="120"/>
        </w:rPr>
        <w:t>à</w:t>
      </w:r>
      <w:r>
        <w:rPr>
          <w:color w:val="231F20"/>
          <w:spacing w:val="-10"/>
          <w:w w:val="120"/>
        </w:rPr>
        <w:t> </w:t>
      </w:r>
      <w:r>
        <w:rPr>
          <w:color w:val="231F20"/>
          <w:w w:val="120"/>
        </w:rPr>
        <w:t>un</w:t>
      </w:r>
      <w:r>
        <w:rPr>
          <w:color w:val="231F20"/>
          <w:spacing w:val="-9"/>
          <w:w w:val="120"/>
        </w:rPr>
        <w:t> </w:t>
      </w:r>
      <w:r>
        <w:rPr>
          <w:color w:val="231F20"/>
          <w:w w:val="120"/>
        </w:rPr>
        <w:t>facteur</w:t>
      </w:r>
      <w:r>
        <w:rPr>
          <w:color w:val="231F20"/>
          <w:spacing w:val="-9"/>
          <w:w w:val="120"/>
        </w:rPr>
        <w:t> </w:t>
      </w:r>
      <w:r>
        <w:rPr>
          <w:color w:val="231F20"/>
          <w:w w:val="120"/>
        </w:rPr>
        <w:t>de</w:t>
      </w:r>
      <w:r>
        <w:rPr>
          <w:color w:val="231F20"/>
          <w:spacing w:val="-10"/>
          <w:w w:val="120"/>
        </w:rPr>
        <w:t> </w:t>
      </w:r>
      <w:r>
        <w:rPr>
          <w:color w:val="231F20"/>
          <w:w w:val="120"/>
        </w:rPr>
        <w:t>stress</w:t>
      </w:r>
      <w:r>
        <w:rPr>
          <w:color w:val="231F20"/>
          <w:spacing w:val="-9"/>
          <w:w w:val="120"/>
        </w:rPr>
        <w:t> </w:t>
      </w:r>
      <w:r>
        <w:rPr>
          <w:color w:val="231F20"/>
          <w:w w:val="120"/>
        </w:rPr>
        <w:t>donné</w:t>
      </w:r>
      <w:r>
        <w:rPr>
          <w:color w:val="231F20"/>
          <w:spacing w:val="-9"/>
          <w:w w:val="120"/>
        </w:rPr>
        <w:t> </w:t>
      </w:r>
      <w:r>
        <w:rPr>
          <w:color w:val="231F20"/>
          <w:w w:val="120"/>
        </w:rPr>
        <w:t>dépend</w:t>
      </w:r>
      <w:r>
        <w:rPr>
          <w:color w:val="231F20"/>
          <w:spacing w:val="-9"/>
          <w:w w:val="120"/>
        </w:rPr>
        <w:t> </w:t>
      </w:r>
      <w:r>
        <w:rPr>
          <w:color w:val="231F20"/>
          <w:w w:val="120"/>
        </w:rPr>
        <w:t>de son</w:t>
      </w:r>
      <w:r>
        <w:rPr>
          <w:color w:val="231F20"/>
          <w:spacing w:val="-7"/>
          <w:w w:val="120"/>
        </w:rPr>
        <w:t> </w:t>
      </w:r>
      <w:r>
        <w:rPr>
          <w:color w:val="231F20"/>
          <w:w w:val="120"/>
        </w:rPr>
        <w:t>degré</w:t>
      </w:r>
      <w:r>
        <w:rPr>
          <w:color w:val="231F20"/>
          <w:spacing w:val="-7"/>
          <w:w w:val="120"/>
        </w:rPr>
        <w:t> </w:t>
      </w:r>
      <w:r>
        <w:rPr>
          <w:color w:val="231F20"/>
          <w:w w:val="120"/>
        </w:rPr>
        <w:t>de</w:t>
      </w:r>
      <w:r>
        <w:rPr>
          <w:color w:val="231F20"/>
          <w:spacing w:val="-7"/>
          <w:w w:val="120"/>
        </w:rPr>
        <w:t> </w:t>
      </w:r>
      <w:r>
        <w:rPr>
          <w:color w:val="231F20"/>
          <w:w w:val="120"/>
        </w:rPr>
        <w:t>vulnérabilité</w:t>
      </w:r>
      <w:r>
        <w:rPr>
          <w:color w:val="231F20"/>
          <w:spacing w:val="-7"/>
          <w:w w:val="120"/>
        </w:rPr>
        <w:t> </w:t>
      </w:r>
      <w:r>
        <w:rPr>
          <w:color w:val="231F20"/>
          <w:w w:val="120"/>
        </w:rPr>
        <w:t>et</w:t>
      </w:r>
      <w:r>
        <w:rPr>
          <w:color w:val="231F20"/>
          <w:spacing w:val="-7"/>
          <w:w w:val="120"/>
        </w:rPr>
        <w:t> </w:t>
      </w:r>
      <w:r>
        <w:rPr>
          <w:color w:val="231F20"/>
          <w:w w:val="120"/>
        </w:rPr>
        <w:t>de</w:t>
      </w:r>
      <w:r>
        <w:rPr>
          <w:color w:val="231F20"/>
          <w:spacing w:val="-7"/>
          <w:w w:val="120"/>
        </w:rPr>
        <w:t> </w:t>
      </w:r>
      <w:r>
        <w:rPr>
          <w:color w:val="231F20"/>
          <w:w w:val="120"/>
        </w:rPr>
        <w:t>son</w:t>
      </w:r>
      <w:r>
        <w:rPr>
          <w:color w:val="231F20"/>
          <w:spacing w:val="-7"/>
          <w:w w:val="120"/>
        </w:rPr>
        <w:t> </w:t>
      </w:r>
      <w:r>
        <w:rPr>
          <w:color w:val="231F20"/>
          <w:w w:val="120"/>
        </w:rPr>
        <w:t>profil</w:t>
      </w:r>
      <w:r>
        <w:rPr>
          <w:color w:val="231F20"/>
          <w:spacing w:val="-7"/>
          <w:w w:val="120"/>
        </w:rPr>
        <w:t> </w:t>
      </w:r>
      <w:r>
        <w:rPr>
          <w:color w:val="231F20"/>
          <w:w w:val="120"/>
        </w:rPr>
        <w:t>psychologique.</w:t>
      </w:r>
      <w:r>
        <w:rPr>
          <w:color w:val="231F20"/>
          <w:spacing w:val="-7"/>
          <w:w w:val="120"/>
        </w:rPr>
        <w:t> </w:t>
      </w:r>
      <w:r>
        <w:rPr>
          <w:color w:val="231F20"/>
          <w:w w:val="120"/>
        </w:rPr>
        <w:t>Plus</w:t>
      </w:r>
      <w:r>
        <w:rPr>
          <w:color w:val="231F20"/>
          <w:spacing w:val="-7"/>
          <w:w w:val="120"/>
        </w:rPr>
        <w:t> </w:t>
      </w:r>
      <w:r>
        <w:rPr>
          <w:color w:val="231F20"/>
          <w:w w:val="120"/>
        </w:rPr>
        <w:t>précisé- ment, son comportement est subordonné à ses traits de personnalité, à ses attitudes, à ses croyances, à son comportement manifeste et à une certaine</w:t>
      </w:r>
      <w:r>
        <w:rPr>
          <w:color w:val="231F20"/>
          <w:spacing w:val="-4"/>
          <w:w w:val="120"/>
        </w:rPr>
        <w:t> </w:t>
      </w:r>
      <w:r>
        <w:rPr>
          <w:color w:val="231F20"/>
          <w:w w:val="120"/>
        </w:rPr>
        <w:t>activation</w:t>
      </w:r>
      <w:r>
        <w:rPr>
          <w:color w:val="231F20"/>
          <w:spacing w:val="-4"/>
          <w:w w:val="120"/>
        </w:rPr>
        <w:t> </w:t>
      </w:r>
      <w:r>
        <w:rPr>
          <w:color w:val="231F20"/>
          <w:w w:val="120"/>
        </w:rPr>
        <w:t>psychophysiologique.</w:t>
      </w:r>
      <w:r>
        <w:rPr>
          <w:color w:val="231F20"/>
          <w:spacing w:val="-4"/>
          <w:w w:val="120"/>
        </w:rPr>
        <w:t> </w:t>
      </w:r>
      <w:r>
        <w:rPr>
          <w:color w:val="231F20"/>
          <w:w w:val="120"/>
        </w:rPr>
        <w:t>Chaque</w:t>
      </w:r>
      <w:r>
        <w:rPr>
          <w:color w:val="231F20"/>
          <w:spacing w:val="-4"/>
          <w:w w:val="120"/>
        </w:rPr>
        <w:t> </w:t>
      </w:r>
      <w:r>
        <w:rPr>
          <w:color w:val="231F20"/>
          <w:w w:val="120"/>
        </w:rPr>
        <w:t>personne</w:t>
      </w:r>
      <w:r>
        <w:rPr>
          <w:color w:val="231F20"/>
          <w:spacing w:val="-4"/>
          <w:w w:val="120"/>
        </w:rPr>
        <w:t> </w:t>
      </w:r>
      <w:r>
        <w:rPr>
          <w:color w:val="231F20"/>
          <w:w w:val="120"/>
        </w:rPr>
        <w:t>est</w:t>
      </w:r>
      <w:r>
        <w:rPr>
          <w:color w:val="231F20"/>
          <w:spacing w:val="-4"/>
          <w:w w:val="120"/>
        </w:rPr>
        <w:t> </w:t>
      </w:r>
      <w:r>
        <w:rPr>
          <w:color w:val="231F20"/>
          <w:w w:val="120"/>
        </w:rPr>
        <w:t>unique; chacun réagit à sa façon aux stresseurs. Ultimement, ce qui me cause un</w:t>
      </w:r>
      <w:r>
        <w:rPr>
          <w:color w:val="231F20"/>
          <w:spacing w:val="-8"/>
          <w:w w:val="120"/>
        </w:rPr>
        <w:t> </w:t>
      </w:r>
      <w:r>
        <w:rPr>
          <w:color w:val="231F20"/>
          <w:w w:val="120"/>
        </w:rPr>
        <w:t>stress</w:t>
      </w:r>
      <w:r>
        <w:rPr>
          <w:color w:val="231F20"/>
          <w:spacing w:val="-7"/>
          <w:w w:val="120"/>
        </w:rPr>
        <w:t> </w:t>
      </w:r>
      <w:r>
        <w:rPr>
          <w:color w:val="231F20"/>
          <w:w w:val="120"/>
        </w:rPr>
        <w:t>profond</w:t>
      </w:r>
      <w:r>
        <w:rPr>
          <w:color w:val="231F20"/>
          <w:spacing w:val="-8"/>
          <w:w w:val="120"/>
        </w:rPr>
        <w:t> </w:t>
      </w:r>
      <w:r>
        <w:rPr>
          <w:color w:val="231F20"/>
          <w:w w:val="120"/>
        </w:rPr>
        <w:t>aide</w:t>
      </w:r>
      <w:r>
        <w:rPr>
          <w:color w:val="231F20"/>
          <w:spacing w:val="-7"/>
          <w:w w:val="120"/>
        </w:rPr>
        <w:t> </w:t>
      </w:r>
      <w:r>
        <w:rPr>
          <w:color w:val="231F20"/>
          <w:w w:val="120"/>
        </w:rPr>
        <w:t>peut-être</w:t>
      </w:r>
      <w:r>
        <w:rPr>
          <w:color w:val="231F20"/>
          <w:spacing w:val="-7"/>
          <w:w w:val="120"/>
        </w:rPr>
        <w:t> </w:t>
      </w:r>
      <w:r>
        <w:rPr>
          <w:color w:val="231F20"/>
          <w:w w:val="120"/>
        </w:rPr>
        <w:t>mon</w:t>
      </w:r>
      <w:r>
        <w:rPr>
          <w:color w:val="231F20"/>
          <w:spacing w:val="-8"/>
          <w:w w:val="120"/>
        </w:rPr>
        <w:t> </w:t>
      </w:r>
      <w:r>
        <w:rPr>
          <w:color w:val="231F20"/>
          <w:w w:val="120"/>
        </w:rPr>
        <w:t>collègue</w:t>
      </w:r>
      <w:r>
        <w:rPr>
          <w:color w:val="231F20"/>
          <w:spacing w:val="-7"/>
          <w:w w:val="120"/>
        </w:rPr>
        <w:t> </w:t>
      </w:r>
      <w:r>
        <w:rPr>
          <w:color w:val="231F20"/>
          <w:w w:val="120"/>
        </w:rPr>
        <w:t>à</w:t>
      </w:r>
      <w:r>
        <w:rPr>
          <w:color w:val="231F20"/>
          <w:spacing w:val="-8"/>
          <w:w w:val="120"/>
        </w:rPr>
        <w:t> </w:t>
      </w:r>
      <w:r>
        <w:rPr>
          <w:color w:val="231F20"/>
          <w:w w:val="120"/>
        </w:rPr>
        <w:t>mieux</w:t>
      </w:r>
      <w:r>
        <w:rPr>
          <w:color w:val="231F20"/>
          <w:spacing w:val="-7"/>
          <w:w w:val="120"/>
        </w:rPr>
        <w:t> </w:t>
      </w:r>
      <w:r>
        <w:rPr>
          <w:color w:val="231F20"/>
          <w:w w:val="120"/>
        </w:rPr>
        <w:t>performer.</w:t>
      </w:r>
      <w:r>
        <w:rPr>
          <w:color w:val="231F20"/>
          <w:spacing w:val="-7"/>
          <w:w w:val="120"/>
        </w:rPr>
        <w:t> </w:t>
      </w:r>
      <w:r>
        <w:rPr>
          <w:color w:val="231F20"/>
          <w:w w:val="120"/>
        </w:rPr>
        <w:t>Il</w:t>
      </w:r>
      <w:r>
        <w:rPr>
          <w:color w:val="231F20"/>
          <w:spacing w:val="-8"/>
          <w:w w:val="120"/>
        </w:rPr>
        <w:t> </w:t>
      </w:r>
      <w:r>
        <w:rPr>
          <w:color w:val="231F20"/>
          <w:w w:val="120"/>
        </w:rPr>
        <w:t>y</w:t>
      </w:r>
      <w:r>
        <w:rPr>
          <w:color w:val="231F20"/>
          <w:spacing w:val="-7"/>
          <w:w w:val="120"/>
        </w:rPr>
        <w:t> </w:t>
      </w:r>
      <w:r>
        <w:rPr>
          <w:color w:val="231F20"/>
          <w:spacing w:val="-10"/>
          <w:w w:val="120"/>
        </w:rPr>
        <w:t>a</w:t>
      </w:r>
    </w:p>
    <w:p>
      <w:pPr>
        <w:spacing w:after="0" w:line="307" w:lineRule="auto"/>
        <w:jc w:val="both"/>
        <w:sectPr>
          <w:footerReference w:type="default" r:id="rId195"/>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3"/>
        <w:jc w:val="both"/>
      </w:pPr>
      <w:r>
        <w:rPr>
          <w:color w:val="231F20"/>
          <w:w w:val="120"/>
        </w:rPr>
        <w:t>quelques décennies, deux cardiologues, Friedman et Rosenman7, ont découvert une correspondance entre certains types de personnalité et leurs réactions au stress. Vous avez sans doute déjà entendu parler de cette</w:t>
      </w:r>
      <w:r>
        <w:rPr>
          <w:color w:val="231F20"/>
          <w:spacing w:val="-6"/>
          <w:w w:val="120"/>
        </w:rPr>
        <w:t> </w:t>
      </w:r>
      <w:r>
        <w:rPr>
          <w:color w:val="231F20"/>
          <w:w w:val="120"/>
        </w:rPr>
        <w:t>typologie</w:t>
      </w:r>
      <w:r>
        <w:rPr>
          <w:color w:val="231F20"/>
          <w:spacing w:val="-6"/>
          <w:w w:val="120"/>
        </w:rPr>
        <w:t> </w:t>
      </w:r>
      <w:r>
        <w:rPr>
          <w:color w:val="231F20"/>
          <w:w w:val="120"/>
        </w:rPr>
        <w:t>établie</w:t>
      </w:r>
      <w:r>
        <w:rPr>
          <w:color w:val="231F20"/>
          <w:spacing w:val="-6"/>
          <w:w w:val="120"/>
        </w:rPr>
        <w:t> </w:t>
      </w:r>
      <w:r>
        <w:rPr>
          <w:color w:val="231F20"/>
          <w:w w:val="120"/>
        </w:rPr>
        <w:t>d’après</w:t>
      </w:r>
      <w:r>
        <w:rPr>
          <w:color w:val="231F20"/>
          <w:spacing w:val="-6"/>
          <w:w w:val="120"/>
        </w:rPr>
        <w:t> </w:t>
      </w:r>
      <w:r>
        <w:rPr>
          <w:color w:val="231F20"/>
          <w:w w:val="120"/>
        </w:rPr>
        <w:t>la</w:t>
      </w:r>
      <w:r>
        <w:rPr>
          <w:color w:val="231F20"/>
          <w:spacing w:val="-6"/>
          <w:w w:val="120"/>
        </w:rPr>
        <w:t> </w:t>
      </w:r>
      <w:r>
        <w:rPr>
          <w:color w:val="231F20"/>
          <w:w w:val="120"/>
        </w:rPr>
        <w:t>façon</w:t>
      </w:r>
      <w:r>
        <w:rPr>
          <w:color w:val="231F20"/>
          <w:spacing w:val="-6"/>
          <w:w w:val="120"/>
        </w:rPr>
        <w:t> </w:t>
      </w:r>
      <w:r>
        <w:rPr>
          <w:color w:val="231F20"/>
          <w:w w:val="120"/>
        </w:rPr>
        <w:t>dont</w:t>
      </w:r>
      <w:r>
        <w:rPr>
          <w:color w:val="231F20"/>
          <w:spacing w:val="-6"/>
          <w:w w:val="120"/>
        </w:rPr>
        <w:t> </w:t>
      </w:r>
      <w:r>
        <w:rPr>
          <w:color w:val="231F20"/>
          <w:w w:val="120"/>
        </w:rPr>
        <w:t>chacun</w:t>
      </w:r>
      <w:r>
        <w:rPr>
          <w:color w:val="231F20"/>
          <w:spacing w:val="-6"/>
          <w:w w:val="120"/>
        </w:rPr>
        <w:t> </w:t>
      </w:r>
      <w:r>
        <w:rPr>
          <w:color w:val="231F20"/>
          <w:w w:val="120"/>
        </w:rPr>
        <w:t>réagit</w:t>
      </w:r>
      <w:r>
        <w:rPr>
          <w:color w:val="231F20"/>
          <w:spacing w:val="-6"/>
          <w:w w:val="120"/>
        </w:rPr>
        <w:t> </w:t>
      </w:r>
      <w:r>
        <w:rPr>
          <w:color w:val="231F20"/>
          <w:w w:val="120"/>
        </w:rPr>
        <w:t>au</w:t>
      </w:r>
      <w:r>
        <w:rPr>
          <w:color w:val="231F20"/>
          <w:spacing w:val="-6"/>
          <w:w w:val="120"/>
        </w:rPr>
        <w:t> </w:t>
      </w:r>
      <w:r>
        <w:rPr>
          <w:color w:val="231F20"/>
          <w:w w:val="120"/>
        </w:rPr>
        <w:t>stress</w:t>
      </w:r>
      <w:r>
        <w:rPr>
          <w:color w:val="231F20"/>
          <w:spacing w:val="-6"/>
          <w:w w:val="120"/>
        </w:rPr>
        <w:t> </w:t>
      </w:r>
      <w:r>
        <w:rPr>
          <w:color w:val="231F20"/>
          <w:w w:val="120"/>
        </w:rPr>
        <w:t>qui survient dans sa vie.</w:t>
      </w:r>
    </w:p>
    <w:p>
      <w:pPr>
        <w:pStyle w:val="BodyText"/>
        <w:spacing w:line="307" w:lineRule="auto" w:before="79"/>
        <w:ind w:left="830" w:right="493" w:firstLine="250"/>
        <w:jc w:val="both"/>
      </w:pPr>
      <w:r>
        <w:rPr>
          <w:color w:val="231F20"/>
          <w:w w:val="120"/>
        </w:rPr>
        <w:t>Selon</w:t>
      </w:r>
      <w:r>
        <w:rPr>
          <w:color w:val="231F20"/>
          <w:spacing w:val="-9"/>
          <w:w w:val="120"/>
        </w:rPr>
        <w:t> </w:t>
      </w:r>
      <w:r>
        <w:rPr>
          <w:color w:val="231F20"/>
          <w:w w:val="120"/>
        </w:rPr>
        <w:t>eux,</w:t>
      </w:r>
      <w:r>
        <w:rPr>
          <w:color w:val="231F20"/>
          <w:spacing w:val="-9"/>
          <w:w w:val="120"/>
        </w:rPr>
        <w:t> </w:t>
      </w:r>
      <w:r>
        <w:rPr>
          <w:color w:val="231F20"/>
          <w:w w:val="120"/>
        </w:rPr>
        <w:t>la</w:t>
      </w:r>
      <w:r>
        <w:rPr>
          <w:color w:val="231F20"/>
          <w:spacing w:val="-9"/>
          <w:w w:val="120"/>
        </w:rPr>
        <w:t> </w:t>
      </w:r>
      <w:r>
        <w:rPr>
          <w:color w:val="231F20"/>
          <w:w w:val="120"/>
        </w:rPr>
        <w:t>personnalité</w:t>
      </w:r>
      <w:r>
        <w:rPr>
          <w:color w:val="231F20"/>
          <w:spacing w:val="-9"/>
          <w:w w:val="120"/>
        </w:rPr>
        <w:t> </w:t>
      </w:r>
      <w:r>
        <w:rPr>
          <w:color w:val="231F20"/>
          <w:w w:val="120"/>
        </w:rPr>
        <w:t>dite</w:t>
      </w:r>
      <w:r>
        <w:rPr>
          <w:color w:val="231F20"/>
          <w:spacing w:val="-9"/>
          <w:w w:val="120"/>
        </w:rPr>
        <w:t> </w:t>
      </w:r>
      <w:r>
        <w:rPr>
          <w:color w:val="231F20"/>
          <w:w w:val="120"/>
        </w:rPr>
        <w:t>de</w:t>
      </w:r>
      <w:r>
        <w:rPr>
          <w:color w:val="231F20"/>
          <w:spacing w:val="-9"/>
          <w:w w:val="120"/>
        </w:rPr>
        <w:t> </w:t>
      </w:r>
      <w:r>
        <w:rPr>
          <w:b/>
          <w:color w:val="231F20"/>
          <w:w w:val="120"/>
        </w:rPr>
        <w:t>type</w:t>
      </w:r>
      <w:r>
        <w:rPr>
          <w:b/>
          <w:color w:val="231F20"/>
          <w:spacing w:val="-13"/>
          <w:w w:val="120"/>
        </w:rPr>
        <w:t> </w:t>
      </w:r>
      <w:r>
        <w:rPr>
          <w:b/>
          <w:color w:val="231F20"/>
          <w:w w:val="120"/>
        </w:rPr>
        <w:t>A</w:t>
      </w:r>
      <w:r>
        <w:rPr>
          <w:b/>
          <w:color w:val="231F20"/>
          <w:spacing w:val="-9"/>
          <w:w w:val="120"/>
        </w:rPr>
        <w:t> </w:t>
      </w:r>
      <w:r>
        <w:rPr>
          <w:color w:val="231F20"/>
          <w:w w:val="120"/>
        </w:rPr>
        <w:t>affiche</w:t>
      </w:r>
      <w:r>
        <w:rPr>
          <w:color w:val="231F20"/>
          <w:spacing w:val="-9"/>
          <w:w w:val="120"/>
        </w:rPr>
        <w:t> </w:t>
      </w:r>
      <w:r>
        <w:rPr>
          <w:color w:val="231F20"/>
          <w:w w:val="120"/>
        </w:rPr>
        <w:t>un</w:t>
      </w:r>
      <w:r>
        <w:rPr>
          <w:color w:val="231F20"/>
          <w:spacing w:val="-9"/>
          <w:w w:val="120"/>
        </w:rPr>
        <w:t> </w:t>
      </w:r>
      <w:r>
        <w:rPr>
          <w:color w:val="231F20"/>
          <w:w w:val="120"/>
        </w:rPr>
        <w:t>profil</w:t>
      </w:r>
      <w:r>
        <w:rPr>
          <w:color w:val="231F20"/>
          <w:spacing w:val="-9"/>
          <w:w w:val="120"/>
        </w:rPr>
        <w:t> </w:t>
      </w:r>
      <w:r>
        <w:rPr>
          <w:color w:val="231F20"/>
          <w:w w:val="120"/>
        </w:rPr>
        <w:t>psycholo- </w:t>
      </w:r>
      <w:r>
        <w:rPr>
          <w:color w:val="231F20"/>
          <w:spacing w:val="-2"/>
          <w:w w:val="120"/>
        </w:rPr>
        <w:t>gique</w:t>
      </w:r>
      <w:r>
        <w:rPr>
          <w:color w:val="231F20"/>
          <w:spacing w:val="-11"/>
          <w:w w:val="120"/>
        </w:rPr>
        <w:t> </w:t>
      </w:r>
      <w:r>
        <w:rPr>
          <w:color w:val="231F20"/>
          <w:spacing w:val="-2"/>
          <w:w w:val="120"/>
        </w:rPr>
        <w:t>dominé</w:t>
      </w:r>
      <w:r>
        <w:rPr>
          <w:color w:val="231F20"/>
          <w:spacing w:val="-10"/>
          <w:w w:val="120"/>
        </w:rPr>
        <w:t> </w:t>
      </w:r>
      <w:r>
        <w:rPr>
          <w:color w:val="231F20"/>
          <w:spacing w:val="-2"/>
          <w:w w:val="120"/>
        </w:rPr>
        <w:t>par</w:t>
      </w:r>
      <w:r>
        <w:rPr>
          <w:color w:val="231F20"/>
          <w:spacing w:val="-11"/>
          <w:w w:val="120"/>
        </w:rPr>
        <w:t> </w:t>
      </w:r>
      <w:r>
        <w:rPr>
          <w:color w:val="231F20"/>
          <w:spacing w:val="-2"/>
          <w:w w:val="120"/>
        </w:rPr>
        <w:t>la</w:t>
      </w:r>
      <w:r>
        <w:rPr>
          <w:color w:val="231F20"/>
          <w:spacing w:val="-10"/>
          <w:w w:val="120"/>
        </w:rPr>
        <w:t> </w:t>
      </w:r>
      <w:r>
        <w:rPr>
          <w:color w:val="231F20"/>
          <w:spacing w:val="-2"/>
          <w:w w:val="120"/>
        </w:rPr>
        <w:t>réponse</w:t>
      </w:r>
      <w:r>
        <w:rPr>
          <w:color w:val="231F20"/>
          <w:spacing w:val="-11"/>
          <w:w w:val="120"/>
        </w:rPr>
        <w:t> </w:t>
      </w:r>
      <w:r>
        <w:rPr>
          <w:color w:val="231F20"/>
          <w:spacing w:val="-2"/>
          <w:w w:val="120"/>
        </w:rPr>
        <w:t>excessive.</w:t>
      </w:r>
      <w:r>
        <w:rPr>
          <w:color w:val="231F20"/>
          <w:spacing w:val="-10"/>
          <w:w w:val="120"/>
        </w:rPr>
        <w:t> </w:t>
      </w:r>
      <w:r>
        <w:rPr>
          <w:color w:val="231F20"/>
          <w:spacing w:val="-2"/>
          <w:w w:val="120"/>
        </w:rPr>
        <w:t>La</w:t>
      </w:r>
      <w:r>
        <w:rPr>
          <w:color w:val="231F20"/>
          <w:spacing w:val="-11"/>
          <w:w w:val="120"/>
        </w:rPr>
        <w:t> </w:t>
      </w:r>
      <w:r>
        <w:rPr>
          <w:color w:val="231F20"/>
          <w:spacing w:val="-2"/>
          <w:w w:val="120"/>
        </w:rPr>
        <w:t>personne</w:t>
      </w:r>
      <w:r>
        <w:rPr>
          <w:color w:val="231F20"/>
          <w:spacing w:val="-10"/>
          <w:w w:val="120"/>
        </w:rPr>
        <w:t> </w:t>
      </w:r>
      <w:r>
        <w:rPr>
          <w:color w:val="231F20"/>
          <w:spacing w:val="-2"/>
          <w:w w:val="120"/>
        </w:rPr>
        <w:t>semble</w:t>
      </w:r>
      <w:r>
        <w:rPr>
          <w:color w:val="231F20"/>
          <w:spacing w:val="-11"/>
          <w:w w:val="120"/>
        </w:rPr>
        <w:t> </w:t>
      </w:r>
      <w:r>
        <w:rPr>
          <w:color w:val="231F20"/>
          <w:spacing w:val="-2"/>
          <w:w w:val="120"/>
        </w:rPr>
        <w:t>hyperactive, </w:t>
      </w:r>
      <w:r>
        <w:rPr>
          <w:color w:val="231F20"/>
          <w:w w:val="120"/>
        </w:rPr>
        <w:t>irritable,</w:t>
      </w:r>
      <w:r>
        <w:rPr>
          <w:color w:val="231F20"/>
          <w:spacing w:val="-7"/>
          <w:w w:val="120"/>
        </w:rPr>
        <w:t> </w:t>
      </w:r>
      <w:r>
        <w:rPr>
          <w:color w:val="231F20"/>
          <w:w w:val="120"/>
        </w:rPr>
        <w:t>ambitieuse,</w:t>
      </w:r>
      <w:r>
        <w:rPr>
          <w:color w:val="231F20"/>
          <w:spacing w:val="-7"/>
          <w:w w:val="120"/>
        </w:rPr>
        <w:t> </w:t>
      </w:r>
      <w:r>
        <w:rPr>
          <w:color w:val="231F20"/>
          <w:w w:val="120"/>
        </w:rPr>
        <w:t>agressive,</w:t>
      </w:r>
      <w:r>
        <w:rPr>
          <w:color w:val="231F20"/>
          <w:spacing w:val="-7"/>
          <w:w w:val="120"/>
        </w:rPr>
        <w:t> </w:t>
      </w:r>
      <w:r>
        <w:rPr>
          <w:color w:val="231F20"/>
          <w:w w:val="120"/>
        </w:rPr>
        <w:t>hostile,</w:t>
      </w:r>
      <w:r>
        <w:rPr>
          <w:color w:val="231F20"/>
          <w:spacing w:val="-7"/>
          <w:w w:val="120"/>
        </w:rPr>
        <w:t> </w:t>
      </w:r>
      <w:r>
        <w:rPr>
          <w:color w:val="231F20"/>
          <w:w w:val="120"/>
        </w:rPr>
        <w:t>impulsive,</w:t>
      </w:r>
      <w:r>
        <w:rPr>
          <w:color w:val="231F20"/>
          <w:spacing w:val="-7"/>
          <w:w w:val="120"/>
        </w:rPr>
        <w:t> </w:t>
      </w:r>
      <w:r>
        <w:rPr>
          <w:color w:val="231F20"/>
          <w:w w:val="120"/>
        </w:rPr>
        <w:t>tendue,</w:t>
      </w:r>
      <w:r>
        <w:rPr>
          <w:color w:val="231F20"/>
          <w:spacing w:val="-7"/>
          <w:w w:val="120"/>
        </w:rPr>
        <w:t> </w:t>
      </w:r>
      <w:r>
        <w:rPr>
          <w:color w:val="231F20"/>
          <w:w w:val="120"/>
        </w:rPr>
        <w:t>compétitive et</w:t>
      </w:r>
      <w:r>
        <w:rPr>
          <w:color w:val="231F20"/>
          <w:spacing w:val="-13"/>
          <w:w w:val="120"/>
        </w:rPr>
        <w:t> </w:t>
      </w:r>
      <w:r>
        <w:rPr>
          <w:color w:val="231F20"/>
          <w:w w:val="120"/>
        </w:rPr>
        <w:t>d’une</w:t>
      </w:r>
      <w:r>
        <w:rPr>
          <w:color w:val="231F20"/>
          <w:spacing w:val="-13"/>
          <w:w w:val="120"/>
        </w:rPr>
        <w:t> </w:t>
      </w:r>
      <w:r>
        <w:rPr>
          <w:color w:val="231F20"/>
          <w:w w:val="120"/>
        </w:rPr>
        <w:t>impatience</w:t>
      </w:r>
      <w:r>
        <w:rPr>
          <w:color w:val="231F20"/>
          <w:spacing w:val="-13"/>
          <w:w w:val="120"/>
        </w:rPr>
        <w:t> </w:t>
      </w:r>
      <w:r>
        <w:rPr>
          <w:color w:val="231F20"/>
          <w:w w:val="120"/>
        </w:rPr>
        <w:t>chronique.</w:t>
      </w:r>
      <w:r>
        <w:rPr>
          <w:color w:val="231F20"/>
          <w:spacing w:val="-12"/>
          <w:w w:val="120"/>
        </w:rPr>
        <w:t> </w:t>
      </w:r>
      <w:r>
        <w:rPr>
          <w:color w:val="231F20"/>
          <w:w w:val="120"/>
        </w:rPr>
        <w:t>Ses</w:t>
      </w:r>
      <w:r>
        <w:rPr>
          <w:color w:val="231F20"/>
          <w:spacing w:val="-13"/>
          <w:w w:val="120"/>
        </w:rPr>
        <w:t> </w:t>
      </w:r>
      <w:r>
        <w:rPr>
          <w:color w:val="231F20"/>
          <w:w w:val="120"/>
        </w:rPr>
        <w:t>relations</w:t>
      </w:r>
      <w:r>
        <w:rPr>
          <w:color w:val="231F20"/>
          <w:spacing w:val="-13"/>
          <w:w w:val="120"/>
        </w:rPr>
        <w:t> </w:t>
      </w:r>
      <w:r>
        <w:rPr>
          <w:color w:val="231F20"/>
          <w:w w:val="120"/>
        </w:rPr>
        <w:t>interpersonnelles</w:t>
      </w:r>
      <w:r>
        <w:rPr>
          <w:color w:val="231F20"/>
          <w:spacing w:val="-13"/>
          <w:w w:val="120"/>
        </w:rPr>
        <w:t> </w:t>
      </w:r>
      <w:r>
        <w:rPr>
          <w:color w:val="231F20"/>
          <w:w w:val="120"/>
        </w:rPr>
        <w:t>sont</w:t>
      </w:r>
      <w:r>
        <w:rPr>
          <w:color w:val="231F20"/>
          <w:spacing w:val="-12"/>
          <w:w w:val="120"/>
        </w:rPr>
        <w:t> </w:t>
      </w:r>
      <w:r>
        <w:rPr>
          <w:color w:val="231F20"/>
          <w:w w:val="120"/>
        </w:rPr>
        <w:t>pro- blématiques</w:t>
      </w:r>
      <w:r>
        <w:rPr>
          <w:color w:val="231F20"/>
          <w:spacing w:val="-9"/>
          <w:w w:val="120"/>
        </w:rPr>
        <w:t> </w:t>
      </w:r>
      <w:r>
        <w:rPr>
          <w:color w:val="231F20"/>
          <w:w w:val="120"/>
        </w:rPr>
        <w:t>et</w:t>
      </w:r>
      <w:r>
        <w:rPr>
          <w:color w:val="231F20"/>
          <w:spacing w:val="-9"/>
          <w:w w:val="120"/>
        </w:rPr>
        <w:t> </w:t>
      </w:r>
      <w:r>
        <w:rPr>
          <w:color w:val="231F20"/>
          <w:w w:val="120"/>
        </w:rPr>
        <w:t>elle</w:t>
      </w:r>
      <w:r>
        <w:rPr>
          <w:color w:val="231F20"/>
          <w:spacing w:val="-9"/>
          <w:w w:val="120"/>
        </w:rPr>
        <w:t> </w:t>
      </w:r>
      <w:r>
        <w:rPr>
          <w:color w:val="231F20"/>
          <w:w w:val="120"/>
        </w:rPr>
        <w:t>tend</w:t>
      </w:r>
      <w:r>
        <w:rPr>
          <w:color w:val="231F20"/>
          <w:spacing w:val="-9"/>
          <w:w w:val="120"/>
        </w:rPr>
        <w:t> </w:t>
      </w:r>
      <w:r>
        <w:rPr>
          <w:color w:val="231F20"/>
          <w:w w:val="120"/>
        </w:rPr>
        <w:t>à</w:t>
      </w:r>
      <w:r>
        <w:rPr>
          <w:color w:val="231F20"/>
          <w:spacing w:val="-9"/>
          <w:w w:val="120"/>
        </w:rPr>
        <w:t> </w:t>
      </w:r>
      <w:r>
        <w:rPr>
          <w:color w:val="231F20"/>
          <w:w w:val="120"/>
        </w:rPr>
        <w:t>être</w:t>
      </w:r>
      <w:r>
        <w:rPr>
          <w:color w:val="231F20"/>
          <w:spacing w:val="-9"/>
          <w:w w:val="120"/>
        </w:rPr>
        <w:t> </w:t>
      </w:r>
      <w:r>
        <w:rPr>
          <w:color w:val="231F20"/>
          <w:w w:val="120"/>
        </w:rPr>
        <w:t>dominante.</w:t>
      </w:r>
      <w:r>
        <w:rPr>
          <w:color w:val="231F20"/>
          <w:spacing w:val="-9"/>
          <w:w w:val="120"/>
        </w:rPr>
        <w:t> </w:t>
      </w:r>
      <w:r>
        <w:rPr>
          <w:color w:val="231F20"/>
          <w:w w:val="120"/>
        </w:rPr>
        <w:t>Vu</w:t>
      </w:r>
      <w:r>
        <w:rPr>
          <w:color w:val="231F20"/>
          <w:spacing w:val="-9"/>
          <w:w w:val="120"/>
        </w:rPr>
        <w:t> </w:t>
      </w:r>
      <w:r>
        <w:rPr>
          <w:color w:val="231F20"/>
          <w:w w:val="120"/>
        </w:rPr>
        <w:t>leur</w:t>
      </w:r>
      <w:r>
        <w:rPr>
          <w:color w:val="231F20"/>
          <w:spacing w:val="-9"/>
          <w:w w:val="120"/>
        </w:rPr>
        <w:t> </w:t>
      </w:r>
      <w:r>
        <w:rPr>
          <w:color w:val="231F20"/>
          <w:w w:val="120"/>
        </w:rPr>
        <w:t>réponse</w:t>
      </w:r>
      <w:r>
        <w:rPr>
          <w:color w:val="231F20"/>
          <w:spacing w:val="-9"/>
          <w:w w:val="120"/>
        </w:rPr>
        <w:t> </w:t>
      </w:r>
      <w:r>
        <w:rPr>
          <w:color w:val="231F20"/>
          <w:w w:val="120"/>
        </w:rPr>
        <w:t>au</w:t>
      </w:r>
      <w:r>
        <w:rPr>
          <w:color w:val="231F20"/>
          <w:spacing w:val="-9"/>
          <w:w w:val="120"/>
        </w:rPr>
        <w:t> </w:t>
      </w:r>
      <w:r>
        <w:rPr>
          <w:color w:val="231F20"/>
          <w:w w:val="120"/>
        </w:rPr>
        <w:t>stress,</w:t>
      </w:r>
      <w:r>
        <w:rPr>
          <w:color w:val="231F20"/>
          <w:spacing w:val="-9"/>
          <w:w w:val="120"/>
        </w:rPr>
        <w:t> </w:t>
      </w:r>
      <w:r>
        <w:rPr>
          <w:color w:val="231F20"/>
          <w:w w:val="120"/>
        </w:rPr>
        <w:t>les personnes</w:t>
      </w:r>
      <w:r>
        <w:rPr>
          <w:color w:val="231F20"/>
          <w:spacing w:val="-13"/>
          <w:w w:val="120"/>
        </w:rPr>
        <w:t> </w:t>
      </w:r>
      <w:r>
        <w:rPr>
          <w:color w:val="231F20"/>
          <w:w w:val="120"/>
        </w:rPr>
        <w:t>ayant</w:t>
      </w:r>
      <w:r>
        <w:rPr>
          <w:color w:val="231F20"/>
          <w:spacing w:val="-13"/>
          <w:w w:val="120"/>
        </w:rPr>
        <w:t> </w:t>
      </w:r>
      <w:r>
        <w:rPr>
          <w:color w:val="231F20"/>
          <w:w w:val="120"/>
        </w:rPr>
        <w:t>un</w:t>
      </w:r>
      <w:r>
        <w:rPr>
          <w:color w:val="231F20"/>
          <w:spacing w:val="-13"/>
          <w:w w:val="120"/>
        </w:rPr>
        <w:t> </w:t>
      </w:r>
      <w:r>
        <w:rPr>
          <w:color w:val="231F20"/>
          <w:w w:val="120"/>
        </w:rPr>
        <w:t>comportement</w:t>
      </w:r>
      <w:r>
        <w:rPr>
          <w:color w:val="231F20"/>
          <w:spacing w:val="-12"/>
          <w:w w:val="120"/>
        </w:rPr>
        <w:t> </w:t>
      </w:r>
      <w:r>
        <w:rPr>
          <w:color w:val="231F20"/>
          <w:w w:val="120"/>
        </w:rPr>
        <w:t>de</w:t>
      </w:r>
      <w:r>
        <w:rPr>
          <w:color w:val="231F20"/>
          <w:spacing w:val="-13"/>
          <w:w w:val="120"/>
        </w:rPr>
        <w:t> </w:t>
      </w:r>
      <w:r>
        <w:rPr>
          <w:color w:val="231F20"/>
          <w:w w:val="120"/>
        </w:rPr>
        <w:t>type</w:t>
      </w:r>
      <w:r>
        <w:rPr>
          <w:color w:val="231F20"/>
          <w:spacing w:val="-13"/>
          <w:w w:val="120"/>
        </w:rPr>
        <w:t> </w:t>
      </w:r>
      <w:r>
        <w:rPr>
          <w:color w:val="231F20"/>
          <w:w w:val="120"/>
        </w:rPr>
        <w:t>A</w:t>
      </w:r>
      <w:r>
        <w:rPr>
          <w:color w:val="231F20"/>
          <w:spacing w:val="-13"/>
          <w:w w:val="120"/>
        </w:rPr>
        <w:t> </w:t>
      </w:r>
      <w:r>
        <w:rPr>
          <w:color w:val="231F20"/>
          <w:w w:val="120"/>
        </w:rPr>
        <w:t>sont</w:t>
      </w:r>
      <w:r>
        <w:rPr>
          <w:color w:val="231F20"/>
          <w:spacing w:val="-12"/>
          <w:w w:val="120"/>
        </w:rPr>
        <w:t> </w:t>
      </w:r>
      <w:r>
        <w:rPr>
          <w:color w:val="231F20"/>
          <w:w w:val="120"/>
        </w:rPr>
        <w:t>plus</w:t>
      </w:r>
      <w:r>
        <w:rPr>
          <w:color w:val="231F20"/>
          <w:spacing w:val="-13"/>
          <w:w w:val="120"/>
        </w:rPr>
        <w:t> </w:t>
      </w:r>
      <w:r>
        <w:rPr>
          <w:color w:val="231F20"/>
          <w:w w:val="120"/>
        </w:rPr>
        <w:t>prédisposées</w:t>
      </w:r>
      <w:r>
        <w:rPr>
          <w:color w:val="231F20"/>
          <w:spacing w:val="-13"/>
          <w:w w:val="120"/>
        </w:rPr>
        <w:t> </w:t>
      </w:r>
      <w:r>
        <w:rPr>
          <w:color w:val="231F20"/>
          <w:w w:val="120"/>
        </w:rPr>
        <w:t>que la</w:t>
      </w:r>
      <w:r>
        <w:rPr>
          <w:color w:val="231F20"/>
          <w:spacing w:val="-9"/>
          <w:w w:val="120"/>
        </w:rPr>
        <w:t> </w:t>
      </w:r>
      <w:r>
        <w:rPr>
          <w:color w:val="231F20"/>
          <w:w w:val="120"/>
        </w:rPr>
        <w:t>moyenne</w:t>
      </w:r>
      <w:r>
        <w:rPr>
          <w:color w:val="231F20"/>
          <w:spacing w:val="-9"/>
          <w:w w:val="120"/>
        </w:rPr>
        <w:t> </w:t>
      </w:r>
      <w:r>
        <w:rPr>
          <w:color w:val="231F20"/>
          <w:w w:val="120"/>
        </w:rPr>
        <w:t>à</w:t>
      </w:r>
      <w:r>
        <w:rPr>
          <w:color w:val="231F20"/>
          <w:spacing w:val="-9"/>
          <w:w w:val="120"/>
        </w:rPr>
        <w:t> </w:t>
      </w:r>
      <w:r>
        <w:rPr>
          <w:color w:val="231F20"/>
          <w:w w:val="120"/>
        </w:rPr>
        <w:t>souffrir</w:t>
      </w:r>
      <w:r>
        <w:rPr>
          <w:color w:val="231F20"/>
          <w:spacing w:val="-9"/>
          <w:w w:val="120"/>
        </w:rPr>
        <w:t> </w:t>
      </w:r>
      <w:r>
        <w:rPr>
          <w:color w:val="231F20"/>
          <w:w w:val="120"/>
        </w:rPr>
        <w:t>de</w:t>
      </w:r>
      <w:r>
        <w:rPr>
          <w:color w:val="231F20"/>
          <w:spacing w:val="-9"/>
          <w:w w:val="120"/>
        </w:rPr>
        <w:t> </w:t>
      </w:r>
      <w:r>
        <w:rPr>
          <w:color w:val="231F20"/>
          <w:w w:val="120"/>
        </w:rPr>
        <w:t>troubles</w:t>
      </w:r>
      <w:r>
        <w:rPr>
          <w:color w:val="231F20"/>
          <w:spacing w:val="-9"/>
          <w:w w:val="120"/>
        </w:rPr>
        <w:t> </w:t>
      </w:r>
      <w:r>
        <w:rPr>
          <w:color w:val="231F20"/>
          <w:w w:val="120"/>
        </w:rPr>
        <w:t>cardiovasculaires</w:t>
      </w:r>
      <w:r>
        <w:rPr>
          <w:color w:val="231F20"/>
          <w:spacing w:val="-9"/>
          <w:w w:val="120"/>
        </w:rPr>
        <w:t> </w:t>
      </w:r>
      <w:r>
        <w:rPr>
          <w:color w:val="231F20"/>
          <w:w w:val="120"/>
        </w:rPr>
        <w:t>découlant</w:t>
      </w:r>
      <w:r>
        <w:rPr>
          <w:color w:val="231F20"/>
          <w:spacing w:val="-9"/>
          <w:w w:val="120"/>
        </w:rPr>
        <w:t> </w:t>
      </w:r>
      <w:r>
        <w:rPr>
          <w:color w:val="231F20"/>
          <w:w w:val="120"/>
        </w:rPr>
        <w:t>de</w:t>
      </w:r>
      <w:r>
        <w:rPr>
          <w:color w:val="231F20"/>
          <w:spacing w:val="-9"/>
          <w:w w:val="120"/>
        </w:rPr>
        <w:t> </w:t>
      </w:r>
      <w:r>
        <w:rPr>
          <w:color w:val="231F20"/>
          <w:w w:val="120"/>
        </w:rPr>
        <w:t>l’acti- </w:t>
      </w:r>
      <w:r>
        <w:rPr>
          <w:color w:val="231F20"/>
          <w:spacing w:val="-2"/>
          <w:w w:val="120"/>
        </w:rPr>
        <w:t>vation</w:t>
      </w:r>
      <w:r>
        <w:rPr>
          <w:color w:val="231F20"/>
          <w:spacing w:val="-5"/>
          <w:w w:val="120"/>
        </w:rPr>
        <w:t> </w:t>
      </w:r>
      <w:r>
        <w:rPr>
          <w:color w:val="231F20"/>
          <w:spacing w:val="-2"/>
          <w:w w:val="120"/>
        </w:rPr>
        <w:t>des</w:t>
      </w:r>
      <w:r>
        <w:rPr>
          <w:color w:val="231F20"/>
          <w:spacing w:val="-5"/>
          <w:w w:val="120"/>
        </w:rPr>
        <w:t> </w:t>
      </w:r>
      <w:r>
        <w:rPr>
          <w:color w:val="231F20"/>
          <w:spacing w:val="-2"/>
          <w:w w:val="120"/>
        </w:rPr>
        <w:t>catécholamines.</w:t>
      </w:r>
      <w:r>
        <w:rPr>
          <w:color w:val="231F20"/>
          <w:spacing w:val="-5"/>
          <w:w w:val="120"/>
        </w:rPr>
        <w:t> </w:t>
      </w:r>
      <w:r>
        <w:rPr>
          <w:color w:val="231F20"/>
          <w:spacing w:val="-2"/>
          <w:w w:val="120"/>
        </w:rPr>
        <w:t>En</w:t>
      </w:r>
      <w:r>
        <w:rPr>
          <w:color w:val="231F20"/>
          <w:spacing w:val="-5"/>
          <w:w w:val="120"/>
        </w:rPr>
        <w:t> </w:t>
      </w:r>
      <w:r>
        <w:rPr>
          <w:color w:val="231F20"/>
          <w:spacing w:val="-2"/>
          <w:w w:val="120"/>
        </w:rPr>
        <w:t>même</w:t>
      </w:r>
      <w:r>
        <w:rPr>
          <w:color w:val="231F20"/>
          <w:spacing w:val="-5"/>
          <w:w w:val="120"/>
        </w:rPr>
        <w:t> </w:t>
      </w:r>
      <w:r>
        <w:rPr>
          <w:color w:val="231F20"/>
          <w:spacing w:val="-2"/>
          <w:w w:val="120"/>
        </w:rPr>
        <w:t>temps,</w:t>
      </w:r>
      <w:r>
        <w:rPr>
          <w:color w:val="231F20"/>
          <w:spacing w:val="-5"/>
          <w:w w:val="120"/>
        </w:rPr>
        <w:t> </w:t>
      </w:r>
      <w:r>
        <w:rPr>
          <w:color w:val="231F20"/>
          <w:spacing w:val="-2"/>
          <w:w w:val="120"/>
        </w:rPr>
        <w:t>elles</w:t>
      </w:r>
      <w:r>
        <w:rPr>
          <w:color w:val="231F20"/>
          <w:spacing w:val="-5"/>
          <w:w w:val="120"/>
        </w:rPr>
        <w:t> </w:t>
      </w:r>
      <w:r>
        <w:rPr>
          <w:color w:val="231F20"/>
          <w:spacing w:val="-2"/>
          <w:w w:val="120"/>
        </w:rPr>
        <w:t>ont</w:t>
      </w:r>
      <w:r>
        <w:rPr>
          <w:color w:val="231F20"/>
          <w:spacing w:val="-5"/>
          <w:w w:val="120"/>
        </w:rPr>
        <w:t> </w:t>
      </w:r>
      <w:r>
        <w:rPr>
          <w:color w:val="231F20"/>
          <w:spacing w:val="-2"/>
          <w:w w:val="120"/>
        </w:rPr>
        <w:t>souvent</w:t>
      </w:r>
      <w:r>
        <w:rPr>
          <w:color w:val="231F20"/>
          <w:spacing w:val="-5"/>
          <w:w w:val="120"/>
        </w:rPr>
        <w:t> </w:t>
      </w:r>
      <w:r>
        <w:rPr>
          <w:color w:val="231F20"/>
          <w:spacing w:val="-2"/>
          <w:w w:val="120"/>
        </w:rPr>
        <w:t>un</w:t>
      </w:r>
      <w:r>
        <w:rPr>
          <w:color w:val="231F20"/>
          <w:spacing w:val="-5"/>
          <w:w w:val="120"/>
        </w:rPr>
        <w:t> </w:t>
      </w:r>
      <w:r>
        <w:rPr>
          <w:color w:val="231F20"/>
          <w:spacing w:val="-2"/>
          <w:w w:val="120"/>
        </w:rPr>
        <w:t>niveau </w:t>
      </w:r>
      <w:r>
        <w:rPr>
          <w:color w:val="231F20"/>
          <w:w w:val="120"/>
        </w:rPr>
        <w:t>élevé</w:t>
      </w:r>
      <w:r>
        <w:rPr>
          <w:color w:val="231F20"/>
          <w:spacing w:val="-7"/>
          <w:w w:val="120"/>
        </w:rPr>
        <w:t> </w:t>
      </w:r>
      <w:r>
        <w:rPr>
          <w:color w:val="231F20"/>
          <w:w w:val="120"/>
        </w:rPr>
        <w:t>de</w:t>
      </w:r>
      <w:r>
        <w:rPr>
          <w:color w:val="231F20"/>
          <w:spacing w:val="-7"/>
          <w:w w:val="120"/>
        </w:rPr>
        <w:t> </w:t>
      </w:r>
      <w:r>
        <w:rPr>
          <w:color w:val="231F20"/>
          <w:w w:val="120"/>
        </w:rPr>
        <w:t>cholestérol</w:t>
      </w:r>
      <w:r>
        <w:rPr>
          <w:color w:val="231F20"/>
          <w:spacing w:val="-7"/>
          <w:w w:val="120"/>
        </w:rPr>
        <w:t> </w:t>
      </w:r>
      <w:r>
        <w:rPr>
          <w:color w:val="231F20"/>
          <w:w w:val="120"/>
        </w:rPr>
        <w:t>à</w:t>
      </w:r>
      <w:r>
        <w:rPr>
          <w:color w:val="231F20"/>
          <w:spacing w:val="-7"/>
          <w:w w:val="120"/>
        </w:rPr>
        <w:t> </w:t>
      </w:r>
      <w:r>
        <w:rPr>
          <w:color w:val="231F20"/>
          <w:w w:val="120"/>
        </w:rPr>
        <w:t>lipoprotéines</w:t>
      </w:r>
      <w:r>
        <w:rPr>
          <w:color w:val="231F20"/>
          <w:spacing w:val="-7"/>
          <w:w w:val="120"/>
        </w:rPr>
        <w:t> </w:t>
      </w:r>
      <w:r>
        <w:rPr>
          <w:color w:val="231F20"/>
          <w:w w:val="120"/>
        </w:rPr>
        <w:t>à</w:t>
      </w:r>
      <w:r>
        <w:rPr>
          <w:color w:val="231F20"/>
          <w:spacing w:val="-7"/>
          <w:w w:val="120"/>
        </w:rPr>
        <w:t> </w:t>
      </w:r>
      <w:r>
        <w:rPr>
          <w:color w:val="231F20"/>
          <w:w w:val="120"/>
        </w:rPr>
        <w:t>basse</w:t>
      </w:r>
      <w:r>
        <w:rPr>
          <w:color w:val="231F20"/>
          <w:spacing w:val="-7"/>
          <w:w w:val="120"/>
        </w:rPr>
        <w:t> </w:t>
      </w:r>
      <w:r>
        <w:rPr>
          <w:color w:val="231F20"/>
          <w:w w:val="120"/>
        </w:rPr>
        <w:t>densité</w:t>
      </w:r>
      <w:r>
        <w:rPr>
          <w:color w:val="231F20"/>
          <w:spacing w:val="-7"/>
          <w:w w:val="120"/>
        </w:rPr>
        <w:t> </w:t>
      </w:r>
      <w:r>
        <w:rPr>
          <w:color w:val="231F20"/>
          <w:w w:val="120"/>
        </w:rPr>
        <w:t>(LBD)</w:t>
      </w:r>
      <w:r>
        <w:rPr>
          <w:color w:val="231F20"/>
          <w:spacing w:val="-7"/>
          <w:w w:val="120"/>
        </w:rPr>
        <w:t> </w:t>
      </w:r>
      <w:r>
        <w:rPr>
          <w:color w:val="231F20"/>
          <w:w w:val="120"/>
        </w:rPr>
        <w:t>et</w:t>
      </w:r>
      <w:r>
        <w:rPr>
          <w:color w:val="231F20"/>
          <w:spacing w:val="-7"/>
          <w:w w:val="120"/>
        </w:rPr>
        <w:t> </w:t>
      </w:r>
      <w:r>
        <w:rPr>
          <w:color w:val="231F20"/>
          <w:w w:val="120"/>
        </w:rPr>
        <w:t>un</w:t>
      </w:r>
      <w:r>
        <w:rPr>
          <w:color w:val="231F20"/>
          <w:spacing w:val="-7"/>
          <w:w w:val="120"/>
        </w:rPr>
        <w:t> </w:t>
      </w:r>
      <w:r>
        <w:rPr>
          <w:color w:val="231F20"/>
          <w:w w:val="120"/>
        </w:rPr>
        <w:t>niveau </w:t>
      </w:r>
      <w:r>
        <w:rPr>
          <w:color w:val="231F20"/>
          <w:w w:val="115"/>
        </w:rPr>
        <w:t>faible</w:t>
      </w:r>
      <w:r>
        <w:rPr>
          <w:color w:val="231F20"/>
          <w:spacing w:val="-5"/>
          <w:w w:val="115"/>
        </w:rPr>
        <w:t> </w:t>
      </w:r>
      <w:r>
        <w:rPr>
          <w:color w:val="231F20"/>
          <w:w w:val="115"/>
        </w:rPr>
        <w:t>de</w:t>
      </w:r>
      <w:r>
        <w:rPr>
          <w:color w:val="231F20"/>
          <w:spacing w:val="-5"/>
          <w:w w:val="115"/>
        </w:rPr>
        <w:t> </w:t>
      </w:r>
      <w:r>
        <w:rPr>
          <w:color w:val="231F20"/>
          <w:w w:val="115"/>
        </w:rPr>
        <w:t>cholestérol</w:t>
      </w:r>
      <w:r>
        <w:rPr>
          <w:color w:val="231F20"/>
          <w:spacing w:val="-5"/>
          <w:w w:val="115"/>
        </w:rPr>
        <w:t> </w:t>
      </w:r>
      <w:r>
        <w:rPr>
          <w:color w:val="231F20"/>
          <w:w w:val="115"/>
        </w:rPr>
        <w:t>à</w:t>
      </w:r>
      <w:r>
        <w:rPr>
          <w:color w:val="231F20"/>
          <w:spacing w:val="-5"/>
          <w:w w:val="115"/>
        </w:rPr>
        <w:t> </w:t>
      </w:r>
      <w:r>
        <w:rPr>
          <w:color w:val="231F20"/>
          <w:w w:val="115"/>
        </w:rPr>
        <w:t>lipoprotéines</w:t>
      </w:r>
      <w:r>
        <w:rPr>
          <w:color w:val="231F20"/>
          <w:spacing w:val="-5"/>
          <w:w w:val="115"/>
        </w:rPr>
        <w:t> </w:t>
      </w:r>
      <w:r>
        <w:rPr>
          <w:color w:val="231F20"/>
          <w:w w:val="115"/>
        </w:rPr>
        <w:t>à</w:t>
      </w:r>
      <w:r>
        <w:rPr>
          <w:color w:val="231F20"/>
          <w:spacing w:val="-5"/>
          <w:w w:val="115"/>
        </w:rPr>
        <w:t> </w:t>
      </w:r>
      <w:r>
        <w:rPr>
          <w:color w:val="231F20"/>
          <w:w w:val="115"/>
        </w:rPr>
        <w:t>haute</w:t>
      </w:r>
      <w:r>
        <w:rPr>
          <w:color w:val="231F20"/>
          <w:spacing w:val="-5"/>
          <w:w w:val="115"/>
        </w:rPr>
        <w:t> </w:t>
      </w:r>
      <w:r>
        <w:rPr>
          <w:color w:val="231F20"/>
          <w:w w:val="115"/>
        </w:rPr>
        <w:t>densité</w:t>
      </w:r>
      <w:r>
        <w:rPr>
          <w:color w:val="231F20"/>
          <w:spacing w:val="-5"/>
          <w:w w:val="115"/>
        </w:rPr>
        <w:t> </w:t>
      </w:r>
      <w:r>
        <w:rPr>
          <w:color w:val="231F20"/>
          <w:w w:val="115"/>
        </w:rPr>
        <w:t>(LHD),</w:t>
      </w:r>
      <w:r>
        <w:rPr>
          <w:color w:val="231F20"/>
          <w:spacing w:val="-5"/>
          <w:w w:val="115"/>
        </w:rPr>
        <w:t> </w:t>
      </w:r>
      <w:r>
        <w:rPr>
          <w:color w:val="231F20"/>
          <w:w w:val="115"/>
        </w:rPr>
        <w:t>tout</w:t>
      </w:r>
      <w:r>
        <w:rPr>
          <w:color w:val="231F20"/>
          <w:spacing w:val="-5"/>
          <w:w w:val="115"/>
        </w:rPr>
        <w:t> </w:t>
      </w:r>
      <w:r>
        <w:rPr>
          <w:color w:val="231F20"/>
          <w:w w:val="115"/>
        </w:rPr>
        <w:t>en</w:t>
      </w:r>
      <w:r>
        <w:rPr>
          <w:color w:val="231F20"/>
          <w:spacing w:val="-5"/>
          <w:w w:val="115"/>
        </w:rPr>
        <w:t> </w:t>
      </w:r>
      <w:r>
        <w:rPr>
          <w:color w:val="231F20"/>
          <w:w w:val="115"/>
        </w:rPr>
        <w:t>cumu- </w:t>
      </w:r>
      <w:r>
        <w:rPr>
          <w:color w:val="231F20"/>
          <w:spacing w:val="-4"/>
          <w:w w:val="120"/>
        </w:rPr>
        <w:t>lant d’autres facteurs de risque tels que l’obésité, l’hypertension artérielle </w:t>
      </w:r>
      <w:r>
        <w:rPr>
          <w:color w:val="231F20"/>
          <w:w w:val="120"/>
        </w:rPr>
        <w:t>et l’accoutumance à la nicotine.</w:t>
      </w:r>
    </w:p>
    <w:p>
      <w:pPr>
        <w:pStyle w:val="BodyText"/>
        <w:spacing w:before="5"/>
        <w:rPr>
          <w:sz w:val="11"/>
        </w:rPr>
      </w:pPr>
      <w:r>
        <w:rPr/>
        <w:pict>
          <v:group style="position:absolute;margin-left:62.5pt;margin-top:7.792529pt;width:287.5pt;height:227.25pt;mso-position-horizontal-relative:page;mso-position-vertical-relative:paragraph;z-index:-15674880;mso-wrap-distance-left:0;mso-wrap-distance-right:0" id="docshapegroup708" coordorigin="1250,156" coordsize="5750,4545">
            <v:rect style="position:absolute;left:1250;top:155;width:5750;height:705" id="docshape709" filled="true" fillcolor="#e2e3e4" stroked="false">
              <v:fill type="solid"/>
            </v:rect>
            <v:line style="position:absolute" from="1500,703" to="6750,703" stroked="true" strokeweight=".25pt" strokecolor="#231f20">
              <v:stroke dashstyle="shortdot"/>
            </v:line>
            <v:shape style="position:absolute;left:1250;top:780;width:5750;height:3920" id="docshape710" coordorigin="1250,781" coordsize="5750,3920" path="m7000,781l1250,781,1250,1191,1250,1441,1250,4701,7000,4701,7000,1191,7000,781xe" filled="true" fillcolor="#e2e3e4" stroked="false">
              <v:path arrowok="t"/>
              <v:fill type="solid"/>
            </v:shape>
            <v:line style="position:absolute" from="1500,4028" to="6750,4028" stroked="true" strokeweight=".25pt" strokecolor="#231f20">
              <v:stroke dashstyle="shortdot"/>
            </v:line>
            <v:shape style="position:absolute;left:1250;top:155;width:5750;height:4545" type="#_x0000_t202" id="docshape711" filled="false" stroked="false">
              <v:textbox inset="0,0,0,0">
                <w:txbxContent>
                  <w:p>
                    <w:pPr>
                      <w:spacing w:line="240" w:lineRule="auto" w:before="9"/>
                      <w:rPr>
                        <w:sz w:val="18"/>
                      </w:rPr>
                    </w:pPr>
                  </w:p>
                  <w:p>
                    <w:pPr>
                      <w:spacing w:before="0"/>
                      <w:ind w:left="250" w:right="0" w:firstLine="0"/>
                      <w:jc w:val="left"/>
                      <w:rPr>
                        <w:rFonts w:ascii="Arial" w:hAnsi="Arial"/>
                        <w:b/>
                        <w:sz w:val="17"/>
                      </w:rPr>
                    </w:pPr>
                    <w:r>
                      <w:rPr>
                        <w:rFonts w:ascii="Arial" w:hAnsi="Arial"/>
                        <w:color w:val="231F20"/>
                        <w:sz w:val="17"/>
                      </w:rPr>
                      <w:t>Faits</w:t>
                    </w:r>
                    <w:r>
                      <w:rPr>
                        <w:rFonts w:ascii="Arial" w:hAnsi="Arial"/>
                        <w:color w:val="231F20"/>
                        <w:spacing w:val="4"/>
                        <w:sz w:val="17"/>
                      </w:rPr>
                      <w:t> </w:t>
                    </w:r>
                    <w:r>
                      <w:rPr>
                        <w:rFonts w:ascii="Arial" w:hAnsi="Arial"/>
                        <w:color w:val="231F20"/>
                        <w:sz w:val="17"/>
                      </w:rPr>
                      <w:t>intéressants</w:t>
                    </w:r>
                    <w:r>
                      <w:rPr>
                        <w:rFonts w:ascii="Arial" w:hAnsi="Arial"/>
                        <w:color w:val="231F20"/>
                        <w:spacing w:val="-9"/>
                        <w:sz w:val="17"/>
                      </w:rPr>
                      <w:t> </w:t>
                    </w:r>
                    <w:r>
                      <w:rPr>
                        <w:rFonts w:ascii="Arial" w:hAnsi="Arial"/>
                        <w:i/>
                        <w:color w:val="231F20"/>
                        <w:sz w:val="17"/>
                      </w:rPr>
                      <w:t>/</w:t>
                    </w:r>
                    <w:r>
                      <w:rPr>
                        <w:rFonts w:ascii="Arial" w:hAnsi="Arial"/>
                        <w:i/>
                        <w:color w:val="231F20"/>
                        <w:spacing w:val="56"/>
                        <w:sz w:val="17"/>
                      </w:rPr>
                      <w:t> </w:t>
                    </w:r>
                    <w:r>
                      <w:rPr>
                        <w:rFonts w:ascii="Arial" w:hAnsi="Arial"/>
                        <w:b/>
                        <w:color w:val="231F20"/>
                        <w:sz w:val="17"/>
                      </w:rPr>
                      <w:t>Les</w:t>
                    </w:r>
                    <w:r>
                      <w:rPr>
                        <w:rFonts w:ascii="Arial" w:hAnsi="Arial"/>
                        <w:b/>
                        <w:color w:val="231F20"/>
                        <w:spacing w:val="-2"/>
                        <w:sz w:val="17"/>
                      </w:rPr>
                      <w:t> </w:t>
                    </w:r>
                    <w:r>
                      <w:rPr>
                        <w:rFonts w:ascii="Arial" w:hAnsi="Arial"/>
                        <w:b/>
                        <w:color w:val="231F20"/>
                        <w:sz w:val="17"/>
                      </w:rPr>
                      <w:t>emplois</w:t>
                    </w:r>
                    <w:r>
                      <w:rPr>
                        <w:rFonts w:ascii="Arial" w:hAnsi="Arial"/>
                        <w:b/>
                        <w:color w:val="231F20"/>
                        <w:spacing w:val="-2"/>
                        <w:sz w:val="17"/>
                      </w:rPr>
                      <w:t> </w:t>
                    </w:r>
                    <w:r>
                      <w:rPr>
                        <w:rFonts w:ascii="Arial" w:hAnsi="Arial"/>
                        <w:b/>
                        <w:color w:val="231F20"/>
                        <w:sz w:val="17"/>
                      </w:rPr>
                      <w:t>les</w:t>
                    </w:r>
                    <w:r>
                      <w:rPr>
                        <w:rFonts w:ascii="Arial" w:hAnsi="Arial"/>
                        <w:b/>
                        <w:color w:val="231F20"/>
                        <w:spacing w:val="-1"/>
                        <w:sz w:val="17"/>
                      </w:rPr>
                      <w:t> </w:t>
                    </w:r>
                    <w:r>
                      <w:rPr>
                        <w:rFonts w:ascii="Arial" w:hAnsi="Arial"/>
                        <w:b/>
                        <w:color w:val="231F20"/>
                        <w:sz w:val="17"/>
                      </w:rPr>
                      <w:t>plus</w:t>
                    </w:r>
                    <w:r>
                      <w:rPr>
                        <w:rFonts w:ascii="Arial" w:hAnsi="Arial"/>
                        <w:b/>
                        <w:color w:val="231F20"/>
                        <w:spacing w:val="-2"/>
                        <w:sz w:val="17"/>
                      </w:rPr>
                      <w:t> stressants</w:t>
                    </w:r>
                  </w:p>
                  <w:p>
                    <w:pPr>
                      <w:spacing w:line="240" w:lineRule="auto" w:before="6"/>
                      <w:rPr>
                        <w:rFonts w:ascii="Arial"/>
                        <w:b/>
                        <w:sz w:val="26"/>
                      </w:rPr>
                    </w:pPr>
                  </w:p>
                  <w:p>
                    <w:pPr>
                      <w:spacing w:line="307" w:lineRule="auto" w:before="0"/>
                      <w:ind w:left="250" w:right="244" w:firstLine="0"/>
                      <w:jc w:val="left"/>
                      <w:rPr>
                        <w:rFonts w:ascii="Arial" w:hAnsi="Arial"/>
                        <w:sz w:val="17"/>
                      </w:rPr>
                    </w:pPr>
                    <w:r>
                      <w:rPr>
                        <w:rFonts w:ascii="Arial" w:hAnsi="Arial"/>
                        <w:color w:val="231F20"/>
                        <w:spacing w:val="-2"/>
                        <w:sz w:val="17"/>
                      </w:rPr>
                      <w:t>Le</w:t>
                    </w:r>
                    <w:r>
                      <w:rPr>
                        <w:rFonts w:ascii="Arial" w:hAnsi="Arial"/>
                        <w:color w:val="231F20"/>
                        <w:spacing w:val="-6"/>
                        <w:sz w:val="17"/>
                      </w:rPr>
                      <w:t> </w:t>
                    </w:r>
                    <w:r>
                      <w:rPr>
                        <w:rFonts w:ascii="Arial" w:hAnsi="Arial"/>
                        <w:color w:val="231F20"/>
                        <w:spacing w:val="-2"/>
                        <w:sz w:val="17"/>
                      </w:rPr>
                      <w:t>site</w:t>
                    </w:r>
                    <w:r>
                      <w:rPr>
                        <w:rFonts w:ascii="Arial" w:hAnsi="Arial"/>
                        <w:color w:val="231F20"/>
                        <w:spacing w:val="-6"/>
                        <w:sz w:val="17"/>
                      </w:rPr>
                      <w:t> </w:t>
                    </w:r>
                    <w:r>
                      <w:rPr>
                        <w:rFonts w:ascii="Arial" w:hAnsi="Arial"/>
                        <w:color w:val="231F20"/>
                        <w:spacing w:val="-2"/>
                        <w:sz w:val="17"/>
                      </w:rPr>
                      <w:t>CareerCast</w:t>
                    </w:r>
                    <w:r>
                      <w:rPr>
                        <w:rFonts w:ascii="Arial" w:hAnsi="Arial"/>
                        <w:color w:val="231F20"/>
                        <w:spacing w:val="-6"/>
                        <w:sz w:val="17"/>
                      </w:rPr>
                      <w:t> </w:t>
                    </w:r>
                    <w:r>
                      <w:rPr>
                        <w:rFonts w:ascii="Arial" w:hAnsi="Arial"/>
                        <w:color w:val="231F20"/>
                        <w:spacing w:val="-2"/>
                        <w:sz w:val="17"/>
                      </w:rPr>
                      <w:t>a</w:t>
                    </w:r>
                    <w:r>
                      <w:rPr>
                        <w:rFonts w:ascii="Arial" w:hAnsi="Arial"/>
                        <w:color w:val="231F20"/>
                        <w:spacing w:val="-6"/>
                        <w:sz w:val="17"/>
                      </w:rPr>
                      <w:t> </w:t>
                    </w:r>
                    <w:r>
                      <w:rPr>
                        <w:rFonts w:ascii="Arial" w:hAnsi="Arial"/>
                        <w:color w:val="231F20"/>
                        <w:spacing w:val="-2"/>
                        <w:sz w:val="17"/>
                      </w:rPr>
                      <w:t>fait</w:t>
                    </w:r>
                    <w:r>
                      <w:rPr>
                        <w:rFonts w:ascii="Arial" w:hAnsi="Arial"/>
                        <w:color w:val="231F20"/>
                        <w:spacing w:val="-6"/>
                        <w:sz w:val="17"/>
                      </w:rPr>
                      <w:t> </w:t>
                    </w:r>
                    <w:r>
                      <w:rPr>
                        <w:rFonts w:ascii="Arial" w:hAnsi="Arial"/>
                        <w:color w:val="231F20"/>
                        <w:spacing w:val="-2"/>
                        <w:sz w:val="17"/>
                      </w:rPr>
                      <w:t>l’évaluation</w:t>
                    </w:r>
                    <w:r>
                      <w:rPr>
                        <w:rFonts w:ascii="Arial" w:hAnsi="Arial"/>
                        <w:color w:val="231F20"/>
                        <w:spacing w:val="-6"/>
                        <w:sz w:val="17"/>
                      </w:rPr>
                      <w:t> </w:t>
                    </w:r>
                    <w:r>
                      <w:rPr>
                        <w:rFonts w:ascii="Arial" w:hAnsi="Arial"/>
                        <w:color w:val="231F20"/>
                        <w:spacing w:val="-2"/>
                        <w:sz w:val="17"/>
                      </w:rPr>
                      <w:t>selon</w:t>
                    </w:r>
                    <w:r>
                      <w:rPr>
                        <w:rFonts w:ascii="Arial" w:hAnsi="Arial"/>
                        <w:color w:val="231F20"/>
                        <w:spacing w:val="-6"/>
                        <w:sz w:val="17"/>
                      </w:rPr>
                      <w:t> </w:t>
                    </w:r>
                    <w:r>
                      <w:rPr>
                        <w:rFonts w:ascii="Arial" w:hAnsi="Arial"/>
                        <w:color w:val="231F20"/>
                        <w:spacing w:val="-2"/>
                        <w:sz w:val="17"/>
                      </w:rPr>
                      <w:t>11</w:t>
                    </w:r>
                    <w:r>
                      <w:rPr>
                        <w:rFonts w:ascii="Arial" w:hAnsi="Arial"/>
                        <w:color w:val="231F20"/>
                        <w:spacing w:val="-6"/>
                        <w:sz w:val="17"/>
                      </w:rPr>
                      <w:t> </w:t>
                    </w:r>
                    <w:r>
                      <w:rPr>
                        <w:rFonts w:ascii="Arial" w:hAnsi="Arial"/>
                        <w:color w:val="231F20"/>
                        <w:spacing w:val="-2"/>
                        <w:sz w:val="17"/>
                      </w:rPr>
                      <w:t>critères</w:t>
                    </w:r>
                    <w:r>
                      <w:rPr>
                        <w:rFonts w:ascii="Arial" w:hAnsi="Arial"/>
                        <w:color w:val="231F20"/>
                        <w:spacing w:val="-6"/>
                        <w:sz w:val="17"/>
                      </w:rPr>
                      <w:t> </w:t>
                    </w:r>
                    <w:r>
                      <w:rPr>
                        <w:rFonts w:ascii="Arial" w:hAnsi="Arial"/>
                        <w:color w:val="231F20"/>
                        <w:spacing w:val="-2"/>
                        <w:sz w:val="17"/>
                      </w:rPr>
                      <w:t>des</w:t>
                    </w:r>
                    <w:r>
                      <w:rPr>
                        <w:rFonts w:ascii="Arial" w:hAnsi="Arial"/>
                        <w:color w:val="231F20"/>
                        <w:spacing w:val="-6"/>
                        <w:sz w:val="17"/>
                      </w:rPr>
                      <w:t> </w:t>
                    </w:r>
                    <w:r>
                      <w:rPr>
                        <w:rFonts w:ascii="Arial" w:hAnsi="Arial"/>
                        <w:color w:val="231F20"/>
                        <w:spacing w:val="-2"/>
                        <w:sz w:val="17"/>
                      </w:rPr>
                      <w:t>emplois</w:t>
                    </w:r>
                    <w:r>
                      <w:rPr>
                        <w:rFonts w:ascii="Arial" w:hAnsi="Arial"/>
                        <w:color w:val="231F20"/>
                        <w:spacing w:val="-6"/>
                        <w:sz w:val="17"/>
                      </w:rPr>
                      <w:t> </w:t>
                    </w:r>
                    <w:r>
                      <w:rPr>
                        <w:rFonts w:ascii="Arial" w:hAnsi="Arial"/>
                        <w:color w:val="231F20"/>
                        <w:spacing w:val="-2"/>
                        <w:sz w:val="17"/>
                      </w:rPr>
                      <w:t>étant </w:t>
                    </w:r>
                    <w:r>
                      <w:rPr>
                        <w:rFonts w:ascii="Arial" w:hAnsi="Arial"/>
                        <w:color w:val="231F20"/>
                        <w:sz w:val="17"/>
                      </w:rPr>
                      <w:t>les plus stressants en 2019. Voici le palmarès</w:t>
                    </w:r>
                    <w:r>
                      <w:rPr>
                        <w:rFonts w:ascii="Arial" w:hAnsi="Arial"/>
                        <w:color w:val="231F20"/>
                        <w:spacing w:val="-25"/>
                        <w:sz w:val="17"/>
                      </w:rPr>
                      <w:t> </w:t>
                    </w:r>
                    <w:r>
                      <w:rPr>
                        <w:rFonts w:ascii="Arial" w:hAnsi="Arial"/>
                        <w:color w:val="231F20"/>
                        <w:sz w:val="17"/>
                      </w:rPr>
                      <w:t>:</w:t>
                    </w:r>
                  </w:p>
                  <w:p>
                    <w:pPr>
                      <w:numPr>
                        <w:ilvl w:val="0"/>
                        <w:numId w:val="45"/>
                      </w:numPr>
                      <w:tabs>
                        <w:tab w:pos="751" w:val="left" w:leader="none"/>
                      </w:tabs>
                      <w:spacing w:before="79"/>
                      <w:ind w:left="750" w:right="0" w:hanging="251"/>
                      <w:jc w:val="left"/>
                      <w:rPr>
                        <w:rFonts w:ascii="Arial"/>
                        <w:sz w:val="17"/>
                      </w:rPr>
                    </w:pPr>
                    <w:r>
                      <w:rPr>
                        <w:rFonts w:ascii="Arial"/>
                        <w:color w:val="231F20"/>
                        <w:spacing w:val="-2"/>
                        <w:w w:val="105"/>
                        <w:sz w:val="17"/>
                      </w:rPr>
                      <w:t>Militaire</w:t>
                    </w:r>
                  </w:p>
                  <w:p>
                    <w:pPr>
                      <w:numPr>
                        <w:ilvl w:val="0"/>
                        <w:numId w:val="45"/>
                      </w:numPr>
                      <w:tabs>
                        <w:tab w:pos="751" w:val="left" w:leader="none"/>
                      </w:tabs>
                      <w:spacing w:before="55"/>
                      <w:ind w:left="750" w:right="0" w:hanging="251"/>
                      <w:jc w:val="left"/>
                      <w:rPr>
                        <w:rFonts w:ascii="Arial"/>
                        <w:sz w:val="17"/>
                      </w:rPr>
                    </w:pPr>
                    <w:r>
                      <w:rPr>
                        <w:rFonts w:ascii="Arial"/>
                        <w:color w:val="231F20"/>
                        <w:spacing w:val="-2"/>
                        <w:sz w:val="17"/>
                      </w:rPr>
                      <w:t>Pompier</w:t>
                    </w:r>
                  </w:p>
                  <w:p>
                    <w:pPr>
                      <w:numPr>
                        <w:ilvl w:val="0"/>
                        <w:numId w:val="45"/>
                      </w:numPr>
                      <w:tabs>
                        <w:tab w:pos="751" w:val="left" w:leader="none"/>
                      </w:tabs>
                      <w:spacing w:before="54"/>
                      <w:ind w:left="750" w:right="0" w:hanging="251"/>
                      <w:jc w:val="left"/>
                      <w:rPr>
                        <w:rFonts w:ascii="Arial" w:hAnsi="Arial"/>
                        <w:sz w:val="17"/>
                      </w:rPr>
                    </w:pPr>
                    <w:r>
                      <w:rPr>
                        <w:rFonts w:ascii="Arial" w:hAnsi="Arial"/>
                        <w:color w:val="231F20"/>
                        <w:w w:val="105"/>
                        <w:sz w:val="17"/>
                      </w:rPr>
                      <w:t>Pilote</w:t>
                    </w:r>
                    <w:r>
                      <w:rPr>
                        <w:rFonts w:ascii="Arial" w:hAnsi="Arial"/>
                        <w:color w:val="231F20"/>
                        <w:spacing w:val="-11"/>
                        <w:w w:val="105"/>
                        <w:sz w:val="17"/>
                      </w:rPr>
                      <w:t> </w:t>
                    </w:r>
                    <w:r>
                      <w:rPr>
                        <w:rFonts w:ascii="Arial" w:hAnsi="Arial"/>
                        <w:color w:val="231F20"/>
                        <w:spacing w:val="-2"/>
                        <w:w w:val="105"/>
                        <w:sz w:val="17"/>
                      </w:rPr>
                      <w:t>d’avion</w:t>
                    </w:r>
                  </w:p>
                  <w:p>
                    <w:pPr>
                      <w:numPr>
                        <w:ilvl w:val="0"/>
                        <w:numId w:val="45"/>
                      </w:numPr>
                      <w:tabs>
                        <w:tab w:pos="751" w:val="left" w:leader="none"/>
                      </w:tabs>
                      <w:spacing w:before="55"/>
                      <w:ind w:left="750" w:right="0" w:hanging="251"/>
                      <w:jc w:val="left"/>
                      <w:rPr>
                        <w:rFonts w:ascii="Arial"/>
                        <w:sz w:val="17"/>
                      </w:rPr>
                    </w:pPr>
                    <w:r>
                      <w:rPr>
                        <w:rFonts w:ascii="Arial"/>
                        <w:color w:val="231F20"/>
                        <w:spacing w:val="-2"/>
                        <w:sz w:val="17"/>
                      </w:rPr>
                      <w:t>Policier</w:t>
                    </w:r>
                  </w:p>
                  <w:p>
                    <w:pPr>
                      <w:numPr>
                        <w:ilvl w:val="0"/>
                        <w:numId w:val="45"/>
                      </w:numPr>
                      <w:tabs>
                        <w:tab w:pos="751" w:val="left" w:leader="none"/>
                      </w:tabs>
                      <w:spacing w:before="55"/>
                      <w:ind w:left="750" w:right="0" w:hanging="251"/>
                      <w:jc w:val="left"/>
                      <w:rPr>
                        <w:rFonts w:ascii="Arial" w:hAnsi="Arial"/>
                        <w:sz w:val="17"/>
                      </w:rPr>
                    </w:pPr>
                    <w:r>
                      <w:rPr>
                        <w:rFonts w:ascii="Arial" w:hAnsi="Arial"/>
                        <w:color w:val="231F20"/>
                        <w:sz w:val="17"/>
                      </w:rPr>
                      <w:t>Personnalité</w:t>
                    </w:r>
                    <w:r>
                      <w:rPr>
                        <w:rFonts w:ascii="Arial" w:hAnsi="Arial"/>
                        <w:color w:val="231F20"/>
                        <w:spacing w:val="11"/>
                        <w:sz w:val="17"/>
                      </w:rPr>
                      <w:t> </w:t>
                    </w:r>
                    <w:r>
                      <w:rPr>
                        <w:rFonts w:ascii="Arial" w:hAnsi="Arial"/>
                        <w:color w:val="231F20"/>
                        <w:sz w:val="17"/>
                      </w:rPr>
                      <w:t>publique</w:t>
                    </w:r>
                    <w:r>
                      <w:rPr>
                        <w:rFonts w:ascii="Arial" w:hAnsi="Arial"/>
                        <w:color w:val="231F20"/>
                        <w:spacing w:val="11"/>
                        <w:sz w:val="17"/>
                      </w:rPr>
                      <w:t> </w:t>
                    </w:r>
                    <w:r>
                      <w:rPr>
                        <w:rFonts w:ascii="Arial" w:hAnsi="Arial"/>
                        <w:color w:val="231F20"/>
                        <w:sz w:val="17"/>
                      </w:rPr>
                      <w:t>(télé,</w:t>
                    </w:r>
                    <w:r>
                      <w:rPr>
                        <w:rFonts w:ascii="Arial" w:hAnsi="Arial"/>
                        <w:color w:val="231F20"/>
                        <w:spacing w:val="12"/>
                        <w:sz w:val="17"/>
                      </w:rPr>
                      <w:t> </w:t>
                    </w:r>
                    <w:r>
                      <w:rPr>
                        <w:rFonts w:ascii="Arial" w:hAnsi="Arial"/>
                        <w:color w:val="231F20"/>
                        <w:spacing w:val="-2"/>
                        <w:sz w:val="17"/>
                      </w:rPr>
                      <w:t>radio…)</w:t>
                    </w:r>
                  </w:p>
                  <w:p>
                    <w:pPr>
                      <w:numPr>
                        <w:ilvl w:val="0"/>
                        <w:numId w:val="45"/>
                      </w:numPr>
                      <w:tabs>
                        <w:tab w:pos="751" w:val="left" w:leader="none"/>
                      </w:tabs>
                      <w:spacing w:before="54"/>
                      <w:ind w:left="750" w:right="0" w:hanging="251"/>
                      <w:jc w:val="left"/>
                      <w:rPr>
                        <w:rFonts w:ascii="Arial" w:hAnsi="Arial"/>
                        <w:sz w:val="17"/>
                      </w:rPr>
                    </w:pPr>
                    <w:r>
                      <w:rPr>
                        <w:rFonts w:ascii="Arial" w:hAnsi="Arial"/>
                        <w:color w:val="231F20"/>
                        <w:sz w:val="17"/>
                      </w:rPr>
                      <w:t>Coordonnateur</w:t>
                    </w:r>
                    <w:r>
                      <w:rPr>
                        <w:rFonts w:ascii="Arial" w:hAnsi="Arial"/>
                        <w:color w:val="231F20"/>
                        <w:spacing w:val="-5"/>
                        <w:sz w:val="17"/>
                      </w:rPr>
                      <w:t> </w:t>
                    </w:r>
                    <w:r>
                      <w:rPr>
                        <w:rFonts w:ascii="Arial" w:hAnsi="Arial"/>
                        <w:color w:val="231F20"/>
                        <w:spacing w:val="-2"/>
                        <w:sz w:val="17"/>
                      </w:rPr>
                      <w:t>d’événements</w:t>
                    </w:r>
                  </w:p>
                  <w:p>
                    <w:pPr>
                      <w:numPr>
                        <w:ilvl w:val="0"/>
                        <w:numId w:val="45"/>
                      </w:numPr>
                      <w:tabs>
                        <w:tab w:pos="751" w:val="left" w:leader="none"/>
                      </w:tabs>
                      <w:spacing w:before="55"/>
                      <w:ind w:left="750" w:right="0" w:hanging="251"/>
                      <w:jc w:val="left"/>
                      <w:rPr>
                        <w:rFonts w:ascii="Arial"/>
                        <w:sz w:val="17"/>
                      </w:rPr>
                    </w:pPr>
                    <w:r>
                      <w:rPr>
                        <w:rFonts w:ascii="Arial"/>
                        <w:color w:val="231F20"/>
                        <w:spacing w:val="-2"/>
                        <w:w w:val="105"/>
                        <w:sz w:val="17"/>
                      </w:rPr>
                      <w:t>Journaliste</w:t>
                    </w:r>
                  </w:p>
                  <w:p>
                    <w:pPr>
                      <w:numPr>
                        <w:ilvl w:val="0"/>
                        <w:numId w:val="45"/>
                      </w:numPr>
                      <w:tabs>
                        <w:tab w:pos="751" w:val="left" w:leader="none"/>
                      </w:tabs>
                      <w:spacing w:before="54"/>
                      <w:ind w:left="750" w:right="0" w:hanging="251"/>
                      <w:jc w:val="left"/>
                      <w:rPr>
                        <w:rFonts w:ascii="Arial"/>
                        <w:sz w:val="17"/>
                      </w:rPr>
                    </w:pPr>
                    <w:r>
                      <w:rPr>
                        <w:rFonts w:ascii="Arial"/>
                        <w:color w:val="231F20"/>
                        <w:w w:val="95"/>
                        <w:sz w:val="17"/>
                      </w:rPr>
                      <w:t>Responsable</w:t>
                    </w:r>
                    <w:r>
                      <w:rPr>
                        <w:rFonts w:ascii="Arial"/>
                        <w:color w:val="231F20"/>
                        <w:spacing w:val="16"/>
                        <w:sz w:val="17"/>
                      </w:rPr>
                      <w:t> </w:t>
                    </w:r>
                    <w:r>
                      <w:rPr>
                        <w:rFonts w:ascii="Arial"/>
                        <w:color w:val="231F20"/>
                        <w:w w:val="95"/>
                        <w:sz w:val="17"/>
                      </w:rPr>
                      <w:t>des</w:t>
                    </w:r>
                    <w:r>
                      <w:rPr>
                        <w:rFonts w:ascii="Arial"/>
                        <w:color w:val="231F20"/>
                        <w:spacing w:val="17"/>
                        <w:sz w:val="17"/>
                      </w:rPr>
                      <w:t> </w:t>
                    </w:r>
                    <w:r>
                      <w:rPr>
                        <w:rFonts w:ascii="Arial"/>
                        <w:color w:val="231F20"/>
                        <w:w w:val="95"/>
                        <w:sz w:val="17"/>
                      </w:rPr>
                      <w:t>relations</w:t>
                    </w:r>
                    <w:r>
                      <w:rPr>
                        <w:rFonts w:ascii="Arial"/>
                        <w:color w:val="231F20"/>
                        <w:spacing w:val="16"/>
                        <w:sz w:val="17"/>
                      </w:rPr>
                      <w:t> </w:t>
                    </w:r>
                    <w:r>
                      <w:rPr>
                        <w:rFonts w:ascii="Arial"/>
                        <w:color w:val="231F20"/>
                        <w:spacing w:val="-2"/>
                        <w:w w:val="95"/>
                        <w:sz w:val="17"/>
                      </w:rPr>
                      <w:t>publiques</w:t>
                    </w:r>
                  </w:p>
                  <w:p>
                    <w:pPr>
                      <w:numPr>
                        <w:ilvl w:val="0"/>
                        <w:numId w:val="45"/>
                      </w:numPr>
                      <w:tabs>
                        <w:tab w:pos="751" w:val="left" w:leader="none"/>
                      </w:tabs>
                      <w:spacing w:before="55"/>
                      <w:ind w:left="750" w:right="0" w:hanging="251"/>
                      <w:jc w:val="left"/>
                      <w:rPr>
                        <w:rFonts w:ascii="Arial" w:hAnsi="Arial"/>
                        <w:sz w:val="17"/>
                      </w:rPr>
                    </w:pPr>
                    <w:r>
                      <w:rPr>
                        <w:rFonts w:ascii="Arial" w:hAnsi="Arial"/>
                        <w:color w:val="231F20"/>
                        <w:w w:val="95"/>
                        <w:sz w:val="17"/>
                      </w:rPr>
                      <w:t>Cadre</w:t>
                    </w:r>
                    <w:r>
                      <w:rPr>
                        <w:rFonts w:ascii="Arial" w:hAnsi="Arial"/>
                        <w:color w:val="231F20"/>
                        <w:spacing w:val="-8"/>
                        <w:w w:val="95"/>
                        <w:sz w:val="17"/>
                      </w:rPr>
                      <w:t> </w:t>
                    </w:r>
                    <w:r>
                      <w:rPr>
                        <w:rFonts w:ascii="Arial" w:hAnsi="Arial"/>
                        <w:color w:val="231F20"/>
                        <w:spacing w:val="-2"/>
                        <w:sz w:val="17"/>
                      </w:rPr>
                      <w:t>supérieur</w:t>
                    </w:r>
                  </w:p>
                  <w:p>
                    <w:pPr>
                      <w:numPr>
                        <w:ilvl w:val="0"/>
                        <w:numId w:val="45"/>
                      </w:numPr>
                      <w:tabs>
                        <w:tab w:pos="751" w:val="left" w:leader="none"/>
                      </w:tabs>
                      <w:spacing w:before="55"/>
                      <w:ind w:left="750" w:right="0" w:hanging="251"/>
                      <w:jc w:val="left"/>
                      <w:rPr>
                        <w:rFonts w:ascii="Arial"/>
                        <w:sz w:val="17"/>
                      </w:rPr>
                    </w:pPr>
                    <w:r>
                      <w:rPr>
                        <w:rFonts w:ascii="Arial"/>
                        <w:color w:val="231F20"/>
                        <w:sz w:val="17"/>
                      </w:rPr>
                      <w:t>Chauffeur</w:t>
                    </w:r>
                    <w:r>
                      <w:rPr>
                        <w:rFonts w:ascii="Arial"/>
                        <w:color w:val="231F20"/>
                        <w:spacing w:val="-10"/>
                        <w:sz w:val="17"/>
                      </w:rPr>
                      <w:t> </w:t>
                    </w:r>
                    <w:r>
                      <w:rPr>
                        <w:rFonts w:ascii="Arial"/>
                        <w:color w:val="231F20"/>
                        <w:sz w:val="17"/>
                      </w:rPr>
                      <w:t>de</w:t>
                    </w:r>
                    <w:r>
                      <w:rPr>
                        <w:rFonts w:ascii="Arial"/>
                        <w:color w:val="231F20"/>
                        <w:spacing w:val="-10"/>
                        <w:sz w:val="17"/>
                      </w:rPr>
                      <w:t> </w:t>
                    </w:r>
                    <w:r>
                      <w:rPr>
                        <w:rFonts w:ascii="Arial"/>
                        <w:color w:val="231F20"/>
                        <w:spacing w:val="-4"/>
                        <w:sz w:val="17"/>
                      </w:rPr>
                      <w:t>taxi</w:t>
                    </w:r>
                  </w:p>
                  <w:p>
                    <w:pPr>
                      <w:spacing w:line="240" w:lineRule="auto" w:before="5"/>
                      <w:rPr>
                        <w:rFonts w:ascii="Arial"/>
                        <w:sz w:val="23"/>
                      </w:rPr>
                    </w:pPr>
                  </w:p>
                  <w:p>
                    <w:pPr>
                      <w:spacing w:line="295" w:lineRule="auto" w:before="0"/>
                      <w:ind w:left="250" w:right="300" w:firstLine="0"/>
                      <w:jc w:val="left"/>
                      <w:rPr>
                        <w:rFonts w:ascii="Arial" w:hAnsi="Arial"/>
                        <w:sz w:val="12"/>
                      </w:rPr>
                    </w:pPr>
                    <w:r>
                      <w:rPr>
                        <w:rFonts w:ascii="Arial" w:hAnsi="Arial"/>
                        <w:color w:val="231F20"/>
                        <w:w w:val="105"/>
                        <w:sz w:val="12"/>
                      </w:rPr>
                      <w:t>Source</w:t>
                    </w:r>
                    <w:r>
                      <w:rPr>
                        <w:rFonts w:ascii="Arial" w:hAnsi="Arial"/>
                        <w:color w:val="231F20"/>
                        <w:spacing w:val="1"/>
                        <w:w w:val="105"/>
                        <w:sz w:val="12"/>
                      </w:rPr>
                      <w:t> </w:t>
                    </w:r>
                    <w:r>
                      <w:rPr>
                        <w:rFonts w:ascii="Arial" w:hAnsi="Arial"/>
                        <w:color w:val="231F20"/>
                        <w:w w:val="105"/>
                        <w:sz w:val="12"/>
                      </w:rPr>
                      <w:t>:</w:t>
                    </w:r>
                    <w:r>
                      <w:rPr>
                        <w:rFonts w:ascii="Arial" w:hAnsi="Arial"/>
                        <w:color w:val="231F20"/>
                        <w:spacing w:val="59"/>
                        <w:w w:val="105"/>
                        <w:sz w:val="12"/>
                      </w:rPr>
                      <w:t> </w:t>
                    </w:r>
                    <w:r>
                      <w:rPr>
                        <w:rFonts w:ascii="Arial" w:hAnsi="Arial"/>
                        <w:color w:val="231F20"/>
                        <w:w w:val="105"/>
                        <w:sz w:val="12"/>
                      </w:rPr>
                      <w:t>&lt;https://</w:t>
                    </w:r>
                    <w:hyperlink r:id="rId197">
                      <w:r>
                        <w:rPr>
                          <w:rFonts w:ascii="Arial" w:hAnsi="Arial"/>
                          <w:color w:val="231F20"/>
                          <w:w w:val="105"/>
                          <w:sz w:val="12"/>
                        </w:rPr>
                        <w:t>www.careercast.com/jobs-rated/most-stressful-jobs-2019&gt;,</w:t>
                      </w:r>
                    </w:hyperlink>
                    <w:r>
                      <w:rPr>
                        <w:rFonts w:ascii="Arial" w:hAnsi="Arial"/>
                        <w:color w:val="231F20"/>
                        <w:spacing w:val="59"/>
                        <w:w w:val="105"/>
                        <w:sz w:val="12"/>
                      </w:rPr>
                      <w:t> </w:t>
                    </w:r>
                    <w:r>
                      <w:rPr>
                        <w:rFonts w:ascii="Arial" w:hAnsi="Arial"/>
                        <w:color w:val="231F20"/>
                        <w:w w:val="105"/>
                        <w:sz w:val="12"/>
                      </w:rPr>
                      <w:t>consulté</w:t>
                    </w:r>
                    <w:r>
                      <w:rPr>
                        <w:rFonts w:ascii="Arial" w:hAnsi="Arial"/>
                        <w:color w:val="231F20"/>
                        <w:spacing w:val="59"/>
                        <w:w w:val="105"/>
                        <w:sz w:val="12"/>
                      </w:rPr>
                      <w:t> </w:t>
                    </w:r>
                    <w:r>
                      <w:rPr>
                        <w:rFonts w:ascii="Arial" w:hAnsi="Arial"/>
                        <w:color w:val="231F20"/>
                        <w:w w:val="105"/>
                        <w:sz w:val="12"/>
                      </w:rPr>
                      <w:t>le</w:t>
                    </w:r>
                    <w:r>
                      <w:rPr>
                        <w:rFonts w:ascii="Arial" w:hAnsi="Arial"/>
                        <w:color w:val="231F20"/>
                        <w:spacing w:val="80"/>
                        <w:w w:val="105"/>
                        <w:sz w:val="12"/>
                      </w:rPr>
                      <w:t> </w:t>
                    </w:r>
                    <w:r>
                      <w:rPr>
                        <w:rFonts w:ascii="Arial" w:hAnsi="Arial"/>
                        <w:color w:val="231F20"/>
                        <w:w w:val="105"/>
                        <w:sz w:val="12"/>
                      </w:rPr>
                      <w:t>22 octobre 2021.</w:t>
                    </w:r>
                  </w:p>
                </w:txbxContent>
              </v:textbox>
              <w10:wrap type="none"/>
            </v:shape>
            <w10:wrap type="topAndBottom"/>
          </v:group>
        </w:pict>
      </w:r>
    </w:p>
    <w:p>
      <w:pPr>
        <w:pStyle w:val="BodyText"/>
        <w:rPr>
          <w:sz w:val="20"/>
        </w:rPr>
      </w:pPr>
    </w:p>
    <w:p>
      <w:pPr>
        <w:pStyle w:val="BodyText"/>
        <w:spacing w:before="5"/>
        <w:rPr>
          <w:sz w:val="24"/>
        </w:rPr>
      </w:pPr>
      <w:r>
        <w:rPr/>
        <w:pict>
          <v:shape style="position:absolute;margin-left:62.5pt;margin-top:15.250977pt;width:287.5pt;height:.1pt;mso-position-horizontal-relative:page;mso-position-vertical-relative:paragraph;z-index:-15674368;mso-wrap-distance-left:0;mso-wrap-distance-right:0" id="docshape712" coordorigin="1250,305" coordsize="5750,0" path="m1250,305l7000,305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4" w:hanging="328"/>
        <w:jc w:val="both"/>
        <w:rPr>
          <w:rFonts w:ascii="Arial"/>
          <w:sz w:val="12"/>
        </w:rPr>
      </w:pPr>
      <w:r>
        <w:rPr>
          <w:rFonts w:ascii="Arial"/>
          <w:color w:val="231F20"/>
          <w:sz w:val="12"/>
        </w:rPr>
        <w:t>Friedman,</w:t>
      </w:r>
      <w:r>
        <w:rPr>
          <w:rFonts w:ascii="Arial"/>
          <w:color w:val="231F20"/>
          <w:spacing w:val="-2"/>
          <w:sz w:val="12"/>
        </w:rPr>
        <w:t> </w:t>
      </w:r>
      <w:r>
        <w:rPr>
          <w:rFonts w:ascii="Arial"/>
          <w:color w:val="231F20"/>
          <w:sz w:val="12"/>
        </w:rPr>
        <w:t>M. et Rosenman, R. H. (1974). </w:t>
      </w:r>
      <w:r>
        <w:rPr>
          <w:rFonts w:ascii="Arial"/>
          <w:i/>
          <w:color w:val="231F20"/>
          <w:sz w:val="12"/>
        </w:rPr>
        <w:t>Type A Behavior and Your Heart</w:t>
      </w:r>
      <w:r>
        <w:rPr>
          <w:rFonts w:ascii="Arial"/>
          <w:color w:val="231F20"/>
          <w:sz w:val="12"/>
        </w:rPr>
        <w:t>, New York, Knopf. Voir aussi</w:t>
      </w:r>
      <w:r>
        <w:rPr>
          <w:rFonts w:ascii="Arial"/>
          <w:color w:val="231F20"/>
          <w:spacing w:val="-9"/>
          <w:sz w:val="12"/>
        </w:rPr>
        <w:t> </w:t>
      </w:r>
      <w:r>
        <w:rPr>
          <w:rFonts w:ascii="Arial"/>
          <w:color w:val="231F20"/>
          <w:sz w:val="12"/>
        </w:rPr>
        <w:t>:</w:t>
      </w:r>
      <w:r>
        <w:rPr>
          <w:rFonts w:ascii="Arial"/>
          <w:color w:val="231F20"/>
          <w:spacing w:val="40"/>
          <w:sz w:val="12"/>
        </w:rPr>
        <w:t> </w:t>
      </w:r>
      <w:r>
        <w:rPr>
          <w:rFonts w:ascii="Arial"/>
          <w:color w:val="231F20"/>
          <w:sz w:val="12"/>
        </w:rPr>
        <w:t>Rosenman,</w:t>
      </w:r>
      <w:r>
        <w:rPr>
          <w:rFonts w:ascii="Arial"/>
          <w:color w:val="231F20"/>
          <w:spacing w:val="-9"/>
          <w:sz w:val="12"/>
        </w:rPr>
        <w:t> </w:t>
      </w:r>
      <w:r>
        <w:rPr>
          <w:rFonts w:ascii="Arial"/>
          <w:color w:val="231F20"/>
          <w:sz w:val="12"/>
        </w:rPr>
        <w:t>R.</w:t>
      </w:r>
      <w:r>
        <w:rPr>
          <w:rFonts w:ascii="Arial"/>
          <w:color w:val="231F20"/>
          <w:spacing w:val="-5"/>
          <w:sz w:val="12"/>
        </w:rPr>
        <w:t> </w:t>
      </w:r>
      <w:r>
        <w:rPr>
          <w:rFonts w:ascii="Arial"/>
          <w:color w:val="231F20"/>
          <w:sz w:val="12"/>
        </w:rPr>
        <w:t>H., Friedman, M., Strauss, R.</w:t>
      </w:r>
      <w:r>
        <w:rPr>
          <w:rFonts w:ascii="Arial"/>
          <w:color w:val="231F20"/>
          <w:spacing w:val="-1"/>
          <w:sz w:val="12"/>
        </w:rPr>
        <w:t> </w:t>
      </w:r>
      <w:r>
        <w:rPr>
          <w:rFonts w:ascii="Arial"/>
          <w:i/>
          <w:color w:val="231F20"/>
          <w:sz w:val="12"/>
        </w:rPr>
        <w:t>et al</w:t>
      </w:r>
      <w:r>
        <w:rPr>
          <w:rFonts w:ascii="Arial"/>
          <w:color w:val="231F20"/>
          <w:sz w:val="12"/>
        </w:rPr>
        <w:t>. (1964). A predictive study of coronary heart disease</w:t>
      </w:r>
      <w:r>
        <w:rPr>
          <w:rFonts w:ascii="Arial"/>
          <w:color w:val="231F20"/>
          <w:spacing w:val="-9"/>
          <w:sz w:val="12"/>
        </w:rPr>
        <w:t> </w:t>
      </w:r>
      <w:r>
        <w:rPr>
          <w:rFonts w:ascii="Arial"/>
          <w:color w:val="231F20"/>
          <w:sz w:val="12"/>
        </w:rPr>
        <w:t>: The</w:t>
      </w:r>
      <w:r>
        <w:rPr>
          <w:rFonts w:ascii="Arial"/>
          <w:color w:val="231F20"/>
          <w:spacing w:val="40"/>
          <w:sz w:val="12"/>
        </w:rPr>
        <w:t> </w:t>
      </w:r>
      <w:r>
        <w:rPr>
          <w:rFonts w:ascii="Arial"/>
          <w:color w:val="231F20"/>
          <w:sz w:val="12"/>
        </w:rPr>
        <w:t>Western Collaborative Group Study, </w:t>
      </w:r>
      <w:r>
        <w:rPr>
          <w:rFonts w:ascii="Arial"/>
          <w:i/>
          <w:color w:val="231F20"/>
          <w:sz w:val="12"/>
        </w:rPr>
        <w:t>Journal of the American Medical Association</w:t>
      </w:r>
      <w:r>
        <w:rPr>
          <w:rFonts w:ascii="Arial"/>
          <w:color w:val="231F20"/>
          <w:sz w:val="12"/>
        </w:rPr>
        <w:t>, </w:t>
      </w:r>
      <w:r>
        <w:rPr>
          <w:rFonts w:ascii="Arial"/>
          <w:i/>
          <w:color w:val="231F20"/>
          <w:sz w:val="12"/>
        </w:rPr>
        <w:t>189</w:t>
      </w:r>
      <w:r>
        <w:rPr>
          <w:rFonts w:ascii="Arial"/>
          <w:color w:val="231F20"/>
          <w:sz w:val="12"/>
        </w:rPr>
        <w:t>, 15-22.</w:t>
      </w:r>
    </w:p>
    <w:p>
      <w:pPr>
        <w:spacing w:after="0" w:line="295" w:lineRule="auto"/>
        <w:jc w:val="both"/>
        <w:rPr>
          <w:rFonts w:ascii="Arial"/>
          <w:sz w:val="12"/>
        </w:rPr>
        <w:sectPr>
          <w:footerReference w:type="default" r:id="rId196"/>
          <w:pgSz w:w="8640" w:h="12960"/>
          <w:pgMar w:footer="424" w:header="0" w:top="520" w:bottom="62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19" w:right="103" w:firstLine="250"/>
        <w:jc w:val="both"/>
      </w:pPr>
      <w:r>
        <w:rPr>
          <w:color w:val="231F20"/>
          <w:w w:val="120"/>
        </w:rPr>
        <w:t>La personne ayant des comportements de </w:t>
      </w:r>
      <w:r>
        <w:rPr>
          <w:b/>
          <w:color w:val="231F20"/>
          <w:w w:val="120"/>
        </w:rPr>
        <w:t>type B </w:t>
      </w:r>
      <w:r>
        <w:rPr>
          <w:color w:val="231F20"/>
          <w:w w:val="120"/>
        </w:rPr>
        <w:t>est, quant à elle, généralement calme, confiante en soi et en autrui, détendue et ouverte à ses émotions, y compris celles qui sont empreintes d’hostilité. Dans l’éventualité</w:t>
      </w:r>
      <w:r>
        <w:rPr>
          <w:color w:val="231F20"/>
          <w:spacing w:val="-6"/>
          <w:w w:val="120"/>
        </w:rPr>
        <w:t> </w:t>
      </w:r>
      <w:r>
        <w:rPr>
          <w:color w:val="231F20"/>
          <w:w w:val="120"/>
        </w:rPr>
        <w:t>d’un</w:t>
      </w:r>
      <w:r>
        <w:rPr>
          <w:color w:val="231F20"/>
          <w:spacing w:val="-6"/>
          <w:w w:val="120"/>
        </w:rPr>
        <w:t> </w:t>
      </w:r>
      <w:r>
        <w:rPr>
          <w:color w:val="231F20"/>
          <w:w w:val="120"/>
        </w:rPr>
        <w:t>échec,</w:t>
      </w:r>
      <w:r>
        <w:rPr>
          <w:color w:val="231F20"/>
          <w:spacing w:val="-6"/>
          <w:w w:val="120"/>
        </w:rPr>
        <w:t> </w:t>
      </w:r>
      <w:r>
        <w:rPr>
          <w:color w:val="231F20"/>
          <w:w w:val="120"/>
        </w:rPr>
        <w:t>le</w:t>
      </w:r>
      <w:r>
        <w:rPr>
          <w:color w:val="231F20"/>
          <w:spacing w:val="-6"/>
          <w:w w:val="120"/>
        </w:rPr>
        <w:t> </w:t>
      </w:r>
      <w:r>
        <w:rPr>
          <w:color w:val="231F20"/>
          <w:w w:val="120"/>
        </w:rPr>
        <w:t>rôle</w:t>
      </w:r>
      <w:r>
        <w:rPr>
          <w:color w:val="231F20"/>
          <w:spacing w:val="-6"/>
          <w:w w:val="120"/>
        </w:rPr>
        <w:t> </w:t>
      </w:r>
      <w:r>
        <w:rPr>
          <w:color w:val="231F20"/>
          <w:w w:val="120"/>
        </w:rPr>
        <w:t>des</w:t>
      </w:r>
      <w:r>
        <w:rPr>
          <w:color w:val="231F20"/>
          <w:spacing w:val="-6"/>
          <w:w w:val="120"/>
        </w:rPr>
        <w:t> </w:t>
      </w:r>
      <w:r>
        <w:rPr>
          <w:color w:val="231F20"/>
          <w:w w:val="120"/>
        </w:rPr>
        <w:t>mécanismes</w:t>
      </w:r>
      <w:r>
        <w:rPr>
          <w:color w:val="231F20"/>
          <w:spacing w:val="-6"/>
          <w:w w:val="120"/>
        </w:rPr>
        <w:t> </w:t>
      </w:r>
      <w:r>
        <w:rPr>
          <w:color w:val="231F20"/>
          <w:w w:val="120"/>
        </w:rPr>
        <w:t>d’adaptation</w:t>
      </w:r>
      <w:r>
        <w:rPr>
          <w:color w:val="231F20"/>
          <w:spacing w:val="-6"/>
          <w:w w:val="120"/>
        </w:rPr>
        <w:t> </w:t>
      </w:r>
      <w:r>
        <w:rPr>
          <w:color w:val="231F20"/>
          <w:w w:val="120"/>
        </w:rPr>
        <w:t>au</w:t>
      </w:r>
      <w:r>
        <w:rPr>
          <w:color w:val="231F20"/>
          <w:spacing w:val="-6"/>
          <w:w w:val="120"/>
        </w:rPr>
        <w:t> </w:t>
      </w:r>
      <w:r>
        <w:rPr>
          <w:color w:val="231F20"/>
          <w:w w:val="120"/>
        </w:rPr>
        <w:t>stress </w:t>
      </w:r>
      <w:r>
        <w:rPr>
          <w:color w:val="231F20"/>
          <w:spacing w:val="-2"/>
          <w:w w:val="120"/>
        </w:rPr>
        <w:t>est</w:t>
      </w:r>
      <w:r>
        <w:rPr>
          <w:color w:val="231F20"/>
          <w:spacing w:val="-8"/>
          <w:w w:val="120"/>
        </w:rPr>
        <w:t> </w:t>
      </w:r>
      <w:r>
        <w:rPr>
          <w:color w:val="231F20"/>
          <w:spacing w:val="-2"/>
          <w:w w:val="120"/>
        </w:rPr>
        <w:t>clair</w:t>
      </w:r>
      <w:r>
        <w:rPr>
          <w:color w:val="231F20"/>
          <w:spacing w:val="-32"/>
          <w:w w:val="120"/>
        </w:rPr>
        <w:t> </w:t>
      </w:r>
      <w:r>
        <w:rPr>
          <w:color w:val="231F20"/>
          <w:spacing w:val="-2"/>
          <w:w w:val="120"/>
        </w:rPr>
        <w:t>:</w:t>
      </w:r>
      <w:r>
        <w:rPr>
          <w:color w:val="231F20"/>
          <w:spacing w:val="-8"/>
          <w:w w:val="120"/>
        </w:rPr>
        <w:t> </w:t>
      </w:r>
      <w:r>
        <w:rPr>
          <w:color w:val="231F20"/>
          <w:spacing w:val="-2"/>
          <w:w w:val="120"/>
        </w:rPr>
        <w:t>il</w:t>
      </w:r>
      <w:r>
        <w:rPr>
          <w:color w:val="231F20"/>
          <w:spacing w:val="-7"/>
          <w:w w:val="120"/>
        </w:rPr>
        <w:t> </w:t>
      </w:r>
      <w:r>
        <w:rPr>
          <w:color w:val="231F20"/>
          <w:spacing w:val="-2"/>
          <w:w w:val="120"/>
        </w:rPr>
        <w:t>provoque</w:t>
      </w:r>
      <w:r>
        <w:rPr>
          <w:color w:val="231F20"/>
          <w:spacing w:val="-7"/>
          <w:w w:val="120"/>
        </w:rPr>
        <w:t> </w:t>
      </w:r>
      <w:r>
        <w:rPr>
          <w:color w:val="231F20"/>
          <w:spacing w:val="-2"/>
          <w:w w:val="120"/>
        </w:rPr>
        <w:t>et</w:t>
      </w:r>
      <w:r>
        <w:rPr>
          <w:color w:val="231F20"/>
          <w:spacing w:val="-7"/>
          <w:w w:val="120"/>
        </w:rPr>
        <w:t> </w:t>
      </w:r>
      <w:r>
        <w:rPr>
          <w:color w:val="231F20"/>
          <w:spacing w:val="-2"/>
          <w:w w:val="120"/>
        </w:rPr>
        <w:t>entraîne</w:t>
      </w:r>
      <w:r>
        <w:rPr>
          <w:color w:val="231F20"/>
          <w:spacing w:val="-8"/>
          <w:w w:val="120"/>
        </w:rPr>
        <w:t> </w:t>
      </w:r>
      <w:r>
        <w:rPr>
          <w:color w:val="231F20"/>
          <w:spacing w:val="-2"/>
          <w:w w:val="120"/>
        </w:rPr>
        <w:t>des</w:t>
      </w:r>
      <w:r>
        <w:rPr>
          <w:color w:val="231F20"/>
          <w:spacing w:val="-7"/>
          <w:w w:val="120"/>
        </w:rPr>
        <w:t> </w:t>
      </w:r>
      <w:r>
        <w:rPr>
          <w:color w:val="231F20"/>
          <w:spacing w:val="-2"/>
          <w:w w:val="120"/>
        </w:rPr>
        <w:t>processus</w:t>
      </w:r>
      <w:r>
        <w:rPr>
          <w:color w:val="231F20"/>
          <w:spacing w:val="-7"/>
          <w:w w:val="120"/>
        </w:rPr>
        <w:t> </w:t>
      </w:r>
      <w:r>
        <w:rPr>
          <w:color w:val="231F20"/>
          <w:spacing w:val="-2"/>
          <w:w w:val="120"/>
        </w:rPr>
        <w:t>névrotiques</w:t>
      </w:r>
      <w:r>
        <w:rPr>
          <w:color w:val="231F20"/>
          <w:spacing w:val="-7"/>
          <w:w w:val="120"/>
        </w:rPr>
        <w:t> </w:t>
      </w:r>
      <w:r>
        <w:rPr>
          <w:color w:val="231F20"/>
          <w:spacing w:val="-2"/>
          <w:w w:val="120"/>
        </w:rPr>
        <w:t>et</w:t>
      </w:r>
      <w:r>
        <w:rPr>
          <w:color w:val="231F20"/>
          <w:spacing w:val="-8"/>
          <w:w w:val="120"/>
        </w:rPr>
        <w:t> </w:t>
      </w:r>
      <w:r>
        <w:rPr>
          <w:color w:val="231F20"/>
          <w:spacing w:val="-2"/>
          <w:w w:val="120"/>
        </w:rPr>
        <w:t>dépressifs.</w:t>
      </w:r>
    </w:p>
    <w:p>
      <w:pPr>
        <w:pStyle w:val="BodyText"/>
        <w:spacing w:line="307" w:lineRule="auto" w:before="79"/>
        <w:ind w:left="1219" w:right="106" w:firstLine="250"/>
        <w:jc w:val="both"/>
      </w:pPr>
      <w:r>
        <w:rPr>
          <w:color w:val="231F20"/>
          <w:w w:val="120"/>
        </w:rPr>
        <w:t>Finalement,</w:t>
      </w:r>
      <w:r>
        <w:rPr>
          <w:color w:val="231F20"/>
          <w:spacing w:val="-5"/>
          <w:w w:val="120"/>
        </w:rPr>
        <w:t> </w:t>
      </w:r>
      <w:r>
        <w:rPr>
          <w:color w:val="231F20"/>
          <w:w w:val="120"/>
        </w:rPr>
        <w:t>le</w:t>
      </w:r>
      <w:r>
        <w:rPr>
          <w:color w:val="231F20"/>
          <w:spacing w:val="-5"/>
          <w:w w:val="120"/>
        </w:rPr>
        <w:t> </w:t>
      </w:r>
      <w:r>
        <w:rPr>
          <w:color w:val="231F20"/>
          <w:w w:val="120"/>
        </w:rPr>
        <w:t>comportement</w:t>
      </w:r>
      <w:r>
        <w:rPr>
          <w:color w:val="231F20"/>
          <w:spacing w:val="-5"/>
          <w:w w:val="120"/>
        </w:rPr>
        <w:t> </w:t>
      </w:r>
      <w:r>
        <w:rPr>
          <w:color w:val="231F20"/>
          <w:w w:val="120"/>
        </w:rPr>
        <w:t>de</w:t>
      </w:r>
      <w:r>
        <w:rPr>
          <w:color w:val="231F20"/>
          <w:spacing w:val="-5"/>
          <w:w w:val="120"/>
        </w:rPr>
        <w:t> </w:t>
      </w:r>
      <w:r>
        <w:rPr>
          <w:b/>
          <w:color w:val="231F20"/>
          <w:w w:val="120"/>
        </w:rPr>
        <w:t>type</w:t>
      </w:r>
      <w:r>
        <w:rPr>
          <w:b/>
          <w:color w:val="231F20"/>
          <w:spacing w:val="-9"/>
          <w:w w:val="120"/>
        </w:rPr>
        <w:t> </w:t>
      </w:r>
      <w:r>
        <w:rPr>
          <w:b/>
          <w:color w:val="231F20"/>
          <w:w w:val="120"/>
        </w:rPr>
        <w:t>C</w:t>
      </w:r>
      <w:r>
        <w:rPr>
          <w:b/>
          <w:color w:val="231F20"/>
          <w:spacing w:val="-5"/>
          <w:w w:val="120"/>
        </w:rPr>
        <w:t> </w:t>
      </w:r>
      <w:r>
        <w:rPr>
          <w:color w:val="231F20"/>
          <w:w w:val="120"/>
        </w:rPr>
        <w:t>s’observe</w:t>
      </w:r>
      <w:r>
        <w:rPr>
          <w:color w:val="231F20"/>
          <w:spacing w:val="-5"/>
          <w:w w:val="120"/>
        </w:rPr>
        <w:t> </w:t>
      </w:r>
      <w:r>
        <w:rPr>
          <w:color w:val="231F20"/>
          <w:w w:val="120"/>
        </w:rPr>
        <w:t>chez</w:t>
      </w:r>
      <w:r>
        <w:rPr>
          <w:color w:val="231F20"/>
          <w:spacing w:val="-5"/>
          <w:w w:val="120"/>
        </w:rPr>
        <w:t> </w:t>
      </w:r>
      <w:r>
        <w:rPr>
          <w:color w:val="231F20"/>
          <w:w w:val="120"/>
        </w:rPr>
        <w:t>la</w:t>
      </w:r>
      <w:r>
        <w:rPr>
          <w:color w:val="231F20"/>
          <w:spacing w:val="-5"/>
          <w:w w:val="120"/>
        </w:rPr>
        <w:t> </w:t>
      </w:r>
      <w:r>
        <w:rPr>
          <w:color w:val="231F20"/>
          <w:w w:val="120"/>
        </w:rPr>
        <w:t>personne introvertie,</w:t>
      </w:r>
      <w:r>
        <w:rPr>
          <w:color w:val="231F20"/>
          <w:spacing w:val="-13"/>
          <w:w w:val="120"/>
        </w:rPr>
        <w:t> </w:t>
      </w:r>
      <w:r>
        <w:rPr>
          <w:color w:val="231F20"/>
          <w:w w:val="120"/>
        </w:rPr>
        <w:t>obsessive,</w:t>
      </w:r>
      <w:r>
        <w:rPr>
          <w:color w:val="231F20"/>
          <w:spacing w:val="-13"/>
          <w:w w:val="120"/>
        </w:rPr>
        <w:t> </w:t>
      </w:r>
      <w:r>
        <w:rPr>
          <w:color w:val="231F20"/>
          <w:w w:val="120"/>
        </w:rPr>
        <w:t>passive,</w:t>
      </w:r>
      <w:r>
        <w:rPr>
          <w:color w:val="231F20"/>
          <w:spacing w:val="-13"/>
          <w:w w:val="120"/>
        </w:rPr>
        <w:t> </w:t>
      </w:r>
      <w:r>
        <w:rPr>
          <w:color w:val="231F20"/>
          <w:w w:val="120"/>
        </w:rPr>
        <w:t>résignée</w:t>
      </w:r>
      <w:r>
        <w:rPr>
          <w:color w:val="231F20"/>
          <w:spacing w:val="-12"/>
          <w:w w:val="120"/>
        </w:rPr>
        <w:t> </w:t>
      </w:r>
      <w:r>
        <w:rPr>
          <w:color w:val="231F20"/>
          <w:w w:val="120"/>
        </w:rPr>
        <w:t>et</w:t>
      </w:r>
      <w:r>
        <w:rPr>
          <w:color w:val="231F20"/>
          <w:spacing w:val="-13"/>
          <w:w w:val="120"/>
        </w:rPr>
        <w:t> </w:t>
      </w:r>
      <w:r>
        <w:rPr>
          <w:color w:val="231F20"/>
          <w:w w:val="120"/>
        </w:rPr>
        <w:t>placide,</w:t>
      </w:r>
      <w:r>
        <w:rPr>
          <w:color w:val="231F20"/>
          <w:spacing w:val="-13"/>
          <w:w w:val="120"/>
        </w:rPr>
        <w:t> </w:t>
      </w:r>
      <w:r>
        <w:rPr>
          <w:color w:val="231F20"/>
          <w:w w:val="120"/>
        </w:rPr>
        <w:t>extrêmement</w:t>
      </w:r>
      <w:r>
        <w:rPr>
          <w:color w:val="231F20"/>
          <w:spacing w:val="-13"/>
          <w:w w:val="120"/>
        </w:rPr>
        <w:t> </w:t>
      </w:r>
      <w:r>
        <w:rPr>
          <w:color w:val="231F20"/>
          <w:w w:val="120"/>
        </w:rPr>
        <w:t>coopé- rative, soumise et conformiste, qui intériorise sa réponse au stress et maîtrise toujours son hostilité, soucieuse de l’approbation sociale. La personnalité</w:t>
      </w:r>
      <w:r>
        <w:rPr>
          <w:color w:val="231F20"/>
          <w:spacing w:val="-13"/>
          <w:w w:val="120"/>
        </w:rPr>
        <w:t> </w:t>
      </w:r>
      <w:r>
        <w:rPr>
          <w:color w:val="231F20"/>
          <w:w w:val="120"/>
        </w:rPr>
        <w:t>de</w:t>
      </w:r>
      <w:r>
        <w:rPr>
          <w:color w:val="231F20"/>
          <w:spacing w:val="-13"/>
          <w:w w:val="120"/>
        </w:rPr>
        <w:t> </w:t>
      </w:r>
      <w:r>
        <w:rPr>
          <w:color w:val="231F20"/>
          <w:w w:val="120"/>
        </w:rPr>
        <w:t>type</w:t>
      </w:r>
      <w:r>
        <w:rPr>
          <w:color w:val="231F20"/>
          <w:spacing w:val="-13"/>
          <w:w w:val="120"/>
        </w:rPr>
        <w:t> </w:t>
      </w:r>
      <w:r>
        <w:rPr>
          <w:color w:val="231F20"/>
          <w:w w:val="120"/>
        </w:rPr>
        <w:t>C</w:t>
      </w:r>
      <w:r>
        <w:rPr>
          <w:color w:val="231F20"/>
          <w:spacing w:val="-12"/>
          <w:w w:val="120"/>
        </w:rPr>
        <w:t> </w:t>
      </w:r>
      <w:r>
        <w:rPr>
          <w:color w:val="231F20"/>
          <w:w w:val="120"/>
        </w:rPr>
        <w:t>n’a</w:t>
      </w:r>
      <w:r>
        <w:rPr>
          <w:color w:val="231F20"/>
          <w:spacing w:val="-13"/>
          <w:w w:val="120"/>
        </w:rPr>
        <w:t> </w:t>
      </w:r>
      <w:r>
        <w:rPr>
          <w:color w:val="231F20"/>
          <w:w w:val="120"/>
        </w:rPr>
        <w:t>pas</w:t>
      </w:r>
      <w:r>
        <w:rPr>
          <w:color w:val="231F20"/>
          <w:spacing w:val="-13"/>
          <w:w w:val="120"/>
        </w:rPr>
        <w:t> </w:t>
      </w:r>
      <w:r>
        <w:rPr>
          <w:color w:val="231F20"/>
          <w:w w:val="120"/>
        </w:rPr>
        <w:t>été</w:t>
      </w:r>
      <w:r>
        <w:rPr>
          <w:color w:val="231F20"/>
          <w:spacing w:val="-13"/>
          <w:w w:val="120"/>
        </w:rPr>
        <w:t> </w:t>
      </w:r>
      <w:r>
        <w:rPr>
          <w:color w:val="231F20"/>
          <w:w w:val="120"/>
        </w:rPr>
        <w:t>découverte</w:t>
      </w:r>
      <w:r>
        <w:rPr>
          <w:color w:val="231F20"/>
          <w:spacing w:val="-12"/>
          <w:w w:val="120"/>
        </w:rPr>
        <w:t> </w:t>
      </w:r>
      <w:r>
        <w:rPr>
          <w:color w:val="231F20"/>
          <w:w w:val="120"/>
        </w:rPr>
        <w:t>initialement</w:t>
      </w:r>
      <w:r>
        <w:rPr>
          <w:color w:val="231F20"/>
          <w:spacing w:val="-13"/>
          <w:w w:val="120"/>
        </w:rPr>
        <w:t> </w:t>
      </w:r>
      <w:r>
        <w:rPr>
          <w:color w:val="231F20"/>
          <w:w w:val="120"/>
        </w:rPr>
        <w:t>par</w:t>
      </w:r>
      <w:r>
        <w:rPr>
          <w:color w:val="231F20"/>
          <w:spacing w:val="-13"/>
          <w:w w:val="120"/>
        </w:rPr>
        <w:t> </w:t>
      </w:r>
      <w:r>
        <w:rPr>
          <w:color w:val="231F20"/>
          <w:w w:val="120"/>
        </w:rPr>
        <w:t>Friedman et Rosenman</w:t>
      </w:r>
      <w:r>
        <w:rPr>
          <w:color w:val="231F20"/>
          <w:spacing w:val="-9"/>
          <w:w w:val="120"/>
        </w:rPr>
        <w:t> </w:t>
      </w:r>
      <w:r>
        <w:rPr>
          <w:color w:val="231F20"/>
          <w:w w:val="120"/>
        </w:rPr>
        <w:t>; cependant, des études publiées subséquemment ont observé</w:t>
      </w:r>
      <w:r>
        <w:rPr>
          <w:color w:val="231F20"/>
          <w:spacing w:val="-7"/>
          <w:w w:val="120"/>
        </w:rPr>
        <w:t> </w:t>
      </w:r>
      <w:r>
        <w:rPr>
          <w:color w:val="231F20"/>
          <w:w w:val="120"/>
        </w:rPr>
        <w:t>qu’une</w:t>
      </w:r>
      <w:r>
        <w:rPr>
          <w:color w:val="231F20"/>
          <w:spacing w:val="-7"/>
          <w:w w:val="120"/>
        </w:rPr>
        <w:t> </w:t>
      </w:r>
      <w:r>
        <w:rPr>
          <w:color w:val="231F20"/>
          <w:w w:val="120"/>
        </w:rPr>
        <w:t>personne</w:t>
      </w:r>
      <w:r>
        <w:rPr>
          <w:color w:val="231F20"/>
          <w:spacing w:val="-7"/>
          <w:w w:val="120"/>
        </w:rPr>
        <w:t> </w:t>
      </w:r>
      <w:r>
        <w:rPr>
          <w:color w:val="231F20"/>
          <w:w w:val="120"/>
        </w:rPr>
        <w:t>ayant</w:t>
      </w:r>
      <w:r>
        <w:rPr>
          <w:color w:val="231F20"/>
          <w:spacing w:val="-7"/>
          <w:w w:val="120"/>
        </w:rPr>
        <w:t> </w:t>
      </w:r>
      <w:r>
        <w:rPr>
          <w:color w:val="231F20"/>
          <w:w w:val="120"/>
        </w:rPr>
        <w:t>un</w:t>
      </w:r>
      <w:r>
        <w:rPr>
          <w:color w:val="231F20"/>
          <w:spacing w:val="-7"/>
          <w:w w:val="120"/>
        </w:rPr>
        <w:t> </w:t>
      </w:r>
      <w:r>
        <w:rPr>
          <w:color w:val="231F20"/>
          <w:w w:val="120"/>
        </w:rPr>
        <w:t>comportement</w:t>
      </w:r>
      <w:r>
        <w:rPr>
          <w:color w:val="231F20"/>
          <w:spacing w:val="-7"/>
          <w:w w:val="120"/>
        </w:rPr>
        <w:t> </w:t>
      </w:r>
      <w:r>
        <w:rPr>
          <w:color w:val="231F20"/>
          <w:w w:val="120"/>
        </w:rPr>
        <w:t>de</w:t>
      </w:r>
      <w:r>
        <w:rPr>
          <w:color w:val="231F20"/>
          <w:spacing w:val="-7"/>
          <w:w w:val="120"/>
        </w:rPr>
        <w:t> </w:t>
      </w:r>
      <w:r>
        <w:rPr>
          <w:color w:val="231F20"/>
          <w:w w:val="120"/>
        </w:rPr>
        <w:t>type</w:t>
      </w:r>
      <w:r>
        <w:rPr>
          <w:color w:val="231F20"/>
          <w:spacing w:val="-7"/>
          <w:w w:val="120"/>
        </w:rPr>
        <w:t> </w:t>
      </w:r>
      <w:r>
        <w:rPr>
          <w:color w:val="231F20"/>
          <w:w w:val="120"/>
        </w:rPr>
        <w:t>C</w:t>
      </w:r>
      <w:r>
        <w:rPr>
          <w:color w:val="231F20"/>
          <w:spacing w:val="-7"/>
          <w:w w:val="120"/>
        </w:rPr>
        <w:t> </w:t>
      </w:r>
      <w:r>
        <w:rPr>
          <w:color w:val="231F20"/>
          <w:w w:val="120"/>
        </w:rPr>
        <w:t>est</w:t>
      </w:r>
      <w:r>
        <w:rPr>
          <w:color w:val="231F20"/>
          <w:spacing w:val="-7"/>
          <w:w w:val="120"/>
        </w:rPr>
        <w:t> </w:t>
      </w:r>
      <w:r>
        <w:rPr>
          <w:color w:val="231F20"/>
          <w:w w:val="120"/>
        </w:rPr>
        <w:t>statisti- quement plus prédisposée que la moyenne à souffrir de rhumatismes, d’infections, d’allergies et de divers troubles dermatologiques.</w:t>
      </w:r>
    </w:p>
    <w:p>
      <w:pPr>
        <w:pStyle w:val="BodyText"/>
        <w:spacing w:line="307" w:lineRule="auto" w:before="79"/>
        <w:ind w:left="1219" w:right="103" w:firstLine="250"/>
        <w:jc w:val="both"/>
      </w:pPr>
      <w:r>
        <w:rPr>
          <w:color w:val="231F20"/>
          <w:w w:val="120"/>
        </w:rPr>
        <w:t>Pour</w:t>
      </w:r>
      <w:r>
        <w:rPr>
          <w:color w:val="231F20"/>
          <w:spacing w:val="-10"/>
          <w:w w:val="120"/>
        </w:rPr>
        <w:t> </w:t>
      </w:r>
      <w:r>
        <w:rPr>
          <w:color w:val="231F20"/>
          <w:w w:val="120"/>
        </w:rPr>
        <w:t>soi,</w:t>
      </w:r>
      <w:r>
        <w:rPr>
          <w:color w:val="231F20"/>
          <w:spacing w:val="-10"/>
          <w:w w:val="120"/>
        </w:rPr>
        <w:t> </w:t>
      </w:r>
      <w:r>
        <w:rPr>
          <w:color w:val="231F20"/>
          <w:w w:val="120"/>
        </w:rPr>
        <w:t>ou</w:t>
      </w:r>
      <w:r>
        <w:rPr>
          <w:color w:val="231F20"/>
          <w:spacing w:val="-10"/>
          <w:w w:val="120"/>
        </w:rPr>
        <w:t> </w:t>
      </w:r>
      <w:r>
        <w:rPr>
          <w:color w:val="231F20"/>
          <w:w w:val="120"/>
        </w:rPr>
        <w:t>lorsqu’on</w:t>
      </w:r>
      <w:r>
        <w:rPr>
          <w:color w:val="231F20"/>
          <w:spacing w:val="-10"/>
          <w:w w:val="120"/>
        </w:rPr>
        <w:t> </w:t>
      </w:r>
      <w:r>
        <w:rPr>
          <w:color w:val="231F20"/>
          <w:w w:val="120"/>
        </w:rPr>
        <w:t>connaît</w:t>
      </w:r>
      <w:r>
        <w:rPr>
          <w:color w:val="231F20"/>
          <w:spacing w:val="-10"/>
          <w:w w:val="120"/>
        </w:rPr>
        <w:t> </w:t>
      </w:r>
      <w:r>
        <w:rPr>
          <w:color w:val="231F20"/>
          <w:w w:val="120"/>
        </w:rPr>
        <w:t>bien</w:t>
      </w:r>
      <w:r>
        <w:rPr>
          <w:color w:val="231F20"/>
          <w:spacing w:val="-10"/>
          <w:w w:val="120"/>
        </w:rPr>
        <w:t> </w:t>
      </w:r>
      <w:r>
        <w:rPr>
          <w:color w:val="231F20"/>
          <w:w w:val="120"/>
        </w:rPr>
        <w:t>une</w:t>
      </w:r>
      <w:r>
        <w:rPr>
          <w:color w:val="231F20"/>
          <w:spacing w:val="-10"/>
          <w:w w:val="120"/>
        </w:rPr>
        <w:t> </w:t>
      </w:r>
      <w:r>
        <w:rPr>
          <w:color w:val="231F20"/>
          <w:w w:val="120"/>
        </w:rPr>
        <w:t>personne,</w:t>
      </w:r>
      <w:r>
        <w:rPr>
          <w:color w:val="231F20"/>
          <w:spacing w:val="-10"/>
          <w:w w:val="120"/>
        </w:rPr>
        <w:t> </w:t>
      </w:r>
      <w:r>
        <w:rPr>
          <w:color w:val="231F20"/>
          <w:w w:val="120"/>
        </w:rPr>
        <w:t>il</w:t>
      </w:r>
      <w:r>
        <w:rPr>
          <w:color w:val="231F20"/>
          <w:spacing w:val="-10"/>
          <w:w w:val="120"/>
        </w:rPr>
        <w:t> </w:t>
      </w:r>
      <w:r>
        <w:rPr>
          <w:color w:val="231F20"/>
          <w:w w:val="120"/>
        </w:rPr>
        <w:t>est</w:t>
      </w:r>
      <w:r>
        <w:rPr>
          <w:color w:val="231F20"/>
          <w:spacing w:val="-10"/>
          <w:w w:val="120"/>
        </w:rPr>
        <w:t> </w:t>
      </w:r>
      <w:r>
        <w:rPr>
          <w:color w:val="231F20"/>
          <w:w w:val="120"/>
        </w:rPr>
        <w:t>assez</w:t>
      </w:r>
      <w:r>
        <w:rPr>
          <w:color w:val="231F20"/>
          <w:spacing w:val="-10"/>
          <w:w w:val="120"/>
        </w:rPr>
        <w:t> </w:t>
      </w:r>
      <w:r>
        <w:rPr>
          <w:color w:val="231F20"/>
          <w:w w:val="120"/>
        </w:rPr>
        <w:t>aisé</w:t>
      </w:r>
      <w:r>
        <w:rPr>
          <w:color w:val="231F20"/>
          <w:spacing w:val="-10"/>
          <w:w w:val="120"/>
        </w:rPr>
        <w:t> </w:t>
      </w:r>
      <w:r>
        <w:rPr>
          <w:color w:val="231F20"/>
          <w:w w:val="120"/>
        </w:rPr>
        <w:t>de </w:t>
      </w:r>
      <w:r>
        <w:rPr>
          <w:color w:val="231F20"/>
          <w:spacing w:val="-2"/>
          <w:w w:val="120"/>
        </w:rPr>
        <w:t>déterminer</w:t>
      </w:r>
      <w:r>
        <w:rPr>
          <w:color w:val="231F20"/>
          <w:spacing w:val="-5"/>
          <w:w w:val="120"/>
        </w:rPr>
        <w:t> </w:t>
      </w:r>
      <w:r>
        <w:rPr>
          <w:color w:val="231F20"/>
          <w:spacing w:val="-2"/>
          <w:w w:val="120"/>
        </w:rPr>
        <w:t>à</w:t>
      </w:r>
      <w:r>
        <w:rPr>
          <w:color w:val="231F20"/>
          <w:spacing w:val="-5"/>
          <w:w w:val="120"/>
        </w:rPr>
        <w:t> </w:t>
      </w:r>
      <w:r>
        <w:rPr>
          <w:color w:val="231F20"/>
          <w:spacing w:val="-2"/>
          <w:w w:val="120"/>
        </w:rPr>
        <w:t>quel</w:t>
      </w:r>
      <w:r>
        <w:rPr>
          <w:color w:val="231F20"/>
          <w:spacing w:val="-5"/>
          <w:w w:val="120"/>
        </w:rPr>
        <w:t> </w:t>
      </w:r>
      <w:r>
        <w:rPr>
          <w:color w:val="231F20"/>
          <w:spacing w:val="-2"/>
          <w:w w:val="120"/>
        </w:rPr>
        <w:t>groupe</w:t>
      </w:r>
      <w:r>
        <w:rPr>
          <w:color w:val="231F20"/>
          <w:spacing w:val="-5"/>
          <w:w w:val="120"/>
        </w:rPr>
        <w:t> </w:t>
      </w:r>
      <w:r>
        <w:rPr>
          <w:color w:val="231F20"/>
          <w:spacing w:val="-2"/>
          <w:w w:val="120"/>
        </w:rPr>
        <w:t>de</w:t>
      </w:r>
      <w:r>
        <w:rPr>
          <w:color w:val="231F20"/>
          <w:spacing w:val="-5"/>
          <w:w w:val="120"/>
        </w:rPr>
        <w:t> </w:t>
      </w:r>
      <w:r>
        <w:rPr>
          <w:color w:val="231F20"/>
          <w:spacing w:val="-2"/>
          <w:w w:val="120"/>
        </w:rPr>
        <w:t>personnalité</w:t>
      </w:r>
      <w:r>
        <w:rPr>
          <w:color w:val="231F20"/>
          <w:spacing w:val="-5"/>
          <w:w w:val="120"/>
        </w:rPr>
        <w:t> </w:t>
      </w:r>
      <w:r>
        <w:rPr>
          <w:color w:val="231F20"/>
          <w:spacing w:val="-2"/>
          <w:w w:val="120"/>
        </w:rPr>
        <w:t>appartient</w:t>
      </w:r>
      <w:r>
        <w:rPr>
          <w:color w:val="231F20"/>
          <w:spacing w:val="-5"/>
          <w:w w:val="120"/>
        </w:rPr>
        <w:t> </w:t>
      </w:r>
      <w:r>
        <w:rPr>
          <w:color w:val="231F20"/>
          <w:spacing w:val="-2"/>
          <w:w w:val="120"/>
        </w:rPr>
        <w:t>un</w:t>
      </w:r>
      <w:r>
        <w:rPr>
          <w:color w:val="231F20"/>
          <w:spacing w:val="-5"/>
          <w:w w:val="120"/>
        </w:rPr>
        <w:t> </w:t>
      </w:r>
      <w:r>
        <w:rPr>
          <w:color w:val="231F20"/>
          <w:spacing w:val="-2"/>
          <w:w w:val="120"/>
        </w:rPr>
        <w:t>individu.</w:t>
      </w:r>
      <w:r>
        <w:rPr>
          <w:color w:val="231F20"/>
          <w:spacing w:val="-5"/>
          <w:w w:val="120"/>
        </w:rPr>
        <w:t> </w:t>
      </w:r>
      <w:r>
        <w:rPr>
          <w:color w:val="231F20"/>
          <w:spacing w:val="-2"/>
          <w:w w:val="120"/>
        </w:rPr>
        <w:t>La</w:t>
      </w:r>
      <w:r>
        <w:rPr>
          <w:color w:val="231F20"/>
          <w:spacing w:val="-5"/>
          <w:w w:val="120"/>
        </w:rPr>
        <w:t> </w:t>
      </w:r>
      <w:r>
        <w:rPr>
          <w:color w:val="231F20"/>
          <w:spacing w:val="-2"/>
          <w:w w:val="120"/>
        </w:rPr>
        <w:t>per- </w:t>
      </w:r>
      <w:r>
        <w:rPr>
          <w:color w:val="231F20"/>
          <w:w w:val="120"/>
        </w:rPr>
        <w:t>sonnalité s’exprime souvent clairement dans les comportements de la personne,</w:t>
      </w:r>
      <w:r>
        <w:rPr>
          <w:color w:val="231F20"/>
          <w:spacing w:val="-3"/>
          <w:w w:val="120"/>
        </w:rPr>
        <w:t> </w:t>
      </w:r>
      <w:r>
        <w:rPr>
          <w:color w:val="231F20"/>
          <w:w w:val="120"/>
        </w:rPr>
        <w:t>donc</w:t>
      </w:r>
      <w:r>
        <w:rPr>
          <w:color w:val="231F20"/>
          <w:spacing w:val="-3"/>
          <w:w w:val="120"/>
        </w:rPr>
        <w:t> </w:t>
      </w:r>
      <w:r>
        <w:rPr>
          <w:color w:val="231F20"/>
          <w:w w:val="120"/>
        </w:rPr>
        <w:t>l’observation</w:t>
      </w:r>
      <w:r>
        <w:rPr>
          <w:color w:val="231F20"/>
          <w:spacing w:val="-3"/>
          <w:w w:val="120"/>
        </w:rPr>
        <w:t> </w:t>
      </w:r>
      <w:r>
        <w:rPr>
          <w:color w:val="231F20"/>
          <w:w w:val="120"/>
        </w:rPr>
        <w:t>dans</w:t>
      </w:r>
      <w:r>
        <w:rPr>
          <w:color w:val="231F20"/>
          <w:spacing w:val="-3"/>
          <w:w w:val="120"/>
        </w:rPr>
        <w:t> </w:t>
      </w:r>
      <w:r>
        <w:rPr>
          <w:color w:val="231F20"/>
          <w:w w:val="120"/>
        </w:rPr>
        <w:t>la</w:t>
      </w:r>
      <w:r>
        <w:rPr>
          <w:color w:val="231F20"/>
          <w:spacing w:val="-3"/>
          <w:w w:val="120"/>
        </w:rPr>
        <w:t> </w:t>
      </w:r>
      <w:r>
        <w:rPr>
          <w:color w:val="231F20"/>
          <w:w w:val="120"/>
        </w:rPr>
        <w:t>vie</w:t>
      </w:r>
      <w:r>
        <w:rPr>
          <w:color w:val="231F20"/>
          <w:spacing w:val="-3"/>
          <w:w w:val="120"/>
        </w:rPr>
        <w:t> </w:t>
      </w:r>
      <w:r>
        <w:rPr>
          <w:color w:val="231F20"/>
          <w:w w:val="120"/>
        </w:rPr>
        <w:t>de</w:t>
      </w:r>
      <w:r>
        <w:rPr>
          <w:color w:val="231F20"/>
          <w:spacing w:val="-3"/>
          <w:w w:val="120"/>
        </w:rPr>
        <w:t> </w:t>
      </w:r>
      <w:r>
        <w:rPr>
          <w:color w:val="231F20"/>
          <w:w w:val="120"/>
        </w:rPr>
        <w:t>tous</w:t>
      </w:r>
      <w:r>
        <w:rPr>
          <w:color w:val="231F20"/>
          <w:spacing w:val="-3"/>
          <w:w w:val="120"/>
        </w:rPr>
        <w:t> </w:t>
      </w:r>
      <w:r>
        <w:rPr>
          <w:color w:val="231F20"/>
          <w:w w:val="120"/>
        </w:rPr>
        <w:t>les</w:t>
      </w:r>
      <w:r>
        <w:rPr>
          <w:color w:val="231F20"/>
          <w:spacing w:val="-3"/>
          <w:w w:val="120"/>
        </w:rPr>
        <w:t> </w:t>
      </w:r>
      <w:r>
        <w:rPr>
          <w:color w:val="231F20"/>
          <w:w w:val="120"/>
        </w:rPr>
        <w:t>jours</w:t>
      </w:r>
      <w:r>
        <w:rPr>
          <w:color w:val="231F20"/>
          <w:spacing w:val="-3"/>
          <w:w w:val="120"/>
        </w:rPr>
        <w:t> </w:t>
      </w:r>
      <w:r>
        <w:rPr>
          <w:color w:val="231F20"/>
          <w:w w:val="120"/>
        </w:rPr>
        <w:t>permet</w:t>
      </w:r>
      <w:r>
        <w:rPr>
          <w:color w:val="231F20"/>
          <w:spacing w:val="-3"/>
          <w:w w:val="120"/>
        </w:rPr>
        <w:t> </w:t>
      </w:r>
      <w:r>
        <w:rPr>
          <w:color w:val="231F20"/>
          <w:w w:val="120"/>
        </w:rPr>
        <w:t>habi- tuellement de cerner le type de personnalité. Prenons un exemple que nous vivons tous de temps à autre, la participation à une file d’attente </w:t>
      </w:r>
      <w:r>
        <w:rPr>
          <w:color w:val="231F20"/>
          <w:spacing w:val="-2"/>
          <w:w w:val="120"/>
        </w:rPr>
        <w:t>dans</w:t>
      </w:r>
      <w:r>
        <w:rPr>
          <w:color w:val="231F20"/>
          <w:spacing w:val="-4"/>
          <w:w w:val="120"/>
        </w:rPr>
        <w:t> </w:t>
      </w:r>
      <w:r>
        <w:rPr>
          <w:color w:val="231F20"/>
          <w:spacing w:val="-2"/>
          <w:w w:val="120"/>
        </w:rPr>
        <w:t>un</w:t>
      </w:r>
      <w:r>
        <w:rPr>
          <w:color w:val="231F20"/>
          <w:spacing w:val="-4"/>
          <w:w w:val="120"/>
        </w:rPr>
        <w:t> </w:t>
      </w:r>
      <w:r>
        <w:rPr>
          <w:color w:val="231F20"/>
          <w:spacing w:val="-2"/>
          <w:w w:val="120"/>
        </w:rPr>
        <w:t>quelconque</w:t>
      </w:r>
      <w:r>
        <w:rPr>
          <w:color w:val="231F20"/>
          <w:spacing w:val="-4"/>
          <w:w w:val="120"/>
        </w:rPr>
        <w:t> </w:t>
      </w:r>
      <w:r>
        <w:rPr>
          <w:color w:val="231F20"/>
          <w:spacing w:val="-2"/>
          <w:w w:val="120"/>
        </w:rPr>
        <w:t>magasin.</w:t>
      </w:r>
      <w:r>
        <w:rPr>
          <w:color w:val="231F20"/>
          <w:spacing w:val="-4"/>
          <w:w w:val="120"/>
        </w:rPr>
        <w:t> </w:t>
      </w:r>
      <w:r>
        <w:rPr>
          <w:color w:val="231F20"/>
          <w:spacing w:val="-2"/>
          <w:w w:val="120"/>
        </w:rPr>
        <w:t>L’observateur</w:t>
      </w:r>
      <w:r>
        <w:rPr>
          <w:color w:val="231F20"/>
          <w:spacing w:val="-4"/>
          <w:w w:val="120"/>
        </w:rPr>
        <w:t> </w:t>
      </w:r>
      <w:r>
        <w:rPr>
          <w:color w:val="231F20"/>
          <w:spacing w:val="-2"/>
          <w:w w:val="120"/>
        </w:rPr>
        <w:t>peut</w:t>
      </w:r>
      <w:r>
        <w:rPr>
          <w:color w:val="231F20"/>
          <w:spacing w:val="-4"/>
          <w:w w:val="120"/>
        </w:rPr>
        <w:t> </w:t>
      </w:r>
      <w:r>
        <w:rPr>
          <w:color w:val="231F20"/>
          <w:spacing w:val="-2"/>
          <w:w w:val="120"/>
        </w:rPr>
        <w:t>facilement</w:t>
      </w:r>
      <w:r>
        <w:rPr>
          <w:color w:val="231F20"/>
          <w:spacing w:val="-4"/>
          <w:w w:val="120"/>
        </w:rPr>
        <w:t> </w:t>
      </w:r>
      <w:r>
        <w:rPr>
          <w:color w:val="231F20"/>
          <w:spacing w:val="-2"/>
          <w:w w:val="120"/>
        </w:rPr>
        <w:t>voir</w:t>
      </w:r>
      <w:r>
        <w:rPr>
          <w:color w:val="231F20"/>
          <w:spacing w:val="-4"/>
          <w:w w:val="120"/>
        </w:rPr>
        <w:t> </w:t>
      </w:r>
      <w:r>
        <w:rPr>
          <w:color w:val="231F20"/>
          <w:spacing w:val="-2"/>
          <w:w w:val="120"/>
        </w:rPr>
        <w:t>que</w:t>
      </w:r>
      <w:r>
        <w:rPr>
          <w:color w:val="231F20"/>
          <w:spacing w:val="-4"/>
          <w:w w:val="120"/>
        </w:rPr>
        <w:t> </w:t>
      </w:r>
      <w:r>
        <w:rPr>
          <w:color w:val="231F20"/>
          <w:spacing w:val="-2"/>
          <w:w w:val="120"/>
        </w:rPr>
        <w:t>ce </w:t>
      </w:r>
      <w:r>
        <w:rPr>
          <w:color w:val="231F20"/>
          <w:w w:val="120"/>
        </w:rPr>
        <w:t>temps</w:t>
      </w:r>
      <w:r>
        <w:rPr>
          <w:color w:val="231F20"/>
          <w:spacing w:val="-7"/>
          <w:w w:val="120"/>
        </w:rPr>
        <w:t> </w:t>
      </w:r>
      <w:r>
        <w:rPr>
          <w:color w:val="231F20"/>
          <w:w w:val="120"/>
        </w:rPr>
        <w:t>d’attente</w:t>
      </w:r>
      <w:r>
        <w:rPr>
          <w:color w:val="231F20"/>
          <w:spacing w:val="-7"/>
          <w:w w:val="120"/>
        </w:rPr>
        <w:t> </w:t>
      </w:r>
      <w:r>
        <w:rPr>
          <w:color w:val="231F20"/>
          <w:w w:val="120"/>
        </w:rPr>
        <w:t>obligatoire</w:t>
      </w:r>
      <w:r>
        <w:rPr>
          <w:color w:val="231F20"/>
          <w:spacing w:val="-7"/>
          <w:w w:val="120"/>
        </w:rPr>
        <w:t> </w:t>
      </w:r>
      <w:r>
        <w:rPr>
          <w:color w:val="231F20"/>
          <w:w w:val="120"/>
        </w:rPr>
        <w:t>amène</w:t>
      </w:r>
      <w:r>
        <w:rPr>
          <w:color w:val="231F20"/>
          <w:spacing w:val="-7"/>
          <w:w w:val="120"/>
        </w:rPr>
        <w:t> </w:t>
      </w:r>
      <w:r>
        <w:rPr>
          <w:color w:val="231F20"/>
          <w:w w:val="120"/>
        </w:rPr>
        <w:t>l’adoption</w:t>
      </w:r>
      <w:r>
        <w:rPr>
          <w:color w:val="231F20"/>
          <w:spacing w:val="-7"/>
          <w:w w:val="120"/>
        </w:rPr>
        <w:t> </w:t>
      </w:r>
      <w:r>
        <w:rPr>
          <w:color w:val="231F20"/>
          <w:w w:val="120"/>
        </w:rPr>
        <w:t>de</w:t>
      </w:r>
      <w:r>
        <w:rPr>
          <w:color w:val="231F20"/>
          <w:spacing w:val="-7"/>
          <w:w w:val="120"/>
        </w:rPr>
        <w:t> </w:t>
      </w:r>
      <w:r>
        <w:rPr>
          <w:color w:val="231F20"/>
          <w:w w:val="120"/>
        </w:rPr>
        <w:t>divers</w:t>
      </w:r>
      <w:r>
        <w:rPr>
          <w:color w:val="231F20"/>
          <w:spacing w:val="-7"/>
          <w:w w:val="120"/>
        </w:rPr>
        <w:t> </w:t>
      </w:r>
      <w:r>
        <w:rPr>
          <w:color w:val="231F20"/>
          <w:w w:val="120"/>
        </w:rPr>
        <w:t>comportements </w:t>
      </w:r>
      <w:r>
        <w:rPr>
          <w:color w:val="231F20"/>
          <w:spacing w:val="-2"/>
          <w:w w:val="120"/>
        </w:rPr>
        <w:t>chez</w:t>
      </w:r>
      <w:r>
        <w:rPr>
          <w:color w:val="231F20"/>
          <w:spacing w:val="-5"/>
          <w:w w:val="120"/>
        </w:rPr>
        <w:t> </w:t>
      </w:r>
      <w:r>
        <w:rPr>
          <w:color w:val="231F20"/>
          <w:spacing w:val="-2"/>
          <w:w w:val="120"/>
        </w:rPr>
        <w:t>les</w:t>
      </w:r>
      <w:r>
        <w:rPr>
          <w:color w:val="231F20"/>
          <w:spacing w:val="-5"/>
          <w:w w:val="120"/>
        </w:rPr>
        <w:t> </w:t>
      </w:r>
      <w:r>
        <w:rPr>
          <w:color w:val="231F20"/>
          <w:spacing w:val="-2"/>
          <w:w w:val="120"/>
        </w:rPr>
        <w:t>personnes,</w:t>
      </w:r>
      <w:r>
        <w:rPr>
          <w:color w:val="231F20"/>
          <w:spacing w:val="-5"/>
          <w:w w:val="120"/>
        </w:rPr>
        <w:t> </w:t>
      </w:r>
      <w:r>
        <w:rPr>
          <w:color w:val="231F20"/>
          <w:spacing w:val="-2"/>
          <w:w w:val="120"/>
        </w:rPr>
        <w:t>comportements</w:t>
      </w:r>
      <w:r>
        <w:rPr>
          <w:color w:val="231F20"/>
          <w:spacing w:val="-5"/>
          <w:w w:val="120"/>
        </w:rPr>
        <w:t> </w:t>
      </w:r>
      <w:r>
        <w:rPr>
          <w:color w:val="231F20"/>
          <w:spacing w:val="-2"/>
          <w:w w:val="120"/>
        </w:rPr>
        <w:t>qui</w:t>
      </w:r>
      <w:r>
        <w:rPr>
          <w:color w:val="231F20"/>
          <w:spacing w:val="-5"/>
          <w:w w:val="120"/>
        </w:rPr>
        <w:t> </w:t>
      </w:r>
      <w:r>
        <w:rPr>
          <w:color w:val="231F20"/>
          <w:spacing w:val="-2"/>
          <w:w w:val="120"/>
        </w:rPr>
        <w:t>peuvent</w:t>
      </w:r>
      <w:r>
        <w:rPr>
          <w:color w:val="231F20"/>
          <w:spacing w:val="-5"/>
          <w:w w:val="120"/>
        </w:rPr>
        <w:t> </w:t>
      </w:r>
      <w:r>
        <w:rPr>
          <w:color w:val="231F20"/>
          <w:spacing w:val="-2"/>
          <w:w w:val="120"/>
        </w:rPr>
        <w:t>trahir</w:t>
      </w:r>
      <w:r>
        <w:rPr>
          <w:color w:val="231F20"/>
          <w:spacing w:val="-5"/>
          <w:w w:val="120"/>
        </w:rPr>
        <w:t> </w:t>
      </w:r>
      <w:r>
        <w:rPr>
          <w:color w:val="231F20"/>
          <w:spacing w:val="-2"/>
          <w:w w:val="120"/>
        </w:rPr>
        <w:t>leur</w:t>
      </w:r>
      <w:r>
        <w:rPr>
          <w:color w:val="231F20"/>
          <w:spacing w:val="-5"/>
          <w:w w:val="120"/>
        </w:rPr>
        <w:t> </w:t>
      </w:r>
      <w:r>
        <w:rPr>
          <w:color w:val="231F20"/>
          <w:spacing w:val="-2"/>
          <w:w w:val="120"/>
        </w:rPr>
        <w:t>appartenance </w:t>
      </w:r>
      <w:r>
        <w:rPr>
          <w:color w:val="231F20"/>
          <w:spacing w:val="-4"/>
          <w:w w:val="120"/>
        </w:rPr>
        <w:t>à</w:t>
      </w:r>
      <w:r>
        <w:rPr>
          <w:color w:val="231F20"/>
          <w:spacing w:val="-7"/>
          <w:w w:val="120"/>
        </w:rPr>
        <w:t> </w:t>
      </w:r>
      <w:r>
        <w:rPr>
          <w:color w:val="231F20"/>
          <w:spacing w:val="-4"/>
          <w:w w:val="120"/>
        </w:rPr>
        <w:t>un</w:t>
      </w:r>
      <w:r>
        <w:rPr>
          <w:color w:val="231F20"/>
          <w:spacing w:val="-7"/>
          <w:w w:val="120"/>
        </w:rPr>
        <w:t> </w:t>
      </w:r>
      <w:r>
        <w:rPr>
          <w:color w:val="231F20"/>
          <w:spacing w:val="-4"/>
          <w:w w:val="120"/>
        </w:rPr>
        <w:t>type</w:t>
      </w:r>
      <w:r>
        <w:rPr>
          <w:color w:val="231F20"/>
          <w:spacing w:val="-7"/>
          <w:w w:val="120"/>
        </w:rPr>
        <w:t> </w:t>
      </w:r>
      <w:r>
        <w:rPr>
          <w:color w:val="231F20"/>
          <w:spacing w:val="-4"/>
          <w:w w:val="120"/>
        </w:rPr>
        <w:t>particulier</w:t>
      </w:r>
      <w:r>
        <w:rPr>
          <w:color w:val="231F20"/>
          <w:spacing w:val="-7"/>
          <w:w w:val="120"/>
        </w:rPr>
        <w:t> </w:t>
      </w:r>
      <w:r>
        <w:rPr>
          <w:color w:val="231F20"/>
          <w:spacing w:val="-4"/>
          <w:w w:val="120"/>
        </w:rPr>
        <w:t>de</w:t>
      </w:r>
      <w:r>
        <w:rPr>
          <w:color w:val="231F20"/>
          <w:spacing w:val="-7"/>
          <w:w w:val="120"/>
        </w:rPr>
        <w:t> </w:t>
      </w:r>
      <w:r>
        <w:rPr>
          <w:color w:val="231F20"/>
          <w:spacing w:val="-4"/>
          <w:w w:val="120"/>
        </w:rPr>
        <w:t>personnalité.</w:t>
      </w:r>
      <w:r>
        <w:rPr>
          <w:color w:val="231F20"/>
          <w:spacing w:val="-7"/>
          <w:w w:val="120"/>
        </w:rPr>
        <w:t> </w:t>
      </w:r>
      <w:r>
        <w:rPr>
          <w:color w:val="231F20"/>
          <w:spacing w:val="-4"/>
          <w:w w:val="120"/>
        </w:rPr>
        <w:t>Ainsi,</w:t>
      </w:r>
      <w:r>
        <w:rPr>
          <w:color w:val="231F20"/>
          <w:spacing w:val="-7"/>
          <w:w w:val="120"/>
        </w:rPr>
        <w:t> </w:t>
      </w:r>
      <w:r>
        <w:rPr>
          <w:color w:val="231F20"/>
          <w:spacing w:val="-4"/>
          <w:w w:val="120"/>
        </w:rPr>
        <w:t>une</w:t>
      </w:r>
      <w:r>
        <w:rPr>
          <w:color w:val="231F20"/>
          <w:spacing w:val="-7"/>
          <w:w w:val="120"/>
        </w:rPr>
        <w:t> </w:t>
      </w:r>
      <w:r>
        <w:rPr>
          <w:color w:val="231F20"/>
          <w:spacing w:val="-4"/>
          <w:w w:val="120"/>
        </w:rPr>
        <w:t>attente</w:t>
      </w:r>
      <w:r>
        <w:rPr>
          <w:color w:val="231F20"/>
          <w:spacing w:val="-7"/>
          <w:w w:val="120"/>
        </w:rPr>
        <w:t> </w:t>
      </w:r>
      <w:r>
        <w:rPr>
          <w:color w:val="231F20"/>
          <w:spacing w:val="-4"/>
          <w:w w:val="120"/>
        </w:rPr>
        <w:t>forcée</w:t>
      </w:r>
      <w:r>
        <w:rPr>
          <w:color w:val="231F20"/>
          <w:spacing w:val="-7"/>
          <w:w w:val="120"/>
        </w:rPr>
        <w:t> </w:t>
      </w:r>
      <w:r>
        <w:rPr>
          <w:color w:val="231F20"/>
          <w:spacing w:val="-4"/>
          <w:w w:val="120"/>
        </w:rPr>
        <w:t>de</w:t>
      </w:r>
      <w:r>
        <w:rPr>
          <w:color w:val="231F20"/>
          <w:spacing w:val="-7"/>
          <w:w w:val="120"/>
        </w:rPr>
        <w:t> </w:t>
      </w:r>
      <w:r>
        <w:rPr>
          <w:color w:val="231F20"/>
          <w:spacing w:val="-4"/>
          <w:w w:val="120"/>
        </w:rPr>
        <w:t>quelques </w:t>
      </w:r>
      <w:r>
        <w:rPr>
          <w:color w:val="231F20"/>
          <w:w w:val="120"/>
        </w:rPr>
        <w:t>minutes</w:t>
      </w:r>
      <w:r>
        <w:rPr>
          <w:color w:val="231F20"/>
          <w:spacing w:val="-13"/>
          <w:w w:val="120"/>
        </w:rPr>
        <w:t> </w:t>
      </w:r>
      <w:r>
        <w:rPr>
          <w:color w:val="231F20"/>
          <w:w w:val="120"/>
        </w:rPr>
        <w:t>provoquera</w:t>
      </w:r>
      <w:r>
        <w:rPr>
          <w:color w:val="231F20"/>
          <w:spacing w:val="-13"/>
          <w:w w:val="120"/>
        </w:rPr>
        <w:t> </w:t>
      </w:r>
      <w:r>
        <w:rPr>
          <w:color w:val="231F20"/>
          <w:w w:val="120"/>
        </w:rPr>
        <w:t>chez</w:t>
      </w:r>
      <w:r>
        <w:rPr>
          <w:color w:val="231F20"/>
          <w:spacing w:val="-13"/>
          <w:w w:val="120"/>
        </w:rPr>
        <w:t> </w:t>
      </w:r>
      <w:r>
        <w:rPr>
          <w:color w:val="231F20"/>
          <w:w w:val="120"/>
        </w:rPr>
        <w:t>certains</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frustration,</w:t>
      </w:r>
      <w:r>
        <w:rPr>
          <w:color w:val="231F20"/>
          <w:spacing w:val="-13"/>
          <w:w w:val="120"/>
        </w:rPr>
        <w:t> </w:t>
      </w:r>
      <w:r>
        <w:rPr>
          <w:color w:val="231F20"/>
          <w:w w:val="120"/>
        </w:rPr>
        <w:t>du</w:t>
      </w:r>
      <w:r>
        <w:rPr>
          <w:color w:val="231F20"/>
          <w:spacing w:val="-12"/>
          <w:w w:val="120"/>
        </w:rPr>
        <w:t> </w:t>
      </w:r>
      <w:r>
        <w:rPr>
          <w:color w:val="231F20"/>
          <w:w w:val="120"/>
        </w:rPr>
        <w:t>mécontentement, parfois même de la colère. Ces personnes ont horreur de l’inaction et </w:t>
      </w:r>
      <w:r>
        <w:rPr>
          <w:color w:val="231F20"/>
          <w:w w:val="115"/>
        </w:rPr>
        <w:t>chercheront</w:t>
      </w:r>
      <w:r>
        <w:rPr>
          <w:color w:val="231F20"/>
          <w:spacing w:val="-13"/>
          <w:w w:val="115"/>
        </w:rPr>
        <w:t> </w:t>
      </w:r>
      <w:r>
        <w:rPr>
          <w:color w:val="231F20"/>
          <w:w w:val="115"/>
        </w:rPr>
        <w:t>à</w:t>
      </w:r>
      <w:r>
        <w:rPr>
          <w:color w:val="231F20"/>
          <w:spacing w:val="-1"/>
          <w:w w:val="115"/>
        </w:rPr>
        <w:t> </w:t>
      </w:r>
      <w:r>
        <w:rPr>
          <w:color w:val="231F20"/>
          <w:w w:val="115"/>
        </w:rPr>
        <w:t>occuper ce «</w:t>
      </w:r>
      <w:r>
        <w:rPr>
          <w:color w:val="231F20"/>
          <w:spacing w:val="-13"/>
          <w:w w:val="115"/>
        </w:rPr>
        <w:t> </w:t>
      </w:r>
      <w:r>
        <w:rPr>
          <w:color w:val="231F20"/>
          <w:w w:val="115"/>
        </w:rPr>
        <w:t>temps perdu» par les activités immédiatement disponibles. Ils liront les magazines aux abords des caisses, parleront ou </w:t>
      </w:r>
      <w:r>
        <w:rPr>
          <w:color w:val="231F20"/>
          <w:w w:val="120"/>
        </w:rPr>
        <w:t>consulteront</w:t>
      </w:r>
      <w:r>
        <w:rPr>
          <w:color w:val="231F20"/>
          <w:spacing w:val="-13"/>
          <w:w w:val="120"/>
        </w:rPr>
        <w:t> </w:t>
      </w:r>
      <w:r>
        <w:rPr>
          <w:color w:val="231F20"/>
          <w:w w:val="120"/>
        </w:rPr>
        <w:t>leur</w:t>
      </w:r>
      <w:r>
        <w:rPr>
          <w:color w:val="231F20"/>
          <w:spacing w:val="-13"/>
          <w:w w:val="120"/>
        </w:rPr>
        <w:t> </w:t>
      </w:r>
      <w:r>
        <w:rPr>
          <w:color w:val="231F20"/>
          <w:w w:val="120"/>
        </w:rPr>
        <w:t>cellulaire,</w:t>
      </w:r>
      <w:r>
        <w:rPr>
          <w:color w:val="231F20"/>
          <w:spacing w:val="-13"/>
          <w:w w:val="120"/>
        </w:rPr>
        <w:t> </w:t>
      </w:r>
      <w:r>
        <w:rPr>
          <w:color w:val="231F20"/>
          <w:w w:val="120"/>
        </w:rPr>
        <w:t>tout</w:t>
      </w:r>
      <w:r>
        <w:rPr>
          <w:color w:val="231F20"/>
          <w:spacing w:val="-12"/>
          <w:w w:val="120"/>
        </w:rPr>
        <w:t> </w:t>
      </w:r>
      <w:r>
        <w:rPr>
          <w:color w:val="231F20"/>
          <w:w w:val="120"/>
        </w:rPr>
        <w:t>en</w:t>
      </w:r>
      <w:r>
        <w:rPr>
          <w:color w:val="231F20"/>
          <w:spacing w:val="-13"/>
          <w:w w:val="120"/>
        </w:rPr>
        <w:t> </w:t>
      </w:r>
      <w:r>
        <w:rPr>
          <w:color w:val="231F20"/>
          <w:w w:val="120"/>
        </w:rPr>
        <w:t>maugréant</w:t>
      </w:r>
      <w:r>
        <w:rPr>
          <w:color w:val="231F20"/>
          <w:spacing w:val="-13"/>
          <w:w w:val="120"/>
        </w:rPr>
        <w:t> </w:t>
      </w:r>
      <w:r>
        <w:rPr>
          <w:color w:val="231F20"/>
          <w:w w:val="120"/>
        </w:rPr>
        <w:t>abondamment</w:t>
      </w:r>
      <w:r>
        <w:rPr>
          <w:color w:val="231F20"/>
          <w:spacing w:val="-13"/>
          <w:w w:val="120"/>
        </w:rPr>
        <w:t> </w:t>
      </w:r>
      <w:r>
        <w:rPr>
          <w:color w:val="231F20"/>
          <w:w w:val="120"/>
        </w:rPr>
        <w:t>pour</w:t>
      </w:r>
      <w:r>
        <w:rPr>
          <w:color w:val="231F20"/>
          <w:spacing w:val="-12"/>
          <w:w w:val="120"/>
        </w:rPr>
        <w:t> </w:t>
      </w:r>
      <w:r>
        <w:rPr>
          <w:color w:val="231F20"/>
          <w:w w:val="120"/>
        </w:rPr>
        <w:t>cette attente injustifiable. Les personnes qui ont de tels comportements ont possiblement</w:t>
      </w:r>
      <w:r>
        <w:rPr>
          <w:color w:val="231F20"/>
          <w:spacing w:val="-13"/>
          <w:w w:val="120"/>
        </w:rPr>
        <w:t> </w:t>
      </w:r>
      <w:r>
        <w:rPr>
          <w:color w:val="231F20"/>
          <w:w w:val="120"/>
        </w:rPr>
        <w:t>une</w:t>
      </w:r>
      <w:r>
        <w:rPr>
          <w:color w:val="231F20"/>
          <w:spacing w:val="-13"/>
          <w:w w:val="120"/>
        </w:rPr>
        <w:t> </w:t>
      </w:r>
      <w:r>
        <w:rPr>
          <w:color w:val="231F20"/>
          <w:w w:val="120"/>
        </w:rPr>
        <w:t>personnalité</w:t>
      </w:r>
      <w:r>
        <w:rPr>
          <w:color w:val="231F20"/>
          <w:spacing w:val="-13"/>
          <w:w w:val="120"/>
        </w:rPr>
        <w:t> </w:t>
      </w:r>
      <w:r>
        <w:rPr>
          <w:color w:val="231F20"/>
          <w:w w:val="120"/>
        </w:rPr>
        <w:t>de</w:t>
      </w:r>
      <w:r>
        <w:rPr>
          <w:color w:val="231F20"/>
          <w:spacing w:val="-12"/>
          <w:w w:val="120"/>
        </w:rPr>
        <w:t> </w:t>
      </w:r>
      <w:r>
        <w:rPr>
          <w:color w:val="231F20"/>
          <w:w w:val="120"/>
        </w:rPr>
        <w:t>type</w:t>
      </w:r>
      <w:r>
        <w:rPr>
          <w:color w:val="231F20"/>
          <w:spacing w:val="-13"/>
          <w:w w:val="120"/>
        </w:rPr>
        <w:t> </w:t>
      </w:r>
      <w:r>
        <w:rPr>
          <w:color w:val="231F20"/>
          <w:w w:val="120"/>
        </w:rPr>
        <w:t>A.</w:t>
      </w:r>
      <w:r>
        <w:rPr>
          <w:color w:val="231F20"/>
          <w:spacing w:val="-13"/>
          <w:w w:val="120"/>
        </w:rPr>
        <w:t> </w:t>
      </w:r>
      <w:r>
        <w:rPr>
          <w:color w:val="231F20"/>
          <w:w w:val="120"/>
        </w:rPr>
        <w:t>D’autres</w:t>
      </w:r>
      <w:r>
        <w:rPr>
          <w:color w:val="231F20"/>
          <w:spacing w:val="-13"/>
          <w:w w:val="120"/>
        </w:rPr>
        <w:t> </w:t>
      </w:r>
      <w:r>
        <w:rPr>
          <w:color w:val="231F20"/>
          <w:w w:val="120"/>
        </w:rPr>
        <w:t>personnes</w:t>
      </w:r>
      <w:r>
        <w:rPr>
          <w:color w:val="231F20"/>
          <w:spacing w:val="-12"/>
          <w:w w:val="120"/>
        </w:rPr>
        <w:t> </w:t>
      </w:r>
      <w:r>
        <w:rPr>
          <w:color w:val="231F20"/>
          <w:w w:val="120"/>
        </w:rPr>
        <w:t>dans</w:t>
      </w:r>
      <w:r>
        <w:rPr>
          <w:color w:val="231F20"/>
          <w:spacing w:val="-13"/>
          <w:w w:val="120"/>
        </w:rPr>
        <w:t> </w:t>
      </w:r>
      <w:r>
        <w:rPr>
          <w:color w:val="231F20"/>
          <w:w w:val="120"/>
        </w:rPr>
        <w:t>cette même</w:t>
      </w:r>
      <w:r>
        <w:rPr>
          <w:color w:val="231F20"/>
          <w:spacing w:val="-13"/>
          <w:w w:val="120"/>
        </w:rPr>
        <w:t> </w:t>
      </w:r>
      <w:r>
        <w:rPr>
          <w:color w:val="231F20"/>
          <w:w w:val="120"/>
        </w:rPr>
        <w:t>file</w:t>
      </w:r>
      <w:r>
        <w:rPr>
          <w:color w:val="231F20"/>
          <w:spacing w:val="-13"/>
          <w:w w:val="120"/>
        </w:rPr>
        <w:t> </w:t>
      </w:r>
      <w:r>
        <w:rPr>
          <w:color w:val="231F20"/>
          <w:w w:val="120"/>
        </w:rPr>
        <w:t>d’attente</w:t>
      </w:r>
      <w:r>
        <w:rPr>
          <w:color w:val="231F20"/>
          <w:spacing w:val="-13"/>
          <w:w w:val="120"/>
        </w:rPr>
        <w:t> </w:t>
      </w:r>
      <w:r>
        <w:rPr>
          <w:color w:val="231F20"/>
          <w:w w:val="120"/>
        </w:rPr>
        <w:t>chercheront</w:t>
      </w:r>
      <w:r>
        <w:rPr>
          <w:color w:val="231F20"/>
          <w:spacing w:val="-12"/>
          <w:w w:val="120"/>
        </w:rPr>
        <w:t> </w:t>
      </w:r>
      <w:r>
        <w:rPr>
          <w:color w:val="231F20"/>
          <w:w w:val="120"/>
        </w:rPr>
        <w:t>à</w:t>
      </w:r>
      <w:r>
        <w:rPr>
          <w:color w:val="231F20"/>
          <w:spacing w:val="-13"/>
          <w:w w:val="120"/>
        </w:rPr>
        <w:t> </w:t>
      </w:r>
      <w:r>
        <w:rPr>
          <w:color w:val="231F20"/>
          <w:w w:val="120"/>
        </w:rPr>
        <w:t>comprendre</w:t>
      </w:r>
      <w:r>
        <w:rPr>
          <w:color w:val="231F20"/>
          <w:spacing w:val="-13"/>
          <w:w w:val="120"/>
        </w:rPr>
        <w:t> </w:t>
      </w:r>
      <w:r>
        <w:rPr>
          <w:color w:val="231F20"/>
          <w:w w:val="120"/>
        </w:rPr>
        <w:t>ce</w:t>
      </w:r>
      <w:r>
        <w:rPr>
          <w:color w:val="231F20"/>
          <w:spacing w:val="-13"/>
          <w:w w:val="120"/>
        </w:rPr>
        <w:t> </w:t>
      </w:r>
      <w:r>
        <w:rPr>
          <w:color w:val="231F20"/>
          <w:w w:val="120"/>
        </w:rPr>
        <w:t>qui</w:t>
      </w:r>
      <w:r>
        <w:rPr>
          <w:color w:val="231F20"/>
          <w:spacing w:val="-12"/>
          <w:w w:val="120"/>
        </w:rPr>
        <w:t> </w:t>
      </w:r>
      <w:r>
        <w:rPr>
          <w:color w:val="231F20"/>
          <w:w w:val="120"/>
        </w:rPr>
        <w:t>se</w:t>
      </w:r>
      <w:r>
        <w:rPr>
          <w:color w:val="231F20"/>
          <w:spacing w:val="-13"/>
          <w:w w:val="120"/>
        </w:rPr>
        <w:t> </w:t>
      </w:r>
      <w:r>
        <w:rPr>
          <w:color w:val="231F20"/>
          <w:w w:val="120"/>
        </w:rPr>
        <w:t>passe.</w:t>
      </w:r>
      <w:r>
        <w:rPr>
          <w:color w:val="231F20"/>
          <w:spacing w:val="-13"/>
          <w:w w:val="120"/>
        </w:rPr>
        <w:t> </w:t>
      </w:r>
      <w:r>
        <w:rPr>
          <w:color w:val="231F20"/>
          <w:w w:val="120"/>
        </w:rPr>
        <w:t>Analyse- ront</w:t>
      </w:r>
      <w:r>
        <w:rPr>
          <w:color w:val="231F20"/>
          <w:spacing w:val="-15"/>
          <w:w w:val="120"/>
        </w:rPr>
        <w:t> </w:t>
      </w:r>
      <w:r>
        <w:rPr>
          <w:color w:val="231F20"/>
          <w:w w:val="120"/>
        </w:rPr>
        <w:t>le</w:t>
      </w:r>
      <w:r>
        <w:rPr>
          <w:color w:val="231F20"/>
          <w:spacing w:val="-13"/>
          <w:w w:val="120"/>
        </w:rPr>
        <w:t> </w:t>
      </w:r>
      <w:r>
        <w:rPr>
          <w:color w:val="231F20"/>
          <w:w w:val="120"/>
        </w:rPr>
        <w:t>nombre</w:t>
      </w:r>
      <w:r>
        <w:rPr>
          <w:color w:val="231F20"/>
          <w:spacing w:val="-13"/>
          <w:w w:val="120"/>
        </w:rPr>
        <w:t> </w:t>
      </w:r>
      <w:r>
        <w:rPr>
          <w:color w:val="231F20"/>
          <w:w w:val="120"/>
        </w:rPr>
        <w:t>de</w:t>
      </w:r>
      <w:r>
        <w:rPr>
          <w:color w:val="231F20"/>
          <w:spacing w:val="-12"/>
          <w:w w:val="120"/>
        </w:rPr>
        <w:t> </w:t>
      </w:r>
      <w:r>
        <w:rPr>
          <w:color w:val="231F20"/>
          <w:w w:val="120"/>
        </w:rPr>
        <w:t>caisses</w:t>
      </w:r>
      <w:r>
        <w:rPr>
          <w:color w:val="231F20"/>
          <w:spacing w:val="-13"/>
          <w:w w:val="120"/>
        </w:rPr>
        <w:t> </w:t>
      </w:r>
      <w:r>
        <w:rPr>
          <w:color w:val="231F20"/>
          <w:w w:val="120"/>
        </w:rPr>
        <w:t>disponibles,</w:t>
      </w:r>
      <w:r>
        <w:rPr>
          <w:color w:val="231F20"/>
          <w:spacing w:val="-13"/>
          <w:w w:val="120"/>
        </w:rPr>
        <w:t> </w:t>
      </w:r>
      <w:r>
        <w:rPr>
          <w:color w:val="231F20"/>
          <w:w w:val="120"/>
        </w:rPr>
        <w:t>les</w:t>
      </w:r>
      <w:r>
        <w:rPr>
          <w:color w:val="231F20"/>
          <w:spacing w:val="-13"/>
          <w:w w:val="120"/>
        </w:rPr>
        <w:t> </w:t>
      </w:r>
      <w:r>
        <w:rPr>
          <w:color w:val="231F20"/>
          <w:w w:val="120"/>
        </w:rPr>
        <w:t>raisons</w:t>
      </w:r>
      <w:r>
        <w:rPr>
          <w:color w:val="231F20"/>
          <w:spacing w:val="-12"/>
          <w:w w:val="120"/>
        </w:rPr>
        <w:t> </w:t>
      </w:r>
      <w:r>
        <w:rPr>
          <w:color w:val="231F20"/>
          <w:w w:val="120"/>
        </w:rPr>
        <w:t>menant</w:t>
      </w:r>
      <w:r>
        <w:rPr>
          <w:color w:val="231F20"/>
          <w:spacing w:val="-13"/>
          <w:w w:val="120"/>
        </w:rPr>
        <w:t> </w:t>
      </w:r>
      <w:r>
        <w:rPr>
          <w:color w:val="231F20"/>
          <w:w w:val="120"/>
        </w:rPr>
        <w:t>à</w:t>
      </w:r>
      <w:r>
        <w:rPr>
          <w:color w:val="231F20"/>
          <w:spacing w:val="-13"/>
          <w:w w:val="120"/>
        </w:rPr>
        <w:t> </w:t>
      </w:r>
      <w:r>
        <w:rPr>
          <w:color w:val="231F20"/>
          <w:w w:val="120"/>
        </w:rPr>
        <w:t>ce</w:t>
      </w:r>
      <w:r>
        <w:rPr>
          <w:color w:val="231F20"/>
          <w:spacing w:val="-13"/>
          <w:w w:val="120"/>
        </w:rPr>
        <w:t> </w:t>
      </w:r>
      <w:r>
        <w:rPr>
          <w:color w:val="231F20"/>
          <w:w w:val="120"/>
        </w:rPr>
        <w:t>délai.</w:t>
      </w:r>
      <w:r>
        <w:rPr>
          <w:color w:val="231F20"/>
          <w:spacing w:val="-12"/>
          <w:w w:val="120"/>
        </w:rPr>
        <w:t> </w:t>
      </w:r>
      <w:r>
        <w:rPr>
          <w:color w:val="231F20"/>
          <w:w w:val="120"/>
        </w:rPr>
        <w:t>Ces individus entameront souvent la discussion avec d’autres personnes, </w:t>
      </w:r>
      <w:r>
        <w:rPr>
          <w:color w:val="231F20"/>
          <w:w w:val="115"/>
        </w:rPr>
        <w:t>clients</w:t>
      </w:r>
      <w:r>
        <w:rPr>
          <w:color w:val="231F20"/>
          <w:spacing w:val="-5"/>
          <w:w w:val="115"/>
        </w:rPr>
        <w:t> </w:t>
      </w:r>
      <w:r>
        <w:rPr>
          <w:color w:val="231F20"/>
          <w:w w:val="115"/>
        </w:rPr>
        <w:t>ou</w:t>
      </w:r>
      <w:r>
        <w:rPr>
          <w:color w:val="231F20"/>
          <w:spacing w:val="-5"/>
          <w:w w:val="115"/>
        </w:rPr>
        <w:t> </w:t>
      </w:r>
      <w:r>
        <w:rPr>
          <w:color w:val="231F20"/>
          <w:w w:val="115"/>
        </w:rPr>
        <w:t>employés,</w:t>
      </w:r>
      <w:r>
        <w:rPr>
          <w:color w:val="231F20"/>
          <w:spacing w:val="-5"/>
          <w:w w:val="115"/>
        </w:rPr>
        <w:t> </w:t>
      </w:r>
      <w:r>
        <w:rPr>
          <w:color w:val="231F20"/>
          <w:w w:val="115"/>
        </w:rPr>
        <w:t>pour</w:t>
      </w:r>
      <w:r>
        <w:rPr>
          <w:color w:val="231F20"/>
          <w:spacing w:val="-5"/>
          <w:w w:val="115"/>
        </w:rPr>
        <w:t> </w:t>
      </w:r>
      <w:r>
        <w:rPr>
          <w:color w:val="231F20"/>
          <w:w w:val="115"/>
        </w:rPr>
        <w:t>comprendre</w:t>
      </w:r>
      <w:r>
        <w:rPr>
          <w:color w:val="231F20"/>
          <w:spacing w:val="-5"/>
          <w:w w:val="115"/>
        </w:rPr>
        <w:t> </w:t>
      </w:r>
      <w:r>
        <w:rPr>
          <w:color w:val="231F20"/>
          <w:w w:val="115"/>
        </w:rPr>
        <w:t>la</w:t>
      </w:r>
      <w:r>
        <w:rPr>
          <w:color w:val="231F20"/>
          <w:spacing w:val="-5"/>
          <w:w w:val="115"/>
        </w:rPr>
        <w:t> </w:t>
      </w:r>
      <w:r>
        <w:rPr>
          <w:color w:val="231F20"/>
          <w:w w:val="115"/>
        </w:rPr>
        <w:t>situation.</w:t>
      </w:r>
      <w:r>
        <w:rPr>
          <w:color w:val="231F20"/>
          <w:spacing w:val="-5"/>
          <w:w w:val="115"/>
        </w:rPr>
        <w:t> </w:t>
      </w:r>
      <w:r>
        <w:rPr>
          <w:color w:val="231F20"/>
          <w:w w:val="115"/>
        </w:rPr>
        <w:t>Ces</w:t>
      </w:r>
      <w:r>
        <w:rPr>
          <w:color w:val="231F20"/>
          <w:spacing w:val="-5"/>
          <w:w w:val="115"/>
        </w:rPr>
        <w:t> </w:t>
      </w:r>
      <w:r>
        <w:rPr>
          <w:color w:val="231F20"/>
          <w:w w:val="115"/>
        </w:rPr>
        <w:t>clients</w:t>
      </w:r>
      <w:r>
        <w:rPr>
          <w:color w:val="231F20"/>
          <w:spacing w:val="-5"/>
          <w:w w:val="115"/>
        </w:rPr>
        <w:t> </w:t>
      </w:r>
      <w:r>
        <w:rPr>
          <w:color w:val="231F20"/>
          <w:w w:val="115"/>
        </w:rPr>
        <w:t>plus</w:t>
      </w:r>
      <w:r>
        <w:rPr>
          <w:color w:val="231F20"/>
          <w:spacing w:val="-5"/>
          <w:w w:val="115"/>
        </w:rPr>
        <w:t> </w:t>
      </w:r>
      <w:r>
        <w:rPr>
          <w:color w:val="231F20"/>
          <w:w w:val="115"/>
        </w:rPr>
        <w:t>analy- </w:t>
      </w:r>
      <w:r>
        <w:rPr>
          <w:color w:val="231F20"/>
          <w:spacing w:val="-2"/>
          <w:w w:val="120"/>
        </w:rPr>
        <w:t>tiques</w:t>
      </w:r>
      <w:r>
        <w:rPr>
          <w:color w:val="231F20"/>
          <w:spacing w:val="-8"/>
          <w:w w:val="120"/>
        </w:rPr>
        <w:t> </w:t>
      </w:r>
      <w:r>
        <w:rPr>
          <w:color w:val="231F20"/>
          <w:spacing w:val="-2"/>
          <w:w w:val="120"/>
        </w:rPr>
        <w:t>et</w:t>
      </w:r>
      <w:r>
        <w:rPr>
          <w:color w:val="231F20"/>
          <w:spacing w:val="-8"/>
          <w:w w:val="120"/>
        </w:rPr>
        <w:t> </w:t>
      </w:r>
      <w:r>
        <w:rPr>
          <w:color w:val="231F20"/>
          <w:spacing w:val="-2"/>
          <w:w w:val="120"/>
        </w:rPr>
        <w:t>calmes</w:t>
      </w:r>
      <w:r>
        <w:rPr>
          <w:color w:val="231F20"/>
          <w:spacing w:val="-8"/>
          <w:w w:val="120"/>
        </w:rPr>
        <w:t> </w:t>
      </w:r>
      <w:r>
        <w:rPr>
          <w:color w:val="231F20"/>
          <w:spacing w:val="-2"/>
          <w:w w:val="120"/>
        </w:rPr>
        <w:t>ont</w:t>
      </w:r>
      <w:r>
        <w:rPr>
          <w:color w:val="231F20"/>
          <w:spacing w:val="-8"/>
          <w:w w:val="120"/>
        </w:rPr>
        <w:t> </w:t>
      </w:r>
      <w:r>
        <w:rPr>
          <w:color w:val="231F20"/>
          <w:spacing w:val="-2"/>
          <w:w w:val="120"/>
        </w:rPr>
        <w:t>davantage</w:t>
      </w:r>
      <w:r>
        <w:rPr>
          <w:color w:val="231F20"/>
          <w:spacing w:val="-8"/>
          <w:w w:val="120"/>
        </w:rPr>
        <w:t> </w:t>
      </w:r>
      <w:r>
        <w:rPr>
          <w:color w:val="231F20"/>
          <w:spacing w:val="-2"/>
          <w:w w:val="120"/>
        </w:rPr>
        <w:t>des</w:t>
      </w:r>
      <w:r>
        <w:rPr>
          <w:color w:val="231F20"/>
          <w:spacing w:val="-8"/>
          <w:w w:val="120"/>
        </w:rPr>
        <w:t> </w:t>
      </w:r>
      <w:r>
        <w:rPr>
          <w:color w:val="231F20"/>
          <w:spacing w:val="-2"/>
          <w:w w:val="120"/>
        </w:rPr>
        <w:t>comportements</w:t>
      </w:r>
      <w:r>
        <w:rPr>
          <w:color w:val="231F20"/>
          <w:spacing w:val="-8"/>
          <w:w w:val="120"/>
        </w:rPr>
        <w:t> </w:t>
      </w:r>
      <w:r>
        <w:rPr>
          <w:color w:val="231F20"/>
          <w:spacing w:val="-2"/>
          <w:w w:val="120"/>
        </w:rPr>
        <w:t>pouvant</w:t>
      </w:r>
      <w:r>
        <w:rPr>
          <w:color w:val="231F20"/>
          <w:spacing w:val="-8"/>
          <w:w w:val="120"/>
        </w:rPr>
        <w:t> </w:t>
      </w:r>
      <w:r>
        <w:rPr>
          <w:color w:val="231F20"/>
          <w:spacing w:val="-2"/>
          <w:w w:val="120"/>
        </w:rPr>
        <w:t>être</w:t>
      </w:r>
      <w:r>
        <w:rPr>
          <w:color w:val="231F20"/>
          <w:spacing w:val="-8"/>
          <w:w w:val="120"/>
        </w:rPr>
        <w:t> </w:t>
      </w:r>
      <w:r>
        <w:rPr>
          <w:color w:val="231F20"/>
          <w:spacing w:val="-2"/>
          <w:w w:val="120"/>
        </w:rPr>
        <w:t>associés à</w:t>
      </w:r>
      <w:r>
        <w:rPr>
          <w:color w:val="231F20"/>
          <w:spacing w:val="-11"/>
          <w:w w:val="120"/>
        </w:rPr>
        <w:t> </w:t>
      </w:r>
      <w:r>
        <w:rPr>
          <w:color w:val="231F20"/>
          <w:spacing w:val="-2"/>
          <w:w w:val="120"/>
        </w:rPr>
        <w:t>la</w:t>
      </w:r>
      <w:r>
        <w:rPr>
          <w:color w:val="231F20"/>
          <w:spacing w:val="-11"/>
          <w:w w:val="120"/>
        </w:rPr>
        <w:t> </w:t>
      </w:r>
      <w:r>
        <w:rPr>
          <w:color w:val="231F20"/>
          <w:spacing w:val="-2"/>
          <w:w w:val="120"/>
        </w:rPr>
        <w:t>personnalité</w:t>
      </w:r>
      <w:r>
        <w:rPr>
          <w:color w:val="231F20"/>
          <w:spacing w:val="-11"/>
          <w:w w:val="120"/>
        </w:rPr>
        <w:t> </w:t>
      </w:r>
      <w:r>
        <w:rPr>
          <w:color w:val="231F20"/>
          <w:spacing w:val="-2"/>
          <w:w w:val="120"/>
        </w:rPr>
        <w:t>de</w:t>
      </w:r>
      <w:r>
        <w:rPr>
          <w:color w:val="231F20"/>
          <w:spacing w:val="-10"/>
          <w:w w:val="120"/>
        </w:rPr>
        <w:t> </w:t>
      </w:r>
      <w:r>
        <w:rPr>
          <w:color w:val="231F20"/>
          <w:spacing w:val="-2"/>
          <w:w w:val="120"/>
        </w:rPr>
        <w:t>type</w:t>
      </w:r>
      <w:r>
        <w:rPr>
          <w:color w:val="231F20"/>
          <w:spacing w:val="-11"/>
          <w:w w:val="120"/>
        </w:rPr>
        <w:t> </w:t>
      </w:r>
      <w:r>
        <w:rPr>
          <w:color w:val="231F20"/>
          <w:spacing w:val="-2"/>
          <w:w w:val="120"/>
        </w:rPr>
        <w:t>B.</w:t>
      </w:r>
      <w:r>
        <w:rPr>
          <w:color w:val="231F20"/>
          <w:spacing w:val="-11"/>
          <w:w w:val="120"/>
        </w:rPr>
        <w:t> </w:t>
      </w:r>
      <w:r>
        <w:rPr>
          <w:color w:val="231F20"/>
          <w:spacing w:val="-2"/>
          <w:w w:val="120"/>
        </w:rPr>
        <w:t>Finalement,</w:t>
      </w:r>
      <w:r>
        <w:rPr>
          <w:color w:val="231F20"/>
          <w:spacing w:val="-11"/>
          <w:w w:val="120"/>
        </w:rPr>
        <w:t> </w:t>
      </w:r>
      <w:r>
        <w:rPr>
          <w:color w:val="231F20"/>
          <w:spacing w:val="-2"/>
          <w:w w:val="120"/>
        </w:rPr>
        <w:t>les</w:t>
      </w:r>
      <w:r>
        <w:rPr>
          <w:color w:val="231F20"/>
          <w:spacing w:val="-10"/>
          <w:w w:val="120"/>
        </w:rPr>
        <w:t> </w:t>
      </w:r>
      <w:r>
        <w:rPr>
          <w:color w:val="231F20"/>
          <w:spacing w:val="-2"/>
          <w:w w:val="120"/>
        </w:rPr>
        <w:t>clients</w:t>
      </w:r>
      <w:r>
        <w:rPr>
          <w:color w:val="231F20"/>
          <w:spacing w:val="-11"/>
          <w:w w:val="120"/>
        </w:rPr>
        <w:t> </w:t>
      </w:r>
      <w:r>
        <w:rPr>
          <w:color w:val="231F20"/>
          <w:spacing w:val="-2"/>
          <w:w w:val="120"/>
        </w:rPr>
        <w:t>ayant</w:t>
      </w:r>
      <w:r>
        <w:rPr>
          <w:color w:val="231F20"/>
          <w:spacing w:val="-11"/>
          <w:w w:val="120"/>
        </w:rPr>
        <w:t> </w:t>
      </w:r>
      <w:r>
        <w:rPr>
          <w:color w:val="231F20"/>
          <w:spacing w:val="-2"/>
          <w:w w:val="120"/>
        </w:rPr>
        <w:t>une</w:t>
      </w:r>
      <w:r>
        <w:rPr>
          <w:color w:val="231F20"/>
          <w:spacing w:val="-11"/>
          <w:w w:val="120"/>
        </w:rPr>
        <w:t> </w:t>
      </w:r>
      <w:r>
        <w:rPr>
          <w:color w:val="231F20"/>
          <w:spacing w:val="-2"/>
          <w:w w:val="120"/>
        </w:rPr>
        <w:t>personnalité </w:t>
      </w:r>
      <w:r>
        <w:rPr>
          <w:color w:val="231F20"/>
          <w:w w:val="120"/>
        </w:rPr>
        <w:t>de type C feront preuve de résignation et attendront patiemment, sans </w:t>
      </w:r>
      <w:r>
        <w:rPr>
          <w:color w:val="231F20"/>
          <w:spacing w:val="-2"/>
          <w:w w:val="120"/>
        </w:rPr>
        <w:t>broncher.</w:t>
      </w:r>
      <w:r>
        <w:rPr>
          <w:color w:val="231F20"/>
          <w:spacing w:val="-6"/>
          <w:w w:val="120"/>
        </w:rPr>
        <w:t> </w:t>
      </w:r>
      <w:r>
        <w:rPr>
          <w:color w:val="231F20"/>
          <w:spacing w:val="-2"/>
          <w:w w:val="120"/>
        </w:rPr>
        <w:t>Après</w:t>
      </w:r>
      <w:r>
        <w:rPr>
          <w:color w:val="231F20"/>
          <w:spacing w:val="-6"/>
          <w:w w:val="120"/>
        </w:rPr>
        <w:t> </w:t>
      </w:r>
      <w:r>
        <w:rPr>
          <w:color w:val="231F20"/>
          <w:spacing w:val="-2"/>
          <w:w w:val="120"/>
        </w:rPr>
        <w:t>tout,</w:t>
      </w:r>
      <w:r>
        <w:rPr>
          <w:color w:val="231F20"/>
          <w:spacing w:val="-6"/>
          <w:w w:val="120"/>
        </w:rPr>
        <w:t> </w:t>
      </w:r>
      <w:r>
        <w:rPr>
          <w:color w:val="231F20"/>
          <w:spacing w:val="-2"/>
          <w:w w:val="120"/>
        </w:rPr>
        <w:t>il</w:t>
      </w:r>
      <w:r>
        <w:rPr>
          <w:color w:val="231F20"/>
          <w:spacing w:val="-6"/>
          <w:w w:val="120"/>
        </w:rPr>
        <w:t> </w:t>
      </w:r>
      <w:r>
        <w:rPr>
          <w:color w:val="231F20"/>
          <w:spacing w:val="-2"/>
          <w:w w:val="120"/>
        </w:rPr>
        <w:t>ne</w:t>
      </w:r>
      <w:r>
        <w:rPr>
          <w:color w:val="231F20"/>
          <w:spacing w:val="-6"/>
          <w:w w:val="120"/>
        </w:rPr>
        <w:t> </w:t>
      </w:r>
      <w:r>
        <w:rPr>
          <w:color w:val="231F20"/>
          <w:spacing w:val="-2"/>
          <w:w w:val="120"/>
        </w:rPr>
        <w:t>s’agit</w:t>
      </w:r>
      <w:r>
        <w:rPr>
          <w:color w:val="231F20"/>
          <w:spacing w:val="-6"/>
          <w:w w:val="120"/>
        </w:rPr>
        <w:t> </w:t>
      </w:r>
      <w:r>
        <w:rPr>
          <w:color w:val="231F20"/>
          <w:spacing w:val="-2"/>
          <w:w w:val="120"/>
        </w:rPr>
        <w:t>que</w:t>
      </w:r>
      <w:r>
        <w:rPr>
          <w:color w:val="231F20"/>
          <w:spacing w:val="-6"/>
          <w:w w:val="120"/>
        </w:rPr>
        <w:t> </w:t>
      </w:r>
      <w:r>
        <w:rPr>
          <w:color w:val="231F20"/>
          <w:spacing w:val="-2"/>
          <w:w w:val="120"/>
        </w:rPr>
        <w:t>de</w:t>
      </w:r>
      <w:r>
        <w:rPr>
          <w:color w:val="231F20"/>
          <w:spacing w:val="-6"/>
          <w:w w:val="120"/>
        </w:rPr>
        <w:t> </w:t>
      </w:r>
      <w:r>
        <w:rPr>
          <w:color w:val="231F20"/>
          <w:spacing w:val="-2"/>
          <w:w w:val="120"/>
        </w:rPr>
        <w:t>quelques</w:t>
      </w:r>
      <w:r>
        <w:rPr>
          <w:color w:val="231F20"/>
          <w:spacing w:val="-6"/>
          <w:w w:val="120"/>
        </w:rPr>
        <w:t> </w:t>
      </w:r>
      <w:r>
        <w:rPr>
          <w:color w:val="231F20"/>
          <w:spacing w:val="-2"/>
          <w:w w:val="120"/>
        </w:rPr>
        <w:t>minutes</w:t>
      </w:r>
      <w:r>
        <w:rPr>
          <w:color w:val="231F20"/>
          <w:spacing w:val="-6"/>
          <w:w w:val="120"/>
        </w:rPr>
        <w:t> </w:t>
      </w:r>
      <w:r>
        <w:rPr>
          <w:color w:val="231F20"/>
          <w:spacing w:val="-2"/>
          <w:w w:val="120"/>
        </w:rPr>
        <w:t>d’attente</w:t>
      </w:r>
      <w:r>
        <w:rPr>
          <w:color w:val="231F20"/>
          <w:spacing w:val="-6"/>
          <w:w w:val="120"/>
        </w:rPr>
        <w:t> </w:t>
      </w:r>
      <w:r>
        <w:rPr>
          <w:color w:val="231F20"/>
          <w:spacing w:val="-2"/>
          <w:w w:val="120"/>
        </w:rPr>
        <w:t>et</w:t>
      </w:r>
      <w:r>
        <w:rPr>
          <w:color w:val="231F20"/>
          <w:spacing w:val="-6"/>
          <w:w w:val="120"/>
        </w:rPr>
        <w:t> </w:t>
      </w:r>
      <w:r>
        <w:rPr>
          <w:color w:val="231F20"/>
          <w:spacing w:val="-2"/>
          <w:w w:val="120"/>
        </w:rPr>
        <w:t>ils </w:t>
      </w:r>
      <w:r>
        <w:rPr>
          <w:color w:val="231F20"/>
          <w:w w:val="120"/>
        </w:rPr>
        <w:t>estiment qu’ils ne peuvent rien faire pour changer cette situation.</w:t>
      </w:r>
    </w:p>
    <w:p>
      <w:pPr>
        <w:spacing w:after="0" w:line="307" w:lineRule="auto"/>
        <w:jc w:val="both"/>
        <w:sectPr>
          <w:footerReference w:type="default" r:id="rId198"/>
          <w:pgSz w:w="8640" w:h="12960"/>
          <w:pgMar w:footer="424" w:header="0" w:top="500" w:bottom="620" w:left="420" w:right="1140"/>
        </w:sectPr>
      </w:pPr>
    </w:p>
    <w:p>
      <w:pPr>
        <w:spacing w:before="103"/>
        <w:ind w:left="1028" w:right="698" w:firstLine="0"/>
        <w:jc w:val="center"/>
        <w:rPr>
          <w:rFonts w:ascii="Arial" w:hAnsi="Arial"/>
          <w:sz w:val="14"/>
        </w:rPr>
      </w:pPr>
      <w:bookmarkStart w:name="Exercice 3.2 / Évaluez votre type de per" w:id="95"/>
      <w:bookmarkEnd w:id="95"/>
      <w:r>
        <w:rPr/>
      </w:r>
      <w:bookmarkStart w:name="_bookmark40" w:id="96"/>
      <w:bookmarkEnd w:id="9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29" w:firstLine="250"/>
      </w:pPr>
      <w:r>
        <w:rPr>
          <w:color w:val="231F20"/>
          <w:w w:val="120"/>
        </w:rPr>
        <w:t>L’exercice suivant permet d’estimer le type de personnalité d’une personne à l’aide de quelques questions.</w:t>
      </w:r>
    </w:p>
    <w:p>
      <w:pPr>
        <w:pStyle w:val="BodyText"/>
        <w:spacing w:before="10"/>
        <w:rPr>
          <w:sz w:val="34"/>
        </w:rPr>
      </w:pPr>
    </w:p>
    <w:p>
      <w:pPr>
        <w:spacing w:before="0"/>
        <w:ind w:left="830" w:right="0" w:firstLine="0"/>
        <w:jc w:val="left"/>
        <w:rPr>
          <w:rFonts w:ascii="Arial"/>
          <w:i/>
          <w:sz w:val="21"/>
        </w:rPr>
      </w:pPr>
      <w:r>
        <w:rPr>
          <w:rFonts w:ascii="Arial"/>
          <w:color w:val="231F20"/>
          <w:w w:val="95"/>
          <w:sz w:val="21"/>
        </w:rPr>
        <w:t>exerCiCe</w:t>
      </w:r>
      <w:r>
        <w:rPr>
          <w:rFonts w:ascii="Arial"/>
          <w:color w:val="231F20"/>
          <w:spacing w:val="3"/>
          <w:sz w:val="21"/>
        </w:rPr>
        <w:t> </w:t>
      </w:r>
      <w:r>
        <w:rPr>
          <w:rFonts w:ascii="Arial"/>
          <w:color w:val="231F20"/>
          <w:w w:val="95"/>
          <w:sz w:val="21"/>
        </w:rPr>
        <w:t>3.2</w:t>
      </w:r>
      <w:r>
        <w:rPr>
          <w:rFonts w:ascii="Arial"/>
          <w:color w:val="231F20"/>
          <w:spacing w:val="-10"/>
          <w:w w:val="95"/>
          <w:sz w:val="21"/>
        </w:rPr>
        <w:t> </w:t>
      </w:r>
      <w:r>
        <w:rPr>
          <w:rFonts w:ascii="Arial"/>
          <w:i/>
          <w:color w:val="231F20"/>
          <w:spacing w:val="-10"/>
          <w:w w:val="95"/>
          <w:sz w:val="21"/>
        </w:rPr>
        <w:t>/</w:t>
      </w:r>
    </w:p>
    <w:p>
      <w:pPr>
        <w:pStyle w:val="Heading2"/>
        <w:spacing w:before="8"/>
        <w:ind w:left="830"/>
      </w:pPr>
      <w:r>
        <w:rPr>
          <w:color w:val="231F20"/>
          <w:w w:val="95"/>
        </w:rPr>
        <w:t>Évaluez</w:t>
      </w:r>
      <w:r>
        <w:rPr>
          <w:color w:val="231F20"/>
          <w:spacing w:val="-3"/>
        </w:rPr>
        <w:t> </w:t>
      </w:r>
      <w:r>
        <w:rPr>
          <w:color w:val="231F20"/>
          <w:w w:val="95"/>
        </w:rPr>
        <w:t>votre</w:t>
      </w:r>
      <w:r>
        <w:rPr>
          <w:color w:val="231F20"/>
          <w:spacing w:val="-3"/>
        </w:rPr>
        <w:t> </w:t>
      </w:r>
      <w:r>
        <w:rPr>
          <w:color w:val="231F20"/>
          <w:w w:val="95"/>
        </w:rPr>
        <w:t>type</w:t>
      </w:r>
      <w:r>
        <w:rPr>
          <w:color w:val="231F20"/>
          <w:spacing w:val="-3"/>
        </w:rPr>
        <w:t> </w:t>
      </w:r>
      <w:r>
        <w:rPr>
          <w:color w:val="231F20"/>
          <w:w w:val="95"/>
        </w:rPr>
        <w:t>de</w:t>
      </w:r>
      <w:r>
        <w:rPr>
          <w:color w:val="231F20"/>
          <w:spacing w:val="-2"/>
        </w:rPr>
        <w:t> </w:t>
      </w:r>
      <w:r>
        <w:rPr>
          <w:color w:val="231F20"/>
          <w:spacing w:val="-2"/>
          <w:w w:val="95"/>
        </w:rPr>
        <w:t>personnalité</w:t>
      </w:r>
    </w:p>
    <w:p>
      <w:pPr>
        <w:pStyle w:val="BodyText"/>
        <w:spacing w:line="307" w:lineRule="auto" w:before="247"/>
        <w:ind w:left="830" w:right="496"/>
        <w:jc w:val="both"/>
      </w:pPr>
      <w:r>
        <w:rPr>
          <w:color w:val="231F20"/>
          <w:w w:val="120"/>
        </w:rPr>
        <w:t>Répondez</w:t>
      </w:r>
      <w:r>
        <w:rPr>
          <w:color w:val="231F20"/>
          <w:spacing w:val="-13"/>
          <w:w w:val="120"/>
        </w:rPr>
        <w:t> </w:t>
      </w:r>
      <w:r>
        <w:rPr>
          <w:color w:val="231F20"/>
          <w:w w:val="120"/>
        </w:rPr>
        <w:t>OUI</w:t>
      </w:r>
      <w:r>
        <w:rPr>
          <w:color w:val="231F20"/>
          <w:spacing w:val="-13"/>
          <w:w w:val="120"/>
        </w:rPr>
        <w:t> </w:t>
      </w:r>
      <w:r>
        <w:rPr>
          <w:color w:val="231F20"/>
          <w:w w:val="120"/>
        </w:rPr>
        <w:t>ou</w:t>
      </w:r>
      <w:r>
        <w:rPr>
          <w:color w:val="231F20"/>
          <w:spacing w:val="-13"/>
          <w:w w:val="120"/>
        </w:rPr>
        <w:t> </w:t>
      </w:r>
      <w:r>
        <w:rPr>
          <w:color w:val="231F20"/>
          <w:w w:val="120"/>
        </w:rPr>
        <w:t>NON</w:t>
      </w:r>
      <w:r>
        <w:rPr>
          <w:color w:val="231F20"/>
          <w:spacing w:val="-12"/>
          <w:w w:val="120"/>
        </w:rPr>
        <w:t> </w:t>
      </w:r>
      <w:r>
        <w:rPr>
          <w:color w:val="231F20"/>
          <w:w w:val="120"/>
        </w:rPr>
        <w:t>aux</w:t>
      </w:r>
      <w:r>
        <w:rPr>
          <w:color w:val="231F20"/>
          <w:spacing w:val="-13"/>
          <w:w w:val="120"/>
        </w:rPr>
        <w:t> </w:t>
      </w:r>
      <w:r>
        <w:rPr>
          <w:color w:val="231F20"/>
          <w:w w:val="120"/>
        </w:rPr>
        <w:t>questions</w:t>
      </w:r>
      <w:r>
        <w:rPr>
          <w:color w:val="231F20"/>
          <w:spacing w:val="-13"/>
          <w:w w:val="120"/>
        </w:rPr>
        <w:t> </w:t>
      </w:r>
      <w:r>
        <w:rPr>
          <w:color w:val="231F20"/>
          <w:w w:val="120"/>
        </w:rPr>
        <w:t>suivantes,</w:t>
      </w:r>
      <w:r>
        <w:rPr>
          <w:color w:val="231F20"/>
          <w:spacing w:val="-13"/>
          <w:w w:val="120"/>
        </w:rPr>
        <w:t> </w:t>
      </w:r>
      <w:r>
        <w:rPr>
          <w:color w:val="231F20"/>
          <w:w w:val="120"/>
        </w:rPr>
        <w:t>d’après</w:t>
      </w:r>
      <w:r>
        <w:rPr>
          <w:color w:val="231F20"/>
          <w:spacing w:val="-12"/>
          <w:w w:val="120"/>
        </w:rPr>
        <w:t> </w:t>
      </w:r>
      <w:r>
        <w:rPr>
          <w:color w:val="231F20"/>
          <w:w w:val="120"/>
        </w:rPr>
        <w:t>votre</w:t>
      </w:r>
      <w:r>
        <w:rPr>
          <w:color w:val="231F20"/>
          <w:spacing w:val="-13"/>
          <w:w w:val="120"/>
        </w:rPr>
        <w:t> </w:t>
      </w:r>
      <w:r>
        <w:rPr>
          <w:color w:val="231F20"/>
          <w:w w:val="120"/>
        </w:rPr>
        <w:t>réaction immédiate, c’est-à-dire instantanément, sans prendre le temps de trop réfléchir</w:t>
      </w:r>
      <w:r>
        <w:rPr>
          <w:color w:val="231F20"/>
          <w:spacing w:val="-4"/>
          <w:w w:val="120"/>
        </w:rPr>
        <w:t> </w:t>
      </w:r>
      <w:r>
        <w:rPr>
          <w:color w:val="231F20"/>
          <w:w w:val="120"/>
        </w:rPr>
        <w:t>à</w:t>
      </w:r>
      <w:r>
        <w:rPr>
          <w:color w:val="231F20"/>
          <w:spacing w:val="-4"/>
          <w:w w:val="120"/>
        </w:rPr>
        <w:t> </w:t>
      </w:r>
      <w:r>
        <w:rPr>
          <w:color w:val="231F20"/>
          <w:w w:val="120"/>
        </w:rPr>
        <w:t>votre</w:t>
      </w:r>
      <w:r>
        <w:rPr>
          <w:color w:val="231F20"/>
          <w:spacing w:val="-4"/>
          <w:w w:val="120"/>
        </w:rPr>
        <w:t> </w:t>
      </w:r>
      <w:r>
        <w:rPr>
          <w:color w:val="231F20"/>
          <w:w w:val="120"/>
        </w:rPr>
        <w:t>réponse.</w:t>
      </w:r>
      <w:r>
        <w:rPr>
          <w:color w:val="231F20"/>
          <w:spacing w:val="-4"/>
          <w:w w:val="120"/>
        </w:rPr>
        <w:t> </w:t>
      </w:r>
      <w:r>
        <w:rPr>
          <w:color w:val="231F20"/>
          <w:w w:val="120"/>
        </w:rPr>
        <w:t>Il</w:t>
      </w:r>
      <w:r>
        <w:rPr>
          <w:color w:val="231F20"/>
          <w:spacing w:val="-4"/>
          <w:w w:val="120"/>
        </w:rPr>
        <w:t> </w:t>
      </w:r>
      <w:r>
        <w:rPr>
          <w:color w:val="231F20"/>
          <w:w w:val="120"/>
        </w:rPr>
        <w:t>est</w:t>
      </w:r>
      <w:r>
        <w:rPr>
          <w:color w:val="231F20"/>
          <w:spacing w:val="-4"/>
          <w:w w:val="120"/>
        </w:rPr>
        <w:t> </w:t>
      </w:r>
      <w:r>
        <w:rPr>
          <w:color w:val="231F20"/>
          <w:w w:val="120"/>
        </w:rPr>
        <w:t>important</w:t>
      </w:r>
      <w:r>
        <w:rPr>
          <w:color w:val="231F20"/>
          <w:spacing w:val="-4"/>
          <w:w w:val="120"/>
        </w:rPr>
        <w:t> </w:t>
      </w:r>
      <w:r>
        <w:rPr>
          <w:color w:val="231F20"/>
          <w:w w:val="120"/>
        </w:rPr>
        <w:t>de</w:t>
      </w:r>
      <w:r>
        <w:rPr>
          <w:color w:val="231F20"/>
          <w:spacing w:val="-4"/>
          <w:w w:val="120"/>
        </w:rPr>
        <w:t> </w:t>
      </w:r>
      <w:r>
        <w:rPr>
          <w:color w:val="231F20"/>
          <w:w w:val="120"/>
        </w:rPr>
        <w:t>suivre</w:t>
      </w:r>
      <w:r>
        <w:rPr>
          <w:color w:val="231F20"/>
          <w:spacing w:val="-4"/>
          <w:w w:val="120"/>
        </w:rPr>
        <w:t> </w:t>
      </w:r>
      <w:r>
        <w:rPr>
          <w:color w:val="231F20"/>
          <w:w w:val="120"/>
        </w:rPr>
        <w:t>cette</w:t>
      </w:r>
      <w:r>
        <w:rPr>
          <w:color w:val="231F20"/>
          <w:spacing w:val="-4"/>
          <w:w w:val="120"/>
        </w:rPr>
        <w:t> </w:t>
      </w:r>
      <w:r>
        <w:rPr>
          <w:color w:val="231F20"/>
          <w:w w:val="120"/>
        </w:rPr>
        <w:t>directive</w:t>
      </w:r>
      <w:r>
        <w:rPr>
          <w:color w:val="231F20"/>
          <w:spacing w:val="-4"/>
          <w:w w:val="120"/>
        </w:rPr>
        <w:t> </w:t>
      </w:r>
      <w:r>
        <w:rPr>
          <w:color w:val="231F20"/>
          <w:w w:val="120"/>
        </w:rPr>
        <w:t>pour </w:t>
      </w:r>
      <w:r>
        <w:rPr>
          <w:color w:val="231F20"/>
          <w:w w:val="125"/>
        </w:rPr>
        <w:t>éviter</w:t>
      </w:r>
      <w:r>
        <w:rPr>
          <w:color w:val="231F20"/>
          <w:spacing w:val="-15"/>
          <w:w w:val="125"/>
        </w:rPr>
        <w:t> </w:t>
      </w:r>
      <w:r>
        <w:rPr>
          <w:color w:val="231F20"/>
          <w:w w:val="125"/>
        </w:rPr>
        <w:t>de</w:t>
      </w:r>
      <w:r>
        <w:rPr>
          <w:color w:val="231F20"/>
          <w:spacing w:val="-15"/>
          <w:w w:val="125"/>
        </w:rPr>
        <w:t> </w:t>
      </w:r>
      <w:r>
        <w:rPr>
          <w:color w:val="231F20"/>
          <w:w w:val="125"/>
        </w:rPr>
        <w:t>compromettre</w:t>
      </w:r>
      <w:r>
        <w:rPr>
          <w:color w:val="231F20"/>
          <w:spacing w:val="-14"/>
          <w:w w:val="125"/>
        </w:rPr>
        <w:t> </w:t>
      </w:r>
      <w:r>
        <w:rPr>
          <w:color w:val="231F20"/>
          <w:w w:val="125"/>
        </w:rPr>
        <w:t>la</w:t>
      </w:r>
      <w:r>
        <w:rPr>
          <w:color w:val="231F20"/>
          <w:spacing w:val="-15"/>
          <w:w w:val="125"/>
        </w:rPr>
        <w:t> </w:t>
      </w:r>
      <w:r>
        <w:rPr>
          <w:color w:val="231F20"/>
          <w:w w:val="125"/>
        </w:rPr>
        <w:t>validité</w:t>
      </w:r>
      <w:r>
        <w:rPr>
          <w:color w:val="231F20"/>
          <w:spacing w:val="-15"/>
          <w:w w:val="125"/>
        </w:rPr>
        <w:t> </w:t>
      </w:r>
      <w:r>
        <w:rPr>
          <w:color w:val="231F20"/>
          <w:w w:val="125"/>
        </w:rPr>
        <w:t>de</w:t>
      </w:r>
      <w:r>
        <w:rPr>
          <w:color w:val="231F20"/>
          <w:spacing w:val="-14"/>
          <w:w w:val="125"/>
        </w:rPr>
        <w:t> </w:t>
      </w:r>
      <w:r>
        <w:rPr>
          <w:color w:val="231F20"/>
          <w:w w:val="125"/>
        </w:rPr>
        <w:t>l’évaluation.</w:t>
      </w:r>
    </w:p>
    <w:p>
      <w:pPr>
        <w:pStyle w:val="BodyText"/>
        <w:spacing w:before="4" w:after="1"/>
        <w:rPr>
          <w:sz w:val="9"/>
        </w:rPr>
      </w:pPr>
    </w:p>
    <w:tbl>
      <w:tblPr>
        <w:tblW w:w="0" w:type="auto"/>
        <w:jc w:val="left"/>
        <w:tblInd w:w="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88"/>
        <w:gridCol w:w="1060"/>
      </w:tblGrid>
      <w:tr>
        <w:trPr>
          <w:trHeight w:val="264" w:hRule="atLeast"/>
        </w:trPr>
        <w:tc>
          <w:tcPr>
            <w:tcW w:w="4688" w:type="dxa"/>
            <w:tcBorders>
              <w:top w:val="single" w:sz="2" w:space="0" w:color="231F20"/>
              <w:bottom w:val="single" w:sz="4" w:space="0" w:color="E2E3E4"/>
            </w:tcBorders>
          </w:tcPr>
          <w:p>
            <w:pPr>
              <w:pStyle w:val="TableParagraph"/>
              <w:spacing w:before="57"/>
              <w:ind w:left="190"/>
              <w:rPr>
                <w:sz w:val="14"/>
              </w:rPr>
            </w:pPr>
            <w:r>
              <w:rPr>
                <w:b/>
                <w:color w:val="231F20"/>
                <w:sz w:val="14"/>
              </w:rPr>
              <w:t>1.</w:t>
            </w:r>
            <w:r>
              <w:rPr>
                <w:b/>
                <w:color w:val="231F20"/>
                <w:spacing w:val="41"/>
                <w:sz w:val="14"/>
              </w:rPr>
              <w:t>  </w:t>
            </w:r>
            <w:r>
              <w:rPr>
                <w:color w:val="231F20"/>
                <w:sz w:val="14"/>
              </w:rPr>
              <w:t>Je</w:t>
            </w:r>
            <w:r>
              <w:rPr>
                <w:color w:val="231F20"/>
                <w:spacing w:val="-2"/>
                <w:sz w:val="14"/>
              </w:rPr>
              <w:t> </w:t>
            </w:r>
            <w:r>
              <w:rPr>
                <w:color w:val="231F20"/>
                <w:sz w:val="14"/>
              </w:rPr>
              <w:t>parle</w:t>
            </w:r>
            <w:r>
              <w:rPr>
                <w:color w:val="231F20"/>
                <w:spacing w:val="-3"/>
                <w:sz w:val="14"/>
              </w:rPr>
              <w:t> </w:t>
            </w:r>
            <w:r>
              <w:rPr>
                <w:color w:val="231F20"/>
                <w:sz w:val="14"/>
              </w:rPr>
              <w:t>vite,</w:t>
            </w:r>
            <w:r>
              <w:rPr>
                <w:color w:val="231F20"/>
                <w:spacing w:val="-4"/>
                <w:sz w:val="14"/>
              </w:rPr>
              <w:t> </w:t>
            </w:r>
            <w:r>
              <w:rPr>
                <w:color w:val="231F20"/>
                <w:sz w:val="14"/>
              </w:rPr>
              <w:t>en</w:t>
            </w:r>
            <w:r>
              <w:rPr>
                <w:color w:val="231F20"/>
                <w:spacing w:val="-3"/>
                <w:sz w:val="14"/>
              </w:rPr>
              <w:t> </w:t>
            </w:r>
            <w:r>
              <w:rPr>
                <w:color w:val="231F20"/>
                <w:sz w:val="14"/>
              </w:rPr>
              <w:t>appuyant</w:t>
            </w:r>
            <w:r>
              <w:rPr>
                <w:color w:val="231F20"/>
                <w:spacing w:val="-4"/>
                <w:sz w:val="14"/>
              </w:rPr>
              <w:t> </w:t>
            </w:r>
            <w:r>
              <w:rPr>
                <w:color w:val="231F20"/>
                <w:sz w:val="14"/>
              </w:rPr>
              <w:t>avec</w:t>
            </w:r>
            <w:r>
              <w:rPr>
                <w:color w:val="231F20"/>
                <w:spacing w:val="-3"/>
                <w:sz w:val="14"/>
              </w:rPr>
              <w:t> </w:t>
            </w:r>
            <w:r>
              <w:rPr>
                <w:color w:val="231F20"/>
                <w:sz w:val="14"/>
              </w:rPr>
              <w:t>insistance</w:t>
            </w:r>
            <w:r>
              <w:rPr>
                <w:color w:val="231F20"/>
                <w:spacing w:val="-4"/>
                <w:sz w:val="14"/>
              </w:rPr>
              <w:t> </w:t>
            </w:r>
            <w:r>
              <w:rPr>
                <w:color w:val="231F20"/>
                <w:sz w:val="14"/>
              </w:rPr>
              <w:t>sur</w:t>
            </w:r>
            <w:r>
              <w:rPr>
                <w:color w:val="231F20"/>
                <w:spacing w:val="-3"/>
                <w:sz w:val="14"/>
              </w:rPr>
              <w:t> </w:t>
            </w:r>
            <w:r>
              <w:rPr>
                <w:color w:val="231F20"/>
                <w:sz w:val="14"/>
              </w:rPr>
              <w:t>les</w:t>
            </w:r>
            <w:r>
              <w:rPr>
                <w:color w:val="231F20"/>
                <w:spacing w:val="-3"/>
                <w:sz w:val="14"/>
              </w:rPr>
              <w:t> </w:t>
            </w:r>
            <w:r>
              <w:rPr>
                <w:color w:val="231F20"/>
                <w:sz w:val="14"/>
              </w:rPr>
              <w:t>mots</w:t>
            </w:r>
            <w:r>
              <w:rPr>
                <w:color w:val="231F20"/>
                <w:spacing w:val="-4"/>
                <w:sz w:val="14"/>
              </w:rPr>
              <w:t> </w:t>
            </w:r>
            <w:r>
              <w:rPr>
                <w:color w:val="231F20"/>
                <w:spacing w:val="-2"/>
                <w:sz w:val="14"/>
              </w:rPr>
              <w:t>clés.</w:t>
            </w:r>
          </w:p>
        </w:tc>
        <w:tc>
          <w:tcPr>
            <w:tcW w:w="1060" w:type="dxa"/>
            <w:tcBorders>
              <w:top w:val="single" w:sz="2" w:space="0" w:color="231F20"/>
              <w:bottom w:val="single" w:sz="4" w:space="0" w:color="FFFFFF"/>
            </w:tcBorders>
            <w:shd w:val="clear" w:color="auto" w:fill="E2E3E4"/>
          </w:tcPr>
          <w:p>
            <w:pPr>
              <w:pStyle w:val="TableParagraph"/>
              <w:spacing w:before="57"/>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261" w:hRule="atLeast"/>
        </w:trPr>
        <w:tc>
          <w:tcPr>
            <w:tcW w:w="4688" w:type="dxa"/>
            <w:tcBorders>
              <w:top w:val="single" w:sz="4" w:space="0" w:color="E2E3E4"/>
              <w:bottom w:val="single" w:sz="4" w:space="0" w:color="E2E3E4"/>
            </w:tcBorders>
          </w:tcPr>
          <w:p>
            <w:pPr>
              <w:pStyle w:val="TableParagraph"/>
              <w:spacing w:before="55"/>
              <w:ind w:left="190"/>
              <w:rPr>
                <w:sz w:val="14"/>
              </w:rPr>
            </w:pPr>
            <w:r>
              <w:rPr>
                <w:b/>
                <w:color w:val="231F20"/>
                <w:sz w:val="14"/>
              </w:rPr>
              <w:t>2.</w:t>
            </w:r>
            <w:r>
              <w:rPr>
                <w:b/>
                <w:color w:val="231F20"/>
                <w:spacing w:val="38"/>
                <w:sz w:val="14"/>
              </w:rPr>
              <w:t>  </w:t>
            </w:r>
            <w:r>
              <w:rPr>
                <w:color w:val="231F20"/>
                <w:sz w:val="14"/>
              </w:rPr>
              <w:t>J’ai</w:t>
            </w:r>
            <w:r>
              <w:rPr>
                <w:color w:val="231F20"/>
                <w:spacing w:val="-4"/>
                <w:sz w:val="14"/>
              </w:rPr>
              <w:t> </w:t>
            </w:r>
            <w:r>
              <w:rPr>
                <w:color w:val="231F20"/>
                <w:sz w:val="14"/>
              </w:rPr>
              <w:t>tendance</w:t>
            </w:r>
            <w:r>
              <w:rPr>
                <w:color w:val="231F20"/>
                <w:spacing w:val="-5"/>
                <w:sz w:val="14"/>
              </w:rPr>
              <w:t> </w:t>
            </w:r>
            <w:r>
              <w:rPr>
                <w:color w:val="231F20"/>
                <w:sz w:val="14"/>
              </w:rPr>
              <w:t>à</w:t>
            </w:r>
            <w:r>
              <w:rPr>
                <w:color w:val="231F20"/>
                <w:spacing w:val="-5"/>
                <w:sz w:val="14"/>
              </w:rPr>
              <w:t> </w:t>
            </w:r>
            <w:r>
              <w:rPr>
                <w:color w:val="231F20"/>
                <w:sz w:val="14"/>
              </w:rPr>
              <w:t>marcher,</w:t>
            </w:r>
            <w:r>
              <w:rPr>
                <w:color w:val="231F20"/>
                <w:spacing w:val="-4"/>
                <w:sz w:val="14"/>
              </w:rPr>
              <w:t> </w:t>
            </w:r>
            <w:r>
              <w:rPr>
                <w:color w:val="231F20"/>
                <w:sz w:val="14"/>
              </w:rPr>
              <w:t>à</w:t>
            </w:r>
            <w:r>
              <w:rPr>
                <w:color w:val="231F20"/>
                <w:spacing w:val="-5"/>
                <w:sz w:val="14"/>
              </w:rPr>
              <w:t> </w:t>
            </w:r>
            <w:r>
              <w:rPr>
                <w:color w:val="231F20"/>
                <w:sz w:val="14"/>
              </w:rPr>
              <w:t>bouger</w:t>
            </w:r>
            <w:r>
              <w:rPr>
                <w:color w:val="231F20"/>
                <w:spacing w:val="-5"/>
                <w:sz w:val="14"/>
              </w:rPr>
              <w:t> </w:t>
            </w:r>
            <w:r>
              <w:rPr>
                <w:color w:val="231F20"/>
                <w:sz w:val="14"/>
              </w:rPr>
              <w:t>et</w:t>
            </w:r>
            <w:r>
              <w:rPr>
                <w:color w:val="231F20"/>
                <w:spacing w:val="-5"/>
                <w:sz w:val="14"/>
              </w:rPr>
              <w:t> </w:t>
            </w:r>
            <w:r>
              <w:rPr>
                <w:color w:val="231F20"/>
                <w:sz w:val="14"/>
              </w:rPr>
              <w:t>à</w:t>
            </w:r>
            <w:r>
              <w:rPr>
                <w:color w:val="231F20"/>
                <w:spacing w:val="-5"/>
                <w:sz w:val="14"/>
              </w:rPr>
              <w:t> </w:t>
            </w:r>
            <w:r>
              <w:rPr>
                <w:color w:val="231F20"/>
                <w:sz w:val="14"/>
              </w:rPr>
              <w:t>agir</w:t>
            </w:r>
            <w:r>
              <w:rPr>
                <w:color w:val="231F20"/>
                <w:spacing w:val="-4"/>
                <w:sz w:val="14"/>
              </w:rPr>
              <w:t> </w:t>
            </w:r>
            <w:r>
              <w:rPr>
                <w:color w:val="231F20"/>
                <w:spacing w:val="-2"/>
                <w:sz w:val="14"/>
              </w:rPr>
              <w:t>vite.</w:t>
            </w:r>
          </w:p>
        </w:tc>
        <w:tc>
          <w:tcPr>
            <w:tcW w:w="1060" w:type="dxa"/>
            <w:tcBorders>
              <w:top w:val="single" w:sz="4" w:space="0" w:color="FFFFFF"/>
              <w:bottom w:val="single" w:sz="4" w:space="0" w:color="FFFFFF"/>
            </w:tcBorders>
            <w:shd w:val="clear" w:color="auto" w:fill="E2E3E4"/>
          </w:tcPr>
          <w:p>
            <w:pPr>
              <w:pStyle w:val="TableParagraph"/>
              <w:spacing w:before="5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621" w:hRule="atLeast"/>
        </w:trPr>
        <w:tc>
          <w:tcPr>
            <w:tcW w:w="4688" w:type="dxa"/>
            <w:tcBorders>
              <w:top w:val="single" w:sz="4" w:space="0" w:color="E2E3E4"/>
              <w:bottom w:val="single" w:sz="4" w:space="0" w:color="E2E3E4"/>
            </w:tcBorders>
          </w:tcPr>
          <w:p>
            <w:pPr>
              <w:pStyle w:val="TableParagraph"/>
              <w:spacing w:line="268" w:lineRule="auto" w:before="55"/>
              <w:ind w:left="480" w:right="110" w:hanging="290"/>
              <w:rPr>
                <w:sz w:val="14"/>
              </w:rPr>
            </w:pPr>
            <w:r>
              <w:rPr>
                <w:b/>
                <w:color w:val="231F20"/>
                <w:w w:val="105"/>
                <w:sz w:val="14"/>
              </w:rPr>
              <w:t>3.</w:t>
            </w:r>
            <w:r>
              <w:rPr>
                <w:b/>
                <w:color w:val="231F20"/>
                <w:spacing w:val="62"/>
                <w:w w:val="105"/>
                <w:sz w:val="14"/>
              </w:rPr>
              <w:t> </w:t>
            </w:r>
            <w:r>
              <w:rPr>
                <w:color w:val="231F20"/>
                <w:w w:val="105"/>
                <w:sz w:val="14"/>
              </w:rPr>
              <w:t>Le</w:t>
            </w:r>
            <w:r>
              <w:rPr>
                <w:color w:val="231F20"/>
                <w:spacing w:val="-10"/>
                <w:w w:val="105"/>
                <w:sz w:val="14"/>
              </w:rPr>
              <w:t> </w:t>
            </w:r>
            <w:r>
              <w:rPr>
                <w:color w:val="231F20"/>
                <w:w w:val="105"/>
                <w:sz w:val="14"/>
              </w:rPr>
              <w:t>déroulement</w:t>
            </w:r>
            <w:r>
              <w:rPr>
                <w:color w:val="231F20"/>
                <w:spacing w:val="-10"/>
                <w:w w:val="105"/>
                <w:sz w:val="14"/>
              </w:rPr>
              <w:t> </w:t>
            </w:r>
            <w:r>
              <w:rPr>
                <w:color w:val="231F20"/>
                <w:w w:val="105"/>
                <w:sz w:val="14"/>
              </w:rPr>
              <w:t>de</w:t>
            </w:r>
            <w:r>
              <w:rPr>
                <w:color w:val="231F20"/>
                <w:spacing w:val="-11"/>
                <w:w w:val="105"/>
                <w:sz w:val="14"/>
              </w:rPr>
              <w:t> </w:t>
            </w:r>
            <w:r>
              <w:rPr>
                <w:color w:val="231F20"/>
                <w:w w:val="105"/>
                <w:sz w:val="14"/>
              </w:rPr>
              <w:t>la</w:t>
            </w:r>
            <w:r>
              <w:rPr>
                <w:color w:val="231F20"/>
                <w:spacing w:val="-10"/>
                <w:w w:val="105"/>
                <w:sz w:val="14"/>
              </w:rPr>
              <w:t> </w:t>
            </w:r>
            <w:r>
              <w:rPr>
                <w:color w:val="231F20"/>
                <w:w w:val="105"/>
                <w:sz w:val="14"/>
              </w:rPr>
              <w:t>plupart</w:t>
            </w:r>
            <w:r>
              <w:rPr>
                <w:color w:val="231F20"/>
                <w:spacing w:val="-10"/>
                <w:w w:val="105"/>
                <w:sz w:val="14"/>
              </w:rPr>
              <w:t> </w:t>
            </w:r>
            <w:r>
              <w:rPr>
                <w:color w:val="231F20"/>
                <w:w w:val="105"/>
                <w:sz w:val="14"/>
              </w:rPr>
              <w:t>des</w:t>
            </w:r>
            <w:r>
              <w:rPr>
                <w:color w:val="231F20"/>
                <w:spacing w:val="-10"/>
                <w:w w:val="105"/>
                <w:sz w:val="14"/>
              </w:rPr>
              <w:t> </w:t>
            </w:r>
            <w:r>
              <w:rPr>
                <w:color w:val="231F20"/>
                <w:w w:val="105"/>
                <w:sz w:val="14"/>
              </w:rPr>
              <w:t>événements</w:t>
            </w:r>
            <w:r>
              <w:rPr>
                <w:color w:val="231F20"/>
                <w:spacing w:val="-11"/>
                <w:w w:val="105"/>
                <w:sz w:val="14"/>
              </w:rPr>
              <w:t> </w:t>
            </w:r>
            <w:r>
              <w:rPr>
                <w:color w:val="231F20"/>
                <w:w w:val="105"/>
                <w:sz w:val="14"/>
              </w:rPr>
              <w:t>suscite</w:t>
            </w:r>
            <w:r>
              <w:rPr>
                <w:color w:val="231F20"/>
                <w:spacing w:val="-10"/>
                <w:w w:val="105"/>
                <w:sz w:val="14"/>
              </w:rPr>
              <w:t> </w:t>
            </w:r>
            <w:r>
              <w:rPr>
                <w:color w:val="231F20"/>
                <w:w w:val="105"/>
                <w:sz w:val="14"/>
              </w:rPr>
              <w:t>chez</w:t>
            </w:r>
            <w:r>
              <w:rPr>
                <w:color w:val="231F20"/>
                <w:spacing w:val="-10"/>
                <w:w w:val="105"/>
                <w:sz w:val="14"/>
              </w:rPr>
              <w:t> </w:t>
            </w:r>
            <w:r>
              <w:rPr>
                <w:color w:val="231F20"/>
                <w:w w:val="105"/>
                <w:sz w:val="14"/>
              </w:rPr>
              <w:t>moi </w:t>
            </w:r>
            <w:r>
              <w:rPr>
                <w:color w:val="231F20"/>
                <w:sz w:val="14"/>
              </w:rPr>
              <w:t>de</w:t>
            </w:r>
            <w:r>
              <w:rPr>
                <w:color w:val="231F20"/>
                <w:spacing w:val="-2"/>
                <w:sz w:val="14"/>
              </w:rPr>
              <w:t> </w:t>
            </w:r>
            <w:r>
              <w:rPr>
                <w:color w:val="231F20"/>
                <w:sz w:val="14"/>
              </w:rPr>
              <w:t>l’impatience</w:t>
            </w:r>
            <w:r>
              <w:rPr>
                <w:color w:val="231F20"/>
                <w:spacing w:val="-2"/>
                <w:sz w:val="14"/>
              </w:rPr>
              <w:t> </w:t>
            </w:r>
            <w:r>
              <w:rPr>
                <w:color w:val="231F20"/>
                <w:sz w:val="14"/>
              </w:rPr>
              <w:t>et</w:t>
            </w:r>
            <w:r>
              <w:rPr>
                <w:color w:val="231F20"/>
                <w:spacing w:val="-2"/>
                <w:sz w:val="14"/>
              </w:rPr>
              <w:t> </w:t>
            </w:r>
            <w:r>
              <w:rPr>
                <w:color w:val="231F20"/>
                <w:sz w:val="14"/>
              </w:rPr>
              <w:t>de</w:t>
            </w:r>
            <w:r>
              <w:rPr>
                <w:color w:val="231F20"/>
                <w:spacing w:val="-2"/>
                <w:sz w:val="14"/>
              </w:rPr>
              <w:t> </w:t>
            </w:r>
            <w:r>
              <w:rPr>
                <w:color w:val="231F20"/>
                <w:sz w:val="14"/>
              </w:rPr>
              <w:t>la</w:t>
            </w:r>
            <w:r>
              <w:rPr>
                <w:color w:val="231F20"/>
                <w:spacing w:val="-2"/>
                <w:sz w:val="14"/>
              </w:rPr>
              <w:t> </w:t>
            </w:r>
            <w:r>
              <w:rPr>
                <w:color w:val="231F20"/>
                <w:sz w:val="14"/>
              </w:rPr>
              <w:t>colère,</w:t>
            </w:r>
            <w:r>
              <w:rPr>
                <w:color w:val="231F20"/>
                <w:spacing w:val="-2"/>
                <w:sz w:val="14"/>
              </w:rPr>
              <w:t> </w:t>
            </w:r>
            <w:r>
              <w:rPr>
                <w:color w:val="231F20"/>
                <w:sz w:val="14"/>
              </w:rPr>
              <w:t>soit</w:t>
            </w:r>
            <w:r>
              <w:rPr>
                <w:color w:val="231F20"/>
                <w:spacing w:val="-2"/>
                <w:sz w:val="14"/>
              </w:rPr>
              <w:t> </w:t>
            </w:r>
            <w:r>
              <w:rPr>
                <w:color w:val="231F20"/>
                <w:sz w:val="14"/>
              </w:rPr>
              <w:t>qu’ils</w:t>
            </w:r>
            <w:r>
              <w:rPr>
                <w:color w:val="231F20"/>
                <w:spacing w:val="-2"/>
                <w:sz w:val="14"/>
              </w:rPr>
              <w:t> </w:t>
            </w:r>
            <w:r>
              <w:rPr>
                <w:color w:val="231F20"/>
                <w:sz w:val="14"/>
              </w:rPr>
              <w:t>ne</w:t>
            </w:r>
            <w:r>
              <w:rPr>
                <w:color w:val="231F20"/>
                <w:spacing w:val="-2"/>
                <w:sz w:val="14"/>
              </w:rPr>
              <w:t> </w:t>
            </w:r>
            <w:r>
              <w:rPr>
                <w:color w:val="231F20"/>
                <w:sz w:val="14"/>
              </w:rPr>
              <w:t>vont</w:t>
            </w:r>
            <w:r>
              <w:rPr>
                <w:color w:val="231F20"/>
                <w:spacing w:val="-2"/>
                <w:sz w:val="14"/>
              </w:rPr>
              <w:t> </w:t>
            </w:r>
            <w:r>
              <w:rPr>
                <w:color w:val="231F20"/>
                <w:sz w:val="14"/>
              </w:rPr>
              <w:t>pas</w:t>
            </w:r>
            <w:r>
              <w:rPr>
                <w:color w:val="231F20"/>
                <w:spacing w:val="-2"/>
                <w:sz w:val="14"/>
              </w:rPr>
              <w:t> </w:t>
            </w:r>
            <w:r>
              <w:rPr>
                <w:color w:val="231F20"/>
                <w:sz w:val="14"/>
              </w:rPr>
              <w:t>assez</w:t>
            </w:r>
            <w:r>
              <w:rPr>
                <w:color w:val="231F20"/>
                <w:spacing w:val="-2"/>
                <w:sz w:val="14"/>
              </w:rPr>
              <w:t> </w:t>
            </w:r>
            <w:r>
              <w:rPr>
                <w:color w:val="231F20"/>
                <w:sz w:val="14"/>
              </w:rPr>
              <w:t>vite,</w:t>
            </w:r>
            <w:r>
              <w:rPr>
                <w:color w:val="231F20"/>
                <w:w w:val="105"/>
                <w:sz w:val="14"/>
              </w:rPr>
              <w:t> soit qu’ils sont trop fatigants.</w:t>
            </w:r>
          </w:p>
        </w:tc>
        <w:tc>
          <w:tcPr>
            <w:tcW w:w="1060" w:type="dxa"/>
            <w:tcBorders>
              <w:top w:val="single" w:sz="4" w:space="0" w:color="FFFFFF"/>
              <w:bottom w:val="single" w:sz="4" w:space="0" w:color="FFFFFF"/>
            </w:tcBorders>
            <w:shd w:val="clear" w:color="auto" w:fill="E2E3E4"/>
          </w:tcPr>
          <w:p>
            <w:pPr>
              <w:pStyle w:val="TableParagraph"/>
              <w:spacing w:before="5"/>
              <w:rPr>
                <w:rFonts w:ascii="Times New Roman"/>
                <w:sz w:val="20"/>
              </w:rPr>
            </w:pPr>
          </w:p>
          <w:p>
            <w:pPr>
              <w:pStyle w:val="TableParagraph"/>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right="110" w:hanging="290"/>
              <w:rPr>
                <w:sz w:val="14"/>
              </w:rPr>
            </w:pPr>
            <w:r>
              <w:rPr>
                <w:b/>
                <w:color w:val="231F20"/>
                <w:sz w:val="14"/>
              </w:rPr>
              <w:t>4.</w:t>
            </w:r>
            <w:r>
              <w:rPr>
                <w:b/>
                <w:color w:val="231F20"/>
                <w:spacing w:val="80"/>
                <w:w w:val="150"/>
                <w:sz w:val="14"/>
              </w:rPr>
              <w:t> </w:t>
            </w:r>
            <w:r>
              <w:rPr>
                <w:color w:val="231F20"/>
                <w:sz w:val="14"/>
              </w:rPr>
              <w:t>J’ai</w:t>
            </w:r>
            <w:r>
              <w:rPr>
                <w:color w:val="231F20"/>
                <w:spacing w:val="-4"/>
                <w:sz w:val="14"/>
              </w:rPr>
              <w:t> </w:t>
            </w:r>
            <w:r>
              <w:rPr>
                <w:color w:val="231F20"/>
                <w:sz w:val="14"/>
              </w:rPr>
              <w:t>tendance</w:t>
            </w:r>
            <w:r>
              <w:rPr>
                <w:color w:val="231F20"/>
                <w:spacing w:val="-4"/>
                <w:sz w:val="14"/>
              </w:rPr>
              <w:t> </w:t>
            </w:r>
            <w:r>
              <w:rPr>
                <w:color w:val="231F20"/>
                <w:sz w:val="14"/>
              </w:rPr>
              <w:t>à</w:t>
            </w:r>
            <w:r>
              <w:rPr>
                <w:color w:val="231F20"/>
                <w:spacing w:val="-4"/>
                <w:sz w:val="14"/>
              </w:rPr>
              <w:t> </w:t>
            </w:r>
            <w:r>
              <w:rPr>
                <w:color w:val="231F20"/>
                <w:sz w:val="14"/>
              </w:rPr>
              <w:t>orienter</w:t>
            </w:r>
            <w:r>
              <w:rPr>
                <w:color w:val="231F20"/>
                <w:spacing w:val="-4"/>
                <w:sz w:val="14"/>
              </w:rPr>
              <w:t> </w:t>
            </w:r>
            <w:r>
              <w:rPr>
                <w:color w:val="231F20"/>
                <w:sz w:val="14"/>
              </w:rPr>
              <w:t>la</w:t>
            </w:r>
            <w:r>
              <w:rPr>
                <w:color w:val="231F20"/>
                <w:spacing w:val="-4"/>
                <w:sz w:val="14"/>
              </w:rPr>
              <w:t> </w:t>
            </w:r>
            <w:r>
              <w:rPr>
                <w:color w:val="231F20"/>
                <w:sz w:val="14"/>
              </w:rPr>
              <w:t>conversation</w:t>
            </w:r>
            <w:r>
              <w:rPr>
                <w:color w:val="231F20"/>
                <w:spacing w:val="-4"/>
                <w:sz w:val="14"/>
              </w:rPr>
              <w:t> </w:t>
            </w:r>
            <w:r>
              <w:rPr>
                <w:color w:val="231F20"/>
                <w:sz w:val="14"/>
              </w:rPr>
              <w:t>sur</w:t>
            </w:r>
            <w:r>
              <w:rPr>
                <w:color w:val="231F20"/>
                <w:spacing w:val="-4"/>
                <w:sz w:val="14"/>
              </w:rPr>
              <w:t> </w:t>
            </w:r>
            <w:r>
              <w:rPr>
                <w:color w:val="231F20"/>
                <w:sz w:val="14"/>
              </w:rPr>
              <w:t>les</w:t>
            </w:r>
            <w:r>
              <w:rPr>
                <w:color w:val="231F20"/>
                <w:spacing w:val="-4"/>
                <w:sz w:val="14"/>
              </w:rPr>
              <w:t> </w:t>
            </w:r>
            <w:r>
              <w:rPr>
                <w:color w:val="231F20"/>
                <w:sz w:val="14"/>
              </w:rPr>
              <w:t>sujets</w:t>
            </w:r>
            <w:r>
              <w:rPr>
                <w:color w:val="231F20"/>
                <w:spacing w:val="-4"/>
                <w:sz w:val="14"/>
              </w:rPr>
              <w:t> </w:t>
            </w:r>
            <w:r>
              <w:rPr>
                <w:color w:val="231F20"/>
                <w:sz w:val="14"/>
              </w:rPr>
              <w:t>et</w:t>
            </w:r>
            <w:r>
              <w:rPr>
                <w:color w:val="231F20"/>
                <w:spacing w:val="-4"/>
                <w:sz w:val="14"/>
              </w:rPr>
              <w:t> </w:t>
            </w:r>
            <w:r>
              <w:rPr>
                <w:color w:val="231F20"/>
                <w:sz w:val="14"/>
              </w:rPr>
              <w:t>questions</w:t>
            </w:r>
            <w:r>
              <w:rPr>
                <w:color w:val="231F20"/>
                <w:spacing w:val="40"/>
                <w:sz w:val="14"/>
              </w:rPr>
              <w:t> </w:t>
            </w:r>
            <w:r>
              <w:rPr>
                <w:color w:val="231F20"/>
                <w:sz w:val="14"/>
              </w:rPr>
              <w:t>qui m’importent vraiment.</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right="439" w:hanging="290"/>
              <w:rPr>
                <w:sz w:val="14"/>
              </w:rPr>
            </w:pPr>
            <w:r>
              <w:rPr>
                <w:b/>
                <w:color w:val="231F20"/>
                <w:sz w:val="14"/>
              </w:rPr>
              <w:t>5.</w:t>
            </w:r>
            <w:r>
              <w:rPr>
                <w:b/>
                <w:color w:val="231F20"/>
                <w:spacing w:val="80"/>
                <w:w w:val="150"/>
                <w:sz w:val="14"/>
              </w:rPr>
              <w:t> </w:t>
            </w:r>
            <w:r>
              <w:rPr>
                <w:color w:val="231F20"/>
                <w:sz w:val="14"/>
              </w:rPr>
              <w:t>Je</w:t>
            </w:r>
            <w:r>
              <w:rPr>
                <w:color w:val="231F20"/>
                <w:spacing w:val="-9"/>
                <w:sz w:val="14"/>
              </w:rPr>
              <w:t> </w:t>
            </w:r>
            <w:r>
              <w:rPr>
                <w:color w:val="231F20"/>
                <w:sz w:val="14"/>
              </w:rPr>
              <w:t>me</w:t>
            </w:r>
            <w:r>
              <w:rPr>
                <w:color w:val="231F20"/>
                <w:spacing w:val="-9"/>
                <w:sz w:val="14"/>
              </w:rPr>
              <w:t> </w:t>
            </w:r>
            <w:r>
              <w:rPr>
                <w:color w:val="231F20"/>
                <w:sz w:val="14"/>
              </w:rPr>
              <w:t>sens</w:t>
            </w:r>
            <w:r>
              <w:rPr>
                <w:color w:val="231F20"/>
                <w:spacing w:val="-9"/>
                <w:sz w:val="14"/>
              </w:rPr>
              <w:t> </w:t>
            </w:r>
            <w:r>
              <w:rPr>
                <w:color w:val="231F20"/>
                <w:sz w:val="14"/>
              </w:rPr>
              <w:t>coupable</w:t>
            </w:r>
            <w:r>
              <w:rPr>
                <w:color w:val="231F20"/>
                <w:spacing w:val="-9"/>
                <w:sz w:val="14"/>
              </w:rPr>
              <w:t> </w:t>
            </w:r>
            <w:r>
              <w:rPr>
                <w:color w:val="231F20"/>
                <w:sz w:val="14"/>
              </w:rPr>
              <w:t>quand</w:t>
            </w:r>
            <w:r>
              <w:rPr>
                <w:color w:val="231F20"/>
                <w:spacing w:val="-9"/>
                <w:sz w:val="14"/>
              </w:rPr>
              <w:t> </w:t>
            </w:r>
            <w:r>
              <w:rPr>
                <w:color w:val="231F20"/>
                <w:sz w:val="14"/>
              </w:rPr>
              <w:t>je</w:t>
            </w:r>
            <w:r>
              <w:rPr>
                <w:color w:val="231F20"/>
                <w:spacing w:val="-9"/>
                <w:sz w:val="14"/>
              </w:rPr>
              <w:t> </w:t>
            </w:r>
            <w:r>
              <w:rPr>
                <w:color w:val="231F20"/>
                <w:sz w:val="14"/>
              </w:rPr>
              <w:t>me</w:t>
            </w:r>
            <w:r>
              <w:rPr>
                <w:color w:val="231F20"/>
                <w:spacing w:val="-9"/>
                <w:sz w:val="14"/>
              </w:rPr>
              <w:t> </w:t>
            </w:r>
            <w:r>
              <w:rPr>
                <w:color w:val="231F20"/>
                <w:sz w:val="14"/>
              </w:rPr>
              <w:t>repose</w:t>
            </w:r>
            <w:r>
              <w:rPr>
                <w:color w:val="231F20"/>
                <w:spacing w:val="-9"/>
                <w:sz w:val="14"/>
              </w:rPr>
              <w:t> </w:t>
            </w:r>
            <w:r>
              <w:rPr>
                <w:color w:val="231F20"/>
                <w:sz w:val="14"/>
              </w:rPr>
              <w:t>ou</w:t>
            </w:r>
            <w:r>
              <w:rPr>
                <w:color w:val="231F20"/>
                <w:spacing w:val="-9"/>
                <w:sz w:val="14"/>
              </w:rPr>
              <w:t> </w:t>
            </w:r>
            <w:r>
              <w:rPr>
                <w:color w:val="231F20"/>
                <w:sz w:val="14"/>
              </w:rPr>
              <w:t>que</w:t>
            </w:r>
            <w:r>
              <w:rPr>
                <w:color w:val="231F20"/>
                <w:spacing w:val="-9"/>
                <w:sz w:val="14"/>
              </w:rPr>
              <w:t> </w:t>
            </w:r>
            <w:r>
              <w:rPr>
                <w:color w:val="231F20"/>
                <w:sz w:val="14"/>
              </w:rPr>
              <w:t>j’ai</w:t>
            </w:r>
            <w:r>
              <w:rPr>
                <w:color w:val="231F20"/>
                <w:spacing w:val="-9"/>
                <w:sz w:val="14"/>
              </w:rPr>
              <w:t> </w:t>
            </w:r>
            <w:r>
              <w:rPr>
                <w:color w:val="231F20"/>
                <w:sz w:val="14"/>
              </w:rPr>
              <w:t>des</w:t>
            </w:r>
            <w:r>
              <w:rPr>
                <w:color w:val="231F20"/>
                <w:spacing w:val="40"/>
                <w:sz w:val="14"/>
              </w:rPr>
              <w:t> </w:t>
            </w:r>
            <w:r>
              <w:rPr>
                <w:color w:val="231F20"/>
                <w:sz w:val="14"/>
              </w:rPr>
              <w:t>temps</w:t>
            </w:r>
            <w:r>
              <w:rPr>
                <w:color w:val="231F20"/>
                <w:spacing w:val="-10"/>
                <w:sz w:val="14"/>
              </w:rPr>
              <w:t> </w:t>
            </w:r>
            <w:r>
              <w:rPr>
                <w:color w:val="231F20"/>
                <w:sz w:val="14"/>
              </w:rPr>
              <w:t>libres.</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hanging="290"/>
              <w:rPr>
                <w:sz w:val="14"/>
              </w:rPr>
            </w:pPr>
            <w:r>
              <w:rPr>
                <w:b/>
                <w:color w:val="231F20"/>
                <w:sz w:val="14"/>
              </w:rPr>
              <w:t>6.</w:t>
            </w:r>
            <w:r>
              <w:rPr>
                <w:b/>
                <w:color w:val="231F20"/>
                <w:spacing w:val="80"/>
                <w:w w:val="150"/>
                <w:sz w:val="14"/>
              </w:rPr>
              <w:t> </w:t>
            </w:r>
            <w:r>
              <w:rPr>
                <w:color w:val="231F20"/>
                <w:sz w:val="14"/>
              </w:rPr>
              <w:t>J’ai</w:t>
            </w:r>
            <w:r>
              <w:rPr>
                <w:color w:val="231F20"/>
                <w:spacing w:val="-7"/>
                <w:sz w:val="14"/>
              </w:rPr>
              <w:t> </w:t>
            </w:r>
            <w:r>
              <w:rPr>
                <w:color w:val="231F20"/>
                <w:sz w:val="14"/>
              </w:rPr>
              <w:t>tendance</w:t>
            </w:r>
            <w:r>
              <w:rPr>
                <w:color w:val="231F20"/>
                <w:spacing w:val="-7"/>
                <w:sz w:val="14"/>
              </w:rPr>
              <w:t> </w:t>
            </w:r>
            <w:r>
              <w:rPr>
                <w:color w:val="231F20"/>
                <w:sz w:val="14"/>
              </w:rPr>
              <w:t>à</w:t>
            </w:r>
            <w:r>
              <w:rPr>
                <w:color w:val="231F20"/>
                <w:spacing w:val="-7"/>
                <w:sz w:val="14"/>
              </w:rPr>
              <w:t> </w:t>
            </w:r>
            <w:r>
              <w:rPr>
                <w:color w:val="231F20"/>
                <w:sz w:val="14"/>
              </w:rPr>
              <w:t>ne</w:t>
            </w:r>
            <w:r>
              <w:rPr>
                <w:color w:val="231F20"/>
                <w:spacing w:val="-7"/>
                <w:sz w:val="14"/>
              </w:rPr>
              <w:t> </w:t>
            </w:r>
            <w:r>
              <w:rPr>
                <w:color w:val="231F20"/>
                <w:sz w:val="14"/>
              </w:rPr>
              <w:t>pas</w:t>
            </w:r>
            <w:r>
              <w:rPr>
                <w:color w:val="231F20"/>
                <w:spacing w:val="-7"/>
                <w:sz w:val="14"/>
              </w:rPr>
              <w:t> </w:t>
            </w:r>
            <w:r>
              <w:rPr>
                <w:color w:val="231F20"/>
                <w:sz w:val="14"/>
              </w:rPr>
              <w:t>remarquer</w:t>
            </w:r>
            <w:r>
              <w:rPr>
                <w:color w:val="231F20"/>
                <w:spacing w:val="-7"/>
                <w:sz w:val="14"/>
              </w:rPr>
              <w:t> </w:t>
            </w:r>
            <w:r>
              <w:rPr>
                <w:color w:val="231F20"/>
                <w:sz w:val="14"/>
              </w:rPr>
              <w:t>les</w:t>
            </w:r>
            <w:r>
              <w:rPr>
                <w:color w:val="231F20"/>
                <w:spacing w:val="-7"/>
                <w:sz w:val="14"/>
              </w:rPr>
              <w:t> </w:t>
            </w:r>
            <w:r>
              <w:rPr>
                <w:color w:val="231F20"/>
                <w:sz w:val="14"/>
              </w:rPr>
              <w:t>nouveaux</w:t>
            </w:r>
            <w:r>
              <w:rPr>
                <w:color w:val="231F20"/>
                <w:spacing w:val="-7"/>
                <w:sz w:val="14"/>
              </w:rPr>
              <w:t> </w:t>
            </w:r>
            <w:r>
              <w:rPr>
                <w:color w:val="231F20"/>
                <w:sz w:val="14"/>
              </w:rPr>
              <w:t>détails</w:t>
            </w:r>
            <w:r>
              <w:rPr>
                <w:color w:val="231F20"/>
                <w:spacing w:val="-7"/>
                <w:sz w:val="14"/>
              </w:rPr>
              <w:t> </w:t>
            </w:r>
            <w:r>
              <w:rPr>
                <w:color w:val="231F20"/>
                <w:sz w:val="14"/>
              </w:rPr>
              <w:t>qui</w:t>
            </w:r>
            <w:r>
              <w:rPr>
                <w:color w:val="231F20"/>
                <w:spacing w:val="40"/>
                <w:sz w:val="14"/>
              </w:rPr>
              <w:t> </w:t>
            </w:r>
            <w:r>
              <w:rPr>
                <w:color w:val="231F20"/>
                <w:sz w:val="14"/>
              </w:rPr>
              <w:t>apparaissent dans mon environnement.</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right="439" w:hanging="290"/>
              <w:rPr>
                <w:sz w:val="14"/>
              </w:rPr>
            </w:pPr>
            <w:r>
              <w:rPr>
                <w:b/>
                <w:color w:val="231F20"/>
                <w:sz w:val="14"/>
              </w:rPr>
              <w:t>7.</w:t>
            </w:r>
            <w:r>
              <w:rPr>
                <w:b/>
                <w:color w:val="231F20"/>
                <w:spacing w:val="80"/>
                <w:w w:val="150"/>
                <w:sz w:val="14"/>
              </w:rPr>
              <w:t> </w:t>
            </w:r>
            <w:r>
              <w:rPr>
                <w:color w:val="231F20"/>
                <w:sz w:val="14"/>
              </w:rPr>
              <w:t>Je</w:t>
            </w:r>
            <w:r>
              <w:rPr>
                <w:color w:val="231F20"/>
                <w:spacing w:val="-5"/>
                <w:sz w:val="14"/>
              </w:rPr>
              <w:t> </w:t>
            </w:r>
            <w:r>
              <w:rPr>
                <w:color w:val="231F20"/>
                <w:sz w:val="14"/>
              </w:rPr>
              <w:t>me</w:t>
            </w:r>
            <w:r>
              <w:rPr>
                <w:color w:val="231F20"/>
                <w:spacing w:val="-5"/>
                <w:sz w:val="14"/>
              </w:rPr>
              <w:t> </w:t>
            </w:r>
            <w:r>
              <w:rPr>
                <w:color w:val="231F20"/>
                <w:sz w:val="14"/>
              </w:rPr>
              <w:t>soucie</w:t>
            </w:r>
            <w:r>
              <w:rPr>
                <w:color w:val="231F20"/>
                <w:spacing w:val="-5"/>
                <w:sz w:val="14"/>
              </w:rPr>
              <w:t> </w:t>
            </w:r>
            <w:r>
              <w:rPr>
                <w:color w:val="231F20"/>
                <w:sz w:val="14"/>
              </w:rPr>
              <w:t>davantage</w:t>
            </w:r>
            <w:r>
              <w:rPr>
                <w:color w:val="231F20"/>
                <w:spacing w:val="-5"/>
                <w:sz w:val="14"/>
              </w:rPr>
              <w:t> </w:t>
            </w:r>
            <w:r>
              <w:rPr>
                <w:color w:val="231F20"/>
                <w:sz w:val="14"/>
              </w:rPr>
              <w:t>de</w:t>
            </w:r>
            <w:r>
              <w:rPr>
                <w:color w:val="231F20"/>
                <w:spacing w:val="-5"/>
                <w:sz w:val="14"/>
              </w:rPr>
              <w:t> </w:t>
            </w:r>
            <w:r>
              <w:rPr>
                <w:color w:val="231F20"/>
                <w:sz w:val="14"/>
              </w:rPr>
              <w:t>ce</w:t>
            </w:r>
            <w:r>
              <w:rPr>
                <w:color w:val="231F20"/>
                <w:spacing w:val="-5"/>
                <w:sz w:val="14"/>
              </w:rPr>
              <w:t> </w:t>
            </w:r>
            <w:r>
              <w:rPr>
                <w:color w:val="231F20"/>
                <w:sz w:val="14"/>
              </w:rPr>
              <w:t>qu’il</w:t>
            </w:r>
            <w:r>
              <w:rPr>
                <w:color w:val="231F20"/>
                <w:spacing w:val="-5"/>
                <w:sz w:val="14"/>
              </w:rPr>
              <w:t> </w:t>
            </w:r>
            <w:r>
              <w:rPr>
                <w:color w:val="231F20"/>
                <w:sz w:val="14"/>
              </w:rPr>
              <w:t>vaut</w:t>
            </w:r>
            <w:r>
              <w:rPr>
                <w:color w:val="231F20"/>
                <w:spacing w:val="-5"/>
                <w:sz w:val="14"/>
              </w:rPr>
              <w:t> </w:t>
            </w:r>
            <w:r>
              <w:rPr>
                <w:color w:val="231F20"/>
                <w:sz w:val="14"/>
              </w:rPr>
              <w:t>la</w:t>
            </w:r>
            <w:r>
              <w:rPr>
                <w:color w:val="231F20"/>
                <w:spacing w:val="-5"/>
                <w:sz w:val="14"/>
              </w:rPr>
              <w:t> </w:t>
            </w:r>
            <w:r>
              <w:rPr>
                <w:color w:val="231F20"/>
                <w:sz w:val="14"/>
              </w:rPr>
              <w:t>peine</w:t>
            </w:r>
            <w:r>
              <w:rPr>
                <w:color w:val="231F20"/>
                <w:spacing w:val="-5"/>
                <w:sz w:val="14"/>
              </w:rPr>
              <w:t> </w:t>
            </w:r>
            <w:r>
              <w:rPr>
                <w:color w:val="231F20"/>
                <w:sz w:val="14"/>
              </w:rPr>
              <w:t>d’avoir</w:t>
            </w:r>
            <w:r>
              <w:rPr>
                <w:color w:val="231F20"/>
                <w:spacing w:val="-5"/>
                <w:sz w:val="14"/>
              </w:rPr>
              <w:t> </w:t>
            </w:r>
            <w:r>
              <w:rPr>
                <w:color w:val="231F20"/>
                <w:sz w:val="14"/>
              </w:rPr>
              <w:t>que</w:t>
            </w:r>
            <w:r>
              <w:rPr>
                <w:color w:val="231F20"/>
                <w:spacing w:val="40"/>
                <w:sz w:val="14"/>
              </w:rPr>
              <w:t> </w:t>
            </w:r>
            <w:r>
              <w:rPr>
                <w:color w:val="231F20"/>
                <w:sz w:val="14"/>
              </w:rPr>
              <w:t>de ce qu’il vaut la peine d’être.</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right="110" w:hanging="290"/>
              <w:rPr>
                <w:sz w:val="14"/>
              </w:rPr>
            </w:pPr>
            <w:r>
              <w:rPr>
                <w:b/>
                <w:color w:val="231F20"/>
                <w:sz w:val="14"/>
              </w:rPr>
              <w:t>8.</w:t>
            </w:r>
            <w:r>
              <w:rPr>
                <w:b/>
                <w:color w:val="231F20"/>
                <w:spacing w:val="80"/>
                <w:w w:val="150"/>
                <w:sz w:val="14"/>
              </w:rPr>
              <w:t> </w:t>
            </w:r>
            <w:r>
              <w:rPr>
                <w:color w:val="231F20"/>
                <w:sz w:val="14"/>
              </w:rPr>
              <w:t>J’ai</w:t>
            </w:r>
            <w:r>
              <w:rPr>
                <w:color w:val="231F20"/>
                <w:spacing w:val="-4"/>
                <w:sz w:val="14"/>
              </w:rPr>
              <w:t> </w:t>
            </w:r>
            <w:r>
              <w:rPr>
                <w:color w:val="231F20"/>
                <w:sz w:val="14"/>
              </w:rPr>
              <w:t>tendance</w:t>
            </w:r>
            <w:r>
              <w:rPr>
                <w:color w:val="231F20"/>
                <w:spacing w:val="-4"/>
                <w:sz w:val="14"/>
              </w:rPr>
              <w:t> </w:t>
            </w:r>
            <w:r>
              <w:rPr>
                <w:color w:val="231F20"/>
                <w:sz w:val="14"/>
              </w:rPr>
              <w:t>à</w:t>
            </w:r>
            <w:r>
              <w:rPr>
                <w:color w:val="231F20"/>
                <w:spacing w:val="-4"/>
                <w:sz w:val="14"/>
              </w:rPr>
              <w:t> </w:t>
            </w:r>
            <w:r>
              <w:rPr>
                <w:color w:val="231F20"/>
                <w:sz w:val="14"/>
              </w:rPr>
              <w:t>planifier</w:t>
            </w:r>
            <w:r>
              <w:rPr>
                <w:color w:val="231F20"/>
                <w:spacing w:val="-4"/>
                <w:sz w:val="14"/>
              </w:rPr>
              <w:t> </w:t>
            </w:r>
            <w:r>
              <w:rPr>
                <w:color w:val="231F20"/>
                <w:sz w:val="14"/>
              </w:rPr>
              <w:t>de</w:t>
            </w:r>
            <w:r>
              <w:rPr>
                <w:color w:val="231F20"/>
                <w:spacing w:val="-4"/>
                <w:sz w:val="14"/>
              </w:rPr>
              <w:t> </w:t>
            </w:r>
            <w:r>
              <w:rPr>
                <w:color w:val="231F20"/>
                <w:sz w:val="14"/>
              </w:rPr>
              <w:t>plus</w:t>
            </w:r>
            <w:r>
              <w:rPr>
                <w:color w:val="231F20"/>
                <w:spacing w:val="-4"/>
                <w:sz w:val="14"/>
              </w:rPr>
              <w:t> </w:t>
            </w:r>
            <w:r>
              <w:rPr>
                <w:color w:val="231F20"/>
                <w:sz w:val="14"/>
              </w:rPr>
              <w:t>en</w:t>
            </w:r>
            <w:r>
              <w:rPr>
                <w:color w:val="231F20"/>
                <w:spacing w:val="-4"/>
                <w:sz w:val="14"/>
              </w:rPr>
              <w:t> </w:t>
            </w:r>
            <w:r>
              <w:rPr>
                <w:color w:val="231F20"/>
                <w:sz w:val="14"/>
              </w:rPr>
              <w:t>plus</w:t>
            </w:r>
            <w:r>
              <w:rPr>
                <w:color w:val="231F20"/>
                <w:spacing w:val="-4"/>
                <w:sz w:val="14"/>
              </w:rPr>
              <w:t> </w:t>
            </w:r>
            <w:r>
              <w:rPr>
                <w:color w:val="231F20"/>
                <w:sz w:val="14"/>
              </w:rPr>
              <w:t>en</w:t>
            </w:r>
            <w:r>
              <w:rPr>
                <w:color w:val="231F20"/>
                <w:spacing w:val="-4"/>
                <w:sz w:val="14"/>
              </w:rPr>
              <w:t> </w:t>
            </w:r>
            <w:r>
              <w:rPr>
                <w:color w:val="231F20"/>
                <w:sz w:val="14"/>
              </w:rPr>
              <w:t>moins</w:t>
            </w:r>
            <w:r>
              <w:rPr>
                <w:color w:val="231F20"/>
                <w:spacing w:val="-4"/>
                <w:sz w:val="14"/>
              </w:rPr>
              <w:t> </w:t>
            </w:r>
            <w:r>
              <w:rPr>
                <w:color w:val="231F20"/>
                <w:sz w:val="14"/>
              </w:rPr>
              <w:t>de</w:t>
            </w:r>
            <w:r>
              <w:rPr>
                <w:color w:val="231F20"/>
                <w:spacing w:val="-4"/>
                <w:sz w:val="14"/>
              </w:rPr>
              <w:t> </w:t>
            </w:r>
            <w:r>
              <w:rPr>
                <w:color w:val="231F20"/>
                <w:sz w:val="14"/>
              </w:rPr>
              <w:t>temps</w:t>
            </w:r>
            <w:r>
              <w:rPr>
                <w:color w:val="231F20"/>
                <w:w w:val="105"/>
                <w:sz w:val="14"/>
              </w:rPr>
              <w:t> </w:t>
            </w:r>
            <w:r>
              <w:rPr>
                <w:color w:val="231F20"/>
                <w:spacing w:val="-2"/>
                <w:w w:val="105"/>
                <w:sz w:val="14"/>
              </w:rPr>
              <w:t>qu’avant.</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hanging="290"/>
              <w:rPr>
                <w:sz w:val="14"/>
              </w:rPr>
            </w:pPr>
            <w:r>
              <w:rPr>
                <w:b/>
                <w:color w:val="231F20"/>
                <w:sz w:val="14"/>
              </w:rPr>
              <w:t>9.</w:t>
            </w:r>
            <w:r>
              <w:rPr>
                <w:b/>
                <w:color w:val="231F20"/>
                <w:spacing w:val="80"/>
                <w:w w:val="150"/>
                <w:sz w:val="14"/>
              </w:rPr>
              <w:t> </w:t>
            </w:r>
            <w:r>
              <w:rPr>
                <w:color w:val="231F20"/>
                <w:sz w:val="14"/>
              </w:rPr>
              <w:t>J’ai</w:t>
            </w:r>
            <w:r>
              <w:rPr>
                <w:color w:val="231F20"/>
                <w:spacing w:val="-5"/>
                <w:sz w:val="14"/>
              </w:rPr>
              <w:t> </w:t>
            </w:r>
            <w:r>
              <w:rPr>
                <w:color w:val="231F20"/>
                <w:sz w:val="14"/>
              </w:rPr>
              <w:t>le</w:t>
            </w:r>
            <w:r>
              <w:rPr>
                <w:color w:val="231F20"/>
                <w:spacing w:val="-5"/>
                <w:sz w:val="14"/>
              </w:rPr>
              <w:t> </w:t>
            </w:r>
            <w:r>
              <w:rPr>
                <w:color w:val="231F20"/>
                <w:sz w:val="14"/>
              </w:rPr>
              <w:t>sentiment</w:t>
            </w:r>
            <w:r>
              <w:rPr>
                <w:color w:val="231F20"/>
                <w:spacing w:val="-5"/>
                <w:sz w:val="14"/>
              </w:rPr>
              <w:t> </w:t>
            </w:r>
            <w:r>
              <w:rPr>
                <w:color w:val="231F20"/>
                <w:sz w:val="14"/>
              </w:rPr>
              <w:t>d’être</w:t>
            </w:r>
            <w:r>
              <w:rPr>
                <w:color w:val="231F20"/>
                <w:spacing w:val="-5"/>
                <w:sz w:val="14"/>
              </w:rPr>
              <w:t> </w:t>
            </w:r>
            <w:r>
              <w:rPr>
                <w:color w:val="231F20"/>
                <w:sz w:val="14"/>
              </w:rPr>
              <w:t>en</w:t>
            </w:r>
            <w:r>
              <w:rPr>
                <w:color w:val="231F20"/>
                <w:spacing w:val="-5"/>
                <w:sz w:val="14"/>
              </w:rPr>
              <w:t> </w:t>
            </w:r>
            <w:r>
              <w:rPr>
                <w:color w:val="231F20"/>
                <w:sz w:val="14"/>
              </w:rPr>
              <w:t>concurrence</w:t>
            </w:r>
            <w:r>
              <w:rPr>
                <w:color w:val="231F20"/>
                <w:spacing w:val="-5"/>
                <w:sz w:val="14"/>
              </w:rPr>
              <w:t> </w:t>
            </w:r>
            <w:r>
              <w:rPr>
                <w:color w:val="231F20"/>
                <w:sz w:val="14"/>
              </w:rPr>
              <w:t>avec</w:t>
            </w:r>
            <w:r>
              <w:rPr>
                <w:color w:val="231F20"/>
                <w:spacing w:val="-5"/>
                <w:sz w:val="14"/>
              </w:rPr>
              <w:t> </w:t>
            </w:r>
            <w:r>
              <w:rPr>
                <w:color w:val="231F20"/>
                <w:sz w:val="14"/>
              </w:rPr>
              <w:t>des</w:t>
            </w:r>
            <w:r>
              <w:rPr>
                <w:color w:val="231F20"/>
                <w:spacing w:val="-5"/>
                <w:sz w:val="14"/>
              </w:rPr>
              <w:t> </w:t>
            </w:r>
            <w:r>
              <w:rPr>
                <w:color w:val="231F20"/>
                <w:sz w:val="14"/>
              </w:rPr>
              <w:t>gens</w:t>
            </w:r>
            <w:r>
              <w:rPr>
                <w:color w:val="231F20"/>
                <w:spacing w:val="-5"/>
                <w:sz w:val="14"/>
              </w:rPr>
              <w:t> </w:t>
            </w:r>
            <w:r>
              <w:rPr>
                <w:color w:val="231F20"/>
                <w:sz w:val="14"/>
              </w:rPr>
              <w:t>qui</w:t>
            </w:r>
            <w:r>
              <w:rPr>
                <w:color w:val="231F20"/>
                <w:spacing w:val="-5"/>
                <w:sz w:val="14"/>
              </w:rPr>
              <w:t> </w:t>
            </w:r>
            <w:r>
              <w:rPr>
                <w:color w:val="231F20"/>
                <w:sz w:val="14"/>
              </w:rPr>
              <w:t>sont</w:t>
            </w:r>
            <w:r>
              <w:rPr>
                <w:color w:val="231F20"/>
                <w:spacing w:val="-5"/>
                <w:sz w:val="14"/>
              </w:rPr>
              <w:t> </w:t>
            </w:r>
            <w:r>
              <w:rPr>
                <w:color w:val="231F20"/>
                <w:sz w:val="14"/>
              </w:rPr>
              <w:t>eux</w:t>
            </w:r>
            <w:r>
              <w:rPr>
                <w:color w:val="231F20"/>
                <w:spacing w:val="40"/>
                <w:sz w:val="14"/>
              </w:rPr>
              <w:t> </w:t>
            </w:r>
            <w:r>
              <w:rPr>
                <w:color w:val="231F20"/>
                <w:sz w:val="14"/>
              </w:rPr>
              <w:t>aussi soumis à des échéances et des pressions.</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5"/>
              <w:ind w:left="480" w:right="439" w:hanging="381"/>
              <w:rPr>
                <w:sz w:val="14"/>
              </w:rPr>
            </w:pPr>
            <w:r>
              <w:rPr>
                <w:b/>
                <w:color w:val="231F20"/>
                <w:sz w:val="14"/>
              </w:rPr>
              <w:t>10.</w:t>
            </w:r>
            <w:r>
              <w:rPr>
                <w:b/>
                <w:color w:val="231F20"/>
                <w:spacing w:val="80"/>
                <w:w w:val="150"/>
                <w:sz w:val="14"/>
              </w:rPr>
              <w:t> </w:t>
            </w:r>
            <w:r>
              <w:rPr>
                <w:color w:val="231F20"/>
                <w:sz w:val="14"/>
              </w:rPr>
              <w:t>J’ai</w:t>
            </w:r>
            <w:r>
              <w:rPr>
                <w:color w:val="231F20"/>
                <w:spacing w:val="-3"/>
                <w:sz w:val="14"/>
              </w:rPr>
              <w:t> </w:t>
            </w:r>
            <w:r>
              <w:rPr>
                <w:color w:val="231F20"/>
                <w:sz w:val="14"/>
              </w:rPr>
              <w:t>développé</w:t>
            </w:r>
            <w:r>
              <w:rPr>
                <w:color w:val="231F20"/>
                <w:spacing w:val="-3"/>
                <w:sz w:val="14"/>
              </w:rPr>
              <w:t> </w:t>
            </w:r>
            <w:r>
              <w:rPr>
                <w:color w:val="231F20"/>
                <w:sz w:val="14"/>
              </w:rPr>
              <w:t>certains</w:t>
            </w:r>
            <w:r>
              <w:rPr>
                <w:color w:val="231F20"/>
                <w:spacing w:val="-3"/>
                <w:sz w:val="14"/>
              </w:rPr>
              <w:t> </w:t>
            </w:r>
            <w:r>
              <w:rPr>
                <w:color w:val="231F20"/>
                <w:sz w:val="14"/>
              </w:rPr>
              <w:t>tics</w:t>
            </w:r>
            <w:r>
              <w:rPr>
                <w:color w:val="231F20"/>
                <w:spacing w:val="-3"/>
                <w:sz w:val="14"/>
              </w:rPr>
              <w:t> </w:t>
            </w:r>
            <w:r>
              <w:rPr>
                <w:color w:val="231F20"/>
                <w:sz w:val="14"/>
              </w:rPr>
              <w:t>ou</w:t>
            </w:r>
            <w:r>
              <w:rPr>
                <w:color w:val="231F20"/>
                <w:spacing w:val="-3"/>
                <w:sz w:val="14"/>
              </w:rPr>
              <w:t> </w:t>
            </w:r>
            <w:r>
              <w:rPr>
                <w:color w:val="231F20"/>
                <w:sz w:val="14"/>
              </w:rPr>
              <w:t>gestes</w:t>
            </w:r>
            <w:r>
              <w:rPr>
                <w:color w:val="231F20"/>
                <w:spacing w:val="-3"/>
                <w:sz w:val="14"/>
              </w:rPr>
              <w:t> </w:t>
            </w:r>
            <w:r>
              <w:rPr>
                <w:color w:val="231F20"/>
                <w:sz w:val="14"/>
              </w:rPr>
              <w:t>nerveux</w:t>
            </w:r>
            <w:r>
              <w:rPr>
                <w:color w:val="231F20"/>
                <w:spacing w:val="-3"/>
                <w:sz w:val="14"/>
              </w:rPr>
              <w:t> </w:t>
            </w:r>
            <w:r>
              <w:rPr>
                <w:color w:val="231F20"/>
                <w:sz w:val="14"/>
              </w:rPr>
              <w:t>tels</w:t>
            </w:r>
            <w:r>
              <w:rPr>
                <w:color w:val="231F20"/>
                <w:spacing w:val="-3"/>
                <w:sz w:val="14"/>
              </w:rPr>
              <w:t> </w:t>
            </w:r>
            <w:r>
              <w:rPr>
                <w:color w:val="231F20"/>
                <w:sz w:val="14"/>
              </w:rPr>
              <w:t>que</w:t>
            </w:r>
            <w:r>
              <w:rPr>
                <w:color w:val="231F20"/>
                <w:spacing w:val="-3"/>
                <w:sz w:val="14"/>
              </w:rPr>
              <w:t> </w:t>
            </w:r>
            <w:r>
              <w:rPr>
                <w:color w:val="231F20"/>
                <w:sz w:val="14"/>
              </w:rPr>
              <w:t>serrer</w:t>
            </w:r>
            <w:r>
              <w:rPr>
                <w:color w:val="231F20"/>
                <w:spacing w:val="40"/>
                <w:sz w:val="14"/>
              </w:rPr>
              <w:t> </w:t>
            </w:r>
            <w:r>
              <w:rPr>
                <w:color w:val="231F20"/>
                <w:sz w:val="14"/>
              </w:rPr>
              <w:t>les poings ou frapper sur la table en parlant.</w:t>
            </w:r>
          </w:p>
        </w:tc>
        <w:tc>
          <w:tcPr>
            <w:tcW w:w="1060" w:type="dxa"/>
            <w:tcBorders>
              <w:top w:val="single" w:sz="4" w:space="0" w:color="FFFFFF"/>
              <w:bottom w:val="single" w:sz="4" w:space="0" w:color="FFFFFF"/>
            </w:tcBorders>
            <w:shd w:val="clear" w:color="auto" w:fill="E2E3E4"/>
          </w:tcPr>
          <w:p>
            <w:pPr>
              <w:pStyle w:val="TableParagraph"/>
              <w:spacing w:before="145"/>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1" w:hRule="atLeast"/>
        </w:trPr>
        <w:tc>
          <w:tcPr>
            <w:tcW w:w="4688" w:type="dxa"/>
            <w:tcBorders>
              <w:top w:val="single" w:sz="4" w:space="0" w:color="E2E3E4"/>
              <w:bottom w:val="single" w:sz="4" w:space="0" w:color="E2E3E4"/>
            </w:tcBorders>
          </w:tcPr>
          <w:p>
            <w:pPr>
              <w:pStyle w:val="TableParagraph"/>
              <w:spacing w:line="268" w:lineRule="auto" w:before="56"/>
              <w:ind w:left="480" w:right="682" w:hanging="381"/>
              <w:rPr>
                <w:sz w:val="14"/>
              </w:rPr>
            </w:pPr>
            <w:r>
              <w:rPr>
                <w:b/>
                <w:color w:val="231F20"/>
                <w:sz w:val="14"/>
              </w:rPr>
              <w:t>11.</w:t>
            </w:r>
            <w:r>
              <w:rPr>
                <w:b/>
                <w:color w:val="231F20"/>
                <w:spacing w:val="80"/>
                <w:w w:val="150"/>
                <w:sz w:val="14"/>
              </w:rPr>
              <w:t> </w:t>
            </w:r>
            <w:r>
              <w:rPr>
                <w:color w:val="231F20"/>
                <w:sz w:val="14"/>
              </w:rPr>
              <w:t>Pour</w:t>
            </w:r>
            <w:r>
              <w:rPr>
                <w:color w:val="231F20"/>
                <w:spacing w:val="-4"/>
                <w:sz w:val="14"/>
              </w:rPr>
              <w:t> </w:t>
            </w:r>
            <w:r>
              <w:rPr>
                <w:color w:val="231F20"/>
                <w:sz w:val="14"/>
              </w:rPr>
              <w:t>moi,</w:t>
            </w:r>
            <w:r>
              <w:rPr>
                <w:color w:val="231F20"/>
                <w:spacing w:val="-4"/>
                <w:sz w:val="14"/>
              </w:rPr>
              <w:t> </w:t>
            </w:r>
            <w:r>
              <w:rPr>
                <w:color w:val="231F20"/>
                <w:sz w:val="14"/>
              </w:rPr>
              <w:t>la</w:t>
            </w:r>
            <w:r>
              <w:rPr>
                <w:color w:val="231F20"/>
                <w:spacing w:val="-4"/>
                <w:sz w:val="14"/>
              </w:rPr>
              <w:t> </w:t>
            </w:r>
            <w:r>
              <w:rPr>
                <w:color w:val="231F20"/>
                <w:sz w:val="14"/>
              </w:rPr>
              <w:t>réussite,</w:t>
            </w:r>
            <w:r>
              <w:rPr>
                <w:color w:val="231F20"/>
                <w:spacing w:val="-4"/>
                <w:sz w:val="14"/>
              </w:rPr>
              <w:t> </w:t>
            </w:r>
            <w:r>
              <w:rPr>
                <w:color w:val="231F20"/>
                <w:sz w:val="14"/>
              </w:rPr>
              <w:t>c’est</w:t>
            </w:r>
            <w:r>
              <w:rPr>
                <w:color w:val="231F20"/>
                <w:spacing w:val="-4"/>
                <w:sz w:val="14"/>
              </w:rPr>
              <w:t> </w:t>
            </w:r>
            <w:r>
              <w:rPr>
                <w:color w:val="231F20"/>
                <w:sz w:val="14"/>
              </w:rPr>
              <w:t>de</w:t>
            </w:r>
            <w:r>
              <w:rPr>
                <w:color w:val="231F20"/>
                <w:spacing w:val="-4"/>
                <w:sz w:val="14"/>
              </w:rPr>
              <w:t> </w:t>
            </w:r>
            <w:r>
              <w:rPr>
                <w:color w:val="231F20"/>
                <w:sz w:val="14"/>
              </w:rPr>
              <w:t>faire</w:t>
            </w:r>
            <w:r>
              <w:rPr>
                <w:color w:val="231F20"/>
                <w:spacing w:val="-4"/>
                <w:sz w:val="14"/>
              </w:rPr>
              <w:t> </w:t>
            </w:r>
            <w:r>
              <w:rPr>
                <w:color w:val="231F20"/>
                <w:sz w:val="14"/>
              </w:rPr>
              <w:t>les</w:t>
            </w:r>
            <w:r>
              <w:rPr>
                <w:color w:val="231F20"/>
                <w:spacing w:val="-4"/>
                <w:sz w:val="14"/>
              </w:rPr>
              <w:t> </w:t>
            </w:r>
            <w:r>
              <w:rPr>
                <w:color w:val="231F20"/>
                <w:sz w:val="14"/>
              </w:rPr>
              <w:t>choses</w:t>
            </w:r>
            <w:r>
              <w:rPr>
                <w:color w:val="231F20"/>
                <w:spacing w:val="-4"/>
                <w:sz w:val="14"/>
              </w:rPr>
              <w:t> </w:t>
            </w:r>
            <w:r>
              <w:rPr>
                <w:color w:val="231F20"/>
                <w:sz w:val="14"/>
              </w:rPr>
              <w:t>plus</w:t>
            </w:r>
            <w:r>
              <w:rPr>
                <w:color w:val="231F20"/>
                <w:spacing w:val="-4"/>
                <w:sz w:val="14"/>
              </w:rPr>
              <w:t> </w:t>
            </w:r>
            <w:r>
              <w:rPr>
                <w:color w:val="231F20"/>
                <w:sz w:val="14"/>
              </w:rPr>
              <w:t>vite</w:t>
            </w:r>
            <w:r>
              <w:rPr>
                <w:color w:val="231F20"/>
                <w:spacing w:val="40"/>
                <w:sz w:val="14"/>
              </w:rPr>
              <w:t> </w:t>
            </w:r>
            <w:r>
              <w:rPr>
                <w:color w:val="231F20"/>
                <w:sz w:val="14"/>
              </w:rPr>
              <w:t>que</w:t>
            </w:r>
            <w:r>
              <w:rPr>
                <w:color w:val="231F20"/>
                <w:spacing w:val="-10"/>
                <w:sz w:val="14"/>
              </w:rPr>
              <w:t> </w:t>
            </w:r>
            <w:r>
              <w:rPr>
                <w:color w:val="231F20"/>
                <w:sz w:val="14"/>
              </w:rPr>
              <w:t>quiconque.</w:t>
            </w:r>
          </w:p>
        </w:tc>
        <w:tc>
          <w:tcPr>
            <w:tcW w:w="1060" w:type="dxa"/>
            <w:tcBorders>
              <w:top w:val="single" w:sz="4" w:space="0" w:color="FFFFFF"/>
              <w:bottom w:val="single" w:sz="4" w:space="0" w:color="FFFFFF"/>
            </w:tcBorders>
            <w:shd w:val="clear" w:color="auto" w:fill="E2E3E4"/>
          </w:tcPr>
          <w:p>
            <w:pPr>
              <w:pStyle w:val="TableParagraph"/>
              <w:spacing w:before="146"/>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r>
        <w:trPr>
          <w:trHeight w:val="444" w:hRule="atLeast"/>
        </w:trPr>
        <w:tc>
          <w:tcPr>
            <w:tcW w:w="4688" w:type="dxa"/>
            <w:tcBorders>
              <w:top w:val="single" w:sz="4" w:space="0" w:color="E2E3E4"/>
              <w:bottom w:val="single" w:sz="2" w:space="0" w:color="231F20"/>
            </w:tcBorders>
          </w:tcPr>
          <w:p>
            <w:pPr>
              <w:pStyle w:val="TableParagraph"/>
              <w:spacing w:line="268" w:lineRule="auto" w:before="56"/>
              <w:ind w:left="480" w:right="187" w:hanging="381"/>
              <w:rPr>
                <w:sz w:val="14"/>
              </w:rPr>
            </w:pPr>
            <w:r>
              <w:rPr>
                <w:b/>
                <w:color w:val="231F20"/>
                <w:sz w:val="14"/>
              </w:rPr>
              <w:t>12.</w:t>
            </w:r>
            <w:r>
              <w:rPr>
                <w:b/>
                <w:color w:val="231F20"/>
                <w:spacing w:val="80"/>
                <w:w w:val="150"/>
                <w:sz w:val="14"/>
              </w:rPr>
              <w:t> </w:t>
            </w:r>
            <w:r>
              <w:rPr>
                <w:color w:val="231F20"/>
                <w:sz w:val="14"/>
              </w:rPr>
              <w:t>J’ai</w:t>
            </w:r>
            <w:r>
              <w:rPr>
                <w:color w:val="231F20"/>
                <w:spacing w:val="-4"/>
                <w:sz w:val="14"/>
              </w:rPr>
              <w:t> </w:t>
            </w:r>
            <w:r>
              <w:rPr>
                <w:color w:val="231F20"/>
                <w:sz w:val="14"/>
              </w:rPr>
              <w:t>tendance</w:t>
            </w:r>
            <w:r>
              <w:rPr>
                <w:color w:val="231F20"/>
                <w:spacing w:val="-4"/>
                <w:sz w:val="14"/>
              </w:rPr>
              <w:t> </w:t>
            </w:r>
            <w:r>
              <w:rPr>
                <w:color w:val="231F20"/>
                <w:sz w:val="14"/>
              </w:rPr>
              <w:t>à</w:t>
            </w:r>
            <w:r>
              <w:rPr>
                <w:color w:val="231F20"/>
                <w:spacing w:val="-4"/>
                <w:sz w:val="14"/>
              </w:rPr>
              <w:t> </w:t>
            </w:r>
            <w:r>
              <w:rPr>
                <w:color w:val="231F20"/>
                <w:sz w:val="14"/>
              </w:rPr>
              <w:t>percevoir</w:t>
            </w:r>
            <w:r>
              <w:rPr>
                <w:color w:val="231F20"/>
                <w:spacing w:val="-4"/>
                <w:sz w:val="14"/>
              </w:rPr>
              <w:t> </w:t>
            </w:r>
            <w:r>
              <w:rPr>
                <w:color w:val="231F20"/>
                <w:sz w:val="14"/>
              </w:rPr>
              <w:t>et</w:t>
            </w:r>
            <w:r>
              <w:rPr>
                <w:color w:val="231F20"/>
                <w:spacing w:val="-4"/>
                <w:sz w:val="14"/>
              </w:rPr>
              <w:t> </w:t>
            </w:r>
            <w:r>
              <w:rPr>
                <w:color w:val="231F20"/>
                <w:sz w:val="14"/>
              </w:rPr>
              <w:t>à</w:t>
            </w:r>
            <w:r>
              <w:rPr>
                <w:color w:val="231F20"/>
                <w:spacing w:val="-4"/>
                <w:sz w:val="14"/>
              </w:rPr>
              <w:t> </w:t>
            </w:r>
            <w:r>
              <w:rPr>
                <w:color w:val="231F20"/>
                <w:sz w:val="14"/>
              </w:rPr>
              <w:t>évaluer</w:t>
            </w:r>
            <w:r>
              <w:rPr>
                <w:color w:val="231F20"/>
                <w:spacing w:val="-4"/>
                <w:sz w:val="14"/>
              </w:rPr>
              <w:t> </w:t>
            </w:r>
            <w:r>
              <w:rPr>
                <w:color w:val="231F20"/>
                <w:sz w:val="14"/>
              </w:rPr>
              <w:t>mes</w:t>
            </w:r>
            <w:r>
              <w:rPr>
                <w:color w:val="231F20"/>
                <w:spacing w:val="-4"/>
                <w:sz w:val="14"/>
              </w:rPr>
              <w:t> </w:t>
            </w:r>
            <w:r>
              <w:rPr>
                <w:color w:val="231F20"/>
                <w:sz w:val="14"/>
              </w:rPr>
              <w:t>activités</w:t>
            </w:r>
            <w:r>
              <w:rPr>
                <w:color w:val="231F20"/>
                <w:spacing w:val="-4"/>
                <w:sz w:val="14"/>
              </w:rPr>
              <w:t> </w:t>
            </w:r>
            <w:r>
              <w:rPr>
                <w:color w:val="231F20"/>
                <w:sz w:val="14"/>
              </w:rPr>
              <w:t>personnelles</w:t>
            </w:r>
            <w:r>
              <w:rPr>
                <w:color w:val="231F20"/>
                <w:spacing w:val="40"/>
                <w:sz w:val="14"/>
              </w:rPr>
              <w:t> </w:t>
            </w:r>
            <w:r>
              <w:rPr>
                <w:color w:val="231F20"/>
                <w:sz w:val="14"/>
              </w:rPr>
              <w:t>et celles des autres en termes de chiffres.</w:t>
            </w:r>
          </w:p>
        </w:tc>
        <w:tc>
          <w:tcPr>
            <w:tcW w:w="1060" w:type="dxa"/>
            <w:tcBorders>
              <w:top w:val="single" w:sz="4" w:space="0" w:color="FFFFFF"/>
              <w:bottom w:val="single" w:sz="2" w:space="0" w:color="231F20"/>
            </w:tcBorders>
            <w:shd w:val="clear" w:color="auto" w:fill="E2E3E4"/>
          </w:tcPr>
          <w:p>
            <w:pPr>
              <w:pStyle w:val="TableParagraph"/>
              <w:spacing w:before="146"/>
              <w:ind w:left="87" w:right="87"/>
              <w:jc w:val="center"/>
              <w:rPr>
                <w:rFonts w:ascii="Wingdings" w:hAnsi="Wingdings"/>
                <w:sz w:val="14"/>
              </w:rPr>
            </w:pPr>
            <w:r>
              <w:rPr>
                <w:color w:val="231F20"/>
                <w:sz w:val="14"/>
              </w:rPr>
              <w:t>Oui</w:t>
            </w:r>
            <w:r>
              <w:rPr>
                <w:color w:val="231F20"/>
                <w:spacing w:val="-6"/>
                <w:sz w:val="14"/>
              </w:rPr>
              <w:t> </w:t>
            </w:r>
            <w:r>
              <w:rPr>
                <w:rFonts w:ascii="Wingdings" w:hAnsi="Wingdings"/>
                <w:color w:val="231F20"/>
                <w:sz w:val="14"/>
              </w:rPr>
              <w:t></w:t>
            </w:r>
            <w:r>
              <w:rPr>
                <w:rFonts w:ascii="Times New Roman" w:hAnsi="Times New Roman"/>
                <w:color w:val="231F20"/>
                <w:spacing w:val="31"/>
                <w:sz w:val="14"/>
              </w:rPr>
              <w:t> </w:t>
            </w:r>
            <w:r>
              <w:rPr>
                <w:color w:val="231F20"/>
                <w:sz w:val="14"/>
              </w:rPr>
              <w:t>Non</w:t>
            </w:r>
            <w:r>
              <w:rPr>
                <w:color w:val="231F20"/>
                <w:spacing w:val="-6"/>
                <w:sz w:val="14"/>
              </w:rPr>
              <w:t> </w:t>
            </w:r>
            <w:r>
              <w:rPr>
                <w:rFonts w:ascii="Wingdings" w:hAnsi="Wingdings"/>
                <w:color w:val="231F20"/>
                <w:spacing w:val="-10"/>
                <w:sz w:val="14"/>
              </w:rPr>
              <w:t></w:t>
            </w:r>
          </w:p>
        </w:tc>
      </w:tr>
    </w:tbl>
    <w:p>
      <w:pPr>
        <w:pStyle w:val="BodyText"/>
        <w:spacing w:before="11"/>
        <w:rPr>
          <w:sz w:val="24"/>
        </w:rPr>
      </w:pPr>
    </w:p>
    <w:p>
      <w:pPr>
        <w:pStyle w:val="Heading5"/>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BodyText"/>
        <w:spacing w:line="307" w:lineRule="auto" w:before="133"/>
        <w:ind w:left="830" w:right="495"/>
        <w:jc w:val="both"/>
      </w:pPr>
      <w:r>
        <w:rPr>
          <w:color w:val="231F20"/>
          <w:w w:val="115"/>
        </w:rPr>
        <w:t>Si</w:t>
      </w:r>
      <w:r>
        <w:rPr>
          <w:color w:val="231F20"/>
          <w:spacing w:val="-4"/>
          <w:w w:val="115"/>
        </w:rPr>
        <w:t> </w:t>
      </w:r>
      <w:r>
        <w:rPr>
          <w:color w:val="231F20"/>
          <w:w w:val="115"/>
        </w:rPr>
        <w:t>vous</w:t>
      </w:r>
      <w:r>
        <w:rPr>
          <w:color w:val="231F20"/>
          <w:spacing w:val="-4"/>
          <w:w w:val="115"/>
        </w:rPr>
        <w:t> </w:t>
      </w:r>
      <w:r>
        <w:rPr>
          <w:color w:val="231F20"/>
          <w:w w:val="115"/>
        </w:rPr>
        <w:t>avez</w:t>
      </w:r>
      <w:r>
        <w:rPr>
          <w:color w:val="231F20"/>
          <w:spacing w:val="-4"/>
          <w:w w:val="115"/>
        </w:rPr>
        <w:t> </w:t>
      </w:r>
      <w:r>
        <w:rPr>
          <w:color w:val="231F20"/>
          <w:w w:val="115"/>
        </w:rPr>
        <w:t>répondu</w:t>
      </w:r>
      <w:r>
        <w:rPr>
          <w:color w:val="231F20"/>
          <w:spacing w:val="-4"/>
          <w:w w:val="115"/>
        </w:rPr>
        <w:t> </w:t>
      </w:r>
      <w:r>
        <w:rPr>
          <w:color w:val="231F20"/>
          <w:w w:val="115"/>
        </w:rPr>
        <w:t>OUI</w:t>
      </w:r>
      <w:r>
        <w:rPr>
          <w:color w:val="231F20"/>
          <w:spacing w:val="-4"/>
          <w:w w:val="115"/>
        </w:rPr>
        <w:t> </w:t>
      </w:r>
      <w:r>
        <w:rPr>
          <w:color w:val="231F20"/>
          <w:w w:val="115"/>
        </w:rPr>
        <w:t>à</w:t>
      </w:r>
      <w:r>
        <w:rPr>
          <w:color w:val="231F20"/>
          <w:spacing w:val="-4"/>
          <w:w w:val="115"/>
        </w:rPr>
        <w:t> </w:t>
      </w:r>
      <w:r>
        <w:rPr>
          <w:color w:val="231F20"/>
          <w:w w:val="115"/>
        </w:rPr>
        <w:t>la</w:t>
      </w:r>
      <w:r>
        <w:rPr>
          <w:color w:val="231F20"/>
          <w:spacing w:val="-4"/>
          <w:w w:val="115"/>
        </w:rPr>
        <w:t> </w:t>
      </w:r>
      <w:r>
        <w:rPr>
          <w:color w:val="231F20"/>
          <w:w w:val="115"/>
        </w:rPr>
        <w:t>majorité</w:t>
      </w:r>
      <w:r>
        <w:rPr>
          <w:color w:val="231F20"/>
          <w:spacing w:val="-4"/>
          <w:w w:val="115"/>
        </w:rPr>
        <w:t> </w:t>
      </w:r>
      <w:r>
        <w:rPr>
          <w:color w:val="231F20"/>
          <w:w w:val="115"/>
        </w:rPr>
        <w:t>des</w:t>
      </w:r>
      <w:r>
        <w:rPr>
          <w:color w:val="231F20"/>
          <w:spacing w:val="-4"/>
          <w:w w:val="115"/>
        </w:rPr>
        <w:t> </w:t>
      </w:r>
      <w:r>
        <w:rPr>
          <w:color w:val="231F20"/>
          <w:w w:val="115"/>
        </w:rPr>
        <w:t>questions,</w:t>
      </w:r>
      <w:r>
        <w:rPr>
          <w:color w:val="231F20"/>
          <w:spacing w:val="-4"/>
          <w:w w:val="115"/>
        </w:rPr>
        <w:t> </w:t>
      </w:r>
      <w:r>
        <w:rPr>
          <w:color w:val="231F20"/>
          <w:w w:val="115"/>
        </w:rPr>
        <w:t>vous</w:t>
      </w:r>
      <w:r>
        <w:rPr>
          <w:color w:val="231F20"/>
          <w:spacing w:val="-4"/>
          <w:w w:val="115"/>
        </w:rPr>
        <w:t> </w:t>
      </w:r>
      <w:r>
        <w:rPr>
          <w:color w:val="231F20"/>
          <w:w w:val="115"/>
        </w:rPr>
        <w:t>avez</w:t>
      </w:r>
      <w:r>
        <w:rPr>
          <w:color w:val="231F20"/>
          <w:spacing w:val="-4"/>
          <w:w w:val="115"/>
        </w:rPr>
        <w:t> </w:t>
      </w:r>
      <w:r>
        <w:rPr>
          <w:color w:val="231F20"/>
          <w:w w:val="115"/>
        </w:rPr>
        <w:t>une</w:t>
      </w:r>
      <w:r>
        <w:rPr>
          <w:color w:val="231F20"/>
          <w:spacing w:val="-4"/>
          <w:w w:val="115"/>
        </w:rPr>
        <w:t> </w:t>
      </w:r>
      <w:r>
        <w:rPr>
          <w:color w:val="231F20"/>
          <w:w w:val="115"/>
        </w:rPr>
        <w:t>per- sonnalité</w:t>
      </w:r>
      <w:r>
        <w:rPr>
          <w:color w:val="231F20"/>
          <w:spacing w:val="-1"/>
          <w:w w:val="115"/>
        </w:rPr>
        <w:t> </w:t>
      </w:r>
      <w:r>
        <w:rPr>
          <w:color w:val="231F20"/>
          <w:w w:val="115"/>
        </w:rPr>
        <w:t>de</w:t>
      </w:r>
      <w:r>
        <w:rPr>
          <w:color w:val="231F20"/>
          <w:spacing w:val="-1"/>
          <w:w w:val="115"/>
        </w:rPr>
        <w:t> </w:t>
      </w:r>
      <w:r>
        <w:rPr>
          <w:color w:val="231F20"/>
          <w:w w:val="115"/>
        </w:rPr>
        <w:t>type</w:t>
      </w:r>
      <w:r>
        <w:rPr>
          <w:color w:val="231F20"/>
          <w:spacing w:val="-1"/>
          <w:w w:val="115"/>
        </w:rPr>
        <w:t> </w:t>
      </w:r>
      <w:r>
        <w:rPr>
          <w:color w:val="231F20"/>
          <w:w w:val="115"/>
        </w:rPr>
        <w:t>A.</w:t>
      </w:r>
      <w:r>
        <w:rPr>
          <w:color w:val="231F20"/>
          <w:spacing w:val="-1"/>
          <w:w w:val="115"/>
        </w:rPr>
        <w:t> </w:t>
      </w:r>
      <w:r>
        <w:rPr>
          <w:color w:val="231F20"/>
          <w:w w:val="115"/>
        </w:rPr>
        <w:t>À</w:t>
      </w:r>
      <w:r>
        <w:rPr>
          <w:color w:val="231F20"/>
          <w:spacing w:val="-1"/>
          <w:w w:val="115"/>
        </w:rPr>
        <w:t> </w:t>
      </w:r>
      <w:r>
        <w:rPr>
          <w:color w:val="231F20"/>
          <w:w w:val="115"/>
        </w:rPr>
        <w:t>l’inverse,</w:t>
      </w:r>
      <w:r>
        <w:rPr>
          <w:color w:val="231F20"/>
          <w:spacing w:val="-1"/>
          <w:w w:val="115"/>
        </w:rPr>
        <w:t> </w:t>
      </w:r>
      <w:r>
        <w:rPr>
          <w:color w:val="231F20"/>
          <w:w w:val="115"/>
        </w:rPr>
        <w:t>si</w:t>
      </w:r>
      <w:r>
        <w:rPr>
          <w:color w:val="231F20"/>
          <w:spacing w:val="-1"/>
          <w:w w:val="115"/>
        </w:rPr>
        <w:t> </w:t>
      </w:r>
      <w:r>
        <w:rPr>
          <w:color w:val="231F20"/>
          <w:w w:val="115"/>
        </w:rPr>
        <w:t>vous</w:t>
      </w:r>
      <w:r>
        <w:rPr>
          <w:color w:val="231F20"/>
          <w:spacing w:val="-1"/>
          <w:w w:val="115"/>
        </w:rPr>
        <w:t> </w:t>
      </w:r>
      <w:r>
        <w:rPr>
          <w:color w:val="231F20"/>
          <w:w w:val="115"/>
        </w:rPr>
        <w:t>avez</w:t>
      </w:r>
      <w:r>
        <w:rPr>
          <w:color w:val="231F20"/>
          <w:spacing w:val="-1"/>
          <w:w w:val="115"/>
        </w:rPr>
        <w:t> </w:t>
      </w:r>
      <w:r>
        <w:rPr>
          <w:color w:val="231F20"/>
          <w:w w:val="115"/>
        </w:rPr>
        <w:t>répondu</w:t>
      </w:r>
      <w:r>
        <w:rPr>
          <w:color w:val="231F20"/>
          <w:spacing w:val="-1"/>
          <w:w w:val="115"/>
        </w:rPr>
        <w:t> </w:t>
      </w:r>
      <w:r>
        <w:rPr>
          <w:color w:val="231F20"/>
          <w:w w:val="115"/>
        </w:rPr>
        <w:t>NON</w:t>
      </w:r>
      <w:r>
        <w:rPr>
          <w:color w:val="231F20"/>
          <w:spacing w:val="-1"/>
          <w:w w:val="115"/>
        </w:rPr>
        <w:t> </w:t>
      </w:r>
      <w:r>
        <w:rPr>
          <w:color w:val="231F20"/>
          <w:w w:val="115"/>
        </w:rPr>
        <w:t>à</w:t>
      </w:r>
      <w:r>
        <w:rPr>
          <w:color w:val="231F20"/>
          <w:spacing w:val="-1"/>
          <w:w w:val="115"/>
        </w:rPr>
        <w:t> </w:t>
      </w:r>
      <w:r>
        <w:rPr>
          <w:color w:val="231F20"/>
          <w:w w:val="115"/>
        </w:rPr>
        <w:t>la</w:t>
      </w:r>
      <w:r>
        <w:rPr>
          <w:color w:val="231F20"/>
          <w:spacing w:val="-1"/>
          <w:w w:val="115"/>
        </w:rPr>
        <w:t> </w:t>
      </w:r>
      <w:r>
        <w:rPr>
          <w:color w:val="231F20"/>
          <w:w w:val="115"/>
        </w:rPr>
        <w:t>majorité </w:t>
      </w:r>
      <w:r>
        <w:rPr>
          <w:color w:val="231F20"/>
          <w:w w:val="120"/>
        </w:rPr>
        <w:t>des questions, vous avez une personnalité de type B.</w:t>
      </w:r>
    </w:p>
    <w:p>
      <w:pPr>
        <w:pStyle w:val="BodyText"/>
        <w:spacing w:before="5"/>
        <w:rPr>
          <w:sz w:val="4"/>
        </w:rPr>
      </w:pPr>
      <w:r>
        <w:rPr/>
        <w:pict>
          <v:shape style="position:absolute;margin-left:62.5pt;margin-top:3.792038pt;width:287.5pt;height:.1pt;mso-position-horizontal-relative:page;mso-position-vertical-relative:paragraph;z-index:-15673856;mso-wrap-distance-left:0;mso-wrap-distance-right:0" id="docshape715" coordorigin="1250,76" coordsize="5750,0" path="m1250,76l7000,76e" filled="false" stroked="true" strokeweight=".25pt" strokecolor="#231f20">
            <v:path arrowok="t"/>
            <v:stroke dashstyle="shortdot"/>
            <w10:wrap type="topAndBottom"/>
          </v:shape>
        </w:pict>
      </w:r>
    </w:p>
    <w:p>
      <w:pPr>
        <w:spacing w:line="295" w:lineRule="auto" w:before="137"/>
        <w:ind w:left="830" w:right="493"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 Dolan, S. L., Martín, I. et Soto, E. (2004). Los diez mandamientos para la dirección de personas,</w:t>
      </w:r>
      <w:r>
        <w:rPr>
          <w:rFonts w:ascii="Arial" w:hAnsi="Arial"/>
          <w:color w:val="231F20"/>
          <w:spacing w:val="40"/>
          <w:sz w:val="12"/>
        </w:rPr>
        <w:t> </w:t>
      </w:r>
      <w:r>
        <w:rPr>
          <w:rFonts w:ascii="Arial" w:hAnsi="Arial"/>
          <w:color w:val="231F20"/>
          <w:sz w:val="12"/>
        </w:rPr>
        <w:t>Barcelone,</w:t>
      </w:r>
      <w:r>
        <w:rPr>
          <w:rFonts w:ascii="Arial" w:hAnsi="Arial"/>
          <w:color w:val="231F20"/>
          <w:spacing w:val="-5"/>
          <w:sz w:val="12"/>
        </w:rPr>
        <w:t> </w:t>
      </w:r>
      <w:r>
        <w:rPr>
          <w:rFonts w:ascii="Arial" w:hAnsi="Arial"/>
          <w:color w:val="231F20"/>
          <w:sz w:val="12"/>
        </w:rPr>
        <w:t>Gestión</w:t>
      </w:r>
      <w:r>
        <w:rPr>
          <w:rFonts w:ascii="Arial" w:hAnsi="Arial"/>
          <w:color w:val="231F20"/>
          <w:spacing w:val="-5"/>
          <w:sz w:val="12"/>
        </w:rPr>
        <w:t> </w:t>
      </w:r>
      <w:r>
        <w:rPr>
          <w:rFonts w:ascii="Arial" w:hAnsi="Arial"/>
          <w:color w:val="231F20"/>
          <w:sz w:val="12"/>
        </w:rPr>
        <w:t>2000.</w:t>
      </w:r>
      <w:r>
        <w:rPr>
          <w:rFonts w:ascii="Arial" w:hAnsi="Arial"/>
          <w:color w:val="231F20"/>
          <w:spacing w:val="-5"/>
          <w:sz w:val="12"/>
        </w:rPr>
        <w:t> </w:t>
      </w:r>
      <w:r>
        <w:rPr>
          <w:rFonts w:ascii="Arial" w:hAnsi="Arial"/>
          <w:color w:val="231F20"/>
          <w:sz w:val="12"/>
        </w:rPr>
        <w:t>Reproduit</w:t>
      </w:r>
      <w:r>
        <w:rPr>
          <w:rFonts w:ascii="Arial" w:hAnsi="Arial"/>
          <w:color w:val="231F20"/>
          <w:spacing w:val="-5"/>
          <w:sz w:val="12"/>
        </w:rPr>
        <w:t> </w:t>
      </w:r>
      <w:r>
        <w:rPr>
          <w:rFonts w:ascii="Arial" w:hAnsi="Arial"/>
          <w:color w:val="231F20"/>
          <w:sz w:val="12"/>
        </w:rPr>
        <w:t>avec</w:t>
      </w:r>
      <w:r>
        <w:rPr>
          <w:rFonts w:ascii="Arial" w:hAnsi="Arial"/>
          <w:color w:val="231F20"/>
          <w:spacing w:val="-5"/>
          <w:sz w:val="12"/>
        </w:rPr>
        <w:t> </w:t>
      </w:r>
      <w:r>
        <w:rPr>
          <w:rFonts w:ascii="Arial" w:hAnsi="Arial"/>
          <w:color w:val="231F20"/>
          <w:sz w:val="12"/>
        </w:rPr>
        <w:t>l’autorisation</w:t>
      </w:r>
      <w:r>
        <w:rPr>
          <w:rFonts w:ascii="Arial" w:hAnsi="Arial"/>
          <w:color w:val="231F20"/>
          <w:spacing w:val="-5"/>
          <w:sz w:val="12"/>
        </w:rPr>
        <w:t> </w:t>
      </w:r>
      <w:r>
        <w:rPr>
          <w:rFonts w:ascii="Arial" w:hAnsi="Arial"/>
          <w:color w:val="231F20"/>
          <w:sz w:val="12"/>
        </w:rPr>
        <w:t>de</w:t>
      </w:r>
      <w:r>
        <w:rPr>
          <w:rFonts w:ascii="Arial" w:hAnsi="Arial"/>
          <w:color w:val="231F20"/>
          <w:spacing w:val="-5"/>
          <w:sz w:val="12"/>
        </w:rPr>
        <w:t> </w:t>
      </w:r>
      <w:r>
        <w:rPr>
          <w:rFonts w:ascii="Arial" w:hAnsi="Arial"/>
          <w:color w:val="231F20"/>
          <w:sz w:val="12"/>
        </w:rPr>
        <w:t>l’auteur.</w:t>
      </w:r>
      <w:r>
        <w:rPr>
          <w:rFonts w:ascii="Arial" w:hAnsi="Arial"/>
          <w:color w:val="231F20"/>
          <w:spacing w:val="-5"/>
          <w:sz w:val="12"/>
        </w:rPr>
        <w:t> </w:t>
      </w:r>
      <w:r>
        <w:rPr>
          <w:rFonts w:ascii="Arial" w:hAnsi="Arial"/>
          <w:color w:val="231F20"/>
          <w:sz w:val="12"/>
        </w:rPr>
        <w:t>Ce</w:t>
      </w:r>
      <w:r>
        <w:rPr>
          <w:rFonts w:ascii="Arial" w:hAnsi="Arial"/>
          <w:color w:val="231F20"/>
          <w:spacing w:val="-5"/>
          <w:sz w:val="12"/>
        </w:rPr>
        <w:t> </w:t>
      </w:r>
      <w:r>
        <w:rPr>
          <w:rFonts w:ascii="Arial" w:hAnsi="Arial"/>
          <w:color w:val="231F20"/>
          <w:sz w:val="12"/>
        </w:rPr>
        <w:t>test</w:t>
      </w:r>
      <w:r>
        <w:rPr>
          <w:rFonts w:ascii="Arial" w:hAnsi="Arial"/>
          <w:color w:val="231F20"/>
          <w:spacing w:val="-5"/>
          <w:sz w:val="12"/>
        </w:rPr>
        <w:t> </w:t>
      </w:r>
      <w:r>
        <w:rPr>
          <w:rFonts w:ascii="Arial" w:hAnsi="Arial"/>
          <w:color w:val="231F20"/>
          <w:sz w:val="12"/>
        </w:rPr>
        <w:t>s’inspire</w:t>
      </w:r>
      <w:r>
        <w:rPr>
          <w:rFonts w:ascii="Arial" w:hAnsi="Arial"/>
          <w:color w:val="231F20"/>
          <w:spacing w:val="-5"/>
          <w:sz w:val="12"/>
        </w:rPr>
        <w:t> </w:t>
      </w:r>
      <w:r>
        <w:rPr>
          <w:rFonts w:ascii="Arial" w:hAnsi="Arial"/>
          <w:color w:val="231F20"/>
          <w:sz w:val="12"/>
        </w:rPr>
        <w:t>des</w:t>
      </w:r>
      <w:r>
        <w:rPr>
          <w:rFonts w:ascii="Arial" w:hAnsi="Arial"/>
          <w:color w:val="231F20"/>
          <w:spacing w:val="-5"/>
          <w:sz w:val="12"/>
        </w:rPr>
        <w:t> </w:t>
      </w:r>
      <w:r>
        <w:rPr>
          <w:rFonts w:ascii="Arial" w:hAnsi="Arial"/>
          <w:color w:val="231F20"/>
          <w:sz w:val="12"/>
        </w:rPr>
        <w:t>travaux</w:t>
      </w:r>
      <w:r>
        <w:rPr>
          <w:rFonts w:ascii="Arial" w:hAnsi="Arial"/>
          <w:color w:val="231F20"/>
          <w:spacing w:val="-5"/>
          <w:sz w:val="12"/>
        </w:rPr>
        <w:t> </w:t>
      </w:r>
      <w:r>
        <w:rPr>
          <w:rFonts w:ascii="Arial" w:hAnsi="Arial"/>
          <w:color w:val="231F20"/>
          <w:sz w:val="12"/>
        </w:rPr>
        <w:t>de</w:t>
      </w:r>
      <w:r>
        <w:rPr>
          <w:rFonts w:ascii="Arial" w:hAnsi="Arial"/>
          <w:color w:val="231F20"/>
          <w:spacing w:val="-5"/>
          <w:sz w:val="12"/>
        </w:rPr>
        <w:t> </w:t>
      </w:r>
      <w:r>
        <w:rPr>
          <w:rFonts w:ascii="Arial" w:hAnsi="Arial"/>
          <w:color w:val="231F20"/>
          <w:sz w:val="12"/>
        </w:rPr>
        <w:t>Friedman</w:t>
      </w:r>
      <w:r>
        <w:rPr>
          <w:rFonts w:ascii="Arial" w:hAnsi="Arial"/>
          <w:color w:val="231F20"/>
          <w:spacing w:val="40"/>
          <w:sz w:val="12"/>
        </w:rPr>
        <w:t> </w:t>
      </w:r>
      <w:r>
        <w:rPr>
          <w:rFonts w:ascii="Arial" w:hAnsi="Arial"/>
          <w:color w:val="231F20"/>
          <w:sz w:val="12"/>
        </w:rPr>
        <w:t>et Rosenman (1974), mais il a été adapté par l’auteur et validé dans plusieurs études portant sur des</w:t>
      </w:r>
      <w:r>
        <w:rPr>
          <w:rFonts w:ascii="Arial" w:hAnsi="Arial"/>
          <w:color w:val="231F20"/>
          <w:spacing w:val="40"/>
          <w:sz w:val="12"/>
        </w:rPr>
        <w:t> </w:t>
      </w:r>
      <w:r>
        <w:rPr>
          <w:rFonts w:ascii="Arial" w:hAnsi="Arial"/>
          <w:color w:val="231F20"/>
          <w:sz w:val="12"/>
        </w:rPr>
        <w:t>échantillons</w:t>
      </w:r>
      <w:r>
        <w:rPr>
          <w:rFonts w:ascii="Arial" w:hAnsi="Arial"/>
          <w:color w:val="231F20"/>
          <w:spacing w:val="-9"/>
          <w:sz w:val="12"/>
        </w:rPr>
        <w:t> </w:t>
      </w:r>
      <w:r>
        <w:rPr>
          <w:rFonts w:ascii="Arial" w:hAnsi="Arial"/>
          <w:color w:val="231F20"/>
          <w:sz w:val="12"/>
        </w:rPr>
        <w:t>variés.</w:t>
      </w:r>
    </w:p>
    <w:p>
      <w:pPr>
        <w:spacing w:after="0" w:line="295" w:lineRule="auto"/>
        <w:jc w:val="both"/>
        <w:rPr>
          <w:rFonts w:ascii="Arial" w:hAnsi="Arial"/>
          <w:sz w:val="12"/>
        </w:rPr>
        <w:sectPr>
          <w:footerReference w:type="default" r:id="rId199"/>
          <w:pgSz w:w="8640" w:h="12960"/>
          <w:pgMar w:footer="424" w:header="0" w:top="520" w:bottom="620" w:left="420" w:right="1140"/>
        </w:sectPr>
      </w:pPr>
    </w:p>
    <w:p>
      <w:pPr>
        <w:spacing w:before="118"/>
        <w:ind w:left="2049" w:right="0" w:firstLine="0"/>
        <w:jc w:val="left"/>
        <w:rPr>
          <w:rFonts w:ascii="Arial" w:hAnsi="Arial"/>
          <w:sz w:val="14"/>
        </w:rPr>
      </w:pPr>
      <w:bookmarkStart w:name=" 3.3.2 / Locus de contrôle" w:id="97"/>
      <w:bookmarkEnd w:id="97"/>
      <w:r>
        <w:rPr/>
      </w:r>
      <w:bookmarkStart w:name="Exercice 3.3 / Avez-vous le contrôle de " w:id="98"/>
      <w:bookmarkEnd w:id="98"/>
      <w:r>
        <w:rPr/>
      </w:r>
      <w:bookmarkStart w:name="_bookmark41" w:id="99"/>
      <w:bookmarkEnd w:id="99"/>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spacing w:before="8"/>
        <w:rPr>
          <w:rFonts w:ascii="Arial"/>
          <w:sz w:val="29"/>
        </w:rPr>
      </w:pPr>
    </w:p>
    <w:p>
      <w:pPr>
        <w:pStyle w:val="Heading4"/>
        <w:numPr>
          <w:ilvl w:val="2"/>
          <w:numId w:val="44"/>
        </w:numPr>
        <w:tabs>
          <w:tab w:pos="919" w:val="left" w:leader="none"/>
          <w:tab w:pos="1219" w:val="left" w:leader="none"/>
        </w:tabs>
        <w:spacing w:line="240" w:lineRule="auto" w:before="0" w:after="0"/>
        <w:ind w:left="918" w:right="0" w:hanging="395"/>
        <w:jc w:val="left"/>
      </w:pPr>
      <w:r>
        <w:rPr>
          <w:b w:val="0"/>
          <w:i/>
          <w:color w:val="231F20"/>
          <w:spacing w:val="-10"/>
        </w:rPr>
        <w:t>/</w:t>
      </w:r>
      <w:r>
        <w:rPr>
          <w:b w:val="0"/>
          <w:i/>
          <w:color w:val="231F20"/>
        </w:rPr>
        <w:tab/>
      </w:r>
      <w:r>
        <w:rPr>
          <w:color w:val="231F20"/>
          <w:w w:val="90"/>
        </w:rPr>
        <w:t>Locus</w:t>
      </w:r>
      <w:r>
        <w:rPr>
          <w:color w:val="231F20"/>
          <w:spacing w:val="-7"/>
          <w:w w:val="90"/>
        </w:rPr>
        <w:t> </w:t>
      </w:r>
      <w:r>
        <w:rPr>
          <w:color w:val="231F20"/>
          <w:w w:val="90"/>
        </w:rPr>
        <w:t>de</w:t>
      </w:r>
      <w:r>
        <w:rPr>
          <w:color w:val="231F20"/>
          <w:spacing w:val="-6"/>
          <w:w w:val="90"/>
        </w:rPr>
        <w:t> </w:t>
      </w:r>
      <w:r>
        <w:rPr>
          <w:color w:val="231F20"/>
          <w:spacing w:val="-2"/>
          <w:w w:val="90"/>
        </w:rPr>
        <w:t>contrôle</w:t>
      </w:r>
    </w:p>
    <w:p>
      <w:pPr>
        <w:pStyle w:val="BodyText"/>
        <w:spacing w:line="307" w:lineRule="auto" w:before="194"/>
        <w:ind w:left="1220" w:right="106"/>
        <w:jc w:val="both"/>
      </w:pPr>
      <w:r>
        <w:rPr>
          <w:color w:val="231F20"/>
          <w:spacing w:val="-2"/>
          <w:w w:val="120"/>
        </w:rPr>
        <w:t>Le</w:t>
      </w:r>
      <w:r>
        <w:rPr>
          <w:color w:val="231F20"/>
          <w:spacing w:val="-11"/>
          <w:w w:val="120"/>
        </w:rPr>
        <w:t> </w:t>
      </w:r>
      <w:r>
        <w:rPr>
          <w:color w:val="231F20"/>
          <w:spacing w:val="-2"/>
          <w:w w:val="120"/>
        </w:rPr>
        <w:t>sentiment</w:t>
      </w:r>
      <w:r>
        <w:rPr>
          <w:color w:val="231F20"/>
          <w:spacing w:val="-11"/>
          <w:w w:val="120"/>
        </w:rPr>
        <w:t> </w:t>
      </w:r>
      <w:r>
        <w:rPr>
          <w:color w:val="231F20"/>
          <w:spacing w:val="-2"/>
          <w:w w:val="120"/>
        </w:rPr>
        <w:t>de</w:t>
      </w:r>
      <w:r>
        <w:rPr>
          <w:color w:val="231F20"/>
          <w:spacing w:val="-11"/>
          <w:w w:val="120"/>
        </w:rPr>
        <w:t> </w:t>
      </w:r>
      <w:r>
        <w:rPr>
          <w:color w:val="231F20"/>
          <w:spacing w:val="-2"/>
          <w:w w:val="120"/>
        </w:rPr>
        <w:t>contrôle</w:t>
      </w:r>
      <w:r>
        <w:rPr>
          <w:color w:val="231F20"/>
          <w:spacing w:val="-10"/>
          <w:w w:val="120"/>
        </w:rPr>
        <w:t> </w:t>
      </w:r>
      <w:r>
        <w:rPr>
          <w:color w:val="231F20"/>
          <w:spacing w:val="-2"/>
          <w:w w:val="120"/>
        </w:rPr>
        <w:t>est</w:t>
      </w:r>
      <w:r>
        <w:rPr>
          <w:color w:val="231F20"/>
          <w:spacing w:val="-11"/>
          <w:w w:val="120"/>
        </w:rPr>
        <w:t> </w:t>
      </w:r>
      <w:r>
        <w:rPr>
          <w:color w:val="231F20"/>
          <w:spacing w:val="-2"/>
          <w:w w:val="120"/>
        </w:rPr>
        <w:t>l’une</w:t>
      </w:r>
      <w:r>
        <w:rPr>
          <w:color w:val="231F20"/>
          <w:spacing w:val="-11"/>
          <w:w w:val="120"/>
        </w:rPr>
        <w:t> </w:t>
      </w:r>
      <w:r>
        <w:rPr>
          <w:color w:val="231F20"/>
          <w:spacing w:val="-2"/>
          <w:w w:val="120"/>
        </w:rPr>
        <w:t>des</w:t>
      </w:r>
      <w:r>
        <w:rPr>
          <w:color w:val="231F20"/>
          <w:spacing w:val="-11"/>
          <w:w w:val="120"/>
        </w:rPr>
        <w:t> </w:t>
      </w:r>
      <w:r>
        <w:rPr>
          <w:color w:val="231F20"/>
          <w:spacing w:val="-2"/>
          <w:w w:val="120"/>
        </w:rPr>
        <w:t>variables</w:t>
      </w:r>
      <w:r>
        <w:rPr>
          <w:color w:val="231F20"/>
          <w:spacing w:val="-10"/>
          <w:w w:val="120"/>
        </w:rPr>
        <w:t> </w:t>
      </w:r>
      <w:r>
        <w:rPr>
          <w:color w:val="231F20"/>
          <w:spacing w:val="-2"/>
          <w:w w:val="120"/>
        </w:rPr>
        <w:t>les</w:t>
      </w:r>
      <w:r>
        <w:rPr>
          <w:color w:val="231F20"/>
          <w:spacing w:val="-11"/>
          <w:w w:val="120"/>
        </w:rPr>
        <w:t> </w:t>
      </w:r>
      <w:r>
        <w:rPr>
          <w:color w:val="231F20"/>
          <w:spacing w:val="-2"/>
          <w:w w:val="120"/>
        </w:rPr>
        <w:t>plus</w:t>
      </w:r>
      <w:r>
        <w:rPr>
          <w:color w:val="231F20"/>
          <w:spacing w:val="-11"/>
          <w:w w:val="120"/>
        </w:rPr>
        <w:t> </w:t>
      </w:r>
      <w:r>
        <w:rPr>
          <w:color w:val="231F20"/>
          <w:spacing w:val="-2"/>
          <w:w w:val="120"/>
        </w:rPr>
        <w:t>importantes</w:t>
      </w:r>
      <w:r>
        <w:rPr>
          <w:color w:val="231F20"/>
          <w:spacing w:val="-11"/>
          <w:w w:val="120"/>
        </w:rPr>
        <w:t> </w:t>
      </w:r>
      <w:r>
        <w:rPr>
          <w:color w:val="231F20"/>
          <w:spacing w:val="-2"/>
          <w:w w:val="120"/>
        </w:rPr>
        <w:t>pour </w:t>
      </w:r>
      <w:r>
        <w:rPr>
          <w:color w:val="231F20"/>
          <w:w w:val="120"/>
        </w:rPr>
        <w:t>l’adaptation aux situations stressantes. Le fait d’exercer un contrôle (ou</w:t>
      </w:r>
      <w:r>
        <w:rPr>
          <w:color w:val="231F20"/>
          <w:spacing w:val="-6"/>
          <w:w w:val="120"/>
        </w:rPr>
        <w:t> </w:t>
      </w:r>
      <w:r>
        <w:rPr>
          <w:color w:val="231F20"/>
          <w:w w:val="120"/>
        </w:rPr>
        <w:t>d’en</w:t>
      </w:r>
      <w:r>
        <w:rPr>
          <w:color w:val="231F20"/>
          <w:spacing w:val="-6"/>
          <w:w w:val="120"/>
        </w:rPr>
        <w:t> </w:t>
      </w:r>
      <w:r>
        <w:rPr>
          <w:color w:val="231F20"/>
          <w:w w:val="120"/>
        </w:rPr>
        <w:t>avoir</w:t>
      </w:r>
      <w:r>
        <w:rPr>
          <w:color w:val="231F20"/>
          <w:spacing w:val="-6"/>
          <w:w w:val="120"/>
        </w:rPr>
        <w:t> </w:t>
      </w:r>
      <w:r>
        <w:rPr>
          <w:color w:val="231F20"/>
          <w:w w:val="120"/>
        </w:rPr>
        <w:t>la</w:t>
      </w:r>
      <w:r>
        <w:rPr>
          <w:color w:val="231F20"/>
          <w:spacing w:val="-6"/>
          <w:w w:val="120"/>
        </w:rPr>
        <w:t> </w:t>
      </w:r>
      <w:r>
        <w:rPr>
          <w:color w:val="231F20"/>
          <w:w w:val="120"/>
        </w:rPr>
        <w:t>croyance)</w:t>
      </w:r>
      <w:r>
        <w:rPr>
          <w:color w:val="231F20"/>
          <w:spacing w:val="-6"/>
          <w:w w:val="120"/>
        </w:rPr>
        <w:t> </w:t>
      </w:r>
      <w:r>
        <w:rPr>
          <w:color w:val="231F20"/>
          <w:w w:val="120"/>
        </w:rPr>
        <w:t>sur</w:t>
      </w:r>
      <w:r>
        <w:rPr>
          <w:color w:val="231F20"/>
          <w:spacing w:val="-6"/>
          <w:w w:val="120"/>
        </w:rPr>
        <w:t> </w:t>
      </w:r>
      <w:r>
        <w:rPr>
          <w:color w:val="231F20"/>
          <w:w w:val="120"/>
        </w:rPr>
        <w:t>les</w:t>
      </w:r>
      <w:r>
        <w:rPr>
          <w:color w:val="231F20"/>
          <w:spacing w:val="-6"/>
          <w:w w:val="120"/>
        </w:rPr>
        <w:t> </w:t>
      </w:r>
      <w:r>
        <w:rPr>
          <w:color w:val="231F20"/>
          <w:w w:val="120"/>
        </w:rPr>
        <w:t>situations</w:t>
      </w:r>
      <w:r>
        <w:rPr>
          <w:color w:val="231F20"/>
          <w:spacing w:val="-6"/>
          <w:w w:val="120"/>
        </w:rPr>
        <w:t> </w:t>
      </w:r>
      <w:r>
        <w:rPr>
          <w:color w:val="231F20"/>
          <w:w w:val="120"/>
        </w:rPr>
        <w:t>ou</w:t>
      </w:r>
      <w:r>
        <w:rPr>
          <w:color w:val="231F20"/>
          <w:spacing w:val="-6"/>
          <w:w w:val="120"/>
        </w:rPr>
        <w:t> </w:t>
      </w:r>
      <w:r>
        <w:rPr>
          <w:color w:val="231F20"/>
          <w:w w:val="120"/>
        </w:rPr>
        <w:t>les</w:t>
      </w:r>
      <w:r>
        <w:rPr>
          <w:color w:val="231F20"/>
          <w:spacing w:val="-6"/>
          <w:w w:val="120"/>
        </w:rPr>
        <w:t> </w:t>
      </w:r>
      <w:r>
        <w:rPr>
          <w:color w:val="231F20"/>
          <w:w w:val="120"/>
        </w:rPr>
        <w:t>événements</w:t>
      </w:r>
      <w:r>
        <w:rPr>
          <w:color w:val="231F20"/>
          <w:spacing w:val="-6"/>
          <w:w w:val="120"/>
        </w:rPr>
        <w:t> </w:t>
      </w:r>
      <w:r>
        <w:rPr>
          <w:color w:val="231F20"/>
          <w:w w:val="120"/>
        </w:rPr>
        <w:t>accroît sensiblement le niveau de tolérance au stress et en atténue les effets négatifs.</w:t>
      </w:r>
      <w:r>
        <w:rPr>
          <w:color w:val="231F20"/>
          <w:spacing w:val="-13"/>
          <w:w w:val="120"/>
        </w:rPr>
        <w:t> </w:t>
      </w:r>
      <w:r>
        <w:rPr>
          <w:color w:val="231F20"/>
          <w:w w:val="120"/>
        </w:rPr>
        <w:t>Les</w:t>
      </w:r>
      <w:r>
        <w:rPr>
          <w:color w:val="231F20"/>
          <w:spacing w:val="-13"/>
          <w:w w:val="120"/>
        </w:rPr>
        <w:t> </w:t>
      </w:r>
      <w:r>
        <w:rPr>
          <w:color w:val="231F20"/>
          <w:w w:val="120"/>
        </w:rPr>
        <w:t>personnes</w:t>
      </w:r>
      <w:r>
        <w:rPr>
          <w:color w:val="231F20"/>
          <w:spacing w:val="-13"/>
          <w:w w:val="120"/>
        </w:rPr>
        <w:t> </w:t>
      </w:r>
      <w:r>
        <w:rPr>
          <w:color w:val="231F20"/>
          <w:w w:val="120"/>
        </w:rPr>
        <w:t>qui</w:t>
      </w:r>
      <w:r>
        <w:rPr>
          <w:color w:val="231F20"/>
          <w:spacing w:val="-12"/>
          <w:w w:val="120"/>
        </w:rPr>
        <w:t> </w:t>
      </w:r>
      <w:r>
        <w:rPr>
          <w:color w:val="231F20"/>
          <w:w w:val="120"/>
        </w:rPr>
        <w:t>se</w:t>
      </w:r>
      <w:r>
        <w:rPr>
          <w:color w:val="231F20"/>
          <w:spacing w:val="-13"/>
          <w:w w:val="120"/>
        </w:rPr>
        <w:t> </w:t>
      </w:r>
      <w:r>
        <w:rPr>
          <w:color w:val="231F20"/>
          <w:w w:val="120"/>
        </w:rPr>
        <w:t>perçoivent</w:t>
      </w:r>
      <w:r>
        <w:rPr>
          <w:color w:val="231F20"/>
          <w:spacing w:val="-13"/>
          <w:w w:val="120"/>
        </w:rPr>
        <w:t> </w:t>
      </w:r>
      <w:r>
        <w:rPr>
          <w:color w:val="231F20"/>
          <w:w w:val="120"/>
        </w:rPr>
        <w:t>comme</w:t>
      </w:r>
      <w:r>
        <w:rPr>
          <w:color w:val="231F20"/>
          <w:spacing w:val="-13"/>
          <w:w w:val="120"/>
        </w:rPr>
        <w:t> </w:t>
      </w:r>
      <w:r>
        <w:rPr>
          <w:color w:val="231F20"/>
          <w:w w:val="120"/>
        </w:rPr>
        <w:t>ayant</w:t>
      </w:r>
      <w:r>
        <w:rPr>
          <w:color w:val="231F20"/>
          <w:spacing w:val="-12"/>
          <w:w w:val="120"/>
        </w:rPr>
        <w:t> </w:t>
      </w:r>
      <w:r>
        <w:rPr>
          <w:color w:val="231F20"/>
          <w:w w:val="120"/>
        </w:rPr>
        <w:t>une</w:t>
      </w:r>
      <w:r>
        <w:rPr>
          <w:color w:val="231F20"/>
          <w:spacing w:val="-13"/>
          <w:w w:val="120"/>
        </w:rPr>
        <w:t> </w:t>
      </w:r>
      <w:r>
        <w:rPr>
          <w:color w:val="231F20"/>
          <w:w w:val="120"/>
        </w:rPr>
        <w:t>faible</w:t>
      </w:r>
      <w:r>
        <w:rPr>
          <w:color w:val="231F20"/>
          <w:spacing w:val="-13"/>
          <w:w w:val="120"/>
        </w:rPr>
        <w:t> </w:t>
      </w:r>
      <w:r>
        <w:rPr>
          <w:color w:val="231F20"/>
          <w:w w:val="120"/>
        </w:rPr>
        <w:t>capa- </w:t>
      </w:r>
      <w:r>
        <w:rPr>
          <w:color w:val="231F20"/>
          <w:spacing w:val="-2"/>
          <w:w w:val="120"/>
        </w:rPr>
        <w:t>cité</w:t>
      </w:r>
      <w:r>
        <w:rPr>
          <w:color w:val="231F20"/>
          <w:spacing w:val="-10"/>
          <w:w w:val="120"/>
        </w:rPr>
        <w:t> </w:t>
      </w:r>
      <w:r>
        <w:rPr>
          <w:color w:val="231F20"/>
          <w:spacing w:val="-2"/>
          <w:w w:val="120"/>
        </w:rPr>
        <w:t>de</w:t>
      </w:r>
      <w:r>
        <w:rPr>
          <w:color w:val="231F20"/>
          <w:spacing w:val="-10"/>
          <w:w w:val="120"/>
        </w:rPr>
        <w:t> </w:t>
      </w:r>
      <w:r>
        <w:rPr>
          <w:color w:val="231F20"/>
          <w:spacing w:val="-2"/>
          <w:w w:val="120"/>
        </w:rPr>
        <w:t>contrôler</w:t>
      </w:r>
      <w:r>
        <w:rPr>
          <w:color w:val="231F20"/>
          <w:spacing w:val="-10"/>
          <w:w w:val="120"/>
        </w:rPr>
        <w:t> </w:t>
      </w:r>
      <w:r>
        <w:rPr>
          <w:color w:val="231F20"/>
          <w:spacing w:val="-2"/>
          <w:w w:val="120"/>
        </w:rPr>
        <w:t>leur</w:t>
      </w:r>
      <w:r>
        <w:rPr>
          <w:color w:val="231F20"/>
          <w:spacing w:val="-10"/>
          <w:w w:val="120"/>
        </w:rPr>
        <w:t> </w:t>
      </w:r>
      <w:r>
        <w:rPr>
          <w:color w:val="231F20"/>
          <w:spacing w:val="-2"/>
          <w:w w:val="120"/>
        </w:rPr>
        <w:t>environnement</w:t>
      </w:r>
      <w:r>
        <w:rPr>
          <w:color w:val="231F20"/>
          <w:spacing w:val="-10"/>
          <w:w w:val="120"/>
        </w:rPr>
        <w:t> </w:t>
      </w:r>
      <w:r>
        <w:rPr>
          <w:color w:val="231F20"/>
          <w:spacing w:val="-2"/>
          <w:w w:val="120"/>
        </w:rPr>
        <w:t>ont</w:t>
      </w:r>
      <w:r>
        <w:rPr>
          <w:color w:val="231F20"/>
          <w:spacing w:val="-10"/>
          <w:w w:val="120"/>
        </w:rPr>
        <w:t> </w:t>
      </w:r>
      <w:r>
        <w:rPr>
          <w:color w:val="231F20"/>
          <w:spacing w:val="-2"/>
          <w:w w:val="120"/>
        </w:rPr>
        <w:t>tendance</w:t>
      </w:r>
      <w:r>
        <w:rPr>
          <w:color w:val="231F20"/>
          <w:spacing w:val="-10"/>
          <w:w w:val="120"/>
        </w:rPr>
        <w:t> </w:t>
      </w:r>
      <w:r>
        <w:rPr>
          <w:color w:val="231F20"/>
          <w:spacing w:val="-2"/>
          <w:w w:val="120"/>
        </w:rPr>
        <w:t>à</w:t>
      </w:r>
      <w:r>
        <w:rPr>
          <w:color w:val="231F20"/>
          <w:spacing w:val="-10"/>
          <w:w w:val="120"/>
        </w:rPr>
        <w:t> </w:t>
      </w:r>
      <w:r>
        <w:rPr>
          <w:color w:val="231F20"/>
          <w:spacing w:val="-2"/>
          <w:w w:val="120"/>
        </w:rPr>
        <w:t>être</w:t>
      </w:r>
      <w:r>
        <w:rPr>
          <w:color w:val="231F20"/>
          <w:spacing w:val="-10"/>
          <w:w w:val="120"/>
        </w:rPr>
        <w:t> </w:t>
      </w:r>
      <w:r>
        <w:rPr>
          <w:color w:val="231F20"/>
          <w:spacing w:val="-2"/>
          <w:w w:val="120"/>
        </w:rPr>
        <w:t>plus</w:t>
      </w:r>
      <w:r>
        <w:rPr>
          <w:color w:val="231F20"/>
          <w:spacing w:val="-10"/>
          <w:w w:val="120"/>
        </w:rPr>
        <w:t> </w:t>
      </w:r>
      <w:r>
        <w:rPr>
          <w:color w:val="231F20"/>
          <w:spacing w:val="-2"/>
          <w:w w:val="120"/>
        </w:rPr>
        <w:t>vulnérables </w:t>
      </w:r>
      <w:r>
        <w:rPr>
          <w:color w:val="231F20"/>
          <w:w w:val="120"/>
        </w:rPr>
        <w:t>et doivent davantage s’adapter à des événements stressants.</w:t>
      </w:r>
    </w:p>
    <w:p>
      <w:pPr>
        <w:pStyle w:val="BodyText"/>
        <w:spacing w:line="307" w:lineRule="auto" w:before="78"/>
        <w:ind w:left="1220" w:right="106" w:firstLine="250"/>
        <w:jc w:val="both"/>
      </w:pPr>
      <w:r>
        <w:rPr>
          <w:color w:val="231F20"/>
          <w:spacing w:val="-2"/>
          <w:w w:val="115"/>
        </w:rPr>
        <w:t>Le</w:t>
      </w:r>
      <w:r>
        <w:rPr>
          <w:color w:val="231F20"/>
          <w:spacing w:val="-6"/>
          <w:w w:val="115"/>
        </w:rPr>
        <w:t> </w:t>
      </w:r>
      <w:r>
        <w:rPr>
          <w:color w:val="231F20"/>
          <w:spacing w:val="-2"/>
          <w:w w:val="115"/>
        </w:rPr>
        <w:t>concept</w:t>
      </w:r>
      <w:r>
        <w:rPr>
          <w:color w:val="231F20"/>
          <w:spacing w:val="-6"/>
          <w:w w:val="115"/>
        </w:rPr>
        <w:t> </w:t>
      </w:r>
      <w:r>
        <w:rPr>
          <w:color w:val="231F20"/>
          <w:spacing w:val="-2"/>
          <w:w w:val="115"/>
        </w:rPr>
        <w:t>de</w:t>
      </w:r>
      <w:r>
        <w:rPr>
          <w:color w:val="231F20"/>
          <w:spacing w:val="-6"/>
          <w:w w:val="115"/>
        </w:rPr>
        <w:t> </w:t>
      </w:r>
      <w:r>
        <w:rPr>
          <w:i/>
          <w:color w:val="231F20"/>
          <w:spacing w:val="-2"/>
          <w:w w:val="115"/>
        </w:rPr>
        <w:t>locus</w:t>
      </w:r>
      <w:r>
        <w:rPr>
          <w:i/>
          <w:color w:val="231F20"/>
          <w:spacing w:val="-6"/>
          <w:w w:val="115"/>
        </w:rPr>
        <w:t> </w:t>
      </w:r>
      <w:r>
        <w:rPr>
          <w:i/>
          <w:color w:val="231F20"/>
          <w:spacing w:val="-2"/>
          <w:w w:val="115"/>
        </w:rPr>
        <w:t>de</w:t>
      </w:r>
      <w:r>
        <w:rPr>
          <w:i/>
          <w:color w:val="231F20"/>
          <w:spacing w:val="-6"/>
          <w:w w:val="115"/>
        </w:rPr>
        <w:t> </w:t>
      </w:r>
      <w:r>
        <w:rPr>
          <w:i/>
          <w:color w:val="231F20"/>
          <w:spacing w:val="-2"/>
          <w:w w:val="115"/>
        </w:rPr>
        <w:t>contrôle</w:t>
      </w:r>
      <w:r>
        <w:rPr>
          <w:color w:val="231F20"/>
          <w:spacing w:val="-2"/>
          <w:w w:val="115"/>
        </w:rPr>
        <w:t>,</w:t>
      </w:r>
      <w:r>
        <w:rPr>
          <w:color w:val="231F20"/>
          <w:spacing w:val="-6"/>
          <w:w w:val="115"/>
        </w:rPr>
        <w:t> </w:t>
      </w:r>
      <w:r>
        <w:rPr>
          <w:color w:val="231F20"/>
          <w:spacing w:val="-2"/>
          <w:w w:val="115"/>
        </w:rPr>
        <w:t>élaboré</w:t>
      </w:r>
      <w:r>
        <w:rPr>
          <w:color w:val="231F20"/>
          <w:spacing w:val="-6"/>
          <w:w w:val="115"/>
        </w:rPr>
        <w:t> </w:t>
      </w:r>
      <w:r>
        <w:rPr>
          <w:color w:val="231F20"/>
          <w:spacing w:val="-2"/>
          <w:w w:val="115"/>
        </w:rPr>
        <w:t>par</w:t>
      </w:r>
      <w:r>
        <w:rPr>
          <w:color w:val="231F20"/>
          <w:spacing w:val="-6"/>
          <w:w w:val="115"/>
        </w:rPr>
        <w:t> </w:t>
      </w:r>
      <w:r>
        <w:rPr>
          <w:color w:val="231F20"/>
          <w:spacing w:val="-2"/>
          <w:w w:val="115"/>
        </w:rPr>
        <w:t>Rotter</w:t>
      </w:r>
      <w:r>
        <w:rPr>
          <w:color w:val="231F20"/>
          <w:spacing w:val="-6"/>
          <w:w w:val="115"/>
        </w:rPr>
        <w:t> </w:t>
      </w:r>
      <w:r>
        <w:rPr>
          <w:color w:val="231F20"/>
          <w:spacing w:val="-2"/>
          <w:w w:val="115"/>
        </w:rPr>
        <w:t>à</w:t>
      </w:r>
      <w:r>
        <w:rPr>
          <w:color w:val="231F20"/>
          <w:spacing w:val="-6"/>
          <w:w w:val="115"/>
        </w:rPr>
        <w:t> </w:t>
      </w:r>
      <w:r>
        <w:rPr>
          <w:color w:val="231F20"/>
          <w:spacing w:val="-2"/>
          <w:w w:val="115"/>
        </w:rPr>
        <w:t>propos</w:t>
      </w:r>
      <w:r>
        <w:rPr>
          <w:color w:val="231F20"/>
          <w:spacing w:val="-6"/>
          <w:w w:val="115"/>
        </w:rPr>
        <w:t> </w:t>
      </w:r>
      <w:r>
        <w:rPr>
          <w:color w:val="231F20"/>
          <w:spacing w:val="-2"/>
          <w:w w:val="115"/>
        </w:rPr>
        <w:t>des</w:t>
      </w:r>
      <w:r>
        <w:rPr>
          <w:color w:val="231F20"/>
          <w:spacing w:val="-6"/>
          <w:w w:val="115"/>
        </w:rPr>
        <w:t> </w:t>
      </w:r>
      <w:r>
        <w:rPr>
          <w:color w:val="231F20"/>
          <w:spacing w:val="-2"/>
          <w:w w:val="115"/>
        </w:rPr>
        <w:t>attribu- </w:t>
      </w:r>
      <w:r>
        <w:rPr>
          <w:color w:val="231F20"/>
          <w:w w:val="120"/>
        </w:rPr>
        <w:t>tions</w:t>
      </w:r>
      <w:r>
        <w:rPr>
          <w:color w:val="231F20"/>
          <w:spacing w:val="-13"/>
          <w:w w:val="120"/>
        </w:rPr>
        <w:t> </w:t>
      </w:r>
      <w:r>
        <w:rPr>
          <w:color w:val="231F20"/>
          <w:w w:val="120"/>
        </w:rPr>
        <w:t>causales</w:t>
      </w:r>
      <w:r>
        <w:rPr>
          <w:color w:val="231F20"/>
          <w:spacing w:val="-13"/>
          <w:w w:val="120"/>
        </w:rPr>
        <w:t> </w:t>
      </w:r>
      <w:r>
        <w:rPr>
          <w:color w:val="231F20"/>
          <w:w w:val="120"/>
        </w:rPr>
        <w:t>que</w:t>
      </w:r>
      <w:r>
        <w:rPr>
          <w:color w:val="231F20"/>
          <w:spacing w:val="-13"/>
          <w:w w:val="120"/>
        </w:rPr>
        <w:t> </w:t>
      </w:r>
      <w:r>
        <w:rPr>
          <w:color w:val="231F20"/>
          <w:w w:val="120"/>
        </w:rPr>
        <w:t>les</w:t>
      </w:r>
      <w:r>
        <w:rPr>
          <w:color w:val="231F20"/>
          <w:spacing w:val="-12"/>
          <w:w w:val="120"/>
        </w:rPr>
        <w:t> </w:t>
      </w:r>
      <w:r>
        <w:rPr>
          <w:color w:val="231F20"/>
          <w:w w:val="120"/>
        </w:rPr>
        <w:t>gens</w:t>
      </w:r>
      <w:r>
        <w:rPr>
          <w:color w:val="231F20"/>
          <w:spacing w:val="-13"/>
          <w:w w:val="120"/>
        </w:rPr>
        <w:t> </w:t>
      </w:r>
      <w:r>
        <w:rPr>
          <w:color w:val="231F20"/>
          <w:w w:val="120"/>
        </w:rPr>
        <w:t>formulent</w:t>
      </w:r>
      <w:r>
        <w:rPr>
          <w:color w:val="231F20"/>
          <w:spacing w:val="-13"/>
          <w:w w:val="120"/>
        </w:rPr>
        <w:t> </w:t>
      </w:r>
      <w:r>
        <w:rPr>
          <w:color w:val="231F20"/>
          <w:w w:val="120"/>
        </w:rPr>
        <w:t>à</w:t>
      </w:r>
      <w:r>
        <w:rPr>
          <w:color w:val="231F20"/>
          <w:spacing w:val="-13"/>
          <w:w w:val="120"/>
        </w:rPr>
        <w:t> </w:t>
      </w:r>
      <w:r>
        <w:rPr>
          <w:color w:val="231F20"/>
          <w:w w:val="120"/>
        </w:rPr>
        <w:t>l’égard</w:t>
      </w:r>
      <w:r>
        <w:rPr>
          <w:color w:val="231F20"/>
          <w:spacing w:val="-12"/>
          <w:w w:val="120"/>
        </w:rPr>
        <w:t> </w:t>
      </w:r>
      <w:r>
        <w:rPr>
          <w:color w:val="231F20"/>
          <w:w w:val="120"/>
        </w:rPr>
        <w:t>de</w:t>
      </w:r>
      <w:r>
        <w:rPr>
          <w:color w:val="231F20"/>
          <w:spacing w:val="-13"/>
          <w:w w:val="120"/>
        </w:rPr>
        <w:t> </w:t>
      </w:r>
      <w:r>
        <w:rPr>
          <w:color w:val="231F20"/>
          <w:w w:val="120"/>
        </w:rPr>
        <w:t>certains</w:t>
      </w:r>
      <w:r>
        <w:rPr>
          <w:color w:val="231F20"/>
          <w:spacing w:val="-13"/>
          <w:w w:val="120"/>
        </w:rPr>
        <w:t> </w:t>
      </w:r>
      <w:r>
        <w:rPr>
          <w:color w:val="231F20"/>
          <w:w w:val="120"/>
        </w:rPr>
        <w:t>résultats,</w:t>
      </w:r>
      <w:r>
        <w:rPr>
          <w:color w:val="231F20"/>
          <w:spacing w:val="-13"/>
          <w:w w:val="120"/>
        </w:rPr>
        <w:t> </w:t>
      </w:r>
      <w:r>
        <w:rPr>
          <w:color w:val="231F20"/>
          <w:w w:val="120"/>
        </w:rPr>
        <w:t>sert couramment</w:t>
      </w:r>
      <w:r>
        <w:rPr>
          <w:color w:val="231F20"/>
          <w:spacing w:val="-2"/>
          <w:w w:val="120"/>
        </w:rPr>
        <w:t> </w:t>
      </w:r>
      <w:r>
        <w:rPr>
          <w:color w:val="231F20"/>
          <w:w w:val="120"/>
        </w:rPr>
        <w:t>à</w:t>
      </w:r>
      <w:r>
        <w:rPr>
          <w:color w:val="231F20"/>
          <w:spacing w:val="-2"/>
          <w:w w:val="120"/>
        </w:rPr>
        <w:t> </w:t>
      </w:r>
      <w:r>
        <w:rPr>
          <w:color w:val="231F20"/>
          <w:w w:val="120"/>
        </w:rPr>
        <w:t>estimer</w:t>
      </w:r>
      <w:r>
        <w:rPr>
          <w:color w:val="231F20"/>
          <w:spacing w:val="-2"/>
          <w:w w:val="120"/>
        </w:rPr>
        <w:t> </w:t>
      </w:r>
      <w:r>
        <w:rPr>
          <w:color w:val="231F20"/>
          <w:w w:val="120"/>
        </w:rPr>
        <w:t>le</w:t>
      </w:r>
      <w:r>
        <w:rPr>
          <w:color w:val="231F20"/>
          <w:spacing w:val="-2"/>
          <w:w w:val="120"/>
        </w:rPr>
        <w:t> </w:t>
      </w:r>
      <w:r>
        <w:rPr>
          <w:color w:val="231F20"/>
          <w:w w:val="120"/>
        </w:rPr>
        <w:t>niveau</w:t>
      </w:r>
      <w:r>
        <w:rPr>
          <w:color w:val="231F20"/>
          <w:spacing w:val="-2"/>
          <w:w w:val="120"/>
        </w:rPr>
        <w:t> </w:t>
      </w:r>
      <w:r>
        <w:rPr>
          <w:color w:val="231F20"/>
          <w:w w:val="120"/>
        </w:rPr>
        <w:t>de</w:t>
      </w:r>
      <w:r>
        <w:rPr>
          <w:color w:val="231F20"/>
          <w:spacing w:val="-2"/>
          <w:w w:val="120"/>
        </w:rPr>
        <w:t> </w:t>
      </w:r>
      <w:r>
        <w:rPr>
          <w:color w:val="231F20"/>
          <w:w w:val="120"/>
        </w:rPr>
        <w:t>contrôle</w:t>
      </w:r>
      <w:r>
        <w:rPr>
          <w:color w:val="231F20"/>
          <w:spacing w:val="-2"/>
          <w:w w:val="120"/>
        </w:rPr>
        <w:t> </w:t>
      </w:r>
      <w:r>
        <w:rPr>
          <w:color w:val="231F20"/>
          <w:w w:val="120"/>
        </w:rPr>
        <w:t>que</w:t>
      </w:r>
      <w:r>
        <w:rPr>
          <w:color w:val="231F20"/>
          <w:spacing w:val="-2"/>
          <w:w w:val="120"/>
        </w:rPr>
        <w:t> </w:t>
      </w:r>
      <w:r>
        <w:rPr>
          <w:color w:val="231F20"/>
          <w:w w:val="120"/>
        </w:rPr>
        <w:t>les</w:t>
      </w:r>
      <w:r>
        <w:rPr>
          <w:color w:val="231F20"/>
          <w:spacing w:val="-2"/>
          <w:w w:val="120"/>
        </w:rPr>
        <w:t> </w:t>
      </w:r>
      <w:r>
        <w:rPr>
          <w:color w:val="231F20"/>
          <w:w w:val="120"/>
        </w:rPr>
        <w:t>personnes</w:t>
      </w:r>
      <w:r>
        <w:rPr>
          <w:color w:val="231F20"/>
          <w:spacing w:val="-2"/>
          <w:w w:val="120"/>
        </w:rPr>
        <w:t> </w:t>
      </w:r>
      <w:r>
        <w:rPr>
          <w:color w:val="231F20"/>
          <w:w w:val="120"/>
        </w:rPr>
        <w:t>pensent </w:t>
      </w:r>
      <w:r>
        <w:rPr>
          <w:color w:val="231F20"/>
          <w:w w:val="115"/>
        </w:rPr>
        <w:t>avoir sur l’environnement8. Simplement exprimé, le locus de contrôle se </w:t>
      </w:r>
      <w:r>
        <w:rPr>
          <w:color w:val="231F20"/>
          <w:w w:val="120"/>
        </w:rPr>
        <w:t>résume</w:t>
      </w:r>
      <w:r>
        <w:rPr>
          <w:color w:val="231F20"/>
          <w:spacing w:val="-15"/>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croyance</w:t>
      </w:r>
      <w:r>
        <w:rPr>
          <w:color w:val="231F20"/>
          <w:spacing w:val="-12"/>
          <w:w w:val="120"/>
        </w:rPr>
        <w:t> </w:t>
      </w:r>
      <w:r>
        <w:rPr>
          <w:color w:val="231F20"/>
          <w:w w:val="120"/>
        </w:rPr>
        <w:t>de</w:t>
      </w:r>
      <w:r>
        <w:rPr>
          <w:color w:val="231F20"/>
          <w:spacing w:val="-13"/>
          <w:w w:val="120"/>
        </w:rPr>
        <w:t> </w:t>
      </w:r>
      <w:r>
        <w:rPr>
          <w:color w:val="231F20"/>
          <w:w w:val="120"/>
        </w:rPr>
        <w:t>l’individu</w:t>
      </w:r>
      <w:r>
        <w:rPr>
          <w:color w:val="231F20"/>
          <w:spacing w:val="-13"/>
          <w:w w:val="120"/>
        </w:rPr>
        <w:t> </w:t>
      </w:r>
      <w:r>
        <w:rPr>
          <w:color w:val="231F20"/>
          <w:w w:val="120"/>
        </w:rPr>
        <w:t>que</w:t>
      </w:r>
      <w:r>
        <w:rPr>
          <w:color w:val="231F20"/>
          <w:spacing w:val="-13"/>
          <w:w w:val="120"/>
        </w:rPr>
        <w:t> </w:t>
      </w:r>
      <w:r>
        <w:rPr>
          <w:color w:val="231F20"/>
          <w:w w:val="120"/>
        </w:rPr>
        <w:t>les</w:t>
      </w:r>
      <w:r>
        <w:rPr>
          <w:color w:val="231F20"/>
          <w:spacing w:val="-12"/>
          <w:w w:val="120"/>
        </w:rPr>
        <w:t> </w:t>
      </w:r>
      <w:r>
        <w:rPr>
          <w:color w:val="231F20"/>
          <w:w w:val="120"/>
        </w:rPr>
        <w:t>situations</w:t>
      </w:r>
      <w:r>
        <w:rPr>
          <w:color w:val="231F20"/>
          <w:spacing w:val="-13"/>
          <w:w w:val="120"/>
        </w:rPr>
        <w:t> </w:t>
      </w:r>
      <w:r>
        <w:rPr>
          <w:color w:val="231F20"/>
          <w:w w:val="120"/>
        </w:rPr>
        <w:t>qu’il</w:t>
      </w:r>
      <w:r>
        <w:rPr>
          <w:color w:val="231F20"/>
          <w:spacing w:val="-13"/>
          <w:w w:val="120"/>
        </w:rPr>
        <w:t> </w:t>
      </w:r>
      <w:r>
        <w:rPr>
          <w:color w:val="231F20"/>
          <w:w w:val="120"/>
        </w:rPr>
        <w:t>vit</w:t>
      </w:r>
      <w:r>
        <w:rPr>
          <w:color w:val="231F20"/>
          <w:spacing w:val="-13"/>
          <w:w w:val="120"/>
        </w:rPr>
        <w:t> </w:t>
      </w:r>
      <w:r>
        <w:rPr>
          <w:color w:val="231F20"/>
          <w:w w:val="120"/>
        </w:rPr>
        <w:t>sont</w:t>
      </w:r>
      <w:r>
        <w:rPr>
          <w:color w:val="231F20"/>
          <w:spacing w:val="-12"/>
          <w:w w:val="120"/>
        </w:rPr>
        <w:t> </w:t>
      </w:r>
      <w:r>
        <w:rPr>
          <w:color w:val="231F20"/>
          <w:w w:val="120"/>
        </w:rPr>
        <w:t>majo- </w:t>
      </w:r>
      <w:r>
        <w:rPr>
          <w:color w:val="231F20"/>
          <w:spacing w:val="-2"/>
          <w:w w:val="120"/>
        </w:rPr>
        <w:t>ritairement</w:t>
      </w:r>
      <w:r>
        <w:rPr>
          <w:color w:val="231F20"/>
          <w:spacing w:val="-10"/>
          <w:w w:val="120"/>
        </w:rPr>
        <w:t> </w:t>
      </w:r>
      <w:r>
        <w:rPr>
          <w:color w:val="231F20"/>
          <w:spacing w:val="-2"/>
          <w:w w:val="120"/>
        </w:rPr>
        <w:t>déterminées</w:t>
      </w:r>
      <w:r>
        <w:rPr>
          <w:color w:val="231F20"/>
          <w:spacing w:val="-10"/>
          <w:w w:val="120"/>
        </w:rPr>
        <w:t> </w:t>
      </w:r>
      <w:r>
        <w:rPr>
          <w:color w:val="231F20"/>
          <w:spacing w:val="-2"/>
          <w:w w:val="120"/>
        </w:rPr>
        <w:t>par</w:t>
      </w:r>
      <w:r>
        <w:rPr>
          <w:color w:val="231F20"/>
          <w:spacing w:val="-10"/>
          <w:w w:val="120"/>
        </w:rPr>
        <w:t> </w:t>
      </w:r>
      <w:r>
        <w:rPr>
          <w:color w:val="231F20"/>
          <w:spacing w:val="-2"/>
          <w:w w:val="120"/>
        </w:rPr>
        <w:t>ses</w:t>
      </w:r>
      <w:r>
        <w:rPr>
          <w:color w:val="231F20"/>
          <w:spacing w:val="-10"/>
          <w:w w:val="120"/>
        </w:rPr>
        <w:t> </w:t>
      </w:r>
      <w:r>
        <w:rPr>
          <w:color w:val="231F20"/>
          <w:spacing w:val="-2"/>
          <w:w w:val="120"/>
        </w:rPr>
        <w:t>actions</w:t>
      </w:r>
      <w:r>
        <w:rPr>
          <w:color w:val="231F20"/>
          <w:spacing w:val="-10"/>
          <w:w w:val="120"/>
        </w:rPr>
        <w:t> </w:t>
      </w:r>
      <w:r>
        <w:rPr>
          <w:color w:val="231F20"/>
          <w:spacing w:val="-2"/>
          <w:w w:val="120"/>
        </w:rPr>
        <w:t>(locus</w:t>
      </w:r>
      <w:r>
        <w:rPr>
          <w:color w:val="231F20"/>
          <w:spacing w:val="-10"/>
          <w:w w:val="120"/>
        </w:rPr>
        <w:t> </w:t>
      </w:r>
      <w:r>
        <w:rPr>
          <w:color w:val="231F20"/>
          <w:spacing w:val="-2"/>
          <w:w w:val="120"/>
        </w:rPr>
        <w:t>de</w:t>
      </w:r>
      <w:r>
        <w:rPr>
          <w:color w:val="231F20"/>
          <w:spacing w:val="-10"/>
          <w:w w:val="120"/>
        </w:rPr>
        <w:t> </w:t>
      </w:r>
      <w:r>
        <w:rPr>
          <w:color w:val="231F20"/>
          <w:spacing w:val="-2"/>
          <w:w w:val="120"/>
        </w:rPr>
        <w:t>contrôle</w:t>
      </w:r>
      <w:r>
        <w:rPr>
          <w:color w:val="231F20"/>
          <w:spacing w:val="-10"/>
          <w:w w:val="120"/>
        </w:rPr>
        <w:t> </w:t>
      </w:r>
      <w:r>
        <w:rPr>
          <w:color w:val="231F20"/>
          <w:spacing w:val="-2"/>
          <w:w w:val="120"/>
        </w:rPr>
        <w:t>interne)</w:t>
      </w:r>
      <w:r>
        <w:rPr>
          <w:color w:val="231F20"/>
          <w:spacing w:val="-10"/>
          <w:w w:val="120"/>
        </w:rPr>
        <w:t> </w:t>
      </w:r>
      <w:r>
        <w:rPr>
          <w:color w:val="231F20"/>
          <w:spacing w:val="-2"/>
          <w:w w:val="120"/>
        </w:rPr>
        <w:t>ou</w:t>
      </w:r>
      <w:r>
        <w:rPr>
          <w:color w:val="231F20"/>
          <w:spacing w:val="-10"/>
          <w:w w:val="120"/>
        </w:rPr>
        <w:t> </w:t>
      </w:r>
      <w:r>
        <w:rPr>
          <w:color w:val="231F20"/>
          <w:spacing w:val="-2"/>
          <w:w w:val="120"/>
        </w:rPr>
        <w:t>par </w:t>
      </w:r>
      <w:r>
        <w:rPr>
          <w:color w:val="231F20"/>
          <w:w w:val="120"/>
        </w:rPr>
        <w:t>la conjoncture de l’environnement (locus de contrôle externe).</w:t>
      </w:r>
    </w:p>
    <w:p>
      <w:pPr>
        <w:pStyle w:val="BodyText"/>
        <w:spacing w:before="9"/>
        <w:rPr>
          <w:sz w:val="34"/>
        </w:rPr>
      </w:pPr>
    </w:p>
    <w:p>
      <w:pPr>
        <w:spacing w:before="0"/>
        <w:ind w:left="1220" w:right="0" w:firstLine="0"/>
        <w:jc w:val="both"/>
        <w:rPr>
          <w:rFonts w:ascii="Arial"/>
          <w:i/>
          <w:sz w:val="21"/>
        </w:rPr>
      </w:pPr>
      <w:r>
        <w:rPr>
          <w:rFonts w:ascii="Arial"/>
          <w:color w:val="231F20"/>
          <w:w w:val="95"/>
          <w:sz w:val="21"/>
        </w:rPr>
        <w:t>exerCiCe</w:t>
      </w:r>
      <w:r>
        <w:rPr>
          <w:rFonts w:ascii="Arial"/>
          <w:color w:val="231F20"/>
          <w:spacing w:val="2"/>
          <w:sz w:val="21"/>
        </w:rPr>
        <w:t> </w:t>
      </w:r>
      <w:r>
        <w:rPr>
          <w:rFonts w:ascii="Arial"/>
          <w:color w:val="231F20"/>
          <w:w w:val="95"/>
          <w:sz w:val="21"/>
        </w:rPr>
        <w:t>3.3</w:t>
      </w:r>
      <w:r>
        <w:rPr>
          <w:rFonts w:ascii="Arial"/>
          <w:color w:val="231F20"/>
          <w:spacing w:val="-12"/>
          <w:w w:val="95"/>
          <w:sz w:val="21"/>
        </w:rPr>
        <w:t> </w:t>
      </w:r>
      <w:r>
        <w:rPr>
          <w:rFonts w:ascii="Arial"/>
          <w:i/>
          <w:color w:val="231F20"/>
          <w:spacing w:val="-10"/>
          <w:w w:val="95"/>
          <w:sz w:val="21"/>
        </w:rPr>
        <w:t>/</w:t>
      </w:r>
    </w:p>
    <w:p>
      <w:pPr>
        <w:pStyle w:val="Heading2"/>
        <w:spacing w:before="9"/>
        <w:ind w:left="1220"/>
        <w:jc w:val="both"/>
      </w:pPr>
      <w:r>
        <w:rPr>
          <w:color w:val="231F20"/>
          <w:w w:val="95"/>
        </w:rPr>
        <w:t>Avez-vous</w:t>
      </w:r>
      <w:r>
        <w:rPr>
          <w:color w:val="231F20"/>
          <w:spacing w:val="-4"/>
          <w:w w:val="95"/>
        </w:rPr>
        <w:t> </w:t>
      </w:r>
      <w:r>
        <w:rPr>
          <w:color w:val="231F20"/>
          <w:w w:val="95"/>
        </w:rPr>
        <w:t>le</w:t>
      </w:r>
      <w:r>
        <w:rPr>
          <w:color w:val="231F20"/>
          <w:spacing w:val="-3"/>
          <w:w w:val="95"/>
        </w:rPr>
        <w:t> </w:t>
      </w:r>
      <w:r>
        <w:rPr>
          <w:color w:val="231F20"/>
          <w:w w:val="95"/>
        </w:rPr>
        <w:t>contrôle</w:t>
      </w:r>
      <w:r>
        <w:rPr>
          <w:color w:val="231F20"/>
          <w:spacing w:val="-3"/>
          <w:w w:val="95"/>
        </w:rPr>
        <w:t> </w:t>
      </w:r>
      <w:r>
        <w:rPr>
          <w:color w:val="231F20"/>
          <w:w w:val="95"/>
        </w:rPr>
        <w:t>de</w:t>
      </w:r>
      <w:r>
        <w:rPr>
          <w:color w:val="231F20"/>
          <w:spacing w:val="-3"/>
          <w:w w:val="95"/>
        </w:rPr>
        <w:t> </w:t>
      </w:r>
      <w:r>
        <w:rPr>
          <w:color w:val="231F20"/>
          <w:w w:val="95"/>
        </w:rPr>
        <w:t>votre</w:t>
      </w:r>
      <w:r>
        <w:rPr>
          <w:color w:val="231F20"/>
          <w:spacing w:val="-3"/>
          <w:w w:val="95"/>
        </w:rPr>
        <w:t> </w:t>
      </w:r>
      <w:r>
        <w:rPr>
          <w:color w:val="231F20"/>
          <w:w w:val="95"/>
        </w:rPr>
        <w:t>travail</w:t>
      </w:r>
      <w:r>
        <w:rPr>
          <w:color w:val="231F20"/>
          <w:spacing w:val="-31"/>
          <w:w w:val="95"/>
        </w:rPr>
        <w:t> </w:t>
      </w:r>
      <w:r>
        <w:rPr>
          <w:color w:val="231F20"/>
          <w:spacing w:val="-10"/>
          <w:w w:val="95"/>
        </w:rPr>
        <w:t>?</w:t>
      </w:r>
    </w:p>
    <w:p>
      <w:pPr>
        <w:pStyle w:val="BodyText"/>
        <w:spacing w:line="307" w:lineRule="auto" w:before="207"/>
        <w:ind w:left="1220" w:right="102"/>
        <w:jc w:val="both"/>
      </w:pPr>
      <w:r>
        <w:rPr>
          <w:color w:val="231F20"/>
          <w:w w:val="115"/>
        </w:rPr>
        <w:t>Indiquez à quelle fréquence les situations se produisent au travail. Attribuez</w:t>
      </w:r>
      <w:r>
        <w:rPr>
          <w:color w:val="231F20"/>
          <w:spacing w:val="40"/>
          <w:w w:val="115"/>
        </w:rPr>
        <w:t> </w:t>
      </w:r>
      <w:r>
        <w:rPr>
          <w:color w:val="231F20"/>
          <w:w w:val="115"/>
        </w:rPr>
        <w:t>une</w:t>
      </w:r>
      <w:r>
        <w:rPr>
          <w:color w:val="231F20"/>
          <w:spacing w:val="40"/>
          <w:w w:val="115"/>
        </w:rPr>
        <w:t> </w:t>
      </w:r>
      <w:r>
        <w:rPr>
          <w:color w:val="231F20"/>
          <w:w w:val="115"/>
        </w:rPr>
        <w:t>seule</w:t>
      </w:r>
      <w:r>
        <w:rPr>
          <w:color w:val="231F20"/>
          <w:spacing w:val="40"/>
          <w:w w:val="115"/>
        </w:rPr>
        <w:t> </w:t>
      </w:r>
      <w:r>
        <w:rPr>
          <w:color w:val="231F20"/>
          <w:w w:val="115"/>
        </w:rPr>
        <w:t>valeur</w:t>
      </w:r>
      <w:r>
        <w:rPr>
          <w:color w:val="231F20"/>
          <w:spacing w:val="40"/>
          <w:w w:val="115"/>
        </w:rPr>
        <w:t> </w:t>
      </w:r>
      <w:r>
        <w:rPr>
          <w:color w:val="231F20"/>
          <w:w w:val="115"/>
        </w:rPr>
        <w:t>numérique</w:t>
      </w:r>
      <w:r>
        <w:rPr>
          <w:color w:val="231F20"/>
          <w:spacing w:val="40"/>
          <w:w w:val="115"/>
        </w:rPr>
        <w:t> </w:t>
      </w:r>
      <w:r>
        <w:rPr>
          <w:color w:val="231F20"/>
          <w:w w:val="115"/>
        </w:rPr>
        <w:t>de</w:t>
      </w:r>
      <w:r>
        <w:rPr>
          <w:color w:val="231F20"/>
          <w:spacing w:val="40"/>
          <w:w w:val="115"/>
        </w:rPr>
        <w:t> </w:t>
      </w:r>
      <w:r>
        <w:rPr>
          <w:color w:val="231F20"/>
          <w:w w:val="115"/>
        </w:rPr>
        <w:t>1</w:t>
      </w:r>
      <w:r>
        <w:rPr>
          <w:color w:val="231F20"/>
          <w:spacing w:val="40"/>
          <w:w w:val="115"/>
        </w:rPr>
        <w:t> </w:t>
      </w:r>
      <w:r>
        <w:rPr>
          <w:color w:val="231F20"/>
          <w:w w:val="115"/>
        </w:rPr>
        <w:t>à</w:t>
      </w:r>
      <w:r>
        <w:rPr>
          <w:color w:val="231F20"/>
          <w:spacing w:val="40"/>
          <w:w w:val="115"/>
        </w:rPr>
        <w:t> </w:t>
      </w:r>
      <w:r>
        <w:rPr>
          <w:color w:val="231F20"/>
          <w:w w:val="115"/>
        </w:rPr>
        <w:t>4</w:t>
      </w:r>
      <w:r>
        <w:rPr>
          <w:color w:val="231F20"/>
          <w:spacing w:val="40"/>
          <w:w w:val="115"/>
        </w:rPr>
        <w:t> </w:t>
      </w:r>
      <w:r>
        <w:rPr>
          <w:color w:val="231F20"/>
          <w:w w:val="115"/>
        </w:rPr>
        <w:t>à</w:t>
      </w:r>
      <w:r>
        <w:rPr>
          <w:color w:val="231F20"/>
          <w:spacing w:val="40"/>
          <w:w w:val="115"/>
        </w:rPr>
        <w:t> </w:t>
      </w:r>
      <w:r>
        <w:rPr>
          <w:color w:val="231F20"/>
          <w:w w:val="115"/>
        </w:rPr>
        <w:t>chaque</w:t>
      </w:r>
      <w:r>
        <w:rPr>
          <w:color w:val="231F20"/>
          <w:spacing w:val="40"/>
          <w:w w:val="115"/>
        </w:rPr>
        <w:t> </w:t>
      </w:r>
      <w:r>
        <w:rPr>
          <w:color w:val="231F20"/>
          <w:w w:val="115"/>
        </w:rPr>
        <w:t>situation</w:t>
      </w:r>
      <w:r>
        <w:rPr>
          <w:color w:val="231F20"/>
          <w:spacing w:val="-7"/>
          <w:w w:val="115"/>
        </w:rPr>
        <w:t> </w:t>
      </w:r>
      <w:r>
        <w:rPr>
          <w:color w:val="231F20"/>
          <w:w w:val="115"/>
        </w:rPr>
        <w:t>:</w:t>
      </w:r>
      <w:r>
        <w:rPr>
          <w:color w:val="231F20"/>
          <w:spacing w:val="80"/>
          <w:w w:val="115"/>
        </w:rPr>
        <w:t> </w:t>
      </w:r>
      <w:r>
        <w:rPr>
          <w:color w:val="231F20"/>
          <w:w w:val="115"/>
        </w:rPr>
        <w:t>1 = Toujours; 2 = Souvent; 3 = Rarement; 4 = Jamais</w:t>
      </w:r>
    </w:p>
    <w:p>
      <w:pPr>
        <w:spacing w:after="0" w:line="307" w:lineRule="auto"/>
        <w:jc w:val="both"/>
        <w:sectPr>
          <w:footerReference w:type="default" r:id="rId200"/>
          <w:pgSz w:w="8640" w:h="12960"/>
          <w:pgMar w:footer="424" w:header="0" w:top="500" w:bottom="620" w:left="420" w:right="1140"/>
        </w:sectPr>
      </w:pPr>
    </w:p>
    <w:p>
      <w:pPr>
        <w:pStyle w:val="ListParagraph"/>
        <w:numPr>
          <w:ilvl w:val="3"/>
          <w:numId w:val="44"/>
        </w:numPr>
        <w:tabs>
          <w:tab w:pos="1460" w:val="left" w:leader="none"/>
        </w:tabs>
        <w:spacing w:line="268" w:lineRule="auto" w:before="170" w:after="0"/>
        <w:ind w:left="1459" w:right="453" w:hanging="240"/>
        <w:jc w:val="left"/>
        <w:rPr>
          <w:rFonts w:ascii="Arial" w:hAnsi="Arial"/>
          <w:sz w:val="14"/>
        </w:rPr>
      </w:pPr>
      <w:r>
        <w:rPr/>
        <w:pict>
          <v:group style="position:absolute;margin-left:82pt;margin-top:5.361908pt;width:287.5pt;height:175.85pt;mso-position-horizontal-relative:page;mso-position-vertical-relative:paragraph;z-index:-20953600" id="docshapegroup717" coordorigin="1640,107" coordsize="5750,3517">
            <v:line style="position:absolute" from="1640,110" to="4515,110" stroked="true" strokeweight=".25pt" strokecolor="#231f20">
              <v:stroke dashstyle="solid"/>
            </v:line>
            <v:line style="position:absolute" from="4515,110" to="7390,110" stroked="true" strokeweight=".25pt" strokecolor="#231f20">
              <v:stroke dashstyle="solid"/>
            </v:line>
            <v:line style="position:absolute" from="1640,3621" to="4515,3621" stroked="true" strokeweight=".25pt" strokecolor="#231f20">
              <v:stroke dashstyle="solid"/>
            </v:line>
            <v:line style="position:absolute" from="4515,3621" to="7390,3621" stroked="true" strokeweight=".25pt" strokecolor="#231f20">
              <v:stroke dashstyle="solid"/>
            </v:line>
            <v:line style="position:absolute" from="4515,3619" to="4515,112" stroked="true" strokeweight=".25pt" strokecolor="#231f20">
              <v:stroke dashstyle="solid"/>
            </v:line>
            <w10:wrap type="none"/>
          </v:group>
        </w:pict>
      </w:r>
      <w:r>
        <w:rPr>
          <w:rFonts w:ascii="Arial" w:hAnsi="Arial"/>
          <w:color w:val="231F20"/>
          <w:sz w:val="14"/>
        </w:rPr>
        <w:t>Je</w:t>
      </w:r>
      <w:r>
        <w:rPr>
          <w:rFonts w:ascii="Arial" w:hAnsi="Arial"/>
          <w:color w:val="231F20"/>
          <w:spacing w:val="-10"/>
          <w:sz w:val="14"/>
        </w:rPr>
        <w:t> </w:t>
      </w:r>
      <w:r>
        <w:rPr>
          <w:rFonts w:ascii="Arial" w:hAnsi="Arial"/>
          <w:color w:val="231F20"/>
          <w:sz w:val="14"/>
        </w:rPr>
        <w:t>peux</w:t>
      </w:r>
      <w:r>
        <w:rPr>
          <w:rFonts w:ascii="Arial" w:hAnsi="Arial"/>
          <w:color w:val="231F20"/>
          <w:spacing w:val="-10"/>
          <w:sz w:val="14"/>
        </w:rPr>
        <w:t> </w:t>
      </w:r>
      <w:r>
        <w:rPr>
          <w:rFonts w:ascii="Arial" w:hAnsi="Arial"/>
          <w:color w:val="231F20"/>
          <w:sz w:val="14"/>
        </w:rPr>
        <w:t>décider</w:t>
      </w:r>
      <w:r>
        <w:rPr>
          <w:rFonts w:ascii="Arial" w:hAnsi="Arial"/>
          <w:color w:val="231F20"/>
          <w:spacing w:val="-10"/>
          <w:sz w:val="14"/>
        </w:rPr>
        <w:t> </w:t>
      </w:r>
      <w:r>
        <w:rPr>
          <w:rFonts w:ascii="Arial" w:hAnsi="Arial"/>
          <w:color w:val="231F20"/>
          <w:sz w:val="14"/>
        </w:rPr>
        <w:t>comment</w:t>
      </w:r>
      <w:r>
        <w:rPr>
          <w:rFonts w:ascii="Arial" w:hAnsi="Arial"/>
          <w:color w:val="231F20"/>
          <w:spacing w:val="-9"/>
          <w:sz w:val="14"/>
        </w:rPr>
        <w:t> </w:t>
      </w:r>
      <w:r>
        <w:rPr>
          <w:rFonts w:ascii="Arial" w:hAnsi="Arial"/>
          <w:color w:val="231F20"/>
          <w:sz w:val="14"/>
        </w:rPr>
        <w:t>je</w:t>
      </w:r>
      <w:r>
        <w:rPr>
          <w:rFonts w:ascii="Arial" w:hAnsi="Arial"/>
          <w:color w:val="231F20"/>
          <w:spacing w:val="-10"/>
          <w:sz w:val="14"/>
        </w:rPr>
        <w:t> </w:t>
      </w:r>
      <w:r>
        <w:rPr>
          <w:rFonts w:ascii="Arial" w:hAnsi="Arial"/>
          <w:color w:val="231F20"/>
          <w:sz w:val="14"/>
        </w:rPr>
        <w:t>fais</w:t>
      </w:r>
      <w:r>
        <w:rPr>
          <w:rFonts w:ascii="Arial" w:hAnsi="Arial"/>
          <w:color w:val="231F20"/>
          <w:spacing w:val="40"/>
          <w:sz w:val="14"/>
        </w:rPr>
        <w:t> </w:t>
      </w:r>
      <w:r>
        <w:rPr>
          <w:rFonts w:ascii="Arial" w:hAnsi="Arial"/>
          <w:color w:val="231F20"/>
          <w:sz w:val="14"/>
        </w:rPr>
        <w:t>mon</w:t>
      </w:r>
      <w:r>
        <w:rPr>
          <w:rFonts w:ascii="Arial" w:hAnsi="Arial"/>
          <w:color w:val="231F20"/>
          <w:spacing w:val="-10"/>
          <w:sz w:val="14"/>
        </w:rPr>
        <w:t> </w:t>
      </w:r>
      <w:r>
        <w:rPr>
          <w:rFonts w:ascii="Arial" w:hAnsi="Arial"/>
          <w:color w:val="231F20"/>
          <w:sz w:val="14"/>
        </w:rPr>
        <w:t>travail.</w:t>
      </w:r>
    </w:p>
    <w:p>
      <w:pPr>
        <w:pStyle w:val="ListParagraph"/>
        <w:numPr>
          <w:ilvl w:val="3"/>
          <w:numId w:val="44"/>
        </w:numPr>
        <w:tabs>
          <w:tab w:pos="1460" w:val="left" w:leader="none"/>
        </w:tabs>
        <w:spacing w:line="240" w:lineRule="auto" w:before="60" w:after="0"/>
        <w:ind w:left="1459" w:right="0" w:hanging="241"/>
        <w:jc w:val="left"/>
        <w:rPr>
          <w:rFonts w:ascii="Arial" w:hAnsi="Arial"/>
          <w:sz w:val="14"/>
        </w:rPr>
      </w:pPr>
      <w:r>
        <w:rPr>
          <w:rFonts w:ascii="Arial" w:hAnsi="Arial"/>
          <w:color w:val="231F20"/>
          <w:sz w:val="14"/>
        </w:rPr>
        <w:t>Je</w:t>
      </w:r>
      <w:r>
        <w:rPr>
          <w:rFonts w:ascii="Arial" w:hAnsi="Arial"/>
          <w:color w:val="231F20"/>
          <w:spacing w:val="-6"/>
          <w:sz w:val="14"/>
        </w:rPr>
        <w:t> </w:t>
      </w:r>
      <w:r>
        <w:rPr>
          <w:rFonts w:ascii="Arial" w:hAnsi="Arial"/>
          <w:color w:val="231F20"/>
          <w:sz w:val="14"/>
        </w:rPr>
        <w:t>peux</w:t>
      </w:r>
      <w:r>
        <w:rPr>
          <w:rFonts w:ascii="Arial" w:hAnsi="Arial"/>
          <w:color w:val="231F20"/>
          <w:spacing w:val="-5"/>
          <w:sz w:val="14"/>
        </w:rPr>
        <w:t> </w:t>
      </w:r>
      <w:r>
        <w:rPr>
          <w:rFonts w:ascii="Arial" w:hAnsi="Arial"/>
          <w:color w:val="231F20"/>
          <w:sz w:val="14"/>
        </w:rPr>
        <w:t>décider</w:t>
      </w:r>
      <w:r>
        <w:rPr>
          <w:rFonts w:ascii="Arial" w:hAnsi="Arial"/>
          <w:color w:val="231F20"/>
          <w:spacing w:val="-5"/>
          <w:sz w:val="14"/>
        </w:rPr>
        <w:t> </w:t>
      </w:r>
      <w:r>
        <w:rPr>
          <w:rFonts w:ascii="Arial" w:hAnsi="Arial"/>
          <w:color w:val="231F20"/>
          <w:sz w:val="14"/>
        </w:rPr>
        <w:t>quoi</w:t>
      </w:r>
      <w:r>
        <w:rPr>
          <w:rFonts w:ascii="Arial" w:hAnsi="Arial"/>
          <w:color w:val="231F20"/>
          <w:spacing w:val="-6"/>
          <w:sz w:val="14"/>
        </w:rPr>
        <w:t> </w:t>
      </w:r>
      <w:r>
        <w:rPr>
          <w:rFonts w:ascii="Arial" w:hAnsi="Arial"/>
          <w:color w:val="231F20"/>
          <w:sz w:val="14"/>
        </w:rPr>
        <w:t>faire</w:t>
      </w:r>
      <w:r>
        <w:rPr>
          <w:rFonts w:ascii="Arial" w:hAnsi="Arial"/>
          <w:color w:val="231F20"/>
          <w:spacing w:val="-5"/>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ListParagraph"/>
        <w:numPr>
          <w:ilvl w:val="3"/>
          <w:numId w:val="44"/>
        </w:numPr>
        <w:tabs>
          <w:tab w:pos="1460" w:val="left" w:leader="none"/>
        </w:tabs>
        <w:spacing w:line="268" w:lineRule="auto" w:before="79" w:after="0"/>
        <w:ind w:left="1459" w:right="115" w:hanging="240"/>
        <w:jc w:val="left"/>
        <w:rPr>
          <w:rFonts w:ascii="Arial" w:hAnsi="Arial"/>
          <w:sz w:val="14"/>
        </w:rPr>
      </w:pPr>
      <w:r>
        <w:rPr>
          <w:rFonts w:ascii="Arial" w:hAnsi="Arial"/>
          <w:color w:val="231F20"/>
          <w:sz w:val="14"/>
        </w:rPr>
        <w:t>J’ai</w:t>
      </w:r>
      <w:r>
        <w:rPr>
          <w:rFonts w:ascii="Arial" w:hAnsi="Arial"/>
          <w:color w:val="231F20"/>
          <w:spacing w:val="-10"/>
          <w:sz w:val="14"/>
        </w:rPr>
        <w:t> </w:t>
      </w:r>
      <w:r>
        <w:rPr>
          <w:rFonts w:ascii="Arial" w:hAnsi="Arial"/>
          <w:color w:val="231F20"/>
          <w:sz w:val="14"/>
        </w:rPr>
        <w:t>mon</w:t>
      </w:r>
      <w:r>
        <w:rPr>
          <w:rFonts w:ascii="Arial" w:hAnsi="Arial"/>
          <w:color w:val="231F20"/>
          <w:spacing w:val="-10"/>
          <w:sz w:val="14"/>
        </w:rPr>
        <w:t> </w:t>
      </w:r>
      <w:r>
        <w:rPr>
          <w:rFonts w:ascii="Arial" w:hAnsi="Arial"/>
          <w:color w:val="231F20"/>
          <w:sz w:val="14"/>
        </w:rPr>
        <w:t>mot</w:t>
      </w:r>
      <w:r>
        <w:rPr>
          <w:rFonts w:ascii="Arial" w:hAnsi="Arial"/>
          <w:color w:val="231F20"/>
          <w:spacing w:val="-10"/>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dire</w:t>
      </w:r>
      <w:r>
        <w:rPr>
          <w:rFonts w:ascii="Arial" w:hAnsi="Arial"/>
          <w:color w:val="231F20"/>
          <w:spacing w:val="-10"/>
          <w:sz w:val="14"/>
        </w:rPr>
        <w:t> </w:t>
      </w:r>
      <w:r>
        <w:rPr>
          <w:rFonts w:ascii="Arial" w:hAnsi="Arial"/>
          <w:color w:val="231F20"/>
          <w:sz w:val="14"/>
        </w:rPr>
        <w:t>dans</w:t>
      </w:r>
      <w:r>
        <w:rPr>
          <w:rFonts w:ascii="Arial" w:hAnsi="Arial"/>
          <w:color w:val="231F20"/>
          <w:spacing w:val="-10"/>
          <w:sz w:val="14"/>
        </w:rPr>
        <w:t> </w:t>
      </w:r>
      <w:r>
        <w:rPr>
          <w:rFonts w:ascii="Arial" w:hAnsi="Arial"/>
          <w:color w:val="231F20"/>
          <w:sz w:val="14"/>
        </w:rPr>
        <w:t>les</w:t>
      </w:r>
      <w:r>
        <w:rPr>
          <w:rFonts w:ascii="Arial" w:hAnsi="Arial"/>
          <w:color w:val="231F20"/>
          <w:spacing w:val="-10"/>
          <w:sz w:val="14"/>
        </w:rPr>
        <w:t> </w:t>
      </w:r>
      <w:r>
        <w:rPr>
          <w:rFonts w:ascii="Arial" w:hAnsi="Arial"/>
          <w:color w:val="231F20"/>
          <w:sz w:val="14"/>
        </w:rPr>
        <w:t>décisions</w:t>
      </w:r>
      <w:r>
        <w:rPr>
          <w:rFonts w:ascii="Arial" w:hAnsi="Arial"/>
          <w:color w:val="231F20"/>
          <w:spacing w:val="40"/>
          <w:sz w:val="14"/>
        </w:rPr>
        <w:t> </w:t>
      </w:r>
      <w:r>
        <w:rPr>
          <w:rFonts w:ascii="Arial" w:hAnsi="Arial"/>
          <w:color w:val="231F20"/>
          <w:sz w:val="14"/>
        </w:rPr>
        <w:t>qui concernent mon travail.</w:t>
      </w:r>
    </w:p>
    <w:p>
      <w:pPr>
        <w:pStyle w:val="ListParagraph"/>
        <w:numPr>
          <w:ilvl w:val="3"/>
          <w:numId w:val="44"/>
        </w:numPr>
        <w:tabs>
          <w:tab w:pos="1460" w:val="left" w:leader="none"/>
        </w:tabs>
        <w:spacing w:line="268" w:lineRule="auto" w:before="59" w:after="0"/>
        <w:ind w:left="1459" w:right="325" w:hanging="240"/>
        <w:jc w:val="left"/>
        <w:rPr>
          <w:rFonts w:ascii="Arial" w:hAnsi="Arial"/>
          <w:sz w:val="14"/>
        </w:rPr>
      </w:pPr>
      <w:r>
        <w:rPr>
          <w:rFonts w:ascii="Arial" w:hAnsi="Arial"/>
          <w:color w:val="231F20"/>
          <w:sz w:val="14"/>
        </w:rPr>
        <w:t>D’autres personnes prennent les</w:t>
      </w:r>
      <w:r>
        <w:rPr>
          <w:rFonts w:ascii="Arial" w:hAnsi="Arial"/>
          <w:color w:val="231F20"/>
          <w:spacing w:val="40"/>
          <w:sz w:val="14"/>
        </w:rPr>
        <w:t> </w:t>
      </w:r>
      <w:r>
        <w:rPr>
          <w:rFonts w:ascii="Arial" w:hAnsi="Arial"/>
          <w:color w:val="231F20"/>
          <w:sz w:val="14"/>
        </w:rPr>
        <w:t>décisions</w:t>
      </w:r>
      <w:r>
        <w:rPr>
          <w:rFonts w:ascii="Arial" w:hAnsi="Arial"/>
          <w:color w:val="231F20"/>
          <w:spacing w:val="-9"/>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propos</w:t>
      </w:r>
      <w:r>
        <w:rPr>
          <w:rFonts w:ascii="Arial" w:hAnsi="Arial"/>
          <w:color w:val="231F20"/>
          <w:spacing w:val="-9"/>
          <w:sz w:val="14"/>
        </w:rPr>
        <w:t> </w:t>
      </w:r>
      <w:r>
        <w:rPr>
          <w:rFonts w:ascii="Arial" w:hAnsi="Arial"/>
          <w:color w:val="231F20"/>
          <w:sz w:val="14"/>
        </w:rPr>
        <w:t>de</w:t>
      </w:r>
      <w:r>
        <w:rPr>
          <w:rFonts w:ascii="Arial" w:hAnsi="Arial"/>
          <w:color w:val="231F20"/>
          <w:spacing w:val="-9"/>
          <w:sz w:val="14"/>
        </w:rPr>
        <w:t> </w:t>
      </w:r>
      <w:r>
        <w:rPr>
          <w:rFonts w:ascii="Arial" w:hAnsi="Arial"/>
          <w:color w:val="231F20"/>
          <w:sz w:val="14"/>
        </w:rPr>
        <w:t>mon</w:t>
      </w:r>
      <w:r>
        <w:rPr>
          <w:rFonts w:ascii="Arial" w:hAnsi="Arial"/>
          <w:color w:val="231F20"/>
          <w:spacing w:val="-9"/>
          <w:sz w:val="14"/>
        </w:rPr>
        <w:t> </w:t>
      </w:r>
      <w:r>
        <w:rPr>
          <w:rFonts w:ascii="Arial" w:hAnsi="Arial"/>
          <w:color w:val="231F20"/>
          <w:sz w:val="14"/>
        </w:rPr>
        <w:t>travail.</w:t>
      </w:r>
    </w:p>
    <w:p>
      <w:pPr>
        <w:pStyle w:val="ListParagraph"/>
        <w:numPr>
          <w:ilvl w:val="3"/>
          <w:numId w:val="44"/>
        </w:numPr>
        <w:tabs>
          <w:tab w:pos="1460" w:val="left" w:leader="none"/>
        </w:tabs>
        <w:spacing w:line="268" w:lineRule="auto" w:before="60" w:after="0"/>
        <w:ind w:left="1459" w:right="447" w:hanging="240"/>
        <w:jc w:val="left"/>
        <w:rPr>
          <w:rFonts w:ascii="Arial" w:hAnsi="Arial"/>
          <w:sz w:val="14"/>
        </w:rPr>
      </w:pPr>
      <w:r>
        <w:rPr>
          <w:rFonts w:ascii="Arial" w:hAnsi="Arial"/>
          <w:color w:val="231F20"/>
          <w:sz w:val="14"/>
        </w:rPr>
        <w:t>Je</w:t>
      </w:r>
      <w:r>
        <w:rPr>
          <w:rFonts w:ascii="Arial" w:hAnsi="Arial"/>
          <w:color w:val="231F20"/>
          <w:spacing w:val="-4"/>
          <w:sz w:val="14"/>
        </w:rPr>
        <w:t> </w:t>
      </w:r>
      <w:r>
        <w:rPr>
          <w:rFonts w:ascii="Arial" w:hAnsi="Arial"/>
          <w:color w:val="231F20"/>
          <w:sz w:val="14"/>
        </w:rPr>
        <w:t>peux</w:t>
      </w:r>
      <w:r>
        <w:rPr>
          <w:rFonts w:ascii="Arial" w:hAnsi="Arial"/>
          <w:color w:val="231F20"/>
          <w:spacing w:val="-4"/>
          <w:sz w:val="14"/>
        </w:rPr>
        <w:t> </w:t>
      </w:r>
      <w:r>
        <w:rPr>
          <w:rFonts w:ascii="Arial" w:hAnsi="Arial"/>
          <w:color w:val="231F20"/>
          <w:sz w:val="14"/>
        </w:rPr>
        <w:t>contribuer</w:t>
      </w:r>
      <w:r>
        <w:rPr>
          <w:rFonts w:ascii="Arial" w:hAnsi="Arial"/>
          <w:color w:val="231F20"/>
          <w:spacing w:val="-4"/>
          <w:sz w:val="14"/>
        </w:rPr>
        <w:t> </w:t>
      </w:r>
      <w:r>
        <w:rPr>
          <w:rFonts w:ascii="Arial" w:hAnsi="Arial"/>
          <w:color w:val="231F20"/>
          <w:sz w:val="14"/>
        </w:rPr>
        <w:t>à</w:t>
      </w:r>
      <w:r>
        <w:rPr>
          <w:rFonts w:ascii="Arial" w:hAnsi="Arial"/>
          <w:color w:val="231F20"/>
          <w:spacing w:val="-4"/>
          <w:sz w:val="14"/>
        </w:rPr>
        <w:t> </w:t>
      </w:r>
      <w:r>
        <w:rPr>
          <w:rFonts w:ascii="Arial" w:hAnsi="Arial"/>
          <w:color w:val="231F20"/>
          <w:sz w:val="14"/>
        </w:rPr>
        <w:t>déterminer</w:t>
      </w:r>
      <w:r>
        <w:rPr>
          <w:rFonts w:ascii="Arial" w:hAnsi="Arial"/>
          <w:color w:val="231F20"/>
          <w:w w:val="105"/>
          <w:sz w:val="14"/>
        </w:rPr>
        <w:t> la vitesse de mon travail.</w:t>
      </w:r>
    </w:p>
    <w:p>
      <w:pPr>
        <w:pStyle w:val="ListParagraph"/>
        <w:numPr>
          <w:ilvl w:val="3"/>
          <w:numId w:val="44"/>
        </w:numPr>
        <w:tabs>
          <w:tab w:pos="1460" w:val="left" w:leader="none"/>
        </w:tabs>
        <w:spacing w:line="240" w:lineRule="auto" w:before="59" w:after="0"/>
        <w:ind w:left="1459" w:right="0" w:hanging="241"/>
        <w:jc w:val="left"/>
        <w:rPr>
          <w:rFonts w:ascii="Arial" w:hAnsi="Arial"/>
          <w:sz w:val="14"/>
        </w:rPr>
      </w:pPr>
      <w:r>
        <w:rPr>
          <w:rFonts w:ascii="Arial" w:hAnsi="Arial"/>
          <w:color w:val="231F20"/>
          <w:sz w:val="14"/>
        </w:rPr>
        <w:t>Mon</w:t>
      </w:r>
      <w:r>
        <w:rPr>
          <w:rFonts w:ascii="Arial" w:hAnsi="Arial"/>
          <w:color w:val="231F20"/>
          <w:spacing w:val="-8"/>
          <w:sz w:val="14"/>
        </w:rPr>
        <w:t> </w:t>
      </w:r>
      <w:r>
        <w:rPr>
          <w:rFonts w:ascii="Arial" w:hAnsi="Arial"/>
          <w:color w:val="231F20"/>
          <w:sz w:val="14"/>
        </w:rPr>
        <w:t>horaire</w:t>
      </w:r>
      <w:r>
        <w:rPr>
          <w:rFonts w:ascii="Arial" w:hAnsi="Arial"/>
          <w:color w:val="231F20"/>
          <w:spacing w:val="-8"/>
          <w:sz w:val="14"/>
        </w:rPr>
        <w:t> </w:t>
      </w:r>
      <w:r>
        <w:rPr>
          <w:rFonts w:ascii="Arial" w:hAnsi="Arial"/>
          <w:color w:val="231F20"/>
          <w:sz w:val="14"/>
        </w:rPr>
        <w:t>de</w:t>
      </w:r>
      <w:r>
        <w:rPr>
          <w:rFonts w:ascii="Arial" w:hAnsi="Arial"/>
          <w:color w:val="231F20"/>
          <w:spacing w:val="-8"/>
          <w:sz w:val="14"/>
        </w:rPr>
        <w:t> </w:t>
      </w:r>
      <w:r>
        <w:rPr>
          <w:rFonts w:ascii="Arial" w:hAnsi="Arial"/>
          <w:color w:val="231F20"/>
          <w:sz w:val="14"/>
        </w:rPr>
        <w:t>travail</w:t>
      </w:r>
      <w:r>
        <w:rPr>
          <w:rFonts w:ascii="Arial" w:hAnsi="Arial"/>
          <w:color w:val="231F20"/>
          <w:spacing w:val="-8"/>
          <w:sz w:val="14"/>
        </w:rPr>
        <w:t> </w:t>
      </w:r>
      <w:r>
        <w:rPr>
          <w:rFonts w:ascii="Arial" w:hAnsi="Arial"/>
          <w:color w:val="231F20"/>
          <w:sz w:val="14"/>
        </w:rPr>
        <w:t>peut</w:t>
      </w:r>
      <w:r>
        <w:rPr>
          <w:rFonts w:ascii="Arial" w:hAnsi="Arial"/>
          <w:color w:val="231F20"/>
          <w:spacing w:val="-8"/>
          <w:sz w:val="14"/>
        </w:rPr>
        <w:t> </w:t>
      </w:r>
      <w:r>
        <w:rPr>
          <w:rFonts w:ascii="Arial" w:hAnsi="Arial"/>
          <w:color w:val="231F20"/>
          <w:sz w:val="14"/>
        </w:rPr>
        <w:t>être</w:t>
      </w:r>
      <w:r>
        <w:rPr>
          <w:rFonts w:ascii="Arial" w:hAnsi="Arial"/>
          <w:color w:val="231F20"/>
          <w:spacing w:val="-8"/>
          <w:sz w:val="14"/>
        </w:rPr>
        <w:t> </w:t>
      </w:r>
      <w:r>
        <w:rPr>
          <w:rFonts w:ascii="Arial" w:hAnsi="Arial"/>
          <w:color w:val="231F20"/>
          <w:spacing w:val="-2"/>
          <w:sz w:val="14"/>
        </w:rPr>
        <w:t>flexible.</w:t>
      </w:r>
    </w:p>
    <w:p>
      <w:pPr>
        <w:pStyle w:val="ListParagraph"/>
        <w:numPr>
          <w:ilvl w:val="3"/>
          <w:numId w:val="44"/>
        </w:numPr>
        <w:tabs>
          <w:tab w:pos="1460" w:val="left" w:leader="none"/>
        </w:tabs>
        <w:spacing w:line="268" w:lineRule="auto" w:before="79" w:after="0"/>
        <w:ind w:left="1459" w:right="558" w:hanging="240"/>
        <w:jc w:val="left"/>
        <w:rPr>
          <w:rFonts w:ascii="Arial" w:hAnsi="Arial"/>
          <w:sz w:val="14"/>
        </w:rPr>
      </w:pPr>
      <w:r>
        <w:rPr>
          <w:rFonts w:ascii="Arial" w:hAnsi="Arial"/>
          <w:color w:val="231F20"/>
          <w:spacing w:val="-2"/>
          <w:sz w:val="14"/>
        </w:rPr>
        <w:t>Je</w:t>
      </w:r>
      <w:r>
        <w:rPr>
          <w:rFonts w:ascii="Arial" w:hAnsi="Arial"/>
          <w:color w:val="231F20"/>
          <w:spacing w:val="-8"/>
          <w:sz w:val="14"/>
        </w:rPr>
        <w:t> </w:t>
      </w:r>
      <w:r>
        <w:rPr>
          <w:rFonts w:ascii="Arial" w:hAnsi="Arial"/>
          <w:color w:val="231F20"/>
          <w:spacing w:val="-2"/>
          <w:sz w:val="14"/>
        </w:rPr>
        <w:t>peux</w:t>
      </w:r>
      <w:r>
        <w:rPr>
          <w:rFonts w:ascii="Arial" w:hAnsi="Arial"/>
          <w:color w:val="231F20"/>
          <w:spacing w:val="-8"/>
          <w:sz w:val="14"/>
        </w:rPr>
        <w:t> </w:t>
      </w:r>
      <w:r>
        <w:rPr>
          <w:rFonts w:ascii="Arial" w:hAnsi="Arial"/>
          <w:color w:val="231F20"/>
          <w:spacing w:val="-2"/>
          <w:sz w:val="14"/>
        </w:rPr>
        <w:t>décider</w:t>
      </w:r>
      <w:r>
        <w:rPr>
          <w:rFonts w:ascii="Arial" w:hAnsi="Arial"/>
          <w:color w:val="231F20"/>
          <w:spacing w:val="-8"/>
          <w:sz w:val="14"/>
        </w:rPr>
        <w:t> </w:t>
      </w:r>
      <w:r>
        <w:rPr>
          <w:rFonts w:ascii="Arial" w:hAnsi="Arial"/>
          <w:color w:val="231F20"/>
          <w:spacing w:val="-2"/>
          <w:sz w:val="14"/>
        </w:rPr>
        <w:t>quand</w:t>
      </w:r>
      <w:r>
        <w:rPr>
          <w:rFonts w:ascii="Arial" w:hAnsi="Arial"/>
          <w:color w:val="231F20"/>
          <w:spacing w:val="-7"/>
          <w:sz w:val="14"/>
        </w:rPr>
        <w:t> </w:t>
      </w:r>
      <w:r>
        <w:rPr>
          <w:rFonts w:ascii="Arial" w:hAnsi="Arial"/>
          <w:color w:val="231F20"/>
          <w:spacing w:val="-2"/>
          <w:sz w:val="14"/>
        </w:rPr>
        <w:t>prendre</w:t>
      </w:r>
      <w:r>
        <w:rPr>
          <w:rFonts w:ascii="Arial" w:hAnsi="Arial"/>
          <w:color w:val="231F20"/>
          <w:spacing w:val="40"/>
          <w:sz w:val="14"/>
        </w:rPr>
        <w:t> </w:t>
      </w:r>
      <w:r>
        <w:rPr>
          <w:rFonts w:ascii="Arial" w:hAnsi="Arial"/>
          <w:color w:val="231F20"/>
          <w:sz w:val="14"/>
        </w:rPr>
        <w:t>une</w:t>
      </w:r>
      <w:r>
        <w:rPr>
          <w:rFonts w:ascii="Arial" w:hAnsi="Arial"/>
          <w:color w:val="231F20"/>
          <w:spacing w:val="-10"/>
          <w:sz w:val="14"/>
        </w:rPr>
        <w:t> </w:t>
      </w:r>
      <w:r>
        <w:rPr>
          <w:rFonts w:ascii="Arial" w:hAnsi="Arial"/>
          <w:color w:val="231F20"/>
          <w:sz w:val="14"/>
        </w:rPr>
        <w:t>pause.</w:t>
      </w:r>
    </w:p>
    <w:p>
      <w:pPr>
        <w:pStyle w:val="ListParagraph"/>
        <w:numPr>
          <w:ilvl w:val="3"/>
          <w:numId w:val="44"/>
        </w:numPr>
        <w:tabs>
          <w:tab w:pos="1460" w:val="left" w:leader="none"/>
        </w:tabs>
        <w:spacing w:line="240" w:lineRule="auto" w:before="59" w:after="0"/>
        <w:ind w:left="1459" w:right="0" w:hanging="241"/>
        <w:jc w:val="left"/>
        <w:rPr>
          <w:rFonts w:ascii="Arial"/>
          <w:sz w:val="14"/>
        </w:rPr>
      </w:pPr>
      <w:r>
        <w:rPr>
          <w:rFonts w:ascii="Arial"/>
          <w:color w:val="231F20"/>
          <w:sz w:val="14"/>
        </w:rPr>
        <w:t>Je</w:t>
      </w:r>
      <w:r>
        <w:rPr>
          <w:rFonts w:ascii="Arial"/>
          <w:color w:val="231F20"/>
          <w:spacing w:val="-8"/>
          <w:sz w:val="14"/>
        </w:rPr>
        <w:t> </w:t>
      </w:r>
      <w:r>
        <w:rPr>
          <w:rFonts w:ascii="Arial"/>
          <w:color w:val="231F20"/>
          <w:sz w:val="14"/>
        </w:rPr>
        <w:t>peux</w:t>
      </w:r>
      <w:r>
        <w:rPr>
          <w:rFonts w:ascii="Arial"/>
          <w:color w:val="231F20"/>
          <w:spacing w:val="-8"/>
          <w:sz w:val="14"/>
        </w:rPr>
        <w:t> </w:t>
      </w:r>
      <w:r>
        <w:rPr>
          <w:rFonts w:ascii="Arial"/>
          <w:color w:val="231F20"/>
          <w:sz w:val="14"/>
        </w:rPr>
        <w:t>choisir</w:t>
      </w:r>
      <w:r>
        <w:rPr>
          <w:rFonts w:ascii="Arial"/>
          <w:color w:val="231F20"/>
          <w:spacing w:val="-8"/>
          <w:sz w:val="14"/>
        </w:rPr>
        <w:t> </w:t>
      </w:r>
      <w:r>
        <w:rPr>
          <w:rFonts w:ascii="Arial"/>
          <w:color w:val="231F20"/>
          <w:sz w:val="14"/>
        </w:rPr>
        <w:t>avec</w:t>
      </w:r>
      <w:r>
        <w:rPr>
          <w:rFonts w:ascii="Arial"/>
          <w:color w:val="231F20"/>
          <w:spacing w:val="-8"/>
          <w:sz w:val="14"/>
        </w:rPr>
        <w:t> </w:t>
      </w:r>
      <w:r>
        <w:rPr>
          <w:rFonts w:ascii="Arial"/>
          <w:color w:val="231F20"/>
          <w:sz w:val="14"/>
        </w:rPr>
        <w:t>qui</w:t>
      </w:r>
      <w:r>
        <w:rPr>
          <w:rFonts w:ascii="Arial"/>
          <w:color w:val="231F20"/>
          <w:spacing w:val="-7"/>
          <w:sz w:val="14"/>
        </w:rPr>
        <w:t> </w:t>
      </w:r>
      <w:r>
        <w:rPr>
          <w:rFonts w:ascii="Arial"/>
          <w:color w:val="231F20"/>
          <w:sz w:val="14"/>
        </w:rPr>
        <w:t>je</w:t>
      </w:r>
      <w:r>
        <w:rPr>
          <w:rFonts w:ascii="Arial"/>
          <w:color w:val="231F20"/>
          <w:spacing w:val="-8"/>
          <w:sz w:val="14"/>
        </w:rPr>
        <w:t> </w:t>
      </w:r>
      <w:r>
        <w:rPr>
          <w:rFonts w:ascii="Arial"/>
          <w:color w:val="231F20"/>
          <w:spacing w:val="-2"/>
          <w:sz w:val="14"/>
        </w:rPr>
        <w:t>travaille.</w:t>
      </w:r>
    </w:p>
    <w:p>
      <w:pPr>
        <w:pStyle w:val="ListParagraph"/>
        <w:numPr>
          <w:ilvl w:val="3"/>
          <w:numId w:val="44"/>
        </w:numPr>
        <w:tabs>
          <w:tab w:pos="1460" w:val="left" w:leader="none"/>
        </w:tabs>
        <w:spacing w:line="268" w:lineRule="auto" w:before="79" w:after="0"/>
        <w:ind w:left="1459" w:right="686" w:hanging="240"/>
        <w:jc w:val="left"/>
        <w:rPr>
          <w:rFonts w:ascii="Arial" w:hAnsi="Arial"/>
          <w:sz w:val="14"/>
        </w:rPr>
      </w:pPr>
      <w:r>
        <w:rPr>
          <w:rFonts w:ascii="Arial" w:hAnsi="Arial"/>
          <w:color w:val="231F20"/>
          <w:spacing w:val="-2"/>
          <w:w w:val="105"/>
          <w:sz w:val="14"/>
        </w:rPr>
        <w:t>Au</w:t>
      </w:r>
      <w:r>
        <w:rPr>
          <w:rFonts w:ascii="Arial" w:hAnsi="Arial"/>
          <w:color w:val="231F20"/>
          <w:spacing w:val="-9"/>
          <w:w w:val="105"/>
          <w:sz w:val="14"/>
        </w:rPr>
        <w:t> </w:t>
      </w:r>
      <w:r>
        <w:rPr>
          <w:rFonts w:ascii="Arial" w:hAnsi="Arial"/>
          <w:color w:val="231F20"/>
          <w:spacing w:val="-2"/>
          <w:w w:val="105"/>
          <w:sz w:val="14"/>
        </w:rPr>
        <w:t>travail,</w:t>
      </w:r>
      <w:r>
        <w:rPr>
          <w:rFonts w:ascii="Arial" w:hAnsi="Arial"/>
          <w:color w:val="231F20"/>
          <w:spacing w:val="-8"/>
          <w:w w:val="105"/>
          <w:sz w:val="14"/>
        </w:rPr>
        <w:t> </w:t>
      </w:r>
      <w:r>
        <w:rPr>
          <w:rFonts w:ascii="Arial" w:hAnsi="Arial"/>
          <w:color w:val="231F20"/>
          <w:spacing w:val="-2"/>
          <w:w w:val="105"/>
          <w:sz w:val="14"/>
        </w:rPr>
        <w:t>je</w:t>
      </w:r>
      <w:r>
        <w:rPr>
          <w:rFonts w:ascii="Arial" w:hAnsi="Arial"/>
          <w:color w:val="231F20"/>
          <w:spacing w:val="-8"/>
          <w:w w:val="105"/>
          <w:sz w:val="14"/>
        </w:rPr>
        <w:t> </w:t>
      </w:r>
      <w:r>
        <w:rPr>
          <w:rFonts w:ascii="Arial" w:hAnsi="Arial"/>
          <w:color w:val="231F20"/>
          <w:spacing w:val="-2"/>
          <w:w w:val="105"/>
          <w:sz w:val="14"/>
        </w:rPr>
        <w:t>peux</w:t>
      </w:r>
      <w:r>
        <w:rPr>
          <w:rFonts w:ascii="Arial" w:hAnsi="Arial"/>
          <w:color w:val="231F20"/>
          <w:spacing w:val="-8"/>
          <w:w w:val="105"/>
          <w:sz w:val="14"/>
        </w:rPr>
        <w:t> </w:t>
      </w:r>
      <w:r>
        <w:rPr>
          <w:rFonts w:ascii="Arial" w:hAnsi="Arial"/>
          <w:color w:val="231F20"/>
          <w:spacing w:val="-2"/>
          <w:w w:val="105"/>
          <w:sz w:val="14"/>
        </w:rPr>
        <w:t>participer</w:t>
      </w:r>
      <w:r>
        <w:rPr>
          <w:rFonts w:ascii="Arial" w:hAnsi="Arial"/>
          <w:color w:val="231F20"/>
          <w:w w:val="105"/>
          <w:sz w:val="14"/>
        </w:rPr>
        <w:t> à la planification.</w:t>
      </w:r>
    </w:p>
    <w:p>
      <w:pPr>
        <w:spacing w:before="60"/>
        <w:ind w:left="1219" w:right="0" w:firstLine="0"/>
        <w:jc w:val="left"/>
        <w:rPr>
          <w:rFonts w:ascii="Arial" w:hAnsi="Arial"/>
          <w:b/>
          <w:sz w:val="14"/>
        </w:rPr>
      </w:pPr>
      <w:r>
        <w:rPr>
          <w:rFonts w:ascii="Arial" w:hAnsi="Arial"/>
          <w:b/>
          <w:color w:val="231F20"/>
          <w:w w:val="90"/>
          <w:sz w:val="14"/>
        </w:rPr>
        <w:t>TOTAL</w:t>
      </w:r>
      <w:r>
        <w:rPr>
          <w:rFonts w:ascii="Arial" w:hAnsi="Arial"/>
          <w:b/>
          <w:color w:val="231F20"/>
          <w:spacing w:val="-3"/>
          <w:sz w:val="14"/>
        </w:rPr>
        <w:t> </w:t>
      </w:r>
      <w:r>
        <w:rPr>
          <w:rFonts w:ascii="Arial" w:hAnsi="Arial"/>
          <w:b/>
          <w:color w:val="231F20"/>
          <w:w w:val="90"/>
          <w:sz w:val="14"/>
        </w:rPr>
        <w:t>questions</w:t>
      </w:r>
      <w:r>
        <w:rPr>
          <w:rFonts w:ascii="Arial" w:hAnsi="Arial"/>
          <w:b/>
          <w:color w:val="231F20"/>
          <w:spacing w:val="-3"/>
          <w:sz w:val="14"/>
        </w:rPr>
        <w:t> </w:t>
      </w:r>
      <w:r>
        <w:rPr>
          <w:rFonts w:ascii="Arial" w:hAnsi="Arial"/>
          <w:b/>
          <w:color w:val="231F20"/>
          <w:w w:val="90"/>
          <w:sz w:val="14"/>
        </w:rPr>
        <w:t>1</w:t>
      </w:r>
      <w:r>
        <w:rPr>
          <w:rFonts w:ascii="Arial" w:hAnsi="Arial"/>
          <w:b/>
          <w:color w:val="231F20"/>
          <w:spacing w:val="-3"/>
          <w:sz w:val="14"/>
        </w:rPr>
        <w:t> </w:t>
      </w:r>
      <w:r>
        <w:rPr>
          <w:rFonts w:ascii="Arial" w:hAnsi="Arial"/>
          <w:b/>
          <w:color w:val="231F20"/>
          <w:w w:val="90"/>
          <w:sz w:val="14"/>
        </w:rPr>
        <w:t>à</w:t>
      </w:r>
      <w:r>
        <w:rPr>
          <w:rFonts w:ascii="Arial" w:hAnsi="Arial"/>
          <w:b/>
          <w:color w:val="231F20"/>
          <w:spacing w:val="-2"/>
          <w:sz w:val="14"/>
        </w:rPr>
        <w:t> </w:t>
      </w:r>
      <w:r>
        <w:rPr>
          <w:rFonts w:ascii="Arial" w:hAnsi="Arial"/>
          <w:b/>
          <w:color w:val="231F20"/>
          <w:w w:val="90"/>
          <w:sz w:val="14"/>
        </w:rPr>
        <w:t>9</w:t>
      </w:r>
      <w:r>
        <w:rPr>
          <w:rFonts w:ascii="Arial" w:hAnsi="Arial"/>
          <w:b/>
          <w:color w:val="231F20"/>
          <w:spacing w:val="-3"/>
          <w:sz w:val="14"/>
        </w:rPr>
        <w:t> </w:t>
      </w:r>
      <w:r>
        <w:rPr>
          <w:rFonts w:ascii="Arial" w:hAnsi="Arial"/>
          <w:b/>
          <w:color w:val="231F20"/>
          <w:spacing w:val="-2"/>
          <w:w w:val="90"/>
          <w:sz w:val="14"/>
        </w:rPr>
        <w:t>_______</w:t>
      </w:r>
    </w:p>
    <w:p>
      <w:pPr>
        <w:pStyle w:val="ListParagraph"/>
        <w:numPr>
          <w:ilvl w:val="3"/>
          <w:numId w:val="44"/>
        </w:numPr>
        <w:tabs>
          <w:tab w:pos="528" w:val="left" w:leader="none"/>
        </w:tabs>
        <w:spacing w:line="240" w:lineRule="auto" w:before="170" w:after="0"/>
        <w:ind w:left="527" w:right="0" w:hanging="301"/>
        <w:jc w:val="left"/>
        <w:rPr>
          <w:rFonts w:ascii="Arial" w:hAnsi="Arial"/>
          <w:sz w:val="14"/>
        </w:rPr>
      </w:pPr>
      <w:r>
        <w:rPr>
          <w:rFonts w:ascii="Arial" w:hAnsi="Arial"/>
          <w:color w:val="231F20"/>
          <w:w w:val="98"/>
          <w:sz w:val="14"/>
        </w:rPr>
        <w:br w:type="column"/>
      </w:r>
      <w:r>
        <w:rPr>
          <w:rFonts w:ascii="Arial" w:hAnsi="Arial"/>
          <w:color w:val="231F20"/>
          <w:sz w:val="14"/>
        </w:rPr>
        <w:t>J’ai</w:t>
      </w:r>
      <w:r>
        <w:rPr>
          <w:rFonts w:ascii="Arial" w:hAnsi="Arial"/>
          <w:color w:val="231F20"/>
          <w:spacing w:val="-9"/>
          <w:sz w:val="14"/>
        </w:rPr>
        <w:t> </w:t>
      </w:r>
      <w:r>
        <w:rPr>
          <w:rFonts w:ascii="Arial" w:hAnsi="Arial"/>
          <w:color w:val="231F20"/>
          <w:sz w:val="14"/>
        </w:rPr>
        <w:t>différentes</w:t>
      </w:r>
      <w:r>
        <w:rPr>
          <w:rFonts w:ascii="Arial" w:hAnsi="Arial"/>
          <w:color w:val="231F20"/>
          <w:spacing w:val="-9"/>
          <w:sz w:val="14"/>
        </w:rPr>
        <w:t> </w:t>
      </w:r>
      <w:r>
        <w:rPr>
          <w:rFonts w:ascii="Arial" w:hAnsi="Arial"/>
          <w:color w:val="231F20"/>
          <w:sz w:val="14"/>
        </w:rPr>
        <w:t>choses</w:t>
      </w:r>
      <w:r>
        <w:rPr>
          <w:rFonts w:ascii="Arial" w:hAnsi="Arial"/>
          <w:color w:val="231F20"/>
          <w:spacing w:val="-8"/>
          <w:sz w:val="14"/>
        </w:rPr>
        <w:t> </w:t>
      </w:r>
      <w:r>
        <w:rPr>
          <w:rFonts w:ascii="Arial" w:hAnsi="Arial"/>
          <w:color w:val="231F20"/>
          <w:sz w:val="14"/>
        </w:rPr>
        <w:t>à</w:t>
      </w:r>
      <w:r>
        <w:rPr>
          <w:rFonts w:ascii="Arial" w:hAnsi="Arial"/>
          <w:color w:val="231F20"/>
          <w:spacing w:val="-9"/>
          <w:sz w:val="14"/>
        </w:rPr>
        <w:t> </w:t>
      </w:r>
      <w:r>
        <w:rPr>
          <w:rFonts w:ascii="Arial" w:hAnsi="Arial"/>
          <w:color w:val="231F20"/>
          <w:spacing w:val="-2"/>
          <w:sz w:val="14"/>
        </w:rPr>
        <w:t>faire.</w:t>
      </w:r>
    </w:p>
    <w:p>
      <w:pPr>
        <w:pStyle w:val="ListParagraph"/>
        <w:numPr>
          <w:ilvl w:val="3"/>
          <w:numId w:val="44"/>
        </w:numPr>
        <w:tabs>
          <w:tab w:pos="528" w:val="left" w:leader="none"/>
        </w:tabs>
        <w:spacing w:line="268" w:lineRule="auto" w:before="79" w:after="0"/>
        <w:ind w:left="527" w:right="476" w:hanging="301"/>
        <w:jc w:val="left"/>
        <w:rPr>
          <w:rFonts w:ascii="Arial" w:hAnsi="Arial"/>
          <w:sz w:val="14"/>
        </w:rPr>
      </w:pPr>
      <w:r>
        <w:rPr>
          <w:rFonts w:ascii="Arial" w:hAnsi="Arial"/>
          <w:color w:val="231F20"/>
          <w:sz w:val="14"/>
        </w:rPr>
        <w:t>Mon</w:t>
      </w:r>
      <w:r>
        <w:rPr>
          <w:rFonts w:ascii="Arial" w:hAnsi="Arial"/>
          <w:color w:val="231F20"/>
          <w:spacing w:val="-3"/>
          <w:sz w:val="14"/>
        </w:rPr>
        <w:t> </w:t>
      </w:r>
      <w:r>
        <w:rPr>
          <w:rFonts w:ascii="Arial" w:hAnsi="Arial"/>
          <w:color w:val="231F20"/>
          <w:sz w:val="14"/>
        </w:rPr>
        <w:t>emploi</w:t>
      </w:r>
      <w:r>
        <w:rPr>
          <w:rFonts w:ascii="Arial" w:hAnsi="Arial"/>
          <w:color w:val="231F20"/>
          <w:spacing w:val="-3"/>
          <w:sz w:val="14"/>
        </w:rPr>
        <w:t> </w:t>
      </w:r>
      <w:r>
        <w:rPr>
          <w:rFonts w:ascii="Arial" w:hAnsi="Arial"/>
          <w:color w:val="231F20"/>
          <w:sz w:val="14"/>
        </w:rPr>
        <w:t>me</w:t>
      </w:r>
      <w:r>
        <w:rPr>
          <w:rFonts w:ascii="Arial" w:hAnsi="Arial"/>
          <w:color w:val="231F20"/>
          <w:spacing w:val="-3"/>
          <w:sz w:val="14"/>
        </w:rPr>
        <w:t> </w:t>
      </w:r>
      <w:r>
        <w:rPr>
          <w:rFonts w:ascii="Arial" w:hAnsi="Arial"/>
          <w:color w:val="231F20"/>
          <w:sz w:val="14"/>
        </w:rPr>
        <w:t>donne</w:t>
      </w:r>
      <w:r>
        <w:rPr>
          <w:rFonts w:ascii="Arial" w:hAnsi="Arial"/>
          <w:color w:val="231F20"/>
          <w:spacing w:val="-3"/>
          <w:sz w:val="14"/>
        </w:rPr>
        <w:t> </w:t>
      </w:r>
      <w:r>
        <w:rPr>
          <w:rFonts w:ascii="Arial" w:hAnsi="Arial"/>
          <w:color w:val="231F20"/>
          <w:sz w:val="14"/>
        </w:rPr>
        <w:t>un</w:t>
      </w:r>
      <w:r>
        <w:rPr>
          <w:rFonts w:ascii="Arial" w:hAnsi="Arial"/>
          <w:color w:val="231F20"/>
          <w:spacing w:val="-3"/>
          <w:sz w:val="14"/>
        </w:rPr>
        <w:t> </w:t>
      </w:r>
      <w:r>
        <w:rPr>
          <w:rFonts w:ascii="Arial" w:hAnsi="Arial"/>
          <w:color w:val="231F20"/>
          <w:sz w:val="14"/>
        </w:rPr>
        <w:t>éventail</w:t>
      </w:r>
      <w:r>
        <w:rPr>
          <w:rFonts w:ascii="Arial" w:hAnsi="Arial"/>
          <w:color w:val="231F20"/>
          <w:spacing w:val="40"/>
          <w:sz w:val="14"/>
        </w:rPr>
        <w:t> </w:t>
      </w:r>
      <w:r>
        <w:rPr>
          <w:rFonts w:ascii="Arial" w:hAnsi="Arial"/>
          <w:color w:val="231F20"/>
          <w:sz w:val="14"/>
        </w:rPr>
        <w:t>de choses intéressantes à faire.</w:t>
      </w:r>
    </w:p>
    <w:p>
      <w:pPr>
        <w:pStyle w:val="ListParagraph"/>
        <w:numPr>
          <w:ilvl w:val="3"/>
          <w:numId w:val="44"/>
        </w:numPr>
        <w:tabs>
          <w:tab w:pos="528" w:val="left" w:leader="none"/>
        </w:tabs>
        <w:spacing w:line="240" w:lineRule="auto" w:before="60" w:after="0"/>
        <w:ind w:left="527" w:right="0" w:hanging="301"/>
        <w:jc w:val="left"/>
        <w:rPr>
          <w:rFonts w:ascii="Arial"/>
          <w:sz w:val="14"/>
        </w:rPr>
      </w:pPr>
      <w:r>
        <w:rPr>
          <w:rFonts w:ascii="Arial"/>
          <w:color w:val="231F20"/>
          <w:sz w:val="14"/>
        </w:rPr>
        <w:t>Mon</w:t>
      </w:r>
      <w:r>
        <w:rPr>
          <w:rFonts w:ascii="Arial"/>
          <w:color w:val="231F20"/>
          <w:spacing w:val="2"/>
          <w:sz w:val="14"/>
        </w:rPr>
        <w:t> </w:t>
      </w:r>
      <w:r>
        <w:rPr>
          <w:rFonts w:ascii="Arial"/>
          <w:color w:val="231F20"/>
          <w:sz w:val="14"/>
        </w:rPr>
        <w:t>emploi</w:t>
      </w:r>
      <w:r>
        <w:rPr>
          <w:rFonts w:ascii="Arial"/>
          <w:color w:val="231F20"/>
          <w:spacing w:val="3"/>
          <w:sz w:val="14"/>
        </w:rPr>
        <w:t> </w:t>
      </w:r>
      <w:r>
        <w:rPr>
          <w:rFonts w:ascii="Arial"/>
          <w:color w:val="231F20"/>
          <w:sz w:val="14"/>
        </w:rPr>
        <w:t>est</w:t>
      </w:r>
      <w:r>
        <w:rPr>
          <w:rFonts w:ascii="Arial"/>
          <w:color w:val="231F20"/>
          <w:spacing w:val="2"/>
          <w:sz w:val="14"/>
        </w:rPr>
        <w:t> </w:t>
      </w:r>
      <w:r>
        <w:rPr>
          <w:rFonts w:ascii="Arial"/>
          <w:color w:val="231F20"/>
          <w:spacing w:val="-2"/>
          <w:sz w:val="14"/>
        </w:rPr>
        <w:t>amusant.</w:t>
      </w:r>
    </w:p>
    <w:p>
      <w:pPr>
        <w:pStyle w:val="ListParagraph"/>
        <w:numPr>
          <w:ilvl w:val="3"/>
          <w:numId w:val="44"/>
        </w:numPr>
        <w:tabs>
          <w:tab w:pos="528" w:val="left" w:leader="none"/>
        </w:tabs>
        <w:spacing w:line="268" w:lineRule="auto" w:before="79" w:after="0"/>
        <w:ind w:left="527" w:right="981" w:hanging="301"/>
        <w:jc w:val="left"/>
        <w:rPr>
          <w:rFonts w:ascii="Arial"/>
          <w:sz w:val="14"/>
        </w:rPr>
      </w:pPr>
      <w:r>
        <w:rPr>
          <w:rFonts w:ascii="Arial"/>
          <w:color w:val="231F20"/>
          <w:sz w:val="14"/>
        </w:rPr>
        <w:t>Je</w:t>
      </w:r>
      <w:r>
        <w:rPr>
          <w:rFonts w:ascii="Arial"/>
          <w:color w:val="231F20"/>
          <w:spacing w:val="-10"/>
          <w:sz w:val="14"/>
        </w:rPr>
        <w:t> </w:t>
      </w:r>
      <w:r>
        <w:rPr>
          <w:rFonts w:ascii="Arial"/>
          <w:color w:val="231F20"/>
          <w:sz w:val="14"/>
        </w:rPr>
        <w:t>peux</w:t>
      </w:r>
      <w:r>
        <w:rPr>
          <w:rFonts w:ascii="Arial"/>
          <w:color w:val="231F20"/>
          <w:spacing w:val="-10"/>
          <w:sz w:val="14"/>
        </w:rPr>
        <w:t> </w:t>
      </w:r>
      <w:r>
        <w:rPr>
          <w:rFonts w:ascii="Arial"/>
          <w:color w:val="231F20"/>
          <w:sz w:val="14"/>
        </w:rPr>
        <w:t>faire</w:t>
      </w:r>
      <w:r>
        <w:rPr>
          <w:rFonts w:ascii="Arial"/>
          <w:color w:val="231F20"/>
          <w:spacing w:val="-10"/>
          <w:sz w:val="14"/>
        </w:rPr>
        <w:t> </w:t>
      </w:r>
      <w:r>
        <w:rPr>
          <w:rFonts w:ascii="Arial"/>
          <w:color w:val="231F20"/>
          <w:sz w:val="14"/>
        </w:rPr>
        <w:t>de</w:t>
      </w:r>
      <w:r>
        <w:rPr>
          <w:rFonts w:ascii="Arial"/>
          <w:color w:val="231F20"/>
          <w:spacing w:val="-9"/>
          <w:sz w:val="14"/>
        </w:rPr>
        <w:t> </w:t>
      </w:r>
      <w:r>
        <w:rPr>
          <w:rFonts w:ascii="Arial"/>
          <w:color w:val="231F20"/>
          <w:sz w:val="14"/>
        </w:rPr>
        <w:t>nouveaux</w:t>
      </w:r>
      <w:r>
        <w:rPr>
          <w:rFonts w:ascii="Arial"/>
          <w:color w:val="231F20"/>
          <w:spacing w:val="40"/>
          <w:sz w:val="14"/>
        </w:rPr>
        <w:t> </w:t>
      </w:r>
      <w:r>
        <w:rPr>
          <w:rFonts w:ascii="Arial"/>
          <w:color w:val="231F20"/>
          <w:w w:val="95"/>
          <w:sz w:val="14"/>
        </w:rPr>
        <w:t>apprentissages</w:t>
      </w:r>
      <w:r>
        <w:rPr>
          <w:rFonts w:ascii="Arial"/>
          <w:color w:val="231F20"/>
          <w:spacing w:val="10"/>
          <w:sz w:val="14"/>
        </w:rPr>
        <w:t> </w:t>
      </w:r>
      <w:r>
        <w:rPr>
          <w:rFonts w:ascii="Arial"/>
          <w:color w:val="231F20"/>
          <w:w w:val="95"/>
          <w:sz w:val="14"/>
        </w:rPr>
        <w:t>au</w:t>
      </w:r>
      <w:r>
        <w:rPr>
          <w:rFonts w:ascii="Arial"/>
          <w:color w:val="231F20"/>
          <w:spacing w:val="10"/>
          <w:sz w:val="14"/>
        </w:rPr>
        <w:t> </w:t>
      </w:r>
      <w:r>
        <w:rPr>
          <w:rFonts w:ascii="Arial"/>
          <w:color w:val="231F20"/>
          <w:spacing w:val="-2"/>
          <w:w w:val="95"/>
          <w:sz w:val="14"/>
        </w:rPr>
        <w:t>travail.</w:t>
      </w:r>
    </w:p>
    <w:p>
      <w:pPr>
        <w:pStyle w:val="ListParagraph"/>
        <w:numPr>
          <w:ilvl w:val="3"/>
          <w:numId w:val="44"/>
        </w:numPr>
        <w:tabs>
          <w:tab w:pos="528" w:val="left" w:leader="none"/>
        </w:tabs>
        <w:spacing w:line="240" w:lineRule="auto" w:before="59" w:after="0"/>
        <w:ind w:left="527" w:right="0" w:hanging="301"/>
        <w:jc w:val="left"/>
        <w:rPr>
          <w:rFonts w:ascii="Arial"/>
          <w:sz w:val="14"/>
        </w:rPr>
      </w:pPr>
      <w:r>
        <w:rPr>
          <w:rFonts w:ascii="Arial"/>
          <w:color w:val="231F20"/>
          <w:sz w:val="14"/>
        </w:rPr>
        <w:t>Mon</w:t>
      </w:r>
      <w:r>
        <w:rPr>
          <w:rFonts w:ascii="Arial"/>
          <w:color w:val="231F20"/>
          <w:spacing w:val="1"/>
          <w:sz w:val="14"/>
        </w:rPr>
        <w:t> </w:t>
      </w:r>
      <w:r>
        <w:rPr>
          <w:rFonts w:ascii="Arial"/>
          <w:color w:val="231F20"/>
          <w:sz w:val="14"/>
        </w:rPr>
        <w:t>emploi</w:t>
      </w:r>
      <w:r>
        <w:rPr>
          <w:rFonts w:ascii="Arial"/>
          <w:color w:val="231F20"/>
          <w:spacing w:val="1"/>
          <w:sz w:val="14"/>
        </w:rPr>
        <w:t> </w:t>
      </w:r>
      <w:r>
        <w:rPr>
          <w:rFonts w:ascii="Arial"/>
          <w:color w:val="231F20"/>
          <w:sz w:val="14"/>
        </w:rPr>
        <w:t>exige</w:t>
      </w:r>
      <w:r>
        <w:rPr>
          <w:rFonts w:ascii="Arial"/>
          <w:color w:val="231F20"/>
          <w:spacing w:val="1"/>
          <w:sz w:val="14"/>
        </w:rPr>
        <w:t> </w:t>
      </w:r>
      <w:r>
        <w:rPr>
          <w:rFonts w:ascii="Arial"/>
          <w:color w:val="231F20"/>
          <w:spacing w:val="-2"/>
          <w:sz w:val="14"/>
        </w:rPr>
        <w:t>beaucoup</w:t>
      </w:r>
    </w:p>
    <w:p>
      <w:pPr>
        <w:spacing w:before="19"/>
        <w:ind w:left="527" w:right="0" w:firstLine="0"/>
        <w:jc w:val="left"/>
        <w:rPr>
          <w:rFonts w:ascii="Arial" w:hAnsi="Arial"/>
          <w:sz w:val="14"/>
        </w:rPr>
      </w:pPr>
      <w:r>
        <w:rPr>
          <w:rFonts w:ascii="Arial" w:hAnsi="Arial"/>
          <w:color w:val="231F20"/>
          <w:sz w:val="14"/>
        </w:rPr>
        <w:t>de</w:t>
      </w:r>
      <w:r>
        <w:rPr>
          <w:rFonts w:ascii="Arial" w:hAnsi="Arial"/>
          <w:color w:val="231F20"/>
          <w:spacing w:val="-3"/>
          <w:sz w:val="14"/>
        </w:rPr>
        <w:t> </w:t>
      </w:r>
      <w:r>
        <w:rPr>
          <w:rFonts w:ascii="Arial" w:hAnsi="Arial"/>
          <w:color w:val="231F20"/>
          <w:sz w:val="14"/>
        </w:rPr>
        <w:t>compétences</w:t>
      </w:r>
      <w:r>
        <w:rPr>
          <w:rFonts w:ascii="Arial" w:hAnsi="Arial"/>
          <w:color w:val="231F20"/>
          <w:spacing w:val="-2"/>
          <w:sz w:val="14"/>
        </w:rPr>
        <w:t> </w:t>
      </w:r>
      <w:r>
        <w:rPr>
          <w:rFonts w:ascii="Arial" w:hAnsi="Arial"/>
          <w:color w:val="231F20"/>
          <w:sz w:val="14"/>
        </w:rPr>
        <w:t>et</w:t>
      </w:r>
      <w:r>
        <w:rPr>
          <w:rFonts w:ascii="Arial" w:hAnsi="Arial"/>
          <w:color w:val="231F20"/>
          <w:spacing w:val="-2"/>
          <w:sz w:val="14"/>
        </w:rPr>
        <w:t> d’expérience.</w:t>
      </w:r>
    </w:p>
    <w:p>
      <w:pPr>
        <w:pStyle w:val="ListParagraph"/>
        <w:numPr>
          <w:ilvl w:val="3"/>
          <w:numId w:val="44"/>
        </w:numPr>
        <w:tabs>
          <w:tab w:pos="528" w:val="left" w:leader="none"/>
        </w:tabs>
        <w:spacing w:line="268" w:lineRule="auto" w:before="79" w:after="0"/>
        <w:ind w:left="527" w:right="659" w:hanging="301"/>
        <w:jc w:val="left"/>
        <w:rPr>
          <w:rFonts w:ascii="Arial" w:hAnsi="Arial"/>
          <w:sz w:val="14"/>
        </w:rPr>
      </w:pPr>
      <w:r>
        <w:rPr>
          <w:rFonts w:ascii="Arial" w:hAnsi="Arial"/>
          <w:color w:val="231F20"/>
          <w:sz w:val="14"/>
        </w:rPr>
        <w:t>Mon</w:t>
      </w:r>
      <w:r>
        <w:rPr>
          <w:rFonts w:ascii="Arial" w:hAnsi="Arial"/>
          <w:color w:val="231F20"/>
          <w:spacing w:val="-5"/>
          <w:sz w:val="14"/>
        </w:rPr>
        <w:t> </w:t>
      </w:r>
      <w:r>
        <w:rPr>
          <w:rFonts w:ascii="Arial" w:hAnsi="Arial"/>
          <w:color w:val="231F20"/>
          <w:sz w:val="14"/>
        </w:rPr>
        <w:t>emploi</w:t>
      </w:r>
      <w:r>
        <w:rPr>
          <w:rFonts w:ascii="Arial" w:hAnsi="Arial"/>
          <w:color w:val="231F20"/>
          <w:spacing w:val="-5"/>
          <w:sz w:val="14"/>
        </w:rPr>
        <w:t> </w:t>
      </w:r>
      <w:r>
        <w:rPr>
          <w:rFonts w:ascii="Arial" w:hAnsi="Arial"/>
          <w:color w:val="231F20"/>
          <w:sz w:val="14"/>
        </w:rPr>
        <w:t>m’oblige</w:t>
      </w:r>
      <w:r>
        <w:rPr>
          <w:rFonts w:ascii="Arial" w:hAnsi="Arial"/>
          <w:color w:val="231F20"/>
          <w:spacing w:val="-5"/>
          <w:sz w:val="14"/>
        </w:rPr>
        <w:t> </w:t>
      </w:r>
      <w:r>
        <w:rPr>
          <w:rFonts w:ascii="Arial" w:hAnsi="Arial"/>
          <w:color w:val="231F20"/>
          <w:sz w:val="14"/>
        </w:rPr>
        <w:t>à</w:t>
      </w:r>
      <w:r>
        <w:rPr>
          <w:rFonts w:ascii="Arial" w:hAnsi="Arial"/>
          <w:color w:val="231F20"/>
          <w:spacing w:val="-5"/>
          <w:sz w:val="14"/>
        </w:rPr>
        <w:t> </w:t>
      </w:r>
      <w:r>
        <w:rPr>
          <w:rFonts w:ascii="Arial" w:hAnsi="Arial"/>
          <w:color w:val="231F20"/>
          <w:sz w:val="14"/>
        </w:rPr>
        <w:t>prendre</w:t>
      </w:r>
      <w:r>
        <w:rPr>
          <w:rFonts w:ascii="Arial" w:hAnsi="Arial"/>
          <w:color w:val="231F20"/>
          <w:w w:val="105"/>
          <w:sz w:val="14"/>
        </w:rPr>
        <w:t> des</w:t>
      </w:r>
      <w:r>
        <w:rPr>
          <w:rFonts w:ascii="Arial" w:hAnsi="Arial"/>
          <w:color w:val="231F20"/>
          <w:spacing w:val="-11"/>
          <w:w w:val="105"/>
          <w:sz w:val="14"/>
        </w:rPr>
        <w:t> </w:t>
      </w:r>
      <w:r>
        <w:rPr>
          <w:rFonts w:ascii="Arial" w:hAnsi="Arial"/>
          <w:color w:val="231F20"/>
          <w:w w:val="105"/>
          <w:sz w:val="14"/>
        </w:rPr>
        <w:t>initiatives.</w:t>
      </w:r>
    </w:p>
    <w:p>
      <w:pPr>
        <w:spacing w:before="59"/>
        <w:ind w:left="227" w:right="0" w:firstLine="0"/>
        <w:jc w:val="left"/>
        <w:rPr>
          <w:rFonts w:ascii="Arial" w:hAnsi="Arial"/>
          <w:b/>
          <w:sz w:val="14"/>
        </w:rPr>
      </w:pPr>
      <w:r>
        <w:rPr>
          <w:rFonts w:ascii="Arial" w:hAnsi="Arial"/>
          <w:b/>
          <w:color w:val="231F20"/>
          <w:w w:val="90"/>
          <w:sz w:val="14"/>
        </w:rPr>
        <w:t>TOTAL</w:t>
      </w:r>
      <w:r>
        <w:rPr>
          <w:rFonts w:ascii="Arial" w:hAnsi="Arial"/>
          <w:b/>
          <w:color w:val="231F20"/>
          <w:spacing w:val="-3"/>
          <w:sz w:val="14"/>
        </w:rPr>
        <w:t> </w:t>
      </w:r>
      <w:r>
        <w:rPr>
          <w:rFonts w:ascii="Arial" w:hAnsi="Arial"/>
          <w:b/>
          <w:color w:val="231F20"/>
          <w:w w:val="90"/>
          <w:sz w:val="14"/>
        </w:rPr>
        <w:t>questions</w:t>
      </w:r>
      <w:r>
        <w:rPr>
          <w:rFonts w:ascii="Arial" w:hAnsi="Arial"/>
          <w:b/>
          <w:color w:val="231F20"/>
          <w:spacing w:val="-2"/>
          <w:sz w:val="14"/>
        </w:rPr>
        <w:t> </w:t>
      </w:r>
      <w:r>
        <w:rPr>
          <w:rFonts w:ascii="Arial" w:hAnsi="Arial"/>
          <w:b/>
          <w:color w:val="231F20"/>
          <w:w w:val="90"/>
          <w:sz w:val="14"/>
        </w:rPr>
        <w:t>10</w:t>
      </w:r>
      <w:r>
        <w:rPr>
          <w:rFonts w:ascii="Arial" w:hAnsi="Arial"/>
          <w:b/>
          <w:color w:val="231F20"/>
          <w:spacing w:val="-3"/>
          <w:sz w:val="14"/>
        </w:rPr>
        <w:t> </w:t>
      </w:r>
      <w:r>
        <w:rPr>
          <w:rFonts w:ascii="Arial" w:hAnsi="Arial"/>
          <w:b/>
          <w:color w:val="231F20"/>
          <w:w w:val="90"/>
          <w:sz w:val="14"/>
        </w:rPr>
        <w:t>à</w:t>
      </w:r>
      <w:r>
        <w:rPr>
          <w:rFonts w:ascii="Arial" w:hAnsi="Arial"/>
          <w:b/>
          <w:color w:val="231F20"/>
          <w:spacing w:val="-2"/>
          <w:sz w:val="14"/>
        </w:rPr>
        <w:t> </w:t>
      </w:r>
      <w:r>
        <w:rPr>
          <w:rFonts w:ascii="Arial" w:hAnsi="Arial"/>
          <w:b/>
          <w:color w:val="231F20"/>
          <w:w w:val="90"/>
          <w:sz w:val="14"/>
        </w:rPr>
        <w:t>15</w:t>
      </w:r>
      <w:r>
        <w:rPr>
          <w:rFonts w:ascii="Arial" w:hAnsi="Arial"/>
          <w:b/>
          <w:color w:val="231F20"/>
          <w:spacing w:val="-3"/>
          <w:sz w:val="14"/>
        </w:rPr>
        <w:t> </w:t>
      </w:r>
      <w:r>
        <w:rPr>
          <w:rFonts w:ascii="Arial" w:hAnsi="Arial"/>
          <w:b/>
          <w:color w:val="231F20"/>
          <w:spacing w:val="-2"/>
          <w:w w:val="90"/>
          <w:sz w:val="14"/>
        </w:rPr>
        <w:t>______</w:t>
      </w:r>
    </w:p>
    <w:p>
      <w:pPr>
        <w:spacing w:after="0"/>
        <w:jc w:val="left"/>
        <w:rPr>
          <w:rFonts w:ascii="Arial" w:hAnsi="Arial"/>
          <w:sz w:val="14"/>
        </w:rPr>
        <w:sectPr>
          <w:type w:val="continuous"/>
          <w:pgSz w:w="8640" w:h="12960"/>
          <w:pgMar w:header="0" w:footer="424" w:top="1220" w:bottom="280" w:left="420" w:right="1140"/>
          <w:cols w:num="2" w:equalWidth="0">
            <w:col w:w="3908" w:space="40"/>
            <w:col w:w="3132"/>
          </w:cols>
        </w:sectPr>
      </w:pPr>
    </w:p>
    <w:p>
      <w:pPr>
        <w:pStyle w:val="BodyText"/>
        <w:spacing w:before="9"/>
        <w:rPr>
          <w:rFonts w:ascii="Arial"/>
          <w:b/>
          <w:sz w:val="29"/>
        </w:rPr>
      </w:pPr>
    </w:p>
    <w:p>
      <w:pPr>
        <w:pStyle w:val="BodyText"/>
        <w:spacing w:line="20" w:lineRule="exact"/>
        <w:ind w:left="1220"/>
        <w:rPr>
          <w:rFonts w:ascii="Arial"/>
          <w:sz w:val="2"/>
        </w:rPr>
      </w:pPr>
      <w:r>
        <w:rPr>
          <w:rFonts w:ascii="Arial"/>
          <w:sz w:val="2"/>
        </w:rPr>
        <w:pict>
          <v:group style="width:287.5pt;height:.25pt;mso-position-horizontal-relative:char;mso-position-vertical-relative:line" id="docshapegroup718" coordorigin="0,0" coordsize="5750,5">
            <v:line style="position:absolute" from="0,3" to="5750,3" stroked="true" strokeweight=".25pt" strokecolor="#231f20">
              <v:stroke dashstyle="shortdot"/>
            </v:line>
          </v:group>
        </w:pict>
      </w:r>
      <w:r>
        <w:rPr>
          <w:rFonts w:ascii="Arial"/>
          <w:sz w:val="2"/>
        </w:rPr>
      </w:r>
    </w:p>
    <w:p>
      <w:pPr>
        <w:pStyle w:val="ListParagraph"/>
        <w:numPr>
          <w:ilvl w:val="0"/>
          <w:numId w:val="42"/>
        </w:numPr>
        <w:tabs>
          <w:tab w:pos="1219" w:val="left" w:leader="none"/>
          <w:tab w:pos="1220" w:val="left" w:leader="none"/>
        </w:tabs>
        <w:spacing w:line="240" w:lineRule="auto" w:before="117" w:after="0"/>
        <w:ind w:left="1219" w:right="0" w:hanging="328"/>
        <w:jc w:val="left"/>
        <w:rPr>
          <w:rFonts w:ascii="Arial"/>
          <w:sz w:val="12"/>
        </w:rPr>
      </w:pPr>
      <w:r>
        <w:rPr>
          <w:rFonts w:ascii="Arial"/>
          <w:color w:val="231F20"/>
          <w:w w:val="105"/>
          <w:sz w:val="12"/>
        </w:rPr>
        <w:t>Rotter,</w:t>
      </w:r>
      <w:r>
        <w:rPr>
          <w:rFonts w:ascii="Arial"/>
          <w:color w:val="231F20"/>
          <w:spacing w:val="14"/>
          <w:w w:val="105"/>
          <w:sz w:val="12"/>
        </w:rPr>
        <w:t> </w:t>
      </w:r>
      <w:r>
        <w:rPr>
          <w:rFonts w:ascii="Arial"/>
          <w:color w:val="231F20"/>
          <w:w w:val="105"/>
          <w:sz w:val="12"/>
        </w:rPr>
        <w:t>J.</w:t>
      </w:r>
      <w:r>
        <w:rPr>
          <w:rFonts w:ascii="Arial"/>
          <w:color w:val="231F20"/>
          <w:spacing w:val="14"/>
          <w:w w:val="105"/>
          <w:sz w:val="12"/>
        </w:rPr>
        <w:t> </w:t>
      </w:r>
      <w:r>
        <w:rPr>
          <w:rFonts w:ascii="Arial"/>
          <w:color w:val="231F20"/>
          <w:w w:val="105"/>
          <w:sz w:val="12"/>
        </w:rPr>
        <w:t>B.</w:t>
      </w:r>
      <w:r>
        <w:rPr>
          <w:rFonts w:ascii="Arial"/>
          <w:color w:val="231F20"/>
          <w:spacing w:val="15"/>
          <w:w w:val="105"/>
          <w:sz w:val="12"/>
        </w:rPr>
        <w:t> </w:t>
      </w:r>
      <w:r>
        <w:rPr>
          <w:rFonts w:ascii="Arial"/>
          <w:color w:val="231F20"/>
          <w:w w:val="105"/>
          <w:sz w:val="12"/>
        </w:rPr>
        <w:t>(1966).</w:t>
      </w:r>
      <w:r>
        <w:rPr>
          <w:rFonts w:ascii="Arial"/>
          <w:color w:val="231F20"/>
          <w:spacing w:val="14"/>
          <w:w w:val="105"/>
          <w:sz w:val="12"/>
        </w:rPr>
        <w:t> </w:t>
      </w:r>
      <w:r>
        <w:rPr>
          <w:rFonts w:ascii="Arial"/>
          <w:color w:val="231F20"/>
          <w:w w:val="105"/>
          <w:sz w:val="12"/>
        </w:rPr>
        <w:t>Generalized</w:t>
      </w:r>
      <w:r>
        <w:rPr>
          <w:rFonts w:ascii="Arial"/>
          <w:color w:val="231F20"/>
          <w:spacing w:val="14"/>
          <w:w w:val="105"/>
          <w:sz w:val="12"/>
        </w:rPr>
        <w:t> </w:t>
      </w:r>
      <w:r>
        <w:rPr>
          <w:rFonts w:ascii="Arial"/>
          <w:color w:val="231F20"/>
          <w:w w:val="105"/>
          <w:sz w:val="12"/>
        </w:rPr>
        <w:t>expectancies</w:t>
      </w:r>
      <w:r>
        <w:rPr>
          <w:rFonts w:ascii="Arial"/>
          <w:color w:val="231F20"/>
          <w:spacing w:val="15"/>
          <w:w w:val="105"/>
          <w:sz w:val="12"/>
        </w:rPr>
        <w:t> </w:t>
      </w:r>
      <w:r>
        <w:rPr>
          <w:rFonts w:ascii="Arial"/>
          <w:color w:val="231F20"/>
          <w:w w:val="105"/>
          <w:sz w:val="12"/>
        </w:rPr>
        <w:t>for</w:t>
      </w:r>
      <w:r>
        <w:rPr>
          <w:rFonts w:ascii="Arial"/>
          <w:color w:val="231F20"/>
          <w:spacing w:val="14"/>
          <w:w w:val="105"/>
          <w:sz w:val="12"/>
        </w:rPr>
        <w:t> </w:t>
      </w:r>
      <w:r>
        <w:rPr>
          <w:rFonts w:ascii="Arial"/>
          <w:color w:val="231F20"/>
          <w:w w:val="105"/>
          <w:sz w:val="12"/>
        </w:rPr>
        <w:t>internal</w:t>
      </w:r>
      <w:r>
        <w:rPr>
          <w:rFonts w:ascii="Arial"/>
          <w:color w:val="231F20"/>
          <w:spacing w:val="14"/>
          <w:w w:val="105"/>
          <w:sz w:val="12"/>
        </w:rPr>
        <w:t> </w:t>
      </w:r>
      <w:r>
        <w:rPr>
          <w:rFonts w:ascii="Arial"/>
          <w:color w:val="231F20"/>
          <w:w w:val="105"/>
          <w:sz w:val="12"/>
        </w:rPr>
        <w:t>versus</w:t>
      </w:r>
      <w:r>
        <w:rPr>
          <w:rFonts w:ascii="Arial"/>
          <w:color w:val="231F20"/>
          <w:spacing w:val="15"/>
          <w:w w:val="105"/>
          <w:sz w:val="12"/>
        </w:rPr>
        <w:t> </w:t>
      </w:r>
      <w:r>
        <w:rPr>
          <w:rFonts w:ascii="Arial"/>
          <w:color w:val="231F20"/>
          <w:w w:val="105"/>
          <w:sz w:val="12"/>
        </w:rPr>
        <w:t>external</w:t>
      </w:r>
      <w:r>
        <w:rPr>
          <w:rFonts w:ascii="Arial"/>
          <w:color w:val="231F20"/>
          <w:spacing w:val="14"/>
          <w:w w:val="105"/>
          <w:sz w:val="12"/>
        </w:rPr>
        <w:t> </w:t>
      </w:r>
      <w:r>
        <w:rPr>
          <w:rFonts w:ascii="Arial"/>
          <w:color w:val="231F20"/>
          <w:w w:val="105"/>
          <w:sz w:val="12"/>
        </w:rPr>
        <w:t>control</w:t>
      </w:r>
      <w:r>
        <w:rPr>
          <w:rFonts w:ascii="Arial"/>
          <w:color w:val="231F20"/>
          <w:spacing w:val="15"/>
          <w:w w:val="105"/>
          <w:sz w:val="12"/>
        </w:rPr>
        <w:t> </w:t>
      </w:r>
      <w:r>
        <w:rPr>
          <w:rFonts w:ascii="Arial"/>
          <w:color w:val="231F20"/>
          <w:w w:val="105"/>
          <w:sz w:val="12"/>
        </w:rPr>
        <w:t>of</w:t>
      </w:r>
      <w:r>
        <w:rPr>
          <w:rFonts w:ascii="Arial"/>
          <w:color w:val="231F20"/>
          <w:spacing w:val="14"/>
          <w:w w:val="105"/>
          <w:sz w:val="12"/>
        </w:rPr>
        <w:t> </w:t>
      </w:r>
      <w:r>
        <w:rPr>
          <w:rFonts w:ascii="Arial"/>
          <w:color w:val="231F20"/>
          <w:spacing w:val="-2"/>
          <w:w w:val="105"/>
          <w:sz w:val="12"/>
        </w:rPr>
        <w:t>reinforcement,</w:t>
      </w:r>
    </w:p>
    <w:p>
      <w:pPr>
        <w:spacing w:before="32"/>
        <w:ind w:left="1219" w:right="0" w:firstLine="0"/>
        <w:jc w:val="left"/>
        <w:rPr>
          <w:rFonts w:ascii="Arial"/>
          <w:sz w:val="12"/>
        </w:rPr>
      </w:pPr>
      <w:r>
        <w:rPr>
          <w:rFonts w:ascii="Arial"/>
          <w:i/>
          <w:color w:val="231F20"/>
          <w:w w:val="95"/>
          <w:sz w:val="12"/>
        </w:rPr>
        <w:t>Psychological</w:t>
      </w:r>
      <w:r>
        <w:rPr>
          <w:rFonts w:ascii="Arial"/>
          <w:i/>
          <w:color w:val="231F20"/>
          <w:spacing w:val="10"/>
          <w:sz w:val="12"/>
        </w:rPr>
        <w:t> </w:t>
      </w:r>
      <w:r>
        <w:rPr>
          <w:rFonts w:ascii="Arial"/>
          <w:i/>
          <w:color w:val="231F20"/>
          <w:w w:val="95"/>
          <w:sz w:val="12"/>
        </w:rPr>
        <w:t>Monographs</w:t>
      </w:r>
      <w:r>
        <w:rPr>
          <w:rFonts w:ascii="Arial"/>
          <w:color w:val="231F20"/>
          <w:w w:val="95"/>
          <w:sz w:val="12"/>
        </w:rPr>
        <w:t>,</w:t>
      </w:r>
      <w:r>
        <w:rPr>
          <w:rFonts w:ascii="Arial"/>
          <w:color w:val="231F20"/>
          <w:spacing w:val="10"/>
          <w:sz w:val="12"/>
        </w:rPr>
        <w:t> </w:t>
      </w:r>
      <w:r>
        <w:rPr>
          <w:rFonts w:ascii="Arial"/>
          <w:i/>
          <w:color w:val="231F20"/>
          <w:spacing w:val="-2"/>
          <w:w w:val="95"/>
          <w:sz w:val="12"/>
        </w:rPr>
        <w:t>80</w:t>
      </w:r>
      <w:r>
        <w:rPr>
          <w:rFonts w:ascii="Arial"/>
          <w:color w:val="231F20"/>
          <w:spacing w:val="-2"/>
          <w:w w:val="95"/>
          <w:sz w:val="12"/>
        </w:rPr>
        <w:t>(609).</w:t>
      </w:r>
    </w:p>
    <w:p>
      <w:pPr>
        <w:spacing w:after="0"/>
        <w:jc w:val="left"/>
        <w:rPr>
          <w:rFonts w:ascii="Arial"/>
          <w:sz w:val="12"/>
        </w:rPr>
        <w:sectPr>
          <w:type w:val="continuous"/>
          <w:pgSz w:w="8640" w:h="12960"/>
          <w:pgMar w:header="0" w:footer="424" w:top="1220" w:bottom="280" w:left="420" w:right="1140"/>
        </w:sectPr>
      </w:pPr>
    </w:p>
    <w:p>
      <w:pPr>
        <w:spacing w:before="103"/>
        <w:ind w:left="1028" w:right="698" w:firstLine="0"/>
        <w:jc w:val="center"/>
        <w:rPr>
          <w:rFonts w:ascii="Arial" w:hAnsi="Arial"/>
          <w:sz w:val="14"/>
        </w:rPr>
      </w:pPr>
      <w:bookmarkStart w:name=" 3.3.3 / Mesure combinée de la personnal" w:id="100"/>
      <w:bookmarkEnd w:id="100"/>
      <w:r>
        <w:rPr/>
      </w:r>
      <w:bookmarkStart w:name="_bookmark42" w:id="101"/>
      <w:bookmarkEnd w:id="101"/>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rPr>
          <w:rFonts w:ascii="Arial"/>
          <w:sz w:val="29"/>
        </w:rPr>
      </w:pPr>
    </w:p>
    <w:p>
      <w:pPr>
        <w:pStyle w:val="Heading5"/>
        <w:jc w:val="both"/>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BodyText"/>
        <w:spacing w:line="307" w:lineRule="auto" w:before="134"/>
        <w:ind w:left="830" w:right="494"/>
        <w:jc w:val="both"/>
      </w:pPr>
      <w:r>
        <w:rPr>
          <w:color w:val="231F20"/>
          <w:w w:val="115"/>
        </w:rPr>
        <w:t>Les questions 1 à 9 portent sur votre niveau de pouvoir décisionnel. Un score faible (de 9 à 18 points) correspond à un niveau élevé de pouvoir décisionnel au travail, ce qui suppose un locus de contrôle interne. Au contraire,</w:t>
      </w:r>
      <w:r>
        <w:rPr>
          <w:color w:val="231F20"/>
          <w:spacing w:val="-6"/>
          <w:w w:val="115"/>
        </w:rPr>
        <w:t> </w:t>
      </w:r>
      <w:r>
        <w:rPr>
          <w:color w:val="231F20"/>
          <w:w w:val="115"/>
        </w:rPr>
        <w:t>un</w:t>
      </w:r>
      <w:r>
        <w:rPr>
          <w:color w:val="231F20"/>
          <w:spacing w:val="-6"/>
          <w:w w:val="115"/>
        </w:rPr>
        <w:t> </w:t>
      </w:r>
      <w:r>
        <w:rPr>
          <w:color w:val="231F20"/>
          <w:w w:val="115"/>
        </w:rPr>
        <w:t>score</w:t>
      </w:r>
      <w:r>
        <w:rPr>
          <w:color w:val="231F20"/>
          <w:spacing w:val="-6"/>
          <w:w w:val="115"/>
        </w:rPr>
        <w:t> </w:t>
      </w:r>
      <w:r>
        <w:rPr>
          <w:color w:val="231F20"/>
          <w:w w:val="115"/>
        </w:rPr>
        <w:t>élevé</w:t>
      </w:r>
      <w:r>
        <w:rPr>
          <w:color w:val="231F20"/>
          <w:spacing w:val="-6"/>
          <w:w w:val="115"/>
        </w:rPr>
        <w:t> </w:t>
      </w:r>
      <w:r>
        <w:rPr>
          <w:color w:val="231F20"/>
          <w:w w:val="115"/>
        </w:rPr>
        <w:t>(plus</w:t>
      </w:r>
      <w:r>
        <w:rPr>
          <w:color w:val="231F20"/>
          <w:spacing w:val="-6"/>
          <w:w w:val="115"/>
        </w:rPr>
        <w:t> </w:t>
      </w:r>
      <w:r>
        <w:rPr>
          <w:color w:val="231F20"/>
          <w:w w:val="115"/>
        </w:rPr>
        <w:t>de</w:t>
      </w:r>
      <w:r>
        <w:rPr>
          <w:color w:val="231F20"/>
          <w:spacing w:val="-6"/>
          <w:w w:val="115"/>
        </w:rPr>
        <w:t> </w:t>
      </w:r>
      <w:r>
        <w:rPr>
          <w:color w:val="231F20"/>
          <w:w w:val="115"/>
        </w:rPr>
        <w:t>27</w:t>
      </w:r>
      <w:r>
        <w:rPr>
          <w:color w:val="231F20"/>
          <w:spacing w:val="-6"/>
          <w:w w:val="115"/>
        </w:rPr>
        <w:t> </w:t>
      </w:r>
      <w:r>
        <w:rPr>
          <w:color w:val="231F20"/>
          <w:w w:val="115"/>
        </w:rPr>
        <w:t>points)</w:t>
      </w:r>
      <w:r>
        <w:rPr>
          <w:color w:val="231F20"/>
          <w:spacing w:val="-6"/>
          <w:w w:val="115"/>
        </w:rPr>
        <w:t> </w:t>
      </w:r>
      <w:r>
        <w:rPr>
          <w:color w:val="231F20"/>
          <w:w w:val="115"/>
        </w:rPr>
        <w:t>correspond</w:t>
      </w:r>
      <w:r>
        <w:rPr>
          <w:color w:val="231F20"/>
          <w:spacing w:val="-6"/>
          <w:w w:val="115"/>
        </w:rPr>
        <w:t> </w:t>
      </w:r>
      <w:r>
        <w:rPr>
          <w:color w:val="231F20"/>
          <w:w w:val="115"/>
        </w:rPr>
        <w:t>à</w:t>
      </w:r>
      <w:r>
        <w:rPr>
          <w:color w:val="231F20"/>
          <w:spacing w:val="-6"/>
          <w:w w:val="115"/>
        </w:rPr>
        <w:t> </w:t>
      </w:r>
      <w:r>
        <w:rPr>
          <w:color w:val="231F20"/>
          <w:w w:val="115"/>
        </w:rPr>
        <w:t>un</w:t>
      </w:r>
      <w:r>
        <w:rPr>
          <w:color w:val="231F20"/>
          <w:spacing w:val="-6"/>
          <w:w w:val="115"/>
        </w:rPr>
        <w:t> </w:t>
      </w:r>
      <w:r>
        <w:rPr>
          <w:color w:val="231F20"/>
          <w:w w:val="115"/>
        </w:rPr>
        <w:t>faible</w:t>
      </w:r>
      <w:r>
        <w:rPr>
          <w:color w:val="231F20"/>
          <w:spacing w:val="-6"/>
          <w:w w:val="115"/>
        </w:rPr>
        <w:t> </w:t>
      </w:r>
      <w:r>
        <w:rPr>
          <w:color w:val="231F20"/>
          <w:w w:val="115"/>
        </w:rPr>
        <w:t>niveau de pouvoir au travail, donc à un locus de contrôle externe. Les questions 10 à 15 mesurent le niveau de compétence professionnelle nécessaire à votre emploi. Un score faible (de 6 à 12 points) correspond à un locus de contrôle plutôt interne, où il est nécessaire de posséder certaines aptitu- des et compétences pour exécuter le travail. Au contraire, un score élevé (plus de 18 points) correspond à un locus de contrôle plutôt externe, où l’emploi ne nécessite pas beaucoup d’aptitudes professionnelles.</w:t>
      </w:r>
    </w:p>
    <w:p>
      <w:pPr>
        <w:pStyle w:val="BodyText"/>
        <w:spacing w:before="6"/>
        <w:rPr>
          <w:sz w:val="21"/>
        </w:rPr>
      </w:pPr>
    </w:p>
    <w:p>
      <w:pPr>
        <w:pStyle w:val="BodyText"/>
        <w:ind w:left="830"/>
        <w:jc w:val="both"/>
      </w:pPr>
      <w:r>
        <w:rPr>
          <w:color w:val="231F20"/>
          <w:w w:val="115"/>
        </w:rPr>
        <w:t>L’observation</w:t>
      </w:r>
      <w:r>
        <w:rPr>
          <w:color w:val="231F20"/>
          <w:spacing w:val="-11"/>
          <w:w w:val="115"/>
        </w:rPr>
        <w:t> </w:t>
      </w:r>
      <w:r>
        <w:rPr>
          <w:color w:val="231F20"/>
          <w:w w:val="115"/>
        </w:rPr>
        <w:t>de</w:t>
      </w:r>
      <w:r>
        <w:rPr>
          <w:color w:val="231F20"/>
          <w:spacing w:val="-11"/>
          <w:w w:val="115"/>
        </w:rPr>
        <w:t> </w:t>
      </w:r>
      <w:r>
        <w:rPr>
          <w:color w:val="231F20"/>
          <w:w w:val="115"/>
        </w:rPr>
        <w:t>sujets</w:t>
      </w:r>
      <w:r>
        <w:rPr>
          <w:color w:val="231F20"/>
          <w:spacing w:val="-11"/>
          <w:w w:val="115"/>
        </w:rPr>
        <w:t> </w:t>
      </w:r>
      <w:r>
        <w:rPr>
          <w:color w:val="231F20"/>
          <w:w w:val="115"/>
        </w:rPr>
        <w:t>a</w:t>
      </w:r>
      <w:r>
        <w:rPr>
          <w:color w:val="231F20"/>
          <w:spacing w:val="-11"/>
          <w:w w:val="115"/>
        </w:rPr>
        <w:t> </w:t>
      </w:r>
      <w:r>
        <w:rPr>
          <w:color w:val="231F20"/>
          <w:w w:val="115"/>
        </w:rPr>
        <w:t>amené</w:t>
      </w:r>
      <w:r>
        <w:rPr>
          <w:color w:val="231F20"/>
          <w:spacing w:val="-11"/>
          <w:w w:val="115"/>
        </w:rPr>
        <w:t> </w:t>
      </w:r>
      <w:r>
        <w:rPr>
          <w:color w:val="231F20"/>
          <w:w w:val="115"/>
        </w:rPr>
        <w:t>Rotter</w:t>
      </w:r>
      <w:r>
        <w:rPr>
          <w:color w:val="231F20"/>
          <w:spacing w:val="-11"/>
          <w:w w:val="115"/>
        </w:rPr>
        <w:t> </w:t>
      </w:r>
      <w:r>
        <w:rPr>
          <w:color w:val="231F20"/>
          <w:w w:val="115"/>
        </w:rPr>
        <w:t>à</w:t>
      </w:r>
      <w:r>
        <w:rPr>
          <w:color w:val="231F20"/>
          <w:spacing w:val="-11"/>
          <w:w w:val="115"/>
        </w:rPr>
        <w:t> </w:t>
      </w:r>
      <w:r>
        <w:rPr>
          <w:color w:val="231F20"/>
          <w:w w:val="115"/>
        </w:rPr>
        <w:t>faire</w:t>
      </w:r>
      <w:r>
        <w:rPr>
          <w:color w:val="231F20"/>
          <w:spacing w:val="-10"/>
          <w:w w:val="115"/>
        </w:rPr>
        <w:t> </w:t>
      </w:r>
      <w:r>
        <w:rPr>
          <w:color w:val="231F20"/>
          <w:w w:val="115"/>
        </w:rPr>
        <w:t>les</w:t>
      </w:r>
      <w:r>
        <w:rPr>
          <w:color w:val="231F20"/>
          <w:spacing w:val="-11"/>
          <w:w w:val="115"/>
        </w:rPr>
        <w:t> </w:t>
      </w:r>
      <w:r>
        <w:rPr>
          <w:color w:val="231F20"/>
          <w:w w:val="115"/>
        </w:rPr>
        <w:t>constatations</w:t>
      </w:r>
      <w:r>
        <w:rPr>
          <w:color w:val="231F20"/>
          <w:spacing w:val="-11"/>
          <w:w w:val="115"/>
        </w:rPr>
        <w:t> </w:t>
      </w:r>
      <w:r>
        <w:rPr>
          <w:color w:val="231F20"/>
          <w:spacing w:val="-2"/>
          <w:w w:val="115"/>
        </w:rPr>
        <w:t>suivantes:</w:t>
      </w:r>
    </w:p>
    <w:p>
      <w:pPr>
        <w:pStyle w:val="ListParagraph"/>
        <w:numPr>
          <w:ilvl w:val="1"/>
          <w:numId w:val="42"/>
        </w:numPr>
        <w:tabs>
          <w:tab w:pos="1331" w:val="left" w:leader="none"/>
        </w:tabs>
        <w:spacing w:line="307" w:lineRule="auto" w:before="135" w:after="0"/>
        <w:ind w:left="1330" w:right="495" w:hanging="251"/>
        <w:jc w:val="both"/>
        <w:rPr>
          <w:sz w:val="17"/>
        </w:rPr>
      </w:pPr>
      <w:r>
        <w:rPr>
          <w:color w:val="231F20"/>
          <w:w w:val="120"/>
          <w:sz w:val="17"/>
        </w:rPr>
        <w:t>Des</w:t>
      </w:r>
      <w:r>
        <w:rPr>
          <w:color w:val="231F20"/>
          <w:w w:val="120"/>
          <w:sz w:val="17"/>
        </w:rPr>
        <w:t> personnes</w:t>
      </w:r>
      <w:r>
        <w:rPr>
          <w:color w:val="231F20"/>
          <w:w w:val="120"/>
          <w:sz w:val="17"/>
        </w:rPr>
        <w:t> placées</w:t>
      </w:r>
      <w:r>
        <w:rPr>
          <w:color w:val="231F20"/>
          <w:w w:val="120"/>
          <w:sz w:val="17"/>
        </w:rPr>
        <w:t> dans</w:t>
      </w:r>
      <w:r>
        <w:rPr>
          <w:color w:val="231F20"/>
          <w:w w:val="120"/>
          <w:sz w:val="17"/>
        </w:rPr>
        <w:t> des</w:t>
      </w:r>
      <w:r>
        <w:rPr>
          <w:color w:val="231F20"/>
          <w:w w:val="120"/>
          <w:sz w:val="17"/>
        </w:rPr>
        <w:t> conditions</w:t>
      </w:r>
      <w:r>
        <w:rPr>
          <w:color w:val="231F20"/>
          <w:w w:val="120"/>
          <w:sz w:val="17"/>
        </w:rPr>
        <w:t> d’apprentissage identiques peuvent apprendre des choses différentes.</w:t>
      </w:r>
    </w:p>
    <w:p>
      <w:pPr>
        <w:pStyle w:val="ListParagraph"/>
        <w:numPr>
          <w:ilvl w:val="1"/>
          <w:numId w:val="42"/>
        </w:numPr>
        <w:tabs>
          <w:tab w:pos="1331" w:val="left" w:leader="none"/>
        </w:tabs>
        <w:spacing w:line="307" w:lineRule="auto" w:before="0" w:after="0"/>
        <w:ind w:left="1330" w:right="495" w:hanging="251"/>
        <w:jc w:val="both"/>
        <w:rPr>
          <w:sz w:val="17"/>
        </w:rPr>
      </w:pPr>
      <w:r>
        <w:rPr>
          <w:color w:val="231F20"/>
          <w:w w:val="120"/>
          <w:sz w:val="17"/>
        </w:rPr>
        <w:t>Certaines</w:t>
      </w:r>
      <w:r>
        <w:rPr>
          <w:color w:val="231F20"/>
          <w:spacing w:val="-12"/>
          <w:w w:val="120"/>
          <w:sz w:val="17"/>
        </w:rPr>
        <w:t> </w:t>
      </w:r>
      <w:r>
        <w:rPr>
          <w:color w:val="231F20"/>
          <w:w w:val="120"/>
          <w:sz w:val="17"/>
        </w:rPr>
        <w:t>personnes</w:t>
      </w:r>
      <w:r>
        <w:rPr>
          <w:color w:val="231F20"/>
          <w:spacing w:val="-12"/>
          <w:w w:val="120"/>
          <w:sz w:val="17"/>
        </w:rPr>
        <w:t> </w:t>
      </w:r>
      <w:r>
        <w:rPr>
          <w:color w:val="231F20"/>
          <w:w w:val="120"/>
          <w:sz w:val="17"/>
        </w:rPr>
        <w:t>ont</w:t>
      </w:r>
      <w:r>
        <w:rPr>
          <w:color w:val="231F20"/>
          <w:spacing w:val="-12"/>
          <w:w w:val="120"/>
          <w:sz w:val="17"/>
        </w:rPr>
        <w:t> </w:t>
      </w:r>
      <w:r>
        <w:rPr>
          <w:color w:val="231F20"/>
          <w:w w:val="120"/>
          <w:sz w:val="17"/>
        </w:rPr>
        <w:t>une</w:t>
      </w:r>
      <w:r>
        <w:rPr>
          <w:color w:val="231F20"/>
          <w:spacing w:val="-12"/>
          <w:w w:val="120"/>
          <w:sz w:val="17"/>
        </w:rPr>
        <w:t> </w:t>
      </w:r>
      <w:r>
        <w:rPr>
          <w:color w:val="231F20"/>
          <w:w w:val="120"/>
          <w:sz w:val="17"/>
        </w:rPr>
        <w:t>réaction</w:t>
      </w:r>
      <w:r>
        <w:rPr>
          <w:color w:val="231F20"/>
          <w:spacing w:val="-12"/>
          <w:w w:val="120"/>
          <w:sz w:val="17"/>
        </w:rPr>
        <w:t> </w:t>
      </w:r>
      <w:r>
        <w:rPr>
          <w:color w:val="231F20"/>
          <w:w w:val="120"/>
          <w:sz w:val="17"/>
        </w:rPr>
        <w:t>prévisible</w:t>
      </w:r>
      <w:r>
        <w:rPr>
          <w:color w:val="231F20"/>
          <w:spacing w:val="-12"/>
          <w:w w:val="120"/>
          <w:sz w:val="17"/>
        </w:rPr>
        <w:t> </w:t>
      </w:r>
      <w:r>
        <w:rPr>
          <w:color w:val="231F20"/>
          <w:w w:val="120"/>
          <w:sz w:val="17"/>
        </w:rPr>
        <w:t>au</w:t>
      </w:r>
      <w:r>
        <w:rPr>
          <w:color w:val="231F20"/>
          <w:spacing w:val="-12"/>
          <w:w w:val="120"/>
          <w:sz w:val="17"/>
        </w:rPr>
        <w:t> </w:t>
      </w:r>
      <w:r>
        <w:rPr>
          <w:color w:val="231F20"/>
          <w:w w:val="120"/>
          <w:sz w:val="17"/>
        </w:rPr>
        <w:t>renforcement; d’autres,</w:t>
      </w:r>
      <w:r>
        <w:rPr>
          <w:color w:val="231F20"/>
          <w:spacing w:val="-2"/>
          <w:w w:val="120"/>
          <w:sz w:val="17"/>
        </w:rPr>
        <w:t> </w:t>
      </w:r>
      <w:r>
        <w:rPr>
          <w:color w:val="231F20"/>
          <w:w w:val="120"/>
          <w:sz w:val="17"/>
        </w:rPr>
        <w:t>une</w:t>
      </w:r>
      <w:r>
        <w:rPr>
          <w:color w:val="231F20"/>
          <w:spacing w:val="-2"/>
          <w:w w:val="120"/>
          <w:sz w:val="17"/>
        </w:rPr>
        <w:t> </w:t>
      </w:r>
      <w:r>
        <w:rPr>
          <w:color w:val="231F20"/>
          <w:w w:val="120"/>
          <w:sz w:val="17"/>
        </w:rPr>
        <w:t>réaction</w:t>
      </w:r>
      <w:r>
        <w:rPr>
          <w:color w:val="231F20"/>
          <w:spacing w:val="-2"/>
          <w:w w:val="120"/>
          <w:sz w:val="17"/>
        </w:rPr>
        <w:t> </w:t>
      </w:r>
      <w:r>
        <w:rPr>
          <w:color w:val="231F20"/>
          <w:w w:val="120"/>
          <w:sz w:val="17"/>
        </w:rPr>
        <w:t>plus</w:t>
      </w:r>
      <w:r>
        <w:rPr>
          <w:color w:val="231F20"/>
          <w:spacing w:val="-2"/>
          <w:w w:val="120"/>
          <w:sz w:val="17"/>
        </w:rPr>
        <w:t> </w:t>
      </w:r>
      <w:r>
        <w:rPr>
          <w:color w:val="231F20"/>
          <w:w w:val="120"/>
          <w:sz w:val="17"/>
        </w:rPr>
        <w:t>ou</w:t>
      </w:r>
      <w:r>
        <w:rPr>
          <w:color w:val="231F20"/>
          <w:spacing w:val="-2"/>
          <w:w w:val="120"/>
          <w:sz w:val="17"/>
        </w:rPr>
        <w:t> </w:t>
      </w:r>
      <w:r>
        <w:rPr>
          <w:color w:val="231F20"/>
          <w:w w:val="120"/>
          <w:sz w:val="17"/>
        </w:rPr>
        <w:t>moins</w:t>
      </w:r>
      <w:r>
        <w:rPr>
          <w:color w:val="231F20"/>
          <w:spacing w:val="-2"/>
          <w:w w:val="120"/>
          <w:sz w:val="17"/>
        </w:rPr>
        <w:t> </w:t>
      </w:r>
      <w:r>
        <w:rPr>
          <w:color w:val="231F20"/>
          <w:w w:val="120"/>
          <w:sz w:val="17"/>
        </w:rPr>
        <w:t>prévisible;</w:t>
      </w:r>
      <w:r>
        <w:rPr>
          <w:color w:val="231F20"/>
          <w:spacing w:val="-2"/>
          <w:w w:val="120"/>
          <w:sz w:val="17"/>
        </w:rPr>
        <w:t> </w:t>
      </w:r>
      <w:r>
        <w:rPr>
          <w:color w:val="231F20"/>
          <w:w w:val="120"/>
          <w:sz w:val="17"/>
        </w:rPr>
        <w:t>d’autres</w:t>
      </w:r>
      <w:r>
        <w:rPr>
          <w:color w:val="231F20"/>
          <w:spacing w:val="-2"/>
          <w:w w:val="120"/>
          <w:sz w:val="17"/>
        </w:rPr>
        <w:t> </w:t>
      </w:r>
      <w:r>
        <w:rPr>
          <w:color w:val="231F20"/>
          <w:w w:val="120"/>
          <w:sz w:val="17"/>
        </w:rPr>
        <w:t>encore, une réaction imprévisible.</w:t>
      </w:r>
    </w:p>
    <w:p>
      <w:pPr>
        <w:pStyle w:val="ListParagraph"/>
        <w:numPr>
          <w:ilvl w:val="1"/>
          <w:numId w:val="42"/>
        </w:numPr>
        <w:tabs>
          <w:tab w:pos="1331" w:val="left" w:leader="none"/>
        </w:tabs>
        <w:spacing w:line="307" w:lineRule="auto" w:before="0" w:after="0"/>
        <w:ind w:left="1330" w:right="497" w:hanging="251"/>
        <w:jc w:val="both"/>
        <w:rPr>
          <w:sz w:val="17"/>
        </w:rPr>
      </w:pPr>
      <w:r>
        <w:rPr>
          <w:color w:val="231F20"/>
          <w:w w:val="115"/>
          <w:sz w:val="17"/>
        </w:rPr>
        <w:t>Certaines</w:t>
      </w:r>
      <w:r>
        <w:rPr>
          <w:color w:val="231F20"/>
          <w:spacing w:val="-4"/>
          <w:w w:val="115"/>
          <w:sz w:val="17"/>
        </w:rPr>
        <w:t> </w:t>
      </w:r>
      <w:r>
        <w:rPr>
          <w:color w:val="231F20"/>
          <w:w w:val="115"/>
          <w:sz w:val="17"/>
        </w:rPr>
        <w:t>personnes</w:t>
      </w:r>
      <w:r>
        <w:rPr>
          <w:color w:val="231F20"/>
          <w:spacing w:val="-4"/>
          <w:w w:val="115"/>
          <w:sz w:val="17"/>
        </w:rPr>
        <w:t> </w:t>
      </w:r>
      <w:r>
        <w:rPr>
          <w:color w:val="231F20"/>
          <w:w w:val="115"/>
          <w:sz w:val="17"/>
        </w:rPr>
        <w:t>voient</w:t>
      </w:r>
      <w:r>
        <w:rPr>
          <w:color w:val="231F20"/>
          <w:spacing w:val="-4"/>
          <w:w w:val="115"/>
          <w:sz w:val="17"/>
        </w:rPr>
        <w:t> </w:t>
      </w:r>
      <w:r>
        <w:rPr>
          <w:color w:val="231F20"/>
          <w:w w:val="115"/>
          <w:sz w:val="17"/>
        </w:rPr>
        <w:t>un</w:t>
      </w:r>
      <w:r>
        <w:rPr>
          <w:color w:val="231F20"/>
          <w:spacing w:val="-4"/>
          <w:w w:val="115"/>
          <w:sz w:val="17"/>
        </w:rPr>
        <w:t> </w:t>
      </w:r>
      <w:r>
        <w:rPr>
          <w:color w:val="231F20"/>
          <w:w w:val="115"/>
          <w:sz w:val="17"/>
        </w:rPr>
        <w:t>lien</w:t>
      </w:r>
      <w:r>
        <w:rPr>
          <w:color w:val="231F20"/>
          <w:spacing w:val="-4"/>
          <w:w w:val="115"/>
          <w:sz w:val="17"/>
        </w:rPr>
        <w:t> </w:t>
      </w:r>
      <w:r>
        <w:rPr>
          <w:color w:val="231F20"/>
          <w:w w:val="115"/>
          <w:sz w:val="17"/>
        </w:rPr>
        <w:t>direct</w:t>
      </w:r>
      <w:r>
        <w:rPr>
          <w:color w:val="231F20"/>
          <w:spacing w:val="-4"/>
          <w:w w:val="115"/>
          <w:sz w:val="17"/>
        </w:rPr>
        <w:t> </w:t>
      </w:r>
      <w:r>
        <w:rPr>
          <w:color w:val="231F20"/>
          <w:w w:val="115"/>
          <w:sz w:val="17"/>
        </w:rPr>
        <w:t>et</w:t>
      </w:r>
      <w:r>
        <w:rPr>
          <w:color w:val="231F20"/>
          <w:spacing w:val="-4"/>
          <w:w w:val="115"/>
          <w:sz w:val="17"/>
        </w:rPr>
        <w:t> </w:t>
      </w:r>
      <w:r>
        <w:rPr>
          <w:color w:val="231F20"/>
          <w:w w:val="115"/>
          <w:sz w:val="17"/>
        </w:rPr>
        <w:t>concret</w:t>
      </w:r>
      <w:r>
        <w:rPr>
          <w:color w:val="231F20"/>
          <w:spacing w:val="-4"/>
          <w:w w:val="115"/>
          <w:sz w:val="17"/>
        </w:rPr>
        <w:t> </w:t>
      </w:r>
      <w:r>
        <w:rPr>
          <w:color w:val="231F20"/>
          <w:w w:val="115"/>
          <w:sz w:val="17"/>
        </w:rPr>
        <w:t>entre</w:t>
      </w:r>
      <w:r>
        <w:rPr>
          <w:color w:val="231F20"/>
          <w:spacing w:val="-4"/>
          <w:w w:val="115"/>
          <w:sz w:val="17"/>
        </w:rPr>
        <w:t> </w:t>
      </w:r>
      <w:r>
        <w:rPr>
          <w:color w:val="231F20"/>
          <w:w w:val="115"/>
          <w:sz w:val="17"/>
        </w:rPr>
        <w:t>leur</w:t>
      </w:r>
      <w:r>
        <w:rPr>
          <w:color w:val="231F20"/>
          <w:spacing w:val="-4"/>
          <w:w w:val="115"/>
          <w:sz w:val="17"/>
        </w:rPr>
        <w:t> </w:t>
      </w:r>
      <w:r>
        <w:rPr>
          <w:color w:val="231F20"/>
          <w:w w:val="115"/>
          <w:sz w:val="17"/>
        </w:rPr>
        <w:t>com- </w:t>
      </w:r>
      <w:r>
        <w:rPr>
          <w:color w:val="231F20"/>
          <w:w w:val="120"/>
          <w:sz w:val="17"/>
        </w:rPr>
        <w:t>portement</w:t>
      </w:r>
      <w:r>
        <w:rPr>
          <w:color w:val="231F20"/>
          <w:spacing w:val="-12"/>
          <w:w w:val="120"/>
          <w:sz w:val="17"/>
        </w:rPr>
        <w:t> </w:t>
      </w:r>
      <w:r>
        <w:rPr>
          <w:color w:val="231F20"/>
          <w:w w:val="120"/>
          <w:sz w:val="17"/>
        </w:rPr>
        <w:t>et</w:t>
      </w:r>
      <w:r>
        <w:rPr>
          <w:color w:val="231F20"/>
          <w:spacing w:val="-12"/>
          <w:w w:val="120"/>
          <w:sz w:val="17"/>
        </w:rPr>
        <w:t> </w:t>
      </w:r>
      <w:r>
        <w:rPr>
          <w:color w:val="231F20"/>
          <w:w w:val="120"/>
          <w:sz w:val="17"/>
        </w:rPr>
        <w:t>les</w:t>
      </w:r>
      <w:r>
        <w:rPr>
          <w:color w:val="231F20"/>
          <w:spacing w:val="-12"/>
          <w:w w:val="120"/>
          <w:sz w:val="17"/>
        </w:rPr>
        <w:t> </w:t>
      </w:r>
      <w:r>
        <w:rPr>
          <w:color w:val="231F20"/>
          <w:w w:val="120"/>
          <w:sz w:val="17"/>
        </w:rPr>
        <w:t>récompenses</w:t>
      </w:r>
      <w:r>
        <w:rPr>
          <w:color w:val="231F20"/>
          <w:spacing w:val="-12"/>
          <w:w w:val="120"/>
          <w:sz w:val="17"/>
        </w:rPr>
        <w:t> </w:t>
      </w:r>
      <w:r>
        <w:rPr>
          <w:color w:val="231F20"/>
          <w:w w:val="120"/>
          <w:sz w:val="17"/>
        </w:rPr>
        <w:t>ou</w:t>
      </w:r>
      <w:r>
        <w:rPr>
          <w:color w:val="231F20"/>
          <w:spacing w:val="-12"/>
          <w:w w:val="120"/>
          <w:sz w:val="17"/>
        </w:rPr>
        <w:t> </w:t>
      </w:r>
      <w:r>
        <w:rPr>
          <w:color w:val="231F20"/>
          <w:w w:val="120"/>
          <w:sz w:val="17"/>
        </w:rPr>
        <w:t>les</w:t>
      </w:r>
      <w:r>
        <w:rPr>
          <w:color w:val="231F20"/>
          <w:spacing w:val="-12"/>
          <w:w w:val="120"/>
          <w:sz w:val="17"/>
        </w:rPr>
        <w:t> </w:t>
      </w:r>
      <w:r>
        <w:rPr>
          <w:color w:val="231F20"/>
          <w:w w:val="120"/>
          <w:sz w:val="17"/>
        </w:rPr>
        <w:t>punitions</w:t>
      </w:r>
      <w:r>
        <w:rPr>
          <w:color w:val="231F20"/>
          <w:spacing w:val="-12"/>
          <w:w w:val="120"/>
          <w:sz w:val="17"/>
        </w:rPr>
        <w:t> </w:t>
      </w:r>
      <w:r>
        <w:rPr>
          <w:color w:val="231F20"/>
          <w:w w:val="120"/>
          <w:sz w:val="17"/>
        </w:rPr>
        <w:t>qu’elles</w:t>
      </w:r>
      <w:r>
        <w:rPr>
          <w:color w:val="231F20"/>
          <w:spacing w:val="-12"/>
          <w:w w:val="120"/>
          <w:sz w:val="17"/>
        </w:rPr>
        <w:t> </w:t>
      </w:r>
      <w:r>
        <w:rPr>
          <w:color w:val="231F20"/>
          <w:w w:val="120"/>
          <w:sz w:val="17"/>
        </w:rPr>
        <w:t>reçoivent.</w:t>
      </w:r>
    </w:p>
    <w:p>
      <w:pPr>
        <w:pStyle w:val="BodyText"/>
        <w:spacing w:line="307" w:lineRule="auto" w:before="79"/>
        <w:ind w:left="830" w:right="490"/>
        <w:jc w:val="both"/>
      </w:pPr>
      <w:r>
        <w:rPr>
          <w:color w:val="231F20"/>
          <w:w w:val="115"/>
        </w:rPr>
        <w:t>Le</w:t>
      </w:r>
      <w:r>
        <w:rPr>
          <w:color w:val="231F20"/>
          <w:spacing w:val="-13"/>
          <w:w w:val="115"/>
        </w:rPr>
        <w:t> </w:t>
      </w:r>
      <w:r>
        <w:rPr>
          <w:color w:val="231F20"/>
          <w:w w:val="115"/>
        </w:rPr>
        <w:t>cœur</w:t>
      </w:r>
      <w:r>
        <w:rPr>
          <w:color w:val="231F20"/>
          <w:spacing w:val="-12"/>
          <w:w w:val="115"/>
        </w:rPr>
        <w:t> </w:t>
      </w:r>
      <w:r>
        <w:rPr>
          <w:color w:val="231F20"/>
          <w:w w:val="115"/>
        </w:rPr>
        <w:t>de</w:t>
      </w:r>
      <w:r>
        <w:rPr>
          <w:color w:val="231F20"/>
          <w:spacing w:val="-12"/>
          <w:w w:val="115"/>
        </w:rPr>
        <w:t> </w:t>
      </w:r>
      <w:r>
        <w:rPr>
          <w:color w:val="231F20"/>
          <w:w w:val="115"/>
        </w:rPr>
        <w:t>cette</w:t>
      </w:r>
      <w:r>
        <w:rPr>
          <w:color w:val="231F20"/>
          <w:spacing w:val="-12"/>
          <w:w w:val="115"/>
        </w:rPr>
        <w:t> </w:t>
      </w:r>
      <w:r>
        <w:rPr>
          <w:color w:val="231F20"/>
          <w:w w:val="115"/>
        </w:rPr>
        <w:t>approche</w:t>
      </w:r>
      <w:r>
        <w:rPr>
          <w:color w:val="231F20"/>
          <w:spacing w:val="-9"/>
          <w:w w:val="115"/>
        </w:rPr>
        <w:t> </w:t>
      </w:r>
      <w:r>
        <w:rPr>
          <w:color w:val="231F20"/>
          <w:w w:val="115"/>
        </w:rPr>
        <w:t>s’appelle</w:t>
      </w:r>
      <w:r>
        <w:rPr>
          <w:color w:val="231F20"/>
          <w:spacing w:val="-4"/>
          <w:w w:val="115"/>
        </w:rPr>
        <w:t> </w:t>
      </w:r>
      <w:r>
        <w:rPr>
          <w:color w:val="231F20"/>
          <w:w w:val="115"/>
        </w:rPr>
        <w:t>la</w:t>
      </w:r>
      <w:r>
        <w:rPr>
          <w:color w:val="231F20"/>
          <w:spacing w:val="-4"/>
          <w:w w:val="115"/>
        </w:rPr>
        <w:t> </w:t>
      </w:r>
      <w:r>
        <w:rPr>
          <w:color w:val="231F20"/>
          <w:w w:val="115"/>
        </w:rPr>
        <w:t>«</w:t>
      </w:r>
      <w:r>
        <w:rPr>
          <w:color w:val="231F20"/>
          <w:spacing w:val="-13"/>
          <w:w w:val="115"/>
        </w:rPr>
        <w:t> </w:t>
      </w:r>
      <w:r>
        <w:rPr>
          <w:color w:val="231F20"/>
          <w:w w:val="115"/>
        </w:rPr>
        <w:t>théorie</w:t>
      </w:r>
      <w:r>
        <w:rPr>
          <w:color w:val="231F20"/>
          <w:spacing w:val="-4"/>
          <w:w w:val="115"/>
        </w:rPr>
        <w:t> </w:t>
      </w:r>
      <w:r>
        <w:rPr>
          <w:color w:val="231F20"/>
          <w:w w:val="115"/>
        </w:rPr>
        <w:t>de</w:t>
      </w:r>
      <w:r>
        <w:rPr>
          <w:color w:val="231F20"/>
          <w:spacing w:val="-4"/>
          <w:w w:val="115"/>
        </w:rPr>
        <w:t> </w:t>
      </w:r>
      <w:r>
        <w:rPr>
          <w:color w:val="231F20"/>
          <w:w w:val="115"/>
        </w:rPr>
        <w:t>la</w:t>
      </w:r>
      <w:r>
        <w:rPr>
          <w:color w:val="231F20"/>
          <w:spacing w:val="-5"/>
          <w:w w:val="115"/>
        </w:rPr>
        <w:t> </w:t>
      </w:r>
      <w:r>
        <w:rPr>
          <w:color w:val="231F20"/>
          <w:w w:val="115"/>
        </w:rPr>
        <w:t>valeur</w:t>
      </w:r>
      <w:r>
        <w:rPr>
          <w:color w:val="231F20"/>
          <w:spacing w:val="-4"/>
          <w:w w:val="115"/>
        </w:rPr>
        <w:t> </w:t>
      </w:r>
      <w:r>
        <w:rPr>
          <w:color w:val="231F20"/>
          <w:w w:val="115"/>
        </w:rPr>
        <w:t>de</w:t>
      </w:r>
      <w:r>
        <w:rPr>
          <w:color w:val="231F20"/>
          <w:spacing w:val="-5"/>
          <w:w w:val="115"/>
        </w:rPr>
        <w:t> </w:t>
      </w:r>
      <w:r>
        <w:rPr>
          <w:color w:val="231F20"/>
          <w:w w:val="115"/>
        </w:rPr>
        <w:t>l’attente</w:t>
      </w:r>
      <w:r>
        <w:rPr>
          <w:color w:val="231F20"/>
          <w:spacing w:val="-13"/>
          <w:w w:val="115"/>
        </w:rPr>
        <w:t> </w:t>
      </w:r>
      <w:r>
        <w:rPr>
          <w:color w:val="231F20"/>
          <w:w w:val="115"/>
        </w:rPr>
        <w:t>»: </w:t>
      </w:r>
      <w:r>
        <w:rPr>
          <w:color w:val="231F20"/>
          <w:w w:val="120"/>
        </w:rPr>
        <w:t>l’hypothèse fondamentale est que notre comportement est déterminé non seulement par la présence de renforcements ou l’importance de ceux-ci, mais aussi par ce que nous considérons comme le résultat vraisemblable de notre comportement, autrement dit la mesure de la probabilité d’obtenir un renforcement.</w:t>
      </w:r>
    </w:p>
    <w:p>
      <w:pPr>
        <w:pStyle w:val="BodyText"/>
        <w:spacing w:line="307" w:lineRule="auto" w:before="79"/>
        <w:ind w:left="830" w:right="493" w:firstLine="250"/>
        <w:jc w:val="both"/>
      </w:pPr>
      <w:r>
        <w:rPr>
          <w:color w:val="231F20"/>
          <w:w w:val="120"/>
        </w:rPr>
        <w:t>Les personnes qui ont un locus de contrôle externe attribuent leurs résultats</w:t>
      </w:r>
      <w:r>
        <w:rPr>
          <w:color w:val="231F20"/>
          <w:spacing w:val="-1"/>
          <w:w w:val="120"/>
        </w:rPr>
        <w:t> </w:t>
      </w:r>
      <w:r>
        <w:rPr>
          <w:color w:val="231F20"/>
          <w:w w:val="120"/>
        </w:rPr>
        <w:t>à</w:t>
      </w:r>
      <w:r>
        <w:rPr>
          <w:color w:val="231F20"/>
          <w:spacing w:val="-1"/>
          <w:w w:val="120"/>
        </w:rPr>
        <w:t> </w:t>
      </w:r>
      <w:r>
        <w:rPr>
          <w:color w:val="231F20"/>
          <w:w w:val="120"/>
        </w:rPr>
        <w:t>des</w:t>
      </w:r>
      <w:r>
        <w:rPr>
          <w:color w:val="231F20"/>
          <w:spacing w:val="-1"/>
          <w:w w:val="120"/>
        </w:rPr>
        <w:t> </w:t>
      </w:r>
      <w:r>
        <w:rPr>
          <w:color w:val="231F20"/>
          <w:w w:val="120"/>
        </w:rPr>
        <w:t>facteurs</w:t>
      </w:r>
      <w:r>
        <w:rPr>
          <w:color w:val="231F20"/>
          <w:spacing w:val="-1"/>
          <w:w w:val="120"/>
        </w:rPr>
        <w:t> </w:t>
      </w:r>
      <w:r>
        <w:rPr>
          <w:color w:val="231F20"/>
          <w:w w:val="120"/>
        </w:rPr>
        <w:t>extérieurs</w:t>
      </w:r>
      <w:r>
        <w:rPr>
          <w:color w:val="231F20"/>
          <w:spacing w:val="-1"/>
          <w:w w:val="120"/>
        </w:rPr>
        <w:t> </w:t>
      </w:r>
      <w:r>
        <w:rPr>
          <w:color w:val="231F20"/>
          <w:w w:val="120"/>
        </w:rPr>
        <w:t>qui</w:t>
      </w:r>
      <w:r>
        <w:rPr>
          <w:color w:val="231F20"/>
          <w:spacing w:val="-1"/>
          <w:w w:val="120"/>
        </w:rPr>
        <w:t> </w:t>
      </w:r>
      <w:r>
        <w:rPr>
          <w:color w:val="231F20"/>
          <w:w w:val="120"/>
        </w:rPr>
        <w:t>échappent</w:t>
      </w:r>
      <w:r>
        <w:rPr>
          <w:color w:val="231F20"/>
          <w:spacing w:val="-1"/>
          <w:w w:val="120"/>
        </w:rPr>
        <w:t> </w:t>
      </w:r>
      <w:r>
        <w:rPr>
          <w:color w:val="231F20"/>
          <w:w w:val="120"/>
        </w:rPr>
        <w:t>à</w:t>
      </w:r>
      <w:r>
        <w:rPr>
          <w:color w:val="231F20"/>
          <w:spacing w:val="-1"/>
          <w:w w:val="120"/>
        </w:rPr>
        <w:t> </w:t>
      </w:r>
      <w:r>
        <w:rPr>
          <w:color w:val="231F20"/>
          <w:w w:val="120"/>
        </w:rPr>
        <w:t>leur</w:t>
      </w:r>
      <w:r>
        <w:rPr>
          <w:color w:val="231F20"/>
          <w:spacing w:val="-1"/>
          <w:w w:val="120"/>
        </w:rPr>
        <w:t> </w:t>
      </w:r>
      <w:r>
        <w:rPr>
          <w:color w:val="231F20"/>
          <w:w w:val="120"/>
        </w:rPr>
        <w:t>contrôle.</w:t>
      </w:r>
      <w:r>
        <w:rPr>
          <w:color w:val="231F20"/>
          <w:spacing w:val="-1"/>
          <w:w w:val="120"/>
        </w:rPr>
        <w:t> </w:t>
      </w:r>
      <w:r>
        <w:rPr>
          <w:color w:val="231F20"/>
          <w:w w:val="120"/>
        </w:rPr>
        <w:t>Celles qui</w:t>
      </w:r>
      <w:r>
        <w:rPr>
          <w:color w:val="231F20"/>
          <w:spacing w:val="-10"/>
          <w:w w:val="120"/>
        </w:rPr>
        <w:t> </w:t>
      </w:r>
      <w:r>
        <w:rPr>
          <w:color w:val="231F20"/>
          <w:w w:val="120"/>
        </w:rPr>
        <w:t>ont</w:t>
      </w:r>
      <w:r>
        <w:rPr>
          <w:color w:val="231F20"/>
          <w:spacing w:val="-10"/>
          <w:w w:val="120"/>
        </w:rPr>
        <w:t> </w:t>
      </w:r>
      <w:r>
        <w:rPr>
          <w:color w:val="231F20"/>
          <w:w w:val="120"/>
        </w:rPr>
        <w:t>un</w:t>
      </w:r>
      <w:r>
        <w:rPr>
          <w:color w:val="231F20"/>
          <w:spacing w:val="-10"/>
          <w:w w:val="120"/>
        </w:rPr>
        <w:t> </w:t>
      </w:r>
      <w:r>
        <w:rPr>
          <w:color w:val="231F20"/>
          <w:w w:val="120"/>
        </w:rPr>
        <w:t>locus</w:t>
      </w:r>
      <w:r>
        <w:rPr>
          <w:color w:val="231F20"/>
          <w:spacing w:val="-10"/>
          <w:w w:val="120"/>
        </w:rPr>
        <w:t> </w:t>
      </w:r>
      <w:r>
        <w:rPr>
          <w:color w:val="231F20"/>
          <w:w w:val="120"/>
        </w:rPr>
        <w:t>de</w:t>
      </w:r>
      <w:r>
        <w:rPr>
          <w:color w:val="231F20"/>
          <w:spacing w:val="-10"/>
          <w:w w:val="120"/>
        </w:rPr>
        <w:t> </w:t>
      </w:r>
      <w:r>
        <w:rPr>
          <w:color w:val="231F20"/>
          <w:w w:val="120"/>
        </w:rPr>
        <w:t>contrôle</w:t>
      </w:r>
      <w:r>
        <w:rPr>
          <w:color w:val="231F20"/>
          <w:spacing w:val="-10"/>
          <w:w w:val="120"/>
        </w:rPr>
        <w:t> </w:t>
      </w:r>
      <w:r>
        <w:rPr>
          <w:color w:val="231F20"/>
          <w:w w:val="120"/>
        </w:rPr>
        <w:t>interne</w:t>
      </w:r>
      <w:r>
        <w:rPr>
          <w:color w:val="231F20"/>
          <w:spacing w:val="-10"/>
          <w:w w:val="120"/>
        </w:rPr>
        <w:t> </w:t>
      </w:r>
      <w:r>
        <w:rPr>
          <w:color w:val="231F20"/>
          <w:w w:val="120"/>
        </w:rPr>
        <w:t>établissent</w:t>
      </w:r>
      <w:r>
        <w:rPr>
          <w:color w:val="231F20"/>
          <w:spacing w:val="-10"/>
          <w:w w:val="120"/>
        </w:rPr>
        <w:t> </w:t>
      </w:r>
      <w:r>
        <w:rPr>
          <w:color w:val="231F20"/>
          <w:w w:val="120"/>
        </w:rPr>
        <w:t>un</w:t>
      </w:r>
      <w:r>
        <w:rPr>
          <w:color w:val="231F20"/>
          <w:spacing w:val="-10"/>
          <w:w w:val="120"/>
        </w:rPr>
        <w:t> </w:t>
      </w:r>
      <w:r>
        <w:rPr>
          <w:color w:val="231F20"/>
          <w:w w:val="120"/>
        </w:rPr>
        <w:t>lien</w:t>
      </w:r>
      <w:r>
        <w:rPr>
          <w:color w:val="231F20"/>
          <w:spacing w:val="-10"/>
          <w:w w:val="120"/>
        </w:rPr>
        <w:t> </w:t>
      </w:r>
      <w:r>
        <w:rPr>
          <w:color w:val="231F20"/>
          <w:w w:val="120"/>
        </w:rPr>
        <w:t>direct</w:t>
      </w:r>
      <w:r>
        <w:rPr>
          <w:color w:val="231F20"/>
          <w:spacing w:val="-10"/>
          <w:w w:val="120"/>
        </w:rPr>
        <w:t> </w:t>
      </w:r>
      <w:r>
        <w:rPr>
          <w:color w:val="231F20"/>
          <w:w w:val="120"/>
        </w:rPr>
        <w:t>entre</w:t>
      </w:r>
      <w:r>
        <w:rPr>
          <w:color w:val="231F20"/>
          <w:spacing w:val="-10"/>
          <w:w w:val="120"/>
        </w:rPr>
        <w:t> </w:t>
      </w:r>
      <w:r>
        <w:rPr>
          <w:color w:val="231F20"/>
          <w:w w:val="120"/>
        </w:rPr>
        <w:t>leurs propres comportements et les résultats qu’elles obtiennent.</w:t>
      </w:r>
    </w:p>
    <w:p>
      <w:pPr>
        <w:pStyle w:val="BodyText"/>
        <w:spacing w:before="8"/>
        <w:rPr>
          <w:sz w:val="26"/>
        </w:rPr>
      </w:pPr>
    </w:p>
    <w:p>
      <w:pPr>
        <w:pStyle w:val="Heading4"/>
        <w:numPr>
          <w:ilvl w:val="2"/>
          <w:numId w:val="44"/>
        </w:numPr>
        <w:tabs>
          <w:tab w:pos="529" w:val="left" w:leader="none"/>
          <w:tab w:pos="829" w:val="left" w:leader="none"/>
        </w:tabs>
        <w:spacing w:line="240" w:lineRule="auto" w:before="0" w:after="0"/>
        <w:ind w:left="528" w:right="0" w:hanging="394"/>
        <w:jc w:val="left"/>
      </w:pPr>
      <w:r>
        <w:rPr>
          <w:b w:val="0"/>
          <w:i/>
          <w:color w:val="231F20"/>
          <w:spacing w:val="-10"/>
        </w:rPr>
        <w:t>/</w:t>
      </w:r>
      <w:r>
        <w:rPr>
          <w:b w:val="0"/>
          <w:i/>
          <w:color w:val="231F20"/>
        </w:rPr>
        <w:tab/>
      </w:r>
      <w:r>
        <w:rPr>
          <w:color w:val="231F20"/>
          <w:w w:val="95"/>
        </w:rPr>
        <w:t>Mesure</w:t>
      </w:r>
      <w:r>
        <w:rPr>
          <w:color w:val="231F20"/>
          <w:spacing w:val="-6"/>
          <w:w w:val="95"/>
        </w:rPr>
        <w:t> </w:t>
      </w:r>
      <w:r>
        <w:rPr>
          <w:color w:val="231F20"/>
          <w:w w:val="95"/>
        </w:rPr>
        <w:t>combinée</w:t>
      </w:r>
      <w:r>
        <w:rPr>
          <w:color w:val="231F20"/>
          <w:spacing w:val="-6"/>
          <w:w w:val="95"/>
        </w:rPr>
        <w:t> </w:t>
      </w:r>
      <w:r>
        <w:rPr>
          <w:color w:val="231F20"/>
          <w:w w:val="95"/>
        </w:rPr>
        <w:t>de</w:t>
      </w:r>
      <w:r>
        <w:rPr>
          <w:color w:val="231F20"/>
          <w:spacing w:val="-6"/>
          <w:w w:val="95"/>
        </w:rPr>
        <w:t> </w:t>
      </w:r>
      <w:r>
        <w:rPr>
          <w:color w:val="231F20"/>
          <w:w w:val="95"/>
        </w:rPr>
        <w:t>la</w:t>
      </w:r>
      <w:r>
        <w:rPr>
          <w:color w:val="231F20"/>
          <w:spacing w:val="-6"/>
          <w:w w:val="95"/>
        </w:rPr>
        <w:t> </w:t>
      </w:r>
      <w:r>
        <w:rPr>
          <w:color w:val="231F20"/>
          <w:w w:val="95"/>
        </w:rPr>
        <w:t>personnalité</w:t>
      </w:r>
      <w:r>
        <w:rPr>
          <w:color w:val="231F20"/>
          <w:spacing w:val="-5"/>
          <w:w w:val="95"/>
        </w:rPr>
        <w:t> </w:t>
      </w:r>
      <w:r>
        <w:rPr>
          <w:color w:val="231F20"/>
          <w:w w:val="95"/>
        </w:rPr>
        <w:t>de</w:t>
      </w:r>
      <w:r>
        <w:rPr>
          <w:color w:val="231F20"/>
          <w:spacing w:val="-6"/>
          <w:w w:val="95"/>
        </w:rPr>
        <w:t> </w:t>
      </w:r>
      <w:r>
        <w:rPr>
          <w:color w:val="231F20"/>
          <w:w w:val="95"/>
        </w:rPr>
        <w:t>Dolan</w:t>
      </w:r>
      <w:r>
        <w:rPr>
          <w:color w:val="231F20"/>
          <w:spacing w:val="-6"/>
          <w:w w:val="95"/>
        </w:rPr>
        <w:t> </w:t>
      </w:r>
      <w:r>
        <w:rPr>
          <w:color w:val="231F20"/>
          <w:w w:val="95"/>
        </w:rPr>
        <w:t>et</w:t>
      </w:r>
      <w:r>
        <w:rPr>
          <w:color w:val="231F20"/>
          <w:spacing w:val="-6"/>
          <w:w w:val="95"/>
        </w:rPr>
        <w:t> </w:t>
      </w:r>
      <w:r>
        <w:rPr>
          <w:color w:val="231F20"/>
          <w:spacing w:val="-2"/>
          <w:w w:val="95"/>
        </w:rPr>
        <w:t>Arsenault</w:t>
      </w:r>
    </w:p>
    <w:p>
      <w:pPr>
        <w:pStyle w:val="BodyText"/>
        <w:spacing w:line="307" w:lineRule="auto" w:before="234"/>
        <w:ind w:left="830" w:right="494"/>
        <w:jc w:val="both"/>
      </w:pPr>
      <w:r>
        <w:rPr>
          <w:color w:val="231F20"/>
          <w:w w:val="120"/>
        </w:rPr>
        <w:t>Dans les pages qui précèdent, nous avons décrit certaines mesures de personnalité</w:t>
      </w:r>
      <w:r>
        <w:rPr>
          <w:color w:val="231F20"/>
          <w:spacing w:val="40"/>
          <w:w w:val="120"/>
        </w:rPr>
        <w:t> </w:t>
      </w:r>
      <w:r>
        <w:rPr>
          <w:color w:val="231F20"/>
          <w:w w:val="120"/>
        </w:rPr>
        <w:t>d’usage</w:t>
      </w:r>
      <w:r>
        <w:rPr>
          <w:color w:val="231F20"/>
          <w:spacing w:val="40"/>
          <w:w w:val="120"/>
        </w:rPr>
        <w:t> </w:t>
      </w:r>
      <w:r>
        <w:rPr>
          <w:color w:val="231F20"/>
          <w:w w:val="120"/>
        </w:rPr>
        <w:t>courant</w:t>
      </w:r>
      <w:r>
        <w:rPr>
          <w:color w:val="231F20"/>
          <w:spacing w:val="40"/>
          <w:w w:val="120"/>
        </w:rPr>
        <w:t> </w:t>
      </w:r>
      <w:r>
        <w:rPr>
          <w:color w:val="231F20"/>
          <w:w w:val="120"/>
        </w:rPr>
        <w:t>en</w:t>
      </w:r>
      <w:r>
        <w:rPr>
          <w:color w:val="231F20"/>
          <w:spacing w:val="40"/>
          <w:w w:val="120"/>
        </w:rPr>
        <w:t> </w:t>
      </w:r>
      <w:r>
        <w:rPr>
          <w:color w:val="231F20"/>
          <w:w w:val="120"/>
        </w:rPr>
        <w:t>recherche</w:t>
      </w:r>
      <w:r>
        <w:rPr>
          <w:color w:val="231F20"/>
          <w:spacing w:val="40"/>
          <w:w w:val="120"/>
        </w:rPr>
        <w:t> </w:t>
      </w:r>
      <w:r>
        <w:rPr>
          <w:color w:val="231F20"/>
          <w:w w:val="120"/>
        </w:rPr>
        <w:t>sur</w:t>
      </w:r>
      <w:r>
        <w:rPr>
          <w:color w:val="231F20"/>
          <w:spacing w:val="40"/>
          <w:w w:val="120"/>
        </w:rPr>
        <w:t> </w:t>
      </w:r>
      <w:r>
        <w:rPr>
          <w:color w:val="231F20"/>
          <w:w w:val="120"/>
        </w:rPr>
        <w:t>le</w:t>
      </w:r>
      <w:r>
        <w:rPr>
          <w:color w:val="231F20"/>
          <w:spacing w:val="40"/>
          <w:w w:val="120"/>
        </w:rPr>
        <w:t> </w:t>
      </w:r>
      <w:r>
        <w:rPr>
          <w:color w:val="231F20"/>
          <w:w w:val="120"/>
        </w:rPr>
        <w:t>stress.</w:t>
      </w:r>
      <w:r>
        <w:rPr>
          <w:color w:val="231F20"/>
          <w:spacing w:val="40"/>
          <w:w w:val="120"/>
        </w:rPr>
        <w:t> </w:t>
      </w:r>
      <w:r>
        <w:rPr>
          <w:color w:val="231F20"/>
          <w:w w:val="120"/>
        </w:rPr>
        <w:t>Au</w:t>
      </w:r>
      <w:r>
        <w:rPr>
          <w:color w:val="231F20"/>
          <w:spacing w:val="40"/>
          <w:w w:val="120"/>
        </w:rPr>
        <w:t> </w:t>
      </w:r>
      <w:r>
        <w:rPr>
          <w:color w:val="231F20"/>
          <w:w w:val="120"/>
        </w:rPr>
        <w:t>cours de recherches portant sur un vaste échantillon d’employés de divers secteurs, Dolan et Arsenault ont découvert qu’en combinant les types de</w:t>
      </w:r>
      <w:r>
        <w:rPr>
          <w:color w:val="231F20"/>
          <w:spacing w:val="-1"/>
          <w:w w:val="120"/>
        </w:rPr>
        <w:t> </w:t>
      </w:r>
      <w:r>
        <w:rPr>
          <w:color w:val="231F20"/>
          <w:w w:val="120"/>
        </w:rPr>
        <w:t>personnalité</w:t>
      </w:r>
      <w:r>
        <w:rPr>
          <w:color w:val="231F20"/>
          <w:spacing w:val="-1"/>
          <w:w w:val="120"/>
        </w:rPr>
        <w:t> </w:t>
      </w:r>
      <w:r>
        <w:rPr>
          <w:color w:val="231F20"/>
          <w:w w:val="120"/>
        </w:rPr>
        <w:t>A</w:t>
      </w:r>
      <w:r>
        <w:rPr>
          <w:color w:val="231F20"/>
          <w:spacing w:val="-1"/>
          <w:w w:val="120"/>
        </w:rPr>
        <w:t> </w:t>
      </w:r>
      <w:r>
        <w:rPr>
          <w:color w:val="231F20"/>
          <w:w w:val="120"/>
        </w:rPr>
        <w:t>et</w:t>
      </w:r>
      <w:r>
        <w:rPr>
          <w:color w:val="231F20"/>
          <w:spacing w:val="-1"/>
          <w:w w:val="120"/>
        </w:rPr>
        <w:t> </w:t>
      </w:r>
      <w:r>
        <w:rPr>
          <w:color w:val="231F20"/>
          <w:w w:val="120"/>
        </w:rPr>
        <w:t>B à</w:t>
      </w:r>
      <w:r>
        <w:rPr>
          <w:color w:val="231F20"/>
          <w:spacing w:val="-1"/>
          <w:w w:val="120"/>
        </w:rPr>
        <w:t> </w:t>
      </w:r>
      <w:r>
        <w:rPr>
          <w:color w:val="231F20"/>
          <w:w w:val="120"/>
        </w:rPr>
        <w:t>l’orientation</w:t>
      </w:r>
      <w:r>
        <w:rPr>
          <w:color w:val="231F20"/>
          <w:spacing w:val="-1"/>
          <w:w w:val="120"/>
        </w:rPr>
        <w:t> </w:t>
      </w:r>
      <w:r>
        <w:rPr>
          <w:color w:val="231F20"/>
          <w:w w:val="120"/>
        </w:rPr>
        <w:t>du</w:t>
      </w:r>
      <w:r>
        <w:rPr>
          <w:color w:val="231F20"/>
          <w:spacing w:val="-1"/>
          <w:w w:val="120"/>
        </w:rPr>
        <w:t> </w:t>
      </w:r>
      <w:r>
        <w:rPr>
          <w:color w:val="231F20"/>
          <w:w w:val="120"/>
        </w:rPr>
        <w:t>locus de</w:t>
      </w:r>
      <w:r>
        <w:rPr>
          <w:color w:val="231F20"/>
          <w:spacing w:val="-1"/>
          <w:w w:val="120"/>
        </w:rPr>
        <w:t> </w:t>
      </w:r>
      <w:r>
        <w:rPr>
          <w:color w:val="231F20"/>
          <w:w w:val="120"/>
        </w:rPr>
        <w:t>contrôle,</w:t>
      </w:r>
      <w:r>
        <w:rPr>
          <w:color w:val="231F20"/>
          <w:spacing w:val="-1"/>
          <w:w w:val="120"/>
        </w:rPr>
        <w:t> </w:t>
      </w:r>
      <w:r>
        <w:rPr>
          <w:color w:val="231F20"/>
          <w:w w:val="120"/>
        </w:rPr>
        <w:t>on</w:t>
      </w:r>
      <w:r>
        <w:rPr>
          <w:color w:val="231F20"/>
          <w:spacing w:val="-1"/>
          <w:w w:val="120"/>
        </w:rPr>
        <w:t> </w:t>
      </w:r>
      <w:r>
        <w:rPr>
          <w:color w:val="231F20"/>
          <w:spacing w:val="-2"/>
          <w:w w:val="120"/>
        </w:rPr>
        <w:t>pouvait</w:t>
      </w:r>
    </w:p>
    <w:p>
      <w:pPr>
        <w:spacing w:after="0" w:line="307" w:lineRule="auto"/>
        <w:jc w:val="both"/>
        <w:sectPr>
          <w:footerReference w:type="default" r:id="rId201"/>
          <w:pgSz w:w="8640" w:h="12960"/>
          <w:pgMar w:footer="424" w:header="0" w:top="520" w:bottom="620" w:left="420" w:right="1140"/>
        </w:sectPr>
      </w:pPr>
    </w:p>
    <w:p>
      <w:pPr>
        <w:spacing w:before="118"/>
        <w:ind w:left="2049" w:right="0" w:firstLine="0"/>
        <w:jc w:val="left"/>
        <w:rPr>
          <w:rFonts w:ascii="Arial" w:hAnsi="Arial"/>
          <w:sz w:val="14"/>
        </w:rPr>
      </w:pPr>
      <w:bookmarkStart w:name="Figure 3.6 / Modèle combiné de la person" w:id="102"/>
      <w:bookmarkEnd w:id="102"/>
      <w:r>
        <w:rPr/>
      </w:r>
      <w:bookmarkStart w:name="_bookmark43" w:id="103"/>
      <w:bookmarkEnd w:id="103"/>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19" w:right="103"/>
        <w:jc w:val="both"/>
      </w:pPr>
      <w:r>
        <w:rPr>
          <w:color w:val="231F20"/>
          <w:w w:val="120"/>
        </w:rPr>
        <w:t>nettement mieux expliquer comment les gens perçoivent leur </w:t>
      </w:r>
      <w:r>
        <w:rPr>
          <w:color w:val="231F20"/>
          <w:w w:val="120"/>
        </w:rPr>
        <w:t>milieu</w:t>
      </w:r>
      <w:r>
        <w:rPr>
          <w:color w:val="231F20"/>
          <w:spacing w:val="40"/>
          <w:w w:val="120"/>
        </w:rPr>
        <w:t> </w:t>
      </w:r>
      <w:r>
        <w:rPr>
          <w:color w:val="231F20"/>
          <w:w w:val="120"/>
        </w:rPr>
        <w:t>de travail et y réagissent9. Au moyen d’une méthode du partage sur la </w:t>
      </w:r>
      <w:r>
        <w:rPr>
          <w:color w:val="231F20"/>
          <w:w w:val="115"/>
        </w:rPr>
        <w:t>médiane,</w:t>
      </w:r>
      <w:r>
        <w:rPr>
          <w:color w:val="231F20"/>
          <w:spacing w:val="-3"/>
          <w:w w:val="115"/>
        </w:rPr>
        <w:t> </w:t>
      </w:r>
      <w:r>
        <w:rPr>
          <w:color w:val="231F20"/>
          <w:w w:val="115"/>
        </w:rPr>
        <w:t>ils</w:t>
      </w:r>
      <w:r>
        <w:rPr>
          <w:color w:val="231F20"/>
          <w:spacing w:val="-3"/>
          <w:w w:val="115"/>
        </w:rPr>
        <w:t> </w:t>
      </w:r>
      <w:r>
        <w:rPr>
          <w:color w:val="231F20"/>
          <w:w w:val="115"/>
        </w:rPr>
        <w:t>ont</w:t>
      </w:r>
      <w:r>
        <w:rPr>
          <w:color w:val="231F20"/>
          <w:spacing w:val="-3"/>
          <w:w w:val="115"/>
        </w:rPr>
        <w:t> </w:t>
      </w:r>
      <w:r>
        <w:rPr>
          <w:color w:val="231F20"/>
          <w:w w:val="115"/>
        </w:rPr>
        <w:t>divisé</w:t>
      </w:r>
      <w:r>
        <w:rPr>
          <w:color w:val="231F20"/>
          <w:spacing w:val="-3"/>
          <w:w w:val="115"/>
        </w:rPr>
        <w:t> </w:t>
      </w:r>
      <w:r>
        <w:rPr>
          <w:color w:val="231F20"/>
          <w:w w:val="115"/>
        </w:rPr>
        <w:t>chacune</w:t>
      </w:r>
      <w:r>
        <w:rPr>
          <w:color w:val="231F20"/>
          <w:spacing w:val="-3"/>
          <w:w w:val="115"/>
        </w:rPr>
        <w:t> </w:t>
      </w:r>
      <w:r>
        <w:rPr>
          <w:color w:val="231F20"/>
          <w:w w:val="115"/>
        </w:rPr>
        <w:t>de</w:t>
      </w:r>
      <w:r>
        <w:rPr>
          <w:color w:val="231F20"/>
          <w:spacing w:val="-3"/>
          <w:w w:val="115"/>
        </w:rPr>
        <w:t> </w:t>
      </w:r>
      <w:r>
        <w:rPr>
          <w:color w:val="231F20"/>
          <w:w w:val="115"/>
        </w:rPr>
        <w:t>ces</w:t>
      </w:r>
      <w:r>
        <w:rPr>
          <w:color w:val="231F20"/>
          <w:spacing w:val="-3"/>
          <w:w w:val="115"/>
        </w:rPr>
        <w:t> </w:t>
      </w:r>
      <w:r>
        <w:rPr>
          <w:color w:val="231F20"/>
          <w:w w:val="115"/>
        </w:rPr>
        <w:t>deux</w:t>
      </w:r>
      <w:r>
        <w:rPr>
          <w:color w:val="231F20"/>
          <w:spacing w:val="-3"/>
          <w:w w:val="115"/>
        </w:rPr>
        <w:t> </w:t>
      </w:r>
      <w:r>
        <w:rPr>
          <w:color w:val="231F20"/>
          <w:w w:val="115"/>
        </w:rPr>
        <w:t>échelles</w:t>
      </w:r>
      <w:r>
        <w:rPr>
          <w:color w:val="231F20"/>
          <w:spacing w:val="-3"/>
          <w:w w:val="115"/>
        </w:rPr>
        <w:t> </w:t>
      </w:r>
      <w:r>
        <w:rPr>
          <w:color w:val="231F20"/>
          <w:w w:val="115"/>
        </w:rPr>
        <w:t>de</w:t>
      </w:r>
      <w:r>
        <w:rPr>
          <w:color w:val="231F20"/>
          <w:spacing w:val="-3"/>
          <w:w w:val="115"/>
        </w:rPr>
        <w:t> </w:t>
      </w:r>
      <w:r>
        <w:rPr>
          <w:color w:val="231F20"/>
          <w:w w:val="115"/>
        </w:rPr>
        <w:t>la</w:t>
      </w:r>
      <w:r>
        <w:rPr>
          <w:color w:val="231F20"/>
          <w:spacing w:val="-3"/>
          <w:w w:val="115"/>
        </w:rPr>
        <w:t> </w:t>
      </w:r>
      <w:r>
        <w:rPr>
          <w:color w:val="231F20"/>
          <w:w w:val="115"/>
        </w:rPr>
        <w:t>personnalité</w:t>
      </w:r>
      <w:r>
        <w:rPr>
          <w:color w:val="231F20"/>
          <w:spacing w:val="-3"/>
          <w:w w:val="115"/>
        </w:rPr>
        <w:t> </w:t>
      </w:r>
      <w:r>
        <w:rPr>
          <w:color w:val="231F20"/>
          <w:w w:val="115"/>
        </w:rPr>
        <w:t>en </w:t>
      </w:r>
      <w:r>
        <w:rPr>
          <w:color w:val="231F20"/>
          <w:w w:val="120"/>
        </w:rPr>
        <w:t>deux au 50</w:t>
      </w:r>
      <w:r>
        <w:rPr>
          <w:color w:val="231F20"/>
          <w:w w:val="120"/>
          <w:position w:val="6"/>
          <w:sz w:val="10"/>
        </w:rPr>
        <w:t>e</w:t>
      </w:r>
      <w:r>
        <w:rPr>
          <w:color w:val="231F20"/>
          <w:spacing w:val="34"/>
          <w:w w:val="120"/>
          <w:position w:val="6"/>
          <w:sz w:val="10"/>
        </w:rPr>
        <w:t> </w:t>
      </w:r>
      <w:r>
        <w:rPr>
          <w:color w:val="231F20"/>
          <w:w w:val="120"/>
        </w:rPr>
        <w:t>centile, ce qui donnait quatre catégories de personnalité. Ces</w:t>
      </w:r>
      <w:r>
        <w:rPr>
          <w:color w:val="231F20"/>
          <w:spacing w:val="-8"/>
          <w:w w:val="120"/>
        </w:rPr>
        <w:t> </w:t>
      </w:r>
      <w:r>
        <w:rPr>
          <w:color w:val="231F20"/>
          <w:w w:val="120"/>
        </w:rPr>
        <w:t>auteurs</w:t>
      </w:r>
      <w:r>
        <w:rPr>
          <w:color w:val="231F20"/>
          <w:spacing w:val="-8"/>
          <w:w w:val="120"/>
        </w:rPr>
        <w:t> </w:t>
      </w:r>
      <w:r>
        <w:rPr>
          <w:color w:val="231F20"/>
          <w:w w:val="120"/>
        </w:rPr>
        <w:t>ont</w:t>
      </w:r>
      <w:r>
        <w:rPr>
          <w:color w:val="231F20"/>
          <w:spacing w:val="-8"/>
          <w:w w:val="120"/>
        </w:rPr>
        <w:t> </w:t>
      </w:r>
      <w:r>
        <w:rPr>
          <w:color w:val="231F20"/>
          <w:w w:val="120"/>
        </w:rPr>
        <w:t>alors</w:t>
      </w:r>
      <w:r>
        <w:rPr>
          <w:color w:val="231F20"/>
          <w:spacing w:val="-8"/>
          <w:w w:val="120"/>
        </w:rPr>
        <w:t> </w:t>
      </w:r>
      <w:r>
        <w:rPr>
          <w:color w:val="231F20"/>
          <w:w w:val="120"/>
        </w:rPr>
        <w:t>attribué</w:t>
      </w:r>
      <w:r>
        <w:rPr>
          <w:color w:val="231F20"/>
          <w:spacing w:val="-8"/>
          <w:w w:val="120"/>
        </w:rPr>
        <w:t> </w:t>
      </w:r>
      <w:r>
        <w:rPr>
          <w:color w:val="231F20"/>
          <w:w w:val="120"/>
        </w:rPr>
        <w:t>des</w:t>
      </w:r>
      <w:r>
        <w:rPr>
          <w:color w:val="231F20"/>
          <w:spacing w:val="-8"/>
          <w:w w:val="120"/>
        </w:rPr>
        <w:t> </w:t>
      </w:r>
      <w:r>
        <w:rPr>
          <w:color w:val="231F20"/>
          <w:w w:val="120"/>
        </w:rPr>
        <w:t>étiquettes</w:t>
      </w:r>
      <w:r>
        <w:rPr>
          <w:color w:val="231F20"/>
          <w:spacing w:val="-8"/>
          <w:w w:val="120"/>
        </w:rPr>
        <w:t> </w:t>
      </w:r>
      <w:r>
        <w:rPr>
          <w:color w:val="231F20"/>
          <w:w w:val="120"/>
        </w:rPr>
        <w:t>aux</w:t>
      </w:r>
      <w:r>
        <w:rPr>
          <w:color w:val="231F20"/>
          <w:spacing w:val="-8"/>
          <w:w w:val="120"/>
        </w:rPr>
        <w:t> </w:t>
      </w:r>
      <w:r>
        <w:rPr>
          <w:color w:val="231F20"/>
          <w:w w:val="120"/>
        </w:rPr>
        <w:t>types</w:t>
      </w:r>
      <w:r>
        <w:rPr>
          <w:color w:val="231F20"/>
          <w:spacing w:val="-8"/>
          <w:w w:val="120"/>
        </w:rPr>
        <w:t> </w:t>
      </w:r>
      <w:r>
        <w:rPr>
          <w:color w:val="231F20"/>
          <w:w w:val="120"/>
        </w:rPr>
        <w:t>de</w:t>
      </w:r>
      <w:r>
        <w:rPr>
          <w:color w:val="231F20"/>
          <w:spacing w:val="-8"/>
          <w:w w:val="120"/>
        </w:rPr>
        <w:t> </w:t>
      </w:r>
      <w:r>
        <w:rPr>
          <w:color w:val="231F20"/>
          <w:w w:val="120"/>
        </w:rPr>
        <w:t>personnalité</w:t>
      </w:r>
      <w:r>
        <w:rPr>
          <w:color w:val="231F20"/>
          <w:spacing w:val="-8"/>
          <w:w w:val="120"/>
        </w:rPr>
        <w:t> </w:t>
      </w:r>
      <w:r>
        <w:rPr>
          <w:color w:val="231F20"/>
          <w:w w:val="120"/>
        </w:rPr>
        <w:t>à </w:t>
      </w:r>
      <w:r>
        <w:rPr>
          <w:color w:val="231F20"/>
          <w:spacing w:val="-2"/>
          <w:w w:val="120"/>
        </w:rPr>
        <w:t>partir</w:t>
      </w:r>
      <w:r>
        <w:rPr>
          <w:color w:val="231F20"/>
          <w:spacing w:val="-13"/>
          <w:w w:val="120"/>
        </w:rPr>
        <w:t> </w:t>
      </w:r>
      <w:r>
        <w:rPr>
          <w:color w:val="231F20"/>
          <w:spacing w:val="-2"/>
          <w:w w:val="120"/>
        </w:rPr>
        <w:t>des</w:t>
      </w:r>
      <w:r>
        <w:rPr>
          <w:color w:val="231F20"/>
          <w:spacing w:val="-11"/>
          <w:w w:val="120"/>
        </w:rPr>
        <w:t> </w:t>
      </w:r>
      <w:r>
        <w:rPr>
          <w:color w:val="231F20"/>
          <w:spacing w:val="-2"/>
          <w:w w:val="120"/>
        </w:rPr>
        <w:t>arguments</w:t>
      </w:r>
      <w:r>
        <w:rPr>
          <w:color w:val="231F20"/>
          <w:spacing w:val="-11"/>
          <w:w w:val="120"/>
        </w:rPr>
        <w:t> </w:t>
      </w:r>
      <w:r>
        <w:rPr>
          <w:color w:val="231F20"/>
          <w:spacing w:val="-2"/>
          <w:w w:val="120"/>
        </w:rPr>
        <w:t>suivants.</w:t>
      </w:r>
      <w:r>
        <w:rPr>
          <w:color w:val="231F20"/>
          <w:spacing w:val="-10"/>
          <w:w w:val="120"/>
        </w:rPr>
        <w:t> </w:t>
      </w:r>
      <w:r>
        <w:rPr>
          <w:color w:val="231F20"/>
          <w:spacing w:val="-2"/>
          <w:w w:val="120"/>
        </w:rPr>
        <w:t>Ils</w:t>
      </w:r>
      <w:r>
        <w:rPr>
          <w:color w:val="231F20"/>
          <w:spacing w:val="-11"/>
          <w:w w:val="120"/>
        </w:rPr>
        <w:t> </w:t>
      </w:r>
      <w:r>
        <w:rPr>
          <w:color w:val="231F20"/>
          <w:spacing w:val="-2"/>
          <w:w w:val="120"/>
        </w:rPr>
        <w:t>ont</w:t>
      </w:r>
      <w:r>
        <w:rPr>
          <w:color w:val="231F20"/>
          <w:spacing w:val="-11"/>
          <w:w w:val="120"/>
        </w:rPr>
        <w:t> </w:t>
      </w:r>
      <w:r>
        <w:rPr>
          <w:color w:val="231F20"/>
          <w:spacing w:val="-2"/>
          <w:w w:val="120"/>
        </w:rPr>
        <w:t>appelé</w:t>
      </w:r>
      <w:r>
        <w:rPr>
          <w:color w:val="231F20"/>
          <w:spacing w:val="-11"/>
          <w:w w:val="120"/>
        </w:rPr>
        <w:t> </w:t>
      </w:r>
      <w:r>
        <w:rPr>
          <w:color w:val="231F20"/>
          <w:spacing w:val="-2"/>
          <w:w w:val="120"/>
        </w:rPr>
        <w:t>la</w:t>
      </w:r>
      <w:r>
        <w:rPr>
          <w:color w:val="231F20"/>
          <w:spacing w:val="-10"/>
          <w:w w:val="120"/>
        </w:rPr>
        <w:t> </w:t>
      </w:r>
      <w:r>
        <w:rPr>
          <w:color w:val="231F20"/>
          <w:spacing w:val="-2"/>
          <w:w w:val="120"/>
        </w:rPr>
        <w:t>personnalité</w:t>
      </w:r>
      <w:r>
        <w:rPr>
          <w:color w:val="231F20"/>
          <w:spacing w:val="-11"/>
          <w:w w:val="120"/>
        </w:rPr>
        <w:t> </w:t>
      </w:r>
      <w:r>
        <w:rPr>
          <w:color w:val="231F20"/>
          <w:spacing w:val="-2"/>
          <w:w w:val="120"/>
        </w:rPr>
        <w:t>de</w:t>
      </w:r>
      <w:r>
        <w:rPr>
          <w:color w:val="231F20"/>
          <w:spacing w:val="-11"/>
          <w:w w:val="120"/>
        </w:rPr>
        <w:t> </w:t>
      </w:r>
      <w:r>
        <w:rPr>
          <w:color w:val="231F20"/>
          <w:spacing w:val="-2"/>
          <w:w w:val="120"/>
        </w:rPr>
        <w:t>type</w:t>
      </w:r>
      <w:r>
        <w:rPr>
          <w:color w:val="231F20"/>
          <w:spacing w:val="-11"/>
          <w:w w:val="120"/>
        </w:rPr>
        <w:t> </w:t>
      </w:r>
      <w:r>
        <w:rPr>
          <w:color w:val="231F20"/>
          <w:spacing w:val="-2"/>
          <w:w w:val="120"/>
        </w:rPr>
        <w:t>A</w:t>
      </w:r>
      <w:r>
        <w:rPr>
          <w:color w:val="231F20"/>
          <w:spacing w:val="-10"/>
          <w:w w:val="120"/>
        </w:rPr>
        <w:t> </w:t>
      </w:r>
      <w:r>
        <w:rPr>
          <w:i/>
          <w:color w:val="231F20"/>
          <w:spacing w:val="-2"/>
          <w:w w:val="120"/>
        </w:rPr>
        <w:t>hot </w:t>
      </w:r>
      <w:r>
        <w:rPr>
          <w:color w:val="231F20"/>
          <w:w w:val="120"/>
        </w:rPr>
        <w:t>(«</w:t>
      </w:r>
      <w:r>
        <w:rPr>
          <w:color w:val="231F20"/>
          <w:spacing w:val="-13"/>
          <w:w w:val="120"/>
        </w:rPr>
        <w:t> </w:t>
      </w:r>
      <w:r>
        <w:rPr>
          <w:color w:val="231F20"/>
          <w:w w:val="120"/>
        </w:rPr>
        <w:t>chaud</w:t>
      </w:r>
      <w:r>
        <w:rPr>
          <w:color w:val="231F20"/>
          <w:spacing w:val="-13"/>
          <w:w w:val="120"/>
        </w:rPr>
        <w:t> </w:t>
      </w:r>
      <w:r>
        <w:rPr>
          <w:color w:val="231F20"/>
          <w:w w:val="120"/>
        </w:rPr>
        <w:t>»,</w:t>
      </w:r>
      <w:r>
        <w:rPr>
          <w:color w:val="231F20"/>
          <w:spacing w:val="-12"/>
          <w:w w:val="120"/>
        </w:rPr>
        <w:t> </w:t>
      </w:r>
      <w:r>
        <w:rPr>
          <w:color w:val="231F20"/>
          <w:w w:val="120"/>
        </w:rPr>
        <w:t>comme un tempérament bouillant) et celle de type B </w:t>
      </w:r>
      <w:r>
        <w:rPr>
          <w:i/>
          <w:color w:val="231F20"/>
          <w:w w:val="120"/>
        </w:rPr>
        <w:t>cool </w:t>
      </w:r>
      <w:r>
        <w:rPr>
          <w:color w:val="231F20"/>
          <w:w w:val="120"/>
        </w:rPr>
        <w:t>(comme</w:t>
      </w:r>
      <w:r>
        <w:rPr>
          <w:color w:val="231F20"/>
          <w:spacing w:val="-13"/>
          <w:w w:val="120"/>
        </w:rPr>
        <w:t> </w:t>
      </w:r>
      <w:r>
        <w:rPr>
          <w:color w:val="231F20"/>
          <w:w w:val="120"/>
        </w:rPr>
        <w:t>le</w:t>
      </w:r>
      <w:r>
        <w:rPr>
          <w:color w:val="231F20"/>
          <w:spacing w:val="-13"/>
          <w:w w:val="120"/>
        </w:rPr>
        <w:t> </w:t>
      </w:r>
      <w:r>
        <w:rPr>
          <w:color w:val="231F20"/>
          <w:w w:val="120"/>
        </w:rPr>
        <w:t>jazz</w:t>
      </w:r>
      <w:r>
        <w:rPr>
          <w:color w:val="231F20"/>
          <w:spacing w:val="-10"/>
          <w:w w:val="120"/>
        </w:rPr>
        <w:t> </w:t>
      </w:r>
      <w:r>
        <w:rPr>
          <w:color w:val="231F20"/>
          <w:w w:val="120"/>
        </w:rPr>
        <w:t>«</w:t>
      </w:r>
      <w:r>
        <w:rPr>
          <w:color w:val="231F20"/>
          <w:spacing w:val="-13"/>
          <w:w w:val="120"/>
        </w:rPr>
        <w:t> </w:t>
      </w:r>
      <w:r>
        <w:rPr>
          <w:color w:val="231F20"/>
          <w:w w:val="120"/>
        </w:rPr>
        <w:t>cool</w:t>
      </w:r>
      <w:r>
        <w:rPr>
          <w:color w:val="231F20"/>
          <w:spacing w:val="-13"/>
          <w:w w:val="120"/>
        </w:rPr>
        <w:t> </w:t>
      </w:r>
      <w:r>
        <w:rPr>
          <w:color w:val="231F20"/>
          <w:w w:val="120"/>
        </w:rPr>
        <w:t>», relax,</w:t>
      </w:r>
      <w:r>
        <w:rPr>
          <w:color w:val="231F20"/>
          <w:spacing w:val="-1"/>
          <w:w w:val="120"/>
        </w:rPr>
        <w:t> </w:t>
      </w:r>
      <w:r>
        <w:rPr>
          <w:color w:val="231F20"/>
          <w:w w:val="120"/>
        </w:rPr>
        <w:t>qui</w:t>
      </w:r>
      <w:r>
        <w:rPr>
          <w:color w:val="231F20"/>
          <w:spacing w:val="-1"/>
          <w:w w:val="120"/>
        </w:rPr>
        <w:t> </w:t>
      </w:r>
      <w:r>
        <w:rPr>
          <w:color w:val="231F20"/>
          <w:w w:val="120"/>
        </w:rPr>
        <w:t>prend</w:t>
      </w:r>
      <w:r>
        <w:rPr>
          <w:color w:val="231F20"/>
          <w:spacing w:val="-1"/>
          <w:w w:val="120"/>
        </w:rPr>
        <w:t> </w:t>
      </w:r>
      <w:r>
        <w:rPr>
          <w:color w:val="231F20"/>
          <w:w w:val="120"/>
        </w:rPr>
        <w:t>son</w:t>
      </w:r>
      <w:r>
        <w:rPr>
          <w:color w:val="231F20"/>
          <w:spacing w:val="-1"/>
          <w:w w:val="120"/>
        </w:rPr>
        <w:t> </w:t>
      </w:r>
      <w:r>
        <w:rPr>
          <w:color w:val="231F20"/>
          <w:w w:val="120"/>
        </w:rPr>
        <w:t>temps).</w:t>
      </w:r>
      <w:r>
        <w:rPr>
          <w:color w:val="231F20"/>
          <w:spacing w:val="-1"/>
          <w:w w:val="120"/>
        </w:rPr>
        <w:t> </w:t>
      </w:r>
      <w:r>
        <w:rPr>
          <w:color w:val="231F20"/>
          <w:w w:val="120"/>
        </w:rPr>
        <w:t>Ils</w:t>
      </w:r>
      <w:r>
        <w:rPr>
          <w:color w:val="231F20"/>
          <w:spacing w:val="-1"/>
          <w:w w:val="120"/>
        </w:rPr>
        <w:t> </w:t>
      </w:r>
      <w:r>
        <w:rPr>
          <w:color w:val="231F20"/>
          <w:w w:val="120"/>
        </w:rPr>
        <w:t>ont</w:t>
      </w:r>
      <w:r>
        <w:rPr>
          <w:color w:val="231F20"/>
          <w:spacing w:val="-1"/>
          <w:w w:val="120"/>
        </w:rPr>
        <w:t> </w:t>
      </w:r>
      <w:r>
        <w:rPr>
          <w:color w:val="231F20"/>
          <w:w w:val="120"/>
        </w:rPr>
        <w:t>associé</w:t>
      </w:r>
      <w:r>
        <w:rPr>
          <w:color w:val="231F20"/>
          <w:spacing w:val="-1"/>
          <w:w w:val="120"/>
        </w:rPr>
        <w:t> </w:t>
      </w:r>
      <w:r>
        <w:rPr>
          <w:color w:val="231F20"/>
          <w:w w:val="120"/>
        </w:rPr>
        <w:t>au </w:t>
      </w:r>
      <w:r>
        <w:rPr>
          <w:color w:val="231F20"/>
          <w:w w:val="115"/>
        </w:rPr>
        <w:t>locus</w:t>
      </w:r>
      <w:r>
        <w:rPr>
          <w:color w:val="231F20"/>
          <w:spacing w:val="-8"/>
          <w:w w:val="115"/>
        </w:rPr>
        <w:t> </w:t>
      </w:r>
      <w:r>
        <w:rPr>
          <w:color w:val="231F20"/>
          <w:w w:val="115"/>
        </w:rPr>
        <w:t>de</w:t>
      </w:r>
      <w:r>
        <w:rPr>
          <w:color w:val="231F20"/>
          <w:spacing w:val="-8"/>
          <w:w w:val="115"/>
        </w:rPr>
        <w:t> </w:t>
      </w:r>
      <w:r>
        <w:rPr>
          <w:color w:val="231F20"/>
          <w:w w:val="115"/>
        </w:rPr>
        <w:t>contrôle</w:t>
      </w:r>
      <w:r>
        <w:rPr>
          <w:color w:val="231F20"/>
          <w:spacing w:val="-8"/>
          <w:w w:val="115"/>
        </w:rPr>
        <w:t> </w:t>
      </w:r>
      <w:r>
        <w:rPr>
          <w:color w:val="231F20"/>
          <w:w w:val="115"/>
        </w:rPr>
        <w:t>deux</w:t>
      </w:r>
      <w:r>
        <w:rPr>
          <w:color w:val="231F20"/>
          <w:spacing w:val="-8"/>
          <w:w w:val="115"/>
        </w:rPr>
        <w:t> </w:t>
      </w:r>
      <w:r>
        <w:rPr>
          <w:color w:val="231F20"/>
          <w:w w:val="115"/>
        </w:rPr>
        <w:t>types</w:t>
      </w:r>
      <w:r>
        <w:rPr>
          <w:color w:val="231F20"/>
          <w:spacing w:val="-8"/>
          <w:w w:val="115"/>
        </w:rPr>
        <w:t> </w:t>
      </w:r>
      <w:r>
        <w:rPr>
          <w:color w:val="231F20"/>
          <w:w w:val="115"/>
        </w:rPr>
        <w:t>d’animaux:</w:t>
      </w:r>
      <w:r>
        <w:rPr>
          <w:color w:val="231F20"/>
          <w:spacing w:val="-8"/>
          <w:w w:val="115"/>
        </w:rPr>
        <w:t> </w:t>
      </w:r>
      <w:r>
        <w:rPr>
          <w:color w:val="231F20"/>
          <w:w w:val="115"/>
        </w:rPr>
        <w:t>ainsi,</w:t>
      </w:r>
      <w:r>
        <w:rPr>
          <w:color w:val="231F20"/>
          <w:spacing w:val="-8"/>
          <w:w w:val="115"/>
        </w:rPr>
        <w:t> </w:t>
      </w:r>
      <w:r>
        <w:rPr>
          <w:color w:val="231F20"/>
          <w:w w:val="115"/>
        </w:rPr>
        <w:t>le</w:t>
      </w:r>
      <w:r>
        <w:rPr>
          <w:color w:val="231F20"/>
          <w:spacing w:val="-8"/>
          <w:w w:val="115"/>
        </w:rPr>
        <w:t> </w:t>
      </w:r>
      <w:r>
        <w:rPr>
          <w:color w:val="231F20"/>
          <w:w w:val="115"/>
        </w:rPr>
        <w:t>locus</w:t>
      </w:r>
      <w:r>
        <w:rPr>
          <w:color w:val="231F20"/>
          <w:spacing w:val="-8"/>
          <w:w w:val="115"/>
        </w:rPr>
        <w:t> </w:t>
      </w:r>
      <w:r>
        <w:rPr>
          <w:color w:val="231F20"/>
          <w:w w:val="115"/>
        </w:rPr>
        <w:t>de</w:t>
      </w:r>
      <w:r>
        <w:rPr>
          <w:color w:val="231F20"/>
          <w:spacing w:val="-8"/>
          <w:w w:val="115"/>
        </w:rPr>
        <w:t> </w:t>
      </w:r>
      <w:r>
        <w:rPr>
          <w:color w:val="231F20"/>
          <w:w w:val="115"/>
        </w:rPr>
        <w:t>contrôle</w:t>
      </w:r>
      <w:r>
        <w:rPr>
          <w:color w:val="231F20"/>
          <w:spacing w:val="-8"/>
          <w:w w:val="115"/>
        </w:rPr>
        <w:t> </w:t>
      </w:r>
      <w:r>
        <w:rPr>
          <w:color w:val="231F20"/>
          <w:w w:val="115"/>
        </w:rPr>
        <w:t>interne </w:t>
      </w:r>
      <w:r>
        <w:rPr>
          <w:color w:val="231F20"/>
          <w:w w:val="120"/>
        </w:rPr>
        <w:t>est</w:t>
      </w:r>
      <w:r>
        <w:rPr>
          <w:color w:val="231F20"/>
          <w:spacing w:val="-13"/>
          <w:w w:val="120"/>
        </w:rPr>
        <w:t> </w:t>
      </w:r>
      <w:r>
        <w:rPr>
          <w:color w:val="231F20"/>
          <w:w w:val="120"/>
        </w:rPr>
        <w:t>devenu</w:t>
      </w:r>
      <w:r>
        <w:rPr>
          <w:color w:val="231F20"/>
          <w:spacing w:val="-13"/>
          <w:w w:val="120"/>
        </w:rPr>
        <w:t> </w:t>
      </w:r>
      <w:r>
        <w:rPr>
          <w:i/>
          <w:color w:val="231F20"/>
          <w:w w:val="120"/>
        </w:rPr>
        <w:t>cat</w:t>
      </w:r>
      <w:r>
        <w:rPr>
          <w:i/>
          <w:color w:val="231F20"/>
          <w:spacing w:val="-13"/>
          <w:w w:val="120"/>
        </w:rPr>
        <w:t> </w:t>
      </w:r>
      <w:r>
        <w:rPr>
          <w:color w:val="231F20"/>
          <w:w w:val="120"/>
        </w:rPr>
        <w:t>(si</w:t>
      </w:r>
      <w:r>
        <w:rPr>
          <w:color w:val="231F20"/>
          <w:spacing w:val="-12"/>
          <w:w w:val="120"/>
        </w:rPr>
        <w:t> </w:t>
      </w:r>
      <w:r>
        <w:rPr>
          <w:color w:val="231F20"/>
          <w:w w:val="120"/>
        </w:rPr>
        <w:t>vous</w:t>
      </w:r>
      <w:r>
        <w:rPr>
          <w:color w:val="231F20"/>
          <w:spacing w:val="-13"/>
          <w:w w:val="120"/>
        </w:rPr>
        <w:t> </w:t>
      </w:r>
      <w:r>
        <w:rPr>
          <w:color w:val="231F20"/>
          <w:w w:val="120"/>
        </w:rPr>
        <w:t>avez</w:t>
      </w:r>
      <w:r>
        <w:rPr>
          <w:color w:val="231F20"/>
          <w:spacing w:val="-13"/>
          <w:w w:val="120"/>
        </w:rPr>
        <w:t> </w:t>
      </w:r>
      <w:r>
        <w:rPr>
          <w:color w:val="231F20"/>
          <w:w w:val="120"/>
        </w:rPr>
        <w:t>un</w:t>
      </w:r>
      <w:r>
        <w:rPr>
          <w:color w:val="231F20"/>
          <w:spacing w:val="-13"/>
          <w:w w:val="120"/>
        </w:rPr>
        <w:t> </w:t>
      </w:r>
      <w:r>
        <w:rPr>
          <w:color w:val="231F20"/>
          <w:w w:val="120"/>
        </w:rPr>
        <w:t>chat,</w:t>
      </w:r>
      <w:r>
        <w:rPr>
          <w:color w:val="231F20"/>
          <w:spacing w:val="-12"/>
          <w:w w:val="120"/>
        </w:rPr>
        <w:t> </w:t>
      </w:r>
      <w:r>
        <w:rPr>
          <w:color w:val="231F20"/>
          <w:w w:val="120"/>
        </w:rPr>
        <w:t>vous</w:t>
      </w:r>
      <w:r>
        <w:rPr>
          <w:color w:val="231F20"/>
          <w:spacing w:val="-13"/>
          <w:w w:val="120"/>
        </w:rPr>
        <w:t> </w:t>
      </w:r>
      <w:r>
        <w:rPr>
          <w:color w:val="231F20"/>
          <w:w w:val="120"/>
        </w:rPr>
        <w:t>savez</w:t>
      </w:r>
      <w:r>
        <w:rPr>
          <w:color w:val="231F20"/>
          <w:spacing w:val="-13"/>
          <w:w w:val="120"/>
        </w:rPr>
        <w:t> </w:t>
      </w:r>
      <w:r>
        <w:rPr>
          <w:color w:val="231F20"/>
          <w:w w:val="120"/>
        </w:rPr>
        <w:t>que</w:t>
      </w:r>
      <w:r>
        <w:rPr>
          <w:color w:val="231F20"/>
          <w:spacing w:val="-13"/>
          <w:w w:val="120"/>
        </w:rPr>
        <w:t> </w:t>
      </w:r>
      <w:r>
        <w:rPr>
          <w:color w:val="231F20"/>
          <w:w w:val="120"/>
        </w:rPr>
        <w:t>c’est</w:t>
      </w:r>
      <w:r>
        <w:rPr>
          <w:color w:val="231F20"/>
          <w:spacing w:val="-12"/>
          <w:w w:val="120"/>
        </w:rPr>
        <w:t> </w:t>
      </w:r>
      <w:r>
        <w:rPr>
          <w:color w:val="231F20"/>
          <w:w w:val="120"/>
        </w:rPr>
        <w:t>un</w:t>
      </w:r>
      <w:r>
        <w:rPr>
          <w:color w:val="231F20"/>
          <w:spacing w:val="-13"/>
          <w:w w:val="120"/>
        </w:rPr>
        <w:t> </w:t>
      </w:r>
      <w:r>
        <w:rPr>
          <w:color w:val="231F20"/>
          <w:w w:val="120"/>
        </w:rPr>
        <w:t>animal</w:t>
      </w:r>
      <w:r>
        <w:rPr>
          <w:color w:val="231F20"/>
          <w:spacing w:val="-13"/>
          <w:w w:val="120"/>
        </w:rPr>
        <w:t> </w:t>
      </w:r>
      <w:r>
        <w:rPr>
          <w:color w:val="231F20"/>
          <w:w w:val="120"/>
        </w:rPr>
        <w:t>très indépendant) et le locus de contrôle externe, </w:t>
      </w:r>
      <w:r>
        <w:rPr>
          <w:i/>
          <w:color w:val="231F20"/>
          <w:w w:val="120"/>
        </w:rPr>
        <w:t>dog </w:t>
      </w:r>
      <w:r>
        <w:rPr>
          <w:color w:val="231F20"/>
          <w:w w:val="120"/>
        </w:rPr>
        <w:t>(si vous possédez un </w:t>
      </w:r>
      <w:r>
        <w:rPr>
          <w:color w:val="231F20"/>
          <w:spacing w:val="-2"/>
          <w:w w:val="120"/>
        </w:rPr>
        <w:t>chien,</w:t>
      </w:r>
      <w:r>
        <w:rPr>
          <w:color w:val="231F20"/>
          <w:spacing w:val="-10"/>
          <w:w w:val="120"/>
        </w:rPr>
        <w:t> </w:t>
      </w:r>
      <w:r>
        <w:rPr>
          <w:color w:val="231F20"/>
          <w:spacing w:val="-2"/>
          <w:w w:val="120"/>
        </w:rPr>
        <w:t>vous</w:t>
      </w:r>
      <w:r>
        <w:rPr>
          <w:color w:val="231F20"/>
          <w:spacing w:val="-10"/>
          <w:w w:val="120"/>
        </w:rPr>
        <w:t> </w:t>
      </w:r>
      <w:r>
        <w:rPr>
          <w:color w:val="231F20"/>
          <w:spacing w:val="-2"/>
          <w:w w:val="120"/>
        </w:rPr>
        <w:t>savez</w:t>
      </w:r>
      <w:r>
        <w:rPr>
          <w:color w:val="231F20"/>
          <w:spacing w:val="-10"/>
          <w:w w:val="120"/>
        </w:rPr>
        <w:t> </w:t>
      </w:r>
      <w:r>
        <w:rPr>
          <w:color w:val="231F20"/>
          <w:spacing w:val="-2"/>
          <w:w w:val="120"/>
        </w:rPr>
        <w:t>que</w:t>
      </w:r>
      <w:r>
        <w:rPr>
          <w:color w:val="231F20"/>
          <w:spacing w:val="-10"/>
          <w:w w:val="120"/>
        </w:rPr>
        <w:t> </w:t>
      </w:r>
      <w:r>
        <w:rPr>
          <w:color w:val="231F20"/>
          <w:spacing w:val="-2"/>
          <w:w w:val="120"/>
        </w:rPr>
        <w:t>cet</w:t>
      </w:r>
      <w:r>
        <w:rPr>
          <w:color w:val="231F20"/>
          <w:spacing w:val="-10"/>
          <w:w w:val="120"/>
        </w:rPr>
        <w:t> </w:t>
      </w:r>
      <w:r>
        <w:rPr>
          <w:color w:val="231F20"/>
          <w:spacing w:val="-2"/>
          <w:w w:val="120"/>
        </w:rPr>
        <w:t>animal</w:t>
      </w:r>
      <w:r>
        <w:rPr>
          <w:color w:val="231F20"/>
          <w:spacing w:val="-10"/>
          <w:w w:val="120"/>
        </w:rPr>
        <w:t> </w:t>
      </w:r>
      <w:r>
        <w:rPr>
          <w:color w:val="231F20"/>
          <w:spacing w:val="-2"/>
          <w:w w:val="120"/>
        </w:rPr>
        <w:t>dépend</w:t>
      </w:r>
      <w:r>
        <w:rPr>
          <w:color w:val="231F20"/>
          <w:spacing w:val="-10"/>
          <w:w w:val="120"/>
        </w:rPr>
        <w:t> </w:t>
      </w:r>
      <w:r>
        <w:rPr>
          <w:color w:val="231F20"/>
          <w:spacing w:val="-2"/>
          <w:w w:val="120"/>
        </w:rPr>
        <w:t>beaucoup</w:t>
      </w:r>
      <w:r>
        <w:rPr>
          <w:color w:val="231F20"/>
          <w:spacing w:val="-10"/>
          <w:w w:val="120"/>
        </w:rPr>
        <w:t> </w:t>
      </w:r>
      <w:r>
        <w:rPr>
          <w:color w:val="231F20"/>
          <w:spacing w:val="-2"/>
          <w:w w:val="120"/>
        </w:rPr>
        <w:t>des</w:t>
      </w:r>
      <w:r>
        <w:rPr>
          <w:color w:val="231F20"/>
          <w:spacing w:val="-10"/>
          <w:w w:val="120"/>
        </w:rPr>
        <w:t> </w:t>
      </w:r>
      <w:r>
        <w:rPr>
          <w:color w:val="231F20"/>
          <w:spacing w:val="-2"/>
          <w:w w:val="120"/>
        </w:rPr>
        <w:t>stimuli</w:t>
      </w:r>
      <w:r>
        <w:rPr>
          <w:color w:val="231F20"/>
          <w:spacing w:val="-10"/>
          <w:w w:val="120"/>
        </w:rPr>
        <w:t> </w:t>
      </w:r>
      <w:r>
        <w:rPr>
          <w:color w:val="231F20"/>
          <w:spacing w:val="-2"/>
          <w:w w:val="120"/>
        </w:rPr>
        <w:t>externes). </w:t>
      </w:r>
      <w:r>
        <w:rPr>
          <w:color w:val="231F20"/>
          <w:w w:val="120"/>
        </w:rPr>
        <w:t>La figure 3.6 illustre cette typologie.</w:t>
      </w:r>
    </w:p>
    <w:p>
      <w:pPr>
        <w:pStyle w:val="BodyText"/>
        <w:spacing w:before="5"/>
        <w:rPr>
          <w:sz w:val="11"/>
        </w:rPr>
      </w:pPr>
      <w:r>
        <w:rPr/>
        <w:pict>
          <v:group style="position:absolute;margin-left:82pt;margin-top:7.811328pt;width:287.5pt;height:252.6pt;mso-position-horizontal-relative:page;mso-position-vertical-relative:paragraph;z-index:-15672320;mso-wrap-distance-left:0;mso-wrap-distance-right:0" id="docshapegroup721" coordorigin="1640,156" coordsize="5750,5052">
            <v:shape style="position:absolute;left:1640;top:156;width:5750;height:5052" id="docshape722" coordorigin="1640,156" coordsize="5750,5052" path="m7390,156l1640,156,1640,701,1640,861,1640,4538,1640,4648,1640,5208,7390,5208,7390,4648,7390,4538,7390,861,7390,701,7390,156xe" filled="true" fillcolor="#e2e3e4" stroked="false">
              <v:path arrowok="t"/>
              <v:fill type="solid"/>
            </v:shape>
            <v:line style="position:absolute" from="1890,4535" to="7140,4535" stroked="true" strokeweight=".25pt" strokecolor="#231f20">
              <v:stroke dashstyle="shortdot"/>
            </v:line>
            <v:shape style="position:absolute;left:1914;top:2242;width:5191;height:663" id="docshape723" coordorigin="1915,2242" coordsize="5191,663" path="m2577,2573l2568,2497,2543,2428,2504,2366,2453,2315,2392,2276,2322,2251,2246,2242,2170,2251,2100,2276,2039,2315,1987,2366,1948,2428,1923,2497,1915,2573,1923,2649,1948,2719,1987,2781,2039,2832,2100,2871,2170,2896,2246,2905,2322,2896,2392,2871,2453,2832,2504,2781,2543,2719,2568,2649,2577,2573xm7105,2573l7096,2497,7071,2428,7032,2366,6981,2315,6920,2276,6850,2251,6774,2242,6698,2251,6628,2276,6567,2315,6515,2366,6476,2428,6451,2497,6443,2573,6451,2649,6476,2719,6515,2781,6567,2832,6628,2871,6698,2896,6774,2905,6850,2896,6920,2871,6981,2832,7032,2781,7071,2719,7096,2649,7105,2573xe" filled="true" fillcolor="#ffffff" stroked="false">
              <v:path arrowok="t"/>
              <v:fill type="solid"/>
            </v:shape>
            <v:shape style="position:absolute;left:6569;top:2351;width:409;height:444" type="#_x0000_t75" id="docshape724" stroked="false">
              <v:imagedata r:id="rId203" o:title=""/>
            </v:shape>
            <v:shape style="position:absolute;left:1997;top:2362;width:497;height:418" type="#_x0000_t75" id="docshape725" stroked="false">
              <v:imagedata r:id="rId204" o:title=""/>
            </v:shape>
            <v:line style="position:absolute" from="4515,3873" to="4515,1274" stroked="true" strokeweight=".5pt" strokecolor="#231f20">
              <v:stroke dashstyle="solid"/>
            </v:line>
            <v:shape style="position:absolute;left:4480;top:1223;width:70;height:2700" id="docshape726" coordorigin="4480,1224" coordsize="70,2700" path="m4550,3863l4480,3863,4515,3923,4550,3863xm4550,1284l4515,1224,4480,1284,4550,1284xe" filled="true" fillcolor="#231f20" stroked="false">
              <v:path arrowok="t"/>
              <v:fill type="solid"/>
            </v:shape>
            <v:line style="position:absolute" from="2751,2573" to="6280,2573" stroked="true" strokeweight=".5pt" strokecolor="#231f20">
              <v:stroke dashstyle="solid"/>
            </v:line>
            <v:shape style="position:absolute;left:2700;top:2538;width:3629;height:70" id="docshape727" coordorigin="2701,2538" coordsize="3629,70" path="m2761,2538l2701,2573,2761,2608,2761,2538xm6330,2573l6269,2538,6269,2608,6330,2573xe" filled="true" fillcolor="#231f20" stroked="false">
              <v:path arrowok="t"/>
              <v:fill type="solid"/>
            </v:shape>
            <v:shape style="position:absolute;left:1889;top:328;width:3689;height:246" type="#_x0000_t202" id="docshape728" filled="false" stroked="false">
              <v:textbox inset="0,0,0,0">
                <w:txbxContent>
                  <w:p>
                    <w:pPr>
                      <w:spacing w:before="44"/>
                      <w:ind w:left="0" w:right="0" w:firstLine="0"/>
                      <w:jc w:val="left"/>
                      <w:rPr>
                        <w:rFonts w:ascii="Arial" w:hAnsi="Arial"/>
                        <w:b/>
                        <w:sz w:val="17"/>
                      </w:rPr>
                    </w:pPr>
                    <w:r>
                      <w:rPr>
                        <w:rFonts w:ascii="Arial" w:hAnsi="Arial"/>
                        <w:color w:val="231F20"/>
                        <w:sz w:val="17"/>
                      </w:rPr>
                      <w:t>Figure</w:t>
                    </w:r>
                    <w:r>
                      <w:rPr>
                        <w:rFonts w:ascii="Arial" w:hAnsi="Arial"/>
                        <w:color w:val="231F20"/>
                        <w:spacing w:val="-12"/>
                        <w:sz w:val="17"/>
                      </w:rPr>
                      <w:t> </w:t>
                    </w:r>
                    <w:r>
                      <w:rPr>
                        <w:rFonts w:ascii="Arial" w:hAnsi="Arial"/>
                        <w:color w:val="231F20"/>
                        <w:sz w:val="17"/>
                      </w:rPr>
                      <w:t>3.6</w:t>
                    </w:r>
                    <w:r>
                      <w:rPr>
                        <w:rFonts w:ascii="Arial" w:hAnsi="Arial"/>
                        <w:color w:val="231F20"/>
                        <w:spacing w:val="-16"/>
                        <w:sz w:val="17"/>
                      </w:rPr>
                      <w:t> </w:t>
                    </w:r>
                    <w:r>
                      <w:rPr>
                        <w:rFonts w:ascii="Arial" w:hAnsi="Arial"/>
                        <w:i/>
                        <w:color w:val="231F20"/>
                        <w:sz w:val="17"/>
                      </w:rPr>
                      <w:t>/</w:t>
                    </w:r>
                    <w:r>
                      <w:rPr>
                        <w:rFonts w:ascii="Arial" w:hAnsi="Arial"/>
                        <w:i/>
                        <w:color w:val="231F20"/>
                        <w:spacing w:val="32"/>
                        <w:sz w:val="17"/>
                      </w:rPr>
                      <w:t> </w:t>
                    </w:r>
                    <w:r>
                      <w:rPr>
                        <w:rFonts w:ascii="Arial" w:hAnsi="Arial"/>
                        <w:b/>
                        <w:color w:val="231F20"/>
                        <w:sz w:val="17"/>
                      </w:rPr>
                      <w:t>Modèle</w:t>
                    </w:r>
                    <w:r>
                      <w:rPr>
                        <w:rFonts w:ascii="Arial" w:hAnsi="Arial"/>
                        <w:b/>
                        <w:color w:val="231F20"/>
                        <w:spacing w:val="-12"/>
                        <w:sz w:val="17"/>
                      </w:rPr>
                      <w:t> </w:t>
                    </w:r>
                    <w:r>
                      <w:rPr>
                        <w:rFonts w:ascii="Arial" w:hAnsi="Arial"/>
                        <w:b/>
                        <w:color w:val="231F20"/>
                        <w:sz w:val="17"/>
                      </w:rPr>
                      <w:t>combiné</w:t>
                    </w:r>
                    <w:r>
                      <w:rPr>
                        <w:rFonts w:ascii="Arial" w:hAnsi="Arial"/>
                        <w:b/>
                        <w:color w:val="231F20"/>
                        <w:spacing w:val="-12"/>
                        <w:sz w:val="17"/>
                      </w:rPr>
                      <w:t> </w:t>
                    </w:r>
                    <w:r>
                      <w:rPr>
                        <w:rFonts w:ascii="Arial" w:hAnsi="Arial"/>
                        <w:b/>
                        <w:color w:val="231F20"/>
                        <w:sz w:val="17"/>
                      </w:rPr>
                      <w:t>de</w:t>
                    </w:r>
                    <w:r>
                      <w:rPr>
                        <w:rFonts w:ascii="Arial" w:hAnsi="Arial"/>
                        <w:b/>
                        <w:color w:val="231F20"/>
                        <w:spacing w:val="-11"/>
                        <w:sz w:val="17"/>
                      </w:rPr>
                      <w:t> </w:t>
                    </w:r>
                    <w:r>
                      <w:rPr>
                        <w:rFonts w:ascii="Arial" w:hAnsi="Arial"/>
                        <w:b/>
                        <w:color w:val="231F20"/>
                        <w:sz w:val="17"/>
                      </w:rPr>
                      <w:t>la</w:t>
                    </w:r>
                    <w:r>
                      <w:rPr>
                        <w:rFonts w:ascii="Arial" w:hAnsi="Arial"/>
                        <w:b/>
                        <w:color w:val="231F20"/>
                        <w:spacing w:val="-12"/>
                        <w:sz w:val="17"/>
                      </w:rPr>
                      <w:t> </w:t>
                    </w:r>
                    <w:r>
                      <w:rPr>
                        <w:rFonts w:ascii="Arial" w:hAnsi="Arial"/>
                        <w:b/>
                        <w:color w:val="231F20"/>
                        <w:spacing w:val="-2"/>
                        <w:sz w:val="17"/>
                      </w:rPr>
                      <w:t>personnalité</w:t>
                    </w:r>
                  </w:p>
                </w:txbxContent>
              </v:textbox>
              <w10:wrap type="none"/>
            </v:shape>
            <v:shape style="position:absolute;left:3085;top:1543;width:943;height:615" type="#_x0000_t202" id="docshape729" filled="false" stroked="false">
              <v:textbox inset="0,0,0,0">
                <w:txbxContent>
                  <w:p>
                    <w:pPr>
                      <w:spacing w:before="21"/>
                      <w:ind w:left="201" w:right="0" w:firstLine="0"/>
                      <w:jc w:val="left"/>
                      <w:rPr>
                        <w:rFonts w:ascii="Arial"/>
                        <w:b/>
                        <w:sz w:val="15"/>
                      </w:rPr>
                    </w:pPr>
                    <w:r>
                      <w:rPr>
                        <w:rFonts w:ascii="Arial"/>
                        <w:b/>
                        <w:color w:val="231F20"/>
                        <w:w w:val="95"/>
                        <w:sz w:val="15"/>
                      </w:rPr>
                      <w:t>Hot</w:t>
                    </w:r>
                    <w:r>
                      <w:rPr>
                        <w:rFonts w:ascii="Arial"/>
                        <w:b/>
                        <w:color w:val="231F20"/>
                        <w:spacing w:val="-9"/>
                        <w:w w:val="95"/>
                        <w:sz w:val="15"/>
                      </w:rPr>
                      <w:t> </w:t>
                    </w:r>
                    <w:r>
                      <w:rPr>
                        <w:rFonts w:ascii="Arial"/>
                        <w:b/>
                        <w:color w:val="231F20"/>
                        <w:spacing w:val="-5"/>
                        <w:sz w:val="15"/>
                      </w:rPr>
                      <w:t>dog</w:t>
                    </w:r>
                  </w:p>
                  <w:p>
                    <w:pPr>
                      <w:spacing w:line="249" w:lineRule="auto" w:before="64"/>
                      <w:ind w:left="0" w:right="18" w:firstLine="131"/>
                      <w:jc w:val="left"/>
                      <w:rPr>
                        <w:rFonts w:ascii="Arial" w:hAnsi="Arial"/>
                        <w:sz w:val="15"/>
                      </w:rPr>
                    </w:pPr>
                    <w:r>
                      <w:rPr>
                        <w:rFonts w:ascii="Arial" w:hAnsi="Arial"/>
                        <w:color w:val="231F20"/>
                        <w:spacing w:val="-2"/>
                        <w:sz w:val="15"/>
                      </w:rPr>
                      <w:t>Compétitif</w:t>
                    </w:r>
                    <w:r>
                      <w:rPr>
                        <w:rFonts w:ascii="Arial" w:hAnsi="Arial"/>
                        <w:color w:val="231F20"/>
                        <w:spacing w:val="40"/>
                        <w:sz w:val="15"/>
                      </w:rPr>
                      <w:t> </w:t>
                    </w:r>
                    <w:r>
                      <w:rPr>
                        <w:rFonts w:ascii="Arial" w:hAnsi="Arial"/>
                        <w:color w:val="231F20"/>
                        <w:w w:val="95"/>
                        <w:sz w:val="15"/>
                      </w:rPr>
                      <w:t>et</w:t>
                    </w:r>
                    <w:r>
                      <w:rPr>
                        <w:rFonts w:ascii="Arial" w:hAnsi="Arial"/>
                        <w:color w:val="231F20"/>
                        <w:spacing w:val="-11"/>
                        <w:w w:val="95"/>
                        <w:sz w:val="15"/>
                      </w:rPr>
                      <w:t> </w:t>
                    </w:r>
                    <w:r>
                      <w:rPr>
                        <w:rFonts w:ascii="Arial" w:hAnsi="Arial"/>
                        <w:color w:val="231F20"/>
                        <w:w w:val="95"/>
                        <w:sz w:val="15"/>
                      </w:rPr>
                      <w:t>hétéronome</w:t>
                    </w:r>
                  </w:p>
                </w:txbxContent>
              </v:textbox>
              <w10:wrap type="none"/>
            </v:shape>
            <v:shape style="position:absolute;left:5052;top:1543;width:812;height:615" type="#_x0000_t202" id="docshape730" filled="false" stroked="false">
              <v:textbox inset="0,0,0,0">
                <w:txbxContent>
                  <w:p>
                    <w:pPr>
                      <w:spacing w:before="21"/>
                      <w:ind w:left="161" w:right="0" w:firstLine="0"/>
                      <w:jc w:val="left"/>
                      <w:rPr>
                        <w:rFonts w:ascii="Arial"/>
                        <w:b/>
                        <w:sz w:val="15"/>
                      </w:rPr>
                    </w:pPr>
                    <w:r>
                      <w:rPr>
                        <w:rFonts w:ascii="Arial"/>
                        <w:b/>
                        <w:color w:val="231F20"/>
                        <w:w w:val="95"/>
                        <w:sz w:val="15"/>
                      </w:rPr>
                      <w:t>Hot</w:t>
                    </w:r>
                    <w:r>
                      <w:rPr>
                        <w:rFonts w:ascii="Arial"/>
                        <w:b/>
                        <w:color w:val="231F20"/>
                        <w:spacing w:val="-9"/>
                        <w:w w:val="95"/>
                        <w:sz w:val="15"/>
                      </w:rPr>
                      <w:t> </w:t>
                    </w:r>
                    <w:r>
                      <w:rPr>
                        <w:rFonts w:ascii="Arial"/>
                        <w:b/>
                        <w:color w:val="231F20"/>
                        <w:spacing w:val="-5"/>
                        <w:sz w:val="15"/>
                      </w:rPr>
                      <w:t>cat</w:t>
                    </w:r>
                  </w:p>
                  <w:p>
                    <w:pPr>
                      <w:spacing w:line="249" w:lineRule="auto" w:before="64"/>
                      <w:ind w:left="0" w:right="0" w:firstLine="66"/>
                      <w:jc w:val="left"/>
                      <w:rPr>
                        <w:rFonts w:ascii="Arial" w:hAnsi="Arial"/>
                        <w:sz w:val="15"/>
                      </w:rPr>
                    </w:pPr>
                    <w:r>
                      <w:rPr>
                        <w:rFonts w:ascii="Arial" w:hAnsi="Arial"/>
                        <w:color w:val="231F20"/>
                        <w:spacing w:val="-2"/>
                        <w:sz w:val="15"/>
                      </w:rPr>
                      <w:t>Compétitif</w:t>
                    </w:r>
                    <w:r>
                      <w:rPr>
                        <w:rFonts w:ascii="Arial" w:hAnsi="Arial"/>
                        <w:color w:val="231F20"/>
                        <w:sz w:val="15"/>
                      </w:rPr>
                      <w:t> et</w:t>
                    </w:r>
                    <w:r>
                      <w:rPr>
                        <w:rFonts w:ascii="Arial" w:hAnsi="Arial"/>
                        <w:color w:val="231F20"/>
                        <w:spacing w:val="-13"/>
                        <w:sz w:val="15"/>
                      </w:rPr>
                      <w:t> </w:t>
                    </w:r>
                    <w:r>
                      <w:rPr>
                        <w:rFonts w:ascii="Arial" w:hAnsi="Arial"/>
                        <w:color w:val="231F20"/>
                        <w:spacing w:val="-2"/>
                        <w:w w:val="95"/>
                        <w:sz w:val="15"/>
                      </w:rPr>
                      <w:t>autonome</w:t>
                    </w:r>
                  </w:p>
                </w:txbxContent>
              </v:textbox>
              <w10:wrap type="none"/>
            </v:shape>
            <v:shape style="position:absolute;left:3082;top:2877;width:949;height:615" type="#_x0000_t202" id="docshape731" filled="false" stroked="false">
              <v:textbox inset="0,0,0,0">
                <w:txbxContent>
                  <w:p>
                    <w:pPr>
                      <w:spacing w:before="21"/>
                      <w:ind w:left="0" w:right="18" w:firstLine="0"/>
                      <w:jc w:val="center"/>
                      <w:rPr>
                        <w:rFonts w:ascii="Arial"/>
                        <w:b/>
                        <w:sz w:val="15"/>
                      </w:rPr>
                    </w:pPr>
                    <w:r>
                      <w:rPr>
                        <w:rFonts w:ascii="Arial"/>
                        <w:b/>
                        <w:color w:val="231F20"/>
                        <w:w w:val="85"/>
                        <w:sz w:val="15"/>
                      </w:rPr>
                      <w:t>Cool</w:t>
                    </w:r>
                    <w:r>
                      <w:rPr>
                        <w:rFonts w:ascii="Arial"/>
                        <w:b/>
                        <w:color w:val="231F20"/>
                        <w:spacing w:val="-4"/>
                        <w:w w:val="85"/>
                        <w:sz w:val="15"/>
                      </w:rPr>
                      <w:t> </w:t>
                    </w:r>
                    <w:r>
                      <w:rPr>
                        <w:rFonts w:ascii="Arial"/>
                        <w:b/>
                        <w:color w:val="231F20"/>
                        <w:spacing w:val="-5"/>
                        <w:sz w:val="15"/>
                      </w:rPr>
                      <w:t>dog</w:t>
                    </w:r>
                  </w:p>
                  <w:p>
                    <w:pPr>
                      <w:spacing w:line="249" w:lineRule="auto" w:before="64"/>
                      <w:ind w:left="-1" w:right="18" w:firstLine="0"/>
                      <w:jc w:val="center"/>
                      <w:rPr>
                        <w:rFonts w:ascii="Arial" w:hAnsi="Arial"/>
                        <w:sz w:val="15"/>
                      </w:rPr>
                    </w:pPr>
                    <w:r>
                      <w:rPr>
                        <w:rFonts w:ascii="Arial" w:hAnsi="Arial"/>
                        <w:color w:val="231F20"/>
                        <w:spacing w:val="-2"/>
                        <w:sz w:val="15"/>
                      </w:rPr>
                      <w:t>Non</w:t>
                    </w:r>
                    <w:r>
                      <w:rPr>
                        <w:rFonts w:ascii="Arial" w:hAnsi="Arial"/>
                        <w:color w:val="231F20"/>
                        <w:spacing w:val="-13"/>
                        <w:sz w:val="15"/>
                      </w:rPr>
                      <w:t> </w:t>
                    </w:r>
                    <w:r>
                      <w:rPr>
                        <w:rFonts w:ascii="Arial" w:hAnsi="Arial"/>
                        <w:color w:val="231F20"/>
                        <w:spacing w:val="-2"/>
                        <w:sz w:val="15"/>
                      </w:rPr>
                      <w:t>compétitif</w:t>
                    </w:r>
                    <w:r>
                      <w:rPr>
                        <w:rFonts w:ascii="Arial" w:hAnsi="Arial"/>
                        <w:color w:val="231F20"/>
                        <w:sz w:val="15"/>
                      </w:rPr>
                      <w:t> et</w:t>
                    </w:r>
                    <w:r>
                      <w:rPr>
                        <w:rFonts w:ascii="Arial" w:hAnsi="Arial"/>
                        <w:color w:val="231F20"/>
                        <w:spacing w:val="-13"/>
                        <w:sz w:val="15"/>
                      </w:rPr>
                      <w:t> </w:t>
                    </w:r>
                    <w:r>
                      <w:rPr>
                        <w:rFonts w:ascii="Arial" w:hAnsi="Arial"/>
                        <w:color w:val="231F20"/>
                        <w:spacing w:val="-2"/>
                        <w:w w:val="95"/>
                        <w:sz w:val="15"/>
                      </w:rPr>
                      <w:t>hétéronome</w:t>
                    </w:r>
                  </w:p>
                </w:txbxContent>
              </v:textbox>
              <w10:wrap type="none"/>
            </v:shape>
            <v:shape style="position:absolute;left:4983;top:2877;width:949;height:615" type="#_x0000_t202" id="docshape732" filled="false" stroked="false">
              <v:textbox inset="0,0,0,0">
                <w:txbxContent>
                  <w:p>
                    <w:pPr>
                      <w:spacing w:before="21"/>
                      <w:ind w:left="0" w:right="18" w:firstLine="0"/>
                      <w:jc w:val="center"/>
                      <w:rPr>
                        <w:rFonts w:ascii="Arial"/>
                        <w:b/>
                        <w:sz w:val="15"/>
                      </w:rPr>
                    </w:pPr>
                    <w:r>
                      <w:rPr>
                        <w:rFonts w:ascii="Arial"/>
                        <w:b/>
                        <w:color w:val="231F20"/>
                        <w:w w:val="85"/>
                        <w:sz w:val="15"/>
                      </w:rPr>
                      <w:t>Cool</w:t>
                    </w:r>
                    <w:r>
                      <w:rPr>
                        <w:rFonts w:ascii="Arial"/>
                        <w:b/>
                        <w:color w:val="231F20"/>
                        <w:spacing w:val="-4"/>
                        <w:w w:val="85"/>
                        <w:sz w:val="15"/>
                      </w:rPr>
                      <w:t> </w:t>
                    </w:r>
                    <w:r>
                      <w:rPr>
                        <w:rFonts w:ascii="Arial"/>
                        <w:b/>
                        <w:color w:val="231F20"/>
                        <w:spacing w:val="-5"/>
                        <w:sz w:val="15"/>
                      </w:rPr>
                      <w:t>cat</w:t>
                    </w:r>
                  </w:p>
                  <w:p>
                    <w:pPr>
                      <w:spacing w:line="249" w:lineRule="auto" w:before="64"/>
                      <w:ind w:left="0" w:right="18" w:firstLine="0"/>
                      <w:jc w:val="center"/>
                      <w:rPr>
                        <w:rFonts w:ascii="Arial" w:hAnsi="Arial"/>
                        <w:sz w:val="15"/>
                      </w:rPr>
                    </w:pPr>
                    <w:r>
                      <w:rPr>
                        <w:rFonts w:ascii="Arial" w:hAnsi="Arial"/>
                        <w:color w:val="231F20"/>
                        <w:spacing w:val="-2"/>
                        <w:sz w:val="15"/>
                      </w:rPr>
                      <w:t>Non</w:t>
                    </w:r>
                    <w:r>
                      <w:rPr>
                        <w:rFonts w:ascii="Arial" w:hAnsi="Arial"/>
                        <w:color w:val="231F20"/>
                        <w:spacing w:val="-13"/>
                        <w:sz w:val="15"/>
                      </w:rPr>
                      <w:t> </w:t>
                    </w:r>
                    <w:r>
                      <w:rPr>
                        <w:rFonts w:ascii="Arial" w:hAnsi="Arial"/>
                        <w:color w:val="231F20"/>
                        <w:spacing w:val="-2"/>
                        <w:sz w:val="15"/>
                      </w:rPr>
                      <w:t>compétitif</w:t>
                    </w:r>
                    <w:r>
                      <w:rPr>
                        <w:rFonts w:ascii="Arial" w:hAnsi="Arial"/>
                        <w:color w:val="231F20"/>
                        <w:sz w:val="15"/>
                      </w:rPr>
                      <w:t> et</w:t>
                    </w:r>
                    <w:r>
                      <w:rPr>
                        <w:rFonts w:ascii="Arial" w:hAnsi="Arial"/>
                        <w:color w:val="231F20"/>
                        <w:spacing w:val="-13"/>
                        <w:sz w:val="15"/>
                      </w:rPr>
                      <w:t> </w:t>
                    </w:r>
                    <w:r>
                      <w:rPr>
                        <w:rFonts w:ascii="Arial" w:hAnsi="Arial"/>
                        <w:color w:val="231F20"/>
                        <w:sz w:val="15"/>
                      </w:rPr>
                      <w:t>autonome</w:t>
                    </w:r>
                  </w:p>
                </w:txbxContent>
              </v:textbox>
              <w10:wrap type="none"/>
            </v:shape>
            <v:shape style="position:absolute;left:1890;top:4647;width:5271;height:340" type="#_x0000_t202" id="docshape733" filled="false" stroked="false">
              <v:textbox inset="0,0,0,0">
                <w:txbxContent>
                  <w:p>
                    <w:pPr>
                      <w:spacing w:line="295" w:lineRule="auto" w:before="23"/>
                      <w:ind w:left="0" w:right="18" w:firstLine="0"/>
                      <w:jc w:val="left"/>
                      <w:rPr>
                        <w:rFonts w:ascii="Arial" w:hAnsi="Arial"/>
                        <w:sz w:val="12"/>
                      </w:rPr>
                    </w:pPr>
                    <w:r>
                      <w:rPr>
                        <w:rFonts w:ascii="Arial" w:hAnsi="Arial"/>
                        <w:color w:val="231F20"/>
                        <w:spacing w:val="-2"/>
                        <w:sz w:val="12"/>
                      </w:rPr>
                      <w:t>Source</w:t>
                    </w:r>
                    <w:r>
                      <w:rPr>
                        <w:rFonts w:ascii="Arial" w:hAnsi="Arial"/>
                        <w:color w:val="231F20"/>
                        <w:spacing w:val="-20"/>
                        <w:sz w:val="12"/>
                      </w:rPr>
                      <w:t> </w:t>
                    </w:r>
                    <w:r>
                      <w:rPr>
                        <w:rFonts w:ascii="Arial" w:hAnsi="Arial"/>
                        <w:color w:val="231F20"/>
                        <w:spacing w:val="-2"/>
                        <w:sz w:val="12"/>
                      </w:rPr>
                      <w:t>: Gosselin, E., Dolan, S. et Morin, D. (2017). </w:t>
                    </w:r>
                    <w:r>
                      <w:rPr>
                        <w:rFonts w:ascii="Arial" w:hAnsi="Arial"/>
                        <w:i/>
                        <w:color w:val="231F20"/>
                        <w:spacing w:val="-2"/>
                        <w:sz w:val="12"/>
                      </w:rPr>
                      <w:t>Aspects humains des organisations: psychologie</w:t>
                    </w:r>
                    <w:r>
                      <w:rPr>
                        <w:rFonts w:ascii="Arial" w:hAnsi="Arial"/>
                        <w:i/>
                        <w:color w:val="231F20"/>
                        <w:spacing w:val="40"/>
                        <w:sz w:val="12"/>
                      </w:rPr>
                      <w:t> </w:t>
                    </w:r>
                    <w:r>
                      <w:rPr>
                        <w:rFonts w:ascii="Arial" w:hAnsi="Arial"/>
                        <w:i/>
                        <w:color w:val="231F20"/>
                        <w:sz w:val="12"/>
                      </w:rPr>
                      <w:t>du travail et comportement organisationnel</w:t>
                    </w:r>
                    <w:r>
                      <w:rPr>
                        <w:rFonts w:ascii="Arial" w:hAnsi="Arial"/>
                        <w:color w:val="231F20"/>
                        <w:sz w:val="12"/>
                      </w:rPr>
                      <w:t>, Chenelière Éducation, Montréal, p. 199.</w:t>
                    </w:r>
                  </w:p>
                </w:txbxContent>
              </v:textbox>
              <w10:wrap type="none"/>
            </v:shape>
            <v:shape style="position:absolute;left:1890;top:4045;width:5250;height:319" type="#_x0000_t202" id="docshape734" filled="true" fillcolor="#c7c8ca" stroked="false">
              <v:textbox inset="0,0,0,0">
                <w:txbxContent>
                  <w:p>
                    <w:pPr>
                      <w:spacing w:before="67"/>
                      <w:ind w:left="2407" w:right="2407" w:firstLine="0"/>
                      <w:jc w:val="center"/>
                      <w:rPr>
                        <w:rFonts w:ascii="Arial"/>
                        <w:b/>
                        <w:color w:val="000000"/>
                        <w:sz w:val="15"/>
                      </w:rPr>
                    </w:pPr>
                    <w:r>
                      <w:rPr>
                        <w:rFonts w:ascii="Arial"/>
                        <w:b/>
                        <w:color w:val="231F20"/>
                        <w:spacing w:val="-4"/>
                        <w:w w:val="95"/>
                        <w:sz w:val="15"/>
                      </w:rPr>
                      <w:t>COOL</w:t>
                    </w:r>
                  </w:p>
                </w:txbxContent>
              </v:textbox>
              <v:fill type="solid"/>
              <w10:wrap type="none"/>
            </v:shape>
            <v:shape style="position:absolute;left:1890;top:778;width:5250;height:321" type="#_x0000_t202" id="docshape735" filled="true" fillcolor="#636466" stroked="false">
              <v:textbox inset="0,0,0,0">
                <w:txbxContent>
                  <w:p>
                    <w:pPr>
                      <w:spacing w:before="65"/>
                      <w:ind w:left="2405" w:right="2407" w:firstLine="0"/>
                      <w:jc w:val="center"/>
                      <w:rPr>
                        <w:rFonts w:ascii="Arial"/>
                        <w:b/>
                        <w:color w:val="000000"/>
                        <w:sz w:val="15"/>
                      </w:rPr>
                    </w:pPr>
                    <w:r>
                      <w:rPr>
                        <w:rFonts w:ascii="Arial"/>
                        <w:b/>
                        <w:color w:val="FFFFFF"/>
                        <w:spacing w:val="-5"/>
                        <w:sz w:val="15"/>
                      </w:rPr>
                      <w:t>HOT</w:t>
                    </w:r>
                  </w:p>
                </w:txbxContent>
              </v:textbox>
              <v:fill type="solid"/>
              <w10:wrap type="none"/>
            </v:shape>
            <w10:wrap type="topAndBottom"/>
          </v:group>
        </w:pict>
      </w:r>
    </w:p>
    <w:p>
      <w:pPr>
        <w:pStyle w:val="BodyText"/>
        <w:rPr>
          <w:sz w:val="20"/>
        </w:rPr>
      </w:pPr>
    </w:p>
    <w:p>
      <w:pPr>
        <w:pStyle w:val="BodyText"/>
        <w:spacing w:before="10"/>
        <w:rPr>
          <w:sz w:val="29"/>
        </w:rPr>
      </w:pPr>
      <w:r>
        <w:rPr/>
        <w:pict>
          <v:shape style="position:absolute;margin-left:81.999901pt;margin-top:18.420977pt;width:287.5pt;height:.1pt;mso-position-horizontal-relative:page;mso-position-vertical-relative:paragraph;z-index:-15671808;mso-wrap-distance-left:0;mso-wrap-distance-right:0" id="docshape736" coordorigin="1640,368" coordsize="5750,0" path="m1640,368l7390,368e" filled="false" stroked="true" strokeweight=".25pt" strokecolor="#231f20">
            <v:path arrowok="t"/>
            <v:stroke dashstyle="shortdot"/>
            <w10:wrap type="topAndBottom"/>
          </v:shape>
        </w:pict>
      </w:r>
    </w:p>
    <w:p>
      <w:pPr>
        <w:pStyle w:val="ListParagraph"/>
        <w:numPr>
          <w:ilvl w:val="0"/>
          <w:numId w:val="42"/>
        </w:numPr>
        <w:tabs>
          <w:tab w:pos="1220" w:val="left" w:leader="none"/>
        </w:tabs>
        <w:spacing w:line="295" w:lineRule="auto" w:before="135" w:after="0"/>
        <w:ind w:left="1219" w:right="103" w:hanging="328"/>
        <w:jc w:val="both"/>
        <w:rPr>
          <w:rFonts w:ascii="Arial" w:hAnsi="Arial"/>
          <w:sz w:val="12"/>
        </w:rPr>
      </w:pPr>
      <w:r>
        <w:rPr>
          <w:rFonts w:ascii="Arial" w:hAnsi="Arial"/>
          <w:color w:val="231F20"/>
          <w:sz w:val="12"/>
        </w:rPr>
        <w:t>Dolan,</w:t>
      </w:r>
      <w:r>
        <w:rPr>
          <w:rFonts w:ascii="Arial" w:hAnsi="Arial"/>
          <w:color w:val="231F20"/>
          <w:spacing w:val="-9"/>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et</w:t>
      </w:r>
      <w:r>
        <w:rPr>
          <w:rFonts w:ascii="Arial" w:hAnsi="Arial"/>
          <w:color w:val="231F20"/>
          <w:spacing w:val="-9"/>
          <w:sz w:val="12"/>
        </w:rPr>
        <w:t> </w:t>
      </w:r>
      <w:r>
        <w:rPr>
          <w:rFonts w:ascii="Arial" w:hAnsi="Arial"/>
          <w:color w:val="231F20"/>
          <w:sz w:val="12"/>
        </w:rPr>
        <w:t>Arsenault,</w:t>
      </w:r>
      <w:r>
        <w:rPr>
          <w:rFonts w:ascii="Arial" w:hAnsi="Arial"/>
          <w:color w:val="231F20"/>
          <w:spacing w:val="-8"/>
          <w:sz w:val="12"/>
        </w:rPr>
        <w:t> </w:t>
      </w:r>
      <w:r>
        <w:rPr>
          <w:rFonts w:ascii="Arial" w:hAnsi="Arial"/>
          <w:color w:val="231F20"/>
          <w:sz w:val="12"/>
        </w:rPr>
        <w:t>A.</w:t>
      </w:r>
      <w:r>
        <w:rPr>
          <w:rFonts w:ascii="Arial" w:hAnsi="Arial"/>
          <w:color w:val="231F20"/>
          <w:spacing w:val="-8"/>
          <w:sz w:val="12"/>
        </w:rPr>
        <w:t> </w:t>
      </w:r>
      <w:r>
        <w:rPr>
          <w:rFonts w:ascii="Arial" w:hAnsi="Arial"/>
          <w:color w:val="231F20"/>
          <w:sz w:val="12"/>
        </w:rPr>
        <w:t>(1984).</w:t>
      </w:r>
      <w:r>
        <w:rPr>
          <w:rFonts w:ascii="Arial" w:hAnsi="Arial"/>
          <w:color w:val="231F20"/>
          <w:spacing w:val="-9"/>
          <w:sz w:val="12"/>
        </w:rPr>
        <w:t> </w:t>
      </w:r>
      <w:r>
        <w:rPr>
          <w:rFonts w:ascii="Arial" w:hAnsi="Arial"/>
          <w:color w:val="231F20"/>
          <w:sz w:val="12"/>
        </w:rPr>
        <w:t>Stress,</w:t>
      </w:r>
      <w:r>
        <w:rPr>
          <w:rFonts w:ascii="Arial" w:hAnsi="Arial"/>
          <w:color w:val="231F20"/>
          <w:spacing w:val="-7"/>
          <w:sz w:val="12"/>
        </w:rPr>
        <w:t> </w:t>
      </w:r>
      <w:r>
        <w:rPr>
          <w:rFonts w:ascii="Arial" w:hAnsi="Arial"/>
          <w:color w:val="231F20"/>
          <w:sz w:val="12"/>
        </w:rPr>
        <w:t>personality</w:t>
      </w:r>
      <w:r>
        <w:rPr>
          <w:rFonts w:ascii="Arial" w:hAnsi="Arial"/>
          <w:color w:val="231F20"/>
          <w:spacing w:val="-7"/>
          <w:sz w:val="12"/>
        </w:rPr>
        <w:t> </w:t>
      </w:r>
      <w:r>
        <w:rPr>
          <w:rFonts w:ascii="Arial" w:hAnsi="Arial"/>
          <w:color w:val="231F20"/>
          <w:sz w:val="12"/>
        </w:rPr>
        <w:t>and</w:t>
      </w:r>
      <w:r>
        <w:rPr>
          <w:rFonts w:ascii="Arial" w:hAnsi="Arial"/>
          <w:color w:val="231F20"/>
          <w:spacing w:val="-7"/>
          <w:sz w:val="12"/>
        </w:rPr>
        <w:t> </w:t>
      </w:r>
      <w:r>
        <w:rPr>
          <w:rFonts w:ascii="Arial" w:hAnsi="Arial"/>
          <w:color w:val="231F20"/>
          <w:sz w:val="12"/>
        </w:rPr>
        <w:t>samples</w:t>
      </w:r>
      <w:r>
        <w:rPr>
          <w:rFonts w:ascii="Arial" w:hAnsi="Arial"/>
          <w:color w:val="231F20"/>
          <w:spacing w:val="-7"/>
          <w:sz w:val="12"/>
        </w:rPr>
        <w:t> </w:t>
      </w:r>
      <w:r>
        <w:rPr>
          <w:rFonts w:ascii="Arial" w:hAnsi="Arial"/>
          <w:color w:val="231F20"/>
          <w:sz w:val="12"/>
        </w:rPr>
        <w:t>of</w:t>
      </w:r>
      <w:r>
        <w:rPr>
          <w:rFonts w:ascii="Arial" w:hAnsi="Arial"/>
          <w:color w:val="231F20"/>
          <w:spacing w:val="-7"/>
          <w:sz w:val="12"/>
        </w:rPr>
        <w:t> </w:t>
      </w:r>
      <w:r>
        <w:rPr>
          <w:rFonts w:ascii="Arial" w:hAnsi="Arial"/>
          <w:color w:val="231F20"/>
          <w:sz w:val="12"/>
        </w:rPr>
        <w:t>work</w:t>
      </w:r>
      <w:r>
        <w:rPr>
          <w:rFonts w:ascii="Arial" w:hAnsi="Arial"/>
          <w:color w:val="231F20"/>
          <w:spacing w:val="-7"/>
          <w:sz w:val="12"/>
        </w:rPr>
        <w:t> </w:t>
      </w:r>
      <w:r>
        <w:rPr>
          <w:rFonts w:ascii="Arial" w:hAnsi="Arial"/>
          <w:color w:val="231F20"/>
          <w:sz w:val="12"/>
        </w:rPr>
        <w:t>attitudes</w:t>
      </w:r>
      <w:r>
        <w:rPr>
          <w:rFonts w:ascii="Arial" w:hAnsi="Arial"/>
          <w:color w:val="231F20"/>
          <w:spacing w:val="-7"/>
          <w:sz w:val="12"/>
        </w:rPr>
        <w:t> </w:t>
      </w:r>
      <w:r>
        <w:rPr>
          <w:rFonts w:ascii="Arial" w:hAnsi="Arial"/>
          <w:color w:val="231F20"/>
          <w:sz w:val="12"/>
        </w:rPr>
        <w:t>and</w:t>
      </w:r>
      <w:r>
        <w:rPr>
          <w:rFonts w:ascii="Arial" w:hAnsi="Arial"/>
          <w:color w:val="231F20"/>
          <w:spacing w:val="-7"/>
          <w:sz w:val="12"/>
        </w:rPr>
        <w:t> </w:t>
      </w:r>
      <w:r>
        <w:rPr>
          <w:rFonts w:ascii="Arial" w:hAnsi="Arial"/>
          <w:color w:val="231F20"/>
          <w:sz w:val="12"/>
        </w:rPr>
        <w:t>behavior</w:t>
      </w:r>
      <w:r>
        <w:rPr>
          <w:rFonts w:ascii="Arial" w:hAnsi="Arial"/>
          <w:color w:val="231F20"/>
          <w:spacing w:val="-9"/>
          <w:sz w:val="12"/>
        </w:rPr>
        <w:t> </w:t>
      </w:r>
      <w:r>
        <w:rPr>
          <w:rFonts w:ascii="Arial" w:hAnsi="Arial"/>
          <w:color w:val="231F20"/>
          <w:sz w:val="12"/>
        </w:rPr>
        <w:t>:</w:t>
      </w:r>
      <w:r>
        <w:rPr>
          <w:rFonts w:ascii="Arial" w:hAnsi="Arial"/>
          <w:color w:val="231F20"/>
          <w:spacing w:val="-6"/>
          <w:sz w:val="12"/>
        </w:rPr>
        <w:t> </w:t>
      </w:r>
      <w:r>
        <w:rPr>
          <w:rFonts w:ascii="Arial" w:hAnsi="Arial"/>
          <w:color w:val="231F20"/>
          <w:sz w:val="12"/>
        </w:rPr>
        <w:t>Analysis,</w:t>
      </w:r>
      <w:r>
        <w:rPr>
          <w:rFonts w:ascii="Arial" w:hAnsi="Arial"/>
          <w:color w:val="231F20"/>
          <w:spacing w:val="40"/>
          <w:sz w:val="12"/>
        </w:rPr>
        <w:t> </w:t>
      </w:r>
      <w:r>
        <w:rPr>
          <w:rFonts w:ascii="Arial" w:hAnsi="Arial"/>
          <w:color w:val="231F20"/>
          <w:w w:val="95"/>
          <w:sz w:val="12"/>
        </w:rPr>
        <w:t>beyond a single level of aggregation. Dans R. Burke (dir.), </w:t>
      </w:r>
      <w:r>
        <w:rPr>
          <w:rFonts w:ascii="Arial" w:hAnsi="Arial"/>
          <w:i/>
          <w:color w:val="231F20"/>
          <w:w w:val="95"/>
          <w:sz w:val="12"/>
        </w:rPr>
        <w:t>Current Issues in Occupational Stress: Research and</w:t>
      </w:r>
      <w:r>
        <w:rPr>
          <w:rFonts w:ascii="Arial" w:hAnsi="Arial"/>
          <w:i/>
          <w:color w:val="231F20"/>
          <w:spacing w:val="40"/>
          <w:sz w:val="12"/>
        </w:rPr>
        <w:t> </w:t>
      </w:r>
      <w:r>
        <w:rPr>
          <w:rFonts w:ascii="Arial" w:hAnsi="Arial"/>
          <w:i/>
          <w:color w:val="231F20"/>
          <w:spacing w:val="-2"/>
          <w:sz w:val="12"/>
        </w:rPr>
        <w:t>Intervention</w:t>
      </w:r>
      <w:r>
        <w:rPr>
          <w:rFonts w:ascii="Arial" w:hAnsi="Arial"/>
          <w:color w:val="231F20"/>
          <w:spacing w:val="-2"/>
          <w:sz w:val="12"/>
        </w:rPr>
        <w:t>,</w:t>
      </w:r>
      <w:r>
        <w:rPr>
          <w:rFonts w:ascii="Arial" w:hAnsi="Arial"/>
          <w:color w:val="231F20"/>
          <w:spacing w:val="-7"/>
          <w:sz w:val="12"/>
        </w:rPr>
        <w:t> </w:t>
      </w:r>
      <w:r>
        <w:rPr>
          <w:rFonts w:ascii="Arial" w:hAnsi="Arial"/>
          <w:color w:val="231F20"/>
          <w:spacing w:val="-2"/>
          <w:sz w:val="12"/>
        </w:rPr>
        <w:t>Toronto,</w:t>
      </w:r>
      <w:r>
        <w:rPr>
          <w:rFonts w:ascii="Arial" w:hAnsi="Arial"/>
          <w:color w:val="231F20"/>
          <w:spacing w:val="-6"/>
          <w:sz w:val="12"/>
        </w:rPr>
        <w:t> </w:t>
      </w:r>
      <w:r>
        <w:rPr>
          <w:rFonts w:ascii="Arial" w:hAnsi="Arial"/>
          <w:color w:val="231F20"/>
          <w:spacing w:val="-2"/>
          <w:sz w:val="12"/>
        </w:rPr>
        <w:t>University</w:t>
      </w:r>
      <w:r>
        <w:rPr>
          <w:rFonts w:ascii="Arial" w:hAnsi="Arial"/>
          <w:color w:val="231F20"/>
          <w:spacing w:val="-6"/>
          <w:sz w:val="12"/>
        </w:rPr>
        <w:t> </w:t>
      </w:r>
      <w:r>
        <w:rPr>
          <w:rFonts w:ascii="Arial" w:hAnsi="Arial"/>
          <w:color w:val="231F20"/>
          <w:spacing w:val="-2"/>
          <w:sz w:val="12"/>
        </w:rPr>
        <w:t>of Toronto Press, p. 53-78</w:t>
      </w:r>
      <w:r>
        <w:rPr>
          <w:rFonts w:ascii="Arial" w:hAnsi="Arial"/>
          <w:color w:val="231F20"/>
          <w:spacing w:val="-7"/>
          <w:sz w:val="12"/>
        </w:rPr>
        <w:t> </w:t>
      </w:r>
      <w:r>
        <w:rPr>
          <w:rFonts w:ascii="Arial" w:hAnsi="Arial"/>
          <w:color w:val="231F20"/>
          <w:spacing w:val="-2"/>
          <w:sz w:val="12"/>
        </w:rPr>
        <w:t>; Van Ameringen, M. R., Arsenault, A. et Dolan, S. L.</w:t>
      </w:r>
      <w:r>
        <w:rPr>
          <w:rFonts w:ascii="Arial" w:hAnsi="Arial"/>
          <w:color w:val="231F20"/>
          <w:spacing w:val="40"/>
          <w:sz w:val="12"/>
        </w:rPr>
        <w:t> </w:t>
      </w:r>
      <w:r>
        <w:rPr>
          <w:rFonts w:ascii="Arial" w:hAnsi="Arial"/>
          <w:color w:val="231F20"/>
          <w:sz w:val="12"/>
        </w:rPr>
        <w:t>(1988).</w:t>
      </w:r>
      <w:r>
        <w:rPr>
          <w:rFonts w:ascii="Arial" w:hAnsi="Arial"/>
          <w:color w:val="231F20"/>
          <w:spacing w:val="-2"/>
          <w:sz w:val="12"/>
        </w:rPr>
        <w:t> </w:t>
      </w:r>
      <w:r>
        <w:rPr>
          <w:rFonts w:ascii="Arial" w:hAnsi="Arial"/>
          <w:color w:val="231F20"/>
          <w:sz w:val="12"/>
        </w:rPr>
        <w:t>Intrinsic</w:t>
      </w:r>
      <w:r>
        <w:rPr>
          <w:rFonts w:ascii="Arial" w:hAnsi="Arial"/>
          <w:color w:val="231F20"/>
          <w:spacing w:val="-2"/>
          <w:sz w:val="12"/>
        </w:rPr>
        <w:t> </w:t>
      </w:r>
      <w:r>
        <w:rPr>
          <w:rFonts w:ascii="Arial" w:hAnsi="Arial"/>
          <w:color w:val="231F20"/>
          <w:sz w:val="12"/>
        </w:rPr>
        <w:t>job</w:t>
      </w:r>
      <w:r>
        <w:rPr>
          <w:rFonts w:ascii="Arial" w:hAnsi="Arial"/>
          <w:color w:val="231F20"/>
          <w:spacing w:val="-2"/>
          <w:sz w:val="12"/>
        </w:rPr>
        <w:t> </w:t>
      </w:r>
      <w:r>
        <w:rPr>
          <w:rFonts w:ascii="Arial" w:hAnsi="Arial"/>
          <w:color w:val="231F20"/>
          <w:sz w:val="12"/>
        </w:rPr>
        <w:t>stress</w:t>
      </w:r>
      <w:r>
        <w:rPr>
          <w:rFonts w:ascii="Arial" w:hAnsi="Arial"/>
          <w:color w:val="231F20"/>
          <w:spacing w:val="-2"/>
          <w:sz w:val="12"/>
        </w:rPr>
        <w:t> </w:t>
      </w:r>
      <w:r>
        <w:rPr>
          <w:rFonts w:ascii="Arial" w:hAnsi="Arial"/>
          <w:color w:val="231F20"/>
          <w:sz w:val="12"/>
        </w:rPr>
        <w:t>as</w:t>
      </w:r>
      <w:r>
        <w:rPr>
          <w:rFonts w:ascii="Arial" w:hAnsi="Arial"/>
          <w:color w:val="231F20"/>
          <w:spacing w:val="-2"/>
          <w:sz w:val="12"/>
        </w:rPr>
        <w:t> </w:t>
      </w:r>
      <w:r>
        <w:rPr>
          <w:rFonts w:ascii="Arial" w:hAnsi="Arial"/>
          <w:color w:val="231F20"/>
          <w:sz w:val="12"/>
        </w:rPr>
        <w:t>predictor</w:t>
      </w:r>
      <w:r>
        <w:rPr>
          <w:rFonts w:ascii="Arial" w:hAnsi="Arial"/>
          <w:color w:val="231F20"/>
          <w:spacing w:val="-2"/>
          <w:sz w:val="12"/>
        </w:rPr>
        <w:t> </w:t>
      </w:r>
      <w:r>
        <w:rPr>
          <w:rFonts w:ascii="Arial" w:hAnsi="Arial"/>
          <w:color w:val="231F20"/>
          <w:sz w:val="12"/>
        </w:rPr>
        <w:t>of</w:t>
      </w:r>
      <w:r>
        <w:rPr>
          <w:rFonts w:ascii="Arial" w:hAnsi="Arial"/>
          <w:color w:val="231F20"/>
          <w:spacing w:val="-2"/>
          <w:sz w:val="12"/>
        </w:rPr>
        <w:t> </w:t>
      </w:r>
      <w:r>
        <w:rPr>
          <w:rFonts w:ascii="Arial" w:hAnsi="Arial"/>
          <w:color w:val="231F20"/>
          <w:sz w:val="12"/>
        </w:rPr>
        <w:t>diastolic</w:t>
      </w:r>
      <w:r>
        <w:rPr>
          <w:rFonts w:ascii="Arial" w:hAnsi="Arial"/>
          <w:color w:val="231F20"/>
          <w:spacing w:val="-2"/>
          <w:sz w:val="12"/>
        </w:rPr>
        <w:t> </w:t>
      </w:r>
      <w:r>
        <w:rPr>
          <w:rFonts w:ascii="Arial" w:hAnsi="Arial"/>
          <w:color w:val="231F20"/>
          <w:sz w:val="12"/>
        </w:rPr>
        <w:t>blood</w:t>
      </w:r>
      <w:r>
        <w:rPr>
          <w:rFonts w:ascii="Arial" w:hAnsi="Arial"/>
          <w:color w:val="231F20"/>
          <w:spacing w:val="-2"/>
          <w:sz w:val="12"/>
        </w:rPr>
        <w:t> </w:t>
      </w:r>
      <w:r>
        <w:rPr>
          <w:rFonts w:ascii="Arial" w:hAnsi="Arial"/>
          <w:color w:val="231F20"/>
          <w:sz w:val="12"/>
        </w:rPr>
        <w:t>pression</w:t>
      </w:r>
      <w:r>
        <w:rPr>
          <w:rFonts w:ascii="Arial" w:hAnsi="Arial"/>
          <w:color w:val="231F20"/>
          <w:spacing w:val="-2"/>
          <w:sz w:val="12"/>
        </w:rPr>
        <w:t> </w:t>
      </w:r>
      <w:r>
        <w:rPr>
          <w:rFonts w:ascii="Arial" w:hAnsi="Arial"/>
          <w:color w:val="231F20"/>
          <w:sz w:val="12"/>
        </w:rPr>
        <w:t>among</w:t>
      </w:r>
      <w:r>
        <w:rPr>
          <w:rFonts w:ascii="Arial" w:hAnsi="Arial"/>
          <w:color w:val="231F20"/>
          <w:spacing w:val="-2"/>
          <w:sz w:val="12"/>
        </w:rPr>
        <w:t> </w:t>
      </w:r>
      <w:r>
        <w:rPr>
          <w:rFonts w:ascii="Arial" w:hAnsi="Arial"/>
          <w:color w:val="231F20"/>
          <w:sz w:val="12"/>
        </w:rPr>
        <w:t>female</w:t>
      </w:r>
      <w:r>
        <w:rPr>
          <w:rFonts w:ascii="Arial" w:hAnsi="Arial"/>
          <w:color w:val="231F20"/>
          <w:spacing w:val="-2"/>
          <w:sz w:val="12"/>
        </w:rPr>
        <w:t> </w:t>
      </w:r>
      <w:r>
        <w:rPr>
          <w:rFonts w:ascii="Arial" w:hAnsi="Arial"/>
          <w:color w:val="231F20"/>
          <w:sz w:val="12"/>
        </w:rPr>
        <w:t>hospital</w:t>
      </w:r>
      <w:r>
        <w:rPr>
          <w:rFonts w:ascii="Arial" w:hAnsi="Arial"/>
          <w:color w:val="231F20"/>
          <w:spacing w:val="-2"/>
          <w:sz w:val="12"/>
        </w:rPr>
        <w:t> </w:t>
      </w:r>
      <w:r>
        <w:rPr>
          <w:rFonts w:ascii="Arial" w:hAnsi="Arial"/>
          <w:color w:val="231F20"/>
          <w:sz w:val="12"/>
        </w:rPr>
        <w:t>workers,</w:t>
      </w:r>
      <w:r>
        <w:rPr>
          <w:rFonts w:ascii="Arial" w:hAnsi="Arial"/>
          <w:color w:val="231F20"/>
          <w:spacing w:val="-2"/>
          <w:sz w:val="12"/>
        </w:rPr>
        <w:t> </w:t>
      </w:r>
      <w:r>
        <w:rPr>
          <w:rFonts w:ascii="Arial" w:hAnsi="Arial"/>
          <w:i/>
          <w:color w:val="231F20"/>
          <w:sz w:val="12"/>
        </w:rPr>
        <w:t>Journal</w:t>
      </w:r>
      <w:r>
        <w:rPr>
          <w:rFonts w:ascii="Arial" w:hAnsi="Arial"/>
          <w:i/>
          <w:color w:val="231F20"/>
          <w:spacing w:val="-2"/>
          <w:sz w:val="12"/>
        </w:rPr>
        <w:t> </w:t>
      </w:r>
      <w:r>
        <w:rPr>
          <w:rFonts w:ascii="Arial" w:hAnsi="Arial"/>
          <w:i/>
          <w:color w:val="231F20"/>
          <w:sz w:val="12"/>
        </w:rPr>
        <w:t>of</w:t>
      </w:r>
      <w:r>
        <w:rPr>
          <w:rFonts w:ascii="Arial" w:hAnsi="Arial"/>
          <w:i/>
          <w:color w:val="231F20"/>
          <w:spacing w:val="40"/>
          <w:sz w:val="12"/>
        </w:rPr>
        <w:t> </w:t>
      </w:r>
      <w:r>
        <w:rPr>
          <w:rFonts w:ascii="Arial" w:hAnsi="Arial"/>
          <w:i/>
          <w:color w:val="231F20"/>
          <w:sz w:val="12"/>
        </w:rPr>
        <w:t>Occupational</w:t>
      </w:r>
      <w:r>
        <w:rPr>
          <w:rFonts w:ascii="Arial" w:hAnsi="Arial"/>
          <w:i/>
          <w:color w:val="231F20"/>
          <w:spacing w:val="-9"/>
          <w:sz w:val="12"/>
        </w:rPr>
        <w:t> </w:t>
      </w:r>
      <w:r>
        <w:rPr>
          <w:rFonts w:ascii="Arial" w:hAnsi="Arial"/>
          <w:i/>
          <w:color w:val="231F20"/>
          <w:sz w:val="12"/>
        </w:rPr>
        <w:t>Medicine</w:t>
      </w:r>
      <w:r>
        <w:rPr>
          <w:rFonts w:ascii="Arial" w:hAnsi="Arial"/>
          <w:color w:val="231F20"/>
          <w:sz w:val="12"/>
        </w:rPr>
        <w:t>,</w:t>
      </w:r>
      <w:r>
        <w:rPr>
          <w:rFonts w:ascii="Arial" w:hAnsi="Arial"/>
          <w:color w:val="231F20"/>
          <w:spacing w:val="-8"/>
          <w:sz w:val="12"/>
        </w:rPr>
        <w:t> </w:t>
      </w:r>
      <w:r>
        <w:rPr>
          <w:rFonts w:ascii="Arial" w:hAnsi="Arial"/>
          <w:i/>
          <w:color w:val="231F20"/>
          <w:sz w:val="12"/>
        </w:rPr>
        <w:t>30</w:t>
      </w:r>
      <w:r>
        <w:rPr>
          <w:rFonts w:ascii="Arial" w:hAnsi="Arial"/>
          <w:color w:val="231F20"/>
          <w:sz w:val="12"/>
        </w:rPr>
        <w:t>,</w:t>
      </w:r>
      <w:r>
        <w:rPr>
          <w:rFonts w:ascii="Arial" w:hAnsi="Arial"/>
          <w:color w:val="231F20"/>
          <w:spacing w:val="-8"/>
          <w:sz w:val="12"/>
        </w:rPr>
        <w:t> </w:t>
      </w:r>
      <w:r>
        <w:rPr>
          <w:rFonts w:ascii="Arial" w:hAnsi="Arial"/>
          <w:color w:val="231F20"/>
          <w:sz w:val="12"/>
        </w:rPr>
        <w:t>93-97</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Dolan,</w:t>
      </w:r>
      <w:r>
        <w:rPr>
          <w:rFonts w:ascii="Arial" w:hAnsi="Arial"/>
          <w:color w:val="231F20"/>
          <w:spacing w:val="-8"/>
          <w:sz w:val="12"/>
        </w:rPr>
        <w:t> </w:t>
      </w:r>
      <w:r>
        <w:rPr>
          <w:rFonts w:ascii="Arial" w:hAnsi="Arial"/>
          <w:color w:val="231F20"/>
          <w:sz w:val="12"/>
        </w:rPr>
        <w:t>S.</w:t>
      </w:r>
      <w:r>
        <w:rPr>
          <w:rFonts w:ascii="Arial" w:hAnsi="Arial"/>
          <w:color w:val="231F20"/>
          <w:spacing w:val="-9"/>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Van</w:t>
      </w:r>
      <w:r>
        <w:rPr>
          <w:rFonts w:ascii="Arial" w:hAnsi="Arial"/>
          <w:color w:val="231F20"/>
          <w:spacing w:val="-9"/>
          <w:sz w:val="12"/>
        </w:rPr>
        <w:t> </w:t>
      </w:r>
      <w:r>
        <w:rPr>
          <w:rFonts w:ascii="Arial" w:hAnsi="Arial"/>
          <w:color w:val="231F20"/>
          <w:sz w:val="12"/>
        </w:rPr>
        <w:t>Ameringen,</w:t>
      </w:r>
      <w:r>
        <w:rPr>
          <w:rFonts w:ascii="Arial" w:hAnsi="Arial"/>
          <w:color w:val="231F20"/>
          <w:spacing w:val="-8"/>
          <w:sz w:val="12"/>
        </w:rPr>
        <w:t> </w:t>
      </w:r>
      <w:r>
        <w:rPr>
          <w:rFonts w:ascii="Arial" w:hAnsi="Arial"/>
          <w:color w:val="231F20"/>
          <w:sz w:val="12"/>
        </w:rPr>
        <w:t>M.</w:t>
      </w:r>
      <w:r>
        <w:rPr>
          <w:rFonts w:ascii="Arial" w:hAnsi="Arial"/>
          <w:color w:val="231F20"/>
          <w:spacing w:val="-8"/>
          <w:sz w:val="12"/>
        </w:rPr>
        <w:t> </w:t>
      </w:r>
      <w:r>
        <w:rPr>
          <w:rFonts w:ascii="Arial" w:hAnsi="Arial"/>
          <w:color w:val="231F20"/>
          <w:sz w:val="12"/>
        </w:rPr>
        <w:t>R.</w:t>
      </w:r>
      <w:r>
        <w:rPr>
          <w:rFonts w:ascii="Arial" w:hAnsi="Arial"/>
          <w:color w:val="231F20"/>
          <w:spacing w:val="-9"/>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Arsenault,</w:t>
      </w:r>
      <w:r>
        <w:rPr>
          <w:rFonts w:ascii="Arial" w:hAnsi="Arial"/>
          <w:color w:val="231F20"/>
          <w:spacing w:val="-8"/>
          <w:sz w:val="12"/>
        </w:rPr>
        <w:t> </w:t>
      </w:r>
      <w:r>
        <w:rPr>
          <w:rFonts w:ascii="Arial" w:hAnsi="Arial"/>
          <w:color w:val="231F20"/>
          <w:sz w:val="12"/>
        </w:rPr>
        <w:t>A.</w:t>
      </w:r>
      <w:r>
        <w:rPr>
          <w:rFonts w:ascii="Arial" w:hAnsi="Arial"/>
          <w:color w:val="231F20"/>
          <w:spacing w:val="-9"/>
          <w:sz w:val="12"/>
        </w:rPr>
        <w:t> </w:t>
      </w:r>
      <w:r>
        <w:rPr>
          <w:rFonts w:ascii="Arial" w:hAnsi="Arial"/>
          <w:color w:val="231F20"/>
          <w:sz w:val="12"/>
        </w:rPr>
        <w:t>(1992).</w:t>
      </w:r>
      <w:r>
        <w:rPr>
          <w:rFonts w:ascii="Arial" w:hAnsi="Arial"/>
          <w:color w:val="231F20"/>
          <w:spacing w:val="-8"/>
          <w:sz w:val="12"/>
        </w:rPr>
        <w:t> </w:t>
      </w:r>
      <w:r>
        <w:rPr>
          <w:rFonts w:ascii="Arial" w:hAnsi="Arial"/>
          <w:color w:val="231F20"/>
          <w:sz w:val="12"/>
        </w:rPr>
        <w:t>The</w:t>
      </w:r>
      <w:r>
        <w:rPr>
          <w:rFonts w:ascii="Arial" w:hAnsi="Arial"/>
          <w:color w:val="231F20"/>
          <w:spacing w:val="-8"/>
          <w:sz w:val="12"/>
        </w:rPr>
        <w:t> </w:t>
      </w:r>
      <w:r>
        <w:rPr>
          <w:rFonts w:ascii="Arial" w:hAnsi="Arial"/>
          <w:color w:val="231F20"/>
          <w:sz w:val="12"/>
        </w:rPr>
        <w:t>role</w:t>
      </w:r>
      <w:r>
        <w:rPr>
          <w:rFonts w:ascii="Arial" w:hAnsi="Arial"/>
          <w:color w:val="231F20"/>
          <w:spacing w:val="-9"/>
          <w:sz w:val="12"/>
        </w:rPr>
        <w:t> </w:t>
      </w:r>
      <w:r>
        <w:rPr>
          <w:rFonts w:ascii="Arial" w:hAnsi="Arial"/>
          <w:color w:val="231F20"/>
          <w:sz w:val="12"/>
        </w:rPr>
        <w:t>of</w:t>
      </w:r>
      <w:r>
        <w:rPr>
          <w:rFonts w:ascii="Arial" w:hAnsi="Arial"/>
          <w:color w:val="231F20"/>
          <w:spacing w:val="-8"/>
          <w:sz w:val="12"/>
        </w:rPr>
        <w:t> </w:t>
      </w:r>
      <w:r>
        <w:rPr>
          <w:rFonts w:ascii="Arial" w:hAnsi="Arial"/>
          <w:color w:val="231F20"/>
          <w:sz w:val="12"/>
        </w:rPr>
        <w:t>per-</w:t>
      </w:r>
      <w:r>
        <w:rPr>
          <w:rFonts w:ascii="Arial" w:hAnsi="Arial"/>
          <w:color w:val="231F20"/>
          <w:spacing w:val="40"/>
          <w:sz w:val="12"/>
        </w:rPr>
        <w:t> </w:t>
      </w:r>
      <w:r>
        <w:rPr>
          <w:rFonts w:ascii="Arial" w:hAnsi="Arial"/>
          <w:color w:val="231F20"/>
          <w:sz w:val="12"/>
        </w:rPr>
        <w:t>sonality</w:t>
      </w:r>
      <w:r>
        <w:rPr>
          <w:rFonts w:ascii="Arial" w:hAnsi="Arial"/>
          <w:color w:val="231F20"/>
          <w:spacing w:val="-6"/>
          <w:sz w:val="12"/>
        </w:rPr>
        <w:t> </w:t>
      </w:r>
      <w:r>
        <w:rPr>
          <w:rFonts w:ascii="Arial" w:hAnsi="Arial"/>
          <w:color w:val="231F20"/>
          <w:sz w:val="12"/>
        </w:rPr>
        <w:t>and</w:t>
      </w:r>
      <w:r>
        <w:rPr>
          <w:rFonts w:ascii="Arial" w:hAnsi="Arial"/>
          <w:color w:val="231F20"/>
          <w:spacing w:val="-6"/>
          <w:sz w:val="12"/>
        </w:rPr>
        <w:t> </w:t>
      </w:r>
      <w:r>
        <w:rPr>
          <w:rFonts w:ascii="Arial" w:hAnsi="Arial"/>
          <w:color w:val="231F20"/>
          <w:sz w:val="12"/>
        </w:rPr>
        <w:t>social</w:t>
      </w:r>
      <w:r>
        <w:rPr>
          <w:rFonts w:ascii="Arial" w:hAnsi="Arial"/>
          <w:color w:val="231F20"/>
          <w:spacing w:val="-6"/>
          <w:sz w:val="12"/>
        </w:rPr>
        <w:t> </w:t>
      </w:r>
      <w:r>
        <w:rPr>
          <w:rFonts w:ascii="Arial" w:hAnsi="Arial"/>
          <w:color w:val="231F20"/>
          <w:sz w:val="12"/>
        </w:rPr>
        <w:t>support</w:t>
      </w:r>
      <w:r>
        <w:rPr>
          <w:rFonts w:ascii="Arial" w:hAnsi="Arial"/>
          <w:color w:val="231F20"/>
          <w:spacing w:val="-6"/>
          <w:sz w:val="12"/>
        </w:rPr>
        <w:t> </w:t>
      </w:r>
      <w:r>
        <w:rPr>
          <w:rFonts w:ascii="Arial" w:hAnsi="Arial"/>
          <w:color w:val="231F20"/>
          <w:sz w:val="12"/>
        </w:rPr>
        <w:t>in</w:t>
      </w:r>
      <w:r>
        <w:rPr>
          <w:rFonts w:ascii="Arial" w:hAnsi="Arial"/>
          <w:color w:val="231F20"/>
          <w:spacing w:val="-6"/>
          <w:sz w:val="12"/>
        </w:rPr>
        <w:t> </w:t>
      </w:r>
      <w:r>
        <w:rPr>
          <w:rFonts w:ascii="Arial" w:hAnsi="Arial"/>
          <w:color w:val="231F20"/>
          <w:sz w:val="12"/>
        </w:rPr>
        <w:t>the</w:t>
      </w:r>
      <w:r>
        <w:rPr>
          <w:rFonts w:ascii="Arial" w:hAnsi="Arial"/>
          <w:color w:val="231F20"/>
          <w:spacing w:val="-6"/>
          <w:sz w:val="12"/>
        </w:rPr>
        <w:t> </w:t>
      </w:r>
      <w:r>
        <w:rPr>
          <w:rFonts w:ascii="Arial" w:hAnsi="Arial"/>
          <w:color w:val="231F20"/>
          <w:sz w:val="12"/>
        </w:rPr>
        <w:t>etiology</w:t>
      </w:r>
      <w:r>
        <w:rPr>
          <w:rFonts w:ascii="Arial" w:hAnsi="Arial"/>
          <w:color w:val="231F20"/>
          <w:spacing w:val="-6"/>
          <w:sz w:val="12"/>
        </w:rPr>
        <w:t> </w:t>
      </w:r>
      <w:r>
        <w:rPr>
          <w:rFonts w:ascii="Arial" w:hAnsi="Arial"/>
          <w:color w:val="231F20"/>
          <w:sz w:val="12"/>
        </w:rPr>
        <w:t>of</w:t>
      </w:r>
      <w:r>
        <w:rPr>
          <w:rFonts w:ascii="Arial" w:hAnsi="Arial"/>
          <w:color w:val="231F20"/>
          <w:spacing w:val="-6"/>
          <w:sz w:val="12"/>
        </w:rPr>
        <w:t> </w:t>
      </w:r>
      <w:r>
        <w:rPr>
          <w:rFonts w:ascii="Arial" w:hAnsi="Arial"/>
          <w:color w:val="231F20"/>
          <w:sz w:val="12"/>
        </w:rPr>
        <w:t>workers’</w:t>
      </w:r>
      <w:r>
        <w:rPr>
          <w:rFonts w:ascii="Arial" w:hAnsi="Arial"/>
          <w:color w:val="231F20"/>
          <w:spacing w:val="-6"/>
          <w:sz w:val="12"/>
        </w:rPr>
        <w:t> </w:t>
      </w:r>
      <w:r>
        <w:rPr>
          <w:rFonts w:ascii="Arial" w:hAnsi="Arial"/>
          <w:color w:val="231F20"/>
          <w:sz w:val="12"/>
        </w:rPr>
        <w:t>stress</w:t>
      </w:r>
      <w:r>
        <w:rPr>
          <w:rFonts w:ascii="Arial" w:hAnsi="Arial"/>
          <w:color w:val="231F20"/>
          <w:spacing w:val="-6"/>
          <w:sz w:val="12"/>
        </w:rPr>
        <w:t> </w:t>
      </w:r>
      <w:r>
        <w:rPr>
          <w:rFonts w:ascii="Arial" w:hAnsi="Arial"/>
          <w:color w:val="231F20"/>
          <w:sz w:val="12"/>
        </w:rPr>
        <w:t>and</w:t>
      </w:r>
      <w:r>
        <w:rPr>
          <w:rFonts w:ascii="Arial" w:hAnsi="Arial"/>
          <w:color w:val="231F20"/>
          <w:spacing w:val="-6"/>
          <w:sz w:val="12"/>
        </w:rPr>
        <w:t> </w:t>
      </w:r>
      <w:r>
        <w:rPr>
          <w:rFonts w:ascii="Arial" w:hAnsi="Arial"/>
          <w:color w:val="231F20"/>
          <w:sz w:val="12"/>
        </w:rPr>
        <w:t>psychological</w:t>
      </w:r>
      <w:r>
        <w:rPr>
          <w:rFonts w:ascii="Arial" w:hAnsi="Arial"/>
          <w:color w:val="231F20"/>
          <w:spacing w:val="-6"/>
          <w:sz w:val="12"/>
        </w:rPr>
        <w:t> </w:t>
      </w:r>
      <w:r>
        <w:rPr>
          <w:rFonts w:ascii="Arial" w:hAnsi="Arial"/>
          <w:color w:val="231F20"/>
          <w:sz w:val="12"/>
        </w:rPr>
        <w:t>strain,</w:t>
      </w:r>
      <w:r>
        <w:rPr>
          <w:rFonts w:ascii="Arial" w:hAnsi="Arial"/>
          <w:color w:val="231F20"/>
          <w:spacing w:val="-6"/>
          <w:sz w:val="12"/>
        </w:rPr>
        <w:t> </w:t>
      </w:r>
      <w:r>
        <w:rPr>
          <w:rFonts w:ascii="Arial" w:hAnsi="Arial"/>
          <w:i/>
          <w:color w:val="231F20"/>
          <w:sz w:val="12"/>
        </w:rPr>
        <w:t>Industrial</w:t>
      </w:r>
      <w:r>
        <w:rPr>
          <w:rFonts w:ascii="Arial" w:hAnsi="Arial"/>
          <w:i/>
          <w:color w:val="231F20"/>
          <w:spacing w:val="-6"/>
          <w:sz w:val="12"/>
        </w:rPr>
        <w:t> </w:t>
      </w:r>
      <w:r>
        <w:rPr>
          <w:rFonts w:ascii="Arial" w:hAnsi="Arial"/>
          <w:i/>
          <w:color w:val="231F20"/>
          <w:sz w:val="12"/>
        </w:rPr>
        <w:t>Relations</w:t>
      </w:r>
      <w:r>
        <w:rPr>
          <w:rFonts w:ascii="Arial" w:hAnsi="Arial"/>
          <w:color w:val="231F20"/>
          <w:sz w:val="12"/>
        </w:rPr>
        <w:t>,</w:t>
      </w:r>
      <w:r>
        <w:rPr>
          <w:rFonts w:ascii="Arial" w:hAnsi="Arial"/>
          <w:color w:val="231F20"/>
          <w:spacing w:val="-1"/>
          <w:sz w:val="12"/>
        </w:rPr>
        <w:t> </w:t>
      </w:r>
      <w:r>
        <w:rPr>
          <w:rFonts w:ascii="Arial" w:hAnsi="Arial"/>
          <w:i/>
          <w:color w:val="231F20"/>
          <w:sz w:val="12"/>
        </w:rPr>
        <w:t>47</w:t>
      </w:r>
      <w:r>
        <w:rPr>
          <w:rFonts w:ascii="Arial" w:hAnsi="Arial"/>
          <w:color w:val="231F20"/>
          <w:sz w:val="12"/>
        </w:rPr>
        <w:t>.</w:t>
      </w:r>
    </w:p>
    <w:p>
      <w:pPr>
        <w:spacing w:after="0" w:line="295" w:lineRule="auto"/>
        <w:jc w:val="both"/>
        <w:rPr>
          <w:rFonts w:ascii="Arial" w:hAnsi="Arial"/>
          <w:sz w:val="12"/>
        </w:rPr>
        <w:sectPr>
          <w:footerReference w:type="default" r:id="rId20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500"/>
        <w:jc w:val="both"/>
      </w:pPr>
      <w:r>
        <w:rPr>
          <w:color w:val="231F20"/>
          <w:w w:val="120"/>
        </w:rPr>
        <w:t>En</w:t>
      </w:r>
      <w:r>
        <w:rPr>
          <w:color w:val="231F20"/>
          <w:spacing w:val="-13"/>
          <w:w w:val="120"/>
        </w:rPr>
        <w:t> </w:t>
      </w:r>
      <w:r>
        <w:rPr>
          <w:color w:val="231F20"/>
          <w:w w:val="120"/>
        </w:rPr>
        <w:t>croisant</w:t>
      </w:r>
      <w:r>
        <w:rPr>
          <w:color w:val="231F20"/>
          <w:spacing w:val="-13"/>
          <w:w w:val="120"/>
        </w:rPr>
        <w:t> </w:t>
      </w:r>
      <w:r>
        <w:rPr>
          <w:color w:val="231F20"/>
          <w:w w:val="120"/>
        </w:rPr>
        <w:t>les</w:t>
      </w:r>
      <w:r>
        <w:rPr>
          <w:color w:val="231F20"/>
          <w:spacing w:val="-13"/>
          <w:w w:val="120"/>
        </w:rPr>
        <w:t> </w:t>
      </w:r>
      <w:r>
        <w:rPr>
          <w:color w:val="231F20"/>
          <w:w w:val="120"/>
        </w:rPr>
        <w:t>deux</w:t>
      </w:r>
      <w:r>
        <w:rPr>
          <w:color w:val="231F20"/>
          <w:spacing w:val="-12"/>
          <w:w w:val="120"/>
        </w:rPr>
        <w:t> </w:t>
      </w:r>
      <w:r>
        <w:rPr>
          <w:color w:val="231F20"/>
          <w:w w:val="120"/>
        </w:rPr>
        <w:t>dimensions,</w:t>
      </w:r>
      <w:r>
        <w:rPr>
          <w:color w:val="231F20"/>
          <w:spacing w:val="-13"/>
          <w:w w:val="120"/>
        </w:rPr>
        <w:t> </w:t>
      </w:r>
      <w:r>
        <w:rPr>
          <w:color w:val="231F20"/>
          <w:w w:val="120"/>
        </w:rPr>
        <w:t>nous</w:t>
      </w:r>
      <w:r>
        <w:rPr>
          <w:color w:val="231F20"/>
          <w:spacing w:val="-13"/>
          <w:w w:val="120"/>
        </w:rPr>
        <w:t> </w:t>
      </w:r>
      <w:r>
        <w:rPr>
          <w:color w:val="231F20"/>
          <w:w w:val="120"/>
        </w:rPr>
        <w:t>obtenons</w:t>
      </w:r>
      <w:r>
        <w:rPr>
          <w:color w:val="231F20"/>
          <w:spacing w:val="-13"/>
          <w:w w:val="120"/>
        </w:rPr>
        <w:t> </w:t>
      </w:r>
      <w:r>
        <w:rPr>
          <w:color w:val="231F20"/>
          <w:w w:val="120"/>
        </w:rPr>
        <w:t>les</w:t>
      </w:r>
      <w:r>
        <w:rPr>
          <w:color w:val="231F20"/>
          <w:spacing w:val="-12"/>
          <w:w w:val="120"/>
        </w:rPr>
        <w:t> </w:t>
      </w:r>
      <w:r>
        <w:rPr>
          <w:color w:val="231F20"/>
          <w:w w:val="120"/>
        </w:rPr>
        <w:t>quatre</w:t>
      </w:r>
      <w:r>
        <w:rPr>
          <w:color w:val="231F20"/>
          <w:spacing w:val="-13"/>
          <w:w w:val="120"/>
        </w:rPr>
        <w:t> </w:t>
      </w:r>
      <w:r>
        <w:rPr>
          <w:color w:val="231F20"/>
          <w:w w:val="120"/>
        </w:rPr>
        <w:t>catégories</w:t>
      </w:r>
      <w:r>
        <w:rPr>
          <w:color w:val="231F20"/>
          <w:spacing w:val="-13"/>
          <w:w w:val="120"/>
        </w:rPr>
        <w:t> </w:t>
      </w:r>
      <w:r>
        <w:rPr>
          <w:color w:val="231F20"/>
          <w:w w:val="120"/>
        </w:rPr>
        <w:t>de personnalités décrites par Dolan et ses collègues:</w:t>
      </w:r>
    </w:p>
    <w:p>
      <w:pPr>
        <w:pStyle w:val="ListParagraph"/>
        <w:numPr>
          <w:ilvl w:val="1"/>
          <w:numId w:val="42"/>
        </w:numPr>
        <w:tabs>
          <w:tab w:pos="1331" w:val="left" w:leader="none"/>
        </w:tabs>
        <w:spacing w:line="307" w:lineRule="auto" w:before="80" w:after="0"/>
        <w:ind w:left="1330" w:right="495" w:hanging="251"/>
        <w:jc w:val="both"/>
        <w:rPr>
          <w:sz w:val="17"/>
        </w:rPr>
      </w:pPr>
      <w:r>
        <w:rPr>
          <w:color w:val="231F20"/>
          <w:w w:val="115"/>
          <w:sz w:val="17"/>
        </w:rPr>
        <w:t>Le </w:t>
      </w:r>
      <w:r>
        <w:rPr>
          <w:b/>
          <w:color w:val="231F20"/>
          <w:w w:val="115"/>
          <w:sz w:val="17"/>
        </w:rPr>
        <w:t>HOT</w:t>
      </w:r>
      <w:r>
        <w:rPr>
          <w:b/>
          <w:color w:val="231F20"/>
          <w:spacing w:val="-4"/>
          <w:w w:val="115"/>
          <w:sz w:val="17"/>
        </w:rPr>
        <w:t> </w:t>
      </w:r>
      <w:r>
        <w:rPr>
          <w:b/>
          <w:color w:val="231F20"/>
          <w:w w:val="115"/>
          <w:sz w:val="17"/>
        </w:rPr>
        <w:t>CAT </w:t>
      </w:r>
      <w:r>
        <w:rPr>
          <w:color w:val="231F20"/>
          <w:w w:val="115"/>
          <w:sz w:val="17"/>
        </w:rPr>
        <w:t>est un individu compétitif qui se soucie du contrôle </w:t>
      </w:r>
      <w:r>
        <w:rPr>
          <w:color w:val="231F20"/>
          <w:w w:val="120"/>
          <w:sz w:val="17"/>
        </w:rPr>
        <w:t>de</w:t>
      </w:r>
      <w:r>
        <w:rPr>
          <w:color w:val="231F20"/>
          <w:spacing w:val="-13"/>
          <w:w w:val="120"/>
          <w:sz w:val="17"/>
        </w:rPr>
        <w:t> </w:t>
      </w:r>
      <w:r>
        <w:rPr>
          <w:color w:val="231F20"/>
          <w:w w:val="120"/>
          <w:sz w:val="17"/>
        </w:rPr>
        <w:t>son territoire</w:t>
      </w:r>
      <w:r>
        <w:rPr>
          <w:color w:val="231F20"/>
          <w:spacing w:val="-13"/>
          <w:w w:val="120"/>
          <w:sz w:val="17"/>
        </w:rPr>
        <w:t> </w:t>
      </w:r>
      <w:r>
        <w:rPr>
          <w:color w:val="231F20"/>
          <w:w w:val="120"/>
          <w:sz w:val="17"/>
        </w:rPr>
        <w:t>; il doit s’engager dans une action immédiate et </w:t>
      </w:r>
      <w:r>
        <w:rPr>
          <w:color w:val="231F20"/>
          <w:w w:val="115"/>
          <w:sz w:val="17"/>
        </w:rPr>
        <w:t>contrôler</w:t>
      </w:r>
      <w:r>
        <w:rPr>
          <w:color w:val="231F20"/>
          <w:spacing w:val="-9"/>
          <w:w w:val="115"/>
          <w:sz w:val="17"/>
        </w:rPr>
        <w:t> </w:t>
      </w:r>
      <w:r>
        <w:rPr>
          <w:color w:val="231F20"/>
          <w:w w:val="115"/>
          <w:sz w:val="17"/>
        </w:rPr>
        <w:t>ses</w:t>
      </w:r>
      <w:r>
        <w:rPr>
          <w:color w:val="231F20"/>
          <w:spacing w:val="-9"/>
          <w:w w:val="115"/>
          <w:sz w:val="17"/>
        </w:rPr>
        <w:t> </w:t>
      </w:r>
      <w:r>
        <w:rPr>
          <w:color w:val="231F20"/>
          <w:w w:val="115"/>
          <w:sz w:val="17"/>
        </w:rPr>
        <w:t>réactions</w:t>
      </w:r>
      <w:r>
        <w:rPr>
          <w:color w:val="231F20"/>
          <w:spacing w:val="-9"/>
          <w:w w:val="115"/>
          <w:sz w:val="17"/>
        </w:rPr>
        <w:t> </w:t>
      </w:r>
      <w:r>
        <w:rPr>
          <w:color w:val="231F20"/>
          <w:w w:val="115"/>
          <w:sz w:val="17"/>
        </w:rPr>
        <w:t>émotionnelles.</w:t>
      </w:r>
      <w:r>
        <w:rPr>
          <w:color w:val="231F20"/>
          <w:spacing w:val="-9"/>
          <w:w w:val="115"/>
          <w:sz w:val="17"/>
        </w:rPr>
        <w:t> </w:t>
      </w:r>
      <w:r>
        <w:rPr>
          <w:color w:val="231F20"/>
          <w:w w:val="115"/>
          <w:sz w:val="17"/>
        </w:rPr>
        <w:t>Il</w:t>
      </w:r>
      <w:r>
        <w:rPr>
          <w:color w:val="231F20"/>
          <w:spacing w:val="-9"/>
          <w:w w:val="115"/>
          <w:sz w:val="17"/>
        </w:rPr>
        <w:t> </w:t>
      </w:r>
      <w:r>
        <w:rPr>
          <w:color w:val="231F20"/>
          <w:w w:val="115"/>
          <w:sz w:val="17"/>
        </w:rPr>
        <w:t>se</w:t>
      </w:r>
      <w:r>
        <w:rPr>
          <w:color w:val="231F20"/>
          <w:spacing w:val="-9"/>
          <w:w w:val="115"/>
          <w:sz w:val="17"/>
        </w:rPr>
        <w:t> </w:t>
      </w:r>
      <w:r>
        <w:rPr>
          <w:color w:val="231F20"/>
          <w:w w:val="115"/>
          <w:sz w:val="17"/>
        </w:rPr>
        <w:t>voit</w:t>
      </w:r>
      <w:r>
        <w:rPr>
          <w:color w:val="231F20"/>
          <w:spacing w:val="-9"/>
          <w:w w:val="115"/>
          <w:sz w:val="17"/>
        </w:rPr>
        <w:t> </w:t>
      </w:r>
      <w:r>
        <w:rPr>
          <w:color w:val="231F20"/>
          <w:w w:val="115"/>
          <w:sz w:val="17"/>
        </w:rPr>
        <w:t>comme</w:t>
      </w:r>
      <w:r>
        <w:rPr>
          <w:color w:val="231F20"/>
          <w:spacing w:val="-9"/>
          <w:w w:val="115"/>
          <w:sz w:val="17"/>
        </w:rPr>
        <w:t> </w:t>
      </w:r>
      <w:r>
        <w:rPr>
          <w:color w:val="231F20"/>
          <w:w w:val="115"/>
          <w:sz w:val="17"/>
        </w:rPr>
        <w:t>un</w:t>
      </w:r>
      <w:r>
        <w:rPr>
          <w:color w:val="231F20"/>
          <w:spacing w:val="-9"/>
          <w:w w:val="115"/>
          <w:sz w:val="17"/>
        </w:rPr>
        <w:t> </w:t>
      </w:r>
      <w:r>
        <w:rPr>
          <w:color w:val="231F20"/>
          <w:w w:val="115"/>
          <w:sz w:val="17"/>
        </w:rPr>
        <w:t>dirigeant officiel</w:t>
      </w:r>
      <w:r>
        <w:rPr>
          <w:color w:val="231F20"/>
          <w:spacing w:val="-9"/>
          <w:w w:val="115"/>
          <w:sz w:val="17"/>
        </w:rPr>
        <w:t> </w:t>
      </w:r>
      <w:r>
        <w:rPr>
          <w:color w:val="231F20"/>
          <w:w w:val="115"/>
          <w:sz w:val="17"/>
        </w:rPr>
        <w:t>et</w:t>
      </w:r>
      <w:r>
        <w:rPr>
          <w:color w:val="231F20"/>
          <w:spacing w:val="-9"/>
          <w:w w:val="115"/>
          <w:sz w:val="17"/>
        </w:rPr>
        <w:t> </w:t>
      </w:r>
      <w:r>
        <w:rPr>
          <w:color w:val="231F20"/>
          <w:w w:val="115"/>
          <w:sz w:val="17"/>
        </w:rPr>
        <w:t>autoritaire,</w:t>
      </w:r>
      <w:r>
        <w:rPr>
          <w:color w:val="231F20"/>
          <w:spacing w:val="-9"/>
          <w:w w:val="115"/>
          <w:sz w:val="17"/>
        </w:rPr>
        <w:t> </w:t>
      </w:r>
      <w:r>
        <w:rPr>
          <w:color w:val="231F20"/>
          <w:w w:val="115"/>
          <w:sz w:val="17"/>
        </w:rPr>
        <w:t>un</w:t>
      </w:r>
      <w:r>
        <w:rPr>
          <w:color w:val="231F20"/>
          <w:spacing w:val="-9"/>
          <w:w w:val="115"/>
          <w:sz w:val="17"/>
        </w:rPr>
        <w:t> </w:t>
      </w:r>
      <w:r>
        <w:rPr>
          <w:color w:val="231F20"/>
          <w:w w:val="115"/>
          <w:sz w:val="17"/>
        </w:rPr>
        <w:t>soi-disant</w:t>
      </w:r>
      <w:r>
        <w:rPr>
          <w:color w:val="231F20"/>
          <w:spacing w:val="-9"/>
          <w:w w:val="115"/>
          <w:sz w:val="17"/>
        </w:rPr>
        <w:t> </w:t>
      </w:r>
      <w:r>
        <w:rPr>
          <w:color w:val="231F20"/>
          <w:w w:val="115"/>
          <w:sz w:val="17"/>
        </w:rPr>
        <w:t>dominant</w:t>
      </w:r>
      <w:r>
        <w:rPr>
          <w:color w:val="231F20"/>
          <w:spacing w:val="-9"/>
          <w:w w:val="115"/>
          <w:sz w:val="17"/>
        </w:rPr>
        <w:t> </w:t>
      </w:r>
      <w:r>
        <w:rPr>
          <w:color w:val="231F20"/>
          <w:w w:val="115"/>
          <w:sz w:val="17"/>
        </w:rPr>
        <w:t>de</w:t>
      </w:r>
      <w:r>
        <w:rPr>
          <w:color w:val="231F20"/>
          <w:spacing w:val="-9"/>
          <w:w w:val="115"/>
          <w:sz w:val="17"/>
        </w:rPr>
        <w:t> </w:t>
      </w:r>
      <w:r>
        <w:rPr>
          <w:color w:val="231F20"/>
          <w:w w:val="115"/>
          <w:sz w:val="17"/>
        </w:rPr>
        <w:t>la</w:t>
      </w:r>
      <w:r>
        <w:rPr>
          <w:color w:val="231F20"/>
          <w:spacing w:val="-9"/>
          <w:w w:val="115"/>
          <w:sz w:val="17"/>
        </w:rPr>
        <w:t> </w:t>
      </w:r>
      <w:r>
        <w:rPr>
          <w:color w:val="231F20"/>
          <w:w w:val="115"/>
          <w:sz w:val="17"/>
        </w:rPr>
        <w:t>structure</w:t>
      </w:r>
      <w:r>
        <w:rPr>
          <w:color w:val="231F20"/>
          <w:spacing w:val="-9"/>
          <w:w w:val="115"/>
          <w:sz w:val="17"/>
        </w:rPr>
        <w:t> </w:t>
      </w:r>
      <w:r>
        <w:rPr>
          <w:color w:val="231F20"/>
          <w:w w:val="115"/>
          <w:sz w:val="17"/>
        </w:rPr>
        <w:t>sociale. </w:t>
      </w:r>
      <w:r>
        <w:rPr>
          <w:color w:val="231F20"/>
          <w:w w:val="120"/>
          <w:sz w:val="17"/>
        </w:rPr>
        <w:t>Il</w:t>
      </w:r>
      <w:r>
        <w:rPr>
          <w:color w:val="231F20"/>
          <w:spacing w:val="-2"/>
          <w:w w:val="120"/>
          <w:sz w:val="17"/>
        </w:rPr>
        <w:t> </w:t>
      </w:r>
      <w:r>
        <w:rPr>
          <w:color w:val="231F20"/>
          <w:w w:val="120"/>
          <w:sz w:val="17"/>
        </w:rPr>
        <w:t>s’efforce</w:t>
      </w:r>
      <w:r>
        <w:rPr>
          <w:color w:val="231F20"/>
          <w:spacing w:val="-2"/>
          <w:w w:val="120"/>
          <w:sz w:val="17"/>
        </w:rPr>
        <w:t> </w:t>
      </w:r>
      <w:r>
        <w:rPr>
          <w:color w:val="231F20"/>
          <w:w w:val="120"/>
          <w:sz w:val="17"/>
        </w:rPr>
        <w:t>de</w:t>
      </w:r>
      <w:r>
        <w:rPr>
          <w:color w:val="231F20"/>
          <w:spacing w:val="-2"/>
          <w:w w:val="120"/>
          <w:sz w:val="17"/>
        </w:rPr>
        <w:t> </w:t>
      </w:r>
      <w:r>
        <w:rPr>
          <w:color w:val="231F20"/>
          <w:w w:val="120"/>
          <w:sz w:val="17"/>
        </w:rPr>
        <w:t>maintenir</w:t>
      </w:r>
      <w:r>
        <w:rPr>
          <w:color w:val="231F20"/>
          <w:spacing w:val="-2"/>
          <w:w w:val="120"/>
          <w:sz w:val="17"/>
        </w:rPr>
        <w:t> </w:t>
      </w:r>
      <w:r>
        <w:rPr>
          <w:color w:val="231F20"/>
          <w:w w:val="120"/>
          <w:sz w:val="17"/>
        </w:rPr>
        <w:t>son</w:t>
      </w:r>
      <w:r>
        <w:rPr>
          <w:color w:val="231F20"/>
          <w:spacing w:val="-2"/>
          <w:w w:val="120"/>
          <w:sz w:val="17"/>
        </w:rPr>
        <w:t> </w:t>
      </w:r>
      <w:r>
        <w:rPr>
          <w:color w:val="231F20"/>
          <w:w w:val="120"/>
          <w:sz w:val="17"/>
        </w:rPr>
        <w:t>contrôle.</w:t>
      </w:r>
      <w:r>
        <w:rPr>
          <w:color w:val="231F20"/>
          <w:spacing w:val="-2"/>
          <w:w w:val="120"/>
          <w:sz w:val="17"/>
        </w:rPr>
        <w:t> </w:t>
      </w:r>
      <w:r>
        <w:rPr>
          <w:color w:val="231F20"/>
          <w:w w:val="120"/>
          <w:sz w:val="17"/>
        </w:rPr>
        <w:t>Ces</w:t>
      </w:r>
      <w:r>
        <w:rPr>
          <w:color w:val="231F20"/>
          <w:spacing w:val="-2"/>
          <w:w w:val="120"/>
          <w:sz w:val="17"/>
        </w:rPr>
        <w:t> </w:t>
      </w:r>
      <w:r>
        <w:rPr>
          <w:color w:val="231F20"/>
          <w:w w:val="120"/>
          <w:sz w:val="17"/>
        </w:rPr>
        <w:t>personnes</w:t>
      </w:r>
      <w:r>
        <w:rPr>
          <w:color w:val="231F20"/>
          <w:spacing w:val="-2"/>
          <w:w w:val="120"/>
          <w:sz w:val="17"/>
        </w:rPr>
        <w:t> </w:t>
      </w:r>
      <w:r>
        <w:rPr>
          <w:color w:val="231F20"/>
          <w:w w:val="120"/>
          <w:sz w:val="17"/>
        </w:rPr>
        <w:t>s’exposent </w:t>
      </w:r>
      <w:r>
        <w:rPr>
          <w:color w:val="231F20"/>
          <w:spacing w:val="-2"/>
          <w:w w:val="120"/>
          <w:sz w:val="17"/>
        </w:rPr>
        <w:t>habituellement</w:t>
      </w:r>
      <w:r>
        <w:rPr>
          <w:color w:val="231F20"/>
          <w:spacing w:val="-11"/>
          <w:w w:val="120"/>
          <w:sz w:val="17"/>
        </w:rPr>
        <w:t> </w:t>
      </w:r>
      <w:r>
        <w:rPr>
          <w:color w:val="231F20"/>
          <w:spacing w:val="-2"/>
          <w:w w:val="120"/>
          <w:sz w:val="17"/>
        </w:rPr>
        <w:t>à</w:t>
      </w:r>
      <w:r>
        <w:rPr>
          <w:color w:val="231F20"/>
          <w:spacing w:val="-11"/>
          <w:w w:val="120"/>
          <w:sz w:val="17"/>
        </w:rPr>
        <w:t> </w:t>
      </w:r>
      <w:r>
        <w:rPr>
          <w:color w:val="231F20"/>
          <w:spacing w:val="-2"/>
          <w:w w:val="120"/>
          <w:sz w:val="17"/>
        </w:rPr>
        <w:t>plusieurs</w:t>
      </w:r>
      <w:r>
        <w:rPr>
          <w:color w:val="231F20"/>
          <w:spacing w:val="-11"/>
          <w:w w:val="120"/>
          <w:sz w:val="17"/>
        </w:rPr>
        <w:t> </w:t>
      </w:r>
      <w:r>
        <w:rPr>
          <w:color w:val="231F20"/>
          <w:spacing w:val="-2"/>
          <w:w w:val="120"/>
          <w:sz w:val="17"/>
        </w:rPr>
        <w:t>stresseurs,</w:t>
      </w:r>
      <w:r>
        <w:rPr>
          <w:color w:val="231F20"/>
          <w:spacing w:val="-10"/>
          <w:w w:val="120"/>
          <w:sz w:val="17"/>
        </w:rPr>
        <w:t> </w:t>
      </w:r>
      <w:r>
        <w:rPr>
          <w:color w:val="231F20"/>
          <w:spacing w:val="-2"/>
          <w:w w:val="120"/>
          <w:sz w:val="17"/>
        </w:rPr>
        <w:t>mais</w:t>
      </w:r>
      <w:r>
        <w:rPr>
          <w:color w:val="231F20"/>
          <w:spacing w:val="-11"/>
          <w:w w:val="120"/>
          <w:sz w:val="17"/>
        </w:rPr>
        <w:t> </w:t>
      </w:r>
      <w:r>
        <w:rPr>
          <w:color w:val="231F20"/>
          <w:spacing w:val="-2"/>
          <w:w w:val="120"/>
          <w:sz w:val="17"/>
        </w:rPr>
        <w:t>considèrent</w:t>
      </w:r>
      <w:r>
        <w:rPr>
          <w:color w:val="231F20"/>
          <w:spacing w:val="-11"/>
          <w:w w:val="120"/>
          <w:sz w:val="17"/>
        </w:rPr>
        <w:t> </w:t>
      </w:r>
      <w:r>
        <w:rPr>
          <w:color w:val="231F20"/>
          <w:spacing w:val="-2"/>
          <w:w w:val="120"/>
          <w:sz w:val="17"/>
        </w:rPr>
        <w:t>néanmoins </w:t>
      </w:r>
      <w:r>
        <w:rPr>
          <w:color w:val="231F20"/>
          <w:w w:val="120"/>
          <w:sz w:val="17"/>
        </w:rPr>
        <w:t>qu’elles ont le contrôle de la situation.</w:t>
      </w:r>
    </w:p>
    <w:p>
      <w:pPr>
        <w:pStyle w:val="ListParagraph"/>
        <w:numPr>
          <w:ilvl w:val="1"/>
          <w:numId w:val="42"/>
        </w:numPr>
        <w:tabs>
          <w:tab w:pos="1331" w:val="left" w:leader="none"/>
        </w:tabs>
        <w:spacing w:line="307" w:lineRule="auto" w:before="0" w:after="0"/>
        <w:ind w:left="1330" w:right="496" w:hanging="251"/>
        <w:jc w:val="both"/>
        <w:rPr>
          <w:sz w:val="17"/>
        </w:rPr>
      </w:pPr>
      <w:r>
        <w:rPr>
          <w:color w:val="231F20"/>
          <w:w w:val="115"/>
          <w:sz w:val="17"/>
        </w:rPr>
        <w:t>Le</w:t>
      </w:r>
      <w:r>
        <w:rPr>
          <w:color w:val="231F20"/>
          <w:spacing w:val="-2"/>
          <w:w w:val="115"/>
          <w:sz w:val="17"/>
        </w:rPr>
        <w:t> </w:t>
      </w:r>
      <w:r>
        <w:rPr>
          <w:b/>
          <w:color w:val="231F20"/>
          <w:w w:val="115"/>
          <w:sz w:val="17"/>
        </w:rPr>
        <w:t>HOT</w:t>
      </w:r>
      <w:r>
        <w:rPr>
          <w:b/>
          <w:color w:val="231F20"/>
          <w:spacing w:val="-6"/>
          <w:w w:val="115"/>
          <w:sz w:val="17"/>
        </w:rPr>
        <w:t> </w:t>
      </w:r>
      <w:r>
        <w:rPr>
          <w:b/>
          <w:color w:val="231F20"/>
          <w:w w:val="115"/>
          <w:sz w:val="17"/>
        </w:rPr>
        <w:t>DOG</w:t>
      </w:r>
      <w:r>
        <w:rPr>
          <w:b/>
          <w:color w:val="231F20"/>
          <w:spacing w:val="-2"/>
          <w:w w:val="115"/>
          <w:sz w:val="17"/>
        </w:rPr>
        <w:t> </w:t>
      </w:r>
      <w:r>
        <w:rPr>
          <w:color w:val="231F20"/>
          <w:w w:val="115"/>
          <w:sz w:val="17"/>
        </w:rPr>
        <w:t>est</w:t>
      </w:r>
      <w:r>
        <w:rPr>
          <w:color w:val="231F20"/>
          <w:spacing w:val="-2"/>
          <w:w w:val="115"/>
          <w:sz w:val="17"/>
        </w:rPr>
        <w:t> </w:t>
      </w:r>
      <w:r>
        <w:rPr>
          <w:color w:val="231F20"/>
          <w:w w:val="115"/>
          <w:sz w:val="17"/>
        </w:rPr>
        <w:t>un</w:t>
      </w:r>
      <w:r>
        <w:rPr>
          <w:color w:val="231F20"/>
          <w:spacing w:val="-2"/>
          <w:w w:val="115"/>
          <w:sz w:val="17"/>
        </w:rPr>
        <w:t> </w:t>
      </w:r>
      <w:r>
        <w:rPr>
          <w:color w:val="231F20"/>
          <w:w w:val="115"/>
          <w:sz w:val="17"/>
        </w:rPr>
        <w:t>optimiste</w:t>
      </w:r>
      <w:r>
        <w:rPr>
          <w:color w:val="231F20"/>
          <w:spacing w:val="-2"/>
          <w:w w:val="115"/>
          <w:sz w:val="17"/>
        </w:rPr>
        <w:t> </w:t>
      </w:r>
      <w:r>
        <w:rPr>
          <w:color w:val="231F20"/>
          <w:w w:val="115"/>
          <w:sz w:val="17"/>
        </w:rPr>
        <w:t>hyperactif</w:t>
      </w:r>
      <w:r>
        <w:rPr>
          <w:color w:val="231F20"/>
          <w:spacing w:val="-2"/>
          <w:w w:val="115"/>
          <w:sz w:val="17"/>
        </w:rPr>
        <w:t> </w:t>
      </w:r>
      <w:r>
        <w:rPr>
          <w:color w:val="231F20"/>
          <w:w w:val="115"/>
          <w:sz w:val="17"/>
        </w:rPr>
        <w:t>qui</w:t>
      </w:r>
      <w:r>
        <w:rPr>
          <w:color w:val="231F20"/>
          <w:spacing w:val="-2"/>
          <w:w w:val="115"/>
          <w:sz w:val="17"/>
        </w:rPr>
        <w:t> </w:t>
      </w:r>
      <w:r>
        <w:rPr>
          <w:color w:val="231F20"/>
          <w:w w:val="115"/>
          <w:sz w:val="17"/>
        </w:rPr>
        <w:t>se</w:t>
      </w:r>
      <w:r>
        <w:rPr>
          <w:color w:val="231F20"/>
          <w:spacing w:val="-2"/>
          <w:w w:val="115"/>
          <w:sz w:val="17"/>
        </w:rPr>
        <w:t> </w:t>
      </w:r>
      <w:r>
        <w:rPr>
          <w:color w:val="231F20"/>
          <w:w w:val="115"/>
          <w:sz w:val="17"/>
        </w:rPr>
        <w:t>sent</w:t>
      </w:r>
      <w:r>
        <w:rPr>
          <w:color w:val="231F20"/>
          <w:spacing w:val="-2"/>
          <w:w w:val="115"/>
          <w:sz w:val="17"/>
        </w:rPr>
        <w:t> </w:t>
      </w:r>
      <w:r>
        <w:rPr>
          <w:color w:val="231F20"/>
          <w:w w:val="115"/>
          <w:sz w:val="17"/>
        </w:rPr>
        <w:t>guidé</w:t>
      </w:r>
      <w:r>
        <w:rPr>
          <w:color w:val="231F20"/>
          <w:spacing w:val="-2"/>
          <w:w w:val="115"/>
          <w:sz w:val="17"/>
        </w:rPr>
        <w:t> </w:t>
      </w:r>
      <w:r>
        <w:rPr>
          <w:color w:val="231F20"/>
          <w:w w:val="115"/>
          <w:sz w:val="17"/>
        </w:rPr>
        <w:t>par</w:t>
      </w:r>
      <w:r>
        <w:rPr>
          <w:color w:val="231F20"/>
          <w:spacing w:val="-2"/>
          <w:w w:val="115"/>
          <w:sz w:val="17"/>
        </w:rPr>
        <w:t> </w:t>
      </w:r>
      <w:r>
        <w:rPr>
          <w:color w:val="231F20"/>
          <w:w w:val="115"/>
          <w:sz w:val="17"/>
        </w:rPr>
        <w:t>les </w:t>
      </w:r>
      <w:r>
        <w:rPr>
          <w:color w:val="231F20"/>
          <w:w w:val="120"/>
          <w:sz w:val="17"/>
        </w:rPr>
        <w:t>événements</w:t>
      </w:r>
      <w:r>
        <w:rPr>
          <w:color w:val="231F20"/>
          <w:spacing w:val="-9"/>
          <w:w w:val="120"/>
          <w:sz w:val="17"/>
        </w:rPr>
        <w:t> </w:t>
      </w:r>
      <w:r>
        <w:rPr>
          <w:color w:val="231F20"/>
          <w:w w:val="120"/>
          <w:sz w:val="17"/>
        </w:rPr>
        <w:t>extérieurs.</w:t>
      </w:r>
      <w:r>
        <w:rPr>
          <w:color w:val="231F20"/>
          <w:spacing w:val="-9"/>
          <w:w w:val="120"/>
          <w:sz w:val="17"/>
        </w:rPr>
        <w:t> </w:t>
      </w:r>
      <w:r>
        <w:rPr>
          <w:color w:val="231F20"/>
          <w:w w:val="120"/>
          <w:sz w:val="17"/>
        </w:rPr>
        <w:t>Cet</w:t>
      </w:r>
      <w:r>
        <w:rPr>
          <w:color w:val="231F20"/>
          <w:spacing w:val="-9"/>
          <w:w w:val="120"/>
          <w:sz w:val="17"/>
        </w:rPr>
        <w:t> </w:t>
      </w:r>
      <w:r>
        <w:rPr>
          <w:color w:val="231F20"/>
          <w:w w:val="120"/>
          <w:sz w:val="17"/>
        </w:rPr>
        <w:t>individu</w:t>
      </w:r>
      <w:r>
        <w:rPr>
          <w:color w:val="231F20"/>
          <w:spacing w:val="-9"/>
          <w:w w:val="120"/>
          <w:sz w:val="17"/>
        </w:rPr>
        <w:t> </w:t>
      </w:r>
      <w:r>
        <w:rPr>
          <w:color w:val="231F20"/>
          <w:w w:val="120"/>
          <w:sz w:val="17"/>
        </w:rPr>
        <w:t>agité</w:t>
      </w:r>
      <w:r>
        <w:rPr>
          <w:color w:val="231F20"/>
          <w:spacing w:val="-9"/>
          <w:w w:val="120"/>
          <w:sz w:val="17"/>
        </w:rPr>
        <w:t> </w:t>
      </w:r>
      <w:r>
        <w:rPr>
          <w:color w:val="231F20"/>
          <w:w w:val="120"/>
          <w:sz w:val="17"/>
        </w:rPr>
        <w:t>tire</w:t>
      </w:r>
      <w:r>
        <w:rPr>
          <w:color w:val="231F20"/>
          <w:spacing w:val="-9"/>
          <w:w w:val="120"/>
          <w:sz w:val="17"/>
        </w:rPr>
        <w:t> </w:t>
      </w:r>
      <w:r>
        <w:rPr>
          <w:color w:val="231F20"/>
          <w:w w:val="120"/>
          <w:sz w:val="17"/>
        </w:rPr>
        <w:t>une</w:t>
      </w:r>
      <w:r>
        <w:rPr>
          <w:color w:val="231F20"/>
          <w:spacing w:val="-9"/>
          <w:w w:val="120"/>
          <w:sz w:val="17"/>
        </w:rPr>
        <w:t> </w:t>
      </w:r>
      <w:r>
        <w:rPr>
          <w:color w:val="231F20"/>
          <w:w w:val="120"/>
          <w:sz w:val="17"/>
        </w:rPr>
        <w:t>satisfaction</w:t>
      </w:r>
      <w:r>
        <w:rPr>
          <w:color w:val="231F20"/>
          <w:spacing w:val="-9"/>
          <w:w w:val="120"/>
          <w:sz w:val="17"/>
        </w:rPr>
        <w:t> </w:t>
      </w:r>
      <w:r>
        <w:rPr>
          <w:color w:val="231F20"/>
          <w:w w:val="120"/>
          <w:sz w:val="17"/>
        </w:rPr>
        <w:t>du fait</w:t>
      </w:r>
      <w:r>
        <w:rPr>
          <w:color w:val="231F20"/>
          <w:spacing w:val="-5"/>
          <w:w w:val="120"/>
          <w:sz w:val="17"/>
        </w:rPr>
        <w:t> </w:t>
      </w:r>
      <w:r>
        <w:rPr>
          <w:color w:val="231F20"/>
          <w:w w:val="120"/>
          <w:sz w:val="17"/>
        </w:rPr>
        <w:t>qu’on</w:t>
      </w:r>
      <w:r>
        <w:rPr>
          <w:color w:val="231F20"/>
          <w:spacing w:val="-5"/>
          <w:w w:val="120"/>
          <w:sz w:val="17"/>
        </w:rPr>
        <w:t> </w:t>
      </w:r>
      <w:r>
        <w:rPr>
          <w:color w:val="231F20"/>
          <w:w w:val="120"/>
          <w:sz w:val="17"/>
        </w:rPr>
        <w:t>sait</w:t>
      </w:r>
      <w:r>
        <w:rPr>
          <w:color w:val="231F20"/>
          <w:spacing w:val="-5"/>
          <w:w w:val="120"/>
          <w:sz w:val="17"/>
        </w:rPr>
        <w:t> </w:t>
      </w:r>
      <w:r>
        <w:rPr>
          <w:color w:val="231F20"/>
          <w:w w:val="120"/>
          <w:sz w:val="17"/>
        </w:rPr>
        <w:t>qu’il</w:t>
      </w:r>
      <w:r>
        <w:rPr>
          <w:color w:val="231F20"/>
          <w:spacing w:val="-5"/>
          <w:w w:val="120"/>
          <w:sz w:val="17"/>
        </w:rPr>
        <w:t> </w:t>
      </w:r>
      <w:r>
        <w:rPr>
          <w:color w:val="231F20"/>
          <w:w w:val="120"/>
          <w:sz w:val="17"/>
        </w:rPr>
        <w:t>s’est</w:t>
      </w:r>
      <w:r>
        <w:rPr>
          <w:color w:val="231F20"/>
          <w:spacing w:val="-5"/>
          <w:w w:val="120"/>
          <w:sz w:val="17"/>
        </w:rPr>
        <w:t> </w:t>
      </w:r>
      <w:r>
        <w:rPr>
          <w:color w:val="231F20"/>
          <w:w w:val="120"/>
          <w:sz w:val="17"/>
        </w:rPr>
        <w:t>occupé</w:t>
      </w:r>
      <w:r>
        <w:rPr>
          <w:color w:val="231F20"/>
          <w:spacing w:val="-5"/>
          <w:w w:val="120"/>
          <w:sz w:val="17"/>
        </w:rPr>
        <w:t> </w:t>
      </w:r>
      <w:r>
        <w:rPr>
          <w:color w:val="231F20"/>
          <w:w w:val="120"/>
          <w:sz w:val="17"/>
        </w:rPr>
        <w:t>de</w:t>
      </w:r>
      <w:r>
        <w:rPr>
          <w:color w:val="231F20"/>
          <w:spacing w:val="-5"/>
          <w:w w:val="120"/>
          <w:sz w:val="17"/>
        </w:rPr>
        <w:t> </w:t>
      </w:r>
      <w:r>
        <w:rPr>
          <w:color w:val="231F20"/>
          <w:w w:val="120"/>
          <w:sz w:val="17"/>
        </w:rPr>
        <w:t>faire</w:t>
      </w:r>
      <w:r>
        <w:rPr>
          <w:color w:val="231F20"/>
          <w:spacing w:val="-5"/>
          <w:w w:val="120"/>
          <w:sz w:val="17"/>
        </w:rPr>
        <w:t> </w:t>
      </w:r>
      <w:r>
        <w:rPr>
          <w:color w:val="231F20"/>
          <w:w w:val="120"/>
          <w:sz w:val="17"/>
        </w:rPr>
        <w:t>le</w:t>
      </w:r>
      <w:r>
        <w:rPr>
          <w:color w:val="231F20"/>
          <w:spacing w:val="-5"/>
          <w:w w:val="120"/>
          <w:sz w:val="17"/>
        </w:rPr>
        <w:t> </w:t>
      </w:r>
      <w:r>
        <w:rPr>
          <w:color w:val="231F20"/>
          <w:w w:val="120"/>
          <w:sz w:val="17"/>
        </w:rPr>
        <w:t>nécessaire.</w:t>
      </w:r>
      <w:r>
        <w:rPr>
          <w:color w:val="231F20"/>
          <w:spacing w:val="-5"/>
          <w:w w:val="120"/>
          <w:sz w:val="17"/>
        </w:rPr>
        <w:t> </w:t>
      </w:r>
      <w:r>
        <w:rPr>
          <w:color w:val="231F20"/>
          <w:w w:val="120"/>
          <w:sz w:val="17"/>
        </w:rPr>
        <w:t>Il</w:t>
      </w:r>
      <w:r>
        <w:rPr>
          <w:color w:val="231F20"/>
          <w:spacing w:val="-5"/>
          <w:w w:val="120"/>
          <w:sz w:val="17"/>
        </w:rPr>
        <w:t> </w:t>
      </w:r>
      <w:r>
        <w:rPr>
          <w:color w:val="231F20"/>
          <w:w w:val="120"/>
          <w:sz w:val="17"/>
        </w:rPr>
        <w:t>est</w:t>
      </w:r>
      <w:r>
        <w:rPr>
          <w:color w:val="231F20"/>
          <w:spacing w:val="-5"/>
          <w:w w:val="120"/>
          <w:sz w:val="17"/>
        </w:rPr>
        <w:t> </w:t>
      </w:r>
      <w:r>
        <w:rPr>
          <w:color w:val="231F20"/>
          <w:w w:val="120"/>
          <w:sz w:val="17"/>
        </w:rPr>
        <w:t>plu- tôt</w:t>
      </w:r>
      <w:r>
        <w:rPr>
          <w:color w:val="231F20"/>
          <w:spacing w:val="-8"/>
          <w:w w:val="120"/>
          <w:sz w:val="17"/>
        </w:rPr>
        <w:t> </w:t>
      </w:r>
      <w:r>
        <w:rPr>
          <w:color w:val="231F20"/>
          <w:w w:val="120"/>
          <w:sz w:val="17"/>
        </w:rPr>
        <w:t>dévoué que fidèle</w:t>
      </w:r>
      <w:r>
        <w:rPr>
          <w:color w:val="231F20"/>
          <w:spacing w:val="-13"/>
          <w:w w:val="120"/>
          <w:sz w:val="17"/>
        </w:rPr>
        <w:t> </w:t>
      </w:r>
      <w:r>
        <w:rPr>
          <w:color w:val="231F20"/>
          <w:w w:val="120"/>
          <w:sz w:val="17"/>
        </w:rPr>
        <w:t>; les rôles officiels au sein d’une structure </w:t>
      </w:r>
      <w:r>
        <w:rPr>
          <w:color w:val="231F20"/>
          <w:w w:val="115"/>
          <w:sz w:val="17"/>
        </w:rPr>
        <w:t>sociale</w:t>
      </w:r>
      <w:r>
        <w:rPr>
          <w:color w:val="231F20"/>
          <w:spacing w:val="-1"/>
          <w:w w:val="115"/>
          <w:sz w:val="17"/>
        </w:rPr>
        <w:t> </w:t>
      </w:r>
      <w:r>
        <w:rPr>
          <w:color w:val="231F20"/>
          <w:w w:val="115"/>
          <w:sz w:val="17"/>
        </w:rPr>
        <w:t>ne</w:t>
      </w:r>
      <w:r>
        <w:rPr>
          <w:color w:val="231F20"/>
          <w:spacing w:val="-1"/>
          <w:w w:val="115"/>
          <w:sz w:val="17"/>
        </w:rPr>
        <w:t> </w:t>
      </w:r>
      <w:r>
        <w:rPr>
          <w:color w:val="231F20"/>
          <w:w w:val="115"/>
          <w:sz w:val="17"/>
        </w:rPr>
        <w:t>l’intéressent</w:t>
      </w:r>
      <w:r>
        <w:rPr>
          <w:color w:val="231F20"/>
          <w:spacing w:val="-1"/>
          <w:w w:val="115"/>
          <w:sz w:val="17"/>
        </w:rPr>
        <w:t> </w:t>
      </w:r>
      <w:r>
        <w:rPr>
          <w:color w:val="231F20"/>
          <w:w w:val="115"/>
          <w:sz w:val="17"/>
        </w:rPr>
        <w:t>pas.</w:t>
      </w:r>
      <w:r>
        <w:rPr>
          <w:color w:val="231F20"/>
          <w:spacing w:val="-1"/>
          <w:w w:val="115"/>
          <w:sz w:val="17"/>
        </w:rPr>
        <w:t> </w:t>
      </w:r>
      <w:r>
        <w:rPr>
          <w:color w:val="231F20"/>
          <w:w w:val="115"/>
          <w:sz w:val="17"/>
        </w:rPr>
        <w:t>Il</w:t>
      </w:r>
      <w:r>
        <w:rPr>
          <w:color w:val="231F20"/>
          <w:spacing w:val="-1"/>
          <w:w w:val="115"/>
          <w:sz w:val="17"/>
        </w:rPr>
        <w:t> </w:t>
      </w:r>
      <w:r>
        <w:rPr>
          <w:color w:val="231F20"/>
          <w:w w:val="115"/>
          <w:sz w:val="17"/>
        </w:rPr>
        <w:t>s’efforce</w:t>
      </w:r>
      <w:r>
        <w:rPr>
          <w:color w:val="231F20"/>
          <w:spacing w:val="-1"/>
          <w:w w:val="115"/>
          <w:sz w:val="17"/>
        </w:rPr>
        <w:t> </w:t>
      </w:r>
      <w:r>
        <w:rPr>
          <w:color w:val="231F20"/>
          <w:w w:val="115"/>
          <w:sz w:val="17"/>
        </w:rPr>
        <w:t>de</w:t>
      </w:r>
      <w:r>
        <w:rPr>
          <w:color w:val="231F20"/>
          <w:spacing w:val="-1"/>
          <w:w w:val="115"/>
          <w:sz w:val="17"/>
        </w:rPr>
        <w:t> </w:t>
      </w:r>
      <w:r>
        <w:rPr>
          <w:color w:val="231F20"/>
          <w:w w:val="115"/>
          <w:sz w:val="17"/>
        </w:rPr>
        <w:t>bien</w:t>
      </w:r>
      <w:r>
        <w:rPr>
          <w:color w:val="231F20"/>
          <w:spacing w:val="-1"/>
          <w:w w:val="115"/>
          <w:sz w:val="17"/>
        </w:rPr>
        <w:t> </w:t>
      </w:r>
      <w:r>
        <w:rPr>
          <w:color w:val="231F20"/>
          <w:w w:val="115"/>
          <w:sz w:val="17"/>
        </w:rPr>
        <w:t>faire</w:t>
      </w:r>
      <w:r>
        <w:rPr>
          <w:color w:val="231F20"/>
          <w:spacing w:val="-1"/>
          <w:w w:val="115"/>
          <w:sz w:val="17"/>
        </w:rPr>
        <w:t> </w:t>
      </w:r>
      <w:r>
        <w:rPr>
          <w:color w:val="231F20"/>
          <w:w w:val="115"/>
          <w:sz w:val="17"/>
        </w:rPr>
        <w:t>et</w:t>
      </w:r>
      <w:r>
        <w:rPr>
          <w:color w:val="231F20"/>
          <w:spacing w:val="-1"/>
          <w:w w:val="115"/>
          <w:sz w:val="17"/>
        </w:rPr>
        <w:t> </w:t>
      </w:r>
      <w:r>
        <w:rPr>
          <w:color w:val="231F20"/>
          <w:w w:val="115"/>
          <w:sz w:val="17"/>
        </w:rPr>
        <w:t>ne</w:t>
      </w:r>
      <w:r>
        <w:rPr>
          <w:color w:val="231F20"/>
          <w:spacing w:val="-1"/>
          <w:w w:val="115"/>
          <w:sz w:val="17"/>
        </w:rPr>
        <w:t> </w:t>
      </w:r>
      <w:r>
        <w:rPr>
          <w:color w:val="231F20"/>
          <w:w w:val="115"/>
          <w:sz w:val="17"/>
        </w:rPr>
        <w:t>croit</w:t>
      </w:r>
      <w:r>
        <w:rPr>
          <w:color w:val="231F20"/>
          <w:spacing w:val="-1"/>
          <w:w w:val="115"/>
          <w:sz w:val="17"/>
        </w:rPr>
        <w:t> </w:t>
      </w:r>
      <w:r>
        <w:rPr>
          <w:color w:val="231F20"/>
          <w:w w:val="115"/>
          <w:sz w:val="17"/>
        </w:rPr>
        <w:t>pas</w:t>
      </w:r>
      <w:r>
        <w:rPr>
          <w:color w:val="231F20"/>
          <w:w w:val="115"/>
          <w:sz w:val="17"/>
        </w:rPr>
        <w:t> </w:t>
      </w:r>
      <w:r>
        <w:rPr>
          <w:color w:val="231F20"/>
          <w:w w:val="120"/>
          <w:sz w:val="17"/>
        </w:rPr>
        <w:t>toujours</w:t>
      </w:r>
      <w:r>
        <w:rPr>
          <w:color w:val="231F20"/>
          <w:spacing w:val="-1"/>
          <w:w w:val="120"/>
          <w:sz w:val="17"/>
        </w:rPr>
        <w:t> </w:t>
      </w:r>
      <w:r>
        <w:rPr>
          <w:color w:val="231F20"/>
          <w:w w:val="120"/>
          <w:sz w:val="17"/>
        </w:rPr>
        <w:t>au</w:t>
      </w:r>
      <w:r>
        <w:rPr>
          <w:color w:val="231F20"/>
          <w:spacing w:val="-1"/>
          <w:w w:val="120"/>
          <w:sz w:val="17"/>
        </w:rPr>
        <w:t> </w:t>
      </w:r>
      <w:r>
        <w:rPr>
          <w:color w:val="231F20"/>
          <w:w w:val="120"/>
          <w:sz w:val="17"/>
        </w:rPr>
        <w:t>contrôle.</w:t>
      </w:r>
      <w:r>
        <w:rPr>
          <w:color w:val="231F20"/>
          <w:spacing w:val="-1"/>
          <w:w w:val="120"/>
          <w:sz w:val="17"/>
        </w:rPr>
        <w:t> </w:t>
      </w:r>
      <w:r>
        <w:rPr>
          <w:color w:val="231F20"/>
          <w:w w:val="120"/>
          <w:sz w:val="17"/>
        </w:rPr>
        <w:t>De</w:t>
      </w:r>
      <w:r>
        <w:rPr>
          <w:color w:val="231F20"/>
          <w:spacing w:val="-1"/>
          <w:w w:val="120"/>
          <w:sz w:val="17"/>
        </w:rPr>
        <w:t> </w:t>
      </w:r>
      <w:r>
        <w:rPr>
          <w:color w:val="231F20"/>
          <w:w w:val="120"/>
          <w:sz w:val="17"/>
        </w:rPr>
        <w:t>l’ensemble</w:t>
      </w:r>
      <w:r>
        <w:rPr>
          <w:color w:val="231F20"/>
          <w:spacing w:val="-1"/>
          <w:w w:val="120"/>
          <w:sz w:val="17"/>
        </w:rPr>
        <w:t> </w:t>
      </w:r>
      <w:r>
        <w:rPr>
          <w:color w:val="231F20"/>
          <w:w w:val="120"/>
          <w:sz w:val="17"/>
        </w:rPr>
        <w:t>des</w:t>
      </w:r>
      <w:r>
        <w:rPr>
          <w:color w:val="231F20"/>
          <w:spacing w:val="-1"/>
          <w:w w:val="120"/>
          <w:sz w:val="17"/>
        </w:rPr>
        <w:t> </w:t>
      </w:r>
      <w:r>
        <w:rPr>
          <w:color w:val="231F20"/>
          <w:w w:val="120"/>
          <w:sz w:val="17"/>
        </w:rPr>
        <w:t>catégories</w:t>
      </w:r>
      <w:r>
        <w:rPr>
          <w:color w:val="231F20"/>
          <w:spacing w:val="-1"/>
          <w:w w:val="120"/>
          <w:sz w:val="17"/>
        </w:rPr>
        <w:t> </w:t>
      </w:r>
      <w:r>
        <w:rPr>
          <w:color w:val="231F20"/>
          <w:w w:val="120"/>
          <w:sz w:val="17"/>
        </w:rPr>
        <w:t>de</w:t>
      </w:r>
      <w:r>
        <w:rPr>
          <w:color w:val="231F20"/>
          <w:spacing w:val="-1"/>
          <w:w w:val="120"/>
          <w:sz w:val="17"/>
        </w:rPr>
        <w:t> </w:t>
      </w:r>
      <w:r>
        <w:rPr>
          <w:color w:val="231F20"/>
          <w:w w:val="120"/>
          <w:sz w:val="17"/>
        </w:rPr>
        <w:t>personna- lité de cette typologie, ces individus sont ceux qui sont les plus sensibles au stress.</w:t>
      </w:r>
    </w:p>
    <w:p>
      <w:pPr>
        <w:pStyle w:val="ListParagraph"/>
        <w:numPr>
          <w:ilvl w:val="1"/>
          <w:numId w:val="42"/>
        </w:numPr>
        <w:tabs>
          <w:tab w:pos="1331" w:val="left" w:leader="none"/>
        </w:tabs>
        <w:spacing w:line="307" w:lineRule="auto" w:before="0" w:after="0"/>
        <w:ind w:left="1330" w:right="494" w:hanging="251"/>
        <w:jc w:val="both"/>
        <w:rPr>
          <w:sz w:val="17"/>
        </w:rPr>
      </w:pPr>
      <w:r>
        <w:rPr>
          <w:color w:val="231F20"/>
          <w:spacing w:val="-2"/>
          <w:w w:val="115"/>
          <w:sz w:val="17"/>
        </w:rPr>
        <w:t>Le</w:t>
      </w:r>
      <w:r>
        <w:rPr>
          <w:color w:val="231F20"/>
          <w:spacing w:val="-11"/>
          <w:w w:val="115"/>
          <w:sz w:val="17"/>
        </w:rPr>
        <w:t> </w:t>
      </w:r>
      <w:r>
        <w:rPr>
          <w:b/>
          <w:color w:val="231F20"/>
          <w:spacing w:val="-2"/>
          <w:w w:val="115"/>
          <w:sz w:val="17"/>
        </w:rPr>
        <w:t>COOL</w:t>
      </w:r>
      <w:r>
        <w:rPr>
          <w:b/>
          <w:color w:val="231F20"/>
          <w:spacing w:val="-10"/>
          <w:w w:val="115"/>
          <w:sz w:val="17"/>
        </w:rPr>
        <w:t> </w:t>
      </w:r>
      <w:r>
        <w:rPr>
          <w:b/>
          <w:color w:val="231F20"/>
          <w:spacing w:val="-2"/>
          <w:w w:val="115"/>
          <w:sz w:val="17"/>
        </w:rPr>
        <w:t>CAT</w:t>
      </w:r>
      <w:r>
        <w:rPr>
          <w:b/>
          <w:color w:val="231F20"/>
          <w:spacing w:val="-9"/>
          <w:w w:val="115"/>
          <w:sz w:val="17"/>
        </w:rPr>
        <w:t> </w:t>
      </w:r>
      <w:r>
        <w:rPr>
          <w:color w:val="231F20"/>
          <w:spacing w:val="-2"/>
          <w:w w:val="115"/>
          <w:sz w:val="17"/>
        </w:rPr>
        <w:t>a</w:t>
      </w:r>
      <w:r>
        <w:rPr>
          <w:color w:val="231F20"/>
          <w:spacing w:val="-9"/>
          <w:w w:val="115"/>
          <w:sz w:val="17"/>
        </w:rPr>
        <w:t> </w:t>
      </w:r>
      <w:r>
        <w:rPr>
          <w:color w:val="231F20"/>
          <w:spacing w:val="-2"/>
          <w:w w:val="115"/>
          <w:sz w:val="17"/>
        </w:rPr>
        <w:t>tendance</w:t>
      </w:r>
      <w:r>
        <w:rPr>
          <w:color w:val="231F20"/>
          <w:spacing w:val="-9"/>
          <w:w w:val="115"/>
          <w:sz w:val="17"/>
        </w:rPr>
        <w:t> </w:t>
      </w:r>
      <w:r>
        <w:rPr>
          <w:color w:val="231F20"/>
          <w:spacing w:val="-2"/>
          <w:w w:val="115"/>
          <w:sz w:val="17"/>
        </w:rPr>
        <w:t>à</w:t>
      </w:r>
      <w:r>
        <w:rPr>
          <w:color w:val="231F20"/>
          <w:spacing w:val="-9"/>
          <w:w w:val="115"/>
          <w:sz w:val="17"/>
        </w:rPr>
        <w:t> </w:t>
      </w:r>
      <w:r>
        <w:rPr>
          <w:color w:val="231F20"/>
          <w:spacing w:val="-2"/>
          <w:w w:val="115"/>
          <w:sz w:val="17"/>
        </w:rPr>
        <w:t>se</w:t>
      </w:r>
      <w:r>
        <w:rPr>
          <w:color w:val="231F20"/>
          <w:spacing w:val="-9"/>
          <w:w w:val="115"/>
          <w:sz w:val="17"/>
        </w:rPr>
        <w:t> </w:t>
      </w:r>
      <w:r>
        <w:rPr>
          <w:color w:val="231F20"/>
          <w:spacing w:val="-2"/>
          <w:w w:val="115"/>
          <w:sz w:val="17"/>
        </w:rPr>
        <w:t>laisser</w:t>
      </w:r>
      <w:r>
        <w:rPr>
          <w:color w:val="231F20"/>
          <w:spacing w:val="-9"/>
          <w:w w:val="115"/>
          <w:sz w:val="17"/>
        </w:rPr>
        <w:t> </w:t>
      </w:r>
      <w:r>
        <w:rPr>
          <w:color w:val="231F20"/>
          <w:spacing w:val="-2"/>
          <w:w w:val="115"/>
          <w:sz w:val="17"/>
        </w:rPr>
        <w:t>submerger</w:t>
      </w:r>
      <w:r>
        <w:rPr>
          <w:color w:val="231F20"/>
          <w:spacing w:val="-9"/>
          <w:w w:val="115"/>
          <w:sz w:val="17"/>
        </w:rPr>
        <w:t> </w:t>
      </w:r>
      <w:r>
        <w:rPr>
          <w:color w:val="231F20"/>
          <w:spacing w:val="-2"/>
          <w:w w:val="115"/>
          <w:sz w:val="17"/>
        </w:rPr>
        <w:t>par</w:t>
      </w:r>
      <w:r>
        <w:rPr>
          <w:color w:val="231F20"/>
          <w:spacing w:val="-9"/>
          <w:w w:val="115"/>
          <w:sz w:val="17"/>
        </w:rPr>
        <w:t> </w:t>
      </w:r>
      <w:r>
        <w:rPr>
          <w:color w:val="231F20"/>
          <w:spacing w:val="-2"/>
          <w:w w:val="115"/>
          <w:sz w:val="17"/>
        </w:rPr>
        <w:t>son</w:t>
      </w:r>
      <w:r>
        <w:rPr>
          <w:color w:val="231F20"/>
          <w:spacing w:val="-9"/>
          <w:w w:val="115"/>
          <w:sz w:val="17"/>
        </w:rPr>
        <w:t> </w:t>
      </w:r>
      <w:r>
        <w:rPr>
          <w:color w:val="231F20"/>
          <w:spacing w:val="-2"/>
          <w:w w:val="115"/>
          <w:sz w:val="17"/>
        </w:rPr>
        <w:t>esprit</w:t>
      </w:r>
      <w:r>
        <w:rPr>
          <w:color w:val="231F20"/>
          <w:spacing w:val="-9"/>
          <w:w w:val="115"/>
          <w:sz w:val="17"/>
        </w:rPr>
        <w:t> </w:t>
      </w:r>
      <w:r>
        <w:rPr>
          <w:color w:val="231F20"/>
          <w:spacing w:val="-2"/>
          <w:w w:val="115"/>
          <w:sz w:val="17"/>
        </w:rPr>
        <w:t>ana- </w:t>
      </w:r>
      <w:r>
        <w:rPr>
          <w:color w:val="231F20"/>
          <w:w w:val="120"/>
          <w:sz w:val="17"/>
        </w:rPr>
        <w:t>lytique.</w:t>
      </w:r>
      <w:r>
        <w:rPr>
          <w:color w:val="231F20"/>
          <w:spacing w:val="-13"/>
          <w:w w:val="120"/>
          <w:sz w:val="17"/>
        </w:rPr>
        <w:t> </w:t>
      </w:r>
      <w:r>
        <w:rPr>
          <w:color w:val="231F20"/>
          <w:w w:val="120"/>
          <w:sz w:val="17"/>
        </w:rPr>
        <w:t>Extrêmement</w:t>
      </w:r>
      <w:r>
        <w:rPr>
          <w:color w:val="231F20"/>
          <w:spacing w:val="-12"/>
          <w:w w:val="120"/>
          <w:sz w:val="17"/>
        </w:rPr>
        <w:t> </w:t>
      </w:r>
      <w:r>
        <w:rPr>
          <w:color w:val="231F20"/>
          <w:w w:val="120"/>
          <w:sz w:val="17"/>
        </w:rPr>
        <w:t>critique,</w:t>
      </w:r>
      <w:r>
        <w:rPr>
          <w:color w:val="231F20"/>
          <w:spacing w:val="-13"/>
          <w:w w:val="120"/>
          <w:sz w:val="17"/>
        </w:rPr>
        <w:t> </w:t>
      </w:r>
      <w:r>
        <w:rPr>
          <w:color w:val="231F20"/>
          <w:w w:val="120"/>
          <w:sz w:val="17"/>
        </w:rPr>
        <w:t>il</w:t>
      </w:r>
      <w:r>
        <w:rPr>
          <w:color w:val="231F20"/>
          <w:spacing w:val="-12"/>
          <w:w w:val="120"/>
          <w:sz w:val="17"/>
        </w:rPr>
        <w:t> </w:t>
      </w:r>
      <w:r>
        <w:rPr>
          <w:color w:val="231F20"/>
          <w:w w:val="120"/>
          <w:sz w:val="17"/>
        </w:rPr>
        <w:t>a</w:t>
      </w:r>
      <w:r>
        <w:rPr>
          <w:color w:val="231F20"/>
          <w:spacing w:val="-13"/>
          <w:w w:val="120"/>
          <w:sz w:val="17"/>
        </w:rPr>
        <w:t> </w:t>
      </w:r>
      <w:r>
        <w:rPr>
          <w:color w:val="231F20"/>
          <w:w w:val="120"/>
          <w:sz w:val="17"/>
        </w:rPr>
        <w:t>tendance</w:t>
      </w:r>
      <w:r>
        <w:rPr>
          <w:color w:val="231F20"/>
          <w:spacing w:val="-12"/>
          <w:w w:val="120"/>
          <w:sz w:val="17"/>
        </w:rPr>
        <w:t> </w:t>
      </w:r>
      <w:r>
        <w:rPr>
          <w:color w:val="231F20"/>
          <w:w w:val="120"/>
          <w:sz w:val="17"/>
        </w:rPr>
        <w:t>à</w:t>
      </w:r>
      <w:r>
        <w:rPr>
          <w:color w:val="231F20"/>
          <w:spacing w:val="-13"/>
          <w:w w:val="120"/>
          <w:sz w:val="17"/>
        </w:rPr>
        <w:t> </w:t>
      </w:r>
      <w:r>
        <w:rPr>
          <w:color w:val="231F20"/>
          <w:w w:val="120"/>
          <w:sz w:val="17"/>
        </w:rPr>
        <w:t>être</w:t>
      </w:r>
      <w:r>
        <w:rPr>
          <w:color w:val="231F20"/>
          <w:spacing w:val="-12"/>
          <w:w w:val="120"/>
          <w:sz w:val="17"/>
        </w:rPr>
        <w:t> </w:t>
      </w:r>
      <w:r>
        <w:rPr>
          <w:color w:val="231F20"/>
          <w:w w:val="120"/>
          <w:sz w:val="17"/>
        </w:rPr>
        <w:t>pessimiste.</w:t>
      </w:r>
      <w:r>
        <w:rPr>
          <w:color w:val="231F20"/>
          <w:spacing w:val="-13"/>
          <w:w w:val="120"/>
          <w:sz w:val="17"/>
        </w:rPr>
        <w:t> </w:t>
      </w:r>
      <w:r>
        <w:rPr>
          <w:color w:val="231F20"/>
          <w:w w:val="120"/>
          <w:sz w:val="17"/>
        </w:rPr>
        <w:t>On a</w:t>
      </w:r>
      <w:r>
        <w:rPr>
          <w:color w:val="231F20"/>
          <w:spacing w:val="-8"/>
          <w:w w:val="120"/>
          <w:sz w:val="17"/>
        </w:rPr>
        <w:t> </w:t>
      </w:r>
      <w:r>
        <w:rPr>
          <w:color w:val="231F20"/>
          <w:w w:val="120"/>
          <w:sz w:val="17"/>
        </w:rPr>
        <w:t>du</w:t>
      </w:r>
      <w:r>
        <w:rPr>
          <w:color w:val="231F20"/>
          <w:spacing w:val="-8"/>
          <w:w w:val="120"/>
          <w:sz w:val="17"/>
        </w:rPr>
        <w:t> </w:t>
      </w:r>
      <w:r>
        <w:rPr>
          <w:color w:val="231F20"/>
          <w:w w:val="120"/>
          <w:sz w:val="17"/>
        </w:rPr>
        <w:t>mal</w:t>
      </w:r>
      <w:r>
        <w:rPr>
          <w:color w:val="231F20"/>
          <w:spacing w:val="-8"/>
          <w:w w:val="120"/>
          <w:sz w:val="17"/>
        </w:rPr>
        <w:t> </w:t>
      </w:r>
      <w:r>
        <w:rPr>
          <w:color w:val="231F20"/>
          <w:w w:val="120"/>
          <w:sz w:val="17"/>
        </w:rPr>
        <w:t>à</w:t>
      </w:r>
      <w:r>
        <w:rPr>
          <w:color w:val="231F20"/>
          <w:spacing w:val="-8"/>
          <w:w w:val="120"/>
          <w:sz w:val="17"/>
        </w:rPr>
        <w:t> </w:t>
      </w:r>
      <w:r>
        <w:rPr>
          <w:color w:val="231F20"/>
          <w:w w:val="120"/>
          <w:sz w:val="17"/>
        </w:rPr>
        <w:t>déterminer</w:t>
      </w:r>
      <w:r>
        <w:rPr>
          <w:color w:val="231F20"/>
          <w:spacing w:val="-8"/>
          <w:w w:val="120"/>
          <w:sz w:val="17"/>
        </w:rPr>
        <w:t> </w:t>
      </w:r>
      <w:r>
        <w:rPr>
          <w:color w:val="231F20"/>
          <w:w w:val="120"/>
          <w:sz w:val="17"/>
        </w:rPr>
        <w:t>s’il</w:t>
      </w:r>
      <w:r>
        <w:rPr>
          <w:color w:val="231F20"/>
          <w:spacing w:val="-8"/>
          <w:w w:val="120"/>
          <w:sz w:val="17"/>
        </w:rPr>
        <w:t> </w:t>
      </w:r>
      <w:r>
        <w:rPr>
          <w:color w:val="231F20"/>
          <w:w w:val="120"/>
          <w:sz w:val="17"/>
        </w:rPr>
        <w:t>est</w:t>
      </w:r>
      <w:r>
        <w:rPr>
          <w:color w:val="231F20"/>
          <w:spacing w:val="-8"/>
          <w:w w:val="120"/>
          <w:sz w:val="17"/>
        </w:rPr>
        <w:t> </w:t>
      </w:r>
      <w:r>
        <w:rPr>
          <w:color w:val="231F20"/>
          <w:w w:val="120"/>
          <w:sz w:val="17"/>
        </w:rPr>
        <w:t>solitaire</w:t>
      </w:r>
      <w:r>
        <w:rPr>
          <w:color w:val="231F20"/>
          <w:spacing w:val="-8"/>
          <w:w w:val="120"/>
          <w:sz w:val="17"/>
        </w:rPr>
        <w:t> </w:t>
      </w:r>
      <w:r>
        <w:rPr>
          <w:color w:val="231F20"/>
          <w:w w:val="120"/>
          <w:sz w:val="17"/>
        </w:rPr>
        <w:t>par</w:t>
      </w:r>
      <w:r>
        <w:rPr>
          <w:color w:val="231F20"/>
          <w:spacing w:val="-8"/>
          <w:w w:val="120"/>
          <w:sz w:val="17"/>
        </w:rPr>
        <w:t> </w:t>
      </w:r>
      <w:r>
        <w:rPr>
          <w:color w:val="231F20"/>
          <w:w w:val="120"/>
          <w:sz w:val="17"/>
        </w:rPr>
        <w:t>choix</w:t>
      </w:r>
      <w:r>
        <w:rPr>
          <w:color w:val="231F20"/>
          <w:spacing w:val="-8"/>
          <w:w w:val="120"/>
          <w:sz w:val="17"/>
        </w:rPr>
        <w:t> </w:t>
      </w:r>
      <w:r>
        <w:rPr>
          <w:color w:val="231F20"/>
          <w:w w:val="120"/>
          <w:sz w:val="17"/>
        </w:rPr>
        <w:t>ou</w:t>
      </w:r>
      <w:r>
        <w:rPr>
          <w:color w:val="231F20"/>
          <w:spacing w:val="-8"/>
          <w:w w:val="120"/>
          <w:sz w:val="17"/>
        </w:rPr>
        <w:t> </w:t>
      </w:r>
      <w:r>
        <w:rPr>
          <w:color w:val="231F20"/>
          <w:w w:val="120"/>
          <w:sz w:val="17"/>
        </w:rPr>
        <w:t>parce</w:t>
      </w:r>
      <w:r>
        <w:rPr>
          <w:color w:val="231F20"/>
          <w:spacing w:val="-8"/>
          <w:w w:val="120"/>
          <w:sz w:val="17"/>
        </w:rPr>
        <w:t> </w:t>
      </w:r>
      <w:r>
        <w:rPr>
          <w:color w:val="231F20"/>
          <w:w w:val="120"/>
          <w:sz w:val="17"/>
        </w:rPr>
        <w:t>que</w:t>
      </w:r>
      <w:r>
        <w:rPr>
          <w:color w:val="231F20"/>
          <w:spacing w:val="-8"/>
          <w:w w:val="120"/>
          <w:sz w:val="17"/>
        </w:rPr>
        <w:t> </w:t>
      </w:r>
      <w:r>
        <w:rPr>
          <w:color w:val="231F20"/>
          <w:w w:val="120"/>
          <w:sz w:val="17"/>
        </w:rPr>
        <w:t>son </w:t>
      </w:r>
      <w:r>
        <w:rPr>
          <w:color w:val="231F20"/>
          <w:spacing w:val="-4"/>
          <w:w w:val="120"/>
          <w:sz w:val="17"/>
        </w:rPr>
        <w:t>comportement</w:t>
      </w:r>
      <w:r>
        <w:rPr>
          <w:color w:val="231F20"/>
          <w:spacing w:val="-5"/>
          <w:w w:val="120"/>
          <w:sz w:val="17"/>
        </w:rPr>
        <w:t> </w:t>
      </w:r>
      <w:r>
        <w:rPr>
          <w:color w:val="231F20"/>
          <w:spacing w:val="-4"/>
          <w:w w:val="120"/>
          <w:sz w:val="17"/>
        </w:rPr>
        <w:t>de</w:t>
      </w:r>
      <w:r>
        <w:rPr>
          <w:color w:val="231F20"/>
          <w:spacing w:val="-5"/>
          <w:w w:val="120"/>
          <w:sz w:val="17"/>
        </w:rPr>
        <w:t> </w:t>
      </w:r>
      <w:r>
        <w:rPr>
          <w:color w:val="231F20"/>
          <w:spacing w:val="-4"/>
          <w:w w:val="120"/>
          <w:sz w:val="17"/>
        </w:rPr>
        <w:t>retrait</w:t>
      </w:r>
      <w:r>
        <w:rPr>
          <w:color w:val="231F20"/>
          <w:spacing w:val="-5"/>
          <w:w w:val="120"/>
          <w:sz w:val="17"/>
        </w:rPr>
        <w:t> </w:t>
      </w:r>
      <w:r>
        <w:rPr>
          <w:color w:val="231F20"/>
          <w:spacing w:val="-4"/>
          <w:w w:val="120"/>
          <w:sz w:val="17"/>
        </w:rPr>
        <w:t>pousse</w:t>
      </w:r>
      <w:r>
        <w:rPr>
          <w:color w:val="231F20"/>
          <w:spacing w:val="-5"/>
          <w:w w:val="120"/>
          <w:sz w:val="17"/>
        </w:rPr>
        <w:t> </w:t>
      </w:r>
      <w:r>
        <w:rPr>
          <w:color w:val="231F20"/>
          <w:spacing w:val="-4"/>
          <w:w w:val="120"/>
          <w:sz w:val="17"/>
        </w:rPr>
        <w:t>les</w:t>
      </w:r>
      <w:r>
        <w:rPr>
          <w:color w:val="231F20"/>
          <w:spacing w:val="-5"/>
          <w:w w:val="120"/>
          <w:sz w:val="17"/>
        </w:rPr>
        <w:t> </w:t>
      </w:r>
      <w:r>
        <w:rPr>
          <w:color w:val="231F20"/>
          <w:spacing w:val="-4"/>
          <w:w w:val="120"/>
          <w:sz w:val="17"/>
        </w:rPr>
        <w:t>autres</w:t>
      </w:r>
      <w:r>
        <w:rPr>
          <w:color w:val="231F20"/>
          <w:spacing w:val="-5"/>
          <w:w w:val="120"/>
          <w:sz w:val="17"/>
        </w:rPr>
        <w:t> </w:t>
      </w:r>
      <w:r>
        <w:rPr>
          <w:color w:val="231F20"/>
          <w:spacing w:val="-4"/>
          <w:w w:val="120"/>
          <w:sz w:val="17"/>
        </w:rPr>
        <w:t>à</w:t>
      </w:r>
      <w:r>
        <w:rPr>
          <w:color w:val="231F20"/>
          <w:spacing w:val="-5"/>
          <w:w w:val="120"/>
          <w:sz w:val="17"/>
        </w:rPr>
        <w:t> </w:t>
      </w:r>
      <w:r>
        <w:rPr>
          <w:color w:val="231F20"/>
          <w:spacing w:val="-4"/>
          <w:w w:val="120"/>
          <w:sz w:val="17"/>
        </w:rPr>
        <w:t>l’éviter.</w:t>
      </w:r>
      <w:r>
        <w:rPr>
          <w:color w:val="231F20"/>
          <w:spacing w:val="-5"/>
          <w:w w:val="120"/>
          <w:sz w:val="17"/>
        </w:rPr>
        <w:t> </w:t>
      </w:r>
      <w:r>
        <w:rPr>
          <w:color w:val="231F20"/>
          <w:spacing w:val="-4"/>
          <w:w w:val="120"/>
          <w:sz w:val="17"/>
        </w:rPr>
        <w:t>Aimant</w:t>
      </w:r>
      <w:r>
        <w:rPr>
          <w:color w:val="231F20"/>
          <w:spacing w:val="-5"/>
          <w:w w:val="120"/>
          <w:sz w:val="17"/>
        </w:rPr>
        <w:t> </w:t>
      </w:r>
      <w:r>
        <w:rPr>
          <w:color w:val="231F20"/>
          <w:spacing w:val="-4"/>
          <w:w w:val="120"/>
          <w:sz w:val="17"/>
        </w:rPr>
        <w:t>se</w:t>
      </w:r>
      <w:r>
        <w:rPr>
          <w:color w:val="231F20"/>
          <w:spacing w:val="-5"/>
          <w:w w:val="120"/>
          <w:sz w:val="17"/>
        </w:rPr>
        <w:t> </w:t>
      </w:r>
      <w:r>
        <w:rPr>
          <w:color w:val="231F20"/>
          <w:spacing w:val="-4"/>
          <w:w w:val="120"/>
          <w:sz w:val="17"/>
        </w:rPr>
        <w:t>sen- </w:t>
      </w:r>
      <w:r>
        <w:rPr>
          <w:color w:val="231F20"/>
          <w:w w:val="120"/>
          <w:sz w:val="17"/>
        </w:rPr>
        <w:t>tir</w:t>
      </w:r>
      <w:r>
        <w:rPr>
          <w:color w:val="231F20"/>
          <w:spacing w:val="-2"/>
          <w:w w:val="120"/>
          <w:sz w:val="17"/>
        </w:rPr>
        <w:t> </w:t>
      </w:r>
      <w:r>
        <w:rPr>
          <w:color w:val="231F20"/>
          <w:w w:val="120"/>
          <w:sz w:val="17"/>
        </w:rPr>
        <w:t>imprévisible,</w:t>
      </w:r>
      <w:r>
        <w:rPr>
          <w:color w:val="231F20"/>
          <w:spacing w:val="-2"/>
          <w:w w:val="120"/>
          <w:sz w:val="17"/>
        </w:rPr>
        <w:t> </w:t>
      </w:r>
      <w:r>
        <w:rPr>
          <w:color w:val="231F20"/>
          <w:w w:val="120"/>
          <w:sz w:val="17"/>
        </w:rPr>
        <w:t>il</w:t>
      </w:r>
      <w:r>
        <w:rPr>
          <w:color w:val="231F20"/>
          <w:spacing w:val="-2"/>
          <w:w w:val="120"/>
          <w:sz w:val="17"/>
        </w:rPr>
        <w:t> </w:t>
      </w:r>
      <w:r>
        <w:rPr>
          <w:color w:val="231F20"/>
          <w:w w:val="120"/>
          <w:sz w:val="17"/>
        </w:rPr>
        <w:t>répugne</w:t>
      </w:r>
      <w:r>
        <w:rPr>
          <w:color w:val="231F20"/>
          <w:spacing w:val="-2"/>
          <w:w w:val="120"/>
          <w:sz w:val="17"/>
        </w:rPr>
        <w:t> </w:t>
      </w:r>
      <w:r>
        <w:rPr>
          <w:color w:val="231F20"/>
          <w:w w:val="120"/>
          <w:sz w:val="17"/>
        </w:rPr>
        <w:t>à</w:t>
      </w:r>
      <w:r>
        <w:rPr>
          <w:color w:val="231F20"/>
          <w:spacing w:val="-2"/>
          <w:w w:val="120"/>
          <w:sz w:val="17"/>
        </w:rPr>
        <w:t> </w:t>
      </w:r>
      <w:r>
        <w:rPr>
          <w:color w:val="231F20"/>
          <w:w w:val="120"/>
          <w:sz w:val="17"/>
        </w:rPr>
        <w:t>se</w:t>
      </w:r>
      <w:r>
        <w:rPr>
          <w:color w:val="231F20"/>
          <w:spacing w:val="-2"/>
          <w:w w:val="120"/>
          <w:sz w:val="17"/>
        </w:rPr>
        <w:t> </w:t>
      </w:r>
      <w:r>
        <w:rPr>
          <w:color w:val="231F20"/>
          <w:w w:val="120"/>
          <w:sz w:val="17"/>
        </w:rPr>
        <w:t>laisser</w:t>
      </w:r>
      <w:r>
        <w:rPr>
          <w:color w:val="231F20"/>
          <w:spacing w:val="-2"/>
          <w:w w:val="120"/>
          <w:sz w:val="17"/>
        </w:rPr>
        <w:t> </w:t>
      </w:r>
      <w:r>
        <w:rPr>
          <w:color w:val="231F20"/>
          <w:w w:val="120"/>
          <w:sz w:val="17"/>
        </w:rPr>
        <w:t>contrôler</w:t>
      </w:r>
      <w:r>
        <w:rPr>
          <w:color w:val="231F20"/>
          <w:spacing w:val="-2"/>
          <w:w w:val="120"/>
          <w:sz w:val="17"/>
        </w:rPr>
        <w:t> </w:t>
      </w:r>
      <w:r>
        <w:rPr>
          <w:color w:val="231F20"/>
          <w:w w:val="120"/>
          <w:sz w:val="17"/>
        </w:rPr>
        <w:t>ou</w:t>
      </w:r>
      <w:r>
        <w:rPr>
          <w:color w:val="231F20"/>
          <w:spacing w:val="-2"/>
          <w:w w:val="120"/>
          <w:sz w:val="17"/>
        </w:rPr>
        <w:t> </w:t>
      </w:r>
      <w:r>
        <w:rPr>
          <w:color w:val="231F20"/>
          <w:w w:val="120"/>
          <w:sz w:val="17"/>
        </w:rPr>
        <w:t>diriger.</w:t>
      </w:r>
      <w:r>
        <w:rPr>
          <w:color w:val="231F20"/>
          <w:spacing w:val="-2"/>
          <w:w w:val="120"/>
          <w:sz w:val="17"/>
        </w:rPr>
        <w:t> </w:t>
      </w:r>
      <w:r>
        <w:rPr>
          <w:color w:val="231F20"/>
          <w:w w:val="120"/>
          <w:sz w:val="17"/>
        </w:rPr>
        <w:t>Sans faire d’efforts particuliers ni chercher à concurrencer qui que ce soit, il croit tout de même au contrôle surtout par la pensée plus que</w:t>
      </w:r>
      <w:r>
        <w:rPr>
          <w:color w:val="231F20"/>
          <w:spacing w:val="-10"/>
          <w:w w:val="120"/>
          <w:sz w:val="17"/>
        </w:rPr>
        <w:t> </w:t>
      </w:r>
      <w:r>
        <w:rPr>
          <w:color w:val="231F20"/>
          <w:w w:val="120"/>
          <w:sz w:val="17"/>
        </w:rPr>
        <w:t>par</w:t>
      </w:r>
      <w:r>
        <w:rPr>
          <w:color w:val="231F20"/>
          <w:spacing w:val="-10"/>
          <w:w w:val="120"/>
          <w:sz w:val="17"/>
        </w:rPr>
        <w:t> </w:t>
      </w:r>
      <w:r>
        <w:rPr>
          <w:color w:val="231F20"/>
          <w:w w:val="120"/>
          <w:sz w:val="17"/>
        </w:rPr>
        <w:t>l’action.</w:t>
      </w:r>
      <w:r>
        <w:rPr>
          <w:color w:val="231F20"/>
          <w:spacing w:val="-10"/>
          <w:w w:val="120"/>
          <w:sz w:val="17"/>
        </w:rPr>
        <w:t> </w:t>
      </w:r>
      <w:r>
        <w:rPr>
          <w:color w:val="231F20"/>
          <w:w w:val="120"/>
          <w:sz w:val="17"/>
        </w:rPr>
        <w:t>Ces</w:t>
      </w:r>
      <w:r>
        <w:rPr>
          <w:color w:val="231F20"/>
          <w:spacing w:val="-10"/>
          <w:w w:val="120"/>
          <w:sz w:val="17"/>
        </w:rPr>
        <w:t> </w:t>
      </w:r>
      <w:r>
        <w:rPr>
          <w:color w:val="231F20"/>
          <w:w w:val="120"/>
          <w:sz w:val="17"/>
        </w:rPr>
        <w:t>individus</w:t>
      </w:r>
      <w:r>
        <w:rPr>
          <w:color w:val="231F20"/>
          <w:spacing w:val="-10"/>
          <w:w w:val="120"/>
          <w:sz w:val="17"/>
        </w:rPr>
        <w:t> </w:t>
      </w:r>
      <w:r>
        <w:rPr>
          <w:color w:val="231F20"/>
          <w:w w:val="120"/>
          <w:sz w:val="17"/>
        </w:rPr>
        <w:t>s’exposent</w:t>
      </w:r>
      <w:r>
        <w:rPr>
          <w:color w:val="231F20"/>
          <w:spacing w:val="-10"/>
          <w:w w:val="120"/>
          <w:sz w:val="17"/>
        </w:rPr>
        <w:t> </w:t>
      </w:r>
      <w:r>
        <w:rPr>
          <w:color w:val="231F20"/>
          <w:w w:val="120"/>
          <w:sz w:val="17"/>
        </w:rPr>
        <w:t>généralement</w:t>
      </w:r>
      <w:r>
        <w:rPr>
          <w:color w:val="231F20"/>
          <w:spacing w:val="-10"/>
          <w:w w:val="120"/>
          <w:sz w:val="17"/>
        </w:rPr>
        <w:t> </w:t>
      </w:r>
      <w:r>
        <w:rPr>
          <w:color w:val="231F20"/>
          <w:w w:val="120"/>
          <w:sz w:val="17"/>
        </w:rPr>
        <w:t>à</w:t>
      </w:r>
      <w:r>
        <w:rPr>
          <w:color w:val="231F20"/>
          <w:spacing w:val="-10"/>
          <w:w w:val="120"/>
          <w:sz w:val="17"/>
        </w:rPr>
        <w:t> </w:t>
      </w:r>
      <w:r>
        <w:rPr>
          <w:color w:val="231F20"/>
          <w:w w:val="120"/>
          <w:sz w:val="17"/>
        </w:rPr>
        <w:t>peu</w:t>
      </w:r>
      <w:r>
        <w:rPr>
          <w:color w:val="231F20"/>
          <w:spacing w:val="-10"/>
          <w:w w:val="120"/>
          <w:sz w:val="17"/>
        </w:rPr>
        <w:t> </w:t>
      </w:r>
      <w:r>
        <w:rPr>
          <w:color w:val="231F20"/>
          <w:w w:val="120"/>
          <w:sz w:val="17"/>
        </w:rPr>
        <w:t>de situations stressantes et savent bien les gérer le cas échéant.</w:t>
      </w:r>
    </w:p>
    <w:p>
      <w:pPr>
        <w:pStyle w:val="ListParagraph"/>
        <w:numPr>
          <w:ilvl w:val="1"/>
          <w:numId w:val="42"/>
        </w:numPr>
        <w:tabs>
          <w:tab w:pos="1331" w:val="left" w:leader="none"/>
        </w:tabs>
        <w:spacing w:line="307" w:lineRule="auto" w:before="0" w:after="0"/>
        <w:ind w:left="1330" w:right="493" w:hanging="251"/>
        <w:jc w:val="both"/>
        <w:rPr>
          <w:sz w:val="17"/>
        </w:rPr>
      </w:pPr>
      <w:r>
        <w:rPr>
          <w:color w:val="231F20"/>
          <w:w w:val="115"/>
          <w:sz w:val="17"/>
        </w:rPr>
        <w:t>Le</w:t>
      </w:r>
      <w:r>
        <w:rPr>
          <w:color w:val="231F20"/>
          <w:spacing w:val="-13"/>
          <w:w w:val="115"/>
          <w:sz w:val="17"/>
        </w:rPr>
        <w:t> </w:t>
      </w:r>
      <w:r>
        <w:rPr>
          <w:b/>
          <w:color w:val="231F20"/>
          <w:w w:val="115"/>
          <w:sz w:val="17"/>
        </w:rPr>
        <w:t>COOL</w:t>
      </w:r>
      <w:r>
        <w:rPr>
          <w:b/>
          <w:color w:val="231F20"/>
          <w:spacing w:val="-12"/>
          <w:w w:val="115"/>
          <w:sz w:val="17"/>
        </w:rPr>
        <w:t> </w:t>
      </w:r>
      <w:r>
        <w:rPr>
          <w:b/>
          <w:color w:val="231F20"/>
          <w:w w:val="115"/>
          <w:sz w:val="17"/>
        </w:rPr>
        <w:t>DOG</w:t>
      </w:r>
      <w:r>
        <w:rPr>
          <w:b/>
          <w:color w:val="231F20"/>
          <w:spacing w:val="-12"/>
          <w:w w:val="115"/>
          <w:sz w:val="17"/>
        </w:rPr>
        <w:t> </w:t>
      </w:r>
      <w:r>
        <w:rPr>
          <w:color w:val="231F20"/>
          <w:w w:val="115"/>
          <w:sz w:val="17"/>
        </w:rPr>
        <w:t>n’agit</w:t>
      </w:r>
      <w:r>
        <w:rPr>
          <w:color w:val="231F20"/>
          <w:spacing w:val="-12"/>
          <w:w w:val="115"/>
          <w:sz w:val="17"/>
        </w:rPr>
        <w:t> </w:t>
      </w:r>
      <w:r>
        <w:rPr>
          <w:color w:val="231F20"/>
          <w:w w:val="115"/>
          <w:sz w:val="17"/>
        </w:rPr>
        <w:t>jamais</w:t>
      </w:r>
      <w:r>
        <w:rPr>
          <w:color w:val="231F20"/>
          <w:spacing w:val="-13"/>
          <w:w w:val="115"/>
          <w:sz w:val="17"/>
        </w:rPr>
        <w:t> </w:t>
      </w:r>
      <w:r>
        <w:rPr>
          <w:color w:val="231F20"/>
          <w:w w:val="115"/>
          <w:sz w:val="17"/>
        </w:rPr>
        <w:t>à</w:t>
      </w:r>
      <w:r>
        <w:rPr>
          <w:color w:val="231F20"/>
          <w:spacing w:val="-12"/>
          <w:w w:val="115"/>
          <w:sz w:val="17"/>
        </w:rPr>
        <w:t> </w:t>
      </w:r>
      <w:r>
        <w:rPr>
          <w:color w:val="231F20"/>
          <w:w w:val="115"/>
          <w:sz w:val="17"/>
        </w:rPr>
        <w:t>la</w:t>
      </w:r>
      <w:r>
        <w:rPr>
          <w:color w:val="231F20"/>
          <w:spacing w:val="-12"/>
          <w:w w:val="115"/>
          <w:sz w:val="17"/>
        </w:rPr>
        <w:t> </w:t>
      </w:r>
      <w:r>
        <w:rPr>
          <w:color w:val="231F20"/>
          <w:w w:val="115"/>
          <w:sz w:val="17"/>
        </w:rPr>
        <w:t>hâte.</w:t>
      </w:r>
      <w:r>
        <w:rPr>
          <w:color w:val="231F20"/>
          <w:spacing w:val="-12"/>
          <w:w w:val="115"/>
          <w:sz w:val="17"/>
        </w:rPr>
        <w:t> </w:t>
      </w:r>
      <w:r>
        <w:rPr>
          <w:color w:val="231F20"/>
          <w:w w:val="115"/>
          <w:sz w:val="17"/>
        </w:rPr>
        <w:t>Son</w:t>
      </w:r>
      <w:r>
        <w:rPr>
          <w:color w:val="231F20"/>
          <w:spacing w:val="-12"/>
          <w:w w:val="115"/>
          <w:sz w:val="17"/>
        </w:rPr>
        <w:t> </w:t>
      </w:r>
      <w:r>
        <w:rPr>
          <w:color w:val="231F20"/>
          <w:w w:val="115"/>
          <w:sz w:val="17"/>
        </w:rPr>
        <w:t>domaine</w:t>
      </w:r>
      <w:r>
        <w:rPr>
          <w:color w:val="231F20"/>
          <w:spacing w:val="-13"/>
          <w:w w:val="115"/>
          <w:sz w:val="17"/>
        </w:rPr>
        <w:t> </w:t>
      </w:r>
      <w:r>
        <w:rPr>
          <w:color w:val="231F20"/>
          <w:w w:val="115"/>
          <w:sz w:val="17"/>
        </w:rPr>
        <w:t>serait</w:t>
      </w:r>
      <w:r>
        <w:rPr>
          <w:color w:val="231F20"/>
          <w:spacing w:val="-12"/>
          <w:w w:val="115"/>
          <w:sz w:val="17"/>
        </w:rPr>
        <w:t> </w:t>
      </w:r>
      <w:r>
        <w:rPr>
          <w:color w:val="231F20"/>
          <w:w w:val="115"/>
          <w:sz w:val="17"/>
        </w:rPr>
        <w:t>plutôt</w:t>
      </w:r>
      <w:r>
        <w:rPr>
          <w:color w:val="231F20"/>
          <w:spacing w:val="-12"/>
          <w:w w:val="115"/>
          <w:sz w:val="17"/>
        </w:rPr>
        <w:t> </w:t>
      </w:r>
      <w:r>
        <w:rPr>
          <w:color w:val="231F20"/>
          <w:w w:val="115"/>
          <w:sz w:val="17"/>
        </w:rPr>
        <w:t>la réflexion</w:t>
      </w:r>
      <w:r>
        <w:rPr>
          <w:color w:val="231F20"/>
          <w:spacing w:val="-5"/>
          <w:w w:val="115"/>
          <w:sz w:val="17"/>
        </w:rPr>
        <w:t> </w:t>
      </w:r>
      <w:r>
        <w:rPr>
          <w:color w:val="231F20"/>
          <w:w w:val="115"/>
          <w:sz w:val="17"/>
        </w:rPr>
        <w:t>tranquille</w:t>
      </w:r>
      <w:r>
        <w:rPr>
          <w:color w:val="231F20"/>
          <w:spacing w:val="-5"/>
          <w:w w:val="115"/>
          <w:sz w:val="17"/>
        </w:rPr>
        <w:t> </w:t>
      </w:r>
      <w:r>
        <w:rPr>
          <w:color w:val="231F20"/>
          <w:w w:val="115"/>
          <w:sz w:val="17"/>
        </w:rPr>
        <w:t>et</w:t>
      </w:r>
      <w:r>
        <w:rPr>
          <w:color w:val="231F20"/>
          <w:spacing w:val="-5"/>
          <w:w w:val="115"/>
          <w:sz w:val="17"/>
        </w:rPr>
        <w:t> </w:t>
      </w:r>
      <w:r>
        <w:rPr>
          <w:color w:val="231F20"/>
          <w:w w:val="115"/>
          <w:sz w:val="17"/>
        </w:rPr>
        <w:t>les</w:t>
      </w:r>
      <w:r>
        <w:rPr>
          <w:color w:val="231F20"/>
          <w:spacing w:val="-5"/>
          <w:w w:val="115"/>
          <w:sz w:val="17"/>
        </w:rPr>
        <w:t> </w:t>
      </w:r>
      <w:r>
        <w:rPr>
          <w:color w:val="231F20"/>
          <w:w w:val="115"/>
          <w:sz w:val="17"/>
        </w:rPr>
        <w:t>travaux</w:t>
      </w:r>
      <w:r>
        <w:rPr>
          <w:color w:val="231F20"/>
          <w:spacing w:val="-5"/>
          <w:w w:val="115"/>
          <w:sz w:val="17"/>
        </w:rPr>
        <w:t> </w:t>
      </w:r>
      <w:r>
        <w:rPr>
          <w:color w:val="231F20"/>
          <w:w w:val="115"/>
          <w:sz w:val="17"/>
        </w:rPr>
        <w:t>au</w:t>
      </w:r>
      <w:r>
        <w:rPr>
          <w:color w:val="231F20"/>
          <w:spacing w:val="-5"/>
          <w:w w:val="115"/>
          <w:sz w:val="17"/>
        </w:rPr>
        <w:t> </w:t>
      </w:r>
      <w:r>
        <w:rPr>
          <w:color w:val="231F20"/>
          <w:w w:val="115"/>
          <w:sz w:val="17"/>
        </w:rPr>
        <w:t>rythme</w:t>
      </w:r>
      <w:r>
        <w:rPr>
          <w:color w:val="231F20"/>
          <w:spacing w:val="-5"/>
          <w:w w:val="115"/>
          <w:sz w:val="17"/>
        </w:rPr>
        <w:t> </w:t>
      </w:r>
      <w:r>
        <w:rPr>
          <w:color w:val="231F20"/>
          <w:w w:val="115"/>
          <w:sz w:val="17"/>
        </w:rPr>
        <w:t>lent.</w:t>
      </w:r>
      <w:r>
        <w:rPr>
          <w:color w:val="231F20"/>
          <w:spacing w:val="-5"/>
          <w:w w:val="115"/>
          <w:sz w:val="17"/>
        </w:rPr>
        <w:t> </w:t>
      </w:r>
      <w:r>
        <w:rPr>
          <w:color w:val="231F20"/>
          <w:w w:val="115"/>
          <w:sz w:val="17"/>
        </w:rPr>
        <w:t>Il</w:t>
      </w:r>
      <w:r>
        <w:rPr>
          <w:color w:val="231F20"/>
          <w:spacing w:val="-5"/>
          <w:w w:val="115"/>
          <w:sz w:val="17"/>
        </w:rPr>
        <w:t> </w:t>
      </w:r>
      <w:r>
        <w:rPr>
          <w:color w:val="231F20"/>
          <w:w w:val="115"/>
          <w:sz w:val="17"/>
        </w:rPr>
        <w:t>est</w:t>
      </w:r>
      <w:r>
        <w:rPr>
          <w:color w:val="231F20"/>
          <w:spacing w:val="-5"/>
          <w:w w:val="115"/>
          <w:sz w:val="17"/>
        </w:rPr>
        <w:t> </w:t>
      </w:r>
      <w:r>
        <w:rPr>
          <w:color w:val="231F20"/>
          <w:w w:val="115"/>
          <w:sz w:val="17"/>
        </w:rPr>
        <w:t>très</w:t>
      </w:r>
      <w:r>
        <w:rPr>
          <w:color w:val="231F20"/>
          <w:spacing w:val="-5"/>
          <w:w w:val="115"/>
          <w:sz w:val="17"/>
        </w:rPr>
        <w:t> </w:t>
      </w:r>
      <w:r>
        <w:rPr>
          <w:color w:val="231F20"/>
          <w:w w:val="115"/>
          <w:sz w:val="17"/>
        </w:rPr>
        <w:t>sensible </w:t>
      </w:r>
      <w:r>
        <w:rPr>
          <w:color w:val="231F20"/>
          <w:w w:val="120"/>
          <w:sz w:val="17"/>
        </w:rPr>
        <w:t>à</w:t>
      </w:r>
      <w:r>
        <w:rPr>
          <w:color w:val="231F20"/>
          <w:spacing w:val="-11"/>
          <w:w w:val="120"/>
          <w:sz w:val="17"/>
        </w:rPr>
        <w:t> </w:t>
      </w:r>
      <w:r>
        <w:rPr>
          <w:color w:val="231F20"/>
          <w:w w:val="120"/>
          <w:sz w:val="17"/>
        </w:rPr>
        <w:t>toutes</w:t>
      </w:r>
      <w:r>
        <w:rPr>
          <w:color w:val="231F20"/>
          <w:spacing w:val="-11"/>
          <w:w w:val="120"/>
          <w:sz w:val="17"/>
        </w:rPr>
        <w:t> </w:t>
      </w:r>
      <w:r>
        <w:rPr>
          <w:color w:val="231F20"/>
          <w:w w:val="120"/>
          <w:sz w:val="17"/>
        </w:rPr>
        <w:t>sortes</w:t>
      </w:r>
      <w:r>
        <w:rPr>
          <w:color w:val="231F20"/>
          <w:spacing w:val="-11"/>
          <w:w w:val="120"/>
          <w:sz w:val="17"/>
        </w:rPr>
        <w:t> </w:t>
      </w:r>
      <w:r>
        <w:rPr>
          <w:color w:val="231F20"/>
          <w:w w:val="120"/>
          <w:sz w:val="17"/>
        </w:rPr>
        <w:t>d’événements</w:t>
      </w:r>
      <w:r>
        <w:rPr>
          <w:color w:val="231F20"/>
          <w:spacing w:val="-11"/>
          <w:w w:val="120"/>
          <w:sz w:val="17"/>
        </w:rPr>
        <w:t> </w:t>
      </w:r>
      <w:r>
        <w:rPr>
          <w:color w:val="231F20"/>
          <w:w w:val="120"/>
          <w:sz w:val="17"/>
        </w:rPr>
        <w:t>joyeux</w:t>
      </w:r>
      <w:r>
        <w:rPr>
          <w:color w:val="231F20"/>
          <w:spacing w:val="-11"/>
          <w:w w:val="120"/>
          <w:sz w:val="17"/>
        </w:rPr>
        <w:t> </w:t>
      </w:r>
      <w:r>
        <w:rPr>
          <w:color w:val="231F20"/>
          <w:w w:val="120"/>
          <w:sz w:val="17"/>
        </w:rPr>
        <w:t>ou</w:t>
      </w:r>
      <w:r>
        <w:rPr>
          <w:color w:val="231F20"/>
          <w:spacing w:val="-11"/>
          <w:w w:val="120"/>
          <w:sz w:val="17"/>
        </w:rPr>
        <w:t> </w:t>
      </w:r>
      <w:r>
        <w:rPr>
          <w:color w:val="231F20"/>
          <w:w w:val="120"/>
          <w:sz w:val="17"/>
        </w:rPr>
        <w:t>malheureux,</w:t>
      </w:r>
      <w:r>
        <w:rPr>
          <w:color w:val="231F20"/>
          <w:spacing w:val="-11"/>
          <w:w w:val="120"/>
          <w:sz w:val="17"/>
        </w:rPr>
        <w:t> </w:t>
      </w:r>
      <w:r>
        <w:rPr>
          <w:color w:val="231F20"/>
          <w:w w:val="120"/>
          <w:sz w:val="17"/>
        </w:rPr>
        <w:t>mais</w:t>
      </w:r>
      <w:r>
        <w:rPr>
          <w:color w:val="231F20"/>
          <w:spacing w:val="-11"/>
          <w:w w:val="120"/>
          <w:sz w:val="17"/>
        </w:rPr>
        <w:t> </w:t>
      </w:r>
      <w:r>
        <w:rPr>
          <w:color w:val="231F20"/>
          <w:w w:val="120"/>
          <w:sz w:val="17"/>
        </w:rPr>
        <w:t>loin</w:t>
      </w:r>
      <w:r>
        <w:rPr>
          <w:color w:val="231F20"/>
          <w:spacing w:val="-11"/>
          <w:w w:val="120"/>
          <w:sz w:val="17"/>
        </w:rPr>
        <w:t> </w:t>
      </w:r>
      <w:r>
        <w:rPr>
          <w:color w:val="231F20"/>
          <w:w w:val="120"/>
          <w:sz w:val="17"/>
        </w:rPr>
        <w:t>de chercher à les contrôler, il préfère s’en abstenir. Paraissant plus fidèle</w:t>
      </w:r>
      <w:r>
        <w:rPr>
          <w:color w:val="231F20"/>
          <w:spacing w:val="-7"/>
          <w:w w:val="120"/>
          <w:sz w:val="17"/>
        </w:rPr>
        <w:t> </w:t>
      </w:r>
      <w:r>
        <w:rPr>
          <w:color w:val="231F20"/>
          <w:w w:val="120"/>
          <w:sz w:val="17"/>
        </w:rPr>
        <w:t>que</w:t>
      </w:r>
      <w:r>
        <w:rPr>
          <w:color w:val="231F20"/>
          <w:spacing w:val="-7"/>
          <w:w w:val="120"/>
          <w:sz w:val="17"/>
        </w:rPr>
        <w:t> </w:t>
      </w:r>
      <w:r>
        <w:rPr>
          <w:color w:val="231F20"/>
          <w:w w:val="120"/>
          <w:sz w:val="17"/>
        </w:rPr>
        <w:t>dévoué,</w:t>
      </w:r>
      <w:r>
        <w:rPr>
          <w:color w:val="231F20"/>
          <w:spacing w:val="-7"/>
          <w:w w:val="120"/>
          <w:sz w:val="17"/>
        </w:rPr>
        <w:t> </w:t>
      </w:r>
      <w:r>
        <w:rPr>
          <w:color w:val="231F20"/>
          <w:w w:val="120"/>
          <w:sz w:val="17"/>
        </w:rPr>
        <w:t>il</w:t>
      </w:r>
      <w:r>
        <w:rPr>
          <w:color w:val="231F20"/>
          <w:spacing w:val="-7"/>
          <w:w w:val="120"/>
          <w:sz w:val="17"/>
        </w:rPr>
        <w:t> </w:t>
      </w:r>
      <w:r>
        <w:rPr>
          <w:color w:val="231F20"/>
          <w:w w:val="120"/>
          <w:sz w:val="17"/>
        </w:rPr>
        <w:t>ne</w:t>
      </w:r>
      <w:r>
        <w:rPr>
          <w:color w:val="231F20"/>
          <w:spacing w:val="-7"/>
          <w:w w:val="120"/>
          <w:sz w:val="17"/>
        </w:rPr>
        <w:t> </w:t>
      </w:r>
      <w:r>
        <w:rPr>
          <w:color w:val="231F20"/>
          <w:w w:val="120"/>
          <w:sz w:val="17"/>
        </w:rPr>
        <w:t>fait</w:t>
      </w:r>
      <w:r>
        <w:rPr>
          <w:color w:val="231F20"/>
          <w:spacing w:val="-7"/>
          <w:w w:val="120"/>
          <w:sz w:val="17"/>
        </w:rPr>
        <w:t> </w:t>
      </w:r>
      <w:r>
        <w:rPr>
          <w:color w:val="231F20"/>
          <w:w w:val="120"/>
          <w:sz w:val="17"/>
        </w:rPr>
        <w:t>pas</w:t>
      </w:r>
      <w:r>
        <w:rPr>
          <w:color w:val="231F20"/>
          <w:spacing w:val="-7"/>
          <w:w w:val="120"/>
          <w:sz w:val="17"/>
        </w:rPr>
        <w:t> </w:t>
      </w:r>
      <w:r>
        <w:rPr>
          <w:color w:val="231F20"/>
          <w:w w:val="120"/>
          <w:sz w:val="17"/>
        </w:rPr>
        <w:t>d’efforts</w:t>
      </w:r>
      <w:r>
        <w:rPr>
          <w:color w:val="231F20"/>
          <w:spacing w:val="-7"/>
          <w:w w:val="120"/>
          <w:sz w:val="17"/>
        </w:rPr>
        <w:t> </w:t>
      </w:r>
      <w:r>
        <w:rPr>
          <w:color w:val="231F20"/>
          <w:w w:val="120"/>
          <w:sz w:val="17"/>
        </w:rPr>
        <w:t>et</w:t>
      </w:r>
      <w:r>
        <w:rPr>
          <w:color w:val="231F20"/>
          <w:spacing w:val="-7"/>
          <w:w w:val="120"/>
          <w:sz w:val="17"/>
        </w:rPr>
        <w:t> </w:t>
      </w:r>
      <w:r>
        <w:rPr>
          <w:color w:val="231F20"/>
          <w:w w:val="120"/>
          <w:sz w:val="17"/>
        </w:rPr>
        <w:t>croit</w:t>
      </w:r>
      <w:r>
        <w:rPr>
          <w:color w:val="231F20"/>
          <w:spacing w:val="-7"/>
          <w:w w:val="120"/>
          <w:sz w:val="17"/>
        </w:rPr>
        <w:t> </w:t>
      </w:r>
      <w:r>
        <w:rPr>
          <w:color w:val="231F20"/>
          <w:w w:val="120"/>
          <w:sz w:val="17"/>
        </w:rPr>
        <w:t>paradoxalement au contrôle par la docilité à la volonté de l’autre.</w:t>
      </w:r>
    </w:p>
    <w:p>
      <w:pPr>
        <w:spacing w:after="0" w:line="307" w:lineRule="auto"/>
        <w:jc w:val="both"/>
        <w:rPr>
          <w:sz w:val="17"/>
        </w:rPr>
        <w:sectPr>
          <w:footerReference w:type="default" r:id="rId205"/>
          <w:pgSz w:w="8640" w:h="12960"/>
          <w:pgMar w:footer="424" w:header="0" w:top="520" w:bottom="620" w:left="420" w:right="1140"/>
        </w:sectPr>
      </w:pPr>
    </w:p>
    <w:p>
      <w:pPr>
        <w:spacing w:before="118"/>
        <w:ind w:left="2049" w:right="0" w:firstLine="0"/>
        <w:jc w:val="left"/>
        <w:rPr>
          <w:rFonts w:ascii="Arial" w:hAnsi="Arial"/>
          <w:sz w:val="14"/>
        </w:rPr>
      </w:pPr>
      <w:bookmarkStart w:name=" 3.3.4 / Profil de la personnalité résis" w:id="104"/>
      <w:bookmarkEnd w:id="104"/>
      <w:r>
        <w:rPr/>
      </w:r>
      <w:bookmarkStart w:name="_bookmark44" w:id="105"/>
      <w:bookmarkEnd w:id="105"/>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spacing w:before="8"/>
        <w:rPr>
          <w:rFonts w:ascii="Arial"/>
          <w:sz w:val="29"/>
        </w:rPr>
      </w:pPr>
    </w:p>
    <w:p>
      <w:pPr>
        <w:pStyle w:val="Heading4"/>
        <w:numPr>
          <w:ilvl w:val="2"/>
          <w:numId w:val="44"/>
        </w:numPr>
        <w:tabs>
          <w:tab w:pos="919" w:val="left" w:leader="none"/>
          <w:tab w:pos="1219" w:val="left" w:leader="none"/>
        </w:tabs>
        <w:spacing w:line="240" w:lineRule="auto" w:before="0" w:after="0"/>
        <w:ind w:left="918" w:right="0" w:hanging="405"/>
        <w:jc w:val="left"/>
      </w:pPr>
      <w:r>
        <w:rPr>
          <w:b w:val="0"/>
          <w:i/>
          <w:color w:val="231F20"/>
          <w:spacing w:val="-10"/>
        </w:rPr>
        <w:t>/</w:t>
      </w:r>
      <w:r>
        <w:rPr>
          <w:b w:val="0"/>
          <w:i/>
          <w:color w:val="231F20"/>
        </w:rPr>
        <w:tab/>
      </w:r>
      <w:r>
        <w:rPr>
          <w:color w:val="231F20"/>
          <w:w w:val="95"/>
        </w:rPr>
        <w:t>Profil</w:t>
      </w:r>
      <w:r>
        <w:rPr>
          <w:color w:val="231F20"/>
          <w:spacing w:val="-8"/>
          <w:w w:val="95"/>
        </w:rPr>
        <w:t> </w:t>
      </w:r>
      <w:r>
        <w:rPr>
          <w:color w:val="231F20"/>
          <w:w w:val="95"/>
        </w:rPr>
        <w:t>de</w:t>
      </w:r>
      <w:r>
        <w:rPr>
          <w:color w:val="231F20"/>
          <w:spacing w:val="-7"/>
          <w:w w:val="95"/>
        </w:rPr>
        <w:t> </w:t>
      </w:r>
      <w:r>
        <w:rPr>
          <w:color w:val="231F20"/>
          <w:w w:val="95"/>
        </w:rPr>
        <w:t>la</w:t>
      </w:r>
      <w:r>
        <w:rPr>
          <w:color w:val="231F20"/>
          <w:spacing w:val="-7"/>
          <w:w w:val="95"/>
        </w:rPr>
        <w:t> </w:t>
      </w:r>
      <w:r>
        <w:rPr>
          <w:color w:val="231F20"/>
          <w:w w:val="95"/>
        </w:rPr>
        <w:t>personnalité</w:t>
      </w:r>
      <w:r>
        <w:rPr>
          <w:color w:val="231F20"/>
          <w:spacing w:val="-8"/>
          <w:w w:val="95"/>
        </w:rPr>
        <w:t> </w:t>
      </w:r>
      <w:r>
        <w:rPr>
          <w:color w:val="231F20"/>
          <w:w w:val="95"/>
        </w:rPr>
        <w:t>résistante</w:t>
      </w:r>
      <w:r>
        <w:rPr>
          <w:color w:val="231F20"/>
          <w:spacing w:val="-7"/>
          <w:w w:val="95"/>
        </w:rPr>
        <w:t> </w:t>
      </w:r>
      <w:r>
        <w:rPr>
          <w:color w:val="231F20"/>
          <w:w w:val="95"/>
        </w:rPr>
        <w:t>au</w:t>
      </w:r>
      <w:r>
        <w:rPr>
          <w:color w:val="231F20"/>
          <w:spacing w:val="-7"/>
          <w:w w:val="95"/>
        </w:rPr>
        <w:t> </w:t>
      </w:r>
      <w:r>
        <w:rPr>
          <w:color w:val="231F20"/>
          <w:spacing w:val="-2"/>
          <w:w w:val="95"/>
        </w:rPr>
        <w:t>stress</w:t>
      </w:r>
    </w:p>
    <w:p>
      <w:pPr>
        <w:pStyle w:val="BodyText"/>
        <w:spacing w:line="307" w:lineRule="auto" w:before="234"/>
        <w:ind w:left="1220" w:right="101"/>
        <w:jc w:val="both"/>
      </w:pPr>
      <w:r>
        <w:rPr>
          <w:color w:val="231F20"/>
          <w:w w:val="120"/>
        </w:rPr>
        <w:t>Ce</w:t>
      </w:r>
      <w:r>
        <w:rPr>
          <w:color w:val="231F20"/>
          <w:spacing w:val="-4"/>
          <w:w w:val="120"/>
        </w:rPr>
        <w:t> </w:t>
      </w:r>
      <w:r>
        <w:rPr>
          <w:color w:val="231F20"/>
          <w:w w:val="120"/>
        </w:rPr>
        <w:t>sont</w:t>
      </w:r>
      <w:r>
        <w:rPr>
          <w:color w:val="231F20"/>
          <w:spacing w:val="-4"/>
          <w:w w:val="120"/>
        </w:rPr>
        <w:t> </w:t>
      </w:r>
      <w:r>
        <w:rPr>
          <w:color w:val="231F20"/>
          <w:w w:val="120"/>
        </w:rPr>
        <w:t>Kobassa</w:t>
      </w:r>
      <w:r>
        <w:rPr>
          <w:color w:val="231F20"/>
          <w:spacing w:val="-4"/>
          <w:w w:val="120"/>
        </w:rPr>
        <w:t> </w:t>
      </w:r>
      <w:r>
        <w:rPr>
          <w:color w:val="231F20"/>
          <w:w w:val="120"/>
        </w:rPr>
        <w:t>et</w:t>
      </w:r>
      <w:r>
        <w:rPr>
          <w:color w:val="231F20"/>
          <w:spacing w:val="-4"/>
          <w:w w:val="120"/>
        </w:rPr>
        <w:t> </w:t>
      </w:r>
      <w:r>
        <w:rPr>
          <w:color w:val="231F20"/>
          <w:w w:val="120"/>
        </w:rPr>
        <w:t>Antonovsky10</w:t>
      </w:r>
      <w:r>
        <w:rPr>
          <w:color w:val="231F20"/>
          <w:spacing w:val="-4"/>
          <w:w w:val="120"/>
        </w:rPr>
        <w:t> </w:t>
      </w:r>
      <w:r>
        <w:rPr>
          <w:color w:val="231F20"/>
          <w:w w:val="120"/>
        </w:rPr>
        <w:t>qui</w:t>
      </w:r>
      <w:r>
        <w:rPr>
          <w:color w:val="231F20"/>
          <w:spacing w:val="-4"/>
          <w:w w:val="120"/>
        </w:rPr>
        <w:t> </w:t>
      </w:r>
      <w:r>
        <w:rPr>
          <w:color w:val="231F20"/>
          <w:w w:val="120"/>
        </w:rPr>
        <w:t>ont</w:t>
      </w:r>
      <w:r>
        <w:rPr>
          <w:color w:val="231F20"/>
          <w:spacing w:val="-4"/>
          <w:w w:val="120"/>
        </w:rPr>
        <w:t> </w:t>
      </w:r>
      <w:r>
        <w:rPr>
          <w:color w:val="231F20"/>
          <w:w w:val="120"/>
        </w:rPr>
        <w:t>élaboré</w:t>
      </w:r>
      <w:r>
        <w:rPr>
          <w:color w:val="231F20"/>
          <w:spacing w:val="-4"/>
          <w:w w:val="120"/>
        </w:rPr>
        <w:t> </w:t>
      </w:r>
      <w:r>
        <w:rPr>
          <w:color w:val="231F20"/>
          <w:w w:val="120"/>
        </w:rPr>
        <w:t>les</w:t>
      </w:r>
      <w:r>
        <w:rPr>
          <w:color w:val="231F20"/>
          <w:spacing w:val="-4"/>
          <w:w w:val="120"/>
        </w:rPr>
        <w:t> </w:t>
      </w:r>
      <w:r>
        <w:rPr>
          <w:color w:val="231F20"/>
          <w:w w:val="120"/>
        </w:rPr>
        <w:t>modèles</w:t>
      </w:r>
      <w:r>
        <w:rPr>
          <w:color w:val="231F20"/>
          <w:spacing w:val="-4"/>
          <w:w w:val="120"/>
        </w:rPr>
        <w:t> </w:t>
      </w:r>
      <w:r>
        <w:rPr>
          <w:color w:val="231F20"/>
          <w:w w:val="120"/>
        </w:rPr>
        <w:t>les</w:t>
      </w:r>
      <w:r>
        <w:rPr>
          <w:color w:val="231F20"/>
          <w:spacing w:val="-4"/>
          <w:w w:val="120"/>
        </w:rPr>
        <w:t> </w:t>
      </w:r>
      <w:r>
        <w:rPr>
          <w:color w:val="231F20"/>
          <w:w w:val="120"/>
        </w:rPr>
        <w:t>plus connus</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personnalité</w:t>
      </w:r>
      <w:r>
        <w:rPr>
          <w:color w:val="231F20"/>
          <w:spacing w:val="-1"/>
          <w:w w:val="120"/>
        </w:rPr>
        <w:t> </w:t>
      </w:r>
      <w:r>
        <w:rPr>
          <w:color w:val="231F20"/>
          <w:w w:val="120"/>
        </w:rPr>
        <w:t>résistante</w:t>
      </w:r>
      <w:r>
        <w:rPr>
          <w:color w:val="231F20"/>
          <w:spacing w:val="-1"/>
          <w:w w:val="120"/>
        </w:rPr>
        <w:t> </w:t>
      </w:r>
      <w:r>
        <w:rPr>
          <w:color w:val="231F20"/>
          <w:w w:val="120"/>
        </w:rPr>
        <w:t>au</w:t>
      </w:r>
      <w:r>
        <w:rPr>
          <w:color w:val="231F20"/>
          <w:spacing w:val="-1"/>
          <w:w w:val="120"/>
        </w:rPr>
        <w:t> </w:t>
      </w:r>
      <w:r>
        <w:rPr>
          <w:color w:val="231F20"/>
          <w:w w:val="120"/>
        </w:rPr>
        <w:t>stress.</w:t>
      </w:r>
      <w:r>
        <w:rPr>
          <w:color w:val="231F20"/>
          <w:spacing w:val="-1"/>
          <w:w w:val="120"/>
        </w:rPr>
        <w:t> </w:t>
      </w:r>
      <w:r>
        <w:rPr>
          <w:color w:val="231F20"/>
          <w:w w:val="120"/>
        </w:rPr>
        <w:t>Ces</w:t>
      </w:r>
      <w:r>
        <w:rPr>
          <w:color w:val="231F20"/>
          <w:spacing w:val="-1"/>
          <w:w w:val="120"/>
        </w:rPr>
        <w:t> </w:t>
      </w:r>
      <w:r>
        <w:rPr>
          <w:color w:val="231F20"/>
          <w:w w:val="120"/>
        </w:rPr>
        <w:t>modèles</w:t>
      </w:r>
      <w:r>
        <w:rPr>
          <w:color w:val="231F20"/>
          <w:spacing w:val="-1"/>
          <w:w w:val="120"/>
        </w:rPr>
        <w:t> </w:t>
      </w:r>
      <w:r>
        <w:rPr>
          <w:color w:val="231F20"/>
          <w:w w:val="120"/>
        </w:rPr>
        <w:t>concernent particulièrement</w:t>
      </w:r>
      <w:r>
        <w:rPr>
          <w:color w:val="231F20"/>
          <w:spacing w:val="-4"/>
          <w:w w:val="120"/>
        </w:rPr>
        <w:t> </w:t>
      </w:r>
      <w:r>
        <w:rPr>
          <w:color w:val="231F20"/>
          <w:w w:val="120"/>
        </w:rPr>
        <w:t>la «</w:t>
      </w:r>
      <w:r>
        <w:rPr>
          <w:color w:val="231F20"/>
          <w:spacing w:val="-13"/>
          <w:w w:val="120"/>
        </w:rPr>
        <w:t> </w:t>
      </w:r>
      <w:r>
        <w:rPr>
          <w:color w:val="231F20"/>
          <w:w w:val="120"/>
        </w:rPr>
        <w:t>salutogénèse</w:t>
      </w:r>
      <w:r>
        <w:rPr>
          <w:color w:val="231F20"/>
          <w:spacing w:val="-13"/>
          <w:w w:val="120"/>
        </w:rPr>
        <w:t> </w:t>
      </w:r>
      <w:r>
        <w:rPr>
          <w:color w:val="231F20"/>
          <w:w w:val="120"/>
        </w:rPr>
        <w:t>», c’est-à-dire la mise en place par </w:t>
      </w:r>
      <w:r>
        <w:rPr>
          <w:color w:val="231F20"/>
          <w:spacing w:val="-2"/>
          <w:w w:val="120"/>
        </w:rPr>
        <w:t>les</w:t>
      </w:r>
      <w:r>
        <w:rPr>
          <w:color w:val="231F20"/>
          <w:spacing w:val="-5"/>
          <w:w w:val="120"/>
        </w:rPr>
        <w:t> </w:t>
      </w:r>
      <w:r>
        <w:rPr>
          <w:color w:val="231F20"/>
          <w:spacing w:val="-2"/>
          <w:w w:val="120"/>
        </w:rPr>
        <w:t>individus</w:t>
      </w:r>
      <w:r>
        <w:rPr>
          <w:color w:val="231F20"/>
          <w:spacing w:val="-5"/>
          <w:w w:val="120"/>
        </w:rPr>
        <w:t> </w:t>
      </w:r>
      <w:r>
        <w:rPr>
          <w:color w:val="231F20"/>
          <w:spacing w:val="-2"/>
          <w:w w:val="120"/>
        </w:rPr>
        <w:t>de</w:t>
      </w:r>
      <w:r>
        <w:rPr>
          <w:color w:val="231F20"/>
          <w:spacing w:val="-5"/>
          <w:w w:val="120"/>
        </w:rPr>
        <w:t> </w:t>
      </w:r>
      <w:r>
        <w:rPr>
          <w:color w:val="231F20"/>
          <w:spacing w:val="-2"/>
          <w:w w:val="120"/>
        </w:rPr>
        <w:t>caractéristiques</w:t>
      </w:r>
      <w:r>
        <w:rPr>
          <w:color w:val="231F20"/>
          <w:spacing w:val="-5"/>
          <w:w w:val="120"/>
        </w:rPr>
        <w:t> </w:t>
      </w:r>
      <w:r>
        <w:rPr>
          <w:color w:val="231F20"/>
          <w:spacing w:val="-2"/>
          <w:w w:val="120"/>
        </w:rPr>
        <w:t>leur</w:t>
      </w:r>
      <w:r>
        <w:rPr>
          <w:color w:val="231F20"/>
          <w:spacing w:val="-5"/>
          <w:w w:val="120"/>
        </w:rPr>
        <w:t> </w:t>
      </w:r>
      <w:r>
        <w:rPr>
          <w:color w:val="231F20"/>
          <w:spacing w:val="-2"/>
          <w:w w:val="120"/>
        </w:rPr>
        <w:t>permettant</w:t>
      </w:r>
      <w:r>
        <w:rPr>
          <w:color w:val="231F20"/>
          <w:spacing w:val="-5"/>
          <w:w w:val="120"/>
        </w:rPr>
        <w:t> </w:t>
      </w:r>
      <w:r>
        <w:rPr>
          <w:color w:val="231F20"/>
          <w:spacing w:val="-2"/>
          <w:w w:val="120"/>
        </w:rPr>
        <w:t>de</w:t>
      </w:r>
      <w:r>
        <w:rPr>
          <w:color w:val="231F20"/>
          <w:spacing w:val="-5"/>
          <w:w w:val="120"/>
        </w:rPr>
        <w:t> </w:t>
      </w:r>
      <w:r>
        <w:rPr>
          <w:color w:val="231F20"/>
          <w:spacing w:val="-2"/>
          <w:w w:val="120"/>
        </w:rPr>
        <w:t>mieux</w:t>
      </w:r>
      <w:r>
        <w:rPr>
          <w:color w:val="231F20"/>
          <w:spacing w:val="-5"/>
          <w:w w:val="120"/>
        </w:rPr>
        <w:t> </w:t>
      </w:r>
      <w:r>
        <w:rPr>
          <w:color w:val="231F20"/>
          <w:spacing w:val="-2"/>
          <w:w w:val="120"/>
        </w:rPr>
        <w:t>transiger</w:t>
      </w:r>
      <w:r>
        <w:rPr>
          <w:color w:val="231F20"/>
          <w:spacing w:val="-5"/>
          <w:w w:val="120"/>
        </w:rPr>
        <w:t> </w:t>
      </w:r>
      <w:r>
        <w:rPr>
          <w:color w:val="231F20"/>
          <w:spacing w:val="-2"/>
          <w:w w:val="120"/>
        </w:rPr>
        <w:t>avec </w:t>
      </w:r>
      <w:r>
        <w:rPr>
          <w:color w:val="231F20"/>
          <w:w w:val="120"/>
        </w:rPr>
        <w:t>des</w:t>
      </w:r>
      <w:r>
        <w:rPr>
          <w:color w:val="231F20"/>
          <w:spacing w:val="-13"/>
          <w:w w:val="120"/>
        </w:rPr>
        <w:t> </w:t>
      </w:r>
      <w:r>
        <w:rPr>
          <w:color w:val="231F20"/>
          <w:w w:val="120"/>
        </w:rPr>
        <w:t>niveaux</w:t>
      </w:r>
      <w:r>
        <w:rPr>
          <w:color w:val="231F20"/>
          <w:spacing w:val="-8"/>
          <w:w w:val="120"/>
        </w:rPr>
        <w:t> </w:t>
      </w:r>
      <w:r>
        <w:rPr>
          <w:color w:val="231F20"/>
          <w:w w:val="120"/>
        </w:rPr>
        <w:t>élevés de stress11. Les individus ayant ces «</w:t>
      </w:r>
      <w:r>
        <w:rPr>
          <w:color w:val="231F20"/>
          <w:spacing w:val="-13"/>
          <w:w w:val="120"/>
        </w:rPr>
        <w:t> </w:t>
      </w:r>
      <w:r>
        <w:rPr>
          <w:color w:val="231F20"/>
          <w:w w:val="120"/>
        </w:rPr>
        <w:t>qualités</w:t>
      </w:r>
      <w:r>
        <w:rPr>
          <w:color w:val="231F20"/>
          <w:spacing w:val="-13"/>
          <w:w w:val="120"/>
        </w:rPr>
        <w:t> </w:t>
      </w:r>
      <w:r>
        <w:rPr>
          <w:color w:val="231F20"/>
          <w:w w:val="120"/>
        </w:rPr>
        <w:t>» de personnalité jouissent d’une bonne santé et présentent de plus faibles vulnérabilités au stress.</w:t>
      </w:r>
    </w:p>
    <w:p>
      <w:pPr>
        <w:pStyle w:val="BodyText"/>
        <w:spacing w:line="307" w:lineRule="auto" w:before="78"/>
        <w:ind w:left="1220" w:right="104" w:firstLine="250"/>
        <w:jc w:val="both"/>
      </w:pPr>
      <w:r>
        <w:rPr>
          <w:color w:val="231F20"/>
          <w:w w:val="115"/>
        </w:rPr>
        <w:t>Le</w:t>
      </w:r>
      <w:r>
        <w:rPr>
          <w:color w:val="231F20"/>
          <w:spacing w:val="-6"/>
          <w:w w:val="115"/>
        </w:rPr>
        <w:t> </w:t>
      </w:r>
      <w:r>
        <w:rPr>
          <w:color w:val="231F20"/>
          <w:w w:val="115"/>
        </w:rPr>
        <w:t>modèle</w:t>
      </w:r>
      <w:r>
        <w:rPr>
          <w:color w:val="231F20"/>
          <w:spacing w:val="-6"/>
          <w:w w:val="115"/>
        </w:rPr>
        <w:t> </w:t>
      </w:r>
      <w:r>
        <w:rPr>
          <w:color w:val="231F20"/>
          <w:w w:val="115"/>
        </w:rPr>
        <w:t>de</w:t>
      </w:r>
      <w:r>
        <w:rPr>
          <w:color w:val="231F20"/>
          <w:spacing w:val="-6"/>
          <w:w w:val="115"/>
        </w:rPr>
        <w:t> </w:t>
      </w:r>
      <w:r>
        <w:rPr>
          <w:color w:val="231F20"/>
          <w:w w:val="115"/>
        </w:rPr>
        <w:t>Kobassa</w:t>
      </w:r>
      <w:r>
        <w:rPr>
          <w:color w:val="231F20"/>
          <w:spacing w:val="-6"/>
          <w:w w:val="115"/>
        </w:rPr>
        <w:t> </w:t>
      </w:r>
      <w:r>
        <w:rPr>
          <w:color w:val="231F20"/>
          <w:w w:val="115"/>
        </w:rPr>
        <w:t>est</w:t>
      </w:r>
      <w:r>
        <w:rPr>
          <w:color w:val="231F20"/>
          <w:spacing w:val="-6"/>
          <w:w w:val="115"/>
        </w:rPr>
        <w:t> </w:t>
      </w:r>
      <w:r>
        <w:rPr>
          <w:color w:val="231F20"/>
          <w:w w:val="115"/>
        </w:rPr>
        <w:t>centré</w:t>
      </w:r>
      <w:r>
        <w:rPr>
          <w:color w:val="231F20"/>
          <w:spacing w:val="-6"/>
          <w:w w:val="115"/>
        </w:rPr>
        <w:t> </w:t>
      </w:r>
      <w:r>
        <w:rPr>
          <w:color w:val="231F20"/>
          <w:w w:val="115"/>
        </w:rPr>
        <w:t>sur</w:t>
      </w:r>
      <w:r>
        <w:rPr>
          <w:color w:val="231F20"/>
          <w:spacing w:val="-6"/>
          <w:w w:val="115"/>
        </w:rPr>
        <w:t> </w:t>
      </w:r>
      <w:r>
        <w:rPr>
          <w:color w:val="231F20"/>
          <w:w w:val="115"/>
        </w:rPr>
        <w:t>le</w:t>
      </w:r>
      <w:r>
        <w:rPr>
          <w:color w:val="231F20"/>
          <w:spacing w:val="-6"/>
          <w:w w:val="115"/>
        </w:rPr>
        <w:t> </w:t>
      </w:r>
      <w:r>
        <w:rPr>
          <w:color w:val="231F20"/>
          <w:w w:val="115"/>
        </w:rPr>
        <w:t>concept</w:t>
      </w:r>
      <w:r>
        <w:rPr>
          <w:color w:val="231F20"/>
          <w:spacing w:val="-6"/>
          <w:w w:val="115"/>
        </w:rPr>
        <w:t> </w:t>
      </w:r>
      <w:r>
        <w:rPr>
          <w:color w:val="231F20"/>
          <w:w w:val="115"/>
        </w:rPr>
        <w:t>de</w:t>
      </w:r>
      <w:r>
        <w:rPr>
          <w:color w:val="231F20"/>
          <w:spacing w:val="-6"/>
          <w:w w:val="115"/>
        </w:rPr>
        <w:t> </w:t>
      </w:r>
      <w:r>
        <w:rPr>
          <w:i/>
          <w:color w:val="231F20"/>
          <w:w w:val="115"/>
        </w:rPr>
        <w:t>vigueur</w:t>
      </w:r>
      <w:r>
        <w:rPr>
          <w:i/>
          <w:color w:val="231F20"/>
          <w:spacing w:val="-6"/>
          <w:w w:val="115"/>
        </w:rPr>
        <w:t> </w:t>
      </w:r>
      <w:r>
        <w:rPr>
          <w:color w:val="231F20"/>
          <w:w w:val="115"/>
        </w:rPr>
        <w:t>(</w:t>
      </w:r>
      <w:r>
        <w:rPr>
          <w:i/>
          <w:color w:val="231F20"/>
          <w:w w:val="115"/>
        </w:rPr>
        <w:t>hardiness</w:t>
      </w:r>
      <w:r>
        <w:rPr>
          <w:color w:val="231F20"/>
          <w:w w:val="115"/>
        </w:rPr>
        <w:t>) ou</w:t>
      </w:r>
      <w:r>
        <w:rPr>
          <w:color w:val="231F20"/>
          <w:spacing w:val="-13"/>
          <w:w w:val="115"/>
        </w:rPr>
        <w:t> </w:t>
      </w:r>
      <w:r>
        <w:rPr>
          <w:color w:val="231F20"/>
          <w:w w:val="115"/>
        </w:rPr>
        <w:t>de</w:t>
      </w:r>
      <w:r>
        <w:rPr>
          <w:color w:val="231F20"/>
          <w:spacing w:val="-12"/>
          <w:w w:val="115"/>
        </w:rPr>
        <w:t> </w:t>
      </w:r>
      <w:r>
        <w:rPr>
          <w:color w:val="231F20"/>
          <w:w w:val="115"/>
        </w:rPr>
        <w:t>la</w:t>
      </w:r>
      <w:r>
        <w:rPr>
          <w:color w:val="231F20"/>
          <w:spacing w:val="-4"/>
          <w:w w:val="115"/>
        </w:rPr>
        <w:t> </w:t>
      </w:r>
      <w:r>
        <w:rPr>
          <w:color w:val="231F20"/>
          <w:w w:val="115"/>
        </w:rPr>
        <w:t>«</w:t>
      </w:r>
      <w:r>
        <w:rPr>
          <w:color w:val="231F20"/>
          <w:spacing w:val="-13"/>
          <w:w w:val="115"/>
        </w:rPr>
        <w:t> </w:t>
      </w:r>
      <w:r>
        <w:rPr>
          <w:color w:val="231F20"/>
          <w:w w:val="115"/>
        </w:rPr>
        <w:t>personnalité</w:t>
      </w:r>
      <w:r>
        <w:rPr>
          <w:color w:val="231F20"/>
          <w:spacing w:val="-3"/>
          <w:w w:val="115"/>
        </w:rPr>
        <w:t> </w:t>
      </w:r>
      <w:r>
        <w:rPr>
          <w:color w:val="231F20"/>
          <w:w w:val="115"/>
        </w:rPr>
        <w:t>vigoureuse»,</w:t>
      </w:r>
      <w:r>
        <w:rPr>
          <w:color w:val="231F20"/>
          <w:spacing w:val="-3"/>
          <w:w w:val="115"/>
        </w:rPr>
        <w:t> </w:t>
      </w:r>
      <w:r>
        <w:rPr>
          <w:color w:val="231F20"/>
          <w:w w:val="115"/>
        </w:rPr>
        <w:t>un</w:t>
      </w:r>
      <w:r>
        <w:rPr>
          <w:color w:val="231F20"/>
          <w:spacing w:val="-3"/>
          <w:w w:val="115"/>
        </w:rPr>
        <w:t> </w:t>
      </w:r>
      <w:r>
        <w:rPr>
          <w:color w:val="231F20"/>
          <w:w w:val="115"/>
        </w:rPr>
        <w:t>type</w:t>
      </w:r>
      <w:r>
        <w:rPr>
          <w:color w:val="231F20"/>
          <w:spacing w:val="-3"/>
          <w:w w:val="115"/>
        </w:rPr>
        <w:t> </w:t>
      </w:r>
      <w:r>
        <w:rPr>
          <w:color w:val="231F20"/>
          <w:w w:val="115"/>
        </w:rPr>
        <w:t>de</w:t>
      </w:r>
      <w:r>
        <w:rPr>
          <w:color w:val="231F20"/>
          <w:spacing w:val="-3"/>
          <w:w w:val="115"/>
        </w:rPr>
        <w:t> </w:t>
      </w:r>
      <w:r>
        <w:rPr>
          <w:color w:val="231F20"/>
          <w:w w:val="115"/>
        </w:rPr>
        <w:t>personnalité</w:t>
      </w:r>
      <w:r>
        <w:rPr>
          <w:color w:val="231F20"/>
          <w:spacing w:val="-3"/>
          <w:w w:val="115"/>
        </w:rPr>
        <w:t> </w:t>
      </w:r>
      <w:r>
        <w:rPr>
          <w:color w:val="231F20"/>
          <w:w w:val="115"/>
        </w:rPr>
        <w:t>qui</w:t>
      </w:r>
      <w:r>
        <w:rPr>
          <w:color w:val="231F20"/>
          <w:spacing w:val="-3"/>
          <w:w w:val="115"/>
        </w:rPr>
        <w:t> </w:t>
      </w:r>
      <w:r>
        <w:rPr>
          <w:color w:val="231F20"/>
          <w:w w:val="115"/>
        </w:rPr>
        <w:t>comporte trois</w:t>
      </w:r>
      <w:r>
        <w:rPr>
          <w:color w:val="231F20"/>
          <w:spacing w:val="-13"/>
          <w:w w:val="115"/>
        </w:rPr>
        <w:t> </w:t>
      </w:r>
      <w:r>
        <w:rPr>
          <w:color w:val="231F20"/>
          <w:w w:val="115"/>
        </w:rPr>
        <w:t>dimensions</w:t>
      </w:r>
      <w:r>
        <w:rPr>
          <w:color w:val="231F20"/>
          <w:spacing w:val="-12"/>
          <w:w w:val="115"/>
        </w:rPr>
        <w:t> </w:t>
      </w:r>
      <w:r>
        <w:rPr>
          <w:color w:val="231F20"/>
          <w:w w:val="115"/>
        </w:rPr>
        <w:t>:</w:t>
      </w:r>
      <w:r>
        <w:rPr>
          <w:color w:val="231F20"/>
          <w:spacing w:val="-12"/>
          <w:w w:val="115"/>
        </w:rPr>
        <w:t> </w:t>
      </w:r>
      <w:r>
        <w:rPr>
          <w:color w:val="231F20"/>
          <w:w w:val="115"/>
        </w:rPr>
        <w:t>l’engagement,</w:t>
      </w:r>
      <w:r>
        <w:rPr>
          <w:color w:val="231F20"/>
          <w:spacing w:val="-12"/>
          <w:w w:val="115"/>
        </w:rPr>
        <w:t> </w:t>
      </w:r>
      <w:r>
        <w:rPr>
          <w:color w:val="231F20"/>
          <w:w w:val="115"/>
        </w:rPr>
        <w:t>le</w:t>
      </w:r>
      <w:r>
        <w:rPr>
          <w:color w:val="231F20"/>
          <w:spacing w:val="-13"/>
          <w:w w:val="115"/>
        </w:rPr>
        <w:t> </w:t>
      </w:r>
      <w:r>
        <w:rPr>
          <w:color w:val="231F20"/>
          <w:w w:val="115"/>
        </w:rPr>
        <w:t>contrôle</w:t>
      </w:r>
      <w:r>
        <w:rPr>
          <w:color w:val="231F20"/>
          <w:spacing w:val="-12"/>
          <w:w w:val="115"/>
        </w:rPr>
        <w:t> </w:t>
      </w:r>
      <w:r>
        <w:rPr>
          <w:color w:val="231F20"/>
          <w:w w:val="115"/>
        </w:rPr>
        <w:t>et</w:t>
      </w:r>
      <w:r>
        <w:rPr>
          <w:color w:val="231F20"/>
          <w:spacing w:val="-12"/>
          <w:w w:val="115"/>
        </w:rPr>
        <w:t> </w:t>
      </w:r>
      <w:r>
        <w:rPr>
          <w:color w:val="231F20"/>
          <w:w w:val="115"/>
        </w:rPr>
        <w:t>le</w:t>
      </w:r>
      <w:r>
        <w:rPr>
          <w:color w:val="231F20"/>
          <w:spacing w:val="-12"/>
          <w:w w:val="115"/>
        </w:rPr>
        <w:t> </w:t>
      </w:r>
      <w:r>
        <w:rPr>
          <w:color w:val="231F20"/>
          <w:w w:val="115"/>
        </w:rPr>
        <w:t>défi.</w:t>
      </w:r>
      <w:r>
        <w:rPr>
          <w:color w:val="231F20"/>
          <w:spacing w:val="-12"/>
          <w:w w:val="115"/>
        </w:rPr>
        <w:t> </w:t>
      </w:r>
      <w:r>
        <w:rPr>
          <w:color w:val="231F20"/>
          <w:w w:val="115"/>
        </w:rPr>
        <w:t>L’</w:t>
      </w:r>
      <w:r>
        <w:rPr>
          <w:i/>
          <w:color w:val="231F20"/>
          <w:w w:val="115"/>
        </w:rPr>
        <w:t>engagement</w:t>
      </w:r>
      <w:r>
        <w:rPr>
          <w:i/>
          <w:color w:val="231F20"/>
          <w:spacing w:val="-12"/>
          <w:w w:val="115"/>
        </w:rPr>
        <w:t> </w:t>
      </w:r>
      <w:r>
        <w:rPr>
          <w:color w:val="231F20"/>
          <w:w w:val="115"/>
        </w:rPr>
        <w:t>est</w:t>
      </w:r>
      <w:r>
        <w:rPr>
          <w:color w:val="231F20"/>
          <w:spacing w:val="-10"/>
          <w:w w:val="115"/>
        </w:rPr>
        <w:t> </w:t>
      </w:r>
      <w:r>
        <w:rPr>
          <w:color w:val="231F20"/>
          <w:w w:val="115"/>
        </w:rPr>
        <w:t>la </w:t>
      </w:r>
      <w:r>
        <w:rPr>
          <w:color w:val="231F20"/>
          <w:w w:val="120"/>
        </w:rPr>
        <w:t>capacité</w:t>
      </w:r>
      <w:r>
        <w:rPr>
          <w:color w:val="231F20"/>
          <w:spacing w:val="-6"/>
          <w:w w:val="120"/>
        </w:rPr>
        <w:t> </w:t>
      </w:r>
      <w:r>
        <w:rPr>
          <w:color w:val="231F20"/>
          <w:w w:val="120"/>
        </w:rPr>
        <w:t>de</w:t>
      </w:r>
      <w:r>
        <w:rPr>
          <w:color w:val="231F20"/>
          <w:spacing w:val="-6"/>
          <w:w w:val="120"/>
        </w:rPr>
        <w:t> </w:t>
      </w:r>
      <w:r>
        <w:rPr>
          <w:color w:val="231F20"/>
          <w:w w:val="120"/>
        </w:rPr>
        <w:t>croire</w:t>
      </w:r>
      <w:r>
        <w:rPr>
          <w:color w:val="231F20"/>
          <w:spacing w:val="-6"/>
          <w:w w:val="120"/>
        </w:rPr>
        <w:t> </w:t>
      </w:r>
      <w:r>
        <w:rPr>
          <w:color w:val="231F20"/>
          <w:w w:val="120"/>
        </w:rPr>
        <w:t>en</w:t>
      </w:r>
      <w:r>
        <w:rPr>
          <w:color w:val="231F20"/>
          <w:spacing w:val="-6"/>
          <w:w w:val="120"/>
        </w:rPr>
        <w:t> </w:t>
      </w:r>
      <w:r>
        <w:rPr>
          <w:color w:val="231F20"/>
          <w:w w:val="120"/>
        </w:rPr>
        <w:t>ce</w:t>
      </w:r>
      <w:r>
        <w:rPr>
          <w:color w:val="231F20"/>
          <w:spacing w:val="-6"/>
          <w:w w:val="120"/>
        </w:rPr>
        <w:t> </w:t>
      </w:r>
      <w:r>
        <w:rPr>
          <w:color w:val="231F20"/>
          <w:w w:val="120"/>
        </w:rPr>
        <w:t>que</w:t>
      </w:r>
      <w:r>
        <w:rPr>
          <w:color w:val="231F20"/>
          <w:spacing w:val="-6"/>
          <w:w w:val="120"/>
        </w:rPr>
        <w:t> </w:t>
      </w:r>
      <w:r>
        <w:rPr>
          <w:color w:val="231F20"/>
          <w:w w:val="120"/>
        </w:rPr>
        <w:t>l’on</w:t>
      </w:r>
      <w:r>
        <w:rPr>
          <w:color w:val="231F20"/>
          <w:spacing w:val="-6"/>
          <w:w w:val="120"/>
        </w:rPr>
        <w:t> </w:t>
      </w:r>
      <w:r>
        <w:rPr>
          <w:color w:val="231F20"/>
          <w:w w:val="120"/>
        </w:rPr>
        <w:t>fait</w:t>
      </w:r>
      <w:r>
        <w:rPr>
          <w:color w:val="231F20"/>
          <w:spacing w:val="-6"/>
          <w:w w:val="120"/>
        </w:rPr>
        <w:t> </w:t>
      </w:r>
      <w:r>
        <w:rPr>
          <w:color w:val="231F20"/>
          <w:w w:val="120"/>
        </w:rPr>
        <w:t>et</w:t>
      </w:r>
      <w:r>
        <w:rPr>
          <w:color w:val="231F20"/>
          <w:spacing w:val="-6"/>
          <w:w w:val="120"/>
        </w:rPr>
        <w:t> </w:t>
      </w:r>
      <w:r>
        <w:rPr>
          <w:color w:val="231F20"/>
          <w:w w:val="120"/>
        </w:rPr>
        <w:t>la</w:t>
      </w:r>
      <w:r>
        <w:rPr>
          <w:color w:val="231F20"/>
          <w:spacing w:val="-6"/>
          <w:w w:val="120"/>
        </w:rPr>
        <w:t> </w:t>
      </w:r>
      <w:r>
        <w:rPr>
          <w:color w:val="231F20"/>
          <w:w w:val="120"/>
        </w:rPr>
        <w:t>tendance</w:t>
      </w:r>
      <w:r>
        <w:rPr>
          <w:color w:val="231F20"/>
          <w:spacing w:val="-6"/>
          <w:w w:val="120"/>
        </w:rPr>
        <w:t> </w:t>
      </w:r>
      <w:r>
        <w:rPr>
          <w:color w:val="231F20"/>
          <w:w w:val="120"/>
        </w:rPr>
        <w:t>à</w:t>
      </w:r>
      <w:r>
        <w:rPr>
          <w:color w:val="231F20"/>
          <w:spacing w:val="-6"/>
          <w:w w:val="120"/>
        </w:rPr>
        <w:t> </w:t>
      </w:r>
      <w:r>
        <w:rPr>
          <w:color w:val="231F20"/>
          <w:w w:val="120"/>
        </w:rPr>
        <w:t>s’investir</w:t>
      </w:r>
      <w:r>
        <w:rPr>
          <w:color w:val="231F20"/>
          <w:spacing w:val="-6"/>
          <w:w w:val="120"/>
        </w:rPr>
        <w:t> </w:t>
      </w:r>
      <w:r>
        <w:rPr>
          <w:color w:val="231F20"/>
          <w:w w:val="120"/>
        </w:rPr>
        <w:t>dans</w:t>
      </w:r>
      <w:r>
        <w:rPr>
          <w:color w:val="231F20"/>
          <w:spacing w:val="-6"/>
          <w:w w:val="120"/>
        </w:rPr>
        <w:t> </w:t>
      </w:r>
      <w:r>
        <w:rPr>
          <w:color w:val="231F20"/>
          <w:w w:val="120"/>
        </w:rPr>
        <w:t>les </w:t>
      </w:r>
      <w:r>
        <w:rPr>
          <w:color w:val="231F20"/>
          <w:w w:val="115"/>
        </w:rPr>
        <w:t>activités</w:t>
      </w:r>
      <w:r>
        <w:rPr>
          <w:color w:val="231F20"/>
          <w:spacing w:val="-13"/>
          <w:w w:val="115"/>
        </w:rPr>
        <w:t> </w:t>
      </w:r>
      <w:r>
        <w:rPr>
          <w:color w:val="231F20"/>
          <w:w w:val="115"/>
        </w:rPr>
        <w:t>qu’on</w:t>
      </w:r>
      <w:r>
        <w:rPr>
          <w:color w:val="231F20"/>
          <w:spacing w:val="-11"/>
          <w:w w:val="115"/>
        </w:rPr>
        <w:t> </w:t>
      </w:r>
      <w:r>
        <w:rPr>
          <w:color w:val="231F20"/>
          <w:w w:val="115"/>
        </w:rPr>
        <w:t>entreprend</w:t>
      </w:r>
      <w:r>
        <w:rPr>
          <w:color w:val="231F20"/>
          <w:spacing w:val="-12"/>
          <w:w w:val="115"/>
        </w:rPr>
        <w:t> </w:t>
      </w:r>
      <w:r>
        <w:rPr>
          <w:color w:val="231F20"/>
          <w:w w:val="115"/>
        </w:rPr>
        <w:t>;</w:t>
      </w:r>
      <w:r>
        <w:rPr>
          <w:color w:val="231F20"/>
          <w:spacing w:val="-3"/>
          <w:w w:val="115"/>
        </w:rPr>
        <w:t> </w:t>
      </w:r>
      <w:r>
        <w:rPr>
          <w:color w:val="231F20"/>
          <w:w w:val="115"/>
        </w:rPr>
        <w:t>le</w:t>
      </w:r>
      <w:r>
        <w:rPr>
          <w:color w:val="231F20"/>
          <w:spacing w:val="-4"/>
          <w:w w:val="115"/>
        </w:rPr>
        <w:t> </w:t>
      </w:r>
      <w:r>
        <w:rPr>
          <w:i/>
          <w:color w:val="231F20"/>
          <w:w w:val="115"/>
        </w:rPr>
        <w:t>contrôle</w:t>
      </w:r>
      <w:r>
        <w:rPr>
          <w:i/>
          <w:color w:val="231F20"/>
          <w:spacing w:val="-5"/>
          <w:w w:val="115"/>
        </w:rPr>
        <w:t> </w:t>
      </w:r>
      <w:r>
        <w:rPr>
          <w:color w:val="231F20"/>
          <w:w w:val="115"/>
        </w:rPr>
        <w:t>est</w:t>
      </w:r>
      <w:r>
        <w:rPr>
          <w:color w:val="231F20"/>
          <w:spacing w:val="-4"/>
          <w:w w:val="115"/>
        </w:rPr>
        <w:t> </w:t>
      </w:r>
      <w:r>
        <w:rPr>
          <w:color w:val="231F20"/>
          <w:w w:val="115"/>
        </w:rPr>
        <w:t>la</w:t>
      </w:r>
      <w:r>
        <w:rPr>
          <w:color w:val="231F20"/>
          <w:spacing w:val="-4"/>
          <w:w w:val="115"/>
        </w:rPr>
        <w:t> </w:t>
      </w:r>
      <w:r>
        <w:rPr>
          <w:color w:val="231F20"/>
          <w:w w:val="115"/>
        </w:rPr>
        <w:t>tendance</w:t>
      </w:r>
      <w:r>
        <w:rPr>
          <w:color w:val="231F20"/>
          <w:spacing w:val="-4"/>
          <w:w w:val="115"/>
        </w:rPr>
        <w:t> </w:t>
      </w:r>
      <w:r>
        <w:rPr>
          <w:color w:val="231F20"/>
          <w:w w:val="115"/>
        </w:rPr>
        <w:t>à</w:t>
      </w:r>
      <w:r>
        <w:rPr>
          <w:color w:val="231F20"/>
          <w:spacing w:val="-4"/>
          <w:w w:val="115"/>
        </w:rPr>
        <w:t> </w:t>
      </w:r>
      <w:r>
        <w:rPr>
          <w:color w:val="231F20"/>
          <w:w w:val="115"/>
        </w:rPr>
        <w:t>croire</w:t>
      </w:r>
      <w:r>
        <w:rPr>
          <w:color w:val="231F20"/>
          <w:spacing w:val="-4"/>
          <w:w w:val="115"/>
        </w:rPr>
        <w:t> </w:t>
      </w:r>
      <w:r>
        <w:rPr>
          <w:color w:val="231F20"/>
          <w:w w:val="115"/>
        </w:rPr>
        <w:t>et</w:t>
      </w:r>
      <w:r>
        <w:rPr>
          <w:color w:val="231F20"/>
          <w:spacing w:val="-4"/>
          <w:w w:val="115"/>
        </w:rPr>
        <w:t> </w:t>
      </w:r>
      <w:r>
        <w:rPr>
          <w:color w:val="231F20"/>
          <w:w w:val="115"/>
        </w:rPr>
        <w:t>à</w:t>
      </w:r>
      <w:r>
        <w:rPr>
          <w:color w:val="231F20"/>
          <w:spacing w:val="-4"/>
          <w:w w:val="115"/>
        </w:rPr>
        <w:t> </w:t>
      </w:r>
      <w:r>
        <w:rPr>
          <w:color w:val="231F20"/>
          <w:w w:val="115"/>
        </w:rPr>
        <w:t>agir</w:t>
      </w:r>
      <w:r>
        <w:rPr>
          <w:color w:val="231F20"/>
          <w:spacing w:val="-4"/>
          <w:w w:val="115"/>
        </w:rPr>
        <w:t> </w:t>
      </w:r>
      <w:r>
        <w:rPr>
          <w:color w:val="231F20"/>
          <w:w w:val="115"/>
        </w:rPr>
        <w:t>en </w:t>
      </w:r>
      <w:r>
        <w:rPr>
          <w:color w:val="231F20"/>
          <w:w w:val="120"/>
        </w:rPr>
        <w:t>supposant</w:t>
      </w:r>
      <w:r>
        <w:rPr>
          <w:color w:val="231F20"/>
          <w:spacing w:val="-1"/>
          <w:w w:val="120"/>
        </w:rPr>
        <w:t> </w:t>
      </w:r>
      <w:r>
        <w:rPr>
          <w:color w:val="231F20"/>
          <w:w w:val="120"/>
        </w:rPr>
        <w:t>qu’on</w:t>
      </w:r>
      <w:r>
        <w:rPr>
          <w:color w:val="231F20"/>
          <w:spacing w:val="-1"/>
          <w:w w:val="120"/>
        </w:rPr>
        <w:t> </w:t>
      </w:r>
      <w:r>
        <w:rPr>
          <w:color w:val="231F20"/>
          <w:w w:val="120"/>
        </w:rPr>
        <w:t>peut</w:t>
      </w:r>
      <w:r>
        <w:rPr>
          <w:color w:val="231F20"/>
          <w:spacing w:val="-1"/>
          <w:w w:val="120"/>
        </w:rPr>
        <w:t> </w:t>
      </w:r>
      <w:r>
        <w:rPr>
          <w:color w:val="231F20"/>
          <w:w w:val="120"/>
        </w:rPr>
        <w:t>influer</w:t>
      </w:r>
      <w:r>
        <w:rPr>
          <w:color w:val="231F20"/>
          <w:spacing w:val="-1"/>
          <w:w w:val="120"/>
        </w:rPr>
        <w:t> </w:t>
      </w:r>
      <w:r>
        <w:rPr>
          <w:color w:val="231F20"/>
          <w:w w:val="120"/>
        </w:rPr>
        <w:t>sur</w:t>
      </w:r>
      <w:r>
        <w:rPr>
          <w:color w:val="231F20"/>
          <w:spacing w:val="-1"/>
          <w:w w:val="120"/>
        </w:rPr>
        <w:t> </w:t>
      </w:r>
      <w:r>
        <w:rPr>
          <w:color w:val="231F20"/>
          <w:w w:val="120"/>
        </w:rPr>
        <w:t>le</w:t>
      </w:r>
      <w:r>
        <w:rPr>
          <w:color w:val="231F20"/>
          <w:spacing w:val="-1"/>
          <w:w w:val="120"/>
        </w:rPr>
        <w:t> </w:t>
      </w:r>
      <w:r>
        <w:rPr>
          <w:color w:val="231F20"/>
          <w:w w:val="120"/>
        </w:rPr>
        <w:t>cours</w:t>
      </w:r>
      <w:r>
        <w:rPr>
          <w:color w:val="231F20"/>
          <w:spacing w:val="-1"/>
          <w:w w:val="120"/>
        </w:rPr>
        <w:t> </w:t>
      </w:r>
      <w:r>
        <w:rPr>
          <w:color w:val="231F20"/>
          <w:w w:val="120"/>
        </w:rPr>
        <w:t>des</w:t>
      </w:r>
      <w:r>
        <w:rPr>
          <w:color w:val="231F20"/>
          <w:spacing w:val="-1"/>
          <w:w w:val="120"/>
        </w:rPr>
        <w:t> </w:t>
      </w:r>
      <w:r>
        <w:rPr>
          <w:color w:val="231F20"/>
          <w:w w:val="120"/>
        </w:rPr>
        <w:t>événements</w:t>
      </w:r>
      <w:r>
        <w:rPr>
          <w:color w:val="231F20"/>
          <w:spacing w:val="-1"/>
          <w:w w:val="120"/>
        </w:rPr>
        <w:t> </w:t>
      </w:r>
      <w:r>
        <w:rPr>
          <w:color w:val="231F20"/>
          <w:w w:val="120"/>
        </w:rPr>
        <w:t>en</w:t>
      </w:r>
      <w:r>
        <w:rPr>
          <w:color w:val="231F20"/>
          <w:spacing w:val="-1"/>
          <w:w w:val="120"/>
        </w:rPr>
        <w:t> </w:t>
      </w:r>
      <w:r>
        <w:rPr>
          <w:color w:val="231F20"/>
          <w:w w:val="120"/>
        </w:rPr>
        <w:t>assumant </w:t>
      </w:r>
      <w:r>
        <w:rPr>
          <w:color w:val="231F20"/>
          <w:w w:val="115"/>
        </w:rPr>
        <w:t>la</w:t>
      </w:r>
      <w:r>
        <w:rPr>
          <w:color w:val="231F20"/>
          <w:spacing w:val="-13"/>
          <w:w w:val="115"/>
        </w:rPr>
        <w:t> </w:t>
      </w:r>
      <w:r>
        <w:rPr>
          <w:color w:val="231F20"/>
          <w:w w:val="115"/>
        </w:rPr>
        <w:t>responsabilité</w:t>
      </w:r>
      <w:r>
        <w:rPr>
          <w:color w:val="231F20"/>
          <w:spacing w:val="-6"/>
          <w:w w:val="115"/>
        </w:rPr>
        <w:t> </w:t>
      </w:r>
      <w:r>
        <w:rPr>
          <w:color w:val="231F20"/>
          <w:w w:val="115"/>
        </w:rPr>
        <w:t>de</w:t>
      </w:r>
      <w:r>
        <w:rPr>
          <w:color w:val="231F20"/>
          <w:spacing w:val="-2"/>
          <w:w w:val="115"/>
        </w:rPr>
        <w:t> </w:t>
      </w:r>
      <w:r>
        <w:rPr>
          <w:color w:val="231F20"/>
          <w:w w:val="115"/>
        </w:rPr>
        <w:t>ses</w:t>
      </w:r>
      <w:r>
        <w:rPr>
          <w:color w:val="231F20"/>
          <w:spacing w:val="-2"/>
          <w:w w:val="115"/>
        </w:rPr>
        <w:t> </w:t>
      </w:r>
      <w:r>
        <w:rPr>
          <w:color w:val="231F20"/>
          <w:w w:val="115"/>
        </w:rPr>
        <w:t>actes</w:t>
      </w:r>
      <w:r>
        <w:rPr>
          <w:color w:val="231F20"/>
          <w:spacing w:val="-13"/>
          <w:w w:val="115"/>
        </w:rPr>
        <w:t> </w:t>
      </w:r>
      <w:r>
        <w:rPr>
          <w:color w:val="231F20"/>
          <w:w w:val="115"/>
        </w:rPr>
        <w:t>;</w:t>
      </w:r>
      <w:r>
        <w:rPr>
          <w:color w:val="231F20"/>
          <w:spacing w:val="-1"/>
          <w:w w:val="115"/>
        </w:rPr>
        <w:t> </w:t>
      </w:r>
      <w:r>
        <w:rPr>
          <w:color w:val="231F20"/>
          <w:w w:val="115"/>
        </w:rPr>
        <w:t>le</w:t>
      </w:r>
      <w:r>
        <w:rPr>
          <w:color w:val="231F20"/>
          <w:spacing w:val="-2"/>
          <w:w w:val="115"/>
        </w:rPr>
        <w:t> </w:t>
      </w:r>
      <w:r>
        <w:rPr>
          <w:i/>
          <w:color w:val="231F20"/>
          <w:w w:val="115"/>
        </w:rPr>
        <w:t>défi</w:t>
      </w:r>
      <w:r>
        <w:rPr>
          <w:i/>
          <w:color w:val="231F20"/>
          <w:spacing w:val="-3"/>
          <w:w w:val="115"/>
        </w:rPr>
        <w:t> </w:t>
      </w:r>
      <w:r>
        <w:rPr>
          <w:color w:val="231F20"/>
          <w:w w:val="115"/>
        </w:rPr>
        <w:t>repose</w:t>
      </w:r>
      <w:r>
        <w:rPr>
          <w:color w:val="231F20"/>
          <w:spacing w:val="-2"/>
          <w:w w:val="115"/>
        </w:rPr>
        <w:t> </w:t>
      </w:r>
      <w:r>
        <w:rPr>
          <w:color w:val="231F20"/>
          <w:w w:val="115"/>
        </w:rPr>
        <w:t>sur</w:t>
      </w:r>
      <w:r>
        <w:rPr>
          <w:color w:val="231F20"/>
          <w:spacing w:val="-2"/>
          <w:w w:val="115"/>
        </w:rPr>
        <w:t> </w:t>
      </w:r>
      <w:r>
        <w:rPr>
          <w:color w:val="231F20"/>
          <w:w w:val="115"/>
        </w:rPr>
        <w:t>la</w:t>
      </w:r>
      <w:r>
        <w:rPr>
          <w:color w:val="231F20"/>
          <w:spacing w:val="-2"/>
          <w:w w:val="115"/>
        </w:rPr>
        <w:t> </w:t>
      </w:r>
      <w:r>
        <w:rPr>
          <w:color w:val="231F20"/>
          <w:w w:val="115"/>
        </w:rPr>
        <w:t>conviction</w:t>
      </w:r>
      <w:r>
        <w:rPr>
          <w:color w:val="231F20"/>
          <w:spacing w:val="-2"/>
          <w:w w:val="115"/>
        </w:rPr>
        <w:t> </w:t>
      </w:r>
      <w:r>
        <w:rPr>
          <w:color w:val="231F20"/>
          <w:w w:val="115"/>
        </w:rPr>
        <w:t>que,</w:t>
      </w:r>
      <w:r>
        <w:rPr>
          <w:color w:val="231F20"/>
          <w:spacing w:val="-2"/>
          <w:w w:val="115"/>
        </w:rPr>
        <w:t> </w:t>
      </w:r>
      <w:r>
        <w:rPr>
          <w:color w:val="231F20"/>
          <w:w w:val="115"/>
        </w:rPr>
        <w:t>dans</w:t>
      </w:r>
      <w:r>
        <w:rPr>
          <w:color w:val="231F20"/>
          <w:spacing w:val="-2"/>
          <w:w w:val="115"/>
        </w:rPr>
        <w:t> </w:t>
      </w:r>
      <w:r>
        <w:rPr>
          <w:color w:val="231F20"/>
          <w:w w:val="115"/>
        </w:rPr>
        <w:t>la </w:t>
      </w:r>
      <w:r>
        <w:rPr>
          <w:color w:val="231F20"/>
          <w:w w:val="120"/>
        </w:rPr>
        <w:t>vie, la norme se situe davantage du côté du changement que de la sta- bilité. La personnalité vigoureuse caractérise la personne engagée qui s’identifie</w:t>
      </w:r>
      <w:r>
        <w:rPr>
          <w:color w:val="231F20"/>
          <w:spacing w:val="-1"/>
          <w:w w:val="120"/>
        </w:rPr>
        <w:t> </w:t>
      </w:r>
      <w:r>
        <w:rPr>
          <w:color w:val="231F20"/>
          <w:w w:val="120"/>
        </w:rPr>
        <w:t>à</w:t>
      </w:r>
      <w:r>
        <w:rPr>
          <w:color w:val="231F20"/>
          <w:spacing w:val="-1"/>
          <w:w w:val="120"/>
        </w:rPr>
        <w:t> </w:t>
      </w:r>
      <w:r>
        <w:rPr>
          <w:color w:val="231F20"/>
          <w:w w:val="120"/>
        </w:rPr>
        <w:t>la</w:t>
      </w:r>
      <w:r>
        <w:rPr>
          <w:color w:val="231F20"/>
          <w:spacing w:val="-1"/>
          <w:w w:val="120"/>
        </w:rPr>
        <w:t> </w:t>
      </w:r>
      <w:r>
        <w:rPr>
          <w:color w:val="231F20"/>
          <w:w w:val="120"/>
        </w:rPr>
        <w:t>tâche</w:t>
      </w:r>
      <w:r>
        <w:rPr>
          <w:color w:val="231F20"/>
          <w:spacing w:val="-1"/>
          <w:w w:val="120"/>
        </w:rPr>
        <w:t> </w:t>
      </w:r>
      <w:r>
        <w:rPr>
          <w:color w:val="231F20"/>
          <w:w w:val="120"/>
        </w:rPr>
        <w:t>qui</w:t>
      </w:r>
      <w:r>
        <w:rPr>
          <w:color w:val="231F20"/>
          <w:spacing w:val="-1"/>
          <w:w w:val="120"/>
        </w:rPr>
        <w:t> </w:t>
      </w:r>
      <w:r>
        <w:rPr>
          <w:color w:val="231F20"/>
          <w:w w:val="120"/>
        </w:rPr>
        <w:t>lui</w:t>
      </w:r>
      <w:r>
        <w:rPr>
          <w:color w:val="231F20"/>
          <w:spacing w:val="-1"/>
          <w:w w:val="120"/>
        </w:rPr>
        <w:t> </w:t>
      </w:r>
      <w:r>
        <w:rPr>
          <w:color w:val="231F20"/>
          <w:w w:val="120"/>
        </w:rPr>
        <w:t>est</w:t>
      </w:r>
      <w:r>
        <w:rPr>
          <w:color w:val="231F20"/>
          <w:spacing w:val="-1"/>
          <w:w w:val="120"/>
        </w:rPr>
        <w:t> </w:t>
      </w:r>
      <w:r>
        <w:rPr>
          <w:color w:val="231F20"/>
          <w:w w:val="120"/>
        </w:rPr>
        <w:t>dévolue,</w:t>
      </w:r>
      <w:r>
        <w:rPr>
          <w:color w:val="231F20"/>
          <w:spacing w:val="-1"/>
          <w:w w:val="120"/>
        </w:rPr>
        <w:t> </w:t>
      </w:r>
      <w:r>
        <w:rPr>
          <w:color w:val="231F20"/>
          <w:w w:val="120"/>
        </w:rPr>
        <w:t>convaincue</w:t>
      </w:r>
      <w:r>
        <w:rPr>
          <w:color w:val="231F20"/>
          <w:spacing w:val="-1"/>
          <w:w w:val="120"/>
        </w:rPr>
        <w:t> </w:t>
      </w:r>
      <w:r>
        <w:rPr>
          <w:color w:val="231F20"/>
          <w:w w:val="120"/>
        </w:rPr>
        <w:t>de</w:t>
      </w:r>
      <w:r>
        <w:rPr>
          <w:color w:val="231F20"/>
          <w:spacing w:val="-1"/>
          <w:w w:val="120"/>
        </w:rPr>
        <w:t> </w:t>
      </w:r>
      <w:r>
        <w:rPr>
          <w:color w:val="231F20"/>
          <w:w w:val="120"/>
        </w:rPr>
        <w:t>pouvoir</w:t>
      </w:r>
      <w:r>
        <w:rPr>
          <w:color w:val="231F20"/>
          <w:spacing w:val="-1"/>
          <w:w w:val="120"/>
        </w:rPr>
        <w:t> </w:t>
      </w:r>
      <w:r>
        <w:rPr>
          <w:color w:val="231F20"/>
          <w:w w:val="120"/>
        </w:rPr>
        <w:t>agir</w:t>
      </w:r>
      <w:r>
        <w:rPr>
          <w:color w:val="231F20"/>
          <w:spacing w:val="-1"/>
          <w:w w:val="120"/>
        </w:rPr>
        <w:t> </w:t>
      </w:r>
      <w:r>
        <w:rPr>
          <w:color w:val="231F20"/>
          <w:w w:val="120"/>
        </w:rPr>
        <w:t>et garder</w:t>
      </w:r>
      <w:r>
        <w:rPr>
          <w:color w:val="231F20"/>
          <w:spacing w:val="-3"/>
          <w:w w:val="120"/>
        </w:rPr>
        <w:t> </w:t>
      </w:r>
      <w:r>
        <w:rPr>
          <w:color w:val="231F20"/>
          <w:w w:val="120"/>
        </w:rPr>
        <w:t>la</w:t>
      </w:r>
      <w:r>
        <w:rPr>
          <w:color w:val="231F20"/>
          <w:spacing w:val="-3"/>
          <w:w w:val="120"/>
        </w:rPr>
        <w:t> </w:t>
      </w:r>
      <w:r>
        <w:rPr>
          <w:color w:val="231F20"/>
          <w:w w:val="120"/>
        </w:rPr>
        <w:t>maîtrise</w:t>
      </w:r>
      <w:r>
        <w:rPr>
          <w:color w:val="231F20"/>
          <w:spacing w:val="-3"/>
          <w:w w:val="120"/>
        </w:rPr>
        <w:t> </w:t>
      </w:r>
      <w:r>
        <w:rPr>
          <w:color w:val="231F20"/>
          <w:w w:val="120"/>
        </w:rPr>
        <w:t>de</w:t>
      </w:r>
      <w:r>
        <w:rPr>
          <w:color w:val="231F20"/>
          <w:spacing w:val="-3"/>
          <w:w w:val="120"/>
        </w:rPr>
        <w:t> </w:t>
      </w:r>
      <w:r>
        <w:rPr>
          <w:color w:val="231F20"/>
          <w:w w:val="120"/>
        </w:rPr>
        <w:t>ses</w:t>
      </w:r>
      <w:r>
        <w:rPr>
          <w:color w:val="231F20"/>
          <w:spacing w:val="-3"/>
          <w:w w:val="120"/>
        </w:rPr>
        <w:t> </w:t>
      </w:r>
      <w:r>
        <w:rPr>
          <w:color w:val="231F20"/>
          <w:w w:val="120"/>
        </w:rPr>
        <w:t>résultats,</w:t>
      </w:r>
      <w:r>
        <w:rPr>
          <w:color w:val="231F20"/>
          <w:spacing w:val="-3"/>
          <w:w w:val="120"/>
        </w:rPr>
        <w:t> </w:t>
      </w:r>
      <w:r>
        <w:rPr>
          <w:color w:val="231F20"/>
          <w:w w:val="120"/>
        </w:rPr>
        <w:t>et</w:t>
      </w:r>
      <w:r>
        <w:rPr>
          <w:color w:val="231F20"/>
          <w:spacing w:val="-3"/>
          <w:w w:val="120"/>
        </w:rPr>
        <w:t> </w:t>
      </w:r>
      <w:r>
        <w:rPr>
          <w:color w:val="231F20"/>
          <w:w w:val="120"/>
        </w:rPr>
        <w:t>qui</w:t>
      </w:r>
      <w:r>
        <w:rPr>
          <w:color w:val="231F20"/>
          <w:spacing w:val="-3"/>
          <w:w w:val="120"/>
        </w:rPr>
        <w:t> </w:t>
      </w:r>
      <w:r>
        <w:rPr>
          <w:color w:val="231F20"/>
          <w:w w:val="120"/>
        </w:rPr>
        <w:t>se</w:t>
      </w:r>
      <w:r>
        <w:rPr>
          <w:color w:val="231F20"/>
          <w:spacing w:val="-3"/>
          <w:w w:val="120"/>
        </w:rPr>
        <w:t> </w:t>
      </w:r>
      <w:r>
        <w:rPr>
          <w:color w:val="231F20"/>
          <w:w w:val="120"/>
        </w:rPr>
        <w:t>tourne</w:t>
      </w:r>
      <w:r>
        <w:rPr>
          <w:color w:val="231F20"/>
          <w:spacing w:val="-3"/>
          <w:w w:val="120"/>
        </w:rPr>
        <w:t> </w:t>
      </w:r>
      <w:r>
        <w:rPr>
          <w:color w:val="231F20"/>
          <w:w w:val="120"/>
        </w:rPr>
        <w:t>sans</w:t>
      </w:r>
      <w:r>
        <w:rPr>
          <w:color w:val="231F20"/>
          <w:spacing w:val="-3"/>
          <w:w w:val="120"/>
        </w:rPr>
        <w:t> </w:t>
      </w:r>
      <w:r>
        <w:rPr>
          <w:color w:val="231F20"/>
          <w:w w:val="120"/>
        </w:rPr>
        <w:t>équivoque</w:t>
      </w:r>
      <w:r>
        <w:rPr>
          <w:color w:val="231F20"/>
          <w:spacing w:val="-3"/>
          <w:w w:val="120"/>
        </w:rPr>
        <w:t> </w:t>
      </w:r>
      <w:r>
        <w:rPr>
          <w:color w:val="231F20"/>
          <w:w w:val="120"/>
        </w:rPr>
        <w:t>vers le changement et les situations marquées par le défi et la nouveauté.</w:t>
      </w:r>
    </w:p>
    <w:p>
      <w:pPr>
        <w:pStyle w:val="BodyText"/>
        <w:spacing w:line="307" w:lineRule="auto" w:before="79"/>
        <w:ind w:left="1220" w:right="102" w:firstLine="250"/>
        <w:jc w:val="both"/>
      </w:pPr>
      <w:r>
        <w:rPr>
          <w:color w:val="231F20"/>
          <w:spacing w:val="-2"/>
          <w:w w:val="120"/>
        </w:rPr>
        <w:t>Pour</w:t>
      </w:r>
      <w:r>
        <w:rPr>
          <w:color w:val="231F20"/>
          <w:spacing w:val="-7"/>
          <w:w w:val="120"/>
        </w:rPr>
        <w:t> </w:t>
      </w:r>
      <w:r>
        <w:rPr>
          <w:color w:val="231F20"/>
          <w:spacing w:val="-2"/>
          <w:w w:val="120"/>
        </w:rPr>
        <w:t>sa</w:t>
      </w:r>
      <w:r>
        <w:rPr>
          <w:color w:val="231F20"/>
          <w:spacing w:val="-7"/>
          <w:w w:val="120"/>
        </w:rPr>
        <w:t> </w:t>
      </w:r>
      <w:r>
        <w:rPr>
          <w:color w:val="231F20"/>
          <w:spacing w:val="-2"/>
          <w:w w:val="120"/>
        </w:rPr>
        <w:t>part,</w:t>
      </w:r>
      <w:r>
        <w:rPr>
          <w:color w:val="231F20"/>
          <w:spacing w:val="-7"/>
          <w:w w:val="120"/>
        </w:rPr>
        <w:t> </w:t>
      </w:r>
      <w:r>
        <w:rPr>
          <w:color w:val="231F20"/>
          <w:spacing w:val="-2"/>
          <w:w w:val="120"/>
        </w:rPr>
        <w:t>le</w:t>
      </w:r>
      <w:r>
        <w:rPr>
          <w:color w:val="231F20"/>
          <w:spacing w:val="-7"/>
          <w:w w:val="120"/>
        </w:rPr>
        <w:t> </w:t>
      </w:r>
      <w:r>
        <w:rPr>
          <w:color w:val="231F20"/>
          <w:spacing w:val="-2"/>
          <w:w w:val="120"/>
        </w:rPr>
        <w:t>modèle</w:t>
      </w:r>
      <w:r>
        <w:rPr>
          <w:color w:val="231F20"/>
          <w:spacing w:val="-7"/>
          <w:w w:val="120"/>
        </w:rPr>
        <w:t> </w:t>
      </w:r>
      <w:r>
        <w:rPr>
          <w:color w:val="231F20"/>
          <w:spacing w:val="-2"/>
          <w:w w:val="120"/>
        </w:rPr>
        <w:t>d’Antonovsky</w:t>
      </w:r>
      <w:r>
        <w:rPr>
          <w:color w:val="231F20"/>
          <w:spacing w:val="-7"/>
          <w:w w:val="120"/>
        </w:rPr>
        <w:t> </w:t>
      </w:r>
      <w:r>
        <w:rPr>
          <w:color w:val="231F20"/>
          <w:spacing w:val="-2"/>
          <w:w w:val="120"/>
        </w:rPr>
        <w:t>porte</w:t>
      </w:r>
      <w:r>
        <w:rPr>
          <w:color w:val="231F20"/>
          <w:spacing w:val="-7"/>
          <w:w w:val="120"/>
        </w:rPr>
        <w:t> </w:t>
      </w:r>
      <w:r>
        <w:rPr>
          <w:color w:val="231F20"/>
          <w:spacing w:val="-2"/>
          <w:w w:val="120"/>
        </w:rPr>
        <w:t>plus</w:t>
      </w:r>
      <w:r>
        <w:rPr>
          <w:color w:val="231F20"/>
          <w:spacing w:val="-7"/>
          <w:w w:val="120"/>
        </w:rPr>
        <w:t> </w:t>
      </w:r>
      <w:r>
        <w:rPr>
          <w:color w:val="231F20"/>
          <w:spacing w:val="-2"/>
          <w:w w:val="120"/>
        </w:rPr>
        <w:t>particulièrement</w:t>
      </w:r>
      <w:r>
        <w:rPr>
          <w:color w:val="231F20"/>
          <w:spacing w:val="-7"/>
          <w:w w:val="120"/>
        </w:rPr>
        <w:t> </w:t>
      </w:r>
      <w:r>
        <w:rPr>
          <w:color w:val="231F20"/>
          <w:spacing w:val="-2"/>
          <w:w w:val="120"/>
        </w:rPr>
        <w:t>sur </w:t>
      </w:r>
      <w:r>
        <w:rPr>
          <w:color w:val="231F20"/>
          <w:w w:val="120"/>
        </w:rPr>
        <w:t>les</w:t>
      </w:r>
      <w:r>
        <w:rPr>
          <w:color w:val="231F20"/>
          <w:spacing w:val="-10"/>
          <w:w w:val="120"/>
        </w:rPr>
        <w:t> </w:t>
      </w:r>
      <w:r>
        <w:rPr>
          <w:color w:val="231F20"/>
          <w:w w:val="120"/>
        </w:rPr>
        <w:t>variables</w:t>
      </w:r>
      <w:r>
        <w:rPr>
          <w:color w:val="231F20"/>
          <w:spacing w:val="-10"/>
          <w:w w:val="120"/>
        </w:rPr>
        <w:t> </w:t>
      </w:r>
      <w:r>
        <w:rPr>
          <w:color w:val="231F20"/>
          <w:w w:val="120"/>
        </w:rPr>
        <w:t>cognitives</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personne</w:t>
      </w:r>
      <w:r>
        <w:rPr>
          <w:color w:val="231F20"/>
          <w:spacing w:val="-10"/>
          <w:w w:val="120"/>
        </w:rPr>
        <w:t> </w:t>
      </w:r>
      <w:r>
        <w:rPr>
          <w:color w:val="231F20"/>
          <w:w w:val="120"/>
        </w:rPr>
        <w:t>qui,</w:t>
      </w:r>
      <w:r>
        <w:rPr>
          <w:color w:val="231F20"/>
          <w:spacing w:val="-10"/>
          <w:w w:val="120"/>
        </w:rPr>
        <w:t> </w:t>
      </w:r>
      <w:r>
        <w:rPr>
          <w:color w:val="231F20"/>
          <w:w w:val="120"/>
        </w:rPr>
        <w:t>dans</w:t>
      </w:r>
      <w:r>
        <w:rPr>
          <w:color w:val="231F20"/>
          <w:spacing w:val="-10"/>
          <w:w w:val="120"/>
        </w:rPr>
        <w:t> </w:t>
      </w:r>
      <w:r>
        <w:rPr>
          <w:color w:val="231F20"/>
          <w:w w:val="120"/>
        </w:rPr>
        <w:t>les</w:t>
      </w:r>
      <w:r>
        <w:rPr>
          <w:color w:val="231F20"/>
          <w:spacing w:val="-10"/>
          <w:w w:val="120"/>
        </w:rPr>
        <w:t> </w:t>
      </w:r>
      <w:r>
        <w:rPr>
          <w:color w:val="231F20"/>
          <w:w w:val="120"/>
        </w:rPr>
        <w:t>tâches</w:t>
      </w:r>
      <w:r>
        <w:rPr>
          <w:color w:val="231F20"/>
          <w:spacing w:val="-10"/>
          <w:w w:val="120"/>
        </w:rPr>
        <w:t> </w:t>
      </w:r>
      <w:r>
        <w:rPr>
          <w:color w:val="231F20"/>
          <w:w w:val="120"/>
        </w:rPr>
        <w:t>et</w:t>
      </w:r>
      <w:r>
        <w:rPr>
          <w:color w:val="231F20"/>
          <w:spacing w:val="-10"/>
          <w:w w:val="120"/>
        </w:rPr>
        <w:t> </w:t>
      </w:r>
      <w:r>
        <w:rPr>
          <w:color w:val="231F20"/>
          <w:w w:val="120"/>
        </w:rPr>
        <w:t>les</w:t>
      </w:r>
      <w:r>
        <w:rPr>
          <w:color w:val="231F20"/>
          <w:spacing w:val="-10"/>
          <w:w w:val="120"/>
        </w:rPr>
        <w:t> </w:t>
      </w:r>
      <w:r>
        <w:rPr>
          <w:color w:val="231F20"/>
          <w:w w:val="120"/>
        </w:rPr>
        <w:t>événe- ments</w:t>
      </w:r>
      <w:r>
        <w:rPr>
          <w:color w:val="231F20"/>
          <w:spacing w:val="-10"/>
          <w:w w:val="120"/>
        </w:rPr>
        <w:t> </w:t>
      </w:r>
      <w:r>
        <w:rPr>
          <w:color w:val="231F20"/>
          <w:w w:val="120"/>
        </w:rPr>
        <w:t>de</w:t>
      </w:r>
      <w:r>
        <w:rPr>
          <w:color w:val="231F20"/>
          <w:spacing w:val="-10"/>
          <w:w w:val="120"/>
        </w:rPr>
        <w:t> </w:t>
      </w:r>
      <w:r>
        <w:rPr>
          <w:color w:val="231F20"/>
          <w:w w:val="120"/>
        </w:rPr>
        <w:t>son</w:t>
      </w:r>
      <w:r>
        <w:rPr>
          <w:color w:val="231F20"/>
          <w:spacing w:val="-10"/>
          <w:w w:val="120"/>
        </w:rPr>
        <w:t> </w:t>
      </w:r>
      <w:r>
        <w:rPr>
          <w:color w:val="231F20"/>
          <w:w w:val="120"/>
        </w:rPr>
        <w:t>quotidien,</w:t>
      </w:r>
      <w:r>
        <w:rPr>
          <w:color w:val="231F20"/>
          <w:spacing w:val="-10"/>
          <w:w w:val="120"/>
        </w:rPr>
        <w:t> </w:t>
      </w:r>
      <w:r>
        <w:rPr>
          <w:color w:val="231F20"/>
          <w:w w:val="120"/>
        </w:rPr>
        <w:t>cherche</w:t>
      </w:r>
      <w:r>
        <w:rPr>
          <w:color w:val="231F20"/>
          <w:spacing w:val="-10"/>
          <w:w w:val="120"/>
        </w:rPr>
        <w:t> </w:t>
      </w:r>
      <w:r>
        <w:rPr>
          <w:color w:val="231F20"/>
          <w:w w:val="120"/>
        </w:rPr>
        <w:t>à</w:t>
      </w:r>
      <w:r>
        <w:rPr>
          <w:color w:val="231F20"/>
          <w:spacing w:val="-10"/>
          <w:w w:val="120"/>
        </w:rPr>
        <w:t> </w:t>
      </w:r>
      <w:r>
        <w:rPr>
          <w:color w:val="231F20"/>
          <w:w w:val="120"/>
        </w:rPr>
        <w:t>définir</w:t>
      </w:r>
      <w:r>
        <w:rPr>
          <w:color w:val="231F20"/>
          <w:spacing w:val="-10"/>
          <w:w w:val="120"/>
        </w:rPr>
        <w:t> </w:t>
      </w:r>
      <w:r>
        <w:rPr>
          <w:color w:val="231F20"/>
          <w:w w:val="120"/>
        </w:rPr>
        <w:t>un</w:t>
      </w:r>
      <w:r>
        <w:rPr>
          <w:color w:val="231F20"/>
          <w:spacing w:val="-10"/>
          <w:w w:val="120"/>
        </w:rPr>
        <w:t> </w:t>
      </w:r>
      <w:r>
        <w:rPr>
          <w:color w:val="231F20"/>
          <w:w w:val="120"/>
        </w:rPr>
        <w:t>cadre</w:t>
      </w:r>
      <w:r>
        <w:rPr>
          <w:color w:val="231F20"/>
          <w:spacing w:val="-10"/>
          <w:w w:val="120"/>
        </w:rPr>
        <w:t> </w:t>
      </w:r>
      <w:r>
        <w:rPr>
          <w:color w:val="231F20"/>
          <w:w w:val="120"/>
        </w:rPr>
        <w:t>d’analyse</w:t>
      </w:r>
      <w:r>
        <w:rPr>
          <w:color w:val="231F20"/>
          <w:spacing w:val="-10"/>
          <w:w w:val="120"/>
        </w:rPr>
        <w:t> </w:t>
      </w:r>
      <w:r>
        <w:rPr>
          <w:color w:val="231F20"/>
          <w:w w:val="120"/>
        </w:rPr>
        <w:t>global</w:t>
      </w:r>
      <w:r>
        <w:rPr>
          <w:color w:val="231F20"/>
          <w:spacing w:val="-10"/>
          <w:w w:val="120"/>
        </w:rPr>
        <w:t> </w:t>
      </w:r>
      <w:r>
        <w:rPr>
          <w:color w:val="231F20"/>
          <w:w w:val="120"/>
        </w:rPr>
        <w:t>des contextes,</w:t>
      </w:r>
      <w:r>
        <w:rPr>
          <w:color w:val="231F20"/>
          <w:spacing w:val="-11"/>
          <w:w w:val="120"/>
        </w:rPr>
        <w:t> </w:t>
      </w:r>
      <w:r>
        <w:rPr>
          <w:color w:val="231F20"/>
          <w:w w:val="120"/>
        </w:rPr>
        <w:t>à</w:t>
      </w:r>
      <w:r>
        <w:rPr>
          <w:color w:val="231F20"/>
          <w:spacing w:val="-11"/>
          <w:w w:val="120"/>
        </w:rPr>
        <w:t> </w:t>
      </w:r>
      <w:r>
        <w:rPr>
          <w:color w:val="231F20"/>
          <w:w w:val="120"/>
        </w:rPr>
        <w:t>gérer</w:t>
      </w:r>
      <w:r>
        <w:rPr>
          <w:color w:val="231F20"/>
          <w:spacing w:val="-11"/>
          <w:w w:val="120"/>
        </w:rPr>
        <w:t> </w:t>
      </w:r>
      <w:r>
        <w:rPr>
          <w:color w:val="231F20"/>
          <w:w w:val="120"/>
        </w:rPr>
        <w:t>les</w:t>
      </w:r>
      <w:r>
        <w:rPr>
          <w:color w:val="231F20"/>
          <w:spacing w:val="-11"/>
          <w:w w:val="120"/>
        </w:rPr>
        <w:t> </w:t>
      </w:r>
      <w:r>
        <w:rPr>
          <w:color w:val="231F20"/>
          <w:w w:val="120"/>
        </w:rPr>
        <w:t>événements</w:t>
      </w:r>
      <w:r>
        <w:rPr>
          <w:color w:val="231F20"/>
          <w:spacing w:val="-11"/>
          <w:w w:val="120"/>
        </w:rPr>
        <w:t> </w:t>
      </w:r>
      <w:r>
        <w:rPr>
          <w:color w:val="231F20"/>
          <w:w w:val="120"/>
        </w:rPr>
        <w:t>et</w:t>
      </w:r>
      <w:r>
        <w:rPr>
          <w:color w:val="231F20"/>
          <w:spacing w:val="-11"/>
          <w:w w:val="120"/>
        </w:rPr>
        <w:t> </w:t>
      </w:r>
      <w:r>
        <w:rPr>
          <w:color w:val="231F20"/>
          <w:w w:val="120"/>
        </w:rPr>
        <w:t>à</w:t>
      </w:r>
      <w:r>
        <w:rPr>
          <w:color w:val="231F20"/>
          <w:spacing w:val="-11"/>
          <w:w w:val="120"/>
        </w:rPr>
        <w:t> </w:t>
      </w:r>
      <w:r>
        <w:rPr>
          <w:color w:val="231F20"/>
          <w:w w:val="120"/>
        </w:rPr>
        <w:t>leur</w:t>
      </w:r>
      <w:r>
        <w:rPr>
          <w:color w:val="231F20"/>
          <w:spacing w:val="-11"/>
          <w:w w:val="120"/>
        </w:rPr>
        <w:t> </w:t>
      </w:r>
      <w:r>
        <w:rPr>
          <w:color w:val="231F20"/>
          <w:w w:val="120"/>
        </w:rPr>
        <w:t>donner</w:t>
      </w:r>
      <w:r>
        <w:rPr>
          <w:color w:val="231F20"/>
          <w:spacing w:val="-11"/>
          <w:w w:val="120"/>
        </w:rPr>
        <w:t> </w:t>
      </w:r>
      <w:r>
        <w:rPr>
          <w:color w:val="231F20"/>
          <w:w w:val="120"/>
        </w:rPr>
        <w:t>un</w:t>
      </w:r>
      <w:r>
        <w:rPr>
          <w:color w:val="231F20"/>
          <w:spacing w:val="-11"/>
          <w:w w:val="120"/>
        </w:rPr>
        <w:t> </w:t>
      </w:r>
      <w:r>
        <w:rPr>
          <w:color w:val="231F20"/>
          <w:w w:val="120"/>
        </w:rPr>
        <w:t>sens</w:t>
      </w:r>
      <w:r>
        <w:rPr>
          <w:color w:val="231F20"/>
          <w:spacing w:val="-11"/>
          <w:w w:val="120"/>
        </w:rPr>
        <w:t> </w:t>
      </w:r>
      <w:r>
        <w:rPr>
          <w:color w:val="231F20"/>
          <w:w w:val="120"/>
        </w:rPr>
        <w:t>dans</w:t>
      </w:r>
      <w:r>
        <w:rPr>
          <w:color w:val="231F20"/>
          <w:spacing w:val="-11"/>
          <w:w w:val="120"/>
        </w:rPr>
        <w:t> </w:t>
      </w:r>
      <w:r>
        <w:rPr>
          <w:color w:val="231F20"/>
          <w:w w:val="120"/>
        </w:rPr>
        <w:t>ce</w:t>
      </w:r>
      <w:r>
        <w:rPr>
          <w:color w:val="231F20"/>
          <w:spacing w:val="-11"/>
          <w:w w:val="120"/>
        </w:rPr>
        <w:t> </w:t>
      </w:r>
      <w:r>
        <w:rPr>
          <w:color w:val="231F20"/>
          <w:w w:val="120"/>
        </w:rPr>
        <w:t>cadre </w:t>
      </w:r>
      <w:r>
        <w:rPr>
          <w:color w:val="231F20"/>
          <w:w w:val="115"/>
        </w:rPr>
        <w:t>particulier</w:t>
      </w:r>
      <w:r>
        <w:rPr>
          <w:color w:val="231F20"/>
          <w:spacing w:val="-8"/>
          <w:w w:val="115"/>
        </w:rPr>
        <w:t> </w:t>
      </w:r>
      <w:r>
        <w:rPr>
          <w:color w:val="231F20"/>
          <w:w w:val="115"/>
        </w:rPr>
        <w:t>par</w:t>
      </w:r>
      <w:r>
        <w:rPr>
          <w:color w:val="231F20"/>
          <w:spacing w:val="-8"/>
          <w:w w:val="115"/>
        </w:rPr>
        <w:t> </w:t>
      </w:r>
      <w:r>
        <w:rPr>
          <w:color w:val="231F20"/>
          <w:w w:val="115"/>
        </w:rPr>
        <w:t>rapport</w:t>
      </w:r>
      <w:r>
        <w:rPr>
          <w:color w:val="231F20"/>
          <w:spacing w:val="-8"/>
          <w:w w:val="115"/>
        </w:rPr>
        <w:t> </w:t>
      </w:r>
      <w:r>
        <w:rPr>
          <w:color w:val="231F20"/>
          <w:w w:val="115"/>
        </w:rPr>
        <w:t>à</w:t>
      </w:r>
      <w:r>
        <w:rPr>
          <w:color w:val="231F20"/>
          <w:spacing w:val="-8"/>
          <w:w w:val="115"/>
        </w:rPr>
        <w:t> </w:t>
      </w:r>
      <w:r>
        <w:rPr>
          <w:color w:val="231F20"/>
          <w:w w:val="115"/>
        </w:rPr>
        <w:t>ses</w:t>
      </w:r>
      <w:r>
        <w:rPr>
          <w:color w:val="231F20"/>
          <w:spacing w:val="-8"/>
          <w:w w:val="115"/>
        </w:rPr>
        <w:t> </w:t>
      </w:r>
      <w:r>
        <w:rPr>
          <w:color w:val="231F20"/>
          <w:w w:val="115"/>
        </w:rPr>
        <w:t>valeurs</w:t>
      </w:r>
      <w:r>
        <w:rPr>
          <w:color w:val="231F20"/>
          <w:spacing w:val="-8"/>
          <w:w w:val="115"/>
        </w:rPr>
        <w:t> </w:t>
      </w:r>
      <w:r>
        <w:rPr>
          <w:color w:val="231F20"/>
          <w:w w:val="115"/>
        </w:rPr>
        <w:t>et</w:t>
      </w:r>
      <w:r>
        <w:rPr>
          <w:color w:val="231F20"/>
          <w:spacing w:val="-8"/>
          <w:w w:val="115"/>
        </w:rPr>
        <w:t> </w:t>
      </w:r>
      <w:r>
        <w:rPr>
          <w:color w:val="231F20"/>
          <w:w w:val="115"/>
        </w:rPr>
        <w:t>à</w:t>
      </w:r>
      <w:r>
        <w:rPr>
          <w:color w:val="231F20"/>
          <w:spacing w:val="-8"/>
          <w:w w:val="115"/>
        </w:rPr>
        <w:t> </w:t>
      </w:r>
      <w:r>
        <w:rPr>
          <w:color w:val="231F20"/>
          <w:w w:val="115"/>
        </w:rPr>
        <w:t>ses</w:t>
      </w:r>
      <w:r>
        <w:rPr>
          <w:color w:val="231F20"/>
          <w:spacing w:val="-8"/>
          <w:w w:val="115"/>
        </w:rPr>
        <w:t> </w:t>
      </w:r>
      <w:r>
        <w:rPr>
          <w:color w:val="231F20"/>
          <w:w w:val="115"/>
        </w:rPr>
        <w:t>croyances.</w:t>
      </w:r>
      <w:r>
        <w:rPr>
          <w:color w:val="231F20"/>
          <w:spacing w:val="-8"/>
          <w:w w:val="115"/>
        </w:rPr>
        <w:t> </w:t>
      </w:r>
      <w:r>
        <w:rPr>
          <w:color w:val="231F20"/>
          <w:w w:val="115"/>
        </w:rPr>
        <w:t>Sur</w:t>
      </w:r>
      <w:r>
        <w:rPr>
          <w:color w:val="231F20"/>
          <w:spacing w:val="-8"/>
          <w:w w:val="115"/>
        </w:rPr>
        <w:t> </w:t>
      </w:r>
      <w:r>
        <w:rPr>
          <w:color w:val="231F20"/>
          <w:w w:val="115"/>
        </w:rPr>
        <w:t>le</w:t>
      </w:r>
      <w:r>
        <w:rPr>
          <w:color w:val="231F20"/>
          <w:spacing w:val="-8"/>
          <w:w w:val="115"/>
        </w:rPr>
        <w:t> </w:t>
      </w:r>
      <w:r>
        <w:rPr>
          <w:color w:val="231F20"/>
          <w:w w:val="115"/>
        </w:rPr>
        <w:t>plan</w:t>
      </w:r>
      <w:r>
        <w:rPr>
          <w:color w:val="231F20"/>
          <w:spacing w:val="-8"/>
          <w:w w:val="115"/>
        </w:rPr>
        <w:t> </w:t>
      </w:r>
      <w:r>
        <w:rPr>
          <w:color w:val="231F20"/>
          <w:w w:val="115"/>
        </w:rPr>
        <w:t>concret, </w:t>
      </w:r>
      <w:r>
        <w:rPr>
          <w:color w:val="231F20"/>
          <w:w w:val="120"/>
        </w:rPr>
        <w:t>ce modèle renvoie à la capacité de comprendre et de gérer de même qu’à</w:t>
      </w:r>
      <w:r>
        <w:rPr>
          <w:color w:val="231F20"/>
          <w:spacing w:val="-9"/>
          <w:w w:val="120"/>
        </w:rPr>
        <w:t> </w:t>
      </w:r>
      <w:r>
        <w:rPr>
          <w:color w:val="231F20"/>
          <w:w w:val="120"/>
        </w:rPr>
        <w:t>la</w:t>
      </w:r>
      <w:r>
        <w:rPr>
          <w:color w:val="231F20"/>
          <w:spacing w:val="-8"/>
          <w:w w:val="120"/>
        </w:rPr>
        <w:t> </w:t>
      </w:r>
      <w:r>
        <w:rPr>
          <w:color w:val="231F20"/>
          <w:w w:val="120"/>
        </w:rPr>
        <w:t>signifiance.</w:t>
      </w:r>
      <w:r>
        <w:rPr>
          <w:color w:val="231F20"/>
          <w:spacing w:val="-8"/>
          <w:w w:val="120"/>
        </w:rPr>
        <w:t> </w:t>
      </w:r>
      <w:r>
        <w:rPr>
          <w:color w:val="231F20"/>
          <w:w w:val="120"/>
        </w:rPr>
        <w:t>Les</w:t>
      </w:r>
      <w:r>
        <w:rPr>
          <w:color w:val="231F20"/>
          <w:spacing w:val="-9"/>
          <w:w w:val="120"/>
        </w:rPr>
        <w:t> </w:t>
      </w:r>
      <w:r>
        <w:rPr>
          <w:color w:val="231F20"/>
          <w:w w:val="120"/>
        </w:rPr>
        <w:t>diverses</w:t>
      </w:r>
      <w:r>
        <w:rPr>
          <w:color w:val="231F20"/>
          <w:spacing w:val="-8"/>
          <w:w w:val="120"/>
        </w:rPr>
        <w:t> </w:t>
      </w:r>
      <w:r>
        <w:rPr>
          <w:color w:val="231F20"/>
          <w:w w:val="120"/>
        </w:rPr>
        <w:t>études</w:t>
      </w:r>
      <w:r>
        <w:rPr>
          <w:color w:val="231F20"/>
          <w:spacing w:val="-8"/>
          <w:w w:val="120"/>
        </w:rPr>
        <w:t> </w:t>
      </w:r>
      <w:r>
        <w:rPr>
          <w:color w:val="231F20"/>
          <w:w w:val="120"/>
        </w:rPr>
        <w:t>sur</w:t>
      </w:r>
      <w:r>
        <w:rPr>
          <w:color w:val="231F20"/>
          <w:spacing w:val="-8"/>
          <w:w w:val="120"/>
        </w:rPr>
        <w:t> </w:t>
      </w:r>
      <w:r>
        <w:rPr>
          <w:color w:val="231F20"/>
          <w:w w:val="120"/>
        </w:rPr>
        <w:t>la</w:t>
      </w:r>
      <w:r>
        <w:rPr>
          <w:color w:val="231F20"/>
          <w:spacing w:val="-8"/>
          <w:w w:val="120"/>
        </w:rPr>
        <w:t> </w:t>
      </w:r>
      <w:r>
        <w:rPr>
          <w:color w:val="231F20"/>
          <w:w w:val="120"/>
        </w:rPr>
        <w:t>santé</w:t>
      </w:r>
      <w:r>
        <w:rPr>
          <w:color w:val="231F20"/>
          <w:spacing w:val="-8"/>
          <w:w w:val="120"/>
        </w:rPr>
        <w:t> </w:t>
      </w:r>
      <w:r>
        <w:rPr>
          <w:color w:val="231F20"/>
          <w:w w:val="120"/>
        </w:rPr>
        <w:t>menées</w:t>
      </w:r>
      <w:r>
        <w:rPr>
          <w:color w:val="231F20"/>
          <w:spacing w:val="-8"/>
          <w:w w:val="120"/>
        </w:rPr>
        <w:t> </w:t>
      </w:r>
      <w:r>
        <w:rPr>
          <w:color w:val="231F20"/>
          <w:w w:val="120"/>
        </w:rPr>
        <w:t>en</w:t>
      </w:r>
      <w:r>
        <w:rPr>
          <w:color w:val="231F20"/>
          <w:spacing w:val="-8"/>
          <w:w w:val="120"/>
        </w:rPr>
        <w:t> </w:t>
      </w:r>
      <w:r>
        <w:rPr>
          <w:color w:val="231F20"/>
          <w:w w:val="120"/>
        </w:rPr>
        <w:t>fonction de ces deux modèles ont démontré que la personnalité résistante et le sens de la cohérence sont associés à un niveau relativement faible de symptomatologie psychologique et physique.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r>
        <w:rPr/>
        <w:pict>
          <v:shape style="position:absolute;margin-left:82pt;margin-top:11.767627pt;width:287.5pt;height:.1pt;mso-position-horizontal-relative:page;mso-position-vertical-relative:paragraph;z-index:-15671296;mso-wrap-distance-left:0;mso-wrap-distance-right:0" id="docshape739" coordorigin="1640,235" coordsize="5750,0" path="m1640,235l7390,235e" filled="false" stroked="true" strokeweight=".25pt" strokecolor="#231f20">
            <v:path arrowok="t"/>
            <v:stroke dashstyle="shortdot"/>
            <w10:wrap type="topAndBottom"/>
          </v:shape>
        </w:pict>
      </w:r>
    </w:p>
    <w:p>
      <w:pPr>
        <w:pStyle w:val="ListParagraph"/>
        <w:numPr>
          <w:ilvl w:val="0"/>
          <w:numId w:val="42"/>
        </w:numPr>
        <w:tabs>
          <w:tab w:pos="1220" w:val="left" w:leader="none"/>
        </w:tabs>
        <w:spacing w:line="295" w:lineRule="auto" w:before="135" w:after="0"/>
        <w:ind w:left="1219" w:right="106" w:hanging="406"/>
        <w:jc w:val="both"/>
        <w:rPr>
          <w:rFonts w:ascii="Arial"/>
          <w:sz w:val="12"/>
        </w:rPr>
      </w:pPr>
      <w:r>
        <w:rPr>
          <w:rFonts w:ascii="Arial"/>
          <w:color w:val="231F20"/>
          <w:w w:val="95"/>
          <w:sz w:val="12"/>
        </w:rPr>
        <w:t>Kobassa,</w:t>
      </w:r>
      <w:r>
        <w:rPr>
          <w:rFonts w:ascii="Arial"/>
          <w:color w:val="231F20"/>
          <w:spacing w:val="-7"/>
          <w:w w:val="95"/>
          <w:sz w:val="12"/>
        </w:rPr>
        <w:t> </w:t>
      </w:r>
      <w:r>
        <w:rPr>
          <w:rFonts w:ascii="Arial"/>
          <w:color w:val="231F20"/>
          <w:w w:val="95"/>
          <w:sz w:val="12"/>
        </w:rPr>
        <w:t>S.</w:t>
      </w:r>
      <w:r>
        <w:rPr>
          <w:rFonts w:ascii="Arial"/>
          <w:color w:val="231F20"/>
          <w:spacing w:val="-6"/>
          <w:w w:val="95"/>
          <w:sz w:val="12"/>
        </w:rPr>
        <w:t> </w:t>
      </w:r>
      <w:r>
        <w:rPr>
          <w:rFonts w:ascii="Arial"/>
          <w:color w:val="231F20"/>
          <w:w w:val="95"/>
          <w:sz w:val="12"/>
        </w:rPr>
        <w:t>(1982). The</w:t>
      </w:r>
      <w:r>
        <w:rPr>
          <w:rFonts w:ascii="Arial"/>
          <w:color w:val="231F20"/>
          <w:spacing w:val="-1"/>
          <w:w w:val="95"/>
          <w:sz w:val="12"/>
        </w:rPr>
        <w:t> </w:t>
      </w:r>
      <w:r>
        <w:rPr>
          <w:rFonts w:ascii="Arial"/>
          <w:color w:val="231F20"/>
          <w:w w:val="95"/>
          <w:sz w:val="12"/>
        </w:rPr>
        <w:t>hardy</w:t>
      </w:r>
      <w:r>
        <w:rPr>
          <w:rFonts w:ascii="Arial"/>
          <w:color w:val="231F20"/>
          <w:spacing w:val="-1"/>
          <w:w w:val="95"/>
          <w:sz w:val="12"/>
        </w:rPr>
        <w:t> </w:t>
      </w:r>
      <w:r>
        <w:rPr>
          <w:rFonts w:ascii="Arial"/>
          <w:color w:val="231F20"/>
          <w:w w:val="95"/>
          <w:sz w:val="12"/>
        </w:rPr>
        <w:t>personality</w:t>
      </w:r>
      <w:r>
        <w:rPr>
          <w:rFonts w:ascii="Arial"/>
          <w:color w:val="231F20"/>
          <w:spacing w:val="-7"/>
          <w:w w:val="95"/>
          <w:sz w:val="12"/>
        </w:rPr>
        <w:t> </w:t>
      </w:r>
      <w:r>
        <w:rPr>
          <w:rFonts w:ascii="Arial"/>
          <w:color w:val="231F20"/>
          <w:w w:val="95"/>
          <w:sz w:val="12"/>
        </w:rPr>
        <w:t>: Toward</w:t>
      </w:r>
      <w:r>
        <w:rPr>
          <w:rFonts w:ascii="Arial"/>
          <w:color w:val="231F20"/>
          <w:spacing w:val="-1"/>
          <w:w w:val="95"/>
          <w:sz w:val="12"/>
        </w:rPr>
        <w:t> </w:t>
      </w:r>
      <w:r>
        <w:rPr>
          <w:rFonts w:ascii="Arial"/>
          <w:color w:val="231F20"/>
          <w:w w:val="95"/>
          <w:sz w:val="12"/>
        </w:rPr>
        <w:t>a</w:t>
      </w:r>
      <w:r>
        <w:rPr>
          <w:rFonts w:ascii="Arial"/>
          <w:color w:val="231F20"/>
          <w:spacing w:val="-1"/>
          <w:w w:val="95"/>
          <w:sz w:val="12"/>
        </w:rPr>
        <w:t> </w:t>
      </w:r>
      <w:r>
        <w:rPr>
          <w:rFonts w:ascii="Arial"/>
          <w:color w:val="231F20"/>
          <w:w w:val="95"/>
          <w:sz w:val="12"/>
        </w:rPr>
        <w:t>social</w:t>
      </w:r>
      <w:r>
        <w:rPr>
          <w:rFonts w:ascii="Arial"/>
          <w:color w:val="231F20"/>
          <w:spacing w:val="-1"/>
          <w:w w:val="95"/>
          <w:sz w:val="12"/>
        </w:rPr>
        <w:t> </w:t>
      </w:r>
      <w:r>
        <w:rPr>
          <w:rFonts w:ascii="Arial"/>
          <w:color w:val="231F20"/>
          <w:w w:val="95"/>
          <w:sz w:val="12"/>
        </w:rPr>
        <w:t>psychology</w:t>
      </w:r>
      <w:r>
        <w:rPr>
          <w:rFonts w:ascii="Arial"/>
          <w:color w:val="231F20"/>
          <w:spacing w:val="-1"/>
          <w:w w:val="95"/>
          <w:sz w:val="12"/>
        </w:rPr>
        <w:t> </w:t>
      </w:r>
      <w:r>
        <w:rPr>
          <w:rFonts w:ascii="Arial"/>
          <w:color w:val="231F20"/>
          <w:w w:val="95"/>
          <w:sz w:val="12"/>
        </w:rPr>
        <w:t>of</w:t>
      </w:r>
      <w:r>
        <w:rPr>
          <w:rFonts w:ascii="Arial"/>
          <w:color w:val="231F20"/>
          <w:spacing w:val="-1"/>
          <w:w w:val="95"/>
          <w:sz w:val="12"/>
        </w:rPr>
        <w:t> </w:t>
      </w:r>
      <w:r>
        <w:rPr>
          <w:rFonts w:ascii="Arial"/>
          <w:color w:val="231F20"/>
          <w:w w:val="95"/>
          <w:sz w:val="12"/>
        </w:rPr>
        <w:t>stress</w:t>
      </w:r>
      <w:r>
        <w:rPr>
          <w:rFonts w:ascii="Arial"/>
          <w:color w:val="231F20"/>
          <w:spacing w:val="-1"/>
          <w:w w:val="95"/>
          <w:sz w:val="12"/>
        </w:rPr>
        <w:t> </w:t>
      </w:r>
      <w:r>
        <w:rPr>
          <w:rFonts w:ascii="Arial"/>
          <w:color w:val="231F20"/>
          <w:w w:val="95"/>
          <w:sz w:val="12"/>
        </w:rPr>
        <w:t>and</w:t>
      </w:r>
      <w:r>
        <w:rPr>
          <w:rFonts w:ascii="Arial"/>
          <w:color w:val="231F20"/>
          <w:spacing w:val="-1"/>
          <w:w w:val="95"/>
          <w:sz w:val="12"/>
        </w:rPr>
        <w:t> </w:t>
      </w:r>
      <w:r>
        <w:rPr>
          <w:rFonts w:ascii="Arial"/>
          <w:color w:val="231F20"/>
          <w:w w:val="95"/>
          <w:sz w:val="12"/>
        </w:rPr>
        <w:t>health.</w:t>
      </w:r>
      <w:r>
        <w:rPr>
          <w:rFonts w:ascii="Arial"/>
          <w:color w:val="231F20"/>
          <w:spacing w:val="-1"/>
          <w:w w:val="95"/>
          <w:sz w:val="12"/>
        </w:rPr>
        <w:t> </w:t>
      </w:r>
      <w:r>
        <w:rPr>
          <w:rFonts w:ascii="Arial"/>
          <w:color w:val="231F20"/>
          <w:w w:val="95"/>
          <w:sz w:val="12"/>
        </w:rPr>
        <w:t>Dans</w:t>
      </w:r>
      <w:r>
        <w:rPr>
          <w:rFonts w:ascii="Arial"/>
          <w:color w:val="231F20"/>
          <w:spacing w:val="-1"/>
          <w:w w:val="95"/>
          <w:sz w:val="12"/>
        </w:rPr>
        <w:t> </w:t>
      </w:r>
      <w:r>
        <w:rPr>
          <w:rFonts w:ascii="Arial"/>
          <w:color w:val="231F20"/>
          <w:w w:val="95"/>
          <w:sz w:val="12"/>
        </w:rPr>
        <w:t>G.</w:t>
      </w:r>
      <w:r>
        <w:rPr>
          <w:rFonts w:ascii="Arial"/>
          <w:color w:val="231F20"/>
          <w:spacing w:val="-1"/>
          <w:w w:val="95"/>
          <w:sz w:val="12"/>
        </w:rPr>
        <w:t> </w:t>
      </w:r>
      <w:r>
        <w:rPr>
          <w:rFonts w:ascii="Arial"/>
          <w:color w:val="231F20"/>
          <w:w w:val="95"/>
          <w:sz w:val="12"/>
        </w:rPr>
        <w:t>S.</w:t>
      </w:r>
      <w:r>
        <w:rPr>
          <w:rFonts w:ascii="Arial"/>
          <w:color w:val="231F20"/>
          <w:spacing w:val="-1"/>
          <w:w w:val="95"/>
          <w:sz w:val="12"/>
        </w:rPr>
        <w:t> </w:t>
      </w:r>
      <w:r>
        <w:rPr>
          <w:rFonts w:ascii="Arial"/>
          <w:color w:val="231F20"/>
          <w:w w:val="95"/>
          <w:sz w:val="12"/>
        </w:rPr>
        <w:t>Sanders</w:t>
      </w:r>
      <w:r>
        <w:rPr>
          <w:rFonts w:ascii="Arial"/>
          <w:color w:val="231F20"/>
          <w:spacing w:val="40"/>
          <w:sz w:val="12"/>
        </w:rPr>
        <w:t> </w:t>
      </w:r>
      <w:r>
        <w:rPr>
          <w:rFonts w:ascii="Arial"/>
          <w:color w:val="231F20"/>
          <w:sz w:val="12"/>
        </w:rPr>
        <w:t>et J. Suls (dir.), </w:t>
      </w:r>
      <w:r>
        <w:rPr>
          <w:rFonts w:ascii="Arial"/>
          <w:i/>
          <w:color w:val="231F20"/>
          <w:sz w:val="12"/>
        </w:rPr>
        <w:t>The Social Psychology of Health and Illness</w:t>
      </w:r>
      <w:r>
        <w:rPr>
          <w:rFonts w:ascii="Arial"/>
          <w:color w:val="231F20"/>
          <w:sz w:val="12"/>
        </w:rPr>
        <w:t>, Hillsdale, Erlbaum</w:t>
      </w:r>
      <w:r>
        <w:rPr>
          <w:rFonts w:ascii="Arial"/>
          <w:color w:val="231F20"/>
          <w:spacing w:val="-9"/>
          <w:sz w:val="12"/>
        </w:rPr>
        <w:t> </w:t>
      </w:r>
      <w:r>
        <w:rPr>
          <w:rFonts w:ascii="Arial"/>
          <w:color w:val="231F20"/>
          <w:sz w:val="12"/>
        </w:rPr>
        <w:t>; Antonovsky, A. (1987).</w:t>
      </w:r>
      <w:r>
        <w:rPr>
          <w:rFonts w:ascii="Arial"/>
          <w:color w:val="231F20"/>
          <w:spacing w:val="40"/>
          <w:sz w:val="12"/>
        </w:rPr>
        <w:t> </w:t>
      </w:r>
      <w:r>
        <w:rPr>
          <w:rFonts w:ascii="Arial"/>
          <w:i/>
          <w:color w:val="231F20"/>
          <w:sz w:val="12"/>
        </w:rPr>
        <w:t>Unraveling</w:t>
      </w:r>
      <w:r>
        <w:rPr>
          <w:rFonts w:ascii="Arial"/>
          <w:i/>
          <w:color w:val="231F20"/>
          <w:spacing w:val="-6"/>
          <w:sz w:val="12"/>
        </w:rPr>
        <w:t> </w:t>
      </w:r>
      <w:r>
        <w:rPr>
          <w:rFonts w:ascii="Arial"/>
          <w:i/>
          <w:color w:val="231F20"/>
          <w:sz w:val="12"/>
        </w:rPr>
        <w:t>the</w:t>
      </w:r>
      <w:r>
        <w:rPr>
          <w:rFonts w:ascii="Arial"/>
          <w:i/>
          <w:color w:val="231F20"/>
          <w:spacing w:val="-6"/>
          <w:sz w:val="12"/>
        </w:rPr>
        <w:t> </w:t>
      </w:r>
      <w:r>
        <w:rPr>
          <w:rFonts w:ascii="Arial"/>
          <w:i/>
          <w:color w:val="231F20"/>
          <w:sz w:val="12"/>
        </w:rPr>
        <w:t>Mystery</w:t>
      </w:r>
      <w:r>
        <w:rPr>
          <w:rFonts w:ascii="Arial"/>
          <w:i/>
          <w:color w:val="231F20"/>
          <w:spacing w:val="-6"/>
          <w:sz w:val="12"/>
        </w:rPr>
        <w:t> </w:t>
      </w:r>
      <w:r>
        <w:rPr>
          <w:rFonts w:ascii="Arial"/>
          <w:i/>
          <w:color w:val="231F20"/>
          <w:sz w:val="12"/>
        </w:rPr>
        <w:t>of</w:t>
      </w:r>
      <w:r>
        <w:rPr>
          <w:rFonts w:ascii="Arial"/>
          <w:i/>
          <w:color w:val="231F20"/>
          <w:spacing w:val="-6"/>
          <w:sz w:val="12"/>
        </w:rPr>
        <w:t> </w:t>
      </w:r>
      <w:r>
        <w:rPr>
          <w:rFonts w:ascii="Arial"/>
          <w:i/>
          <w:color w:val="231F20"/>
          <w:sz w:val="12"/>
        </w:rPr>
        <w:t>Health:</w:t>
      </w:r>
      <w:r>
        <w:rPr>
          <w:rFonts w:ascii="Arial"/>
          <w:i/>
          <w:color w:val="231F20"/>
          <w:spacing w:val="-6"/>
          <w:sz w:val="12"/>
        </w:rPr>
        <w:t> </w:t>
      </w:r>
      <w:r>
        <w:rPr>
          <w:rFonts w:ascii="Arial"/>
          <w:i/>
          <w:color w:val="231F20"/>
          <w:sz w:val="12"/>
        </w:rPr>
        <w:t>How</w:t>
      </w:r>
      <w:r>
        <w:rPr>
          <w:rFonts w:ascii="Arial"/>
          <w:i/>
          <w:color w:val="231F20"/>
          <w:spacing w:val="-6"/>
          <w:sz w:val="12"/>
        </w:rPr>
        <w:t> </w:t>
      </w:r>
      <w:r>
        <w:rPr>
          <w:rFonts w:ascii="Arial"/>
          <w:i/>
          <w:color w:val="231F20"/>
          <w:sz w:val="12"/>
        </w:rPr>
        <w:t>People</w:t>
      </w:r>
      <w:r>
        <w:rPr>
          <w:rFonts w:ascii="Arial"/>
          <w:i/>
          <w:color w:val="231F20"/>
          <w:spacing w:val="-6"/>
          <w:sz w:val="12"/>
        </w:rPr>
        <w:t> </w:t>
      </w:r>
      <w:r>
        <w:rPr>
          <w:rFonts w:ascii="Arial"/>
          <w:i/>
          <w:color w:val="231F20"/>
          <w:sz w:val="12"/>
        </w:rPr>
        <w:t>Manage</w:t>
      </w:r>
      <w:r>
        <w:rPr>
          <w:rFonts w:ascii="Arial"/>
          <w:i/>
          <w:color w:val="231F20"/>
          <w:spacing w:val="-6"/>
          <w:sz w:val="12"/>
        </w:rPr>
        <w:t> </w:t>
      </w:r>
      <w:r>
        <w:rPr>
          <w:rFonts w:ascii="Arial"/>
          <w:i/>
          <w:color w:val="231F20"/>
          <w:sz w:val="12"/>
        </w:rPr>
        <w:t>Stress</w:t>
      </w:r>
      <w:r>
        <w:rPr>
          <w:rFonts w:ascii="Arial"/>
          <w:i/>
          <w:color w:val="231F20"/>
          <w:spacing w:val="-6"/>
          <w:sz w:val="12"/>
        </w:rPr>
        <w:t> </w:t>
      </w:r>
      <w:r>
        <w:rPr>
          <w:rFonts w:ascii="Arial"/>
          <w:i/>
          <w:color w:val="231F20"/>
          <w:sz w:val="12"/>
        </w:rPr>
        <w:t>and</w:t>
      </w:r>
      <w:r>
        <w:rPr>
          <w:rFonts w:ascii="Arial"/>
          <w:i/>
          <w:color w:val="231F20"/>
          <w:spacing w:val="-6"/>
          <w:sz w:val="12"/>
        </w:rPr>
        <w:t> </w:t>
      </w:r>
      <w:r>
        <w:rPr>
          <w:rFonts w:ascii="Arial"/>
          <w:i/>
          <w:color w:val="231F20"/>
          <w:sz w:val="12"/>
        </w:rPr>
        <w:t>Stay</w:t>
      </w:r>
      <w:r>
        <w:rPr>
          <w:rFonts w:ascii="Arial"/>
          <w:i/>
          <w:color w:val="231F20"/>
          <w:spacing w:val="-6"/>
          <w:sz w:val="12"/>
        </w:rPr>
        <w:t> </w:t>
      </w:r>
      <w:r>
        <w:rPr>
          <w:rFonts w:ascii="Arial"/>
          <w:i/>
          <w:color w:val="231F20"/>
          <w:sz w:val="12"/>
        </w:rPr>
        <w:t>Well</w:t>
      </w:r>
      <w:r>
        <w:rPr>
          <w:rFonts w:ascii="Arial"/>
          <w:color w:val="231F20"/>
          <w:sz w:val="12"/>
        </w:rPr>
        <w:t>,</w:t>
      </w:r>
      <w:r>
        <w:rPr>
          <w:rFonts w:ascii="Arial"/>
          <w:color w:val="231F20"/>
          <w:spacing w:val="-6"/>
          <w:sz w:val="12"/>
        </w:rPr>
        <w:t> </w:t>
      </w:r>
      <w:r>
        <w:rPr>
          <w:rFonts w:ascii="Arial"/>
          <w:color w:val="231F20"/>
          <w:sz w:val="12"/>
        </w:rPr>
        <w:t>San</w:t>
      </w:r>
      <w:r>
        <w:rPr>
          <w:rFonts w:ascii="Arial"/>
          <w:color w:val="231F20"/>
          <w:spacing w:val="-6"/>
          <w:sz w:val="12"/>
        </w:rPr>
        <w:t> </w:t>
      </w:r>
      <w:r>
        <w:rPr>
          <w:rFonts w:ascii="Arial"/>
          <w:color w:val="231F20"/>
          <w:sz w:val="12"/>
        </w:rPr>
        <w:t>Francisco,</w:t>
      </w:r>
      <w:r>
        <w:rPr>
          <w:rFonts w:ascii="Arial"/>
          <w:color w:val="231F20"/>
          <w:spacing w:val="-6"/>
          <w:sz w:val="12"/>
        </w:rPr>
        <w:t> </w:t>
      </w:r>
      <w:r>
        <w:rPr>
          <w:rFonts w:ascii="Arial"/>
          <w:color w:val="231F20"/>
          <w:sz w:val="12"/>
        </w:rPr>
        <w:t>Jossey-Bass.</w:t>
      </w:r>
    </w:p>
    <w:p>
      <w:pPr>
        <w:pStyle w:val="ListParagraph"/>
        <w:numPr>
          <w:ilvl w:val="0"/>
          <w:numId w:val="42"/>
        </w:numPr>
        <w:tabs>
          <w:tab w:pos="1220" w:val="left" w:leader="none"/>
        </w:tabs>
        <w:spacing w:line="295" w:lineRule="auto" w:before="1" w:after="0"/>
        <w:ind w:left="1219" w:right="107" w:hanging="406"/>
        <w:jc w:val="both"/>
        <w:rPr>
          <w:rFonts w:ascii="Arial" w:hAnsi="Arial"/>
          <w:sz w:val="12"/>
        </w:rPr>
      </w:pPr>
      <w:r>
        <w:rPr>
          <w:rFonts w:ascii="Arial" w:hAnsi="Arial"/>
          <w:color w:val="231F20"/>
          <w:sz w:val="12"/>
        </w:rPr>
        <w:t>Bruchon-Schweitzer, M. et Boujut, É. (2014). </w:t>
      </w:r>
      <w:r>
        <w:rPr>
          <w:rFonts w:ascii="Arial" w:hAnsi="Arial"/>
          <w:i/>
          <w:color w:val="231F20"/>
          <w:sz w:val="12"/>
        </w:rPr>
        <w:t>Psychologie de la santé</w:t>
      </w:r>
      <w:r>
        <w:rPr>
          <w:rFonts w:ascii="Arial" w:hAnsi="Arial"/>
          <w:i/>
          <w:color w:val="231F20"/>
          <w:spacing w:val="-9"/>
          <w:sz w:val="12"/>
        </w:rPr>
        <w:t> </w:t>
      </w:r>
      <w:r>
        <w:rPr>
          <w:rFonts w:ascii="Arial" w:hAnsi="Arial"/>
          <w:i/>
          <w:color w:val="231F20"/>
          <w:sz w:val="12"/>
        </w:rPr>
        <w:t>: concepts, méthodes et modèles</w:t>
      </w:r>
      <w:r>
        <w:rPr>
          <w:rFonts w:ascii="Arial" w:hAnsi="Arial"/>
          <w:color w:val="231F20"/>
          <w:sz w:val="12"/>
        </w:rPr>
        <w:t>,</w:t>
      </w:r>
      <w:r>
        <w:rPr>
          <w:rFonts w:ascii="Arial" w:hAnsi="Arial"/>
          <w:color w:val="231F20"/>
          <w:spacing w:val="40"/>
          <w:sz w:val="12"/>
        </w:rPr>
        <w:t> </w:t>
      </w:r>
      <w:r>
        <w:rPr>
          <w:rFonts w:ascii="Arial" w:hAnsi="Arial"/>
          <w:color w:val="231F20"/>
          <w:sz w:val="12"/>
        </w:rPr>
        <w:t>Paris,</w:t>
      </w:r>
      <w:r>
        <w:rPr>
          <w:rFonts w:ascii="Arial" w:hAnsi="Arial"/>
          <w:color w:val="231F20"/>
          <w:spacing w:val="-9"/>
          <w:sz w:val="12"/>
        </w:rPr>
        <w:t> </w:t>
      </w:r>
      <w:r>
        <w:rPr>
          <w:rFonts w:ascii="Arial" w:hAnsi="Arial"/>
          <w:color w:val="231F20"/>
          <w:sz w:val="12"/>
        </w:rPr>
        <w:t>Dunod.</w:t>
      </w:r>
    </w:p>
    <w:p>
      <w:pPr>
        <w:spacing w:after="0" w:line="295" w:lineRule="auto"/>
        <w:jc w:val="both"/>
        <w:rPr>
          <w:rFonts w:ascii="Arial" w:hAnsi="Arial"/>
          <w:sz w:val="12"/>
        </w:rPr>
        <w:sectPr>
          <w:footerReference w:type="default" r:id="rId206"/>
          <w:pgSz w:w="8640" w:h="12960"/>
          <w:pgMar w:footer="424" w:header="0" w:top="500" w:bottom="620" w:left="420" w:right="1140"/>
        </w:sectPr>
      </w:pPr>
    </w:p>
    <w:p>
      <w:pPr>
        <w:spacing w:before="103"/>
        <w:ind w:left="1028" w:right="698" w:firstLine="0"/>
        <w:jc w:val="center"/>
        <w:rPr>
          <w:rFonts w:ascii="Arial" w:hAnsi="Arial"/>
          <w:sz w:val="14"/>
        </w:rPr>
      </w:pPr>
      <w:bookmarkStart w:name=" 3.3.5 / Personnalité de type « R »" w:id="106"/>
      <w:bookmarkEnd w:id="106"/>
      <w:r>
        <w:rPr/>
      </w:r>
      <w:bookmarkStart w:name="_bookmark45" w:id="107"/>
      <w:bookmarkEnd w:id="107"/>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rPr>
          <w:rFonts w:ascii="Arial"/>
          <w:sz w:val="29"/>
        </w:rPr>
      </w:pPr>
    </w:p>
    <w:p>
      <w:pPr>
        <w:pStyle w:val="Heading4"/>
        <w:numPr>
          <w:ilvl w:val="2"/>
          <w:numId w:val="44"/>
        </w:numPr>
        <w:tabs>
          <w:tab w:pos="529" w:val="left" w:leader="none"/>
          <w:tab w:pos="829" w:val="left" w:leader="none"/>
        </w:tabs>
        <w:spacing w:line="240" w:lineRule="auto" w:before="0" w:after="0"/>
        <w:ind w:left="528" w:right="0" w:hanging="394"/>
        <w:jc w:val="left"/>
      </w:pPr>
      <w:r>
        <w:rPr>
          <w:b w:val="0"/>
          <w:i/>
          <w:color w:val="231F20"/>
          <w:spacing w:val="-10"/>
        </w:rPr>
        <w:t>/</w:t>
      </w:r>
      <w:r>
        <w:rPr>
          <w:b w:val="0"/>
          <w:i/>
          <w:color w:val="231F20"/>
        </w:rPr>
        <w:tab/>
      </w:r>
      <w:r>
        <w:rPr>
          <w:color w:val="231F20"/>
          <w:w w:val="95"/>
        </w:rPr>
        <w:t>Personnalité</w:t>
      </w:r>
      <w:r>
        <w:rPr>
          <w:color w:val="231F20"/>
          <w:spacing w:val="-5"/>
          <w:w w:val="95"/>
        </w:rPr>
        <w:t> </w:t>
      </w:r>
      <w:r>
        <w:rPr>
          <w:color w:val="231F20"/>
          <w:w w:val="95"/>
        </w:rPr>
        <w:t>de</w:t>
      </w:r>
      <w:r>
        <w:rPr>
          <w:color w:val="231F20"/>
          <w:spacing w:val="-5"/>
          <w:w w:val="95"/>
        </w:rPr>
        <w:t> </w:t>
      </w:r>
      <w:r>
        <w:rPr>
          <w:color w:val="231F20"/>
          <w:w w:val="95"/>
        </w:rPr>
        <w:t>type</w:t>
      </w:r>
      <w:r>
        <w:rPr>
          <w:color w:val="231F20"/>
          <w:spacing w:val="-4"/>
          <w:w w:val="95"/>
        </w:rPr>
        <w:t> </w:t>
      </w:r>
      <w:r>
        <w:rPr>
          <w:color w:val="231F20"/>
          <w:w w:val="95"/>
        </w:rPr>
        <w:t>«</w:t>
      </w:r>
      <w:r>
        <w:rPr>
          <w:color w:val="231F20"/>
          <w:spacing w:val="-31"/>
          <w:w w:val="95"/>
        </w:rPr>
        <w:t> </w:t>
      </w:r>
      <w:r>
        <w:rPr>
          <w:color w:val="231F20"/>
          <w:w w:val="95"/>
        </w:rPr>
        <w:t>R</w:t>
      </w:r>
      <w:r>
        <w:rPr>
          <w:color w:val="231F20"/>
          <w:spacing w:val="-30"/>
          <w:w w:val="95"/>
        </w:rPr>
        <w:t> </w:t>
      </w:r>
      <w:r>
        <w:rPr>
          <w:color w:val="231F20"/>
          <w:spacing w:val="-10"/>
          <w:w w:val="95"/>
        </w:rPr>
        <w:t>»</w:t>
      </w:r>
    </w:p>
    <w:p>
      <w:pPr>
        <w:pStyle w:val="BodyText"/>
        <w:spacing w:line="307" w:lineRule="auto" w:before="234"/>
        <w:ind w:left="830" w:right="493"/>
        <w:jc w:val="both"/>
      </w:pPr>
      <w:r>
        <w:rPr>
          <w:color w:val="231F20"/>
          <w:w w:val="115"/>
        </w:rPr>
        <w:t>L’article</w:t>
      </w:r>
      <w:r>
        <w:rPr>
          <w:color w:val="231F20"/>
          <w:spacing w:val="-13"/>
          <w:w w:val="115"/>
        </w:rPr>
        <w:t> </w:t>
      </w:r>
      <w:r>
        <w:rPr>
          <w:color w:val="231F20"/>
          <w:w w:val="115"/>
        </w:rPr>
        <w:t>phare</w:t>
      </w:r>
      <w:r>
        <w:rPr>
          <w:color w:val="231F20"/>
          <w:spacing w:val="-12"/>
          <w:w w:val="115"/>
        </w:rPr>
        <w:t> </w:t>
      </w:r>
      <w:r>
        <w:rPr>
          <w:color w:val="231F20"/>
          <w:w w:val="115"/>
        </w:rPr>
        <w:t>écrit</w:t>
      </w:r>
      <w:r>
        <w:rPr>
          <w:color w:val="231F20"/>
          <w:spacing w:val="-12"/>
          <w:w w:val="115"/>
        </w:rPr>
        <w:t> </w:t>
      </w:r>
      <w:r>
        <w:rPr>
          <w:color w:val="231F20"/>
          <w:w w:val="115"/>
        </w:rPr>
        <w:t>par</w:t>
      </w:r>
      <w:r>
        <w:rPr>
          <w:color w:val="231F20"/>
          <w:spacing w:val="-12"/>
          <w:w w:val="115"/>
        </w:rPr>
        <w:t> </w:t>
      </w:r>
      <w:r>
        <w:rPr>
          <w:color w:val="231F20"/>
          <w:w w:val="115"/>
        </w:rPr>
        <w:t>Zuckerman</w:t>
      </w:r>
      <w:r>
        <w:rPr>
          <w:color w:val="231F20"/>
          <w:spacing w:val="-7"/>
          <w:w w:val="115"/>
        </w:rPr>
        <w:t> </w:t>
      </w:r>
      <w:r>
        <w:rPr>
          <w:color w:val="231F20"/>
          <w:w w:val="115"/>
        </w:rPr>
        <w:t>en</w:t>
      </w:r>
      <w:r>
        <w:rPr>
          <w:color w:val="231F20"/>
          <w:spacing w:val="-8"/>
          <w:w w:val="115"/>
        </w:rPr>
        <w:t> </w:t>
      </w:r>
      <w:r>
        <w:rPr>
          <w:color w:val="231F20"/>
          <w:w w:val="115"/>
        </w:rPr>
        <w:t>1971</w:t>
      </w:r>
      <w:r>
        <w:rPr>
          <w:color w:val="231F20"/>
          <w:spacing w:val="-8"/>
          <w:w w:val="115"/>
        </w:rPr>
        <w:t> </w:t>
      </w:r>
      <w:r>
        <w:rPr>
          <w:color w:val="231F20"/>
          <w:w w:val="115"/>
        </w:rPr>
        <w:t>sur</w:t>
      </w:r>
      <w:r>
        <w:rPr>
          <w:color w:val="231F20"/>
          <w:spacing w:val="-8"/>
          <w:w w:val="115"/>
        </w:rPr>
        <w:t> </w:t>
      </w:r>
      <w:r>
        <w:rPr>
          <w:color w:val="231F20"/>
          <w:w w:val="115"/>
        </w:rPr>
        <w:t>les</w:t>
      </w:r>
      <w:r>
        <w:rPr>
          <w:color w:val="231F20"/>
          <w:spacing w:val="-8"/>
          <w:w w:val="115"/>
        </w:rPr>
        <w:t> </w:t>
      </w:r>
      <w:r>
        <w:rPr>
          <w:color w:val="231F20"/>
          <w:w w:val="115"/>
        </w:rPr>
        <w:t>«</w:t>
      </w:r>
      <w:r>
        <w:rPr>
          <w:color w:val="231F20"/>
          <w:spacing w:val="-13"/>
          <w:w w:val="115"/>
        </w:rPr>
        <w:t> </w:t>
      </w:r>
      <w:r>
        <w:rPr>
          <w:color w:val="231F20"/>
          <w:w w:val="115"/>
        </w:rPr>
        <w:t>chercheurs</w:t>
      </w:r>
      <w:r>
        <w:rPr>
          <w:color w:val="231F20"/>
          <w:spacing w:val="-7"/>
          <w:w w:val="115"/>
        </w:rPr>
        <w:t> </w:t>
      </w:r>
      <w:r>
        <w:rPr>
          <w:color w:val="231F20"/>
          <w:w w:val="115"/>
        </w:rPr>
        <w:t>de</w:t>
      </w:r>
      <w:r>
        <w:rPr>
          <w:color w:val="231F20"/>
          <w:spacing w:val="-8"/>
          <w:w w:val="115"/>
        </w:rPr>
        <w:t> </w:t>
      </w:r>
      <w:r>
        <w:rPr>
          <w:color w:val="231F20"/>
          <w:w w:val="115"/>
        </w:rPr>
        <w:t>sensa- tions» se classe parmi les 50 ouvrages les plus influents de l’histoire de</w:t>
      </w:r>
      <w:r>
        <w:rPr>
          <w:color w:val="231F20"/>
          <w:spacing w:val="40"/>
          <w:w w:val="115"/>
        </w:rPr>
        <w:t> </w:t>
      </w:r>
      <w:r>
        <w:rPr>
          <w:color w:val="231F20"/>
          <w:w w:val="115"/>
        </w:rPr>
        <w:t>la</w:t>
      </w:r>
      <w:r>
        <w:rPr>
          <w:color w:val="231F20"/>
          <w:spacing w:val="-13"/>
          <w:w w:val="115"/>
        </w:rPr>
        <w:t> </w:t>
      </w:r>
      <w:r>
        <w:rPr>
          <w:color w:val="231F20"/>
          <w:w w:val="115"/>
        </w:rPr>
        <w:t>psychologie,</w:t>
      </w:r>
      <w:r>
        <w:rPr>
          <w:color w:val="231F20"/>
          <w:spacing w:val="-12"/>
          <w:w w:val="115"/>
        </w:rPr>
        <w:t> </w:t>
      </w:r>
      <w:r>
        <w:rPr>
          <w:color w:val="231F20"/>
          <w:w w:val="115"/>
        </w:rPr>
        <w:t>avec</w:t>
      </w:r>
      <w:r>
        <w:rPr>
          <w:color w:val="231F20"/>
          <w:spacing w:val="-12"/>
          <w:w w:val="115"/>
        </w:rPr>
        <w:t> </w:t>
      </w:r>
      <w:r>
        <w:rPr>
          <w:color w:val="231F20"/>
          <w:w w:val="115"/>
        </w:rPr>
        <w:t>les</w:t>
      </w:r>
      <w:r>
        <w:rPr>
          <w:color w:val="231F20"/>
          <w:spacing w:val="-12"/>
          <w:w w:val="115"/>
        </w:rPr>
        <w:t> </w:t>
      </w:r>
      <w:r>
        <w:rPr>
          <w:color w:val="231F20"/>
          <w:w w:val="115"/>
        </w:rPr>
        <w:t>travaux</w:t>
      </w:r>
      <w:r>
        <w:rPr>
          <w:color w:val="231F20"/>
          <w:spacing w:val="-13"/>
          <w:w w:val="115"/>
        </w:rPr>
        <w:t> </w:t>
      </w:r>
      <w:r>
        <w:rPr>
          <w:color w:val="231F20"/>
          <w:w w:val="115"/>
        </w:rPr>
        <w:t>d’éminents</w:t>
      </w:r>
      <w:r>
        <w:rPr>
          <w:color w:val="231F20"/>
          <w:spacing w:val="-12"/>
          <w:w w:val="115"/>
        </w:rPr>
        <w:t> </w:t>
      </w:r>
      <w:r>
        <w:rPr>
          <w:color w:val="231F20"/>
          <w:w w:val="115"/>
        </w:rPr>
        <w:t>chercheurs</w:t>
      </w:r>
      <w:r>
        <w:rPr>
          <w:color w:val="231F20"/>
          <w:spacing w:val="-12"/>
          <w:w w:val="115"/>
        </w:rPr>
        <w:t> </w:t>
      </w:r>
      <w:r>
        <w:rPr>
          <w:color w:val="231F20"/>
          <w:w w:val="115"/>
        </w:rPr>
        <w:t>tels</w:t>
      </w:r>
      <w:r>
        <w:rPr>
          <w:color w:val="231F20"/>
          <w:spacing w:val="-12"/>
          <w:w w:val="115"/>
        </w:rPr>
        <w:t> </w:t>
      </w:r>
      <w:r>
        <w:rPr>
          <w:color w:val="231F20"/>
          <w:w w:val="115"/>
        </w:rPr>
        <w:t>Freud,</w:t>
      </w:r>
      <w:r>
        <w:rPr>
          <w:color w:val="231F20"/>
          <w:spacing w:val="-12"/>
          <w:w w:val="115"/>
        </w:rPr>
        <w:t> </w:t>
      </w:r>
      <w:r>
        <w:rPr>
          <w:color w:val="231F20"/>
          <w:w w:val="115"/>
        </w:rPr>
        <w:t>Skinner ou</w:t>
      </w:r>
      <w:r>
        <w:rPr>
          <w:color w:val="231F20"/>
          <w:spacing w:val="-13"/>
          <w:w w:val="115"/>
        </w:rPr>
        <w:t> </w:t>
      </w:r>
      <w:r>
        <w:rPr>
          <w:color w:val="231F20"/>
          <w:w w:val="115"/>
        </w:rPr>
        <w:t>Piaget12.</w:t>
      </w:r>
      <w:r>
        <w:rPr>
          <w:color w:val="231F20"/>
          <w:spacing w:val="-12"/>
          <w:w w:val="115"/>
        </w:rPr>
        <w:t> </w:t>
      </w:r>
      <w:r>
        <w:rPr>
          <w:color w:val="231F20"/>
          <w:w w:val="115"/>
        </w:rPr>
        <w:t>Dans</w:t>
      </w:r>
      <w:r>
        <w:rPr>
          <w:color w:val="231F20"/>
          <w:spacing w:val="-12"/>
          <w:w w:val="115"/>
        </w:rPr>
        <w:t> </w:t>
      </w:r>
      <w:r>
        <w:rPr>
          <w:color w:val="231F20"/>
          <w:w w:val="115"/>
        </w:rPr>
        <w:t>ses</w:t>
      </w:r>
      <w:r>
        <w:rPr>
          <w:color w:val="231F20"/>
          <w:spacing w:val="-12"/>
          <w:w w:val="115"/>
        </w:rPr>
        <w:t> </w:t>
      </w:r>
      <w:r>
        <w:rPr>
          <w:color w:val="231F20"/>
          <w:w w:val="115"/>
        </w:rPr>
        <w:t>écrits,</w:t>
      </w:r>
      <w:r>
        <w:rPr>
          <w:color w:val="231F20"/>
          <w:spacing w:val="-13"/>
          <w:w w:val="115"/>
        </w:rPr>
        <w:t> </w:t>
      </w:r>
      <w:r>
        <w:rPr>
          <w:color w:val="231F20"/>
          <w:w w:val="115"/>
        </w:rPr>
        <w:t>il</w:t>
      </w:r>
      <w:r>
        <w:rPr>
          <w:color w:val="231F20"/>
          <w:spacing w:val="-12"/>
          <w:w w:val="115"/>
        </w:rPr>
        <w:t> </w:t>
      </w:r>
      <w:r>
        <w:rPr>
          <w:color w:val="231F20"/>
          <w:w w:val="115"/>
        </w:rPr>
        <w:t>a</w:t>
      </w:r>
      <w:r>
        <w:rPr>
          <w:color w:val="231F20"/>
          <w:spacing w:val="-12"/>
          <w:w w:val="115"/>
        </w:rPr>
        <w:t> </w:t>
      </w:r>
      <w:r>
        <w:rPr>
          <w:color w:val="231F20"/>
          <w:w w:val="115"/>
        </w:rPr>
        <w:t>élaboré</w:t>
      </w:r>
      <w:r>
        <w:rPr>
          <w:color w:val="231F20"/>
          <w:spacing w:val="-12"/>
          <w:w w:val="115"/>
        </w:rPr>
        <w:t> </w:t>
      </w:r>
      <w:r>
        <w:rPr>
          <w:color w:val="231F20"/>
          <w:w w:val="115"/>
        </w:rPr>
        <w:t>un</w:t>
      </w:r>
      <w:r>
        <w:rPr>
          <w:color w:val="231F20"/>
          <w:spacing w:val="-12"/>
          <w:w w:val="115"/>
        </w:rPr>
        <w:t> </w:t>
      </w:r>
      <w:r>
        <w:rPr>
          <w:color w:val="231F20"/>
          <w:w w:val="115"/>
        </w:rPr>
        <w:t>outil</w:t>
      </w:r>
      <w:r>
        <w:rPr>
          <w:color w:val="231F20"/>
          <w:spacing w:val="-13"/>
          <w:w w:val="115"/>
        </w:rPr>
        <w:t> </w:t>
      </w:r>
      <w:r>
        <w:rPr>
          <w:color w:val="231F20"/>
          <w:w w:val="115"/>
        </w:rPr>
        <w:t>d’évaluation</w:t>
      </w:r>
      <w:r>
        <w:rPr>
          <w:color w:val="231F20"/>
          <w:spacing w:val="-12"/>
          <w:w w:val="115"/>
        </w:rPr>
        <w:t> </w:t>
      </w:r>
      <w:r>
        <w:rPr>
          <w:color w:val="231F20"/>
          <w:w w:val="115"/>
        </w:rPr>
        <w:t>de</w:t>
      </w:r>
      <w:r>
        <w:rPr>
          <w:color w:val="231F20"/>
          <w:spacing w:val="-12"/>
          <w:w w:val="115"/>
        </w:rPr>
        <w:t> </w:t>
      </w:r>
      <w:r>
        <w:rPr>
          <w:color w:val="231F20"/>
          <w:w w:val="115"/>
        </w:rPr>
        <w:t>la</w:t>
      </w:r>
      <w:r>
        <w:rPr>
          <w:color w:val="231F20"/>
          <w:spacing w:val="-12"/>
          <w:w w:val="115"/>
        </w:rPr>
        <w:t> </w:t>
      </w:r>
      <w:r>
        <w:rPr>
          <w:color w:val="231F20"/>
          <w:w w:val="115"/>
        </w:rPr>
        <w:t>person- nalité,</w:t>
      </w:r>
      <w:r>
        <w:rPr>
          <w:color w:val="231F20"/>
          <w:spacing w:val="-13"/>
          <w:w w:val="115"/>
        </w:rPr>
        <w:t> </w:t>
      </w:r>
      <w:r>
        <w:rPr>
          <w:color w:val="231F20"/>
          <w:w w:val="115"/>
        </w:rPr>
        <w:t>l’«</w:t>
      </w:r>
      <w:r>
        <w:rPr>
          <w:color w:val="231F20"/>
          <w:spacing w:val="-12"/>
          <w:w w:val="115"/>
        </w:rPr>
        <w:t> </w:t>
      </w:r>
      <w:r>
        <w:rPr>
          <w:color w:val="231F20"/>
          <w:w w:val="115"/>
        </w:rPr>
        <w:t>échelle</w:t>
      </w:r>
      <w:r>
        <w:rPr>
          <w:color w:val="231F20"/>
          <w:spacing w:val="-12"/>
          <w:w w:val="115"/>
        </w:rPr>
        <w:t> </w:t>
      </w:r>
      <w:r>
        <w:rPr>
          <w:color w:val="231F20"/>
          <w:w w:val="115"/>
        </w:rPr>
        <w:t>de</w:t>
      </w:r>
      <w:r>
        <w:rPr>
          <w:color w:val="231F20"/>
          <w:spacing w:val="-7"/>
          <w:w w:val="115"/>
        </w:rPr>
        <w:t> </w:t>
      </w:r>
      <w:r>
        <w:rPr>
          <w:color w:val="231F20"/>
          <w:w w:val="115"/>
        </w:rPr>
        <w:t>recherche</w:t>
      </w:r>
      <w:r>
        <w:rPr>
          <w:color w:val="231F20"/>
          <w:spacing w:val="-5"/>
          <w:w w:val="115"/>
        </w:rPr>
        <w:t> </w:t>
      </w:r>
      <w:r>
        <w:rPr>
          <w:color w:val="231F20"/>
          <w:w w:val="115"/>
        </w:rPr>
        <w:t>des</w:t>
      </w:r>
      <w:r>
        <w:rPr>
          <w:color w:val="231F20"/>
          <w:spacing w:val="-5"/>
          <w:w w:val="115"/>
        </w:rPr>
        <w:t> </w:t>
      </w:r>
      <w:r>
        <w:rPr>
          <w:color w:val="231F20"/>
          <w:w w:val="115"/>
        </w:rPr>
        <w:t>sensations»,</w:t>
      </w:r>
      <w:r>
        <w:rPr>
          <w:color w:val="231F20"/>
          <w:spacing w:val="-5"/>
          <w:w w:val="115"/>
        </w:rPr>
        <w:t> </w:t>
      </w:r>
      <w:r>
        <w:rPr>
          <w:color w:val="231F20"/>
          <w:w w:val="115"/>
        </w:rPr>
        <w:t>qu’on</w:t>
      </w:r>
      <w:r>
        <w:rPr>
          <w:color w:val="231F20"/>
          <w:spacing w:val="-5"/>
          <w:w w:val="115"/>
        </w:rPr>
        <w:t> </w:t>
      </w:r>
      <w:r>
        <w:rPr>
          <w:color w:val="231F20"/>
          <w:w w:val="115"/>
        </w:rPr>
        <w:t>appelle</w:t>
      </w:r>
      <w:r>
        <w:rPr>
          <w:color w:val="231F20"/>
          <w:spacing w:val="-5"/>
          <w:w w:val="115"/>
        </w:rPr>
        <w:t> </w:t>
      </w:r>
      <w:r>
        <w:rPr>
          <w:color w:val="231F20"/>
          <w:w w:val="115"/>
        </w:rPr>
        <w:t>simplement aujourd’hui l’</w:t>
      </w:r>
      <w:r>
        <w:rPr>
          <w:i/>
          <w:color w:val="231F20"/>
          <w:w w:val="115"/>
        </w:rPr>
        <w:t>Échelle de Zuckerman</w:t>
      </w:r>
      <w:r>
        <w:rPr>
          <w:color w:val="231F20"/>
          <w:w w:val="115"/>
        </w:rPr>
        <w:t>13. En invitant les répondants à indi- quer</w:t>
      </w:r>
      <w:r>
        <w:rPr>
          <w:color w:val="231F20"/>
          <w:spacing w:val="-13"/>
          <w:w w:val="115"/>
        </w:rPr>
        <w:t> </w:t>
      </w:r>
      <w:r>
        <w:rPr>
          <w:color w:val="231F20"/>
          <w:w w:val="115"/>
        </w:rPr>
        <w:t>s’ils</w:t>
      </w:r>
      <w:r>
        <w:rPr>
          <w:color w:val="231F20"/>
          <w:spacing w:val="-3"/>
          <w:w w:val="115"/>
        </w:rPr>
        <w:t> </w:t>
      </w:r>
      <w:r>
        <w:rPr>
          <w:color w:val="231F20"/>
          <w:w w:val="115"/>
        </w:rPr>
        <w:t>étaient d’accord ou non avec des énoncés tels que «</w:t>
      </w:r>
      <w:r>
        <w:rPr>
          <w:color w:val="231F20"/>
          <w:spacing w:val="-13"/>
          <w:w w:val="115"/>
        </w:rPr>
        <w:t> </w:t>
      </w:r>
      <w:r>
        <w:rPr>
          <w:i/>
          <w:color w:val="231F20"/>
          <w:w w:val="115"/>
        </w:rPr>
        <w:t>j’aime bien </w:t>
      </w:r>
      <w:r>
        <w:rPr>
          <w:i/>
          <w:color w:val="231F20"/>
          <w:spacing w:val="-2"/>
          <w:w w:val="115"/>
        </w:rPr>
        <w:t>faire</w:t>
      </w:r>
      <w:r>
        <w:rPr>
          <w:i/>
          <w:color w:val="231F20"/>
          <w:spacing w:val="-11"/>
          <w:w w:val="115"/>
        </w:rPr>
        <w:t> </w:t>
      </w:r>
      <w:r>
        <w:rPr>
          <w:i/>
          <w:color w:val="231F20"/>
          <w:spacing w:val="-2"/>
          <w:w w:val="115"/>
        </w:rPr>
        <w:t>parfois</w:t>
      </w:r>
      <w:r>
        <w:rPr>
          <w:i/>
          <w:color w:val="231F20"/>
          <w:spacing w:val="-10"/>
          <w:w w:val="115"/>
        </w:rPr>
        <w:t> </w:t>
      </w:r>
      <w:r>
        <w:rPr>
          <w:i/>
          <w:color w:val="231F20"/>
          <w:spacing w:val="-2"/>
          <w:w w:val="115"/>
        </w:rPr>
        <w:t>des</w:t>
      </w:r>
      <w:r>
        <w:rPr>
          <w:i/>
          <w:color w:val="231F20"/>
          <w:spacing w:val="-10"/>
          <w:w w:val="115"/>
        </w:rPr>
        <w:t> </w:t>
      </w:r>
      <w:r>
        <w:rPr>
          <w:i/>
          <w:color w:val="231F20"/>
          <w:spacing w:val="-2"/>
          <w:w w:val="115"/>
        </w:rPr>
        <w:t>activités</w:t>
      </w:r>
      <w:r>
        <w:rPr>
          <w:i/>
          <w:color w:val="231F20"/>
          <w:spacing w:val="-6"/>
          <w:w w:val="115"/>
        </w:rPr>
        <w:t> </w:t>
      </w:r>
      <w:r>
        <w:rPr>
          <w:i/>
          <w:color w:val="231F20"/>
          <w:spacing w:val="-2"/>
          <w:w w:val="115"/>
        </w:rPr>
        <w:t>quelque peu dangereuses</w:t>
      </w:r>
      <w:r>
        <w:rPr>
          <w:i/>
          <w:color w:val="231F20"/>
          <w:spacing w:val="-11"/>
          <w:w w:val="115"/>
        </w:rPr>
        <w:t> </w:t>
      </w:r>
      <w:r>
        <w:rPr>
          <w:color w:val="231F20"/>
          <w:spacing w:val="-2"/>
          <w:w w:val="115"/>
        </w:rPr>
        <w:t>» ou «</w:t>
      </w:r>
      <w:r>
        <w:rPr>
          <w:color w:val="231F20"/>
          <w:spacing w:val="-11"/>
          <w:w w:val="115"/>
        </w:rPr>
        <w:t> </w:t>
      </w:r>
      <w:r>
        <w:rPr>
          <w:i/>
          <w:color w:val="231F20"/>
          <w:spacing w:val="-2"/>
          <w:w w:val="115"/>
        </w:rPr>
        <w:t>j’aime bien faire </w:t>
      </w:r>
      <w:r>
        <w:rPr>
          <w:i/>
          <w:color w:val="231F20"/>
          <w:w w:val="115"/>
        </w:rPr>
        <w:t>des</w:t>
      </w:r>
      <w:r>
        <w:rPr>
          <w:i/>
          <w:color w:val="231F20"/>
          <w:spacing w:val="-13"/>
          <w:w w:val="115"/>
        </w:rPr>
        <w:t> </w:t>
      </w:r>
      <w:r>
        <w:rPr>
          <w:i/>
          <w:color w:val="231F20"/>
          <w:w w:val="115"/>
        </w:rPr>
        <w:t>activités justes pour vivre une sensation forte</w:t>
      </w:r>
      <w:r>
        <w:rPr>
          <w:i/>
          <w:color w:val="231F20"/>
          <w:spacing w:val="-13"/>
          <w:w w:val="115"/>
        </w:rPr>
        <w:t> </w:t>
      </w:r>
      <w:r>
        <w:rPr>
          <w:color w:val="231F20"/>
          <w:w w:val="115"/>
        </w:rPr>
        <w:t>», cette échelle aide les psychologues à mesurer la tendance à rechercher les sensations. La per- sonne possédant la personnalité du chercheur de sensations, identifiée pour la</w:t>
      </w:r>
      <w:r>
        <w:rPr>
          <w:color w:val="231F20"/>
          <w:spacing w:val="1"/>
          <w:w w:val="115"/>
        </w:rPr>
        <w:t> </w:t>
      </w:r>
      <w:r>
        <w:rPr>
          <w:color w:val="231F20"/>
          <w:w w:val="115"/>
        </w:rPr>
        <w:t>première</w:t>
      </w:r>
      <w:r>
        <w:rPr>
          <w:color w:val="231F20"/>
          <w:spacing w:val="1"/>
          <w:w w:val="115"/>
        </w:rPr>
        <w:t> </w:t>
      </w:r>
      <w:r>
        <w:rPr>
          <w:color w:val="231F20"/>
          <w:w w:val="115"/>
        </w:rPr>
        <w:t>fois par</w:t>
      </w:r>
      <w:r>
        <w:rPr>
          <w:color w:val="231F20"/>
          <w:spacing w:val="1"/>
          <w:w w:val="115"/>
        </w:rPr>
        <w:t> </w:t>
      </w:r>
      <w:r>
        <w:rPr>
          <w:color w:val="231F20"/>
          <w:w w:val="115"/>
        </w:rPr>
        <w:t>Zuckerman</w:t>
      </w:r>
      <w:r>
        <w:rPr>
          <w:color w:val="231F20"/>
          <w:spacing w:val="1"/>
          <w:w w:val="115"/>
        </w:rPr>
        <w:t> </w:t>
      </w:r>
      <w:r>
        <w:rPr>
          <w:color w:val="231F20"/>
          <w:w w:val="115"/>
        </w:rPr>
        <w:t>en 1964,</w:t>
      </w:r>
      <w:r>
        <w:rPr>
          <w:color w:val="231F20"/>
          <w:spacing w:val="1"/>
          <w:w w:val="115"/>
        </w:rPr>
        <w:t> </w:t>
      </w:r>
      <w:r>
        <w:rPr>
          <w:color w:val="231F20"/>
          <w:w w:val="115"/>
        </w:rPr>
        <w:t>éprouve</w:t>
      </w:r>
      <w:r>
        <w:rPr>
          <w:color w:val="231F20"/>
          <w:spacing w:val="1"/>
          <w:w w:val="115"/>
        </w:rPr>
        <w:t> </w:t>
      </w:r>
      <w:r>
        <w:rPr>
          <w:color w:val="231F20"/>
          <w:w w:val="115"/>
        </w:rPr>
        <w:t>le besoin</w:t>
      </w:r>
      <w:r>
        <w:rPr>
          <w:color w:val="231F20"/>
          <w:spacing w:val="1"/>
          <w:w w:val="115"/>
        </w:rPr>
        <w:t> </w:t>
      </w:r>
      <w:r>
        <w:rPr>
          <w:color w:val="231F20"/>
          <w:w w:val="115"/>
        </w:rPr>
        <w:t>de</w:t>
      </w:r>
      <w:r>
        <w:rPr>
          <w:color w:val="231F20"/>
          <w:spacing w:val="1"/>
          <w:w w:val="115"/>
        </w:rPr>
        <w:t> </w:t>
      </w:r>
      <w:r>
        <w:rPr>
          <w:color w:val="231F20"/>
          <w:spacing w:val="-4"/>
          <w:w w:val="115"/>
        </w:rPr>
        <w:t>vivre</w:t>
      </w:r>
    </w:p>
    <w:p>
      <w:pPr>
        <w:pStyle w:val="BodyText"/>
        <w:spacing w:line="307" w:lineRule="auto"/>
        <w:ind w:left="830" w:right="491"/>
        <w:jc w:val="both"/>
      </w:pPr>
      <w:r>
        <w:rPr>
          <w:color w:val="231F20"/>
          <w:w w:val="115"/>
        </w:rPr>
        <w:t>«</w:t>
      </w:r>
      <w:r>
        <w:rPr>
          <w:color w:val="231F20"/>
          <w:spacing w:val="-13"/>
          <w:w w:val="115"/>
        </w:rPr>
        <w:t> </w:t>
      </w:r>
      <w:r>
        <w:rPr>
          <w:color w:val="231F20"/>
          <w:w w:val="115"/>
        </w:rPr>
        <w:t>des</w:t>
      </w:r>
      <w:r>
        <w:rPr>
          <w:color w:val="231F20"/>
          <w:spacing w:val="-12"/>
          <w:w w:val="115"/>
        </w:rPr>
        <w:t> </w:t>
      </w:r>
      <w:r>
        <w:rPr>
          <w:color w:val="231F20"/>
          <w:w w:val="115"/>
        </w:rPr>
        <w:t>sensations</w:t>
      </w:r>
      <w:r>
        <w:rPr>
          <w:color w:val="231F20"/>
          <w:spacing w:val="-12"/>
          <w:w w:val="115"/>
        </w:rPr>
        <w:t> </w:t>
      </w:r>
      <w:r>
        <w:rPr>
          <w:color w:val="231F20"/>
          <w:w w:val="115"/>
        </w:rPr>
        <w:t>et</w:t>
      </w:r>
      <w:r>
        <w:rPr>
          <w:color w:val="231F20"/>
          <w:spacing w:val="-12"/>
          <w:w w:val="115"/>
        </w:rPr>
        <w:t> </w:t>
      </w:r>
      <w:r>
        <w:rPr>
          <w:color w:val="231F20"/>
          <w:w w:val="115"/>
        </w:rPr>
        <w:t>expériences</w:t>
      </w:r>
      <w:r>
        <w:rPr>
          <w:color w:val="231F20"/>
          <w:spacing w:val="-13"/>
          <w:w w:val="115"/>
        </w:rPr>
        <w:t> </w:t>
      </w:r>
      <w:r>
        <w:rPr>
          <w:color w:val="231F20"/>
          <w:w w:val="115"/>
        </w:rPr>
        <w:t>variées,</w:t>
      </w:r>
      <w:r>
        <w:rPr>
          <w:color w:val="231F20"/>
          <w:spacing w:val="-12"/>
          <w:w w:val="115"/>
        </w:rPr>
        <w:t> </w:t>
      </w:r>
      <w:r>
        <w:rPr>
          <w:color w:val="231F20"/>
          <w:w w:val="115"/>
        </w:rPr>
        <w:t>nouvelles,</w:t>
      </w:r>
      <w:r>
        <w:rPr>
          <w:color w:val="231F20"/>
          <w:spacing w:val="-11"/>
          <w:w w:val="115"/>
        </w:rPr>
        <w:t> </w:t>
      </w:r>
      <w:r>
        <w:rPr>
          <w:color w:val="231F20"/>
          <w:w w:val="115"/>
        </w:rPr>
        <w:t>complexes</w:t>
      </w:r>
      <w:r>
        <w:rPr>
          <w:color w:val="231F20"/>
          <w:spacing w:val="-8"/>
          <w:w w:val="115"/>
        </w:rPr>
        <w:t> </w:t>
      </w:r>
      <w:r>
        <w:rPr>
          <w:color w:val="231F20"/>
          <w:w w:val="115"/>
        </w:rPr>
        <w:t>et</w:t>
      </w:r>
      <w:r>
        <w:rPr>
          <w:color w:val="231F20"/>
          <w:spacing w:val="-9"/>
          <w:w w:val="115"/>
        </w:rPr>
        <w:t> </w:t>
      </w:r>
      <w:r>
        <w:rPr>
          <w:color w:val="231F20"/>
          <w:w w:val="115"/>
        </w:rPr>
        <w:t>intenses». </w:t>
      </w:r>
      <w:r>
        <w:rPr>
          <w:color w:val="231F20"/>
          <w:w w:val="120"/>
        </w:rPr>
        <w:t>Les</w:t>
      </w:r>
      <w:r>
        <w:rPr>
          <w:color w:val="231F20"/>
          <w:spacing w:val="-6"/>
          <w:w w:val="120"/>
        </w:rPr>
        <w:t> </w:t>
      </w:r>
      <w:r>
        <w:rPr>
          <w:color w:val="231F20"/>
          <w:w w:val="120"/>
        </w:rPr>
        <w:t>études</w:t>
      </w:r>
      <w:r>
        <w:rPr>
          <w:color w:val="231F20"/>
          <w:spacing w:val="-6"/>
          <w:w w:val="120"/>
        </w:rPr>
        <w:t> </w:t>
      </w:r>
      <w:r>
        <w:rPr>
          <w:color w:val="231F20"/>
          <w:w w:val="120"/>
        </w:rPr>
        <w:t>menées</w:t>
      </w:r>
      <w:r>
        <w:rPr>
          <w:color w:val="231F20"/>
          <w:spacing w:val="-6"/>
          <w:w w:val="120"/>
        </w:rPr>
        <w:t> </w:t>
      </w:r>
      <w:r>
        <w:rPr>
          <w:color w:val="231F20"/>
          <w:w w:val="120"/>
        </w:rPr>
        <w:t>par</w:t>
      </w:r>
      <w:r>
        <w:rPr>
          <w:color w:val="231F20"/>
          <w:spacing w:val="-6"/>
          <w:w w:val="120"/>
        </w:rPr>
        <w:t> </w:t>
      </w:r>
      <w:r>
        <w:rPr>
          <w:color w:val="231F20"/>
          <w:w w:val="120"/>
        </w:rPr>
        <w:t>Zuckerman</w:t>
      </w:r>
      <w:r>
        <w:rPr>
          <w:color w:val="231F20"/>
          <w:spacing w:val="-6"/>
          <w:w w:val="120"/>
        </w:rPr>
        <w:t> </w:t>
      </w:r>
      <w:r>
        <w:rPr>
          <w:color w:val="231F20"/>
          <w:w w:val="120"/>
        </w:rPr>
        <w:t>sur</w:t>
      </w:r>
      <w:r>
        <w:rPr>
          <w:color w:val="231F20"/>
          <w:spacing w:val="-6"/>
          <w:w w:val="120"/>
        </w:rPr>
        <w:t> </w:t>
      </w:r>
      <w:r>
        <w:rPr>
          <w:color w:val="231F20"/>
          <w:w w:val="120"/>
        </w:rPr>
        <w:t>les</w:t>
      </w:r>
      <w:r>
        <w:rPr>
          <w:color w:val="231F20"/>
          <w:spacing w:val="-6"/>
          <w:w w:val="120"/>
        </w:rPr>
        <w:t> </w:t>
      </w:r>
      <w:r>
        <w:rPr>
          <w:color w:val="231F20"/>
          <w:w w:val="120"/>
        </w:rPr>
        <w:t>chercheurs</w:t>
      </w:r>
      <w:r>
        <w:rPr>
          <w:color w:val="231F20"/>
          <w:spacing w:val="-6"/>
          <w:w w:val="120"/>
        </w:rPr>
        <w:t> </w:t>
      </w:r>
      <w:r>
        <w:rPr>
          <w:color w:val="231F20"/>
          <w:w w:val="120"/>
        </w:rPr>
        <w:t>de</w:t>
      </w:r>
      <w:r>
        <w:rPr>
          <w:color w:val="231F20"/>
          <w:spacing w:val="-6"/>
          <w:w w:val="120"/>
        </w:rPr>
        <w:t> </w:t>
      </w:r>
      <w:r>
        <w:rPr>
          <w:color w:val="231F20"/>
          <w:w w:val="120"/>
        </w:rPr>
        <w:t>sensations</w:t>
      </w:r>
      <w:r>
        <w:rPr>
          <w:color w:val="231F20"/>
          <w:spacing w:val="-6"/>
          <w:w w:val="120"/>
        </w:rPr>
        <w:t> </w:t>
      </w:r>
      <w:r>
        <w:rPr>
          <w:color w:val="231F20"/>
          <w:w w:val="120"/>
        </w:rPr>
        <w:t>ont eu</w:t>
      </w:r>
      <w:r>
        <w:rPr>
          <w:color w:val="231F20"/>
          <w:spacing w:val="32"/>
          <w:w w:val="120"/>
        </w:rPr>
        <w:t> </w:t>
      </w:r>
      <w:r>
        <w:rPr>
          <w:color w:val="231F20"/>
          <w:w w:val="120"/>
        </w:rPr>
        <w:t>de</w:t>
      </w:r>
      <w:r>
        <w:rPr>
          <w:color w:val="231F20"/>
          <w:spacing w:val="32"/>
          <w:w w:val="120"/>
        </w:rPr>
        <w:t> </w:t>
      </w:r>
      <w:r>
        <w:rPr>
          <w:color w:val="231F20"/>
          <w:w w:val="120"/>
        </w:rPr>
        <w:t>fortes</w:t>
      </w:r>
      <w:r>
        <w:rPr>
          <w:color w:val="231F20"/>
          <w:spacing w:val="32"/>
          <w:w w:val="120"/>
        </w:rPr>
        <w:t> </w:t>
      </w:r>
      <w:r>
        <w:rPr>
          <w:color w:val="231F20"/>
          <w:w w:val="120"/>
        </w:rPr>
        <w:t>répercussions</w:t>
      </w:r>
      <w:r>
        <w:rPr>
          <w:color w:val="231F20"/>
          <w:spacing w:val="32"/>
          <w:w w:val="120"/>
        </w:rPr>
        <w:t> </w:t>
      </w:r>
      <w:r>
        <w:rPr>
          <w:color w:val="231F20"/>
          <w:w w:val="120"/>
        </w:rPr>
        <w:t>sur</w:t>
      </w:r>
      <w:r>
        <w:rPr>
          <w:color w:val="231F20"/>
          <w:spacing w:val="32"/>
          <w:w w:val="120"/>
        </w:rPr>
        <w:t> </w:t>
      </w:r>
      <w:r>
        <w:rPr>
          <w:color w:val="231F20"/>
          <w:w w:val="120"/>
        </w:rPr>
        <w:t>notre</w:t>
      </w:r>
      <w:r>
        <w:rPr>
          <w:color w:val="231F20"/>
          <w:spacing w:val="32"/>
          <w:w w:val="120"/>
        </w:rPr>
        <w:t> </w:t>
      </w:r>
      <w:r>
        <w:rPr>
          <w:color w:val="231F20"/>
          <w:w w:val="120"/>
        </w:rPr>
        <w:t>façon</w:t>
      </w:r>
      <w:r>
        <w:rPr>
          <w:color w:val="231F20"/>
          <w:spacing w:val="32"/>
          <w:w w:val="120"/>
        </w:rPr>
        <w:t> </w:t>
      </w:r>
      <w:r>
        <w:rPr>
          <w:color w:val="231F20"/>
          <w:w w:val="120"/>
        </w:rPr>
        <w:t>de</w:t>
      </w:r>
      <w:r>
        <w:rPr>
          <w:color w:val="231F20"/>
          <w:spacing w:val="32"/>
          <w:w w:val="120"/>
        </w:rPr>
        <w:t> </w:t>
      </w:r>
      <w:r>
        <w:rPr>
          <w:color w:val="231F20"/>
          <w:w w:val="120"/>
        </w:rPr>
        <w:t>comprendre</w:t>
      </w:r>
      <w:r>
        <w:rPr>
          <w:color w:val="231F20"/>
          <w:spacing w:val="32"/>
          <w:w w:val="120"/>
        </w:rPr>
        <w:t> </w:t>
      </w:r>
      <w:r>
        <w:rPr>
          <w:color w:val="231F20"/>
          <w:w w:val="120"/>
        </w:rPr>
        <w:t>les</w:t>
      </w:r>
      <w:r>
        <w:rPr>
          <w:color w:val="231F20"/>
          <w:spacing w:val="32"/>
          <w:w w:val="120"/>
        </w:rPr>
        <w:t> </w:t>
      </w:r>
      <w:r>
        <w:rPr>
          <w:color w:val="231F20"/>
          <w:w w:val="120"/>
        </w:rPr>
        <w:t>traits de</w:t>
      </w:r>
      <w:r>
        <w:rPr>
          <w:color w:val="231F20"/>
          <w:spacing w:val="-13"/>
          <w:w w:val="120"/>
        </w:rPr>
        <w:t> </w:t>
      </w:r>
      <w:r>
        <w:rPr>
          <w:color w:val="231F20"/>
          <w:w w:val="120"/>
        </w:rPr>
        <w:t>personnalité.</w:t>
      </w:r>
    </w:p>
    <w:p>
      <w:pPr>
        <w:pStyle w:val="BodyText"/>
        <w:spacing w:line="307" w:lineRule="auto" w:before="77"/>
        <w:ind w:left="830" w:right="491" w:firstLine="250"/>
        <w:jc w:val="both"/>
      </w:pPr>
      <w:r>
        <w:rPr>
          <w:color w:val="231F20"/>
          <w:w w:val="115"/>
        </w:rPr>
        <w:t>Mise</w:t>
      </w:r>
      <w:r>
        <w:rPr>
          <w:color w:val="231F20"/>
          <w:spacing w:val="-5"/>
          <w:w w:val="115"/>
        </w:rPr>
        <w:t> </w:t>
      </w:r>
      <w:r>
        <w:rPr>
          <w:color w:val="231F20"/>
          <w:w w:val="115"/>
        </w:rPr>
        <w:t>au</w:t>
      </w:r>
      <w:r>
        <w:rPr>
          <w:color w:val="231F20"/>
          <w:spacing w:val="-5"/>
          <w:w w:val="115"/>
        </w:rPr>
        <w:t> </w:t>
      </w:r>
      <w:r>
        <w:rPr>
          <w:color w:val="231F20"/>
          <w:w w:val="115"/>
        </w:rPr>
        <w:t>point</w:t>
      </w:r>
      <w:r>
        <w:rPr>
          <w:color w:val="231F20"/>
          <w:spacing w:val="-5"/>
          <w:w w:val="115"/>
        </w:rPr>
        <w:t> </w:t>
      </w:r>
      <w:r>
        <w:rPr>
          <w:color w:val="231F20"/>
          <w:w w:val="115"/>
        </w:rPr>
        <w:t>il</w:t>
      </w:r>
      <w:r>
        <w:rPr>
          <w:color w:val="231F20"/>
          <w:spacing w:val="-5"/>
          <w:w w:val="115"/>
        </w:rPr>
        <w:t> </w:t>
      </w:r>
      <w:r>
        <w:rPr>
          <w:color w:val="231F20"/>
          <w:w w:val="115"/>
        </w:rPr>
        <w:t>y</w:t>
      </w:r>
      <w:r>
        <w:rPr>
          <w:color w:val="231F20"/>
          <w:spacing w:val="-5"/>
          <w:w w:val="115"/>
        </w:rPr>
        <w:t> </w:t>
      </w:r>
      <w:r>
        <w:rPr>
          <w:color w:val="231F20"/>
          <w:w w:val="115"/>
        </w:rPr>
        <w:t>a</w:t>
      </w:r>
      <w:r>
        <w:rPr>
          <w:color w:val="231F20"/>
          <w:spacing w:val="-5"/>
          <w:w w:val="115"/>
        </w:rPr>
        <w:t> </w:t>
      </w:r>
      <w:r>
        <w:rPr>
          <w:color w:val="231F20"/>
          <w:w w:val="115"/>
        </w:rPr>
        <w:t>près</w:t>
      </w:r>
      <w:r>
        <w:rPr>
          <w:color w:val="231F20"/>
          <w:spacing w:val="-5"/>
          <w:w w:val="115"/>
        </w:rPr>
        <w:t> </w:t>
      </w:r>
      <w:r>
        <w:rPr>
          <w:color w:val="231F20"/>
          <w:w w:val="115"/>
        </w:rPr>
        <w:t>de</w:t>
      </w:r>
      <w:r>
        <w:rPr>
          <w:color w:val="231F20"/>
          <w:spacing w:val="-5"/>
          <w:w w:val="115"/>
        </w:rPr>
        <w:t> </w:t>
      </w:r>
      <w:r>
        <w:rPr>
          <w:color w:val="231F20"/>
          <w:w w:val="115"/>
        </w:rPr>
        <w:t>60</w:t>
      </w:r>
      <w:r>
        <w:rPr>
          <w:color w:val="231F20"/>
          <w:spacing w:val="-5"/>
          <w:w w:val="115"/>
        </w:rPr>
        <w:t> </w:t>
      </w:r>
      <w:r>
        <w:rPr>
          <w:color w:val="231F20"/>
          <w:w w:val="115"/>
        </w:rPr>
        <w:t>ans,</w:t>
      </w:r>
      <w:r>
        <w:rPr>
          <w:color w:val="231F20"/>
          <w:spacing w:val="-5"/>
          <w:w w:val="115"/>
        </w:rPr>
        <w:t> </w:t>
      </w:r>
      <w:r>
        <w:rPr>
          <w:color w:val="231F20"/>
          <w:w w:val="115"/>
        </w:rPr>
        <w:t>la</w:t>
      </w:r>
      <w:r>
        <w:rPr>
          <w:color w:val="231F20"/>
          <w:spacing w:val="-5"/>
          <w:w w:val="115"/>
        </w:rPr>
        <w:t> </w:t>
      </w:r>
      <w:r>
        <w:rPr>
          <w:color w:val="231F20"/>
          <w:w w:val="115"/>
        </w:rPr>
        <w:t>première</w:t>
      </w:r>
      <w:r>
        <w:rPr>
          <w:color w:val="231F20"/>
          <w:spacing w:val="-5"/>
          <w:w w:val="115"/>
        </w:rPr>
        <w:t> </w:t>
      </w:r>
      <w:r>
        <w:rPr>
          <w:color w:val="231F20"/>
          <w:w w:val="115"/>
        </w:rPr>
        <w:t>version</w:t>
      </w:r>
      <w:r>
        <w:rPr>
          <w:color w:val="231F20"/>
          <w:spacing w:val="-5"/>
          <w:w w:val="115"/>
        </w:rPr>
        <w:t> </w:t>
      </w:r>
      <w:r>
        <w:rPr>
          <w:color w:val="231F20"/>
          <w:w w:val="115"/>
        </w:rPr>
        <w:t>de</w:t>
      </w:r>
      <w:r>
        <w:rPr>
          <w:color w:val="231F20"/>
          <w:spacing w:val="-5"/>
          <w:w w:val="115"/>
        </w:rPr>
        <w:t> </w:t>
      </w:r>
      <w:r>
        <w:rPr>
          <w:color w:val="231F20"/>
          <w:w w:val="115"/>
        </w:rPr>
        <w:t>cette</w:t>
      </w:r>
      <w:r>
        <w:rPr>
          <w:color w:val="231F20"/>
          <w:spacing w:val="-5"/>
          <w:w w:val="115"/>
        </w:rPr>
        <w:t> </w:t>
      </w:r>
      <w:r>
        <w:rPr>
          <w:color w:val="231F20"/>
          <w:w w:val="115"/>
        </w:rPr>
        <w:t>échelle </w:t>
      </w:r>
      <w:r>
        <w:rPr>
          <w:color w:val="231F20"/>
          <w:spacing w:val="-2"/>
          <w:w w:val="120"/>
        </w:rPr>
        <w:t>devait</w:t>
      </w:r>
      <w:r>
        <w:rPr>
          <w:color w:val="231F20"/>
          <w:spacing w:val="-7"/>
          <w:w w:val="120"/>
        </w:rPr>
        <w:t> </w:t>
      </w:r>
      <w:r>
        <w:rPr>
          <w:color w:val="231F20"/>
          <w:spacing w:val="-2"/>
          <w:w w:val="120"/>
        </w:rPr>
        <w:t>servir</w:t>
      </w:r>
      <w:r>
        <w:rPr>
          <w:color w:val="231F20"/>
          <w:spacing w:val="-7"/>
          <w:w w:val="120"/>
        </w:rPr>
        <w:t> </w:t>
      </w:r>
      <w:r>
        <w:rPr>
          <w:color w:val="231F20"/>
          <w:spacing w:val="-2"/>
          <w:w w:val="120"/>
        </w:rPr>
        <w:t>à</w:t>
      </w:r>
      <w:r>
        <w:rPr>
          <w:color w:val="231F20"/>
          <w:spacing w:val="-7"/>
          <w:w w:val="120"/>
        </w:rPr>
        <w:t> </w:t>
      </w:r>
      <w:r>
        <w:rPr>
          <w:color w:val="231F20"/>
          <w:spacing w:val="-2"/>
          <w:w w:val="120"/>
        </w:rPr>
        <w:t>prédire</w:t>
      </w:r>
      <w:r>
        <w:rPr>
          <w:color w:val="231F20"/>
          <w:spacing w:val="-7"/>
          <w:w w:val="120"/>
        </w:rPr>
        <w:t> </w:t>
      </w:r>
      <w:r>
        <w:rPr>
          <w:color w:val="231F20"/>
          <w:spacing w:val="-2"/>
          <w:w w:val="120"/>
        </w:rPr>
        <w:t>la</w:t>
      </w:r>
      <w:r>
        <w:rPr>
          <w:color w:val="231F20"/>
          <w:spacing w:val="-7"/>
          <w:w w:val="120"/>
        </w:rPr>
        <w:t> </w:t>
      </w:r>
      <w:r>
        <w:rPr>
          <w:color w:val="231F20"/>
          <w:spacing w:val="-2"/>
          <w:w w:val="120"/>
        </w:rPr>
        <w:t>réponse</w:t>
      </w:r>
      <w:r>
        <w:rPr>
          <w:color w:val="231F20"/>
          <w:spacing w:val="-7"/>
          <w:w w:val="120"/>
        </w:rPr>
        <w:t> </w:t>
      </w:r>
      <w:r>
        <w:rPr>
          <w:color w:val="231F20"/>
          <w:spacing w:val="-2"/>
          <w:w w:val="120"/>
        </w:rPr>
        <w:t>d’un</w:t>
      </w:r>
      <w:r>
        <w:rPr>
          <w:color w:val="231F20"/>
          <w:spacing w:val="-7"/>
          <w:w w:val="120"/>
        </w:rPr>
        <w:t> </w:t>
      </w:r>
      <w:r>
        <w:rPr>
          <w:color w:val="231F20"/>
          <w:spacing w:val="-2"/>
          <w:w w:val="120"/>
        </w:rPr>
        <w:t>individu</w:t>
      </w:r>
      <w:r>
        <w:rPr>
          <w:color w:val="231F20"/>
          <w:spacing w:val="-7"/>
          <w:w w:val="120"/>
        </w:rPr>
        <w:t> </w:t>
      </w:r>
      <w:r>
        <w:rPr>
          <w:color w:val="231F20"/>
          <w:spacing w:val="-2"/>
          <w:w w:val="120"/>
        </w:rPr>
        <w:t>à</w:t>
      </w:r>
      <w:r>
        <w:rPr>
          <w:color w:val="231F20"/>
          <w:spacing w:val="-7"/>
          <w:w w:val="120"/>
        </w:rPr>
        <w:t> </w:t>
      </w:r>
      <w:r>
        <w:rPr>
          <w:color w:val="231F20"/>
          <w:spacing w:val="-2"/>
          <w:w w:val="120"/>
        </w:rPr>
        <w:t>la</w:t>
      </w:r>
      <w:r>
        <w:rPr>
          <w:color w:val="231F20"/>
          <w:spacing w:val="-7"/>
          <w:w w:val="120"/>
        </w:rPr>
        <w:t> </w:t>
      </w:r>
      <w:r>
        <w:rPr>
          <w:color w:val="231F20"/>
          <w:spacing w:val="-2"/>
          <w:w w:val="120"/>
        </w:rPr>
        <w:t>privation</w:t>
      </w:r>
      <w:r>
        <w:rPr>
          <w:color w:val="231F20"/>
          <w:spacing w:val="-7"/>
          <w:w w:val="120"/>
        </w:rPr>
        <w:t> </w:t>
      </w:r>
      <w:r>
        <w:rPr>
          <w:color w:val="231F20"/>
          <w:spacing w:val="-2"/>
          <w:w w:val="120"/>
        </w:rPr>
        <w:t>sensorielle. </w:t>
      </w:r>
      <w:r>
        <w:rPr>
          <w:color w:val="231F20"/>
          <w:w w:val="120"/>
        </w:rPr>
        <w:t>Depuis, cet outil d’évaluation de la personnalité a été perfectionné14, permettant maintenant de mesurer quatre tendances essentielles</w:t>
      </w:r>
      <w:r>
        <w:rPr>
          <w:color w:val="231F20"/>
          <w:spacing w:val="-13"/>
          <w:w w:val="120"/>
        </w:rPr>
        <w:t> </w:t>
      </w:r>
      <w:r>
        <w:rPr>
          <w:color w:val="231F20"/>
          <w:w w:val="120"/>
        </w:rPr>
        <w:t>: la </w:t>
      </w:r>
      <w:r>
        <w:rPr>
          <w:color w:val="231F20"/>
          <w:spacing w:val="-2"/>
          <w:w w:val="120"/>
        </w:rPr>
        <w:t>recherche</w:t>
      </w:r>
      <w:r>
        <w:rPr>
          <w:color w:val="231F20"/>
          <w:spacing w:val="-6"/>
          <w:w w:val="120"/>
        </w:rPr>
        <w:t> </w:t>
      </w:r>
      <w:r>
        <w:rPr>
          <w:color w:val="231F20"/>
          <w:spacing w:val="-2"/>
          <w:w w:val="120"/>
        </w:rPr>
        <w:t>de</w:t>
      </w:r>
      <w:r>
        <w:rPr>
          <w:color w:val="231F20"/>
          <w:spacing w:val="-6"/>
          <w:w w:val="120"/>
        </w:rPr>
        <w:t> </w:t>
      </w:r>
      <w:r>
        <w:rPr>
          <w:color w:val="231F20"/>
          <w:spacing w:val="-2"/>
          <w:w w:val="120"/>
        </w:rPr>
        <w:t>sensations</w:t>
      </w:r>
      <w:r>
        <w:rPr>
          <w:color w:val="231F20"/>
          <w:spacing w:val="-6"/>
          <w:w w:val="120"/>
        </w:rPr>
        <w:t> </w:t>
      </w:r>
      <w:r>
        <w:rPr>
          <w:color w:val="231F20"/>
          <w:spacing w:val="-2"/>
          <w:w w:val="120"/>
        </w:rPr>
        <w:t>fortes</w:t>
      </w:r>
      <w:r>
        <w:rPr>
          <w:color w:val="231F20"/>
          <w:spacing w:val="-6"/>
          <w:w w:val="120"/>
        </w:rPr>
        <w:t> </w:t>
      </w:r>
      <w:r>
        <w:rPr>
          <w:color w:val="231F20"/>
          <w:spacing w:val="-2"/>
          <w:w w:val="120"/>
        </w:rPr>
        <w:t>et</w:t>
      </w:r>
      <w:r>
        <w:rPr>
          <w:color w:val="231F20"/>
          <w:spacing w:val="-6"/>
          <w:w w:val="120"/>
        </w:rPr>
        <w:t> </w:t>
      </w:r>
      <w:r>
        <w:rPr>
          <w:color w:val="231F20"/>
          <w:spacing w:val="-2"/>
          <w:w w:val="120"/>
        </w:rPr>
        <w:t>d’aventure,</w:t>
      </w:r>
      <w:r>
        <w:rPr>
          <w:color w:val="231F20"/>
          <w:spacing w:val="-6"/>
          <w:w w:val="120"/>
        </w:rPr>
        <w:t> </w:t>
      </w:r>
      <w:r>
        <w:rPr>
          <w:color w:val="231F20"/>
          <w:spacing w:val="-2"/>
          <w:w w:val="120"/>
        </w:rPr>
        <w:t>la</w:t>
      </w:r>
      <w:r>
        <w:rPr>
          <w:color w:val="231F20"/>
          <w:spacing w:val="-6"/>
          <w:w w:val="120"/>
        </w:rPr>
        <w:t> </w:t>
      </w:r>
      <w:r>
        <w:rPr>
          <w:color w:val="231F20"/>
          <w:spacing w:val="-2"/>
          <w:w w:val="120"/>
        </w:rPr>
        <w:t>recherche</w:t>
      </w:r>
      <w:r>
        <w:rPr>
          <w:color w:val="231F20"/>
          <w:spacing w:val="-6"/>
          <w:w w:val="120"/>
        </w:rPr>
        <w:t> </w:t>
      </w:r>
      <w:r>
        <w:rPr>
          <w:color w:val="231F20"/>
          <w:spacing w:val="-2"/>
          <w:w w:val="120"/>
        </w:rPr>
        <w:t>d’expériences, </w:t>
      </w:r>
      <w:r>
        <w:rPr>
          <w:color w:val="231F20"/>
          <w:w w:val="120"/>
        </w:rPr>
        <w:t>la</w:t>
      </w:r>
      <w:r>
        <w:rPr>
          <w:color w:val="231F20"/>
          <w:spacing w:val="-13"/>
          <w:w w:val="120"/>
        </w:rPr>
        <w:t> </w:t>
      </w:r>
      <w:r>
        <w:rPr>
          <w:color w:val="231F20"/>
          <w:w w:val="120"/>
        </w:rPr>
        <w:t>désinhibition</w:t>
      </w:r>
      <w:r>
        <w:rPr>
          <w:color w:val="231F20"/>
          <w:spacing w:val="-13"/>
          <w:w w:val="120"/>
        </w:rPr>
        <w:t> </w:t>
      </w:r>
      <w:r>
        <w:rPr>
          <w:color w:val="231F20"/>
          <w:w w:val="120"/>
        </w:rPr>
        <w:t>et</w:t>
      </w:r>
      <w:r>
        <w:rPr>
          <w:color w:val="231F20"/>
          <w:spacing w:val="-13"/>
          <w:w w:val="120"/>
        </w:rPr>
        <w:t> </w:t>
      </w:r>
      <w:r>
        <w:rPr>
          <w:color w:val="231F20"/>
          <w:w w:val="120"/>
        </w:rPr>
        <w:t>la</w:t>
      </w:r>
      <w:r>
        <w:rPr>
          <w:color w:val="231F20"/>
          <w:spacing w:val="-12"/>
          <w:w w:val="120"/>
        </w:rPr>
        <w:t> </w:t>
      </w:r>
      <w:r>
        <w:rPr>
          <w:color w:val="231F20"/>
          <w:w w:val="120"/>
        </w:rPr>
        <w:t>susceptibilité</w:t>
      </w:r>
      <w:r>
        <w:rPr>
          <w:color w:val="231F20"/>
          <w:spacing w:val="-13"/>
          <w:w w:val="120"/>
        </w:rPr>
        <w:t> </w:t>
      </w:r>
      <w:r>
        <w:rPr>
          <w:color w:val="231F20"/>
          <w:w w:val="120"/>
        </w:rPr>
        <w:t>à</w:t>
      </w:r>
      <w:r>
        <w:rPr>
          <w:color w:val="231F20"/>
          <w:spacing w:val="-13"/>
          <w:w w:val="120"/>
        </w:rPr>
        <w:t> </w:t>
      </w:r>
      <w:r>
        <w:rPr>
          <w:color w:val="231F20"/>
          <w:w w:val="120"/>
        </w:rPr>
        <w:t>l’ennui.</w:t>
      </w:r>
      <w:r>
        <w:rPr>
          <w:color w:val="231F20"/>
          <w:spacing w:val="-10"/>
          <w:w w:val="120"/>
        </w:rPr>
        <w:t> </w:t>
      </w:r>
      <w:r>
        <w:rPr>
          <w:color w:val="231F20"/>
          <w:w w:val="120"/>
        </w:rPr>
        <w:t>Les</w:t>
      </w:r>
      <w:r>
        <w:rPr>
          <w:color w:val="231F20"/>
          <w:spacing w:val="-10"/>
          <w:w w:val="120"/>
        </w:rPr>
        <w:t> </w:t>
      </w:r>
      <w:r>
        <w:rPr>
          <w:color w:val="231F20"/>
          <w:w w:val="120"/>
        </w:rPr>
        <w:t>«</w:t>
      </w:r>
      <w:r>
        <w:rPr>
          <w:color w:val="231F20"/>
          <w:spacing w:val="-13"/>
          <w:w w:val="120"/>
        </w:rPr>
        <w:t> </w:t>
      </w:r>
      <w:r>
        <w:rPr>
          <w:color w:val="231F20"/>
          <w:w w:val="120"/>
        </w:rPr>
        <w:t>chercheurs</w:t>
      </w:r>
      <w:r>
        <w:rPr>
          <w:color w:val="231F20"/>
          <w:spacing w:val="-9"/>
          <w:w w:val="120"/>
        </w:rPr>
        <w:t> </w:t>
      </w:r>
      <w:r>
        <w:rPr>
          <w:color w:val="231F20"/>
          <w:w w:val="120"/>
        </w:rPr>
        <w:t>de</w:t>
      </w:r>
      <w:r>
        <w:rPr>
          <w:color w:val="231F20"/>
          <w:spacing w:val="-10"/>
          <w:w w:val="120"/>
        </w:rPr>
        <w:t> </w:t>
      </w:r>
      <w:r>
        <w:rPr>
          <w:color w:val="231F20"/>
          <w:w w:val="120"/>
        </w:rPr>
        <w:t>sensa- tions</w:t>
      </w:r>
      <w:r>
        <w:rPr>
          <w:color w:val="231F20"/>
          <w:spacing w:val="-5"/>
          <w:w w:val="120"/>
        </w:rPr>
        <w:t> </w:t>
      </w:r>
      <w:r>
        <w:rPr>
          <w:color w:val="231F20"/>
          <w:w w:val="120"/>
        </w:rPr>
        <w:t>fortes»</w:t>
      </w:r>
      <w:r>
        <w:rPr>
          <w:color w:val="231F20"/>
          <w:spacing w:val="-5"/>
          <w:w w:val="120"/>
        </w:rPr>
        <w:t> </w:t>
      </w:r>
      <w:r>
        <w:rPr>
          <w:color w:val="231F20"/>
          <w:w w:val="120"/>
        </w:rPr>
        <w:t>aiment</w:t>
      </w:r>
      <w:r>
        <w:rPr>
          <w:color w:val="231F20"/>
          <w:spacing w:val="-5"/>
          <w:w w:val="120"/>
        </w:rPr>
        <w:t> </w:t>
      </w:r>
      <w:r>
        <w:rPr>
          <w:color w:val="231F20"/>
          <w:w w:val="120"/>
        </w:rPr>
        <w:t>particulièrement</w:t>
      </w:r>
      <w:r>
        <w:rPr>
          <w:color w:val="231F20"/>
          <w:spacing w:val="-5"/>
          <w:w w:val="120"/>
        </w:rPr>
        <w:t> </w:t>
      </w:r>
      <w:r>
        <w:rPr>
          <w:color w:val="231F20"/>
          <w:w w:val="120"/>
        </w:rPr>
        <w:t>les</w:t>
      </w:r>
      <w:r>
        <w:rPr>
          <w:color w:val="231F20"/>
          <w:spacing w:val="-5"/>
          <w:w w:val="120"/>
        </w:rPr>
        <w:t> </w:t>
      </w:r>
      <w:r>
        <w:rPr>
          <w:color w:val="231F20"/>
          <w:w w:val="120"/>
        </w:rPr>
        <w:t>activités</w:t>
      </w:r>
      <w:r>
        <w:rPr>
          <w:color w:val="231F20"/>
          <w:spacing w:val="-5"/>
          <w:w w:val="120"/>
        </w:rPr>
        <w:t> </w:t>
      </w:r>
      <w:r>
        <w:rPr>
          <w:color w:val="231F20"/>
          <w:w w:val="120"/>
        </w:rPr>
        <w:t>ou</w:t>
      </w:r>
      <w:r>
        <w:rPr>
          <w:color w:val="231F20"/>
          <w:spacing w:val="-5"/>
          <w:w w:val="120"/>
        </w:rPr>
        <w:t> </w:t>
      </w:r>
      <w:r>
        <w:rPr>
          <w:color w:val="231F20"/>
          <w:w w:val="120"/>
        </w:rPr>
        <w:t>les</w:t>
      </w:r>
      <w:r>
        <w:rPr>
          <w:color w:val="231F20"/>
          <w:spacing w:val="-5"/>
          <w:w w:val="120"/>
        </w:rPr>
        <w:t> </w:t>
      </w:r>
      <w:r>
        <w:rPr>
          <w:color w:val="231F20"/>
          <w:w w:val="120"/>
        </w:rPr>
        <w:t>sports</w:t>
      </w:r>
      <w:r>
        <w:rPr>
          <w:color w:val="231F20"/>
          <w:spacing w:val="-5"/>
          <w:w w:val="120"/>
        </w:rPr>
        <w:t> </w:t>
      </w:r>
      <w:r>
        <w:rPr>
          <w:color w:val="231F20"/>
          <w:w w:val="120"/>
        </w:rPr>
        <w:t>qui</w:t>
      </w:r>
      <w:r>
        <w:rPr>
          <w:color w:val="231F20"/>
          <w:spacing w:val="-5"/>
          <w:w w:val="120"/>
        </w:rPr>
        <w:t> </w:t>
      </w:r>
      <w:r>
        <w:rPr>
          <w:color w:val="231F20"/>
          <w:w w:val="120"/>
        </w:rPr>
        <w:t>leur font vivre des sensations et des expériences inhabituelles, même s’ils comportent</w:t>
      </w:r>
      <w:r>
        <w:rPr>
          <w:color w:val="231F20"/>
          <w:spacing w:val="-2"/>
          <w:w w:val="120"/>
        </w:rPr>
        <w:t> </w:t>
      </w:r>
      <w:r>
        <w:rPr>
          <w:color w:val="231F20"/>
          <w:w w:val="120"/>
        </w:rPr>
        <w:t>une</w:t>
      </w:r>
      <w:r>
        <w:rPr>
          <w:color w:val="231F20"/>
          <w:spacing w:val="-2"/>
          <w:w w:val="120"/>
        </w:rPr>
        <w:t> </w:t>
      </w:r>
      <w:r>
        <w:rPr>
          <w:color w:val="231F20"/>
          <w:w w:val="120"/>
        </w:rPr>
        <w:t>part</w:t>
      </w:r>
      <w:r>
        <w:rPr>
          <w:color w:val="231F20"/>
          <w:spacing w:val="-2"/>
          <w:w w:val="120"/>
        </w:rPr>
        <w:t> </w:t>
      </w:r>
      <w:r>
        <w:rPr>
          <w:color w:val="231F20"/>
          <w:w w:val="120"/>
        </w:rPr>
        <w:t>de</w:t>
      </w:r>
      <w:r>
        <w:rPr>
          <w:color w:val="231F20"/>
          <w:spacing w:val="-2"/>
          <w:w w:val="120"/>
        </w:rPr>
        <w:t> </w:t>
      </w:r>
      <w:r>
        <w:rPr>
          <w:color w:val="231F20"/>
          <w:w w:val="120"/>
        </w:rPr>
        <w:t>risque.</w:t>
      </w:r>
      <w:r>
        <w:rPr>
          <w:color w:val="231F20"/>
          <w:spacing w:val="-2"/>
          <w:w w:val="120"/>
        </w:rPr>
        <w:t> </w:t>
      </w:r>
      <w:r>
        <w:rPr>
          <w:color w:val="231F20"/>
          <w:w w:val="120"/>
        </w:rPr>
        <w:t>La</w:t>
      </w:r>
      <w:r>
        <w:rPr>
          <w:color w:val="231F20"/>
          <w:spacing w:val="-2"/>
          <w:w w:val="120"/>
        </w:rPr>
        <w:t> </w:t>
      </w:r>
      <w:r>
        <w:rPr>
          <w:color w:val="231F20"/>
          <w:w w:val="120"/>
        </w:rPr>
        <w:t>course</w:t>
      </w:r>
      <w:r>
        <w:rPr>
          <w:color w:val="231F20"/>
          <w:spacing w:val="-2"/>
          <w:w w:val="120"/>
        </w:rPr>
        <w:t> </w:t>
      </w:r>
      <w:r>
        <w:rPr>
          <w:color w:val="231F20"/>
          <w:w w:val="120"/>
        </w:rPr>
        <w:t>à</w:t>
      </w:r>
      <w:r>
        <w:rPr>
          <w:color w:val="231F20"/>
          <w:spacing w:val="-2"/>
          <w:w w:val="120"/>
        </w:rPr>
        <w:t> </w:t>
      </w:r>
      <w:r>
        <w:rPr>
          <w:color w:val="231F20"/>
          <w:w w:val="120"/>
        </w:rPr>
        <w:t>motocyclette</w:t>
      </w:r>
      <w:r>
        <w:rPr>
          <w:color w:val="231F20"/>
          <w:spacing w:val="-2"/>
          <w:w w:val="120"/>
        </w:rPr>
        <w:t> </w:t>
      </w:r>
      <w:r>
        <w:rPr>
          <w:color w:val="231F20"/>
          <w:w w:val="120"/>
        </w:rPr>
        <w:t>ou</w:t>
      </w:r>
      <w:r>
        <w:rPr>
          <w:color w:val="231F20"/>
          <w:spacing w:val="-2"/>
          <w:w w:val="120"/>
        </w:rPr>
        <w:t> </w:t>
      </w:r>
      <w:r>
        <w:rPr>
          <w:color w:val="231F20"/>
          <w:w w:val="120"/>
        </w:rPr>
        <w:t>le</w:t>
      </w:r>
      <w:r>
        <w:rPr>
          <w:color w:val="231F20"/>
          <w:spacing w:val="-2"/>
          <w:w w:val="120"/>
        </w:rPr>
        <w:t> </w:t>
      </w:r>
      <w:r>
        <w:rPr>
          <w:color w:val="231F20"/>
          <w:w w:val="120"/>
        </w:rPr>
        <w:t>ski</w:t>
      </w:r>
      <w:r>
        <w:rPr>
          <w:color w:val="231F20"/>
          <w:spacing w:val="-2"/>
          <w:w w:val="120"/>
        </w:rPr>
        <w:t> </w:t>
      </w:r>
      <w:r>
        <w:rPr>
          <w:color w:val="231F20"/>
          <w:w w:val="120"/>
        </w:rPr>
        <w:t>nau- tique,</w:t>
      </w:r>
      <w:r>
        <w:rPr>
          <w:color w:val="231F20"/>
          <w:spacing w:val="-5"/>
          <w:w w:val="120"/>
        </w:rPr>
        <w:t> </w:t>
      </w:r>
      <w:r>
        <w:rPr>
          <w:color w:val="231F20"/>
          <w:w w:val="120"/>
        </w:rPr>
        <w:t>par</w:t>
      </w:r>
      <w:r>
        <w:rPr>
          <w:color w:val="231F20"/>
          <w:spacing w:val="-5"/>
          <w:w w:val="120"/>
        </w:rPr>
        <w:t> </w:t>
      </w:r>
      <w:r>
        <w:rPr>
          <w:color w:val="231F20"/>
          <w:w w:val="120"/>
        </w:rPr>
        <w:t>exemple,</w:t>
      </w:r>
      <w:r>
        <w:rPr>
          <w:color w:val="231F20"/>
          <w:spacing w:val="-5"/>
          <w:w w:val="120"/>
        </w:rPr>
        <w:t> </w:t>
      </w:r>
      <w:r>
        <w:rPr>
          <w:color w:val="231F20"/>
          <w:w w:val="120"/>
        </w:rPr>
        <w:t>pourraient</w:t>
      </w:r>
      <w:r>
        <w:rPr>
          <w:color w:val="231F20"/>
          <w:spacing w:val="-5"/>
          <w:w w:val="120"/>
        </w:rPr>
        <w:t> </w:t>
      </w:r>
      <w:r>
        <w:rPr>
          <w:color w:val="231F20"/>
          <w:w w:val="120"/>
        </w:rPr>
        <w:t>plaire</w:t>
      </w:r>
      <w:r>
        <w:rPr>
          <w:color w:val="231F20"/>
          <w:spacing w:val="-5"/>
          <w:w w:val="120"/>
        </w:rPr>
        <w:t> </w:t>
      </w:r>
      <w:r>
        <w:rPr>
          <w:color w:val="231F20"/>
          <w:w w:val="120"/>
        </w:rPr>
        <w:t>à</w:t>
      </w:r>
      <w:r>
        <w:rPr>
          <w:color w:val="231F20"/>
          <w:spacing w:val="-5"/>
          <w:w w:val="120"/>
        </w:rPr>
        <w:t> </w:t>
      </w:r>
      <w:r>
        <w:rPr>
          <w:color w:val="231F20"/>
          <w:w w:val="120"/>
        </w:rPr>
        <w:t>cette</w:t>
      </w:r>
      <w:r>
        <w:rPr>
          <w:color w:val="231F20"/>
          <w:spacing w:val="-5"/>
          <w:w w:val="120"/>
        </w:rPr>
        <w:t> </w:t>
      </w:r>
      <w:r>
        <w:rPr>
          <w:color w:val="231F20"/>
          <w:w w:val="120"/>
        </w:rPr>
        <w:t>catégorie</w:t>
      </w:r>
      <w:r>
        <w:rPr>
          <w:color w:val="231F20"/>
          <w:spacing w:val="-5"/>
          <w:w w:val="120"/>
        </w:rPr>
        <w:t> </w:t>
      </w:r>
      <w:r>
        <w:rPr>
          <w:color w:val="231F20"/>
          <w:w w:val="120"/>
        </w:rPr>
        <w:t>de</w:t>
      </w:r>
      <w:r>
        <w:rPr>
          <w:color w:val="231F20"/>
          <w:spacing w:val="-5"/>
          <w:w w:val="120"/>
        </w:rPr>
        <w:t> </w:t>
      </w:r>
      <w:r>
        <w:rPr>
          <w:color w:val="231F20"/>
          <w:w w:val="120"/>
        </w:rPr>
        <w:t>chercheurs</w:t>
      </w:r>
      <w:r>
        <w:rPr>
          <w:color w:val="231F20"/>
          <w:spacing w:val="-5"/>
          <w:w w:val="120"/>
        </w:rPr>
        <w:t> </w:t>
      </w:r>
      <w:r>
        <w:rPr>
          <w:color w:val="231F20"/>
          <w:w w:val="120"/>
        </w:rPr>
        <w:t>de sensations.</w:t>
      </w:r>
      <w:r>
        <w:rPr>
          <w:color w:val="231F20"/>
          <w:spacing w:val="-13"/>
          <w:w w:val="120"/>
        </w:rPr>
        <w:t> </w:t>
      </w:r>
      <w:r>
        <w:rPr>
          <w:color w:val="231F20"/>
          <w:w w:val="120"/>
        </w:rPr>
        <w:t>Les</w:t>
      </w:r>
      <w:r>
        <w:rPr>
          <w:color w:val="231F20"/>
          <w:spacing w:val="-13"/>
          <w:w w:val="120"/>
        </w:rPr>
        <w:t> </w:t>
      </w:r>
      <w:r>
        <w:rPr>
          <w:color w:val="231F20"/>
          <w:w w:val="120"/>
        </w:rPr>
        <w:t>«</w:t>
      </w:r>
      <w:r>
        <w:rPr>
          <w:color w:val="231F20"/>
          <w:spacing w:val="-13"/>
          <w:w w:val="120"/>
        </w:rPr>
        <w:t> </w:t>
      </w:r>
      <w:r>
        <w:rPr>
          <w:color w:val="231F20"/>
          <w:w w:val="120"/>
        </w:rPr>
        <w:t>chercheurs</w:t>
      </w:r>
      <w:r>
        <w:rPr>
          <w:color w:val="231F20"/>
          <w:spacing w:val="-12"/>
          <w:w w:val="120"/>
        </w:rPr>
        <w:t> </w:t>
      </w:r>
      <w:r>
        <w:rPr>
          <w:color w:val="231F20"/>
          <w:w w:val="120"/>
        </w:rPr>
        <w:t>d’expériences</w:t>
      </w:r>
      <w:r>
        <w:rPr>
          <w:color w:val="231F20"/>
          <w:spacing w:val="-13"/>
          <w:w w:val="120"/>
        </w:rPr>
        <w:t> </w:t>
      </w:r>
      <w:r>
        <w:rPr>
          <w:color w:val="231F20"/>
          <w:w w:val="120"/>
        </w:rPr>
        <w:t>»</w:t>
      </w:r>
      <w:r>
        <w:rPr>
          <w:color w:val="231F20"/>
          <w:spacing w:val="-8"/>
          <w:w w:val="120"/>
        </w:rPr>
        <w:t> </w:t>
      </w:r>
      <w:r>
        <w:rPr>
          <w:color w:val="231F20"/>
          <w:w w:val="120"/>
        </w:rPr>
        <w:t>savourent</w:t>
      </w:r>
      <w:r>
        <w:rPr>
          <w:color w:val="231F20"/>
          <w:spacing w:val="-2"/>
          <w:w w:val="120"/>
        </w:rPr>
        <w:t> </w:t>
      </w:r>
      <w:r>
        <w:rPr>
          <w:color w:val="231F20"/>
          <w:w w:val="120"/>
        </w:rPr>
        <w:t>les</w:t>
      </w:r>
      <w:r>
        <w:rPr>
          <w:color w:val="231F20"/>
          <w:spacing w:val="-3"/>
          <w:w w:val="120"/>
        </w:rPr>
        <w:t> </w:t>
      </w:r>
      <w:r>
        <w:rPr>
          <w:color w:val="231F20"/>
          <w:w w:val="120"/>
        </w:rPr>
        <w:t>expériences nouvelles telles que les voyages dans des lieux exotiques, l’écoute de musiques</w:t>
      </w:r>
      <w:r>
        <w:rPr>
          <w:color w:val="231F20"/>
          <w:spacing w:val="-3"/>
          <w:w w:val="120"/>
        </w:rPr>
        <w:t> </w:t>
      </w:r>
      <w:r>
        <w:rPr>
          <w:color w:val="231F20"/>
          <w:w w:val="120"/>
        </w:rPr>
        <w:t>émergentes</w:t>
      </w:r>
      <w:r>
        <w:rPr>
          <w:color w:val="231F20"/>
          <w:spacing w:val="-3"/>
          <w:w w:val="120"/>
        </w:rPr>
        <w:t> </w:t>
      </w:r>
      <w:r>
        <w:rPr>
          <w:color w:val="231F20"/>
          <w:w w:val="120"/>
        </w:rPr>
        <w:t>et</w:t>
      </w:r>
      <w:r>
        <w:rPr>
          <w:color w:val="231F20"/>
          <w:spacing w:val="-3"/>
          <w:w w:val="120"/>
        </w:rPr>
        <w:t> </w:t>
      </w:r>
      <w:r>
        <w:rPr>
          <w:color w:val="231F20"/>
          <w:w w:val="120"/>
        </w:rPr>
        <w:t>l’adoption</w:t>
      </w:r>
      <w:r>
        <w:rPr>
          <w:color w:val="231F20"/>
          <w:spacing w:val="-3"/>
          <w:w w:val="120"/>
        </w:rPr>
        <w:t> </w:t>
      </w:r>
      <w:r>
        <w:rPr>
          <w:color w:val="231F20"/>
          <w:w w:val="120"/>
        </w:rPr>
        <w:t>d’un</w:t>
      </w:r>
      <w:r>
        <w:rPr>
          <w:color w:val="231F20"/>
          <w:spacing w:val="-3"/>
          <w:w w:val="120"/>
        </w:rPr>
        <w:t> </w:t>
      </w:r>
      <w:r>
        <w:rPr>
          <w:color w:val="231F20"/>
          <w:w w:val="120"/>
        </w:rPr>
        <w:t>mode</w:t>
      </w:r>
      <w:r>
        <w:rPr>
          <w:color w:val="231F20"/>
          <w:spacing w:val="-3"/>
          <w:w w:val="120"/>
        </w:rPr>
        <w:t> </w:t>
      </w:r>
      <w:r>
        <w:rPr>
          <w:color w:val="231F20"/>
          <w:w w:val="120"/>
        </w:rPr>
        <w:t>de</w:t>
      </w:r>
      <w:r>
        <w:rPr>
          <w:color w:val="231F20"/>
          <w:spacing w:val="-3"/>
          <w:w w:val="120"/>
        </w:rPr>
        <w:t> </w:t>
      </w:r>
      <w:r>
        <w:rPr>
          <w:color w:val="231F20"/>
          <w:w w:val="120"/>
        </w:rPr>
        <w:t>vie</w:t>
      </w:r>
      <w:r>
        <w:rPr>
          <w:color w:val="231F20"/>
          <w:spacing w:val="-3"/>
          <w:w w:val="120"/>
        </w:rPr>
        <w:t> </w:t>
      </w:r>
      <w:r>
        <w:rPr>
          <w:color w:val="231F20"/>
          <w:w w:val="120"/>
        </w:rPr>
        <w:t>non</w:t>
      </w:r>
      <w:r>
        <w:rPr>
          <w:color w:val="231F20"/>
          <w:spacing w:val="-3"/>
          <w:w w:val="120"/>
        </w:rPr>
        <w:t> </w:t>
      </w:r>
      <w:r>
        <w:rPr>
          <w:color w:val="231F20"/>
          <w:w w:val="120"/>
        </w:rPr>
        <w:t>conformiste. </w:t>
      </w:r>
      <w:r>
        <w:rPr>
          <w:color w:val="231F20"/>
          <w:w w:val="115"/>
        </w:rPr>
        <w:t>Les</w:t>
      </w:r>
      <w:r>
        <w:rPr>
          <w:color w:val="231F20"/>
          <w:spacing w:val="-6"/>
          <w:w w:val="115"/>
        </w:rPr>
        <w:t> </w:t>
      </w:r>
      <w:r>
        <w:rPr>
          <w:color w:val="231F20"/>
          <w:w w:val="115"/>
        </w:rPr>
        <w:t>«</w:t>
      </w:r>
      <w:r>
        <w:rPr>
          <w:color w:val="231F20"/>
          <w:spacing w:val="-13"/>
          <w:w w:val="115"/>
        </w:rPr>
        <w:t> </w:t>
      </w:r>
      <w:r>
        <w:rPr>
          <w:color w:val="231F20"/>
          <w:w w:val="115"/>
        </w:rPr>
        <w:t>désinhibiteurs</w:t>
      </w:r>
      <w:r>
        <w:rPr>
          <w:color w:val="231F20"/>
          <w:spacing w:val="-12"/>
          <w:w w:val="115"/>
        </w:rPr>
        <w:t> </w:t>
      </w:r>
      <w:r>
        <w:rPr>
          <w:color w:val="231F20"/>
          <w:w w:val="115"/>
        </w:rPr>
        <w:t>» recherchent constamment des occasions de perdre </w:t>
      </w:r>
      <w:r>
        <w:rPr>
          <w:color w:val="231F20"/>
          <w:spacing w:val="-2"/>
          <w:w w:val="120"/>
        </w:rPr>
        <w:t>leurs</w:t>
      </w:r>
      <w:r>
        <w:rPr>
          <w:color w:val="231F20"/>
          <w:spacing w:val="-19"/>
          <w:w w:val="120"/>
        </w:rPr>
        <w:t> </w:t>
      </w:r>
      <w:r>
        <w:rPr>
          <w:color w:val="231F20"/>
          <w:spacing w:val="-2"/>
          <w:w w:val="120"/>
        </w:rPr>
        <w:t>inhibitions</w:t>
      </w:r>
      <w:r>
        <w:rPr>
          <w:color w:val="231F20"/>
          <w:spacing w:val="-19"/>
          <w:w w:val="120"/>
        </w:rPr>
        <w:t> </w:t>
      </w:r>
      <w:r>
        <w:rPr>
          <w:color w:val="231F20"/>
          <w:spacing w:val="-2"/>
          <w:w w:val="120"/>
        </w:rPr>
        <w:t>dans</w:t>
      </w:r>
      <w:r>
        <w:rPr>
          <w:color w:val="231F20"/>
          <w:spacing w:val="-19"/>
          <w:w w:val="120"/>
        </w:rPr>
        <w:t> </w:t>
      </w:r>
      <w:r>
        <w:rPr>
          <w:color w:val="231F20"/>
          <w:spacing w:val="-2"/>
          <w:w w:val="120"/>
        </w:rPr>
        <w:t>des</w:t>
      </w:r>
      <w:r>
        <w:rPr>
          <w:color w:val="231F20"/>
          <w:spacing w:val="-19"/>
          <w:w w:val="120"/>
        </w:rPr>
        <w:t> </w:t>
      </w:r>
      <w:r>
        <w:rPr>
          <w:color w:val="231F20"/>
          <w:spacing w:val="-2"/>
          <w:w w:val="120"/>
        </w:rPr>
        <w:t>fêtes</w:t>
      </w:r>
      <w:r>
        <w:rPr>
          <w:color w:val="231F20"/>
          <w:spacing w:val="-19"/>
          <w:w w:val="120"/>
        </w:rPr>
        <w:t> </w:t>
      </w:r>
      <w:r>
        <w:rPr>
          <w:color w:val="231F20"/>
          <w:spacing w:val="-2"/>
          <w:w w:val="120"/>
        </w:rPr>
        <w:t>folles</w:t>
      </w:r>
      <w:r>
        <w:rPr>
          <w:color w:val="231F20"/>
          <w:spacing w:val="-19"/>
          <w:w w:val="120"/>
        </w:rPr>
        <w:t> </w:t>
      </w:r>
      <w:r>
        <w:rPr>
          <w:color w:val="231F20"/>
          <w:spacing w:val="-2"/>
          <w:w w:val="120"/>
        </w:rPr>
        <w:t>combinant</w:t>
      </w:r>
      <w:r>
        <w:rPr>
          <w:color w:val="231F20"/>
          <w:spacing w:val="-19"/>
          <w:w w:val="120"/>
        </w:rPr>
        <w:t> </w:t>
      </w:r>
      <w:r>
        <w:rPr>
          <w:color w:val="231F20"/>
          <w:spacing w:val="-2"/>
          <w:w w:val="120"/>
        </w:rPr>
        <w:t>de</w:t>
      </w:r>
      <w:r>
        <w:rPr>
          <w:color w:val="231F20"/>
          <w:spacing w:val="-19"/>
          <w:w w:val="120"/>
        </w:rPr>
        <w:t> </w:t>
      </w:r>
      <w:r>
        <w:rPr>
          <w:color w:val="231F20"/>
          <w:spacing w:val="-2"/>
          <w:w w:val="120"/>
        </w:rPr>
        <w:t>fortes</w:t>
      </w:r>
      <w:r>
        <w:rPr>
          <w:color w:val="231F20"/>
          <w:spacing w:val="-19"/>
          <w:w w:val="120"/>
        </w:rPr>
        <w:t> </w:t>
      </w:r>
      <w:r>
        <w:rPr>
          <w:color w:val="231F20"/>
          <w:spacing w:val="-2"/>
          <w:w w:val="120"/>
        </w:rPr>
        <w:t>consommations</w:t>
      </w:r>
    </w:p>
    <w:p>
      <w:pPr>
        <w:pStyle w:val="BodyText"/>
        <w:rPr>
          <w:sz w:val="20"/>
        </w:rPr>
      </w:pPr>
    </w:p>
    <w:p>
      <w:pPr>
        <w:pStyle w:val="BodyText"/>
        <w:spacing w:before="5"/>
      </w:pPr>
      <w:r>
        <w:rPr/>
        <w:pict>
          <v:shape style="position:absolute;margin-left:62.5pt;margin-top:11.241846pt;width:287.5pt;height:.1pt;mso-position-horizontal-relative:page;mso-position-vertical-relative:paragraph;z-index:-15670784;mso-wrap-distance-left:0;mso-wrap-distance-right:0" id="docshape741" coordorigin="1250,225" coordsize="5750,0" path="m1250,225l7000,225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9" w:hanging="406"/>
        <w:jc w:val="both"/>
        <w:rPr>
          <w:rFonts w:ascii="Arial"/>
          <w:sz w:val="12"/>
        </w:rPr>
      </w:pPr>
      <w:r>
        <w:rPr>
          <w:rFonts w:ascii="Arial"/>
          <w:color w:val="231F20"/>
          <w:sz w:val="12"/>
        </w:rPr>
        <w:t>Zuckerman, M. (1971). Dimensions of sensation-seeking, </w:t>
      </w:r>
      <w:r>
        <w:rPr>
          <w:rFonts w:ascii="Arial"/>
          <w:i/>
          <w:color w:val="231F20"/>
          <w:sz w:val="12"/>
        </w:rPr>
        <w:t>Journal of Consulting and Clinical Psychology</w:t>
      </w:r>
      <w:r>
        <w:rPr>
          <w:rFonts w:ascii="Arial"/>
          <w:color w:val="231F20"/>
          <w:sz w:val="12"/>
        </w:rPr>
        <w:t>,</w:t>
      </w:r>
      <w:r>
        <w:rPr>
          <w:rFonts w:ascii="Arial"/>
          <w:color w:val="231F20"/>
          <w:spacing w:val="80"/>
          <w:sz w:val="12"/>
        </w:rPr>
        <w:t> </w:t>
      </w:r>
      <w:r>
        <w:rPr>
          <w:rFonts w:ascii="Arial"/>
          <w:i/>
          <w:color w:val="231F20"/>
          <w:sz w:val="12"/>
        </w:rPr>
        <w:t>36</w:t>
      </w:r>
      <w:r>
        <w:rPr>
          <w:rFonts w:ascii="Arial"/>
          <w:color w:val="231F20"/>
          <w:sz w:val="12"/>
        </w:rPr>
        <w:t>,</w:t>
      </w:r>
      <w:r>
        <w:rPr>
          <w:rFonts w:ascii="Arial"/>
          <w:color w:val="231F20"/>
          <w:spacing w:val="-9"/>
          <w:sz w:val="12"/>
        </w:rPr>
        <w:t> </w:t>
      </w:r>
      <w:r>
        <w:rPr>
          <w:rFonts w:ascii="Arial"/>
          <w:color w:val="231F20"/>
          <w:sz w:val="12"/>
        </w:rPr>
        <w:t>45-52.</w:t>
      </w:r>
    </w:p>
    <w:p>
      <w:pPr>
        <w:pStyle w:val="ListParagraph"/>
        <w:numPr>
          <w:ilvl w:val="0"/>
          <w:numId w:val="42"/>
        </w:numPr>
        <w:tabs>
          <w:tab w:pos="830" w:val="left" w:leader="none"/>
        </w:tabs>
        <w:spacing w:line="295" w:lineRule="auto" w:before="0" w:after="0"/>
        <w:ind w:left="829" w:right="496" w:hanging="406"/>
        <w:jc w:val="both"/>
        <w:rPr>
          <w:rFonts w:ascii="Arial"/>
          <w:sz w:val="12"/>
        </w:rPr>
      </w:pPr>
      <w:r>
        <w:rPr>
          <w:rFonts w:ascii="Arial"/>
          <w:color w:val="231F20"/>
          <w:sz w:val="12"/>
        </w:rPr>
        <w:t>Zuckerman, M. (1979). </w:t>
      </w:r>
      <w:r>
        <w:rPr>
          <w:rFonts w:ascii="Arial"/>
          <w:i/>
          <w:color w:val="231F20"/>
          <w:sz w:val="12"/>
        </w:rPr>
        <w:t>Sensation Seeking</w:t>
      </w:r>
      <w:r>
        <w:rPr>
          <w:rFonts w:ascii="Arial"/>
          <w:i/>
          <w:color w:val="231F20"/>
          <w:spacing w:val="-9"/>
          <w:sz w:val="12"/>
        </w:rPr>
        <w:t> </w:t>
      </w:r>
      <w:r>
        <w:rPr>
          <w:rFonts w:ascii="Arial"/>
          <w:i/>
          <w:color w:val="231F20"/>
          <w:sz w:val="12"/>
        </w:rPr>
        <w:t>: Beyond the Optimal Level of Arousal</w:t>
      </w:r>
      <w:r>
        <w:rPr>
          <w:rFonts w:ascii="Arial"/>
          <w:color w:val="231F20"/>
          <w:sz w:val="12"/>
        </w:rPr>
        <w:t>, Hillsdale, Erlbaum</w:t>
      </w:r>
      <w:r>
        <w:rPr>
          <w:rFonts w:ascii="Arial"/>
          <w:color w:val="231F20"/>
          <w:spacing w:val="-9"/>
          <w:sz w:val="12"/>
        </w:rPr>
        <w:t> </w:t>
      </w:r>
      <w:r>
        <w:rPr>
          <w:rFonts w:ascii="Arial"/>
          <w:color w:val="231F20"/>
          <w:sz w:val="12"/>
        </w:rPr>
        <w:t>;</w:t>
      </w:r>
      <w:r>
        <w:rPr>
          <w:rFonts w:ascii="Arial"/>
          <w:color w:val="231F20"/>
          <w:spacing w:val="40"/>
          <w:sz w:val="12"/>
        </w:rPr>
        <w:t> </w:t>
      </w:r>
      <w:r>
        <w:rPr>
          <w:rFonts w:ascii="Arial"/>
          <w:color w:val="231F20"/>
          <w:w w:val="95"/>
          <w:sz w:val="12"/>
        </w:rPr>
        <w:t>Zuckerman, M. (1994). </w:t>
      </w:r>
      <w:r>
        <w:rPr>
          <w:rFonts w:ascii="Arial"/>
          <w:i/>
          <w:color w:val="231F20"/>
          <w:w w:val="95"/>
          <w:sz w:val="12"/>
        </w:rPr>
        <w:t>Behavioral Expressions and Bicycle Bases of Sensation Seeking</w:t>
      </w:r>
      <w:r>
        <w:rPr>
          <w:rFonts w:ascii="Arial"/>
          <w:color w:val="231F20"/>
          <w:w w:val="95"/>
          <w:sz w:val="12"/>
        </w:rPr>
        <w:t>, New York, Cambridge</w:t>
      </w:r>
      <w:r>
        <w:rPr>
          <w:rFonts w:ascii="Arial"/>
          <w:color w:val="231F20"/>
          <w:spacing w:val="40"/>
          <w:sz w:val="12"/>
        </w:rPr>
        <w:t> </w:t>
      </w:r>
      <w:r>
        <w:rPr>
          <w:rFonts w:ascii="Arial"/>
          <w:color w:val="231F20"/>
          <w:sz w:val="12"/>
        </w:rPr>
        <w:t>University</w:t>
      </w:r>
      <w:r>
        <w:rPr>
          <w:rFonts w:ascii="Arial"/>
          <w:color w:val="231F20"/>
          <w:spacing w:val="-9"/>
          <w:sz w:val="12"/>
        </w:rPr>
        <w:t> </w:t>
      </w:r>
      <w:r>
        <w:rPr>
          <w:rFonts w:ascii="Arial"/>
          <w:color w:val="231F20"/>
          <w:sz w:val="12"/>
        </w:rPr>
        <w:t>Press.</w:t>
      </w:r>
    </w:p>
    <w:p>
      <w:pPr>
        <w:pStyle w:val="ListParagraph"/>
        <w:numPr>
          <w:ilvl w:val="0"/>
          <w:numId w:val="42"/>
        </w:numPr>
        <w:tabs>
          <w:tab w:pos="830" w:val="left" w:leader="none"/>
        </w:tabs>
        <w:spacing w:line="240" w:lineRule="auto" w:before="1" w:after="0"/>
        <w:ind w:left="829" w:right="0" w:hanging="406"/>
        <w:jc w:val="both"/>
        <w:rPr>
          <w:rFonts w:ascii="Arial"/>
          <w:sz w:val="12"/>
        </w:rPr>
      </w:pPr>
      <w:r>
        <w:rPr>
          <w:rFonts w:ascii="Arial"/>
          <w:color w:val="231F20"/>
          <w:sz w:val="12"/>
        </w:rPr>
        <w:t>Zuckerman,</w:t>
      </w:r>
      <w:r>
        <w:rPr>
          <w:rFonts w:ascii="Arial"/>
          <w:color w:val="231F20"/>
          <w:spacing w:val="10"/>
          <w:sz w:val="12"/>
        </w:rPr>
        <w:t> </w:t>
      </w:r>
      <w:r>
        <w:rPr>
          <w:rFonts w:ascii="Arial"/>
          <w:color w:val="231F20"/>
          <w:sz w:val="12"/>
        </w:rPr>
        <w:t>M.</w:t>
      </w:r>
      <w:r>
        <w:rPr>
          <w:rFonts w:ascii="Arial"/>
          <w:color w:val="231F20"/>
          <w:spacing w:val="10"/>
          <w:sz w:val="12"/>
        </w:rPr>
        <w:t> </w:t>
      </w:r>
      <w:r>
        <w:rPr>
          <w:rFonts w:ascii="Arial"/>
          <w:color w:val="231F20"/>
          <w:sz w:val="12"/>
        </w:rPr>
        <w:t>et</w:t>
      </w:r>
      <w:r>
        <w:rPr>
          <w:rFonts w:ascii="Arial"/>
          <w:color w:val="231F20"/>
          <w:spacing w:val="10"/>
          <w:sz w:val="12"/>
        </w:rPr>
        <w:t> </w:t>
      </w:r>
      <w:r>
        <w:rPr>
          <w:rFonts w:ascii="Arial"/>
          <w:color w:val="231F20"/>
          <w:sz w:val="12"/>
        </w:rPr>
        <w:t>Aluja,</w:t>
      </w:r>
      <w:r>
        <w:rPr>
          <w:rFonts w:ascii="Arial"/>
          <w:color w:val="231F20"/>
          <w:spacing w:val="10"/>
          <w:sz w:val="12"/>
        </w:rPr>
        <w:t> </w:t>
      </w:r>
      <w:r>
        <w:rPr>
          <w:rFonts w:ascii="Arial"/>
          <w:color w:val="231F20"/>
          <w:sz w:val="12"/>
        </w:rPr>
        <w:t>A.</w:t>
      </w:r>
      <w:r>
        <w:rPr>
          <w:rFonts w:ascii="Arial"/>
          <w:color w:val="231F20"/>
          <w:spacing w:val="10"/>
          <w:sz w:val="12"/>
        </w:rPr>
        <w:t> </w:t>
      </w:r>
      <w:r>
        <w:rPr>
          <w:rFonts w:ascii="Arial"/>
          <w:color w:val="231F20"/>
          <w:sz w:val="12"/>
        </w:rPr>
        <w:t>(2014).</w:t>
      </w:r>
      <w:r>
        <w:rPr>
          <w:rFonts w:ascii="Arial"/>
          <w:color w:val="231F20"/>
          <w:spacing w:val="10"/>
          <w:sz w:val="12"/>
        </w:rPr>
        <w:t> </w:t>
      </w:r>
      <w:r>
        <w:rPr>
          <w:rFonts w:ascii="Arial"/>
          <w:color w:val="231F20"/>
          <w:sz w:val="12"/>
        </w:rPr>
        <w:t>Measures</w:t>
      </w:r>
      <w:r>
        <w:rPr>
          <w:rFonts w:ascii="Arial"/>
          <w:color w:val="231F20"/>
          <w:spacing w:val="10"/>
          <w:sz w:val="12"/>
        </w:rPr>
        <w:t> </w:t>
      </w:r>
      <w:r>
        <w:rPr>
          <w:rFonts w:ascii="Arial"/>
          <w:color w:val="231F20"/>
          <w:sz w:val="12"/>
        </w:rPr>
        <w:t>of</w:t>
      </w:r>
      <w:r>
        <w:rPr>
          <w:rFonts w:ascii="Arial"/>
          <w:color w:val="231F20"/>
          <w:spacing w:val="10"/>
          <w:sz w:val="12"/>
        </w:rPr>
        <w:t> </w:t>
      </w:r>
      <w:r>
        <w:rPr>
          <w:rFonts w:ascii="Arial"/>
          <w:color w:val="231F20"/>
          <w:sz w:val="12"/>
        </w:rPr>
        <w:t>sensation</w:t>
      </w:r>
      <w:r>
        <w:rPr>
          <w:rFonts w:ascii="Arial"/>
          <w:color w:val="231F20"/>
          <w:spacing w:val="10"/>
          <w:sz w:val="12"/>
        </w:rPr>
        <w:t> </w:t>
      </w:r>
      <w:r>
        <w:rPr>
          <w:rFonts w:ascii="Arial"/>
          <w:color w:val="231F20"/>
          <w:sz w:val="12"/>
        </w:rPr>
        <w:t>seeking.</w:t>
      </w:r>
      <w:r>
        <w:rPr>
          <w:rFonts w:ascii="Arial"/>
          <w:color w:val="231F20"/>
          <w:spacing w:val="10"/>
          <w:sz w:val="12"/>
        </w:rPr>
        <w:t> </w:t>
      </w:r>
      <w:r>
        <w:rPr>
          <w:rFonts w:ascii="Arial"/>
          <w:color w:val="231F20"/>
          <w:sz w:val="12"/>
        </w:rPr>
        <w:t>Dans</w:t>
      </w:r>
      <w:r>
        <w:rPr>
          <w:rFonts w:ascii="Arial"/>
          <w:color w:val="231F20"/>
          <w:spacing w:val="10"/>
          <w:sz w:val="12"/>
        </w:rPr>
        <w:t> </w:t>
      </w:r>
      <w:r>
        <w:rPr>
          <w:rFonts w:ascii="Arial"/>
          <w:color w:val="231F20"/>
          <w:sz w:val="12"/>
        </w:rPr>
        <w:t>G.</w:t>
      </w:r>
      <w:r>
        <w:rPr>
          <w:rFonts w:ascii="Arial"/>
          <w:color w:val="231F20"/>
          <w:spacing w:val="10"/>
          <w:sz w:val="12"/>
        </w:rPr>
        <w:t> </w:t>
      </w:r>
      <w:r>
        <w:rPr>
          <w:rFonts w:ascii="Arial"/>
          <w:color w:val="231F20"/>
          <w:sz w:val="12"/>
        </w:rPr>
        <w:t>J.</w:t>
      </w:r>
      <w:r>
        <w:rPr>
          <w:rFonts w:ascii="Arial"/>
          <w:color w:val="231F20"/>
          <w:spacing w:val="10"/>
          <w:sz w:val="12"/>
        </w:rPr>
        <w:t> </w:t>
      </w:r>
      <w:r>
        <w:rPr>
          <w:rFonts w:ascii="Arial"/>
          <w:color w:val="231F20"/>
          <w:sz w:val="12"/>
        </w:rPr>
        <w:t>Boyle,</w:t>
      </w:r>
      <w:r>
        <w:rPr>
          <w:rFonts w:ascii="Arial"/>
          <w:color w:val="231F20"/>
          <w:spacing w:val="10"/>
          <w:sz w:val="12"/>
        </w:rPr>
        <w:t> </w:t>
      </w:r>
      <w:r>
        <w:rPr>
          <w:rFonts w:ascii="Arial"/>
          <w:color w:val="231F20"/>
          <w:sz w:val="12"/>
        </w:rPr>
        <w:t>D.</w:t>
      </w:r>
      <w:r>
        <w:rPr>
          <w:rFonts w:ascii="Arial"/>
          <w:color w:val="231F20"/>
          <w:spacing w:val="10"/>
          <w:sz w:val="12"/>
        </w:rPr>
        <w:t> </w:t>
      </w:r>
      <w:r>
        <w:rPr>
          <w:rFonts w:ascii="Arial"/>
          <w:color w:val="231F20"/>
          <w:sz w:val="12"/>
        </w:rPr>
        <w:t>H.</w:t>
      </w:r>
      <w:r>
        <w:rPr>
          <w:rFonts w:ascii="Arial"/>
          <w:color w:val="231F20"/>
          <w:spacing w:val="10"/>
          <w:sz w:val="12"/>
        </w:rPr>
        <w:t> </w:t>
      </w:r>
      <w:r>
        <w:rPr>
          <w:rFonts w:ascii="Arial"/>
          <w:color w:val="231F20"/>
          <w:sz w:val="12"/>
        </w:rPr>
        <w:t>Saklofske</w:t>
      </w:r>
      <w:r>
        <w:rPr>
          <w:rFonts w:ascii="Arial"/>
          <w:color w:val="231F20"/>
          <w:spacing w:val="10"/>
          <w:sz w:val="12"/>
        </w:rPr>
        <w:t> </w:t>
      </w:r>
      <w:r>
        <w:rPr>
          <w:rFonts w:ascii="Arial"/>
          <w:color w:val="231F20"/>
          <w:spacing w:val="-5"/>
          <w:sz w:val="12"/>
        </w:rPr>
        <w:t>et</w:t>
      </w:r>
    </w:p>
    <w:p>
      <w:pPr>
        <w:spacing w:line="295" w:lineRule="auto" w:before="32"/>
        <w:ind w:left="829" w:right="494" w:firstLine="0"/>
        <w:jc w:val="both"/>
        <w:rPr>
          <w:rFonts w:ascii="Arial"/>
          <w:sz w:val="12"/>
        </w:rPr>
      </w:pPr>
      <w:r>
        <w:rPr>
          <w:rFonts w:ascii="Arial"/>
          <w:color w:val="231F20"/>
          <w:sz w:val="12"/>
        </w:rPr>
        <w:t>G. Matthews (dir.), </w:t>
      </w:r>
      <w:r>
        <w:rPr>
          <w:rFonts w:ascii="Arial"/>
          <w:i/>
          <w:color w:val="231F20"/>
          <w:sz w:val="12"/>
        </w:rPr>
        <w:t>Measures of Personality and Social Psychological Constructs</w:t>
      </w:r>
      <w:r>
        <w:rPr>
          <w:rFonts w:ascii="Arial"/>
          <w:color w:val="231F20"/>
          <w:sz w:val="12"/>
        </w:rPr>
        <w:t>, Oxford, Academic Press,</w:t>
      </w:r>
      <w:r>
        <w:rPr>
          <w:rFonts w:ascii="Arial"/>
          <w:color w:val="231F20"/>
          <w:spacing w:val="40"/>
          <w:sz w:val="12"/>
        </w:rPr>
        <w:t> </w:t>
      </w:r>
      <w:r>
        <w:rPr>
          <w:rFonts w:ascii="Arial"/>
          <w:color w:val="231F20"/>
          <w:sz w:val="12"/>
        </w:rPr>
        <w:t>p.</w:t>
      </w:r>
      <w:r>
        <w:rPr>
          <w:rFonts w:ascii="Arial"/>
          <w:color w:val="231F20"/>
          <w:spacing w:val="-9"/>
          <w:sz w:val="12"/>
        </w:rPr>
        <w:t> </w:t>
      </w:r>
      <w:r>
        <w:rPr>
          <w:rFonts w:ascii="Arial"/>
          <w:color w:val="231F20"/>
          <w:sz w:val="12"/>
        </w:rPr>
        <w:t>352-380.</w:t>
      </w:r>
    </w:p>
    <w:p>
      <w:pPr>
        <w:spacing w:after="0" w:line="295" w:lineRule="auto"/>
        <w:jc w:val="both"/>
        <w:rPr>
          <w:rFonts w:ascii="Arial"/>
          <w:sz w:val="12"/>
        </w:rPr>
        <w:sectPr>
          <w:footerReference w:type="default" r:id="rId207"/>
          <w:pgSz w:w="8640" w:h="12960"/>
          <w:pgMar w:footer="424" w:header="0" w:top="520" w:bottom="62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7"/>
        <w:jc w:val="both"/>
      </w:pPr>
      <w:r>
        <w:rPr>
          <w:color w:val="231F20"/>
          <w:spacing w:val="-2"/>
          <w:w w:val="120"/>
        </w:rPr>
        <w:t>d’alcool</w:t>
      </w:r>
      <w:r>
        <w:rPr>
          <w:color w:val="231F20"/>
          <w:spacing w:val="-7"/>
          <w:w w:val="120"/>
        </w:rPr>
        <w:t> </w:t>
      </w:r>
      <w:r>
        <w:rPr>
          <w:color w:val="231F20"/>
          <w:spacing w:val="-2"/>
          <w:w w:val="120"/>
        </w:rPr>
        <w:t>et</w:t>
      </w:r>
      <w:r>
        <w:rPr>
          <w:color w:val="231F20"/>
          <w:spacing w:val="-7"/>
          <w:w w:val="120"/>
        </w:rPr>
        <w:t> </w:t>
      </w:r>
      <w:r>
        <w:rPr>
          <w:color w:val="231F20"/>
          <w:spacing w:val="-2"/>
          <w:w w:val="120"/>
        </w:rPr>
        <w:t>des</w:t>
      </w:r>
      <w:r>
        <w:rPr>
          <w:color w:val="231F20"/>
          <w:spacing w:val="-7"/>
          <w:w w:val="120"/>
        </w:rPr>
        <w:t> </w:t>
      </w:r>
      <w:r>
        <w:rPr>
          <w:color w:val="231F20"/>
          <w:spacing w:val="-2"/>
          <w:w w:val="120"/>
        </w:rPr>
        <w:t>pratiques</w:t>
      </w:r>
      <w:r>
        <w:rPr>
          <w:color w:val="231F20"/>
          <w:spacing w:val="-7"/>
          <w:w w:val="120"/>
        </w:rPr>
        <w:t> </w:t>
      </w:r>
      <w:r>
        <w:rPr>
          <w:color w:val="231F20"/>
          <w:spacing w:val="-2"/>
          <w:w w:val="120"/>
        </w:rPr>
        <w:t>sexuelles</w:t>
      </w:r>
      <w:r>
        <w:rPr>
          <w:color w:val="231F20"/>
          <w:spacing w:val="-7"/>
          <w:w w:val="120"/>
        </w:rPr>
        <w:t> </w:t>
      </w:r>
      <w:r>
        <w:rPr>
          <w:color w:val="231F20"/>
          <w:spacing w:val="-2"/>
          <w:w w:val="120"/>
        </w:rPr>
        <w:t>hors</w:t>
      </w:r>
      <w:r>
        <w:rPr>
          <w:color w:val="231F20"/>
          <w:spacing w:val="-7"/>
          <w:w w:val="120"/>
        </w:rPr>
        <w:t> </w:t>
      </w:r>
      <w:r>
        <w:rPr>
          <w:color w:val="231F20"/>
          <w:spacing w:val="-2"/>
          <w:w w:val="120"/>
        </w:rPr>
        <w:t>normes.</w:t>
      </w:r>
      <w:r>
        <w:rPr>
          <w:color w:val="231F20"/>
          <w:spacing w:val="-7"/>
          <w:w w:val="120"/>
        </w:rPr>
        <w:t> </w:t>
      </w:r>
      <w:r>
        <w:rPr>
          <w:color w:val="231F20"/>
          <w:spacing w:val="-2"/>
          <w:w w:val="120"/>
        </w:rPr>
        <w:t>Enfin,</w:t>
      </w:r>
      <w:r>
        <w:rPr>
          <w:color w:val="231F20"/>
          <w:spacing w:val="-7"/>
          <w:w w:val="120"/>
        </w:rPr>
        <w:t> </w:t>
      </w:r>
      <w:r>
        <w:rPr>
          <w:color w:val="231F20"/>
          <w:spacing w:val="-2"/>
          <w:w w:val="120"/>
        </w:rPr>
        <w:t>les</w:t>
      </w:r>
      <w:r>
        <w:rPr>
          <w:color w:val="231F20"/>
          <w:spacing w:val="-7"/>
          <w:w w:val="120"/>
        </w:rPr>
        <w:t> </w:t>
      </w:r>
      <w:r>
        <w:rPr>
          <w:color w:val="231F20"/>
          <w:spacing w:val="-2"/>
          <w:w w:val="120"/>
        </w:rPr>
        <w:t>chercheurs</w:t>
      </w:r>
      <w:r>
        <w:rPr>
          <w:color w:val="231F20"/>
          <w:spacing w:val="-7"/>
          <w:w w:val="120"/>
        </w:rPr>
        <w:t> </w:t>
      </w:r>
      <w:r>
        <w:rPr>
          <w:color w:val="231F20"/>
          <w:spacing w:val="-2"/>
          <w:w w:val="120"/>
        </w:rPr>
        <w:t>de </w:t>
      </w:r>
      <w:r>
        <w:rPr>
          <w:color w:val="231F20"/>
          <w:w w:val="120"/>
        </w:rPr>
        <w:t>sensations sont très portés à trouver ennuyants les expériences répéti- tives,</w:t>
      </w:r>
      <w:r>
        <w:rPr>
          <w:color w:val="231F20"/>
          <w:spacing w:val="-14"/>
          <w:w w:val="120"/>
        </w:rPr>
        <w:t> </w:t>
      </w:r>
      <w:r>
        <w:rPr>
          <w:color w:val="231F20"/>
          <w:w w:val="120"/>
        </w:rPr>
        <w:t>les</w:t>
      </w:r>
      <w:r>
        <w:rPr>
          <w:color w:val="231F20"/>
          <w:spacing w:val="-15"/>
          <w:w w:val="120"/>
        </w:rPr>
        <w:t> </w:t>
      </w:r>
      <w:r>
        <w:rPr>
          <w:color w:val="231F20"/>
          <w:w w:val="120"/>
        </w:rPr>
        <w:t>activités</w:t>
      </w:r>
      <w:r>
        <w:rPr>
          <w:color w:val="231F20"/>
          <w:spacing w:val="-14"/>
          <w:w w:val="120"/>
        </w:rPr>
        <w:t> </w:t>
      </w:r>
      <w:r>
        <w:rPr>
          <w:color w:val="231F20"/>
          <w:w w:val="120"/>
        </w:rPr>
        <w:t>ou</w:t>
      </w:r>
      <w:r>
        <w:rPr>
          <w:color w:val="231F20"/>
          <w:spacing w:val="-14"/>
          <w:w w:val="120"/>
        </w:rPr>
        <w:t> </w:t>
      </w:r>
      <w:r>
        <w:rPr>
          <w:color w:val="231F20"/>
          <w:w w:val="120"/>
        </w:rPr>
        <w:t>les</w:t>
      </w:r>
      <w:r>
        <w:rPr>
          <w:color w:val="231F20"/>
          <w:spacing w:val="-14"/>
          <w:w w:val="120"/>
        </w:rPr>
        <w:t> </w:t>
      </w:r>
      <w:r>
        <w:rPr>
          <w:color w:val="231F20"/>
          <w:w w:val="120"/>
        </w:rPr>
        <w:t>personnes</w:t>
      </w:r>
      <w:r>
        <w:rPr>
          <w:color w:val="231F20"/>
          <w:spacing w:val="-14"/>
          <w:w w:val="120"/>
        </w:rPr>
        <w:t> </w:t>
      </w:r>
      <w:r>
        <w:rPr>
          <w:color w:val="231F20"/>
          <w:w w:val="120"/>
        </w:rPr>
        <w:t>prévisibles,</w:t>
      </w:r>
      <w:r>
        <w:rPr>
          <w:color w:val="231F20"/>
          <w:spacing w:val="-14"/>
          <w:w w:val="120"/>
        </w:rPr>
        <w:t> </w:t>
      </w:r>
      <w:r>
        <w:rPr>
          <w:color w:val="231F20"/>
          <w:w w:val="120"/>
        </w:rPr>
        <w:t>et</w:t>
      </w:r>
      <w:r>
        <w:rPr>
          <w:color w:val="231F20"/>
          <w:spacing w:val="-14"/>
          <w:w w:val="120"/>
        </w:rPr>
        <w:t> </w:t>
      </w:r>
      <w:r>
        <w:rPr>
          <w:color w:val="231F20"/>
          <w:w w:val="120"/>
        </w:rPr>
        <w:t>les</w:t>
      </w:r>
      <w:r>
        <w:rPr>
          <w:color w:val="231F20"/>
          <w:spacing w:val="-14"/>
          <w:w w:val="120"/>
        </w:rPr>
        <w:t> </w:t>
      </w:r>
      <w:r>
        <w:rPr>
          <w:color w:val="231F20"/>
          <w:w w:val="120"/>
        </w:rPr>
        <w:t>travaux</w:t>
      </w:r>
      <w:r>
        <w:rPr>
          <w:color w:val="231F20"/>
          <w:spacing w:val="-14"/>
          <w:w w:val="120"/>
        </w:rPr>
        <w:t> </w:t>
      </w:r>
      <w:r>
        <w:rPr>
          <w:color w:val="231F20"/>
          <w:spacing w:val="-2"/>
          <w:w w:val="120"/>
        </w:rPr>
        <w:t>routiniers.</w:t>
      </w:r>
    </w:p>
    <w:p>
      <w:pPr>
        <w:pStyle w:val="BodyText"/>
        <w:spacing w:line="307" w:lineRule="auto" w:before="80"/>
        <w:ind w:left="1220" w:right="102" w:firstLine="250"/>
        <w:jc w:val="both"/>
      </w:pPr>
      <w:r>
        <w:rPr>
          <w:color w:val="231F20"/>
          <w:spacing w:val="-2"/>
          <w:w w:val="120"/>
        </w:rPr>
        <w:t>En</w:t>
      </w:r>
      <w:r>
        <w:rPr>
          <w:color w:val="231F20"/>
          <w:spacing w:val="-11"/>
          <w:w w:val="120"/>
        </w:rPr>
        <w:t> </w:t>
      </w:r>
      <w:r>
        <w:rPr>
          <w:color w:val="231F20"/>
          <w:spacing w:val="-2"/>
          <w:w w:val="120"/>
        </w:rPr>
        <w:t>général,</w:t>
      </w:r>
      <w:r>
        <w:rPr>
          <w:color w:val="231F20"/>
          <w:spacing w:val="-11"/>
          <w:w w:val="120"/>
        </w:rPr>
        <w:t> </w:t>
      </w:r>
      <w:r>
        <w:rPr>
          <w:color w:val="231F20"/>
          <w:spacing w:val="-2"/>
          <w:w w:val="120"/>
        </w:rPr>
        <w:t>tel</w:t>
      </w:r>
      <w:r>
        <w:rPr>
          <w:color w:val="231F20"/>
          <w:spacing w:val="-11"/>
          <w:w w:val="120"/>
        </w:rPr>
        <w:t> </w:t>
      </w:r>
      <w:r>
        <w:rPr>
          <w:color w:val="231F20"/>
          <w:spacing w:val="-2"/>
          <w:w w:val="120"/>
        </w:rPr>
        <w:t>que</w:t>
      </w:r>
      <w:r>
        <w:rPr>
          <w:color w:val="231F20"/>
          <w:spacing w:val="-10"/>
          <w:w w:val="120"/>
        </w:rPr>
        <w:t> </w:t>
      </w:r>
      <w:r>
        <w:rPr>
          <w:color w:val="231F20"/>
          <w:spacing w:val="-2"/>
          <w:w w:val="120"/>
        </w:rPr>
        <w:t>le</w:t>
      </w:r>
      <w:r>
        <w:rPr>
          <w:color w:val="231F20"/>
          <w:spacing w:val="-11"/>
          <w:w w:val="120"/>
        </w:rPr>
        <w:t> </w:t>
      </w:r>
      <w:r>
        <w:rPr>
          <w:color w:val="231F20"/>
          <w:spacing w:val="-2"/>
          <w:w w:val="120"/>
        </w:rPr>
        <w:t>mentionne</w:t>
      </w:r>
      <w:r>
        <w:rPr>
          <w:color w:val="231F20"/>
          <w:spacing w:val="-11"/>
          <w:w w:val="120"/>
        </w:rPr>
        <w:t> </w:t>
      </w:r>
      <w:r>
        <w:rPr>
          <w:color w:val="231F20"/>
          <w:spacing w:val="-2"/>
          <w:w w:val="120"/>
        </w:rPr>
        <w:t>Zuckerman,</w:t>
      </w:r>
      <w:r>
        <w:rPr>
          <w:color w:val="231F20"/>
          <w:spacing w:val="-11"/>
          <w:w w:val="120"/>
        </w:rPr>
        <w:t> </w:t>
      </w:r>
      <w:r>
        <w:rPr>
          <w:color w:val="231F20"/>
          <w:spacing w:val="-2"/>
          <w:w w:val="120"/>
        </w:rPr>
        <w:t>les</w:t>
      </w:r>
      <w:r>
        <w:rPr>
          <w:color w:val="231F20"/>
          <w:spacing w:val="-10"/>
          <w:w w:val="120"/>
        </w:rPr>
        <w:t> </w:t>
      </w:r>
      <w:r>
        <w:rPr>
          <w:color w:val="231F20"/>
          <w:spacing w:val="-2"/>
          <w:w w:val="120"/>
        </w:rPr>
        <w:t>hommes</w:t>
      </w:r>
      <w:r>
        <w:rPr>
          <w:color w:val="231F20"/>
          <w:spacing w:val="-11"/>
          <w:w w:val="120"/>
        </w:rPr>
        <w:t> </w:t>
      </w:r>
      <w:r>
        <w:rPr>
          <w:color w:val="231F20"/>
          <w:spacing w:val="-2"/>
          <w:w w:val="120"/>
        </w:rPr>
        <w:t>manifestent </w:t>
      </w:r>
      <w:r>
        <w:rPr>
          <w:color w:val="231F20"/>
          <w:w w:val="120"/>
        </w:rPr>
        <w:t>habituellement une plus forte propension globale que les femmes à la recherche</w:t>
      </w:r>
      <w:r>
        <w:rPr>
          <w:color w:val="231F20"/>
          <w:spacing w:val="-1"/>
          <w:w w:val="120"/>
        </w:rPr>
        <w:t> </w:t>
      </w:r>
      <w:r>
        <w:rPr>
          <w:color w:val="231F20"/>
          <w:w w:val="120"/>
        </w:rPr>
        <w:t>de</w:t>
      </w:r>
      <w:r>
        <w:rPr>
          <w:color w:val="231F20"/>
          <w:spacing w:val="-1"/>
          <w:w w:val="120"/>
        </w:rPr>
        <w:t> </w:t>
      </w:r>
      <w:r>
        <w:rPr>
          <w:color w:val="231F20"/>
          <w:w w:val="120"/>
        </w:rPr>
        <w:t>sensations.</w:t>
      </w:r>
      <w:r>
        <w:rPr>
          <w:color w:val="231F20"/>
          <w:spacing w:val="-1"/>
          <w:w w:val="120"/>
        </w:rPr>
        <w:t> </w:t>
      </w:r>
      <w:r>
        <w:rPr>
          <w:color w:val="231F20"/>
          <w:w w:val="120"/>
        </w:rPr>
        <w:t>Les</w:t>
      </w:r>
      <w:r>
        <w:rPr>
          <w:color w:val="231F20"/>
          <w:spacing w:val="-1"/>
          <w:w w:val="120"/>
        </w:rPr>
        <w:t> </w:t>
      </w:r>
      <w:r>
        <w:rPr>
          <w:color w:val="231F20"/>
          <w:w w:val="120"/>
        </w:rPr>
        <w:t>personnes</w:t>
      </w:r>
      <w:r>
        <w:rPr>
          <w:color w:val="231F20"/>
          <w:spacing w:val="-1"/>
          <w:w w:val="120"/>
        </w:rPr>
        <w:t> </w:t>
      </w:r>
      <w:r>
        <w:rPr>
          <w:color w:val="231F20"/>
          <w:w w:val="120"/>
        </w:rPr>
        <w:t>qui</w:t>
      </w:r>
      <w:r>
        <w:rPr>
          <w:color w:val="231F20"/>
          <w:spacing w:val="-1"/>
          <w:w w:val="120"/>
        </w:rPr>
        <w:t> </w:t>
      </w:r>
      <w:r>
        <w:rPr>
          <w:color w:val="231F20"/>
          <w:w w:val="120"/>
        </w:rPr>
        <w:t>ont</w:t>
      </w:r>
      <w:r>
        <w:rPr>
          <w:color w:val="231F20"/>
          <w:spacing w:val="-1"/>
          <w:w w:val="120"/>
        </w:rPr>
        <w:t> </w:t>
      </w:r>
      <w:r>
        <w:rPr>
          <w:color w:val="231F20"/>
          <w:w w:val="120"/>
        </w:rPr>
        <w:t>vécu</w:t>
      </w:r>
      <w:r>
        <w:rPr>
          <w:color w:val="231F20"/>
          <w:spacing w:val="-1"/>
          <w:w w:val="120"/>
        </w:rPr>
        <w:t> </w:t>
      </w:r>
      <w:r>
        <w:rPr>
          <w:color w:val="231F20"/>
          <w:w w:val="120"/>
        </w:rPr>
        <w:t>un</w:t>
      </w:r>
      <w:r>
        <w:rPr>
          <w:color w:val="231F20"/>
          <w:spacing w:val="-1"/>
          <w:w w:val="120"/>
        </w:rPr>
        <w:t> </w:t>
      </w:r>
      <w:r>
        <w:rPr>
          <w:color w:val="231F20"/>
          <w:w w:val="120"/>
        </w:rPr>
        <w:t>divorce</w:t>
      </w:r>
      <w:r>
        <w:rPr>
          <w:color w:val="231F20"/>
          <w:spacing w:val="-1"/>
          <w:w w:val="120"/>
        </w:rPr>
        <w:t> </w:t>
      </w:r>
      <w:r>
        <w:rPr>
          <w:color w:val="231F20"/>
          <w:w w:val="120"/>
        </w:rPr>
        <w:t>ont</w:t>
      </w:r>
      <w:r>
        <w:rPr>
          <w:color w:val="231F20"/>
          <w:spacing w:val="-1"/>
          <w:w w:val="120"/>
        </w:rPr>
        <w:t> </w:t>
      </w:r>
      <w:r>
        <w:rPr>
          <w:color w:val="231F20"/>
          <w:w w:val="120"/>
        </w:rPr>
        <w:t>en moyenne</w:t>
      </w:r>
      <w:r>
        <w:rPr>
          <w:color w:val="231F20"/>
          <w:spacing w:val="-10"/>
          <w:w w:val="120"/>
        </w:rPr>
        <w:t> </w:t>
      </w:r>
      <w:r>
        <w:rPr>
          <w:color w:val="231F20"/>
          <w:w w:val="120"/>
        </w:rPr>
        <w:t>un</w:t>
      </w:r>
      <w:r>
        <w:rPr>
          <w:color w:val="231F20"/>
          <w:spacing w:val="-10"/>
          <w:w w:val="120"/>
        </w:rPr>
        <w:t> </w:t>
      </w:r>
      <w:r>
        <w:rPr>
          <w:color w:val="231F20"/>
          <w:w w:val="120"/>
        </w:rPr>
        <w:t>score</w:t>
      </w:r>
      <w:r>
        <w:rPr>
          <w:color w:val="231F20"/>
          <w:spacing w:val="-10"/>
          <w:w w:val="120"/>
        </w:rPr>
        <w:t> </w:t>
      </w:r>
      <w:r>
        <w:rPr>
          <w:color w:val="231F20"/>
          <w:w w:val="120"/>
        </w:rPr>
        <w:t>plus</w:t>
      </w:r>
      <w:r>
        <w:rPr>
          <w:color w:val="231F20"/>
          <w:spacing w:val="-10"/>
          <w:w w:val="120"/>
        </w:rPr>
        <w:t> </w:t>
      </w:r>
      <w:r>
        <w:rPr>
          <w:color w:val="231F20"/>
          <w:w w:val="120"/>
        </w:rPr>
        <w:t>élevé</w:t>
      </w:r>
      <w:r>
        <w:rPr>
          <w:color w:val="231F20"/>
          <w:spacing w:val="-10"/>
          <w:w w:val="120"/>
        </w:rPr>
        <w:t> </w:t>
      </w:r>
      <w:r>
        <w:rPr>
          <w:color w:val="231F20"/>
          <w:w w:val="120"/>
        </w:rPr>
        <w:t>que</w:t>
      </w:r>
      <w:r>
        <w:rPr>
          <w:color w:val="231F20"/>
          <w:spacing w:val="-10"/>
          <w:w w:val="120"/>
        </w:rPr>
        <w:t> </w:t>
      </w:r>
      <w:r>
        <w:rPr>
          <w:color w:val="231F20"/>
          <w:w w:val="120"/>
        </w:rPr>
        <w:t>les</w:t>
      </w:r>
      <w:r>
        <w:rPr>
          <w:color w:val="231F20"/>
          <w:spacing w:val="-10"/>
          <w:w w:val="120"/>
        </w:rPr>
        <w:t> </w:t>
      </w:r>
      <w:r>
        <w:rPr>
          <w:color w:val="231F20"/>
          <w:w w:val="120"/>
        </w:rPr>
        <w:t>personnes</w:t>
      </w:r>
      <w:r>
        <w:rPr>
          <w:color w:val="231F20"/>
          <w:spacing w:val="-10"/>
          <w:w w:val="120"/>
        </w:rPr>
        <w:t> </w:t>
      </w:r>
      <w:r>
        <w:rPr>
          <w:color w:val="231F20"/>
          <w:w w:val="120"/>
        </w:rPr>
        <w:t>mariées</w:t>
      </w:r>
      <w:r>
        <w:rPr>
          <w:color w:val="231F20"/>
          <w:spacing w:val="-10"/>
          <w:w w:val="120"/>
        </w:rPr>
        <w:t> </w:t>
      </w:r>
      <w:r>
        <w:rPr>
          <w:color w:val="231F20"/>
          <w:w w:val="120"/>
        </w:rPr>
        <w:t>ou</w:t>
      </w:r>
      <w:r>
        <w:rPr>
          <w:color w:val="231F20"/>
          <w:spacing w:val="-10"/>
          <w:w w:val="120"/>
        </w:rPr>
        <w:t> </w:t>
      </w:r>
      <w:r>
        <w:rPr>
          <w:color w:val="231F20"/>
          <w:w w:val="120"/>
        </w:rPr>
        <w:t>célibataires. Les</w:t>
      </w:r>
      <w:r>
        <w:rPr>
          <w:color w:val="231F20"/>
          <w:spacing w:val="-8"/>
          <w:w w:val="120"/>
        </w:rPr>
        <w:t> </w:t>
      </w:r>
      <w:r>
        <w:rPr>
          <w:color w:val="231F20"/>
          <w:w w:val="120"/>
        </w:rPr>
        <w:t>comportements</w:t>
      </w:r>
      <w:r>
        <w:rPr>
          <w:color w:val="231F20"/>
          <w:spacing w:val="-8"/>
          <w:w w:val="120"/>
        </w:rPr>
        <w:t> </w:t>
      </w:r>
      <w:r>
        <w:rPr>
          <w:color w:val="231F20"/>
          <w:w w:val="120"/>
        </w:rPr>
        <w:t>de</w:t>
      </w:r>
      <w:r>
        <w:rPr>
          <w:color w:val="231F20"/>
          <w:spacing w:val="-8"/>
          <w:w w:val="120"/>
        </w:rPr>
        <w:t> </w:t>
      </w:r>
      <w:r>
        <w:rPr>
          <w:color w:val="231F20"/>
          <w:w w:val="120"/>
        </w:rPr>
        <w:t>recherche</w:t>
      </w:r>
      <w:r>
        <w:rPr>
          <w:color w:val="231F20"/>
          <w:spacing w:val="-8"/>
          <w:w w:val="120"/>
        </w:rPr>
        <w:t> </w:t>
      </w:r>
      <w:r>
        <w:rPr>
          <w:color w:val="231F20"/>
          <w:w w:val="120"/>
        </w:rPr>
        <w:t>de</w:t>
      </w:r>
      <w:r>
        <w:rPr>
          <w:color w:val="231F20"/>
          <w:spacing w:val="-8"/>
          <w:w w:val="120"/>
        </w:rPr>
        <w:t> </w:t>
      </w:r>
      <w:r>
        <w:rPr>
          <w:color w:val="231F20"/>
          <w:w w:val="120"/>
        </w:rPr>
        <w:t>sensations</w:t>
      </w:r>
      <w:r>
        <w:rPr>
          <w:color w:val="231F20"/>
          <w:spacing w:val="-8"/>
          <w:w w:val="120"/>
        </w:rPr>
        <w:t> </w:t>
      </w:r>
      <w:r>
        <w:rPr>
          <w:color w:val="231F20"/>
          <w:w w:val="120"/>
        </w:rPr>
        <w:t>semblent</w:t>
      </w:r>
      <w:r>
        <w:rPr>
          <w:color w:val="231F20"/>
          <w:spacing w:val="-8"/>
          <w:w w:val="120"/>
        </w:rPr>
        <w:t> </w:t>
      </w:r>
      <w:r>
        <w:rPr>
          <w:color w:val="231F20"/>
          <w:w w:val="120"/>
        </w:rPr>
        <w:t>plafonner</w:t>
      </w:r>
      <w:r>
        <w:rPr>
          <w:color w:val="231F20"/>
          <w:spacing w:val="-8"/>
          <w:w w:val="120"/>
        </w:rPr>
        <w:t> </w:t>
      </w:r>
      <w:r>
        <w:rPr>
          <w:color w:val="231F20"/>
          <w:w w:val="120"/>
        </w:rPr>
        <w:t>à</w:t>
      </w:r>
      <w:r>
        <w:rPr>
          <w:color w:val="231F20"/>
          <w:spacing w:val="-8"/>
          <w:w w:val="120"/>
        </w:rPr>
        <w:t> </w:t>
      </w:r>
      <w:r>
        <w:rPr>
          <w:color w:val="231F20"/>
          <w:w w:val="120"/>
        </w:rPr>
        <w:t>la fin</w:t>
      </w:r>
      <w:r>
        <w:rPr>
          <w:color w:val="231F20"/>
          <w:spacing w:val="-4"/>
          <w:w w:val="120"/>
        </w:rPr>
        <w:t> </w:t>
      </w:r>
      <w:r>
        <w:rPr>
          <w:color w:val="231F20"/>
          <w:w w:val="120"/>
        </w:rPr>
        <w:t>de</w:t>
      </w:r>
      <w:r>
        <w:rPr>
          <w:color w:val="231F20"/>
          <w:spacing w:val="-4"/>
          <w:w w:val="120"/>
        </w:rPr>
        <w:t> </w:t>
      </w:r>
      <w:r>
        <w:rPr>
          <w:color w:val="231F20"/>
          <w:w w:val="120"/>
        </w:rPr>
        <w:t>l’adolescence</w:t>
      </w:r>
      <w:r>
        <w:rPr>
          <w:color w:val="231F20"/>
          <w:spacing w:val="-4"/>
          <w:w w:val="120"/>
        </w:rPr>
        <w:t> </w:t>
      </w:r>
      <w:r>
        <w:rPr>
          <w:color w:val="231F20"/>
          <w:w w:val="120"/>
        </w:rPr>
        <w:t>et</w:t>
      </w:r>
      <w:r>
        <w:rPr>
          <w:color w:val="231F20"/>
          <w:spacing w:val="-4"/>
          <w:w w:val="120"/>
        </w:rPr>
        <w:t> </w:t>
      </w:r>
      <w:r>
        <w:rPr>
          <w:color w:val="231F20"/>
          <w:w w:val="120"/>
        </w:rPr>
        <w:t>au</w:t>
      </w:r>
      <w:r>
        <w:rPr>
          <w:color w:val="231F20"/>
          <w:spacing w:val="-4"/>
          <w:w w:val="120"/>
        </w:rPr>
        <w:t> </w:t>
      </w:r>
      <w:r>
        <w:rPr>
          <w:color w:val="231F20"/>
          <w:w w:val="120"/>
        </w:rPr>
        <w:t>début</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vingtaine,</w:t>
      </w:r>
      <w:r>
        <w:rPr>
          <w:color w:val="231F20"/>
          <w:spacing w:val="-4"/>
          <w:w w:val="120"/>
        </w:rPr>
        <w:t> </w:t>
      </w:r>
      <w:r>
        <w:rPr>
          <w:color w:val="231F20"/>
          <w:w w:val="120"/>
        </w:rPr>
        <w:t>puis</w:t>
      </w:r>
      <w:r>
        <w:rPr>
          <w:color w:val="231F20"/>
          <w:spacing w:val="-4"/>
          <w:w w:val="120"/>
        </w:rPr>
        <w:t> </w:t>
      </w:r>
      <w:r>
        <w:rPr>
          <w:color w:val="231F20"/>
          <w:w w:val="120"/>
        </w:rPr>
        <w:t>décliner</w:t>
      </w:r>
      <w:r>
        <w:rPr>
          <w:color w:val="231F20"/>
          <w:spacing w:val="-4"/>
          <w:w w:val="120"/>
        </w:rPr>
        <w:t> </w:t>
      </w:r>
      <w:r>
        <w:rPr>
          <w:color w:val="231F20"/>
          <w:w w:val="120"/>
        </w:rPr>
        <w:t>à</w:t>
      </w:r>
      <w:r>
        <w:rPr>
          <w:color w:val="231F20"/>
          <w:spacing w:val="-4"/>
          <w:w w:val="120"/>
        </w:rPr>
        <w:t> </w:t>
      </w:r>
      <w:r>
        <w:rPr>
          <w:color w:val="231F20"/>
          <w:w w:val="120"/>
        </w:rPr>
        <w:t>mesure que</w:t>
      </w:r>
      <w:r>
        <w:rPr>
          <w:color w:val="231F20"/>
          <w:spacing w:val="-6"/>
          <w:w w:val="120"/>
        </w:rPr>
        <w:t> </w:t>
      </w:r>
      <w:r>
        <w:rPr>
          <w:color w:val="231F20"/>
          <w:w w:val="120"/>
        </w:rPr>
        <w:t>la</w:t>
      </w:r>
      <w:r>
        <w:rPr>
          <w:color w:val="231F20"/>
          <w:spacing w:val="-6"/>
          <w:w w:val="120"/>
        </w:rPr>
        <w:t> </w:t>
      </w:r>
      <w:r>
        <w:rPr>
          <w:color w:val="231F20"/>
          <w:w w:val="120"/>
        </w:rPr>
        <w:t>personne</w:t>
      </w:r>
      <w:r>
        <w:rPr>
          <w:color w:val="231F20"/>
          <w:spacing w:val="-6"/>
          <w:w w:val="120"/>
        </w:rPr>
        <w:t> </w:t>
      </w:r>
      <w:r>
        <w:rPr>
          <w:color w:val="231F20"/>
          <w:w w:val="120"/>
        </w:rPr>
        <w:t>avance</w:t>
      </w:r>
      <w:r>
        <w:rPr>
          <w:color w:val="231F20"/>
          <w:spacing w:val="-6"/>
          <w:w w:val="120"/>
        </w:rPr>
        <w:t> </w:t>
      </w:r>
      <w:r>
        <w:rPr>
          <w:color w:val="231F20"/>
          <w:w w:val="120"/>
        </w:rPr>
        <w:t>en</w:t>
      </w:r>
      <w:r>
        <w:rPr>
          <w:color w:val="231F20"/>
          <w:spacing w:val="-6"/>
          <w:w w:val="120"/>
        </w:rPr>
        <w:t> </w:t>
      </w:r>
      <w:r>
        <w:rPr>
          <w:color w:val="231F20"/>
          <w:w w:val="120"/>
        </w:rPr>
        <w:t>âge.</w:t>
      </w:r>
      <w:r>
        <w:rPr>
          <w:color w:val="231F20"/>
          <w:spacing w:val="-6"/>
          <w:w w:val="120"/>
        </w:rPr>
        <w:t> </w:t>
      </w:r>
      <w:r>
        <w:rPr>
          <w:color w:val="231F20"/>
          <w:w w:val="120"/>
        </w:rPr>
        <w:t>Les</w:t>
      </w:r>
      <w:r>
        <w:rPr>
          <w:color w:val="231F20"/>
          <w:spacing w:val="-6"/>
          <w:w w:val="120"/>
        </w:rPr>
        <w:t> </w:t>
      </w:r>
      <w:r>
        <w:rPr>
          <w:color w:val="231F20"/>
          <w:w w:val="120"/>
        </w:rPr>
        <w:t>personnes</w:t>
      </w:r>
      <w:r>
        <w:rPr>
          <w:color w:val="231F20"/>
          <w:spacing w:val="-6"/>
          <w:w w:val="120"/>
        </w:rPr>
        <w:t> </w:t>
      </w:r>
      <w:r>
        <w:rPr>
          <w:color w:val="231F20"/>
          <w:w w:val="120"/>
        </w:rPr>
        <w:t>qui</w:t>
      </w:r>
      <w:r>
        <w:rPr>
          <w:color w:val="231F20"/>
          <w:spacing w:val="-6"/>
          <w:w w:val="120"/>
        </w:rPr>
        <w:t> </w:t>
      </w:r>
      <w:r>
        <w:rPr>
          <w:color w:val="231F20"/>
          <w:w w:val="120"/>
        </w:rPr>
        <w:t>pratiquent</w:t>
      </w:r>
      <w:r>
        <w:rPr>
          <w:color w:val="231F20"/>
          <w:spacing w:val="-6"/>
          <w:w w:val="120"/>
        </w:rPr>
        <w:t> </w:t>
      </w:r>
      <w:r>
        <w:rPr>
          <w:color w:val="231F20"/>
          <w:w w:val="120"/>
        </w:rPr>
        <w:t>régulière- </w:t>
      </w:r>
      <w:r>
        <w:rPr>
          <w:color w:val="231F20"/>
          <w:spacing w:val="-2"/>
          <w:w w:val="120"/>
        </w:rPr>
        <w:t>ment</w:t>
      </w:r>
      <w:r>
        <w:rPr>
          <w:color w:val="231F20"/>
          <w:spacing w:val="-11"/>
          <w:w w:val="120"/>
        </w:rPr>
        <w:t> </w:t>
      </w:r>
      <w:r>
        <w:rPr>
          <w:color w:val="231F20"/>
          <w:spacing w:val="-2"/>
          <w:w w:val="120"/>
        </w:rPr>
        <w:t>une</w:t>
      </w:r>
      <w:r>
        <w:rPr>
          <w:color w:val="231F20"/>
          <w:spacing w:val="-11"/>
          <w:w w:val="120"/>
        </w:rPr>
        <w:t> </w:t>
      </w:r>
      <w:r>
        <w:rPr>
          <w:color w:val="231F20"/>
          <w:spacing w:val="-2"/>
          <w:w w:val="120"/>
        </w:rPr>
        <w:t>religion</w:t>
      </w:r>
      <w:r>
        <w:rPr>
          <w:color w:val="231F20"/>
          <w:spacing w:val="-11"/>
          <w:w w:val="120"/>
        </w:rPr>
        <w:t> </w:t>
      </w:r>
      <w:r>
        <w:rPr>
          <w:color w:val="231F20"/>
          <w:spacing w:val="-2"/>
          <w:w w:val="120"/>
        </w:rPr>
        <w:t>conventionnelle</w:t>
      </w:r>
      <w:r>
        <w:rPr>
          <w:color w:val="231F20"/>
          <w:spacing w:val="-10"/>
          <w:w w:val="120"/>
        </w:rPr>
        <w:t> </w:t>
      </w:r>
      <w:r>
        <w:rPr>
          <w:color w:val="231F20"/>
          <w:spacing w:val="-2"/>
          <w:w w:val="120"/>
        </w:rPr>
        <w:t>sont</w:t>
      </w:r>
      <w:r>
        <w:rPr>
          <w:color w:val="231F20"/>
          <w:spacing w:val="-11"/>
          <w:w w:val="120"/>
        </w:rPr>
        <w:t> </w:t>
      </w:r>
      <w:r>
        <w:rPr>
          <w:color w:val="231F20"/>
          <w:spacing w:val="-2"/>
          <w:w w:val="120"/>
        </w:rPr>
        <w:t>plus</w:t>
      </w:r>
      <w:r>
        <w:rPr>
          <w:color w:val="231F20"/>
          <w:spacing w:val="-11"/>
          <w:w w:val="120"/>
        </w:rPr>
        <w:t> </w:t>
      </w:r>
      <w:r>
        <w:rPr>
          <w:color w:val="231F20"/>
          <w:spacing w:val="-2"/>
          <w:w w:val="120"/>
        </w:rPr>
        <w:t>susceptibles</w:t>
      </w:r>
      <w:r>
        <w:rPr>
          <w:color w:val="231F20"/>
          <w:spacing w:val="-11"/>
          <w:w w:val="120"/>
        </w:rPr>
        <w:t> </w:t>
      </w:r>
      <w:r>
        <w:rPr>
          <w:color w:val="231F20"/>
          <w:spacing w:val="-2"/>
          <w:w w:val="120"/>
        </w:rPr>
        <w:t>que</w:t>
      </w:r>
      <w:r>
        <w:rPr>
          <w:color w:val="231F20"/>
          <w:spacing w:val="-10"/>
          <w:w w:val="120"/>
        </w:rPr>
        <w:t> </w:t>
      </w:r>
      <w:r>
        <w:rPr>
          <w:color w:val="231F20"/>
          <w:spacing w:val="-2"/>
          <w:w w:val="120"/>
        </w:rPr>
        <w:t>la</w:t>
      </w:r>
      <w:r>
        <w:rPr>
          <w:color w:val="231F20"/>
          <w:spacing w:val="-11"/>
          <w:w w:val="120"/>
        </w:rPr>
        <w:t> </w:t>
      </w:r>
      <w:r>
        <w:rPr>
          <w:color w:val="231F20"/>
          <w:spacing w:val="-2"/>
          <w:w w:val="120"/>
        </w:rPr>
        <w:t>moyenne </w:t>
      </w:r>
      <w:r>
        <w:rPr>
          <w:color w:val="231F20"/>
          <w:w w:val="120"/>
        </w:rPr>
        <w:t>de se trouver dans la catégorie des non-adeptes de sensations fortes. L’</w:t>
      </w:r>
      <w:r>
        <w:rPr>
          <w:i/>
          <w:color w:val="231F20"/>
          <w:w w:val="120"/>
        </w:rPr>
        <w:t>Échelle</w:t>
      </w:r>
      <w:r>
        <w:rPr>
          <w:i/>
          <w:color w:val="231F20"/>
          <w:spacing w:val="-2"/>
          <w:w w:val="120"/>
        </w:rPr>
        <w:t> </w:t>
      </w:r>
      <w:r>
        <w:rPr>
          <w:i/>
          <w:color w:val="231F20"/>
          <w:w w:val="120"/>
        </w:rPr>
        <w:t>de</w:t>
      </w:r>
      <w:r>
        <w:rPr>
          <w:i/>
          <w:color w:val="231F20"/>
          <w:spacing w:val="-2"/>
          <w:w w:val="120"/>
        </w:rPr>
        <w:t> </w:t>
      </w:r>
      <w:r>
        <w:rPr>
          <w:i/>
          <w:color w:val="231F20"/>
          <w:w w:val="120"/>
        </w:rPr>
        <w:t>Zuckerman</w:t>
      </w:r>
      <w:r>
        <w:rPr>
          <w:i/>
          <w:color w:val="231F20"/>
          <w:spacing w:val="-2"/>
          <w:w w:val="120"/>
        </w:rPr>
        <w:t> </w:t>
      </w:r>
      <w:r>
        <w:rPr>
          <w:color w:val="231F20"/>
          <w:w w:val="120"/>
        </w:rPr>
        <w:t>sert</w:t>
      </w:r>
      <w:r>
        <w:rPr>
          <w:color w:val="231F20"/>
          <w:spacing w:val="-2"/>
          <w:w w:val="120"/>
        </w:rPr>
        <w:t> </w:t>
      </w:r>
      <w:r>
        <w:rPr>
          <w:color w:val="231F20"/>
          <w:w w:val="120"/>
        </w:rPr>
        <w:t>à</w:t>
      </w:r>
      <w:r>
        <w:rPr>
          <w:color w:val="231F20"/>
          <w:spacing w:val="-2"/>
          <w:w w:val="120"/>
        </w:rPr>
        <w:t> </w:t>
      </w:r>
      <w:r>
        <w:rPr>
          <w:color w:val="231F20"/>
          <w:w w:val="120"/>
        </w:rPr>
        <w:t>dépister</w:t>
      </w:r>
      <w:r>
        <w:rPr>
          <w:color w:val="231F20"/>
          <w:spacing w:val="-2"/>
          <w:w w:val="120"/>
        </w:rPr>
        <w:t> </w:t>
      </w:r>
      <w:r>
        <w:rPr>
          <w:color w:val="231F20"/>
          <w:w w:val="120"/>
        </w:rPr>
        <w:t>les</w:t>
      </w:r>
      <w:r>
        <w:rPr>
          <w:color w:val="231F20"/>
          <w:spacing w:val="-2"/>
          <w:w w:val="120"/>
        </w:rPr>
        <w:t> </w:t>
      </w:r>
      <w:r>
        <w:rPr>
          <w:color w:val="231F20"/>
          <w:w w:val="120"/>
        </w:rPr>
        <w:t>adolescents</w:t>
      </w:r>
      <w:r>
        <w:rPr>
          <w:color w:val="231F20"/>
          <w:spacing w:val="-2"/>
          <w:w w:val="120"/>
        </w:rPr>
        <w:t> </w:t>
      </w:r>
      <w:r>
        <w:rPr>
          <w:color w:val="231F20"/>
          <w:w w:val="120"/>
        </w:rPr>
        <w:t>qui</w:t>
      </w:r>
      <w:r>
        <w:rPr>
          <w:color w:val="231F20"/>
          <w:spacing w:val="-2"/>
          <w:w w:val="120"/>
        </w:rPr>
        <w:t> </w:t>
      </w:r>
      <w:r>
        <w:rPr>
          <w:color w:val="231F20"/>
          <w:w w:val="120"/>
        </w:rPr>
        <w:t>risquent</w:t>
      </w:r>
      <w:r>
        <w:rPr>
          <w:color w:val="231F20"/>
          <w:spacing w:val="-2"/>
          <w:w w:val="120"/>
        </w:rPr>
        <w:t> </w:t>
      </w:r>
      <w:r>
        <w:rPr>
          <w:color w:val="231F20"/>
          <w:w w:val="120"/>
        </w:rPr>
        <w:t>de mettre leur santé et leur sécurité en péril en consommant des drogues, en se livrant à des activités sexuelles fréquentes avec plusieurs parte- naires et en conduisant d’une façon dangereuse ou sous l’influence de </w:t>
      </w:r>
      <w:r>
        <w:rPr>
          <w:color w:val="231F20"/>
          <w:spacing w:val="-2"/>
          <w:w w:val="120"/>
        </w:rPr>
        <w:t>l’alcool.</w:t>
      </w:r>
      <w:r>
        <w:rPr>
          <w:color w:val="231F20"/>
          <w:spacing w:val="-3"/>
          <w:w w:val="120"/>
        </w:rPr>
        <w:t> </w:t>
      </w:r>
      <w:r>
        <w:rPr>
          <w:color w:val="231F20"/>
          <w:spacing w:val="-2"/>
          <w:w w:val="120"/>
        </w:rPr>
        <w:t>Les</w:t>
      </w:r>
      <w:r>
        <w:rPr>
          <w:color w:val="231F20"/>
          <w:spacing w:val="-3"/>
          <w:w w:val="120"/>
        </w:rPr>
        <w:t> </w:t>
      </w:r>
      <w:r>
        <w:rPr>
          <w:color w:val="231F20"/>
          <w:spacing w:val="-2"/>
          <w:w w:val="120"/>
        </w:rPr>
        <w:t>techniques</w:t>
      </w:r>
      <w:r>
        <w:rPr>
          <w:color w:val="231F20"/>
          <w:spacing w:val="-3"/>
          <w:w w:val="120"/>
        </w:rPr>
        <w:t> </w:t>
      </w:r>
      <w:r>
        <w:rPr>
          <w:color w:val="231F20"/>
          <w:spacing w:val="-2"/>
          <w:w w:val="120"/>
        </w:rPr>
        <w:t>d’analyse</w:t>
      </w:r>
      <w:r>
        <w:rPr>
          <w:color w:val="231F20"/>
          <w:spacing w:val="-3"/>
          <w:w w:val="120"/>
        </w:rPr>
        <w:t> </w:t>
      </w:r>
      <w:r>
        <w:rPr>
          <w:color w:val="231F20"/>
          <w:spacing w:val="-2"/>
          <w:w w:val="120"/>
        </w:rPr>
        <w:t>de</w:t>
      </w:r>
      <w:r>
        <w:rPr>
          <w:color w:val="231F20"/>
          <w:spacing w:val="-3"/>
          <w:w w:val="120"/>
        </w:rPr>
        <w:t> </w:t>
      </w:r>
      <w:r>
        <w:rPr>
          <w:color w:val="231F20"/>
          <w:spacing w:val="-2"/>
          <w:w w:val="120"/>
        </w:rPr>
        <w:t>Zuckerman</w:t>
      </w:r>
      <w:r>
        <w:rPr>
          <w:color w:val="231F20"/>
          <w:spacing w:val="-3"/>
          <w:w w:val="120"/>
        </w:rPr>
        <w:t> </w:t>
      </w:r>
      <w:r>
        <w:rPr>
          <w:color w:val="231F20"/>
          <w:spacing w:val="-2"/>
          <w:w w:val="120"/>
        </w:rPr>
        <w:t>pourraient</w:t>
      </w:r>
      <w:r>
        <w:rPr>
          <w:color w:val="231F20"/>
          <w:spacing w:val="-3"/>
          <w:w w:val="120"/>
        </w:rPr>
        <w:t> </w:t>
      </w:r>
      <w:r>
        <w:rPr>
          <w:color w:val="231F20"/>
          <w:spacing w:val="-2"/>
          <w:w w:val="120"/>
        </w:rPr>
        <w:t>aussi</w:t>
      </w:r>
      <w:r>
        <w:rPr>
          <w:color w:val="231F20"/>
          <w:spacing w:val="-3"/>
          <w:w w:val="120"/>
        </w:rPr>
        <w:t> </w:t>
      </w:r>
      <w:r>
        <w:rPr>
          <w:color w:val="231F20"/>
          <w:spacing w:val="-2"/>
          <w:w w:val="120"/>
        </w:rPr>
        <w:t>servir </w:t>
      </w:r>
      <w:r>
        <w:rPr>
          <w:color w:val="231F20"/>
          <w:w w:val="120"/>
        </w:rPr>
        <w:t>à</w:t>
      </w:r>
      <w:r>
        <w:rPr>
          <w:color w:val="231F20"/>
          <w:spacing w:val="-8"/>
          <w:w w:val="120"/>
        </w:rPr>
        <w:t> </w:t>
      </w:r>
      <w:r>
        <w:rPr>
          <w:color w:val="231F20"/>
          <w:w w:val="120"/>
        </w:rPr>
        <w:t>élaborer</w:t>
      </w:r>
      <w:r>
        <w:rPr>
          <w:color w:val="231F20"/>
          <w:spacing w:val="-8"/>
          <w:w w:val="120"/>
        </w:rPr>
        <w:t> </w:t>
      </w:r>
      <w:r>
        <w:rPr>
          <w:color w:val="231F20"/>
          <w:w w:val="120"/>
        </w:rPr>
        <w:t>des</w:t>
      </w:r>
      <w:r>
        <w:rPr>
          <w:color w:val="231F20"/>
          <w:spacing w:val="-8"/>
          <w:w w:val="120"/>
        </w:rPr>
        <w:t> </w:t>
      </w:r>
      <w:r>
        <w:rPr>
          <w:color w:val="231F20"/>
          <w:w w:val="120"/>
        </w:rPr>
        <w:t>méthodes</w:t>
      </w:r>
      <w:r>
        <w:rPr>
          <w:color w:val="231F20"/>
          <w:spacing w:val="-8"/>
          <w:w w:val="120"/>
        </w:rPr>
        <w:t> </w:t>
      </w:r>
      <w:r>
        <w:rPr>
          <w:color w:val="231F20"/>
          <w:w w:val="120"/>
        </w:rPr>
        <w:t>d’enseignement</w:t>
      </w:r>
      <w:r>
        <w:rPr>
          <w:color w:val="231F20"/>
          <w:spacing w:val="-8"/>
          <w:w w:val="120"/>
        </w:rPr>
        <w:t> </w:t>
      </w:r>
      <w:r>
        <w:rPr>
          <w:color w:val="231F20"/>
          <w:w w:val="120"/>
        </w:rPr>
        <w:t>adaptées</w:t>
      </w:r>
      <w:r>
        <w:rPr>
          <w:color w:val="231F20"/>
          <w:spacing w:val="-8"/>
          <w:w w:val="120"/>
        </w:rPr>
        <w:t> </w:t>
      </w:r>
      <w:r>
        <w:rPr>
          <w:color w:val="231F20"/>
          <w:w w:val="120"/>
        </w:rPr>
        <w:t>au</w:t>
      </w:r>
      <w:r>
        <w:rPr>
          <w:color w:val="231F20"/>
          <w:spacing w:val="-8"/>
          <w:w w:val="120"/>
        </w:rPr>
        <w:t> </w:t>
      </w:r>
      <w:r>
        <w:rPr>
          <w:color w:val="231F20"/>
          <w:w w:val="120"/>
        </w:rPr>
        <w:t>style</w:t>
      </w:r>
      <w:r>
        <w:rPr>
          <w:color w:val="231F20"/>
          <w:spacing w:val="-8"/>
          <w:w w:val="120"/>
        </w:rPr>
        <w:t> </w:t>
      </w:r>
      <w:r>
        <w:rPr>
          <w:color w:val="231F20"/>
          <w:w w:val="120"/>
        </w:rPr>
        <w:t>d’apprentis- </w:t>
      </w:r>
      <w:r>
        <w:rPr>
          <w:color w:val="231F20"/>
          <w:w w:val="115"/>
        </w:rPr>
        <w:t>sage</w:t>
      </w:r>
      <w:r>
        <w:rPr>
          <w:color w:val="231F20"/>
          <w:spacing w:val="-4"/>
          <w:w w:val="115"/>
        </w:rPr>
        <w:t> </w:t>
      </w:r>
      <w:r>
        <w:rPr>
          <w:color w:val="231F20"/>
          <w:w w:val="115"/>
        </w:rPr>
        <w:t>individuel</w:t>
      </w:r>
      <w:r>
        <w:rPr>
          <w:color w:val="231F20"/>
          <w:spacing w:val="-4"/>
          <w:w w:val="115"/>
        </w:rPr>
        <w:t> </w:t>
      </w:r>
      <w:r>
        <w:rPr>
          <w:color w:val="231F20"/>
          <w:w w:val="115"/>
        </w:rPr>
        <w:t>ou</w:t>
      </w:r>
      <w:r>
        <w:rPr>
          <w:color w:val="231F20"/>
          <w:spacing w:val="-4"/>
          <w:w w:val="115"/>
        </w:rPr>
        <w:t> </w:t>
      </w:r>
      <w:r>
        <w:rPr>
          <w:color w:val="231F20"/>
          <w:w w:val="115"/>
        </w:rPr>
        <w:t>à</w:t>
      </w:r>
      <w:r>
        <w:rPr>
          <w:color w:val="231F20"/>
          <w:spacing w:val="-4"/>
          <w:w w:val="115"/>
        </w:rPr>
        <w:t> </w:t>
      </w:r>
      <w:r>
        <w:rPr>
          <w:color w:val="231F20"/>
          <w:w w:val="115"/>
        </w:rPr>
        <w:t>faire</w:t>
      </w:r>
      <w:r>
        <w:rPr>
          <w:color w:val="231F20"/>
          <w:spacing w:val="-4"/>
          <w:w w:val="115"/>
        </w:rPr>
        <w:t> </w:t>
      </w:r>
      <w:r>
        <w:rPr>
          <w:color w:val="231F20"/>
          <w:w w:val="115"/>
        </w:rPr>
        <w:t>correspondre</w:t>
      </w:r>
      <w:r>
        <w:rPr>
          <w:color w:val="231F20"/>
          <w:spacing w:val="-4"/>
          <w:w w:val="115"/>
        </w:rPr>
        <w:t> </w:t>
      </w:r>
      <w:r>
        <w:rPr>
          <w:color w:val="231F20"/>
          <w:w w:val="115"/>
        </w:rPr>
        <w:t>les</w:t>
      </w:r>
      <w:r>
        <w:rPr>
          <w:color w:val="231F20"/>
          <w:spacing w:val="-4"/>
          <w:w w:val="115"/>
        </w:rPr>
        <w:t> </w:t>
      </w:r>
      <w:r>
        <w:rPr>
          <w:color w:val="231F20"/>
          <w:w w:val="115"/>
        </w:rPr>
        <w:t>assignations</w:t>
      </w:r>
      <w:r>
        <w:rPr>
          <w:color w:val="231F20"/>
          <w:spacing w:val="-4"/>
          <w:w w:val="115"/>
        </w:rPr>
        <w:t> </w:t>
      </w:r>
      <w:r>
        <w:rPr>
          <w:color w:val="231F20"/>
          <w:w w:val="115"/>
        </w:rPr>
        <w:t>de</w:t>
      </w:r>
      <w:r>
        <w:rPr>
          <w:color w:val="231F20"/>
          <w:spacing w:val="-4"/>
          <w:w w:val="115"/>
        </w:rPr>
        <w:t> </w:t>
      </w:r>
      <w:r>
        <w:rPr>
          <w:color w:val="231F20"/>
          <w:w w:val="115"/>
        </w:rPr>
        <w:t>tâches</w:t>
      </w:r>
      <w:r>
        <w:rPr>
          <w:color w:val="231F20"/>
          <w:spacing w:val="-4"/>
          <w:w w:val="115"/>
        </w:rPr>
        <w:t> </w:t>
      </w:r>
      <w:r>
        <w:rPr>
          <w:color w:val="231F20"/>
          <w:w w:val="115"/>
        </w:rPr>
        <w:t>avec</w:t>
      </w:r>
      <w:r>
        <w:rPr>
          <w:color w:val="231F20"/>
          <w:spacing w:val="-4"/>
          <w:w w:val="115"/>
        </w:rPr>
        <w:t> </w:t>
      </w:r>
      <w:r>
        <w:rPr>
          <w:color w:val="231F20"/>
          <w:w w:val="115"/>
        </w:rPr>
        <w:t>les </w:t>
      </w:r>
      <w:r>
        <w:rPr>
          <w:color w:val="231F20"/>
          <w:w w:val="120"/>
        </w:rPr>
        <w:t>traits de personnalité des employés. Par exemple, les grands amateurs de sensations aiment les métiers qui comportent des risques ou même des</w:t>
      </w:r>
      <w:r>
        <w:rPr>
          <w:color w:val="231F20"/>
          <w:spacing w:val="-13"/>
          <w:w w:val="120"/>
        </w:rPr>
        <w:t> </w:t>
      </w:r>
      <w:r>
        <w:rPr>
          <w:color w:val="231F20"/>
          <w:w w:val="120"/>
        </w:rPr>
        <w:t>périodes</w:t>
      </w:r>
      <w:r>
        <w:rPr>
          <w:color w:val="231F20"/>
          <w:spacing w:val="-13"/>
          <w:w w:val="120"/>
        </w:rPr>
        <w:t> </w:t>
      </w:r>
      <w:r>
        <w:rPr>
          <w:color w:val="231F20"/>
          <w:w w:val="120"/>
        </w:rPr>
        <w:t>de</w:t>
      </w:r>
      <w:r>
        <w:rPr>
          <w:color w:val="231F20"/>
          <w:spacing w:val="-13"/>
          <w:w w:val="120"/>
        </w:rPr>
        <w:t> </w:t>
      </w:r>
      <w:r>
        <w:rPr>
          <w:color w:val="231F20"/>
          <w:w w:val="120"/>
        </w:rPr>
        <w:t>stress:</w:t>
      </w:r>
      <w:r>
        <w:rPr>
          <w:color w:val="231F20"/>
          <w:spacing w:val="-12"/>
          <w:w w:val="120"/>
        </w:rPr>
        <w:t> </w:t>
      </w:r>
      <w:r>
        <w:rPr>
          <w:color w:val="231F20"/>
          <w:w w:val="120"/>
        </w:rPr>
        <w:t>pilote</w:t>
      </w:r>
      <w:r>
        <w:rPr>
          <w:color w:val="231F20"/>
          <w:spacing w:val="-13"/>
          <w:w w:val="120"/>
        </w:rPr>
        <w:t> </w:t>
      </w:r>
      <w:r>
        <w:rPr>
          <w:color w:val="231F20"/>
          <w:w w:val="120"/>
        </w:rPr>
        <w:t>d’avion,</w:t>
      </w:r>
      <w:r>
        <w:rPr>
          <w:color w:val="231F20"/>
          <w:spacing w:val="-13"/>
          <w:w w:val="120"/>
        </w:rPr>
        <w:t> </w:t>
      </w:r>
      <w:r>
        <w:rPr>
          <w:color w:val="231F20"/>
          <w:w w:val="120"/>
        </w:rPr>
        <w:t>contrôleur</w:t>
      </w:r>
      <w:r>
        <w:rPr>
          <w:color w:val="231F20"/>
          <w:spacing w:val="-13"/>
          <w:w w:val="120"/>
        </w:rPr>
        <w:t> </w:t>
      </w:r>
      <w:r>
        <w:rPr>
          <w:color w:val="231F20"/>
          <w:w w:val="120"/>
        </w:rPr>
        <w:t>du</w:t>
      </w:r>
      <w:r>
        <w:rPr>
          <w:color w:val="231F20"/>
          <w:spacing w:val="-12"/>
          <w:w w:val="120"/>
        </w:rPr>
        <w:t> </w:t>
      </w:r>
      <w:r>
        <w:rPr>
          <w:color w:val="231F20"/>
          <w:w w:val="120"/>
        </w:rPr>
        <w:t>trafic</w:t>
      </w:r>
      <w:r>
        <w:rPr>
          <w:color w:val="231F20"/>
          <w:spacing w:val="-13"/>
          <w:w w:val="120"/>
        </w:rPr>
        <w:t> </w:t>
      </w:r>
      <w:r>
        <w:rPr>
          <w:color w:val="231F20"/>
          <w:w w:val="120"/>
        </w:rPr>
        <w:t>aérien,</w:t>
      </w:r>
      <w:r>
        <w:rPr>
          <w:color w:val="231F20"/>
          <w:spacing w:val="-13"/>
          <w:w w:val="120"/>
        </w:rPr>
        <w:t> </w:t>
      </w:r>
      <w:r>
        <w:rPr>
          <w:color w:val="231F20"/>
          <w:w w:val="120"/>
        </w:rPr>
        <w:t>urgen- tologue, ou des emplois qui nécessitent beaucoup de contacts sociaux variés. Les emplois routiniers ou répétitifs qui ne comportent ni inter- action</w:t>
      </w:r>
      <w:r>
        <w:rPr>
          <w:color w:val="231F20"/>
          <w:spacing w:val="-8"/>
          <w:w w:val="120"/>
        </w:rPr>
        <w:t> </w:t>
      </w:r>
      <w:r>
        <w:rPr>
          <w:color w:val="231F20"/>
          <w:w w:val="120"/>
        </w:rPr>
        <w:t>sociale</w:t>
      </w:r>
      <w:r>
        <w:rPr>
          <w:color w:val="231F20"/>
          <w:spacing w:val="-8"/>
          <w:w w:val="120"/>
        </w:rPr>
        <w:t> </w:t>
      </w:r>
      <w:r>
        <w:rPr>
          <w:color w:val="231F20"/>
          <w:w w:val="120"/>
        </w:rPr>
        <w:t>ni</w:t>
      </w:r>
      <w:r>
        <w:rPr>
          <w:color w:val="231F20"/>
          <w:spacing w:val="-8"/>
          <w:w w:val="120"/>
        </w:rPr>
        <w:t> </w:t>
      </w:r>
      <w:r>
        <w:rPr>
          <w:color w:val="231F20"/>
          <w:w w:val="120"/>
        </w:rPr>
        <w:t>activités</w:t>
      </w:r>
      <w:r>
        <w:rPr>
          <w:color w:val="231F20"/>
          <w:spacing w:val="-8"/>
          <w:w w:val="120"/>
        </w:rPr>
        <w:t> </w:t>
      </w:r>
      <w:r>
        <w:rPr>
          <w:color w:val="231F20"/>
          <w:w w:val="120"/>
        </w:rPr>
        <w:t>stimulantes</w:t>
      </w:r>
      <w:r>
        <w:rPr>
          <w:color w:val="231F20"/>
          <w:spacing w:val="-8"/>
          <w:w w:val="120"/>
        </w:rPr>
        <w:t> </w:t>
      </w:r>
      <w:r>
        <w:rPr>
          <w:color w:val="231F20"/>
          <w:w w:val="120"/>
        </w:rPr>
        <w:t>ou</w:t>
      </w:r>
      <w:r>
        <w:rPr>
          <w:color w:val="231F20"/>
          <w:spacing w:val="-8"/>
          <w:w w:val="120"/>
        </w:rPr>
        <w:t> </w:t>
      </w:r>
      <w:r>
        <w:rPr>
          <w:color w:val="231F20"/>
          <w:w w:val="120"/>
        </w:rPr>
        <w:t>diversifiées</w:t>
      </w:r>
      <w:r>
        <w:rPr>
          <w:color w:val="231F20"/>
          <w:spacing w:val="-8"/>
          <w:w w:val="120"/>
        </w:rPr>
        <w:t> </w:t>
      </w:r>
      <w:r>
        <w:rPr>
          <w:color w:val="231F20"/>
          <w:w w:val="120"/>
        </w:rPr>
        <w:t>sont</w:t>
      </w:r>
      <w:r>
        <w:rPr>
          <w:color w:val="231F20"/>
          <w:spacing w:val="-8"/>
          <w:w w:val="120"/>
        </w:rPr>
        <w:t> </w:t>
      </w:r>
      <w:r>
        <w:rPr>
          <w:color w:val="231F20"/>
          <w:w w:val="120"/>
        </w:rPr>
        <w:t>pour</w:t>
      </w:r>
      <w:r>
        <w:rPr>
          <w:color w:val="231F20"/>
          <w:spacing w:val="-8"/>
          <w:w w:val="120"/>
        </w:rPr>
        <w:t> </w:t>
      </w:r>
      <w:r>
        <w:rPr>
          <w:color w:val="231F20"/>
          <w:w w:val="120"/>
        </w:rPr>
        <w:t>eux</w:t>
      </w:r>
      <w:r>
        <w:rPr>
          <w:color w:val="231F20"/>
          <w:spacing w:val="-8"/>
          <w:w w:val="120"/>
        </w:rPr>
        <w:t> </w:t>
      </w:r>
      <w:r>
        <w:rPr>
          <w:color w:val="231F20"/>
          <w:w w:val="120"/>
        </w:rPr>
        <w:t>une source d’insatisfaction et d’ennui.</w:t>
      </w:r>
    </w:p>
    <w:p>
      <w:pPr>
        <w:pStyle w:val="BodyText"/>
        <w:spacing w:line="307" w:lineRule="auto" w:before="76"/>
        <w:ind w:left="1220" w:right="103" w:firstLine="250"/>
        <w:jc w:val="both"/>
      </w:pPr>
      <w:r>
        <w:rPr>
          <w:color w:val="231F20"/>
          <w:w w:val="120"/>
        </w:rPr>
        <w:t>Ainsi,</w:t>
      </w:r>
      <w:r>
        <w:rPr>
          <w:color w:val="231F20"/>
          <w:spacing w:val="-13"/>
          <w:w w:val="120"/>
        </w:rPr>
        <w:t> </w:t>
      </w:r>
      <w:r>
        <w:rPr>
          <w:color w:val="231F20"/>
          <w:w w:val="120"/>
        </w:rPr>
        <w:t>les</w:t>
      </w:r>
      <w:r>
        <w:rPr>
          <w:color w:val="231F20"/>
          <w:spacing w:val="-9"/>
          <w:w w:val="120"/>
        </w:rPr>
        <w:t> </w:t>
      </w:r>
      <w:r>
        <w:rPr>
          <w:color w:val="231F20"/>
          <w:w w:val="120"/>
        </w:rPr>
        <w:t>personnes possédant une personnalité de type «</w:t>
      </w:r>
      <w:r>
        <w:rPr>
          <w:color w:val="231F20"/>
          <w:spacing w:val="-13"/>
          <w:w w:val="120"/>
        </w:rPr>
        <w:t> </w:t>
      </w:r>
      <w:r>
        <w:rPr>
          <w:color w:val="231F20"/>
          <w:w w:val="120"/>
        </w:rPr>
        <w:t>R</w:t>
      </w:r>
      <w:r>
        <w:rPr>
          <w:color w:val="231F20"/>
          <w:spacing w:val="-13"/>
          <w:w w:val="120"/>
        </w:rPr>
        <w:t> </w:t>
      </w:r>
      <w:r>
        <w:rPr>
          <w:color w:val="231F20"/>
          <w:w w:val="120"/>
        </w:rPr>
        <w:t>» s’ex- </w:t>
      </w:r>
      <w:r>
        <w:rPr>
          <w:color w:val="231F20"/>
          <w:spacing w:val="-2"/>
          <w:w w:val="120"/>
        </w:rPr>
        <w:t>posent</w:t>
      </w:r>
      <w:r>
        <w:rPr>
          <w:color w:val="231F20"/>
          <w:spacing w:val="-3"/>
          <w:w w:val="120"/>
        </w:rPr>
        <w:t> </w:t>
      </w:r>
      <w:r>
        <w:rPr>
          <w:color w:val="231F20"/>
          <w:spacing w:val="-2"/>
          <w:w w:val="120"/>
        </w:rPr>
        <w:t>assurément</w:t>
      </w:r>
      <w:r>
        <w:rPr>
          <w:color w:val="231F20"/>
          <w:spacing w:val="-3"/>
          <w:w w:val="120"/>
        </w:rPr>
        <w:t> </w:t>
      </w:r>
      <w:r>
        <w:rPr>
          <w:color w:val="231F20"/>
          <w:spacing w:val="-2"/>
          <w:w w:val="120"/>
        </w:rPr>
        <w:t>à</w:t>
      </w:r>
      <w:r>
        <w:rPr>
          <w:color w:val="231F20"/>
          <w:spacing w:val="-3"/>
          <w:w w:val="120"/>
        </w:rPr>
        <w:t> </w:t>
      </w:r>
      <w:r>
        <w:rPr>
          <w:color w:val="231F20"/>
          <w:spacing w:val="-2"/>
          <w:w w:val="120"/>
        </w:rPr>
        <w:t>davantage</w:t>
      </w:r>
      <w:r>
        <w:rPr>
          <w:color w:val="231F20"/>
          <w:spacing w:val="-3"/>
          <w:w w:val="120"/>
        </w:rPr>
        <w:t> </w:t>
      </w:r>
      <w:r>
        <w:rPr>
          <w:color w:val="231F20"/>
          <w:spacing w:val="-2"/>
          <w:w w:val="120"/>
        </w:rPr>
        <w:t>de</w:t>
      </w:r>
      <w:r>
        <w:rPr>
          <w:color w:val="231F20"/>
          <w:spacing w:val="-3"/>
          <w:w w:val="120"/>
        </w:rPr>
        <w:t> </w:t>
      </w:r>
      <w:r>
        <w:rPr>
          <w:color w:val="231F20"/>
          <w:spacing w:val="-2"/>
          <w:w w:val="120"/>
        </w:rPr>
        <w:t>stress</w:t>
      </w:r>
      <w:r>
        <w:rPr>
          <w:color w:val="231F20"/>
          <w:spacing w:val="-3"/>
          <w:w w:val="120"/>
        </w:rPr>
        <w:t> </w:t>
      </w:r>
      <w:r>
        <w:rPr>
          <w:color w:val="231F20"/>
          <w:spacing w:val="-2"/>
          <w:w w:val="120"/>
        </w:rPr>
        <w:t>par</w:t>
      </w:r>
      <w:r>
        <w:rPr>
          <w:color w:val="231F20"/>
          <w:spacing w:val="-3"/>
          <w:w w:val="120"/>
        </w:rPr>
        <w:t> </w:t>
      </w:r>
      <w:r>
        <w:rPr>
          <w:color w:val="231F20"/>
          <w:spacing w:val="-2"/>
          <w:w w:val="120"/>
        </w:rPr>
        <w:t>les</w:t>
      </w:r>
      <w:r>
        <w:rPr>
          <w:color w:val="231F20"/>
          <w:spacing w:val="-3"/>
          <w:w w:val="120"/>
        </w:rPr>
        <w:t> </w:t>
      </w:r>
      <w:r>
        <w:rPr>
          <w:color w:val="231F20"/>
          <w:spacing w:val="-2"/>
          <w:w w:val="120"/>
        </w:rPr>
        <w:t>changements</w:t>
      </w:r>
      <w:r>
        <w:rPr>
          <w:color w:val="231F20"/>
          <w:spacing w:val="-3"/>
          <w:w w:val="120"/>
        </w:rPr>
        <w:t> </w:t>
      </w:r>
      <w:r>
        <w:rPr>
          <w:color w:val="231F20"/>
          <w:spacing w:val="-2"/>
          <w:w w:val="120"/>
        </w:rPr>
        <w:t>continuels </w:t>
      </w:r>
      <w:r>
        <w:rPr>
          <w:color w:val="231F20"/>
          <w:w w:val="115"/>
        </w:rPr>
        <w:t>qu’ils</w:t>
      </w:r>
      <w:r>
        <w:rPr>
          <w:color w:val="231F20"/>
          <w:spacing w:val="-10"/>
          <w:w w:val="115"/>
        </w:rPr>
        <w:t> </w:t>
      </w:r>
      <w:r>
        <w:rPr>
          <w:color w:val="231F20"/>
          <w:w w:val="115"/>
        </w:rPr>
        <w:t>s’imposent.</w:t>
      </w:r>
      <w:r>
        <w:rPr>
          <w:color w:val="231F20"/>
          <w:spacing w:val="-10"/>
          <w:w w:val="115"/>
        </w:rPr>
        <w:t> </w:t>
      </w:r>
      <w:r>
        <w:rPr>
          <w:color w:val="231F20"/>
          <w:w w:val="115"/>
        </w:rPr>
        <w:t>En</w:t>
      </w:r>
      <w:r>
        <w:rPr>
          <w:color w:val="231F20"/>
          <w:spacing w:val="-10"/>
          <w:w w:val="115"/>
        </w:rPr>
        <w:t> </w:t>
      </w:r>
      <w:r>
        <w:rPr>
          <w:color w:val="231F20"/>
          <w:w w:val="115"/>
        </w:rPr>
        <w:t>fait,</w:t>
      </w:r>
      <w:r>
        <w:rPr>
          <w:color w:val="231F20"/>
          <w:spacing w:val="-10"/>
          <w:w w:val="115"/>
        </w:rPr>
        <w:t> </w:t>
      </w:r>
      <w:r>
        <w:rPr>
          <w:color w:val="231F20"/>
          <w:w w:val="115"/>
        </w:rPr>
        <w:t>ces</w:t>
      </w:r>
      <w:r>
        <w:rPr>
          <w:color w:val="231F20"/>
          <w:spacing w:val="-10"/>
          <w:w w:val="115"/>
        </w:rPr>
        <w:t> </w:t>
      </w:r>
      <w:r>
        <w:rPr>
          <w:color w:val="231F20"/>
          <w:w w:val="115"/>
        </w:rPr>
        <w:t>individus</w:t>
      </w:r>
      <w:r>
        <w:rPr>
          <w:color w:val="231F20"/>
          <w:spacing w:val="-10"/>
          <w:w w:val="115"/>
        </w:rPr>
        <w:t> </w:t>
      </w:r>
      <w:r>
        <w:rPr>
          <w:color w:val="231F20"/>
          <w:w w:val="115"/>
        </w:rPr>
        <w:t>font</w:t>
      </w:r>
      <w:r>
        <w:rPr>
          <w:color w:val="231F20"/>
          <w:spacing w:val="-10"/>
          <w:w w:val="115"/>
        </w:rPr>
        <w:t> </w:t>
      </w:r>
      <w:r>
        <w:rPr>
          <w:color w:val="231F20"/>
          <w:w w:val="115"/>
        </w:rPr>
        <w:t>preuve</w:t>
      </w:r>
      <w:r>
        <w:rPr>
          <w:color w:val="231F20"/>
          <w:spacing w:val="-10"/>
          <w:w w:val="115"/>
        </w:rPr>
        <w:t> </w:t>
      </w:r>
      <w:r>
        <w:rPr>
          <w:color w:val="231F20"/>
          <w:w w:val="115"/>
        </w:rPr>
        <w:t>d’une</w:t>
      </w:r>
      <w:r>
        <w:rPr>
          <w:color w:val="231F20"/>
          <w:spacing w:val="-10"/>
          <w:w w:val="115"/>
        </w:rPr>
        <w:t> </w:t>
      </w:r>
      <w:r>
        <w:rPr>
          <w:color w:val="231F20"/>
          <w:w w:val="115"/>
        </w:rPr>
        <w:t>grande</w:t>
      </w:r>
      <w:r>
        <w:rPr>
          <w:color w:val="231F20"/>
          <w:spacing w:val="-10"/>
          <w:w w:val="115"/>
        </w:rPr>
        <w:t> </w:t>
      </w:r>
      <w:r>
        <w:rPr>
          <w:color w:val="231F20"/>
          <w:w w:val="115"/>
        </w:rPr>
        <w:t>capacité </w:t>
      </w:r>
      <w:r>
        <w:rPr>
          <w:color w:val="231F20"/>
          <w:spacing w:val="-2"/>
          <w:w w:val="120"/>
        </w:rPr>
        <w:t>adaptative</w:t>
      </w:r>
      <w:r>
        <w:rPr>
          <w:color w:val="231F20"/>
          <w:spacing w:val="-11"/>
          <w:w w:val="120"/>
        </w:rPr>
        <w:t> </w:t>
      </w:r>
      <w:r>
        <w:rPr>
          <w:color w:val="231F20"/>
          <w:spacing w:val="-2"/>
          <w:w w:val="120"/>
        </w:rPr>
        <w:t>qui</w:t>
      </w:r>
      <w:r>
        <w:rPr>
          <w:color w:val="231F20"/>
          <w:spacing w:val="-11"/>
          <w:w w:val="120"/>
        </w:rPr>
        <w:t> </w:t>
      </w:r>
      <w:r>
        <w:rPr>
          <w:color w:val="231F20"/>
          <w:spacing w:val="-2"/>
          <w:w w:val="120"/>
        </w:rPr>
        <w:t>leur</w:t>
      </w:r>
      <w:r>
        <w:rPr>
          <w:color w:val="231F20"/>
          <w:spacing w:val="-11"/>
          <w:w w:val="120"/>
        </w:rPr>
        <w:t> </w:t>
      </w:r>
      <w:r>
        <w:rPr>
          <w:color w:val="231F20"/>
          <w:spacing w:val="-2"/>
          <w:w w:val="120"/>
        </w:rPr>
        <w:t>permet,</w:t>
      </w:r>
      <w:r>
        <w:rPr>
          <w:color w:val="231F20"/>
          <w:spacing w:val="-10"/>
          <w:w w:val="120"/>
        </w:rPr>
        <w:t> </w:t>
      </w:r>
      <w:r>
        <w:rPr>
          <w:color w:val="231F20"/>
          <w:spacing w:val="-2"/>
          <w:w w:val="120"/>
        </w:rPr>
        <w:t>jusqu’à</w:t>
      </w:r>
      <w:r>
        <w:rPr>
          <w:color w:val="231F20"/>
          <w:spacing w:val="-11"/>
          <w:w w:val="120"/>
        </w:rPr>
        <w:t> </w:t>
      </w:r>
      <w:r>
        <w:rPr>
          <w:color w:val="231F20"/>
          <w:spacing w:val="-2"/>
          <w:w w:val="120"/>
        </w:rPr>
        <w:t>un</w:t>
      </w:r>
      <w:r>
        <w:rPr>
          <w:color w:val="231F20"/>
          <w:spacing w:val="-11"/>
          <w:w w:val="120"/>
        </w:rPr>
        <w:t> </w:t>
      </w:r>
      <w:r>
        <w:rPr>
          <w:color w:val="231F20"/>
          <w:spacing w:val="-2"/>
          <w:w w:val="120"/>
        </w:rPr>
        <w:t>certain</w:t>
      </w:r>
      <w:r>
        <w:rPr>
          <w:color w:val="231F20"/>
          <w:spacing w:val="-11"/>
          <w:w w:val="120"/>
        </w:rPr>
        <w:t> </w:t>
      </w:r>
      <w:r>
        <w:rPr>
          <w:color w:val="231F20"/>
          <w:spacing w:val="-2"/>
          <w:w w:val="120"/>
        </w:rPr>
        <w:t>point,</w:t>
      </w:r>
      <w:r>
        <w:rPr>
          <w:color w:val="231F20"/>
          <w:spacing w:val="-10"/>
          <w:w w:val="120"/>
        </w:rPr>
        <w:t> </w:t>
      </w:r>
      <w:r>
        <w:rPr>
          <w:color w:val="231F20"/>
          <w:spacing w:val="-2"/>
          <w:w w:val="120"/>
        </w:rPr>
        <w:t>de</w:t>
      </w:r>
      <w:r>
        <w:rPr>
          <w:color w:val="231F20"/>
          <w:spacing w:val="-11"/>
          <w:w w:val="120"/>
        </w:rPr>
        <w:t> </w:t>
      </w:r>
      <w:r>
        <w:rPr>
          <w:color w:val="231F20"/>
          <w:spacing w:val="-2"/>
          <w:w w:val="120"/>
        </w:rPr>
        <w:t>soutenir</w:t>
      </w:r>
      <w:r>
        <w:rPr>
          <w:color w:val="231F20"/>
          <w:spacing w:val="-11"/>
          <w:w w:val="120"/>
        </w:rPr>
        <w:t> </w:t>
      </w:r>
      <w:r>
        <w:rPr>
          <w:color w:val="231F20"/>
          <w:spacing w:val="-2"/>
          <w:w w:val="120"/>
        </w:rPr>
        <w:t>leur</w:t>
      </w:r>
      <w:r>
        <w:rPr>
          <w:color w:val="231F20"/>
          <w:spacing w:val="-11"/>
          <w:w w:val="120"/>
        </w:rPr>
        <w:t> </w:t>
      </w:r>
      <w:r>
        <w:rPr>
          <w:color w:val="231F20"/>
          <w:spacing w:val="-2"/>
          <w:w w:val="120"/>
        </w:rPr>
        <w:t>style </w:t>
      </w:r>
      <w:r>
        <w:rPr>
          <w:color w:val="231F20"/>
          <w:w w:val="120"/>
        </w:rPr>
        <w:t>de vie. Cependant, les ressources adaptatives n’étant pas infinies, ils peuvent être à risque d’épuisement en fonction des comportements </w:t>
      </w:r>
      <w:r>
        <w:rPr>
          <w:color w:val="231F20"/>
          <w:spacing w:val="-2"/>
          <w:w w:val="120"/>
        </w:rPr>
        <w:t>excessifs</w:t>
      </w:r>
      <w:r>
        <w:rPr>
          <w:color w:val="231F20"/>
          <w:spacing w:val="-8"/>
          <w:w w:val="120"/>
        </w:rPr>
        <w:t> </w:t>
      </w:r>
      <w:r>
        <w:rPr>
          <w:color w:val="231F20"/>
          <w:spacing w:val="-2"/>
          <w:w w:val="120"/>
        </w:rPr>
        <w:t>que</w:t>
      </w:r>
      <w:r>
        <w:rPr>
          <w:color w:val="231F20"/>
          <w:spacing w:val="-8"/>
          <w:w w:val="120"/>
        </w:rPr>
        <w:t> </w:t>
      </w:r>
      <w:r>
        <w:rPr>
          <w:color w:val="231F20"/>
          <w:spacing w:val="-2"/>
          <w:w w:val="120"/>
        </w:rPr>
        <w:t>commande</w:t>
      </w:r>
      <w:r>
        <w:rPr>
          <w:color w:val="231F20"/>
          <w:spacing w:val="-8"/>
          <w:w w:val="120"/>
        </w:rPr>
        <w:t> </w:t>
      </w:r>
      <w:r>
        <w:rPr>
          <w:color w:val="231F20"/>
          <w:spacing w:val="-2"/>
          <w:w w:val="120"/>
        </w:rPr>
        <w:t>leur</w:t>
      </w:r>
      <w:r>
        <w:rPr>
          <w:color w:val="231F20"/>
          <w:spacing w:val="-8"/>
          <w:w w:val="120"/>
        </w:rPr>
        <w:t> </w:t>
      </w:r>
      <w:r>
        <w:rPr>
          <w:color w:val="231F20"/>
          <w:spacing w:val="-2"/>
          <w:w w:val="120"/>
        </w:rPr>
        <w:t>personnalité.</w:t>
      </w:r>
      <w:r>
        <w:rPr>
          <w:color w:val="231F20"/>
          <w:spacing w:val="-8"/>
          <w:w w:val="120"/>
        </w:rPr>
        <w:t> </w:t>
      </w:r>
      <w:r>
        <w:rPr>
          <w:i/>
          <w:color w:val="231F20"/>
          <w:spacing w:val="-2"/>
          <w:w w:val="120"/>
        </w:rPr>
        <w:t>A</w:t>
      </w:r>
      <w:r>
        <w:rPr>
          <w:i/>
          <w:color w:val="231F20"/>
          <w:spacing w:val="-8"/>
          <w:w w:val="120"/>
        </w:rPr>
        <w:t> </w:t>
      </w:r>
      <w:r>
        <w:rPr>
          <w:i/>
          <w:color w:val="231F20"/>
          <w:spacing w:val="-2"/>
          <w:w w:val="120"/>
        </w:rPr>
        <w:t>contrario</w:t>
      </w:r>
      <w:r>
        <w:rPr>
          <w:color w:val="231F20"/>
          <w:spacing w:val="-2"/>
          <w:w w:val="120"/>
        </w:rPr>
        <w:t>,</w:t>
      </w:r>
      <w:r>
        <w:rPr>
          <w:color w:val="231F20"/>
          <w:spacing w:val="-8"/>
          <w:w w:val="120"/>
        </w:rPr>
        <w:t> </w:t>
      </w:r>
      <w:r>
        <w:rPr>
          <w:color w:val="231F20"/>
          <w:spacing w:val="-2"/>
          <w:w w:val="120"/>
        </w:rPr>
        <w:t>les</w:t>
      </w:r>
      <w:r>
        <w:rPr>
          <w:color w:val="231F20"/>
          <w:spacing w:val="-8"/>
          <w:w w:val="120"/>
        </w:rPr>
        <w:t> </w:t>
      </w:r>
      <w:r>
        <w:rPr>
          <w:color w:val="231F20"/>
          <w:spacing w:val="-2"/>
          <w:w w:val="120"/>
        </w:rPr>
        <w:t>personnes</w:t>
      </w:r>
      <w:r>
        <w:rPr>
          <w:color w:val="231F20"/>
          <w:spacing w:val="-8"/>
          <w:w w:val="120"/>
        </w:rPr>
        <w:t> </w:t>
      </w:r>
      <w:r>
        <w:rPr>
          <w:color w:val="231F20"/>
          <w:spacing w:val="-2"/>
          <w:w w:val="120"/>
        </w:rPr>
        <w:t>se </w:t>
      </w:r>
      <w:r>
        <w:rPr>
          <w:color w:val="231F20"/>
          <w:w w:val="120"/>
        </w:rPr>
        <w:t>situant</w:t>
      </w:r>
      <w:r>
        <w:rPr>
          <w:color w:val="231F20"/>
          <w:spacing w:val="-13"/>
          <w:w w:val="120"/>
        </w:rPr>
        <w:t> </w:t>
      </w:r>
      <w:r>
        <w:rPr>
          <w:color w:val="231F20"/>
          <w:w w:val="120"/>
        </w:rPr>
        <w:t>à</w:t>
      </w:r>
      <w:r>
        <w:rPr>
          <w:color w:val="231F20"/>
          <w:spacing w:val="-13"/>
          <w:w w:val="120"/>
        </w:rPr>
        <w:t> </w:t>
      </w:r>
      <w:r>
        <w:rPr>
          <w:color w:val="231F20"/>
          <w:w w:val="120"/>
        </w:rPr>
        <w:t>l’autre</w:t>
      </w:r>
      <w:r>
        <w:rPr>
          <w:color w:val="231F20"/>
          <w:spacing w:val="-13"/>
          <w:w w:val="120"/>
        </w:rPr>
        <w:t> </w:t>
      </w:r>
      <w:r>
        <w:rPr>
          <w:color w:val="231F20"/>
          <w:w w:val="120"/>
        </w:rPr>
        <w:t>pôle</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personnalité</w:t>
      </w:r>
      <w:r>
        <w:rPr>
          <w:color w:val="231F20"/>
          <w:spacing w:val="-13"/>
          <w:w w:val="120"/>
        </w:rPr>
        <w:t> </w:t>
      </w:r>
      <w:r>
        <w:rPr>
          <w:color w:val="231F20"/>
          <w:w w:val="120"/>
        </w:rPr>
        <w:t>«</w:t>
      </w:r>
      <w:r>
        <w:rPr>
          <w:color w:val="231F20"/>
          <w:spacing w:val="-12"/>
          <w:w w:val="120"/>
        </w:rPr>
        <w:t> </w:t>
      </w:r>
      <w:r>
        <w:rPr>
          <w:color w:val="231F20"/>
          <w:w w:val="120"/>
        </w:rPr>
        <w:t>R»</w:t>
      </w:r>
      <w:r>
        <w:rPr>
          <w:color w:val="231F20"/>
          <w:spacing w:val="-13"/>
          <w:w w:val="120"/>
        </w:rPr>
        <w:t> </w:t>
      </w:r>
      <w:r>
        <w:rPr>
          <w:color w:val="231F20"/>
          <w:w w:val="120"/>
        </w:rPr>
        <w:t>affichent</w:t>
      </w:r>
      <w:r>
        <w:rPr>
          <w:color w:val="231F20"/>
          <w:spacing w:val="-11"/>
          <w:w w:val="120"/>
        </w:rPr>
        <w:t> </w:t>
      </w:r>
      <w:r>
        <w:rPr>
          <w:color w:val="231F20"/>
          <w:w w:val="120"/>
        </w:rPr>
        <w:t>possiblement</w:t>
      </w:r>
      <w:r>
        <w:rPr>
          <w:color w:val="231F20"/>
          <w:spacing w:val="-10"/>
          <w:w w:val="120"/>
        </w:rPr>
        <w:t> </w:t>
      </w:r>
      <w:r>
        <w:rPr>
          <w:color w:val="231F20"/>
          <w:w w:val="120"/>
        </w:rPr>
        <w:t>une grande</w:t>
      </w:r>
      <w:r>
        <w:rPr>
          <w:color w:val="231F20"/>
          <w:spacing w:val="-6"/>
          <w:w w:val="120"/>
        </w:rPr>
        <w:t> </w:t>
      </w:r>
      <w:r>
        <w:rPr>
          <w:color w:val="231F20"/>
          <w:w w:val="120"/>
        </w:rPr>
        <w:t>sensibilité</w:t>
      </w:r>
      <w:r>
        <w:rPr>
          <w:color w:val="231F20"/>
          <w:spacing w:val="-6"/>
          <w:w w:val="120"/>
        </w:rPr>
        <w:t> </w:t>
      </w:r>
      <w:r>
        <w:rPr>
          <w:color w:val="231F20"/>
          <w:w w:val="120"/>
        </w:rPr>
        <w:t>au</w:t>
      </w:r>
      <w:r>
        <w:rPr>
          <w:color w:val="231F20"/>
          <w:spacing w:val="-6"/>
          <w:w w:val="120"/>
        </w:rPr>
        <w:t> </w:t>
      </w:r>
      <w:r>
        <w:rPr>
          <w:color w:val="231F20"/>
          <w:w w:val="120"/>
        </w:rPr>
        <w:t>stress</w:t>
      </w:r>
      <w:r>
        <w:rPr>
          <w:color w:val="231F20"/>
          <w:spacing w:val="-6"/>
          <w:w w:val="120"/>
        </w:rPr>
        <w:t> </w:t>
      </w:r>
      <w:r>
        <w:rPr>
          <w:color w:val="231F20"/>
          <w:w w:val="120"/>
        </w:rPr>
        <w:t>qui</w:t>
      </w:r>
      <w:r>
        <w:rPr>
          <w:color w:val="231F20"/>
          <w:spacing w:val="-6"/>
          <w:w w:val="120"/>
        </w:rPr>
        <w:t> </w:t>
      </w:r>
      <w:r>
        <w:rPr>
          <w:color w:val="231F20"/>
          <w:w w:val="120"/>
        </w:rPr>
        <w:t>les</w:t>
      </w:r>
      <w:r>
        <w:rPr>
          <w:color w:val="231F20"/>
          <w:spacing w:val="-6"/>
          <w:w w:val="120"/>
        </w:rPr>
        <w:t> </w:t>
      </w:r>
      <w:r>
        <w:rPr>
          <w:color w:val="231F20"/>
          <w:w w:val="120"/>
        </w:rPr>
        <w:t>amène</w:t>
      </w:r>
      <w:r>
        <w:rPr>
          <w:color w:val="231F20"/>
          <w:spacing w:val="-6"/>
          <w:w w:val="120"/>
        </w:rPr>
        <w:t> </w:t>
      </w:r>
      <w:r>
        <w:rPr>
          <w:color w:val="231F20"/>
          <w:w w:val="120"/>
        </w:rPr>
        <w:t>à</w:t>
      </w:r>
      <w:r>
        <w:rPr>
          <w:color w:val="231F20"/>
          <w:spacing w:val="-6"/>
          <w:w w:val="120"/>
        </w:rPr>
        <w:t> </w:t>
      </w:r>
      <w:r>
        <w:rPr>
          <w:color w:val="231F20"/>
          <w:w w:val="120"/>
        </w:rPr>
        <w:t>adopter</w:t>
      </w:r>
      <w:r>
        <w:rPr>
          <w:color w:val="231F20"/>
          <w:spacing w:val="-6"/>
          <w:w w:val="120"/>
        </w:rPr>
        <w:t> </w:t>
      </w:r>
      <w:r>
        <w:rPr>
          <w:color w:val="231F20"/>
          <w:w w:val="120"/>
        </w:rPr>
        <w:t>un</w:t>
      </w:r>
      <w:r>
        <w:rPr>
          <w:color w:val="231F20"/>
          <w:spacing w:val="-6"/>
          <w:w w:val="120"/>
        </w:rPr>
        <w:t> </w:t>
      </w:r>
      <w:r>
        <w:rPr>
          <w:color w:val="231F20"/>
          <w:w w:val="120"/>
        </w:rPr>
        <w:t>style</w:t>
      </w:r>
      <w:r>
        <w:rPr>
          <w:color w:val="231F20"/>
          <w:spacing w:val="-6"/>
          <w:w w:val="120"/>
        </w:rPr>
        <w:t> </w:t>
      </w:r>
      <w:r>
        <w:rPr>
          <w:color w:val="231F20"/>
          <w:w w:val="120"/>
        </w:rPr>
        <w:t>de</w:t>
      </w:r>
      <w:r>
        <w:rPr>
          <w:color w:val="231F20"/>
          <w:spacing w:val="-6"/>
          <w:w w:val="120"/>
        </w:rPr>
        <w:t> </w:t>
      </w:r>
      <w:r>
        <w:rPr>
          <w:color w:val="231F20"/>
          <w:w w:val="120"/>
        </w:rPr>
        <w:t>vie</w:t>
      </w:r>
      <w:r>
        <w:rPr>
          <w:color w:val="231F20"/>
          <w:spacing w:val="-6"/>
          <w:w w:val="120"/>
        </w:rPr>
        <w:t> </w:t>
      </w:r>
      <w:r>
        <w:rPr>
          <w:color w:val="231F20"/>
          <w:w w:val="120"/>
        </w:rPr>
        <w:t>plus rangé</w:t>
      </w:r>
      <w:r>
        <w:rPr>
          <w:color w:val="231F20"/>
          <w:spacing w:val="-1"/>
          <w:w w:val="120"/>
        </w:rPr>
        <w:t> </w:t>
      </w:r>
      <w:r>
        <w:rPr>
          <w:color w:val="231F20"/>
          <w:w w:val="120"/>
        </w:rPr>
        <w:t>et</w:t>
      </w:r>
      <w:r>
        <w:rPr>
          <w:color w:val="231F20"/>
          <w:spacing w:val="-1"/>
          <w:w w:val="120"/>
        </w:rPr>
        <w:t> </w:t>
      </w:r>
      <w:r>
        <w:rPr>
          <w:color w:val="231F20"/>
          <w:w w:val="120"/>
        </w:rPr>
        <w:t>planifié.</w:t>
      </w:r>
      <w:r>
        <w:rPr>
          <w:color w:val="231F20"/>
          <w:spacing w:val="-1"/>
          <w:w w:val="120"/>
        </w:rPr>
        <w:t> </w:t>
      </w:r>
      <w:r>
        <w:rPr>
          <w:color w:val="231F20"/>
          <w:w w:val="120"/>
        </w:rPr>
        <w:t>Elles</w:t>
      </w:r>
      <w:r>
        <w:rPr>
          <w:color w:val="231F20"/>
          <w:spacing w:val="-1"/>
          <w:w w:val="120"/>
        </w:rPr>
        <w:t> </w:t>
      </w:r>
      <w:r>
        <w:rPr>
          <w:color w:val="231F20"/>
          <w:w w:val="120"/>
        </w:rPr>
        <w:t>sont</w:t>
      </w:r>
      <w:r>
        <w:rPr>
          <w:color w:val="231F20"/>
          <w:spacing w:val="-1"/>
          <w:w w:val="120"/>
        </w:rPr>
        <w:t> </w:t>
      </w:r>
      <w:r>
        <w:rPr>
          <w:color w:val="231F20"/>
          <w:w w:val="120"/>
        </w:rPr>
        <w:t>donc</w:t>
      </w:r>
      <w:r>
        <w:rPr>
          <w:color w:val="231F20"/>
          <w:spacing w:val="-1"/>
          <w:w w:val="120"/>
        </w:rPr>
        <w:t> </w:t>
      </w:r>
      <w:r>
        <w:rPr>
          <w:color w:val="231F20"/>
          <w:w w:val="120"/>
        </w:rPr>
        <w:t>plus</w:t>
      </w:r>
      <w:r>
        <w:rPr>
          <w:color w:val="231F20"/>
          <w:spacing w:val="-1"/>
          <w:w w:val="120"/>
        </w:rPr>
        <w:t> </w:t>
      </w:r>
      <w:r>
        <w:rPr>
          <w:color w:val="231F20"/>
          <w:w w:val="120"/>
        </w:rPr>
        <w:t>fragiles</w:t>
      </w:r>
      <w:r>
        <w:rPr>
          <w:color w:val="231F20"/>
          <w:spacing w:val="-1"/>
          <w:w w:val="120"/>
        </w:rPr>
        <w:t> </w:t>
      </w:r>
      <w:r>
        <w:rPr>
          <w:color w:val="231F20"/>
          <w:w w:val="120"/>
        </w:rPr>
        <w:t>aux</w:t>
      </w:r>
      <w:r>
        <w:rPr>
          <w:color w:val="231F20"/>
          <w:spacing w:val="-1"/>
          <w:w w:val="120"/>
        </w:rPr>
        <w:t> </w:t>
      </w:r>
      <w:r>
        <w:rPr>
          <w:color w:val="231F20"/>
          <w:w w:val="120"/>
        </w:rPr>
        <w:t>imprévues</w:t>
      </w:r>
      <w:r>
        <w:rPr>
          <w:color w:val="231F20"/>
          <w:spacing w:val="-1"/>
          <w:w w:val="120"/>
        </w:rPr>
        <w:t> </w:t>
      </w:r>
      <w:r>
        <w:rPr>
          <w:color w:val="231F20"/>
          <w:w w:val="120"/>
        </w:rPr>
        <w:t>que</w:t>
      </w:r>
      <w:r>
        <w:rPr>
          <w:color w:val="231F20"/>
          <w:spacing w:val="-1"/>
          <w:w w:val="120"/>
        </w:rPr>
        <w:t> </w:t>
      </w:r>
      <w:r>
        <w:rPr>
          <w:color w:val="231F20"/>
          <w:w w:val="120"/>
        </w:rPr>
        <w:t>peut occasionner la vie personnelle ou professionnelle.</w:t>
      </w:r>
    </w:p>
    <w:p>
      <w:pPr>
        <w:spacing w:after="0" w:line="307" w:lineRule="auto"/>
        <w:jc w:val="both"/>
        <w:sectPr>
          <w:footerReference w:type="default" r:id="rId208"/>
          <w:pgSz w:w="8640" w:h="12960"/>
          <w:pgMar w:footer="424" w:header="0" w:top="500" w:bottom="620" w:left="420" w:right="1140"/>
        </w:sectPr>
      </w:pPr>
    </w:p>
    <w:p>
      <w:pPr>
        <w:spacing w:before="103"/>
        <w:ind w:left="1028" w:right="698" w:firstLine="0"/>
        <w:jc w:val="center"/>
        <w:rPr>
          <w:rFonts w:ascii="Arial" w:hAnsi="Arial"/>
          <w:sz w:val="14"/>
        </w:rPr>
      </w:pPr>
      <w:bookmarkStart w:name=" 3.3.6 / Cinq grands facteurs de personn" w:id="108"/>
      <w:bookmarkEnd w:id="108"/>
      <w:r>
        <w:rPr/>
      </w:r>
      <w:bookmarkStart w:name="_bookmark46" w:id="109"/>
      <w:bookmarkEnd w:id="109"/>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rPr>
          <w:rFonts w:ascii="Arial"/>
          <w:sz w:val="29"/>
        </w:rPr>
      </w:pPr>
    </w:p>
    <w:p>
      <w:pPr>
        <w:pStyle w:val="Heading4"/>
        <w:numPr>
          <w:ilvl w:val="2"/>
          <w:numId w:val="44"/>
        </w:numPr>
        <w:tabs>
          <w:tab w:pos="529" w:val="left" w:leader="none"/>
          <w:tab w:pos="829" w:val="left" w:leader="none"/>
        </w:tabs>
        <w:spacing w:line="240" w:lineRule="auto" w:before="0" w:after="0"/>
        <w:ind w:left="528" w:right="0" w:hanging="407"/>
        <w:jc w:val="left"/>
      </w:pPr>
      <w:r>
        <w:rPr>
          <w:b w:val="0"/>
          <w:i/>
          <w:color w:val="231F20"/>
          <w:spacing w:val="-10"/>
        </w:rPr>
        <w:t>/</w:t>
      </w:r>
      <w:r>
        <w:rPr>
          <w:b w:val="0"/>
          <w:i/>
          <w:color w:val="231F20"/>
        </w:rPr>
        <w:tab/>
      </w:r>
      <w:r>
        <w:rPr>
          <w:color w:val="231F20"/>
          <w:w w:val="90"/>
        </w:rPr>
        <w:t>Cinq</w:t>
      </w:r>
      <w:r>
        <w:rPr>
          <w:color w:val="231F20"/>
          <w:spacing w:val="6"/>
        </w:rPr>
        <w:t> </w:t>
      </w:r>
      <w:r>
        <w:rPr>
          <w:color w:val="231F20"/>
          <w:w w:val="90"/>
        </w:rPr>
        <w:t>grands</w:t>
      </w:r>
      <w:r>
        <w:rPr>
          <w:color w:val="231F20"/>
          <w:spacing w:val="6"/>
        </w:rPr>
        <w:t> </w:t>
      </w:r>
      <w:r>
        <w:rPr>
          <w:color w:val="231F20"/>
          <w:w w:val="90"/>
        </w:rPr>
        <w:t>facteurs</w:t>
      </w:r>
      <w:r>
        <w:rPr>
          <w:color w:val="231F20"/>
          <w:spacing w:val="6"/>
        </w:rPr>
        <w:t> </w:t>
      </w:r>
      <w:r>
        <w:rPr>
          <w:color w:val="231F20"/>
          <w:w w:val="90"/>
        </w:rPr>
        <w:t>de</w:t>
      </w:r>
      <w:r>
        <w:rPr>
          <w:color w:val="231F20"/>
          <w:spacing w:val="7"/>
        </w:rPr>
        <w:t> </w:t>
      </w:r>
      <w:r>
        <w:rPr>
          <w:color w:val="231F20"/>
          <w:spacing w:val="-2"/>
          <w:w w:val="90"/>
        </w:rPr>
        <w:t>personnalité</w:t>
      </w:r>
    </w:p>
    <w:p>
      <w:pPr>
        <w:pStyle w:val="BodyText"/>
        <w:spacing w:line="307" w:lineRule="auto" w:before="234"/>
        <w:ind w:left="830" w:right="493"/>
        <w:jc w:val="both"/>
      </w:pPr>
      <w:r>
        <w:rPr>
          <w:color w:val="231F20"/>
          <w:w w:val="120"/>
        </w:rPr>
        <w:t>Par-delà les types et les traits de personnalité, il est possible de cir- conscrire</w:t>
      </w:r>
      <w:r>
        <w:rPr>
          <w:color w:val="231F20"/>
          <w:spacing w:val="-7"/>
          <w:w w:val="120"/>
        </w:rPr>
        <w:t> </w:t>
      </w:r>
      <w:r>
        <w:rPr>
          <w:color w:val="231F20"/>
          <w:w w:val="120"/>
        </w:rPr>
        <w:t>la</w:t>
      </w:r>
      <w:r>
        <w:rPr>
          <w:color w:val="231F20"/>
          <w:spacing w:val="-7"/>
          <w:w w:val="120"/>
        </w:rPr>
        <w:t> </w:t>
      </w:r>
      <w:r>
        <w:rPr>
          <w:color w:val="231F20"/>
          <w:w w:val="120"/>
        </w:rPr>
        <w:t>personnalité</w:t>
      </w:r>
      <w:r>
        <w:rPr>
          <w:color w:val="231F20"/>
          <w:spacing w:val="-7"/>
          <w:w w:val="120"/>
        </w:rPr>
        <w:t> </w:t>
      </w:r>
      <w:r>
        <w:rPr>
          <w:color w:val="231F20"/>
          <w:w w:val="120"/>
        </w:rPr>
        <w:t>d’une</w:t>
      </w:r>
      <w:r>
        <w:rPr>
          <w:color w:val="231F20"/>
          <w:spacing w:val="-7"/>
          <w:w w:val="120"/>
        </w:rPr>
        <w:t> </w:t>
      </w:r>
      <w:r>
        <w:rPr>
          <w:color w:val="231F20"/>
          <w:w w:val="120"/>
        </w:rPr>
        <w:t>personne</w:t>
      </w:r>
      <w:r>
        <w:rPr>
          <w:color w:val="231F20"/>
          <w:spacing w:val="-7"/>
          <w:w w:val="120"/>
        </w:rPr>
        <w:t> </w:t>
      </w:r>
      <w:r>
        <w:rPr>
          <w:color w:val="231F20"/>
          <w:w w:val="120"/>
        </w:rPr>
        <w:t>à</w:t>
      </w:r>
      <w:r>
        <w:rPr>
          <w:color w:val="231F20"/>
          <w:spacing w:val="-7"/>
          <w:w w:val="120"/>
        </w:rPr>
        <w:t> </w:t>
      </w:r>
      <w:r>
        <w:rPr>
          <w:color w:val="231F20"/>
          <w:w w:val="120"/>
        </w:rPr>
        <w:t>partir</w:t>
      </w:r>
      <w:r>
        <w:rPr>
          <w:color w:val="231F20"/>
          <w:spacing w:val="-7"/>
          <w:w w:val="120"/>
        </w:rPr>
        <w:t> </w:t>
      </w:r>
      <w:r>
        <w:rPr>
          <w:color w:val="231F20"/>
          <w:w w:val="120"/>
        </w:rPr>
        <w:t>de</w:t>
      </w:r>
      <w:r>
        <w:rPr>
          <w:color w:val="231F20"/>
          <w:spacing w:val="-7"/>
          <w:w w:val="120"/>
        </w:rPr>
        <w:t> </w:t>
      </w:r>
      <w:r>
        <w:rPr>
          <w:color w:val="231F20"/>
          <w:w w:val="120"/>
        </w:rPr>
        <w:t>ses</w:t>
      </w:r>
      <w:r>
        <w:rPr>
          <w:color w:val="231F20"/>
          <w:spacing w:val="-7"/>
          <w:w w:val="120"/>
        </w:rPr>
        <w:t> </w:t>
      </w:r>
      <w:r>
        <w:rPr>
          <w:color w:val="231F20"/>
          <w:w w:val="120"/>
        </w:rPr>
        <w:t>facteurs</w:t>
      </w:r>
      <w:r>
        <w:rPr>
          <w:color w:val="231F20"/>
          <w:spacing w:val="-7"/>
          <w:w w:val="120"/>
        </w:rPr>
        <w:t> </w:t>
      </w:r>
      <w:r>
        <w:rPr>
          <w:color w:val="231F20"/>
          <w:w w:val="120"/>
        </w:rPr>
        <w:t>consti- tutifs.</w:t>
      </w:r>
      <w:r>
        <w:rPr>
          <w:color w:val="231F20"/>
          <w:spacing w:val="-5"/>
          <w:w w:val="120"/>
        </w:rPr>
        <w:t> </w:t>
      </w:r>
      <w:r>
        <w:rPr>
          <w:color w:val="231F20"/>
          <w:w w:val="120"/>
        </w:rPr>
        <w:t>La</w:t>
      </w:r>
      <w:r>
        <w:rPr>
          <w:color w:val="231F20"/>
          <w:spacing w:val="-5"/>
          <w:w w:val="120"/>
        </w:rPr>
        <w:t> </w:t>
      </w:r>
      <w:r>
        <w:rPr>
          <w:color w:val="231F20"/>
          <w:w w:val="120"/>
        </w:rPr>
        <w:t>plus</w:t>
      </w:r>
      <w:r>
        <w:rPr>
          <w:color w:val="231F20"/>
          <w:spacing w:val="-5"/>
          <w:w w:val="120"/>
        </w:rPr>
        <w:t> </w:t>
      </w:r>
      <w:r>
        <w:rPr>
          <w:color w:val="231F20"/>
          <w:w w:val="120"/>
        </w:rPr>
        <w:t>populaire</w:t>
      </w:r>
      <w:r>
        <w:rPr>
          <w:color w:val="231F20"/>
          <w:spacing w:val="-5"/>
          <w:w w:val="120"/>
        </w:rPr>
        <w:t> </w:t>
      </w:r>
      <w:r>
        <w:rPr>
          <w:color w:val="231F20"/>
          <w:w w:val="120"/>
        </w:rPr>
        <w:t>nomenclature</w:t>
      </w:r>
      <w:r>
        <w:rPr>
          <w:color w:val="231F20"/>
          <w:spacing w:val="-5"/>
          <w:w w:val="120"/>
        </w:rPr>
        <w:t> </w:t>
      </w:r>
      <w:r>
        <w:rPr>
          <w:color w:val="231F20"/>
          <w:w w:val="120"/>
        </w:rPr>
        <w:t>des</w:t>
      </w:r>
      <w:r>
        <w:rPr>
          <w:color w:val="231F20"/>
          <w:spacing w:val="-5"/>
          <w:w w:val="120"/>
        </w:rPr>
        <w:t> </w:t>
      </w:r>
      <w:r>
        <w:rPr>
          <w:color w:val="231F20"/>
          <w:w w:val="120"/>
        </w:rPr>
        <w:t>facteurs</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personnalité</w:t>
      </w:r>
      <w:r>
        <w:rPr>
          <w:color w:val="231F20"/>
          <w:spacing w:val="-5"/>
          <w:w w:val="120"/>
        </w:rPr>
        <w:t> </w:t>
      </w:r>
      <w:r>
        <w:rPr>
          <w:color w:val="231F20"/>
          <w:w w:val="120"/>
        </w:rPr>
        <w:t>a </w:t>
      </w:r>
      <w:r>
        <w:rPr>
          <w:color w:val="231F20"/>
          <w:spacing w:val="-2"/>
          <w:w w:val="115"/>
        </w:rPr>
        <w:t>été</w:t>
      </w:r>
      <w:r>
        <w:rPr>
          <w:color w:val="231F20"/>
          <w:spacing w:val="-11"/>
          <w:w w:val="115"/>
        </w:rPr>
        <w:t> </w:t>
      </w:r>
      <w:r>
        <w:rPr>
          <w:color w:val="231F20"/>
          <w:spacing w:val="-2"/>
          <w:w w:val="115"/>
        </w:rPr>
        <w:t>développée</w:t>
      </w:r>
      <w:r>
        <w:rPr>
          <w:color w:val="231F20"/>
          <w:spacing w:val="-10"/>
          <w:w w:val="115"/>
        </w:rPr>
        <w:t> </w:t>
      </w:r>
      <w:r>
        <w:rPr>
          <w:color w:val="231F20"/>
          <w:spacing w:val="-2"/>
          <w:w w:val="115"/>
        </w:rPr>
        <w:t>par</w:t>
      </w:r>
      <w:r>
        <w:rPr>
          <w:color w:val="231F20"/>
          <w:spacing w:val="-10"/>
          <w:w w:val="115"/>
        </w:rPr>
        <w:t> </w:t>
      </w:r>
      <w:r>
        <w:rPr>
          <w:color w:val="231F20"/>
          <w:spacing w:val="-2"/>
          <w:w w:val="115"/>
        </w:rPr>
        <w:t>Costa</w:t>
      </w:r>
      <w:r>
        <w:rPr>
          <w:color w:val="231F20"/>
          <w:spacing w:val="-10"/>
          <w:w w:val="115"/>
        </w:rPr>
        <w:t> </w:t>
      </w:r>
      <w:r>
        <w:rPr>
          <w:color w:val="231F20"/>
          <w:spacing w:val="-2"/>
          <w:w w:val="115"/>
        </w:rPr>
        <w:t>et</w:t>
      </w:r>
      <w:r>
        <w:rPr>
          <w:color w:val="231F20"/>
          <w:spacing w:val="-11"/>
          <w:w w:val="115"/>
        </w:rPr>
        <w:t> </w:t>
      </w:r>
      <w:r>
        <w:rPr>
          <w:color w:val="231F20"/>
          <w:spacing w:val="-2"/>
          <w:w w:val="115"/>
        </w:rPr>
        <w:t>McCrae</w:t>
      </w:r>
      <w:r>
        <w:rPr>
          <w:color w:val="231F20"/>
          <w:spacing w:val="-10"/>
          <w:w w:val="115"/>
        </w:rPr>
        <w:t> </w:t>
      </w:r>
      <w:r>
        <w:rPr>
          <w:color w:val="231F20"/>
          <w:spacing w:val="-2"/>
          <w:w w:val="115"/>
        </w:rPr>
        <w:t>et</w:t>
      </w:r>
      <w:r>
        <w:rPr>
          <w:color w:val="231F20"/>
          <w:spacing w:val="-10"/>
          <w:w w:val="115"/>
        </w:rPr>
        <w:t> </w:t>
      </w:r>
      <w:r>
        <w:rPr>
          <w:color w:val="231F20"/>
          <w:spacing w:val="-2"/>
          <w:w w:val="115"/>
        </w:rPr>
        <w:t>porte</w:t>
      </w:r>
      <w:r>
        <w:rPr>
          <w:color w:val="231F20"/>
          <w:spacing w:val="-7"/>
          <w:w w:val="115"/>
        </w:rPr>
        <w:t> </w:t>
      </w:r>
      <w:r>
        <w:rPr>
          <w:color w:val="231F20"/>
          <w:spacing w:val="-2"/>
          <w:w w:val="115"/>
        </w:rPr>
        <w:t>le</w:t>
      </w:r>
      <w:r>
        <w:rPr>
          <w:color w:val="231F20"/>
          <w:spacing w:val="-4"/>
          <w:w w:val="115"/>
        </w:rPr>
        <w:t> </w:t>
      </w:r>
      <w:r>
        <w:rPr>
          <w:color w:val="231F20"/>
          <w:spacing w:val="-2"/>
          <w:w w:val="115"/>
        </w:rPr>
        <w:t>nom</w:t>
      </w:r>
      <w:r>
        <w:rPr>
          <w:color w:val="231F20"/>
          <w:spacing w:val="-5"/>
          <w:w w:val="115"/>
        </w:rPr>
        <w:t> </w:t>
      </w:r>
      <w:r>
        <w:rPr>
          <w:color w:val="231F20"/>
          <w:spacing w:val="-2"/>
          <w:w w:val="115"/>
        </w:rPr>
        <w:t>de</w:t>
      </w:r>
      <w:r>
        <w:rPr>
          <w:color w:val="231F20"/>
          <w:spacing w:val="-5"/>
          <w:w w:val="115"/>
        </w:rPr>
        <w:t> </w:t>
      </w:r>
      <w:r>
        <w:rPr>
          <w:color w:val="231F20"/>
          <w:spacing w:val="-2"/>
          <w:w w:val="115"/>
        </w:rPr>
        <w:t>«</w:t>
      </w:r>
      <w:r>
        <w:rPr>
          <w:color w:val="231F20"/>
          <w:spacing w:val="-11"/>
          <w:w w:val="115"/>
        </w:rPr>
        <w:t> </w:t>
      </w:r>
      <w:r>
        <w:rPr>
          <w:i/>
          <w:color w:val="231F20"/>
          <w:spacing w:val="-2"/>
          <w:w w:val="115"/>
        </w:rPr>
        <w:t>Big</w:t>
      </w:r>
      <w:r>
        <w:rPr>
          <w:i/>
          <w:color w:val="231F20"/>
          <w:spacing w:val="-4"/>
          <w:w w:val="115"/>
        </w:rPr>
        <w:t> </w:t>
      </w:r>
      <w:r>
        <w:rPr>
          <w:i/>
          <w:color w:val="231F20"/>
          <w:spacing w:val="-2"/>
          <w:w w:val="115"/>
        </w:rPr>
        <w:t>Five</w:t>
      </w:r>
      <w:r>
        <w:rPr>
          <w:i/>
          <w:color w:val="231F20"/>
          <w:spacing w:val="-11"/>
          <w:w w:val="115"/>
        </w:rPr>
        <w:t> </w:t>
      </w:r>
      <w:r>
        <w:rPr>
          <w:color w:val="231F20"/>
          <w:spacing w:val="-2"/>
          <w:w w:val="115"/>
        </w:rPr>
        <w:t>»</w:t>
      </w:r>
      <w:r>
        <w:rPr>
          <w:color w:val="231F20"/>
          <w:spacing w:val="-4"/>
          <w:w w:val="115"/>
        </w:rPr>
        <w:t> </w:t>
      </w:r>
      <w:r>
        <w:rPr>
          <w:color w:val="231F20"/>
          <w:spacing w:val="-2"/>
          <w:w w:val="115"/>
        </w:rPr>
        <w:t>puisque </w:t>
      </w:r>
      <w:r>
        <w:rPr>
          <w:color w:val="231F20"/>
          <w:spacing w:val="-2"/>
          <w:w w:val="120"/>
        </w:rPr>
        <w:t>cinq</w:t>
      </w:r>
      <w:r>
        <w:rPr>
          <w:color w:val="231F20"/>
          <w:spacing w:val="-11"/>
          <w:w w:val="120"/>
        </w:rPr>
        <w:t> </w:t>
      </w:r>
      <w:r>
        <w:rPr>
          <w:color w:val="231F20"/>
          <w:spacing w:val="-2"/>
          <w:w w:val="120"/>
        </w:rPr>
        <w:t>facteurs</w:t>
      </w:r>
      <w:r>
        <w:rPr>
          <w:color w:val="231F20"/>
          <w:spacing w:val="-11"/>
          <w:w w:val="120"/>
        </w:rPr>
        <w:t> </w:t>
      </w:r>
      <w:r>
        <w:rPr>
          <w:color w:val="231F20"/>
          <w:spacing w:val="-2"/>
          <w:w w:val="120"/>
        </w:rPr>
        <w:t>centraux</w:t>
      </w:r>
      <w:r>
        <w:rPr>
          <w:color w:val="231F20"/>
          <w:spacing w:val="-11"/>
          <w:w w:val="120"/>
        </w:rPr>
        <w:t> </w:t>
      </w:r>
      <w:r>
        <w:rPr>
          <w:color w:val="231F20"/>
          <w:spacing w:val="-2"/>
          <w:w w:val="120"/>
        </w:rPr>
        <w:t>sont</w:t>
      </w:r>
      <w:r>
        <w:rPr>
          <w:color w:val="231F20"/>
          <w:spacing w:val="-10"/>
          <w:w w:val="120"/>
        </w:rPr>
        <w:t> </w:t>
      </w:r>
      <w:r>
        <w:rPr>
          <w:color w:val="231F20"/>
          <w:spacing w:val="-2"/>
          <w:w w:val="120"/>
        </w:rPr>
        <w:t>définis</w:t>
      </w:r>
      <w:r>
        <w:rPr>
          <w:color w:val="231F20"/>
          <w:spacing w:val="-11"/>
          <w:w w:val="120"/>
        </w:rPr>
        <w:t> </w:t>
      </w:r>
      <w:r>
        <w:rPr>
          <w:color w:val="231F20"/>
          <w:spacing w:val="-2"/>
          <w:w w:val="120"/>
        </w:rPr>
        <w:t>comme</w:t>
      </w:r>
      <w:r>
        <w:rPr>
          <w:color w:val="231F20"/>
          <w:spacing w:val="-11"/>
          <w:w w:val="120"/>
        </w:rPr>
        <w:t> </w:t>
      </w:r>
      <w:r>
        <w:rPr>
          <w:color w:val="231F20"/>
          <w:spacing w:val="-2"/>
          <w:w w:val="120"/>
        </w:rPr>
        <w:t>structure</w:t>
      </w:r>
      <w:r>
        <w:rPr>
          <w:color w:val="231F20"/>
          <w:spacing w:val="-11"/>
          <w:w w:val="120"/>
        </w:rPr>
        <w:t> </w:t>
      </w:r>
      <w:r>
        <w:rPr>
          <w:color w:val="231F20"/>
          <w:spacing w:val="-2"/>
          <w:w w:val="120"/>
        </w:rPr>
        <w:t>de</w:t>
      </w:r>
      <w:r>
        <w:rPr>
          <w:color w:val="231F20"/>
          <w:spacing w:val="-10"/>
          <w:w w:val="120"/>
        </w:rPr>
        <w:t> </w:t>
      </w:r>
      <w:r>
        <w:rPr>
          <w:color w:val="231F20"/>
          <w:spacing w:val="-2"/>
          <w:w w:val="120"/>
        </w:rPr>
        <w:t>base</w:t>
      </w:r>
      <w:r>
        <w:rPr>
          <w:color w:val="231F20"/>
          <w:spacing w:val="-11"/>
          <w:w w:val="120"/>
        </w:rPr>
        <w:t> </w:t>
      </w:r>
      <w:r>
        <w:rPr>
          <w:color w:val="231F20"/>
          <w:spacing w:val="-2"/>
          <w:w w:val="120"/>
        </w:rPr>
        <w:t>de</w:t>
      </w:r>
      <w:r>
        <w:rPr>
          <w:color w:val="231F20"/>
          <w:spacing w:val="-11"/>
          <w:w w:val="120"/>
        </w:rPr>
        <w:t> </w:t>
      </w:r>
      <w:r>
        <w:rPr>
          <w:color w:val="231F20"/>
          <w:spacing w:val="-2"/>
          <w:w w:val="120"/>
        </w:rPr>
        <w:t>la</w:t>
      </w:r>
      <w:r>
        <w:rPr>
          <w:color w:val="231F20"/>
          <w:spacing w:val="-11"/>
          <w:w w:val="120"/>
        </w:rPr>
        <w:t> </w:t>
      </w:r>
      <w:r>
        <w:rPr>
          <w:color w:val="231F20"/>
          <w:spacing w:val="-2"/>
          <w:w w:val="120"/>
        </w:rPr>
        <w:t>person- </w:t>
      </w:r>
      <w:r>
        <w:rPr>
          <w:color w:val="231F20"/>
          <w:w w:val="132"/>
        </w:rPr>
        <w:t>na</w:t>
      </w:r>
      <w:r>
        <w:rPr>
          <w:color w:val="231F20"/>
          <w:w w:val="119"/>
        </w:rPr>
        <w:t>l</w:t>
      </w:r>
      <w:r>
        <w:rPr>
          <w:color w:val="231F20"/>
          <w:spacing w:val="-2"/>
          <w:w w:val="119"/>
        </w:rPr>
        <w:t>i</w:t>
      </w:r>
      <w:r>
        <w:rPr>
          <w:color w:val="231F20"/>
          <w:spacing w:val="-1"/>
          <w:w w:val="146"/>
        </w:rPr>
        <w:t>t</w:t>
      </w:r>
      <w:r>
        <w:rPr>
          <w:color w:val="231F20"/>
          <w:w w:val="131"/>
        </w:rPr>
        <w:t>é</w:t>
      </w:r>
      <w:r>
        <w:rPr>
          <w:color w:val="231F20"/>
          <w:w w:val="72"/>
        </w:rPr>
        <w:t>1</w:t>
      </w:r>
      <w:r>
        <w:rPr>
          <w:color w:val="231F20"/>
          <w:w w:val="91"/>
        </w:rPr>
        <w:t>5</w:t>
      </w:r>
      <w:r>
        <w:rPr>
          <w:color w:val="231F20"/>
          <w:spacing w:val="-1"/>
          <w:w w:val="133"/>
        </w:rPr>
        <w:t>.</w:t>
      </w:r>
      <w:r>
        <w:rPr>
          <w:color w:val="231F20"/>
          <w:spacing w:val="-1"/>
          <w:w w:val="119"/>
        </w:rPr>
        <w:t> </w:t>
      </w:r>
      <w:r>
        <w:rPr>
          <w:color w:val="231F20"/>
          <w:w w:val="120"/>
        </w:rPr>
        <w:t>Chacun</w:t>
      </w:r>
      <w:r>
        <w:rPr>
          <w:color w:val="231F20"/>
          <w:spacing w:val="-3"/>
          <w:w w:val="120"/>
        </w:rPr>
        <w:t> </w:t>
      </w:r>
      <w:r>
        <w:rPr>
          <w:color w:val="231F20"/>
          <w:w w:val="120"/>
        </w:rPr>
        <w:t>des</w:t>
      </w:r>
      <w:r>
        <w:rPr>
          <w:color w:val="231F20"/>
          <w:spacing w:val="-2"/>
          <w:w w:val="120"/>
        </w:rPr>
        <w:t> </w:t>
      </w:r>
      <w:r>
        <w:rPr>
          <w:color w:val="231F20"/>
          <w:w w:val="120"/>
        </w:rPr>
        <w:t>facteurs</w:t>
      </w:r>
      <w:r>
        <w:rPr>
          <w:color w:val="231F20"/>
          <w:spacing w:val="-2"/>
          <w:w w:val="120"/>
        </w:rPr>
        <w:t> </w:t>
      </w:r>
      <w:r>
        <w:rPr>
          <w:color w:val="231F20"/>
          <w:w w:val="120"/>
        </w:rPr>
        <w:t>définis</w:t>
      </w:r>
      <w:r>
        <w:rPr>
          <w:color w:val="231F20"/>
          <w:spacing w:val="-2"/>
          <w:w w:val="120"/>
        </w:rPr>
        <w:t> </w:t>
      </w:r>
      <w:r>
        <w:rPr>
          <w:color w:val="231F20"/>
          <w:w w:val="120"/>
        </w:rPr>
        <w:t>est</w:t>
      </w:r>
      <w:r>
        <w:rPr>
          <w:color w:val="231F20"/>
          <w:spacing w:val="-2"/>
          <w:w w:val="120"/>
        </w:rPr>
        <w:t> </w:t>
      </w:r>
      <w:r>
        <w:rPr>
          <w:color w:val="231F20"/>
          <w:w w:val="120"/>
        </w:rPr>
        <w:t>polarisé</w:t>
      </w:r>
      <w:r>
        <w:rPr>
          <w:color w:val="231F20"/>
          <w:spacing w:val="-2"/>
          <w:w w:val="120"/>
        </w:rPr>
        <w:t> </w:t>
      </w:r>
      <w:r>
        <w:rPr>
          <w:color w:val="231F20"/>
          <w:w w:val="120"/>
        </w:rPr>
        <w:t>et</w:t>
      </w:r>
      <w:r>
        <w:rPr>
          <w:color w:val="231F20"/>
          <w:spacing w:val="-2"/>
          <w:w w:val="120"/>
        </w:rPr>
        <w:t> </w:t>
      </w:r>
      <w:r>
        <w:rPr>
          <w:color w:val="231F20"/>
          <w:w w:val="120"/>
        </w:rPr>
        <w:t>chaque</w:t>
      </w:r>
      <w:r>
        <w:rPr>
          <w:color w:val="231F20"/>
          <w:spacing w:val="-2"/>
          <w:w w:val="120"/>
        </w:rPr>
        <w:t> </w:t>
      </w:r>
      <w:r>
        <w:rPr>
          <w:color w:val="231F20"/>
          <w:w w:val="120"/>
        </w:rPr>
        <w:t>individu</w:t>
      </w:r>
      <w:r>
        <w:rPr>
          <w:color w:val="231F20"/>
          <w:spacing w:val="-2"/>
          <w:w w:val="120"/>
        </w:rPr>
        <w:t> </w:t>
      </w:r>
      <w:r>
        <w:rPr>
          <w:color w:val="231F20"/>
          <w:w w:val="120"/>
        </w:rPr>
        <w:t>se </w:t>
      </w:r>
      <w:r>
        <w:rPr>
          <w:color w:val="231F20"/>
          <w:spacing w:val="-2"/>
          <w:w w:val="120"/>
        </w:rPr>
        <w:t>positionne</w:t>
      </w:r>
      <w:r>
        <w:rPr>
          <w:color w:val="231F20"/>
          <w:spacing w:val="-6"/>
          <w:w w:val="120"/>
        </w:rPr>
        <w:t> </w:t>
      </w:r>
      <w:r>
        <w:rPr>
          <w:color w:val="231F20"/>
          <w:spacing w:val="-2"/>
          <w:w w:val="120"/>
        </w:rPr>
        <w:t>selon</w:t>
      </w:r>
      <w:r>
        <w:rPr>
          <w:color w:val="231F20"/>
          <w:spacing w:val="-6"/>
          <w:w w:val="120"/>
        </w:rPr>
        <w:t> </w:t>
      </w:r>
      <w:r>
        <w:rPr>
          <w:color w:val="231F20"/>
          <w:spacing w:val="-2"/>
          <w:w w:val="120"/>
        </w:rPr>
        <w:t>une</w:t>
      </w:r>
      <w:r>
        <w:rPr>
          <w:color w:val="231F20"/>
          <w:spacing w:val="-6"/>
          <w:w w:val="120"/>
        </w:rPr>
        <w:t> </w:t>
      </w:r>
      <w:r>
        <w:rPr>
          <w:color w:val="231F20"/>
          <w:spacing w:val="-2"/>
          <w:w w:val="120"/>
        </w:rPr>
        <w:t>appartenance,</w:t>
      </w:r>
      <w:r>
        <w:rPr>
          <w:color w:val="231F20"/>
          <w:spacing w:val="-6"/>
          <w:w w:val="120"/>
        </w:rPr>
        <w:t> </w:t>
      </w:r>
      <w:r>
        <w:rPr>
          <w:color w:val="231F20"/>
          <w:spacing w:val="-2"/>
          <w:w w:val="120"/>
        </w:rPr>
        <w:t>plus</w:t>
      </w:r>
      <w:r>
        <w:rPr>
          <w:color w:val="231F20"/>
          <w:spacing w:val="-6"/>
          <w:w w:val="120"/>
        </w:rPr>
        <w:t> </w:t>
      </w:r>
      <w:r>
        <w:rPr>
          <w:color w:val="231F20"/>
          <w:spacing w:val="-2"/>
          <w:w w:val="120"/>
        </w:rPr>
        <w:t>ou</w:t>
      </w:r>
      <w:r>
        <w:rPr>
          <w:color w:val="231F20"/>
          <w:spacing w:val="-6"/>
          <w:w w:val="120"/>
        </w:rPr>
        <w:t> </w:t>
      </w:r>
      <w:r>
        <w:rPr>
          <w:color w:val="231F20"/>
          <w:spacing w:val="-2"/>
          <w:w w:val="120"/>
        </w:rPr>
        <w:t>moins</w:t>
      </w:r>
      <w:r>
        <w:rPr>
          <w:color w:val="231F20"/>
          <w:spacing w:val="-6"/>
          <w:w w:val="120"/>
        </w:rPr>
        <w:t> </w:t>
      </w:r>
      <w:r>
        <w:rPr>
          <w:color w:val="231F20"/>
          <w:spacing w:val="-2"/>
          <w:w w:val="120"/>
        </w:rPr>
        <w:t>forte,</w:t>
      </w:r>
      <w:r>
        <w:rPr>
          <w:color w:val="231F20"/>
          <w:spacing w:val="-6"/>
          <w:w w:val="120"/>
        </w:rPr>
        <w:t> </w:t>
      </w:r>
      <w:r>
        <w:rPr>
          <w:color w:val="231F20"/>
          <w:spacing w:val="-2"/>
          <w:w w:val="120"/>
        </w:rPr>
        <w:t>à</w:t>
      </w:r>
      <w:r>
        <w:rPr>
          <w:color w:val="231F20"/>
          <w:spacing w:val="-6"/>
          <w:w w:val="120"/>
        </w:rPr>
        <w:t> </w:t>
      </w:r>
      <w:r>
        <w:rPr>
          <w:color w:val="231F20"/>
          <w:spacing w:val="-2"/>
          <w:w w:val="120"/>
        </w:rPr>
        <w:t>l’un</w:t>
      </w:r>
      <w:r>
        <w:rPr>
          <w:color w:val="231F20"/>
          <w:spacing w:val="-6"/>
          <w:w w:val="120"/>
        </w:rPr>
        <w:t> </w:t>
      </w:r>
      <w:r>
        <w:rPr>
          <w:color w:val="231F20"/>
          <w:spacing w:val="-2"/>
          <w:w w:val="120"/>
        </w:rPr>
        <w:t>ou</w:t>
      </w:r>
      <w:r>
        <w:rPr>
          <w:color w:val="231F20"/>
          <w:spacing w:val="-6"/>
          <w:w w:val="120"/>
        </w:rPr>
        <w:t> </w:t>
      </w:r>
      <w:r>
        <w:rPr>
          <w:color w:val="231F20"/>
          <w:spacing w:val="-2"/>
          <w:w w:val="120"/>
        </w:rPr>
        <w:t>l’autre des</w:t>
      </w:r>
      <w:r>
        <w:rPr>
          <w:color w:val="231F20"/>
          <w:spacing w:val="-7"/>
          <w:w w:val="120"/>
        </w:rPr>
        <w:t> </w:t>
      </w:r>
      <w:r>
        <w:rPr>
          <w:color w:val="231F20"/>
          <w:spacing w:val="-2"/>
          <w:w w:val="120"/>
        </w:rPr>
        <w:t>pôles.</w:t>
      </w:r>
      <w:r>
        <w:rPr>
          <w:color w:val="231F20"/>
          <w:spacing w:val="-7"/>
          <w:w w:val="120"/>
        </w:rPr>
        <w:t> </w:t>
      </w:r>
      <w:r>
        <w:rPr>
          <w:color w:val="231F20"/>
          <w:spacing w:val="-2"/>
          <w:w w:val="120"/>
        </w:rPr>
        <w:t>Naturellement,</w:t>
      </w:r>
      <w:r>
        <w:rPr>
          <w:color w:val="231F20"/>
          <w:spacing w:val="-7"/>
          <w:w w:val="120"/>
        </w:rPr>
        <w:t> </w:t>
      </w:r>
      <w:r>
        <w:rPr>
          <w:color w:val="231F20"/>
          <w:spacing w:val="-2"/>
          <w:w w:val="120"/>
        </w:rPr>
        <w:t>l’amalgame</w:t>
      </w:r>
      <w:r>
        <w:rPr>
          <w:color w:val="231F20"/>
          <w:spacing w:val="-7"/>
          <w:w w:val="120"/>
        </w:rPr>
        <w:t> </w:t>
      </w:r>
      <w:r>
        <w:rPr>
          <w:color w:val="231F20"/>
          <w:spacing w:val="-2"/>
          <w:w w:val="120"/>
        </w:rPr>
        <w:t>des</w:t>
      </w:r>
      <w:r>
        <w:rPr>
          <w:color w:val="231F20"/>
          <w:spacing w:val="-7"/>
          <w:w w:val="120"/>
        </w:rPr>
        <w:t> </w:t>
      </w:r>
      <w:r>
        <w:rPr>
          <w:color w:val="231F20"/>
          <w:spacing w:val="-2"/>
          <w:w w:val="120"/>
        </w:rPr>
        <w:t>facteurs</w:t>
      </w:r>
      <w:r>
        <w:rPr>
          <w:color w:val="231F20"/>
          <w:spacing w:val="-7"/>
          <w:w w:val="120"/>
        </w:rPr>
        <w:t> </w:t>
      </w:r>
      <w:r>
        <w:rPr>
          <w:color w:val="231F20"/>
          <w:spacing w:val="-2"/>
          <w:w w:val="120"/>
        </w:rPr>
        <w:t>pour</w:t>
      </w:r>
      <w:r>
        <w:rPr>
          <w:color w:val="231F20"/>
          <w:spacing w:val="-7"/>
          <w:w w:val="120"/>
        </w:rPr>
        <w:t> </w:t>
      </w:r>
      <w:r>
        <w:rPr>
          <w:color w:val="231F20"/>
          <w:spacing w:val="-2"/>
          <w:w w:val="120"/>
        </w:rPr>
        <w:t>un</w:t>
      </w:r>
      <w:r>
        <w:rPr>
          <w:color w:val="231F20"/>
          <w:spacing w:val="-7"/>
          <w:w w:val="120"/>
        </w:rPr>
        <w:t> </w:t>
      </w:r>
      <w:r>
        <w:rPr>
          <w:color w:val="231F20"/>
          <w:spacing w:val="-2"/>
          <w:w w:val="120"/>
        </w:rPr>
        <w:t>individu</w:t>
      </w:r>
      <w:r>
        <w:rPr>
          <w:color w:val="231F20"/>
          <w:spacing w:val="-7"/>
          <w:w w:val="120"/>
        </w:rPr>
        <w:t> </w:t>
      </w:r>
      <w:r>
        <w:rPr>
          <w:color w:val="231F20"/>
          <w:spacing w:val="-2"/>
          <w:w w:val="120"/>
        </w:rPr>
        <w:t>par- ticulier</w:t>
      </w:r>
      <w:r>
        <w:rPr>
          <w:color w:val="231F20"/>
          <w:spacing w:val="-5"/>
          <w:w w:val="120"/>
        </w:rPr>
        <w:t> </w:t>
      </w:r>
      <w:r>
        <w:rPr>
          <w:color w:val="231F20"/>
          <w:spacing w:val="-2"/>
          <w:w w:val="120"/>
        </w:rPr>
        <w:t>conduit</w:t>
      </w:r>
      <w:r>
        <w:rPr>
          <w:color w:val="231F20"/>
          <w:spacing w:val="-5"/>
          <w:w w:val="120"/>
        </w:rPr>
        <w:t> </w:t>
      </w:r>
      <w:r>
        <w:rPr>
          <w:color w:val="231F20"/>
          <w:spacing w:val="-2"/>
          <w:w w:val="120"/>
        </w:rPr>
        <w:t>à</w:t>
      </w:r>
      <w:r>
        <w:rPr>
          <w:color w:val="231F20"/>
          <w:spacing w:val="-5"/>
          <w:w w:val="120"/>
        </w:rPr>
        <w:t> </w:t>
      </w:r>
      <w:r>
        <w:rPr>
          <w:color w:val="231F20"/>
          <w:spacing w:val="-2"/>
          <w:w w:val="120"/>
        </w:rPr>
        <w:t>une</w:t>
      </w:r>
      <w:r>
        <w:rPr>
          <w:color w:val="231F20"/>
          <w:spacing w:val="-5"/>
          <w:w w:val="120"/>
        </w:rPr>
        <w:t> </w:t>
      </w:r>
      <w:r>
        <w:rPr>
          <w:color w:val="231F20"/>
          <w:spacing w:val="-2"/>
          <w:w w:val="120"/>
        </w:rPr>
        <w:t>meilleure</w:t>
      </w:r>
      <w:r>
        <w:rPr>
          <w:color w:val="231F20"/>
          <w:spacing w:val="-5"/>
          <w:w w:val="120"/>
        </w:rPr>
        <w:t> </w:t>
      </w:r>
      <w:r>
        <w:rPr>
          <w:color w:val="231F20"/>
          <w:spacing w:val="-2"/>
          <w:w w:val="120"/>
        </w:rPr>
        <w:t>compréhension</w:t>
      </w:r>
      <w:r>
        <w:rPr>
          <w:color w:val="231F20"/>
          <w:spacing w:val="-5"/>
          <w:w w:val="120"/>
        </w:rPr>
        <w:t> </w:t>
      </w:r>
      <w:r>
        <w:rPr>
          <w:color w:val="231F20"/>
          <w:spacing w:val="-2"/>
          <w:w w:val="120"/>
        </w:rPr>
        <w:t>de</w:t>
      </w:r>
      <w:r>
        <w:rPr>
          <w:color w:val="231F20"/>
          <w:spacing w:val="-5"/>
          <w:w w:val="120"/>
        </w:rPr>
        <w:t> </w:t>
      </w:r>
      <w:r>
        <w:rPr>
          <w:color w:val="231F20"/>
          <w:spacing w:val="-2"/>
          <w:w w:val="120"/>
        </w:rPr>
        <w:t>ses</w:t>
      </w:r>
      <w:r>
        <w:rPr>
          <w:color w:val="231F20"/>
          <w:spacing w:val="-5"/>
          <w:w w:val="120"/>
        </w:rPr>
        <w:t> </w:t>
      </w:r>
      <w:r>
        <w:rPr>
          <w:color w:val="231F20"/>
          <w:spacing w:val="-2"/>
          <w:w w:val="120"/>
        </w:rPr>
        <w:t>schèmes</w:t>
      </w:r>
      <w:r>
        <w:rPr>
          <w:color w:val="231F20"/>
          <w:spacing w:val="-5"/>
          <w:w w:val="120"/>
        </w:rPr>
        <w:t> </w:t>
      </w:r>
      <w:r>
        <w:rPr>
          <w:color w:val="231F20"/>
          <w:spacing w:val="-2"/>
          <w:w w:val="120"/>
        </w:rPr>
        <w:t>compor- </w:t>
      </w:r>
      <w:r>
        <w:rPr>
          <w:color w:val="231F20"/>
          <w:w w:val="115"/>
        </w:rPr>
        <w:t>tementaux,</w:t>
      </w:r>
      <w:r>
        <w:rPr>
          <w:color w:val="231F20"/>
          <w:spacing w:val="-8"/>
          <w:w w:val="115"/>
        </w:rPr>
        <w:t> </w:t>
      </w:r>
      <w:r>
        <w:rPr>
          <w:color w:val="231F20"/>
          <w:w w:val="115"/>
        </w:rPr>
        <w:t>et</w:t>
      </w:r>
      <w:r>
        <w:rPr>
          <w:color w:val="231F20"/>
          <w:spacing w:val="-8"/>
          <w:w w:val="115"/>
        </w:rPr>
        <w:t> </w:t>
      </w:r>
      <w:r>
        <w:rPr>
          <w:color w:val="231F20"/>
          <w:w w:val="115"/>
        </w:rPr>
        <w:t>aussi</w:t>
      </w:r>
      <w:r>
        <w:rPr>
          <w:color w:val="231F20"/>
          <w:spacing w:val="-8"/>
          <w:w w:val="115"/>
        </w:rPr>
        <w:t> </w:t>
      </w:r>
      <w:r>
        <w:rPr>
          <w:color w:val="231F20"/>
          <w:w w:val="115"/>
        </w:rPr>
        <w:t>de</w:t>
      </w:r>
      <w:r>
        <w:rPr>
          <w:color w:val="231F20"/>
          <w:spacing w:val="-8"/>
          <w:w w:val="115"/>
        </w:rPr>
        <w:t> </w:t>
      </w:r>
      <w:r>
        <w:rPr>
          <w:color w:val="231F20"/>
          <w:w w:val="115"/>
        </w:rPr>
        <w:t>sa</w:t>
      </w:r>
      <w:r>
        <w:rPr>
          <w:color w:val="231F20"/>
          <w:spacing w:val="-8"/>
          <w:w w:val="115"/>
        </w:rPr>
        <w:t> </w:t>
      </w:r>
      <w:r>
        <w:rPr>
          <w:color w:val="231F20"/>
          <w:w w:val="115"/>
        </w:rPr>
        <w:t>perception</w:t>
      </w:r>
      <w:r>
        <w:rPr>
          <w:color w:val="231F20"/>
          <w:spacing w:val="-8"/>
          <w:w w:val="115"/>
        </w:rPr>
        <w:t> </w:t>
      </w:r>
      <w:r>
        <w:rPr>
          <w:color w:val="231F20"/>
          <w:w w:val="115"/>
        </w:rPr>
        <w:t>et</w:t>
      </w:r>
      <w:r>
        <w:rPr>
          <w:color w:val="231F20"/>
          <w:spacing w:val="-8"/>
          <w:w w:val="115"/>
        </w:rPr>
        <w:t> </w:t>
      </w:r>
      <w:r>
        <w:rPr>
          <w:color w:val="231F20"/>
          <w:w w:val="115"/>
        </w:rPr>
        <w:t>de</w:t>
      </w:r>
      <w:r>
        <w:rPr>
          <w:color w:val="231F20"/>
          <w:spacing w:val="-8"/>
          <w:w w:val="115"/>
        </w:rPr>
        <w:t> </w:t>
      </w:r>
      <w:r>
        <w:rPr>
          <w:color w:val="231F20"/>
          <w:w w:val="115"/>
        </w:rPr>
        <w:t>ses</w:t>
      </w:r>
      <w:r>
        <w:rPr>
          <w:color w:val="231F20"/>
          <w:spacing w:val="-8"/>
          <w:w w:val="115"/>
        </w:rPr>
        <w:t> </w:t>
      </w:r>
      <w:r>
        <w:rPr>
          <w:color w:val="231F20"/>
          <w:w w:val="115"/>
        </w:rPr>
        <w:t>réactions</w:t>
      </w:r>
      <w:r>
        <w:rPr>
          <w:color w:val="231F20"/>
          <w:spacing w:val="-8"/>
          <w:w w:val="115"/>
        </w:rPr>
        <w:t> </w:t>
      </w:r>
      <w:r>
        <w:rPr>
          <w:color w:val="231F20"/>
          <w:w w:val="115"/>
        </w:rPr>
        <w:t>au</w:t>
      </w:r>
      <w:r>
        <w:rPr>
          <w:color w:val="231F20"/>
          <w:spacing w:val="-8"/>
          <w:w w:val="115"/>
        </w:rPr>
        <w:t> </w:t>
      </w:r>
      <w:r>
        <w:rPr>
          <w:color w:val="231F20"/>
          <w:w w:val="115"/>
        </w:rPr>
        <w:t>stress.</w:t>
      </w:r>
      <w:r>
        <w:rPr>
          <w:color w:val="231F20"/>
          <w:spacing w:val="-8"/>
          <w:w w:val="115"/>
        </w:rPr>
        <w:t> </w:t>
      </w:r>
      <w:r>
        <w:rPr>
          <w:color w:val="231F20"/>
          <w:w w:val="115"/>
        </w:rPr>
        <w:t>Plusieurs </w:t>
      </w:r>
      <w:r>
        <w:rPr>
          <w:color w:val="231F20"/>
          <w:spacing w:val="-2"/>
          <w:w w:val="120"/>
        </w:rPr>
        <w:t>tests</w:t>
      </w:r>
      <w:r>
        <w:rPr>
          <w:color w:val="231F20"/>
          <w:spacing w:val="-5"/>
          <w:w w:val="120"/>
        </w:rPr>
        <w:t> </w:t>
      </w:r>
      <w:r>
        <w:rPr>
          <w:color w:val="231F20"/>
          <w:spacing w:val="-2"/>
          <w:w w:val="120"/>
        </w:rPr>
        <w:t>psychométriques</w:t>
      </w:r>
      <w:r>
        <w:rPr>
          <w:color w:val="231F20"/>
          <w:spacing w:val="-5"/>
          <w:w w:val="120"/>
        </w:rPr>
        <w:t> </w:t>
      </w:r>
      <w:r>
        <w:rPr>
          <w:color w:val="231F20"/>
          <w:spacing w:val="-2"/>
          <w:w w:val="120"/>
        </w:rPr>
        <w:t>existent</w:t>
      </w:r>
      <w:r>
        <w:rPr>
          <w:color w:val="231F20"/>
          <w:spacing w:val="-5"/>
          <w:w w:val="120"/>
        </w:rPr>
        <w:t> </w:t>
      </w:r>
      <w:r>
        <w:rPr>
          <w:color w:val="231F20"/>
          <w:spacing w:val="-2"/>
          <w:w w:val="120"/>
        </w:rPr>
        <w:t>pour</w:t>
      </w:r>
      <w:r>
        <w:rPr>
          <w:color w:val="231F20"/>
          <w:spacing w:val="-5"/>
          <w:w w:val="120"/>
        </w:rPr>
        <w:t> </w:t>
      </w:r>
      <w:r>
        <w:rPr>
          <w:color w:val="231F20"/>
          <w:spacing w:val="-2"/>
          <w:w w:val="120"/>
        </w:rPr>
        <w:t>mesurer</w:t>
      </w:r>
      <w:r>
        <w:rPr>
          <w:color w:val="231F20"/>
          <w:spacing w:val="-5"/>
          <w:w w:val="120"/>
        </w:rPr>
        <w:t> </w:t>
      </w:r>
      <w:r>
        <w:rPr>
          <w:color w:val="231F20"/>
          <w:spacing w:val="-2"/>
          <w:w w:val="120"/>
        </w:rPr>
        <w:t>les</w:t>
      </w:r>
      <w:r>
        <w:rPr>
          <w:color w:val="231F20"/>
          <w:spacing w:val="-5"/>
          <w:w w:val="120"/>
        </w:rPr>
        <w:t> </w:t>
      </w:r>
      <w:r>
        <w:rPr>
          <w:color w:val="231F20"/>
          <w:spacing w:val="-2"/>
          <w:w w:val="120"/>
        </w:rPr>
        <w:t>facteurs</w:t>
      </w:r>
      <w:r>
        <w:rPr>
          <w:color w:val="231F20"/>
          <w:spacing w:val="-5"/>
          <w:w w:val="120"/>
        </w:rPr>
        <w:t> </w:t>
      </w:r>
      <w:r>
        <w:rPr>
          <w:color w:val="231F20"/>
          <w:spacing w:val="-2"/>
          <w:w w:val="120"/>
        </w:rPr>
        <w:t>de</w:t>
      </w:r>
      <w:r>
        <w:rPr>
          <w:color w:val="231F20"/>
          <w:spacing w:val="-5"/>
          <w:w w:val="120"/>
        </w:rPr>
        <w:t> </w:t>
      </w:r>
      <w:r>
        <w:rPr>
          <w:color w:val="231F20"/>
          <w:spacing w:val="-2"/>
          <w:w w:val="120"/>
        </w:rPr>
        <w:t>personnalité et</w:t>
      </w:r>
      <w:r>
        <w:rPr>
          <w:color w:val="231F20"/>
          <w:spacing w:val="-8"/>
          <w:w w:val="120"/>
        </w:rPr>
        <w:t> </w:t>
      </w:r>
      <w:r>
        <w:rPr>
          <w:color w:val="231F20"/>
          <w:spacing w:val="-2"/>
          <w:w w:val="120"/>
        </w:rPr>
        <w:t>permettent</w:t>
      </w:r>
      <w:r>
        <w:rPr>
          <w:color w:val="231F20"/>
          <w:spacing w:val="-8"/>
          <w:w w:val="120"/>
        </w:rPr>
        <w:t> </w:t>
      </w:r>
      <w:r>
        <w:rPr>
          <w:color w:val="231F20"/>
          <w:spacing w:val="-2"/>
          <w:w w:val="120"/>
        </w:rPr>
        <w:t>d’établir</w:t>
      </w:r>
      <w:r>
        <w:rPr>
          <w:color w:val="231F20"/>
          <w:spacing w:val="-8"/>
          <w:w w:val="120"/>
        </w:rPr>
        <w:t> </w:t>
      </w:r>
      <w:r>
        <w:rPr>
          <w:color w:val="231F20"/>
          <w:spacing w:val="-2"/>
          <w:w w:val="120"/>
        </w:rPr>
        <w:t>une</w:t>
      </w:r>
      <w:r>
        <w:rPr>
          <w:color w:val="231F20"/>
          <w:spacing w:val="-8"/>
          <w:w w:val="120"/>
        </w:rPr>
        <w:t> </w:t>
      </w:r>
      <w:r>
        <w:rPr>
          <w:color w:val="231F20"/>
          <w:spacing w:val="-2"/>
          <w:w w:val="120"/>
        </w:rPr>
        <w:t>bonne</w:t>
      </w:r>
      <w:r>
        <w:rPr>
          <w:color w:val="231F20"/>
          <w:spacing w:val="-8"/>
          <w:w w:val="120"/>
        </w:rPr>
        <w:t> </w:t>
      </w:r>
      <w:r>
        <w:rPr>
          <w:color w:val="231F20"/>
          <w:spacing w:val="-2"/>
          <w:w w:val="120"/>
        </w:rPr>
        <w:t>estimation</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6"/>
          <w:w w:val="120"/>
        </w:rPr>
        <w:t> </w:t>
      </w:r>
      <w:r>
        <w:rPr>
          <w:color w:val="231F20"/>
          <w:spacing w:val="-2"/>
          <w:w w:val="120"/>
        </w:rPr>
        <w:t>structure</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person- </w:t>
      </w:r>
      <w:r>
        <w:rPr>
          <w:color w:val="231F20"/>
          <w:w w:val="115"/>
        </w:rPr>
        <w:t>nalité</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personne.</w:t>
      </w:r>
      <w:r>
        <w:rPr>
          <w:color w:val="231F20"/>
          <w:spacing w:val="-2"/>
          <w:w w:val="115"/>
        </w:rPr>
        <w:t> </w:t>
      </w:r>
      <w:r>
        <w:rPr>
          <w:color w:val="231F20"/>
          <w:w w:val="115"/>
        </w:rPr>
        <w:t>Les</w:t>
      </w:r>
      <w:r>
        <w:rPr>
          <w:color w:val="231F20"/>
          <w:spacing w:val="-2"/>
          <w:w w:val="115"/>
        </w:rPr>
        <w:t> </w:t>
      </w:r>
      <w:r>
        <w:rPr>
          <w:color w:val="231F20"/>
          <w:w w:val="115"/>
        </w:rPr>
        <w:t>cinq</w:t>
      </w:r>
      <w:r>
        <w:rPr>
          <w:color w:val="231F20"/>
          <w:spacing w:val="-2"/>
          <w:w w:val="115"/>
        </w:rPr>
        <w:t> </w:t>
      </w:r>
      <w:r>
        <w:rPr>
          <w:color w:val="231F20"/>
          <w:w w:val="115"/>
        </w:rPr>
        <w:t>facteurs</w:t>
      </w:r>
      <w:r>
        <w:rPr>
          <w:color w:val="231F20"/>
          <w:spacing w:val="-2"/>
          <w:w w:val="115"/>
        </w:rPr>
        <w:t> </w:t>
      </w:r>
      <w:r>
        <w:rPr>
          <w:color w:val="231F20"/>
          <w:w w:val="115"/>
        </w:rPr>
        <w:t>de</w:t>
      </w:r>
      <w:r>
        <w:rPr>
          <w:color w:val="231F20"/>
          <w:spacing w:val="-2"/>
          <w:w w:val="115"/>
        </w:rPr>
        <w:t> </w:t>
      </w:r>
      <w:r>
        <w:rPr>
          <w:color w:val="231F20"/>
          <w:w w:val="115"/>
        </w:rPr>
        <w:t>personnalité</w:t>
      </w:r>
      <w:r>
        <w:rPr>
          <w:color w:val="231F20"/>
          <w:spacing w:val="-2"/>
          <w:w w:val="115"/>
        </w:rPr>
        <w:t> </w:t>
      </w:r>
      <w:r>
        <w:rPr>
          <w:color w:val="231F20"/>
          <w:w w:val="115"/>
        </w:rPr>
        <w:t>les</w:t>
      </w:r>
      <w:r>
        <w:rPr>
          <w:color w:val="231F20"/>
          <w:spacing w:val="-2"/>
          <w:w w:val="115"/>
        </w:rPr>
        <w:t> </w:t>
      </w:r>
      <w:r>
        <w:rPr>
          <w:color w:val="231F20"/>
          <w:w w:val="115"/>
        </w:rPr>
        <w:t>plus</w:t>
      </w:r>
      <w:r>
        <w:rPr>
          <w:color w:val="231F20"/>
          <w:spacing w:val="-2"/>
          <w:w w:val="115"/>
        </w:rPr>
        <w:t> </w:t>
      </w:r>
      <w:r>
        <w:rPr>
          <w:color w:val="231F20"/>
          <w:w w:val="115"/>
        </w:rPr>
        <w:t>communs sont: l’extraversion </w:t>
      </w:r>
      <w:r>
        <w:rPr>
          <w:i/>
          <w:color w:val="231F20"/>
          <w:w w:val="115"/>
        </w:rPr>
        <w:t>vs </w:t>
      </w:r>
      <w:r>
        <w:rPr>
          <w:color w:val="231F20"/>
          <w:w w:val="115"/>
        </w:rPr>
        <w:t>l’introversion, l’agréabilité </w:t>
      </w:r>
      <w:r>
        <w:rPr>
          <w:i/>
          <w:color w:val="231F20"/>
          <w:w w:val="115"/>
        </w:rPr>
        <w:t>vs </w:t>
      </w:r>
      <w:r>
        <w:rPr>
          <w:color w:val="231F20"/>
          <w:w w:val="115"/>
        </w:rPr>
        <w:t>la désagréabilité, la </w:t>
      </w:r>
      <w:r>
        <w:rPr>
          <w:color w:val="231F20"/>
          <w:w w:val="120"/>
        </w:rPr>
        <w:t>stabilité émotionnelle </w:t>
      </w:r>
      <w:r>
        <w:rPr>
          <w:i/>
          <w:color w:val="231F20"/>
          <w:w w:val="120"/>
        </w:rPr>
        <w:t>vs </w:t>
      </w:r>
      <w:r>
        <w:rPr>
          <w:color w:val="231F20"/>
          <w:w w:val="120"/>
        </w:rPr>
        <w:t>le névrosisme, l’ouverture </w:t>
      </w:r>
      <w:r>
        <w:rPr>
          <w:i/>
          <w:color w:val="231F20"/>
          <w:w w:val="120"/>
        </w:rPr>
        <w:t>vs </w:t>
      </w:r>
      <w:r>
        <w:rPr>
          <w:color w:val="231F20"/>
          <w:w w:val="120"/>
        </w:rPr>
        <w:t>la fermeture à l’expérience</w:t>
      </w:r>
      <w:r>
        <w:rPr>
          <w:color w:val="231F20"/>
          <w:spacing w:val="-4"/>
          <w:w w:val="120"/>
        </w:rPr>
        <w:t> </w:t>
      </w:r>
      <w:r>
        <w:rPr>
          <w:color w:val="231F20"/>
          <w:w w:val="120"/>
        </w:rPr>
        <w:t>et</w:t>
      </w:r>
      <w:r>
        <w:rPr>
          <w:color w:val="231F20"/>
          <w:spacing w:val="-4"/>
          <w:w w:val="120"/>
        </w:rPr>
        <w:t> </w:t>
      </w:r>
      <w:r>
        <w:rPr>
          <w:color w:val="231F20"/>
          <w:w w:val="120"/>
        </w:rPr>
        <w:t>le</w:t>
      </w:r>
      <w:r>
        <w:rPr>
          <w:color w:val="231F20"/>
          <w:spacing w:val="-4"/>
          <w:w w:val="120"/>
        </w:rPr>
        <w:t> </w:t>
      </w:r>
      <w:r>
        <w:rPr>
          <w:color w:val="231F20"/>
          <w:w w:val="120"/>
        </w:rPr>
        <w:t>caractère</w:t>
      </w:r>
      <w:r>
        <w:rPr>
          <w:color w:val="231F20"/>
          <w:spacing w:val="-4"/>
          <w:w w:val="120"/>
        </w:rPr>
        <w:t> </w:t>
      </w:r>
      <w:r>
        <w:rPr>
          <w:color w:val="231F20"/>
          <w:w w:val="120"/>
        </w:rPr>
        <w:t>consciencieux</w:t>
      </w:r>
      <w:r>
        <w:rPr>
          <w:color w:val="231F20"/>
          <w:spacing w:val="-4"/>
          <w:w w:val="120"/>
        </w:rPr>
        <w:t> </w:t>
      </w:r>
      <w:r>
        <w:rPr>
          <w:i/>
          <w:color w:val="231F20"/>
          <w:w w:val="120"/>
        </w:rPr>
        <w:t>vs</w:t>
      </w:r>
      <w:r>
        <w:rPr>
          <w:i/>
          <w:color w:val="231F20"/>
          <w:spacing w:val="-4"/>
          <w:w w:val="120"/>
        </w:rPr>
        <w:t> </w:t>
      </w:r>
      <w:r>
        <w:rPr>
          <w:color w:val="231F20"/>
          <w:w w:val="120"/>
        </w:rPr>
        <w:t>le</w:t>
      </w:r>
      <w:r>
        <w:rPr>
          <w:color w:val="231F20"/>
          <w:spacing w:val="-4"/>
          <w:w w:val="120"/>
        </w:rPr>
        <w:t> </w:t>
      </w:r>
      <w:r>
        <w:rPr>
          <w:color w:val="231F20"/>
          <w:w w:val="120"/>
        </w:rPr>
        <w:t>caractère</w:t>
      </w:r>
      <w:r>
        <w:rPr>
          <w:color w:val="231F20"/>
          <w:spacing w:val="-4"/>
          <w:w w:val="120"/>
        </w:rPr>
        <w:t> </w:t>
      </w:r>
      <w:r>
        <w:rPr>
          <w:color w:val="231F20"/>
          <w:w w:val="120"/>
        </w:rPr>
        <w:t>négligent.</w:t>
      </w:r>
    </w:p>
    <w:p>
      <w:pPr>
        <w:pStyle w:val="BodyText"/>
        <w:spacing w:before="5"/>
        <w:rPr>
          <w:sz w:val="21"/>
        </w:rPr>
      </w:pPr>
    </w:p>
    <w:p>
      <w:pPr>
        <w:pStyle w:val="BodyText"/>
        <w:spacing w:line="307" w:lineRule="auto"/>
        <w:ind w:left="830" w:right="493"/>
        <w:jc w:val="both"/>
      </w:pPr>
      <w:r>
        <w:rPr>
          <w:b/>
          <w:color w:val="231F20"/>
          <w:w w:val="115"/>
        </w:rPr>
        <w:t>Extraversion</w:t>
      </w:r>
      <w:r>
        <w:rPr>
          <w:b/>
          <w:color w:val="231F20"/>
          <w:spacing w:val="-5"/>
          <w:w w:val="115"/>
        </w:rPr>
        <w:t> </w:t>
      </w:r>
      <w:r>
        <w:rPr>
          <w:rFonts w:ascii="Arial-BoldItalicMT" w:hAnsi="Arial-BoldItalicMT"/>
          <w:b/>
          <w:i/>
          <w:color w:val="231F20"/>
          <w:w w:val="115"/>
        </w:rPr>
        <w:t>vs</w:t>
      </w:r>
      <w:r>
        <w:rPr>
          <w:rFonts w:ascii="Arial-BoldItalicMT" w:hAnsi="Arial-BoldItalicMT"/>
          <w:b/>
          <w:i/>
          <w:color w:val="231F20"/>
          <w:spacing w:val="-11"/>
          <w:w w:val="115"/>
        </w:rPr>
        <w:t> </w:t>
      </w:r>
      <w:r>
        <w:rPr>
          <w:b/>
          <w:color w:val="231F20"/>
          <w:w w:val="115"/>
        </w:rPr>
        <w:t>introversion.</w:t>
      </w:r>
      <w:r>
        <w:rPr>
          <w:b/>
          <w:color w:val="231F20"/>
          <w:spacing w:val="-1"/>
          <w:w w:val="115"/>
        </w:rPr>
        <w:t> </w:t>
      </w:r>
      <w:r>
        <w:rPr>
          <w:color w:val="231F20"/>
          <w:w w:val="115"/>
        </w:rPr>
        <w:t>L’extraversion</w:t>
      </w:r>
      <w:r>
        <w:rPr>
          <w:color w:val="231F20"/>
          <w:spacing w:val="-1"/>
          <w:w w:val="115"/>
        </w:rPr>
        <w:t> </w:t>
      </w:r>
      <w:r>
        <w:rPr>
          <w:color w:val="231F20"/>
          <w:w w:val="115"/>
        </w:rPr>
        <w:t>est</w:t>
      </w:r>
      <w:r>
        <w:rPr>
          <w:color w:val="231F20"/>
          <w:spacing w:val="-1"/>
          <w:w w:val="115"/>
        </w:rPr>
        <w:t> </w:t>
      </w:r>
      <w:r>
        <w:rPr>
          <w:color w:val="231F20"/>
          <w:w w:val="115"/>
        </w:rPr>
        <w:t>un</w:t>
      </w:r>
      <w:r>
        <w:rPr>
          <w:color w:val="231F20"/>
          <w:spacing w:val="-1"/>
          <w:w w:val="115"/>
        </w:rPr>
        <w:t> </w:t>
      </w:r>
      <w:r>
        <w:rPr>
          <w:color w:val="231F20"/>
          <w:w w:val="115"/>
        </w:rPr>
        <w:t>mélange</w:t>
      </w:r>
      <w:r>
        <w:rPr>
          <w:color w:val="231F20"/>
          <w:spacing w:val="-1"/>
          <w:w w:val="115"/>
        </w:rPr>
        <w:t> </w:t>
      </w:r>
      <w:r>
        <w:rPr>
          <w:color w:val="231F20"/>
          <w:w w:val="115"/>
        </w:rPr>
        <w:t>d’énergie, de dynamisme et d’une tendance à rechercher la stimulation et la com- pagnie d’autrui. Elle se caractérise par un engagement prononcé envers</w:t>
      </w:r>
      <w:r>
        <w:rPr>
          <w:color w:val="231F20"/>
          <w:spacing w:val="40"/>
          <w:w w:val="115"/>
        </w:rPr>
        <w:t> </w:t>
      </w:r>
      <w:r>
        <w:rPr>
          <w:color w:val="231F20"/>
          <w:w w:val="115"/>
        </w:rPr>
        <w:t>le</w:t>
      </w:r>
      <w:r>
        <w:rPr>
          <w:color w:val="231F20"/>
          <w:spacing w:val="-13"/>
          <w:w w:val="115"/>
        </w:rPr>
        <w:t> </w:t>
      </w:r>
      <w:r>
        <w:rPr>
          <w:color w:val="231F20"/>
          <w:w w:val="115"/>
        </w:rPr>
        <w:t>monde</w:t>
      </w:r>
      <w:r>
        <w:rPr>
          <w:color w:val="231F20"/>
          <w:spacing w:val="-12"/>
          <w:w w:val="115"/>
        </w:rPr>
        <w:t> </w:t>
      </w:r>
      <w:r>
        <w:rPr>
          <w:color w:val="231F20"/>
          <w:w w:val="115"/>
        </w:rPr>
        <w:t>extérieur.</w:t>
      </w:r>
      <w:r>
        <w:rPr>
          <w:color w:val="231F20"/>
          <w:spacing w:val="-12"/>
          <w:w w:val="115"/>
        </w:rPr>
        <w:t> </w:t>
      </w:r>
      <w:r>
        <w:rPr>
          <w:color w:val="231F20"/>
          <w:w w:val="115"/>
        </w:rPr>
        <w:t>L’extraverti</w:t>
      </w:r>
      <w:r>
        <w:rPr>
          <w:color w:val="231F20"/>
          <w:spacing w:val="-12"/>
          <w:w w:val="115"/>
        </w:rPr>
        <w:t> </w:t>
      </w:r>
      <w:r>
        <w:rPr>
          <w:color w:val="231F20"/>
          <w:w w:val="115"/>
        </w:rPr>
        <w:t>aime</w:t>
      </w:r>
      <w:r>
        <w:rPr>
          <w:color w:val="231F20"/>
          <w:spacing w:val="-13"/>
          <w:w w:val="115"/>
        </w:rPr>
        <w:t> </w:t>
      </w:r>
      <w:r>
        <w:rPr>
          <w:color w:val="231F20"/>
          <w:w w:val="115"/>
        </w:rPr>
        <w:t>être</w:t>
      </w:r>
      <w:r>
        <w:rPr>
          <w:color w:val="231F20"/>
          <w:spacing w:val="-12"/>
          <w:w w:val="115"/>
        </w:rPr>
        <w:t> </w:t>
      </w:r>
      <w:r>
        <w:rPr>
          <w:color w:val="231F20"/>
          <w:w w:val="115"/>
        </w:rPr>
        <w:t>avec</w:t>
      </w:r>
      <w:r>
        <w:rPr>
          <w:color w:val="231F20"/>
          <w:spacing w:val="-12"/>
          <w:w w:val="115"/>
        </w:rPr>
        <w:t> </w:t>
      </w:r>
      <w:r>
        <w:rPr>
          <w:color w:val="231F20"/>
          <w:w w:val="115"/>
        </w:rPr>
        <w:t>les</w:t>
      </w:r>
      <w:r>
        <w:rPr>
          <w:color w:val="231F20"/>
          <w:spacing w:val="-12"/>
          <w:w w:val="115"/>
        </w:rPr>
        <w:t> </w:t>
      </w:r>
      <w:r>
        <w:rPr>
          <w:color w:val="231F20"/>
          <w:w w:val="115"/>
        </w:rPr>
        <w:t>gens;</w:t>
      </w:r>
      <w:r>
        <w:rPr>
          <w:color w:val="231F20"/>
          <w:spacing w:val="-12"/>
          <w:w w:val="115"/>
        </w:rPr>
        <w:t> </w:t>
      </w:r>
      <w:r>
        <w:rPr>
          <w:color w:val="231F20"/>
          <w:w w:val="115"/>
        </w:rPr>
        <w:t>il</w:t>
      </w:r>
      <w:r>
        <w:rPr>
          <w:color w:val="231F20"/>
          <w:spacing w:val="-13"/>
          <w:w w:val="115"/>
        </w:rPr>
        <w:t> </w:t>
      </w:r>
      <w:r>
        <w:rPr>
          <w:color w:val="231F20"/>
          <w:w w:val="115"/>
        </w:rPr>
        <w:t>déborde</w:t>
      </w:r>
      <w:r>
        <w:rPr>
          <w:color w:val="231F20"/>
          <w:spacing w:val="-12"/>
          <w:w w:val="115"/>
        </w:rPr>
        <w:t> </w:t>
      </w:r>
      <w:r>
        <w:rPr>
          <w:color w:val="231F20"/>
          <w:w w:val="115"/>
        </w:rPr>
        <w:t>d’éner- gie</w:t>
      </w:r>
      <w:r>
        <w:rPr>
          <w:color w:val="231F20"/>
          <w:spacing w:val="-1"/>
          <w:w w:val="115"/>
        </w:rPr>
        <w:t> </w:t>
      </w:r>
      <w:r>
        <w:rPr>
          <w:color w:val="231F20"/>
          <w:w w:val="115"/>
        </w:rPr>
        <w:t>et</w:t>
      </w:r>
      <w:r>
        <w:rPr>
          <w:color w:val="231F20"/>
          <w:spacing w:val="-1"/>
          <w:w w:val="115"/>
        </w:rPr>
        <w:t> </w:t>
      </w:r>
      <w:r>
        <w:rPr>
          <w:color w:val="231F20"/>
          <w:w w:val="115"/>
        </w:rPr>
        <w:t>vit</w:t>
      </w:r>
      <w:r>
        <w:rPr>
          <w:color w:val="231F20"/>
          <w:spacing w:val="-1"/>
          <w:w w:val="115"/>
        </w:rPr>
        <w:t> </w:t>
      </w:r>
      <w:r>
        <w:rPr>
          <w:color w:val="231F20"/>
          <w:w w:val="115"/>
        </w:rPr>
        <w:t>souvent</w:t>
      </w:r>
      <w:r>
        <w:rPr>
          <w:color w:val="231F20"/>
          <w:spacing w:val="-1"/>
          <w:w w:val="115"/>
        </w:rPr>
        <w:t> </w:t>
      </w:r>
      <w:r>
        <w:rPr>
          <w:color w:val="231F20"/>
          <w:w w:val="115"/>
        </w:rPr>
        <w:t>des</w:t>
      </w:r>
      <w:r>
        <w:rPr>
          <w:color w:val="231F20"/>
          <w:spacing w:val="-1"/>
          <w:w w:val="115"/>
        </w:rPr>
        <w:t> </w:t>
      </w:r>
      <w:r>
        <w:rPr>
          <w:color w:val="231F20"/>
          <w:w w:val="115"/>
        </w:rPr>
        <w:t>émotions</w:t>
      </w:r>
      <w:r>
        <w:rPr>
          <w:color w:val="231F20"/>
          <w:spacing w:val="-1"/>
          <w:w w:val="115"/>
        </w:rPr>
        <w:t> </w:t>
      </w:r>
      <w:r>
        <w:rPr>
          <w:color w:val="231F20"/>
          <w:w w:val="115"/>
        </w:rPr>
        <w:t>positives.</w:t>
      </w:r>
      <w:r>
        <w:rPr>
          <w:color w:val="231F20"/>
          <w:spacing w:val="-1"/>
          <w:w w:val="115"/>
        </w:rPr>
        <w:t> </w:t>
      </w:r>
      <w:r>
        <w:rPr>
          <w:color w:val="231F20"/>
          <w:w w:val="115"/>
        </w:rPr>
        <w:t>C’est</w:t>
      </w:r>
      <w:r>
        <w:rPr>
          <w:color w:val="231F20"/>
          <w:spacing w:val="-1"/>
          <w:w w:val="115"/>
        </w:rPr>
        <w:t> </w:t>
      </w:r>
      <w:r>
        <w:rPr>
          <w:color w:val="231F20"/>
          <w:w w:val="115"/>
        </w:rPr>
        <w:t>généralement</w:t>
      </w:r>
      <w:r>
        <w:rPr>
          <w:color w:val="231F20"/>
          <w:spacing w:val="-1"/>
          <w:w w:val="115"/>
        </w:rPr>
        <w:t> </w:t>
      </w:r>
      <w:r>
        <w:rPr>
          <w:color w:val="231F20"/>
          <w:w w:val="115"/>
        </w:rPr>
        <w:t>un</w:t>
      </w:r>
      <w:r>
        <w:rPr>
          <w:color w:val="231F20"/>
          <w:spacing w:val="-1"/>
          <w:w w:val="115"/>
        </w:rPr>
        <w:t> </w:t>
      </w:r>
      <w:r>
        <w:rPr>
          <w:color w:val="231F20"/>
          <w:w w:val="115"/>
        </w:rPr>
        <w:t>individu enthousiaste,</w:t>
      </w:r>
      <w:r>
        <w:rPr>
          <w:color w:val="231F20"/>
          <w:spacing w:val="-13"/>
          <w:w w:val="115"/>
        </w:rPr>
        <w:t> </w:t>
      </w:r>
      <w:r>
        <w:rPr>
          <w:color w:val="231F20"/>
          <w:w w:val="115"/>
        </w:rPr>
        <w:t>tourné</w:t>
      </w:r>
      <w:r>
        <w:rPr>
          <w:color w:val="231F20"/>
          <w:spacing w:val="-12"/>
          <w:w w:val="115"/>
        </w:rPr>
        <w:t> </w:t>
      </w:r>
      <w:r>
        <w:rPr>
          <w:color w:val="231F20"/>
          <w:w w:val="115"/>
        </w:rPr>
        <w:t>vers</w:t>
      </w:r>
      <w:r>
        <w:rPr>
          <w:color w:val="231F20"/>
          <w:spacing w:val="-12"/>
          <w:w w:val="115"/>
        </w:rPr>
        <w:t> </w:t>
      </w:r>
      <w:r>
        <w:rPr>
          <w:color w:val="231F20"/>
          <w:w w:val="115"/>
        </w:rPr>
        <w:t>l’action,</w:t>
      </w:r>
      <w:r>
        <w:rPr>
          <w:color w:val="231F20"/>
          <w:spacing w:val="-12"/>
          <w:w w:val="115"/>
        </w:rPr>
        <w:t> </w:t>
      </w:r>
      <w:r>
        <w:rPr>
          <w:color w:val="231F20"/>
          <w:w w:val="115"/>
        </w:rPr>
        <w:t>qui</w:t>
      </w:r>
      <w:r>
        <w:rPr>
          <w:color w:val="231F20"/>
          <w:spacing w:val="-13"/>
          <w:w w:val="115"/>
        </w:rPr>
        <w:t> </w:t>
      </w:r>
      <w:r>
        <w:rPr>
          <w:color w:val="231F20"/>
          <w:w w:val="115"/>
        </w:rPr>
        <w:t>s’écrie</w:t>
      </w:r>
      <w:r>
        <w:rPr>
          <w:color w:val="231F20"/>
          <w:spacing w:val="-12"/>
          <w:w w:val="115"/>
        </w:rPr>
        <w:t> </w:t>
      </w:r>
      <w:r>
        <w:rPr>
          <w:color w:val="231F20"/>
          <w:w w:val="115"/>
        </w:rPr>
        <w:t>souvent</w:t>
      </w:r>
      <w:r>
        <w:rPr>
          <w:color w:val="231F20"/>
          <w:spacing w:val="-8"/>
          <w:w w:val="115"/>
        </w:rPr>
        <w:t> </w:t>
      </w:r>
      <w:r>
        <w:rPr>
          <w:color w:val="231F20"/>
          <w:w w:val="115"/>
        </w:rPr>
        <w:t>«</w:t>
      </w:r>
      <w:r>
        <w:rPr>
          <w:color w:val="231F20"/>
          <w:spacing w:val="-12"/>
          <w:w w:val="115"/>
        </w:rPr>
        <w:t> </w:t>
      </w:r>
      <w:r>
        <w:rPr>
          <w:i/>
          <w:color w:val="231F20"/>
          <w:w w:val="115"/>
        </w:rPr>
        <w:t>Ouais!</w:t>
      </w:r>
      <w:r>
        <w:rPr>
          <w:i/>
          <w:color w:val="231F20"/>
          <w:spacing w:val="-13"/>
          <w:w w:val="115"/>
        </w:rPr>
        <w:t> </w:t>
      </w:r>
      <w:r>
        <w:rPr>
          <w:color w:val="231F20"/>
          <w:w w:val="115"/>
        </w:rPr>
        <w:t>»</w:t>
      </w:r>
      <w:r>
        <w:rPr>
          <w:color w:val="231F20"/>
          <w:spacing w:val="-4"/>
          <w:w w:val="115"/>
        </w:rPr>
        <w:t> </w:t>
      </w:r>
      <w:r>
        <w:rPr>
          <w:color w:val="231F20"/>
          <w:w w:val="115"/>
        </w:rPr>
        <w:t>ou</w:t>
      </w:r>
      <w:r>
        <w:rPr>
          <w:color w:val="231F20"/>
          <w:spacing w:val="-5"/>
          <w:w w:val="115"/>
        </w:rPr>
        <w:t> </w:t>
      </w:r>
      <w:r>
        <w:rPr>
          <w:color w:val="231F20"/>
          <w:w w:val="115"/>
        </w:rPr>
        <w:t>«</w:t>
      </w:r>
      <w:r>
        <w:rPr>
          <w:color w:val="231F20"/>
          <w:spacing w:val="-13"/>
          <w:w w:val="115"/>
        </w:rPr>
        <w:t> </w:t>
      </w:r>
      <w:r>
        <w:rPr>
          <w:i/>
          <w:color w:val="231F20"/>
          <w:w w:val="115"/>
        </w:rPr>
        <w:t>On</w:t>
      </w:r>
      <w:r>
        <w:rPr>
          <w:i/>
          <w:color w:val="231F20"/>
          <w:spacing w:val="-4"/>
          <w:w w:val="115"/>
        </w:rPr>
        <w:t> </w:t>
      </w:r>
      <w:r>
        <w:rPr>
          <w:i/>
          <w:color w:val="231F20"/>
          <w:w w:val="115"/>
        </w:rPr>
        <w:t>y va!</w:t>
      </w:r>
      <w:r>
        <w:rPr>
          <w:i/>
          <w:color w:val="231F20"/>
          <w:spacing w:val="-13"/>
          <w:w w:val="115"/>
        </w:rPr>
        <w:t> </w:t>
      </w:r>
      <w:r>
        <w:rPr>
          <w:color w:val="231F20"/>
          <w:w w:val="115"/>
        </w:rPr>
        <w:t>»</w:t>
      </w:r>
      <w:r>
        <w:rPr>
          <w:color w:val="231F20"/>
          <w:spacing w:val="-12"/>
          <w:w w:val="115"/>
        </w:rPr>
        <w:t> </w:t>
      </w:r>
      <w:r>
        <w:rPr>
          <w:color w:val="231F20"/>
          <w:w w:val="115"/>
        </w:rPr>
        <w:t>quand</w:t>
      </w:r>
      <w:r>
        <w:rPr>
          <w:color w:val="231F20"/>
          <w:spacing w:val="-12"/>
          <w:w w:val="115"/>
        </w:rPr>
        <w:t> </w:t>
      </w:r>
      <w:r>
        <w:rPr>
          <w:color w:val="231F20"/>
          <w:w w:val="115"/>
        </w:rPr>
        <w:t>une</w:t>
      </w:r>
      <w:r>
        <w:rPr>
          <w:color w:val="231F20"/>
          <w:spacing w:val="-12"/>
          <w:w w:val="115"/>
        </w:rPr>
        <w:t> </w:t>
      </w:r>
      <w:r>
        <w:rPr>
          <w:color w:val="231F20"/>
          <w:w w:val="115"/>
        </w:rPr>
        <w:t>occasion</w:t>
      </w:r>
      <w:r>
        <w:rPr>
          <w:color w:val="231F20"/>
          <w:spacing w:val="-13"/>
          <w:w w:val="115"/>
        </w:rPr>
        <w:t> </w:t>
      </w:r>
      <w:r>
        <w:rPr>
          <w:color w:val="231F20"/>
          <w:w w:val="115"/>
        </w:rPr>
        <w:t>stimulante</w:t>
      </w:r>
      <w:r>
        <w:rPr>
          <w:color w:val="231F20"/>
          <w:spacing w:val="-12"/>
          <w:w w:val="115"/>
        </w:rPr>
        <w:t> </w:t>
      </w:r>
      <w:r>
        <w:rPr>
          <w:color w:val="231F20"/>
          <w:w w:val="115"/>
        </w:rPr>
        <w:t>se</w:t>
      </w:r>
      <w:r>
        <w:rPr>
          <w:color w:val="231F20"/>
          <w:spacing w:val="-12"/>
          <w:w w:val="115"/>
        </w:rPr>
        <w:t> </w:t>
      </w:r>
      <w:r>
        <w:rPr>
          <w:color w:val="231F20"/>
          <w:w w:val="115"/>
        </w:rPr>
        <w:t>présente.</w:t>
      </w:r>
      <w:r>
        <w:rPr>
          <w:color w:val="231F20"/>
          <w:spacing w:val="-12"/>
          <w:w w:val="115"/>
        </w:rPr>
        <w:t> </w:t>
      </w:r>
      <w:r>
        <w:rPr>
          <w:color w:val="231F20"/>
          <w:w w:val="115"/>
        </w:rPr>
        <w:t>En</w:t>
      </w:r>
      <w:r>
        <w:rPr>
          <w:color w:val="231F20"/>
          <w:spacing w:val="-12"/>
          <w:w w:val="115"/>
        </w:rPr>
        <w:t> </w:t>
      </w:r>
      <w:r>
        <w:rPr>
          <w:color w:val="231F20"/>
          <w:w w:val="115"/>
        </w:rPr>
        <w:t>groupe,</w:t>
      </w:r>
      <w:r>
        <w:rPr>
          <w:color w:val="231F20"/>
          <w:spacing w:val="-12"/>
          <w:w w:val="115"/>
        </w:rPr>
        <w:t> </w:t>
      </w:r>
      <w:r>
        <w:rPr>
          <w:color w:val="231F20"/>
          <w:w w:val="115"/>
        </w:rPr>
        <w:t>il</w:t>
      </w:r>
      <w:r>
        <w:rPr>
          <w:color w:val="231F20"/>
          <w:spacing w:val="-10"/>
          <w:w w:val="115"/>
        </w:rPr>
        <w:t> </w:t>
      </w:r>
      <w:r>
        <w:rPr>
          <w:color w:val="231F20"/>
          <w:w w:val="115"/>
        </w:rPr>
        <w:t>aime</w:t>
      </w:r>
      <w:r>
        <w:rPr>
          <w:color w:val="231F20"/>
          <w:spacing w:val="-10"/>
          <w:w w:val="115"/>
        </w:rPr>
        <w:t> </w:t>
      </w:r>
      <w:r>
        <w:rPr>
          <w:color w:val="231F20"/>
          <w:w w:val="115"/>
        </w:rPr>
        <w:t>parler, s’affirmer</w:t>
      </w:r>
      <w:r>
        <w:rPr>
          <w:color w:val="231F20"/>
          <w:spacing w:val="-3"/>
          <w:w w:val="115"/>
        </w:rPr>
        <w:t> </w:t>
      </w:r>
      <w:r>
        <w:rPr>
          <w:color w:val="231F20"/>
          <w:w w:val="115"/>
        </w:rPr>
        <w:t>et</w:t>
      </w:r>
      <w:r>
        <w:rPr>
          <w:color w:val="231F20"/>
          <w:spacing w:val="-3"/>
          <w:w w:val="115"/>
        </w:rPr>
        <w:t> </w:t>
      </w:r>
      <w:r>
        <w:rPr>
          <w:color w:val="231F20"/>
          <w:w w:val="115"/>
        </w:rPr>
        <w:t>attirer</w:t>
      </w:r>
      <w:r>
        <w:rPr>
          <w:color w:val="231F20"/>
          <w:spacing w:val="-3"/>
          <w:w w:val="115"/>
        </w:rPr>
        <w:t> </w:t>
      </w:r>
      <w:r>
        <w:rPr>
          <w:color w:val="231F20"/>
          <w:w w:val="115"/>
        </w:rPr>
        <w:t>l’attention.</w:t>
      </w:r>
      <w:r>
        <w:rPr>
          <w:color w:val="231F20"/>
          <w:spacing w:val="-3"/>
          <w:w w:val="115"/>
        </w:rPr>
        <w:t> </w:t>
      </w:r>
      <w:r>
        <w:rPr>
          <w:color w:val="231F20"/>
          <w:w w:val="115"/>
        </w:rPr>
        <w:t>L’introverti,</w:t>
      </w:r>
      <w:r>
        <w:rPr>
          <w:color w:val="231F20"/>
          <w:spacing w:val="-3"/>
          <w:w w:val="115"/>
        </w:rPr>
        <w:t> </w:t>
      </w:r>
      <w:r>
        <w:rPr>
          <w:color w:val="231F20"/>
          <w:w w:val="115"/>
        </w:rPr>
        <w:t>pour</w:t>
      </w:r>
      <w:r>
        <w:rPr>
          <w:color w:val="231F20"/>
          <w:spacing w:val="-3"/>
          <w:w w:val="115"/>
        </w:rPr>
        <w:t> </w:t>
      </w:r>
      <w:r>
        <w:rPr>
          <w:color w:val="231F20"/>
          <w:w w:val="115"/>
        </w:rPr>
        <w:t>sa</w:t>
      </w:r>
      <w:r>
        <w:rPr>
          <w:color w:val="231F20"/>
          <w:spacing w:val="-3"/>
          <w:w w:val="115"/>
        </w:rPr>
        <w:t> </w:t>
      </w:r>
      <w:r>
        <w:rPr>
          <w:color w:val="231F20"/>
          <w:w w:val="115"/>
        </w:rPr>
        <w:t>part,</w:t>
      </w:r>
      <w:r>
        <w:rPr>
          <w:color w:val="231F20"/>
          <w:spacing w:val="-3"/>
          <w:w w:val="115"/>
        </w:rPr>
        <w:t> </w:t>
      </w:r>
      <w:r>
        <w:rPr>
          <w:color w:val="231F20"/>
          <w:w w:val="115"/>
        </w:rPr>
        <w:t>n’a</w:t>
      </w:r>
      <w:r>
        <w:rPr>
          <w:color w:val="231F20"/>
          <w:spacing w:val="-3"/>
          <w:w w:val="115"/>
        </w:rPr>
        <w:t> </w:t>
      </w:r>
      <w:r>
        <w:rPr>
          <w:color w:val="231F20"/>
          <w:w w:val="115"/>
        </w:rPr>
        <w:t>pas</w:t>
      </w:r>
      <w:r>
        <w:rPr>
          <w:color w:val="231F20"/>
          <w:spacing w:val="-3"/>
          <w:w w:val="115"/>
        </w:rPr>
        <w:t> </w:t>
      </w:r>
      <w:r>
        <w:rPr>
          <w:color w:val="231F20"/>
          <w:w w:val="115"/>
        </w:rPr>
        <w:t>le</w:t>
      </w:r>
      <w:r>
        <w:rPr>
          <w:color w:val="231F20"/>
          <w:spacing w:val="-3"/>
          <w:w w:val="115"/>
        </w:rPr>
        <w:t> </w:t>
      </w:r>
      <w:r>
        <w:rPr>
          <w:color w:val="231F20"/>
          <w:w w:val="115"/>
        </w:rPr>
        <w:t>même niveau d’exubérance, d’énergie et d’activité. Il tend à rester tranquille, à éviter d’attirer l’attention, à agir de façon réfléchie et à se dissocier du monde social. Il ne faut pas prendre son manque d’engagement social pour</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timidité;</w:t>
      </w:r>
      <w:r>
        <w:rPr>
          <w:color w:val="231F20"/>
          <w:spacing w:val="-2"/>
          <w:w w:val="115"/>
        </w:rPr>
        <w:t> </w:t>
      </w:r>
      <w:r>
        <w:rPr>
          <w:color w:val="231F20"/>
          <w:w w:val="115"/>
        </w:rPr>
        <w:t>l’introverti</w:t>
      </w:r>
      <w:r>
        <w:rPr>
          <w:color w:val="231F20"/>
          <w:spacing w:val="-2"/>
          <w:w w:val="115"/>
        </w:rPr>
        <w:t> </w:t>
      </w:r>
      <w:r>
        <w:rPr>
          <w:color w:val="231F20"/>
          <w:w w:val="115"/>
        </w:rPr>
        <w:t>a</w:t>
      </w:r>
      <w:r>
        <w:rPr>
          <w:color w:val="231F20"/>
          <w:spacing w:val="-2"/>
          <w:w w:val="115"/>
        </w:rPr>
        <w:t> </w:t>
      </w:r>
      <w:r>
        <w:rPr>
          <w:color w:val="231F20"/>
          <w:w w:val="115"/>
        </w:rPr>
        <w:t>simplement</w:t>
      </w:r>
      <w:r>
        <w:rPr>
          <w:color w:val="231F20"/>
          <w:spacing w:val="-2"/>
          <w:w w:val="115"/>
        </w:rPr>
        <w:t> </w:t>
      </w:r>
      <w:r>
        <w:rPr>
          <w:color w:val="231F20"/>
          <w:w w:val="115"/>
        </w:rPr>
        <w:t>moins</w:t>
      </w:r>
      <w:r>
        <w:rPr>
          <w:color w:val="231F20"/>
          <w:spacing w:val="-2"/>
          <w:w w:val="115"/>
        </w:rPr>
        <w:t> </w:t>
      </w:r>
      <w:r>
        <w:rPr>
          <w:color w:val="231F20"/>
          <w:w w:val="115"/>
        </w:rPr>
        <w:t>besoin</w:t>
      </w:r>
      <w:r>
        <w:rPr>
          <w:color w:val="231F20"/>
          <w:spacing w:val="-2"/>
          <w:w w:val="115"/>
        </w:rPr>
        <w:t> </w:t>
      </w:r>
      <w:r>
        <w:rPr>
          <w:color w:val="231F20"/>
          <w:w w:val="115"/>
        </w:rPr>
        <w:t>de</w:t>
      </w:r>
      <w:r>
        <w:rPr>
          <w:color w:val="231F20"/>
          <w:spacing w:val="-2"/>
          <w:w w:val="115"/>
        </w:rPr>
        <w:t> </w:t>
      </w:r>
      <w:r>
        <w:rPr>
          <w:color w:val="231F20"/>
          <w:w w:val="115"/>
        </w:rPr>
        <w:t>stimulation que l’extraverti et préfère généralement la solitude. Face au stress, l’ex- traverti</w:t>
      </w:r>
      <w:r>
        <w:rPr>
          <w:color w:val="231F20"/>
          <w:spacing w:val="-2"/>
          <w:w w:val="115"/>
        </w:rPr>
        <w:t> </w:t>
      </w:r>
      <w:r>
        <w:rPr>
          <w:color w:val="231F20"/>
          <w:w w:val="115"/>
        </w:rPr>
        <w:t>sera</w:t>
      </w:r>
      <w:r>
        <w:rPr>
          <w:color w:val="231F20"/>
          <w:spacing w:val="-2"/>
          <w:w w:val="115"/>
        </w:rPr>
        <w:t> </w:t>
      </w:r>
      <w:r>
        <w:rPr>
          <w:color w:val="231F20"/>
          <w:w w:val="115"/>
        </w:rPr>
        <w:t>à</w:t>
      </w:r>
      <w:r>
        <w:rPr>
          <w:color w:val="231F20"/>
          <w:spacing w:val="-2"/>
          <w:w w:val="115"/>
        </w:rPr>
        <w:t> </w:t>
      </w:r>
      <w:r>
        <w:rPr>
          <w:color w:val="231F20"/>
          <w:w w:val="115"/>
        </w:rPr>
        <w:t>la</w:t>
      </w:r>
      <w:r>
        <w:rPr>
          <w:color w:val="231F20"/>
          <w:spacing w:val="-2"/>
          <w:w w:val="115"/>
        </w:rPr>
        <w:t> </w:t>
      </w:r>
      <w:r>
        <w:rPr>
          <w:color w:val="231F20"/>
          <w:w w:val="115"/>
        </w:rPr>
        <w:t>recherche</w:t>
      </w:r>
      <w:r>
        <w:rPr>
          <w:color w:val="231F20"/>
          <w:spacing w:val="-2"/>
          <w:w w:val="115"/>
        </w:rPr>
        <w:t> </w:t>
      </w:r>
      <w:r>
        <w:rPr>
          <w:color w:val="231F20"/>
          <w:w w:val="115"/>
        </w:rPr>
        <w:t>de</w:t>
      </w:r>
      <w:r>
        <w:rPr>
          <w:color w:val="231F20"/>
          <w:spacing w:val="-2"/>
          <w:w w:val="115"/>
        </w:rPr>
        <w:t> </w:t>
      </w:r>
      <w:r>
        <w:rPr>
          <w:color w:val="231F20"/>
          <w:w w:val="115"/>
        </w:rPr>
        <w:t>solutions</w:t>
      </w:r>
      <w:r>
        <w:rPr>
          <w:color w:val="231F20"/>
          <w:spacing w:val="-2"/>
          <w:w w:val="115"/>
        </w:rPr>
        <w:t> </w:t>
      </w:r>
      <w:r>
        <w:rPr>
          <w:color w:val="231F20"/>
          <w:w w:val="115"/>
        </w:rPr>
        <w:t>et</w:t>
      </w:r>
      <w:r>
        <w:rPr>
          <w:color w:val="231F20"/>
          <w:spacing w:val="-2"/>
          <w:w w:val="115"/>
        </w:rPr>
        <w:t> </w:t>
      </w:r>
      <w:r>
        <w:rPr>
          <w:color w:val="231F20"/>
          <w:w w:val="115"/>
        </w:rPr>
        <w:t>utilisera</w:t>
      </w:r>
      <w:r>
        <w:rPr>
          <w:color w:val="231F20"/>
          <w:spacing w:val="-2"/>
          <w:w w:val="115"/>
        </w:rPr>
        <w:t> </w:t>
      </w:r>
      <w:r>
        <w:rPr>
          <w:color w:val="231F20"/>
          <w:w w:val="115"/>
        </w:rPr>
        <w:t>son</w:t>
      </w:r>
      <w:r>
        <w:rPr>
          <w:color w:val="231F20"/>
          <w:spacing w:val="-2"/>
          <w:w w:val="115"/>
        </w:rPr>
        <w:t> </w:t>
      </w:r>
      <w:r>
        <w:rPr>
          <w:color w:val="231F20"/>
          <w:w w:val="115"/>
        </w:rPr>
        <w:t>large</w:t>
      </w:r>
      <w:r>
        <w:rPr>
          <w:color w:val="231F20"/>
          <w:spacing w:val="-2"/>
          <w:w w:val="115"/>
        </w:rPr>
        <w:t> </w:t>
      </w:r>
      <w:r>
        <w:rPr>
          <w:color w:val="231F20"/>
          <w:w w:val="115"/>
        </w:rPr>
        <w:t>réseau</w:t>
      </w:r>
      <w:r>
        <w:rPr>
          <w:color w:val="231F20"/>
          <w:spacing w:val="-2"/>
          <w:w w:val="115"/>
        </w:rPr>
        <w:t> </w:t>
      </w:r>
      <w:r>
        <w:rPr>
          <w:color w:val="231F20"/>
          <w:w w:val="115"/>
        </w:rPr>
        <w:t>social afin d’obtenir du soutien et de l’aide. L’introverti sera davantage démuni face au stress et aura tendance à trop analyser les situations et à nourrir ainsi une certaine rumination cognitive.</w:t>
      </w:r>
    </w:p>
    <w:p>
      <w:pPr>
        <w:pStyle w:val="BodyText"/>
        <w:rPr>
          <w:sz w:val="20"/>
        </w:rPr>
      </w:pPr>
    </w:p>
    <w:p>
      <w:pPr>
        <w:pStyle w:val="BodyText"/>
        <w:rPr>
          <w:sz w:val="20"/>
        </w:rPr>
      </w:pPr>
    </w:p>
    <w:p>
      <w:pPr>
        <w:pStyle w:val="BodyText"/>
        <w:rPr>
          <w:sz w:val="13"/>
        </w:rPr>
      </w:pPr>
      <w:r>
        <w:rPr/>
        <w:pict>
          <v:shape style="position:absolute;margin-left:62.5pt;margin-top:8.709620pt;width:287.5pt;height:.1pt;mso-position-horizontal-relative:page;mso-position-vertical-relative:paragraph;z-index:-15670272;mso-wrap-distance-left:0;mso-wrap-distance-right:0" id="docshape744" coordorigin="1250,174" coordsize="5750,0" path="m1250,174l7000,174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6" w:hanging="406"/>
        <w:jc w:val="both"/>
        <w:rPr>
          <w:rFonts w:ascii="Arial"/>
          <w:sz w:val="12"/>
        </w:rPr>
      </w:pPr>
      <w:r>
        <w:rPr>
          <w:rFonts w:ascii="Arial"/>
          <w:color w:val="231F20"/>
          <w:sz w:val="12"/>
        </w:rPr>
        <w:t>McCrae, R. R. et Costa, P. T., Jr. (1999). A five-factor theory of personality. Dans L. A. Pervin et O. P. John</w:t>
      </w:r>
      <w:r>
        <w:rPr>
          <w:rFonts w:ascii="Arial"/>
          <w:color w:val="231F20"/>
          <w:spacing w:val="40"/>
          <w:sz w:val="12"/>
        </w:rPr>
        <w:t> </w:t>
      </w:r>
      <w:r>
        <w:rPr>
          <w:rFonts w:ascii="Arial"/>
          <w:color w:val="231F20"/>
          <w:sz w:val="12"/>
        </w:rPr>
        <w:t>(dir.),</w:t>
      </w:r>
      <w:r>
        <w:rPr>
          <w:rFonts w:ascii="Arial"/>
          <w:color w:val="231F20"/>
          <w:spacing w:val="-9"/>
          <w:sz w:val="12"/>
        </w:rPr>
        <w:t> </w:t>
      </w:r>
      <w:r>
        <w:rPr>
          <w:rFonts w:ascii="Arial"/>
          <w:i/>
          <w:color w:val="231F20"/>
          <w:sz w:val="12"/>
        </w:rPr>
        <w:t>Handbook</w:t>
      </w:r>
      <w:r>
        <w:rPr>
          <w:rFonts w:ascii="Arial"/>
          <w:i/>
          <w:color w:val="231F20"/>
          <w:spacing w:val="-8"/>
          <w:sz w:val="12"/>
        </w:rPr>
        <w:t> </w:t>
      </w:r>
      <w:r>
        <w:rPr>
          <w:rFonts w:ascii="Arial"/>
          <w:i/>
          <w:color w:val="231F20"/>
          <w:sz w:val="12"/>
        </w:rPr>
        <w:t>of</w:t>
      </w:r>
      <w:r>
        <w:rPr>
          <w:rFonts w:ascii="Arial"/>
          <w:i/>
          <w:color w:val="231F20"/>
          <w:spacing w:val="-8"/>
          <w:sz w:val="12"/>
        </w:rPr>
        <w:t> </w:t>
      </w:r>
      <w:r>
        <w:rPr>
          <w:rFonts w:ascii="Arial"/>
          <w:i/>
          <w:color w:val="231F20"/>
          <w:sz w:val="12"/>
        </w:rPr>
        <w:t>Personality</w:t>
      </w:r>
      <w:r>
        <w:rPr>
          <w:rFonts w:ascii="Arial"/>
          <w:i/>
          <w:color w:val="231F20"/>
          <w:spacing w:val="-9"/>
          <w:sz w:val="12"/>
        </w:rPr>
        <w:t> </w:t>
      </w:r>
      <w:r>
        <w:rPr>
          <w:rFonts w:ascii="Arial"/>
          <w:i/>
          <w:color w:val="231F20"/>
          <w:sz w:val="12"/>
        </w:rPr>
        <w:t>:</w:t>
      </w:r>
      <w:r>
        <w:rPr>
          <w:rFonts w:ascii="Arial"/>
          <w:i/>
          <w:color w:val="231F20"/>
          <w:spacing w:val="-8"/>
          <w:sz w:val="12"/>
        </w:rPr>
        <w:t> </w:t>
      </w:r>
      <w:r>
        <w:rPr>
          <w:rFonts w:ascii="Arial"/>
          <w:i/>
          <w:color w:val="231F20"/>
          <w:sz w:val="12"/>
        </w:rPr>
        <w:t>Theory</w:t>
      </w:r>
      <w:r>
        <w:rPr>
          <w:rFonts w:ascii="Arial"/>
          <w:i/>
          <w:color w:val="231F20"/>
          <w:spacing w:val="-7"/>
          <w:sz w:val="12"/>
        </w:rPr>
        <w:t> </w:t>
      </w:r>
      <w:r>
        <w:rPr>
          <w:rFonts w:ascii="Arial"/>
          <w:i/>
          <w:color w:val="231F20"/>
          <w:sz w:val="12"/>
        </w:rPr>
        <w:t>and</w:t>
      </w:r>
      <w:r>
        <w:rPr>
          <w:rFonts w:ascii="Arial"/>
          <w:i/>
          <w:color w:val="231F20"/>
          <w:spacing w:val="-2"/>
          <w:sz w:val="12"/>
        </w:rPr>
        <w:t> </w:t>
      </w:r>
      <w:r>
        <w:rPr>
          <w:rFonts w:ascii="Arial"/>
          <w:i/>
          <w:color w:val="231F20"/>
          <w:sz w:val="12"/>
        </w:rPr>
        <w:t>Research</w:t>
      </w:r>
      <w:r>
        <w:rPr>
          <w:rFonts w:ascii="Arial"/>
          <w:color w:val="231F20"/>
          <w:sz w:val="12"/>
        </w:rPr>
        <w:t>,</w:t>
      </w:r>
      <w:r>
        <w:rPr>
          <w:rFonts w:ascii="Arial"/>
          <w:color w:val="231F20"/>
          <w:spacing w:val="-3"/>
          <w:sz w:val="12"/>
        </w:rPr>
        <w:t> </w:t>
      </w:r>
      <w:r>
        <w:rPr>
          <w:rFonts w:ascii="Arial"/>
          <w:color w:val="231F20"/>
          <w:sz w:val="12"/>
        </w:rPr>
        <w:t>New</w:t>
      </w:r>
      <w:r>
        <w:rPr>
          <w:rFonts w:ascii="Arial"/>
          <w:color w:val="231F20"/>
          <w:spacing w:val="-3"/>
          <w:sz w:val="12"/>
        </w:rPr>
        <w:t> </w:t>
      </w:r>
      <w:r>
        <w:rPr>
          <w:rFonts w:ascii="Arial"/>
          <w:color w:val="231F20"/>
          <w:sz w:val="12"/>
        </w:rPr>
        <w:t>York,</w:t>
      </w:r>
      <w:r>
        <w:rPr>
          <w:rFonts w:ascii="Arial"/>
          <w:color w:val="231F20"/>
          <w:spacing w:val="-3"/>
          <w:sz w:val="12"/>
        </w:rPr>
        <w:t> </w:t>
      </w:r>
      <w:r>
        <w:rPr>
          <w:rFonts w:ascii="Arial"/>
          <w:color w:val="231F20"/>
          <w:sz w:val="12"/>
        </w:rPr>
        <w:t>Guilford</w:t>
      </w:r>
      <w:r>
        <w:rPr>
          <w:rFonts w:ascii="Arial"/>
          <w:color w:val="231F20"/>
          <w:spacing w:val="-3"/>
          <w:sz w:val="12"/>
        </w:rPr>
        <w:t> </w:t>
      </w:r>
      <w:r>
        <w:rPr>
          <w:rFonts w:ascii="Arial"/>
          <w:color w:val="231F20"/>
          <w:sz w:val="12"/>
        </w:rPr>
        <w:t>Press,</w:t>
      </w:r>
      <w:r>
        <w:rPr>
          <w:rFonts w:ascii="Arial"/>
          <w:color w:val="231F20"/>
          <w:spacing w:val="-3"/>
          <w:sz w:val="12"/>
        </w:rPr>
        <w:t> </w:t>
      </w:r>
      <w:r>
        <w:rPr>
          <w:rFonts w:ascii="Arial"/>
          <w:color w:val="231F20"/>
          <w:sz w:val="12"/>
        </w:rPr>
        <w:t>p.</w:t>
      </w:r>
      <w:r>
        <w:rPr>
          <w:rFonts w:ascii="Arial"/>
          <w:color w:val="231F20"/>
          <w:spacing w:val="-3"/>
          <w:sz w:val="12"/>
        </w:rPr>
        <w:t> </w:t>
      </w:r>
      <w:r>
        <w:rPr>
          <w:rFonts w:ascii="Arial"/>
          <w:color w:val="231F20"/>
          <w:sz w:val="12"/>
        </w:rPr>
        <w:t>139-153</w:t>
      </w:r>
      <w:r>
        <w:rPr>
          <w:rFonts w:ascii="Arial"/>
          <w:color w:val="231F20"/>
          <w:spacing w:val="-9"/>
          <w:sz w:val="12"/>
        </w:rPr>
        <w:t> </w:t>
      </w:r>
      <w:r>
        <w:rPr>
          <w:rFonts w:ascii="Arial"/>
          <w:color w:val="231F20"/>
          <w:sz w:val="12"/>
        </w:rPr>
        <w:t>;</w:t>
      </w:r>
      <w:r>
        <w:rPr>
          <w:rFonts w:ascii="Arial"/>
          <w:color w:val="231F20"/>
          <w:spacing w:val="-2"/>
          <w:sz w:val="12"/>
        </w:rPr>
        <w:t> </w:t>
      </w:r>
      <w:r>
        <w:rPr>
          <w:rFonts w:ascii="Arial"/>
          <w:color w:val="231F20"/>
          <w:sz w:val="12"/>
        </w:rPr>
        <w:t>Costa,</w:t>
      </w:r>
      <w:r>
        <w:rPr>
          <w:rFonts w:ascii="Arial"/>
          <w:color w:val="231F20"/>
          <w:spacing w:val="-3"/>
          <w:sz w:val="12"/>
        </w:rPr>
        <w:t> </w:t>
      </w:r>
      <w:r>
        <w:rPr>
          <w:rFonts w:ascii="Arial"/>
          <w:color w:val="231F20"/>
          <w:sz w:val="12"/>
        </w:rPr>
        <w:t>P.</w:t>
      </w:r>
      <w:r>
        <w:rPr>
          <w:rFonts w:ascii="Arial"/>
          <w:color w:val="231F20"/>
          <w:spacing w:val="-3"/>
          <w:sz w:val="12"/>
        </w:rPr>
        <w:t> </w:t>
      </w:r>
      <w:r>
        <w:rPr>
          <w:rFonts w:ascii="Arial"/>
          <w:color w:val="231F20"/>
          <w:sz w:val="12"/>
        </w:rPr>
        <w:t>T.</w:t>
      </w:r>
      <w:r>
        <w:rPr>
          <w:rFonts w:ascii="Arial"/>
          <w:color w:val="231F20"/>
          <w:spacing w:val="-3"/>
          <w:sz w:val="12"/>
        </w:rPr>
        <w:t> </w:t>
      </w:r>
      <w:r>
        <w:rPr>
          <w:rFonts w:ascii="Arial"/>
          <w:color w:val="231F20"/>
          <w:sz w:val="12"/>
        </w:rPr>
        <w:t>et</w:t>
      </w:r>
      <w:r>
        <w:rPr>
          <w:rFonts w:ascii="Arial"/>
          <w:color w:val="231F20"/>
          <w:spacing w:val="40"/>
          <w:sz w:val="12"/>
        </w:rPr>
        <w:t> </w:t>
      </w:r>
      <w:r>
        <w:rPr>
          <w:rFonts w:ascii="Arial"/>
          <w:color w:val="231F20"/>
          <w:sz w:val="12"/>
        </w:rPr>
        <w:t>McCrae,</w:t>
      </w:r>
      <w:r>
        <w:rPr>
          <w:rFonts w:ascii="Arial"/>
          <w:color w:val="231F20"/>
          <w:spacing w:val="-9"/>
          <w:sz w:val="12"/>
        </w:rPr>
        <w:t> </w:t>
      </w:r>
      <w:r>
        <w:rPr>
          <w:rFonts w:ascii="Arial"/>
          <w:color w:val="231F20"/>
          <w:sz w:val="12"/>
        </w:rPr>
        <w:t>R.</w:t>
      </w:r>
      <w:r>
        <w:rPr>
          <w:rFonts w:ascii="Arial"/>
          <w:color w:val="231F20"/>
          <w:spacing w:val="-8"/>
          <w:sz w:val="12"/>
        </w:rPr>
        <w:t> </w:t>
      </w:r>
      <w:r>
        <w:rPr>
          <w:rFonts w:ascii="Arial"/>
          <w:color w:val="231F20"/>
          <w:sz w:val="12"/>
        </w:rPr>
        <w:t>R.</w:t>
      </w:r>
      <w:r>
        <w:rPr>
          <w:rFonts w:ascii="Arial"/>
          <w:color w:val="231F20"/>
          <w:spacing w:val="-8"/>
          <w:sz w:val="12"/>
        </w:rPr>
        <w:t> </w:t>
      </w:r>
      <w:r>
        <w:rPr>
          <w:rFonts w:ascii="Arial"/>
          <w:color w:val="231F20"/>
          <w:sz w:val="12"/>
        </w:rPr>
        <w:t>(1985).</w:t>
      </w:r>
      <w:r>
        <w:rPr>
          <w:rFonts w:ascii="Arial"/>
          <w:color w:val="231F20"/>
          <w:spacing w:val="-9"/>
          <w:sz w:val="12"/>
        </w:rPr>
        <w:t> </w:t>
      </w:r>
      <w:r>
        <w:rPr>
          <w:rFonts w:ascii="Arial"/>
          <w:i/>
          <w:color w:val="231F20"/>
          <w:sz w:val="12"/>
        </w:rPr>
        <w:t>The</w:t>
      </w:r>
      <w:r>
        <w:rPr>
          <w:rFonts w:ascii="Arial"/>
          <w:i/>
          <w:color w:val="231F20"/>
          <w:spacing w:val="-8"/>
          <w:sz w:val="12"/>
        </w:rPr>
        <w:t> </w:t>
      </w:r>
      <w:r>
        <w:rPr>
          <w:rFonts w:ascii="Arial"/>
          <w:i/>
          <w:color w:val="231F20"/>
          <w:sz w:val="12"/>
        </w:rPr>
        <w:t>NEO</w:t>
      </w:r>
      <w:r>
        <w:rPr>
          <w:rFonts w:ascii="Arial"/>
          <w:i/>
          <w:color w:val="231F20"/>
          <w:spacing w:val="-8"/>
          <w:sz w:val="12"/>
        </w:rPr>
        <w:t> </w:t>
      </w:r>
      <w:r>
        <w:rPr>
          <w:rFonts w:ascii="Arial"/>
          <w:i/>
          <w:color w:val="231F20"/>
          <w:sz w:val="12"/>
        </w:rPr>
        <w:t>Personality</w:t>
      </w:r>
      <w:r>
        <w:rPr>
          <w:rFonts w:ascii="Arial"/>
          <w:i/>
          <w:color w:val="231F20"/>
          <w:spacing w:val="-9"/>
          <w:sz w:val="12"/>
        </w:rPr>
        <w:t> </w:t>
      </w:r>
      <w:r>
        <w:rPr>
          <w:rFonts w:ascii="Arial"/>
          <w:i/>
          <w:color w:val="231F20"/>
          <w:sz w:val="12"/>
        </w:rPr>
        <w:t>Inventory</w:t>
      </w:r>
      <w:r>
        <w:rPr>
          <w:rFonts w:ascii="Arial"/>
          <w:color w:val="231F20"/>
          <w:sz w:val="12"/>
        </w:rPr>
        <w:t>,</w:t>
      </w:r>
      <w:r>
        <w:rPr>
          <w:rFonts w:ascii="Arial"/>
          <w:color w:val="231F20"/>
          <w:spacing w:val="-8"/>
          <w:sz w:val="12"/>
        </w:rPr>
        <w:t> </w:t>
      </w:r>
      <w:r>
        <w:rPr>
          <w:rFonts w:ascii="Arial"/>
          <w:color w:val="231F20"/>
          <w:sz w:val="12"/>
        </w:rPr>
        <w:t>Odessa,</w:t>
      </w:r>
      <w:r>
        <w:rPr>
          <w:rFonts w:ascii="Arial"/>
          <w:color w:val="231F20"/>
          <w:spacing w:val="-9"/>
          <w:sz w:val="12"/>
        </w:rPr>
        <w:t> </w:t>
      </w:r>
      <w:r>
        <w:rPr>
          <w:rFonts w:ascii="Arial"/>
          <w:color w:val="231F20"/>
          <w:sz w:val="12"/>
        </w:rPr>
        <w:t>Psychological</w:t>
      </w:r>
      <w:r>
        <w:rPr>
          <w:rFonts w:ascii="Arial"/>
          <w:color w:val="231F20"/>
          <w:spacing w:val="-8"/>
          <w:sz w:val="12"/>
        </w:rPr>
        <w:t> </w:t>
      </w:r>
      <w:r>
        <w:rPr>
          <w:rFonts w:ascii="Arial"/>
          <w:color w:val="231F20"/>
          <w:sz w:val="12"/>
        </w:rPr>
        <w:t>Assessment</w:t>
      </w:r>
      <w:r>
        <w:rPr>
          <w:rFonts w:ascii="Arial"/>
          <w:color w:val="231F20"/>
          <w:spacing w:val="-8"/>
          <w:sz w:val="12"/>
        </w:rPr>
        <w:t> </w:t>
      </w:r>
      <w:r>
        <w:rPr>
          <w:rFonts w:ascii="Arial"/>
          <w:color w:val="231F20"/>
          <w:sz w:val="12"/>
        </w:rPr>
        <w:t>Resources.</w:t>
      </w:r>
    </w:p>
    <w:p>
      <w:pPr>
        <w:spacing w:after="0" w:line="295" w:lineRule="auto"/>
        <w:jc w:val="both"/>
        <w:rPr>
          <w:rFonts w:ascii="Arial"/>
          <w:sz w:val="12"/>
        </w:rPr>
        <w:sectPr>
          <w:footerReference w:type="default" r:id="rId209"/>
          <w:pgSz w:w="8640" w:h="12960"/>
          <w:pgMar w:footer="424" w:header="0" w:top="520" w:bottom="62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1"/>
        <w:ind w:left="1220" w:right="101"/>
        <w:jc w:val="both"/>
      </w:pPr>
      <w:r>
        <w:rPr>
          <w:b/>
          <w:color w:val="231F20"/>
          <w:w w:val="115"/>
        </w:rPr>
        <w:t>Agréabilité </w:t>
      </w:r>
      <w:r>
        <w:rPr>
          <w:rFonts w:ascii="Arial-BoldItalicMT" w:hAnsi="Arial-BoldItalicMT"/>
          <w:b/>
          <w:i/>
          <w:color w:val="231F20"/>
          <w:w w:val="115"/>
        </w:rPr>
        <w:t>vs </w:t>
      </w:r>
      <w:r>
        <w:rPr>
          <w:b/>
          <w:color w:val="231F20"/>
          <w:w w:val="115"/>
        </w:rPr>
        <w:t>désagréabilité</w:t>
      </w:r>
      <w:r>
        <w:rPr>
          <w:color w:val="231F20"/>
          <w:w w:val="115"/>
        </w:rPr>
        <w:t>. Une personne ayant une forte polarisa- </w:t>
      </w:r>
      <w:r>
        <w:rPr>
          <w:color w:val="231F20"/>
          <w:w w:val="120"/>
        </w:rPr>
        <w:t>tion</w:t>
      </w:r>
      <w:r>
        <w:rPr>
          <w:color w:val="231F20"/>
          <w:spacing w:val="-2"/>
          <w:w w:val="120"/>
        </w:rPr>
        <w:t> </w:t>
      </w:r>
      <w:r>
        <w:rPr>
          <w:color w:val="231F20"/>
          <w:w w:val="120"/>
        </w:rPr>
        <w:t>vers</w:t>
      </w:r>
      <w:r>
        <w:rPr>
          <w:color w:val="231F20"/>
          <w:spacing w:val="-3"/>
          <w:w w:val="120"/>
        </w:rPr>
        <w:t> </w:t>
      </w:r>
      <w:r>
        <w:rPr>
          <w:color w:val="231F20"/>
          <w:w w:val="120"/>
        </w:rPr>
        <w:t>le</w:t>
      </w:r>
      <w:r>
        <w:rPr>
          <w:color w:val="231F20"/>
          <w:spacing w:val="-2"/>
          <w:w w:val="120"/>
        </w:rPr>
        <w:t> </w:t>
      </w:r>
      <w:r>
        <w:rPr>
          <w:color w:val="231F20"/>
          <w:w w:val="120"/>
        </w:rPr>
        <w:t>facteur</w:t>
      </w:r>
      <w:r>
        <w:rPr>
          <w:color w:val="231F20"/>
          <w:spacing w:val="-3"/>
          <w:w w:val="120"/>
        </w:rPr>
        <w:t> </w:t>
      </w:r>
      <w:r>
        <w:rPr>
          <w:color w:val="231F20"/>
          <w:w w:val="120"/>
        </w:rPr>
        <w:t>de</w:t>
      </w:r>
      <w:r>
        <w:rPr>
          <w:color w:val="231F20"/>
          <w:spacing w:val="-2"/>
          <w:w w:val="120"/>
        </w:rPr>
        <w:t> </w:t>
      </w:r>
      <w:r>
        <w:rPr>
          <w:color w:val="231F20"/>
          <w:w w:val="120"/>
        </w:rPr>
        <w:t>l’agréabilité</w:t>
      </w:r>
      <w:r>
        <w:rPr>
          <w:color w:val="231F20"/>
          <w:spacing w:val="-3"/>
          <w:w w:val="120"/>
        </w:rPr>
        <w:t> </w:t>
      </w:r>
      <w:r>
        <w:rPr>
          <w:color w:val="231F20"/>
          <w:w w:val="120"/>
        </w:rPr>
        <w:t>a</w:t>
      </w:r>
      <w:r>
        <w:rPr>
          <w:color w:val="231F20"/>
          <w:spacing w:val="-2"/>
          <w:w w:val="120"/>
        </w:rPr>
        <w:t> </w:t>
      </w:r>
      <w:r>
        <w:rPr>
          <w:color w:val="231F20"/>
          <w:w w:val="120"/>
        </w:rPr>
        <w:t>tendance</w:t>
      </w:r>
      <w:r>
        <w:rPr>
          <w:color w:val="231F20"/>
          <w:spacing w:val="-3"/>
          <w:w w:val="120"/>
        </w:rPr>
        <w:t> </w:t>
      </w:r>
      <w:r>
        <w:rPr>
          <w:color w:val="231F20"/>
          <w:w w:val="120"/>
        </w:rPr>
        <w:t>à</w:t>
      </w:r>
      <w:r>
        <w:rPr>
          <w:color w:val="231F20"/>
          <w:spacing w:val="-2"/>
          <w:w w:val="120"/>
        </w:rPr>
        <w:t> </w:t>
      </w:r>
      <w:r>
        <w:rPr>
          <w:color w:val="231F20"/>
          <w:w w:val="120"/>
        </w:rPr>
        <w:t>compatir</w:t>
      </w:r>
      <w:r>
        <w:rPr>
          <w:color w:val="231F20"/>
          <w:spacing w:val="-3"/>
          <w:w w:val="120"/>
        </w:rPr>
        <w:t> </w:t>
      </w:r>
      <w:r>
        <w:rPr>
          <w:color w:val="231F20"/>
          <w:w w:val="120"/>
        </w:rPr>
        <w:t>et</w:t>
      </w:r>
      <w:r>
        <w:rPr>
          <w:color w:val="231F20"/>
          <w:spacing w:val="-2"/>
          <w:w w:val="120"/>
        </w:rPr>
        <w:t> </w:t>
      </w:r>
      <w:r>
        <w:rPr>
          <w:color w:val="231F20"/>
          <w:w w:val="120"/>
        </w:rPr>
        <w:t>à</w:t>
      </w:r>
      <w:r>
        <w:rPr>
          <w:color w:val="231F20"/>
          <w:spacing w:val="-3"/>
          <w:w w:val="120"/>
        </w:rPr>
        <w:t> </w:t>
      </w:r>
      <w:r>
        <w:rPr>
          <w:color w:val="231F20"/>
          <w:w w:val="120"/>
        </w:rPr>
        <w:t>coopérer avec</w:t>
      </w:r>
      <w:r>
        <w:rPr>
          <w:color w:val="231F20"/>
          <w:spacing w:val="-13"/>
          <w:w w:val="120"/>
        </w:rPr>
        <w:t> </w:t>
      </w:r>
      <w:r>
        <w:rPr>
          <w:color w:val="231F20"/>
          <w:w w:val="120"/>
        </w:rPr>
        <w:t>autrui</w:t>
      </w:r>
      <w:r>
        <w:rPr>
          <w:color w:val="231F20"/>
          <w:spacing w:val="-13"/>
          <w:w w:val="120"/>
        </w:rPr>
        <w:t> </w:t>
      </w:r>
      <w:r>
        <w:rPr>
          <w:color w:val="231F20"/>
          <w:w w:val="120"/>
        </w:rPr>
        <w:t>au</w:t>
      </w:r>
      <w:r>
        <w:rPr>
          <w:color w:val="231F20"/>
          <w:spacing w:val="-13"/>
          <w:w w:val="120"/>
        </w:rPr>
        <w:t> </w:t>
      </w:r>
      <w:r>
        <w:rPr>
          <w:color w:val="231F20"/>
          <w:w w:val="120"/>
        </w:rPr>
        <w:t>lieu</w:t>
      </w:r>
      <w:r>
        <w:rPr>
          <w:color w:val="231F20"/>
          <w:spacing w:val="-12"/>
          <w:w w:val="120"/>
        </w:rPr>
        <w:t> </w:t>
      </w:r>
      <w:r>
        <w:rPr>
          <w:color w:val="231F20"/>
          <w:w w:val="120"/>
        </w:rPr>
        <w:t>de</w:t>
      </w:r>
      <w:r>
        <w:rPr>
          <w:color w:val="231F20"/>
          <w:spacing w:val="-13"/>
          <w:w w:val="120"/>
        </w:rPr>
        <w:t> </w:t>
      </w:r>
      <w:r>
        <w:rPr>
          <w:color w:val="231F20"/>
          <w:w w:val="120"/>
        </w:rPr>
        <w:t>se</w:t>
      </w:r>
      <w:r>
        <w:rPr>
          <w:color w:val="231F20"/>
          <w:spacing w:val="-13"/>
          <w:w w:val="120"/>
        </w:rPr>
        <w:t> </w:t>
      </w:r>
      <w:r>
        <w:rPr>
          <w:color w:val="231F20"/>
          <w:w w:val="120"/>
        </w:rPr>
        <w:t>montrer</w:t>
      </w:r>
      <w:r>
        <w:rPr>
          <w:color w:val="231F20"/>
          <w:spacing w:val="-13"/>
          <w:w w:val="120"/>
        </w:rPr>
        <w:t> </w:t>
      </w:r>
      <w:r>
        <w:rPr>
          <w:color w:val="231F20"/>
          <w:w w:val="120"/>
        </w:rPr>
        <w:t>soupçonneuse</w:t>
      </w:r>
      <w:r>
        <w:rPr>
          <w:color w:val="231F20"/>
          <w:spacing w:val="-12"/>
          <w:w w:val="120"/>
        </w:rPr>
        <w:t> </w:t>
      </w:r>
      <w:r>
        <w:rPr>
          <w:color w:val="231F20"/>
          <w:w w:val="120"/>
        </w:rPr>
        <w:t>et</w:t>
      </w:r>
      <w:r>
        <w:rPr>
          <w:color w:val="231F20"/>
          <w:spacing w:val="-13"/>
          <w:w w:val="120"/>
        </w:rPr>
        <w:t> </w:t>
      </w:r>
      <w:r>
        <w:rPr>
          <w:color w:val="231F20"/>
          <w:w w:val="120"/>
        </w:rPr>
        <w:t>antagoniste.</w:t>
      </w:r>
      <w:r>
        <w:rPr>
          <w:color w:val="231F20"/>
          <w:spacing w:val="-13"/>
          <w:w w:val="120"/>
        </w:rPr>
        <w:t> </w:t>
      </w:r>
      <w:r>
        <w:rPr>
          <w:color w:val="231F20"/>
          <w:w w:val="120"/>
        </w:rPr>
        <w:t>Le</w:t>
      </w:r>
      <w:r>
        <w:rPr>
          <w:color w:val="231F20"/>
          <w:spacing w:val="-13"/>
          <w:w w:val="120"/>
        </w:rPr>
        <w:t> </w:t>
      </w:r>
      <w:r>
        <w:rPr>
          <w:color w:val="231F20"/>
          <w:w w:val="120"/>
        </w:rPr>
        <w:t>degré </w:t>
      </w:r>
      <w:r>
        <w:rPr>
          <w:color w:val="231F20"/>
          <w:w w:val="115"/>
        </w:rPr>
        <w:t>d’agréabilité</w:t>
      </w:r>
      <w:r>
        <w:rPr>
          <w:color w:val="231F20"/>
          <w:spacing w:val="-9"/>
          <w:w w:val="115"/>
        </w:rPr>
        <w:t> </w:t>
      </w:r>
      <w:r>
        <w:rPr>
          <w:color w:val="231F20"/>
          <w:w w:val="115"/>
        </w:rPr>
        <w:t>de</w:t>
      </w:r>
      <w:r>
        <w:rPr>
          <w:color w:val="231F20"/>
          <w:spacing w:val="-9"/>
          <w:w w:val="115"/>
        </w:rPr>
        <w:t> </w:t>
      </w:r>
      <w:r>
        <w:rPr>
          <w:color w:val="231F20"/>
          <w:w w:val="115"/>
        </w:rPr>
        <w:t>chacun</w:t>
      </w:r>
      <w:r>
        <w:rPr>
          <w:color w:val="231F20"/>
          <w:spacing w:val="-9"/>
          <w:w w:val="115"/>
        </w:rPr>
        <w:t> </w:t>
      </w:r>
      <w:r>
        <w:rPr>
          <w:color w:val="231F20"/>
          <w:w w:val="115"/>
        </w:rPr>
        <w:t>reflète</w:t>
      </w:r>
      <w:r>
        <w:rPr>
          <w:color w:val="231F20"/>
          <w:spacing w:val="-9"/>
          <w:w w:val="115"/>
        </w:rPr>
        <w:t> </w:t>
      </w:r>
      <w:r>
        <w:rPr>
          <w:color w:val="231F20"/>
          <w:w w:val="115"/>
        </w:rPr>
        <w:t>les</w:t>
      </w:r>
      <w:r>
        <w:rPr>
          <w:color w:val="231F20"/>
          <w:spacing w:val="-9"/>
          <w:w w:val="115"/>
        </w:rPr>
        <w:t> </w:t>
      </w:r>
      <w:r>
        <w:rPr>
          <w:color w:val="231F20"/>
          <w:w w:val="115"/>
        </w:rPr>
        <w:t>différences</w:t>
      </w:r>
      <w:r>
        <w:rPr>
          <w:color w:val="231F20"/>
          <w:spacing w:val="-9"/>
          <w:w w:val="115"/>
        </w:rPr>
        <w:t> </w:t>
      </w:r>
      <w:r>
        <w:rPr>
          <w:color w:val="231F20"/>
          <w:w w:val="115"/>
        </w:rPr>
        <w:t>individuelles</w:t>
      </w:r>
      <w:r>
        <w:rPr>
          <w:color w:val="231F20"/>
          <w:spacing w:val="-9"/>
          <w:w w:val="115"/>
        </w:rPr>
        <w:t> </w:t>
      </w:r>
      <w:r>
        <w:rPr>
          <w:color w:val="231F20"/>
          <w:w w:val="115"/>
        </w:rPr>
        <w:t>quant</w:t>
      </w:r>
      <w:r>
        <w:rPr>
          <w:color w:val="231F20"/>
          <w:spacing w:val="-9"/>
          <w:w w:val="115"/>
        </w:rPr>
        <w:t> </w:t>
      </w:r>
      <w:r>
        <w:rPr>
          <w:color w:val="231F20"/>
          <w:w w:val="115"/>
        </w:rPr>
        <w:t>au</w:t>
      </w:r>
      <w:r>
        <w:rPr>
          <w:color w:val="231F20"/>
          <w:spacing w:val="-9"/>
          <w:w w:val="115"/>
        </w:rPr>
        <w:t> </w:t>
      </w:r>
      <w:r>
        <w:rPr>
          <w:color w:val="231F20"/>
          <w:w w:val="115"/>
        </w:rPr>
        <w:t>souci </w:t>
      </w:r>
      <w:r>
        <w:rPr>
          <w:color w:val="231F20"/>
          <w:w w:val="120"/>
        </w:rPr>
        <w:t>de la coopération et d’harmonie sociale. Les individus agréables valo- </w:t>
      </w:r>
      <w:r>
        <w:rPr>
          <w:color w:val="231F20"/>
          <w:spacing w:val="-2"/>
          <w:w w:val="120"/>
        </w:rPr>
        <w:t>risent</w:t>
      </w:r>
      <w:r>
        <w:rPr>
          <w:color w:val="231F20"/>
          <w:spacing w:val="-5"/>
          <w:w w:val="120"/>
        </w:rPr>
        <w:t> </w:t>
      </w:r>
      <w:r>
        <w:rPr>
          <w:color w:val="231F20"/>
          <w:spacing w:val="-2"/>
          <w:w w:val="120"/>
        </w:rPr>
        <w:t>la</w:t>
      </w:r>
      <w:r>
        <w:rPr>
          <w:color w:val="231F20"/>
          <w:spacing w:val="-5"/>
          <w:w w:val="120"/>
        </w:rPr>
        <w:t> </w:t>
      </w:r>
      <w:r>
        <w:rPr>
          <w:color w:val="231F20"/>
          <w:spacing w:val="-2"/>
          <w:w w:val="120"/>
        </w:rPr>
        <w:t>bonne</w:t>
      </w:r>
      <w:r>
        <w:rPr>
          <w:color w:val="231F20"/>
          <w:spacing w:val="-5"/>
          <w:w w:val="120"/>
        </w:rPr>
        <w:t> </w:t>
      </w:r>
      <w:r>
        <w:rPr>
          <w:color w:val="231F20"/>
          <w:spacing w:val="-2"/>
          <w:w w:val="120"/>
        </w:rPr>
        <w:t>entente.</w:t>
      </w:r>
      <w:r>
        <w:rPr>
          <w:color w:val="231F20"/>
          <w:spacing w:val="-5"/>
          <w:w w:val="120"/>
        </w:rPr>
        <w:t> </w:t>
      </w:r>
      <w:r>
        <w:rPr>
          <w:color w:val="231F20"/>
          <w:spacing w:val="-2"/>
          <w:w w:val="120"/>
        </w:rPr>
        <w:t>Ce</w:t>
      </w:r>
      <w:r>
        <w:rPr>
          <w:color w:val="231F20"/>
          <w:spacing w:val="-5"/>
          <w:w w:val="120"/>
        </w:rPr>
        <w:t> </w:t>
      </w:r>
      <w:r>
        <w:rPr>
          <w:color w:val="231F20"/>
          <w:spacing w:val="-2"/>
          <w:w w:val="120"/>
        </w:rPr>
        <w:t>sont</w:t>
      </w:r>
      <w:r>
        <w:rPr>
          <w:color w:val="231F20"/>
          <w:spacing w:val="-5"/>
          <w:w w:val="120"/>
        </w:rPr>
        <w:t> </w:t>
      </w:r>
      <w:r>
        <w:rPr>
          <w:color w:val="231F20"/>
          <w:spacing w:val="-2"/>
          <w:w w:val="120"/>
        </w:rPr>
        <w:t>des</w:t>
      </w:r>
      <w:r>
        <w:rPr>
          <w:color w:val="231F20"/>
          <w:spacing w:val="-5"/>
          <w:w w:val="120"/>
        </w:rPr>
        <w:t> </w:t>
      </w:r>
      <w:r>
        <w:rPr>
          <w:color w:val="231F20"/>
          <w:spacing w:val="-2"/>
          <w:w w:val="120"/>
        </w:rPr>
        <w:t>gens</w:t>
      </w:r>
      <w:r>
        <w:rPr>
          <w:color w:val="231F20"/>
          <w:spacing w:val="-5"/>
          <w:w w:val="120"/>
        </w:rPr>
        <w:t> </w:t>
      </w:r>
      <w:r>
        <w:rPr>
          <w:color w:val="231F20"/>
          <w:spacing w:val="-2"/>
          <w:w w:val="120"/>
        </w:rPr>
        <w:t>prévenants,</w:t>
      </w:r>
      <w:r>
        <w:rPr>
          <w:color w:val="231F20"/>
          <w:spacing w:val="-5"/>
          <w:w w:val="120"/>
        </w:rPr>
        <w:t> </w:t>
      </w:r>
      <w:r>
        <w:rPr>
          <w:color w:val="231F20"/>
          <w:spacing w:val="-2"/>
          <w:w w:val="120"/>
        </w:rPr>
        <w:t>amicaux,</w:t>
      </w:r>
      <w:r>
        <w:rPr>
          <w:color w:val="231F20"/>
          <w:spacing w:val="-5"/>
          <w:w w:val="120"/>
        </w:rPr>
        <w:t> </w:t>
      </w:r>
      <w:r>
        <w:rPr>
          <w:color w:val="231F20"/>
          <w:spacing w:val="-2"/>
          <w:w w:val="120"/>
        </w:rPr>
        <w:t>généreux </w:t>
      </w:r>
      <w:r>
        <w:rPr>
          <w:color w:val="231F20"/>
          <w:w w:val="120"/>
        </w:rPr>
        <w:t>et prêts à compromettre leurs propres intérêts au profit d’autrui. Cette personne</w:t>
      </w:r>
      <w:r>
        <w:rPr>
          <w:color w:val="231F20"/>
          <w:spacing w:val="-9"/>
          <w:w w:val="120"/>
        </w:rPr>
        <w:t> </w:t>
      </w:r>
      <w:r>
        <w:rPr>
          <w:color w:val="231F20"/>
          <w:w w:val="120"/>
        </w:rPr>
        <w:t>a</w:t>
      </w:r>
      <w:r>
        <w:rPr>
          <w:color w:val="231F20"/>
          <w:spacing w:val="-9"/>
          <w:w w:val="120"/>
        </w:rPr>
        <w:t> </w:t>
      </w:r>
      <w:r>
        <w:rPr>
          <w:color w:val="231F20"/>
          <w:w w:val="120"/>
        </w:rPr>
        <w:t>une</w:t>
      </w:r>
      <w:r>
        <w:rPr>
          <w:color w:val="231F20"/>
          <w:spacing w:val="-9"/>
          <w:w w:val="120"/>
        </w:rPr>
        <w:t> </w:t>
      </w:r>
      <w:r>
        <w:rPr>
          <w:color w:val="231F20"/>
          <w:w w:val="120"/>
        </w:rPr>
        <w:t>vision</w:t>
      </w:r>
      <w:r>
        <w:rPr>
          <w:color w:val="231F20"/>
          <w:spacing w:val="-9"/>
          <w:w w:val="120"/>
        </w:rPr>
        <w:t> </w:t>
      </w:r>
      <w:r>
        <w:rPr>
          <w:color w:val="231F20"/>
          <w:w w:val="120"/>
        </w:rPr>
        <w:t>optimiste</w:t>
      </w:r>
      <w:r>
        <w:rPr>
          <w:color w:val="231F20"/>
          <w:spacing w:val="-9"/>
          <w:w w:val="120"/>
        </w:rPr>
        <w:t> </w:t>
      </w:r>
      <w:r>
        <w:rPr>
          <w:color w:val="231F20"/>
          <w:w w:val="120"/>
        </w:rPr>
        <w:t>de</w:t>
      </w:r>
      <w:r>
        <w:rPr>
          <w:color w:val="231F20"/>
          <w:spacing w:val="-9"/>
          <w:w w:val="120"/>
        </w:rPr>
        <w:t> </w:t>
      </w:r>
      <w:r>
        <w:rPr>
          <w:color w:val="231F20"/>
          <w:w w:val="120"/>
        </w:rPr>
        <w:t>la</w:t>
      </w:r>
      <w:r>
        <w:rPr>
          <w:color w:val="231F20"/>
          <w:spacing w:val="-9"/>
          <w:w w:val="120"/>
        </w:rPr>
        <w:t> </w:t>
      </w:r>
      <w:r>
        <w:rPr>
          <w:color w:val="231F20"/>
          <w:w w:val="120"/>
        </w:rPr>
        <w:t>nature</w:t>
      </w:r>
      <w:r>
        <w:rPr>
          <w:color w:val="231F20"/>
          <w:spacing w:val="-9"/>
          <w:w w:val="120"/>
        </w:rPr>
        <w:t> </w:t>
      </w:r>
      <w:r>
        <w:rPr>
          <w:color w:val="231F20"/>
          <w:w w:val="120"/>
        </w:rPr>
        <w:t>humaine.</w:t>
      </w:r>
      <w:r>
        <w:rPr>
          <w:color w:val="231F20"/>
          <w:spacing w:val="-9"/>
          <w:w w:val="120"/>
        </w:rPr>
        <w:t> </w:t>
      </w:r>
      <w:r>
        <w:rPr>
          <w:color w:val="231F20"/>
          <w:w w:val="120"/>
        </w:rPr>
        <w:t>Elle</w:t>
      </w:r>
      <w:r>
        <w:rPr>
          <w:color w:val="231F20"/>
          <w:spacing w:val="-9"/>
          <w:w w:val="120"/>
        </w:rPr>
        <w:t> </w:t>
      </w:r>
      <w:r>
        <w:rPr>
          <w:color w:val="231F20"/>
          <w:w w:val="120"/>
        </w:rPr>
        <w:t>croit</w:t>
      </w:r>
      <w:r>
        <w:rPr>
          <w:color w:val="231F20"/>
          <w:spacing w:val="-9"/>
          <w:w w:val="120"/>
        </w:rPr>
        <w:t> </w:t>
      </w:r>
      <w:r>
        <w:rPr>
          <w:color w:val="231F20"/>
          <w:w w:val="120"/>
        </w:rPr>
        <w:t>que</w:t>
      </w:r>
      <w:r>
        <w:rPr>
          <w:color w:val="231F20"/>
          <w:spacing w:val="-9"/>
          <w:w w:val="120"/>
        </w:rPr>
        <w:t> </w:t>
      </w:r>
      <w:r>
        <w:rPr>
          <w:color w:val="231F20"/>
          <w:w w:val="120"/>
        </w:rPr>
        <w:t>les gens</w:t>
      </w:r>
      <w:r>
        <w:rPr>
          <w:color w:val="231F20"/>
          <w:spacing w:val="-11"/>
          <w:w w:val="120"/>
        </w:rPr>
        <w:t> </w:t>
      </w:r>
      <w:r>
        <w:rPr>
          <w:color w:val="231F20"/>
          <w:w w:val="120"/>
        </w:rPr>
        <w:t>sont</w:t>
      </w:r>
      <w:r>
        <w:rPr>
          <w:color w:val="231F20"/>
          <w:spacing w:val="-11"/>
          <w:w w:val="120"/>
        </w:rPr>
        <w:t> </w:t>
      </w:r>
      <w:r>
        <w:rPr>
          <w:color w:val="231F20"/>
          <w:w w:val="120"/>
        </w:rPr>
        <w:t>fondamentalement</w:t>
      </w:r>
      <w:r>
        <w:rPr>
          <w:color w:val="231F20"/>
          <w:spacing w:val="-11"/>
          <w:w w:val="120"/>
        </w:rPr>
        <w:t> </w:t>
      </w:r>
      <w:r>
        <w:rPr>
          <w:color w:val="231F20"/>
          <w:w w:val="120"/>
        </w:rPr>
        <w:t>honnêtes</w:t>
      </w:r>
      <w:r>
        <w:rPr>
          <w:color w:val="231F20"/>
          <w:spacing w:val="-11"/>
          <w:w w:val="120"/>
        </w:rPr>
        <w:t> </w:t>
      </w:r>
      <w:r>
        <w:rPr>
          <w:color w:val="231F20"/>
          <w:w w:val="120"/>
        </w:rPr>
        <w:t>et</w:t>
      </w:r>
      <w:r>
        <w:rPr>
          <w:color w:val="231F20"/>
          <w:spacing w:val="-11"/>
          <w:w w:val="120"/>
        </w:rPr>
        <w:t> </w:t>
      </w:r>
      <w:r>
        <w:rPr>
          <w:color w:val="231F20"/>
          <w:w w:val="120"/>
        </w:rPr>
        <w:t>dignes</w:t>
      </w:r>
      <w:r>
        <w:rPr>
          <w:color w:val="231F20"/>
          <w:spacing w:val="-11"/>
          <w:w w:val="120"/>
        </w:rPr>
        <w:t> </w:t>
      </w:r>
      <w:r>
        <w:rPr>
          <w:color w:val="231F20"/>
          <w:w w:val="120"/>
        </w:rPr>
        <w:t>de</w:t>
      </w:r>
      <w:r>
        <w:rPr>
          <w:color w:val="231F20"/>
          <w:spacing w:val="-11"/>
          <w:w w:val="120"/>
        </w:rPr>
        <w:t> </w:t>
      </w:r>
      <w:r>
        <w:rPr>
          <w:color w:val="231F20"/>
          <w:w w:val="120"/>
        </w:rPr>
        <w:t>confiance.</w:t>
      </w:r>
      <w:r>
        <w:rPr>
          <w:color w:val="231F20"/>
          <w:spacing w:val="-11"/>
          <w:w w:val="120"/>
        </w:rPr>
        <w:t> </w:t>
      </w:r>
      <w:r>
        <w:rPr>
          <w:color w:val="231F20"/>
          <w:w w:val="120"/>
        </w:rPr>
        <w:t>Les</w:t>
      </w:r>
      <w:r>
        <w:rPr>
          <w:color w:val="231F20"/>
          <w:spacing w:val="-11"/>
          <w:w w:val="120"/>
        </w:rPr>
        <w:t> </w:t>
      </w:r>
      <w:r>
        <w:rPr>
          <w:color w:val="231F20"/>
          <w:w w:val="120"/>
        </w:rPr>
        <w:t>indi- vidus qui se positionnent davantage vers la désagréabilité sont peu aimables et accordent plus d’importance à leur propre intérêt qu’à la bonne</w:t>
      </w:r>
      <w:r>
        <w:rPr>
          <w:color w:val="231F20"/>
          <w:spacing w:val="-12"/>
          <w:w w:val="120"/>
        </w:rPr>
        <w:t> </w:t>
      </w:r>
      <w:r>
        <w:rPr>
          <w:color w:val="231F20"/>
          <w:w w:val="120"/>
        </w:rPr>
        <w:t>entente.</w:t>
      </w:r>
      <w:r>
        <w:rPr>
          <w:color w:val="231F20"/>
          <w:spacing w:val="-12"/>
          <w:w w:val="120"/>
        </w:rPr>
        <w:t> </w:t>
      </w:r>
      <w:r>
        <w:rPr>
          <w:color w:val="231F20"/>
          <w:w w:val="120"/>
        </w:rPr>
        <w:t>En</w:t>
      </w:r>
      <w:r>
        <w:rPr>
          <w:color w:val="231F20"/>
          <w:spacing w:val="-12"/>
          <w:w w:val="120"/>
        </w:rPr>
        <w:t> </w:t>
      </w:r>
      <w:r>
        <w:rPr>
          <w:color w:val="231F20"/>
          <w:w w:val="120"/>
        </w:rPr>
        <w:t>général,</w:t>
      </w:r>
      <w:r>
        <w:rPr>
          <w:color w:val="231F20"/>
          <w:spacing w:val="-12"/>
          <w:w w:val="120"/>
        </w:rPr>
        <w:t> </w:t>
      </w:r>
      <w:r>
        <w:rPr>
          <w:color w:val="231F20"/>
          <w:w w:val="120"/>
        </w:rPr>
        <w:t>ils</w:t>
      </w:r>
      <w:r>
        <w:rPr>
          <w:color w:val="231F20"/>
          <w:spacing w:val="-12"/>
          <w:w w:val="120"/>
        </w:rPr>
        <w:t> </w:t>
      </w:r>
      <w:r>
        <w:rPr>
          <w:color w:val="231F20"/>
          <w:w w:val="120"/>
        </w:rPr>
        <w:t>ne</w:t>
      </w:r>
      <w:r>
        <w:rPr>
          <w:color w:val="231F20"/>
          <w:spacing w:val="-12"/>
          <w:w w:val="120"/>
        </w:rPr>
        <w:t> </w:t>
      </w:r>
      <w:r>
        <w:rPr>
          <w:color w:val="231F20"/>
          <w:w w:val="120"/>
        </w:rPr>
        <w:t>se</w:t>
      </w:r>
      <w:r>
        <w:rPr>
          <w:color w:val="231F20"/>
          <w:spacing w:val="-12"/>
          <w:w w:val="120"/>
        </w:rPr>
        <w:t> </w:t>
      </w:r>
      <w:r>
        <w:rPr>
          <w:color w:val="231F20"/>
          <w:w w:val="120"/>
        </w:rPr>
        <w:t>soucient</w:t>
      </w:r>
      <w:r>
        <w:rPr>
          <w:color w:val="231F20"/>
          <w:spacing w:val="-12"/>
          <w:w w:val="120"/>
        </w:rPr>
        <w:t> </w:t>
      </w:r>
      <w:r>
        <w:rPr>
          <w:color w:val="231F20"/>
          <w:w w:val="120"/>
        </w:rPr>
        <w:t>guère</w:t>
      </w:r>
      <w:r>
        <w:rPr>
          <w:color w:val="231F20"/>
          <w:spacing w:val="-12"/>
          <w:w w:val="120"/>
        </w:rPr>
        <w:t> </w:t>
      </w:r>
      <w:r>
        <w:rPr>
          <w:color w:val="231F20"/>
          <w:w w:val="120"/>
        </w:rPr>
        <w:t>du</w:t>
      </w:r>
      <w:r>
        <w:rPr>
          <w:color w:val="231F20"/>
          <w:spacing w:val="-12"/>
          <w:w w:val="120"/>
        </w:rPr>
        <w:t> </w:t>
      </w:r>
      <w:r>
        <w:rPr>
          <w:color w:val="231F20"/>
          <w:w w:val="120"/>
        </w:rPr>
        <w:t>bien-être</w:t>
      </w:r>
      <w:r>
        <w:rPr>
          <w:color w:val="231F20"/>
          <w:spacing w:val="-12"/>
          <w:w w:val="120"/>
        </w:rPr>
        <w:t> </w:t>
      </w:r>
      <w:r>
        <w:rPr>
          <w:color w:val="231F20"/>
          <w:w w:val="120"/>
        </w:rPr>
        <w:t>d’autrui </w:t>
      </w:r>
      <w:r>
        <w:rPr>
          <w:color w:val="231F20"/>
          <w:spacing w:val="-2"/>
          <w:w w:val="120"/>
        </w:rPr>
        <w:t>et</w:t>
      </w:r>
      <w:r>
        <w:rPr>
          <w:color w:val="231F20"/>
          <w:spacing w:val="-11"/>
          <w:w w:val="120"/>
        </w:rPr>
        <w:t> </w:t>
      </w:r>
      <w:r>
        <w:rPr>
          <w:color w:val="231F20"/>
          <w:spacing w:val="-2"/>
          <w:w w:val="120"/>
        </w:rPr>
        <w:t>sont</w:t>
      </w:r>
      <w:r>
        <w:rPr>
          <w:color w:val="231F20"/>
          <w:spacing w:val="-11"/>
          <w:w w:val="120"/>
        </w:rPr>
        <w:t> </w:t>
      </w:r>
      <w:r>
        <w:rPr>
          <w:color w:val="231F20"/>
          <w:spacing w:val="-2"/>
          <w:w w:val="120"/>
        </w:rPr>
        <w:t>donc</w:t>
      </w:r>
      <w:r>
        <w:rPr>
          <w:color w:val="231F20"/>
          <w:spacing w:val="-11"/>
          <w:w w:val="120"/>
        </w:rPr>
        <w:t> </w:t>
      </w:r>
      <w:r>
        <w:rPr>
          <w:color w:val="231F20"/>
          <w:spacing w:val="-2"/>
          <w:w w:val="120"/>
        </w:rPr>
        <w:t>peu</w:t>
      </w:r>
      <w:r>
        <w:rPr>
          <w:color w:val="231F20"/>
          <w:spacing w:val="-10"/>
          <w:w w:val="120"/>
        </w:rPr>
        <w:t> </w:t>
      </w:r>
      <w:r>
        <w:rPr>
          <w:color w:val="231F20"/>
          <w:spacing w:val="-2"/>
          <w:w w:val="120"/>
        </w:rPr>
        <w:t>enclins</w:t>
      </w:r>
      <w:r>
        <w:rPr>
          <w:color w:val="231F20"/>
          <w:spacing w:val="-11"/>
          <w:w w:val="120"/>
        </w:rPr>
        <w:t> </w:t>
      </w:r>
      <w:r>
        <w:rPr>
          <w:color w:val="231F20"/>
          <w:spacing w:val="-2"/>
          <w:w w:val="120"/>
        </w:rPr>
        <w:t>à</w:t>
      </w:r>
      <w:r>
        <w:rPr>
          <w:color w:val="231F20"/>
          <w:spacing w:val="-11"/>
          <w:w w:val="120"/>
        </w:rPr>
        <w:t> </w:t>
      </w:r>
      <w:r>
        <w:rPr>
          <w:color w:val="231F20"/>
          <w:spacing w:val="-2"/>
          <w:w w:val="120"/>
        </w:rPr>
        <w:t>tendre</w:t>
      </w:r>
      <w:r>
        <w:rPr>
          <w:color w:val="231F20"/>
          <w:spacing w:val="-11"/>
          <w:w w:val="120"/>
        </w:rPr>
        <w:t> </w:t>
      </w:r>
      <w:r>
        <w:rPr>
          <w:color w:val="231F20"/>
          <w:spacing w:val="-2"/>
          <w:w w:val="120"/>
        </w:rPr>
        <w:t>une</w:t>
      </w:r>
      <w:r>
        <w:rPr>
          <w:color w:val="231F20"/>
          <w:spacing w:val="-10"/>
          <w:w w:val="120"/>
        </w:rPr>
        <w:t> </w:t>
      </w:r>
      <w:r>
        <w:rPr>
          <w:color w:val="231F20"/>
          <w:spacing w:val="-2"/>
          <w:w w:val="120"/>
        </w:rPr>
        <w:t>main</w:t>
      </w:r>
      <w:r>
        <w:rPr>
          <w:color w:val="231F20"/>
          <w:spacing w:val="-11"/>
          <w:w w:val="120"/>
        </w:rPr>
        <w:t> </w:t>
      </w:r>
      <w:r>
        <w:rPr>
          <w:color w:val="231F20"/>
          <w:spacing w:val="-2"/>
          <w:w w:val="120"/>
        </w:rPr>
        <w:t>secourable.</w:t>
      </w:r>
      <w:r>
        <w:rPr>
          <w:color w:val="231F20"/>
          <w:spacing w:val="-11"/>
          <w:w w:val="120"/>
        </w:rPr>
        <w:t> </w:t>
      </w:r>
      <w:r>
        <w:rPr>
          <w:color w:val="231F20"/>
          <w:spacing w:val="-2"/>
          <w:w w:val="120"/>
        </w:rPr>
        <w:t>Parfois,</w:t>
      </w:r>
      <w:r>
        <w:rPr>
          <w:color w:val="231F20"/>
          <w:spacing w:val="-11"/>
          <w:w w:val="120"/>
        </w:rPr>
        <w:t> </w:t>
      </w:r>
      <w:r>
        <w:rPr>
          <w:color w:val="231F20"/>
          <w:spacing w:val="-2"/>
          <w:w w:val="120"/>
        </w:rPr>
        <w:t>leur</w:t>
      </w:r>
      <w:r>
        <w:rPr>
          <w:color w:val="231F20"/>
          <w:spacing w:val="-10"/>
          <w:w w:val="120"/>
        </w:rPr>
        <w:t> </w:t>
      </w:r>
      <w:r>
        <w:rPr>
          <w:color w:val="231F20"/>
          <w:spacing w:val="-2"/>
          <w:w w:val="120"/>
        </w:rPr>
        <w:t>scep- </w:t>
      </w:r>
      <w:r>
        <w:rPr>
          <w:color w:val="231F20"/>
          <w:w w:val="120"/>
        </w:rPr>
        <w:t>ticisme</w:t>
      </w:r>
      <w:r>
        <w:rPr>
          <w:color w:val="231F20"/>
          <w:spacing w:val="-13"/>
          <w:w w:val="120"/>
        </w:rPr>
        <w:t> </w:t>
      </w:r>
      <w:r>
        <w:rPr>
          <w:color w:val="231F20"/>
          <w:w w:val="120"/>
        </w:rPr>
        <w:t>à</w:t>
      </w:r>
      <w:r>
        <w:rPr>
          <w:color w:val="231F20"/>
          <w:spacing w:val="-13"/>
          <w:w w:val="120"/>
        </w:rPr>
        <w:t> </w:t>
      </w:r>
      <w:r>
        <w:rPr>
          <w:color w:val="231F20"/>
          <w:w w:val="120"/>
        </w:rPr>
        <w:t>l’égard</w:t>
      </w:r>
      <w:r>
        <w:rPr>
          <w:color w:val="231F20"/>
          <w:spacing w:val="-13"/>
          <w:w w:val="120"/>
        </w:rPr>
        <w:t> </w:t>
      </w:r>
      <w:r>
        <w:rPr>
          <w:color w:val="231F20"/>
          <w:w w:val="120"/>
        </w:rPr>
        <w:t>des</w:t>
      </w:r>
      <w:r>
        <w:rPr>
          <w:color w:val="231F20"/>
          <w:spacing w:val="-12"/>
          <w:w w:val="120"/>
        </w:rPr>
        <w:t> </w:t>
      </w:r>
      <w:r>
        <w:rPr>
          <w:color w:val="231F20"/>
          <w:w w:val="120"/>
        </w:rPr>
        <w:t>motivations</w:t>
      </w:r>
      <w:r>
        <w:rPr>
          <w:color w:val="231F20"/>
          <w:spacing w:val="-13"/>
          <w:w w:val="120"/>
        </w:rPr>
        <w:t> </w:t>
      </w:r>
      <w:r>
        <w:rPr>
          <w:color w:val="231F20"/>
          <w:w w:val="120"/>
        </w:rPr>
        <w:t>d’autrui</w:t>
      </w:r>
      <w:r>
        <w:rPr>
          <w:color w:val="231F20"/>
          <w:spacing w:val="-13"/>
          <w:w w:val="120"/>
        </w:rPr>
        <w:t> </w:t>
      </w:r>
      <w:r>
        <w:rPr>
          <w:color w:val="231F20"/>
          <w:w w:val="120"/>
        </w:rPr>
        <w:t>les</w:t>
      </w:r>
      <w:r>
        <w:rPr>
          <w:color w:val="231F20"/>
          <w:spacing w:val="-13"/>
          <w:w w:val="120"/>
        </w:rPr>
        <w:t> </w:t>
      </w:r>
      <w:r>
        <w:rPr>
          <w:color w:val="231F20"/>
          <w:w w:val="120"/>
        </w:rPr>
        <w:t>rend</w:t>
      </w:r>
      <w:r>
        <w:rPr>
          <w:color w:val="231F20"/>
          <w:spacing w:val="-12"/>
          <w:w w:val="120"/>
        </w:rPr>
        <w:t> </w:t>
      </w:r>
      <w:r>
        <w:rPr>
          <w:color w:val="231F20"/>
          <w:w w:val="120"/>
        </w:rPr>
        <w:t>soupçonneux,</w:t>
      </w:r>
      <w:r>
        <w:rPr>
          <w:color w:val="231F20"/>
          <w:spacing w:val="-13"/>
          <w:w w:val="120"/>
        </w:rPr>
        <w:t> </w:t>
      </w:r>
      <w:r>
        <w:rPr>
          <w:color w:val="231F20"/>
          <w:w w:val="120"/>
        </w:rPr>
        <w:t>inami- caux</w:t>
      </w:r>
      <w:r>
        <w:rPr>
          <w:color w:val="231F20"/>
          <w:spacing w:val="-9"/>
          <w:w w:val="120"/>
        </w:rPr>
        <w:t> </w:t>
      </w:r>
      <w:r>
        <w:rPr>
          <w:color w:val="231F20"/>
          <w:w w:val="120"/>
        </w:rPr>
        <w:t>et</w:t>
      </w:r>
      <w:r>
        <w:rPr>
          <w:color w:val="231F20"/>
          <w:spacing w:val="-9"/>
          <w:w w:val="120"/>
        </w:rPr>
        <w:t> </w:t>
      </w:r>
      <w:r>
        <w:rPr>
          <w:color w:val="231F20"/>
          <w:w w:val="120"/>
        </w:rPr>
        <w:t>peu</w:t>
      </w:r>
      <w:r>
        <w:rPr>
          <w:color w:val="231F20"/>
          <w:spacing w:val="-9"/>
          <w:w w:val="120"/>
        </w:rPr>
        <w:t> </w:t>
      </w:r>
      <w:r>
        <w:rPr>
          <w:color w:val="231F20"/>
          <w:w w:val="120"/>
        </w:rPr>
        <w:t>coopératifs.</w:t>
      </w:r>
      <w:r>
        <w:rPr>
          <w:color w:val="231F20"/>
          <w:spacing w:val="-9"/>
          <w:w w:val="120"/>
        </w:rPr>
        <w:t> </w:t>
      </w:r>
      <w:r>
        <w:rPr>
          <w:color w:val="231F20"/>
          <w:w w:val="120"/>
        </w:rPr>
        <w:t>Il</w:t>
      </w:r>
      <w:r>
        <w:rPr>
          <w:color w:val="231F20"/>
          <w:spacing w:val="-9"/>
          <w:w w:val="120"/>
        </w:rPr>
        <w:t> </w:t>
      </w:r>
      <w:r>
        <w:rPr>
          <w:color w:val="231F20"/>
          <w:w w:val="120"/>
        </w:rPr>
        <w:t>va</w:t>
      </w:r>
      <w:r>
        <w:rPr>
          <w:color w:val="231F20"/>
          <w:spacing w:val="-9"/>
          <w:w w:val="120"/>
        </w:rPr>
        <w:t> </w:t>
      </w:r>
      <w:r>
        <w:rPr>
          <w:color w:val="231F20"/>
          <w:w w:val="120"/>
        </w:rPr>
        <w:t>sans</w:t>
      </w:r>
      <w:r>
        <w:rPr>
          <w:color w:val="231F20"/>
          <w:spacing w:val="-9"/>
          <w:w w:val="120"/>
        </w:rPr>
        <w:t> </w:t>
      </w:r>
      <w:r>
        <w:rPr>
          <w:color w:val="231F20"/>
          <w:w w:val="120"/>
        </w:rPr>
        <w:t>dire</w:t>
      </w:r>
      <w:r>
        <w:rPr>
          <w:color w:val="231F20"/>
          <w:spacing w:val="-9"/>
          <w:w w:val="120"/>
        </w:rPr>
        <w:t> </w:t>
      </w:r>
      <w:r>
        <w:rPr>
          <w:color w:val="231F20"/>
          <w:w w:val="120"/>
        </w:rPr>
        <w:t>que</w:t>
      </w:r>
      <w:r>
        <w:rPr>
          <w:color w:val="231F20"/>
          <w:spacing w:val="-9"/>
          <w:w w:val="120"/>
        </w:rPr>
        <w:t> </w:t>
      </w:r>
      <w:r>
        <w:rPr>
          <w:color w:val="231F20"/>
          <w:w w:val="120"/>
        </w:rPr>
        <w:t>l’agréabilité</w:t>
      </w:r>
      <w:r>
        <w:rPr>
          <w:color w:val="231F20"/>
          <w:spacing w:val="-9"/>
          <w:w w:val="120"/>
        </w:rPr>
        <w:t> </w:t>
      </w:r>
      <w:r>
        <w:rPr>
          <w:color w:val="231F20"/>
          <w:w w:val="120"/>
        </w:rPr>
        <w:t>est</w:t>
      </w:r>
      <w:r>
        <w:rPr>
          <w:color w:val="231F20"/>
          <w:spacing w:val="-9"/>
          <w:w w:val="120"/>
        </w:rPr>
        <w:t> </w:t>
      </w:r>
      <w:r>
        <w:rPr>
          <w:color w:val="231F20"/>
          <w:w w:val="120"/>
        </w:rPr>
        <w:t>un</w:t>
      </w:r>
      <w:r>
        <w:rPr>
          <w:color w:val="231F20"/>
          <w:spacing w:val="-9"/>
          <w:w w:val="120"/>
        </w:rPr>
        <w:t> </w:t>
      </w:r>
      <w:r>
        <w:rPr>
          <w:color w:val="231F20"/>
          <w:w w:val="120"/>
        </w:rPr>
        <w:t>avantage pour qui veut accroître et maintenir sa popularité. Les gens agréables étant effectivement plus appréciés que les désagréables. En revanche, l’agréabilité a peu d’utilité dans les situations qui exigent une prise de décision</w:t>
      </w:r>
      <w:r>
        <w:rPr>
          <w:color w:val="231F20"/>
          <w:spacing w:val="-13"/>
          <w:w w:val="120"/>
        </w:rPr>
        <w:t> </w:t>
      </w:r>
      <w:r>
        <w:rPr>
          <w:color w:val="231F20"/>
          <w:w w:val="120"/>
        </w:rPr>
        <w:t>objective,</w:t>
      </w:r>
      <w:r>
        <w:rPr>
          <w:color w:val="231F20"/>
          <w:spacing w:val="-13"/>
          <w:w w:val="120"/>
        </w:rPr>
        <w:t> </w:t>
      </w:r>
      <w:r>
        <w:rPr>
          <w:color w:val="231F20"/>
          <w:w w:val="120"/>
        </w:rPr>
        <w:t>difficile</w:t>
      </w:r>
      <w:r>
        <w:rPr>
          <w:color w:val="231F20"/>
          <w:spacing w:val="-13"/>
          <w:w w:val="120"/>
        </w:rPr>
        <w:t> </w:t>
      </w:r>
      <w:r>
        <w:rPr>
          <w:color w:val="231F20"/>
          <w:w w:val="120"/>
        </w:rPr>
        <w:t>ou</w:t>
      </w:r>
      <w:r>
        <w:rPr>
          <w:color w:val="231F20"/>
          <w:spacing w:val="-12"/>
          <w:w w:val="120"/>
        </w:rPr>
        <w:t> </w:t>
      </w:r>
      <w:r>
        <w:rPr>
          <w:color w:val="231F20"/>
          <w:w w:val="120"/>
        </w:rPr>
        <w:t>absolue.</w:t>
      </w:r>
      <w:r>
        <w:rPr>
          <w:color w:val="231F20"/>
          <w:spacing w:val="-13"/>
          <w:w w:val="120"/>
        </w:rPr>
        <w:t> </w:t>
      </w:r>
      <w:r>
        <w:rPr>
          <w:color w:val="231F20"/>
          <w:w w:val="120"/>
        </w:rPr>
        <w:t>Ce</w:t>
      </w:r>
      <w:r>
        <w:rPr>
          <w:color w:val="231F20"/>
          <w:spacing w:val="-13"/>
          <w:w w:val="120"/>
        </w:rPr>
        <w:t> </w:t>
      </w:r>
      <w:r>
        <w:rPr>
          <w:color w:val="231F20"/>
          <w:w w:val="120"/>
        </w:rPr>
        <w:t>facteur</w:t>
      </w:r>
      <w:r>
        <w:rPr>
          <w:color w:val="231F20"/>
          <w:spacing w:val="-13"/>
          <w:w w:val="120"/>
        </w:rPr>
        <w:t> </w:t>
      </w:r>
      <w:r>
        <w:rPr>
          <w:color w:val="231F20"/>
          <w:w w:val="120"/>
        </w:rPr>
        <w:t>de</w:t>
      </w:r>
      <w:r>
        <w:rPr>
          <w:color w:val="231F20"/>
          <w:spacing w:val="-12"/>
          <w:w w:val="120"/>
        </w:rPr>
        <w:t> </w:t>
      </w:r>
      <w:r>
        <w:rPr>
          <w:color w:val="231F20"/>
          <w:w w:val="120"/>
        </w:rPr>
        <w:t>personnalité</w:t>
      </w:r>
      <w:r>
        <w:rPr>
          <w:color w:val="231F20"/>
          <w:spacing w:val="-13"/>
          <w:w w:val="120"/>
        </w:rPr>
        <w:t> </w:t>
      </w:r>
      <w:r>
        <w:rPr>
          <w:color w:val="231F20"/>
          <w:w w:val="120"/>
        </w:rPr>
        <w:t>a</w:t>
      </w:r>
      <w:r>
        <w:rPr>
          <w:color w:val="231F20"/>
          <w:spacing w:val="-13"/>
          <w:w w:val="120"/>
        </w:rPr>
        <w:t> </w:t>
      </w:r>
      <w:r>
        <w:rPr>
          <w:color w:val="231F20"/>
          <w:w w:val="120"/>
        </w:rPr>
        <w:t>des effets</w:t>
      </w:r>
      <w:r>
        <w:rPr>
          <w:color w:val="231F20"/>
          <w:spacing w:val="-7"/>
          <w:w w:val="120"/>
        </w:rPr>
        <w:t> </w:t>
      </w:r>
      <w:r>
        <w:rPr>
          <w:color w:val="231F20"/>
          <w:w w:val="120"/>
        </w:rPr>
        <w:t>évidents,</w:t>
      </w:r>
      <w:r>
        <w:rPr>
          <w:color w:val="231F20"/>
          <w:spacing w:val="-7"/>
          <w:w w:val="120"/>
        </w:rPr>
        <w:t> </w:t>
      </w:r>
      <w:r>
        <w:rPr>
          <w:color w:val="231F20"/>
          <w:w w:val="120"/>
        </w:rPr>
        <w:t>tant</w:t>
      </w:r>
      <w:r>
        <w:rPr>
          <w:color w:val="231F20"/>
          <w:spacing w:val="-7"/>
          <w:w w:val="120"/>
        </w:rPr>
        <w:t> </w:t>
      </w:r>
      <w:r>
        <w:rPr>
          <w:color w:val="231F20"/>
          <w:w w:val="120"/>
        </w:rPr>
        <w:t>sur</w:t>
      </w:r>
      <w:r>
        <w:rPr>
          <w:color w:val="231F20"/>
          <w:spacing w:val="-7"/>
          <w:w w:val="120"/>
        </w:rPr>
        <w:t> </w:t>
      </w:r>
      <w:r>
        <w:rPr>
          <w:color w:val="231F20"/>
          <w:w w:val="120"/>
        </w:rPr>
        <w:t>la</w:t>
      </w:r>
      <w:r>
        <w:rPr>
          <w:color w:val="231F20"/>
          <w:spacing w:val="-7"/>
          <w:w w:val="120"/>
        </w:rPr>
        <w:t> </w:t>
      </w:r>
      <w:r>
        <w:rPr>
          <w:color w:val="231F20"/>
          <w:w w:val="120"/>
        </w:rPr>
        <w:t>perception</w:t>
      </w:r>
      <w:r>
        <w:rPr>
          <w:color w:val="231F20"/>
          <w:spacing w:val="-7"/>
          <w:w w:val="120"/>
        </w:rPr>
        <w:t> </w:t>
      </w:r>
      <w:r>
        <w:rPr>
          <w:color w:val="231F20"/>
          <w:w w:val="120"/>
        </w:rPr>
        <w:t>que</w:t>
      </w:r>
      <w:r>
        <w:rPr>
          <w:color w:val="231F20"/>
          <w:spacing w:val="-7"/>
          <w:w w:val="120"/>
        </w:rPr>
        <w:t> </w:t>
      </w:r>
      <w:r>
        <w:rPr>
          <w:color w:val="231F20"/>
          <w:w w:val="120"/>
        </w:rPr>
        <w:t>sur</w:t>
      </w:r>
      <w:r>
        <w:rPr>
          <w:color w:val="231F20"/>
          <w:spacing w:val="-7"/>
          <w:w w:val="120"/>
        </w:rPr>
        <w:t> </w:t>
      </w:r>
      <w:r>
        <w:rPr>
          <w:color w:val="231F20"/>
          <w:w w:val="120"/>
        </w:rPr>
        <w:t>l’adaptation</w:t>
      </w:r>
      <w:r>
        <w:rPr>
          <w:color w:val="231F20"/>
          <w:spacing w:val="-7"/>
          <w:w w:val="120"/>
        </w:rPr>
        <w:t> </w:t>
      </w:r>
      <w:r>
        <w:rPr>
          <w:color w:val="231F20"/>
          <w:w w:val="120"/>
        </w:rPr>
        <w:t>au</w:t>
      </w:r>
      <w:r>
        <w:rPr>
          <w:color w:val="231F20"/>
          <w:spacing w:val="-7"/>
          <w:w w:val="120"/>
        </w:rPr>
        <w:t> </w:t>
      </w:r>
      <w:r>
        <w:rPr>
          <w:color w:val="231F20"/>
          <w:w w:val="120"/>
        </w:rPr>
        <w:t>stress.</w:t>
      </w:r>
      <w:r>
        <w:rPr>
          <w:color w:val="231F20"/>
          <w:spacing w:val="-7"/>
          <w:w w:val="120"/>
        </w:rPr>
        <w:t> </w:t>
      </w:r>
      <w:r>
        <w:rPr>
          <w:color w:val="231F20"/>
          <w:w w:val="120"/>
        </w:rPr>
        <w:t>Par leur caractère optimiste ainsi que par les liens qu’ils tissent avec les </w:t>
      </w:r>
      <w:r>
        <w:rPr>
          <w:color w:val="231F20"/>
          <w:spacing w:val="-4"/>
          <w:w w:val="120"/>
        </w:rPr>
        <w:t>autres, les personnes détenant un facteur de personnalité lié à l’agréabilité </w:t>
      </w:r>
      <w:r>
        <w:rPr>
          <w:color w:val="231F20"/>
          <w:w w:val="120"/>
        </w:rPr>
        <w:t>perçoivent</w:t>
      </w:r>
      <w:r>
        <w:rPr>
          <w:color w:val="231F20"/>
          <w:spacing w:val="-13"/>
          <w:w w:val="120"/>
        </w:rPr>
        <w:t> </w:t>
      </w:r>
      <w:r>
        <w:rPr>
          <w:color w:val="231F20"/>
          <w:w w:val="120"/>
        </w:rPr>
        <w:t>généralement</w:t>
      </w:r>
      <w:r>
        <w:rPr>
          <w:color w:val="231F20"/>
          <w:spacing w:val="-13"/>
          <w:w w:val="120"/>
        </w:rPr>
        <w:t> </w:t>
      </w:r>
      <w:r>
        <w:rPr>
          <w:color w:val="231F20"/>
          <w:w w:val="120"/>
        </w:rPr>
        <w:t>moins</w:t>
      </w:r>
      <w:r>
        <w:rPr>
          <w:color w:val="231F20"/>
          <w:spacing w:val="-13"/>
          <w:w w:val="120"/>
        </w:rPr>
        <w:t> </w:t>
      </w:r>
      <w:r>
        <w:rPr>
          <w:color w:val="231F20"/>
          <w:w w:val="120"/>
        </w:rPr>
        <w:t>de</w:t>
      </w:r>
      <w:r>
        <w:rPr>
          <w:color w:val="231F20"/>
          <w:spacing w:val="-12"/>
          <w:w w:val="120"/>
        </w:rPr>
        <w:t> </w:t>
      </w:r>
      <w:r>
        <w:rPr>
          <w:color w:val="231F20"/>
          <w:w w:val="120"/>
        </w:rPr>
        <w:t>stress</w:t>
      </w:r>
      <w:r>
        <w:rPr>
          <w:color w:val="231F20"/>
          <w:spacing w:val="-13"/>
          <w:w w:val="120"/>
        </w:rPr>
        <w:t> </w:t>
      </w:r>
      <w:r>
        <w:rPr>
          <w:color w:val="231F20"/>
          <w:w w:val="120"/>
        </w:rPr>
        <w:t>et</w:t>
      </w:r>
      <w:r>
        <w:rPr>
          <w:color w:val="231F20"/>
          <w:spacing w:val="-13"/>
          <w:w w:val="120"/>
        </w:rPr>
        <w:t> </w:t>
      </w:r>
      <w:r>
        <w:rPr>
          <w:color w:val="231F20"/>
          <w:w w:val="120"/>
        </w:rPr>
        <w:t>ont</w:t>
      </w:r>
      <w:r>
        <w:rPr>
          <w:color w:val="231F20"/>
          <w:spacing w:val="-13"/>
          <w:w w:val="120"/>
        </w:rPr>
        <w:t> </w:t>
      </w:r>
      <w:r>
        <w:rPr>
          <w:color w:val="231F20"/>
          <w:w w:val="120"/>
        </w:rPr>
        <w:t>davantage</w:t>
      </w:r>
      <w:r>
        <w:rPr>
          <w:color w:val="231F20"/>
          <w:spacing w:val="-12"/>
          <w:w w:val="120"/>
        </w:rPr>
        <w:t> </w:t>
      </w:r>
      <w:r>
        <w:rPr>
          <w:color w:val="231F20"/>
          <w:w w:val="120"/>
        </w:rPr>
        <w:t>de</w:t>
      </w:r>
      <w:r>
        <w:rPr>
          <w:color w:val="231F20"/>
          <w:spacing w:val="-13"/>
          <w:w w:val="120"/>
        </w:rPr>
        <w:t> </w:t>
      </w:r>
      <w:r>
        <w:rPr>
          <w:color w:val="231F20"/>
          <w:w w:val="120"/>
        </w:rPr>
        <w:t>ressources pour s’y adapter.</w:t>
      </w:r>
    </w:p>
    <w:p>
      <w:pPr>
        <w:pStyle w:val="BodyText"/>
        <w:spacing w:before="4"/>
        <w:rPr>
          <w:sz w:val="21"/>
        </w:rPr>
      </w:pPr>
    </w:p>
    <w:p>
      <w:pPr>
        <w:pStyle w:val="BodyText"/>
        <w:spacing w:line="307" w:lineRule="auto"/>
        <w:ind w:left="1220" w:right="103"/>
        <w:jc w:val="both"/>
      </w:pPr>
      <w:r>
        <w:rPr>
          <w:b/>
          <w:color w:val="231F20"/>
          <w:w w:val="120"/>
        </w:rPr>
        <w:t>Stabilité</w:t>
      </w:r>
      <w:r>
        <w:rPr>
          <w:b/>
          <w:color w:val="231F20"/>
          <w:spacing w:val="-6"/>
          <w:w w:val="120"/>
        </w:rPr>
        <w:t> </w:t>
      </w:r>
      <w:r>
        <w:rPr>
          <w:b/>
          <w:color w:val="231F20"/>
          <w:w w:val="120"/>
        </w:rPr>
        <w:t>émotionnelle</w:t>
      </w:r>
      <w:r>
        <w:rPr>
          <w:b/>
          <w:color w:val="231F20"/>
          <w:spacing w:val="-6"/>
          <w:w w:val="120"/>
        </w:rPr>
        <w:t> </w:t>
      </w:r>
      <w:r>
        <w:rPr>
          <w:rFonts w:ascii="Arial-BoldItalicMT" w:hAnsi="Arial-BoldItalicMT"/>
          <w:b/>
          <w:i/>
          <w:color w:val="231F20"/>
          <w:w w:val="120"/>
        </w:rPr>
        <w:t>vs</w:t>
      </w:r>
      <w:r>
        <w:rPr>
          <w:rFonts w:ascii="Arial-BoldItalicMT" w:hAnsi="Arial-BoldItalicMT"/>
          <w:b/>
          <w:i/>
          <w:color w:val="231F20"/>
          <w:spacing w:val="-12"/>
          <w:w w:val="120"/>
        </w:rPr>
        <w:t> </w:t>
      </w:r>
      <w:r>
        <w:rPr>
          <w:b/>
          <w:color w:val="231F20"/>
          <w:w w:val="120"/>
        </w:rPr>
        <w:t>névrosisme</w:t>
      </w:r>
      <w:r>
        <w:rPr>
          <w:color w:val="231F20"/>
          <w:w w:val="120"/>
        </w:rPr>
        <w:t>.</w:t>
      </w:r>
      <w:r>
        <w:rPr>
          <w:color w:val="231F20"/>
          <w:spacing w:val="-2"/>
          <w:w w:val="120"/>
        </w:rPr>
        <w:t> </w:t>
      </w:r>
      <w:r>
        <w:rPr>
          <w:color w:val="231F20"/>
          <w:w w:val="120"/>
        </w:rPr>
        <w:t>Le</w:t>
      </w:r>
      <w:r>
        <w:rPr>
          <w:color w:val="231F20"/>
          <w:spacing w:val="-2"/>
          <w:w w:val="120"/>
        </w:rPr>
        <w:t> </w:t>
      </w:r>
      <w:r>
        <w:rPr>
          <w:color w:val="231F20"/>
          <w:w w:val="120"/>
        </w:rPr>
        <w:t>névrosisme</w:t>
      </w:r>
      <w:r>
        <w:rPr>
          <w:color w:val="231F20"/>
          <w:spacing w:val="-2"/>
          <w:w w:val="120"/>
        </w:rPr>
        <w:t> </w:t>
      </w:r>
      <w:r>
        <w:rPr>
          <w:color w:val="231F20"/>
          <w:w w:val="120"/>
        </w:rPr>
        <w:t>est</w:t>
      </w:r>
      <w:r>
        <w:rPr>
          <w:color w:val="231F20"/>
          <w:spacing w:val="-2"/>
          <w:w w:val="120"/>
        </w:rPr>
        <w:t> </w:t>
      </w:r>
      <w:r>
        <w:rPr>
          <w:color w:val="231F20"/>
          <w:w w:val="120"/>
        </w:rPr>
        <w:t>la</w:t>
      </w:r>
      <w:r>
        <w:rPr>
          <w:color w:val="231F20"/>
          <w:spacing w:val="-2"/>
          <w:w w:val="120"/>
        </w:rPr>
        <w:t> </w:t>
      </w:r>
      <w:r>
        <w:rPr>
          <w:color w:val="231F20"/>
          <w:w w:val="120"/>
        </w:rPr>
        <w:t>tendance à ressentir facilement des émotions désagréables ou des sentiments négatifs</w:t>
      </w:r>
      <w:r>
        <w:rPr>
          <w:color w:val="231F20"/>
          <w:spacing w:val="-13"/>
          <w:w w:val="120"/>
        </w:rPr>
        <w:t> </w:t>
      </w:r>
      <w:r>
        <w:rPr>
          <w:color w:val="231F20"/>
          <w:w w:val="120"/>
        </w:rPr>
        <w:t>tels</w:t>
      </w:r>
      <w:r>
        <w:rPr>
          <w:color w:val="231F20"/>
          <w:spacing w:val="-13"/>
          <w:w w:val="120"/>
        </w:rPr>
        <w:t> </w:t>
      </w:r>
      <w:r>
        <w:rPr>
          <w:color w:val="231F20"/>
          <w:w w:val="120"/>
        </w:rPr>
        <w:t>que</w:t>
      </w:r>
      <w:r>
        <w:rPr>
          <w:color w:val="231F20"/>
          <w:spacing w:val="-13"/>
          <w:w w:val="120"/>
        </w:rPr>
        <w:t> </w:t>
      </w:r>
      <w:r>
        <w:rPr>
          <w:color w:val="231F20"/>
          <w:w w:val="120"/>
        </w:rPr>
        <w:t>l’anxiété,</w:t>
      </w:r>
      <w:r>
        <w:rPr>
          <w:color w:val="231F20"/>
          <w:spacing w:val="-12"/>
          <w:w w:val="120"/>
        </w:rPr>
        <w:t> </w:t>
      </w:r>
      <w:r>
        <w:rPr>
          <w:color w:val="231F20"/>
          <w:w w:val="120"/>
        </w:rPr>
        <w:t>la</w:t>
      </w:r>
      <w:r>
        <w:rPr>
          <w:color w:val="231F20"/>
          <w:spacing w:val="-13"/>
          <w:w w:val="120"/>
        </w:rPr>
        <w:t> </w:t>
      </w:r>
      <w:r>
        <w:rPr>
          <w:color w:val="231F20"/>
          <w:w w:val="120"/>
        </w:rPr>
        <w:t>colère</w:t>
      </w:r>
      <w:r>
        <w:rPr>
          <w:color w:val="231F20"/>
          <w:spacing w:val="-13"/>
          <w:w w:val="120"/>
        </w:rPr>
        <w:t> </w:t>
      </w:r>
      <w:r>
        <w:rPr>
          <w:color w:val="231F20"/>
          <w:w w:val="120"/>
        </w:rPr>
        <w:t>ou</w:t>
      </w:r>
      <w:r>
        <w:rPr>
          <w:color w:val="231F20"/>
          <w:spacing w:val="-13"/>
          <w:w w:val="120"/>
        </w:rPr>
        <w:t> </w:t>
      </w:r>
      <w:r>
        <w:rPr>
          <w:color w:val="231F20"/>
          <w:w w:val="120"/>
        </w:rPr>
        <w:t>la</w:t>
      </w:r>
      <w:r>
        <w:rPr>
          <w:color w:val="231F20"/>
          <w:spacing w:val="-12"/>
          <w:w w:val="120"/>
        </w:rPr>
        <w:t> </w:t>
      </w:r>
      <w:r>
        <w:rPr>
          <w:color w:val="231F20"/>
          <w:w w:val="120"/>
        </w:rPr>
        <w:t>dépression.</w:t>
      </w:r>
      <w:r>
        <w:rPr>
          <w:color w:val="231F20"/>
          <w:spacing w:val="-13"/>
          <w:w w:val="120"/>
        </w:rPr>
        <w:t> </w:t>
      </w:r>
      <w:r>
        <w:rPr>
          <w:color w:val="231F20"/>
          <w:w w:val="120"/>
        </w:rPr>
        <w:t>Un</w:t>
      </w:r>
      <w:r>
        <w:rPr>
          <w:color w:val="231F20"/>
          <w:spacing w:val="-13"/>
          <w:w w:val="120"/>
        </w:rPr>
        <w:t> </w:t>
      </w:r>
      <w:r>
        <w:rPr>
          <w:color w:val="231F20"/>
          <w:w w:val="120"/>
        </w:rPr>
        <w:t>score</w:t>
      </w:r>
      <w:r>
        <w:rPr>
          <w:color w:val="231F20"/>
          <w:spacing w:val="-13"/>
          <w:w w:val="120"/>
        </w:rPr>
        <w:t> </w:t>
      </w:r>
      <w:r>
        <w:rPr>
          <w:color w:val="231F20"/>
          <w:w w:val="120"/>
        </w:rPr>
        <w:t>élevé</w:t>
      </w:r>
      <w:r>
        <w:rPr>
          <w:color w:val="231F20"/>
          <w:spacing w:val="-12"/>
          <w:w w:val="120"/>
        </w:rPr>
        <w:t> </w:t>
      </w:r>
      <w:r>
        <w:rPr>
          <w:color w:val="231F20"/>
          <w:w w:val="120"/>
        </w:rPr>
        <w:t>sur ce</w:t>
      </w:r>
      <w:r>
        <w:rPr>
          <w:color w:val="231F20"/>
          <w:spacing w:val="-12"/>
          <w:w w:val="120"/>
        </w:rPr>
        <w:t> </w:t>
      </w:r>
      <w:r>
        <w:rPr>
          <w:color w:val="231F20"/>
          <w:w w:val="120"/>
        </w:rPr>
        <w:t>facteur</w:t>
      </w:r>
      <w:r>
        <w:rPr>
          <w:color w:val="231F20"/>
          <w:spacing w:val="-12"/>
          <w:w w:val="120"/>
        </w:rPr>
        <w:t> </w:t>
      </w:r>
      <w:r>
        <w:rPr>
          <w:color w:val="231F20"/>
          <w:w w:val="120"/>
        </w:rPr>
        <w:t>est</w:t>
      </w:r>
      <w:r>
        <w:rPr>
          <w:color w:val="231F20"/>
          <w:spacing w:val="-12"/>
          <w:w w:val="120"/>
        </w:rPr>
        <w:t> </w:t>
      </w:r>
      <w:r>
        <w:rPr>
          <w:color w:val="231F20"/>
          <w:w w:val="120"/>
        </w:rPr>
        <w:t>associé</w:t>
      </w:r>
      <w:r>
        <w:rPr>
          <w:color w:val="231F20"/>
          <w:spacing w:val="-12"/>
          <w:w w:val="120"/>
        </w:rPr>
        <w:t> </w:t>
      </w:r>
      <w:r>
        <w:rPr>
          <w:color w:val="231F20"/>
          <w:w w:val="120"/>
        </w:rPr>
        <w:t>à</w:t>
      </w:r>
      <w:r>
        <w:rPr>
          <w:color w:val="231F20"/>
          <w:spacing w:val="-12"/>
          <w:w w:val="120"/>
        </w:rPr>
        <w:t> </w:t>
      </w:r>
      <w:r>
        <w:rPr>
          <w:color w:val="231F20"/>
          <w:w w:val="120"/>
        </w:rPr>
        <w:t>des</w:t>
      </w:r>
      <w:r>
        <w:rPr>
          <w:color w:val="231F20"/>
          <w:spacing w:val="-12"/>
          <w:w w:val="120"/>
        </w:rPr>
        <w:t> </w:t>
      </w:r>
      <w:r>
        <w:rPr>
          <w:color w:val="231F20"/>
          <w:w w:val="120"/>
        </w:rPr>
        <w:t>réactions</w:t>
      </w:r>
      <w:r>
        <w:rPr>
          <w:color w:val="231F20"/>
          <w:spacing w:val="-12"/>
          <w:w w:val="120"/>
        </w:rPr>
        <w:t> </w:t>
      </w:r>
      <w:r>
        <w:rPr>
          <w:color w:val="231F20"/>
          <w:w w:val="120"/>
        </w:rPr>
        <w:t>émotionnelles</w:t>
      </w:r>
      <w:r>
        <w:rPr>
          <w:color w:val="231F20"/>
          <w:spacing w:val="-12"/>
          <w:w w:val="120"/>
        </w:rPr>
        <w:t> </w:t>
      </w:r>
      <w:r>
        <w:rPr>
          <w:color w:val="231F20"/>
          <w:w w:val="120"/>
        </w:rPr>
        <w:t>aux</w:t>
      </w:r>
      <w:r>
        <w:rPr>
          <w:color w:val="231F20"/>
          <w:spacing w:val="-12"/>
          <w:w w:val="120"/>
        </w:rPr>
        <w:t> </w:t>
      </w:r>
      <w:r>
        <w:rPr>
          <w:color w:val="231F20"/>
          <w:w w:val="120"/>
        </w:rPr>
        <w:t>événements</w:t>
      </w:r>
      <w:r>
        <w:rPr>
          <w:color w:val="231F20"/>
          <w:spacing w:val="-12"/>
          <w:w w:val="120"/>
        </w:rPr>
        <w:t> </w:t>
      </w:r>
      <w:r>
        <w:rPr>
          <w:color w:val="231F20"/>
          <w:w w:val="120"/>
        </w:rPr>
        <w:t>qui laisseraient la plupart des gens indifférents; en général, ces personnes tendent</w:t>
      </w:r>
      <w:r>
        <w:rPr>
          <w:color w:val="231F20"/>
          <w:spacing w:val="-10"/>
          <w:w w:val="120"/>
        </w:rPr>
        <w:t> </w:t>
      </w:r>
      <w:r>
        <w:rPr>
          <w:color w:val="231F20"/>
          <w:w w:val="120"/>
        </w:rPr>
        <w:t>à</w:t>
      </w:r>
      <w:r>
        <w:rPr>
          <w:color w:val="231F20"/>
          <w:spacing w:val="-10"/>
          <w:w w:val="120"/>
        </w:rPr>
        <w:t> </w:t>
      </w:r>
      <w:r>
        <w:rPr>
          <w:color w:val="231F20"/>
          <w:w w:val="120"/>
        </w:rPr>
        <w:t>réagir</w:t>
      </w:r>
      <w:r>
        <w:rPr>
          <w:color w:val="231F20"/>
          <w:spacing w:val="-10"/>
          <w:w w:val="120"/>
        </w:rPr>
        <w:t> </w:t>
      </w:r>
      <w:r>
        <w:rPr>
          <w:color w:val="231F20"/>
          <w:w w:val="120"/>
        </w:rPr>
        <w:t>avec</w:t>
      </w:r>
      <w:r>
        <w:rPr>
          <w:color w:val="231F20"/>
          <w:spacing w:val="-10"/>
          <w:w w:val="120"/>
        </w:rPr>
        <w:t> </w:t>
      </w:r>
      <w:r>
        <w:rPr>
          <w:color w:val="231F20"/>
          <w:w w:val="120"/>
        </w:rPr>
        <w:t>une</w:t>
      </w:r>
      <w:r>
        <w:rPr>
          <w:color w:val="231F20"/>
          <w:spacing w:val="-10"/>
          <w:w w:val="120"/>
        </w:rPr>
        <w:t> </w:t>
      </w:r>
      <w:r>
        <w:rPr>
          <w:color w:val="231F20"/>
          <w:w w:val="120"/>
        </w:rPr>
        <w:t>intensité</w:t>
      </w:r>
      <w:r>
        <w:rPr>
          <w:color w:val="231F20"/>
          <w:spacing w:val="-10"/>
          <w:w w:val="120"/>
        </w:rPr>
        <w:t> </w:t>
      </w:r>
      <w:r>
        <w:rPr>
          <w:color w:val="231F20"/>
          <w:w w:val="120"/>
        </w:rPr>
        <w:t>supérieure</w:t>
      </w:r>
      <w:r>
        <w:rPr>
          <w:color w:val="231F20"/>
          <w:spacing w:val="-10"/>
          <w:w w:val="120"/>
        </w:rPr>
        <w:t> </w:t>
      </w:r>
      <w:r>
        <w:rPr>
          <w:color w:val="231F20"/>
          <w:w w:val="120"/>
        </w:rPr>
        <w:t>à</w:t>
      </w:r>
      <w:r>
        <w:rPr>
          <w:color w:val="231F20"/>
          <w:spacing w:val="-10"/>
          <w:w w:val="120"/>
        </w:rPr>
        <w:t> </w:t>
      </w:r>
      <w:r>
        <w:rPr>
          <w:color w:val="231F20"/>
          <w:w w:val="120"/>
        </w:rPr>
        <w:t>la</w:t>
      </w:r>
      <w:r>
        <w:rPr>
          <w:color w:val="231F20"/>
          <w:spacing w:val="-10"/>
          <w:w w:val="120"/>
        </w:rPr>
        <w:t> </w:t>
      </w:r>
      <w:r>
        <w:rPr>
          <w:color w:val="231F20"/>
          <w:w w:val="120"/>
        </w:rPr>
        <w:t>normale.</w:t>
      </w:r>
      <w:r>
        <w:rPr>
          <w:color w:val="231F20"/>
          <w:spacing w:val="-10"/>
          <w:w w:val="120"/>
        </w:rPr>
        <w:t> </w:t>
      </w:r>
      <w:r>
        <w:rPr>
          <w:color w:val="231F20"/>
          <w:w w:val="120"/>
        </w:rPr>
        <w:t>Ils</w:t>
      </w:r>
      <w:r>
        <w:rPr>
          <w:color w:val="231F20"/>
          <w:spacing w:val="-10"/>
          <w:w w:val="120"/>
        </w:rPr>
        <w:t> </w:t>
      </w:r>
      <w:r>
        <w:rPr>
          <w:color w:val="231F20"/>
          <w:w w:val="120"/>
        </w:rPr>
        <w:t>sont</w:t>
      </w:r>
      <w:r>
        <w:rPr>
          <w:color w:val="231F20"/>
          <w:spacing w:val="-10"/>
          <w:w w:val="120"/>
        </w:rPr>
        <w:t> </w:t>
      </w:r>
      <w:r>
        <w:rPr>
          <w:color w:val="231F20"/>
          <w:w w:val="120"/>
        </w:rPr>
        <w:t>plus </w:t>
      </w:r>
      <w:r>
        <w:rPr>
          <w:color w:val="231F20"/>
          <w:spacing w:val="-2"/>
          <w:w w:val="120"/>
        </w:rPr>
        <w:t>susceptibles</w:t>
      </w:r>
      <w:r>
        <w:rPr>
          <w:color w:val="231F20"/>
          <w:spacing w:val="-8"/>
          <w:w w:val="120"/>
        </w:rPr>
        <w:t> </w:t>
      </w:r>
      <w:r>
        <w:rPr>
          <w:color w:val="231F20"/>
          <w:spacing w:val="-2"/>
          <w:w w:val="120"/>
        </w:rPr>
        <w:t>que</w:t>
      </w:r>
      <w:r>
        <w:rPr>
          <w:color w:val="231F20"/>
          <w:spacing w:val="-8"/>
          <w:w w:val="120"/>
        </w:rPr>
        <w:t> </w:t>
      </w:r>
      <w:r>
        <w:rPr>
          <w:color w:val="231F20"/>
          <w:spacing w:val="-2"/>
          <w:w w:val="120"/>
        </w:rPr>
        <w:t>la</w:t>
      </w:r>
      <w:r>
        <w:rPr>
          <w:color w:val="231F20"/>
          <w:spacing w:val="-8"/>
          <w:w w:val="120"/>
        </w:rPr>
        <w:t> </w:t>
      </w:r>
      <w:r>
        <w:rPr>
          <w:color w:val="231F20"/>
          <w:spacing w:val="-2"/>
          <w:w w:val="120"/>
        </w:rPr>
        <w:t>moyenne</w:t>
      </w:r>
      <w:r>
        <w:rPr>
          <w:color w:val="231F20"/>
          <w:spacing w:val="-8"/>
          <w:w w:val="120"/>
        </w:rPr>
        <w:t> </w:t>
      </w:r>
      <w:r>
        <w:rPr>
          <w:color w:val="231F20"/>
          <w:spacing w:val="-2"/>
          <w:w w:val="120"/>
        </w:rPr>
        <w:t>à</w:t>
      </w:r>
      <w:r>
        <w:rPr>
          <w:color w:val="231F20"/>
          <w:spacing w:val="-8"/>
          <w:w w:val="120"/>
        </w:rPr>
        <w:t> </w:t>
      </w:r>
      <w:r>
        <w:rPr>
          <w:color w:val="231F20"/>
          <w:spacing w:val="-2"/>
          <w:w w:val="120"/>
        </w:rPr>
        <w:t>interpréter</w:t>
      </w:r>
      <w:r>
        <w:rPr>
          <w:color w:val="231F20"/>
          <w:spacing w:val="-8"/>
          <w:w w:val="120"/>
        </w:rPr>
        <w:t> </w:t>
      </w:r>
      <w:r>
        <w:rPr>
          <w:color w:val="231F20"/>
          <w:spacing w:val="-2"/>
          <w:w w:val="120"/>
        </w:rPr>
        <w:t>une</w:t>
      </w:r>
      <w:r>
        <w:rPr>
          <w:color w:val="231F20"/>
          <w:spacing w:val="-8"/>
          <w:w w:val="120"/>
        </w:rPr>
        <w:t> </w:t>
      </w:r>
      <w:r>
        <w:rPr>
          <w:color w:val="231F20"/>
          <w:spacing w:val="-2"/>
          <w:w w:val="120"/>
        </w:rPr>
        <w:t>situation</w:t>
      </w:r>
      <w:r>
        <w:rPr>
          <w:color w:val="231F20"/>
          <w:spacing w:val="-8"/>
          <w:w w:val="120"/>
        </w:rPr>
        <w:t> </w:t>
      </w:r>
      <w:r>
        <w:rPr>
          <w:color w:val="231F20"/>
          <w:spacing w:val="-2"/>
          <w:w w:val="120"/>
        </w:rPr>
        <w:t>ordinaire</w:t>
      </w:r>
      <w:r>
        <w:rPr>
          <w:color w:val="231F20"/>
          <w:spacing w:val="-8"/>
          <w:w w:val="120"/>
        </w:rPr>
        <w:t> </w:t>
      </w:r>
      <w:r>
        <w:rPr>
          <w:color w:val="231F20"/>
          <w:spacing w:val="-2"/>
          <w:w w:val="120"/>
        </w:rPr>
        <w:t>comme </w:t>
      </w:r>
      <w:r>
        <w:rPr>
          <w:color w:val="231F20"/>
          <w:w w:val="120"/>
        </w:rPr>
        <w:t>une menace et une frustration bénigne comme une difficulté désespé- rante.</w:t>
      </w:r>
      <w:r>
        <w:rPr>
          <w:color w:val="231F20"/>
          <w:spacing w:val="-2"/>
          <w:w w:val="120"/>
        </w:rPr>
        <w:t> </w:t>
      </w:r>
      <w:r>
        <w:rPr>
          <w:color w:val="231F20"/>
          <w:w w:val="120"/>
        </w:rPr>
        <w:t>Leurs</w:t>
      </w:r>
      <w:r>
        <w:rPr>
          <w:color w:val="231F20"/>
          <w:spacing w:val="-2"/>
          <w:w w:val="120"/>
        </w:rPr>
        <w:t> </w:t>
      </w:r>
      <w:r>
        <w:rPr>
          <w:color w:val="231F20"/>
          <w:w w:val="120"/>
        </w:rPr>
        <w:t>réactions</w:t>
      </w:r>
      <w:r>
        <w:rPr>
          <w:color w:val="231F20"/>
          <w:spacing w:val="-2"/>
          <w:w w:val="120"/>
        </w:rPr>
        <w:t> </w:t>
      </w:r>
      <w:r>
        <w:rPr>
          <w:color w:val="231F20"/>
          <w:w w:val="120"/>
        </w:rPr>
        <w:t>émotionnelles</w:t>
      </w:r>
      <w:r>
        <w:rPr>
          <w:color w:val="231F20"/>
          <w:spacing w:val="-2"/>
          <w:w w:val="120"/>
        </w:rPr>
        <w:t> </w:t>
      </w:r>
      <w:r>
        <w:rPr>
          <w:color w:val="231F20"/>
          <w:w w:val="120"/>
        </w:rPr>
        <w:t>négatives</w:t>
      </w:r>
      <w:r>
        <w:rPr>
          <w:color w:val="231F20"/>
          <w:spacing w:val="-2"/>
          <w:w w:val="120"/>
        </w:rPr>
        <w:t> </w:t>
      </w:r>
      <w:r>
        <w:rPr>
          <w:color w:val="231F20"/>
          <w:w w:val="120"/>
        </w:rPr>
        <w:t>tendent</w:t>
      </w:r>
      <w:r>
        <w:rPr>
          <w:color w:val="231F20"/>
          <w:spacing w:val="-2"/>
          <w:w w:val="120"/>
        </w:rPr>
        <w:t> </w:t>
      </w:r>
      <w:r>
        <w:rPr>
          <w:color w:val="231F20"/>
          <w:w w:val="120"/>
        </w:rPr>
        <w:t>à</w:t>
      </w:r>
      <w:r>
        <w:rPr>
          <w:color w:val="231F20"/>
          <w:spacing w:val="-2"/>
          <w:w w:val="120"/>
        </w:rPr>
        <w:t> </w:t>
      </w:r>
      <w:r>
        <w:rPr>
          <w:color w:val="231F20"/>
          <w:w w:val="120"/>
        </w:rPr>
        <w:t>persister</w:t>
      </w:r>
      <w:r>
        <w:rPr>
          <w:color w:val="231F20"/>
          <w:spacing w:val="-2"/>
          <w:w w:val="120"/>
        </w:rPr>
        <w:t> </w:t>
      </w:r>
      <w:r>
        <w:rPr>
          <w:color w:val="231F20"/>
          <w:w w:val="120"/>
        </w:rPr>
        <w:t>pen- dant une période anormalement longue, ce qui veut dire qu’ils sont </w:t>
      </w:r>
      <w:r>
        <w:rPr>
          <w:color w:val="231F20"/>
          <w:spacing w:val="-2"/>
          <w:w w:val="120"/>
        </w:rPr>
        <w:t>souvent</w:t>
      </w:r>
      <w:r>
        <w:rPr>
          <w:color w:val="231F20"/>
          <w:spacing w:val="-11"/>
          <w:w w:val="120"/>
        </w:rPr>
        <w:t> </w:t>
      </w:r>
      <w:r>
        <w:rPr>
          <w:color w:val="231F20"/>
          <w:spacing w:val="-2"/>
          <w:w w:val="120"/>
        </w:rPr>
        <w:t>de</w:t>
      </w:r>
      <w:r>
        <w:rPr>
          <w:color w:val="231F20"/>
          <w:spacing w:val="-10"/>
          <w:w w:val="120"/>
        </w:rPr>
        <w:t> </w:t>
      </w:r>
      <w:r>
        <w:rPr>
          <w:color w:val="231F20"/>
          <w:spacing w:val="-2"/>
          <w:w w:val="120"/>
        </w:rPr>
        <w:t>mauvaise</w:t>
      </w:r>
      <w:r>
        <w:rPr>
          <w:color w:val="231F20"/>
          <w:spacing w:val="-11"/>
          <w:w w:val="120"/>
        </w:rPr>
        <w:t> </w:t>
      </w:r>
      <w:r>
        <w:rPr>
          <w:color w:val="231F20"/>
          <w:spacing w:val="-2"/>
          <w:w w:val="120"/>
        </w:rPr>
        <w:t>humeur.</w:t>
      </w:r>
      <w:r>
        <w:rPr>
          <w:color w:val="231F20"/>
          <w:spacing w:val="-10"/>
          <w:w w:val="120"/>
        </w:rPr>
        <w:t> </w:t>
      </w:r>
      <w:r>
        <w:rPr>
          <w:color w:val="231F20"/>
          <w:spacing w:val="-2"/>
          <w:w w:val="120"/>
        </w:rPr>
        <w:t>Ces</w:t>
      </w:r>
      <w:r>
        <w:rPr>
          <w:color w:val="231F20"/>
          <w:spacing w:val="-11"/>
          <w:w w:val="120"/>
        </w:rPr>
        <w:t> </w:t>
      </w:r>
      <w:r>
        <w:rPr>
          <w:color w:val="231F20"/>
          <w:spacing w:val="-2"/>
          <w:w w:val="120"/>
        </w:rPr>
        <w:t>problèmes</w:t>
      </w:r>
      <w:r>
        <w:rPr>
          <w:color w:val="231F20"/>
          <w:spacing w:val="-10"/>
          <w:w w:val="120"/>
        </w:rPr>
        <w:t> </w:t>
      </w:r>
      <w:r>
        <w:rPr>
          <w:color w:val="231F20"/>
          <w:spacing w:val="-2"/>
          <w:w w:val="120"/>
        </w:rPr>
        <w:t>de</w:t>
      </w:r>
      <w:r>
        <w:rPr>
          <w:color w:val="231F20"/>
          <w:spacing w:val="-11"/>
          <w:w w:val="120"/>
        </w:rPr>
        <w:t> </w:t>
      </w:r>
      <w:r>
        <w:rPr>
          <w:color w:val="231F20"/>
          <w:spacing w:val="-2"/>
          <w:w w:val="120"/>
        </w:rPr>
        <w:t>régulation</w:t>
      </w:r>
      <w:r>
        <w:rPr>
          <w:color w:val="231F20"/>
          <w:spacing w:val="-10"/>
          <w:w w:val="120"/>
        </w:rPr>
        <w:t> </w:t>
      </w:r>
      <w:r>
        <w:rPr>
          <w:color w:val="231F20"/>
          <w:spacing w:val="-2"/>
          <w:w w:val="120"/>
        </w:rPr>
        <w:t>des</w:t>
      </w:r>
      <w:r>
        <w:rPr>
          <w:color w:val="231F20"/>
          <w:spacing w:val="-11"/>
          <w:w w:val="120"/>
        </w:rPr>
        <w:t> </w:t>
      </w:r>
      <w:r>
        <w:rPr>
          <w:color w:val="231F20"/>
          <w:spacing w:val="-2"/>
          <w:w w:val="120"/>
        </w:rPr>
        <w:t>émotions </w:t>
      </w:r>
      <w:r>
        <w:rPr>
          <w:color w:val="231F20"/>
          <w:w w:val="120"/>
        </w:rPr>
        <w:t>peuvent compromettre la capacité du sujet névrotique à se former des idées</w:t>
      </w:r>
      <w:r>
        <w:rPr>
          <w:color w:val="231F20"/>
          <w:spacing w:val="-5"/>
          <w:w w:val="120"/>
        </w:rPr>
        <w:t> </w:t>
      </w:r>
      <w:r>
        <w:rPr>
          <w:color w:val="231F20"/>
          <w:w w:val="120"/>
        </w:rPr>
        <w:t>claires,</w:t>
      </w:r>
      <w:r>
        <w:rPr>
          <w:color w:val="231F20"/>
          <w:spacing w:val="-5"/>
          <w:w w:val="120"/>
        </w:rPr>
        <w:t> </w:t>
      </w:r>
      <w:r>
        <w:rPr>
          <w:color w:val="231F20"/>
          <w:w w:val="120"/>
        </w:rPr>
        <w:t>à</w:t>
      </w:r>
      <w:r>
        <w:rPr>
          <w:color w:val="231F20"/>
          <w:spacing w:val="-5"/>
          <w:w w:val="120"/>
        </w:rPr>
        <w:t> </w:t>
      </w:r>
      <w:r>
        <w:rPr>
          <w:color w:val="231F20"/>
          <w:w w:val="120"/>
        </w:rPr>
        <w:t>prendre</w:t>
      </w:r>
      <w:r>
        <w:rPr>
          <w:color w:val="231F20"/>
          <w:spacing w:val="-5"/>
          <w:w w:val="120"/>
        </w:rPr>
        <w:t> </w:t>
      </w:r>
      <w:r>
        <w:rPr>
          <w:color w:val="231F20"/>
          <w:w w:val="120"/>
        </w:rPr>
        <w:t>des</w:t>
      </w:r>
      <w:r>
        <w:rPr>
          <w:color w:val="231F20"/>
          <w:spacing w:val="-5"/>
          <w:w w:val="120"/>
        </w:rPr>
        <w:t> </w:t>
      </w:r>
      <w:r>
        <w:rPr>
          <w:color w:val="231F20"/>
          <w:w w:val="120"/>
        </w:rPr>
        <w:t>décisions</w:t>
      </w:r>
      <w:r>
        <w:rPr>
          <w:color w:val="231F20"/>
          <w:spacing w:val="-5"/>
          <w:w w:val="120"/>
        </w:rPr>
        <w:t> </w:t>
      </w:r>
      <w:r>
        <w:rPr>
          <w:color w:val="231F20"/>
          <w:w w:val="120"/>
        </w:rPr>
        <w:t>et</w:t>
      </w:r>
      <w:r>
        <w:rPr>
          <w:color w:val="231F20"/>
          <w:spacing w:val="-5"/>
          <w:w w:val="120"/>
        </w:rPr>
        <w:t> </w:t>
      </w:r>
      <w:r>
        <w:rPr>
          <w:color w:val="231F20"/>
          <w:w w:val="120"/>
        </w:rPr>
        <w:t>à</w:t>
      </w:r>
      <w:r>
        <w:rPr>
          <w:color w:val="231F20"/>
          <w:spacing w:val="-5"/>
          <w:w w:val="120"/>
        </w:rPr>
        <w:t> </w:t>
      </w:r>
      <w:r>
        <w:rPr>
          <w:color w:val="231F20"/>
          <w:w w:val="120"/>
        </w:rPr>
        <w:t>réagir</w:t>
      </w:r>
      <w:r>
        <w:rPr>
          <w:color w:val="231F20"/>
          <w:spacing w:val="-5"/>
          <w:w w:val="120"/>
        </w:rPr>
        <w:t> </w:t>
      </w:r>
      <w:r>
        <w:rPr>
          <w:color w:val="231F20"/>
          <w:w w:val="120"/>
        </w:rPr>
        <w:t>efficacement</w:t>
      </w:r>
      <w:r>
        <w:rPr>
          <w:color w:val="231F20"/>
          <w:spacing w:val="-5"/>
          <w:w w:val="120"/>
        </w:rPr>
        <w:t> </w:t>
      </w:r>
      <w:r>
        <w:rPr>
          <w:color w:val="231F20"/>
          <w:w w:val="120"/>
        </w:rPr>
        <w:t>au</w:t>
      </w:r>
      <w:r>
        <w:rPr>
          <w:color w:val="231F20"/>
          <w:spacing w:val="-5"/>
          <w:w w:val="120"/>
        </w:rPr>
        <w:t> </w:t>
      </w:r>
      <w:r>
        <w:rPr>
          <w:color w:val="231F20"/>
          <w:w w:val="120"/>
        </w:rPr>
        <w:t>stress. À</w:t>
      </w:r>
      <w:r>
        <w:rPr>
          <w:color w:val="231F20"/>
          <w:spacing w:val="-13"/>
          <w:w w:val="120"/>
        </w:rPr>
        <w:t> </w:t>
      </w:r>
      <w:r>
        <w:rPr>
          <w:color w:val="231F20"/>
          <w:w w:val="120"/>
        </w:rPr>
        <w:t>l’autre</w:t>
      </w:r>
      <w:r>
        <w:rPr>
          <w:color w:val="231F20"/>
          <w:spacing w:val="-13"/>
          <w:w w:val="120"/>
        </w:rPr>
        <w:t> </w:t>
      </w:r>
      <w:r>
        <w:rPr>
          <w:color w:val="231F20"/>
          <w:w w:val="120"/>
        </w:rPr>
        <w:t>extrémité,</w:t>
      </w:r>
      <w:r>
        <w:rPr>
          <w:color w:val="231F20"/>
          <w:spacing w:val="-12"/>
          <w:w w:val="120"/>
        </w:rPr>
        <w:t> </w:t>
      </w:r>
      <w:r>
        <w:rPr>
          <w:color w:val="231F20"/>
          <w:w w:val="120"/>
        </w:rPr>
        <w:t>les</w:t>
      </w:r>
      <w:r>
        <w:rPr>
          <w:color w:val="231F20"/>
          <w:spacing w:val="-13"/>
          <w:w w:val="120"/>
        </w:rPr>
        <w:t> </w:t>
      </w:r>
      <w:r>
        <w:rPr>
          <w:color w:val="231F20"/>
          <w:w w:val="120"/>
        </w:rPr>
        <w:t>individus</w:t>
      </w:r>
      <w:r>
        <w:rPr>
          <w:color w:val="231F20"/>
          <w:spacing w:val="-12"/>
          <w:w w:val="120"/>
        </w:rPr>
        <w:t> </w:t>
      </w:r>
      <w:r>
        <w:rPr>
          <w:color w:val="231F20"/>
          <w:w w:val="120"/>
        </w:rPr>
        <w:t>qui</w:t>
      </w:r>
      <w:r>
        <w:rPr>
          <w:color w:val="231F20"/>
          <w:spacing w:val="-13"/>
          <w:w w:val="120"/>
        </w:rPr>
        <w:t> </w:t>
      </w:r>
      <w:r>
        <w:rPr>
          <w:color w:val="231F20"/>
          <w:w w:val="120"/>
        </w:rPr>
        <w:t>affichent</w:t>
      </w:r>
      <w:r>
        <w:rPr>
          <w:color w:val="231F20"/>
          <w:spacing w:val="-12"/>
          <w:w w:val="120"/>
        </w:rPr>
        <w:t> </w:t>
      </w:r>
      <w:r>
        <w:rPr>
          <w:color w:val="231F20"/>
          <w:w w:val="120"/>
        </w:rPr>
        <w:t>une</w:t>
      </w:r>
      <w:r>
        <w:rPr>
          <w:color w:val="231F20"/>
          <w:spacing w:val="-13"/>
          <w:w w:val="120"/>
        </w:rPr>
        <w:t> </w:t>
      </w:r>
      <w:r>
        <w:rPr>
          <w:color w:val="231F20"/>
          <w:w w:val="120"/>
        </w:rPr>
        <w:t>bonne</w:t>
      </w:r>
      <w:r>
        <w:rPr>
          <w:color w:val="231F20"/>
          <w:spacing w:val="-12"/>
          <w:w w:val="120"/>
        </w:rPr>
        <w:t> </w:t>
      </w:r>
      <w:r>
        <w:rPr>
          <w:color w:val="231F20"/>
          <w:w w:val="120"/>
        </w:rPr>
        <w:t>stabilité</w:t>
      </w:r>
      <w:r>
        <w:rPr>
          <w:color w:val="231F20"/>
          <w:spacing w:val="-13"/>
          <w:w w:val="120"/>
        </w:rPr>
        <w:t> </w:t>
      </w:r>
      <w:r>
        <w:rPr>
          <w:color w:val="231F20"/>
          <w:w w:val="120"/>
        </w:rPr>
        <w:t>émo- tionnelle s’emportent moins facilement et ont des réactions moins émotives</w:t>
      </w:r>
      <w:r>
        <w:rPr>
          <w:color w:val="231F20"/>
          <w:spacing w:val="-1"/>
          <w:w w:val="120"/>
        </w:rPr>
        <w:t> </w:t>
      </w:r>
      <w:r>
        <w:rPr>
          <w:color w:val="231F20"/>
          <w:w w:val="120"/>
        </w:rPr>
        <w:t>que la moyenne. Ils</w:t>
      </w:r>
      <w:r>
        <w:rPr>
          <w:color w:val="231F20"/>
          <w:spacing w:val="-1"/>
          <w:w w:val="120"/>
        </w:rPr>
        <w:t> </w:t>
      </w:r>
      <w:r>
        <w:rPr>
          <w:color w:val="231F20"/>
          <w:w w:val="120"/>
        </w:rPr>
        <w:t>ont tendance à être</w:t>
      </w:r>
      <w:r>
        <w:rPr>
          <w:color w:val="231F20"/>
          <w:spacing w:val="-1"/>
          <w:w w:val="120"/>
        </w:rPr>
        <w:t> </w:t>
      </w:r>
      <w:r>
        <w:rPr>
          <w:color w:val="231F20"/>
          <w:w w:val="120"/>
        </w:rPr>
        <w:t>calmes, équilibrés </w:t>
      </w:r>
      <w:r>
        <w:rPr>
          <w:color w:val="231F20"/>
          <w:spacing w:val="-5"/>
          <w:w w:val="120"/>
        </w:rPr>
        <w:t>et</w:t>
      </w:r>
    </w:p>
    <w:p>
      <w:pPr>
        <w:spacing w:after="0" w:line="307" w:lineRule="auto"/>
        <w:jc w:val="both"/>
        <w:sectPr>
          <w:footerReference w:type="default" r:id="rId210"/>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1"/>
        <w:jc w:val="both"/>
      </w:pPr>
      <w:r>
        <w:rPr>
          <w:color w:val="231F20"/>
          <w:w w:val="120"/>
        </w:rPr>
        <w:t>libres de tout sentiment négatif persistant. Cette absence relative de sentiments</w:t>
      </w:r>
      <w:r>
        <w:rPr>
          <w:color w:val="231F20"/>
          <w:spacing w:val="-13"/>
          <w:w w:val="120"/>
        </w:rPr>
        <w:t> </w:t>
      </w:r>
      <w:r>
        <w:rPr>
          <w:color w:val="231F20"/>
          <w:w w:val="120"/>
        </w:rPr>
        <w:t>négatifs</w:t>
      </w:r>
      <w:r>
        <w:rPr>
          <w:color w:val="231F20"/>
          <w:spacing w:val="-13"/>
          <w:w w:val="120"/>
        </w:rPr>
        <w:t> </w:t>
      </w:r>
      <w:r>
        <w:rPr>
          <w:color w:val="231F20"/>
          <w:w w:val="120"/>
        </w:rPr>
        <w:t>ne</w:t>
      </w:r>
      <w:r>
        <w:rPr>
          <w:color w:val="231F20"/>
          <w:spacing w:val="-13"/>
          <w:w w:val="120"/>
        </w:rPr>
        <w:t> </w:t>
      </w:r>
      <w:r>
        <w:rPr>
          <w:color w:val="231F20"/>
          <w:w w:val="120"/>
        </w:rPr>
        <w:t>signifie</w:t>
      </w:r>
      <w:r>
        <w:rPr>
          <w:color w:val="231F20"/>
          <w:spacing w:val="-12"/>
          <w:w w:val="120"/>
        </w:rPr>
        <w:t> </w:t>
      </w:r>
      <w:r>
        <w:rPr>
          <w:color w:val="231F20"/>
          <w:w w:val="120"/>
        </w:rPr>
        <w:t>pas</w:t>
      </w:r>
      <w:r>
        <w:rPr>
          <w:color w:val="231F20"/>
          <w:spacing w:val="-13"/>
          <w:w w:val="120"/>
        </w:rPr>
        <w:t> </w:t>
      </w:r>
      <w:r>
        <w:rPr>
          <w:color w:val="231F20"/>
          <w:w w:val="120"/>
        </w:rPr>
        <w:t>pour</w:t>
      </w:r>
      <w:r>
        <w:rPr>
          <w:color w:val="231F20"/>
          <w:spacing w:val="-13"/>
          <w:w w:val="120"/>
        </w:rPr>
        <w:t> </w:t>
      </w:r>
      <w:r>
        <w:rPr>
          <w:color w:val="231F20"/>
          <w:w w:val="120"/>
        </w:rPr>
        <w:t>autant</w:t>
      </w:r>
      <w:r>
        <w:rPr>
          <w:color w:val="231F20"/>
          <w:spacing w:val="-13"/>
          <w:w w:val="120"/>
        </w:rPr>
        <w:t> </w:t>
      </w:r>
      <w:r>
        <w:rPr>
          <w:color w:val="231F20"/>
          <w:w w:val="120"/>
        </w:rPr>
        <w:t>que</w:t>
      </w:r>
      <w:r>
        <w:rPr>
          <w:color w:val="231F20"/>
          <w:spacing w:val="-12"/>
          <w:w w:val="120"/>
        </w:rPr>
        <w:t> </w:t>
      </w:r>
      <w:r>
        <w:rPr>
          <w:color w:val="231F20"/>
          <w:w w:val="120"/>
        </w:rPr>
        <w:t>ces</w:t>
      </w:r>
      <w:r>
        <w:rPr>
          <w:color w:val="231F20"/>
          <w:spacing w:val="-13"/>
          <w:w w:val="120"/>
        </w:rPr>
        <w:t> </w:t>
      </w:r>
      <w:r>
        <w:rPr>
          <w:color w:val="231F20"/>
          <w:w w:val="120"/>
        </w:rPr>
        <w:t>personnes</w:t>
      </w:r>
      <w:r>
        <w:rPr>
          <w:color w:val="231F20"/>
          <w:spacing w:val="-13"/>
          <w:w w:val="120"/>
        </w:rPr>
        <w:t> </w:t>
      </w:r>
      <w:r>
        <w:rPr>
          <w:color w:val="231F20"/>
          <w:w w:val="120"/>
        </w:rPr>
        <w:t>vivent davantage</w:t>
      </w:r>
      <w:r>
        <w:rPr>
          <w:color w:val="231F20"/>
          <w:spacing w:val="-11"/>
          <w:w w:val="120"/>
        </w:rPr>
        <w:t> </w:t>
      </w:r>
      <w:r>
        <w:rPr>
          <w:color w:val="231F20"/>
          <w:w w:val="120"/>
        </w:rPr>
        <w:t>de sentiments positifs</w:t>
      </w:r>
      <w:r>
        <w:rPr>
          <w:color w:val="231F20"/>
          <w:spacing w:val="-13"/>
          <w:w w:val="120"/>
        </w:rPr>
        <w:t> </w:t>
      </w:r>
      <w:r>
        <w:rPr>
          <w:color w:val="231F20"/>
          <w:w w:val="120"/>
        </w:rPr>
        <w:t>; la fréquence des émotions positives relève</w:t>
      </w:r>
      <w:r>
        <w:rPr>
          <w:color w:val="231F20"/>
          <w:spacing w:val="-5"/>
          <w:w w:val="120"/>
        </w:rPr>
        <w:t> </w:t>
      </w:r>
      <w:r>
        <w:rPr>
          <w:color w:val="231F20"/>
          <w:w w:val="120"/>
        </w:rPr>
        <w:t>plutôt</w:t>
      </w:r>
      <w:r>
        <w:rPr>
          <w:color w:val="231F20"/>
          <w:spacing w:val="-5"/>
          <w:w w:val="120"/>
        </w:rPr>
        <w:t> </w:t>
      </w:r>
      <w:r>
        <w:rPr>
          <w:color w:val="231F20"/>
          <w:w w:val="120"/>
        </w:rPr>
        <w:t>du</w:t>
      </w:r>
      <w:r>
        <w:rPr>
          <w:color w:val="231F20"/>
          <w:spacing w:val="-5"/>
          <w:w w:val="120"/>
        </w:rPr>
        <w:t> </w:t>
      </w:r>
      <w:r>
        <w:rPr>
          <w:color w:val="231F20"/>
          <w:w w:val="120"/>
        </w:rPr>
        <w:t>domaine</w:t>
      </w:r>
      <w:r>
        <w:rPr>
          <w:color w:val="231F20"/>
          <w:spacing w:val="-5"/>
          <w:w w:val="120"/>
        </w:rPr>
        <w:t> </w:t>
      </w:r>
      <w:r>
        <w:rPr>
          <w:color w:val="231F20"/>
          <w:w w:val="120"/>
        </w:rPr>
        <w:t>de</w:t>
      </w:r>
      <w:r>
        <w:rPr>
          <w:color w:val="231F20"/>
          <w:spacing w:val="-5"/>
          <w:w w:val="120"/>
        </w:rPr>
        <w:t> </w:t>
      </w:r>
      <w:r>
        <w:rPr>
          <w:color w:val="231F20"/>
          <w:w w:val="120"/>
        </w:rPr>
        <w:t>l’extraversion.</w:t>
      </w:r>
      <w:r>
        <w:rPr>
          <w:color w:val="231F20"/>
          <w:spacing w:val="-5"/>
          <w:w w:val="120"/>
        </w:rPr>
        <w:t> </w:t>
      </w:r>
      <w:r>
        <w:rPr>
          <w:color w:val="231F20"/>
          <w:w w:val="120"/>
        </w:rPr>
        <w:t>Le</w:t>
      </w:r>
      <w:r>
        <w:rPr>
          <w:color w:val="231F20"/>
          <w:spacing w:val="-5"/>
          <w:w w:val="120"/>
        </w:rPr>
        <w:t> </w:t>
      </w:r>
      <w:r>
        <w:rPr>
          <w:color w:val="231F20"/>
          <w:w w:val="120"/>
        </w:rPr>
        <w:t>stress</w:t>
      </w:r>
      <w:r>
        <w:rPr>
          <w:color w:val="231F20"/>
          <w:spacing w:val="-5"/>
          <w:w w:val="120"/>
        </w:rPr>
        <w:t> </w:t>
      </w:r>
      <w:r>
        <w:rPr>
          <w:color w:val="231F20"/>
          <w:w w:val="120"/>
        </w:rPr>
        <w:t>pouvant</w:t>
      </w:r>
      <w:r>
        <w:rPr>
          <w:color w:val="231F20"/>
          <w:spacing w:val="-5"/>
          <w:w w:val="120"/>
        </w:rPr>
        <w:t> </w:t>
      </w:r>
      <w:r>
        <w:rPr>
          <w:color w:val="231F20"/>
          <w:w w:val="120"/>
        </w:rPr>
        <w:t>difficile- ment être séparé des émotions, les personnes étant plus </w:t>
      </w:r>
      <w:r>
        <w:rPr>
          <w:color w:val="231F20"/>
          <w:w w:val="120"/>
        </w:rPr>
        <w:t>névrotiques ressentiront plus fréquemment des épisodes de stress que les gens qui possèdent une bonne stabilité émotionnelle.</w:t>
      </w:r>
    </w:p>
    <w:p>
      <w:pPr>
        <w:pStyle w:val="BodyText"/>
        <w:spacing w:before="7"/>
        <w:rPr>
          <w:sz w:val="21"/>
        </w:rPr>
      </w:pPr>
    </w:p>
    <w:p>
      <w:pPr>
        <w:pStyle w:val="BodyText"/>
        <w:spacing w:line="307" w:lineRule="auto"/>
        <w:ind w:left="830" w:right="491"/>
        <w:jc w:val="both"/>
      </w:pPr>
      <w:r>
        <w:rPr>
          <w:b/>
          <w:color w:val="231F20"/>
          <w:spacing w:val="-2"/>
          <w:w w:val="115"/>
        </w:rPr>
        <w:t>Ouverture</w:t>
      </w:r>
      <w:r>
        <w:rPr>
          <w:b/>
          <w:color w:val="231F20"/>
          <w:spacing w:val="-6"/>
          <w:w w:val="115"/>
        </w:rPr>
        <w:t> </w:t>
      </w:r>
      <w:r>
        <w:rPr>
          <w:rFonts w:ascii="Arial-BoldItalicMT" w:hAnsi="Arial-BoldItalicMT"/>
          <w:b/>
          <w:i/>
          <w:color w:val="231F20"/>
          <w:spacing w:val="-2"/>
          <w:w w:val="115"/>
        </w:rPr>
        <w:t>vs</w:t>
      </w:r>
      <w:r>
        <w:rPr>
          <w:rFonts w:ascii="Arial-BoldItalicMT" w:hAnsi="Arial-BoldItalicMT"/>
          <w:b/>
          <w:i/>
          <w:color w:val="231F20"/>
          <w:spacing w:val="-12"/>
          <w:w w:val="115"/>
        </w:rPr>
        <w:t> </w:t>
      </w:r>
      <w:r>
        <w:rPr>
          <w:b/>
          <w:color w:val="231F20"/>
          <w:spacing w:val="-2"/>
          <w:w w:val="115"/>
        </w:rPr>
        <w:t>fermeture</w:t>
      </w:r>
      <w:r>
        <w:rPr>
          <w:b/>
          <w:color w:val="231F20"/>
          <w:spacing w:val="-6"/>
          <w:w w:val="115"/>
        </w:rPr>
        <w:t> </w:t>
      </w:r>
      <w:r>
        <w:rPr>
          <w:b/>
          <w:color w:val="231F20"/>
          <w:spacing w:val="-2"/>
          <w:w w:val="115"/>
        </w:rPr>
        <w:t>à</w:t>
      </w:r>
      <w:r>
        <w:rPr>
          <w:b/>
          <w:color w:val="231F20"/>
          <w:spacing w:val="-6"/>
          <w:w w:val="115"/>
        </w:rPr>
        <w:t> </w:t>
      </w:r>
      <w:r>
        <w:rPr>
          <w:b/>
          <w:color w:val="231F20"/>
          <w:spacing w:val="-2"/>
          <w:w w:val="115"/>
        </w:rPr>
        <w:t>l’expérience</w:t>
      </w:r>
      <w:r>
        <w:rPr>
          <w:color w:val="231F20"/>
          <w:spacing w:val="-2"/>
          <w:w w:val="115"/>
        </w:rPr>
        <w:t>. L’ouverture à l’expérience est la </w:t>
      </w:r>
      <w:r>
        <w:rPr>
          <w:color w:val="231F20"/>
          <w:w w:val="120"/>
        </w:rPr>
        <w:t>faculté</w:t>
      </w:r>
      <w:r>
        <w:rPr>
          <w:color w:val="231F20"/>
          <w:spacing w:val="-10"/>
          <w:w w:val="120"/>
        </w:rPr>
        <w:t> </w:t>
      </w:r>
      <w:r>
        <w:rPr>
          <w:color w:val="231F20"/>
          <w:w w:val="120"/>
        </w:rPr>
        <w:t>d’apprécier</w:t>
      </w:r>
      <w:r>
        <w:rPr>
          <w:color w:val="231F20"/>
          <w:spacing w:val="-10"/>
          <w:w w:val="120"/>
        </w:rPr>
        <w:t> </w:t>
      </w:r>
      <w:r>
        <w:rPr>
          <w:color w:val="231F20"/>
          <w:w w:val="120"/>
        </w:rPr>
        <w:t>l’art,</w:t>
      </w:r>
      <w:r>
        <w:rPr>
          <w:color w:val="231F20"/>
          <w:spacing w:val="-10"/>
          <w:w w:val="120"/>
        </w:rPr>
        <w:t> </w:t>
      </w:r>
      <w:r>
        <w:rPr>
          <w:color w:val="231F20"/>
          <w:w w:val="120"/>
        </w:rPr>
        <w:t>le</w:t>
      </w:r>
      <w:r>
        <w:rPr>
          <w:color w:val="231F20"/>
          <w:spacing w:val="-10"/>
          <w:w w:val="120"/>
        </w:rPr>
        <w:t> </w:t>
      </w:r>
      <w:r>
        <w:rPr>
          <w:color w:val="231F20"/>
          <w:w w:val="120"/>
        </w:rPr>
        <w:t>progrès,</w:t>
      </w:r>
      <w:r>
        <w:rPr>
          <w:color w:val="231F20"/>
          <w:spacing w:val="-10"/>
          <w:w w:val="120"/>
        </w:rPr>
        <w:t> </w:t>
      </w:r>
      <w:r>
        <w:rPr>
          <w:color w:val="231F20"/>
          <w:w w:val="120"/>
        </w:rPr>
        <w:t>l’aventure</w:t>
      </w:r>
      <w:r>
        <w:rPr>
          <w:color w:val="231F20"/>
          <w:spacing w:val="-10"/>
          <w:w w:val="120"/>
        </w:rPr>
        <w:t> </w:t>
      </w:r>
      <w:r>
        <w:rPr>
          <w:color w:val="231F20"/>
          <w:w w:val="120"/>
        </w:rPr>
        <w:t>et</w:t>
      </w:r>
      <w:r>
        <w:rPr>
          <w:color w:val="231F20"/>
          <w:spacing w:val="-10"/>
          <w:w w:val="120"/>
        </w:rPr>
        <w:t> </w:t>
      </w:r>
      <w:r>
        <w:rPr>
          <w:color w:val="231F20"/>
          <w:w w:val="120"/>
        </w:rPr>
        <w:t>les</w:t>
      </w:r>
      <w:r>
        <w:rPr>
          <w:color w:val="231F20"/>
          <w:spacing w:val="-10"/>
          <w:w w:val="120"/>
        </w:rPr>
        <w:t> </w:t>
      </w:r>
      <w:r>
        <w:rPr>
          <w:color w:val="231F20"/>
          <w:w w:val="120"/>
        </w:rPr>
        <w:t>idées</w:t>
      </w:r>
      <w:r>
        <w:rPr>
          <w:color w:val="231F20"/>
          <w:spacing w:val="-10"/>
          <w:w w:val="120"/>
        </w:rPr>
        <w:t> </w:t>
      </w:r>
      <w:r>
        <w:rPr>
          <w:color w:val="231F20"/>
          <w:w w:val="120"/>
        </w:rPr>
        <w:t>inhabituelles qui</w:t>
      </w:r>
      <w:r>
        <w:rPr>
          <w:color w:val="231F20"/>
          <w:spacing w:val="-7"/>
          <w:w w:val="120"/>
        </w:rPr>
        <w:t> </w:t>
      </w:r>
      <w:r>
        <w:rPr>
          <w:color w:val="231F20"/>
          <w:w w:val="120"/>
        </w:rPr>
        <w:t>caractérisent</w:t>
      </w:r>
      <w:r>
        <w:rPr>
          <w:color w:val="231F20"/>
          <w:spacing w:val="-7"/>
          <w:w w:val="120"/>
        </w:rPr>
        <w:t> </w:t>
      </w:r>
      <w:r>
        <w:rPr>
          <w:color w:val="231F20"/>
          <w:w w:val="120"/>
        </w:rPr>
        <w:t>les</w:t>
      </w:r>
      <w:r>
        <w:rPr>
          <w:color w:val="231F20"/>
          <w:spacing w:val="-7"/>
          <w:w w:val="120"/>
        </w:rPr>
        <w:t> </w:t>
      </w:r>
      <w:r>
        <w:rPr>
          <w:color w:val="231F20"/>
          <w:w w:val="120"/>
        </w:rPr>
        <w:t>personnes</w:t>
      </w:r>
      <w:r>
        <w:rPr>
          <w:color w:val="231F20"/>
          <w:spacing w:val="-7"/>
          <w:w w:val="120"/>
        </w:rPr>
        <w:t> </w:t>
      </w:r>
      <w:r>
        <w:rPr>
          <w:color w:val="231F20"/>
          <w:w w:val="120"/>
        </w:rPr>
        <w:t>imaginatives</w:t>
      </w:r>
      <w:r>
        <w:rPr>
          <w:color w:val="231F20"/>
          <w:spacing w:val="-7"/>
          <w:w w:val="120"/>
        </w:rPr>
        <w:t> </w:t>
      </w:r>
      <w:r>
        <w:rPr>
          <w:color w:val="231F20"/>
          <w:w w:val="120"/>
        </w:rPr>
        <w:t>et</w:t>
      </w:r>
      <w:r>
        <w:rPr>
          <w:color w:val="231F20"/>
          <w:spacing w:val="-7"/>
          <w:w w:val="120"/>
        </w:rPr>
        <w:t> </w:t>
      </w:r>
      <w:r>
        <w:rPr>
          <w:color w:val="231F20"/>
          <w:w w:val="120"/>
        </w:rPr>
        <w:t>curieuses.</w:t>
      </w:r>
      <w:r>
        <w:rPr>
          <w:color w:val="231F20"/>
          <w:spacing w:val="-7"/>
          <w:w w:val="120"/>
        </w:rPr>
        <w:t> </w:t>
      </w:r>
      <w:r>
        <w:rPr>
          <w:color w:val="231F20"/>
          <w:w w:val="120"/>
        </w:rPr>
        <w:t>Ce</w:t>
      </w:r>
      <w:r>
        <w:rPr>
          <w:color w:val="231F20"/>
          <w:spacing w:val="-7"/>
          <w:w w:val="120"/>
        </w:rPr>
        <w:t> </w:t>
      </w:r>
      <w:r>
        <w:rPr>
          <w:color w:val="231F20"/>
          <w:w w:val="120"/>
        </w:rPr>
        <w:t>facteur</w:t>
      </w:r>
      <w:r>
        <w:rPr>
          <w:color w:val="231F20"/>
          <w:spacing w:val="-7"/>
          <w:w w:val="120"/>
        </w:rPr>
        <w:t> </w:t>
      </w:r>
      <w:r>
        <w:rPr>
          <w:color w:val="231F20"/>
          <w:w w:val="120"/>
        </w:rPr>
        <w:t>de personnalité</w:t>
      </w:r>
      <w:r>
        <w:rPr>
          <w:color w:val="231F20"/>
          <w:spacing w:val="-13"/>
          <w:w w:val="120"/>
        </w:rPr>
        <w:t> </w:t>
      </w:r>
      <w:r>
        <w:rPr>
          <w:color w:val="231F20"/>
          <w:w w:val="120"/>
        </w:rPr>
        <w:t>correspond</w:t>
      </w:r>
      <w:r>
        <w:rPr>
          <w:color w:val="231F20"/>
          <w:spacing w:val="-12"/>
          <w:w w:val="120"/>
        </w:rPr>
        <w:t> </w:t>
      </w:r>
      <w:r>
        <w:rPr>
          <w:color w:val="231F20"/>
          <w:w w:val="120"/>
        </w:rPr>
        <w:t>à</w:t>
      </w:r>
      <w:r>
        <w:rPr>
          <w:color w:val="231F20"/>
          <w:spacing w:val="-13"/>
          <w:w w:val="120"/>
        </w:rPr>
        <w:t> </w:t>
      </w:r>
      <w:r>
        <w:rPr>
          <w:color w:val="231F20"/>
          <w:w w:val="120"/>
        </w:rPr>
        <w:t>une</w:t>
      </w:r>
      <w:r>
        <w:rPr>
          <w:color w:val="231F20"/>
          <w:spacing w:val="-13"/>
          <w:w w:val="120"/>
        </w:rPr>
        <w:t> </w:t>
      </w:r>
      <w:r>
        <w:rPr>
          <w:color w:val="231F20"/>
          <w:w w:val="120"/>
        </w:rPr>
        <w:t>dimension</w:t>
      </w:r>
      <w:r>
        <w:rPr>
          <w:color w:val="231F20"/>
          <w:spacing w:val="-13"/>
          <w:w w:val="120"/>
        </w:rPr>
        <w:t> </w:t>
      </w:r>
      <w:r>
        <w:rPr>
          <w:color w:val="231F20"/>
          <w:w w:val="120"/>
        </w:rPr>
        <w:t>du</w:t>
      </w:r>
      <w:r>
        <w:rPr>
          <w:color w:val="231F20"/>
          <w:spacing w:val="-12"/>
          <w:w w:val="120"/>
        </w:rPr>
        <w:t> </w:t>
      </w:r>
      <w:r>
        <w:rPr>
          <w:color w:val="231F20"/>
          <w:w w:val="120"/>
        </w:rPr>
        <w:t>style</w:t>
      </w:r>
      <w:r>
        <w:rPr>
          <w:color w:val="231F20"/>
          <w:spacing w:val="-12"/>
          <w:w w:val="120"/>
        </w:rPr>
        <w:t> </w:t>
      </w:r>
      <w:r>
        <w:rPr>
          <w:color w:val="231F20"/>
          <w:w w:val="120"/>
        </w:rPr>
        <w:t>cognitif</w:t>
      </w:r>
      <w:r>
        <w:rPr>
          <w:color w:val="231F20"/>
          <w:spacing w:val="-12"/>
          <w:w w:val="120"/>
        </w:rPr>
        <w:t> </w:t>
      </w:r>
      <w:r>
        <w:rPr>
          <w:color w:val="231F20"/>
          <w:w w:val="120"/>
        </w:rPr>
        <w:t>qui</w:t>
      </w:r>
      <w:r>
        <w:rPr>
          <w:color w:val="231F20"/>
          <w:spacing w:val="-12"/>
          <w:w w:val="120"/>
        </w:rPr>
        <w:t> </w:t>
      </w:r>
      <w:r>
        <w:rPr>
          <w:color w:val="231F20"/>
          <w:w w:val="120"/>
        </w:rPr>
        <w:t>distingue </w:t>
      </w:r>
      <w:r>
        <w:rPr>
          <w:color w:val="231F20"/>
          <w:spacing w:val="-2"/>
          <w:w w:val="120"/>
        </w:rPr>
        <w:t>les</w:t>
      </w:r>
      <w:r>
        <w:rPr>
          <w:color w:val="231F20"/>
          <w:spacing w:val="-6"/>
          <w:w w:val="120"/>
        </w:rPr>
        <w:t> </w:t>
      </w:r>
      <w:r>
        <w:rPr>
          <w:color w:val="231F20"/>
          <w:spacing w:val="-2"/>
          <w:w w:val="120"/>
        </w:rPr>
        <w:t>personnes</w:t>
      </w:r>
      <w:r>
        <w:rPr>
          <w:color w:val="231F20"/>
          <w:spacing w:val="-6"/>
          <w:w w:val="120"/>
        </w:rPr>
        <w:t> </w:t>
      </w:r>
      <w:r>
        <w:rPr>
          <w:color w:val="231F20"/>
          <w:spacing w:val="-2"/>
          <w:w w:val="120"/>
        </w:rPr>
        <w:t>vives</w:t>
      </w:r>
      <w:r>
        <w:rPr>
          <w:color w:val="231F20"/>
          <w:spacing w:val="-6"/>
          <w:w w:val="120"/>
        </w:rPr>
        <w:t> </w:t>
      </w:r>
      <w:r>
        <w:rPr>
          <w:color w:val="231F20"/>
          <w:spacing w:val="-2"/>
          <w:w w:val="120"/>
        </w:rPr>
        <w:t>d’esprit</w:t>
      </w:r>
      <w:r>
        <w:rPr>
          <w:color w:val="231F20"/>
          <w:spacing w:val="-6"/>
          <w:w w:val="120"/>
        </w:rPr>
        <w:t> </w:t>
      </w:r>
      <w:r>
        <w:rPr>
          <w:color w:val="231F20"/>
          <w:spacing w:val="-2"/>
          <w:w w:val="120"/>
        </w:rPr>
        <w:t>et</w:t>
      </w:r>
      <w:r>
        <w:rPr>
          <w:color w:val="231F20"/>
          <w:spacing w:val="-6"/>
          <w:w w:val="120"/>
        </w:rPr>
        <w:t> </w:t>
      </w:r>
      <w:r>
        <w:rPr>
          <w:color w:val="231F20"/>
          <w:spacing w:val="-2"/>
          <w:w w:val="120"/>
        </w:rPr>
        <w:t>créatives</w:t>
      </w:r>
      <w:r>
        <w:rPr>
          <w:color w:val="231F20"/>
          <w:spacing w:val="-6"/>
          <w:w w:val="120"/>
        </w:rPr>
        <w:t> </w:t>
      </w:r>
      <w:r>
        <w:rPr>
          <w:color w:val="231F20"/>
          <w:spacing w:val="-2"/>
          <w:w w:val="120"/>
        </w:rPr>
        <w:t>des</w:t>
      </w:r>
      <w:r>
        <w:rPr>
          <w:color w:val="231F20"/>
          <w:spacing w:val="-6"/>
          <w:w w:val="120"/>
        </w:rPr>
        <w:t> </w:t>
      </w:r>
      <w:r>
        <w:rPr>
          <w:color w:val="231F20"/>
          <w:spacing w:val="-2"/>
          <w:w w:val="120"/>
        </w:rPr>
        <w:t>gens</w:t>
      </w:r>
      <w:r>
        <w:rPr>
          <w:color w:val="231F20"/>
          <w:spacing w:val="-6"/>
          <w:w w:val="120"/>
        </w:rPr>
        <w:t> </w:t>
      </w:r>
      <w:r>
        <w:rPr>
          <w:color w:val="231F20"/>
          <w:spacing w:val="-2"/>
          <w:w w:val="120"/>
        </w:rPr>
        <w:t>terre-à-terre</w:t>
      </w:r>
      <w:r>
        <w:rPr>
          <w:color w:val="231F20"/>
          <w:spacing w:val="-6"/>
          <w:w w:val="120"/>
        </w:rPr>
        <w:t> </w:t>
      </w:r>
      <w:r>
        <w:rPr>
          <w:color w:val="231F20"/>
          <w:spacing w:val="-2"/>
          <w:w w:val="120"/>
        </w:rPr>
        <w:t>et</w:t>
      </w:r>
      <w:r>
        <w:rPr>
          <w:color w:val="231F20"/>
          <w:spacing w:val="-6"/>
          <w:w w:val="120"/>
        </w:rPr>
        <w:t> </w:t>
      </w:r>
      <w:r>
        <w:rPr>
          <w:color w:val="231F20"/>
          <w:spacing w:val="-2"/>
          <w:w w:val="120"/>
        </w:rPr>
        <w:t>conven- </w:t>
      </w:r>
      <w:r>
        <w:rPr>
          <w:color w:val="231F20"/>
          <w:w w:val="120"/>
        </w:rPr>
        <w:t>tionnels.</w:t>
      </w:r>
      <w:r>
        <w:rPr>
          <w:color w:val="231F20"/>
          <w:spacing w:val="-3"/>
          <w:w w:val="120"/>
        </w:rPr>
        <w:t> </w:t>
      </w:r>
      <w:r>
        <w:rPr>
          <w:color w:val="231F20"/>
          <w:w w:val="120"/>
        </w:rPr>
        <w:t>La</w:t>
      </w:r>
      <w:r>
        <w:rPr>
          <w:color w:val="231F20"/>
          <w:spacing w:val="-3"/>
          <w:w w:val="120"/>
        </w:rPr>
        <w:t> </w:t>
      </w:r>
      <w:r>
        <w:rPr>
          <w:color w:val="231F20"/>
          <w:w w:val="120"/>
        </w:rPr>
        <w:t>personne</w:t>
      </w:r>
      <w:r>
        <w:rPr>
          <w:color w:val="231F20"/>
          <w:spacing w:val="-3"/>
          <w:w w:val="120"/>
        </w:rPr>
        <w:t> </w:t>
      </w:r>
      <w:r>
        <w:rPr>
          <w:color w:val="231F20"/>
          <w:w w:val="120"/>
        </w:rPr>
        <w:t>ouverte</w:t>
      </w:r>
      <w:r>
        <w:rPr>
          <w:color w:val="231F20"/>
          <w:spacing w:val="-3"/>
          <w:w w:val="120"/>
        </w:rPr>
        <w:t> </w:t>
      </w:r>
      <w:r>
        <w:rPr>
          <w:color w:val="231F20"/>
          <w:w w:val="120"/>
        </w:rPr>
        <w:t>fait</w:t>
      </w:r>
      <w:r>
        <w:rPr>
          <w:color w:val="231F20"/>
          <w:spacing w:val="-3"/>
          <w:w w:val="120"/>
        </w:rPr>
        <w:t> </w:t>
      </w:r>
      <w:r>
        <w:rPr>
          <w:color w:val="231F20"/>
          <w:w w:val="120"/>
        </w:rPr>
        <w:t>montre</w:t>
      </w:r>
      <w:r>
        <w:rPr>
          <w:color w:val="231F20"/>
          <w:spacing w:val="-3"/>
          <w:w w:val="120"/>
        </w:rPr>
        <w:t> </w:t>
      </w:r>
      <w:r>
        <w:rPr>
          <w:color w:val="231F20"/>
          <w:w w:val="120"/>
        </w:rPr>
        <w:t>d’une</w:t>
      </w:r>
      <w:r>
        <w:rPr>
          <w:color w:val="231F20"/>
          <w:spacing w:val="-3"/>
          <w:w w:val="120"/>
        </w:rPr>
        <w:t> </w:t>
      </w:r>
      <w:r>
        <w:rPr>
          <w:color w:val="231F20"/>
          <w:w w:val="120"/>
        </w:rPr>
        <w:t>curiosité</w:t>
      </w:r>
      <w:r>
        <w:rPr>
          <w:color w:val="231F20"/>
          <w:spacing w:val="-3"/>
          <w:w w:val="120"/>
        </w:rPr>
        <w:t> </w:t>
      </w:r>
      <w:r>
        <w:rPr>
          <w:color w:val="231F20"/>
          <w:w w:val="120"/>
        </w:rPr>
        <w:t>intellectuelle </w:t>
      </w:r>
      <w:r>
        <w:rPr>
          <w:color w:val="231F20"/>
          <w:spacing w:val="-2"/>
          <w:w w:val="120"/>
        </w:rPr>
        <w:t>et</w:t>
      </w:r>
      <w:r>
        <w:rPr>
          <w:color w:val="231F20"/>
          <w:spacing w:val="-9"/>
          <w:w w:val="120"/>
        </w:rPr>
        <w:t> </w:t>
      </w:r>
      <w:r>
        <w:rPr>
          <w:color w:val="231F20"/>
          <w:spacing w:val="-2"/>
          <w:w w:val="120"/>
        </w:rPr>
        <w:t>d’une</w:t>
      </w:r>
      <w:r>
        <w:rPr>
          <w:color w:val="231F20"/>
          <w:spacing w:val="-9"/>
          <w:w w:val="120"/>
        </w:rPr>
        <w:t> </w:t>
      </w:r>
      <w:r>
        <w:rPr>
          <w:color w:val="231F20"/>
          <w:spacing w:val="-2"/>
          <w:w w:val="120"/>
        </w:rPr>
        <w:t>recherche</w:t>
      </w:r>
      <w:r>
        <w:rPr>
          <w:color w:val="231F20"/>
          <w:spacing w:val="-9"/>
          <w:w w:val="120"/>
        </w:rPr>
        <w:t> </w:t>
      </w:r>
      <w:r>
        <w:rPr>
          <w:color w:val="231F20"/>
          <w:spacing w:val="-2"/>
          <w:w w:val="120"/>
        </w:rPr>
        <w:t>de</w:t>
      </w:r>
      <w:r>
        <w:rPr>
          <w:color w:val="231F20"/>
          <w:spacing w:val="-9"/>
          <w:w w:val="120"/>
        </w:rPr>
        <w:t> </w:t>
      </w:r>
      <w:r>
        <w:rPr>
          <w:color w:val="231F20"/>
          <w:spacing w:val="-2"/>
          <w:w w:val="120"/>
        </w:rPr>
        <w:t>changement.</w:t>
      </w:r>
      <w:r>
        <w:rPr>
          <w:color w:val="231F20"/>
          <w:spacing w:val="-9"/>
          <w:w w:val="120"/>
        </w:rPr>
        <w:t> </w:t>
      </w:r>
      <w:r>
        <w:rPr>
          <w:color w:val="231F20"/>
          <w:spacing w:val="-2"/>
          <w:w w:val="120"/>
        </w:rPr>
        <w:t>Elle</w:t>
      </w:r>
      <w:r>
        <w:rPr>
          <w:color w:val="231F20"/>
          <w:spacing w:val="-9"/>
          <w:w w:val="120"/>
        </w:rPr>
        <w:t> </w:t>
      </w:r>
      <w:r>
        <w:rPr>
          <w:color w:val="231F20"/>
          <w:spacing w:val="-2"/>
          <w:w w:val="120"/>
        </w:rPr>
        <w:t>a</w:t>
      </w:r>
      <w:r>
        <w:rPr>
          <w:color w:val="231F20"/>
          <w:spacing w:val="-9"/>
          <w:w w:val="120"/>
        </w:rPr>
        <w:t> </w:t>
      </w:r>
      <w:r>
        <w:rPr>
          <w:color w:val="231F20"/>
          <w:spacing w:val="-2"/>
          <w:w w:val="120"/>
        </w:rPr>
        <w:t>tendance</w:t>
      </w:r>
      <w:r>
        <w:rPr>
          <w:color w:val="231F20"/>
          <w:spacing w:val="-9"/>
          <w:w w:val="120"/>
        </w:rPr>
        <w:t> </w:t>
      </w:r>
      <w:r>
        <w:rPr>
          <w:color w:val="231F20"/>
          <w:spacing w:val="-2"/>
          <w:w w:val="120"/>
        </w:rPr>
        <w:t>à</w:t>
      </w:r>
      <w:r>
        <w:rPr>
          <w:color w:val="231F20"/>
          <w:spacing w:val="-9"/>
          <w:w w:val="120"/>
        </w:rPr>
        <w:t> </w:t>
      </w:r>
      <w:r>
        <w:rPr>
          <w:color w:val="231F20"/>
          <w:spacing w:val="-2"/>
          <w:w w:val="120"/>
        </w:rPr>
        <w:t>être</w:t>
      </w:r>
      <w:r>
        <w:rPr>
          <w:color w:val="231F20"/>
          <w:spacing w:val="-9"/>
          <w:w w:val="120"/>
        </w:rPr>
        <w:t> </w:t>
      </w:r>
      <w:r>
        <w:rPr>
          <w:color w:val="231F20"/>
          <w:spacing w:val="-2"/>
          <w:w w:val="120"/>
        </w:rPr>
        <w:t>plus</w:t>
      </w:r>
      <w:r>
        <w:rPr>
          <w:color w:val="231F20"/>
          <w:spacing w:val="-9"/>
          <w:w w:val="120"/>
        </w:rPr>
        <w:t> </w:t>
      </w:r>
      <w:r>
        <w:rPr>
          <w:color w:val="231F20"/>
          <w:spacing w:val="-2"/>
          <w:w w:val="120"/>
        </w:rPr>
        <w:t>consciente </w:t>
      </w:r>
      <w:r>
        <w:rPr>
          <w:color w:val="231F20"/>
          <w:w w:val="120"/>
        </w:rPr>
        <w:t>de ses sentiments qu’un individu fermé, à penser et à agir d’une façon individualiste</w:t>
      </w:r>
      <w:r>
        <w:rPr>
          <w:color w:val="231F20"/>
          <w:spacing w:val="-13"/>
          <w:w w:val="120"/>
        </w:rPr>
        <w:t> </w:t>
      </w:r>
      <w:r>
        <w:rPr>
          <w:color w:val="231F20"/>
          <w:w w:val="120"/>
        </w:rPr>
        <w:t>et</w:t>
      </w:r>
      <w:r>
        <w:rPr>
          <w:color w:val="231F20"/>
          <w:spacing w:val="-13"/>
          <w:w w:val="120"/>
        </w:rPr>
        <w:t> </w:t>
      </w:r>
      <w:r>
        <w:rPr>
          <w:color w:val="231F20"/>
          <w:w w:val="120"/>
        </w:rPr>
        <w:t>non</w:t>
      </w:r>
      <w:r>
        <w:rPr>
          <w:color w:val="231F20"/>
          <w:spacing w:val="-13"/>
          <w:w w:val="120"/>
        </w:rPr>
        <w:t> </w:t>
      </w:r>
      <w:r>
        <w:rPr>
          <w:color w:val="231F20"/>
          <w:w w:val="120"/>
        </w:rPr>
        <w:t>conformiste.</w:t>
      </w:r>
      <w:r>
        <w:rPr>
          <w:color w:val="231F20"/>
          <w:spacing w:val="-12"/>
          <w:w w:val="120"/>
        </w:rPr>
        <w:t> </w:t>
      </w:r>
      <w:r>
        <w:rPr>
          <w:color w:val="231F20"/>
          <w:w w:val="120"/>
        </w:rPr>
        <w:t>La</w:t>
      </w:r>
      <w:r>
        <w:rPr>
          <w:color w:val="231F20"/>
          <w:spacing w:val="-13"/>
          <w:w w:val="120"/>
        </w:rPr>
        <w:t> </w:t>
      </w:r>
      <w:r>
        <w:rPr>
          <w:color w:val="231F20"/>
          <w:w w:val="120"/>
        </w:rPr>
        <w:t>personne</w:t>
      </w:r>
      <w:r>
        <w:rPr>
          <w:color w:val="231F20"/>
          <w:spacing w:val="-13"/>
          <w:w w:val="120"/>
        </w:rPr>
        <w:t> </w:t>
      </w:r>
      <w:r>
        <w:rPr>
          <w:color w:val="231F20"/>
          <w:w w:val="120"/>
        </w:rPr>
        <w:t>qui</w:t>
      </w:r>
      <w:r>
        <w:rPr>
          <w:color w:val="231F20"/>
          <w:spacing w:val="-13"/>
          <w:w w:val="120"/>
        </w:rPr>
        <w:t> </w:t>
      </w:r>
      <w:r>
        <w:rPr>
          <w:color w:val="231F20"/>
          <w:w w:val="120"/>
        </w:rPr>
        <w:t>a</w:t>
      </w:r>
      <w:r>
        <w:rPr>
          <w:color w:val="231F20"/>
          <w:spacing w:val="-12"/>
          <w:w w:val="120"/>
        </w:rPr>
        <w:t> </w:t>
      </w:r>
      <w:r>
        <w:rPr>
          <w:color w:val="231F20"/>
          <w:w w:val="120"/>
        </w:rPr>
        <w:t>un</w:t>
      </w:r>
      <w:r>
        <w:rPr>
          <w:color w:val="231F20"/>
          <w:spacing w:val="-13"/>
          <w:w w:val="120"/>
        </w:rPr>
        <w:t> </w:t>
      </w:r>
      <w:r>
        <w:rPr>
          <w:color w:val="231F20"/>
          <w:w w:val="120"/>
        </w:rPr>
        <w:t>penchant</w:t>
      </w:r>
      <w:r>
        <w:rPr>
          <w:color w:val="231F20"/>
          <w:spacing w:val="-13"/>
          <w:w w:val="120"/>
        </w:rPr>
        <w:t> </w:t>
      </w:r>
      <w:r>
        <w:rPr>
          <w:color w:val="231F20"/>
          <w:w w:val="120"/>
        </w:rPr>
        <w:t>vers</w:t>
      </w:r>
      <w:r>
        <w:rPr>
          <w:color w:val="231F20"/>
          <w:spacing w:val="-13"/>
          <w:w w:val="120"/>
        </w:rPr>
        <w:t> </w:t>
      </w:r>
      <w:r>
        <w:rPr>
          <w:color w:val="231F20"/>
          <w:w w:val="120"/>
        </w:rPr>
        <w:t>la fermeture à l’expérience tend à avoir des champs d’intérêt précis et étroits.</w:t>
      </w:r>
      <w:r>
        <w:rPr>
          <w:color w:val="231F20"/>
          <w:spacing w:val="-12"/>
          <w:w w:val="120"/>
        </w:rPr>
        <w:t> </w:t>
      </w:r>
      <w:r>
        <w:rPr>
          <w:color w:val="231F20"/>
          <w:w w:val="120"/>
        </w:rPr>
        <w:t>Elle</w:t>
      </w:r>
      <w:r>
        <w:rPr>
          <w:color w:val="231F20"/>
          <w:spacing w:val="-12"/>
          <w:w w:val="120"/>
        </w:rPr>
        <w:t> </w:t>
      </w:r>
      <w:r>
        <w:rPr>
          <w:color w:val="231F20"/>
          <w:w w:val="120"/>
        </w:rPr>
        <w:t>préfère</w:t>
      </w:r>
      <w:r>
        <w:rPr>
          <w:color w:val="231F20"/>
          <w:spacing w:val="-12"/>
          <w:w w:val="120"/>
        </w:rPr>
        <w:t> </w:t>
      </w:r>
      <w:r>
        <w:rPr>
          <w:color w:val="231F20"/>
          <w:w w:val="120"/>
        </w:rPr>
        <w:t>ce</w:t>
      </w:r>
      <w:r>
        <w:rPr>
          <w:color w:val="231F20"/>
          <w:spacing w:val="-12"/>
          <w:w w:val="120"/>
        </w:rPr>
        <w:t> </w:t>
      </w:r>
      <w:r>
        <w:rPr>
          <w:color w:val="231F20"/>
          <w:w w:val="120"/>
        </w:rPr>
        <w:t>qui</w:t>
      </w:r>
      <w:r>
        <w:rPr>
          <w:color w:val="231F20"/>
          <w:spacing w:val="-12"/>
          <w:w w:val="120"/>
        </w:rPr>
        <w:t> </w:t>
      </w:r>
      <w:r>
        <w:rPr>
          <w:color w:val="231F20"/>
          <w:w w:val="120"/>
        </w:rPr>
        <w:t>est</w:t>
      </w:r>
      <w:r>
        <w:rPr>
          <w:color w:val="231F20"/>
          <w:spacing w:val="-12"/>
          <w:w w:val="120"/>
        </w:rPr>
        <w:t> </w:t>
      </w:r>
      <w:r>
        <w:rPr>
          <w:color w:val="231F20"/>
          <w:w w:val="120"/>
        </w:rPr>
        <w:t>simple,</w:t>
      </w:r>
      <w:r>
        <w:rPr>
          <w:color w:val="231F20"/>
          <w:spacing w:val="-12"/>
          <w:w w:val="120"/>
        </w:rPr>
        <w:t> </w:t>
      </w:r>
      <w:r>
        <w:rPr>
          <w:color w:val="231F20"/>
          <w:w w:val="120"/>
        </w:rPr>
        <w:t>sans</w:t>
      </w:r>
      <w:r>
        <w:rPr>
          <w:color w:val="231F20"/>
          <w:spacing w:val="-12"/>
          <w:w w:val="120"/>
        </w:rPr>
        <w:t> </w:t>
      </w:r>
      <w:r>
        <w:rPr>
          <w:color w:val="231F20"/>
          <w:w w:val="120"/>
        </w:rPr>
        <w:t>détour</w:t>
      </w:r>
      <w:r>
        <w:rPr>
          <w:color w:val="231F20"/>
          <w:spacing w:val="-12"/>
          <w:w w:val="120"/>
        </w:rPr>
        <w:t> </w:t>
      </w:r>
      <w:r>
        <w:rPr>
          <w:color w:val="231F20"/>
          <w:w w:val="120"/>
        </w:rPr>
        <w:t>et</w:t>
      </w:r>
      <w:r>
        <w:rPr>
          <w:color w:val="231F20"/>
          <w:spacing w:val="-12"/>
          <w:w w:val="120"/>
        </w:rPr>
        <w:t> </w:t>
      </w:r>
      <w:r>
        <w:rPr>
          <w:color w:val="231F20"/>
          <w:w w:val="120"/>
        </w:rPr>
        <w:t>évident,</w:t>
      </w:r>
      <w:r>
        <w:rPr>
          <w:color w:val="231F20"/>
          <w:spacing w:val="-12"/>
          <w:w w:val="120"/>
        </w:rPr>
        <w:t> </w:t>
      </w:r>
      <w:r>
        <w:rPr>
          <w:color w:val="231F20"/>
          <w:w w:val="120"/>
        </w:rPr>
        <w:t>à</w:t>
      </w:r>
      <w:r>
        <w:rPr>
          <w:color w:val="231F20"/>
          <w:spacing w:val="-12"/>
          <w:w w:val="120"/>
        </w:rPr>
        <w:t> </w:t>
      </w:r>
      <w:r>
        <w:rPr>
          <w:color w:val="231F20"/>
          <w:w w:val="120"/>
        </w:rPr>
        <w:t>ce</w:t>
      </w:r>
      <w:r>
        <w:rPr>
          <w:color w:val="231F20"/>
          <w:spacing w:val="-12"/>
          <w:w w:val="120"/>
        </w:rPr>
        <w:t> </w:t>
      </w:r>
      <w:r>
        <w:rPr>
          <w:color w:val="231F20"/>
          <w:w w:val="120"/>
        </w:rPr>
        <w:t>qui</w:t>
      </w:r>
      <w:r>
        <w:rPr>
          <w:color w:val="231F20"/>
          <w:spacing w:val="-12"/>
          <w:w w:val="120"/>
        </w:rPr>
        <w:t> </w:t>
      </w:r>
      <w:r>
        <w:rPr>
          <w:color w:val="231F20"/>
          <w:w w:val="120"/>
        </w:rPr>
        <w:t>est </w:t>
      </w:r>
      <w:r>
        <w:rPr>
          <w:color w:val="231F20"/>
          <w:w w:val="115"/>
        </w:rPr>
        <w:t>complexe,</w:t>
      </w:r>
      <w:r>
        <w:rPr>
          <w:color w:val="231F20"/>
          <w:spacing w:val="-13"/>
          <w:w w:val="115"/>
        </w:rPr>
        <w:t> </w:t>
      </w:r>
      <w:r>
        <w:rPr>
          <w:color w:val="231F20"/>
          <w:w w:val="115"/>
        </w:rPr>
        <w:t>ambigu</w:t>
      </w:r>
      <w:r>
        <w:rPr>
          <w:color w:val="231F20"/>
          <w:spacing w:val="-12"/>
          <w:w w:val="115"/>
        </w:rPr>
        <w:t> </w:t>
      </w:r>
      <w:r>
        <w:rPr>
          <w:color w:val="231F20"/>
          <w:w w:val="115"/>
        </w:rPr>
        <w:t>et</w:t>
      </w:r>
      <w:r>
        <w:rPr>
          <w:color w:val="231F20"/>
          <w:spacing w:val="-12"/>
          <w:w w:val="115"/>
        </w:rPr>
        <w:t> </w:t>
      </w:r>
      <w:r>
        <w:rPr>
          <w:color w:val="231F20"/>
          <w:w w:val="115"/>
        </w:rPr>
        <w:t>subtil.</w:t>
      </w:r>
      <w:r>
        <w:rPr>
          <w:color w:val="231F20"/>
          <w:spacing w:val="-12"/>
          <w:w w:val="115"/>
        </w:rPr>
        <w:t> </w:t>
      </w:r>
      <w:r>
        <w:rPr>
          <w:color w:val="231F20"/>
          <w:w w:val="115"/>
        </w:rPr>
        <w:t>Elle</w:t>
      </w:r>
      <w:r>
        <w:rPr>
          <w:color w:val="231F20"/>
          <w:spacing w:val="-13"/>
          <w:w w:val="115"/>
        </w:rPr>
        <w:t> </w:t>
      </w:r>
      <w:r>
        <w:rPr>
          <w:color w:val="231F20"/>
          <w:w w:val="115"/>
        </w:rPr>
        <w:t>évite</w:t>
      </w:r>
      <w:r>
        <w:rPr>
          <w:color w:val="231F20"/>
          <w:spacing w:val="-12"/>
          <w:w w:val="115"/>
        </w:rPr>
        <w:t> </w:t>
      </w:r>
      <w:r>
        <w:rPr>
          <w:color w:val="231F20"/>
          <w:w w:val="115"/>
        </w:rPr>
        <w:t>les</w:t>
      </w:r>
      <w:r>
        <w:rPr>
          <w:color w:val="231F20"/>
          <w:spacing w:val="-12"/>
          <w:w w:val="115"/>
        </w:rPr>
        <w:t> </w:t>
      </w:r>
      <w:r>
        <w:rPr>
          <w:color w:val="231F20"/>
          <w:w w:val="115"/>
        </w:rPr>
        <w:t>arts</w:t>
      </w:r>
      <w:r>
        <w:rPr>
          <w:color w:val="231F20"/>
          <w:spacing w:val="-12"/>
          <w:w w:val="115"/>
        </w:rPr>
        <w:t> </w:t>
      </w:r>
      <w:r>
        <w:rPr>
          <w:color w:val="231F20"/>
          <w:w w:val="115"/>
        </w:rPr>
        <w:t>et</w:t>
      </w:r>
      <w:r>
        <w:rPr>
          <w:color w:val="231F20"/>
          <w:spacing w:val="-12"/>
          <w:w w:val="115"/>
        </w:rPr>
        <w:t> </w:t>
      </w:r>
      <w:r>
        <w:rPr>
          <w:color w:val="231F20"/>
          <w:w w:val="115"/>
        </w:rPr>
        <w:t>les</w:t>
      </w:r>
      <w:r>
        <w:rPr>
          <w:color w:val="231F20"/>
          <w:spacing w:val="-13"/>
          <w:w w:val="115"/>
        </w:rPr>
        <w:t> </w:t>
      </w:r>
      <w:r>
        <w:rPr>
          <w:color w:val="231F20"/>
          <w:w w:val="115"/>
        </w:rPr>
        <w:t>sciences,</w:t>
      </w:r>
      <w:r>
        <w:rPr>
          <w:color w:val="231F20"/>
          <w:spacing w:val="-12"/>
          <w:w w:val="115"/>
        </w:rPr>
        <w:t> </w:t>
      </w:r>
      <w:r>
        <w:rPr>
          <w:color w:val="231F20"/>
          <w:w w:val="115"/>
        </w:rPr>
        <w:t>qu’elle</w:t>
      </w:r>
      <w:r>
        <w:rPr>
          <w:color w:val="231F20"/>
          <w:spacing w:val="-12"/>
          <w:w w:val="115"/>
        </w:rPr>
        <w:t> </w:t>
      </w:r>
      <w:r>
        <w:rPr>
          <w:color w:val="231F20"/>
          <w:w w:val="115"/>
        </w:rPr>
        <w:t>consi- </w:t>
      </w:r>
      <w:r>
        <w:rPr>
          <w:color w:val="231F20"/>
          <w:w w:val="120"/>
        </w:rPr>
        <w:t>dère comme des pratiques trop abstraites et dénuées d’utilité pratique. </w:t>
      </w:r>
      <w:r>
        <w:rPr>
          <w:color w:val="231F20"/>
          <w:spacing w:val="-2"/>
          <w:w w:val="120"/>
        </w:rPr>
        <w:t>La</w:t>
      </w:r>
      <w:r>
        <w:rPr>
          <w:color w:val="231F20"/>
          <w:spacing w:val="-6"/>
          <w:w w:val="120"/>
        </w:rPr>
        <w:t> </w:t>
      </w:r>
      <w:r>
        <w:rPr>
          <w:color w:val="231F20"/>
          <w:spacing w:val="-2"/>
          <w:w w:val="120"/>
        </w:rPr>
        <w:t>personne</w:t>
      </w:r>
      <w:r>
        <w:rPr>
          <w:color w:val="231F20"/>
          <w:spacing w:val="-6"/>
          <w:w w:val="120"/>
        </w:rPr>
        <w:t> </w:t>
      </w:r>
      <w:r>
        <w:rPr>
          <w:color w:val="231F20"/>
          <w:spacing w:val="-2"/>
          <w:w w:val="120"/>
        </w:rPr>
        <w:t>fermée</w:t>
      </w:r>
      <w:r>
        <w:rPr>
          <w:color w:val="231F20"/>
          <w:spacing w:val="-6"/>
          <w:w w:val="120"/>
        </w:rPr>
        <w:t> </w:t>
      </w:r>
      <w:r>
        <w:rPr>
          <w:color w:val="231F20"/>
          <w:spacing w:val="-2"/>
          <w:w w:val="120"/>
        </w:rPr>
        <w:t>préfère</w:t>
      </w:r>
      <w:r>
        <w:rPr>
          <w:color w:val="231F20"/>
          <w:spacing w:val="-6"/>
          <w:w w:val="120"/>
        </w:rPr>
        <w:t> </w:t>
      </w:r>
      <w:r>
        <w:rPr>
          <w:color w:val="231F20"/>
          <w:spacing w:val="-2"/>
          <w:w w:val="120"/>
        </w:rPr>
        <w:t>la</w:t>
      </w:r>
      <w:r>
        <w:rPr>
          <w:color w:val="231F20"/>
          <w:spacing w:val="-6"/>
          <w:w w:val="120"/>
        </w:rPr>
        <w:t> </w:t>
      </w:r>
      <w:r>
        <w:rPr>
          <w:color w:val="231F20"/>
          <w:spacing w:val="-2"/>
          <w:w w:val="120"/>
        </w:rPr>
        <w:t>familiarité</w:t>
      </w:r>
      <w:r>
        <w:rPr>
          <w:color w:val="231F20"/>
          <w:spacing w:val="-6"/>
          <w:w w:val="120"/>
        </w:rPr>
        <w:t> </w:t>
      </w:r>
      <w:r>
        <w:rPr>
          <w:color w:val="231F20"/>
          <w:spacing w:val="-2"/>
          <w:w w:val="120"/>
        </w:rPr>
        <w:t>à</w:t>
      </w:r>
      <w:r>
        <w:rPr>
          <w:color w:val="231F20"/>
          <w:spacing w:val="-6"/>
          <w:w w:val="120"/>
        </w:rPr>
        <w:t> </w:t>
      </w:r>
      <w:r>
        <w:rPr>
          <w:color w:val="231F20"/>
          <w:spacing w:val="-2"/>
          <w:w w:val="120"/>
        </w:rPr>
        <w:t>la</w:t>
      </w:r>
      <w:r>
        <w:rPr>
          <w:color w:val="231F20"/>
          <w:spacing w:val="-6"/>
          <w:w w:val="120"/>
        </w:rPr>
        <w:t> </w:t>
      </w:r>
      <w:r>
        <w:rPr>
          <w:color w:val="231F20"/>
          <w:spacing w:val="-2"/>
          <w:w w:val="120"/>
        </w:rPr>
        <w:t>nouveauté;</w:t>
      </w:r>
      <w:r>
        <w:rPr>
          <w:color w:val="231F20"/>
          <w:spacing w:val="-6"/>
          <w:w w:val="120"/>
        </w:rPr>
        <w:t> </w:t>
      </w:r>
      <w:r>
        <w:rPr>
          <w:color w:val="231F20"/>
          <w:spacing w:val="-2"/>
          <w:w w:val="120"/>
        </w:rPr>
        <w:t>elle</w:t>
      </w:r>
      <w:r>
        <w:rPr>
          <w:color w:val="231F20"/>
          <w:spacing w:val="-6"/>
          <w:w w:val="120"/>
        </w:rPr>
        <w:t> </w:t>
      </w:r>
      <w:r>
        <w:rPr>
          <w:color w:val="231F20"/>
          <w:spacing w:val="-2"/>
          <w:w w:val="120"/>
        </w:rPr>
        <w:t>est</w:t>
      </w:r>
      <w:r>
        <w:rPr>
          <w:color w:val="231F20"/>
          <w:spacing w:val="-6"/>
          <w:w w:val="120"/>
        </w:rPr>
        <w:t> </w:t>
      </w:r>
      <w:r>
        <w:rPr>
          <w:color w:val="231F20"/>
          <w:spacing w:val="-2"/>
          <w:w w:val="120"/>
        </w:rPr>
        <w:t>conser- vatrice</w:t>
      </w:r>
      <w:r>
        <w:rPr>
          <w:color w:val="231F20"/>
          <w:spacing w:val="-8"/>
          <w:w w:val="120"/>
        </w:rPr>
        <w:t> </w:t>
      </w:r>
      <w:r>
        <w:rPr>
          <w:color w:val="231F20"/>
          <w:spacing w:val="-2"/>
          <w:w w:val="120"/>
        </w:rPr>
        <w:t>et</w:t>
      </w:r>
      <w:r>
        <w:rPr>
          <w:color w:val="231F20"/>
          <w:spacing w:val="-8"/>
          <w:w w:val="120"/>
        </w:rPr>
        <w:t> </w:t>
      </w:r>
      <w:r>
        <w:rPr>
          <w:color w:val="231F20"/>
          <w:spacing w:val="-2"/>
          <w:w w:val="120"/>
        </w:rPr>
        <w:t>résiste</w:t>
      </w:r>
      <w:r>
        <w:rPr>
          <w:color w:val="231F20"/>
          <w:spacing w:val="-8"/>
          <w:w w:val="120"/>
        </w:rPr>
        <w:t> </w:t>
      </w:r>
      <w:r>
        <w:rPr>
          <w:color w:val="231F20"/>
          <w:spacing w:val="-2"/>
          <w:w w:val="120"/>
        </w:rPr>
        <w:t>au</w:t>
      </w:r>
      <w:r>
        <w:rPr>
          <w:color w:val="231F20"/>
          <w:spacing w:val="-8"/>
          <w:w w:val="120"/>
        </w:rPr>
        <w:t> </w:t>
      </w:r>
      <w:r>
        <w:rPr>
          <w:color w:val="231F20"/>
          <w:spacing w:val="-2"/>
          <w:w w:val="120"/>
        </w:rPr>
        <w:t>changement.</w:t>
      </w:r>
      <w:r>
        <w:rPr>
          <w:color w:val="231F20"/>
          <w:spacing w:val="-8"/>
          <w:w w:val="120"/>
        </w:rPr>
        <w:t> </w:t>
      </w:r>
      <w:r>
        <w:rPr>
          <w:color w:val="231F20"/>
          <w:spacing w:val="-2"/>
          <w:w w:val="120"/>
        </w:rPr>
        <w:t>Bien</w:t>
      </w:r>
      <w:r>
        <w:rPr>
          <w:color w:val="231F20"/>
          <w:spacing w:val="-8"/>
          <w:w w:val="120"/>
        </w:rPr>
        <w:t> </w:t>
      </w:r>
      <w:r>
        <w:rPr>
          <w:color w:val="231F20"/>
          <w:spacing w:val="-2"/>
          <w:w w:val="120"/>
        </w:rPr>
        <w:t>des</w:t>
      </w:r>
      <w:r>
        <w:rPr>
          <w:color w:val="231F20"/>
          <w:spacing w:val="-8"/>
          <w:w w:val="120"/>
        </w:rPr>
        <w:t> </w:t>
      </w:r>
      <w:r>
        <w:rPr>
          <w:color w:val="231F20"/>
          <w:spacing w:val="-2"/>
          <w:w w:val="120"/>
        </w:rPr>
        <w:t>psychologues</w:t>
      </w:r>
      <w:r>
        <w:rPr>
          <w:color w:val="231F20"/>
          <w:spacing w:val="-8"/>
          <w:w w:val="120"/>
        </w:rPr>
        <w:t> </w:t>
      </w:r>
      <w:r>
        <w:rPr>
          <w:color w:val="231F20"/>
          <w:spacing w:val="-2"/>
          <w:w w:val="120"/>
        </w:rPr>
        <w:t>présentent</w:t>
      </w:r>
      <w:r>
        <w:rPr>
          <w:color w:val="231F20"/>
          <w:spacing w:val="-8"/>
          <w:w w:val="120"/>
        </w:rPr>
        <w:t> </w:t>
      </w:r>
      <w:r>
        <w:rPr>
          <w:color w:val="231F20"/>
          <w:spacing w:val="-2"/>
          <w:w w:val="120"/>
        </w:rPr>
        <w:t>l’ou- </w:t>
      </w:r>
      <w:r>
        <w:rPr>
          <w:color w:val="231F20"/>
          <w:w w:val="120"/>
        </w:rPr>
        <w:t>verture</w:t>
      </w:r>
      <w:r>
        <w:rPr>
          <w:color w:val="231F20"/>
          <w:spacing w:val="-13"/>
          <w:w w:val="120"/>
        </w:rPr>
        <w:t> </w:t>
      </w:r>
      <w:r>
        <w:rPr>
          <w:color w:val="231F20"/>
          <w:w w:val="120"/>
        </w:rPr>
        <w:t>comme</w:t>
      </w:r>
      <w:r>
        <w:rPr>
          <w:color w:val="231F20"/>
          <w:spacing w:val="-13"/>
          <w:w w:val="120"/>
        </w:rPr>
        <w:t> </w:t>
      </w:r>
      <w:r>
        <w:rPr>
          <w:color w:val="231F20"/>
          <w:w w:val="120"/>
        </w:rPr>
        <w:t>une</w:t>
      </w:r>
      <w:r>
        <w:rPr>
          <w:color w:val="231F20"/>
          <w:spacing w:val="-13"/>
          <w:w w:val="120"/>
        </w:rPr>
        <w:t> </w:t>
      </w:r>
      <w:r>
        <w:rPr>
          <w:color w:val="231F20"/>
          <w:w w:val="120"/>
        </w:rPr>
        <w:t>attitude</w:t>
      </w:r>
      <w:r>
        <w:rPr>
          <w:color w:val="231F20"/>
          <w:spacing w:val="-12"/>
          <w:w w:val="120"/>
        </w:rPr>
        <w:t> </w:t>
      </w:r>
      <w:r>
        <w:rPr>
          <w:color w:val="231F20"/>
          <w:w w:val="120"/>
        </w:rPr>
        <w:t>plus</w:t>
      </w:r>
      <w:r>
        <w:rPr>
          <w:color w:val="231F20"/>
          <w:spacing w:val="-13"/>
          <w:w w:val="120"/>
        </w:rPr>
        <w:t> </w:t>
      </w:r>
      <w:r>
        <w:rPr>
          <w:color w:val="231F20"/>
          <w:w w:val="120"/>
        </w:rPr>
        <w:t>saine</w:t>
      </w:r>
      <w:r>
        <w:rPr>
          <w:color w:val="231F20"/>
          <w:spacing w:val="-13"/>
          <w:w w:val="120"/>
        </w:rPr>
        <w:t> </w:t>
      </w:r>
      <w:r>
        <w:rPr>
          <w:color w:val="231F20"/>
          <w:w w:val="120"/>
        </w:rPr>
        <w:t>ou</w:t>
      </w:r>
      <w:r>
        <w:rPr>
          <w:color w:val="231F20"/>
          <w:spacing w:val="-13"/>
          <w:w w:val="120"/>
        </w:rPr>
        <w:t> </w:t>
      </w:r>
      <w:r>
        <w:rPr>
          <w:color w:val="231F20"/>
          <w:w w:val="120"/>
        </w:rPr>
        <w:t>plus</w:t>
      </w:r>
      <w:r>
        <w:rPr>
          <w:color w:val="231F20"/>
          <w:spacing w:val="-12"/>
          <w:w w:val="120"/>
        </w:rPr>
        <w:t> </w:t>
      </w:r>
      <w:r>
        <w:rPr>
          <w:color w:val="231F20"/>
          <w:w w:val="120"/>
        </w:rPr>
        <w:t>mature,</w:t>
      </w:r>
      <w:r>
        <w:rPr>
          <w:color w:val="231F20"/>
          <w:spacing w:val="-13"/>
          <w:w w:val="120"/>
        </w:rPr>
        <w:t> </w:t>
      </w:r>
      <w:r>
        <w:rPr>
          <w:color w:val="231F20"/>
          <w:w w:val="120"/>
        </w:rPr>
        <w:t>étant</w:t>
      </w:r>
      <w:r>
        <w:rPr>
          <w:color w:val="231F20"/>
          <w:spacing w:val="-13"/>
          <w:w w:val="120"/>
        </w:rPr>
        <w:t> </w:t>
      </w:r>
      <w:r>
        <w:rPr>
          <w:color w:val="231F20"/>
          <w:w w:val="120"/>
        </w:rPr>
        <w:t>eux-mêmes </w:t>
      </w:r>
      <w:r>
        <w:rPr>
          <w:color w:val="231F20"/>
          <w:spacing w:val="-2"/>
          <w:w w:val="120"/>
        </w:rPr>
        <w:t>souvent</w:t>
      </w:r>
      <w:r>
        <w:rPr>
          <w:color w:val="231F20"/>
          <w:spacing w:val="-6"/>
          <w:w w:val="120"/>
        </w:rPr>
        <w:t> </w:t>
      </w:r>
      <w:r>
        <w:rPr>
          <w:color w:val="231F20"/>
          <w:spacing w:val="-2"/>
          <w:w w:val="120"/>
        </w:rPr>
        <w:t>ouverts</w:t>
      </w:r>
      <w:r>
        <w:rPr>
          <w:color w:val="231F20"/>
          <w:spacing w:val="-6"/>
          <w:w w:val="120"/>
        </w:rPr>
        <w:t> </w:t>
      </w:r>
      <w:r>
        <w:rPr>
          <w:color w:val="231F20"/>
          <w:spacing w:val="-2"/>
          <w:w w:val="120"/>
        </w:rPr>
        <w:t>à</w:t>
      </w:r>
      <w:r>
        <w:rPr>
          <w:color w:val="231F20"/>
          <w:spacing w:val="-6"/>
          <w:w w:val="120"/>
        </w:rPr>
        <w:t> </w:t>
      </w:r>
      <w:r>
        <w:rPr>
          <w:color w:val="231F20"/>
          <w:spacing w:val="-2"/>
          <w:w w:val="120"/>
        </w:rPr>
        <w:t>l’expérience.</w:t>
      </w:r>
      <w:r>
        <w:rPr>
          <w:color w:val="231F20"/>
          <w:spacing w:val="-6"/>
          <w:w w:val="120"/>
        </w:rPr>
        <w:t> </w:t>
      </w:r>
      <w:r>
        <w:rPr>
          <w:color w:val="231F20"/>
          <w:spacing w:val="-2"/>
          <w:w w:val="120"/>
        </w:rPr>
        <w:t>Toutefois,</w:t>
      </w:r>
      <w:r>
        <w:rPr>
          <w:color w:val="231F20"/>
          <w:spacing w:val="-6"/>
          <w:w w:val="120"/>
        </w:rPr>
        <w:t> </w:t>
      </w:r>
      <w:r>
        <w:rPr>
          <w:color w:val="231F20"/>
          <w:spacing w:val="-2"/>
          <w:w w:val="120"/>
        </w:rPr>
        <w:t>les</w:t>
      </w:r>
      <w:r>
        <w:rPr>
          <w:color w:val="231F20"/>
          <w:spacing w:val="-6"/>
          <w:w w:val="120"/>
        </w:rPr>
        <w:t> </w:t>
      </w:r>
      <w:r>
        <w:rPr>
          <w:color w:val="231F20"/>
          <w:spacing w:val="-2"/>
          <w:w w:val="120"/>
        </w:rPr>
        <w:t>deux</w:t>
      </w:r>
      <w:r>
        <w:rPr>
          <w:color w:val="231F20"/>
          <w:spacing w:val="-6"/>
          <w:w w:val="120"/>
        </w:rPr>
        <w:t> </w:t>
      </w:r>
      <w:r>
        <w:rPr>
          <w:color w:val="231F20"/>
          <w:spacing w:val="-2"/>
          <w:w w:val="120"/>
        </w:rPr>
        <w:t>modes</w:t>
      </w:r>
      <w:r>
        <w:rPr>
          <w:color w:val="231F20"/>
          <w:spacing w:val="-6"/>
          <w:w w:val="120"/>
        </w:rPr>
        <w:t> </w:t>
      </w:r>
      <w:r>
        <w:rPr>
          <w:color w:val="231F20"/>
          <w:spacing w:val="-2"/>
          <w:w w:val="120"/>
        </w:rPr>
        <w:t>de</w:t>
      </w:r>
      <w:r>
        <w:rPr>
          <w:color w:val="231F20"/>
          <w:spacing w:val="-6"/>
          <w:w w:val="120"/>
        </w:rPr>
        <w:t> </w:t>
      </w:r>
      <w:r>
        <w:rPr>
          <w:color w:val="231F20"/>
          <w:spacing w:val="-2"/>
          <w:w w:val="120"/>
        </w:rPr>
        <w:t>pensée</w:t>
      </w:r>
      <w:r>
        <w:rPr>
          <w:color w:val="231F20"/>
          <w:spacing w:val="-6"/>
          <w:w w:val="120"/>
        </w:rPr>
        <w:t> </w:t>
      </w:r>
      <w:r>
        <w:rPr>
          <w:color w:val="231F20"/>
          <w:spacing w:val="-2"/>
          <w:w w:val="120"/>
        </w:rPr>
        <w:t>ont </w:t>
      </w:r>
      <w:r>
        <w:rPr>
          <w:color w:val="231F20"/>
          <w:w w:val="120"/>
        </w:rPr>
        <w:t>leur utilité dans certains milieux. Le style intellectuel de la personne ouverte à l’expérience servira bien un professeur, mais certains ont constaté cependant que la fermeture à l’expérience pouvait être asso- ciée</w:t>
      </w:r>
      <w:r>
        <w:rPr>
          <w:color w:val="231F20"/>
          <w:spacing w:val="-6"/>
          <w:w w:val="120"/>
        </w:rPr>
        <w:t> </w:t>
      </w:r>
      <w:r>
        <w:rPr>
          <w:color w:val="231F20"/>
          <w:w w:val="120"/>
        </w:rPr>
        <w:t>au</w:t>
      </w:r>
      <w:r>
        <w:rPr>
          <w:color w:val="231F20"/>
          <w:spacing w:val="-6"/>
          <w:w w:val="120"/>
        </w:rPr>
        <w:t> </w:t>
      </w:r>
      <w:r>
        <w:rPr>
          <w:color w:val="231F20"/>
          <w:w w:val="120"/>
        </w:rPr>
        <w:t>rendement</w:t>
      </w:r>
      <w:r>
        <w:rPr>
          <w:color w:val="231F20"/>
          <w:spacing w:val="-6"/>
          <w:w w:val="120"/>
        </w:rPr>
        <w:t> </w:t>
      </w:r>
      <w:r>
        <w:rPr>
          <w:color w:val="231F20"/>
          <w:w w:val="120"/>
        </w:rPr>
        <w:t>professionnel</w:t>
      </w:r>
      <w:r>
        <w:rPr>
          <w:color w:val="231F20"/>
          <w:spacing w:val="-6"/>
          <w:w w:val="120"/>
        </w:rPr>
        <w:t> </w:t>
      </w:r>
      <w:r>
        <w:rPr>
          <w:color w:val="231F20"/>
          <w:w w:val="120"/>
        </w:rPr>
        <w:t>dans</w:t>
      </w:r>
      <w:r>
        <w:rPr>
          <w:color w:val="231F20"/>
          <w:spacing w:val="-6"/>
          <w:w w:val="120"/>
        </w:rPr>
        <w:t> </w:t>
      </w:r>
      <w:r>
        <w:rPr>
          <w:color w:val="231F20"/>
          <w:w w:val="120"/>
        </w:rPr>
        <w:t>des</w:t>
      </w:r>
      <w:r>
        <w:rPr>
          <w:color w:val="231F20"/>
          <w:spacing w:val="-6"/>
          <w:w w:val="120"/>
        </w:rPr>
        <w:t> </w:t>
      </w:r>
      <w:r>
        <w:rPr>
          <w:color w:val="231F20"/>
          <w:w w:val="120"/>
        </w:rPr>
        <w:t>emplois</w:t>
      </w:r>
      <w:r>
        <w:rPr>
          <w:color w:val="231F20"/>
          <w:spacing w:val="-6"/>
          <w:w w:val="120"/>
        </w:rPr>
        <w:t> </w:t>
      </w:r>
      <w:r>
        <w:rPr>
          <w:color w:val="231F20"/>
          <w:w w:val="120"/>
        </w:rPr>
        <w:t>fortement</w:t>
      </w:r>
      <w:r>
        <w:rPr>
          <w:color w:val="231F20"/>
          <w:spacing w:val="-6"/>
          <w:w w:val="120"/>
        </w:rPr>
        <w:t> </w:t>
      </w:r>
      <w:r>
        <w:rPr>
          <w:color w:val="231F20"/>
          <w:w w:val="120"/>
        </w:rPr>
        <w:t>structurés (p. ex. policier, douanier). Il est aisé de considérer que l’exposition au stress</w:t>
      </w:r>
      <w:r>
        <w:rPr>
          <w:color w:val="231F20"/>
          <w:spacing w:val="-2"/>
          <w:w w:val="120"/>
        </w:rPr>
        <w:t> </w:t>
      </w:r>
      <w:r>
        <w:rPr>
          <w:color w:val="231F20"/>
          <w:w w:val="120"/>
        </w:rPr>
        <w:t>variera en fonction de ce facteur de personnalité</w:t>
      </w:r>
      <w:r>
        <w:rPr>
          <w:color w:val="231F20"/>
          <w:spacing w:val="-13"/>
          <w:w w:val="120"/>
        </w:rPr>
        <w:t> </w:t>
      </w:r>
      <w:r>
        <w:rPr>
          <w:color w:val="231F20"/>
          <w:w w:val="120"/>
        </w:rPr>
        <w:t>; l’ouverture à l’expérience pouvant être considérée comme une dimension de la per- sonnalité qui amène la personne à s’exposer régulièrement à de nou- veaux</w:t>
      </w:r>
      <w:r>
        <w:rPr>
          <w:color w:val="231F20"/>
          <w:spacing w:val="40"/>
          <w:w w:val="120"/>
        </w:rPr>
        <w:t> </w:t>
      </w:r>
      <w:r>
        <w:rPr>
          <w:color w:val="231F20"/>
          <w:w w:val="120"/>
        </w:rPr>
        <w:t>stresseurs,</w:t>
      </w:r>
      <w:r>
        <w:rPr>
          <w:color w:val="231F20"/>
          <w:spacing w:val="40"/>
          <w:w w:val="120"/>
        </w:rPr>
        <w:t> </w:t>
      </w:r>
      <w:r>
        <w:rPr>
          <w:color w:val="231F20"/>
          <w:w w:val="120"/>
        </w:rPr>
        <w:t>mais</w:t>
      </w:r>
      <w:r>
        <w:rPr>
          <w:color w:val="231F20"/>
          <w:spacing w:val="40"/>
          <w:w w:val="120"/>
        </w:rPr>
        <w:t> </w:t>
      </w:r>
      <w:r>
        <w:rPr>
          <w:color w:val="231F20"/>
          <w:w w:val="120"/>
        </w:rPr>
        <w:t>en</w:t>
      </w:r>
      <w:r>
        <w:rPr>
          <w:color w:val="231F20"/>
          <w:spacing w:val="40"/>
          <w:w w:val="120"/>
        </w:rPr>
        <w:t> </w:t>
      </w:r>
      <w:r>
        <w:rPr>
          <w:color w:val="231F20"/>
          <w:w w:val="120"/>
        </w:rPr>
        <w:t>étant</w:t>
      </w:r>
      <w:r>
        <w:rPr>
          <w:color w:val="231F20"/>
          <w:spacing w:val="40"/>
          <w:w w:val="120"/>
        </w:rPr>
        <w:t> </w:t>
      </w:r>
      <w:r>
        <w:rPr>
          <w:color w:val="231F20"/>
          <w:w w:val="120"/>
        </w:rPr>
        <w:t>parallèlement</w:t>
      </w:r>
      <w:r>
        <w:rPr>
          <w:color w:val="231F20"/>
          <w:spacing w:val="40"/>
          <w:w w:val="120"/>
        </w:rPr>
        <w:t> </w:t>
      </w:r>
      <w:r>
        <w:rPr>
          <w:color w:val="231F20"/>
          <w:w w:val="120"/>
        </w:rPr>
        <w:t>moins</w:t>
      </w:r>
      <w:r>
        <w:rPr>
          <w:color w:val="231F20"/>
          <w:spacing w:val="40"/>
          <w:w w:val="120"/>
        </w:rPr>
        <w:t> </w:t>
      </w:r>
      <w:r>
        <w:rPr>
          <w:color w:val="231F20"/>
          <w:w w:val="120"/>
        </w:rPr>
        <w:t>bousculée</w:t>
      </w:r>
      <w:r>
        <w:rPr>
          <w:color w:val="231F20"/>
          <w:spacing w:val="40"/>
          <w:w w:val="120"/>
        </w:rPr>
        <w:t> </w:t>
      </w:r>
      <w:r>
        <w:rPr>
          <w:color w:val="231F20"/>
          <w:w w:val="120"/>
        </w:rPr>
        <w:t>par la</w:t>
      </w:r>
      <w:r>
        <w:rPr>
          <w:color w:val="231F20"/>
          <w:spacing w:val="-13"/>
          <w:w w:val="120"/>
        </w:rPr>
        <w:t> </w:t>
      </w:r>
      <w:r>
        <w:rPr>
          <w:color w:val="231F20"/>
          <w:w w:val="120"/>
        </w:rPr>
        <w:t>nouveauté.</w:t>
      </w:r>
    </w:p>
    <w:p>
      <w:pPr>
        <w:pStyle w:val="BodyText"/>
        <w:spacing w:before="3"/>
        <w:rPr>
          <w:sz w:val="21"/>
        </w:rPr>
      </w:pPr>
    </w:p>
    <w:p>
      <w:pPr>
        <w:spacing w:line="307" w:lineRule="auto" w:before="0"/>
        <w:ind w:left="830" w:right="495" w:firstLine="0"/>
        <w:jc w:val="both"/>
        <w:rPr>
          <w:sz w:val="17"/>
        </w:rPr>
      </w:pPr>
      <w:r>
        <w:rPr>
          <w:b/>
          <w:color w:val="231F20"/>
          <w:w w:val="115"/>
          <w:sz w:val="17"/>
        </w:rPr>
        <w:t>Caractère</w:t>
      </w:r>
      <w:r>
        <w:rPr>
          <w:b/>
          <w:color w:val="231F20"/>
          <w:spacing w:val="-13"/>
          <w:w w:val="115"/>
          <w:sz w:val="17"/>
        </w:rPr>
        <w:t> </w:t>
      </w:r>
      <w:r>
        <w:rPr>
          <w:b/>
          <w:color w:val="231F20"/>
          <w:w w:val="115"/>
          <w:sz w:val="17"/>
        </w:rPr>
        <w:t>consciencieux</w:t>
      </w:r>
      <w:r>
        <w:rPr>
          <w:b/>
          <w:color w:val="231F20"/>
          <w:spacing w:val="-12"/>
          <w:w w:val="115"/>
          <w:sz w:val="17"/>
        </w:rPr>
        <w:t> </w:t>
      </w:r>
      <w:r>
        <w:rPr>
          <w:rFonts w:ascii="Arial-BoldItalicMT" w:hAnsi="Arial-BoldItalicMT"/>
          <w:b/>
          <w:i/>
          <w:color w:val="231F20"/>
          <w:w w:val="115"/>
          <w:sz w:val="17"/>
        </w:rPr>
        <w:t>vs</w:t>
      </w:r>
      <w:r>
        <w:rPr>
          <w:rFonts w:ascii="Arial-BoldItalicMT" w:hAnsi="Arial-BoldItalicMT"/>
          <w:b/>
          <w:i/>
          <w:color w:val="231F20"/>
          <w:spacing w:val="-14"/>
          <w:w w:val="115"/>
          <w:sz w:val="17"/>
        </w:rPr>
        <w:t> </w:t>
      </w:r>
      <w:r>
        <w:rPr>
          <w:b/>
          <w:color w:val="231F20"/>
          <w:w w:val="115"/>
          <w:sz w:val="17"/>
        </w:rPr>
        <w:t>caractère</w:t>
      </w:r>
      <w:r>
        <w:rPr>
          <w:b/>
          <w:color w:val="231F20"/>
          <w:spacing w:val="-12"/>
          <w:w w:val="115"/>
          <w:sz w:val="17"/>
        </w:rPr>
        <w:t> </w:t>
      </w:r>
      <w:r>
        <w:rPr>
          <w:b/>
          <w:color w:val="231F20"/>
          <w:w w:val="115"/>
          <w:sz w:val="17"/>
        </w:rPr>
        <w:t>négligent.</w:t>
      </w:r>
      <w:r>
        <w:rPr>
          <w:b/>
          <w:color w:val="231F20"/>
          <w:spacing w:val="-10"/>
          <w:w w:val="115"/>
          <w:sz w:val="17"/>
        </w:rPr>
        <w:t> </w:t>
      </w:r>
      <w:r>
        <w:rPr>
          <w:color w:val="231F20"/>
          <w:w w:val="115"/>
          <w:sz w:val="17"/>
        </w:rPr>
        <w:t>Le</w:t>
      </w:r>
      <w:r>
        <w:rPr>
          <w:color w:val="231F20"/>
          <w:spacing w:val="-8"/>
          <w:w w:val="115"/>
          <w:sz w:val="17"/>
        </w:rPr>
        <w:t> </w:t>
      </w:r>
      <w:r>
        <w:rPr>
          <w:color w:val="231F20"/>
          <w:w w:val="115"/>
          <w:sz w:val="17"/>
        </w:rPr>
        <w:t>caractère</w:t>
      </w:r>
      <w:r>
        <w:rPr>
          <w:color w:val="231F20"/>
          <w:spacing w:val="-9"/>
          <w:w w:val="115"/>
          <w:sz w:val="17"/>
        </w:rPr>
        <w:t> </w:t>
      </w:r>
      <w:r>
        <w:rPr>
          <w:color w:val="231F20"/>
          <w:w w:val="115"/>
          <w:sz w:val="17"/>
        </w:rPr>
        <w:t>conscien- </w:t>
      </w:r>
      <w:r>
        <w:rPr>
          <w:color w:val="231F20"/>
          <w:spacing w:val="-2"/>
          <w:w w:val="120"/>
          <w:sz w:val="17"/>
        </w:rPr>
        <w:t>cieux</w:t>
      </w:r>
      <w:r>
        <w:rPr>
          <w:color w:val="231F20"/>
          <w:spacing w:val="-5"/>
          <w:w w:val="120"/>
          <w:sz w:val="17"/>
        </w:rPr>
        <w:t> </w:t>
      </w:r>
      <w:r>
        <w:rPr>
          <w:color w:val="231F20"/>
          <w:spacing w:val="-2"/>
          <w:w w:val="120"/>
          <w:sz w:val="17"/>
        </w:rPr>
        <w:t>est</w:t>
      </w:r>
      <w:r>
        <w:rPr>
          <w:color w:val="231F20"/>
          <w:spacing w:val="-5"/>
          <w:w w:val="120"/>
          <w:sz w:val="17"/>
        </w:rPr>
        <w:t> </w:t>
      </w:r>
      <w:r>
        <w:rPr>
          <w:color w:val="231F20"/>
          <w:spacing w:val="-2"/>
          <w:w w:val="120"/>
          <w:sz w:val="17"/>
        </w:rPr>
        <w:t>la</w:t>
      </w:r>
      <w:r>
        <w:rPr>
          <w:color w:val="231F20"/>
          <w:spacing w:val="-5"/>
          <w:w w:val="120"/>
          <w:sz w:val="17"/>
        </w:rPr>
        <w:t> </w:t>
      </w:r>
      <w:r>
        <w:rPr>
          <w:color w:val="231F20"/>
          <w:spacing w:val="-2"/>
          <w:w w:val="120"/>
          <w:sz w:val="17"/>
        </w:rPr>
        <w:t>tendance</w:t>
      </w:r>
      <w:r>
        <w:rPr>
          <w:color w:val="231F20"/>
          <w:spacing w:val="-5"/>
          <w:w w:val="120"/>
          <w:sz w:val="17"/>
        </w:rPr>
        <w:t> </w:t>
      </w:r>
      <w:r>
        <w:rPr>
          <w:color w:val="231F20"/>
          <w:spacing w:val="-2"/>
          <w:w w:val="120"/>
          <w:sz w:val="17"/>
        </w:rPr>
        <w:t>à</w:t>
      </w:r>
      <w:r>
        <w:rPr>
          <w:color w:val="231F20"/>
          <w:spacing w:val="-5"/>
          <w:w w:val="120"/>
          <w:sz w:val="17"/>
        </w:rPr>
        <w:t> </w:t>
      </w:r>
      <w:r>
        <w:rPr>
          <w:color w:val="231F20"/>
          <w:spacing w:val="-2"/>
          <w:w w:val="120"/>
          <w:sz w:val="17"/>
        </w:rPr>
        <w:t>manifester</w:t>
      </w:r>
      <w:r>
        <w:rPr>
          <w:color w:val="231F20"/>
          <w:spacing w:val="-5"/>
          <w:w w:val="120"/>
          <w:sz w:val="17"/>
        </w:rPr>
        <w:t> </w:t>
      </w:r>
      <w:r>
        <w:rPr>
          <w:color w:val="231F20"/>
          <w:spacing w:val="-2"/>
          <w:w w:val="120"/>
          <w:sz w:val="17"/>
        </w:rPr>
        <w:t>de</w:t>
      </w:r>
      <w:r>
        <w:rPr>
          <w:color w:val="231F20"/>
          <w:spacing w:val="-5"/>
          <w:w w:val="120"/>
          <w:sz w:val="17"/>
        </w:rPr>
        <w:t> </w:t>
      </w:r>
      <w:r>
        <w:rPr>
          <w:color w:val="231F20"/>
          <w:spacing w:val="-2"/>
          <w:w w:val="120"/>
          <w:sz w:val="17"/>
        </w:rPr>
        <w:t>l’autodiscipline,</w:t>
      </w:r>
      <w:r>
        <w:rPr>
          <w:color w:val="231F20"/>
          <w:spacing w:val="-5"/>
          <w:w w:val="120"/>
          <w:sz w:val="17"/>
        </w:rPr>
        <w:t> </w:t>
      </w:r>
      <w:r>
        <w:rPr>
          <w:color w:val="231F20"/>
          <w:spacing w:val="-2"/>
          <w:w w:val="120"/>
          <w:sz w:val="17"/>
        </w:rPr>
        <w:t>à</w:t>
      </w:r>
      <w:r>
        <w:rPr>
          <w:color w:val="231F20"/>
          <w:spacing w:val="-5"/>
          <w:w w:val="120"/>
          <w:sz w:val="17"/>
        </w:rPr>
        <w:t> </w:t>
      </w:r>
      <w:r>
        <w:rPr>
          <w:color w:val="231F20"/>
          <w:spacing w:val="-2"/>
          <w:w w:val="120"/>
          <w:sz w:val="17"/>
        </w:rPr>
        <w:t>agir</w:t>
      </w:r>
      <w:r>
        <w:rPr>
          <w:color w:val="231F20"/>
          <w:spacing w:val="-5"/>
          <w:w w:val="120"/>
          <w:sz w:val="17"/>
        </w:rPr>
        <w:t> </w:t>
      </w:r>
      <w:r>
        <w:rPr>
          <w:color w:val="231F20"/>
          <w:spacing w:val="-2"/>
          <w:w w:val="120"/>
          <w:sz w:val="17"/>
        </w:rPr>
        <w:t>sagement</w:t>
      </w:r>
      <w:r>
        <w:rPr>
          <w:color w:val="231F20"/>
          <w:spacing w:val="-5"/>
          <w:w w:val="120"/>
          <w:sz w:val="17"/>
        </w:rPr>
        <w:t> </w:t>
      </w:r>
      <w:r>
        <w:rPr>
          <w:color w:val="231F20"/>
          <w:spacing w:val="-2"/>
          <w:w w:val="120"/>
          <w:sz w:val="17"/>
        </w:rPr>
        <w:t>et </w:t>
      </w:r>
      <w:r>
        <w:rPr>
          <w:color w:val="231F20"/>
          <w:w w:val="120"/>
          <w:sz w:val="17"/>
        </w:rPr>
        <w:t>à viser l’accomplissement. Ce facteur de personnalité concerne notre</w:t>
      </w:r>
    </w:p>
    <w:p>
      <w:pPr>
        <w:spacing w:after="0" w:line="307" w:lineRule="auto"/>
        <w:jc w:val="both"/>
        <w:rPr>
          <w:sz w:val="17"/>
        </w:rPr>
        <w:sectPr>
          <w:footerReference w:type="default" r:id="rId211"/>
          <w:pgSz w:w="8640" w:h="12960"/>
          <w:pgMar w:footer="424" w:header="0" w:top="520" w:bottom="620" w:left="420" w:right="1140"/>
        </w:sectPr>
      </w:pPr>
    </w:p>
    <w:p>
      <w:pPr>
        <w:spacing w:before="118"/>
        <w:ind w:left="2049" w:right="0" w:firstLine="0"/>
        <w:jc w:val="left"/>
        <w:rPr>
          <w:rFonts w:ascii="Arial" w:hAnsi="Arial"/>
          <w:sz w:val="14"/>
        </w:rPr>
      </w:pPr>
      <w:bookmarkStart w:name=" 3.4 / Conséquences du stress profession" w:id="110"/>
      <w:bookmarkEnd w:id="110"/>
      <w:r>
        <w:rPr/>
      </w:r>
      <w:bookmarkStart w:name="_bookmark47" w:id="111"/>
      <w:bookmarkEnd w:id="111"/>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0"/>
        <w:jc w:val="both"/>
      </w:pPr>
      <w:r>
        <w:rPr>
          <w:color w:val="231F20"/>
          <w:spacing w:val="-4"/>
          <w:w w:val="120"/>
        </w:rPr>
        <w:t>façon de maîtriser, de réguler et d’orienter nos impulsions. Les personnes </w:t>
      </w:r>
      <w:r>
        <w:rPr>
          <w:color w:val="231F20"/>
          <w:w w:val="120"/>
        </w:rPr>
        <w:t>possédant un caractère consciencieux sont organisées, disciplinées et </w:t>
      </w:r>
      <w:r>
        <w:rPr>
          <w:color w:val="231F20"/>
          <w:spacing w:val="-2"/>
          <w:w w:val="120"/>
        </w:rPr>
        <w:t>persévérantes.</w:t>
      </w:r>
      <w:r>
        <w:rPr>
          <w:color w:val="231F20"/>
          <w:spacing w:val="-11"/>
          <w:w w:val="120"/>
        </w:rPr>
        <w:t> </w:t>
      </w:r>
      <w:r>
        <w:rPr>
          <w:color w:val="231F20"/>
          <w:spacing w:val="-2"/>
          <w:w w:val="120"/>
        </w:rPr>
        <w:t>Les</w:t>
      </w:r>
      <w:r>
        <w:rPr>
          <w:color w:val="231F20"/>
          <w:spacing w:val="-11"/>
          <w:w w:val="120"/>
        </w:rPr>
        <w:t> </w:t>
      </w:r>
      <w:r>
        <w:rPr>
          <w:color w:val="231F20"/>
          <w:spacing w:val="-2"/>
          <w:w w:val="120"/>
        </w:rPr>
        <w:t>impulsions</w:t>
      </w:r>
      <w:r>
        <w:rPr>
          <w:color w:val="231F20"/>
          <w:spacing w:val="-11"/>
          <w:w w:val="120"/>
        </w:rPr>
        <w:t> </w:t>
      </w:r>
      <w:r>
        <w:rPr>
          <w:color w:val="231F20"/>
          <w:spacing w:val="-2"/>
          <w:w w:val="120"/>
        </w:rPr>
        <w:t>ne</w:t>
      </w:r>
      <w:r>
        <w:rPr>
          <w:color w:val="231F20"/>
          <w:spacing w:val="-10"/>
          <w:w w:val="120"/>
        </w:rPr>
        <w:t> </w:t>
      </w:r>
      <w:r>
        <w:rPr>
          <w:color w:val="231F20"/>
          <w:spacing w:val="-2"/>
          <w:w w:val="120"/>
        </w:rPr>
        <w:t>sont</w:t>
      </w:r>
      <w:r>
        <w:rPr>
          <w:color w:val="231F20"/>
          <w:spacing w:val="-10"/>
          <w:w w:val="120"/>
        </w:rPr>
        <w:t> </w:t>
      </w:r>
      <w:r>
        <w:rPr>
          <w:color w:val="231F20"/>
          <w:spacing w:val="-2"/>
          <w:w w:val="120"/>
        </w:rPr>
        <w:t>pas</w:t>
      </w:r>
      <w:r>
        <w:rPr>
          <w:color w:val="231F20"/>
          <w:spacing w:val="-6"/>
          <w:w w:val="120"/>
        </w:rPr>
        <w:t> </w:t>
      </w:r>
      <w:r>
        <w:rPr>
          <w:color w:val="231F20"/>
          <w:spacing w:val="-2"/>
          <w:w w:val="120"/>
        </w:rPr>
        <w:t>foncièrement</w:t>
      </w:r>
      <w:r>
        <w:rPr>
          <w:color w:val="231F20"/>
          <w:spacing w:val="-7"/>
          <w:w w:val="120"/>
        </w:rPr>
        <w:t> </w:t>
      </w:r>
      <w:r>
        <w:rPr>
          <w:color w:val="231F20"/>
          <w:spacing w:val="-2"/>
          <w:w w:val="120"/>
        </w:rPr>
        <w:t>mauvaises</w:t>
      </w:r>
      <w:r>
        <w:rPr>
          <w:color w:val="231F20"/>
          <w:spacing w:val="-11"/>
          <w:w w:val="120"/>
        </w:rPr>
        <w:t> </w:t>
      </w:r>
      <w:r>
        <w:rPr>
          <w:color w:val="231F20"/>
          <w:spacing w:val="-2"/>
          <w:w w:val="120"/>
        </w:rPr>
        <w:t>;</w:t>
      </w:r>
      <w:r>
        <w:rPr>
          <w:color w:val="231F20"/>
          <w:spacing w:val="-7"/>
          <w:w w:val="120"/>
        </w:rPr>
        <w:t> </w:t>
      </w:r>
      <w:r>
        <w:rPr>
          <w:color w:val="231F20"/>
          <w:spacing w:val="-2"/>
          <w:w w:val="120"/>
        </w:rPr>
        <w:t>par- </w:t>
      </w:r>
      <w:r>
        <w:rPr>
          <w:color w:val="231F20"/>
          <w:w w:val="120"/>
        </w:rPr>
        <w:t>fois, des contraintes de temps nous obligent à prendre une décision en </w:t>
      </w:r>
      <w:r>
        <w:rPr>
          <w:color w:val="231F20"/>
          <w:spacing w:val="-2"/>
          <w:w w:val="120"/>
        </w:rPr>
        <w:t>un</w:t>
      </w:r>
      <w:r>
        <w:rPr>
          <w:color w:val="231F20"/>
          <w:spacing w:val="-9"/>
          <w:w w:val="120"/>
        </w:rPr>
        <w:t> </w:t>
      </w:r>
      <w:r>
        <w:rPr>
          <w:color w:val="231F20"/>
          <w:spacing w:val="-2"/>
          <w:w w:val="120"/>
        </w:rPr>
        <w:t>clin</w:t>
      </w:r>
      <w:r>
        <w:rPr>
          <w:color w:val="231F20"/>
          <w:spacing w:val="-9"/>
          <w:w w:val="120"/>
        </w:rPr>
        <w:t> </w:t>
      </w:r>
      <w:r>
        <w:rPr>
          <w:color w:val="231F20"/>
          <w:spacing w:val="-2"/>
          <w:w w:val="120"/>
        </w:rPr>
        <w:t>d’œil,</w:t>
      </w:r>
      <w:r>
        <w:rPr>
          <w:color w:val="231F20"/>
          <w:spacing w:val="-9"/>
          <w:w w:val="120"/>
        </w:rPr>
        <w:t> </w:t>
      </w:r>
      <w:r>
        <w:rPr>
          <w:color w:val="231F20"/>
          <w:spacing w:val="-2"/>
          <w:w w:val="120"/>
        </w:rPr>
        <w:t>et</w:t>
      </w:r>
      <w:r>
        <w:rPr>
          <w:color w:val="231F20"/>
          <w:spacing w:val="-9"/>
          <w:w w:val="120"/>
        </w:rPr>
        <w:t> </w:t>
      </w:r>
      <w:r>
        <w:rPr>
          <w:color w:val="231F20"/>
          <w:spacing w:val="-2"/>
          <w:w w:val="120"/>
        </w:rPr>
        <w:t>le</w:t>
      </w:r>
      <w:r>
        <w:rPr>
          <w:color w:val="231F20"/>
          <w:spacing w:val="-9"/>
          <w:w w:val="120"/>
        </w:rPr>
        <w:t> </w:t>
      </w:r>
      <w:r>
        <w:rPr>
          <w:color w:val="231F20"/>
          <w:spacing w:val="-2"/>
          <w:w w:val="120"/>
        </w:rPr>
        <w:t>fait</w:t>
      </w:r>
      <w:r>
        <w:rPr>
          <w:color w:val="231F20"/>
          <w:spacing w:val="-9"/>
          <w:w w:val="120"/>
        </w:rPr>
        <w:t> </w:t>
      </w:r>
      <w:r>
        <w:rPr>
          <w:color w:val="231F20"/>
          <w:spacing w:val="-2"/>
          <w:w w:val="120"/>
        </w:rPr>
        <w:t>d’agir</w:t>
      </w:r>
      <w:r>
        <w:rPr>
          <w:color w:val="231F20"/>
          <w:spacing w:val="-9"/>
          <w:w w:val="120"/>
        </w:rPr>
        <w:t> </w:t>
      </w:r>
      <w:r>
        <w:rPr>
          <w:color w:val="231F20"/>
          <w:spacing w:val="-2"/>
          <w:w w:val="120"/>
        </w:rPr>
        <w:t>en</w:t>
      </w:r>
      <w:r>
        <w:rPr>
          <w:color w:val="231F20"/>
          <w:spacing w:val="-9"/>
          <w:w w:val="120"/>
        </w:rPr>
        <w:t> </w:t>
      </w:r>
      <w:r>
        <w:rPr>
          <w:color w:val="231F20"/>
          <w:spacing w:val="-2"/>
          <w:w w:val="120"/>
        </w:rPr>
        <w:t>fonction</w:t>
      </w:r>
      <w:r>
        <w:rPr>
          <w:color w:val="231F20"/>
          <w:spacing w:val="-9"/>
          <w:w w:val="120"/>
        </w:rPr>
        <w:t> </w:t>
      </w:r>
      <w:r>
        <w:rPr>
          <w:color w:val="231F20"/>
          <w:spacing w:val="-2"/>
          <w:w w:val="120"/>
        </w:rPr>
        <w:t>de</w:t>
      </w:r>
      <w:r>
        <w:rPr>
          <w:color w:val="231F20"/>
          <w:spacing w:val="-9"/>
          <w:w w:val="120"/>
        </w:rPr>
        <w:t> </w:t>
      </w:r>
      <w:r>
        <w:rPr>
          <w:color w:val="231F20"/>
          <w:spacing w:val="-2"/>
          <w:w w:val="120"/>
        </w:rPr>
        <w:t>notre</w:t>
      </w:r>
      <w:r>
        <w:rPr>
          <w:color w:val="231F20"/>
          <w:spacing w:val="-9"/>
          <w:w w:val="120"/>
        </w:rPr>
        <w:t> </w:t>
      </w:r>
      <w:r>
        <w:rPr>
          <w:color w:val="231F20"/>
          <w:spacing w:val="-2"/>
          <w:w w:val="120"/>
        </w:rPr>
        <w:t>premier</w:t>
      </w:r>
      <w:r>
        <w:rPr>
          <w:color w:val="231F20"/>
          <w:spacing w:val="-9"/>
          <w:w w:val="120"/>
        </w:rPr>
        <w:t> </w:t>
      </w:r>
      <w:r>
        <w:rPr>
          <w:color w:val="231F20"/>
          <w:spacing w:val="-2"/>
          <w:w w:val="120"/>
        </w:rPr>
        <w:t>élan</w:t>
      </w:r>
      <w:r>
        <w:rPr>
          <w:color w:val="231F20"/>
          <w:spacing w:val="-9"/>
          <w:w w:val="120"/>
        </w:rPr>
        <w:t> </w:t>
      </w:r>
      <w:r>
        <w:rPr>
          <w:color w:val="231F20"/>
          <w:spacing w:val="-2"/>
          <w:w w:val="120"/>
        </w:rPr>
        <w:t>peut</w:t>
      </w:r>
      <w:r>
        <w:rPr>
          <w:color w:val="231F20"/>
          <w:spacing w:val="-9"/>
          <w:w w:val="120"/>
        </w:rPr>
        <w:t> </w:t>
      </w:r>
      <w:r>
        <w:rPr>
          <w:color w:val="231F20"/>
          <w:spacing w:val="-2"/>
          <w:w w:val="120"/>
        </w:rPr>
        <w:t>alors </w:t>
      </w:r>
      <w:r>
        <w:rPr>
          <w:color w:val="231F20"/>
          <w:w w:val="120"/>
        </w:rPr>
        <w:t>s’avérer</w:t>
      </w:r>
      <w:r>
        <w:rPr>
          <w:color w:val="231F20"/>
          <w:spacing w:val="-10"/>
          <w:w w:val="120"/>
        </w:rPr>
        <w:t> </w:t>
      </w:r>
      <w:r>
        <w:rPr>
          <w:color w:val="231F20"/>
          <w:w w:val="120"/>
        </w:rPr>
        <w:t>une</w:t>
      </w:r>
      <w:r>
        <w:rPr>
          <w:color w:val="231F20"/>
          <w:spacing w:val="-10"/>
          <w:w w:val="120"/>
        </w:rPr>
        <w:t> </w:t>
      </w:r>
      <w:r>
        <w:rPr>
          <w:color w:val="231F20"/>
          <w:w w:val="120"/>
        </w:rPr>
        <w:t>réponse</w:t>
      </w:r>
      <w:r>
        <w:rPr>
          <w:color w:val="231F20"/>
          <w:spacing w:val="-10"/>
          <w:w w:val="120"/>
        </w:rPr>
        <w:t> </w:t>
      </w:r>
      <w:r>
        <w:rPr>
          <w:color w:val="231F20"/>
          <w:w w:val="120"/>
        </w:rPr>
        <w:t>efficace.</w:t>
      </w:r>
      <w:r>
        <w:rPr>
          <w:color w:val="231F20"/>
          <w:spacing w:val="-10"/>
          <w:w w:val="120"/>
        </w:rPr>
        <w:t> </w:t>
      </w:r>
      <w:r>
        <w:rPr>
          <w:color w:val="231F20"/>
          <w:w w:val="120"/>
        </w:rPr>
        <w:t>D’ailleurs,</w:t>
      </w:r>
      <w:r>
        <w:rPr>
          <w:color w:val="231F20"/>
          <w:spacing w:val="-10"/>
          <w:w w:val="120"/>
        </w:rPr>
        <w:t> </w:t>
      </w:r>
      <w:r>
        <w:rPr>
          <w:color w:val="231F20"/>
          <w:w w:val="120"/>
        </w:rPr>
        <w:t>quand</w:t>
      </w:r>
      <w:r>
        <w:rPr>
          <w:color w:val="231F20"/>
          <w:spacing w:val="-10"/>
          <w:w w:val="120"/>
        </w:rPr>
        <w:t> </w:t>
      </w:r>
      <w:r>
        <w:rPr>
          <w:color w:val="231F20"/>
          <w:w w:val="120"/>
        </w:rPr>
        <w:t>vient</w:t>
      </w:r>
      <w:r>
        <w:rPr>
          <w:color w:val="231F20"/>
          <w:spacing w:val="-10"/>
          <w:w w:val="120"/>
        </w:rPr>
        <w:t> </w:t>
      </w:r>
      <w:r>
        <w:rPr>
          <w:color w:val="231F20"/>
          <w:w w:val="120"/>
        </w:rPr>
        <w:t>le</w:t>
      </w:r>
      <w:r>
        <w:rPr>
          <w:color w:val="231F20"/>
          <w:spacing w:val="-10"/>
          <w:w w:val="120"/>
        </w:rPr>
        <w:t> </w:t>
      </w:r>
      <w:r>
        <w:rPr>
          <w:color w:val="231F20"/>
          <w:w w:val="120"/>
        </w:rPr>
        <w:t>temps</w:t>
      </w:r>
      <w:r>
        <w:rPr>
          <w:color w:val="231F20"/>
          <w:spacing w:val="-10"/>
          <w:w w:val="120"/>
        </w:rPr>
        <w:t> </w:t>
      </w:r>
      <w:r>
        <w:rPr>
          <w:color w:val="231F20"/>
          <w:w w:val="120"/>
        </w:rPr>
        <w:t>de</w:t>
      </w:r>
      <w:r>
        <w:rPr>
          <w:color w:val="231F20"/>
          <w:spacing w:val="-10"/>
          <w:w w:val="120"/>
        </w:rPr>
        <w:t> </w:t>
      </w:r>
      <w:r>
        <w:rPr>
          <w:color w:val="231F20"/>
          <w:w w:val="120"/>
        </w:rPr>
        <w:t>jouer plutôt que de travailler, il peut être amusant d’agir spontanément et impulsivement.</w:t>
      </w:r>
      <w:r>
        <w:rPr>
          <w:color w:val="231F20"/>
          <w:spacing w:val="-9"/>
          <w:w w:val="120"/>
        </w:rPr>
        <w:t> </w:t>
      </w:r>
      <w:r>
        <w:rPr>
          <w:color w:val="231F20"/>
          <w:w w:val="120"/>
        </w:rPr>
        <w:t>Les</w:t>
      </w:r>
      <w:r>
        <w:rPr>
          <w:color w:val="231F20"/>
          <w:spacing w:val="-9"/>
          <w:w w:val="120"/>
        </w:rPr>
        <w:t> </w:t>
      </w:r>
      <w:r>
        <w:rPr>
          <w:color w:val="231F20"/>
          <w:w w:val="120"/>
        </w:rPr>
        <w:t>individus</w:t>
      </w:r>
      <w:r>
        <w:rPr>
          <w:color w:val="231F20"/>
          <w:spacing w:val="-9"/>
          <w:w w:val="120"/>
        </w:rPr>
        <w:t> </w:t>
      </w:r>
      <w:r>
        <w:rPr>
          <w:color w:val="231F20"/>
          <w:w w:val="120"/>
        </w:rPr>
        <w:t>impulsifs</w:t>
      </w:r>
      <w:r>
        <w:rPr>
          <w:color w:val="231F20"/>
          <w:spacing w:val="-9"/>
          <w:w w:val="120"/>
        </w:rPr>
        <w:t> </w:t>
      </w:r>
      <w:r>
        <w:rPr>
          <w:color w:val="231F20"/>
          <w:w w:val="120"/>
        </w:rPr>
        <w:t>sont</w:t>
      </w:r>
      <w:r>
        <w:rPr>
          <w:color w:val="231F20"/>
          <w:spacing w:val="-9"/>
          <w:w w:val="120"/>
        </w:rPr>
        <w:t> </w:t>
      </w:r>
      <w:r>
        <w:rPr>
          <w:color w:val="231F20"/>
          <w:w w:val="120"/>
        </w:rPr>
        <w:t>considérés</w:t>
      </w:r>
      <w:r>
        <w:rPr>
          <w:color w:val="231F20"/>
          <w:spacing w:val="-9"/>
          <w:w w:val="120"/>
        </w:rPr>
        <w:t> </w:t>
      </w:r>
      <w:r>
        <w:rPr>
          <w:color w:val="231F20"/>
          <w:w w:val="120"/>
        </w:rPr>
        <w:t>par</w:t>
      </w:r>
      <w:r>
        <w:rPr>
          <w:color w:val="231F20"/>
          <w:spacing w:val="-9"/>
          <w:w w:val="120"/>
        </w:rPr>
        <w:t> </w:t>
      </w:r>
      <w:r>
        <w:rPr>
          <w:color w:val="231F20"/>
          <w:w w:val="120"/>
        </w:rPr>
        <w:t>leur</w:t>
      </w:r>
      <w:r>
        <w:rPr>
          <w:color w:val="231F20"/>
          <w:spacing w:val="-9"/>
          <w:w w:val="120"/>
        </w:rPr>
        <w:t> </w:t>
      </w:r>
      <w:r>
        <w:rPr>
          <w:color w:val="231F20"/>
          <w:w w:val="120"/>
        </w:rPr>
        <w:t>entou- rage comme des personnes colorées, agréables à côtoyer et loufoques. L’individu</w:t>
      </w:r>
      <w:r>
        <w:rPr>
          <w:color w:val="231F20"/>
          <w:spacing w:val="-1"/>
          <w:w w:val="120"/>
        </w:rPr>
        <w:t> </w:t>
      </w:r>
      <w:r>
        <w:rPr>
          <w:color w:val="231F20"/>
          <w:w w:val="120"/>
        </w:rPr>
        <w:t>consciencieux</w:t>
      </w:r>
      <w:r>
        <w:rPr>
          <w:color w:val="231F20"/>
          <w:spacing w:val="-1"/>
          <w:w w:val="120"/>
        </w:rPr>
        <w:t> </w:t>
      </w:r>
      <w:r>
        <w:rPr>
          <w:color w:val="231F20"/>
          <w:w w:val="120"/>
        </w:rPr>
        <w:t>évite</w:t>
      </w:r>
      <w:r>
        <w:rPr>
          <w:color w:val="231F20"/>
          <w:spacing w:val="-1"/>
          <w:w w:val="120"/>
        </w:rPr>
        <w:t> </w:t>
      </w:r>
      <w:r>
        <w:rPr>
          <w:color w:val="231F20"/>
          <w:w w:val="120"/>
        </w:rPr>
        <w:t>les</w:t>
      </w:r>
      <w:r>
        <w:rPr>
          <w:color w:val="231F20"/>
          <w:spacing w:val="-1"/>
          <w:w w:val="120"/>
        </w:rPr>
        <w:t> </w:t>
      </w:r>
      <w:r>
        <w:rPr>
          <w:color w:val="231F20"/>
          <w:w w:val="120"/>
        </w:rPr>
        <w:t>problèmes</w:t>
      </w:r>
      <w:r>
        <w:rPr>
          <w:color w:val="231F20"/>
          <w:spacing w:val="-1"/>
          <w:w w:val="120"/>
        </w:rPr>
        <w:t> </w:t>
      </w:r>
      <w:r>
        <w:rPr>
          <w:color w:val="231F20"/>
          <w:w w:val="120"/>
        </w:rPr>
        <w:t>et</w:t>
      </w:r>
      <w:r>
        <w:rPr>
          <w:color w:val="231F20"/>
          <w:spacing w:val="-1"/>
          <w:w w:val="120"/>
        </w:rPr>
        <w:t> </w:t>
      </w:r>
      <w:r>
        <w:rPr>
          <w:color w:val="231F20"/>
          <w:w w:val="120"/>
        </w:rPr>
        <w:t>atteint</w:t>
      </w:r>
      <w:r>
        <w:rPr>
          <w:color w:val="231F20"/>
          <w:spacing w:val="-1"/>
          <w:w w:val="120"/>
        </w:rPr>
        <w:t> </w:t>
      </w:r>
      <w:r>
        <w:rPr>
          <w:color w:val="231F20"/>
          <w:w w:val="120"/>
        </w:rPr>
        <w:t>des</w:t>
      </w:r>
      <w:r>
        <w:rPr>
          <w:color w:val="231F20"/>
          <w:spacing w:val="-1"/>
          <w:w w:val="120"/>
        </w:rPr>
        <w:t> </w:t>
      </w:r>
      <w:r>
        <w:rPr>
          <w:color w:val="231F20"/>
          <w:w w:val="120"/>
        </w:rPr>
        <w:t>niveaux</w:t>
      </w:r>
      <w:r>
        <w:rPr>
          <w:color w:val="231F20"/>
          <w:spacing w:val="-1"/>
          <w:w w:val="120"/>
        </w:rPr>
        <w:t> </w:t>
      </w:r>
      <w:r>
        <w:rPr>
          <w:color w:val="231F20"/>
          <w:w w:val="120"/>
        </w:rPr>
        <w:t>de réussite</w:t>
      </w:r>
      <w:r>
        <w:rPr>
          <w:color w:val="231F20"/>
          <w:spacing w:val="-9"/>
          <w:w w:val="120"/>
        </w:rPr>
        <w:t> </w:t>
      </w:r>
      <w:r>
        <w:rPr>
          <w:color w:val="231F20"/>
          <w:w w:val="120"/>
        </w:rPr>
        <w:t>élevés</w:t>
      </w:r>
      <w:r>
        <w:rPr>
          <w:color w:val="231F20"/>
          <w:spacing w:val="-9"/>
          <w:w w:val="120"/>
        </w:rPr>
        <w:t> </w:t>
      </w:r>
      <w:r>
        <w:rPr>
          <w:color w:val="231F20"/>
          <w:w w:val="120"/>
        </w:rPr>
        <w:t>par</w:t>
      </w:r>
      <w:r>
        <w:rPr>
          <w:color w:val="231F20"/>
          <w:spacing w:val="-9"/>
          <w:w w:val="120"/>
        </w:rPr>
        <w:t> </w:t>
      </w:r>
      <w:r>
        <w:rPr>
          <w:color w:val="231F20"/>
          <w:w w:val="120"/>
        </w:rPr>
        <w:t>la</w:t>
      </w:r>
      <w:r>
        <w:rPr>
          <w:color w:val="231F20"/>
          <w:spacing w:val="-9"/>
          <w:w w:val="120"/>
        </w:rPr>
        <w:t> </w:t>
      </w:r>
      <w:r>
        <w:rPr>
          <w:color w:val="231F20"/>
          <w:w w:val="120"/>
        </w:rPr>
        <w:t>planification</w:t>
      </w:r>
      <w:r>
        <w:rPr>
          <w:color w:val="231F20"/>
          <w:spacing w:val="-9"/>
          <w:w w:val="120"/>
        </w:rPr>
        <w:t> </w:t>
      </w:r>
      <w:r>
        <w:rPr>
          <w:color w:val="231F20"/>
          <w:w w:val="120"/>
        </w:rPr>
        <w:t>et</w:t>
      </w:r>
      <w:r>
        <w:rPr>
          <w:color w:val="231F20"/>
          <w:spacing w:val="-9"/>
          <w:w w:val="120"/>
        </w:rPr>
        <w:t> </w:t>
      </w:r>
      <w:r>
        <w:rPr>
          <w:color w:val="231F20"/>
          <w:w w:val="120"/>
        </w:rPr>
        <w:t>la</w:t>
      </w:r>
      <w:r>
        <w:rPr>
          <w:color w:val="231F20"/>
          <w:spacing w:val="-9"/>
          <w:w w:val="120"/>
        </w:rPr>
        <w:t> </w:t>
      </w:r>
      <w:r>
        <w:rPr>
          <w:color w:val="231F20"/>
          <w:w w:val="120"/>
        </w:rPr>
        <w:t>persévérance.</w:t>
      </w:r>
      <w:r>
        <w:rPr>
          <w:color w:val="231F20"/>
          <w:spacing w:val="-9"/>
          <w:w w:val="120"/>
        </w:rPr>
        <w:t> </w:t>
      </w:r>
      <w:r>
        <w:rPr>
          <w:color w:val="231F20"/>
          <w:w w:val="120"/>
        </w:rPr>
        <w:t>Son</w:t>
      </w:r>
      <w:r>
        <w:rPr>
          <w:color w:val="231F20"/>
          <w:spacing w:val="-9"/>
          <w:w w:val="120"/>
        </w:rPr>
        <w:t> </w:t>
      </w:r>
      <w:r>
        <w:rPr>
          <w:color w:val="231F20"/>
          <w:w w:val="120"/>
        </w:rPr>
        <w:t>entourage</w:t>
      </w:r>
      <w:r>
        <w:rPr>
          <w:color w:val="231F20"/>
          <w:spacing w:val="-9"/>
          <w:w w:val="120"/>
        </w:rPr>
        <w:t> </w:t>
      </w:r>
      <w:r>
        <w:rPr>
          <w:color w:val="231F20"/>
          <w:w w:val="120"/>
        </w:rPr>
        <w:t>en </w:t>
      </w:r>
      <w:r>
        <w:rPr>
          <w:color w:val="231F20"/>
          <w:spacing w:val="-2"/>
          <w:w w:val="120"/>
        </w:rPr>
        <w:t>a</w:t>
      </w:r>
      <w:r>
        <w:rPr>
          <w:color w:val="231F20"/>
          <w:spacing w:val="-10"/>
          <w:w w:val="120"/>
        </w:rPr>
        <w:t> </w:t>
      </w:r>
      <w:r>
        <w:rPr>
          <w:color w:val="231F20"/>
          <w:spacing w:val="-2"/>
          <w:w w:val="120"/>
        </w:rPr>
        <w:t>une</w:t>
      </w:r>
      <w:r>
        <w:rPr>
          <w:color w:val="231F20"/>
          <w:spacing w:val="-10"/>
          <w:w w:val="120"/>
        </w:rPr>
        <w:t> </w:t>
      </w:r>
      <w:r>
        <w:rPr>
          <w:color w:val="231F20"/>
          <w:spacing w:val="-2"/>
          <w:w w:val="120"/>
        </w:rPr>
        <w:t>opinion</w:t>
      </w:r>
      <w:r>
        <w:rPr>
          <w:color w:val="231F20"/>
          <w:spacing w:val="-10"/>
          <w:w w:val="120"/>
        </w:rPr>
        <w:t> </w:t>
      </w:r>
      <w:r>
        <w:rPr>
          <w:color w:val="231F20"/>
          <w:spacing w:val="-2"/>
          <w:w w:val="120"/>
        </w:rPr>
        <w:t>positive</w:t>
      </w:r>
      <w:r>
        <w:rPr>
          <w:color w:val="231F20"/>
          <w:spacing w:val="-10"/>
          <w:w w:val="120"/>
        </w:rPr>
        <w:t> </w:t>
      </w:r>
      <w:r>
        <w:rPr>
          <w:color w:val="231F20"/>
          <w:spacing w:val="-2"/>
          <w:w w:val="120"/>
        </w:rPr>
        <w:t>et</w:t>
      </w:r>
      <w:r>
        <w:rPr>
          <w:color w:val="231F20"/>
          <w:spacing w:val="-10"/>
          <w:w w:val="120"/>
        </w:rPr>
        <w:t> </w:t>
      </w:r>
      <w:r>
        <w:rPr>
          <w:color w:val="231F20"/>
          <w:spacing w:val="-2"/>
          <w:w w:val="120"/>
        </w:rPr>
        <w:t>le</w:t>
      </w:r>
      <w:r>
        <w:rPr>
          <w:color w:val="231F20"/>
          <w:spacing w:val="-10"/>
          <w:w w:val="120"/>
        </w:rPr>
        <w:t> </w:t>
      </w:r>
      <w:r>
        <w:rPr>
          <w:color w:val="231F20"/>
          <w:spacing w:val="-2"/>
          <w:w w:val="120"/>
        </w:rPr>
        <w:t>trouve</w:t>
      </w:r>
      <w:r>
        <w:rPr>
          <w:color w:val="231F20"/>
          <w:spacing w:val="-10"/>
          <w:w w:val="120"/>
        </w:rPr>
        <w:t> </w:t>
      </w:r>
      <w:r>
        <w:rPr>
          <w:color w:val="231F20"/>
          <w:spacing w:val="-2"/>
          <w:w w:val="120"/>
        </w:rPr>
        <w:t>intelligent</w:t>
      </w:r>
      <w:r>
        <w:rPr>
          <w:color w:val="231F20"/>
          <w:spacing w:val="-10"/>
          <w:w w:val="120"/>
        </w:rPr>
        <w:t> </w:t>
      </w:r>
      <w:r>
        <w:rPr>
          <w:color w:val="231F20"/>
          <w:spacing w:val="-2"/>
          <w:w w:val="120"/>
        </w:rPr>
        <w:t>et</w:t>
      </w:r>
      <w:r>
        <w:rPr>
          <w:color w:val="231F20"/>
          <w:spacing w:val="-10"/>
          <w:w w:val="120"/>
        </w:rPr>
        <w:t> </w:t>
      </w:r>
      <w:r>
        <w:rPr>
          <w:color w:val="231F20"/>
          <w:spacing w:val="-2"/>
          <w:w w:val="120"/>
        </w:rPr>
        <w:t>fiable.</w:t>
      </w:r>
      <w:r>
        <w:rPr>
          <w:color w:val="231F20"/>
          <w:spacing w:val="-10"/>
          <w:w w:val="120"/>
        </w:rPr>
        <w:t> </w:t>
      </w:r>
      <w:r>
        <w:rPr>
          <w:color w:val="231F20"/>
          <w:spacing w:val="-2"/>
          <w:w w:val="120"/>
        </w:rPr>
        <w:t>Cependant,</w:t>
      </w:r>
      <w:r>
        <w:rPr>
          <w:color w:val="231F20"/>
          <w:spacing w:val="-10"/>
          <w:w w:val="120"/>
        </w:rPr>
        <w:t> </w:t>
      </w:r>
      <w:r>
        <w:rPr>
          <w:color w:val="231F20"/>
          <w:spacing w:val="-2"/>
          <w:w w:val="120"/>
        </w:rPr>
        <w:t>il</w:t>
      </w:r>
      <w:r>
        <w:rPr>
          <w:color w:val="231F20"/>
          <w:spacing w:val="-10"/>
          <w:w w:val="120"/>
        </w:rPr>
        <w:t> </w:t>
      </w:r>
      <w:r>
        <w:rPr>
          <w:color w:val="231F20"/>
          <w:spacing w:val="-2"/>
          <w:w w:val="120"/>
        </w:rPr>
        <w:t>peut être</w:t>
      </w:r>
      <w:r>
        <w:rPr>
          <w:color w:val="231F20"/>
          <w:spacing w:val="-6"/>
          <w:w w:val="120"/>
        </w:rPr>
        <w:t> </w:t>
      </w:r>
      <w:r>
        <w:rPr>
          <w:color w:val="231F20"/>
          <w:spacing w:val="-2"/>
          <w:w w:val="120"/>
        </w:rPr>
        <w:t>un</w:t>
      </w:r>
      <w:r>
        <w:rPr>
          <w:color w:val="231F20"/>
          <w:spacing w:val="-6"/>
          <w:w w:val="120"/>
        </w:rPr>
        <w:t> </w:t>
      </w:r>
      <w:r>
        <w:rPr>
          <w:color w:val="231F20"/>
          <w:spacing w:val="-2"/>
          <w:w w:val="120"/>
        </w:rPr>
        <w:t>perfectionniste</w:t>
      </w:r>
      <w:r>
        <w:rPr>
          <w:color w:val="231F20"/>
          <w:spacing w:val="-6"/>
          <w:w w:val="120"/>
        </w:rPr>
        <w:t> </w:t>
      </w:r>
      <w:r>
        <w:rPr>
          <w:color w:val="231F20"/>
          <w:spacing w:val="-2"/>
          <w:w w:val="120"/>
        </w:rPr>
        <w:t>compulsif</w:t>
      </w:r>
      <w:r>
        <w:rPr>
          <w:color w:val="231F20"/>
          <w:spacing w:val="-6"/>
          <w:w w:val="120"/>
        </w:rPr>
        <w:t> </w:t>
      </w:r>
      <w:r>
        <w:rPr>
          <w:color w:val="231F20"/>
          <w:spacing w:val="-2"/>
          <w:w w:val="120"/>
        </w:rPr>
        <w:t>et</w:t>
      </w:r>
      <w:r>
        <w:rPr>
          <w:color w:val="231F20"/>
          <w:spacing w:val="-6"/>
          <w:w w:val="120"/>
        </w:rPr>
        <w:t> </w:t>
      </w:r>
      <w:r>
        <w:rPr>
          <w:color w:val="231F20"/>
          <w:spacing w:val="-2"/>
          <w:w w:val="120"/>
        </w:rPr>
        <w:t>un</w:t>
      </w:r>
      <w:r>
        <w:rPr>
          <w:color w:val="231F20"/>
          <w:spacing w:val="-6"/>
          <w:w w:val="120"/>
        </w:rPr>
        <w:t> </w:t>
      </w:r>
      <w:r>
        <w:rPr>
          <w:color w:val="231F20"/>
          <w:spacing w:val="-2"/>
          <w:w w:val="120"/>
        </w:rPr>
        <w:t>bourreau</w:t>
      </w:r>
      <w:r>
        <w:rPr>
          <w:color w:val="231F20"/>
          <w:spacing w:val="-6"/>
          <w:w w:val="120"/>
        </w:rPr>
        <w:t> </w:t>
      </w:r>
      <w:r>
        <w:rPr>
          <w:color w:val="231F20"/>
          <w:spacing w:val="-2"/>
          <w:w w:val="120"/>
        </w:rPr>
        <w:t>de</w:t>
      </w:r>
      <w:r>
        <w:rPr>
          <w:color w:val="231F20"/>
          <w:spacing w:val="-6"/>
          <w:w w:val="120"/>
        </w:rPr>
        <w:t> </w:t>
      </w:r>
      <w:r>
        <w:rPr>
          <w:color w:val="231F20"/>
          <w:spacing w:val="-2"/>
          <w:w w:val="120"/>
        </w:rPr>
        <w:t>travail.</w:t>
      </w:r>
      <w:r>
        <w:rPr>
          <w:color w:val="231F20"/>
          <w:spacing w:val="-6"/>
          <w:w w:val="120"/>
        </w:rPr>
        <w:t> </w:t>
      </w:r>
      <w:r>
        <w:rPr>
          <w:color w:val="231F20"/>
          <w:spacing w:val="-2"/>
          <w:w w:val="120"/>
        </w:rPr>
        <w:t>En</w:t>
      </w:r>
      <w:r>
        <w:rPr>
          <w:color w:val="231F20"/>
          <w:spacing w:val="-6"/>
          <w:w w:val="120"/>
        </w:rPr>
        <w:t> </w:t>
      </w:r>
      <w:r>
        <w:rPr>
          <w:color w:val="231F20"/>
          <w:spacing w:val="-2"/>
          <w:w w:val="120"/>
        </w:rPr>
        <w:t>revanche, l’individu</w:t>
      </w:r>
      <w:r>
        <w:rPr>
          <w:color w:val="231F20"/>
          <w:spacing w:val="-4"/>
          <w:w w:val="120"/>
        </w:rPr>
        <w:t> </w:t>
      </w:r>
      <w:r>
        <w:rPr>
          <w:color w:val="231F20"/>
          <w:spacing w:val="-2"/>
          <w:w w:val="120"/>
        </w:rPr>
        <w:t>qui</w:t>
      </w:r>
      <w:r>
        <w:rPr>
          <w:color w:val="231F20"/>
          <w:spacing w:val="-4"/>
          <w:w w:val="120"/>
        </w:rPr>
        <w:t> </w:t>
      </w:r>
      <w:r>
        <w:rPr>
          <w:color w:val="231F20"/>
          <w:spacing w:val="-2"/>
          <w:w w:val="120"/>
        </w:rPr>
        <w:t>possède</w:t>
      </w:r>
      <w:r>
        <w:rPr>
          <w:color w:val="231F20"/>
          <w:spacing w:val="-4"/>
          <w:w w:val="120"/>
        </w:rPr>
        <w:t> </w:t>
      </w:r>
      <w:r>
        <w:rPr>
          <w:color w:val="231F20"/>
          <w:spacing w:val="-2"/>
          <w:w w:val="120"/>
        </w:rPr>
        <w:t>un</w:t>
      </w:r>
      <w:r>
        <w:rPr>
          <w:color w:val="231F20"/>
          <w:spacing w:val="-4"/>
          <w:w w:val="120"/>
        </w:rPr>
        <w:t> </w:t>
      </w:r>
      <w:r>
        <w:rPr>
          <w:color w:val="231F20"/>
          <w:spacing w:val="-2"/>
          <w:w w:val="120"/>
        </w:rPr>
        <w:t>caractère</w:t>
      </w:r>
      <w:r>
        <w:rPr>
          <w:color w:val="231F20"/>
          <w:spacing w:val="-4"/>
          <w:w w:val="120"/>
        </w:rPr>
        <w:t> </w:t>
      </w:r>
      <w:r>
        <w:rPr>
          <w:color w:val="231F20"/>
          <w:spacing w:val="-2"/>
          <w:w w:val="120"/>
        </w:rPr>
        <w:t>négligent</w:t>
      </w:r>
      <w:r>
        <w:rPr>
          <w:color w:val="231F20"/>
          <w:spacing w:val="-4"/>
          <w:w w:val="120"/>
        </w:rPr>
        <w:t> </w:t>
      </w:r>
      <w:r>
        <w:rPr>
          <w:color w:val="231F20"/>
          <w:spacing w:val="-2"/>
          <w:w w:val="120"/>
        </w:rPr>
        <w:t>prête</w:t>
      </w:r>
      <w:r>
        <w:rPr>
          <w:color w:val="231F20"/>
          <w:spacing w:val="-4"/>
          <w:w w:val="120"/>
        </w:rPr>
        <w:t> </w:t>
      </w:r>
      <w:r>
        <w:rPr>
          <w:color w:val="231F20"/>
          <w:spacing w:val="-2"/>
          <w:w w:val="120"/>
        </w:rPr>
        <w:t>le</w:t>
      </w:r>
      <w:r>
        <w:rPr>
          <w:color w:val="231F20"/>
          <w:spacing w:val="-4"/>
          <w:w w:val="120"/>
        </w:rPr>
        <w:t> </w:t>
      </w:r>
      <w:r>
        <w:rPr>
          <w:color w:val="231F20"/>
          <w:spacing w:val="-2"/>
          <w:w w:val="120"/>
        </w:rPr>
        <w:t>flanc</w:t>
      </w:r>
      <w:r>
        <w:rPr>
          <w:color w:val="231F20"/>
          <w:spacing w:val="-4"/>
          <w:w w:val="120"/>
        </w:rPr>
        <w:t> </w:t>
      </w:r>
      <w:r>
        <w:rPr>
          <w:color w:val="231F20"/>
          <w:spacing w:val="-2"/>
          <w:w w:val="120"/>
        </w:rPr>
        <w:t>aux</w:t>
      </w:r>
      <w:r>
        <w:rPr>
          <w:color w:val="231F20"/>
          <w:spacing w:val="-4"/>
          <w:w w:val="120"/>
        </w:rPr>
        <w:t> </w:t>
      </w:r>
      <w:r>
        <w:rPr>
          <w:color w:val="231F20"/>
          <w:spacing w:val="-2"/>
          <w:w w:val="120"/>
        </w:rPr>
        <w:t>critiques </w:t>
      </w:r>
      <w:r>
        <w:rPr>
          <w:color w:val="231F20"/>
          <w:w w:val="120"/>
        </w:rPr>
        <w:t>à</w:t>
      </w:r>
      <w:r>
        <w:rPr>
          <w:color w:val="231F20"/>
          <w:spacing w:val="-15"/>
          <w:w w:val="120"/>
        </w:rPr>
        <w:t> </w:t>
      </w:r>
      <w:r>
        <w:rPr>
          <w:color w:val="231F20"/>
          <w:w w:val="120"/>
        </w:rPr>
        <w:t>cause</w:t>
      </w:r>
      <w:r>
        <w:rPr>
          <w:color w:val="231F20"/>
          <w:spacing w:val="-13"/>
          <w:w w:val="120"/>
        </w:rPr>
        <w:t> </w:t>
      </w:r>
      <w:r>
        <w:rPr>
          <w:color w:val="231F20"/>
          <w:w w:val="120"/>
        </w:rPr>
        <w:t>de</w:t>
      </w:r>
      <w:r>
        <w:rPr>
          <w:color w:val="231F20"/>
          <w:spacing w:val="-13"/>
          <w:w w:val="120"/>
        </w:rPr>
        <w:t> </w:t>
      </w:r>
      <w:r>
        <w:rPr>
          <w:color w:val="231F20"/>
          <w:w w:val="120"/>
        </w:rPr>
        <w:t>son</w:t>
      </w:r>
      <w:r>
        <w:rPr>
          <w:color w:val="231F20"/>
          <w:spacing w:val="-12"/>
          <w:w w:val="120"/>
        </w:rPr>
        <w:t> </w:t>
      </w:r>
      <w:r>
        <w:rPr>
          <w:color w:val="231F20"/>
          <w:w w:val="120"/>
        </w:rPr>
        <w:t>manque</w:t>
      </w:r>
      <w:r>
        <w:rPr>
          <w:color w:val="231F20"/>
          <w:spacing w:val="-13"/>
          <w:w w:val="120"/>
        </w:rPr>
        <w:t> </w:t>
      </w:r>
      <w:r>
        <w:rPr>
          <w:color w:val="231F20"/>
          <w:w w:val="120"/>
        </w:rPr>
        <w:t>de</w:t>
      </w:r>
      <w:r>
        <w:rPr>
          <w:color w:val="231F20"/>
          <w:spacing w:val="-13"/>
          <w:w w:val="120"/>
        </w:rPr>
        <w:t> </w:t>
      </w:r>
      <w:r>
        <w:rPr>
          <w:color w:val="231F20"/>
          <w:w w:val="120"/>
        </w:rPr>
        <w:t>fiabilité,</w:t>
      </w:r>
      <w:r>
        <w:rPr>
          <w:color w:val="231F20"/>
          <w:spacing w:val="-13"/>
          <w:w w:val="120"/>
        </w:rPr>
        <w:t> </w:t>
      </w:r>
      <w:r>
        <w:rPr>
          <w:color w:val="231F20"/>
          <w:w w:val="120"/>
        </w:rPr>
        <w:t>d’ambition</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respect</w:t>
      </w:r>
      <w:r>
        <w:rPr>
          <w:color w:val="231F20"/>
          <w:spacing w:val="-13"/>
          <w:w w:val="120"/>
        </w:rPr>
        <w:t> </w:t>
      </w:r>
      <w:r>
        <w:rPr>
          <w:color w:val="231F20"/>
          <w:w w:val="120"/>
        </w:rPr>
        <w:t>des</w:t>
      </w:r>
      <w:r>
        <w:rPr>
          <w:color w:val="231F20"/>
          <w:spacing w:val="-12"/>
          <w:w w:val="120"/>
        </w:rPr>
        <w:t> </w:t>
      </w:r>
      <w:r>
        <w:rPr>
          <w:color w:val="231F20"/>
          <w:w w:val="120"/>
        </w:rPr>
        <w:t>normes, mais il vit beaucoup de plaisirs éphémères. Généralement, le carac- tère</w:t>
      </w:r>
      <w:r>
        <w:rPr>
          <w:color w:val="231F20"/>
          <w:spacing w:val="34"/>
          <w:w w:val="120"/>
        </w:rPr>
        <w:t> </w:t>
      </w:r>
      <w:r>
        <w:rPr>
          <w:color w:val="231F20"/>
          <w:w w:val="120"/>
        </w:rPr>
        <w:t>consciencieux</w:t>
      </w:r>
      <w:r>
        <w:rPr>
          <w:color w:val="231F20"/>
          <w:spacing w:val="34"/>
          <w:w w:val="120"/>
        </w:rPr>
        <w:t> </w:t>
      </w:r>
      <w:r>
        <w:rPr>
          <w:color w:val="231F20"/>
          <w:w w:val="120"/>
        </w:rPr>
        <w:t>d’une</w:t>
      </w:r>
      <w:r>
        <w:rPr>
          <w:color w:val="231F20"/>
          <w:spacing w:val="34"/>
          <w:w w:val="120"/>
        </w:rPr>
        <w:t> </w:t>
      </w:r>
      <w:r>
        <w:rPr>
          <w:color w:val="231F20"/>
          <w:w w:val="120"/>
        </w:rPr>
        <w:t>personne</w:t>
      </w:r>
      <w:r>
        <w:rPr>
          <w:color w:val="231F20"/>
          <w:spacing w:val="34"/>
          <w:w w:val="120"/>
        </w:rPr>
        <w:t> </w:t>
      </w:r>
      <w:r>
        <w:rPr>
          <w:color w:val="231F20"/>
          <w:w w:val="120"/>
        </w:rPr>
        <w:t>le</w:t>
      </w:r>
      <w:r>
        <w:rPr>
          <w:color w:val="231F20"/>
          <w:spacing w:val="34"/>
          <w:w w:val="120"/>
        </w:rPr>
        <w:t> </w:t>
      </w:r>
      <w:r>
        <w:rPr>
          <w:color w:val="231F20"/>
          <w:w w:val="120"/>
        </w:rPr>
        <w:t>protège</w:t>
      </w:r>
      <w:r>
        <w:rPr>
          <w:color w:val="231F20"/>
          <w:spacing w:val="34"/>
          <w:w w:val="120"/>
        </w:rPr>
        <w:t> </w:t>
      </w:r>
      <w:r>
        <w:rPr>
          <w:color w:val="231F20"/>
          <w:w w:val="120"/>
        </w:rPr>
        <w:t>de</w:t>
      </w:r>
      <w:r>
        <w:rPr>
          <w:color w:val="231F20"/>
          <w:spacing w:val="34"/>
          <w:w w:val="120"/>
        </w:rPr>
        <w:t> </w:t>
      </w:r>
      <w:r>
        <w:rPr>
          <w:color w:val="231F20"/>
          <w:w w:val="120"/>
        </w:rPr>
        <w:t>vivre</w:t>
      </w:r>
      <w:r>
        <w:rPr>
          <w:color w:val="231F20"/>
          <w:spacing w:val="34"/>
          <w:w w:val="120"/>
        </w:rPr>
        <w:t> </w:t>
      </w:r>
      <w:r>
        <w:rPr>
          <w:color w:val="231F20"/>
          <w:w w:val="120"/>
        </w:rPr>
        <w:t>des</w:t>
      </w:r>
      <w:r>
        <w:rPr>
          <w:color w:val="231F20"/>
          <w:spacing w:val="34"/>
          <w:w w:val="120"/>
        </w:rPr>
        <w:t> </w:t>
      </w:r>
      <w:r>
        <w:rPr>
          <w:color w:val="231F20"/>
          <w:w w:val="120"/>
        </w:rPr>
        <w:t>niveaux de</w:t>
      </w:r>
      <w:r>
        <w:rPr>
          <w:color w:val="231F20"/>
          <w:spacing w:val="-1"/>
          <w:w w:val="120"/>
        </w:rPr>
        <w:t> </w:t>
      </w:r>
      <w:r>
        <w:rPr>
          <w:color w:val="231F20"/>
          <w:w w:val="120"/>
        </w:rPr>
        <w:t>stress</w:t>
      </w:r>
      <w:r>
        <w:rPr>
          <w:color w:val="231F20"/>
          <w:spacing w:val="-1"/>
          <w:w w:val="120"/>
        </w:rPr>
        <w:t> </w:t>
      </w:r>
      <w:r>
        <w:rPr>
          <w:color w:val="231F20"/>
          <w:w w:val="120"/>
        </w:rPr>
        <w:t>très</w:t>
      </w:r>
      <w:r>
        <w:rPr>
          <w:color w:val="231F20"/>
          <w:spacing w:val="-1"/>
          <w:w w:val="120"/>
        </w:rPr>
        <w:t> </w:t>
      </w:r>
      <w:r>
        <w:rPr>
          <w:color w:val="231F20"/>
          <w:w w:val="120"/>
        </w:rPr>
        <w:t>élevés</w:t>
      </w:r>
      <w:r>
        <w:rPr>
          <w:color w:val="231F20"/>
          <w:spacing w:val="-1"/>
          <w:w w:val="120"/>
        </w:rPr>
        <w:t> </w:t>
      </w:r>
      <w:r>
        <w:rPr>
          <w:color w:val="231F20"/>
          <w:w w:val="120"/>
        </w:rPr>
        <w:t>en</w:t>
      </w:r>
      <w:r>
        <w:rPr>
          <w:color w:val="231F20"/>
          <w:spacing w:val="-1"/>
          <w:w w:val="120"/>
        </w:rPr>
        <w:t> </w:t>
      </w:r>
      <w:r>
        <w:rPr>
          <w:color w:val="231F20"/>
          <w:w w:val="120"/>
        </w:rPr>
        <w:t>raison</w:t>
      </w:r>
      <w:r>
        <w:rPr>
          <w:color w:val="231F20"/>
          <w:spacing w:val="-1"/>
          <w:w w:val="120"/>
        </w:rPr>
        <w:t> </w:t>
      </w:r>
      <w:r>
        <w:rPr>
          <w:color w:val="231F20"/>
          <w:w w:val="120"/>
        </w:rPr>
        <w:t>de</w:t>
      </w:r>
      <w:r>
        <w:rPr>
          <w:color w:val="231F20"/>
          <w:spacing w:val="-1"/>
          <w:w w:val="120"/>
        </w:rPr>
        <w:t> </w:t>
      </w:r>
      <w:r>
        <w:rPr>
          <w:color w:val="231F20"/>
          <w:w w:val="120"/>
        </w:rPr>
        <w:t>sa</w:t>
      </w:r>
      <w:r>
        <w:rPr>
          <w:color w:val="231F20"/>
          <w:spacing w:val="-1"/>
          <w:w w:val="120"/>
        </w:rPr>
        <w:t> </w:t>
      </w:r>
      <w:r>
        <w:rPr>
          <w:color w:val="231F20"/>
          <w:w w:val="120"/>
        </w:rPr>
        <w:t>planification</w:t>
      </w:r>
      <w:r>
        <w:rPr>
          <w:color w:val="231F20"/>
          <w:spacing w:val="-1"/>
          <w:w w:val="120"/>
        </w:rPr>
        <w:t> </w:t>
      </w:r>
      <w:r>
        <w:rPr>
          <w:color w:val="231F20"/>
          <w:w w:val="120"/>
        </w:rPr>
        <w:t>des</w:t>
      </w:r>
      <w:r>
        <w:rPr>
          <w:color w:val="231F20"/>
          <w:spacing w:val="-1"/>
          <w:w w:val="120"/>
        </w:rPr>
        <w:t> </w:t>
      </w:r>
      <w:r>
        <w:rPr>
          <w:color w:val="231F20"/>
          <w:w w:val="120"/>
        </w:rPr>
        <w:t>événements</w:t>
      </w:r>
      <w:r>
        <w:rPr>
          <w:color w:val="231F20"/>
          <w:spacing w:val="-1"/>
          <w:w w:val="120"/>
        </w:rPr>
        <w:t> </w:t>
      </w:r>
      <w:r>
        <w:rPr>
          <w:color w:val="231F20"/>
          <w:w w:val="120"/>
        </w:rPr>
        <w:t>et</w:t>
      </w:r>
      <w:r>
        <w:rPr>
          <w:color w:val="231F20"/>
          <w:spacing w:val="-1"/>
          <w:w w:val="120"/>
        </w:rPr>
        <w:t> </w:t>
      </w:r>
      <w:r>
        <w:rPr>
          <w:color w:val="231F20"/>
          <w:w w:val="120"/>
        </w:rPr>
        <w:t>de sa</w:t>
      </w:r>
      <w:r>
        <w:rPr>
          <w:color w:val="231F20"/>
          <w:spacing w:val="-13"/>
          <w:w w:val="120"/>
        </w:rPr>
        <w:t> </w:t>
      </w:r>
      <w:r>
        <w:rPr>
          <w:color w:val="231F20"/>
          <w:w w:val="120"/>
        </w:rPr>
        <w:t>prévoyance.</w:t>
      </w:r>
    </w:p>
    <w:p>
      <w:pPr>
        <w:pStyle w:val="BodyText"/>
        <w:rPr>
          <w:sz w:val="24"/>
        </w:rPr>
      </w:pPr>
    </w:p>
    <w:p>
      <w:pPr>
        <w:pStyle w:val="Heading2"/>
        <w:numPr>
          <w:ilvl w:val="1"/>
          <w:numId w:val="40"/>
        </w:numPr>
        <w:tabs>
          <w:tab w:pos="911" w:val="left" w:leader="none"/>
          <w:tab w:pos="1219" w:val="left" w:leader="none"/>
        </w:tabs>
        <w:spacing w:line="240" w:lineRule="auto" w:before="182" w:after="0"/>
        <w:ind w:left="910" w:right="0" w:hanging="312"/>
        <w:jc w:val="left"/>
      </w:pPr>
      <w:r>
        <w:rPr>
          <w:b w:val="0"/>
          <w:i/>
          <w:color w:val="231F20"/>
          <w:spacing w:val="-10"/>
        </w:rPr>
        <w:t>/</w:t>
      </w:r>
      <w:r>
        <w:rPr>
          <w:b w:val="0"/>
          <w:i/>
          <w:color w:val="231F20"/>
        </w:rPr>
        <w:tab/>
      </w:r>
      <w:r>
        <w:rPr>
          <w:color w:val="231F20"/>
          <w:w w:val="90"/>
        </w:rPr>
        <w:t>Conséquences</w:t>
      </w:r>
      <w:r>
        <w:rPr>
          <w:color w:val="231F20"/>
          <w:spacing w:val="5"/>
        </w:rPr>
        <w:t> </w:t>
      </w:r>
      <w:r>
        <w:rPr>
          <w:color w:val="231F20"/>
          <w:w w:val="90"/>
        </w:rPr>
        <w:t>du</w:t>
      </w:r>
      <w:r>
        <w:rPr>
          <w:color w:val="231F20"/>
          <w:spacing w:val="5"/>
        </w:rPr>
        <w:t> </w:t>
      </w:r>
      <w:r>
        <w:rPr>
          <w:color w:val="231F20"/>
          <w:w w:val="90"/>
        </w:rPr>
        <w:t>stress</w:t>
      </w:r>
      <w:r>
        <w:rPr>
          <w:color w:val="231F20"/>
          <w:spacing w:val="6"/>
        </w:rPr>
        <w:t> </w:t>
      </w:r>
      <w:r>
        <w:rPr>
          <w:color w:val="231F20"/>
          <w:spacing w:val="-2"/>
          <w:w w:val="90"/>
        </w:rPr>
        <w:t>professionnel</w:t>
      </w:r>
    </w:p>
    <w:p>
      <w:pPr>
        <w:pStyle w:val="BodyText"/>
        <w:spacing w:before="9"/>
        <w:rPr>
          <w:rFonts w:ascii="Arial"/>
          <w:b/>
          <w:sz w:val="25"/>
        </w:rPr>
      </w:pPr>
    </w:p>
    <w:p>
      <w:pPr>
        <w:pStyle w:val="BodyText"/>
        <w:spacing w:line="307" w:lineRule="auto"/>
        <w:ind w:left="1220" w:right="105"/>
        <w:jc w:val="both"/>
      </w:pPr>
      <w:r>
        <w:rPr>
          <w:color w:val="231F20"/>
          <w:w w:val="115"/>
        </w:rPr>
        <w:t>Quelles</w:t>
      </w:r>
      <w:r>
        <w:rPr>
          <w:color w:val="231F20"/>
          <w:spacing w:val="-13"/>
          <w:w w:val="115"/>
        </w:rPr>
        <w:t> </w:t>
      </w:r>
      <w:r>
        <w:rPr>
          <w:color w:val="231F20"/>
          <w:w w:val="115"/>
        </w:rPr>
        <w:t>sont les conséquences du stress pour les travailleurs</w:t>
      </w:r>
      <w:r>
        <w:rPr>
          <w:color w:val="231F20"/>
          <w:spacing w:val="-13"/>
          <w:w w:val="115"/>
        </w:rPr>
        <w:t> </w:t>
      </w:r>
      <w:r>
        <w:rPr>
          <w:color w:val="231F20"/>
          <w:w w:val="115"/>
        </w:rPr>
        <w:t>? Et pour les organisations? Dans le monde d’aujourd’hui, toute organisation doit être </w:t>
      </w:r>
      <w:r>
        <w:rPr>
          <w:color w:val="231F20"/>
          <w:spacing w:val="-2"/>
          <w:w w:val="120"/>
        </w:rPr>
        <w:t>en</w:t>
      </w:r>
      <w:r>
        <w:rPr>
          <w:color w:val="231F20"/>
          <w:spacing w:val="-9"/>
          <w:w w:val="120"/>
        </w:rPr>
        <w:t> </w:t>
      </w:r>
      <w:r>
        <w:rPr>
          <w:color w:val="231F20"/>
          <w:spacing w:val="-2"/>
          <w:w w:val="120"/>
        </w:rPr>
        <w:t>mesure</w:t>
      </w:r>
      <w:r>
        <w:rPr>
          <w:color w:val="231F20"/>
          <w:spacing w:val="-9"/>
          <w:w w:val="120"/>
        </w:rPr>
        <w:t> </w:t>
      </w:r>
      <w:r>
        <w:rPr>
          <w:color w:val="231F20"/>
          <w:spacing w:val="-2"/>
          <w:w w:val="120"/>
        </w:rPr>
        <w:t>de</w:t>
      </w:r>
      <w:r>
        <w:rPr>
          <w:color w:val="231F20"/>
          <w:spacing w:val="-9"/>
          <w:w w:val="120"/>
        </w:rPr>
        <w:t> </w:t>
      </w:r>
      <w:r>
        <w:rPr>
          <w:color w:val="231F20"/>
          <w:spacing w:val="-2"/>
          <w:w w:val="120"/>
        </w:rPr>
        <w:t>réagir</w:t>
      </w:r>
      <w:r>
        <w:rPr>
          <w:color w:val="231F20"/>
          <w:spacing w:val="-9"/>
          <w:w w:val="120"/>
        </w:rPr>
        <w:t> </w:t>
      </w:r>
      <w:r>
        <w:rPr>
          <w:color w:val="231F20"/>
          <w:spacing w:val="-2"/>
          <w:w w:val="120"/>
        </w:rPr>
        <w:t>promptement</w:t>
      </w:r>
      <w:r>
        <w:rPr>
          <w:color w:val="231F20"/>
          <w:spacing w:val="-9"/>
          <w:w w:val="120"/>
        </w:rPr>
        <w:t> </w:t>
      </w:r>
      <w:r>
        <w:rPr>
          <w:color w:val="231F20"/>
          <w:spacing w:val="-2"/>
          <w:w w:val="120"/>
        </w:rPr>
        <w:t>et</w:t>
      </w:r>
      <w:r>
        <w:rPr>
          <w:color w:val="231F20"/>
          <w:spacing w:val="-9"/>
          <w:w w:val="120"/>
        </w:rPr>
        <w:t> </w:t>
      </w:r>
      <w:r>
        <w:rPr>
          <w:color w:val="231F20"/>
          <w:spacing w:val="-2"/>
          <w:w w:val="120"/>
        </w:rPr>
        <w:t>efficacement</w:t>
      </w:r>
      <w:r>
        <w:rPr>
          <w:color w:val="231F20"/>
          <w:spacing w:val="-9"/>
          <w:w w:val="120"/>
        </w:rPr>
        <w:t> </w:t>
      </w:r>
      <w:r>
        <w:rPr>
          <w:color w:val="231F20"/>
          <w:spacing w:val="-2"/>
          <w:w w:val="120"/>
        </w:rPr>
        <w:t>au</w:t>
      </w:r>
      <w:r>
        <w:rPr>
          <w:color w:val="231F20"/>
          <w:spacing w:val="-9"/>
          <w:w w:val="120"/>
        </w:rPr>
        <w:t> </w:t>
      </w:r>
      <w:r>
        <w:rPr>
          <w:color w:val="231F20"/>
          <w:spacing w:val="-2"/>
          <w:w w:val="120"/>
        </w:rPr>
        <w:t>changement,</w:t>
      </w:r>
      <w:r>
        <w:rPr>
          <w:color w:val="231F20"/>
          <w:spacing w:val="-9"/>
          <w:w w:val="120"/>
        </w:rPr>
        <w:t> </w:t>
      </w:r>
      <w:r>
        <w:rPr>
          <w:color w:val="231F20"/>
          <w:spacing w:val="-2"/>
          <w:w w:val="120"/>
        </w:rPr>
        <w:t>car</w:t>
      </w:r>
      <w:r>
        <w:rPr>
          <w:color w:val="231F20"/>
          <w:spacing w:val="-9"/>
          <w:w w:val="120"/>
        </w:rPr>
        <w:t> </w:t>
      </w:r>
      <w:r>
        <w:rPr>
          <w:color w:val="231F20"/>
          <w:spacing w:val="-2"/>
          <w:w w:val="120"/>
        </w:rPr>
        <w:t>en </w:t>
      </w:r>
      <w:r>
        <w:rPr>
          <w:color w:val="231F20"/>
          <w:w w:val="120"/>
        </w:rPr>
        <w:t>se transmettant aux travailleurs, cette pression devient une situation </w:t>
      </w:r>
      <w:r>
        <w:rPr>
          <w:color w:val="231F20"/>
          <w:spacing w:val="-2"/>
          <w:w w:val="120"/>
        </w:rPr>
        <w:t>stressante</w:t>
      </w:r>
      <w:r>
        <w:rPr>
          <w:color w:val="231F20"/>
          <w:spacing w:val="-9"/>
          <w:w w:val="120"/>
        </w:rPr>
        <w:t> </w:t>
      </w:r>
      <w:r>
        <w:rPr>
          <w:color w:val="231F20"/>
          <w:spacing w:val="-2"/>
          <w:w w:val="120"/>
        </w:rPr>
        <w:t>pour</w:t>
      </w:r>
      <w:r>
        <w:rPr>
          <w:color w:val="231F20"/>
          <w:spacing w:val="-9"/>
          <w:w w:val="120"/>
        </w:rPr>
        <w:t> </w:t>
      </w:r>
      <w:r>
        <w:rPr>
          <w:color w:val="231F20"/>
          <w:spacing w:val="-2"/>
          <w:w w:val="120"/>
        </w:rPr>
        <w:t>l’organisation</w:t>
      </w:r>
      <w:r>
        <w:rPr>
          <w:color w:val="231F20"/>
          <w:spacing w:val="-9"/>
          <w:w w:val="120"/>
        </w:rPr>
        <w:t> </w:t>
      </w:r>
      <w:r>
        <w:rPr>
          <w:color w:val="231F20"/>
          <w:spacing w:val="-2"/>
          <w:w w:val="120"/>
        </w:rPr>
        <w:t>comme</w:t>
      </w:r>
      <w:r>
        <w:rPr>
          <w:color w:val="231F20"/>
          <w:spacing w:val="-9"/>
          <w:w w:val="120"/>
        </w:rPr>
        <w:t> </w:t>
      </w:r>
      <w:r>
        <w:rPr>
          <w:color w:val="231F20"/>
          <w:spacing w:val="-2"/>
          <w:w w:val="120"/>
        </w:rPr>
        <w:t>pour</w:t>
      </w:r>
      <w:r>
        <w:rPr>
          <w:color w:val="231F20"/>
          <w:spacing w:val="-9"/>
          <w:w w:val="120"/>
        </w:rPr>
        <w:t> </w:t>
      </w:r>
      <w:r>
        <w:rPr>
          <w:color w:val="231F20"/>
          <w:spacing w:val="-2"/>
          <w:w w:val="120"/>
        </w:rPr>
        <w:t>son</w:t>
      </w:r>
      <w:r>
        <w:rPr>
          <w:color w:val="231F20"/>
          <w:spacing w:val="-9"/>
          <w:w w:val="120"/>
        </w:rPr>
        <w:t> </w:t>
      </w:r>
      <w:r>
        <w:rPr>
          <w:color w:val="231F20"/>
          <w:spacing w:val="-2"/>
          <w:w w:val="120"/>
        </w:rPr>
        <w:t>personnel.</w:t>
      </w:r>
      <w:r>
        <w:rPr>
          <w:color w:val="231F20"/>
          <w:spacing w:val="-9"/>
          <w:w w:val="120"/>
        </w:rPr>
        <w:t> </w:t>
      </w:r>
      <w:r>
        <w:rPr>
          <w:color w:val="231F20"/>
          <w:spacing w:val="-2"/>
          <w:w w:val="120"/>
        </w:rPr>
        <w:t>Une</w:t>
      </w:r>
      <w:r>
        <w:rPr>
          <w:color w:val="231F20"/>
          <w:spacing w:val="-9"/>
          <w:w w:val="120"/>
        </w:rPr>
        <w:t> </w:t>
      </w:r>
      <w:r>
        <w:rPr>
          <w:color w:val="231F20"/>
          <w:spacing w:val="-2"/>
          <w:w w:val="120"/>
        </w:rPr>
        <w:t>organisa- </w:t>
      </w:r>
      <w:r>
        <w:rPr>
          <w:color w:val="231F20"/>
          <w:w w:val="120"/>
        </w:rPr>
        <w:t>tion</w:t>
      </w:r>
      <w:r>
        <w:rPr>
          <w:color w:val="231F20"/>
          <w:spacing w:val="-13"/>
          <w:w w:val="120"/>
        </w:rPr>
        <w:t> </w:t>
      </w:r>
      <w:r>
        <w:rPr>
          <w:color w:val="231F20"/>
          <w:w w:val="120"/>
        </w:rPr>
        <w:t>«</w:t>
      </w:r>
      <w:r>
        <w:rPr>
          <w:color w:val="231F20"/>
          <w:spacing w:val="-13"/>
          <w:w w:val="120"/>
        </w:rPr>
        <w:t> </w:t>
      </w:r>
      <w:r>
        <w:rPr>
          <w:color w:val="231F20"/>
          <w:w w:val="120"/>
        </w:rPr>
        <w:t>stressée»</w:t>
      </w:r>
      <w:r>
        <w:rPr>
          <w:color w:val="231F20"/>
          <w:spacing w:val="-1"/>
          <w:w w:val="120"/>
        </w:rPr>
        <w:t> </w:t>
      </w:r>
      <w:r>
        <w:rPr>
          <w:color w:val="231F20"/>
          <w:w w:val="120"/>
        </w:rPr>
        <w:t>se caractérise par un déséquilibre entre ses objectifs et </w:t>
      </w:r>
      <w:r>
        <w:rPr>
          <w:color w:val="231F20"/>
          <w:spacing w:val="-4"/>
          <w:w w:val="120"/>
        </w:rPr>
        <w:t>ses réalités internes et externes (stratégie globale, technologie, ressources </w:t>
      </w:r>
      <w:r>
        <w:rPr>
          <w:color w:val="231F20"/>
          <w:w w:val="120"/>
        </w:rPr>
        <w:t>humaines,</w:t>
      </w:r>
      <w:r>
        <w:rPr>
          <w:color w:val="231F20"/>
          <w:spacing w:val="-13"/>
          <w:w w:val="120"/>
        </w:rPr>
        <w:t> </w:t>
      </w:r>
      <w:r>
        <w:rPr>
          <w:color w:val="231F20"/>
          <w:w w:val="120"/>
        </w:rPr>
        <w:t>culture,</w:t>
      </w:r>
      <w:r>
        <w:rPr>
          <w:color w:val="231F20"/>
          <w:spacing w:val="-13"/>
          <w:w w:val="120"/>
        </w:rPr>
        <w:t> </w:t>
      </w:r>
      <w:r>
        <w:rPr>
          <w:color w:val="231F20"/>
          <w:w w:val="120"/>
        </w:rPr>
        <w:t>valeurs,</w:t>
      </w:r>
      <w:r>
        <w:rPr>
          <w:color w:val="231F20"/>
          <w:spacing w:val="-13"/>
          <w:w w:val="120"/>
        </w:rPr>
        <w:t> </w:t>
      </w:r>
      <w:r>
        <w:rPr>
          <w:color w:val="231F20"/>
          <w:w w:val="120"/>
        </w:rPr>
        <w:t>rentabilité,</w:t>
      </w:r>
      <w:r>
        <w:rPr>
          <w:color w:val="231F20"/>
          <w:spacing w:val="-12"/>
          <w:w w:val="120"/>
        </w:rPr>
        <w:t> </w:t>
      </w:r>
      <w:r>
        <w:rPr>
          <w:color w:val="231F20"/>
          <w:w w:val="120"/>
        </w:rPr>
        <w:t>concurrence,</w:t>
      </w:r>
      <w:r>
        <w:rPr>
          <w:color w:val="231F20"/>
          <w:spacing w:val="-13"/>
          <w:w w:val="120"/>
        </w:rPr>
        <w:t> </w:t>
      </w:r>
      <w:r>
        <w:rPr>
          <w:color w:val="231F20"/>
          <w:w w:val="120"/>
        </w:rPr>
        <w:t>etc.).</w:t>
      </w:r>
      <w:r>
        <w:rPr>
          <w:color w:val="231F20"/>
          <w:spacing w:val="-13"/>
          <w:w w:val="120"/>
        </w:rPr>
        <w:t> </w:t>
      </w:r>
      <w:r>
        <w:rPr>
          <w:color w:val="231F20"/>
          <w:w w:val="120"/>
        </w:rPr>
        <w:t>Le</w:t>
      </w:r>
      <w:r>
        <w:rPr>
          <w:color w:val="231F20"/>
          <w:spacing w:val="-13"/>
          <w:w w:val="120"/>
        </w:rPr>
        <w:t> </w:t>
      </w:r>
      <w:r>
        <w:rPr>
          <w:color w:val="231F20"/>
          <w:w w:val="120"/>
        </w:rPr>
        <w:t>travailleur stressé souffre lui aussi d’une inadéquation, en l’occurrence, entre ses </w:t>
      </w:r>
      <w:r>
        <w:rPr>
          <w:color w:val="231F20"/>
          <w:spacing w:val="-2"/>
          <w:w w:val="120"/>
        </w:rPr>
        <w:t>attentes</w:t>
      </w:r>
      <w:r>
        <w:rPr>
          <w:color w:val="231F20"/>
          <w:spacing w:val="-10"/>
          <w:w w:val="120"/>
        </w:rPr>
        <w:t> </w:t>
      </w:r>
      <w:r>
        <w:rPr>
          <w:color w:val="231F20"/>
          <w:spacing w:val="-2"/>
          <w:w w:val="120"/>
        </w:rPr>
        <w:t>professionnelles</w:t>
      </w:r>
      <w:r>
        <w:rPr>
          <w:color w:val="231F20"/>
          <w:spacing w:val="-10"/>
          <w:w w:val="120"/>
        </w:rPr>
        <w:t> </w:t>
      </w:r>
      <w:r>
        <w:rPr>
          <w:color w:val="231F20"/>
          <w:spacing w:val="-2"/>
          <w:w w:val="120"/>
        </w:rPr>
        <w:t>et</w:t>
      </w:r>
      <w:r>
        <w:rPr>
          <w:color w:val="231F20"/>
          <w:spacing w:val="-10"/>
          <w:w w:val="120"/>
        </w:rPr>
        <w:t> </w:t>
      </w:r>
      <w:r>
        <w:rPr>
          <w:color w:val="231F20"/>
          <w:spacing w:val="-2"/>
          <w:w w:val="120"/>
        </w:rPr>
        <w:t>la</w:t>
      </w:r>
      <w:r>
        <w:rPr>
          <w:color w:val="231F20"/>
          <w:spacing w:val="-10"/>
          <w:w w:val="120"/>
        </w:rPr>
        <w:t> </w:t>
      </w:r>
      <w:r>
        <w:rPr>
          <w:color w:val="231F20"/>
          <w:spacing w:val="-2"/>
          <w:w w:val="120"/>
        </w:rPr>
        <w:t>réalité</w:t>
      </w:r>
      <w:r>
        <w:rPr>
          <w:color w:val="231F20"/>
          <w:spacing w:val="-10"/>
          <w:w w:val="120"/>
        </w:rPr>
        <w:t> </w:t>
      </w:r>
      <w:r>
        <w:rPr>
          <w:color w:val="231F20"/>
          <w:spacing w:val="-2"/>
          <w:w w:val="120"/>
        </w:rPr>
        <w:t>de</w:t>
      </w:r>
      <w:r>
        <w:rPr>
          <w:color w:val="231F20"/>
          <w:spacing w:val="-10"/>
          <w:w w:val="120"/>
        </w:rPr>
        <w:t> </w:t>
      </w:r>
      <w:r>
        <w:rPr>
          <w:color w:val="231F20"/>
          <w:spacing w:val="-2"/>
          <w:w w:val="120"/>
        </w:rPr>
        <w:t>ses</w:t>
      </w:r>
      <w:r>
        <w:rPr>
          <w:color w:val="231F20"/>
          <w:spacing w:val="-10"/>
          <w:w w:val="120"/>
        </w:rPr>
        <w:t> </w:t>
      </w:r>
      <w:r>
        <w:rPr>
          <w:color w:val="231F20"/>
          <w:spacing w:val="-2"/>
          <w:w w:val="120"/>
        </w:rPr>
        <w:t>conditions</w:t>
      </w:r>
      <w:r>
        <w:rPr>
          <w:color w:val="231F20"/>
          <w:spacing w:val="-10"/>
          <w:w w:val="120"/>
        </w:rPr>
        <w:t> </w:t>
      </w:r>
      <w:r>
        <w:rPr>
          <w:color w:val="231F20"/>
          <w:spacing w:val="-2"/>
          <w:w w:val="120"/>
        </w:rPr>
        <w:t>de</w:t>
      </w:r>
      <w:r>
        <w:rPr>
          <w:color w:val="231F20"/>
          <w:spacing w:val="-10"/>
          <w:w w:val="120"/>
        </w:rPr>
        <w:t> </w:t>
      </w:r>
      <w:r>
        <w:rPr>
          <w:color w:val="231F20"/>
          <w:spacing w:val="-2"/>
          <w:w w:val="120"/>
        </w:rPr>
        <w:t>travail</w:t>
      </w:r>
      <w:r>
        <w:rPr>
          <w:color w:val="231F20"/>
          <w:spacing w:val="-10"/>
          <w:w w:val="120"/>
        </w:rPr>
        <w:t> </w:t>
      </w:r>
      <w:r>
        <w:rPr>
          <w:color w:val="231F20"/>
          <w:spacing w:val="-2"/>
          <w:w w:val="120"/>
        </w:rPr>
        <w:t>(respon- </w:t>
      </w:r>
      <w:r>
        <w:rPr>
          <w:color w:val="231F20"/>
          <w:w w:val="120"/>
        </w:rPr>
        <w:t>sabilités, autonomie, contrôle, programmes d’encouragement, plan de carrière, perfectionnement, etc.).</w:t>
      </w:r>
    </w:p>
    <w:p>
      <w:pPr>
        <w:pStyle w:val="BodyText"/>
        <w:spacing w:line="307" w:lineRule="auto" w:before="78"/>
        <w:ind w:left="1220" w:right="105" w:firstLine="250"/>
        <w:jc w:val="both"/>
      </w:pPr>
      <w:r>
        <w:rPr>
          <w:color w:val="231F20"/>
          <w:spacing w:val="-4"/>
          <w:w w:val="120"/>
        </w:rPr>
        <w:t>Le stress étant une réaction d’alarme générant une réponse adaptative, </w:t>
      </w:r>
      <w:r>
        <w:rPr>
          <w:color w:val="231F20"/>
          <w:spacing w:val="-2"/>
          <w:w w:val="120"/>
        </w:rPr>
        <w:t>la</w:t>
      </w:r>
      <w:r>
        <w:rPr>
          <w:color w:val="231F20"/>
          <w:spacing w:val="-11"/>
          <w:w w:val="120"/>
        </w:rPr>
        <w:t> </w:t>
      </w:r>
      <w:r>
        <w:rPr>
          <w:color w:val="231F20"/>
          <w:spacing w:val="-2"/>
          <w:w w:val="120"/>
        </w:rPr>
        <w:t>plupart</w:t>
      </w:r>
      <w:r>
        <w:rPr>
          <w:color w:val="231F20"/>
          <w:spacing w:val="-11"/>
          <w:w w:val="120"/>
        </w:rPr>
        <w:t> </w:t>
      </w:r>
      <w:r>
        <w:rPr>
          <w:color w:val="231F20"/>
          <w:spacing w:val="-2"/>
          <w:w w:val="120"/>
        </w:rPr>
        <w:t>des</w:t>
      </w:r>
      <w:r>
        <w:rPr>
          <w:color w:val="231F20"/>
          <w:spacing w:val="-11"/>
          <w:w w:val="120"/>
        </w:rPr>
        <w:t> </w:t>
      </w:r>
      <w:r>
        <w:rPr>
          <w:color w:val="231F20"/>
          <w:spacing w:val="-2"/>
          <w:w w:val="120"/>
        </w:rPr>
        <w:t>conséquences</w:t>
      </w:r>
      <w:r>
        <w:rPr>
          <w:color w:val="231F20"/>
          <w:spacing w:val="-10"/>
          <w:w w:val="120"/>
        </w:rPr>
        <w:t> </w:t>
      </w:r>
      <w:r>
        <w:rPr>
          <w:color w:val="231F20"/>
          <w:spacing w:val="-2"/>
          <w:w w:val="120"/>
        </w:rPr>
        <w:t>s’installent</w:t>
      </w:r>
      <w:r>
        <w:rPr>
          <w:color w:val="231F20"/>
          <w:spacing w:val="-11"/>
          <w:w w:val="120"/>
        </w:rPr>
        <w:t> </w:t>
      </w:r>
      <w:r>
        <w:rPr>
          <w:color w:val="231F20"/>
          <w:spacing w:val="-2"/>
          <w:w w:val="120"/>
        </w:rPr>
        <w:t>graduellement</w:t>
      </w:r>
      <w:r>
        <w:rPr>
          <w:color w:val="231F20"/>
          <w:spacing w:val="-11"/>
          <w:w w:val="120"/>
        </w:rPr>
        <w:t> </w:t>
      </w:r>
      <w:r>
        <w:rPr>
          <w:color w:val="231F20"/>
          <w:spacing w:val="-2"/>
          <w:w w:val="120"/>
        </w:rPr>
        <w:t>au</w:t>
      </w:r>
      <w:r>
        <w:rPr>
          <w:color w:val="231F20"/>
          <w:spacing w:val="-11"/>
          <w:w w:val="120"/>
        </w:rPr>
        <w:t> </w:t>
      </w:r>
      <w:r>
        <w:rPr>
          <w:color w:val="231F20"/>
          <w:spacing w:val="-2"/>
          <w:w w:val="120"/>
        </w:rPr>
        <w:t>fur</w:t>
      </w:r>
      <w:r>
        <w:rPr>
          <w:color w:val="231F20"/>
          <w:spacing w:val="-10"/>
          <w:w w:val="120"/>
        </w:rPr>
        <w:t> </w:t>
      </w:r>
      <w:r>
        <w:rPr>
          <w:color w:val="231F20"/>
          <w:spacing w:val="-2"/>
          <w:w w:val="120"/>
        </w:rPr>
        <w:t>et</w:t>
      </w:r>
      <w:r>
        <w:rPr>
          <w:color w:val="231F20"/>
          <w:spacing w:val="-11"/>
          <w:w w:val="120"/>
        </w:rPr>
        <w:t> </w:t>
      </w:r>
      <w:r>
        <w:rPr>
          <w:color w:val="231F20"/>
          <w:spacing w:val="-2"/>
          <w:w w:val="120"/>
        </w:rPr>
        <w:t>à</w:t>
      </w:r>
      <w:r>
        <w:rPr>
          <w:color w:val="231F20"/>
          <w:spacing w:val="-11"/>
          <w:w w:val="120"/>
        </w:rPr>
        <w:t> </w:t>
      </w:r>
      <w:r>
        <w:rPr>
          <w:color w:val="231F20"/>
          <w:spacing w:val="-2"/>
          <w:w w:val="120"/>
        </w:rPr>
        <w:t>mesure </w:t>
      </w:r>
      <w:r>
        <w:rPr>
          <w:color w:val="231F20"/>
          <w:w w:val="115"/>
        </w:rPr>
        <w:t>de</w:t>
      </w:r>
      <w:r>
        <w:rPr>
          <w:color w:val="231F20"/>
          <w:spacing w:val="-13"/>
          <w:w w:val="115"/>
        </w:rPr>
        <w:t> </w:t>
      </w:r>
      <w:r>
        <w:rPr>
          <w:color w:val="231F20"/>
          <w:w w:val="115"/>
        </w:rPr>
        <w:t>la</w:t>
      </w:r>
      <w:r>
        <w:rPr>
          <w:color w:val="231F20"/>
          <w:spacing w:val="-12"/>
          <w:w w:val="115"/>
        </w:rPr>
        <w:t> </w:t>
      </w:r>
      <w:r>
        <w:rPr>
          <w:color w:val="231F20"/>
          <w:w w:val="115"/>
        </w:rPr>
        <w:t>surutilisation</w:t>
      </w:r>
      <w:r>
        <w:rPr>
          <w:color w:val="231F20"/>
          <w:spacing w:val="-12"/>
          <w:w w:val="115"/>
        </w:rPr>
        <w:t> </w:t>
      </w:r>
      <w:r>
        <w:rPr>
          <w:color w:val="231F20"/>
          <w:w w:val="115"/>
        </w:rPr>
        <w:t>des</w:t>
      </w:r>
      <w:r>
        <w:rPr>
          <w:color w:val="231F20"/>
          <w:spacing w:val="-12"/>
          <w:w w:val="115"/>
        </w:rPr>
        <w:t> </w:t>
      </w:r>
      <w:r>
        <w:rPr>
          <w:color w:val="231F20"/>
          <w:w w:val="115"/>
        </w:rPr>
        <w:t>ressources</w:t>
      </w:r>
      <w:r>
        <w:rPr>
          <w:color w:val="231F20"/>
          <w:spacing w:val="-13"/>
          <w:w w:val="115"/>
        </w:rPr>
        <w:t> </w:t>
      </w:r>
      <w:r>
        <w:rPr>
          <w:color w:val="231F20"/>
          <w:w w:val="115"/>
        </w:rPr>
        <w:t>de</w:t>
      </w:r>
      <w:r>
        <w:rPr>
          <w:color w:val="231F20"/>
          <w:spacing w:val="-12"/>
          <w:w w:val="115"/>
        </w:rPr>
        <w:t> </w:t>
      </w:r>
      <w:r>
        <w:rPr>
          <w:color w:val="231F20"/>
          <w:w w:val="115"/>
        </w:rPr>
        <w:t>l’individu</w:t>
      </w:r>
      <w:r>
        <w:rPr>
          <w:color w:val="231F20"/>
          <w:spacing w:val="-12"/>
          <w:w w:val="115"/>
        </w:rPr>
        <w:t> </w:t>
      </w:r>
      <w:r>
        <w:rPr>
          <w:color w:val="231F20"/>
          <w:w w:val="115"/>
        </w:rPr>
        <w:t>ou</w:t>
      </w:r>
      <w:r>
        <w:rPr>
          <w:color w:val="231F20"/>
          <w:spacing w:val="-12"/>
          <w:w w:val="115"/>
        </w:rPr>
        <w:t> </w:t>
      </w:r>
      <w:r>
        <w:rPr>
          <w:color w:val="231F20"/>
          <w:w w:val="115"/>
        </w:rPr>
        <w:t>de</w:t>
      </w:r>
      <w:r>
        <w:rPr>
          <w:color w:val="231F20"/>
          <w:spacing w:val="-12"/>
          <w:w w:val="115"/>
        </w:rPr>
        <w:t> </w:t>
      </w:r>
      <w:r>
        <w:rPr>
          <w:color w:val="231F20"/>
          <w:w w:val="115"/>
        </w:rPr>
        <w:t>l’organisation.</w:t>
      </w:r>
      <w:r>
        <w:rPr>
          <w:color w:val="231F20"/>
          <w:spacing w:val="-13"/>
          <w:w w:val="115"/>
        </w:rPr>
        <w:t> </w:t>
      </w:r>
      <w:r>
        <w:rPr>
          <w:color w:val="231F20"/>
          <w:w w:val="115"/>
        </w:rPr>
        <w:t>Ainsi, il</w:t>
      </w:r>
      <w:r>
        <w:rPr>
          <w:color w:val="231F20"/>
          <w:spacing w:val="2"/>
          <w:w w:val="115"/>
        </w:rPr>
        <w:t> </w:t>
      </w:r>
      <w:r>
        <w:rPr>
          <w:color w:val="231F20"/>
          <w:w w:val="115"/>
        </w:rPr>
        <w:t>est</w:t>
      </w:r>
      <w:r>
        <w:rPr>
          <w:color w:val="231F20"/>
          <w:spacing w:val="2"/>
          <w:w w:val="115"/>
        </w:rPr>
        <w:t> </w:t>
      </w:r>
      <w:r>
        <w:rPr>
          <w:color w:val="231F20"/>
          <w:w w:val="115"/>
        </w:rPr>
        <w:t>possible</w:t>
      </w:r>
      <w:r>
        <w:rPr>
          <w:color w:val="231F20"/>
          <w:spacing w:val="2"/>
          <w:w w:val="115"/>
        </w:rPr>
        <w:t> </w:t>
      </w:r>
      <w:r>
        <w:rPr>
          <w:color w:val="231F20"/>
          <w:w w:val="115"/>
        </w:rPr>
        <w:t>d’observer</w:t>
      </w:r>
      <w:r>
        <w:rPr>
          <w:color w:val="231F20"/>
          <w:spacing w:val="2"/>
          <w:w w:val="115"/>
        </w:rPr>
        <w:t> </w:t>
      </w:r>
      <w:r>
        <w:rPr>
          <w:color w:val="231F20"/>
          <w:w w:val="115"/>
        </w:rPr>
        <w:t>un</w:t>
      </w:r>
      <w:r>
        <w:rPr>
          <w:color w:val="231F20"/>
          <w:spacing w:val="3"/>
          <w:w w:val="115"/>
        </w:rPr>
        <w:t> </w:t>
      </w:r>
      <w:r>
        <w:rPr>
          <w:color w:val="231F20"/>
          <w:w w:val="115"/>
        </w:rPr>
        <w:t>crescendo</w:t>
      </w:r>
      <w:r>
        <w:rPr>
          <w:color w:val="231F20"/>
          <w:spacing w:val="2"/>
          <w:w w:val="115"/>
        </w:rPr>
        <w:t> </w:t>
      </w:r>
      <w:r>
        <w:rPr>
          <w:color w:val="231F20"/>
          <w:w w:val="115"/>
        </w:rPr>
        <w:t>dans</w:t>
      </w:r>
      <w:r>
        <w:rPr>
          <w:color w:val="231F20"/>
          <w:spacing w:val="2"/>
          <w:w w:val="115"/>
        </w:rPr>
        <w:t> </w:t>
      </w:r>
      <w:r>
        <w:rPr>
          <w:color w:val="231F20"/>
          <w:w w:val="115"/>
        </w:rPr>
        <w:t>la</w:t>
      </w:r>
      <w:r>
        <w:rPr>
          <w:color w:val="231F20"/>
          <w:spacing w:val="2"/>
          <w:w w:val="115"/>
        </w:rPr>
        <w:t> </w:t>
      </w:r>
      <w:r>
        <w:rPr>
          <w:color w:val="231F20"/>
          <w:w w:val="115"/>
        </w:rPr>
        <w:t>gravité</w:t>
      </w:r>
      <w:r>
        <w:rPr>
          <w:color w:val="231F20"/>
          <w:spacing w:val="3"/>
          <w:w w:val="115"/>
        </w:rPr>
        <w:t> </w:t>
      </w:r>
      <w:r>
        <w:rPr>
          <w:color w:val="231F20"/>
          <w:w w:val="115"/>
        </w:rPr>
        <w:t>des</w:t>
      </w:r>
      <w:r>
        <w:rPr>
          <w:color w:val="231F20"/>
          <w:spacing w:val="2"/>
          <w:w w:val="115"/>
        </w:rPr>
        <w:t> </w:t>
      </w:r>
      <w:r>
        <w:rPr>
          <w:color w:val="231F20"/>
          <w:spacing w:val="-2"/>
          <w:w w:val="115"/>
        </w:rPr>
        <w:t>conséquences</w:t>
      </w:r>
    </w:p>
    <w:p>
      <w:pPr>
        <w:spacing w:after="0" w:line="307" w:lineRule="auto"/>
        <w:jc w:val="both"/>
        <w:sectPr>
          <w:footerReference w:type="default" r:id="rId212"/>
          <w:pgSz w:w="8640" w:h="12960"/>
          <w:pgMar w:footer="424" w:header="0" w:top="500" w:bottom="620" w:left="420" w:right="1140"/>
        </w:sectPr>
      </w:pPr>
    </w:p>
    <w:p>
      <w:pPr>
        <w:spacing w:before="103"/>
        <w:ind w:left="1028" w:right="698" w:firstLine="0"/>
        <w:jc w:val="center"/>
        <w:rPr>
          <w:rFonts w:ascii="Arial" w:hAnsi="Arial"/>
          <w:sz w:val="14"/>
        </w:rPr>
      </w:pPr>
      <w:bookmarkStart w:name=" 3.4.1 / Conséquences individuelles" w:id="112"/>
      <w:bookmarkEnd w:id="112"/>
      <w:r>
        <w:rPr/>
      </w:r>
      <w:bookmarkStart w:name="_bookmark48" w:id="113"/>
      <w:bookmarkEnd w:id="113"/>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20"/>
        </w:rPr>
        <w:t>associées</w:t>
      </w:r>
      <w:r>
        <w:rPr>
          <w:color w:val="231F20"/>
          <w:spacing w:val="-9"/>
          <w:w w:val="120"/>
        </w:rPr>
        <w:t> </w:t>
      </w:r>
      <w:r>
        <w:rPr>
          <w:color w:val="231F20"/>
          <w:w w:val="120"/>
        </w:rPr>
        <w:t>au</w:t>
      </w:r>
      <w:r>
        <w:rPr>
          <w:color w:val="231F20"/>
          <w:spacing w:val="-9"/>
          <w:w w:val="120"/>
        </w:rPr>
        <w:t> </w:t>
      </w:r>
      <w:r>
        <w:rPr>
          <w:color w:val="231F20"/>
          <w:w w:val="120"/>
        </w:rPr>
        <w:t>stress.</w:t>
      </w:r>
      <w:r>
        <w:rPr>
          <w:color w:val="231F20"/>
          <w:spacing w:val="-9"/>
          <w:w w:val="120"/>
        </w:rPr>
        <w:t> </w:t>
      </w:r>
      <w:r>
        <w:rPr>
          <w:color w:val="231F20"/>
          <w:w w:val="120"/>
        </w:rPr>
        <w:t>Alors</w:t>
      </w:r>
      <w:r>
        <w:rPr>
          <w:color w:val="231F20"/>
          <w:spacing w:val="-9"/>
          <w:w w:val="120"/>
        </w:rPr>
        <w:t> </w:t>
      </w:r>
      <w:r>
        <w:rPr>
          <w:color w:val="231F20"/>
          <w:w w:val="120"/>
        </w:rPr>
        <w:t>qu’un</w:t>
      </w:r>
      <w:r>
        <w:rPr>
          <w:color w:val="231F20"/>
          <w:spacing w:val="-9"/>
          <w:w w:val="120"/>
        </w:rPr>
        <w:t> </w:t>
      </w:r>
      <w:r>
        <w:rPr>
          <w:color w:val="231F20"/>
          <w:w w:val="120"/>
        </w:rPr>
        <w:t>stress</w:t>
      </w:r>
      <w:r>
        <w:rPr>
          <w:color w:val="231F20"/>
          <w:spacing w:val="-9"/>
          <w:w w:val="120"/>
        </w:rPr>
        <w:t> </w:t>
      </w:r>
      <w:r>
        <w:rPr>
          <w:color w:val="231F20"/>
          <w:w w:val="120"/>
        </w:rPr>
        <w:t>ponctuel</w:t>
      </w:r>
      <w:r>
        <w:rPr>
          <w:color w:val="231F20"/>
          <w:spacing w:val="-9"/>
          <w:w w:val="120"/>
        </w:rPr>
        <w:t> </w:t>
      </w:r>
      <w:r>
        <w:rPr>
          <w:color w:val="231F20"/>
          <w:w w:val="120"/>
        </w:rPr>
        <w:t>et</w:t>
      </w:r>
      <w:r>
        <w:rPr>
          <w:color w:val="231F20"/>
          <w:spacing w:val="-9"/>
          <w:w w:val="120"/>
        </w:rPr>
        <w:t> </w:t>
      </w:r>
      <w:r>
        <w:rPr>
          <w:color w:val="231F20"/>
          <w:w w:val="120"/>
        </w:rPr>
        <w:t>de</w:t>
      </w:r>
      <w:r>
        <w:rPr>
          <w:color w:val="231F20"/>
          <w:spacing w:val="-9"/>
          <w:w w:val="120"/>
        </w:rPr>
        <w:t> </w:t>
      </w:r>
      <w:r>
        <w:rPr>
          <w:color w:val="231F20"/>
          <w:w w:val="120"/>
        </w:rPr>
        <w:t>courte</w:t>
      </w:r>
      <w:r>
        <w:rPr>
          <w:color w:val="231F20"/>
          <w:spacing w:val="-9"/>
          <w:w w:val="120"/>
        </w:rPr>
        <w:t> </w:t>
      </w:r>
      <w:r>
        <w:rPr>
          <w:color w:val="231F20"/>
          <w:w w:val="120"/>
        </w:rPr>
        <w:t>durée</w:t>
      </w:r>
      <w:r>
        <w:rPr>
          <w:color w:val="231F20"/>
          <w:spacing w:val="-9"/>
          <w:w w:val="120"/>
        </w:rPr>
        <w:t> </w:t>
      </w:r>
      <w:r>
        <w:rPr>
          <w:color w:val="231F20"/>
          <w:w w:val="120"/>
        </w:rPr>
        <w:t>amè- nera l’apparition de symptômes temporaires, le stress plus permanent apportera</w:t>
      </w:r>
      <w:r>
        <w:rPr>
          <w:color w:val="231F20"/>
          <w:spacing w:val="-12"/>
          <w:w w:val="120"/>
        </w:rPr>
        <w:t> </w:t>
      </w:r>
      <w:r>
        <w:rPr>
          <w:color w:val="231F20"/>
          <w:w w:val="120"/>
        </w:rPr>
        <w:t>des</w:t>
      </w:r>
      <w:r>
        <w:rPr>
          <w:color w:val="231F20"/>
          <w:spacing w:val="-12"/>
          <w:w w:val="120"/>
        </w:rPr>
        <w:t> </w:t>
      </w:r>
      <w:r>
        <w:rPr>
          <w:color w:val="231F20"/>
          <w:w w:val="120"/>
        </w:rPr>
        <w:t>répercussions</w:t>
      </w:r>
      <w:r>
        <w:rPr>
          <w:color w:val="231F20"/>
          <w:spacing w:val="-12"/>
          <w:w w:val="120"/>
        </w:rPr>
        <w:t> </w:t>
      </w:r>
      <w:r>
        <w:rPr>
          <w:color w:val="231F20"/>
          <w:w w:val="120"/>
        </w:rPr>
        <w:t>plus</w:t>
      </w:r>
      <w:r>
        <w:rPr>
          <w:color w:val="231F20"/>
          <w:spacing w:val="-12"/>
          <w:w w:val="120"/>
        </w:rPr>
        <w:t> </w:t>
      </w:r>
      <w:r>
        <w:rPr>
          <w:color w:val="231F20"/>
          <w:w w:val="120"/>
        </w:rPr>
        <w:t>problématiques,</w:t>
      </w:r>
      <w:r>
        <w:rPr>
          <w:color w:val="231F20"/>
          <w:spacing w:val="-12"/>
          <w:w w:val="120"/>
        </w:rPr>
        <w:t> </w:t>
      </w:r>
      <w:r>
        <w:rPr>
          <w:color w:val="231F20"/>
          <w:w w:val="120"/>
        </w:rPr>
        <w:t>au</w:t>
      </w:r>
      <w:r>
        <w:rPr>
          <w:color w:val="231F20"/>
          <w:spacing w:val="-12"/>
          <w:w w:val="120"/>
        </w:rPr>
        <w:t> </w:t>
      </w:r>
      <w:r>
        <w:rPr>
          <w:color w:val="231F20"/>
          <w:w w:val="120"/>
        </w:rPr>
        <w:t>départ</w:t>
      </w:r>
      <w:r>
        <w:rPr>
          <w:color w:val="231F20"/>
          <w:spacing w:val="-12"/>
          <w:w w:val="120"/>
        </w:rPr>
        <w:t> </w:t>
      </w:r>
      <w:r>
        <w:rPr>
          <w:color w:val="231F20"/>
          <w:w w:val="120"/>
        </w:rPr>
        <w:t>réversibles, </w:t>
      </w:r>
      <w:r>
        <w:rPr>
          <w:color w:val="231F20"/>
          <w:spacing w:val="-2"/>
          <w:w w:val="120"/>
        </w:rPr>
        <w:t>mais pouvant devenir ultérieurement permanentes. Tant pour l’individu </w:t>
      </w:r>
      <w:r>
        <w:rPr>
          <w:color w:val="231F20"/>
          <w:w w:val="120"/>
        </w:rPr>
        <w:t>que</w:t>
      </w:r>
      <w:r>
        <w:rPr>
          <w:color w:val="231F20"/>
          <w:spacing w:val="-11"/>
          <w:w w:val="120"/>
        </w:rPr>
        <w:t> </w:t>
      </w:r>
      <w:r>
        <w:rPr>
          <w:color w:val="231F20"/>
          <w:w w:val="120"/>
        </w:rPr>
        <w:t>pour</w:t>
      </w:r>
      <w:r>
        <w:rPr>
          <w:color w:val="231F20"/>
          <w:spacing w:val="-11"/>
          <w:w w:val="120"/>
        </w:rPr>
        <w:t> </w:t>
      </w:r>
      <w:r>
        <w:rPr>
          <w:color w:val="231F20"/>
          <w:w w:val="120"/>
        </w:rPr>
        <w:t>l’organisation,</w:t>
      </w:r>
      <w:r>
        <w:rPr>
          <w:color w:val="231F20"/>
          <w:spacing w:val="-11"/>
          <w:w w:val="120"/>
        </w:rPr>
        <w:t> </w:t>
      </w:r>
      <w:r>
        <w:rPr>
          <w:color w:val="231F20"/>
          <w:w w:val="120"/>
        </w:rPr>
        <w:t>tous</w:t>
      </w:r>
      <w:r>
        <w:rPr>
          <w:color w:val="231F20"/>
          <w:spacing w:val="-11"/>
          <w:w w:val="120"/>
        </w:rPr>
        <w:t> </w:t>
      </w:r>
      <w:r>
        <w:rPr>
          <w:color w:val="231F20"/>
          <w:w w:val="120"/>
        </w:rPr>
        <w:t>les</w:t>
      </w:r>
      <w:r>
        <w:rPr>
          <w:color w:val="231F20"/>
          <w:spacing w:val="-11"/>
          <w:w w:val="120"/>
        </w:rPr>
        <w:t> </w:t>
      </w:r>
      <w:r>
        <w:rPr>
          <w:color w:val="231F20"/>
          <w:w w:val="120"/>
        </w:rPr>
        <w:t>signes</w:t>
      </w:r>
      <w:r>
        <w:rPr>
          <w:color w:val="231F20"/>
          <w:spacing w:val="-11"/>
          <w:w w:val="120"/>
        </w:rPr>
        <w:t> </w:t>
      </w:r>
      <w:r>
        <w:rPr>
          <w:color w:val="231F20"/>
          <w:w w:val="120"/>
        </w:rPr>
        <w:t>de</w:t>
      </w:r>
      <w:r>
        <w:rPr>
          <w:color w:val="231F20"/>
          <w:spacing w:val="-11"/>
          <w:w w:val="120"/>
        </w:rPr>
        <w:t> </w:t>
      </w:r>
      <w:r>
        <w:rPr>
          <w:color w:val="231F20"/>
          <w:w w:val="120"/>
        </w:rPr>
        <w:t>stress</w:t>
      </w:r>
      <w:r>
        <w:rPr>
          <w:color w:val="231F20"/>
          <w:spacing w:val="-11"/>
          <w:w w:val="120"/>
        </w:rPr>
        <w:t> </w:t>
      </w:r>
      <w:r>
        <w:rPr>
          <w:color w:val="231F20"/>
          <w:w w:val="120"/>
        </w:rPr>
        <w:t>doivent</w:t>
      </w:r>
      <w:r>
        <w:rPr>
          <w:color w:val="231F20"/>
          <w:spacing w:val="-11"/>
          <w:w w:val="120"/>
        </w:rPr>
        <w:t> </w:t>
      </w:r>
      <w:r>
        <w:rPr>
          <w:color w:val="231F20"/>
          <w:w w:val="120"/>
        </w:rPr>
        <w:t>être</w:t>
      </w:r>
      <w:r>
        <w:rPr>
          <w:color w:val="231F20"/>
          <w:spacing w:val="-11"/>
          <w:w w:val="120"/>
        </w:rPr>
        <w:t> </w:t>
      </w:r>
      <w:r>
        <w:rPr>
          <w:color w:val="231F20"/>
          <w:w w:val="120"/>
        </w:rPr>
        <w:t>diagnosti- </w:t>
      </w:r>
      <w:r>
        <w:rPr>
          <w:color w:val="231F20"/>
          <w:spacing w:val="-2"/>
          <w:w w:val="120"/>
        </w:rPr>
        <w:t>qués</w:t>
      </w:r>
      <w:r>
        <w:rPr>
          <w:color w:val="231F20"/>
          <w:spacing w:val="-6"/>
          <w:w w:val="120"/>
        </w:rPr>
        <w:t> </w:t>
      </w:r>
      <w:r>
        <w:rPr>
          <w:color w:val="231F20"/>
          <w:spacing w:val="-2"/>
          <w:w w:val="120"/>
        </w:rPr>
        <w:t>afin</w:t>
      </w:r>
      <w:r>
        <w:rPr>
          <w:color w:val="231F20"/>
          <w:spacing w:val="-6"/>
          <w:w w:val="120"/>
        </w:rPr>
        <w:t> </w:t>
      </w:r>
      <w:r>
        <w:rPr>
          <w:color w:val="231F20"/>
          <w:spacing w:val="-2"/>
          <w:w w:val="120"/>
        </w:rPr>
        <w:t>que</w:t>
      </w:r>
      <w:r>
        <w:rPr>
          <w:color w:val="231F20"/>
          <w:spacing w:val="-6"/>
          <w:w w:val="120"/>
        </w:rPr>
        <w:t> </w:t>
      </w:r>
      <w:r>
        <w:rPr>
          <w:color w:val="231F20"/>
          <w:spacing w:val="-2"/>
          <w:w w:val="120"/>
        </w:rPr>
        <w:t>la</w:t>
      </w:r>
      <w:r>
        <w:rPr>
          <w:color w:val="231F20"/>
          <w:spacing w:val="-6"/>
          <w:w w:val="120"/>
        </w:rPr>
        <w:t> </w:t>
      </w:r>
      <w:r>
        <w:rPr>
          <w:color w:val="231F20"/>
          <w:spacing w:val="-2"/>
          <w:w w:val="120"/>
        </w:rPr>
        <w:t>bonne</w:t>
      </w:r>
      <w:r>
        <w:rPr>
          <w:color w:val="231F20"/>
          <w:spacing w:val="-6"/>
          <w:w w:val="120"/>
        </w:rPr>
        <w:t> </w:t>
      </w:r>
      <w:r>
        <w:rPr>
          <w:color w:val="231F20"/>
          <w:spacing w:val="-2"/>
          <w:w w:val="120"/>
        </w:rPr>
        <w:t>intervention</w:t>
      </w:r>
      <w:r>
        <w:rPr>
          <w:color w:val="231F20"/>
          <w:spacing w:val="-6"/>
          <w:w w:val="120"/>
        </w:rPr>
        <w:t> </w:t>
      </w:r>
      <w:r>
        <w:rPr>
          <w:color w:val="231F20"/>
          <w:spacing w:val="-2"/>
          <w:w w:val="120"/>
        </w:rPr>
        <w:t>soit</w:t>
      </w:r>
      <w:r>
        <w:rPr>
          <w:color w:val="231F20"/>
          <w:spacing w:val="-6"/>
          <w:w w:val="120"/>
        </w:rPr>
        <w:t> </w:t>
      </w:r>
      <w:r>
        <w:rPr>
          <w:color w:val="231F20"/>
          <w:spacing w:val="-2"/>
          <w:w w:val="120"/>
        </w:rPr>
        <w:t>adoptée</w:t>
      </w:r>
      <w:r>
        <w:rPr>
          <w:color w:val="231F20"/>
          <w:spacing w:val="-6"/>
          <w:w w:val="120"/>
        </w:rPr>
        <w:t> </w:t>
      </w:r>
      <w:r>
        <w:rPr>
          <w:color w:val="231F20"/>
          <w:spacing w:val="-2"/>
          <w:w w:val="120"/>
        </w:rPr>
        <w:t>rapidement.</w:t>
      </w:r>
      <w:r>
        <w:rPr>
          <w:color w:val="231F20"/>
          <w:spacing w:val="-6"/>
          <w:w w:val="120"/>
        </w:rPr>
        <w:t> </w:t>
      </w:r>
      <w:r>
        <w:rPr>
          <w:color w:val="231F20"/>
          <w:spacing w:val="-2"/>
          <w:w w:val="120"/>
        </w:rPr>
        <w:t>Il</w:t>
      </w:r>
      <w:r>
        <w:rPr>
          <w:color w:val="231F20"/>
          <w:spacing w:val="-6"/>
          <w:w w:val="120"/>
        </w:rPr>
        <w:t> </w:t>
      </w:r>
      <w:r>
        <w:rPr>
          <w:color w:val="231F20"/>
          <w:spacing w:val="-2"/>
          <w:w w:val="120"/>
        </w:rPr>
        <w:t>faut</w:t>
      </w:r>
      <w:r>
        <w:rPr>
          <w:color w:val="231F20"/>
          <w:spacing w:val="-6"/>
          <w:w w:val="120"/>
        </w:rPr>
        <w:t> </w:t>
      </w:r>
      <w:r>
        <w:rPr>
          <w:color w:val="231F20"/>
          <w:spacing w:val="-2"/>
          <w:w w:val="120"/>
        </w:rPr>
        <w:t>ainsi corriger</w:t>
      </w:r>
      <w:r>
        <w:rPr>
          <w:color w:val="231F20"/>
          <w:spacing w:val="-5"/>
          <w:w w:val="120"/>
        </w:rPr>
        <w:t> </w:t>
      </w:r>
      <w:r>
        <w:rPr>
          <w:color w:val="231F20"/>
          <w:spacing w:val="-2"/>
          <w:w w:val="120"/>
        </w:rPr>
        <w:t>la</w:t>
      </w:r>
      <w:r>
        <w:rPr>
          <w:color w:val="231F20"/>
          <w:spacing w:val="-5"/>
          <w:w w:val="120"/>
        </w:rPr>
        <w:t> </w:t>
      </w:r>
      <w:r>
        <w:rPr>
          <w:color w:val="231F20"/>
          <w:spacing w:val="-2"/>
          <w:w w:val="120"/>
        </w:rPr>
        <w:t>situation</w:t>
      </w:r>
      <w:r>
        <w:rPr>
          <w:color w:val="231F20"/>
          <w:spacing w:val="-5"/>
          <w:w w:val="120"/>
        </w:rPr>
        <w:t> </w:t>
      </w:r>
      <w:r>
        <w:rPr>
          <w:color w:val="231F20"/>
          <w:spacing w:val="-2"/>
          <w:w w:val="120"/>
        </w:rPr>
        <w:t>avant</w:t>
      </w:r>
      <w:r>
        <w:rPr>
          <w:color w:val="231F20"/>
          <w:spacing w:val="-5"/>
          <w:w w:val="120"/>
        </w:rPr>
        <w:t> </w:t>
      </w:r>
      <w:r>
        <w:rPr>
          <w:color w:val="231F20"/>
          <w:spacing w:val="-2"/>
          <w:w w:val="120"/>
        </w:rPr>
        <w:t>qu’elle</w:t>
      </w:r>
      <w:r>
        <w:rPr>
          <w:color w:val="231F20"/>
          <w:spacing w:val="-5"/>
          <w:w w:val="120"/>
        </w:rPr>
        <w:t> </w:t>
      </w:r>
      <w:r>
        <w:rPr>
          <w:color w:val="231F20"/>
          <w:spacing w:val="-2"/>
          <w:w w:val="120"/>
        </w:rPr>
        <w:t>ne</w:t>
      </w:r>
      <w:r>
        <w:rPr>
          <w:color w:val="231F20"/>
          <w:spacing w:val="-5"/>
          <w:w w:val="120"/>
        </w:rPr>
        <w:t> </w:t>
      </w:r>
      <w:r>
        <w:rPr>
          <w:color w:val="231F20"/>
          <w:spacing w:val="-2"/>
          <w:w w:val="120"/>
        </w:rPr>
        <w:t>dégénère</w:t>
      </w:r>
      <w:r>
        <w:rPr>
          <w:color w:val="231F20"/>
          <w:spacing w:val="-5"/>
          <w:w w:val="120"/>
        </w:rPr>
        <w:t> </w:t>
      </w:r>
      <w:r>
        <w:rPr>
          <w:color w:val="231F20"/>
          <w:spacing w:val="-2"/>
          <w:w w:val="120"/>
        </w:rPr>
        <w:t>en</w:t>
      </w:r>
      <w:r>
        <w:rPr>
          <w:color w:val="231F20"/>
          <w:spacing w:val="-5"/>
          <w:w w:val="120"/>
        </w:rPr>
        <w:t> </w:t>
      </w:r>
      <w:r>
        <w:rPr>
          <w:color w:val="231F20"/>
          <w:spacing w:val="-2"/>
          <w:w w:val="120"/>
        </w:rPr>
        <w:t>conséquences</w:t>
      </w:r>
      <w:r>
        <w:rPr>
          <w:color w:val="231F20"/>
          <w:spacing w:val="-5"/>
          <w:w w:val="120"/>
        </w:rPr>
        <w:t> </w:t>
      </w:r>
      <w:r>
        <w:rPr>
          <w:color w:val="231F20"/>
          <w:spacing w:val="-2"/>
          <w:w w:val="120"/>
        </w:rPr>
        <w:t>nocives. </w:t>
      </w:r>
      <w:r>
        <w:rPr>
          <w:color w:val="231F20"/>
          <w:w w:val="120"/>
        </w:rPr>
        <w:t>Si</w:t>
      </w:r>
      <w:r>
        <w:rPr>
          <w:color w:val="231F20"/>
          <w:spacing w:val="-9"/>
          <w:w w:val="120"/>
        </w:rPr>
        <w:t> </w:t>
      </w:r>
      <w:r>
        <w:rPr>
          <w:color w:val="231F20"/>
          <w:w w:val="120"/>
        </w:rPr>
        <w:t>la</w:t>
      </w:r>
      <w:r>
        <w:rPr>
          <w:color w:val="231F20"/>
          <w:spacing w:val="-9"/>
          <w:w w:val="120"/>
        </w:rPr>
        <w:t> </w:t>
      </w:r>
      <w:r>
        <w:rPr>
          <w:color w:val="231F20"/>
          <w:w w:val="120"/>
        </w:rPr>
        <w:t>situation</w:t>
      </w:r>
      <w:r>
        <w:rPr>
          <w:color w:val="231F20"/>
          <w:spacing w:val="-9"/>
          <w:w w:val="120"/>
        </w:rPr>
        <w:t> </w:t>
      </w:r>
      <w:r>
        <w:rPr>
          <w:color w:val="231F20"/>
          <w:w w:val="120"/>
        </w:rPr>
        <w:t>n’est</w:t>
      </w:r>
      <w:r>
        <w:rPr>
          <w:color w:val="231F20"/>
          <w:spacing w:val="-9"/>
          <w:w w:val="120"/>
        </w:rPr>
        <w:t> </w:t>
      </w:r>
      <w:r>
        <w:rPr>
          <w:color w:val="231F20"/>
          <w:w w:val="120"/>
        </w:rPr>
        <w:t>que</w:t>
      </w:r>
      <w:r>
        <w:rPr>
          <w:color w:val="231F20"/>
          <w:spacing w:val="-9"/>
          <w:w w:val="120"/>
        </w:rPr>
        <w:t> </w:t>
      </w:r>
      <w:r>
        <w:rPr>
          <w:color w:val="231F20"/>
          <w:w w:val="120"/>
        </w:rPr>
        <w:t>temporaire,</w:t>
      </w:r>
      <w:r>
        <w:rPr>
          <w:color w:val="231F20"/>
          <w:spacing w:val="-9"/>
          <w:w w:val="120"/>
        </w:rPr>
        <w:t> </w:t>
      </w:r>
      <w:r>
        <w:rPr>
          <w:color w:val="231F20"/>
          <w:w w:val="120"/>
        </w:rPr>
        <w:t>il</w:t>
      </w:r>
      <w:r>
        <w:rPr>
          <w:color w:val="231F20"/>
          <w:spacing w:val="-9"/>
          <w:w w:val="120"/>
        </w:rPr>
        <w:t> </w:t>
      </w:r>
      <w:r>
        <w:rPr>
          <w:color w:val="231F20"/>
          <w:w w:val="120"/>
        </w:rPr>
        <w:t>y</w:t>
      </w:r>
      <w:r>
        <w:rPr>
          <w:color w:val="231F20"/>
          <w:spacing w:val="-9"/>
          <w:w w:val="120"/>
        </w:rPr>
        <w:t> </w:t>
      </w:r>
      <w:r>
        <w:rPr>
          <w:color w:val="231F20"/>
          <w:w w:val="120"/>
        </w:rPr>
        <w:t>a</w:t>
      </w:r>
      <w:r>
        <w:rPr>
          <w:color w:val="231F20"/>
          <w:spacing w:val="-9"/>
          <w:w w:val="120"/>
        </w:rPr>
        <w:t> </w:t>
      </w:r>
      <w:r>
        <w:rPr>
          <w:color w:val="231F20"/>
          <w:w w:val="120"/>
        </w:rPr>
        <w:t>de</w:t>
      </w:r>
      <w:r>
        <w:rPr>
          <w:color w:val="231F20"/>
          <w:spacing w:val="-9"/>
          <w:w w:val="120"/>
        </w:rPr>
        <w:t> </w:t>
      </w:r>
      <w:r>
        <w:rPr>
          <w:color w:val="231F20"/>
          <w:w w:val="120"/>
        </w:rPr>
        <w:t>bonnes</w:t>
      </w:r>
      <w:r>
        <w:rPr>
          <w:color w:val="231F20"/>
          <w:spacing w:val="-9"/>
          <w:w w:val="120"/>
        </w:rPr>
        <w:t> </w:t>
      </w:r>
      <w:r>
        <w:rPr>
          <w:color w:val="231F20"/>
          <w:w w:val="120"/>
        </w:rPr>
        <w:t>possibilités</w:t>
      </w:r>
      <w:r>
        <w:rPr>
          <w:color w:val="231F20"/>
          <w:spacing w:val="-9"/>
          <w:w w:val="120"/>
        </w:rPr>
        <w:t> </w:t>
      </w:r>
      <w:r>
        <w:rPr>
          <w:color w:val="231F20"/>
          <w:w w:val="120"/>
        </w:rPr>
        <w:t>que</w:t>
      </w:r>
      <w:r>
        <w:rPr>
          <w:color w:val="231F20"/>
          <w:spacing w:val="-9"/>
          <w:w w:val="120"/>
        </w:rPr>
        <w:t> </w:t>
      </w:r>
      <w:r>
        <w:rPr>
          <w:color w:val="231F20"/>
          <w:w w:val="120"/>
        </w:rPr>
        <w:t>les symptômes</w:t>
      </w:r>
      <w:r>
        <w:rPr>
          <w:color w:val="231F20"/>
          <w:spacing w:val="-12"/>
          <w:w w:val="120"/>
        </w:rPr>
        <w:t> </w:t>
      </w:r>
      <w:r>
        <w:rPr>
          <w:color w:val="231F20"/>
          <w:w w:val="120"/>
        </w:rPr>
        <w:t>se</w:t>
      </w:r>
      <w:r>
        <w:rPr>
          <w:color w:val="231F20"/>
          <w:spacing w:val="-12"/>
          <w:w w:val="120"/>
        </w:rPr>
        <w:t> </w:t>
      </w:r>
      <w:r>
        <w:rPr>
          <w:color w:val="231F20"/>
          <w:w w:val="120"/>
        </w:rPr>
        <w:t>résorbent</w:t>
      </w:r>
      <w:r>
        <w:rPr>
          <w:color w:val="231F20"/>
          <w:spacing w:val="-12"/>
          <w:w w:val="120"/>
        </w:rPr>
        <w:t> </w:t>
      </w:r>
      <w:r>
        <w:rPr>
          <w:color w:val="231F20"/>
          <w:w w:val="120"/>
        </w:rPr>
        <w:t>dès</w:t>
      </w:r>
      <w:r>
        <w:rPr>
          <w:color w:val="231F20"/>
          <w:spacing w:val="-12"/>
          <w:w w:val="120"/>
        </w:rPr>
        <w:t> </w:t>
      </w:r>
      <w:r>
        <w:rPr>
          <w:color w:val="231F20"/>
          <w:w w:val="120"/>
        </w:rPr>
        <w:t>que</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s’estompera.</w:t>
      </w:r>
      <w:r>
        <w:rPr>
          <w:color w:val="231F20"/>
          <w:spacing w:val="-12"/>
          <w:w w:val="120"/>
        </w:rPr>
        <w:t> </w:t>
      </w:r>
      <w:r>
        <w:rPr>
          <w:color w:val="231F20"/>
          <w:w w:val="120"/>
        </w:rPr>
        <w:t>Cependant,</w:t>
      </w:r>
      <w:r>
        <w:rPr>
          <w:color w:val="231F20"/>
          <w:spacing w:val="-12"/>
          <w:w w:val="120"/>
        </w:rPr>
        <w:t> </w:t>
      </w:r>
      <w:r>
        <w:rPr>
          <w:color w:val="231F20"/>
          <w:w w:val="120"/>
        </w:rPr>
        <w:t>dans </w:t>
      </w:r>
      <w:r>
        <w:rPr>
          <w:color w:val="231F20"/>
          <w:spacing w:val="-2"/>
          <w:w w:val="120"/>
        </w:rPr>
        <w:t>des</w:t>
      </w:r>
      <w:r>
        <w:rPr>
          <w:color w:val="231F20"/>
          <w:spacing w:val="-5"/>
          <w:w w:val="120"/>
        </w:rPr>
        <w:t> </w:t>
      </w:r>
      <w:r>
        <w:rPr>
          <w:color w:val="231F20"/>
          <w:spacing w:val="-2"/>
          <w:w w:val="120"/>
        </w:rPr>
        <w:t>situations</w:t>
      </w:r>
      <w:r>
        <w:rPr>
          <w:color w:val="231F20"/>
          <w:spacing w:val="-5"/>
          <w:w w:val="120"/>
        </w:rPr>
        <w:t> </w:t>
      </w:r>
      <w:r>
        <w:rPr>
          <w:color w:val="231F20"/>
          <w:spacing w:val="-2"/>
          <w:w w:val="120"/>
        </w:rPr>
        <w:t>de</w:t>
      </w:r>
      <w:r>
        <w:rPr>
          <w:color w:val="231F20"/>
          <w:spacing w:val="-5"/>
          <w:w w:val="120"/>
        </w:rPr>
        <w:t> </w:t>
      </w:r>
      <w:r>
        <w:rPr>
          <w:color w:val="231F20"/>
          <w:spacing w:val="-2"/>
          <w:w w:val="120"/>
        </w:rPr>
        <w:t>stress</w:t>
      </w:r>
      <w:r>
        <w:rPr>
          <w:color w:val="231F20"/>
          <w:spacing w:val="-5"/>
          <w:w w:val="120"/>
        </w:rPr>
        <w:t> </w:t>
      </w:r>
      <w:r>
        <w:rPr>
          <w:color w:val="231F20"/>
          <w:spacing w:val="-2"/>
          <w:w w:val="120"/>
        </w:rPr>
        <w:t>plus</w:t>
      </w:r>
      <w:r>
        <w:rPr>
          <w:color w:val="231F20"/>
          <w:spacing w:val="-5"/>
          <w:w w:val="120"/>
        </w:rPr>
        <w:t> </w:t>
      </w:r>
      <w:r>
        <w:rPr>
          <w:color w:val="231F20"/>
          <w:spacing w:val="-2"/>
          <w:w w:val="120"/>
        </w:rPr>
        <w:t>chronique,</w:t>
      </w:r>
      <w:r>
        <w:rPr>
          <w:color w:val="231F20"/>
          <w:spacing w:val="-5"/>
          <w:w w:val="120"/>
        </w:rPr>
        <w:t> </w:t>
      </w:r>
      <w:r>
        <w:rPr>
          <w:color w:val="231F20"/>
          <w:spacing w:val="-2"/>
          <w:w w:val="120"/>
        </w:rPr>
        <w:t>la</w:t>
      </w:r>
      <w:r>
        <w:rPr>
          <w:color w:val="231F20"/>
          <w:spacing w:val="-5"/>
          <w:w w:val="120"/>
        </w:rPr>
        <w:t> </w:t>
      </w:r>
      <w:r>
        <w:rPr>
          <w:color w:val="231F20"/>
          <w:spacing w:val="-2"/>
          <w:w w:val="120"/>
        </w:rPr>
        <w:t>gravité</w:t>
      </w:r>
      <w:r>
        <w:rPr>
          <w:color w:val="231F20"/>
          <w:spacing w:val="-5"/>
          <w:w w:val="120"/>
        </w:rPr>
        <w:t> </w:t>
      </w:r>
      <w:r>
        <w:rPr>
          <w:color w:val="231F20"/>
          <w:spacing w:val="-2"/>
          <w:w w:val="120"/>
        </w:rPr>
        <w:t>des</w:t>
      </w:r>
      <w:r>
        <w:rPr>
          <w:color w:val="231F20"/>
          <w:spacing w:val="-5"/>
          <w:w w:val="120"/>
        </w:rPr>
        <w:t> </w:t>
      </w:r>
      <w:r>
        <w:rPr>
          <w:color w:val="231F20"/>
          <w:spacing w:val="-2"/>
          <w:w w:val="120"/>
        </w:rPr>
        <w:t>conséquences</w:t>
      </w:r>
      <w:r>
        <w:rPr>
          <w:color w:val="231F20"/>
          <w:spacing w:val="-5"/>
          <w:w w:val="120"/>
        </w:rPr>
        <w:t> </w:t>
      </w:r>
      <w:r>
        <w:rPr>
          <w:color w:val="231F20"/>
          <w:spacing w:val="-2"/>
          <w:w w:val="120"/>
        </w:rPr>
        <w:t>aug- </w:t>
      </w:r>
      <w:r>
        <w:rPr>
          <w:color w:val="231F20"/>
          <w:w w:val="120"/>
        </w:rPr>
        <w:t>mentera</w:t>
      </w:r>
      <w:r>
        <w:rPr>
          <w:color w:val="231F20"/>
          <w:spacing w:val="-7"/>
          <w:w w:val="120"/>
        </w:rPr>
        <w:t> </w:t>
      </w:r>
      <w:r>
        <w:rPr>
          <w:color w:val="231F20"/>
          <w:w w:val="120"/>
        </w:rPr>
        <w:t>à</w:t>
      </w:r>
      <w:r>
        <w:rPr>
          <w:color w:val="231F20"/>
          <w:spacing w:val="-6"/>
          <w:w w:val="120"/>
        </w:rPr>
        <w:t> </w:t>
      </w:r>
      <w:r>
        <w:rPr>
          <w:color w:val="231F20"/>
          <w:w w:val="120"/>
        </w:rPr>
        <w:t>moins</w:t>
      </w:r>
      <w:r>
        <w:rPr>
          <w:color w:val="231F20"/>
          <w:spacing w:val="-6"/>
          <w:w w:val="120"/>
        </w:rPr>
        <w:t> </w:t>
      </w:r>
      <w:r>
        <w:rPr>
          <w:color w:val="231F20"/>
          <w:w w:val="120"/>
        </w:rPr>
        <w:t>que</w:t>
      </w:r>
      <w:r>
        <w:rPr>
          <w:color w:val="231F20"/>
          <w:spacing w:val="-6"/>
          <w:w w:val="120"/>
        </w:rPr>
        <w:t> </w:t>
      </w:r>
      <w:r>
        <w:rPr>
          <w:color w:val="231F20"/>
          <w:w w:val="120"/>
        </w:rPr>
        <w:t>des</w:t>
      </w:r>
      <w:r>
        <w:rPr>
          <w:color w:val="231F20"/>
          <w:spacing w:val="-7"/>
          <w:w w:val="120"/>
        </w:rPr>
        <w:t> </w:t>
      </w:r>
      <w:r>
        <w:rPr>
          <w:color w:val="231F20"/>
          <w:w w:val="120"/>
        </w:rPr>
        <w:t>corrections</w:t>
      </w:r>
      <w:r>
        <w:rPr>
          <w:color w:val="231F20"/>
          <w:spacing w:val="-6"/>
          <w:w w:val="120"/>
        </w:rPr>
        <w:t> </w:t>
      </w:r>
      <w:r>
        <w:rPr>
          <w:color w:val="231F20"/>
          <w:w w:val="120"/>
        </w:rPr>
        <w:t>appropriées</w:t>
      </w:r>
      <w:r>
        <w:rPr>
          <w:color w:val="231F20"/>
          <w:spacing w:val="-6"/>
          <w:w w:val="120"/>
        </w:rPr>
        <w:t> </w:t>
      </w:r>
      <w:r>
        <w:rPr>
          <w:color w:val="231F20"/>
          <w:w w:val="120"/>
        </w:rPr>
        <w:t>rectifient</w:t>
      </w:r>
      <w:r>
        <w:rPr>
          <w:color w:val="231F20"/>
          <w:spacing w:val="-6"/>
          <w:w w:val="120"/>
        </w:rPr>
        <w:t> </w:t>
      </w:r>
      <w:r>
        <w:rPr>
          <w:color w:val="231F20"/>
          <w:w w:val="120"/>
        </w:rPr>
        <w:t>la</w:t>
      </w:r>
      <w:r>
        <w:rPr>
          <w:color w:val="231F20"/>
          <w:spacing w:val="-7"/>
          <w:w w:val="120"/>
        </w:rPr>
        <w:t> </w:t>
      </w:r>
      <w:r>
        <w:rPr>
          <w:color w:val="231F20"/>
          <w:spacing w:val="-2"/>
          <w:w w:val="120"/>
        </w:rPr>
        <w:t>situation.</w:t>
      </w:r>
    </w:p>
    <w:p>
      <w:pPr>
        <w:pStyle w:val="BodyText"/>
        <w:spacing w:line="307" w:lineRule="auto" w:before="78"/>
        <w:ind w:left="829" w:right="496" w:firstLine="250"/>
        <w:jc w:val="both"/>
      </w:pPr>
      <w:r>
        <w:rPr>
          <w:color w:val="231F20"/>
          <w:w w:val="120"/>
        </w:rPr>
        <w:t>Nous</w:t>
      </w:r>
      <w:r>
        <w:rPr>
          <w:color w:val="231F20"/>
          <w:spacing w:val="-3"/>
          <w:w w:val="120"/>
        </w:rPr>
        <w:t> </w:t>
      </w:r>
      <w:r>
        <w:rPr>
          <w:color w:val="231F20"/>
          <w:w w:val="120"/>
        </w:rPr>
        <w:t>aborderons</w:t>
      </w:r>
      <w:r>
        <w:rPr>
          <w:color w:val="231F20"/>
          <w:spacing w:val="-3"/>
          <w:w w:val="120"/>
        </w:rPr>
        <w:t> </w:t>
      </w:r>
      <w:r>
        <w:rPr>
          <w:color w:val="231F20"/>
          <w:w w:val="120"/>
        </w:rPr>
        <w:t>dans</w:t>
      </w:r>
      <w:r>
        <w:rPr>
          <w:color w:val="231F20"/>
          <w:spacing w:val="-3"/>
          <w:w w:val="120"/>
        </w:rPr>
        <w:t> </w:t>
      </w:r>
      <w:r>
        <w:rPr>
          <w:color w:val="231F20"/>
          <w:w w:val="120"/>
        </w:rPr>
        <w:t>la</w:t>
      </w:r>
      <w:r>
        <w:rPr>
          <w:color w:val="231F20"/>
          <w:spacing w:val="-3"/>
          <w:w w:val="120"/>
        </w:rPr>
        <w:t> </w:t>
      </w:r>
      <w:r>
        <w:rPr>
          <w:color w:val="231F20"/>
          <w:w w:val="120"/>
        </w:rPr>
        <w:t>présente</w:t>
      </w:r>
      <w:r>
        <w:rPr>
          <w:color w:val="231F20"/>
          <w:spacing w:val="-3"/>
          <w:w w:val="120"/>
        </w:rPr>
        <w:t> </w:t>
      </w:r>
      <w:r>
        <w:rPr>
          <w:color w:val="231F20"/>
          <w:w w:val="120"/>
        </w:rPr>
        <w:t>section</w:t>
      </w:r>
      <w:r>
        <w:rPr>
          <w:color w:val="231F20"/>
          <w:spacing w:val="-3"/>
          <w:w w:val="120"/>
        </w:rPr>
        <w:t> </w:t>
      </w:r>
      <w:r>
        <w:rPr>
          <w:color w:val="231F20"/>
          <w:w w:val="120"/>
        </w:rPr>
        <w:t>les</w:t>
      </w:r>
      <w:r>
        <w:rPr>
          <w:color w:val="231F20"/>
          <w:spacing w:val="-3"/>
          <w:w w:val="120"/>
        </w:rPr>
        <w:t> </w:t>
      </w:r>
      <w:r>
        <w:rPr>
          <w:color w:val="231F20"/>
          <w:w w:val="120"/>
        </w:rPr>
        <w:t>conséquences</w:t>
      </w:r>
      <w:r>
        <w:rPr>
          <w:color w:val="231F20"/>
          <w:spacing w:val="-3"/>
          <w:w w:val="120"/>
        </w:rPr>
        <w:t> </w:t>
      </w:r>
      <w:r>
        <w:rPr>
          <w:color w:val="231F20"/>
          <w:w w:val="120"/>
        </w:rPr>
        <w:t>les</w:t>
      </w:r>
      <w:r>
        <w:rPr>
          <w:color w:val="231F20"/>
          <w:spacing w:val="-3"/>
          <w:w w:val="120"/>
        </w:rPr>
        <w:t> </w:t>
      </w:r>
      <w:r>
        <w:rPr>
          <w:color w:val="231F20"/>
          <w:w w:val="120"/>
        </w:rPr>
        <w:t>plus </w:t>
      </w:r>
      <w:r>
        <w:rPr>
          <w:color w:val="231F20"/>
          <w:w w:val="115"/>
        </w:rPr>
        <w:t>habituelles</w:t>
      </w:r>
      <w:r>
        <w:rPr>
          <w:color w:val="231F20"/>
          <w:spacing w:val="-10"/>
          <w:w w:val="115"/>
        </w:rPr>
        <w:t> </w:t>
      </w:r>
      <w:r>
        <w:rPr>
          <w:color w:val="231F20"/>
          <w:w w:val="115"/>
        </w:rPr>
        <w:t>du</w:t>
      </w:r>
      <w:r>
        <w:rPr>
          <w:color w:val="231F20"/>
          <w:spacing w:val="-10"/>
          <w:w w:val="115"/>
        </w:rPr>
        <w:t> </w:t>
      </w:r>
      <w:r>
        <w:rPr>
          <w:color w:val="231F20"/>
          <w:w w:val="115"/>
        </w:rPr>
        <w:t>stress</w:t>
      </w:r>
      <w:r>
        <w:rPr>
          <w:color w:val="231F20"/>
          <w:spacing w:val="-10"/>
          <w:w w:val="115"/>
        </w:rPr>
        <w:t> </w:t>
      </w:r>
      <w:r>
        <w:rPr>
          <w:color w:val="231F20"/>
          <w:w w:val="115"/>
        </w:rPr>
        <w:t>au</w:t>
      </w:r>
      <w:r>
        <w:rPr>
          <w:color w:val="231F20"/>
          <w:spacing w:val="-10"/>
          <w:w w:val="115"/>
        </w:rPr>
        <w:t> </w:t>
      </w:r>
      <w:r>
        <w:rPr>
          <w:color w:val="231F20"/>
          <w:w w:val="115"/>
        </w:rPr>
        <w:t>travail.</w:t>
      </w:r>
      <w:r>
        <w:rPr>
          <w:color w:val="231F20"/>
          <w:spacing w:val="-10"/>
          <w:w w:val="115"/>
        </w:rPr>
        <w:t> </w:t>
      </w:r>
      <w:r>
        <w:rPr>
          <w:color w:val="231F20"/>
          <w:w w:val="115"/>
        </w:rPr>
        <w:t>D’abord</w:t>
      </w:r>
      <w:r>
        <w:rPr>
          <w:color w:val="231F20"/>
          <w:spacing w:val="-10"/>
          <w:w w:val="115"/>
        </w:rPr>
        <w:t> </w:t>
      </w:r>
      <w:r>
        <w:rPr>
          <w:color w:val="231F20"/>
          <w:w w:val="115"/>
        </w:rPr>
        <w:t>dans</w:t>
      </w:r>
      <w:r>
        <w:rPr>
          <w:color w:val="231F20"/>
          <w:spacing w:val="-10"/>
          <w:w w:val="115"/>
        </w:rPr>
        <w:t> </w:t>
      </w:r>
      <w:r>
        <w:rPr>
          <w:color w:val="231F20"/>
          <w:w w:val="115"/>
        </w:rPr>
        <w:t>l’optique</w:t>
      </w:r>
      <w:r>
        <w:rPr>
          <w:color w:val="231F20"/>
          <w:spacing w:val="-10"/>
          <w:w w:val="115"/>
        </w:rPr>
        <w:t> </w:t>
      </w:r>
      <w:r>
        <w:rPr>
          <w:color w:val="231F20"/>
          <w:w w:val="115"/>
        </w:rPr>
        <w:t>individuelle</w:t>
      </w:r>
      <w:r>
        <w:rPr>
          <w:color w:val="231F20"/>
          <w:spacing w:val="-10"/>
          <w:w w:val="115"/>
        </w:rPr>
        <w:t> </w:t>
      </w:r>
      <w:r>
        <w:rPr>
          <w:color w:val="231F20"/>
          <w:w w:val="115"/>
        </w:rPr>
        <w:t>du</w:t>
      </w:r>
      <w:r>
        <w:rPr>
          <w:color w:val="231F20"/>
          <w:spacing w:val="-10"/>
          <w:w w:val="115"/>
        </w:rPr>
        <w:t> </w:t>
      </w:r>
      <w:r>
        <w:rPr>
          <w:color w:val="231F20"/>
          <w:w w:val="115"/>
        </w:rPr>
        <w:t>tra- </w:t>
      </w:r>
      <w:r>
        <w:rPr>
          <w:color w:val="231F20"/>
          <w:w w:val="120"/>
        </w:rPr>
        <w:t>vailleur</w:t>
      </w:r>
      <w:r>
        <w:rPr>
          <w:color w:val="231F20"/>
          <w:spacing w:val="-9"/>
          <w:w w:val="120"/>
        </w:rPr>
        <w:t> </w:t>
      </w:r>
      <w:r>
        <w:rPr>
          <w:color w:val="231F20"/>
          <w:w w:val="120"/>
        </w:rPr>
        <w:t>qui</w:t>
      </w:r>
      <w:r>
        <w:rPr>
          <w:color w:val="231F20"/>
          <w:spacing w:val="-9"/>
          <w:w w:val="120"/>
        </w:rPr>
        <w:t> </w:t>
      </w:r>
      <w:r>
        <w:rPr>
          <w:color w:val="231F20"/>
          <w:w w:val="120"/>
        </w:rPr>
        <w:t>le</w:t>
      </w:r>
      <w:r>
        <w:rPr>
          <w:color w:val="231F20"/>
          <w:spacing w:val="-9"/>
          <w:w w:val="120"/>
        </w:rPr>
        <w:t> </w:t>
      </w:r>
      <w:r>
        <w:rPr>
          <w:color w:val="231F20"/>
          <w:w w:val="120"/>
        </w:rPr>
        <w:t>vit</w:t>
      </w:r>
      <w:r>
        <w:rPr>
          <w:color w:val="231F20"/>
          <w:spacing w:val="-9"/>
          <w:w w:val="120"/>
        </w:rPr>
        <w:t> </w:t>
      </w:r>
      <w:r>
        <w:rPr>
          <w:color w:val="231F20"/>
          <w:w w:val="120"/>
        </w:rPr>
        <w:t>directement,</w:t>
      </w:r>
      <w:r>
        <w:rPr>
          <w:color w:val="231F20"/>
          <w:spacing w:val="-9"/>
          <w:w w:val="120"/>
        </w:rPr>
        <w:t> </w:t>
      </w:r>
      <w:r>
        <w:rPr>
          <w:color w:val="231F20"/>
          <w:w w:val="120"/>
        </w:rPr>
        <w:t>ensuite</w:t>
      </w:r>
      <w:r>
        <w:rPr>
          <w:color w:val="231F20"/>
          <w:spacing w:val="-9"/>
          <w:w w:val="120"/>
        </w:rPr>
        <w:t> </w:t>
      </w:r>
      <w:r>
        <w:rPr>
          <w:color w:val="231F20"/>
          <w:w w:val="120"/>
        </w:rPr>
        <w:t>dans</w:t>
      </w:r>
      <w:r>
        <w:rPr>
          <w:color w:val="231F20"/>
          <w:spacing w:val="-9"/>
          <w:w w:val="120"/>
        </w:rPr>
        <w:t> </w:t>
      </w:r>
      <w:r>
        <w:rPr>
          <w:color w:val="231F20"/>
          <w:w w:val="120"/>
        </w:rPr>
        <w:t>celle</w:t>
      </w:r>
      <w:r>
        <w:rPr>
          <w:color w:val="231F20"/>
          <w:spacing w:val="-9"/>
          <w:w w:val="120"/>
        </w:rPr>
        <w:t> </w:t>
      </w:r>
      <w:r>
        <w:rPr>
          <w:color w:val="231F20"/>
          <w:w w:val="120"/>
        </w:rPr>
        <w:t>non</w:t>
      </w:r>
      <w:r>
        <w:rPr>
          <w:color w:val="231F20"/>
          <w:spacing w:val="-9"/>
          <w:w w:val="120"/>
        </w:rPr>
        <w:t> </w:t>
      </w:r>
      <w:r>
        <w:rPr>
          <w:color w:val="231F20"/>
          <w:w w:val="120"/>
        </w:rPr>
        <w:t>moins</w:t>
      </w:r>
      <w:r>
        <w:rPr>
          <w:color w:val="231F20"/>
          <w:spacing w:val="-9"/>
          <w:w w:val="120"/>
        </w:rPr>
        <w:t> </w:t>
      </w:r>
      <w:r>
        <w:rPr>
          <w:color w:val="231F20"/>
          <w:w w:val="120"/>
        </w:rPr>
        <w:t>importante de</w:t>
      </w:r>
      <w:r>
        <w:rPr>
          <w:color w:val="231F20"/>
          <w:spacing w:val="-11"/>
          <w:w w:val="120"/>
        </w:rPr>
        <w:t> </w:t>
      </w:r>
      <w:r>
        <w:rPr>
          <w:color w:val="231F20"/>
          <w:w w:val="120"/>
        </w:rPr>
        <w:t>l’organisation</w:t>
      </w:r>
      <w:r>
        <w:rPr>
          <w:color w:val="231F20"/>
          <w:spacing w:val="-11"/>
          <w:w w:val="120"/>
        </w:rPr>
        <w:t> </w:t>
      </w:r>
      <w:r>
        <w:rPr>
          <w:color w:val="231F20"/>
          <w:w w:val="120"/>
        </w:rPr>
        <w:t>qui</w:t>
      </w:r>
      <w:r>
        <w:rPr>
          <w:color w:val="231F20"/>
          <w:spacing w:val="-11"/>
          <w:w w:val="120"/>
        </w:rPr>
        <w:t> </w:t>
      </w:r>
      <w:r>
        <w:rPr>
          <w:color w:val="231F20"/>
          <w:w w:val="120"/>
        </w:rPr>
        <w:t>souffrira</w:t>
      </w:r>
      <w:r>
        <w:rPr>
          <w:color w:val="231F20"/>
          <w:spacing w:val="-11"/>
          <w:w w:val="120"/>
        </w:rPr>
        <w:t> </w:t>
      </w:r>
      <w:r>
        <w:rPr>
          <w:color w:val="231F20"/>
          <w:w w:val="120"/>
        </w:rPr>
        <w:t>globalement</w:t>
      </w:r>
      <w:r>
        <w:rPr>
          <w:color w:val="231F20"/>
          <w:spacing w:val="-11"/>
          <w:w w:val="120"/>
        </w:rPr>
        <w:t> </w:t>
      </w:r>
      <w:r>
        <w:rPr>
          <w:color w:val="231F20"/>
          <w:w w:val="120"/>
        </w:rPr>
        <w:t>d’une</w:t>
      </w:r>
      <w:r>
        <w:rPr>
          <w:color w:val="231F20"/>
          <w:spacing w:val="-11"/>
          <w:w w:val="120"/>
        </w:rPr>
        <w:t> </w:t>
      </w:r>
      <w:r>
        <w:rPr>
          <w:color w:val="231F20"/>
          <w:w w:val="120"/>
        </w:rPr>
        <w:t>perte</w:t>
      </w:r>
      <w:r>
        <w:rPr>
          <w:color w:val="231F20"/>
          <w:spacing w:val="-11"/>
          <w:w w:val="120"/>
        </w:rPr>
        <w:t> </w:t>
      </w:r>
      <w:r>
        <w:rPr>
          <w:color w:val="231F20"/>
          <w:w w:val="120"/>
        </w:rPr>
        <w:t>de</w:t>
      </w:r>
      <w:r>
        <w:rPr>
          <w:color w:val="231F20"/>
          <w:spacing w:val="-13"/>
          <w:w w:val="120"/>
        </w:rPr>
        <w:t> </w:t>
      </w:r>
      <w:r>
        <w:rPr>
          <w:color w:val="231F20"/>
          <w:w w:val="120"/>
        </w:rPr>
        <w:t>performance associée au niveau de stress de sa main-d’œuvre.</w:t>
      </w:r>
    </w:p>
    <w:p>
      <w:pPr>
        <w:pStyle w:val="BodyText"/>
        <w:spacing w:before="9"/>
        <w:rPr>
          <w:sz w:val="26"/>
        </w:rPr>
      </w:pPr>
    </w:p>
    <w:p>
      <w:pPr>
        <w:pStyle w:val="Heading4"/>
        <w:numPr>
          <w:ilvl w:val="2"/>
          <w:numId w:val="46"/>
        </w:numPr>
        <w:tabs>
          <w:tab w:pos="529" w:val="left" w:leader="none"/>
          <w:tab w:pos="829" w:val="left" w:leader="none"/>
        </w:tabs>
        <w:spacing w:line="240" w:lineRule="auto" w:before="0" w:after="0"/>
        <w:ind w:left="528" w:right="0" w:hanging="386"/>
        <w:jc w:val="left"/>
      </w:pPr>
      <w:r>
        <w:rPr>
          <w:b w:val="0"/>
          <w:i/>
          <w:color w:val="231F20"/>
          <w:spacing w:val="-10"/>
        </w:rPr>
        <w:t>/</w:t>
      </w:r>
      <w:r>
        <w:rPr>
          <w:b w:val="0"/>
          <w:i/>
          <w:color w:val="231F20"/>
        </w:rPr>
        <w:tab/>
      </w:r>
      <w:r>
        <w:rPr>
          <w:color w:val="231F20"/>
          <w:w w:val="90"/>
        </w:rPr>
        <w:t>Conséquences</w:t>
      </w:r>
      <w:r>
        <w:rPr>
          <w:color w:val="231F20"/>
          <w:spacing w:val="2"/>
        </w:rPr>
        <w:t> </w:t>
      </w:r>
      <w:r>
        <w:rPr>
          <w:color w:val="231F20"/>
          <w:spacing w:val="-2"/>
        </w:rPr>
        <w:t>individuelles</w:t>
      </w:r>
    </w:p>
    <w:p>
      <w:pPr>
        <w:pStyle w:val="BodyText"/>
        <w:spacing w:line="307" w:lineRule="auto" w:before="234"/>
        <w:ind w:left="830" w:right="491"/>
        <w:jc w:val="both"/>
      </w:pPr>
      <w:r>
        <w:rPr>
          <w:color w:val="231F20"/>
          <w:w w:val="120"/>
        </w:rPr>
        <w:t>Le niveau de stress ressenti et les réactions à un type de stress donné varient grandement d’une personne à l’autre. La diversité des caracté- ristiques individuelles, dont les types de personnalité que nous avons décrits</w:t>
      </w:r>
      <w:r>
        <w:rPr>
          <w:color w:val="231F20"/>
          <w:spacing w:val="-11"/>
          <w:w w:val="120"/>
        </w:rPr>
        <w:t> </w:t>
      </w:r>
      <w:r>
        <w:rPr>
          <w:color w:val="231F20"/>
          <w:w w:val="120"/>
        </w:rPr>
        <w:t>dans</w:t>
      </w:r>
      <w:r>
        <w:rPr>
          <w:color w:val="231F20"/>
          <w:spacing w:val="-11"/>
          <w:w w:val="120"/>
        </w:rPr>
        <w:t> </w:t>
      </w:r>
      <w:r>
        <w:rPr>
          <w:color w:val="231F20"/>
          <w:w w:val="120"/>
        </w:rPr>
        <w:t>les</w:t>
      </w:r>
      <w:r>
        <w:rPr>
          <w:color w:val="231F20"/>
          <w:spacing w:val="-11"/>
          <w:w w:val="120"/>
        </w:rPr>
        <w:t> </w:t>
      </w:r>
      <w:r>
        <w:rPr>
          <w:color w:val="231F20"/>
          <w:w w:val="120"/>
        </w:rPr>
        <w:t>pages</w:t>
      </w:r>
      <w:r>
        <w:rPr>
          <w:color w:val="231F20"/>
          <w:spacing w:val="-11"/>
          <w:w w:val="120"/>
        </w:rPr>
        <w:t> </w:t>
      </w:r>
      <w:r>
        <w:rPr>
          <w:color w:val="231F20"/>
          <w:w w:val="120"/>
        </w:rPr>
        <w:t>précédentes,</w:t>
      </w:r>
      <w:r>
        <w:rPr>
          <w:color w:val="231F20"/>
          <w:spacing w:val="-11"/>
          <w:w w:val="120"/>
        </w:rPr>
        <w:t> </w:t>
      </w:r>
      <w:r>
        <w:rPr>
          <w:color w:val="231F20"/>
          <w:w w:val="120"/>
        </w:rPr>
        <w:t>permet</w:t>
      </w:r>
      <w:r>
        <w:rPr>
          <w:color w:val="231F20"/>
          <w:spacing w:val="-11"/>
          <w:w w:val="120"/>
        </w:rPr>
        <w:t> </w:t>
      </w:r>
      <w:r>
        <w:rPr>
          <w:color w:val="231F20"/>
          <w:w w:val="120"/>
        </w:rPr>
        <w:t>de</w:t>
      </w:r>
      <w:r>
        <w:rPr>
          <w:color w:val="231F20"/>
          <w:spacing w:val="-11"/>
          <w:w w:val="120"/>
        </w:rPr>
        <w:t> </w:t>
      </w:r>
      <w:r>
        <w:rPr>
          <w:color w:val="231F20"/>
          <w:w w:val="120"/>
        </w:rPr>
        <w:t>comprendre</w:t>
      </w:r>
      <w:r>
        <w:rPr>
          <w:color w:val="231F20"/>
          <w:spacing w:val="-11"/>
          <w:w w:val="120"/>
        </w:rPr>
        <w:t> </w:t>
      </w:r>
      <w:r>
        <w:rPr>
          <w:color w:val="231F20"/>
          <w:w w:val="120"/>
        </w:rPr>
        <w:t>sans</w:t>
      </w:r>
      <w:r>
        <w:rPr>
          <w:color w:val="231F20"/>
          <w:spacing w:val="-11"/>
          <w:w w:val="120"/>
        </w:rPr>
        <w:t> </w:t>
      </w:r>
      <w:r>
        <w:rPr>
          <w:color w:val="231F20"/>
          <w:w w:val="120"/>
        </w:rPr>
        <w:t>l’ombre d’un</w:t>
      </w:r>
      <w:r>
        <w:rPr>
          <w:color w:val="231F20"/>
          <w:spacing w:val="-8"/>
          <w:w w:val="120"/>
        </w:rPr>
        <w:t> </w:t>
      </w:r>
      <w:r>
        <w:rPr>
          <w:color w:val="231F20"/>
          <w:w w:val="120"/>
        </w:rPr>
        <w:t>doute</w:t>
      </w:r>
      <w:r>
        <w:rPr>
          <w:color w:val="231F20"/>
          <w:spacing w:val="-8"/>
          <w:w w:val="120"/>
        </w:rPr>
        <w:t> </w:t>
      </w:r>
      <w:r>
        <w:rPr>
          <w:color w:val="231F20"/>
          <w:w w:val="120"/>
        </w:rPr>
        <w:t>que</w:t>
      </w:r>
      <w:r>
        <w:rPr>
          <w:color w:val="231F20"/>
          <w:spacing w:val="-8"/>
          <w:w w:val="120"/>
        </w:rPr>
        <w:t> </w:t>
      </w:r>
      <w:r>
        <w:rPr>
          <w:color w:val="231F20"/>
          <w:w w:val="120"/>
        </w:rPr>
        <w:t>certaines</w:t>
      </w:r>
      <w:r>
        <w:rPr>
          <w:color w:val="231F20"/>
          <w:spacing w:val="-8"/>
          <w:w w:val="120"/>
        </w:rPr>
        <w:t> </w:t>
      </w:r>
      <w:r>
        <w:rPr>
          <w:color w:val="231F20"/>
          <w:w w:val="120"/>
        </w:rPr>
        <w:t>personnes</w:t>
      </w:r>
      <w:r>
        <w:rPr>
          <w:color w:val="231F20"/>
          <w:spacing w:val="-8"/>
          <w:w w:val="120"/>
        </w:rPr>
        <w:t> </w:t>
      </w:r>
      <w:r>
        <w:rPr>
          <w:color w:val="231F20"/>
          <w:w w:val="120"/>
        </w:rPr>
        <w:t>sont</w:t>
      </w:r>
      <w:r>
        <w:rPr>
          <w:color w:val="231F20"/>
          <w:spacing w:val="-8"/>
          <w:w w:val="120"/>
        </w:rPr>
        <w:t> </w:t>
      </w:r>
      <w:r>
        <w:rPr>
          <w:color w:val="231F20"/>
          <w:w w:val="120"/>
        </w:rPr>
        <w:t>plus</w:t>
      </w:r>
      <w:r>
        <w:rPr>
          <w:color w:val="231F20"/>
          <w:spacing w:val="-8"/>
          <w:w w:val="120"/>
        </w:rPr>
        <w:t> </w:t>
      </w:r>
      <w:r>
        <w:rPr>
          <w:color w:val="231F20"/>
          <w:w w:val="120"/>
        </w:rPr>
        <w:t>prédisposées</w:t>
      </w:r>
      <w:r>
        <w:rPr>
          <w:color w:val="231F20"/>
          <w:spacing w:val="-8"/>
          <w:w w:val="120"/>
        </w:rPr>
        <w:t> </w:t>
      </w:r>
      <w:r>
        <w:rPr>
          <w:color w:val="231F20"/>
          <w:w w:val="120"/>
        </w:rPr>
        <w:t>et</w:t>
      </w:r>
      <w:r>
        <w:rPr>
          <w:color w:val="231F20"/>
          <w:spacing w:val="-8"/>
          <w:w w:val="120"/>
        </w:rPr>
        <w:t> </w:t>
      </w:r>
      <w:r>
        <w:rPr>
          <w:color w:val="231F20"/>
          <w:w w:val="120"/>
        </w:rPr>
        <w:t>plus</w:t>
      </w:r>
      <w:r>
        <w:rPr>
          <w:color w:val="231F20"/>
          <w:spacing w:val="-8"/>
          <w:w w:val="120"/>
        </w:rPr>
        <w:t> </w:t>
      </w:r>
      <w:r>
        <w:rPr>
          <w:color w:val="231F20"/>
          <w:w w:val="120"/>
        </w:rPr>
        <w:t>réac- </w:t>
      </w:r>
      <w:r>
        <w:rPr>
          <w:color w:val="231F20"/>
          <w:spacing w:val="-2"/>
          <w:w w:val="120"/>
        </w:rPr>
        <w:t>tives</w:t>
      </w:r>
      <w:r>
        <w:rPr>
          <w:color w:val="231F20"/>
          <w:spacing w:val="-6"/>
          <w:w w:val="120"/>
        </w:rPr>
        <w:t> </w:t>
      </w:r>
      <w:r>
        <w:rPr>
          <w:color w:val="231F20"/>
          <w:spacing w:val="-2"/>
          <w:w w:val="120"/>
        </w:rPr>
        <w:t>au</w:t>
      </w:r>
      <w:r>
        <w:rPr>
          <w:color w:val="231F20"/>
          <w:spacing w:val="-6"/>
          <w:w w:val="120"/>
        </w:rPr>
        <w:t> </w:t>
      </w:r>
      <w:r>
        <w:rPr>
          <w:color w:val="231F20"/>
          <w:spacing w:val="-2"/>
          <w:w w:val="120"/>
        </w:rPr>
        <w:t>stress</w:t>
      </w:r>
      <w:r>
        <w:rPr>
          <w:color w:val="231F20"/>
          <w:spacing w:val="-6"/>
          <w:w w:val="120"/>
        </w:rPr>
        <w:t> </w:t>
      </w:r>
      <w:r>
        <w:rPr>
          <w:color w:val="231F20"/>
          <w:spacing w:val="-2"/>
          <w:w w:val="120"/>
        </w:rPr>
        <w:t>que</w:t>
      </w:r>
      <w:r>
        <w:rPr>
          <w:color w:val="231F20"/>
          <w:spacing w:val="-6"/>
          <w:w w:val="120"/>
        </w:rPr>
        <w:t> </w:t>
      </w:r>
      <w:r>
        <w:rPr>
          <w:color w:val="231F20"/>
          <w:spacing w:val="-2"/>
          <w:w w:val="120"/>
        </w:rPr>
        <w:t>d’autres.</w:t>
      </w:r>
      <w:r>
        <w:rPr>
          <w:color w:val="231F20"/>
          <w:spacing w:val="-6"/>
          <w:w w:val="120"/>
        </w:rPr>
        <w:t> </w:t>
      </w:r>
      <w:r>
        <w:rPr>
          <w:color w:val="231F20"/>
          <w:spacing w:val="-2"/>
          <w:w w:val="120"/>
        </w:rPr>
        <w:t>Si,</w:t>
      </w:r>
      <w:r>
        <w:rPr>
          <w:color w:val="231F20"/>
          <w:spacing w:val="-6"/>
          <w:w w:val="120"/>
        </w:rPr>
        <w:t> </w:t>
      </w:r>
      <w:r>
        <w:rPr>
          <w:color w:val="231F20"/>
          <w:spacing w:val="-2"/>
          <w:w w:val="120"/>
        </w:rPr>
        <w:t>par</w:t>
      </w:r>
      <w:r>
        <w:rPr>
          <w:color w:val="231F20"/>
          <w:spacing w:val="-6"/>
          <w:w w:val="120"/>
        </w:rPr>
        <w:t> </w:t>
      </w:r>
      <w:r>
        <w:rPr>
          <w:color w:val="231F20"/>
          <w:spacing w:val="-2"/>
          <w:w w:val="120"/>
        </w:rPr>
        <w:t>exemple,</w:t>
      </w:r>
      <w:r>
        <w:rPr>
          <w:color w:val="231F20"/>
          <w:spacing w:val="-6"/>
          <w:w w:val="120"/>
        </w:rPr>
        <w:t> </w:t>
      </w:r>
      <w:r>
        <w:rPr>
          <w:color w:val="231F20"/>
          <w:spacing w:val="-2"/>
          <w:w w:val="120"/>
        </w:rPr>
        <w:t>la</w:t>
      </w:r>
      <w:r>
        <w:rPr>
          <w:color w:val="231F20"/>
          <w:spacing w:val="-6"/>
          <w:w w:val="120"/>
        </w:rPr>
        <w:t> </w:t>
      </w:r>
      <w:r>
        <w:rPr>
          <w:color w:val="231F20"/>
          <w:spacing w:val="-2"/>
          <w:w w:val="120"/>
        </w:rPr>
        <w:t>demande</w:t>
      </w:r>
      <w:r>
        <w:rPr>
          <w:color w:val="231F20"/>
          <w:spacing w:val="-6"/>
          <w:w w:val="120"/>
        </w:rPr>
        <w:t> </w:t>
      </w:r>
      <w:r>
        <w:rPr>
          <w:color w:val="231F20"/>
          <w:spacing w:val="-2"/>
          <w:w w:val="120"/>
        </w:rPr>
        <w:t>correspond</w:t>
      </w:r>
      <w:r>
        <w:rPr>
          <w:color w:val="231F20"/>
          <w:spacing w:val="-6"/>
          <w:w w:val="120"/>
        </w:rPr>
        <w:t> </w:t>
      </w:r>
      <w:r>
        <w:rPr>
          <w:color w:val="231F20"/>
          <w:spacing w:val="-2"/>
          <w:w w:val="120"/>
        </w:rPr>
        <w:t>aux compétences</w:t>
      </w:r>
      <w:r>
        <w:rPr>
          <w:color w:val="231F20"/>
          <w:spacing w:val="-11"/>
          <w:w w:val="120"/>
        </w:rPr>
        <w:t> </w:t>
      </w:r>
      <w:r>
        <w:rPr>
          <w:color w:val="231F20"/>
          <w:spacing w:val="-2"/>
          <w:w w:val="120"/>
        </w:rPr>
        <w:t>de</w:t>
      </w:r>
      <w:r>
        <w:rPr>
          <w:color w:val="231F20"/>
          <w:spacing w:val="-11"/>
          <w:w w:val="120"/>
        </w:rPr>
        <w:t> </w:t>
      </w:r>
      <w:r>
        <w:rPr>
          <w:color w:val="231F20"/>
          <w:spacing w:val="-2"/>
          <w:w w:val="120"/>
        </w:rPr>
        <w:t>la</w:t>
      </w:r>
      <w:r>
        <w:rPr>
          <w:color w:val="231F20"/>
          <w:spacing w:val="-11"/>
          <w:w w:val="120"/>
        </w:rPr>
        <w:t> </w:t>
      </w:r>
      <w:r>
        <w:rPr>
          <w:color w:val="231F20"/>
          <w:spacing w:val="-2"/>
          <w:w w:val="120"/>
        </w:rPr>
        <w:t>personne,</w:t>
      </w:r>
      <w:r>
        <w:rPr>
          <w:color w:val="231F20"/>
          <w:spacing w:val="-10"/>
          <w:w w:val="120"/>
        </w:rPr>
        <w:t> </w:t>
      </w:r>
      <w:r>
        <w:rPr>
          <w:color w:val="231F20"/>
          <w:spacing w:val="-2"/>
          <w:w w:val="120"/>
        </w:rPr>
        <w:t>à</w:t>
      </w:r>
      <w:r>
        <w:rPr>
          <w:color w:val="231F20"/>
          <w:spacing w:val="-11"/>
          <w:w w:val="120"/>
        </w:rPr>
        <w:t> </w:t>
      </w:r>
      <w:r>
        <w:rPr>
          <w:color w:val="231F20"/>
          <w:spacing w:val="-2"/>
          <w:w w:val="120"/>
        </w:rPr>
        <w:t>ses</w:t>
      </w:r>
      <w:r>
        <w:rPr>
          <w:color w:val="231F20"/>
          <w:spacing w:val="-11"/>
          <w:w w:val="120"/>
        </w:rPr>
        <w:t> </w:t>
      </w:r>
      <w:r>
        <w:rPr>
          <w:color w:val="231F20"/>
          <w:spacing w:val="-2"/>
          <w:w w:val="120"/>
        </w:rPr>
        <w:t>connaissances</w:t>
      </w:r>
      <w:r>
        <w:rPr>
          <w:color w:val="231F20"/>
          <w:spacing w:val="-11"/>
          <w:w w:val="120"/>
        </w:rPr>
        <w:t> </w:t>
      </w:r>
      <w:r>
        <w:rPr>
          <w:color w:val="231F20"/>
          <w:spacing w:val="-2"/>
          <w:w w:val="120"/>
        </w:rPr>
        <w:t>et</w:t>
      </w:r>
      <w:r>
        <w:rPr>
          <w:color w:val="231F20"/>
          <w:spacing w:val="-10"/>
          <w:w w:val="120"/>
        </w:rPr>
        <w:t> </w:t>
      </w:r>
      <w:r>
        <w:rPr>
          <w:color w:val="231F20"/>
          <w:spacing w:val="-2"/>
          <w:w w:val="120"/>
        </w:rPr>
        <w:t>à</w:t>
      </w:r>
      <w:r>
        <w:rPr>
          <w:color w:val="231F20"/>
          <w:spacing w:val="-11"/>
          <w:w w:val="120"/>
        </w:rPr>
        <w:t> </w:t>
      </w:r>
      <w:r>
        <w:rPr>
          <w:color w:val="231F20"/>
          <w:spacing w:val="-2"/>
          <w:w w:val="120"/>
        </w:rPr>
        <w:t>sa</w:t>
      </w:r>
      <w:r>
        <w:rPr>
          <w:color w:val="231F20"/>
          <w:spacing w:val="-11"/>
          <w:w w:val="120"/>
        </w:rPr>
        <w:t> </w:t>
      </w:r>
      <w:r>
        <w:rPr>
          <w:color w:val="231F20"/>
          <w:spacing w:val="-2"/>
          <w:w w:val="120"/>
        </w:rPr>
        <w:t>personnalité,</w:t>
      </w:r>
      <w:r>
        <w:rPr>
          <w:color w:val="231F20"/>
          <w:spacing w:val="-11"/>
          <w:w w:val="120"/>
        </w:rPr>
        <w:t> </w:t>
      </w:r>
      <w:r>
        <w:rPr>
          <w:color w:val="231F20"/>
          <w:spacing w:val="-2"/>
          <w:w w:val="120"/>
        </w:rPr>
        <w:t>son </w:t>
      </w:r>
      <w:r>
        <w:rPr>
          <w:color w:val="231F20"/>
          <w:w w:val="120"/>
        </w:rPr>
        <w:t>niveau de stress tend à diminuer, et certains signes positifs et mêmes stimulants lui permettent de progresser dans sa sphère professionnelle tout en accomplissant davantage sur le plan de la gratification per- sonnelle,</w:t>
      </w:r>
      <w:r>
        <w:rPr>
          <w:color w:val="231F20"/>
          <w:spacing w:val="-4"/>
          <w:w w:val="120"/>
        </w:rPr>
        <w:t> </w:t>
      </w:r>
      <w:r>
        <w:rPr>
          <w:color w:val="231F20"/>
          <w:w w:val="120"/>
        </w:rPr>
        <w:t>spirituelle</w:t>
      </w:r>
      <w:r>
        <w:rPr>
          <w:color w:val="231F20"/>
          <w:spacing w:val="-4"/>
          <w:w w:val="120"/>
        </w:rPr>
        <w:t> </w:t>
      </w:r>
      <w:r>
        <w:rPr>
          <w:color w:val="231F20"/>
          <w:w w:val="120"/>
        </w:rPr>
        <w:t>et</w:t>
      </w:r>
      <w:r>
        <w:rPr>
          <w:color w:val="231F20"/>
          <w:spacing w:val="-4"/>
          <w:w w:val="120"/>
        </w:rPr>
        <w:t> </w:t>
      </w:r>
      <w:r>
        <w:rPr>
          <w:color w:val="231F20"/>
          <w:w w:val="120"/>
        </w:rPr>
        <w:t>matérielle.</w:t>
      </w:r>
      <w:r>
        <w:rPr>
          <w:color w:val="231F20"/>
          <w:spacing w:val="-4"/>
          <w:w w:val="120"/>
        </w:rPr>
        <w:t> </w:t>
      </w:r>
      <w:r>
        <w:rPr>
          <w:i/>
          <w:color w:val="231F20"/>
          <w:w w:val="120"/>
        </w:rPr>
        <w:t>A</w:t>
      </w:r>
      <w:r>
        <w:rPr>
          <w:i/>
          <w:color w:val="231F20"/>
          <w:spacing w:val="-4"/>
          <w:w w:val="120"/>
        </w:rPr>
        <w:t> </w:t>
      </w:r>
      <w:r>
        <w:rPr>
          <w:i/>
          <w:color w:val="231F20"/>
          <w:w w:val="120"/>
        </w:rPr>
        <w:t>contrario</w:t>
      </w:r>
      <w:r>
        <w:rPr>
          <w:color w:val="231F20"/>
          <w:w w:val="120"/>
        </w:rPr>
        <w:t>,</w:t>
      </w:r>
      <w:r>
        <w:rPr>
          <w:color w:val="231F20"/>
          <w:spacing w:val="-4"/>
          <w:w w:val="120"/>
        </w:rPr>
        <w:t> </w:t>
      </w:r>
      <w:r>
        <w:rPr>
          <w:color w:val="231F20"/>
          <w:w w:val="120"/>
        </w:rPr>
        <w:t>la</w:t>
      </w:r>
      <w:r>
        <w:rPr>
          <w:color w:val="231F20"/>
          <w:spacing w:val="-4"/>
          <w:w w:val="120"/>
        </w:rPr>
        <w:t> </w:t>
      </w:r>
      <w:r>
        <w:rPr>
          <w:color w:val="231F20"/>
          <w:w w:val="120"/>
        </w:rPr>
        <w:t>dépression,</w:t>
      </w:r>
      <w:r>
        <w:rPr>
          <w:color w:val="231F20"/>
          <w:spacing w:val="-4"/>
          <w:w w:val="120"/>
        </w:rPr>
        <w:t> </w:t>
      </w:r>
      <w:r>
        <w:rPr>
          <w:color w:val="231F20"/>
          <w:w w:val="120"/>
        </w:rPr>
        <w:t>l’anxiété, l’irritabilité</w:t>
      </w:r>
      <w:r>
        <w:rPr>
          <w:color w:val="231F20"/>
          <w:spacing w:val="-6"/>
          <w:w w:val="120"/>
        </w:rPr>
        <w:t> </w:t>
      </w:r>
      <w:r>
        <w:rPr>
          <w:color w:val="231F20"/>
          <w:w w:val="120"/>
        </w:rPr>
        <w:t>et</w:t>
      </w:r>
      <w:r>
        <w:rPr>
          <w:color w:val="231F20"/>
          <w:spacing w:val="-6"/>
          <w:w w:val="120"/>
        </w:rPr>
        <w:t> </w:t>
      </w:r>
      <w:r>
        <w:rPr>
          <w:color w:val="231F20"/>
          <w:w w:val="120"/>
        </w:rPr>
        <w:t>les</w:t>
      </w:r>
      <w:r>
        <w:rPr>
          <w:color w:val="231F20"/>
          <w:spacing w:val="-6"/>
          <w:w w:val="120"/>
        </w:rPr>
        <w:t> </w:t>
      </w:r>
      <w:r>
        <w:rPr>
          <w:color w:val="231F20"/>
          <w:w w:val="120"/>
        </w:rPr>
        <w:t>problèmes</w:t>
      </w:r>
      <w:r>
        <w:rPr>
          <w:color w:val="231F20"/>
          <w:spacing w:val="-6"/>
          <w:w w:val="120"/>
        </w:rPr>
        <w:t> </w:t>
      </w:r>
      <w:r>
        <w:rPr>
          <w:color w:val="231F20"/>
          <w:w w:val="120"/>
        </w:rPr>
        <w:t>somatiques</w:t>
      </w:r>
      <w:r>
        <w:rPr>
          <w:color w:val="231F20"/>
          <w:spacing w:val="-6"/>
          <w:w w:val="120"/>
        </w:rPr>
        <w:t> </w:t>
      </w:r>
      <w:r>
        <w:rPr>
          <w:color w:val="231F20"/>
          <w:w w:val="120"/>
        </w:rPr>
        <w:t>sont,</w:t>
      </w:r>
      <w:r>
        <w:rPr>
          <w:color w:val="231F20"/>
          <w:spacing w:val="-6"/>
          <w:w w:val="120"/>
        </w:rPr>
        <w:t> </w:t>
      </w:r>
      <w:r>
        <w:rPr>
          <w:color w:val="231F20"/>
          <w:w w:val="120"/>
        </w:rPr>
        <w:t>avec</w:t>
      </w:r>
      <w:r>
        <w:rPr>
          <w:color w:val="231F20"/>
          <w:spacing w:val="-6"/>
          <w:w w:val="120"/>
        </w:rPr>
        <w:t> </w:t>
      </w:r>
      <w:r>
        <w:rPr>
          <w:color w:val="231F20"/>
          <w:w w:val="120"/>
        </w:rPr>
        <w:t>les</w:t>
      </w:r>
      <w:r>
        <w:rPr>
          <w:color w:val="231F20"/>
          <w:spacing w:val="-6"/>
          <w:w w:val="120"/>
        </w:rPr>
        <w:t> </w:t>
      </w:r>
      <w:r>
        <w:rPr>
          <w:color w:val="231F20"/>
          <w:w w:val="120"/>
        </w:rPr>
        <w:t>diverses</w:t>
      </w:r>
      <w:r>
        <w:rPr>
          <w:color w:val="231F20"/>
          <w:spacing w:val="-6"/>
          <w:w w:val="120"/>
        </w:rPr>
        <w:t> </w:t>
      </w:r>
      <w:r>
        <w:rPr>
          <w:color w:val="231F20"/>
          <w:w w:val="120"/>
        </w:rPr>
        <w:t>formes </w:t>
      </w:r>
      <w:r>
        <w:rPr>
          <w:color w:val="231F20"/>
          <w:w w:val="115"/>
        </w:rPr>
        <w:t>d’accoutumance (à la nicotine, à l’alcool, aux drogues, etc.), les manifes- </w:t>
      </w:r>
      <w:r>
        <w:rPr>
          <w:color w:val="231F20"/>
          <w:w w:val="120"/>
        </w:rPr>
        <w:t>tations les plus courantes du stress. Pour ce qui est des conséquences physiologiques du stress, des chercheurs ont décelé une augmentation de la sécrétion de catécholamines (adrénaline et noradrénaline) et de stéroïdes,</w:t>
      </w:r>
      <w:r>
        <w:rPr>
          <w:color w:val="231F20"/>
          <w:spacing w:val="-13"/>
          <w:w w:val="120"/>
        </w:rPr>
        <w:t> </w:t>
      </w:r>
      <w:r>
        <w:rPr>
          <w:color w:val="231F20"/>
          <w:w w:val="120"/>
        </w:rPr>
        <w:t>de</w:t>
      </w:r>
      <w:r>
        <w:rPr>
          <w:color w:val="231F20"/>
          <w:spacing w:val="-13"/>
          <w:w w:val="120"/>
        </w:rPr>
        <w:t> </w:t>
      </w:r>
      <w:r>
        <w:rPr>
          <w:color w:val="231F20"/>
          <w:w w:val="120"/>
        </w:rPr>
        <w:t>même</w:t>
      </w:r>
      <w:r>
        <w:rPr>
          <w:color w:val="231F20"/>
          <w:spacing w:val="-13"/>
          <w:w w:val="120"/>
        </w:rPr>
        <w:t> </w:t>
      </w:r>
      <w:r>
        <w:rPr>
          <w:color w:val="231F20"/>
          <w:w w:val="120"/>
        </w:rPr>
        <w:t>qu’une</w:t>
      </w:r>
      <w:r>
        <w:rPr>
          <w:color w:val="231F20"/>
          <w:spacing w:val="-12"/>
          <w:w w:val="120"/>
        </w:rPr>
        <w:t> </w:t>
      </w:r>
      <w:r>
        <w:rPr>
          <w:color w:val="231F20"/>
          <w:w w:val="120"/>
        </w:rPr>
        <w:t>élévation</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pression</w:t>
      </w:r>
      <w:r>
        <w:rPr>
          <w:color w:val="231F20"/>
          <w:spacing w:val="-12"/>
          <w:w w:val="120"/>
        </w:rPr>
        <w:t> </w:t>
      </w:r>
      <w:r>
        <w:rPr>
          <w:color w:val="231F20"/>
          <w:w w:val="120"/>
        </w:rPr>
        <w:t>artérielle,</w:t>
      </w:r>
      <w:r>
        <w:rPr>
          <w:color w:val="231F20"/>
          <w:spacing w:val="-13"/>
          <w:w w:val="120"/>
        </w:rPr>
        <w:t> </w:t>
      </w:r>
      <w:r>
        <w:rPr>
          <w:color w:val="231F20"/>
          <w:w w:val="120"/>
        </w:rPr>
        <w:t>des</w:t>
      </w:r>
      <w:r>
        <w:rPr>
          <w:color w:val="231F20"/>
          <w:spacing w:val="-13"/>
          <w:w w:val="120"/>
        </w:rPr>
        <w:t> </w:t>
      </w:r>
      <w:r>
        <w:rPr>
          <w:color w:val="231F20"/>
          <w:w w:val="120"/>
        </w:rPr>
        <w:t>symp- tômes précurseurs du développement des ulcères d’estomac et des maladies</w:t>
      </w:r>
      <w:r>
        <w:rPr>
          <w:color w:val="231F20"/>
          <w:spacing w:val="-13"/>
          <w:w w:val="120"/>
        </w:rPr>
        <w:t> </w:t>
      </w:r>
      <w:r>
        <w:rPr>
          <w:color w:val="231F20"/>
          <w:w w:val="120"/>
        </w:rPr>
        <w:t>cardiovasculaires.</w:t>
      </w:r>
    </w:p>
    <w:p>
      <w:pPr>
        <w:spacing w:after="0" w:line="307" w:lineRule="auto"/>
        <w:jc w:val="both"/>
        <w:sectPr>
          <w:footerReference w:type="default" r:id="rId213"/>
          <w:pgSz w:w="8640" w:h="12960"/>
          <w:pgMar w:footer="424" w:header="0" w:top="520" w:bottom="620" w:left="420" w:right="1140"/>
        </w:sectPr>
      </w:pPr>
    </w:p>
    <w:p>
      <w:pPr>
        <w:spacing w:before="118"/>
        <w:ind w:left="2049" w:right="0" w:firstLine="0"/>
        <w:jc w:val="left"/>
        <w:rPr>
          <w:rFonts w:ascii="Arial" w:hAnsi="Arial"/>
          <w:sz w:val="14"/>
        </w:rPr>
      </w:pPr>
      <w:bookmarkStart w:name="Figure 3.7 / Liens entre le stress et di" w:id="114"/>
      <w:bookmarkEnd w:id="114"/>
      <w:r>
        <w:rPr/>
      </w:r>
      <w:bookmarkStart w:name="_bookmark49" w:id="115"/>
      <w:bookmarkEnd w:id="115"/>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5"/>
        <w:jc w:val="both"/>
      </w:pPr>
      <w:r>
        <w:rPr>
          <w:b/>
          <w:color w:val="231F20"/>
          <w:w w:val="115"/>
        </w:rPr>
        <w:t>Conséquences sur la santé physique. </w:t>
      </w:r>
      <w:r>
        <w:rPr>
          <w:color w:val="231F20"/>
          <w:w w:val="115"/>
        </w:rPr>
        <w:t>Initialement, la symptomatologie </w:t>
      </w:r>
      <w:r>
        <w:rPr>
          <w:color w:val="231F20"/>
          <w:w w:val="120"/>
        </w:rPr>
        <w:t>produite</w:t>
      </w:r>
      <w:r>
        <w:rPr>
          <w:color w:val="231F20"/>
          <w:w w:val="120"/>
        </w:rPr>
        <w:t> par</w:t>
      </w:r>
      <w:r>
        <w:rPr>
          <w:color w:val="231F20"/>
          <w:w w:val="120"/>
        </w:rPr>
        <w:t> le</w:t>
      </w:r>
      <w:r>
        <w:rPr>
          <w:color w:val="231F20"/>
          <w:w w:val="120"/>
        </w:rPr>
        <w:t> stress</w:t>
      </w:r>
      <w:r>
        <w:rPr>
          <w:color w:val="231F20"/>
          <w:w w:val="120"/>
        </w:rPr>
        <w:t> professionnel</w:t>
      </w:r>
      <w:r>
        <w:rPr>
          <w:color w:val="231F20"/>
          <w:w w:val="120"/>
        </w:rPr>
        <w:t> est</w:t>
      </w:r>
      <w:r>
        <w:rPr>
          <w:color w:val="231F20"/>
          <w:w w:val="120"/>
        </w:rPr>
        <w:t> d’ordre</w:t>
      </w:r>
      <w:r>
        <w:rPr>
          <w:color w:val="231F20"/>
          <w:w w:val="120"/>
        </w:rPr>
        <w:t> psychosomatique</w:t>
      </w:r>
      <w:r>
        <w:rPr>
          <w:color w:val="231F20"/>
          <w:spacing w:val="-5"/>
          <w:w w:val="120"/>
        </w:rPr>
        <w:t> </w:t>
      </w:r>
      <w:r>
        <w:rPr>
          <w:color w:val="231F20"/>
          <w:w w:val="120"/>
        </w:rPr>
        <w:t>: </w:t>
      </w:r>
      <w:r>
        <w:rPr>
          <w:color w:val="231F20"/>
          <w:spacing w:val="-2"/>
          <w:w w:val="120"/>
        </w:rPr>
        <w:t>migraines,</w:t>
      </w:r>
      <w:r>
        <w:rPr>
          <w:color w:val="231F20"/>
          <w:spacing w:val="-11"/>
          <w:w w:val="120"/>
        </w:rPr>
        <w:t> </w:t>
      </w:r>
      <w:r>
        <w:rPr>
          <w:color w:val="231F20"/>
          <w:spacing w:val="-2"/>
          <w:w w:val="120"/>
        </w:rPr>
        <w:t>troubles</w:t>
      </w:r>
      <w:r>
        <w:rPr>
          <w:color w:val="231F20"/>
          <w:spacing w:val="-11"/>
          <w:w w:val="120"/>
        </w:rPr>
        <w:t> </w:t>
      </w:r>
      <w:r>
        <w:rPr>
          <w:color w:val="231F20"/>
          <w:spacing w:val="-2"/>
          <w:w w:val="120"/>
        </w:rPr>
        <w:t>gastro-intestinaux,</w:t>
      </w:r>
      <w:r>
        <w:rPr>
          <w:color w:val="231F20"/>
          <w:spacing w:val="-11"/>
          <w:w w:val="120"/>
        </w:rPr>
        <w:t> </w:t>
      </w:r>
      <w:r>
        <w:rPr>
          <w:color w:val="231F20"/>
          <w:spacing w:val="-2"/>
          <w:w w:val="120"/>
        </w:rPr>
        <w:t>atteintes</w:t>
      </w:r>
      <w:r>
        <w:rPr>
          <w:color w:val="231F20"/>
          <w:spacing w:val="-10"/>
          <w:w w:val="120"/>
        </w:rPr>
        <w:t> </w:t>
      </w:r>
      <w:r>
        <w:rPr>
          <w:color w:val="231F20"/>
          <w:spacing w:val="-2"/>
          <w:w w:val="120"/>
        </w:rPr>
        <w:t>virales,</w:t>
      </w:r>
      <w:r>
        <w:rPr>
          <w:color w:val="231F20"/>
          <w:spacing w:val="-11"/>
          <w:w w:val="120"/>
        </w:rPr>
        <w:t> </w:t>
      </w:r>
      <w:r>
        <w:rPr>
          <w:color w:val="231F20"/>
          <w:spacing w:val="-2"/>
          <w:w w:val="120"/>
        </w:rPr>
        <w:t>troubles</w:t>
      </w:r>
      <w:r>
        <w:rPr>
          <w:color w:val="231F20"/>
          <w:spacing w:val="-11"/>
          <w:w w:val="120"/>
        </w:rPr>
        <w:t> </w:t>
      </w:r>
      <w:r>
        <w:rPr>
          <w:color w:val="231F20"/>
          <w:spacing w:val="-2"/>
          <w:w w:val="120"/>
        </w:rPr>
        <w:t>du</w:t>
      </w:r>
      <w:r>
        <w:rPr>
          <w:color w:val="231F20"/>
          <w:spacing w:val="-11"/>
          <w:w w:val="120"/>
        </w:rPr>
        <w:t> </w:t>
      </w:r>
      <w:r>
        <w:rPr>
          <w:color w:val="231F20"/>
          <w:spacing w:val="-2"/>
          <w:w w:val="120"/>
        </w:rPr>
        <w:t>som- meil,</w:t>
      </w:r>
      <w:r>
        <w:rPr>
          <w:color w:val="231F20"/>
          <w:spacing w:val="-5"/>
          <w:w w:val="120"/>
        </w:rPr>
        <w:t> </w:t>
      </w:r>
      <w:r>
        <w:rPr>
          <w:color w:val="231F20"/>
          <w:spacing w:val="-2"/>
          <w:w w:val="120"/>
        </w:rPr>
        <w:t>problèmes</w:t>
      </w:r>
      <w:r>
        <w:rPr>
          <w:color w:val="231F20"/>
          <w:spacing w:val="-5"/>
          <w:w w:val="120"/>
        </w:rPr>
        <w:t> </w:t>
      </w:r>
      <w:r>
        <w:rPr>
          <w:color w:val="231F20"/>
          <w:spacing w:val="-2"/>
          <w:w w:val="120"/>
        </w:rPr>
        <w:t>dermatologiques.</w:t>
      </w:r>
      <w:r>
        <w:rPr>
          <w:color w:val="231F20"/>
          <w:spacing w:val="-5"/>
          <w:w w:val="120"/>
        </w:rPr>
        <w:t> </w:t>
      </w:r>
      <w:r>
        <w:rPr>
          <w:color w:val="231F20"/>
          <w:spacing w:val="-2"/>
          <w:w w:val="120"/>
        </w:rPr>
        <w:t>En</w:t>
      </w:r>
      <w:r>
        <w:rPr>
          <w:color w:val="231F20"/>
          <w:spacing w:val="-5"/>
          <w:w w:val="120"/>
        </w:rPr>
        <w:t> </w:t>
      </w:r>
      <w:r>
        <w:rPr>
          <w:color w:val="231F20"/>
          <w:spacing w:val="-2"/>
          <w:w w:val="120"/>
        </w:rPr>
        <w:t>conséquence,</w:t>
      </w:r>
      <w:r>
        <w:rPr>
          <w:color w:val="231F20"/>
          <w:spacing w:val="-5"/>
          <w:w w:val="120"/>
        </w:rPr>
        <w:t> </w:t>
      </w:r>
      <w:r>
        <w:rPr>
          <w:color w:val="231F20"/>
          <w:spacing w:val="-2"/>
          <w:w w:val="120"/>
        </w:rPr>
        <w:t>la</w:t>
      </w:r>
      <w:r>
        <w:rPr>
          <w:color w:val="231F20"/>
          <w:spacing w:val="-5"/>
          <w:w w:val="120"/>
        </w:rPr>
        <w:t> </w:t>
      </w:r>
      <w:r>
        <w:rPr>
          <w:color w:val="231F20"/>
          <w:spacing w:val="-2"/>
          <w:w w:val="120"/>
        </w:rPr>
        <w:t>plupart</w:t>
      </w:r>
      <w:r>
        <w:rPr>
          <w:color w:val="231F20"/>
          <w:spacing w:val="-5"/>
          <w:w w:val="120"/>
        </w:rPr>
        <w:t> </w:t>
      </w:r>
      <w:r>
        <w:rPr>
          <w:color w:val="231F20"/>
          <w:spacing w:val="-2"/>
          <w:w w:val="120"/>
        </w:rPr>
        <w:t>du</w:t>
      </w:r>
      <w:r>
        <w:rPr>
          <w:color w:val="231F20"/>
          <w:spacing w:val="-5"/>
          <w:w w:val="120"/>
        </w:rPr>
        <w:t> </w:t>
      </w:r>
      <w:r>
        <w:rPr>
          <w:color w:val="231F20"/>
          <w:spacing w:val="-2"/>
          <w:w w:val="120"/>
        </w:rPr>
        <w:t>temps, </w:t>
      </w:r>
      <w:r>
        <w:rPr>
          <w:color w:val="231F20"/>
          <w:w w:val="120"/>
        </w:rPr>
        <w:t>le problème est traité comme une maladie courante plutôt que comme </w:t>
      </w:r>
      <w:r>
        <w:rPr>
          <w:color w:val="231F20"/>
          <w:w w:val="115"/>
        </w:rPr>
        <w:t>une</w:t>
      </w:r>
      <w:r>
        <w:rPr>
          <w:color w:val="231F20"/>
          <w:spacing w:val="-11"/>
          <w:w w:val="115"/>
        </w:rPr>
        <w:t> </w:t>
      </w:r>
      <w:r>
        <w:rPr>
          <w:color w:val="231F20"/>
          <w:w w:val="115"/>
        </w:rPr>
        <w:t>pathologie</w:t>
      </w:r>
      <w:r>
        <w:rPr>
          <w:color w:val="231F20"/>
          <w:spacing w:val="-11"/>
          <w:w w:val="115"/>
        </w:rPr>
        <w:t> </w:t>
      </w:r>
      <w:r>
        <w:rPr>
          <w:color w:val="231F20"/>
          <w:w w:val="115"/>
        </w:rPr>
        <w:t>liée</w:t>
      </w:r>
      <w:r>
        <w:rPr>
          <w:color w:val="231F20"/>
          <w:spacing w:val="-11"/>
          <w:w w:val="115"/>
        </w:rPr>
        <w:t> </w:t>
      </w:r>
      <w:r>
        <w:rPr>
          <w:color w:val="231F20"/>
          <w:w w:val="115"/>
        </w:rPr>
        <w:t>au</w:t>
      </w:r>
      <w:r>
        <w:rPr>
          <w:color w:val="231F20"/>
          <w:spacing w:val="-11"/>
          <w:w w:val="115"/>
        </w:rPr>
        <w:t> </w:t>
      </w:r>
      <w:r>
        <w:rPr>
          <w:color w:val="231F20"/>
          <w:w w:val="115"/>
        </w:rPr>
        <w:t>travail.</w:t>
      </w:r>
      <w:r>
        <w:rPr>
          <w:color w:val="231F20"/>
          <w:spacing w:val="-11"/>
          <w:w w:val="115"/>
        </w:rPr>
        <w:t> </w:t>
      </w:r>
      <w:r>
        <w:rPr>
          <w:color w:val="231F20"/>
          <w:w w:val="115"/>
        </w:rPr>
        <w:t>La</w:t>
      </w:r>
      <w:r>
        <w:rPr>
          <w:color w:val="231F20"/>
          <w:spacing w:val="-11"/>
          <w:w w:val="115"/>
        </w:rPr>
        <w:t> </w:t>
      </w:r>
      <w:r>
        <w:rPr>
          <w:color w:val="231F20"/>
          <w:w w:val="115"/>
        </w:rPr>
        <w:t>science</w:t>
      </w:r>
      <w:r>
        <w:rPr>
          <w:color w:val="231F20"/>
          <w:spacing w:val="-11"/>
          <w:w w:val="115"/>
        </w:rPr>
        <w:t> </w:t>
      </w:r>
      <w:r>
        <w:rPr>
          <w:color w:val="231F20"/>
          <w:w w:val="115"/>
        </w:rPr>
        <w:t>n’a</w:t>
      </w:r>
      <w:r>
        <w:rPr>
          <w:color w:val="231F20"/>
          <w:spacing w:val="-11"/>
          <w:w w:val="115"/>
        </w:rPr>
        <w:t> </w:t>
      </w:r>
      <w:r>
        <w:rPr>
          <w:color w:val="231F20"/>
          <w:w w:val="115"/>
        </w:rPr>
        <w:t>pas</w:t>
      </w:r>
      <w:r>
        <w:rPr>
          <w:color w:val="231F20"/>
          <w:spacing w:val="-11"/>
          <w:w w:val="115"/>
        </w:rPr>
        <w:t> </w:t>
      </w:r>
      <w:r>
        <w:rPr>
          <w:color w:val="231F20"/>
          <w:w w:val="115"/>
        </w:rPr>
        <w:t>réussi</w:t>
      </w:r>
      <w:r>
        <w:rPr>
          <w:color w:val="231F20"/>
          <w:spacing w:val="-11"/>
          <w:w w:val="115"/>
        </w:rPr>
        <w:t> </w:t>
      </w:r>
      <w:r>
        <w:rPr>
          <w:color w:val="231F20"/>
          <w:w w:val="115"/>
        </w:rPr>
        <w:t>à</w:t>
      </w:r>
      <w:r>
        <w:rPr>
          <w:color w:val="231F20"/>
          <w:spacing w:val="-11"/>
          <w:w w:val="115"/>
        </w:rPr>
        <w:t> </w:t>
      </w:r>
      <w:r>
        <w:rPr>
          <w:color w:val="231F20"/>
          <w:w w:val="115"/>
        </w:rPr>
        <w:t>démontrer</w:t>
      </w:r>
      <w:r>
        <w:rPr>
          <w:color w:val="231F20"/>
          <w:spacing w:val="-11"/>
          <w:w w:val="115"/>
        </w:rPr>
        <w:t> </w:t>
      </w:r>
      <w:r>
        <w:rPr>
          <w:color w:val="231F20"/>
          <w:w w:val="115"/>
        </w:rPr>
        <w:t>l’exis- </w:t>
      </w:r>
      <w:r>
        <w:rPr>
          <w:color w:val="231F20"/>
          <w:spacing w:val="-2"/>
          <w:w w:val="120"/>
        </w:rPr>
        <w:t>tence</w:t>
      </w:r>
      <w:r>
        <w:rPr>
          <w:color w:val="231F20"/>
          <w:spacing w:val="-11"/>
          <w:w w:val="120"/>
        </w:rPr>
        <w:t> </w:t>
      </w:r>
      <w:r>
        <w:rPr>
          <w:color w:val="231F20"/>
          <w:spacing w:val="-2"/>
          <w:w w:val="120"/>
        </w:rPr>
        <w:t>d’un</w:t>
      </w:r>
      <w:r>
        <w:rPr>
          <w:color w:val="231F20"/>
          <w:spacing w:val="-11"/>
          <w:w w:val="120"/>
        </w:rPr>
        <w:t> </w:t>
      </w:r>
      <w:r>
        <w:rPr>
          <w:color w:val="231F20"/>
          <w:spacing w:val="-2"/>
          <w:w w:val="120"/>
        </w:rPr>
        <w:t>lien</w:t>
      </w:r>
      <w:r>
        <w:rPr>
          <w:color w:val="231F20"/>
          <w:spacing w:val="-11"/>
          <w:w w:val="120"/>
        </w:rPr>
        <w:t> </w:t>
      </w:r>
      <w:r>
        <w:rPr>
          <w:color w:val="231F20"/>
          <w:spacing w:val="-2"/>
          <w:w w:val="120"/>
        </w:rPr>
        <w:t>direct</w:t>
      </w:r>
      <w:r>
        <w:rPr>
          <w:color w:val="231F20"/>
          <w:spacing w:val="-10"/>
          <w:w w:val="120"/>
        </w:rPr>
        <w:t> </w:t>
      </w:r>
      <w:r>
        <w:rPr>
          <w:color w:val="231F20"/>
          <w:spacing w:val="-2"/>
          <w:w w:val="120"/>
        </w:rPr>
        <w:t>entre</w:t>
      </w:r>
      <w:r>
        <w:rPr>
          <w:color w:val="231F20"/>
          <w:spacing w:val="-11"/>
          <w:w w:val="120"/>
        </w:rPr>
        <w:t> </w:t>
      </w:r>
      <w:r>
        <w:rPr>
          <w:color w:val="231F20"/>
          <w:spacing w:val="-2"/>
          <w:w w:val="120"/>
        </w:rPr>
        <w:t>le</w:t>
      </w:r>
      <w:r>
        <w:rPr>
          <w:color w:val="231F20"/>
          <w:spacing w:val="-11"/>
          <w:w w:val="120"/>
        </w:rPr>
        <w:t> </w:t>
      </w:r>
      <w:r>
        <w:rPr>
          <w:color w:val="231F20"/>
          <w:spacing w:val="-2"/>
          <w:w w:val="120"/>
        </w:rPr>
        <w:t>stress</w:t>
      </w:r>
      <w:r>
        <w:rPr>
          <w:color w:val="231F20"/>
          <w:spacing w:val="-11"/>
          <w:w w:val="120"/>
        </w:rPr>
        <w:t> </w:t>
      </w:r>
      <w:r>
        <w:rPr>
          <w:color w:val="231F20"/>
          <w:spacing w:val="-2"/>
          <w:w w:val="120"/>
        </w:rPr>
        <w:t>et</w:t>
      </w:r>
      <w:r>
        <w:rPr>
          <w:color w:val="231F20"/>
          <w:spacing w:val="-10"/>
          <w:w w:val="120"/>
        </w:rPr>
        <w:t> </w:t>
      </w:r>
      <w:r>
        <w:rPr>
          <w:color w:val="231F20"/>
          <w:spacing w:val="-2"/>
          <w:w w:val="120"/>
        </w:rPr>
        <w:t>toutes</w:t>
      </w:r>
      <w:r>
        <w:rPr>
          <w:color w:val="231F20"/>
          <w:spacing w:val="-11"/>
          <w:w w:val="120"/>
        </w:rPr>
        <w:t> </w:t>
      </w:r>
      <w:r>
        <w:rPr>
          <w:color w:val="231F20"/>
          <w:spacing w:val="-2"/>
          <w:w w:val="120"/>
        </w:rPr>
        <w:t>les</w:t>
      </w:r>
      <w:r>
        <w:rPr>
          <w:color w:val="231F20"/>
          <w:spacing w:val="-11"/>
          <w:w w:val="120"/>
        </w:rPr>
        <w:t> </w:t>
      </w:r>
      <w:r>
        <w:rPr>
          <w:color w:val="231F20"/>
          <w:spacing w:val="-2"/>
          <w:w w:val="120"/>
        </w:rPr>
        <w:t>maladies</w:t>
      </w:r>
      <w:r>
        <w:rPr>
          <w:color w:val="231F20"/>
          <w:spacing w:val="-11"/>
          <w:w w:val="120"/>
        </w:rPr>
        <w:t> </w:t>
      </w:r>
      <w:r>
        <w:rPr>
          <w:color w:val="231F20"/>
          <w:spacing w:val="-2"/>
          <w:w w:val="120"/>
        </w:rPr>
        <w:t>chez</w:t>
      </w:r>
      <w:r>
        <w:rPr>
          <w:color w:val="231F20"/>
          <w:spacing w:val="-10"/>
          <w:w w:val="120"/>
        </w:rPr>
        <w:t> </w:t>
      </w:r>
      <w:r>
        <w:rPr>
          <w:color w:val="231F20"/>
          <w:spacing w:val="-2"/>
          <w:w w:val="120"/>
        </w:rPr>
        <w:t>l’humain</w:t>
      </w:r>
      <w:r>
        <w:rPr>
          <w:color w:val="231F20"/>
          <w:spacing w:val="-11"/>
          <w:w w:val="120"/>
        </w:rPr>
        <w:t> </w:t>
      </w:r>
      <w:r>
        <w:rPr>
          <w:color w:val="231F20"/>
          <w:spacing w:val="-2"/>
          <w:w w:val="120"/>
        </w:rPr>
        <w:t>; cependant,</w:t>
      </w:r>
      <w:r>
        <w:rPr>
          <w:color w:val="231F20"/>
          <w:spacing w:val="-7"/>
          <w:w w:val="120"/>
        </w:rPr>
        <w:t> </w:t>
      </w:r>
      <w:r>
        <w:rPr>
          <w:color w:val="231F20"/>
          <w:spacing w:val="-2"/>
          <w:w w:val="120"/>
        </w:rPr>
        <w:t>comme</w:t>
      </w:r>
      <w:r>
        <w:rPr>
          <w:color w:val="231F20"/>
          <w:spacing w:val="-7"/>
          <w:w w:val="120"/>
        </w:rPr>
        <w:t> </w:t>
      </w:r>
      <w:r>
        <w:rPr>
          <w:color w:val="231F20"/>
          <w:spacing w:val="-2"/>
          <w:w w:val="120"/>
        </w:rPr>
        <w:t>nous</w:t>
      </w:r>
      <w:r>
        <w:rPr>
          <w:color w:val="231F20"/>
          <w:spacing w:val="-7"/>
          <w:w w:val="120"/>
        </w:rPr>
        <w:t> </w:t>
      </w:r>
      <w:r>
        <w:rPr>
          <w:color w:val="231F20"/>
          <w:spacing w:val="-2"/>
          <w:w w:val="120"/>
        </w:rPr>
        <w:t>le</w:t>
      </w:r>
      <w:r>
        <w:rPr>
          <w:color w:val="231F20"/>
          <w:spacing w:val="-7"/>
          <w:w w:val="120"/>
        </w:rPr>
        <w:t> </w:t>
      </w:r>
      <w:r>
        <w:rPr>
          <w:color w:val="231F20"/>
          <w:spacing w:val="-2"/>
          <w:w w:val="120"/>
        </w:rPr>
        <w:t>verrons</w:t>
      </w:r>
      <w:r>
        <w:rPr>
          <w:color w:val="231F20"/>
          <w:spacing w:val="-7"/>
          <w:w w:val="120"/>
        </w:rPr>
        <w:t> </w:t>
      </w:r>
      <w:r>
        <w:rPr>
          <w:color w:val="231F20"/>
          <w:spacing w:val="-2"/>
          <w:w w:val="120"/>
        </w:rPr>
        <w:t>ci-après,</w:t>
      </w:r>
      <w:r>
        <w:rPr>
          <w:color w:val="231F20"/>
          <w:spacing w:val="-7"/>
          <w:w w:val="120"/>
        </w:rPr>
        <w:t> </w:t>
      </w:r>
      <w:r>
        <w:rPr>
          <w:color w:val="231F20"/>
          <w:spacing w:val="-2"/>
          <w:w w:val="120"/>
        </w:rPr>
        <w:t>diverses</w:t>
      </w:r>
      <w:r>
        <w:rPr>
          <w:color w:val="231F20"/>
          <w:spacing w:val="-7"/>
          <w:w w:val="120"/>
        </w:rPr>
        <w:t> </w:t>
      </w:r>
      <w:r>
        <w:rPr>
          <w:color w:val="231F20"/>
          <w:spacing w:val="-2"/>
          <w:w w:val="120"/>
        </w:rPr>
        <w:t>théories</w:t>
      </w:r>
      <w:r>
        <w:rPr>
          <w:color w:val="231F20"/>
          <w:spacing w:val="-7"/>
          <w:w w:val="120"/>
        </w:rPr>
        <w:t> </w:t>
      </w:r>
      <w:r>
        <w:rPr>
          <w:color w:val="231F20"/>
          <w:spacing w:val="-2"/>
          <w:w w:val="120"/>
        </w:rPr>
        <w:t>et</w:t>
      </w:r>
      <w:r>
        <w:rPr>
          <w:color w:val="231F20"/>
          <w:spacing w:val="-7"/>
          <w:w w:val="120"/>
        </w:rPr>
        <w:t> </w:t>
      </w:r>
      <w:r>
        <w:rPr>
          <w:color w:val="231F20"/>
          <w:spacing w:val="-2"/>
          <w:w w:val="120"/>
        </w:rPr>
        <w:t>explica- tions</w:t>
      </w:r>
      <w:r>
        <w:rPr>
          <w:color w:val="231F20"/>
          <w:spacing w:val="-6"/>
          <w:w w:val="120"/>
        </w:rPr>
        <w:t> </w:t>
      </w:r>
      <w:r>
        <w:rPr>
          <w:color w:val="231F20"/>
          <w:spacing w:val="-2"/>
          <w:w w:val="120"/>
        </w:rPr>
        <w:t>scientifiques</w:t>
      </w:r>
      <w:r>
        <w:rPr>
          <w:color w:val="231F20"/>
          <w:spacing w:val="-6"/>
          <w:w w:val="120"/>
        </w:rPr>
        <w:t> </w:t>
      </w:r>
      <w:r>
        <w:rPr>
          <w:color w:val="231F20"/>
          <w:spacing w:val="-2"/>
          <w:w w:val="120"/>
        </w:rPr>
        <w:t>reposent</w:t>
      </w:r>
      <w:r>
        <w:rPr>
          <w:color w:val="231F20"/>
          <w:spacing w:val="-6"/>
          <w:w w:val="120"/>
        </w:rPr>
        <w:t> </w:t>
      </w:r>
      <w:r>
        <w:rPr>
          <w:color w:val="231F20"/>
          <w:spacing w:val="-2"/>
          <w:w w:val="120"/>
        </w:rPr>
        <w:t>sur</w:t>
      </w:r>
      <w:r>
        <w:rPr>
          <w:color w:val="231F20"/>
          <w:spacing w:val="-6"/>
          <w:w w:val="120"/>
        </w:rPr>
        <w:t> </w:t>
      </w:r>
      <w:r>
        <w:rPr>
          <w:color w:val="231F20"/>
          <w:spacing w:val="-2"/>
          <w:w w:val="120"/>
        </w:rPr>
        <w:t>l’hypothèse</w:t>
      </w:r>
      <w:r>
        <w:rPr>
          <w:color w:val="231F20"/>
          <w:spacing w:val="-6"/>
          <w:w w:val="120"/>
        </w:rPr>
        <w:t> </w:t>
      </w:r>
      <w:r>
        <w:rPr>
          <w:color w:val="231F20"/>
          <w:spacing w:val="-2"/>
          <w:w w:val="120"/>
        </w:rPr>
        <w:t>voulant</w:t>
      </w:r>
      <w:r>
        <w:rPr>
          <w:color w:val="231F20"/>
          <w:spacing w:val="-6"/>
          <w:w w:val="120"/>
        </w:rPr>
        <w:t> </w:t>
      </w:r>
      <w:r>
        <w:rPr>
          <w:color w:val="231F20"/>
          <w:spacing w:val="-2"/>
          <w:w w:val="120"/>
        </w:rPr>
        <w:t>qu’il</w:t>
      </w:r>
      <w:r>
        <w:rPr>
          <w:color w:val="231F20"/>
          <w:spacing w:val="-6"/>
          <w:w w:val="120"/>
        </w:rPr>
        <w:t> </w:t>
      </w:r>
      <w:r>
        <w:rPr>
          <w:color w:val="231F20"/>
          <w:spacing w:val="-2"/>
          <w:w w:val="120"/>
        </w:rPr>
        <w:t>existe</w:t>
      </w:r>
      <w:r>
        <w:rPr>
          <w:color w:val="231F20"/>
          <w:spacing w:val="-6"/>
          <w:w w:val="120"/>
        </w:rPr>
        <w:t> </w:t>
      </w:r>
      <w:r>
        <w:rPr>
          <w:color w:val="231F20"/>
          <w:spacing w:val="-2"/>
          <w:w w:val="120"/>
        </w:rPr>
        <w:t>des</w:t>
      </w:r>
      <w:r>
        <w:rPr>
          <w:color w:val="231F20"/>
          <w:spacing w:val="-6"/>
          <w:w w:val="120"/>
        </w:rPr>
        <w:t> </w:t>
      </w:r>
      <w:r>
        <w:rPr>
          <w:color w:val="231F20"/>
          <w:spacing w:val="-2"/>
          <w:w w:val="120"/>
        </w:rPr>
        <w:t>rela- </w:t>
      </w:r>
      <w:r>
        <w:rPr>
          <w:color w:val="231F20"/>
          <w:w w:val="120"/>
        </w:rPr>
        <w:t>tions</w:t>
      </w:r>
      <w:r>
        <w:rPr>
          <w:color w:val="231F20"/>
          <w:spacing w:val="-9"/>
          <w:w w:val="120"/>
        </w:rPr>
        <w:t> </w:t>
      </w:r>
      <w:r>
        <w:rPr>
          <w:color w:val="231F20"/>
          <w:w w:val="120"/>
        </w:rPr>
        <w:t>entre</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et</w:t>
      </w:r>
      <w:r>
        <w:rPr>
          <w:color w:val="231F20"/>
          <w:spacing w:val="-9"/>
          <w:w w:val="120"/>
        </w:rPr>
        <w:t> </w:t>
      </w:r>
      <w:r>
        <w:rPr>
          <w:color w:val="231F20"/>
          <w:w w:val="120"/>
        </w:rPr>
        <w:t>la</w:t>
      </w:r>
      <w:r>
        <w:rPr>
          <w:color w:val="231F20"/>
          <w:spacing w:val="-9"/>
          <w:w w:val="120"/>
        </w:rPr>
        <w:t> </w:t>
      </w:r>
      <w:r>
        <w:rPr>
          <w:color w:val="231F20"/>
          <w:w w:val="120"/>
        </w:rPr>
        <w:t>maladie.</w:t>
      </w:r>
      <w:r>
        <w:rPr>
          <w:color w:val="231F20"/>
          <w:spacing w:val="-9"/>
          <w:w w:val="120"/>
        </w:rPr>
        <w:t> </w:t>
      </w:r>
      <w:r>
        <w:rPr>
          <w:color w:val="231F20"/>
          <w:w w:val="120"/>
        </w:rPr>
        <w:t>Sur</w:t>
      </w:r>
      <w:r>
        <w:rPr>
          <w:color w:val="231F20"/>
          <w:spacing w:val="-9"/>
          <w:w w:val="120"/>
        </w:rPr>
        <w:t> </w:t>
      </w:r>
      <w:r>
        <w:rPr>
          <w:color w:val="231F20"/>
          <w:w w:val="120"/>
        </w:rPr>
        <w:t>la</w:t>
      </w:r>
      <w:r>
        <w:rPr>
          <w:color w:val="231F20"/>
          <w:spacing w:val="-9"/>
          <w:w w:val="120"/>
        </w:rPr>
        <w:t> </w:t>
      </w:r>
      <w:r>
        <w:rPr>
          <w:color w:val="231F20"/>
          <w:w w:val="120"/>
        </w:rPr>
        <w:t>base</w:t>
      </w:r>
      <w:r>
        <w:rPr>
          <w:color w:val="231F20"/>
          <w:spacing w:val="-9"/>
          <w:w w:val="120"/>
        </w:rPr>
        <w:t> </w:t>
      </w:r>
      <w:r>
        <w:rPr>
          <w:color w:val="231F20"/>
          <w:w w:val="120"/>
        </w:rPr>
        <w:t>des</w:t>
      </w:r>
      <w:r>
        <w:rPr>
          <w:color w:val="231F20"/>
          <w:spacing w:val="-9"/>
          <w:w w:val="120"/>
        </w:rPr>
        <w:t> </w:t>
      </w:r>
      <w:r>
        <w:rPr>
          <w:color w:val="231F20"/>
          <w:w w:val="120"/>
        </w:rPr>
        <w:t>milliers</w:t>
      </w:r>
      <w:r>
        <w:rPr>
          <w:color w:val="231F20"/>
          <w:spacing w:val="-9"/>
          <w:w w:val="120"/>
        </w:rPr>
        <w:t> </w:t>
      </w:r>
      <w:r>
        <w:rPr>
          <w:color w:val="231F20"/>
          <w:w w:val="120"/>
        </w:rPr>
        <w:t>de</w:t>
      </w:r>
      <w:r>
        <w:rPr>
          <w:color w:val="231F20"/>
          <w:spacing w:val="-9"/>
          <w:w w:val="120"/>
        </w:rPr>
        <w:t> </w:t>
      </w:r>
      <w:r>
        <w:rPr>
          <w:color w:val="231F20"/>
          <w:w w:val="120"/>
        </w:rPr>
        <w:t>documents et</w:t>
      </w:r>
      <w:r>
        <w:rPr>
          <w:color w:val="231F20"/>
          <w:spacing w:val="-12"/>
          <w:w w:val="120"/>
        </w:rPr>
        <w:t> </w:t>
      </w:r>
      <w:r>
        <w:rPr>
          <w:color w:val="231F20"/>
          <w:w w:val="120"/>
        </w:rPr>
        <w:t>d’articles</w:t>
      </w:r>
      <w:r>
        <w:rPr>
          <w:color w:val="231F20"/>
          <w:spacing w:val="-12"/>
          <w:w w:val="120"/>
        </w:rPr>
        <w:t> </w:t>
      </w:r>
      <w:r>
        <w:rPr>
          <w:color w:val="231F20"/>
          <w:w w:val="120"/>
        </w:rPr>
        <w:t>scientifiques</w:t>
      </w:r>
      <w:r>
        <w:rPr>
          <w:color w:val="231F20"/>
          <w:spacing w:val="-12"/>
          <w:w w:val="120"/>
        </w:rPr>
        <w:t> </w:t>
      </w:r>
      <w:r>
        <w:rPr>
          <w:color w:val="231F20"/>
          <w:w w:val="120"/>
        </w:rPr>
        <w:t>publiés</w:t>
      </w:r>
      <w:r>
        <w:rPr>
          <w:color w:val="231F20"/>
          <w:spacing w:val="-12"/>
          <w:w w:val="120"/>
        </w:rPr>
        <w:t> </w:t>
      </w:r>
      <w:r>
        <w:rPr>
          <w:color w:val="231F20"/>
          <w:w w:val="120"/>
        </w:rPr>
        <w:t>dans</w:t>
      </w:r>
      <w:r>
        <w:rPr>
          <w:color w:val="231F20"/>
          <w:spacing w:val="-12"/>
          <w:w w:val="120"/>
        </w:rPr>
        <w:t> </w:t>
      </w:r>
      <w:r>
        <w:rPr>
          <w:color w:val="231F20"/>
          <w:w w:val="120"/>
        </w:rPr>
        <w:t>une</w:t>
      </w:r>
      <w:r>
        <w:rPr>
          <w:color w:val="231F20"/>
          <w:spacing w:val="-12"/>
          <w:w w:val="120"/>
        </w:rPr>
        <w:t> </w:t>
      </w:r>
      <w:r>
        <w:rPr>
          <w:color w:val="231F20"/>
          <w:w w:val="120"/>
        </w:rPr>
        <w:t>diversité</w:t>
      </w:r>
      <w:r>
        <w:rPr>
          <w:color w:val="231F20"/>
          <w:spacing w:val="-12"/>
          <w:w w:val="120"/>
        </w:rPr>
        <w:t> </w:t>
      </w:r>
      <w:r>
        <w:rPr>
          <w:color w:val="231F20"/>
          <w:w w:val="120"/>
        </w:rPr>
        <w:t>de</w:t>
      </w:r>
      <w:r>
        <w:rPr>
          <w:color w:val="231F20"/>
          <w:spacing w:val="-12"/>
          <w:w w:val="120"/>
        </w:rPr>
        <w:t> </w:t>
      </w:r>
      <w:r>
        <w:rPr>
          <w:color w:val="231F20"/>
          <w:w w:val="120"/>
        </w:rPr>
        <w:t>revues,</w:t>
      </w:r>
      <w:r>
        <w:rPr>
          <w:color w:val="231F20"/>
          <w:spacing w:val="-12"/>
          <w:w w:val="120"/>
        </w:rPr>
        <w:t> </w:t>
      </w:r>
      <w:r>
        <w:rPr>
          <w:color w:val="231F20"/>
          <w:w w:val="120"/>
        </w:rPr>
        <w:t>de</w:t>
      </w:r>
      <w:r>
        <w:rPr>
          <w:color w:val="231F20"/>
          <w:spacing w:val="-12"/>
          <w:w w:val="120"/>
        </w:rPr>
        <w:t> </w:t>
      </w:r>
      <w:r>
        <w:rPr>
          <w:color w:val="231F20"/>
          <w:w w:val="120"/>
        </w:rPr>
        <w:t>disci- plines</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lieux</w:t>
      </w:r>
      <w:r>
        <w:rPr>
          <w:color w:val="231F20"/>
          <w:spacing w:val="-12"/>
          <w:w w:val="120"/>
        </w:rPr>
        <w:t> </w:t>
      </w:r>
      <w:r>
        <w:rPr>
          <w:color w:val="231F20"/>
          <w:w w:val="120"/>
        </w:rPr>
        <w:t>géographiques</w:t>
      </w:r>
      <w:r>
        <w:rPr>
          <w:color w:val="231F20"/>
          <w:spacing w:val="-7"/>
          <w:w w:val="120"/>
        </w:rPr>
        <w:t> </w:t>
      </w:r>
      <w:r>
        <w:rPr>
          <w:color w:val="231F20"/>
          <w:w w:val="120"/>
        </w:rPr>
        <w:t>variés,</w:t>
      </w:r>
      <w:r>
        <w:rPr>
          <w:color w:val="231F20"/>
          <w:spacing w:val="-8"/>
          <w:w w:val="120"/>
        </w:rPr>
        <w:t> </w:t>
      </w:r>
      <w:r>
        <w:rPr>
          <w:color w:val="231F20"/>
          <w:w w:val="120"/>
        </w:rPr>
        <w:t>on</w:t>
      </w:r>
      <w:r>
        <w:rPr>
          <w:color w:val="231F20"/>
          <w:spacing w:val="-8"/>
          <w:w w:val="120"/>
        </w:rPr>
        <w:t> </w:t>
      </w:r>
      <w:r>
        <w:rPr>
          <w:color w:val="231F20"/>
          <w:w w:val="120"/>
        </w:rPr>
        <w:t>peut</w:t>
      </w:r>
      <w:r>
        <w:rPr>
          <w:color w:val="231F20"/>
          <w:spacing w:val="-8"/>
          <w:w w:val="120"/>
        </w:rPr>
        <w:t> </w:t>
      </w:r>
      <w:r>
        <w:rPr>
          <w:color w:val="231F20"/>
          <w:w w:val="120"/>
        </w:rPr>
        <w:t>conclure</w:t>
      </w:r>
      <w:r>
        <w:rPr>
          <w:color w:val="231F20"/>
          <w:spacing w:val="-8"/>
          <w:w w:val="120"/>
        </w:rPr>
        <w:t> </w:t>
      </w:r>
      <w:r>
        <w:rPr>
          <w:color w:val="231F20"/>
          <w:w w:val="120"/>
        </w:rPr>
        <w:t>que</w:t>
      </w:r>
      <w:r>
        <w:rPr>
          <w:color w:val="231F20"/>
          <w:spacing w:val="-8"/>
          <w:w w:val="120"/>
        </w:rPr>
        <w:t> </w:t>
      </w:r>
      <w:r>
        <w:rPr>
          <w:color w:val="231F20"/>
          <w:w w:val="120"/>
        </w:rPr>
        <w:t>de</w:t>
      </w:r>
      <w:r>
        <w:rPr>
          <w:color w:val="231F20"/>
          <w:spacing w:val="-8"/>
          <w:w w:val="120"/>
        </w:rPr>
        <w:t> </w:t>
      </w:r>
      <w:r>
        <w:rPr>
          <w:color w:val="231F20"/>
          <w:w w:val="120"/>
        </w:rPr>
        <w:t>70</w:t>
      </w:r>
      <w:r>
        <w:rPr>
          <w:color w:val="231F20"/>
          <w:spacing w:val="-13"/>
          <w:w w:val="120"/>
        </w:rPr>
        <w:t> </w:t>
      </w:r>
      <w:r>
        <w:rPr>
          <w:color w:val="231F20"/>
          <w:w w:val="120"/>
        </w:rPr>
        <w:t>%</w:t>
      </w:r>
      <w:r>
        <w:rPr>
          <w:color w:val="231F20"/>
          <w:spacing w:val="-7"/>
          <w:w w:val="120"/>
        </w:rPr>
        <w:t> </w:t>
      </w:r>
      <w:r>
        <w:rPr>
          <w:color w:val="231F20"/>
          <w:w w:val="120"/>
        </w:rPr>
        <w:t>à 80</w:t>
      </w:r>
      <w:r>
        <w:rPr>
          <w:color w:val="231F20"/>
          <w:spacing w:val="-13"/>
          <w:w w:val="120"/>
        </w:rPr>
        <w:t> </w:t>
      </w:r>
      <w:r>
        <w:rPr>
          <w:color w:val="231F20"/>
          <w:w w:val="120"/>
        </w:rPr>
        <w:t>%</w:t>
      </w:r>
      <w:r>
        <w:rPr>
          <w:color w:val="231F20"/>
          <w:spacing w:val="-13"/>
          <w:w w:val="120"/>
        </w:rPr>
        <w:t> </w:t>
      </w:r>
      <w:r>
        <w:rPr>
          <w:color w:val="231F20"/>
          <w:w w:val="120"/>
        </w:rPr>
        <w:t>des</w:t>
      </w:r>
      <w:r>
        <w:rPr>
          <w:color w:val="231F20"/>
          <w:spacing w:val="-13"/>
          <w:w w:val="120"/>
        </w:rPr>
        <w:t> </w:t>
      </w:r>
      <w:r>
        <w:rPr>
          <w:color w:val="231F20"/>
          <w:w w:val="120"/>
        </w:rPr>
        <w:t>problèmes</w:t>
      </w:r>
      <w:r>
        <w:rPr>
          <w:color w:val="231F20"/>
          <w:spacing w:val="-9"/>
          <w:w w:val="120"/>
        </w:rPr>
        <w:t> </w:t>
      </w:r>
      <w:r>
        <w:rPr>
          <w:color w:val="231F20"/>
          <w:w w:val="120"/>
        </w:rPr>
        <w:t>de</w:t>
      </w:r>
      <w:r>
        <w:rPr>
          <w:color w:val="231F20"/>
          <w:spacing w:val="-5"/>
          <w:w w:val="120"/>
        </w:rPr>
        <w:t> </w:t>
      </w:r>
      <w:r>
        <w:rPr>
          <w:color w:val="231F20"/>
          <w:w w:val="120"/>
        </w:rPr>
        <w:t>santé</w:t>
      </w:r>
      <w:r>
        <w:rPr>
          <w:color w:val="231F20"/>
          <w:spacing w:val="-5"/>
          <w:w w:val="120"/>
        </w:rPr>
        <w:t> </w:t>
      </w:r>
      <w:r>
        <w:rPr>
          <w:color w:val="231F20"/>
          <w:w w:val="120"/>
        </w:rPr>
        <w:t>peuvent</w:t>
      </w:r>
      <w:r>
        <w:rPr>
          <w:color w:val="231F20"/>
          <w:spacing w:val="-5"/>
          <w:w w:val="120"/>
        </w:rPr>
        <w:t> </w:t>
      </w:r>
      <w:r>
        <w:rPr>
          <w:color w:val="231F20"/>
          <w:w w:val="120"/>
        </w:rPr>
        <w:t>être</w:t>
      </w:r>
      <w:r>
        <w:rPr>
          <w:color w:val="231F20"/>
          <w:spacing w:val="-5"/>
          <w:w w:val="120"/>
        </w:rPr>
        <w:t> </w:t>
      </w:r>
      <w:r>
        <w:rPr>
          <w:color w:val="231F20"/>
          <w:w w:val="120"/>
        </w:rPr>
        <w:t>précipités</w:t>
      </w:r>
      <w:r>
        <w:rPr>
          <w:color w:val="231F20"/>
          <w:spacing w:val="-5"/>
          <w:w w:val="120"/>
        </w:rPr>
        <w:t> </w:t>
      </w:r>
      <w:r>
        <w:rPr>
          <w:color w:val="231F20"/>
          <w:w w:val="120"/>
        </w:rPr>
        <w:t>ou</w:t>
      </w:r>
      <w:r>
        <w:rPr>
          <w:color w:val="231F20"/>
          <w:spacing w:val="-5"/>
          <w:w w:val="120"/>
        </w:rPr>
        <w:t> </w:t>
      </w:r>
      <w:r>
        <w:rPr>
          <w:color w:val="231F20"/>
          <w:w w:val="120"/>
        </w:rPr>
        <w:t>aggravés</w:t>
      </w:r>
      <w:r>
        <w:rPr>
          <w:color w:val="231F20"/>
          <w:spacing w:val="-5"/>
          <w:w w:val="120"/>
        </w:rPr>
        <w:t> </w:t>
      </w:r>
      <w:r>
        <w:rPr>
          <w:color w:val="231F20"/>
          <w:w w:val="120"/>
        </w:rPr>
        <w:t>par</w:t>
      </w:r>
      <w:r>
        <w:rPr>
          <w:color w:val="231F20"/>
          <w:spacing w:val="-5"/>
          <w:w w:val="120"/>
        </w:rPr>
        <w:t> </w:t>
      </w:r>
      <w:r>
        <w:rPr>
          <w:color w:val="231F20"/>
          <w:w w:val="120"/>
        </w:rPr>
        <w:t>le stress.</w:t>
      </w:r>
      <w:r>
        <w:rPr>
          <w:color w:val="231F20"/>
          <w:spacing w:val="-12"/>
          <w:w w:val="120"/>
        </w:rPr>
        <w:t> </w:t>
      </w:r>
      <w:r>
        <w:rPr>
          <w:color w:val="231F20"/>
          <w:w w:val="120"/>
        </w:rPr>
        <w:t>Les</w:t>
      </w:r>
      <w:r>
        <w:rPr>
          <w:color w:val="231F20"/>
          <w:spacing w:val="-12"/>
          <w:w w:val="120"/>
        </w:rPr>
        <w:t> </w:t>
      </w:r>
      <w:r>
        <w:rPr>
          <w:color w:val="231F20"/>
          <w:w w:val="120"/>
        </w:rPr>
        <w:t>études</w:t>
      </w:r>
      <w:r>
        <w:rPr>
          <w:color w:val="231F20"/>
          <w:spacing w:val="-12"/>
          <w:w w:val="120"/>
        </w:rPr>
        <w:t> </w:t>
      </w:r>
      <w:r>
        <w:rPr>
          <w:color w:val="231F20"/>
          <w:w w:val="120"/>
        </w:rPr>
        <w:t>sur</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et</w:t>
      </w:r>
      <w:r>
        <w:rPr>
          <w:color w:val="231F20"/>
          <w:spacing w:val="-12"/>
          <w:w w:val="120"/>
        </w:rPr>
        <w:t> </w:t>
      </w:r>
      <w:r>
        <w:rPr>
          <w:color w:val="231F20"/>
          <w:w w:val="120"/>
        </w:rPr>
        <w:t>la</w:t>
      </w:r>
      <w:r>
        <w:rPr>
          <w:color w:val="231F20"/>
          <w:spacing w:val="-12"/>
          <w:w w:val="120"/>
        </w:rPr>
        <w:t> </w:t>
      </w:r>
      <w:r>
        <w:rPr>
          <w:color w:val="231F20"/>
          <w:w w:val="120"/>
        </w:rPr>
        <w:t>maladie</w:t>
      </w:r>
      <w:r>
        <w:rPr>
          <w:color w:val="231F20"/>
          <w:spacing w:val="-12"/>
          <w:w w:val="120"/>
        </w:rPr>
        <w:t> </w:t>
      </w:r>
      <w:r>
        <w:rPr>
          <w:color w:val="231F20"/>
          <w:w w:val="120"/>
        </w:rPr>
        <w:t>en</w:t>
      </w:r>
      <w:r>
        <w:rPr>
          <w:color w:val="231F20"/>
          <w:spacing w:val="-12"/>
          <w:w w:val="120"/>
        </w:rPr>
        <w:t> </w:t>
      </w:r>
      <w:r>
        <w:rPr>
          <w:color w:val="231F20"/>
          <w:w w:val="120"/>
        </w:rPr>
        <w:t>général</w:t>
      </w:r>
      <w:r>
        <w:rPr>
          <w:color w:val="231F20"/>
          <w:spacing w:val="-12"/>
          <w:w w:val="120"/>
        </w:rPr>
        <w:t> </w:t>
      </w:r>
      <w:r>
        <w:rPr>
          <w:color w:val="231F20"/>
          <w:w w:val="120"/>
        </w:rPr>
        <w:t>portent</w:t>
      </w:r>
      <w:r>
        <w:rPr>
          <w:color w:val="231F20"/>
          <w:spacing w:val="-12"/>
          <w:w w:val="120"/>
        </w:rPr>
        <w:t> </w:t>
      </w:r>
      <w:r>
        <w:rPr>
          <w:color w:val="231F20"/>
          <w:w w:val="120"/>
        </w:rPr>
        <w:t>générale- ment sur quatre sous-systèmes</w:t>
      </w:r>
      <w:r>
        <w:rPr>
          <w:color w:val="231F20"/>
          <w:spacing w:val="-13"/>
          <w:w w:val="120"/>
        </w:rPr>
        <w:t> </w:t>
      </w:r>
      <w:r>
        <w:rPr>
          <w:color w:val="231F20"/>
          <w:w w:val="120"/>
        </w:rPr>
        <w:t>: le système endocrinien, le système immunitaire et le système nerveux, sans oublier le système musculo- squelettique.</w:t>
      </w:r>
      <w:r>
        <w:rPr>
          <w:color w:val="231F20"/>
          <w:spacing w:val="-7"/>
          <w:w w:val="120"/>
        </w:rPr>
        <w:t> </w:t>
      </w:r>
      <w:r>
        <w:rPr>
          <w:color w:val="231F20"/>
          <w:w w:val="120"/>
        </w:rPr>
        <w:t>La</w:t>
      </w:r>
      <w:r>
        <w:rPr>
          <w:color w:val="231F20"/>
          <w:spacing w:val="-7"/>
          <w:w w:val="120"/>
        </w:rPr>
        <w:t> </w:t>
      </w:r>
      <w:r>
        <w:rPr>
          <w:color w:val="231F20"/>
          <w:w w:val="120"/>
        </w:rPr>
        <w:t>figure</w:t>
      </w:r>
      <w:r>
        <w:rPr>
          <w:color w:val="231F20"/>
          <w:spacing w:val="-7"/>
          <w:w w:val="120"/>
        </w:rPr>
        <w:t> </w:t>
      </w:r>
      <w:r>
        <w:rPr>
          <w:color w:val="231F20"/>
          <w:w w:val="120"/>
        </w:rPr>
        <w:t>3.7</w:t>
      </w:r>
      <w:r>
        <w:rPr>
          <w:color w:val="231F20"/>
          <w:spacing w:val="-7"/>
          <w:w w:val="120"/>
        </w:rPr>
        <w:t> </w:t>
      </w:r>
      <w:r>
        <w:rPr>
          <w:color w:val="231F20"/>
          <w:w w:val="120"/>
        </w:rPr>
        <w:t>présente</w:t>
      </w:r>
      <w:r>
        <w:rPr>
          <w:color w:val="231F20"/>
          <w:spacing w:val="-7"/>
          <w:w w:val="120"/>
        </w:rPr>
        <w:t> </w:t>
      </w:r>
      <w:r>
        <w:rPr>
          <w:color w:val="231F20"/>
          <w:w w:val="120"/>
        </w:rPr>
        <w:t>une</w:t>
      </w:r>
      <w:r>
        <w:rPr>
          <w:color w:val="231F20"/>
          <w:spacing w:val="-7"/>
          <w:w w:val="120"/>
        </w:rPr>
        <w:t> </w:t>
      </w:r>
      <w:r>
        <w:rPr>
          <w:color w:val="231F20"/>
          <w:w w:val="120"/>
        </w:rPr>
        <w:t>synthèse</w:t>
      </w:r>
      <w:r>
        <w:rPr>
          <w:color w:val="231F20"/>
          <w:spacing w:val="-7"/>
          <w:w w:val="120"/>
        </w:rPr>
        <w:t> </w:t>
      </w:r>
      <w:r>
        <w:rPr>
          <w:color w:val="231F20"/>
          <w:w w:val="120"/>
        </w:rPr>
        <w:t>de</w:t>
      </w:r>
      <w:r>
        <w:rPr>
          <w:color w:val="231F20"/>
          <w:spacing w:val="-7"/>
          <w:w w:val="120"/>
        </w:rPr>
        <w:t> </w:t>
      </w:r>
      <w:r>
        <w:rPr>
          <w:color w:val="231F20"/>
          <w:w w:val="120"/>
        </w:rPr>
        <w:t>l’état</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science quant aux liens entre le stress et certaines maladies particulières.</w:t>
      </w:r>
    </w:p>
    <w:p>
      <w:pPr>
        <w:pStyle w:val="BodyText"/>
        <w:spacing w:before="4"/>
        <w:rPr>
          <w:sz w:val="11"/>
        </w:rPr>
      </w:pPr>
      <w:r>
        <w:rPr/>
        <w:pict>
          <v:group style="position:absolute;margin-left:82pt;margin-top:7.724463pt;width:287.5pt;height:281.25pt;mso-position-horizontal-relative:page;mso-position-vertical-relative:paragraph;z-index:-15669760;mso-wrap-distance-left:0;mso-wrap-distance-right:0" id="docshapegroup750" coordorigin="1640,154" coordsize="5750,5625">
            <v:shape style="position:absolute;left:1640;top:154;width:5750;height:5625" id="docshape751" coordorigin="1640,154" coordsize="5750,5625" path="m7390,154l1640,154,1640,699,1640,859,1640,5109,1640,5219,1640,5779,7390,5779,7390,5219,7390,5109,7390,859,7390,699,7390,154xe" filled="true" fillcolor="#e2e3e4" stroked="false">
              <v:path arrowok="t"/>
              <v:fill type="solid"/>
            </v:shape>
            <v:line style="position:absolute" from="1890,5107" to="7140,5107" stroked="true" strokeweight=".25pt" strokecolor="#231f20">
              <v:stroke dashstyle="shortdot"/>
            </v:line>
            <v:shape style="position:absolute;left:1890;top:773;width:5250;height:4166" type="#_x0000_t75" id="docshape752" stroked="false">
              <v:imagedata r:id="rId215" o:title=""/>
            </v:shape>
            <v:shape style="position:absolute;left:1640;top:154;width:5750;height:5625" type="#_x0000_t202" id="docshape753" filled="false" stroked="false">
              <v:textbox inset="0,0,0,0">
                <w:txbxContent>
                  <w:p>
                    <w:pPr>
                      <w:spacing w:line="240" w:lineRule="auto" w:before="9"/>
                      <w:rPr>
                        <w:sz w:val="18"/>
                      </w:rPr>
                    </w:pPr>
                  </w:p>
                  <w:p>
                    <w:pPr>
                      <w:spacing w:before="0"/>
                      <w:ind w:left="250" w:right="0" w:firstLine="0"/>
                      <w:jc w:val="left"/>
                      <w:rPr>
                        <w:rFonts w:ascii="Arial"/>
                        <w:b/>
                        <w:sz w:val="17"/>
                      </w:rPr>
                    </w:pPr>
                    <w:r>
                      <w:rPr>
                        <w:rFonts w:ascii="Arial"/>
                        <w:color w:val="231F20"/>
                        <w:w w:val="95"/>
                        <w:sz w:val="17"/>
                      </w:rPr>
                      <w:t>Figure</w:t>
                    </w:r>
                    <w:r>
                      <w:rPr>
                        <w:rFonts w:ascii="Arial"/>
                        <w:color w:val="231F20"/>
                        <w:sz w:val="17"/>
                      </w:rPr>
                      <w:t> </w:t>
                    </w:r>
                    <w:r>
                      <w:rPr>
                        <w:rFonts w:ascii="Arial"/>
                        <w:color w:val="231F20"/>
                        <w:w w:val="95"/>
                        <w:sz w:val="17"/>
                      </w:rPr>
                      <w:t>3.7</w:t>
                    </w:r>
                    <w:r>
                      <w:rPr>
                        <w:rFonts w:ascii="Arial"/>
                        <w:color w:val="231F20"/>
                        <w:spacing w:val="-9"/>
                        <w:w w:val="95"/>
                        <w:sz w:val="17"/>
                      </w:rPr>
                      <w:t> </w:t>
                    </w:r>
                    <w:r>
                      <w:rPr>
                        <w:rFonts w:ascii="Arial"/>
                        <w:i/>
                        <w:color w:val="231F20"/>
                        <w:w w:val="95"/>
                        <w:sz w:val="17"/>
                      </w:rPr>
                      <w:t>/</w:t>
                    </w:r>
                    <w:r>
                      <w:rPr>
                        <w:rFonts w:ascii="Arial"/>
                        <w:i/>
                        <w:color w:val="231F20"/>
                        <w:spacing w:val="48"/>
                        <w:sz w:val="17"/>
                      </w:rPr>
                      <w:t> </w:t>
                    </w:r>
                    <w:r>
                      <w:rPr>
                        <w:rFonts w:ascii="Arial"/>
                        <w:b/>
                        <w:color w:val="231F20"/>
                        <w:w w:val="95"/>
                        <w:sz w:val="17"/>
                      </w:rPr>
                      <w:t>Liens</w:t>
                    </w:r>
                    <w:r>
                      <w:rPr>
                        <w:rFonts w:ascii="Arial"/>
                        <w:b/>
                        <w:color w:val="231F20"/>
                        <w:spacing w:val="-3"/>
                        <w:w w:val="95"/>
                        <w:sz w:val="17"/>
                      </w:rPr>
                      <w:t> </w:t>
                    </w:r>
                    <w:r>
                      <w:rPr>
                        <w:rFonts w:ascii="Arial"/>
                        <w:b/>
                        <w:color w:val="231F20"/>
                        <w:w w:val="95"/>
                        <w:sz w:val="17"/>
                      </w:rPr>
                      <w:t>entre</w:t>
                    </w:r>
                    <w:r>
                      <w:rPr>
                        <w:rFonts w:ascii="Arial"/>
                        <w:b/>
                        <w:color w:val="231F20"/>
                        <w:spacing w:val="-2"/>
                        <w:w w:val="95"/>
                        <w:sz w:val="17"/>
                      </w:rPr>
                      <w:t> </w:t>
                    </w:r>
                    <w:r>
                      <w:rPr>
                        <w:rFonts w:ascii="Arial"/>
                        <w:b/>
                        <w:color w:val="231F20"/>
                        <w:w w:val="95"/>
                        <w:sz w:val="17"/>
                      </w:rPr>
                      <w:t>le</w:t>
                    </w:r>
                    <w:r>
                      <w:rPr>
                        <w:rFonts w:ascii="Arial"/>
                        <w:b/>
                        <w:color w:val="231F20"/>
                        <w:spacing w:val="-3"/>
                        <w:w w:val="95"/>
                        <w:sz w:val="17"/>
                      </w:rPr>
                      <w:t> </w:t>
                    </w:r>
                    <w:r>
                      <w:rPr>
                        <w:rFonts w:ascii="Arial"/>
                        <w:b/>
                        <w:color w:val="231F20"/>
                        <w:w w:val="95"/>
                        <w:sz w:val="17"/>
                      </w:rPr>
                      <w:t>stress</w:t>
                    </w:r>
                    <w:r>
                      <w:rPr>
                        <w:rFonts w:ascii="Arial"/>
                        <w:b/>
                        <w:color w:val="231F20"/>
                        <w:spacing w:val="-3"/>
                        <w:w w:val="95"/>
                        <w:sz w:val="17"/>
                      </w:rPr>
                      <w:t> </w:t>
                    </w:r>
                    <w:r>
                      <w:rPr>
                        <w:rFonts w:ascii="Arial"/>
                        <w:b/>
                        <w:color w:val="231F20"/>
                        <w:w w:val="95"/>
                        <w:sz w:val="17"/>
                      </w:rPr>
                      <w:t>et</w:t>
                    </w:r>
                    <w:r>
                      <w:rPr>
                        <w:rFonts w:ascii="Arial"/>
                        <w:b/>
                        <w:color w:val="231F20"/>
                        <w:spacing w:val="-2"/>
                        <w:w w:val="95"/>
                        <w:sz w:val="17"/>
                      </w:rPr>
                      <w:t> </w:t>
                    </w:r>
                    <w:r>
                      <w:rPr>
                        <w:rFonts w:ascii="Arial"/>
                        <w:b/>
                        <w:color w:val="231F20"/>
                        <w:w w:val="95"/>
                        <w:sz w:val="17"/>
                      </w:rPr>
                      <w:t>diverses</w:t>
                    </w:r>
                    <w:r>
                      <w:rPr>
                        <w:rFonts w:ascii="Arial"/>
                        <w:b/>
                        <w:color w:val="231F20"/>
                        <w:spacing w:val="-3"/>
                        <w:w w:val="95"/>
                        <w:sz w:val="17"/>
                      </w:rPr>
                      <w:t> </w:t>
                    </w:r>
                    <w:r>
                      <w:rPr>
                        <w:rFonts w:ascii="Arial"/>
                        <w:b/>
                        <w:color w:val="231F20"/>
                        <w:spacing w:val="-2"/>
                        <w:w w:val="95"/>
                        <w:sz w:val="17"/>
                      </w:rPr>
                      <w:t>maladies</w:t>
                    </w: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3"/>
                      </w:rPr>
                    </w:pPr>
                  </w:p>
                  <w:p>
                    <w:pPr>
                      <w:spacing w:line="295" w:lineRule="auto" w:before="1"/>
                      <w:ind w:left="250" w:right="0" w:firstLine="0"/>
                      <w:jc w:val="left"/>
                      <w:rPr>
                        <w:rFonts w:ascii="Arial" w:hAnsi="Arial"/>
                        <w:sz w:val="12"/>
                      </w:rPr>
                    </w:pPr>
                    <w:r>
                      <w:rPr>
                        <w:rFonts w:ascii="Arial" w:hAnsi="Arial"/>
                        <w:color w:val="231F20"/>
                        <w:sz w:val="12"/>
                      </w:rPr>
                      <w:t>Source</w:t>
                    </w:r>
                    <w:r>
                      <w:rPr>
                        <w:rFonts w:ascii="Arial" w:hAnsi="Arial"/>
                        <w:color w:val="231F20"/>
                        <w:spacing w:val="-14"/>
                        <w:sz w:val="12"/>
                      </w:rPr>
                      <w:t> </w:t>
                    </w:r>
                    <w:r>
                      <w:rPr>
                        <w:rFonts w:ascii="Arial" w:hAnsi="Arial"/>
                        <w:color w:val="231F20"/>
                        <w:sz w:val="12"/>
                      </w:rPr>
                      <w:t>: Observatoire du stress, Ramsey Santé, &lt;https://ramsaygds.fr/lobservatoire-du-stress&gt;,</w:t>
                    </w:r>
                    <w:r>
                      <w:rPr>
                        <w:rFonts w:ascii="Arial" w:hAnsi="Arial"/>
                        <w:color w:val="231F20"/>
                        <w:spacing w:val="40"/>
                        <w:w w:val="105"/>
                        <w:sz w:val="12"/>
                      </w:rPr>
                      <w:t> </w:t>
                    </w:r>
                    <w:r>
                      <w:rPr>
                        <w:rFonts w:ascii="Arial" w:hAnsi="Arial"/>
                        <w:color w:val="231F20"/>
                        <w:w w:val="105"/>
                        <w:sz w:val="12"/>
                      </w:rPr>
                      <w:t>consulté le 22 octobre 2021.</w:t>
                    </w:r>
                  </w:p>
                </w:txbxContent>
              </v:textbox>
              <w10:wrap type="none"/>
            </v:shape>
            <w10:wrap type="topAndBottom"/>
          </v:group>
        </w:pict>
      </w:r>
    </w:p>
    <w:p>
      <w:pPr>
        <w:spacing w:after="0"/>
        <w:rPr>
          <w:sz w:val="11"/>
        </w:rPr>
        <w:sectPr>
          <w:footerReference w:type="default" r:id="rId214"/>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1"/>
        <w:jc w:val="both"/>
      </w:pPr>
      <w:r>
        <w:rPr>
          <w:color w:val="231F20"/>
          <w:w w:val="120"/>
        </w:rPr>
        <w:t>Le</w:t>
      </w:r>
      <w:r>
        <w:rPr>
          <w:color w:val="231F20"/>
          <w:spacing w:val="-5"/>
          <w:w w:val="120"/>
        </w:rPr>
        <w:t> </w:t>
      </w:r>
      <w:r>
        <w:rPr>
          <w:color w:val="231F20"/>
          <w:w w:val="120"/>
        </w:rPr>
        <w:t>stress</w:t>
      </w:r>
      <w:r>
        <w:rPr>
          <w:color w:val="231F20"/>
          <w:spacing w:val="-5"/>
          <w:w w:val="120"/>
        </w:rPr>
        <w:t> </w:t>
      </w:r>
      <w:r>
        <w:rPr>
          <w:color w:val="231F20"/>
          <w:w w:val="120"/>
        </w:rPr>
        <w:t>favorise</w:t>
      </w:r>
      <w:r>
        <w:rPr>
          <w:color w:val="231F20"/>
          <w:spacing w:val="-5"/>
          <w:w w:val="120"/>
        </w:rPr>
        <w:t> </w:t>
      </w:r>
      <w:r>
        <w:rPr>
          <w:color w:val="231F20"/>
          <w:w w:val="120"/>
        </w:rPr>
        <w:t>la</w:t>
      </w:r>
      <w:r>
        <w:rPr>
          <w:color w:val="231F20"/>
          <w:spacing w:val="-5"/>
          <w:w w:val="120"/>
        </w:rPr>
        <w:t> </w:t>
      </w:r>
      <w:r>
        <w:rPr>
          <w:color w:val="231F20"/>
          <w:w w:val="120"/>
        </w:rPr>
        <w:t>transcription</w:t>
      </w:r>
      <w:r>
        <w:rPr>
          <w:color w:val="231F20"/>
          <w:spacing w:val="-5"/>
          <w:w w:val="120"/>
        </w:rPr>
        <w:t> </w:t>
      </w:r>
      <w:r>
        <w:rPr>
          <w:color w:val="231F20"/>
          <w:w w:val="120"/>
        </w:rPr>
        <w:t>de</w:t>
      </w:r>
      <w:r>
        <w:rPr>
          <w:color w:val="231F20"/>
          <w:spacing w:val="-5"/>
          <w:w w:val="120"/>
        </w:rPr>
        <w:t> </w:t>
      </w:r>
      <w:r>
        <w:rPr>
          <w:color w:val="231F20"/>
          <w:w w:val="120"/>
        </w:rPr>
        <w:t>cytokines,</w:t>
      </w:r>
      <w:r>
        <w:rPr>
          <w:color w:val="231F20"/>
          <w:spacing w:val="-5"/>
          <w:w w:val="120"/>
        </w:rPr>
        <w:t> </w:t>
      </w:r>
      <w:r>
        <w:rPr>
          <w:color w:val="231F20"/>
          <w:w w:val="120"/>
        </w:rPr>
        <w:t>notamment</w:t>
      </w:r>
      <w:r>
        <w:rPr>
          <w:color w:val="231F20"/>
          <w:spacing w:val="-5"/>
          <w:w w:val="120"/>
        </w:rPr>
        <w:t> </w:t>
      </w:r>
      <w:r>
        <w:rPr>
          <w:color w:val="231F20"/>
          <w:w w:val="120"/>
        </w:rPr>
        <w:t>la</w:t>
      </w:r>
      <w:r>
        <w:rPr>
          <w:color w:val="231F20"/>
          <w:spacing w:val="-5"/>
          <w:w w:val="120"/>
        </w:rPr>
        <w:t> </w:t>
      </w:r>
      <w:r>
        <w:rPr>
          <w:color w:val="231F20"/>
          <w:w w:val="120"/>
        </w:rPr>
        <w:t>cytokine pro-inflammatoire</w:t>
      </w:r>
      <w:r>
        <w:rPr>
          <w:color w:val="231F20"/>
          <w:spacing w:val="-4"/>
          <w:w w:val="120"/>
        </w:rPr>
        <w:t> </w:t>
      </w:r>
      <w:r>
        <w:rPr>
          <w:color w:val="231F20"/>
          <w:w w:val="120"/>
        </w:rPr>
        <w:t>IL-6,</w:t>
      </w:r>
      <w:r>
        <w:rPr>
          <w:color w:val="231F20"/>
          <w:spacing w:val="-4"/>
          <w:w w:val="120"/>
        </w:rPr>
        <w:t> </w:t>
      </w:r>
      <w:r>
        <w:rPr>
          <w:color w:val="231F20"/>
          <w:w w:val="120"/>
        </w:rPr>
        <w:t>qui</w:t>
      </w:r>
      <w:r>
        <w:rPr>
          <w:color w:val="231F20"/>
          <w:spacing w:val="-4"/>
          <w:w w:val="120"/>
        </w:rPr>
        <w:t> </w:t>
      </w:r>
      <w:r>
        <w:rPr>
          <w:color w:val="231F20"/>
          <w:w w:val="120"/>
        </w:rPr>
        <w:t>accroît</w:t>
      </w:r>
      <w:r>
        <w:rPr>
          <w:color w:val="231F20"/>
          <w:spacing w:val="-4"/>
          <w:w w:val="120"/>
        </w:rPr>
        <w:t> </w:t>
      </w:r>
      <w:r>
        <w:rPr>
          <w:color w:val="231F20"/>
          <w:w w:val="120"/>
        </w:rPr>
        <w:t>la</w:t>
      </w:r>
      <w:r>
        <w:rPr>
          <w:color w:val="231F20"/>
          <w:spacing w:val="-4"/>
          <w:w w:val="120"/>
        </w:rPr>
        <w:t> </w:t>
      </w:r>
      <w:r>
        <w:rPr>
          <w:color w:val="231F20"/>
          <w:w w:val="120"/>
        </w:rPr>
        <w:t>libération</w:t>
      </w:r>
      <w:r>
        <w:rPr>
          <w:color w:val="231F20"/>
          <w:spacing w:val="-4"/>
          <w:w w:val="120"/>
        </w:rPr>
        <w:t> </w:t>
      </w:r>
      <w:r>
        <w:rPr>
          <w:color w:val="231F20"/>
          <w:w w:val="120"/>
        </w:rPr>
        <w:t>de</w:t>
      </w:r>
      <w:r>
        <w:rPr>
          <w:color w:val="231F20"/>
          <w:spacing w:val="-4"/>
          <w:w w:val="120"/>
        </w:rPr>
        <w:t> </w:t>
      </w:r>
      <w:r>
        <w:rPr>
          <w:color w:val="231F20"/>
          <w:w w:val="120"/>
        </w:rPr>
        <w:t>glucocorticoïdes</w:t>
      </w:r>
      <w:r>
        <w:rPr>
          <w:color w:val="231F20"/>
          <w:spacing w:val="-4"/>
          <w:w w:val="120"/>
        </w:rPr>
        <w:t> </w:t>
      </w:r>
      <w:r>
        <w:rPr>
          <w:color w:val="231F20"/>
          <w:w w:val="120"/>
        </w:rPr>
        <w:t>et la gravité de la maladie16. La fixation de la catécholamine réduit la </w:t>
      </w:r>
      <w:r>
        <w:rPr>
          <w:color w:val="231F20"/>
          <w:w w:val="115"/>
        </w:rPr>
        <w:t>production des cytokines IL-12 et IFN-g et accroît celle de la IL-10</w:t>
      </w:r>
      <w:r>
        <w:rPr>
          <w:color w:val="231F20"/>
          <w:spacing w:val="-13"/>
          <w:w w:val="115"/>
        </w:rPr>
        <w:t> </w:t>
      </w:r>
      <w:r>
        <w:rPr>
          <w:color w:val="231F20"/>
          <w:w w:val="115"/>
        </w:rPr>
        <w:t>; ce déséquilibre provoque un glissement des cellules TH1 aux cellules TH2, </w:t>
      </w:r>
      <w:r>
        <w:rPr>
          <w:color w:val="231F20"/>
          <w:spacing w:val="-2"/>
          <w:w w:val="115"/>
        </w:rPr>
        <w:t>et</w:t>
      </w:r>
      <w:r>
        <w:rPr>
          <w:color w:val="231F20"/>
          <w:spacing w:val="-7"/>
          <w:w w:val="115"/>
        </w:rPr>
        <w:t> </w:t>
      </w:r>
      <w:r>
        <w:rPr>
          <w:color w:val="231F20"/>
          <w:spacing w:val="-2"/>
          <w:w w:val="115"/>
        </w:rPr>
        <w:t>la</w:t>
      </w:r>
      <w:r>
        <w:rPr>
          <w:color w:val="231F20"/>
          <w:spacing w:val="-8"/>
          <w:w w:val="115"/>
        </w:rPr>
        <w:t> </w:t>
      </w:r>
      <w:r>
        <w:rPr>
          <w:color w:val="231F20"/>
          <w:spacing w:val="-2"/>
          <w:w w:val="115"/>
        </w:rPr>
        <w:t>carence</w:t>
      </w:r>
      <w:r>
        <w:rPr>
          <w:color w:val="231F20"/>
          <w:spacing w:val="-7"/>
          <w:w w:val="115"/>
        </w:rPr>
        <w:t> </w:t>
      </w:r>
      <w:r>
        <w:rPr>
          <w:color w:val="231F20"/>
          <w:spacing w:val="-2"/>
          <w:w w:val="115"/>
        </w:rPr>
        <w:t>en</w:t>
      </w:r>
      <w:r>
        <w:rPr>
          <w:color w:val="231F20"/>
          <w:spacing w:val="-8"/>
          <w:w w:val="115"/>
        </w:rPr>
        <w:t> </w:t>
      </w:r>
      <w:r>
        <w:rPr>
          <w:color w:val="231F20"/>
          <w:spacing w:val="-2"/>
          <w:w w:val="115"/>
        </w:rPr>
        <w:t>cellules</w:t>
      </w:r>
      <w:r>
        <w:rPr>
          <w:color w:val="231F20"/>
          <w:spacing w:val="-7"/>
          <w:w w:val="115"/>
        </w:rPr>
        <w:t> </w:t>
      </w:r>
      <w:r>
        <w:rPr>
          <w:color w:val="231F20"/>
          <w:spacing w:val="-2"/>
          <w:w w:val="115"/>
        </w:rPr>
        <w:t>TH1</w:t>
      </w:r>
      <w:r>
        <w:rPr>
          <w:color w:val="231F20"/>
          <w:spacing w:val="-8"/>
          <w:w w:val="115"/>
        </w:rPr>
        <w:t> </w:t>
      </w:r>
      <w:r>
        <w:rPr>
          <w:color w:val="231F20"/>
          <w:spacing w:val="-2"/>
          <w:w w:val="115"/>
        </w:rPr>
        <w:t>entraîne</w:t>
      </w:r>
      <w:r>
        <w:rPr>
          <w:color w:val="231F20"/>
          <w:spacing w:val="-7"/>
          <w:w w:val="115"/>
        </w:rPr>
        <w:t> </w:t>
      </w:r>
      <w:r>
        <w:rPr>
          <w:color w:val="231F20"/>
          <w:spacing w:val="-2"/>
          <w:w w:val="115"/>
        </w:rPr>
        <w:t>une</w:t>
      </w:r>
      <w:r>
        <w:rPr>
          <w:color w:val="231F20"/>
          <w:spacing w:val="-8"/>
          <w:w w:val="115"/>
        </w:rPr>
        <w:t> </w:t>
      </w:r>
      <w:r>
        <w:rPr>
          <w:color w:val="231F20"/>
          <w:spacing w:val="-2"/>
          <w:w w:val="115"/>
        </w:rPr>
        <w:t>baisse</w:t>
      </w:r>
      <w:r>
        <w:rPr>
          <w:color w:val="231F20"/>
          <w:spacing w:val="-7"/>
          <w:w w:val="115"/>
        </w:rPr>
        <w:t> </w:t>
      </w:r>
      <w:r>
        <w:rPr>
          <w:color w:val="231F20"/>
          <w:spacing w:val="-2"/>
          <w:w w:val="115"/>
        </w:rPr>
        <w:t>des</w:t>
      </w:r>
      <w:r>
        <w:rPr>
          <w:color w:val="231F20"/>
          <w:spacing w:val="-8"/>
          <w:w w:val="115"/>
        </w:rPr>
        <w:t> </w:t>
      </w:r>
      <w:r>
        <w:rPr>
          <w:color w:val="231F20"/>
          <w:spacing w:val="-2"/>
          <w:w w:val="115"/>
        </w:rPr>
        <w:t>réponses</w:t>
      </w:r>
      <w:r>
        <w:rPr>
          <w:color w:val="231F20"/>
          <w:spacing w:val="-6"/>
          <w:w w:val="115"/>
        </w:rPr>
        <w:t> </w:t>
      </w:r>
      <w:r>
        <w:rPr>
          <w:color w:val="231F20"/>
          <w:spacing w:val="-2"/>
          <w:w w:val="115"/>
        </w:rPr>
        <w:t>immunitaires </w:t>
      </w:r>
      <w:r>
        <w:rPr>
          <w:color w:val="231F20"/>
          <w:w w:val="120"/>
        </w:rPr>
        <w:t>à médiation cellulaire.</w:t>
      </w:r>
    </w:p>
    <w:p>
      <w:pPr>
        <w:pStyle w:val="BodyText"/>
        <w:spacing w:line="307" w:lineRule="auto" w:before="79"/>
        <w:ind w:left="830" w:right="495" w:firstLine="250"/>
        <w:jc w:val="both"/>
      </w:pPr>
      <w:r>
        <w:rPr>
          <w:color w:val="231F20"/>
          <w:w w:val="120"/>
        </w:rPr>
        <w:t>D’autres</w:t>
      </w:r>
      <w:r>
        <w:rPr>
          <w:color w:val="231F20"/>
          <w:spacing w:val="-13"/>
          <w:w w:val="120"/>
        </w:rPr>
        <w:t> </w:t>
      </w:r>
      <w:r>
        <w:rPr>
          <w:color w:val="231F20"/>
          <w:w w:val="120"/>
        </w:rPr>
        <w:t>études</w:t>
      </w:r>
      <w:r>
        <w:rPr>
          <w:color w:val="231F20"/>
          <w:spacing w:val="-13"/>
          <w:w w:val="120"/>
        </w:rPr>
        <w:t> </w:t>
      </w:r>
      <w:r>
        <w:rPr>
          <w:color w:val="231F20"/>
          <w:w w:val="120"/>
        </w:rPr>
        <w:t>démontrent</w:t>
      </w:r>
      <w:r>
        <w:rPr>
          <w:color w:val="231F20"/>
          <w:spacing w:val="-12"/>
          <w:w w:val="120"/>
        </w:rPr>
        <w:t> </w:t>
      </w:r>
      <w:r>
        <w:rPr>
          <w:color w:val="231F20"/>
          <w:w w:val="120"/>
        </w:rPr>
        <w:t>que</w:t>
      </w:r>
      <w:r>
        <w:rPr>
          <w:color w:val="231F20"/>
          <w:spacing w:val="-13"/>
          <w:w w:val="120"/>
        </w:rPr>
        <w:t> </w:t>
      </w:r>
      <w:r>
        <w:rPr>
          <w:color w:val="231F20"/>
          <w:w w:val="120"/>
        </w:rPr>
        <w:t>l’humeur</w:t>
      </w:r>
      <w:r>
        <w:rPr>
          <w:color w:val="231F20"/>
          <w:spacing w:val="-13"/>
          <w:w w:val="120"/>
        </w:rPr>
        <w:t> </w:t>
      </w:r>
      <w:r>
        <w:rPr>
          <w:color w:val="231F20"/>
          <w:w w:val="120"/>
        </w:rPr>
        <w:t>négative</w:t>
      </w:r>
      <w:r>
        <w:rPr>
          <w:color w:val="231F20"/>
          <w:spacing w:val="-12"/>
          <w:w w:val="120"/>
        </w:rPr>
        <w:t> </w:t>
      </w:r>
      <w:r>
        <w:rPr>
          <w:color w:val="231F20"/>
          <w:w w:val="120"/>
        </w:rPr>
        <w:t>(anxiété,</w:t>
      </w:r>
      <w:r>
        <w:rPr>
          <w:color w:val="231F20"/>
          <w:spacing w:val="-13"/>
          <w:w w:val="120"/>
        </w:rPr>
        <w:t> </w:t>
      </w:r>
      <w:r>
        <w:rPr>
          <w:color w:val="231F20"/>
          <w:w w:val="120"/>
        </w:rPr>
        <w:t>dépres- </w:t>
      </w:r>
      <w:r>
        <w:rPr>
          <w:color w:val="231F20"/>
          <w:w w:val="115"/>
        </w:rPr>
        <w:t>sion,</w:t>
      </w:r>
      <w:r>
        <w:rPr>
          <w:color w:val="231F20"/>
          <w:spacing w:val="-2"/>
          <w:w w:val="115"/>
        </w:rPr>
        <w:t> </w:t>
      </w:r>
      <w:r>
        <w:rPr>
          <w:color w:val="231F20"/>
          <w:w w:val="115"/>
        </w:rPr>
        <w:t>hostilité)</w:t>
      </w:r>
      <w:r>
        <w:rPr>
          <w:color w:val="231F20"/>
          <w:spacing w:val="-2"/>
          <w:w w:val="115"/>
        </w:rPr>
        <w:t> </w:t>
      </w:r>
      <w:r>
        <w:rPr>
          <w:color w:val="231F20"/>
          <w:w w:val="115"/>
        </w:rPr>
        <w:t>qui</w:t>
      </w:r>
      <w:r>
        <w:rPr>
          <w:color w:val="231F20"/>
          <w:spacing w:val="-2"/>
          <w:w w:val="115"/>
        </w:rPr>
        <w:t> </w:t>
      </w:r>
      <w:r>
        <w:rPr>
          <w:color w:val="231F20"/>
          <w:w w:val="115"/>
        </w:rPr>
        <w:t>caractérise</w:t>
      </w:r>
      <w:r>
        <w:rPr>
          <w:color w:val="231F20"/>
          <w:spacing w:val="-2"/>
          <w:w w:val="115"/>
        </w:rPr>
        <w:t> </w:t>
      </w:r>
      <w:r>
        <w:rPr>
          <w:color w:val="231F20"/>
          <w:w w:val="115"/>
        </w:rPr>
        <w:t>certaines</w:t>
      </w:r>
      <w:r>
        <w:rPr>
          <w:color w:val="231F20"/>
          <w:spacing w:val="-2"/>
          <w:w w:val="115"/>
        </w:rPr>
        <w:t> </w:t>
      </w:r>
      <w:r>
        <w:rPr>
          <w:color w:val="231F20"/>
          <w:w w:val="115"/>
        </w:rPr>
        <w:t>personnes</w:t>
      </w:r>
      <w:r>
        <w:rPr>
          <w:color w:val="231F20"/>
          <w:spacing w:val="-2"/>
          <w:w w:val="115"/>
        </w:rPr>
        <w:t> </w:t>
      </w:r>
      <w:r>
        <w:rPr>
          <w:color w:val="231F20"/>
          <w:w w:val="115"/>
        </w:rPr>
        <w:t>souffrant</w:t>
      </w:r>
      <w:r>
        <w:rPr>
          <w:color w:val="231F20"/>
          <w:spacing w:val="-2"/>
          <w:w w:val="115"/>
        </w:rPr>
        <w:t> </w:t>
      </w:r>
      <w:r>
        <w:rPr>
          <w:color w:val="231F20"/>
          <w:w w:val="115"/>
        </w:rPr>
        <w:t>de</w:t>
      </w:r>
      <w:r>
        <w:rPr>
          <w:color w:val="231F20"/>
          <w:spacing w:val="-2"/>
          <w:w w:val="115"/>
        </w:rPr>
        <w:t> </w:t>
      </w:r>
      <w:r>
        <w:rPr>
          <w:color w:val="231F20"/>
          <w:w w:val="115"/>
        </w:rPr>
        <w:t>stress</w:t>
      </w:r>
      <w:r>
        <w:rPr>
          <w:color w:val="231F20"/>
          <w:spacing w:val="-2"/>
          <w:w w:val="115"/>
        </w:rPr>
        <w:t> </w:t>
      </w:r>
      <w:r>
        <w:rPr>
          <w:color w:val="231F20"/>
          <w:w w:val="115"/>
        </w:rPr>
        <w:t>aigu </w:t>
      </w:r>
      <w:r>
        <w:rPr>
          <w:color w:val="231F20"/>
          <w:w w:val="120"/>
        </w:rPr>
        <w:t>entraîne</w:t>
      </w:r>
      <w:r>
        <w:rPr>
          <w:color w:val="231F20"/>
          <w:spacing w:val="-8"/>
          <w:w w:val="120"/>
        </w:rPr>
        <w:t> </w:t>
      </w:r>
      <w:r>
        <w:rPr>
          <w:color w:val="231F20"/>
          <w:w w:val="120"/>
        </w:rPr>
        <w:t>une</w:t>
      </w:r>
      <w:r>
        <w:rPr>
          <w:color w:val="231F20"/>
          <w:spacing w:val="-8"/>
          <w:w w:val="120"/>
        </w:rPr>
        <w:t> </w:t>
      </w:r>
      <w:r>
        <w:rPr>
          <w:color w:val="231F20"/>
          <w:w w:val="120"/>
        </w:rPr>
        <w:t>baisse</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production</w:t>
      </w:r>
      <w:r>
        <w:rPr>
          <w:color w:val="231F20"/>
          <w:spacing w:val="-8"/>
          <w:w w:val="120"/>
        </w:rPr>
        <w:t> </w:t>
      </w:r>
      <w:r>
        <w:rPr>
          <w:color w:val="231F20"/>
          <w:w w:val="120"/>
        </w:rPr>
        <w:t>de</w:t>
      </w:r>
      <w:r>
        <w:rPr>
          <w:color w:val="231F20"/>
          <w:spacing w:val="-8"/>
          <w:w w:val="120"/>
        </w:rPr>
        <w:t> </w:t>
      </w:r>
      <w:r>
        <w:rPr>
          <w:color w:val="231F20"/>
          <w:w w:val="120"/>
        </w:rPr>
        <w:t>lymphocytes</w:t>
      </w:r>
      <w:r>
        <w:rPr>
          <w:color w:val="231F20"/>
          <w:spacing w:val="-8"/>
          <w:w w:val="120"/>
        </w:rPr>
        <w:t> </w:t>
      </w:r>
      <w:r>
        <w:rPr>
          <w:color w:val="231F20"/>
          <w:w w:val="120"/>
        </w:rPr>
        <w:t>T</w:t>
      </w:r>
      <w:r>
        <w:rPr>
          <w:color w:val="231F20"/>
          <w:spacing w:val="-8"/>
          <w:w w:val="120"/>
        </w:rPr>
        <w:t> </w:t>
      </w:r>
      <w:r>
        <w:rPr>
          <w:color w:val="231F20"/>
          <w:w w:val="120"/>
        </w:rPr>
        <w:t>cytotoxiques</w:t>
      </w:r>
      <w:r>
        <w:rPr>
          <w:color w:val="231F20"/>
          <w:spacing w:val="-8"/>
          <w:w w:val="120"/>
        </w:rPr>
        <w:t> </w:t>
      </w:r>
      <w:r>
        <w:rPr>
          <w:color w:val="231F20"/>
          <w:w w:val="120"/>
        </w:rPr>
        <w:t>ou suppresseurs,</w:t>
      </w:r>
      <w:r>
        <w:rPr>
          <w:color w:val="231F20"/>
          <w:spacing w:val="-3"/>
          <w:w w:val="120"/>
        </w:rPr>
        <w:t> </w:t>
      </w:r>
      <w:r>
        <w:rPr>
          <w:color w:val="231F20"/>
          <w:w w:val="120"/>
        </w:rPr>
        <w:t>favorisant</w:t>
      </w:r>
      <w:r>
        <w:rPr>
          <w:color w:val="231F20"/>
          <w:spacing w:val="-3"/>
          <w:w w:val="120"/>
        </w:rPr>
        <w:t> </w:t>
      </w:r>
      <w:r>
        <w:rPr>
          <w:color w:val="231F20"/>
          <w:w w:val="120"/>
        </w:rPr>
        <w:t>ainsi</w:t>
      </w:r>
      <w:r>
        <w:rPr>
          <w:color w:val="231F20"/>
          <w:spacing w:val="-3"/>
          <w:w w:val="120"/>
        </w:rPr>
        <w:t> </w:t>
      </w:r>
      <w:r>
        <w:rPr>
          <w:color w:val="231F20"/>
          <w:w w:val="120"/>
        </w:rPr>
        <w:t>l’éclosion</w:t>
      </w:r>
      <w:r>
        <w:rPr>
          <w:color w:val="231F20"/>
          <w:spacing w:val="-3"/>
          <w:w w:val="120"/>
        </w:rPr>
        <w:t> </w:t>
      </w:r>
      <w:r>
        <w:rPr>
          <w:color w:val="231F20"/>
          <w:w w:val="120"/>
        </w:rPr>
        <w:t>de</w:t>
      </w:r>
      <w:r>
        <w:rPr>
          <w:color w:val="231F20"/>
          <w:spacing w:val="-3"/>
          <w:w w:val="120"/>
        </w:rPr>
        <w:t> </w:t>
      </w:r>
      <w:r>
        <w:rPr>
          <w:color w:val="231F20"/>
          <w:w w:val="120"/>
        </w:rPr>
        <w:t>toutes</w:t>
      </w:r>
      <w:r>
        <w:rPr>
          <w:color w:val="231F20"/>
          <w:spacing w:val="-3"/>
          <w:w w:val="120"/>
        </w:rPr>
        <w:t> </w:t>
      </w:r>
      <w:r>
        <w:rPr>
          <w:color w:val="231F20"/>
          <w:w w:val="120"/>
        </w:rPr>
        <w:t>les</w:t>
      </w:r>
      <w:r>
        <w:rPr>
          <w:color w:val="231F20"/>
          <w:spacing w:val="-3"/>
          <w:w w:val="120"/>
        </w:rPr>
        <w:t> </w:t>
      </w:r>
      <w:r>
        <w:rPr>
          <w:color w:val="231F20"/>
          <w:w w:val="120"/>
        </w:rPr>
        <w:t>formes</w:t>
      </w:r>
      <w:r>
        <w:rPr>
          <w:color w:val="231F20"/>
          <w:spacing w:val="-3"/>
          <w:w w:val="120"/>
        </w:rPr>
        <w:t> </w:t>
      </w:r>
      <w:r>
        <w:rPr>
          <w:color w:val="231F20"/>
          <w:w w:val="120"/>
        </w:rPr>
        <w:t>d’herpès.</w:t>
      </w:r>
    </w:p>
    <w:p>
      <w:pPr>
        <w:pStyle w:val="BodyText"/>
        <w:spacing w:line="307" w:lineRule="auto" w:before="79"/>
        <w:ind w:left="830" w:right="494" w:firstLine="250"/>
        <w:jc w:val="both"/>
      </w:pPr>
      <w:r>
        <w:rPr>
          <w:color w:val="231F20"/>
          <w:w w:val="120"/>
        </w:rPr>
        <w:t>La relation entre le stress et les ulcères est une autre découverte récente.</w:t>
      </w:r>
      <w:r>
        <w:rPr>
          <w:color w:val="231F20"/>
          <w:spacing w:val="-12"/>
          <w:w w:val="120"/>
        </w:rPr>
        <w:t> </w:t>
      </w:r>
      <w:r>
        <w:rPr>
          <w:color w:val="231F20"/>
          <w:w w:val="120"/>
        </w:rPr>
        <w:t>Des recherches révèlent que 66</w:t>
      </w:r>
      <w:r>
        <w:rPr>
          <w:color w:val="231F20"/>
          <w:spacing w:val="-13"/>
          <w:w w:val="120"/>
        </w:rPr>
        <w:t> </w:t>
      </w:r>
      <w:r>
        <w:rPr>
          <w:color w:val="231F20"/>
          <w:w w:val="120"/>
        </w:rPr>
        <w:t>% des personnes subissant un stress</w:t>
      </w:r>
      <w:r>
        <w:rPr>
          <w:color w:val="231F20"/>
          <w:spacing w:val="-5"/>
          <w:w w:val="120"/>
        </w:rPr>
        <w:t> </w:t>
      </w:r>
      <w:r>
        <w:rPr>
          <w:color w:val="231F20"/>
          <w:w w:val="120"/>
        </w:rPr>
        <w:t>mangent</w:t>
      </w:r>
      <w:r>
        <w:rPr>
          <w:color w:val="231F20"/>
          <w:spacing w:val="-5"/>
          <w:w w:val="120"/>
        </w:rPr>
        <w:t> </w:t>
      </w:r>
      <w:r>
        <w:rPr>
          <w:color w:val="231F20"/>
          <w:w w:val="120"/>
        </w:rPr>
        <w:t>plus</w:t>
      </w:r>
      <w:r>
        <w:rPr>
          <w:color w:val="231F20"/>
          <w:spacing w:val="-5"/>
          <w:w w:val="120"/>
        </w:rPr>
        <w:t> </w:t>
      </w:r>
      <w:r>
        <w:rPr>
          <w:color w:val="231F20"/>
          <w:w w:val="120"/>
        </w:rPr>
        <w:t>que</w:t>
      </w:r>
      <w:r>
        <w:rPr>
          <w:color w:val="231F20"/>
          <w:spacing w:val="-5"/>
          <w:w w:val="120"/>
        </w:rPr>
        <w:t> </w:t>
      </w:r>
      <w:r>
        <w:rPr>
          <w:color w:val="231F20"/>
          <w:w w:val="120"/>
        </w:rPr>
        <w:t>d’habitude</w:t>
      </w:r>
      <w:r>
        <w:rPr>
          <w:color w:val="231F20"/>
          <w:spacing w:val="-5"/>
          <w:w w:val="120"/>
        </w:rPr>
        <w:t> </w:t>
      </w:r>
      <w:r>
        <w:rPr>
          <w:color w:val="231F20"/>
          <w:w w:val="120"/>
        </w:rPr>
        <w:t>(hyperphagie)</w:t>
      </w:r>
      <w:r>
        <w:rPr>
          <w:color w:val="231F20"/>
          <w:spacing w:val="-5"/>
          <w:w w:val="120"/>
        </w:rPr>
        <w:t> </w:t>
      </w:r>
      <w:r>
        <w:rPr>
          <w:color w:val="231F20"/>
          <w:w w:val="120"/>
        </w:rPr>
        <w:t>et</w:t>
      </w:r>
      <w:r>
        <w:rPr>
          <w:color w:val="231F20"/>
          <w:spacing w:val="-5"/>
          <w:w w:val="120"/>
        </w:rPr>
        <w:t> </w:t>
      </w:r>
      <w:r>
        <w:rPr>
          <w:color w:val="231F20"/>
          <w:w w:val="120"/>
        </w:rPr>
        <w:t>trop</w:t>
      </w:r>
      <w:r>
        <w:rPr>
          <w:color w:val="231F20"/>
          <w:spacing w:val="-5"/>
          <w:w w:val="120"/>
        </w:rPr>
        <w:t> </w:t>
      </w:r>
      <w:r>
        <w:rPr>
          <w:color w:val="231F20"/>
          <w:w w:val="120"/>
        </w:rPr>
        <w:t>vite.</w:t>
      </w:r>
      <w:r>
        <w:rPr>
          <w:color w:val="231F20"/>
          <w:spacing w:val="-5"/>
          <w:w w:val="120"/>
        </w:rPr>
        <w:t> </w:t>
      </w:r>
      <w:r>
        <w:rPr>
          <w:color w:val="231F20"/>
          <w:w w:val="120"/>
        </w:rPr>
        <w:t>Pendant </w:t>
      </w:r>
      <w:r>
        <w:rPr>
          <w:color w:val="231F20"/>
          <w:spacing w:val="-2"/>
          <w:w w:val="120"/>
        </w:rPr>
        <w:t>un</w:t>
      </w:r>
      <w:r>
        <w:rPr>
          <w:color w:val="231F20"/>
          <w:spacing w:val="-11"/>
          <w:w w:val="120"/>
        </w:rPr>
        <w:t> </w:t>
      </w:r>
      <w:r>
        <w:rPr>
          <w:color w:val="231F20"/>
          <w:spacing w:val="-2"/>
          <w:w w:val="120"/>
        </w:rPr>
        <w:t>état</w:t>
      </w:r>
      <w:r>
        <w:rPr>
          <w:color w:val="231F20"/>
          <w:spacing w:val="-11"/>
          <w:w w:val="120"/>
        </w:rPr>
        <w:t> </w:t>
      </w:r>
      <w:r>
        <w:rPr>
          <w:color w:val="231F20"/>
          <w:spacing w:val="-2"/>
          <w:w w:val="120"/>
        </w:rPr>
        <w:t>de</w:t>
      </w:r>
      <w:r>
        <w:rPr>
          <w:color w:val="231F20"/>
          <w:spacing w:val="-11"/>
          <w:w w:val="120"/>
        </w:rPr>
        <w:t> </w:t>
      </w:r>
      <w:r>
        <w:rPr>
          <w:color w:val="231F20"/>
          <w:spacing w:val="-2"/>
          <w:w w:val="120"/>
        </w:rPr>
        <w:t>stress</w:t>
      </w:r>
      <w:r>
        <w:rPr>
          <w:color w:val="231F20"/>
          <w:spacing w:val="-8"/>
          <w:w w:val="120"/>
        </w:rPr>
        <w:t> </w:t>
      </w:r>
      <w:r>
        <w:rPr>
          <w:color w:val="231F20"/>
          <w:spacing w:val="-2"/>
          <w:w w:val="120"/>
        </w:rPr>
        <w:t>prolongé,</w:t>
      </w:r>
      <w:r>
        <w:rPr>
          <w:color w:val="231F20"/>
          <w:spacing w:val="-6"/>
          <w:w w:val="120"/>
        </w:rPr>
        <w:t> </w:t>
      </w:r>
      <w:r>
        <w:rPr>
          <w:color w:val="231F20"/>
          <w:spacing w:val="-2"/>
          <w:w w:val="120"/>
        </w:rPr>
        <w:t>la</w:t>
      </w:r>
      <w:r>
        <w:rPr>
          <w:color w:val="231F20"/>
          <w:spacing w:val="-6"/>
          <w:w w:val="120"/>
        </w:rPr>
        <w:t> </w:t>
      </w:r>
      <w:r>
        <w:rPr>
          <w:color w:val="231F20"/>
          <w:spacing w:val="-2"/>
          <w:w w:val="120"/>
        </w:rPr>
        <w:t>digestion</w:t>
      </w:r>
      <w:r>
        <w:rPr>
          <w:color w:val="231F20"/>
          <w:spacing w:val="-6"/>
          <w:w w:val="120"/>
        </w:rPr>
        <w:t> </w:t>
      </w:r>
      <w:r>
        <w:rPr>
          <w:color w:val="231F20"/>
          <w:spacing w:val="-2"/>
          <w:w w:val="120"/>
        </w:rPr>
        <w:t>ralentit</w:t>
      </w:r>
      <w:r>
        <w:rPr>
          <w:color w:val="231F20"/>
          <w:spacing w:val="-11"/>
          <w:w w:val="120"/>
        </w:rPr>
        <w:t> </w:t>
      </w:r>
      <w:r>
        <w:rPr>
          <w:color w:val="231F20"/>
          <w:spacing w:val="-2"/>
          <w:w w:val="120"/>
        </w:rPr>
        <w:t>;</w:t>
      </w:r>
      <w:r>
        <w:rPr>
          <w:color w:val="231F20"/>
          <w:spacing w:val="-5"/>
          <w:w w:val="120"/>
        </w:rPr>
        <w:t> </w:t>
      </w:r>
      <w:r>
        <w:rPr>
          <w:color w:val="231F20"/>
          <w:spacing w:val="-2"/>
          <w:w w:val="120"/>
        </w:rPr>
        <w:t>on</w:t>
      </w:r>
      <w:r>
        <w:rPr>
          <w:color w:val="231F20"/>
          <w:spacing w:val="-6"/>
          <w:w w:val="120"/>
        </w:rPr>
        <w:t> </w:t>
      </w:r>
      <w:r>
        <w:rPr>
          <w:color w:val="231F20"/>
          <w:spacing w:val="-2"/>
          <w:w w:val="120"/>
        </w:rPr>
        <w:t>observe</w:t>
      </w:r>
      <w:r>
        <w:rPr>
          <w:color w:val="231F20"/>
          <w:spacing w:val="-6"/>
          <w:w w:val="120"/>
        </w:rPr>
        <w:t> </w:t>
      </w:r>
      <w:r>
        <w:rPr>
          <w:color w:val="231F20"/>
          <w:spacing w:val="-2"/>
          <w:w w:val="120"/>
        </w:rPr>
        <w:t>une</w:t>
      </w:r>
      <w:r>
        <w:rPr>
          <w:color w:val="231F20"/>
          <w:spacing w:val="-6"/>
          <w:w w:val="120"/>
        </w:rPr>
        <w:t> </w:t>
      </w:r>
      <w:r>
        <w:rPr>
          <w:color w:val="231F20"/>
          <w:spacing w:val="-2"/>
          <w:w w:val="120"/>
        </w:rPr>
        <w:t>sécrétion </w:t>
      </w:r>
      <w:r>
        <w:rPr>
          <w:color w:val="231F20"/>
          <w:w w:val="120"/>
        </w:rPr>
        <w:t>réduite de sucs gastriques, une diminution de la production du mucus qui protège l’estomac et un amincissement de la paroi stomacale.</w:t>
      </w:r>
    </w:p>
    <w:p>
      <w:pPr>
        <w:pStyle w:val="BodyText"/>
        <w:spacing w:line="307" w:lineRule="auto" w:before="79"/>
        <w:ind w:left="830" w:right="493" w:firstLine="250"/>
        <w:jc w:val="both"/>
      </w:pPr>
      <w:r>
        <w:rPr>
          <w:color w:val="231F20"/>
          <w:spacing w:val="-4"/>
          <w:w w:val="120"/>
        </w:rPr>
        <w:t>Borysenko</w:t>
      </w:r>
      <w:r>
        <w:rPr>
          <w:color w:val="231F20"/>
          <w:spacing w:val="-7"/>
          <w:w w:val="120"/>
        </w:rPr>
        <w:t> </w:t>
      </w:r>
      <w:r>
        <w:rPr>
          <w:color w:val="231F20"/>
          <w:spacing w:val="-4"/>
          <w:w w:val="120"/>
        </w:rPr>
        <w:t>a</w:t>
      </w:r>
      <w:r>
        <w:rPr>
          <w:color w:val="231F20"/>
          <w:spacing w:val="-7"/>
          <w:w w:val="120"/>
        </w:rPr>
        <w:t> </w:t>
      </w:r>
      <w:r>
        <w:rPr>
          <w:color w:val="231F20"/>
          <w:spacing w:val="-4"/>
          <w:w w:val="120"/>
        </w:rPr>
        <w:t>élaboré</w:t>
      </w:r>
      <w:r>
        <w:rPr>
          <w:color w:val="231F20"/>
          <w:spacing w:val="-7"/>
          <w:w w:val="120"/>
        </w:rPr>
        <w:t> </w:t>
      </w:r>
      <w:r>
        <w:rPr>
          <w:color w:val="231F20"/>
          <w:spacing w:val="-4"/>
          <w:w w:val="120"/>
        </w:rPr>
        <w:t>un</w:t>
      </w:r>
      <w:r>
        <w:rPr>
          <w:color w:val="231F20"/>
          <w:spacing w:val="-7"/>
          <w:w w:val="120"/>
        </w:rPr>
        <w:t> </w:t>
      </w:r>
      <w:r>
        <w:rPr>
          <w:color w:val="231F20"/>
          <w:spacing w:val="-4"/>
          <w:w w:val="120"/>
        </w:rPr>
        <w:t>cadre</w:t>
      </w:r>
      <w:r>
        <w:rPr>
          <w:color w:val="231F20"/>
          <w:spacing w:val="-7"/>
          <w:w w:val="120"/>
        </w:rPr>
        <w:t> </w:t>
      </w:r>
      <w:r>
        <w:rPr>
          <w:color w:val="231F20"/>
          <w:spacing w:val="-4"/>
          <w:w w:val="120"/>
        </w:rPr>
        <w:t>intéressant</w:t>
      </w:r>
      <w:r>
        <w:rPr>
          <w:color w:val="231F20"/>
          <w:spacing w:val="-7"/>
          <w:w w:val="120"/>
        </w:rPr>
        <w:t> </w:t>
      </w:r>
      <w:r>
        <w:rPr>
          <w:color w:val="231F20"/>
          <w:spacing w:val="-4"/>
          <w:w w:val="120"/>
        </w:rPr>
        <w:t>permettant</w:t>
      </w:r>
      <w:r>
        <w:rPr>
          <w:color w:val="231F20"/>
          <w:spacing w:val="-7"/>
          <w:w w:val="120"/>
        </w:rPr>
        <w:t> </w:t>
      </w:r>
      <w:r>
        <w:rPr>
          <w:color w:val="231F20"/>
          <w:spacing w:val="-4"/>
          <w:w w:val="120"/>
        </w:rPr>
        <w:t>d’établir</w:t>
      </w:r>
      <w:r>
        <w:rPr>
          <w:color w:val="231F20"/>
          <w:spacing w:val="-7"/>
          <w:w w:val="120"/>
        </w:rPr>
        <w:t> </w:t>
      </w:r>
      <w:r>
        <w:rPr>
          <w:color w:val="231F20"/>
          <w:spacing w:val="-4"/>
          <w:w w:val="120"/>
        </w:rPr>
        <w:t>des</w:t>
      </w:r>
      <w:r>
        <w:rPr>
          <w:color w:val="231F20"/>
          <w:spacing w:val="-7"/>
          <w:w w:val="120"/>
        </w:rPr>
        <w:t> </w:t>
      </w:r>
      <w:r>
        <w:rPr>
          <w:color w:val="231F20"/>
          <w:spacing w:val="-4"/>
          <w:w w:val="120"/>
        </w:rPr>
        <w:t>liens </w:t>
      </w:r>
      <w:r>
        <w:rPr>
          <w:color w:val="231F20"/>
          <w:w w:val="120"/>
        </w:rPr>
        <w:t>entre le stress et les maladies17. Le tableau 3.1 résume le continuum proposé</w:t>
      </w:r>
      <w:r>
        <w:rPr>
          <w:color w:val="231F20"/>
          <w:spacing w:val="-13"/>
          <w:w w:val="120"/>
        </w:rPr>
        <w:t> </w:t>
      </w:r>
      <w:r>
        <w:rPr>
          <w:color w:val="231F20"/>
          <w:w w:val="120"/>
        </w:rPr>
        <w:t>par Borysenko. Une mise en garde s’impose cependant</w:t>
      </w:r>
      <w:r>
        <w:rPr>
          <w:color w:val="231F20"/>
          <w:spacing w:val="-13"/>
          <w:w w:val="120"/>
        </w:rPr>
        <w:t> </w:t>
      </w:r>
      <w:r>
        <w:rPr>
          <w:color w:val="231F20"/>
          <w:w w:val="120"/>
        </w:rPr>
        <w:t>: pour comprendre le phénomène stress-maladie/esprit-corps, nous devons </w:t>
      </w:r>
      <w:r>
        <w:rPr>
          <w:color w:val="231F20"/>
          <w:spacing w:val="-2"/>
          <w:w w:val="120"/>
        </w:rPr>
        <w:t>considérer</w:t>
      </w:r>
      <w:r>
        <w:rPr>
          <w:color w:val="231F20"/>
          <w:spacing w:val="-7"/>
          <w:w w:val="120"/>
        </w:rPr>
        <w:t> </w:t>
      </w:r>
      <w:r>
        <w:rPr>
          <w:color w:val="231F20"/>
          <w:spacing w:val="-2"/>
          <w:w w:val="120"/>
        </w:rPr>
        <w:t>l’individu</w:t>
      </w:r>
      <w:r>
        <w:rPr>
          <w:color w:val="231F20"/>
          <w:spacing w:val="-7"/>
          <w:w w:val="120"/>
        </w:rPr>
        <w:t> </w:t>
      </w:r>
      <w:r>
        <w:rPr>
          <w:color w:val="231F20"/>
          <w:spacing w:val="-2"/>
          <w:w w:val="120"/>
        </w:rPr>
        <w:t>comme</w:t>
      </w:r>
      <w:r>
        <w:rPr>
          <w:color w:val="231F20"/>
          <w:spacing w:val="-7"/>
          <w:w w:val="120"/>
        </w:rPr>
        <w:t> </w:t>
      </w:r>
      <w:r>
        <w:rPr>
          <w:color w:val="231F20"/>
          <w:spacing w:val="-2"/>
          <w:w w:val="120"/>
        </w:rPr>
        <w:t>étant</w:t>
      </w:r>
      <w:r>
        <w:rPr>
          <w:color w:val="231F20"/>
          <w:spacing w:val="-7"/>
          <w:w w:val="120"/>
        </w:rPr>
        <w:t> </w:t>
      </w:r>
      <w:r>
        <w:rPr>
          <w:color w:val="231F20"/>
          <w:spacing w:val="-2"/>
          <w:w w:val="120"/>
        </w:rPr>
        <w:t>plus</w:t>
      </w:r>
      <w:r>
        <w:rPr>
          <w:color w:val="231F20"/>
          <w:spacing w:val="-7"/>
          <w:w w:val="120"/>
        </w:rPr>
        <w:t> </w:t>
      </w:r>
      <w:r>
        <w:rPr>
          <w:color w:val="231F20"/>
          <w:spacing w:val="-2"/>
          <w:w w:val="120"/>
        </w:rPr>
        <w:t>grand</w:t>
      </w:r>
      <w:r>
        <w:rPr>
          <w:color w:val="231F20"/>
          <w:spacing w:val="-7"/>
          <w:w w:val="120"/>
        </w:rPr>
        <w:t> </w:t>
      </w:r>
      <w:r>
        <w:rPr>
          <w:color w:val="231F20"/>
          <w:spacing w:val="-2"/>
          <w:w w:val="120"/>
        </w:rPr>
        <w:t>que</w:t>
      </w:r>
      <w:r>
        <w:rPr>
          <w:color w:val="231F20"/>
          <w:spacing w:val="-7"/>
          <w:w w:val="120"/>
        </w:rPr>
        <w:t> </w:t>
      </w:r>
      <w:r>
        <w:rPr>
          <w:color w:val="231F20"/>
          <w:spacing w:val="-2"/>
          <w:w w:val="120"/>
        </w:rPr>
        <w:t>la</w:t>
      </w:r>
      <w:r>
        <w:rPr>
          <w:color w:val="231F20"/>
          <w:spacing w:val="-7"/>
          <w:w w:val="120"/>
        </w:rPr>
        <w:t> </w:t>
      </w:r>
      <w:r>
        <w:rPr>
          <w:color w:val="231F20"/>
          <w:spacing w:val="-2"/>
          <w:w w:val="120"/>
        </w:rPr>
        <w:t>somme</w:t>
      </w:r>
      <w:r>
        <w:rPr>
          <w:color w:val="231F20"/>
          <w:spacing w:val="-7"/>
          <w:w w:val="120"/>
        </w:rPr>
        <w:t> </w:t>
      </w:r>
      <w:r>
        <w:rPr>
          <w:color w:val="231F20"/>
          <w:spacing w:val="-2"/>
          <w:w w:val="120"/>
        </w:rPr>
        <w:t>de</w:t>
      </w:r>
      <w:r>
        <w:rPr>
          <w:color w:val="231F20"/>
          <w:spacing w:val="-7"/>
          <w:w w:val="120"/>
        </w:rPr>
        <w:t> </w:t>
      </w:r>
      <w:r>
        <w:rPr>
          <w:color w:val="231F20"/>
          <w:spacing w:val="-2"/>
          <w:w w:val="120"/>
        </w:rPr>
        <w:t>ses</w:t>
      </w:r>
      <w:r>
        <w:rPr>
          <w:color w:val="231F20"/>
          <w:spacing w:val="-7"/>
          <w:w w:val="120"/>
        </w:rPr>
        <w:t> </w:t>
      </w:r>
      <w:r>
        <w:rPr>
          <w:color w:val="231F20"/>
          <w:spacing w:val="-2"/>
          <w:w w:val="120"/>
        </w:rPr>
        <w:t>com- </w:t>
      </w:r>
      <w:r>
        <w:rPr>
          <w:color w:val="231F20"/>
          <w:w w:val="120"/>
        </w:rPr>
        <w:t>posantes</w:t>
      </w:r>
      <w:r>
        <w:rPr>
          <w:color w:val="231F20"/>
          <w:spacing w:val="-11"/>
          <w:w w:val="120"/>
        </w:rPr>
        <w:t> </w:t>
      </w:r>
      <w:r>
        <w:rPr>
          <w:color w:val="231F20"/>
          <w:w w:val="120"/>
        </w:rPr>
        <w:t>physiologiques.</w:t>
      </w:r>
      <w:r>
        <w:rPr>
          <w:color w:val="231F20"/>
          <w:spacing w:val="-11"/>
          <w:w w:val="120"/>
        </w:rPr>
        <w:t> </w:t>
      </w:r>
      <w:r>
        <w:rPr>
          <w:color w:val="231F20"/>
          <w:w w:val="120"/>
        </w:rPr>
        <w:t>En</w:t>
      </w:r>
      <w:r>
        <w:rPr>
          <w:color w:val="231F20"/>
          <w:spacing w:val="-11"/>
          <w:w w:val="120"/>
        </w:rPr>
        <w:t> </w:t>
      </w:r>
      <w:r>
        <w:rPr>
          <w:color w:val="231F20"/>
          <w:w w:val="120"/>
        </w:rPr>
        <w:t>milieu</w:t>
      </w:r>
      <w:r>
        <w:rPr>
          <w:color w:val="231F20"/>
          <w:spacing w:val="-11"/>
          <w:w w:val="120"/>
        </w:rPr>
        <w:t> </w:t>
      </w:r>
      <w:r>
        <w:rPr>
          <w:color w:val="231F20"/>
          <w:w w:val="120"/>
        </w:rPr>
        <w:t>de</w:t>
      </w:r>
      <w:r>
        <w:rPr>
          <w:color w:val="231F20"/>
          <w:spacing w:val="-11"/>
          <w:w w:val="120"/>
        </w:rPr>
        <w:t> </w:t>
      </w:r>
      <w:r>
        <w:rPr>
          <w:color w:val="231F20"/>
          <w:w w:val="120"/>
        </w:rPr>
        <w:t>travail,</w:t>
      </w:r>
      <w:r>
        <w:rPr>
          <w:color w:val="231F20"/>
          <w:spacing w:val="-11"/>
          <w:w w:val="120"/>
        </w:rPr>
        <w:t> </w:t>
      </w:r>
      <w:r>
        <w:rPr>
          <w:color w:val="231F20"/>
          <w:w w:val="120"/>
        </w:rPr>
        <w:t>les</w:t>
      </w:r>
      <w:r>
        <w:rPr>
          <w:color w:val="231F20"/>
          <w:spacing w:val="-11"/>
          <w:w w:val="120"/>
        </w:rPr>
        <w:t> </w:t>
      </w:r>
      <w:r>
        <w:rPr>
          <w:color w:val="231F20"/>
          <w:w w:val="120"/>
        </w:rPr>
        <w:t>problèmes</w:t>
      </w:r>
      <w:r>
        <w:rPr>
          <w:color w:val="231F20"/>
          <w:spacing w:val="-11"/>
          <w:w w:val="120"/>
        </w:rPr>
        <w:t> </w:t>
      </w:r>
      <w:r>
        <w:rPr>
          <w:color w:val="231F20"/>
          <w:w w:val="120"/>
        </w:rPr>
        <w:t>physiques </w:t>
      </w:r>
      <w:r>
        <w:rPr>
          <w:color w:val="231F20"/>
          <w:w w:val="115"/>
        </w:rPr>
        <w:t>dont</w:t>
      </w:r>
      <w:r>
        <w:rPr>
          <w:color w:val="231F20"/>
          <w:spacing w:val="-7"/>
          <w:w w:val="115"/>
        </w:rPr>
        <w:t> </w:t>
      </w:r>
      <w:r>
        <w:rPr>
          <w:color w:val="231F20"/>
          <w:w w:val="115"/>
        </w:rPr>
        <w:t>souffrent</w:t>
      </w:r>
      <w:r>
        <w:rPr>
          <w:color w:val="231F20"/>
          <w:spacing w:val="-7"/>
          <w:w w:val="115"/>
        </w:rPr>
        <w:t> </w:t>
      </w:r>
      <w:r>
        <w:rPr>
          <w:color w:val="231F20"/>
          <w:w w:val="115"/>
        </w:rPr>
        <w:t>les</w:t>
      </w:r>
      <w:r>
        <w:rPr>
          <w:color w:val="231F20"/>
          <w:spacing w:val="-7"/>
          <w:w w:val="115"/>
        </w:rPr>
        <w:t> </w:t>
      </w:r>
      <w:r>
        <w:rPr>
          <w:color w:val="231F20"/>
          <w:w w:val="115"/>
        </w:rPr>
        <w:t>travailleurs</w:t>
      </w:r>
      <w:r>
        <w:rPr>
          <w:color w:val="231F20"/>
          <w:spacing w:val="-7"/>
          <w:w w:val="115"/>
        </w:rPr>
        <w:t> </w:t>
      </w:r>
      <w:r>
        <w:rPr>
          <w:color w:val="231F20"/>
          <w:w w:val="115"/>
        </w:rPr>
        <w:t>sont</w:t>
      </w:r>
      <w:r>
        <w:rPr>
          <w:color w:val="231F20"/>
          <w:spacing w:val="-7"/>
          <w:w w:val="115"/>
        </w:rPr>
        <w:t> </w:t>
      </w:r>
      <w:r>
        <w:rPr>
          <w:color w:val="231F20"/>
          <w:w w:val="115"/>
        </w:rPr>
        <w:t>plus</w:t>
      </w:r>
      <w:r>
        <w:rPr>
          <w:color w:val="231F20"/>
          <w:spacing w:val="-7"/>
          <w:w w:val="115"/>
        </w:rPr>
        <w:t> </w:t>
      </w:r>
      <w:r>
        <w:rPr>
          <w:color w:val="231F20"/>
          <w:w w:val="115"/>
        </w:rPr>
        <w:t>faciles</w:t>
      </w:r>
      <w:r>
        <w:rPr>
          <w:color w:val="231F20"/>
          <w:spacing w:val="-7"/>
          <w:w w:val="115"/>
        </w:rPr>
        <w:t> </w:t>
      </w:r>
      <w:r>
        <w:rPr>
          <w:color w:val="231F20"/>
          <w:w w:val="115"/>
        </w:rPr>
        <w:t>à</w:t>
      </w:r>
      <w:r>
        <w:rPr>
          <w:color w:val="231F20"/>
          <w:spacing w:val="-7"/>
          <w:w w:val="115"/>
        </w:rPr>
        <w:t> </w:t>
      </w:r>
      <w:r>
        <w:rPr>
          <w:color w:val="231F20"/>
          <w:w w:val="115"/>
        </w:rPr>
        <w:t>quantifier</w:t>
      </w:r>
      <w:r>
        <w:rPr>
          <w:color w:val="231F20"/>
          <w:spacing w:val="-7"/>
          <w:w w:val="115"/>
        </w:rPr>
        <w:t> </w:t>
      </w:r>
      <w:r>
        <w:rPr>
          <w:color w:val="231F20"/>
          <w:w w:val="115"/>
        </w:rPr>
        <w:t>que</w:t>
      </w:r>
      <w:r>
        <w:rPr>
          <w:color w:val="231F20"/>
          <w:spacing w:val="-7"/>
          <w:w w:val="115"/>
        </w:rPr>
        <w:t> </w:t>
      </w:r>
      <w:r>
        <w:rPr>
          <w:color w:val="231F20"/>
          <w:w w:val="115"/>
        </w:rPr>
        <w:t>leurs</w:t>
      </w:r>
      <w:r>
        <w:rPr>
          <w:color w:val="231F20"/>
          <w:spacing w:val="-7"/>
          <w:w w:val="115"/>
        </w:rPr>
        <w:t> </w:t>
      </w:r>
      <w:r>
        <w:rPr>
          <w:color w:val="231F20"/>
          <w:w w:val="115"/>
        </w:rPr>
        <w:t>effets psychologiques,</w:t>
      </w:r>
      <w:r>
        <w:rPr>
          <w:color w:val="231F20"/>
          <w:spacing w:val="-3"/>
          <w:w w:val="115"/>
        </w:rPr>
        <w:t> </w:t>
      </w:r>
      <w:r>
        <w:rPr>
          <w:color w:val="231F20"/>
          <w:w w:val="115"/>
        </w:rPr>
        <w:t>malgré</w:t>
      </w:r>
      <w:r>
        <w:rPr>
          <w:color w:val="231F20"/>
          <w:spacing w:val="-3"/>
          <w:w w:val="115"/>
        </w:rPr>
        <w:t> </w:t>
      </w:r>
      <w:r>
        <w:rPr>
          <w:color w:val="231F20"/>
          <w:w w:val="115"/>
        </w:rPr>
        <w:t>l’importance</w:t>
      </w:r>
      <w:r>
        <w:rPr>
          <w:color w:val="231F20"/>
          <w:spacing w:val="-3"/>
          <w:w w:val="115"/>
        </w:rPr>
        <w:t> </w:t>
      </w:r>
      <w:r>
        <w:rPr>
          <w:color w:val="231F20"/>
          <w:w w:val="115"/>
        </w:rPr>
        <w:t>comparable</w:t>
      </w:r>
      <w:r>
        <w:rPr>
          <w:color w:val="231F20"/>
          <w:spacing w:val="-3"/>
          <w:w w:val="115"/>
        </w:rPr>
        <w:t> </w:t>
      </w:r>
      <w:r>
        <w:rPr>
          <w:color w:val="231F20"/>
          <w:w w:val="115"/>
        </w:rPr>
        <w:t>des</w:t>
      </w:r>
      <w:r>
        <w:rPr>
          <w:color w:val="231F20"/>
          <w:spacing w:val="-3"/>
          <w:w w:val="115"/>
        </w:rPr>
        <w:t> </w:t>
      </w:r>
      <w:r>
        <w:rPr>
          <w:color w:val="231F20"/>
          <w:w w:val="115"/>
        </w:rPr>
        <w:t>deux</w:t>
      </w:r>
      <w:r>
        <w:rPr>
          <w:color w:val="231F20"/>
          <w:spacing w:val="-3"/>
          <w:w w:val="115"/>
        </w:rPr>
        <w:t> </w:t>
      </w:r>
      <w:r>
        <w:rPr>
          <w:color w:val="231F20"/>
          <w:w w:val="115"/>
        </w:rPr>
        <w:t>types</w:t>
      </w:r>
      <w:r>
        <w:rPr>
          <w:color w:val="231F20"/>
          <w:spacing w:val="-3"/>
          <w:w w:val="115"/>
        </w:rPr>
        <w:t> </w:t>
      </w:r>
      <w:r>
        <w:rPr>
          <w:color w:val="231F20"/>
          <w:w w:val="115"/>
        </w:rPr>
        <w:t>d’affec- </w:t>
      </w:r>
      <w:r>
        <w:rPr>
          <w:color w:val="231F20"/>
          <w:spacing w:val="-2"/>
          <w:w w:val="120"/>
        </w:rPr>
        <w:t>tions.</w:t>
      </w:r>
      <w:r>
        <w:rPr>
          <w:color w:val="231F20"/>
          <w:spacing w:val="-5"/>
          <w:w w:val="120"/>
        </w:rPr>
        <w:t> </w:t>
      </w:r>
      <w:r>
        <w:rPr>
          <w:color w:val="231F20"/>
          <w:spacing w:val="-2"/>
          <w:w w:val="120"/>
        </w:rPr>
        <w:t>Le</w:t>
      </w:r>
      <w:r>
        <w:rPr>
          <w:color w:val="231F20"/>
          <w:spacing w:val="-5"/>
          <w:w w:val="120"/>
        </w:rPr>
        <w:t> </w:t>
      </w:r>
      <w:r>
        <w:rPr>
          <w:color w:val="231F20"/>
          <w:spacing w:val="-2"/>
          <w:w w:val="120"/>
        </w:rPr>
        <w:t>tableau</w:t>
      </w:r>
      <w:r>
        <w:rPr>
          <w:color w:val="231F20"/>
          <w:spacing w:val="-5"/>
          <w:w w:val="120"/>
        </w:rPr>
        <w:t> </w:t>
      </w:r>
      <w:r>
        <w:rPr>
          <w:color w:val="231F20"/>
          <w:spacing w:val="-2"/>
          <w:w w:val="120"/>
        </w:rPr>
        <w:t>3.2</w:t>
      </w:r>
      <w:r>
        <w:rPr>
          <w:color w:val="231F20"/>
          <w:spacing w:val="-5"/>
          <w:w w:val="120"/>
        </w:rPr>
        <w:t> </w:t>
      </w:r>
      <w:r>
        <w:rPr>
          <w:color w:val="231F20"/>
          <w:spacing w:val="-2"/>
          <w:w w:val="120"/>
        </w:rPr>
        <w:t>décrit</w:t>
      </w:r>
      <w:r>
        <w:rPr>
          <w:color w:val="231F20"/>
          <w:spacing w:val="-5"/>
          <w:w w:val="120"/>
        </w:rPr>
        <w:t> </w:t>
      </w:r>
      <w:r>
        <w:rPr>
          <w:color w:val="231F20"/>
          <w:spacing w:val="-2"/>
          <w:w w:val="120"/>
        </w:rPr>
        <w:t>quelques-unes</w:t>
      </w:r>
      <w:r>
        <w:rPr>
          <w:color w:val="231F20"/>
          <w:spacing w:val="-5"/>
          <w:w w:val="120"/>
        </w:rPr>
        <w:t> </w:t>
      </w:r>
      <w:r>
        <w:rPr>
          <w:color w:val="231F20"/>
          <w:spacing w:val="-2"/>
          <w:w w:val="120"/>
        </w:rPr>
        <w:t>des</w:t>
      </w:r>
      <w:r>
        <w:rPr>
          <w:color w:val="231F20"/>
          <w:spacing w:val="-5"/>
          <w:w w:val="120"/>
        </w:rPr>
        <w:t> </w:t>
      </w:r>
      <w:r>
        <w:rPr>
          <w:color w:val="231F20"/>
          <w:spacing w:val="-2"/>
          <w:w w:val="120"/>
        </w:rPr>
        <w:t>pathologies</w:t>
      </w:r>
      <w:r>
        <w:rPr>
          <w:color w:val="231F20"/>
          <w:spacing w:val="-5"/>
          <w:w w:val="120"/>
        </w:rPr>
        <w:t> </w:t>
      </w:r>
      <w:r>
        <w:rPr>
          <w:color w:val="231F20"/>
          <w:spacing w:val="-2"/>
          <w:w w:val="120"/>
        </w:rPr>
        <w:t>physiques</w:t>
      </w:r>
      <w:r>
        <w:rPr>
          <w:color w:val="231F20"/>
          <w:spacing w:val="-5"/>
          <w:w w:val="120"/>
        </w:rPr>
        <w:t> </w:t>
      </w:r>
      <w:r>
        <w:rPr>
          <w:color w:val="231F20"/>
          <w:spacing w:val="-2"/>
          <w:w w:val="120"/>
        </w:rPr>
        <w:t>qui </w:t>
      </w:r>
      <w:r>
        <w:rPr>
          <w:color w:val="231F20"/>
          <w:w w:val="120"/>
        </w:rPr>
        <w:t>peuvent avoir le stress pour origine.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2"/>
        </w:rPr>
      </w:pPr>
      <w:r>
        <w:rPr/>
        <w:pict>
          <v:shape style="position:absolute;margin-left:62.5pt;margin-top:8.316890pt;width:287.5pt;height:.1pt;mso-position-horizontal-relative:page;mso-position-vertical-relative:paragraph;z-index:-15669248;mso-wrap-distance-left:0;mso-wrap-distance-right:0" id="docshape755" coordorigin="1250,166" coordsize="5750,0" path="m1250,166l7000,166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7" w:hanging="406"/>
        <w:jc w:val="both"/>
        <w:rPr>
          <w:rFonts w:ascii="Arial" w:hAnsi="Arial"/>
          <w:sz w:val="12"/>
        </w:rPr>
      </w:pPr>
      <w:r>
        <w:rPr>
          <w:rFonts w:ascii="Arial" w:hAnsi="Arial"/>
          <w:color w:val="231F20"/>
          <w:sz w:val="12"/>
        </w:rPr>
        <w:t>Cohen, S. </w:t>
      </w:r>
      <w:r>
        <w:rPr>
          <w:rFonts w:ascii="Arial" w:hAnsi="Arial"/>
          <w:i/>
          <w:color w:val="231F20"/>
          <w:sz w:val="12"/>
        </w:rPr>
        <w:t>et al</w:t>
      </w:r>
      <w:r>
        <w:rPr>
          <w:rFonts w:ascii="Arial" w:hAnsi="Arial"/>
          <w:color w:val="231F20"/>
          <w:sz w:val="12"/>
        </w:rPr>
        <w:t>. (1999). Psychological stress, cytokine production, and severity of upper respiratory illness,</w:t>
      </w:r>
      <w:r>
        <w:rPr>
          <w:rFonts w:ascii="Arial" w:hAnsi="Arial"/>
          <w:color w:val="231F20"/>
          <w:spacing w:val="40"/>
          <w:sz w:val="12"/>
        </w:rPr>
        <w:t> </w:t>
      </w:r>
      <w:r>
        <w:rPr>
          <w:rFonts w:ascii="Arial" w:hAnsi="Arial"/>
          <w:i/>
          <w:color w:val="231F20"/>
          <w:sz w:val="12"/>
        </w:rPr>
        <w:t>Psychosomatic Medicine</w:t>
      </w:r>
      <w:r>
        <w:rPr>
          <w:rFonts w:ascii="Arial" w:hAnsi="Arial"/>
          <w:color w:val="231F20"/>
          <w:sz w:val="12"/>
        </w:rPr>
        <w:t>, </w:t>
      </w:r>
      <w:r>
        <w:rPr>
          <w:rFonts w:ascii="Arial" w:hAnsi="Arial"/>
          <w:i/>
          <w:color w:val="231F20"/>
          <w:sz w:val="12"/>
        </w:rPr>
        <w:t>61</w:t>
      </w:r>
      <w:r>
        <w:rPr>
          <w:rFonts w:ascii="Arial" w:hAnsi="Arial"/>
          <w:color w:val="231F20"/>
          <w:sz w:val="12"/>
        </w:rPr>
        <w:t>, 175-180</w:t>
      </w:r>
      <w:r>
        <w:rPr>
          <w:rFonts w:ascii="Arial" w:hAnsi="Arial"/>
          <w:color w:val="231F20"/>
          <w:spacing w:val="-9"/>
          <w:sz w:val="12"/>
        </w:rPr>
        <w:t> </w:t>
      </w:r>
      <w:r>
        <w:rPr>
          <w:rFonts w:ascii="Arial" w:hAnsi="Arial"/>
          <w:color w:val="231F20"/>
          <w:sz w:val="12"/>
        </w:rPr>
        <w:t>; O’Leary, A. (1990). Stress, emotion, and human immune function,</w:t>
      </w:r>
      <w:r>
        <w:rPr>
          <w:rFonts w:ascii="Arial" w:hAnsi="Arial"/>
          <w:color w:val="231F20"/>
          <w:spacing w:val="40"/>
          <w:sz w:val="12"/>
        </w:rPr>
        <w:t> </w:t>
      </w:r>
      <w:r>
        <w:rPr>
          <w:rFonts w:ascii="Arial" w:hAnsi="Arial"/>
          <w:i/>
          <w:color w:val="231F20"/>
          <w:sz w:val="12"/>
        </w:rPr>
        <w:t>Psychological</w:t>
      </w:r>
      <w:r>
        <w:rPr>
          <w:rFonts w:ascii="Arial" w:hAnsi="Arial"/>
          <w:i/>
          <w:color w:val="231F20"/>
          <w:spacing w:val="-3"/>
          <w:sz w:val="12"/>
        </w:rPr>
        <w:t> </w:t>
      </w:r>
      <w:r>
        <w:rPr>
          <w:rFonts w:ascii="Arial" w:hAnsi="Arial"/>
          <w:i/>
          <w:color w:val="231F20"/>
          <w:sz w:val="12"/>
        </w:rPr>
        <w:t>Bulletin</w:t>
      </w:r>
      <w:r>
        <w:rPr>
          <w:rFonts w:ascii="Arial" w:hAnsi="Arial"/>
          <w:color w:val="231F20"/>
          <w:sz w:val="12"/>
        </w:rPr>
        <w:t>, </w:t>
      </w:r>
      <w:r>
        <w:rPr>
          <w:rFonts w:ascii="Arial" w:hAnsi="Arial"/>
          <w:i/>
          <w:color w:val="231F20"/>
          <w:sz w:val="12"/>
        </w:rPr>
        <w:t>108</w:t>
      </w:r>
      <w:r>
        <w:rPr>
          <w:rFonts w:ascii="Arial" w:hAnsi="Arial"/>
          <w:color w:val="231F20"/>
          <w:sz w:val="12"/>
        </w:rPr>
        <w:t>, 363-382</w:t>
      </w:r>
      <w:r>
        <w:rPr>
          <w:rFonts w:ascii="Arial" w:hAnsi="Arial"/>
          <w:color w:val="231F20"/>
          <w:spacing w:val="-9"/>
          <w:sz w:val="12"/>
        </w:rPr>
        <w:t> </w:t>
      </w:r>
      <w:r>
        <w:rPr>
          <w:rFonts w:ascii="Arial" w:hAnsi="Arial"/>
          <w:color w:val="231F20"/>
          <w:sz w:val="12"/>
        </w:rPr>
        <w:t>; Padgett, D. et Glaser, R. (2003). How stress influences the immune</w:t>
      </w:r>
      <w:r>
        <w:rPr>
          <w:rFonts w:ascii="Arial" w:hAnsi="Arial"/>
          <w:color w:val="231F20"/>
          <w:spacing w:val="40"/>
          <w:sz w:val="12"/>
        </w:rPr>
        <w:t> </w:t>
      </w:r>
      <w:r>
        <w:rPr>
          <w:rFonts w:ascii="Arial" w:hAnsi="Arial"/>
          <w:color w:val="231F20"/>
          <w:sz w:val="12"/>
        </w:rPr>
        <w:t>response, </w:t>
      </w:r>
      <w:r>
        <w:rPr>
          <w:rFonts w:ascii="Arial" w:hAnsi="Arial"/>
          <w:i/>
          <w:color w:val="231F20"/>
          <w:sz w:val="12"/>
        </w:rPr>
        <w:t>Trends in Immunology</w:t>
      </w:r>
      <w:r>
        <w:rPr>
          <w:rFonts w:ascii="Arial" w:hAnsi="Arial"/>
          <w:color w:val="231F20"/>
          <w:sz w:val="12"/>
        </w:rPr>
        <w:t>, </w:t>
      </w:r>
      <w:r>
        <w:rPr>
          <w:rFonts w:ascii="Arial" w:hAnsi="Arial"/>
          <w:i/>
          <w:color w:val="231F20"/>
          <w:sz w:val="12"/>
        </w:rPr>
        <w:t>24</w:t>
      </w:r>
      <w:r>
        <w:rPr>
          <w:rFonts w:ascii="Arial" w:hAnsi="Arial"/>
          <w:color w:val="231F20"/>
          <w:sz w:val="12"/>
        </w:rPr>
        <w:t>, 444-448.</w:t>
      </w:r>
    </w:p>
    <w:p>
      <w:pPr>
        <w:pStyle w:val="ListParagraph"/>
        <w:numPr>
          <w:ilvl w:val="0"/>
          <w:numId w:val="42"/>
        </w:numPr>
        <w:tabs>
          <w:tab w:pos="830" w:val="left" w:leader="none"/>
        </w:tabs>
        <w:spacing w:line="240" w:lineRule="auto" w:before="1" w:after="0"/>
        <w:ind w:left="829" w:right="0" w:hanging="406"/>
        <w:jc w:val="both"/>
        <w:rPr>
          <w:rFonts w:ascii="Arial" w:hAnsi="Arial"/>
          <w:sz w:val="12"/>
        </w:rPr>
      </w:pPr>
      <w:r>
        <w:rPr>
          <w:rFonts w:ascii="Arial" w:hAnsi="Arial"/>
          <w:color w:val="231F20"/>
          <w:w w:val="95"/>
          <w:sz w:val="12"/>
        </w:rPr>
        <w:t>Borysenko,</w:t>
      </w:r>
      <w:r>
        <w:rPr>
          <w:rFonts w:ascii="Arial" w:hAnsi="Arial"/>
          <w:color w:val="231F20"/>
          <w:spacing w:val="3"/>
          <w:sz w:val="12"/>
        </w:rPr>
        <w:t> </w:t>
      </w:r>
      <w:r>
        <w:rPr>
          <w:rFonts w:ascii="Arial" w:hAnsi="Arial"/>
          <w:color w:val="231F20"/>
          <w:w w:val="95"/>
          <w:sz w:val="12"/>
        </w:rPr>
        <w:t>J.</w:t>
      </w:r>
      <w:r>
        <w:rPr>
          <w:rFonts w:ascii="Arial" w:hAnsi="Arial"/>
          <w:color w:val="231F20"/>
          <w:spacing w:val="4"/>
          <w:sz w:val="12"/>
        </w:rPr>
        <w:t> </w:t>
      </w:r>
      <w:r>
        <w:rPr>
          <w:rFonts w:ascii="Arial" w:hAnsi="Arial"/>
          <w:color w:val="231F20"/>
          <w:w w:val="95"/>
          <w:sz w:val="12"/>
        </w:rPr>
        <w:t>(1988).</w:t>
      </w:r>
      <w:r>
        <w:rPr>
          <w:rFonts w:ascii="Arial" w:hAnsi="Arial"/>
          <w:color w:val="231F20"/>
          <w:spacing w:val="4"/>
          <w:sz w:val="12"/>
        </w:rPr>
        <w:t> </w:t>
      </w:r>
      <w:r>
        <w:rPr>
          <w:rFonts w:ascii="Arial" w:hAnsi="Arial"/>
          <w:i/>
          <w:color w:val="231F20"/>
          <w:w w:val="95"/>
          <w:sz w:val="12"/>
        </w:rPr>
        <w:t>Penser</w:t>
      </w:r>
      <w:r>
        <w:rPr>
          <w:rFonts w:ascii="Arial" w:hAnsi="Arial"/>
          <w:i/>
          <w:color w:val="231F20"/>
          <w:spacing w:val="3"/>
          <w:sz w:val="12"/>
        </w:rPr>
        <w:t> </w:t>
      </w:r>
      <w:r>
        <w:rPr>
          <w:rFonts w:ascii="Arial" w:hAnsi="Arial"/>
          <w:i/>
          <w:color w:val="231F20"/>
          <w:w w:val="95"/>
          <w:sz w:val="12"/>
        </w:rPr>
        <w:t>le</w:t>
      </w:r>
      <w:r>
        <w:rPr>
          <w:rFonts w:ascii="Arial" w:hAnsi="Arial"/>
          <w:i/>
          <w:color w:val="231F20"/>
          <w:spacing w:val="4"/>
          <w:sz w:val="12"/>
        </w:rPr>
        <w:t> </w:t>
      </w:r>
      <w:r>
        <w:rPr>
          <w:rFonts w:ascii="Arial" w:hAnsi="Arial"/>
          <w:i/>
          <w:color w:val="231F20"/>
          <w:w w:val="95"/>
          <w:sz w:val="12"/>
        </w:rPr>
        <w:t>corps,</w:t>
      </w:r>
      <w:r>
        <w:rPr>
          <w:rFonts w:ascii="Arial" w:hAnsi="Arial"/>
          <w:i/>
          <w:color w:val="231F20"/>
          <w:spacing w:val="4"/>
          <w:sz w:val="12"/>
        </w:rPr>
        <w:t> </w:t>
      </w:r>
      <w:r>
        <w:rPr>
          <w:rFonts w:ascii="Arial" w:hAnsi="Arial"/>
          <w:i/>
          <w:color w:val="231F20"/>
          <w:w w:val="95"/>
          <w:sz w:val="12"/>
        </w:rPr>
        <w:t>penser</w:t>
      </w:r>
      <w:r>
        <w:rPr>
          <w:rFonts w:ascii="Arial" w:hAnsi="Arial"/>
          <w:i/>
          <w:color w:val="231F20"/>
          <w:spacing w:val="4"/>
          <w:sz w:val="12"/>
        </w:rPr>
        <w:t> </w:t>
      </w:r>
      <w:r>
        <w:rPr>
          <w:rFonts w:ascii="Arial" w:hAnsi="Arial"/>
          <w:i/>
          <w:color w:val="231F20"/>
          <w:w w:val="95"/>
          <w:sz w:val="12"/>
        </w:rPr>
        <w:t>l’esprit</w:t>
      </w:r>
      <w:r>
        <w:rPr>
          <w:rFonts w:ascii="Arial" w:hAnsi="Arial"/>
          <w:color w:val="231F20"/>
          <w:w w:val="95"/>
          <w:sz w:val="12"/>
        </w:rPr>
        <w:t>,</w:t>
      </w:r>
      <w:r>
        <w:rPr>
          <w:rFonts w:ascii="Arial" w:hAnsi="Arial"/>
          <w:color w:val="231F20"/>
          <w:spacing w:val="3"/>
          <w:sz w:val="12"/>
        </w:rPr>
        <w:t> </w:t>
      </w:r>
      <w:r>
        <w:rPr>
          <w:rFonts w:ascii="Arial" w:hAnsi="Arial"/>
          <w:color w:val="231F20"/>
          <w:w w:val="95"/>
          <w:sz w:val="12"/>
        </w:rPr>
        <w:t>Paris,</w:t>
      </w:r>
      <w:r>
        <w:rPr>
          <w:rFonts w:ascii="Arial" w:hAnsi="Arial"/>
          <w:color w:val="231F20"/>
          <w:spacing w:val="4"/>
          <w:sz w:val="12"/>
        </w:rPr>
        <w:t> </w:t>
      </w:r>
      <w:r>
        <w:rPr>
          <w:rFonts w:ascii="Arial" w:hAnsi="Arial"/>
          <w:color w:val="231F20"/>
          <w:spacing w:val="-2"/>
          <w:w w:val="95"/>
          <w:sz w:val="12"/>
        </w:rPr>
        <w:t>InterÉditions.</w:t>
      </w:r>
    </w:p>
    <w:p>
      <w:pPr>
        <w:spacing w:after="0" w:line="240" w:lineRule="auto"/>
        <w:jc w:val="both"/>
        <w:rPr>
          <w:rFonts w:ascii="Arial" w:hAnsi="Arial"/>
          <w:sz w:val="12"/>
        </w:rPr>
        <w:sectPr>
          <w:footerReference w:type="default" r:id="rId216"/>
          <w:pgSz w:w="8640" w:h="12960"/>
          <w:pgMar w:footer="424" w:header="0" w:top="520" w:bottom="620" w:left="420" w:right="1140"/>
        </w:sectPr>
      </w:pPr>
    </w:p>
    <w:p>
      <w:pPr>
        <w:spacing w:before="118"/>
        <w:ind w:left="2049" w:right="0" w:firstLine="0"/>
        <w:jc w:val="left"/>
        <w:rPr>
          <w:rFonts w:ascii="Arial" w:hAnsi="Arial"/>
          <w:sz w:val="14"/>
        </w:rPr>
      </w:pPr>
      <w:bookmarkStart w:name="Tableau 3.1 / Cadre de Borysenko : liens" w:id="116"/>
      <w:bookmarkEnd w:id="116"/>
      <w:r>
        <w:rPr/>
      </w:r>
      <w:bookmarkStart w:name="Tableau 3.2 / Pathologies physiques fréq" w:id="117"/>
      <w:bookmarkEnd w:id="117"/>
      <w:r>
        <w:rPr/>
      </w:r>
      <w:bookmarkStart w:name="_bookmark50" w:id="118"/>
      <w:bookmarkEnd w:id="118"/>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spacing w:before="121"/>
        <w:ind w:left="1220" w:right="0" w:firstLine="0"/>
        <w:jc w:val="left"/>
        <w:rPr>
          <w:rFonts w:ascii="Arial"/>
          <w:b/>
          <w:sz w:val="17"/>
        </w:rPr>
      </w:pPr>
      <w:r>
        <w:rPr>
          <w:rFonts w:ascii="Arial"/>
          <w:color w:val="231F20"/>
          <w:w w:val="95"/>
          <w:sz w:val="17"/>
        </w:rPr>
        <w:t>tableau</w:t>
      </w:r>
      <w:r>
        <w:rPr>
          <w:rFonts w:ascii="Arial"/>
          <w:color w:val="231F20"/>
          <w:spacing w:val="1"/>
          <w:sz w:val="17"/>
        </w:rPr>
        <w:t> </w:t>
      </w:r>
      <w:r>
        <w:rPr>
          <w:rFonts w:ascii="Arial"/>
          <w:color w:val="231F20"/>
          <w:w w:val="95"/>
          <w:sz w:val="17"/>
        </w:rPr>
        <w:t>3.1</w:t>
      </w:r>
      <w:r>
        <w:rPr>
          <w:rFonts w:ascii="Arial"/>
          <w:color w:val="231F20"/>
          <w:spacing w:val="-8"/>
          <w:w w:val="95"/>
          <w:sz w:val="17"/>
        </w:rPr>
        <w:t> </w:t>
      </w:r>
      <w:r>
        <w:rPr>
          <w:rFonts w:ascii="Arial"/>
          <w:i/>
          <w:color w:val="231F20"/>
          <w:w w:val="95"/>
          <w:sz w:val="17"/>
        </w:rPr>
        <w:t>/</w:t>
      </w:r>
      <w:r>
        <w:rPr>
          <w:rFonts w:ascii="Arial"/>
          <w:i/>
          <w:color w:val="231F20"/>
          <w:spacing w:val="51"/>
          <w:sz w:val="17"/>
        </w:rPr>
        <w:t> </w:t>
      </w:r>
      <w:r>
        <w:rPr>
          <w:rFonts w:ascii="Arial"/>
          <w:b/>
          <w:color w:val="231F20"/>
          <w:w w:val="95"/>
          <w:sz w:val="17"/>
        </w:rPr>
        <w:t>Cadre</w:t>
      </w:r>
      <w:r>
        <w:rPr>
          <w:rFonts w:ascii="Arial"/>
          <w:b/>
          <w:color w:val="231F20"/>
          <w:spacing w:val="-2"/>
          <w:w w:val="95"/>
          <w:sz w:val="17"/>
        </w:rPr>
        <w:t> </w:t>
      </w:r>
      <w:r>
        <w:rPr>
          <w:rFonts w:ascii="Arial"/>
          <w:b/>
          <w:color w:val="231F20"/>
          <w:w w:val="95"/>
          <w:sz w:val="17"/>
        </w:rPr>
        <w:t>de</w:t>
      </w:r>
      <w:r>
        <w:rPr>
          <w:rFonts w:ascii="Arial"/>
          <w:b/>
          <w:color w:val="231F20"/>
          <w:spacing w:val="-1"/>
          <w:w w:val="95"/>
          <w:sz w:val="17"/>
        </w:rPr>
        <w:t> </w:t>
      </w:r>
      <w:r>
        <w:rPr>
          <w:rFonts w:ascii="Arial"/>
          <w:b/>
          <w:color w:val="231F20"/>
          <w:w w:val="95"/>
          <w:sz w:val="17"/>
        </w:rPr>
        <w:t>Borysenko</w:t>
      </w:r>
      <w:r>
        <w:rPr>
          <w:rFonts w:ascii="Arial"/>
          <w:b/>
          <w:color w:val="231F20"/>
          <w:spacing w:val="-27"/>
          <w:w w:val="95"/>
          <w:sz w:val="17"/>
        </w:rPr>
        <w:t> </w:t>
      </w:r>
      <w:r>
        <w:rPr>
          <w:rFonts w:ascii="Arial"/>
          <w:b/>
          <w:color w:val="231F20"/>
          <w:w w:val="95"/>
          <w:sz w:val="17"/>
        </w:rPr>
        <w:t>:</w:t>
      </w:r>
      <w:r>
        <w:rPr>
          <w:rFonts w:ascii="Arial"/>
          <w:b/>
          <w:color w:val="231F20"/>
          <w:spacing w:val="-2"/>
          <w:w w:val="95"/>
          <w:sz w:val="17"/>
        </w:rPr>
        <w:t> </w:t>
      </w:r>
      <w:r>
        <w:rPr>
          <w:rFonts w:ascii="Arial"/>
          <w:b/>
          <w:color w:val="231F20"/>
          <w:w w:val="95"/>
          <w:sz w:val="17"/>
        </w:rPr>
        <w:t>liens</w:t>
      </w:r>
      <w:r>
        <w:rPr>
          <w:rFonts w:ascii="Arial"/>
          <w:b/>
          <w:color w:val="231F20"/>
          <w:spacing w:val="-1"/>
          <w:w w:val="95"/>
          <w:sz w:val="17"/>
        </w:rPr>
        <w:t> </w:t>
      </w:r>
      <w:r>
        <w:rPr>
          <w:rFonts w:ascii="Arial"/>
          <w:b/>
          <w:color w:val="231F20"/>
          <w:w w:val="95"/>
          <w:sz w:val="17"/>
        </w:rPr>
        <w:t>entre</w:t>
      </w:r>
      <w:r>
        <w:rPr>
          <w:rFonts w:ascii="Arial"/>
          <w:b/>
          <w:color w:val="231F20"/>
          <w:spacing w:val="-2"/>
          <w:w w:val="95"/>
          <w:sz w:val="17"/>
        </w:rPr>
        <w:t> </w:t>
      </w:r>
      <w:r>
        <w:rPr>
          <w:rFonts w:ascii="Arial"/>
          <w:b/>
          <w:color w:val="231F20"/>
          <w:w w:val="95"/>
          <w:sz w:val="17"/>
        </w:rPr>
        <w:t>stress</w:t>
      </w:r>
      <w:r>
        <w:rPr>
          <w:rFonts w:ascii="Arial"/>
          <w:b/>
          <w:color w:val="231F20"/>
          <w:spacing w:val="-1"/>
          <w:w w:val="95"/>
          <w:sz w:val="17"/>
        </w:rPr>
        <w:t> </w:t>
      </w:r>
      <w:r>
        <w:rPr>
          <w:rFonts w:ascii="Arial"/>
          <w:b/>
          <w:color w:val="231F20"/>
          <w:w w:val="95"/>
          <w:sz w:val="17"/>
        </w:rPr>
        <w:t>et</w:t>
      </w:r>
      <w:r>
        <w:rPr>
          <w:rFonts w:ascii="Arial"/>
          <w:b/>
          <w:color w:val="231F20"/>
          <w:spacing w:val="-2"/>
          <w:w w:val="95"/>
          <w:sz w:val="17"/>
        </w:rPr>
        <w:t> maladie</w:t>
      </w:r>
    </w:p>
    <w:p>
      <w:pPr>
        <w:pStyle w:val="BodyText"/>
        <w:spacing w:before="4"/>
        <w:rPr>
          <w:rFonts w:ascii="Arial"/>
          <w:b/>
          <w:sz w:val="12"/>
        </w:rPr>
      </w:pPr>
    </w:p>
    <w:tbl>
      <w:tblPr>
        <w:tblW w:w="0" w:type="auto"/>
        <w:jc w:val="left"/>
        <w:tblInd w:w="1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8"/>
        <w:gridCol w:w="2662"/>
      </w:tblGrid>
      <w:tr>
        <w:trPr>
          <w:trHeight w:val="409" w:hRule="atLeast"/>
        </w:trPr>
        <w:tc>
          <w:tcPr>
            <w:tcW w:w="3088" w:type="dxa"/>
            <w:tcBorders>
              <w:bottom w:val="single" w:sz="2" w:space="0" w:color="231F20"/>
            </w:tcBorders>
          </w:tcPr>
          <w:p>
            <w:pPr>
              <w:pStyle w:val="TableParagraph"/>
              <w:spacing w:line="180" w:lineRule="atLeast" w:before="21"/>
              <w:rPr>
                <w:b/>
                <w:sz w:val="14"/>
              </w:rPr>
            </w:pPr>
            <w:r>
              <w:rPr>
                <w:b/>
                <w:color w:val="231F20"/>
                <w:sz w:val="14"/>
              </w:rPr>
              <w:t>Dérèglement du système autonome</w:t>
            </w:r>
            <w:r>
              <w:rPr>
                <w:b/>
                <w:color w:val="231F20"/>
                <w:spacing w:val="40"/>
                <w:sz w:val="14"/>
              </w:rPr>
              <w:t> </w:t>
            </w:r>
            <w:r>
              <w:rPr>
                <w:b/>
                <w:color w:val="231F20"/>
                <w:w w:val="95"/>
                <w:sz w:val="14"/>
              </w:rPr>
              <w:t>(surréaction</w:t>
            </w:r>
            <w:r>
              <w:rPr>
                <w:b/>
                <w:color w:val="231F20"/>
                <w:spacing w:val="-7"/>
                <w:w w:val="95"/>
                <w:sz w:val="14"/>
              </w:rPr>
              <w:t> </w:t>
            </w:r>
            <w:r>
              <w:rPr>
                <w:b/>
                <w:color w:val="231F20"/>
                <w:w w:val="95"/>
                <w:sz w:val="14"/>
              </w:rPr>
              <w:t>du</w:t>
            </w:r>
            <w:r>
              <w:rPr>
                <w:b/>
                <w:color w:val="231F20"/>
                <w:spacing w:val="-7"/>
                <w:w w:val="95"/>
                <w:sz w:val="14"/>
              </w:rPr>
              <w:t> </w:t>
            </w:r>
            <w:r>
              <w:rPr>
                <w:b/>
                <w:color w:val="231F20"/>
                <w:w w:val="95"/>
                <w:sz w:val="14"/>
              </w:rPr>
              <w:t>système</w:t>
            </w:r>
            <w:r>
              <w:rPr>
                <w:b/>
                <w:color w:val="231F20"/>
                <w:spacing w:val="-7"/>
                <w:w w:val="95"/>
                <w:sz w:val="14"/>
              </w:rPr>
              <w:t> </w:t>
            </w:r>
            <w:r>
              <w:rPr>
                <w:b/>
                <w:color w:val="231F20"/>
                <w:w w:val="95"/>
                <w:sz w:val="14"/>
              </w:rPr>
              <w:t>nerveux</w:t>
            </w:r>
            <w:r>
              <w:rPr>
                <w:b/>
                <w:color w:val="231F20"/>
                <w:spacing w:val="-7"/>
                <w:w w:val="95"/>
                <w:sz w:val="14"/>
              </w:rPr>
              <w:t> </w:t>
            </w:r>
            <w:r>
              <w:rPr>
                <w:b/>
                <w:color w:val="231F20"/>
                <w:w w:val="95"/>
                <w:sz w:val="14"/>
              </w:rPr>
              <w:t>autonome)</w:t>
            </w:r>
          </w:p>
        </w:tc>
        <w:tc>
          <w:tcPr>
            <w:tcW w:w="2662" w:type="dxa"/>
            <w:tcBorders>
              <w:bottom w:val="single" w:sz="2" w:space="0" w:color="231F20"/>
            </w:tcBorders>
            <w:shd w:val="clear" w:color="auto" w:fill="E2E3E4"/>
          </w:tcPr>
          <w:p>
            <w:pPr>
              <w:pStyle w:val="TableParagraph"/>
              <w:spacing w:before="1"/>
              <w:rPr>
                <w:b/>
                <w:sz w:val="19"/>
              </w:rPr>
            </w:pPr>
          </w:p>
          <w:p>
            <w:pPr>
              <w:pStyle w:val="TableParagraph"/>
              <w:spacing w:before="1"/>
              <w:ind w:left="80"/>
              <w:rPr>
                <w:b/>
                <w:sz w:val="14"/>
              </w:rPr>
            </w:pPr>
            <w:r>
              <w:rPr>
                <w:b/>
                <w:color w:val="231F20"/>
                <w:w w:val="95"/>
                <w:sz w:val="14"/>
              </w:rPr>
              <w:t>Dérèglement</w:t>
            </w:r>
            <w:r>
              <w:rPr>
                <w:b/>
                <w:color w:val="231F20"/>
                <w:spacing w:val="-1"/>
                <w:sz w:val="14"/>
              </w:rPr>
              <w:t> </w:t>
            </w:r>
            <w:r>
              <w:rPr>
                <w:b/>
                <w:color w:val="231F20"/>
                <w:w w:val="95"/>
                <w:sz w:val="14"/>
              </w:rPr>
              <w:t>du</w:t>
            </w:r>
            <w:r>
              <w:rPr>
                <w:b/>
                <w:color w:val="231F20"/>
                <w:sz w:val="14"/>
              </w:rPr>
              <w:t> </w:t>
            </w:r>
            <w:r>
              <w:rPr>
                <w:b/>
                <w:color w:val="231F20"/>
                <w:w w:val="95"/>
                <w:sz w:val="14"/>
              </w:rPr>
              <w:t>système</w:t>
            </w:r>
            <w:r>
              <w:rPr>
                <w:b/>
                <w:color w:val="231F20"/>
                <w:sz w:val="14"/>
              </w:rPr>
              <w:t> </w:t>
            </w:r>
            <w:r>
              <w:rPr>
                <w:b/>
                <w:color w:val="231F20"/>
                <w:spacing w:val="-2"/>
                <w:w w:val="95"/>
                <w:sz w:val="14"/>
              </w:rPr>
              <w:t>immunitaire</w:t>
            </w:r>
          </w:p>
        </w:tc>
      </w:tr>
      <w:tr>
        <w:trPr>
          <w:trHeight w:val="1086" w:hRule="atLeast"/>
        </w:trPr>
        <w:tc>
          <w:tcPr>
            <w:tcW w:w="3088" w:type="dxa"/>
            <w:tcBorders>
              <w:top w:val="single" w:sz="2" w:space="0" w:color="231F20"/>
              <w:bottom w:val="single" w:sz="2" w:space="0" w:color="231F20"/>
            </w:tcBorders>
          </w:tcPr>
          <w:p>
            <w:pPr>
              <w:pStyle w:val="TableParagraph"/>
              <w:numPr>
                <w:ilvl w:val="0"/>
                <w:numId w:val="47"/>
              </w:numPr>
              <w:tabs>
                <w:tab w:pos="181" w:val="left" w:leader="none"/>
              </w:tabs>
              <w:spacing w:line="240" w:lineRule="auto" w:before="17" w:after="0"/>
              <w:ind w:left="180" w:right="0" w:hanging="181"/>
              <w:jc w:val="left"/>
              <w:rPr>
                <w:sz w:val="14"/>
              </w:rPr>
            </w:pPr>
            <w:r>
              <w:rPr>
                <w:color w:val="231F20"/>
                <w:spacing w:val="-2"/>
                <w:sz w:val="14"/>
              </w:rPr>
              <w:t>Migraines</w:t>
            </w:r>
          </w:p>
          <w:p>
            <w:pPr>
              <w:pStyle w:val="TableParagraph"/>
              <w:numPr>
                <w:ilvl w:val="0"/>
                <w:numId w:val="47"/>
              </w:numPr>
              <w:tabs>
                <w:tab w:pos="181" w:val="left" w:leader="none"/>
              </w:tabs>
              <w:spacing w:line="240" w:lineRule="auto" w:before="20" w:after="0"/>
              <w:ind w:left="180" w:right="0" w:hanging="181"/>
              <w:jc w:val="left"/>
              <w:rPr>
                <w:sz w:val="14"/>
              </w:rPr>
            </w:pPr>
            <w:r>
              <w:rPr>
                <w:color w:val="231F20"/>
                <w:w w:val="95"/>
                <w:sz w:val="14"/>
              </w:rPr>
              <w:t>Ulcères</w:t>
            </w:r>
            <w:r>
              <w:rPr>
                <w:color w:val="231F20"/>
                <w:spacing w:val="10"/>
                <w:sz w:val="14"/>
              </w:rPr>
              <w:t> </w:t>
            </w:r>
            <w:r>
              <w:rPr>
                <w:color w:val="231F20"/>
                <w:spacing w:val="-2"/>
                <w:sz w:val="14"/>
              </w:rPr>
              <w:t>gastroduodénaux</w:t>
            </w:r>
          </w:p>
          <w:p>
            <w:pPr>
              <w:pStyle w:val="TableParagraph"/>
              <w:numPr>
                <w:ilvl w:val="0"/>
                <w:numId w:val="47"/>
              </w:numPr>
              <w:tabs>
                <w:tab w:pos="181" w:val="left" w:leader="none"/>
              </w:tabs>
              <w:spacing w:line="240" w:lineRule="auto" w:before="19" w:after="0"/>
              <w:ind w:left="180" w:right="0" w:hanging="181"/>
              <w:jc w:val="left"/>
              <w:rPr>
                <w:sz w:val="14"/>
              </w:rPr>
            </w:pPr>
            <w:r>
              <w:rPr>
                <w:color w:val="231F20"/>
                <w:sz w:val="14"/>
              </w:rPr>
              <w:t>Syndrome</w:t>
            </w:r>
            <w:r>
              <w:rPr>
                <w:color w:val="231F20"/>
                <w:spacing w:val="-6"/>
                <w:sz w:val="14"/>
              </w:rPr>
              <w:t> </w:t>
            </w:r>
            <w:r>
              <w:rPr>
                <w:color w:val="231F20"/>
                <w:sz w:val="14"/>
              </w:rPr>
              <w:t>du</w:t>
            </w:r>
            <w:r>
              <w:rPr>
                <w:color w:val="231F20"/>
                <w:spacing w:val="-5"/>
                <w:sz w:val="14"/>
              </w:rPr>
              <w:t> </w:t>
            </w:r>
            <w:r>
              <w:rPr>
                <w:color w:val="231F20"/>
                <w:sz w:val="14"/>
              </w:rPr>
              <w:t>côlon</w:t>
            </w:r>
            <w:r>
              <w:rPr>
                <w:color w:val="231F20"/>
                <w:spacing w:val="-5"/>
                <w:sz w:val="14"/>
              </w:rPr>
              <w:t> </w:t>
            </w:r>
            <w:r>
              <w:rPr>
                <w:color w:val="231F20"/>
                <w:spacing w:val="-2"/>
                <w:sz w:val="14"/>
              </w:rPr>
              <w:t>irritable</w:t>
            </w:r>
          </w:p>
          <w:p>
            <w:pPr>
              <w:pStyle w:val="TableParagraph"/>
              <w:numPr>
                <w:ilvl w:val="0"/>
                <w:numId w:val="47"/>
              </w:numPr>
              <w:tabs>
                <w:tab w:pos="181" w:val="left" w:leader="none"/>
              </w:tabs>
              <w:spacing w:line="240" w:lineRule="auto" w:before="19" w:after="0"/>
              <w:ind w:left="180" w:right="0" w:hanging="181"/>
              <w:jc w:val="left"/>
              <w:rPr>
                <w:sz w:val="14"/>
              </w:rPr>
            </w:pPr>
            <w:r>
              <w:rPr>
                <w:color w:val="231F20"/>
                <w:spacing w:val="-2"/>
                <w:sz w:val="14"/>
              </w:rPr>
              <w:t>Hypertension</w:t>
            </w:r>
          </w:p>
          <w:p>
            <w:pPr>
              <w:pStyle w:val="TableParagraph"/>
              <w:numPr>
                <w:ilvl w:val="0"/>
                <w:numId w:val="47"/>
              </w:numPr>
              <w:tabs>
                <w:tab w:pos="181" w:val="left" w:leader="none"/>
              </w:tabs>
              <w:spacing w:line="240" w:lineRule="auto" w:before="19" w:after="0"/>
              <w:ind w:left="180" w:right="0" w:hanging="181"/>
              <w:jc w:val="left"/>
              <w:rPr>
                <w:sz w:val="14"/>
              </w:rPr>
            </w:pPr>
            <w:r>
              <w:rPr>
                <w:color w:val="231F20"/>
                <w:spacing w:val="-2"/>
                <w:sz w:val="14"/>
              </w:rPr>
              <w:t>Coronaropathie</w:t>
            </w:r>
          </w:p>
          <w:p>
            <w:pPr>
              <w:pStyle w:val="TableParagraph"/>
              <w:numPr>
                <w:ilvl w:val="0"/>
                <w:numId w:val="47"/>
              </w:numPr>
              <w:tabs>
                <w:tab w:pos="181" w:val="left" w:leader="none"/>
              </w:tabs>
              <w:spacing w:line="149" w:lineRule="exact" w:before="19" w:after="0"/>
              <w:ind w:left="180" w:right="0" w:hanging="181"/>
              <w:jc w:val="left"/>
              <w:rPr>
                <w:sz w:val="14"/>
              </w:rPr>
            </w:pPr>
            <w:r>
              <w:rPr>
                <w:color w:val="231F20"/>
                <w:spacing w:val="-2"/>
                <w:sz w:val="14"/>
              </w:rPr>
              <w:t>Asthme</w:t>
            </w:r>
          </w:p>
        </w:tc>
        <w:tc>
          <w:tcPr>
            <w:tcW w:w="2662" w:type="dxa"/>
            <w:tcBorders>
              <w:top w:val="single" w:sz="2" w:space="0" w:color="231F20"/>
              <w:bottom w:val="single" w:sz="2" w:space="0" w:color="231F20"/>
            </w:tcBorders>
            <w:shd w:val="clear" w:color="auto" w:fill="E2E3E4"/>
          </w:tcPr>
          <w:p>
            <w:pPr>
              <w:pStyle w:val="TableParagraph"/>
              <w:numPr>
                <w:ilvl w:val="0"/>
                <w:numId w:val="48"/>
              </w:numPr>
              <w:tabs>
                <w:tab w:pos="261" w:val="left" w:leader="none"/>
              </w:tabs>
              <w:spacing w:line="240" w:lineRule="auto" w:before="18" w:after="0"/>
              <w:ind w:left="260" w:right="0" w:hanging="181"/>
              <w:jc w:val="left"/>
              <w:rPr>
                <w:sz w:val="14"/>
              </w:rPr>
            </w:pPr>
            <w:r>
              <w:rPr>
                <w:color w:val="231F20"/>
                <w:w w:val="105"/>
                <w:sz w:val="14"/>
              </w:rPr>
              <w:t>Infection</w:t>
            </w:r>
            <w:r>
              <w:rPr>
                <w:color w:val="231F20"/>
                <w:spacing w:val="-6"/>
                <w:w w:val="105"/>
                <w:sz w:val="14"/>
              </w:rPr>
              <w:t> </w:t>
            </w:r>
            <w:r>
              <w:rPr>
                <w:color w:val="231F20"/>
                <w:spacing w:val="-2"/>
                <w:w w:val="105"/>
                <w:sz w:val="14"/>
              </w:rPr>
              <w:t>(virus)</w:t>
            </w:r>
          </w:p>
          <w:p>
            <w:pPr>
              <w:pStyle w:val="TableParagraph"/>
              <w:numPr>
                <w:ilvl w:val="0"/>
                <w:numId w:val="48"/>
              </w:numPr>
              <w:tabs>
                <w:tab w:pos="261" w:val="left" w:leader="none"/>
              </w:tabs>
              <w:spacing w:line="240" w:lineRule="auto" w:before="19" w:after="0"/>
              <w:ind w:left="260" w:right="0" w:hanging="181"/>
              <w:jc w:val="left"/>
              <w:rPr>
                <w:sz w:val="14"/>
              </w:rPr>
            </w:pPr>
            <w:r>
              <w:rPr>
                <w:color w:val="231F20"/>
                <w:spacing w:val="-2"/>
                <w:sz w:val="14"/>
              </w:rPr>
              <w:t>Allergies</w:t>
            </w:r>
          </w:p>
          <w:p>
            <w:pPr>
              <w:pStyle w:val="TableParagraph"/>
              <w:numPr>
                <w:ilvl w:val="0"/>
                <w:numId w:val="48"/>
              </w:numPr>
              <w:tabs>
                <w:tab w:pos="261" w:val="left" w:leader="none"/>
              </w:tabs>
              <w:spacing w:line="240" w:lineRule="auto" w:before="19" w:after="0"/>
              <w:ind w:left="260" w:right="0" w:hanging="181"/>
              <w:jc w:val="left"/>
              <w:rPr>
                <w:sz w:val="14"/>
              </w:rPr>
            </w:pPr>
            <w:r>
              <w:rPr>
                <w:color w:val="231F20"/>
                <w:spacing w:val="-4"/>
                <w:sz w:val="14"/>
              </w:rPr>
              <w:t>Sida</w:t>
            </w:r>
          </w:p>
          <w:p>
            <w:pPr>
              <w:pStyle w:val="TableParagraph"/>
              <w:numPr>
                <w:ilvl w:val="0"/>
                <w:numId w:val="48"/>
              </w:numPr>
              <w:tabs>
                <w:tab w:pos="261" w:val="left" w:leader="none"/>
              </w:tabs>
              <w:spacing w:line="240" w:lineRule="auto" w:before="19" w:after="0"/>
              <w:ind w:left="260" w:right="0" w:hanging="181"/>
              <w:jc w:val="left"/>
              <w:rPr>
                <w:sz w:val="14"/>
              </w:rPr>
            </w:pPr>
            <w:r>
              <w:rPr>
                <w:color w:val="231F20"/>
                <w:spacing w:val="-2"/>
                <w:sz w:val="14"/>
              </w:rPr>
              <w:t>Cancer</w:t>
            </w:r>
          </w:p>
          <w:p>
            <w:pPr>
              <w:pStyle w:val="TableParagraph"/>
              <w:numPr>
                <w:ilvl w:val="0"/>
                <w:numId w:val="48"/>
              </w:numPr>
              <w:tabs>
                <w:tab w:pos="261" w:val="left" w:leader="none"/>
              </w:tabs>
              <w:spacing w:line="240" w:lineRule="auto" w:before="19" w:after="0"/>
              <w:ind w:left="260" w:right="0" w:hanging="181"/>
              <w:jc w:val="left"/>
              <w:rPr>
                <w:sz w:val="14"/>
              </w:rPr>
            </w:pPr>
            <w:r>
              <w:rPr>
                <w:color w:val="231F20"/>
                <w:spacing w:val="-2"/>
                <w:sz w:val="14"/>
              </w:rPr>
              <w:t>Lupus</w:t>
            </w:r>
          </w:p>
          <w:p>
            <w:pPr>
              <w:pStyle w:val="TableParagraph"/>
              <w:numPr>
                <w:ilvl w:val="0"/>
                <w:numId w:val="48"/>
              </w:numPr>
              <w:tabs>
                <w:tab w:pos="261" w:val="left" w:leader="none"/>
              </w:tabs>
              <w:spacing w:line="148" w:lineRule="exact" w:before="19" w:after="0"/>
              <w:ind w:left="260" w:right="0" w:hanging="181"/>
              <w:jc w:val="left"/>
              <w:rPr>
                <w:sz w:val="14"/>
              </w:rPr>
            </w:pPr>
            <w:r>
              <w:rPr>
                <w:color w:val="231F20"/>
                <w:spacing w:val="-2"/>
                <w:w w:val="110"/>
                <w:sz w:val="14"/>
              </w:rPr>
              <w:t>Arthrite</w:t>
            </w:r>
          </w:p>
        </w:tc>
      </w:tr>
    </w:tbl>
    <w:p>
      <w:pPr>
        <w:pStyle w:val="BodyText"/>
        <w:spacing w:before="3"/>
        <w:rPr>
          <w:rFonts w:ascii="Arial"/>
          <w:b/>
          <w:sz w:val="27"/>
        </w:rPr>
      </w:pPr>
    </w:p>
    <w:p>
      <w:pPr>
        <w:spacing w:before="0"/>
        <w:ind w:left="1220" w:right="0" w:firstLine="0"/>
        <w:jc w:val="left"/>
        <w:rPr>
          <w:rFonts w:ascii="Arial" w:hAnsi="Arial"/>
          <w:b/>
          <w:sz w:val="17"/>
        </w:rPr>
      </w:pPr>
      <w:r>
        <w:rPr>
          <w:rFonts w:ascii="Arial" w:hAnsi="Arial"/>
          <w:color w:val="231F20"/>
          <w:w w:val="95"/>
          <w:sz w:val="17"/>
        </w:rPr>
        <w:t>tableau</w:t>
      </w:r>
      <w:r>
        <w:rPr>
          <w:rFonts w:ascii="Arial" w:hAnsi="Arial"/>
          <w:color w:val="231F20"/>
          <w:spacing w:val="4"/>
          <w:sz w:val="17"/>
        </w:rPr>
        <w:t> </w:t>
      </w:r>
      <w:r>
        <w:rPr>
          <w:rFonts w:ascii="Arial" w:hAnsi="Arial"/>
          <w:color w:val="231F20"/>
          <w:w w:val="95"/>
          <w:sz w:val="17"/>
        </w:rPr>
        <w:t>3.2</w:t>
      </w:r>
      <w:r>
        <w:rPr>
          <w:rFonts w:ascii="Arial" w:hAnsi="Arial"/>
          <w:color w:val="231F20"/>
          <w:spacing w:val="-7"/>
          <w:w w:val="95"/>
          <w:sz w:val="17"/>
        </w:rPr>
        <w:t> </w:t>
      </w:r>
      <w:r>
        <w:rPr>
          <w:rFonts w:ascii="Arial" w:hAnsi="Arial"/>
          <w:i/>
          <w:color w:val="231F20"/>
          <w:w w:val="95"/>
          <w:sz w:val="17"/>
        </w:rPr>
        <w:t>/</w:t>
      </w:r>
      <w:r>
        <w:rPr>
          <w:rFonts w:ascii="Arial" w:hAnsi="Arial"/>
          <w:i/>
          <w:color w:val="231F20"/>
          <w:spacing w:val="56"/>
          <w:sz w:val="17"/>
        </w:rPr>
        <w:t> </w:t>
      </w:r>
      <w:r>
        <w:rPr>
          <w:rFonts w:ascii="Arial" w:hAnsi="Arial"/>
          <w:b/>
          <w:color w:val="231F20"/>
          <w:w w:val="95"/>
          <w:sz w:val="17"/>
        </w:rPr>
        <w:t>Pathologies</w:t>
      </w:r>
      <w:r>
        <w:rPr>
          <w:rFonts w:ascii="Arial" w:hAnsi="Arial"/>
          <w:b/>
          <w:color w:val="231F20"/>
          <w:spacing w:val="-2"/>
          <w:sz w:val="17"/>
        </w:rPr>
        <w:t> </w:t>
      </w:r>
      <w:r>
        <w:rPr>
          <w:rFonts w:ascii="Arial" w:hAnsi="Arial"/>
          <w:b/>
          <w:color w:val="231F20"/>
          <w:w w:val="95"/>
          <w:sz w:val="17"/>
        </w:rPr>
        <w:t>physiques</w:t>
      </w:r>
      <w:r>
        <w:rPr>
          <w:rFonts w:ascii="Arial" w:hAnsi="Arial"/>
          <w:b/>
          <w:color w:val="231F20"/>
          <w:spacing w:val="-2"/>
          <w:sz w:val="17"/>
        </w:rPr>
        <w:t> </w:t>
      </w:r>
      <w:r>
        <w:rPr>
          <w:rFonts w:ascii="Arial" w:hAnsi="Arial"/>
          <w:b/>
          <w:color w:val="231F20"/>
          <w:w w:val="95"/>
          <w:sz w:val="17"/>
        </w:rPr>
        <w:t>fréquemment</w:t>
      </w:r>
      <w:r>
        <w:rPr>
          <w:rFonts w:ascii="Arial" w:hAnsi="Arial"/>
          <w:b/>
          <w:color w:val="231F20"/>
          <w:spacing w:val="-2"/>
          <w:sz w:val="17"/>
        </w:rPr>
        <w:t> </w:t>
      </w:r>
      <w:r>
        <w:rPr>
          <w:rFonts w:ascii="Arial" w:hAnsi="Arial"/>
          <w:b/>
          <w:color w:val="231F20"/>
          <w:w w:val="95"/>
          <w:sz w:val="17"/>
        </w:rPr>
        <w:t>associées</w:t>
      </w:r>
      <w:r>
        <w:rPr>
          <w:rFonts w:ascii="Arial" w:hAnsi="Arial"/>
          <w:b/>
          <w:color w:val="231F20"/>
          <w:spacing w:val="-2"/>
          <w:sz w:val="17"/>
        </w:rPr>
        <w:t> </w:t>
      </w:r>
      <w:r>
        <w:rPr>
          <w:rFonts w:ascii="Arial" w:hAnsi="Arial"/>
          <w:b/>
          <w:color w:val="231F20"/>
          <w:w w:val="95"/>
          <w:sz w:val="17"/>
        </w:rPr>
        <w:t>au</w:t>
      </w:r>
      <w:r>
        <w:rPr>
          <w:rFonts w:ascii="Arial" w:hAnsi="Arial"/>
          <w:b/>
          <w:color w:val="231F20"/>
          <w:spacing w:val="-1"/>
          <w:sz w:val="17"/>
        </w:rPr>
        <w:t> </w:t>
      </w:r>
      <w:r>
        <w:rPr>
          <w:rFonts w:ascii="Arial" w:hAnsi="Arial"/>
          <w:b/>
          <w:color w:val="231F20"/>
          <w:spacing w:val="-2"/>
          <w:w w:val="95"/>
          <w:sz w:val="17"/>
        </w:rPr>
        <w:t>stress</w:t>
      </w:r>
    </w:p>
    <w:p>
      <w:pPr>
        <w:pStyle w:val="BodyText"/>
        <w:spacing w:before="6"/>
        <w:rPr>
          <w:rFonts w:ascii="Arial"/>
          <w:b/>
          <w:sz w:val="12"/>
        </w:rPr>
      </w:pPr>
    </w:p>
    <w:tbl>
      <w:tblPr>
        <w:tblW w:w="0" w:type="auto"/>
        <w:jc w:val="left"/>
        <w:tblInd w:w="1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0"/>
        <w:gridCol w:w="3500"/>
      </w:tblGrid>
      <w:tr>
        <w:trPr>
          <w:trHeight w:val="1096" w:hRule="atLeast"/>
        </w:trPr>
        <w:tc>
          <w:tcPr>
            <w:tcW w:w="2250" w:type="dxa"/>
            <w:tcBorders>
              <w:top w:val="single" w:sz="2" w:space="0" w:color="231F20"/>
              <w:bottom w:val="single" w:sz="4" w:space="0" w:color="E2E3E4"/>
            </w:tcBorders>
          </w:tcPr>
          <w:p>
            <w:pPr>
              <w:pStyle w:val="TableParagraph"/>
              <w:spacing w:before="23"/>
              <w:rPr>
                <w:sz w:val="14"/>
              </w:rPr>
            </w:pPr>
            <w:r>
              <w:rPr>
                <w:color w:val="231F20"/>
                <w:sz w:val="14"/>
              </w:rPr>
              <w:t>Troubles</w:t>
            </w:r>
            <w:r>
              <w:rPr>
                <w:color w:val="231F20"/>
                <w:spacing w:val="1"/>
                <w:sz w:val="14"/>
              </w:rPr>
              <w:t> </w:t>
            </w:r>
            <w:r>
              <w:rPr>
                <w:color w:val="231F20"/>
                <w:sz w:val="14"/>
              </w:rPr>
              <w:t>gastro-</w:t>
            </w:r>
            <w:r>
              <w:rPr>
                <w:color w:val="231F20"/>
                <w:spacing w:val="-2"/>
                <w:sz w:val="14"/>
              </w:rPr>
              <w:t>intestinaux</w:t>
            </w:r>
          </w:p>
        </w:tc>
        <w:tc>
          <w:tcPr>
            <w:tcW w:w="3500" w:type="dxa"/>
            <w:tcBorders>
              <w:top w:val="single" w:sz="2" w:space="0" w:color="231F20"/>
              <w:bottom w:val="single" w:sz="4" w:space="0" w:color="FFFFFF"/>
            </w:tcBorders>
            <w:shd w:val="clear" w:color="auto" w:fill="E2E3E4"/>
          </w:tcPr>
          <w:p>
            <w:pPr>
              <w:pStyle w:val="TableParagraph"/>
              <w:numPr>
                <w:ilvl w:val="0"/>
                <w:numId w:val="49"/>
              </w:numPr>
              <w:tabs>
                <w:tab w:pos="261" w:val="left" w:leader="none"/>
              </w:tabs>
              <w:spacing w:line="240" w:lineRule="auto" w:before="23" w:after="0"/>
              <w:ind w:left="260" w:right="0" w:hanging="181"/>
              <w:jc w:val="left"/>
              <w:rPr>
                <w:sz w:val="14"/>
              </w:rPr>
            </w:pPr>
            <w:r>
              <w:rPr>
                <w:color w:val="231F20"/>
                <w:sz w:val="14"/>
              </w:rPr>
              <w:t>Ulcère</w:t>
            </w:r>
            <w:r>
              <w:rPr>
                <w:color w:val="231F20"/>
                <w:spacing w:val="-9"/>
                <w:sz w:val="14"/>
              </w:rPr>
              <w:t> </w:t>
            </w:r>
            <w:r>
              <w:rPr>
                <w:color w:val="231F20"/>
                <w:spacing w:val="-2"/>
                <w:sz w:val="14"/>
              </w:rPr>
              <w:t>gastroduodénal</w:t>
            </w:r>
          </w:p>
          <w:p>
            <w:pPr>
              <w:pStyle w:val="TableParagraph"/>
              <w:numPr>
                <w:ilvl w:val="0"/>
                <w:numId w:val="49"/>
              </w:numPr>
              <w:tabs>
                <w:tab w:pos="261" w:val="left" w:leader="none"/>
              </w:tabs>
              <w:spacing w:line="240" w:lineRule="auto" w:before="20" w:after="0"/>
              <w:ind w:left="260" w:right="0" w:hanging="181"/>
              <w:jc w:val="left"/>
              <w:rPr>
                <w:sz w:val="14"/>
              </w:rPr>
            </w:pPr>
            <w:r>
              <w:rPr>
                <w:color w:val="231F20"/>
                <w:w w:val="95"/>
                <w:sz w:val="14"/>
              </w:rPr>
              <w:t>Dyspepsie</w:t>
            </w:r>
            <w:r>
              <w:rPr>
                <w:color w:val="231F20"/>
                <w:spacing w:val="7"/>
                <w:w w:val="105"/>
                <w:sz w:val="14"/>
              </w:rPr>
              <w:t> </w:t>
            </w:r>
            <w:r>
              <w:rPr>
                <w:color w:val="231F20"/>
                <w:spacing w:val="-2"/>
                <w:w w:val="105"/>
                <w:sz w:val="14"/>
              </w:rPr>
              <w:t>fonctionnelle</w:t>
            </w:r>
          </w:p>
          <w:p>
            <w:pPr>
              <w:pStyle w:val="TableParagraph"/>
              <w:numPr>
                <w:ilvl w:val="0"/>
                <w:numId w:val="49"/>
              </w:numPr>
              <w:tabs>
                <w:tab w:pos="261" w:val="left" w:leader="none"/>
              </w:tabs>
              <w:spacing w:line="240" w:lineRule="auto" w:before="19" w:after="0"/>
              <w:ind w:left="260" w:right="0" w:hanging="181"/>
              <w:jc w:val="left"/>
              <w:rPr>
                <w:sz w:val="14"/>
              </w:rPr>
            </w:pPr>
            <w:r>
              <w:rPr>
                <w:color w:val="231F20"/>
                <w:sz w:val="14"/>
              </w:rPr>
              <w:t>Syndrome</w:t>
            </w:r>
            <w:r>
              <w:rPr>
                <w:color w:val="231F20"/>
                <w:spacing w:val="-6"/>
                <w:sz w:val="14"/>
              </w:rPr>
              <w:t> </w:t>
            </w:r>
            <w:r>
              <w:rPr>
                <w:color w:val="231F20"/>
                <w:sz w:val="14"/>
              </w:rPr>
              <w:t>du</w:t>
            </w:r>
            <w:r>
              <w:rPr>
                <w:color w:val="231F20"/>
                <w:spacing w:val="-5"/>
                <w:sz w:val="14"/>
              </w:rPr>
              <w:t> </w:t>
            </w:r>
            <w:r>
              <w:rPr>
                <w:color w:val="231F20"/>
                <w:sz w:val="14"/>
              </w:rPr>
              <w:t>côlon</w:t>
            </w:r>
            <w:r>
              <w:rPr>
                <w:color w:val="231F20"/>
                <w:spacing w:val="-5"/>
                <w:sz w:val="14"/>
              </w:rPr>
              <w:t> </w:t>
            </w:r>
            <w:r>
              <w:rPr>
                <w:color w:val="231F20"/>
                <w:spacing w:val="-2"/>
                <w:sz w:val="14"/>
              </w:rPr>
              <w:t>irritable</w:t>
            </w:r>
          </w:p>
          <w:p>
            <w:pPr>
              <w:pStyle w:val="TableParagraph"/>
              <w:numPr>
                <w:ilvl w:val="0"/>
                <w:numId w:val="49"/>
              </w:numPr>
              <w:tabs>
                <w:tab w:pos="261" w:val="left" w:leader="none"/>
              </w:tabs>
              <w:spacing w:line="240" w:lineRule="auto" w:before="19" w:after="0"/>
              <w:ind w:left="260" w:right="0" w:hanging="181"/>
              <w:jc w:val="left"/>
              <w:rPr>
                <w:sz w:val="14"/>
              </w:rPr>
            </w:pPr>
            <w:r>
              <w:rPr>
                <w:color w:val="231F20"/>
                <w:sz w:val="14"/>
              </w:rPr>
              <w:t>Colite</w:t>
            </w:r>
            <w:r>
              <w:rPr>
                <w:color w:val="231F20"/>
                <w:spacing w:val="3"/>
                <w:sz w:val="14"/>
              </w:rPr>
              <w:t> </w:t>
            </w:r>
            <w:r>
              <w:rPr>
                <w:color w:val="231F20"/>
                <w:spacing w:val="-2"/>
                <w:sz w:val="14"/>
              </w:rPr>
              <w:t>ulcéreuse</w:t>
            </w:r>
          </w:p>
          <w:p>
            <w:pPr>
              <w:pStyle w:val="TableParagraph"/>
              <w:numPr>
                <w:ilvl w:val="0"/>
                <w:numId w:val="49"/>
              </w:numPr>
              <w:tabs>
                <w:tab w:pos="261" w:val="left" w:leader="none"/>
              </w:tabs>
              <w:spacing w:line="240" w:lineRule="auto" w:before="19" w:after="0"/>
              <w:ind w:left="260" w:right="0" w:hanging="181"/>
              <w:jc w:val="left"/>
              <w:rPr>
                <w:sz w:val="14"/>
              </w:rPr>
            </w:pPr>
            <w:r>
              <w:rPr>
                <w:color w:val="231F20"/>
                <w:spacing w:val="-2"/>
                <w:sz w:val="14"/>
              </w:rPr>
              <w:t>Aérophagie</w:t>
            </w:r>
          </w:p>
          <w:p>
            <w:pPr>
              <w:pStyle w:val="TableParagraph"/>
              <w:numPr>
                <w:ilvl w:val="0"/>
                <w:numId w:val="49"/>
              </w:numPr>
              <w:tabs>
                <w:tab w:pos="261" w:val="left" w:leader="none"/>
              </w:tabs>
              <w:spacing w:line="152" w:lineRule="exact" w:before="19" w:after="0"/>
              <w:ind w:left="260" w:right="0" w:hanging="181"/>
              <w:jc w:val="left"/>
              <w:rPr>
                <w:sz w:val="14"/>
              </w:rPr>
            </w:pPr>
            <w:r>
              <w:rPr>
                <w:color w:val="231F20"/>
                <w:sz w:val="14"/>
              </w:rPr>
              <w:t>Digestion</w:t>
            </w:r>
            <w:r>
              <w:rPr>
                <w:color w:val="231F20"/>
                <w:spacing w:val="1"/>
                <w:w w:val="105"/>
                <w:sz w:val="14"/>
              </w:rPr>
              <w:t> </w:t>
            </w:r>
            <w:r>
              <w:rPr>
                <w:color w:val="231F20"/>
                <w:spacing w:val="-4"/>
                <w:w w:val="105"/>
                <w:sz w:val="14"/>
              </w:rPr>
              <w:t>lente</w:t>
            </w:r>
          </w:p>
        </w:tc>
      </w:tr>
      <w:tr>
        <w:trPr>
          <w:trHeight w:val="553" w:hRule="atLeast"/>
        </w:trPr>
        <w:tc>
          <w:tcPr>
            <w:tcW w:w="2250" w:type="dxa"/>
            <w:tcBorders>
              <w:top w:val="single" w:sz="4" w:space="0" w:color="E2E3E4"/>
              <w:bottom w:val="single" w:sz="4" w:space="0" w:color="E2E3E4"/>
            </w:tcBorders>
          </w:tcPr>
          <w:p>
            <w:pPr>
              <w:pStyle w:val="TableParagraph"/>
              <w:spacing w:before="21"/>
              <w:rPr>
                <w:sz w:val="14"/>
              </w:rPr>
            </w:pPr>
            <w:r>
              <w:rPr>
                <w:color w:val="231F20"/>
                <w:spacing w:val="-2"/>
                <w:sz w:val="14"/>
              </w:rPr>
              <w:t>Troubles</w:t>
            </w:r>
            <w:r>
              <w:rPr>
                <w:color w:val="231F20"/>
                <w:spacing w:val="1"/>
                <w:sz w:val="14"/>
              </w:rPr>
              <w:t> </w:t>
            </w:r>
            <w:r>
              <w:rPr>
                <w:color w:val="231F20"/>
                <w:spacing w:val="-2"/>
                <w:sz w:val="14"/>
              </w:rPr>
              <w:t>cardiovasculaires</w:t>
            </w:r>
          </w:p>
        </w:tc>
        <w:tc>
          <w:tcPr>
            <w:tcW w:w="3500" w:type="dxa"/>
            <w:tcBorders>
              <w:top w:val="single" w:sz="4" w:space="0" w:color="FFFFFF"/>
              <w:bottom w:val="single" w:sz="4" w:space="0" w:color="FFFFFF"/>
            </w:tcBorders>
            <w:shd w:val="clear" w:color="auto" w:fill="E2E3E4"/>
          </w:tcPr>
          <w:p>
            <w:pPr>
              <w:pStyle w:val="TableParagraph"/>
              <w:numPr>
                <w:ilvl w:val="0"/>
                <w:numId w:val="50"/>
              </w:numPr>
              <w:tabs>
                <w:tab w:pos="261" w:val="left" w:leader="none"/>
              </w:tabs>
              <w:spacing w:line="240" w:lineRule="auto" w:before="21" w:after="0"/>
              <w:ind w:left="260" w:right="0" w:hanging="181"/>
              <w:jc w:val="left"/>
              <w:rPr>
                <w:sz w:val="14"/>
              </w:rPr>
            </w:pPr>
            <w:r>
              <w:rPr>
                <w:color w:val="231F20"/>
                <w:sz w:val="14"/>
              </w:rPr>
              <w:t>Hypertension</w:t>
            </w:r>
            <w:r>
              <w:rPr>
                <w:color w:val="231F20"/>
                <w:spacing w:val="2"/>
                <w:w w:val="105"/>
                <w:sz w:val="14"/>
              </w:rPr>
              <w:t> </w:t>
            </w:r>
            <w:r>
              <w:rPr>
                <w:color w:val="231F20"/>
                <w:spacing w:val="-2"/>
                <w:w w:val="105"/>
                <w:sz w:val="14"/>
              </w:rPr>
              <w:t>artérielle</w:t>
            </w:r>
          </w:p>
          <w:p>
            <w:pPr>
              <w:pStyle w:val="TableParagraph"/>
              <w:numPr>
                <w:ilvl w:val="0"/>
                <w:numId w:val="50"/>
              </w:numPr>
              <w:tabs>
                <w:tab w:pos="261" w:val="left" w:leader="none"/>
              </w:tabs>
              <w:spacing w:line="240" w:lineRule="auto" w:before="19" w:after="0"/>
              <w:ind w:left="260" w:right="0" w:hanging="181"/>
              <w:jc w:val="left"/>
              <w:rPr>
                <w:sz w:val="14"/>
              </w:rPr>
            </w:pPr>
            <w:r>
              <w:rPr>
                <w:color w:val="231F20"/>
                <w:w w:val="95"/>
                <w:sz w:val="14"/>
              </w:rPr>
              <w:t>Maladies</w:t>
            </w:r>
            <w:r>
              <w:rPr>
                <w:color w:val="231F20"/>
                <w:spacing w:val="21"/>
                <w:sz w:val="14"/>
              </w:rPr>
              <w:t> </w:t>
            </w:r>
            <w:r>
              <w:rPr>
                <w:color w:val="231F20"/>
                <w:w w:val="95"/>
                <w:sz w:val="14"/>
              </w:rPr>
              <w:t>coronariennes</w:t>
            </w:r>
            <w:r>
              <w:rPr>
                <w:color w:val="231F20"/>
                <w:spacing w:val="22"/>
                <w:sz w:val="14"/>
              </w:rPr>
              <w:t> </w:t>
            </w:r>
            <w:r>
              <w:rPr>
                <w:color w:val="231F20"/>
                <w:w w:val="95"/>
                <w:sz w:val="14"/>
              </w:rPr>
              <w:t>(angine,</w:t>
            </w:r>
            <w:r>
              <w:rPr>
                <w:color w:val="231F20"/>
                <w:spacing w:val="22"/>
                <w:sz w:val="14"/>
              </w:rPr>
              <w:t> </w:t>
            </w:r>
            <w:r>
              <w:rPr>
                <w:color w:val="231F20"/>
                <w:spacing w:val="-2"/>
                <w:w w:val="95"/>
                <w:sz w:val="14"/>
              </w:rPr>
              <w:t>myocarde)</w:t>
            </w:r>
          </w:p>
          <w:p>
            <w:pPr>
              <w:pStyle w:val="TableParagraph"/>
              <w:numPr>
                <w:ilvl w:val="0"/>
                <w:numId w:val="50"/>
              </w:numPr>
              <w:tabs>
                <w:tab w:pos="261" w:val="left" w:leader="none"/>
              </w:tabs>
              <w:spacing w:line="152" w:lineRule="exact" w:before="19" w:after="0"/>
              <w:ind w:left="260" w:right="0" w:hanging="181"/>
              <w:jc w:val="left"/>
              <w:rPr>
                <w:sz w:val="14"/>
              </w:rPr>
            </w:pPr>
            <w:r>
              <w:rPr>
                <w:color w:val="231F20"/>
                <w:spacing w:val="-2"/>
                <w:w w:val="105"/>
                <w:sz w:val="14"/>
              </w:rPr>
              <w:t>Arythmie</w:t>
            </w:r>
          </w:p>
        </w:tc>
      </w:tr>
      <w:tr>
        <w:trPr>
          <w:trHeight w:val="733" w:hRule="atLeast"/>
        </w:trPr>
        <w:tc>
          <w:tcPr>
            <w:tcW w:w="2250" w:type="dxa"/>
            <w:tcBorders>
              <w:top w:val="single" w:sz="4" w:space="0" w:color="E2E3E4"/>
              <w:bottom w:val="single" w:sz="4" w:space="0" w:color="E2E3E4"/>
            </w:tcBorders>
          </w:tcPr>
          <w:p>
            <w:pPr>
              <w:pStyle w:val="TableParagraph"/>
              <w:spacing w:before="21"/>
              <w:rPr>
                <w:sz w:val="14"/>
              </w:rPr>
            </w:pPr>
            <w:r>
              <w:rPr>
                <w:color w:val="231F20"/>
                <w:spacing w:val="-2"/>
                <w:sz w:val="14"/>
              </w:rPr>
              <w:t>Troubles</w:t>
            </w:r>
            <w:r>
              <w:rPr>
                <w:color w:val="231F20"/>
                <w:spacing w:val="1"/>
                <w:sz w:val="14"/>
              </w:rPr>
              <w:t> </w:t>
            </w:r>
            <w:r>
              <w:rPr>
                <w:color w:val="231F20"/>
                <w:spacing w:val="-2"/>
                <w:sz w:val="14"/>
              </w:rPr>
              <w:t>respiratoires</w:t>
            </w:r>
          </w:p>
        </w:tc>
        <w:tc>
          <w:tcPr>
            <w:tcW w:w="3500" w:type="dxa"/>
            <w:tcBorders>
              <w:top w:val="single" w:sz="4" w:space="0" w:color="FFFFFF"/>
              <w:bottom w:val="single" w:sz="4" w:space="0" w:color="FFFFFF"/>
            </w:tcBorders>
            <w:shd w:val="clear" w:color="auto" w:fill="E2E3E4"/>
          </w:tcPr>
          <w:p>
            <w:pPr>
              <w:pStyle w:val="TableParagraph"/>
              <w:numPr>
                <w:ilvl w:val="0"/>
                <w:numId w:val="51"/>
              </w:numPr>
              <w:tabs>
                <w:tab w:pos="261" w:val="left" w:leader="none"/>
              </w:tabs>
              <w:spacing w:line="240" w:lineRule="auto" w:before="21" w:after="0"/>
              <w:ind w:left="260" w:right="0" w:hanging="181"/>
              <w:jc w:val="left"/>
              <w:rPr>
                <w:sz w:val="14"/>
              </w:rPr>
            </w:pPr>
            <w:r>
              <w:rPr>
                <w:color w:val="231F20"/>
                <w:spacing w:val="-2"/>
                <w:sz w:val="14"/>
              </w:rPr>
              <w:t>Asthme</w:t>
            </w:r>
          </w:p>
          <w:p>
            <w:pPr>
              <w:pStyle w:val="TableParagraph"/>
              <w:numPr>
                <w:ilvl w:val="0"/>
                <w:numId w:val="51"/>
              </w:numPr>
              <w:tabs>
                <w:tab w:pos="261" w:val="left" w:leader="none"/>
              </w:tabs>
              <w:spacing w:line="240" w:lineRule="auto" w:before="19" w:after="0"/>
              <w:ind w:left="260" w:right="0" w:hanging="181"/>
              <w:jc w:val="left"/>
              <w:rPr>
                <w:sz w:val="14"/>
              </w:rPr>
            </w:pPr>
            <w:r>
              <w:rPr>
                <w:color w:val="231F20"/>
                <w:spacing w:val="-2"/>
                <w:w w:val="105"/>
                <w:sz w:val="14"/>
              </w:rPr>
              <w:t>Hyperventilation</w:t>
            </w:r>
          </w:p>
          <w:p>
            <w:pPr>
              <w:pStyle w:val="TableParagraph"/>
              <w:numPr>
                <w:ilvl w:val="0"/>
                <w:numId w:val="51"/>
              </w:numPr>
              <w:tabs>
                <w:tab w:pos="261" w:val="left" w:leader="none"/>
              </w:tabs>
              <w:spacing w:line="240" w:lineRule="auto" w:before="19" w:after="0"/>
              <w:ind w:left="260" w:right="0" w:hanging="181"/>
              <w:jc w:val="left"/>
              <w:rPr>
                <w:sz w:val="14"/>
              </w:rPr>
            </w:pPr>
            <w:r>
              <w:rPr>
                <w:color w:val="231F20"/>
                <w:spacing w:val="-2"/>
                <w:sz w:val="14"/>
              </w:rPr>
              <w:t>Dyspnée</w:t>
            </w:r>
          </w:p>
          <w:p>
            <w:pPr>
              <w:pStyle w:val="TableParagraph"/>
              <w:numPr>
                <w:ilvl w:val="0"/>
                <w:numId w:val="51"/>
              </w:numPr>
              <w:tabs>
                <w:tab w:pos="261" w:val="left" w:leader="none"/>
              </w:tabs>
              <w:spacing w:line="152" w:lineRule="exact" w:before="19" w:after="0"/>
              <w:ind w:left="260" w:right="0" w:hanging="181"/>
              <w:jc w:val="left"/>
              <w:rPr>
                <w:sz w:val="14"/>
              </w:rPr>
            </w:pPr>
            <w:r>
              <w:rPr>
                <w:color w:val="231F20"/>
                <w:sz w:val="14"/>
              </w:rPr>
              <w:t>Sensation</w:t>
            </w:r>
            <w:r>
              <w:rPr>
                <w:color w:val="231F20"/>
                <w:spacing w:val="-10"/>
                <w:sz w:val="14"/>
              </w:rPr>
              <w:t> </w:t>
            </w:r>
            <w:r>
              <w:rPr>
                <w:color w:val="231F20"/>
                <w:sz w:val="14"/>
              </w:rPr>
              <w:t>de</w:t>
            </w:r>
            <w:r>
              <w:rPr>
                <w:color w:val="231F20"/>
                <w:spacing w:val="-10"/>
                <w:sz w:val="14"/>
              </w:rPr>
              <w:t> </w:t>
            </w:r>
            <w:r>
              <w:rPr>
                <w:color w:val="231F20"/>
                <w:sz w:val="14"/>
              </w:rPr>
              <w:t>pression</w:t>
            </w:r>
            <w:r>
              <w:rPr>
                <w:color w:val="231F20"/>
                <w:spacing w:val="-9"/>
                <w:sz w:val="14"/>
              </w:rPr>
              <w:t> </w:t>
            </w:r>
            <w:r>
              <w:rPr>
                <w:color w:val="231F20"/>
                <w:sz w:val="14"/>
              </w:rPr>
              <w:t>sur</w:t>
            </w:r>
            <w:r>
              <w:rPr>
                <w:color w:val="231F20"/>
                <w:spacing w:val="-10"/>
                <w:sz w:val="14"/>
              </w:rPr>
              <w:t> </w:t>
            </w:r>
            <w:r>
              <w:rPr>
                <w:color w:val="231F20"/>
                <w:sz w:val="14"/>
              </w:rPr>
              <w:t>le</w:t>
            </w:r>
            <w:r>
              <w:rPr>
                <w:color w:val="231F20"/>
                <w:spacing w:val="-10"/>
                <w:sz w:val="14"/>
              </w:rPr>
              <w:t> </w:t>
            </w:r>
            <w:r>
              <w:rPr>
                <w:color w:val="231F20"/>
                <w:spacing w:val="-2"/>
                <w:sz w:val="14"/>
              </w:rPr>
              <w:t>thorax</w:t>
            </w:r>
          </w:p>
        </w:tc>
      </w:tr>
      <w:tr>
        <w:trPr>
          <w:trHeight w:val="913" w:hRule="atLeast"/>
        </w:trPr>
        <w:tc>
          <w:tcPr>
            <w:tcW w:w="2250" w:type="dxa"/>
            <w:tcBorders>
              <w:top w:val="single" w:sz="4" w:space="0" w:color="E2E3E4"/>
              <w:bottom w:val="single" w:sz="4" w:space="0" w:color="E2E3E4"/>
            </w:tcBorders>
          </w:tcPr>
          <w:p>
            <w:pPr>
              <w:pStyle w:val="TableParagraph"/>
              <w:spacing w:before="21"/>
              <w:rPr>
                <w:sz w:val="14"/>
              </w:rPr>
            </w:pPr>
            <w:r>
              <w:rPr>
                <w:color w:val="231F20"/>
                <w:spacing w:val="-2"/>
                <w:sz w:val="14"/>
              </w:rPr>
              <w:t>Troubles</w:t>
            </w:r>
            <w:r>
              <w:rPr>
                <w:color w:val="231F20"/>
                <w:spacing w:val="1"/>
                <w:sz w:val="14"/>
              </w:rPr>
              <w:t> </w:t>
            </w:r>
            <w:r>
              <w:rPr>
                <w:color w:val="231F20"/>
                <w:spacing w:val="-2"/>
                <w:sz w:val="14"/>
              </w:rPr>
              <w:t>endocriniens</w:t>
            </w:r>
          </w:p>
        </w:tc>
        <w:tc>
          <w:tcPr>
            <w:tcW w:w="3500" w:type="dxa"/>
            <w:tcBorders>
              <w:top w:val="single" w:sz="4" w:space="0" w:color="FFFFFF"/>
              <w:bottom w:val="single" w:sz="4" w:space="0" w:color="FFFFFF"/>
            </w:tcBorders>
            <w:shd w:val="clear" w:color="auto" w:fill="E2E3E4"/>
          </w:tcPr>
          <w:p>
            <w:pPr>
              <w:pStyle w:val="TableParagraph"/>
              <w:numPr>
                <w:ilvl w:val="0"/>
                <w:numId w:val="52"/>
              </w:numPr>
              <w:tabs>
                <w:tab w:pos="261" w:val="left" w:leader="none"/>
              </w:tabs>
              <w:spacing w:line="240" w:lineRule="auto" w:before="21" w:after="0"/>
              <w:ind w:left="260" w:right="0" w:hanging="181"/>
              <w:jc w:val="left"/>
              <w:rPr>
                <w:sz w:val="14"/>
              </w:rPr>
            </w:pPr>
            <w:r>
              <w:rPr>
                <w:color w:val="231F20"/>
                <w:spacing w:val="-2"/>
                <w:sz w:val="14"/>
              </w:rPr>
              <w:t>Hypoglycémie</w:t>
            </w:r>
          </w:p>
          <w:p>
            <w:pPr>
              <w:pStyle w:val="TableParagraph"/>
              <w:numPr>
                <w:ilvl w:val="0"/>
                <w:numId w:val="52"/>
              </w:numPr>
              <w:tabs>
                <w:tab w:pos="261" w:val="left" w:leader="none"/>
              </w:tabs>
              <w:spacing w:line="240" w:lineRule="auto" w:before="19" w:after="0"/>
              <w:ind w:left="260" w:right="0" w:hanging="181"/>
              <w:jc w:val="left"/>
              <w:rPr>
                <w:sz w:val="14"/>
              </w:rPr>
            </w:pPr>
            <w:r>
              <w:rPr>
                <w:color w:val="231F20"/>
                <w:spacing w:val="-2"/>
                <w:sz w:val="14"/>
              </w:rPr>
              <w:t>Diabète</w:t>
            </w:r>
          </w:p>
          <w:p>
            <w:pPr>
              <w:pStyle w:val="TableParagraph"/>
              <w:numPr>
                <w:ilvl w:val="0"/>
                <w:numId w:val="52"/>
              </w:numPr>
              <w:tabs>
                <w:tab w:pos="261" w:val="left" w:leader="none"/>
              </w:tabs>
              <w:spacing w:line="240" w:lineRule="auto" w:before="19" w:after="0"/>
              <w:ind w:left="260" w:right="0" w:hanging="181"/>
              <w:jc w:val="left"/>
              <w:rPr>
                <w:sz w:val="14"/>
              </w:rPr>
            </w:pPr>
            <w:r>
              <w:rPr>
                <w:color w:val="231F20"/>
                <w:spacing w:val="-2"/>
                <w:w w:val="105"/>
                <w:sz w:val="14"/>
              </w:rPr>
              <w:t>Hyperthyroïdie</w:t>
            </w:r>
          </w:p>
          <w:p>
            <w:pPr>
              <w:pStyle w:val="TableParagraph"/>
              <w:numPr>
                <w:ilvl w:val="0"/>
                <w:numId w:val="52"/>
              </w:numPr>
              <w:tabs>
                <w:tab w:pos="261" w:val="left" w:leader="none"/>
              </w:tabs>
              <w:spacing w:line="240" w:lineRule="auto" w:before="19" w:after="0"/>
              <w:ind w:left="260" w:right="0" w:hanging="181"/>
              <w:jc w:val="left"/>
              <w:rPr>
                <w:sz w:val="14"/>
              </w:rPr>
            </w:pPr>
            <w:r>
              <w:rPr>
                <w:color w:val="231F20"/>
                <w:spacing w:val="-2"/>
                <w:w w:val="105"/>
                <w:sz w:val="14"/>
              </w:rPr>
              <w:t>Hypothyroïdie</w:t>
            </w:r>
          </w:p>
          <w:p>
            <w:pPr>
              <w:pStyle w:val="TableParagraph"/>
              <w:numPr>
                <w:ilvl w:val="0"/>
                <w:numId w:val="52"/>
              </w:numPr>
              <w:tabs>
                <w:tab w:pos="261" w:val="left" w:leader="none"/>
              </w:tabs>
              <w:spacing w:line="152" w:lineRule="exact" w:before="20" w:after="0"/>
              <w:ind w:left="260" w:right="0" w:hanging="181"/>
              <w:jc w:val="left"/>
              <w:rPr>
                <w:sz w:val="14"/>
              </w:rPr>
            </w:pPr>
            <w:r>
              <w:rPr>
                <w:color w:val="231F20"/>
                <w:w w:val="95"/>
                <w:sz w:val="14"/>
              </w:rPr>
              <w:t>Syndrome</w:t>
            </w:r>
            <w:r>
              <w:rPr>
                <w:color w:val="231F20"/>
                <w:spacing w:val="6"/>
                <w:sz w:val="14"/>
              </w:rPr>
              <w:t> </w:t>
            </w:r>
            <w:r>
              <w:rPr>
                <w:color w:val="231F20"/>
                <w:w w:val="95"/>
                <w:sz w:val="14"/>
              </w:rPr>
              <w:t>de</w:t>
            </w:r>
            <w:r>
              <w:rPr>
                <w:color w:val="231F20"/>
                <w:spacing w:val="7"/>
                <w:sz w:val="14"/>
              </w:rPr>
              <w:t> </w:t>
            </w:r>
            <w:r>
              <w:rPr>
                <w:color w:val="231F20"/>
                <w:spacing w:val="-2"/>
                <w:w w:val="95"/>
                <w:sz w:val="14"/>
              </w:rPr>
              <w:t>Cushing</w:t>
            </w:r>
          </w:p>
        </w:tc>
      </w:tr>
      <w:tr>
        <w:trPr>
          <w:trHeight w:val="913" w:hRule="atLeast"/>
        </w:trPr>
        <w:tc>
          <w:tcPr>
            <w:tcW w:w="2250" w:type="dxa"/>
            <w:tcBorders>
              <w:top w:val="single" w:sz="4" w:space="0" w:color="E2E3E4"/>
              <w:bottom w:val="single" w:sz="4" w:space="0" w:color="E2E3E4"/>
            </w:tcBorders>
          </w:tcPr>
          <w:p>
            <w:pPr>
              <w:pStyle w:val="TableParagraph"/>
              <w:spacing w:before="21"/>
              <w:rPr>
                <w:sz w:val="14"/>
              </w:rPr>
            </w:pPr>
            <w:r>
              <w:rPr>
                <w:color w:val="231F20"/>
                <w:spacing w:val="-2"/>
                <w:sz w:val="14"/>
              </w:rPr>
              <w:t>Troubles</w:t>
            </w:r>
            <w:r>
              <w:rPr>
                <w:color w:val="231F20"/>
                <w:spacing w:val="1"/>
                <w:sz w:val="14"/>
              </w:rPr>
              <w:t> </w:t>
            </w:r>
            <w:r>
              <w:rPr>
                <w:color w:val="231F20"/>
                <w:spacing w:val="-2"/>
                <w:sz w:val="14"/>
              </w:rPr>
              <w:t>sexuels</w:t>
            </w:r>
          </w:p>
        </w:tc>
        <w:tc>
          <w:tcPr>
            <w:tcW w:w="3500" w:type="dxa"/>
            <w:tcBorders>
              <w:top w:val="single" w:sz="4" w:space="0" w:color="FFFFFF"/>
              <w:bottom w:val="single" w:sz="4" w:space="0" w:color="FFFFFF"/>
            </w:tcBorders>
            <w:shd w:val="clear" w:color="auto" w:fill="E2E3E4"/>
          </w:tcPr>
          <w:p>
            <w:pPr>
              <w:pStyle w:val="TableParagraph"/>
              <w:numPr>
                <w:ilvl w:val="0"/>
                <w:numId w:val="53"/>
              </w:numPr>
              <w:tabs>
                <w:tab w:pos="261" w:val="left" w:leader="none"/>
              </w:tabs>
              <w:spacing w:line="240" w:lineRule="auto" w:before="21" w:after="0"/>
              <w:ind w:left="260" w:right="0" w:hanging="181"/>
              <w:jc w:val="left"/>
              <w:rPr>
                <w:sz w:val="14"/>
              </w:rPr>
            </w:pPr>
            <w:r>
              <w:rPr>
                <w:color w:val="231F20"/>
                <w:spacing w:val="-2"/>
                <w:sz w:val="14"/>
              </w:rPr>
              <w:t>Impotence</w:t>
            </w:r>
          </w:p>
          <w:p>
            <w:pPr>
              <w:pStyle w:val="TableParagraph"/>
              <w:numPr>
                <w:ilvl w:val="0"/>
                <w:numId w:val="53"/>
              </w:numPr>
              <w:tabs>
                <w:tab w:pos="261" w:val="left" w:leader="none"/>
              </w:tabs>
              <w:spacing w:line="240" w:lineRule="auto" w:before="19" w:after="0"/>
              <w:ind w:left="260" w:right="0" w:hanging="181"/>
              <w:jc w:val="left"/>
              <w:rPr>
                <w:sz w:val="14"/>
              </w:rPr>
            </w:pPr>
            <w:r>
              <w:rPr>
                <w:color w:val="231F20"/>
                <w:sz w:val="14"/>
              </w:rPr>
              <w:t>Éjaculation</w:t>
            </w:r>
            <w:r>
              <w:rPr>
                <w:color w:val="231F20"/>
                <w:spacing w:val="-4"/>
                <w:sz w:val="14"/>
              </w:rPr>
              <w:t> </w:t>
            </w:r>
            <w:r>
              <w:rPr>
                <w:color w:val="231F20"/>
                <w:spacing w:val="-2"/>
                <w:sz w:val="14"/>
              </w:rPr>
              <w:t>précoce</w:t>
            </w:r>
          </w:p>
          <w:p>
            <w:pPr>
              <w:pStyle w:val="TableParagraph"/>
              <w:numPr>
                <w:ilvl w:val="0"/>
                <w:numId w:val="53"/>
              </w:numPr>
              <w:tabs>
                <w:tab w:pos="261" w:val="left" w:leader="none"/>
              </w:tabs>
              <w:spacing w:line="240" w:lineRule="auto" w:before="20" w:after="0"/>
              <w:ind w:left="260" w:right="0" w:hanging="181"/>
              <w:jc w:val="left"/>
              <w:rPr>
                <w:sz w:val="14"/>
              </w:rPr>
            </w:pPr>
            <w:r>
              <w:rPr>
                <w:color w:val="231F20"/>
                <w:spacing w:val="-2"/>
                <w:sz w:val="14"/>
              </w:rPr>
              <w:t>Vaginisme</w:t>
            </w:r>
          </w:p>
          <w:p>
            <w:pPr>
              <w:pStyle w:val="TableParagraph"/>
              <w:numPr>
                <w:ilvl w:val="0"/>
                <w:numId w:val="53"/>
              </w:numPr>
              <w:tabs>
                <w:tab w:pos="261" w:val="left" w:leader="none"/>
              </w:tabs>
              <w:spacing w:line="240" w:lineRule="auto" w:before="19" w:after="0"/>
              <w:ind w:left="260" w:right="0" w:hanging="181"/>
              <w:jc w:val="left"/>
              <w:rPr>
                <w:sz w:val="14"/>
              </w:rPr>
            </w:pPr>
            <w:r>
              <w:rPr>
                <w:color w:val="231F20"/>
                <w:spacing w:val="-2"/>
                <w:sz w:val="14"/>
              </w:rPr>
              <w:t>Coïtalgie</w:t>
            </w:r>
          </w:p>
          <w:p>
            <w:pPr>
              <w:pStyle w:val="TableParagraph"/>
              <w:numPr>
                <w:ilvl w:val="0"/>
                <w:numId w:val="53"/>
              </w:numPr>
              <w:tabs>
                <w:tab w:pos="261" w:val="left" w:leader="none"/>
              </w:tabs>
              <w:spacing w:line="152" w:lineRule="exact" w:before="19" w:after="0"/>
              <w:ind w:left="260" w:right="0" w:hanging="181"/>
              <w:jc w:val="left"/>
              <w:rPr>
                <w:sz w:val="14"/>
              </w:rPr>
            </w:pPr>
            <w:r>
              <w:rPr>
                <w:color w:val="231F20"/>
                <w:w w:val="105"/>
                <w:sz w:val="14"/>
              </w:rPr>
              <w:t>Altération</w:t>
            </w:r>
            <w:r>
              <w:rPr>
                <w:color w:val="231F20"/>
                <w:spacing w:val="-10"/>
                <w:w w:val="105"/>
                <w:sz w:val="14"/>
              </w:rPr>
              <w:t> </w:t>
            </w:r>
            <w:r>
              <w:rPr>
                <w:color w:val="231F20"/>
                <w:w w:val="105"/>
                <w:sz w:val="14"/>
              </w:rPr>
              <w:t>de</w:t>
            </w:r>
            <w:r>
              <w:rPr>
                <w:color w:val="231F20"/>
                <w:spacing w:val="-10"/>
                <w:w w:val="105"/>
                <w:sz w:val="14"/>
              </w:rPr>
              <w:t> </w:t>
            </w:r>
            <w:r>
              <w:rPr>
                <w:color w:val="231F20"/>
                <w:w w:val="105"/>
                <w:sz w:val="14"/>
              </w:rPr>
              <w:t>la</w:t>
            </w:r>
            <w:r>
              <w:rPr>
                <w:color w:val="231F20"/>
                <w:spacing w:val="-10"/>
                <w:w w:val="105"/>
                <w:sz w:val="14"/>
              </w:rPr>
              <w:t> </w:t>
            </w:r>
            <w:r>
              <w:rPr>
                <w:color w:val="231F20"/>
                <w:spacing w:val="-2"/>
                <w:w w:val="105"/>
                <w:sz w:val="14"/>
              </w:rPr>
              <w:t>libido</w:t>
            </w:r>
          </w:p>
        </w:tc>
      </w:tr>
      <w:tr>
        <w:trPr>
          <w:trHeight w:val="913" w:hRule="atLeast"/>
        </w:trPr>
        <w:tc>
          <w:tcPr>
            <w:tcW w:w="2250" w:type="dxa"/>
            <w:tcBorders>
              <w:top w:val="single" w:sz="4" w:space="0" w:color="E2E3E4"/>
              <w:bottom w:val="single" w:sz="4" w:space="0" w:color="E2E3E4"/>
            </w:tcBorders>
          </w:tcPr>
          <w:p>
            <w:pPr>
              <w:pStyle w:val="TableParagraph"/>
              <w:spacing w:before="22"/>
              <w:rPr>
                <w:sz w:val="14"/>
              </w:rPr>
            </w:pPr>
            <w:r>
              <w:rPr>
                <w:color w:val="231F20"/>
                <w:spacing w:val="-2"/>
                <w:sz w:val="14"/>
              </w:rPr>
              <w:t>Troubles</w:t>
            </w:r>
            <w:r>
              <w:rPr>
                <w:color w:val="231F20"/>
                <w:spacing w:val="1"/>
                <w:sz w:val="14"/>
              </w:rPr>
              <w:t> </w:t>
            </w:r>
            <w:r>
              <w:rPr>
                <w:color w:val="231F20"/>
                <w:spacing w:val="-2"/>
                <w:sz w:val="14"/>
              </w:rPr>
              <w:t>dermatologiques</w:t>
            </w:r>
          </w:p>
        </w:tc>
        <w:tc>
          <w:tcPr>
            <w:tcW w:w="3500" w:type="dxa"/>
            <w:tcBorders>
              <w:top w:val="single" w:sz="4" w:space="0" w:color="FFFFFF"/>
              <w:bottom w:val="single" w:sz="4" w:space="0" w:color="FFFFFF"/>
            </w:tcBorders>
            <w:shd w:val="clear" w:color="auto" w:fill="E2E3E4"/>
          </w:tcPr>
          <w:p>
            <w:pPr>
              <w:pStyle w:val="TableParagraph"/>
              <w:numPr>
                <w:ilvl w:val="0"/>
                <w:numId w:val="54"/>
              </w:numPr>
              <w:tabs>
                <w:tab w:pos="261" w:val="left" w:leader="none"/>
              </w:tabs>
              <w:spacing w:line="240" w:lineRule="auto" w:before="22" w:after="0"/>
              <w:ind w:left="260" w:right="0" w:hanging="181"/>
              <w:jc w:val="left"/>
              <w:rPr>
                <w:sz w:val="14"/>
              </w:rPr>
            </w:pPr>
            <w:r>
              <w:rPr>
                <w:color w:val="231F20"/>
                <w:spacing w:val="-2"/>
                <w:sz w:val="14"/>
              </w:rPr>
              <w:t>Démangeaisons</w:t>
            </w:r>
          </w:p>
          <w:p>
            <w:pPr>
              <w:pStyle w:val="TableParagraph"/>
              <w:numPr>
                <w:ilvl w:val="0"/>
                <w:numId w:val="54"/>
              </w:numPr>
              <w:tabs>
                <w:tab w:pos="261" w:val="left" w:leader="none"/>
              </w:tabs>
              <w:spacing w:line="240" w:lineRule="auto" w:before="19" w:after="0"/>
              <w:ind w:left="260" w:right="0" w:hanging="181"/>
              <w:jc w:val="left"/>
              <w:rPr>
                <w:sz w:val="14"/>
              </w:rPr>
            </w:pPr>
            <w:r>
              <w:rPr>
                <w:color w:val="231F20"/>
                <w:sz w:val="14"/>
              </w:rPr>
              <w:t>Dermatite</w:t>
            </w:r>
            <w:r>
              <w:rPr>
                <w:color w:val="231F20"/>
                <w:spacing w:val="11"/>
                <w:w w:val="105"/>
                <w:sz w:val="14"/>
              </w:rPr>
              <w:t> </w:t>
            </w:r>
            <w:r>
              <w:rPr>
                <w:color w:val="231F20"/>
                <w:spacing w:val="-2"/>
                <w:w w:val="105"/>
                <w:sz w:val="14"/>
              </w:rPr>
              <w:t>atypique</w:t>
            </w:r>
          </w:p>
          <w:p>
            <w:pPr>
              <w:pStyle w:val="TableParagraph"/>
              <w:numPr>
                <w:ilvl w:val="0"/>
                <w:numId w:val="54"/>
              </w:numPr>
              <w:tabs>
                <w:tab w:pos="261" w:val="left" w:leader="none"/>
              </w:tabs>
              <w:spacing w:line="240" w:lineRule="auto" w:before="19" w:after="0"/>
              <w:ind w:left="260" w:right="0" w:hanging="181"/>
              <w:jc w:val="left"/>
              <w:rPr>
                <w:sz w:val="14"/>
              </w:rPr>
            </w:pPr>
            <w:r>
              <w:rPr>
                <w:color w:val="231F20"/>
                <w:spacing w:val="-2"/>
                <w:sz w:val="14"/>
              </w:rPr>
              <w:t>Hypersudation</w:t>
            </w:r>
          </w:p>
          <w:p>
            <w:pPr>
              <w:pStyle w:val="TableParagraph"/>
              <w:numPr>
                <w:ilvl w:val="0"/>
                <w:numId w:val="54"/>
              </w:numPr>
              <w:tabs>
                <w:tab w:pos="261" w:val="left" w:leader="none"/>
              </w:tabs>
              <w:spacing w:line="240" w:lineRule="auto" w:before="19" w:after="0"/>
              <w:ind w:left="260" w:right="0" w:hanging="181"/>
              <w:jc w:val="left"/>
              <w:rPr>
                <w:sz w:val="14"/>
              </w:rPr>
            </w:pPr>
            <w:r>
              <w:rPr>
                <w:color w:val="231F20"/>
                <w:spacing w:val="-2"/>
                <w:sz w:val="14"/>
              </w:rPr>
              <w:t>Alopécie</w:t>
            </w:r>
          </w:p>
          <w:p>
            <w:pPr>
              <w:pStyle w:val="TableParagraph"/>
              <w:numPr>
                <w:ilvl w:val="0"/>
                <w:numId w:val="54"/>
              </w:numPr>
              <w:tabs>
                <w:tab w:pos="261" w:val="left" w:leader="none"/>
              </w:tabs>
              <w:spacing w:line="152" w:lineRule="exact" w:before="19" w:after="0"/>
              <w:ind w:left="260" w:right="0" w:hanging="181"/>
              <w:jc w:val="left"/>
              <w:rPr>
                <w:sz w:val="14"/>
              </w:rPr>
            </w:pPr>
            <w:r>
              <w:rPr>
                <w:color w:val="231F20"/>
                <w:spacing w:val="-2"/>
                <w:w w:val="105"/>
                <w:sz w:val="14"/>
              </w:rPr>
              <w:t>Trichotillomanie</w:t>
            </w:r>
          </w:p>
        </w:tc>
      </w:tr>
      <w:tr>
        <w:trPr>
          <w:trHeight w:val="913" w:hRule="atLeast"/>
        </w:trPr>
        <w:tc>
          <w:tcPr>
            <w:tcW w:w="2250" w:type="dxa"/>
            <w:tcBorders>
              <w:top w:val="single" w:sz="4" w:space="0" w:color="E2E3E4"/>
              <w:bottom w:val="single" w:sz="4" w:space="0" w:color="E2E3E4"/>
            </w:tcBorders>
          </w:tcPr>
          <w:p>
            <w:pPr>
              <w:pStyle w:val="TableParagraph"/>
              <w:spacing w:before="22"/>
              <w:rPr>
                <w:sz w:val="14"/>
              </w:rPr>
            </w:pPr>
            <w:r>
              <w:rPr>
                <w:color w:val="231F20"/>
                <w:spacing w:val="-2"/>
                <w:sz w:val="14"/>
              </w:rPr>
              <w:t>Troubles</w:t>
            </w:r>
            <w:r>
              <w:rPr>
                <w:color w:val="231F20"/>
                <w:spacing w:val="1"/>
                <w:sz w:val="14"/>
              </w:rPr>
              <w:t> </w:t>
            </w:r>
            <w:r>
              <w:rPr>
                <w:color w:val="231F20"/>
                <w:spacing w:val="-2"/>
                <w:sz w:val="14"/>
              </w:rPr>
              <w:t>musculaires</w:t>
            </w:r>
          </w:p>
        </w:tc>
        <w:tc>
          <w:tcPr>
            <w:tcW w:w="3500" w:type="dxa"/>
            <w:tcBorders>
              <w:top w:val="single" w:sz="4" w:space="0" w:color="FFFFFF"/>
              <w:bottom w:val="single" w:sz="4" w:space="0" w:color="FFFFFF"/>
            </w:tcBorders>
            <w:shd w:val="clear" w:color="auto" w:fill="E2E3E4"/>
          </w:tcPr>
          <w:p>
            <w:pPr>
              <w:pStyle w:val="TableParagraph"/>
              <w:numPr>
                <w:ilvl w:val="0"/>
                <w:numId w:val="55"/>
              </w:numPr>
              <w:tabs>
                <w:tab w:pos="261" w:val="left" w:leader="none"/>
              </w:tabs>
              <w:spacing w:line="240" w:lineRule="auto" w:before="22" w:after="0"/>
              <w:ind w:left="260" w:right="0" w:hanging="181"/>
              <w:jc w:val="left"/>
              <w:rPr>
                <w:sz w:val="14"/>
              </w:rPr>
            </w:pPr>
            <w:r>
              <w:rPr>
                <w:color w:val="231F20"/>
                <w:sz w:val="14"/>
              </w:rPr>
              <w:t>Tics</w:t>
            </w:r>
            <w:r>
              <w:rPr>
                <w:color w:val="231F20"/>
                <w:spacing w:val="-7"/>
                <w:sz w:val="14"/>
              </w:rPr>
              <w:t> </w:t>
            </w:r>
            <w:r>
              <w:rPr>
                <w:color w:val="231F20"/>
                <w:sz w:val="14"/>
              </w:rPr>
              <w:t>et</w:t>
            </w:r>
            <w:r>
              <w:rPr>
                <w:color w:val="231F20"/>
                <w:spacing w:val="-6"/>
                <w:sz w:val="14"/>
              </w:rPr>
              <w:t> </w:t>
            </w:r>
            <w:r>
              <w:rPr>
                <w:color w:val="231F20"/>
                <w:spacing w:val="-2"/>
                <w:sz w:val="14"/>
              </w:rPr>
              <w:t>spasmes</w:t>
            </w:r>
          </w:p>
          <w:p>
            <w:pPr>
              <w:pStyle w:val="TableParagraph"/>
              <w:numPr>
                <w:ilvl w:val="0"/>
                <w:numId w:val="55"/>
              </w:numPr>
              <w:tabs>
                <w:tab w:pos="261" w:val="left" w:leader="none"/>
              </w:tabs>
              <w:spacing w:line="240" w:lineRule="auto" w:before="19" w:after="0"/>
              <w:ind w:left="260" w:right="0" w:hanging="181"/>
              <w:jc w:val="left"/>
              <w:rPr>
                <w:sz w:val="14"/>
              </w:rPr>
            </w:pPr>
            <w:r>
              <w:rPr>
                <w:color w:val="231F20"/>
                <w:spacing w:val="-2"/>
                <w:w w:val="105"/>
                <w:sz w:val="14"/>
              </w:rPr>
              <w:t>Rigidité</w:t>
            </w:r>
          </w:p>
          <w:p>
            <w:pPr>
              <w:pStyle w:val="TableParagraph"/>
              <w:numPr>
                <w:ilvl w:val="0"/>
                <w:numId w:val="55"/>
              </w:numPr>
              <w:tabs>
                <w:tab w:pos="261" w:val="left" w:leader="none"/>
              </w:tabs>
              <w:spacing w:line="240" w:lineRule="auto" w:before="19" w:after="0"/>
              <w:ind w:left="260" w:right="0" w:hanging="181"/>
              <w:jc w:val="left"/>
              <w:rPr>
                <w:sz w:val="14"/>
              </w:rPr>
            </w:pPr>
            <w:r>
              <w:rPr>
                <w:color w:val="231F20"/>
                <w:sz w:val="14"/>
              </w:rPr>
              <w:t>Douleurs</w:t>
            </w:r>
            <w:r>
              <w:rPr>
                <w:color w:val="231F20"/>
                <w:spacing w:val="-4"/>
                <w:sz w:val="14"/>
              </w:rPr>
              <w:t> </w:t>
            </w:r>
            <w:r>
              <w:rPr>
                <w:color w:val="231F20"/>
                <w:spacing w:val="-2"/>
                <w:sz w:val="14"/>
              </w:rPr>
              <w:t>musculaires</w:t>
            </w:r>
          </w:p>
          <w:p>
            <w:pPr>
              <w:pStyle w:val="TableParagraph"/>
              <w:numPr>
                <w:ilvl w:val="0"/>
                <w:numId w:val="55"/>
              </w:numPr>
              <w:tabs>
                <w:tab w:pos="261" w:val="left" w:leader="none"/>
              </w:tabs>
              <w:spacing w:line="180" w:lineRule="atLeast" w:before="0" w:after="0"/>
              <w:ind w:left="260" w:right="1058" w:hanging="181"/>
              <w:jc w:val="left"/>
              <w:rPr>
                <w:sz w:val="14"/>
              </w:rPr>
            </w:pPr>
            <w:r>
              <w:rPr>
                <w:color w:val="231F20"/>
                <w:sz w:val="14"/>
              </w:rPr>
              <w:t>Altération</w:t>
            </w:r>
            <w:r>
              <w:rPr>
                <w:color w:val="231F20"/>
                <w:spacing w:val="-10"/>
                <w:sz w:val="14"/>
              </w:rPr>
              <w:t> </w:t>
            </w:r>
            <w:r>
              <w:rPr>
                <w:color w:val="231F20"/>
                <w:sz w:val="14"/>
              </w:rPr>
              <w:t>des</w:t>
            </w:r>
            <w:r>
              <w:rPr>
                <w:color w:val="231F20"/>
                <w:spacing w:val="-10"/>
                <w:sz w:val="14"/>
              </w:rPr>
              <w:t> </w:t>
            </w:r>
            <w:r>
              <w:rPr>
                <w:color w:val="231F20"/>
                <w:sz w:val="14"/>
              </w:rPr>
              <w:t>réflexes</w:t>
            </w:r>
            <w:r>
              <w:rPr>
                <w:color w:val="231F20"/>
                <w:spacing w:val="-10"/>
                <w:sz w:val="14"/>
              </w:rPr>
              <w:t> </w:t>
            </w:r>
            <w:r>
              <w:rPr>
                <w:color w:val="231F20"/>
                <w:sz w:val="14"/>
              </w:rPr>
              <w:t>musculaires</w:t>
            </w:r>
            <w:r>
              <w:rPr>
                <w:color w:val="231F20"/>
                <w:w w:val="105"/>
                <w:sz w:val="14"/>
              </w:rPr>
              <w:t> (surréflectivité,</w:t>
            </w:r>
            <w:r>
              <w:rPr>
                <w:color w:val="231F20"/>
                <w:spacing w:val="-11"/>
                <w:w w:val="105"/>
                <w:sz w:val="14"/>
              </w:rPr>
              <w:t> </w:t>
            </w:r>
            <w:r>
              <w:rPr>
                <w:color w:val="231F20"/>
                <w:w w:val="105"/>
                <w:sz w:val="14"/>
              </w:rPr>
              <w:t>subréflectivité)</w:t>
            </w:r>
          </w:p>
        </w:tc>
      </w:tr>
      <w:tr>
        <w:trPr>
          <w:trHeight w:val="1096" w:hRule="atLeast"/>
        </w:trPr>
        <w:tc>
          <w:tcPr>
            <w:tcW w:w="2250" w:type="dxa"/>
            <w:tcBorders>
              <w:top w:val="single" w:sz="4" w:space="0" w:color="E2E3E4"/>
              <w:bottom w:val="single" w:sz="2" w:space="0" w:color="231F20"/>
            </w:tcBorders>
          </w:tcPr>
          <w:p>
            <w:pPr>
              <w:pStyle w:val="TableParagraph"/>
              <w:spacing w:before="22"/>
              <w:rPr>
                <w:sz w:val="14"/>
              </w:rPr>
            </w:pPr>
            <w:r>
              <w:rPr>
                <w:color w:val="231F20"/>
                <w:spacing w:val="-2"/>
                <w:sz w:val="14"/>
              </w:rPr>
              <w:t>Autres</w:t>
            </w:r>
          </w:p>
        </w:tc>
        <w:tc>
          <w:tcPr>
            <w:tcW w:w="3500" w:type="dxa"/>
            <w:tcBorders>
              <w:top w:val="single" w:sz="4" w:space="0" w:color="FFFFFF"/>
              <w:bottom w:val="single" w:sz="2" w:space="0" w:color="231F20"/>
            </w:tcBorders>
            <w:shd w:val="clear" w:color="auto" w:fill="E2E3E4"/>
          </w:tcPr>
          <w:p>
            <w:pPr>
              <w:pStyle w:val="TableParagraph"/>
              <w:numPr>
                <w:ilvl w:val="0"/>
                <w:numId w:val="56"/>
              </w:numPr>
              <w:tabs>
                <w:tab w:pos="261" w:val="left" w:leader="none"/>
              </w:tabs>
              <w:spacing w:line="240" w:lineRule="auto" w:before="22" w:after="0"/>
              <w:ind w:left="260" w:right="0" w:hanging="181"/>
              <w:jc w:val="left"/>
              <w:rPr>
                <w:sz w:val="14"/>
              </w:rPr>
            </w:pPr>
            <w:r>
              <w:rPr>
                <w:color w:val="231F20"/>
                <w:spacing w:val="-2"/>
                <w:sz w:val="14"/>
              </w:rPr>
              <w:t>Migraines</w:t>
            </w:r>
          </w:p>
          <w:p>
            <w:pPr>
              <w:pStyle w:val="TableParagraph"/>
              <w:numPr>
                <w:ilvl w:val="0"/>
                <w:numId w:val="56"/>
              </w:numPr>
              <w:tabs>
                <w:tab w:pos="261" w:val="left" w:leader="none"/>
              </w:tabs>
              <w:spacing w:line="240" w:lineRule="auto" w:before="19" w:after="0"/>
              <w:ind w:left="260" w:right="0" w:hanging="181"/>
              <w:jc w:val="left"/>
              <w:rPr>
                <w:sz w:val="14"/>
              </w:rPr>
            </w:pPr>
            <w:r>
              <w:rPr>
                <w:color w:val="231F20"/>
                <w:sz w:val="14"/>
              </w:rPr>
              <w:t>Douleurs</w:t>
            </w:r>
            <w:r>
              <w:rPr>
                <w:color w:val="231F20"/>
                <w:spacing w:val="-4"/>
                <w:sz w:val="14"/>
              </w:rPr>
              <w:t> </w:t>
            </w:r>
            <w:r>
              <w:rPr>
                <w:color w:val="231F20"/>
                <w:spacing w:val="-2"/>
                <w:sz w:val="14"/>
              </w:rPr>
              <w:t>chroniques</w:t>
            </w:r>
          </w:p>
          <w:p>
            <w:pPr>
              <w:pStyle w:val="TableParagraph"/>
              <w:numPr>
                <w:ilvl w:val="0"/>
                <w:numId w:val="56"/>
              </w:numPr>
              <w:tabs>
                <w:tab w:pos="261" w:val="left" w:leader="none"/>
              </w:tabs>
              <w:spacing w:line="240" w:lineRule="auto" w:before="19" w:after="0"/>
              <w:ind w:left="260" w:right="0" w:hanging="181"/>
              <w:jc w:val="left"/>
              <w:rPr>
                <w:sz w:val="14"/>
              </w:rPr>
            </w:pPr>
            <w:r>
              <w:rPr>
                <w:color w:val="231F20"/>
                <w:spacing w:val="-2"/>
                <w:sz w:val="14"/>
              </w:rPr>
              <w:t>Insomnie</w:t>
            </w:r>
          </w:p>
          <w:p>
            <w:pPr>
              <w:pStyle w:val="TableParagraph"/>
              <w:numPr>
                <w:ilvl w:val="0"/>
                <w:numId w:val="56"/>
              </w:numPr>
              <w:tabs>
                <w:tab w:pos="261" w:val="left" w:leader="none"/>
              </w:tabs>
              <w:spacing w:line="240" w:lineRule="auto" w:before="19" w:after="0"/>
              <w:ind w:left="260" w:right="0" w:hanging="181"/>
              <w:jc w:val="left"/>
              <w:rPr>
                <w:sz w:val="14"/>
              </w:rPr>
            </w:pPr>
            <w:r>
              <w:rPr>
                <w:color w:val="231F20"/>
                <w:sz w:val="14"/>
              </w:rPr>
              <w:t>Troubles</w:t>
            </w:r>
            <w:r>
              <w:rPr>
                <w:color w:val="231F20"/>
                <w:spacing w:val="5"/>
                <w:sz w:val="14"/>
              </w:rPr>
              <w:t> </w:t>
            </w:r>
            <w:r>
              <w:rPr>
                <w:color w:val="231F20"/>
                <w:sz w:val="14"/>
              </w:rPr>
              <w:t>immunologiques</w:t>
            </w:r>
            <w:r>
              <w:rPr>
                <w:color w:val="231F20"/>
                <w:spacing w:val="6"/>
                <w:sz w:val="14"/>
              </w:rPr>
              <w:t> </w:t>
            </w:r>
            <w:r>
              <w:rPr>
                <w:color w:val="231F20"/>
                <w:sz w:val="14"/>
              </w:rPr>
              <w:t>(grippe,</w:t>
            </w:r>
            <w:r>
              <w:rPr>
                <w:color w:val="231F20"/>
                <w:spacing w:val="5"/>
                <w:sz w:val="14"/>
              </w:rPr>
              <w:t> </w:t>
            </w:r>
            <w:r>
              <w:rPr>
                <w:color w:val="231F20"/>
                <w:spacing w:val="-2"/>
                <w:sz w:val="14"/>
              </w:rPr>
              <w:t>herpès…)</w:t>
            </w:r>
          </w:p>
          <w:p>
            <w:pPr>
              <w:pStyle w:val="TableParagraph"/>
              <w:numPr>
                <w:ilvl w:val="0"/>
                <w:numId w:val="56"/>
              </w:numPr>
              <w:tabs>
                <w:tab w:pos="261" w:val="left" w:leader="none"/>
              </w:tabs>
              <w:spacing w:line="240" w:lineRule="auto" w:before="19" w:after="0"/>
              <w:ind w:left="260" w:right="0" w:hanging="181"/>
              <w:jc w:val="left"/>
              <w:rPr>
                <w:sz w:val="14"/>
              </w:rPr>
            </w:pPr>
            <w:r>
              <w:rPr>
                <w:color w:val="231F20"/>
                <w:sz w:val="14"/>
              </w:rPr>
              <w:t>Perte</w:t>
            </w:r>
            <w:r>
              <w:rPr>
                <w:color w:val="231F20"/>
                <w:spacing w:val="7"/>
                <w:sz w:val="14"/>
              </w:rPr>
              <w:t> </w:t>
            </w:r>
            <w:r>
              <w:rPr>
                <w:color w:val="231F20"/>
                <w:sz w:val="14"/>
              </w:rPr>
              <w:t>d’appétit</w:t>
            </w:r>
            <w:r>
              <w:rPr>
                <w:color w:val="231F20"/>
                <w:spacing w:val="7"/>
                <w:sz w:val="14"/>
              </w:rPr>
              <w:t> </w:t>
            </w:r>
            <w:r>
              <w:rPr>
                <w:color w:val="231F20"/>
                <w:sz w:val="14"/>
              </w:rPr>
              <w:t>ou</w:t>
            </w:r>
            <w:r>
              <w:rPr>
                <w:color w:val="231F20"/>
                <w:spacing w:val="7"/>
                <w:sz w:val="14"/>
              </w:rPr>
              <w:t> </w:t>
            </w:r>
            <w:r>
              <w:rPr>
                <w:color w:val="231F20"/>
                <w:spacing w:val="-2"/>
                <w:sz w:val="14"/>
              </w:rPr>
              <w:t>boulimie</w:t>
            </w:r>
          </w:p>
          <w:p>
            <w:pPr>
              <w:pStyle w:val="TableParagraph"/>
              <w:numPr>
                <w:ilvl w:val="0"/>
                <w:numId w:val="56"/>
              </w:numPr>
              <w:tabs>
                <w:tab w:pos="261" w:val="left" w:leader="none"/>
              </w:tabs>
              <w:spacing w:line="154" w:lineRule="exact" w:before="19" w:after="0"/>
              <w:ind w:left="260" w:right="0" w:hanging="181"/>
              <w:jc w:val="left"/>
              <w:rPr>
                <w:sz w:val="14"/>
              </w:rPr>
            </w:pPr>
            <w:r>
              <w:rPr>
                <w:color w:val="231F20"/>
                <w:spacing w:val="-2"/>
                <w:w w:val="105"/>
                <w:sz w:val="14"/>
              </w:rPr>
              <w:t>Polyarthrite</w:t>
            </w:r>
            <w:r>
              <w:rPr>
                <w:color w:val="231F20"/>
                <w:spacing w:val="10"/>
                <w:w w:val="105"/>
                <w:sz w:val="14"/>
              </w:rPr>
              <w:t> </w:t>
            </w:r>
            <w:r>
              <w:rPr>
                <w:color w:val="231F20"/>
                <w:spacing w:val="-2"/>
                <w:w w:val="105"/>
                <w:sz w:val="14"/>
              </w:rPr>
              <w:t>rhumatoïde</w:t>
            </w:r>
          </w:p>
        </w:tc>
      </w:tr>
    </w:tbl>
    <w:p>
      <w:pPr>
        <w:spacing w:line="295" w:lineRule="auto" w:before="141"/>
        <w:ind w:left="1220" w:right="0" w:firstLine="0"/>
        <w:jc w:val="left"/>
        <w:rPr>
          <w:rFonts w:ascii="Arial" w:hAnsi="Arial"/>
          <w:sz w:val="12"/>
        </w:rPr>
      </w:pPr>
      <w:r>
        <w:rPr>
          <w:rFonts w:ascii="Arial" w:hAnsi="Arial"/>
          <w:color w:val="231F20"/>
          <w:sz w:val="12"/>
        </w:rPr>
        <w:t>Source</w:t>
      </w:r>
      <w:r>
        <w:rPr>
          <w:rFonts w:ascii="Arial" w:hAnsi="Arial"/>
          <w:color w:val="231F20"/>
          <w:spacing w:val="-23"/>
          <w:sz w:val="12"/>
        </w:rPr>
        <w:t> </w:t>
      </w:r>
      <w:r>
        <w:rPr>
          <w:rFonts w:ascii="Arial" w:hAnsi="Arial"/>
          <w:color w:val="231F20"/>
          <w:sz w:val="12"/>
        </w:rPr>
        <w:t>:</w:t>
      </w:r>
      <w:r>
        <w:rPr>
          <w:rFonts w:ascii="Arial" w:hAnsi="Arial"/>
          <w:color w:val="231F20"/>
          <w:spacing w:val="-4"/>
          <w:sz w:val="12"/>
        </w:rPr>
        <w:t> </w:t>
      </w:r>
      <w:r>
        <w:rPr>
          <w:rFonts w:ascii="Arial" w:hAnsi="Arial"/>
          <w:color w:val="231F20"/>
          <w:sz w:val="12"/>
        </w:rPr>
        <w:t>Madrid,</w:t>
      </w:r>
      <w:r>
        <w:rPr>
          <w:rFonts w:ascii="Arial" w:hAnsi="Arial"/>
          <w:color w:val="231F20"/>
          <w:spacing w:val="-4"/>
          <w:sz w:val="12"/>
        </w:rPr>
        <w:t> </w:t>
      </w:r>
      <w:r>
        <w:rPr>
          <w:rFonts w:ascii="Arial" w:hAnsi="Arial"/>
          <w:color w:val="231F20"/>
          <w:sz w:val="12"/>
        </w:rPr>
        <w:t>Ministerio</w:t>
      </w:r>
      <w:r>
        <w:rPr>
          <w:rFonts w:ascii="Arial" w:hAnsi="Arial"/>
          <w:color w:val="231F20"/>
          <w:spacing w:val="-4"/>
          <w:sz w:val="12"/>
        </w:rPr>
        <w:t> </w:t>
      </w:r>
      <w:r>
        <w:rPr>
          <w:rFonts w:ascii="Arial" w:hAnsi="Arial"/>
          <w:color w:val="231F20"/>
          <w:sz w:val="12"/>
        </w:rPr>
        <w:t>de</w:t>
      </w:r>
      <w:r>
        <w:rPr>
          <w:rFonts w:ascii="Arial" w:hAnsi="Arial"/>
          <w:color w:val="231F20"/>
          <w:spacing w:val="-4"/>
          <w:sz w:val="12"/>
        </w:rPr>
        <w:t> </w:t>
      </w:r>
      <w:r>
        <w:rPr>
          <w:rFonts w:ascii="Arial" w:hAnsi="Arial"/>
          <w:color w:val="231F20"/>
          <w:sz w:val="12"/>
        </w:rPr>
        <w:t>Trabajo</w:t>
      </w:r>
      <w:r>
        <w:rPr>
          <w:rFonts w:ascii="Arial" w:hAnsi="Arial"/>
          <w:color w:val="231F20"/>
          <w:spacing w:val="-4"/>
          <w:sz w:val="12"/>
        </w:rPr>
        <w:t> </w:t>
      </w:r>
      <w:r>
        <w:rPr>
          <w:rFonts w:ascii="Arial" w:hAnsi="Arial"/>
          <w:color w:val="231F20"/>
          <w:sz w:val="12"/>
        </w:rPr>
        <w:t>y</w:t>
      </w:r>
      <w:r>
        <w:rPr>
          <w:rFonts w:ascii="Arial" w:hAnsi="Arial"/>
          <w:color w:val="231F20"/>
          <w:spacing w:val="-4"/>
          <w:sz w:val="12"/>
        </w:rPr>
        <w:t> </w:t>
      </w:r>
      <w:r>
        <w:rPr>
          <w:rFonts w:ascii="Arial" w:hAnsi="Arial"/>
          <w:color w:val="231F20"/>
          <w:sz w:val="12"/>
        </w:rPr>
        <w:t>Asuntos</w:t>
      </w:r>
      <w:r>
        <w:rPr>
          <w:rFonts w:ascii="Arial" w:hAnsi="Arial"/>
          <w:color w:val="231F20"/>
          <w:spacing w:val="-4"/>
          <w:sz w:val="12"/>
        </w:rPr>
        <w:t> </w:t>
      </w:r>
      <w:r>
        <w:rPr>
          <w:rFonts w:ascii="Arial" w:hAnsi="Arial"/>
          <w:color w:val="231F20"/>
          <w:sz w:val="12"/>
        </w:rPr>
        <w:t>sociales,</w:t>
      </w:r>
      <w:r>
        <w:rPr>
          <w:rFonts w:ascii="Arial" w:hAnsi="Arial"/>
          <w:color w:val="231F20"/>
          <w:spacing w:val="-4"/>
          <w:sz w:val="12"/>
        </w:rPr>
        <w:t> </w:t>
      </w:r>
      <w:r>
        <w:rPr>
          <w:rFonts w:ascii="Arial" w:hAnsi="Arial"/>
          <w:color w:val="231F20"/>
          <w:sz w:val="12"/>
        </w:rPr>
        <w:t>Instituto</w:t>
      </w:r>
      <w:r>
        <w:rPr>
          <w:rFonts w:ascii="Arial" w:hAnsi="Arial"/>
          <w:color w:val="231F20"/>
          <w:spacing w:val="-4"/>
          <w:sz w:val="12"/>
        </w:rPr>
        <w:t> </w:t>
      </w:r>
      <w:r>
        <w:rPr>
          <w:rFonts w:ascii="Arial" w:hAnsi="Arial"/>
          <w:color w:val="231F20"/>
          <w:sz w:val="12"/>
        </w:rPr>
        <w:t>nacional</w:t>
      </w:r>
      <w:r>
        <w:rPr>
          <w:rFonts w:ascii="Arial" w:hAnsi="Arial"/>
          <w:color w:val="231F20"/>
          <w:spacing w:val="-4"/>
          <w:sz w:val="12"/>
        </w:rPr>
        <w:t> </w:t>
      </w:r>
      <w:r>
        <w:rPr>
          <w:rFonts w:ascii="Arial" w:hAnsi="Arial"/>
          <w:color w:val="231F20"/>
          <w:sz w:val="12"/>
        </w:rPr>
        <w:t>de</w:t>
      </w:r>
      <w:r>
        <w:rPr>
          <w:rFonts w:ascii="Arial" w:hAnsi="Arial"/>
          <w:color w:val="231F20"/>
          <w:spacing w:val="-4"/>
          <w:sz w:val="12"/>
        </w:rPr>
        <w:t> </w:t>
      </w:r>
      <w:r>
        <w:rPr>
          <w:rFonts w:ascii="Arial" w:hAnsi="Arial"/>
          <w:color w:val="231F20"/>
          <w:sz w:val="12"/>
        </w:rPr>
        <w:t>seguridad</w:t>
      </w:r>
      <w:r>
        <w:rPr>
          <w:rFonts w:ascii="Arial" w:hAnsi="Arial"/>
          <w:color w:val="231F20"/>
          <w:spacing w:val="-4"/>
          <w:sz w:val="12"/>
        </w:rPr>
        <w:t> </w:t>
      </w:r>
      <w:r>
        <w:rPr>
          <w:rFonts w:ascii="Arial" w:hAnsi="Arial"/>
          <w:color w:val="231F20"/>
          <w:sz w:val="12"/>
        </w:rPr>
        <w:t>e</w:t>
      </w:r>
      <w:r>
        <w:rPr>
          <w:rFonts w:ascii="Arial" w:hAnsi="Arial"/>
          <w:color w:val="231F20"/>
          <w:spacing w:val="-4"/>
          <w:sz w:val="12"/>
        </w:rPr>
        <w:t> </w:t>
      </w:r>
      <w:r>
        <w:rPr>
          <w:rFonts w:ascii="Arial" w:hAnsi="Arial"/>
          <w:color w:val="231F20"/>
          <w:sz w:val="12"/>
        </w:rPr>
        <w:t>higiene</w:t>
      </w:r>
      <w:r>
        <w:rPr>
          <w:rFonts w:ascii="Arial" w:hAnsi="Arial"/>
          <w:color w:val="231F20"/>
          <w:spacing w:val="-4"/>
          <w:sz w:val="12"/>
        </w:rPr>
        <w:t> </w:t>
      </w:r>
      <w:r>
        <w:rPr>
          <w:rFonts w:ascii="Arial" w:hAnsi="Arial"/>
          <w:color w:val="231F20"/>
          <w:sz w:val="12"/>
        </w:rPr>
        <w:t>en</w:t>
      </w:r>
      <w:r>
        <w:rPr>
          <w:rFonts w:ascii="Arial" w:hAnsi="Arial"/>
          <w:color w:val="231F20"/>
          <w:spacing w:val="-4"/>
          <w:sz w:val="12"/>
        </w:rPr>
        <w:t> </w:t>
      </w:r>
      <w:r>
        <w:rPr>
          <w:rFonts w:ascii="Arial" w:hAnsi="Arial"/>
          <w:color w:val="231F20"/>
          <w:sz w:val="12"/>
        </w:rPr>
        <w:t>el</w:t>
      </w:r>
      <w:r>
        <w:rPr>
          <w:rFonts w:ascii="Arial" w:hAnsi="Arial"/>
          <w:color w:val="231F20"/>
          <w:spacing w:val="40"/>
          <w:w w:val="105"/>
          <w:sz w:val="12"/>
        </w:rPr>
        <w:t> </w:t>
      </w:r>
      <w:r>
        <w:rPr>
          <w:rFonts w:ascii="Arial" w:hAnsi="Arial"/>
          <w:color w:val="231F20"/>
          <w:w w:val="105"/>
          <w:sz w:val="12"/>
        </w:rPr>
        <w:t>trabajo. Estrés laboral, documents d’information.</w:t>
      </w:r>
    </w:p>
    <w:p>
      <w:pPr>
        <w:spacing w:after="0" w:line="295" w:lineRule="auto"/>
        <w:jc w:val="left"/>
        <w:rPr>
          <w:rFonts w:ascii="Arial" w:hAnsi="Arial"/>
          <w:sz w:val="12"/>
        </w:rPr>
        <w:sectPr>
          <w:footerReference w:type="default" r:id="rId21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b/>
          <w:color w:val="231F20"/>
          <w:spacing w:val="-2"/>
          <w:w w:val="115"/>
        </w:rPr>
        <w:t>Conséquences</w:t>
      </w:r>
      <w:r>
        <w:rPr>
          <w:b/>
          <w:color w:val="231F20"/>
          <w:spacing w:val="-11"/>
          <w:w w:val="115"/>
        </w:rPr>
        <w:t> </w:t>
      </w:r>
      <w:r>
        <w:rPr>
          <w:b/>
          <w:color w:val="231F20"/>
          <w:spacing w:val="-2"/>
          <w:w w:val="115"/>
        </w:rPr>
        <w:t>pour</w:t>
      </w:r>
      <w:r>
        <w:rPr>
          <w:b/>
          <w:color w:val="231F20"/>
          <w:spacing w:val="-10"/>
          <w:w w:val="115"/>
        </w:rPr>
        <w:t> </w:t>
      </w:r>
      <w:r>
        <w:rPr>
          <w:b/>
          <w:color w:val="231F20"/>
          <w:spacing w:val="-2"/>
          <w:w w:val="115"/>
        </w:rPr>
        <w:t>la</w:t>
      </w:r>
      <w:r>
        <w:rPr>
          <w:b/>
          <w:color w:val="231F20"/>
          <w:spacing w:val="-10"/>
          <w:w w:val="115"/>
        </w:rPr>
        <w:t> </w:t>
      </w:r>
      <w:r>
        <w:rPr>
          <w:b/>
          <w:color w:val="231F20"/>
          <w:spacing w:val="-2"/>
          <w:w w:val="115"/>
        </w:rPr>
        <w:t>santé</w:t>
      </w:r>
      <w:r>
        <w:rPr>
          <w:b/>
          <w:color w:val="231F20"/>
          <w:spacing w:val="-10"/>
          <w:w w:val="115"/>
        </w:rPr>
        <w:t> </w:t>
      </w:r>
      <w:r>
        <w:rPr>
          <w:b/>
          <w:color w:val="231F20"/>
          <w:spacing w:val="-2"/>
          <w:w w:val="115"/>
        </w:rPr>
        <w:t>psychologique.</w:t>
      </w:r>
      <w:r>
        <w:rPr>
          <w:b/>
          <w:color w:val="231F20"/>
          <w:spacing w:val="-11"/>
          <w:w w:val="115"/>
        </w:rPr>
        <w:t> </w:t>
      </w:r>
      <w:r>
        <w:rPr>
          <w:color w:val="231F20"/>
          <w:spacing w:val="-2"/>
          <w:w w:val="115"/>
        </w:rPr>
        <w:t>Un</w:t>
      </w:r>
      <w:r>
        <w:rPr>
          <w:color w:val="231F20"/>
          <w:spacing w:val="-10"/>
          <w:w w:val="115"/>
        </w:rPr>
        <w:t> </w:t>
      </w:r>
      <w:r>
        <w:rPr>
          <w:color w:val="231F20"/>
          <w:spacing w:val="-2"/>
          <w:w w:val="115"/>
        </w:rPr>
        <w:t>grand</w:t>
      </w:r>
      <w:r>
        <w:rPr>
          <w:color w:val="231F20"/>
          <w:spacing w:val="-10"/>
          <w:w w:val="115"/>
        </w:rPr>
        <w:t> </w:t>
      </w:r>
      <w:r>
        <w:rPr>
          <w:color w:val="231F20"/>
          <w:spacing w:val="-2"/>
          <w:w w:val="115"/>
        </w:rPr>
        <w:t>nombre</w:t>
      </w:r>
      <w:r>
        <w:rPr>
          <w:color w:val="231F20"/>
          <w:spacing w:val="-10"/>
          <w:w w:val="115"/>
        </w:rPr>
        <w:t> </w:t>
      </w:r>
      <w:r>
        <w:rPr>
          <w:color w:val="231F20"/>
          <w:spacing w:val="-2"/>
          <w:w w:val="115"/>
        </w:rPr>
        <w:t>de</w:t>
      </w:r>
      <w:r>
        <w:rPr>
          <w:color w:val="231F20"/>
          <w:spacing w:val="-10"/>
          <w:w w:val="115"/>
        </w:rPr>
        <w:t> </w:t>
      </w:r>
      <w:r>
        <w:rPr>
          <w:color w:val="231F20"/>
          <w:spacing w:val="-2"/>
          <w:w w:val="115"/>
        </w:rPr>
        <w:t>troubles </w:t>
      </w:r>
      <w:r>
        <w:rPr>
          <w:color w:val="231F20"/>
          <w:w w:val="120"/>
        </w:rPr>
        <w:t>émotionnels traités par les médecins généralistes masquent des cas de stress professionnel. Habituellement, les gens qui souffrent de stress consultent</w:t>
      </w:r>
      <w:r>
        <w:rPr>
          <w:color w:val="231F20"/>
          <w:spacing w:val="-6"/>
          <w:w w:val="120"/>
        </w:rPr>
        <w:t> </w:t>
      </w:r>
      <w:r>
        <w:rPr>
          <w:color w:val="231F20"/>
          <w:w w:val="120"/>
        </w:rPr>
        <w:t>des</w:t>
      </w:r>
      <w:r>
        <w:rPr>
          <w:color w:val="231F20"/>
          <w:spacing w:val="-6"/>
          <w:w w:val="120"/>
        </w:rPr>
        <w:t> </w:t>
      </w:r>
      <w:r>
        <w:rPr>
          <w:color w:val="231F20"/>
          <w:w w:val="120"/>
        </w:rPr>
        <w:t>professionnels</w:t>
      </w:r>
      <w:r>
        <w:rPr>
          <w:color w:val="231F20"/>
          <w:spacing w:val="-6"/>
          <w:w w:val="120"/>
        </w:rPr>
        <w:t> </w:t>
      </w:r>
      <w:r>
        <w:rPr>
          <w:color w:val="231F20"/>
          <w:w w:val="120"/>
        </w:rPr>
        <w:t>de</w:t>
      </w:r>
      <w:r>
        <w:rPr>
          <w:color w:val="231F20"/>
          <w:spacing w:val="-6"/>
          <w:w w:val="120"/>
        </w:rPr>
        <w:t> </w:t>
      </w:r>
      <w:r>
        <w:rPr>
          <w:color w:val="231F20"/>
          <w:w w:val="120"/>
        </w:rPr>
        <w:t>leur</w:t>
      </w:r>
      <w:r>
        <w:rPr>
          <w:color w:val="231F20"/>
          <w:spacing w:val="-6"/>
          <w:w w:val="120"/>
        </w:rPr>
        <w:t> </w:t>
      </w:r>
      <w:r>
        <w:rPr>
          <w:color w:val="231F20"/>
          <w:w w:val="120"/>
        </w:rPr>
        <w:t>centre</w:t>
      </w:r>
      <w:r>
        <w:rPr>
          <w:color w:val="231F20"/>
          <w:spacing w:val="-6"/>
          <w:w w:val="120"/>
        </w:rPr>
        <w:t> </w:t>
      </w:r>
      <w:r>
        <w:rPr>
          <w:color w:val="231F20"/>
          <w:w w:val="120"/>
        </w:rPr>
        <w:t>de</w:t>
      </w:r>
      <w:r>
        <w:rPr>
          <w:color w:val="231F20"/>
          <w:spacing w:val="-6"/>
          <w:w w:val="120"/>
        </w:rPr>
        <w:t> </w:t>
      </w:r>
      <w:r>
        <w:rPr>
          <w:color w:val="231F20"/>
          <w:w w:val="120"/>
        </w:rPr>
        <w:t>soins</w:t>
      </w:r>
      <w:r>
        <w:rPr>
          <w:color w:val="231F20"/>
          <w:spacing w:val="-6"/>
          <w:w w:val="120"/>
        </w:rPr>
        <w:t> </w:t>
      </w:r>
      <w:r>
        <w:rPr>
          <w:color w:val="231F20"/>
          <w:w w:val="120"/>
        </w:rPr>
        <w:t>de</w:t>
      </w:r>
      <w:r>
        <w:rPr>
          <w:color w:val="231F20"/>
          <w:spacing w:val="-6"/>
          <w:w w:val="120"/>
        </w:rPr>
        <w:t> </w:t>
      </w:r>
      <w:r>
        <w:rPr>
          <w:color w:val="231F20"/>
          <w:w w:val="120"/>
        </w:rPr>
        <w:t>santé</w:t>
      </w:r>
      <w:r>
        <w:rPr>
          <w:color w:val="231F20"/>
          <w:spacing w:val="-6"/>
          <w:w w:val="120"/>
        </w:rPr>
        <w:t> </w:t>
      </w:r>
      <w:r>
        <w:rPr>
          <w:color w:val="231F20"/>
          <w:w w:val="120"/>
        </w:rPr>
        <w:t>plus</w:t>
      </w:r>
      <w:r>
        <w:rPr>
          <w:color w:val="231F20"/>
          <w:spacing w:val="-6"/>
          <w:w w:val="120"/>
        </w:rPr>
        <w:t> </w:t>
      </w:r>
      <w:r>
        <w:rPr>
          <w:color w:val="231F20"/>
          <w:w w:val="120"/>
        </w:rPr>
        <w:t>sou- vent</w:t>
      </w:r>
      <w:r>
        <w:rPr>
          <w:color w:val="231F20"/>
          <w:spacing w:val="-13"/>
          <w:w w:val="120"/>
        </w:rPr>
        <w:t> </w:t>
      </w:r>
      <w:r>
        <w:rPr>
          <w:color w:val="231F20"/>
          <w:w w:val="120"/>
        </w:rPr>
        <w:t>que</w:t>
      </w:r>
      <w:r>
        <w:rPr>
          <w:color w:val="231F20"/>
          <w:spacing w:val="-13"/>
          <w:w w:val="120"/>
        </w:rPr>
        <w:t> </w:t>
      </w:r>
      <w:r>
        <w:rPr>
          <w:color w:val="231F20"/>
          <w:w w:val="120"/>
        </w:rPr>
        <w:t>ceux</w:t>
      </w:r>
      <w:r>
        <w:rPr>
          <w:color w:val="231F20"/>
          <w:spacing w:val="-13"/>
          <w:w w:val="120"/>
        </w:rPr>
        <w:t> </w:t>
      </w:r>
      <w:r>
        <w:rPr>
          <w:color w:val="231F20"/>
          <w:w w:val="120"/>
        </w:rPr>
        <w:t>qui</w:t>
      </w:r>
      <w:r>
        <w:rPr>
          <w:color w:val="231F20"/>
          <w:spacing w:val="-12"/>
          <w:w w:val="120"/>
        </w:rPr>
        <w:t> </w:t>
      </w:r>
      <w:r>
        <w:rPr>
          <w:color w:val="231F20"/>
          <w:w w:val="120"/>
        </w:rPr>
        <w:t>ne</w:t>
      </w:r>
      <w:r>
        <w:rPr>
          <w:color w:val="231F20"/>
          <w:spacing w:val="-13"/>
          <w:w w:val="120"/>
        </w:rPr>
        <w:t> </w:t>
      </w:r>
      <w:r>
        <w:rPr>
          <w:color w:val="231F20"/>
          <w:w w:val="120"/>
        </w:rPr>
        <w:t>présentent</w:t>
      </w:r>
      <w:r>
        <w:rPr>
          <w:color w:val="231F20"/>
          <w:spacing w:val="-13"/>
          <w:w w:val="120"/>
        </w:rPr>
        <w:t> </w:t>
      </w:r>
      <w:r>
        <w:rPr>
          <w:color w:val="231F20"/>
          <w:w w:val="120"/>
        </w:rPr>
        <w:t>pas</w:t>
      </w:r>
      <w:r>
        <w:rPr>
          <w:color w:val="231F20"/>
          <w:spacing w:val="-13"/>
          <w:w w:val="120"/>
        </w:rPr>
        <w:t> </w:t>
      </w:r>
      <w:r>
        <w:rPr>
          <w:color w:val="231F20"/>
          <w:w w:val="120"/>
        </w:rPr>
        <w:t>ce</w:t>
      </w:r>
      <w:r>
        <w:rPr>
          <w:color w:val="231F20"/>
          <w:spacing w:val="-12"/>
          <w:w w:val="120"/>
        </w:rPr>
        <w:t> </w:t>
      </w:r>
      <w:r>
        <w:rPr>
          <w:color w:val="231F20"/>
          <w:w w:val="120"/>
        </w:rPr>
        <w:t>type</w:t>
      </w:r>
      <w:r>
        <w:rPr>
          <w:color w:val="231F20"/>
          <w:spacing w:val="-13"/>
          <w:w w:val="120"/>
        </w:rPr>
        <w:t> </w:t>
      </w:r>
      <w:r>
        <w:rPr>
          <w:color w:val="231F20"/>
          <w:w w:val="120"/>
        </w:rPr>
        <w:t>de</w:t>
      </w:r>
      <w:r>
        <w:rPr>
          <w:color w:val="231F20"/>
          <w:spacing w:val="-13"/>
          <w:w w:val="120"/>
        </w:rPr>
        <w:t> </w:t>
      </w:r>
      <w:r>
        <w:rPr>
          <w:color w:val="231F20"/>
          <w:w w:val="120"/>
        </w:rPr>
        <w:t>problème.</w:t>
      </w:r>
      <w:r>
        <w:rPr>
          <w:color w:val="231F20"/>
          <w:spacing w:val="-13"/>
          <w:w w:val="120"/>
        </w:rPr>
        <w:t> </w:t>
      </w:r>
      <w:r>
        <w:rPr>
          <w:color w:val="231F20"/>
          <w:w w:val="120"/>
        </w:rPr>
        <w:t>Normalement, ces</w:t>
      </w:r>
      <w:r>
        <w:rPr>
          <w:color w:val="231F20"/>
          <w:spacing w:val="-13"/>
          <w:w w:val="120"/>
        </w:rPr>
        <w:t> </w:t>
      </w:r>
      <w:r>
        <w:rPr>
          <w:color w:val="231F20"/>
          <w:w w:val="120"/>
        </w:rPr>
        <w:t>personnes</w:t>
      </w:r>
      <w:r>
        <w:rPr>
          <w:color w:val="231F20"/>
          <w:spacing w:val="-13"/>
          <w:w w:val="120"/>
        </w:rPr>
        <w:t> </w:t>
      </w:r>
      <w:r>
        <w:rPr>
          <w:color w:val="231F20"/>
          <w:w w:val="120"/>
        </w:rPr>
        <w:t>reçoivent</w:t>
      </w:r>
      <w:r>
        <w:rPr>
          <w:color w:val="231F20"/>
          <w:spacing w:val="-13"/>
          <w:w w:val="120"/>
        </w:rPr>
        <w:t> </w:t>
      </w:r>
      <w:r>
        <w:rPr>
          <w:color w:val="231F20"/>
          <w:w w:val="120"/>
        </w:rPr>
        <w:t>un</w:t>
      </w:r>
      <w:r>
        <w:rPr>
          <w:color w:val="231F20"/>
          <w:spacing w:val="-12"/>
          <w:w w:val="120"/>
        </w:rPr>
        <w:t> </w:t>
      </w:r>
      <w:r>
        <w:rPr>
          <w:color w:val="231F20"/>
          <w:w w:val="120"/>
        </w:rPr>
        <w:t>traitement</w:t>
      </w:r>
      <w:r>
        <w:rPr>
          <w:color w:val="231F20"/>
          <w:spacing w:val="-13"/>
          <w:w w:val="120"/>
        </w:rPr>
        <w:t> </w:t>
      </w:r>
      <w:r>
        <w:rPr>
          <w:color w:val="231F20"/>
          <w:w w:val="120"/>
        </w:rPr>
        <w:t>des</w:t>
      </w:r>
      <w:r>
        <w:rPr>
          <w:color w:val="231F20"/>
          <w:spacing w:val="-13"/>
          <w:w w:val="120"/>
        </w:rPr>
        <w:t> </w:t>
      </w:r>
      <w:r>
        <w:rPr>
          <w:color w:val="231F20"/>
          <w:w w:val="120"/>
        </w:rPr>
        <w:t>troubles</w:t>
      </w:r>
      <w:r>
        <w:rPr>
          <w:color w:val="231F20"/>
          <w:spacing w:val="-13"/>
          <w:w w:val="120"/>
        </w:rPr>
        <w:t> </w:t>
      </w:r>
      <w:r>
        <w:rPr>
          <w:color w:val="231F20"/>
          <w:w w:val="120"/>
        </w:rPr>
        <w:t>dont</w:t>
      </w:r>
      <w:r>
        <w:rPr>
          <w:color w:val="231F20"/>
          <w:spacing w:val="-12"/>
          <w:w w:val="120"/>
        </w:rPr>
        <w:t> </w:t>
      </w:r>
      <w:r>
        <w:rPr>
          <w:color w:val="231F20"/>
          <w:w w:val="120"/>
        </w:rPr>
        <w:t>ils</w:t>
      </w:r>
      <w:r>
        <w:rPr>
          <w:color w:val="231F20"/>
          <w:spacing w:val="-13"/>
          <w:w w:val="120"/>
        </w:rPr>
        <w:t> </w:t>
      </w:r>
      <w:r>
        <w:rPr>
          <w:color w:val="231F20"/>
          <w:w w:val="120"/>
        </w:rPr>
        <w:t>sont</w:t>
      </w:r>
      <w:r>
        <w:rPr>
          <w:color w:val="231F20"/>
          <w:spacing w:val="-13"/>
          <w:w w:val="120"/>
        </w:rPr>
        <w:t> </w:t>
      </w:r>
      <w:r>
        <w:rPr>
          <w:color w:val="231F20"/>
          <w:w w:val="120"/>
        </w:rPr>
        <w:t>atteints, </w:t>
      </w:r>
      <w:r>
        <w:rPr>
          <w:color w:val="231F20"/>
          <w:w w:val="115"/>
        </w:rPr>
        <w:t>mais</w:t>
      </w:r>
      <w:r>
        <w:rPr>
          <w:color w:val="231F20"/>
          <w:spacing w:val="-8"/>
          <w:w w:val="115"/>
        </w:rPr>
        <w:t> </w:t>
      </w:r>
      <w:r>
        <w:rPr>
          <w:color w:val="231F20"/>
          <w:w w:val="115"/>
        </w:rPr>
        <w:t>pas</w:t>
      </w:r>
      <w:r>
        <w:rPr>
          <w:color w:val="231F20"/>
          <w:spacing w:val="-8"/>
          <w:w w:val="115"/>
        </w:rPr>
        <w:t> </w:t>
      </w:r>
      <w:r>
        <w:rPr>
          <w:color w:val="231F20"/>
          <w:w w:val="115"/>
        </w:rPr>
        <w:t>toujours</w:t>
      </w:r>
      <w:r>
        <w:rPr>
          <w:color w:val="231F20"/>
          <w:spacing w:val="-8"/>
          <w:w w:val="115"/>
        </w:rPr>
        <w:t> </w:t>
      </w:r>
      <w:r>
        <w:rPr>
          <w:color w:val="231F20"/>
          <w:w w:val="115"/>
        </w:rPr>
        <w:t>pour</w:t>
      </w:r>
      <w:r>
        <w:rPr>
          <w:color w:val="231F20"/>
          <w:spacing w:val="-8"/>
          <w:w w:val="115"/>
        </w:rPr>
        <w:t> </w:t>
      </w:r>
      <w:r>
        <w:rPr>
          <w:color w:val="231F20"/>
          <w:w w:val="115"/>
        </w:rPr>
        <w:t>le</w:t>
      </w:r>
      <w:r>
        <w:rPr>
          <w:color w:val="231F20"/>
          <w:spacing w:val="-8"/>
          <w:w w:val="115"/>
        </w:rPr>
        <w:t> </w:t>
      </w:r>
      <w:r>
        <w:rPr>
          <w:color w:val="231F20"/>
          <w:w w:val="115"/>
        </w:rPr>
        <w:t>stress</w:t>
      </w:r>
      <w:r>
        <w:rPr>
          <w:color w:val="231F20"/>
          <w:spacing w:val="-8"/>
          <w:w w:val="115"/>
        </w:rPr>
        <w:t> </w:t>
      </w:r>
      <w:r>
        <w:rPr>
          <w:color w:val="231F20"/>
          <w:w w:val="115"/>
        </w:rPr>
        <w:t>sous-jacent.</w:t>
      </w:r>
      <w:r>
        <w:rPr>
          <w:color w:val="231F20"/>
          <w:spacing w:val="-8"/>
          <w:w w:val="115"/>
        </w:rPr>
        <w:t> </w:t>
      </w:r>
      <w:r>
        <w:rPr>
          <w:color w:val="231F20"/>
          <w:w w:val="115"/>
        </w:rPr>
        <w:t>Il</w:t>
      </w:r>
      <w:r>
        <w:rPr>
          <w:color w:val="231F20"/>
          <w:spacing w:val="-8"/>
          <w:w w:val="115"/>
        </w:rPr>
        <w:t> </w:t>
      </w:r>
      <w:r>
        <w:rPr>
          <w:color w:val="231F20"/>
          <w:w w:val="115"/>
        </w:rPr>
        <w:t>n’y</w:t>
      </w:r>
      <w:r>
        <w:rPr>
          <w:color w:val="231F20"/>
          <w:spacing w:val="-8"/>
          <w:w w:val="115"/>
        </w:rPr>
        <w:t> </w:t>
      </w:r>
      <w:r>
        <w:rPr>
          <w:color w:val="231F20"/>
          <w:w w:val="115"/>
        </w:rPr>
        <w:t>a</w:t>
      </w:r>
      <w:r>
        <w:rPr>
          <w:color w:val="231F20"/>
          <w:spacing w:val="-8"/>
          <w:w w:val="115"/>
        </w:rPr>
        <w:t> </w:t>
      </w:r>
      <w:r>
        <w:rPr>
          <w:color w:val="231F20"/>
          <w:w w:val="115"/>
        </w:rPr>
        <w:t>pas</w:t>
      </w:r>
      <w:r>
        <w:rPr>
          <w:color w:val="231F20"/>
          <w:spacing w:val="-8"/>
          <w:w w:val="115"/>
        </w:rPr>
        <w:t> </w:t>
      </w:r>
      <w:r>
        <w:rPr>
          <w:color w:val="231F20"/>
          <w:w w:val="115"/>
        </w:rPr>
        <w:t>de</w:t>
      </w:r>
      <w:r>
        <w:rPr>
          <w:color w:val="231F20"/>
          <w:spacing w:val="-8"/>
          <w:w w:val="115"/>
        </w:rPr>
        <w:t> </w:t>
      </w:r>
      <w:r>
        <w:rPr>
          <w:color w:val="231F20"/>
          <w:w w:val="115"/>
        </w:rPr>
        <w:t>doute</w:t>
      </w:r>
      <w:r>
        <w:rPr>
          <w:color w:val="231F20"/>
          <w:spacing w:val="-8"/>
          <w:w w:val="115"/>
        </w:rPr>
        <w:t> </w:t>
      </w:r>
      <w:r>
        <w:rPr>
          <w:color w:val="231F20"/>
          <w:w w:val="115"/>
        </w:rPr>
        <w:t>que</w:t>
      </w:r>
      <w:r>
        <w:rPr>
          <w:color w:val="231F20"/>
          <w:spacing w:val="-8"/>
          <w:w w:val="115"/>
        </w:rPr>
        <w:t> </w:t>
      </w:r>
      <w:r>
        <w:rPr>
          <w:color w:val="231F20"/>
          <w:w w:val="115"/>
        </w:rPr>
        <w:t>cette </w:t>
      </w:r>
      <w:r>
        <w:rPr>
          <w:color w:val="231F20"/>
          <w:w w:val="120"/>
        </w:rPr>
        <w:t>situation</w:t>
      </w:r>
      <w:r>
        <w:rPr>
          <w:color w:val="231F20"/>
          <w:spacing w:val="-1"/>
          <w:w w:val="120"/>
        </w:rPr>
        <w:t> </w:t>
      </w:r>
      <w:r>
        <w:rPr>
          <w:color w:val="231F20"/>
          <w:w w:val="120"/>
        </w:rPr>
        <w:t>débouche</w:t>
      </w:r>
      <w:r>
        <w:rPr>
          <w:color w:val="231F20"/>
          <w:spacing w:val="-1"/>
          <w:w w:val="120"/>
        </w:rPr>
        <w:t> </w:t>
      </w:r>
      <w:r>
        <w:rPr>
          <w:color w:val="231F20"/>
          <w:w w:val="120"/>
        </w:rPr>
        <w:t>à</w:t>
      </w:r>
      <w:r>
        <w:rPr>
          <w:color w:val="231F20"/>
          <w:spacing w:val="-1"/>
          <w:w w:val="120"/>
        </w:rPr>
        <w:t> </w:t>
      </w:r>
      <w:r>
        <w:rPr>
          <w:color w:val="231F20"/>
          <w:w w:val="120"/>
        </w:rPr>
        <w:t>brève</w:t>
      </w:r>
      <w:r>
        <w:rPr>
          <w:color w:val="231F20"/>
          <w:spacing w:val="-1"/>
          <w:w w:val="120"/>
        </w:rPr>
        <w:t> </w:t>
      </w:r>
      <w:r>
        <w:rPr>
          <w:color w:val="231F20"/>
          <w:w w:val="120"/>
        </w:rPr>
        <w:t>échéance</w:t>
      </w:r>
      <w:r>
        <w:rPr>
          <w:color w:val="231F20"/>
          <w:spacing w:val="-1"/>
          <w:w w:val="120"/>
        </w:rPr>
        <w:t> </w:t>
      </w:r>
      <w:r>
        <w:rPr>
          <w:color w:val="231F20"/>
          <w:w w:val="120"/>
        </w:rPr>
        <w:t>sur</w:t>
      </w:r>
      <w:r>
        <w:rPr>
          <w:color w:val="231F20"/>
          <w:spacing w:val="-1"/>
          <w:w w:val="120"/>
        </w:rPr>
        <w:t> </w:t>
      </w:r>
      <w:r>
        <w:rPr>
          <w:color w:val="231F20"/>
          <w:w w:val="120"/>
        </w:rPr>
        <w:t>une</w:t>
      </w:r>
      <w:r>
        <w:rPr>
          <w:color w:val="231F20"/>
          <w:spacing w:val="-1"/>
          <w:w w:val="120"/>
        </w:rPr>
        <w:t> </w:t>
      </w:r>
      <w:r>
        <w:rPr>
          <w:color w:val="231F20"/>
          <w:w w:val="120"/>
        </w:rPr>
        <w:t>rémission</w:t>
      </w:r>
      <w:r>
        <w:rPr>
          <w:color w:val="231F20"/>
          <w:spacing w:val="-1"/>
          <w:w w:val="120"/>
        </w:rPr>
        <w:t> </w:t>
      </w:r>
      <w:r>
        <w:rPr>
          <w:color w:val="231F20"/>
          <w:w w:val="120"/>
        </w:rPr>
        <w:t>de</w:t>
      </w:r>
      <w:r>
        <w:rPr>
          <w:color w:val="231F20"/>
          <w:spacing w:val="-1"/>
          <w:w w:val="120"/>
        </w:rPr>
        <w:t> </w:t>
      </w:r>
      <w:r>
        <w:rPr>
          <w:color w:val="231F20"/>
          <w:w w:val="120"/>
        </w:rPr>
        <w:t>certains</w:t>
      </w:r>
      <w:r>
        <w:rPr>
          <w:color w:val="231F20"/>
          <w:spacing w:val="-1"/>
          <w:w w:val="120"/>
        </w:rPr>
        <w:t> </w:t>
      </w:r>
      <w:r>
        <w:rPr>
          <w:color w:val="231F20"/>
          <w:w w:val="120"/>
        </w:rPr>
        <w:t>des </w:t>
      </w:r>
      <w:r>
        <w:rPr>
          <w:color w:val="231F20"/>
          <w:w w:val="115"/>
        </w:rPr>
        <w:t>symptômes</w:t>
      </w:r>
      <w:r>
        <w:rPr>
          <w:color w:val="231F20"/>
          <w:spacing w:val="-12"/>
          <w:w w:val="115"/>
        </w:rPr>
        <w:t> </w:t>
      </w:r>
      <w:r>
        <w:rPr>
          <w:color w:val="231F20"/>
          <w:w w:val="115"/>
        </w:rPr>
        <w:t>liés</w:t>
      </w:r>
      <w:r>
        <w:rPr>
          <w:color w:val="231F20"/>
          <w:spacing w:val="-12"/>
          <w:w w:val="115"/>
        </w:rPr>
        <w:t> </w:t>
      </w:r>
      <w:r>
        <w:rPr>
          <w:color w:val="231F20"/>
          <w:w w:val="115"/>
        </w:rPr>
        <w:t>au</w:t>
      </w:r>
      <w:r>
        <w:rPr>
          <w:color w:val="231F20"/>
          <w:spacing w:val="-12"/>
          <w:w w:val="115"/>
        </w:rPr>
        <w:t> </w:t>
      </w:r>
      <w:r>
        <w:rPr>
          <w:color w:val="231F20"/>
          <w:w w:val="115"/>
        </w:rPr>
        <w:t>stress,</w:t>
      </w:r>
      <w:r>
        <w:rPr>
          <w:color w:val="231F20"/>
          <w:spacing w:val="-12"/>
          <w:w w:val="115"/>
        </w:rPr>
        <w:t> </w:t>
      </w:r>
      <w:r>
        <w:rPr>
          <w:color w:val="231F20"/>
          <w:w w:val="115"/>
        </w:rPr>
        <w:t>mais</w:t>
      </w:r>
      <w:r>
        <w:rPr>
          <w:color w:val="231F20"/>
          <w:spacing w:val="-12"/>
          <w:w w:val="115"/>
        </w:rPr>
        <w:t> </w:t>
      </w:r>
      <w:r>
        <w:rPr>
          <w:color w:val="231F20"/>
          <w:w w:val="115"/>
        </w:rPr>
        <w:t>à</w:t>
      </w:r>
      <w:r>
        <w:rPr>
          <w:color w:val="231F20"/>
          <w:spacing w:val="-12"/>
          <w:w w:val="115"/>
        </w:rPr>
        <w:t> </w:t>
      </w:r>
      <w:r>
        <w:rPr>
          <w:color w:val="231F20"/>
          <w:w w:val="115"/>
        </w:rPr>
        <w:t>moyen</w:t>
      </w:r>
      <w:r>
        <w:rPr>
          <w:color w:val="231F20"/>
          <w:spacing w:val="-12"/>
          <w:w w:val="115"/>
        </w:rPr>
        <w:t> </w:t>
      </w:r>
      <w:r>
        <w:rPr>
          <w:color w:val="231F20"/>
          <w:w w:val="115"/>
        </w:rPr>
        <w:t>ou</w:t>
      </w:r>
      <w:r>
        <w:rPr>
          <w:color w:val="231F20"/>
          <w:spacing w:val="-12"/>
          <w:w w:val="115"/>
        </w:rPr>
        <w:t> </w:t>
      </w:r>
      <w:r>
        <w:rPr>
          <w:color w:val="231F20"/>
          <w:w w:val="115"/>
        </w:rPr>
        <w:t>long</w:t>
      </w:r>
      <w:r>
        <w:rPr>
          <w:color w:val="231F20"/>
          <w:spacing w:val="-12"/>
          <w:w w:val="115"/>
        </w:rPr>
        <w:t> </w:t>
      </w:r>
      <w:r>
        <w:rPr>
          <w:color w:val="231F20"/>
          <w:w w:val="115"/>
        </w:rPr>
        <w:t>terme,</w:t>
      </w:r>
      <w:r>
        <w:rPr>
          <w:color w:val="231F20"/>
          <w:spacing w:val="-12"/>
          <w:w w:val="115"/>
        </w:rPr>
        <w:t> </w:t>
      </w:r>
      <w:r>
        <w:rPr>
          <w:color w:val="231F20"/>
          <w:w w:val="115"/>
        </w:rPr>
        <w:t>l’individu</w:t>
      </w:r>
      <w:r>
        <w:rPr>
          <w:color w:val="231F20"/>
          <w:spacing w:val="-12"/>
          <w:w w:val="115"/>
        </w:rPr>
        <w:t> </w:t>
      </w:r>
      <w:r>
        <w:rPr>
          <w:color w:val="231F20"/>
          <w:w w:val="115"/>
        </w:rPr>
        <w:t>souffrira </w:t>
      </w:r>
      <w:r>
        <w:rPr>
          <w:color w:val="231F20"/>
          <w:w w:val="120"/>
        </w:rPr>
        <w:t>autant sinon davantage qu’avant.</w:t>
      </w:r>
    </w:p>
    <w:p>
      <w:pPr>
        <w:pStyle w:val="BodyText"/>
        <w:spacing w:line="307" w:lineRule="auto" w:before="78"/>
        <w:ind w:left="830" w:right="494" w:firstLine="250"/>
        <w:jc w:val="both"/>
      </w:pPr>
      <w:r>
        <w:rPr>
          <w:color w:val="231F20"/>
          <w:w w:val="120"/>
        </w:rPr>
        <w:t>Voici les principales conséquences fréquentes du stress sur le plan psychologique et émotionnel:</w:t>
      </w:r>
    </w:p>
    <w:p>
      <w:pPr>
        <w:pStyle w:val="ListParagraph"/>
        <w:numPr>
          <w:ilvl w:val="1"/>
          <w:numId w:val="42"/>
        </w:numPr>
        <w:tabs>
          <w:tab w:pos="1378" w:val="left" w:leader="none"/>
        </w:tabs>
        <w:spacing w:line="307" w:lineRule="auto" w:before="80" w:after="0"/>
        <w:ind w:left="1330" w:right="494" w:hanging="251"/>
        <w:jc w:val="both"/>
        <w:rPr>
          <w:sz w:val="17"/>
        </w:rPr>
      </w:pPr>
      <w:r>
        <w:rPr/>
        <w:tab/>
      </w:r>
      <w:r>
        <w:rPr>
          <w:i/>
          <w:color w:val="231F20"/>
          <w:w w:val="115"/>
          <w:sz w:val="17"/>
        </w:rPr>
        <w:t>L’irritabilité</w:t>
      </w:r>
      <w:r>
        <w:rPr>
          <w:color w:val="231F20"/>
          <w:w w:val="115"/>
          <w:sz w:val="17"/>
        </w:rPr>
        <w:t>. La mauvaise humeur, l’irascibilité et l’impression</w:t>
      </w:r>
      <w:r>
        <w:rPr>
          <w:color w:val="231F20"/>
          <w:spacing w:val="40"/>
          <w:w w:val="120"/>
          <w:sz w:val="17"/>
        </w:rPr>
        <w:t> </w:t>
      </w:r>
      <w:r>
        <w:rPr>
          <w:color w:val="231F20"/>
          <w:w w:val="120"/>
          <w:sz w:val="17"/>
        </w:rPr>
        <w:t>de</w:t>
      </w:r>
      <w:r>
        <w:rPr>
          <w:color w:val="231F20"/>
          <w:spacing w:val="-13"/>
          <w:w w:val="120"/>
          <w:sz w:val="17"/>
        </w:rPr>
        <w:t> </w:t>
      </w:r>
      <w:r>
        <w:rPr>
          <w:color w:val="231F20"/>
          <w:w w:val="120"/>
          <w:sz w:val="17"/>
        </w:rPr>
        <w:t>«</w:t>
      </w:r>
      <w:r>
        <w:rPr>
          <w:color w:val="231F20"/>
          <w:spacing w:val="-13"/>
          <w:w w:val="120"/>
          <w:sz w:val="17"/>
        </w:rPr>
        <w:t> </w:t>
      </w:r>
      <w:r>
        <w:rPr>
          <w:color w:val="231F20"/>
          <w:w w:val="120"/>
          <w:sz w:val="17"/>
        </w:rPr>
        <w:t>sauter</w:t>
      </w:r>
      <w:r>
        <w:rPr>
          <w:color w:val="231F20"/>
          <w:spacing w:val="-13"/>
          <w:w w:val="120"/>
          <w:sz w:val="17"/>
        </w:rPr>
        <w:t> </w:t>
      </w:r>
      <w:r>
        <w:rPr>
          <w:color w:val="231F20"/>
          <w:w w:val="120"/>
          <w:sz w:val="17"/>
        </w:rPr>
        <w:t>une</w:t>
      </w:r>
      <w:r>
        <w:rPr>
          <w:color w:val="231F20"/>
          <w:spacing w:val="-1"/>
          <w:w w:val="120"/>
          <w:sz w:val="17"/>
        </w:rPr>
        <w:t> </w:t>
      </w:r>
      <w:r>
        <w:rPr>
          <w:color w:val="231F20"/>
          <w:w w:val="120"/>
          <w:sz w:val="17"/>
        </w:rPr>
        <w:t>coche</w:t>
      </w:r>
      <w:r>
        <w:rPr>
          <w:color w:val="231F20"/>
          <w:spacing w:val="-13"/>
          <w:w w:val="120"/>
          <w:sz w:val="17"/>
        </w:rPr>
        <w:t> </w:t>
      </w:r>
      <w:r>
        <w:rPr>
          <w:color w:val="231F20"/>
          <w:w w:val="120"/>
          <w:sz w:val="17"/>
        </w:rPr>
        <w:t>» à la moindre provocation peuvent être la conséquence d’une situation de stress chronique.</w:t>
      </w:r>
    </w:p>
    <w:p>
      <w:pPr>
        <w:pStyle w:val="ListParagraph"/>
        <w:numPr>
          <w:ilvl w:val="1"/>
          <w:numId w:val="42"/>
        </w:numPr>
        <w:tabs>
          <w:tab w:pos="1331" w:val="left" w:leader="none"/>
        </w:tabs>
        <w:spacing w:line="307" w:lineRule="auto" w:before="0" w:after="0"/>
        <w:ind w:left="1330" w:right="493" w:hanging="251"/>
        <w:jc w:val="both"/>
        <w:rPr>
          <w:sz w:val="17"/>
        </w:rPr>
      </w:pPr>
      <w:r>
        <w:rPr>
          <w:i/>
          <w:color w:val="231F20"/>
          <w:w w:val="120"/>
          <w:sz w:val="17"/>
        </w:rPr>
        <w:t>L’épuisement</w:t>
      </w:r>
      <w:r>
        <w:rPr>
          <w:i/>
          <w:color w:val="231F20"/>
          <w:spacing w:val="-13"/>
          <w:w w:val="120"/>
          <w:sz w:val="17"/>
        </w:rPr>
        <w:t> </w:t>
      </w:r>
      <w:r>
        <w:rPr>
          <w:i/>
          <w:color w:val="231F20"/>
          <w:w w:val="120"/>
          <w:sz w:val="17"/>
        </w:rPr>
        <w:t>émotionnel</w:t>
      </w:r>
      <w:r>
        <w:rPr>
          <w:color w:val="231F20"/>
          <w:w w:val="120"/>
          <w:sz w:val="17"/>
        </w:rPr>
        <w:t>.</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personne</w:t>
      </w:r>
      <w:r>
        <w:rPr>
          <w:color w:val="231F20"/>
          <w:spacing w:val="-12"/>
          <w:w w:val="120"/>
          <w:sz w:val="17"/>
        </w:rPr>
        <w:t> </w:t>
      </w:r>
      <w:r>
        <w:rPr>
          <w:color w:val="231F20"/>
          <w:w w:val="120"/>
          <w:sz w:val="17"/>
        </w:rPr>
        <w:t>se</w:t>
      </w:r>
      <w:r>
        <w:rPr>
          <w:color w:val="231F20"/>
          <w:spacing w:val="-13"/>
          <w:w w:val="120"/>
          <w:sz w:val="17"/>
        </w:rPr>
        <w:t> </w:t>
      </w:r>
      <w:r>
        <w:rPr>
          <w:color w:val="231F20"/>
          <w:w w:val="120"/>
          <w:sz w:val="17"/>
        </w:rPr>
        <w:t>sent</w:t>
      </w:r>
      <w:r>
        <w:rPr>
          <w:color w:val="231F20"/>
          <w:spacing w:val="-13"/>
          <w:w w:val="120"/>
          <w:sz w:val="17"/>
        </w:rPr>
        <w:t> </w:t>
      </w:r>
      <w:r>
        <w:rPr>
          <w:color w:val="231F20"/>
          <w:w w:val="120"/>
          <w:sz w:val="17"/>
        </w:rPr>
        <w:t>épuisée,</w:t>
      </w:r>
      <w:r>
        <w:rPr>
          <w:color w:val="231F20"/>
          <w:spacing w:val="-13"/>
          <w:w w:val="120"/>
          <w:sz w:val="17"/>
        </w:rPr>
        <w:t> </w:t>
      </w:r>
      <w:r>
        <w:rPr>
          <w:color w:val="231F20"/>
          <w:w w:val="120"/>
          <w:sz w:val="17"/>
        </w:rPr>
        <w:t>dénuée</w:t>
      </w:r>
      <w:r>
        <w:rPr>
          <w:color w:val="231F20"/>
          <w:spacing w:val="-12"/>
          <w:w w:val="120"/>
          <w:sz w:val="17"/>
        </w:rPr>
        <w:t> </w:t>
      </w:r>
      <w:r>
        <w:rPr>
          <w:color w:val="231F20"/>
          <w:w w:val="120"/>
          <w:sz w:val="17"/>
        </w:rPr>
        <w:t>de </w:t>
      </w:r>
      <w:r>
        <w:rPr>
          <w:color w:val="231F20"/>
          <w:w w:val="115"/>
          <w:sz w:val="17"/>
        </w:rPr>
        <w:t>l’énergie</w:t>
      </w:r>
      <w:r>
        <w:rPr>
          <w:color w:val="231F20"/>
          <w:spacing w:val="-4"/>
          <w:w w:val="115"/>
          <w:sz w:val="17"/>
        </w:rPr>
        <w:t> </w:t>
      </w:r>
      <w:r>
        <w:rPr>
          <w:color w:val="231F20"/>
          <w:w w:val="115"/>
          <w:sz w:val="17"/>
        </w:rPr>
        <w:t>vitale</w:t>
      </w:r>
      <w:r>
        <w:rPr>
          <w:color w:val="231F20"/>
          <w:spacing w:val="-4"/>
          <w:w w:val="115"/>
          <w:sz w:val="17"/>
        </w:rPr>
        <w:t> </w:t>
      </w:r>
      <w:r>
        <w:rPr>
          <w:color w:val="231F20"/>
          <w:w w:val="115"/>
          <w:sz w:val="17"/>
        </w:rPr>
        <w:t>nécessaire</w:t>
      </w:r>
      <w:r>
        <w:rPr>
          <w:color w:val="231F20"/>
          <w:spacing w:val="-4"/>
          <w:w w:val="115"/>
          <w:sz w:val="17"/>
        </w:rPr>
        <w:t> </w:t>
      </w:r>
      <w:r>
        <w:rPr>
          <w:color w:val="231F20"/>
          <w:w w:val="115"/>
          <w:sz w:val="17"/>
        </w:rPr>
        <w:t>aux</w:t>
      </w:r>
      <w:r>
        <w:rPr>
          <w:color w:val="231F20"/>
          <w:spacing w:val="-4"/>
          <w:w w:val="115"/>
          <w:sz w:val="17"/>
        </w:rPr>
        <w:t> </w:t>
      </w:r>
      <w:r>
        <w:rPr>
          <w:color w:val="231F20"/>
          <w:w w:val="115"/>
          <w:sz w:val="17"/>
        </w:rPr>
        <w:t>activités</w:t>
      </w:r>
      <w:r>
        <w:rPr>
          <w:color w:val="231F20"/>
          <w:spacing w:val="-4"/>
          <w:w w:val="115"/>
          <w:sz w:val="17"/>
        </w:rPr>
        <w:t> </w:t>
      </w:r>
      <w:r>
        <w:rPr>
          <w:color w:val="231F20"/>
          <w:w w:val="115"/>
          <w:sz w:val="17"/>
        </w:rPr>
        <w:t>quotidiennes,</w:t>
      </w:r>
      <w:r>
        <w:rPr>
          <w:color w:val="231F20"/>
          <w:spacing w:val="-4"/>
          <w:w w:val="115"/>
          <w:sz w:val="17"/>
        </w:rPr>
        <w:t> </w:t>
      </w:r>
      <w:r>
        <w:rPr>
          <w:color w:val="231F20"/>
          <w:w w:val="115"/>
          <w:sz w:val="17"/>
        </w:rPr>
        <w:t>en</w:t>
      </w:r>
      <w:r>
        <w:rPr>
          <w:color w:val="231F20"/>
          <w:spacing w:val="-4"/>
          <w:w w:val="115"/>
          <w:sz w:val="17"/>
        </w:rPr>
        <w:t> </w:t>
      </w:r>
      <w:r>
        <w:rPr>
          <w:color w:val="231F20"/>
          <w:w w:val="115"/>
          <w:sz w:val="17"/>
        </w:rPr>
        <w:t>particulier </w:t>
      </w:r>
      <w:r>
        <w:rPr>
          <w:color w:val="231F20"/>
          <w:w w:val="120"/>
          <w:sz w:val="17"/>
        </w:rPr>
        <w:t>celles qui sont extérieures au travail, notamment en lien avec la famille (conjoint, enfants) et les amis.</w:t>
      </w:r>
    </w:p>
    <w:p>
      <w:pPr>
        <w:pStyle w:val="ListParagraph"/>
        <w:numPr>
          <w:ilvl w:val="1"/>
          <w:numId w:val="42"/>
        </w:numPr>
        <w:tabs>
          <w:tab w:pos="1331" w:val="left" w:leader="none"/>
        </w:tabs>
        <w:spacing w:line="307" w:lineRule="auto" w:before="0" w:after="0"/>
        <w:ind w:left="1330" w:right="496" w:hanging="251"/>
        <w:jc w:val="both"/>
        <w:rPr>
          <w:sz w:val="17"/>
        </w:rPr>
      </w:pPr>
      <w:r>
        <w:rPr>
          <w:i/>
          <w:color w:val="231F20"/>
          <w:w w:val="120"/>
          <w:sz w:val="17"/>
        </w:rPr>
        <w:t>L’oubli</w:t>
      </w:r>
      <w:r>
        <w:rPr>
          <w:i/>
          <w:color w:val="231F20"/>
          <w:spacing w:val="-5"/>
          <w:w w:val="120"/>
          <w:sz w:val="17"/>
        </w:rPr>
        <w:t> </w:t>
      </w:r>
      <w:r>
        <w:rPr>
          <w:i/>
          <w:color w:val="231F20"/>
          <w:w w:val="120"/>
          <w:sz w:val="17"/>
        </w:rPr>
        <w:t>de</w:t>
      </w:r>
      <w:r>
        <w:rPr>
          <w:i/>
          <w:color w:val="231F20"/>
          <w:spacing w:val="-5"/>
          <w:w w:val="120"/>
          <w:sz w:val="17"/>
        </w:rPr>
        <w:t> </w:t>
      </w:r>
      <w:r>
        <w:rPr>
          <w:i/>
          <w:color w:val="231F20"/>
          <w:w w:val="120"/>
          <w:sz w:val="17"/>
        </w:rPr>
        <w:t>choses</w:t>
      </w:r>
      <w:r>
        <w:rPr>
          <w:i/>
          <w:color w:val="231F20"/>
          <w:spacing w:val="-5"/>
          <w:w w:val="120"/>
          <w:sz w:val="17"/>
        </w:rPr>
        <w:t> </w:t>
      </w:r>
      <w:r>
        <w:rPr>
          <w:i/>
          <w:color w:val="231F20"/>
          <w:w w:val="120"/>
          <w:sz w:val="17"/>
        </w:rPr>
        <w:t>importantes</w:t>
      </w:r>
      <w:r>
        <w:rPr>
          <w:color w:val="231F20"/>
          <w:w w:val="120"/>
          <w:sz w:val="17"/>
        </w:rPr>
        <w:t>.</w:t>
      </w:r>
      <w:r>
        <w:rPr>
          <w:color w:val="231F20"/>
          <w:spacing w:val="-5"/>
          <w:w w:val="120"/>
          <w:sz w:val="17"/>
        </w:rPr>
        <w:t> </w:t>
      </w:r>
      <w:r>
        <w:rPr>
          <w:color w:val="231F20"/>
          <w:w w:val="120"/>
          <w:sz w:val="17"/>
        </w:rPr>
        <w:t>On</w:t>
      </w:r>
      <w:r>
        <w:rPr>
          <w:color w:val="231F20"/>
          <w:spacing w:val="-5"/>
          <w:w w:val="120"/>
          <w:sz w:val="17"/>
        </w:rPr>
        <w:t> </w:t>
      </w:r>
      <w:r>
        <w:rPr>
          <w:color w:val="231F20"/>
          <w:w w:val="120"/>
          <w:sz w:val="17"/>
        </w:rPr>
        <w:t>observe</w:t>
      </w:r>
      <w:r>
        <w:rPr>
          <w:color w:val="231F20"/>
          <w:spacing w:val="-5"/>
          <w:w w:val="120"/>
          <w:sz w:val="17"/>
        </w:rPr>
        <w:t> </w:t>
      </w:r>
      <w:r>
        <w:rPr>
          <w:color w:val="231F20"/>
          <w:w w:val="120"/>
          <w:sz w:val="17"/>
        </w:rPr>
        <w:t>de</w:t>
      </w:r>
      <w:r>
        <w:rPr>
          <w:color w:val="231F20"/>
          <w:spacing w:val="-5"/>
          <w:w w:val="120"/>
          <w:sz w:val="17"/>
        </w:rPr>
        <w:t> </w:t>
      </w:r>
      <w:r>
        <w:rPr>
          <w:color w:val="231F20"/>
          <w:w w:val="120"/>
          <w:sz w:val="17"/>
        </w:rPr>
        <w:t>fréquents</w:t>
      </w:r>
      <w:r>
        <w:rPr>
          <w:color w:val="231F20"/>
          <w:spacing w:val="-5"/>
          <w:w w:val="120"/>
          <w:sz w:val="17"/>
        </w:rPr>
        <w:t> </w:t>
      </w:r>
      <w:r>
        <w:rPr>
          <w:color w:val="231F20"/>
          <w:w w:val="120"/>
          <w:sz w:val="17"/>
        </w:rPr>
        <w:t>trous</w:t>
      </w:r>
      <w:r>
        <w:rPr>
          <w:color w:val="231F20"/>
          <w:spacing w:val="-5"/>
          <w:w w:val="120"/>
          <w:sz w:val="17"/>
        </w:rPr>
        <w:t> </w:t>
      </w:r>
      <w:r>
        <w:rPr>
          <w:color w:val="231F20"/>
          <w:w w:val="120"/>
          <w:sz w:val="17"/>
        </w:rPr>
        <w:t>de mémoire, particulièrement en ce qui concerne les événements </w:t>
      </w:r>
      <w:r>
        <w:rPr>
          <w:color w:val="231F20"/>
          <w:spacing w:val="-2"/>
          <w:w w:val="120"/>
          <w:sz w:val="17"/>
        </w:rPr>
        <w:t>importants (anniversaires) ou relatifs à des êtres chers </w:t>
      </w:r>
      <w:r>
        <w:rPr>
          <w:color w:val="231F20"/>
          <w:spacing w:val="-2"/>
          <w:w w:val="120"/>
          <w:sz w:val="17"/>
        </w:rPr>
        <w:t>(rencontrer</w:t>
      </w:r>
      <w:r>
        <w:rPr>
          <w:color w:val="231F20"/>
          <w:spacing w:val="-2"/>
          <w:w w:val="120"/>
          <w:sz w:val="17"/>
        </w:rPr>
        <w:t> </w:t>
      </w:r>
      <w:r>
        <w:rPr>
          <w:color w:val="231F20"/>
          <w:w w:val="120"/>
          <w:sz w:val="17"/>
        </w:rPr>
        <w:t>l’enseignante de son enfant, téléphoner à un ami, etc.).</w:t>
      </w:r>
    </w:p>
    <w:p>
      <w:pPr>
        <w:pStyle w:val="ListParagraph"/>
        <w:numPr>
          <w:ilvl w:val="1"/>
          <w:numId w:val="42"/>
        </w:numPr>
        <w:tabs>
          <w:tab w:pos="1331" w:val="left" w:leader="none"/>
        </w:tabs>
        <w:spacing w:line="307" w:lineRule="auto" w:before="0" w:after="0"/>
        <w:ind w:left="1330" w:right="492" w:hanging="251"/>
        <w:jc w:val="both"/>
        <w:rPr>
          <w:sz w:val="17"/>
        </w:rPr>
      </w:pPr>
      <w:r>
        <w:rPr>
          <w:i/>
          <w:color w:val="231F20"/>
          <w:w w:val="115"/>
          <w:sz w:val="17"/>
        </w:rPr>
        <w:t>La</w:t>
      </w:r>
      <w:r>
        <w:rPr>
          <w:i/>
          <w:color w:val="231F20"/>
          <w:spacing w:val="-12"/>
          <w:w w:val="115"/>
          <w:sz w:val="17"/>
        </w:rPr>
        <w:t> </w:t>
      </w:r>
      <w:r>
        <w:rPr>
          <w:i/>
          <w:color w:val="231F20"/>
          <w:w w:val="115"/>
          <w:sz w:val="17"/>
        </w:rPr>
        <w:t>volonté</w:t>
      </w:r>
      <w:r>
        <w:rPr>
          <w:i/>
          <w:color w:val="231F20"/>
          <w:spacing w:val="-12"/>
          <w:w w:val="115"/>
          <w:sz w:val="17"/>
        </w:rPr>
        <w:t> </w:t>
      </w:r>
      <w:r>
        <w:rPr>
          <w:i/>
          <w:color w:val="231F20"/>
          <w:w w:val="115"/>
          <w:sz w:val="17"/>
        </w:rPr>
        <w:t>d’un</w:t>
      </w:r>
      <w:r>
        <w:rPr>
          <w:i/>
          <w:color w:val="231F20"/>
          <w:spacing w:val="-12"/>
          <w:w w:val="115"/>
          <w:sz w:val="17"/>
        </w:rPr>
        <w:t> </w:t>
      </w:r>
      <w:r>
        <w:rPr>
          <w:i/>
          <w:color w:val="231F20"/>
          <w:w w:val="115"/>
          <w:sz w:val="17"/>
        </w:rPr>
        <w:t>changement</w:t>
      </w:r>
      <w:r>
        <w:rPr>
          <w:i/>
          <w:color w:val="231F20"/>
          <w:spacing w:val="-12"/>
          <w:w w:val="115"/>
          <w:sz w:val="17"/>
        </w:rPr>
        <w:t> </w:t>
      </w:r>
      <w:r>
        <w:rPr>
          <w:i/>
          <w:color w:val="231F20"/>
          <w:w w:val="115"/>
          <w:sz w:val="17"/>
        </w:rPr>
        <w:t>radical</w:t>
      </w:r>
      <w:r>
        <w:rPr>
          <w:color w:val="231F20"/>
          <w:w w:val="115"/>
          <w:sz w:val="17"/>
        </w:rPr>
        <w:t>.</w:t>
      </w:r>
      <w:r>
        <w:rPr>
          <w:color w:val="231F20"/>
          <w:spacing w:val="-12"/>
          <w:w w:val="115"/>
          <w:sz w:val="17"/>
        </w:rPr>
        <w:t> </w:t>
      </w:r>
      <w:r>
        <w:rPr>
          <w:color w:val="231F20"/>
          <w:w w:val="115"/>
          <w:sz w:val="17"/>
        </w:rPr>
        <w:t>L’individu</w:t>
      </w:r>
      <w:r>
        <w:rPr>
          <w:color w:val="231F20"/>
          <w:spacing w:val="-12"/>
          <w:w w:val="115"/>
          <w:sz w:val="17"/>
        </w:rPr>
        <w:t> </w:t>
      </w:r>
      <w:r>
        <w:rPr>
          <w:color w:val="231F20"/>
          <w:w w:val="115"/>
          <w:sz w:val="17"/>
        </w:rPr>
        <w:t>stressé</w:t>
      </w:r>
      <w:r>
        <w:rPr>
          <w:color w:val="231F20"/>
          <w:spacing w:val="-12"/>
          <w:w w:val="115"/>
          <w:sz w:val="17"/>
        </w:rPr>
        <w:t> </w:t>
      </w:r>
      <w:r>
        <w:rPr>
          <w:color w:val="231F20"/>
          <w:w w:val="115"/>
          <w:sz w:val="17"/>
        </w:rPr>
        <w:t>tend</w:t>
      </w:r>
      <w:r>
        <w:rPr>
          <w:color w:val="231F20"/>
          <w:spacing w:val="-12"/>
          <w:w w:val="115"/>
          <w:sz w:val="17"/>
        </w:rPr>
        <w:t> </w:t>
      </w:r>
      <w:r>
        <w:rPr>
          <w:color w:val="231F20"/>
          <w:w w:val="115"/>
          <w:sz w:val="17"/>
        </w:rPr>
        <w:t>à</w:t>
      </w:r>
      <w:r>
        <w:rPr>
          <w:color w:val="231F20"/>
          <w:spacing w:val="-12"/>
          <w:w w:val="115"/>
          <w:sz w:val="17"/>
        </w:rPr>
        <w:t> </w:t>
      </w:r>
      <w:r>
        <w:rPr>
          <w:color w:val="231F20"/>
          <w:w w:val="115"/>
          <w:sz w:val="17"/>
        </w:rPr>
        <w:t>avoir des idées polarisées et inflexibles, ce qui limite sa capacité à rela- tiviser les choses. Il a ainsi tendance à fournir des efforts excessifs pour s’adapter à son travail ou à sa vie en général. Le fait de se sentir stressé le pousse à désirer un changement de vie radical, notamment</w:t>
      </w:r>
      <w:r>
        <w:rPr>
          <w:color w:val="231F20"/>
          <w:spacing w:val="-2"/>
          <w:w w:val="115"/>
          <w:sz w:val="17"/>
        </w:rPr>
        <w:t> </w:t>
      </w:r>
      <w:r>
        <w:rPr>
          <w:color w:val="231F20"/>
          <w:w w:val="115"/>
          <w:sz w:val="17"/>
        </w:rPr>
        <w:t>face</w:t>
      </w:r>
      <w:r>
        <w:rPr>
          <w:color w:val="231F20"/>
          <w:spacing w:val="-2"/>
          <w:w w:val="115"/>
          <w:sz w:val="17"/>
        </w:rPr>
        <w:t> </w:t>
      </w:r>
      <w:r>
        <w:rPr>
          <w:color w:val="231F20"/>
          <w:w w:val="115"/>
          <w:sz w:val="17"/>
        </w:rPr>
        <w:t>à</w:t>
      </w:r>
      <w:r>
        <w:rPr>
          <w:color w:val="231F20"/>
          <w:spacing w:val="-2"/>
          <w:w w:val="115"/>
          <w:sz w:val="17"/>
        </w:rPr>
        <w:t> </w:t>
      </w:r>
      <w:r>
        <w:rPr>
          <w:color w:val="231F20"/>
          <w:w w:val="115"/>
          <w:sz w:val="17"/>
        </w:rPr>
        <w:t>son</w:t>
      </w:r>
      <w:r>
        <w:rPr>
          <w:color w:val="231F20"/>
          <w:spacing w:val="-2"/>
          <w:w w:val="115"/>
          <w:sz w:val="17"/>
        </w:rPr>
        <w:t> </w:t>
      </w:r>
      <w:r>
        <w:rPr>
          <w:color w:val="231F20"/>
          <w:w w:val="115"/>
          <w:sz w:val="17"/>
        </w:rPr>
        <w:t>partenaire</w:t>
      </w:r>
      <w:r>
        <w:rPr>
          <w:color w:val="231F20"/>
          <w:spacing w:val="-2"/>
          <w:w w:val="115"/>
          <w:sz w:val="17"/>
        </w:rPr>
        <w:t> </w:t>
      </w:r>
      <w:r>
        <w:rPr>
          <w:color w:val="231F20"/>
          <w:w w:val="115"/>
          <w:sz w:val="17"/>
        </w:rPr>
        <w:t>et</w:t>
      </w:r>
      <w:r>
        <w:rPr>
          <w:color w:val="231F20"/>
          <w:spacing w:val="-2"/>
          <w:w w:val="115"/>
          <w:sz w:val="17"/>
        </w:rPr>
        <w:t> </w:t>
      </w:r>
      <w:r>
        <w:rPr>
          <w:color w:val="231F20"/>
          <w:w w:val="115"/>
          <w:sz w:val="17"/>
        </w:rPr>
        <w:t>à</w:t>
      </w:r>
      <w:r>
        <w:rPr>
          <w:color w:val="231F20"/>
          <w:spacing w:val="-2"/>
          <w:w w:val="115"/>
          <w:sz w:val="17"/>
        </w:rPr>
        <w:t> </w:t>
      </w:r>
      <w:r>
        <w:rPr>
          <w:color w:val="231F20"/>
          <w:w w:val="115"/>
          <w:sz w:val="17"/>
        </w:rPr>
        <w:t>sa</w:t>
      </w:r>
      <w:r>
        <w:rPr>
          <w:color w:val="231F20"/>
          <w:spacing w:val="-2"/>
          <w:w w:val="115"/>
          <w:sz w:val="17"/>
        </w:rPr>
        <w:t> </w:t>
      </w:r>
      <w:r>
        <w:rPr>
          <w:color w:val="231F20"/>
          <w:w w:val="115"/>
          <w:sz w:val="17"/>
        </w:rPr>
        <w:t>profession.</w:t>
      </w:r>
      <w:r>
        <w:rPr>
          <w:color w:val="231F20"/>
          <w:spacing w:val="-2"/>
          <w:w w:val="115"/>
          <w:sz w:val="17"/>
        </w:rPr>
        <w:t> </w:t>
      </w:r>
      <w:r>
        <w:rPr>
          <w:color w:val="231F20"/>
          <w:w w:val="115"/>
          <w:sz w:val="17"/>
        </w:rPr>
        <w:t>Des</w:t>
      </w:r>
      <w:r>
        <w:rPr>
          <w:color w:val="231F20"/>
          <w:spacing w:val="-2"/>
          <w:w w:val="115"/>
          <w:sz w:val="17"/>
        </w:rPr>
        <w:t> </w:t>
      </w:r>
      <w:r>
        <w:rPr>
          <w:color w:val="231F20"/>
          <w:w w:val="115"/>
          <w:sz w:val="17"/>
        </w:rPr>
        <w:t>idées</w:t>
      </w:r>
      <w:r>
        <w:rPr>
          <w:color w:val="231F20"/>
          <w:spacing w:val="-2"/>
          <w:w w:val="115"/>
          <w:sz w:val="17"/>
        </w:rPr>
        <w:t> </w:t>
      </w:r>
      <w:r>
        <w:rPr>
          <w:color w:val="231F20"/>
          <w:w w:val="115"/>
          <w:sz w:val="17"/>
        </w:rPr>
        <w:t>dras- tiques</w:t>
      </w:r>
      <w:r>
        <w:rPr>
          <w:color w:val="231F20"/>
          <w:spacing w:val="-13"/>
          <w:w w:val="115"/>
          <w:sz w:val="17"/>
        </w:rPr>
        <w:t> </w:t>
      </w:r>
      <w:r>
        <w:rPr>
          <w:color w:val="231F20"/>
          <w:w w:val="115"/>
          <w:sz w:val="17"/>
        </w:rPr>
        <w:t>telles que «</w:t>
      </w:r>
      <w:r>
        <w:rPr>
          <w:color w:val="231F20"/>
          <w:spacing w:val="-13"/>
          <w:w w:val="115"/>
          <w:sz w:val="17"/>
        </w:rPr>
        <w:t> </w:t>
      </w:r>
      <w:r>
        <w:rPr>
          <w:i/>
          <w:color w:val="231F20"/>
          <w:w w:val="115"/>
          <w:sz w:val="17"/>
        </w:rPr>
        <w:t>Ça ne peut plus continuer</w:t>
      </w:r>
      <w:r>
        <w:rPr>
          <w:i/>
          <w:color w:val="231F20"/>
          <w:spacing w:val="-13"/>
          <w:w w:val="115"/>
          <w:sz w:val="17"/>
        </w:rPr>
        <w:t> </w:t>
      </w:r>
      <w:r>
        <w:rPr>
          <w:color w:val="231F20"/>
          <w:w w:val="115"/>
          <w:sz w:val="17"/>
        </w:rPr>
        <w:t>» ou «</w:t>
      </w:r>
      <w:r>
        <w:rPr>
          <w:color w:val="231F20"/>
          <w:spacing w:val="-13"/>
          <w:w w:val="115"/>
          <w:sz w:val="17"/>
        </w:rPr>
        <w:t> </w:t>
      </w:r>
      <w:r>
        <w:rPr>
          <w:i/>
          <w:color w:val="231F20"/>
          <w:w w:val="115"/>
          <w:sz w:val="17"/>
        </w:rPr>
        <w:t>Il faut que ça change</w:t>
      </w:r>
      <w:r>
        <w:rPr>
          <w:i/>
          <w:color w:val="231F20"/>
          <w:spacing w:val="-21"/>
          <w:w w:val="115"/>
          <w:sz w:val="17"/>
        </w:rPr>
        <w:t> </w:t>
      </w:r>
      <w:r>
        <w:rPr>
          <w:color w:val="231F20"/>
          <w:w w:val="115"/>
          <w:sz w:val="17"/>
        </w:rPr>
        <w:t>» surgissent couramment dans ce genre de situation.</w:t>
      </w:r>
    </w:p>
    <w:p>
      <w:pPr>
        <w:pStyle w:val="ListParagraph"/>
        <w:numPr>
          <w:ilvl w:val="1"/>
          <w:numId w:val="42"/>
        </w:numPr>
        <w:tabs>
          <w:tab w:pos="1331" w:val="left" w:leader="none"/>
        </w:tabs>
        <w:spacing w:line="307" w:lineRule="auto" w:before="0" w:after="0"/>
        <w:ind w:left="1330" w:right="494" w:hanging="251"/>
        <w:jc w:val="both"/>
        <w:rPr>
          <w:sz w:val="17"/>
        </w:rPr>
      </w:pPr>
      <w:r>
        <w:rPr>
          <w:i/>
          <w:color w:val="231F20"/>
          <w:w w:val="115"/>
          <w:sz w:val="17"/>
        </w:rPr>
        <w:t>La procrastination chronique</w:t>
      </w:r>
      <w:r>
        <w:rPr>
          <w:color w:val="231F20"/>
          <w:w w:val="115"/>
          <w:sz w:val="17"/>
        </w:rPr>
        <w:t>. L’individu stressé a tendance à remettre des actions et des tâches qu’il considère pourtant comme importantes.</w:t>
      </w:r>
      <w:r>
        <w:rPr>
          <w:color w:val="231F20"/>
          <w:spacing w:val="-13"/>
          <w:w w:val="115"/>
          <w:sz w:val="17"/>
        </w:rPr>
        <w:t> </w:t>
      </w:r>
      <w:r>
        <w:rPr>
          <w:color w:val="231F20"/>
          <w:w w:val="115"/>
          <w:sz w:val="17"/>
        </w:rPr>
        <w:t>Il se dira par exemple: «</w:t>
      </w:r>
      <w:r>
        <w:rPr>
          <w:color w:val="231F20"/>
          <w:spacing w:val="-13"/>
          <w:w w:val="115"/>
          <w:sz w:val="17"/>
        </w:rPr>
        <w:t> </w:t>
      </w:r>
      <w:r>
        <w:rPr>
          <w:i/>
          <w:color w:val="231F20"/>
          <w:w w:val="115"/>
          <w:sz w:val="17"/>
        </w:rPr>
        <w:t>Un de ces jours, je vais faire plus</w:t>
      </w:r>
      <w:r>
        <w:rPr>
          <w:i/>
          <w:color w:val="231F20"/>
          <w:spacing w:val="-1"/>
          <w:w w:val="115"/>
          <w:sz w:val="17"/>
        </w:rPr>
        <w:t> </w:t>
      </w:r>
      <w:r>
        <w:rPr>
          <w:i/>
          <w:color w:val="231F20"/>
          <w:w w:val="115"/>
          <w:sz w:val="17"/>
        </w:rPr>
        <w:t>d’exercices</w:t>
      </w:r>
      <w:r>
        <w:rPr>
          <w:i/>
          <w:color w:val="231F20"/>
          <w:spacing w:val="-13"/>
          <w:w w:val="115"/>
          <w:sz w:val="17"/>
        </w:rPr>
        <w:t> </w:t>
      </w:r>
      <w:r>
        <w:rPr>
          <w:color w:val="231F20"/>
          <w:w w:val="115"/>
          <w:sz w:val="17"/>
        </w:rPr>
        <w:t>»</w:t>
      </w:r>
      <w:r>
        <w:rPr>
          <w:color w:val="231F20"/>
          <w:spacing w:val="-12"/>
          <w:w w:val="115"/>
          <w:sz w:val="17"/>
        </w:rPr>
        <w:t> </w:t>
      </w:r>
      <w:r>
        <w:rPr>
          <w:color w:val="231F20"/>
          <w:w w:val="115"/>
          <w:sz w:val="17"/>
        </w:rPr>
        <w:t>; «</w:t>
      </w:r>
      <w:r>
        <w:rPr>
          <w:color w:val="231F20"/>
          <w:spacing w:val="-13"/>
          <w:w w:val="115"/>
          <w:sz w:val="17"/>
        </w:rPr>
        <w:t> </w:t>
      </w:r>
      <w:r>
        <w:rPr>
          <w:i/>
          <w:color w:val="231F20"/>
          <w:w w:val="115"/>
          <w:sz w:val="17"/>
        </w:rPr>
        <w:t>Il faut que je passe plus de temps avec mes enfants</w:t>
      </w:r>
      <w:r>
        <w:rPr>
          <w:i/>
          <w:color w:val="231F20"/>
          <w:spacing w:val="-13"/>
          <w:w w:val="115"/>
          <w:sz w:val="17"/>
        </w:rPr>
        <w:t> </w:t>
      </w:r>
      <w:r>
        <w:rPr>
          <w:color w:val="231F20"/>
          <w:w w:val="115"/>
          <w:sz w:val="17"/>
        </w:rPr>
        <w:t>». Toutefois, le moment opportun risque fort de ne jamais se</w:t>
      </w:r>
      <w:r>
        <w:rPr>
          <w:color w:val="231F20"/>
          <w:spacing w:val="-13"/>
          <w:w w:val="115"/>
          <w:sz w:val="17"/>
        </w:rPr>
        <w:t> </w:t>
      </w:r>
      <w:r>
        <w:rPr>
          <w:color w:val="231F20"/>
          <w:w w:val="115"/>
          <w:sz w:val="17"/>
        </w:rPr>
        <w:t>matérialiser.</w:t>
      </w:r>
    </w:p>
    <w:p>
      <w:pPr>
        <w:pStyle w:val="ListParagraph"/>
        <w:numPr>
          <w:ilvl w:val="1"/>
          <w:numId w:val="42"/>
        </w:numPr>
        <w:tabs>
          <w:tab w:pos="1331" w:val="left" w:leader="none"/>
        </w:tabs>
        <w:spacing w:line="307" w:lineRule="auto" w:before="0" w:after="0"/>
        <w:ind w:left="1330" w:right="496" w:hanging="251"/>
        <w:jc w:val="both"/>
        <w:rPr>
          <w:sz w:val="17"/>
        </w:rPr>
      </w:pPr>
      <w:r>
        <w:rPr>
          <w:i/>
          <w:color w:val="231F20"/>
          <w:w w:val="115"/>
          <w:sz w:val="17"/>
        </w:rPr>
        <w:t>L’impression</w:t>
      </w:r>
      <w:r>
        <w:rPr>
          <w:i/>
          <w:color w:val="231F20"/>
          <w:spacing w:val="-10"/>
          <w:w w:val="115"/>
          <w:sz w:val="17"/>
        </w:rPr>
        <w:t> </w:t>
      </w:r>
      <w:r>
        <w:rPr>
          <w:i/>
          <w:color w:val="231F20"/>
          <w:w w:val="115"/>
          <w:sz w:val="17"/>
        </w:rPr>
        <w:t>de</w:t>
      </w:r>
      <w:r>
        <w:rPr>
          <w:i/>
          <w:color w:val="231F20"/>
          <w:spacing w:val="-10"/>
          <w:w w:val="115"/>
          <w:sz w:val="17"/>
        </w:rPr>
        <w:t> </w:t>
      </w:r>
      <w:r>
        <w:rPr>
          <w:i/>
          <w:color w:val="231F20"/>
          <w:w w:val="115"/>
          <w:sz w:val="17"/>
        </w:rPr>
        <w:t>manquer</w:t>
      </w:r>
      <w:r>
        <w:rPr>
          <w:i/>
          <w:color w:val="231F20"/>
          <w:spacing w:val="-10"/>
          <w:w w:val="115"/>
          <w:sz w:val="17"/>
        </w:rPr>
        <w:t> </w:t>
      </w:r>
      <w:r>
        <w:rPr>
          <w:i/>
          <w:color w:val="231F20"/>
          <w:w w:val="115"/>
          <w:sz w:val="17"/>
        </w:rPr>
        <w:t>de</w:t>
      </w:r>
      <w:r>
        <w:rPr>
          <w:i/>
          <w:color w:val="231F20"/>
          <w:spacing w:val="-10"/>
          <w:w w:val="115"/>
          <w:sz w:val="17"/>
        </w:rPr>
        <w:t> </w:t>
      </w:r>
      <w:r>
        <w:rPr>
          <w:i/>
          <w:color w:val="231F20"/>
          <w:w w:val="115"/>
          <w:sz w:val="17"/>
        </w:rPr>
        <w:t>temps</w:t>
      </w:r>
      <w:r>
        <w:rPr>
          <w:color w:val="231F20"/>
          <w:w w:val="115"/>
          <w:sz w:val="17"/>
        </w:rPr>
        <w:t>.</w:t>
      </w:r>
      <w:r>
        <w:rPr>
          <w:color w:val="231F20"/>
          <w:spacing w:val="-10"/>
          <w:w w:val="115"/>
          <w:sz w:val="17"/>
        </w:rPr>
        <w:t> </w:t>
      </w:r>
      <w:r>
        <w:rPr>
          <w:color w:val="231F20"/>
          <w:w w:val="115"/>
          <w:sz w:val="17"/>
        </w:rPr>
        <w:t>Les</w:t>
      </w:r>
      <w:r>
        <w:rPr>
          <w:color w:val="231F20"/>
          <w:spacing w:val="-10"/>
          <w:w w:val="115"/>
          <w:sz w:val="17"/>
        </w:rPr>
        <w:t> </w:t>
      </w:r>
      <w:r>
        <w:rPr>
          <w:color w:val="231F20"/>
          <w:w w:val="115"/>
          <w:sz w:val="17"/>
        </w:rPr>
        <w:t>gens</w:t>
      </w:r>
      <w:r>
        <w:rPr>
          <w:color w:val="231F20"/>
          <w:spacing w:val="-10"/>
          <w:w w:val="115"/>
          <w:sz w:val="17"/>
        </w:rPr>
        <w:t> </w:t>
      </w:r>
      <w:r>
        <w:rPr>
          <w:color w:val="231F20"/>
          <w:w w:val="115"/>
          <w:sz w:val="17"/>
        </w:rPr>
        <w:t>qui</w:t>
      </w:r>
      <w:r>
        <w:rPr>
          <w:color w:val="231F20"/>
          <w:spacing w:val="-10"/>
          <w:w w:val="115"/>
          <w:sz w:val="17"/>
        </w:rPr>
        <w:t> </w:t>
      </w:r>
      <w:r>
        <w:rPr>
          <w:color w:val="231F20"/>
          <w:w w:val="115"/>
          <w:sz w:val="17"/>
        </w:rPr>
        <w:t>souffrent</w:t>
      </w:r>
      <w:r>
        <w:rPr>
          <w:color w:val="231F20"/>
          <w:spacing w:val="-10"/>
          <w:w w:val="115"/>
          <w:sz w:val="17"/>
        </w:rPr>
        <w:t> </w:t>
      </w:r>
      <w:r>
        <w:rPr>
          <w:color w:val="231F20"/>
          <w:w w:val="115"/>
          <w:sz w:val="17"/>
        </w:rPr>
        <w:t>de</w:t>
      </w:r>
      <w:r>
        <w:rPr>
          <w:color w:val="231F20"/>
          <w:spacing w:val="-10"/>
          <w:w w:val="115"/>
          <w:sz w:val="17"/>
        </w:rPr>
        <w:t> </w:t>
      </w:r>
      <w:r>
        <w:rPr>
          <w:color w:val="231F20"/>
          <w:w w:val="115"/>
          <w:sz w:val="17"/>
        </w:rPr>
        <w:t>stress </w:t>
      </w:r>
      <w:r>
        <w:rPr>
          <w:color w:val="231F20"/>
          <w:spacing w:val="-2"/>
          <w:w w:val="120"/>
          <w:sz w:val="17"/>
        </w:rPr>
        <w:t>ont</w:t>
      </w:r>
      <w:r>
        <w:rPr>
          <w:color w:val="231F20"/>
          <w:spacing w:val="-11"/>
          <w:w w:val="120"/>
          <w:sz w:val="17"/>
        </w:rPr>
        <w:t> </w:t>
      </w:r>
      <w:r>
        <w:rPr>
          <w:color w:val="231F20"/>
          <w:spacing w:val="-2"/>
          <w:w w:val="120"/>
          <w:sz w:val="17"/>
        </w:rPr>
        <w:t>tendance</w:t>
      </w:r>
      <w:r>
        <w:rPr>
          <w:color w:val="231F20"/>
          <w:spacing w:val="-11"/>
          <w:w w:val="120"/>
          <w:sz w:val="17"/>
        </w:rPr>
        <w:t> </w:t>
      </w:r>
      <w:r>
        <w:rPr>
          <w:color w:val="231F20"/>
          <w:spacing w:val="-2"/>
          <w:w w:val="120"/>
          <w:sz w:val="17"/>
        </w:rPr>
        <w:t>à</w:t>
      </w:r>
      <w:r>
        <w:rPr>
          <w:color w:val="231F20"/>
          <w:spacing w:val="-10"/>
          <w:w w:val="120"/>
          <w:sz w:val="17"/>
        </w:rPr>
        <w:t> </w:t>
      </w:r>
      <w:r>
        <w:rPr>
          <w:color w:val="231F20"/>
          <w:spacing w:val="-2"/>
          <w:w w:val="120"/>
          <w:sz w:val="17"/>
        </w:rPr>
        <w:t>penser</w:t>
      </w:r>
      <w:r>
        <w:rPr>
          <w:color w:val="231F20"/>
          <w:spacing w:val="-11"/>
          <w:w w:val="120"/>
          <w:sz w:val="17"/>
        </w:rPr>
        <w:t> </w:t>
      </w:r>
      <w:r>
        <w:rPr>
          <w:color w:val="231F20"/>
          <w:spacing w:val="-2"/>
          <w:w w:val="120"/>
          <w:sz w:val="17"/>
        </w:rPr>
        <w:t>qu’ils</w:t>
      </w:r>
      <w:r>
        <w:rPr>
          <w:color w:val="231F20"/>
          <w:spacing w:val="-11"/>
          <w:w w:val="120"/>
          <w:sz w:val="17"/>
        </w:rPr>
        <w:t> </w:t>
      </w:r>
      <w:r>
        <w:rPr>
          <w:color w:val="231F20"/>
          <w:spacing w:val="-2"/>
          <w:w w:val="120"/>
          <w:sz w:val="17"/>
        </w:rPr>
        <w:t>vont</w:t>
      </w:r>
      <w:r>
        <w:rPr>
          <w:color w:val="231F20"/>
          <w:spacing w:val="-10"/>
          <w:w w:val="120"/>
          <w:sz w:val="17"/>
        </w:rPr>
        <w:t> </w:t>
      </w:r>
      <w:r>
        <w:rPr>
          <w:color w:val="231F20"/>
          <w:spacing w:val="-2"/>
          <w:w w:val="120"/>
          <w:sz w:val="17"/>
        </w:rPr>
        <w:t>manquer</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temps</w:t>
      </w:r>
      <w:r>
        <w:rPr>
          <w:color w:val="231F20"/>
          <w:spacing w:val="-10"/>
          <w:w w:val="120"/>
          <w:sz w:val="17"/>
        </w:rPr>
        <w:t> </w:t>
      </w:r>
      <w:r>
        <w:rPr>
          <w:color w:val="231F20"/>
          <w:spacing w:val="-2"/>
          <w:w w:val="120"/>
          <w:sz w:val="17"/>
        </w:rPr>
        <w:t>pour</w:t>
      </w:r>
      <w:r>
        <w:rPr>
          <w:color w:val="231F20"/>
          <w:spacing w:val="-11"/>
          <w:w w:val="120"/>
          <w:sz w:val="17"/>
        </w:rPr>
        <w:t> </w:t>
      </w:r>
      <w:r>
        <w:rPr>
          <w:color w:val="231F20"/>
          <w:spacing w:val="-2"/>
          <w:w w:val="120"/>
          <w:sz w:val="17"/>
        </w:rPr>
        <w:t>s’acquit- </w:t>
      </w:r>
      <w:r>
        <w:rPr>
          <w:color w:val="231F20"/>
          <w:w w:val="120"/>
          <w:sz w:val="17"/>
        </w:rPr>
        <w:t>ter des tâches qui les attendent et atteindre leurs objectifs. Cette</w:t>
      </w:r>
    </w:p>
    <w:p>
      <w:pPr>
        <w:spacing w:after="0" w:line="307" w:lineRule="auto"/>
        <w:jc w:val="both"/>
        <w:rPr>
          <w:sz w:val="17"/>
        </w:rPr>
        <w:sectPr>
          <w:footerReference w:type="default" r:id="rId218"/>
          <w:pgSz w:w="8640" w:h="12960"/>
          <w:pgMar w:footer="424" w:header="0" w:top="520" w:bottom="620" w:left="420" w:right="1140"/>
        </w:sectPr>
      </w:pPr>
    </w:p>
    <w:p>
      <w:pPr>
        <w:spacing w:before="118"/>
        <w:ind w:left="2049" w:right="0" w:firstLine="0"/>
        <w:jc w:val="left"/>
        <w:rPr>
          <w:rFonts w:ascii="Arial" w:hAnsi="Arial"/>
          <w:sz w:val="14"/>
        </w:rPr>
      </w:pPr>
      <w:bookmarkStart w:name=" 3.4.2 / Conséquences organisationnelles" w:id="119"/>
      <w:bookmarkEnd w:id="119"/>
      <w:r>
        <w:rPr/>
      </w:r>
      <w:bookmarkStart w:name="_bookmark51" w:id="120"/>
      <w:bookmarkEnd w:id="120"/>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720" w:right="107"/>
        <w:jc w:val="both"/>
      </w:pPr>
      <w:r>
        <w:rPr>
          <w:color w:val="231F20"/>
          <w:w w:val="115"/>
        </w:rPr>
        <w:t>impression</w:t>
      </w:r>
      <w:r>
        <w:rPr>
          <w:color w:val="231F20"/>
          <w:spacing w:val="-4"/>
          <w:w w:val="115"/>
        </w:rPr>
        <w:t> </w:t>
      </w:r>
      <w:r>
        <w:rPr>
          <w:color w:val="231F20"/>
          <w:w w:val="115"/>
        </w:rPr>
        <w:t>est</w:t>
      </w:r>
      <w:r>
        <w:rPr>
          <w:color w:val="231F20"/>
          <w:spacing w:val="-4"/>
          <w:w w:val="115"/>
        </w:rPr>
        <w:t> </w:t>
      </w:r>
      <w:r>
        <w:rPr>
          <w:color w:val="231F20"/>
          <w:w w:val="115"/>
        </w:rPr>
        <w:t>une</w:t>
      </w:r>
      <w:r>
        <w:rPr>
          <w:color w:val="231F20"/>
          <w:spacing w:val="-4"/>
          <w:w w:val="115"/>
        </w:rPr>
        <w:t> </w:t>
      </w:r>
      <w:r>
        <w:rPr>
          <w:color w:val="231F20"/>
          <w:w w:val="115"/>
        </w:rPr>
        <w:t>source</w:t>
      </w:r>
      <w:r>
        <w:rPr>
          <w:color w:val="231F20"/>
          <w:spacing w:val="-4"/>
          <w:w w:val="115"/>
        </w:rPr>
        <w:t> </w:t>
      </w:r>
      <w:r>
        <w:rPr>
          <w:color w:val="231F20"/>
          <w:w w:val="115"/>
        </w:rPr>
        <w:t>de</w:t>
      </w:r>
      <w:r>
        <w:rPr>
          <w:color w:val="231F20"/>
          <w:spacing w:val="-4"/>
          <w:w w:val="115"/>
        </w:rPr>
        <w:t> </w:t>
      </w:r>
      <w:r>
        <w:rPr>
          <w:color w:val="231F20"/>
          <w:w w:val="115"/>
        </w:rPr>
        <w:t>malaise</w:t>
      </w:r>
      <w:r>
        <w:rPr>
          <w:color w:val="231F20"/>
          <w:spacing w:val="-4"/>
          <w:w w:val="115"/>
        </w:rPr>
        <w:t> </w:t>
      </w:r>
      <w:r>
        <w:rPr>
          <w:color w:val="231F20"/>
          <w:w w:val="115"/>
        </w:rPr>
        <w:t>et</w:t>
      </w:r>
      <w:r>
        <w:rPr>
          <w:color w:val="231F20"/>
          <w:spacing w:val="-4"/>
          <w:w w:val="115"/>
        </w:rPr>
        <w:t> </w:t>
      </w:r>
      <w:r>
        <w:rPr>
          <w:color w:val="231F20"/>
          <w:w w:val="115"/>
        </w:rPr>
        <w:t>de</w:t>
      </w:r>
      <w:r>
        <w:rPr>
          <w:color w:val="231F20"/>
          <w:spacing w:val="-4"/>
          <w:w w:val="115"/>
        </w:rPr>
        <w:t> </w:t>
      </w:r>
      <w:r>
        <w:rPr>
          <w:color w:val="231F20"/>
          <w:w w:val="115"/>
        </w:rPr>
        <w:t>déception</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Le</w:t>
      </w:r>
      <w:r>
        <w:rPr>
          <w:color w:val="231F20"/>
          <w:spacing w:val="-4"/>
          <w:w w:val="115"/>
        </w:rPr>
        <w:t> </w:t>
      </w:r>
      <w:r>
        <w:rPr>
          <w:color w:val="231F20"/>
          <w:w w:val="115"/>
        </w:rPr>
        <w:t>fait </w:t>
      </w:r>
      <w:r>
        <w:rPr>
          <w:color w:val="231F20"/>
          <w:spacing w:val="-2"/>
          <w:w w:val="120"/>
        </w:rPr>
        <w:t>d’avoir</w:t>
      </w:r>
      <w:r>
        <w:rPr>
          <w:color w:val="231F20"/>
          <w:spacing w:val="-13"/>
          <w:w w:val="120"/>
        </w:rPr>
        <w:t> </w:t>
      </w:r>
      <w:r>
        <w:rPr>
          <w:color w:val="231F20"/>
          <w:spacing w:val="-2"/>
          <w:w w:val="120"/>
        </w:rPr>
        <w:t>davantage</w:t>
      </w:r>
      <w:r>
        <w:rPr>
          <w:color w:val="231F20"/>
          <w:spacing w:val="-11"/>
          <w:w w:val="120"/>
        </w:rPr>
        <w:t> </w:t>
      </w:r>
      <w:r>
        <w:rPr>
          <w:color w:val="231F20"/>
          <w:spacing w:val="-2"/>
          <w:w w:val="120"/>
        </w:rPr>
        <w:t>à</w:t>
      </w:r>
      <w:r>
        <w:rPr>
          <w:color w:val="231F20"/>
          <w:spacing w:val="-11"/>
          <w:w w:val="120"/>
        </w:rPr>
        <w:t> </w:t>
      </w:r>
      <w:r>
        <w:rPr>
          <w:color w:val="231F20"/>
          <w:spacing w:val="-2"/>
          <w:w w:val="120"/>
        </w:rPr>
        <w:t>l’esprit</w:t>
      </w:r>
      <w:r>
        <w:rPr>
          <w:color w:val="231F20"/>
          <w:spacing w:val="-10"/>
          <w:w w:val="120"/>
        </w:rPr>
        <w:t> </w:t>
      </w:r>
      <w:r>
        <w:rPr>
          <w:color w:val="231F20"/>
          <w:spacing w:val="-2"/>
          <w:w w:val="120"/>
        </w:rPr>
        <w:t>ce</w:t>
      </w:r>
      <w:r>
        <w:rPr>
          <w:color w:val="231F20"/>
          <w:spacing w:val="-11"/>
          <w:w w:val="120"/>
        </w:rPr>
        <w:t> </w:t>
      </w:r>
      <w:r>
        <w:rPr>
          <w:color w:val="231F20"/>
          <w:spacing w:val="-2"/>
          <w:w w:val="120"/>
        </w:rPr>
        <w:t>qu’ils</w:t>
      </w:r>
      <w:r>
        <w:rPr>
          <w:color w:val="231F20"/>
          <w:spacing w:val="-11"/>
          <w:w w:val="120"/>
        </w:rPr>
        <w:t> </w:t>
      </w:r>
      <w:r>
        <w:rPr>
          <w:color w:val="231F20"/>
          <w:spacing w:val="-2"/>
          <w:w w:val="120"/>
        </w:rPr>
        <w:t>n’ont</w:t>
      </w:r>
      <w:r>
        <w:rPr>
          <w:color w:val="231F20"/>
          <w:spacing w:val="-11"/>
          <w:w w:val="120"/>
        </w:rPr>
        <w:t> </w:t>
      </w:r>
      <w:r>
        <w:rPr>
          <w:color w:val="231F20"/>
          <w:spacing w:val="-2"/>
          <w:w w:val="120"/>
        </w:rPr>
        <w:t>pas</w:t>
      </w:r>
      <w:r>
        <w:rPr>
          <w:color w:val="231F20"/>
          <w:spacing w:val="-10"/>
          <w:w w:val="120"/>
        </w:rPr>
        <w:t> </w:t>
      </w:r>
      <w:r>
        <w:rPr>
          <w:color w:val="231F20"/>
          <w:spacing w:val="-2"/>
          <w:w w:val="120"/>
        </w:rPr>
        <w:t>réussi</w:t>
      </w:r>
      <w:r>
        <w:rPr>
          <w:color w:val="231F20"/>
          <w:spacing w:val="-11"/>
          <w:w w:val="120"/>
        </w:rPr>
        <w:t> </w:t>
      </w:r>
      <w:r>
        <w:rPr>
          <w:color w:val="231F20"/>
          <w:spacing w:val="-2"/>
          <w:w w:val="120"/>
        </w:rPr>
        <w:t>à</w:t>
      </w:r>
      <w:r>
        <w:rPr>
          <w:color w:val="231F20"/>
          <w:spacing w:val="-11"/>
          <w:w w:val="120"/>
        </w:rPr>
        <w:t> </w:t>
      </w:r>
      <w:r>
        <w:rPr>
          <w:color w:val="231F20"/>
          <w:spacing w:val="-2"/>
          <w:w w:val="120"/>
        </w:rPr>
        <w:t>faire</w:t>
      </w:r>
      <w:r>
        <w:rPr>
          <w:color w:val="231F20"/>
          <w:spacing w:val="-11"/>
          <w:w w:val="120"/>
        </w:rPr>
        <w:t> </w:t>
      </w:r>
      <w:r>
        <w:rPr>
          <w:color w:val="231F20"/>
          <w:spacing w:val="-2"/>
          <w:w w:val="120"/>
        </w:rPr>
        <w:t>que</w:t>
      </w:r>
      <w:r>
        <w:rPr>
          <w:color w:val="231F20"/>
          <w:spacing w:val="-10"/>
          <w:w w:val="120"/>
        </w:rPr>
        <w:t> </w:t>
      </w:r>
      <w:r>
        <w:rPr>
          <w:color w:val="231F20"/>
          <w:spacing w:val="-2"/>
          <w:w w:val="120"/>
        </w:rPr>
        <w:t>ce </w:t>
      </w:r>
      <w:r>
        <w:rPr>
          <w:color w:val="231F20"/>
          <w:w w:val="115"/>
        </w:rPr>
        <w:t>qu’ils</w:t>
      </w:r>
      <w:r>
        <w:rPr>
          <w:color w:val="231F20"/>
          <w:spacing w:val="-9"/>
          <w:w w:val="115"/>
        </w:rPr>
        <w:t> </w:t>
      </w:r>
      <w:r>
        <w:rPr>
          <w:color w:val="231F20"/>
          <w:w w:val="115"/>
        </w:rPr>
        <w:t>ont</w:t>
      </w:r>
      <w:r>
        <w:rPr>
          <w:color w:val="231F20"/>
          <w:spacing w:val="-9"/>
          <w:w w:val="115"/>
        </w:rPr>
        <w:t> </w:t>
      </w:r>
      <w:r>
        <w:rPr>
          <w:color w:val="231F20"/>
          <w:w w:val="115"/>
        </w:rPr>
        <w:t>accompli</w:t>
      </w:r>
      <w:r>
        <w:rPr>
          <w:color w:val="231F20"/>
          <w:spacing w:val="-9"/>
          <w:w w:val="115"/>
        </w:rPr>
        <w:t> </w:t>
      </w:r>
      <w:r>
        <w:rPr>
          <w:color w:val="231F20"/>
          <w:w w:val="115"/>
        </w:rPr>
        <w:t>risque</w:t>
      </w:r>
      <w:r>
        <w:rPr>
          <w:color w:val="231F20"/>
          <w:spacing w:val="-9"/>
          <w:w w:val="115"/>
        </w:rPr>
        <w:t> </w:t>
      </w:r>
      <w:r>
        <w:rPr>
          <w:color w:val="231F20"/>
          <w:w w:val="115"/>
        </w:rPr>
        <w:t>de</w:t>
      </w:r>
      <w:r>
        <w:rPr>
          <w:color w:val="231F20"/>
          <w:spacing w:val="-9"/>
          <w:w w:val="115"/>
        </w:rPr>
        <w:t> </w:t>
      </w:r>
      <w:r>
        <w:rPr>
          <w:color w:val="231F20"/>
          <w:w w:val="115"/>
        </w:rPr>
        <w:t>leur</w:t>
      </w:r>
      <w:r>
        <w:rPr>
          <w:color w:val="231F20"/>
          <w:spacing w:val="-9"/>
          <w:w w:val="115"/>
        </w:rPr>
        <w:t> </w:t>
      </w:r>
      <w:r>
        <w:rPr>
          <w:color w:val="231F20"/>
          <w:w w:val="115"/>
        </w:rPr>
        <w:t>laisser</w:t>
      </w:r>
      <w:r>
        <w:rPr>
          <w:color w:val="231F20"/>
          <w:spacing w:val="-9"/>
          <w:w w:val="115"/>
        </w:rPr>
        <w:t> </w:t>
      </w:r>
      <w:r>
        <w:rPr>
          <w:color w:val="231F20"/>
          <w:w w:val="115"/>
        </w:rPr>
        <w:t>une</w:t>
      </w:r>
      <w:r>
        <w:rPr>
          <w:color w:val="231F20"/>
          <w:spacing w:val="-9"/>
          <w:w w:val="115"/>
        </w:rPr>
        <w:t> </w:t>
      </w:r>
      <w:r>
        <w:rPr>
          <w:color w:val="231F20"/>
          <w:w w:val="115"/>
        </w:rPr>
        <w:t>appréciation</w:t>
      </w:r>
      <w:r>
        <w:rPr>
          <w:color w:val="231F20"/>
          <w:spacing w:val="-9"/>
          <w:w w:val="115"/>
        </w:rPr>
        <w:t> </w:t>
      </w:r>
      <w:r>
        <w:rPr>
          <w:color w:val="231F20"/>
          <w:w w:val="115"/>
        </w:rPr>
        <w:t>médiocre </w:t>
      </w:r>
      <w:r>
        <w:rPr>
          <w:color w:val="231F20"/>
          <w:w w:val="120"/>
        </w:rPr>
        <w:t>de leurs actions et produire un impact sur leur estime de soi.</w:t>
      </w:r>
    </w:p>
    <w:p>
      <w:pPr>
        <w:pStyle w:val="ListParagraph"/>
        <w:numPr>
          <w:ilvl w:val="2"/>
          <w:numId w:val="42"/>
        </w:numPr>
        <w:tabs>
          <w:tab w:pos="1720" w:val="left" w:leader="none"/>
        </w:tabs>
        <w:spacing w:line="307" w:lineRule="auto" w:before="0" w:after="0"/>
        <w:ind w:left="1720" w:right="107" w:hanging="251"/>
        <w:jc w:val="both"/>
        <w:rPr>
          <w:sz w:val="17"/>
        </w:rPr>
      </w:pPr>
      <w:r>
        <w:rPr>
          <w:i/>
          <w:color w:val="231F20"/>
          <w:w w:val="115"/>
          <w:sz w:val="17"/>
        </w:rPr>
        <w:t>Le</w:t>
      </w:r>
      <w:r>
        <w:rPr>
          <w:i/>
          <w:color w:val="231F20"/>
          <w:spacing w:val="-4"/>
          <w:w w:val="115"/>
          <w:sz w:val="17"/>
        </w:rPr>
        <w:t> </w:t>
      </w:r>
      <w:r>
        <w:rPr>
          <w:i/>
          <w:color w:val="231F20"/>
          <w:w w:val="115"/>
          <w:sz w:val="17"/>
        </w:rPr>
        <w:t>cynisme</w:t>
      </w:r>
      <w:r>
        <w:rPr>
          <w:i/>
          <w:color w:val="231F20"/>
          <w:spacing w:val="-4"/>
          <w:w w:val="115"/>
          <w:sz w:val="17"/>
        </w:rPr>
        <w:t> </w:t>
      </w:r>
      <w:r>
        <w:rPr>
          <w:i/>
          <w:color w:val="231F20"/>
          <w:w w:val="115"/>
          <w:sz w:val="17"/>
        </w:rPr>
        <w:t>et</w:t>
      </w:r>
      <w:r>
        <w:rPr>
          <w:i/>
          <w:color w:val="231F20"/>
          <w:spacing w:val="-4"/>
          <w:w w:val="115"/>
          <w:sz w:val="17"/>
        </w:rPr>
        <w:t> </w:t>
      </w:r>
      <w:r>
        <w:rPr>
          <w:i/>
          <w:color w:val="231F20"/>
          <w:w w:val="115"/>
          <w:sz w:val="17"/>
        </w:rPr>
        <w:t>la</w:t>
      </w:r>
      <w:r>
        <w:rPr>
          <w:i/>
          <w:color w:val="231F20"/>
          <w:spacing w:val="-4"/>
          <w:w w:val="115"/>
          <w:sz w:val="17"/>
        </w:rPr>
        <w:t> </w:t>
      </w:r>
      <w:r>
        <w:rPr>
          <w:i/>
          <w:color w:val="231F20"/>
          <w:w w:val="115"/>
          <w:sz w:val="17"/>
        </w:rPr>
        <w:t>méfiance</w:t>
      </w:r>
      <w:r>
        <w:rPr>
          <w:color w:val="231F20"/>
          <w:w w:val="115"/>
          <w:sz w:val="17"/>
        </w:rPr>
        <w:t>.</w:t>
      </w:r>
      <w:r>
        <w:rPr>
          <w:color w:val="231F20"/>
          <w:spacing w:val="-4"/>
          <w:w w:val="115"/>
          <w:sz w:val="17"/>
        </w:rPr>
        <w:t> </w:t>
      </w:r>
      <w:r>
        <w:rPr>
          <w:color w:val="231F20"/>
          <w:w w:val="115"/>
          <w:sz w:val="17"/>
        </w:rPr>
        <w:t>L’individu</w:t>
      </w:r>
      <w:r>
        <w:rPr>
          <w:color w:val="231F20"/>
          <w:spacing w:val="-4"/>
          <w:w w:val="115"/>
          <w:sz w:val="17"/>
        </w:rPr>
        <w:t> </w:t>
      </w:r>
      <w:r>
        <w:rPr>
          <w:color w:val="231F20"/>
          <w:w w:val="115"/>
          <w:sz w:val="17"/>
        </w:rPr>
        <w:t>stressé</w:t>
      </w:r>
      <w:r>
        <w:rPr>
          <w:color w:val="231F20"/>
          <w:spacing w:val="-4"/>
          <w:w w:val="115"/>
          <w:sz w:val="17"/>
        </w:rPr>
        <w:t> </w:t>
      </w:r>
      <w:r>
        <w:rPr>
          <w:color w:val="231F20"/>
          <w:w w:val="115"/>
          <w:sz w:val="17"/>
        </w:rPr>
        <w:t>a</w:t>
      </w:r>
      <w:r>
        <w:rPr>
          <w:color w:val="231F20"/>
          <w:spacing w:val="-4"/>
          <w:w w:val="115"/>
          <w:sz w:val="17"/>
        </w:rPr>
        <w:t> </w:t>
      </w:r>
      <w:r>
        <w:rPr>
          <w:color w:val="231F20"/>
          <w:w w:val="115"/>
          <w:sz w:val="17"/>
        </w:rPr>
        <w:t>tendance</w:t>
      </w:r>
      <w:r>
        <w:rPr>
          <w:color w:val="231F20"/>
          <w:spacing w:val="-4"/>
          <w:w w:val="115"/>
          <w:sz w:val="17"/>
        </w:rPr>
        <w:t> </w:t>
      </w:r>
      <w:r>
        <w:rPr>
          <w:color w:val="231F20"/>
          <w:w w:val="115"/>
          <w:sz w:val="17"/>
        </w:rPr>
        <w:t>à</w:t>
      </w:r>
      <w:r>
        <w:rPr>
          <w:color w:val="231F20"/>
          <w:spacing w:val="-4"/>
          <w:w w:val="115"/>
          <w:sz w:val="17"/>
        </w:rPr>
        <w:t> </w:t>
      </w:r>
      <w:r>
        <w:rPr>
          <w:color w:val="231F20"/>
          <w:w w:val="115"/>
          <w:sz w:val="17"/>
        </w:rPr>
        <w:t>être</w:t>
      </w:r>
      <w:r>
        <w:rPr>
          <w:color w:val="231F20"/>
          <w:spacing w:val="-4"/>
          <w:w w:val="115"/>
          <w:sz w:val="17"/>
        </w:rPr>
        <w:t> </w:t>
      </w:r>
      <w:r>
        <w:rPr>
          <w:color w:val="231F20"/>
          <w:w w:val="115"/>
          <w:sz w:val="17"/>
        </w:rPr>
        <w:t>pes- </w:t>
      </w:r>
      <w:r>
        <w:rPr>
          <w:color w:val="231F20"/>
          <w:w w:val="120"/>
          <w:sz w:val="17"/>
        </w:rPr>
        <w:t>simiste,</w:t>
      </w:r>
      <w:r>
        <w:rPr>
          <w:color w:val="231F20"/>
          <w:spacing w:val="-1"/>
          <w:w w:val="120"/>
          <w:sz w:val="17"/>
        </w:rPr>
        <w:t> </w:t>
      </w:r>
      <w:r>
        <w:rPr>
          <w:color w:val="231F20"/>
          <w:w w:val="120"/>
          <w:sz w:val="17"/>
        </w:rPr>
        <w:t>frustré</w:t>
      </w:r>
      <w:r>
        <w:rPr>
          <w:color w:val="231F20"/>
          <w:spacing w:val="-1"/>
          <w:w w:val="120"/>
          <w:sz w:val="17"/>
        </w:rPr>
        <w:t> </w:t>
      </w:r>
      <w:r>
        <w:rPr>
          <w:color w:val="231F20"/>
          <w:w w:val="120"/>
          <w:sz w:val="17"/>
        </w:rPr>
        <w:t>et</w:t>
      </w:r>
      <w:r>
        <w:rPr>
          <w:color w:val="231F20"/>
          <w:spacing w:val="-1"/>
          <w:w w:val="120"/>
          <w:sz w:val="17"/>
        </w:rPr>
        <w:t> </w:t>
      </w:r>
      <w:r>
        <w:rPr>
          <w:color w:val="231F20"/>
          <w:w w:val="120"/>
          <w:sz w:val="17"/>
        </w:rPr>
        <w:t>soupçonneux</w:t>
      </w:r>
      <w:r>
        <w:rPr>
          <w:color w:val="231F20"/>
          <w:spacing w:val="-1"/>
          <w:w w:val="120"/>
          <w:sz w:val="17"/>
        </w:rPr>
        <w:t> </w:t>
      </w:r>
      <w:r>
        <w:rPr>
          <w:color w:val="231F20"/>
          <w:w w:val="120"/>
          <w:sz w:val="17"/>
        </w:rPr>
        <w:t>envers</w:t>
      </w:r>
      <w:r>
        <w:rPr>
          <w:color w:val="231F20"/>
          <w:spacing w:val="-1"/>
          <w:w w:val="120"/>
          <w:sz w:val="17"/>
        </w:rPr>
        <w:t> </w:t>
      </w:r>
      <w:r>
        <w:rPr>
          <w:color w:val="231F20"/>
          <w:w w:val="120"/>
          <w:sz w:val="17"/>
        </w:rPr>
        <w:t>les</w:t>
      </w:r>
      <w:r>
        <w:rPr>
          <w:color w:val="231F20"/>
          <w:spacing w:val="-1"/>
          <w:w w:val="120"/>
          <w:sz w:val="17"/>
        </w:rPr>
        <w:t> </w:t>
      </w:r>
      <w:r>
        <w:rPr>
          <w:color w:val="231F20"/>
          <w:w w:val="120"/>
          <w:sz w:val="17"/>
        </w:rPr>
        <w:t>autres.</w:t>
      </w:r>
      <w:r>
        <w:rPr>
          <w:color w:val="231F20"/>
          <w:spacing w:val="-1"/>
          <w:w w:val="120"/>
          <w:sz w:val="17"/>
        </w:rPr>
        <w:t> </w:t>
      </w:r>
      <w:r>
        <w:rPr>
          <w:color w:val="231F20"/>
          <w:w w:val="120"/>
          <w:sz w:val="17"/>
        </w:rPr>
        <w:t>Ce</w:t>
      </w:r>
      <w:r>
        <w:rPr>
          <w:color w:val="231F20"/>
          <w:spacing w:val="-1"/>
          <w:w w:val="120"/>
          <w:sz w:val="17"/>
        </w:rPr>
        <w:t> </w:t>
      </w:r>
      <w:r>
        <w:rPr>
          <w:color w:val="231F20"/>
          <w:w w:val="120"/>
          <w:sz w:val="17"/>
        </w:rPr>
        <w:t>type</w:t>
      </w:r>
      <w:r>
        <w:rPr>
          <w:color w:val="231F20"/>
          <w:spacing w:val="-1"/>
          <w:w w:val="120"/>
          <w:sz w:val="17"/>
        </w:rPr>
        <w:t> </w:t>
      </w:r>
      <w:r>
        <w:rPr>
          <w:color w:val="231F20"/>
          <w:w w:val="120"/>
          <w:sz w:val="17"/>
        </w:rPr>
        <w:t>d’atti- </w:t>
      </w:r>
      <w:r>
        <w:rPr>
          <w:color w:val="231F20"/>
          <w:spacing w:val="-4"/>
          <w:w w:val="120"/>
          <w:sz w:val="17"/>
        </w:rPr>
        <w:t>tudes</w:t>
      </w:r>
      <w:r>
        <w:rPr>
          <w:color w:val="231F20"/>
          <w:spacing w:val="-5"/>
          <w:w w:val="120"/>
          <w:sz w:val="17"/>
        </w:rPr>
        <w:t> </w:t>
      </w:r>
      <w:r>
        <w:rPr>
          <w:color w:val="231F20"/>
          <w:spacing w:val="-4"/>
          <w:w w:val="120"/>
          <w:sz w:val="17"/>
        </w:rPr>
        <w:t>tire,</w:t>
      </w:r>
      <w:r>
        <w:rPr>
          <w:color w:val="231F20"/>
          <w:spacing w:val="-5"/>
          <w:w w:val="120"/>
          <w:sz w:val="17"/>
        </w:rPr>
        <w:t> </w:t>
      </w:r>
      <w:r>
        <w:rPr>
          <w:color w:val="231F20"/>
          <w:spacing w:val="-4"/>
          <w:w w:val="120"/>
          <w:sz w:val="17"/>
        </w:rPr>
        <w:t>entre</w:t>
      </w:r>
      <w:r>
        <w:rPr>
          <w:color w:val="231F20"/>
          <w:spacing w:val="-5"/>
          <w:w w:val="120"/>
          <w:sz w:val="17"/>
        </w:rPr>
        <w:t> </w:t>
      </w:r>
      <w:r>
        <w:rPr>
          <w:color w:val="231F20"/>
          <w:spacing w:val="-4"/>
          <w:w w:val="120"/>
          <w:sz w:val="17"/>
        </w:rPr>
        <w:t>autres,</w:t>
      </w:r>
      <w:r>
        <w:rPr>
          <w:color w:val="231F20"/>
          <w:spacing w:val="-5"/>
          <w:w w:val="120"/>
          <w:sz w:val="17"/>
        </w:rPr>
        <w:t> </w:t>
      </w:r>
      <w:r>
        <w:rPr>
          <w:color w:val="231F20"/>
          <w:spacing w:val="-4"/>
          <w:w w:val="120"/>
          <w:sz w:val="17"/>
        </w:rPr>
        <w:t>son</w:t>
      </w:r>
      <w:r>
        <w:rPr>
          <w:color w:val="231F20"/>
          <w:spacing w:val="-5"/>
          <w:w w:val="120"/>
          <w:sz w:val="17"/>
        </w:rPr>
        <w:t> </w:t>
      </w:r>
      <w:r>
        <w:rPr>
          <w:color w:val="231F20"/>
          <w:spacing w:val="-4"/>
          <w:w w:val="120"/>
          <w:sz w:val="17"/>
        </w:rPr>
        <w:t>origine</w:t>
      </w:r>
      <w:r>
        <w:rPr>
          <w:color w:val="231F20"/>
          <w:spacing w:val="-5"/>
          <w:w w:val="120"/>
          <w:sz w:val="17"/>
        </w:rPr>
        <w:t> </w:t>
      </w:r>
      <w:r>
        <w:rPr>
          <w:color w:val="231F20"/>
          <w:spacing w:val="-4"/>
          <w:w w:val="120"/>
          <w:sz w:val="17"/>
        </w:rPr>
        <w:t>d’une</w:t>
      </w:r>
      <w:r>
        <w:rPr>
          <w:color w:val="231F20"/>
          <w:spacing w:val="-5"/>
          <w:w w:val="120"/>
          <w:sz w:val="17"/>
        </w:rPr>
        <w:t> </w:t>
      </w:r>
      <w:r>
        <w:rPr>
          <w:color w:val="231F20"/>
          <w:spacing w:val="-4"/>
          <w:w w:val="120"/>
          <w:sz w:val="17"/>
        </w:rPr>
        <w:t>altération</w:t>
      </w:r>
      <w:r>
        <w:rPr>
          <w:color w:val="231F20"/>
          <w:spacing w:val="-5"/>
          <w:w w:val="120"/>
          <w:sz w:val="17"/>
        </w:rPr>
        <w:t> </w:t>
      </w:r>
      <w:r>
        <w:rPr>
          <w:color w:val="231F20"/>
          <w:spacing w:val="-4"/>
          <w:w w:val="120"/>
          <w:sz w:val="17"/>
        </w:rPr>
        <w:t>de</w:t>
      </w:r>
      <w:r>
        <w:rPr>
          <w:color w:val="231F20"/>
          <w:spacing w:val="-5"/>
          <w:w w:val="120"/>
          <w:sz w:val="17"/>
        </w:rPr>
        <w:t> </w:t>
      </w:r>
      <w:r>
        <w:rPr>
          <w:color w:val="231F20"/>
          <w:spacing w:val="-4"/>
          <w:w w:val="120"/>
          <w:sz w:val="17"/>
        </w:rPr>
        <w:t>la</w:t>
      </w:r>
      <w:r>
        <w:rPr>
          <w:color w:val="231F20"/>
          <w:spacing w:val="-5"/>
          <w:w w:val="120"/>
          <w:sz w:val="17"/>
        </w:rPr>
        <w:t> </w:t>
      </w:r>
      <w:r>
        <w:rPr>
          <w:color w:val="231F20"/>
          <w:spacing w:val="-4"/>
          <w:w w:val="120"/>
          <w:sz w:val="17"/>
        </w:rPr>
        <w:t>perception </w:t>
      </w:r>
      <w:r>
        <w:rPr>
          <w:color w:val="231F20"/>
          <w:w w:val="120"/>
          <w:sz w:val="17"/>
        </w:rPr>
        <w:t>des événements en fonction du stress ressenti.</w:t>
      </w:r>
    </w:p>
    <w:p>
      <w:pPr>
        <w:pStyle w:val="BodyText"/>
        <w:spacing w:before="9"/>
        <w:rPr>
          <w:sz w:val="26"/>
        </w:rPr>
      </w:pPr>
    </w:p>
    <w:p>
      <w:pPr>
        <w:pStyle w:val="Heading4"/>
        <w:numPr>
          <w:ilvl w:val="2"/>
          <w:numId w:val="46"/>
        </w:numPr>
        <w:tabs>
          <w:tab w:pos="919" w:val="left" w:leader="none"/>
          <w:tab w:pos="1219" w:val="left" w:leader="none"/>
        </w:tabs>
        <w:spacing w:line="240" w:lineRule="auto" w:before="0" w:after="0"/>
        <w:ind w:left="918" w:right="0" w:hanging="406"/>
        <w:jc w:val="left"/>
      </w:pPr>
      <w:r>
        <w:rPr>
          <w:b w:val="0"/>
          <w:i/>
          <w:color w:val="231F20"/>
          <w:spacing w:val="-10"/>
        </w:rPr>
        <w:t>/</w:t>
      </w:r>
      <w:r>
        <w:rPr>
          <w:b w:val="0"/>
          <w:i/>
          <w:color w:val="231F20"/>
        </w:rPr>
        <w:tab/>
      </w:r>
      <w:r>
        <w:rPr>
          <w:color w:val="231F20"/>
          <w:w w:val="90"/>
        </w:rPr>
        <w:t>Conséquences</w:t>
      </w:r>
      <w:r>
        <w:rPr>
          <w:color w:val="231F20"/>
          <w:spacing w:val="2"/>
        </w:rPr>
        <w:t> </w:t>
      </w:r>
      <w:r>
        <w:rPr>
          <w:color w:val="231F20"/>
          <w:spacing w:val="-2"/>
        </w:rPr>
        <w:t>organisationnelles</w:t>
      </w:r>
    </w:p>
    <w:p>
      <w:pPr>
        <w:pStyle w:val="BodyText"/>
        <w:spacing w:line="307" w:lineRule="auto" w:before="233"/>
        <w:ind w:left="1220" w:right="107"/>
        <w:jc w:val="both"/>
      </w:pPr>
      <w:r>
        <w:rPr>
          <w:color w:val="231F20"/>
          <w:spacing w:val="-2"/>
          <w:w w:val="120"/>
        </w:rPr>
        <w:t>Les</w:t>
      </w:r>
      <w:r>
        <w:rPr>
          <w:color w:val="231F20"/>
          <w:spacing w:val="-6"/>
          <w:w w:val="120"/>
        </w:rPr>
        <w:t> </w:t>
      </w:r>
      <w:r>
        <w:rPr>
          <w:color w:val="231F20"/>
          <w:spacing w:val="-2"/>
          <w:w w:val="120"/>
        </w:rPr>
        <w:t>effets</w:t>
      </w:r>
      <w:r>
        <w:rPr>
          <w:color w:val="231F20"/>
          <w:spacing w:val="-6"/>
          <w:w w:val="120"/>
        </w:rPr>
        <w:t> </w:t>
      </w:r>
      <w:r>
        <w:rPr>
          <w:color w:val="231F20"/>
          <w:spacing w:val="-2"/>
          <w:w w:val="120"/>
        </w:rPr>
        <w:t>du</w:t>
      </w:r>
      <w:r>
        <w:rPr>
          <w:color w:val="231F20"/>
          <w:spacing w:val="-6"/>
          <w:w w:val="120"/>
        </w:rPr>
        <w:t> </w:t>
      </w:r>
      <w:r>
        <w:rPr>
          <w:color w:val="231F20"/>
          <w:spacing w:val="-2"/>
          <w:w w:val="120"/>
        </w:rPr>
        <w:t>stress</w:t>
      </w:r>
      <w:r>
        <w:rPr>
          <w:color w:val="231F20"/>
          <w:spacing w:val="-6"/>
          <w:w w:val="120"/>
        </w:rPr>
        <w:t> </w:t>
      </w:r>
      <w:r>
        <w:rPr>
          <w:color w:val="231F20"/>
          <w:spacing w:val="-2"/>
          <w:w w:val="120"/>
        </w:rPr>
        <w:t>s’observent</w:t>
      </w:r>
      <w:r>
        <w:rPr>
          <w:color w:val="231F20"/>
          <w:spacing w:val="-6"/>
          <w:w w:val="120"/>
        </w:rPr>
        <w:t> </w:t>
      </w:r>
      <w:r>
        <w:rPr>
          <w:color w:val="231F20"/>
          <w:spacing w:val="-2"/>
          <w:w w:val="120"/>
        </w:rPr>
        <w:t>sur</w:t>
      </w:r>
      <w:r>
        <w:rPr>
          <w:color w:val="231F20"/>
          <w:spacing w:val="-6"/>
          <w:w w:val="120"/>
        </w:rPr>
        <w:t> </w:t>
      </w:r>
      <w:r>
        <w:rPr>
          <w:color w:val="231F20"/>
          <w:spacing w:val="-2"/>
          <w:w w:val="120"/>
        </w:rPr>
        <w:t>le</w:t>
      </w:r>
      <w:r>
        <w:rPr>
          <w:color w:val="231F20"/>
          <w:spacing w:val="-6"/>
          <w:w w:val="120"/>
        </w:rPr>
        <w:t> </w:t>
      </w:r>
      <w:r>
        <w:rPr>
          <w:color w:val="231F20"/>
          <w:spacing w:val="-2"/>
          <w:w w:val="120"/>
        </w:rPr>
        <w:t>plan</w:t>
      </w:r>
      <w:r>
        <w:rPr>
          <w:color w:val="231F20"/>
          <w:spacing w:val="-6"/>
          <w:w w:val="120"/>
        </w:rPr>
        <w:t> </w:t>
      </w:r>
      <w:r>
        <w:rPr>
          <w:color w:val="231F20"/>
          <w:spacing w:val="-2"/>
          <w:w w:val="120"/>
        </w:rPr>
        <w:t>individuel,</w:t>
      </w:r>
      <w:r>
        <w:rPr>
          <w:color w:val="231F20"/>
          <w:spacing w:val="-6"/>
          <w:w w:val="120"/>
        </w:rPr>
        <w:t> </w:t>
      </w:r>
      <w:r>
        <w:rPr>
          <w:color w:val="231F20"/>
          <w:spacing w:val="-2"/>
          <w:w w:val="120"/>
        </w:rPr>
        <w:t>mais</w:t>
      </w:r>
      <w:r>
        <w:rPr>
          <w:color w:val="231F20"/>
          <w:spacing w:val="-6"/>
          <w:w w:val="120"/>
        </w:rPr>
        <w:t> </w:t>
      </w:r>
      <w:r>
        <w:rPr>
          <w:color w:val="231F20"/>
          <w:spacing w:val="-2"/>
          <w:w w:val="120"/>
        </w:rPr>
        <w:t>ils</w:t>
      </w:r>
      <w:r>
        <w:rPr>
          <w:color w:val="231F20"/>
          <w:spacing w:val="-6"/>
          <w:w w:val="120"/>
        </w:rPr>
        <w:t> </w:t>
      </w:r>
      <w:r>
        <w:rPr>
          <w:color w:val="231F20"/>
          <w:spacing w:val="-2"/>
          <w:w w:val="120"/>
        </w:rPr>
        <w:t>sont</w:t>
      </w:r>
      <w:r>
        <w:rPr>
          <w:color w:val="231F20"/>
          <w:spacing w:val="-6"/>
          <w:w w:val="120"/>
        </w:rPr>
        <w:t> </w:t>
      </w:r>
      <w:r>
        <w:rPr>
          <w:color w:val="231F20"/>
          <w:spacing w:val="-2"/>
          <w:w w:val="120"/>
        </w:rPr>
        <w:t>aussi </w:t>
      </w:r>
      <w:r>
        <w:rPr>
          <w:color w:val="231F20"/>
          <w:w w:val="120"/>
        </w:rPr>
        <w:t>perceptibles</w:t>
      </w:r>
      <w:r>
        <w:rPr>
          <w:color w:val="231F20"/>
          <w:spacing w:val="-12"/>
          <w:w w:val="120"/>
        </w:rPr>
        <w:t> </w:t>
      </w:r>
      <w:r>
        <w:rPr>
          <w:color w:val="231F20"/>
          <w:w w:val="120"/>
        </w:rPr>
        <w:t>sur</w:t>
      </w:r>
      <w:r>
        <w:rPr>
          <w:color w:val="231F20"/>
          <w:spacing w:val="-12"/>
          <w:w w:val="120"/>
        </w:rPr>
        <w:t> </w:t>
      </w:r>
      <w:r>
        <w:rPr>
          <w:color w:val="231F20"/>
          <w:w w:val="120"/>
        </w:rPr>
        <w:t>le</w:t>
      </w:r>
      <w:r>
        <w:rPr>
          <w:color w:val="231F20"/>
          <w:spacing w:val="-12"/>
          <w:w w:val="120"/>
        </w:rPr>
        <w:t> </w:t>
      </w:r>
      <w:r>
        <w:rPr>
          <w:color w:val="231F20"/>
          <w:w w:val="120"/>
        </w:rPr>
        <w:t>plan</w:t>
      </w:r>
      <w:r>
        <w:rPr>
          <w:color w:val="231F20"/>
          <w:spacing w:val="-12"/>
          <w:w w:val="120"/>
        </w:rPr>
        <w:t> </w:t>
      </w:r>
      <w:r>
        <w:rPr>
          <w:color w:val="231F20"/>
          <w:w w:val="120"/>
        </w:rPr>
        <w:t>de</w:t>
      </w:r>
      <w:r>
        <w:rPr>
          <w:color w:val="231F20"/>
          <w:spacing w:val="-12"/>
          <w:w w:val="120"/>
        </w:rPr>
        <w:t> </w:t>
      </w:r>
      <w:r>
        <w:rPr>
          <w:color w:val="231F20"/>
          <w:w w:val="120"/>
        </w:rPr>
        <w:t>divers</w:t>
      </w:r>
      <w:r>
        <w:rPr>
          <w:color w:val="231F20"/>
          <w:spacing w:val="-12"/>
          <w:w w:val="120"/>
        </w:rPr>
        <w:t> </w:t>
      </w:r>
      <w:r>
        <w:rPr>
          <w:color w:val="231F20"/>
          <w:w w:val="120"/>
        </w:rPr>
        <w:t>indicateurs</w:t>
      </w:r>
      <w:r>
        <w:rPr>
          <w:color w:val="231F20"/>
          <w:spacing w:val="-12"/>
          <w:w w:val="120"/>
        </w:rPr>
        <w:t> </w:t>
      </w:r>
      <w:r>
        <w:rPr>
          <w:color w:val="231F20"/>
          <w:w w:val="120"/>
        </w:rPr>
        <w:t>organisationnels.</w:t>
      </w:r>
      <w:r>
        <w:rPr>
          <w:color w:val="231F20"/>
          <w:spacing w:val="-12"/>
          <w:w w:val="120"/>
        </w:rPr>
        <w:t> </w:t>
      </w:r>
      <w:r>
        <w:rPr>
          <w:color w:val="231F20"/>
          <w:w w:val="120"/>
        </w:rPr>
        <w:t>Une</w:t>
      </w:r>
      <w:r>
        <w:rPr>
          <w:color w:val="231F20"/>
          <w:spacing w:val="-12"/>
          <w:w w:val="120"/>
        </w:rPr>
        <w:t> </w:t>
      </w:r>
      <w:r>
        <w:rPr>
          <w:color w:val="231F20"/>
          <w:w w:val="120"/>
        </w:rPr>
        <w:t>élé- </w:t>
      </w:r>
      <w:r>
        <w:rPr>
          <w:color w:val="231F20"/>
          <w:spacing w:val="-2"/>
          <w:w w:val="120"/>
        </w:rPr>
        <w:t>vation</w:t>
      </w:r>
      <w:r>
        <w:rPr>
          <w:color w:val="231F20"/>
          <w:spacing w:val="-11"/>
          <w:w w:val="120"/>
        </w:rPr>
        <w:t> </w:t>
      </w:r>
      <w:r>
        <w:rPr>
          <w:color w:val="231F20"/>
          <w:spacing w:val="-2"/>
          <w:w w:val="120"/>
        </w:rPr>
        <w:t>du</w:t>
      </w:r>
      <w:r>
        <w:rPr>
          <w:color w:val="231F20"/>
          <w:spacing w:val="-11"/>
          <w:w w:val="120"/>
        </w:rPr>
        <w:t> </w:t>
      </w:r>
      <w:r>
        <w:rPr>
          <w:color w:val="231F20"/>
          <w:spacing w:val="-2"/>
          <w:w w:val="120"/>
        </w:rPr>
        <w:t>niveau</w:t>
      </w:r>
      <w:r>
        <w:rPr>
          <w:color w:val="231F20"/>
          <w:spacing w:val="-11"/>
          <w:w w:val="120"/>
        </w:rPr>
        <w:t> </w:t>
      </w:r>
      <w:r>
        <w:rPr>
          <w:color w:val="231F20"/>
          <w:spacing w:val="-2"/>
          <w:w w:val="120"/>
        </w:rPr>
        <w:t>de</w:t>
      </w:r>
      <w:r>
        <w:rPr>
          <w:color w:val="231F20"/>
          <w:spacing w:val="-10"/>
          <w:w w:val="120"/>
        </w:rPr>
        <w:t> </w:t>
      </w:r>
      <w:r>
        <w:rPr>
          <w:color w:val="231F20"/>
          <w:spacing w:val="-2"/>
          <w:w w:val="120"/>
        </w:rPr>
        <w:t>stress</w:t>
      </w:r>
      <w:r>
        <w:rPr>
          <w:color w:val="231F20"/>
          <w:spacing w:val="-11"/>
          <w:w w:val="120"/>
        </w:rPr>
        <w:t> </w:t>
      </w:r>
      <w:r>
        <w:rPr>
          <w:color w:val="231F20"/>
          <w:spacing w:val="-2"/>
          <w:w w:val="120"/>
        </w:rPr>
        <w:t>des</w:t>
      </w:r>
      <w:r>
        <w:rPr>
          <w:color w:val="231F20"/>
          <w:spacing w:val="-11"/>
          <w:w w:val="120"/>
        </w:rPr>
        <w:t> </w:t>
      </w:r>
      <w:r>
        <w:rPr>
          <w:color w:val="231F20"/>
          <w:spacing w:val="-2"/>
          <w:w w:val="120"/>
        </w:rPr>
        <w:t>employés</w:t>
      </w:r>
      <w:r>
        <w:rPr>
          <w:color w:val="231F20"/>
          <w:spacing w:val="-11"/>
          <w:w w:val="120"/>
        </w:rPr>
        <w:t> </w:t>
      </w:r>
      <w:r>
        <w:rPr>
          <w:color w:val="231F20"/>
          <w:spacing w:val="-2"/>
          <w:w w:val="120"/>
        </w:rPr>
        <w:t>se</w:t>
      </w:r>
      <w:r>
        <w:rPr>
          <w:color w:val="231F20"/>
          <w:spacing w:val="-10"/>
          <w:w w:val="120"/>
        </w:rPr>
        <w:t> </w:t>
      </w:r>
      <w:r>
        <w:rPr>
          <w:color w:val="231F20"/>
          <w:spacing w:val="-2"/>
          <w:w w:val="120"/>
        </w:rPr>
        <w:t>répercutera</w:t>
      </w:r>
      <w:r>
        <w:rPr>
          <w:color w:val="231F20"/>
          <w:spacing w:val="-11"/>
          <w:w w:val="120"/>
        </w:rPr>
        <w:t> </w:t>
      </w:r>
      <w:r>
        <w:rPr>
          <w:color w:val="231F20"/>
          <w:spacing w:val="-2"/>
          <w:w w:val="120"/>
        </w:rPr>
        <w:t>directement</w:t>
      </w:r>
      <w:r>
        <w:rPr>
          <w:color w:val="231F20"/>
          <w:spacing w:val="-11"/>
          <w:w w:val="120"/>
        </w:rPr>
        <w:t> </w:t>
      </w:r>
      <w:r>
        <w:rPr>
          <w:color w:val="231F20"/>
          <w:spacing w:val="-2"/>
          <w:w w:val="120"/>
        </w:rPr>
        <w:t>sur</w:t>
      </w:r>
      <w:r>
        <w:rPr>
          <w:color w:val="231F20"/>
          <w:spacing w:val="-11"/>
          <w:w w:val="120"/>
        </w:rPr>
        <w:t> </w:t>
      </w:r>
      <w:r>
        <w:rPr>
          <w:color w:val="231F20"/>
          <w:spacing w:val="-2"/>
          <w:w w:val="120"/>
        </w:rPr>
        <w:t>le fonctionnement</w:t>
      </w:r>
      <w:r>
        <w:rPr>
          <w:color w:val="231F20"/>
          <w:spacing w:val="-11"/>
          <w:w w:val="120"/>
        </w:rPr>
        <w:t> </w:t>
      </w:r>
      <w:r>
        <w:rPr>
          <w:color w:val="231F20"/>
          <w:spacing w:val="-2"/>
          <w:w w:val="120"/>
        </w:rPr>
        <w:t>de</w:t>
      </w:r>
      <w:r>
        <w:rPr>
          <w:color w:val="231F20"/>
          <w:spacing w:val="-11"/>
          <w:w w:val="120"/>
        </w:rPr>
        <w:t> </w:t>
      </w:r>
      <w:r>
        <w:rPr>
          <w:color w:val="231F20"/>
          <w:spacing w:val="-2"/>
          <w:w w:val="120"/>
        </w:rPr>
        <w:t>l’entreprise.</w:t>
      </w:r>
      <w:r>
        <w:rPr>
          <w:color w:val="231F20"/>
          <w:spacing w:val="-11"/>
          <w:w w:val="120"/>
        </w:rPr>
        <w:t> </w:t>
      </w:r>
      <w:r>
        <w:rPr>
          <w:color w:val="231F20"/>
          <w:spacing w:val="-2"/>
          <w:w w:val="120"/>
        </w:rPr>
        <w:t>Une</w:t>
      </w:r>
      <w:r>
        <w:rPr>
          <w:color w:val="231F20"/>
          <w:spacing w:val="-10"/>
          <w:w w:val="120"/>
        </w:rPr>
        <w:t> </w:t>
      </w:r>
      <w:r>
        <w:rPr>
          <w:color w:val="231F20"/>
          <w:spacing w:val="-2"/>
          <w:w w:val="120"/>
        </w:rPr>
        <w:t>situation</w:t>
      </w:r>
      <w:r>
        <w:rPr>
          <w:color w:val="231F20"/>
          <w:spacing w:val="-11"/>
          <w:w w:val="120"/>
        </w:rPr>
        <w:t> </w:t>
      </w:r>
      <w:r>
        <w:rPr>
          <w:color w:val="231F20"/>
          <w:spacing w:val="-2"/>
          <w:w w:val="120"/>
        </w:rPr>
        <w:t>prolongée</w:t>
      </w:r>
      <w:r>
        <w:rPr>
          <w:color w:val="231F20"/>
          <w:spacing w:val="-11"/>
          <w:w w:val="120"/>
        </w:rPr>
        <w:t> </w:t>
      </w:r>
      <w:r>
        <w:rPr>
          <w:color w:val="231F20"/>
          <w:spacing w:val="-2"/>
          <w:w w:val="120"/>
        </w:rPr>
        <w:t>de</w:t>
      </w:r>
      <w:r>
        <w:rPr>
          <w:color w:val="231F20"/>
          <w:spacing w:val="-11"/>
          <w:w w:val="120"/>
        </w:rPr>
        <w:t> </w:t>
      </w:r>
      <w:r>
        <w:rPr>
          <w:color w:val="231F20"/>
          <w:spacing w:val="-2"/>
          <w:w w:val="120"/>
        </w:rPr>
        <w:t>stress</w:t>
      </w:r>
      <w:r>
        <w:rPr>
          <w:color w:val="231F20"/>
          <w:spacing w:val="-10"/>
          <w:w w:val="120"/>
        </w:rPr>
        <w:t> </w:t>
      </w:r>
      <w:r>
        <w:rPr>
          <w:color w:val="231F20"/>
          <w:spacing w:val="-2"/>
          <w:w w:val="120"/>
        </w:rPr>
        <w:t>mène</w:t>
      </w:r>
      <w:r>
        <w:rPr>
          <w:color w:val="231F20"/>
          <w:spacing w:val="-11"/>
          <w:w w:val="120"/>
        </w:rPr>
        <w:t> </w:t>
      </w:r>
      <w:r>
        <w:rPr>
          <w:color w:val="231F20"/>
          <w:spacing w:val="-2"/>
          <w:w w:val="120"/>
        </w:rPr>
        <w:t>à </w:t>
      </w:r>
      <w:r>
        <w:rPr>
          <w:color w:val="231F20"/>
          <w:w w:val="120"/>
        </w:rPr>
        <w:t>une</w:t>
      </w:r>
      <w:r>
        <w:rPr>
          <w:color w:val="231F20"/>
          <w:spacing w:val="-13"/>
          <w:w w:val="120"/>
        </w:rPr>
        <w:t> </w:t>
      </w:r>
      <w:r>
        <w:rPr>
          <w:color w:val="231F20"/>
          <w:w w:val="120"/>
        </w:rPr>
        <w:t>détérioration</w:t>
      </w:r>
      <w:r>
        <w:rPr>
          <w:color w:val="231F20"/>
          <w:spacing w:val="-13"/>
          <w:w w:val="120"/>
        </w:rPr>
        <w:t> </w:t>
      </w:r>
      <w:r>
        <w:rPr>
          <w:color w:val="231F20"/>
          <w:w w:val="120"/>
        </w:rPr>
        <w:t>du</w:t>
      </w:r>
      <w:r>
        <w:rPr>
          <w:color w:val="231F20"/>
          <w:spacing w:val="-13"/>
          <w:w w:val="120"/>
        </w:rPr>
        <w:t> </w:t>
      </w:r>
      <w:r>
        <w:rPr>
          <w:color w:val="231F20"/>
          <w:w w:val="120"/>
        </w:rPr>
        <w:t>milieu</w:t>
      </w:r>
      <w:r>
        <w:rPr>
          <w:color w:val="231F20"/>
          <w:spacing w:val="-12"/>
          <w:w w:val="120"/>
        </w:rPr>
        <w:t> </w:t>
      </w:r>
      <w:r>
        <w:rPr>
          <w:color w:val="231F20"/>
          <w:w w:val="120"/>
        </w:rPr>
        <w:t>de</w:t>
      </w:r>
      <w:r>
        <w:rPr>
          <w:color w:val="231F20"/>
          <w:spacing w:val="-13"/>
          <w:w w:val="120"/>
        </w:rPr>
        <w:t> </w:t>
      </w:r>
      <w:r>
        <w:rPr>
          <w:color w:val="231F20"/>
          <w:w w:val="120"/>
        </w:rPr>
        <w:t>travail,</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2"/>
          <w:w w:val="120"/>
        </w:rPr>
        <w:t> </w:t>
      </w:r>
      <w:r>
        <w:rPr>
          <w:color w:val="231F20"/>
          <w:w w:val="120"/>
        </w:rPr>
        <w:t>baisse</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fréquence</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la </w:t>
      </w:r>
      <w:r>
        <w:rPr>
          <w:color w:val="231F20"/>
          <w:spacing w:val="-4"/>
          <w:w w:val="120"/>
        </w:rPr>
        <w:t>qualité</w:t>
      </w:r>
      <w:r>
        <w:rPr>
          <w:color w:val="231F20"/>
          <w:spacing w:val="-9"/>
          <w:w w:val="120"/>
        </w:rPr>
        <w:t> </w:t>
      </w:r>
      <w:r>
        <w:rPr>
          <w:color w:val="231F20"/>
          <w:spacing w:val="-4"/>
          <w:w w:val="120"/>
        </w:rPr>
        <w:t>des</w:t>
      </w:r>
      <w:r>
        <w:rPr>
          <w:color w:val="231F20"/>
          <w:spacing w:val="-9"/>
          <w:w w:val="120"/>
        </w:rPr>
        <w:t> </w:t>
      </w:r>
      <w:r>
        <w:rPr>
          <w:color w:val="231F20"/>
          <w:spacing w:val="-4"/>
          <w:w w:val="120"/>
        </w:rPr>
        <w:t>relations</w:t>
      </w:r>
      <w:r>
        <w:rPr>
          <w:color w:val="231F20"/>
          <w:spacing w:val="-8"/>
          <w:w w:val="120"/>
        </w:rPr>
        <w:t> </w:t>
      </w:r>
      <w:r>
        <w:rPr>
          <w:color w:val="231F20"/>
          <w:spacing w:val="-4"/>
          <w:w w:val="120"/>
        </w:rPr>
        <w:t>interpersonnelles,</w:t>
      </w:r>
      <w:r>
        <w:rPr>
          <w:color w:val="231F20"/>
          <w:spacing w:val="-9"/>
          <w:w w:val="120"/>
        </w:rPr>
        <w:t> </w:t>
      </w:r>
      <w:r>
        <w:rPr>
          <w:color w:val="231F20"/>
          <w:spacing w:val="-4"/>
          <w:w w:val="120"/>
        </w:rPr>
        <w:t>ainsi</w:t>
      </w:r>
      <w:r>
        <w:rPr>
          <w:color w:val="231F20"/>
          <w:spacing w:val="-9"/>
          <w:w w:val="120"/>
        </w:rPr>
        <w:t> </w:t>
      </w:r>
      <w:r>
        <w:rPr>
          <w:color w:val="231F20"/>
          <w:spacing w:val="-4"/>
          <w:w w:val="120"/>
        </w:rPr>
        <w:t>qu’à</w:t>
      </w:r>
      <w:r>
        <w:rPr>
          <w:color w:val="231F20"/>
          <w:spacing w:val="-8"/>
          <w:w w:val="120"/>
        </w:rPr>
        <w:t> </w:t>
      </w:r>
      <w:r>
        <w:rPr>
          <w:color w:val="231F20"/>
          <w:spacing w:val="-4"/>
          <w:w w:val="120"/>
        </w:rPr>
        <w:t>une</w:t>
      </w:r>
      <w:r>
        <w:rPr>
          <w:color w:val="231F20"/>
          <w:spacing w:val="-9"/>
          <w:w w:val="120"/>
        </w:rPr>
        <w:t> </w:t>
      </w:r>
      <w:r>
        <w:rPr>
          <w:color w:val="231F20"/>
          <w:spacing w:val="-4"/>
          <w:w w:val="120"/>
        </w:rPr>
        <w:t>perte</w:t>
      </w:r>
      <w:r>
        <w:rPr>
          <w:color w:val="231F20"/>
          <w:spacing w:val="-9"/>
          <w:w w:val="120"/>
        </w:rPr>
        <w:t> </w:t>
      </w:r>
      <w:r>
        <w:rPr>
          <w:color w:val="231F20"/>
          <w:spacing w:val="-4"/>
          <w:w w:val="120"/>
        </w:rPr>
        <w:t>de</w:t>
      </w:r>
      <w:r>
        <w:rPr>
          <w:color w:val="231F20"/>
          <w:spacing w:val="-9"/>
          <w:w w:val="120"/>
        </w:rPr>
        <w:t> </w:t>
      </w:r>
      <w:r>
        <w:rPr>
          <w:color w:val="231F20"/>
          <w:spacing w:val="-4"/>
          <w:w w:val="120"/>
        </w:rPr>
        <w:t>productivité </w:t>
      </w:r>
      <w:r>
        <w:rPr>
          <w:color w:val="231F20"/>
          <w:w w:val="120"/>
        </w:rPr>
        <w:t>et de rendement organisationnel.</w:t>
      </w:r>
    </w:p>
    <w:p>
      <w:pPr>
        <w:pStyle w:val="BodyText"/>
        <w:rPr>
          <w:sz w:val="24"/>
        </w:rPr>
      </w:pPr>
    </w:p>
    <w:p>
      <w:pPr>
        <w:pStyle w:val="BodyText"/>
        <w:spacing w:before="182"/>
        <w:ind w:left="1220"/>
        <w:jc w:val="both"/>
        <w:rPr>
          <w:rFonts w:ascii="Arial" w:hAnsi="Arial"/>
        </w:rPr>
      </w:pPr>
      <w:r>
        <w:rPr/>
        <w:pict>
          <v:shape style="position:absolute;margin-left:82pt;margin-top:21.180902pt;width:287.5pt;height:.1pt;mso-position-horizontal-relative:page;mso-position-vertical-relative:paragraph;z-index:-15668736;mso-wrap-distance-left:0;mso-wrap-distance-right:0" id="docshape759" coordorigin="1640,424" coordsize="5750,0" path="m1640,424l7390,424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before="1"/>
        <w:ind w:left="1220" w:right="355"/>
        <w:jc w:val="both"/>
        <w:rPr>
          <w:rFonts w:ascii="Arial" w:hAnsi="Arial"/>
        </w:rPr>
      </w:pPr>
      <w:r>
        <w:rPr>
          <w:rFonts w:ascii="Arial" w:hAnsi="Arial"/>
          <w:color w:val="231F20"/>
          <w:spacing w:val="-2"/>
        </w:rPr>
        <w:t>Le</w:t>
      </w:r>
      <w:r>
        <w:rPr>
          <w:rFonts w:ascii="Arial" w:hAnsi="Arial"/>
          <w:color w:val="231F20"/>
          <w:spacing w:val="-7"/>
        </w:rPr>
        <w:t> </w:t>
      </w:r>
      <w:r>
        <w:rPr>
          <w:rFonts w:ascii="Arial" w:hAnsi="Arial"/>
          <w:color w:val="231F20"/>
          <w:spacing w:val="-2"/>
        </w:rPr>
        <w:t>stress</w:t>
      </w:r>
      <w:r>
        <w:rPr>
          <w:rFonts w:ascii="Arial" w:hAnsi="Arial"/>
          <w:color w:val="231F20"/>
          <w:spacing w:val="-7"/>
        </w:rPr>
        <w:t> </w:t>
      </w:r>
      <w:r>
        <w:rPr>
          <w:rFonts w:ascii="Arial" w:hAnsi="Arial"/>
          <w:color w:val="231F20"/>
          <w:spacing w:val="-2"/>
        </w:rPr>
        <w:t>professionnel</w:t>
      </w:r>
      <w:r>
        <w:rPr>
          <w:rFonts w:ascii="Arial" w:hAnsi="Arial"/>
          <w:color w:val="231F20"/>
          <w:spacing w:val="-7"/>
        </w:rPr>
        <w:t> </w:t>
      </w:r>
      <w:r>
        <w:rPr>
          <w:rFonts w:ascii="Arial" w:hAnsi="Arial"/>
          <w:color w:val="231F20"/>
          <w:spacing w:val="-2"/>
        </w:rPr>
        <w:t>est</w:t>
      </w:r>
      <w:r>
        <w:rPr>
          <w:rFonts w:ascii="Arial" w:hAnsi="Arial"/>
          <w:color w:val="231F20"/>
          <w:spacing w:val="-7"/>
        </w:rPr>
        <w:t> </w:t>
      </w:r>
      <w:r>
        <w:rPr>
          <w:rFonts w:ascii="Arial" w:hAnsi="Arial"/>
          <w:color w:val="231F20"/>
          <w:spacing w:val="-2"/>
        </w:rPr>
        <w:t>l’un</w:t>
      </w:r>
      <w:r>
        <w:rPr>
          <w:rFonts w:ascii="Arial" w:hAnsi="Arial"/>
          <w:color w:val="231F20"/>
          <w:spacing w:val="-7"/>
        </w:rPr>
        <w:t> </w:t>
      </w:r>
      <w:r>
        <w:rPr>
          <w:rFonts w:ascii="Arial" w:hAnsi="Arial"/>
          <w:color w:val="231F20"/>
          <w:spacing w:val="-2"/>
        </w:rPr>
        <w:t>des</w:t>
      </w:r>
      <w:r>
        <w:rPr>
          <w:rFonts w:ascii="Arial" w:hAnsi="Arial"/>
          <w:color w:val="231F20"/>
          <w:spacing w:val="-7"/>
        </w:rPr>
        <w:t> </w:t>
      </w:r>
      <w:r>
        <w:rPr>
          <w:rFonts w:ascii="Arial" w:hAnsi="Arial"/>
          <w:color w:val="231F20"/>
          <w:spacing w:val="-2"/>
        </w:rPr>
        <w:t>risques</w:t>
      </w:r>
      <w:r>
        <w:rPr>
          <w:rFonts w:ascii="Arial" w:hAnsi="Arial"/>
          <w:color w:val="231F20"/>
          <w:spacing w:val="-7"/>
        </w:rPr>
        <w:t> </w:t>
      </w:r>
      <w:r>
        <w:rPr>
          <w:rFonts w:ascii="Arial" w:hAnsi="Arial"/>
          <w:color w:val="231F20"/>
          <w:spacing w:val="-2"/>
        </w:rPr>
        <w:t>majeurs</w:t>
      </w:r>
      <w:r>
        <w:rPr>
          <w:rFonts w:ascii="Arial" w:hAnsi="Arial"/>
          <w:color w:val="231F20"/>
          <w:spacing w:val="-7"/>
        </w:rPr>
        <w:t> </w:t>
      </w:r>
      <w:r>
        <w:rPr>
          <w:rFonts w:ascii="Arial" w:hAnsi="Arial"/>
          <w:color w:val="231F20"/>
          <w:spacing w:val="-2"/>
        </w:rPr>
        <w:t>auquel</w:t>
      </w:r>
      <w:r>
        <w:rPr>
          <w:rFonts w:ascii="Arial" w:hAnsi="Arial"/>
          <w:color w:val="231F20"/>
          <w:spacing w:val="-7"/>
        </w:rPr>
        <w:t> </w:t>
      </w:r>
      <w:r>
        <w:rPr>
          <w:rFonts w:ascii="Arial" w:hAnsi="Arial"/>
          <w:color w:val="231F20"/>
          <w:spacing w:val="-2"/>
        </w:rPr>
        <w:t>l’entreprise</w:t>
      </w:r>
      <w:r>
        <w:rPr>
          <w:rFonts w:ascii="Arial" w:hAnsi="Arial"/>
          <w:color w:val="231F20"/>
          <w:spacing w:val="-7"/>
        </w:rPr>
        <w:t> </w:t>
      </w:r>
      <w:r>
        <w:rPr>
          <w:rFonts w:ascii="Arial" w:hAnsi="Arial"/>
          <w:color w:val="231F20"/>
          <w:spacing w:val="-2"/>
        </w:rPr>
        <w:t>doit </w:t>
      </w:r>
      <w:r>
        <w:rPr>
          <w:rFonts w:ascii="Arial" w:hAnsi="Arial"/>
          <w:color w:val="231F20"/>
        </w:rPr>
        <w:t>faire</w:t>
      </w:r>
      <w:r>
        <w:rPr>
          <w:rFonts w:ascii="Arial" w:hAnsi="Arial"/>
          <w:color w:val="231F20"/>
          <w:spacing w:val="-5"/>
        </w:rPr>
        <w:t> </w:t>
      </w:r>
      <w:r>
        <w:rPr>
          <w:rFonts w:ascii="Arial" w:hAnsi="Arial"/>
          <w:color w:val="231F20"/>
        </w:rPr>
        <w:t>face.</w:t>
      </w:r>
      <w:r>
        <w:rPr>
          <w:rFonts w:ascii="Arial" w:hAnsi="Arial"/>
          <w:color w:val="231F20"/>
          <w:spacing w:val="-5"/>
        </w:rPr>
        <w:t> </w:t>
      </w:r>
      <w:r>
        <w:rPr>
          <w:rFonts w:ascii="Arial" w:hAnsi="Arial"/>
          <w:color w:val="231F20"/>
        </w:rPr>
        <w:t>Il</w:t>
      </w:r>
      <w:r>
        <w:rPr>
          <w:rFonts w:ascii="Arial" w:hAnsi="Arial"/>
          <w:color w:val="231F20"/>
          <w:spacing w:val="-5"/>
        </w:rPr>
        <w:t> </w:t>
      </w:r>
      <w:r>
        <w:rPr>
          <w:rFonts w:ascii="Arial" w:hAnsi="Arial"/>
          <w:color w:val="231F20"/>
        </w:rPr>
        <w:t>[entraîne]</w:t>
      </w:r>
      <w:r>
        <w:rPr>
          <w:rFonts w:ascii="Arial" w:hAnsi="Arial"/>
          <w:color w:val="231F20"/>
          <w:spacing w:val="-5"/>
        </w:rPr>
        <w:t> </w:t>
      </w:r>
      <w:r>
        <w:rPr>
          <w:rFonts w:ascii="Arial" w:hAnsi="Arial"/>
          <w:color w:val="231F20"/>
        </w:rPr>
        <w:t>des</w:t>
      </w:r>
      <w:r>
        <w:rPr>
          <w:rFonts w:ascii="Arial" w:hAnsi="Arial"/>
          <w:color w:val="231F20"/>
          <w:spacing w:val="-5"/>
        </w:rPr>
        <w:t> </w:t>
      </w:r>
      <w:r>
        <w:rPr>
          <w:rFonts w:ascii="Arial" w:hAnsi="Arial"/>
          <w:color w:val="231F20"/>
        </w:rPr>
        <w:t>répercussions</w:t>
      </w:r>
      <w:r>
        <w:rPr>
          <w:rFonts w:ascii="Arial" w:hAnsi="Arial"/>
          <w:color w:val="231F20"/>
          <w:spacing w:val="-5"/>
        </w:rPr>
        <w:t> </w:t>
      </w:r>
      <w:r>
        <w:rPr>
          <w:rFonts w:ascii="Arial" w:hAnsi="Arial"/>
          <w:color w:val="231F20"/>
        </w:rPr>
        <w:t>négatives</w:t>
      </w:r>
      <w:r>
        <w:rPr>
          <w:rFonts w:ascii="Arial" w:hAnsi="Arial"/>
          <w:color w:val="231F20"/>
          <w:spacing w:val="-5"/>
        </w:rPr>
        <w:t> </w:t>
      </w:r>
      <w:r>
        <w:rPr>
          <w:rFonts w:ascii="Arial" w:hAnsi="Arial"/>
          <w:color w:val="231F20"/>
        </w:rPr>
        <w:t>sur</w:t>
      </w:r>
      <w:r>
        <w:rPr>
          <w:rFonts w:ascii="Arial" w:hAnsi="Arial"/>
          <w:color w:val="231F20"/>
          <w:spacing w:val="-5"/>
        </w:rPr>
        <w:t> </w:t>
      </w:r>
      <w:r>
        <w:rPr>
          <w:rFonts w:ascii="Arial" w:hAnsi="Arial"/>
          <w:color w:val="231F20"/>
        </w:rPr>
        <w:t>la</w:t>
      </w:r>
      <w:r>
        <w:rPr>
          <w:rFonts w:ascii="Arial" w:hAnsi="Arial"/>
          <w:color w:val="231F20"/>
          <w:spacing w:val="-5"/>
        </w:rPr>
        <w:t> </w:t>
      </w:r>
      <w:r>
        <w:rPr>
          <w:rFonts w:ascii="Arial" w:hAnsi="Arial"/>
          <w:color w:val="231F20"/>
        </w:rPr>
        <w:t>santé</w:t>
      </w:r>
      <w:r>
        <w:rPr>
          <w:rFonts w:ascii="Arial" w:hAnsi="Arial"/>
          <w:color w:val="231F20"/>
          <w:spacing w:val="-5"/>
        </w:rPr>
        <w:t> </w:t>
      </w:r>
      <w:r>
        <w:rPr>
          <w:rFonts w:ascii="Arial" w:hAnsi="Arial"/>
          <w:color w:val="231F20"/>
        </w:rPr>
        <w:t>des</w:t>
      </w:r>
      <w:r>
        <w:rPr>
          <w:rFonts w:ascii="Arial" w:hAnsi="Arial"/>
          <w:color w:val="231F20"/>
          <w:spacing w:val="-5"/>
        </w:rPr>
        <w:t> </w:t>
      </w:r>
      <w:r>
        <w:rPr>
          <w:rFonts w:ascii="Arial" w:hAnsi="Arial"/>
          <w:color w:val="231F20"/>
        </w:rPr>
        <w:t>sala- riés,</w:t>
      </w:r>
      <w:r>
        <w:rPr>
          <w:rFonts w:ascii="Arial" w:hAnsi="Arial"/>
          <w:color w:val="231F20"/>
          <w:spacing w:val="-5"/>
        </w:rPr>
        <w:t> </w:t>
      </w:r>
      <w:r>
        <w:rPr>
          <w:rFonts w:ascii="Arial" w:hAnsi="Arial"/>
          <w:color w:val="231F20"/>
        </w:rPr>
        <w:t>mais</w:t>
      </w:r>
      <w:r>
        <w:rPr>
          <w:rFonts w:ascii="Arial" w:hAnsi="Arial"/>
          <w:color w:val="231F20"/>
          <w:spacing w:val="-5"/>
        </w:rPr>
        <w:t> </w:t>
      </w:r>
      <w:r>
        <w:rPr>
          <w:rFonts w:ascii="Arial" w:hAnsi="Arial"/>
          <w:color w:val="231F20"/>
        </w:rPr>
        <w:t>aussi</w:t>
      </w:r>
      <w:r>
        <w:rPr>
          <w:rFonts w:ascii="Arial" w:hAnsi="Arial"/>
          <w:color w:val="231F20"/>
          <w:spacing w:val="-5"/>
        </w:rPr>
        <w:t> </w:t>
      </w:r>
      <w:r>
        <w:rPr>
          <w:rFonts w:ascii="Arial" w:hAnsi="Arial"/>
          <w:color w:val="231F20"/>
        </w:rPr>
        <w:t>sur</w:t>
      </w:r>
      <w:r>
        <w:rPr>
          <w:rFonts w:ascii="Arial" w:hAnsi="Arial"/>
          <w:color w:val="231F20"/>
          <w:spacing w:val="-5"/>
        </w:rPr>
        <w:t> </w:t>
      </w:r>
      <w:r>
        <w:rPr>
          <w:rFonts w:ascii="Arial" w:hAnsi="Arial"/>
          <w:color w:val="231F20"/>
        </w:rPr>
        <w:t>le</w:t>
      </w:r>
      <w:r>
        <w:rPr>
          <w:rFonts w:ascii="Arial" w:hAnsi="Arial"/>
          <w:color w:val="231F20"/>
          <w:spacing w:val="-5"/>
        </w:rPr>
        <w:t> </w:t>
      </w:r>
      <w:r>
        <w:rPr>
          <w:rFonts w:ascii="Arial" w:hAnsi="Arial"/>
          <w:color w:val="231F20"/>
        </w:rPr>
        <w:t>fonctionnement</w:t>
      </w:r>
      <w:r>
        <w:rPr>
          <w:rFonts w:ascii="Arial" w:hAnsi="Arial"/>
          <w:color w:val="231F20"/>
          <w:spacing w:val="-5"/>
        </w:rPr>
        <w:t> </w:t>
      </w:r>
      <w:r>
        <w:rPr>
          <w:rFonts w:ascii="Arial" w:hAnsi="Arial"/>
          <w:color w:val="231F20"/>
        </w:rPr>
        <w:t>de</w:t>
      </w:r>
      <w:r>
        <w:rPr>
          <w:rFonts w:ascii="Arial" w:hAnsi="Arial"/>
          <w:color w:val="231F20"/>
          <w:spacing w:val="-5"/>
        </w:rPr>
        <w:t> </w:t>
      </w:r>
      <w:r>
        <w:rPr>
          <w:rFonts w:ascii="Arial" w:hAnsi="Arial"/>
          <w:color w:val="231F20"/>
        </w:rPr>
        <w:t>l’entreprise.</w:t>
      </w:r>
      <w:r>
        <w:rPr>
          <w:rFonts w:ascii="Arial" w:hAnsi="Arial"/>
          <w:color w:val="231F20"/>
          <w:spacing w:val="-5"/>
        </w:rPr>
        <w:t> </w:t>
      </w:r>
      <w:r>
        <w:rPr>
          <w:rFonts w:ascii="Arial" w:hAnsi="Arial"/>
          <w:color w:val="231F20"/>
        </w:rPr>
        <w:t>Il</w:t>
      </w:r>
      <w:r>
        <w:rPr>
          <w:rFonts w:ascii="Arial" w:hAnsi="Arial"/>
          <w:color w:val="231F20"/>
          <w:spacing w:val="-5"/>
        </w:rPr>
        <w:t> </w:t>
      </w:r>
      <w:r>
        <w:rPr>
          <w:rFonts w:ascii="Arial" w:hAnsi="Arial"/>
          <w:color w:val="231F20"/>
        </w:rPr>
        <w:t>peut</w:t>
      </w:r>
      <w:r>
        <w:rPr>
          <w:rFonts w:ascii="Arial" w:hAnsi="Arial"/>
          <w:color w:val="231F20"/>
          <w:spacing w:val="-5"/>
        </w:rPr>
        <w:t> </w:t>
      </w:r>
      <w:r>
        <w:rPr>
          <w:rFonts w:ascii="Arial" w:hAnsi="Arial"/>
          <w:color w:val="231F20"/>
        </w:rPr>
        <w:t>[entre</w:t>
      </w:r>
      <w:r>
        <w:rPr>
          <w:rFonts w:ascii="Arial" w:hAnsi="Arial"/>
          <w:color w:val="231F20"/>
          <w:spacing w:val="-5"/>
        </w:rPr>
        <w:t> </w:t>
      </w:r>
      <w:r>
        <w:rPr>
          <w:rFonts w:ascii="Arial" w:hAnsi="Arial"/>
          <w:color w:val="231F20"/>
        </w:rPr>
        <w:t>autres </w:t>
      </w:r>
      <w:r>
        <w:rPr>
          <w:rFonts w:ascii="Arial" w:hAnsi="Arial"/>
          <w:color w:val="231F20"/>
          <w:w w:val="105"/>
        </w:rPr>
        <w:t>avoir ces effets]:</w:t>
      </w:r>
    </w:p>
    <w:p>
      <w:pPr>
        <w:pStyle w:val="ListParagraph"/>
        <w:numPr>
          <w:ilvl w:val="3"/>
          <w:numId w:val="46"/>
        </w:numPr>
        <w:tabs>
          <w:tab w:pos="1730" w:val="left" w:leader="none"/>
        </w:tabs>
        <w:spacing w:line="240" w:lineRule="auto" w:before="79" w:after="0"/>
        <w:ind w:left="1730" w:right="0" w:hanging="251"/>
        <w:jc w:val="left"/>
        <w:rPr>
          <w:rFonts w:ascii="Arial" w:hAnsi="Arial"/>
          <w:i/>
          <w:sz w:val="17"/>
        </w:rPr>
      </w:pPr>
      <w:r>
        <w:rPr>
          <w:rFonts w:ascii="Arial" w:hAnsi="Arial"/>
          <w:color w:val="231F20"/>
          <w:sz w:val="17"/>
        </w:rPr>
        <w:t>L’absentéisme</w:t>
      </w:r>
      <w:r>
        <w:rPr>
          <w:rFonts w:ascii="Arial" w:hAnsi="Arial"/>
          <w:color w:val="231F20"/>
          <w:spacing w:val="-8"/>
          <w:sz w:val="17"/>
        </w:rPr>
        <w:t> </w:t>
      </w:r>
      <w:r>
        <w:rPr>
          <w:rFonts w:ascii="Arial" w:hAnsi="Arial"/>
          <w:color w:val="231F20"/>
          <w:sz w:val="17"/>
        </w:rPr>
        <w:t>et</w:t>
      </w:r>
      <w:r>
        <w:rPr>
          <w:rFonts w:ascii="Arial" w:hAnsi="Arial"/>
          <w:color w:val="231F20"/>
          <w:spacing w:val="-7"/>
          <w:sz w:val="17"/>
        </w:rPr>
        <w:t> </w:t>
      </w:r>
      <w:r>
        <w:rPr>
          <w:rFonts w:ascii="Arial" w:hAnsi="Arial"/>
          <w:color w:val="231F20"/>
          <w:sz w:val="17"/>
        </w:rPr>
        <w:t>le</w:t>
      </w:r>
      <w:r>
        <w:rPr>
          <w:rFonts w:ascii="Arial" w:hAnsi="Arial"/>
          <w:color w:val="231F20"/>
          <w:spacing w:val="-8"/>
          <w:sz w:val="17"/>
        </w:rPr>
        <w:t> </w:t>
      </w:r>
      <w:r>
        <w:rPr>
          <w:rFonts w:ascii="Arial" w:hAnsi="Arial"/>
          <w:i/>
          <w:color w:val="231F20"/>
          <w:spacing w:val="-2"/>
          <w:sz w:val="17"/>
        </w:rPr>
        <w:t>turnover</w:t>
      </w:r>
    </w:p>
    <w:p>
      <w:pPr>
        <w:pStyle w:val="ListParagraph"/>
        <w:numPr>
          <w:ilvl w:val="3"/>
          <w:numId w:val="46"/>
        </w:numPr>
        <w:tabs>
          <w:tab w:pos="1730" w:val="left" w:leader="none"/>
        </w:tabs>
        <w:spacing w:line="240" w:lineRule="auto" w:before="54" w:after="0"/>
        <w:ind w:left="1730" w:right="0" w:hanging="251"/>
        <w:jc w:val="left"/>
        <w:rPr>
          <w:rFonts w:ascii="Arial" w:hAnsi="Arial"/>
          <w:sz w:val="17"/>
        </w:rPr>
      </w:pPr>
      <w:r>
        <w:rPr>
          <w:rFonts w:ascii="Arial" w:hAnsi="Arial"/>
          <w:color w:val="231F20"/>
          <w:w w:val="95"/>
          <w:sz w:val="17"/>
        </w:rPr>
        <w:t>Le</w:t>
      </w:r>
      <w:r>
        <w:rPr>
          <w:rFonts w:ascii="Arial" w:hAnsi="Arial"/>
          <w:color w:val="231F20"/>
          <w:spacing w:val="-5"/>
          <w:w w:val="95"/>
          <w:sz w:val="17"/>
        </w:rPr>
        <w:t> </w:t>
      </w:r>
      <w:r>
        <w:rPr>
          <w:rFonts w:ascii="Arial" w:hAnsi="Arial"/>
          <w:color w:val="231F20"/>
          <w:spacing w:val="-2"/>
          <w:sz w:val="17"/>
        </w:rPr>
        <w:t>recrutement</w:t>
      </w:r>
    </w:p>
    <w:p>
      <w:pPr>
        <w:pStyle w:val="ListParagraph"/>
        <w:numPr>
          <w:ilvl w:val="3"/>
          <w:numId w:val="46"/>
        </w:numPr>
        <w:tabs>
          <w:tab w:pos="1730" w:val="left" w:leader="none"/>
        </w:tabs>
        <w:spacing w:line="240" w:lineRule="auto" w:before="55" w:after="0"/>
        <w:ind w:left="1730" w:right="0" w:hanging="251"/>
        <w:jc w:val="left"/>
        <w:rPr>
          <w:rFonts w:ascii="Arial" w:hAnsi="Arial"/>
          <w:sz w:val="17"/>
        </w:rPr>
      </w:pPr>
      <w:r>
        <w:rPr>
          <w:rFonts w:ascii="Arial" w:hAnsi="Arial"/>
          <w:color w:val="231F20"/>
          <w:sz w:val="17"/>
        </w:rPr>
        <w:t>Les</w:t>
      </w:r>
      <w:r>
        <w:rPr>
          <w:rFonts w:ascii="Arial" w:hAnsi="Arial"/>
          <w:color w:val="231F20"/>
          <w:spacing w:val="-3"/>
          <w:sz w:val="17"/>
        </w:rPr>
        <w:t> </w:t>
      </w:r>
      <w:r>
        <w:rPr>
          <w:rFonts w:ascii="Arial" w:hAnsi="Arial"/>
          <w:color w:val="231F20"/>
          <w:sz w:val="17"/>
        </w:rPr>
        <w:t>accidents</w:t>
      </w:r>
      <w:r>
        <w:rPr>
          <w:rFonts w:ascii="Arial" w:hAnsi="Arial"/>
          <w:color w:val="231F20"/>
          <w:spacing w:val="-3"/>
          <w:sz w:val="17"/>
        </w:rPr>
        <w:t> </w:t>
      </w:r>
      <w:r>
        <w:rPr>
          <w:rFonts w:ascii="Arial" w:hAnsi="Arial"/>
          <w:color w:val="231F20"/>
          <w:sz w:val="17"/>
        </w:rPr>
        <w:t>[de]</w:t>
      </w:r>
      <w:r>
        <w:rPr>
          <w:rFonts w:ascii="Arial" w:hAnsi="Arial"/>
          <w:color w:val="231F20"/>
          <w:spacing w:val="-2"/>
          <w:sz w:val="17"/>
        </w:rPr>
        <w:t> travail</w:t>
      </w:r>
    </w:p>
    <w:p>
      <w:pPr>
        <w:pStyle w:val="ListParagraph"/>
        <w:numPr>
          <w:ilvl w:val="3"/>
          <w:numId w:val="46"/>
        </w:numPr>
        <w:tabs>
          <w:tab w:pos="1730" w:val="left" w:leader="none"/>
        </w:tabs>
        <w:spacing w:line="240" w:lineRule="auto" w:before="55" w:after="0"/>
        <w:ind w:left="1730" w:right="0" w:hanging="251"/>
        <w:jc w:val="left"/>
        <w:rPr>
          <w:rFonts w:ascii="Arial" w:hAnsi="Arial"/>
          <w:sz w:val="17"/>
        </w:rPr>
      </w:pPr>
      <w:r>
        <w:rPr>
          <w:rFonts w:ascii="Arial" w:hAnsi="Arial"/>
          <w:color w:val="231F20"/>
          <w:w w:val="95"/>
          <w:sz w:val="17"/>
        </w:rPr>
        <w:t>La</w:t>
      </w:r>
      <w:r>
        <w:rPr>
          <w:rFonts w:ascii="Arial" w:hAnsi="Arial"/>
          <w:color w:val="231F20"/>
          <w:spacing w:val="-1"/>
          <w:w w:val="95"/>
          <w:sz w:val="17"/>
        </w:rPr>
        <w:t> </w:t>
      </w:r>
      <w:r>
        <w:rPr>
          <w:rFonts w:ascii="Arial" w:hAnsi="Arial"/>
          <w:color w:val="231F20"/>
          <w:w w:val="95"/>
          <w:sz w:val="17"/>
        </w:rPr>
        <w:t>baisse</w:t>
      </w:r>
      <w:r>
        <w:rPr>
          <w:rFonts w:ascii="Arial" w:hAnsi="Arial"/>
          <w:color w:val="231F20"/>
          <w:spacing w:val="-1"/>
          <w:w w:val="95"/>
          <w:sz w:val="17"/>
        </w:rPr>
        <w:t> </w:t>
      </w:r>
      <w:r>
        <w:rPr>
          <w:rFonts w:ascii="Arial" w:hAnsi="Arial"/>
          <w:color w:val="231F20"/>
          <w:w w:val="95"/>
          <w:sz w:val="17"/>
        </w:rPr>
        <w:t>de</w:t>
      </w:r>
      <w:r>
        <w:rPr>
          <w:rFonts w:ascii="Arial" w:hAnsi="Arial"/>
          <w:color w:val="231F20"/>
          <w:spacing w:val="-3"/>
          <w:sz w:val="17"/>
        </w:rPr>
        <w:t> </w:t>
      </w:r>
      <w:r>
        <w:rPr>
          <w:rFonts w:ascii="Arial" w:hAnsi="Arial"/>
          <w:color w:val="231F20"/>
          <w:w w:val="95"/>
          <w:sz w:val="17"/>
        </w:rPr>
        <w:t>la</w:t>
      </w:r>
      <w:r>
        <w:rPr>
          <w:rFonts w:ascii="Arial" w:hAnsi="Arial"/>
          <w:color w:val="231F20"/>
          <w:spacing w:val="-3"/>
          <w:sz w:val="17"/>
        </w:rPr>
        <w:t> </w:t>
      </w:r>
      <w:r>
        <w:rPr>
          <w:rFonts w:ascii="Arial" w:hAnsi="Arial"/>
          <w:color w:val="231F20"/>
          <w:spacing w:val="-2"/>
          <w:w w:val="95"/>
          <w:sz w:val="17"/>
        </w:rPr>
        <w:t>créativité</w:t>
      </w:r>
    </w:p>
    <w:p>
      <w:pPr>
        <w:pStyle w:val="ListParagraph"/>
        <w:numPr>
          <w:ilvl w:val="3"/>
          <w:numId w:val="46"/>
        </w:numPr>
        <w:tabs>
          <w:tab w:pos="1730" w:val="left" w:leader="none"/>
        </w:tabs>
        <w:spacing w:line="240" w:lineRule="auto" w:before="54" w:after="0"/>
        <w:ind w:left="1730" w:right="0" w:hanging="251"/>
        <w:jc w:val="left"/>
        <w:rPr>
          <w:rFonts w:ascii="Arial" w:hAnsi="Arial"/>
          <w:sz w:val="17"/>
        </w:rPr>
      </w:pPr>
      <w:r>
        <w:rPr>
          <w:rFonts w:ascii="Arial" w:hAnsi="Arial"/>
          <w:color w:val="231F20"/>
          <w:w w:val="95"/>
          <w:sz w:val="17"/>
        </w:rPr>
        <w:t>La</w:t>
      </w:r>
      <w:r>
        <w:rPr>
          <w:rFonts w:ascii="Arial" w:hAnsi="Arial"/>
          <w:color w:val="231F20"/>
          <w:spacing w:val="-1"/>
          <w:w w:val="95"/>
          <w:sz w:val="17"/>
        </w:rPr>
        <w:t> </w:t>
      </w:r>
      <w:r>
        <w:rPr>
          <w:rFonts w:ascii="Arial" w:hAnsi="Arial"/>
          <w:color w:val="231F20"/>
          <w:w w:val="95"/>
          <w:sz w:val="17"/>
        </w:rPr>
        <w:t>baisse</w:t>
      </w:r>
      <w:r>
        <w:rPr>
          <w:rFonts w:ascii="Arial" w:hAnsi="Arial"/>
          <w:color w:val="231F20"/>
          <w:spacing w:val="-1"/>
          <w:w w:val="95"/>
          <w:sz w:val="17"/>
        </w:rPr>
        <w:t> </w:t>
      </w:r>
      <w:r>
        <w:rPr>
          <w:rFonts w:ascii="Arial" w:hAnsi="Arial"/>
          <w:color w:val="231F20"/>
          <w:w w:val="95"/>
          <w:sz w:val="17"/>
        </w:rPr>
        <w:t>de</w:t>
      </w:r>
      <w:r>
        <w:rPr>
          <w:rFonts w:ascii="Arial" w:hAnsi="Arial"/>
          <w:color w:val="231F20"/>
          <w:spacing w:val="-3"/>
          <w:sz w:val="17"/>
        </w:rPr>
        <w:t> </w:t>
      </w:r>
      <w:r>
        <w:rPr>
          <w:rFonts w:ascii="Arial" w:hAnsi="Arial"/>
          <w:color w:val="231F20"/>
          <w:w w:val="95"/>
          <w:sz w:val="17"/>
        </w:rPr>
        <w:t>la</w:t>
      </w:r>
      <w:r>
        <w:rPr>
          <w:rFonts w:ascii="Arial" w:hAnsi="Arial"/>
          <w:color w:val="231F20"/>
          <w:spacing w:val="-3"/>
          <w:sz w:val="17"/>
        </w:rPr>
        <w:t> </w:t>
      </w:r>
      <w:r>
        <w:rPr>
          <w:rFonts w:ascii="Arial" w:hAnsi="Arial"/>
          <w:color w:val="231F20"/>
          <w:spacing w:val="-2"/>
          <w:w w:val="95"/>
          <w:sz w:val="17"/>
        </w:rPr>
        <w:t>productivité</w:t>
      </w:r>
    </w:p>
    <w:p>
      <w:pPr>
        <w:pStyle w:val="ListParagraph"/>
        <w:numPr>
          <w:ilvl w:val="3"/>
          <w:numId w:val="46"/>
        </w:numPr>
        <w:tabs>
          <w:tab w:pos="1730" w:val="left" w:leader="none"/>
        </w:tabs>
        <w:spacing w:line="240" w:lineRule="auto" w:before="55" w:after="0"/>
        <w:ind w:left="1730" w:right="0" w:hanging="251"/>
        <w:jc w:val="left"/>
        <w:rPr>
          <w:rFonts w:ascii="Arial" w:hAnsi="Arial"/>
          <w:sz w:val="17"/>
        </w:rPr>
      </w:pPr>
      <w:r>
        <w:rPr>
          <w:rFonts w:ascii="Arial" w:hAnsi="Arial"/>
          <w:color w:val="231F20"/>
          <w:sz w:val="17"/>
        </w:rPr>
        <w:t>La</w:t>
      </w:r>
      <w:r>
        <w:rPr>
          <w:rFonts w:ascii="Arial" w:hAnsi="Arial"/>
          <w:color w:val="231F20"/>
          <w:spacing w:val="-9"/>
          <w:sz w:val="17"/>
        </w:rPr>
        <w:t> </w:t>
      </w:r>
      <w:r>
        <w:rPr>
          <w:rFonts w:ascii="Arial" w:hAnsi="Arial"/>
          <w:color w:val="231F20"/>
          <w:sz w:val="17"/>
        </w:rPr>
        <w:t>dégradation</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l’ambiance</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pacing w:val="-2"/>
          <w:sz w:val="17"/>
        </w:rPr>
        <w:t>travail</w:t>
      </w:r>
    </w:p>
    <w:p>
      <w:pPr>
        <w:pStyle w:val="ListParagraph"/>
        <w:numPr>
          <w:ilvl w:val="3"/>
          <w:numId w:val="46"/>
        </w:numPr>
        <w:tabs>
          <w:tab w:pos="1730" w:val="left" w:leader="none"/>
        </w:tabs>
        <w:spacing w:line="240" w:lineRule="auto" w:before="54" w:after="0"/>
        <w:ind w:left="1730" w:right="0" w:hanging="251"/>
        <w:jc w:val="left"/>
        <w:rPr>
          <w:rFonts w:ascii="Arial" w:hAnsi="Arial"/>
          <w:sz w:val="17"/>
        </w:rPr>
      </w:pPr>
      <w:r>
        <w:rPr>
          <w:rFonts w:ascii="Arial" w:hAnsi="Arial"/>
          <w:color w:val="231F20"/>
          <w:sz w:val="17"/>
        </w:rPr>
        <w:t>La</w:t>
      </w:r>
      <w:r>
        <w:rPr>
          <w:rFonts w:ascii="Arial" w:hAnsi="Arial"/>
          <w:color w:val="231F20"/>
          <w:spacing w:val="-4"/>
          <w:sz w:val="17"/>
        </w:rPr>
        <w:t> </w:t>
      </w:r>
      <w:r>
        <w:rPr>
          <w:rFonts w:ascii="Arial" w:hAnsi="Arial"/>
          <w:color w:val="231F20"/>
          <w:sz w:val="17"/>
        </w:rPr>
        <w:t>dégradation</w:t>
      </w:r>
      <w:r>
        <w:rPr>
          <w:rFonts w:ascii="Arial" w:hAnsi="Arial"/>
          <w:color w:val="231F20"/>
          <w:spacing w:val="-4"/>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l’image</w:t>
      </w:r>
      <w:r>
        <w:rPr>
          <w:rFonts w:ascii="Arial" w:hAnsi="Arial"/>
          <w:color w:val="231F20"/>
          <w:spacing w:val="-4"/>
          <w:sz w:val="17"/>
        </w:rPr>
        <w:t> </w:t>
      </w:r>
      <w:r>
        <w:rPr>
          <w:rFonts w:ascii="Arial" w:hAnsi="Arial"/>
          <w:color w:val="231F20"/>
          <w:sz w:val="17"/>
        </w:rPr>
        <w:t>de</w:t>
      </w:r>
      <w:r>
        <w:rPr>
          <w:rFonts w:ascii="Arial" w:hAnsi="Arial"/>
          <w:color w:val="231F20"/>
          <w:spacing w:val="-3"/>
          <w:sz w:val="17"/>
        </w:rPr>
        <w:t> </w:t>
      </w:r>
      <w:r>
        <w:rPr>
          <w:rFonts w:ascii="Arial" w:hAnsi="Arial"/>
          <w:color w:val="231F20"/>
          <w:spacing w:val="-2"/>
          <w:sz w:val="17"/>
        </w:rPr>
        <w:t>l’entreprise</w:t>
      </w:r>
    </w:p>
    <w:p>
      <w:pPr>
        <w:pStyle w:val="BodyText"/>
        <w:spacing w:before="3"/>
        <w:rPr>
          <w:rFonts w:ascii="Arial"/>
          <w:sz w:val="9"/>
        </w:rPr>
      </w:pPr>
      <w:r>
        <w:rPr/>
        <w:pict>
          <v:shape style="position:absolute;margin-left:82pt;margin-top:6.563135pt;width:287.5pt;height:.1pt;mso-position-horizontal-relative:page;mso-position-vertical-relative:paragraph;z-index:-15668224;mso-wrap-distance-left:0;mso-wrap-distance-right:0" id="docshape760" coordorigin="1640,131" coordsize="5750,0" path="m1640,131l7390,131e" filled="false" stroked="true" strokeweight=".25pt" strokecolor="#231f20">
            <v:path arrowok="t"/>
            <v:stroke dashstyle="shortdot"/>
            <w10:wrap type="topAndBottom"/>
          </v:shape>
        </w:pict>
      </w:r>
    </w:p>
    <w:p>
      <w:pPr>
        <w:spacing w:line="295" w:lineRule="auto" w:before="137"/>
        <w:ind w:left="1219" w:right="357"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2"/>
          <w:sz w:val="12"/>
        </w:rPr>
        <w:t> </w:t>
      </w:r>
      <w:r>
        <w:rPr>
          <w:rFonts w:ascii="Arial" w:hAnsi="Arial"/>
          <w:color w:val="231F20"/>
          <w:sz w:val="12"/>
        </w:rPr>
        <w:t>Xavier</w:t>
      </w:r>
      <w:r>
        <w:rPr>
          <w:rFonts w:ascii="Arial" w:hAnsi="Arial"/>
          <w:color w:val="231F20"/>
          <w:spacing w:val="-8"/>
          <w:sz w:val="12"/>
        </w:rPr>
        <w:t> </w:t>
      </w:r>
      <w:r>
        <w:rPr>
          <w:rFonts w:ascii="Arial" w:hAnsi="Arial"/>
          <w:color w:val="231F20"/>
          <w:sz w:val="12"/>
        </w:rPr>
        <w:t>(2020).</w:t>
      </w:r>
      <w:r>
        <w:rPr>
          <w:rFonts w:ascii="Arial" w:hAnsi="Arial"/>
          <w:color w:val="231F20"/>
          <w:spacing w:val="-9"/>
          <w:sz w:val="12"/>
        </w:rPr>
        <w:t> </w:t>
      </w:r>
      <w:r>
        <w:rPr>
          <w:rFonts w:ascii="Arial" w:hAnsi="Arial"/>
          <w:color w:val="231F20"/>
          <w:sz w:val="12"/>
        </w:rPr>
        <w:t>Les</w:t>
      </w:r>
      <w:r>
        <w:rPr>
          <w:rFonts w:ascii="Arial" w:hAnsi="Arial"/>
          <w:color w:val="231F20"/>
          <w:spacing w:val="-8"/>
          <w:sz w:val="12"/>
        </w:rPr>
        <w:t> </w:t>
      </w:r>
      <w:r>
        <w:rPr>
          <w:rFonts w:ascii="Arial" w:hAnsi="Arial"/>
          <w:color w:val="231F20"/>
          <w:sz w:val="12"/>
        </w:rPr>
        <w:t>conséquences</w:t>
      </w:r>
      <w:r>
        <w:rPr>
          <w:rFonts w:ascii="Arial" w:hAnsi="Arial"/>
          <w:color w:val="231F20"/>
          <w:spacing w:val="-8"/>
          <w:sz w:val="12"/>
        </w:rPr>
        <w:t> </w:t>
      </w:r>
      <w:r>
        <w:rPr>
          <w:rFonts w:ascii="Arial" w:hAnsi="Arial"/>
          <w:color w:val="231F20"/>
          <w:sz w:val="12"/>
        </w:rPr>
        <w:t>du</w:t>
      </w:r>
      <w:r>
        <w:rPr>
          <w:rFonts w:ascii="Arial" w:hAnsi="Arial"/>
          <w:color w:val="231F20"/>
          <w:spacing w:val="-9"/>
          <w:sz w:val="12"/>
        </w:rPr>
        <w:t> </w:t>
      </w:r>
      <w:r>
        <w:rPr>
          <w:rFonts w:ascii="Arial" w:hAnsi="Arial"/>
          <w:color w:val="231F20"/>
          <w:sz w:val="12"/>
        </w:rPr>
        <w:t>stress</w:t>
      </w:r>
      <w:r>
        <w:rPr>
          <w:rFonts w:ascii="Arial" w:hAnsi="Arial"/>
          <w:color w:val="231F20"/>
          <w:spacing w:val="-8"/>
          <w:sz w:val="12"/>
        </w:rPr>
        <w:t> </w:t>
      </w:r>
      <w:r>
        <w:rPr>
          <w:rFonts w:ascii="Arial" w:hAnsi="Arial"/>
          <w:color w:val="231F20"/>
          <w:sz w:val="12"/>
        </w:rPr>
        <w:t>au</w:t>
      </w:r>
      <w:r>
        <w:rPr>
          <w:rFonts w:ascii="Arial" w:hAnsi="Arial"/>
          <w:color w:val="231F20"/>
          <w:spacing w:val="-8"/>
          <w:sz w:val="12"/>
        </w:rPr>
        <w:t> </w:t>
      </w:r>
      <w:r>
        <w:rPr>
          <w:rFonts w:ascii="Arial" w:hAnsi="Arial"/>
          <w:color w:val="231F20"/>
          <w:sz w:val="12"/>
        </w:rPr>
        <w:t>travail</w:t>
      </w:r>
      <w:r>
        <w:rPr>
          <w:rFonts w:ascii="Arial" w:hAnsi="Arial"/>
          <w:color w:val="231F20"/>
          <w:spacing w:val="-9"/>
          <w:sz w:val="12"/>
        </w:rPr>
        <w:t> </w:t>
      </w:r>
      <w:r>
        <w:rPr>
          <w:rFonts w:ascii="Arial" w:hAnsi="Arial"/>
          <w:color w:val="231F20"/>
          <w:sz w:val="12"/>
        </w:rPr>
        <w:t>pour</w:t>
      </w:r>
      <w:r>
        <w:rPr>
          <w:rFonts w:ascii="Arial" w:hAnsi="Arial"/>
          <w:color w:val="231F20"/>
          <w:spacing w:val="-8"/>
          <w:sz w:val="12"/>
        </w:rPr>
        <w:t> </w:t>
      </w:r>
      <w:r>
        <w:rPr>
          <w:rFonts w:ascii="Arial" w:hAnsi="Arial"/>
          <w:color w:val="231F20"/>
          <w:sz w:val="12"/>
        </w:rPr>
        <w:t>l’entreprise,</w:t>
      </w:r>
      <w:r>
        <w:rPr>
          <w:rFonts w:ascii="Arial" w:hAnsi="Arial"/>
          <w:color w:val="231F20"/>
          <w:spacing w:val="-8"/>
          <w:sz w:val="12"/>
        </w:rPr>
        <w:t> </w:t>
      </w:r>
      <w:r>
        <w:rPr>
          <w:rFonts w:ascii="Arial" w:hAnsi="Arial"/>
          <w:i/>
          <w:color w:val="231F20"/>
          <w:sz w:val="12"/>
        </w:rPr>
        <w:t>Stress.eu</w:t>
      </w:r>
      <w:r>
        <w:rPr>
          <w:rFonts w:ascii="Arial" w:hAnsi="Arial"/>
          <w:color w:val="231F20"/>
          <w:sz w:val="12"/>
        </w:rPr>
        <w:t>,</w:t>
      </w:r>
      <w:r>
        <w:rPr>
          <w:rFonts w:ascii="Arial" w:hAnsi="Arial"/>
          <w:color w:val="231F20"/>
          <w:spacing w:val="-9"/>
          <w:sz w:val="12"/>
        </w:rPr>
        <w:t> </w:t>
      </w:r>
      <w:r>
        <w:rPr>
          <w:rFonts w:ascii="Arial" w:hAnsi="Arial"/>
          <w:color w:val="231F20"/>
          <w:sz w:val="12"/>
        </w:rPr>
        <w:t>&lt;https://</w:t>
      </w:r>
      <w:hyperlink r:id="rId220">
        <w:r>
          <w:rPr>
            <w:rFonts w:ascii="Arial" w:hAnsi="Arial"/>
            <w:color w:val="231F20"/>
            <w:sz w:val="12"/>
          </w:rPr>
          <w:t>www.</w:t>
        </w:r>
      </w:hyperlink>
      <w:r>
        <w:rPr>
          <w:rFonts w:ascii="Arial" w:hAnsi="Arial"/>
          <w:color w:val="231F20"/>
          <w:spacing w:val="40"/>
          <w:sz w:val="12"/>
        </w:rPr>
        <w:t> </w:t>
      </w:r>
      <w:r>
        <w:rPr>
          <w:rFonts w:ascii="Arial" w:hAnsi="Arial"/>
          <w:color w:val="231F20"/>
          <w:spacing w:val="-2"/>
          <w:sz w:val="12"/>
        </w:rPr>
        <w:t>stress.eu.com/stress-au-travail/consequences-du-stress-au-travail/consequences-sur-le-fonctionnement-</w:t>
      </w:r>
      <w:r>
        <w:rPr>
          <w:rFonts w:ascii="Arial" w:hAnsi="Arial"/>
          <w:color w:val="231F20"/>
          <w:spacing w:val="40"/>
          <w:sz w:val="12"/>
        </w:rPr>
        <w:t> </w:t>
      </w:r>
      <w:r>
        <w:rPr>
          <w:rFonts w:ascii="Arial" w:hAnsi="Arial"/>
          <w:color w:val="231F20"/>
          <w:sz w:val="12"/>
        </w:rPr>
        <w:t>de-lentreprise/&gt;, consulté le 22 octobre 2021.</w:t>
      </w:r>
    </w:p>
    <w:p>
      <w:pPr>
        <w:pStyle w:val="BodyText"/>
        <w:rPr>
          <w:rFonts w:ascii="Arial"/>
          <w:sz w:val="16"/>
        </w:rPr>
      </w:pPr>
    </w:p>
    <w:p>
      <w:pPr>
        <w:pStyle w:val="BodyText"/>
        <w:spacing w:line="307" w:lineRule="auto" w:before="101"/>
        <w:ind w:left="1220" w:right="99"/>
        <w:jc w:val="both"/>
      </w:pPr>
      <w:r>
        <w:rPr>
          <w:color w:val="231F20"/>
          <w:w w:val="115"/>
        </w:rPr>
        <w:t>Dans les faits, ce sont les indicateurs psychologiques de performance qui </w:t>
      </w:r>
      <w:r>
        <w:rPr>
          <w:color w:val="231F20"/>
          <w:w w:val="120"/>
        </w:rPr>
        <w:t>seront</w:t>
      </w:r>
      <w:r>
        <w:rPr>
          <w:color w:val="231F20"/>
          <w:spacing w:val="-9"/>
          <w:w w:val="120"/>
        </w:rPr>
        <w:t> </w:t>
      </w:r>
      <w:r>
        <w:rPr>
          <w:color w:val="231F20"/>
          <w:w w:val="120"/>
        </w:rPr>
        <w:t>principalement</w:t>
      </w:r>
      <w:r>
        <w:rPr>
          <w:color w:val="231F20"/>
          <w:spacing w:val="-9"/>
          <w:w w:val="120"/>
        </w:rPr>
        <w:t> </w:t>
      </w:r>
      <w:r>
        <w:rPr>
          <w:color w:val="231F20"/>
          <w:w w:val="120"/>
        </w:rPr>
        <w:t>perturbés</w:t>
      </w:r>
      <w:r>
        <w:rPr>
          <w:color w:val="231F20"/>
          <w:spacing w:val="-9"/>
          <w:w w:val="120"/>
        </w:rPr>
        <w:t> </w:t>
      </w:r>
      <w:r>
        <w:rPr>
          <w:color w:val="231F20"/>
          <w:w w:val="120"/>
        </w:rPr>
        <w:t>par</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vécu</w:t>
      </w:r>
      <w:r>
        <w:rPr>
          <w:color w:val="231F20"/>
          <w:spacing w:val="-9"/>
          <w:w w:val="120"/>
        </w:rPr>
        <w:t> </w:t>
      </w:r>
      <w:r>
        <w:rPr>
          <w:color w:val="231F20"/>
          <w:w w:val="120"/>
        </w:rPr>
        <w:t>par</w:t>
      </w:r>
      <w:r>
        <w:rPr>
          <w:color w:val="231F20"/>
          <w:spacing w:val="-9"/>
          <w:w w:val="120"/>
        </w:rPr>
        <w:t> </w:t>
      </w:r>
      <w:r>
        <w:rPr>
          <w:color w:val="231F20"/>
          <w:w w:val="120"/>
        </w:rPr>
        <w:t>la</w:t>
      </w:r>
      <w:r>
        <w:rPr>
          <w:color w:val="231F20"/>
          <w:spacing w:val="-9"/>
          <w:w w:val="120"/>
        </w:rPr>
        <w:t> </w:t>
      </w:r>
      <w:r>
        <w:rPr>
          <w:color w:val="231F20"/>
          <w:w w:val="120"/>
        </w:rPr>
        <w:t>main-d’œuvre. Il</w:t>
      </w:r>
      <w:r>
        <w:rPr>
          <w:color w:val="231F20"/>
          <w:spacing w:val="40"/>
          <w:w w:val="120"/>
        </w:rPr>
        <w:t> </w:t>
      </w:r>
      <w:r>
        <w:rPr>
          <w:color w:val="231F20"/>
          <w:w w:val="120"/>
        </w:rPr>
        <w:t>est</w:t>
      </w:r>
      <w:r>
        <w:rPr>
          <w:color w:val="231F20"/>
          <w:spacing w:val="40"/>
          <w:w w:val="120"/>
        </w:rPr>
        <w:t> </w:t>
      </w:r>
      <w:r>
        <w:rPr>
          <w:color w:val="231F20"/>
          <w:w w:val="120"/>
        </w:rPr>
        <w:t>clair</w:t>
      </w:r>
      <w:r>
        <w:rPr>
          <w:color w:val="231F20"/>
          <w:spacing w:val="40"/>
          <w:w w:val="120"/>
        </w:rPr>
        <w:t> </w:t>
      </w:r>
      <w:r>
        <w:rPr>
          <w:color w:val="231F20"/>
          <w:w w:val="120"/>
        </w:rPr>
        <w:t>qu’une</w:t>
      </w:r>
      <w:r>
        <w:rPr>
          <w:color w:val="231F20"/>
          <w:spacing w:val="40"/>
          <w:w w:val="120"/>
        </w:rPr>
        <w:t> </w:t>
      </w:r>
      <w:r>
        <w:rPr>
          <w:color w:val="231F20"/>
          <w:w w:val="120"/>
        </w:rPr>
        <w:t>élévation</w:t>
      </w:r>
      <w:r>
        <w:rPr>
          <w:color w:val="231F20"/>
          <w:spacing w:val="40"/>
          <w:w w:val="120"/>
        </w:rPr>
        <w:t> </w:t>
      </w:r>
      <w:r>
        <w:rPr>
          <w:color w:val="231F20"/>
          <w:w w:val="120"/>
        </w:rPr>
        <w:t>du</w:t>
      </w:r>
      <w:r>
        <w:rPr>
          <w:color w:val="231F20"/>
          <w:spacing w:val="40"/>
          <w:w w:val="120"/>
        </w:rPr>
        <w:t> </w:t>
      </w:r>
      <w:r>
        <w:rPr>
          <w:color w:val="231F20"/>
          <w:w w:val="120"/>
        </w:rPr>
        <w:t>stress</w:t>
      </w:r>
      <w:r>
        <w:rPr>
          <w:color w:val="231F20"/>
          <w:spacing w:val="40"/>
          <w:w w:val="120"/>
        </w:rPr>
        <w:t> </w:t>
      </w:r>
      <w:r>
        <w:rPr>
          <w:color w:val="231F20"/>
          <w:w w:val="120"/>
        </w:rPr>
        <w:t>chez</w:t>
      </w:r>
      <w:r>
        <w:rPr>
          <w:color w:val="231F20"/>
          <w:spacing w:val="40"/>
          <w:w w:val="120"/>
        </w:rPr>
        <w:t> </w:t>
      </w:r>
      <w:r>
        <w:rPr>
          <w:color w:val="231F20"/>
          <w:w w:val="120"/>
        </w:rPr>
        <w:t>les</w:t>
      </w:r>
      <w:r>
        <w:rPr>
          <w:color w:val="231F20"/>
          <w:spacing w:val="40"/>
          <w:w w:val="120"/>
        </w:rPr>
        <w:t> </w:t>
      </w:r>
      <w:r>
        <w:rPr>
          <w:color w:val="231F20"/>
          <w:w w:val="120"/>
        </w:rPr>
        <w:t>employés</w:t>
      </w:r>
      <w:r>
        <w:rPr>
          <w:color w:val="231F20"/>
          <w:spacing w:val="40"/>
          <w:w w:val="120"/>
        </w:rPr>
        <w:t> </w:t>
      </w:r>
      <w:r>
        <w:rPr>
          <w:color w:val="231F20"/>
          <w:w w:val="120"/>
        </w:rPr>
        <w:t>aura</w:t>
      </w:r>
      <w:r>
        <w:rPr>
          <w:color w:val="231F20"/>
          <w:spacing w:val="40"/>
          <w:w w:val="120"/>
        </w:rPr>
        <w:t> </w:t>
      </w:r>
      <w:r>
        <w:rPr>
          <w:color w:val="231F20"/>
          <w:w w:val="120"/>
        </w:rPr>
        <w:t>une</w:t>
      </w:r>
    </w:p>
    <w:p>
      <w:pPr>
        <w:spacing w:after="0" w:line="307" w:lineRule="auto"/>
        <w:jc w:val="both"/>
        <w:sectPr>
          <w:footerReference w:type="default" r:id="rId21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2"/>
        <w:jc w:val="both"/>
      </w:pPr>
      <w:r>
        <w:rPr>
          <w:color w:val="231F20"/>
          <w:spacing w:val="-2"/>
          <w:w w:val="120"/>
        </w:rPr>
        <w:t>incidence,</w:t>
      </w:r>
      <w:r>
        <w:rPr>
          <w:color w:val="231F20"/>
          <w:spacing w:val="-6"/>
          <w:w w:val="120"/>
        </w:rPr>
        <w:t> </w:t>
      </w:r>
      <w:r>
        <w:rPr>
          <w:color w:val="231F20"/>
          <w:spacing w:val="-2"/>
          <w:w w:val="120"/>
        </w:rPr>
        <w:t>à</w:t>
      </w:r>
      <w:r>
        <w:rPr>
          <w:color w:val="231F20"/>
          <w:spacing w:val="-6"/>
          <w:w w:val="120"/>
        </w:rPr>
        <w:t> </w:t>
      </w:r>
      <w:r>
        <w:rPr>
          <w:color w:val="231F20"/>
          <w:spacing w:val="-2"/>
          <w:w w:val="120"/>
        </w:rPr>
        <w:t>titre</w:t>
      </w:r>
      <w:r>
        <w:rPr>
          <w:color w:val="231F20"/>
          <w:spacing w:val="-6"/>
          <w:w w:val="120"/>
        </w:rPr>
        <w:t> </w:t>
      </w:r>
      <w:r>
        <w:rPr>
          <w:color w:val="231F20"/>
          <w:spacing w:val="-2"/>
          <w:w w:val="120"/>
        </w:rPr>
        <w:t>d’exemples,</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satisfaction</w:t>
      </w:r>
      <w:r>
        <w:rPr>
          <w:color w:val="231F20"/>
          <w:spacing w:val="-6"/>
          <w:w w:val="120"/>
        </w:rPr>
        <w:t> </w:t>
      </w:r>
      <w:r>
        <w:rPr>
          <w:color w:val="231F20"/>
          <w:spacing w:val="-2"/>
          <w:w w:val="120"/>
        </w:rPr>
        <w:t>au</w:t>
      </w:r>
      <w:r>
        <w:rPr>
          <w:color w:val="231F20"/>
          <w:spacing w:val="-6"/>
          <w:w w:val="120"/>
        </w:rPr>
        <w:t> </w:t>
      </w:r>
      <w:r>
        <w:rPr>
          <w:color w:val="231F20"/>
          <w:spacing w:val="-2"/>
          <w:w w:val="120"/>
        </w:rPr>
        <w:t>travail,</w:t>
      </w:r>
      <w:r>
        <w:rPr>
          <w:color w:val="231F20"/>
          <w:spacing w:val="-6"/>
          <w:w w:val="120"/>
        </w:rPr>
        <w:t> </w:t>
      </w:r>
      <w:r>
        <w:rPr>
          <w:color w:val="231F20"/>
          <w:spacing w:val="-2"/>
          <w:w w:val="120"/>
        </w:rPr>
        <w:t>l’engagement </w:t>
      </w:r>
      <w:r>
        <w:rPr>
          <w:color w:val="231F20"/>
          <w:w w:val="120"/>
        </w:rPr>
        <w:t>organisationnel, l’adoption de comportements de citoyenneté organi- sationnelle,</w:t>
      </w:r>
      <w:r>
        <w:rPr>
          <w:color w:val="231F20"/>
          <w:spacing w:val="-9"/>
          <w:w w:val="120"/>
        </w:rPr>
        <w:t> </w:t>
      </w:r>
      <w:r>
        <w:rPr>
          <w:color w:val="231F20"/>
          <w:w w:val="120"/>
        </w:rPr>
        <w:t>le</w:t>
      </w:r>
      <w:r>
        <w:rPr>
          <w:color w:val="231F20"/>
          <w:spacing w:val="-9"/>
          <w:w w:val="120"/>
        </w:rPr>
        <w:t> </w:t>
      </w:r>
      <w:r>
        <w:rPr>
          <w:color w:val="231F20"/>
          <w:w w:val="120"/>
        </w:rPr>
        <w:t>présentéisme,</w:t>
      </w:r>
      <w:r>
        <w:rPr>
          <w:color w:val="231F20"/>
          <w:spacing w:val="-9"/>
          <w:w w:val="120"/>
        </w:rPr>
        <w:t> </w:t>
      </w:r>
      <w:r>
        <w:rPr>
          <w:color w:val="231F20"/>
          <w:w w:val="120"/>
        </w:rPr>
        <w:t>le</w:t>
      </w:r>
      <w:r>
        <w:rPr>
          <w:color w:val="231F20"/>
          <w:spacing w:val="-9"/>
          <w:w w:val="120"/>
        </w:rPr>
        <w:t> </w:t>
      </w:r>
      <w:r>
        <w:rPr>
          <w:color w:val="231F20"/>
          <w:w w:val="120"/>
        </w:rPr>
        <w:t>harcèlement</w:t>
      </w:r>
      <w:r>
        <w:rPr>
          <w:color w:val="231F20"/>
          <w:spacing w:val="-9"/>
          <w:w w:val="120"/>
        </w:rPr>
        <w:t> </w:t>
      </w:r>
      <w:r>
        <w:rPr>
          <w:color w:val="231F20"/>
          <w:w w:val="120"/>
        </w:rPr>
        <w:t>psychologique,</w:t>
      </w:r>
      <w:r>
        <w:rPr>
          <w:color w:val="231F20"/>
          <w:spacing w:val="-9"/>
          <w:w w:val="120"/>
        </w:rPr>
        <w:t> </w:t>
      </w:r>
      <w:r>
        <w:rPr>
          <w:color w:val="231F20"/>
          <w:w w:val="120"/>
        </w:rPr>
        <w:t>la</w:t>
      </w:r>
      <w:r>
        <w:rPr>
          <w:color w:val="231F20"/>
          <w:spacing w:val="-9"/>
          <w:w w:val="120"/>
        </w:rPr>
        <w:t> </w:t>
      </w:r>
      <w:r>
        <w:rPr>
          <w:color w:val="231F20"/>
          <w:w w:val="120"/>
        </w:rPr>
        <w:t>violence au travail, l’apparition de conflits interpersonnels et ultimement, sur l’intention</w:t>
      </w:r>
      <w:r>
        <w:rPr>
          <w:color w:val="231F20"/>
          <w:spacing w:val="-12"/>
          <w:w w:val="120"/>
        </w:rPr>
        <w:t> </w:t>
      </w:r>
      <w:r>
        <w:rPr>
          <w:color w:val="231F20"/>
          <w:w w:val="120"/>
        </w:rPr>
        <w:t>de</w:t>
      </w:r>
      <w:r>
        <w:rPr>
          <w:color w:val="231F20"/>
          <w:spacing w:val="-12"/>
          <w:w w:val="120"/>
        </w:rPr>
        <w:t> </w:t>
      </w:r>
      <w:r>
        <w:rPr>
          <w:color w:val="231F20"/>
          <w:w w:val="120"/>
        </w:rPr>
        <w:t>quitter</w:t>
      </w:r>
      <w:r>
        <w:rPr>
          <w:color w:val="231F20"/>
          <w:spacing w:val="-12"/>
          <w:w w:val="120"/>
        </w:rPr>
        <w:t> </w:t>
      </w:r>
      <w:r>
        <w:rPr>
          <w:color w:val="231F20"/>
          <w:w w:val="120"/>
        </w:rPr>
        <w:t>l’entreprise</w:t>
      </w:r>
      <w:r>
        <w:rPr>
          <w:color w:val="231F20"/>
          <w:spacing w:val="-12"/>
          <w:w w:val="120"/>
        </w:rPr>
        <w:t> </w:t>
      </w:r>
      <w:r>
        <w:rPr>
          <w:color w:val="231F20"/>
          <w:w w:val="120"/>
        </w:rPr>
        <w:t>pour</w:t>
      </w:r>
      <w:r>
        <w:rPr>
          <w:color w:val="231F20"/>
          <w:spacing w:val="-12"/>
          <w:w w:val="120"/>
        </w:rPr>
        <w:t> </w:t>
      </w:r>
      <w:r>
        <w:rPr>
          <w:color w:val="231F20"/>
          <w:w w:val="120"/>
        </w:rPr>
        <w:t>ceux</w:t>
      </w:r>
      <w:r>
        <w:rPr>
          <w:color w:val="231F20"/>
          <w:spacing w:val="-12"/>
          <w:w w:val="120"/>
        </w:rPr>
        <w:t> </w:t>
      </w:r>
      <w:r>
        <w:rPr>
          <w:color w:val="231F20"/>
          <w:w w:val="120"/>
        </w:rPr>
        <w:t>qui</w:t>
      </w:r>
      <w:r>
        <w:rPr>
          <w:color w:val="231F20"/>
          <w:spacing w:val="-12"/>
          <w:w w:val="120"/>
        </w:rPr>
        <w:t> </w:t>
      </w:r>
      <w:r>
        <w:rPr>
          <w:color w:val="231F20"/>
          <w:w w:val="120"/>
        </w:rPr>
        <w:t>peuvent</w:t>
      </w:r>
      <w:r>
        <w:rPr>
          <w:color w:val="231F20"/>
          <w:spacing w:val="-12"/>
          <w:w w:val="120"/>
        </w:rPr>
        <w:t> </w:t>
      </w:r>
      <w:r>
        <w:rPr>
          <w:color w:val="231F20"/>
          <w:w w:val="120"/>
        </w:rPr>
        <w:t>se</w:t>
      </w:r>
      <w:r>
        <w:rPr>
          <w:color w:val="231F20"/>
          <w:spacing w:val="-12"/>
          <w:w w:val="120"/>
        </w:rPr>
        <w:t> </w:t>
      </w:r>
      <w:r>
        <w:rPr>
          <w:color w:val="231F20"/>
          <w:w w:val="120"/>
        </w:rPr>
        <w:t>le</w:t>
      </w:r>
      <w:r>
        <w:rPr>
          <w:color w:val="231F20"/>
          <w:spacing w:val="-12"/>
          <w:w w:val="120"/>
        </w:rPr>
        <w:t> </w:t>
      </w:r>
      <w:r>
        <w:rPr>
          <w:color w:val="231F20"/>
          <w:w w:val="120"/>
        </w:rPr>
        <w:t>permettre, c’est-à-dire</w:t>
      </w:r>
      <w:r>
        <w:rPr>
          <w:color w:val="231F20"/>
          <w:spacing w:val="-1"/>
          <w:w w:val="120"/>
        </w:rPr>
        <w:t> </w:t>
      </w:r>
      <w:r>
        <w:rPr>
          <w:color w:val="231F20"/>
          <w:w w:val="120"/>
        </w:rPr>
        <w:t>pour</w:t>
      </w:r>
      <w:r>
        <w:rPr>
          <w:color w:val="231F20"/>
          <w:spacing w:val="-1"/>
          <w:w w:val="120"/>
        </w:rPr>
        <w:t> </w:t>
      </w:r>
      <w:r>
        <w:rPr>
          <w:color w:val="231F20"/>
          <w:w w:val="120"/>
        </w:rPr>
        <w:t>les</w:t>
      </w:r>
      <w:r>
        <w:rPr>
          <w:color w:val="231F20"/>
          <w:spacing w:val="-1"/>
          <w:w w:val="120"/>
        </w:rPr>
        <w:t> </w:t>
      </w:r>
      <w:r>
        <w:rPr>
          <w:color w:val="231F20"/>
          <w:w w:val="120"/>
        </w:rPr>
        <w:t>employés</w:t>
      </w:r>
      <w:r>
        <w:rPr>
          <w:color w:val="231F20"/>
          <w:spacing w:val="-1"/>
          <w:w w:val="120"/>
        </w:rPr>
        <w:t> </w:t>
      </w:r>
      <w:r>
        <w:rPr>
          <w:color w:val="231F20"/>
          <w:w w:val="120"/>
        </w:rPr>
        <w:t>les</w:t>
      </w:r>
      <w:r>
        <w:rPr>
          <w:color w:val="231F20"/>
          <w:spacing w:val="-1"/>
          <w:w w:val="120"/>
        </w:rPr>
        <w:t> </w:t>
      </w:r>
      <w:r>
        <w:rPr>
          <w:color w:val="231F20"/>
          <w:w w:val="120"/>
        </w:rPr>
        <w:t>plus</w:t>
      </w:r>
      <w:r>
        <w:rPr>
          <w:color w:val="231F20"/>
          <w:spacing w:val="-1"/>
          <w:w w:val="120"/>
        </w:rPr>
        <w:t> </w:t>
      </w:r>
      <w:r>
        <w:rPr>
          <w:color w:val="231F20"/>
          <w:w w:val="120"/>
        </w:rPr>
        <w:t>compétents18.</w:t>
      </w:r>
      <w:r>
        <w:rPr>
          <w:color w:val="231F20"/>
          <w:spacing w:val="-1"/>
          <w:w w:val="120"/>
        </w:rPr>
        <w:t> </w:t>
      </w:r>
      <w:r>
        <w:rPr>
          <w:color w:val="231F20"/>
          <w:w w:val="120"/>
        </w:rPr>
        <w:t>Bien</w:t>
      </w:r>
      <w:r>
        <w:rPr>
          <w:color w:val="231F20"/>
          <w:spacing w:val="-1"/>
          <w:w w:val="120"/>
        </w:rPr>
        <w:t> </w:t>
      </w:r>
      <w:r>
        <w:rPr>
          <w:color w:val="231F20"/>
          <w:w w:val="120"/>
        </w:rPr>
        <w:t>plus</w:t>
      </w:r>
      <w:r>
        <w:rPr>
          <w:color w:val="231F20"/>
          <w:spacing w:val="-1"/>
          <w:w w:val="120"/>
        </w:rPr>
        <w:t> </w:t>
      </w:r>
      <w:r>
        <w:rPr>
          <w:color w:val="231F20"/>
          <w:w w:val="120"/>
        </w:rPr>
        <w:t>qu’un simple déterminant des indicateurs psychologiques de rendement, le </w:t>
      </w:r>
      <w:r>
        <w:rPr>
          <w:color w:val="231F20"/>
          <w:spacing w:val="-2"/>
          <w:w w:val="120"/>
        </w:rPr>
        <w:t>stress</w:t>
      </w:r>
      <w:r>
        <w:rPr>
          <w:color w:val="231F20"/>
          <w:spacing w:val="-3"/>
          <w:w w:val="120"/>
        </w:rPr>
        <w:t> </w:t>
      </w:r>
      <w:r>
        <w:rPr>
          <w:color w:val="231F20"/>
          <w:spacing w:val="-2"/>
          <w:w w:val="120"/>
        </w:rPr>
        <w:t>possède</w:t>
      </w:r>
      <w:r>
        <w:rPr>
          <w:color w:val="231F20"/>
          <w:spacing w:val="-3"/>
          <w:w w:val="120"/>
        </w:rPr>
        <w:t> </w:t>
      </w:r>
      <w:r>
        <w:rPr>
          <w:color w:val="231F20"/>
          <w:spacing w:val="-2"/>
          <w:w w:val="120"/>
        </w:rPr>
        <w:t>la</w:t>
      </w:r>
      <w:r>
        <w:rPr>
          <w:color w:val="231F20"/>
          <w:spacing w:val="-3"/>
          <w:w w:val="120"/>
        </w:rPr>
        <w:t> </w:t>
      </w:r>
      <w:r>
        <w:rPr>
          <w:color w:val="231F20"/>
          <w:spacing w:val="-2"/>
          <w:w w:val="120"/>
        </w:rPr>
        <w:t>capacité</w:t>
      </w:r>
      <w:r>
        <w:rPr>
          <w:color w:val="231F20"/>
          <w:spacing w:val="-3"/>
          <w:w w:val="120"/>
        </w:rPr>
        <w:t> </w:t>
      </w:r>
      <w:r>
        <w:rPr>
          <w:color w:val="231F20"/>
          <w:spacing w:val="-2"/>
          <w:w w:val="120"/>
        </w:rPr>
        <w:t>d’inhiber</w:t>
      </w:r>
      <w:r>
        <w:rPr>
          <w:color w:val="231F20"/>
          <w:spacing w:val="-3"/>
          <w:w w:val="120"/>
        </w:rPr>
        <w:t> </w:t>
      </w:r>
      <w:r>
        <w:rPr>
          <w:color w:val="231F20"/>
          <w:spacing w:val="-2"/>
          <w:w w:val="120"/>
        </w:rPr>
        <w:t>l’effet</w:t>
      </w:r>
      <w:r>
        <w:rPr>
          <w:color w:val="231F20"/>
          <w:spacing w:val="-3"/>
          <w:w w:val="120"/>
        </w:rPr>
        <w:t> </w:t>
      </w:r>
      <w:r>
        <w:rPr>
          <w:color w:val="231F20"/>
          <w:spacing w:val="-2"/>
          <w:w w:val="120"/>
        </w:rPr>
        <w:t>positif</w:t>
      </w:r>
      <w:r>
        <w:rPr>
          <w:color w:val="231F20"/>
          <w:spacing w:val="-3"/>
          <w:w w:val="120"/>
        </w:rPr>
        <w:t> </w:t>
      </w:r>
      <w:r>
        <w:rPr>
          <w:color w:val="231F20"/>
          <w:spacing w:val="-2"/>
          <w:w w:val="120"/>
        </w:rPr>
        <w:t>d’autres</w:t>
      </w:r>
      <w:r>
        <w:rPr>
          <w:color w:val="231F20"/>
          <w:spacing w:val="-3"/>
          <w:w w:val="120"/>
        </w:rPr>
        <w:t> </w:t>
      </w:r>
      <w:r>
        <w:rPr>
          <w:color w:val="231F20"/>
          <w:spacing w:val="-2"/>
          <w:w w:val="120"/>
        </w:rPr>
        <w:t>facteurs</w:t>
      </w:r>
      <w:r>
        <w:rPr>
          <w:color w:val="231F20"/>
          <w:spacing w:val="-3"/>
          <w:w w:val="120"/>
        </w:rPr>
        <w:t> </w:t>
      </w:r>
      <w:r>
        <w:rPr>
          <w:color w:val="231F20"/>
          <w:spacing w:val="-2"/>
          <w:w w:val="120"/>
        </w:rPr>
        <w:t>orga- </w:t>
      </w:r>
      <w:r>
        <w:rPr>
          <w:color w:val="231F20"/>
          <w:w w:val="120"/>
        </w:rPr>
        <w:t>nisationnels.</w:t>
      </w:r>
      <w:r>
        <w:rPr>
          <w:color w:val="231F20"/>
          <w:spacing w:val="-15"/>
          <w:w w:val="120"/>
        </w:rPr>
        <w:t> </w:t>
      </w:r>
      <w:r>
        <w:rPr>
          <w:color w:val="231F20"/>
          <w:w w:val="120"/>
        </w:rPr>
        <w:t>Ainsi,</w:t>
      </w:r>
      <w:r>
        <w:rPr>
          <w:color w:val="231F20"/>
          <w:spacing w:val="-13"/>
          <w:w w:val="120"/>
        </w:rPr>
        <w:t> </w:t>
      </w:r>
      <w:r>
        <w:rPr>
          <w:color w:val="231F20"/>
          <w:w w:val="120"/>
        </w:rPr>
        <w:t>même</w:t>
      </w:r>
      <w:r>
        <w:rPr>
          <w:color w:val="231F20"/>
          <w:spacing w:val="-13"/>
          <w:w w:val="120"/>
        </w:rPr>
        <w:t> </w:t>
      </w:r>
      <w:r>
        <w:rPr>
          <w:color w:val="231F20"/>
          <w:w w:val="120"/>
        </w:rPr>
        <w:t>si</w:t>
      </w:r>
      <w:r>
        <w:rPr>
          <w:color w:val="231F20"/>
          <w:spacing w:val="-12"/>
          <w:w w:val="120"/>
        </w:rPr>
        <w:t> </w:t>
      </w:r>
      <w:r>
        <w:rPr>
          <w:color w:val="231F20"/>
          <w:w w:val="120"/>
        </w:rPr>
        <w:t>un</w:t>
      </w:r>
      <w:r>
        <w:rPr>
          <w:color w:val="231F20"/>
          <w:spacing w:val="-13"/>
          <w:w w:val="120"/>
        </w:rPr>
        <w:t> </w:t>
      </w:r>
      <w:r>
        <w:rPr>
          <w:color w:val="231F20"/>
          <w:w w:val="120"/>
        </w:rPr>
        <w:t>travailleur</w:t>
      </w:r>
      <w:r>
        <w:rPr>
          <w:color w:val="231F20"/>
          <w:spacing w:val="-13"/>
          <w:w w:val="120"/>
        </w:rPr>
        <w:t> </w:t>
      </w:r>
      <w:r>
        <w:rPr>
          <w:color w:val="231F20"/>
          <w:w w:val="120"/>
        </w:rPr>
        <w:t>possède</w:t>
      </w:r>
      <w:r>
        <w:rPr>
          <w:color w:val="231F20"/>
          <w:spacing w:val="-13"/>
          <w:w w:val="120"/>
        </w:rPr>
        <w:t> </w:t>
      </w:r>
      <w:r>
        <w:rPr>
          <w:color w:val="231F20"/>
          <w:w w:val="120"/>
        </w:rPr>
        <w:t>d’excellentes</w:t>
      </w:r>
      <w:r>
        <w:rPr>
          <w:color w:val="231F20"/>
          <w:spacing w:val="-12"/>
          <w:w w:val="120"/>
        </w:rPr>
        <w:t> </w:t>
      </w:r>
      <w:r>
        <w:rPr>
          <w:color w:val="231F20"/>
          <w:w w:val="120"/>
        </w:rPr>
        <w:t>condi- </w:t>
      </w:r>
      <w:r>
        <w:rPr>
          <w:color w:val="231F20"/>
          <w:spacing w:val="-2"/>
          <w:w w:val="120"/>
        </w:rPr>
        <w:t>tions</w:t>
      </w:r>
      <w:r>
        <w:rPr>
          <w:color w:val="231F20"/>
          <w:spacing w:val="-6"/>
          <w:w w:val="120"/>
        </w:rPr>
        <w:t> </w:t>
      </w:r>
      <w:r>
        <w:rPr>
          <w:color w:val="231F20"/>
          <w:spacing w:val="-2"/>
          <w:w w:val="120"/>
        </w:rPr>
        <w:t>de</w:t>
      </w:r>
      <w:r>
        <w:rPr>
          <w:color w:val="231F20"/>
          <w:spacing w:val="-6"/>
          <w:w w:val="120"/>
        </w:rPr>
        <w:t> </w:t>
      </w:r>
      <w:r>
        <w:rPr>
          <w:color w:val="231F20"/>
          <w:spacing w:val="-2"/>
          <w:w w:val="120"/>
        </w:rPr>
        <w:t>travail</w:t>
      </w:r>
      <w:r>
        <w:rPr>
          <w:color w:val="231F20"/>
          <w:spacing w:val="-6"/>
          <w:w w:val="120"/>
        </w:rPr>
        <w:t> </w:t>
      </w:r>
      <w:r>
        <w:rPr>
          <w:color w:val="231F20"/>
          <w:spacing w:val="-2"/>
          <w:w w:val="120"/>
        </w:rPr>
        <w:t>l’amenant</w:t>
      </w:r>
      <w:r>
        <w:rPr>
          <w:color w:val="231F20"/>
          <w:spacing w:val="-6"/>
          <w:w w:val="120"/>
        </w:rPr>
        <w:t> </w:t>
      </w:r>
      <w:r>
        <w:rPr>
          <w:color w:val="231F20"/>
          <w:spacing w:val="-2"/>
          <w:w w:val="120"/>
        </w:rPr>
        <w:t>à</w:t>
      </w:r>
      <w:r>
        <w:rPr>
          <w:color w:val="231F20"/>
          <w:spacing w:val="-6"/>
          <w:w w:val="120"/>
        </w:rPr>
        <w:t> </w:t>
      </w:r>
      <w:r>
        <w:rPr>
          <w:color w:val="231F20"/>
          <w:spacing w:val="-2"/>
          <w:w w:val="120"/>
        </w:rPr>
        <w:t>ressentir</w:t>
      </w:r>
      <w:r>
        <w:rPr>
          <w:color w:val="231F20"/>
          <w:spacing w:val="-6"/>
          <w:w w:val="120"/>
        </w:rPr>
        <w:t> </w:t>
      </w:r>
      <w:r>
        <w:rPr>
          <w:color w:val="231F20"/>
          <w:spacing w:val="-2"/>
          <w:w w:val="120"/>
        </w:rPr>
        <w:t>une</w:t>
      </w:r>
      <w:r>
        <w:rPr>
          <w:color w:val="231F20"/>
          <w:spacing w:val="-6"/>
          <w:w w:val="120"/>
        </w:rPr>
        <w:t> </w:t>
      </w:r>
      <w:r>
        <w:rPr>
          <w:color w:val="231F20"/>
          <w:spacing w:val="-2"/>
          <w:w w:val="120"/>
        </w:rPr>
        <w:t>grande</w:t>
      </w:r>
      <w:r>
        <w:rPr>
          <w:color w:val="231F20"/>
          <w:spacing w:val="-6"/>
          <w:w w:val="120"/>
        </w:rPr>
        <w:t> </w:t>
      </w:r>
      <w:r>
        <w:rPr>
          <w:color w:val="231F20"/>
          <w:spacing w:val="-2"/>
          <w:w w:val="120"/>
        </w:rPr>
        <w:t>satisfaction</w:t>
      </w:r>
      <w:r>
        <w:rPr>
          <w:color w:val="231F20"/>
          <w:spacing w:val="-6"/>
          <w:w w:val="120"/>
        </w:rPr>
        <w:t> </w:t>
      </w:r>
      <w:r>
        <w:rPr>
          <w:color w:val="231F20"/>
          <w:spacing w:val="-2"/>
          <w:w w:val="120"/>
        </w:rPr>
        <w:t>à</w:t>
      </w:r>
      <w:r>
        <w:rPr>
          <w:color w:val="231F20"/>
          <w:spacing w:val="-6"/>
          <w:w w:val="120"/>
        </w:rPr>
        <w:t> </w:t>
      </w:r>
      <w:r>
        <w:rPr>
          <w:color w:val="231F20"/>
          <w:spacing w:val="-2"/>
          <w:w w:val="120"/>
        </w:rPr>
        <w:t>l’égard</w:t>
      </w:r>
      <w:r>
        <w:rPr>
          <w:color w:val="231F20"/>
          <w:spacing w:val="-6"/>
          <w:w w:val="120"/>
        </w:rPr>
        <w:t> </w:t>
      </w:r>
      <w:r>
        <w:rPr>
          <w:color w:val="231F20"/>
          <w:spacing w:val="-2"/>
          <w:w w:val="120"/>
        </w:rPr>
        <w:t>de </w:t>
      </w:r>
      <w:r>
        <w:rPr>
          <w:color w:val="231F20"/>
          <w:w w:val="115"/>
        </w:rPr>
        <w:t>son</w:t>
      </w:r>
      <w:r>
        <w:rPr>
          <w:color w:val="231F20"/>
          <w:spacing w:val="-5"/>
          <w:w w:val="115"/>
        </w:rPr>
        <w:t> </w:t>
      </w:r>
      <w:r>
        <w:rPr>
          <w:color w:val="231F20"/>
          <w:w w:val="115"/>
        </w:rPr>
        <w:t>emploi,</w:t>
      </w:r>
      <w:r>
        <w:rPr>
          <w:color w:val="231F20"/>
          <w:spacing w:val="-5"/>
          <w:w w:val="115"/>
        </w:rPr>
        <w:t> </w:t>
      </w:r>
      <w:r>
        <w:rPr>
          <w:color w:val="231F20"/>
          <w:w w:val="115"/>
        </w:rPr>
        <w:t>un</w:t>
      </w:r>
      <w:r>
        <w:rPr>
          <w:color w:val="231F20"/>
          <w:spacing w:val="-5"/>
          <w:w w:val="115"/>
        </w:rPr>
        <w:t> </w:t>
      </w:r>
      <w:r>
        <w:rPr>
          <w:color w:val="231F20"/>
          <w:w w:val="115"/>
        </w:rPr>
        <w:t>haut</w:t>
      </w:r>
      <w:r>
        <w:rPr>
          <w:color w:val="231F20"/>
          <w:spacing w:val="-5"/>
          <w:w w:val="115"/>
        </w:rPr>
        <w:t> </w:t>
      </w:r>
      <w:r>
        <w:rPr>
          <w:color w:val="231F20"/>
          <w:w w:val="115"/>
        </w:rPr>
        <w:t>niveau</w:t>
      </w:r>
      <w:r>
        <w:rPr>
          <w:color w:val="231F20"/>
          <w:spacing w:val="-5"/>
          <w:w w:val="115"/>
        </w:rPr>
        <w:t> </w:t>
      </w:r>
      <w:r>
        <w:rPr>
          <w:color w:val="231F20"/>
          <w:w w:val="115"/>
        </w:rPr>
        <w:t>de</w:t>
      </w:r>
      <w:r>
        <w:rPr>
          <w:color w:val="231F20"/>
          <w:spacing w:val="-5"/>
          <w:w w:val="115"/>
        </w:rPr>
        <w:t> </w:t>
      </w:r>
      <w:r>
        <w:rPr>
          <w:color w:val="231F20"/>
          <w:w w:val="115"/>
        </w:rPr>
        <w:t>stress</w:t>
      </w:r>
      <w:r>
        <w:rPr>
          <w:color w:val="231F20"/>
          <w:spacing w:val="-5"/>
          <w:w w:val="115"/>
        </w:rPr>
        <w:t> </w:t>
      </w:r>
      <w:r>
        <w:rPr>
          <w:color w:val="231F20"/>
          <w:w w:val="115"/>
        </w:rPr>
        <w:t>chez</w:t>
      </w:r>
      <w:r>
        <w:rPr>
          <w:color w:val="231F20"/>
          <w:spacing w:val="-5"/>
          <w:w w:val="115"/>
        </w:rPr>
        <w:t> </w:t>
      </w:r>
      <w:r>
        <w:rPr>
          <w:color w:val="231F20"/>
          <w:w w:val="115"/>
        </w:rPr>
        <w:t>ce</w:t>
      </w:r>
      <w:r>
        <w:rPr>
          <w:color w:val="231F20"/>
          <w:spacing w:val="-5"/>
          <w:w w:val="115"/>
        </w:rPr>
        <w:t> </w:t>
      </w:r>
      <w:r>
        <w:rPr>
          <w:color w:val="231F20"/>
          <w:w w:val="115"/>
        </w:rPr>
        <w:t>dernier</w:t>
      </w:r>
      <w:r>
        <w:rPr>
          <w:color w:val="231F20"/>
          <w:spacing w:val="-5"/>
          <w:w w:val="115"/>
        </w:rPr>
        <w:t> </w:t>
      </w:r>
      <w:r>
        <w:rPr>
          <w:color w:val="231F20"/>
          <w:w w:val="115"/>
        </w:rPr>
        <w:t>limitera</w:t>
      </w:r>
      <w:r>
        <w:rPr>
          <w:color w:val="231F20"/>
          <w:spacing w:val="-5"/>
          <w:w w:val="115"/>
        </w:rPr>
        <w:t> </w:t>
      </w:r>
      <w:r>
        <w:rPr>
          <w:color w:val="231F20"/>
          <w:w w:val="115"/>
        </w:rPr>
        <w:t>l’effet</w:t>
      </w:r>
      <w:r>
        <w:rPr>
          <w:color w:val="231F20"/>
          <w:spacing w:val="-5"/>
          <w:w w:val="115"/>
        </w:rPr>
        <w:t> </w:t>
      </w:r>
      <w:r>
        <w:rPr>
          <w:color w:val="231F20"/>
          <w:w w:val="115"/>
        </w:rPr>
        <w:t>de</w:t>
      </w:r>
      <w:r>
        <w:rPr>
          <w:color w:val="231F20"/>
          <w:spacing w:val="-5"/>
          <w:w w:val="115"/>
        </w:rPr>
        <w:t> </w:t>
      </w:r>
      <w:r>
        <w:rPr>
          <w:color w:val="231F20"/>
          <w:w w:val="115"/>
        </w:rPr>
        <w:t>ces </w:t>
      </w:r>
      <w:r>
        <w:rPr>
          <w:color w:val="231F20"/>
          <w:w w:val="120"/>
        </w:rPr>
        <w:t>conditions</w:t>
      </w:r>
      <w:r>
        <w:rPr>
          <w:color w:val="231F20"/>
          <w:spacing w:val="-6"/>
          <w:w w:val="120"/>
        </w:rPr>
        <w:t> </w:t>
      </w:r>
      <w:r>
        <w:rPr>
          <w:color w:val="231F20"/>
          <w:w w:val="120"/>
        </w:rPr>
        <w:t>et</w:t>
      </w:r>
      <w:r>
        <w:rPr>
          <w:color w:val="231F20"/>
          <w:spacing w:val="-6"/>
          <w:w w:val="120"/>
        </w:rPr>
        <w:t> </w:t>
      </w:r>
      <w:r>
        <w:rPr>
          <w:color w:val="231F20"/>
          <w:w w:val="120"/>
        </w:rPr>
        <w:t>pourra</w:t>
      </w:r>
      <w:r>
        <w:rPr>
          <w:color w:val="231F20"/>
          <w:spacing w:val="-6"/>
          <w:w w:val="120"/>
        </w:rPr>
        <w:t> </w:t>
      </w:r>
      <w:r>
        <w:rPr>
          <w:color w:val="231F20"/>
          <w:w w:val="120"/>
        </w:rPr>
        <w:t>générer</w:t>
      </w:r>
      <w:r>
        <w:rPr>
          <w:color w:val="231F20"/>
          <w:spacing w:val="-6"/>
          <w:w w:val="120"/>
        </w:rPr>
        <w:t> </w:t>
      </w:r>
      <w:r>
        <w:rPr>
          <w:color w:val="231F20"/>
          <w:w w:val="120"/>
        </w:rPr>
        <w:t>un</w:t>
      </w:r>
      <w:r>
        <w:rPr>
          <w:color w:val="231F20"/>
          <w:spacing w:val="-6"/>
          <w:w w:val="120"/>
        </w:rPr>
        <w:t> </w:t>
      </w:r>
      <w:r>
        <w:rPr>
          <w:color w:val="231F20"/>
          <w:w w:val="120"/>
        </w:rPr>
        <w:t>état</w:t>
      </w:r>
      <w:r>
        <w:rPr>
          <w:color w:val="231F20"/>
          <w:spacing w:val="-6"/>
          <w:w w:val="120"/>
        </w:rPr>
        <w:t> </w:t>
      </w:r>
      <w:r>
        <w:rPr>
          <w:color w:val="231F20"/>
          <w:w w:val="120"/>
        </w:rPr>
        <w:t>d’insatisfaction</w:t>
      </w:r>
      <w:r>
        <w:rPr>
          <w:color w:val="231F20"/>
          <w:spacing w:val="-6"/>
          <w:w w:val="120"/>
        </w:rPr>
        <w:t> </w:t>
      </w:r>
      <w:r>
        <w:rPr>
          <w:color w:val="231F20"/>
          <w:w w:val="120"/>
        </w:rPr>
        <w:t>chez</w:t>
      </w:r>
      <w:r>
        <w:rPr>
          <w:color w:val="231F20"/>
          <w:spacing w:val="-6"/>
          <w:w w:val="120"/>
        </w:rPr>
        <w:t> </w:t>
      </w:r>
      <w:r>
        <w:rPr>
          <w:color w:val="231F20"/>
          <w:w w:val="120"/>
        </w:rPr>
        <w:t>le</w:t>
      </w:r>
      <w:r>
        <w:rPr>
          <w:color w:val="231F20"/>
          <w:spacing w:val="-6"/>
          <w:w w:val="120"/>
        </w:rPr>
        <w:t> </w:t>
      </w:r>
      <w:r>
        <w:rPr>
          <w:color w:val="231F20"/>
          <w:w w:val="120"/>
        </w:rPr>
        <w:t>travailleur. En</w:t>
      </w:r>
      <w:r>
        <w:rPr>
          <w:color w:val="231F20"/>
          <w:spacing w:val="-4"/>
          <w:w w:val="120"/>
        </w:rPr>
        <w:t> </w:t>
      </w:r>
      <w:r>
        <w:rPr>
          <w:color w:val="231F20"/>
          <w:w w:val="120"/>
        </w:rPr>
        <w:t>fait,</w:t>
      </w:r>
      <w:r>
        <w:rPr>
          <w:color w:val="231F20"/>
          <w:spacing w:val="-4"/>
          <w:w w:val="120"/>
        </w:rPr>
        <w:t> </w:t>
      </w:r>
      <w:r>
        <w:rPr>
          <w:color w:val="231F20"/>
          <w:w w:val="120"/>
        </w:rPr>
        <w:t>un</w:t>
      </w:r>
      <w:r>
        <w:rPr>
          <w:color w:val="231F20"/>
          <w:spacing w:val="-4"/>
          <w:w w:val="120"/>
        </w:rPr>
        <w:t> </w:t>
      </w:r>
      <w:r>
        <w:rPr>
          <w:color w:val="231F20"/>
          <w:w w:val="120"/>
        </w:rPr>
        <w:t>seul</w:t>
      </w:r>
      <w:r>
        <w:rPr>
          <w:color w:val="231F20"/>
          <w:spacing w:val="-4"/>
          <w:w w:val="120"/>
        </w:rPr>
        <w:t> </w:t>
      </w:r>
      <w:r>
        <w:rPr>
          <w:color w:val="231F20"/>
          <w:w w:val="120"/>
        </w:rPr>
        <w:t>facteur</w:t>
      </w:r>
      <w:r>
        <w:rPr>
          <w:color w:val="231F20"/>
          <w:spacing w:val="-4"/>
          <w:w w:val="120"/>
        </w:rPr>
        <w:t> </w:t>
      </w:r>
      <w:r>
        <w:rPr>
          <w:color w:val="231F20"/>
          <w:w w:val="120"/>
        </w:rPr>
        <w:t>de</w:t>
      </w:r>
      <w:r>
        <w:rPr>
          <w:color w:val="231F20"/>
          <w:spacing w:val="-4"/>
          <w:w w:val="120"/>
        </w:rPr>
        <w:t> </w:t>
      </w:r>
      <w:r>
        <w:rPr>
          <w:color w:val="231F20"/>
          <w:w w:val="120"/>
        </w:rPr>
        <w:t>stress</w:t>
      </w:r>
      <w:r>
        <w:rPr>
          <w:color w:val="231F20"/>
          <w:spacing w:val="-4"/>
          <w:w w:val="120"/>
        </w:rPr>
        <w:t> </w:t>
      </w:r>
      <w:r>
        <w:rPr>
          <w:color w:val="231F20"/>
          <w:w w:val="120"/>
        </w:rPr>
        <w:t>peut</w:t>
      </w:r>
      <w:r>
        <w:rPr>
          <w:color w:val="231F20"/>
          <w:spacing w:val="-4"/>
          <w:w w:val="120"/>
        </w:rPr>
        <w:t> </w:t>
      </w:r>
      <w:r>
        <w:rPr>
          <w:color w:val="231F20"/>
          <w:w w:val="120"/>
        </w:rPr>
        <w:t>venir</w:t>
      </w:r>
      <w:r>
        <w:rPr>
          <w:color w:val="231F20"/>
          <w:spacing w:val="-4"/>
          <w:w w:val="120"/>
        </w:rPr>
        <w:t> </w:t>
      </w:r>
      <w:r>
        <w:rPr>
          <w:color w:val="231F20"/>
          <w:w w:val="120"/>
        </w:rPr>
        <w:t>contrecarrer</w:t>
      </w:r>
      <w:r>
        <w:rPr>
          <w:color w:val="231F20"/>
          <w:spacing w:val="-4"/>
          <w:w w:val="120"/>
        </w:rPr>
        <w:t> </w:t>
      </w:r>
      <w:r>
        <w:rPr>
          <w:color w:val="231F20"/>
          <w:w w:val="120"/>
        </w:rPr>
        <w:t>tous</w:t>
      </w:r>
      <w:r>
        <w:rPr>
          <w:color w:val="231F20"/>
          <w:spacing w:val="-4"/>
          <w:w w:val="120"/>
        </w:rPr>
        <w:t> </w:t>
      </w:r>
      <w:r>
        <w:rPr>
          <w:color w:val="231F20"/>
          <w:w w:val="120"/>
        </w:rPr>
        <w:t>les</w:t>
      </w:r>
      <w:r>
        <w:rPr>
          <w:color w:val="231F20"/>
          <w:spacing w:val="-4"/>
          <w:w w:val="120"/>
        </w:rPr>
        <w:t> </w:t>
      </w:r>
      <w:r>
        <w:rPr>
          <w:color w:val="231F20"/>
          <w:w w:val="120"/>
        </w:rPr>
        <w:t>efforts </w:t>
      </w:r>
      <w:r>
        <w:rPr>
          <w:color w:val="231F20"/>
          <w:spacing w:val="-2"/>
          <w:w w:val="120"/>
        </w:rPr>
        <w:t>et</w:t>
      </w:r>
      <w:r>
        <w:rPr>
          <w:color w:val="231F20"/>
          <w:spacing w:val="-3"/>
          <w:w w:val="120"/>
        </w:rPr>
        <w:t> </w:t>
      </w:r>
      <w:r>
        <w:rPr>
          <w:color w:val="231F20"/>
          <w:spacing w:val="-2"/>
          <w:w w:val="120"/>
        </w:rPr>
        <w:t>les</w:t>
      </w:r>
      <w:r>
        <w:rPr>
          <w:color w:val="231F20"/>
          <w:spacing w:val="-3"/>
          <w:w w:val="120"/>
        </w:rPr>
        <w:t> </w:t>
      </w:r>
      <w:r>
        <w:rPr>
          <w:color w:val="231F20"/>
          <w:spacing w:val="-2"/>
          <w:w w:val="120"/>
        </w:rPr>
        <w:t>investissements</w:t>
      </w:r>
      <w:r>
        <w:rPr>
          <w:color w:val="231F20"/>
          <w:spacing w:val="-3"/>
          <w:w w:val="120"/>
        </w:rPr>
        <w:t> </w:t>
      </w:r>
      <w:r>
        <w:rPr>
          <w:color w:val="231F20"/>
          <w:spacing w:val="-2"/>
          <w:w w:val="120"/>
        </w:rPr>
        <w:t>de</w:t>
      </w:r>
      <w:r>
        <w:rPr>
          <w:color w:val="231F20"/>
          <w:spacing w:val="-3"/>
          <w:w w:val="120"/>
        </w:rPr>
        <w:t> </w:t>
      </w:r>
      <w:r>
        <w:rPr>
          <w:color w:val="231F20"/>
          <w:spacing w:val="-2"/>
          <w:w w:val="120"/>
        </w:rPr>
        <w:t>l’entreprise</w:t>
      </w:r>
      <w:r>
        <w:rPr>
          <w:color w:val="231F20"/>
          <w:spacing w:val="-3"/>
          <w:w w:val="120"/>
        </w:rPr>
        <w:t> </w:t>
      </w:r>
      <w:r>
        <w:rPr>
          <w:color w:val="231F20"/>
          <w:spacing w:val="-2"/>
          <w:w w:val="120"/>
        </w:rPr>
        <w:t>afin</w:t>
      </w:r>
      <w:r>
        <w:rPr>
          <w:color w:val="231F20"/>
          <w:spacing w:val="-3"/>
          <w:w w:val="120"/>
        </w:rPr>
        <w:t> </w:t>
      </w:r>
      <w:r>
        <w:rPr>
          <w:color w:val="231F20"/>
          <w:spacing w:val="-2"/>
          <w:w w:val="120"/>
        </w:rPr>
        <w:t>d’améliorer</w:t>
      </w:r>
      <w:r>
        <w:rPr>
          <w:color w:val="231F20"/>
          <w:spacing w:val="-3"/>
          <w:w w:val="120"/>
        </w:rPr>
        <w:t> </w:t>
      </w:r>
      <w:r>
        <w:rPr>
          <w:color w:val="231F20"/>
          <w:spacing w:val="-2"/>
          <w:w w:val="120"/>
        </w:rPr>
        <w:t>la</w:t>
      </w:r>
      <w:r>
        <w:rPr>
          <w:color w:val="231F20"/>
          <w:spacing w:val="-3"/>
          <w:w w:val="120"/>
        </w:rPr>
        <w:t> </w:t>
      </w:r>
      <w:r>
        <w:rPr>
          <w:color w:val="231F20"/>
          <w:spacing w:val="-2"/>
          <w:w w:val="120"/>
        </w:rPr>
        <w:t>santé</w:t>
      </w:r>
      <w:r>
        <w:rPr>
          <w:color w:val="231F20"/>
          <w:spacing w:val="-3"/>
          <w:w w:val="120"/>
        </w:rPr>
        <w:t> </w:t>
      </w:r>
      <w:r>
        <w:rPr>
          <w:color w:val="231F20"/>
          <w:spacing w:val="-2"/>
          <w:w w:val="120"/>
        </w:rPr>
        <w:t>psycholo- </w:t>
      </w:r>
      <w:r>
        <w:rPr>
          <w:color w:val="231F20"/>
          <w:w w:val="120"/>
        </w:rPr>
        <w:t>gique</w:t>
      </w:r>
      <w:r>
        <w:rPr>
          <w:color w:val="231F20"/>
          <w:spacing w:val="-13"/>
          <w:w w:val="120"/>
        </w:rPr>
        <w:t> </w:t>
      </w:r>
      <w:r>
        <w:rPr>
          <w:color w:val="231F20"/>
          <w:w w:val="120"/>
        </w:rPr>
        <w:t>de</w:t>
      </w:r>
      <w:r>
        <w:rPr>
          <w:color w:val="231F20"/>
          <w:spacing w:val="-12"/>
          <w:w w:val="120"/>
        </w:rPr>
        <w:t> </w:t>
      </w:r>
      <w:r>
        <w:rPr>
          <w:color w:val="231F20"/>
          <w:w w:val="120"/>
        </w:rPr>
        <w:t>ses</w:t>
      </w:r>
      <w:r>
        <w:rPr>
          <w:color w:val="231F20"/>
          <w:spacing w:val="-13"/>
          <w:w w:val="120"/>
        </w:rPr>
        <w:t> </w:t>
      </w:r>
      <w:r>
        <w:rPr>
          <w:color w:val="231F20"/>
          <w:w w:val="120"/>
        </w:rPr>
        <w:t>travailleurs.</w:t>
      </w:r>
      <w:r>
        <w:rPr>
          <w:color w:val="231F20"/>
          <w:spacing w:val="-12"/>
          <w:w w:val="120"/>
        </w:rPr>
        <w:t> </w:t>
      </w:r>
      <w:r>
        <w:rPr>
          <w:color w:val="231F20"/>
          <w:w w:val="120"/>
        </w:rPr>
        <w:t>C’est</w:t>
      </w:r>
      <w:r>
        <w:rPr>
          <w:color w:val="231F20"/>
          <w:spacing w:val="-13"/>
          <w:w w:val="120"/>
        </w:rPr>
        <w:t> </w:t>
      </w:r>
      <w:r>
        <w:rPr>
          <w:color w:val="231F20"/>
          <w:w w:val="120"/>
        </w:rPr>
        <w:t>comme</w:t>
      </w:r>
      <w:r>
        <w:rPr>
          <w:color w:val="231F20"/>
          <w:spacing w:val="-12"/>
          <w:w w:val="120"/>
        </w:rPr>
        <w:t> </w:t>
      </w:r>
      <w:r>
        <w:rPr>
          <w:color w:val="231F20"/>
          <w:w w:val="120"/>
        </w:rPr>
        <w:t>si</w:t>
      </w:r>
      <w:r>
        <w:rPr>
          <w:color w:val="231F20"/>
          <w:spacing w:val="-13"/>
          <w:w w:val="120"/>
        </w:rPr>
        <w:t> </w:t>
      </w:r>
      <w:r>
        <w:rPr>
          <w:color w:val="231F20"/>
          <w:w w:val="120"/>
        </w:rPr>
        <w:t>le</w:t>
      </w:r>
      <w:r>
        <w:rPr>
          <w:color w:val="231F20"/>
          <w:spacing w:val="-12"/>
          <w:w w:val="120"/>
        </w:rPr>
        <w:t> </w:t>
      </w:r>
      <w:r>
        <w:rPr>
          <w:color w:val="231F20"/>
          <w:w w:val="120"/>
        </w:rPr>
        <w:t>stress</w:t>
      </w:r>
      <w:r>
        <w:rPr>
          <w:color w:val="231F20"/>
          <w:spacing w:val="-13"/>
          <w:w w:val="120"/>
        </w:rPr>
        <w:t> </w:t>
      </w:r>
      <w:r>
        <w:rPr>
          <w:color w:val="231F20"/>
          <w:w w:val="120"/>
        </w:rPr>
        <w:t>est</w:t>
      </w:r>
      <w:r>
        <w:rPr>
          <w:color w:val="231F20"/>
          <w:spacing w:val="-12"/>
          <w:w w:val="120"/>
        </w:rPr>
        <w:t> </w:t>
      </w:r>
      <w:r>
        <w:rPr>
          <w:color w:val="231F20"/>
          <w:w w:val="120"/>
        </w:rPr>
        <w:t>une</w:t>
      </w:r>
      <w:r>
        <w:rPr>
          <w:color w:val="231F20"/>
          <w:spacing w:val="-13"/>
          <w:w w:val="120"/>
        </w:rPr>
        <w:t> </w:t>
      </w:r>
      <w:r>
        <w:rPr>
          <w:color w:val="231F20"/>
          <w:w w:val="120"/>
        </w:rPr>
        <w:t>condition</w:t>
      </w:r>
      <w:r>
        <w:rPr>
          <w:color w:val="231F20"/>
          <w:spacing w:val="-12"/>
          <w:w w:val="120"/>
        </w:rPr>
        <w:t> </w:t>
      </w:r>
      <w:r>
        <w:rPr>
          <w:i/>
          <w:color w:val="231F20"/>
          <w:w w:val="120"/>
        </w:rPr>
        <w:t>sine qua non </w:t>
      </w:r>
      <w:r>
        <w:rPr>
          <w:color w:val="231F20"/>
          <w:w w:val="120"/>
        </w:rPr>
        <w:t>à l’effet des autres facteurs de satisfaction, d’engagement, de loyauté,</w:t>
      </w:r>
      <w:r>
        <w:rPr>
          <w:color w:val="231F20"/>
          <w:spacing w:val="-13"/>
          <w:w w:val="120"/>
        </w:rPr>
        <w:t> </w:t>
      </w:r>
      <w:r>
        <w:rPr>
          <w:color w:val="231F20"/>
          <w:w w:val="120"/>
        </w:rPr>
        <w:t>etc.</w:t>
      </w:r>
    </w:p>
    <w:p>
      <w:pPr>
        <w:pStyle w:val="BodyText"/>
        <w:spacing w:line="307" w:lineRule="auto" w:before="77"/>
        <w:ind w:left="830" w:right="494" w:firstLine="250"/>
        <w:jc w:val="both"/>
      </w:pPr>
      <w:r>
        <w:rPr>
          <w:color w:val="231F20"/>
          <w:w w:val="120"/>
        </w:rPr>
        <w:t>Dans</w:t>
      </w:r>
      <w:r>
        <w:rPr>
          <w:color w:val="231F20"/>
          <w:spacing w:val="-11"/>
          <w:w w:val="120"/>
        </w:rPr>
        <w:t> </w:t>
      </w:r>
      <w:r>
        <w:rPr>
          <w:color w:val="231F20"/>
          <w:w w:val="120"/>
        </w:rPr>
        <w:t>un</w:t>
      </w:r>
      <w:r>
        <w:rPr>
          <w:color w:val="231F20"/>
          <w:spacing w:val="-11"/>
          <w:w w:val="120"/>
        </w:rPr>
        <w:t> </w:t>
      </w:r>
      <w:r>
        <w:rPr>
          <w:color w:val="231F20"/>
          <w:w w:val="120"/>
        </w:rPr>
        <w:t>contexte</w:t>
      </w:r>
      <w:r>
        <w:rPr>
          <w:color w:val="231F20"/>
          <w:spacing w:val="-11"/>
          <w:w w:val="120"/>
        </w:rPr>
        <w:t> </w:t>
      </w:r>
      <w:r>
        <w:rPr>
          <w:color w:val="231F20"/>
          <w:w w:val="120"/>
        </w:rPr>
        <w:t>organisationnel</w:t>
      </w:r>
      <w:r>
        <w:rPr>
          <w:color w:val="231F20"/>
          <w:spacing w:val="-11"/>
          <w:w w:val="120"/>
        </w:rPr>
        <w:t> </w:t>
      </w:r>
      <w:r>
        <w:rPr>
          <w:color w:val="231F20"/>
          <w:w w:val="120"/>
        </w:rPr>
        <w:t>similaire,</w:t>
      </w:r>
      <w:r>
        <w:rPr>
          <w:color w:val="231F20"/>
          <w:spacing w:val="-11"/>
          <w:w w:val="120"/>
        </w:rPr>
        <w:t> </w:t>
      </w:r>
      <w:r>
        <w:rPr>
          <w:color w:val="231F20"/>
          <w:w w:val="120"/>
        </w:rPr>
        <w:t>l’entreprise</w:t>
      </w:r>
      <w:r>
        <w:rPr>
          <w:color w:val="231F20"/>
          <w:spacing w:val="-11"/>
          <w:w w:val="120"/>
        </w:rPr>
        <w:t> </w:t>
      </w:r>
      <w:r>
        <w:rPr>
          <w:color w:val="231F20"/>
          <w:w w:val="120"/>
        </w:rPr>
        <w:t>dont</w:t>
      </w:r>
      <w:r>
        <w:rPr>
          <w:color w:val="231F20"/>
          <w:spacing w:val="-11"/>
          <w:w w:val="120"/>
        </w:rPr>
        <w:t> </w:t>
      </w:r>
      <w:r>
        <w:rPr>
          <w:color w:val="231F20"/>
          <w:w w:val="120"/>
        </w:rPr>
        <w:t>les</w:t>
      </w:r>
      <w:r>
        <w:rPr>
          <w:color w:val="231F20"/>
          <w:spacing w:val="-11"/>
          <w:w w:val="120"/>
        </w:rPr>
        <w:t> </w:t>
      </w:r>
      <w:r>
        <w:rPr>
          <w:color w:val="231F20"/>
          <w:w w:val="120"/>
        </w:rPr>
        <w:t>tra- vailleurs sont stressés sera moins efficace que sa concurrente dont les </w:t>
      </w:r>
      <w:r>
        <w:rPr>
          <w:color w:val="231F20"/>
          <w:spacing w:val="-2"/>
          <w:w w:val="120"/>
        </w:rPr>
        <w:t>travailleurs</w:t>
      </w:r>
      <w:r>
        <w:rPr>
          <w:color w:val="231F20"/>
          <w:spacing w:val="-6"/>
          <w:w w:val="120"/>
        </w:rPr>
        <w:t> </w:t>
      </w:r>
      <w:r>
        <w:rPr>
          <w:color w:val="231F20"/>
          <w:spacing w:val="-2"/>
          <w:w w:val="120"/>
        </w:rPr>
        <w:t>ne</w:t>
      </w:r>
      <w:r>
        <w:rPr>
          <w:color w:val="231F20"/>
          <w:spacing w:val="-6"/>
          <w:w w:val="120"/>
        </w:rPr>
        <w:t> </w:t>
      </w:r>
      <w:r>
        <w:rPr>
          <w:color w:val="231F20"/>
          <w:spacing w:val="-2"/>
          <w:w w:val="120"/>
        </w:rPr>
        <w:t>le</w:t>
      </w:r>
      <w:r>
        <w:rPr>
          <w:color w:val="231F20"/>
          <w:spacing w:val="-6"/>
          <w:w w:val="120"/>
        </w:rPr>
        <w:t> </w:t>
      </w:r>
      <w:r>
        <w:rPr>
          <w:color w:val="231F20"/>
          <w:spacing w:val="-2"/>
          <w:w w:val="120"/>
        </w:rPr>
        <w:t>sont</w:t>
      </w:r>
      <w:r>
        <w:rPr>
          <w:color w:val="231F20"/>
          <w:spacing w:val="-6"/>
          <w:w w:val="120"/>
        </w:rPr>
        <w:t> </w:t>
      </w:r>
      <w:r>
        <w:rPr>
          <w:color w:val="231F20"/>
          <w:spacing w:val="-2"/>
          <w:w w:val="120"/>
        </w:rPr>
        <w:t>pas.</w:t>
      </w:r>
      <w:r>
        <w:rPr>
          <w:color w:val="231F20"/>
          <w:spacing w:val="-6"/>
          <w:w w:val="120"/>
        </w:rPr>
        <w:t> </w:t>
      </w:r>
      <w:r>
        <w:rPr>
          <w:color w:val="231F20"/>
          <w:spacing w:val="-2"/>
          <w:w w:val="120"/>
        </w:rPr>
        <w:t>Il</w:t>
      </w:r>
      <w:r>
        <w:rPr>
          <w:color w:val="231F20"/>
          <w:spacing w:val="-6"/>
          <w:w w:val="120"/>
        </w:rPr>
        <w:t> </w:t>
      </w:r>
      <w:r>
        <w:rPr>
          <w:color w:val="231F20"/>
          <w:spacing w:val="-2"/>
          <w:w w:val="120"/>
        </w:rPr>
        <w:t>réside</w:t>
      </w:r>
      <w:r>
        <w:rPr>
          <w:color w:val="231F20"/>
          <w:spacing w:val="-6"/>
          <w:w w:val="120"/>
        </w:rPr>
        <w:t> </w:t>
      </w:r>
      <w:r>
        <w:rPr>
          <w:color w:val="231F20"/>
          <w:spacing w:val="-2"/>
          <w:w w:val="120"/>
        </w:rPr>
        <w:t>ainsi</w:t>
      </w:r>
      <w:r>
        <w:rPr>
          <w:color w:val="231F20"/>
          <w:spacing w:val="-6"/>
          <w:w w:val="120"/>
        </w:rPr>
        <w:t> </w:t>
      </w:r>
      <w:r>
        <w:rPr>
          <w:color w:val="231F20"/>
          <w:spacing w:val="-2"/>
          <w:w w:val="120"/>
        </w:rPr>
        <w:t>dans</w:t>
      </w:r>
      <w:r>
        <w:rPr>
          <w:color w:val="231F20"/>
          <w:spacing w:val="-6"/>
          <w:w w:val="120"/>
        </w:rPr>
        <w:t> </w:t>
      </w:r>
      <w:r>
        <w:rPr>
          <w:color w:val="231F20"/>
          <w:spacing w:val="-2"/>
          <w:w w:val="120"/>
        </w:rPr>
        <w:t>une</w:t>
      </w:r>
      <w:r>
        <w:rPr>
          <w:color w:val="231F20"/>
          <w:spacing w:val="-6"/>
          <w:w w:val="120"/>
        </w:rPr>
        <w:t> </w:t>
      </w:r>
      <w:r>
        <w:rPr>
          <w:color w:val="231F20"/>
          <w:spacing w:val="-2"/>
          <w:w w:val="120"/>
        </w:rPr>
        <w:t>saine</w:t>
      </w:r>
      <w:r>
        <w:rPr>
          <w:color w:val="231F20"/>
          <w:spacing w:val="-6"/>
          <w:w w:val="120"/>
        </w:rPr>
        <w:t> </w:t>
      </w:r>
      <w:r>
        <w:rPr>
          <w:color w:val="231F20"/>
          <w:spacing w:val="-2"/>
          <w:w w:val="120"/>
        </w:rPr>
        <w:t>gestion</w:t>
      </w:r>
      <w:r>
        <w:rPr>
          <w:color w:val="231F20"/>
          <w:spacing w:val="-6"/>
          <w:w w:val="120"/>
        </w:rPr>
        <w:t> </w:t>
      </w:r>
      <w:r>
        <w:rPr>
          <w:color w:val="231F20"/>
          <w:spacing w:val="-2"/>
          <w:w w:val="120"/>
        </w:rPr>
        <w:t>du</w:t>
      </w:r>
      <w:r>
        <w:rPr>
          <w:color w:val="231F20"/>
          <w:spacing w:val="-6"/>
          <w:w w:val="120"/>
        </w:rPr>
        <w:t> </w:t>
      </w:r>
      <w:r>
        <w:rPr>
          <w:color w:val="231F20"/>
          <w:spacing w:val="-2"/>
          <w:w w:val="120"/>
        </w:rPr>
        <w:t>stress </w:t>
      </w:r>
      <w:r>
        <w:rPr>
          <w:color w:val="231F20"/>
          <w:w w:val="120"/>
        </w:rPr>
        <w:t>au</w:t>
      </w:r>
      <w:r>
        <w:rPr>
          <w:color w:val="231F20"/>
          <w:spacing w:val="-9"/>
          <w:w w:val="120"/>
        </w:rPr>
        <w:t> </w:t>
      </w:r>
      <w:r>
        <w:rPr>
          <w:color w:val="231F20"/>
          <w:w w:val="120"/>
        </w:rPr>
        <w:t>travail</w:t>
      </w:r>
      <w:r>
        <w:rPr>
          <w:color w:val="231F20"/>
          <w:spacing w:val="-9"/>
          <w:w w:val="120"/>
        </w:rPr>
        <w:t> </w:t>
      </w:r>
      <w:r>
        <w:rPr>
          <w:color w:val="231F20"/>
          <w:w w:val="120"/>
        </w:rPr>
        <w:t>un</w:t>
      </w:r>
      <w:r>
        <w:rPr>
          <w:color w:val="231F20"/>
          <w:spacing w:val="-9"/>
          <w:w w:val="120"/>
        </w:rPr>
        <w:t> </w:t>
      </w:r>
      <w:r>
        <w:rPr>
          <w:color w:val="231F20"/>
          <w:w w:val="120"/>
        </w:rPr>
        <w:t>avantage</w:t>
      </w:r>
      <w:r>
        <w:rPr>
          <w:color w:val="231F20"/>
          <w:spacing w:val="-9"/>
          <w:w w:val="120"/>
        </w:rPr>
        <w:t> </w:t>
      </w:r>
      <w:r>
        <w:rPr>
          <w:color w:val="231F20"/>
          <w:w w:val="120"/>
        </w:rPr>
        <w:t>compétitif</w:t>
      </w:r>
      <w:r>
        <w:rPr>
          <w:color w:val="231F20"/>
          <w:spacing w:val="-9"/>
          <w:w w:val="120"/>
        </w:rPr>
        <w:t> </w:t>
      </w:r>
      <w:r>
        <w:rPr>
          <w:color w:val="231F20"/>
          <w:w w:val="120"/>
        </w:rPr>
        <w:t>indéniable</w:t>
      </w:r>
      <w:r>
        <w:rPr>
          <w:color w:val="231F20"/>
          <w:spacing w:val="-9"/>
          <w:w w:val="120"/>
        </w:rPr>
        <w:t> </w:t>
      </w:r>
      <w:r>
        <w:rPr>
          <w:color w:val="231F20"/>
          <w:w w:val="120"/>
        </w:rPr>
        <w:t>qui</w:t>
      </w:r>
      <w:r>
        <w:rPr>
          <w:color w:val="231F20"/>
          <w:spacing w:val="-9"/>
          <w:w w:val="120"/>
        </w:rPr>
        <w:t> </w:t>
      </w:r>
      <w:r>
        <w:rPr>
          <w:color w:val="231F20"/>
          <w:w w:val="120"/>
        </w:rPr>
        <w:t>peut</w:t>
      </w:r>
      <w:r>
        <w:rPr>
          <w:color w:val="231F20"/>
          <w:spacing w:val="-9"/>
          <w:w w:val="120"/>
        </w:rPr>
        <w:t> </w:t>
      </w:r>
      <w:r>
        <w:rPr>
          <w:color w:val="231F20"/>
          <w:w w:val="120"/>
        </w:rPr>
        <w:t>faire</w:t>
      </w:r>
      <w:r>
        <w:rPr>
          <w:color w:val="231F20"/>
          <w:spacing w:val="-9"/>
          <w:w w:val="120"/>
        </w:rPr>
        <w:t> </w:t>
      </w:r>
      <w:r>
        <w:rPr>
          <w:color w:val="231F20"/>
          <w:w w:val="120"/>
        </w:rPr>
        <w:t>la</w:t>
      </w:r>
      <w:r>
        <w:rPr>
          <w:color w:val="231F20"/>
          <w:spacing w:val="-9"/>
          <w:w w:val="120"/>
        </w:rPr>
        <w:t> </w:t>
      </w:r>
      <w:r>
        <w:rPr>
          <w:color w:val="231F20"/>
          <w:w w:val="120"/>
        </w:rPr>
        <w:t>différence entre</w:t>
      </w:r>
      <w:r>
        <w:rPr>
          <w:color w:val="231F20"/>
          <w:spacing w:val="25"/>
          <w:w w:val="120"/>
        </w:rPr>
        <w:t> </w:t>
      </w:r>
      <w:r>
        <w:rPr>
          <w:color w:val="231F20"/>
          <w:w w:val="120"/>
        </w:rPr>
        <w:t>une</w:t>
      </w:r>
      <w:r>
        <w:rPr>
          <w:color w:val="231F20"/>
          <w:spacing w:val="25"/>
          <w:w w:val="120"/>
        </w:rPr>
        <w:t> </w:t>
      </w:r>
      <w:r>
        <w:rPr>
          <w:color w:val="231F20"/>
          <w:w w:val="120"/>
        </w:rPr>
        <w:t>entreprise</w:t>
      </w:r>
      <w:r>
        <w:rPr>
          <w:color w:val="231F20"/>
          <w:spacing w:val="25"/>
          <w:w w:val="120"/>
        </w:rPr>
        <w:t> </w:t>
      </w:r>
      <w:r>
        <w:rPr>
          <w:color w:val="231F20"/>
          <w:w w:val="120"/>
        </w:rPr>
        <w:t>prospère</w:t>
      </w:r>
      <w:r>
        <w:rPr>
          <w:color w:val="231F20"/>
          <w:spacing w:val="25"/>
          <w:w w:val="120"/>
        </w:rPr>
        <w:t> </w:t>
      </w:r>
      <w:r>
        <w:rPr>
          <w:color w:val="231F20"/>
          <w:w w:val="120"/>
        </w:rPr>
        <w:t>et</w:t>
      </w:r>
      <w:r>
        <w:rPr>
          <w:color w:val="231F20"/>
          <w:spacing w:val="25"/>
          <w:w w:val="120"/>
        </w:rPr>
        <w:t> </w:t>
      </w:r>
      <w:r>
        <w:rPr>
          <w:color w:val="231F20"/>
          <w:w w:val="120"/>
        </w:rPr>
        <w:t>une</w:t>
      </w:r>
      <w:r>
        <w:rPr>
          <w:color w:val="231F20"/>
          <w:spacing w:val="25"/>
          <w:w w:val="120"/>
        </w:rPr>
        <w:t> </w:t>
      </w:r>
      <w:r>
        <w:rPr>
          <w:color w:val="231F20"/>
          <w:w w:val="120"/>
        </w:rPr>
        <w:t>entreprise</w:t>
      </w:r>
      <w:r>
        <w:rPr>
          <w:color w:val="231F20"/>
          <w:spacing w:val="25"/>
          <w:w w:val="120"/>
        </w:rPr>
        <w:t> </w:t>
      </w:r>
      <w:r>
        <w:rPr>
          <w:color w:val="231F20"/>
          <w:w w:val="120"/>
        </w:rPr>
        <w:t>dont</w:t>
      </w:r>
      <w:r>
        <w:rPr>
          <w:color w:val="231F20"/>
          <w:spacing w:val="25"/>
          <w:w w:val="120"/>
        </w:rPr>
        <w:t> </w:t>
      </w:r>
      <w:r>
        <w:rPr>
          <w:color w:val="231F20"/>
          <w:w w:val="120"/>
        </w:rPr>
        <w:t>la</w:t>
      </w:r>
      <w:r>
        <w:rPr>
          <w:color w:val="231F20"/>
          <w:spacing w:val="25"/>
          <w:w w:val="120"/>
        </w:rPr>
        <w:t> </w:t>
      </w:r>
      <w:r>
        <w:rPr>
          <w:color w:val="231F20"/>
          <w:w w:val="120"/>
        </w:rPr>
        <w:t>pérennité</w:t>
      </w:r>
      <w:r>
        <w:rPr>
          <w:color w:val="231F20"/>
          <w:spacing w:val="25"/>
          <w:w w:val="120"/>
        </w:rPr>
        <w:t> </w:t>
      </w:r>
      <w:r>
        <w:rPr>
          <w:color w:val="231F20"/>
          <w:w w:val="120"/>
        </w:rPr>
        <w:t>est à</w:t>
      </w:r>
      <w:r>
        <w:rPr>
          <w:color w:val="231F20"/>
          <w:spacing w:val="-13"/>
          <w:w w:val="120"/>
        </w:rPr>
        <w:t> </w:t>
      </w:r>
      <w:r>
        <w:rPr>
          <w:color w:val="231F20"/>
          <w:w w:val="120"/>
        </w:rPr>
        <w:t>risque.</w:t>
      </w:r>
    </w:p>
    <w:p>
      <w:pPr>
        <w:pStyle w:val="BodyText"/>
        <w:spacing w:before="6"/>
        <w:rPr>
          <w:sz w:val="11"/>
        </w:rPr>
      </w:pPr>
      <w:r>
        <w:rPr/>
        <w:pict>
          <v:group style="position:absolute;margin-left:62.5pt;margin-top:7.826904pt;width:287.5pt;height:172.75pt;mso-position-horizontal-relative:page;mso-position-vertical-relative:paragraph;z-index:-15667712;mso-wrap-distance-left:0;mso-wrap-distance-right:0" id="docshapegroup762" coordorigin="1250,157" coordsize="5750,3455">
            <v:rect style="position:absolute;left:1250;top:156;width:5750;height:705" id="docshape763" filled="true" fillcolor="#e2e3e4" stroked="false">
              <v:fill type="solid"/>
            </v:rect>
            <v:line style="position:absolute" from="1500,704" to="6750,704" stroked="true" strokeweight=".25pt" strokecolor="#231f20">
              <v:stroke dashstyle="shortdot"/>
            </v:line>
            <v:shape style="position:absolute;left:1250;top:781;width:5750;height:2830" id="docshape764" coordorigin="1250,782" coordsize="5750,2830" path="m7000,782l1250,782,1250,2482,1250,2782,1250,3612,7000,3612,7000,2782,7000,2482,7000,782xe" filled="true" fillcolor="#e2e3e4" stroked="false">
              <v:path arrowok="t"/>
              <v:fill type="solid"/>
            </v:shape>
            <v:shape style="position:absolute;left:1250;top:156;width:5750;height:3455" type="#_x0000_t202" id="docshape765" filled="false" stroked="false">
              <v:textbox inset="0,0,0,0">
                <w:txbxContent>
                  <w:p>
                    <w:pPr>
                      <w:spacing w:line="240" w:lineRule="auto" w:before="9"/>
                      <w:rPr>
                        <w:sz w:val="18"/>
                      </w:rPr>
                    </w:pPr>
                  </w:p>
                  <w:p>
                    <w:pPr>
                      <w:spacing w:before="1"/>
                      <w:ind w:left="250" w:right="0" w:firstLine="0"/>
                      <w:jc w:val="both"/>
                      <w:rPr>
                        <w:rFonts w:ascii="Arial" w:hAnsi="Arial"/>
                        <w:b/>
                        <w:sz w:val="17"/>
                      </w:rPr>
                    </w:pPr>
                    <w:r>
                      <w:rPr>
                        <w:rFonts w:ascii="Arial" w:hAnsi="Arial"/>
                        <w:color w:val="231F20"/>
                        <w:w w:val="95"/>
                        <w:sz w:val="17"/>
                      </w:rPr>
                      <w:t>à</w:t>
                    </w:r>
                    <w:r>
                      <w:rPr>
                        <w:rFonts w:ascii="Arial" w:hAnsi="Arial"/>
                        <w:color w:val="231F20"/>
                        <w:spacing w:val="1"/>
                        <w:sz w:val="17"/>
                      </w:rPr>
                      <w:t> </w:t>
                    </w:r>
                    <w:r>
                      <w:rPr>
                        <w:rFonts w:ascii="Arial" w:hAnsi="Arial"/>
                        <w:color w:val="231F20"/>
                        <w:w w:val="95"/>
                        <w:sz w:val="17"/>
                      </w:rPr>
                      <w:t>la</w:t>
                    </w:r>
                    <w:r>
                      <w:rPr>
                        <w:rFonts w:ascii="Arial" w:hAnsi="Arial"/>
                        <w:color w:val="231F20"/>
                        <w:spacing w:val="2"/>
                        <w:sz w:val="17"/>
                      </w:rPr>
                      <w:t> </w:t>
                    </w:r>
                    <w:r>
                      <w:rPr>
                        <w:rFonts w:ascii="Arial" w:hAnsi="Arial"/>
                        <w:color w:val="231F20"/>
                        <w:w w:val="95"/>
                        <w:sz w:val="17"/>
                      </w:rPr>
                      <w:t>une</w:t>
                    </w:r>
                    <w:r>
                      <w:rPr>
                        <w:rFonts w:ascii="Arial" w:hAnsi="Arial"/>
                        <w:color w:val="231F20"/>
                        <w:spacing w:val="-8"/>
                        <w:w w:val="95"/>
                        <w:sz w:val="17"/>
                      </w:rPr>
                      <w:t> </w:t>
                    </w:r>
                    <w:r>
                      <w:rPr>
                        <w:rFonts w:ascii="Arial" w:hAnsi="Arial"/>
                        <w:i/>
                        <w:color w:val="231F20"/>
                        <w:w w:val="95"/>
                        <w:sz w:val="17"/>
                      </w:rPr>
                      <w:t>/</w:t>
                    </w:r>
                    <w:r>
                      <w:rPr>
                        <w:rFonts w:ascii="Arial" w:hAnsi="Arial"/>
                        <w:i/>
                        <w:color w:val="231F20"/>
                        <w:spacing w:val="50"/>
                        <w:sz w:val="17"/>
                      </w:rPr>
                      <w:t> </w:t>
                    </w:r>
                    <w:r>
                      <w:rPr>
                        <w:rFonts w:ascii="Arial" w:hAnsi="Arial"/>
                        <w:b/>
                        <w:color w:val="231F20"/>
                        <w:w w:val="95"/>
                        <w:sz w:val="17"/>
                      </w:rPr>
                      <w:t>Les</w:t>
                    </w:r>
                    <w:r>
                      <w:rPr>
                        <w:rFonts w:ascii="Arial" w:hAnsi="Arial"/>
                        <w:b/>
                        <w:color w:val="231F20"/>
                        <w:spacing w:val="-1"/>
                        <w:w w:val="95"/>
                        <w:sz w:val="17"/>
                      </w:rPr>
                      <w:t> </w:t>
                    </w:r>
                    <w:r>
                      <w:rPr>
                        <w:rFonts w:ascii="Arial" w:hAnsi="Arial"/>
                        <w:b/>
                        <w:color w:val="231F20"/>
                        <w:w w:val="95"/>
                        <w:sz w:val="17"/>
                      </w:rPr>
                      <w:t>effets</w:t>
                    </w:r>
                    <w:r>
                      <w:rPr>
                        <w:rFonts w:ascii="Arial" w:hAnsi="Arial"/>
                        <w:b/>
                        <w:color w:val="231F20"/>
                        <w:spacing w:val="-2"/>
                        <w:w w:val="95"/>
                        <w:sz w:val="17"/>
                      </w:rPr>
                      <w:t> </w:t>
                    </w:r>
                    <w:r>
                      <w:rPr>
                        <w:rFonts w:ascii="Arial" w:hAnsi="Arial"/>
                        <w:b/>
                        <w:color w:val="231F20"/>
                        <w:w w:val="95"/>
                        <w:sz w:val="17"/>
                      </w:rPr>
                      <w:t>du</w:t>
                    </w:r>
                    <w:r>
                      <w:rPr>
                        <w:rFonts w:ascii="Arial" w:hAnsi="Arial"/>
                        <w:b/>
                        <w:color w:val="231F20"/>
                        <w:spacing w:val="-1"/>
                        <w:w w:val="95"/>
                        <w:sz w:val="17"/>
                      </w:rPr>
                      <w:t> </w:t>
                    </w:r>
                    <w:r>
                      <w:rPr>
                        <w:rFonts w:ascii="Arial" w:hAnsi="Arial"/>
                        <w:b/>
                        <w:color w:val="231F20"/>
                        <w:w w:val="95"/>
                        <w:sz w:val="17"/>
                      </w:rPr>
                      <w:t>stress</w:t>
                    </w:r>
                    <w:r>
                      <w:rPr>
                        <w:rFonts w:ascii="Arial" w:hAnsi="Arial"/>
                        <w:b/>
                        <w:color w:val="231F20"/>
                        <w:spacing w:val="-2"/>
                        <w:w w:val="95"/>
                        <w:sz w:val="17"/>
                      </w:rPr>
                      <w:t> </w:t>
                    </w:r>
                    <w:r>
                      <w:rPr>
                        <w:rFonts w:ascii="Arial" w:hAnsi="Arial"/>
                        <w:b/>
                        <w:color w:val="231F20"/>
                        <w:w w:val="95"/>
                        <w:sz w:val="17"/>
                      </w:rPr>
                      <w:t>dans</w:t>
                    </w:r>
                    <w:r>
                      <w:rPr>
                        <w:rFonts w:ascii="Arial" w:hAnsi="Arial"/>
                        <w:b/>
                        <w:color w:val="231F20"/>
                        <w:spacing w:val="-1"/>
                        <w:w w:val="95"/>
                        <w:sz w:val="17"/>
                      </w:rPr>
                      <w:t> </w:t>
                    </w:r>
                    <w:r>
                      <w:rPr>
                        <w:rFonts w:ascii="Arial" w:hAnsi="Arial"/>
                        <w:b/>
                        <w:color w:val="231F20"/>
                        <w:w w:val="95"/>
                        <w:sz w:val="17"/>
                      </w:rPr>
                      <w:t>une</w:t>
                    </w:r>
                    <w:r>
                      <w:rPr>
                        <w:rFonts w:ascii="Arial" w:hAnsi="Arial"/>
                        <w:b/>
                        <w:color w:val="231F20"/>
                        <w:spacing w:val="-2"/>
                        <w:w w:val="95"/>
                        <w:sz w:val="17"/>
                      </w:rPr>
                      <w:t> entreprise</w:t>
                    </w:r>
                  </w:p>
                  <w:p>
                    <w:pPr>
                      <w:spacing w:line="240" w:lineRule="auto" w:before="5"/>
                      <w:rPr>
                        <w:rFonts w:ascii="Arial"/>
                        <w:b/>
                        <w:sz w:val="26"/>
                      </w:rPr>
                    </w:pPr>
                  </w:p>
                  <w:p>
                    <w:pPr>
                      <w:spacing w:line="307" w:lineRule="auto" w:before="0"/>
                      <w:ind w:left="250" w:right="243" w:firstLine="0"/>
                      <w:jc w:val="both"/>
                      <w:rPr>
                        <w:rFonts w:ascii="Arial" w:hAnsi="Arial"/>
                        <w:i/>
                        <w:sz w:val="17"/>
                      </w:rPr>
                    </w:pPr>
                    <w:r>
                      <w:rPr>
                        <w:rFonts w:ascii="Arial" w:hAnsi="Arial"/>
                        <w:i/>
                        <w:color w:val="231F20"/>
                        <w:sz w:val="17"/>
                      </w:rPr>
                      <w:t>Les</w:t>
                    </w:r>
                    <w:r>
                      <w:rPr>
                        <w:rFonts w:ascii="Arial" w:hAnsi="Arial"/>
                        <w:i/>
                        <w:color w:val="231F20"/>
                        <w:spacing w:val="-12"/>
                        <w:sz w:val="17"/>
                      </w:rPr>
                      <w:t> </w:t>
                    </w:r>
                    <w:r>
                      <w:rPr>
                        <w:rFonts w:ascii="Arial" w:hAnsi="Arial"/>
                        <w:i/>
                        <w:color w:val="231F20"/>
                        <w:sz w:val="17"/>
                      </w:rPr>
                      <w:t>effets</w:t>
                    </w:r>
                    <w:r>
                      <w:rPr>
                        <w:rFonts w:ascii="Arial" w:hAnsi="Arial"/>
                        <w:i/>
                        <w:color w:val="231F20"/>
                        <w:spacing w:val="-12"/>
                        <w:sz w:val="17"/>
                      </w:rPr>
                      <w:t> </w:t>
                    </w:r>
                    <w:r>
                      <w:rPr>
                        <w:rFonts w:ascii="Arial" w:hAnsi="Arial"/>
                        <w:i/>
                        <w:color w:val="231F20"/>
                        <w:sz w:val="17"/>
                      </w:rPr>
                      <w:t>du</w:t>
                    </w:r>
                    <w:r>
                      <w:rPr>
                        <w:rFonts w:ascii="Arial" w:hAnsi="Arial"/>
                        <w:i/>
                        <w:color w:val="231F20"/>
                        <w:spacing w:val="-12"/>
                        <w:sz w:val="17"/>
                      </w:rPr>
                      <w:t> </w:t>
                    </w:r>
                    <w:r>
                      <w:rPr>
                        <w:rFonts w:ascii="Arial" w:hAnsi="Arial"/>
                        <w:i/>
                        <w:color w:val="231F20"/>
                        <w:sz w:val="17"/>
                      </w:rPr>
                      <w:t>stress</w:t>
                    </w:r>
                    <w:r>
                      <w:rPr>
                        <w:rFonts w:ascii="Arial" w:hAnsi="Arial"/>
                        <w:i/>
                        <w:color w:val="231F20"/>
                        <w:spacing w:val="-12"/>
                        <w:sz w:val="17"/>
                      </w:rPr>
                      <w:t> </w:t>
                    </w:r>
                    <w:r>
                      <w:rPr>
                        <w:rFonts w:ascii="Arial" w:hAnsi="Arial"/>
                        <w:i/>
                        <w:color w:val="231F20"/>
                        <w:sz w:val="17"/>
                      </w:rPr>
                      <w:t>en</w:t>
                    </w:r>
                    <w:r>
                      <w:rPr>
                        <w:rFonts w:ascii="Arial" w:hAnsi="Arial"/>
                        <w:i/>
                        <w:color w:val="231F20"/>
                        <w:spacing w:val="-12"/>
                        <w:sz w:val="17"/>
                      </w:rPr>
                      <w:t> </w:t>
                    </w:r>
                    <w:r>
                      <w:rPr>
                        <w:rFonts w:ascii="Arial" w:hAnsi="Arial"/>
                        <w:i/>
                        <w:color w:val="231F20"/>
                        <w:sz w:val="17"/>
                      </w:rPr>
                      <w:t>entreprise</w:t>
                    </w:r>
                    <w:r>
                      <w:rPr>
                        <w:rFonts w:ascii="Arial" w:hAnsi="Arial"/>
                        <w:i/>
                        <w:color w:val="231F20"/>
                        <w:spacing w:val="-11"/>
                        <w:sz w:val="17"/>
                      </w:rPr>
                      <w:t> </w:t>
                    </w:r>
                    <w:r>
                      <w:rPr>
                        <w:rFonts w:ascii="Arial" w:hAnsi="Arial"/>
                        <w:i/>
                        <w:color w:val="231F20"/>
                        <w:sz w:val="17"/>
                      </w:rPr>
                      <w:t>s’avèrent</w:t>
                    </w:r>
                    <w:r>
                      <w:rPr>
                        <w:rFonts w:ascii="Arial" w:hAnsi="Arial"/>
                        <w:i/>
                        <w:color w:val="231F20"/>
                        <w:spacing w:val="-12"/>
                        <w:sz w:val="17"/>
                      </w:rPr>
                      <w:t> </w:t>
                    </w:r>
                    <w:r>
                      <w:rPr>
                        <w:rFonts w:ascii="Arial" w:hAnsi="Arial"/>
                        <w:i/>
                        <w:color w:val="231F20"/>
                        <w:sz w:val="17"/>
                      </w:rPr>
                      <w:t>divers</w:t>
                    </w:r>
                    <w:r>
                      <w:rPr>
                        <w:rFonts w:ascii="Arial" w:hAnsi="Arial"/>
                        <w:i/>
                        <w:color w:val="231F20"/>
                        <w:spacing w:val="-12"/>
                        <w:sz w:val="17"/>
                      </w:rPr>
                      <w:t> </w:t>
                    </w:r>
                    <w:r>
                      <w:rPr>
                        <w:rFonts w:ascii="Arial" w:hAnsi="Arial"/>
                        <w:i/>
                        <w:color w:val="231F20"/>
                        <w:sz w:val="17"/>
                      </w:rPr>
                      <w:t>et</w:t>
                    </w:r>
                    <w:r>
                      <w:rPr>
                        <w:rFonts w:ascii="Arial" w:hAnsi="Arial"/>
                        <w:i/>
                        <w:color w:val="231F20"/>
                        <w:spacing w:val="-12"/>
                        <w:sz w:val="17"/>
                      </w:rPr>
                      <w:t> </w:t>
                    </w:r>
                    <w:r>
                      <w:rPr>
                        <w:rFonts w:ascii="Arial" w:hAnsi="Arial"/>
                        <w:i/>
                        <w:color w:val="231F20"/>
                        <w:sz w:val="17"/>
                      </w:rPr>
                      <w:t>variés.</w:t>
                    </w:r>
                    <w:r>
                      <w:rPr>
                        <w:rFonts w:ascii="Arial" w:hAnsi="Arial"/>
                        <w:i/>
                        <w:color w:val="231F20"/>
                        <w:spacing w:val="-12"/>
                        <w:sz w:val="17"/>
                      </w:rPr>
                      <w:t> </w:t>
                    </w:r>
                    <w:r>
                      <w:rPr>
                        <w:rFonts w:ascii="Arial" w:hAnsi="Arial"/>
                        <w:i/>
                        <w:color w:val="231F20"/>
                        <w:sz w:val="17"/>
                      </w:rPr>
                      <w:t>Ils</w:t>
                    </w:r>
                    <w:r>
                      <w:rPr>
                        <w:rFonts w:ascii="Arial" w:hAnsi="Arial"/>
                        <w:i/>
                        <w:color w:val="231F20"/>
                        <w:spacing w:val="-11"/>
                        <w:sz w:val="17"/>
                      </w:rPr>
                      <w:t> </w:t>
                    </w:r>
                    <w:r>
                      <w:rPr>
                        <w:rFonts w:ascii="Arial" w:hAnsi="Arial"/>
                        <w:i/>
                        <w:color w:val="231F20"/>
                        <w:sz w:val="17"/>
                      </w:rPr>
                      <w:t>peuvent varier</w:t>
                    </w:r>
                    <w:r>
                      <w:rPr>
                        <w:rFonts w:ascii="Arial" w:hAnsi="Arial"/>
                        <w:i/>
                        <w:color w:val="231F20"/>
                        <w:spacing w:val="-2"/>
                        <w:sz w:val="17"/>
                      </w:rPr>
                      <w:t> </w:t>
                    </w:r>
                    <w:r>
                      <w:rPr>
                        <w:rFonts w:ascii="Arial" w:hAnsi="Arial"/>
                        <w:i/>
                        <w:color w:val="231F20"/>
                        <w:sz w:val="17"/>
                      </w:rPr>
                      <w:t>selon</w:t>
                    </w:r>
                    <w:r>
                      <w:rPr>
                        <w:rFonts w:ascii="Arial" w:hAnsi="Arial"/>
                        <w:i/>
                        <w:color w:val="231F20"/>
                        <w:spacing w:val="-2"/>
                        <w:sz w:val="17"/>
                      </w:rPr>
                      <w:t> </w:t>
                    </w:r>
                    <w:r>
                      <w:rPr>
                        <w:rFonts w:ascii="Arial" w:hAnsi="Arial"/>
                        <w:i/>
                        <w:color w:val="231F20"/>
                        <w:sz w:val="17"/>
                      </w:rPr>
                      <w:t>le</w:t>
                    </w:r>
                    <w:r>
                      <w:rPr>
                        <w:rFonts w:ascii="Arial" w:hAnsi="Arial"/>
                        <w:i/>
                        <w:color w:val="231F20"/>
                        <w:spacing w:val="-2"/>
                        <w:sz w:val="17"/>
                      </w:rPr>
                      <w:t> </w:t>
                    </w:r>
                    <w:r>
                      <w:rPr>
                        <w:rFonts w:ascii="Arial" w:hAnsi="Arial"/>
                        <w:i/>
                        <w:color w:val="231F20"/>
                        <w:sz w:val="17"/>
                      </w:rPr>
                      <w:t>type</w:t>
                    </w:r>
                    <w:r>
                      <w:rPr>
                        <w:rFonts w:ascii="Arial" w:hAnsi="Arial"/>
                        <w:i/>
                        <w:color w:val="231F20"/>
                        <w:spacing w:val="-2"/>
                        <w:sz w:val="17"/>
                      </w:rPr>
                      <w:t> </w:t>
                    </w:r>
                    <w:r>
                      <w:rPr>
                        <w:rFonts w:ascii="Arial" w:hAnsi="Arial"/>
                        <w:i/>
                        <w:color w:val="231F20"/>
                        <w:sz w:val="17"/>
                      </w:rPr>
                      <w:t>d’angoisse</w:t>
                    </w:r>
                    <w:r>
                      <w:rPr>
                        <w:rFonts w:ascii="Arial" w:hAnsi="Arial"/>
                        <w:i/>
                        <w:color w:val="231F20"/>
                        <w:spacing w:val="-2"/>
                        <w:sz w:val="17"/>
                      </w:rPr>
                      <w:t> </w:t>
                    </w:r>
                    <w:r>
                      <w:rPr>
                        <w:rFonts w:ascii="Arial" w:hAnsi="Arial"/>
                        <w:i/>
                        <w:color w:val="231F20"/>
                        <w:sz w:val="17"/>
                      </w:rPr>
                      <w:t>et</w:t>
                    </w:r>
                    <w:r>
                      <w:rPr>
                        <w:rFonts w:ascii="Arial" w:hAnsi="Arial"/>
                        <w:i/>
                        <w:color w:val="231F20"/>
                        <w:spacing w:val="-2"/>
                        <w:sz w:val="17"/>
                      </w:rPr>
                      <w:t> </w:t>
                    </w:r>
                    <w:r>
                      <w:rPr>
                        <w:rFonts w:ascii="Arial" w:hAnsi="Arial"/>
                        <w:i/>
                        <w:color w:val="231F20"/>
                        <w:sz w:val="17"/>
                      </w:rPr>
                      <w:t>les</w:t>
                    </w:r>
                    <w:r>
                      <w:rPr>
                        <w:rFonts w:ascii="Arial" w:hAnsi="Arial"/>
                        <w:i/>
                        <w:color w:val="231F20"/>
                        <w:spacing w:val="-2"/>
                        <w:sz w:val="17"/>
                      </w:rPr>
                      <w:t> </w:t>
                    </w:r>
                    <w:r>
                      <w:rPr>
                        <w:rFonts w:ascii="Arial" w:hAnsi="Arial"/>
                        <w:i/>
                        <w:color w:val="231F20"/>
                        <w:sz w:val="17"/>
                      </w:rPr>
                      <w:t>personnes,</w:t>
                    </w:r>
                    <w:r>
                      <w:rPr>
                        <w:rFonts w:ascii="Arial" w:hAnsi="Arial"/>
                        <w:i/>
                        <w:color w:val="231F20"/>
                        <w:spacing w:val="-2"/>
                        <w:sz w:val="17"/>
                      </w:rPr>
                      <w:t> </w:t>
                    </w:r>
                    <w:r>
                      <w:rPr>
                        <w:rFonts w:ascii="Arial" w:hAnsi="Arial"/>
                        <w:i/>
                        <w:color w:val="231F20"/>
                        <w:sz w:val="17"/>
                      </w:rPr>
                      <w:t>mais</w:t>
                    </w:r>
                    <w:r>
                      <w:rPr>
                        <w:rFonts w:ascii="Arial" w:hAnsi="Arial"/>
                        <w:i/>
                        <w:color w:val="231F20"/>
                        <w:spacing w:val="-2"/>
                        <w:sz w:val="17"/>
                      </w:rPr>
                      <w:t> </w:t>
                    </w:r>
                    <w:r>
                      <w:rPr>
                        <w:rFonts w:ascii="Arial" w:hAnsi="Arial"/>
                        <w:i/>
                        <w:color w:val="231F20"/>
                        <w:sz w:val="17"/>
                      </w:rPr>
                      <w:t>renferment</w:t>
                    </w:r>
                    <w:r>
                      <w:rPr>
                        <w:rFonts w:ascii="Arial" w:hAnsi="Arial"/>
                        <w:i/>
                        <w:color w:val="231F20"/>
                        <w:spacing w:val="-2"/>
                        <w:sz w:val="17"/>
                      </w:rPr>
                      <w:t> </w:t>
                    </w:r>
                    <w:r>
                      <w:rPr>
                        <w:rFonts w:ascii="Arial" w:hAnsi="Arial"/>
                        <w:i/>
                        <w:color w:val="231F20"/>
                        <w:sz w:val="17"/>
                      </w:rPr>
                      <w:t>plu- </w:t>
                    </w:r>
                    <w:r>
                      <w:rPr>
                        <w:rFonts w:ascii="Arial" w:hAnsi="Arial"/>
                        <w:i/>
                        <w:color w:val="231F20"/>
                        <w:w w:val="95"/>
                        <w:sz w:val="17"/>
                      </w:rPr>
                      <w:t>sieurs points communs. Une diminution de la qualité de travail ou encore </w:t>
                    </w:r>
                    <w:r>
                      <w:rPr>
                        <w:rFonts w:ascii="Arial" w:hAnsi="Arial"/>
                        <w:i/>
                        <w:color w:val="231F20"/>
                        <w:sz w:val="17"/>
                      </w:rPr>
                      <w:t>une incidence sur la santé font partie des exemples de répercussions </w:t>
                    </w:r>
                    <w:r>
                      <w:rPr>
                        <w:rFonts w:ascii="Arial" w:hAnsi="Arial"/>
                        <w:i/>
                        <w:color w:val="231F20"/>
                        <w:w w:val="95"/>
                        <w:sz w:val="17"/>
                      </w:rPr>
                      <w:t>possibles. Connaître les conséquences d’une exposition prolongée au </w:t>
                    </w:r>
                    <w:r>
                      <w:rPr>
                        <w:rFonts w:ascii="Arial" w:hAnsi="Arial"/>
                        <w:i/>
                        <w:color w:val="231F20"/>
                        <w:sz w:val="17"/>
                      </w:rPr>
                      <w:t>stress permet de se prémunir contre les risques. Mais alors, quelles </w:t>
                    </w:r>
                    <w:r>
                      <w:rPr>
                        <w:rFonts w:ascii="Arial" w:hAnsi="Arial"/>
                        <w:i/>
                        <w:color w:val="231F20"/>
                        <w:spacing w:val="-2"/>
                        <w:sz w:val="17"/>
                      </w:rPr>
                      <w:t>sont-elles?</w:t>
                    </w:r>
                  </w:p>
                  <w:p>
                    <w:pPr>
                      <w:spacing w:line="307" w:lineRule="auto" w:before="79"/>
                      <w:ind w:left="250" w:right="248" w:firstLine="0"/>
                      <w:jc w:val="both"/>
                      <w:rPr>
                        <w:rFonts w:ascii="Arial" w:hAnsi="Arial"/>
                        <w:sz w:val="17"/>
                      </w:rPr>
                    </w:pPr>
                    <w:r>
                      <w:rPr>
                        <w:rFonts w:ascii="Arial" w:hAnsi="Arial"/>
                        <w:b/>
                        <w:color w:val="231F20"/>
                        <w:w w:val="95"/>
                        <w:sz w:val="17"/>
                      </w:rPr>
                      <w:t>Le manque d’efficacité </w:t>
                    </w:r>
                    <w:r>
                      <w:rPr>
                        <w:rFonts w:ascii="Arial" w:hAnsi="Arial"/>
                        <w:color w:val="231F20"/>
                        <w:w w:val="95"/>
                        <w:sz w:val="17"/>
                      </w:rPr>
                      <w:t>– Lorsque vous vous retrouvez dans un état </w:t>
                    </w:r>
                    <w:r>
                      <w:rPr>
                        <w:rFonts w:ascii="Arial" w:hAnsi="Arial"/>
                        <w:color w:val="231F20"/>
                        <w:w w:val="95"/>
                        <w:sz w:val="17"/>
                      </w:rPr>
                      <w:t>de </w:t>
                    </w:r>
                    <w:r>
                      <w:rPr>
                        <w:rFonts w:ascii="Arial" w:hAnsi="Arial"/>
                        <w:color w:val="231F20"/>
                        <w:spacing w:val="-4"/>
                        <w:sz w:val="17"/>
                      </w:rPr>
                      <w:t>stress, vous faites face à un manque d’efficacité au travail. Vos capacités </w:t>
                    </w:r>
                    <w:r>
                      <w:rPr>
                        <w:rFonts w:ascii="Arial" w:hAnsi="Arial"/>
                        <w:color w:val="231F20"/>
                        <w:sz w:val="17"/>
                      </w:rPr>
                      <w:t>diminuent</w:t>
                    </w:r>
                    <w:r>
                      <w:rPr>
                        <w:rFonts w:ascii="Arial" w:hAnsi="Arial"/>
                        <w:color w:val="231F20"/>
                        <w:spacing w:val="-9"/>
                        <w:sz w:val="17"/>
                      </w:rPr>
                      <w:t> </w:t>
                    </w:r>
                    <w:r>
                      <w:rPr>
                        <w:rFonts w:ascii="Arial" w:hAnsi="Arial"/>
                        <w:color w:val="231F20"/>
                        <w:sz w:val="17"/>
                      </w:rPr>
                      <w:t>et</w:t>
                    </w:r>
                    <w:r>
                      <w:rPr>
                        <w:rFonts w:ascii="Arial" w:hAnsi="Arial"/>
                        <w:color w:val="231F20"/>
                        <w:spacing w:val="-9"/>
                        <w:sz w:val="17"/>
                      </w:rPr>
                      <w:t> </w:t>
                    </w:r>
                    <w:r>
                      <w:rPr>
                        <w:rFonts w:ascii="Arial" w:hAnsi="Arial"/>
                        <w:color w:val="231F20"/>
                        <w:sz w:val="17"/>
                      </w:rPr>
                      <w:t>vous</w:t>
                    </w:r>
                    <w:r>
                      <w:rPr>
                        <w:rFonts w:ascii="Arial" w:hAnsi="Arial"/>
                        <w:color w:val="231F20"/>
                        <w:spacing w:val="-9"/>
                        <w:sz w:val="17"/>
                      </w:rPr>
                      <w:t> </w:t>
                    </w:r>
                    <w:r>
                      <w:rPr>
                        <w:rFonts w:ascii="Arial" w:hAnsi="Arial"/>
                        <w:color w:val="231F20"/>
                        <w:sz w:val="17"/>
                      </w:rPr>
                      <w:t>ne</w:t>
                    </w:r>
                    <w:r>
                      <w:rPr>
                        <w:rFonts w:ascii="Arial" w:hAnsi="Arial"/>
                        <w:color w:val="231F20"/>
                        <w:spacing w:val="-9"/>
                        <w:sz w:val="17"/>
                      </w:rPr>
                      <w:t> </w:t>
                    </w:r>
                    <w:r>
                      <w:rPr>
                        <w:rFonts w:ascii="Arial" w:hAnsi="Arial"/>
                        <w:color w:val="231F20"/>
                        <w:sz w:val="17"/>
                      </w:rPr>
                      <w:t>pouvez</w:t>
                    </w:r>
                    <w:r>
                      <w:rPr>
                        <w:rFonts w:ascii="Arial" w:hAnsi="Arial"/>
                        <w:color w:val="231F20"/>
                        <w:spacing w:val="-9"/>
                        <w:sz w:val="17"/>
                      </w:rPr>
                      <w:t> </w:t>
                    </w:r>
                    <w:r>
                      <w:rPr>
                        <w:rFonts w:ascii="Arial" w:hAnsi="Arial"/>
                        <w:color w:val="231F20"/>
                        <w:sz w:val="17"/>
                      </w:rPr>
                      <w:t>pas</w:t>
                    </w:r>
                    <w:r>
                      <w:rPr>
                        <w:rFonts w:ascii="Arial" w:hAnsi="Arial"/>
                        <w:color w:val="231F20"/>
                        <w:spacing w:val="-9"/>
                        <w:sz w:val="17"/>
                      </w:rPr>
                      <w:t> </w:t>
                    </w:r>
                    <w:r>
                      <w:rPr>
                        <w:rFonts w:ascii="Arial" w:hAnsi="Arial"/>
                        <w:color w:val="231F20"/>
                        <w:sz w:val="17"/>
                      </w:rPr>
                      <w:t>traiter</w:t>
                    </w:r>
                    <w:r>
                      <w:rPr>
                        <w:rFonts w:ascii="Arial" w:hAnsi="Arial"/>
                        <w:color w:val="231F20"/>
                        <w:spacing w:val="-9"/>
                        <w:sz w:val="17"/>
                      </w:rPr>
                      <w:t> </w:t>
                    </w:r>
                    <w:r>
                      <w:rPr>
                        <w:rFonts w:ascii="Arial" w:hAnsi="Arial"/>
                        <w:color w:val="231F20"/>
                        <w:sz w:val="17"/>
                      </w:rPr>
                      <w:t>les</w:t>
                    </w:r>
                    <w:r>
                      <w:rPr>
                        <w:rFonts w:ascii="Arial" w:hAnsi="Arial"/>
                        <w:color w:val="231F20"/>
                        <w:spacing w:val="-9"/>
                        <w:sz w:val="17"/>
                      </w:rPr>
                      <w:t> </w:t>
                    </w:r>
                    <w:r>
                      <w:rPr>
                        <w:rFonts w:ascii="Arial" w:hAnsi="Arial"/>
                        <w:color w:val="231F20"/>
                        <w:sz w:val="17"/>
                      </w:rPr>
                      <w:t>dossiers</w:t>
                    </w:r>
                    <w:r>
                      <w:rPr>
                        <w:rFonts w:ascii="Arial" w:hAnsi="Arial"/>
                        <w:color w:val="231F20"/>
                        <w:spacing w:val="-9"/>
                        <w:sz w:val="17"/>
                      </w:rPr>
                      <w:t> </w:t>
                    </w:r>
                    <w:r>
                      <w:rPr>
                        <w:rFonts w:ascii="Arial" w:hAnsi="Arial"/>
                        <w:color w:val="231F20"/>
                        <w:sz w:val="17"/>
                      </w:rPr>
                      <w:t>correctement.</w:t>
                    </w:r>
                    <w:r>
                      <w:rPr>
                        <w:rFonts w:ascii="Arial" w:hAnsi="Arial"/>
                        <w:color w:val="231F20"/>
                        <w:spacing w:val="-9"/>
                        <w:sz w:val="17"/>
                      </w:rPr>
                      <w:t> </w:t>
                    </w:r>
                    <w:r>
                      <w:rPr>
                        <w:rFonts w:ascii="Arial" w:hAnsi="Arial"/>
                        <w:color w:val="231F20"/>
                        <w:spacing w:val="-5"/>
                        <w:sz w:val="17"/>
                      </w:rPr>
                      <w:t>Ses</w:t>
                    </w:r>
                  </w:p>
                </w:txbxContent>
              </v:textbox>
              <w10:wrap type="none"/>
            </v:shape>
            <w10:wrap type="topAndBottom"/>
          </v:group>
        </w:pict>
      </w:r>
      <w:r>
        <w:rPr/>
        <w:pict>
          <v:shape style="position:absolute;margin-left:62.5pt;margin-top:195.326797pt;width:287.5pt;height:.1pt;mso-position-horizontal-relative:page;mso-position-vertical-relative:paragraph;z-index:-15667200;mso-wrap-distance-left:0;mso-wrap-distance-right:0" id="docshape766" coordorigin="1250,3907" coordsize="5750,0" path="m1250,3907l7000,3907e" filled="false" stroked="true" strokeweight=".25pt" strokecolor="#231f20">
            <v:path arrowok="t"/>
            <v:stroke dashstyle="shortdot"/>
            <w10:wrap type="topAndBottom"/>
          </v:shape>
        </w:pict>
      </w:r>
    </w:p>
    <w:p>
      <w:pPr>
        <w:pStyle w:val="BodyText"/>
        <w:spacing w:before="6"/>
        <w:rPr>
          <w:sz w:val="23"/>
        </w:rPr>
      </w:pPr>
    </w:p>
    <w:p>
      <w:pPr>
        <w:pStyle w:val="ListParagraph"/>
        <w:numPr>
          <w:ilvl w:val="0"/>
          <w:numId w:val="42"/>
        </w:numPr>
        <w:tabs>
          <w:tab w:pos="829" w:val="left" w:leader="none"/>
          <w:tab w:pos="830" w:val="left" w:leader="none"/>
        </w:tabs>
        <w:spacing w:line="295" w:lineRule="auto" w:before="135" w:after="0"/>
        <w:ind w:left="829" w:right="495" w:hanging="406"/>
        <w:jc w:val="left"/>
        <w:rPr>
          <w:rFonts w:ascii="Arial" w:hAnsi="Arial"/>
          <w:sz w:val="12"/>
        </w:rPr>
      </w:pPr>
      <w:r>
        <w:rPr>
          <w:rFonts w:ascii="Arial" w:hAnsi="Arial"/>
          <w:color w:val="231F20"/>
          <w:sz w:val="12"/>
        </w:rPr>
        <w:t>Gosselin, E., Dolan, S. et Morin, D. (2017). </w:t>
      </w:r>
      <w:r>
        <w:rPr>
          <w:rFonts w:ascii="Arial" w:hAnsi="Arial"/>
          <w:i/>
          <w:color w:val="231F20"/>
          <w:sz w:val="12"/>
        </w:rPr>
        <w:t>Aspects humains des organisations</w:t>
      </w:r>
      <w:r>
        <w:rPr>
          <w:rFonts w:ascii="Arial" w:hAnsi="Arial"/>
          <w:i/>
          <w:color w:val="231F20"/>
          <w:spacing w:val="-17"/>
          <w:sz w:val="12"/>
        </w:rPr>
        <w:t> </w:t>
      </w:r>
      <w:r>
        <w:rPr>
          <w:rFonts w:ascii="Arial" w:hAnsi="Arial"/>
          <w:i/>
          <w:color w:val="231F20"/>
          <w:sz w:val="12"/>
        </w:rPr>
        <w:t>: psychologie du travail et</w:t>
      </w:r>
      <w:r>
        <w:rPr>
          <w:rFonts w:ascii="Arial" w:hAnsi="Arial"/>
          <w:i/>
          <w:color w:val="231F20"/>
          <w:spacing w:val="40"/>
          <w:sz w:val="12"/>
        </w:rPr>
        <w:t> </w:t>
      </w:r>
      <w:r>
        <w:rPr>
          <w:rFonts w:ascii="Arial" w:hAnsi="Arial"/>
          <w:i/>
          <w:color w:val="231F20"/>
          <w:sz w:val="12"/>
        </w:rPr>
        <w:t>comportement organisationnel</w:t>
      </w:r>
      <w:r>
        <w:rPr>
          <w:rFonts w:ascii="Arial" w:hAnsi="Arial"/>
          <w:color w:val="231F20"/>
          <w:sz w:val="12"/>
        </w:rPr>
        <w:t>, Montréal, Chenelière Éducation.</w:t>
      </w:r>
    </w:p>
    <w:p>
      <w:pPr>
        <w:spacing w:after="0" w:line="295" w:lineRule="auto"/>
        <w:jc w:val="left"/>
        <w:rPr>
          <w:rFonts w:ascii="Arial" w:hAnsi="Arial"/>
          <w:sz w:val="12"/>
        </w:rPr>
        <w:sectPr>
          <w:footerReference w:type="default" r:id="rId221"/>
          <w:pgSz w:w="8640" w:h="12960"/>
          <w:pgMar w:footer="424" w:header="0" w:top="520" w:bottom="62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BodyText"/>
        <w:spacing w:line="307" w:lineRule="auto" w:before="139"/>
        <w:ind w:left="1470" w:right="349"/>
        <w:jc w:val="both"/>
        <w:rPr>
          <w:rFonts w:ascii="Arial" w:hAnsi="Arial"/>
        </w:rPr>
      </w:pPr>
      <w:r>
        <w:rPr/>
        <w:pict>
          <v:shape style="position:absolute;margin-left:82.000008pt;margin-top:-4.077127pt;width:287.5pt;height:531pt;mso-position-horizontal-relative:page;mso-position-vertical-relative:paragraph;z-index:-20947456" id="docshape768" coordorigin="1640,-82" coordsize="5750,10620" path="m7390,-82l1640,-82,1640,1748,1640,2048,1640,10538,7390,10538,7390,1748,7390,-82xe" filled="true" fillcolor="#e2e3e4" stroked="false">
            <v:path arrowok="t"/>
            <v:fill type="solid"/>
            <w10:wrap type="none"/>
          </v:shape>
        </w:pict>
      </w:r>
      <w:r>
        <w:rPr>
          <w:rFonts w:ascii="Arial" w:hAnsi="Arial"/>
          <w:color w:val="231F20"/>
        </w:rPr>
        <w:t>effets</w:t>
      </w:r>
      <w:r>
        <w:rPr>
          <w:rFonts w:ascii="Arial" w:hAnsi="Arial"/>
          <w:color w:val="231F20"/>
          <w:spacing w:val="-10"/>
        </w:rPr>
        <w:t> </w:t>
      </w:r>
      <w:r>
        <w:rPr>
          <w:rFonts w:ascii="Arial" w:hAnsi="Arial"/>
          <w:color w:val="231F20"/>
        </w:rPr>
        <w:t>sont,</w:t>
      </w:r>
      <w:r>
        <w:rPr>
          <w:rFonts w:ascii="Arial" w:hAnsi="Arial"/>
          <w:color w:val="231F20"/>
          <w:spacing w:val="-10"/>
        </w:rPr>
        <w:t> </w:t>
      </w:r>
      <w:r>
        <w:rPr>
          <w:rFonts w:ascii="Arial" w:hAnsi="Arial"/>
          <w:color w:val="231F20"/>
        </w:rPr>
        <w:t>en</w:t>
      </w:r>
      <w:r>
        <w:rPr>
          <w:rFonts w:ascii="Arial" w:hAnsi="Arial"/>
          <w:color w:val="231F20"/>
          <w:spacing w:val="-10"/>
        </w:rPr>
        <w:t> </w:t>
      </w:r>
      <w:r>
        <w:rPr>
          <w:rFonts w:ascii="Arial" w:hAnsi="Arial"/>
          <w:color w:val="231F20"/>
        </w:rPr>
        <w:t>effet,</w:t>
      </w:r>
      <w:r>
        <w:rPr>
          <w:rFonts w:ascii="Arial" w:hAnsi="Arial"/>
          <w:color w:val="231F20"/>
          <w:spacing w:val="-10"/>
        </w:rPr>
        <w:t> </w:t>
      </w:r>
      <w:r>
        <w:rPr>
          <w:rFonts w:ascii="Arial" w:hAnsi="Arial"/>
          <w:color w:val="231F20"/>
        </w:rPr>
        <w:t>redoutables</w:t>
      </w:r>
      <w:r>
        <w:rPr>
          <w:rFonts w:ascii="Arial" w:hAnsi="Arial"/>
          <w:color w:val="231F20"/>
          <w:spacing w:val="-10"/>
        </w:rPr>
        <w:t> </w:t>
      </w:r>
      <w:r>
        <w:rPr>
          <w:rFonts w:ascii="Arial" w:hAnsi="Arial"/>
          <w:color w:val="231F20"/>
        </w:rPr>
        <w:t>à</w:t>
      </w:r>
      <w:r>
        <w:rPr>
          <w:rFonts w:ascii="Arial" w:hAnsi="Arial"/>
          <w:color w:val="231F20"/>
          <w:spacing w:val="-10"/>
        </w:rPr>
        <w:t> </w:t>
      </w:r>
      <w:r>
        <w:rPr>
          <w:rFonts w:ascii="Arial" w:hAnsi="Arial"/>
          <w:color w:val="231F20"/>
        </w:rPr>
        <w:t>ce</w:t>
      </w:r>
      <w:r>
        <w:rPr>
          <w:rFonts w:ascii="Arial" w:hAnsi="Arial"/>
          <w:color w:val="231F20"/>
          <w:spacing w:val="-10"/>
        </w:rPr>
        <w:t> </w:t>
      </w:r>
      <w:r>
        <w:rPr>
          <w:rFonts w:ascii="Arial" w:hAnsi="Arial"/>
          <w:color w:val="231F20"/>
        </w:rPr>
        <w:t>niveau.</w:t>
      </w:r>
      <w:r>
        <w:rPr>
          <w:rFonts w:ascii="Arial" w:hAnsi="Arial"/>
          <w:color w:val="231F20"/>
          <w:spacing w:val="-10"/>
        </w:rPr>
        <w:t> </w:t>
      </w:r>
      <w:r>
        <w:rPr>
          <w:rFonts w:ascii="Arial" w:hAnsi="Arial"/>
          <w:color w:val="231F20"/>
        </w:rPr>
        <w:t>La</w:t>
      </w:r>
      <w:r>
        <w:rPr>
          <w:rFonts w:ascii="Arial" w:hAnsi="Arial"/>
          <w:color w:val="231F20"/>
          <w:spacing w:val="-10"/>
        </w:rPr>
        <w:t> </w:t>
      </w:r>
      <w:r>
        <w:rPr>
          <w:rFonts w:ascii="Arial" w:hAnsi="Arial"/>
          <w:color w:val="231F20"/>
        </w:rPr>
        <w:t>qualité</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votre</w:t>
      </w:r>
      <w:r>
        <w:rPr>
          <w:rFonts w:ascii="Arial" w:hAnsi="Arial"/>
          <w:color w:val="231F20"/>
          <w:spacing w:val="-10"/>
        </w:rPr>
        <w:t> </w:t>
      </w:r>
      <w:r>
        <w:rPr>
          <w:rFonts w:ascii="Arial" w:hAnsi="Arial"/>
          <w:color w:val="231F20"/>
        </w:rPr>
        <w:t>travail ne</w:t>
      </w:r>
      <w:r>
        <w:rPr>
          <w:rFonts w:ascii="Arial" w:hAnsi="Arial"/>
          <w:color w:val="231F20"/>
          <w:spacing w:val="-2"/>
        </w:rPr>
        <w:t> </w:t>
      </w:r>
      <w:r>
        <w:rPr>
          <w:rFonts w:ascii="Arial" w:hAnsi="Arial"/>
          <w:color w:val="231F20"/>
        </w:rPr>
        <w:t>peut</w:t>
      </w:r>
      <w:r>
        <w:rPr>
          <w:rFonts w:ascii="Arial" w:hAnsi="Arial"/>
          <w:color w:val="231F20"/>
          <w:spacing w:val="-2"/>
        </w:rPr>
        <w:t> </w:t>
      </w:r>
      <w:r>
        <w:rPr>
          <w:rFonts w:ascii="Arial" w:hAnsi="Arial"/>
          <w:color w:val="231F20"/>
        </w:rPr>
        <w:t>alors</w:t>
      </w:r>
      <w:r>
        <w:rPr>
          <w:rFonts w:ascii="Arial" w:hAnsi="Arial"/>
          <w:color w:val="231F20"/>
          <w:spacing w:val="-2"/>
        </w:rPr>
        <w:t> </w:t>
      </w:r>
      <w:r>
        <w:rPr>
          <w:rFonts w:ascii="Arial" w:hAnsi="Arial"/>
          <w:color w:val="231F20"/>
        </w:rPr>
        <w:t>pas</w:t>
      </w:r>
      <w:r>
        <w:rPr>
          <w:rFonts w:ascii="Arial" w:hAnsi="Arial"/>
          <w:color w:val="231F20"/>
          <w:spacing w:val="-2"/>
        </w:rPr>
        <w:t> </w:t>
      </w:r>
      <w:r>
        <w:rPr>
          <w:rFonts w:ascii="Arial" w:hAnsi="Arial"/>
          <w:color w:val="231F20"/>
        </w:rPr>
        <w:t>rester</w:t>
      </w:r>
      <w:r>
        <w:rPr>
          <w:rFonts w:ascii="Arial" w:hAnsi="Arial"/>
          <w:color w:val="231F20"/>
          <w:spacing w:val="-2"/>
        </w:rPr>
        <w:t> </w:t>
      </w:r>
      <w:r>
        <w:rPr>
          <w:rFonts w:ascii="Arial" w:hAnsi="Arial"/>
          <w:color w:val="231F20"/>
        </w:rPr>
        <w:t>la</w:t>
      </w:r>
      <w:r>
        <w:rPr>
          <w:rFonts w:ascii="Arial" w:hAnsi="Arial"/>
          <w:color w:val="231F20"/>
          <w:spacing w:val="-2"/>
        </w:rPr>
        <w:t> </w:t>
      </w:r>
      <w:r>
        <w:rPr>
          <w:rFonts w:ascii="Arial" w:hAnsi="Arial"/>
          <w:color w:val="231F20"/>
        </w:rPr>
        <w:t>même</w:t>
      </w:r>
      <w:r>
        <w:rPr>
          <w:rFonts w:ascii="Arial" w:hAnsi="Arial"/>
          <w:color w:val="231F20"/>
          <w:spacing w:val="-2"/>
        </w:rPr>
        <w:t> </w:t>
      </w:r>
      <w:r>
        <w:rPr>
          <w:rFonts w:ascii="Arial" w:hAnsi="Arial"/>
          <w:color w:val="231F20"/>
        </w:rPr>
        <w:t>que</w:t>
      </w:r>
      <w:r>
        <w:rPr>
          <w:rFonts w:ascii="Arial" w:hAnsi="Arial"/>
          <w:color w:val="231F20"/>
          <w:spacing w:val="-2"/>
        </w:rPr>
        <w:t> </w:t>
      </w:r>
      <w:r>
        <w:rPr>
          <w:rFonts w:ascii="Arial" w:hAnsi="Arial"/>
          <w:color w:val="231F20"/>
        </w:rPr>
        <w:t>celle</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tous</w:t>
      </w:r>
      <w:r>
        <w:rPr>
          <w:rFonts w:ascii="Arial" w:hAnsi="Arial"/>
          <w:color w:val="231F20"/>
          <w:spacing w:val="-2"/>
        </w:rPr>
        <w:t> </w:t>
      </w:r>
      <w:r>
        <w:rPr>
          <w:rFonts w:ascii="Arial" w:hAnsi="Arial"/>
          <w:color w:val="231F20"/>
        </w:rPr>
        <w:t>les</w:t>
      </w:r>
      <w:r>
        <w:rPr>
          <w:rFonts w:ascii="Arial" w:hAnsi="Arial"/>
          <w:color w:val="231F20"/>
          <w:spacing w:val="-2"/>
        </w:rPr>
        <w:t> </w:t>
      </w:r>
      <w:r>
        <w:rPr>
          <w:rFonts w:ascii="Arial" w:hAnsi="Arial"/>
          <w:color w:val="231F20"/>
        </w:rPr>
        <w:t>jours.</w:t>
      </w:r>
      <w:r>
        <w:rPr>
          <w:rFonts w:ascii="Arial" w:hAnsi="Arial"/>
          <w:color w:val="231F20"/>
          <w:spacing w:val="-2"/>
        </w:rPr>
        <w:t> </w:t>
      </w:r>
      <w:r>
        <w:rPr>
          <w:rFonts w:ascii="Arial" w:hAnsi="Arial"/>
          <w:color w:val="231F20"/>
        </w:rPr>
        <w:t>Un</w:t>
      </w:r>
      <w:r>
        <w:rPr>
          <w:rFonts w:ascii="Arial" w:hAnsi="Arial"/>
          <w:color w:val="231F20"/>
          <w:spacing w:val="-2"/>
        </w:rPr>
        <w:t> </w:t>
      </w:r>
      <w:r>
        <w:rPr>
          <w:rFonts w:ascii="Arial" w:hAnsi="Arial"/>
          <w:color w:val="231F20"/>
        </w:rPr>
        <w:t>autre problème</w:t>
      </w:r>
      <w:r>
        <w:rPr>
          <w:rFonts w:ascii="Arial" w:hAnsi="Arial"/>
          <w:color w:val="231F20"/>
          <w:spacing w:val="-12"/>
        </w:rPr>
        <w:t> </w:t>
      </w:r>
      <w:r>
        <w:rPr>
          <w:rFonts w:ascii="Arial" w:hAnsi="Arial"/>
          <w:color w:val="231F20"/>
        </w:rPr>
        <w:t>survient,</w:t>
      </w:r>
      <w:r>
        <w:rPr>
          <w:rFonts w:ascii="Arial" w:hAnsi="Arial"/>
          <w:color w:val="231F20"/>
          <w:spacing w:val="-11"/>
        </w:rPr>
        <w:t> </w:t>
      </w:r>
      <w:r>
        <w:rPr>
          <w:rFonts w:ascii="Arial" w:hAnsi="Arial"/>
          <w:color w:val="231F20"/>
        </w:rPr>
        <w:t>par</w:t>
      </w:r>
      <w:r>
        <w:rPr>
          <w:rFonts w:ascii="Arial" w:hAnsi="Arial"/>
          <w:color w:val="231F20"/>
          <w:spacing w:val="-12"/>
        </w:rPr>
        <w:t> </w:t>
      </w:r>
      <w:r>
        <w:rPr>
          <w:rFonts w:ascii="Arial" w:hAnsi="Arial"/>
          <w:color w:val="231F20"/>
        </w:rPr>
        <w:t>la</w:t>
      </w:r>
      <w:r>
        <w:rPr>
          <w:rFonts w:ascii="Arial" w:hAnsi="Arial"/>
          <w:color w:val="231F20"/>
          <w:spacing w:val="-11"/>
        </w:rPr>
        <w:t> </w:t>
      </w:r>
      <w:r>
        <w:rPr>
          <w:rFonts w:ascii="Arial" w:hAnsi="Arial"/>
          <w:color w:val="231F20"/>
        </w:rPr>
        <w:t>même</w:t>
      </w:r>
      <w:r>
        <w:rPr>
          <w:rFonts w:ascii="Arial" w:hAnsi="Arial"/>
          <w:color w:val="231F20"/>
          <w:spacing w:val="-12"/>
        </w:rPr>
        <w:t> </w:t>
      </w:r>
      <w:r>
        <w:rPr>
          <w:rFonts w:ascii="Arial" w:hAnsi="Arial"/>
          <w:color w:val="231F20"/>
        </w:rPr>
        <w:t>occasion,</w:t>
      </w:r>
      <w:r>
        <w:rPr>
          <w:rFonts w:ascii="Arial" w:hAnsi="Arial"/>
          <w:color w:val="231F20"/>
          <w:spacing w:val="-11"/>
        </w:rPr>
        <w:t> </w:t>
      </w:r>
      <w:r>
        <w:rPr>
          <w:rFonts w:ascii="Arial" w:hAnsi="Arial"/>
          <w:color w:val="231F20"/>
        </w:rPr>
        <w:t>celui</w:t>
      </w:r>
      <w:r>
        <w:rPr>
          <w:rFonts w:ascii="Arial" w:hAnsi="Arial"/>
          <w:color w:val="231F20"/>
          <w:spacing w:val="-12"/>
        </w:rPr>
        <w:t> </w:t>
      </w:r>
      <w:r>
        <w:rPr>
          <w:rFonts w:ascii="Arial" w:hAnsi="Arial"/>
          <w:color w:val="231F20"/>
        </w:rPr>
        <w:t>de</w:t>
      </w:r>
      <w:r>
        <w:rPr>
          <w:rFonts w:ascii="Arial" w:hAnsi="Arial"/>
          <w:color w:val="231F20"/>
          <w:spacing w:val="-11"/>
        </w:rPr>
        <w:t> </w:t>
      </w:r>
      <w:r>
        <w:rPr>
          <w:rFonts w:ascii="Arial" w:hAnsi="Arial"/>
          <w:color w:val="231F20"/>
        </w:rPr>
        <w:t>l’organisation.</w:t>
      </w:r>
      <w:r>
        <w:rPr>
          <w:rFonts w:ascii="Arial" w:hAnsi="Arial"/>
          <w:color w:val="231F20"/>
          <w:spacing w:val="-12"/>
        </w:rPr>
        <w:t> </w:t>
      </w:r>
      <w:r>
        <w:rPr>
          <w:rFonts w:ascii="Arial" w:hAnsi="Arial"/>
          <w:color w:val="231F20"/>
        </w:rPr>
        <w:t>Vous </w:t>
      </w:r>
      <w:r>
        <w:rPr>
          <w:rFonts w:ascii="Arial" w:hAnsi="Arial"/>
          <w:color w:val="231F20"/>
          <w:spacing w:val="-2"/>
        </w:rPr>
        <w:t>n’avancerez</w:t>
      </w:r>
      <w:r>
        <w:rPr>
          <w:rFonts w:ascii="Arial" w:hAnsi="Arial"/>
          <w:color w:val="231F20"/>
          <w:spacing w:val="-7"/>
        </w:rPr>
        <w:t> </w:t>
      </w:r>
      <w:r>
        <w:rPr>
          <w:rFonts w:ascii="Arial" w:hAnsi="Arial"/>
          <w:color w:val="231F20"/>
          <w:spacing w:val="-2"/>
        </w:rPr>
        <w:t>pas</w:t>
      </w:r>
      <w:r>
        <w:rPr>
          <w:rFonts w:ascii="Arial" w:hAnsi="Arial"/>
          <w:color w:val="231F20"/>
          <w:spacing w:val="-7"/>
        </w:rPr>
        <w:t> </w:t>
      </w:r>
      <w:r>
        <w:rPr>
          <w:rFonts w:ascii="Arial" w:hAnsi="Arial"/>
          <w:color w:val="231F20"/>
          <w:spacing w:val="-2"/>
        </w:rPr>
        <w:t>à</w:t>
      </w:r>
      <w:r>
        <w:rPr>
          <w:rFonts w:ascii="Arial" w:hAnsi="Arial"/>
          <w:color w:val="231F20"/>
          <w:spacing w:val="-7"/>
        </w:rPr>
        <w:t> </w:t>
      </w:r>
      <w:r>
        <w:rPr>
          <w:rFonts w:ascii="Arial" w:hAnsi="Arial"/>
          <w:color w:val="231F20"/>
          <w:spacing w:val="-2"/>
        </w:rPr>
        <w:t>la</w:t>
      </w:r>
      <w:r>
        <w:rPr>
          <w:rFonts w:ascii="Arial" w:hAnsi="Arial"/>
          <w:color w:val="231F20"/>
          <w:spacing w:val="-7"/>
        </w:rPr>
        <w:t> </w:t>
      </w:r>
      <w:r>
        <w:rPr>
          <w:rFonts w:ascii="Arial" w:hAnsi="Arial"/>
          <w:color w:val="231F20"/>
          <w:spacing w:val="-2"/>
        </w:rPr>
        <w:t>même</w:t>
      </w:r>
      <w:r>
        <w:rPr>
          <w:rFonts w:ascii="Arial" w:hAnsi="Arial"/>
          <w:color w:val="231F20"/>
          <w:spacing w:val="-7"/>
        </w:rPr>
        <w:t> </w:t>
      </w:r>
      <w:r>
        <w:rPr>
          <w:rFonts w:ascii="Arial" w:hAnsi="Arial"/>
          <w:color w:val="231F20"/>
          <w:spacing w:val="-2"/>
        </w:rPr>
        <w:t>vitesse</w:t>
      </w:r>
      <w:r>
        <w:rPr>
          <w:rFonts w:ascii="Arial" w:hAnsi="Arial"/>
          <w:color w:val="231F20"/>
          <w:spacing w:val="-7"/>
        </w:rPr>
        <w:t> </w:t>
      </w:r>
      <w:r>
        <w:rPr>
          <w:rFonts w:ascii="Arial" w:hAnsi="Arial"/>
          <w:color w:val="231F20"/>
          <w:spacing w:val="-2"/>
        </w:rPr>
        <w:t>qu’en</w:t>
      </w:r>
      <w:r>
        <w:rPr>
          <w:rFonts w:ascii="Arial" w:hAnsi="Arial"/>
          <w:color w:val="231F20"/>
          <w:spacing w:val="-7"/>
        </w:rPr>
        <w:t> </w:t>
      </w:r>
      <w:r>
        <w:rPr>
          <w:rFonts w:ascii="Arial" w:hAnsi="Arial"/>
          <w:color w:val="231F20"/>
          <w:spacing w:val="-2"/>
        </w:rPr>
        <w:t>temps</w:t>
      </w:r>
      <w:r>
        <w:rPr>
          <w:rFonts w:ascii="Arial" w:hAnsi="Arial"/>
          <w:color w:val="231F20"/>
          <w:spacing w:val="-7"/>
        </w:rPr>
        <w:t> </w:t>
      </w:r>
      <w:r>
        <w:rPr>
          <w:rFonts w:ascii="Arial" w:hAnsi="Arial"/>
          <w:color w:val="231F20"/>
          <w:spacing w:val="-2"/>
        </w:rPr>
        <w:t>normal</w:t>
      </w:r>
      <w:r>
        <w:rPr>
          <w:rFonts w:ascii="Arial" w:hAnsi="Arial"/>
          <w:color w:val="231F20"/>
          <w:spacing w:val="-7"/>
        </w:rPr>
        <w:t> </w:t>
      </w:r>
      <w:r>
        <w:rPr>
          <w:rFonts w:ascii="Arial" w:hAnsi="Arial"/>
          <w:color w:val="231F20"/>
          <w:spacing w:val="-2"/>
        </w:rPr>
        <w:t>et</w:t>
      </w:r>
      <w:r>
        <w:rPr>
          <w:rFonts w:ascii="Arial" w:hAnsi="Arial"/>
          <w:color w:val="231F20"/>
          <w:spacing w:val="-7"/>
        </w:rPr>
        <w:t> </w:t>
      </w:r>
      <w:r>
        <w:rPr>
          <w:rFonts w:ascii="Arial" w:hAnsi="Arial"/>
          <w:color w:val="231F20"/>
          <w:spacing w:val="-2"/>
        </w:rPr>
        <w:t>accumulerez </w:t>
      </w:r>
      <w:r>
        <w:rPr>
          <w:rFonts w:ascii="Arial" w:hAnsi="Arial"/>
          <w:color w:val="231F20"/>
        </w:rPr>
        <w:t>ainsi du retard. Des délais supplémentaires bouleverseront votre quotidien et changeront votre emploi du temps. Les conséquences demeurent les mêmes pour vos salariés.</w:t>
      </w:r>
    </w:p>
    <w:p>
      <w:pPr>
        <w:pStyle w:val="BodyText"/>
        <w:spacing w:line="307" w:lineRule="auto" w:before="79"/>
        <w:ind w:left="1470" w:right="355"/>
        <w:jc w:val="both"/>
        <w:rPr>
          <w:rFonts w:ascii="Arial" w:hAnsi="Arial"/>
        </w:rPr>
      </w:pPr>
      <w:r>
        <w:rPr>
          <w:rFonts w:ascii="Arial" w:hAnsi="Arial"/>
          <w:b/>
          <w:color w:val="231F20"/>
        </w:rPr>
        <w:t>Le</w:t>
      </w:r>
      <w:r>
        <w:rPr>
          <w:rFonts w:ascii="Arial" w:hAnsi="Arial"/>
          <w:b/>
          <w:color w:val="231F20"/>
          <w:spacing w:val="-12"/>
        </w:rPr>
        <w:t> </w:t>
      </w:r>
      <w:r>
        <w:rPr>
          <w:rFonts w:ascii="Arial" w:hAnsi="Arial"/>
          <w:b/>
          <w:color w:val="231F20"/>
        </w:rPr>
        <w:t>risque</w:t>
      </w:r>
      <w:r>
        <w:rPr>
          <w:rFonts w:ascii="Arial" w:hAnsi="Arial"/>
          <w:b/>
          <w:color w:val="231F20"/>
          <w:spacing w:val="-12"/>
        </w:rPr>
        <w:t> </w:t>
      </w:r>
      <w:r>
        <w:rPr>
          <w:rFonts w:ascii="Arial" w:hAnsi="Arial"/>
          <w:b/>
          <w:color w:val="231F20"/>
        </w:rPr>
        <w:t>économique</w:t>
      </w:r>
      <w:r>
        <w:rPr>
          <w:rFonts w:ascii="Arial" w:hAnsi="Arial"/>
          <w:b/>
          <w:color w:val="231F20"/>
          <w:spacing w:val="-12"/>
        </w:rPr>
        <w:t> </w:t>
      </w:r>
      <w:r>
        <w:rPr>
          <w:rFonts w:ascii="Arial" w:hAnsi="Arial"/>
          <w:color w:val="231F20"/>
        </w:rPr>
        <w:t>–</w:t>
      </w:r>
      <w:r>
        <w:rPr>
          <w:rFonts w:ascii="Arial" w:hAnsi="Arial"/>
          <w:color w:val="231F20"/>
          <w:spacing w:val="-12"/>
        </w:rPr>
        <w:t> </w:t>
      </w:r>
      <w:r>
        <w:rPr>
          <w:rFonts w:ascii="Arial" w:hAnsi="Arial"/>
          <w:color w:val="231F20"/>
        </w:rPr>
        <w:t>Le</w:t>
      </w:r>
      <w:r>
        <w:rPr>
          <w:rFonts w:ascii="Arial" w:hAnsi="Arial"/>
          <w:color w:val="231F20"/>
          <w:spacing w:val="-12"/>
        </w:rPr>
        <w:t> </w:t>
      </w:r>
      <w:r>
        <w:rPr>
          <w:rFonts w:ascii="Arial" w:hAnsi="Arial"/>
          <w:color w:val="231F20"/>
        </w:rPr>
        <w:t>stress</w:t>
      </w:r>
      <w:r>
        <w:rPr>
          <w:rFonts w:ascii="Arial" w:hAnsi="Arial"/>
          <w:color w:val="231F20"/>
          <w:spacing w:val="-11"/>
        </w:rPr>
        <w:t> </w:t>
      </w:r>
      <w:r>
        <w:rPr>
          <w:rFonts w:ascii="Arial" w:hAnsi="Arial"/>
          <w:color w:val="231F20"/>
        </w:rPr>
        <w:t>se</w:t>
      </w:r>
      <w:r>
        <w:rPr>
          <w:rFonts w:ascii="Arial" w:hAnsi="Arial"/>
          <w:color w:val="231F20"/>
          <w:spacing w:val="-12"/>
        </w:rPr>
        <w:t> </w:t>
      </w:r>
      <w:r>
        <w:rPr>
          <w:rFonts w:ascii="Arial" w:hAnsi="Arial"/>
          <w:color w:val="231F20"/>
        </w:rPr>
        <w:t>répercute</w:t>
      </w:r>
      <w:r>
        <w:rPr>
          <w:rFonts w:ascii="Arial" w:hAnsi="Arial"/>
          <w:color w:val="231F20"/>
          <w:spacing w:val="-11"/>
        </w:rPr>
        <w:t> </w:t>
      </w:r>
      <w:r>
        <w:rPr>
          <w:rFonts w:ascii="Arial" w:hAnsi="Arial"/>
          <w:color w:val="231F20"/>
        </w:rPr>
        <w:t>sur</w:t>
      </w:r>
      <w:r>
        <w:rPr>
          <w:rFonts w:ascii="Arial" w:hAnsi="Arial"/>
          <w:color w:val="231F20"/>
          <w:spacing w:val="-10"/>
        </w:rPr>
        <w:t> </w:t>
      </w:r>
      <w:r>
        <w:rPr>
          <w:rFonts w:ascii="Arial" w:hAnsi="Arial"/>
          <w:color w:val="231F20"/>
        </w:rPr>
        <w:t>la</w:t>
      </w:r>
      <w:r>
        <w:rPr>
          <w:rFonts w:ascii="Arial" w:hAnsi="Arial"/>
          <w:color w:val="231F20"/>
          <w:spacing w:val="-10"/>
        </w:rPr>
        <w:t> </w:t>
      </w:r>
      <w:r>
        <w:rPr>
          <w:rFonts w:ascii="Arial" w:hAnsi="Arial"/>
          <w:color w:val="231F20"/>
        </w:rPr>
        <w:t>qualité</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votre travail ainsi que sur celle de vos salariés. Ce facteur inclut un autre risque,</w:t>
      </w:r>
      <w:r>
        <w:rPr>
          <w:rFonts w:ascii="Arial" w:hAnsi="Arial"/>
          <w:color w:val="231F20"/>
          <w:spacing w:val="-4"/>
        </w:rPr>
        <w:t> </w:t>
      </w:r>
      <w:r>
        <w:rPr>
          <w:rFonts w:ascii="Arial" w:hAnsi="Arial"/>
          <w:color w:val="231F20"/>
        </w:rPr>
        <w:t>celui</w:t>
      </w:r>
      <w:r>
        <w:rPr>
          <w:rFonts w:ascii="Arial" w:hAnsi="Arial"/>
          <w:color w:val="231F20"/>
          <w:spacing w:val="-4"/>
        </w:rPr>
        <w:t> </w:t>
      </w:r>
      <w:r>
        <w:rPr>
          <w:rFonts w:ascii="Arial" w:hAnsi="Arial"/>
          <w:color w:val="231F20"/>
        </w:rPr>
        <w:t>qui</w:t>
      </w:r>
      <w:r>
        <w:rPr>
          <w:rFonts w:ascii="Arial" w:hAnsi="Arial"/>
          <w:color w:val="231F20"/>
          <w:spacing w:val="-4"/>
        </w:rPr>
        <w:t> </w:t>
      </w:r>
      <w:r>
        <w:rPr>
          <w:rFonts w:ascii="Arial" w:hAnsi="Arial"/>
          <w:color w:val="231F20"/>
        </w:rPr>
        <w:t>est</w:t>
      </w:r>
      <w:r>
        <w:rPr>
          <w:rFonts w:ascii="Arial" w:hAnsi="Arial"/>
          <w:color w:val="231F20"/>
          <w:spacing w:val="-4"/>
        </w:rPr>
        <w:t> </w:t>
      </w:r>
      <w:r>
        <w:rPr>
          <w:rFonts w:ascii="Arial" w:hAnsi="Arial"/>
          <w:color w:val="231F20"/>
        </w:rPr>
        <w:t>économique.</w:t>
      </w:r>
      <w:r>
        <w:rPr>
          <w:rFonts w:ascii="Arial" w:hAnsi="Arial"/>
          <w:color w:val="231F20"/>
          <w:spacing w:val="-4"/>
        </w:rPr>
        <w:t> </w:t>
      </w:r>
      <w:r>
        <w:rPr>
          <w:rFonts w:ascii="Arial" w:hAnsi="Arial"/>
          <w:color w:val="231F20"/>
        </w:rPr>
        <w:t>En</w:t>
      </w:r>
      <w:r>
        <w:rPr>
          <w:rFonts w:ascii="Arial" w:hAnsi="Arial"/>
          <w:color w:val="231F20"/>
          <w:spacing w:val="-4"/>
        </w:rPr>
        <w:t> </w:t>
      </w:r>
      <w:r>
        <w:rPr>
          <w:rFonts w:ascii="Arial" w:hAnsi="Arial"/>
          <w:color w:val="231F20"/>
        </w:rPr>
        <w:t>cas</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grande</w:t>
      </w:r>
      <w:r>
        <w:rPr>
          <w:rFonts w:ascii="Arial" w:hAnsi="Arial"/>
          <w:color w:val="231F20"/>
          <w:spacing w:val="-4"/>
        </w:rPr>
        <w:t> </w:t>
      </w:r>
      <w:r>
        <w:rPr>
          <w:rFonts w:ascii="Arial" w:hAnsi="Arial"/>
          <w:color w:val="231F20"/>
        </w:rPr>
        <w:t>période</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stress, </w:t>
      </w:r>
      <w:r>
        <w:rPr>
          <w:rFonts w:ascii="Arial" w:hAnsi="Arial"/>
          <w:color w:val="231F20"/>
          <w:spacing w:val="-2"/>
        </w:rPr>
        <w:t>les</w:t>
      </w:r>
      <w:r>
        <w:rPr>
          <w:rFonts w:ascii="Arial" w:hAnsi="Arial"/>
          <w:color w:val="231F20"/>
          <w:spacing w:val="-9"/>
        </w:rPr>
        <w:t> </w:t>
      </w:r>
      <w:r>
        <w:rPr>
          <w:rFonts w:ascii="Arial" w:hAnsi="Arial"/>
          <w:color w:val="231F20"/>
          <w:spacing w:val="-2"/>
        </w:rPr>
        <w:t>répercussions</w:t>
      </w:r>
      <w:r>
        <w:rPr>
          <w:rFonts w:ascii="Arial" w:hAnsi="Arial"/>
          <w:color w:val="231F20"/>
          <w:spacing w:val="-9"/>
        </w:rPr>
        <w:t> </w:t>
      </w:r>
      <w:r>
        <w:rPr>
          <w:rFonts w:ascii="Arial" w:hAnsi="Arial"/>
          <w:color w:val="231F20"/>
          <w:spacing w:val="-2"/>
        </w:rPr>
        <w:t>pourraient</w:t>
      </w:r>
      <w:r>
        <w:rPr>
          <w:rFonts w:ascii="Arial" w:hAnsi="Arial"/>
          <w:color w:val="231F20"/>
          <w:spacing w:val="-9"/>
        </w:rPr>
        <w:t> </w:t>
      </w:r>
      <w:r>
        <w:rPr>
          <w:rFonts w:ascii="Arial" w:hAnsi="Arial"/>
          <w:color w:val="231F20"/>
          <w:spacing w:val="-2"/>
        </w:rPr>
        <w:t>se</w:t>
      </w:r>
      <w:r>
        <w:rPr>
          <w:rFonts w:ascii="Arial" w:hAnsi="Arial"/>
          <w:color w:val="231F20"/>
          <w:spacing w:val="-9"/>
        </w:rPr>
        <w:t> </w:t>
      </w:r>
      <w:r>
        <w:rPr>
          <w:rFonts w:ascii="Arial" w:hAnsi="Arial"/>
          <w:color w:val="231F20"/>
          <w:spacing w:val="-2"/>
        </w:rPr>
        <w:t>faire</w:t>
      </w:r>
      <w:r>
        <w:rPr>
          <w:rFonts w:ascii="Arial" w:hAnsi="Arial"/>
          <w:color w:val="231F20"/>
          <w:spacing w:val="-9"/>
        </w:rPr>
        <w:t> </w:t>
      </w:r>
      <w:r>
        <w:rPr>
          <w:rFonts w:ascii="Arial" w:hAnsi="Arial"/>
          <w:color w:val="231F20"/>
          <w:spacing w:val="-2"/>
        </w:rPr>
        <w:t>ressentir</w:t>
      </w:r>
      <w:r>
        <w:rPr>
          <w:rFonts w:ascii="Arial" w:hAnsi="Arial"/>
          <w:color w:val="231F20"/>
          <w:spacing w:val="-9"/>
        </w:rPr>
        <w:t> </w:t>
      </w:r>
      <w:r>
        <w:rPr>
          <w:rFonts w:ascii="Arial" w:hAnsi="Arial"/>
          <w:color w:val="231F20"/>
          <w:spacing w:val="-2"/>
        </w:rPr>
        <w:t>sur</w:t>
      </w:r>
      <w:r>
        <w:rPr>
          <w:rFonts w:ascii="Arial" w:hAnsi="Arial"/>
          <w:color w:val="231F20"/>
          <w:spacing w:val="-9"/>
        </w:rPr>
        <w:t> </w:t>
      </w:r>
      <w:r>
        <w:rPr>
          <w:rFonts w:ascii="Arial" w:hAnsi="Arial"/>
          <w:color w:val="231F20"/>
          <w:spacing w:val="-2"/>
        </w:rPr>
        <w:t>le</w:t>
      </w:r>
      <w:r>
        <w:rPr>
          <w:rFonts w:ascii="Arial" w:hAnsi="Arial"/>
          <w:color w:val="231F20"/>
          <w:spacing w:val="-9"/>
        </w:rPr>
        <w:t> </w:t>
      </w:r>
      <w:r>
        <w:rPr>
          <w:rFonts w:ascii="Arial" w:hAnsi="Arial"/>
          <w:color w:val="231F20"/>
          <w:spacing w:val="-2"/>
        </w:rPr>
        <w:t>plan</w:t>
      </w:r>
      <w:r>
        <w:rPr>
          <w:rFonts w:ascii="Arial" w:hAnsi="Arial"/>
          <w:color w:val="231F20"/>
          <w:spacing w:val="-9"/>
        </w:rPr>
        <w:t> </w:t>
      </w:r>
      <w:r>
        <w:rPr>
          <w:rFonts w:ascii="Arial" w:hAnsi="Arial"/>
          <w:color w:val="231F20"/>
          <w:spacing w:val="-2"/>
        </w:rPr>
        <w:t>de</w:t>
      </w:r>
      <w:r>
        <w:rPr>
          <w:rFonts w:ascii="Arial" w:hAnsi="Arial"/>
          <w:color w:val="231F20"/>
          <w:spacing w:val="-9"/>
        </w:rPr>
        <w:t> </w:t>
      </w:r>
      <w:r>
        <w:rPr>
          <w:rFonts w:ascii="Arial" w:hAnsi="Arial"/>
          <w:color w:val="231F20"/>
          <w:spacing w:val="-2"/>
        </w:rPr>
        <w:t>l’entreprise, </w:t>
      </w:r>
      <w:r>
        <w:rPr>
          <w:rFonts w:ascii="Arial" w:hAnsi="Arial"/>
          <w:color w:val="231F20"/>
        </w:rPr>
        <w:t>entraînant une possible perte d’argent. Ne laissez pas le stress vous submerger</w:t>
      </w:r>
      <w:r>
        <w:rPr>
          <w:rFonts w:ascii="Arial" w:hAnsi="Arial"/>
          <w:color w:val="231F20"/>
          <w:spacing w:val="-3"/>
        </w:rPr>
        <w:t> </w:t>
      </w:r>
      <w:r>
        <w:rPr>
          <w:rFonts w:ascii="Arial" w:hAnsi="Arial"/>
          <w:color w:val="231F20"/>
        </w:rPr>
        <w:t>à</w:t>
      </w:r>
      <w:r>
        <w:rPr>
          <w:rFonts w:ascii="Arial" w:hAnsi="Arial"/>
          <w:color w:val="231F20"/>
          <w:spacing w:val="-3"/>
        </w:rPr>
        <w:t> </w:t>
      </w:r>
      <w:r>
        <w:rPr>
          <w:rFonts w:ascii="Arial" w:hAnsi="Arial"/>
          <w:color w:val="231F20"/>
        </w:rPr>
        <w:t>ce</w:t>
      </w:r>
      <w:r>
        <w:rPr>
          <w:rFonts w:ascii="Arial" w:hAnsi="Arial"/>
          <w:color w:val="231F20"/>
          <w:spacing w:val="-3"/>
        </w:rPr>
        <w:t> </w:t>
      </w:r>
      <w:r>
        <w:rPr>
          <w:rFonts w:ascii="Arial" w:hAnsi="Arial"/>
          <w:color w:val="231F20"/>
        </w:rPr>
        <w:t>point!</w:t>
      </w:r>
      <w:r>
        <w:rPr>
          <w:rFonts w:ascii="Arial" w:hAnsi="Arial"/>
          <w:color w:val="231F20"/>
          <w:spacing w:val="-3"/>
        </w:rPr>
        <w:t> </w:t>
      </w:r>
      <w:r>
        <w:rPr>
          <w:rFonts w:ascii="Arial" w:hAnsi="Arial"/>
          <w:color w:val="231F20"/>
        </w:rPr>
        <w:t>Gardez</w:t>
      </w:r>
      <w:r>
        <w:rPr>
          <w:rFonts w:ascii="Arial" w:hAnsi="Arial"/>
          <w:color w:val="231F20"/>
          <w:spacing w:val="-3"/>
        </w:rPr>
        <w:t> </w:t>
      </w:r>
      <w:r>
        <w:rPr>
          <w:rFonts w:ascii="Arial" w:hAnsi="Arial"/>
          <w:color w:val="231F20"/>
        </w:rPr>
        <w:t>le</w:t>
      </w:r>
      <w:r>
        <w:rPr>
          <w:rFonts w:ascii="Arial" w:hAnsi="Arial"/>
          <w:color w:val="231F20"/>
          <w:spacing w:val="-3"/>
        </w:rPr>
        <w:t> </w:t>
      </w:r>
      <w:r>
        <w:rPr>
          <w:rFonts w:ascii="Arial" w:hAnsi="Arial"/>
          <w:color w:val="231F20"/>
        </w:rPr>
        <w:t>contrôle.</w:t>
      </w:r>
      <w:r>
        <w:rPr>
          <w:rFonts w:ascii="Arial" w:hAnsi="Arial"/>
          <w:color w:val="231F20"/>
          <w:spacing w:val="-3"/>
        </w:rPr>
        <w:t> </w:t>
      </w:r>
      <w:r>
        <w:rPr>
          <w:rFonts w:ascii="Arial" w:hAnsi="Arial"/>
          <w:color w:val="231F20"/>
        </w:rPr>
        <w:t>Vous</w:t>
      </w:r>
      <w:r>
        <w:rPr>
          <w:rFonts w:ascii="Arial" w:hAnsi="Arial"/>
          <w:color w:val="231F20"/>
          <w:spacing w:val="-3"/>
        </w:rPr>
        <w:t> </w:t>
      </w:r>
      <w:r>
        <w:rPr>
          <w:rFonts w:ascii="Arial" w:hAnsi="Arial"/>
          <w:color w:val="231F20"/>
        </w:rPr>
        <w:t>demeurez</w:t>
      </w:r>
      <w:r>
        <w:rPr>
          <w:rFonts w:ascii="Arial" w:hAnsi="Arial"/>
          <w:color w:val="231F20"/>
          <w:spacing w:val="-3"/>
        </w:rPr>
        <w:t> </w:t>
      </w:r>
      <w:r>
        <w:rPr>
          <w:rFonts w:ascii="Arial" w:hAnsi="Arial"/>
          <w:color w:val="231F20"/>
        </w:rPr>
        <w:t>le</w:t>
      </w:r>
      <w:r>
        <w:rPr>
          <w:rFonts w:ascii="Arial" w:hAnsi="Arial"/>
          <w:color w:val="231F20"/>
          <w:spacing w:val="-3"/>
        </w:rPr>
        <w:t> </w:t>
      </w:r>
      <w:r>
        <w:rPr>
          <w:rFonts w:ascii="Arial" w:hAnsi="Arial"/>
          <w:color w:val="231F20"/>
        </w:rPr>
        <w:t>dirigeant de votre société, ce qui implique que sa bonne gestion vous revient. Alors, faites de votre mieux pour gérer ce facteur et maintenir votre </w:t>
      </w:r>
      <w:r>
        <w:rPr>
          <w:rFonts w:ascii="Arial" w:hAnsi="Arial"/>
          <w:color w:val="231F20"/>
          <w:w w:val="95"/>
        </w:rPr>
        <w:t>business</w:t>
      </w:r>
      <w:r>
        <w:rPr>
          <w:rFonts w:ascii="Arial" w:hAnsi="Arial"/>
          <w:color w:val="231F20"/>
          <w:spacing w:val="-3"/>
          <w:w w:val="95"/>
        </w:rPr>
        <w:t> </w:t>
      </w:r>
      <w:r>
        <w:rPr>
          <w:rFonts w:ascii="Arial" w:hAnsi="Arial"/>
          <w:color w:val="231F20"/>
          <w:w w:val="95"/>
        </w:rPr>
        <w:t>sur</w:t>
      </w:r>
      <w:r>
        <w:rPr>
          <w:rFonts w:ascii="Arial" w:hAnsi="Arial"/>
          <w:color w:val="231F20"/>
          <w:spacing w:val="-3"/>
          <w:w w:val="95"/>
        </w:rPr>
        <w:t> </w:t>
      </w:r>
      <w:r>
        <w:rPr>
          <w:rFonts w:ascii="Arial" w:hAnsi="Arial"/>
          <w:color w:val="231F20"/>
          <w:w w:val="95"/>
        </w:rPr>
        <w:t>la</w:t>
      </w:r>
      <w:r>
        <w:rPr>
          <w:rFonts w:ascii="Arial" w:hAnsi="Arial"/>
          <w:color w:val="231F20"/>
          <w:spacing w:val="-3"/>
          <w:w w:val="95"/>
        </w:rPr>
        <w:t> </w:t>
      </w:r>
      <w:r>
        <w:rPr>
          <w:rFonts w:ascii="Arial" w:hAnsi="Arial"/>
          <w:color w:val="231F20"/>
          <w:w w:val="95"/>
        </w:rPr>
        <w:t>bonne</w:t>
      </w:r>
      <w:r>
        <w:rPr>
          <w:rFonts w:ascii="Arial" w:hAnsi="Arial"/>
          <w:color w:val="231F20"/>
          <w:spacing w:val="-3"/>
          <w:w w:val="95"/>
        </w:rPr>
        <w:t> </w:t>
      </w:r>
      <w:r>
        <w:rPr>
          <w:rFonts w:ascii="Arial" w:hAnsi="Arial"/>
          <w:color w:val="231F20"/>
          <w:w w:val="95"/>
        </w:rPr>
        <w:t>voie.</w:t>
      </w:r>
      <w:r>
        <w:rPr>
          <w:rFonts w:ascii="Arial" w:hAnsi="Arial"/>
          <w:color w:val="231F20"/>
          <w:spacing w:val="-3"/>
          <w:w w:val="95"/>
        </w:rPr>
        <w:t> </w:t>
      </w:r>
      <w:r>
        <w:rPr>
          <w:rFonts w:ascii="Arial" w:hAnsi="Arial"/>
          <w:color w:val="231F20"/>
          <w:w w:val="95"/>
        </w:rPr>
        <w:t>Il</w:t>
      </w:r>
      <w:r>
        <w:rPr>
          <w:rFonts w:ascii="Arial" w:hAnsi="Arial"/>
          <w:color w:val="231F20"/>
          <w:spacing w:val="-3"/>
          <w:w w:val="95"/>
        </w:rPr>
        <w:t> </w:t>
      </w:r>
      <w:r>
        <w:rPr>
          <w:rFonts w:ascii="Arial" w:hAnsi="Arial"/>
          <w:color w:val="231F20"/>
          <w:w w:val="95"/>
        </w:rPr>
        <w:t>en</w:t>
      </w:r>
      <w:r>
        <w:rPr>
          <w:rFonts w:ascii="Arial" w:hAnsi="Arial"/>
          <w:color w:val="231F20"/>
          <w:spacing w:val="-3"/>
          <w:w w:val="95"/>
        </w:rPr>
        <w:t> </w:t>
      </w:r>
      <w:r>
        <w:rPr>
          <w:rFonts w:ascii="Arial" w:hAnsi="Arial"/>
          <w:color w:val="231F20"/>
          <w:w w:val="95"/>
        </w:rPr>
        <w:t>va</w:t>
      </w:r>
      <w:r>
        <w:rPr>
          <w:rFonts w:ascii="Arial" w:hAnsi="Arial"/>
          <w:color w:val="231F20"/>
          <w:spacing w:val="-3"/>
          <w:w w:val="95"/>
        </w:rPr>
        <w:t> </w:t>
      </w:r>
      <w:r>
        <w:rPr>
          <w:rFonts w:ascii="Arial" w:hAnsi="Arial"/>
          <w:color w:val="231F20"/>
          <w:w w:val="95"/>
        </w:rPr>
        <w:t>de</w:t>
      </w:r>
      <w:r>
        <w:rPr>
          <w:rFonts w:ascii="Arial" w:hAnsi="Arial"/>
          <w:color w:val="231F20"/>
          <w:spacing w:val="-3"/>
          <w:w w:val="95"/>
        </w:rPr>
        <w:t> </w:t>
      </w:r>
      <w:r>
        <w:rPr>
          <w:rFonts w:ascii="Arial" w:hAnsi="Arial"/>
          <w:color w:val="231F20"/>
          <w:w w:val="95"/>
        </w:rPr>
        <w:t>même</w:t>
      </w:r>
      <w:r>
        <w:rPr>
          <w:rFonts w:ascii="Arial" w:hAnsi="Arial"/>
          <w:color w:val="231F20"/>
          <w:spacing w:val="-3"/>
          <w:w w:val="95"/>
        </w:rPr>
        <w:t> </w:t>
      </w:r>
      <w:r>
        <w:rPr>
          <w:rFonts w:ascii="Arial" w:hAnsi="Arial"/>
          <w:color w:val="231F20"/>
          <w:w w:val="95"/>
        </w:rPr>
        <w:t>pour</w:t>
      </w:r>
      <w:r>
        <w:rPr>
          <w:rFonts w:ascii="Arial" w:hAnsi="Arial"/>
          <w:color w:val="231F20"/>
          <w:spacing w:val="-3"/>
          <w:w w:val="95"/>
        </w:rPr>
        <w:t> </w:t>
      </w:r>
      <w:r>
        <w:rPr>
          <w:rFonts w:ascii="Arial" w:hAnsi="Arial"/>
          <w:color w:val="231F20"/>
          <w:w w:val="95"/>
        </w:rPr>
        <w:t>vos</w:t>
      </w:r>
      <w:r>
        <w:rPr>
          <w:rFonts w:ascii="Arial" w:hAnsi="Arial"/>
          <w:color w:val="231F20"/>
          <w:spacing w:val="-3"/>
          <w:w w:val="95"/>
        </w:rPr>
        <w:t> </w:t>
      </w:r>
      <w:r>
        <w:rPr>
          <w:rFonts w:ascii="Arial" w:hAnsi="Arial"/>
          <w:color w:val="231F20"/>
          <w:w w:val="95"/>
        </w:rPr>
        <w:t>salariés.</w:t>
      </w:r>
      <w:r>
        <w:rPr>
          <w:rFonts w:ascii="Arial" w:hAnsi="Arial"/>
          <w:color w:val="231F20"/>
          <w:spacing w:val="-3"/>
          <w:w w:val="95"/>
        </w:rPr>
        <w:t> </w:t>
      </w:r>
      <w:r>
        <w:rPr>
          <w:rFonts w:ascii="Arial" w:hAnsi="Arial"/>
          <w:color w:val="231F20"/>
          <w:w w:val="95"/>
        </w:rPr>
        <w:t>Le</w:t>
      </w:r>
      <w:r>
        <w:rPr>
          <w:rFonts w:ascii="Arial" w:hAnsi="Arial"/>
          <w:color w:val="231F20"/>
          <w:spacing w:val="-3"/>
          <w:w w:val="95"/>
        </w:rPr>
        <w:t> </w:t>
      </w:r>
      <w:r>
        <w:rPr>
          <w:rFonts w:ascii="Arial" w:hAnsi="Arial"/>
          <w:color w:val="231F20"/>
          <w:w w:val="95"/>
        </w:rPr>
        <w:t>stress </w:t>
      </w:r>
      <w:r>
        <w:rPr>
          <w:rFonts w:ascii="Arial" w:hAnsi="Arial"/>
          <w:color w:val="231F20"/>
        </w:rPr>
        <w:t>coûte entre 800 millions et 1,6 milliard d’euros par an. Une perte d’argent conséquente à éviter.</w:t>
      </w:r>
    </w:p>
    <w:p>
      <w:pPr>
        <w:pStyle w:val="BodyText"/>
        <w:spacing w:line="307" w:lineRule="auto" w:before="78"/>
        <w:ind w:left="1470" w:right="353"/>
        <w:jc w:val="both"/>
        <w:rPr>
          <w:rFonts w:ascii="Arial" w:hAnsi="Arial"/>
        </w:rPr>
      </w:pPr>
      <w:r>
        <w:rPr>
          <w:rFonts w:ascii="Arial" w:hAnsi="Arial"/>
          <w:b/>
          <w:color w:val="231F20"/>
        </w:rPr>
        <w:t>Le</w:t>
      </w:r>
      <w:r>
        <w:rPr>
          <w:rFonts w:ascii="Arial" w:hAnsi="Arial"/>
          <w:b/>
          <w:color w:val="231F20"/>
          <w:spacing w:val="-6"/>
        </w:rPr>
        <w:t> </w:t>
      </w:r>
      <w:r>
        <w:rPr>
          <w:rFonts w:ascii="Arial" w:hAnsi="Arial"/>
          <w:b/>
          <w:color w:val="231F20"/>
        </w:rPr>
        <w:t>manque</w:t>
      </w:r>
      <w:r>
        <w:rPr>
          <w:rFonts w:ascii="Arial" w:hAnsi="Arial"/>
          <w:b/>
          <w:color w:val="231F20"/>
          <w:spacing w:val="-6"/>
        </w:rPr>
        <w:t> </w:t>
      </w:r>
      <w:r>
        <w:rPr>
          <w:rFonts w:ascii="Arial" w:hAnsi="Arial"/>
          <w:b/>
          <w:color w:val="231F20"/>
        </w:rPr>
        <w:t>de</w:t>
      </w:r>
      <w:r>
        <w:rPr>
          <w:rFonts w:ascii="Arial" w:hAnsi="Arial"/>
          <w:b/>
          <w:color w:val="231F20"/>
          <w:spacing w:val="-6"/>
        </w:rPr>
        <w:t> </w:t>
      </w:r>
      <w:r>
        <w:rPr>
          <w:rFonts w:ascii="Arial" w:hAnsi="Arial"/>
          <w:b/>
          <w:color w:val="231F20"/>
        </w:rPr>
        <w:t>concentration</w:t>
      </w:r>
      <w:r>
        <w:rPr>
          <w:rFonts w:ascii="Arial" w:hAnsi="Arial"/>
          <w:b/>
          <w:color w:val="231F20"/>
          <w:spacing w:val="-6"/>
        </w:rPr>
        <w:t> </w:t>
      </w:r>
      <w:r>
        <w:rPr>
          <w:rFonts w:ascii="Arial" w:hAnsi="Arial"/>
          <w:color w:val="231F20"/>
        </w:rPr>
        <w:t>–</w:t>
      </w:r>
      <w:r>
        <w:rPr>
          <w:rFonts w:ascii="Arial" w:hAnsi="Arial"/>
          <w:color w:val="231F20"/>
          <w:spacing w:val="-1"/>
        </w:rPr>
        <w:t> </w:t>
      </w:r>
      <w:r>
        <w:rPr>
          <w:rFonts w:ascii="Arial" w:hAnsi="Arial"/>
          <w:color w:val="231F20"/>
        </w:rPr>
        <w:t>Lorsque</w:t>
      </w:r>
      <w:r>
        <w:rPr>
          <w:rFonts w:ascii="Arial" w:hAnsi="Arial"/>
          <w:color w:val="231F20"/>
          <w:spacing w:val="-1"/>
        </w:rPr>
        <w:t> </w:t>
      </w:r>
      <w:r>
        <w:rPr>
          <w:rFonts w:ascii="Arial" w:hAnsi="Arial"/>
          <w:color w:val="231F20"/>
        </w:rPr>
        <w:t>vous</w:t>
      </w:r>
      <w:r>
        <w:rPr>
          <w:rFonts w:ascii="Arial" w:hAnsi="Arial"/>
          <w:color w:val="231F20"/>
          <w:spacing w:val="-1"/>
        </w:rPr>
        <w:t> </w:t>
      </w:r>
      <w:r>
        <w:rPr>
          <w:rFonts w:ascii="Arial" w:hAnsi="Arial"/>
          <w:color w:val="231F20"/>
        </w:rPr>
        <w:t>êtes</w:t>
      </w:r>
      <w:r>
        <w:rPr>
          <w:rFonts w:ascii="Arial" w:hAnsi="Arial"/>
          <w:color w:val="231F20"/>
          <w:spacing w:val="-1"/>
        </w:rPr>
        <w:t> </w:t>
      </w:r>
      <w:r>
        <w:rPr>
          <w:rFonts w:ascii="Arial" w:hAnsi="Arial"/>
          <w:color w:val="231F20"/>
        </w:rPr>
        <w:t>en</w:t>
      </w:r>
      <w:r>
        <w:rPr>
          <w:rFonts w:ascii="Arial" w:hAnsi="Arial"/>
          <w:color w:val="231F20"/>
          <w:spacing w:val="-1"/>
        </w:rPr>
        <w:t> </w:t>
      </w:r>
      <w:r>
        <w:rPr>
          <w:rFonts w:ascii="Arial" w:hAnsi="Arial"/>
          <w:color w:val="231F20"/>
        </w:rPr>
        <w:t>état</w:t>
      </w:r>
      <w:r>
        <w:rPr>
          <w:rFonts w:ascii="Arial" w:hAnsi="Arial"/>
          <w:color w:val="231F20"/>
          <w:spacing w:val="-1"/>
        </w:rPr>
        <w:t> </w:t>
      </w:r>
      <w:r>
        <w:rPr>
          <w:rFonts w:ascii="Arial" w:hAnsi="Arial"/>
          <w:color w:val="231F20"/>
        </w:rPr>
        <w:t>de</w:t>
      </w:r>
      <w:r>
        <w:rPr>
          <w:rFonts w:ascii="Arial" w:hAnsi="Arial"/>
          <w:color w:val="231F20"/>
          <w:spacing w:val="-1"/>
        </w:rPr>
        <w:t> </w:t>
      </w:r>
      <w:r>
        <w:rPr>
          <w:rFonts w:ascii="Arial" w:hAnsi="Arial"/>
          <w:color w:val="231F20"/>
        </w:rPr>
        <w:t>stress, </w:t>
      </w:r>
      <w:r>
        <w:rPr>
          <w:rFonts w:ascii="Arial" w:hAnsi="Arial"/>
          <w:color w:val="231F20"/>
          <w:spacing w:val="-2"/>
        </w:rPr>
        <w:t>réussir</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rester</w:t>
      </w:r>
      <w:r>
        <w:rPr>
          <w:rFonts w:ascii="Arial" w:hAnsi="Arial"/>
          <w:color w:val="231F20"/>
          <w:spacing w:val="-9"/>
        </w:rPr>
        <w:t> </w:t>
      </w:r>
      <w:r>
        <w:rPr>
          <w:rFonts w:ascii="Arial" w:hAnsi="Arial"/>
          <w:color w:val="231F20"/>
          <w:spacing w:val="-2"/>
        </w:rPr>
        <w:t>concentré</w:t>
      </w:r>
      <w:r>
        <w:rPr>
          <w:rFonts w:ascii="Arial" w:hAnsi="Arial"/>
          <w:color w:val="231F20"/>
          <w:spacing w:val="-9"/>
        </w:rPr>
        <w:t> </w:t>
      </w:r>
      <w:r>
        <w:rPr>
          <w:rFonts w:ascii="Arial" w:hAnsi="Arial"/>
          <w:color w:val="231F20"/>
          <w:spacing w:val="-2"/>
        </w:rPr>
        <w:t>représente</w:t>
      </w:r>
      <w:r>
        <w:rPr>
          <w:rFonts w:ascii="Arial" w:hAnsi="Arial"/>
          <w:color w:val="231F20"/>
          <w:spacing w:val="-9"/>
        </w:rPr>
        <w:t> </w:t>
      </w:r>
      <w:r>
        <w:rPr>
          <w:rFonts w:ascii="Arial" w:hAnsi="Arial"/>
          <w:color w:val="231F20"/>
          <w:spacing w:val="-2"/>
        </w:rPr>
        <w:t>un</w:t>
      </w:r>
      <w:r>
        <w:rPr>
          <w:rFonts w:ascii="Arial" w:hAnsi="Arial"/>
          <w:color w:val="231F20"/>
          <w:spacing w:val="-9"/>
        </w:rPr>
        <w:t> </w:t>
      </w:r>
      <w:r>
        <w:rPr>
          <w:rFonts w:ascii="Arial" w:hAnsi="Arial"/>
          <w:color w:val="231F20"/>
          <w:spacing w:val="-2"/>
        </w:rPr>
        <w:t>véritable</w:t>
      </w:r>
      <w:r>
        <w:rPr>
          <w:rFonts w:ascii="Arial" w:hAnsi="Arial"/>
          <w:color w:val="231F20"/>
          <w:spacing w:val="-9"/>
        </w:rPr>
        <w:t> </w:t>
      </w:r>
      <w:r>
        <w:rPr>
          <w:rFonts w:ascii="Arial" w:hAnsi="Arial"/>
          <w:color w:val="231F20"/>
          <w:spacing w:val="-2"/>
        </w:rPr>
        <w:t>défi.</w:t>
      </w:r>
      <w:r>
        <w:rPr>
          <w:rFonts w:ascii="Arial" w:hAnsi="Arial"/>
          <w:color w:val="231F20"/>
          <w:spacing w:val="-9"/>
        </w:rPr>
        <w:t> </w:t>
      </w:r>
      <w:r>
        <w:rPr>
          <w:rFonts w:ascii="Arial" w:hAnsi="Arial"/>
          <w:color w:val="231F20"/>
          <w:spacing w:val="-2"/>
        </w:rPr>
        <w:t>L’angoisse</w:t>
      </w:r>
      <w:r>
        <w:rPr>
          <w:rFonts w:ascii="Arial" w:hAnsi="Arial"/>
          <w:color w:val="231F20"/>
          <w:spacing w:val="-9"/>
        </w:rPr>
        <w:t> </w:t>
      </w:r>
      <w:r>
        <w:rPr>
          <w:rFonts w:ascii="Arial" w:hAnsi="Arial"/>
          <w:color w:val="231F20"/>
          <w:spacing w:val="-2"/>
        </w:rPr>
        <w:t>prend </w:t>
      </w:r>
      <w:r>
        <w:rPr>
          <w:rFonts w:ascii="Arial" w:hAnsi="Arial"/>
          <w:color w:val="231F20"/>
        </w:rPr>
        <w:t>toute la place, si vous la laissez perdurer, elle diminue fortement la qualité de vos efforts ainsi que votre ambition. Vous cherchez, sans doute, un moyen de réduire le niveau d’angoisse, mais, pendant ce temps, elle continue d’agir et vous empêche de travailler. Veillez à ce qu’elle</w:t>
      </w:r>
      <w:r>
        <w:rPr>
          <w:rFonts w:ascii="Arial" w:hAnsi="Arial"/>
          <w:color w:val="231F20"/>
          <w:spacing w:val="-3"/>
        </w:rPr>
        <w:t> </w:t>
      </w:r>
      <w:r>
        <w:rPr>
          <w:rFonts w:ascii="Arial" w:hAnsi="Arial"/>
          <w:color w:val="231F20"/>
        </w:rPr>
        <w:t>ne</w:t>
      </w:r>
      <w:r>
        <w:rPr>
          <w:rFonts w:ascii="Arial" w:hAnsi="Arial"/>
          <w:color w:val="231F20"/>
          <w:spacing w:val="-3"/>
        </w:rPr>
        <w:t> </w:t>
      </w:r>
      <w:r>
        <w:rPr>
          <w:rFonts w:ascii="Arial" w:hAnsi="Arial"/>
          <w:color w:val="231F20"/>
        </w:rPr>
        <w:t>prenne</w:t>
      </w:r>
      <w:r>
        <w:rPr>
          <w:rFonts w:ascii="Arial" w:hAnsi="Arial"/>
          <w:color w:val="231F20"/>
          <w:spacing w:val="-2"/>
        </w:rPr>
        <w:t> </w:t>
      </w:r>
      <w:r>
        <w:rPr>
          <w:rFonts w:ascii="Arial" w:hAnsi="Arial"/>
          <w:color w:val="231F20"/>
        </w:rPr>
        <w:t>pas</w:t>
      </w:r>
      <w:r>
        <w:rPr>
          <w:rFonts w:ascii="Arial" w:hAnsi="Arial"/>
          <w:color w:val="231F20"/>
          <w:spacing w:val="-3"/>
        </w:rPr>
        <w:t> </w:t>
      </w:r>
      <w:r>
        <w:rPr>
          <w:rFonts w:ascii="Arial" w:hAnsi="Arial"/>
          <w:color w:val="231F20"/>
        </w:rPr>
        <w:t>le</w:t>
      </w:r>
      <w:r>
        <w:rPr>
          <w:rFonts w:ascii="Arial" w:hAnsi="Arial"/>
          <w:color w:val="231F20"/>
          <w:spacing w:val="-2"/>
        </w:rPr>
        <w:t> </w:t>
      </w:r>
      <w:r>
        <w:rPr>
          <w:rFonts w:ascii="Arial" w:hAnsi="Arial"/>
          <w:color w:val="231F20"/>
        </w:rPr>
        <w:t>dessus,</w:t>
      </w:r>
      <w:r>
        <w:rPr>
          <w:rFonts w:ascii="Arial" w:hAnsi="Arial"/>
          <w:color w:val="231F20"/>
          <w:spacing w:val="-3"/>
        </w:rPr>
        <w:t> </w:t>
      </w:r>
      <w:r>
        <w:rPr>
          <w:rFonts w:ascii="Arial" w:hAnsi="Arial"/>
          <w:color w:val="231F20"/>
        </w:rPr>
        <w:t>chez</w:t>
      </w:r>
      <w:r>
        <w:rPr>
          <w:rFonts w:ascii="Arial" w:hAnsi="Arial"/>
          <w:color w:val="231F20"/>
          <w:spacing w:val="-3"/>
        </w:rPr>
        <w:t> </w:t>
      </w:r>
      <w:r>
        <w:rPr>
          <w:rFonts w:ascii="Arial" w:hAnsi="Arial"/>
          <w:color w:val="231F20"/>
        </w:rPr>
        <w:t>vous</w:t>
      </w:r>
      <w:r>
        <w:rPr>
          <w:rFonts w:ascii="Arial" w:hAnsi="Arial"/>
          <w:color w:val="231F20"/>
          <w:spacing w:val="-2"/>
        </w:rPr>
        <w:t> </w:t>
      </w:r>
      <w:r>
        <w:rPr>
          <w:rFonts w:ascii="Arial" w:hAnsi="Arial"/>
          <w:color w:val="231F20"/>
        </w:rPr>
        <w:t>comme</w:t>
      </w:r>
      <w:r>
        <w:rPr>
          <w:rFonts w:ascii="Arial" w:hAnsi="Arial"/>
          <w:color w:val="231F20"/>
          <w:spacing w:val="-3"/>
        </w:rPr>
        <w:t> </w:t>
      </w:r>
      <w:r>
        <w:rPr>
          <w:rFonts w:ascii="Arial" w:hAnsi="Arial"/>
          <w:color w:val="231F20"/>
        </w:rPr>
        <w:t>chez</w:t>
      </w:r>
      <w:r>
        <w:rPr>
          <w:rFonts w:ascii="Arial" w:hAnsi="Arial"/>
          <w:color w:val="231F20"/>
          <w:spacing w:val="-2"/>
        </w:rPr>
        <w:t> </w:t>
      </w:r>
      <w:r>
        <w:rPr>
          <w:rFonts w:ascii="Arial" w:hAnsi="Arial"/>
          <w:color w:val="231F20"/>
        </w:rPr>
        <w:t>vos</w:t>
      </w:r>
      <w:r>
        <w:rPr>
          <w:rFonts w:ascii="Arial" w:hAnsi="Arial"/>
          <w:color w:val="231F20"/>
          <w:spacing w:val="-3"/>
        </w:rPr>
        <w:t> </w:t>
      </w:r>
      <w:r>
        <w:rPr>
          <w:rFonts w:ascii="Arial" w:hAnsi="Arial"/>
          <w:color w:val="231F20"/>
          <w:spacing w:val="-2"/>
        </w:rPr>
        <w:t>salariés.</w:t>
      </w:r>
    </w:p>
    <w:p>
      <w:pPr>
        <w:pStyle w:val="BodyText"/>
        <w:spacing w:line="307" w:lineRule="auto" w:before="79"/>
        <w:ind w:left="1469" w:right="355"/>
        <w:jc w:val="both"/>
        <w:rPr>
          <w:rFonts w:ascii="Arial" w:hAnsi="Arial"/>
        </w:rPr>
      </w:pPr>
      <w:r>
        <w:rPr>
          <w:rFonts w:ascii="Arial" w:hAnsi="Arial"/>
          <w:b/>
          <w:color w:val="231F20"/>
          <w:w w:val="95"/>
        </w:rPr>
        <w:t>Des</w:t>
      </w:r>
      <w:r>
        <w:rPr>
          <w:rFonts w:ascii="Arial" w:hAnsi="Arial"/>
          <w:b/>
          <w:color w:val="231F20"/>
          <w:spacing w:val="-7"/>
          <w:w w:val="95"/>
        </w:rPr>
        <w:t> </w:t>
      </w:r>
      <w:r>
        <w:rPr>
          <w:rFonts w:ascii="Arial" w:hAnsi="Arial"/>
          <w:b/>
          <w:color w:val="231F20"/>
          <w:w w:val="95"/>
        </w:rPr>
        <w:t>effets</w:t>
      </w:r>
      <w:r>
        <w:rPr>
          <w:rFonts w:ascii="Arial" w:hAnsi="Arial"/>
          <w:b/>
          <w:color w:val="231F20"/>
          <w:spacing w:val="-7"/>
          <w:w w:val="95"/>
        </w:rPr>
        <w:t> </w:t>
      </w:r>
      <w:r>
        <w:rPr>
          <w:rFonts w:ascii="Arial" w:hAnsi="Arial"/>
          <w:b/>
          <w:color w:val="231F20"/>
          <w:w w:val="95"/>
        </w:rPr>
        <w:t>néfastes</w:t>
      </w:r>
      <w:r>
        <w:rPr>
          <w:rFonts w:ascii="Arial" w:hAnsi="Arial"/>
          <w:b/>
          <w:color w:val="231F20"/>
          <w:spacing w:val="-7"/>
          <w:w w:val="95"/>
        </w:rPr>
        <w:t> </w:t>
      </w:r>
      <w:r>
        <w:rPr>
          <w:rFonts w:ascii="Arial" w:hAnsi="Arial"/>
          <w:b/>
          <w:color w:val="231F20"/>
          <w:w w:val="95"/>
        </w:rPr>
        <w:t>pour</w:t>
      </w:r>
      <w:r>
        <w:rPr>
          <w:rFonts w:ascii="Arial" w:hAnsi="Arial"/>
          <w:b/>
          <w:color w:val="231F20"/>
          <w:spacing w:val="-7"/>
          <w:w w:val="95"/>
        </w:rPr>
        <w:t> </w:t>
      </w:r>
      <w:r>
        <w:rPr>
          <w:rFonts w:ascii="Arial" w:hAnsi="Arial"/>
          <w:b/>
          <w:color w:val="231F20"/>
          <w:w w:val="95"/>
        </w:rPr>
        <w:t>la</w:t>
      </w:r>
      <w:r>
        <w:rPr>
          <w:rFonts w:ascii="Arial" w:hAnsi="Arial"/>
          <w:b/>
          <w:color w:val="231F20"/>
          <w:spacing w:val="-7"/>
          <w:w w:val="95"/>
        </w:rPr>
        <w:t> </w:t>
      </w:r>
      <w:r>
        <w:rPr>
          <w:rFonts w:ascii="Arial" w:hAnsi="Arial"/>
          <w:b/>
          <w:color w:val="231F20"/>
          <w:w w:val="95"/>
        </w:rPr>
        <w:t>santé</w:t>
      </w:r>
      <w:r>
        <w:rPr>
          <w:rFonts w:ascii="Arial" w:hAnsi="Arial"/>
          <w:b/>
          <w:color w:val="231F20"/>
          <w:spacing w:val="-7"/>
          <w:w w:val="95"/>
        </w:rPr>
        <w:t> </w:t>
      </w:r>
      <w:r>
        <w:rPr>
          <w:rFonts w:ascii="Arial" w:hAnsi="Arial"/>
          <w:color w:val="231F20"/>
          <w:w w:val="95"/>
        </w:rPr>
        <w:t>–</w:t>
      </w:r>
      <w:r>
        <w:rPr>
          <w:rFonts w:ascii="Arial" w:hAnsi="Arial"/>
          <w:color w:val="231F20"/>
          <w:spacing w:val="-1"/>
          <w:w w:val="95"/>
        </w:rPr>
        <w:t> </w:t>
      </w:r>
      <w:r>
        <w:rPr>
          <w:rFonts w:ascii="Arial" w:hAnsi="Arial"/>
          <w:color w:val="231F20"/>
          <w:w w:val="95"/>
        </w:rPr>
        <w:t>En</w:t>
      </w:r>
      <w:r>
        <w:rPr>
          <w:rFonts w:ascii="Arial" w:hAnsi="Arial"/>
          <w:color w:val="231F20"/>
          <w:spacing w:val="-1"/>
          <w:w w:val="95"/>
        </w:rPr>
        <w:t> </w:t>
      </w:r>
      <w:r>
        <w:rPr>
          <w:rFonts w:ascii="Arial" w:hAnsi="Arial"/>
          <w:color w:val="231F20"/>
          <w:w w:val="95"/>
        </w:rPr>
        <w:t>parallèle</w:t>
      </w:r>
      <w:r>
        <w:rPr>
          <w:rFonts w:ascii="Arial" w:hAnsi="Arial"/>
          <w:color w:val="231F20"/>
          <w:spacing w:val="-1"/>
          <w:w w:val="95"/>
        </w:rPr>
        <w:t> </w:t>
      </w:r>
      <w:r>
        <w:rPr>
          <w:rFonts w:ascii="Arial" w:hAnsi="Arial"/>
          <w:color w:val="231F20"/>
          <w:w w:val="95"/>
        </w:rPr>
        <w:t>des</w:t>
      </w:r>
      <w:r>
        <w:rPr>
          <w:rFonts w:ascii="Arial" w:hAnsi="Arial"/>
          <w:color w:val="231F20"/>
          <w:spacing w:val="-1"/>
          <w:w w:val="95"/>
        </w:rPr>
        <w:t> </w:t>
      </w:r>
      <w:r>
        <w:rPr>
          <w:rFonts w:ascii="Arial" w:hAnsi="Arial"/>
          <w:color w:val="231F20"/>
          <w:w w:val="95"/>
        </w:rPr>
        <w:t>effets</w:t>
      </w:r>
      <w:r>
        <w:rPr>
          <w:rFonts w:ascii="Arial" w:hAnsi="Arial"/>
          <w:color w:val="231F20"/>
          <w:spacing w:val="-1"/>
          <w:w w:val="95"/>
        </w:rPr>
        <w:t> </w:t>
      </w:r>
      <w:r>
        <w:rPr>
          <w:rFonts w:ascii="Arial" w:hAnsi="Arial"/>
          <w:color w:val="231F20"/>
          <w:w w:val="95"/>
        </w:rPr>
        <w:t>ressentis</w:t>
      </w:r>
      <w:r>
        <w:rPr>
          <w:rFonts w:ascii="Arial" w:hAnsi="Arial"/>
          <w:color w:val="231F20"/>
          <w:spacing w:val="-1"/>
          <w:w w:val="95"/>
        </w:rPr>
        <w:t> </w:t>
      </w:r>
      <w:r>
        <w:rPr>
          <w:rFonts w:ascii="Arial" w:hAnsi="Arial"/>
          <w:color w:val="231F20"/>
          <w:w w:val="95"/>
        </w:rPr>
        <w:t>sur </w:t>
      </w:r>
      <w:r>
        <w:rPr>
          <w:rFonts w:ascii="Arial" w:hAnsi="Arial"/>
          <w:color w:val="231F20"/>
        </w:rPr>
        <w:t>le</w:t>
      </w:r>
      <w:r>
        <w:rPr>
          <w:rFonts w:ascii="Arial" w:hAnsi="Arial"/>
          <w:color w:val="231F20"/>
          <w:spacing w:val="-9"/>
        </w:rPr>
        <w:t> </w:t>
      </w:r>
      <w:r>
        <w:rPr>
          <w:rFonts w:ascii="Arial" w:hAnsi="Arial"/>
          <w:color w:val="231F20"/>
        </w:rPr>
        <w:t>travail,</w:t>
      </w:r>
      <w:r>
        <w:rPr>
          <w:rFonts w:ascii="Arial" w:hAnsi="Arial"/>
          <w:color w:val="231F20"/>
          <w:spacing w:val="-9"/>
        </w:rPr>
        <w:t> </w:t>
      </w:r>
      <w:r>
        <w:rPr>
          <w:rFonts w:ascii="Arial" w:hAnsi="Arial"/>
          <w:color w:val="231F20"/>
        </w:rPr>
        <w:t>une</w:t>
      </w:r>
      <w:r>
        <w:rPr>
          <w:rFonts w:ascii="Arial" w:hAnsi="Arial"/>
          <w:color w:val="231F20"/>
          <w:spacing w:val="-9"/>
        </w:rPr>
        <w:t> </w:t>
      </w:r>
      <w:r>
        <w:rPr>
          <w:rFonts w:ascii="Arial" w:hAnsi="Arial"/>
          <w:color w:val="231F20"/>
        </w:rPr>
        <w:t>certaine</w:t>
      </w:r>
      <w:r>
        <w:rPr>
          <w:rFonts w:ascii="Arial" w:hAnsi="Arial"/>
          <w:color w:val="231F20"/>
          <w:spacing w:val="-9"/>
        </w:rPr>
        <w:t> </w:t>
      </w:r>
      <w:r>
        <w:rPr>
          <w:rFonts w:ascii="Arial" w:hAnsi="Arial"/>
          <w:color w:val="231F20"/>
        </w:rPr>
        <w:t>incidence</w:t>
      </w:r>
      <w:r>
        <w:rPr>
          <w:rFonts w:ascii="Arial" w:hAnsi="Arial"/>
          <w:color w:val="231F20"/>
          <w:spacing w:val="-9"/>
        </w:rPr>
        <w:t> </w:t>
      </w:r>
      <w:r>
        <w:rPr>
          <w:rFonts w:ascii="Arial" w:hAnsi="Arial"/>
          <w:color w:val="231F20"/>
        </w:rPr>
        <w:t>sur</w:t>
      </w:r>
      <w:r>
        <w:rPr>
          <w:rFonts w:ascii="Arial" w:hAnsi="Arial"/>
          <w:color w:val="231F20"/>
          <w:spacing w:val="-9"/>
        </w:rPr>
        <w:t> </w:t>
      </w:r>
      <w:r>
        <w:rPr>
          <w:rFonts w:ascii="Arial" w:hAnsi="Arial"/>
          <w:color w:val="231F20"/>
        </w:rPr>
        <w:t>la</w:t>
      </w:r>
      <w:r>
        <w:rPr>
          <w:rFonts w:ascii="Arial" w:hAnsi="Arial"/>
          <w:color w:val="231F20"/>
          <w:spacing w:val="-9"/>
        </w:rPr>
        <w:t> </w:t>
      </w:r>
      <w:r>
        <w:rPr>
          <w:rFonts w:ascii="Arial" w:hAnsi="Arial"/>
          <w:color w:val="231F20"/>
        </w:rPr>
        <w:t>santé</w:t>
      </w:r>
      <w:r>
        <w:rPr>
          <w:rFonts w:ascii="Arial" w:hAnsi="Arial"/>
          <w:color w:val="231F20"/>
          <w:spacing w:val="-9"/>
        </w:rPr>
        <w:t> </w:t>
      </w:r>
      <w:r>
        <w:rPr>
          <w:rFonts w:ascii="Arial" w:hAnsi="Arial"/>
          <w:color w:val="231F20"/>
        </w:rPr>
        <w:t>se</w:t>
      </w:r>
      <w:r>
        <w:rPr>
          <w:rFonts w:ascii="Arial" w:hAnsi="Arial"/>
          <w:color w:val="231F20"/>
          <w:spacing w:val="-9"/>
        </w:rPr>
        <w:t> </w:t>
      </w:r>
      <w:r>
        <w:rPr>
          <w:rFonts w:ascii="Arial" w:hAnsi="Arial"/>
          <w:color w:val="231F20"/>
        </w:rPr>
        <w:t>fait</w:t>
      </w:r>
      <w:r>
        <w:rPr>
          <w:rFonts w:ascii="Arial" w:hAnsi="Arial"/>
          <w:color w:val="231F20"/>
          <w:spacing w:val="-9"/>
        </w:rPr>
        <w:t> </w:t>
      </w:r>
      <w:r>
        <w:rPr>
          <w:rFonts w:ascii="Arial" w:hAnsi="Arial"/>
          <w:color w:val="231F20"/>
        </w:rPr>
        <w:t>également</w:t>
      </w:r>
      <w:r>
        <w:rPr>
          <w:rFonts w:ascii="Arial" w:hAnsi="Arial"/>
          <w:color w:val="231F20"/>
          <w:spacing w:val="-9"/>
        </w:rPr>
        <w:t> </w:t>
      </w:r>
      <w:r>
        <w:rPr>
          <w:rFonts w:ascii="Arial" w:hAnsi="Arial"/>
          <w:color w:val="231F20"/>
        </w:rPr>
        <w:t>ressen- tir. Selon l’enquête The Workforce View, réalisée par ADP in Europe </w:t>
      </w:r>
      <w:r>
        <w:rPr>
          <w:rFonts w:ascii="Arial" w:hAnsi="Arial"/>
          <w:color w:val="231F20"/>
          <w:spacing w:val="-2"/>
        </w:rPr>
        <w:t>2019,</w:t>
      </w:r>
      <w:r>
        <w:rPr>
          <w:rFonts w:ascii="Arial" w:hAnsi="Arial"/>
          <w:color w:val="231F20"/>
          <w:spacing w:val="-10"/>
        </w:rPr>
        <w:t> </w:t>
      </w:r>
      <w:r>
        <w:rPr>
          <w:rFonts w:ascii="Arial" w:hAnsi="Arial"/>
          <w:color w:val="231F20"/>
          <w:spacing w:val="-2"/>
        </w:rPr>
        <w:t>l’Hexagone</w:t>
      </w:r>
      <w:r>
        <w:rPr>
          <w:rFonts w:ascii="Arial" w:hAnsi="Arial"/>
          <w:color w:val="231F20"/>
          <w:spacing w:val="-10"/>
        </w:rPr>
        <w:t> </w:t>
      </w:r>
      <w:r>
        <w:rPr>
          <w:rFonts w:ascii="Arial" w:hAnsi="Arial"/>
          <w:color w:val="231F20"/>
          <w:spacing w:val="-2"/>
        </w:rPr>
        <w:t>se</w:t>
      </w:r>
      <w:r>
        <w:rPr>
          <w:rFonts w:ascii="Arial" w:hAnsi="Arial"/>
          <w:color w:val="231F20"/>
          <w:spacing w:val="-10"/>
        </w:rPr>
        <w:t> </w:t>
      </w:r>
      <w:r>
        <w:rPr>
          <w:rFonts w:ascii="Arial" w:hAnsi="Arial"/>
          <w:color w:val="231F20"/>
          <w:spacing w:val="-2"/>
        </w:rPr>
        <w:t>place</w:t>
      </w:r>
      <w:r>
        <w:rPr>
          <w:rFonts w:ascii="Arial" w:hAnsi="Arial"/>
          <w:color w:val="231F20"/>
          <w:spacing w:val="-10"/>
        </w:rPr>
        <w:t> </w:t>
      </w:r>
      <w:r>
        <w:rPr>
          <w:rFonts w:ascii="Arial" w:hAnsi="Arial"/>
          <w:color w:val="231F20"/>
          <w:spacing w:val="-2"/>
        </w:rPr>
        <w:t>à</w:t>
      </w:r>
      <w:r>
        <w:rPr>
          <w:rFonts w:ascii="Arial" w:hAnsi="Arial"/>
          <w:color w:val="231F20"/>
          <w:spacing w:val="-10"/>
        </w:rPr>
        <w:t> </w:t>
      </w:r>
      <w:r>
        <w:rPr>
          <w:rFonts w:ascii="Arial" w:hAnsi="Arial"/>
          <w:color w:val="231F20"/>
          <w:spacing w:val="-2"/>
        </w:rPr>
        <w:t>la</w:t>
      </w:r>
      <w:r>
        <w:rPr>
          <w:rFonts w:ascii="Arial" w:hAnsi="Arial"/>
          <w:color w:val="231F20"/>
          <w:spacing w:val="-9"/>
        </w:rPr>
        <w:t> </w:t>
      </w:r>
      <w:r>
        <w:rPr>
          <w:rFonts w:ascii="Arial" w:hAnsi="Arial"/>
          <w:color w:val="231F20"/>
          <w:spacing w:val="-2"/>
        </w:rPr>
        <w:t>3</w:t>
      </w:r>
      <w:r>
        <w:rPr>
          <w:rFonts w:ascii="Arial" w:hAnsi="Arial"/>
          <w:color w:val="231F20"/>
          <w:spacing w:val="-2"/>
          <w:position w:val="6"/>
          <w:sz w:val="10"/>
        </w:rPr>
        <w:t>e </w:t>
      </w:r>
      <w:r>
        <w:rPr>
          <w:rFonts w:ascii="Arial" w:hAnsi="Arial"/>
          <w:color w:val="231F20"/>
          <w:spacing w:val="-2"/>
        </w:rPr>
        <w:t>place</w:t>
      </w:r>
      <w:r>
        <w:rPr>
          <w:rFonts w:ascii="Arial" w:hAnsi="Arial"/>
          <w:color w:val="231F20"/>
          <w:spacing w:val="-10"/>
        </w:rPr>
        <w:t> </w:t>
      </w:r>
      <w:r>
        <w:rPr>
          <w:rFonts w:ascii="Arial" w:hAnsi="Arial"/>
          <w:color w:val="231F20"/>
          <w:spacing w:val="-2"/>
        </w:rPr>
        <w:t>parmi</w:t>
      </w:r>
      <w:r>
        <w:rPr>
          <w:rFonts w:ascii="Arial" w:hAnsi="Arial"/>
          <w:color w:val="231F20"/>
          <w:spacing w:val="-10"/>
        </w:rPr>
        <w:t> </w:t>
      </w:r>
      <w:r>
        <w:rPr>
          <w:rFonts w:ascii="Arial" w:hAnsi="Arial"/>
          <w:color w:val="231F20"/>
          <w:spacing w:val="-2"/>
        </w:rPr>
        <w:t>les</w:t>
      </w:r>
      <w:r>
        <w:rPr>
          <w:rFonts w:ascii="Arial" w:hAnsi="Arial"/>
          <w:color w:val="231F20"/>
          <w:spacing w:val="-10"/>
        </w:rPr>
        <w:t> </w:t>
      </w:r>
      <w:r>
        <w:rPr>
          <w:rFonts w:ascii="Arial" w:hAnsi="Arial"/>
          <w:color w:val="231F20"/>
          <w:spacing w:val="-2"/>
        </w:rPr>
        <w:t>pays</w:t>
      </w:r>
      <w:r>
        <w:rPr>
          <w:rFonts w:ascii="Arial" w:hAnsi="Arial"/>
          <w:color w:val="231F20"/>
          <w:spacing w:val="-9"/>
        </w:rPr>
        <w:t> </w:t>
      </w:r>
      <w:r>
        <w:rPr>
          <w:rFonts w:ascii="Arial" w:hAnsi="Arial"/>
          <w:color w:val="231F20"/>
          <w:spacing w:val="-2"/>
        </w:rPr>
        <w:t>européens</w:t>
      </w:r>
      <w:r>
        <w:rPr>
          <w:rFonts w:ascii="Arial" w:hAnsi="Arial"/>
          <w:color w:val="231F20"/>
          <w:spacing w:val="-10"/>
        </w:rPr>
        <w:t> </w:t>
      </w:r>
      <w:r>
        <w:rPr>
          <w:rFonts w:ascii="Arial" w:hAnsi="Arial"/>
          <w:color w:val="231F20"/>
          <w:spacing w:val="-2"/>
        </w:rPr>
        <w:t>où</w:t>
      </w:r>
      <w:r>
        <w:rPr>
          <w:rFonts w:ascii="Arial" w:hAnsi="Arial"/>
          <w:color w:val="231F20"/>
          <w:spacing w:val="-10"/>
        </w:rPr>
        <w:t> </w:t>
      </w:r>
      <w:r>
        <w:rPr>
          <w:rFonts w:ascii="Arial" w:hAnsi="Arial"/>
          <w:color w:val="231F20"/>
          <w:spacing w:val="-2"/>
        </w:rPr>
        <w:t>les </w:t>
      </w:r>
      <w:r>
        <w:rPr>
          <w:rFonts w:ascii="Arial" w:hAnsi="Arial"/>
          <w:color w:val="231F20"/>
        </w:rPr>
        <w:t>salariés</w:t>
      </w:r>
      <w:r>
        <w:rPr>
          <w:rFonts w:ascii="Arial" w:hAnsi="Arial"/>
          <w:color w:val="231F20"/>
          <w:spacing w:val="-12"/>
        </w:rPr>
        <w:t> </w:t>
      </w:r>
      <w:r>
        <w:rPr>
          <w:rFonts w:ascii="Arial" w:hAnsi="Arial"/>
          <w:color w:val="231F20"/>
        </w:rPr>
        <w:t>se</w:t>
      </w:r>
      <w:r>
        <w:rPr>
          <w:rFonts w:ascii="Arial" w:hAnsi="Arial"/>
          <w:color w:val="231F20"/>
          <w:spacing w:val="-1"/>
        </w:rPr>
        <w:t> </w:t>
      </w:r>
      <w:r>
        <w:rPr>
          <w:rFonts w:ascii="Arial" w:hAnsi="Arial"/>
          <w:color w:val="231F20"/>
        </w:rPr>
        <w:t>sentent stressés au quotidien, derrière l’Allemagne (20</w:t>
      </w:r>
      <w:r>
        <w:rPr>
          <w:rFonts w:ascii="Arial" w:hAnsi="Arial"/>
          <w:color w:val="231F20"/>
          <w:spacing w:val="-12"/>
        </w:rPr>
        <w:t> </w:t>
      </w:r>
      <w:r>
        <w:rPr>
          <w:rFonts w:ascii="Arial" w:hAnsi="Arial"/>
          <w:color w:val="231F20"/>
        </w:rPr>
        <w:t>%) et</w:t>
      </w:r>
      <w:r>
        <w:rPr>
          <w:rFonts w:ascii="Arial" w:hAnsi="Arial"/>
          <w:color w:val="231F20"/>
          <w:spacing w:val="-3"/>
        </w:rPr>
        <w:t> </w:t>
      </w:r>
      <w:r>
        <w:rPr>
          <w:rFonts w:ascii="Arial" w:hAnsi="Arial"/>
          <w:color w:val="231F20"/>
        </w:rPr>
        <w:t>la Pologne (25</w:t>
      </w:r>
      <w:r>
        <w:rPr>
          <w:rFonts w:ascii="Arial" w:hAnsi="Arial"/>
          <w:color w:val="231F20"/>
          <w:spacing w:val="-12"/>
        </w:rPr>
        <w:t> </w:t>
      </w:r>
      <w:r>
        <w:rPr>
          <w:rFonts w:ascii="Arial" w:hAnsi="Arial"/>
          <w:color w:val="231F20"/>
        </w:rPr>
        <w:t>%). Selon l’étude, les Français demeurent toujours </w:t>
      </w:r>
      <w:r>
        <w:rPr>
          <w:rFonts w:ascii="Arial" w:hAnsi="Arial"/>
          <w:color w:val="231F20"/>
          <w:spacing w:val="-2"/>
        </w:rPr>
        <w:t>parmi</w:t>
      </w:r>
      <w:r>
        <w:rPr>
          <w:rFonts w:ascii="Arial" w:hAnsi="Arial"/>
          <w:color w:val="231F20"/>
          <w:spacing w:val="-10"/>
        </w:rPr>
        <w:t> </w:t>
      </w:r>
      <w:r>
        <w:rPr>
          <w:rFonts w:ascii="Arial" w:hAnsi="Arial"/>
          <w:color w:val="231F20"/>
          <w:spacing w:val="-2"/>
        </w:rPr>
        <w:t>les</w:t>
      </w:r>
      <w:r>
        <w:rPr>
          <w:rFonts w:ascii="Arial" w:hAnsi="Arial"/>
          <w:color w:val="231F20"/>
          <w:spacing w:val="-10"/>
        </w:rPr>
        <w:t> </w:t>
      </w:r>
      <w:r>
        <w:rPr>
          <w:rFonts w:ascii="Arial" w:hAnsi="Arial"/>
          <w:color w:val="231F20"/>
          <w:spacing w:val="-2"/>
        </w:rPr>
        <w:t>salariés</w:t>
      </w:r>
      <w:r>
        <w:rPr>
          <w:rFonts w:ascii="Arial" w:hAnsi="Arial"/>
          <w:color w:val="231F20"/>
          <w:spacing w:val="-10"/>
        </w:rPr>
        <w:t> </w:t>
      </w:r>
      <w:r>
        <w:rPr>
          <w:rFonts w:ascii="Arial" w:hAnsi="Arial"/>
          <w:color w:val="231F20"/>
          <w:spacing w:val="-2"/>
        </w:rPr>
        <w:t>les</w:t>
      </w:r>
      <w:r>
        <w:rPr>
          <w:rFonts w:ascii="Arial" w:hAnsi="Arial"/>
          <w:color w:val="231F20"/>
          <w:spacing w:val="-10"/>
        </w:rPr>
        <w:t> </w:t>
      </w:r>
      <w:r>
        <w:rPr>
          <w:rFonts w:ascii="Arial" w:hAnsi="Arial"/>
          <w:color w:val="231F20"/>
          <w:spacing w:val="-2"/>
        </w:rPr>
        <w:t>plus</w:t>
      </w:r>
      <w:r>
        <w:rPr>
          <w:rFonts w:ascii="Arial" w:hAnsi="Arial"/>
          <w:color w:val="231F20"/>
          <w:spacing w:val="-10"/>
        </w:rPr>
        <w:t> </w:t>
      </w:r>
      <w:r>
        <w:rPr>
          <w:rFonts w:ascii="Arial" w:hAnsi="Arial"/>
          <w:color w:val="231F20"/>
          <w:spacing w:val="-2"/>
        </w:rPr>
        <w:t>stressés</w:t>
      </w:r>
      <w:r>
        <w:rPr>
          <w:rFonts w:ascii="Arial" w:hAnsi="Arial"/>
          <w:color w:val="231F20"/>
          <w:spacing w:val="-9"/>
        </w:rPr>
        <w:t> </w:t>
      </w:r>
      <w:r>
        <w:rPr>
          <w:rFonts w:ascii="Arial" w:hAnsi="Arial"/>
          <w:color w:val="231F20"/>
          <w:spacing w:val="-2"/>
        </w:rPr>
        <w:t>:</w:t>
      </w:r>
      <w:r>
        <w:rPr>
          <w:rFonts w:ascii="Arial" w:hAnsi="Arial"/>
          <w:color w:val="231F20"/>
          <w:spacing w:val="-10"/>
        </w:rPr>
        <w:t> </w:t>
      </w:r>
      <w:r>
        <w:rPr>
          <w:rFonts w:ascii="Arial" w:hAnsi="Arial"/>
          <w:color w:val="231F20"/>
          <w:spacing w:val="-2"/>
        </w:rPr>
        <w:t>pratiquement</w:t>
      </w:r>
      <w:r>
        <w:rPr>
          <w:rFonts w:ascii="Arial" w:hAnsi="Arial"/>
          <w:color w:val="231F20"/>
          <w:spacing w:val="-10"/>
        </w:rPr>
        <w:t> </w:t>
      </w:r>
      <w:r>
        <w:rPr>
          <w:rFonts w:ascii="Arial" w:hAnsi="Arial"/>
          <w:color w:val="231F20"/>
          <w:spacing w:val="-2"/>
        </w:rPr>
        <w:t>un</w:t>
      </w:r>
      <w:r>
        <w:rPr>
          <w:rFonts w:ascii="Arial" w:hAnsi="Arial"/>
          <w:color w:val="231F20"/>
          <w:spacing w:val="-10"/>
        </w:rPr>
        <w:t> </w:t>
      </w:r>
      <w:r>
        <w:rPr>
          <w:rFonts w:ascii="Arial" w:hAnsi="Arial"/>
          <w:color w:val="231F20"/>
          <w:spacing w:val="-2"/>
        </w:rPr>
        <w:t>répondant</w:t>
      </w:r>
      <w:r>
        <w:rPr>
          <w:rFonts w:ascii="Arial" w:hAnsi="Arial"/>
          <w:color w:val="231F20"/>
          <w:spacing w:val="-10"/>
        </w:rPr>
        <w:t> </w:t>
      </w:r>
      <w:r>
        <w:rPr>
          <w:rFonts w:ascii="Arial" w:hAnsi="Arial"/>
          <w:color w:val="231F20"/>
          <w:spacing w:val="-2"/>
        </w:rPr>
        <w:t>sur</w:t>
      </w:r>
      <w:r>
        <w:rPr>
          <w:rFonts w:ascii="Arial" w:hAnsi="Arial"/>
          <w:color w:val="231F20"/>
          <w:spacing w:val="-9"/>
        </w:rPr>
        <w:t> </w:t>
      </w:r>
      <w:r>
        <w:rPr>
          <w:rFonts w:ascii="Arial" w:hAnsi="Arial"/>
          <w:color w:val="231F20"/>
          <w:spacing w:val="-2"/>
        </w:rPr>
        <w:t>cinq (19</w:t>
      </w:r>
      <w:r>
        <w:rPr>
          <w:rFonts w:ascii="Arial" w:hAnsi="Arial"/>
          <w:color w:val="231F20"/>
          <w:spacing w:val="-10"/>
        </w:rPr>
        <w:t> </w:t>
      </w:r>
      <w:r>
        <w:rPr>
          <w:rFonts w:ascii="Arial" w:hAnsi="Arial"/>
          <w:color w:val="231F20"/>
          <w:spacing w:val="-2"/>
        </w:rPr>
        <w:t>%)</w:t>
      </w:r>
      <w:r>
        <w:rPr>
          <w:rFonts w:ascii="Arial" w:hAnsi="Arial"/>
          <w:color w:val="231F20"/>
          <w:spacing w:val="-10"/>
        </w:rPr>
        <w:t> </w:t>
      </w:r>
      <w:r>
        <w:rPr>
          <w:rFonts w:ascii="Arial" w:hAnsi="Arial"/>
          <w:color w:val="231F20"/>
          <w:spacing w:val="-2"/>
        </w:rPr>
        <w:t>subit</w:t>
      </w:r>
      <w:r>
        <w:rPr>
          <w:rFonts w:ascii="Arial" w:hAnsi="Arial"/>
          <w:color w:val="231F20"/>
          <w:spacing w:val="-10"/>
        </w:rPr>
        <w:t> </w:t>
      </w:r>
      <w:r>
        <w:rPr>
          <w:rFonts w:ascii="Arial" w:hAnsi="Arial"/>
          <w:color w:val="231F20"/>
          <w:spacing w:val="-2"/>
        </w:rPr>
        <w:t>un</w:t>
      </w:r>
      <w:r>
        <w:rPr>
          <w:rFonts w:ascii="Arial" w:hAnsi="Arial"/>
          <w:color w:val="231F20"/>
          <w:spacing w:val="-10"/>
        </w:rPr>
        <w:t> </w:t>
      </w:r>
      <w:r>
        <w:rPr>
          <w:rFonts w:ascii="Arial" w:hAnsi="Arial"/>
          <w:color w:val="231F20"/>
          <w:spacing w:val="-2"/>
        </w:rPr>
        <w:t>stress</w:t>
      </w:r>
      <w:r>
        <w:rPr>
          <w:rFonts w:ascii="Arial" w:hAnsi="Arial"/>
          <w:color w:val="231F20"/>
          <w:spacing w:val="-10"/>
        </w:rPr>
        <w:t> </w:t>
      </w:r>
      <w:r>
        <w:rPr>
          <w:rFonts w:ascii="Arial" w:hAnsi="Arial"/>
          <w:color w:val="231F20"/>
          <w:spacing w:val="-2"/>
        </w:rPr>
        <w:t>quotidien</w:t>
      </w:r>
      <w:r>
        <w:rPr>
          <w:rFonts w:ascii="Arial" w:hAnsi="Arial"/>
          <w:color w:val="231F20"/>
          <w:spacing w:val="-9"/>
        </w:rPr>
        <w:t> </w:t>
      </w:r>
      <w:r>
        <w:rPr>
          <w:rFonts w:ascii="Arial" w:hAnsi="Arial"/>
          <w:color w:val="231F20"/>
          <w:spacing w:val="-2"/>
        </w:rPr>
        <w:t>au</w:t>
      </w:r>
      <w:r>
        <w:rPr>
          <w:rFonts w:ascii="Arial" w:hAnsi="Arial"/>
          <w:color w:val="231F20"/>
          <w:spacing w:val="-10"/>
        </w:rPr>
        <w:t> </w:t>
      </w:r>
      <w:r>
        <w:rPr>
          <w:rFonts w:ascii="Arial" w:hAnsi="Arial"/>
          <w:color w:val="231F20"/>
          <w:spacing w:val="-2"/>
        </w:rPr>
        <w:t>travail</w:t>
      </w:r>
      <w:r>
        <w:rPr>
          <w:rFonts w:ascii="Arial" w:hAnsi="Arial"/>
          <w:color w:val="231F20"/>
          <w:spacing w:val="-10"/>
        </w:rPr>
        <w:t> </w:t>
      </w:r>
      <w:r>
        <w:rPr>
          <w:rFonts w:ascii="Arial" w:hAnsi="Arial"/>
          <w:color w:val="231F20"/>
          <w:spacing w:val="-2"/>
        </w:rPr>
        <w:t>;</w:t>
      </w:r>
      <w:r>
        <w:rPr>
          <w:rFonts w:ascii="Arial" w:hAnsi="Arial"/>
          <w:color w:val="231F20"/>
          <w:spacing w:val="-10"/>
        </w:rPr>
        <w:t> </w:t>
      </w:r>
      <w:r>
        <w:rPr>
          <w:rFonts w:ascii="Arial" w:hAnsi="Arial"/>
          <w:color w:val="231F20"/>
          <w:spacing w:val="-2"/>
        </w:rPr>
        <w:t>31</w:t>
      </w:r>
      <w:r>
        <w:rPr>
          <w:rFonts w:ascii="Arial" w:hAnsi="Arial"/>
          <w:color w:val="231F20"/>
          <w:spacing w:val="-10"/>
        </w:rPr>
        <w:t> </w:t>
      </w:r>
      <w:r>
        <w:rPr>
          <w:rFonts w:ascii="Arial" w:hAnsi="Arial"/>
          <w:color w:val="231F20"/>
          <w:spacing w:val="-2"/>
        </w:rPr>
        <w:t>%</w:t>
      </w:r>
      <w:r>
        <w:rPr>
          <w:rFonts w:ascii="Arial" w:hAnsi="Arial"/>
          <w:color w:val="231F20"/>
          <w:spacing w:val="-9"/>
        </w:rPr>
        <w:t> </w:t>
      </w:r>
      <w:r>
        <w:rPr>
          <w:rFonts w:ascii="Arial" w:hAnsi="Arial"/>
          <w:color w:val="231F20"/>
          <w:spacing w:val="-2"/>
        </w:rPr>
        <w:t>des</w:t>
      </w:r>
      <w:r>
        <w:rPr>
          <w:rFonts w:ascii="Arial" w:hAnsi="Arial"/>
          <w:color w:val="231F20"/>
          <w:spacing w:val="-8"/>
        </w:rPr>
        <w:t> </w:t>
      </w:r>
      <w:r>
        <w:rPr>
          <w:rFonts w:ascii="Arial" w:hAnsi="Arial"/>
          <w:color w:val="231F20"/>
          <w:spacing w:val="-2"/>
        </w:rPr>
        <w:t>sondés</w:t>
      </w:r>
      <w:r>
        <w:rPr>
          <w:rFonts w:ascii="Arial" w:hAnsi="Arial"/>
          <w:color w:val="231F20"/>
          <w:spacing w:val="-3"/>
        </w:rPr>
        <w:t> </w:t>
      </w:r>
      <w:r>
        <w:rPr>
          <w:rFonts w:ascii="Arial" w:hAnsi="Arial"/>
          <w:color w:val="231F20"/>
          <w:spacing w:val="-2"/>
        </w:rPr>
        <w:t>pensent</w:t>
      </w:r>
      <w:r>
        <w:rPr>
          <w:rFonts w:ascii="Arial" w:hAnsi="Arial"/>
          <w:color w:val="231F20"/>
          <w:spacing w:val="-3"/>
        </w:rPr>
        <w:t> </w:t>
      </w:r>
      <w:r>
        <w:rPr>
          <w:rFonts w:ascii="Arial" w:hAnsi="Arial"/>
          <w:color w:val="231F20"/>
          <w:spacing w:val="-2"/>
        </w:rPr>
        <w:t>en </w:t>
      </w:r>
      <w:r>
        <w:rPr>
          <w:rFonts w:ascii="Arial" w:hAnsi="Arial"/>
          <w:color w:val="231F20"/>
        </w:rPr>
        <w:t>plus que leur employeur ne s’intéresse pas du tout à leur bien-être psychologique</w:t>
      </w:r>
      <w:r>
        <w:rPr>
          <w:rFonts w:ascii="Arial" w:hAnsi="Arial"/>
          <w:color w:val="231F20"/>
          <w:spacing w:val="-11"/>
        </w:rPr>
        <w:t> </w:t>
      </w:r>
      <w:r>
        <w:rPr>
          <w:rFonts w:ascii="Arial" w:hAnsi="Arial"/>
          <w:color w:val="231F20"/>
        </w:rPr>
        <w:t>et 41</w:t>
      </w:r>
      <w:r>
        <w:rPr>
          <w:rFonts w:ascii="Arial" w:hAnsi="Arial"/>
          <w:color w:val="231F20"/>
          <w:spacing w:val="-12"/>
        </w:rPr>
        <w:t> </w:t>
      </w:r>
      <w:r>
        <w:rPr>
          <w:rFonts w:ascii="Arial" w:hAnsi="Arial"/>
          <w:color w:val="231F20"/>
        </w:rPr>
        <w:t>% affirment que leur intérêt n’est que superficiel, ce</w:t>
      </w:r>
      <w:r>
        <w:rPr>
          <w:rFonts w:ascii="Arial" w:hAnsi="Arial"/>
          <w:color w:val="231F20"/>
          <w:spacing w:val="-12"/>
        </w:rPr>
        <w:t> </w:t>
      </w:r>
      <w:r>
        <w:rPr>
          <w:rFonts w:ascii="Arial" w:hAnsi="Arial"/>
          <w:color w:val="231F20"/>
        </w:rPr>
        <w:t>qui</w:t>
      </w:r>
      <w:r>
        <w:rPr>
          <w:rFonts w:ascii="Arial" w:hAnsi="Arial"/>
          <w:color w:val="231F20"/>
          <w:spacing w:val="-12"/>
        </w:rPr>
        <w:t> </w:t>
      </w:r>
      <w:r>
        <w:rPr>
          <w:rFonts w:ascii="Arial" w:hAnsi="Arial"/>
          <w:color w:val="231F20"/>
        </w:rPr>
        <w:t>est,</w:t>
      </w:r>
      <w:r>
        <w:rPr>
          <w:rFonts w:ascii="Arial" w:hAnsi="Arial"/>
          <w:color w:val="231F20"/>
          <w:spacing w:val="-12"/>
        </w:rPr>
        <w:t> </w:t>
      </w:r>
      <w:r>
        <w:rPr>
          <w:rFonts w:ascii="Arial" w:hAnsi="Arial"/>
          <w:color w:val="231F20"/>
        </w:rPr>
        <w:t>dans</w:t>
      </w:r>
      <w:r>
        <w:rPr>
          <w:rFonts w:ascii="Arial" w:hAnsi="Arial"/>
          <w:color w:val="231F20"/>
          <w:spacing w:val="-12"/>
        </w:rPr>
        <w:t> </w:t>
      </w:r>
      <w:r>
        <w:rPr>
          <w:rFonts w:ascii="Arial" w:hAnsi="Arial"/>
          <w:color w:val="231F20"/>
        </w:rPr>
        <w:t>les</w:t>
      </w:r>
      <w:r>
        <w:rPr>
          <w:rFonts w:ascii="Arial" w:hAnsi="Arial"/>
          <w:color w:val="231F20"/>
          <w:spacing w:val="-12"/>
        </w:rPr>
        <w:t> </w:t>
      </w:r>
      <w:r>
        <w:rPr>
          <w:rFonts w:ascii="Arial" w:hAnsi="Arial"/>
          <w:color w:val="231F20"/>
        </w:rPr>
        <w:t>deux</w:t>
      </w:r>
      <w:r>
        <w:rPr>
          <w:rFonts w:ascii="Arial" w:hAnsi="Arial"/>
          <w:color w:val="231F20"/>
          <w:spacing w:val="-11"/>
        </w:rPr>
        <w:t> </w:t>
      </w:r>
      <w:r>
        <w:rPr>
          <w:rFonts w:ascii="Arial" w:hAnsi="Arial"/>
          <w:color w:val="231F20"/>
        </w:rPr>
        <w:t>cas,</w:t>
      </w:r>
      <w:r>
        <w:rPr>
          <w:rFonts w:ascii="Arial" w:hAnsi="Arial"/>
          <w:color w:val="231F20"/>
          <w:spacing w:val="-12"/>
        </w:rPr>
        <w:t> </w:t>
      </w:r>
      <w:r>
        <w:rPr>
          <w:rFonts w:ascii="Arial" w:hAnsi="Arial"/>
          <w:color w:val="231F20"/>
        </w:rPr>
        <w:t>supérieur</w:t>
      </w:r>
      <w:r>
        <w:rPr>
          <w:rFonts w:ascii="Arial" w:hAnsi="Arial"/>
          <w:color w:val="231F20"/>
          <w:spacing w:val="-12"/>
        </w:rPr>
        <w:t> </w:t>
      </w:r>
      <w:r>
        <w:rPr>
          <w:rFonts w:ascii="Arial" w:hAnsi="Arial"/>
          <w:color w:val="231F20"/>
        </w:rPr>
        <w:t>à</w:t>
      </w:r>
      <w:r>
        <w:rPr>
          <w:rFonts w:ascii="Arial" w:hAnsi="Arial"/>
          <w:color w:val="231F20"/>
          <w:spacing w:val="-12"/>
        </w:rPr>
        <w:t> </w:t>
      </w:r>
      <w:r>
        <w:rPr>
          <w:rFonts w:ascii="Arial" w:hAnsi="Arial"/>
          <w:color w:val="231F20"/>
        </w:rPr>
        <w:t>la</w:t>
      </w:r>
      <w:r>
        <w:rPr>
          <w:rFonts w:ascii="Arial" w:hAnsi="Arial"/>
          <w:color w:val="231F20"/>
          <w:spacing w:val="-12"/>
        </w:rPr>
        <w:t> </w:t>
      </w:r>
      <w:r>
        <w:rPr>
          <w:rFonts w:ascii="Arial" w:hAnsi="Arial"/>
          <w:color w:val="231F20"/>
        </w:rPr>
        <w:t>moyenne</w:t>
      </w:r>
      <w:r>
        <w:rPr>
          <w:rFonts w:ascii="Arial" w:hAnsi="Arial"/>
          <w:color w:val="231F20"/>
          <w:spacing w:val="-11"/>
        </w:rPr>
        <w:t> </w:t>
      </w:r>
      <w:r>
        <w:rPr>
          <w:rFonts w:ascii="Arial" w:hAnsi="Arial"/>
          <w:color w:val="231F20"/>
        </w:rPr>
        <w:t>européenne.</w:t>
      </w:r>
      <w:r>
        <w:rPr>
          <w:rFonts w:ascii="Arial" w:hAnsi="Arial"/>
          <w:color w:val="231F20"/>
          <w:spacing w:val="-12"/>
        </w:rPr>
        <w:t> </w:t>
      </w:r>
      <w:r>
        <w:rPr>
          <w:rFonts w:ascii="Arial" w:hAnsi="Arial"/>
          <w:color w:val="231F20"/>
        </w:rPr>
        <w:t>[…] </w:t>
      </w:r>
      <w:r>
        <w:rPr>
          <w:rFonts w:ascii="Arial" w:hAnsi="Arial"/>
          <w:color w:val="231F20"/>
          <w:spacing w:val="-2"/>
        </w:rPr>
        <w:t>Environ</w:t>
      </w:r>
      <w:r>
        <w:rPr>
          <w:rFonts w:ascii="Arial" w:hAnsi="Arial"/>
          <w:color w:val="231F20"/>
          <w:spacing w:val="-10"/>
        </w:rPr>
        <w:t> </w:t>
      </w:r>
      <w:r>
        <w:rPr>
          <w:rFonts w:ascii="Arial" w:hAnsi="Arial"/>
          <w:color w:val="231F20"/>
          <w:spacing w:val="-2"/>
        </w:rPr>
        <w:t>20</w:t>
      </w:r>
      <w:r>
        <w:rPr>
          <w:rFonts w:ascii="Arial" w:hAnsi="Arial"/>
          <w:color w:val="231F20"/>
          <w:spacing w:val="-10"/>
        </w:rPr>
        <w:t> </w:t>
      </w:r>
      <w:r>
        <w:rPr>
          <w:rFonts w:ascii="Arial" w:hAnsi="Arial"/>
          <w:color w:val="231F20"/>
          <w:spacing w:val="-2"/>
        </w:rPr>
        <w:t>%</w:t>
      </w:r>
      <w:r>
        <w:rPr>
          <w:rFonts w:ascii="Arial" w:hAnsi="Arial"/>
          <w:color w:val="231F20"/>
          <w:spacing w:val="-10"/>
        </w:rPr>
        <w:t> </w:t>
      </w:r>
      <w:r>
        <w:rPr>
          <w:rFonts w:ascii="Arial" w:hAnsi="Arial"/>
          <w:color w:val="231F20"/>
          <w:spacing w:val="-2"/>
        </w:rPr>
        <w:t>des</w:t>
      </w:r>
      <w:r>
        <w:rPr>
          <w:rFonts w:ascii="Arial" w:hAnsi="Arial"/>
          <w:color w:val="231F20"/>
          <w:spacing w:val="-4"/>
        </w:rPr>
        <w:t> </w:t>
      </w:r>
      <w:r>
        <w:rPr>
          <w:rFonts w:ascii="Arial" w:hAnsi="Arial"/>
          <w:color w:val="231F20"/>
          <w:spacing w:val="-2"/>
        </w:rPr>
        <w:t>salariés européens estiment que leur santé est affec- </w:t>
      </w:r>
      <w:r>
        <w:rPr>
          <w:rFonts w:ascii="Arial" w:hAnsi="Arial"/>
          <w:color w:val="231F20"/>
        </w:rPr>
        <w:t>tée</w:t>
      </w:r>
      <w:r>
        <w:rPr>
          <w:rFonts w:ascii="Arial" w:hAnsi="Arial"/>
          <w:color w:val="231F20"/>
          <w:spacing w:val="-3"/>
        </w:rPr>
        <w:t> </w:t>
      </w:r>
      <w:r>
        <w:rPr>
          <w:rFonts w:ascii="Arial" w:hAnsi="Arial"/>
          <w:color w:val="231F20"/>
        </w:rPr>
        <w:t>par</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problèmes</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stress</w:t>
      </w:r>
      <w:r>
        <w:rPr>
          <w:rFonts w:ascii="Arial" w:hAnsi="Arial"/>
          <w:color w:val="231F20"/>
          <w:spacing w:val="-3"/>
        </w:rPr>
        <w:t> </w:t>
      </w:r>
      <w:r>
        <w:rPr>
          <w:rFonts w:ascii="Arial" w:hAnsi="Arial"/>
          <w:color w:val="231F20"/>
        </w:rPr>
        <w:t>au</w:t>
      </w:r>
      <w:r>
        <w:rPr>
          <w:rFonts w:ascii="Arial" w:hAnsi="Arial"/>
          <w:color w:val="231F20"/>
          <w:spacing w:val="-3"/>
        </w:rPr>
        <w:t> </w:t>
      </w:r>
      <w:r>
        <w:rPr>
          <w:rFonts w:ascii="Arial" w:hAnsi="Arial"/>
          <w:color w:val="231F20"/>
        </w:rPr>
        <w:t>travail,</w:t>
      </w:r>
      <w:r>
        <w:rPr>
          <w:rFonts w:ascii="Arial" w:hAnsi="Arial"/>
          <w:color w:val="231F20"/>
          <w:spacing w:val="-3"/>
        </w:rPr>
        <w:t> </w:t>
      </w:r>
      <w:r>
        <w:rPr>
          <w:rFonts w:ascii="Arial" w:hAnsi="Arial"/>
          <w:color w:val="231F20"/>
        </w:rPr>
        <w:t>selon</w:t>
      </w:r>
      <w:r>
        <w:rPr>
          <w:rFonts w:ascii="Arial" w:hAnsi="Arial"/>
          <w:color w:val="231F20"/>
          <w:spacing w:val="-3"/>
        </w:rPr>
        <w:t> </w:t>
      </w:r>
      <w:r>
        <w:rPr>
          <w:rFonts w:ascii="Arial" w:hAnsi="Arial"/>
          <w:color w:val="231F20"/>
        </w:rPr>
        <w:t>le</w:t>
      </w:r>
      <w:r>
        <w:rPr>
          <w:rFonts w:ascii="Arial" w:hAnsi="Arial"/>
          <w:color w:val="231F20"/>
          <w:spacing w:val="-3"/>
        </w:rPr>
        <w:t> </w:t>
      </w:r>
      <w:r>
        <w:rPr>
          <w:rFonts w:ascii="Arial" w:hAnsi="Arial"/>
          <w:color w:val="231F20"/>
        </w:rPr>
        <w:t>site</w:t>
      </w:r>
      <w:r>
        <w:rPr>
          <w:rFonts w:ascii="Arial" w:hAnsi="Arial"/>
          <w:color w:val="231F20"/>
          <w:spacing w:val="-3"/>
        </w:rPr>
        <w:t> </w:t>
      </w:r>
      <w:r>
        <w:rPr>
          <w:rFonts w:ascii="Arial" w:hAnsi="Arial"/>
          <w:color w:val="231F20"/>
        </w:rPr>
        <w:t>du</w:t>
      </w:r>
      <w:r>
        <w:rPr>
          <w:rFonts w:ascii="Arial" w:hAnsi="Arial"/>
          <w:color w:val="231F20"/>
          <w:spacing w:val="-3"/>
        </w:rPr>
        <w:t> </w:t>
      </w:r>
      <w:r>
        <w:rPr>
          <w:rFonts w:ascii="Arial" w:hAnsi="Arial"/>
          <w:color w:val="231F20"/>
        </w:rPr>
        <w:t>Portail</w:t>
      </w:r>
      <w:r>
        <w:rPr>
          <w:rFonts w:ascii="Arial" w:hAnsi="Arial"/>
          <w:color w:val="231F20"/>
          <w:spacing w:val="-3"/>
        </w:rPr>
        <w:t> </w:t>
      </w:r>
      <w:r>
        <w:rPr>
          <w:rFonts w:ascii="Arial" w:hAnsi="Arial"/>
          <w:color w:val="231F20"/>
        </w:rPr>
        <w:t>des </w:t>
      </w:r>
      <w:r>
        <w:rPr>
          <w:rFonts w:ascii="Arial" w:hAnsi="Arial"/>
          <w:color w:val="231F20"/>
          <w:w w:val="95"/>
        </w:rPr>
        <w:t>PME.</w:t>
      </w:r>
      <w:r>
        <w:rPr>
          <w:rFonts w:ascii="Arial" w:hAnsi="Arial"/>
          <w:color w:val="231F20"/>
          <w:spacing w:val="-4"/>
          <w:w w:val="95"/>
        </w:rPr>
        <w:t> </w:t>
      </w:r>
      <w:r>
        <w:rPr>
          <w:rFonts w:ascii="Arial" w:hAnsi="Arial"/>
          <w:color w:val="231F20"/>
          <w:w w:val="95"/>
        </w:rPr>
        <w:t>En</w:t>
      </w:r>
      <w:r>
        <w:rPr>
          <w:rFonts w:ascii="Arial" w:hAnsi="Arial"/>
          <w:color w:val="231F20"/>
          <w:spacing w:val="-4"/>
          <w:w w:val="95"/>
        </w:rPr>
        <w:t> </w:t>
      </w:r>
      <w:r>
        <w:rPr>
          <w:rFonts w:ascii="Arial" w:hAnsi="Arial"/>
          <w:color w:val="231F20"/>
          <w:w w:val="95"/>
        </w:rPr>
        <w:t>France,</w:t>
      </w:r>
      <w:r>
        <w:rPr>
          <w:rFonts w:ascii="Arial" w:hAnsi="Arial"/>
          <w:color w:val="231F20"/>
          <w:spacing w:val="-4"/>
          <w:w w:val="95"/>
        </w:rPr>
        <w:t> </w:t>
      </w:r>
      <w:r>
        <w:rPr>
          <w:rFonts w:ascii="Arial" w:hAnsi="Arial"/>
          <w:color w:val="231F20"/>
          <w:w w:val="95"/>
        </w:rPr>
        <w:t>60%</w:t>
      </w:r>
      <w:r>
        <w:rPr>
          <w:rFonts w:ascii="Arial" w:hAnsi="Arial"/>
          <w:color w:val="231F20"/>
          <w:spacing w:val="-4"/>
          <w:w w:val="95"/>
        </w:rPr>
        <w:t> </w:t>
      </w:r>
      <w:r>
        <w:rPr>
          <w:rFonts w:ascii="Arial" w:hAnsi="Arial"/>
          <w:color w:val="231F20"/>
          <w:w w:val="95"/>
        </w:rPr>
        <w:t>des</w:t>
      </w:r>
      <w:r>
        <w:rPr>
          <w:rFonts w:ascii="Arial" w:hAnsi="Arial"/>
          <w:color w:val="231F20"/>
          <w:spacing w:val="-4"/>
          <w:w w:val="95"/>
        </w:rPr>
        <w:t> </w:t>
      </w:r>
      <w:r>
        <w:rPr>
          <w:rFonts w:ascii="Arial" w:hAnsi="Arial"/>
          <w:color w:val="231F20"/>
          <w:w w:val="95"/>
        </w:rPr>
        <w:t>salariés</w:t>
      </w:r>
      <w:r>
        <w:rPr>
          <w:rFonts w:ascii="Arial" w:hAnsi="Arial"/>
          <w:color w:val="231F20"/>
          <w:spacing w:val="-4"/>
          <w:w w:val="95"/>
        </w:rPr>
        <w:t> </w:t>
      </w:r>
      <w:r>
        <w:rPr>
          <w:rFonts w:ascii="Arial" w:hAnsi="Arial"/>
          <w:color w:val="231F20"/>
          <w:w w:val="95"/>
        </w:rPr>
        <w:t>trouvent</w:t>
      </w:r>
      <w:r>
        <w:rPr>
          <w:rFonts w:ascii="Arial" w:hAnsi="Arial"/>
          <w:color w:val="231F20"/>
          <w:spacing w:val="-4"/>
          <w:w w:val="95"/>
        </w:rPr>
        <w:t> </w:t>
      </w:r>
      <w:r>
        <w:rPr>
          <w:rFonts w:ascii="Arial" w:hAnsi="Arial"/>
          <w:color w:val="231F20"/>
          <w:w w:val="95"/>
        </w:rPr>
        <w:t>aussi</w:t>
      </w:r>
      <w:r>
        <w:rPr>
          <w:rFonts w:ascii="Arial" w:hAnsi="Arial"/>
          <w:color w:val="231F20"/>
          <w:spacing w:val="-4"/>
          <w:w w:val="95"/>
        </w:rPr>
        <w:t> </w:t>
      </w:r>
      <w:r>
        <w:rPr>
          <w:rFonts w:ascii="Arial" w:hAnsi="Arial"/>
          <w:color w:val="231F20"/>
          <w:w w:val="95"/>
        </w:rPr>
        <w:t>que</w:t>
      </w:r>
      <w:r>
        <w:rPr>
          <w:rFonts w:ascii="Arial" w:hAnsi="Arial"/>
          <w:color w:val="231F20"/>
          <w:spacing w:val="-4"/>
          <w:w w:val="95"/>
        </w:rPr>
        <w:t> </w:t>
      </w:r>
      <w:r>
        <w:rPr>
          <w:rFonts w:ascii="Arial" w:hAnsi="Arial"/>
          <w:color w:val="231F20"/>
          <w:w w:val="95"/>
        </w:rPr>
        <w:t>le</w:t>
      </w:r>
      <w:r>
        <w:rPr>
          <w:rFonts w:ascii="Arial" w:hAnsi="Arial"/>
          <w:color w:val="231F20"/>
          <w:spacing w:val="-4"/>
          <w:w w:val="95"/>
        </w:rPr>
        <w:t> </w:t>
      </w:r>
      <w:r>
        <w:rPr>
          <w:rFonts w:ascii="Arial" w:hAnsi="Arial"/>
          <w:color w:val="231F20"/>
          <w:w w:val="95"/>
        </w:rPr>
        <w:t>niveau</w:t>
      </w:r>
      <w:r>
        <w:rPr>
          <w:rFonts w:ascii="Arial" w:hAnsi="Arial"/>
          <w:color w:val="231F20"/>
          <w:spacing w:val="-4"/>
          <w:w w:val="95"/>
        </w:rPr>
        <w:t> </w:t>
      </w:r>
      <w:r>
        <w:rPr>
          <w:rFonts w:ascii="Arial" w:hAnsi="Arial"/>
          <w:color w:val="231F20"/>
          <w:w w:val="95"/>
        </w:rPr>
        <w:t>de</w:t>
      </w:r>
      <w:r>
        <w:rPr>
          <w:rFonts w:ascii="Arial" w:hAnsi="Arial"/>
          <w:color w:val="231F20"/>
          <w:spacing w:val="-4"/>
          <w:w w:val="95"/>
        </w:rPr>
        <w:t> </w:t>
      </w:r>
      <w:r>
        <w:rPr>
          <w:rFonts w:ascii="Arial" w:hAnsi="Arial"/>
          <w:color w:val="231F20"/>
          <w:w w:val="95"/>
        </w:rPr>
        <w:t>stress </w:t>
      </w:r>
      <w:r>
        <w:rPr>
          <w:rFonts w:ascii="Arial" w:hAnsi="Arial"/>
          <w:color w:val="231F20"/>
        </w:rPr>
        <w:t>détient</w:t>
      </w:r>
      <w:r>
        <w:rPr>
          <w:rFonts w:ascii="Arial" w:hAnsi="Arial"/>
          <w:color w:val="231F20"/>
          <w:spacing w:val="22"/>
        </w:rPr>
        <w:t> </w:t>
      </w:r>
      <w:r>
        <w:rPr>
          <w:rFonts w:ascii="Arial" w:hAnsi="Arial"/>
          <w:color w:val="231F20"/>
        </w:rPr>
        <w:t>un</w:t>
      </w:r>
      <w:r>
        <w:rPr>
          <w:rFonts w:ascii="Arial" w:hAnsi="Arial"/>
          <w:color w:val="231F20"/>
          <w:spacing w:val="23"/>
        </w:rPr>
        <w:t> </w:t>
      </w:r>
      <w:r>
        <w:rPr>
          <w:rFonts w:ascii="Arial" w:hAnsi="Arial"/>
          <w:color w:val="231F20"/>
        </w:rPr>
        <w:t>effet</w:t>
      </w:r>
      <w:r>
        <w:rPr>
          <w:rFonts w:ascii="Arial" w:hAnsi="Arial"/>
          <w:color w:val="231F20"/>
          <w:spacing w:val="23"/>
        </w:rPr>
        <w:t> </w:t>
      </w:r>
      <w:r>
        <w:rPr>
          <w:rFonts w:ascii="Arial" w:hAnsi="Arial"/>
          <w:color w:val="231F20"/>
        </w:rPr>
        <w:t>négatif</w:t>
      </w:r>
      <w:r>
        <w:rPr>
          <w:rFonts w:ascii="Arial" w:hAnsi="Arial"/>
          <w:color w:val="231F20"/>
          <w:spacing w:val="22"/>
        </w:rPr>
        <w:t> </w:t>
      </w:r>
      <w:r>
        <w:rPr>
          <w:rFonts w:ascii="Arial" w:hAnsi="Arial"/>
          <w:color w:val="231F20"/>
        </w:rPr>
        <w:t>sur</w:t>
      </w:r>
      <w:r>
        <w:rPr>
          <w:rFonts w:ascii="Arial" w:hAnsi="Arial"/>
          <w:color w:val="231F20"/>
          <w:spacing w:val="23"/>
        </w:rPr>
        <w:t> </w:t>
      </w:r>
      <w:r>
        <w:rPr>
          <w:rFonts w:ascii="Arial" w:hAnsi="Arial"/>
          <w:color w:val="231F20"/>
        </w:rPr>
        <w:t>leur</w:t>
      </w:r>
      <w:r>
        <w:rPr>
          <w:rFonts w:ascii="Arial" w:hAnsi="Arial"/>
          <w:color w:val="231F20"/>
          <w:spacing w:val="23"/>
        </w:rPr>
        <w:t> </w:t>
      </w:r>
      <w:r>
        <w:rPr>
          <w:rFonts w:ascii="Arial" w:hAnsi="Arial"/>
          <w:color w:val="231F20"/>
        </w:rPr>
        <w:t>santé,</w:t>
      </w:r>
      <w:r>
        <w:rPr>
          <w:rFonts w:ascii="Arial" w:hAnsi="Arial"/>
          <w:color w:val="231F20"/>
          <w:spacing w:val="23"/>
        </w:rPr>
        <w:t> </w:t>
      </w:r>
      <w:r>
        <w:rPr>
          <w:rFonts w:ascii="Arial" w:hAnsi="Arial"/>
          <w:color w:val="231F20"/>
        </w:rPr>
        <w:t>d’après</w:t>
      </w:r>
      <w:r>
        <w:rPr>
          <w:rFonts w:ascii="Arial" w:hAnsi="Arial"/>
          <w:color w:val="231F20"/>
          <w:spacing w:val="22"/>
        </w:rPr>
        <w:t> </w:t>
      </w:r>
      <w:r>
        <w:rPr>
          <w:rFonts w:ascii="Arial" w:hAnsi="Arial"/>
          <w:i/>
          <w:color w:val="231F20"/>
        </w:rPr>
        <w:t>L’Express</w:t>
      </w:r>
      <w:r>
        <w:rPr>
          <w:rFonts w:ascii="Arial" w:hAnsi="Arial"/>
          <w:color w:val="231F20"/>
        </w:rPr>
        <w:t>.</w:t>
      </w:r>
      <w:r>
        <w:rPr>
          <w:rFonts w:ascii="Arial" w:hAnsi="Arial"/>
          <w:color w:val="231F20"/>
          <w:spacing w:val="23"/>
        </w:rPr>
        <w:t> </w:t>
      </w:r>
      <w:r>
        <w:rPr>
          <w:rFonts w:ascii="Arial" w:hAnsi="Arial"/>
          <w:color w:val="231F20"/>
        </w:rPr>
        <w:t>Cet</w:t>
      </w:r>
      <w:r>
        <w:rPr>
          <w:rFonts w:ascii="Arial" w:hAnsi="Arial"/>
          <w:color w:val="231F20"/>
          <w:spacing w:val="23"/>
        </w:rPr>
        <w:t> </w:t>
      </w:r>
      <w:r>
        <w:rPr>
          <w:rFonts w:ascii="Arial" w:hAnsi="Arial"/>
          <w:color w:val="231F20"/>
          <w:spacing w:val="-2"/>
        </w:rPr>
        <w:t>effet</w:t>
      </w:r>
    </w:p>
    <w:p>
      <w:pPr>
        <w:spacing w:after="0" w:line="307" w:lineRule="auto"/>
        <w:jc w:val="both"/>
        <w:rPr>
          <w:rFonts w:ascii="Arial" w:hAnsi="Arial"/>
        </w:rPr>
        <w:sectPr>
          <w:footerReference w:type="default" r:id="rId22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39"/>
        <w:ind w:left="1080" w:right="743"/>
        <w:jc w:val="both"/>
        <w:rPr>
          <w:rFonts w:ascii="Arial" w:hAnsi="Arial"/>
        </w:rPr>
      </w:pPr>
      <w:r>
        <w:rPr/>
        <w:pict>
          <v:shape style="position:absolute;margin-left:62.500004pt;margin-top:-4.077127pt;width:287.5pt;height:522.5pt;mso-position-horizontal-relative:page;mso-position-vertical-relative:paragraph;z-index:-20946944" id="docshape770" coordorigin="1250,-82" coordsize="5750,10450" path="m7000,-82l1250,-82,1250,1498,1250,1798,1250,10368,7000,10368,7000,1498,7000,-82xe" filled="true" fillcolor="#e2e3e4" stroked="false">
            <v:path arrowok="t"/>
            <v:fill type="solid"/>
            <w10:wrap type="none"/>
          </v:shape>
        </w:pict>
      </w:r>
      <w:r>
        <w:rPr>
          <w:rFonts w:ascii="Arial" w:hAnsi="Arial"/>
          <w:color w:val="231F20"/>
        </w:rPr>
        <w:t>occupe</w:t>
      </w:r>
      <w:r>
        <w:rPr>
          <w:rFonts w:ascii="Arial" w:hAnsi="Arial"/>
          <w:color w:val="231F20"/>
          <w:spacing w:val="-4"/>
        </w:rPr>
        <w:t> </w:t>
      </w:r>
      <w:r>
        <w:rPr>
          <w:rFonts w:ascii="Arial" w:hAnsi="Arial"/>
          <w:color w:val="231F20"/>
        </w:rPr>
        <w:t>une</w:t>
      </w:r>
      <w:r>
        <w:rPr>
          <w:rFonts w:ascii="Arial" w:hAnsi="Arial"/>
          <w:color w:val="231F20"/>
          <w:spacing w:val="-4"/>
        </w:rPr>
        <w:t> </w:t>
      </w:r>
      <w:r>
        <w:rPr>
          <w:rFonts w:ascii="Arial" w:hAnsi="Arial"/>
          <w:color w:val="231F20"/>
        </w:rPr>
        <w:t>place</w:t>
      </w:r>
      <w:r>
        <w:rPr>
          <w:rFonts w:ascii="Arial" w:hAnsi="Arial"/>
          <w:color w:val="231F20"/>
          <w:spacing w:val="-4"/>
        </w:rPr>
        <w:t> </w:t>
      </w:r>
      <w:r>
        <w:rPr>
          <w:rFonts w:ascii="Arial" w:hAnsi="Arial"/>
          <w:color w:val="231F20"/>
        </w:rPr>
        <w:t>majeure</w:t>
      </w:r>
      <w:r>
        <w:rPr>
          <w:rFonts w:ascii="Arial" w:hAnsi="Arial"/>
          <w:color w:val="231F20"/>
          <w:spacing w:val="-4"/>
        </w:rPr>
        <w:t> </w:t>
      </w:r>
      <w:r>
        <w:rPr>
          <w:rFonts w:ascii="Arial" w:hAnsi="Arial"/>
          <w:color w:val="231F20"/>
        </w:rPr>
        <w:t>en</w:t>
      </w:r>
      <w:r>
        <w:rPr>
          <w:rFonts w:ascii="Arial" w:hAnsi="Arial"/>
          <w:color w:val="231F20"/>
          <w:spacing w:val="-4"/>
        </w:rPr>
        <w:t> </w:t>
      </w:r>
      <w:r>
        <w:rPr>
          <w:rFonts w:ascii="Arial" w:hAnsi="Arial"/>
          <w:color w:val="231F20"/>
        </w:rPr>
        <w:t>entreprise.</w:t>
      </w:r>
      <w:r>
        <w:rPr>
          <w:rFonts w:ascii="Arial" w:hAnsi="Arial"/>
          <w:color w:val="231F20"/>
          <w:spacing w:val="-4"/>
        </w:rPr>
        <w:t> </w:t>
      </w:r>
      <w:r>
        <w:rPr>
          <w:rFonts w:ascii="Arial" w:hAnsi="Arial"/>
          <w:color w:val="231F20"/>
        </w:rPr>
        <w:t>Ce</w:t>
      </w:r>
      <w:r>
        <w:rPr>
          <w:rFonts w:ascii="Arial" w:hAnsi="Arial"/>
          <w:color w:val="231F20"/>
          <w:spacing w:val="-4"/>
        </w:rPr>
        <w:t> </w:t>
      </w:r>
      <w:r>
        <w:rPr>
          <w:rFonts w:ascii="Arial" w:hAnsi="Arial"/>
          <w:color w:val="231F20"/>
        </w:rPr>
        <w:t>facteur</w:t>
      </w:r>
      <w:r>
        <w:rPr>
          <w:rFonts w:ascii="Arial" w:hAnsi="Arial"/>
          <w:color w:val="231F20"/>
          <w:spacing w:val="-4"/>
        </w:rPr>
        <w:t> </w:t>
      </w:r>
      <w:r>
        <w:rPr>
          <w:rFonts w:ascii="Arial" w:hAnsi="Arial"/>
          <w:color w:val="231F20"/>
        </w:rPr>
        <w:t>entraîne</w:t>
      </w:r>
      <w:r>
        <w:rPr>
          <w:rFonts w:ascii="Arial" w:hAnsi="Arial"/>
          <w:color w:val="231F20"/>
          <w:spacing w:val="-4"/>
        </w:rPr>
        <w:t> </w:t>
      </w:r>
      <w:r>
        <w:rPr>
          <w:rFonts w:ascii="Arial" w:hAnsi="Arial"/>
          <w:color w:val="231F20"/>
        </w:rPr>
        <w:t>des</w:t>
      </w:r>
      <w:r>
        <w:rPr>
          <w:rFonts w:ascii="Arial" w:hAnsi="Arial"/>
          <w:color w:val="231F20"/>
          <w:spacing w:val="-4"/>
        </w:rPr>
        <w:t> </w:t>
      </w:r>
      <w:r>
        <w:rPr>
          <w:rFonts w:ascii="Arial" w:hAnsi="Arial"/>
          <w:color w:val="231F20"/>
        </w:rPr>
        <w:t>pro- </w:t>
      </w:r>
      <w:r>
        <w:rPr>
          <w:rFonts w:ascii="Arial" w:hAnsi="Arial"/>
          <w:color w:val="231F20"/>
          <w:spacing w:val="-2"/>
        </w:rPr>
        <w:t>blèmes</w:t>
      </w:r>
      <w:r>
        <w:rPr>
          <w:rFonts w:ascii="Arial" w:hAnsi="Arial"/>
          <w:color w:val="231F20"/>
          <w:spacing w:val="-8"/>
        </w:rPr>
        <w:t> </w:t>
      </w:r>
      <w:r>
        <w:rPr>
          <w:rFonts w:ascii="Arial" w:hAnsi="Arial"/>
          <w:color w:val="231F20"/>
          <w:spacing w:val="-2"/>
        </w:rPr>
        <w:t>médicaux</w:t>
      </w:r>
      <w:r>
        <w:rPr>
          <w:rFonts w:ascii="Arial" w:hAnsi="Arial"/>
          <w:color w:val="231F20"/>
          <w:spacing w:val="-8"/>
        </w:rPr>
        <w:t> </w:t>
      </w:r>
      <w:r>
        <w:rPr>
          <w:rFonts w:ascii="Arial" w:hAnsi="Arial"/>
          <w:color w:val="231F20"/>
          <w:spacing w:val="-2"/>
        </w:rPr>
        <w:t>tels</w:t>
      </w:r>
      <w:r>
        <w:rPr>
          <w:rFonts w:ascii="Arial" w:hAnsi="Arial"/>
          <w:color w:val="231F20"/>
          <w:spacing w:val="-8"/>
        </w:rPr>
        <w:t> </w:t>
      </w:r>
      <w:r>
        <w:rPr>
          <w:rFonts w:ascii="Arial" w:hAnsi="Arial"/>
          <w:color w:val="231F20"/>
          <w:spacing w:val="-2"/>
        </w:rPr>
        <w:t>que</w:t>
      </w:r>
      <w:r>
        <w:rPr>
          <w:rFonts w:ascii="Arial" w:hAnsi="Arial"/>
          <w:color w:val="231F20"/>
          <w:spacing w:val="-8"/>
        </w:rPr>
        <w:t> </w:t>
      </w:r>
      <w:r>
        <w:rPr>
          <w:rFonts w:ascii="Arial" w:hAnsi="Arial"/>
          <w:color w:val="231F20"/>
          <w:spacing w:val="-2"/>
        </w:rPr>
        <w:t>des</w:t>
      </w:r>
      <w:r>
        <w:rPr>
          <w:rFonts w:ascii="Arial" w:hAnsi="Arial"/>
          <w:color w:val="231F20"/>
          <w:spacing w:val="-8"/>
        </w:rPr>
        <w:t> </w:t>
      </w:r>
      <w:r>
        <w:rPr>
          <w:rFonts w:ascii="Arial" w:hAnsi="Arial"/>
          <w:color w:val="231F20"/>
          <w:spacing w:val="-2"/>
        </w:rPr>
        <w:t>maladies</w:t>
      </w:r>
      <w:r>
        <w:rPr>
          <w:rFonts w:ascii="Arial" w:hAnsi="Arial"/>
          <w:color w:val="231F20"/>
          <w:spacing w:val="-8"/>
        </w:rPr>
        <w:t> </w:t>
      </w:r>
      <w:r>
        <w:rPr>
          <w:rFonts w:ascii="Arial" w:hAnsi="Arial"/>
          <w:color w:val="231F20"/>
          <w:spacing w:val="-2"/>
        </w:rPr>
        <w:t>cardiovasculaires,</w:t>
      </w:r>
      <w:r>
        <w:rPr>
          <w:rFonts w:ascii="Arial" w:hAnsi="Arial"/>
          <w:color w:val="231F20"/>
          <w:spacing w:val="-8"/>
        </w:rPr>
        <w:t> </w:t>
      </w:r>
      <w:r>
        <w:rPr>
          <w:rFonts w:ascii="Arial" w:hAnsi="Arial"/>
          <w:color w:val="231F20"/>
          <w:spacing w:val="-2"/>
        </w:rPr>
        <w:t>des</w:t>
      </w:r>
      <w:r>
        <w:rPr>
          <w:rFonts w:ascii="Arial" w:hAnsi="Arial"/>
          <w:color w:val="231F20"/>
          <w:spacing w:val="-8"/>
        </w:rPr>
        <w:t> </w:t>
      </w:r>
      <w:r>
        <w:rPr>
          <w:rFonts w:ascii="Arial" w:hAnsi="Arial"/>
          <w:color w:val="231F20"/>
          <w:spacing w:val="-2"/>
        </w:rPr>
        <w:t>troubles musculosquelettiques</w:t>
      </w:r>
      <w:r>
        <w:rPr>
          <w:rFonts w:ascii="Arial" w:hAnsi="Arial"/>
          <w:color w:val="231F20"/>
          <w:spacing w:val="-4"/>
        </w:rPr>
        <w:t> </w:t>
      </w:r>
      <w:r>
        <w:rPr>
          <w:rFonts w:ascii="Arial" w:hAnsi="Arial"/>
          <w:color w:val="231F20"/>
          <w:spacing w:val="-2"/>
        </w:rPr>
        <w:t>ou</w:t>
      </w:r>
      <w:r>
        <w:rPr>
          <w:rFonts w:ascii="Arial" w:hAnsi="Arial"/>
          <w:color w:val="231F20"/>
          <w:spacing w:val="-4"/>
        </w:rPr>
        <w:t> </w:t>
      </w:r>
      <w:r>
        <w:rPr>
          <w:rFonts w:ascii="Arial" w:hAnsi="Arial"/>
          <w:color w:val="231F20"/>
          <w:spacing w:val="-2"/>
        </w:rPr>
        <w:t>encore[,</w:t>
      </w:r>
      <w:r>
        <w:rPr>
          <w:rFonts w:ascii="Arial" w:hAnsi="Arial"/>
          <w:color w:val="231F20"/>
          <w:spacing w:val="-4"/>
        </w:rPr>
        <w:t> </w:t>
      </w:r>
      <w:r>
        <w:rPr>
          <w:rFonts w:ascii="Arial" w:hAnsi="Arial"/>
          <w:color w:val="231F20"/>
          <w:spacing w:val="-2"/>
        </w:rPr>
        <w:t>]des</w:t>
      </w:r>
      <w:r>
        <w:rPr>
          <w:rFonts w:ascii="Arial" w:hAnsi="Arial"/>
          <w:color w:val="231F20"/>
          <w:spacing w:val="-4"/>
        </w:rPr>
        <w:t> </w:t>
      </w:r>
      <w:r>
        <w:rPr>
          <w:rFonts w:ascii="Arial" w:hAnsi="Arial"/>
          <w:color w:val="231F20"/>
          <w:spacing w:val="-2"/>
        </w:rPr>
        <w:t>dépressions.</w:t>
      </w:r>
      <w:r>
        <w:rPr>
          <w:rFonts w:ascii="Arial" w:hAnsi="Arial"/>
          <w:color w:val="231F20"/>
          <w:spacing w:val="-4"/>
        </w:rPr>
        <w:t> </w:t>
      </w:r>
      <w:r>
        <w:rPr>
          <w:rFonts w:ascii="Arial" w:hAnsi="Arial"/>
          <w:color w:val="231F20"/>
          <w:spacing w:val="-2"/>
        </w:rPr>
        <w:t>Les</w:t>
      </w:r>
      <w:r>
        <w:rPr>
          <w:rFonts w:ascii="Arial" w:hAnsi="Arial"/>
          <w:color w:val="231F20"/>
          <w:spacing w:val="-4"/>
        </w:rPr>
        <w:t> </w:t>
      </w:r>
      <w:r>
        <w:rPr>
          <w:rFonts w:ascii="Arial" w:hAnsi="Arial"/>
          <w:color w:val="231F20"/>
          <w:spacing w:val="-2"/>
        </w:rPr>
        <w:t>risques</w:t>
      </w:r>
      <w:r>
        <w:rPr>
          <w:rFonts w:ascii="Arial" w:hAnsi="Arial"/>
          <w:color w:val="231F20"/>
          <w:spacing w:val="-4"/>
        </w:rPr>
        <w:t> </w:t>
      </w:r>
      <w:r>
        <w:rPr>
          <w:rFonts w:ascii="Arial" w:hAnsi="Arial"/>
          <w:color w:val="231F20"/>
          <w:spacing w:val="-2"/>
        </w:rPr>
        <w:t>d’acci- </w:t>
      </w:r>
      <w:r>
        <w:rPr>
          <w:rFonts w:ascii="Arial" w:hAnsi="Arial"/>
          <w:color w:val="231F20"/>
        </w:rPr>
        <w:t>dent s’avèrent également accrus avec l’état dans lequel on se trouve. </w:t>
      </w:r>
      <w:r>
        <w:rPr>
          <w:rFonts w:ascii="Arial" w:hAnsi="Arial"/>
          <w:color w:val="231F20"/>
          <w:w w:val="105"/>
        </w:rPr>
        <w:t>Ainsi, faites en sorte de tout mettre en œuvre pour limiter le plus possible le stress au quotidien.</w:t>
      </w:r>
    </w:p>
    <w:p>
      <w:pPr>
        <w:pStyle w:val="BodyText"/>
        <w:spacing w:line="307" w:lineRule="auto" w:before="79"/>
        <w:ind w:left="1080" w:right="745"/>
        <w:jc w:val="both"/>
        <w:rPr>
          <w:rFonts w:ascii="Arial" w:hAnsi="Arial"/>
        </w:rPr>
      </w:pPr>
      <w:r>
        <w:rPr>
          <w:rFonts w:ascii="Arial" w:hAnsi="Arial"/>
          <w:b/>
          <w:color w:val="231F20"/>
        </w:rPr>
        <w:t>Une grande démotivation </w:t>
      </w:r>
      <w:r>
        <w:rPr>
          <w:rFonts w:ascii="Arial" w:hAnsi="Arial"/>
          <w:color w:val="231F20"/>
        </w:rPr>
        <w:t>– Le stress entraîne, non seulement une </w:t>
      </w:r>
      <w:r>
        <w:rPr>
          <w:rFonts w:ascii="Arial" w:hAnsi="Arial"/>
          <w:color w:val="231F20"/>
          <w:w w:val="105"/>
        </w:rPr>
        <w:t>baisse</w:t>
      </w:r>
      <w:r>
        <w:rPr>
          <w:rFonts w:ascii="Arial" w:hAnsi="Arial"/>
          <w:color w:val="231F20"/>
          <w:spacing w:val="-8"/>
          <w:w w:val="105"/>
        </w:rPr>
        <w:t> </w:t>
      </w:r>
      <w:r>
        <w:rPr>
          <w:rFonts w:ascii="Arial" w:hAnsi="Arial"/>
          <w:color w:val="231F20"/>
          <w:w w:val="105"/>
        </w:rPr>
        <w:t>d’efficacité</w:t>
      </w:r>
      <w:r>
        <w:rPr>
          <w:rFonts w:ascii="Arial" w:hAnsi="Arial"/>
          <w:color w:val="231F20"/>
          <w:spacing w:val="-8"/>
          <w:w w:val="105"/>
        </w:rPr>
        <w:t> </w:t>
      </w:r>
      <w:r>
        <w:rPr>
          <w:rFonts w:ascii="Arial" w:hAnsi="Arial"/>
          <w:color w:val="231F20"/>
          <w:w w:val="105"/>
        </w:rPr>
        <w:t>dans</w:t>
      </w:r>
      <w:r>
        <w:rPr>
          <w:rFonts w:ascii="Arial" w:hAnsi="Arial"/>
          <w:color w:val="231F20"/>
          <w:spacing w:val="-8"/>
          <w:w w:val="105"/>
        </w:rPr>
        <w:t> </w:t>
      </w:r>
      <w:r>
        <w:rPr>
          <w:rFonts w:ascii="Arial" w:hAnsi="Arial"/>
          <w:color w:val="231F20"/>
          <w:w w:val="105"/>
        </w:rPr>
        <w:t>votre</w:t>
      </w:r>
      <w:r>
        <w:rPr>
          <w:rFonts w:ascii="Arial" w:hAnsi="Arial"/>
          <w:color w:val="231F20"/>
          <w:spacing w:val="-8"/>
          <w:w w:val="105"/>
        </w:rPr>
        <w:t> </w:t>
      </w:r>
      <w:r>
        <w:rPr>
          <w:rFonts w:ascii="Arial" w:hAnsi="Arial"/>
          <w:color w:val="231F20"/>
          <w:w w:val="105"/>
        </w:rPr>
        <w:t>travail,</w:t>
      </w:r>
      <w:r>
        <w:rPr>
          <w:rFonts w:ascii="Arial" w:hAnsi="Arial"/>
          <w:color w:val="231F20"/>
          <w:spacing w:val="-8"/>
          <w:w w:val="105"/>
        </w:rPr>
        <w:t> </w:t>
      </w:r>
      <w:r>
        <w:rPr>
          <w:rFonts w:ascii="Arial" w:hAnsi="Arial"/>
          <w:color w:val="231F20"/>
          <w:w w:val="105"/>
        </w:rPr>
        <w:t>mais,</w:t>
      </w:r>
      <w:r>
        <w:rPr>
          <w:rFonts w:ascii="Arial" w:hAnsi="Arial"/>
          <w:color w:val="231F20"/>
          <w:spacing w:val="-8"/>
          <w:w w:val="105"/>
        </w:rPr>
        <w:t> </w:t>
      </w:r>
      <w:r>
        <w:rPr>
          <w:rFonts w:ascii="Arial" w:hAnsi="Arial"/>
          <w:color w:val="231F20"/>
          <w:w w:val="105"/>
        </w:rPr>
        <w:t>en</w:t>
      </w:r>
      <w:r>
        <w:rPr>
          <w:rFonts w:ascii="Arial" w:hAnsi="Arial"/>
          <w:color w:val="231F20"/>
          <w:spacing w:val="-8"/>
          <w:w w:val="105"/>
        </w:rPr>
        <w:t> </w:t>
      </w:r>
      <w:r>
        <w:rPr>
          <w:rFonts w:ascii="Arial" w:hAnsi="Arial"/>
          <w:color w:val="231F20"/>
          <w:w w:val="105"/>
        </w:rPr>
        <w:t>plus</w:t>
      </w:r>
      <w:r>
        <w:rPr>
          <w:rFonts w:ascii="Arial" w:hAnsi="Arial"/>
          <w:color w:val="231F20"/>
          <w:spacing w:val="-8"/>
          <w:w w:val="105"/>
        </w:rPr>
        <w:t> </w:t>
      </w:r>
      <w:r>
        <w:rPr>
          <w:rFonts w:ascii="Arial" w:hAnsi="Arial"/>
          <w:color w:val="231F20"/>
          <w:w w:val="105"/>
        </w:rPr>
        <w:t>de</w:t>
      </w:r>
      <w:r>
        <w:rPr>
          <w:rFonts w:ascii="Arial" w:hAnsi="Arial"/>
          <w:color w:val="231F20"/>
          <w:spacing w:val="-8"/>
          <w:w w:val="105"/>
        </w:rPr>
        <w:t> </w:t>
      </w:r>
      <w:r>
        <w:rPr>
          <w:rFonts w:ascii="Arial" w:hAnsi="Arial"/>
          <w:color w:val="231F20"/>
          <w:w w:val="105"/>
        </w:rPr>
        <w:t>cela,</w:t>
      </w:r>
      <w:r>
        <w:rPr>
          <w:rFonts w:ascii="Arial" w:hAnsi="Arial"/>
          <w:color w:val="231F20"/>
          <w:spacing w:val="-8"/>
          <w:w w:val="105"/>
        </w:rPr>
        <w:t> </w:t>
      </w:r>
      <w:r>
        <w:rPr>
          <w:rFonts w:ascii="Arial" w:hAnsi="Arial"/>
          <w:color w:val="231F20"/>
          <w:w w:val="105"/>
        </w:rPr>
        <w:t>il</w:t>
      </w:r>
      <w:r>
        <w:rPr>
          <w:rFonts w:ascii="Arial" w:hAnsi="Arial"/>
          <w:color w:val="231F20"/>
          <w:spacing w:val="-8"/>
          <w:w w:val="105"/>
        </w:rPr>
        <w:t> </w:t>
      </w:r>
      <w:r>
        <w:rPr>
          <w:rFonts w:ascii="Arial" w:hAnsi="Arial"/>
          <w:color w:val="231F20"/>
          <w:w w:val="105"/>
        </w:rPr>
        <w:t>cause </w:t>
      </w:r>
      <w:r>
        <w:rPr>
          <w:rFonts w:ascii="Arial" w:hAnsi="Arial"/>
          <w:color w:val="231F20"/>
        </w:rPr>
        <w:t>une</w:t>
      </w:r>
      <w:r>
        <w:rPr>
          <w:rFonts w:ascii="Arial" w:hAnsi="Arial"/>
          <w:color w:val="231F20"/>
          <w:spacing w:val="-4"/>
        </w:rPr>
        <w:t> </w:t>
      </w:r>
      <w:r>
        <w:rPr>
          <w:rFonts w:ascii="Arial" w:hAnsi="Arial"/>
          <w:color w:val="231F20"/>
        </w:rPr>
        <w:t>diminution</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motivation</w:t>
      </w:r>
      <w:r>
        <w:rPr>
          <w:rFonts w:ascii="Arial" w:hAnsi="Arial"/>
          <w:color w:val="231F20"/>
          <w:spacing w:val="-4"/>
        </w:rPr>
        <w:t> </w:t>
      </w:r>
      <w:r>
        <w:rPr>
          <w:rFonts w:ascii="Arial" w:hAnsi="Arial"/>
          <w:color w:val="231F20"/>
        </w:rPr>
        <w:t>et</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[la</w:t>
      </w:r>
      <w:r>
        <w:rPr>
          <w:rFonts w:ascii="Arial" w:hAnsi="Arial"/>
          <w:color w:val="231F20"/>
          <w:spacing w:val="-4"/>
        </w:rPr>
        <w:t> </w:t>
      </w:r>
      <w:r>
        <w:rPr>
          <w:rFonts w:ascii="Arial" w:hAnsi="Arial"/>
          <w:color w:val="231F20"/>
        </w:rPr>
        <w:t>]créativité.</w:t>
      </w:r>
      <w:r>
        <w:rPr>
          <w:rFonts w:ascii="Arial" w:hAnsi="Arial"/>
          <w:color w:val="231F20"/>
          <w:spacing w:val="-4"/>
        </w:rPr>
        <w:t> </w:t>
      </w:r>
      <w:r>
        <w:rPr>
          <w:rFonts w:ascii="Arial" w:hAnsi="Arial"/>
          <w:color w:val="231F20"/>
        </w:rPr>
        <w:t>Lorsque</w:t>
      </w:r>
      <w:r>
        <w:rPr>
          <w:rFonts w:ascii="Arial" w:hAnsi="Arial"/>
          <w:color w:val="231F20"/>
          <w:spacing w:val="-4"/>
        </w:rPr>
        <w:t> </w:t>
      </w:r>
      <w:r>
        <w:rPr>
          <w:rFonts w:ascii="Arial" w:hAnsi="Arial"/>
          <w:color w:val="231F20"/>
        </w:rPr>
        <w:t>vous</w:t>
      </w:r>
      <w:r>
        <w:rPr>
          <w:rFonts w:ascii="Arial" w:hAnsi="Arial"/>
          <w:color w:val="231F20"/>
          <w:spacing w:val="-4"/>
        </w:rPr>
        <w:t> </w:t>
      </w:r>
      <w:r>
        <w:rPr>
          <w:rFonts w:ascii="Arial" w:hAnsi="Arial"/>
          <w:color w:val="231F20"/>
        </w:rPr>
        <w:t>êtes </w:t>
      </w:r>
      <w:r>
        <w:rPr>
          <w:rFonts w:ascii="Arial" w:hAnsi="Arial"/>
          <w:color w:val="231F20"/>
          <w:w w:val="105"/>
        </w:rPr>
        <w:t>submergé</w:t>
      </w:r>
      <w:r>
        <w:rPr>
          <w:rFonts w:ascii="Arial" w:hAnsi="Arial"/>
          <w:color w:val="231F20"/>
          <w:spacing w:val="-12"/>
          <w:w w:val="105"/>
        </w:rPr>
        <w:t> </w:t>
      </w:r>
      <w:r>
        <w:rPr>
          <w:rFonts w:ascii="Arial" w:hAnsi="Arial"/>
          <w:color w:val="231F20"/>
          <w:w w:val="105"/>
        </w:rPr>
        <w:t>par</w:t>
      </w:r>
      <w:r>
        <w:rPr>
          <w:rFonts w:ascii="Arial" w:hAnsi="Arial"/>
          <w:color w:val="231F20"/>
          <w:spacing w:val="-12"/>
          <w:w w:val="105"/>
        </w:rPr>
        <w:t> </w:t>
      </w:r>
      <w:r>
        <w:rPr>
          <w:rFonts w:ascii="Arial" w:hAnsi="Arial"/>
          <w:color w:val="231F20"/>
          <w:w w:val="105"/>
        </w:rPr>
        <w:t>le</w:t>
      </w:r>
      <w:r>
        <w:rPr>
          <w:rFonts w:ascii="Arial" w:hAnsi="Arial"/>
          <w:color w:val="231F20"/>
          <w:spacing w:val="-12"/>
          <w:w w:val="105"/>
        </w:rPr>
        <w:t> </w:t>
      </w:r>
      <w:r>
        <w:rPr>
          <w:rFonts w:ascii="Arial" w:hAnsi="Arial"/>
          <w:color w:val="231F20"/>
          <w:w w:val="105"/>
        </w:rPr>
        <w:t>stress,</w:t>
      </w:r>
      <w:r>
        <w:rPr>
          <w:rFonts w:ascii="Arial" w:hAnsi="Arial"/>
          <w:color w:val="231F20"/>
          <w:spacing w:val="-12"/>
          <w:w w:val="105"/>
        </w:rPr>
        <w:t> </w:t>
      </w:r>
      <w:r>
        <w:rPr>
          <w:rFonts w:ascii="Arial" w:hAnsi="Arial"/>
          <w:color w:val="231F20"/>
          <w:w w:val="105"/>
        </w:rPr>
        <w:t>réfléchir</w:t>
      </w:r>
      <w:r>
        <w:rPr>
          <w:rFonts w:ascii="Arial" w:hAnsi="Arial"/>
          <w:color w:val="231F20"/>
          <w:spacing w:val="-12"/>
          <w:w w:val="105"/>
        </w:rPr>
        <w:t> </w:t>
      </w:r>
      <w:r>
        <w:rPr>
          <w:rFonts w:ascii="Arial" w:hAnsi="Arial"/>
          <w:color w:val="231F20"/>
          <w:w w:val="105"/>
        </w:rPr>
        <w:t>devient</w:t>
      </w:r>
      <w:r>
        <w:rPr>
          <w:rFonts w:ascii="Arial" w:hAnsi="Arial"/>
          <w:color w:val="231F20"/>
          <w:spacing w:val="-12"/>
          <w:w w:val="105"/>
        </w:rPr>
        <w:t> </w:t>
      </w:r>
      <w:r>
        <w:rPr>
          <w:rFonts w:ascii="Arial" w:hAnsi="Arial"/>
          <w:color w:val="231F20"/>
          <w:w w:val="105"/>
        </w:rPr>
        <w:t>difficile.</w:t>
      </w:r>
      <w:r>
        <w:rPr>
          <w:rFonts w:ascii="Arial" w:hAnsi="Arial"/>
          <w:color w:val="231F20"/>
          <w:spacing w:val="-12"/>
          <w:w w:val="105"/>
        </w:rPr>
        <w:t> </w:t>
      </w:r>
      <w:r>
        <w:rPr>
          <w:rFonts w:ascii="Arial" w:hAnsi="Arial"/>
          <w:color w:val="231F20"/>
          <w:w w:val="105"/>
        </w:rPr>
        <w:t>Vous</w:t>
      </w:r>
      <w:r>
        <w:rPr>
          <w:rFonts w:ascii="Arial" w:hAnsi="Arial"/>
          <w:color w:val="231F20"/>
          <w:spacing w:val="-12"/>
          <w:w w:val="105"/>
        </w:rPr>
        <w:t> </w:t>
      </w:r>
      <w:r>
        <w:rPr>
          <w:rFonts w:ascii="Arial" w:hAnsi="Arial"/>
          <w:color w:val="231F20"/>
          <w:w w:val="105"/>
        </w:rPr>
        <w:t>ne</w:t>
      </w:r>
      <w:r>
        <w:rPr>
          <w:rFonts w:ascii="Arial" w:hAnsi="Arial"/>
          <w:color w:val="231F20"/>
          <w:spacing w:val="-12"/>
          <w:w w:val="105"/>
        </w:rPr>
        <w:t> </w:t>
      </w:r>
      <w:r>
        <w:rPr>
          <w:rFonts w:ascii="Arial" w:hAnsi="Arial"/>
          <w:color w:val="231F20"/>
          <w:w w:val="105"/>
        </w:rPr>
        <w:t>trouverez </w:t>
      </w:r>
      <w:r>
        <w:rPr>
          <w:rFonts w:ascii="Arial" w:hAnsi="Arial"/>
          <w:color w:val="231F20"/>
        </w:rPr>
        <w:t>alors</w:t>
      </w:r>
      <w:r>
        <w:rPr>
          <w:rFonts w:ascii="Arial" w:hAnsi="Arial"/>
          <w:color w:val="231F20"/>
          <w:spacing w:val="-3"/>
        </w:rPr>
        <w:t> </w:t>
      </w:r>
      <w:r>
        <w:rPr>
          <w:rFonts w:ascii="Arial" w:hAnsi="Arial"/>
          <w:color w:val="231F20"/>
        </w:rPr>
        <w:t>pas</w:t>
      </w:r>
      <w:r>
        <w:rPr>
          <w:rFonts w:ascii="Arial" w:hAnsi="Arial"/>
          <w:color w:val="231F20"/>
          <w:spacing w:val="-3"/>
        </w:rPr>
        <w:t> </w:t>
      </w:r>
      <w:r>
        <w:rPr>
          <w:rFonts w:ascii="Arial" w:hAnsi="Arial"/>
          <w:color w:val="231F20"/>
        </w:rPr>
        <w:t>la</w:t>
      </w:r>
      <w:r>
        <w:rPr>
          <w:rFonts w:ascii="Arial" w:hAnsi="Arial"/>
          <w:color w:val="231F20"/>
          <w:spacing w:val="-3"/>
        </w:rPr>
        <w:t> </w:t>
      </w:r>
      <w:r>
        <w:rPr>
          <w:rFonts w:ascii="Arial" w:hAnsi="Arial"/>
          <w:color w:val="231F20"/>
        </w:rPr>
        <w:t>motivation</w:t>
      </w:r>
      <w:r>
        <w:rPr>
          <w:rFonts w:ascii="Arial" w:hAnsi="Arial"/>
          <w:color w:val="231F20"/>
          <w:spacing w:val="-3"/>
        </w:rPr>
        <w:t> </w:t>
      </w:r>
      <w:r>
        <w:rPr>
          <w:rFonts w:ascii="Arial" w:hAnsi="Arial"/>
          <w:color w:val="231F20"/>
        </w:rPr>
        <w:t>nécessaire</w:t>
      </w:r>
      <w:r>
        <w:rPr>
          <w:rFonts w:ascii="Arial" w:hAnsi="Arial"/>
          <w:color w:val="231F20"/>
          <w:spacing w:val="-3"/>
        </w:rPr>
        <w:t> </w:t>
      </w:r>
      <w:r>
        <w:rPr>
          <w:rFonts w:ascii="Arial" w:hAnsi="Arial"/>
          <w:color w:val="231F20"/>
        </w:rPr>
        <w:t>à</w:t>
      </w:r>
      <w:r>
        <w:rPr>
          <w:rFonts w:ascii="Arial" w:hAnsi="Arial"/>
          <w:color w:val="231F20"/>
          <w:spacing w:val="-3"/>
        </w:rPr>
        <w:t> </w:t>
      </w:r>
      <w:r>
        <w:rPr>
          <w:rFonts w:ascii="Arial" w:hAnsi="Arial"/>
          <w:color w:val="231F20"/>
        </w:rPr>
        <w:t>l’accomplissement</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vos</w:t>
      </w:r>
      <w:r>
        <w:rPr>
          <w:rFonts w:ascii="Arial" w:hAnsi="Arial"/>
          <w:color w:val="231F20"/>
          <w:spacing w:val="-3"/>
        </w:rPr>
        <w:t> </w:t>
      </w:r>
      <w:r>
        <w:rPr>
          <w:rFonts w:ascii="Arial" w:hAnsi="Arial"/>
          <w:color w:val="231F20"/>
        </w:rPr>
        <w:t>tâches quotidiennes.</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même,</w:t>
      </w:r>
      <w:r>
        <w:rPr>
          <w:rFonts w:ascii="Arial" w:hAnsi="Arial"/>
          <w:color w:val="231F20"/>
          <w:spacing w:val="-2"/>
        </w:rPr>
        <w:t> </w:t>
      </w:r>
      <w:r>
        <w:rPr>
          <w:rFonts w:ascii="Arial" w:hAnsi="Arial"/>
          <w:color w:val="231F20"/>
        </w:rPr>
        <w:t>pour</w:t>
      </w:r>
      <w:r>
        <w:rPr>
          <w:rFonts w:ascii="Arial" w:hAnsi="Arial"/>
          <w:color w:val="231F20"/>
          <w:spacing w:val="-2"/>
        </w:rPr>
        <w:t> </w:t>
      </w:r>
      <w:r>
        <w:rPr>
          <w:rFonts w:ascii="Arial" w:hAnsi="Arial"/>
          <w:color w:val="231F20"/>
        </w:rPr>
        <w:t>vous</w:t>
      </w:r>
      <w:r>
        <w:rPr>
          <w:rFonts w:ascii="Arial" w:hAnsi="Arial"/>
          <w:color w:val="231F20"/>
          <w:spacing w:val="-2"/>
        </w:rPr>
        <w:t> </w:t>
      </w:r>
      <w:r>
        <w:rPr>
          <w:rFonts w:ascii="Arial" w:hAnsi="Arial"/>
          <w:color w:val="231F20"/>
        </w:rPr>
        <w:t>réveiller</w:t>
      </w:r>
      <w:r>
        <w:rPr>
          <w:rFonts w:ascii="Arial" w:hAnsi="Arial"/>
          <w:color w:val="231F20"/>
          <w:spacing w:val="-2"/>
        </w:rPr>
        <w:t> </w:t>
      </w:r>
      <w:r>
        <w:rPr>
          <w:rFonts w:ascii="Arial" w:hAnsi="Arial"/>
          <w:color w:val="231F20"/>
        </w:rPr>
        <w:t>et</w:t>
      </w:r>
      <w:r>
        <w:rPr>
          <w:rFonts w:ascii="Arial" w:hAnsi="Arial"/>
          <w:color w:val="231F20"/>
          <w:spacing w:val="-2"/>
        </w:rPr>
        <w:t> </w:t>
      </w:r>
      <w:r>
        <w:rPr>
          <w:rFonts w:ascii="Arial" w:hAnsi="Arial"/>
          <w:color w:val="231F20"/>
        </w:rPr>
        <w:t>vous</w:t>
      </w:r>
      <w:r>
        <w:rPr>
          <w:rFonts w:ascii="Arial" w:hAnsi="Arial"/>
          <w:color w:val="231F20"/>
          <w:spacing w:val="-2"/>
        </w:rPr>
        <w:t> </w:t>
      </w:r>
      <w:r>
        <w:rPr>
          <w:rFonts w:ascii="Arial" w:hAnsi="Arial"/>
          <w:color w:val="231F20"/>
        </w:rPr>
        <w:t>rendre</w:t>
      </w:r>
      <w:r>
        <w:rPr>
          <w:rFonts w:ascii="Arial" w:hAnsi="Arial"/>
          <w:color w:val="231F20"/>
          <w:spacing w:val="-2"/>
        </w:rPr>
        <w:t> </w:t>
      </w:r>
      <w:r>
        <w:rPr>
          <w:rFonts w:ascii="Arial" w:hAnsi="Arial"/>
          <w:color w:val="231F20"/>
        </w:rPr>
        <w:t>au</w:t>
      </w:r>
      <w:r>
        <w:rPr>
          <w:rFonts w:ascii="Arial" w:hAnsi="Arial"/>
          <w:color w:val="231F20"/>
          <w:spacing w:val="-2"/>
        </w:rPr>
        <w:t> </w:t>
      </w:r>
      <w:r>
        <w:rPr>
          <w:rFonts w:ascii="Arial" w:hAnsi="Arial"/>
          <w:color w:val="231F20"/>
        </w:rPr>
        <w:t>bureau </w:t>
      </w:r>
      <w:r>
        <w:rPr>
          <w:rFonts w:ascii="Arial" w:hAnsi="Arial"/>
          <w:color w:val="231F20"/>
          <w:spacing w:val="-2"/>
        </w:rPr>
        <w:t>le</w:t>
      </w:r>
      <w:r>
        <w:rPr>
          <w:rFonts w:ascii="Arial" w:hAnsi="Arial"/>
          <w:color w:val="231F20"/>
          <w:spacing w:val="-7"/>
        </w:rPr>
        <w:t> </w:t>
      </w:r>
      <w:r>
        <w:rPr>
          <w:rFonts w:ascii="Arial" w:hAnsi="Arial"/>
          <w:color w:val="231F20"/>
          <w:spacing w:val="-2"/>
        </w:rPr>
        <w:t>matin…</w:t>
      </w:r>
      <w:r>
        <w:rPr>
          <w:rFonts w:ascii="Arial" w:hAnsi="Arial"/>
          <w:color w:val="231F20"/>
          <w:spacing w:val="-7"/>
        </w:rPr>
        <w:t> </w:t>
      </w:r>
      <w:r>
        <w:rPr>
          <w:rFonts w:ascii="Arial" w:hAnsi="Arial"/>
          <w:color w:val="231F20"/>
          <w:spacing w:val="-2"/>
        </w:rPr>
        <w:t>Trouver</w:t>
      </w:r>
      <w:r>
        <w:rPr>
          <w:rFonts w:ascii="Arial" w:hAnsi="Arial"/>
          <w:color w:val="231F20"/>
          <w:spacing w:val="-7"/>
        </w:rPr>
        <w:t> </w:t>
      </w:r>
      <w:r>
        <w:rPr>
          <w:rFonts w:ascii="Arial" w:hAnsi="Arial"/>
          <w:color w:val="231F20"/>
          <w:spacing w:val="-2"/>
        </w:rPr>
        <w:t>la</w:t>
      </w:r>
      <w:r>
        <w:rPr>
          <w:rFonts w:ascii="Arial" w:hAnsi="Arial"/>
          <w:color w:val="231F20"/>
          <w:spacing w:val="-7"/>
        </w:rPr>
        <w:t> </w:t>
      </w:r>
      <w:r>
        <w:rPr>
          <w:rFonts w:ascii="Arial" w:hAnsi="Arial"/>
          <w:color w:val="231F20"/>
          <w:spacing w:val="-2"/>
        </w:rPr>
        <w:t>force</w:t>
      </w:r>
      <w:r>
        <w:rPr>
          <w:rFonts w:ascii="Arial" w:hAnsi="Arial"/>
          <w:color w:val="231F20"/>
          <w:spacing w:val="-7"/>
        </w:rPr>
        <w:t> </w:t>
      </w:r>
      <w:r>
        <w:rPr>
          <w:rFonts w:ascii="Arial" w:hAnsi="Arial"/>
          <w:color w:val="231F20"/>
          <w:spacing w:val="-2"/>
        </w:rPr>
        <w:t>pour</w:t>
      </w:r>
      <w:r>
        <w:rPr>
          <w:rFonts w:ascii="Arial" w:hAnsi="Arial"/>
          <w:color w:val="231F20"/>
          <w:spacing w:val="-7"/>
        </w:rPr>
        <w:t> </w:t>
      </w:r>
      <w:r>
        <w:rPr>
          <w:rFonts w:ascii="Arial" w:hAnsi="Arial"/>
          <w:color w:val="231F20"/>
          <w:spacing w:val="-2"/>
        </w:rPr>
        <w:t>faire</w:t>
      </w:r>
      <w:r>
        <w:rPr>
          <w:rFonts w:ascii="Arial" w:hAnsi="Arial"/>
          <w:color w:val="231F20"/>
          <w:spacing w:val="-7"/>
        </w:rPr>
        <w:t> </w:t>
      </w:r>
      <w:r>
        <w:rPr>
          <w:rFonts w:ascii="Arial" w:hAnsi="Arial"/>
          <w:color w:val="231F20"/>
          <w:spacing w:val="-2"/>
        </w:rPr>
        <w:t>des</w:t>
      </w:r>
      <w:r>
        <w:rPr>
          <w:rFonts w:ascii="Arial" w:hAnsi="Arial"/>
          <w:color w:val="231F20"/>
          <w:spacing w:val="-7"/>
        </w:rPr>
        <w:t> </w:t>
      </w:r>
      <w:r>
        <w:rPr>
          <w:rFonts w:ascii="Arial" w:hAnsi="Arial"/>
          <w:color w:val="231F20"/>
          <w:spacing w:val="-2"/>
        </w:rPr>
        <w:t>choses</w:t>
      </w:r>
      <w:r>
        <w:rPr>
          <w:rFonts w:ascii="Arial" w:hAnsi="Arial"/>
          <w:color w:val="231F20"/>
          <w:spacing w:val="-7"/>
        </w:rPr>
        <w:t> </w:t>
      </w:r>
      <w:r>
        <w:rPr>
          <w:rFonts w:ascii="Arial" w:hAnsi="Arial"/>
          <w:color w:val="231F20"/>
          <w:spacing w:val="-2"/>
        </w:rPr>
        <w:t>aussi</w:t>
      </w:r>
      <w:r>
        <w:rPr>
          <w:rFonts w:ascii="Arial" w:hAnsi="Arial"/>
          <w:color w:val="231F20"/>
          <w:spacing w:val="-7"/>
        </w:rPr>
        <w:t> </w:t>
      </w:r>
      <w:r>
        <w:rPr>
          <w:rFonts w:ascii="Arial" w:hAnsi="Arial"/>
          <w:color w:val="231F20"/>
          <w:spacing w:val="-2"/>
        </w:rPr>
        <w:t>banales</w:t>
      </w:r>
      <w:r>
        <w:rPr>
          <w:rFonts w:ascii="Arial" w:hAnsi="Arial"/>
          <w:color w:val="231F20"/>
          <w:spacing w:val="-7"/>
        </w:rPr>
        <w:t> </w:t>
      </w:r>
      <w:r>
        <w:rPr>
          <w:rFonts w:ascii="Arial" w:hAnsi="Arial"/>
          <w:color w:val="231F20"/>
          <w:spacing w:val="-2"/>
        </w:rPr>
        <w:t>que</w:t>
      </w:r>
      <w:r>
        <w:rPr>
          <w:rFonts w:ascii="Arial" w:hAnsi="Arial"/>
          <w:color w:val="231F20"/>
          <w:spacing w:val="-7"/>
        </w:rPr>
        <w:t> </w:t>
      </w:r>
      <w:r>
        <w:rPr>
          <w:rFonts w:ascii="Arial" w:hAnsi="Arial"/>
          <w:color w:val="231F20"/>
          <w:spacing w:val="-2"/>
        </w:rPr>
        <w:t>ces </w:t>
      </w:r>
      <w:r>
        <w:rPr>
          <w:rFonts w:ascii="Arial" w:hAnsi="Arial"/>
          <w:color w:val="231F20"/>
        </w:rPr>
        <w:t>actions s’apparenteront à une grande difficulté. Ne vous laissez donc </w:t>
      </w:r>
      <w:r>
        <w:rPr>
          <w:rFonts w:ascii="Arial" w:hAnsi="Arial"/>
          <w:color w:val="231F20"/>
          <w:w w:val="105"/>
        </w:rPr>
        <w:t>pas</w:t>
      </w:r>
      <w:r>
        <w:rPr>
          <w:rFonts w:ascii="Arial" w:hAnsi="Arial"/>
          <w:color w:val="231F20"/>
          <w:spacing w:val="-6"/>
          <w:w w:val="105"/>
        </w:rPr>
        <w:t> </w:t>
      </w:r>
      <w:r>
        <w:rPr>
          <w:rFonts w:ascii="Arial" w:hAnsi="Arial"/>
          <w:color w:val="231F20"/>
          <w:w w:val="105"/>
        </w:rPr>
        <w:t>abattre!</w:t>
      </w:r>
    </w:p>
    <w:p>
      <w:pPr>
        <w:pStyle w:val="BodyText"/>
        <w:spacing w:line="307" w:lineRule="auto" w:before="79"/>
        <w:ind w:left="1080" w:right="743"/>
        <w:jc w:val="both"/>
        <w:rPr>
          <w:rFonts w:ascii="Arial" w:hAnsi="Arial"/>
        </w:rPr>
      </w:pPr>
      <w:r>
        <w:rPr>
          <w:rFonts w:ascii="Arial" w:hAnsi="Arial"/>
          <w:b/>
          <w:color w:val="231F20"/>
        </w:rPr>
        <w:t>Le risque de burnout </w:t>
      </w:r>
      <w:r>
        <w:rPr>
          <w:rFonts w:ascii="Arial" w:hAnsi="Arial"/>
          <w:color w:val="231F20"/>
        </w:rPr>
        <w:t>– L’un des plus grands risques liés au stress demeure le burnout. Il s’agit là d’un épuisement professionnel lié à la surcharge</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travail,</w:t>
      </w:r>
      <w:r>
        <w:rPr>
          <w:rFonts w:ascii="Arial" w:hAnsi="Arial"/>
          <w:color w:val="231F20"/>
          <w:spacing w:val="-10"/>
        </w:rPr>
        <w:t> </w:t>
      </w:r>
      <w:r>
        <w:rPr>
          <w:rFonts w:ascii="Arial" w:hAnsi="Arial"/>
          <w:color w:val="231F20"/>
        </w:rPr>
        <w:t>due</w:t>
      </w:r>
      <w:r>
        <w:rPr>
          <w:rFonts w:ascii="Arial" w:hAnsi="Arial"/>
          <w:color w:val="231F20"/>
          <w:spacing w:val="-10"/>
        </w:rPr>
        <w:t> </w:t>
      </w:r>
      <w:r>
        <w:rPr>
          <w:rFonts w:ascii="Arial" w:hAnsi="Arial"/>
          <w:color w:val="231F20"/>
        </w:rPr>
        <w:t>à</w:t>
      </w:r>
      <w:r>
        <w:rPr>
          <w:rFonts w:ascii="Arial" w:hAnsi="Arial"/>
          <w:color w:val="231F20"/>
          <w:spacing w:val="-10"/>
        </w:rPr>
        <w:t> </w:t>
      </w:r>
      <w:r>
        <w:rPr>
          <w:rFonts w:ascii="Arial" w:hAnsi="Arial"/>
          <w:color w:val="231F20"/>
        </w:rPr>
        <w:t>l’accumulation</w:t>
      </w:r>
      <w:r>
        <w:rPr>
          <w:rFonts w:ascii="Arial" w:hAnsi="Arial"/>
          <w:color w:val="231F20"/>
          <w:spacing w:val="-10"/>
        </w:rPr>
        <w:t> </w:t>
      </w:r>
      <w:r>
        <w:rPr>
          <w:rFonts w:ascii="Arial" w:hAnsi="Arial"/>
          <w:color w:val="231F20"/>
        </w:rPr>
        <w:t>continue</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stress.</w:t>
      </w:r>
      <w:r>
        <w:rPr>
          <w:rFonts w:ascii="Arial" w:hAnsi="Arial"/>
          <w:color w:val="231F20"/>
          <w:spacing w:val="-10"/>
        </w:rPr>
        <w:t> </w:t>
      </w:r>
      <w:r>
        <w:rPr>
          <w:rFonts w:ascii="Arial" w:hAnsi="Arial"/>
          <w:color w:val="231F20"/>
        </w:rPr>
        <w:t>L’état</w:t>
      </w:r>
      <w:r>
        <w:rPr>
          <w:rFonts w:ascii="Arial" w:hAnsi="Arial"/>
          <w:color w:val="231F20"/>
          <w:spacing w:val="-10"/>
        </w:rPr>
        <w:t> </w:t>
      </w:r>
      <w:r>
        <w:rPr>
          <w:rFonts w:ascii="Arial" w:hAnsi="Arial"/>
          <w:color w:val="231F20"/>
        </w:rPr>
        <w:t>de burnout</w:t>
      </w:r>
      <w:r>
        <w:rPr>
          <w:rFonts w:ascii="Arial" w:hAnsi="Arial"/>
          <w:color w:val="231F20"/>
          <w:spacing w:val="-9"/>
        </w:rPr>
        <w:t> </w:t>
      </w:r>
      <w:r>
        <w:rPr>
          <w:rFonts w:ascii="Arial" w:hAnsi="Arial"/>
          <w:color w:val="231F20"/>
        </w:rPr>
        <w:t>n’apparaît</w:t>
      </w:r>
      <w:r>
        <w:rPr>
          <w:rFonts w:ascii="Arial" w:hAnsi="Arial"/>
          <w:color w:val="231F20"/>
          <w:spacing w:val="-9"/>
        </w:rPr>
        <w:t> </w:t>
      </w:r>
      <w:r>
        <w:rPr>
          <w:rFonts w:ascii="Arial" w:hAnsi="Arial"/>
          <w:color w:val="231F20"/>
        </w:rPr>
        <w:t>pas</w:t>
      </w:r>
      <w:r>
        <w:rPr>
          <w:rFonts w:ascii="Arial" w:hAnsi="Arial"/>
          <w:color w:val="231F20"/>
          <w:spacing w:val="-9"/>
        </w:rPr>
        <w:t> </w:t>
      </w:r>
      <w:r>
        <w:rPr>
          <w:rFonts w:ascii="Arial" w:hAnsi="Arial"/>
          <w:color w:val="231F20"/>
        </w:rPr>
        <w:t>du</w:t>
      </w:r>
      <w:r>
        <w:rPr>
          <w:rFonts w:ascii="Arial" w:hAnsi="Arial"/>
          <w:color w:val="231F20"/>
          <w:spacing w:val="-9"/>
        </w:rPr>
        <w:t> </w:t>
      </w:r>
      <w:r>
        <w:rPr>
          <w:rFonts w:ascii="Arial" w:hAnsi="Arial"/>
          <w:color w:val="231F20"/>
        </w:rPr>
        <w:t>jour</w:t>
      </w:r>
      <w:r>
        <w:rPr>
          <w:rFonts w:ascii="Arial" w:hAnsi="Arial"/>
          <w:color w:val="231F20"/>
          <w:spacing w:val="-9"/>
        </w:rPr>
        <w:t> </w:t>
      </w:r>
      <w:r>
        <w:rPr>
          <w:rFonts w:ascii="Arial" w:hAnsi="Arial"/>
          <w:color w:val="231F20"/>
        </w:rPr>
        <w:t>au</w:t>
      </w:r>
      <w:r>
        <w:rPr>
          <w:rFonts w:ascii="Arial" w:hAnsi="Arial"/>
          <w:color w:val="231F20"/>
          <w:spacing w:val="-9"/>
        </w:rPr>
        <w:t> </w:t>
      </w:r>
      <w:r>
        <w:rPr>
          <w:rFonts w:ascii="Arial" w:hAnsi="Arial"/>
          <w:color w:val="231F20"/>
        </w:rPr>
        <w:t>lendemain,</w:t>
      </w:r>
      <w:r>
        <w:rPr>
          <w:rFonts w:ascii="Arial" w:hAnsi="Arial"/>
          <w:color w:val="231F20"/>
          <w:spacing w:val="-9"/>
        </w:rPr>
        <w:t> </w:t>
      </w:r>
      <w:r>
        <w:rPr>
          <w:rFonts w:ascii="Arial" w:hAnsi="Arial"/>
          <w:color w:val="231F20"/>
        </w:rPr>
        <w:t>mais</w:t>
      </w:r>
      <w:r>
        <w:rPr>
          <w:rFonts w:ascii="Arial" w:hAnsi="Arial"/>
          <w:color w:val="231F20"/>
          <w:spacing w:val="-9"/>
        </w:rPr>
        <w:t> </w:t>
      </w:r>
      <w:r>
        <w:rPr>
          <w:rFonts w:ascii="Arial" w:hAnsi="Arial"/>
          <w:color w:val="231F20"/>
        </w:rPr>
        <w:t>s’installe</w:t>
      </w:r>
      <w:r>
        <w:rPr>
          <w:rFonts w:ascii="Arial" w:hAnsi="Arial"/>
          <w:color w:val="231F20"/>
          <w:spacing w:val="-9"/>
        </w:rPr>
        <w:t> </w:t>
      </w:r>
      <w:r>
        <w:rPr>
          <w:rFonts w:ascii="Arial" w:hAnsi="Arial"/>
          <w:color w:val="231F20"/>
        </w:rPr>
        <w:t>progressi- </w:t>
      </w:r>
      <w:r>
        <w:rPr>
          <w:rFonts w:ascii="Arial" w:hAnsi="Arial"/>
          <w:color w:val="231F20"/>
          <w:spacing w:val="-2"/>
        </w:rPr>
        <w:t>vement.</w:t>
      </w:r>
      <w:r>
        <w:rPr>
          <w:rFonts w:ascii="Arial" w:hAnsi="Arial"/>
          <w:color w:val="231F20"/>
          <w:spacing w:val="-7"/>
        </w:rPr>
        <w:t> </w:t>
      </w:r>
      <w:r>
        <w:rPr>
          <w:rFonts w:ascii="Arial" w:hAnsi="Arial"/>
          <w:color w:val="231F20"/>
          <w:spacing w:val="-2"/>
        </w:rPr>
        <w:t>Il</w:t>
      </w:r>
      <w:r>
        <w:rPr>
          <w:rFonts w:ascii="Arial" w:hAnsi="Arial"/>
          <w:color w:val="231F20"/>
          <w:spacing w:val="-7"/>
        </w:rPr>
        <w:t> </w:t>
      </w:r>
      <w:r>
        <w:rPr>
          <w:rFonts w:ascii="Arial" w:hAnsi="Arial"/>
          <w:color w:val="231F20"/>
          <w:spacing w:val="-2"/>
        </w:rPr>
        <w:t>survient</w:t>
      </w:r>
      <w:r>
        <w:rPr>
          <w:rFonts w:ascii="Arial" w:hAnsi="Arial"/>
          <w:color w:val="231F20"/>
          <w:spacing w:val="-7"/>
        </w:rPr>
        <w:t> </w:t>
      </w:r>
      <w:r>
        <w:rPr>
          <w:rFonts w:ascii="Arial" w:hAnsi="Arial"/>
          <w:color w:val="231F20"/>
          <w:spacing w:val="-2"/>
        </w:rPr>
        <w:t>lorsque</w:t>
      </w:r>
      <w:r>
        <w:rPr>
          <w:rFonts w:ascii="Arial" w:hAnsi="Arial"/>
          <w:color w:val="231F20"/>
          <w:spacing w:val="-7"/>
        </w:rPr>
        <w:t> </w:t>
      </w:r>
      <w:r>
        <w:rPr>
          <w:rFonts w:ascii="Arial" w:hAnsi="Arial"/>
          <w:color w:val="231F20"/>
          <w:spacing w:val="-2"/>
        </w:rPr>
        <w:t>vous</w:t>
      </w:r>
      <w:r>
        <w:rPr>
          <w:rFonts w:ascii="Arial" w:hAnsi="Arial"/>
          <w:color w:val="231F20"/>
          <w:spacing w:val="-7"/>
        </w:rPr>
        <w:t> </w:t>
      </w:r>
      <w:r>
        <w:rPr>
          <w:rFonts w:ascii="Arial" w:hAnsi="Arial"/>
          <w:color w:val="231F20"/>
          <w:spacing w:val="-2"/>
        </w:rPr>
        <w:t>avez</w:t>
      </w:r>
      <w:r>
        <w:rPr>
          <w:rFonts w:ascii="Arial" w:hAnsi="Arial"/>
          <w:color w:val="231F20"/>
          <w:spacing w:val="-7"/>
        </w:rPr>
        <w:t> </w:t>
      </w:r>
      <w:r>
        <w:rPr>
          <w:rFonts w:ascii="Arial" w:hAnsi="Arial"/>
          <w:color w:val="231F20"/>
          <w:spacing w:val="-2"/>
        </w:rPr>
        <w:t>épuisé</w:t>
      </w:r>
      <w:r>
        <w:rPr>
          <w:rFonts w:ascii="Arial" w:hAnsi="Arial"/>
          <w:color w:val="231F20"/>
          <w:spacing w:val="-7"/>
        </w:rPr>
        <w:t> </w:t>
      </w:r>
      <w:r>
        <w:rPr>
          <w:rFonts w:ascii="Arial" w:hAnsi="Arial"/>
          <w:color w:val="231F20"/>
          <w:spacing w:val="-2"/>
        </w:rPr>
        <w:t>vos</w:t>
      </w:r>
      <w:r>
        <w:rPr>
          <w:rFonts w:ascii="Arial" w:hAnsi="Arial"/>
          <w:color w:val="231F20"/>
          <w:spacing w:val="-7"/>
        </w:rPr>
        <w:t> </w:t>
      </w:r>
      <w:r>
        <w:rPr>
          <w:rFonts w:ascii="Arial" w:hAnsi="Arial"/>
          <w:color w:val="231F20"/>
          <w:spacing w:val="-2"/>
        </w:rPr>
        <w:t>ressources</w:t>
      </w:r>
      <w:r>
        <w:rPr>
          <w:rFonts w:ascii="Arial" w:hAnsi="Arial"/>
          <w:color w:val="231F20"/>
          <w:spacing w:val="-7"/>
        </w:rPr>
        <w:t> </w:t>
      </w:r>
      <w:r>
        <w:rPr>
          <w:rFonts w:ascii="Arial" w:hAnsi="Arial"/>
          <w:color w:val="231F20"/>
          <w:spacing w:val="-2"/>
        </w:rPr>
        <w:t>physiques, </w:t>
      </w:r>
      <w:r>
        <w:rPr>
          <w:rFonts w:ascii="Arial" w:hAnsi="Arial"/>
          <w:color w:val="231F20"/>
        </w:rPr>
        <w:t>mentales</w:t>
      </w:r>
      <w:r>
        <w:rPr>
          <w:rFonts w:ascii="Arial" w:hAnsi="Arial"/>
          <w:color w:val="231F20"/>
          <w:spacing w:val="-4"/>
        </w:rPr>
        <w:t> </w:t>
      </w:r>
      <w:r>
        <w:rPr>
          <w:rFonts w:ascii="Arial" w:hAnsi="Arial"/>
          <w:color w:val="231F20"/>
        </w:rPr>
        <w:t>et</w:t>
      </w:r>
      <w:r>
        <w:rPr>
          <w:rFonts w:ascii="Arial" w:hAnsi="Arial"/>
          <w:color w:val="231F20"/>
          <w:spacing w:val="-4"/>
        </w:rPr>
        <w:t> </w:t>
      </w:r>
      <w:r>
        <w:rPr>
          <w:rFonts w:ascii="Arial" w:hAnsi="Arial"/>
          <w:color w:val="231F20"/>
        </w:rPr>
        <w:t>émotionnelles.</w:t>
      </w:r>
      <w:r>
        <w:rPr>
          <w:rFonts w:ascii="Arial" w:hAnsi="Arial"/>
          <w:color w:val="231F20"/>
          <w:spacing w:val="-4"/>
        </w:rPr>
        <w:t> </w:t>
      </w:r>
      <w:r>
        <w:rPr>
          <w:rFonts w:ascii="Arial" w:hAnsi="Arial"/>
          <w:color w:val="231F20"/>
        </w:rPr>
        <w:t>Veillez</w:t>
      </w:r>
      <w:r>
        <w:rPr>
          <w:rFonts w:ascii="Arial" w:hAnsi="Arial"/>
          <w:color w:val="231F20"/>
          <w:spacing w:val="-4"/>
        </w:rPr>
        <w:t> </w:t>
      </w:r>
      <w:r>
        <w:rPr>
          <w:rFonts w:ascii="Arial" w:hAnsi="Arial"/>
          <w:color w:val="231F20"/>
        </w:rPr>
        <w:t>bien</w:t>
      </w:r>
      <w:r>
        <w:rPr>
          <w:rFonts w:ascii="Arial" w:hAnsi="Arial"/>
          <w:color w:val="231F20"/>
          <w:spacing w:val="-4"/>
        </w:rPr>
        <w:t> </w:t>
      </w:r>
      <w:r>
        <w:rPr>
          <w:rFonts w:ascii="Arial" w:hAnsi="Arial"/>
          <w:color w:val="231F20"/>
        </w:rPr>
        <w:t>à</w:t>
      </w:r>
      <w:r>
        <w:rPr>
          <w:rFonts w:ascii="Arial" w:hAnsi="Arial"/>
          <w:color w:val="231F20"/>
          <w:spacing w:val="-4"/>
        </w:rPr>
        <w:t> </w:t>
      </w:r>
      <w:r>
        <w:rPr>
          <w:rFonts w:ascii="Arial" w:hAnsi="Arial"/>
          <w:color w:val="231F20"/>
        </w:rPr>
        <w:t>ce</w:t>
      </w:r>
      <w:r>
        <w:rPr>
          <w:rFonts w:ascii="Arial" w:hAnsi="Arial"/>
          <w:color w:val="231F20"/>
          <w:spacing w:val="-4"/>
        </w:rPr>
        <w:t> </w:t>
      </w:r>
      <w:r>
        <w:rPr>
          <w:rFonts w:ascii="Arial" w:hAnsi="Arial"/>
          <w:color w:val="231F20"/>
        </w:rPr>
        <w:t>que</w:t>
      </w:r>
      <w:r>
        <w:rPr>
          <w:rFonts w:ascii="Arial" w:hAnsi="Arial"/>
          <w:color w:val="231F20"/>
          <w:spacing w:val="-4"/>
        </w:rPr>
        <w:t> </w:t>
      </w:r>
      <w:r>
        <w:rPr>
          <w:rFonts w:ascii="Arial" w:hAnsi="Arial"/>
          <w:color w:val="231F20"/>
        </w:rPr>
        <w:t>ni</w:t>
      </w:r>
      <w:r>
        <w:rPr>
          <w:rFonts w:ascii="Arial" w:hAnsi="Arial"/>
          <w:color w:val="231F20"/>
          <w:spacing w:val="-4"/>
        </w:rPr>
        <w:t> </w:t>
      </w:r>
      <w:r>
        <w:rPr>
          <w:rFonts w:ascii="Arial" w:hAnsi="Arial"/>
          <w:color w:val="231F20"/>
        </w:rPr>
        <w:t>vous</w:t>
      </w:r>
      <w:r>
        <w:rPr>
          <w:rFonts w:ascii="Arial" w:hAnsi="Arial"/>
          <w:color w:val="231F20"/>
          <w:spacing w:val="-4"/>
        </w:rPr>
        <w:t> </w:t>
      </w:r>
      <w:r>
        <w:rPr>
          <w:rFonts w:ascii="Arial" w:hAnsi="Arial"/>
          <w:color w:val="231F20"/>
        </w:rPr>
        <w:t>ni</w:t>
      </w:r>
      <w:r>
        <w:rPr>
          <w:rFonts w:ascii="Arial" w:hAnsi="Arial"/>
          <w:color w:val="231F20"/>
          <w:spacing w:val="-4"/>
        </w:rPr>
        <w:t> </w:t>
      </w:r>
      <w:r>
        <w:rPr>
          <w:rFonts w:ascii="Arial" w:hAnsi="Arial"/>
          <w:color w:val="231F20"/>
        </w:rPr>
        <w:t>l’un</w:t>
      </w:r>
      <w:r>
        <w:rPr>
          <w:rFonts w:ascii="Arial" w:hAnsi="Arial"/>
          <w:color w:val="231F20"/>
          <w:spacing w:val="-4"/>
        </w:rPr>
        <w:t> </w:t>
      </w:r>
      <w:r>
        <w:rPr>
          <w:rFonts w:ascii="Arial" w:hAnsi="Arial"/>
          <w:color w:val="231F20"/>
        </w:rPr>
        <w:t>de</w:t>
      </w:r>
      <w:r>
        <w:rPr>
          <w:rFonts w:ascii="Arial" w:hAnsi="Arial"/>
          <w:color w:val="231F20"/>
          <w:spacing w:val="-4"/>
        </w:rPr>
        <w:t> </w:t>
      </w:r>
      <w:r>
        <w:rPr>
          <w:rFonts w:ascii="Arial" w:hAnsi="Arial"/>
          <w:color w:val="231F20"/>
        </w:rPr>
        <w:t>vos salariés</w:t>
      </w:r>
      <w:r>
        <w:rPr>
          <w:rFonts w:ascii="Arial" w:hAnsi="Arial"/>
          <w:color w:val="231F20"/>
          <w:spacing w:val="-11"/>
        </w:rPr>
        <w:t> </w:t>
      </w:r>
      <w:r>
        <w:rPr>
          <w:rFonts w:ascii="Arial" w:hAnsi="Arial"/>
          <w:color w:val="231F20"/>
        </w:rPr>
        <w:t>n’arriviez</w:t>
      </w:r>
      <w:r>
        <w:rPr>
          <w:rFonts w:ascii="Arial" w:hAnsi="Arial"/>
          <w:color w:val="231F20"/>
          <w:spacing w:val="-11"/>
        </w:rPr>
        <w:t> </w:t>
      </w:r>
      <w:r>
        <w:rPr>
          <w:rFonts w:ascii="Arial" w:hAnsi="Arial"/>
          <w:color w:val="231F20"/>
        </w:rPr>
        <w:t>à</w:t>
      </w:r>
      <w:r>
        <w:rPr>
          <w:rFonts w:ascii="Arial" w:hAnsi="Arial"/>
          <w:color w:val="231F20"/>
          <w:spacing w:val="-11"/>
        </w:rPr>
        <w:t> </w:t>
      </w:r>
      <w:r>
        <w:rPr>
          <w:rFonts w:ascii="Arial" w:hAnsi="Arial"/>
          <w:color w:val="231F20"/>
        </w:rPr>
        <w:t>ce</w:t>
      </w:r>
      <w:r>
        <w:rPr>
          <w:rFonts w:ascii="Arial" w:hAnsi="Arial"/>
          <w:color w:val="231F20"/>
          <w:spacing w:val="-11"/>
        </w:rPr>
        <w:t> </w:t>
      </w:r>
      <w:r>
        <w:rPr>
          <w:rFonts w:ascii="Arial" w:hAnsi="Arial"/>
          <w:color w:val="231F20"/>
        </w:rPr>
        <w:t>stade!</w:t>
      </w:r>
      <w:r>
        <w:rPr>
          <w:rFonts w:ascii="Arial" w:hAnsi="Arial"/>
          <w:color w:val="231F20"/>
          <w:spacing w:val="-11"/>
        </w:rPr>
        <w:t> </w:t>
      </w:r>
      <w:r>
        <w:rPr>
          <w:rFonts w:ascii="Arial" w:hAnsi="Arial"/>
          <w:color w:val="231F20"/>
        </w:rPr>
        <w:t>Dans</w:t>
      </w:r>
      <w:r>
        <w:rPr>
          <w:rFonts w:ascii="Arial" w:hAnsi="Arial"/>
          <w:color w:val="231F20"/>
          <w:spacing w:val="-11"/>
        </w:rPr>
        <w:t> </w:t>
      </w:r>
      <w:r>
        <w:rPr>
          <w:rFonts w:ascii="Arial" w:hAnsi="Arial"/>
          <w:color w:val="231F20"/>
        </w:rPr>
        <w:t>le</w:t>
      </w:r>
      <w:r>
        <w:rPr>
          <w:rFonts w:ascii="Arial" w:hAnsi="Arial"/>
          <w:color w:val="231F20"/>
          <w:spacing w:val="-11"/>
        </w:rPr>
        <w:t> </w:t>
      </w:r>
      <w:r>
        <w:rPr>
          <w:rFonts w:ascii="Arial" w:hAnsi="Arial"/>
          <w:color w:val="231F20"/>
        </w:rPr>
        <w:t>cas</w:t>
      </w:r>
      <w:r>
        <w:rPr>
          <w:rFonts w:ascii="Arial" w:hAnsi="Arial"/>
          <w:color w:val="231F20"/>
          <w:spacing w:val="-11"/>
        </w:rPr>
        <w:t> </w:t>
      </w:r>
      <w:r>
        <w:rPr>
          <w:rFonts w:ascii="Arial" w:hAnsi="Arial"/>
          <w:color w:val="231F20"/>
        </w:rPr>
        <w:t>contraire,</w:t>
      </w:r>
      <w:r>
        <w:rPr>
          <w:rFonts w:ascii="Arial" w:hAnsi="Arial"/>
          <w:color w:val="231F20"/>
          <w:spacing w:val="-11"/>
        </w:rPr>
        <w:t> </w:t>
      </w:r>
      <w:r>
        <w:rPr>
          <w:rFonts w:ascii="Arial" w:hAnsi="Arial"/>
          <w:color w:val="231F20"/>
        </w:rPr>
        <w:t>les</w:t>
      </w:r>
      <w:r>
        <w:rPr>
          <w:rFonts w:ascii="Arial" w:hAnsi="Arial"/>
          <w:color w:val="231F20"/>
          <w:spacing w:val="-11"/>
        </w:rPr>
        <w:t> </w:t>
      </w:r>
      <w:r>
        <w:rPr>
          <w:rFonts w:ascii="Arial" w:hAnsi="Arial"/>
          <w:color w:val="231F20"/>
        </w:rPr>
        <w:t>personnes</w:t>
      </w:r>
      <w:r>
        <w:rPr>
          <w:rFonts w:ascii="Arial" w:hAnsi="Arial"/>
          <w:color w:val="231F20"/>
          <w:spacing w:val="-11"/>
        </w:rPr>
        <w:t> </w:t>
      </w:r>
      <w:r>
        <w:rPr>
          <w:rFonts w:ascii="Arial" w:hAnsi="Arial"/>
          <w:color w:val="231F20"/>
        </w:rPr>
        <w:t>tou- chées</w:t>
      </w:r>
      <w:r>
        <w:rPr>
          <w:rFonts w:ascii="Arial" w:hAnsi="Arial"/>
          <w:color w:val="231F20"/>
          <w:spacing w:val="-8"/>
        </w:rPr>
        <w:t> </w:t>
      </w:r>
      <w:r>
        <w:rPr>
          <w:rFonts w:ascii="Arial" w:hAnsi="Arial"/>
          <w:color w:val="231F20"/>
        </w:rPr>
        <w:t>feront</w:t>
      </w:r>
      <w:r>
        <w:rPr>
          <w:rFonts w:ascii="Arial" w:hAnsi="Arial"/>
          <w:color w:val="231F20"/>
          <w:spacing w:val="-8"/>
        </w:rPr>
        <w:t> </w:t>
      </w:r>
      <w:r>
        <w:rPr>
          <w:rFonts w:ascii="Arial" w:hAnsi="Arial"/>
          <w:color w:val="231F20"/>
        </w:rPr>
        <w:t>face</w:t>
      </w:r>
      <w:r>
        <w:rPr>
          <w:rFonts w:ascii="Arial" w:hAnsi="Arial"/>
          <w:color w:val="231F20"/>
          <w:spacing w:val="-8"/>
        </w:rPr>
        <w:t> </w:t>
      </w:r>
      <w:r>
        <w:rPr>
          <w:rFonts w:ascii="Arial" w:hAnsi="Arial"/>
          <w:color w:val="231F20"/>
        </w:rPr>
        <w:t>à</w:t>
      </w:r>
      <w:r>
        <w:rPr>
          <w:rFonts w:ascii="Arial" w:hAnsi="Arial"/>
          <w:color w:val="231F20"/>
          <w:spacing w:val="-8"/>
        </w:rPr>
        <w:t> </w:t>
      </w:r>
      <w:r>
        <w:rPr>
          <w:rFonts w:ascii="Arial" w:hAnsi="Arial"/>
          <w:color w:val="231F20"/>
        </w:rPr>
        <w:t>une</w:t>
      </w:r>
      <w:r>
        <w:rPr>
          <w:rFonts w:ascii="Arial" w:hAnsi="Arial"/>
          <w:color w:val="231F20"/>
          <w:spacing w:val="-8"/>
        </w:rPr>
        <w:t> </w:t>
      </w:r>
      <w:r>
        <w:rPr>
          <w:rFonts w:ascii="Arial" w:hAnsi="Arial"/>
          <w:color w:val="231F20"/>
        </w:rPr>
        <w:t>perte</w:t>
      </w:r>
      <w:r>
        <w:rPr>
          <w:rFonts w:ascii="Arial" w:hAnsi="Arial"/>
          <w:color w:val="231F20"/>
          <w:spacing w:val="-8"/>
        </w:rPr>
        <w:t> </w:t>
      </w:r>
      <w:r>
        <w:rPr>
          <w:rFonts w:ascii="Arial" w:hAnsi="Arial"/>
          <w:color w:val="231F20"/>
        </w:rPr>
        <w:t>d’énergie,</w:t>
      </w:r>
      <w:r>
        <w:rPr>
          <w:rFonts w:ascii="Arial" w:hAnsi="Arial"/>
          <w:color w:val="231F20"/>
          <w:spacing w:val="-8"/>
        </w:rPr>
        <w:t> </w:t>
      </w:r>
      <w:r>
        <w:rPr>
          <w:rFonts w:ascii="Arial" w:hAnsi="Arial"/>
          <w:color w:val="231F20"/>
        </w:rPr>
        <w:t>à</w:t>
      </w:r>
      <w:r>
        <w:rPr>
          <w:rFonts w:ascii="Arial" w:hAnsi="Arial"/>
          <w:color w:val="231F20"/>
          <w:spacing w:val="-8"/>
        </w:rPr>
        <w:t> </w:t>
      </w:r>
      <w:r>
        <w:rPr>
          <w:rFonts w:ascii="Arial" w:hAnsi="Arial"/>
          <w:color w:val="231F20"/>
        </w:rPr>
        <w:t>des</w:t>
      </w:r>
      <w:r>
        <w:rPr>
          <w:rFonts w:ascii="Arial" w:hAnsi="Arial"/>
          <w:color w:val="231F20"/>
          <w:spacing w:val="-8"/>
        </w:rPr>
        <w:t> </w:t>
      </w:r>
      <w:r>
        <w:rPr>
          <w:rFonts w:ascii="Arial" w:hAnsi="Arial"/>
          <w:color w:val="231F20"/>
        </w:rPr>
        <w:t>insomnies,</w:t>
      </w:r>
      <w:r>
        <w:rPr>
          <w:rFonts w:ascii="Arial" w:hAnsi="Arial"/>
          <w:color w:val="231F20"/>
          <w:spacing w:val="-8"/>
        </w:rPr>
        <w:t> </w:t>
      </w:r>
      <w:r>
        <w:rPr>
          <w:rFonts w:ascii="Arial" w:hAnsi="Arial"/>
          <w:color w:val="231F20"/>
        </w:rPr>
        <w:t>voire</w:t>
      </w:r>
      <w:r>
        <w:rPr>
          <w:rFonts w:ascii="Arial" w:hAnsi="Arial"/>
          <w:color w:val="231F20"/>
          <w:spacing w:val="-8"/>
        </w:rPr>
        <w:t> </w:t>
      </w:r>
      <w:r>
        <w:rPr>
          <w:rFonts w:ascii="Arial" w:hAnsi="Arial"/>
          <w:color w:val="231F20"/>
        </w:rPr>
        <w:t>[à]</w:t>
      </w:r>
      <w:r>
        <w:rPr>
          <w:rFonts w:ascii="Arial" w:hAnsi="Arial"/>
          <w:color w:val="231F20"/>
          <w:spacing w:val="-8"/>
        </w:rPr>
        <w:t> </w:t>
      </w:r>
      <w:r>
        <w:rPr>
          <w:rFonts w:ascii="Arial" w:hAnsi="Arial"/>
          <w:color w:val="231F20"/>
        </w:rPr>
        <w:t>des douleurs ainsi que d’autres symptômes. À éviter à tout prix!</w:t>
      </w:r>
    </w:p>
    <w:p>
      <w:pPr>
        <w:pStyle w:val="BodyText"/>
        <w:spacing w:line="307" w:lineRule="auto" w:before="78"/>
        <w:ind w:left="1080" w:right="742"/>
        <w:jc w:val="both"/>
        <w:rPr>
          <w:rFonts w:ascii="Arial" w:hAnsi="Arial"/>
        </w:rPr>
      </w:pPr>
      <w:r>
        <w:rPr>
          <w:rFonts w:ascii="Arial" w:hAnsi="Arial"/>
          <w:b/>
          <w:color w:val="231F20"/>
        </w:rPr>
        <w:t>Créer</w:t>
      </w:r>
      <w:r>
        <w:rPr>
          <w:rFonts w:ascii="Arial" w:hAnsi="Arial"/>
          <w:b/>
          <w:color w:val="231F20"/>
          <w:spacing w:val="-10"/>
        </w:rPr>
        <w:t> </w:t>
      </w:r>
      <w:r>
        <w:rPr>
          <w:rFonts w:ascii="Arial" w:hAnsi="Arial"/>
          <w:b/>
          <w:color w:val="231F20"/>
        </w:rPr>
        <w:t>une</w:t>
      </w:r>
      <w:r>
        <w:rPr>
          <w:rFonts w:ascii="Arial" w:hAnsi="Arial"/>
          <w:b/>
          <w:color w:val="231F20"/>
          <w:spacing w:val="-10"/>
        </w:rPr>
        <w:t> </w:t>
      </w:r>
      <w:r>
        <w:rPr>
          <w:rFonts w:ascii="Arial" w:hAnsi="Arial"/>
          <w:b/>
          <w:color w:val="231F20"/>
        </w:rPr>
        <w:t>mauvaise</w:t>
      </w:r>
      <w:r>
        <w:rPr>
          <w:rFonts w:ascii="Arial" w:hAnsi="Arial"/>
          <w:b/>
          <w:color w:val="231F20"/>
          <w:spacing w:val="-10"/>
        </w:rPr>
        <w:t> </w:t>
      </w:r>
      <w:r>
        <w:rPr>
          <w:rFonts w:ascii="Arial" w:hAnsi="Arial"/>
          <w:b/>
          <w:color w:val="231F20"/>
        </w:rPr>
        <w:t>ambiance</w:t>
      </w:r>
      <w:r>
        <w:rPr>
          <w:rFonts w:ascii="Arial" w:hAnsi="Arial"/>
          <w:b/>
          <w:color w:val="231F20"/>
          <w:spacing w:val="-10"/>
        </w:rPr>
        <w:t> </w:t>
      </w:r>
      <w:r>
        <w:rPr>
          <w:rFonts w:ascii="Arial" w:hAnsi="Arial"/>
          <w:color w:val="231F20"/>
        </w:rPr>
        <w:t>–</w:t>
      </w:r>
      <w:r>
        <w:rPr>
          <w:rFonts w:ascii="Arial" w:hAnsi="Arial"/>
          <w:color w:val="231F20"/>
          <w:spacing w:val="-5"/>
        </w:rPr>
        <w:t> </w:t>
      </w:r>
      <w:r>
        <w:rPr>
          <w:rFonts w:ascii="Arial" w:hAnsi="Arial"/>
          <w:color w:val="231F20"/>
        </w:rPr>
        <w:t>L’un</w:t>
      </w:r>
      <w:r>
        <w:rPr>
          <w:rFonts w:ascii="Arial" w:hAnsi="Arial"/>
          <w:color w:val="231F20"/>
          <w:spacing w:val="-5"/>
        </w:rPr>
        <w:t> </w:t>
      </w:r>
      <w:r>
        <w:rPr>
          <w:rFonts w:ascii="Arial" w:hAnsi="Arial"/>
          <w:color w:val="231F20"/>
        </w:rPr>
        <w:t>des</w:t>
      </w:r>
      <w:r>
        <w:rPr>
          <w:rFonts w:ascii="Arial" w:hAnsi="Arial"/>
          <w:color w:val="231F20"/>
          <w:spacing w:val="-5"/>
        </w:rPr>
        <w:t> </w:t>
      </w:r>
      <w:r>
        <w:rPr>
          <w:rFonts w:ascii="Arial" w:hAnsi="Arial"/>
          <w:color w:val="231F20"/>
        </w:rPr>
        <w:t>nombreux</w:t>
      </w:r>
      <w:r>
        <w:rPr>
          <w:rFonts w:ascii="Arial" w:hAnsi="Arial"/>
          <w:color w:val="231F20"/>
          <w:spacing w:val="-5"/>
        </w:rPr>
        <w:t> </w:t>
      </w:r>
      <w:r>
        <w:rPr>
          <w:rFonts w:ascii="Arial" w:hAnsi="Arial"/>
          <w:color w:val="231F20"/>
        </w:rPr>
        <w:t>effets</w:t>
      </w:r>
      <w:r>
        <w:rPr>
          <w:rFonts w:ascii="Arial" w:hAnsi="Arial"/>
          <w:color w:val="231F20"/>
          <w:spacing w:val="-5"/>
        </w:rPr>
        <w:t> </w:t>
      </w:r>
      <w:r>
        <w:rPr>
          <w:rFonts w:ascii="Arial" w:hAnsi="Arial"/>
          <w:color w:val="231F20"/>
        </w:rPr>
        <w:t>du</w:t>
      </w:r>
      <w:r>
        <w:rPr>
          <w:rFonts w:ascii="Arial" w:hAnsi="Arial"/>
          <w:color w:val="231F20"/>
          <w:spacing w:val="-5"/>
        </w:rPr>
        <w:t> </w:t>
      </w:r>
      <w:r>
        <w:rPr>
          <w:rFonts w:ascii="Arial" w:hAnsi="Arial"/>
          <w:color w:val="231F20"/>
        </w:rPr>
        <w:t>stress reste</w:t>
      </w:r>
      <w:r>
        <w:rPr>
          <w:rFonts w:ascii="Arial" w:hAnsi="Arial"/>
          <w:color w:val="231F20"/>
          <w:spacing w:val="-9"/>
        </w:rPr>
        <w:t> </w:t>
      </w:r>
      <w:r>
        <w:rPr>
          <w:rFonts w:ascii="Arial" w:hAnsi="Arial"/>
          <w:color w:val="231F20"/>
        </w:rPr>
        <w:t>l’instauration</w:t>
      </w:r>
      <w:r>
        <w:rPr>
          <w:rFonts w:ascii="Arial" w:hAnsi="Arial"/>
          <w:color w:val="231F20"/>
          <w:spacing w:val="-9"/>
        </w:rPr>
        <w:t> </w:t>
      </w:r>
      <w:r>
        <w:rPr>
          <w:rFonts w:ascii="Arial" w:hAnsi="Arial"/>
          <w:color w:val="231F20"/>
        </w:rPr>
        <w:t>d’une</w:t>
      </w:r>
      <w:r>
        <w:rPr>
          <w:rFonts w:ascii="Arial" w:hAnsi="Arial"/>
          <w:color w:val="231F20"/>
          <w:spacing w:val="-9"/>
        </w:rPr>
        <w:t> </w:t>
      </w:r>
      <w:r>
        <w:rPr>
          <w:rFonts w:ascii="Arial" w:hAnsi="Arial"/>
          <w:color w:val="231F20"/>
        </w:rPr>
        <w:t>mauvaise</w:t>
      </w:r>
      <w:r>
        <w:rPr>
          <w:rFonts w:ascii="Arial" w:hAnsi="Arial"/>
          <w:color w:val="231F20"/>
          <w:spacing w:val="-9"/>
        </w:rPr>
        <w:t> </w:t>
      </w:r>
      <w:r>
        <w:rPr>
          <w:rFonts w:ascii="Arial" w:hAnsi="Arial"/>
          <w:color w:val="231F20"/>
        </w:rPr>
        <w:t>ambiance</w:t>
      </w:r>
      <w:r>
        <w:rPr>
          <w:rFonts w:ascii="Arial" w:hAnsi="Arial"/>
          <w:color w:val="231F20"/>
          <w:spacing w:val="-9"/>
        </w:rPr>
        <w:t> </w:t>
      </w:r>
      <w:r>
        <w:rPr>
          <w:rFonts w:ascii="Arial" w:hAnsi="Arial"/>
          <w:color w:val="231F20"/>
        </w:rPr>
        <w:t>au</w:t>
      </w:r>
      <w:r>
        <w:rPr>
          <w:rFonts w:ascii="Arial" w:hAnsi="Arial"/>
          <w:color w:val="231F20"/>
          <w:spacing w:val="-9"/>
        </w:rPr>
        <w:t> </w:t>
      </w:r>
      <w:r>
        <w:rPr>
          <w:rFonts w:ascii="Arial" w:hAnsi="Arial"/>
          <w:color w:val="231F20"/>
        </w:rPr>
        <w:t>sein</w:t>
      </w:r>
      <w:r>
        <w:rPr>
          <w:rFonts w:ascii="Arial" w:hAnsi="Arial"/>
          <w:color w:val="231F20"/>
          <w:spacing w:val="-9"/>
        </w:rPr>
        <w:t> </w:t>
      </w:r>
      <w:r>
        <w:rPr>
          <w:rFonts w:ascii="Arial" w:hAnsi="Arial"/>
          <w:color w:val="231F20"/>
        </w:rPr>
        <w:t>de</w:t>
      </w:r>
      <w:r>
        <w:rPr>
          <w:rFonts w:ascii="Arial" w:hAnsi="Arial"/>
          <w:color w:val="231F20"/>
          <w:spacing w:val="-9"/>
        </w:rPr>
        <w:t> </w:t>
      </w:r>
      <w:r>
        <w:rPr>
          <w:rFonts w:ascii="Arial" w:hAnsi="Arial"/>
          <w:color w:val="231F20"/>
        </w:rPr>
        <w:t>l’entreprise.</w:t>
      </w:r>
      <w:r>
        <w:rPr>
          <w:rFonts w:ascii="Arial" w:hAnsi="Arial"/>
          <w:color w:val="231F20"/>
          <w:spacing w:val="-9"/>
        </w:rPr>
        <w:t> </w:t>
      </w:r>
      <w:r>
        <w:rPr>
          <w:rFonts w:ascii="Arial" w:hAnsi="Arial"/>
          <w:color w:val="231F20"/>
        </w:rPr>
        <w:t>Il vous fait perdre votre sens de l’humour, votre bonne humeur, vous donne l’impression que tout va mal et vous rend irritable. Des réper- cussions sur l’ensemble de votre entourage de travail se feront alors forcément ressentir. Dans le cas où le stress vous submerge, vous risqueriez d’insuffler votre mauvaise humeur et de nuire à la produc- tivité générale de façon involontaire. Luttez contre le stress pour </w:t>
      </w:r>
      <w:r>
        <w:rPr>
          <w:rFonts w:ascii="Arial" w:hAnsi="Arial"/>
          <w:color w:val="231F20"/>
          <w:spacing w:val="-2"/>
        </w:rPr>
        <w:t>maintenir</w:t>
      </w:r>
      <w:r>
        <w:rPr>
          <w:rFonts w:ascii="Arial" w:hAnsi="Arial"/>
          <w:color w:val="231F20"/>
          <w:spacing w:val="-3"/>
        </w:rPr>
        <w:t> </w:t>
      </w:r>
      <w:r>
        <w:rPr>
          <w:rFonts w:ascii="Arial" w:hAnsi="Arial"/>
          <w:color w:val="231F20"/>
          <w:spacing w:val="-2"/>
        </w:rPr>
        <w:t>une</w:t>
      </w:r>
      <w:r>
        <w:rPr>
          <w:rFonts w:ascii="Arial" w:hAnsi="Arial"/>
          <w:color w:val="231F20"/>
          <w:spacing w:val="-3"/>
        </w:rPr>
        <w:t> </w:t>
      </w:r>
      <w:r>
        <w:rPr>
          <w:rFonts w:ascii="Arial" w:hAnsi="Arial"/>
          <w:color w:val="231F20"/>
          <w:spacing w:val="-2"/>
        </w:rPr>
        <w:t>atmosphère</w:t>
      </w:r>
      <w:r>
        <w:rPr>
          <w:rFonts w:ascii="Arial" w:hAnsi="Arial"/>
          <w:color w:val="231F20"/>
          <w:spacing w:val="-3"/>
        </w:rPr>
        <w:t> </w:t>
      </w:r>
      <w:r>
        <w:rPr>
          <w:rFonts w:ascii="Arial" w:hAnsi="Arial"/>
          <w:color w:val="231F20"/>
          <w:spacing w:val="-2"/>
        </w:rPr>
        <w:t>agréable</w:t>
      </w:r>
      <w:r>
        <w:rPr>
          <w:rFonts w:ascii="Arial" w:hAnsi="Arial"/>
          <w:color w:val="231F20"/>
          <w:spacing w:val="-3"/>
        </w:rPr>
        <w:t> </w:t>
      </w:r>
      <w:r>
        <w:rPr>
          <w:rFonts w:ascii="Arial" w:hAnsi="Arial"/>
          <w:color w:val="231F20"/>
          <w:spacing w:val="-2"/>
        </w:rPr>
        <w:t>et</w:t>
      </w:r>
      <w:r>
        <w:rPr>
          <w:rFonts w:ascii="Arial" w:hAnsi="Arial"/>
          <w:color w:val="231F20"/>
          <w:spacing w:val="-3"/>
        </w:rPr>
        <w:t> </w:t>
      </w:r>
      <w:r>
        <w:rPr>
          <w:rFonts w:ascii="Arial" w:hAnsi="Arial"/>
          <w:color w:val="231F20"/>
          <w:spacing w:val="-2"/>
        </w:rPr>
        <w:t>propice</w:t>
      </w:r>
      <w:r>
        <w:rPr>
          <w:rFonts w:ascii="Arial" w:hAnsi="Arial"/>
          <w:color w:val="231F20"/>
          <w:spacing w:val="-3"/>
        </w:rPr>
        <w:t> </w:t>
      </w:r>
      <w:r>
        <w:rPr>
          <w:rFonts w:ascii="Arial" w:hAnsi="Arial"/>
          <w:color w:val="231F20"/>
          <w:spacing w:val="-2"/>
        </w:rPr>
        <w:t>à</w:t>
      </w:r>
      <w:r>
        <w:rPr>
          <w:rFonts w:ascii="Arial" w:hAnsi="Arial"/>
          <w:color w:val="231F20"/>
          <w:spacing w:val="-3"/>
        </w:rPr>
        <w:t> </w:t>
      </w:r>
      <w:r>
        <w:rPr>
          <w:rFonts w:ascii="Arial" w:hAnsi="Arial"/>
          <w:color w:val="231F20"/>
          <w:spacing w:val="-2"/>
        </w:rPr>
        <w:t>un</w:t>
      </w:r>
      <w:r>
        <w:rPr>
          <w:rFonts w:ascii="Arial" w:hAnsi="Arial"/>
          <w:color w:val="231F20"/>
          <w:spacing w:val="-3"/>
        </w:rPr>
        <w:t> </w:t>
      </w:r>
      <w:r>
        <w:rPr>
          <w:rFonts w:ascii="Arial" w:hAnsi="Arial"/>
          <w:color w:val="231F20"/>
          <w:spacing w:val="-2"/>
        </w:rPr>
        <w:t>bon</w:t>
      </w:r>
      <w:r>
        <w:rPr>
          <w:rFonts w:ascii="Arial" w:hAnsi="Arial"/>
          <w:color w:val="231F20"/>
          <w:spacing w:val="-3"/>
        </w:rPr>
        <w:t> </w:t>
      </w:r>
      <w:r>
        <w:rPr>
          <w:rFonts w:ascii="Arial" w:hAnsi="Arial"/>
          <w:color w:val="231F20"/>
          <w:spacing w:val="-2"/>
        </w:rPr>
        <w:t>environnement </w:t>
      </w:r>
      <w:r>
        <w:rPr>
          <w:rFonts w:ascii="Arial" w:hAnsi="Arial"/>
          <w:color w:val="231F20"/>
        </w:rPr>
        <w:t>de</w:t>
      </w:r>
      <w:r>
        <w:rPr>
          <w:rFonts w:ascii="Arial" w:hAnsi="Arial"/>
          <w:color w:val="231F20"/>
          <w:spacing w:val="-3"/>
        </w:rPr>
        <w:t> </w:t>
      </w:r>
      <w:r>
        <w:rPr>
          <w:rFonts w:ascii="Arial" w:hAnsi="Arial"/>
          <w:color w:val="231F20"/>
        </w:rPr>
        <w:t>travail.</w:t>
      </w:r>
    </w:p>
    <w:p>
      <w:pPr>
        <w:pStyle w:val="BodyText"/>
        <w:spacing w:line="307" w:lineRule="auto" w:before="79"/>
        <w:ind w:left="1080" w:right="749"/>
        <w:jc w:val="both"/>
        <w:rPr>
          <w:rFonts w:ascii="Arial" w:hAnsi="Arial"/>
        </w:rPr>
      </w:pPr>
      <w:r>
        <w:rPr>
          <w:rFonts w:ascii="Arial" w:hAnsi="Arial"/>
          <w:b/>
          <w:color w:val="231F20"/>
          <w:spacing w:val="-2"/>
          <w:w w:val="95"/>
        </w:rPr>
        <w:t>Une</w:t>
      </w:r>
      <w:r>
        <w:rPr>
          <w:rFonts w:ascii="Arial" w:hAnsi="Arial"/>
          <w:b/>
          <w:color w:val="231F20"/>
          <w:spacing w:val="-8"/>
          <w:w w:val="95"/>
        </w:rPr>
        <w:t> </w:t>
      </w:r>
      <w:r>
        <w:rPr>
          <w:rFonts w:ascii="Arial" w:hAnsi="Arial"/>
          <w:b/>
          <w:color w:val="231F20"/>
          <w:spacing w:val="-2"/>
          <w:w w:val="95"/>
        </w:rPr>
        <w:t>hausse</w:t>
      </w:r>
      <w:r>
        <w:rPr>
          <w:rFonts w:ascii="Arial" w:hAnsi="Arial"/>
          <w:b/>
          <w:color w:val="231F20"/>
          <w:spacing w:val="-7"/>
          <w:w w:val="95"/>
        </w:rPr>
        <w:t> </w:t>
      </w:r>
      <w:r>
        <w:rPr>
          <w:rFonts w:ascii="Arial" w:hAnsi="Arial"/>
          <w:b/>
          <w:color w:val="231F20"/>
          <w:spacing w:val="-2"/>
          <w:w w:val="95"/>
        </w:rPr>
        <w:t>de</w:t>
      </w:r>
      <w:r>
        <w:rPr>
          <w:rFonts w:ascii="Arial" w:hAnsi="Arial"/>
          <w:b/>
          <w:color w:val="231F20"/>
          <w:spacing w:val="-8"/>
          <w:w w:val="95"/>
        </w:rPr>
        <w:t> </w:t>
      </w:r>
      <w:r>
        <w:rPr>
          <w:rFonts w:ascii="Arial" w:hAnsi="Arial"/>
          <w:b/>
          <w:color w:val="231F20"/>
          <w:spacing w:val="-2"/>
          <w:w w:val="95"/>
        </w:rPr>
        <w:t>l’absentéisme</w:t>
      </w:r>
      <w:r>
        <w:rPr>
          <w:rFonts w:ascii="Arial" w:hAnsi="Arial"/>
          <w:b/>
          <w:color w:val="231F20"/>
          <w:spacing w:val="-7"/>
          <w:w w:val="95"/>
        </w:rPr>
        <w:t> </w:t>
      </w:r>
      <w:r>
        <w:rPr>
          <w:rFonts w:ascii="Arial" w:hAnsi="Arial"/>
          <w:color w:val="231F20"/>
          <w:spacing w:val="-2"/>
          <w:w w:val="95"/>
        </w:rPr>
        <w:t>–</w:t>
      </w:r>
      <w:r>
        <w:rPr>
          <w:rFonts w:ascii="Arial" w:hAnsi="Arial"/>
          <w:color w:val="231F20"/>
          <w:spacing w:val="-6"/>
          <w:w w:val="95"/>
        </w:rPr>
        <w:t> </w:t>
      </w:r>
      <w:r>
        <w:rPr>
          <w:rFonts w:ascii="Arial" w:hAnsi="Arial"/>
          <w:color w:val="231F20"/>
          <w:spacing w:val="-2"/>
          <w:w w:val="95"/>
        </w:rPr>
        <w:t>Autre grand risque lié au stress</w:t>
      </w:r>
      <w:r>
        <w:rPr>
          <w:rFonts w:ascii="Arial" w:hAnsi="Arial"/>
          <w:color w:val="231F20"/>
          <w:spacing w:val="-8"/>
          <w:w w:val="95"/>
        </w:rPr>
        <w:t> </w:t>
      </w:r>
      <w:r>
        <w:rPr>
          <w:rFonts w:ascii="Arial" w:hAnsi="Arial"/>
          <w:color w:val="231F20"/>
          <w:spacing w:val="-2"/>
          <w:w w:val="95"/>
        </w:rPr>
        <w:t>: l’absen- </w:t>
      </w:r>
      <w:r>
        <w:rPr>
          <w:rFonts w:ascii="Arial" w:hAnsi="Arial"/>
          <w:color w:val="231F20"/>
          <w:spacing w:val="-2"/>
        </w:rPr>
        <w:t>téisme.</w:t>
      </w:r>
      <w:r>
        <w:rPr>
          <w:rFonts w:ascii="Arial" w:hAnsi="Arial"/>
          <w:color w:val="231F20"/>
          <w:spacing w:val="-8"/>
        </w:rPr>
        <w:t> </w:t>
      </w:r>
      <w:r>
        <w:rPr>
          <w:rFonts w:ascii="Arial" w:hAnsi="Arial"/>
          <w:color w:val="231F20"/>
          <w:spacing w:val="-2"/>
        </w:rPr>
        <w:t>Le</w:t>
      </w:r>
      <w:r>
        <w:rPr>
          <w:rFonts w:ascii="Arial" w:hAnsi="Arial"/>
          <w:color w:val="231F20"/>
          <w:spacing w:val="-8"/>
        </w:rPr>
        <w:t> </w:t>
      </w:r>
      <w:r>
        <w:rPr>
          <w:rFonts w:ascii="Arial" w:hAnsi="Arial"/>
          <w:color w:val="231F20"/>
          <w:spacing w:val="-2"/>
        </w:rPr>
        <w:t>danger</w:t>
      </w:r>
      <w:r>
        <w:rPr>
          <w:rFonts w:ascii="Arial" w:hAnsi="Arial"/>
          <w:color w:val="231F20"/>
          <w:spacing w:val="-8"/>
        </w:rPr>
        <w:t> </w:t>
      </w:r>
      <w:r>
        <w:rPr>
          <w:rFonts w:ascii="Arial" w:hAnsi="Arial"/>
          <w:color w:val="231F20"/>
          <w:spacing w:val="-2"/>
        </w:rPr>
        <w:t>qu’il</w:t>
      </w:r>
      <w:r>
        <w:rPr>
          <w:rFonts w:ascii="Arial" w:hAnsi="Arial"/>
          <w:color w:val="231F20"/>
          <w:spacing w:val="-8"/>
        </w:rPr>
        <w:t> </w:t>
      </w:r>
      <w:r>
        <w:rPr>
          <w:rFonts w:ascii="Arial" w:hAnsi="Arial"/>
          <w:color w:val="231F20"/>
          <w:spacing w:val="-2"/>
        </w:rPr>
        <w:t>vous</w:t>
      </w:r>
      <w:r>
        <w:rPr>
          <w:rFonts w:ascii="Arial" w:hAnsi="Arial"/>
          <w:color w:val="231F20"/>
          <w:spacing w:val="-8"/>
        </w:rPr>
        <w:t> </w:t>
      </w:r>
      <w:r>
        <w:rPr>
          <w:rFonts w:ascii="Arial" w:hAnsi="Arial"/>
          <w:color w:val="231F20"/>
          <w:spacing w:val="-2"/>
        </w:rPr>
        <w:t>submerge</w:t>
      </w:r>
      <w:r>
        <w:rPr>
          <w:rFonts w:ascii="Arial" w:hAnsi="Arial"/>
          <w:color w:val="231F20"/>
          <w:spacing w:val="-8"/>
        </w:rPr>
        <w:t> </w:t>
      </w:r>
      <w:r>
        <w:rPr>
          <w:rFonts w:ascii="Arial" w:hAnsi="Arial"/>
          <w:color w:val="231F20"/>
          <w:spacing w:val="-2"/>
        </w:rPr>
        <w:t>au</w:t>
      </w:r>
      <w:r>
        <w:rPr>
          <w:rFonts w:ascii="Arial" w:hAnsi="Arial"/>
          <w:color w:val="231F20"/>
          <w:spacing w:val="-8"/>
        </w:rPr>
        <w:t> </w:t>
      </w:r>
      <w:r>
        <w:rPr>
          <w:rFonts w:ascii="Arial" w:hAnsi="Arial"/>
          <w:color w:val="231F20"/>
          <w:spacing w:val="-2"/>
        </w:rPr>
        <w:t>point</w:t>
      </w:r>
      <w:r>
        <w:rPr>
          <w:rFonts w:ascii="Arial" w:hAnsi="Arial"/>
          <w:color w:val="231F20"/>
          <w:spacing w:val="-8"/>
        </w:rPr>
        <w:t> </w:t>
      </w:r>
      <w:r>
        <w:rPr>
          <w:rFonts w:ascii="Arial" w:hAnsi="Arial"/>
          <w:color w:val="231F20"/>
          <w:spacing w:val="-2"/>
        </w:rPr>
        <w:t>de</w:t>
      </w:r>
      <w:r>
        <w:rPr>
          <w:rFonts w:ascii="Arial" w:hAnsi="Arial"/>
          <w:color w:val="231F20"/>
          <w:spacing w:val="-8"/>
        </w:rPr>
        <w:t> </w:t>
      </w:r>
      <w:r>
        <w:rPr>
          <w:rFonts w:ascii="Arial" w:hAnsi="Arial"/>
          <w:color w:val="231F20"/>
          <w:spacing w:val="-2"/>
        </w:rPr>
        <w:t>ne</w:t>
      </w:r>
      <w:r>
        <w:rPr>
          <w:rFonts w:ascii="Arial" w:hAnsi="Arial"/>
          <w:color w:val="231F20"/>
          <w:spacing w:val="-8"/>
        </w:rPr>
        <w:t> </w:t>
      </w:r>
      <w:r>
        <w:rPr>
          <w:rFonts w:ascii="Arial" w:hAnsi="Arial"/>
          <w:color w:val="231F20"/>
          <w:spacing w:val="-2"/>
        </w:rPr>
        <w:t>plus</w:t>
      </w:r>
      <w:r>
        <w:rPr>
          <w:rFonts w:ascii="Arial" w:hAnsi="Arial"/>
          <w:color w:val="231F20"/>
          <w:spacing w:val="-8"/>
        </w:rPr>
        <w:t> </w:t>
      </w:r>
      <w:r>
        <w:rPr>
          <w:rFonts w:ascii="Arial" w:hAnsi="Arial"/>
          <w:color w:val="231F20"/>
          <w:spacing w:val="-2"/>
        </w:rPr>
        <w:t>pouvoir</w:t>
      </w:r>
      <w:r>
        <w:rPr>
          <w:rFonts w:ascii="Arial" w:hAnsi="Arial"/>
          <w:color w:val="231F20"/>
          <w:spacing w:val="-8"/>
        </w:rPr>
        <w:t> </w:t>
      </w:r>
      <w:r>
        <w:rPr>
          <w:rFonts w:ascii="Arial" w:hAnsi="Arial"/>
          <w:color w:val="231F20"/>
          <w:spacing w:val="-2"/>
        </w:rPr>
        <w:t>venir au</w:t>
      </w:r>
      <w:r>
        <w:rPr>
          <w:rFonts w:ascii="Arial" w:hAnsi="Arial"/>
          <w:color w:val="231F20"/>
          <w:spacing w:val="-9"/>
        </w:rPr>
        <w:t> </w:t>
      </w:r>
      <w:r>
        <w:rPr>
          <w:rFonts w:ascii="Arial" w:hAnsi="Arial"/>
          <w:color w:val="231F20"/>
          <w:spacing w:val="-2"/>
        </w:rPr>
        <w:t>bureau</w:t>
      </w:r>
      <w:r>
        <w:rPr>
          <w:rFonts w:ascii="Arial" w:hAnsi="Arial"/>
          <w:color w:val="231F20"/>
          <w:spacing w:val="-9"/>
        </w:rPr>
        <w:t> </w:t>
      </w:r>
      <w:r>
        <w:rPr>
          <w:rFonts w:ascii="Arial" w:hAnsi="Arial"/>
          <w:color w:val="231F20"/>
          <w:spacing w:val="-2"/>
        </w:rPr>
        <w:t>reste</w:t>
      </w:r>
      <w:r>
        <w:rPr>
          <w:rFonts w:ascii="Arial" w:hAnsi="Arial"/>
          <w:color w:val="231F20"/>
          <w:spacing w:val="-9"/>
        </w:rPr>
        <w:t> </w:t>
      </w:r>
      <w:r>
        <w:rPr>
          <w:rFonts w:ascii="Arial" w:hAnsi="Arial"/>
          <w:color w:val="231F20"/>
          <w:spacing w:val="-2"/>
        </w:rPr>
        <w:t>très</w:t>
      </w:r>
      <w:r>
        <w:rPr>
          <w:rFonts w:ascii="Arial" w:hAnsi="Arial"/>
          <w:color w:val="231F20"/>
          <w:spacing w:val="-9"/>
        </w:rPr>
        <w:t> </w:t>
      </w:r>
      <w:r>
        <w:rPr>
          <w:rFonts w:ascii="Arial" w:hAnsi="Arial"/>
          <w:color w:val="231F20"/>
          <w:spacing w:val="-2"/>
        </w:rPr>
        <w:t>présent</w:t>
      </w:r>
      <w:r>
        <w:rPr>
          <w:rFonts w:ascii="Arial" w:hAnsi="Arial"/>
          <w:color w:val="231F20"/>
          <w:spacing w:val="-9"/>
        </w:rPr>
        <w:t> </w:t>
      </w:r>
      <w:r>
        <w:rPr>
          <w:rFonts w:ascii="Arial" w:hAnsi="Arial"/>
          <w:color w:val="231F20"/>
          <w:spacing w:val="-2"/>
        </w:rPr>
        <w:t>dans</w:t>
      </w:r>
      <w:r>
        <w:rPr>
          <w:rFonts w:ascii="Arial" w:hAnsi="Arial"/>
          <w:color w:val="231F20"/>
          <w:spacing w:val="-9"/>
        </w:rPr>
        <w:t> </w:t>
      </w:r>
      <w:r>
        <w:rPr>
          <w:rFonts w:ascii="Arial" w:hAnsi="Arial"/>
          <w:color w:val="231F20"/>
          <w:spacing w:val="-2"/>
        </w:rPr>
        <w:t>votre</w:t>
      </w:r>
      <w:r>
        <w:rPr>
          <w:rFonts w:ascii="Arial" w:hAnsi="Arial"/>
          <w:color w:val="231F20"/>
          <w:spacing w:val="-9"/>
        </w:rPr>
        <w:t> </w:t>
      </w:r>
      <w:r>
        <w:rPr>
          <w:rFonts w:ascii="Arial" w:hAnsi="Arial"/>
          <w:color w:val="231F20"/>
          <w:spacing w:val="-2"/>
        </w:rPr>
        <w:t>métier.</w:t>
      </w:r>
      <w:r>
        <w:rPr>
          <w:rFonts w:ascii="Arial" w:hAnsi="Arial"/>
          <w:color w:val="231F20"/>
          <w:spacing w:val="-9"/>
        </w:rPr>
        <w:t> </w:t>
      </w:r>
      <w:r>
        <w:rPr>
          <w:rFonts w:ascii="Arial" w:hAnsi="Arial"/>
          <w:color w:val="231F20"/>
          <w:spacing w:val="-2"/>
        </w:rPr>
        <w:t>L’absentéisme</w:t>
      </w:r>
      <w:r>
        <w:rPr>
          <w:rFonts w:ascii="Arial" w:hAnsi="Arial"/>
          <w:color w:val="231F20"/>
          <w:spacing w:val="-9"/>
        </w:rPr>
        <w:t> </w:t>
      </w:r>
      <w:r>
        <w:rPr>
          <w:rFonts w:ascii="Arial" w:hAnsi="Arial"/>
          <w:color w:val="231F20"/>
          <w:spacing w:val="-2"/>
        </w:rPr>
        <w:t>constitue </w:t>
      </w:r>
      <w:r>
        <w:rPr>
          <w:rFonts w:ascii="Arial" w:hAnsi="Arial"/>
          <w:color w:val="231F20"/>
        </w:rPr>
        <w:t>ainsi un problème majeur touchant les entreprises, qui peut frapper aussi bien vos salariés que vous en tant que dirigeant.</w:t>
      </w:r>
    </w:p>
    <w:p>
      <w:pPr>
        <w:spacing w:after="0" w:line="307" w:lineRule="auto"/>
        <w:jc w:val="both"/>
        <w:rPr>
          <w:rFonts w:ascii="Arial" w:hAnsi="Arial"/>
        </w:rPr>
        <w:sectPr>
          <w:footerReference w:type="default" r:id="rId223"/>
          <w:pgSz w:w="8640" w:h="12960"/>
          <w:pgMar w:footer="424" w:header="0" w:top="520" w:bottom="620" w:left="420" w:right="1140"/>
        </w:sectPr>
      </w:pPr>
    </w:p>
    <w:p>
      <w:pPr>
        <w:spacing w:before="118"/>
        <w:ind w:left="2049" w:right="0" w:firstLine="0"/>
        <w:jc w:val="left"/>
        <w:rPr>
          <w:rFonts w:ascii="Arial" w:hAnsi="Arial"/>
          <w:sz w:val="14"/>
        </w:rPr>
      </w:pPr>
      <w:bookmarkStart w:name=" 3.5 / Post-scriptum" w:id="121"/>
      <w:bookmarkEnd w:id="121"/>
      <w:r>
        <w:rPr/>
      </w:r>
      <w:bookmarkStart w:name="_bookmark52" w:id="122"/>
      <w:bookmarkEnd w:id="122"/>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spacing w:before="3"/>
        <w:rPr>
          <w:rFonts w:ascii="Arial"/>
          <w:sz w:val="29"/>
        </w:rPr>
      </w:pPr>
      <w:r>
        <w:rPr/>
        <w:pict>
          <v:group style="position:absolute;margin-left:82pt;margin-top:18.051661pt;width:287.5pt;height:107pt;mso-position-horizontal-relative:page;mso-position-vertical-relative:paragraph;z-index:-15665664;mso-wrap-distance-left:0;mso-wrap-distance-right:0" id="docshapegroup772" coordorigin="1640,361" coordsize="5750,2140">
            <v:shape style="position:absolute;left:1640;top:361;width:5750;height:2140" id="docshape773" coordorigin="1640,361" coordsize="5750,2140" path="m7390,361l1640,361,1640,1661,1640,1741,1640,2501,7390,2501,7390,1741,7390,1661,7390,361xe" filled="true" fillcolor="#e2e3e4" stroked="false">
              <v:path arrowok="t"/>
              <v:fill type="solid"/>
            </v:shape>
            <v:line style="position:absolute" from="1890,1659" to="7140,1659" stroked="true" strokeweight=".25pt" strokecolor="#231f20">
              <v:stroke dashstyle="shortdot"/>
            </v:line>
            <v:shape style="position:absolute;left:1640;top:361;width:5750;height:2140" type="#_x0000_t202" id="docshape774" filled="false" stroked="false">
              <v:textbox inset="0,0,0,0">
                <w:txbxContent>
                  <w:p>
                    <w:pPr>
                      <w:spacing w:line="240" w:lineRule="auto" w:before="2"/>
                      <w:rPr>
                        <w:rFonts w:ascii="Arial"/>
                        <w:sz w:val="19"/>
                      </w:rPr>
                    </w:pPr>
                  </w:p>
                  <w:p>
                    <w:pPr>
                      <w:spacing w:line="307" w:lineRule="auto" w:before="0"/>
                      <w:ind w:left="250" w:right="243" w:firstLine="0"/>
                      <w:jc w:val="both"/>
                      <w:rPr>
                        <w:rFonts w:ascii="Arial" w:hAnsi="Arial"/>
                        <w:sz w:val="17"/>
                      </w:rPr>
                    </w:pPr>
                    <w:r>
                      <w:rPr>
                        <w:rFonts w:ascii="Arial" w:hAnsi="Arial"/>
                        <w:color w:val="231F20"/>
                        <w:sz w:val="17"/>
                      </w:rPr>
                      <w:t>Le stress demeure, aujourd’hui encore, un grand problème en entre- prise et entraîne diverses répercussions négatives dans le quotidien. Créez une atmosphère agréable au sein de votre firme pour favoriser les conditions de travail et diminuer les causes liées au stress</w:t>
                    </w:r>
                    <w:r>
                      <w:rPr>
                        <w:rFonts w:ascii="Arial" w:hAnsi="Arial"/>
                        <w:color w:val="231F20"/>
                        <w:spacing w:val="-26"/>
                        <w:sz w:val="17"/>
                      </w:rPr>
                      <w:t> </w:t>
                    </w:r>
                    <w:r>
                      <w:rPr>
                        <w:rFonts w:ascii="Arial" w:hAnsi="Arial"/>
                        <w:color w:val="231F20"/>
                        <w:sz w:val="17"/>
                      </w:rPr>
                      <w:t>!</w:t>
                    </w:r>
                  </w:p>
                  <w:p>
                    <w:pPr>
                      <w:spacing w:line="240" w:lineRule="auto" w:before="9"/>
                      <w:rPr>
                        <w:rFonts w:ascii="Arial"/>
                        <w:sz w:val="18"/>
                      </w:rPr>
                    </w:pPr>
                  </w:p>
                  <w:p>
                    <w:pPr>
                      <w:spacing w:line="295" w:lineRule="auto" w:before="0"/>
                      <w:ind w:left="250" w:right="243" w:firstLine="0"/>
                      <w:jc w:val="both"/>
                      <w:rPr>
                        <w:rFonts w:ascii="Arial" w:hAnsi="Arial"/>
                        <w:sz w:val="12"/>
                      </w:rPr>
                    </w:pPr>
                    <w:r>
                      <w:rPr>
                        <w:rFonts w:ascii="Arial" w:hAnsi="Arial"/>
                        <w:color w:val="231F20"/>
                        <w:w w:val="105"/>
                        <w:sz w:val="12"/>
                      </w:rPr>
                      <w:t>Source</w:t>
                    </w:r>
                    <w:r>
                      <w:rPr>
                        <w:rFonts w:ascii="Arial" w:hAnsi="Arial"/>
                        <w:color w:val="231F20"/>
                        <w:spacing w:val="-9"/>
                        <w:w w:val="105"/>
                        <w:sz w:val="12"/>
                      </w:rPr>
                      <w:t> </w:t>
                    </w:r>
                    <w:r>
                      <w:rPr>
                        <w:rFonts w:ascii="Arial" w:hAnsi="Arial"/>
                        <w:color w:val="231F20"/>
                        <w:w w:val="105"/>
                        <w:sz w:val="12"/>
                      </w:rPr>
                      <w:t>:</w:t>
                    </w:r>
                    <w:r>
                      <w:rPr>
                        <w:rFonts w:ascii="Arial" w:hAnsi="Arial"/>
                        <w:color w:val="231F20"/>
                        <w:spacing w:val="-2"/>
                        <w:w w:val="105"/>
                        <w:sz w:val="12"/>
                      </w:rPr>
                      <w:t> </w:t>
                    </w:r>
                    <w:r>
                      <w:rPr>
                        <w:rFonts w:ascii="Arial" w:hAnsi="Arial"/>
                        <w:color w:val="231F20"/>
                        <w:w w:val="105"/>
                        <w:sz w:val="12"/>
                      </w:rPr>
                      <w:t>Équipe</w:t>
                    </w:r>
                    <w:r>
                      <w:rPr>
                        <w:rFonts w:ascii="Arial" w:hAnsi="Arial"/>
                        <w:color w:val="231F20"/>
                        <w:spacing w:val="-6"/>
                        <w:w w:val="105"/>
                        <w:sz w:val="12"/>
                      </w:rPr>
                      <w:t> </w:t>
                    </w:r>
                    <w:r>
                      <w:rPr>
                        <w:rFonts w:ascii="Arial" w:hAnsi="Arial"/>
                        <w:color w:val="231F20"/>
                        <w:w w:val="105"/>
                        <w:sz w:val="12"/>
                      </w:rPr>
                      <w:t>Dynamique</w:t>
                    </w:r>
                    <w:r>
                      <w:rPr>
                        <w:rFonts w:ascii="Arial" w:hAnsi="Arial"/>
                        <w:color w:val="231F20"/>
                        <w:spacing w:val="-6"/>
                        <w:w w:val="105"/>
                        <w:sz w:val="12"/>
                      </w:rPr>
                      <w:t> </w:t>
                    </w:r>
                    <w:r>
                      <w:rPr>
                        <w:rFonts w:ascii="Arial" w:hAnsi="Arial"/>
                        <w:color w:val="231F20"/>
                        <w:w w:val="105"/>
                        <w:sz w:val="12"/>
                      </w:rPr>
                      <w:t>Entrepreunariale</w:t>
                    </w:r>
                    <w:r>
                      <w:rPr>
                        <w:rFonts w:ascii="Arial" w:hAnsi="Arial"/>
                        <w:color w:val="231F20"/>
                        <w:spacing w:val="-6"/>
                        <w:w w:val="105"/>
                        <w:sz w:val="12"/>
                      </w:rPr>
                      <w:t> </w:t>
                    </w:r>
                    <w:r>
                      <w:rPr>
                        <w:rFonts w:ascii="Arial" w:hAnsi="Arial"/>
                        <w:color w:val="231F20"/>
                        <w:w w:val="105"/>
                        <w:sz w:val="12"/>
                      </w:rPr>
                      <w:t>(2020).</w:t>
                    </w:r>
                    <w:r>
                      <w:rPr>
                        <w:rFonts w:ascii="Arial" w:hAnsi="Arial"/>
                        <w:color w:val="231F20"/>
                        <w:spacing w:val="-6"/>
                        <w:w w:val="105"/>
                        <w:sz w:val="12"/>
                      </w:rPr>
                      <w:t> </w:t>
                    </w:r>
                    <w:r>
                      <w:rPr>
                        <w:rFonts w:ascii="Arial" w:hAnsi="Arial"/>
                        <w:color w:val="231F20"/>
                        <w:w w:val="105"/>
                        <w:sz w:val="12"/>
                      </w:rPr>
                      <w:t>Les</w:t>
                    </w:r>
                    <w:r>
                      <w:rPr>
                        <w:rFonts w:ascii="Arial" w:hAnsi="Arial"/>
                        <w:color w:val="231F20"/>
                        <w:spacing w:val="-6"/>
                        <w:w w:val="105"/>
                        <w:sz w:val="12"/>
                      </w:rPr>
                      <w:t> </w:t>
                    </w:r>
                    <w:r>
                      <w:rPr>
                        <w:rFonts w:ascii="Arial" w:hAnsi="Arial"/>
                        <w:color w:val="231F20"/>
                        <w:w w:val="105"/>
                        <w:sz w:val="12"/>
                      </w:rPr>
                      <w:t>effets</w:t>
                    </w:r>
                    <w:r>
                      <w:rPr>
                        <w:rFonts w:ascii="Arial" w:hAnsi="Arial"/>
                        <w:color w:val="231F20"/>
                        <w:spacing w:val="-6"/>
                        <w:w w:val="105"/>
                        <w:sz w:val="12"/>
                      </w:rPr>
                      <w:t> </w:t>
                    </w:r>
                    <w:r>
                      <w:rPr>
                        <w:rFonts w:ascii="Arial" w:hAnsi="Arial"/>
                        <w:color w:val="231F20"/>
                        <w:w w:val="105"/>
                        <w:sz w:val="12"/>
                      </w:rPr>
                      <w:t>du</w:t>
                    </w:r>
                    <w:r>
                      <w:rPr>
                        <w:rFonts w:ascii="Arial" w:hAnsi="Arial"/>
                        <w:color w:val="231F20"/>
                        <w:spacing w:val="-6"/>
                        <w:w w:val="105"/>
                        <w:sz w:val="12"/>
                      </w:rPr>
                      <w:t> </w:t>
                    </w:r>
                    <w:r>
                      <w:rPr>
                        <w:rFonts w:ascii="Arial" w:hAnsi="Arial"/>
                        <w:color w:val="231F20"/>
                        <w:w w:val="105"/>
                        <w:sz w:val="12"/>
                      </w:rPr>
                      <w:t>stress</w:t>
                    </w:r>
                    <w:r>
                      <w:rPr>
                        <w:rFonts w:ascii="Arial" w:hAnsi="Arial"/>
                        <w:color w:val="231F20"/>
                        <w:spacing w:val="-6"/>
                        <w:w w:val="105"/>
                        <w:sz w:val="12"/>
                      </w:rPr>
                      <w:t> </w:t>
                    </w:r>
                    <w:r>
                      <w:rPr>
                        <w:rFonts w:ascii="Arial" w:hAnsi="Arial"/>
                        <w:color w:val="231F20"/>
                        <w:w w:val="105"/>
                        <w:sz w:val="12"/>
                      </w:rPr>
                      <w:t>dans</w:t>
                    </w:r>
                    <w:r>
                      <w:rPr>
                        <w:rFonts w:ascii="Arial" w:hAnsi="Arial"/>
                        <w:color w:val="231F20"/>
                        <w:spacing w:val="-6"/>
                        <w:w w:val="105"/>
                        <w:sz w:val="12"/>
                      </w:rPr>
                      <w:t> </w:t>
                    </w:r>
                    <w:r>
                      <w:rPr>
                        <w:rFonts w:ascii="Arial" w:hAnsi="Arial"/>
                        <w:color w:val="231F20"/>
                        <w:w w:val="105"/>
                        <w:sz w:val="12"/>
                      </w:rPr>
                      <w:t>une</w:t>
                    </w:r>
                    <w:r>
                      <w:rPr>
                        <w:rFonts w:ascii="Arial" w:hAnsi="Arial"/>
                        <w:color w:val="231F20"/>
                        <w:spacing w:val="-6"/>
                        <w:w w:val="105"/>
                        <w:sz w:val="12"/>
                      </w:rPr>
                      <w:t> </w:t>
                    </w:r>
                    <w:r>
                      <w:rPr>
                        <w:rFonts w:ascii="Arial" w:hAnsi="Arial"/>
                        <w:color w:val="231F20"/>
                        <w:w w:val="105"/>
                        <w:sz w:val="12"/>
                      </w:rPr>
                      <w:t>entreprise,</w:t>
                    </w:r>
                    <w:r>
                      <w:rPr>
                        <w:rFonts w:ascii="Arial" w:hAnsi="Arial"/>
                        <w:color w:val="231F20"/>
                        <w:spacing w:val="40"/>
                        <w:w w:val="105"/>
                        <w:sz w:val="12"/>
                      </w:rPr>
                      <w:t> </w:t>
                    </w:r>
                    <w:r>
                      <w:rPr>
                        <w:rFonts w:ascii="Arial" w:hAnsi="Arial"/>
                        <w:color w:val="231F20"/>
                        <w:w w:val="105"/>
                        <w:sz w:val="12"/>
                      </w:rPr>
                      <w:t>Dynamic-Mag, &lt;https://</w:t>
                    </w:r>
                    <w:hyperlink r:id="rId225">
                      <w:r>
                        <w:rPr>
                          <w:rFonts w:ascii="Arial" w:hAnsi="Arial"/>
                          <w:color w:val="231F20"/>
                          <w:w w:val="105"/>
                          <w:sz w:val="12"/>
                        </w:rPr>
                        <w:t>www.dynamique-mag.com/article/effets-stress-entreprise.10033&gt;,</w:t>
                      </w:r>
                    </w:hyperlink>
                    <w:r>
                      <w:rPr>
                        <w:rFonts w:ascii="Arial" w:hAnsi="Arial"/>
                        <w:color w:val="231F20"/>
                        <w:spacing w:val="40"/>
                        <w:w w:val="105"/>
                        <w:sz w:val="12"/>
                      </w:rPr>
                      <w:t> </w:t>
                    </w:r>
                    <w:r>
                      <w:rPr>
                        <w:rFonts w:ascii="Arial" w:hAnsi="Arial"/>
                        <w:color w:val="231F20"/>
                        <w:w w:val="105"/>
                        <w:sz w:val="12"/>
                      </w:rPr>
                      <w:t>consulté le 22 octobre 2021.</w:t>
                    </w:r>
                  </w:p>
                </w:txbxContent>
              </v:textbox>
              <w10:wrap type="none"/>
            </v:shape>
            <w10:wrap type="topAndBottom"/>
          </v:group>
        </w:pict>
      </w:r>
    </w:p>
    <w:p>
      <w:pPr>
        <w:pStyle w:val="BodyText"/>
        <w:spacing w:before="1"/>
        <w:rPr>
          <w:rFonts w:ascii="Arial"/>
        </w:rPr>
      </w:pPr>
    </w:p>
    <w:p>
      <w:pPr>
        <w:pStyle w:val="BodyText"/>
        <w:spacing w:line="307" w:lineRule="auto" w:before="145"/>
        <w:ind w:left="1220" w:right="105"/>
        <w:jc w:val="both"/>
      </w:pPr>
      <w:r>
        <w:rPr>
          <w:color w:val="231F20"/>
          <w:w w:val="120"/>
        </w:rPr>
        <w:t>La</w:t>
      </w:r>
      <w:r>
        <w:rPr>
          <w:color w:val="231F20"/>
          <w:spacing w:val="-3"/>
          <w:w w:val="120"/>
        </w:rPr>
        <w:t> </w:t>
      </w:r>
      <w:r>
        <w:rPr>
          <w:color w:val="231F20"/>
          <w:w w:val="120"/>
        </w:rPr>
        <w:t>majorité</w:t>
      </w:r>
      <w:r>
        <w:rPr>
          <w:color w:val="231F20"/>
          <w:spacing w:val="-3"/>
          <w:w w:val="120"/>
        </w:rPr>
        <w:t> </w:t>
      </w:r>
      <w:r>
        <w:rPr>
          <w:color w:val="231F20"/>
          <w:w w:val="120"/>
        </w:rPr>
        <w:t>des</w:t>
      </w:r>
      <w:r>
        <w:rPr>
          <w:color w:val="231F20"/>
          <w:spacing w:val="-3"/>
          <w:w w:val="120"/>
        </w:rPr>
        <w:t> </w:t>
      </w:r>
      <w:r>
        <w:rPr>
          <w:color w:val="231F20"/>
          <w:w w:val="120"/>
        </w:rPr>
        <w:t>études</w:t>
      </w:r>
      <w:r>
        <w:rPr>
          <w:color w:val="231F20"/>
          <w:spacing w:val="-3"/>
          <w:w w:val="120"/>
        </w:rPr>
        <w:t> </w:t>
      </w:r>
      <w:r>
        <w:rPr>
          <w:color w:val="231F20"/>
          <w:w w:val="120"/>
        </w:rPr>
        <w:t>effectuées</w:t>
      </w:r>
      <w:r>
        <w:rPr>
          <w:color w:val="231F20"/>
          <w:spacing w:val="-3"/>
          <w:w w:val="120"/>
        </w:rPr>
        <w:t> </w:t>
      </w:r>
      <w:r>
        <w:rPr>
          <w:color w:val="231F20"/>
          <w:w w:val="120"/>
        </w:rPr>
        <w:t>au</w:t>
      </w:r>
      <w:r>
        <w:rPr>
          <w:color w:val="231F20"/>
          <w:spacing w:val="-3"/>
          <w:w w:val="120"/>
        </w:rPr>
        <w:t> </w:t>
      </w:r>
      <w:r>
        <w:rPr>
          <w:color w:val="231F20"/>
          <w:w w:val="120"/>
        </w:rPr>
        <w:t>cours</w:t>
      </w:r>
      <w:r>
        <w:rPr>
          <w:color w:val="231F20"/>
          <w:spacing w:val="-3"/>
          <w:w w:val="120"/>
        </w:rPr>
        <w:t> </w:t>
      </w:r>
      <w:r>
        <w:rPr>
          <w:color w:val="231F20"/>
          <w:w w:val="120"/>
        </w:rPr>
        <w:t>des</w:t>
      </w:r>
      <w:r>
        <w:rPr>
          <w:color w:val="231F20"/>
          <w:spacing w:val="-3"/>
          <w:w w:val="120"/>
        </w:rPr>
        <w:t> </w:t>
      </w:r>
      <w:r>
        <w:rPr>
          <w:color w:val="231F20"/>
          <w:w w:val="120"/>
        </w:rPr>
        <w:t>20</w:t>
      </w:r>
      <w:r>
        <w:rPr>
          <w:color w:val="231F20"/>
          <w:spacing w:val="-3"/>
          <w:w w:val="120"/>
        </w:rPr>
        <w:t> </w:t>
      </w:r>
      <w:r>
        <w:rPr>
          <w:color w:val="231F20"/>
          <w:w w:val="120"/>
        </w:rPr>
        <w:t>dernières</w:t>
      </w:r>
      <w:r>
        <w:rPr>
          <w:color w:val="231F20"/>
          <w:spacing w:val="-3"/>
          <w:w w:val="120"/>
        </w:rPr>
        <w:t> </w:t>
      </w:r>
      <w:r>
        <w:rPr>
          <w:color w:val="231F20"/>
          <w:w w:val="120"/>
        </w:rPr>
        <w:t>années</w:t>
      </w:r>
      <w:r>
        <w:rPr>
          <w:color w:val="231F20"/>
          <w:spacing w:val="-3"/>
          <w:w w:val="120"/>
        </w:rPr>
        <w:t> </w:t>
      </w:r>
      <w:r>
        <w:rPr>
          <w:color w:val="231F20"/>
          <w:w w:val="120"/>
        </w:rPr>
        <w:t>sur le stress au travail, tant en ce qui concerne son incidence que du point de</w:t>
      </w:r>
      <w:r>
        <w:rPr>
          <w:color w:val="231F20"/>
          <w:spacing w:val="-13"/>
          <w:w w:val="120"/>
        </w:rPr>
        <w:t> </w:t>
      </w:r>
      <w:r>
        <w:rPr>
          <w:color w:val="231F20"/>
          <w:w w:val="120"/>
        </w:rPr>
        <w:t>vue</w:t>
      </w:r>
      <w:r>
        <w:rPr>
          <w:color w:val="231F20"/>
          <w:spacing w:val="-13"/>
          <w:w w:val="120"/>
        </w:rPr>
        <w:t> </w:t>
      </w:r>
      <w:r>
        <w:rPr>
          <w:color w:val="231F20"/>
          <w:w w:val="120"/>
        </w:rPr>
        <w:t>de</w:t>
      </w:r>
      <w:r>
        <w:rPr>
          <w:color w:val="231F20"/>
          <w:spacing w:val="-13"/>
          <w:w w:val="120"/>
        </w:rPr>
        <w:t> </w:t>
      </w:r>
      <w:r>
        <w:rPr>
          <w:color w:val="231F20"/>
          <w:w w:val="120"/>
        </w:rPr>
        <w:t>ses</w:t>
      </w:r>
      <w:r>
        <w:rPr>
          <w:color w:val="231F20"/>
          <w:spacing w:val="-12"/>
          <w:w w:val="120"/>
        </w:rPr>
        <w:t> </w:t>
      </w:r>
      <w:r>
        <w:rPr>
          <w:color w:val="231F20"/>
          <w:w w:val="120"/>
        </w:rPr>
        <w:t>conséquences,</w:t>
      </w:r>
      <w:r>
        <w:rPr>
          <w:color w:val="231F20"/>
          <w:spacing w:val="-13"/>
          <w:w w:val="120"/>
        </w:rPr>
        <w:t> </w:t>
      </w:r>
      <w:r>
        <w:rPr>
          <w:color w:val="231F20"/>
          <w:w w:val="120"/>
        </w:rPr>
        <w:t>proposent</w:t>
      </w:r>
      <w:r>
        <w:rPr>
          <w:color w:val="231F20"/>
          <w:spacing w:val="-13"/>
          <w:w w:val="120"/>
        </w:rPr>
        <w:t> </w:t>
      </w:r>
      <w:r>
        <w:rPr>
          <w:color w:val="231F20"/>
          <w:w w:val="120"/>
        </w:rPr>
        <w:t>des</w:t>
      </w:r>
      <w:r>
        <w:rPr>
          <w:color w:val="231F20"/>
          <w:spacing w:val="-13"/>
          <w:w w:val="120"/>
        </w:rPr>
        <w:t> </w:t>
      </w:r>
      <w:r>
        <w:rPr>
          <w:color w:val="231F20"/>
          <w:w w:val="120"/>
        </w:rPr>
        <w:t>chiffres</w:t>
      </w:r>
      <w:r>
        <w:rPr>
          <w:color w:val="231F20"/>
          <w:spacing w:val="-12"/>
          <w:w w:val="120"/>
        </w:rPr>
        <w:t> </w:t>
      </w:r>
      <w:r>
        <w:rPr>
          <w:color w:val="231F20"/>
          <w:w w:val="120"/>
        </w:rPr>
        <w:t>alarmants</w:t>
      </w:r>
      <w:r>
        <w:rPr>
          <w:color w:val="231F20"/>
          <w:spacing w:val="-13"/>
          <w:w w:val="120"/>
        </w:rPr>
        <w:t> </w:t>
      </w:r>
      <w:r>
        <w:rPr>
          <w:color w:val="231F20"/>
          <w:w w:val="120"/>
        </w:rPr>
        <w:t>des</w:t>
      </w:r>
      <w:r>
        <w:rPr>
          <w:color w:val="231F20"/>
          <w:spacing w:val="-13"/>
          <w:w w:val="120"/>
        </w:rPr>
        <w:t> </w:t>
      </w:r>
      <w:r>
        <w:rPr>
          <w:color w:val="231F20"/>
          <w:w w:val="120"/>
        </w:rPr>
        <w:t>réper- </w:t>
      </w:r>
      <w:r>
        <w:rPr>
          <w:color w:val="231F20"/>
          <w:w w:val="115"/>
        </w:rPr>
        <w:t>cussions</w:t>
      </w:r>
      <w:r>
        <w:rPr>
          <w:color w:val="231F20"/>
          <w:spacing w:val="-1"/>
          <w:w w:val="115"/>
        </w:rPr>
        <w:t> </w:t>
      </w:r>
      <w:r>
        <w:rPr>
          <w:color w:val="231F20"/>
          <w:w w:val="115"/>
        </w:rPr>
        <w:t>de</w:t>
      </w:r>
      <w:r>
        <w:rPr>
          <w:color w:val="231F20"/>
          <w:spacing w:val="-1"/>
          <w:w w:val="115"/>
        </w:rPr>
        <w:t> </w:t>
      </w:r>
      <w:r>
        <w:rPr>
          <w:color w:val="231F20"/>
          <w:w w:val="115"/>
        </w:rPr>
        <w:t>ce</w:t>
      </w:r>
      <w:r>
        <w:rPr>
          <w:color w:val="231F20"/>
          <w:spacing w:val="-1"/>
          <w:w w:val="115"/>
        </w:rPr>
        <w:t> </w:t>
      </w:r>
      <w:r>
        <w:rPr>
          <w:color w:val="231F20"/>
          <w:w w:val="115"/>
        </w:rPr>
        <w:t>fléau</w:t>
      </w:r>
      <w:r>
        <w:rPr>
          <w:color w:val="231F20"/>
          <w:spacing w:val="-1"/>
          <w:w w:val="115"/>
        </w:rPr>
        <w:t> </w:t>
      </w:r>
      <w:r>
        <w:rPr>
          <w:color w:val="231F20"/>
          <w:w w:val="115"/>
        </w:rPr>
        <w:t>organisationnel.</w:t>
      </w:r>
      <w:r>
        <w:rPr>
          <w:color w:val="231F20"/>
          <w:spacing w:val="-1"/>
          <w:w w:val="115"/>
        </w:rPr>
        <w:t> </w:t>
      </w:r>
      <w:r>
        <w:rPr>
          <w:color w:val="231F20"/>
          <w:w w:val="115"/>
        </w:rPr>
        <w:t>Le</w:t>
      </w:r>
      <w:r>
        <w:rPr>
          <w:color w:val="231F20"/>
          <w:spacing w:val="-1"/>
          <w:w w:val="115"/>
        </w:rPr>
        <w:t> </w:t>
      </w:r>
      <w:r>
        <w:rPr>
          <w:color w:val="231F20"/>
          <w:w w:val="115"/>
        </w:rPr>
        <w:t>stress</w:t>
      </w:r>
      <w:r>
        <w:rPr>
          <w:color w:val="231F20"/>
          <w:spacing w:val="-1"/>
          <w:w w:val="115"/>
        </w:rPr>
        <w:t> </w:t>
      </w:r>
      <w:r>
        <w:rPr>
          <w:color w:val="231F20"/>
          <w:w w:val="115"/>
        </w:rPr>
        <w:t>coûte</w:t>
      </w:r>
      <w:r>
        <w:rPr>
          <w:color w:val="231F20"/>
          <w:spacing w:val="-1"/>
          <w:w w:val="115"/>
        </w:rPr>
        <w:t> </w:t>
      </w:r>
      <w:r>
        <w:rPr>
          <w:color w:val="231F20"/>
          <w:w w:val="115"/>
        </w:rPr>
        <w:t>des</w:t>
      </w:r>
      <w:r>
        <w:rPr>
          <w:color w:val="231F20"/>
          <w:spacing w:val="-1"/>
          <w:w w:val="115"/>
        </w:rPr>
        <w:t> </w:t>
      </w:r>
      <w:r>
        <w:rPr>
          <w:color w:val="231F20"/>
          <w:w w:val="115"/>
        </w:rPr>
        <w:t>milliards</w:t>
      </w:r>
      <w:r>
        <w:rPr>
          <w:color w:val="231F20"/>
          <w:spacing w:val="-1"/>
          <w:w w:val="115"/>
        </w:rPr>
        <w:t> </w:t>
      </w:r>
      <w:r>
        <w:rPr>
          <w:color w:val="231F20"/>
          <w:w w:val="115"/>
        </w:rPr>
        <w:t>de</w:t>
      </w:r>
      <w:r>
        <w:rPr>
          <w:color w:val="231F20"/>
          <w:spacing w:val="-1"/>
          <w:w w:val="115"/>
        </w:rPr>
        <w:t> </w:t>
      </w:r>
      <w:r>
        <w:rPr>
          <w:color w:val="231F20"/>
          <w:w w:val="115"/>
        </w:rPr>
        <w:t>dol- </w:t>
      </w:r>
      <w:r>
        <w:rPr>
          <w:color w:val="231F20"/>
          <w:w w:val="120"/>
        </w:rPr>
        <w:t>lars annuellement aux sociétés en coûts directs et indirects, et une proportion</w:t>
      </w:r>
      <w:r>
        <w:rPr>
          <w:color w:val="231F20"/>
          <w:spacing w:val="-5"/>
          <w:w w:val="120"/>
        </w:rPr>
        <w:t> </w:t>
      </w:r>
      <w:r>
        <w:rPr>
          <w:color w:val="231F20"/>
          <w:w w:val="120"/>
        </w:rPr>
        <w:t>grandissante</w:t>
      </w:r>
      <w:r>
        <w:rPr>
          <w:color w:val="231F20"/>
          <w:spacing w:val="-5"/>
          <w:w w:val="120"/>
        </w:rPr>
        <w:t> </w:t>
      </w:r>
      <w:r>
        <w:rPr>
          <w:color w:val="231F20"/>
          <w:w w:val="120"/>
        </w:rPr>
        <w:t>de</w:t>
      </w:r>
      <w:r>
        <w:rPr>
          <w:color w:val="231F20"/>
          <w:spacing w:val="-6"/>
          <w:w w:val="120"/>
        </w:rPr>
        <w:t> </w:t>
      </w:r>
      <w:r>
        <w:rPr>
          <w:color w:val="231F20"/>
          <w:w w:val="120"/>
        </w:rPr>
        <w:t>travailleurs</w:t>
      </w:r>
      <w:r>
        <w:rPr>
          <w:color w:val="231F20"/>
          <w:spacing w:val="-5"/>
          <w:w w:val="120"/>
        </w:rPr>
        <w:t> </w:t>
      </w:r>
      <w:r>
        <w:rPr>
          <w:color w:val="231F20"/>
          <w:w w:val="120"/>
        </w:rPr>
        <w:t>se</w:t>
      </w:r>
      <w:r>
        <w:rPr>
          <w:color w:val="231F20"/>
          <w:spacing w:val="-5"/>
          <w:w w:val="120"/>
        </w:rPr>
        <w:t> </w:t>
      </w:r>
      <w:r>
        <w:rPr>
          <w:color w:val="231F20"/>
          <w:w w:val="120"/>
        </w:rPr>
        <w:t>disent</w:t>
      </w:r>
      <w:r>
        <w:rPr>
          <w:color w:val="231F20"/>
          <w:spacing w:val="-5"/>
          <w:w w:val="120"/>
        </w:rPr>
        <w:t> </w:t>
      </w:r>
      <w:r>
        <w:rPr>
          <w:color w:val="231F20"/>
          <w:w w:val="120"/>
        </w:rPr>
        <w:t>affligés</w:t>
      </w:r>
      <w:r>
        <w:rPr>
          <w:color w:val="231F20"/>
          <w:spacing w:val="-5"/>
          <w:w w:val="120"/>
        </w:rPr>
        <w:t> </w:t>
      </w:r>
      <w:r>
        <w:rPr>
          <w:color w:val="231F20"/>
          <w:w w:val="120"/>
        </w:rPr>
        <w:t>régulièrement par un niveau élevé de stress professionnel.</w:t>
      </w:r>
    </w:p>
    <w:p>
      <w:pPr>
        <w:pStyle w:val="BodyText"/>
        <w:spacing w:line="307" w:lineRule="auto" w:before="78"/>
        <w:ind w:left="1220" w:right="104" w:firstLine="250"/>
        <w:jc w:val="both"/>
      </w:pPr>
      <w:r>
        <w:rPr>
          <w:color w:val="231F20"/>
          <w:w w:val="115"/>
        </w:rPr>
        <w:t>Si</w:t>
      </w:r>
      <w:r>
        <w:rPr>
          <w:color w:val="231F20"/>
          <w:spacing w:val="-6"/>
          <w:w w:val="115"/>
        </w:rPr>
        <w:t> </w:t>
      </w:r>
      <w:r>
        <w:rPr>
          <w:color w:val="231F20"/>
          <w:w w:val="115"/>
        </w:rPr>
        <w:t>la</w:t>
      </w:r>
      <w:r>
        <w:rPr>
          <w:color w:val="231F20"/>
          <w:spacing w:val="-6"/>
          <w:w w:val="115"/>
        </w:rPr>
        <w:t> </w:t>
      </w:r>
      <w:r>
        <w:rPr>
          <w:color w:val="231F20"/>
          <w:w w:val="115"/>
        </w:rPr>
        <w:t>précision</w:t>
      </w:r>
      <w:r>
        <w:rPr>
          <w:color w:val="231F20"/>
          <w:spacing w:val="-6"/>
          <w:w w:val="115"/>
        </w:rPr>
        <w:t> </w:t>
      </w:r>
      <w:r>
        <w:rPr>
          <w:color w:val="231F20"/>
          <w:w w:val="115"/>
        </w:rPr>
        <w:t>de</w:t>
      </w:r>
      <w:r>
        <w:rPr>
          <w:color w:val="231F20"/>
          <w:spacing w:val="-6"/>
          <w:w w:val="115"/>
        </w:rPr>
        <w:t> </w:t>
      </w:r>
      <w:r>
        <w:rPr>
          <w:color w:val="231F20"/>
          <w:w w:val="115"/>
        </w:rPr>
        <w:t>l’estimation</w:t>
      </w:r>
      <w:r>
        <w:rPr>
          <w:color w:val="231F20"/>
          <w:spacing w:val="-6"/>
          <w:w w:val="115"/>
        </w:rPr>
        <w:t> </w:t>
      </w:r>
      <w:r>
        <w:rPr>
          <w:color w:val="231F20"/>
          <w:w w:val="115"/>
        </w:rPr>
        <w:t>des</w:t>
      </w:r>
      <w:r>
        <w:rPr>
          <w:color w:val="231F20"/>
          <w:spacing w:val="-6"/>
          <w:w w:val="115"/>
        </w:rPr>
        <w:t> </w:t>
      </w:r>
      <w:r>
        <w:rPr>
          <w:color w:val="231F20"/>
          <w:w w:val="115"/>
        </w:rPr>
        <w:t>coûts</w:t>
      </w:r>
      <w:r>
        <w:rPr>
          <w:color w:val="231F20"/>
          <w:spacing w:val="-6"/>
          <w:w w:val="115"/>
        </w:rPr>
        <w:t> </w:t>
      </w:r>
      <w:r>
        <w:rPr>
          <w:color w:val="231F20"/>
          <w:w w:val="115"/>
        </w:rPr>
        <w:t>liés</w:t>
      </w:r>
      <w:r>
        <w:rPr>
          <w:color w:val="231F20"/>
          <w:spacing w:val="-6"/>
          <w:w w:val="115"/>
        </w:rPr>
        <w:t> </w:t>
      </w:r>
      <w:r>
        <w:rPr>
          <w:color w:val="231F20"/>
          <w:w w:val="115"/>
        </w:rPr>
        <w:t>au</w:t>
      </w:r>
      <w:r>
        <w:rPr>
          <w:color w:val="231F20"/>
          <w:spacing w:val="-6"/>
          <w:w w:val="115"/>
        </w:rPr>
        <w:t> </w:t>
      </w:r>
      <w:r>
        <w:rPr>
          <w:color w:val="231F20"/>
          <w:w w:val="115"/>
        </w:rPr>
        <w:t>stress</w:t>
      </w:r>
      <w:r>
        <w:rPr>
          <w:color w:val="231F20"/>
          <w:spacing w:val="-6"/>
          <w:w w:val="115"/>
        </w:rPr>
        <w:t> </w:t>
      </w:r>
      <w:r>
        <w:rPr>
          <w:color w:val="231F20"/>
          <w:w w:val="115"/>
        </w:rPr>
        <w:t>peut</w:t>
      </w:r>
      <w:r>
        <w:rPr>
          <w:color w:val="231F20"/>
          <w:spacing w:val="-6"/>
          <w:w w:val="115"/>
        </w:rPr>
        <w:t> </w:t>
      </w:r>
      <w:r>
        <w:rPr>
          <w:color w:val="231F20"/>
          <w:w w:val="115"/>
        </w:rPr>
        <w:t>varier</w:t>
      </w:r>
      <w:r>
        <w:rPr>
          <w:color w:val="231F20"/>
          <w:spacing w:val="-6"/>
          <w:w w:val="115"/>
        </w:rPr>
        <w:t> </w:t>
      </w:r>
      <w:r>
        <w:rPr>
          <w:color w:val="231F20"/>
          <w:w w:val="115"/>
        </w:rPr>
        <w:t>d’une </w:t>
      </w:r>
      <w:r>
        <w:rPr>
          <w:color w:val="231F20"/>
          <w:spacing w:val="-2"/>
          <w:w w:val="120"/>
        </w:rPr>
        <w:t>étude</w:t>
      </w:r>
      <w:r>
        <w:rPr>
          <w:color w:val="231F20"/>
          <w:spacing w:val="-11"/>
          <w:w w:val="120"/>
        </w:rPr>
        <w:t> </w:t>
      </w:r>
      <w:r>
        <w:rPr>
          <w:color w:val="231F20"/>
          <w:spacing w:val="-2"/>
          <w:w w:val="120"/>
        </w:rPr>
        <w:t>à</w:t>
      </w:r>
      <w:r>
        <w:rPr>
          <w:color w:val="231F20"/>
          <w:spacing w:val="-11"/>
          <w:w w:val="120"/>
        </w:rPr>
        <w:t> </w:t>
      </w:r>
      <w:r>
        <w:rPr>
          <w:color w:val="231F20"/>
          <w:spacing w:val="-2"/>
          <w:w w:val="120"/>
        </w:rPr>
        <w:t>l’autre,</w:t>
      </w:r>
      <w:r>
        <w:rPr>
          <w:color w:val="231F20"/>
          <w:spacing w:val="-11"/>
          <w:w w:val="120"/>
        </w:rPr>
        <w:t> </w:t>
      </w:r>
      <w:r>
        <w:rPr>
          <w:color w:val="231F20"/>
          <w:spacing w:val="-2"/>
          <w:w w:val="120"/>
        </w:rPr>
        <w:t>en</w:t>
      </w:r>
      <w:r>
        <w:rPr>
          <w:color w:val="231F20"/>
          <w:spacing w:val="-10"/>
          <w:w w:val="120"/>
        </w:rPr>
        <w:t> </w:t>
      </w:r>
      <w:r>
        <w:rPr>
          <w:color w:val="231F20"/>
          <w:spacing w:val="-2"/>
          <w:w w:val="120"/>
        </w:rPr>
        <w:t>fonction</w:t>
      </w:r>
      <w:r>
        <w:rPr>
          <w:color w:val="231F20"/>
          <w:spacing w:val="-11"/>
          <w:w w:val="120"/>
        </w:rPr>
        <w:t> </w:t>
      </w:r>
      <w:r>
        <w:rPr>
          <w:color w:val="231F20"/>
          <w:spacing w:val="-2"/>
          <w:w w:val="120"/>
        </w:rPr>
        <w:t>des</w:t>
      </w:r>
      <w:r>
        <w:rPr>
          <w:color w:val="231F20"/>
          <w:spacing w:val="-11"/>
          <w:w w:val="120"/>
        </w:rPr>
        <w:t> </w:t>
      </w:r>
      <w:r>
        <w:rPr>
          <w:color w:val="231F20"/>
          <w:spacing w:val="-2"/>
          <w:w w:val="120"/>
        </w:rPr>
        <w:t>paramètres</w:t>
      </w:r>
      <w:r>
        <w:rPr>
          <w:color w:val="231F20"/>
          <w:spacing w:val="-11"/>
          <w:w w:val="120"/>
        </w:rPr>
        <w:t> </w:t>
      </w:r>
      <w:r>
        <w:rPr>
          <w:color w:val="231F20"/>
          <w:spacing w:val="-2"/>
          <w:w w:val="120"/>
        </w:rPr>
        <w:t>de</w:t>
      </w:r>
      <w:r>
        <w:rPr>
          <w:color w:val="231F20"/>
          <w:spacing w:val="-10"/>
          <w:w w:val="120"/>
        </w:rPr>
        <w:t> </w:t>
      </w:r>
      <w:r>
        <w:rPr>
          <w:color w:val="231F20"/>
          <w:spacing w:val="-2"/>
          <w:w w:val="120"/>
        </w:rPr>
        <w:t>calcul,</w:t>
      </w:r>
      <w:r>
        <w:rPr>
          <w:color w:val="231F20"/>
          <w:spacing w:val="-11"/>
          <w:w w:val="120"/>
        </w:rPr>
        <w:t> </w:t>
      </w:r>
      <w:r>
        <w:rPr>
          <w:color w:val="231F20"/>
          <w:spacing w:val="-2"/>
          <w:w w:val="120"/>
        </w:rPr>
        <w:t>le</w:t>
      </w:r>
      <w:r>
        <w:rPr>
          <w:color w:val="231F20"/>
          <w:spacing w:val="-11"/>
          <w:w w:val="120"/>
        </w:rPr>
        <w:t> </w:t>
      </w:r>
      <w:r>
        <w:rPr>
          <w:color w:val="231F20"/>
          <w:spacing w:val="-2"/>
          <w:w w:val="120"/>
        </w:rPr>
        <w:t>message</w:t>
      </w:r>
      <w:r>
        <w:rPr>
          <w:color w:val="231F20"/>
          <w:spacing w:val="-11"/>
          <w:w w:val="120"/>
        </w:rPr>
        <w:t> </w:t>
      </w:r>
      <w:r>
        <w:rPr>
          <w:color w:val="231F20"/>
          <w:spacing w:val="-2"/>
          <w:w w:val="120"/>
        </w:rPr>
        <w:t>demeure </w:t>
      </w:r>
      <w:r>
        <w:rPr>
          <w:color w:val="231F20"/>
          <w:w w:val="120"/>
        </w:rPr>
        <w:t>très</w:t>
      </w:r>
      <w:r>
        <w:rPr>
          <w:color w:val="231F20"/>
          <w:spacing w:val="-12"/>
          <w:w w:val="120"/>
        </w:rPr>
        <w:t> </w:t>
      </w:r>
      <w:r>
        <w:rPr>
          <w:color w:val="231F20"/>
          <w:w w:val="120"/>
        </w:rPr>
        <w:t>clair:</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en</w:t>
      </w:r>
      <w:r>
        <w:rPr>
          <w:color w:val="231F20"/>
          <w:spacing w:val="-12"/>
          <w:w w:val="120"/>
        </w:rPr>
        <w:t> </w:t>
      </w:r>
      <w:r>
        <w:rPr>
          <w:color w:val="231F20"/>
          <w:w w:val="120"/>
        </w:rPr>
        <w:t>milieu</w:t>
      </w:r>
      <w:r>
        <w:rPr>
          <w:color w:val="231F20"/>
          <w:spacing w:val="-12"/>
          <w:w w:val="120"/>
        </w:rPr>
        <w:t> </w:t>
      </w:r>
      <w:r>
        <w:rPr>
          <w:color w:val="231F20"/>
          <w:w w:val="120"/>
        </w:rPr>
        <w:t>de</w:t>
      </w:r>
      <w:r>
        <w:rPr>
          <w:color w:val="231F20"/>
          <w:spacing w:val="-12"/>
          <w:w w:val="120"/>
        </w:rPr>
        <w:t> </w:t>
      </w:r>
      <w:r>
        <w:rPr>
          <w:color w:val="231F20"/>
          <w:w w:val="120"/>
        </w:rPr>
        <w:t>travail</w:t>
      </w:r>
      <w:r>
        <w:rPr>
          <w:color w:val="231F20"/>
          <w:spacing w:val="-12"/>
          <w:w w:val="120"/>
        </w:rPr>
        <w:t> </w:t>
      </w:r>
      <w:r>
        <w:rPr>
          <w:color w:val="231F20"/>
          <w:w w:val="120"/>
        </w:rPr>
        <w:t>a</w:t>
      </w:r>
      <w:r>
        <w:rPr>
          <w:color w:val="231F20"/>
          <w:spacing w:val="-12"/>
          <w:w w:val="120"/>
        </w:rPr>
        <w:t> </w:t>
      </w:r>
      <w:r>
        <w:rPr>
          <w:color w:val="231F20"/>
          <w:w w:val="120"/>
        </w:rPr>
        <w:t>un</w:t>
      </w:r>
      <w:r>
        <w:rPr>
          <w:color w:val="231F20"/>
          <w:spacing w:val="-12"/>
          <w:w w:val="120"/>
        </w:rPr>
        <w:t> </w:t>
      </w:r>
      <w:r>
        <w:rPr>
          <w:color w:val="231F20"/>
          <w:w w:val="120"/>
        </w:rPr>
        <w:t>coût</w:t>
      </w:r>
      <w:r>
        <w:rPr>
          <w:color w:val="231F20"/>
          <w:spacing w:val="-12"/>
          <w:w w:val="120"/>
        </w:rPr>
        <w:t> </w:t>
      </w:r>
      <w:r>
        <w:rPr>
          <w:color w:val="231F20"/>
          <w:w w:val="120"/>
        </w:rPr>
        <w:t>énorme,</w:t>
      </w:r>
      <w:r>
        <w:rPr>
          <w:color w:val="231F20"/>
          <w:spacing w:val="-12"/>
          <w:w w:val="120"/>
        </w:rPr>
        <w:t> </w:t>
      </w:r>
      <w:r>
        <w:rPr>
          <w:color w:val="231F20"/>
          <w:w w:val="120"/>
        </w:rPr>
        <w:t>et</w:t>
      </w:r>
      <w:r>
        <w:rPr>
          <w:color w:val="231F20"/>
          <w:spacing w:val="-12"/>
          <w:w w:val="120"/>
        </w:rPr>
        <w:t> </w:t>
      </w:r>
      <w:r>
        <w:rPr>
          <w:color w:val="231F20"/>
          <w:w w:val="120"/>
        </w:rPr>
        <w:t>en</w:t>
      </w:r>
      <w:r>
        <w:rPr>
          <w:color w:val="231F20"/>
          <w:spacing w:val="-12"/>
          <w:w w:val="120"/>
        </w:rPr>
        <w:t> </w:t>
      </w:r>
      <w:r>
        <w:rPr>
          <w:color w:val="231F20"/>
          <w:w w:val="120"/>
        </w:rPr>
        <w:t>l’absence de</w:t>
      </w:r>
      <w:r>
        <w:rPr>
          <w:color w:val="231F20"/>
          <w:spacing w:val="-11"/>
          <w:w w:val="120"/>
        </w:rPr>
        <w:t> </w:t>
      </w:r>
      <w:r>
        <w:rPr>
          <w:color w:val="231F20"/>
          <w:w w:val="120"/>
        </w:rPr>
        <w:t>mesures</w:t>
      </w:r>
      <w:r>
        <w:rPr>
          <w:color w:val="231F20"/>
          <w:spacing w:val="-11"/>
          <w:w w:val="120"/>
        </w:rPr>
        <w:t> </w:t>
      </w:r>
      <w:r>
        <w:rPr>
          <w:color w:val="231F20"/>
          <w:w w:val="120"/>
        </w:rPr>
        <w:t>opportunes,</w:t>
      </w:r>
      <w:r>
        <w:rPr>
          <w:color w:val="231F20"/>
          <w:spacing w:val="-11"/>
          <w:w w:val="120"/>
        </w:rPr>
        <w:t> </w:t>
      </w:r>
      <w:r>
        <w:rPr>
          <w:color w:val="231F20"/>
          <w:w w:val="120"/>
        </w:rPr>
        <w:t>il</w:t>
      </w:r>
      <w:r>
        <w:rPr>
          <w:color w:val="231F20"/>
          <w:spacing w:val="-11"/>
          <w:w w:val="120"/>
        </w:rPr>
        <w:t> </w:t>
      </w:r>
      <w:r>
        <w:rPr>
          <w:color w:val="231F20"/>
          <w:w w:val="120"/>
        </w:rPr>
        <w:t>ne</w:t>
      </w:r>
      <w:r>
        <w:rPr>
          <w:color w:val="231F20"/>
          <w:spacing w:val="-11"/>
          <w:w w:val="120"/>
        </w:rPr>
        <w:t> </w:t>
      </w:r>
      <w:r>
        <w:rPr>
          <w:color w:val="231F20"/>
          <w:w w:val="120"/>
        </w:rPr>
        <w:t>fait</w:t>
      </w:r>
      <w:r>
        <w:rPr>
          <w:color w:val="231F20"/>
          <w:spacing w:val="-11"/>
          <w:w w:val="120"/>
        </w:rPr>
        <w:t> </w:t>
      </w:r>
      <w:r>
        <w:rPr>
          <w:color w:val="231F20"/>
          <w:w w:val="120"/>
        </w:rPr>
        <w:t>pas</w:t>
      </w:r>
      <w:r>
        <w:rPr>
          <w:color w:val="231F20"/>
          <w:spacing w:val="-11"/>
          <w:w w:val="120"/>
        </w:rPr>
        <w:t> </w:t>
      </w:r>
      <w:r>
        <w:rPr>
          <w:color w:val="231F20"/>
          <w:w w:val="120"/>
        </w:rPr>
        <w:t>de</w:t>
      </w:r>
      <w:r>
        <w:rPr>
          <w:color w:val="231F20"/>
          <w:spacing w:val="-11"/>
          <w:w w:val="120"/>
        </w:rPr>
        <w:t> </w:t>
      </w:r>
      <w:r>
        <w:rPr>
          <w:color w:val="231F20"/>
          <w:w w:val="120"/>
        </w:rPr>
        <w:t>doute</w:t>
      </w:r>
      <w:r>
        <w:rPr>
          <w:color w:val="231F20"/>
          <w:spacing w:val="-11"/>
          <w:w w:val="120"/>
        </w:rPr>
        <w:t> </w:t>
      </w:r>
      <w:r>
        <w:rPr>
          <w:color w:val="231F20"/>
          <w:w w:val="120"/>
        </w:rPr>
        <w:t>que</w:t>
      </w:r>
      <w:r>
        <w:rPr>
          <w:color w:val="231F20"/>
          <w:spacing w:val="-11"/>
          <w:w w:val="120"/>
        </w:rPr>
        <w:t> </w:t>
      </w:r>
      <w:r>
        <w:rPr>
          <w:color w:val="231F20"/>
          <w:w w:val="120"/>
        </w:rPr>
        <w:t>ce</w:t>
      </w:r>
      <w:r>
        <w:rPr>
          <w:color w:val="231F20"/>
          <w:spacing w:val="-11"/>
          <w:w w:val="120"/>
        </w:rPr>
        <w:t> </w:t>
      </w:r>
      <w:r>
        <w:rPr>
          <w:color w:val="231F20"/>
          <w:w w:val="120"/>
        </w:rPr>
        <w:t>coût</w:t>
      </w:r>
      <w:r>
        <w:rPr>
          <w:color w:val="231F20"/>
          <w:spacing w:val="-11"/>
          <w:w w:val="120"/>
        </w:rPr>
        <w:t> </w:t>
      </w:r>
      <w:r>
        <w:rPr>
          <w:color w:val="231F20"/>
          <w:w w:val="120"/>
        </w:rPr>
        <w:t>connaîtra</w:t>
      </w:r>
      <w:r>
        <w:rPr>
          <w:color w:val="231F20"/>
          <w:spacing w:val="-11"/>
          <w:w w:val="120"/>
        </w:rPr>
        <w:t> </w:t>
      </w:r>
      <w:r>
        <w:rPr>
          <w:color w:val="231F20"/>
          <w:w w:val="120"/>
        </w:rPr>
        <w:t>une </w:t>
      </w:r>
      <w:r>
        <w:rPr>
          <w:color w:val="231F20"/>
          <w:w w:val="115"/>
        </w:rPr>
        <w:t>progression</w:t>
      </w:r>
      <w:r>
        <w:rPr>
          <w:color w:val="231F20"/>
          <w:spacing w:val="-4"/>
          <w:w w:val="115"/>
        </w:rPr>
        <w:t> </w:t>
      </w:r>
      <w:r>
        <w:rPr>
          <w:color w:val="231F20"/>
          <w:w w:val="115"/>
        </w:rPr>
        <w:t>constante.</w:t>
      </w:r>
      <w:r>
        <w:rPr>
          <w:color w:val="231F20"/>
          <w:spacing w:val="-4"/>
          <w:w w:val="115"/>
        </w:rPr>
        <w:t> </w:t>
      </w:r>
      <w:r>
        <w:rPr>
          <w:color w:val="231F20"/>
          <w:w w:val="115"/>
        </w:rPr>
        <w:t>C’est</w:t>
      </w:r>
      <w:r>
        <w:rPr>
          <w:color w:val="231F20"/>
          <w:spacing w:val="-4"/>
          <w:w w:val="115"/>
        </w:rPr>
        <w:t> </w:t>
      </w:r>
      <w:r>
        <w:rPr>
          <w:color w:val="231F20"/>
          <w:w w:val="115"/>
        </w:rPr>
        <w:t>pourquoi</w:t>
      </w:r>
      <w:r>
        <w:rPr>
          <w:color w:val="231F20"/>
          <w:spacing w:val="-4"/>
          <w:w w:val="115"/>
        </w:rPr>
        <w:t> </w:t>
      </w:r>
      <w:r>
        <w:rPr>
          <w:color w:val="231F20"/>
          <w:w w:val="115"/>
        </w:rPr>
        <w:t>un</w:t>
      </w:r>
      <w:r>
        <w:rPr>
          <w:color w:val="231F20"/>
          <w:spacing w:val="-4"/>
          <w:w w:val="115"/>
        </w:rPr>
        <w:t> </w:t>
      </w:r>
      <w:r>
        <w:rPr>
          <w:color w:val="231F20"/>
          <w:w w:val="115"/>
        </w:rPr>
        <w:t>programme</w:t>
      </w:r>
      <w:r>
        <w:rPr>
          <w:color w:val="231F20"/>
          <w:spacing w:val="-4"/>
          <w:w w:val="115"/>
        </w:rPr>
        <w:t> </w:t>
      </w:r>
      <w:r>
        <w:rPr>
          <w:color w:val="231F20"/>
          <w:w w:val="115"/>
        </w:rPr>
        <w:t>axé</w:t>
      </w:r>
      <w:r>
        <w:rPr>
          <w:color w:val="231F20"/>
          <w:spacing w:val="-4"/>
          <w:w w:val="115"/>
        </w:rPr>
        <w:t> </w:t>
      </w:r>
      <w:r>
        <w:rPr>
          <w:color w:val="231F20"/>
          <w:w w:val="115"/>
        </w:rPr>
        <w:t>sur</w:t>
      </w:r>
      <w:r>
        <w:rPr>
          <w:color w:val="231F20"/>
          <w:spacing w:val="-4"/>
          <w:w w:val="115"/>
        </w:rPr>
        <w:t> </w:t>
      </w:r>
      <w:r>
        <w:rPr>
          <w:color w:val="231F20"/>
          <w:w w:val="115"/>
        </w:rPr>
        <w:t>la</w:t>
      </w:r>
      <w:r>
        <w:rPr>
          <w:color w:val="231F20"/>
          <w:spacing w:val="-4"/>
          <w:w w:val="115"/>
        </w:rPr>
        <w:t> </w:t>
      </w:r>
      <w:r>
        <w:rPr>
          <w:color w:val="231F20"/>
          <w:w w:val="115"/>
        </w:rPr>
        <w:t>réduction </w:t>
      </w:r>
      <w:r>
        <w:rPr>
          <w:color w:val="231F20"/>
          <w:w w:val="120"/>
        </w:rPr>
        <w:t>des</w:t>
      </w:r>
      <w:r>
        <w:rPr>
          <w:color w:val="231F20"/>
          <w:spacing w:val="-8"/>
          <w:w w:val="120"/>
        </w:rPr>
        <w:t> </w:t>
      </w:r>
      <w:r>
        <w:rPr>
          <w:color w:val="231F20"/>
          <w:w w:val="120"/>
        </w:rPr>
        <w:t>coûts</w:t>
      </w:r>
      <w:r>
        <w:rPr>
          <w:color w:val="231F20"/>
          <w:spacing w:val="-8"/>
          <w:w w:val="120"/>
        </w:rPr>
        <w:t> </w:t>
      </w:r>
      <w:r>
        <w:rPr>
          <w:color w:val="231F20"/>
          <w:w w:val="120"/>
        </w:rPr>
        <w:t>occasionnés</w:t>
      </w:r>
      <w:r>
        <w:rPr>
          <w:color w:val="231F20"/>
          <w:spacing w:val="-8"/>
          <w:w w:val="120"/>
        </w:rPr>
        <w:t> </w:t>
      </w:r>
      <w:r>
        <w:rPr>
          <w:color w:val="231F20"/>
          <w:w w:val="120"/>
        </w:rPr>
        <w:t>par</w:t>
      </w:r>
      <w:r>
        <w:rPr>
          <w:color w:val="231F20"/>
          <w:spacing w:val="-8"/>
          <w:w w:val="120"/>
        </w:rPr>
        <w:t> </w:t>
      </w:r>
      <w:r>
        <w:rPr>
          <w:color w:val="231F20"/>
          <w:w w:val="120"/>
        </w:rPr>
        <w:t>le</w:t>
      </w:r>
      <w:r>
        <w:rPr>
          <w:color w:val="231F20"/>
          <w:spacing w:val="-8"/>
          <w:w w:val="120"/>
        </w:rPr>
        <w:t> </w:t>
      </w:r>
      <w:r>
        <w:rPr>
          <w:color w:val="231F20"/>
          <w:w w:val="120"/>
        </w:rPr>
        <w:t>stress</w:t>
      </w:r>
      <w:r>
        <w:rPr>
          <w:color w:val="231F20"/>
          <w:spacing w:val="-8"/>
          <w:w w:val="120"/>
        </w:rPr>
        <w:t> </w:t>
      </w:r>
      <w:r>
        <w:rPr>
          <w:color w:val="231F20"/>
          <w:w w:val="120"/>
        </w:rPr>
        <w:t>ne</w:t>
      </w:r>
      <w:r>
        <w:rPr>
          <w:color w:val="231F20"/>
          <w:spacing w:val="-8"/>
          <w:w w:val="120"/>
        </w:rPr>
        <w:t> </w:t>
      </w:r>
      <w:r>
        <w:rPr>
          <w:color w:val="231F20"/>
          <w:w w:val="120"/>
        </w:rPr>
        <w:t>peut</w:t>
      </w:r>
      <w:r>
        <w:rPr>
          <w:color w:val="231F20"/>
          <w:spacing w:val="-8"/>
          <w:w w:val="120"/>
        </w:rPr>
        <w:t> </w:t>
      </w:r>
      <w:r>
        <w:rPr>
          <w:color w:val="231F20"/>
          <w:w w:val="120"/>
        </w:rPr>
        <w:t>qu’être</w:t>
      </w:r>
      <w:r>
        <w:rPr>
          <w:color w:val="231F20"/>
          <w:spacing w:val="-8"/>
          <w:w w:val="120"/>
        </w:rPr>
        <w:t> </w:t>
      </w:r>
      <w:r>
        <w:rPr>
          <w:color w:val="231F20"/>
          <w:w w:val="120"/>
        </w:rPr>
        <w:t>très</w:t>
      </w:r>
      <w:r>
        <w:rPr>
          <w:color w:val="231F20"/>
          <w:spacing w:val="-8"/>
          <w:w w:val="120"/>
        </w:rPr>
        <w:t> </w:t>
      </w:r>
      <w:r>
        <w:rPr>
          <w:color w:val="231F20"/>
          <w:w w:val="120"/>
        </w:rPr>
        <w:t>bénéfique,</w:t>
      </w:r>
      <w:r>
        <w:rPr>
          <w:color w:val="231F20"/>
          <w:spacing w:val="-8"/>
          <w:w w:val="120"/>
        </w:rPr>
        <w:t> </w:t>
      </w:r>
      <w:r>
        <w:rPr>
          <w:color w:val="231F20"/>
          <w:w w:val="120"/>
        </w:rPr>
        <w:t>voire </w:t>
      </w:r>
      <w:r>
        <w:rPr>
          <w:color w:val="231F20"/>
          <w:spacing w:val="-2"/>
          <w:w w:val="120"/>
        </w:rPr>
        <w:t>essentiel,</w:t>
      </w:r>
      <w:r>
        <w:rPr>
          <w:color w:val="231F20"/>
          <w:spacing w:val="-6"/>
          <w:w w:val="120"/>
        </w:rPr>
        <w:t> </w:t>
      </w:r>
      <w:r>
        <w:rPr>
          <w:color w:val="231F20"/>
          <w:spacing w:val="-2"/>
          <w:w w:val="120"/>
        </w:rPr>
        <w:t>pour</w:t>
      </w:r>
      <w:r>
        <w:rPr>
          <w:color w:val="231F20"/>
          <w:spacing w:val="-6"/>
          <w:w w:val="120"/>
        </w:rPr>
        <w:t> </w:t>
      </w:r>
      <w:r>
        <w:rPr>
          <w:color w:val="231F20"/>
          <w:spacing w:val="-2"/>
          <w:w w:val="120"/>
        </w:rPr>
        <w:t>l’entreprise.</w:t>
      </w:r>
      <w:r>
        <w:rPr>
          <w:color w:val="231F20"/>
          <w:spacing w:val="-6"/>
          <w:w w:val="120"/>
        </w:rPr>
        <w:t> </w:t>
      </w:r>
      <w:r>
        <w:rPr>
          <w:color w:val="231F20"/>
          <w:spacing w:val="-2"/>
          <w:w w:val="120"/>
        </w:rPr>
        <w:t>Les</w:t>
      </w:r>
      <w:r>
        <w:rPr>
          <w:color w:val="231F20"/>
          <w:spacing w:val="-6"/>
          <w:w w:val="120"/>
        </w:rPr>
        <w:t> </w:t>
      </w:r>
      <w:r>
        <w:rPr>
          <w:color w:val="231F20"/>
          <w:spacing w:val="-2"/>
          <w:w w:val="120"/>
        </w:rPr>
        <w:t>programmes</w:t>
      </w:r>
      <w:r>
        <w:rPr>
          <w:color w:val="231F20"/>
          <w:spacing w:val="-6"/>
          <w:w w:val="120"/>
        </w:rPr>
        <w:t> </w:t>
      </w:r>
      <w:r>
        <w:rPr>
          <w:color w:val="231F20"/>
          <w:spacing w:val="-2"/>
          <w:w w:val="120"/>
        </w:rPr>
        <w:t>d’intervention</w:t>
      </w:r>
      <w:r>
        <w:rPr>
          <w:color w:val="231F20"/>
          <w:spacing w:val="-6"/>
          <w:w w:val="120"/>
        </w:rPr>
        <w:t> </w:t>
      </w:r>
      <w:r>
        <w:rPr>
          <w:color w:val="231F20"/>
          <w:spacing w:val="-2"/>
          <w:w w:val="120"/>
        </w:rPr>
        <w:t>pour</w:t>
      </w:r>
      <w:r>
        <w:rPr>
          <w:color w:val="231F20"/>
          <w:spacing w:val="-6"/>
          <w:w w:val="120"/>
        </w:rPr>
        <w:t> </w:t>
      </w:r>
      <w:r>
        <w:rPr>
          <w:color w:val="231F20"/>
          <w:spacing w:val="-2"/>
          <w:w w:val="120"/>
        </w:rPr>
        <w:t>contrer </w:t>
      </w:r>
      <w:r>
        <w:rPr>
          <w:color w:val="231F20"/>
          <w:w w:val="120"/>
        </w:rPr>
        <w:t>le</w:t>
      </w:r>
      <w:r>
        <w:rPr>
          <w:color w:val="231F20"/>
          <w:spacing w:val="-1"/>
          <w:w w:val="120"/>
        </w:rPr>
        <w:t> </w:t>
      </w:r>
      <w:r>
        <w:rPr>
          <w:color w:val="231F20"/>
          <w:w w:val="120"/>
        </w:rPr>
        <w:t>stress</w:t>
      </w:r>
      <w:r>
        <w:rPr>
          <w:color w:val="231F20"/>
          <w:spacing w:val="-1"/>
          <w:w w:val="120"/>
        </w:rPr>
        <w:t> </w:t>
      </w:r>
      <w:r>
        <w:rPr>
          <w:color w:val="231F20"/>
          <w:w w:val="120"/>
        </w:rPr>
        <w:t>et</w:t>
      </w:r>
      <w:r>
        <w:rPr>
          <w:color w:val="231F20"/>
          <w:spacing w:val="-1"/>
          <w:w w:val="120"/>
        </w:rPr>
        <w:t> </w:t>
      </w:r>
      <w:r>
        <w:rPr>
          <w:color w:val="231F20"/>
          <w:w w:val="120"/>
        </w:rPr>
        <w:t>promouvoir</w:t>
      </w:r>
      <w:r>
        <w:rPr>
          <w:color w:val="231F20"/>
          <w:spacing w:val="-1"/>
          <w:w w:val="120"/>
        </w:rPr>
        <w:t> </w:t>
      </w:r>
      <w:r>
        <w:rPr>
          <w:color w:val="231F20"/>
          <w:w w:val="120"/>
        </w:rPr>
        <w:t>la</w:t>
      </w:r>
      <w:r>
        <w:rPr>
          <w:color w:val="231F20"/>
          <w:spacing w:val="-1"/>
          <w:w w:val="120"/>
        </w:rPr>
        <w:t> </w:t>
      </w:r>
      <w:r>
        <w:rPr>
          <w:color w:val="231F20"/>
          <w:w w:val="120"/>
        </w:rPr>
        <w:t>santé</w:t>
      </w:r>
      <w:r>
        <w:rPr>
          <w:color w:val="231F20"/>
          <w:spacing w:val="-1"/>
          <w:w w:val="120"/>
        </w:rPr>
        <w:t> </w:t>
      </w:r>
      <w:r>
        <w:rPr>
          <w:color w:val="231F20"/>
          <w:w w:val="120"/>
        </w:rPr>
        <w:t>psychologique</w:t>
      </w:r>
      <w:r>
        <w:rPr>
          <w:color w:val="231F20"/>
          <w:spacing w:val="-1"/>
          <w:w w:val="120"/>
        </w:rPr>
        <w:t> </w:t>
      </w:r>
      <w:r>
        <w:rPr>
          <w:color w:val="231F20"/>
          <w:w w:val="120"/>
        </w:rPr>
        <w:t>au</w:t>
      </w:r>
      <w:r>
        <w:rPr>
          <w:color w:val="231F20"/>
          <w:spacing w:val="-1"/>
          <w:w w:val="120"/>
        </w:rPr>
        <w:t> </w:t>
      </w:r>
      <w:r>
        <w:rPr>
          <w:color w:val="231F20"/>
          <w:w w:val="120"/>
        </w:rPr>
        <w:t>travail</w:t>
      </w:r>
      <w:r>
        <w:rPr>
          <w:color w:val="231F20"/>
          <w:spacing w:val="-1"/>
          <w:w w:val="120"/>
        </w:rPr>
        <w:t> </w:t>
      </w:r>
      <w:r>
        <w:rPr>
          <w:color w:val="231F20"/>
          <w:w w:val="120"/>
        </w:rPr>
        <w:t>sont</w:t>
      </w:r>
      <w:r>
        <w:rPr>
          <w:color w:val="231F20"/>
          <w:spacing w:val="-1"/>
          <w:w w:val="120"/>
        </w:rPr>
        <w:t> </w:t>
      </w:r>
      <w:r>
        <w:rPr>
          <w:color w:val="231F20"/>
          <w:w w:val="120"/>
        </w:rPr>
        <w:t>variés</w:t>
      </w:r>
      <w:r>
        <w:rPr>
          <w:color w:val="231F20"/>
          <w:spacing w:val="-1"/>
          <w:w w:val="120"/>
        </w:rPr>
        <w:t> </w:t>
      </w:r>
      <w:r>
        <w:rPr>
          <w:color w:val="231F20"/>
          <w:w w:val="120"/>
        </w:rPr>
        <w:t>et </w:t>
      </w:r>
      <w:r>
        <w:rPr>
          <w:color w:val="231F20"/>
          <w:spacing w:val="-2"/>
          <w:w w:val="120"/>
        </w:rPr>
        <w:t>s’adaptent</w:t>
      </w:r>
      <w:r>
        <w:rPr>
          <w:color w:val="231F20"/>
          <w:spacing w:val="-6"/>
          <w:w w:val="120"/>
        </w:rPr>
        <w:t> </w:t>
      </w:r>
      <w:r>
        <w:rPr>
          <w:color w:val="231F20"/>
          <w:spacing w:val="-2"/>
          <w:w w:val="120"/>
        </w:rPr>
        <w:t>à</w:t>
      </w:r>
      <w:r>
        <w:rPr>
          <w:color w:val="231F20"/>
          <w:spacing w:val="-6"/>
          <w:w w:val="120"/>
        </w:rPr>
        <w:t> </w:t>
      </w:r>
      <w:r>
        <w:rPr>
          <w:color w:val="231F20"/>
          <w:spacing w:val="-2"/>
          <w:w w:val="120"/>
        </w:rPr>
        <w:t>divers</w:t>
      </w:r>
      <w:r>
        <w:rPr>
          <w:color w:val="231F20"/>
          <w:spacing w:val="-6"/>
          <w:w w:val="120"/>
        </w:rPr>
        <w:t> </w:t>
      </w:r>
      <w:r>
        <w:rPr>
          <w:color w:val="231F20"/>
          <w:spacing w:val="-2"/>
          <w:w w:val="120"/>
        </w:rPr>
        <w:t>contextes</w:t>
      </w:r>
      <w:r>
        <w:rPr>
          <w:color w:val="231F20"/>
          <w:spacing w:val="-6"/>
          <w:w w:val="120"/>
        </w:rPr>
        <w:t> </w:t>
      </w:r>
      <w:r>
        <w:rPr>
          <w:color w:val="231F20"/>
          <w:spacing w:val="-2"/>
          <w:w w:val="120"/>
        </w:rPr>
        <w:t>organisationnels.</w:t>
      </w:r>
      <w:r>
        <w:rPr>
          <w:color w:val="231F20"/>
          <w:spacing w:val="-6"/>
          <w:w w:val="120"/>
        </w:rPr>
        <w:t> </w:t>
      </w:r>
      <w:r>
        <w:rPr>
          <w:color w:val="231F20"/>
          <w:spacing w:val="-2"/>
          <w:w w:val="120"/>
        </w:rPr>
        <w:t>Ces</w:t>
      </w:r>
      <w:r>
        <w:rPr>
          <w:color w:val="231F20"/>
          <w:spacing w:val="-6"/>
          <w:w w:val="120"/>
        </w:rPr>
        <w:t> </w:t>
      </w:r>
      <w:r>
        <w:rPr>
          <w:color w:val="231F20"/>
          <w:spacing w:val="-2"/>
          <w:w w:val="120"/>
        </w:rPr>
        <w:t>programmes</w:t>
      </w:r>
      <w:r>
        <w:rPr>
          <w:color w:val="231F20"/>
          <w:spacing w:val="-6"/>
          <w:w w:val="120"/>
        </w:rPr>
        <w:t> </w:t>
      </w:r>
      <w:r>
        <w:rPr>
          <w:color w:val="231F20"/>
          <w:spacing w:val="-2"/>
          <w:w w:val="120"/>
        </w:rPr>
        <w:t>d’inter- </w:t>
      </w:r>
      <w:r>
        <w:rPr>
          <w:color w:val="231F20"/>
          <w:w w:val="120"/>
        </w:rPr>
        <w:t>vention</w:t>
      </w:r>
      <w:r>
        <w:rPr>
          <w:color w:val="231F20"/>
          <w:spacing w:val="-4"/>
          <w:w w:val="120"/>
        </w:rPr>
        <w:t> </w:t>
      </w:r>
      <w:r>
        <w:rPr>
          <w:color w:val="231F20"/>
          <w:w w:val="120"/>
        </w:rPr>
        <w:t>ont</w:t>
      </w:r>
      <w:r>
        <w:rPr>
          <w:color w:val="231F20"/>
          <w:spacing w:val="-4"/>
          <w:w w:val="120"/>
        </w:rPr>
        <w:t> </w:t>
      </w:r>
      <w:r>
        <w:rPr>
          <w:color w:val="231F20"/>
          <w:w w:val="120"/>
        </w:rPr>
        <w:t>fait</w:t>
      </w:r>
      <w:r>
        <w:rPr>
          <w:color w:val="231F20"/>
          <w:spacing w:val="-4"/>
          <w:w w:val="120"/>
        </w:rPr>
        <w:t> </w:t>
      </w:r>
      <w:r>
        <w:rPr>
          <w:color w:val="231F20"/>
          <w:w w:val="120"/>
        </w:rPr>
        <w:t>leurs</w:t>
      </w:r>
      <w:r>
        <w:rPr>
          <w:color w:val="231F20"/>
          <w:spacing w:val="-4"/>
          <w:w w:val="120"/>
        </w:rPr>
        <w:t> </w:t>
      </w:r>
      <w:r>
        <w:rPr>
          <w:color w:val="231F20"/>
          <w:w w:val="120"/>
        </w:rPr>
        <w:t>preuves</w:t>
      </w:r>
      <w:r>
        <w:rPr>
          <w:color w:val="231F20"/>
          <w:spacing w:val="-4"/>
          <w:w w:val="120"/>
        </w:rPr>
        <w:t> </w:t>
      </w:r>
      <w:r>
        <w:rPr>
          <w:color w:val="231F20"/>
          <w:w w:val="120"/>
        </w:rPr>
        <w:t>et</w:t>
      </w:r>
      <w:r>
        <w:rPr>
          <w:color w:val="231F20"/>
          <w:spacing w:val="-4"/>
          <w:w w:val="120"/>
        </w:rPr>
        <w:t> </w:t>
      </w:r>
      <w:r>
        <w:rPr>
          <w:color w:val="231F20"/>
          <w:w w:val="120"/>
        </w:rPr>
        <w:t>permettent</w:t>
      </w:r>
      <w:r>
        <w:rPr>
          <w:color w:val="231F20"/>
          <w:spacing w:val="-4"/>
          <w:w w:val="120"/>
        </w:rPr>
        <w:t> </w:t>
      </w:r>
      <w:r>
        <w:rPr>
          <w:color w:val="231F20"/>
          <w:w w:val="120"/>
        </w:rPr>
        <w:t>d’assurer</w:t>
      </w:r>
      <w:r>
        <w:rPr>
          <w:color w:val="231F20"/>
          <w:spacing w:val="-4"/>
          <w:w w:val="120"/>
        </w:rPr>
        <w:t> </w:t>
      </w:r>
      <w:r>
        <w:rPr>
          <w:color w:val="231F20"/>
          <w:w w:val="120"/>
        </w:rPr>
        <w:t>une</w:t>
      </w:r>
      <w:r>
        <w:rPr>
          <w:color w:val="231F20"/>
          <w:spacing w:val="-4"/>
          <w:w w:val="120"/>
        </w:rPr>
        <w:t> </w:t>
      </w:r>
      <w:r>
        <w:rPr>
          <w:color w:val="231F20"/>
          <w:w w:val="120"/>
        </w:rPr>
        <w:t>saine</w:t>
      </w:r>
      <w:r>
        <w:rPr>
          <w:color w:val="231F20"/>
          <w:spacing w:val="-4"/>
          <w:w w:val="120"/>
        </w:rPr>
        <w:t> </w:t>
      </w:r>
      <w:r>
        <w:rPr>
          <w:color w:val="231F20"/>
          <w:w w:val="120"/>
        </w:rPr>
        <w:t>gestion du mieux-être au travail et ainsi soutenir l’efficacité et la performance de</w:t>
      </w:r>
      <w:r>
        <w:rPr>
          <w:color w:val="231F20"/>
          <w:spacing w:val="-13"/>
          <w:w w:val="120"/>
        </w:rPr>
        <w:t> </w:t>
      </w:r>
      <w:r>
        <w:rPr>
          <w:color w:val="231F20"/>
          <w:w w:val="120"/>
        </w:rPr>
        <w:t>l’organisation19.</w:t>
      </w:r>
    </w:p>
    <w:p>
      <w:pPr>
        <w:pStyle w:val="BodyText"/>
        <w:rPr>
          <w:sz w:val="24"/>
        </w:rPr>
      </w:pPr>
    </w:p>
    <w:p>
      <w:pPr>
        <w:pStyle w:val="Heading2"/>
        <w:numPr>
          <w:ilvl w:val="1"/>
          <w:numId w:val="40"/>
        </w:numPr>
        <w:tabs>
          <w:tab w:pos="911" w:val="left" w:leader="none"/>
          <w:tab w:pos="1219" w:val="left" w:leader="none"/>
        </w:tabs>
        <w:spacing w:line="240" w:lineRule="auto" w:before="183" w:after="0"/>
        <w:ind w:left="910" w:right="0" w:hanging="300"/>
        <w:jc w:val="left"/>
      </w:pPr>
      <w:r>
        <w:rPr>
          <w:b w:val="0"/>
          <w:i/>
          <w:color w:val="231F20"/>
          <w:spacing w:val="-10"/>
        </w:rPr>
        <w:t>/</w:t>
      </w:r>
      <w:r>
        <w:rPr>
          <w:b w:val="0"/>
          <w:i/>
          <w:color w:val="231F20"/>
        </w:rPr>
        <w:tab/>
      </w:r>
      <w:r>
        <w:rPr>
          <w:color w:val="231F20"/>
          <w:spacing w:val="-2"/>
          <w:w w:val="95"/>
        </w:rPr>
        <w:t>Post-</w:t>
      </w:r>
      <w:r>
        <w:rPr>
          <w:color w:val="231F20"/>
          <w:spacing w:val="-2"/>
        </w:rPr>
        <w:t>scriptum</w:t>
      </w:r>
    </w:p>
    <w:p>
      <w:pPr>
        <w:pStyle w:val="BodyText"/>
        <w:spacing w:before="9"/>
        <w:rPr>
          <w:rFonts w:ascii="Arial"/>
          <w:b/>
          <w:sz w:val="25"/>
        </w:rPr>
      </w:pPr>
    </w:p>
    <w:p>
      <w:pPr>
        <w:pStyle w:val="BodyText"/>
        <w:spacing w:line="307" w:lineRule="auto"/>
        <w:ind w:left="1220" w:right="105"/>
        <w:jc w:val="both"/>
      </w:pPr>
      <w:r>
        <w:rPr>
          <w:color w:val="231F20"/>
          <w:w w:val="120"/>
        </w:rPr>
        <w:t>Dans</w:t>
      </w:r>
      <w:r>
        <w:rPr>
          <w:color w:val="231F20"/>
          <w:spacing w:val="-11"/>
          <w:w w:val="120"/>
        </w:rPr>
        <w:t> </w:t>
      </w:r>
      <w:r>
        <w:rPr>
          <w:color w:val="231F20"/>
          <w:w w:val="120"/>
        </w:rPr>
        <w:t>ce</w:t>
      </w:r>
      <w:r>
        <w:rPr>
          <w:color w:val="231F20"/>
          <w:spacing w:val="-11"/>
          <w:w w:val="120"/>
        </w:rPr>
        <w:t> </w:t>
      </w:r>
      <w:r>
        <w:rPr>
          <w:color w:val="231F20"/>
          <w:w w:val="120"/>
        </w:rPr>
        <w:t>chapitre,</w:t>
      </w:r>
      <w:r>
        <w:rPr>
          <w:color w:val="231F20"/>
          <w:spacing w:val="-11"/>
          <w:w w:val="120"/>
        </w:rPr>
        <w:t> </w:t>
      </w:r>
      <w:r>
        <w:rPr>
          <w:color w:val="231F20"/>
          <w:w w:val="120"/>
        </w:rPr>
        <w:t>nous</w:t>
      </w:r>
      <w:r>
        <w:rPr>
          <w:color w:val="231F20"/>
          <w:spacing w:val="-11"/>
          <w:w w:val="120"/>
        </w:rPr>
        <w:t> </w:t>
      </w:r>
      <w:r>
        <w:rPr>
          <w:color w:val="231F20"/>
          <w:w w:val="120"/>
        </w:rPr>
        <w:t>avons</w:t>
      </w:r>
      <w:r>
        <w:rPr>
          <w:color w:val="231F20"/>
          <w:spacing w:val="-11"/>
          <w:w w:val="120"/>
        </w:rPr>
        <w:t> </w:t>
      </w:r>
      <w:r>
        <w:rPr>
          <w:color w:val="231F20"/>
          <w:w w:val="120"/>
        </w:rPr>
        <w:t>résumé</w:t>
      </w:r>
      <w:r>
        <w:rPr>
          <w:color w:val="231F20"/>
          <w:spacing w:val="-11"/>
          <w:w w:val="120"/>
        </w:rPr>
        <w:t> </w:t>
      </w:r>
      <w:r>
        <w:rPr>
          <w:color w:val="231F20"/>
          <w:w w:val="120"/>
        </w:rPr>
        <w:t>les</w:t>
      </w:r>
      <w:r>
        <w:rPr>
          <w:color w:val="231F20"/>
          <w:spacing w:val="-11"/>
          <w:w w:val="120"/>
        </w:rPr>
        <w:t> </w:t>
      </w:r>
      <w:r>
        <w:rPr>
          <w:color w:val="231F20"/>
          <w:w w:val="120"/>
        </w:rPr>
        <w:t>principales</w:t>
      </w:r>
      <w:r>
        <w:rPr>
          <w:color w:val="231F20"/>
          <w:spacing w:val="-11"/>
          <w:w w:val="120"/>
        </w:rPr>
        <w:t> </w:t>
      </w:r>
      <w:r>
        <w:rPr>
          <w:color w:val="231F20"/>
          <w:w w:val="120"/>
        </w:rPr>
        <w:t>causes</w:t>
      </w:r>
      <w:r>
        <w:rPr>
          <w:color w:val="231F20"/>
          <w:spacing w:val="-11"/>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lié au</w:t>
      </w:r>
      <w:r>
        <w:rPr>
          <w:color w:val="231F20"/>
          <w:spacing w:val="-13"/>
          <w:w w:val="120"/>
        </w:rPr>
        <w:t> </w:t>
      </w:r>
      <w:r>
        <w:rPr>
          <w:color w:val="231F20"/>
          <w:w w:val="120"/>
        </w:rPr>
        <w:t>travail,</w:t>
      </w:r>
      <w:r>
        <w:rPr>
          <w:color w:val="231F20"/>
          <w:spacing w:val="-13"/>
          <w:w w:val="120"/>
        </w:rPr>
        <w:t> </w:t>
      </w:r>
      <w:r>
        <w:rPr>
          <w:color w:val="231F20"/>
          <w:w w:val="120"/>
        </w:rPr>
        <w:t>ainsi</w:t>
      </w:r>
      <w:r>
        <w:rPr>
          <w:color w:val="231F20"/>
          <w:spacing w:val="-12"/>
          <w:w w:val="120"/>
        </w:rPr>
        <w:t> </w:t>
      </w:r>
      <w:r>
        <w:rPr>
          <w:color w:val="231F20"/>
          <w:w w:val="120"/>
        </w:rPr>
        <w:t>que</w:t>
      </w:r>
      <w:r>
        <w:rPr>
          <w:color w:val="231F20"/>
          <w:spacing w:val="-13"/>
          <w:w w:val="120"/>
        </w:rPr>
        <w:t> </w:t>
      </w:r>
      <w:r>
        <w:rPr>
          <w:color w:val="231F20"/>
          <w:w w:val="120"/>
        </w:rPr>
        <w:t>leurs</w:t>
      </w:r>
      <w:r>
        <w:rPr>
          <w:color w:val="231F20"/>
          <w:spacing w:val="-13"/>
          <w:w w:val="120"/>
        </w:rPr>
        <w:t> </w:t>
      </w:r>
      <w:r>
        <w:rPr>
          <w:color w:val="231F20"/>
          <w:w w:val="120"/>
        </w:rPr>
        <w:t>effets</w:t>
      </w:r>
      <w:r>
        <w:rPr>
          <w:color w:val="231F20"/>
          <w:spacing w:val="-12"/>
          <w:w w:val="120"/>
        </w:rPr>
        <w:t> </w:t>
      </w:r>
      <w:r>
        <w:rPr>
          <w:color w:val="231F20"/>
          <w:w w:val="120"/>
        </w:rPr>
        <w:t>et</w:t>
      </w:r>
      <w:r>
        <w:rPr>
          <w:color w:val="231F20"/>
          <w:spacing w:val="-13"/>
          <w:w w:val="120"/>
        </w:rPr>
        <w:t> </w:t>
      </w:r>
      <w:r>
        <w:rPr>
          <w:color w:val="231F20"/>
          <w:w w:val="120"/>
        </w:rPr>
        <w:t>leurs</w:t>
      </w:r>
      <w:r>
        <w:rPr>
          <w:color w:val="231F20"/>
          <w:spacing w:val="-13"/>
          <w:w w:val="120"/>
        </w:rPr>
        <w:t> </w:t>
      </w:r>
      <w:r>
        <w:rPr>
          <w:color w:val="231F20"/>
          <w:w w:val="120"/>
        </w:rPr>
        <w:t>conséquences</w:t>
      </w:r>
      <w:r>
        <w:rPr>
          <w:color w:val="231F20"/>
          <w:spacing w:val="-12"/>
          <w:w w:val="120"/>
        </w:rPr>
        <w:t> </w:t>
      </w:r>
      <w:r>
        <w:rPr>
          <w:color w:val="231F20"/>
          <w:w w:val="120"/>
        </w:rPr>
        <w:t>sur</w:t>
      </w:r>
      <w:r>
        <w:rPr>
          <w:color w:val="231F20"/>
          <w:spacing w:val="-13"/>
          <w:w w:val="120"/>
        </w:rPr>
        <w:t> </w:t>
      </w:r>
      <w:r>
        <w:rPr>
          <w:color w:val="231F20"/>
          <w:w w:val="120"/>
        </w:rPr>
        <w:t>les</w:t>
      </w:r>
      <w:r>
        <w:rPr>
          <w:color w:val="231F20"/>
          <w:spacing w:val="-13"/>
          <w:w w:val="120"/>
        </w:rPr>
        <w:t> </w:t>
      </w:r>
      <w:r>
        <w:rPr>
          <w:color w:val="231F20"/>
          <w:w w:val="120"/>
        </w:rPr>
        <w:t>plans</w:t>
      </w:r>
      <w:r>
        <w:rPr>
          <w:color w:val="231F20"/>
          <w:spacing w:val="-12"/>
          <w:w w:val="120"/>
        </w:rPr>
        <w:t> </w:t>
      </w:r>
      <w:r>
        <w:rPr>
          <w:color w:val="231F20"/>
          <w:w w:val="120"/>
        </w:rPr>
        <w:t>indi- </w:t>
      </w:r>
      <w:r>
        <w:rPr>
          <w:color w:val="231F20"/>
          <w:spacing w:val="-2"/>
          <w:w w:val="120"/>
        </w:rPr>
        <w:t>viduel</w:t>
      </w:r>
      <w:r>
        <w:rPr>
          <w:color w:val="231F20"/>
          <w:spacing w:val="-3"/>
          <w:w w:val="120"/>
        </w:rPr>
        <w:t> </w:t>
      </w:r>
      <w:r>
        <w:rPr>
          <w:color w:val="231F20"/>
          <w:spacing w:val="-2"/>
          <w:w w:val="120"/>
        </w:rPr>
        <w:t>et</w:t>
      </w:r>
      <w:r>
        <w:rPr>
          <w:color w:val="231F20"/>
          <w:spacing w:val="-3"/>
          <w:w w:val="120"/>
        </w:rPr>
        <w:t> </w:t>
      </w:r>
      <w:r>
        <w:rPr>
          <w:color w:val="231F20"/>
          <w:spacing w:val="-2"/>
          <w:w w:val="120"/>
        </w:rPr>
        <w:t>organisationnel.</w:t>
      </w:r>
      <w:r>
        <w:rPr>
          <w:color w:val="231F20"/>
          <w:spacing w:val="-3"/>
          <w:w w:val="120"/>
        </w:rPr>
        <w:t> </w:t>
      </w:r>
      <w:r>
        <w:rPr>
          <w:color w:val="231F20"/>
          <w:spacing w:val="-2"/>
          <w:w w:val="120"/>
        </w:rPr>
        <w:t>Plusieurs</w:t>
      </w:r>
      <w:r>
        <w:rPr>
          <w:color w:val="231F20"/>
          <w:spacing w:val="-3"/>
          <w:w w:val="120"/>
        </w:rPr>
        <w:t> </w:t>
      </w:r>
      <w:r>
        <w:rPr>
          <w:color w:val="231F20"/>
          <w:spacing w:val="-2"/>
          <w:w w:val="120"/>
        </w:rPr>
        <w:t>facteurs</w:t>
      </w:r>
      <w:r>
        <w:rPr>
          <w:color w:val="231F20"/>
          <w:spacing w:val="-3"/>
          <w:w w:val="120"/>
        </w:rPr>
        <w:t> </w:t>
      </w:r>
      <w:r>
        <w:rPr>
          <w:color w:val="231F20"/>
          <w:spacing w:val="-2"/>
          <w:w w:val="120"/>
        </w:rPr>
        <w:t>interviennent,</w:t>
      </w:r>
      <w:r>
        <w:rPr>
          <w:color w:val="231F20"/>
          <w:spacing w:val="-3"/>
          <w:w w:val="120"/>
        </w:rPr>
        <w:t> </w:t>
      </w:r>
      <w:r>
        <w:rPr>
          <w:color w:val="231F20"/>
          <w:spacing w:val="-2"/>
          <w:w w:val="120"/>
        </w:rPr>
        <w:t>dont</w:t>
      </w:r>
      <w:r>
        <w:rPr>
          <w:color w:val="231F20"/>
          <w:spacing w:val="-3"/>
          <w:w w:val="120"/>
        </w:rPr>
        <w:t> </w:t>
      </w:r>
      <w:r>
        <w:rPr>
          <w:color w:val="231F20"/>
          <w:spacing w:val="-2"/>
          <w:w w:val="120"/>
        </w:rPr>
        <w:t>l’estime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personnelle</w:t>
      </w:r>
      <w:r>
        <w:rPr>
          <w:color w:val="231F20"/>
          <w:spacing w:val="-4"/>
          <w:w w:val="115"/>
        </w:rPr>
        <w:t> </w:t>
      </w:r>
      <w:r>
        <w:rPr>
          <w:color w:val="231F20"/>
          <w:w w:val="115"/>
        </w:rPr>
        <w:t>et</w:t>
      </w:r>
      <w:r>
        <w:rPr>
          <w:color w:val="231F20"/>
          <w:spacing w:val="-4"/>
          <w:w w:val="115"/>
        </w:rPr>
        <w:t> </w:t>
      </w:r>
      <w:r>
        <w:rPr>
          <w:color w:val="231F20"/>
          <w:w w:val="115"/>
        </w:rPr>
        <w:t>l’estime</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organisationnelle,</w:t>
      </w:r>
      <w:r>
        <w:rPr>
          <w:color w:val="231F20"/>
          <w:spacing w:val="-4"/>
          <w:w w:val="115"/>
        </w:rPr>
        <w:t> </w:t>
      </w:r>
      <w:r>
        <w:rPr>
          <w:color w:val="231F20"/>
          <w:w w:val="115"/>
        </w:rPr>
        <w:t>dans</w:t>
      </w:r>
      <w:r>
        <w:rPr>
          <w:color w:val="231F20"/>
          <w:spacing w:val="-4"/>
          <w:w w:val="115"/>
        </w:rPr>
        <w:t> </w:t>
      </w:r>
      <w:r>
        <w:rPr>
          <w:color w:val="231F20"/>
          <w:w w:val="115"/>
        </w:rPr>
        <w:t>la</w:t>
      </w:r>
      <w:r>
        <w:rPr>
          <w:color w:val="231F20"/>
          <w:spacing w:val="-4"/>
          <w:w w:val="115"/>
        </w:rPr>
        <w:t> </w:t>
      </w:r>
      <w:r>
        <w:rPr>
          <w:color w:val="231F20"/>
          <w:w w:val="115"/>
        </w:rPr>
        <w:t>dynamique </w:t>
      </w:r>
      <w:r>
        <w:rPr>
          <w:color w:val="231F20"/>
          <w:w w:val="120"/>
        </w:rPr>
        <w:t>menant</w:t>
      </w:r>
      <w:r>
        <w:rPr>
          <w:color w:val="231F20"/>
          <w:spacing w:val="-14"/>
          <w:w w:val="120"/>
        </w:rPr>
        <w:t> </w:t>
      </w:r>
      <w:r>
        <w:rPr>
          <w:color w:val="231F20"/>
          <w:w w:val="120"/>
        </w:rPr>
        <w:t>à</w:t>
      </w:r>
      <w:r>
        <w:rPr>
          <w:color w:val="231F20"/>
          <w:spacing w:val="-14"/>
          <w:w w:val="120"/>
        </w:rPr>
        <w:t> </w:t>
      </w:r>
      <w:r>
        <w:rPr>
          <w:color w:val="231F20"/>
          <w:w w:val="120"/>
        </w:rPr>
        <w:t>l’apparition</w:t>
      </w:r>
      <w:r>
        <w:rPr>
          <w:color w:val="231F20"/>
          <w:spacing w:val="-14"/>
          <w:w w:val="120"/>
        </w:rPr>
        <w:t> </w:t>
      </w:r>
      <w:r>
        <w:rPr>
          <w:color w:val="231F20"/>
          <w:w w:val="120"/>
        </w:rPr>
        <w:t>d’un</w:t>
      </w:r>
      <w:r>
        <w:rPr>
          <w:color w:val="231F20"/>
          <w:spacing w:val="-14"/>
          <w:w w:val="120"/>
        </w:rPr>
        <w:t> </w:t>
      </w:r>
      <w:r>
        <w:rPr>
          <w:color w:val="231F20"/>
          <w:w w:val="120"/>
        </w:rPr>
        <w:t>état</w:t>
      </w:r>
      <w:r>
        <w:rPr>
          <w:color w:val="231F20"/>
          <w:spacing w:val="-14"/>
          <w:w w:val="120"/>
        </w:rPr>
        <w:t> </w:t>
      </w:r>
      <w:r>
        <w:rPr>
          <w:color w:val="231F20"/>
          <w:w w:val="120"/>
        </w:rPr>
        <w:t>de</w:t>
      </w:r>
      <w:r>
        <w:rPr>
          <w:color w:val="231F20"/>
          <w:spacing w:val="-14"/>
          <w:w w:val="120"/>
        </w:rPr>
        <w:t> </w:t>
      </w:r>
      <w:r>
        <w:rPr>
          <w:color w:val="231F20"/>
          <w:w w:val="120"/>
        </w:rPr>
        <w:t>stress</w:t>
      </w:r>
      <w:r>
        <w:rPr>
          <w:color w:val="231F20"/>
          <w:spacing w:val="-14"/>
          <w:w w:val="120"/>
        </w:rPr>
        <w:t> </w:t>
      </w:r>
      <w:r>
        <w:rPr>
          <w:color w:val="231F20"/>
          <w:w w:val="120"/>
        </w:rPr>
        <w:t>ainsi</w:t>
      </w:r>
      <w:r>
        <w:rPr>
          <w:color w:val="231F20"/>
          <w:spacing w:val="-14"/>
          <w:w w:val="120"/>
        </w:rPr>
        <w:t> </w:t>
      </w:r>
      <w:r>
        <w:rPr>
          <w:color w:val="231F20"/>
          <w:w w:val="120"/>
        </w:rPr>
        <w:t>que</w:t>
      </w:r>
      <w:r>
        <w:rPr>
          <w:color w:val="231F20"/>
          <w:spacing w:val="-14"/>
          <w:w w:val="120"/>
        </w:rPr>
        <w:t> </w:t>
      </w:r>
      <w:r>
        <w:rPr>
          <w:color w:val="231F20"/>
          <w:w w:val="120"/>
        </w:rPr>
        <w:t>sur</w:t>
      </w:r>
      <w:r>
        <w:rPr>
          <w:color w:val="231F20"/>
          <w:spacing w:val="-14"/>
          <w:w w:val="120"/>
        </w:rPr>
        <w:t> </w:t>
      </w:r>
      <w:r>
        <w:rPr>
          <w:color w:val="231F20"/>
          <w:w w:val="120"/>
        </w:rPr>
        <w:t>le</w:t>
      </w:r>
      <w:r>
        <w:rPr>
          <w:color w:val="231F20"/>
          <w:spacing w:val="-14"/>
          <w:w w:val="120"/>
        </w:rPr>
        <w:t> </w:t>
      </w:r>
      <w:r>
        <w:rPr>
          <w:color w:val="231F20"/>
          <w:w w:val="120"/>
        </w:rPr>
        <w:t>transbordement</w:t>
      </w:r>
    </w:p>
    <w:p>
      <w:pPr>
        <w:pStyle w:val="BodyText"/>
        <w:spacing w:before="8"/>
      </w:pPr>
      <w:r>
        <w:rPr/>
        <w:pict>
          <v:shape style="position:absolute;margin-left:82pt;margin-top:11.416748pt;width:287.5pt;height:.1pt;mso-position-horizontal-relative:page;mso-position-vertical-relative:paragraph;z-index:-15665152;mso-wrap-distance-left:0;mso-wrap-distance-right:0" id="docshape775" coordorigin="1640,228" coordsize="5750,0" path="m1640,228l7390,228e" filled="false" stroked="true" strokeweight=".25pt" strokecolor="#231f20">
            <v:path arrowok="t"/>
            <v:stroke dashstyle="shortdot"/>
            <w10:wrap type="topAndBottom"/>
          </v:shape>
        </w:pict>
      </w:r>
    </w:p>
    <w:p>
      <w:pPr>
        <w:pStyle w:val="ListParagraph"/>
        <w:numPr>
          <w:ilvl w:val="0"/>
          <w:numId w:val="42"/>
        </w:numPr>
        <w:tabs>
          <w:tab w:pos="1220" w:val="left" w:leader="none"/>
        </w:tabs>
        <w:spacing w:line="295" w:lineRule="auto" w:before="135" w:after="0"/>
        <w:ind w:left="1219" w:right="104" w:hanging="406"/>
        <w:jc w:val="both"/>
        <w:rPr>
          <w:rFonts w:ascii="Arial" w:hAnsi="Arial"/>
          <w:sz w:val="12"/>
        </w:rPr>
      </w:pPr>
      <w:r>
        <w:rPr>
          <w:rFonts w:ascii="Arial" w:hAnsi="Arial"/>
          <w:color w:val="231F20"/>
          <w:sz w:val="12"/>
        </w:rPr>
        <w:t>Holman, D., Johnson, S. et O’Connor, E. (2018). Stress management interventions</w:t>
      </w:r>
      <w:r>
        <w:rPr>
          <w:rFonts w:ascii="Arial" w:hAnsi="Arial"/>
          <w:color w:val="231F20"/>
          <w:spacing w:val="-9"/>
          <w:sz w:val="12"/>
        </w:rPr>
        <w:t> </w:t>
      </w:r>
      <w:r>
        <w:rPr>
          <w:rFonts w:ascii="Arial" w:hAnsi="Arial"/>
          <w:color w:val="231F20"/>
          <w:sz w:val="12"/>
        </w:rPr>
        <w:t>: Improving subjective</w:t>
      </w:r>
      <w:r>
        <w:rPr>
          <w:rFonts w:ascii="Arial" w:hAnsi="Arial"/>
          <w:color w:val="231F20"/>
          <w:spacing w:val="40"/>
          <w:sz w:val="12"/>
        </w:rPr>
        <w:t> </w:t>
      </w:r>
      <w:r>
        <w:rPr>
          <w:rFonts w:ascii="Arial" w:hAnsi="Arial"/>
          <w:color w:val="231F20"/>
          <w:sz w:val="12"/>
        </w:rPr>
        <w:t>psychological</w:t>
      </w:r>
      <w:r>
        <w:rPr>
          <w:rFonts w:ascii="Arial" w:hAnsi="Arial"/>
          <w:color w:val="231F20"/>
          <w:spacing w:val="-2"/>
          <w:sz w:val="12"/>
        </w:rPr>
        <w:t> </w:t>
      </w:r>
      <w:r>
        <w:rPr>
          <w:rFonts w:ascii="Arial" w:hAnsi="Arial"/>
          <w:color w:val="231F20"/>
          <w:sz w:val="12"/>
        </w:rPr>
        <w:t>well-being</w:t>
      </w:r>
      <w:r>
        <w:rPr>
          <w:rFonts w:ascii="Arial" w:hAnsi="Arial"/>
          <w:color w:val="231F20"/>
          <w:spacing w:val="-2"/>
          <w:sz w:val="12"/>
        </w:rPr>
        <w:t> </w:t>
      </w:r>
      <w:r>
        <w:rPr>
          <w:rFonts w:ascii="Arial" w:hAnsi="Arial"/>
          <w:color w:val="231F20"/>
          <w:sz w:val="12"/>
        </w:rPr>
        <w:t>in</w:t>
      </w:r>
      <w:r>
        <w:rPr>
          <w:rFonts w:ascii="Arial" w:hAnsi="Arial"/>
          <w:color w:val="231F20"/>
          <w:spacing w:val="-2"/>
          <w:sz w:val="12"/>
        </w:rPr>
        <w:t> </w:t>
      </w:r>
      <w:r>
        <w:rPr>
          <w:rFonts w:ascii="Arial" w:hAnsi="Arial"/>
          <w:color w:val="231F20"/>
          <w:sz w:val="12"/>
        </w:rPr>
        <w:t>the</w:t>
      </w:r>
      <w:r>
        <w:rPr>
          <w:rFonts w:ascii="Arial" w:hAnsi="Arial"/>
          <w:color w:val="231F20"/>
          <w:spacing w:val="-2"/>
          <w:sz w:val="12"/>
        </w:rPr>
        <w:t> </w:t>
      </w:r>
      <w:r>
        <w:rPr>
          <w:rFonts w:ascii="Arial" w:hAnsi="Arial"/>
          <w:color w:val="231F20"/>
          <w:sz w:val="12"/>
        </w:rPr>
        <w:t>workplace.</w:t>
      </w:r>
      <w:r>
        <w:rPr>
          <w:rFonts w:ascii="Arial" w:hAnsi="Arial"/>
          <w:color w:val="231F20"/>
          <w:spacing w:val="-2"/>
          <w:sz w:val="12"/>
        </w:rPr>
        <w:t> </w:t>
      </w:r>
      <w:r>
        <w:rPr>
          <w:rFonts w:ascii="Arial" w:hAnsi="Arial"/>
          <w:color w:val="231F20"/>
          <w:sz w:val="12"/>
        </w:rPr>
        <w:t>Dans</w:t>
      </w:r>
      <w:r>
        <w:rPr>
          <w:rFonts w:ascii="Arial" w:hAnsi="Arial"/>
          <w:color w:val="231F20"/>
          <w:spacing w:val="-2"/>
          <w:sz w:val="12"/>
        </w:rPr>
        <w:t> </w:t>
      </w:r>
      <w:r>
        <w:rPr>
          <w:rFonts w:ascii="Arial" w:hAnsi="Arial"/>
          <w:color w:val="231F20"/>
          <w:sz w:val="12"/>
        </w:rPr>
        <w:t>E.</w:t>
      </w:r>
      <w:r>
        <w:rPr>
          <w:rFonts w:ascii="Arial" w:hAnsi="Arial"/>
          <w:color w:val="231F20"/>
          <w:spacing w:val="-2"/>
          <w:sz w:val="12"/>
        </w:rPr>
        <w:t> </w:t>
      </w:r>
      <w:r>
        <w:rPr>
          <w:rFonts w:ascii="Arial" w:hAnsi="Arial"/>
          <w:color w:val="231F20"/>
          <w:sz w:val="12"/>
        </w:rPr>
        <w:t>Diener,</w:t>
      </w:r>
      <w:r>
        <w:rPr>
          <w:rFonts w:ascii="Arial" w:hAnsi="Arial"/>
          <w:color w:val="231F20"/>
          <w:spacing w:val="-2"/>
          <w:sz w:val="12"/>
        </w:rPr>
        <w:t> </w:t>
      </w:r>
      <w:r>
        <w:rPr>
          <w:rFonts w:ascii="Arial" w:hAnsi="Arial"/>
          <w:color w:val="231F20"/>
          <w:sz w:val="12"/>
        </w:rPr>
        <w:t>S.</w:t>
      </w:r>
      <w:r>
        <w:rPr>
          <w:rFonts w:ascii="Arial" w:hAnsi="Arial"/>
          <w:color w:val="231F20"/>
          <w:spacing w:val="-2"/>
          <w:sz w:val="12"/>
        </w:rPr>
        <w:t> </w:t>
      </w:r>
      <w:r>
        <w:rPr>
          <w:rFonts w:ascii="Arial" w:hAnsi="Arial"/>
          <w:color w:val="231F20"/>
          <w:sz w:val="12"/>
        </w:rPr>
        <w:t>Oishi</w:t>
      </w:r>
      <w:r>
        <w:rPr>
          <w:rFonts w:ascii="Arial" w:hAnsi="Arial"/>
          <w:color w:val="231F20"/>
          <w:spacing w:val="-2"/>
          <w:sz w:val="12"/>
        </w:rPr>
        <w:t> </w:t>
      </w:r>
      <w:r>
        <w:rPr>
          <w:rFonts w:ascii="Arial" w:hAnsi="Arial"/>
          <w:color w:val="231F20"/>
          <w:sz w:val="12"/>
        </w:rPr>
        <w:t>et</w:t>
      </w:r>
      <w:r>
        <w:rPr>
          <w:rFonts w:ascii="Arial" w:hAnsi="Arial"/>
          <w:color w:val="231F20"/>
          <w:spacing w:val="-2"/>
          <w:sz w:val="12"/>
        </w:rPr>
        <w:t> </w:t>
      </w:r>
      <w:r>
        <w:rPr>
          <w:rFonts w:ascii="Arial" w:hAnsi="Arial"/>
          <w:color w:val="231F20"/>
          <w:sz w:val="12"/>
        </w:rPr>
        <w:t>L.</w:t>
      </w:r>
      <w:r>
        <w:rPr>
          <w:rFonts w:ascii="Arial" w:hAnsi="Arial"/>
          <w:color w:val="231F20"/>
          <w:spacing w:val="-2"/>
          <w:sz w:val="12"/>
        </w:rPr>
        <w:t> </w:t>
      </w:r>
      <w:r>
        <w:rPr>
          <w:rFonts w:ascii="Arial" w:hAnsi="Arial"/>
          <w:color w:val="231F20"/>
          <w:sz w:val="12"/>
        </w:rPr>
        <w:t>Tay</w:t>
      </w:r>
      <w:r>
        <w:rPr>
          <w:rFonts w:ascii="Arial" w:hAnsi="Arial"/>
          <w:color w:val="231F20"/>
          <w:spacing w:val="-2"/>
          <w:sz w:val="12"/>
        </w:rPr>
        <w:t> </w:t>
      </w:r>
      <w:r>
        <w:rPr>
          <w:rFonts w:ascii="Arial" w:hAnsi="Arial"/>
          <w:color w:val="231F20"/>
          <w:sz w:val="12"/>
        </w:rPr>
        <w:t>(dir.),</w:t>
      </w:r>
      <w:r>
        <w:rPr>
          <w:rFonts w:ascii="Arial" w:hAnsi="Arial"/>
          <w:color w:val="231F20"/>
          <w:spacing w:val="-2"/>
          <w:sz w:val="12"/>
        </w:rPr>
        <w:t> </w:t>
      </w:r>
      <w:r>
        <w:rPr>
          <w:rFonts w:ascii="Arial" w:hAnsi="Arial"/>
          <w:i/>
          <w:color w:val="231F20"/>
          <w:sz w:val="12"/>
        </w:rPr>
        <w:t>Handbook</w:t>
      </w:r>
      <w:r>
        <w:rPr>
          <w:rFonts w:ascii="Arial" w:hAnsi="Arial"/>
          <w:i/>
          <w:color w:val="231F20"/>
          <w:spacing w:val="-2"/>
          <w:sz w:val="12"/>
        </w:rPr>
        <w:t> </w:t>
      </w:r>
      <w:r>
        <w:rPr>
          <w:rFonts w:ascii="Arial" w:hAnsi="Arial"/>
          <w:i/>
          <w:color w:val="231F20"/>
          <w:sz w:val="12"/>
        </w:rPr>
        <w:t>of</w:t>
      </w:r>
      <w:r>
        <w:rPr>
          <w:rFonts w:ascii="Arial" w:hAnsi="Arial"/>
          <w:i/>
          <w:color w:val="231F20"/>
          <w:spacing w:val="-2"/>
          <w:sz w:val="12"/>
        </w:rPr>
        <w:t> </w:t>
      </w:r>
      <w:r>
        <w:rPr>
          <w:rFonts w:ascii="Arial" w:hAnsi="Arial"/>
          <w:i/>
          <w:color w:val="231F20"/>
          <w:sz w:val="12"/>
        </w:rPr>
        <w:t>Well-Being</w:t>
      </w:r>
      <w:r>
        <w:rPr>
          <w:rFonts w:ascii="Arial" w:hAnsi="Arial"/>
          <w:color w:val="231F20"/>
          <w:sz w:val="12"/>
        </w:rPr>
        <w:t>,</w:t>
      </w:r>
      <w:r>
        <w:rPr>
          <w:rFonts w:ascii="Arial" w:hAnsi="Arial"/>
          <w:color w:val="231F20"/>
          <w:spacing w:val="40"/>
          <w:sz w:val="12"/>
        </w:rPr>
        <w:t> </w:t>
      </w:r>
      <w:r>
        <w:rPr>
          <w:rFonts w:ascii="Arial" w:hAnsi="Arial"/>
          <w:color w:val="231F20"/>
          <w:sz w:val="12"/>
        </w:rPr>
        <w:t>DEF</w:t>
      </w:r>
      <w:r>
        <w:rPr>
          <w:rFonts w:ascii="Arial" w:hAnsi="Arial"/>
          <w:color w:val="231F20"/>
          <w:spacing w:val="-9"/>
          <w:sz w:val="12"/>
        </w:rPr>
        <w:t> </w:t>
      </w:r>
      <w:r>
        <w:rPr>
          <w:rFonts w:ascii="Arial" w:hAnsi="Arial"/>
          <w:color w:val="231F20"/>
          <w:sz w:val="12"/>
        </w:rPr>
        <w:t>Publishers.</w:t>
      </w:r>
    </w:p>
    <w:p>
      <w:pPr>
        <w:spacing w:after="0" w:line="295" w:lineRule="auto"/>
        <w:jc w:val="both"/>
        <w:rPr>
          <w:rFonts w:ascii="Arial" w:hAnsi="Arial"/>
          <w:sz w:val="12"/>
        </w:rPr>
        <w:sectPr>
          <w:footerReference w:type="default" r:id="rId224"/>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6"/>
        <w:jc w:val="both"/>
      </w:pPr>
      <w:r>
        <w:rPr>
          <w:color w:val="231F20"/>
          <w:spacing w:val="-2"/>
          <w:w w:val="120"/>
        </w:rPr>
        <w:t>de</w:t>
      </w:r>
      <w:r>
        <w:rPr>
          <w:color w:val="231F20"/>
          <w:spacing w:val="-5"/>
          <w:w w:val="120"/>
        </w:rPr>
        <w:t> </w:t>
      </w:r>
      <w:r>
        <w:rPr>
          <w:color w:val="231F20"/>
          <w:spacing w:val="-2"/>
          <w:w w:val="120"/>
        </w:rPr>
        <w:t>ce</w:t>
      </w:r>
      <w:r>
        <w:rPr>
          <w:color w:val="231F20"/>
          <w:spacing w:val="-5"/>
          <w:w w:val="120"/>
        </w:rPr>
        <w:t> </w:t>
      </w:r>
      <w:r>
        <w:rPr>
          <w:color w:val="231F20"/>
          <w:spacing w:val="-2"/>
          <w:w w:val="120"/>
        </w:rPr>
        <w:t>dernier</w:t>
      </w:r>
      <w:r>
        <w:rPr>
          <w:color w:val="231F20"/>
          <w:spacing w:val="-5"/>
          <w:w w:val="120"/>
        </w:rPr>
        <w:t> </w:t>
      </w:r>
      <w:r>
        <w:rPr>
          <w:color w:val="231F20"/>
          <w:spacing w:val="-2"/>
          <w:w w:val="120"/>
        </w:rPr>
        <w:t>en</w:t>
      </w:r>
      <w:r>
        <w:rPr>
          <w:color w:val="231F20"/>
          <w:spacing w:val="-5"/>
          <w:w w:val="120"/>
        </w:rPr>
        <w:t> </w:t>
      </w:r>
      <w:r>
        <w:rPr>
          <w:color w:val="231F20"/>
          <w:spacing w:val="-2"/>
          <w:w w:val="120"/>
        </w:rPr>
        <w:t>conséquences</w:t>
      </w:r>
      <w:r>
        <w:rPr>
          <w:color w:val="231F20"/>
          <w:spacing w:val="-5"/>
          <w:w w:val="120"/>
        </w:rPr>
        <w:t> </w:t>
      </w:r>
      <w:r>
        <w:rPr>
          <w:color w:val="231F20"/>
          <w:spacing w:val="-2"/>
          <w:w w:val="120"/>
        </w:rPr>
        <w:t>néfastes.</w:t>
      </w:r>
      <w:r>
        <w:rPr>
          <w:color w:val="231F20"/>
          <w:spacing w:val="-5"/>
          <w:w w:val="120"/>
        </w:rPr>
        <w:t> </w:t>
      </w:r>
      <w:r>
        <w:rPr>
          <w:color w:val="231F20"/>
          <w:spacing w:val="-2"/>
          <w:w w:val="120"/>
        </w:rPr>
        <w:t>Et</w:t>
      </w:r>
      <w:r>
        <w:rPr>
          <w:color w:val="231F20"/>
          <w:spacing w:val="-5"/>
          <w:w w:val="120"/>
        </w:rPr>
        <w:t> </w:t>
      </w:r>
      <w:r>
        <w:rPr>
          <w:color w:val="231F20"/>
          <w:spacing w:val="-2"/>
          <w:w w:val="120"/>
        </w:rPr>
        <w:t>bien</w:t>
      </w:r>
      <w:r>
        <w:rPr>
          <w:color w:val="231F20"/>
          <w:spacing w:val="-5"/>
          <w:w w:val="120"/>
        </w:rPr>
        <w:t> </w:t>
      </w:r>
      <w:r>
        <w:rPr>
          <w:color w:val="231F20"/>
          <w:spacing w:val="-2"/>
          <w:w w:val="120"/>
        </w:rPr>
        <w:t>que</w:t>
      </w:r>
      <w:r>
        <w:rPr>
          <w:color w:val="231F20"/>
          <w:spacing w:val="-5"/>
          <w:w w:val="120"/>
        </w:rPr>
        <w:t> </w:t>
      </w:r>
      <w:r>
        <w:rPr>
          <w:color w:val="231F20"/>
          <w:spacing w:val="-2"/>
          <w:w w:val="120"/>
        </w:rPr>
        <w:t>divers</w:t>
      </w:r>
      <w:r>
        <w:rPr>
          <w:color w:val="231F20"/>
          <w:spacing w:val="-5"/>
          <w:w w:val="120"/>
        </w:rPr>
        <w:t> </w:t>
      </w:r>
      <w:r>
        <w:rPr>
          <w:color w:val="231F20"/>
          <w:spacing w:val="-2"/>
          <w:w w:val="120"/>
        </w:rPr>
        <w:t>facteurs</w:t>
      </w:r>
      <w:r>
        <w:rPr>
          <w:color w:val="231F20"/>
          <w:spacing w:val="-5"/>
          <w:w w:val="120"/>
        </w:rPr>
        <w:t> </w:t>
      </w:r>
      <w:r>
        <w:rPr>
          <w:color w:val="231F20"/>
          <w:spacing w:val="-2"/>
          <w:w w:val="120"/>
        </w:rPr>
        <w:t>indi- </w:t>
      </w:r>
      <w:r>
        <w:rPr>
          <w:color w:val="231F20"/>
          <w:w w:val="120"/>
        </w:rPr>
        <w:t>viduels</w:t>
      </w:r>
      <w:r>
        <w:rPr>
          <w:color w:val="231F20"/>
          <w:spacing w:val="-9"/>
          <w:w w:val="120"/>
        </w:rPr>
        <w:t> </w:t>
      </w:r>
      <w:r>
        <w:rPr>
          <w:color w:val="231F20"/>
          <w:w w:val="120"/>
        </w:rPr>
        <w:t>soient</w:t>
      </w:r>
      <w:r>
        <w:rPr>
          <w:color w:val="231F20"/>
          <w:spacing w:val="-9"/>
          <w:w w:val="120"/>
        </w:rPr>
        <w:t> </w:t>
      </w:r>
      <w:r>
        <w:rPr>
          <w:color w:val="231F20"/>
          <w:w w:val="120"/>
        </w:rPr>
        <w:t>en</w:t>
      </w:r>
      <w:r>
        <w:rPr>
          <w:color w:val="231F20"/>
          <w:spacing w:val="-9"/>
          <w:w w:val="120"/>
        </w:rPr>
        <w:t> </w:t>
      </w:r>
      <w:r>
        <w:rPr>
          <w:color w:val="231F20"/>
          <w:w w:val="120"/>
        </w:rPr>
        <w:t>jeu,</w:t>
      </w:r>
      <w:r>
        <w:rPr>
          <w:color w:val="231F20"/>
          <w:spacing w:val="-9"/>
          <w:w w:val="120"/>
        </w:rPr>
        <w:t> </w:t>
      </w:r>
      <w:r>
        <w:rPr>
          <w:color w:val="231F20"/>
          <w:w w:val="120"/>
        </w:rPr>
        <w:t>force</w:t>
      </w:r>
      <w:r>
        <w:rPr>
          <w:color w:val="231F20"/>
          <w:spacing w:val="-9"/>
          <w:w w:val="120"/>
        </w:rPr>
        <w:t> </w:t>
      </w:r>
      <w:r>
        <w:rPr>
          <w:color w:val="231F20"/>
          <w:w w:val="120"/>
        </w:rPr>
        <w:t>est</w:t>
      </w:r>
      <w:r>
        <w:rPr>
          <w:color w:val="231F20"/>
          <w:spacing w:val="-9"/>
          <w:w w:val="120"/>
        </w:rPr>
        <w:t> </w:t>
      </w:r>
      <w:r>
        <w:rPr>
          <w:color w:val="231F20"/>
          <w:w w:val="120"/>
        </w:rPr>
        <w:t>de</w:t>
      </w:r>
      <w:r>
        <w:rPr>
          <w:color w:val="231F20"/>
          <w:spacing w:val="-9"/>
          <w:w w:val="120"/>
        </w:rPr>
        <w:t> </w:t>
      </w:r>
      <w:r>
        <w:rPr>
          <w:color w:val="231F20"/>
          <w:w w:val="120"/>
        </w:rPr>
        <w:t>reconnaître</w:t>
      </w:r>
      <w:r>
        <w:rPr>
          <w:color w:val="231F20"/>
          <w:spacing w:val="-9"/>
          <w:w w:val="120"/>
        </w:rPr>
        <w:t> </w:t>
      </w:r>
      <w:r>
        <w:rPr>
          <w:color w:val="231F20"/>
          <w:w w:val="120"/>
        </w:rPr>
        <w:t>que</w:t>
      </w:r>
      <w:r>
        <w:rPr>
          <w:color w:val="231F20"/>
          <w:spacing w:val="-9"/>
          <w:w w:val="120"/>
        </w:rPr>
        <w:t> </w:t>
      </w:r>
      <w:r>
        <w:rPr>
          <w:color w:val="231F20"/>
          <w:w w:val="120"/>
        </w:rPr>
        <w:t>les</w:t>
      </w:r>
      <w:r>
        <w:rPr>
          <w:color w:val="231F20"/>
          <w:spacing w:val="-9"/>
          <w:w w:val="120"/>
        </w:rPr>
        <w:t> </w:t>
      </w:r>
      <w:r>
        <w:rPr>
          <w:color w:val="231F20"/>
          <w:w w:val="120"/>
        </w:rPr>
        <w:t>facteurs</w:t>
      </w:r>
      <w:r>
        <w:rPr>
          <w:color w:val="231F20"/>
          <w:spacing w:val="-9"/>
          <w:w w:val="120"/>
        </w:rPr>
        <w:t> </w:t>
      </w:r>
      <w:r>
        <w:rPr>
          <w:color w:val="231F20"/>
          <w:w w:val="120"/>
        </w:rPr>
        <w:t>organisa- tionnels</w:t>
      </w:r>
      <w:r>
        <w:rPr>
          <w:color w:val="231F20"/>
          <w:spacing w:val="-5"/>
          <w:w w:val="120"/>
        </w:rPr>
        <w:t> </w:t>
      </w:r>
      <w:r>
        <w:rPr>
          <w:color w:val="231F20"/>
          <w:w w:val="120"/>
        </w:rPr>
        <w:t>ne</w:t>
      </w:r>
      <w:r>
        <w:rPr>
          <w:color w:val="231F20"/>
          <w:spacing w:val="-5"/>
          <w:w w:val="120"/>
        </w:rPr>
        <w:t> </w:t>
      </w:r>
      <w:r>
        <w:rPr>
          <w:color w:val="231F20"/>
          <w:w w:val="120"/>
        </w:rPr>
        <w:t>sont</w:t>
      </w:r>
      <w:r>
        <w:rPr>
          <w:color w:val="231F20"/>
          <w:spacing w:val="-4"/>
          <w:w w:val="120"/>
        </w:rPr>
        <w:t> </w:t>
      </w:r>
      <w:r>
        <w:rPr>
          <w:color w:val="231F20"/>
          <w:w w:val="120"/>
        </w:rPr>
        <w:t>pas</w:t>
      </w:r>
      <w:r>
        <w:rPr>
          <w:color w:val="231F20"/>
          <w:spacing w:val="-6"/>
          <w:w w:val="120"/>
        </w:rPr>
        <w:t> </w:t>
      </w:r>
      <w:r>
        <w:rPr>
          <w:color w:val="231F20"/>
          <w:w w:val="120"/>
        </w:rPr>
        <w:t>étrangers</w:t>
      </w:r>
      <w:r>
        <w:rPr>
          <w:color w:val="231F20"/>
          <w:spacing w:val="-5"/>
          <w:w w:val="120"/>
        </w:rPr>
        <w:t> </w:t>
      </w:r>
      <w:r>
        <w:rPr>
          <w:color w:val="231F20"/>
          <w:w w:val="120"/>
        </w:rPr>
        <w:t>au</w:t>
      </w:r>
      <w:r>
        <w:rPr>
          <w:color w:val="231F20"/>
          <w:spacing w:val="-5"/>
          <w:w w:val="120"/>
        </w:rPr>
        <w:t> </w:t>
      </w:r>
      <w:r>
        <w:rPr>
          <w:color w:val="231F20"/>
          <w:w w:val="120"/>
        </w:rPr>
        <w:t>vécu</w:t>
      </w:r>
      <w:r>
        <w:rPr>
          <w:color w:val="231F20"/>
          <w:spacing w:val="-5"/>
          <w:w w:val="120"/>
        </w:rPr>
        <w:t> </w:t>
      </w:r>
      <w:r>
        <w:rPr>
          <w:color w:val="231F20"/>
          <w:w w:val="120"/>
        </w:rPr>
        <w:t>des</w:t>
      </w:r>
      <w:r>
        <w:rPr>
          <w:color w:val="231F20"/>
          <w:spacing w:val="-6"/>
          <w:w w:val="120"/>
        </w:rPr>
        <w:t> </w:t>
      </w:r>
      <w:r>
        <w:rPr>
          <w:color w:val="231F20"/>
          <w:w w:val="120"/>
        </w:rPr>
        <w:t>travailleurs</w:t>
      </w:r>
      <w:r>
        <w:rPr>
          <w:color w:val="231F20"/>
          <w:spacing w:val="-5"/>
          <w:w w:val="120"/>
        </w:rPr>
        <w:t> </w:t>
      </w:r>
      <w:r>
        <w:rPr>
          <w:color w:val="231F20"/>
          <w:w w:val="120"/>
        </w:rPr>
        <w:t>en</w:t>
      </w:r>
      <w:r>
        <w:rPr>
          <w:color w:val="231F20"/>
          <w:spacing w:val="-5"/>
          <w:w w:val="120"/>
        </w:rPr>
        <w:t> </w:t>
      </w:r>
      <w:r>
        <w:rPr>
          <w:color w:val="231F20"/>
          <w:w w:val="120"/>
        </w:rPr>
        <w:t>cette</w:t>
      </w:r>
      <w:r>
        <w:rPr>
          <w:color w:val="231F20"/>
          <w:spacing w:val="-6"/>
          <w:w w:val="120"/>
        </w:rPr>
        <w:t> </w:t>
      </w:r>
      <w:r>
        <w:rPr>
          <w:color w:val="231F20"/>
          <w:spacing w:val="-2"/>
          <w:w w:val="120"/>
        </w:rPr>
        <w:t>matière.</w:t>
      </w:r>
    </w:p>
    <w:p>
      <w:pPr>
        <w:pStyle w:val="BodyText"/>
        <w:spacing w:line="307" w:lineRule="auto" w:before="80"/>
        <w:ind w:left="830" w:right="494" w:firstLine="250"/>
        <w:jc w:val="both"/>
      </w:pPr>
      <w:r>
        <w:rPr>
          <w:color w:val="231F20"/>
          <w:spacing w:val="-2"/>
          <w:w w:val="120"/>
        </w:rPr>
        <w:t>Nous</w:t>
      </w:r>
      <w:r>
        <w:rPr>
          <w:color w:val="231F20"/>
          <w:spacing w:val="-8"/>
          <w:w w:val="120"/>
        </w:rPr>
        <w:t> </w:t>
      </w:r>
      <w:r>
        <w:rPr>
          <w:color w:val="231F20"/>
          <w:spacing w:val="-2"/>
          <w:w w:val="120"/>
        </w:rPr>
        <w:t>avons</w:t>
      </w:r>
      <w:r>
        <w:rPr>
          <w:color w:val="231F20"/>
          <w:spacing w:val="-8"/>
          <w:w w:val="120"/>
        </w:rPr>
        <w:t> </w:t>
      </w:r>
      <w:r>
        <w:rPr>
          <w:color w:val="231F20"/>
          <w:spacing w:val="-2"/>
          <w:w w:val="120"/>
        </w:rPr>
        <w:t>également</w:t>
      </w:r>
      <w:r>
        <w:rPr>
          <w:color w:val="231F20"/>
          <w:spacing w:val="-8"/>
          <w:w w:val="120"/>
        </w:rPr>
        <w:t> </w:t>
      </w:r>
      <w:r>
        <w:rPr>
          <w:color w:val="231F20"/>
          <w:spacing w:val="-2"/>
          <w:w w:val="120"/>
        </w:rPr>
        <w:t>abordé</w:t>
      </w:r>
      <w:r>
        <w:rPr>
          <w:color w:val="231F20"/>
          <w:spacing w:val="-8"/>
          <w:w w:val="120"/>
        </w:rPr>
        <w:t> </w:t>
      </w:r>
      <w:r>
        <w:rPr>
          <w:color w:val="231F20"/>
          <w:spacing w:val="-2"/>
          <w:w w:val="120"/>
        </w:rPr>
        <w:t>diverses</w:t>
      </w:r>
      <w:r>
        <w:rPr>
          <w:color w:val="231F20"/>
          <w:spacing w:val="-8"/>
          <w:w w:val="120"/>
        </w:rPr>
        <w:t> </w:t>
      </w:r>
      <w:r>
        <w:rPr>
          <w:color w:val="231F20"/>
          <w:spacing w:val="-2"/>
          <w:w w:val="120"/>
        </w:rPr>
        <w:t>dimensions</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personnalité </w:t>
      </w:r>
      <w:r>
        <w:rPr>
          <w:color w:val="231F20"/>
          <w:w w:val="120"/>
        </w:rPr>
        <w:t>afin</w:t>
      </w:r>
      <w:r>
        <w:rPr>
          <w:color w:val="231F20"/>
          <w:spacing w:val="-13"/>
          <w:w w:val="120"/>
        </w:rPr>
        <w:t> </w:t>
      </w:r>
      <w:r>
        <w:rPr>
          <w:color w:val="231F20"/>
          <w:w w:val="120"/>
        </w:rPr>
        <w:t>de</w:t>
      </w:r>
      <w:r>
        <w:rPr>
          <w:color w:val="231F20"/>
          <w:spacing w:val="-13"/>
          <w:w w:val="120"/>
        </w:rPr>
        <w:t> </w:t>
      </w:r>
      <w:r>
        <w:rPr>
          <w:color w:val="231F20"/>
          <w:w w:val="120"/>
        </w:rPr>
        <w:t>comprendre</w:t>
      </w:r>
      <w:r>
        <w:rPr>
          <w:color w:val="231F20"/>
          <w:spacing w:val="-13"/>
          <w:w w:val="120"/>
        </w:rPr>
        <w:t> </w:t>
      </w:r>
      <w:r>
        <w:rPr>
          <w:color w:val="231F20"/>
          <w:w w:val="120"/>
        </w:rPr>
        <w:t>comment</w:t>
      </w:r>
      <w:r>
        <w:rPr>
          <w:color w:val="231F20"/>
          <w:spacing w:val="-12"/>
          <w:w w:val="120"/>
        </w:rPr>
        <w:t> </w:t>
      </w:r>
      <w:r>
        <w:rPr>
          <w:color w:val="231F20"/>
          <w:w w:val="120"/>
        </w:rPr>
        <w:t>les</w:t>
      </w:r>
      <w:r>
        <w:rPr>
          <w:color w:val="231F20"/>
          <w:spacing w:val="-13"/>
          <w:w w:val="120"/>
        </w:rPr>
        <w:t> </w:t>
      </w:r>
      <w:r>
        <w:rPr>
          <w:color w:val="231F20"/>
          <w:w w:val="120"/>
        </w:rPr>
        <w:t>gens</w:t>
      </w:r>
      <w:r>
        <w:rPr>
          <w:color w:val="231F20"/>
          <w:spacing w:val="-13"/>
          <w:w w:val="120"/>
        </w:rPr>
        <w:t> </w:t>
      </w:r>
      <w:r>
        <w:rPr>
          <w:color w:val="231F20"/>
          <w:w w:val="120"/>
        </w:rPr>
        <w:t>interprètent</w:t>
      </w:r>
      <w:r>
        <w:rPr>
          <w:color w:val="231F20"/>
          <w:spacing w:val="-13"/>
          <w:w w:val="120"/>
        </w:rPr>
        <w:t> </w:t>
      </w:r>
      <w:r>
        <w:rPr>
          <w:color w:val="231F20"/>
          <w:w w:val="120"/>
        </w:rPr>
        <w:t>leur</w:t>
      </w:r>
      <w:r>
        <w:rPr>
          <w:color w:val="231F20"/>
          <w:spacing w:val="-12"/>
          <w:w w:val="120"/>
        </w:rPr>
        <w:t> </w:t>
      </w:r>
      <w:r>
        <w:rPr>
          <w:color w:val="231F20"/>
          <w:w w:val="120"/>
        </w:rPr>
        <w:t>milieu</w:t>
      </w:r>
      <w:r>
        <w:rPr>
          <w:color w:val="231F20"/>
          <w:spacing w:val="-13"/>
          <w:w w:val="120"/>
        </w:rPr>
        <w:t> </w:t>
      </w:r>
      <w:r>
        <w:rPr>
          <w:color w:val="231F20"/>
          <w:w w:val="120"/>
        </w:rPr>
        <w:t>de</w:t>
      </w:r>
      <w:r>
        <w:rPr>
          <w:color w:val="231F20"/>
          <w:spacing w:val="-13"/>
          <w:w w:val="120"/>
        </w:rPr>
        <w:t> </w:t>
      </w:r>
      <w:r>
        <w:rPr>
          <w:color w:val="231F20"/>
          <w:w w:val="120"/>
        </w:rPr>
        <w:t>travail et</w:t>
      </w:r>
      <w:r>
        <w:rPr>
          <w:color w:val="231F20"/>
          <w:spacing w:val="-2"/>
          <w:w w:val="120"/>
        </w:rPr>
        <w:t> </w:t>
      </w:r>
      <w:r>
        <w:rPr>
          <w:color w:val="231F20"/>
          <w:w w:val="120"/>
        </w:rPr>
        <w:t>y</w:t>
      </w:r>
      <w:r>
        <w:rPr>
          <w:color w:val="231F20"/>
          <w:spacing w:val="-2"/>
          <w:w w:val="120"/>
        </w:rPr>
        <w:t> </w:t>
      </w:r>
      <w:r>
        <w:rPr>
          <w:color w:val="231F20"/>
          <w:w w:val="120"/>
        </w:rPr>
        <w:t>réagissent.</w:t>
      </w:r>
      <w:r>
        <w:rPr>
          <w:color w:val="231F20"/>
          <w:spacing w:val="-2"/>
          <w:w w:val="120"/>
        </w:rPr>
        <w:t> </w:t>
      </w:r>
      <w:r>
        <w:rPr>
          <w:color w:val="231F20"/>
          <w:w w:val="120"/>
        </w:rPr>
        <w:t>La</w:t>
      </w:r>
      <w:r>
        <w:rPr>
          <w:color w:val="231F20"/>
          <w:spacing w:val="-2"/>
          <w:w w:val="120"/>
        </w:rPr>
        <w:t> </w:t>
      </w:r>
      <w:r>
        <w:rPr>
          <w:color w:val="231F20"/>
          <w:w w:val="120"/>
        </w:rPr>
        <w:t>personnalité</w:t>
      </w:r>
      <w:r>
        <w:rPr>
          <w:color w:val="231F20"/>
          <w:spacing w:val="-2"/>
          <w:w w:val="120"/>
        </w:rPr>
        <w:t> </w:t>
      </w:r>
      <w:r>
        <w:rPr>
          <w:color w:val="231F20"/>
          <w:w w:val="120"/>
        </w:rPr>
        <w:t>est</w:t>
      </w:r>
      <w:r>
        <w:rPr>
          <w:color w:val="231F20"/>
          <w:spacing w:val="-2"/>
          <w:w w:val="120"/>
        </w:rPr>
        <w:t> </w:t>
      </w:r>
      <w:r>
        <w:rPr>
          <w:color w:val="231F20"/>
          <w:w w:val="120"/>
        </w:rPr>
        <w:t>un</w:t>
      </w:r>
      <w:r>
        <w:rPr>
          <w:color w:val="231F20"/>
          <w:spacing w:val="-2"/>
          <w:w w:val="120"/>
        </w:rPr>
        <w:t> </w:t>
      </w:r>
      <w:r>
        <w:rPr>
          <w:color w:val="231F20"/>
          <w:w w:val="120"/>
        </w:rPr>
        <w:t>élément</w:t>
      </w:r>
      <w:r>
        <w:rPr>
          <w:color w:val="231F20"/>
          <w:spacing w:val="-2"/>
          <w:w w:val="120"/>
        </w:rPr>
        <w:t> </w:t>
      </w:r>
      <w:r>
        <w:rPr>
          <w:color w:val="231F20"/>
          <w:w w:val="120"/>
        </w:rPr>
        <w:t>au</w:t>
      </w:r>
      <w:r>
        <w:rPr>
          <w:color w:val="231F20"/>
          <w:spacing w:val="-2"/>
          <w:w w:val="120"/>
        </w:rPr>
        <w:t> </w:t>
      </w:r>
      <w:r>
        <w:rPr>
          <w:color w:val="231F20"/>
          <w:w w:val="120"/>
        </w:rPr>
        <w:t>cœur</w:t>
      </w:r>
      <w:r>
        <w:rPr>
          <w:color w:val="231F20"/>
          <w:spacing w:val="-2"/>
          <w:w w:val="120"/>
        </w:rPr>
        <w:t> </w:t>
      </w:r>
      <w:r>
        <w:rPr>
          <w:color w:val="231F20"/>
          <w:w w:val="120"/>
        </w:rPr>
        <w:t>de</w:t>
      </w:r>
      <w:r>
        <w:rPr>
          <w:color w:val="231F20"/>
          <w:spacing w:val="-2"/>
          <w:w w:val="120"/>
        </w:rPr>
        <w:t> </w:t>
      </w:r>
      <w:r>
        <w:rPr>
          <w:color w:val="231F20"/>
          <w:w w:val="120"/>
        </w:rPr>
        <w:t>l’identité</w:t>
      </w:r>
      <w:r>
        <w:rPr>
          <w:color w:val="231F20"/>
          <w:spacing w:val="-2"/>
          <w:w w:val="120"/>
        </w:rPr>
        <w:t> </w:t>
      </w:r>
      <w:r>
        <w:rPr>
          <w:color w:val="231F20"/>
          <w:w w:val="120"/>
        </w:rPr>
        <w:t>de la</w:t>
      </w:r>
      <w:r>
        <w:rPr>
          <w:color w:val="231F20"/>
          <w:spacing w:val="-3"/>
          <w:w w:val="120"/>
        </w:rPr>
        <w:t> </w:t>
      </w:r>
      <w:r>
        <w:rPr>
          <w:color w:val="231F20"/>
          <w:w w:val="120"/>
        </w:rPr>
        <w:t>personne</w:t>
      </w:r>
      <w:r>
        <w:rPr>
          <w:color w:val="231F20"/>
          <w:spacing w:val="-3"/>
          <w:w w:val="120"/>
        </w:rPr>
        <w:t> </w:t>
      </w:r>
      <w:r>
        <w:rPr>
          <w:color w:val="231F20"/>
          <w:w w:val="120"/>
        </w:rPr>
        <w:t>et</w:t>
      </w:r>
      <w:r>
        <w:rPr>
          <w:color w:val="231F20"/>
          <w:spacing w:val="-3"/>
          <w:w w:val="120"/>
        </w:rPr>
        <w:t> </w:t>
      </w:r>
      <w:r>
        <w:rPr>
          <w:color w:val="231F20"/>
          <w:w w:val="120"/>
        </w:rPr>
        <w:t>contribue</w:t>
      </w:r>
      <w:r>
        <w:rPr>
          <w:color w:val="231F20"/>
          <w:spacing w:val="-3"/>
          <w:w w:val="120"/>
        </w:rPr>
        <w:t> </w:t>
      </w:r>
      <w:r>
        <w:rPr>
          <w:color w:val="231F20"/>
          <w:w w:val="120"/>
        </w:rPr>
        <w:t>à</w:t>
      </w:r>
      <w:r>
        <w:rPr>
          <w:color w:val="231F20"/>
          <w:spacing w:val="-3"/>
          <w:w w:val="120"/>
        </w:rPr>
        <w:t> </w:t>
      </w:r>
      <w:r>
        <w:rPr>
          <w:color w:val="231F20"/>
          <w:w w:val="120"/>
        </w:rPr>
        <w:t>l’appréciation</w:t>
      </w:r>
      <w:r>
        <w:rPr>
          <w:color w:val="231F20"/>
          <w:spacing w:val="-3"/>
          <w:w w:val="120"/>
        </w:rPr>
        <w:t> </w:t>
      </w:r>
      <w:r>
        <w:rPr>
          <w:color w:val="231F20"/>
          <w:w w:val="120"/>
        </w:rPr>
        <w:t>des</w:t>
      </w:r>
      <w:r>
        <w:rPr>
          <w:color w:val="231F20"/>
          <w:spacing w:val="-3"/>
          <w:w w:val="120"/>
        </w:rPr>
        <w:t> </w:t>
      </w:r>
      <w:r>
        <w:rPr>
          <w:color w:val="231F20"/>
          <w:w w:val="120"/>
        </w:rPr>
        <w:t>événements</w:t>
      </w:r>
      <w:r>
        <w:rPr>
          <w:color w:val="231F20"/>
          <w:spacing w:val="-3"/>
          <w:w w:val="120"/>
        </w:rPr>
        <w:t> </w:t>
      </w:r>
      <w:r>
        <w:rPr>
          <w:color w:val="231F20"/>
          <w:w w:val="120"/>
        </w:rPr>
        <w:t>qui</w:t>
      </w:r>
      <w:r>
        <w:rPr>
          <w:color w:val="231F20"/>
          <w:spacing w:val="-3"/>
          <w:w w:val="120"/>
        </w:rPr>
        <w:t> </w:t>
      </w:r>
      <w:r>
        <w:rPr>
          <w:color w:val="231F20"/>
          <w:w w:val="120"/>
        </w:rPr>
        <w:t>meublent sa vie. En ce sens, il est important de comprendre comment certains contextes organisationnels sont perçus par les travailleurs comme des facteurs de risque de stress lié au travail.</w:t>
      </w:r>
    </w:p>
    <w:p>
      <w:pPr>
        <w:pStyle w:val="BodyText"/>
        <w:spacing w:line="307" w:lineRule="auto" w:before="78"/>
        <w:ind w:left="830" w:right="499" w:firstLine="250"/>
        <w:jc w:val="both"/>
      </w:pPr>
      <w:r>
        <w:rPr>
          <w:color w:val="231F20"/>
          <w:w w:val="115"/>
        </w:rPr>
        <w:t>En</w:t>
      </w:r>
      <w:r>
        <w:rPr>
          <w:color w:val="231F20"/>
          <w:spacing w:val="-8"/>
          <w:w w:val="115"/>
        </w:rPr>
        <w:t> </w:t>
      </w:r>
      <w:r>
        <w:rPr>
          <w:color w:val="231F20"/>
          <w:w w:val="115"/>
        </w:rPr>
        <w:t>guise</w:t>
      </w:r>
      <w:r>
        <w:rPr>
          <w:color w:val="231F20"/>
          <w:spacing w:val="-8"/>
          <w:w w:val="115"/>
        </w:rPr>
        <w:t> </w:t>
      </w:r>
      <w:r>
        <w:rPr>
          <w:color w:val="231F20"/>
          <w:w w:val="115"/>
        </w:rPr>
        <w:t>de</w:t>
      </w:r>
      <w:r>
        <w:rPr>
          <w:color w:val="231F20"/>
          <w:spacing w:val="-8"/>
          <w:w w:val="115"/>
        </w:rPr>
        <w:t> </w:t>
      </w:r>
      <w:r>
        <w:rPr>
          <w:color w:val="231F20"/>
          <w:w w:val="115"/>
        </w:rPr>
        <w:t>synthèse,</w:t>
      </w:r>
      <w:r>
        <w:rPr>
          <w:color w:val="231F20"/>
          <w:spacing w:val="-8"/>
          <w:w w:val="115"/>
        </w:rPr>
        <w:t> </w:t>
      </w:r>
      <w:r>
        <w:rPr>
          <w:color w:val="231F20"/>
          <w:w w:val="115"/>
        </w:rPr>
        <w:t>la</w:t>
      </w:r>
      <w:r>
        <w:rPr>
          <w:color w:val="231F20"/>
          <w:spacing w:val="-8"/>
          <w:w w:val="115"/>
        </w:rPr>
        <w:t> </w:t>
      </w:r>
      <w:r>
        <w:rPr>
          <w:color w:val="231F20"/>
          <w:w w:val="115"/>
        </w:rPr>
        <w:t>figure</w:t>
      </w:r>
      <w:r>
        <w:rPr>
          <w:color w:val="231F20"/>
          <w:spacing w:val="-8"/>
          <w:w w:val="115"/>
        </w:rPr>
        <w:t> </w:t>
      </w:r>
      <w:r>
        <w:rPr>
          <w:color w:val="231F20"/>
          <w:w w:val="115"/>
        </w:rPr>
        <w:t>3.8</w:t>
      </w:r>
      <w:r>
        <w:rPr>
          <w:color w:val="231F20"/>
          <w:spacing w:val="-8"/>
          <w:w w:val="115"/>
        </w:rPr>
        <w:t> </w:t>
      </w:r>
      <w:r>
        <w:rPr>
          <w:color w:val="231F20"/>
          <w:w w:val="115"/>
        </w:rPr>
        <w:t>donne</w:t>
      </w:r>
      <w:r>
        <w:rPr>
          <w:color w:val="231F20"/>
          <w:spacing w:val="-8"/>
          <w:w w:val="115"/>
        </w:rPr>
        <w:t> </w:t>
      </w:r>
      <w:r>
        <w:rPr>
          <w:color w:val="231F20"/>
          <w:w w:val="115"/>
        </w:rPr>
        <w:t>un</w:t>
      </w:r>
      <w:r>
        <w:rPr>
          <w:color w:val="231F20"/>
          <w:spacing w:val="-8"/>
          <w:w w:val="115"/>
        </w:rPr>
        <w:t> </w:t>
      </w:r>
      <w:r>
        <w:rPr>
          <w:color w:val="231F20"/>
          <w:w w:val="115"/>
        </w:rPr>
        <w:t>aperçu</w:t>
      </w:r>
      <w:r>
        <w:rPr>
          <w:color w:val="231F20"/>
          <w:spacing w:val="-8"/>
          <w:w w:val="115"/>
        </w:rPr>
        <w:t> </w:t>
      </w:r>
      <w:r>
        <w:rPr>
          <w:color w:val="231F20"/>
          <w:w w:val="115"/>
        </w:rPr>
        <w:t>général</w:t>
      </w:r>
      <w:r>
        <w:rPr>
          <w:color w:val="231F20"/>
          <w:spacing w:val="-8"/>
          <w:w w:val="115"/>
        </w:rPr>
        <w:t> </w:t>
      </w:r>
      <w:r>
        <w:rPr>
          <w:color w:val="231F20"/>
          <w:w w:val="115"/>
        </w:rPr>
        <w:t>de</w:t>
      </w:r>
      <w:r>
        <w:rPr>
          <w:color w:val="231F20"/>
          <w:spacing w:val="-8"/>
          <w:w w:val="115"/>
        </w:rPr>
        <w:t> </w:t>
      </w:r>
      <w:r>
        <w:rPr>
          <w:color w:val="231F20"/>
          <w:w w:val="115"/>
        </w:rPr>
        <w:t>la</w:t>
      </w:r>
      <w:r>
        <w:rPr>
          <w:color w:val="231F20"/>
          <w:spacing w:val="-8"/>
          <w:w w:val="115"/>
        </w:rPr>
        <w:t> </w:t>
      </w:r>
      <w:r>
        <w:rPr>
          <w:color w:val="231F20"/>
          <w:w w:val="115"/>
        </w:rPr>
        <w:t>dyna- </w:t>
      </w:r>
      <w:r>
        <w:rPr>
          <w:color w:val="231F20"/>
          <w:spacing w:val="-2"/>
          <w:w w:val="120"/>
        </w:rPr>
        <w:t>mique</w:t>
      </w:r>
      <w:r>
        <w:rPr>
          <w:color w:val="231F20"/>
          <w:spacing w:val="-4"/>
          <w:w w:val="120"/>
        </w:rPr>
        <w:t> </w:t>
      </w:r>
      <w:r>
        <w:rPr>
          <w:color w:val="231F20"/>
          <w:spacing w:val="-2"/>
          <w:w w:val="120"/>
        </w:rPr>
        <w:t>des</w:t>
      </w:r>
      <w:r>
        <w:rPr>
          <w:color w:val="231F20"/>
          <w:spacing w:val="-4"/>
          <w:w w:val="120"/>
        </w:rPr>
        <w:t> </w:t>
      </w:r>
      <w:r>
        <w:rPr>
          <w:color w:val="231F20"/>
          <w:spacing w:val="-2"/>
          <w:w w:val="120"/>
        </w:rPr>
        <w:t>liens</w:t>
      </w:r>
      <w:r>
        <w:rPr>
          <w:color w:val="231F20"/>
          <w:spacing w:val="-4"/>
          <w:w w:val="120"/>
        </w:rPr>
        <w:t> </w:t>
      </w:r>
      <w:r>
        <w:rPr>
          <w:color w:val="231F20"/>
          <w:spacing w:val="-2"/>
          <w:w w:val="120"/>
        </w:rPr>
        <w:t>entre</w:t>
      </w:r>
      <w:r>
        <w:rPr>
          <w:color w:val="231F20"/>
          <w:spacing w:val="-4"/>
          <w:w w:val="120"/>
        </w:rPr>
        <w:t> </w:t>
      </w:r>
      <w:r>
        <w:rPr>
          <w:color w:val="231F20"/>
          <w:spacing w:val="-2"/>
          <w:w w:val="120"/>
        </w:rPr>
        <w:t>les</w:t>
      </w:r>
      <w:r>
        <w:rPr>
          <w:color w:val="231F20"/>
          <w:spacing w:val="-4"/>
          <w:w w:val="120"/>
        </w:rPr>
        <w:t> </w:t>
      </w:r>
      <w:r>
        <w:rPr>
          <w:color w:val="231F20"/>
          <w:spacing w:val="-2"/>
          <w:w w:val="120"/>
        </w:rPr>
        <w:t>antécédents,</w:t>
      </w:r>
      <w:r>
        <w:rPr>
          <w:color w:val="231F20"/>
          <w:spacing w:val="-4"/>
          <w:w w:val="120"/>
        </w:rPr>
        <w:t> </w:t>
      </w:r>
      <w:r>
        <w:rPr>
          <w:color w:val="231F20"/>
          <w:spacing w:val="-2"/>
          <w:w w:val="120"/>
        </w:rPr>
        <w:t>les</w:t>
      </w:r>
      <w:r>
        <w:rPr>
          <w:color w:val="231F20"/>
          <w:spacing w:val="-4"/>
          <w:w w:val="120"/>
        </w:rPr>
        <w:t> </w:t>
      </w:r>
      <w:r>
        <w:rPr>
          <w:color w:val="231F20"/>
          <w:spacing w:val="-2"/>
          <w:w w:val="120"/>
        </w:rPr>
        <w:t>différences</w:t>
      </w:r>
      <w:r>
        <w:rPr>
          <w:color w:val="231F20"/>
          <w:spacing w:val="-4"/>
          <w:w w:val="120"/>
        </w:rPr>
        <w:t> </w:t>
      </w:r>
      <w:r>
        <w:rPr>
          <w:color w:val="231F20"/>
          <w:spacing w:val="-2"/>
          <w:w w:val="120"/>
        </w:rPr>
        <w:t>individuelles</w:t>
      </w:r>
      <w:r>
        <w:rPr>
          <w:color w:val="231F20"/>
          <w:spacing w:val="-4"/>
          <w:w w:val="120"/>
        </w:rPr>
        <w:t> </w:t>
      </w:r>
      <w:r>
        <w:rPr>
          <w:color w:val="231F20"/>
          <w:spacing w:val="-2"/>
          <w:w w:val="120"/>
        </w:rPr>
        <w:t>et</w:t>
      </w:r>
      <w:r>
        <w:rPr>
          <w:color w:val="231F20"/>
          <w:spacing w:val="-4"/>
          <w:w w:val="120"/>
        </w:rPr>
        <w:t> </w:t>
      </w:r>
      <w:r>
        <w:rPr>
          <w:color w:val="231F20"/>
          <w:spacing w:val="-2"/>
          <w:w w:val="120"/>
        </w:rPr>
        <w:t>les </w:t>
      </w:r>
      <w:r>
        <w:rPr>
          <w:color w:val="231F20"/>
          <w:w w:val="120"/>
        </w:rPr>
        <w:t>conséquences du stress.</w:t>
      </w:r>
    </w:p>
    <w:p>
      <w:pPr>
        <w:pStyle w:val="BodyText"/>
        <w:spacing w:line="307" w:lineRule="auto" w:before="80"/>
        <w:ind w:left="830" w:right="500" w:firstLine="250"/>
        <w:jc w:val="both"/>
      </w:pPr>
      <w:r>
        <w:rPr>
          <w:color w:val="231F20"/>
          <w:spacing w:val="-2"/>
          <w:w w:val="120"/>
        </w:rPr>
        <w:t>Quatre</w:t>
      </w:r>
      <w:r>
        <w:rPr>
          <w:color w:val="231F20"/>
          <w:spacing w:val="-11"/>
          <w:w w:val="120"/>
        </w:rPr>
        <w:t> </w:t>
      </w:r>
      <w:r>
        <w:rPr>
          <w:color w:val="231F20"/>
          <w:spacing w:val="-2"/>
          <w:w w:val="120"/>
        </w:rPr>
        <w:t>principes</w:t>
      </w:r>
      <w:r>
        <w:rPr>
          <w:color w:val="231F20"/>
          <w:spacing w:val="-11"/>
          <w:w w:val="120"/>
        </w:rPr>
        <w:t> </w:t>
      </w:r>
      <w:r>
        <w:rPr>
          <w:color w:val="231F20"/>
          <w:spacing w:val="-2"/>
          <w:w w:val="120"/>
        </w:rPr>
        <w:t>gouvernent</w:t>
      </w:r>
      <w:r>
        <w:rPr>
          <w:color w:val="231F20"/>
          <w:spacing w:val="-11"/>
          <w:w w:val="120"/>
        </w:rPr>
        <w:t> </w:t>
      </w:r>
      <w:r>
        <w:rPr>
          <w:color w:val="231F20"/>
          <w:spacing w:val="-2"/>
          <w:w w:val="120"/>
        </w:rPr>
        <w:t>la</w:t>
      </w:r>
      <w:r>
        <w:rPr>
          <w:color w:val="231F20"/>
          <w:spacing w:val="-10"/>
          <w:w w:val="120"/>
        </w:rPr>
        <w:t> </w:t>
      </w:r>
      <w:r>
        <w:rPr>
          <w:color w:val="231F20"/>
          <w:spacing w:val="-2"/>
          <w:w w:val="120"/>
        </w:rPr>
        <w:t>compréhension</w:t>
      </w:r>
      <w:r>
        <w:rPr>
          <w:color w:val="231F20"/>
          <w:spacing w:val="-11"/>
          <w:w w:val="120"/>
        </w:rPr>
        <w:t> </w:t>
      </w:r>
      <w:r>
        <w:rPr>
          <w:color w:val="231F20"/>
          <w:spacing w:val="-2"/>
          <w:w w:val="120"/>
        </w:rPr>
        <w:t>des</w:t>
      </w:r>
      <w:r>
        <w:rPr>
          <w:color w:val="231F20"/>
          <w:spacing w:val="-11"/>
          <w:w w:val="120"/>
        </w:rPr>
        <w:t> </w:t>
      </w:r>
      <w:r>
        <w:rPr>
          <w:color w:val="231F20"/>
          <w:spacing w:val="-2"/>
          <w:w w:val="120"/>
        </w:rPr>
        <w:t>relations</w:t>
      </w:r>
      <w:r>
        <w:rPr>
          <w:color w:val="231F20"/>
          <w:spacing w:val="-11"/>
          <w:w w:val="120"/>
        </w:rPr>
        <w:t> </w:t>
      </w:r>
      <w:r>
        <w:rPr>
          <w:color w:val="231F20"/>
          <w:spacing w:val="-2"/>
          <w:w w:val="120"/>
        </w:rPr>
        <w:t>illustrées </w:t>
      </w:r>
      <w:r>
        <w:rPr>
          <w:color w:val="231F20"/>
          <w:w w:val="120"/>
        </w:rPr>
        <w:t>par ce modèle:</w:t>
      </w:r>
    </w:p>
    <w:p>
      <w:pPr>
        <w:pStyle w:val="ListParagraph"/>
        <w:numPr>
          <w:ilvl w:val="0"/>
          <w:numId w:val="57"/>
        </w:numPr>
        <w:tabs>
          <w:tab w:pos="1331" w:val="left" w:leader="none"/>
        </w:tabs>
        <w:spacing w:line="307" w:lineRule="auto" w:before="79" w:after="0"/>
        <w:ind w:left="1330" w:right="494" w:hanging="251"/>
        <w:jc w:val="both"/>
        <w:rPr>
          <w:sz w:val="17"/>
        </w:rPr>
      </w:pPr>
      <w:r>
        <w:rPr>
          <w:color w:val="231F20"/>
          <w:w w:val="120"/>
          <w:sz w:val="17"/>
        </w:rPr>
        <w:t>Le</w:t>
      </w:r>
      <w:r>
        <w:rPr>
          <w:color w:val="231F20"/>
          <w:spacing w:val="-4"/>
          <w:w w:val="120"/>
          <w:sz w:val="17"/>
        </w:rPr>
        <w:t> </w:t>
      </w:r>
      <w:r>
        <w:rPr>
          <w:color w:val="231F20"/>
          <w:w w:val="120"/>
          <w:sz w:val="17"/>
        </w:rPr>
        <w:t>stress</w:t>
      </w:r>
      <w:r>
        <w:rPr>
          <w:color w:val="231F20"/>
          <w:spacing w:val="-4"/>
          <w:w w:val="120"/>
          <w:sz w:val="17"/>
        </w:rPr>
        <w:t> </w:t>
      </w:r>
      <w:r>
        <w:rPr>
          <w:color w:val="231F20"/>
          <w:w w:val="120"/>
          <w:sz w:val="17"/>
        </w:rPr>
        <w:t>tire</w:t>
      </w:r>
      <w:r>
        <w:rPr>
          <w:color w:val="231F20"/>
          <w:spacing w:val="-4"/>
          <w:w w:val="120"/>
          <w:sz w:val="17"/>
        </w:rPr>
        <w:t> </w:t>
      </w:r>
      <w:r>
        <w:rPr>
          <w:color w:val="231F20"/>
          <w:w w:val="120"/>
          <w:sz w:val="17"/>
        </w:rPr>
        <w:t>sa</w:t>
      </w:r>
      <w:r>
        <w:rPr>
          <w:color w:val="231F20"/>
          <w:spacing w:val="-4"/>
          <w:w w:val="120"/>
          <w:sz w:val="17"/>
        </w:rPr>
        <w:t> </w:t>
      </w:r>
      <w:r>
        <w:rPr>
          <w:color w:val="231F20"/>
          <w:w w:val="120"/>
          <w:sz w:val="17"/>
        </w:rPr>
        <w:t>source</w:t>
      </w:r>
      <w:r>
        <w:rPr>
          <w:color w:val="231F20"/>
          <w:spacing w:val="-4"/>
          <w:w w:val="120"/>
          <w:sz w:val="17"/>
        </w:rPr>
        <w:t> </w:t>
      </w:r>
      <w:r>
        <w:rPr>
          <w:color w:val="231F20"/>
          <w:w w:val="120"/>
          <w:sz w:val="17"/>
        </w:rPr>
        <w:t>d’une</w:t>
      </w:r>
      <w:r>
        <w:rPr>
          <w:color w:val="231F20"/>
          <w:spacing w:val="-4"/>
          <w:w w:val="120"/>
          <w:sz w:val="17"/>
        </w:rPr>
        <w:t> </w:t>
      </w:r>
      <w:r>
        <w:rPr>
          <w:color w:val="231F20"/>
          <w:w w:val="120"/>
          <w:sz w:val="17"/>
        </w:rPr>
        <w:t>interaction</w:t>
      </w:r>
      <w:r>
        <w:rPr>
          <w:color w:val="231F20"/>
          <w:spacing w:val="-4"/>
          <w:w w:val="120"/>
          <w:sz w:val="17"/>
        </w:rPr>
        <w:t> </w:t>
      </w:r>
      <w:r>
        <w:rPr>
          <w:color w:val="231F20"/>
          <w:w w:val="120"/>
          <w:sz w:val="17"/>
        </w:rPr>
        <w:t>idiosyncratique</w:t>
      </w:r>
      <w:r>
        <w:rPr>
          <w:color w:val="231F20"/>
          <w:spacing w:val="-4"/>
          <w:w w:val="120"/>
          <w:sz w:val="17"/>
        </w:rPr>
        <w:t> </w:t>
      </w:r>
      <w:r>
        <w:rPr>
          <w:color w:val="231F20"/>
          <w:w w:val="120"/>
          <w:sz w:val="17"/>
        </w:rPr>
        <w:t>entre</w:t>
      </w:r>
      <w:r>
        <w:rPr>
          <w:color w:val="231F20"/>
          <w:spacing w:val="-4"/>
          <w:w w:val="120"/>
          <w:sz w:val="17"/>
        </w:rPr>
        <w:t> </w:t>
      </w:r>
      <w:r>
        <w:rPr>
          <w:color w:val="231F20"/>
          <w:w w:val="120"/>
          <w:sz w:val="17"/>
        </w:rPr>
        <w:t>le travailleur et son environnement de travail.</w:t>
      </w:r>
    </w:p>
    <w:p>
      <w:pPr>
        <w:pStyle w:val="ListParagraph"/>
        <w:numPr>
          <w:ilvl w:val="0"/>
          <w:numId w:val="57"/>
        </w:numPr>
        <w:tabs>
          <w:tab w:pos="1331" w:val="left" w:leader="none"/>
        </w:tabs>
        <w:spacing w:line="307" w:lineRule="auto" w:before="79" w:after="0"/>
        <w:ind w:left="1330" w:right="494" w:hanging="251"/>
        <w:jc w:val="both"/>
        <w:rPr>
          <w:sz w:val="17"/>
        </w:rPr>
      </w:pPr>
      <w:r>
        <w:rPr>
          <w:color w:val="231F20"/>
          <w:w w:val="120"/>
          <w:sz w:val="17"/>
        </w:rPr>
        <w:t>Le stresseur est l’événement dont l’individu perçoit le caractère </w:t>
      </w:r>
      <w:r>
        <w:rPr>
          <w:color w:val="231F20"/>
          <w:spacing w:val="-2"/>
          <w:w w:val="120"/>
          <w:sz w:val="17"/>
        </w:rPr>
        <w:t>perturbateur.</w:t>
      </w:r>
      <w:r>
        <w:rPr>
          <w:color w:val="231F20"/>
          <w:spacing w:val="-6"/>
          <w:w w:val="120"/>
          <w:sz w:val="17"/>
        </w:rPr>
        <w:t> </w:t>
      </w:r>
      <w:r>
        <w:rPr>
          <w:color w:val="231F20"/>
          <w:spacing w:val="-2"/>
          <w:w w:val="120"/>
          <w:sz w:val="17"/>
        </w:rPr>
        <w:t>Le</w:t>
      </w:r>
      <w:r>
        <w:rPr>
          <w:color w:val="231F20"/>
          <w:spacing w:val="-6"/>
          <w:w w:val="120"/>
          <w:sz w:val="17"/>
        </w:rPr>
        <w:t> </w:t>
      </w:r>
      <w:r>
        <w:rPr>
          <w:color w:val="231F20"/>
          <w:spacing w:val="-2"/>
          <w:w w:val="120"/>
          <w:sz w:val="17"/>
        </w:rPr>
        <w:t>stress</w:t>
      </w:r>
      <w:r>
        <w:rPr>
          <w:color w:val="231F20"/>
          <w:spacing w:val="-6"/>
          <w:w w:val="120"/>
          <w:sz w:val="17"/>
        </w:rPr>
        <w:t> </w:t>
      </w:r>
      <w:r>
        <w:rPr>
          <w:color w:val="231F20"/>
          <w:spacing w:val="-2"/>
          <w:w w:val="120"/>
          <w:sz w:val="17"/>
        </w:rPr>
        <w:t>résulte</w:t>
      </w:r>
      <w:r>
        <w:rPr>
          <w:color w:val="231F20"/>
          <w:spacing w:val="-6"/>
          <w:w w:val="120"/>
          <w:sz w:val="17"/>
        </w:rPr>
        <w:t> </w:t>
      </w:r>
      <w:r>
        <w:rPr>
          <w:color w:val="231F20"/>
          <w:spacing w:val="-2"/>
          <w:w w:val="120"/>
          <w:sz w:val="17"/>
        </w:rPr>
        <w:t>de</w:t>
      </w:r>
      <w:r>
        <w:rPr>
          <w:color w:val="231F20"/>
          <w:spacing w:val="-6"/>
          <w:w w:val="120"/>
          <w:sz w:val="17"/>
        </w:rPr>
        <w:t> </w:t>
      </w:r>
      <w:r>
        <w:rPr>
          <w:color w:val="231F20"/>
          <w:spacing w:val="-2"/>
          <w:w w:val="120"/>
          <w:sz w:val="17"/>
        </w:rPr>
        <w:t>la</w:t>
      </w:r>
      <w:r>
        <w:rPr>
          <w:color w:val="231F20"/>
          <w:spacing w:val="-6"/>
          <w:w w:val="120"/>
          <w:sz w:val="17"/>
        </w:rPr>
        <w:t> </w:t>
      </w:r>
      <w:r>
        <w:rPr>
          <w:color w:val="231F20"/>
          <w:spacing w:val="-2"/>
          <w:w w:val="120"/>
          <w:sz w:val="17"/>
        </w:rPr>
        <w:t>perception</w:t>
      </w:r>
      <w:r>
        <w:rPr>
          <w:color w:val="231F20"/>
          <w:spacing w:val="-6"/>
          <w:w w:val="120"/>
          <w:sz w:val="17"/>
        </w:rPr>
        <w:t> </w:t>
      </w:r>
      <w:r>
        <w:rPr>
          <w:color w:val="231F20"/>
          <w:spacing w:val="-2"/>
          <w:w w:val="120"/>
          <w:sz w:val="17"/>
        </w:rPr>
        <w:t>qu’a</w:t>
      </w:r>
      <w:r>
        <w:rPr>
          <w:color w:val="231F20"/>
          <w:spacing w:val="-6"/>
          <w:w w:val="120"/>
          <w:sz w:val="17"/>
        </w:rPr>
        <w:t> </w:t>
      </w:r>
      <w:r>
        <w:rPr>
          <w:color w:val="231F20"/>
          <w:spacing w:val="-2"/>
          <w:w w:val="120"/>
          <w:sz w:val="17"/>
        </w:rPr>
        <w:t>l’individu</w:t>
      </w:r>
      <w:r>
        <w:rPr>
          <w:color w:val="231F20"/>
          <w:spacing w:val="-6"/>
          <w:w w:val="120"/>
          <w:sz w:val="17"/>
        </w:rPr>
        <w:t> </w:t>
      </w:r>
      <w:r>
        <w:rPr>
          <w:color w:val="231F20"/>
          <w:spacing w:val="-2"/>
          <w:w w:val="120"/>
          <w:sz w:val="17"/>
        </w:rPr>
        <w:t>que </w:t>
      </w:r>
      <w:r>
        <w:rPr>
          <w:color w:val="231F20"/>
          <w:w w:val="120"/>
          <w:sz w:val="17"/>
        </w:rPr>
        <w:t>la</w:t>
      </w:r>
      <w:r>
        <w:rPr>
          <w:color w:val="231F20"/>
          <w:spacing w:val="-12"/>
          <w:w w:val="120"/>
          <w:sz w:val="17"/>
        </w:rPr>
        <w:t> </w:t>
      </w:r>
      <w:r>
        <w:rPr>
          <w:color w:val="231F20"/>
          <w:w w:val="120"/>
          <w:sz w:val="17"/>
        </w:rPr>
        <w:t>demande</w:t>
      </w:r>
      <w:r>
        <w:rPr>
          <w:color w:val="231F20"/>
          <w:spacing w:val="-12"/>
          <w:w w:val="120"/>
          <w:sz w:val="17"/>
        </w:rPr>
        <w:t> </w:t>
      </w:r>
      <w:r>
        <w:rPr>
          <w:color w:val="231F20"/>
          <w:w w:val="120"/>
          <w:sz w:val="17"/>
        </w:rPr>
        <w:t>dépasse</w:t>
      </w:r>
      <w:r>
        <w:rPr>
          <w:color w:val="231F20"/>
          <w:spacing w:val="-12"/>
          <w:w w:val="120"/>
          <w:sz w:val="17"/>
        </w:rPr>
        <w:t> </w:t>
      </w:r>
      <w:r>
        <w:rPr>
          <w:color w:val="231F20"/>
          <w:w w:val="120"/>
          <w:sz w:val="17"/>
        </w:rPr>
        <w:t>sa</w:t>
      </w:r>
      <w:r>
        <w:rPr>
          <w:color w:val="231F20"/>
          <w:spacing w:val="-12"/>
          <w:w w:val="120"/>
          <w:sz w:val="17"/>
        </w:rPr>
        <w:t> </w:t>
      </w:r>
      <w:r>
        <w:rPr>
          <w:color w:val="231F20"/>
          <w:w w:val="120"/>
          <w:sz w:val="17"/>
        </w:rPr>
        <w:t>capacité</w:t>
      </w:r>
      <w:r>
        <w:rPr>
          <w:color w:val="231F20"/>
          <w:spacing w:val="-12"/>
          <w:w w:val="120"/>
          <w:sz w:val="17"/>
        </w:rPr>
        <w:t> </w:t>
      </w:r>
      <w:r>
        <w:rPr>
          <w:color w:val="231F20"/>
          <w:w w:val="120"/>
          <w:sz w:val="17"/>
        </w:rPr>
        <w:t>d’y</w:t>
      </w:r>
      <w:r>
        <w:rPr>
          <w:color w:val="231F20"/>
          <w:spacing w:val="-12"/>
          <w:w w:val="120"/>
          <w:sz w:val="17"/>
        </w:rPr>
        <w:t> </w:t>
      </w:r>
      <w:r>
        <w:rPr>
          <w:color w:val="231F20"/>
          <w:w w:val="120"/>
          <w:sz w:val="17"/>
        </w:rPr>
        <w:t>répondre.</w:t>
      </w:r>
      <w:r>
        <w:rPr>
          <w:color w:val="231F20"/>
          <w:spacing w:val="-12"/>
          <w:w w:val="120"/>
          <w:sz w:val="17"/>
        </w:rPr>
        <w:t> </w:t>
      </w:r>
      <w:r>
        <w:rPr>
          <w:color w:val="231F20"/>
          <w:w w:val="120"/>
          <w:sz w:val="17"/>
        </w:rPr>
        <w:t>L’interprétation</w:t>
      </w:r>
      <w:r>
        <w:rPr>
          <w:color w:val="231F20"/>
          <w:spacing w:val="-12"/>
          <w:w w:val="120"/>
          <w:sz w:val="17"/>
        </w:rPr>
        <w:t> </w:t>
      </w:r>
      <w:r>
        <w:rPr>
          <w:color w:val="231F20"/>
          <w:w w:val="120"/>
          <w:sz w:val="17"/>
        </w:rPr>
        <w:t>ou l’appréciation</w:t>
      </w:r>
      <w:r>
        <w:rPr>
          <w:color w:val="231F20"/>
          <w:spacing w:val="-13"/>
          <w:w w:val="120"/>
          <w:sz w:val="17"/>
        </w:rPr>
        <w:t> </w:t>
      </w:r>
      <w:r>
        <w:rPr>
          <w:color w:val="231F20"/>
          <w:w w:val="120"/>
          <w:sz w:val="17"/>
        </w:rPr>
        <w:t>du</w:t>
      </w:r>
      <w:r>
        <w:rPr>
          <w:color w:val="231F20"/>
          <w:spacing w:val="-12"/>
          <w:w w:val="120"/>
          <w:sz w:val="17"/>
        </w:rPr>
        <w:t> </w:t>
      </w:r>
      <w:r>
        <w:rPr>
          <w:color w:val="231F20"/>
          <w:w w:val="120"/>
          <w:sz w:val="17"/>
        </w:rPr>
        <w:t>stress</w:t>
      </w:r>
      <w:r>
        <w:rPr>
          <w:color w:val="231F20"/>
          <w:spacing w:val="-13"/>
          <w:w w:val="120"/>
          <w:sz w:val="17"/>
        </w:rPr>
        <w:t> </w:t>
      </w:r>
      <w:r>
        <w:rPr>
          <w:color w:val="231F20"/>
          <w:w w:val="120"/>
          <w:sz w:val="17"/>
        </w:rPr>
        <w:t>est</w:t>
      </w:r>
      <w:r>
        <w:rPr>
          <w:color w:val="231F20"/>
          <w:spacing w:val="-12"/>
          <w:w w:val="120"/>
          <w:sz w:val="17"/>
        </w:rPr>
        <w:t> </w:t>
      </w:r>
      <w:r>
        <w:rPr>
          <w:color w:val="231F20"/>
          <w:w w:val="120"/>
          <w:sz w:val="17"/>
        </w:rPr>
        <w:t>considérée</w:t>
      </w:r>
      <w:r>
        <w:rPr>
          <w:color w:val="231F20"/>
          <w:spacing w:val="-13"/>
          <w:w w:val="120"/>
          <w:sz w:val="17"/>
        </w:rPr>
        <w:t> </w:t>
      </w:r>
      <w:r>
        <w:rPr>
          <w:color w:val="231F20"/>
          <w:w w:val="120"/>
          <w:sz w:val="17"/>
        </w:rPr>
        <w:t>comme</w:t>
      </w:r>
      <w:r>
        <w:rPr>
          <w:color w:val="231F20"/>
          <w:spacing w:val="-12"/>
          <w:w w:val="120"/>
          <w:sz w:val="17"/>
        </w:rPr>
        <w:t> </w:t>
      </w:r>
      <w:r>
        <w:rPr>
          <w:color w:val="231F20"/>
          <w:w w:val="120"/>
          <w:sz w:val="17"/>
        </w:rPr>
        <w:t>une</w:t>
      </w:r>
      <w:r>
        <w:rPr>
          <w:color w:val="231F20"/>
          <w:spacing w:val="-13"/>
          <w:w w:val="120"/>
          <w:sz w:val="17"/>
        </w:rPr>
        <w:t> </w:t>
      </w:r>
      <w:r>
        <w:rPr>
          <w:color w:val="231F20"/>
          <w:w w:val="120"/>
          <w:sz w:val="17"/>
        </w:rPr>
        <w:t>étape</w:t>
      </w:r>
      <w:r>
        <w:rPr>
          <w:color w:val="231F20"/>
          <w:spacing w:val="-12"/>
          <w:w w:val="120"/>
          <w:sz w:val="17"/>
        </w:rPr>
        <w:t> </w:t>
      </w:r>
      <w:r>
        <w:rPr>
          <w:color w:val="231F20"/>
          <w:w w:val="120"/>
          <w:sz w:val="17"/>
        </w:rPr>
        <w:t>intermé- diaire de la relation entre un agent stressant donné et la réponse de l’individu à cet agent.</w:t>
      </w:r>
    </w:p>
    <w:p>
      <w:pPr>
        <w:pStyle w:val="ListParagraph"/>
        <w:numPr>
          <w:ilvl w:val="0"/>
          <w:numId w:val="57"/>
        </w:numPr>
        <w:tabs>
          <w:tab w:pos="1331" w:val="left" w:leader="none"/>
        </w:tabs>
        <w:spacing w:line="307" w:lineRule="auto" w:before="78" w:after="0"/>
        <w:ind w:left="1330" w:right="493" w:hanging="251"/>
        <w:jc w:val="both"/>
        <w:rPr>
          <w:sz w:val="17"/>
        </w:rPr>
      </w:pPr>
      <w:r>
        <w:rPr>
          <w:color w:val="231F20"/>
          <w:w w:val="120"/>
          <w:sz w:val="17"/>
        </w:rPr>
        <w:t>L’appréciation du stress est déterminée par les valeurs, les buts, l’engagement individuel, sous forme de ressources personnelles </w:t>
      </w:r>
      <w:r>
        <w:rPr>
          <w:color w:val="231F20"/>
          <w:spacing w:val="-2"/>
          <w:w w:val="120"/>
          <w:sz w:val="17"/>
        </w:rPr>
        <w:t>(p.</w:t>
      </w:r>
      <w:r>
        <w:rPr>
          <w:color w:val="231F20"/>
          <w:spacing w:val="-11"/>
          <w:w w:val="120"/>
          <w:sz w:val="17"/>
        </w:rPr>
        <w:t> </w:t>
      </w:r>
      <w:r>
        <w:rPr>
          <w:color w:val="231F20"/>
          <w:spacing w:val="-2"/>
          <w:w w:val="120"/>
          <w:sz w:val="17"/>
        </w:rPr>
        <w:t>ex.</w:t>
      </w:r>
      <w:r>
        <w:rPr>
          <w:color w:val="231F20"/>
          <w:spacing w:val="-11"/>
          <w:w w:val="120"/>
          <w:sz w:val="17"/>
        </w:rPr>
        <w:t> </w:t>
      </w:r>
      <w:r>
        <w:rPr>
          <w:color w:val="231F20"/>
          <w:spacing w:val="-2"/>
          <w:w w:val="120"/>
          <w:sz w:val="17"/>
        </w:rPr>
        <w:t>revenu,</w:t>
      </w:r>
      <w:r>
        <w:rPr>
          <w:color w:val="231F20"/>
          <w:spacing w:val="-11"/>
          <w:w w:val="120"/>
          <w:sz w:val="17"/>
        </w:rPr>
        <w:t> </w:t>
      </w:r>
      <w:r>
        <w:rPr>
          <w:color w:val="231F20"/>
          <w:spacing w:val="-2"/>
          <w:w w:val="120"/>
          <w:sz w:val="17"/>
        </w:rPr>
        <w:t>soutien,</w:t>
      </w:r>
      <w:r>
        <w:rPr>
          <w:color w:val="231F20"/>
          <w:spacing w:val="-10"/>
          <w:w w:val="120"/>
          <w:sz w:val="17"/>
        </w:rPr>
        <w:t> </w:t>
      </w:r>
      <w:r>
        <w:rPr>
          <w:color w:val="231F20"/>
          <w:spacing w:val="-2"/>
          <w:w w:val="120"/>
          <w:sz w:val="17"/>
        </w:rPr>
        <w:t>estime</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soi),</w:t>
      </w:r>
      <w:r>
        <w:rPr>
          <w:color w:val="231F20"/>
          <w:spacing w:val="-11"/>
          <w:w w:val="120"/>
          <w:sz w:val="17"/>
        </w:rPr>
        <w:t> </w:t>
      </w:r>
      <w:r>
        <w:rPr>
          <w:color w:val="231F20"/>
          <w:spacing w:val="-2"/>
          <w:w w:val="120"/>
          <w:sz w:val="17"/>
        </w:rPr>
        <w:t>et</w:t>
      </w:r>
      <w:r>
        <w:rPr>
          <w:color w:val="231F20"/>
          <w:spacing w:val="-10"/>
          <w:w w:val="120"/>
          <w:sz w:val="17"/>
        </w:rPr>
        <w:t> </w:t>
      </w:r>
      <w:r>
        <w:rPr>
          <w:color w:val="231F20"/>
          <w:spacing w:val="-2"/>
          <w:w w:val="120"/>
          <w:sz w:val="17"/>
        </w:rPr>
        <w:t>les</w:t>
      </w:r>
      <w:r>
        <w:rPr>
          <w:color w:val="231F20"/>
          <w:spacing w:val="-11"/>
          <w:w w:val="120"/>
          <w:sz w:val="17"/>
        </w:rPr>
        <w:t> </w:t>
      </w:r>
      <w:r>
        <w:rPr>
          <w:color w:val="231F20"/>
          <w:spacing w:val="-2"/>
          <w:w w:val="120"/>
          <w:sz w:val="17"/>
        </w:rPr>
        <w:t>stratégies</w:t>
      </w:r>
      <w:r>
        <w:rPr>
          <w:color w:val="231F20"/>
          <w:spacing w:val="-11"/>
          <w:w w:val="120"/>
          <w:sz w:val="17"/>
        </w:rPr>
        <w:t> </w:t>
      </w:r>
      <w:r>
        <w:rPr>
          <w:color w:val="231F20"/>
          <w:spacing w:val="-2"/>
          <w:w w:val="120"/>
          <w:sz w:val="17"/>
        </w:rPr>
        <w:t>d’adaptation </w:t>
      </w:r>
      <w:r>
        <w:rPr>
          <w:color w:val="231F20"/>
          <w:w w:val="120"/>
          <w:sz w:val="17"/>
        </w:rPr>
        <w:t>que l’employé applique à la situation.</w:t>
      </w:r>
    </w:p>
    <w:p>
      <w:pPr>
        <w:pStyle w:val="ListParagraph"/>
        <w:numPr>
          <w:ilvl w:val="0"/>
          <w:numId w:val="57"/>
        </w:numPr>
        <w:tabs>
          <w:tab w:pos="1331" w:val="left" w:leader="none"/>
        </w:tabs>
        <w:spacing w:line="307" w:lineRule="auto" w:before="78" w:after="0"/>
        <w:ind w:left="1330" w:right="487" w:hanging="251"/>
        <w:jc w:val="both"/>
        <w:rPr>
          <w:sz w:val="17"/>
        </w:rPr>
      </w:pPr>
      <w:r>
        <w:rPr>
          <w:color w:val="231F20"/>
          <w:w w:val="120"/>
          <w:sz w:val="17"/>
        </w:rPr>
        <w:t>Par</w:t>
      </w:r>
      <w:r>
        <w:rPr>
          <w:color w:val="231F20"/>
          <w:w w:val="120"/>
          <w:sz w:val="17"/>
        </w:rPr>
        <w:t> une</w:t>
      </w:r>
      <w:r>
        <w:rPr>
          <w:color w:val="231F20"/>
          <w:w w:val="120"/>
          <w:sz w:val="17"/>
        </w:rPr>
        <w:t> extrapolation</w:t>
      </w:r>
      <w:r>
        <w:rPr>
          <w:color w:val="231F20"/>
          <w:w w:val="120"/>
          <w:sz w:val="17"/>
        </w:rPr>
        <w:t> du</w:t>
      </w:r>
      <w:r>
        <w:rPr>
          <w:color w:val="231F20"/>
          <w:w w:val="120"/>
          <w:sz w:val="17"/>
        </w:rPr>
        <w:t> modèle</w:t>
      </w:r>
      <w:r>
        <w:rPr>
          <w:color w:val="231F20"/>
          <w:w w:val="120"/>
          <w:sz w:val="17"/>
        </w:rPr>
        <w:t> d’adéquation</w:t>
      </w:r>
      <w:r>
        <w:rPr>
          <w:color w:val="231F20"/>
          <w:w w:val="120"/>
          <w:sz w:val="17"/>
        </w:rPr>
        <w:t> </w:t>
      </w:r>
      <w:r>
        <w:rPr>
          <w:color w:val="231F20"/>
          <w:w w:val="120"/>
          <w:sz w:val="17"/>
        </w:rPr>
        <w:t>personne-</w:t>
      </w:r>
      <w:r>
        <w:rPr>
          <w:color w:val="231F20"/>
          <w:w w:val="120"/>
          <w:sz w:val="17"/>
        </w:rPr>
        <w:t> environnement élaboré par des chercheurs de l’Université du Michigan20,</w:t>
      </w:r>
      <w:r>
        <w:rPr>
          <w:color w:val="231F20"/>
          <w:spacing w:val="-13"/>
          <w:w w:val="120"/>
          <w:sz w:val="17"/>
        </w:rPr>
        <w:t> </w:t>
      </w:r>
      <w:r>
        <w:rPr>
          <w:color w:val="231F20"/>
          <w:w w:val="120"/>
          <w:sz w:val="17"/>
        </w:rPr>
        <w:t>les</w:t>
      </w:r>
      <w:r>
        <w:rPr>
          <w:color w:val="231F20"/>
          <w:spacing w:val="-13"/>
          <w:w w:val="120"/>
          <w:sz w:val="17"/>
        </w:rPr>
        <w:t> </w:t>
      </w:r>
      <w:r>
        <w:rPr>
          <w:color w:val="231F20"/>
          <w:w w:val="120"/>
          <w:sz w:val="17"/>
        </w:rPr>
        <w:t>conséquences</w:t>
      </w:r>
      <w:r>
        <w:rPr>
          <w:color w:val="231F20"/>
          <w:spacing w:val="-13"/>
          <w:w w:val="120"/>
          <w:sz w:val="17"/>
        </w:rPr>
        <w:t> </w:t>
      </w:r>
      <w:r>
        <w:rPr>
          <w:color w:val="231F20"/>
          <w:w w:val="120"/>
          <w:sz w:val="17"/>
        </w:rPr>
        <w:t>négatives</w:t>
      </w:r>
      <w:r>
        <w:rPr>
          <w:color w:val="231F20"/>
          <w:spacing w:val="-12"/>
          <w:w w:val="120"/>
          <w:sz w:val="17"/>
        </w:rPr>
        <w:t> </w:t>
      </w:r>
      <w:r>
        <w:rPr>
          <w:color w:val="231F20"/>
          <w:w w:val="120"/>
          <w:sz w:val="17"/>
        </w:rPr>
        <w:t>du</w:t>
      </w:r>
      <w:r>
        <w:rPr>
          <w:color w:val="231F20"/>
          <w:spacing w:val="-13"/>
          <w:w w:val="120"/>
          <w:sz w:val="17"/>
        </w:rPr>
        <w:t> </w:t>
      </w:r>
      <w:r>
        <w:rPr>
          <w:color w:val="231F20"/>
          <w:w w:val="120"/>
          <w:sz w:val="17"/>
        </w:rPr>
        <w:t>stress</w:t>
      </w:r>
      <w:r>
        <w:rPr>
          <w:color w:val="231F20"/>
          <w:spacing w:val="-13"/>
          <w:w w:val="120"/>
          <w:sz w:val="17"/>
        </w:rPr>
        <w:t> </w:t>
      </w:r>
      <w:r>
        <w:rPr>
          <w:color w:val="231F20"/>
          <w:w w:val="120"/>
          <w:sz w:val="17"/>
        </w:rPr>
        <w:t>se</w:t>
      </w:r>
      <w:r>
        <w:rPr>
          <w:color w:val="231F20"/>
          <w:spacing w:val="-13"/>
          <w:w w:val="120"/>
          <w:sz w:val="17"/>
        </w:rPr>
        <w:t> </w:t>
      </w:r>
      <w:r>
        <w:rPr>
          <w:color w:val="231F20"/>
          <w:w w:val="120"/>
          <w:sz w:val="17"/>
        </w:rPr>
        <w:t>développent lorsqu’il</w:t>
      </w:r>
      <w:r>
        <w:rPr>
          <w:color w:val="231F20"/>
          <w:spacing w:val="-13"/>
          <w:w w:val="120"/>
          <w:sz w:val="17"/>
        </w:rPr>
        <w:t> </w:t>
      </w:r>
      <w:r>
        <w:rPr>
          <w:color w:val="231F20"/>
          <w:w w:val="120"/>
          <w:sz w:val="17"/>
        </w:rPr>
        <w:t>y</w:t>
      </w:r>
      <w:r>
        <w:rPr>
          <w:color w:val="231F20"/>
          <w:spacing w:val="-13"/>
          <w:w w:val="120"/>
          <w:sz w:val="17"/>
        </w:rPr>
        <w:t> </w:t>
      </w:r>
      <w:r>
        <w:rPr>
          <w:color w:val="231F20"/>
          <w:w w:val="120"/>
          <w:sz w:val="17"/>
        </w:rPr>
        <w:t>a</w:t>
      </w:r>
      <w:r>
        <w:rPr>
          <w:color w:val="231F20"/>
          <w:spacing w:val="-13"/>
          <w:w w:val="120"/>
          <w:sz w:val="17"/>
        </w:rPr>
        <w:t> </w:t>
      </w:r>
      <w:r>
        <w:rPr>
          <w:color w:val="231F20"/>
          <w:w w:val="120"/>
          <w:sz w:val="17"/>
        </w:rPr>
        <w:t>une</w:t>
      </w:r>
      <w:r>
        <w:rPr>
          <w:color w:val="231F20"/>
          <w:spacing w:val="-12"/>
          <w:w w:val="120"/>
          <w:sz w:val="17"/>
        </w:rPr>
        <w:t> </w:t>
      </w:r>
      <w:r>
        <w:rPr>
          <w:color w:val="231F20"/>
          <w:w w:val="120"/>
          <w:sz w:val="17"/>
        </w:rPr>
        <w:t>disparité</w:t>
      </w:r>
      <w:r>
        <w:rPr>
          <w:color w:val="231F20"/>
          <w:spacing w:val="-13"/>
          <w:w w:val="120"/>
          <w:sz w:val="17"/>
        </w:rPr>
        <w:t> </w:t>
      </w:r>
      <w:r>
        <w:rPr>
          <w:color w:val="231F20"/>
          <w:w w:val="120"/>
          <w:sz w:val="17"/>
        </w:rPr>
        <w:t>entre</w:t>
      </w:r>
      <w:r>
        <w:rPr>
          <w:color w:val="231F20"/>
          <w:spacing w:val="-13"/>
          <w:w w:val="120"/>
          <w:sz w:val="17"/>
        </w:rPr>
        <w:t> </w:t>
      </w:r>
      <w:r>
        <w:rPr>
          <w:color w:val="231F20"/>
          <w:w w:val="120"/>
          <w:sz w:val="17"/>
        </w:rPr>
        <w:t>les</w:t>
      </w:r>
      <w:r>
        <w:rPr>
          <w:color w:val="231F20"/>
          <w:spacing w:val="-13"/>
          <w:w w:val="120"/>
          <w:sz w:val="17"/>
        </w:rPr>
        <w:t> </w:t>
      </w:r>
      <w:r>
        <w:rPr>
          <w:color w:val="231F20"/>
          <w:w w:val="120"/>
          <w:sz w:val="17"/>
        </w:rPr>
        <w:t>caractéristiques</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personne </w:t>
      </w:r>
      <w:r>
        <w:rPr>
          <w:color w:val="231F20"/>
          <w:spacing w:val="-2"/>
          <w:w w:val="120"/>
          <w:sz w:val="17"/>
        </w:rPr>
        <w:t>et</w:t>
      </w:r>
      <w:r>
        <w:rPr>
          <w:color w:val="231F20"/>
          <w:spacing w:val="-11"/>
          <w:w w:val="120"/>
          <w:sz w:val="17"/>
        </w:rPr>
        <w:t> </w:t>
      </w:r>
      <w:r>
        <w:rPr>
          <w:color w:val="231F20"/>
          <w:spacing w:val="-2"/>
          <w:w w:val="120"/>
          <w:sz w:val="17"/>
        </w:rPr>
        <w:t>ce</w:t>
      </w:r>
      <w:r>
        <w:rPr>
          <w:color w:val="231F20"/>
          <w:spacing w:val="-10"/>
          <w:w w:val="120"/>
          <w:sz w:val="17"/>
        </w:rPr>
        <w:t> </w:t>
      </w:r>
      <w:r>
        <w:rPr>
          <w:color w:val="231F20"/>
          <w:spacing w:val="-2"/>
          <w:w w:val="120"/>
          <w:sz w:val="17"/>
        </w:rPr>
        <w:t>que</w:t>
      </w:r>
      <w:r>
        <w:rPr>
          <w:color w:val="231F20"/>
          <w:spacing w:val="-11"/>
          <w:w w:val="120"/>
          <w:sz w:val="17"/>
        </w:rPr>
        <w:t> </w:t>
      </w:r>
      <w:r>
        <w:rPr>
          <w:color w:val="231F20"/>
          <w:spacing w:val="-2"/>
          <w:w w:val="120"/>
          <w:sz w:val="17"/>
        </w:rPr>
        <w:t>lui</w:t>
      </w:r>
      <w:r>
        <w:rPr>
          <w:color w:val="231F20"/>
          <w:spacing w:val="-10"/>
          <w:w w:val="120"/>
          <w:sz w:val="17"/>
        </w:rPr>
        <w:t> </w:t>
      </w:r>
      <w:r>
        <w:rPr>
          <w:color w:val="231F20"/>
          <w:spacing w:val="-2"/>
          <w:w w:val="120"/>
          <w:sz w:val="17"/>
        </w:rPr>
        <w:t>procure</w:t>
      </w:r>
      <w:r>
        <w:rPr>
          <w:color w:val="231F20"/>
          <w:spacing w:val="-11"/>
          <w:w w:val="120"/>
          <w:sz w:val="17"/>
        </w:rPr>
        <w:t> </w:t>
      </w:r>
      <w:r>
        <w:rPr>
          <w:color w:val="231F20"/>
          <w:spacing w:val="-2"/>
          <w:w w:val="120"/>
          <w:sz w:val="17"/>
        </w:rPr>
        <w:t>son</w:t>
      </w:r>
      <w:r>
        <w:rPr>
          <w:color w:val="231F20"/>
          <w:spacing w:val="-10"/>
          <w:w w:val="120"/>
          <w:sz w:val="17"/>
        </w:rPr>
        <w:t> </w:t>
      </w:r>
      <w:r>
        <w:rPr>
          <w:color w:val="231F20"/>
          <w:spacing w:val="-2"/>
          <w:w w:val="120"/>
          <w:sz w:val="17"/>
        </w:rPr>
        <w:t>milieu,</w:t>
      </w:r>
      <w:r>
        <w:rPr>
          <w:color w:val="231F20"/>
          <w:spacing w:val="-11"/>
          <w:w w:val="120"/>
          <w:sz w:val="17"/>
        </w:rPr>
        <w:t> </w:t>
      </w:r>
      <w:r>
        <w:rPr>
          <w:color w:val="231F20"/>
          <w:spacing w:val="-2"/>
          <w:w w:val="120"/>
          <w:sz w:val="17"/>
        </w:rPr>
        <w:t>ou</w:t>
      </w:r>
      <w:r>
        <w:rPr>
          <w:color w:val="231F20"/>
          <w:spacing w:val="-10"/>
          <w:w w:val="120"/>
          <w:sz w:val="17"/>
        </w:rPr>
        <w:t> </w:t>
      </w:r>
      <w:r>
        <w:rPr>
          <w:color w:val="231F20"/>
          <w:spacing w:val="-2"/>
          <w:w w:val="120"/>
          <w:sz w:val="17"/>
        </w:rPr>
        <w:t>entre</w:t>
      </w:r>
      <w:r>
        <w:rPr>
          <w:color w:val="231F20"/>
          <w:spacing w:val="-11"/>
          <w:w w:val="120"/>
          <w:sz w:val="17"/>
        </w:rPr>
        <w:t> </w:t>
      </w:r>
      <w:r>
        <w:rPr>
          <w:color w:val="231F20"/>
          <w:spacing w:val="-2"/>
          <w:w w:val="120"/>
          <w:sz w:val="17"/>
        </w:rPr>
        <w:t>les</w:t>
      </w:r>
      <w:r>
        <w:rPr>
          <w:color w:val="231F20"/>
          <w:spacing w:val="-10"/>
          <w:w w:val="120"/>
          <w:sz w:val="17"/>
        </w:rPr>
        <w:t> </w:t>
      </w:r>
      <w:r>
        <w:rPr>
          <w:color w:val="231F20"/>
          <w:spacing w:val="-2"/>
          <w:w w:val="120"/>
          <w:sz w:val="17"/>
        </w:rPr>
        <w:t>exigences</w:t>
      </w:r>
      <w:r>
        <w:rPr>
          <w:color w:val="231F20"/>
          <w:spacing w:val="-11"/>
          <w:w w:val="120"/>
          <w:sz w:val="17"/>
        </w:rPr>
        <w:t> </w:t>
      </w:r>
      <w:r>
        <w:rPr>
          <w:color w:val="231F20"/>
          <w:spacing w:val="-2"/>
          <w:w w:val="120"/>
          <w:sz w:val="17"/>
        </w:rPr>
        <w:t>de</w:t>
      </w:r>
      <w:r>
        <w:rPr>
          <w:color w:val="231F20"/>
          <w:spacing w:val="-10"/>
          <w:w w:val="120"/>
          <w:sz w:val="17"/>
        </w:rPr>
        <w:t> </w:t>
      </w:r>
      <w:r>
        <w:rPr>
          <w:color w:val="231F20"/>
          <w:spacing w:val="-2"/>
          <w:w w:val="120"/>
          <w:sz w:val="17"/>
        </w:rPr>
        <w:t>l’emploi </w:t>
      </w:r>
      <w:r>
        <w:rPr>
          <w:color w:val="231F20"/>
          <w:w w:val="120"/>
          <w:sz w:val="17"/>
        </w:rPr>
        <w:t>et la capacité de la personne à répondre à ces exigences.</w:t>
      </w:r>
    </w:p>
    <w:p>
      <w:pPr>
        <w:pStyle w:val="BodyText"/>
        <w:rPr>
          <w:sz w:val="20"/>
        </w:rPr>
      </w:pPr>
    </w:p>
    <w:p>
      <w:pPr>
        <w:pStyle w:val="BodyText"/>
        <w:spacing w:before="1"/>
        <w:rPr>
          <w:sz w:val="14"/>
        </w:rPr>
      </w:pPr>
      <w:r>
        <w:rPr/>
        <w:pict>
          <v:shape style="position:absolute;margin-left:62.5pt;margin-top:9.344238pt;width:287.5pt;height:.1pt;mso-position-horizontal-relative:page;mso-position-vertical-relative:paragraph;z-index:-15664640;mso-wrap-distance-left:0;mso-wrap-distance-right:0" id="docshape777" coordorigin="1250,187" coordsize="5750,0" path="m1250,187l7000,187e" filled="false" stroked="true" strokeweight=".25pt" strokecolor="#231f20">
            <v:path arrowok="t"/>
            <v:stroke dashstyle="shortdot"/>
            <w10:wrap type="topAndBottom"/>
          </v:shape>
        </w:pict>
      </w:r>
    </w:p>
    <w:p>
      <w:pPr>
        <w:pStyle w:val="ListParagraph"/>
        <w:numPr>
          <w:ilvl w:val="0"/>
          <w:numId w:val="42"/>
        </w:numPr>
        <w:tabs>
          <w:tab w:pos="830" w:val="left" w:leader="none"/>
        </w:tabs>
        <w:spacing w:line="295" w:lineRule="auto" w:before="135" w:after="0"/>
        <w:ind w:left="829" w:right="494" w:hanging="406"/>
        <w:jc w:val="both"/>
        <w:rPr>
          <w:rFonts w:ascii="Arial"/>
          <w:sz w:val="12"/>
        </w:rPr>
      </w:pPr>
      <w:r>
        <w:rPr>
          <w:rFonts w:ascii="Arial"/>
          <w:color w:val="231F20"/>
          <w:sz w:val="12"/>
        </w:rPr>
        <w:t>Caplan,</w:t>
      </w:r>
      <w:r>
        <w:rPr>
          <w:rFonts w:ascii="Arial"/>
          <w:color w:val="231F20"/>
          <w:spacing w:val="-9"/>
          <w:sz w:val="12"/>
        </w:rPr>
        <w:t> </w:t>
      </w:r>
      <w:r>
        <w:rPr>
          <w:rFonts w:ascii="Arial"/>
          <w:color w:val="231F20"/>
          <w:sz w:val="12"/>
        </w:rPr>
        <w:t>R.</w:t>
      </w:r>
      <w:r>
        <w:rPr>
          <w:rFonts w:ascii="Arial"/>
          <w:color w:val="231F20"/>
          <w:spacing w:val="-8"/>
          <w:sz w:val="12"/>
        </w:rPr>
        <w:t> </w:t>
      </w:r>
      <w:r>
        <w:rPr>
          <w:rFonts w:ascii="Arial"/>
          <w:color w:val="231F20"/>
          <w:sz w:val="12"/>
        </w:rPr>
        <w:t>D.,</w:t>
      </w:r>
      <w:r>
        <w:rPr>
          <w:rFonts w:ascii="Arial"/>
          <w:color w:val="231F20"/>
          <w:spacing w:val="-8"/>
          <w:sz w:val="12"/>
        </w:rPr>
        <w:t> </w:t>
      </w:r>
      <w:r>
        <w:rPr>
          <w:rFonts w:ascii="Arial"/>
          <w:color w:val="231F20"/>
          <w:sz w:val="12"/>
        </w:rPr>
        <w:t>Cobb,</w:t>
      </w:r>
      <w:r>
        <w:rPr>
          <w:rFonts w:ascii="Arial"/>
          <w:color w:val="231F20"/>
          <w:spacing w:val="-9"/>
          <w:sz w:val="12"/>
        </w:rPr>
        <w:t> </w:t>
      </w:r>
      <w:r>
        <w:rPr>
          <w:rFonts w:ascii="Arial"/>
          <w:color w:val="231F20"/>
          <w:sz w:val="12"/>
        </w:rPr>
        <w:t>S.,</w:t>
      </w:r>
      <w:r>
        <w:rPr>
          <w:rFonts w:ascii="Arial"/>
          <w:color w:val="231F20"/>
          <w:spacing w:val="-8"/>
          <w:sz w:val="12"/>
        </w:rPr>
        <w:t> </w:t>
      </w:r>
      <w:r>
        <w:rPr>
          <w:rFonts w:ascii="Arial"/>
          <w:color w:val="231F20"/>
          <w:sz w:val="12"/>
        </w:rPr>
        <w:t>French,</w:t>
      </w:r>
      <w:r>
        <w:rPr>
          <w:rFonts w:ascii="Arial"/>
          <w:color w:val="231F20"/>
          <w:spacing w:val="-8"/>
          <w:sz w:val="12"/>
        </w:rPr>
        <w:t> </w:t>
      </w:r>
      <w:r>
        <w:rPr>
          <w:rFonts w:ascii="Arial"/>
          <w:color w:val="231F20"/>
          <w:sz w:val="12"/>
        </w:rPr>
        <w:t>J.</w:t>
      </w:r>
      <w:r>
        <w:rPr>
          <w:rFonts w:ascii="Arial"/>
          <w:color w:val="231F20"/>
          <w:spacing w:val="-9"/>
          <w:sz w:val="12"/>
        </w:rPr>
        <w:t> </w:t>
      </w:r>
      <w:r>
        <w:rPr>
          <w:rFonts w:ascii="Arial"/>
          <w:color w:val="231F20"/>
          <w:sz w:val="12"/>
        </w:rPr>
        <w:t>R.</w:t>
      </w:r>
      <w:r>
        <w:rPr>
          <w:rFonts w:ascii="Arial"/>
          <w:color w:val="231F20"/>
          <w:spacing w:val="-8"/>
          <w:sz w:val="12"/>
        </w:rPr>
        <w:t> </w:t>
      </w:r>
      <w:r>
        <w:rPr>
          <w:rFonts w:ascii="Arial"/>
          <w:color w:val="231F20"/>
          <w:sz w:val="12"/>
        </w:rPr>
        <w:t>P.,</w:t>
      </w:r>
      <w:r>
        <w:rPr>
          <w:rFonts w:ascii="Arial"/>
          <w:color w:val="231F20"/>
          <w:spacing w:val="-9"/>
          <w:sz w:val="12"/>
        </w:rPr>
        <w:t> </w:t>
      </w:r>
      <w:r>
        <w:rPr>
          <w:rFonts w:ascii="Arial"/>
          <w:color w:val="231F20"/>
          <w:sz w:val="12"/>
        </w:rPr>
        <w:t>Van</w:t>
      </w:r>
      <w:r>
        <w:rPr>
          <w:rFonts w:ascii="Arial"/>
          <w:color w:val="231F20"/>
          <w:spacing w:val="-8"/>
          <w:sz w:val="12"/>
        </w:rPr>
        <w:t> </w:t>
      </w:r>
      <w:r>
        <w:rPr>
          <w:rFonts w:ascii="Arial"/>
          <w:color w:val="231F20"/>
          <w:sz w:val="12"/>
        </w:rPr>
        <w:t>Harrison,</w:t>
      </w:r>
      <w:r>
        <w:rPr>
          <w:rFonts w:ascii="Arial"/>
          <w:color w:val="231F20"/>
          <w:spacing w:val="-8"/>
          <w:sz w:val="12"/>
        </w:rPr>
        <w:t> </w:t>
      </w:r>
      <w:r>
        <w:rPr>
          <w:rFonts w:ascii="Arial"/>
          <w:color w:val="231F20"/>
          <w:sz w:val="12"/>
        </w:rPr>
        <w:t>R.</w:t>
      </w:r>
      <w:r>
        <w:rPr>
          <w:rFonts w:ascii="Arial"/>
          <w:color w:val="231F20"/>
          <w:spacing w:val="-9"/>
          <w:sz w:val="12"/>
        </w:rPr>
        <w:t> </w:t>
      </w:r>
      <w:r>
        <w:rPr>
          <w:rFonts w:ascii="Arial"/>
          <w:color w:val="231F20"/>
          <w:sz w:val="12"/>
        </w:rPr>
        <w:t>et</w:t>
      </w:r>
      <w:r>
        <w:rPr>
          <w:rFonts w:ascii="Arial"/>
          <w:color w:val="231F20"/>
          <w:spacing w:val="-8"/>
          <w:sz w:val="12"/>
        </w:rPr>
        <w:t> </w:t>
      </w:r>
      <w:r>
        <w:rPr>
          <w:rFonts w:ascii="Arial"/>
          <w:color w:val="231F20"/>
          <w:sz w:val="12"/>
        </w:rPr>
        <w:t>Pinneau,</w:t>
      </w:r>
      <w:r>
        <w:rPr>
          <w:rFonts w:ascii="Arial"/>
          <w:color w:val="231F20"/>
          <w:spacing w:val="-8"/>
          <w:sz w:val="12"/>
        </w:rPr>
        <w:t> </w:t>
      </w:r>
      <w:r>
        <w:rPr>
          <w:rFonts w:ascii="Arial"/>
          <w:color w:val="231F20"/>
          <w:sz w:val="12"/>
        </w:rPr>
        <w:t>S.</w:t>
      </w:r>
      <w:r>
        <w:rPr>
          <w:rFonts w:ascii="Arial"/>
          <w:color w:val="231F20"/>
          <w:spacing w:val="-9"/>
          <w:sz w:val="12"/>
        </w:rPr>
        <w:t> </w:t>
      </w:r>
      <w:r>
        <w:rPr>
          <w:rFonts w:ascii="Arial"/>
          <w:color w:val="231F20"/>
          <w:sz w:val="12"/>
        </w:rPr>
        <w:t>R.</w:t>
      </w:r>
      <w:r>
        <w:rPr>
          <w:rFonts w:ascii="Arial"/>
          <w:color w:val="231F20"/>
          <w:spacing w:val="-8"/>
          <w:sz w:val="12"/>
        </w:rPr>
        <w:t> </w:t>
      </w:r>
      <w:r>
        <w:rPr>
          <w:rFonts w:ascii="Arial"/>
          <w:color w:val="231F20"/>
          <w:sz w:val="12"/>
        </w:rPr>
        <w:t>(1975).</w:t>
      </w:r>
      <w:r>
        <w:rPr>
          <w:rFonts w:ascii="Arial"/>
          <w:color w:val="231F20"/>
          <w:spacing w:val="-8"/>
          <w:sz w:val="12"/>
        </w:rPr>
        <w:t> </w:t>
      </w:r>
      <w:r>
        <w:rPr>
          <w:rFonts w:ascii="Arial"/>
          <w:i/>
          <w:color w:val="231F20"/>
          <w:sz w:val="12"/>
        </w:rPr>
        <w:t>Job</w:t>
      </w:r>
      <w:r>
        <w:rPr>
          <w:rFonts w:ascii="Arial"/>
          <w:i/>
          <w:color w:val="231F20"/>
          <w:spacing w:val="-9"/>
          <w:sz w:val="12"/>
        </w:rPr>
        <w:t> </w:t>
      </w:r>
      <w:r>
        <w:rPr>
          <w:rFonts w:ascii="Arial"/>
          <w:i/>
          <w:color w:val="231F20"/>
          <w:sz w:val="12"/>
        </w:rPr>
        <w:t>Demands</w:t>
      </w:r>
      <w:r>
        <w:rPr>
          <w:rFonts w:ascii="Arial"/>
          <w:i/>
          <w:color w:val="231F20"/>
          <w:spacing w:val="-8"/>
          <w:sz w:val="12"/>
        </w:rPr>
        <w:t> </w:t>
      </w:r>
      <w:r>
        <w:rPr>
          <w:rFonts w:ascii="Arial"/>
          <w:i/>
          <w:color w:val="231F20"/>
          <w:sz w:val="12"/>
        </w:rPr>
        <w:t>and</w:t>
      </w:r>
      <w:r>
        <w:rPr>
          <w:rFonts w:ascii="Arial"/>
          <w:i/>
          <w:color w:val="231F20"/>
          <w:spacing w:val="-8"/>
          <w:sz w:val="12"/>
        </w:rPr>
        <w:t> </w:t>
      </w:r>
      <w:r>
        <w:rPr>
          <w:rFonts w:ascii="Arial"/>
          <w:i/>
          <w:color w:val="231F20"/>
          <w:sz w:val="12"/>
        </w:rPr>
        <w:t>Worker</w:t>
      </w:r>
      <w:r>
        <w:rPr>
          <w:rFonts w:ascii="Arial"/>
          <w:i/>
          <w:color w:val="231F20"/>
          <w:spacing w:val="40"/>
          <w:sz w:val="12"/>
        </w:rPr>
        <w:t> </w:t>
      </w:r>
      <w:r>
        <w:rPr>
          <w:rFonts w:ascii="Arial"/>
          <w:i/>
          <w:color w:val="231F20"/>
          <w:sz w:val="12"/>
        </w:rPr>
        <w:t>Health</w:t>
      </w:r>
      <w:r>
        <w:rPr>
          <w:rFonts w:ascii="Arial"/>
          <w:color w:val="231F20"/>
          <w:sz w:val="12"/>
        </w:rPr>
        <w:t>, Cincinnati, National Institute for Occupational Safety and Health, p. 75-168</w:t>
      </w:r>
      <w:r>
        <w:rPr>
          <w:rFonts w:ascii="Arial"/>
          <w:color w:val="231F20"/>
          <w:spacing w:val="-9"/>
          <w:sz w:val="12"/>
        </w:rPr>
        <w:t> </w:t>
      </w:r>
      <w:r>
        <w:rPr>
          <w:rFonts w:ascii="Arial"/>
          <w:color w:val="231F20"/>
          <w:sz w:val="12"/>
        </w:rPr>
        <w:t>; French, J. R. P.,</w:t>
      </w:r>
      <w:r>
        <w:rPr>
          <w:rFonts w:ascii="Arial"/>
          <w:color w:val="231F20"/>
          <w:spacing w:val="40"/>
          <w:sz w:val="12"/>
        </w:rPr>
        <w:t> </w:t>
      </w:r>
      <w:r>
        <w:rPr>
          <w:rFonts w:ascii="Arial"/>
          <w:color w:val="231F20"/>
          <w:sz w:val="12"/>
        </w:rPr>
        <w:t>Caplan,</w:t>
      </w:r>
      <w:r>
        <w:rPr>
          <w:rFonts w:ascii="Arial"/>
          <w:color w:val="231F20"/>
          <w:spacing w:val="9"/>
          <w:sz w:val="12"/>
        </w:rPr>
        <w:t> </w:t>
      </w:r>
      <w:r>
        <w:rPr>
          <w:rFonts w:ascii="Arial"/>
          <w:color w:val="231F20"/>
          <w:sz w:val="12"/>
        </w:rPr>
        <w:t>R.</w:t>
      </w:r>
      <w:r>
        <w:rPr>
          <w:rFonts w:ascii="Arial"/>
          <w:color w:val="231F20"/>
          <w:spacing w:val="15"/>
          <w:sz w:val="12"/>
        </w:rPr>
        <w:t> </w:t>
      </w:r>
      <w:r>
        <w:rPr>
          <w:rFonts w:ascii="Arial"/>
          <w:color w:val="231F20"/>
          <w:sz w:val="12"/>
        </w:rPr>
        <w:t>D.</w:t>
      </w:r>
      <w:r>
        <w:rPr>
          <w:rFonts w:ascii="Arial"/>
          <w:color w:val="231F20"/>
          <w:spacing w:val="15"/>
          <w:sz w:val="12"/>
        </w:rPr>
        <w:t> </w:t>
      </w:r>
      <w:r>
        <w:rPr>
          <w:rFonts w:ascii="Arial"/>
          <w:color w:val="231F20"/>
          <w:sz w:val="12"/>
        </w:rPr>
        <w:t>et</w:t>
      </w:r>
      <w:r>
        <w:rPr>
          <w:rFonts w:ascii="Arial"/>
          <w:color w:val="231F20"/>
          <w:spacing w:val="15"/>
          <w:sz w:val="12"/>
        </w:rPr>
        <w:t> </w:t>
      </w:r>
      <w:r>
        <w:rPr>
          <w:rFonts w:ascii="Arial"/>
          <w:color w:val="231F20"/>
          <w:sz w:val="12"/>
        </w:rPr>
        <w:t>Van</w:t>
      </w:r>
      <w:r>
        <w:rPr>
          <w:rFonts w:ascii="Arial"/>
          <w:color w:val="231F20"/>
          <w:spacing w:val="15"/>
          <w:sz w:val="12"/>
        </w:rPr>
        <w:t> </w:t>
      </w:r>
      <w:r>
        <w:rPr>
          <w:rFonts w:ascii="Arial"/>
          <w:color w:val="231F20"/>
          <w:sz w:val="12"/>
        </w:rPr>
        <w:t>Harrison,</w:t>
      </w:r>
      <w:r>
        <w:rPr>
          <w:rFonts w:ascii="Arial"/>
          <w:color w:val="231F20"/>
          <w:spacing w:val="15"/>
          <w:sz w:val="12"/>
        </w:rPr>
        <w:t> </w:t>
      </w:r>
      <w:r>
        <w:rPr>
          <w:rFonts w:ascii="Arial"/>
          <w:color w:val="231F20"/>
          <w:sz w:val="12"/>
        </w:rPr>
        <w:t>R.</w:t>
      </w:r>
      <w:r>
        <w:rPr>
          <w:rFonts w:ascii="Arial"/>
          <w:color w:val="231F20"/>
          <w:spacing w:val="15"/>
          <w:sz w:val="12"/>
        </w:rPr>
        <w:t> </w:t>
      </w:r>
      <w:r>
        <w:rPr>
          <w:rFonts w:ascii="Arial"/>
          <w:color w:val="231F20"/>
          <w:sz w:val="12"/>
        </w:rPr>
        <w:t>(1982).</w:t>
      </w:r>
      <w:r>
        <w:rPr>
          <w:rFonts w:ascii="Arial"/>
          <w:color w:val="231F20"/>
          <w:spacing w:val="14"/>
          <w:sz w:val="12"/>
        </w:rPr>
        <w:t> </w:t>
      </w:r>
      <w:r>
        <w:rPr>
          <w:rFonts w:ascii="Arial"/>
          <w:i/>
          <w:color w:val="231F20"/>
          <w:sz w:val="12"/>
        </w:rPr>
        <w:t>The</w:t>
      </w:r>
      <w:r>
        <w:rPr>
          <w:rFonts w:ascii="Arial"/>
          <w:i/>
          <w:color w:val="231F20"/>
          <w:spacing w:val="15"/>
          <w:sz w:val="12"/>
        </w:rPr>
        <w:t> </w:t>
      </w:r>
      <w:r>
        <w:rPr>
          <w:rFonts w:ascii="Arial"/>
          <w:i/>
          <w:color w:val="231F20"/>
          <w:sz w:val="12"/>
        </w:rPr>
        <w:t>Mechanisms</w:t>
      </w:r>
      <w:r>
        <w:rPr>
          <w:rFonts w:ascii="Arial"/>
          <w:i/>
          <w:color w:val="231F20"/>
          <w:spacing w:val="15"/>
          <w:sz w:val="12"/>
        </w:rPr>
        <w:t> </w:t>
      </w:r>
      <w:r>
        <w:rPr>
          <w:rFonts w:ascii="Arial"/>
          <w:i/>
          <w:color w:val="231F20"/>
          <w:sz w:val="12"/>
        </w:rPr>
        <w:t>of</w:t>
      </w:r>
      <w:r>
        <w:rPr>
          <w:rFonts w:ascii="Arial"/>
          <w:i/>
          <w:color w:val="231F20"/>
          <w:spacing w:val="15"/>
          <w:sz w:val="12"/>
        </w:rPr>
        <w:t> </w:t>
      </w:r>
      <w:r>
        <w:rPr>
          <w:rFonts w:ascii="Arial"/>
          <w:i/>
          <w:color w:val="231F20"/>
          <w:sz w:val="12"/>
        </w:rPr>
        <w:t>Job</w:t>
      </w:r>
      <w:r>
        <w:rPr>
          <w:rFonts w:ascii="Arial"/>
          <w:i/>
          <w:color w:val="231F20"/>
          <w:spacing w:val="15"/>
          <w:sz w:val="12"/>
        </w:rPr>
        <w:t> </w:t>
      </w:r>
      <w:r>
        <w:rPr>
          <w:rFonts w:ascii="Arial"/>
          <w:i/>
          <w:color w:val="231F20"/>
          <w:sz w:val="12"/>
        </w:rPr>
        <w:t>Stress</w:t>
      </w:r>
      <w:r>
        <w:rPr>
          <w:rFonts w:ascii="Arial"/>
          <w:i/>
          <w:color w:val="231F20"/>
          <w:spacing w:val="15"/>
          <w:sz w:val="12"/>
        </w:rPr>
        <w:t> </w:t>
      </w:r>
      <w:r>
        <w:rPr>
          <w:rFonts w:ascii="Arial"/>
          <w:i/>
          <w:color w:val="231F20"/>
          <w:sz w:val="12"/>
        </w:rPr>
        <w:t>and</w:t>
      </w:r>
      <w:r>
        <w:rPr>
          <w:rFonts w:ascii="Arial"/>
          <w:i/>
          <w:color w:val="231F20"/>
          <w:spacing w:val="15"/>
          <w:sz w:val="12"/>
        </w:rPr>
        <w:t> </w:t>
      </w:r>
      <w:r>
        <w:rPr>
          <w:rFonts w:ascii="Arial"/>
          <w:i/>
          <w:color w:val="231F20"/>
          <w:sz w:val="12"/>
        </w:rPr>
        <w:t>Strain</w:t>
      </w:r>
      <w:r>
        <w:rPr>
          <w:rFonts w:ascii="Arial"/>
          <w:color w:val="231F20"/>
          <w:sz w:val="12"/>
        </w:rPr>
        <w:t>,</w:t>
      </w:r>
      <w:r>
        <w:rPr>
          <w:rFonts w:ascii="Arial"/>
          <w:color w:val="231F20"/>
          <w:spacing w:val="15"/>
          <w:sz w:val="12"/>
        </w:rPr>
        <w:t> </w:t>
      </w:r>
      <w:r>
        <w:rPr>
          <w:rFonts w:ascii="Arial"/>
          <w:color w:val="231F20"/>
          <w:sz w:val="12"/>
        </w:rPr>
        <w:t>New</w:t>
      </w:r>
      <w:r>
        <w:rPr>
          <w:rFonts w:ascii="Arial"/>
          <w:color w:val="231F20"/>
          <w:spacing w:val="15"/>
          <w:sz w:val="12"/>
        </w:rPr>
        <w:t> </w:t>
      </w:r>
      <w:r>
        <w:rPr>
          <w:rFonts w:ascii="Arial"/>
          <w:color w:val="231F20"/>
          <w:sz w:val="12"/>
        </w:rPr>
        <w:t>York,</w:t>
      </w:r>
      <w:r>
        <w:rPr>
          <w:rFonts w:ascii="Arial"/>
          <w:color w:val="231F20"/>
          <w:spacing w:val="15"/>
          <w:sz w:val="12"/>
        </w:rPr>
        <w:t> </w:t>
      </w:r>
      <w:r>
        <w:rPr>
          <w:rFonts w:ascii="Arial"/>
          <w:color w:val="231F20"/>
          <w:sz w:val="12"/>
        </w:rPr>
        <w:t>Wiley</w:t>
      </w:r>
      <w:r>
        <w:rPr>
          <w:rFonts w:ascii="Arial"/>
          <w:color w:val="231F20"/>
          <w:spacing w:val="-9"/>
          <w:sz w:val="12"/>
        </w:rPr>
        <w:t> </w:t>
      </w:r>
      <w:r>
        <w:rPr>
          <w:rFonts w:ascii="Arial"/>
          <w:color w:val="231F20"/>
          <w:sz w:val="12"/>
        </w:rPr>
        <w:t>;</w:t>
      </w:r>
      <w:r>
        <w:rPr>
          <w:rFonts w:ascii="Arial"/>
          <w:color w:val="231F20"/>
          <w:spacing w:val="40"/>
          <w:sz w:val="12"/>
        </w:rPr>
        <w:t> </w:t>
      </w:r>
      <w:r>
        <w:rPr>
          <w:rFonts w:ascii="Arial"/>
          <w:color w:val="231F20"/>
          <w:sz w:val="12"/>
        </w:rPr>
        <w:t>Van</w:t>
      </w:r>
      <w:r>
        <w:rPr>
          <w:rFonts w:ascii="Arial"/>
          <w:color w:val="231F20"/>
          <w:spacing w:val="-9"/>
          <w:sz w:val="12"/>
        </w:rPr>
        <w:t> </w:t>
      </w:r>
      <w:r>
        <w:rPr>
          <w:rFonts w:ascii="Arial"/>
          <w:color w:val="231F20"/>
          <w:sz w:val="12"/>
        </w:rPr>
        <w:t>Harrison,</w:t>
      </w:r>
      <w:r>
        <w:rPr>
          <w:rFonts w:ascii="Arial"/>
          <w:color w:val="231F20"/>
          <w:spacing w:val="-8"/>
          <w:sz w:val="12"/>
        </w:rPr>
        <w:t> </w:t>
      </w:r>
      <w:r>
        <w:rPr>
          <w:rFonts w:ascii="Arial"/>
          <w:color w:val="231F20"/>
          <w:sz w:val="12"/>
        </w:rPr>
        <w:t>R.</w:t>
      </w:r>
      <w:r>
        <w:rPr>
          <w:rFonts w:ascii="Arial"/>
          <w:color w:val="231F20"/>
          <w:spacing w:val="-8"/>
          <w:sz w:val="12"/>
        </w:rPr>
        <w:t> </w:t>
      </w:r>
      <w:r>
        <w:rPr>
          <w:rFonts w:ascii="Arial"/>
          <w:color w:val="231F20"/>
          <w:sz w:val="12"/>
        </w:rPr>
        <w:t>(1978).</w:t>
      </w:r>
      <w:r>
        <w:rPr>
          <w:rFonts w:ascii="Arial"/>
          <w:color w:val="231F20"/>
          <w:spacing w:val="-9"/>
          <w:sz w:val="12"/>
        </w:rPr>
        <w:t> </w:t>
      </w:r>
      <w:r>
        <w:rPr>
          <w:rFonts w:ascii="Arial"/>
          <w:color w:val="231F20"/>
          <w:sz w:val="12"/>
        </w:rPr>
        <w:t>Person-environment</w:t>
      </w:r>
      <w:r>
        <w:rPr>
          <w:rFonts w:ascii="Arial"/>
          <w:color w:val="231F20"/>
          <w:spacing w:val="-8"/>
          <w:sz w:val="12"/>
        </w:rPr>
        <w:t> </w:t>
      </w:r>
      <w:r>
        <w:rPr>
          <w:rFonts w:ascii="Arial"/>
          <w:color w:val="231F20"/>
          <w:sz w:val="12"/>
        </w:rPr>
        <w:t>fit</w:t>
      </w:r>
      <w:r>
        <w:rPr>
          <w:rFonts w:ascii="Arial"/>
          <w:color w:val="231F20"/>
          <w:spacing w:val="-8"/>
          <w:sz w:val="12"/>
        </w:rPr>
        <w:t> </w:t>
      </w:r>
      <w:r>
        <w:rPr>
          <w:rFonts w:ascii="Arial"/>
          <w:color w:val="231F20"/>
          <w:sz w:val="12"/>
        </w:rPr>
        <w:t>and</w:t>
      </w:r>
      <w:r>
        <w:rPr>
          <w:rFonts w:ascii="Arial"/>
          <w:color w:val="231F20"/>
          <w:spacing w:val="-9"/>
          <w:sz w:val="12"/>
        </w:rPr>
        <w:t> </w:t>
      </w:r>
      <w:r>
        <w:rPr>
          <w:rFonts w:ascii="Arial"/>
          <w:color w:val="231F20"/>
          <w:sz w:val="12"/>
        </w:rPr>
        <w:t>job</w:t>
      </w:r>
      <w:r>
        <w:rPr>
          <w:rFonts w:ascii="Arial"/>
          <w:color w:val="231F20"/>
          <w:spacing w:val="-8"/>
          <w:sz w:val="12"/>
        </w:rPr>
        <w:t> </w:t>
      </w:r>
      <w:r>
        <w:rPr>
          <w:rFonts w:ascii="Arial"/>
          <w:color w:val="231F20"/>
          <w:sz w:val="12"/>
        </w:rPr>
        <w:t>stress.</w:t>
      </w:r>
      <w:r>
        <w:rPr>
          <w:rFonts w:ascii="Arial"/>
          <w:color w:val="231F20"/>
          <w:spacing w:val="-8"/>
          <w:sz w:val="12"/>
        </w:rPr>
        <w:t> </w:t>
      </w:r>
      <w:r>
        <w:rPr>
          <w:rFonts w:ascii="Arial"/>
          <w:color w:val="231F20"/>
          <w:sz w:val="12"/>
        </w:rPr>
        <w:t>Dans</w:t>
      </w:r>
      <w:r>
        <w:rPr>
          <w:rFonts w:ascii="Arial"/>
          <w:color w:val="231F20"/>
          <w:spacing w:val="-9"/>
          <w:sz w:val="12"/>
        </w:rPr>
        <w:t> </w:t>
      </w:r>
      <w:r>
        <w:rPr>
          <w:rFonts w:ascii="Arial"/>
          <w:color w:val="231F20"/>
          <w:sz w:val="12"/>
        </w:rPr>
        <w:t>C.</w:t>
      </w:r>
      <w:r>
        <w:rPr>
          <w:rFonts w:ascii="Arial"/>
          <w:color w:val="231F20"/>
          <w:spacing w:val="-8"/>
          <w:sz w:val="12"/>
        </w:rPr>
        <w:t> </w:t>
      </w:r>
      <w:r>
        <w:rPr>
          <w:rFonts w:ascii="Arial"/>
          <w:color w:val="231F20"/>
          <w:sz w:val="12"/>
        </w:rPr>
        <w:t>L.</w:t>
      </w:r>
      <w:r>
        <w:rPr>
          <w:rFonts w:ascii="Arial"/>
          <w:color w:val="231F20"/>
          <w:spacing w:val="-8"/>
          <w:sz w:val="12"/>
        </w:rPr>
        <w:t> </w:t>
      </w:r>
      <w:r>
        <w:rPr>
          <w:rFonts w:ascii="Arial"/>
          <w:color w:val="231F20"/>
          <w:sz w:val="12"/>
        </w:rPr>
        <w:t>Cooper</w:t>
      </w:r>
      <w:r>
        <w:rPr>
          <w:rFonts w:ascii="Arial"/>
          <w:color w:val="231F20"/>
          <w:spacing w:val="-9"/>
          <w:sz w:val="12"/>
        </w:rPr>
        <w:t> </w:t>
      </w:r>
      <w:r>
        <w:rPr>
          <w:rFonts w:ascii="Arial"/>
          <w:color w:val="231F20"/>
          <w:sz w:val="12"/>
        </w:rPr>
        <w:t>et</w:t>
      </w:r>
      <w:r>
        <w:rPr>
          <w:rFonts w:ascii="Arial"/>
          <w:color w:val="231F20"/>
          <w:spacing w:val="-8"/>
          <w:sz w:val="12"/>
        </w:rPr>
        <w:t> </w:t>
      </w:r>
      <w:r>
        <w:rPr>
          <w:rFonts w:ascii="Arial"/>
          <w:color w:val="231F20"/>
          <w:sz w:val="12"/>
        </w:rPr>
        <w:t>R.</w:t>
      </w:r>
      <w:r>
        <w:rPr>
          <w:rFonts w:ascii="Arial"/>
          <w:color w:val="231F20"/>
          <w:spacing w:val="-8"/>
          <w:sz w:val="12"/>
        </w:rPr>
        <w:t> </w:t>
      </w:r>
      <w:r>
        <w:rPr>
          <w:rFonts w:ascii="Arial"/>
          <w:color w:val="231F20"/>
          <w:sz w:val="12"/>
        </w:rPr>
        <w:t>Payne</w:t>
      </w:r>
      <w:r>
        <w:rPr>
          <w:rFonts w:ascii="Arial"/>
          <w:color w:val="231F20"/>
          <w:spacing w:val="-9"/>
          <w:sz w:val="12"/>
        </w:rPr>
        <w:t> </w:t>
      </w:r>
      <w:r>
        <w:rPr>
          <w:rFonts w:ascii="Arial"/>
          <w:color w:val="231F20"/>
          <w:sz w:val="12"/>
        </w:rPr>
        <w:t>(dir.),</w:t>
      </w:r>
      <w:r>
        <w:rPr>
          <w:rFonts w:ascii="Arial"/>
          <w:color w:val="231F20"/>
          <w:spacing w:val="-8"/>
          <w:sz w:val="12"/>
        </w:rPr>
        <w:t> </w:t>
      </w:r>
      <w:r>
        <w:rPr>
          <w:rFonts w:ascii="Arial"/>
          <w:i/>
          <w:color w:val="231F20"/>
          <w:sz w:val="12"/>
        </w:rPr>
        <w:t>Stress</w:t>
      </w:r>
      <w:r>
        <w:rPr>
          <w:rFonts w:ascii="Arial"/>
          <w:i/>
          <w:color w:val="231F20"/>
          <w:spacing w:val="-8"/>
          <w:sz w:val="12"/>
        </w:rPr>
        <w:t> </w:t>
      </w:r>
      <w:r>
        <w:rPr>
          <w:rFonts w:ascii="Arial"/>
          <w:i/>
          <w:color w:val="231F20"/>
          <w:sz w:val="12"/>
        </w:rPr>
        <w:t>at</w:t>
      </w:r>
      <w:r>
        <w:rPr>
          <w:rFonts w:ascii="Arial"/>
          <w:i/>
          <w:color w:val="231F20"/>
          <w:spacing w:val="40"/>
          <w:sz w:val="12"/>
        </w:rPr>
        <w:t> </w:t>
      </w:r>
      <w:r>
        <w:rPr>
          <w:rFonts w:ascii="Arial"/>
          <w:i/>
          <w:color w:val="231F20"/>
          <w:sz w:val="12"/>
        </w:rPr>
        <w:t>Work</w:t>
      </w:r>
      <w:r>
        <w:rPr>
          <w:rFonts w:ascii="Arial"/>
          <w:color w:val="231F20"/>
          <w:sz w:val="12"/>
        </w:rPr>
        <w:t>, Chichester, Wiley.</w:t>
      </w:r>
    </w:p>
    <w:p>
      <w:pPr>
        <w:spacing w:after="0" w:line="295" w:lineRule="auto"/>
        <w:jc w:val="both"/>
        <w:rPr>
          <w:rFonts w:ascii="Arial"/>
          <w:sz w:val="12"/>
        </w:rPr>
        <w:sectPr>
          <w:footerReference w:type="default" r:id="rId226"/>
          <w:pgSz w:w="8640" w:h="12960"/>
          <w:pgMar w:footer="424" w:header="0" w:top="520" w:bottom="620" w:left="420" w:right="1140"/>
        </w:sectPr>
      </w:pPr>
    </w:p>
    <w:p>
      <w:pPr>
        <w:spacing w:before="118"/>
        <w:ind w:left="2049" w:right="0" w:firstLine="0"/>
        <w:jc w:val="left"/>
        <w:rPr>
          <w:rFonts w:ascii="Arial" w:hAnsi="Arial"/>
          <w:sz w:val="14"/>
        </w:rPr>
      </w:pPr>
      <w:bookmarkStart w:name="Figure 3.8 / Modèle synthèse du stress a" w:id="123"/>
      <w:bookmarkEnd w:id="123"/>
      <w:r>
        <w:rPr/>
      </w:r>
      <w:bookmarkStart w:name="_bookmark53" w:id="124"/>
      <w:bookmarkEnd w:id="124"/>
      <w:r>
        <w:rPr/>
      </w: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3"/>
        <w:jc w:val="both"/>
      </w:pPr>
      <w:r>
        <w:rPr>
          <w:color w:val="231F20"/>
          <w:w w:val="120"/>
        </w:rPr>
        <w:t>Ainsi,</w:t>
      </w:r>
      <w:r>
        <w:rPr>
          <w:color w:val="231F20"/>
          <w:spacing w:val="-12"/>
          <w:w w:val="120"/>
        </w:rPr>
        <w:t> </w:t>
      </w:r>
      <w:r>
        <w:rPr>
          <w:color w:val="231F20"/>
          <w:w w:val="120"/>
        </w:rPr>
        <w:t>il</w:t>
      </w:r>
      <w:r>
        <w:rPr>
          <w:color w:val="231F20"/>
          <w:spacing w:val="-12"/>
          <w:w w:val="120"/>
        </w:rPr>
        <w:t> </w:t>
      </w:r>
      <w:r>
        <w:rPr>
          <w:color w:val="231F20"/>
          <w:w w:val="120"/>
        </w:rPr>
        <w:t>est</w:t>
      </w:r>
      <w:r>
        <w:rPr>
          <w:color w:val="231F20"/>
          <w:spacing w:val="-12"/>
          <w:w w:val="120"/>
        </w:rPr>
        <w:t> </w:t>
      </w:r>
      <w:r>
        <w:rPr>
          <w:color w:val="231F20"/>
          <w:w w:val="120"/>
        </w:rPr>
        <w:t>essentiel</w:t>
      </w:r>
      <w:r>
        <w:rPr>
          <w:color w:val="231F20"/>
          <w:spacing w:val="-12"/>
          <w:w w:val="120"/>
        </w:rPr>
        <w:t> </w:t>
      </w:r>
      <w:r>
        <w:rPr>
          <w:color w:val="231F20"/>
          <w:w w:val="120"/>
        </w:rPr>
        <w:t>de</w:t>
      </w:r>
      <w:r>
        <w:rPr>
          <w:color w:val="231F20"/>
          <w:spacing w:val="-12"/>
          <w:w w:val="120"/>
        </w:rPr>
        <w:t> </w:t>
      </w:r>
      <w:r>
        <w:rPr>
          <w:color w:val="231F20"/>
          <w:w w:val="120"/>
        </w:rPr>
        <w:t>comprendre</w:t>
      </w:r>
      <w:r>
        <w:rPr>
          <w:color w:val="231F20"/>
          <w:spacing w:val="-12"/>
          <w:w w:val="120"/>
        </w:rPr>
        <w:t> </w:t>
      </w:r>
      <w:r>
        <w:rPr>
          <w:color w:val="231F20"/>
          <w:w w:val="120"/>
        </w:rPr>
        <w:t>les</w:t>
      </w:r>
      <w:r>
        <w:rPr>
          <w:color w:val="231F20"/>
          <w:spacing w:val="-12"/>
          <w:w w:val="120"/>
        </w:rPr>
        <w:t> </w:t>
      </w:r>
      <w:r>
        <w:rPr>
          <w:color w:val="231F20"/>
          <w:w w:val="120"/>
        </w:rPr>
        <w:t>origines</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conséquences</w:t>
      </w:r>
      <w:r>
        <w:rPr>
          <w:color w:val="231F20"/>
          <w:spacing w:val="-12"/>
          <w:w w:val="120"/>
        </w:rPr>
        <w:t> </w:t>
      </w:r>
      <w:r>
        <w:rPr>
          <w:color w:val="231F20"/>
          <w:w w:val="120"/>
        </w:rPr>
        <w:t>du stress</w:t>
      </w:r>
      <w:r>
        <w:rPr>
          <w:color w:val="231F20"/>
          <w:spacing w:val="-1"/>
          <w:w w:val="120"/>
        </w:rPr>
        <w:t> </w:t>
      </w:r>
      <w:r>
        <w:rPr>
          <w:color w:val="231F20"/>
          <w:w w:val="120"/>
        </w:rPr>
        <w:t>lorsqu’on</w:t>
      </w:r>
      <w:r>
        <w:rPr>
          <w:color w:val="231F20"/>
          <w:spacing w:val="-1"/>
          <w:w w:val="120"/>
        </w:rPr>
        <w:t> </w:t>
      </w:r>
      <w:r>
        <w:rPr>
          <w:color w:val="231F20"/>
          <w:w w:val="120"/>
        </w:rPr>
        <w:t>prend</w:t>
      </w:r>
      <w:r>
        <w:rPr>
          <w:color w:val="231F20"/>
          <w:spacing w:val="-1"/>
          <w:w w:val="120"/>
        </w:rPr>
        <w:t> </w:t>
      </w:r>
      <w:r>
        <w:rPr>
          <w:color w:val="231F20"/>
          <w:w w:val="120"/>
        </w:rPr>
        <w:t>la</w:t>
      </w:r>
      <w:r>
        <w:rPr>
          <w:color w:val="231F20"/>
          <w:spacing w:val="-1"/>
          <w:w w:val="120"/>
        </w:rPr>
        <w:t> </w:t>
      </w:r>
      <w:r>
        <w:rPr>
          <w:color w:val="231F20"/>
          <w:w w:val="120"/>
        </w:rPr>
        <w:t>décision</w:t>
      </w:r>
      <w:r>
        <w:rPr>
          <w:color w:val="231F20"/>
          <w:spacing w:val="-1"/>
          <w:w w:val="120"/>
        </w:rPr>
        <w:t> </w:t>
      </w:r>
      <w:r>
        <w:rPr>
          <w:color w:val="231F20"/>
          <w:w w:val="120"/>
        </w:rPr>
        <w:t>d’agir</w:t>
      </w:r>
      <w:r>
        <w:rPr>
          <w:color w:val="231F20"/>
          <w:spacing w:val="-1"/>
          <w:w w:val="120"/>
        </w:rPr>
        <w:t> </w:t>
      </w:r>
      <w:r>
        <w:rPr>
          <w:color w:val="231F20"/>
          <w:w w:val="120"/>
        </w:rPr>
        <w:t>pour</w:t>
      </w:r>
      <w:r>
        <w:rPr>
          <w:color w:val="231F20"/>
          <w:spacing w:val="-1"/>
          <w:w w:val="120"/>
        </w:rPr>
        <w:t> </w:t>
      </w:r>
      <w:r>
        <w:rPr>
          <w:color w:val="231F20"/>
          <w:w w:val="120"/>
        </w:rPr>
        <w:t>le</w:t>
      </w:r>
      <w:r>
        <w:rPr>
          <w:color w:val="231F20"/>
          <w:spacing w:val="-1"/>
          <w:w w:val="120"/>
        </w:rPr>
        <w:t> </w:t>
      </w:r>
      <w:r>
        <w:rPr>
          <w:color w:val="231F20"/>
          <w:w w:val="120"/>
        </w:rPr>
        <w:t>contrer</w:t>
      </w:r>
      <w:r>
        <w:rPr>
          <w:color w:val="231F20"/>
          <w:spacing w:val="-1"/>
          <w:w w:val="120"/>
        </w:rPr>
        <w:t> </w:t>
      </w:r>
      <w:r>
        <w:rPr>
          <w:color w:val="231F20"/>
          <w:w w:val="120"/>
        </w:rPr>
        <w:t>(à</w:t>
      </w:r>
      <w:r>
        <w:rPr>
          <w:color w:val="231F20"/>
          <w:spacing w:val="-1"/>
          <w:w w:val="120"/>
        </w:rPr>
        <w:t> </w:t>
      </w:r>
      <w:r>
        <w:rPr>
          <w:color w:val="231F20"/>
          <w:w w:val="120"/>
        </w:rPr>
        <w:t>l’échelle</w:t>
      </w:r>
      <w:r>
        <w:rPr>
          <w:color w:val="231F20"/>
          <w:spacing w:val="-1"/>
          <w:w w:val="120"/>
        </w:rPr>
        <w:t> </w:t>
      </w:r>
      <w:r>
        <w:rPr>
          <w:color w:val="231F20"/>
          <w:w w:val="120"/>
        </w:rPr>
        <w:t>de </w:t>
      </w:r>
      <w:r>
        <w:rPr>
          <w:color w:val="231F20"/>
          <w:w w:val="115"/>
        </w:rPr>
        <w:t>l’individu</w:t>
      </w:r>
      <w:r>
        <w:rPr>
          <w:color w:val="231F20"/>
          <w:spacing w:val="-13"/>
          <w:w w:val="115"/>
        </w:rPr>
        <w:t> </w:t>
      </w:r>
      <w:r>
        <w:rPr>
          <w:color w:val="231F20"/>
          <w:w w:val="115"/>
        </w:rPr>
        <w:t>ou</w:t>
      </w:r>
      <w:r>
        <w:rPr>
          <w:color w:val="231F20"/>
          <w:spacing w:val="-12"/>
          <w:w w:val="115"/>
        </w:rPr>
        <w:t> </w:t>
      </w:r>
      <w:r>
        <w:rPr>
          <w:color w:val="231F20"/>
          <w:w w:val="115"/>
        </w:rPr>
        <w:t>de</w:t>
      </w:r>
      <w:r>
        <w:rPr>
          <w:color w:val="231F20"/>
          <w:spacing w:val="-12"/>
          <w:w w:val="115"/>
        </w:rPr>
        <w:t> </w:t>
      </w:r>
      <w:r>
        <w:rPr>
          <w:color w:val="231F20"/>
          <w:w w:val="115"/>
        </w:rPr>
        <w:t>l’organisation).</w:t>
      </w:r>
      <w:r>
        <w:rPr>
          <w:color w:val="231F20"/>
          <w:spacing w:val="-12"/>
          <w:w w:val="115"/>
        </w:rPr>
        <w:t> </w:t>
      </w:r>
      <w:r>
        <w:rPr>
          <w:color w:val="231F20"/>
          <w:w w:val="115"/>
        </w:rPr>
        <w:t>Dans</w:t>
      </w:r>
      <w:r>
        <w:rPr>
          <w:color w:val="231F20"/>
          <w:spacing w:val="-13"/>
          <w:w w:val="115"/>
        </w:rPr>
        <w:t> </w:t>
      </w:r>
      <w:r>
        <w:rPr>
          <w:color w:val="231F20"/>
          <w:w w:val="115"/>
        </w:rPr>
        <w:t>le</w:t>
      </w:r>
      <w:r>
        <w:rPr>
          <w:color w:val="231F20"/>
          <w:spacing w:val="-12"/>
          <w:w w:val="115"/>
        </w:rPr>
        <w:t> </w:t>
      </w:r>
      <w:r>
        <w:rPr>
          <w:color w:val="231F20"/>
          <w:w w:val="115"/>
        </w:rPr>
        <w:t>présent</w:t>
      </w:r>
      <w:r>
        <w:rPr>
          <w:color w:val="231F20"/>
          <w:spacing w:val="-12"/>
          <w:w w:val="115"/>
        </w:rPr>
        <w:t> </w:t>
      </w:r>
      <w:r>
        <w:rPr>
          <w:color w:val="231F20"/>
          <w:w w:val="115"/>
        </w:rPr>
        <w:t>chapitre,</w:t>
      </w:r>
      <w:r>
        <w:rPr>
          <w:color w:val="231F20"/>
          <w:spacing w:val="-12"/>
          <w:w w:val="115"/>
        </w:rPr>
        <w:t> </w:t>
      </w:r>
      <w:r>
        <w:rPr>
          <w:color w:val="231F20"/>
          <w:w w:val="115"/>
        </w:rPr>
        <w:t>nous</w:t>
      </w:r>
      <w:r>
        <w:rPr>
          <w:color w:val="231F20"/>
          <w:spacing w:val="-12"/>
          <w:w w:val="115"/>
        </w:rPr>
        <w:t> </w:t>
      </w:r>
      <w:r>
        <w:rPr>
          <w:color w:val="231F20"/>
          <w:w w:val="115"/>
        </w:rPr>
        <w:t>avons</w:t>
      </w:r>
      <w:r>
        <w:rPr>
          <w:color w:val="231F20"/>
          <w:spacing w:val="-13"/>
          <w:w w:val="115"/>
        </w:rPr>
        <w:t> </w:t>
      </w:r>
      <w:r>
        <w:rPr>
          <w:color w:val="231F20"/>
          <w:w w:val="115"/>
        </w:rPr>
        <w:t>cher- </w:t>
      </w:r>
      <w:r>
        <w:rPr>
          <w:color w:val="231F20"/>
          <w:w w:val="120"/>
        </w:rPr>
        <w:t>ché</w:t>
      </w:r>
      <w:r>
        <w:rPr>
          <w:color w:val="231F20"/>
          <w:spacing w:val="-7"/>
          <w:w w:val="120"/>
        </w:rPr>
        <w:t> </w:t>
      </w:r>
      <w:r>
        <w:rPr>
          <w:color w:val="231F20"/>
          <w:w w:val="120"/>
        </w:rPr>
        <w:t>à</w:t>
      </w:r>
      <w:r>
        <w:rPr>
          <w:color w:val="231F20"/>
          <w:spacing w:val="-7"/>
          <w:w w:val="120"/>
        </w:rPr>
        <w:t> </w:t>
      </w:r>
      <w:r>
        <w:rPr>
          <w:color w:val="231F20"/>
          <w:w w:val="120"/>
        </w:rPr>
        <w:t>susciter</w:t>
      </w:r>
      <w:r>
        <w:rPr>
          <w:color w:val="231F20"/>
          <w:spacing w:val="-7"/>
          <w:w w:val="120"/>
        </w:rPr>
        <w:t> </w:t>
      </w:r>
      <w:r>
        <w:rPr>
          <w:color w:val="231F20"/>
          <w:w w:val="120"/>
        </w:rPr>
        <w:t>une</w:t>
      </w:r>
      <w:r>
        <w:rPr>
          <w:color w:val="231F20"/>
          <w:spacing w:val="-7"/>
          <w:w w:val="120"/>
        </w:rPr>
        <w:t> </w:t>
      </w:r>
      <w:r>
        <w:rPr>
          <w:color w:val="231F20"/>
          <w:w w:val="120"/>
        </w:rPr>
        <w:t>prise</w:t>
      </w:r>
      <w:r>
        <w:rPr>
          <w:color w:val="231F20"/>
          <w:spacing w:val="-7"/>
          <w:w w:val="120"/>
        </w:rPr>
        <w:t> </w:t>
      </w:r>
      <w:r>
        <w:rPr>
          <w:color w:val="231F20"/>
          <w:w w:val="120"/>
        </w:rPr>
        <w:t>de</w:t>
      </w:r>
      <w:r>
        <w:rPr>
          <w:color w:val="231F20"/>
          <w:spacing w:val="-7"/>
          <w:w w:val="120"/>
        </w:rPr>
        <w:t> </w:t>
      </w:r>
      <w:r>
        <w:rPr>
          <w:color w:val="231F20"/>
          <w:w w:val="120"/>
        </w:rPr>
        <w:t>conscience</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menace</w:t>
      </w:r>
      <w:r>
        <w:rPr>
          <w:color w:val="231F20"/>
          <w:spacing w:val="-7"/>
          <w:w w:val="120"/>
        </w:rPr>
        <w:t> </w:t>
      </w:r>
      <w:r>
        <w:rPr>
          <w:color w:val="231F20"/>
          <w:w w:val="120"/>
        </w:rPr>
        <w:t>réelle</w:t>
      </w:r>
      <w:r>
        <w:rPr>
          <w:color w:val="231F20"/>
          <w:spacing w:val="-7"/>
          <w:w w:val="120"/>
        </w:rPr>
        <w:t> </w:t>
      </w:r>
      <w:r>
        <w:rPr>
          <w:color w:val="231F20"/>
          <w:w w:val="120"/>
        </w:rPr>
        <w:t>qui</w:t>
      </w:r>
      <w:r>
        <w:rPr>
          <w:color w:val="231F20"/>
          <w:spacing w:val="-7"/>
          <w:w w:val="120"/>
        </w:rPr>
        <w:t> </w:t>
      </w:r>
      <w:r>
        <w:rPr>
          <w:color w:val="231F20"/>
          <w:w w:val="120"/>
        </w:rPr>
        <w:t>plane</w:t>
      </w:r>
      <w:r>
        <w:rPr>
          <w:color w:val="231F20"/>
          <w:spacing w:val="-7"/>
          <w:w w:val="120"/>
        </w:rPr>
        <w:t> </w:t>
      </w:r>
      <w:r>
        <w:rPr>
          <w:color w:val="231F20"/>
          <w:w w:val="120"/>
        </w:rPr>
        <w:t>sur la</w:t>
      </w:r>
      <w:r>
        <w:rPr>
          <w:color w:val="231F20"/>
          <w:spacing w:val="-13"/>
          <w:w w:val="120"/>
        </w:rPr>
        <w:t> </w:t>
      </w:r>
      <w:r>
        <w:rPr>
          <w:color w:val="231F20"/>
          <w:w w:val="120"/>
        </w:rPr>
        <w:t>vie</w:t>
      </w:r>
      <w:r>
        <w:rPr>
          <w:color w:val="231F20"/>
          <w:spacing w:val="-13"/>
          <w:w w:val="120"/>
        </w:rPr>
        <w:t> </w:t>
      </w:r>
      <w:r>
        <w:rPr>
          <w:color w:val="231F20"/>
          <w:w w:val="120"/>
        </w:rPr>
        <w:t>de</w:t>
      </w:r>
      <w:r>
        <w:rPr>
          <w:color w:val="231F20"/>
          <w:spacing w:val="-13"/>
          <w:w w:val="120"/>
        </w:rPr>
        <w:t> </w:t>
      </w:r>
      <w:r>
        <w:rPr>
          <w:color w:val="231F20"/>
          <w:w w:val="120"/>
        </w:rPr>
        <w:t>chaque</w:t>
      </w:r>
      <w:r>
        <w:rPr>
          <w:color w:val="231F20"/>
          <w:spacing w:val="-12"/>
          <w:w w:val="120"/>
        </w:rPr>
        <w:t> </w:t>
      </w:r>
      <w:r>
        <w:rPr>
          <w:color w:val="231F20"/>
          <w:w w:val="120"/>
        </w:rPr>
        <w:t>personne</w:t>
      </w:r>
      <w:r>
        <w:rPr>
          <w:color w:val="231F20"/>
          <w:spacing w:val="-13"/>
          <w:w w:val="120"/>
        </w:rPr>
        <w:t> </w:t>
      </w:r>
      <w:r>
        <w:rPr>
          <w:color w:val="231F20"/>
          <w:w w:val="120"/>
        </w:rPr>
        <w:t>ou</w:t>
      </w:r>
      <w:r>
        <w:rPr>
          <w:color w:val="231F20"/>
          <w:spacing w:val="-13"/>
          <w:w w:val="120"/>
        </w:rPr>
        <w:t> </w:t>
      </w:r>
      <w:r>
        <w:rPr>
          <w:color w:val="231F20"/>
          <w:w w:val="120"/>
        </w:rPr>
        <w:t>de</w:t>
      </w:r>
      <w:r>
        <w:rPr>
          <w:color w:val="231F20"/>
          <w:spacing w:val="-13"/>
          <w:w w:val="120"/>
        </w:rPr>
        <w:t> </w:t>
      </w:r>
      <w:r>
        <w:rPr>
          <w:color w:val="231F20"/>
          <w:w w:val="120"/>
        </w:rPr>
        <w:t>chaque</w:t>
      </w:r>
      <w:r>
        <w:rPr>
          <w:color w:val="231F20"/>
          <w:spacing w:val="-12"/>
          <w:w w:val="120"/>
        </w:rPr>
        <w:t> </w:t>
      </w:r>
      <w:r>
        <w:rPr>
          <w:color w:val="231F20"/>
          <w:w w:val="120"/>
        </w:rPr>
        <w:t>organisation</w:t>
      </w:r>
      <w:r>
        <w:rPr>
          <w:color w:val="231F20"/>
          <w:spacing w:val="-13"/>
          <w:w w:val="120"/>
        </w:rPr>
        <w:t> </w:t>
      </w:r>
      <w:r>
        <w:rPr>
          <w:color w:val="231F20"/>
          <w:w w:val="120"/>
        </w:rPr>
        <w:t>si</w:t>
      </w:r>
      <w:r>
        <w:rPr>
          <w:color w:val="231F20"/>
          <w:spacing w:val="-13"/>
          <w:w w:val="120"/>
        </w:rPr>
        <w:t> </w:t>
      </w:r>
      <w:r>
        <w:rPr>
          <w:color w:val="231F20"/>
          <w:w w:val="120"/>
        </w:rPr>
        <w:t>l’on</w:t>
      </w:r>
      <w:r>
        <w:rPr>
          <w:color w:val="231F20"/>
          <w:spacing w:val="-13"/>
          <w:w w:val="120"/>
        </w:rPr>
        <w:t> </w:t>
      </w:r>
      <w:r>
        <w:rPr>
          <w:color w:val="231F20"/>
          <w:w w:val="120"/>
        </w:rPr>
        <w:t>ne</w:t>
      </w:r>
      <w:r>
        <w:rPr>
          <w:color w:val="231F20"/>
          <w:spacing w:val="-12"/>
          <w:w w:val="120"/>
        </w:rPr>
        <w:t> </w:t>
      </w:r>
      <w:r>
        <w:rPr>
          <w:color w:val="231F20"/>
          <w:w w:val="120"/>
        </w:rPr>
        <w:t>s’attaque pas au stress dans le contexte professionnel. Certains gestionnaires, </w:t>
      </w:r>
      <w:r>
        <w:rPr>
          <w:color w:val="231F20"/>
          <w:spacing w:val="-2"/>
          <w:w w:val="120"/>
        </w:rPr>
        <w:t>même</w:t>
      </w:r>
      <w:r>
        <w:rPr>
          <w:color w:val="231F20"/>
          <w:spacing w:val="-5"/>
          <w:w w:val="120"/>
        </w:rPr>
        <w:t> </w:t>
      </w:r>
      <w:r>
        <w:rPr>
          <w:color w:val="231F20"/>
          <w:spacing w:val="-2"/>
          <w:w w:val="120"/>
        </w:rPr>
        <w:t>s’ils</w:t>
      </w:r>
      <w:r>
        <w:rPr>
          <w:color w:val="231F20"/>
          <w:spacing w:val="-5"/>
          <w:w w:val="120"/>
        </w:rPr>
        <w:t> </w:t>
      </w:r>
      <w:r>
        <w:rPr>
          <w:color w:val="231F20"/>
          <w:spacing w:val="-2"/>
          <w:w w:val="120"/>
        </w:rPr>
        <w:t>ne</w:t>
      </w:r>
      <w:r>
        <w:rPr>
          <w:color w:val="231F20"/>
          <w:spacing w:val="-5"/>
          <w:w w:val="120"/>
        </w:rPr>
        <w:t> </w:t>
      </w:r>
      <w:r>
        <w:rPr>
          <w:color w:val="231F20"/>
          <w:spacing w:val="-2"/>
          <w:w w:val="120"/>
        </w:rPr>
        <w:t>ressentent</w:t>
      </w:r>
      <w:r>
        <w:rPr>
          <w:color w:val="231F20"/>
          <w:spacing w:val="-5"/>
          <w:w w:val="120"/>
        </w:rPr>
        <w:t> </w:t>
      </w:r>
      <w:r>
        <w:rPr>
          <w:color w:val="231F20"/>
          <w:spacing w:val="-2"/>
          <w:w w:val="120"/>
        </w:rPr>
        <w:t>pas</w:t>
      </w:r>
      <w:r>
        <w:rPr>
          <w:color w:val="231F20"/>
          <w:spacing w:val="-5"/>
          <w:w w:val="120"/>
        </w:rPr>
        <w:t> </w:t>
      </w:r>
      <w:r>
        <w:rPr>
          <w:color w:val="231F20"/>
          <w:spacing w:val="-2"/>
          <w:w w:val="120"/>
        </w:rPr>
        <w:t>eux-mêmes</w:t>
      </w:r>
      <w:r>
        <w:rPr>
          <w:color w:val="231F20"/>
          <w:spacing w:val="-5"/>
          <w:w w:val="120"/>
        </w:rPr>
        <w:t> </w:t>
      </w:r>
      <w:r>
        <w:rPr>
          <w:color w:val="231F20"/>
          <w:spacing w:val="-2"/>
          <w:w w:val="120"/>
        </w:rPr>
        <w:t>de</w:t>
      </w:r>
      <w:r>
        <w:rPr>
          <w:color w:val="231F20"/>
          <w:spacing w:val="-5"/>
          <w:w w:val="120"/>
        </w:rPr>
        <w:t> </w:t>
      </w:r>
      <w:r>
        <w:rPr>
          <w:color w:val="231F20"/>
          <w:spacing w:val="-2"/>
          <w:w w:val="120"/>
        </w:rPr>
        <w:t>stress,</w:t>
      </w:r>
      <w:r>
        <w:rPr>
          <w:color w:val="231F20"/>
          <w:spacing w:val="-5"/>
          <w:w w:val="120"/>
        </w:rPr>
        <w:t> </w:t>
      </w:r>
      <w:r>
        <w:rPr>
          <w:color w:val="231F20"/>
          <w:spacing w:val="-2"/>
          <w:w w:val="120"/>
        </w:rPr>
        <w:t>sont</w:t>
      </w:r>
      <w:r>
        <w:rPr>
          <w:color w:val="231F20"/>
          <w:spacing w:val="-5"/>
          <w:w w:val="120"/>
        </w:rPr>
        <w:t> </w:t>
      </w:r>
      <w:r>
        <w:rPr>
          <w:color w:val="231F20"/>
          <w:spacing w:val="-2"/>
          <w:w w:val="120"/>
        </w:rPr>
        <w:t>par</w:t>
      </w:r>
      <w:r>
        <w:rPr>
          <w:color w:val="231F20"/>
          <w:spacing w:val="-5"/>
          <w:w w:val="120"/>
        </w:rPr>
        <w:t> </w:t>
      </w:r>
      <w:r>
        <w:rPr>
          <w:color w:val="231F20"/>
          <w:spacing w:val="-2"/>
          <w:w w:val="120"/>
        </w:rPr>
        <w:t>leurs</w:t>
      </w:r>
      <w:r>
        <w:rPr>
          <w:color w:val="231F20"/>
          <w:spacing w:val="-5"/>
          <w:w w:val="120"/>
        </w:rPr>
        <w:t> </w:t>
      </w:r>
      <w:r>
        <w:rPr>
          <w:color w:val="231F20"/>
          <w:spacing w:val="-2"/>
          <w:w w:val="120"/>
        </w:rPr>
        <w:t>actions </w:t>
      </w:r>
      <w:r>
        <w:rPr>
          <w:color w:val="231F20"/>
          <w:w w:val="120"/>
        </w:rPr>
        <w:t>une</w:t>
      </w:r>
      <w:r>
        <w:rPr>
          <w:color w:val="231F20"/>
          <w:spacing w:val="-3"/>
          <w:w w:val="120"/>
        </w:rPr>
        <w:t> </w:t>
      </w:r>
      <w:r>
        <w:rPr>
          <w:color w:val="231F20"/>
          <w:w w:val="120"/>
        </w:rPr>
        <w:t>source</w:t>
      </w:r>
      <w:r>
        <w:rPr>
          <w:color w:val="231F20"/>
          <w:spacing w:val="-3"/>
          <w:w w:val="120"/>
        </w:rPr>
        <w:t> </w:t>
      </w:r>
      <w:r>
        <w:rPr>
          <w:color w:val="231F20"/>
          <w:w w:val="120"/>
        </w:rPr>
        <w:t>de</w:t>
      </w:r>
      <w:r>
        <w:rPr>
          <w:color w:val="231F20"/>
          <w:spacing w:val="-3"/>
          <w:w w:val="120"/>
        </w:rPr>
        <w:t> </w:t>
      </w:r>
      <w:r>
        <w:rPr>
          <w:color w:val="231F20"/>
          <w:w w:val="120"/>
        </w:rPr>
        <w:t>stress</w:t>
      </w:r>
      <w:r>
        <w:rPr>
          <w:color w:val="231F20"/>
          <w:spacing w:val="-3"/>
          <w:w w:val="120"/>
        </w:rPr>
        <w:t> </w:t>
      </w:r>
      <w:r>
        <w:rPr>
          <w:color w:val="231F20"/>
          <w:w w:val="120"/>
        </w:rPr>
        <w:t>pour</w:t>
      </w:r>
      <w:r>
        <w:rPr>
          <w:color w:val="231F20"/>
          <w:spacing w:val="-3"/>
          <w:w w:val="120"/>
        </w:rPr>
        <w:t> </w:t>
      </w:r>
      <w:r>
        <w:rPr>
          <w:color w:val="231F20"/>
          <w:w w:val="120"/>
        </w:rPr>
        <w:t>les</w:t>
      </w:r>
      <w:r>
        <w:rPr>
          <w:color w:val="231F20"/>
          <w:spacing w:val="-3"/>
          <w:w w:val="120"/>
        </w:rPr>
        <w:t> </w:t>
      </w:r>
      <w:r>
        <w:rPr>
          <w:color w:val="231F20"/>
          <w:w w:val="120"/>
        </w:rPr>
        <w:t>personnes</w:t>
      </w:r>
      <w:r>
        <w:rPr>
          <w:color w:val="231F20"/>
          <w:spacing w:val="-3"/>
          <w:w w:val="120"/>
        </w:rPr>
        <w:t> </w:t>
      </w:r>
      <w:r>
        <w:rPr>
          <w:color w:val="231F20"/>
          <w:w w:val="120"/>
        </w:rPr>
        <w:t>(collègues</w:t>
      </w:r>
      <w:r>
        <w:rPr>
          <w:color w:val="231F20"/>
          <w:spacing w:val="-3"/>
          <w:w w:val="120"/>
        </w:rPr>
        <w:t> </w:t>
      </w:r>
      <w:r>
        <w:rPr>
          <w:color w:val="231F20"/>
          <w:w w:val="120"/>
        </w:rPr>
        <w:t>et</w:t>
      </w:r>
      <w:r>
        <w:rPr>
          <w:color w:val="231F20"/>
          <w:spacing w:val="-3"/>
          <w:w w:val="120"/>
        </w:rPr>
        <w:t> </w:t>
      </w:r>
      <w:r>
        <w:rPr>
          <w:color w:val="231F20"/>
          <w:w w:val="120"/>
        </w:rPr>
        <w:t>subordonnés)</w:t>
      </w:r>
      <w:r>
        <w:rPr>
          <w:color w:val="231F20"/>
          <w:spacing w:val="-3"/>
          <w:w w:val="120"/>
        </w:rPr>
        <w:t> </w:t>
      </w:r>
      <w:r>
        <w:rPr>
          <w:color w:val="231F20"/>
          <w:w w:val="120"/>
        </w:rPr>
        <w:t>qui travaillent</w:t>
      </w:r>
      <w:r>
        <w:rPr>
          <w:color w:val="231F20"/>
          <w:spacing w:val="-2"/>
          <w:w w:val="120"/>
        </w:rPr>
        <w:t> </w:t>
      </w:r>
      <w:r>
        <w:rPr>
          <w:color w:val="231F20"/>
          <w:w w:val="120"/>
        </w:rPr>
        <w:t>pour</w:t>
      </w:r>
      <w:r>
        <w:rPr>
          <w:color w:val="231F20"/>
          <w:spacing w:val="-2"/>
          <w:w w:val="120"/>
        </w:rPr>
        <w:t> </w:t>
      </w:r>
      <w:r>
        <w:rPr>
          <w:color w:val="231F20"/>
          <w:w w:val="120"/>
        </w:rPr>
        <w:t>eux</w:t>
      </w:r>
      <w:r>
        <w:rPr>
          <w:color w:val="231F20"/>
          <w:spacing w:val="-2"/>
          <w:w w:val="120"/>
        </w:rPr>
        <w:t> </w:t>
      </w:r>
      <w:r>
        <w:rPr>
          <w:color w:val="231F20"/>
          <w:w w:val="120"/>
        </w:rPr>
        <w:t>ou</w:t>
      </w:r>
      <w:r>
        <w:rPr>
          <w:color w:val="231F20"/>
          <w:spacing w:val="-2"/>
          <w:w w:val="120"/>
        </w:rPr>
        <w:t> </w:t>
      </w:r>
      <w:r>
        <w:rPr>
          <w:color w:val="231F20"/>
          <w:w w:val="120"/>
        </w:rPr>
        <w:t>avec</w:t>
      </w:r>
      <w:r>
        <w:rPr>
          <w:color w:val="231F20"/>
          <w:spacing w:val="-2"/>
          <w:w w:val="120"/>
        </w:rPr>
        <w:t> </w:t>
      </w:r>
      <w:r>
        <w:rPr>
          <w:color w:val="231F20"/>
          <w:w w:val="120"/>
        </w:rPr>
        <w:t>eux</w:t>
      </w:r>
      <w:r>
        <w:rPr>
          <w:color w:val="231F20"/>
          <w:spacing w:val="-2"/>
          <w:w w:val="120"/>
        </w:rPr>
        <w:t> </w:t>
      </w:r>
      <w:r>
        <w:rPr>
          <w:color w:val="231F20"/>
          <w:w w:val="120"/>
        </w:rPr>
        <w:t>et</w:t>
      </w:r>
      <w:r>
        <w:rPr>
          <w:color w:val="231F20"/>
          <w:spacing w:val="-2"/>
          <w:w w:val="120"/>
        </w:rPr>
        <w:t> </w:t>
      </w:r>
      <w:r>
        <w:rPr>
          <w:color w:val="231F20"/>
          <w:w w:val="120"/>
        </w:rPr>
        <w:t>qui</w:t>
      </w:r>
      <w:r>
        <w:rPr>
          <w:color w:val="231F20"/>
          <w:spacing w:val="-2"/>
          <w:w w:val="120"/>
        </w:rPr>
        <w:t> </w:t>
      </w:r>
      <w:r>
        <w:rPr>
          <w:color w:val="231F20"/>
          <w:w w:val="120"/>
        </w:rPr>
        <w:t>produisent</w:t>
      </w:r>
      <w:r>
        <w:rPr>
          <w:color w:val="231F20"/>
          <w:spacing w:val="-2"/>
          <w:w w:val="120"/>
        </w:rPr>
        <w:t> </w:t>
      </w:r>
      <w:r>
        <w:rPr>
          <w:color w:val="231F20"/>
          <w:w w:val="120"/>
        </w:rPr>
        <w:t>des</w:t>
      </w:r>
      <w:r>
        <w:rPr>
          <w:color w:val="231F20"/>
          <w:spacing w:val="-2"/>
          <w:w w:val="120"/>
        </w:rPr>
        <w:t> </w:t>
      </w:r>
      <w:r>
        <w:rPr>
          <w:color w:val="231F20"/>
          <w:w w:val="120"/>
        </w:rPr>
        <w:t>situations</w:t>
      </w:r>
      <w:r>
        <w:rPr>
          <w:color w:val="231F20"/>
          <w:spacing w:val="-2"/>
          <w:w w:val="120"/>
        </w:rPr>
        <w:t> </w:t>
      </w:r>
      <w:r>
        <w:rPr>
          <w:color w:val="231F20"/>
          <w:w w:val="120"/>
        </w:rPr>
        <w:t>d’ina- déquation;</w:t>
      </w:r>
      <w:r>
        <w:rPr>
          <w:color w:val="231F20"/>
          <w:spacing w:val="-5"/>
          <w:w w:val="120"/>
        </w:rPr>
        <w:t> </w:t>
      </w:r>
      <w:r>
        <w:rPr>
          <w:color w:val="231F20"/>
          <w:w w:val="120"/>
        </w:rPr>
        <w:t>nous</w:t>
      </w:r>
      <w:r>
        <w:rPr>
          <w:color w:val="231F20"/>
          <w:spacing w:val="-5"/>
          <w:w w:val="120"/>
        </w:rPr>
        <w:t> </w:t>
      </w:r>
      <w:r>
        <w:rPr>
          <w:color w:val="231F20"/>
          <w:w w:val="120"/>
        </w:rPr>
        <w:t>espérons</w:t>
      </w:r>
      <w:r>
        <w:rPr>
          <w:color w:val="231F20"/>
          <w:spacing w:val="-5"/>
          <w:w w:val="120"/>
        </w:rPr>
        <w:t> </w:t>
      </w:r>
      <w:r>
        <w:rPr>
          <w:color w:val="231F20"/>
          <w:w w:val="120"/>
        </w:rPr>
        <w:t>avoir</w:t>
      </w:r>
      <w:r>
        <w:rPr>
          <w:color w:val="231F20"/>
          <w:spacing w:val="-5"/>
          <w:w w:val="120"/>
        </w:rPr>
        <w:t> </w:t>
      </w:r>
      <w:r>
        <w:rPr>
          <w:color w:val="231F20"/>
          <w:w w:val="120"/>
        </w:rPr>
        <w:t>réussi</w:t>
      </w:r>
      <w:r>
        <w:rPr>
          <w:color w:val="231F20"/>
          <w:spacing w:val="-5"/>
          <w:w w:val="120"/>
        </w:rPr>
        <w:t> </w:t>
      </w:r>
      <w:r>
        <w:rPr>
          <w:color w:val="231F20"/>
          <w:w w:val="120"/>
        </w:rPr>
        <w:t>à</w:t>
      </w:r>
      <w:r>
        <w:rPr>
          <w:color w:val="231F20"/>
          <w:spacing w:val="-5"/>
          <w:w w:val="120"/>
        </w:rPr>
        <w:t> </w:t>
      </w:r>
      <w:r>
        <w:rPr>
          <w:color w:val="231F20"/>
          <w:w w:val="120"/>
        </w:rPr>
        <w:t>conscientiser</w:t>
      </w:r>
      <w:r>
        <w:rPr>
          <w:color w:val="231F20"/>
          <w:spacing w:val="-5"/>
          <w:w w:val="120"/>
        </w:rPr>
        <w:t> </w:t>
      </w:r>
      <w:r>
        <w:rPr>
          <w:color w:val="231F20"/>
          <w:w w:val="120"/>
        </w:rPr>
        <w:t>ces</w:t>
      </w:r>
      <w:r>
        <w:rPr>
          <w:color w:val="231F20"/>
          <w:spacing w:val="-5"/>
          <w:w w:val="120"/>
        </w:rPr>
        <w:t> </w:t>
      </w:r>
      <w:r>
        <w:rPr>
          <w:color w:val="231F20"/>
          <w:w w:val="120"/>
        </w:rPr>
        <w:t>gestionnaires et les avoir incités à prendre des mesures correctives concrètes. La </w:t>
      </w:r>
      <w:r>
        <w:rPr>
          <w:color w:val="231F20"/>
          <w:spacing w:val="-2"/>
          <w:w w:val="120"/>
        </w:rPr>
        <w:t>confiance</w:t>
      </w:r>
      <w:r>
        <w:rPr>
          <w:color w:val="231F20"/>
          <w:spacing w:val="-6"/>
          <w:w w:val="120"/>
        </w:rPr>
        <w:t> </w:t>
      </w:r>
      <w:r>
        <w:rPr>
          <w:color w:val="231F20"/>
          <w:spacing w:val="-2"/>
          <w:w w:val="120"/>
        </w:rPr>
        <w:t>mutuelle,</w:t>
      </w:r>
      <w:r>
        <w:rPr>
          <w:color w:val="231F20"/>
          <w:spacing w:val="-6"/>
          <w:w w:val="120"/>
        </w:rPr>
        <w:t> </w:t>
      </w:r>
      <w:r>
        <w:rPr>
          <w:color w:val="231F20"/>
          <w:spacing w:val="-2"/>
          <w:w w:val="120"/>
        </w:rPr>
        <w:t>la</w:t>
      </w:r>
      <w:r>
        <w:rPr>
          <w:color w:val="231F20"/>
          <w:spacing w:val="-6"/>
          <w:w w:val="120"/>
        </w:rPr>
        <w:t> </w:t>
      </w:r>
      <w:r>
        <w:rPr>
          <w:color w:val="231F20"/>
          <w:spacing w:val="-2"/>
          <w:w w:val="120"/>
        </w:rPr>
        <w:t>proximité,</w:t>
      </w:r>
      <w:r>
        <w:rPr>
          <w:color w:val="231F20"/>
          <w:spacing w:val="-6"/>
          <w:w w:val="120"/>
        </w:rPr>
        <w:t> </w:t>
      </w:r>
      <w:r>
        <w:rPr>
          <w:color w:val="231F20"/>
          <w:spacing w:val="-2"/>
          <w:w w:val="120"/>
        </w:rPr>
        <w:t>la</w:t>
      </w:r>
      <w:r>
        <w:rPr>
          <w:color w:val="231F20"/>
          <w:spacing w:val="-6"/>
          <w:w w:val="120"/>
        </w:rPr>
        <w:t> </w:t>
      </w:r>
      <w:r>
        <w:rPr>
          <w:color w:val="231F20"/>
          <w:spacing w:val="-2"/>
          <w:w w:val="120"/>
        </w:rPr>
        <w:t>clarté,</w:t>
      </w:r>
      <w:r>
        <w:rPr>
          <w:color w:val="231F20"/>
          <w:spacing w:val="-6"/>
          <w:w w:val="120"/>
        </w:rPr>
        <w:t> </w:t>
      </w:r>
      <w:r>
        <w:rPr>
          <w:color w:val="231F20"/>
          <w:spacing w:val="-2"/>
          <w:w w:val="120"/>
        </w:rPr>
        <w:t>la</w:t>
      </w:r>
      <w:r>
        <w:rPr>
          <w:color w:val="231F20"/>
          <w:spacing w:val="-6"/>
          <w:w w:val="120"/>
        </w:rPr>
        <w:t> </w:t>
      </w:r>
      <w:r>
        <w:rPr>
          <w:color w:val="231F20"/>
          <w:spacing w:val="-2"/>
          <w:w w:val="120"/>
        </w:rPr>
        <w:t>transparence</w:t>
      </w:r>
      <w:r>
        <w:rPr>
          <w:color w:val="231F20"/>
          <w:spacing w:val="-6"/>
          <w:w w:val="120"/>
        </w:rPr>
        <w:t> </w:t>
      </w:r>
      <w:r>
        <w:rPr>
          <w:color w:val="231F20"/>
          <w:spacing w:val="-2"/>
          <w:w w:val="120"/>
        </w:rPr>
        <w:t>et</w:t>
      </w:r>
      <w:r>
        <w:rPr>
          <w:color w:val="231F20"/>
          <w:spacing w:val="-6"/>
          <w:w w:val="120"/>
        </w:rPr>
        <w:t> </w:t>
      </w:r>
      <w:r>
        <w:rPr>
          <w:color w:val="231F20"/>
          <w:spacing w:val="-2"/>
          <w:w w:val="120"/>
        </w:rPr>
        <w:t>l’imputabi- </w:t>
      </w:r>
      <w:r>
        <w:rPr>
          <w:color w:val="231F20"/>
          <w:w w:val="115"/>
        </w:rPr>
        <w:t>lité</w:t>
      </w:r>
      <w:r>
        <w:rPr>
          <w:color w:val="231F20"/>
          <w:spacing w:val="-7"/>
          <w:w w:val="115"/>
        </w:rPr>
        <w:t> </w:t>
      </w:r>
      <w:r>
        <w:rPr>
          <w:color w:val="231F20"/>
          <w:w w:val="115"/>
        </w:rPr>
        <w:t>sont</w:t>
      </w:r>
      <w:r>
        <w:rPr>
          <w:color w:val="231F20"/>
          <w:spacing w:val="-7"/>
          <w:w w:val="115"/>
        </w:rPr>
        <w:t> </w:t>
      </w:r>
      <w:r>
        <w:rPr>
          <w:color w:val="231F20"/>
          <w:w w:val="115"/>
        </w:rPr>
        <w:t>autant</w:t>
      </w:r>
      <w:r>
        <w:rPr>
          <w:color w:val="231F20"/>
          <w:spacing w:val="-7"/>
          <w:w w:val="115"/>
        </w:rPr>
        <w:t> </w:t>
      </w:r>
      <w:r>
        <w:rPr>
          <w:color w:val="231F20"/>
          <w:w w:val="115"/>
        </w:rPr>
        <w:t>de</w:t>
      </w:r>
      <w:r>
        <w:rPr>
          <w:color w:val="231F20"/>
          <w:spacing w:val="-7"/>
          <w:w w:val="115"/>
        </w:rPr>
        <w:t> </w:t>
      </w:r>
      <w:r>
        <w:rPr>
          <w:color w:val="231F20"/>
          <w:w w:val="115"/>
        </w:rPr>
        <w:t>valeurs</w:t>
      </w:r>
      <w:r>
        <w:rPr>
          <w:color w:val="231F20"/>
          <w:spacing w:val="-7"/>
          <w:w w:val="115"/>
        </w:rPr>
        <w:t> </w:t>
      </w:r>
      <w:r>
        <w:rPr>
          <w:color w:val="231F20"/>
          <w:w w:val="115"/>
        </w:rPr>
        <w:t>qui</w:t>
      </w:r>
      <w:r>
        <w:rPr>
          <w:color w:val="231F20"/>
          <w:spacing w:val="-7"/>
          <w:w w:val="115"/>
        </w:rPr>
        <w:t> </w:t>
      </w:r>
      <w:r>
        <w:rPr>
          <w:color w:val="231F20"/>
          <w:w w:val="115"/>
        </w:rPr>
        <w:t>favorisent</w:t>
      </w:r>
      <w:r>
        <w:rPr>
          <w:color w:val="231F20"/>
          <w:spacing w:val="-7"/>
          <w:w w:val="115"/>
        </w:rPr>
        <w:t> </w:t>
      </w:r>
      <w:r>
        <w:rPr>
          <w:color w:val="231F20"/>
          <w:w w:val="115"/>
        </w:rPr>
        <w:t>l’édification</w:t>
      </w:r>
      <w:r>
        <w:rPr>
          <w:color w:val="231F20"/>
          <w:spacing w:val="-7"/>
          <w:w w:val="115"/>
        </w:rPr>
        <w:t> </w:t>
      </w:r>
      <w:r>
        <w:rPr>
          <w:color w:val="231F20"/>
          <w:w w:val="115"/>
        </w:rPr>
        <w:t>de</w:t>
      </w:r>
      <w:r>
        <w:rPr>
          <w:color w:val="231F20"/>
          <w:spacing w:val="-7"/>
          <w:w w:val="115"/>
        </w:rPr>
        <w:t> </w:t>
      </w:r>
      <w:r>
        <w:rPr>
          <w:color w:val="231F20"/>
          <w:w w:val="115"/>
        </w:rPr>
        <w:t>milieux</w:t>
      </w:r>
      <w:r>
        <w:rPr>
          <w:color w:val="231F20"/>
          <w:spacing w:val="-7"/>
          <w:w w:val="115"/>
        </w:rPr>
        <w:t> </w:t>
      </w:r>
      <w:r>
        <w:rPr>
          <w:color w:val="231F20"/>
          <w:w w:val="115"/>
        </w:rPr>
        <w:t>de</w:t>
      </w:r>
      <w:r>
        <w:rPr>
          <w:color w:val="231F20"/>
          <w:spacing w:val="-7"/>
          <w:w w:val="115"/>
        </w:rPr>
        <w:t> </w:t>
      </w:r>
      <w:r>
        <w:rPr>
          <w:color w:val="231F20"/>
          <w:w w:val="115"/>
        </w:rPr>
        <w:t>travail </w:t>
      </w:r>
      <w:r>
        <w:rPr>
          <w:color w:val="231F20"/>
          <w:w w:val="120"/>
        </w:rPr>
        <w:t>psychologiquement</w:t>
      </w:r>
      <w:r>
        <w:rPr>
          <w:color w:val="231F20"/>
          <w:spacing w:val="-12"/>
          <w:w w:val="120"/>
        </w:rPr>
        <w:t> </w:t>
      </w:r>
      <w:r>
        <w:rPr>
          <w:color w:val="231F20"/>
          <w:w w:val="120"/>
        </w:rPr>
        <w:t>sains</w:t>
      </w:r>
      <w:r>
        <w:rPr>
          <w:color w:val="231F20"/>
          <w:spacing w:val="-12"/>
          <w:w w:val="120"/>
        </w:rPr>
        <w:t> </w:t>
      </w:r>
      <w:r>
        <w:rPr>
          <w:color w:val="231F20"/>
          <w:w w:val="120"/>
        </w:rPr>
        <w:t>en</w:t>
      </w:r>
      <w:r>
        <w:rPr>
          <w:color w:val="231F20"/>
          <w:spacing w:val="-12"/>
          <w:w w:val="120"/>
        </w:rPr>
        <w:t> </w:t>
      </w:r>
      <w:r>
        <w:rPr>
          <w:color w:val="231F20"/>
          <w:w w:val="120"/>
        </w:rPr>
        <w:t>réduisant</w:t>
      </w:r>
      <w:r>
        <w:rPr>
          <w:color w:val="231F20"/>
          <w:spacing w:val="-12"/>
          <w:w w:val="120"/>
        </w:rPr>
        <w:t> </w:t>
      </w:r>
      <w:r>
        <w:rPr>
          <w:color w:val="231F20"/>
          <w:w w:val="120"/>
        </w:rPr>
        <w:t>le</w:t>
      </w:r>
      <w:r>
        <w:rPr>
          <w:color w:val="231F20"/>
          <w:spacing w:val="-12"/>
          <w:w w:val="120"/>
        </w:rPr>
        <w:t> </w:t>
      </w:r>
      <w:r>
        <w:rPr>
          <w:color w:val="231F20"/>
          <w:w w:val="120"/>
        </w:rPr>
        <w:t>stress</w:t>
      </w:r>
      <w:r>
        <w:rPr>
          <w:color w:val="231F20"/>
          <w:spacing w:val="-12"/>
          <w:w w:val="120"/>
        </w:rPr>
        <w:t> </w:t>
      </w:r>
      <w:r>
        <w:rPr>
          <w:color w:val="231F20"/>
          <w:w w:val="120"/>
        </w:rPr>
        <w:t>et</w:t>
      </w:r>
      <w:r>
        <w:rPr>
          <w:color w:val="231F20"/>
          <w:spacing w:val="-12"/>
          <w:w w:val="120"/>
        </w:rPr>
        <w:t> </w:t>
      </w:r>
      <w:r>
        <w:rPr>
          <w:color w:val="231F20"/>
          <w:w w:val="120"/>
        </w:rPr>
        <w:t>en</w:t>
      </w:r>
      <w:r>
        <w:rPr>
          <w:color w:val="231F20"/>
          <w:spacing w:val="-12"/>
          <w:w w:val="120"/>
        </w:rPr>
        <w:t> </w:t>
      </w:r>
      <w:r>
        <w:rPr>
          <w:color w:val="231F20"/>
          <w:w w:val="120"/>
        </w:rPr>
        <w:t>améliorant</w:t>
      </w:r>
      <w:r>
        <w:rPr>
          <w:color w:val="231F20"/>
          <w:spacing w:val="-12"/>
          <w:w w:val="120"/>
        </w:rPr>
        <w:t> </w:t>
      </w:r>
      <w:r>
        <w:rPr>
          <w:color w:val="231F20"/>
          <w:w w:val="120"/>
        </w:rPr>
        <w:t>la</w:t>
      </w:r>
      <w:r>
        <w:rPr>
          <w:color w:val="231F20"/>
          <w:spacing w:val="-12"/>
          <w:w w:val="120"/>
        </w:rPr>
        <w:t> </w:t>
      </w:r>
      <w:r>
        <w:rPr>
          <w:color w:val="231F20"/>
          <w:w w:val="120"/>
        </w:rPr>
        <w:t>santé </w:t>
      </w:r>
      <w:r>
        <w:rPr>
          <w:color w:val="231F20"/>
          <w:spacing w:val="-2"/>
          <w:w w:val="120"/>
        </w:rPr>
        <w:t>psychologique</w:t>
      </w:r>
      <w:r>
        <w:rPr>
          <w:color w:val="231F20"/>
          <w:spacing w:val="-5"/>
          <w:w w:val="120"/>
        </w:rPr>
        <w:t> </w:t>
      </w:r>
      <w:r>
        <w:rPr>
          <w:color w:val="231F20"/>
          <w:spacing w:val="-2"/>
          <w:w w:val="120"/>
        </w:rPr>
        <w:t>des</w:t>
      </w:r>
      <w:r>
        <w:rPr>
          <w:color w:val="231F20"/>
          <w:spacing w:val="-5"/>
          <w:w w:val="120"/>
        </w:rPr>
        <w:t> </w:t>
      </w:r>
      <w:r>
        <w:rPr>
          <w:color w:val="231F20"/>
          <w:spacing w:val="-2"/>
          <w:w w:val="120"/>
        </w:rPr>
        <w:t>travailleurs.</w:t>
      </w:r>
      <w:r>
        <w:rPr>
          <w:color w:val="231F20"/>
          <w:spacing w:val="-5"/>
          <w:w w:val="120"/>
        </w:rPr>
        <w:t> </w:t>
      </w:r>
      <w:r>
        <w:rPr>
          <w:color w:val="231F20"/>
          <w:spacing w:val="-2"/>
          <w:w w:val="120"/>
        </w:rPr>
        <w:t>Dans</w:t>
      </w:r>
      <w:r>
        <w:rPr>
          <w:color w:val="231F20"/>
          <w:spacing w:val="-5"/>
          <w:w w:val="120"/>
        </w:rPr>
        <w:t> </w:t>
      </w:r>
      <w:r>
        <w:rPr>
          <w:color w:val="231F20"/>
          <w:spacing w:val="-2"/>
          <w:w w:val="120"/>
        </w:rPr>
        <w:t>les</w:t>
      </w:r>
      <w:r>
        <w:rPr>
          <w:color w:val="231F20"/>
          <w:spacing w:val="-5"/>
          <w:w w:val="120"/>
        </w:rPr>
        <w:t> </w:t>
      </w:r>
      <w:r>
        <w:rPr>
          <w:color w:val="231F20"/>
          <w:spacing w:val="-2"/>
          <w:w w:val="120"/>
        </w:rPr>
        <w:t>chapitres</w:t>
      </w:r>
      <w:r>
        <w:rPr>
          <w:color w:val="231F20"/>
          <w:spacing w:val="-5"/>
          <w:w w:val="120"/>
        </w:rPr>
        <w:t> </w:t>
      </w:r>
      <w:r>
        <w:rPr>
          <w:color w:val="231F20"/>
          <w:spacing w:val="-2"/>
          <w:w w:val="120"/>
        </w:rPr>
        <w:t>qui</w:t>
      </w:r>
      <w:r>
        <w:rPr>
          <w:color w:val="231F20"/>
          <w:spacing w:val="-5"/>
          <w:w w:val="120"/>
        </w:rPr>
        <w:t> </w:t>
      </w:r>
      <w:r>
        <w:rPr>
          <w:color w:val="231F20"/>
          <w:spacing w:val="-2"/>
          <w:w w:val="120"/>
        </w:rPr>
        <w:t>suivent,</w:t>
      </w:r>
      <w:r>
        <w:rPr>
          <w:color w:val="231F20"/>
          <w:spacing w:val="-5"/>
          <w:w w:val="120"/>
        </w:rPr>
        <w:t> </w:t>
      </w:r>
      <w:r>
        <w:rPr>
          <w:color w:val="231F20"/>
          <w:spacing w:val="-2"/>
          <w:w w:val="120"/>
        </w:rPr>
        <w:t>nous</w:t>
      </w:r>
      <w:r>
        <w:rPr>
          <w:color w:val="231F20"/>
          <w:spacing w:val="-5"/>
          <w:w w:val="120"/>
        </w:rPr>
        <w:t> </w:t>
      </w:r>
      <w:r>
        <w:rPr>
          <w:color w:val="231F20"/>
          <w:spacing w:val="-2"/>
          <w:w w:val="120"/>
        </w:rPr>
        <w:t>ver- rons</w:t>
      </w:r>
      <w:r>
        <w:rPr>
          <w:color w:val="231F20"/>
          <w:spacing w:val="-13"/>
          <w:w w:val="120"/>
        </w:rPr>
        <w:t> </w:t>
      </w:r>
      <w:r>
        <w:rPr>
          <w:color w:val="231F20"/>
          <w:spacing w:val="-2"/>
          <w:w w:val="120"/>
        </w:rPr>
        <w:t>comment</w:t>
      </w:r>
      <w:r>
        <w:rPr>
          <w:color w:val="231F20"/>
          <w:spacing w:val="-11"/>
          <w:w w:val="120"/>
        </w:rPr>
        <w:t> </w:t>
      </w:r>
      <w:r>
        <w:rPr>
          <w:color w:val="231F20"/>
          <w:spacing w:val="-2"/>
          <w:w w:val="120"/>
        </w:rPr>
        <w:t>il</w:t>
      </w:r>
      <w:r>
        <w:rPr>
          <w:color w:val="231F20"/>
          <w:spacing w:val="-11"/>
          <w:w w:val="120"/>
        </w:rPr>
        <w:t> </w:t>
      </w:r>
      <w:r>
        <w:rPr>
          <w:color w:val="231F20"/>
          <w:spacing w:val="-2"/>
          <w:w w:val="120"/>
        </w:rPr>
        <w:t>est</w:t>
      </w:r>
      <w:r>
        <w:rPr>
          <w:color w:val="231F20"/>
          <w:spacing w:val="-10"/>
          <w:w w:val="120"/>
        </w:rPr>
        <w:t> </w:t>
      </w:r>
      <w:r>
        <w:rPr>
          <w:color w:val="231F20"/>
          <w:spacing w:val="-2"/>
          <w:w w:val="120"/>
        </w:rPr>
        <w:t>concrètement</w:t>
      </w:r>
      <w:r>
        <w:rPr>
          <w:color w:val="231F20"/>
          <w:spacing w:val="-11"/>
          <w:w w:val="120"/>
        </w:rPr>
        <w:t> </w:t>
      </w:r>
      <w:r>
        <w:rPr>
          <w:color w:val="231F20"/>
          <w:spacing w:val="-2"/>
          <w:w w:val="120"/>
        </w:rPr>
        <w:t>possible</w:t>
      </w:r>
      <w:r>
        <w:rPr>
          <w:color w:val="231F20"/>
          <w:spacing w:val="-11"/>
          <w:w w:val="120"/>
        </w:rPr>
        <w:t> </w:t>
      </w:r>
      <w:r>
        <w:rPr>
          <w:color w:val="231F20"/>
          <w:spacing w:val="-2"/>
          <w:w w:val="120"/>
        </w:rPr>
        <w:t>d’intervenir</w:t>
      </w:r>
      <w:r>
        <w:rPr>
          <w:color w:val="231F20"/>
          <w:spacing w:val="-11"/>
          <w:w w:val="120"/>
        </w:rPr>
        <w:t> </w:t>
      </w:r>
      <w:r>
        <w:rPr>
          <w:color w:val="231F20"/>
          <w:spacing w:val="-2"/>
          <w:w w:val="120"/>
        </w:rPr>
        <w:t>efficacement</w:t>
      </w:r>
      <w:r>
        <w:rPr>
          <w:color w:val="231F20"/>
          <w:spacing w:val="-10"/>
          <w:w w:val="120"/>
        </w:rPr>
        <w:t> </w:t>
      </w:r>
      <w:r>
        <w:rPr>
          <w:color w:val="231F20"/>
          <w:spacing w:val="-2"/>
          <w:w w:val="120"/>
        </w:rPr>
        <w:t>afin </w:t>
      </w:r>
      <w:r>
        <w:rPr>
          <w:color w:val="231F20"/>
          <w:w w:val="120"/>
        </w:rPr>
        <w:t>de</w:t>
      </w:r>
      <w:r>
        <w:rPr>
          <w:color w:val="231F20"/>
          <w:spacing w:val="-3"/>
          <w:w w:val="120"/>
        </w:rPr>
        <w:t> </w:t>
      </w:r>
      <w:r>
        <w:rPr>
          <w:color w:val="231F20"/>
          <w:w w:val="120"/>
        </w:rPr>
        <w:t>favoriser</w:t>
      </w:r>
      <w:r>
        <w:rPr>
          <w:color w:val="231F20"/>
          <w:spacing w:val="-3"/>
          <w:w w:val="120"/>
        </w:rPr>
        <w:t> </w:t>
      </w:r>
      <w:r>
        <w:rPr>
          <w:color w:val="231F20"/>
          <w:w w:val="120"/>
        </w:rPr>
        <w:t>une</w:t>
      </w:r>
      <w:r>
        <w:rPr>
          <w:color w:val="231F20"/>
          <w:spacing w:val="-3"/>
          <w:w w:val="120"/>
        </w:rPr>
        <w:t> </w:t>
      </w:r>
      <w:r>
        <w:rPr>
          <w:color w:val="231F20"/>
          <w:w w:val="120"/>
        </w:rPr>
        <w:t>réduction</w:t>
      </w:r>
      <w:r>
        <w:rPr>
          <w:color w:val="231F20"/>
          <w:spacing w:val="-3"/>
          <w:w w:val="120"/>
        </w:rPr>
        <w:t> </w:t>
      </w:r>
      <w:r>
        <w:rPr>
          <w:color w:val="231F20"/>
          <w:w w:val="120"/>
        </w:rPr>
        <w:t>du</w:t>
      </w:r>
      <w:r>
        <w:rPr>
          <w:color w:val="231F20"/>
          <w:spacing w:val="-3"/>
          <w:w w:val="120"/>
        </w:rPr>
        <w:t> </w:t>
      </w:r>
      <w:r>
        <w:rPr>
          <w:color w:val="231F20"/>
          <w:w w:val="120"/>
        </w:rPr>
        <w:t>stress,</w:t>
      </w:r>
      <w:r>
        <w:rPr>
          <w:color w:val="231F20"/>
          <w:spacing w:val="-3"/>
          <w:w w:val="120"/>
        </w:rPr>
        <w:t> </w:t>
      </w:r>
      <w:r>
        <w:rPr>
          <w:color w:val="231F20"/>
          <w:w w:val="120"/>
        </w:rPr>
        <w:t>et</w:t>
      </w:r>
      <w:r>
        <w:rPr>
          <w:color w:val="231F20"/>
          <w:spacing w:val="-3"/>
          <w:w w:val="120"/>
        </w:rPr>
        <w:t> </w:t>
      </w:r>
      <w:r>
        <w:rPr>
          <w:color w:val="231F20"/>
          <w:w w:val="120"/>
        </w:rPr>
        <w:t>par</w:t>
      </w:r>
      <w:r>
        <w:rPr>
          <w:color w:val="231F20"/>
          <w:spacing w:val="-3"/>
          <w:w w:val="120"/>
        </w:rPr>
        <w:t> </w:t>
      </w:r>
      <w:r>
        <w:rPr>
          <w:color w:val="231F20"/>
          <w:w w:val="120"/>
        </w:rPr>
        <w:t>ce</w:t>
      </w:r>
      <w:r>
        <w:rPr>
          <w:color w:val="231F20"/>
          <w:spacing w:val="-3"/>
          <w:w w:val="120"/>
        </w:rPr>
        <w:t> </w:t>
      </w:r>
      <w:r>
        <w:rPr>
          <w:color w:val="231F20"/>
          <w:w w:val="120"/>
        </w:rPr>
        <w:t>fait,</w:t>
      </w:r>
      <w:r>
        <w:rPr>
          <w:color w:val="231F20"/>
          <w:spacing w:val="-3"/>
          <w:w w:val="120"/>
        </w:rPr>
        <w:t> </w:t>
      </w:r>
      <w:r>
        <w:rPr>
          <w:color w:val="231F20"/>
          <w:w w:val="120"/>
        </w:rPr>
        <w:t>une</w:t>
      </w:r>
      <w:r>
        <w:rPr>
          <w:color w:val="231F20"/>
          <w:spacing w:val="-3"/>
          <w:w w:val="120"/>
        </w:rPr>
        <w:t> </w:t>
      </w:r>
      <w:r>
        <w:rPr>
          <w:color w:val="231F20"/>
          <w:w w:val="120"/>
        </w:rPr>
        <w:t>amélioration</w:t>
      </w:r>
      <w:r>
        <w:rPr>
          <w:color w:val="231F20"/>
          <w:spacing w:val="-3"/>
          <w:w w:val="120"/>
        </w:rPr>
        <w:t> </w:t>
      </w:r>
      <w:r>
        <w:rPr>
          <w:color w:val="231F20"/>
          <w:w w:val="120"/>
        </w:rPr>
        <w:t>du bien-être au travail.</w:t>
      </w:r>
    </w:p>
    <w:p>
      <w:pPr>
        <w:pStyle w:val="BodyText"/>
        <w:spacing w:before="4"/>
        <w:rPr>
          <w:sz w:val="11"/>
        </w:rPr>
      </w:pPr>
      <w:r>
        <w:rPr/>
        <w:pict>
          <v:group style="position:absolute;margin-left:82pt;margin-top:7.724463pt;width:287.5pt;height:268.25pt;mso-position-horizontal-relative:page;mso-position-vertical-relative:paragraph;z-index:-15664128;mso-wrap-distance-left:0;mso-wrap-distance-right:0" id="docshapegroup779" coordorigin="1640,154" coordsize="5750,5365">
            <v:shape style="position:absolute;left:1640;top:154;width:5750;height:5365" id="docshape780" coordorigin="1640,154" coordsize="5750,5365" path="m7390,154l1640,154,1640,699,1640,859,1640,5519,7390,5519,7390,859,7390,699,7390,154xe" filled="true" fillcolor="#e2e3e4" stroked="false">
              <v:path arrowok="t"/>
              <v:fill type="solid"/>
            </v:shape>
            <v:shape style="position:absolute;left:3617;top:3202;width:1838;height:2" id="docshape781" coordorigin="3618,3202" coordsize="1838,0" path="m3618,3202l3879,3202m5120,3202l5455,3202e" filled="false" stroked="true" strokeweight=".249pt" strokecolor="#231f20">
              <v:path arrowok="t"/>
              <v:stroke dashstyle="solid"/>
            </v:shape>
            <v:shape style="position:absolute;left:5445;top:3169;width:56;height:65" id="docshape782" coordorigin="5446,3170" coordsize="56,65" path="m5446,3170l5446,3234,5501,3202,5446,3170xe" filled="true" fillcolor="#231f20" stroked="false">
              <v:path arrowok="t"/>
              <v:fill type="solid"/>
            </v:shape>
            <v:line style="position:absolute" from="2506,3202" to="2728,3202" stroked="true" strokeweight=".249pt" strokecolor="#231f20">
              <v:stroke dashstyle="solid"/>
            </v:line>
            <v:shape style="position:absolute;left:2718;top:3169;width:56;height:65" id="docshape783" coordorigin="2719,3170" coordsize="56,65" path="m2719,3170l2719,3234,2775,3202,2719,3170xe" filled="true" fillcolor="#231f20" stroked="false">
              <v:path arrowok="t"/>
              <v:fill type="solid"/>
            </v:shape>
            <v:line style="position:absolute" from="2506,1767" to="2506,4655" stroked="true" strokeweight=".249pt" strokecolor="#231f20">
              <v:stroke dashstyle="solid"/>
            </v:line>
            <v:shape style="position:absolute;left:2473;top:1721;width:65;height:2981" id="docshape784" coordorigin="2474,1721" coordsize="65,2981" path="m2538,4646l2474,4646,2506,4702,2538,4646xm2538,1777l2506,1721,2474,1777,2538,1777xe" filled="true" fillcolor="#231f20" stroked="false">
              <v:path arrowok="t"/>
              <v:fill type="solid"/>
            </v:shape>
            <v:shape style="position:absolute;left:1890;top:1218;width:5250;height:4021" id="docshape785" coordorigin="1890,1219" coordsize="5250,4021" path="m3131,4702l1890,4702,1890,5199,3131,5199,3131,4702xm3618,2950l2775,2950,2775,3447,3618,3447,3618,2950xm5120,3556l3879,3556,3879,4054,5120,4054,5120,3556xm5120,2953l3879,2953,3879,3451,5120,3451,5120,2953xm5120,1987l3879,1987,3879,2843,5120,2843,5120,1987xm7140,4662l5501,4662,5501,5239,7140,5239,7140,4662xm7140,2954l5501,2954,5501,4452,7140,4452,7140,2954xm7140,1219l5501,1219,5501,2401,7140,2401,7140,1219xe" filled="true" fillcolor="#c7c8ca" stroked="false">
              <v:path arrowok="t"/>
              <v:fill type="solid"/>
            </v:shape>
            <v:shape style="position:absolute;left:3791;top:2409;width:88;height:1396" id="docshape786" coordorigin="3791,2410" coordsize="88,1396" path="m3879,2410l3791,2410,3791,3805,3879,3805e" filled="false" stroked="true" strokeweight=".249pt" strokecolor="#231f20">
              <v:path arrowok="t"/>
              <v:stroke dashstyle="solid"/>
            </v:shape>
            <v:shape style="position:absolute;left:5120;top:2409;width:88;height:1396" id="docshape787" coordorigin="5120,2410" coordsize="88,1396" path="m5120,2410l5208,2410,5208,3805,5120,3805e" filled="false" stroked="true" strokeweight=".249pt" strokecolor="#231f20">
              <v:path arrowok="t"/>
              <v:stroke dashstyle="solid"/>
            </v:shape>
            <v:shape style="position:absolute;left:5381;top:1809;width:73;height:3141" id="docshape788" coordorigin="5382,1810" coordsize="73,3141" path="m5455,1810l5382,1810,5382,4950,5455,4950e" filled="false" stroked="true" strokeweight=".249pt" strokecolor="#231f20">
              <v:path arrowok="t"/>
              <v:stroke dashstyle="solid"/>
            </v:shape>
            <v:shape style="position:absolute;left:5445;top:1777;width:56;height:3205" id="docshape789" coordorigin="5446,1778" coordsize="56,3205" path="m5501,4950l5446,4918,5446,4983,5501,4950xm5501,1810l5446,1778,5446,1842,5501,1810xe" filled="true" fillcolor="#231f20" stroked="false">
              <v:path arrowok="t"/>
              <v:fill type="solid"/>
            </v:shape>
            <v:shape style="position:absolute;left:1890;top:327;width:3786;height:246" type="#_x0000_t202" id="docshape790"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3"/>
                        <w:sz w:val="17"/>
                      </w:rPr>
                      <w:t> </w:t>
                    </w:r>
                    <w:r>
                      <w:rPr>
                        <w:rFonts w:ascii="Arial" w:hAnsi="Arial"/>
                        <w:color w:val="231F20"/>
                        <w:w w:val="95"/>
                        <w:sz w:val="17"/>
                      </w:rPr>
                      <w:t>3.8</w:t>
                    </w:r>
                    <w:r>
                      <w:rPr>
                        <w:rFonts w:ascii="Arial" w:hAnsi="Arial"/>
                        <w:color w:val="231F20"/>
                        <w:spacing w:val="-8"/>
                        <w:w w:val="95"/>
                        <w:sz w:val="17"/>
                      </w:rPr>
                      <w:t> </w:t>
                    </w:r>
                    <w:r>
                      <w:rPr>
                        <w:rFonts w:ascii="Arial" w:hAnsi="Arial"/>
                        <w:i/>
                        <w:color w:val="231F20"/>
                        <w:w w:val="95"/>
                        <w:sz w:val="17"/>
                      </w:rPr>
                      <w:t>/</w:t>
                    </w:r>
                    <w:r>
                      <w:rPr>
                        <w:rFonts w:ascii="Arial" w:hAnsi="Arial"/>
                        <w:i/>
                        <w:color w:val="231F20"/>
                        <w:spacing w:val="54"/>
                        <w:sz w:val="17"/>
                      </w:rPr>
                      <w:t> </w:t>
                    </w:r>
                    <w:r>
                      <w:rPr>
                        <w:rFonts w:ascii="Arial" w:hAnsi="Arial"/>
                        <w:b/>
                        <w:color w:val="231F20"/>
                        <w:w w:val="95"/>
                        <w:sz w:val="17"/>
                      </w:rPr>
                      <w:t>Modèle</w:t>
                    </w:r>
                    <w:r>
                      <w:rPr>
                        <w:rFonts w:ascii="Arial" w:hAnsi="Arial"/>
                        <w:b/>
                        <w:color w:val="231F20"/>
                        <w:spacing w:val="-1"/>
                        <w:w w:val="95"/>
                        <w:sz w:val="17"/>
                      </w:rPr>
                      <w:t> </w:t>
                    </w:r>
                    <w:r>
                      <w:rPr>
                        <w:rFonts w:ascii="Arial" w:hAnsi="Arial"/>
                        <w:b/>
                        <w:color w:val="231F20"/>
                        <w:w w:val="95"/>
                        <w:sz w:val="17"/>
                      </w:rPr>
                      <w:t>synthèse</w:t>
                    </w:r>
                    <w:r>
                      <w:rPr>
                        <w:rFonts w:ascii="Arial" w:hAnsi="Arial"/>
                        <w:b/>
                        <w:color w:val="231F20"/>
                        <w:spacing w:val="-2"/>
                        <w:sz w:val="17"/>
                      </w:rPr>
                      <w:t> </w:t>
                    </w:r>
                    <w:r>
                      <w:rPr>
                        <w:rFonts w:ascii="Arial" w:hAnsi="Arial"/>
                        <w:b/>
                        <w:color w:val="231F20"/>
                        <w:w w:val="95"/>
                        <w:sz w:val="17"/>
                      </w:rPr>
                      <w:t>du</w:t>
                    </w:r>
                    <w:r>
                      <w:rPr>
                        <w:rFonts w:ascii="Arial" w:hAnsi="Arial"/>
                        <w:b/>
                        <w:color w:val="231F20"/>
                        <w:spacing w:val="-1"/>
                        <w:w w:val="95"/>
                        <w:sz w:val="17"/>
                      </w:rPr>
                      <w:t> </w:t>
                    </w:r>
                    <w:r>
                      <w:rPr>
                        <w:rFonts w:ascii="Arial" w:hAnsi="Arial"/>
                        <w:b/>
                        <w:color w:val="231F20"/>
                        <w:w w:val="95"/>
                        <w:sz w:val="17"/>
                      </w:rPr>
                      <w:t>stress</w:t>
                    </w:r>
                    <w:r>
                      <w:rPr>
                        <w:rFonts w:ascii="Arial" w:hAnsi="Arial"/>
                        <w:b/>
                        <w:color w:val="231F20"/>
                        <w:spacing w:val="-2"/>
                        <w:sz w:val="17"/>
                      </w:rPr>
                      <w:t> </w:t>
                    </w:r>
                    <w:r>
                      <w:rPr>
                        <w:rFonts w:ascii="Arial" w:hAnsi="Arial"/>
                        <w:b/>
                        <w:color w:val="231F20"/>
                        <w:w w:val="95"/>
                        <w:sz w:val="17"/>
                      </w:rPr>
                      <w:t>au</w:t>
                    </w:r>
                    <w:r>
                      <w:rPr>
                        <w:rFonts w:ascii="Arial" w:hAnsi="Arial"/>
                        <w:b/>
                        <w:color w:val="231F20"/>
                        <w:spacing w:val="-1"/>
                        <w:w w:val="95"/>
                        <w:sz w:val="17"/>
                      </w:rPr>
                      <w:t> </w:t>
                    </w:r>
                    <w:r>
                      <w:rPr>
                        <w:rFonts w:ascii="Arial" w:hAnsi="Arial"/>
                        <w:b/>
                        <w:color w:val="231F20"/>
                        <w:spacing w:val="-2"/>
                        <w:w w:val="95"/>
                        <w:sz w:val="17"/>
                      </w:rPr>
                      <w:t>travail</w:t>
                    </w:r>
                  </w:p>
                </w:txbxContent>
              </v:textbox>
              <w10:wrap type="none"/>
            </v:shape>
            <v:shape style="position:absolute;left:4055;top:2034;width:910;height:728" type="#_x0000_t202" id="docshape791" filled="false" stroked="false">
              <v:textbox inset="0,0,0,0">
                <w:txbxContent>
                  <w:p>
                    <w:pPr>
                      <w:spacing w:line="249" w:lineRule="auto" w:before="13"/>
                      <w:ind w:left="3" w:right="22" w:firstLine="0"/>
                      <w:jc w:val="center"/>
                      <w:rPr>
                        <w:rFonts w:ascii="Arial" w:hAnsi="Arial"/>
                        <w:sz w:val="15"/>
                      </w:rPr>
                    </w:pPr>
                    <w:r>
                      <w:rPr>
                        <w:rFonts w:ascii="Arial" w:hAnsi="Arial"/>
                        <w:color w:val="231F20"/>
                        <w:spacing w:val="-2"/>
                        <w:sz w:val="15"/>
                      </w:rPr>
                      <w:t>Aspect</w:t>
                    </w:r>
                    <w:r>
                      <w:rPr>
                        <w:rFonts w:ascii="Arial" w:hAnsi="Arial"/>
                        <w:color w:val="231F20"/>
                        <w:sz w:val="15"/>
                      </w:rPr>
                      <w:t> </w:t>
                    </w:r>
                    <w:r>
                      <w:rPr>
                        <w:rFonts w:ascii="Arial" w:hAnsi="Arial"/>
                        <w:color w:val="231F20"/>
                        <w:spacing w:val="-2"/>
                        <w:sz w:val="15"/>
                      </w:rPr>
                      <w:t>émotionnel,</w:t>
                    </w:r>
                    <w:r>
                      <w:rPr>
                        <w:rFonts w:ascii="Arial" w:hAnsi="Arial"/>
                        <w:color w:val="231F20"/>
                        <w:sz w:val="15"/>
                      </w:rPr>
                      <w:t> </w:t>
                    </w:r>
                    <w:r>
                      <w:rPr>
                        <w:rFonts w:ascii="Arial" w:hAnsi="Arial"/>
                        <w:color w:val="231F20"/>
                        <w:spacing w:val="-2"/>
                        <w:w w:val="90"/>
                        <w:sz w:val="15"/>
                      </w:rPr>
                      <w:t>psychologique</w:t>
                    </w:r>
                    <w:r>
                      <w:rPr>
                        <w:rFonts w:ascii="Arial" w:hAnsi="Arial"/>
                        <w:color w:val="231F20"/>
                        <w:sz w:val="15"/>
                      </w:rPr>
                      <w:t> et</w:t>
                    </w:r>
                    <w:r>
                      <w:rPr>
                        <w:rFonts w:ascii="Arial" w:hAnsi="Arial"/>
                        <w:color w:val="231F20"/>
                        <w:spacing w:val="-14"/>
                        <w:sz w:val="15"/>
                      </w:rPr>
                      <w:t> </w:t>
                    </w:r>
                    <w:r>
                      <w:rPr>
                        <w:rFonts w:ascii="Arial" w:hAnsi="Arial"/>
                        <w:color w:val="231F20"/>
                        <w:sz w:val="15"/>
                      </w:rPr>
                      <w:t>somatique</w:t>
                    </w:r>
                  </w:p>
                </w:txbxContent>
              </v:textbox>
              <w10:wrap type="none"/>
            </v:shape>
            <v:shape style="position:absolute;left:5501;top:802;width:1198;height:1511" type="#_x0000_t202" id="docshape792" filled="false" stroked="false">
              <v:textbox inset="0,0,0,0">
                <w:txbxContent>
                  <w:p>
                    <w:pPr>
                      <w:spacing w:line="249" w:lineRule="auto" w:before="20"/>
                      <w:ind w:left="0" w:right="0" w:firstLine="0"/>
                      <w:jc w:val="left"/>
                      <w:rPr>
                        <w:rFonts w:ascii="Arial" w:hAnsi="Arial"/>
                        <w:b/>
                        <w:sz w:val="15"/>
                      </w:rPr>
                    </w:pPr>
                    <w:r>
                      <w:rPr>
                        <w:rFonts w:ascii="Arial" w:hAnsi="Arial"/>
                        <w:b/>
                        <w:color w:val="231F20"/>
                        <w:spacing w:val="-2"/>
                        <w:w w:val="85"/>
                        <w:sz w:val="15"/>
                      </w:rPr>
                      <w:t>Conséquences</w:t>
                    </w:r>
                    <w:r>
                      <w:rPr>
                        <w:rFonts w:ascii="Arial" w:hAnsi="Arial"/>
                        <w:b/>
                        <w:color w:val="231F20"/>
                        <w:sz w:val="15"/>
                      </w:rPr>
                      <w:t> </w:t>
                    </w:r>
                    <w:r>
                      <w:rPr>
                        <w:rFonts w:ascii="Arial" w:hAnsi="Arial"/>
                        <w:b/>
                        <w:color w:val="231F20"/>
                        <w:spacing w:val="-2"/>
                        <w:sz w:val="15"/>
                      </w:rPr>
                      <w:t>subjectives</w:t>
                    </w:r>
                  </w:p>
                  <w:p>
                    <w:pPr>
                      <w:numPr>
                        <w:ilvl w:val="0"/>
                        <w:numId w:val="58"/>
                      </w:numPr>
                      <w:tabs>
                        <w:tab w:pos="239" w:val="left" w:leader="none"/>
                      </w:tabs>
                      <w:spacing w:line="249" w:lineRule="auto" w:before="122"/>
                      <w:ind w:left="238" w:right="18" w:hanging="120"/>
                      <w:jc w:val="left"/>
                      <w:rPr>
                        <w:rFonts w:ascii="Arial"/>
                        <w:sz w:val="15"/>
                      </w:rPr>
                    </w:pPr>
                    <w:r>
                      <w:rPr>
                        <w:rFonts w:ascii="Arial"/>
                        <w:color w:val="231F20"/>
                        <w:spacing w:val="-2"/>
                        <w:sz w:val="15"/>
                      </w:rPr>
                      <w:t>Insatisfaction</w:t>
                    </w:r>
                    <w:r>
                      <w:rPr>
                        <w:rFonts w:ascii="Arial"/>
                        <w:color w:val="231F20"/>
                        <w:sz w:val="15"/>
                      </w:rPr>
                      <w:t> </w:t>
                    </w:r>
                    <w:r>
                      <w:rPr>
                        <w:rFonts w:ascii="Arial"/>
                        <w:color w:val="231F20"/>
                        <w:spacing w:val="-2"/>
                        <w:w w:val="90"/>
                        <w:sz w:val="15"/>
                      </w:rPr>
                      <w:t>professionnelle</w:t>
                    </w:r>
                  </w:p>
                  <w:p>
                    <w:pPr>
                      <w:numPr>
                        <w:ilvl w:val="0"/>
                        <w:numId w:val="58"/>
                      </w:numPr>
                      <w:tabs>
                        <w:tab w:pos="239" w:val="left" w:leader="none"/>
                      </w:tabs>
                      <w:spacing w:before="59"/>
                      <w:ind w:left="238" w:right="0" w:hanging="120"/>
                      <w:jc w:val="left"/>
                      <w:rPr>
                        <w:rFonts w:ascii="Arial"/>
                        <w:sz w:val="15"/>
                      </w:rPr>
                    </w:pPr>
                    <w:r>
                      <w:rPr>
                        <w:rFonts w:ascii="Arial"/>
                        <w:color w:val="231F20"/>
                        <w:spacing w:val="-2"/>
                        <w:sz w:val="15"/>
                      </w:rPr>
                      <w:t>Propension</w:t>
                    </w:r>
                  </w:p>
                  <w:p>
                    <w:pPr>
                      <w:spacing w:before="7"/>
                      <w:ind w:left="0" w:right="31" w:firstLine="0"/>
                      <w:jc w:val="right"/>
                      <w:rPr>
                        <w:rFonts w:ascii="Arial" w:hAnsi="Arial"/>
                        <w:sz w:val="15"/>
                      </w:rPr>
                    </w:pPr>
                    <w:r>
                      <w:rPr>
                        <w:rFonts w:ascii="Arial" w:hAnsi="Arial"/>
                        <w:color w:val="231F20"/>
                        <w:w w:val="80"/>
                        <w:sz w:val="15"/>
                      </w:rPr>
                      <w:t>à</w:t>
                    </w:r>
                    <w:r>
                      <w:rPr>
                        <w:rFonts w:ascii="Arial" w:hAnsi="Arial"/>
                        <w:color w:val="231F20"/>
                        <w:spacing w:val="-4"/>
                        <w:w w:val="80"/>
                        <w:sz w:val="15"/>
                      </w:rPr>
                      <w:t> </w:t>
                    </w:r>
                    <w:r>
                      <w:rPr>
                        <w:rFonts w:ascii="Arial" w:hAnsi="Arial"/>
                        <w:color w:val="231F20"/>
                        <w:spacing w:val="-2"/>
                        <w:sz w:val="15"/>
                      </w:rPr>
                      <w:t>démissionner</w:t>
                    </w:r>
                  </w:p>
                  <w:p>
                    <w:pPr>
                      <w:numPr>
                        <w:ilvl w:val="0"/>
                        <w:numId w:val="58"/>
                      </w:numPr>
                      <w:tabs>
                        <w:tab w:pos="239" w:val="left" w:leader="none"/>
                      </w:tabs>
                      <w:spacing w:before="66"/>
                      <w:ind w:left="238" w:right="122" w:hanging="239"/>
                      <w:jc w:val="right"/>
                      <w:rPr>
                        <w:rFonts w:ascii="Arial" w:hAnsi="Arial"/>
                        <w:sz w:val="15"/>
                      </w:rPr>
                    </w:pPr>
                    <w:r>
                      <w:rPr>
                        <w:rFonts w:ascii="Arial" w:hAnsi="Arial"/>
                        <w:color w:val="231F20"/>
                        <w:w w:val="90"/>
                        <w:sz w:val="15"/>
                      </w:rPr>
                      <w:t>Qualité</w:t>
                    </w:r>
                    <w:r>
                      <w:rPr>
                        <w:rFonts w:ascii="Arial" w:hAnsi="Arial"/>
                        <w:color w:val="231F20"/>
                        <w:spacing w:val="-3"/>
                        <w:w w:val="90"/>
                        <w:sz w:val="15"/>
                      </w:rPr>
                      <w:t> </w:t>
                    </w:r>
                    <w:r>
                      <w:rPr>
                        <w:rFonts w:ascii="Arial" w:hAnsi="Arial"/>
                        <w:color w:val="231F20"/>
                        <w:w w:val="90"/>
                        <w:sz w:val="15"/>
                      </w:rPr>
                      <w:t>de</w:t>
                    </w:r>
                    <w:r>
                      <w:rPr>
                        <w:rFonts w:ascii="Arial" w:hAnsi="Arial"/>
                        <w:color w:val="231F20"/>
                        <w:spacing w:val="-3"/>
                        <w:w w:val="90"/>
                        <w:sz w:val="15"/>
                      </w:rPr>
                      <w:t> </w:t>
                    </w:r>
                    <w:r>
                      <w:rPr>
                        <w:rFonts w:ascii="Arial" w:hAnsi="Arial"/>
                        <w:color w:val="231F20"/>
                        <w:spacing w:val="-5"/>
                        <w:w w:val="90"/>
                        <w:sz w:val="15"/>
                      </w:rPr>
                      <w:t>vie</w:t>
                    </w:r>
                  </w:p>
                </w:txbxContent>
              </v:textbox>
              <w10:wrap type="none"/>
            </v:shape>
            <v:shape style="position:absolute;left:2961;top:2997;width:490;height:370" type="#_x0000_t202" id="docshape793" filled="false" stroked="false">
              <v:textbox inset="0,0,0,0">
                <w:txbxContent>
                  <w:p>
                    <w:pPr>
                      <w:spacing w:line="249" w:lineRule="auto" w:before="13"/>
                      <w:ind w:left="63" w:right="0" w:hanging="64"/>
                      <w:jc w:val="left"/>
                      <w:rPr>
                        <w:rFonts w:ascii="Arial"/>
                        <w:sz w:val="15"/>
                      </w:rPr>
                    </w:pPr>
                    <w:r>
                      <w:rPr>
                        <w:rFonts w:ascii="Arial"/>
                        <w:color w:val="231F20"/>
                        <w:spacing w:val="-2"/>
                        <w:w w:val="90"/>
                        <w:sz w:val="15"/>
                      </w:rPr>
                      <w:t>Soutien</w:t>
                    </w:r>
                    <w:r>
                      <w:rPr>
                        <w:rFonts w:ascii="Arial"/>
                        <w:color w:val="231F20"/>
                        <w:sz w:val="15"/>
                      </w:rPr>
                      <w:t> </w:t>
                    </w:r>
                    <w:r>
                      <w:rPr>
                        <w:rFonts w:ascii="Arial"/>
                        <w:color w:val="231F20"/>
                        <w:spacing w:val="-2"/>
                        <w:sz w:val="15"/>
                      </w:rPr>
                      <w:t>social</w:t>
                    </w:r>
                  </w:p>
                </w:txbxContent>
              </v:textbox>
              <w10:wrap type="none"/>
            </v:shape>
            <v:shape style="position:absolute;left:3983;top:3001;width:1052;height:973" type="#_x0000_t202" id="docshape794" filled="false" stroked="false">
              <v:textbox inset="0,0,0,0">
                <w:txbxContent>
                  <w:p>
                    <w:pPr>
                      <w:spacing w:line="249" w:lineRule="auto" w:before="17"/>
                      <w:ind w:left="0" w:right="0" w:firstLine="303"/>
                      <w:jc w:val="left"/>
                      <w:rPr>
                        <w:rFonts w:ascii="Arial"/>
                        <w:sz w:val="15"/>
                      </w:rPr>
                    </w:pPr>
                    <w:r>
                      <w:rPr>
                        <w:rFonts w:ascii="Arial"/>
                        <w:color w:val="231F20"/>
                        <w:spacing w:val="-2"/>
                        <w:sz w:val="15"/>
                      </w:rPr>
                      <w:t>Aspect</w:t>
                    </w:r>
                    <w:r>
                      <w:rPr>
                        <w:rFonts w:ascii="Arial"/>
                        <w:color w:val="231F20"/>
                        <w:sz w:val="15"/>
                      </w:rPr>
                      <w:t> </w:t>
                    </w:r>
                    <w:r>
                      <w:rPr>
                        <w:rFonts w:ascii="Arial"/>
                        <w:color w:val="231F20"/>
                        <w:spacing w:val="-2"/>
                        <w:w w:val="95"/>
                        <w:sz w:val="15"/>
                      </w:rPr>
                      <w:t>comportemental</w:t>
                    </w:r>
                  </w:p>
                  <w:p>
                    <w:pPr>
                      <w:spacing w:line="240" w:lineRule="auto" w:before="10"/>
                      <w:rPr>
                        <w:rFonts w:ascii="Arial"/>
                        <w:sz w:val="20"/>
                      </w:rPr>
                    </w:pPr>
                  </w:p>
                  <w:p>
                    <w:pPr>
                      <w:spacing w:line="249" w:lineRule="auto" w:before="0"/>
                      <w:ind w:left="86" w:right="0" w:firstLine="216"/>
                      <w:jc w:val="left"/>
                      <w:rPr>
                        <w:rFonts w:ascii="Arial"/>
                        <w:sz w:val="15"/>
                      </w:rPr>
                    </w:pPr>
                    <w:r>
                      <w:rPr>
                        <w:rFonts w:ascii="Arial"/>
                        <w:color w:val="231F20"/>
                        <w:spacing w:val="-2"/>
                        <w:sz w:val="15"/>
                      </w:rPr>
                      <w:t>Aspect</w:t>
                    </w:r>
                    <w:r>
                      <w:rPr>
                        <w:rFonts w:ascii="Arial"/>
                        <w:color w:val="231F20"/>
                        <w:sz w:val="15"/>
                      </w:rPr>
                      <w:t> </w:t>
                    </w:r>
                    <w:r>
                      <w:rPr>
                        <w:rFonts w:ascii="Arial"/>
                        <w:color w:val="231F20"/>
                        <w:spacing w:val="-2"/>
                        <w:w w:val="90"/>
                        <w:sz w:val="15"/>
                      </w:rPr>
                      <w:t>physiologique</w:t>
                    </w:r>
                  </w:p>
                </w:txbxContent>
              </v:textbox>
              <w10:wrap type="none"/>
            </v:shape>
            <v:shape style="position:absolute;left:5501;top:2532;width:1314;height:1829" type="#_x0000_t202" id="docshape795" filled="false" stroked="false">
              <v:textbox inset="0,0,0,0">
                <w:txbxContent>
                  <w:p>
                    <w:pPr>
                      <w:spacing w:line="249" w:lineRule="auto" w:before="20"/>
                      <w:ind w:left="0" w:right="0" w:firstLine="0"/>
                      <w:jc w:val="left"/>
                      <w:rPr>
                        <w:rFonts w:ascii="Arial" w:hAnsi="Arial"/>
                        <w:b/>
                        <w:sz w:val="15"/>
                      </w:rPr>
                    </w:pPr>
                    <w:r>
                      <w:rPr>
                        <w:rFonts w:ascii="Arial" w:hAnsi="Arial"/>
                        <w:b/>
                        <w:color w:val="231F20"/>
                        <w:spacing w:val="-2"/>
                        <w:w w:val="85"/>
                        <w:sz w:val="15"/>
                      </w:rPr>
                      <w:t>Conséquences</w:t>
                    </w:r>
                    <w:r>
                      <w:rPr>
                        <w:rFonts w:ascii="Arial" w:hAnsi="Arial"/>
                        <w:b/>
                        <w:color w:val="231F20"/>
                        <w:sz w:val="15"/>
                      </w:rPr>
                      <w:t> </w:t>
                    </w:r>
                    <w:r>
                      <w:rPr>
                        <w:rFonts w:ascii="Arial" w:hAnsi="Arial"/>
                        <w:b/>
                        <w:color w:val="231F20"/>
                        <w:spacing w:val="-2"/>
                        <w:sz w:val="15"/>
                      </w:rPr>
                      <w:t>objectives</w:t>
                    </w:r>
                  </w:p>
                  <w:p>
                    <w:pPr>
                      <w:numPr>
                        <w:ilvl w:val="0"/>
                        <w:numId w:val="59"/>
                      </w:numPr>
                      <w:tabs>
                        <w:tab w:pos="239" w:val="left" w:leader="none"/>
                      </w:tabs>
                      <w:spacing w:before="142"/>
                      <w:ind w:left="238" w:right="0" w:hanging="120"/>
                      <w:jc w:val="left"/>
                      <w:rPr>
                        <w:rFonts w:ascii="Arial" w:hAnsi="Arial"/>
                        <w:sz w:val="15"/>
                      </w:rPr>
                    </w:pPr>
                    <w:r>
                      <w:rPr>
                        <w:rFonts w:ascii="Arial" w:hAnsi="Arial"/>
                        <w:color w:val="231F20"/>
                        <w:spacing w:val="-2"/>
                        <w:sz w:val="15"/>
                      </w:rPr>
                      <w:t>Imponctualité</w:t>
                    </w:r>
                  </w:p>
                  <w:p>
                    <w:pPr>
                      <w:numPr>
                        <w:ilvl w:val="0"/>
                        <w:numId w:val="59"/>
                      </w:numPr>
                      <w:tabs>
                        <w:tab w:pos="239" w:val="left" w:leader="none"/>
                      </w:tabs>
                      <w:spacing w:before="66"/>
                      <w:ind w:left="238" w:right="0" w:hanging="120"/>
                      <w:jc w:val="left"/>
                      <w:rPr>
                        <w:rFonts w:ascii="Arial"/>
                        <w:sz w:val="15"/>
                      </w:rPr>
                    </w:pPr>
                    <w:r>
                      <w:rPr>
                        <w:rFonts w:ascii="Arial"/>
                        <w:color w:val="231F20"/>
                        <w:spacing w:val="-2"/>
                        <w:sz w:val="15"/>
                      </w:rPr>
                      <w:t>Absences</w:t>
                    </w:r>
                  </w:p>
                  <w:p>
                    <w:pPr>
                      <w:numPr>
                        <w:ilvl w:val="0"/>
                        <w:numId w:val="59"/>
                      </w:numPr>
                      <w:tabs>
                        <w:tab w:pos="239" w:val="left" w:leader="none"/>
                      </w:tabs>
                      <w:spacing w:line="249" w:lineRule="auto" w:before="66"/>
                      <w:ind w:left="238" w:right="276" w:hanging="120"/>
                      <w:jc w:val="left"/>
                      <w:rPr>
                        <w:rFonts w:ascii="Arial"/>
                        <w:sz w:val="15"/>
                      </w:rPr>
                    </w:pPr>
                    <w:r>
                      <w:rPr>
                        <w:rFonts w:ascii="Arial"/>
                        <w:color w:val="231F20"/>
                        <w:spacing w:val="-2"/>
                        <w:w w:val="90"/>
                        <w:sz w:val="15"/>
                      </w:rPr>
                      <w:t>Changement</w:t>
                    </w:r>
                    <w:r>
                      <w:rPr>
                        <w:rFonts w:ascii="Arial"/>
                        <w:color w:val="231F20"/>
                        <w:sz w:val="15"/>
                      </w:rPr>
                      <w:t> </w:t>
                    </w:r>
                    <w:r>
                      <w:rPr>
                        <w:rFonts w:ascii="Arial"/>
                        <w:color w:val="231F20"/>
                        <w:w w:val="90"/>
                        <w:sz w:val="15"/>
                      </w:rPr>
                      <w:t>de</w:t>
                    </w:r>
                    <w:r>
                      <w:rPr>
                        <w:rFonts w:ascii="Arial"/>
                        <w:color w:val="231F20"/>
                        <w:spacing w:val="-5"/>
                        <w:w w:val="90"/>
                        <w:sz w:val="15"/>
                      </w:rPr>
                      <w:t> </w:t>
                    </w:r>
                    <w:r>
                      <w:rPr>
                        <w:rFonts w:ascii="Arial"/>
                        <w:color w:val="231F20"/>
                        <w:spacing w:val="-4"/>
                        <w:w w:val="95"/>
                        <w:sz w:val="15"/>
                      </w:rPr>
                      <w:t>personnel</w:t>
                    </w:r>
                  </w:p>
                  <w:p>
                    <w:pPr>
                      <w:numPr>
                        <w:ilvl w:val="0"/>
                        <w:numId w:val="59"/>
                      </w:numPr>
                      <w:tabs>
                        <w:tab w:pos="239" w:val="left" w:leader="none"/>
                      </w:tabs>
                      <w:spacing w:before="60"/>
                      <w:ind w:left="238" w:right="0" w:hanging="120"/>
                      <w:jc w:val="left"/>
                      <w:rPr>
                        <w:rFonts w:ascii="Arial"/>
                        <w:sz w:val="15"/>
                      </w:rPr>
                    </w:pPr>
                    <w:r>
                      <w:rPr>
                        <w:rFonts w:ascii="Arial"/>
                        <w:color w:val="231F20"/>
                        <w:w w:val="90"/>
                        <w:sz w:val="15"/>
                      </w:rPr>
                      <w:t>Conflits</w:t>
                    </w:r>
                    <w:r>
                      <w:rPr>
                        <w:rFonts w:ascii="Arial"/>
                        <w:color w:val="231F20"/>
                        <w:spacing w:val="-4"/>
                        <w:sz w:val="15"/>
                      </w:rPr>
                      <w:t> </w:t>
                    </w:r>
                    <w:r>
                      <w:rPr>
                        <w:rFonts w:ascii="Arial"/>
                        <w:color w:val="231F20"/>
                        <w:w w:val="90"/>
                        <w:sz w:val="15"/>
                      </w:rPr>
                      <w:t>de</w:t>
                    </w:r>
                    <w:r>
                      <w:rPr>
                        <w:rFonts w:ascii="Arial"/>
                        <w:color w:val="231F20"/>
                        <w:spacing w:val="-4"/>
                        <w:sz w:val="15"/>
                      </w:rPr>
                      <w:t> </w:t>
                    </w:r>
                    <w:r>
                      <w:rPr>
                        <w:rFonts w:ascii="Arial"/>
                        <w:color w:val="231F20"/>
                        <w:spacing w:val="-2"/>
                        <w:w w:val="90"/>
                        <w:sz w:val="15"/>
                      </w:rPr>
                      <w:t>travail</w:t>
                    </w:r>
                  </w:p>
                  <w:p>
                    <w:pPr>
                      <w:numPr>
                        <w:ilvl w:val="0"/>
                        <w:numId w:val="59"/>
                      </w:numPr>
                      <w:tabs>
                        <w:tab w:pos="239" w:val="left" w:leader="none"/>
                      </w:tabs>
                      <w:spacing w:before="66"/>
                      <w:ind w:left="238" w:right="0" w:hanging="120"/>
                      <w:jc w:val="left"/>
                      <w:rPr>
                        <w:rFonts w:ascii="Arial"/>
                        <w:sz w:val="15"/>
                      </w:rPr>
                    </w:pPr>
                    <w:r>
                      <w:rPr>
                        <w:rFonts w:ascii="Arial"/>
                        <w:color w:val="231F20"/>
                        <w:spacing w:val="-2"/>
                        <w:sz w:val="15"/>
                      </w:rPr>
                      <w:t>Accidents</w:t>
                    </w:r>
                  </w:p>
                </w:txbxContent>
              </v:textbox>
              <w10:wrap type="none"/>
            </v:shape>
            <v:shape style="position:absolute;left:2126;top:4749;width:788;height:370" type="#_x0000_t202" id="docshape796" filled="false" stroked="false">
              <v:textbox inset="0,0,0,0">
                <w:txbxContent>
                  <w:p>
                    <w:pPr>
                      <w:spacing w:line="249" w:lineRule="auto" w:before="13"/>
                      <w:ind w:left="0" w:right="0" w:firstLine="34"/>
                      <w:jc w:val="left"/>
                      <w:rPr>
                        <w:rFonts w:ascii="Arial" w:hAnsi="Arial"/>
                        <w:sz w:val="15"/>
                      </w:rPr>
                    </w:pPr>
                    <w:r>
                      <w:rPr>
                        <w:rFonts w:ascii="Arial" w:hAnsi="Arial"/>
                        <w:color w:val="231F20"/>
                        <w:spacing w:val="-2"/>
                        <w:w w:val="95"/>
                        <w:sz w:val="15"/>
                      </w:rPr>
                      <w:t>Différences</w:t>
                    </w:r>
                    <w:r>
                      <w:rPr>
                        <w:rFonts w:ascii="Arial" w:hAnsi="Arial"/>
                        <w:color w:val="231F20"/>
                        <w:sz w:val="15"/>
                      </w:rPr>
                      <w:t> </w:t>
                    </w:r>
                    <w:r>
                      <w:rPr>
                        <w:rFonts w:ascii="Arial" w:hAnsi="Arial"/>
                        <w:color w:val="231F20"/>
                        <w:spacing w:val="-2"/>
                        <w:w w:val="90"/>
                        <w:sz w:val="15"/>
                      </w:rPr>
                      <w:t>individuelles</w:t>
                    </w:r>
                  </w:p>
                </w:txbxContent>
              </v:textbox>
              <w10:wrap type="none"/>
            </v:shape>
            <v:shape style="position:absolute;left:5620;top:4729;width:1076;height:430" type="#_x0000_t202" id="docshape797" filled="false" stroked="false">
              <v:textbox inset="0,0,0,0">
                <w:txbxContent>
                  <w:p>
                    <w:pPr>
                      <w:numPr>
                        <w:ilvl w:val="0"/>
                        <w:numId w:val="60"/>
                      </w:numPr>
                      <w:tabs>
                        <w:tab w:pos="120" w:val="left" w:leader="none"/>
                      </w:tabs>
                      <w:spacing w:before="17"/>
                      <w:ind w:left="119" w:right="0" w:hanging="120"/>
                      <w:jc w:val="left"/>
                      <w:rPr>
                        <w:rFonts w:ascii="Arial" w:hAnsi="Arial"/>
                        <w:sz w:val="15"/>
                      </w:rPr>
                    </w:pPr>
                    <w:r>
                      <w:rPr>
                        <w:rFonts w:ascii="Arial" w:hAnsi="Arial"/>
                        <w:color w:val="231F20"/>
                        <w:w w:val="85"/>
                        <w:sz w:val="15"/>
                      </w:rPr>
                      <w:t>Santé</w:t>
                    </w:r>
                    <w:r>
                      <w:rPr>
                        <w:rFonts w:ascii="Arial" w:hAnsi="Arial"/>
                        <w:color w:val="231F20"/>
                        <w:spacing w:val="1"/>
                        <w:sz w:val="15"/>
                      </w:rPr>
                      <w:t> </w:t>
                    </w:r>
                    <w:r>
                      <w:rPr>
                        <w:rFonts w:ascii="Arial" w:hAnsi="Arial"/>
                        <w:color w:val="231F20"/>
                        <w:spacing w:val="-2"/>
                        <w:w w:val="95"/>
                        <w:sz w:val="15"/>
                      </w:rPr>
                      <w:t>physique</w:t>
                    </w:r>
                  </w:p>
                  <w:p>
                    <w:pPr>
                      <w:numPr>
                        <w:ilvl w:val="0"/>
                        <w:numId w:val="60"/>
                      </w:numPr>
                      <w:tabs>
                        <w:tab w:pos="120" w:val="left" w:leader="none"/>
                      </w:tabs>
                      <w:spacing w:before="67"/>
                      <w:ind w:left="119" w:right="0" w:hanging="120"/>
                      <w:jc w:val="left"/>
                      <w:rPr>
                        <w:rFonts w:ascii="Arial" w:hAnsi="Arial"/>
                        <w:sz w:val="15"/>
                      </w:rPr>
                    </w:pPr>
                    <w:r>
                      <w:rPr>
                        <w:rFonts w:ascii="Arial" w:hAnsi="Arial"/>
                        <w:color w:val="231F20"/>
                        <w:w w:val="85"/>
                        <w:sz w:val="15"/>
                      </w:rPr>
                      <w:t>Santé</w:t>
                    </w:r>
                    <w:r>
                      <w:rPr>
                        <w:rFonts w:ascii="Arial" w:hAnsi="Arial"/>
                        <w:color w:val="231F20"/>
                        <w:spacing w:val="1"/>
                        <w:sz w:val="15"/>
                      </w:rPr>
                      <w:t> </w:t>
                    </w:r>
                    <w:r>
                      <w:rPr>
                        <w:rFonts w:ascii="Arial" w:hAnsi="Arial"/>
                        <w:color w:val="231F20"/>
                        <w:spacing w:val="-2"/>
                        <w:sz w:val="15"/>
                      </w:rPr>
                      <w:t>mentale</w:t>
                    </w:r>
                  </w:p>
                </w:txbxContent>
              </v:textbox>
              <w10:wrap type="none"/>
            </v:shape>
            <v:shape style="position:absolute;left:1890;top:1218;width:1241;height:498" type="#_x0000_t202" id="docshape798" filled="true" fillcolor="#c7c8ca" stroked="false">
              <v:textbox inset="0,0,0,0">
                <w:txbxContent>
                  <w:p>
                    <w:pPr>
                      <w:spacing w:line="249" w:lineRule="auto" w:before="65"/>
                      <w:ind w:left="289" w:right="282" w:firstLine="23"/>
                      <w:jc w:val="left"/>
                      <w:rPr>
                        <w:rFonts w:ascii="Arial" w:hAnsi="Arial"/>
                        <w:color w:val="000000"/>
                        <w:sz w:val="15"/>
                      </w:rPr>
                    </w:pPr>
                    <w:r>
                      <w:rPr>
                        <w:rFonts w:ascii="Arial" w:hAnsi="Arial"/>
                        <w:color w:val="231F20"/>
                        <w:spacing w:val="-2"/>
                        <w:w w:val="90"/>
                        <w:sz w:val="15"/>
                      </w:rPr>
                      <w:t>Exigences</w:t>
                    </w:r>
                    <w:r>
                      <w:rPr>
                        <w:rFonts w:ascii="Arial" w:hAnsi="Arial"/>
                        <w:color w:val="231F20"/>
                        <w:sz w:val="15"/>
                      </w:rPr>
                      <w:t> </w:t>
                    </w:r>
                    <w:r>
                      <w:rPr>
                        <w:rFonts w:ascii="Arial" w:hAnsi="Arial"/>
                        <w:color w:val="231F20"/>
                        <w:w w:val="90"/>
                        <w:sz w:val="15"/>
                      </w:rPr>
                      <w:t>de</w:t>
                    </w:r>
                    <w:r>
                      <w:rPr>
                        <w:rFonts w:ascii="Arial" w:hAnsi="Arial"/>
                        <w:color w:val="231F20"/>
                        <w:spacing w:val="-5"/>
                        <w:w w:val="90"/>
                        <w:sz w:val="15"/>
                      </w:rPr>
                      <w:t> </w:t>
                    </w:r>
                    <w:r>
                      <w:rPr>
                        <w:rFonts w:ascii="Arial" w:hAnsi="Arial"/>
                        <w:color w:val="231F20"/>
                        <w:spacing w:val="-2"/>
                        <w:w w:val="95"/>
                        <w:sz w:val="15"/>
                      </w:rPr>
                      <w:t>l’emploi</w:t>
                    </w:r>
                  </w:p>
                </w:txbxContent>
              </v:textbox>
              <v:fill type="solid"/>
              <w10:wrap type="none"/>
            </v:shape>
            <w10:wrap type="topAndBottom"/>
          </v:group>
        </w:pict>
      </w:r>
    </w:p>
    <w:p>
      <w:pPr>
        <w:spacing w:after="0"/>
        <w:rPr>
          <w:sz w:val="11"/>
        </w:rPr>
        <w:sectPr>
          <w:footerReference w:type="default" r:id="rId227"/>
          <w:pgSz w:w="8640" w:h="12960"/>
          <w:pgMar w:footer="424" w:header="0" w:top="500" w:bottom="620" w:left="420" w:right="1140"/>
        </w:sectPr>
      </w:pPr>
    </w:p>
    <w:p>
      <w:pPr>
        <w:spacing w:before="103"/>
        <w:ind w:left="1028" w:right="698" w:firstLine="0"/>
        <w:jc w:val="center"/>
        <w:rPr>
          <w:rFonts w:ascii="Arial" w:hAnsi="Arial"/>
          <w:sz w:val="14"/>
        </w:rPr>
      </w:pPr>
      <w:bookmarkStart w:name="Exercice 3.4 / Bref audit du stress" w:id="125"/>
      <w:bookmarkEnd w:id="125"/>
      <w:r>
        <w:rPr/>
      </w:r>
      <w:bookmarkStart w:name="_bookmark54" w:id="126"/>
      <w:bookmarkEnd w:id="12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10"/>
        <w:rPr>
          <w:rFonts w:ascii="Arial"/>
          <w:sz w:val="26"/>
        </w:rPr>
      </w:pPr>
    </w:p>
    <w:p>
      <w:pPr>
        <w:spacing w:before="0"/>
        <w:ind w:left="830" w:right="0" w:firstLine="0"/>
        <w:jc w:val="left"/>
        <w:rPr>
          <w:rFonts w:ascii="Arial"/>
          <w:i/>
          <w:sz w:val="21"/>
        </w:rPr>
      </w:pPr>
      <w:r>
        <w:rPr>
          <w:rFonts w:ascii="Arial"/>
          <w:color w:val="231F20"/>
          <w:w w:val="95"/>
          <w:sz w:val="21"/>
        </w:rPr>
        <w:t>exerCiCe</w:t>
      </w:r>
      <w:r>
        <w:rPr>
          <w:rFonts w:ascii="Arial"/>
          <w:color w:val="231F20"/>
          <w:spacing w:val="10"/>
          <w:sz w:val="21"/>
        </w:rPr>
        <w:t> </w:t>
      </w:r>
      <w:r>
        <w:rPr>
          <w:rFonts w:ascii="Arial"/>
          <w:color w:val="231F20"/>
          <w:w w:val="95"/>
          <w:sz w:val="21"/>
        </w:rPr>
        <w:t>3.4</w:t>
      </w:r>
      <w:r>
        <w:rPr>
          <w:rFonts w:ascii="Arial"/>
          <w:color w:val="231F20"/>
          <w:spacing w:val="-5"/>
          <w:w w:val="95"/>
          <w:sz w:val="21"/>
        </w:rPr>
        <w:t> </w:t>
      </w:r>
      <w:r>
        <w:rPr>
          <w:rFonts w:ascii="Arial"/>
          <w:i/>
          <w:color w:val="231F20"/>
          <w:spacing w:val="-10"/>
          <w:w w:val="95"/>
          <w:sz w:val="21"/>
        </w:rPr>
        <w:t>/</w:t>
      </w:r>
    </w:p>
    <w:p>
      <w:pPr>
        <w:pStyle w:val="Heading2"/>
        <w:spacing w:before="8"/>
        <w:ind w:left="830"/>
        <w:rPr>
          <w:b w:val="0"/>
        </w:rPr>
      </w:pPr>
      <w:r>
        <w:rPr>
          <w:color w:val="231F20"/>
          <w:w w:val="95"/>
        </w:rPr>
        <w:t>Bref</w:t>
      </w:r>
      <w:r>
        <w:rPr>
          <w:color w:val="231F20"/>
          <w:spacing w:val="-2"/>
        </w:rPr>
        <w:t> </w:t>
      </w:r>
      <w:r>
        <w:rPr>
          <w:color w:val="231F20"/>
          <w:w w:val="95"/>
        </w:rPr>
        <w:t>audit</w:t>
      </w:r>
      <w:r>
        <w:rPr>
          <w:color w:val="231F20"/>
          <w:spacing w:val="-1"/>
        </w:rPr>
        <w:t> </w:t>
      </w:r>
      <w:r>
        <w:rPr>
          <w:color w:val="231F20"/>
          <w:w w:val="95"/>
        </w:rPr>
        <w:t>du</w:t>
      </w:r>
      <w:r>
        <w:rPr>
          <w:color w:val="231F20"/>
          <w:spacing w:val="-2"/>
        </w:rPr>
        <w:t> </w:t>
      </w:r>
      <w:r>
        <w:rPr>
          <w:color w:val="231F20"/>
          <w:spacing w:val="-2"/>
          <w:w w:val="95"/>
        </w:rPr>
        <w:t>stress</w:t>
      </w:r>
      <w:r>
        <w:rPr>
          <w:b w:val="0"/>
          <w:color w:val="231F20"/>
          <w:spacing w:val="-2"/>
          <w:w w:val="95"/>
        </w:rPr>
        <w:t>21</w:t>
      </w:r>
    </w:p>
    <w:p>
      <w:pPr>
        <w:pStyle w:val="BodyText"/>
        <w:spacing w:before="9"/>
        <w:rPr>
          <w:rFonts w:ascii="Arial"/>
          <w:sz w:val="25"/>
        </w:rPr>
      </w:pPr>
    </w:p>
    <w:p>
      <w:pPr>
        <w:pStyle w:val="BodyText"/>
        <w:spacing w:line="307" w:lineRule="auto" w:before="1"/>
        <w:ind w:left="830" w:right="497"/>
        <w:jc w:val="both"/>
      </w:pPr>
      <w:r>
        <w:rPr>
          <w:color w:val="231F20"/>
          <w:w w:val="120"/>
        </w:rPr>
        <w:t>Veuillez</w:t>
      </w:r>
      <w:r>
        <w:rPr>
          <w:color w:val="231F20"/>
          <w:spacing w:val="-8"/>
          <w:w w:val="120"/>
        </w:rPr>
        <w:t> </w:t>
      </w:r>
      <w:r>
        <w:rPr>
          <w:color w:val="231F20"/>
          <w:w w:val="120"/>
        </w:rPr>
        <w:t>lire</w:t>
      </w:r>
      <w:r>
        <w:rPr>
          <w:color w:val="231F20"/>
          <w:spacing w:val="-8"/>
          <w:w w:val="120"/>
        </w:rPr>
        <w:t> </w:t>
      </w:r>
      <w:r>
        <w:rPr>
          <w:color w:val="231F20"/>
          <w:w w:val="120"/>
        </w:rPr>
        <w:t>la</w:t>
      </w:r>
      <w:r>
        <w:rPr>
          <w:color w:val="231F20"/>
          <w:spacing w:val="-8"/>
          <w:w w:val="120"/>
        </w:rPr>
        <w:t> </w:t>
      </w:r>
      <w:r>
        <w:rPr>
          <w:color w:val="231F20"/>
          <w:w w:val="120"/>
        </w:rPr>
        <w:t>liste</w:t>
      </w:r>
      <w:r>
        <w:rPr>
          <w:color w:val="231F20"/>
          <w:spacing w:val="-8"/>
          <w:w w:val="120"/>
        </w:rPr>
        <w:t> </w:t>
      </w:r>
      <w:r>
        <w:rPr>
          <w:color w:val="231F20"/>
          <w:w w:val="120"/>
        </w:rPr>
        <w:t>des</w:t>
      </w:r>
      <w:r>
        <w:rPr>
          <w:color w:val="231F20"/>
          <w:spacing w:val="-8"/>
          <w:w w:val="120"/>
        </w:rPr>
        <w:t> </w:t>
      </w:r>
      <w:r>
        <w:rPr>
          <w:color w:val="231F20"/>
          <w:w w:val="120"/>
        </w:rPr>
        <w:t>indicateurs</w:t>
      </w:r>
      <w:r>
        <w:rPr>
          <w:color w:val="231F20"/>
          <w:spacing w:val="-8"/>
          <w:w w:val="120"/>
        </w:rPr>
        <w:t> </w:t>
      </w:r>
      <w:r>
        <w:rPr>
          <w:color w:val="231F20"/>
          <w:w w:val="120"/>
        </w:rPr>
        <w:t>de</w:t>
      </w:r>
      <w:r>
        <w:rPr>
          <w:color w:val="231F20"/>
          <w:spacing w:val="-8"/>
          <w:w w:val="120"/>
        </w:rPr>
        <w:t> </w:t>
      </w:r>
      <w:r>
        <w:rPr>
          <w:color w:val="231F20"/>
          <w:w w:val="120"/>
        </w:rPr>
        <w:t>stress</w:t>
      </w:r>
      <w:r>
        <w:rPr>
          <w:color w:val="231F20"/>
          <w:spacing w:val="-8"/>
          <w:w w:val="120"/>
        </w:rPr>
        <w:t> </w:t>
      </w:r>
      <w:r>
        <w:rPr>
          <w:color w:val="231F20"/>
          <w:w w:val="120"/>
        </w:rPr>
        <w:t>qui</w:t>
      </w:r>
      <w:r>
        <w:rPr>
          <w:color w:val="231F20"/>
          <w:spacing w:val="-8"/>
          <w:w w:val="120"/>
        </w:rPr>
        <w:t> </w:t>
      </w:r>
      <w:r>
        <w:rPr>
          <w:color w:val="231F20"/>
          <w:w w:val="120"/>
        </w:rPr>
        <w:t>suit.</w:t>
      </w:r>
      <w:r>
        <w:rPr>
          <w:color w:val="231F20"/>
          <w:spacing w:val="-8"/>
          <w:w w:val="120"/>
        </w:rPr>
        <w:t> </w:t>
      </w:r>
      <w:r>
        <w:rPr>
          <w:color w:val="231F20"/>
          <w:w w:val="120"/>
        </w:rPr>
        <w:t>Cochez</w:t>
      </w:r>
      <w:r>
        <w:rPr>
          <w:color w:val="231F20"/>
          <w:spacing w:val="-8"/>
          <w:w w:val="120"/>
        </w:rPr>
        <w:t> </w:t>
      </w:r>
      <w:r>
        <w:rPr>
          <w:color w:val="231F20"/>
          <w:w w:val="120"/>
        </w:rPr>
        <w:t>toutes</w:t>
      </w:r>
      <w:r>
        <w:rPr>
          <w:color w:val="231F20"/>
          <w:spacing w:val="-8"/>
          <w:w w:val="120"/>
        </w:rPr>
        <w:t> </w:t>
      </w:r>
      <w:r>
        <w:rPr>
          <w:color w:val="231F20"/>
          <w:w w:val="120"/>
        </w:rPr>
        <w:t>les cases</w:t>
      </w:r>
      <w:r>
        <w:rPr>
          <w:color w:val="231F20"/>
          <w:spacing w:val="-9"/>
          <w:w w:val="120"/>
        </w:rPr>
        <w:t> </w:t>
      </w:r>
      <w:r>
        <w:rPr>
          <w:color w:val="231F20"/>
          <w:w w:val="120"/>
        </w:rPr>
        <w:t>correspondant</w:t>
      </w:r>
      <w:r>
        <w:rPr>
          <w:color w:val="231F20"/>
          <w:spacing w:val="-9"/>
          <w:w w:val="120"/>
        </w:rPr>
        <w:t> </w:t>
      </w:r>
      <w:r>
        <w:rPr>
          <w:color w:val="231F20"/>
          <w:w w:val="120"/>
        </w:rPr>
        <w:t>à</w:t>
      </w:r>
      <w:r>
        <w:rPr>
          <w:color w:val="231F20"/>
          <w:spacing w:val="-9"/>
          <w:w w:val="120"/>
        </w:rPr>
        <w:t> </w:t>
      </w:r>
      <w:r>
        <w:rPr>
          <w:color w:val="231F20"/>
          <w:w w:val="120"/>
        </w:rPr>
        <w:t>un</w:t>
      </w:r>
      <w:r>
        <w:rPr>
          <w:color w:val="231F20"/>
          <w:spacing w:val="-9"/>
          <w:w w:val="120"/>
        </w:rPr>
        <w:t> </w:t>
      </w:r>
      <w:r>
        <w:rPr>
          <w:color w:val="231F20"/>
          <w:w w:val="120"/>
        </w:rPr>
        <w:t>signe</w:t>
      </w:r>
      <w:r>
        <w:rPr>
          <w:color w:val="231F20"/>
          <w:spacing w:val="-9"/>
          <w:w w:val="120"/>
        </w:rPr>
        <w:t> </w:t>
      </w:r>
      <w:r>
        <w:rPr>
          <w:color w:val="231F20"/>
          <w:w w:val="120"/>
        </w:rPr>
        <w:t>ou</w:t>
      </w:r>
      <w:r>
        <w:rPr>
          <w:color w:val="231F20"/>
          <w:spacing w:val="-9"/>
          <w:w w:val="120"/>
        </w:rPr>
        <w:t> </w:t>
      </w:r>
      <w:r>
        <w:rPr>
          <w:color w:val="231F20"/>
          <w:w w:val="120"/>
        </w:rPr>
        <w:t>un</w:t>
      </w:r>
      <w:r>
        <w:rPr>
          <w:color w:val="231F20"/>
          <w:spacing w:val="-9"/>
          <w:w w:val="120"/>
        </w:rPr>
        <w:t> </w:t>
      </w:r>
      <w:r>
        <w:rPr>
          <w:color w:val="231F20"/>
          <w:w w:val="120"/>
        </w:rPr>
        <w:t>symptôme</w:t>
      </w:r>
      <w:r>
        <w:rPr>
          <w:color w:val="231F20"/>
          <w:spacing w:val="-9"/>
          <w:w w:val="120"/>
        </w:rPr>
        <w:t> </w:t>
      </w:r>
      <w:r>
        <w:rPr>
          <w:color w:val="231F20"/>
          <w:w w:val="120"/>
        </w:rPr>
        <w:t>que</w:t>
      </w:r>
      <w:r>
        <w:rPr>
          <w:color w:val="231F20"/>
          <w:spacing w:val="-9"/>
          <w:w w:val="120"/>
        </w:rPr>
        <w:t> </w:t>
      </w:r>
      <w:r>
        <w:rPr>
          <w:color w:val="231F20"/>
          <w:w w:val="120"/>
        </w:rPr>
        <w:t>vous</w:t>
      </w:r>
      <w:r>
        <w:rPr>
          <w:color w:val="231F20"/>
          <w:spacing w:val="-9"/>
          <w:w w:val="120"/>
        </w:rPr>
        <w:t> </w:t>
      </w:r>
      <w:r>
        <w:rPr>
          <w:color w:val="231F20"/>
          <w:w w:val="120"/>
        </w:rPr>
        <w:t>avez</w:t>
      </w:r>
      <w:r>
        <w:rPr>
          <w:color w:val="231F20"/>
          <w:spacing w:val="-9"/>
          <w:w w:val="120"/>
        </w:rPr>
        <w:t> </w:t>
      </w:r>
      <w:r>
        <w:rPr>
          <w:color w:val="231F20"/>
          <w:w w:val="120"/>
        </w:rPr>
        <w:t>ressenti au cours des trois derniers mois.</w:t>
      </w:r>
    </w:p>
    <w:p>
      <w:pPr>
        <w:spacing w:after="0" w:line="307" w:lineRule="auto"/>
        <w:jc w:val="both"/>
        <w:sectPr>
          <w:footerReference w:type="default" r:id="rId228"/>
          <w:pgSz w:w="8640" w:h="12960"/>
          <w:pgMar w:footer="424" w:header="0" w:top="520" w:bottom="620" w:left="420" w:right="1140"/>
        </w:sectPr>
      </w:pPr>
    </w:p>
    <w:p>
      <w:pPr>
        <w:spacing w:before="90"/>
        <w:ind w:left="910" w:right="0" w:firstLine="0"/>
        <w:jc w:val="left"/>
        <w:rPr>
          <w:rFonts w:ascii="Arial" w:hAnsi="Arial"/>
          <w:b/>
          <w:sz w:val="14"/>
        </w:rPr>
      </w:pPr>
      <w:r>
        <w:rPr/>
        <w:pict>
          <v:group style="position:absolute;margin-left:62.5pt;margin-top:1.361908pt;width:287.5pt;height:253.85pt;mso-position-horizontal-relative:page;mso-position-vertical-relative:paragraph;z-index:-20943872" id="docshapegroup800" coordorigin="1250,27" coordsize="5750,5077">
            <v:line style="position:absolute" from="1250,30" to="4125,30" stroked="true" strokeweight=".25pt" strokecolor="#231f20">
              <v:stroke dashstyle="solid"/>
            </v:line>
            <v:line style="position:absolute" from="4125,30" to="7000,30" stroked="true" strokeweight=".25pt" strokecolor="#231f20">
              <v:stroke dashstyle="solid"/>
            </v:line>
            <v:line style="position:absolute" from="1250,5101" to="4125,5101" stroked="true" strokeweight=".25pt" strokecolor="#231f20">
              <v:stroke dashstyle="solid"/>
            </v:line>
            <v:line style="position:absolute" from="4125,5101" to="7000,5101" stroked="true" strokeweight=".25pt" strokecolor="#231f20">
              <v:stroke dashstyle="solid"/>
            </v:line>
            <v:line style="position:absolute" from="4125,5099" to="4125,32" stroked="true" strokeweight=".25pt" strokecolor="#231f20">
              <v:stroke dashstyle="solid"/>
            </v:line>
            <w10:wrap type="none"/>
          </v:group>
        </w:pict>
      </w:r>
      <w:r>
        <w:rPr>
          <w:rFonts w:ascii="Arial" w:hAnsi="Arial"/>
          <w:b/>
          <w:color w:val="231F20"/>
          <w:w w:val="90"/>
          <w:sz w:val="14"/>
        </w:rPr>
        <w:t>Symptômes</w:t>
      </w:r>
      <w:r>
        <w:rPr>
          <w:rFonts w:ascii="Arial" w:hAnsi="Arial"/>
          <w:b/>
          <w:color w:val="231F20"/>
          <w:spacing w:val="21"/>
          <w:sz w:val="14"/>
        </w:rPr>
        <w:t> </w:t>
      </w:r>
      <w:r>
        <w:rPr>
          <w:rFonts w:ascii="Arial" w:hAnsi="Arial"/>
          <w:b/>
          <w:color w:val="231F20"/>
          <w:spacing w:val="-2"/>
          <w:w w:val="95"/>
          <w:sz w:val="14"/>
        </w:rPr>
        <w:t>psychologiques</w:t>
      </w:r>
    </w:p>
    <w:p>
      <w:pPr>
        <w:spacing w:before="99"/>
        <w:ind w:left="910" w:right="0" w:firstLine="0"/>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Incapacité</w:t>
      </w:r>
      <w:r>
        <w:rPr>
          <w:rFonts w:ascii="Arial" w:hAnsi="Arial"/>
          <w:color w:val="231F20"/>
          <w:spacing w:val="-9"/>
          <w:sz w:val="14"/>
        </w:rPr>
        <w:t> </w:t>
      </w:r>
      <w:r>
        <w:rPr>
          <w:rFonts w:ascii="Arial" w:hAnsi="Arial"/>
          <w:color w:val="231F20"/>
          <w:sz w:val="14"/>
        </w:rPr>
        <w:t>de</w:t>
      </w:r>
      <w:r>
        <w:rPr>
          <w:rFonts w:ascii="Arial" w:hAnsi="Arial"/>
          <w:color w:val="231F20"/>
          <w:spacing w:val="-9"/>
          <w:sz w:val="14"/>
        </w:rPr>
        <w:t> </w:t>
      </w:r>
      <w:r>
        <w:rPr>
          <w:rFonts w:ascii="Arial" w:hAnsi="Arial"/>
          <w:color w:val="231F20"/>
          <w:sz w:val="14"/>
        </w:rPr>
        <w:t>se</w:t>
      </w:r>
      <w:r>
        <w:rPr>
          <w:rFonts w:ascii="Arial" w:hAnsi="Arial"/>
          <w:color w:val="231F20"/>
          <w:spacing w:val="-8"/>
          <w:sz w:val="14"/>
        </w:rPr>
        <w:t> </w:t>
      </w:r>
      <w:r>
        <w:rPr>
          <w:rFonts w:ascii="Arial" w:hAnsi="Arial"/>
          <w:color w:val="231F20"/>
          <w:spacing w:val="-2"/>
          <w:sz w:val="14"/>
        </w:rPr>
        <w:t>concentrer</w:t>
      </w:r>
    </w:p>
    <w:p>
      <w:pPr>
        <w:spacing w:before="99"/>
        <w:ind w:left="910" w:right="0" w:firstLine="0"/>
        <w:jc w:val="left"/>
        <w:rPr>
          <w:rFonts w:ascii="Arial" w:hAnsi="Arial"/>
          <w:sz w:val="14"/>
        </w:rPr>
      </w:pPr>
      <w:r>
        <w:rPr>
          <w:rFonts w:ascii="Wingdings" w:hAnsi="Wingdings"/>
          <w:color w:val="231F20"/>
          <w:w w:val="95"/>
          <w:sz w:val="14"/>
        </w:rPr>
        <w:t></w:t>
      </w:r>
      <w:r>
        <w:rPr>
          <w:color w:val="231F20"/>
          <w:spacing w:val="3"/>
          <w:sz w:val="14"/>
        </w:rPr>
        <w:t> </w:t>
      </w:r>
      <w:r>
        <w:rPr>
          <w:rFonts w:ascii="Arial" w:hAnsi="Arial"/>
          <w:color w:val="231F20"/>
          <w:w w:val="95"/>
          <w:sz w:val="14"/>
        </w:rPr>
        <w:t>Idées</w:t>
      </w:r>
      <w:r>
        <w:rPr>
          <w:rFonts w:ascii="Arial" w:hAnsi="Arial"/>
          <w:color w:val="231F20"/>
          <w:spacing w:val="-1"/>
          <w:sz w:val="14"/>
        </w:rPr>
        <w:t> </w:t>
      </w:r>
      <w:r>
        <w:rPr>
          <w:rFonts w:ascii="Arial" w:hAnsi="Arial"/>
          <w:color w:val="231F20"/>
          <w:spacing w:val="-2"/>
          <w:w w:val="95"/>
          <w:sz w:val="14"/>
        </w:rPr>
        <w:t>confuses</w:t>
      </w:r>
    </w:p>
    <w:p>
      <w:pPr>
        <w:spacing w:line="268" w:lineRule="auto" w:before="99"/>
        <w:ind w:left="1070" w:right="0" w:hanging="161"/>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Difficulté</w:t>
      </w:r>
      <w:r>
        <w:rPr>
          <w:rFonts w:ascii="Arial" w:hAnsi="Arial"/>
          <w:color w:val="231F20"/>
          <w:spacing w:val="-9"/>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prendre</w:t>
      </w:r>
      <w:r>
        <w:rPr>
          <w:rFonts w:ascii="Arial" w:hAnsi="Arial"/>
          <w:color w:val="231F20"/>
          <w:spacing w:val="-9"/>
          <w:sz w:val="14"/>
        </w:rPr>
        <w:t> </w:t>
      </w:r>
      <w:r>
        <w:rPr>
          <w:rFonts w:ascii="Arial" w:hAnsi="Arial"/>
          <w:color w:val="231F20"/>
          <w:sz w:val="14"/>
        </w:rPr>
        <w:t>des</w:t>
      </w:r>
      <w:r>
        <w:rPr>
          <w:rFonts w:ascii="Arial" w:hAnsi="Arial"/>
          <w:color w:val="231F20"/>
          <w:spacing w:val="-9"/>
          <w:sz w:val="14"/>
        </w:rPr>
        <w:t> </w:t>
      </w:r>
      <w:r>
        <w:rPr>
          <w:rFonts w:ascii="Arial" w:hAnsi="Arial"/>
          <w:color w:val="231F20"/>
          <w:sz w:val="14"/>
        </w:rPr>
        <w:t>décisions</w:t>
      </w:r>
      <w:r>
        <w:rPr>
          <w:rFonts w:ascii="Arial" w:hAnsi="Arial"/>
          <w:color w:val="231F20"/>
          <w:spacing w:val="40"/>
          <w:sz w:val="14"/>
        </w:rPr>
        <w:t> </w:t>
      </w:r>
      <w:r>
        <w:rPr>
          <w:rFonts w:ascii="Arial" w:hAnsi="Arial"/>
          <w:color w:val="231F20"/>
          <w:spacing w:val="-2"/>
          <w:sz w:val="14"/>
        </w:rPr>
        <w:t>simples</w:t>
      </w:r>
    </w:p>
    <w:p>
      <w:pPr>
        <w:spacing w:before="80"/>
        <w:ind w:left="910"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Perte</w:t>
      </w:r>
      <w:r>
        <w:rPr>
          <w:rFonts w:ascii="Arial" w:hAnsi="Arial"/>
          <w:color w:val="231F20"/>
          <w:spacing w:val="-6"/>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confiance</w:t>
      </w:r>
      <w:r>
        <w:rPr>
          <w:rFonts w:ascii="Arial" w:hAnsi="Arial"/>
          <w:color w:val="231F20"/>
          <w:spacing w:val="-6"/>
          <w:sz w:val="14"/>
        </w:rPr>
        <w:t> </w:t>
      </w:r>
      <w:r>
        <w:rPr>
          <w:rFonts w:ascii="Arial" w:hAnsi="Arial"/>
          <w:color w:val="231F20"/>
          <w:sz w:val="14"/>
        </w:rPr>
        <w:t>en</w:t>
      </w:r>
      <w:r>
        <w:rPr>
          <w:rFonts w:ascii="Arial" w:hAnsi="Arial"/>
          <w:color w:val="231F20"/>
          <w:spacing w:val="-6"/>
          <w:sz w:val="14"/>
        </w:rPr>
        <w:t> </w:t>
      </w:r>
      <w:r>
        <w:rPr>
          <w:rFonts w:ascii="Arial" w:hAnsi="Arial"/>
          <w:color w:val="231F20"/>
          <w:spacing w:val="-5"/>
          <w:sz w:val="14"/>
        </w:rPr>
        <w:t>soi</w:t>
      </w:r>
    </w:p>
    <w:p>
      <w:pPr>
        <w:spacing w:before="99"/>
        <w:ind w:left="91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Tendance</w:t>
      </w:r>
      <w:r>
        <w:rPr>
          <w:rFonts w:ascii="Arial" w:hAnsi="Arial"/>
          <w:color w:val="231F20"/>
          <w:spacing w:val="-9"/>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l’imprécision</w:t>
      </w:r>
      <w:r>
        <w:rPr>
          <w:rFonts w:ascii="Arial" w:hAnsi="Arial"/>
          <w:color w:val="231F20"/>
          <w:spacing w:val="-10"/>
          <w:sz w:val="14"/>
        </w:rPr>
        <w:t> </w:t>
      </w:r>
      <w:r>
        <w:rPr>
          <w:rFonts w:ascii="Arial" w:hAnsi="Arial"/>
          <w:color w:val="231F20"/>
          <w:sz w:val="14"/>
        </w:rPr>
        <w:t>ou</w:t>
      </w:r>
      <w:r>
        <w:rPr>
          <w:rFonts w:ascii="Arial" w:hAnsi="Arial"/>
          <w:color w:val="231F20"/>
          <w:spacing w:val="-9"/>
          <w:sz w:val="14"/>
        </w:rPr>
        <w:t> </w:t>
      </w:r>
      <w:r>
        <w:rPr>
          <w:rFonts w:ascii="Arial" w:hAnsi="Arial"/>
          <w:color w:val="231F20"/>
          <w:sz w:val="14"/>
        </w:rPr>
        <w:t>à</w:t>
      </w:r>
      <w:r>
        <w:rPr>
          <w:rFonts w:ascii="Arial" w:hAnsi="Arial"/>
          <w:color w:val="231F20"/>
          <w:spacing w:val="-9"/>
          <w:sz w:val="14"/>
        </w:rPr>
        <w:t> </w:t>
      </w:r>
      <w:r>
        <w:rPr>
          <w:rFonts w:ascii="Arial" w:hAnsi="Arial"/>
          <w:color w:val="231F20"/>
          <w:spacing w:val="-2"/>
          <w:sz w:val="14"/>
        </w:rPr>
        <w:t>l’oubli</w:t>
      </w:r>
    </w:p>
    <w:p>
      <w:pPr>
        <w:spacing w:before="99"/>
        <w:ind w:left="910" w:right="0" w:firstLine="0"/>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pacing w:val="-2"/>
          <w:sz w:val="14"/>
        </w:rPr>
        <w:t>Frustration</w:t>
      </w:r>
    </w:p>
    <w:p>
      <w:pPr>
        <w:spacing w:line="268" w:lineRule="auto" w:before="99"/>
        <w:ind w:left="1070" w:right="226" w:hanging="161"/>
        <w:jc w:val="left"/>
        <w:rPr>
          <w:rFonts w:ascii="Arial" w:hAnsi="Arial"/>
          <w:sz w:val="14"/>
        </w:rPr>
      </w:pPr>
      <w:r>
        <w:rPr>
          <w:rFonts w:ascii="Wingdings" w:hAnsi="Wingdings"/>
          <w:color w:val="231F20"/>
          <w:sz w:val="14"/>
        </w:rPr>
        <w:t></w:t>
      </w:r>
      <w:r>
        <w:rPr>
          <w:color w:val="231F20"/>
          <w:sz w:val="14"/>
        </w:rPr>
        <w:t> </w:t>
      </w:r>
      <w:r>
        <w:rPr>
          <w:rFonts w:ascii="Arial" w:hAnsi="Arial"/>
          <w:color w:val="231F20"/>
          <w:sz w:val="14"/>
        </w:rPr>
        <w:t>Sentiment de perte de </w:t>
      </w:r>
      <w:r>
        <w:rPr>
          <w:rFonts w:ascii="Arial" w:hAnsi="Arial"/>
          <w:color w:val="231F20"/>
          <w:sz w:val="14"/>
        </w:rPr>
        <w:t>contrôle</w:t>
      </w:r>
      <w:r>
        <w:rPr>
          <w:rFonts w:ascii="Arial" w:hAnsi="Arial"/>
          <w:color w:val="231F20"/>
          <w:spacing w:val="40"/>
          <w:sz w:val="14"/>
        </w:rPr>
        <w:t> </w:t>
      </w:r>
      <w:r>
        <w:rPr>
          <w:rFonts w:ascii="Arial" w:hAnsi="Arial"/>
          <w:color w:val="231F20"/>
          <w:sz w:val="14"/>
        </w:rPr>
        <w:t>et de détresse</w:t>
      </w:r>
    </w:p>
    <w:p>
      <w:pPr>
        <w:spacing w:before="79"/>
        <w:ind w:left="91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Dépression</w:t>
      </w:r>
    </w:p>
    <w:p>
      <w:pPr>
        <w:spacing w:line="268" w:lineRule="auto" w:before="99"/>
        <w:ind w:left="1070" w:right="0" w:hanging="161"/>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Difficulté</w:t>
      </w:r>
      <w:r>
        <w:rPr>
          <w:rFonts w:ascii="Arial" w:hAnsi="Arial"/>
          <w:color w:val="231F20"/>
          <w:spacing w:val="-5"/>
          <w:sz w:val="14"/>
        </w:rPr>
        <w:t> </w:t>
      </w:r>
      <w:r>
        <w:rPr>
          <w:rFonts w:ascii="Arial" w:hAnsi="Arial"/>
          <w:color w:val="231F20"/>
          <w:sz w:val="14"/>
        </w:rPr>
        <w:t>à</w:t>
      </w:r>
      <w:r>
        <w:rPr>
          <w:rFonts w:ascii="Arial" w:hAnsi="Arial"/>
          <w:color w:val="231F20"/>
          <w:spacing w:val="-5"/>
          <w:sz w:val="14"/>
        </w:rPr>
        <w:t> </w:t>
      </w:r>
      <w:r>
        <w:rPr>
          <w:rFonts w:ascii="Arial" w:hAnsi="Arial"/>
          <w:color w:val="231F20"/>
          <w:sz w:val="14"/>
        </w:rPr>
        <w:t>faire</w:t>
      </w:r>
      <w:r>
        <w:rPr>
          <w:rFonts w:ascii="Arial" w:hAnsi="Arial"/>
          <w:color w:val="231F20"/>
          <w:spacing w:val="-5"/>
          <w:sz w:val="14"/>
        </w:rPr>
        <w:t> </w:t>
      </w:r>
      <w:r>
        <w:rPr>
          <w:rFonts w:ascii="Arial" w:hAnsi="Arial"/>
          <w:color w:val="231F20"/>
          <w:sz w:val="14"/>
        </w:rPr>
        <w:t>des</w:t>
      </w:r>
      <w:r>
        <w:rPr>
          <w:rFonts w:ascii="Arial" w:hAnsi="Arial"/>
          <w:color w:val="231F20"/>
          <w:spacing w:val="-5"/>
          <w:sz w:val="14"/>
        </w:rPr>
        <w:t> </w:t>
      </w:r>
      <w:r>
        <w:rPr>
          <w:rFonts w:ascii="Arial" w:hAnsi="Arial"/>
          <w:color w:val="231F20"/>
          <w:sz w:val="14"/>
        </w:rPr>
        <w:t>jugements</w:t>
      </w:r>
      <w:r>
        <w:rPr>
          <w:rFonts w:ascii="Arial" w:hAnsi="Arial"/>
          <w:color w:val="231F20"/>
          <w:spacing w:val="40"/>
          <w:sz w:val="14"/>
        </w:rPr>
        <w:t> </w:t>
      </w:r>
      <w:r>
        <w:rPr>
          <w:rFonts w:ascii="Arial" w:hAnsi="Arial"/>
          <w:color w:val="231F20"/>
          <w:spacing w:val="-2"/>
          <w:sz w:val="14"/>
        </w:rPr>
        <w:t>rationnels</w:t>
      </w:r>
    </w:p>
    <w:p>
      <w:pPr>
        <w:spacing w:before="80"/>
        <w:ind w:left="910"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Considération</w:t>
      </w:r>
      <w:r>
        <w:rPr>
          <w:rFonts w:ascii="Arial" w:hAnsi="Arial"/>
          <w:color w:val="231F20"/>
          <w:spacing w:val="-7"/>
          <w:sz w:val="14"/>
        </w:rPr>
        <w:t> </w:t>
      </w:r>
      <w:r>
        <w:rPr>
          <w:rFonts w:ascii="Arial" w:hAnsi="Arial"/>
          <w:color w:val="231F20"/>
          <w:sz w:val="14"/>
        </w:rPr>
        <w:t>d’idées</w:t>
      </w:r>
      <w:r>
        <w:rPr>
          <w:rFonts w:ascii="Arial" w:hAnsi="Arial"/>
          <w:color w:val="231F20"/>
          <w:spacing w:val="-8"/>
          <w:sz w:val="14"/>
        </w:rPr>
        <w:t> </w:t>
      </w:r>
      <w:r>
        <w:rPr>
          <w:rFonts w:ascii="Arial" w:hAnsi="Arial"/>
          <w:color w:val="231F20"/>
          <w:sz w:val="14"/>
        </w:rPr>
        <w:t>hors</w:t>
      </w:r>
      <w:r>
        <w:rPr>
          <w:rFonts w:ascii="Arial" w:hAnsi="Arial"/>
          <w:color w:val="231F20"/>
          <w:spacing w:val="-7"/>
          <w:sz w:val="14"/>
        </w:rPr>
        <w:t> </w:t>
      </w:r>
      <w:r>
        <w:rPr>
          <w:rFonts w:ascii="Arial" w:hAnsi="Arial"/>
          <w:color w:val="231F20"/>
          <w:spacing w:val="-2"/>
          <w:sz w:val="14"/>
        </w:rPr>
        <w:t>contexte</w:t>
      </w:r>
    </w:p>
    <w:p>
      <w:pPr>
        <w:spacing w:before="99"/>
        <w:ind w:left="910" w:right="0" w:firstLine="0"/>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z w:val="14"/>
        </w:rPr>
        <w:t>Fatigue</w:t>
      </w:r>
      <w:r>
        <w:rPr>
          <w:rFonts w:ascii="Arial" w:hAnsi="Arial"/>
          <w:color w:val="231F20"/>
          <w:spacing w:val="-2"/>
          <w:sz w:val="14"/>
        </w:rPr>
        <w:t> </w:t>
      </w:r>
      <w:r>
        <w:rPr>
          <w:rFonts w:ascii="Arial" w:hAnsi="Arial"/>
          <w:color w:val="231F20"/>
          <w:sz w:val="14"/>
        </w:rPr>
        <w:t>mentale</w:t>
      </w:r>
      <w:r>
        <w:rPr>
          <w:rFonts w:ascii="Arial" w:hAnsi="Arial"/>
          <w:color w:val="231F20"/>
          <w:spacing w:val="-1"/>
          <w:sz w:val="14"/>
        </w:rPr>
        <w:t> </w:t>
      </w:r>
      <w:r>
        <w:rPr>
          <w:rFonts w:ascii="Arial" w:hAnsi="Arial"/>
          <w:color w:val="231F20"/>
          <w:spacing w:val="-2"/>
          <w:sz w:val="14"/>
        </w:rPr>
        <w:t>indue</w:t>
      </w:r>
    </w:p>
    <w:p>
      <w:pPr>
        <w:spacing w:line="268" w:lineRule="auto" w:before="99"/>
        <w:ind w:left="1070" w:right="165" w:hanging="161"/>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Sentiment</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toujours</w:t>
      </w:r>
      <w:r>
        <w:rPr>
          <w:rFonts w:ascii="Arial" w:hAnsi="Arial"/>
          <w:color w:val="231F20"/>
          <w:spacing w:val="-5"/>
          <w:sz w:val="14"/>
        </w:rPr>
        <w:t> </w:t>
      </w:r>
      <w:r>
        <w:rPr>
          <w:rFonts w:ascii="Arial" w:hAnsi="Arial"/>
          <w:color w:val="231F20"/>
          <w:sz w:val="14"/>
        </w:rPr>
        <w:t>manquer</w:t>
      </w:r>
      <w:r>
        <w:rPr>
          <w:rFonts w:ascii="Arial" w:hAnsi="Arial"/>
          <w:color w:val="231F20"/>
          <w:spacing w:val="4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temps</w:t>
      </w:r>
    </w:p>
    <w:p>
      <w:pPr>
        <w:spacing w:before="79"/>
        <w:ind w:left="91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Diminution</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la</w:t>
      </w:r>
      <w:r>
        <w:rPr>
          <w:rFonts w:ascii="Arial" w:hAnsi="Arial"/>
          <w:color w:val="231F20"/>
          <w:spacing w:val="3"/>
          <w:sz w:val="14"/>
        </w:rPr>
        <w:t> </w:t>
      </w:r>
      <w:r>
        <w:rPr>
          <w:rFonts w:ascii="Arial" w:hAnsi="Arial"/>
          <w:color w:val="231F20"/>
          <w:spacing w:val="-2"/>
          <w:sz w:val="14"/>
        </w:rPr>
        <w:t>libido</w:t>
      </w:r>
    </w:p>
    <w:p>
      <w:pPr>
        <w:spacing w:before="99"/>
        <w:ind w:left="910"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Perte</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sens</w:t>
      </w:r>
      <w:r>
        <w:rPr>
          <w:rFonts w:ascii="Arial" w:hAnsi="Arial"/>
          <w:color w:val="231F20"/>
          <w:spacing w:val="-8"/>
          <w:sz w:val="14"/>
        </w:rPr>
        <w:t> </w:t>
      </w:r>
      <w:r>
        <w:rPr>
          <w:rFonts w:ascii="Arial" w:hAnsi="Arial"/>
          <w:color w:val="231F20"/>
          <w:sz w:val="14"/>
        </w:rPr>
        <w:t>de</w:t>
      </w:r>
      <w:r>
        <w:rPr>
          <w:rFonts w:ascii="Arial" w:hAnsi="Arial"/>
          <w:color w:val="231F20"/>
          <w:spacing w:val="-8"/>
          <w:sz w:val="14"/>
        </w:rPr>
        <w:t> </w:t>
      </w:r>
      <w:r>
        <w:rPr>
          <w:rFonts w:ascii="Arial" w:hAnsi="Arial"/>
          <w:color w:val="231F20"/>
          <w:spacing w:val="-2"/>
          <w:sz w:val="14"/>
        </w:rPr>
        <w:t>l’humour</w:t>
      </w:r>
    </w:p>
    <w:p>
      <w:pPr>
        <w:spacing w:line="268" w:lineRule="auto" w:before="99"/>
        <w:ind w:left="1070" w:right="0" w:hanging="161"/>
        <w:jc w:val="left"/>
        <w:rPr>
          <w:rFonts w:ascii="Arial" w:hAnsi="Arial"/>
          <w:sz w:val="14"/>
        </w:rPr>
      </w:pPr>
      <w:r>
        <w:rPr>
          <w:rFonts w:ascii="Wingdings" w:hAnsi="Wingdings"/>
          <w:color w:val="231F20"/>
          <w:spacing w:val="-2"/>
          <w:sz w:val="14"/>
        </w:rPr>
        <w:t></w:t>
      </w:r>
      <w:r>
        <w:rPr>
          <w:color w:val="231F20"/>
          <w:spacing w:val="-7"/>
          <w:sz w:val="14"/>
        </w:rPr>
        <w:t> </w:t>
      </w:r>
      <w:r>
        <w:rPr>
          <w:rFonts w:ascii="Arial" w:hAnsi="Arial"/>
          <w:color w:val="231F20"/>
          <w:spacing w:val="-2"/>
          <w:sz w:val="14"/>
        </w:rPr>
        <w:t>Fréquence</w:t>
      </w:r>
      <w:r>
        <w:rPr>
          <w:rFonts w:ascii="Arial" w:hAnsi="Arial"/>
          <w:color w:val="231F20"/>
          <w:spacing w:val="-8"/>
          <w:sz w:val="14"/>
        </w:rPr>
        <w:t> </w:t>
      </w:r>
      <w:r>
        <w:rPr>
          <w:rFonts w:ascii="Arial" w:hAnsi="Arial"/>
          <w:color w:val="231F20"/>
          <w:spacing w:val="-2"/>
          <w:sz w:val="14"/>
        </w:rPr>
        <w:t>accrue</w:t>
      </w:r>
      <w:r>
        <w:rPr>
          <w:rFonts w:ascii="Arial" w:hAnsi="Arial"/>
          <w:color w:val="231F20"/>
          <w:spacing w:val="-8"/>
          <w:sz w:val="14"/>
        </w:rPr>
        <w:t> </w:t>
      </w:r>
      <w:r>
        <w:rPr>
          <w:rFonts w:ascii="Arial" w:hAnsi="Arial"/>
          <w:color w:val="231F20"/>
          <w:spacing w:val="-2"/>
          <w:sz w:val="14"/>
        </w:rPr>
        <w:t>des</w:t>
      </w:r>
      <w:r>
        <w:rPr>
          <w:rFonts w:ascii="Arial" w:hAnsi="Arial"/>
          <w:color w:val="231F20"/>
          <w:spacing w:val="-7"/>
          <w:sz w:val="14"/>
        </w:rPr>
        <w:t> </w:t>
      </w:r>
      <w:r>
        <w:rPr>
          <w:rFonts w:ascii="Arial" w:hAnsi="Arial"/>
          <w:color w:val="231F20"/>
          <w:spacing w:val="-2"/>
          <w:sz w:val="14"/>
        </w:rPr>
        <w:t>disputes</w:t>
      </w:r>
      <w:r>
        <w:rPr>
          <w:rFonts w:ascii="Arial" w:hAnsi="Arial"/>
          <w:color w:val="231F20"/>
          <w:spacing w:val="-8"/>
          <w:sz w:val="14"/>
        </w:rPr>
        <w:t> </w:t>
      </w:r>
      <w:r>
        <w:rPr>
          <w:rFonts w:ascii="Arial" w:hAnsi="Arial"/>
          <w:color w:val="231F20"/>
          <w:spacing w:val="-2"/>
          <w:sz w:val="14"/>
        </w:rPr>
        <w:t>avec</w:t>
      </w:r>
      <w:r>
        <w:rPr>
          <w:rFonts w:ascii="Arial" w:hAnsi="Arial"/>
          <w:color w:val="231F20"/>
          <w:spacing w:val="40"/>
          <w:sz w:val="14"/>
        </w:rPr>
        <w:t> </w:t>
      </w:r>
      <w:r>
        <w:rPr>
          <w:rFonts w:ascii="Arial" w:hAnsi="Arial"/>
          <w:color w:val="231F20"/>
          <w:sz w:val="14"/>
        </w:rPr>
        <w:t>le conjoint ou les enfants</w:t>
      </w:r>
    </w:p>
    <w:p>
      <w:pPr>
        <w:spacing w:before="90"/>
        <w:ind w:left="438" w:right="0" w:firstLine="0"/>
        <w:jc w:val="left"/>
        <w:rPr>
          <w:rFonts w:ascii="Arial" w:hAnsi="Arial"/>
          <w:b/>
          <w:sz w:val="14"/>
        </w:rPr>
      </w:pPr>
      <w:r>
        <w:rPr/>
        <w:br w:type="column"/>
      </w:r>
      <w:r>
        <w:rPr>
          <w:rFonts w:ascii="Arial" w:hAnsi="Arial"/>
          <w:b/>
          <w:color w:val="231F20"/>
          <w:w w:val="90"/>
          <w:sz w:val="14"/>
        </w:rPr>
        <w:t>Symptômes</w:t>
      </w:r>
      <w:r>
        <w:rPr>
          <w:rFonts w:ascii="Arial" w:hAnsi="Arial"/>
          <w:b/>
          <w:color w:val="231F20"/>
          <w:spacing w:val="21"/>
          <w:sz w:val="14"/>
        </w:rPr>
        <w:t> </w:t>
      </w:r>
      <w:r>
        <w:rPr>
          <w:rFonts w:ascii="Arial" w:hAnsi="Arial"/>
          <w:b/>
          <w:color w:val="231F20"/>
          <w:spacing w:val="-2"/>
          <w:sz w:val="14"/>
        </w:rPr>
        <w:t>émotionnels</w:t>
      </w:r>
    </w:p>
    <w:p>
      <w:pPr>
        <w:spacing w:before="99"/>
        <w:ind w:left="438" w:right="0" w:firstLine="0"/>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Sentiment</w:t>
      </w:r>
      <w:r>
        <w:rPr>
          <w:rFonts w:ascii="Arial" w:hAnsi="Arial"/>
          <w:color w:val="231F20"/>
          <w:spacing w:val="1"/>
          <w:sz w:val="14"/>
        </w:rPr>
        <w:t> </w:t>
      </w:r>
      <w:r>
        <w:rPr>
          <w:rFonts w:ascii="Arial" w:hAnsi="Arial"/>
          <w:color w:val="231F20"/>
          <w:sz w:val="14"/>
        </w:rPr>
        <w:t>d’anxiété</w:t>
      </w:r>
      <w:r>
        <w:rPr>
          <w:rFonts w:ascii="Arial" w:hAnsi="Arial"/>
          <w:color w:val="231F20"/>
          <w:spacing w:val="1"/>
          <w:sz w:val="14"/>
        </w:rPr>
        <w:t> </w:t>
      </w:r>
      <w:r>
        <w:rPr>
          <w:rFonts w:ascii="Arial" w:hAnsi="Arial"/>
          <w:color w:val="231F20"/>
          <w:sz w:val="14"/>
        </w:rPr>
        <w:t>ou</w:t>
      </w:r>
      <w:r>
        <w:rPr>
          <w:rFonts w:ascii="Arial" w:hAnsi="Arial"/>
          <w:color w:val="231F20"/>
          <w:spacing w:val="1"/>
          <w:sz w:val="14"/>
        </w:rPr>
        <w:t> </w:t>
      </w:r>
      <w:r>
        <w:rPr>
          <w:rFonts w:ascii="Arial" w:hAnsi="Arial"/>
          <w:color w:val="231F20"/>
          <w:spacing w:val="-2"/>
          <w:sz w:val="14"/>
        </w:rPr>
        <w:t>d’inquiétude</w:t>
      </w:r>
    </w:p>
    <w:p>
      <w:pPr>
        <w:spacing w:before="99"/>
        <w:ind w:left="438" w:right="0" w:firstLine="0"/>
        <w:jc w:val="left"/>
        <w:rPr>
          <w:rFonts w:ascii="Arial" w:hAnsi="Arial"/>
          <w:sz w:val="14"/>
        </w:rPr>
      </w:pPr>
      <w:r>
        <w:rPr>
          <w:rFonts w:ascii="Wingdings" w:hAnsi="Wingdings"/>
          <w:color w:val="231F20"/>
          <w:w w:val="105"/>
          <w:sz w:val="14"/>
        </w:rPr>
        <w:t></w:t>
      </w:r>
      <w:r>
        <w:rPr>
          <w:color w:val="231F20"/>
          <w:spacing w:val="-8"/>
          <w:w w:val="105"/>
          <w:sz w:val="14"/>
        </w:rPr>
        <w:t> </w:t>
      </w:r>
      <w:r>
        <w:rPr>
          <w:rFonts w:ascii="Arial" w:hAnsi="Arial"/>
          <w:color w:val="231F20"/>
          <w:spacing w:val="-2"/>
          <w:w w:val="105"/>
          <w:sz w:val="14"/>
        </w:rPr>
        <w:t>Irritabilité</w:t>
      </w:r>
    </w:p>
    <w:p>
      <w:pPr>
        <w:spacing w:before="99"/>
        <w:ind w:left="438" w:right="0" w:firstLine="0"/>
        <w:jc w:val="left"/>
        <w:rPr>
          <w:rFonts w:ascii="Arial" w:hAnsi="Arial"/>
          <w:sz w:val="14"/>
        </w:rPr>
      </w:pPr>
      <w:r>
        <w:rPr>
          <w:rFonts w:ascii="Wingdings" w:hAnsi="Wingdings"/>
          <w:color w:val="231F20"/>
          <w:w w:val="95"/>
          <w:sz w:val="14"/>
        </w:rPr>
        <w:t></w:t>
      </w:r>
      <w:r>
        <w:rPr>
          <w:color w:val="231F20"/>
          <w:sz w:val="14"/>
        </w:rPr>
        <w:t> </w:t>
      </w:r>
      <w:r>
        <w:rPr>
          <w:rFonts w:ascii="Arial" w:hAnsi="Arial"/>
          <w:color w:val="231F20"/>
          <w:w w:val="95"/>
          <w:sz w:val="14"/>
        </w:rPr>
        <w:t>Crises</w:t>
      </w:r>
      <w:r>
        <w:rPr>
          <w:rFonts w:ascii="Arial" w:hAnsi="Arial"/>
          <w:color w:val="231F20"/>
          <w:spacing w:val="-2"/>
          <w:w w:val="95"/>
          <w:sz w:val="14"/>
        </w:rPr>
        <w:t> </w:t>
      </w:r>
      <w:r>
        <w:rPr>
          <w:rFonts w:ascii="Arial" w:hAnsi="Arial"/>
          <w:color w:val="231F20"/>
          <w:w w:val="95"/>
          <w:sz w:val="14"/>
        </w:rPr>
        <w:t>de</w:t>
      </w:r>
      <w:r>
        <w:rPr>
          <w:rFonts w:ascii="Arial" w:hAnsi="Arial"/>
          <w:color w:val="231F20"/>
          <w:spacing w:val="-2"/>
          <w:w w:val="95"/>
          <w:sz w:val="14"/>
        </w:rPr>
        <w:t> colère</w:t>
      </w:r>
    </w:p>
    <w:p>
      <w:pPr>
        <w:spacing w:before="99"/>
        <w:ind w:left="438"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Sentiment de </w:t>
      </w:r>
      <w:r>
        <w:rPr>
          <w:rFonts w:ascii="Arial" w:hAnsi="Arial"/>
          <w:color w:val="231F20"/>
          <w:spacing w:val="-2"/>
          <w:sz w:val="14"/>
        </w:rPr>
        <w:t>culpabilité</w:t>
      </w:r>
    </w:p>
    <w:p>
      <w:pPr>
        <w:spacing w:before="99"/>
        <w:ind w:left="438"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Sentiment</w:t>
      </w:r>
      <w:r>
        <w:rPr>
          <w:rFonts w:ascii="Arial" w:hAnsi="Arial"/>
          <w:color w:val="231F20"/>
          <w:spacing w:val="2"/>
          <w:sz w:val="14"/>
        </w:rPr>
        <w:t> </w:t>
      </w:r>
      <w:r>
        <w:rPr>
          <w:rFonts w:ascii="Arial" w:hAnsi="Arial"/>
          <w:color w:val="231F20"/>
          <w:spacing w:val="-2"/>
          <w:sz w:val="14"/>
        </w:rPr>
        <w:t>d’hostilité</w:t>
      </w:r>
    </w:p>
    <w:p>
      <w:pPr>
        <w:spacing w:line="268" w:lineRule="auto" w:before="99"/>
        <w:ind w:left="598" w:right="867" w:hanging="161"/>
        <w:jc w:val="left"/>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Réaction</w:t>
      </w:r>
      <w:r>
        <w:rPr>
          <w:rFonts w:ascii="Arial" w:hAnsi="Arial"/>
          <w:color w:val="231F20"/>
          <w:spacing w:val="-10"/>
          <w:sz w:val="14"/>
        </w:rPr>
        <w:t> </w:t>
      </w:r>
      <w:r>
        <w:rPr>
          <w:rFonts w:ascii="Arial" w:hAnsi="Arial"/>
          <w:color w:val="231F20"/>
          <w:sz w:val="14"/>
        </w:rPr>
        <w:t>défensive</w:t>
      </w:r>
      <w:r>
        <w:rPr>
          <w:rFonts w:ascii="Arial" w:hAnsi="Arial"/>
          <w:color w:val="231F20"/>
          <w:spacing w:val="-10"/>
          <w:sz w:val="14"/>
        </w:rPr>
        <w:t> </w:t>
      </w:r>
      <w:r>
        <w:rPr>
          <w:rFonts w:ascii="Arial" w:hAnsi="Arial"/>
          <w:color w:val="231F20"/>
          <w:sz w:val="14"/>
        </w:rPr>
        <w:t>et</w:t>
      </w:r>
      <w:r>
        <w:rPr>
          <w:rFonts w:ascii="Arial" w:hAnsi="Arial"/>
          <w:color w:val="231F20"/>
          <w:spacing w:val="-9"/>
          <w:sz w:val="14"/>
        </w:rPr>
        <w:t> </w:t>
      </w:r>
      <w:r>
        <w:rPr>
          <w:rFonts w:ascii="Arial" w:hAnsi="Arial"/>
          <w:color w:val="231F20"/>
          <w:sz w:val="14"/>
        </w:rPr>
        <w:t>hypersensible</w:t>
      </w:r>
      <w:r>
        <w:rPr>
          <w:rFonts w:ascii="Arial" w:hAnsi="Arial"/>
          <w:color w:val="231F20"/>
          <w:spacing w:val="40"/>
          <w:sz w:val="14"/>
        </w:rPr>
        <w:t> </w:t>
      </w:r>
      <w:r>
        <w:rPr>
          <w:rFonts w:ascii="Arial" w:hAnsi="Arial"/>
          <w:color w:val="231F20"/>
          <w:sz w:val="14"/>
        </w:rPr>
        <w:t>à la critique</w:t>
      </w:r>
    </w:p>
    <w:p>
      <w:pPr>
        <w:spacing w:line="268" w:lineRule="auto" w:before="80"/>
        <w:ind w:left="598" w:right="606" w:hanging="161"/>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z w:val="14"/>
        </w:rPr>
        <w:t>Sentiment</w:t>
      </w:r>
      <w:r>
        <w:rPr>
          <w:rFonts w:ascii="Arial" w:hAnsi="Arial"/>
          <w:color w:val="231F20"/>
          <w:spacing w:val="-6"/>
          <w:sz w:val="14"/>
        </w:rPr>
        <w:t> </w:t>
      </w:r>
      <w:r>
        <w:rPr>
          <w:rFonts w:ascii="Arial" w:hAnsi="Arial"/>
          <w:color w:val="231F20"/>
          <w:sz w:val="14"/>
        </w:rPr>
        <w:t>d’isolement</w:t>
      </w:r>
      <w:r>
        <w:rPr>
          <w:rFonts w:ascii="Arial" w:hAnsi="Arial"/>
          <w:color w:val="231F20"/>
          <w:spacing w:val="-6"/>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ses</w:t>
      </w:r>
      <w:r>
        <w:rPr>
          <w:rFonts w:ascii="Arial" w:hAnsi="Arial"/>
          <w:color w:val="231F20"/>
          <w:spacing w:val="-6"/>
          <w:sz w:val="14"/>
        </w:rPr>
        <w:t> </w:t>
      </w:r>
      <w:r>
        <w:rPr>
          <w:rFonts w:ascii="Arial" w:hAnsi="Arial"/>
          <w:color w:val="231F20"/>
          <w:sz w:val="14"/>
        </w:rPr>
        <w:t>collègues</w:t>
      </w:r>
      <w:r>
        <w:rPr>
          <w:rFonts w:ascii="Arial" w:hAnsi="Arial"/>
          <w:color w:val="231F20"/>
          <w:spacing w:val="40"/>
          <w:sz w:val="14"/>
        </w:rPr>
        <w:t> </w:t>
      </w:r>
      <w:r>
        <w:rPr>
          <w:rFonts w:ascii="Arial" w:hAnsi="Arial"/>
          <w:color w:val="231F20"/>
          <w:sz w:val="14"/>
        </w:rPr>
        <w:t>et de ses amis</w:t>
      </w:r>
    </w:p>
    <w:p>
      <w:pPr>
        <w:spacing w:before="79"/>
        <w:ind w:left="438"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Peur</w:t>
      </w:r>
      <w:r>
        <w:rPr>
          <w:rFonts w:ascii="Arial" w:hAnsi="Arial"/>
          <w:color w:val="231F20"/>
          <w:spacing w:val="-7"/>
          <w:sz w:val="14"/>
        </w:rPr>
        <w:t> </w:t>
      </w:r>
      <w:r>
        <w:rPr>
          <w:rFonts w:ascii="Arial" w:hAnsi="Arial"/>
          <w:color w:val="231F20"/>
          <w:sz w:val="14"/>
        </w:rPr>
        <w:t>du</w:t>
      </w:r>
      <w:r>
        <w:rPr>
          <w:rFonts w:ascii="Arial" w:hAnsi="Arial"/>
          <w:color w:val="231F20"/>
          <w:spacing w:val="-8"/>
          <w:sz w:val="14"/>
        </w:rPr>
        <w:t> </w:t>
      </w:r>
      <w:r>
        <w:rPr>
          <w:rFonts w:ascii="Arial" w:hAnsi="Arial"/>
          <w:color w:val="231F20"/>
          <w:spacing w:val="-2"/>
          <w:sz w:val="14"/>
        </w:rPr>
        <w:t>rejet</w:t>
      </w:r>
    </w:p>
    <w:p>
      <w:pPr>
        <w:spacing w:before="99"/>
        <w:ind w:left="438" w:right="0" w:firstLine="0"/>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Peur</w:t>
      </w:r>
      <w:r>
        <w:rPr>
          <w:rFonts w:ascii="Arial" w:hAnsi="Arial"/>
          <w:color w:val="231F20"/>
          <w:spacing w:val="-9"/>
          <w:sz w:val="14"/>
        </w:rPr>
        <w:t> </w:t>
      </w:r>
      <w:r>
        <w:rPr>
          <w:rFonts w:ascii="Arial" w:hAnsi="Arial"/>
          <w:color w:val="231F20"/>
          <w:sz w:val="14"/>
        </w:rPr>
        <w:t>de</w:t>
      </w:r>
      <w:r>
        <w:rPr>
          <w:rFonts w:ascii="Arial" w:hAnsi="Arial"/>
          <w:color w:val="231F20"/>
          <w:spacing w:val="-9"/>
          <w:sz w:val="14"/>
        </w:rPr>
        <w:t> </w:t>
      </w:r>
      <w:r>
        <w:rPr>
          <w:rFonts w:ascii="Arial" w:hAnsi="Arial"/>
          <w:color w:val="231F20"/>
          <w:spacing w:val="-2"/>
          <w:sz w:val="14"/>
        </w:rPr>
        <w:t>l’échec</w:t>
      </w:r>
    </w:p>
    <w:p>
      <w:pPr>
        <w:spacing w:before="99"/>
        <w:ind w:left="438" w:right="0" w:firstLine="0"/>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z w:val="14"/>
        </w:rPr>
        <w:t>Peur</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réussite</w:t>
      </w:r>
      <w:r>
        <w:rPr>
          <w:rFonts w:ascii="Arial" w:hAnsi="Arial"/>
          <w:color w:val="231F20"/>
          <w:spacing w:val="-5"/>
          <w:sz w:val="14"/>
        </w:rPr>
        <w:t> </w:t>
      </w:r>
      <w:r>
        <w:rPr>
          <w:rFonts w:ascii="Arial" w:hAnsi="Arial"/>
          <w:color w:val="231F20"/>
          <w:sz w:val="14"/>
        </w:rPr>
        <w:t>ou</w:t>
      </w:r>
      <w:r>
        <w:rPr>
          <w:rFonts w:ascii="Arial" w:hAnsi="Arial"/>
          <w:color w:val="231F20"/>
          <w:spacing w:val="-6"/>
          <w:sz w:val="14"/>
        </w:rPr>
        <w:t> </w:t>
      </w:r>
      <w:r>
        <w:rPr>
          <w:rFonts w:ascii="Arial" w:hAnsi="Arial"/>
          <w:color w:val="231F20"/>
          <w:sz w:val="14"/>
        </w:rPr>
        <w:t>d’une</w:t>
      </w:r>
      <w:r>
        <w:rPr>
          <w:rFonts w:ascii="Arial" w:hAnsi="Arial"/>
          <w:color w:val="231F20"/>
          <w:spacing w:val="-5"/>
          <w:sz w:val="14"/>
        </w:rPr>
        <w:t> </w:t>
      </w:r>
      <w:r>
        <w:rPr>
          <w:rFonts w:ascii="Arial" w:hAnsi="Arial"/>
          <w:color w:val="231F20"/>
          <w:spacing w:val="-2"/>
          <w:sz w:val="14"/>
        </w:rPr>
        <w:t>promotion</w:t>
      </w:r>
    </w:p>
    <w:p>
      <w:pPr>
        <w:spacing w:before="99"/>
        <w:ind w:left="438"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Sentiments</w:t>
      </w:r>
      <w:r>
        <w:rPr>
          <w:rFonts w:ascii="Arial" w:hAnsi="Arial"/>
          <w:color w:val="231F20"/>
          <w:spacing w:val="-8"/>
          <w:sz w:val="14"/>
        </w:rPr>
        <w:t> </w:t>
      </w:r>
      <w:r>
        <w:rPr>
          <w:rFonts w:ascii="Arial" w:hAnsi="Arial"/>
          <w:color w:val="231F20"/>
          <w:sz w:val="14"/>
        </w:rPr>
        <w:t>ou</w:t>
      </w:r>
      <w:r>
        <w:rPr>
          <w:rFonts w:ascii="Arial" w:hAnsi="Arial"/>
          <w:color w:val="231F20"/>
          <w:spacing w:val="-7"/>
          <w:sz w:val="14"/>
        </w:rPr>
        <w:t> </w:t>
      </w:r>
      <w:r>
        <w:rPr>
          <w:rFonts w:ascii="Arial" w:hAnsi="Arial"/>
          <w:color w:val="231F20"/>
          <w:sz w:val="14"/>
        </w:rPr>
        <w:t>crises</w:t>
      </w:r>
      <w:r>
        <w:rPr>
          <w:rFonts w:ascii="Arial" w:hAnsi="Arial"/>
          <w:color w:val="231F20"/>
          <w:spacing w:val="-8"/>
          <w:sz w:val="14"/>
        </w:rPr>
        <w:t> </w:t>
      </w:r>
      <w:r>
        <w:rPr>
          <w:rFonts w:ascii="Arial" w:hAnsi="Arial"/>
          <w:color w:val="231F20"/>
          <w:sz w:val="14"/>
        </w:rPr>
        <w:t>de</w:t>
      </w:r>
      <w:r>
        <w:rPr>
          <w:rFonts w:ascii="Arial" w:hAnsi="Arial"/>
          <w:color w:val="231F20"/>
          <w:spacing w:val="-8"/>
          <w:sz w:val="14"/>
        </w:rPr>
        <w:t> </w:t>
      </w:r>
      <w:r>
        <w:rPr>
          <w:rFonts w:ascii="Arial" w:hAnsi="Arial"/>
          <w:color w:val="231F20"/>
          <w:spacing w:val="-2"/>
          <w:sz w:val="14"/>
        </w:rPr>
        <w:t>panique</w:t>
      </w:r>
    </w:p>
    <w:p>
      <w:pPr>
        <w:spacing w:before="99"/>
        <w:ind w:left="438" w:right="0" w:firstLine="0"/>
        <w:jc w:val="left"/>
        <w:rPr>
          <w:rFonts w:ascii="Arial" w:hAnsi="Arial"/>
          <w:sz w:val="14"/>
        </w:rPr>
      </w:pPr>
      <w:r>
        <w:rPr>
          <w:rFonts w:ascii="Wingdings" w:hAnsi="Wingdings"/>
          <w:color w:val="231F20"/>
          <w:w w:val="95"/>
          <w:sz w:val="14"/>
        </w:rPr>
        <w:t></w:t>
      </w:r>
      <w:r>
        <w:rPr>
          <w:color w:val="231F20"/>
          <w:spacing w:val="3"/>
          <w:sz w:val="14"/>
        </w:rPr>
        <w:t> </w:t>
      </w:r>
      <w:r>
        <w:rPr>
          <w:rFonts w:ascii="Arial" w:hAnsi="Arial"/>
          <w:color w:val="231F20"/>
          <w:w w:val="95"/>
          <w:sz w:val="14"/>
        </w:rPr>
        <w:t>Cauchemars</w:t>
      </w:r>
      <w:r>
        <w:rPr>
          <w:rFonts w:ascii="Arial" w:hAnsi="Arial"/>
          <w:color w:val="231F20"/>
          <w:spacing w:val="-1"/>
          <w:sz w:val="14"/>
        </w:rPr>
        <w:t> </w:t>
      </w:r>
      <w:r>
        <w:rPr>
          <w:rFonts w:ascii="Arial" w:hAnsi="Arial"/>
          <w:color w:val="231F20"/>
          <w:w w:val="95"/>
          <w:sz w:val="14"/>
        </w:rPr>
        <w:t>ou</w:t>
      </w:r>
      <w:r>
        <w:rPr>
          <w:rFonts w:ascii="Arial" w:hAnsi="Arial"/>
          <w:color w:val="231F20"/>
          <w:sz w:val="14"/>
        </w:rPr>
        <w:t> </w:t>
      </w:r>
      <w:r>
        <w:rPr>
          <w:rFonts w:ascii="Arial" w:hAnsi="Arial"/>
          <w:color w:val="231F20"/>
          <w:w w:val="95"/>
          <w:sz w:val="14"/>
        </w:rPr>
        <w:t>rêves</w:t>
      </w:r>
      <w:r>
        <w:rPr>
          <w:rFonts w:ascii="Arial" w:hAnsi="Arial"/>
          <w:color w:val="231F20"/>
          <w:spacing w:val="-1"/>
          <w:sz w:val="14"/>
        </w:rPr>
        <w:t> </w:t>
      </w:r>
      <w:r>
        <w:rPr>
          <w:rFonts w:ascii="Arial" w:hAnsi="Arial"/>
          <w:color w:val="231F20"/>
          <w:spacing w:val="-2"/>
          <w:w w:val="95"/>
          <w:sz w:val="14"/>
        </w:rPr>
        <w:t>perturbateurs</w:t>
      </w:r>
    </w:p>
    <w:p>
      <w:pPr>
        <w:spacing w:line="268" w:lineRule="auto" w:before="99"/>
        <w:ind w:left="598" w:right="1227" w:hanging="161"/>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Sentiment</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l’imminence</w:t>
      </w:r>
      <w:r>
        <w:rPr>
          <w:rFonts w:ascii="Arial" w:hAnsi="Arial"/>
          <w:color w:val="231F20"/>
          <w:spacing w:val="40"/>
          <w:sz w:val="14"/>
        </w:rPr>
        <w:t> </w:t>
      </w:r>
      <w:r>
        <w:rPr>
          <w:rFonts w:ascii="Arial" w:hAnsi="Arial"/>
          <w:color w:val="231F20"/>
          <w:sz w:val="14"/>
        </w:rPr>
        <w:t>d’une</w:t>
      </w:r>
      <w:r>
        <w:rPr>
          <w:rFonts w:ascii="Arial" w:hAnsi="Arial"/>
          <w:color w:val="231F20"/>
          <w:spacing w:val="-10"/>
          <w:sz w:val="14"/>
        </w:rPr>
        <w:t> </w:t>
      </w:r>
      <w:r>
        <w:rPr>
          <w:rFonts w:ascii="Arial" w:hAnsi="Arial"/>
          <w:color w:val="231F20"/>
          <w:sz w:val="14"/>
        </w:rPr>
        <w:t>catastrophe</w:t>
      </w:r>
    </w:p>
    <w:p>
      <w:pPr>
        <w:spacing w:before="79"/>
        <w:ind w:left="438"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Sentiment</w:t>
      </w:r>
      <w:r>
        <w:rPr>
          <w:rFonts w:ascii="Arial" w:hAnsi="Arial"/>
          <w:color w:val="231F20"/>
          <w:spacing w:val="2"/>
          <w:sz w:val="14"/>
        </w:rPr>
        <w:t> </w:t>
      </w:r>
      <w:r>
        <w:rPr>
          <w:rFonts w:ascii="Arial" w:hAnsi="Arial"/>
          <w:color w:val="231F20"/>
          <w:spacing w:val="-2"/>
          <w:sz w:val="14"/>
        </w:rPr>
        <w:t>d’inutilité</w:t>
      </w:r>
    </w:p>
    <w:p>
      <w:pPr>
        <w:spacing w:before="99"/>
        <w:ind w:left="438"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Sentiment de </w:t>
      </w:r>
      <w:r>
        <w:rPr>
          <w:rFonts w:ascii="Arial" w:hAnsi="Arial"/>
          <w:color w:val="231F20"/>
          <w:spacing w:val="-2"/>
          <w:sz w:val="14"/>
        </w:rPr>
        <w:t>désespoir</w:t>
      </w:r>
    </w:p>
    <w:p>
      <w:pPr>
        <w:spacing w:before="99"/>
        <w:ind w:left="438" w:right="0" w:firstLine="0"/>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Sentiment</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solitude</w:t>
      </w:r>
      <w:r>
        <w:rPr>
          <w:rFonts w:ascii="Arial" w:hAnsi="Arial"/>
          <w:color w:val="231F20"/>
          <w:spacing w:val="1"/>
          <w:sz w:val="14"/>
        </w:rPr>
        <w:t> </w:t>
      </w:r>
      <w:r>
        <w:rPr>
          <w:rFonts w:ascii="Arial" w:hAnsi="Arial"/>
          <w:color w:val="231F20"/>
          <w:sz w:val="14"/>
        </w:rPr>
        <w:t>ou</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pacing w:val="-2"/>
          <w:sz w:val="14"/>
        </w:rPr>
        <w:t>tristesse</w:t>
      </w:r>
    </w:p>
    <w:p>
      <w:pPr>
        <w:spacing w:after="0"/>
        <w:jc w:val="left"/>
        <w:rPr>
          <w:rFonts w:ascii="Arial" w:hAnsi="Arial"/>
          <w:sz w:val="14"/>
        </w:rPr>
        <w:sectPr>
          <w:type w:val="continuous"/>
          <w:pgSz w:w="8640" w:h="12960"/>
          <w:pgMar w:header="0" w:footer="424" w:top="1220" w:bottom="280" w:left="420" w:right="1140"/>
          <w:cols w:num="2" w:equalWidth="0">
            <w:col w:w="3307" w:space="40"/>
            <w:col w:w="3733"/>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2"/>
        </w:rPr>
      </w:pPr>
    </w:p>
    <w:p>
      <w:pPr>
        <w:pStyle w:val="BodyText"/>
        <w:spacing w:line="20" w:lineRule="exact"/>
        <w:ind w:left="830"/>
        <w:rPr>
          <w:rFonts w:ascii="Arial"/>
          <w:sz w:val="2"/>
        </w:rPr>
      </w:pPr>
      <w:r>
        <w:rPr>
          <w:rFonts w:ascii="Arial"/>
          <w:sz w:val="2"/>
        </w:rPr>
        <w:pict>
          <v:group style="width:287.5pt;height:.25pt;mso-position-horizontal-relative:char;mso-position-vertical-relative:line" id="docshapegroup801" coordorigin="0,0" coordsize="5750,5">
            <v:line style="position:absolute" from="0,2" to="5750,2" stroked="true" strokeweight=".25pt" strokecolor="#231f20">
              <v:stroke dashstyle="shortdot"/>
            </v:line>
          </v:group>
        </w:pict>
      </w:r>
      <w:r>
        <w:rPr>
          <w:rFonts w:ascii="Arial"/>
          <w:sz w:val="2"/>
        </w:rPr>
      </w:r>
    </w:p>
    <w:p>
      <w:pPr>
        <w:pStyle w:val="ListParagraph"/>
        <w:numPr>
          <w:ilvl w:val="0"/>
          <w:numId w:val="42"/>
        </w:numPr>
        <w:tabs>
          <w:tab w:pos="830" w:val="left" w:leader="none"/>
        </w:tabs>
        <w:spacing w:line="295" w:lineRule="auto" w:before="117" w:after="0"/>
        <w:ind w:left="829" w:right="492" w:hanging="406"/>
        <w:jc w:val="both"/>
        <w:rPr>
          <w:rFonts w:ascii="Arial" w:hAnsi="Arial"/>
          <w:sz w:val="12"/>
        </w:rPr>
      </w:pPr>
      <w:r>
        <w:rPr>
          <w:rFonts w:ascii="Arial" w:hAnsi="Arial"/>
          <w:color w:val="231F20"/>
          <w:sz w:val="12"/>
        </w:rPr>
        <w:t>Cet</w:t>
      </w:r>
      <w:r>
        <w:rPr>
          <w:rFonts w:ascii="Arial" w:hAnsi="Arial"/>
          <w:color w:val="231F20"/>
          <w:spacing w:val="-4"/>
          <w:sz w:val="12"/>
        </w:rPr>
        <w:t> </w:t>
      </w:r>
      <w:r>
        <w:rPr>
          <w:rFonts w:ascii="Arial" w:hAnsi="Arial"/>
          <w:color w:val="231F20"/>
          <w:sz w:val="12"/>
        </w:rPr>
        <w:t>audit</w:t>
      </w:r>
      <w:r>
        <w:rPr>
          <w:rFonts w:ascii="Arial" w:hAnsi="Arial"/>
          <w:color w:val="231F20"/>
          <w:spacing w:val="-4"/>
          <w:sz w:val="12"/>
        </w:rPr>
        <w:t> </w:t>
      </w:r>
      <w:r>
        <w:rPr>
          <w:rFonts w:ascii="Arial" w:hAnsi="Arial"/>
          <w:color w:val="231F20"/>
          <w:sz w:val="12"/>
        </w:rPr>
        <w:t>du</w:t>
      </w:r>
      <w:r>
        <w:rPr>
          <w:rFonts w:ascii="Arial" w:hAnsi="Arial"/>
          <w:color w:val="231F20"/>
          <w:spacing w:val="-4"/>
          <w:sz w:val="12"/>
        </w:rPr>
        <w:t> </w:t>
      </w:r>
      <w:r>
        <w:rPr>
          <w:rFonts w:ascii="Arial" w:hAnsi="Arial"/>
          <w:color w:val="231F20"/>
          <w:sz w:val="12"/>
        </w:rPr>
        <w:t>stress</w:t>
      </w:r>
      <w:r>
        <w:rPr>
          <w:rFonts w:ascii="Arial" w:hAnsi="Arial"/>
          <w:color w:val="231F20"/>
          <w:spacing w:val="-4"/>
          <w:sz w:val="12"/>
        </w:rPr>
        <w:t> </w:t>
      </w:r>
      <w:r>
        <w:rPr>
          <w:rFonts w:ascii="Arial" w:hAnsi="Arial"/>
          <w:color w:val="231F20"/>
          <w:sz w:val="12"/>
        </w:rPr>
        <w:t>est</w:t>
      </w:r>
      <w:r>
        <w:rPr>
          <w:rFonts w:ascii="Arial" w:hAnsi="Arial"/>
          <w:color w:val="231F20"/>
          <w:spacing w:val="-4"/>
          <w:sz w:val="12"/>
        </w:rPr>
        <w:t> </w:t>
      </w:r>
      <w:r>
        <w:rPr>
          <w:rFonts w:ascii="Arial" w:hAnsi="Arial"/>
          <w:color w:val="231F20"/>
          <w:sz w:val="12"/>
        </w:rPr>
        <w:t>une</w:t>
      </w:r>
      <w:r>
        <w:rPr>
          <w:rFonts w:ascii="Arial" w:hAnsi="Arial"/>
          <w:color w:val="231F20"/>
          <w:spacing w:val="-4"/>
          <w:sz w:val="12"/>
        </w:rPr>
        <w:t> </w:t>
      </w:r>
      <w:r>
        <w:rPr>
          <w:rFonts w:ascii="Arial" w:hAnsi="Arial"/>
          <w:color w:val="231F20"/>
          <w:sz w:val="12"/>
        </w:rPr>
        <w:t>version</w:t>
      </w:r>
      <w:r>
        <w:rPr>
          <w:rFonts w:ascii="Arial" w:hAnsi="Arial"/>
          <w:color w:val="231F20"/>
          <w:spacing w:val="-4"/>
          <w:sz w:val="12"/>
        </w:rPr>
        <w:t> </w:t>
      </w:r>
      <w:r>
        <w:rPr>
          <w:rFonts w:ascii="Arial" w:hAnsi="Arial"/>
          <w:color w:val="231F20"/>
          <w:sz w:val="12"/>
        </w:rPr>
        <w:t>modifiée</w:t>
      </w:r>
      <w:r>
        <w:rPr>
          <w:rFonts w:ascii="Arial" w:hAnsi="Arial"/>
          <w:color w:val="231F20"/>
          <w:spacing w:val="-4"/>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adaptée</w:t>
      </w:r>
      <w:r>
        <w:rPr>
          <w:rFonts w:ascii="Arial" w:hAnsi="Arial"/>
          <w:color w:val="231F20"/>
          <w:spacing w:val="-4"/>
          <w:sz w:val="12"/>
        </w:rPr>
        <w:t> </w:t>
      </w:r>
      <w:r>
        <w:rPr>
          <w:rFonts w:ascii="Arial" w:hAnsi="Arial"/>
          <w:color w:val="231F20"/>
          <w:sz w:val="12"/>
        </w:rPr>
        <w:t>des</w:t>
      </w:r>
      <w:r>
        <w:rPr>
          <w:rFonts w:ascii="Arial" w:hAnsi="Arial"/>
          <w:color w:val="231F20"/>
          <w:spacing w:val="-4"/>
          <w:sz w:val="12"/>
        </w:rPr>
        <w:t> </w:t>
      </w:r>
      <w:r>
        <w:rPr>
          <w:rFonts w:ascii="Arial" w:hAnsi="Arial"/>
          <w:color w:val="231F20"/>
          <w:sz w:val="12"/>
        </w:rPr>
        <w:t>mesures</w:t>
      </w:r>
      <w:r>
        <w:rPr>
          <w:rFonts w:ascii="Arial" w:hAnsi="Arial"/>
          <w:color w:val="231F20"/>
          <w:spacing w:val="-4"/>
          <w:sz w:val="12"/>
        </w:rPr>
        <w:t> </w:t>
      </w:r>
      <w:r>
        <w:rPr>
          <w:rFonts w:ascii="Arial" w:hAnsi="Arial"/>
          <w:color w:val="231F20"/>
          <w:sz w:val="12"/>
        </w:rPr>
        <w:t>initiales</w:t>
      </w:r>
      <w:r>
        <w:rPr>
          <w:rFonts w:ascii="Arial" w:hAnsi="Arial"/>
          <w:color w:val="231F20"/>
          <w:spacing w:val="-4"/>
          <w:sz w:val="12"/>
        </w:rPr>
        <w:t> </w:t>
      </w:r>
      <w:r>
        <w:rPr>
          <w:rFonts w:ascii="Arial" w:hAnsi="Arial"/>
          <w:color w:val="231F20"/>
          <w:sz w:val="12"/>
        </w:rPr>
        <w:t>utilisées</w:t>
      </w:r>
      <w:r>
        <w:rPr>
          <w:rFonts w:ascii="Arial" w:hAnsi="Arial"/>
          <w:color w:val="231F20"/>
          <w:spacing w:val="-4"/>
          <w:sz w:val="12"/>
        </w:rPr>
        <w:t> </w:t>
      </w:r>
      <w:r>
        <w:rPr>
          <w:rFonts w:ascii="Arial" w:hAnsi="Arial"/>
          <w:color w:val="231F20"/>
          <w:sz w:val="12"/>
        </w:rPr>
        <w:t>par</w:t>
      </w:r>
      <w:r>
        <w:rPr>
          <w:rFonts w:ascii="Arial" w:hAnsi="Arial"/>
          <w:color w:val="231F20"/>
          <w:spacing w:val="-4"/>
          <w:sz w:val="12"/>
        </w:rPr>
        <w:t> </w:t>
      </w:r>
      <w:r>
        <w:rPr>
          <w:rFonts w:ascii="Arial" w:hAnsi="Arial"/>
          <w:color w:val="231F20"/>
          <w:sz w:val="12"/>
        </w:rPr>
        <w:t>Arsenault</w:t>
      </w:r>
      <w:r>
        <w:rPr>
          <w:rFonts w:ascii="Arial" w:hAnsi="Arial"/>
          <w:color w:val="231F20"/>
          <w:spacing w:val="-4"/>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Dolan</w:t>
      </w:r>
      <w:r>
        <w:rPr>
          <w:rFonts w:ascii="Arial" w:hAnsi="Arial"/>
          <w:color w:val="231F20"/>
          <w:spacing w:val="40"/>
          <w:sz w:val="12"/>
        </w:rPr>
        <w:t> </w:t>
      </w:r>
      <w:r>
        <w:rPr>
          <w:rFonts w:ascii="Arial" w:hAnsi="Arial"/>
          <w:color w:val="231F20"/>
          <w:spacing w:val="-2"/>
          <w:sz w:val="12"/>
        </w:rPr>
        <w:t>dans diverses études menées au cours des décennies 1980 et 1990. On trouvera plus de détails dans les écrits</w:t>
      </w:r>
      <w:r>
        <w:rPr>
          <w:rFonts w:ascii="Arial" w:hAnsi="Arial"/>
          <w:color w:val="231F20"/>
          <w:spacing w:val="40"/>
          <w:sz w:val="12"/>
        </w:rPr>
        <w:t> </w:t>
      </w:r>
      <w:r>
        <w:rPr>
          <w:rFonts w:ascii="Arial" w:hAnsi="Arial"/>
          <w:color w:val="231F20"/>
          <w:sz w:val="12"/>
        </w:rPr>
        <w:t>suivants</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Arsenault,</w:t>
      </w:r>
      <w:r>
        <w:rPr>
          <w:rFonts w:ascii="Arial" w:hAnsi="Arial"/>
          <w:color w:val="231F20"/>
          <w:spacing w:val="-8"/>
          <w:sz w:val="12"/>
        </w:rPr>
        <w:t> </w:t>
      </w:r>
      <w:r>
        <w:rPr>
          <w:rFonts w:ascii="Arial" w:hAnsi="Arial"/>
          <w:color w:val="231F20"/>
          <w:sz w:val="12"/>
        </w:rPr>
        <w:t>A.</w:t>
      </w:r>
      <w:r>
        <w:rPr>
          <w:rFonts w:ascii="Arial" w:hAnsi="Arial"/>
          <w:color w:val="231F20"/>
          <w:spacing w:val="-1"/>
          <w:sz w:val="12"/>
        </w:rPr>
        <w:t> </w:t>
      </w:r>
      <w:r>
        <w:rPr>
          <w:rFonts w:ascii="Arial" w:hAnsi="Arial"/>
          <w:color w:val="231F20"/>
          <w:sz w:val="12"/>
        </w:rPr>
        <w:t>et</w:t>
      </w:r>
      <w:r>
        <w:rPr>
          <w:rFonts w:ascii="Arial" w:hAnsi="Arial"/>
          <w:color w:val="231F20"/>
          <w:spacing w:val="-1"/>
          <w:sz w:val="12"/>
        </w:rPr>
        <w:t> </w:t>
      </w:r>
      <w:r>
        <w:rPr>
          <w:rFonts w:ascii="Arial" w:hAnsi="Arial"/>
          <w:color w:val="231F20"/>
          <w:sz w:val="12"/>
        </w:rPr>
        <w:t>Dolan,</w:t>
      </w:r>
      <w:r>
        <w:rPr>
          <w:rFonts w:ascii="Arial" w:hAnsi="Arial"/>
          <w:color w:val="231F20"/>
          <w:spacing w:val="-1"/>
          <w:sz w:val="12"/>
        </w:rPr>
        <w:t> </w:t>
      </w:r>
      <w:r>
        <w:rPr>
          <w:rFonts w:ascii="Arial" w:hAnsi="Arial"/>
          <w:color w:val="231F20"/>
          <w:sz w:val="12"/>
        </w:rPr>
        <w:t>S.</w:t>
      </w:r>
      <w:r>
        <w:rPr>
          <w:rFonts w:ascii="Arial" w:hAnsi="Arial"/>
          <w:color w:val="231F20"/>
          <w:spacing w:val="-1"/>
          <w:sz w:val="12"/>
        </w:rPr>
        <w:t> </w:t>
      </w:r>
      <w:r>
        <w:rPr>
          <w:rFonts w:ascii="Arial" w:hAnsi="Arial"/>
          <w:color w:val="231F20"/>
          <w:sz w:val="12"/>
        </w:rPr>
        <w:t>L.</w:t>
      </w:r>
      <w:r>
        <w:rPr>
          <w:rFonts w:ascii="Arial" w:hAnsi="Arial"/>
          <w:color w:val="231F20"/>
          <w:spacing w:val="-1"/>
          <w:sz w:val="12"/>
        </w:rPr>
        <w:t> </w:t>
      </w:r>
      <w:r>
        <w:rPr>
          <w:rFonts w:ascii="Arial" w:hAnsi="Arial"/>
          <w:color w:val="231F20"/>
          <w:sz w:val="12"/>
        </w:rPr>
        <w:t>(1983).</w:t>
      </w:r>
      <w:r>
        <w:rPr>
          <w:rFonts w:ascii="Arial" w:hAnsi="Arial"/>
          <w:color w:val="231F20"/>
          <w:spacing w:val="-1"/>
          <w:sz w:val="12"/>
        </w:rPr>
        <w:t> </w:t>
      </w:r>
      <w:r>
        <w:rPr>
          <w:rFonts w:ascii="Arial" w:hAnsi="Arial"/>
          <w:i/>
          <w:color w:val="231F20"/>
          <w:sz w:val="12"/>
        </w:rPr>
        <w:t>Le</w:t>
      </w:r>
      <w:r>
        <w:rPr>
          <w:rFonts w:ascii="Arial" w:hAnsi="Arial"/>
          <w:i/>
          <w:color w:val="231F20"/>
          <w:spacing w:val="-1"/>
          <w:sz w:val="12"/>
        </w:rPr>
        <w:t> </w:t>
      </w:r>
      <w:r>
        <w:rPr>
          <w:rFonts w:ascii="Arial" w:hAnsi="Arial"/>
          <w:i/>
          <w:color w:val="231F20"/>
          <w:sz w:val="12"/>
        </w:rPr>
        <w:t>stress</w:t>
      </w:r>
      <w:r>
        <w:rPr>
          <w:rFonts w:ascii="Arial" w:hAnsi="Arial"/>
          <w:i/>
          <w:color w:val="231F20"/>
          <w:spacing w:val="-1"/>
          <w:sz w:val="12"/>
        </w:rPr>
        <w:t> </w:t>
      </w:r>
      <w:r>
        <w:rPr>
          <w:rFonts w:ascii="Arial" w:hAnsi="Arial"/>
          <w:i/>
          <w:color w:val="231F20"/>
          <w:sz w:val="12"/>
        </w:rPr>
        <w:t>au</w:t>
      </w:r>
      <w:r>
        <w:rPr>
          <w:rFonts w:ascii="Arial" w:hAnsi="Arial"/>
          <w:i/>
          <w:color w:val="231F20"/>
          <w:spacing w:val="-1"/>
          <w:sz w:val="12"/>
        </w:rPr>
        <w:t> </w:t>
      </w:r>
      <w:r>
        <w:rPr>
          <w:rFonts w:ascii="Arial" w:hAnsi="Arial"/>
          <w:i/>
          <w:color w:val="231F20"/>
          <w:sz w:val="12"/>
        </w:rPr>
        <w:t>travail</w:t>
      </w:r>
      <w:r>
        <w:rPr>
          <w:rFonts w:ascii="Arial" w:hAnsi="Arial"/>
          <w:i/>
          <w:color w:val="231F20"/>
          <w:spacing w:val="-1"/>
          <w:sz w:val="12"/>
        </w:rPr>
        <w:t> </w:t>
      </w:r>
      <w:r>
        <w:rPr>
          <w:rFonts w:ascii="Arial" w:hAnsi="Arial"/>
          <w:i/>
          <w:color w:val="231F20"/>
          <w:sz w:val="12"/>
        </w:rPr>
        <w:t>et</w:t>
      </w:r>
      <w:r>
        <w:rPr>
          <w:rFonts w:ascii="Arial" w:hAnsi="Arial"/>
          <w:i/>
          <w:color w:val="231F20"/>
          <w:spacing w:val="-1"/>
          <w:sz w:val="12"/>
        </w:rPr>
        <w:t> </w:t>
      </w:r>
      <w:r>
        <w:rPr>
          <w:rFonts w:ascii="Arial" w:hAnsi="Arial"/>
          <w:i/>
          <w:color w:val="231F20"/>
          <w:sz w:val="12"/>
        </w:rPr>
        <w:t>ses</w:t>
      </w:r>
      <w:r>
        <w:rPr>
          <w:rFonts w:ascii="Arial" w:hAnsi="Arial"/>
          <w:i/>
          <w:color w:val="231F20"/>
          <w:spacing w:val="-1"/>
          <w:sz w:val="12"/>
        </w:rPr>
        <w:t> </w:t>
      </w:r>
      <w:r>
        <w:rPr>
          <w:rFonts w:ascii="Arial" w:hAnsi="Arial"/>
          <w:i/>
          <w:color w:val="231F20"/>
          <w:sz w:val="12"/>
        </w:rPr>
        <w:t>effets</w:t>
      </w:r>
      <w:r>
        <w:rPr>
          <w:rFonts w:ascii="Arial" w:hAnsi="Arial"/>
          <w:i/>
          <w:color w:val="231F20"/>
          <w:spacing w:val="-1"/>
          <w:sz w:val="12"/>
        </w:rPr>
        <w:t> </w:t>
      </w:r>
      <w:r>
        <w:rPr>
          <w:rFonts w:ascii="Arial" w:hAnsi="Arial"/>
          <w:i/>
          <w:color w:val="231F20"/>
          <w:sz w:val="12"/>
        </w:rPr>
        <w:t>sur</w:t>
      </w:r>
      <w:r>
        <w:rPr>
          <w:rFonts w:ascii="Arial" w:hAnsi="Arial"/>
          <w:i/>
          <w:color w:val="231F20"/>
          <w:spacing w:val="-1"/>
          <w:sz w:val="12"/>
        </w:rPr>
        <w:t> </w:t>
      </w:r>
      <w:r>
        <w:rPr>
          <w:rFonts w:ascii="Arial" w:hAnsi="Arial"/>
          <w:i/>
          <w:color w:val="231F20"/>
          <w:sz w:val="12"/>
        </w:rPr>
        <w:t>l’individu</w:t>
      </w:r>
      <w:r>
        <w:rPr>
          <w:rFonts w:ascii="Arial" w:hAnsi="Arial"/>
          <w:i/>
          <w:color w:val="231F20"/>
          <w:spacing w:val="-1"/>
          <w:sz w:val="12"/>
        </w:rPr>
        <w:t> </w:t>
      </w:r>
      <w:r>
        <w:rPr>
          <w:rFonts w:ascii="Arial" w:hAnsi="Arial"/>
          <w:i/>
          <w:color w:val="231F20"/>
          <w:sz w:val="12"/>
        </w:rPr>
        <w:t>et</w:t>
      </w:r>
      <w:r>
        <w:rPr>
          <w:rFonts w:ascii="Arial" w:hAnsi="Arial"/>
          <w:i/>
          <w:color w:val="231F20"/>
          <w:spacing w:val="-1"/>
          <w:sz w:val="12"/>
        </w:rPr>
        <w:t> </w:t>
      </w:r>
      <w:r>
        <w:rPr>
          <w:rFonts w:ascii="Arial" w:hAnsi="Arial"/>
          <w:i/>
          <w:color w:val="231F20"/>
          <w:sz w:val="12"/>
        </w:rPr>
        <w:t>l’organisation</w:t>
      </w:r>
      <w:r>
        <w:rPr>
          <w:rFonts w:ascii="Arial" w:hAnsi="Arial"/>
          <w:color w:val="231F20"/>
          <w:sz w:val="12"/>
        </w:rPr>
        <w:t>,</w:t>
      </w:r>
      <w:r>
        <w:rPr>
          <w:rFonts w:ascii="Arial" w:hAnsi="Arial"/>
          <w:color w:val="231F20"/>
          <w:spacing w:val="40"/>
          <w:w w:val="105"/>
          <w:sz w:val="12"/>
        </w:rPr>
        <w:t> </w:t>
      </w:r>
      <w:r>
        <w:rPr>
          <w:rFonts w:ascii="Arial" w:hAnsi="Arial"/>
          <w:color w:val="231F20"/>
          <w:w w:val="105"/>
          <w:sz w:val="12"/>
        </w:rPr>
        <w:t>Notes</w:t>
      </w:r>
      <w:r>
        <w:rPr>
          <w:rFonts w:ascii="Arial" w:hAnsi="Arial"/>
          <w:color w:val="231F20"/>
          <w:spacing w:val="-1"/>
          <w:w w:val="105"/>
          <w:sz w:val="12"/>
        </w:rPr>
        <w:t> </w:t>
      </w:r>
      <w:r>
        <w:rPr>
          <w:rFonts w:ascii="Arial" w:hAnsi="Arial"/>
          <w:color w:val="231F20"/>
          <w:w w:val="105"/>
          <w:sz w:val="12"/>
        </w:rPr>
        <w:t>et</w:t>
      </w:r>
      <w:r>
        <w:rPr>
          <w:rFonts w:ascii="Arial" w:hAnsi="Arial"/>
          <w:color w:val="231F20"/>
          <w:spacing w:val="-1"/>
          <w:w w:val="105"/>
          <w:sz w:val="12"/>
        </w:rPr>
        <w:t> </w:t>
      </w:r>
      <w:r>
        <w:rPr>
          <w:rFonts w:ascii="Arial" w:hAnsi="Arial"/>
          <w:color w:val="231F20"/>
          <w:w w:val="105"/>
          <w:sz w:val="12"/>
        </w:rPr>
        <w:t>rapports</w:t>
      </w:r>
      <w:r>
        <w:rPr>
          <w:rFonts w:ascii="Arial" w:hAnsi="Arial"/>
          <w:color w:val="231F20"/>
          <w:spacing w:val="-1"/>
          <w:w w:val="105"/>
          <w:sz w:val="12"/>
        </w:rPr>
        <w:t> </w:t>
      </w:r>
      <w:r>
        <w:rPr>
          <w:rFonts w:ascii="Arial" w:hAnsi="Arial"/>
          <w:color w:val="231F20"/>
          <w:w w:val="105"/>
          <w:sz w:val="12"/>
        </w:rPr>
        <w:t>scientifiques</w:t>
      </w:r>
      <w:r>
        <w:rPr>
          <w:rFonts w:ascii="Arial" w:hAnsi="Arial"/>
          <w:color w:val="231F20"/>
          <w:spacing w:val="-1"/>
          <w:w w:val="105"/>
          <w:sz w:val="12"/>
        </w:rPr>
        <w:t> </w:t>
      </w:r>
      <w:r>
        <w:rPr>
          <w:rFonts w:ascii="Arial" w:hAnsi="Arial"/>
          <w:color w:val="231F20"/>
          <w:w w:val="105"/>
          <w:sz w:val="12"/>
        </w:rPr>
        <w:t>et</w:t>
      </w:r>
      <w:r>
        <w:rPr>
          <w:rFonts w:ascii="Arial" w:hAnsi="Arial"/>
          <w:color w:val="231F20"/>
          <w:spacing w:val="-1"/>
          <w:w w:val="105"/>
          <w:sz w:val="12"/>
        </w:rPr>
        <w:t> </w:t>
      </w:r>
      <w:r>
        <w:rPr>
          <w:rFonts w:ascii="Arial" w:hAnsi="Arial"/>
          <w:color w:val="231F20"/>
          <w:w w:val="105"/>
          <w:sz w:val="12"/>
        </w:rPr>
        <w:t>techniques,</w:t>
      </w:r>
      <w:r>
        <w:rPr>
          <w:rFonts w:ascii="Arial" w:hAnsi="Arial"/>
          <w:color w:val="231F20"/>
          <w:spacing w:val="-1"/>
          <w:w w:val="105"/>
          <w:sz w:val="12"/>
        </w:rPr>
        <w:t> </w:t>
      </w:r>
      <w:r>
        <w:rPr>
          <w:rFonts w:ascii="Arial" w:hAnsi="Arial"/>
          <w:color w:val="231F20"/>
          <w:w w:val="105"/>
          <w:sz w:val="12"/>
        </w:rPr>
        <w:t>Institut</w:t>
      </w:r>
      <w:r>
        <w:rPr>
          <w:rFonts w:ascii="Arial" w:hAnsi="Arial"/>
          <w:color w:val="231F20"/>
          <w:spacing w:val="-1"/>
          <w:w w:val="105"/>
          <w:sz w:val="12"/>
        </w:rPr>
        <w:t> </w:t>
      </w:r>
      <w:r>
        <w:rPr>
          <w:rFonts w:ascii="Arial" w:hAnsi="Arial"/>
          <w:color w:val="231F20"/>
          <w:w w:val="105"/>
          <w:sz w:val="12"/>
        </w:rPr>
        <w:t>de</w:t>
      </w:r>
      <w:r>
        <w:rPr>
          <w:rFonts w:ascii="Arial" w:hAnsi="Arial"/>
          <w:color w:val="231F20"/>
          <w:spacing w:val="-1"/>
          <w:w w:val="105"/>
          <w:sz w:val="12"/>
        </w:rPr>
        <w:t> </w:t>
      </w:r>
      <w:r>
        <w:rPr>
          <w:rFonts w:ascii="Arial" w:hAnsi="Arial"/>
          <w:color w:val="231F20"/>
          <w:w w:val="105"/>
          <w:sz w:val="12"/>
        </w:rPr>
        <w:t>recherche</w:t>
      </w:r>
      <w:r>
        <w:rPr>
          <w:rFonts w:ascii="Arial" w:hAnsi="Arial"/>
          <w:color w:val="231F20"/>
          <w:spacing w:val="-1"/>
          <w:w w:val="105"/>
          <w:sz w:val="12"/>
        </w:rPr>
        <w:t> </w:t>
      </w:r>
      <w:r>
        <w:rPr>
          <w:rFonts w:ascii="Arial" w:hAnsi="Arial"/>
          <w:color w:val="231F20"/>
          <w:w w:val="105"/>
          <w:sz w:val="12"/>
        </w:rPr>
        <w:t>en</w:t>
      </w:r>
      <w:r>
        <w:rPr>
          <w:rFonts w:ascii="Arial" w:hAnsi="Arial"/>
          <w:color w:val="231F20"/>
          <w:spacing w:val="-1"/>
          <w:w w:val="105"/>
          <w:sz w:val="12"/>
        </w:rPr>
        <w:t> </w:t>
      </w:r>
      <w:r>
        <w:rPr>
          <w:rFonts w:ascii="Arial" w:hAnsi="Arial"/>
          <w:color w:val="231F20"/>
          <w:w w:val="105"/>
          <w:sz w:val="12"/>
        </w:rPr>
        <w:t>santé</w:t>
      </w:r>
      <w:r>
        <w:rPr>
          <w:rFonts w:ascii="Arial" w:hAnsi="Arial"/>
          <w:color w:val="231F20"/>
          <w:spacing w:val="-1"/>
          <w:w w:val="105"/>
          <w:sz w:val="12"/>
        </w:rPr>
        <w:t> </w:t>
      </w:r>
      <w:r>
        <w:rPr>
          <w:rFonts w:ascii="Arial" w:hAnsi="Arial"/>
          <w:color w:val="231F20"/>
          <w:w w:val="105"/>
          <w:sz w:val="12"/>
        </w:rPr>
        <w:t>et</w:t>
      </w:r>
      <w:r>
        <w:rPr>
          <w:rFonts w:ascii="Arial" w:hAnsi="Arial"/>
          <w:color w:val="231F20"/>
          <w:spacing w:val="-1"/>
          <w:w w:val="105"/>
          <w:sz w:val="12"/>
        </w:rPr>
        <w:t> </w:t>
      </w:r>
      <w:r>
        <w:rPr>
          <w:rFonts w:ascii="Arial" w:hAnsi="Arial"/>
          <w:color w:val="231F20"/>
          <w:w w:val="105"/>
          <w:sz w:val="12"/>
        </w:rPr>
        <w:t>en</w:t>
      </w:r>
      <w:r>
        <w:rPr>
          <w:rFonts w:ascii="Arial" w:hAnsi="Arial"/>
          <w:color w:val="231F20"/>
          <w:spacing w:val="-1"/>
          <w:w w:val="105"/>
          <w:sz w:val="12"/>
        </w:rPr>
        <w:t> </w:t>
      </w:r>
      <w:r>
        <w:rPr>
          <w:rFonts w:ascii="Arial" w:hAnsi="Arial"/>
          <w:color w:val="231F20"/>
          <w:w w:val="105"/>
          <w:sz w:val="12"/>
        </w:rPr>
        <w:t>sécurité</w:t>
      </w:r>
      <w:r>
        <w:rPr>
          <w:rFonts w:ascii="Arial" w:hAnsi="Arial"/>
          <w:color w:val="231F20"/>
          <w:spacing w:val="-1"/>
          <w:w w:val="105"/>
          <w:sz w:val="12"/>
        </w:rPr>
        <w:t> </w:t>
      </w:r>
      <w:r>
        <w:rPr>
          <w:rFonts w:ascii="Arial" w:hAnsi="Arial"/>
          <w:color w:val="231F20"/>
          <w:w w:val="105"/>
          <w:sz w:val="12"/>
        </w:rPr>
        <w:t>du</w:t>
      </w:r>
      <w:r>
        <w:rPr>
          <w:rFonts w:ascii="Arial" w:hAnsi="Arial"/>
          <w:color w:val="231F20"/>
          <w:spacing w:val="-1"/>
          <w:w w:val="105"/>
          <w:sz w:val="12"/>
        </w:rPr>
        <w:t> </w:t>
      </w:r>
      <w:r>
        <w:rPr>
          <w:rFonts w:ascii="Arial" w:hAnsi="Arial"/>
          <w:color w:val="231F20"/>
          <w:w w:val="105"/>
          <w:sz w:val="12"/>
        </w:rPr>
        <w:t>travail</w:t>
      </w:r>
      <w:r>
        <w:rPr>
          <w:rFonts w:ascii="Arial" w:hAnsi="Arial"/>
          <w:color w:val="231F20"/>
          <w:spacing w:val="-1"/>
          <w:w w:val="105"/>
          <w:sz w:val="12"/>
        </w:rPr>
        <w:t> </w:t>
      </w:r>
      <w:r>
        <w:rPr>
          <w:rFonts w:ascii="Arial" w:hAnsi="Arial"/>
          <w:color w:val="231F20"/>
          <w:w w:val="105"/>
          <w:sz w:val="12"/>
        </w:rPr>
        <w:t>du</w:t>
      </w:r>
      <w:r>
        <w:rPr>
          <w:rFonts w:ascii="Arial" w:hAnsi="Arial"/>
          <w:color w:val="231F20"/>
          <w:spacing w:val="40"/>
          <w:w w:val="105"/>
          <w:sz w:val="12"/>
        </w:rPr>
        <w:t> </w:t>
      </w:r>
      <w:r>
        <w:rPr>
          <w:rFonts w:ascii="Arial" w:hAnsi="Arial"/>
          <w:color w:val="231F20"/>
          <w:sz w:val="12"/>
        </w:rPr>
        <w:t>Québec</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Arsenault,</w:t>
      </w:r>
      <w:r>
        <w:rPr>
          <w:rFonts w:ascii="Arial" w:hAnsi="Arial"/>
          <w:color w:val="231F20"/>
          <w:spacing w:val="-2"/>
          <w:sz w:val="12"/>
        </w:rPr>
        <w:t> </w:t>
      </w:r>
      <w:r>
        <w:rPr>
          <w:rFonts w:ascii="Arial" w:hAnsi="Arial"/>
          <w:color w:val="231F20"/>
          <w:sz w:val="12"/>
        </w:rPr>
        <w:t>A. et Dolan, S. L. (1983). The role of personality, occupation and organization in under-</w:t>
      </w:r>
      <w:r>
        <w:rPr>
          <w:rFonts w:ascii="Arial" w:hAnsi="Arial"/>
          <w:color w:val="231F20"/>
          <w:spacing w:val="40"/>
          <w:w w:val="105"/>
          <w:sz w:val="12"/>
        </w:rPr>
        <w:t> </w:t>
      </w:r>
      <w:r>
        <w:rPr>
          <w:rFonts w:ascii="Arial" w:hAnsi="Arial"/>
          <w:color w:val="231F20"/>
          <w:w w:val="105"/>
          <w:sz w:val="12"/>
        </w:rPr>
        <w:t>standing the relationship between job stress, performance and absenteeism, </w:t>
      </w:r>
      <w:r>
        <w:rPr>
          <w:rFonts w:ascii="Arial" w:hAnsi="Arial"/>
          <w:i/>
          <w:color w:val="231F20"/>
          <w:w w:val="105"/>
          <w:sz w:val="12"/>
        </w:rPr>
        <w:t>Journal of Occupational</w:t>
      </w:r>
      <w:r>
        <w:rPr>
          <w:rFonts w:ascii="Arial" w:hAnsi="Arial"/>
          <w:i/>
          <w:color w:val="231F20"/>
          <w:spacing w:val="40"/>
          <w:w w:val="105"/>
          <w:sz w:val="12"/>
        </w:rPr>
        <w:t> </w:t>
      </w:r>
      <w:r>
        <w:rPr>
          <w:rFonts w:ascii="Arial" w:hAnsi="Arial"/>
          <w:i/>
          <w:color w:val="231F20"/>
          <w:sz w:val="12"/>
        </w:rPr>
        <w:t>Psychology</w:t>
      </w:r>
      <w:r>
        <w:rPr>
          <w:rFonts w:ascii="Arial" w:hAnsi="Arial"/>
          <w:color w:val="231F20"/>
          <w:sz w:val="12"/>
        </w:rPr>
        <w:t>,</w:t>
      </w:r>
      <w:r>
        <w:rPr>
          <w:rFonts w:ascii="Arial" w:hAnsi="Arial"/>
          <w:color w:val="231F20"/>
          <w:spacing w:val="-9"/>
          <w:sz w:val="12"/>
        </w:rPr>
        <w:t> </w:t>
      </w:r>
      <w:r>
        <w:rPr>
          <w:rFonts w:ascii="Arial" w:hAnsi="Arial"/>
          <w:i/>
          <w:color w:val="231F20"/>
          <w:sz w:val="12"/>
        </w:rPr>
        <w:t>56</w:t>
      </w:r>
      <w:r>
        <w:rPr>
          <w:rFonts w:ascii="Arial" w:hAnsi="Arial"/>
          <w:color w:val="231F20"/>
          <w:sz w:val="12"/>
        </w:rPr>
        <w:t>,</w:t>
      </w:r>
      <w:r>
        <w:rPr>
          <w:rFonts w:ascii="Arial" w:hAnsi="Arial"/>
          <w:color w:val="231F20"/>
          <w:spacing w:val="-8"/>
          <w:sz w:val="12"/>
        </w:rPr>
        <w:t> </w:t>
      </w:r>
      <w:r>
        <w:rPr>
          <w:rFonts w:ascii="Arial" w:hAnsi="Arial"/>
          <w:color w:val="231F20"/>
          <w:sz w:val="12"/>
        </w:rPr>
        <w:t>227-240</w:t>
      </w:r>
      <w:r>
        <w:rPr>
          <w:rFonts w:ascii="Arial" w:hAnsi="Arial"/>
          <w:color w:val="231F20"/>
          <w:spacing w:val="-8"/>
          <w:sz w:val="12"/>
        </w:rPr>
        <w:t> </w:t>
      </w:r>
      <w:r>
        <w:rPr>
          <w:rFonts w:ascii="Arial" w:hAnsi="Arial"/>
          <w:color w:val="231F20"/>
          <w:sz w:val="12"/>
        </w:rPr>
        <w:t>;</w:t>
      </w:r>
      <w:r>
        <w:rPr>
          <w:rFonts w:ascii="Arial" w:hAnsi="Arial"/>
          <w:color w:val="231F20"/>
          <w:spacing w:val="-9"/>
          <w:sz w:val="12"/>
        </w:rPr>
        <w:t> </w:t>
      </w:r>
      <w:r>
        <w:rPr>
          <w:rFonts w:ascii="Arial" w:hAnsi="Arial"/>
          <w:color w:val="231F20"/>
          <w:sz w:val="12"/>
        </w:rPr>
        <w:t>Dolan,</w:t>
      </w:r>
      <w:r>
        <w:rPr>
          <w:rFonts w:ascii="Arial" w:hAnsi="Arial"/>
          <w:color w:val="231F20"/>
          <w:spacing w:val="-4"/>
          <w:sz w:val="12"/>
        </w:rPr>
        <w:t> </w:t>
      </w:r>
      <w:r>
        <w:rPr>
          <w:rFonts w:ascii="Arial" w:hAnsi="Arial"/>
          <w:color w:val="231F20"/>
          <w:sz w:val="12"/>
        </w:rPr>
        <w:t>S.</w:t>
      </w:r>
      <w:r>
        <w:rPr>
          <w:rFonts w:ascii="Arial" w:hAnsi="Arial"/>
          <w:color w:val="231F20"/>
          <w:spacing w:val="-4"/>
          <w:sz w:val="12"/>
        </w:rPr>
        <w:t> </w:t>
      </w:r>
      <w:r>
        <w:rPr>
          <w:rFonts w:ascii="Arial" w:hAnsi="Arial"/>
          <w:color w:val="231F20"/>
          <w:sz w:val="12"/>
        </w:rPr>
        <w:t>L.</w:t>
      </w:r>
      <w:r>
        <w:rPr>
          <w:rFonts w:ascii="Arial" w:hAnsi="Arial"/>
          <w:color w:val="231F20"/>
          <w:spacing w:val="-4"/>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Arsenault,</w:t>
      </w:r>
      <w:r>
        <w:rPr>
          <w:rFonts w:ascii="Arial" w:hAnsi="Arial"/>
          <w:color w:val="231F20"/>
          <w:spacing w:val="-4"/>
          <w:sz w:val="12"/>
        </w:rPr>
        <w:t> </w:t>
      </w:r>
      <w:r>
        <w:rPr>
          <w:rFonts w:ascii="Arial" w:hAnsi="Arial"/>
          <w:color w:val="231F20"/>
          <w:sz w:val="12"/>
        </w:rPr>
        <w:t>A.</w:t>
      </w:r>
      <w:r>
        <w:rPr>
          <w:rFonts w:ascii="Arial" w:hAnsi="Arial"/>
          <w:color w:val="231F20"/>
          <w:spacing w:val="-4"/>
          <w:sz w:val="12"/>
        </w:rPr>
        <w:t> </w:t>
      </w:r>
      <w:r>
        <w:rPr>
          <w:rFonts w:ascii="Arial" w:hAnsi="Arial"/>
          <w:color w:val="231F20"/>
          <w:sz w:val="12"/>
        </w:rPr>
        <w:t>(1984).</w:t>
      </w:r>
      <w:r>
        <w:rPr>
          <w:rFonts w:ascii="Arial" w:hAnsi="Arial"/>
          <w:color w:val="231F20"/>
          <w:spacing w:val="-4"/>
          <w:sz w:val="12"/>
        </w:rPr>
        <w:t> </w:t>
      </w:r>
      <w:r>
        <w:rPr>
          <w:rFonts w:ascii="Arial" w:hAnsi="Arial"/>
          <w:color w:val="231F20"/>
          <w:sz w:val="12"/>
        </w:rPr>
        <w:t>Job</w:t>
      </w:r>
      <w:r>
        <w:rPr>
          <w:rFonts w:ascii="Arial" w:hAnsi="Arial"/>
          <w:color w:val="231F20"/>
          <w:spacing w:val="-4"/>
          <w:sz w:val="12"/>
        </w:rPr>
        <w:t> </w:t>
      </w:r>
      <w:r>
        <w:rPr>
          <w:rFonts w:ascii="Arial" w:hAnsi="Arial"/>
          <w:color w:val="231F20"/>
          <w:sz w:val="12"/>
        </w:rPr>
        <w:t>demands,</w:t>
      </w:r>
      <w:r>
        <w:rPr>
          <w:rFonts w:ascii="Arial" w:hAnsi="Arial"/>
          <w:color w:val="231F20"/>
          <w:spacing w:val="-4"/>
          <w:sz w:val="12"/>
        </w:rPr>
        <w:t> </w:t>
      </w:r>
      <w:r>
        <w:rPr>
          <w:rFonts w:ascii="Arial" w:hAnsi="Arial"/>
          <w:color w:val="231F20"/>
          <w:sz w:val="12"/>
        </w:rPr>
        <w:t>related</w:t>
      </w:r>
      <w:r>
        <w:rPr>
          <w:rFonts w:ascii="Arial" w:hAnsi="Arial"/>
          <w:color w:val="231F20"/>
          <w:spacing w:val="-4"/>
          <w:sz w:val="12"/>
        </w:rPr>
        <w:t> </w:t>
      </w:r>
      <w:r>
        <w:rPr>
          <w:rFonts w:ascii="Arial" w:hAnsi="Arial"/>
          <w:color w:val="231F20"/>
          <w:sz w:val="12"/>
        </w:rPr>
        <w:t>cognitions,</w:t>
      </w:r>
      <w:r>
        <w:rPr>
          <w:rFonts w:ascii="Arial" w:hAnsi="Arial"/>
          <w:color w:val="231F20"/>
          <w:spacing w:val="-4"/>
          <w:sz w:val="12"/>
        </w:rPr>
        <w:t> </w:t>
      </w:r>
      <w:r>
        <w:rPr>
          <w:rFonts w:ascii="Arial" w:hAnsi="Arial"/>
          <w:color w:val="231F20"/>
          <w:sz w:val="12"/>
        </w:rPr>
        <w:t>and</w:t>
      </w:r>
      <w:r>
        <w:rPr>
          <w:rFonts w:ascii="Arial" w:hAnsi="Arial"/>
          <w:color w:val="231F20"/>
          <w:spacing w:val="-4"/>
          <w:sz w:val="12"/>
        </w:rPr>
        <w:t> </w:t>
      </w:r>
      <w:r>
        <w:rPr>
          <w:rFonts w:ascii="Arial" w:hAnsi="Arial"/>
          <w:color w:val="231F20"/>
          <w:sz w:val="12"/>
        </w:rPr>
        <w:t>psycho-</w:t>
      </w:r>
      <w:r>
        <w:rPr>
          <w:rFonts w:ascii="Arial" w:hAnsi="Arial"/>
          <w:color w:val="231F20"/>
          <w:spacing w:val="40"/>
          <w:sz w:val="12"/>
        </w:rPr>
        <w:t> </w:t>
      </w:r>
      <w:r>
        <w:rPr>
          <w:rFonts w:ascii="Arial" w:hAnsi="Arial"/>
          <w:color w:val="231F20"/>
          <w:sz w:val="12"/>
        </w:rPr>
        <w:t>somatic ailments. Dans R. Schwarzer (dir.), </w:t>
      </w:r>
      <w:r>
        <w:rPr>
          <w:rFonts w:ascii="Arial" w:hAnsi="Arial"/>
          <w:i/>
          <w:color w:val="231F20"/>
          <w:sz w:val="12"/>
        </w:rPr>
        <w:t>The Self in Anxiety, Stress and Depression</w:t>
      </w:r>
      <w:r>
        <w:rPr>
          <w:rFonts w:ascii="Arial" w:hAnsi="Arial"/>
          <w:color w:val="231F20"/>
          <w:sz w:val="12"/>
        </w:rPr>
        <w:t>, Amsterdam, North-</w:t>
      </w:r>
      <w:r>
        <w:rPr>
          <w:rFonts w:ascii="Arial" w:hAnsi="Arial"/>
          <w:color w:val="231F20"/>
          <w:spacing w:val="40"/>
          <w:sz w:val="12"/>
        </w:rPr>
        <w:t> </w:t>
      </w:r>
      <w:r>
        <w:rPr>
          <w:rFonts w:ascii="Arial" w:hAnsi="Arial"/>
          <w:color w:val="231F20"/>
          <w:spacing w:val="-2"/>
          <w:sz w:val="12"/>
        </w:rPr>
        <w:t>Holland</w:t>
      </w:r>
      <w:r>
        <w:rPr>
          <w:rFonts w:ascii="Arial" w:hAnsi="Arial"/>
          <w:color w:val="231F20"/>
          <w:spacing w:val="-7"/>
          <w:sz w:val="12"/>
        </w:rPr>
        <w:t> </w:t>
      </w:r>
      <w:r>
        <w:rPr>
          <w:rFonts w:ascii="Arial" w:hAnsi="Arial"/>
          <w:color w:val="231F20"/>
          <w:spacing w:val="-2"/>
          <w:sz w:val="12"/>
        </w:rPr>
        <w:t>Elsevier</w:t>
      </w:r>
      <w:r>
        <w:rPr>
          <w:rFonts w:ascii="Arial" w:hAnsi="Arial"/>
          <w:color w:val="231F20"/>
          <w:spacing w:val="-6"/>
          <w:sz w:val="12"/>
        </w:rPr>
        <w:t> </w:t>
      </w:r>
      <w:r>
        <w:rPr>
          <w:rFonts w:ascii="Arial" w:hAnsi="Arial"/>
          <w:color w:val="231F20"/>
          <w:spacing w:val="-2"/>
          <w:sz w:val="12"/>
        </w:rPr>
        <w:t>Science Publishers, p. 265-282</w:t>
      </w:r>
      <w:r>
        <w:rPr>
          <w:rFonts w:ascii="Arial" w:hAnsi="Arial"/>
          <w:color w:val="231F20"/>
          <w:spacing w:val="-7"/>
          <w:sz w:val="12"/>
        </w:rPr>
        <w:t> </w:t>
      </w:r>
      <w:r>
        <w:rPr>
          <w:rFonts w:ascii="Arial" w:hAnsi="Arial"/>
          <w:color w:val="231F20"/>
          <w:spacing w:val="-2"/>
          <w:sz w:val="12"/>
        </w:rPr>
        <w:t>; Arsenault, A., Dolan, S. L. et Ameringen, M. R. (1991). Stress</w:t>
      </w:r>
      <w:r>
        <w:rPr>
          <w:rFonts w:ascii="Arial" w:hAnsi="Arial"/>
          <w:color w:val="231F20"/>
          <w:spacing w:val="40"/>
          <w:sz w:val="12"/>
        </w:rPr>
        <w:t> </w:t>
      </w:r>
      <w:r>
        <w:rPr>
          <w:rFonts w:ascii="Arial" w:hAnsi="Arial"/>
          <w:color w:val="231F20"/>
          <w:sz w:val="12"/>
        </w:rPr>
        <w:t>and mental strain in hospital work: Exploring the relationship beyond personality, </w:t>
      </w:r>
      <w:r>
        <w:rPr>
          <w:rFonts w:ascii="Arial" w:hAnsi="Arial"/>
          <w:i/>
          <w:color w:val="231F20"/>
          <w:sz w:val="12"/>
        </w:rPr>
        <w:t>Journal of Organizational</w:t>
      </w:r>
      <w:r>
        <w:rPr>
          <w:rFonts w:ascii="Arial" w:hAnsi="Arial"/>
          <w:i/>
          <w:color w:val="231F20"/>
          <w:spacing w:val="40"/>
          <w:w w:val="105"/>
          <w:sz w:val="12"/>
        </w:rPr>
        <w:t> </w:t>
      </w:r>
      <w:r>
        <w:rPr>
          <w:rFonts w:ascii="Arial" w:hAnsi="Arial"/>
          <w:i/>
          <w:color w:val="231F20"/>
          <w:w w:val="105"/>
          <w:sz w:val="12"/>
        </w:rPr>
        <w:t>Behavior</w:t>
      </w:r>
      <w:r>
        <w:rPr>
          <w:rFonts w:ascii="Arial" w:hAnsi="Arial"/>
          <w:color w:val="231F20"/>
          <w:w w:val="105"/>
          <w:sz w:val="12"/>
        </w:rPr>
        <w:t>, </w:t>
      </w:r>
      <w:r>
        <w:rPr>
          <w:rFonts w:ascii="Arial" w:hAnsi="Arial"/>
          <w:i/>
          <w:color w:val="231F20"/>
          <w:w w:val="105"/>
          <w:sz w:val="12"/>
        </w:rPr>
        <w:t>12</w:t>
      </w:r>
      <w:r>
        <w:rPr>
          <w:rFonts w:ascii="Arial" w:hAnsi="Arial"/>
          <w:color w:val="231F20"/>
          <w:w w:val="105"/>
          <w:sz w:val="12"/>
        </w:rPr>
        <w:t>, 483-493.</w:t>
      </w:r>
    </w:p>
    <w:p>
      <w:pPr>
        <w:spacing w:after="0" w:line="295" w:lineRule="auto"/>
        <w:jc w:val="both"/>
        <w:rPr>
          <w:rFonts w:ascii="Arial" w:hAnsi="Arial"/>
          <w:sz w:val="12"/>
        </w:rPr>
        <w:sectPr>
          <w:type w:val="continuous"/>
          <w:pgSz w:w="8640" w:h="12960"/>
          <w:pgMar w:header="0" w:footer="424" w:top="1220" w:bottom="28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16"/>
        </w:rPr>
      </w:pPr>
      <w:r>
        <w:rPr/>
        <w:pict>
          <v:group style="position:absolute;margin-left:82pt;margin-top:10.928614pt;width:287.5pt;height:.25pt;mso-position-horizontal-relative:page;mso-position-vertical-relative:paragraph;z-index:-15662592;mso-wrap-distance-left:0;mso-wrap-distance-right:0" id="docshapegroup803" coordorigin="1640,219" coordsize="5750,5">
            <v:line style="position:absolute" from="1640,221" to="4515,221" stroked="true" strokeweight=".25pt" strokecolor="#231f20">
              <v:stroke dashstyle="solid"/>
            </v:line>
            <v:line style="position:absolute" from="4515,221" to="7390,221" stroked="true" strokeweight=".25pt" strokecolor="#231f20">
              <v:stroke dashstyle="solid"/>
            </v:line>
            <w10:wrap type="topAndBottom"/>
          </v:group>
        </w:pict>
      </w:r>
    </w:p>
    <w:p>
      <w:pPr>
        <w:spacing w:before="57"/>
        <w:ind w:left="1300" w:right="0" w:firstLine="0"/>
        <w:jc w:val="left"/>
        <w:rPr>
          <w:rFonts w:ascii="Arial"/>
          <w:b/>
          <w:sz w:val="14"/>
        </w:rPr>
      </w:pPr>
      <w:r>
        <w:rPr>
          <w:rFonts w:ascii="Arial"/>
          <w:b/>
          <w:color w:val="231F20"/>
          <w:w w:val="90"/>
          <w:sz w:val="14"/>
        </w:rPr>
        <w:t>Signes</w:t>
      </w:r>
      <w:r>
        <w:rPr>
          <w:rFonts w:ascii="Arial"/>
          <w:b/>
          <w:color w:val="231F20"/>
          <w:spacing w:val="-5"/>
          <w:w w:val="90"/>
          <w:sz w:val="14"/>
        </w:rPr>
        <w:t> </w:t>
      </w:r>
      <w:r>
        <w:rPr>
          <w:rFonts w:ascii="Arial"/>
          <w:b/>
          <w:color w:val="231F20"/>
          <w:spacing w:val="-2"/>
          <w:sz w:val="14"/>
        </w:rPr>
        <w:t>physiques</w:t>
      </w:r>
    </w:p>
    <w:p>
      <w:pPr>
        <w:spacing w:before="20"/>
        <w:ind w:left="1300" w:right="0" w:firstLine="0"/>
        <w:jc w:val="left"/>
        <w:rPr>
          <w:rFonts w:ascii="Arial" w:hAnsi="Arial"/>
          <w:i/>
          <w:sz w:val="14"/>
        </w:rPr>
      </w:pPr>
      <w:r>
        <w:rPr>
          <w:rFonts w:ascii="Arial" w:hAnsi="Arial"/>
          <w:i/>
          <w:color w:val="231F20"/>
          <w:w w:val="95"/>
          <w:sz w:val="14"/>
        </w:rPr>
        <w:t>(Cochez</w:t>
      </w:r>
      <w:r>
        <w:rPr>
          <w:rFonts w:ascii="Arial" w:hAnsi="Arial"/>
          <w:i/>
          <w:color w:val="231F20"/>
          <w:spacing w:val="-2"/>
          <w:w w:val="95"/>
          <w:sz w:val="14"/>
        </w:rPr>
        <w:t> </w:t>
      </w:r>
      <w:r>
        <w:rPr>
          <w:rFonts w:ascii="Arial" w:hAnsi="Arial"/>
          <w:i/>
          <w:color w:val="231F20"/>
          <w:w w:val="95"/>
          <w:sz w:val="14"/>
        </w:rPr>
        <w:t>les</w:t>
      </w:r>
      <w:r>
        <w:rPr>
          <w:rFonts w:ascii="Arial" w:hAnsi="Arial"/>
          <w:i/>
          <w:color w:val="231F20"/>
          <w:spacing w:val="-2"/>
          <w:w w:val="95"/>
          <w:sz w:val="14"/>
        </w:rPr>
        <w:t> </w:t>
      </w:r>
      <w:r>
        <w:rPr>
          <w:rFonts w:ascii="Arial" w:hAnsi="Arial"/>
          <w:i/>
          <w:color w:val="231F20"/>
          <w:w w:val="95"/>
          <w:sz w:val="14"/>
        </w:rPr>
        <w:t>cases</w:t>
      </w:r>
      <w:r>
        <w:rPr>
          <w:rFonts w:ascii="Arial" w:hAnsi="Arial"/>
          <w:i/>
          <w:color w:val="231F20"/>
          <w:spacing w:val="-2"/>
          <w:w w:val="95"/>
          <w:sz w:val="14"/>
        </w:rPr>
        <w:t> </w:t>
      </w:r>
      <w:r>
        <w:rPr>
          <w:rFonts w:ascii="Arial" w:hAnsi="Arial"/>
          <w:i/>
          <w:color w:val="231F20"/>
          <w:w w:val="95"/>
          <w:sz w:val="14"/>
        </w:rPr>
        <w:t>correspondant</w:t>
      </w:r>
      <w:r>
        <w:rPr>
          <w:rFonts w:ascii="Arial" w:hAnsi="Arial"/>
          <w:i/>
          <w:color w:val="231F20"/>
          <w:spacing w:val="-2"/>
          <w:w w:val="95"/>
          <w:sz w:val="14"/>
        </w:rPr>
        <w:t> </w:t>
      </w:r>
      <w:r>
        <w:rPr>
          <w:rFonts w:ascii="Arial" w:hAnsi="Arial"/>
          <w:i/>
          <w:color w:val="231F20"/>
          <w:w w:val="95"/>
          <w:sz w:val="14"/>
        </w:rPr>
        <w:t>aux</w:t>
      </w:r>
      <w:r>
        <w:rPr>
          <w:rFonts w:ascii="Arial" w:hAnsi="Arial"/>
          <w:i/>
          <w:color w:val="231F20"/>
          <w:spacing w:val="-1"/>
          <w:w w:val="95"/>
          <w:sz w:val="14"/>
        </w:rPr>
        <w:t> </w:t>
      </w:r>
      <w:r>
        <w:rPr>
          <w:rFonts w:ascii="Arial" w:hAnsi="Arial"/>
          <w:i/>
          <w:color w:val="231F20"/>
          <w:w w:val="95"/>
          <w:sz w:val="14"/>
        </w:rPr>
        <w:t>symptômes</w:t>
      </w:r>
      <w:r>
        <w:rPr>
          <w:rFonts w:ascii="Arial" w:hAnsi="Arial"/>
          <w:i/>
          <w:color w:val="231F20"/>
          <w:spacing w:val="-2"/>
          <w:w w:val="95"/>
          <w:sz w:val="14"/>
        </w:rPr>
        <w:t> </w:t>
      </w:r>
      <w:r>
        <w:rPr>
          <w:rFonts w:ascii="Arial-BoldItalicMT" w:hAnsi="Arial-BoldItalicMT"/>
          <w:b/>
          <w:i/>
          <w:color w:val="231F20"/>
          <w:w w:val="95"/>
          <w:sz w:val="14"/>
        </w:rPr>
        <w:t>fréquents</w:t>
      </w:r>
      <w:r>
        <w:rPr>
          <w:rFonts w:ascii="Arial-BoldItalicMT" w:hAnsi="Arial-BoldItalicMT"/>
          <w:b/>
          <w:i/>
          <w:color w:val="231F20"/>
          <w:spacing w:val="-6"/>
          <w:w w:val="95"/>
          <w:sz w:val="14"/>
        </w:rPr>
        <w:t> </w:t>
      </w:r>
      <w:r>
        <w:rPr>
          <w:rFonts w:ascii="Arial" w:hAnsi="Arial"/>
          <w:i/>
          <w:color w:val="231F20"/>
          <w:w w:val="95"/>
          <w:sz w:val="14"/>
        </w:rPr>
        <w:t>ou</w:t>
      </w:r>
      <w:r>
        <w:rPr>
          <w:rFonts w:ascii="Arial" w:hAnsi="Arial"/>
          <w:i/>
          <w:color w:val="231F20"/>
          <w:spacing w:val="-6"/>
          <w:w w:val="95"/>
          <w:sz w:val="14"/>
        </w:rPr>
        <w:t> </w:t>
      </w:r>
      <w:r>
        <w:rPr>
          <w:rFonts w:ascii="Arial-BoldItalicMT" w:hAnsi="Arial-BoldItalicMT"/>
          <w:b/>
          <w:i/>
          <w:color w:val="231F20"/>
          <w:spacing w:val="-2"/>
          <w:w w:val="95"/>
          <w:sz w:val="14"/>
        </w:rPr>
        <w:t>graves</w:t>
      </w:r>
      <w:r>
        <w:rPr>
          <w:rFonts w:ascii="Arial" w:hAnsi="Arial"/>
          <w:i/>
          <w:color w:val="231F20"/>
          <w:spacing w:val="-2"/>
          <w:w w:val="95"/>
          <w:sz w:val="14"/>
        </w:rPr>
        <w:t>)</w:t>
      </w:r>
    </w:p>
    <w:p>
      <w:pPr>
        <w:spacing w:after="0"/>
        <w:jc w:val="left"/>
        <w:rPr>
          <w:rFonts w:ascii="Arial" w:hAnsi="Arial"/>
          <w:sz w:val="14"/>
        </w:rPr>
        <w:sectPr>
          <w:footerReference w:type="default" r:id="rId229"/>
          <w:pgSz w:w="8640" w:h="12960"/>
          <w:pgMar w:footer="424" w:header="0" w:top="500" w:bottom="620" w:left="420" w:right="1140"/>
        </w:sectPr>
      </w:pPr>
    </w:p>
    <w:p>
      <w:pPr>
        <w:spacing w:before="110"/>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Mains</w:t>
      </w:r>
      <w:r>
        <w:rPr>
          <w:rFonts w:ascii="Arial" w:hAnsi="Arial"/>
          <w:color w:val="231F20"/>
          <w:spacing w:val="-10"/>
          <w:sz w:val="14"/>
        </w:rPr>
        <w:t> </w:t>
      </w:r>
      <w:r>
        <w:rPr>
          <w:rFonts w:ascii="Arial" w:hAnsi="Arial"/>
          <w:color w:val="231F20"/>
          <w:spacing w:val="-2"/>
          <w:sz w:val="14"/>
        </w:rPr>
        <w:t>moites</w:t>
      </w:r>
    </w:p>
    <w:p>
      <w:pPr>
        <w:spacing w:before="99"/>
        <w:ind w:left="1300" w:right="0" w:firstLine="0"/>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Tremblement</w:t>
      </w:r>
      <w:r>
        <w:rPr>
          <w:rFonts w:ascii="Arial" w:hAnsi="Arial"/>
          <w:color w:val="231F20"/>
          <w:spacing w:val="-5"/>
          <w:sz w:val="14"/>
        </w:rPr>
        <w:t> </w:t>
      </w:r>
      <w:r>
        <w:rPr>
          <w:rFonts w:ascii="Arial" w:hAnsi="Arial"/>
          <w:color w:val="231F20"/>
          <w:sz w:val="14"/>
        </w:rPr>
        <w:t>des</w:t>
      </w:r>
      <w:r>
        <w:rPr>
          <w:rFonts w:ascii="Arial" w:hAnsi="Arial"/>
          <w:color w:val="231F20"/>
          <w:spacing w:val="-4"/>
          <w:sz w:val="14"/>
        </w:rPr>
        <w:t> </w:t>
      </w:r>
      <w:r>
        <w:rPr>
          <w:rFonts w:ascii="Arial" w:hAnsi="Arial"/>
          <w:color w:val="231F20"/>
          <w:spacing w:val="-2"/>
          <w:sz w:val="14"/>
        </w:rPr>
        <w:t>mains</w:t>
      </w:r>
    </w:p>
    <w:p>
      <w:pPr>
        <w:spacing w:before="9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Nœud</w:t>
      </w:r>
      <w:r>
        <w:rPr>
          <w:rFonts w:ascii="Arial" w:hAnsi="Arial"/>
          <w:color w:val="231F20"/>
          <w:spacing w:val="-9"/>
          <w:sz w:val="14"/>
        </w:rPr>
        <w:t> </w:t>
      </w:r>
      <w:r>
        <w:rPr>
          <w:rFonts w:ascii="Arial" w:hAnsi="Arial"/>
          <w:color w:val="231F20"/>
          <w:sz w:val="14"/>
        </w:rPr>
        <w:t>dans</w:t>
      </w:r>
      <w:r>
        <w:rPr>
          <w:rFonts w:ascii="Arial" w:hAnsi="Arial"/>
          <w:color w:val="231F20"/>
          <w:spacing w:val="-10"/>
          <w:sz w:val="14"/>
        </w:rPr>
        <w:t> </w:t>
      </w:r>
      <w:r>
        <w:rPr>
          <w:rFonts w:ascii="Arial" w:hAnsi="Arial"/>
          <w:color w:val="231F20"/>
          <w:spacing w:val="-2"/>
          <w:sz w:val="14"/>
        </w:rPr>
        <w:t>l’estomac</w:t>
      </w:r>
    </w:p>
    <w:p>
      <w:pPr>
        <w:spacing w:before="99"/>
        <w:ind w:left="1300"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Papillons</w:t>
      </w:r>
      <w:r>
        <w:rPr>
          <w:rFonts w:ascii="Arial" w:hAnsi="Arial"/>
          <w:color w:val="231F20"/>
          <w:spacing w:val="-8"/>
          <w:sz w:val="14"/>
        </w:rPr>
        <w:t> </w:t>
      </w:r>
      <w:r>
        <w:rPr>
          <w:rFonts w:ascii="Arial" w:hAnsi="Arial"/>
          <w:color w:val="231F20"/>
          <w:sz w:val="14"/>
        </w:rPr>
        <w:t>dans</w:t>
      </w:r>
      <w:r>
        <w:rPr>
          <w:rFonts w:ascii="Arial" w:hAnsi="Arial"/>
          <w:color w:val="231F20"/>
          <w:spacing w:val="-8"/>
          <w:sz w:val="14"/>
        </w:rPr>
        <w:t> </w:t>
      </w:r>
      <w:r>
        <w:rPr>
          <w:rFonts w:ascii="Arial" w:hAnsi="Arial"/>
          <w:color w:val="231F20"/>
          <w:spacing w:val="-2"/>
          <w:sz w:val="14"/>
        </w:rPr>
        <w:t>l’estomac</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Hyperventilation</w:t>
      </w:r>
    </w:p>
    <w:p>
      <w:pPr>
        <w:spacing w:before="9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Respiration</w:t>
      </w:r>
      <w:r>
        <w:rPr>
          <w:rFonts w:ascii="Arial" w:hAnsi="Arial"/>
          <w:color w:val="231F20"/>
          <w:spacing w:val="-10"/>
          <w:sz w:val="14"/>
        </w:rPr>
        <w:t> </w:t>
      </w:r>
      <w:r>
        <w:rPr>
          <w:rFonts w:ascii="Arial" w:hAnsi="Arial"/>
          <w:color w:val="231F20"/>
          <w:spacing w:val="-2"/>
          <w:sz w:val="14"/>
        </w:rPr>
        <w:t>erratique</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Palpitations</w:t>
      </w:r>
    </w:p>
    <w:p>
      <w:pPr>
        <w:spacing w:before="9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Pouls</w:t>
      </w:r>
      <w:r>
        <w:rPr>
          <w:rFonts w:ascii="Arial" w:hAnsi="Arial"/>
          <w:color w:val="231F20"/>
          <w:spacing w:val="-9"/>
          <w:sz w:val="14"/>
        </w:rPr>
        <w:t> </w:t>
      </w:r>
      <w:r>
        <w:rPr>
          <w:rFonts w:ascii="Arial" w:hAnsi="Arial"/>
          <w:color w:val="231F20"/>
          <w:spacing w:val="-2"/>
          <w:sz w:val="14"/>
        </w:rPr>
        <w:t>rapide</w:t>
      </w:r>
    </w:p>
    <w:p>
      <w:pPr>
        <w:spacing w:before="99"/>
        <w:ind w:left="1300" w:right="0" w:firstLine="0"/>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pacing w:val="-2"/>
          <w:sz w:val="14"/>
        </w:rPr>
        <w:t>Vertige</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Évanouissement</w:t>
      </w:r>
    </w:p>
    <w:p>
      <w:pPr>
        <w:spacing w:line="268" w:lineRule="auto" w:before="99"/>
        <w:ind w:left="1460" w:right="0" w:hanging="161"/>
        <w:jc w:val="left"/>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Acouphènes</w:t>
      </w:r>
      <w:r>
        <w:rPr>
          <w:rFonts w:ascii="Arial" w:hAnsi="Arial"/>
          <w:color w:val="231F20"/>
          <w:spacing w:val="-10"/>
          <w:sz w:val="14"/>
        </w:rPr>
        <w:t> </w:t>
      </w:r>
      <w:r>
        <w:rPr>
          <w:rFonts w:ascii="Arial" w:hAnsi="Arial"/>
          <w:color w:val="231F20"/>
          <w:sz w:val="14"/>
        </w:rPr>
        <w:t>(bourdonnements</w:t>
      </w:r>
      <w:r>
        <w:rPr>
          <w:rFonts w:ascii="Arial" w:hAnsi="Arial"/>
          <w:color w:val="231F20"/>
          <w:spacing w:val="40"/>
          <w:sz w:val="14"/>
        </w:rPr>
        <w:t> </w:t>
      </w:r>
      <w:r>
        <w:rPr>
          <w:rFonts w:ascii="Arial" w:hAnsi="Arial"/>
          <w:color w:val="231F20"/>
          <w:spacing w:val="-2"/>
          <w:sz w:val="14"/>
        </w:rPr>
        <w:t>d’oreilles)</w:t>
      </w:r>
    </w:p>
    <w:p>
      <w:pPr>
        <w:spacing w:before="7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Difficulté</w:t>
      </w:r>
      <w:r>
        <w:rPr>
          <w:rFonts w:ascii="Arial" w:hAnsi="Arial"/>
          <w:color w:val="231F20"/>
          <w:spacing w:val="2"/>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avaler</w:t>
      </w:r>
    </w:p>
    <w:p>
      <w:pPr>
        <w:spacing w:before="99"/>
        <w:ind w:left="1300"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Boule</w:t>
      </w:r>
      <w:r>
        <w:rPr>
          <w:rFonts w:ascii="Arial" w:hAnsi="Arial"/>
          <w:color w:val="231F20"/>
          <w:spacing w:val="-6"/>
          <w:sz w:val="14"/>
        </w:rPr>
        <w:t> </w:t>
      </w:r>
      <w:r>
        <w:rPr>
          <w:rFonts w:ascii="Arial" w:hAnsi="Arial"/>
          <w:color w:val="231F20"/>
          <w:sz w:val="14"/>
        </w:rPr>
        <w:t>dans</w:t>
      </w:r>
      <w:r>
        <w:rPr>
          <w:rFonts w:ascii="Arial" w:hAnsi="Arial"/>
          <w:color w:val="231F20"/>
          <w:spacing w:val="-7"/>
          <w:sz w:val="14"/>
        </w:rPr>
        <w:t> </w:t>
      </w:r>
      <w:r>
        <w:rPr>
          <w:rFonts w:ascii="Arial" w:hAnsi="Arial"/>
          <w:color w:val="231F20"/>
          <w:sz w:val="14"/>
        </w:rPr>
        <w:t>la</w:t>
      </w:r>
      <w:r>
        <w:rPr>
          <w:rFonts w:ascii="Arial" w:hAnsi="Arial"/>
          <w:color w:val="231F20"/>
          <w:spacing w:val="-6"/>
          <w:sz w:val="14"/>
        </w:rPr>
        <w:t> </w:t>
      </w:r>
      <w:r>
        <w:rPr>
          <w:rFonts w:ascii="Arial" w:hAnsi="Arial"/>
          <w:color w:val="231F20"/>
          <w:spacing w:val="-2"/>
          <w:sz w:val="14"/>
        </w:rPr>
        <w:t>gorge</w:t>
      </w:r>
    </w:p>
    <w:p>
      <w:pPr>
        <w:spacing w:before="9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Maux</w:t>
      </w:r>
      <w:r>
        <w:rPr>
          <w:rFonts w:ascii="Arial" w:hAnsi="Arial"/>
          <w:color w:val="231F20"/>
          <w:spacing w:val="2"/>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gorge,</w:t>
      </w:r>
      <w:r>
        <w:rPr>
          <w:rFonts w:ascii="Arial" w:hAnsi="Arial"/>
          <w:color w:val="231F20"/>
          <w:spacing w:val="2"/>
          <w:sz w:val="14"/>
        </w:rPr>
        <w:t> </w:t>
      </w:r>
      <w:r>
        <w:rPr>
          <w:rFonts w:ascii="Arial" w:hAnsi="Arial"/>
          <w:color w:val="231F20"/>
          <w:sz w:val="14"/>
        </w:rPr>
        <w:t>irritation</w:t>
      </w:r>
      <w:r>
        <w:rPr>
          <w:rFonts w:ascii="Arial" w:hAnsi="Arial"/>
          <w:color w:val="231F20"/>
          <w:spacing w:val="3"/>
          <w:sz w:val="14"/>
        </w:rPr>
        <w:t> </w:t>
      </w:r>
      <w:r>
        <w:rPr>
          <w:rFonts w:ascii="Arial" w:hAnsi="Arial"/>
          <w:color w:val="231F20"/>
          <w:sz w:val="14"/>
        </w:rPr>
        <w:t>de</w:t>
      </w:r>
      <w:r>
        <w:rPr>
          <w:rFonts w:ascii="Arial" w:hAnsi="Arial"/>
          <w:color w:val="231F20"/>
          <w:spacing w:val="2"/>
          <w:sz w:val="14"/>
        </w:rPr>
        <w:t> </w:t>
      </w:r>
      <w:r>
        <w:rPr>
          <w:rFonts w:ascii="Arial" w:hAnsi="Arial"/>
          <w:color w:val="231F20"/>
          <w:sz w:val="14"/>
        </w:rPr>
        <w:t>la</w:t>
      </w:r>
      <w:r>
        <w:rPr>
          <w:rFonts w:ascii="Arial" w:hAnsi="Arial"/>
          <w:color w:val="231F20"/>
          <w:spacing w:val="2"/>
          <w:sz w:val="14"/>
        </w:rPr>
        <w:t> </w:t>
      </w:r>
      <w:r>
        <w:rPr>
          <w:rFonts w:ascii="Arial" w:hAnsi="Arial"/>
          <w:color w:val="231F20"/>
          <w:spacing w:val="-4"/>
          <w:sz w:val="14"/>
        </w:rPr>
        <w:t>gorge</w:t>
      </w:r>
    </w:p>
    <w:p>
      <w:pPr>
        <w:spacing w:before="99"/>
        <w:ind w:left="1300"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Hypertrophie</w:t>
      </w:r>
      <w:r>
        <w:rPr>
          <w:rFonts w:ascii="Arial" w:hAnsi="Arial"/>
          <w:color w:val="231F20"/>
          <w:spacing w:val="-1"/>
          <w:sz w:val="14"/>
        </w:rPr>
        <w:t> </w:t>
      </w:r>
      <w:r>
        <w:rPr>
          <w:rFonts w:ascii="Arial" w:hAnsi="Arial"/>
          <w:color w:val="231F20"/>
          <w:sz w:val="14"/>
        </w:rPr>
        <w:t>des</w:t>
      </w:r>
      <w:r>
        <w:rPr>
          <w:rFonts w:ascii="Arial" w:hAnsi="Arial"/>
          <w:color w:val="231F20"/>
          <w:spacing w:val="-1"/>
          <w:sz w:val="14"/>
        </w:rPr>
        <w:t> </w:t>
      </w:r>
      <w:r>
        <w:rPr>
          <w:rFonts w:ascii="Arial" w:hAnsi="Arial"/>
          <w:color w:val="231F20"/>
          <w:sz w:val="14"/>
        </w:rPr>
        <w:t>glandes</w:t>
      </w:r>
      <w:r>
        <w:rPr>
          <w:rFonts w:ascii="Arial" w:hAnsi="Arial"/>
          <w:color w:val="231F20"/>
          <w:spacing w:val="-1"/>
          <w:sz w:val="14"/>
        </w:rPr>
        <w:t> </w:t>
      </w:r>
      <w:r>
        <w:rPr>
          <w:rFonts w:ascii="Arial" w:hAnsi="Arial"/>
          <w:color w:val="231F20"/>
          <w:sz w:val="14"/>
        </w:rPr>
        <w:t>du</w:t>
      </w:r>
      <w:r>
        <w:rPr>
          <w:rFonts w:ascii="Arial" w:hAnsi="Arial"/>
          <w:color w:val="231F20"/>
          <w:spacing w:val="-1"/>
          <w:sz w:val="14"/>
        </w:rPr>
        <w:t> </w:t>
      </w:r>
      <w:r>
        <w:rPr>
          <w:rFonts w:ascii="Arial" w:hAnsi="Arial"/>
          <w:color w:val="231F20"/>
          <w:spacing w:val="-5"/>
          <w:sz w:val="14"/>
        </w:rPr>
        <w:t>cou</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z w:val="14"/>
        </w:rPr>
        <w:t>Timbre</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voix</w:t>
      </w:r>
      <w:r>
        <w:rPr>
          <w:rFonts w:ascii="Arial" w:hAnsi="Arial"/>
          <w:color w:val="231F20"/>
          <w:spacing w:val="-3"/>
          <w:sz w:val="14"/>
        </w:rPr>
        <w:t> </w:t>
      </w:r>
      <w:r>
        <w:rPr>
          <w:rFonts w:ascii="Arial" w:hAnsi="Arial"/>
          <w:color w:val="231F20"/>
          <w:spacing w:val="-4"/>
          <w:sz w:val="14"/>
        </w:rPr>
        <w:t>aigu</w:t>
      </w:r>
    </w:p>
    <w:p>
      <w:pPr>
        <w:spacing w:before="99"/>
        <w:ind w:left="1300" w:right="0" w:firstLine="0"/>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Débit</w:t>
      </w:r>
      <w:r>
        <w:rPr>
          <w:rFonts w:ascii="Arial" w:hAnsi="Arial"/>
          <w:color w:val="231F20"/>
          <w:spacing w:val="-4"/>
          <w:sz w:val="14"/>
        </w:rPr>
        <w:t> </w:t>
      </w:r>
      <w:r>
        <w:rPr>
          <w:rFonts w:ascii="Arial" w:hAnsi="Arial"/>
          <w:color w:val="231F20"/>
          <w:sz w:val="14"/>
        </w:rPr>
        <w:t>accéléré</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pacing w:val="-4"/>
          <w:sz w:val="14"/>
        </w:rPr>
        <w:t>voix</w:t>
      </w:r>
    </w:p>
    <w:p>
      <w:pPr>
        <w:spacing w:before="99"/>
        <w:ind w:left="1300" w:right="0" w:firstLine="0"/>
        <w:jc w:val="left"/>
        <w:rPr>
          <w:rFonts w:ascii="Arial" w:hAnsi="Arial"/>
          <w:sz w:val="14"/>
        </w:rPr>
      </w:pPr>
      <w:r>
        <w:rPr>
          <w:rFonts w:ascii="Wingdings" w:hAnsi="Wingdings"/>
          <w:color w:val="231F20"/>
          <w:w w:val="95"/>
          <w:sz w:val="14"/>
        </w:rPr>
        <w:t></w:t>
      </w:r>
      <w:r>
        <w:rPr>
          <w:color w:val="231F20"/>
          <w:spacing w:val="4"/>
          <w:sz w:val="14"/>
        </w:rPr>
        <w:t> </w:t>
      </w:r>
      <w:r>
        <w:rPr>
          <w:rFonts w:ascii="Arial" w:hAnsi="Arial"/>
          <w:color w:val="231F20"/>
          <w:w w:val="95"/>
          <w:sz w:val="14"/>
        </w:rPr>
        <w:t>Jambes</w:t>
      </w:r>
      <w:r>
        <w:rPr>
          <w:rFonts w:ascii="Arial" w:hAnsi="Arial"/>
          <w:color w:val="231F20"/>
          <w:sz w:val="14"/>
        </w:rPr>
        <w:t> </w:t>
      </w:r>
      <w:r>
        <w:rPr>
          <w:rFonts w:ascii="Arial" w:hAnsi="Arial"/>
          <w:color w:val="231F20"/>
          <w:w w:val="95"/>
          <w:sz w:val="14"/>
        </w:rPr>
        <w:t>de</w:t>
      </w:r>
      <w:r>
        <w:rPr>
          <w:rFonts w:ascii="Arial" w:hAnsi="Arial"/>
          <w:color w:val="231F20"/>
          <w:sz w:val="14"/>
        </w:rPr>
        <w:t> </w:t>
      </w:r>
      <w:r>
        <w:rPr>
          <w:rFonts w:ascii="Arial" w:hAnsi="Arial"/>
          <w:color w:val="231F20"/>
          <w:spacing w:val="-4"/>
          <w:w w:val="95"/>
          <w:sz w:val="14"/>
        </w:rPr>
        <w:t>coton</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Crampes</w:t>
      </w:r>
    </w:p>
    <w:p>
      <w:pPr>
        <w:spacing w:before="99"/>
        <w:ind w:left="1300"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Impatiences</w:t>
      </w:r>
      <w:r>
        <w:rPr>
          <w:rFonts w:ascii="Arial" w:hAnsi="Arial"/>
          <w:color w:val="231F20"/>
          <w:spacing w:val="-10"/>
          <w:sz w:val="14"/>
        </w:rPr>
        <w:t> </w:t>
      </w:r>
      <w:r>
        <w:rPr>
          <w:rFonts w:ascii="Arial" w:hAnsi="Arial"/>
          <w:color w:val="231F20"/>
          <w:sz w:val="14"/>
        </w:rPr>
        <w:t>des</w:t>
      </w:r>
      <w:r>
        <w:rPr>
          <w:rFonts w:ascii="Arial" w:hAnsi="Arial"/>
          <w:color w:val="231F20"/>
          <w:spacing w:val="-9"/>
          <w:sz w:val="14"/>
        </w:rPr>
        <w:t> </w:t>
      </w:r>
      <w:r>
        <w:rPr>
          <w:rFonts w:ascii="Arial" w:hAnsi="Arial"/>
          <w:color w:val="231F20"/>
          <w:sz w:val="14"/>
        </w:rPr>
        <w:t>membres</w:t>
      </w:r>
      <w:r>
        <w:rPr>
          <w:rFonts w:ascii="Arial" w:hAnsi="Arial"/>
          <w:color w:val="231F20"/>
          <w:spacing w:val="-10"/>
          <w:sz w:val="14"/>
        </w:rPr>
        <w:t> </w:t>
      </w:r>
      <w:r>
        <w:rPr>
          <w:rFonts w:ascii="Arial" w:hAnsi="Arial"/>
          <w:color w:val="231F20"/>
          <w:spacing w:val="-2"/>
          <w:sz w:val="14"/>
        </w:rPr>
        <w:t>inférieurs</w:t>
      </w:r>
    </w:p>
    <w:p>
      <w:pPr>
        <w:spacing w:before="99"/>
        <w:ind w:left="1300"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Fatigue</w:t>
      </w:r>
      <w:r>
        <w:rPr>
          <w:rFonts w:ascii="Arial" w:hAnsi="Arial"/>
          <w:color w:val="231F20"/>
          <w:spacing w:val="-8"/>
          <w:sz w:val="14"/>
        </w:rPr>
        <w:t> </w:t>
      </w:r>
      <w:r>
        <w:rPr>
          <w:rFonts w:ascii="Arial" w:hAnsi="Arial"/>
          <w:color w:val="231F20"/>
          <w:spacing w:val="-2"/>
          <w:sz w:val="14"/>
        </w:rPr>
        <w:t>physique</w:t>
      </w:r>
    </w:p>
    <w:p>
      <w:pPr>
        <w:spacing w:before="99"/>
        <w:ind w:left="1300" w:right="0" w:firstLine="0"/>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Impression</w:t>
      </w:r>
      <w:r>
        <w:rPr>
          <w:rFonts w:ascii="Arial" w:hAnsi="Arial"/>
          <w:color w:val="231F20"/>
          <w:spacing w:val="-3"/>
          <w:sz w:val="14"/>
        </w:rPr>
        <w:t> </w:t>
      </w:r>
      <w:r>
        <w:rPr>
          <w:rFonts w:ascii="Arial" w:hAnsi="Arial"/>
          <w:color w:val="231F20"/>
          <w:sz w:val="14"/>
        </w:rPr>
        <w:t>d’être</w:t>
      </w:r>
      <w:r>
        <w:rPr>
          <w:rFonts w:ascii="Arial" w:hAnsi="Arial"/>
          <w:color w:val="231F20"/>
          <w:spacing w:val="-3"/>
          <w:sz w:val="14"/>
        </w:rPr>
        <w:t> </w:t>
      </w:r>
      <w:r>
        <w:rPr>
          <w:rFonts w:ascii="Arial" w:hAnsi="Arial"/>
          <w:color w:val="231F20"/>
          <w:spacing w:val="-4"/>
          <w:sz w:val="14"/>
        </w:rPr>
        <w:t>vidé</w:t>
      </w:r>
    </w:p>
    <w:p>
      <w:pPr>
        <w:spacing w:before="99"/>
        <w:ind w:left="1300"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Insomnie</w:t>
      </w:r>
    </w:p>
    <w:p>
      <w:pPr>
        <w:spacing w:line="268" w:lineRule="auto" w:before="99"/>
        <w:ind w:left="1460" w:right="0" w:hanging="161"/>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Réveil</w:t>
      </w:r>
      <w:r>
        <w:rPr>
          <w:rFonts w:ascii="Arial" w:hAnsi="Arial"/>
          <w:color w:val="231F20"/>
          <w:spacing w:val="-5"/>
          <w:sz w:val="14"/>
        </w:rPr>
        <w:t> </w:t>
      </w:r>
      <w:r>
        <w:rPr>
          <w:rFonts w:ascii="Arial" w:hAnsi="Arial"/>
          <w:color w:val="231F20"/>
          <w:sz w:val="14"/>
        </w:rPr>
        <w:t>au</w:t>
      </w:r>
      <w:r>
        <w:rPr>
          <w:rFonts w:ascii="Arial" w:hAnsi="Arial"/>
          <w:color w:val="231F20"/>
          <w:spacing w:val="-5"/>
          <w:sz w:val="14"/>
        </w:rPr>
        <w:t> </w:t>
      </w:r>
      <w:r>
        <w:rPr>
          <w:rFonts w:ascii="Arial" w:hAnsi="Arial"/>
          <w:color w:val="231F20"/>
          <w:sz w:val="14"/>
        </w:rPr>
        <w:t>milieu</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nuit</w:t>
      </w:r>
      <w:r>
        <w:rPr>
          <w:rFonts w:ascii="Arial" w:hAnsi="Arial"/>
          <w:color w:val="231F20"/>
          <w:spacing w:val="-5"/>
          <w:sz w:val="14"/>
        </w:rPr>
        <w:t> </w:t>
      </w:r>
      <w:r>
        <w:rPr>
          <w:rFonts w:ascii="Arial" w:hAnsi="Arial"/>
          <w:color w:val="231F20"/>
          <w:sz w:val="14"/>
        </w:rPr>
        <w:t>ou</w:t>
      </w:r>
      <w:r>
        <w:rPr>
          <w:rFonts w:ascii="Arial" w:hAnsi="Arial"/>
          <w:color w:val="231F20"/>
          <w:spacing w:val="-5"/>
          <w:sz w:val="14"/>
        </w:rPr>
        <w:t> </w:t>
      </w:r>
      <w:r>
        <w:rPr>
          <w:rFonts w:ascii="Arial" w:hAnsi="Arial"/>
          <w:color w:val="231F20"/>
          <w:sz w:val="14"/>
        </w:rPr>
        <w:t>avant</w:t>
      </w:r>
      <w:r>
        <w:rPr>
          <w:rFonts w:ascii="Arial" w:hAnsi="Arial"/>
          <w:color w:val="231F20"/>
          <w:spacing w:val="40"/>
          <w:sz w:val="14"/>
        </w:rPr>
        <w:t> </w:t>
      </w:r>
      <w:r>
        <w:rPr>
          <w:rFonts w:ascii="Arial" w:hAnsi="Arial"/>
          <w:color w:val="231F20"/>
          <w:sz w:val="14"/>
        </w:rPr>
        <w:t>l’heure</w:t>
      </w:r>
      <w:r>
        <w:rPr>
          <w:rFonts w:ascii="Arial" w:hAnsi="Arial"/>
          <w:color w:val="231F20"/>
          <w:spacing w:val="-10"/>
          <w:sz w:val="14"/>
        </w:rPr>
        <w:t> </w:t>
      </w:r>
      <w:r>
        <w:rPr>
          <w:rFonts w:ascii="Arial" w:hAnsi="Arial"/>
          <w:color w:val="231F20"/>
          <w:sz w:val="14"/>
        </w:rPr>
        <w:t>prévue</w:t>
      </w:r>
    </w:p>
    <w:p>
      <w:pPr>
        <w:spacing w:line="268" w:lineRule="auto" w:before="80"/>
        <w:ind w:left="1460" w:right="147" w:hanging="161"/>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Fatigue</w:t>
      </w:r>
      <w:r>
        <w:rPr>
          <w:rFonts w:ascii="Arial" w:hAnsi="Arial"/>
          <w:color w:val="231F20"/>
          <w:spacing w:val="-7"/>
          <w:sz w:val="14"/>
        </w:rPr>
        <w:t> </w:t>
      </w:r>
      <w:r>
        <w:rPr>
          <w:rFonts w:ascii="Arial" w:hAnsi="Arial"/>
          <w:color w:val="231F20"/>
          <w:sz w:val="14"/>
        </w:rPr>
        <w:t>persistant</w:t>
      </w:r>
      <w:r>
        <w:rPr>
          <w:rFonts w:ascii="Arial" w:hAnsi="Arial"/>
          <w:color w:val="231F20"/>
          <w:spacing w:val="-7"/>
          <w:sz w:val="14"/>
        </w:rPr>
        <w:t> </w:t>
      </w:r>
      <w:r>
        <w:rPr>
          <w:rFonts w:ascii="Arial" w:hAnsi="Arial"/>
          <w:color w:val="231F20"/>
          <w:sz w:val="14"/>
        </w:rPr>
        <w:t>après</w:t>
      </w:r>
      <w:r>
        <w:rPr>
          <w:rFonts w:ascii="Arial" w:hAnsi="Arial"/>
          <w:color w:val="231F20"/>
          <w:spacing w:val="-7"/>
          <w:sz w:val="14"/>
        </w:rPr>
        <w:t> </w:t>
      </w:r>
      <w:r>
        <w:rPr>
          <w:rFonts w:ascii="Arial" w:hAnsi="Arial"/>
          <w:color w:val="231F20"/>
          <w:sz w:val="14"/>
        </w:rPr>
        <w:t>une</w:t>
      </w:r>
      <w:r>
        <w:rPr>
          <w:rFonts w:ascii="Arial" w:hAnsi="Arial"/>
          <w:color w:val="231F20"/>
          <w:spacing w:val="-7"/>
          <w:sz w:val="14"/>
        </w:rPr>
        <w:t> </w:t>
      </w:r>
      <w:r>
        <w:rPr>
          <w:rFonts w:ascii="Arial" w:hAnsi="Arial"/>
          <w:color w:val="231F20"/>
          <w:sz w:val="14"/>
        </w:rPr>
        <w:t>nuit</w:t>
      </w:r>
      <w:r>
        <w:rPr>
          <w:rFonts w:ascii="Arial" w:hAnsi="Arial"/>
          <w:color w:val="231F20"/>
          <w:spacing w:val="4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sommeil</w:t>
      </w:r>
    </w:p>
    <w:p>
      <w:pPr>
        <w:spacing w:before="110"/>
        <w:ind w:left="385" w:right="0" w:firstLine="0"/>
        <w:jc w:val="left"/>
        <w:rPr>
          <w:rFonts w:ascii="Arial" w:hAnsi="Arial"/>
          <w:sz w:val="14"/>
        </w:rPr>
      </w:pPr>
      <w:r>
        <w:rPr/>
        <w:br w:type="column"/>
      </w:r>
      <w:r>
        <w:rPr>
          <w:rFonts w:ascii="Wingdings" w:hAnsi="Wingdings"/>
          <w:color w:val="231F20"/>
          <w:sz w:val="14"/>
        </w:rPr>
        <w:t></w:t>
      </w:r>
      <w:r>
        <w:rPr>
          <w:color w:val="231F20"/>
          <w:spacing w:val="-3"/>
          <w:sz w:val="14"/>
        </w:rPr>
        <w:t> </w:t>
      </w:r>
      <w:r>
        <w:rPr>
          <w:rFonts w:ascii="Arial" w:hAnsi="Arial"/>
          <w:color w:val="231F20"/>
          <w:sz w:val="14"/>
        </w:rPr>
        <w:t>Maux</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pacing w:val="-4"/>
          <w:sz w:val="14"/>
        </w:rPr>
        <w:t>tête</w:t>
      </w:r>
    </w:p>
    <w:p>
      <w:pPr>
        <w:spacing w:before="99"/>
        <w:ind w:left="385" w:right="0" w:firstLine="0"/>
        <w:jc w:val="left"/>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Bouche</w:t>
      </w:r>
      <w:r>
        <w:rPr>
          <w:rFonts w:ascii="Arial" w:hAnsi="Arial"/>
          <w:color w:val="231F20"/>
          <w:spacing w:val="-10"/>
          <w:sz w:val="14"/>
        </w:rPr>
        <w:t> </w:t>
      </w:r>
      <w:r>
        <w:rPr>
          <w:rFonts w:ascii="Arial" w:hAnsi="Arial"/>
          <w:color w:val="231F20"/>
          <w:spacing w:val="-2"/>
          <w:sz w:val="14"/>
        </w:rPr>
        <w:t>sèche</w:t>
      </w:r>
    </w:p>
    <w:p>
      <w:pPr>
        <w:spacing w:before="99"/>
        <w:ind w:left="385" w:right="0" w:firstLine="0"/>
        <w:jc w:val="left"/>
        <w:rPr>
          <w:rFonts w:ascii="Arial" w:hAnsi="Arial"/>
          <w:sz w:val="14"/>
        </w:rPr>
      </w:pPr>
      <w:r>
        <w:rPr>
          <w:rFonts w:ascii="Wingdings" w:hAnsi="Wingdings"/>
          <w:color w:val="231F20"/>
          <w:w w:val="95"/>
          <w:sz w:val="14"/>
        </w:rPr>
        <w:t></w:t>
      </w:r>
      <w:r>
        <w:rPr>
          <w:color w:val="231F20"/>
          <w:spacing w:val="3"/>
          <w:sz w:val="14"/>
        </w:rPr>
        <w:t> </w:t>
      </w:r>
      <w:r>
        <w:rPr>
          <w:rFonts w:ascii="Arial" w:hAnsi="Arial"/>
          <w:color w:val="231F20"/>
          <w:w w:val="95"/>
          <w:sz w:val="14"/>
        </w:rPr>
        <w:t>Tension</w:t>
      </w:r>
      <w:r>
        <w:rPr>
          <w:rFonts w:ascii="Arial" w:hAnsi="Arial"/>
          <w:color w:val="231F20"/>
          <w:spacing w:val="-1"/>
          <w:sz w:val="14"/>
        </w:rPr>
        <w:t> </w:t>
      </w:r>
      <w:r>
        <w:rPr>
          <w:rFonts w:ascii="Arial" w:hAnsi="Arial"/>
          <w:color w:val="231F20"/>
          <w:spacing w:val="-2"/>
          <w:w w:val="95"/>
          <w:sz w:val="14"/>
        </w:rPr>
        <w:t>musculaire</w:t>
      </w:r>
    </w:p>
    <w:p>
      <w:pPr>
        <w:spacing w:before="99"/>
        <w:ind w:left="385"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Tension</w:t>
      </w:r>
      <w:r>
        <w:rPr>
          <w:rFonts w:ascii="Arial" w:hAnsi="Arial"/>
          <w:color w:val="231F20"/>
          <w:spacing w:val="-10"/>
          <w:sz w:val="14"/>
        </w:rPr>
        <w:t> </w:t>
      </w:r>
      <w:r>
        <w:rPr>
          <w:rFonts w:ascii="Arial" w:hAnsi="Arial"/>
          <w:color w:val="231F20"/>
          <w:sz w:val="14"/>
        </w:rPr>
        <w:t>du</w:t>
      </w:r>
      <w:r>
        <w:rPr>
          <w:rFonts w:ascii="Arial" w:hAnsi="Arial"/>
          <w:color w:val="231F20"/>
          <w:spacing w:val="-9"/>
          <w:sz w:val="14"/>
        </w:rPr>
        <w:t> </w:t>
      </w:r>
      <w:r>
        <w:rPr>
          <w:rFonts w:ascii="Arial" w:hAnsi="Arial"/>
          <w:color w:val="231F20"/>
          <w:sz w:val="14"/>
        </w:rPr>
        <w:t>cou</w:t>
      </w:r>
      <w:r>
        <w:rPr>
          <w:rFonts w:ascii="Arial" w:hAnsi="Arial"/>
          <w:color w:val="231F20"/>
          <w:spacing w:val="-10"/>
          <w:sz w:val="14"/>
        </w:rPr>
        <w:t> </w:t>
      </w:r>
      <w:r>
        <w:rPr>
          <w:rFonts w:ascii="Arial" w:hAnsi="Arial"/>
          <w:color w:val="231F20"/>
          <w:sz w:val="14"/>
        </w:rPr>
        <w:t>ou</w:t>
      </w:r>
      <w:r>
        <w:rPr>
          <w:rFonts w:ascii="Arial" w:hAnsi="Arial"/>
          <w:color w:val="231F20"/>
          <w:spacing w:val="-9"/>
          <w:sz w:val="14"/>
        </w:rPr>
        <w:t> </w:t>
      </w:r>
      <w:r>
        <w:rPr>
          <w:rFonts w:ascii="Arial" w:hAnsi="Arial"/>
          <w:color w:val="231F20"/>
          <w:sz w:val="14"/>
        </w:rPr>
        <w:t>des</w:t>
      </w:r>
      <w:r>
        <w:rPr>
          <w:rFonts w:ascii="Arial" w:hAnsi="Arial"/>
          <w:color w:val="231F20"/>
          <w:spacing w:val="-10"/>
          <w:sz w:val="14"/>
        </w:rPr>
        <w:t> </w:t>
      </w:r>
      <w:r>
        <w:rPr>
          <w:rFonts w:ascii="Arial" w:hAnsi="Arial"/>
          <w:color w:val="231F20"/>
          <w:spacing w:val="-2"/>
          <w:sz w:val="14"/>
        </w:rPr>
        <w:t>épaules</w:t>
      </w:r>
    </w:p>
    <w:p>
      <w:pPr>
        <w:spacing w:before="99"/>
        <w:ind w:left="385"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Grincements</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pacing w:val="-2"/>
          <w:sz w:val="14"/>
        </w:rPr>
        <w:t>dents</w:t>
      </w:r>
    </w:p>
    <w:p>
      <w:pPr>
        <w:spacing w:before="99"/>
        <w:ind w:left="385" w:right="0" w:firstLine="0"/>
        <w:jc w:val="left"/>
        <w:rPr>
          <w:rFonts w:ascii="Arial" w:hAnsi="Arial"/>
          <w:sz w:val="14"/>
        </w:rPr>
      </w:pPr>
      <w:r>
        <w:rPr>
          <w:rFonts w:ascii="Wingdings" w:hAnsi="Wingdings"/>
          <w:color w:val="231F20"/>
          <w:sz w:val="14"/>
        </w:rPr>
        <w:t></w:t>
      </w:r>
      <w:r>
        <w:rPr>
          <w:color w:val="231F20"/>
          <w:spacing w:val="8"/>
          <w:sz w:val="14"/>
        </w:rPr>
        <w:t> </w:t>
      </w:r>
      <w:r>
        <w:rPr>
          <w:rFonts w:ascii="Arial" w:hAnsi="Arial"/>
          <w:color w:val="231F20"/>
          <w:sz w:val="14"/>
        </w:rPr>
        <w:t>Difficultés</w:t>
      </w:r>
      <w:r>
        <w:rPr>
          <w:rFonts w:ascii="Arial" w:hAnsi="Arial"/>
          <w:color w:val="231F20"/>
          <w:spacing w:val="5"/>
          <w:sz w:val="14"/>
        </w:rPr>
        <w:t> </w:t>
      </w:r>
      <w:r>
        <w:rPr>
          <w:rFonts w:ascii="Arial" w:hAnsi="Arial"/>
          <w:color w:val="231F20"/>
          <w:spacing w:val="-2"/>
          <w:sz w:val="14"/>
        </w:rPr>
        <w:t>sexuelles</w:t>
      </w:r>
    </w:p>
    <w:p>
      <w:pPr>
        <w:spacing w:before="99"/>
        <w:ind w:left="385"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Mâchoire</w:t>
      </w:r>
      <w:r>
        <w:rPr>
          <w:rFonts w:ascii="Arial" w:hAnsi="Arial"/>
          <w:color w:val="231F20"/>
          <w:spacing w:val="-7"/>
          <w:sz w:val="14"/>
        </w:rPr>
        <w:t> </w:t>
      </w:r>
      <w:r>
        <w:rPr>
          <w:rFonts w:ascii="Arial" w:hAnsi="Arial"/>
          <w:color w:val="231F20"/>
          <w:spacing w:val="-2"/>
          <w:sz w:val="14"/>
        </w:rPr>
        <w:t>ankylosée</w:t>
      </w:r>
    </w:p>
    <w:p>
      <w:pPr>
        <w:spacing w:before="99"/>
        <w:ind w:left="385"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Constipation</w:t>
      </w:r>
    </w:p>
    <w:p>
      <w:pPr>
        <w:spacing w:before="99"/>
        <w:ind w:left="385"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Diarrhée</w:t>
      </w:r>
    </w:p>
    <w:p>
      <w:pPr>
        <w:spacing w:before="99"/>
        <w:ind w:left="385" w:right="0" w:firstLine="0"/>
        <w:jc w:val="left"/>
        <w:rPr>
          <w:rFonts w:ascii="Arial" w:hAnsi="Arial"/>
          <w:sz w:val="14"/>
        </w:rPr>
      </w:pPr>
      <w:r>
        <w:rPr>
          <w:rFonts w:ascii="Wingdings" w:hAnsi="Wingdings"/>
          <w:color w:val="231F20"/>
          <w:sz w:val="14"/>
        </w:rPr>
        <w:t></w:t>
      </w:r>
      <w:r>
        <w:rPr>
          <w:color w:val="231F20"/>
          <w:sz w:val="14"/>
        </w:rPr>
        <w:t> </w:t>
      </w:r>
      <w:r>
        <w:rPr>
          <w:rFonts w:ascii="Arial" w:hAnsi="Arial"/>
          <w:color w:val="231F20"/>
          <w:spacing w:val="-2"/>
          <w:sz w:val="14"/>
        </w:rPr>
        <w:t>Nausées</w:t>
      </w:r>
    </w:p>
    <w:p>
      <w:pPr>
        <w:spacing w:before="99"/>
        <w:ind w:left="385" w:right="0" w:firstLine="0"/>
        <w:jc w:val="left"/>
        <w:rPr>
          <w:rFonts w:ascii="Arial" w:hAnsi="Arial"/>
          <w:sz w:val="14"/>
        </w:rPr>
      </w:pPr>
      <w:r>
        <w:rPr>
          <w:rFonts w:ascii="Wingdings" w:hAnsi="Wingdings"/>
          <w:color w:val="231F20"/>
          <w:sz w:val="14"/>
        </w:rPr>
        <w:t></w:t>
      </w:r>
      <w:r>
        <w:rPr>
          <w:color w:val="231F20"/>
          <w:spacing w:val="-2"/>
          <w:sz w:val="14"/>
        </w:rPr>
        <w:t> </w:t>
      </w:r>
      <w:r>
        <w:rPr>
          <w:rFonts w:ascii="Arial" w:hAnsi="Arial"/>
          <w:color w:val="231F20"/>
          <w:sz w:val="14"/>
        </w:rPr>
        <w:t>Douleurs</w:t>
      </w:r>
      <w:r>
        <w:rPr>
          <w:rFonts w:ascii="Arial" w:hAnsi="Arial"/>
          <w:color w:val="231F20"/>
          <w:spacing w:val="-6"/>
          <w:sz w:val="14"/>
        </w:rPr>
        <w:t> </w:t>
      </w:r>
      <w:r>
        <w:rPr>
          <w:rFonts w:ascii="Arial" w:hAnsi="Arial"/>
          <w:color w:val="231F20"/>
          <w:sz w:val="14"/>
        </w:rPr>
        <w:t>abdominales</w:t>
      </w:r>
      <w:r>
        <w:rPr>
          <w:rFonts w:ascii="Arial" w:hAnsi="Arial"/>
          <w:color w:val="231F20"/>
          <w:spacing w:val="-5"/>
          <w:sz w:val="14"/>
        </w:rPr>
        <w:t> </w:t>
      </w:r>
      <w:r>
        <w:rPr>
          <w:rFonts w:ascii="Arial" w:hAnsi="Arial"/>
          <w:color w:val="231F20"/>
          <w:sz w:val="14"/>
        </w:rPr>
        <w:t>ou</w:t>
      </w:r>
      <w:r>
        <w:rPr>
          <w:rFonts w:ascii="Arial" w:hAnsi="Arial"/>
          <w:color w:val="231F20"/>
          <w:spacing w:val="-6"/>
          <w:sz w:val="14"/>
        </w:rPr>
        <w:t> </w:t>
      </w:r>
      <w:r>
        <w:rPr>
          <w:rFonts w:ascii="Arial" w:hAnsi="Arial"/>
          <w:color w:val="231F20"/>
          <w:spacing w:val="-2"/>
          <w:sz w:val="14"/>
        </w:rPr>
        <w:t>indigestion</w:t>
      </w:r>
    </w:p>
    <w:p>
      <w:pPr>
        <w:spacing w:before="99"/>
        <w:ind w:left="385" w:right="0" w:firstLine="0"/>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Perte</w:t>
      </w:r>
      <w:r>
        <w:rPr>
          <w:rFonts w:ascii="Arial" w:hAnsi="Arial"/>
          <w:color w:val="231F20"/>
          <w:spacing w:val="-4"/>
          <w:sz w:val="14"/>
        </w:rPr>
        <w:t> </w:t>
      </w:r>
      <w:r>
        <w:rPr>
          <w:rFonts w:ascii="Arial" w:hAnsi="Arial"/>
          <w:color w:val="231F20"/>
          <w:spacing w:val="-2"/>
          <w:sz w:val="14"/>
        </w:rPr>
        <w:t>d’appétit</w:t>
      </w:r>
    </w:p>
    <w:p>
      <w:pPr>
        <w:spacing w:before="99"/>
        <w:ind w:left="385" w:right="0" w:firstLine="0"/>
        <w:jc w:val="left"/>
        <w:rPr>
          <w:rFonts w:ascii="Arial" w:hAnsi="Arial"/>
          <w:sz w:val="14"/>
        </w:rPr>
      </w:pPr>
      <w:r>
        <w:rPr>
          <w:rFonts w:ascii="Wingdings" w:hAnsi="Wingdings"/>
          <w:color w:val="231F20"/>
          <w:spacing w:val="-2"/>
          <w:sz w:val="14"/>
        </w:rPr>
        <w:t></w:t>
      </w:r>
      <w:r>
        <w:rPr>
          <w:color w:val="231F20"/>
          <w:spacing w:val="-4"/>
          <w:sz w:val="14"/>
        </w:rPr>
        <w:t> </w:t>
      </w:r>
      <w:r>
        <w:rPr>
          <w:rFonts w:ascii="Arial" w:hAnsi="Arial"/>
          <w:color w:val="231F20"/>
          <w:spacing w:val="-2"/>
          <w:sz w:val="14"/>
        </w:rPr>
        <w:t>Faim</w:t>
      </w:r>
      <w:r>
        <w:rPr>
          <w:rFonts w:ascii="Arial" w:hAnsi="Arial"/>
          <w:color w:val="231F20"/>
          <w:spacing w:val="-8"/>
          <w:sz w:val="14"/>
        </w:rPr>
        <w:t> </w:t>
      </w:r>
      <w:r>
        <w:rPr>
          <w:rFonts w:ascii="Arial" w:hAnsi="Arial"/>
          <w:color w:val="231F20"/>
          <w:spacing w:val="-2"/>
          <w:sz w:val="14"/>
        </w:rPr>
        <w:t>excessive</w:t>
      </w:r>
    </w:p>
    <w:p>
      <w:pPr>
        <w:spacing w:before="99"/>
        <w:ind w:left="385"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Hypotension</w:t>
      </w:r>
      <w:r>
        <w:rPr>
          <w:rFonts w:ascii="Arial" w:hAnsi="Arial"/>
          <w:color w:val="231F20"/>
          <w:spacing w:val="3"/>
          <w:sz w:val="14"/>
        </w:rPr>
        <w:t> </w:t>
      </w:r>
      <w:r>
        <w:rPr>
          <w:rFonts w:ascii="Arial" w:hAnsi="Arial"/>
          <w:color w:val="231F20"/>
          <w:sz w:val="14"/>
        </w:rPr>
        <w:t>ou</w:t>
      </w:r>
      <w:r>
        <w:rPr>
          <w:rFonts w:ascii="Arial" w:hAnsi="Arial"/>
          <w:color w:val="231F20"/>
          <w:spacing w:val="3"/>
          <w:sz w:val="14"/>
        </w:rPr>
        <w:t> </w:t>
      </w:r>
      <w:r>
        <w:rPr>
          <w:rFonts w:ascii="Arial" w:hAnsi="Arial"/>
          <w:color w:val="231F20"/>
          <w:sz w:val="14"/>
        </w:rPr>
        <w:t>hypertension</w:t>
      </w:r>
      <w:r>
        <w:rPr>
          <w:rFonts w:ascii="Arial" w:hAnsi="Arial"/>
          <w:color w:val="231F20"/>
          <w:spacing w:val="3"/>
          <w:sz w:val="14"/>
        </w:rPr>
        <w:t> </w:t>
      </w:r>
      <w:r>
        <w:rPr>
          <w:rFonts w:ascii="Arial" w:hAnsi="Arial"/>
          <w:color w:val="231F20"/>
          <w:spacing w:val="-2"/>
          <w:sz w:val="14"/>
        </w:rPr>
        <w:t>artérielle</w:t>
      </w:r>
    </w:p>
    <w:p>
      <w:pPr>
        <w:spacing w:before="99"/>
        <w:ind w:left="385"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Mictions</w:t>
      </w:r>
      <w:r>
        <w:rPr>
          <w:rFonts w:ascii="Arial" w:hAnsi="Arial"/>
          <w:color w:val="231F20"/>
          <w:spacing w:val="2"/>
          <w:sz w:val="14"/>
        </w:rPr>
        <w:t> </w:t>
      </w:r>
      <w:r>
        <w:rPr>
          <w:rFonts w:ascii="Arial" w:hAnsi="Arial"/>
          <w:color w:val="231F20"/>
          <w:spacing w:val="-2"/>
          <w:sz w:val="14"/>
        </w:rPr>
        <w:t>fréquentes</w:t>
      </w:r>
    </w:p>
    <w:p>
      <w:pPr>
        <w:pStyle w:val="BodyText"/>
        <w:spacing w:before="3"/>
        <w:rPr>
          <w:rFonts w:ascii="Arial"/>
        </w:rPr>
      </w:pPr>
    </w:p>
    <w:p>
      <w:pPr>
        <w:spacing w:before="0"/>
        <w:ind w:left="385" w:right="0" w:firstLine="0"/>
        <w:jc w:val="left"/>
        <w:rPr>
          <w:rFonts w:ascii="Arial"/>
          <w:i/>
          <w:sz w:val="14"/>
        </w:rPr>
      </w:pPr>
      <w:r>
        <w:rPr>
          <w:rFonts w:ascii="Arial"/>
          <w:i/>
          <w:color w:val="231F20"/>
          <w:w w:val="95"/>
          <w:sz w:val="14"/>
        </w:rPr>
        <w:t>Chez</w:t>
      </w:r>
      <w:r>
        <w:rPr>
          <w:rFonts w:ascii="Arial"/>
          <w:i/>
          <w:color w:val="231F20"/>
          <w:spacing w:val="-7"/>
          <w:w w:val="95"/>
          <w:sz w:val="14"/>
        </w:rPr>
        <w:t> </w:t>
      </w:r>
      <w:r>
        <w:rPr>
          <w:rFonts w:ascii="Arial"/>
          <w:i/>
          <w:color w:val="231F20"/>
          <w:w w:val="95"/>
          <w:sz w:val="14"/>
        </w:rPr>
        <w:t>la</w:t>
      </w:r>
      <w:r>
        <w:rPr>
          <w:rFonts w:ascii="Arial"/>
          <w:i/>
          <w:color w:val="231F20"/>
          <w:spacing w:val="-7"/>
          <w:w w:val="95"/>
          <w:sz w:val="14"/>
        </w:rPr>
        <w:t> </w:t>
      </w:r>
      <w:r>
        <w:rPr>
          <w:rFonts w:ascii="Arial"/>
          <w:i/>
          <w:color w:val="231F20"/>
          <w:spacing w:val="-2"/>
          <w:w w:val="95"/>
          <w:sz w:val="14"/>
        </w:rPr>
        <w:t>femme</w:t>
      </w:r>
    </w:p>
    <w:p>
      <w:pPr>
        <w:spacing w:before="99"/>
        <w:ind w:left="385" w:right="0" w:firstLine="0"/>
        <w:jc w:val="left"/>
        <w:rPr>
          <w:rFonts w:ascii="Arial" w:hAnsi="Arial"/>
          <w:sz w:val="14"/>
        </w:rPr>
      </w:pPr>
      <w:r>
        <w:rPr>
          <w:rFonts w:ascii="Wingdings" w:hAnsi="Wingdings"/>
          <w:color w:val="231F20"/>
          <w:sz w:val="14"/>
        </w:rPr>
        <w:t></w:t>
      </w:r>
      <w:r>
        <w:rPr>
          <w:color w:val="231F20"/>
          <w:spacing w:val="7"/>
          <w:sz w:val="14"/>
        </w:rPr>
        <w:t> </w:t>
      </w:r>
      <w:r>
        <w:rPr>
          <w:rFonts w:ascii="Arial" w:hAnsi="Arial"/>
          <w:color w:val="231F20"/>
          <w:sz w:val="14"/>
        </w:rPr>
        <w:t>Menstruations</w:t>
      </w:r>
      <w:r>
        <w:rPr>
          <w:rFonts w:ascii="Arial" w:hAnsi="Arial"/>
          <w:color w:val="231F20"/>
          <w:spacing w:val="3"/>
          <w:sz w:val="14"/>
        </w:rPr>
        <w:t> </w:t>
      </w:r>
      <w:r>
        <w:rPr>
          <w:rFonts w:ascii="Arial" w:hAnsi="Arial"/>
          <w:color w:val="231F20"/>
          <w:spacing w:val="-2"/>
          <w:sz w:val="14"/>
        </w:rPr>
        <w:t>difficiles</w:t>
      </w:r>
    </w:p>
    <w:p>
      <w:pPr>
        <w:spacing w:before="99"/>
        <w:ind w:left="385" w:right="0" w:firstLine="0"/>
        <w:jc w:val="left"/>
        <w:rPr>
          <w:rFonts w:ascii="Arial" w:hAnsi="Arial"/>
          <w:sz w:val="14"/>
        </w:rPr>
      </w:pPr>
      <w:r>
        <w:rPr>
          <w:rFonts w:ascii="Wingdings" w:hAnsi="Wingdings"/>
          <w:color w:val="231F20"/>
          <w:spacing w:val="-2"/>
          <w:sz w:val="14"/>
        </w:rPr>
        <w:t></w:t>
      </w:r>
      <w:r>
        <w:rPr>
          <w:color w:val="231F20"/>
          <w:sz w:val="14"/>
        </w:rPr>
        <w:t> </w:t>
      </w:r>
      <w:r>
        <w:rPr>
          <w:rFonts w:ascii="Arial" w:hAnsi="Arial"/>
          <w:color w:val="231F20"/>
          <w:spacing w:val="-2"/>
          <w:sz w:val="14"/>
        </w:rPr>
        <w:t>Syndrome</w:t>
      </w:r>
      <w:r>
        <w:rPr>
          <w:rFonts w:ascii="Arial" w:hAnsi="Arial"/>
          <w:color w:val="231F20"/>
          <w:spacing w:val="-3"/>
          <w:sz w:val="14"/>
        </w:rPr>
        <w:t> </w:t>
      </w:r>
      <w:r>
        <w:rPr>
          <w:rFonts w:ascii="Arial" w:hAnsi="Arial"/>
          <w:color w:val="231F20"/>
          <w:spacing w:val="-2"/>
          <w:sz w:val="14"/>
        </w:rPr>
        <w:t>prémenstruel</w:t>
      </w:r>
    </w:p>
    <w:p>
      <w:pPr>
        <w:spacing w:line="268" w:lineRule="auto" w:before="99"/>
        <w:ind w:left="545" w:right="0" w:hanging="161"/>
        <w:jc w:val="left"/>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Difficultés</w:t>
      </w:r>
      <w:r>
        <w:rPr>
          <w:rFonts w:ascii="Arial" w:hAnsi="Arial"/>
          <w:color w:val="231F20"/>
          <w:spacing w:val="-10"/>
          <w:sz w:val="14"/>
        </w:rPr>
        <w:t> </w:t>
      </w:r>
      <w:r>
        <w:rPr>
          <w:rFonts w:ascii="Arial" w:hAnsi="Arial"/>
          <w:color w:val="231F20"/>
          <w:sz w:val="14"/>
        </w:rPr>
        <w:t>ménopausiques</w:t>
      </w:r>
      <w:r>
        <w:rPr>
          <w:rFonts w:ascii="Arial" w:hAnsi="Arial"/>
          <w:color w:val="231F20"/>
          <w:spacing w:val="-10"/>
          <w:sz w:val="14"/>
        </w:rPr>
        <w:t> </w:t>
      </w:r>
      <w:r>
        <w:rPr>
          <w:rFonts w:ascii="Arial" w:hAnsi="Arial"/>
          <w:color w:val="231F20"/>
          <w:sz w:val="14"/>
        </w:rPr>
        <w:t>ou</w:t>
      </w:r>
      <w:r>
        <w:rPr>
          <w:rFonts w:ascii="Arial" w:hAnsi="Arial"/>
          <w:color w:val="231F20"/>
          <w:spacing w:val="40"/>
          <w:sz w:val="14"/>
        </w:rPr>
        <w:t> </w:t>
      </w:r>
      <w:r>
        <w:rPr>
          <w:rFonts w:ascii="Arial" w:hAnsi="Arial"/>
          <w:color w:val="231F20"/>
          <w:spacing w:val="-2"/>
          <w:sz w:val="14"/>
        </w:rPr>
        <w:t>préménopausiques</w:t>
      </w:r>
    </w:p>
    <w:p>
      <w:pPr>
        <w:spacing w:before="179"/>
        <w:ind w:left="385" w:right="0" w:firstLine="0"/>
        <w:jc w:val="left"/>
        <w:rPr>
          <w:rFonts w:ascii="Arial" w:hAnsi="Arial"/>
          <w:i/>
          <w:sz w:val="14"/>
        </w:rPr>
      </w:pPr>
      <w:r>
        <w:rPr>
          <w:rFonts w:ascii="Arial" w:hAnsi="Arial"/>
          <w:i/>
          <w:color w:val="231F20"/>
          <w:w w:val="90"/>
          <w:sz w:val="14"/>
        </w:rPr>
        <w:t>Chez</w:t>
      </w:r>
      <w:r>
        <w:rPr>
          <w:rFonts w:ascii="Arial" w:hAnsi="Arial"/>
          <w:i/>
          <w:color w:val="231F20"/>
          <w:spacing w:val="-4"/>
          <w:w w:val="90"/>
          <w:sz w:val="14"/>
        </w:rPr>
        <w:t> </w:t>
      </w:r>
      <w:r>
        <w:rPr>
          <w:rFonts w:ascii="Arial" w:hAnsi="Arial"/>
          <w:i/>
          <w:color w:val="231F20"/>
          <w:spacing w:val="-2"/>
          <w:w w:val="95"/>
          <w:sz w:val="14"/>
        </w:rPr>
        <w:t>l’homme</w:t>
      </w:r>
    </w:p>
    <w:p>
      <w:pPr>
        <w:spacing w:before="99"/>
        <w:ind w:left="385"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Débit</w:t>
      </w:r>
      <w:r>
        <w:rPr>
          <w:rFonts w:ascii="Arial" w:hAnsi="Arial"/>
          <w:color w:val="231F20"/>
          <w:spacing w:val="2"/>
          <w:sz w:val="14"/>
        </w:rPr>
        <w:t> </w:t>
      </w:r>
      <w:r>
        <w:rPr>
          <w:rFonts w:ascii="Arial" w:hAnsi="Arial"/>
          <w:color w:val="231F20"/>
          <w:sz w:val="14"/>
        </w:rPr>
        <w:t>urinaire</w:t>
      </w:r>
      <w:r>
        <w:rPr>
          <w:rFonts w:ascii="Arial" w:hAnsi="Arial"/>
          <w:color w:val="231F20"/>
          <w:spacing w:val="3"/>
          <w:sz w:val="14"/>
        </w:rPr>
        <w:t> </w:t>
      </w:r>
      <w:r>
        <w:rPr>
          <w:rFonts w:ascii="Arial" w:hAnsi="Arial"/>
          <w:color w:val="231F20"/>
          <w:sz w:val="14"/>
        </w:rPr>
        <w:t>faible</w:t>
      </w:r>
      <w:r>
        <w:rPr>
          <w:rFonts w:ascii="Arial" w:hAnsi="Arial"/>
          <w:color w:val="231F20"/>
          <w:spacing w:val="2"/>
          <w:sz w:val="14"/>
        </w:rPr>
        <w:t> </w:t>
      </w:r>
      <w:r>
        <w:rPr>
          <w:rFonts w:ascii="Arial" w:hAnsi="Arial"/>
          <w:color w:val="231F20"/>
          <w:sz w:val="14"/>
        </w:rPr>
        <w:t>ou</w:t>
      </w:r>
      <w:r>
        <w:rPr>
          <w:rFonts w:ascii="Arial" w:hAnsi="Arial"/>
          <w:color w:val="231F20"/>
          <w:spacing w:val="3"/>
          <w:sz w:val="14"/>
        </w:rPr>
        <w:t> </w:t>
      </w:r>
      <w:r>
        <w:rPr>
          <w:rFonts w:ascii="Arial" w:hAnsi="Arial"/>
          <w:color w:val="231F20"/>
          <w:spacing w:val="-4"/>
          <w:sz w:val="14"/>
        </w:rPr>
        <w:t>lent</w:t>
      </w:r>
    </w:p>
    <w:p>
      <w:pPr>
        <w:spacing w:before="99"/>
        <w:ind w:left="385" w:right="0" w:firstLine="0"/>
        <w:jc w:val="left"/>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Troubles</w:t>
      </w:r>
      <w:r>
        <w:rPr>
          <w:rFonts w:ascii="Arial" w:hAnsi="Arial"/>
          <w:color w:val="231F20"/>
          <w:spacing w:val="-6"/>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la</w:t>
      </w:r>
      <w:r>
        <w:rPr>
          <w:rFonts w:ascii="Arial" w:hAnsi="Arial"/>
          <w:color w:val="231F20"/>
          <w:spacing w:val="-6"/>
          <w:sz w:val="14"/>
        </w:rPr>
        <w:t> </w:t>
      </w:r>
      <w:r>
        <w:rPr>
          <w:rFonts w:ascii="Arial" w:hAnsi="Arial"/>
          <w:color w:val="231F20"/>
          <w:spacing w:val="-2"/>
          <w:sz w:val="14"/>
        </w:rPr>
        <w:t>prostate</w:t>
      </w:r>
    </w:p>
    <w:p>
      <w:pPr>
        <w:spacing w:before="99"/>
        <w:ind w:left="385" w:right="0" w:firstLine="0"/>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Troubles</w:t>
      </w:r>
      <w:r>
        <w:rPr>
          <w:rFonts w:ascii="Arial" w:hAnsi="Arial"/>
          <w:color w:val="231F20"/>
          <w:spacing w:val="-9"/>
          <w:sz w:val="14"/>
        </w:rPr>
        <w:t> </w:t>
      </w:r>
      <w:r>
        <w:rPr>
          <w:rFonts w:ascii="Arial" w:hAnsi="Arial"/>
          <w:color w:val="231F20"/>
          <w:spacing w:val="-2"/>
          <w:sz w:val="14"/>
        </w:rPr>
        <w:t>érectiles</w:t>
      </w:r>
    </w:p>
    <w:p>
      <w:pPr>
        <w:spacing w:after="0"/>
        <w:jc w:val="left"/>
        <w:rPr>
          <w:rFonts w:ascii="Arial" w:hAnsi="Arial"/>
          <w:sz w:val="14"/>
        </w:rPr>
        <w:sectPr>
          <w:type w:val="continuous"/>
          <w:pgSz w:w="8640" w:h="12960"/>
          <w:pgMar w:header="0" w:footer="424" w:top="1220" w:bottom="280" w:left="420" w:right="1140"/>
          <w:cols w:num="2" w:equalWidth="0">
            <w:col w:w="3750" w:space="40"/>
            <w:col w:w="3290"/>
          </w:cols>
        </w:sectPr>
      </w:pPr>
    </w:p>
    <w:p>
      <w:pPr>
        <w:pStyle w:val="BodyText"/>
        <w:spacing w:before="5"/>
        <w:rPr>
          <w:rFonts w:ascii="Arial"/>
          <w:sz w:val="2"/>
        </w:rPr>
      </w:pPr>
    </w:p>
    <w:p>
      <w:pPr>
        <w:pStyle w:val="BodyText"/>
        <w:spacing w:line="20" w:lineRule="exact"/>
        <w:ind w:left="1217"/>
        <w:rPr>
          <w:rFonts w:ascii="Arial"/>
          <w:sz w:val="2"/>
        </w:rPr>
      </w:pPr>
      <w:r>
        <w:rPr>
          <w:rFonts w:ascii="Arial"/>
          <w:sz w:val="2"/>
        </w:rPr>
        <w:pict>
          <v:group style="width:287.5pt;height:.25pt;mso-position-horizontal-relative:char;mso-position-vertical-relative:line" id="docshapegroup804" coordorigin="0,0" coordsize="5750,5">
            <v:line style="position:absolute" from="0,2" to="2875,2" stroked="true" strokeweight=".25pt" strokecolor="#231f20">
              <v:stroke dashstyle="solid"/>
            </v:line>
            <v:line style="position:absolute" from="2875,2" to="5750,2" stroked="true" strokeweight=".25pt" strokecolor="#231f20">
              <v:stroke dashstyle="solid"/>
            </v:line>
          </v:group>
        </w:pict>
      </w:r>
      <w:r>
        <w:rPr>
          <w:rFonts w:ascii="Arial"/>
          <w:sz w:val="2"/>
        </w:rPr>
      </w:r>
    </w:p>
    <w:p>
      <w:pPr>
        <w:spacing w:after="0" w:line="20" w:lineRule="exact"/>
        <w:rPr>
          <w:rFonts w:ascii="Arial"/>
          <w:sz w:val="2"/>
        </w:rPr>
        <w:sectPr>
          <w:type w:val="continuous"/>
          <w:pgSz w:w="8640" w:h="12960"/>
          <w:pgMar w:header="0" w:footer="424"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18"/>
        </w:rPr>
      </w:pPr>
    </w:p>
    <w:p>
      <w:pPr>
        <w:pStyle w:val="BodyText"/>
        <w:spacing w:line="20" w:lineRule="exact"/>
        <w:ind w:left="827"/>
        <w:rPr>
          <w:rFonts w:ascii="Arial"/>
          <w:sz w:val="2"/>
        </w:rPr>
      </w:pPr>
      <w:r>
        <w:rPr>
          <w:rFonts w:ascii="Arial"/>
          <w:sz w:val="2"/>
        </w:rPr>
        <w:pict>
          <v:group style="width:287.5pt;height:.25pt;mso-position-horizontal-relative:char;mso-position-vertical-relative:line" id="docshapegroup806" coordorigin="0,0" coordsize="5750,5">
            <v:line style="position:absolute" from="0,3" to="2875,3" stroked="true" strokeweight=".25pt" strokecolor="#231f20">
              <v:stroke dashstyle="solid"/>
            </v:line>
            <v:line style="position:absolute" from="2875,3" to="5750,3" stroked="true" strokeweight=".25pt" strokecolor="#231f20">
              <v:stroke dashstyle="solid"/>
            </v:line>
          </v:group>
        </w:pict>
      </w:r>
      <w:r>
        <w:rPr>
          <w:rFonts w:ascii="Arial"/>
          <w:sz w:val="2"/>
        </w:rPr>
      </w:r>
    </w:p>
    <w:p>
      <w:pPr>
        <w:spacing w:after="0" w:line="20" w:lineRule="exact"/>
        <w:rPr>
          <w:rFonts w:ascii="Arial"/>
          <w:sz w:val="2"/>
        </w:rPr>
        <w:sectPr>
          <w:footerReference w:type="default" r:id="rId230"/>
          <w:pgSz w:w="8640" w:h="12960"/>
          <w:pgMar w:footer="424" w:header="0" w:top="520" w:bottom="620" w:left="420" w:right="1140"/>
        </w:sectPr>
      </w:pPr>
    </w:p>
    <w:p>
      <w:pPr>
        <w:spacing w:before="43"/>
        <w:ind w:left="910" w:right="0" w:firstLine="0"/>
        <w:jc w:val="left"/>
        <w:rPr>
          <w:rFonts w:ascii="Arial"/>
          <w:b/>
          <w:sz w:val="14"/>
        </w:rPr>
      </w:pPr>
      <w:r>
        <w:rPr>
          <w:rFonts w:ascii="Arial"/>
          <w:b/>
          <w:color w:val="231F20"/>
          <w:w w:val="90"/>
          <w:sz w:val="14"/>
        </w:rPr>
        <w:t>Signes</w:t>
      </w:r>
      <w:r>
        <w:rPr>
          <w:rFonts w:ascii="Arial"/>
          <w:b/>
          <w:color w:val="231F20"/>
          <w:spacing w:val="-5"/>
          <w:w w:val="90"/>
          <w:sz w:val="14"/>
        </w:rPr>
        <w:t> </w:t>
      </w:r>
      <w:r>
        <w:rPr>
          <w:rFonts w:ascii="Arial"/>
          <w:b/>
          <w:color w:val="231F20"/>
          <w:spacing w:val="-2"/>
          <w:sz w:val="14"/>
        </w:rPr>
        <w:t>comportementaux</w:t>
      </w:r>
    </w:p>
    <w:p>
      <w:pPr>
        <w:spacing w:before="99"/>
        <w:ind w:left="910" w:right="0" w:firstLine="0"/>
        <w:jc w:val="both"/>
        <w:rPr>
          <w:rFonts w:ascii="Arial" w:hAnsi="Arial"/>
          <w:sz w:val="14"/>
        </w:rPr>
      </w:pPr>
      <w:r>
        <w:rPr>
          <w:rFonts w:ascii="Wingdings" w:hAnsi="Wingdings"/>
          <w:color w:val="231F20"/>
          <w:sz w:val="14"/>
        </w:rPr>
        <w:t></w:t>
      </w:r>
      <w:r>
        <w:rPr>
          <w:color w:val="231F20"/>
          <w:spacing w:val="-3"/>
          <w:sz w:val="14"/>
        </w:rPr>
        <w:t> </w:t>
      </w:r>
      <w:r>
        <w:rPr>
          <w:rFonts w:ascii="Arial" w:hAnsi="Arial"/>
          <w:color w:val="231F20"/>
          <w:sz w:val="14"/>
        </w:rPr>
        <w:t>Accroissement</w:t>
      </w:r>
      <w:r>
        <w:rPr>
          <w:rFonts w:ascii="Arial" w:hAnsi="Arial"/>
          <w:color w:val="231F20"/>
          <w:spacing w:val="-6"/>
          <w:sz w:val="14"/>
        </w:rPr>
        <w:t> </w:t>
      </w:r>
      <w:r>
        <w:rPr>
          <w:rFonts w:ascii="Arial" w:hAnsi="Arial"/>
          <w:color w:val="231F20"/>
          <w:sz w:val="14"/>
        </w:rPr>
        <w:t>du</w:t>
      </w:r>
      <w:r>
        <w:rPr>
          <w:rFonts w:ascii="Arial" w:hAnsi="Arial"/>
          <w:color w:val="231F20"/>
          <w:spacing w:val="-6"/>
          <w:sz w:val="14"/>
        </w:rPr>
        <w:t> </w:t>
      </w:r>
      <w:r>
        <w:rPr>
          <w:rFonts w:ascii="Arial" w:hAnsi="Arial"/>
          <w:color w:val="231F20"/>
          <w:spacing w:val="-2"/>
          <w:sz w:val="14"/>
        </w:rPr>
        <w:t>tabagisme</w:t>
      </w:r>
    </w:p>
    <w:p>
      <w:pPr>
        <w:spacing w:before="99"/>
        <w:ind w:left="910" w:right="0" w:firstLine="0"/>
        <w:jc w:val="both"/>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Consommation</w:t>
      </w:r>
      <w:r>
        <w:rPr>
          <w:rFonts w:ascii="Arial" w:hAnsi="Arial"/>
          <w:color w:val="231F20"/>
          <w:spacing w:val="-3"/>
          <w:sz w:val="14"/>
        </w:rPr>
        <w:t> </w:t>
      </w:r>
      <w:r>
        <w:rPr>
          <w:rFonts w:ascii="Arial" w:hAnsi="Arial"/>
          <w:color w:val="231F20"/>
          <w:sz w:val="14"/>
        </w:rPr>
        <w:t>d’alcool</w:t>
      </w:r>
      <w:r>
        <w:rPr>
          <w:rFonts w:ascii="Arial" w:hAnsi="Arial"/>
          <w:color w:val="231F20"/>
          <w:spacing w:val="-2"/>
          <w:sz w:val="14"/>
        </w:rPr>
        <w:t> supérieure</w:t>
      </w:r>
    </w:p>
    <w:p>
      <w:pPr>
        <w:spacing w:line="268" w:lineRule="auto" w:before="19"/>
        <w:ind w:left="1070" w:right="147" w:firstLine="0"/>
        <w:jc w:val="both"/>
        <w:rPr>
          <w:rFonts w:ascii="Arial" w:hAnsi="Arial"/>
          <w:sz w:val="14"/>
        </w:rPr>
      </w:pPr>
      <w:r>
        <w:rPr>
          <w:rFonts w:ascii="Arial" w:hAnsi="Arial"/>
          <w:color w:val="231F20"/>
          <w:sz w:val="14"/>
        </w:rPr>
        <w:t>à</w:t>
      </w:r>
      <w:r>
        <w:rPr>
          <w:rFonts w:ascii="Arial" w:hAnsi="Arial"/>
          <w:color w:val="231F20"/>
          <w:spacing w:val="-3"/>
          <w:sz w:val="14"/>
        </w:rPr>
        <w:t> </w:t>
      </w:r>
      <w:r>
        <w:rPr>
          <w:rFonts w:ascii="Arial" w:hAnsi="Arial"/>
          <w:color w:val="231F20"/>
          <w:sz w:val="14"/>
        </w:rPr>
        <w:t>la</w:t>
      </w:r>
      <w:r>
        <w:rPr>
          <w:rFonts w:ascii="Arial" w:hAnsi="Arial"/>
          <w:color w:val="231F20"/>
          <w:spacing w:val="-3"/>
          <w:sz w:val="14"/>
        </w:rPr>
        <w:t> </w:t>
      </w:r>
      <w:r>
        <w:rPr>
          <w:rFonts w:ascii="Arial" w:hAnsi="Arial"/>
          <w:color w:val="231F20"/>
          <w:sz w:val="14"/>
        </w:rPr>
        <w:t>quantité</w:t>
      </w:r>
      <w:r>
        <w:rPr>
          <w:rFonts w:ascii="Arial" w:hAnsi="Arial"/>
          <w:color w:val="231F20"/>
          <w:spacing w:val="-3"/>
          <w:sz w:val="14"/>
        </w:rPr>
        <w:t> </w:t>
      </w:r>
      <w:r>
        <w:rPr>
          <w:rFonts w:ascii="Arial" w:hAnsi="Arial"/>
          <w:color w:val="231F20"/>
          <w:sz w:val="14"/>
        </w:rPr>
        <w:t>généralement</w:t>
      </w:r>
      <w:r>
        <w:rPr>
          <w:rFonts w:ascii="Arial" w:hAnsi="Arial"/>
          <w:color w:val="231F20"/>
          <w:spacing w:val="-3"/>
          <w:sz w:val="14"/>
        </w:rPr>
        <w:t> </w:t>
      </w:r>
      <w:r>
        <w:rPr>
          <w:rFonts w:ascii="Arial" w:hAnsi="Arial"/>
          <w:color w:val="231F20"/>
          <w:sz w:val="14"/>
        </w:rPr>
        <w:t>acceptable</w:t>
      </w:r>
      <w:r>
        <w:rPr>
          <w:rFonts w:ascii="Arial" w:hAnsi="Arial"/>
          <w:color w:val="231F20"/>
          <w:spacing w:val="40"/>
          <w:sz w:val="14"/>
        </w:rPr>
        <w:t> </w:t>
      </w:r>
      <w:r>
        <w:rPr>
          <w:rFonts w:ascii="Arial" w:hAnsi="Arial"/>
          <w:color w:val="231F20"/>
          <w:sz w:val="14"/>
        </w:rPr>
        <w:t>pour la santé</w:t>
      </w:r>
    </w:p>
    <w:p>
      <w:pPr>
        <w:spacing w:line="268" w:lineRule="auto" w:before="79"/>
        <w:ind w:left="1070" w:right="350" w:hanging="161"/>
        <w:jc w:val="both"/>
        <w:rPr>
          <w:rFonts w:ascii="Arial" w:hAnsi="Arial"/>
          <w:sz w:val="14"/>
        </w:rPr>
      </w:pPr>
      <w:r>
        <w:rPr>
          <w:rFonts w:ascii="Wingdings" w:hAnsi="Wingdings"/>
          <w:color w:val="231F20"/>
          <w:spacing w:val="-2"/>
          <w:sz w:val="14"/>
        </w:rPr>
        <w:t></w:t>
      </w:r>
      <w:r>
        <w:rPr>
          <w:color w:val="231F20"/>
          <w:spacing w:val="-2"/>
          <w:sz w:val="14"/>
        </w:rPr>
        <w:t> </w:t>
      </w:r>
      <w:r>
        <w:rPr>
          <w:rFonts w:ascii="Arial" w:hAnsi="Arial"/>
          <w:color w:val="231F20"/>
          <w:spacing w:val="-2"/>
          <w:sz w:val="14"/>
        </w:rPr>
        <w:t>Consommation</w:t>
      </w:r>
      <w:r>
        <w:rPr>
          <w:rFonts w:ascii="Arial" w:hAnsi="Arial"/>
          <w:color w:val="231F20"/>
          <w:spacing w:val="-6"/>
          <w:sz w:val="14"/>
        </w:rPr>
        <w:t> </w:t>
      </w:r>
      <w:r>
        <w:rPr>
          <w:rFonts w:ascii="Arial" w:hAnsi="Arial"/>
          <w:color w:val="231F20"/>
          <w:spacing w:val="-2"/>
          <w:sz w:val="14"/>
        </w:rPr>
        <w:t>accrue</w:t>
      </w:r>
      <w:r>
        <w:rPr>
          <w:rFonts w:ascii="Arial" w:hAnsi="Arial"/>
          <w:color w:val="231F20"/>
          <w:spacing w:val="-6"/>
          <w:sz w:val="14"/>
        </w:rPr>
        <w:t> </w:t>
      </w:r>
      <w:r>
        <w:rPr>
          <w:rFonts w:ascii="Arial" w:hAnsi="Arial"/>
          <w:color w:val="231F20"/>
          <w:spacing w:val="-2"/>
          <w:sz w:val="14"/>
        </w:rPr>
        <w:t>de</w:t>
      </w:r>
      <w:r>
        <w:rPr>
          <w:rFonts w:ascii="Arial" w:hAnsi="Arial"/>
          <w:color w:val="231F20"/>
          <w:spacing w:val="-6"/>
          <w:sz w:val="14"/>
        </w:rPr>
        <w:t> </w:t>
      </w:r>
      <w:r>
        <w:rPr>
          <w:rFonts w:ascii="Arial" w:hAnsi="Arial"/>
          <w:color w:val="231F20"/>
          <w:spacing w:val="-2"/>
          <w:sz w:val="14"/>
        </w:rPr>
        <w:t>sucreries,</w:t>
      </w:r>
      <w:r>
        <w:rPr>
          <w:rFonts w:ascii="Arial" w:hAnsi="Arial"/>
          <w:color w:val="231F20"/>
          <w:spacing w:val="40"/>
          <w:sz w:val="14"/>
        </w:rPr>
        <w:t> </w:t>
      </w:r>
      <w:r>
        <w:rPr>
          <w:rFonts w:ascii="Arial" w:hAnsi="Arial"/>
          <w:color w:val="231F20"/>
          <w:sz w:val="14"/>
        </w:rPr>
        <w:t>de chocolat ou de pâtisseries</w:t>
      </w:r>
    </w:p>
    <w:p>
      <w:pPr>
        <w:spacing w:line="268" w:lineRule="auto" w:before="80"/>
        <w:ind w:left="1070" w:right="432" w:hanging="161"/>
        <w:jc w:val="both"/>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Consommation</w:t>
      </w:r>
      <w:r>
        <w:rPr>
          <w:rFonts w:ascii="Arial" w:hAnsi="Arial"/>
          <w:color w:val="231F20"/>
          <w:spacing w:val="-10"/>
          <w:sz w:val="14"/>
        </w:rPr>
        <w:t> </w:t>
      </w:r>
      <w:r>
        <w:rPr>
          <w:rFonts w:ascii="Arial" w:hAnsi="Arial"/>
          <w:color w:val="231F20"/>
          <w:sz w:val="14"/>
        </w:rPr>
        <w:t>d’antidépresseurs,</w:t>
      </w:r>
      <w:r>
        <w:rPr>
          <w:rFonts w:ascii="Arial" w:hAnsi="Arial"/>
          <w:color w:val="231F20"/>
          <w:spacing w:val="40"/>
          <w:sz w:val="14"/>
        </w:rPr>
        <w:t> </w:t>
      </w:r>
      <w:r>
        <w:rPr>
          <w:rFonts w:ascii="Arial" w:hAnsi="Arial"/>
          <w:color w:val="231F20"/>
          <w:sz w:val="14"/>
        </w:rPr>
        <w:t>de tranquillisants, de somnifères,</w:t>
      </w:r>
      <w:r>
        <w:rPr>
          <w:rFonts w:ascii="Arial" w:hAnsi="Arial"/>
          <w:color w:val="231F20"/>
          <w:spacing w:val="40"/>
          <w:sz w:val="14"/>
        </w:rPr>
        <w:t> </w:t>
      </w:r>
      <w:r>
        <w:rPr>
          <w:rFonts w:ascii="Arial" w:hAnsi="Arial"/>
          <w:color w:val="231F20"/>
          <w:sz w:val="14"/>
        </w:rPr>
        <w:t>de narcotiques, d’analgésiques,</w:t>
      </w:r>
    </w:p>
    <w:p>
      <w:pPr>
        <w:spacing w:line="160" w:lineRule="exact" w:before="0"/>
        <w:ind w:left="1070" w:right="0" w:firstLine="0"/>
        <w:jc w:val="both"/>
        <w:rPr>
          <w:rFonts w:ascii="Arial" w:hAnsi="Arial"/>
          <w:sz w:val="14"/>
        </w:rPr>
      </w:pPr>
      <w:r>
        <w:rPr>
          <w:rFonts w:ascii="Arial" w:hAnsi="Arial"/>
          <w:color w:val="231F20"/>
          <w:sz w:val="14"/>
        </w:rPr>
        <w:t>de</w:t>
      </w:r>
      <w:r>
        <w:rPr>
          <w:rFonts w:ascii="Arial" w:hAnsi="Arial"/>
          <w:color w:val="231F20"/>
          <w:spacing w:val="-6"/>
          <w:sz w:val="14"/>
        </w:rPr>
        <w:t> </w:t>
      </w:r>
      <w:r>
        <w:rPr>
          <w:rFonts w:ascii="Arial" w:hAnsi="Arial"/>
          <w:color w:val="231F20"/>
          <w:sz w:val="14"/>
        </w:rPr>
        <w:t>marijuana</w:t>
      </w:r>
      <w:r>
        <w:rPr>
          <w:rFonts w:ascii="Arial" w:hAnsi="Arial"/>
          <w:color w:val="231F20"/>
          <w:spacing w:val="-6"/>
          <w:sz w:val="14"/>
        </w:rPr>
        <w:t> </w:t>
      </w:r>
      <w:r>
        <w:rPr>
          <w:rFonts w:ascii="Arial" w:hAnsi="Arial"/>
          <w:color w:val="231F20"/>
          <w:sz w:val="14"/>
        </w:rPr>
        <w:t>ou</w:t>
      </w:r>
      <w:r>
        <w:rPr>
          <w:rFonts w:ascii="Arial" w:hAnsi="Arial"/>
          <w:color w:val="231F20"/>
          <w:spacing w:val="-6"/>
          <w:sz w:val="14"/>
        </w:rPr>
        <w:t> </w:t>
      </w:r>
      <w:r>
        <w:rPr>
          <w:rFonts w:ascii="Arial" w:hAnsi="Arial"/>
          <w:color w:val="231F20"/>
          <w:sz w:val="14"/>
        </w:rPr>
        <w:t>d’autres</w:t>
      </w:r>
      <w:r>
        <w:rPr>
          <w:rFonts w:ascii="Arial" w:hAnsi="Arial"/>
          <w:color w:val="231F20"/>
          <w:spacing w:val="-6"/>
          <w:sz w:val="14"/>
        </w:rPr>
        <w:t> </w:t>
      </w:r>
      <w:r>
        <w:rPr>
          <w:rFonts w:ascii="Arial" w:hAnsi="Arial"/>
          <w:color w:val="231F20"/>
          <w:sz w:val="14"/>
        </w:rPr>
        <w:t>drogues</w:t>
      </w:r>
      <w:r>
        <w:rPr>
          <w:rFonts w:ascii="Arial" w:hAnsi="Arial"/>
          <w:color w:val="231F20"/>
          <w:spacing w:val="-6"/>
          <w:sz w:val="14"/>
        </w:rPr>
        <w:t> </w:t>
      </w:r>
      <w:r>
        <w:rPr>
          <w:rFonts w:ascii="Arial" w:hAnsi="Arial"/>
          <w:color w:val="231F20"/>
          <w:spacing w:val="-2"/>
          <w:sz w:val="14"/>
        </w:rPr>
        <w:t>illicites</w:t>
      </w:r>
    </w:p>
    <w:p>
      <w:pPr>
        <w:spacing w:before="99"/>
        <w:ind w:left="910" w:right="0" w:firstLine="0"/>
        <w:jc w:val="both"/>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Diminution</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la</w:t>
      </w:r>
      <w:r>
        <w:rPr>
          <w:rFonts w:ascii="Arial" w:hAnsi="Arial"/>
          <w:color w:val="231F20"/>
          <w:spacing w:val="1"/>
          <w:sz w:val="14"/>
        </w:rPr>
        <w:t> </w:t>
      </w:r>
      <w:r>
        <w:rPr>
          <w:rFonts w:ascii="Arial" w:hAnsi="Arial"/>
          <w:color w:val="231F20"/>
          <w:sz w:val="14"/>
        </w:rPr>
        <w:t>prise</w:t>
      </w:r>
      <w:r>
        <w:rPr>
          <w:rFonts w:ascii="Arial" w:hAnsi="Arial"/>
          <w:color w:val="231F20"/>
          <w:spacing w:val="1"/>
          <w:sz w:val="14"/>
        </w:rPr>
        <w:t> </w:t>
      </w:r>
      <w:r>
        <w:rPr>
          <w:rFonts w:ascii="Arial" w:hAnsi="Arial"/>
          <w:color w:val="231F20"/>
          <w:spacing w:val="-2"/>
          <w:sz w:val="14"/>
        </w:rPr>
        <w:t>alimentaire</w:t>
      </w:r>
    </w:p>
    <w:p>
      <w:pPr>
        <w:spacing w:before="99"/>
        <w:ind w:left="910" w:right="0" w:firstLine="0"/>
        <w:jc w:val="left"/>
        <w:rPr>
          <w:rFonts w:ascii="Arial" w:hAnsi="Arial"/>
          <w:sz w:val="14"/>
        </w:rPr>
      </w:pPr>
      <w:r>
        <w:rPr>
          <w:rFonts w:ascii="Wingdings" w:hAnsi="Wingdings"/>
          <w:color w:val="231F20"/>
          <w:sz w:val="14"/>
        </w:rPr>
        <w:t></w:t>
      </w:r>
      <w:r>
        <w:rPr>
          <w:color w:val="231F20"/>
          <w:spacing w:val="4"/>
          <w:sz w:val="14"/>
        </w:rPr>
        <w:t> </w:t>
      </w:r>
      <w:r>
        <w:rPr>
          <w:rFonts w:ascii="Arial" w:hAnsi="Arial"/>
          <w:color w:val="231F20"/>
          <w:sz w:val="14"/>
        </w:rPr>
        <w:t>Augmentation</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la prise</w:t>
      </w:r>
      <w:r>
        <w:rPr>
          <w:rFonts w:ascii="Arial" w:hAnsi="Arial"/>
          <w:color w:val="231F20"/>
          <w:spacing w:val="1"/>
          <w:sz w:val="14"/>
        </w:rPr>
        <w:t> </w:t>
      </w:r>
      <w:r>
        <w:rPr>
          <w:rFonts w:ascii="Arial" w:hAnsi="Arial"/>
          <w:color w:val="231F20"/>
          <w:spacing w:val="-2"/>
          <w:sz w:val="14"/>
        </w:rPr>
        <w:t>alimentaire</w:t>
      </w:r>
    </w:p>
    <w:p>
      <w:pPr>
        <w:spacing w:line="268" w:lineRule="auto" w:before="99"/>
        <w:ind w:left="1070" w:right="146" w:hanging="161"/>
        <w:jc w:val="left"/>
        <w:rPr>
          <w:rFonts w:ascii="Arial" w:hAnsi="Arial"/>
          <w:sz w:val="14"/>
        </w:rPr>
      </w:pPr>
      <w:r>
        <w:rPr>
          <w:rFonts w:ascii="Wingdings" w:hAnsi="Wingdings"/>
          <w:color w:val="231F20"/>
          <w:sz w:val="14"/>
        </w:rPr>
        <w:t></w:t>
      </w:r>
      <w:r>
        <w:rPr>
          <w:color w:val="231F20"/>
          <w:sz w:val="14"/>
        </w:rPr>
        <w:t> </w:t>
      </w:r>
      <w:r>
        <w:rPr>
          <w:rFonts w:ascii="Arial" w:hAnsi="Arial"/>
          <w:color w:val="231F20"/>
          <w:sz w:val="14"/>
        </w:rPr>
        <w:t>Consommation</w:t>
      </w:r>
      <w:r>
        <w:rPr>
          <w:rFonts w:ascii="Arial" w:hAnsi="Arial"/>
          <w:color w:val="231F20"/>
          <w:spacing w:val="-1"/>
          <w:sz w:val="14"/>
        </w:rPr>
        <w:t> </w:t>
      </w:r>
      <w:r>
        <w:rPr>
          <w:rFonts w:ascii="Arial" w:hAnsi="Arial"/>
          <w:color w:val="231F20"/>
          <w:sz w:val="14"/>
        </w:rPr>
        <w:t>frénétique</w:t>
      </w:r>
      <w:r>
        <w:rPr>
          <w:rFonts w:ascii="Arial" w:hAnsi="Arial"/>
          <w:color w:val="231F20"/>
          <w:spacing w:val="-1"/>
          <w:sz w:val="14"/>
        </w:rPr>
        <w:t> </w:t>
      </w:r>
      <w:r>
        <w:rPr>
          <w:rFonts w:ascii="Arial" w:hAnsi="Arial"/>
          <w:color w:val="231F20"/>
          <w:sz w:val="14"/>
        </w:rPr>
        <w:t>d’aliments</w:t>
      </w:r>
      <w:r>
        <w:rPr>
          <w:rFonts w:ascii="Arial" w:hAnsi="Arial"/>
          <w:color w:val="231F20"/>
          <w:spacing w:val="40"/>
          <w:sz w:val="14"/>
        </w:rPr>
        <w:t> </w:t>
      </w:r>
      <w:r>
        <w:rPr>
          <w:rFonts w:ascii="Arial" w:hAnsi="Arial"/>
          <w:color w:val="231F20"/>
          <w:sz w:val="14"/>
        </w:rPr>
        <w:t>ou</w:t>
      </w:r>
      <w:r>
        <w:rPr>
          <w:rFonts w:ascii="Arial" w:hAnsi="Arial"/>
          <w:color w:val="231F20"/>
          <w:spacing w:val="-10"/>
          <w:sz w:val="14"/>
        </w:rPr>
        <w:t> </w:t>
      </w:r>
      <w:r>
        <w:rPr>
          <w:rFonts w:ascii="Arial" w:hAnsi="Arial"/>
          <w:color w:val="231F20"/>
          <w:sz w:val="14"/>
        </w:rPr>
        <w:t>d’alcool</w:t>
      </w:r>
    </w:p>
    <w:p>
      <w:pPr>
        <w:spacing w:line="268" w:lineRule="auto" w:before="79"/>
        <w:ind w:left="1070" w:right="0" w:hanging="161"/>
        <w:jc w:val="left"/>
        <w:rPr>
          <w:rFonts w:ascii="Arial" w:hAnsi="Arial"/>
          <w:sz w:val="14"/>
        </w:rPr>
      </w:pPr>
      <w:r>
        <w:rPr/>
        <w:pict>
          <v:group style="position:absolute;margin-left:62.5pt;margin-top:23.384926pt;width:287.5pt;height:.25pt;mso-position-horizontal-relative:page;mso-position-vertical-relative:paragraph;z-index:15796224" id="docshapegroup807" coordorigin="1250,468" coordsize="5750,5">
            <v:line style="position:absolute" from="1250,470" to="4125,470" stroked="true" strokeweight=".25pt" strokecolor="#231f20">
              <v:stroke dashstyle="solid"/>
            </v:line>
            <v:line style="position:absolute" from="4125,470" to="7000,470" stroked="true" strokeweight=".25pt" strokecolor="#231f20">
              <v:stroke dashstyle="solid"/>
            </v:line>
            <w10:wrap type="none"/>
          </v:group>
        </w:pict>
      </w:r>
      <w:r>
        <w:rPr>
          <w:rFonts w:ascii="Wingdings" w:hAnsi="Wingdings"/>
          <w:color w:val="231F20"/>
          <w:sz w:val="14"/>
        </w:rPr>
        <w:t></w:t>
      </w:r>
      <w:r>
        <w:rPr>
          <w:color w:val="231F20"/>
          <w:sz w:val="14"/>
        </w:rPr>
        <w:t> </w:t>
      </w:r>
      <w:r>
        <w:rPr>
          <w:rFonts w:ascii="Arial" w:hAnsi="Arial"/>
          <w:color w:val="231F20"/>
          <w:sz w:val="14"/>
        </w:rPr>
        <w:t>Prise</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laxatifs</w:t>
      </w:r>
      <w:r>
        <w:rPr>
          <w:rFonts w:ascii="Arial" w:hAnsi="Arial"/>
          <w:color w:val="231F20"/>
          <w:spacing w:val="-3"/>
          <w:sz w:val="14"/>
        </w:rPr>
        <w:t> </w:t>
      </w:r>
      <w:r>
        <w:rPr>
          <w:rFonts w:ascii="Arial" w:hAnsi="Arial"/>
          <w:color w:val="231F20"/>
          <w:sz w:val="14"/>
        </w:rPr>
        <w:t>ou</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purgatifs</w:t>
      </w:r>
      <w:r>
        <w:rPr>
          <w:rFonts w:ascii="Arial" w:hAnsi="Arial"/>
          <w:color w:val="231F20"/>
          <w:spacing w:val="-3"/>
          <w:sz w:val="14"/>
        </w:rPr>
        <w:t> </w:t>
      </w:r>
      <w:r>
        <w:rPr>
          <w:rFonts w:ascii="Arial" w:hAnsi="Arial"/>
          <w:color w:val="231F20"/>
          <w:sz w:val="14"/>
        </w:rPr>
        <w:t>pour</w:t>
      </w:r>
      <w:r>
        <w:rPr>
          <w:rFonts w:ascii="Arial" w:hAnsi="Arial"/>
          <w:color w:val="231F20"/>
          <w:w w:val="105"/>
          <w:sz w:val="14"/>
        </w:rPr>
        <w:t> contrôler le poids</w:t>
      </w:r>
    </w:p>
    <w:p>
      <w:pPr>
        <w:pStyle w:val="BodyText"/>
        <w:spacing w:before="8"/>
        <w:rPr>
          <w:rFonts w:ascii="Arial"/>
          <w:sz w:val="24"/>
        </w:rPr>
      </w:pPr>
    </w:p>
    <w:p>
      <w:pPr>
        <w:pStyle w:val="Heading5"/>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spacing w:line="240" w:lineRule="auto" w:before="0"/>
        <w:rPr>
          <w:rFonts w:ascii="Arial"/>
          <w:sz w:val="26"/>
        </w:rPr>
      </w:pPr>
      <w:r>
        <w:rPr/>
        <w:br w:type="column"/>
      </w:r>
      <w:r>
        <w:rPr>
          <w:rFonts w:ascii="Arial"/>
          <w:sz w:val="26"/>
        </w:rPr>
      </w:r>
    </w:p>
    <w:p>
      <w:pPr>
        <w:spacing w:line="268" w:lineRule="auto" w:before="0"/>
        <w:ind w:left="284" w:right="1135" w:hanging="161"/>
        <w:jc w:val="left"/>
        <w:rPr>
          <w:rFonts w:ascii="Arial" w:hAnsi="Arial"/>
          <w:sz w:val="14"/>
        </w:rPr>
      </w:pPr>
      <w:r>
        <w:rPr>
          <w:rFonts w:ascii="Wingdings" w:hAnsi="Wingdings"/>
          <w:color w:val="231F20"/>
          <w:sz w:val="14"/>
        </w:rPr>
        <w:t></w:t>
      </w:r>
      <w:r>
        <w:rPr>
          <w:color w:val="231F20"/>
          <w:spacing w:val="-9"/>
          <w:sz w:val="14"/>
        </w:rPr>
        <w:t> </w:t>
      </w:r>
      <w:r>
        <w:rPr>
          <w:rFonts w:ascii="Arial" w:hAnsi="Arial"/>
          <w:color w:val="231F20"/>
          <w:sz w:val="14"/>
        </w:rPr>
        <w:t>Tendance</w:t>
      </w:r>
      <w:r>
        <w:rPr>
          <w:rFonts w:ascii="Arial" w:hAnsi="Arial"/>
          <w:color w:val="231F20"/>
          <w:spacing w:val="-10"/>
          <w:sz w:val="14"/>
        </w:rPr>
        <w:t> </w:t>
      </w:r>
      <w:r>
        <w:rPr>
          <w:rFonts w:ascii="Arial" w:hAnsi="Arial"/>
          <w:color w:val="231F20"/>
          <w:sz w:val="14"/>
        </w:rPr>
        <w:t>à</w:t>
      </w:r>
      <w:r>
        <w:rPr>
          <w:rFonts w:ascii="Arial" w:hAnsi="Arial"/>
          <w:color w:val="231F20"/>
          <w:spacing w:val="-10"/>
          <w:sz w:val="14"/>
        </w:rPr>
        <w:t> </w:t>
      </w:r>
      <w:r>
        <w:rPr>
          <w:rFonts w:ascii="Arial" w:hAnsi="Arial"/>
          <w:color w:val="231F20"/>
          <w:sz w:val="14"/>
        </w:rPr>
        <w:t>devenir</w:t>
      </w:r>
      <w:r>
        <w:rPr>
          <w:rFonts w:ascii="Arial" w:hAnsi="Arial"/>
          <w:color w:val="231F20"/>
          <w:spacing w:val="-9"/>
          <w:sz w:val="14"/>
        </w:rPr>
        <w:t> </w:t>
      </w:r>
      <w:r>
        <w:rPr>
          <w:rFonts w:ascii="Arial" w:hAnsi="Arial"/>
          <w:color w:val="231F20"/>
          <w:sz w:val="14"/>
        </w:rPr>
        <w:t>un</w:t>
      </w:r>
      <w:r>
        <w:rPr>
          <w:rFonts w:ascii="Arial" w:hAnsi="Arial"/>
          <w:color w:val="231F20"/>
          <w:spacing w:val="-10"/>
          <w:sz w:val="14"/>
        </w:rPr>
        <w:t> </w:t>
      </w:r>
      <w:r>
        <w:rPr>
          <w:rFonts w:ascii="Arial" w:hAnsi="Arial"/>
          <w:color w:val="231F20"/>
          <w:sz w:val="14"/>
        </w:rPr>
        <w:t>bourreau</w:t>
      </w:r>
      <w:r>
        <w:rPr>
          <w:rFonts w:ascii="Arial" w:hAnsi="Arial"/>
          <w:color w:val="231F20"/>
          <w:spacing w:val="40"/>
          <w:sz w:val="14"/>
        </w:rPr>
        <w:t> </w:t>
      </w:r>
      <w:r>
        <w:rPr>
          <w:rFonts w:ascii="Arial" w:hAnsi="Arial"/>
          <w:color w:val="231F20"/>
          <w:sz w:val="14"/>
        </w:rPr>
        <w:t>de travail, à cesser de prendre</w:t>
      </w:r>
      <w:r>
        <w:rPr>
          <w:rFonts w:ascii="Arial" w:hAnsi="Arial"/>
          <w:color w:val="231F20"/>
          <w:spacing w:val="40"/>
          <w:sz w:val="14"/>
        </w:rPr>
        <w:t> </w:t>
      </w:r>
      <w:r>
        <w:rPr>
          <w:rFonts w:ascii="Arial" w:hAnsi="Arial"/>
          <w:color w:val="231F20"/>
          <w:sz w:val="14"/>
        </w:rPr>
        <w:t>le temps de relaxer ou de faire</w:t>
      </w:r>
      <w:r>
        <w:rPr>
          <w:rFonts w:ascii="Arial" w:hAnsi="Arial"/>
          <w:color w:val="231F20"/>
          <w:spacing w:val="40"/>
          <w:sz w:val="14"/>
        </w:rPr>
        <w:t> </w:t>
      </w:r>
      <w:r>
        <w:rPr>
          <w:rFonts w:ascii="Arial" w:hAnsi="Arial"/>
          <w:color w:val="231F20"/>
          <w:sz w:val="14"/>
        </w:rPr>
        <w:t>des activités agréables</w:t>
      </w:r>
    </w:p>
    <w:p>
      <w:pPr>
        <w:spacing w:before="79"/>
        <w:ind w:left="124" w:right="0" w:firstLine="0"/>
        <w:jc w:val="left"/>
        <w:rPr>
          <w:rFonts w:ascii="Arial" w:hAnsi="Arial"/>
          <w:sz w:val="14"/>
        </w:rPr>
      </w:pPr>
      <w:r>
        <w:rPr>
          <w:rFonts w:ascii="Wingdings" w:hAnsi="Wingdings"/>
          <w:color w:val="231F20"/>
          <w:sz w:val="14"/>
        </w:rPr>
        <w:t></w:t>
      </w:r>
      <w:r>
        <w:rPr>
          <w:color w:val="231F20"/>
          <w:spacing w:val="-5"/>
          <w:sz w:val="14"/>
        </w:rPr>
        <w:t> </w:t>
      </w:r>
      <w:r>
        <w:rPr>
          <w:rFonts w:ascii="Arial" w:hAnsi="Arial"/>
          <w:color w:val="231F20"/>
          <w:sz w:val="14"/>
        </w:rPr>
        <w:t>Absentéisme</w:t>
      </w:r>
      <w:r>
        <w:rPr>
          <w:rFonts w:ascii="Arial" w:hAnsi="Arial"/>
          <w:color w:val="231F20"/>
          <w:spacing w:val="-9"/>
          <w:sz w:val="14"/>
        </w:rPr>
        <w:t> </w:t>
      </w:r>
      <w:r>
        <w:rPr>
          <w:rFonts w:ascii="Arial" w:hAnsi="Arial"/>
          <w:color w:val="231F20"/>
          <w:sz w:val="14"/>
        </w:rPr>
        <w:t>au</w:t>
      </w:r>
      <w:r>
        <w:rPr>
          <w:rFonts w:ascii="Arial" w:hAnsi="Arial"/>
          <w:color w:val="231F20"/>
          <w:spacing w:val="-9"/>
          <w:sz w:val="14"/>
        </w:rPr>
        <w:t> </w:t>
      </w:r>
      <w:r>
        <w:rPr>
          <w:rFonts w:ascii="Arial" w:hAnsi="Arial"/>
          <w:color w:val="231F20"/>
          <w:spacing w:val="-2"/>
          <w:sz w:val="14"/>
        </w:rPr>
        <w:t>travail</w:t>
      </w:r>
    </w:p>
    <w:p>
      <w:pPr>
        <w:spacing w:line="268" w:lineRule="auto" w:before="99"/>
        <w:ind w:left="284" w:right="734" w:hanging="161"/>
        <w:jc w:val="left"/>
        <w:rPr>
          <w:rFonts w:ascii="Arial" w:hAnsi="Arial"/>
          <w:sz w:val="14"/>
        </w:rPr>
      </w:pPr>
      <w:r>
        <w:rPr>
          <w:rFonts w:ascii="Wingdings" w:hAnsi="Wingdings"/>
          <w:color w:val="231F20"/>
          <w:sz w:val="14"/>
        </w:rPr>
        <w:t></w:t>
      </w:r>
      <w:r>
        <w:rPr>
          <w:color w:val="231F20"/>
          <w:spacing w:val="-6"/>
          <w:sz w:val="14"/>
        </w:rPr>
        <w:t> </w:t>
      </w:r>
      <w:r>
        <w:rPr>
          <w:rFonts w:ascii="Arial" w:hAnsi="Arial"/>
          <w:color w:val="231F20"/>
          <w:sz w:val="14"/>
        </w:rPr>
        <w:t>Évitement</w:t>
      </w:r>
      <w:r>
        <w:rPr>
          <w:rFonts w:ascii="Arial" w:hAnsi="Arial"/>
          <w:color w:val="231F20"/>
          <w:spacing w:val="-1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certaines</w:t>
      </w:r>
      <w:r>
        <w:rPr>
          <w:rFonts w:ascii="Arial" w:hAnsi="Arial"/>
          <w:color w:val="231F20"/>
          <w:spacing w:val="-10"/>
          <w:sz w:val="14"/>
        </w:rPr>
        <w:t> </w:t>
      </w:r>
      <w:r>
        <w:rPr>
          <w:rFonts w:ascii="Arial" w:hAnsi="Arial"/>
          <w:color w:val="231F20"/>
          <w:sz w:val="14"/>
        </w:rPr>
        <w:t>personnes</w:t>
      </w:r>
      <w:r>
        <w:rPr>
          <w:rFonts w:ascii="Arial" w:hAnsi="Arial"/>
          <w:color w:val="231F20"/>
          <w:spacing w:val="-9"/>
          <w:sz w:val="14"/>
        </w:rPr>
        <w:t> </w:t>
      </w:r>
      <w:r>
        <w:rPr>
          <w:rFonts w:ascii="Arial" w:hAnsi="Arial"/>
          <w:color w:val="231F20"/>
          <w:sz w:val="14"/>
        </w:rPr>
        <w:t>ou</w:t>
      </w:r>
      <w:r>
        <w:rPr>
          <w:rFonts w:ascii="Arial" w:hAnsi="Arial"/>
          <w:color w:val="231F20"/>
          <w:spacing w:val="40"/>
          <w:sz w:val="14"/>
        </w:rPr>
        <w:t> </w:t>
      </w:r>
      <w:r>
        <w:rPr>
          <w:rFonts w:ascii="Arial" w:hAnsi="Arial"/>
          <w:color w:val="231F20"/>
          <w:sz w:val="14"/>
        </w:rPr>
        <w:t>de certains lieux</w:t>
      </w:r>
    </w:p>
    <w:p>
      <w:pPr>
        <w:spacing w:before="80"/>
        <w:ind w:left="124" w:right="0" w:firstLine="0"/>
        <w:jc w:val="left"/>
        <w:rPr>
          <w:rFonts w:ascii="Arial" w:hAnsi="Arial"/>
          <w:sz w:val="14"/>
        </w:rPr>
      </w:pPr>
      <w:r>
        <w:rPr>
          <w:rFonts w:ascii="Wingdings" w:hAnsi="Wingdings"/>
          <w:color w:val="231F20"/>
          <w:sz w:val="14"/>
        </w:rPr>
        <w:t></w:t>
      </w:r>
      <w:r>
        <w:rPr>
          <w:color w:val="231F20"/>
          <w:spacing w:val="-1"/>
          <w:sz w:val="14"/>
        </w:rPr>
        <w:t> </w:t>
      </w:r>
      <w:r>
        <w:rPr>
          <w:rFonts w:ascii="Arial" w:hAnsi="Arial"/>
          <w:color w:val="231F20"/>
          <w:sz w:val="14"/>
        </w:rPr>
        <w:t>Retrait</w:t>
      </w:r>
      <w:r>
        <w:rPr>
          <w:rFonts w:ascii="Arial" w:hAnsi="Arial"/>
          <w:color w:val="231F20"/>
          <w:spacing w:val="-5"/>
          <w:sz w:val="14"/>
        </w:rPr>
        <w:t> </w:t>
      </w:r>
      <w:r>
        <w:rPr>
          <w:rFonts w:ascii="Arial" w:hAnsi="Arial"/>
          <w:color w:val="231F20"/>
          <w:sz w:val="14"/>
        </w:rPr>
        <w:t>des</w:t>
      </w:r>
      <w:r>
        <w:rPr>
          <w:rFonts w:ascii="Arial" w:hAnsi="Arial"/>
          <w:color w:val="231F20"/>
          <w:spacing w:val="-4"/>
          <w:sz w:val="14"/>
        </w:rPr>
        <w:t> </w:t>
      </w:r>
      <w:r>
        <w:rPr>
          <w:rFonts w:ascii="Arial" w:hAnsi="Arial"/>
          <w:color w:val="231F20"/>
          <w:sz w:val="14"/>
        </w:rPr>
        <w:t>réunions</w:t>
      </w:r>
      <w:r>
        <w:rPr>
          <w:rFonts w:ascii="Arial" w:hAnsi="Arial"/>
          <w:color w:val="231F20"/>
          <w:spacing w:val="-5"/>
          <w:sz w:val="14"/>
        </w:rPr>
        <w:t> </w:t>
      </w:r>
      <w:r>
        <w:rPr>
          <w:rFonts w:ascii="Arial" w:hAnsi="Arial"/>
          <w:color w:val="231F20"/>
          <w:spacing w:val="-2"/>
          <w:sz w:val="14"/>
        </w:rPr>
        <w:t>sociales</w:t>
      </w:r>
    </w:p>
    <w:p>
      <w:pPr>
        <w:spacing w:line="268" w:lineRule="auto" w:before="99"/>
        <w:ind w:left="284" w:right="734" w:hanging="161"/>
        <w:jc w:val="left"/>
        <w:rPr>
          <w:rFonts w:ascii="Arial" w:hAnsi="Arial"/>
          <w:sz w:val="14"/>
        </w:rPr>
      </w:pPr>
      <w:r>
        <w:rPr>
          <w:rFonts w:ascii="Wingdings" w:hAnsi="Wingdings"/>
          <w:color w:val="231F20"/>
          <w:sz w:val="14"/>
        </w:rPr>
        <w:t></w:t>
      </w:r>
      <w:r>
        <w:rPr>
          <w:color w:val="231F20"/>
          <w:sz w:val="14"/>
        </w:rPr>
        <w:t> </w:t>
      </w:r>
      <w:r>
        <w:rPr>
          <w:rFonts w:ascii="Arial" w:hAnsi="Arial"/>
          <w:color w:val="231F20"/>
          <w:sz w:val="14"/>
        </w:rPr>
        <w:t>Comportement obsessif ou </w:t>
      </w:r>
      <w:r>
        <w:rPr>
          <w:rFonts w:ascii="Arial" w:hAnsi="Arial"/>
          <w:color w:val="231F20"/>
          <w:sz w:val="14"/>
        </w:rPr>
        <w:t>compulsif;</w:t>
      </w:r>
      <w:r>
        <w:rPr>
          <w:rFonts w:ascii="Arial" w:hAnsi="Arial"/>
          <w:color w:val="231F20"/>
          <w:spacing w:val="40"/>
          <w:sz w:val="14"/>
        </w:rPr>
        <w:t> </w:t>
      </w:r>
      <w:r>
        <w:rPr>
          <w:rFonts w:ascii="Arial" w:hAnsi="Arial"/>
          <w:color w:val="231F20"/>
          <w:sz w:val="14"/>
        </w:rPr>
        <w:t>par exemple, vérifier deux fois si on</w:t>
      </w:r>
    </w:p>
    <w:p>
      <w:pPr>
        <w:spacing w:line="268" w:lineRule="auto" w:before="0"/>
        <w:ind w:left="284" w:right="462" w:firstLine="0"/>
        <w:jc w:val="left"/>
        <w:rPr>
          <w:rFonts w:ascii="Arial" w:hAnsi="Arial"/>
          <w:sz w:val="14"/>
        </w:rPr>
      </w:pPr>
      <w:r>
        <w:rPr>
          <w:rFonts w:ascii="Arial" w:hAnsi="Arial"/>
          <w:color w:val="231F20"/>
          <w:sz w:val="14"/>
        </w:rPr>
        <w:t>a verrouillé les portes ou éteint les</w:t>
      </w:r>
      <w:r>
        <w:rPr>
          <w:rFonts w:ascii="Arial" w:hAnsi="Arial"/>
          <w:color w:val="231F20"/>
          <w:spacing w:val="40"/>
          <w:sz w:val="14"/>
        </w:rPr>
        <w:t> </w:t>
      </w:r>
      <w:r>
        <w:rPr>
          <w:rFonts w:ascii="Arial" w:hAnsi="Arial"/>
          <w:color w:val="231F20"/>
          <w:sz w:val="14"/>
        </w:rPr>
        <w:t>lumières,</w:t>
      </w:r>
      <w:r>
        <w:rPr>
          <w:rFonts w:ascii="Arial" w:hAnsi="Arial"/>
          <w:color w:val="231F20"/>
          <w:spacing w:val="-6"/>
          <w:sz w:val="14"/>
        </w:rPr>
        <w:t> </w:t>
      </w:r>
      <w:r>
        <w:rPr>
          <w:rFonts w:ascii="Arial" w:hAnsi="Arial"/>
          <w:color w:val="231F20"/>
          <w:sz w:val="14"/>
        </w:rPr>
        <w:t>se</w:t>
      </w:r>
      <w:r>
        <w:rPr>
          <w:rFonts w:ascii="Arial" w:hAnsi="Arial"/>
          <w:color w:val="231F20"/>
          <w:spacing w:val="-6"/>
          <w:sz w:val="14"/>
        </w:rPr>
        <w:t> </w:t>
      </w:r>
      <w:r>
        <w:rPr>
          <w:rFonts w:ascii="Arial" w:hAnsi="Arial"/>
          <w:color w:val="231F20"/>
          <w:sz w:val="14"/>
        </w:rPr>
        <w:t>laver</w:t>
      </w:r>
      <w:r>
        <w:rPr>
          <w:rFonts w:ascii="Arial" w:hAnsi="Arial"/>
          <w:color w:val="231F20"/>
          <w:spacing w:val="-6"/>
          <w:sz w:val="14"/>
        </w:rPr>
        <w:t> </w:t>
      </w:r>
      <w:r>
        <w:rPr>
          <w:rFonts w:ascii="Arial" w:hAnsi="Arial"/>
          <w:color w:val="231F20"/>
          <w:sz w:val="14"/>
        </w:rPr>
        <w:t>les</w:t>
      </w:r>
      <w:r>
        <w:rPr>
          <w:rFonts w:ascii="Arial" w:hAnsi="Arial"/>
          <w:color w:val="231F20"/>
          <w:spacing w:val="-6"/>
          <w:sz w:val="14"/>
        </w:rPr>
        <w:t> </w:t>
      </w:r>
      <w:r>
        <w:rPr>
          <w:rFonts w:ascii="Arial" w:hAnsi="Arial"/>
          <w:color w:val="231F20"/>
          <w:sz w:val="14"/>
        </w:rPr>
        <w:t>mains</w:t>
      </w:r>
      <w:r>
        <w:rPr>
          <w:rFonts w:ascii="Arial" w:hAnsi="Arial"/>
          <w:color w:val="231F20"/>
          <w:spacing w:val="-6"/>
          <w:sz w:val="14"/>
        </w:rPr>
        <w:t> </w:t>
      </w:r>
      <w:r>
        <w:rPr>
          <w:rFonts w:ascii="Arial" w:hAnsi="Arial"/>
          <w:color w:val="231F20"/>
          <w:sz w:val="14"/>
        </w:rPr>
        <w:t>à</w:t>
      </w:r>
      <w:r>
        <w:rPr>
          <w:rFonts w:ascii="Arial" w:hAnsi="Arial"/>
          <w:color w:val="231F20"/>
          <w:spacing w:val="-6"/>
          <w:sz w:val="14"/>
        </w:rPr>
        <w:t> </w:t>
      </w:r>
      <w:r>
        <w:rPr>
          <w:rFonts w:ascii="Arial" w:hAnsi="Arial"/>
          <w:color w:val="231F20"/>
          <w:sz w:val="14"/>
        </w:rPr>
        <w:t>répétition,</w:t>
      </w:r>
      <w:r>
        <w:rPr>
          <w:rFonts w:ascii="Arial" w:hAnsi="Arial"/>
          <w:color w:val="231F20"/>
          <w:spacing w:val="40"/>
          <w:sz w:val="14"/>
        </w:rPr>
        <w:t> </w:t>
      </w:r>
      <w:r>
        <w:rPr>
          <w:rFonts w:ascii="Arial" w:hAnsi="Arial"/>
          <w:color w:val="231F20"/>
          <w:sz w:val="14"/>
        </w:rPr>
        <w:t>s’arracher les cheveux, les sourcils,</w:t>
      </w:r>
    </w:p>
    <w:p>
      <w:pPr>
        <w:spacing w:line="160" w:lineRule="exact" w:before="0"/>
        <w:ind w:left="284" w:right="0" w:firstLine="0"/>
        <w:jc w:val="left"/>
        <w:rPr>
          <w:rFonts w:ascii="Arial"/>
          <w:sz w:val="14"/>
        </w:rPr>
      </w:pPr>
      <w:r>
        <w:rPr>
          <w:rFonts w:ascii="Arial"/>
          <w:color w:val="231F20"/>
          <w:sz w:val="14"/>
        </w:rPr>
        <w:t>les</w:t>
      </w:r>
      <w:r>
        <w:rPr>
          <w:rFonts w:ascii="Arial"/>
          <w:color w:val="231F20"/>
          <w:spacing w:val="-7"/>
          <w:sz w:val="14"/>
        </w:rPr>
        <w:t> </w:t>
      </w:r>
      <w:r>
        <w:rPr>
          <w:rFonts w:ascii="Arial"/>
          <w:color w:val="231F20"/>
          <w:sz w:val="14"/>
        </w:rPr>
        <w:t>poils</w:t>
      </w:r>
      <w:r>
        <w:rPr>
          <w:rFonts w:ascii="Arial"/>
          <w:color w:val="231F20"/>
          <w:spacing w:val="-7"/>
          <w:sz w:val="14"/>
        </w:rPr>
        <w:t> </w:t>
      </w:r>
      <w:r>
        <w:rPr>
          <w:rFonts w:ascii="Arial"/>
          <w:color w:val="231F20"/>
          <w:sz w:val="14"/>
        </w:rPr>
        <w:t>des</w:t>
      </w:r>
      <w:r>
        <w:rPr>
          <w:rFonts w:ascii="Arial"/>
          <w:color w:val="231F20"/>
          <w:spacing w:val="-7"/>
          <w:sz w:val="14"/>
        </w:rPr>
        <w:t> </w:t>
      </w:r>
      <w:r>
        <w:rPr>
          <w:rFonts w:ascii="Arial"/>
          <w:color w:val="231F20"/>
          <w:sz w:val="14"/>
        </w:rPr>
        <w:t>bras,</w:t>
      </w:r>
      <w:r>
        <w:rPr>
          <w:rFonts w:ascii="Arial"/>
          <w:color w:val="231F20"/>
          <w:spacing w:val="-7"/>
          <w:sz w:val="14"/>
        </w:rPr>
        <w:t> </w:t>
      </w:r>
      <w:r>
        <w:rPr>
          <w:rFonts w:ascii="Arial"/>
          <w:color w:val="231F20"/>
          <w:spacing w:val="-4"/>
          <w:sz w:val="14"/>
        </w:rPr>
        <w:t>etc.</w:t>
      </w:r>
    </w:p>
    <w:p>
      <w:pPr>
        <w:spacing w:after="0" w:line="160" w:lineRule="exact"/>
        <w:jc w:val="left"/>
        <w:rPr>
          <w:rFonts w:ascii="Arial"/>
          <w:sz w:val="14"/>
        </w:rPr>
        <w:sectPr>
          <w:type w:val="continuous"/>
          <w:pgSz w:w="8640" w:h="12960"/>
          <w:pgMar w:header="0" w:footer="424" w:top="1220" w:bottom="280" w:left="420" w:right="1140"/>
          <w:cols w:num="2" w:equalWidth="0">
            <w:col w:w="3621" w:space="40"/>
            <w:col w:w="3419"/>
          </w:cols>
        </w:sectPr>
      </w:pPr>
    </w:p>
    <w:p>
      <w:pPr>
        <w:pStyle w:val="ListParagraph"/>
        <w:numPr>
          <w:ilvl w:val="0"/>
          <w:numId w:val="61"/>
        </w:numPr>
        <w:tabs>
          <w:tab w:pos="1331" w:val="left" w:leader="none"/>
        </w:tabs>
        <w:spacing w:line="307" w:lineRule="auto" w:before="133" w:after="0"/>
        <w:ind w:left="1330" w:right="495" w:hanging="251"/>
        <w:jc w:val="both"/>
        <w:rPr>
          <w:sz w:val="17"/>
        </w:rPr>
      </w:pPr>
      <w:r>
        <w:rPr>
          <w:i/>
          <w:color w:val="231F20"/>
          <w:w w:val="115"/>
          <w:sz w:val="17"/>
        </w:rPr>
        <w:t>Symptômes psychologiques</w:t>
      </w:r>
      <w:r>
        <w:rPr>
          <w:color w:val="231F20"/>
          <w:w w:val="115"/>
          <w:sz w:val="17"/>
        </w:rPr>
        <w:t>. Si vous avez coché au moins 8 symp- </w:t>
      </w:r>
      <w:r>
        <w:rPr>
          <w:color w:val="231F20"/>
          <w:w w:val="120"/>
          <w:sz w:val="17"/>
        </w:rPr>
        <w:t>tômes de cette catégorie, vous souffrez vraisemblablement d’un </w:t>
      </w:r>
      <w:r>
        <w:rPr>
          <w:color w:val="231F20"/>
          <w:w w:val="115"/>
          <w:sz w:val="17"/>
        </w:rPr>
        <w:t>stress</w:t>
      </w:r>
      <w:r>
        <w:rPr>
          <w:color w:val="231F20"/>
          <w:spacing w:val="-8"/>
          <w:w w:val="115"/>
          <w:sz w:val="17"/>
        </w:rPr>
        <w:t> </w:t>
      </w:r>
      <w:r>
        <w:rPr>
          <w:color w:val="231F20"/>
          <w:w w:val="115"/>
          <w:sz w:val="17"/>
        </w:rPr>
        <w:t>important</w:t>
      </w:r>
      <w:r>
        <w:rPr>
          <w:color w:val="231F20"/>
          <w:spacing w:val="-8"/>
          <w:w w:val="115"/>
          <w:sz w:val="17"/>
        </w:rPr>
        <w:t> </w:t>
      </w:r>
      <w:r>
        <w:rPr>
          <w:color w:val="231F20"/>
          <w:w w:val="115"/>
          <w:sz w:val="17"/>
        </w:rPr>
        <w:t>qui</w:t>
      </w:r>
      <w:r>
        <w:rPr>
          <w:color w:val="231F20"/>
          <w:spacing w:val="-8"/>
          <w:w w:val="115"/>
          <w:sz w:val="17"/>
        </w:rPr>
        <w:t> </w:t>
      </w:r>
      <w:r>
        <w:rPr>
          <w:color w:val="231F20"/>
          <w:w w:val="115"/>
          <w:sz w:val="17"/>
        </w:rPr>
        <w:t>se</w:t>
      </w:r>
      <w:r>
        <w:rPr>
          <w:color w:val="231F20"/>
          <w:spacing w:val="-8"/>
          <w:w w:val="115"/>
          <w:sz w:val="17"/>
        </w:rPr>
        <w:t> </w:t>
      </w:r>
      <w:r>
        <w:rPr>
          <w:color w:val="231F20"/>
          <w:w w:val="115"/>
          <w:sz w:val="17"/>
        </w:rPr>
        <w:t>manifeste</w:t>
      </w:r>
      <w:r>
        <w:rPr>
          <w:color w:val="231F20"/>
          <w:spacing w:val="-8"/>
          <w:w w:val="115"/>
          <w:sz w:val="17"/>
        </w:rPr>
        <w:t> </w:t>
      </w:r>
      <w:r>
        <w:rPr>
          <w:color w:val="231F20"/>
          <w:w w:val="115"/>
          <w:sz w:val="17"/>
        </w:rPr>
        <w:t>sur</w:t>
      </w:r>
      <w:r>
        <w:rPr>
          <w:color w:val="231F20"/>
          <w:spacing w:val="-8"/>
          <w:w w:val="115"/>
          <w:sz w:val="17"/>
        </w:rPr>
        <w:t> </w:t>
      </w:r>
      <w:r>
        <w:rPr>
          <w:color w:val="231F20"/>
          <w:w w:val="115"/>
          <w:sz w:val="17"/>
        </w:rPr>
        <w:t>le</w:t>
      </w:r>
      <w:r>
        <w:rPr>
          <w:color w:val="231F20"/>
          <w:spacing w:val="-8"/>
          <w:w w:val="115"/>
          <w:sz w:val="17"/>
        </w:rPr>
        <w:t> </w:t>
      </w:r>
      <w:r>
        <w:rPr>
          <w:color w:val="231F20"/>
          <w:w w:val="115"/>
          <w:sz w:val="17"/>
        </w:rPr>
        <w:t>plan</w:t>
      </w:r>
      <w:r>
        <w:rPr>
          <w:color w:val="231F20"/>
          <w:spacing w:val="-8"/>
          <w:w w:val="115"/>
          <w:sz w:val="17"/>
        </w:rPr>
        <w:t> </w:t>
      </w:r>
      <w:r>
        <w:rPr>
          <w:color w:val="231F20"/>
          <w:w w:val="115"/>
          <w:sz w:val="17"/>
        </w:rPr>
        <w:t>psychologique.</w:t>
      </w:r>
      <w:r>
        <w:rPr>
          <w:color w:val="231F20"/>
          <w:spacing w:val="-8"/>
          <w:w w:val="115"/>
          <w:sz w:val="17"/>
        </w:rPr>
        <w:t> </w:t>
      </w:r>
      <w:r>
        <w:rPr>
          <w:color w:val="231F20"/>
          <w:w w:val="115"/>
          <w:sz w:val="17"/>
        </w:rPr>
        <w:t>Si</w:t>
      </w:r>
      <w:r>
        <w:rPr>
          <w:color w:val="231F20"/>
          <w:spacing w:val="-8"/>
          <w:w w:val="115"/>
          <w:sz w:val="17"/>
        </w:rPr>
        <w:t> </w:t>
      </w:r>
      <w:r>
        <w:rPr>
          <w:color w:val="231F20"/>
          <w:w w:val="115"/>
          <w:sz w:val="17"/>
        </w:rPr>
        <w:t>vous </w:t>
      </w:r>
      <w:r>
        <w:rPr>
          <w:color w:val="231F20"/>
          <w:w w:val="120"/>
          <w:sz w:val="17"/>
        </w:rPr>
        <w:t>avez</w:t>
      </w:r>
      <w:r>
        <w:rPr>
          <w:color w:val="231F20"/>
          <w:spacing w:val="-15"/>
          <w:w w:val="120"/>
          <w:sz w:val="17"/>
        </w:rPr>
        <w:t> </w:t>
      </w:r>
      <w:r>
        <w:rPr>
          <w:color w:val="231F20"/>
          <w:w w:val="120"/>
          <w:sz w:val="17"/>
        </w:rPr>
        <w:t>coché</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5</w:t>
      </w:r>
      <w:r>
        <w:rPr>
          <w:color w:val="231F20"/>
          <w:spacing w:val="-12"/>
          <w:w w:val="120"/>
          <w:sz w:val="17"/>
        </w:rPr>
        <w:t> </w:t>
      </w:r>
      <w:r>
        <w:rPr>
          <w:color w:val="231F20"/>
          <w:w w:val="120"/>
          <w:sz w:val="17"/>
        </w:rPr>
        <w:t>à</w:t>
      </w:r>
      <w:r>
        <w:rPr>
          <w:color w:val="231F20"/>
          <w:spacing w:val="-13"/>
          <w:w w:val="120"/>
          <w:sz w:val="17"/>
        </w:rPr>
        <w:t> </w:t>
      </w:r>
      <w:r>
        <w:rPr>
          <w:color w:val="231F20"/>
          <w:w w:val="120"/>
          <w:sz w:val="17"/>
        </w:rPr>
        <w:t>7</w:t>
      </w:r>
      <w:r>
        <w:rPr>
          <w:color w:val="231F20"/>
          <w:spacing w:val="-13"/>
          <w:w w:val="120"/>
          <w:sz w:val="17"/>
        </w:rPr>
        <w:t> </w:t>
      </w:r>
      <w:r>
        <w:rPr>
          <w:color w:val="231F20"/>
          <w:w w:val="120"/>
          <w:sz w:val="17"/>
        </w:rPr>
        <w:t>symptômes,</w:t>
      </w:r>
      <w:r>
        <w:rPr>
          <w:color w:val="231F20"/>
          <w:spacing w:val="-13"/>
          <w:w w:val="120"/>
          <w:sz w:val="17"/>
        </w:rPr>
        <w:t> </w:t>
      </w:r>
      <w:r>
        <w:rPr>
          <w:color w:val="231F20"/>
          <w:w w:val="120"/>
          <w:sz w:val="17"/>
        </w:rPr>
        <w:t>votre</w:t>
      </w:r>
      <w:r>
        <w:rPr>
          <w:color w:val="231F20"/>
          <w:spacing w:val="-12"/>
          <w:w w:val="120"/>
          <w:sz w:val="17"/>
        </w:rPr>
        <w:t> </w:t>
      </w:r>
      <w:r>
        <w:rPr>
          <w:color w:val="231F20"/>
          <w:w w:val="120"/>
          <w:sz w:val="17"/>
        </w:rPr>
        <w:t>niveau</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stress</w:t>
      </w:r>
      <w:r>
        <w:rPr>
          <w:color w:val="231F20"/>
          <w:spacing w:val="-13"/>
          <w:w w:val="120"/>
          <w:sz w:val="17"/>
        </w:rPr>
        <w:t> </w:t>
      </w:r>
      <w:r>
        <w:rPr>
          <w:color w:val="231F20"/>
          <w:w w:val="120"/>
          <w:sz w:val="17"/>
        </w:rPr>
        <w:t>est</w:t>
      </w:r>
      <w:r>
        <w:rPr>
          <w:color w:val="231F20"/>
          <w:spacing w:val="-12"/>
          <w:w w:val="120"/>
          <w:sz w:val="17"/>
        </w:rPr>
        <w:t> </w:t>
      </w:r>
      <w:r>
        <w:rPr>
          <w:color w:val="231F20"/>
          <w:w w:val="120"/>
          <w:sz w:val="17"/>
        </w:rPr>
        <w:t>moyen- nement élevé; si vous en avez coché 4 ou moins, votre situation est à peu près normale.</w:t>
      </w:r>
    </w:p>
    <w:p>
      <w:pPr>
        <w:pStyle w:val="ListParagraph"/>
        <w:numPr>
          <w:ilvl w:val="0"/>
          <w:numId w:val="61"/>
        </w:numPr>
        <w:tabs>
          <w:tab w:pos="1331" w:val="left" w:leader="none"/>
        </w:tabs>
        <w:spacing w:line="307" w:lineRule="auto" w:before="78" w:after="0"/>
        <w:ind w:left="1330" w:right="495" w:hanging="251"/>
        <w:jc w:val="both"/>
        <w:rPr>
          <w:sz w:val="17"/>
        </w:rPr>
      </w:pPr>
      <w:r>
        <w:rPr>
          <w:i/>
          <w:color w:val="231F20"/>
          <w:w w:val="115"/>
          <w:sz w:val="17"/>
        </w:rPr>
        <w:t>Symptômes</w:t>
      </w:r>
      <w:r>
        <w:rPr>
          <w:i/>
          <w:color w:val="231F20"/>
          <w:spacing w:val="-11"/>
          <w:w w:val="115"/>
          <w:sz w:val="17"/>
        </w:rPr>
        <w:t> </w:t>
      </w:r>
      <w:r>
        <w:rPr>
          <w:i/>
          <w:color w:val="231F20"/>
          <w:w w:val="115"/>
          <w:sz w:val="17"/>
        </w:rPr>
        <w:t>émotionnels</w:t>
      </w:r>
      <w:r>
        <w:rPr>
          <w:color w:val="231F20"/>
          <w:w w:val="115"/>
          <w:sz w:val="17"/>
        </w:rPr>
        <w:t>.</w:t>
      </w:r>
      <w:r>
        <w:rPr>
          <w:color w:val="231F20"/>
          <w:spacing w:val="-11"/>
          <w:w w:val="115"/>
          <w:sz w:val="17"/>
        </w:rPr>
        <w:t> </w:t>
      </w:r>
      <w:r>
        <w:rPr>
          <w:color w:val="231F20"/>
          <w:w w:val="115"/>
          <w:sz w:val="17"/>
        </w:rPr>
        <w:t>Si</w:t>
      </w:r>
      <w:r>
        <w:rPr>
          <w:color w:val="231F20"/>
          <w:spacing w:val="-11"/>
          <w:w w:val="115"/>
          <w:sz w:val="17"/>
        </w:rPr>
        <w:t> </w:t>
      </w:r>
      <w:r>
        <w:rPr>
          <w:color w:val="231F20"/>
          <w:w w:val="115"/>
          <w:sz w:val="17"/>
        </w:rPr>
        <w:t>vous</w:t>
      </w:r>
      <w:r>
        <w:rPr>
          <w:color w:val="231F20"/>
          <w:spacing w:val="-11"/>
          <w:w w:val="115"/>
          <w:sz w:val="17"/>
        </w:rPr>
        <w:t> </w:t>
      </w:r>
      <w:r>
        <w:rPr>
          <w:color w:val="231F20"/>
          <w:w w:val="115"/>
          <w:sz w:val="17"/>
        </w:rPr>
        <w:t>avez</w:t>
      </w:r>
      <w:r>
        <w:rPr>
          <w:color w:val="231F20"/>
          <w:spacing w:val="-11"/>
          <w:w w:val="115"/>
          <w:sz w:val="17"/>
        </w:rPr>
        <w:t> </w:t>
      </w:r>
      <w:r>
        <w:rPr>
          <w:color w:val="231F20"/>
          <w:w w:val="115"/>
          <w:sz w:val="17"/>
        </w:rPr>
        <w:t>coché</w:t>
      </w:r>
      <w:r>
        <w:rPr>
          <w:color w:val="231F20"/>
          <w:spacing w:val="-11"/>
          <w:w w:val="115"/>
          <w:sz w:val="17"/>
        </w:rPr>
        <w:t> </w:t>
      </w:r>
      <w:r>
        <w:rPr>
          <w:color w:val="231F20"/>
          <w:w w:val="115"/>
          <w:sz w:val="17"/>
        </w:rPr>
        <w:t>au</w:t>
      </w:r>
      <w:r>
        <w:rPr>
          <w:color w:val="231F20"/>
          <w:spacing w:val="-11"/>
          <w:w w:val="115"/>
          <w:sz w:val="17"/>
        </w:rPr>
        <w:t> </w:t>
      </w:r>
      <w:r>
        <w:rPr>
          <w:color w:val="231F20"/>
          <w:w w:val="115"/>
          <w:sz w:val="17"/>
        </w:rPr>
        <w:t>moins</w:t>
      </w:r>
      <w:r>
        <w:rPr>
          <w:color w:val="231F20"/>
          <w:spacing w:val="-11"/>
          <w:w w:val="115"/>
          <w:sz w:val="17"/>
        </w:rPr>
        <w:t> </w:t>
      </w:r>
      <w:r>
        <w:rPr>
          <w:color w:val="231F20"/>
          <w:w w:val="115"/>
          <w:sz w:val="17"/>
        </w:rPr>
        <w:t>8</w:t>
      </w:r>
      <w:r>
        <w:rPr>
          <w:color w:val="231F20"/>
          <w:spacing w:val="-11"/>
          <w:w w:val="115"/>
          <w:sz w:val="17"/>
        </w:rPr>
        <w:t> </w:t>
      </w:r>
      <w:r>
        <w:rPr>
          <w:color w:val="231F20"/>
          <w:w w:val="115"/>
          <w:sz w:val="17"/>
        </w:rPr>
        <w:t>symptômes </w:t>
      </w:r>
      <w:r>
        <w:rPr>
          <w:color w:val="231F20"/>
          <w:w w:val="120"/>
          <w:sz w:val="17"/>
        </w:rPr>
        <w:t>de cette catégorie, vous souffrez vraisemblablement d’un </w:t>
      </w:r>
      <w:r>
        <w:rPr>
          <w:color w:val="231F20"/>
          <w:w w:val="120"/>
          <w:sz w:val="17"/>
        </w:rPr>
        <w:t>stress</w:t>
      </w:r>
      <w:r>
        <w:rPr>
          <w:color w:val="231F20"/>
          <w:w w:val="120"/>
          <w:sz w:val="17"/>
        </w:rPr>
        <w:t> important qui se manifeste sur le plan émotionnel. Si vous </w:t>
      </w:r>
      <w:r>
        <w:rPr>
          <w:color w:val="231F20"/>
          <w:w w:val="120"/>
          <w:sz w:val="17"/>
        </w:rPr>
        <w:t>avez</w:t>
      </w:r>
      <w:r>
        <w:rPr>
          <w:color w:val="231F20"/>
          <w:w w:val="120"/>
          <w:sz w:val="17"/>
        </w:rPr>
        <w:t> </w:t>
      </w:r>
      <w:r>
        <w:rPr>
          <w:color w:val="231F20"/>
          <w:w w:val="115"/>
          <w:sz w:val="17"/>
        </w:rPr>
        <w:t>coché</w:t>
      </w:r>
      <w:r>
        <w:rPr>
          <w:color w:val="231F20"/>
          <w:spacing w:val="-5"/>
          <w:w w:val="115"/>
          <w:sz w:val="17"/>
        </w:rPr>
        <w:t> </w:t>
      </w:r>
      <w:r>
        <w:rPr>
          <w:color w:val="231F20"/>
          <w:w w:val="115"/>
          <w:sz w:val="17"/>
        </w:rPr>
        <w:t>de</w:t>
      </w:r>
      <w:r>
        <w:rPr>
          <w:color w:val="231F20"/>
          <w:spacing w:val="-5"/>
          <w:w w:val="115"/>
          <w:sz w:val="17"/>
        </w:rPr>
        <w:t> </w:t>
      </w:r>
      <w:r>
        <w:rPr>
          <w:color w:val="231F20"/>
          <w:w w:val="115"/>
          <w:sz w:val="17"/>
        </w:rPr>
        <w:t>5</w:t>
      </w:r>
      <w:r>
        <w:rPr>
          <w:color w:val="231F20"/>
          <w:spacing w:val="-5"/>
          <w:w w:val="115"/>
          <w:sz w:val="17"/>
        </w:rPr>
        <w:t> </w:t>
      </w:r>
      <w:r>
        <w:rPr>
          <w:color w:val="231F20"/>
          <w:w w:val="115"/>
          <w:sz w:val="17"/>
        </w:rPr>
        <w:t>à</w:t>
      </w:r>
      <w:r>
        <w:rPr>
          <w:color w:val="231F20"/>
          <w:spacing w:val="-5"/>
          <w:w w:val="115"/>
          <w:sz w:val="17"/>
        </w:rPr>
        <w:t> </w:t>
      </w:r>
      <w:r>
        <w:rPr>
          <w:color w:val="231F20"/>
          <w:w w:val="115"/>
          <w:sz w:val="17"/>
        </w:rPr>
        <w:t>7</w:t>
      </w:r>
      <w:r>
        <w:rPr>
          <w:color w:val="231F20"/>
          <w:spacing w:val="-5"/>
          <w:w w:val="115"/>
          <w:sz w:val="17"/>
        </w:rPr>
        <w:t> </w:t>
      </w:r>
      <w:r>
        <w:rPr>
          <w:color w:val="231F20"/>
          <w:w w:val="115"/>
          <w:sz w:val="17"/>
        </w:rPr>
        <w:t>symptômes,</w:t>
      </w:r>
      <w:r>
        <w:rPr>
          <w:color w:val="231F20"/>
          <w:spacing w:val="-5"/>
          <w:w w:val="115"/>
          <w:sz w:val="17"/>
        </w:rPr>
        <w:t> </w:t>
      </w:r>
      <w:r>
        <w:rPr>
          <w:color w:val="231F20"/>
          <w:w w:val="115"/>
          <w:sz w:val="17"/>
        </w:rPr>
        <w:t>votre</w:t>
      </w:r>
      <w:r>
        <w:rPr>
          <w:color w:val="231F20"/>
          <w:spacing w:val="-5"/>
          <w:w w:val="115"/>
          <w:sz w:val="17"/>
        </w:rPr>
        <w:t> </w:t>
      </w:r>
      <w:r>
        <w:rPr>
          <w:color w:val="231F20"/>
          <w:w w:val="115"/>
          <w:sz w:val="17"/>
        </w:rPr>
        <w:t>niveau</w:t>
      </w:r>
      <w:r>
        <w:rPr>
          <w:color w:val="231F20"/>
          <w:spacing w:val="-5"/>
          <w:w w:val="115"/>
          <w:sz w:val="17"/>
        </w:rPr>
        <w:t> </w:t>
      </w:r>
      <w:r>
        <w:rPr>
          <w:color w:val="231F20"/>
          <w:w w:val="115"/>
          <w:sz w:val="17"/>
        </w:rPr>
        <w:t>de</w:t>
      </w:r>
      <w:r>
        <w:rPr>
          <w:color w:val="231F20"/>
          <w:spacing w:val="-5"/>
          <w:w w:val="115"/>
          <w:sz w:val="17"/>
        </w:rPr>
        <w:t> </w:t>
      </w:r>
      <w:r>
        <w:rPr>
          <w:color w:val="231F20"/>
          <w:w w:val="115"/>
          <w:sz w:val="17"/>
        </w:rPr>
        <w:t>stress</w:t>
      </w:r>
      <w:r>
        <w:rPr>
          <w:color w:val="231F20"/>
          <w:spacing w:val="-5"/>
          <w:w w:val="115"/>
          <w:sz w:val="17"/>
        </w:rPr>
        <w:t> </w:t>
      </w:r>
      <w:r>
        <w:rPr>
          <w:color w:val="231F20"/>
          <w:w w:val="115"/>
          <w:sz w:val="17"/>
        </w:rPr>
        <w:t>est</w:t>
      </w:r>
      <w:r>
        <w:rPr>
          <w:color w:val="231F20"/>
          <w:spacing w:val="-5"/>
          <w:w w:val="115"/>
          <w:sz w:val="17"/>
        </w:rPr>
        <w:t> </w:t>
      </w:r>
      <w:r>
        <w:rPr>
          <w:color w:val="231F20"/>
          <w:w w:val="115"/>
          <w:sz w:val="17"/>
        </w:rPr>
        <w:t>moyennement </w:t>
      </w:r>
      <w:r>
        <w:rPr>
          <w:color w:val="231F20"/>
          <w:w w:val="120"/>
          <w:sz w:val="17"/>
        </w:rPr>
        <w:t>élevé;</w:t>
      </w:r>
      <w:r>
        <w:rPr>
          <w:color w:val="231F20"/>
          <w:spacing w:val="-7"/>
          <w:w w:val="120"/>
          <w:sz w:val="17"/>
        </w:rPr>
        <w:t> </w:t>
      </w:r>
      <w:r>
        <w:rPr>
          <w:color w:val="231F20"/>
          <w:w w:val="120"/>
          <w:sz w:val="17"/>
        </w:rPr>
        <w:t>si</w:t>
      </w:r>
      <w:r>
        <w:rPr>
          <w:color w:val="231F20"/>
          <w:spacing w:val="-7"/>
          <w:w w:val="120"/>
          <w:sz w:val="17"/>
        </w:rPr>
        <w:t> </w:t>
      </w:r>
      <w:r>
        <w:rPr>
          <w:color w:val="231F20"/>
          <w:w w:val="120"/>
          <w:sz w:val="17"/>
        </w:rPr>
        <w:t>vous</w:t>
      </w:r>
      <w:r>
        <w:rPr>
          <w:color w:val="231F20"/>
          <w:spacing w:val="-7"/>
          <w:w w:val="120"/>
          <w:sz w:val="17"/>
        </w:rPr>
        <w:t> </w:t>
      </w:r>
      <w:r>
        <w:rPr>
          <w:color w:val="231F20"/>
          <w:w w:val="120"/>
          <w:sz w:val="17"/>
        </w:rPr>
        <w:t>en</w:t>
      </w:r>
      <w:r>
        <w:rPr>
          <w:color w:val="231F20"/>
          <w:spacing w:val="-7"/>
          <w:w w:val="120"/>
          <w:sz w:val="17"/>
        </w:rPr>
        <w:t> </w:t>
      </w:r>
      <w:r>
        <w:rPr>
          <w:color w:val="231F20"/>
          <w:w w:val="120"/>
          <w:sz w:val="17"/>
        </w:rPr>
        <w:t>avez</w:t>
      </w:r>
      <w:r>
        <w:rPr>
          <w:color w:val="231F20"/>
          <w:spacing w:val="-7"/>
          <w:w w:val="120"/>
          <w:sz w:val="17"/>
        </w:rPr>
        <w:t> </w:t>
      </w:r>
      <w:r>
        <w:rPr>
          <w:color w:val="231F20"/>
          <w:w w:val="120"/>
          <w:sz w:val="17"/>
        </w:rPr>
        <w:t>coché</w:t>
      </w:r>
      <w:r>
        <w:rPr>
          <w:color w:val="231F20"/>
          <w:spacing w:val="-7"/>
          <w:w w:val="120"/>
          <w:sz w:val="17"/>
        </w:rPr>
        <w:t> </w:t>
      </w:r>
      <w:r>
        <w:rPr>
          <w:color w:val="231F20"/>
          <w:w w:val="120"/>
          <w:sz w:val="17"/>
        </w:rPr>
        <w:t>4</w:t>
      </w:r>
      <w:r>
        <w:rPr>
          <w:color w:val="231F20"/>
          <w:spacing w:val="-7"/>
          <w:w w:val="120"/>
          <w:sz w:val="17"/>
        </w:rPr>
        <w:t> </w:t>
      </w:r>
      <w:r>
        <w:rPr>
          <w:color w:val="231F20"/>
          <w:w w:val="120"/>
          <w:sz w:val="17"/>
        </w:rPr>
        <w:t>ou</w:t>
      </w:r>
      <w:r>
        <w:rPr>
          <w:color w:val="231F20"/>
          <w:spacing w:val="-7"/>
          <w:w w:val="120"/>
          <w:sz w:val="17"/>
        </w:rPr>
        <w:t> </w:t>
      </w:r>
      <w:r>
        <w:rPr>
          <w:color w:val="231F20"/>
          <w:w w:val="120"/>
          <w:sz w:val="17"/>
        </w:rPr>
        <w:t>moins,</w:t>
      </w:r>
      <w:r>
        <w:rPr>
          <w:color w:val="231F20"/>
          <w:spacing w:val="-7"/>
          <w:w w:val="120"/>
          <w:sz w:val="17"/>
        </w:rPr>
        <w:t> </w:t>
      </w:r>
      <w:r>
        <w:rPr>
          <w:color w:val="231F20"/>
          <w:w w:val="120"/>
          <w:sz w:val="17"/>
        </w:rPr>
        <w:t>votre</w:t>
      </w:r>
      <w:r>
        <w:rPr>
          <w:color w:val="231F20"/>
          <w:spacing w:val="-7"/>
          <w:w w:val="120"/>
          <w:sz w:val="17"/>
        </w:rPr>
        <w:t> </w:t>
      </w:r>
      <w:r>
        <w:rPr>
          <w:color w:val="231F20"/>
          <w:w w:val="120"/>
          <w:sz w:val="17"/>
        </w:rPr>
        <w:t>situation</w:t>
      </w:r>
      <w:r>
        <w:rPr>
          <w:color w:val="231F20"/>
          <w:spacing w:val="-7"/>
          <w:w w:val="120"/>
          <w:sz w:val="17"/>
        </w:rPr>
        <w:t> </w:t>
      </w:r>
      <w:r>
        <w:rPr>
          <w:color w:val="231F20"/>
          <w:w w:val="120"/>
          <w:sz w:val="17"/>
        </w:rPr>
        <w:t>est</w:t>
      </w:r>
      <w:r>
        <w:rPr>
          <w:color w:val="231F20"/>
          <w:spacing w:val="-7"/>
          <w:w w:val="120"/>
          <w:sz w:val="17"/>
        </w:rPr>
        <w:t> </w:t>
      </w:r>
      <w:r>
        <w:rPr>
          <w:color w:val="231F20"/>
          <w:w w:val="120"/>
          <w:sz w:val="17"/>
        </w:rPr>
        <w:t>à</w:t>
      </w:r>
      <w:r>
        <w:rPr>
          <w:color w:val="231F20"/>
          <w:spacing w:val="-7"/>
          <w:w w:val="120"/>
          <w:sz w:val="17"/>
        </w:rPr>
        <w:t> </w:t>
      </w:r>
      <w:r>
        <w:rPr>
          <w:color w:val="231F20"/>
          <w:w w:val="120"/>
          <w:sz w:val="17"/>
        </w:rPr>
        <w:t>peu près</w:t>
      </w:r>
      <w:r>
        <w:rPr>
          <w:color w:val="231F20"/>
          <w:spacing w:val="-13"/>
          <w:w w:val="120"/>
          <w:sz w:val="17"/>
        </w:rPr>
        <w:t> </w:t>
      </w:r>
      <w:r>
        <w:rPr>
          <w:color w:val="231F20"/>
          <w:w w:val="120"/>
          <w:sz w:val="17"/>
        </w:rPr>
        <w:t>normale.</w:t>
      </w:r>
    </w:p>
    <w:p>
      <w:pPr>
        <w:pStyle w:val="ListParagraph"/>
        <w:numPr>
          <w:ilvl w:val="0"/>
          <w:numId w:val="61"/>
        </w:numPr>
        <w:tabs>
          <w:tab w:pos="1331" w:val="left" w:leader="none"/>
        </w:tabs>
        <w:spacing w:line="307" w:lineRule="auto" w:before="78" w:after="0"/>
        <w:ind w:left="1330" w:right="495" w:hanging="251"/>
        <w:jc w:val="both"/>
        <w:rPr>
          <w:sz w:val="17"/>
        </w:rPr>
      </w:pPr>
      <w:r>
        <w:rPr>
          <w:i/>
          <w:color w:val="231F20"/>
          <w:w w:val="120"/>
          <w:sz w:val="17"/>
        </w:rPr>
        <w:t>Signes</w:t>
      </w:r>
      <w:r>
        <w:rPr>
          <w:i/>
          <w:color w:val="231F20"/>
          <w:spacing w:val="-2"/>
          <w:w w:val="120"/>
          <w:sz w:val="17"/>
        </w:rPr>
        <w:t> </w:t>
      </w:r>
      <w:r>
        <w:rPr>
          <w:i/>
          <w:color w:val="231F20"/>
          <w:w w:val="120"/>
          <w:sz w:val="17"/>
        </w:rPr>
        <w:t>physiques</w:t>
      </w:r>
      <w:r>
        <w:rPr>
          <w:color w:val="231F20"/>
          <w:w w:val="120"/>
          <w:sz w:val="17"/>
        </w:rPr>
        <w:t>.</w:t>
      </w:r>
      <w:r>
        <w:rPr>
          <w:color w:val="231F20"/>
          <w:spacing w:val="-2"/>
          <w:w w:val="120"/>
          <w:sz w:val="17"/>
        </w:rPr>
        <w:t> </w:t>
      </w:r>
      <w:r>
        <w:rPr>
          <w:color w:val="231F20"/>
          <w:w w:val="120"/>
          <w:sz w:val="17"/>
        </w:rPr>
        <w:t>Si</w:t>
      </w:r>
      <w:r>
        <w:rPr>
          <w:color w:val="231F20"/>
          <w:spacing w:val="-2"/>
          <w:w w:val="120"/>
          <w:sz w:val="17"/>
        </w:rPr>
        <w:t> </w:t>
      </w:r>
      <w:r>
        <w:rPr>
          <w:color w:val="231F20"/>
          <w:w w:val="120"/>
          <w:sz w:val="17"/>
        </w:rPr>
        <w:t>vous</w:t>
      </w:r>
      <w:r>
        <w:rPr>
          <w:color w:val="231F20"/>
          <w:spacing w:val="-2"/>
          <w:w w:val="120"/>
          <w:sz w:val="17"/>
        </w:rPr>
        <w:t> </w:t>
      </w:r>
      <w:r>
        <w:rPr>
          <w:color w:val="231F20"/>
          <w:w w:val="120"/>
          <w:sz w:val="17"/>
        </w:rPr>
        <w:t>avez</w:t>
      </w:r>
      <w:r>
        <w:rPr>
          <w:color w:val="231F20"/>
          <w:spacing w:val="-2"/>
          <w:w w:val="120"/>
          <w:sz w:val="17"/>
        </w:rPr>
        <w:t> </w:t>
      </w:r>
      <w:r>
        <w:rPr>
          <w:color w:val="231F20"/>
          <w:w w:val="120"/>
          <w:sz w:val="17"/>
        </w:rPr>
        <w:t>coché</w:t>
      </w:r>
      <w:r>
        <w:rPr>
          <w:color w:val="231F20"/>
          <w:spacing w:val="-2"/>
          <w:w w:val="120"/>
          <w:sz w:val="17"/>
        </w:rPr>
        <w:t> </w:t>
      </w:r>
      <w:r>
        <w:rPr>
          <w:color w:val="231F20"/>
          <w:w w:val="120"/>
          <w:sz w:val="17"/>
        </w:rPr>
        <w:t>au</w:t>
      </w:r>
      <w:r>
        <w:rPr>
          <w:color w:val="231F20"/>
          <w:spacing w:val="-2"/>
          <w:w w:val="120"/>
          <w:sz w:val="17"/>
        </w:rPr>
        <w:t> </w:t>
      </w:r>
      <w:r>
        <w:rPr>
          <w:color w:val="231F20"/>
          <w:w w:val="120"/>
          <w:sz w:val="17"/>
        </w:rPr>
        <w:t>moins</w:t>
      </w:r>
      <w:r>
        <w:rPr>
          <w:color w:val="231F20"/>
          <w:spacing w:val="-2"/>
          <w:w w:val="120"/>
          <w:sz w:val="17"/>
        </w:rPr>
        <w:t> </w:t>
      </w:r>
      <w:r>
        <w:rPr>
          <w:color w:val="231F20"/>
          <w:w w:val="120"/>
          <w:sz w:val="17"/>
        </w:rPr>
        <w:t>9</w:t>
      </w:r>
      <w:r>
        <w:rPr>
          <w:color w:val="231F20"/>
          <w:spacing w:val="-2"/>
          <w:w w:val="120"/>
          <w:sz w:val="17"/>
        </w:rPr>
        <w:t> </w:t>
      </w:r>
      <w:r>
        <w:rPr>
          <w:color w:val="231F20"/>
          <w:w w:val="120"/>
          <w:sz w:val="17"/>
        </w:rPr>
        <w:t>signes</w:t>
      </w:r>
      <w:r>
        <w:rPr>
          <w:color w:val="231F20"/>
          <w:spacing w:val="-2"/>
          <w:w w:val="120"/>
          <w:sz w:val="17"/>
        </w:rPr>
        <w:t> </w:t>
      </w:r>
      <w:r>
        <w:rPr>
          <w:color w:val="231F20"/>
          <w:w w:val="120"/>
          <w:sz w:val="17"/>
        </w:rPr>
        <w:t>de</w:t>
      </w:r>
      <w:r>
        <w:rPr>
          <w:color w:val="231F20"/>
          <w:spacing w:val="-2"/>
          <w:w w:val="120"/>
          <w:sz w:val="17"/>
        </w:rPr>
        <w:t> </w:t>
      </w:r>
      <w:r>
        <w:rPr>
          <w:color w:val="231F20"/>
          <w:w w:val="120"/>
          <w:sz w:val="17"/>
        </w:rPr>
        <w:t>cette </w:t>
      </w:r>
      <w:r>
        <w:rPr>
          <w:color w:val="231F20"/>
          <w:spacing w:val="-2"/>
          <w:w w:val="120"/>
          <w:sz w:val="17"/>
        </w:rPr>
        <w:t>catégorie, vous souffrez vraisemblablement d’un stress </w:t>
      </w:r>
      <w:r>
        <w:rPr>
          <w:color w:val="231F20"/>
          <w:spacing w:val="-2"/>
          <w:w w:val="120"/>
          <w:sz w:val="17"/>
        </w:rPr>
        <w:t>important</w:t>
      </w:r>
      <w:r>
        <w:rPr>
          <w:color w:val="231F20"/>
          <w:spacing w:val="-2"/>
          <w:w w:val="120"/>
          <w:sz w:val="17"/>
        </w:rPr>
        <w:t> </w:t>
      </w:r>
      <w:r>
        <w:rPr>
          <w:color w:val="231F20"/>
          <w:w w:val="120"/>
          <w:sz w:val="17"/>
        </w:rPr>
        <w:t>qui se manifeste sur le plan physique. Si vous avez coché de 5 à </w:t>
      </w:r>
      <w:r>
        <w:rPr>
          <w:color w:val="231F20"/>
          <w:w w:val="115"/>
          <w:sz w:val="17"/>
        </w:rPr>
        <w:t>8</w:t>
      </w:r>
      <w:r>
        <w:rPr>
          <w:color w:val="231F20"/>
          <w:spacing w:val="-13"/>
          <w:w w:val="115"/>
          <w:sz w:val="17"/>
        </w:rPr>
        <w:t> </w:t>
      </w:r>
      <w:r>
        <w:rPr>
          <w:color w:val="231F20"/>
          <w:w w:val="115"/>
          <w:sz w:val="17"/>
        </w:rPr>
        <w:t>signes,</w:t>
      </w:r>
      <w:r>
        <w:rPr>
          <w:color w:val="231F20"/>
          <w:spacing w:val="-3"/>
          <w:w w:val="115"/>
          <w:sz w:val="17"/>
        </w:rPr>
        <w:t> </w:t>
      </w:r>
      <w:r>
        <w:rPr>
          <w:color w:val="231F20"/>
          <w:w w:val="115"/>
          <w:sz w:val="17"/>
        </w:rPr>
        <w:t>votre niveau de stress est moyennement élevé</w:t>
      </w:r>
      <w:r>
        <w:rPr>
          <w:color w:val="231F20"/>
          <w:spacing w:val="-13"/>
          <w:w w:val="115"/>
          <w:sz w:val="17"/>
        </w:rPr>
        <w:t> </w:t>
      </w:r>
      <w:r>
        <w:rPr>
          <w:color w:val="231F20"/>
          <w:w w:val="115"/>
          <w:sz w:val="17"/>
        </w:rPr>
        <w:t>; si vous en </w:t>
      </w:r>
      <w:r>
        <w:rPr>
          <w:color w:val="231F20"/>
          <w:w w:val="120"/>
          <w:sz w:val="17"/>
        </w:rPr>
        <w:t>avez coché 4 ou moins, votre situation est à peu près normale.</w:t>
      </w:r>
    </w:p>
    <w:p>
      <w:pPr>
        <w:spacing w:after="0" w:line="307" w:lineRule="auto"/>
        <w:jc w:val="both"/>
        <w:rPr>
          <w:sz w:val="17"/>
        </w:rPr>
        <w:sectPr>
          <w:type w:val="continuous"/>
          <w:pgSz w:w="8640" w:h="12960"/>
          <w:pgMar w:header="0" w:footer="424" w:top="1220" w:bottom="280" w:left="420" w:right="1140"/>
        </w:sectPr>
      </w:pPr>
    </w:p>
    <w:p>
      <w:pPr>
        <w:spacing w:before="118"/>
        <w:ind w:left="2049" w:right="0" w:firstLine="0"/>
        <w:jc w:val="left"/>
        <w:rPr>
          <w:rFonts w:ascii="Arial" w:hAnsi="Arial"/>
          <w:sz w:val="14"/>
        </w:rPr>
      </w:pPr>
      <w:r>
        <w:rPr>
          <w:rFonts w:ascii="Arial" w:hAnsi="Arial"/>
          <w:color w:val="231F20"/>
          <w:sz w:val="14"/>
        </w:rPr>
        <w:t>Chapitre</w:t>
      </w:r>
      <w:r>
        <w:rPr>
          <w:rFonts w:ascii="Arial" w:hAnsi="Arial"/>
          <w:color w:val="231F20"/>
          <w:spacing w:val="-8"/>
          <w:sz w:val="14"/>
        </w:rPr>
        <w:t> </w:t>
      </w:r>
      <w:r>
        <w:rPr>
          <w:rFonts w:ascii="Arial" w:hAnsi="Arial"/>
          <w:color w:val="231F20"/>
          <w:sz w:val="14"/>
        </w:rPr>
        <w:t>3</w:t>
      </w:r>
      <w:r>
        <w:rPr>
          <w:rFonts w:ascii="Arial" w:hAnsi="Arial"/>
          <w:color w:val="231F20"/>
          <w:spacing w:val="-8"/>
          <w:sz w:val="14"/>
        </w:rPr>
        <w:t> </w:t>
      </w:r>
      <w:r>
        <w:rPr>
          <w:rFonts w:ascii="Arial" w:hAnsi="Arial"/>
          <w:i/>
          <w:color w:val="231F20"/>
          <w:sz w:val="14"/>
        </w:rPr>
        <w:t>/</w:t>
      </w:r>
      <w:r>
        <w:rPr>
          <w:rFonts w:ascii="Arial" w:hAnsi="Arial"/>
          <w:i/>
          <w:color w:val="231F20"/>
          <w:spacing w:val="-8"/>
          <w:sz w:val="14"/>
        </w:rPr>
        <w:t> </w:t>
      </w:r>
      <w:r>
        <w:rPr>
          <w:rFonts w:ascii="Arial" w:hAnsi="Arial"/>
          <w:color w:val="231F20"/>
          <w:sz w:val="14"/>
        </w:rPr>
        <w:t>Antécédents</w:t>
      </w:r>
      <w:r>
        <w:rPr>
          <w:rFonts w:ascii="Arial" w:hAnsi="Arial"/>
          <w:color w:val="231F20"/>
          <w:spacing w:val="-8"/>
          <w:sz w:val="14"/>
        </w:rPr>
        <w:t> </w:t>
      </w:r>
      <w:r>
        <w:rPr>
          <w:rFonts w:ascii="Arial" w:hAnsi="Arial"/>
          <w:color w:val="231F20"/>
          <w:sz w:val="14"/>
        </w:rPr>
        <w:t>et</w:t>
      </w:r>
      <w:r>
        <w:rPr>
          <w:rFonts w:ascii="Arial" w:hAnsi="Arial"/>
          <w:color w:val="231F20"/>
          <w:spacing w:val="-8"/>
          <w:sz w:val="14"/>
        </w:rPr>
        <w:t> </w:t>
      </w:r>
      <w:r>
        <w:rPr>
          <w:rFonts w:ascii="Arial" w:hAnsi="Arial"/>
          <w:color w:val="231F20"/>
          <w:sz w:val="14"/>
        </w:rPr>
        <w:t>conséquences</w:t>
      </w:r>
      <w:r>
        <w:rPr>
          <w:rFonts w:ascii="Arial" w:hAnsi="Arial"/>
          <w:color w:val="231F20"/>
          <w:spacing w:val="-8"/>
          <w:sz w:val="14"/>
        </w:rPr>
        <w:t> </w:t>
      </w:r>
      <w:r>
        <w:rPr>
          <w:rFonts w:ascii="Arial" w:hAnsi="Arial"/>
          <w:color w:val="231F20"/>
          <w:sz w:val="14"/>
        </w:rPr>
        <w:t>du</w:t>
      </w:r>
      <w:r>
        <w:rPr>
          <w:rFonts w:ascii="Arial" w:hAnsi="Arial"/>
          <w:color w:val="231F20"/>
          <w:spacing w:val="-8"/>
          <w:sz w:val="14"/>
        </w:rPr>
        <w:t> </w:t>
      </w:r>
      <w:r>
        <w:rPr>
          <w:rFonts w:ascii="Arial" w:hAnsi="Arial"/>
          <w:color w:val="231F20"/>
          <w:sz w:val="14"/>
        </w:rPr>
        <w:t>stress</w:t>
      </w:r>
      <w:r>
        <w:rPr>
          <w:rFonts w:ascii="Arial" w:hAnsi="Arial"/>
          <w:color w:val="231F20"/>
          <w:spacing w:val="-8"/>
          <w:sz w:val="14"/>
        </w:rPr>
        <w:t> </w:t>
      </w:r>
      <w:r>
        <w:rPr>
          <w:rFonts w:ascii="Arial" w:hAnsi="Arial"/>
          <w:color w:val="231F20"/>
          <w:spacing w:val="-2"/>
          <w:sz w:val="14"/>
        </w:rPr>
        <w:t>professionnel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61"/>
        </w:numPr>
        <w:tabs>
          <w:tab w:pos="1721" w:val="left" w:leader="none"/>
        </w:tabs>
        <w:spacing w:line="307" w:lineRule="auto" w:before="121" w:after="0"/>
        <w:ind w:left="1720" w:right="101" w:hanging="251"/>
        <w:jc w:val="both"/>
        <w:rPr>
          <w:sz w:val="17"/>
        </w:rPr>
      </w:pPr>
      <w:r>
        <w:rPr>
          <w:i/>
          <w:color w:val="231F20"/>
          <w:w w:val="115"/>
          <w:sz w:val="17"/>
        </w:rPr>
        <w:t>Signes</w:t>
      </w:r>
      <w:r>
        <w:rPr>
          <w:i/>
          <w:color w:val="231F20"/>
          <w:spacing w:val="-1"/>
          <w:w w:val="115"/>
          <w:sz w:val="17"/>
        </w:rPr>
        <w:t> </w:t>
      </w:r>
      <w:r>
        <w:rPr>
          <w:i/>
          <w:color w:val="231F20"/>
          <w:w w:val="115"/>
          <w:sz w:val="17"/>
        </w:rPr>
        <w:t>comportementaux</w:t>
      </w:r>
      <w:r>
        <w:rPr>
          <w:color w:val="231F20"/>
          <w:w w:val="115"/>
          <w:sz w:val="17"/>
        </w:rPr>
        <w:t>.</w:t>
      </w:r>
      <w:r>
        <w:rPr>
          <w:color w:val="231F20"/>
          <w:spacing w:val="-1"/>
          <w:w w:val="115"/>
          <w:sz w:val="17"/>
        </w:rPr>
        <w:t> </w:t>
      </w:r>
      <w:r>
        <w:rPr>
          <w:color w:val="231F20"/>
          <w:w w:val="115"/>
          <w:sz w:val="17"/>
        </w:rPr>
        <w:t>Si</w:t>
      </w:r>
      <w:r>
        <w:rPr>
          <w:color w:val="231F20"/>
          <w:spacing w:val="-1"/>
          <w:w w:val="115"/>
          <w:sz w:val="17"/>
        </w:rPr>
        <w:t> </w:t>
      </w:r>
      <w:r>
        <w:rPr>
          <w:color w:val="231F20"/>
          <w:w w:val="115"/>
          <w:sz w:val="17"/>
        </w:rPr>
        <w:t>vous</w:t>
      </w:r>
      <w:r>
        <w:rPr>
          <w:color w:val="231F20"/>
          <w:spacing w:val="-1"/>
          <w:w w:val="115"/>
          <w:sz w:val="17"/>
        </w:rPr>
        <w:t> </w:t>
      </w:r>
      <w:r>
        <w:rPr>
          <w:color w:val="231F20"/>
          <w:w w:val="115"/>
          <w:sz w:val="17"/>
        </w:rPr>
        <w:t>avez</w:t>
      </w:r>
      <w:r>
        <w:rPr>
          <w:color w:val="231F20"/>
          <w:spacing w:val="-1"/>
          <w:w w:val="115"/>
          <w:sz w:val="17"/>
        </w:rPr>
        <w:t> </w:t>
      </w:r>
      <w:r>
        <w:rPr>
          <w:color w:val="231F20"/>
          <w:w w:val="115"/>
          <w:sz w:val="17"/>
        </w:rPr>
        <w:t>coché</w:t>
      </w:r>
      <w:r>
        <w:rPr>
          <w:color w:val="231F20"/>
          <w:spacing w:val="-1"/>
          <w:w w:val="115"/>
          <w:sz w:val="17"/>
        </w:rPr>
        <w:t> </w:t>
      </w:r>
      <w:r>
        <w:rPr>
          <w:color w:val="231F20"/>
          <w:w w:val="115"/>
          <w:sz w:val="17"/>
        </w:rPr>
        <w:t>au</w:t>
      </w:r>
      <w:r>
        <w:rPr>
          <w:color w:val="231F20"/>
          <w:spacing w:val="-1"/>
          <w:w w:val="115"/>
          <w:sz w:val="17"/>
        </w:rPr>
        <w:t> </w:t>
      </w:r>
      <w:r>
        <w:rPr>
          <w:color w:val="231F20"/>
          <w:w w:val="115"/>
          <w:sz w:val="17"/>
        </w:rPr>
        <w:t>moins</w:t>
      </w:r>
      <w:r>
        <w:rPr>
          <w:color w:val="231F20"/>
          <w:spacing w:val="-1"/>
          <w:w w:val="115"/>
          <w:sz w:val="17"/>
        </w:rPr>
        <w:t> </w:t>
      </w:r>
      <w:r>
        <w:rPr>
          <w:color w:val="231F20"/>
          <w:w w:val="115"/>
          <w:sz w:val="17"/>
        </w:rPr>
        <w:t>9</w:t>
      </w:r>
      <w:r>
        <w:rPr>
          <w:color w:val="231F20"/>
          <w:spacing w:val="-1"/>
          <w:w w:val="115"/>
          <w:sz w:val="17"/>
        </w:rPr>
        <w:t> </w:t>
      </w:r>
      <w:r>
        <w:rPr>
          <w:color w:val="231F20"/>
          <w:w w:val="115"/>
          <w:sz w:val="17"/>
        </w:rPr>
        <w:t>signes</w:t>
      </w:r>
      <w:r>
        <w:rPr>
          <w:color w:val="231F20"/>
          <w:spacing w:val="-1"/>
          <w:w w:val="115"/>
          <w:sz w:val="17"/>
        </w:rPr>
        <w:t> </w:t>
      </w:r>
      <w:r>
        <w:rPr>
          <w:color w:val="231F20"/>
          <w:w w:val="115"/>
          <w:sz w:val="17"/>
        </w:rPr>
        <w:t>de </w:t>
      </w:r>
      <w:r>
        <w:rPr>
          <w:color w:val="231F20"/>
          <w:w w:val="120"/>
          <w:sz w:val="17"/>
        </w:rPr>
        <w:t>cette catégorie, vous souffrez vraisemblablement d’un stress important qui se manifeste sur le plan comportemental. Si vous </w:t>
      </w:r>
      <w:r>
        <w:rPr>
          <w:color w:val="231F20"/>
          <w:spacing w:val="-4"/>
          <w:w w:val="120"/>
          <w:sz w:val="17"/>
        </w:rPr>
        <w:t>avez</w:t>
      </w:r>
      <w:r>
        <w:rPr>
          <w:color w:val="231F20"/>
          <w:spacing w:val="-6"/>
          <w:w w:val="120"/>
          <w:sz w:val="17"/>
        </w:rPr>
        <w:t> </w:t>
      </w:r>
      <w:r>
        <w:rPr>
          <w:color w:val="231F20"/>
          <w:spacing w:val="-4"/>
          <w:w w:val="120"/>
          <w:sz w:val="17"/>
        </w:rPr>
        <w:t>coché</w:t>
      </w:r>
      <w:r>
        <w:rPr>
          <w:color w:val="231F20"/>
          <w:spacing w:val="-6"/>
          <w:w w:val="120"/>
          <w:sz w:val="17"/>
        </w:rPr>
        <w:t> </w:t>
      </w:r>
      <w:r>
        <w:rPr>
          <w:color w:val="231F20"/>
          <w:spacing w:val="-4"/>
          <w:w w:val="120"/>
          <w:sz w:val="17"/>
        </w:rPr>
        <w:t>de</w:t>
      </w:r>
      <w:r>
        <w:rPr>
          <w:color w:val="231F20"/>
          <w:spacing w:val="-6"/>
          <w:w w:val="120"/>
          <w:sz w:val="17"/>
        </w:rPr>
        <w:t> </w:t>
      </w:r>
      <w:r>
        <w:rPr>
          <w:color w:val="231F20"/>
          <w:spacing w:val="-4"/>
          <w:w w:val="120"/>
          <w:sz w:val="17"/>
        </w:rPr>
        <w:t>5</w:t>
      </w:r>
      <w:r>
        <w:rPr>
          <w:color w:val="231F20"/>
          <w:spacing w:val="-6"/>
          <w:w w:val="120"/>
          <w:sz w:val="17"/>
        </w:rPr>
        <w:t> </w:t>
      </w:r>
      <w:r>
        <w:rPr>
          <w:color w:val="231F20"/>
          <w:spacing w:val="-4"/>
          <w:w w:val="120"/>
          <w:sz w:val="17"/>
        </w:rPr>
        <w:t>à</w:t>
      </w:r>
      <w:r>
        <w:rPr>
          <w:color w:val="231F20"/>
          <w:spacing w:val="-6"/>
          <w:w w:val="120"/>
          <w:sz w:val="17"/>
        </w:rPr>
        <w:t> </w:t>
      </w:r>
      <w:r>
        <w:rPr>
          <w:color w:val="231F20"/>
          <w:spacing w:val="-4"/>
          <w:w w:val="120"/>
          <w:sz w:val="17"/>
        </w:rPr>
        <w:t>8</w:t>
      </w:r>
      <w:r>
        <w:rPr>
          <w:color w:val="231F20"/>
          <w:spacing w:val="-6"/>
          <w:w w:val="120"/>
          <w:sz w:val="17"/>
        </w:rPr>
        <w:t> </w:t>
      </w:r>
      <w:r>
        <w:rPr>
          <w:color w:val="231F20"/>
          <w:spacing w:val="-4"/>
          <w:w w:val="120"/>
          <w:sz w:val="17"/>
        </w:rPr>
        <w:t>signes,</w:t>
      </w:r>
      <w:r>
        <w:rPr>
          <w:color w:val="231F20"/>
          <w:spacing w:val="-6"/>
          <w:w w:val="120"/>
          <w:sz w:val="17"/>
        </w:rPr>
        <w:t> </w:t>
      </w:r>
      <w:r>
        <w:rPr>
          <w:color w:val="231F20"/>
          <w:spacing w:val="-4"/>
          <w:w w:val="120"/>
          <w:sz w:val="17"/>
        </w:rPr>
        <w:t>votre</w:t>
      </w:r>
      <w:r>
        <w:rPr>
          <w:color w:val="231F20"/>
          <w:spacing w:val="-6"/>
          <w:w w:val="120"/>
          <w:sz w:val="17"/>
        </w:rPr>
        <w:t> </w:t>
      </w:r>
      <w:r>
        <w:rPr>
          <w:color w:val="231F20"/>
          <w:spacing w:val="-4"/>
          <w:w w:val="120"/>
          <w:sz w:val="17"/>
        </w:rPr>
        <w:t>niveau</w:t>
      </w:r>
      <w:r>
        <w:rPr>
          <w:color w:val="231F20"/>
          <w:spacing w:val="-6"/>
          <w:w w:val="120"/>
          <w:sz w:val="17"/>
        </w:rPr>
        <w:t> </w:t>
      </w:r>
      <w:r>
        <w:rPr>
          <w:color w:val="231F20"/>
          <w:spacing w:val="-4"/>
          <w:w w:val="120"/>
          <w:sz w:val="17"/>
        </w:rPr>
        <w:t>de</w:t>
      </w:r>
      <w:r>
        <w:rPr>
          <w:color w:val="231F20"/>
          <w:spacing w:val="-6"/>
          <w:w w:val="120"/>
          <w:sz w:val="17"/>
        </w:rPr>
        <w:t> </w:t>
      </w:r>
      <w:r>
        <w:rPr>
          <w:color w:val="231F20"/>
          <w:spacing w:val="-4"/>
          <w:w w:val="120"/>
          <w:sz w:val="17"/>
        </w:rPr>
        <w:t>stress</w:t>
      </w:r>
      <w:r>
        <w:rPr>
          <w:color w:val="231F20"/>
          <w:spacing w:val="-6"/>
          <w:w w:val="120"/>
          <w:sz w:val="17"/>
        </w:rPr>
        <w:t> </w:t>
      </w:r>
      <w:r>
        <w:rPr>
          <w:color w:val="231F20"/>
          <w:spacing w:val="-4"/>
          <w:w w:val="120"/>
          <w:sz w:val="17"/>
        </w:rPr>
        <w:t>est</w:t>
      </w:r>
      <w:r>
        <w:rPr>
          <w:color w:val="231F20"/>
          <w:spacing w:val="-6"/>
          <w:w w:val="120"/>
          <w:sz w:val="17"/>
        </w:rPr>
        <w:t> </w:t>
      </w:r>
      <w:r>
        <w:rPr>
          <w:color w:val="231F20"/>
          <w:spacing w:val="-4"/>
          <w:w w:val="120"/>
          <w:sz w:val="17"/>
        </w:rPr>
        <w:t>moyennement </w:t>
      </w:r>
      <w:r>
        <w:rPr>
          <w:color w:val="231F20"/>
          <w:w w:val="120"/>
          <w:sz w:val="17"/>
        </w:rPr>
        <w:t>élevé;</w:t>
      </w:r>
      <w:r>
        <w:rPr>
          <w:color w:val="231F20"/>
          <w:spacing w:val="-7"/>
          <w:w w:val="120"/>
          <w:sz w:val="17"/>
        </w:rPr>
        <w:t> </w:t>
      </w:r>
      <w:r>
        <w:rPr>
          <w:color w:val="231F20"/>
          <w:w w:val="120"/>
          <w:sz w:val="17"/>
        </w:rPr>
        <w:t>si</w:t>
      </w:r>
      <w:r>
        <w:rPr>
          <w:color w:val="231F20"/>
          <w:spacing w:val="-7"/>
          <w:w w:val="120"/>
          <w:sz w:val="17"/>
        </w:rPr>
        <w:t> </w:t>
      </w:r>
      <w:r>
        <w:rPr>
          <w:color w:val="231F20"/>
          <w:w w:val="120"/>
          <w:sz w:val="17"/>
        </w:rPr>
        <w:t>vous</w:t>
      </w:r>
      <w:r>
        <w:rPr>
          <w:color w:val="231F20"/>
          <w:spacing w:val="-7"/>
          <w:w w:val="120"/>
          <w:sz w:val="17"/>
        </w:rPr>
        <w:t> </w:t>
      </w:r>
      <w:r>
        <w:rPr>
          <w:color w:val="231F20"/>
          <w:w w:val="120"/>
          <w:sz w:val="17"/>
        </w:rPr>
        <w:t>en</w:t>
      </w:r>
      <w:r>
        <w:rPr>
          <w:color w:val="231F20"/>
          <w:spacing w:val="-7"/>
          <w:w w:val="120"/>
          <w:sz w:val="17"/>
        </w:rPr>
        <w:t> </w:t>
      </w:r>
      <w:r>
        <w:rPr>
          <w:color w:val="231F20"/>
          <w:w w:val="120"/>
          <w:sz w:val="17"/>
        </w:rPr>
        <w:t>avez</w:t>
      </w:r>
      <w:r>
        <w:rPr>
          <w:color w:val="231F20"/>
          <w:spacing w:val="-7"/>
          <w:w w:val="120"/>
          <w:sz w:val="17"/>
        </w:rPr>
        <w:t> </w:t>
      </w:r>
      <w:r>
        <w:rPr>
          <w:color w:val="231F20"/>
          <w:w w:val="120"/>
          <w:sz w:val="17"/>
        </w:rPr>
        <w:t>coché</w:t>
      </w:r>
      <w:r>
        <w:rPr>
          <w:color w:val="231F20"/>
          <w:spacing w:val="-7"/>
          <w:w w:val="120"/>
          <w:sz w:val="17"/>
        </w:rPr>
        <w:t> </w:t>
      </w:r>
      <w:r>
        <w:rPr>
          <w:color w:val="231F20"/>
          <w:w w:val="120"/>
          <w:sz w:val="17"/>
        </w:rPr>
        <w:t>4</w:t>
      </w:r>
      <w:r>
        <w:rPr>
          <w:color w:val="231F20"/>
          <w:spacing w:val="-7"/>
          <w:w w:val="120"/>
          <w:sz w:val="17"/>
        </w:rPr>
        <w:t> </w:t>
      </w:r>
      <w:r>
        <w:rPr>
          <w:color w:val="231F20"/>
          <w:w w:val="120"/>
          <w:sz w:val="17"/>
        </w:rPr>
        <w:t>ou</w:t>
      </w:r>
      <w:r>
        <w:rPr>
          <w:color w:val="231F20"/>
          <w:spacing w:val="-7"/>
          <w:w w:val="120"/>
          <w:sz w:val="17"/>
        </w:rPr>
        <w:t> </w:t>
      </w:r>
      <w:r>
        <w:rPr>
          <w:color w:val="231F20"/>
          <w:w w:val="120"/>
          <w:sz w:val="17"/>
        </w:rPr>
        <w:t>moins,</w:t>
      </w:r>
      <w:r>
        <w:rPr>
          <w:color w:val="231F20"/>
          <w:spacing w:val="-7"/>
          <w:w w:val="120"/>
          <w:sz w:val="17"/>
        </w:rPr>
        <w:t> </w:t>
      </w:r>
      <w:r>
        <w:rPr>
          <w:color w:val="231F20"/>
          <w:w w:val="120"/>
          <w:sz w:val="17"/>
        </w:rPr>
        <w:t>votre</w:t>
      </w:r>
      <w:r>
        <w:rPr>
          <w:color w:val="231F20"/>
          <w:spacing w:val="-7"/>
          <w:w w:val="120"/>
          <w:sz w:val="17"/>
        </w:rPr>
        <w:t> </w:t>
      </w:r>
      <w:r>
        <w:rPr>
          <w:color w:val="231F20"/>
          <w:w w:val="120"/>
          <w:sz w:val="17"/>
        </w:rPr>
        <w:t>situation</w:t>
      </w:r>
      <w:r>
        <w:rPr>
          <w:color w:val="231F20"/>
          <w:spacing w:val="-7"/>
          <w:w w:val="120"/>
          <w:sz w:val="17"/>
        </w:rPr>
        <w:t> </w:t>
      </w:r>
      <w:r>
        <w:rPr>
          <w:color w:val="231F20"/>
          <w:w w:val="120"/>
          <w:sz w:val="17"/>
        </w:rPr>
        <w:t>est</w:t>
      </w:r>
      <w:r>
        <w:rPr>
          <w:color w:val="231F20"/>
          <w:spacing w:val="-7"/>
          <w:w w:val="120"/>
          <w:sz w:val="17"/>
        </w:rPr>
        <w:t> </w:t>
      </w:r>
      <w:r>
        <w:rPr>
          <w:color w:val="231F20"/>
          <w:w w:val="120"/>
          <w:sz w:val="17"/>
        </w:rPr>
        <w:t>à</w:t>
      </w:r>
      <w:r>
        <w:rPr>
          <w:color w:val="231F20"/>
          <w:spacing w:val="-7"/>
          <w:w w:val="120"/>
          <w:sz w:val="17"/>
        </w:rPr>
        <w:t> </w:t>
      </w:r>
      <w:r>
        <w:rPr>
          <w:color w:val="231F20"/>
          <w:w w:val="120"/>
          <w:sz w:val="17"/>
        </w:rPr>
        <w:t>peu près</w:t>
      </w:r>
      <w:r>
        <w:rPr>
          <w:color w:val="231F20"/>
          <w:spacing w:val="-13"/>
          <w:w w:val="120"/>
          <w:sz w:val="17"/>
        </w:rPr>
        <w:t> </w:t>
      </w:r>
      <w:r>
        <w:rPr>
          <w:color w:val="231F20"/>
          <w:w w:val="120"/>
          <w:sz w:val="17"/>
        </w:rPr>
        <w:t>normale.</w:t>
      </w:r>
    </w:p>
    <w:p>
      <w:pPr>
        <w:pStyle w:val="BodyText"/>
        <w:spacing w:line="307" w:lineRule="auto" w:before="79"/>
        <w:ind w:left="1220" w:right="103"/>
        <w:jc w:val="both"/>
      </w:pPr>
      <w:r>
        <w:rPr>
          <w:b/>
          <w:color w:val="231F20"/>
          <w:spacing w:val="-2"/>
          <w:w w:val="120"/>
        </w:rPr>
        <w:t>Remarque</w:t>
      </w:r>
      <w:r>
        <w:rPr>
          <w:b/>
          <w:color w:val="231F20"/>
          <w:spacing w:val="-11"/>
          <w:w w:val="120"/>
        </w:rPr>
        <w:t> </w:t>
      </w:r>
      <w:r>
        <w:rPr>
          <w:color w:val="231F20"/>
          <w:spacing w:val="-2"/>
          <w:w w:val="120"/>
        </w:rPr>
        <w:t>:</w:t>
      </w:r>
      <w:r>
        <w:rPr>
          <w:color w:val="231F20"/>
          <w:spacing w:val="-11"/>
          <w:w w:val="120"/>
        </w:rPr>
        <w:t> </w:t>
      </w:r>
      <w:r>
        <w:rPr>
          <w:color w:val="231F20"/>
          <w:spacing w:val="-2"/>
          <w:w w:val="120"/>
        </w:rPr>
        <w:t>Répétez</w:t>
      </w:r>
      <w:r>
        <w:rPr>
          <w:color w:val="231F20"/>
          <w:spacing w:val="-11"/>
          <w:w w:val="120"/>
        </w:rPr>
        <w:t> </w:t>
      </w:r>
      <w:r>
        <w:rPr>
          <w:color w:val="231F20"/>
          <w:spacing w:val="-2"/>
          <w:w w:val="120"/>
        </w:rPr>
        <w:t>le</w:t>
      </w:r>
      <w:r>
        <w:rPr>
          <w:color w:val="231F20"/>
          <w:spacing w:val="-10"/>
          <w:w w:val="120"/>
        </w:rPr>
        <w:t> </w:t>
      </w:r>
      <w:r>
        <w:rPr>
          <w:color w:val="231F20"/>
          <w:spacing w:val="-2"/>
          <w:w w:val="120"/>
        </w:rPr>
        <w:t>même</w:t>
      </w:r>
      <w:r>
        <w:rPr>
          <w:color w:val="231F20"/>
          <w:spacing w:val="-11"/>
          <w:w w:val="120"/>
        </w:rPr>
        <w:t> </w:t>
      </w:r>
      <w:r>
        <w:rPr>
          <w:color w:val="231F20"/>
          <w:spacing w:val="-2"/>
          <w:w w:val="120"/>
        </w:rPr>
        <w:t>exercice</w:t>
      </w:r>
      <w:r>
        <w:rPr>
          <w:color w:val="231F20"/>
          <w:spacing w:val="-8"/>
          <w:w w:val="120"/>
        </w:rPr>
        <w:t> </w:t>
      </w:r>
      <w:r>
        <w:rPr>
          <w:color w:val="231F20"/>
          <w:spacing w:val="-2"/>
          <w:w w:val="120"/>
        </w:rPr>
        <w:t>en</w:t>
      </w:r>
      <w:r>
        <w:rPr>
          <w:color w:val="231F20"/>
          <w:spacing w:val="-6"/>
          <w:w w:val="120"/>
        </w:rPr>
        <w:t> </w:t>
      </w:r>
      <w:r>
        <w:rPr>
          <w:color w:val="231F20"/>
          <w:spacing w:val="-2"/>
          <w:w w:val="120"/>
        </w:rPr>
        <w:t>pensant</w:t>
      </w:r>
      <w:r>
        <w:rPr>
          <w:color w:val="231F20"/>
          <w:spacing w:val="-6"/>
          <w:w w:val="120"/>
        </w:rPr>
        <w:t> </w:t>
      </w:r>
      <w:r>
        <w:rPr>
          <w:color w:val="231F20"/>
          <w:spacing w:val="-2"/>
          <w:w w:val="120"/>
        </w:rPr>
        <w:t>à</w:t>
      </w:r>
      <w:r>
        <w:rPr>
          <w:color w:val="231F20"/>
          <w:spacing w:val="-6"/>
          <w:w w:val="120"/>
        </w:rPr>
        <w:t> </w:t>
      </w:r>
      <w:r>
        <w:rPr>
          <w:color w:val="231F20"/>
          <w:spacing w:val="-2"/>
          <w:w w:val="120"/>
        </w:rPr>
        <w:t>la</w:t>
      </w:r>
      <w:r>
        <w:rPr>
          <w:color w:val="231F20"/>
          <w:spacing w:val="-6"/>
          <w:w w:val="120"/>
        </w:rPr>
        <w:t> </w:t>
      </w:r>
      <w:r>
        <w:rPr>
          <w:color w:val="231F20"/>
          <w:spacing w:val="-2"/>
          <w:w w:val="120"/>
        </w:rPr>
        <w:t>période</w:t>
      </w:r>
      <w:r>
        <w:rPr>
          <w:color w:val="231F20"/>
          <w:spacing w:val="-6"/>
          <w:w w:val="120"/>
        </w:rPr>
        <w:t> </w:t>
      </w:r>
      <w:r>
        <w:rPr>
          <w:color w:val="231F20"/>
          <w:spacing w:val="-2"/>
          <w:w w:val="120"/>
        </w:rPr>
        <w:t>de</w:t>
      </w:r>
      <w:r>
        <w:rPr>
          <w:color w:val="231F20"/>
          <w:spacing w:val="-6"/>
          <w:w w:val="120"/>
        </w:rPr>
        <w:t> </w:t>
      </w:r>
      <w:r>
        <w:rPr>
          <w:color w:val="231F20"/>
          <w:spacing w:val="-2"/>
          <w:w w:val="120"/>
        </w:rPr>
        <w:t>trois</w:t>
      </w:r>
      <w:r>
        <w:rPr>
          <w:color w:val="231F20"/>
          <w:spacing w:val="-6"/>
          <w:w w:val="120"/>
        </w:rPr>
        <w:t> </w:t>
      </w:r>
      <w:r>
        <w:rPr>
          <w:color w:val="231F20"/>
          <w:spacing w:val="-2"/>
          <w:w w:val="120"/>
        </w:rPr>
        <w:t>à </w:t>
      </w:r>
      <w:r>
        <w:rPr>
          <w:color w:val="231F20"/>
          <w:w w:val="120"/>
        </w:rPr>
        <w:t>six</w:t>
      </w:r>
      <w:r>
        <w:rPr>
          <w:color w:val="231F20"/>
          <w:spacing w:val="-8"/>
          <w:w w:val="120"/>
        </w:rPr>
        <w:t> </w:t>
      </w:r>
      <w:r>
        <w:rPr>
          <w:color w:val="231F20"/>
          <w:w w:val="120"/>
        </w:rPr>
        <w:t>mois</w:t>
      </w:r>
      <w:r>
        <w:rPr>
          <w:color w:val="231F20"/>
          <w:spacing w:val="-8"/>
          <w:w w:val="120"/>
        </w:rPr>
        <w:t> </w:t>
      </w:r>
      <w:r>
        <w:rPr>
          <w:color w:val="231F20"/>
          <w:w w:val="120"/>
        </w:rPr>
        <w:t>avant</w:t>
      </w:r>
      <w:r>
        <w:rPr>
          <w:color w:val="231F20"/>
          <w:spacing w:val="-8"/>
          <w:w w:val="120"/>
        </w:rPr>
        <w:t> </w:t>
      </w:r>
      <w:r>
        <w:rPr>
          <w:color w:val="231F20"/>
          <w:w w:val="120"/>
        </w:rPr>
        <w:t>aujourd’hui</w:t>
      </w:r>
      <w:r>
        <w:rPr>
          <w:color w:val="231F20"/>
          <w:spacing w:val="-8"/>
          <w:w w:val="120"/>
        </w:rPr>
        <w:t> </w:t>
      </w:r>
      <w:r>
        <w:rPr>
          <w:color w:val="231F20"/>
          <w:w w:val="120"/>
        </w:rPr>
        <w:t>(si</w:t>
      </w:r>
      <w:r>
        <w:rPr>
          <w:color w:val="231F20"/>
          <w:spacing w:val="-8"/>
          <w:w w:val="120"/>
        </w:rPr>
        <w:t> </w:t>
      </w:r>
      <w:r>
        <w:rPr>
          <w:color w:val="231F20"/>
          <w:w w:val="120"/>
        </w:rPr>
        <w:t>vous</w:t>
      </w:r>
      <w:r>
        <w:rPr>
          <w:color w:val="231F20"/>
          <w:spacing w:val="-8"/>
          <w:w w:val="120"/>
        </w:rPr>
        <w:t> </w:t>
      </w:r>
      <w:r>
        <w:rPr>
          <w:color w:val="231F20"/>
          <w:w w:val="120"/>
        </w:rPr>
        <w:t>vous</w:t>
      </w:r>
      <w:r>
        <w:rPr>
          <w:color w:val="231F20"/>
          <w:spacing w:val="-8"/>
          <w:w w:val="120"/>
        </w:rPr>
        <w:t> </w:t>
      </w:r>
      <w:r>
        <w:rPr>
          <w:color w:val="231F20"/>
          <w:w w:val="120"/>
        </w:rPr>
        <w:t>en</w:t>
      </w:r>
      <w:r>
        <w:rPr>
          <w:color w:val="231F20"/>
          <w:spacing w:val="-8"/>
          <w:w w:val="120"/>
        </w:rPr>
        <w:t> </w:t>
      </w:r>
      <w:r>
        <w:rPr>
          <w:color w:val="231F20"/>
          <w:w w:val="120"/>
        </w:rPr>
        <w:t>souvenez).</w:t>
      </w:r>
      <w:r>
        <w:rPr>
          <w:color w:val="231F20"/>
          <w:spacing w:val="-8"/>
          <w:w w:val="120"/>
        </w:rPr>
        <w:t> </w:t>
      </w:r>
      <w:r>
        <w:rPr>
          <w:color w:val="231F20"/>
          <w:w w:val="120"/>
        </w:rPr>
        <w:t>Si</w:t>
      </w:r>
      <w:r>
        <w:rPr>
          <w:color w:val="231F20"/>
          <w:spacing w:val="-8"/>
          <w:w w:val="120"/>
        </w:rPr>
        <w:t> </w:t>
      </w:r>
      <w:r>
        <w:rPr>
          <w:color w:val="231F20"/>
          <w:w w:val="120"/>
        </w:rPr>
        <w:t>vos</w:t>
      </w:r>
      <w:r>
        <w:rPr>
          <w:color w:val="231F20"/>
          <w:spacing w:val="-8"/>
          <w:w w:val="120"/>
        </w:rPr>
        <w:t> </w:t>
      </w:r>
      <w:r>
        <w:rPr>
          <w:color w:val="231F20"/>
          <w:w w:val="120"/>
        </w:rPr>
        <w:t>réponses tendent à être semblables à celles des trois derniers mois, cela signifie </w:t>
      </w:r>
      <w:r>
        <w:rPr>
          <w:color w:val="231F20"/>
          <w:w w:val="115"/>
        </w:rPr>
        <w:t>que</w:t>
      </w:r>
      <w:r>
        <w:rPr>
          <w:color w:val="231F20"/>
          <w:spacing w:val="-9"/>
          <w:w w:val="115"/>
        </w:rPr>
        <w:t> </w:t>
      </w:r>
      <w:r>
        <w:rPr>
          <w:color w:val="231F20"/>
          <w:w w:val="115"/>
        </w:rPr>
        <w:t>vous</w:t>
      </w:r>
      <w:r>
        <w:rPr>
          <w:color w:val="231F20"/>
          <w:spacing w:val="-9"/>
          <w:w w:val="115"/>
        </w:rPr>
        <w:t> </w:t>
      </w:r>
      <w:r>
        <w:rPr>
          <w:color w:val="231F20"/>
          <w:w w:val="115"/>
        </w:rPr>
        <w:t>souffrez</w:t>
      </w:r>
      <w:r>
        <w:rPr>
          <w:color w:val="231F20"/>
          <w:spacing w:val="-9"/>
          <w:w w:val="115"/>
        </w:rPr>
        <w:t> </w:t>
      </w:r>
      <w:r>
        <w:rPr>
          <w:color w:val="231F20"/>
          <w:w w:val="115"/>
        </w:rPr>
        <w:t>de</w:t>
      </w:r>
      <w:r>
        <w:rPr>
          <w:color w:val="231F20"/>
          <w:spacing w:val="-9"/>
          <w:w w:val="115"/>
        </w:rPr>
        <w:t> </w:t>
      </w:r>
      <w:r>
        <w:rPr>
          <w:color w:val="231F20"/>
          <w:w w:val="115"/>
        </w:rPr>
        <w:t>stress</w:t>
      </w:r>
      <w:r>
        <w:rPr>
          <w:color w:val="231F20"/>
          <w:spacing w:val="-9"/>
          <w:w w:val="115"/>
        </w:rPr>
        <w:t> </w:t>
      </w:r>
      <w:r>
        <w:rPr>
          <w:color w:val="231F20"/>
          <w:w w:val="115"/>
        </w:rPr>
        <w:t>chronique,</w:t>
      </w:r>
      <w:r>
        <w:rPr>
          <w:color w:val="231F20"/>
          <w:spacing w:val="-9"/>
          <w:w w:val="115"/>
        </w:rPr>
        <w:t> </w:t>
      </w:r>
      <w:r>
        <w:rPr>
          <w:color w:val="231F20"/>
          <w:w w:val="115"/>
        </w:rPr>
        <w:t>et</w:t>
      </w:r>
      <w:r>
        <w:rPr>
          <w:color w:val="231F20"/>
          <w:spacing w:val="-9"/>
          <w:w w:val="115"/>
        </w:rPr>
        <w:t> </w:t>
      </w:r>
      <w:r>
        <w:rPr>
          <w:color w:val="231F20"/>
          <w:w w:val="115"/>
        </w:rPr>
        <w:t>si</w:t>
      </w:r>
      <w:r>
        <w:rPr>
          <w:color w:val="231F20"/>
          <w:spacing w:val="-9"/>
          <w:w w:val="115"/>
        </w:rPr>
        <w:t> </w:t>
      </w:r>
      <w:r>
        <w:rPr>
          <w:color w:val="231F20"/>
          <w:w w:val="115"/>
        </w:rPr>
        <w:t>vous</w:t>
      </w:r>
      <w:r>
        <w:rPr>
          <w:color w:val="231F20"/>
          <w:spacing w:val="-9"/>
          <w:w w:val="115"/>
        </w:rPr>
        <w:t> </w:t>
      </w:r>
      <w:r>
        <w:rPr>
          <w:color w:val="231F20"/>
          <w:w w:val="115"/>
        </w:rPr>
        <w:t>obtenez</w:t>
      </w:r>
      <w:r>
        <w:rPr>
          <w:color w:val="231F20"/>
          <w:spacing w:val="-9"/>
          <w:w w:val="115"/>
        </w:rPr>
        <w:t> </w:t>
      </w:r>
      <w:r>
        <w:rPr>
          <w:color w:val="231F20"/>
          <w:w w:val="115"/>
        </w:rPr>
        <w:t>des</w:t>
      </w:r>
      <w:r>
        <w:rPr>
          <w:color w:val="231F20"/>
          <w:spacing w:val="-9"/>
          <w:w w:val="115"/>
        </w:rPr>
        <w:t> </w:t>
      </w:r>
      <w:r>
        <w:rPr>
          <w:color w:val="231F20"/>
          <w:w w:val="115"/>
        </w:rPr>
        <w:t>scores</w:t>
      </w:r>
      <w:r>
        <w:rPr>
          <w:color w:val="231F20"/>
          <w:spacing w:val="-9"/>
          <w:w w:val="115"/>
        </w:rPr>
        <w:t> </w:t>
      </w:r>
      <w:r>
        <w:rPr>
          <w:color w:val="231F20"/>
          <w:w w:val="115"/>
        </w:rPr>
        <w:t>élevés </w:t>
      </w:r>
      <w:r>
        <w:rPr>
          <w:color w:val="231F20"/>
          <w:w w:val="120"/>
        </w:rPr>
        <w:t>dans plusieurs catégories, c’est un signe de votre incapacité à gérer le stress au travail ou dans votre vie quotidienne. Cela signifie aussi que vous</w:t>
      </w:r>
      <w:r>
        <w:rPr>
          <w:color w:val="231F20"/>
          <w:spacing w:val="-8"/>
          <w:w w:val="120"/>
        </w:rPr>
        <w:t> </w:t>
      </w:r>
      <w:r>
        <w:rPr>
          <w:color w:val="231F20"/>
          <w:w w:val="120"/>
        </w:rPr>
        <w:t>auriez</w:t>
      </w:r>
      <w:r>
        <w:rPr>
          <w:color w:val="231F20"/>
          <w:spacing w:val="-8"/>
          <w:w w:val="120"/>
        </w:rPr>
        <w:t> </w:t>
      </w:r>
      <w:r>
        <w:rPr>
          <w:color w:val="231F20"/>
          <w:w w:val="120"/>
        </w:rPr>
        <w:t>peut-être</w:t>
      </w:r>
      <w:r>
        <w:rPr>
          <w:color w:val="231F20"/>
          <w:spacing w:val="-8"/>
          <w:w w:val="120"/>
        </w:rPr>
        <w:t> </w:t>
      </w:r>
      <w:r>
        <w:rPr>
          <w:color w:val="231F20"/>
          <w:w w:val="120"/>
        </w:rPr>
        <w:t>avantage</w:t>
      </w:r>
      <w:r>
        <w:rPr>
          <w:color w:val="231F20"/>
          <w:spacing w:val="-8"/>
          <w:w w:val="120"/>
        </w:rPr>
        <w:t> </w:t>
      </w:r>
      <w:r>
        <w:rPr>
          <w:color w:val="231F20"/>
          <w:w w:val="120"/>
        </w:rPr>
        <w:t>à</w:t>
      </w:r>
      <w:r>
        <w:rPr>
          <w:color w:val="231F20"/>
          <w:spacing w:val="-8"/>
          <w:w w:val="120"/>
        </w:rPr>
        <w:t> </w:t>
      </w:r>
      <w:r>
        <w:rPr>
          <w:color w:val="231F20"/>
          <w:w w:val="120"/>
        </w:rPr>
        <w:t>consulter</w:t>
      </w:r>
      <w:r>
        <w:rPr>
          <w:color w:val="231F20"/>
          <w:spacing w:val="-8"/>
          <w:w w:val="120"/>
        </w:rPr>
        <w:t> </w:t>
      </w:r>
      <w:r>
        <w:rPr>
          <w:color w:val="231F20"/>
          <w:w w:val="120"/>
        </w:rPr>
        <w:t>un</w:t>
      </w:r>
      <w:r>
        <w:rPr>
          <w:color w:val="231F20"/>
          <w:spacing w:val="-8"/>
          <w:w w:val="120"/>
        </w:rPr>
        <w:t> </w:t>
      </w:r>
      <w:r>
        <w:rPr>
          <w:color w:val="231F20"/>
          <w:w w:val="120"/>
        </w:rPr>
        <w:t>professionnel</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santé, qui pourra vous aider à gérer votre stress et à réduire votre risque </w:t>
      </w:r>
      <w:r>
        <w:rPr>
          <w:color w:val="231F20"/>
          <w:w w:val="120"/>
        </w:rPr>
        <w:t>de souffrir de graves problèmes de santé.</w:t>
      </w:r>
    </w:p>
    <w:p>
      <w:pPr>
        <w:spacing w:after="0" w:line="307" w:lineRule="auto"/>
        <w:jc w:val="both"/>
        <w:sectPr>
          <w:footerReference w:type="default" r:id="rId231"/>
          <w:pgSz w:w="8640" w:h="12960"/>
          <w:pgMar w:footer="424" w:header="0" w:top="500" w:bottom="620" w:left="420" w:right="1140"/>
        </w:sectPr>
      </w:pPr>
    </w:p>
    <w:p>
      <w:pPr>
        <w:pStyle w:val="BodyText"/>
        <w:spacing w:before="4"/>
      </w:pPr>
    </w:p>
    <w:p>
      <w:pPr>
        <w:spacing w:after="0"/>
        <w:sectPr>
          <w:footerReference w:type="default" r:id="rId232"/>
          <w:pgSz w:w="8640" w:h="12960"/>
          <w:pgMar w:footer="0" w:header="0" w:top="1220" w:bottom="280" w:left="420" w:right="1140"/>
        </w:sectPr>
      </w:pPr>
    </w:p>
    <w:p>
      <w:pPr>
        <w:pStyle w:val="BodyText"/>
        <w:rPr>
          <w:sz w:val="18"/>
        </w:rPr>
      </w:pPr>
    </w:p>
    <w:p>
      <w:pPr>
        <w:spacing w:before="144"/>
        <w:ind w:left="1808" w:right="698" w:firstLine="0"/>
        <w:jc w:val="center"/>
        <w:rPr>
          <w:rFonts w:ascii="Arial"/>
          <w:i/>
          <w:sz w:val="19"/>
        </w:rPr>
      </w:pPr>
      <w:bookmarkStart w:name="Chapitre 4 /" w:id="127"/>
      <w:bookmarkEnd w:id="127"/>
      <w:r>
        <w:rPr/>
      </w:r>
      <w:bookmarkStart w:name="Estime de soi : pierre angulaire de la s" w:id="128"/>
      <w:bookmarkEnd w:id="128"/>
      <w:r>
        <w:rPr/>
      </w:r>
      <w:bookmarkStart w:name=" 4.1 / Pourquoi l’estime de soi ?" w:id="129"/>
      <w:bookmarkEnd w:id="129"/>
      <w:r>
        <w:rPr/>
      </w:r>
      <w:bookmarkStart w:name="_bookmark55" w:id="130"/>
      <w:bookmarkEnd w:id="130"/>
      <w:r>
        <w:rPr/>
      </w:r>
      <w:r>
        <w:rPr>
          <w:rFonts w:ascii="Arial"/>
          <w:color w:val="231F20"/>
          <w:spacing w:val="12"/>
          <w:w w:val="105"/>
          <w:sz w:val="19"/>
        </w:rPr>
        <w:t>Chapitre</w:t>
      </w:r>
      <w:r>
        <w:rPr>
          <w:rFonts w:ascii="Arial"/>
          <w:color w:val="231F20"/>
          <w:spacing w:val="47"/>
          <w:w w:val="105"/>
          <w:sz w:val="19"/>
        </w:rPr>
        <w:t> </w:t>
      </w:r>
      <w:r>
        <w:rPr>
          <w:rFonts w:ascii="Arial"/>
          <w:color w:val="231F20"/>
          <w:w w:val="105"/>
          <w:sz w:val="19"/>
        </w:rPr>
        <w:t>4</w:t>
      </w:r>
      <w:r>
        <w:rPr>
          <w:rFonts w:ascii="Arial"/>
          <w:color w:val="231F20"/>
          <w:spacing w:val="29"/>
          <w:w w:val="105"/>
          <w:sz w:val="19"/>
        </w:rPr>
        <w:t> </w:t>
      </w:r>
      <w:r>
        <w:rPr>
          <w:rFonts w:ascii="Arial"/>
          <w:i/>
          <w:color w:val="231F20"/>
          <w:spacing w:val="-10"/>
          <w:w w:val="105"/>
          <w:sz w:val="19"/>
        </w:rPr>
        <w:t>/</w:t>
      </w:r>
    </w:p>
    <w:p>
      <w:pPr>
        <w:pStyle w:val="BodyText"/>
        <w:rPr>
          <w:rFonts w:ascii="Arial"/>
          <w:i/>
          <w:sz w:val="26"/>
        </w:rPr>
      </w:pPr>
    </w:p>
    <w:p>
      <w:pPr>
        <w:pStyle w:val="BodyText"/>
        <w:spacing w:before="3"/>
        <w:rPr>
          <w:rFonts w:ascii="Arial"/>
          <w:i/>
          <w:sz w:val="31"/>
        </w:rPr>
      </w:pPr>
    </w:p>
    <w:p>
      <w:pPr>
        <w:pStyle w:val="Heading1"/>
        <w:spacing w:line="237" w:lineRule="auto"/>
        <w:ind w:left="1808" w:right="698"/>
        <w:jc w:val="center"/>
        <w:rPr>
          <w:b w:val="0"/>
          <w:sz w:val="19"/>
        </w:rPr>
      </w:pPr>
      <w:r>
        <w:rPr>
          <w:color w:val="231F20"/>
          <w:spacing w:val="-2"/>
          <w:w w:val="95"/>
        </w:rPr>
        <w:t>Estime</w:t>
      </w:r>
      <w:r>
        <w:rPr>
          <w:color w:val="231F20"/>
          <w:spacing w:val="-36"/>
          <w:w w:val="95"/>
        </w:rPr>
        <w:t> </w:t>
      </w:r>
      <w:r>
        <w:rPr>
          <w:color w:val="231F20"/>
          <w:spacing w:val="-2"/>
          <w:w w:val="95"/>
        </w:rPr>
        <w:t>de</w:t>
      </w:r>
      <w:r>
        <w:rPr>
          <w:color w:val="231F20"/>
          <w:spacing w:val="-36"/>
          <w:w w:val="95"/>
        </w:rPr>
        <w:t> </w:t>
      </w:r>
      <w:r>
        <w:rPr>
          <w:color w:val="231F20"/>
          <w:spacing w:val="-2"/>
          <w:w w:val="95"/>
        </w:rPr>
        <w:t>soi:</w:t>
      </w:r>
      <w:r>
        <w:rPr>
          <w:color w:val="231F20"/>
          <w:spacing w:val="-36"/>
          <w:w w:val="95"/>
        </w:rPr>
        <w:t> </w:t>
      </w:r>
      <w:r>
        <w:rPr>
          <w:color w:val="231F20"/>
          <w:spacing w:val="-2"/>
          <w:w w:val="95"/>
        </w:rPr>
        <w:t>pierre</w:t>
      </w:r>
      <w:r>
        <w:rPr>
          <w:color w:val="231F20"/>
          <w:spacing w:val="-36"/>
          <w:w w:val="95"/>
        </w:rPr>
        <w:t> </w:t>
      </w:r>
      <w:r>
        <w:rPr>
          <w:color w:val="231F20"/>
          <w:spacing w:val="-2"/>
          <w:w w:val="95"/>
        </w:rPr>
        <w:t>angulaire </w:t>
      </w:r>
      <w:r>
        <w:rPr>
          <w:color w:val="231F20"/>
          <w:w w:val="95"/>
        </w:rPr>
        <w:t>de</w:t>
      </w:r>
      <w:r>
        <w:rPr>
          <w:color w:val="231F20"/>
          <w:spacing w:val="-16"/>
          <w:w w:val="95"/>
        </w:rPr>
        <w:t> </w:t>
      </w:r>
      <w:r>
        <w:rPr>
          <w:color w:val="231F20"/>
          <w:w w:val="95"/>
        </w:rPr>
        <w:t>la</w:t>
      </w:r>
      <w:r>
        <w:rPr>
          <w:color w:val="231F20"/>
          <w:spacing w:val="-16"/>
          <w:w w:val="95"/>
        </w:rPr>
        <w:t> </w:t>
      </w:r>
      <w:r>
        <w:rPr>
          <w:color w:val="231F20"/>
          <w:w w:val="95"/>
        </w:rPr>
        <w:t>santé</w:t>
      </w:r>
      <w:r>
        <w:rPr>
          <w:color w:val="231F20"/>
          <w:spacing w:val="-16"/>
          <w:w w:val="95"/>
        </w:rPr>
        <w:t> </w:t>
      </w:r>
      <w:r>
        <w:rPr>
          <w:color w:val="231F20"/>
          <w:w w:val="95"/>
        </w:rPr>
        <w:t>psychologique</w:t>
      </w:r>
      <w:r>
        <w:rPr>
          <w:b w:val="0"/>
          <w:color w:val="231F20"/>
          <w:w w:val="95"/>
          <w:position w:val="11"/>
          <w:sz w:val="19"/>
        </w:rPr>
        <w:t>1</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23"/>
        </w:rPr>
      </w:pPr>
    </w:p>
    <w:p>
      <w:pPr>
        <w:spacing w:line="312" w:lineRule="auto" w:before="0"/>
        <w:ind w:left="1220" w:right="2044" w:firstLine="0"/>
        <w:jc w:val="left"/>
        <w:rPr>
          <w:rFonts w:ascii="Arial" w:hAnsi="Arial"/>
          <w:sz w:val="14"/>
        </w:rPr>
      </w:pPr>
      <w:r>
        <w:rPr>
          <w:rFonts w:ascii="Arial" w:hAnsi="Arial"/>
          <w:color w:val="231F20"/>
          <w:sz w:val="14"/>
        </w:rPr>
        <w:t>Contrairement à l’homme vertueux, qui fuit la médiocrité,</w:t>
      </w:r>
      <w:r>
        <w:rPr>
          <w:rFonts w:ascii="Arial" w:hAnsi="Arial"/>
          <w:color w:val="231F20"/>
          <w:spacing w:val="40"/>
          <w:sz w:val="14"/>
        </w:rPr>
        <w:t> </w:t>
      </w:r>
      <w:r>
        <w:rPr>
          <w:rFonts w:ascii="Arial" w:hAnsi="Arial"/>
          <w:color w:val="231F20"/>
          <w:sz w:val="14"/>
        </w:rPr>
        <w:t>l’homme</w:t>
      </w:r>
      <w:r>
        <w:rPr>
          <w:rFonts w:ascii="Arial" w:hAnsi="Arial"/>
          <w:color w:val="231F20"/>
          <w:spacing w:val="-4"/>
          <w:sz w:val="14"/>
        </w:rPr>
        <w:t> </w:t>
      </w:r>
      <w:r>
        <w:rPr>
          <w:rFonts w:ascii="Arial" w:hAnsi="Arial"/>
          <w:color w:val="231F20"/>
          <w:sz w:val="14"/>
        </w:rPr>
        <w:t>d’action,</w:t>
      </w:r>
      <w:r>
        <w:rPr>
          <w:rFonts w:ascii="Arial" w:hAnsi="Arial"/>
          <w:color w:val="231F20"/>
          <w:spacing w:val="-4"/>
          <w:sz w:val="14"/>
        </w:rPr>
        <w:t> </w:t>
      </w:r>
      <w:r>
        <w:rPr>
          <w:rFonts w:ascii="Arial" w:hAnsi="Arial"/>
          <w:color w:val="231F20"/>
          <w:sz w:val="14"/>
        </w:rPr>
        <w:t>dont</w:t>
      </w:r>
      <w:r>
        <w:rPr>
          <w:rFonts w:ascii="Arial" w:hAnsi="Arial"/>
          <w:color w:val="231F20"/>
          <w:spacing w:val="-4"/>
          <w:sz w:val="14"/>
        </w:rPr>
        <w:t> </w:t>
      </w:r>
      <w:r>
        <w:rPr>
          <w:rFonts w:ascii="Arial" w:hAnsi="Arial"/>
          <w:color w:val="231F20"/>
          <w:sz w:val="14"/>
        </w:rPr>
        <w:t>le</w:t>
      </w:r>
      <w:r>
        <w:rPr>
          <w:rFonts w:ascii="Arial" w:hAnsi="Arial"/>
          <w:color w:val="231F20"/>
          <w:spacing w:val="-4"/>
          <w:sz w:val="14"/>
        </w:rPr>
        <w:t> </w:t>
      </w:r>
      <w:r>
        <w:rPr>
          <w:rFonts w:ascii="Arial" w:hAnsi="Arial"/>
          <w:color w:val="231F20"/>
          <w:sz w:val="14"/>
        </w:rPr>
        <w:t>bonheur</w:t>
      </w:r>
      <w:r>
        <w:rPr>
          <w:rFonts w:ascii="Arial" w:hAnsi="Arial"/>
          <w:color w:val="231F20"/>
          <w:spacing w:val="-4"/>
          <w:sz w:val="14"/>
        </w:rPr>
        <w:t> </w:t>
      </w:r>
      <w:r>
        <w:rPr>
          <w:rFonts w:ascii="Arial" w:hAnsi="Arial"/>
          <w:color w:val="231F20"/>
          <w:sz w:val="14"/>
        </w:rPr>
        <w:t>consiste</w:t>
      </w:r>
      <w:r>
        <w:rPr>
          <w:rFonts w:ascii="Arial" w:hAnsi="Arial"/>
          <w:color w:val="231F20"/>
          <w:spacing w:val="-4"/>
          <w:sz w:val="14"/>
        </w:rPr>
        <w:t> </w:t>
      </w:r>
      <w:r>
        <w:rPr>
          <w:rFonts w:ascii="Arial" w:hAnsi="Arial"/>
          <w:color w:val="231F20"/>
          <w:sz w:val="14"/>
        </w:rPr>
        <w:t>à</w:t>
      </w:r>
      <w:r>
        <w:rPr>
          <w:rFonts w:ascii="Arial" w:hAnsi="Arial"/>
          <w:color w:val="231F20"/>
          <w:spacing w:val="-4"/>
          <w:sz w:val="14"/>
        </w:rPr>
        <w:t> </w:t>
      </w:r>
      <w:r>
        <w:rPr>
          <w:rFonts w:ascii="Arial" w:hAnsi="Arial"/>
          <w:color w:val="231F20"/>
          <w:sz w:val="14"/>
        </w:rPr>
        <w:t>se</w:t>
      </w:r>
      <w:r>
        <w:rPr>
          <w:rFonts w:ascii="Arial" w:hAnsi="Arial"/>
          <w:color w:val="231F20"/>
          <w:spacing w:val="-4"/>
          <w:sz w:val="14"/>
        </w:rPr>
        <w:t> </w:t>
      </w:r>
      <w:r>
        <w:rPr>
          <w:rFonts w:ascii="Arial" w:hAnsi="Arial"/>
          <w:color w:val="231F20"/>
          <w:sz w:val="14"/>
        </w:rPr>
        <w:t>démarquer,</w:t>
      </w:r>
      <w:r>
        <w:rPr>
          <w:rFonts w:ascii="Arial" w:hAnsi="Arial"/>
          <w:color w:val="231F20"/>
          <w:spacing w:val="40"/>
          <w:sz w:val="14"/>
        </w:rPr>
        <w:t> </w:t>
      </w:r>
      <w:r>
        <w:rPr>
          <w:rFonts w:ascii="Arial" w:hAnsi="Arial"/>
          <w:color w:val="231F20"/>
          <w:sz w:val="14"/>
        </w:rPr>
        <w:t>ne recherche les honneurs que pour se convaincre de</w:t>
      </w:r>
    </w:p>
    <w:p>
      <w:pPr>
        <w:spacing w:line="552" w:lineRule="auto" w:before="2"/>
        <w:ind w:left="1220" w:right="4809" w:firstLine="0"/>
        <w:jc w:val="left"/>
        <w:rPr>
          <w:rFonts w:ascii="Arial"/>
          <w:sz w:val="14"/>
        </w:rPr>
      </w:pPr>
      <w:r>
        <w:rPr>
          <w:rFonts w:ascii="Arial"/>
          <w:color w:val="231F20"/>
          <w:sz w:val="14"/>
        </w:rPr>
        <w:t>sa</w:t>
      </w:r>
      <w:r>
        <w:rPr>
          <w:rFonts w:ascii="Arial"/>
          <w:color w:val="231F20"/>
          <w:spacing w:val="-10"/>
          <w:sz w:val="14"/>
        </w:rPr>
        <w:t> </w:t>
      </w:r>
      <w:r>
        <w:rPr>
          <w:rFonts w:ascii="Arial"/>
          <w:color w:val="231F20"/>
          <w:sz w:val="14"/>
        </w:rPr>
        <w:t>propre</w:t>
      </w:r>
      <w:r>
        <w:rPr>
          <w:rFonts w:ascii="Arial"/>
          <w:color w:val="231F20"/>
          <w:spacing w:val="-10"/>
          <w:sz w:val="14"/>
        </w:rPr>
        <w:t> </w:t>
      </w:r>
      <w:r>
        <w:rPr>
          <w:rFonts w:ascii="Arial"/>
          <w:color w:val="231F20"/>
          <w:sz w:val="14"/>
        </w:rPr>
        <w:t>valeur.</w:t>
      </w:r>
      <w:r>
        <w:rPr>
          <w:rFonts w:ascii="Arial"/>
          <w:color w:val="231F20"/>
          <w:spacing w:val="40"/>
          <w:sz w:val="14"/>
        </w:rPr>
        <w:t> </w:t>
      </w:r>
      <w:r>
        <w:rPr>
          <w:rFonts w:ascii="Arial"/>
          <w:color w:val="231F20"/>
          <w:spacing w:val="-2"/>
          <w:sz w:val="14"/>
        </w:rPr>
        <w:t>ARISTOTE</w:t>
      </w:r>
    </w:p>
    <w:p>
      <w:pPr>
        <w:pStyle w:val="BodyText"/>
        <w:spacing w:before="4"/>
        <w:rPr>
          <w:rFonts w:ascii="Arial"/>
          <w:sz w:val="20"/>
        </w:rPr>
      </w:pPr>
      <w:r>
        <w:rPr/>
        <w:pict>
          <v:shape style="position:absolute;margin-left:82pt;margin-top:12.924097pt;width:87.5pt;height:.1pt;mso-position-horizontal-relative:page;mso-position-vertical-relative:paragraph;z-index:-15660544;mso-wrap-distance-left:0;mso-wrap-distance-right:0" id="docshape809" coordorigin="1640,258" coordsize="1750,0" path="m1640,258l3390,258e" filled="false" stroked="true" strokeweight=".25pt" strokecolor="#231f20">
            <v:path arrowok="t"/>
            <v:stroke dashstyle="solid"/>
            <w10:wrap type="topAndBottom"/>
          </v:shape>
        </w:pict>
      </w:r>
    </w:p>
    <w:p>
      <w:pPr>
        <w:pStyle w:val="BodyText"/>
        <w:spacing w:before="4"/>
        <w:rPr>
          <w:rFonts w:ascii="Arial"/>
          <w:sz w:val="26"/>
        </w:rPr>
      </w:pPr>
    </w:p>
    <w:p>
      <w:pPr>
        <w:pStyle w:val="Heading2"/>
        <w:numPr>
          <w:ilvl w:val="1"/>
          <w:numId w:val="62"/>
        </w:numPr>
        <w:tabs>
          <w:tab w:pos="911" w:val="left" w:leader="none"/>
          <w:tab w:pos="1219" w:val="left" w:leader="none"/>
        </w:tabs>
        <w:spacing w:line="240" w:lineRule="auto" w:before="0" w:after="0"/>
        <w:ind w:left="910" w:right="0" w:hanging="290"/>
        <w:jc w:val="left"/>
      </w:pPr>
      <w:r>
        <w:rPr>
          <w:b w:val="0"/>
          <w:i/>
          <w:color w:val="231F20"/>
          <w:spacing w:val="-10"/>
        </w:rPr>
        <w:t>/</w:t>
      </w:r>
      <w:r>
        <w:rPr>
          <w:b w:val="0"/>
          <w:i/>
          <w:color w:val="231F20"/>
        </w:rPr>
        <w:tab/>
      </w:r>
      <w:r>
        <w:rPr>
          <w:color w:val="231F20"/>
          <w:w w:val="95"/>
        </w:rPr>
        <w:t>Pourquoi</w:t>
      </w:r>
      <w:r>
        <w:rPr>
          <w:color w:val="231F20"/>
          <w:spacing w:val="-13"/>
          <w:w w:val="95"/>
        </w:rPr>
        <w:t> </w:t>
      </w:r>
      <w:r>
        <w:rPr>
          <w:color w:val="231F20"/>
          <w:w w:val="95"/>
        </w:rPr>
        <w:t>l’estime</w:t>
      </w:r>
      <w:r>
        <w:rPr>
          <w:color w:val="231F20"/>
          <w:spacing w:val="-12"/>
          <w:w w:val="95"/>
        </w:rPr>
        <w:t> </w:t>
      </w:r>
      <w:r>
        <w:rPr>
          <w:color w:val="231F20"/>
          <w:w w:val="95"/>
        </w:rPr>
        <w:t>de</w:t>
      </w:r>
      <w:r>
        <w:rPr>
          <w:color w:val="231F20"/>
          <w:spacing w:val="-12"/>
          <w:w w:val="95"/>
        </w:rPr>
        <w:t> </w:t>
      </w:r>
      <w:r>
        <w:rPr>
          <w:color w:val="231F20"/>
          <w:w w:val="95"/>
        </w:rPr>
        <w:t>soi</w:t>
      </w:r>
      <w:r>
        <w:rPr>
          <w:color w:val="231F20"/>
          <w:spacing w:val="-35"/>
          <w:w w:val="95"/>
        </w:rPr>
        <w:t> </w:t>
      </w:r>
      <w:r>
        <w:rPr>
          <w:color w:val="231F20"/>
          <w:spacing w:val="-10"/>
          <w:w w:val="95"/>
        </w:rPr>
        <w:t>?</w:t>
      </w:r>
    </w:p>
    <w:p>
      <w:pPr>
        <w:pStyle w:val="BodyText"/>
        <w:spacing w:before="9"/>
        <w:rPr>
          <w:rFonts w:ascii="Arial"/>
          <w:b/>
          <w:sz w:val="25"/>
        </w:rPr>
      </w:pPr>
    </w:p>
    <w:p>
      <w:pPr>
        <w:pStyle w:val="BodyText"/>
        <w:spacing w:line="307" w:lineRule="auto"/>
        <w:ind w:left="1220" w:right="101"/>
        <w:jc w:val="both"/>
      </w:pPr>
      <w:r>
        <w:rPr>
          <w:color w:val="231F20"/>
          <w:w w:val="120"/>
        </w:rPr>
        <w:t>Le lecteur pourrait être surpris de voir au cœur d’un livre sur le stress professionnel un chapitre entier consacré à la notion d’</w:t>
      </w:r>
      <w:r>
        <w:rPr>
          <w:i/>
          <w:color w:val="231F20"/>
          <w:w w:val="120"/>
        </w:rPr>
        <w:t>estime de soi</w:t>
      </w:r>
      <w:r>
        <w:rPr>
          <w:color w:val="231F20"/>
          <w:w w:val="120"/>
        </w:rPr>
        <w:t>. Effectivement,</w:t>
      </w:r>
      <w:r>
        <w:rPr>
          <w:color w:val="231F20"/>
          <w:spacing w:val="-9"/>
          <w:w w:val="120"/>
        </w:rPr>
        <w:t> </w:t>
      </w:r>
      <w:r>
        <w:rPr>
          <w:color w:val="231F20"/>
          <w:w w:val="120"/>
        </w:rPr>
        <w:t>cela</w:t>
      </w:r>
      <w:r>
        <w:rPr>
          <w:color w:val="231F20"/>
          <w:spacing w:val="-9"/>
          <w:w w:val="120"/>
        </w:rPr>
        <w:t> </w:t>
      </w:r>
      <w:r>
        <w:rPr>
          <w:color w:val="231F20"/>
          <w:w w:val="120"/>
        </w:rPr>
        <w:t>peut</w:t>
      </w:r>
      <w:r>
        <w:rPr>
          <w:color w:val="231F20"/>
          <w:spacing w:val="-9"/>
          <w:w w:val="120"/>
        </w:rPr>
        <w:t> </w:t>
      </w:r>
      <w:r>
        <w:rPr>
          <w:color w:val="231F20"/>
          <w:w w:val="120"/>
        </w:rPr>
        <w:t>surprendre,</w:t>
      </w:r>
      <w:r>
        <w:rPr>
          <w:color w:val="231F20"/>
          <w:spacing w:val="-9"/>
          <w:w w:val="120"/>
        </w:rPr>
        <w:t> </w:t>
      </w:r>
      <w:r>
        <w:rPr>
          <w:color w:val="231F20"/>
          <w:w w:val="120"/>
        </w:rPr>
        <w:t>mais</w:t>
      </w:r>
      <w:r>
        <w:rPr>
          <w:color w:val="231F20"/>
          <w:spacing w:val="-9"/>
          <w:w w:val="120"/>
        </w:rPr>
        <w:t> </w:t>
      </w:r>
      <w:r>
        <w:rPr>
          <w:color w:val="231F20"/>
          <w:w w:val="120"/>
        </w:rPr>
        <w:t>il</w:t>
      </w:r>
      <w:r>
        <w:rPr>
          <w:color w:val="231F20"/>
          <w:spacing w:val="-9"/>
          <w:w w:val="120"/>
        </w:rPr>
        <w:t> </w:t>
      </w:r>
      <w:r>
        <w:rPr>
          <w:color w:val="231F20"/>
          <w:w w:val="120"/>
        </w:rPr>
        <w:t>s’agit</w:t>
      </w:r>
      <w:r>
        <w:rPr>
          <w:color w:val="231F20"/>
          <w:spacing w:val="-9"/>
          <w:w w:val="120"/>
        </w:rPr>
        <w:t> </w:t>
      </w:r>
      <w:r>
        <w:rPr>
          <w:color w:val="231F20"/>
          <w:w w:val="120"/>
        </w:rPr>
        <w:t>pourtant</w:t>
      </w:r>
      <w:r>
        <w:rPr>
          <w:color w:val="231F20"/>
          <w:spacing w:val="-9"/>
          <w:w w:val="120"/>
        </w:rPr>
        <w:t> </w:t>
      </w:r>
      <w:r>
        <w:rPr>
          <w:color w:val="231F20"/>
          <w:w w:val="120"/>
        </w:rPr>
        <w:t>d’un</w:t>
      </w:r>
      <w:r>
        <w:rPr>
          <w:color w:val="231F20"/>
          <w:spacing w:val="-9"/>
          <w:w w:val="120"/>
        </w:rPr>
        <w:t> </w:t>
      </w:r>
      <w:r>
        <w:rPr>
          <w:color w:val="231F20"/>
          <w:w w:val="120"/>
        </w:rPr>
        <w:t>incon- </w:t>
      </w:r>
      <w:r>
        <w:rPr>
          <w:color w:val="231F20"/>
          <w:spacing w:val="-2"/>
          <w:w w:val="120"/>
        </w:rPr>
        <w:t>tournable</w:t>
      </w:r>
      <w:r>
        <w:rPr>
          <w:color w:val="231F20"/>
          <w:spacing w:val="-6"/>
          <w:w w:val="120"/>
        </w:rPr>
        <w:t> </w:t>
      </w:r>
      <w:r>
        <w:rPr>
          <w:color w:val="231F20"/>
          <w:spacing w:val="-2"/>
          <w:w w:val="120"/>
        </w:rPr>
        <w:t>selon</w:t>
      </w:r>
      <w:r>
        <w:rPr>
          <w:color w:val="231F20"/>
          <w:spacing w:val="-6"/>
          <w:w w:val="120"/>
        </w:rPr>
        <w:t> </w:t>
      </w:r>
      <w:r>
        <w:rPr>
          <w:color w:val="231F20"/>
          <w:spacing w:val="-2"/>
          <w:w w:val="120"/>
        </w:rPr>
        <w:t>nous.</w:t>
      </w:r>
      <w:r>
        <w:rPr>
          <w:color w:val="231F20"/>
          <w:spacing w:val="-6"/>
          <w:w w:val="120"/>
        </w:rPr>
        <w:t> </w:t>
      </w:r>
      <w:r>
        <w:rPr>
          <w:color w:val="231F20"/>
          <w:spacing w:val="-2"/>
          <w:w w:val="120"/>
        </w:rPr>
        <w:t>En</w:t>
      </w:r>
      <w:r>
        <w:rPr>
          <w:color w:val="231F20"/>
          <w:spacing w:val="-6"/>
          <w:w w:val="120"/>
        </w:rPr>
        <w:t> </w:t>
      </w:r>
      <w:r>
        <w:rPr>
          <w:color w:val="231F20"/>
          <w:spacing w:val="-2"/>
          <w:w w:val="120"/>
        </w:rPr>
        <w:t>effet,</w:t>
      </w:r>
      <w:r>
        <w:rPr>
          <w:color w:val="231F20"/>
          <w:spacing w:val="-6"/>
          <w:w w:val="120"/>
        </w:rPr>
        <w:t> </w:t>
      </w:r>
      <w:r>
        <w:rPr>
          <w:color w:val="231F20"/>
          <w:spacing w:val="-2"/>
          <w:w w:val="120"/>
        </w:rPr>
        <w:t>comme</w:t>
      </w:r>
      <w:r>
        <w:rPr>
          <w:color w:val="231F20"/>
          <w:spacing w:val="-6"/>
          <w:w w:val="120"/>
        </w:rPr>
        <w:t> </w:t>
      </w:r>
      <w:r>
        <w:rPr>
          <w:color w:val="231F20"/>
          <w:spacing w:val="-2"/>
          <w:w w:val="120"/>
        </w:rPr>
        <w:t>nous</w:t>
      </w:r>
      <w:r>
        <w:rPr>
          <w:color w:val="231F20"/>
          <w:spacing w:val="-6"/>
          <w:w w:val="120"/>
        </w:rPr>
        <w:t> </w:t>
      </w:r>
      <w:r>
        <w:rPr>
          <w:color w:val="231F20"/>
          <w:spacing w:val="-2"/>
          <w:w w:val="120"/>
        </w:rPr>
        <w:t>en</w:t>
      </w:r>
      <w:r>
        <w:rPr>
          <w:color w:val="231F20"/>
          <w:spacing w:val="-6"/>
          <w:w w:val="120"/>
        </w:rPr>
        <w:t> </w:t>
      </w:r>
      <w:r>
        <w:rPr>
          <w:color w:val="231F20"/>
          <w:spacing w:val="-2"/>
          <w:w w:val="120"/>
        </w:rPr>
        <w:t>avons</w:t>
      </w:r>
      <w:r>
        <w:rPr>
          <w:color w:val="231F20"/>
          <w:spacing w:val="-6"/>
          <w:w w:val="120"/>
        </w:rPr>
        <w:t> </w:t>
      </w:r>
      <w:r>
        <w:rPr>
          <w:color w:val="231F20"/>
          <w:spacing w:val="-2"/>
          <w:w w:val="120"/>
        </w:rPr>
        <w:t>discuté</w:t>
      </w:r>
      <w:r>
        <w:rPr>
          <w:color w:val="231F20"/>
          <w:spacing w:val="-6"/>
          <w:w w:val="120"/>
        </w:rPr>
        <w:t> </w:t>
      </w:r>
      <w:r>
        <w:rPr>
          <w:color w:val="231F20"/>
          <w:spacing w:val="-2"/>
          <w:w w:val="120"/>
        </w:rPr>
        <w:t>à</w:t>
      </w:r>
      <w:r>
        <w:rPr>
          <w:color w:val="231F20"/>
          <w:spacing w:val="-6"/>
          <w:w w:val="120"/>
        </w:rPr>
        <w:t> </w:t>
      </w:r>
      <w:r>
        <w:rPr>
          <w:color w:val="231F20"/>
          <w:spacing w:val="-2"/>
          <w:w w:val="120"/>
        </w:rPr>
        <w:t>quelques </w:t>
      </w:r>
      <w:r>
        <w:rPr>
          <w:color w:val="231F20"/>
          <w:w w:val="120"/>
        </w:rPr>
        <w:t>reprises</w:t>
      </w:r>
      <w:r>
        <w:rPr>
          <w:color w:val="231F20"/>
          <w:spacing w:val="-5"/>
          <w:w w:val="120"/>
        </w:rPr>
        <w:t> </w:t>
      </w:r>
      <w:r>
        <w:rPr>
          <w:color w:val="231F20"/>
          <w:w w:val="120"/>
        </w:rPr>
        <w:t>dans</w:t>
      </w:r>
      <w:r>
        <w:rPr>
          <w:color w:val="231F20"/>
          <w:spacing w:val="-5"/>
          <w:w w:val="120"/>
        </w:rPr>
        <w:t> </w:t>
      </w:r>
      <w:r>
        <w:rPr>
          <w:color w:val="231F20"/>
          <w:w w:val="120"/>
        </w:rPr>
        <w:t>les</w:t>
      </w:r>
      <w:r>
        <w:rPr>
          <w:color w:val="231F20"/>
          <w:spacing w:val="-5"/>
          <w:w w:val="120"/>
        </w:rPr>
        <w:t> </w:t>
      </w:r>
      <w:r>
        <w:rPr>
          <w:color w:val="231F20"/>
          <w:w w:val="120"/>
        </w:rPr>
        <w:t>chapitres</w:t>
      </w:r>
      <w:r>
        <w:rPr>
          <w:color w:val="231F20"/>
          <w:spacing w:val="-5"/>
          <w:w w:val="120"/>
        </w:rPr>
        <w:t> </w:t>
      </w:r>
      <w:r>
        <w:rPr>
          <w:color w:val="231F20"/>
          <w:w w:val="120"/>
        </w:rPr>
        <w:t>précédents,</w:t>
      </w:r>
      <w:r>
        <w:rPr>
          <w:color w:val="231F20"/>
          <w:spacing w:val="-5"/>
          <w:w w:val="120"/>
        </w:rPr>
        <w:t> </w:t>
      </w:r>
      <w:r>
        <w:rPr>
          <w:color w:val="231F20"/>
          <w:w w:val="120"/>
        </w:rPr>
        <w:t>la</w:t>
      </w:r>
      <w:r>
        <w:rPr>
          <w:color w:val="231F20"/>
          <w:spacing w:val="-5"/>
          <w:w w:val="120"/>
        </w:rPr>
        <w:t> </w:t>
      </w:r>
      <w:r>
        <w:rPr>
          <w:color w:val="231F20"/>
          <w:w w:val="120"/>
        </w:rPr>
        <w:t>nature</w:t>
      </w:r>
      <w:r>
        <w:rPr>
          <w:color w:val="231F20"/>
          <w:spacing w:val="-5"/>
          <w:w w:val="120"/>
        </w:rPr>
        <w:t>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est</w:t>
      </w:r>
      <w:r>
        <w:rPr>
          <w:color w:val="231F20"/>
          <w:spacing w:val="-5"/>
          <w:w w:val="120"/>
        </w:rPr>
        <w:t> </w:t>
      </w:r>
      <w:r>
        <w:rPr>
          <w:color w:val="231F20"/>
          <w:w w:val="120"/>
        </w:rPr>
        <w:t>largement subjective,</w:t>
      </w:r>
      <w:r>
        <w:rPr>
          <w:color w:val="231F20"/>
          <w:spacing w:val="-11"/>
          <w:w w:val="120"/>
        </w:rPr>
        <w:t> </w:t>
      </w:r>
      <w:r>
        <w:rPr>
          <w:color w:val="231F20"/>
          <w:w w:val="120"/>
        </w:rPr>
        <w:t>c’est-à-dire</w:t>
      </w:r>
      <w:r>
        <w:rPr>
          <w:color w:val="231F20"/>
          <w:spacing w:val="-11"/>
          <w:w w:val="120"/>
        </w:rPr>
        <w:t> </w:t>
      </w:r>
      <w:r>
        <w:rPr>
          <w:color w:val="231F20"/>
          <w:w w:val="120"/>
        </w:rPr>
        <w:t>qu’il</w:t>
      </w:r>
      <w:r>
        <w:rPr>
          <w:color w:val="231F20"/>
          <w:spacing w:val="-11"/>
          <w:w w:val="120"/>
        </w:rPr>
        <w:t> </w:t>
      </w:r>
      <w:r>
        <w:rPr>
          <w:color w:val="231F20"/>
          <w:w w:val="120"/>
        </w:rPr>
        <w:t>est</w:t>
      </w:r>
      <w:r>
        <w:rPr>
          <w:color w:val="231F20"/>
          <w:spacing w:val="-11"/>
          <w:w w:val="120"/>
        </w:rPr>
        <w:t> </w:t>
      </w:r>
      <w:r>
        <w:rPr>
          <w:color w:val="231F20"/>
          <w:w w:val="120"/>
        </w:rPr>
        <w:t>la</w:t>
      </w:r>
      <w:r>
        <w:rPr>
          <w:color w:val="231F20"/>
          <w:spacing w:val="-11"/>
          <w:w w:val="120"/>
        </w:rPr>
        <w:t> </w:t>
      </w:r>
      <w:r>
        <w:rPr>
          <w:color w:val="231F20"/>
          <w:w w:val="120"/>
        </w:rPr>
        <w:t>résultante</w:t>
      </w:r>
      <w:r>
        <w:rPr>
          <w:color w:val="231F20"/>
          <w:spacing w:val="-11"/>
          <w:w w:val="120"/>
        </w:rPr>
        <w:t> </w:t>
      </w:r>
      <w:r>
        <w:rPr>
          <w:color w:val="231F20"/>
          <w:w w:val="120"/>
        </w:rPr>
        <w:t>d’un</w:t>
      </w:r>
      <w:r>
        <w:rPr>
          <w:color w:val="231F20"/>
          <w:spacing w:val="-11"/>
          <w:w w:val="120"/>
        </w:rPr>
        <w:t> </w:t>
      </w:r>
      <w:r>
        <w:rPr>
          <w:color w:val="231F20"/>
          <w:w w:val="120"/>
        </w:rPr>
        <w:t>processus</w:t>
      </w:r>
      <w:r>
        <w:rPr>
          <w:color w:val="231F20"/>
          <w:spacing w:val="-11"/>
          <w:w w:val="120"/>
        </w:rPr>
        <w:t> </w:t>
      </w:r>
      <w:r>
        <w:rPr>
          <w:color w:val="231F20"/>
          <w:w w:val="120"/>
        </w:rPr>
        <w:t>d’interpré- tation</w:t>
      </w:r>
      <w:r>
        <w:rPr>
          <w:color w:val="231F20"/>
          <w:spacing w:val="-8"/>
          <w:w w:val="120"/>
        </w:rPr>
        <w:t> </w:t>
      </w:r>
      <w:r>
        <w:rPr>
          <w:color w:val="231F20"/>
          <w:w w:val="120"/>
        </w:rPr>
        <w:t>de</w:t>
      </w:r>
      <w:r>
        <w:rPr>
          <w:color w:val="231F20"/>
          <w:spacing w:val="-8"/>
          <w:w w:val="120"/>
        </w:rPr>
        <w:t> </w:t>
      </w:r>
      <w:r>
        <w:rPr>
          <w:color w:val="231F20"/>
          <w:w w:val="120"/>
        </w:rPr>
        <w:t>l’environnement</w:t>
      </w:r>
      <w:r>
        <w:rPr>
          <w:color w:val="231F20"/>
          <w:spacing w:val="-8"/>
          <w:w w:val="120"/>
        </w:rPr>
        <w:t> </w:t>
      </w:r>
      <w:r>
        <w:rPr>
          <w:color w:val="231F20"/>
          <w:w w:val="120"/>
        </w:rPr>
        <w:t>par</w:t>
      </w:r>
      <w:r>
        <w:rPr>
          <w:color w:val="231F20"/>
          <w:spacing w:val="-8"/>
          <w:w w:val="120"/>
        </w:rPr>
        <w:t> </w:t>
      </w:r>
      <w:r>
        <w:rPr>
          <w:color w:val="231F20"/>
          <w:w w:val="120"/>
        </w:rPr>
        <w:t>l’individu.</w:t>
      </w:r>
      <w:r>
        <w:rPr>
          <w:color w:val="231F20"/>
          <w:spacing w:val="-8"/>
          <w:w w:val="120"/>
        </w:rPr>
        <w:t> </w:t>
      </w:r>
      <w:r>
        <w:rPr>
          <w:color w:val="231F20"/>
          <w:w w:val="120"/>
        </w:rPr>
        <w:t>Dans</w:t>
      </w:r>
      <w:r>
        <w:rPr>
          <w:color w:val="231F20"/>
          <w:spacing w:val="-8"/>
          <w:w w:val="120"/>
        </w:rPr>
        <w:t> </w:t>
      </w:r>
      <w:r>
        <w:rPr>
          <w:color w:val="231F20"/>
          <w:w w:val="120"/>
        </w:rPr>
        <w:t>cet</w:t>
      </w:r>
      <w:r>
        <w:rPr>
          <w:color w:val="231F20"/>
          <w:spacing w:val="-8"/>
          <w:w w:val="120"/>
        </w:rPr>
        <w:t> </w:t>
      </w:r>
      <w:r>
        <w:rPr>
          <w:color w:val="231F20"/>
          <w:w w:val="120"/>
        </w:rPr>
        <w:t>esprit,</w:t>
      </w:r>
      <w:r>
        <w:rPr>
          <w:color w:val="231F20"/>
          <w:spacing w:val="-8"/>
          <w:w w:val="120"/>
        </w:rPr>
        <w:t> </w:t>
      </w:r>
      <w:r>
        <w:rPr>
          <w:color w:val="231F20"/>
          <w:w w:val="120"/>
        </w:rPr>
        <w:t>véhiculée</w:t>
      </w:r>
      <w:r>
        <w:rPr>
          <w:color w:val="231F20"/>
          <w:spacing w:val="-8"/>
          <w:w w:val="120"/>
        </w:rPr>
        <w:t> </w:t>
      </w:r>
      <w:r>
        <w:rPr>
          <w:color w:val="231F20"/>
          <w:w w:val="120"/>
        </w:rPr>
        <w:t>par la</w:t>
      </w:r>
      <w:r>
        <w:rPr>
          <w:color w:val="231F20"/>
          <w:spacing w:val="-8"/>
          <w:w w:val="120"/>
        </w:rPr>
        <w:t> </w:t>
      </w:r>
      <w:r>
        <w:rPr>
          <w:color w:val="231F20"/>
          <w:w w:val="120"/>
        </w:rPr>
        <w:t>conception</w:t>
      </w:r>
      <w:r>
        <w:rPr>
          <w:color w:val="231F20"/>
          <w:spacing w:val="-8"/>
          <w:w w:val="120"/>
        </w:rPr>
        <w:t> </w:t>
      </w:r>
      <w:r>
        <w:rPr>
          <w:color w:val="231F20"/>
          <w:w w:val="120"/>
        </w:rPr>
        <w:t>transactionnelle</w:t>
      </w:r>
      <w:r>
        <w:rPr>
          <w:color w:val="231F20"/>
          <w:spacing w:val="-8"/>
          <w:w w:val="120"/>
        </w:rPr>
        <w:t> </w:t>
      </w:r>
      <w:r>
        <w:rPr>
          <w:color w:val="231F20"/>
          <w:w w:val="120"/>
        </w:rPr>
        <w:t>du</w:t>
      </w:r>
      <w:r>
        <w:rPr>
          <w:color w:val="231F20"/>
          <w:spacing w:val="-8"/>
          <w:w w:val="120"/>
        </w:rPr>
        <w:t> </w:t>
      </w:r>
      <w:r>
        <w:rPr>
          <w:color w:val="231F20"/>
          <w:w w:val="120"/>
        </w:rPr>
        <w:t>stress</w:t>
      </w:r>
      <w:r>
        <w:rPr>
          <w:color w:val="231F20"/>
          <w:spacing w:val="-8"/>
          <w:w w:val="120"/>
        </w:rPr>
        <w:t> </w:t>
      </w:r>
      <w:r>
        <w:rPr>
          <w:color w:val="231F20"/>
          <w:w w:val="120"/>
        </w:rPr>
        <w:t>qui</w:t>
      </w:r>
      <w:r>
        <w:rPr>
          <w:color w:val="231F20"/>
          <w:spacing w:val="-8"/>
          <w:w w:val="120"/>
        </w:rPr>
        <w:t> </w:t>
      </w:r>
      <w:r>
        <w:rPr>
          <w:color w:val="231F20"/>
          <w:w w:val="120"/>
        </w:rPr>
        <w:t>fait</w:t>
      </w:r>
      <w:r>
        <w:rPr>
          <w:color w:val="231F20"/>
          <w:spacing w:val="-8"/>
          <w:w w:val="120"/>
        </w:rPr>
        <w:t> </w:t>
      </w:r>
      <w:r>
        <w:rPr>
          <w:color w:val="231F20"/>
          <w:w w:val="120"/>
        </w:rPr>
        <w:t>maintenant</w:t>
      </w:r>
      <w:r>
        <w:rPr>
          <w:color w:val="231F20"/>
          <w:spacing w:val="-8"/>
          <w:w w:val="120"/>
        </w:rPr>
        <w:t> </w:t>
      </w:r>
      <w:r>
        <w:rPr>
          <w:color w:val="231F20"/>
          <w:w w:val="120"/>
        </w:rPr>
        <w:t>école,</w:t>
      </w:r>
      <w:r>
        <w:rPr>
          <w:color w:val="231F20"/>
          <w:spacing w:val="-8"/>
          <w:w w:val="120"/>
        </w:rPr>
        <w:t> </w:t>
      </w:r>
      <w:r>
        <w:rPr>
          <w:color w:val="231F20"/>
          <w:w w:val="120"/>
        </w:rPr>
        <w:t>l’ori- gine du stress prend racine dans l’interface entre le contexte et l’assi- milation de ce contexte par une personne. Dans cet ordre d’idées, et simplement</w:t>
      </w:r>
      <w:r>
        <w:rPr>
          <w:color w:val="231F20"/>
          <w:spacing w:val="-10"/>
          <w:w w:val="120"/>
        </w:rPr>
        <w:t> </w:t>
      </w:r>
      <w:r>
        <w:rPr>
          <w:color w:val="231F20"/>
          <w:w w:val="120"/>
        </w:rPr>
        <w:t>exprimés,</w:t>
      </w:r>
      <w:r>
        <w:rPr>
          <w:color w:val="231F20"/>
          <w:spacing w:val="-10"/>
          <w:w w:val="120"/>
        </w:rPr>
        <w:t> </w:t>
      </w:r>
      <w:r>
        <w:rPr>
          <w:color w:val="231F20"/>
          <w:w w:val="120"/>
        </w:rPr>
        <w:t>deux</w:t>
      </w:r>
      <w:r>
        <w:rPr>
          <w:color w:val="231F20"/>
          <w:spacing w:val="-10"/>
          <w:w w:val="120"/>
        </w:rPr>
        <w:t> </w:t>
      </w:r>
      <w:r>
        <w:rPr>
          <w:color w:val="231F20"/>
          <w:w w:val="120"/>
        </w:rPr>
        <w:t>termes</w:t>
      </w:r>
      <w:r>
        <w:rPr>
          <w:color w:val="231F20"/>
          <w:spacing w:val="-10"/>
          <w:w w:val="120"/>
        </w:rPr>
        <w:t> </w:t>
      </w:r>
      <w:r>
        <w:rPr>
          <w:color w:val="231F20"/>
          <w:w w:val="120"/>
        </w:rPr>
        <w:t>entrent</w:t>
      </w:r>
      <w:r>
        <w:rPr>
          <w:color w:val="231F20"/>
          <w:spacing w:val="-10"/>
          <w:w w:val="120"/>
        </w:rPr>
        <w:t> </w:t>
      </w:r>
      <w:r>
        <w:rPr>
          <w:color w:val="231F20"/>
          <w:w w:val="120"/>
        </w:rPr>
        <w:t>dans</w:t>
      </w:r>
      <w:r>
        <w:rPr>
          <w:color w:val="231F20"/>
          <w:spacing w:val="-10"/>
          <w:w w:val="120"/>
        </w:rPr>
        <w:t> </w:t>
      </w:r>
      <w:r>
        <w:rPr>
          <w:color w:val="231F20"/>
          <w:w w:val="120"/>
        </w:rPr>
        <w:t>l’équation:</w:t>
      </w:r>
      <w:r>
        <w:rPr>
          <w:color w:val="231F20"/>
          <w:spacing w:val="-10"/>
          <w:w w:val="120"/>
        </w:rPr>
        <w:t> </w:t>
      </w:r>
      <w:r>
        <w:rPr>
          <w:color w:val="231F20"/>
          <w:w w:val="120"/>
        </w:rPr>
        <w:t>les</w:t>
      </w:r>
      <w:r>
        <w:rPr>
          <w:color w:val="231F20"/>
          <w:spacing w:val="-10"/>
          <w:w w:val="120"/>
        </w:rPr>
        <w:t> </w:t>
      </w:r>
      <w:r>
        <w:rPr>
          <w:color w:val="231F20"/>
          <w:w w:val="120"/>
        </w:rPr>
        <w:t>caracté- ristiques particulières des événements qui surviennent dans l’environ- nement</w:t>
      </w:r>
      <w:r>
        <w:rPr>
          <w:color w:val="231F20"/>
          <w:spacing w:val="-1"/>
          <w:w w:val="120"/>
        </w:rPr>
        <w:t> </w:t>
      </w:r>
      <w:r>
        <w:rPr>
          <w:color w:val="231F20"/>
          <w:w w:val="120"/>
        </w:rPr>
        <w:t>et</w:t>
      </w:r>
      <w:r>
        <w:rPr>
          <w:color w:val="231F20"/>
          <w:spacing w:val="-1"/>
          <w:w w:val="120"/>
        </w:rPr>
        <w:t> </w:t>
      </w:r>
      <w:r>
        <w:rPr>
          <w:color w:val="231F20"/>
          <w:w w:val="120"/>
        </w:rPr>
        <w:t>les</w:t>
      </w:r>
      <w:r>
        <w:rPr>
          <w:color w:val="231F20"/>
          <w:spacing w:val="-1"/>
          <w:w w:val="120"/>
        </w:rPr>
        <w:t> </w:t>
      </w:r>
      <w:r>
        <w:rPr>
          <w:color w:val="231F20"/>
          <w:w w:val="120"/>
        </w:rPr>
        <w:t>caractéristiques</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personne</w:t>
      </w:r>
      <w:r>
        <w:rPr>
          <w:color w:val="231F20"/>
          <w:spacing w:val="-1"/>
          <w:w w:val="120"/>
        </w:rPr>
        <w:t> </w:t>
      </w:r>
      <w:r>
        <w:rPr>
          <w:color w:val="231F20"/>
          <w:w w:val="120"/>
        </w:rPr>
        <w:t>qui</w:t>
      </w:r>
      <w:r>
        <w:rPr>
          <w:color w:val="231F20"/>
          <w:spacing w:val="-1"/>
          <w:w w:val="120"/>
        </w:rPr>
        <w:t> </w:t>
      </w:r>
      <w:r>
        <w:rPr>
          <w:color w:val="231F20"/>
          <w:w w:val="120"/>
        </w:rPr>
        <w:t>vit</w:t>
      </w:r>
      <w:r>
        <w:rPr>
          <w:color w:val="231F20"/>
          <w:spacing w:val="-1"/>
          <w:w w:val="120"/>
        </w:rPr>
        <w:t> </w:t>
      </w:r>
      <w:r>
        <w:rPr>
          <w:color w:val="231F20"/>
          <w:w w:val="120"/>
        </w:rPr>
        <w:t>ces</w:t>
      </w:r>
      <w:r>
        <w:rPr>
          <w:color w:val="231F20"/>
          <w:spacing w:val="-1"/>
          <w:w w:val="120"/>
        </w:rPr>
        <w:t> </w:t>
      </w:r>
      <w:r>
        <w:rPr>
          <w:color w:val="231F20"/>
          <w:w w:val="120"/>
        </w:rPr>
        <w:t>événements</w:t>
      </w:r>
      <w:r>
        <w:rPr>
          <w:color w:val="231F20"/>
          <w:spacing w:val="-1"/>
          <w:w w:val="120"/>
        </w:rPr>
        <w:t> </w:t>
      </w:r>
      <w:r>
        <w:rPr>
          <w:color w:val="231F20"/>
          <w:w w:val="120"/>
        </w:rPr>
        <w:t>et qui interprète la teneur des événements.</w:t>
      </w:r>
    </w:p>
    <w:p>
      <w:pPr>
        <w:pStyle w:val="BodyText"/>
        <w:rPr>
          <w:sz w:val="20"/>
        </w:rPr>
      </w:pPr>
    </w:p>
    <w:p>
      <w:pPr>
        <w:pStyle w:val="BodyText"/>
        <w:spacing w:before="1"/>
        <w:rPr>
          <w:sz w:val="27"/>
        </w:rPr>
      </w:pPr>
      <w:r>
        <w:rPr/>
        <w:pict>
          <v:shape style="position:absolute;margin-left:82pt;margin-top:16.801268pt;width:287.5pt;height:.1pt;mso-position-horizontal-relative:page;mso-position-vertical-relative:paragraph;z-index:-15660032;mso-wrap-distance-left:0;mso-wrap-distance-right:0" id="docshape810" coordorigin="1640,336" coordsize="5750,0" path="m1640,336l7390,336e" filled="false" stroked="true" strokeweight=".25pt" strokecolor="#231f20">
            <v:path arrowok="t"/>
            <v:stroke dashstyle="shortdot"/>
            <w10:wrap type="topAndBottom"/>
          </v:shape>
        </w:pict>
      </w:r>
    </w:p>
    <w:p>
      <w:pPr>
        <w:spacing w:line="295" w:lineRule="auto" w:before="135"/>
        <w:ind w:left="1219" w:right="107" w:hanging="328"/>
        <w:jc w:val="both"/>
        <w:rPr>
          <w:rFonts w:ascii="Arial" w:hAnsi="Arial"/>
          <w:sz w:val="12"/>
        </w:rPr>
      </w:pPr>
      <w:r>
        <w:rPr>
          <w:rFonts w:ascii="Arial" w:hAnsi="Arial"/>
          <w:color w:val="231F20"/>
          <w:sz w:val="12"/>
        </w:rPr>
        <w:t>1</w:t>
      </w:r>
      <w:r>
        <w:rPr>
          <w:rFonts w:ascii="Arial" w:hAnsi="Arial"/>
          <w:color w:val="231F20"/>
          <w:spacing w:val="80"/>
          <w:sz w:val="12"/>
        </w:rPr>
        <w:t>  </w:t>
      </w:r>
      <w:r>
        <w:rPr>
          <w:rFonts w:ascii="Arial" w:hAnsi="Arial"/>
          <w:color w:val="231F20"/>
          <w:sz w:val="12"/>
        </w:rPr>
        <w:t>Ce</w:t>
      </w:r>
      <w:r>
        <w:rPr>
          <w:rFonts w:ascii="Arial" w:hAnsi="Arial"/>
          <w:color w:val="231F20"/>
          <w:spacing w:val="-9"/>
          <w:sz w:val="12"/>
        </w:rPr>
        <w:t> </w:t>
      </w:r>
      <w:r>
        <w:rPr>
          <w:rFonts w:ascii="Arial" w:hAnsi="Arial"/>
          <w:color w:val="231F20"/>
          <w:sz w:val="12"/>
        </w:rPr>
        <w:t>chapitre</w:t>
      </w:r>
      <w:r>
        <w:rPr>
          <w:rFonts w:ascii="Arial" w:hAnsi="Arial"/>
          <w:color w:val="231F20"/>
          <w:spacing w:val="-8"/>
          <w:sz w:val="12"/>
        </w:rPr>
        <w:t> </w:t>
      </w:r>
      <w:r>
        <w:rPr>
          <w:rFonts w:ascii="Arial" w:hAnsi="Arial"/>
          <w:color w:val="231F20"/>
          <w:sz w:val="12"/>
        </w:rPr>
        <w:t>s’inspire</w:t>
      </w:r>
      <w:r>
        <w:rPr>
          <w:rFonts w:ascii="Arial" w:hAnsi="Arial"/>
          <w:color w:val="231F20"/>
          <w:spacing w:val="-8"/>
          <w:sz w:val="12"/>
        </w:rPr>
        <w:t> </w:t>
      </w:r>
      <w:r>
        <w:rPr>
          <w:rFonts w:ascii="Arial" w:hAnsi="Arial"/>
          <w:color w:val="231F20"/>
          <w:sz w:val="12"/>
        </w:rPr>
        <w:t>des</w:t>
      </w:r>
      <w:r>
        <w:rPr>
          <w:rFonts w:ascii="Arial" w:hAnsi="Arial"/>
          <w:color w:val="231F20"/>
          <w:spacing w:val="-9"/>
          <w:sz w:val="12"/>
        </w:rPr>
        <w:t> </w:t>
      </w:r>
      <w:r>
        <w:rPr>
          <w:rFonts w:ascii="Arial" w:hAnsi="Arial"/>
          <w:color w:val="231F20"/>
          <w:sz w:val="12"/>
        </w:rPr>
        <w:t>écrits</w:t>
      </w:r>
      <w:r>
        <w:rPr>
          <w:rFonts w:ascii="Arial" w:hAnsi="Arial"/>
          <w:color w:val="231F20"/>
          <w:spacing w:val="-8"/>
          <w:sz w:val="12"/>
        </w:rPr>
        <w:t> </w:t>
      </w:r>
      <w:r>
        <w:rPr>
          <w:rFonts w:ascii="Arial" w:hAnsi="Arial"/>
          <w:color w:val="231F20"/>
          <w:sz w:val="12"/>
        </w:rPr>
        <w:t>d’un</w:t>
      </w:r>
      <w:r>
        <w:rPr>
          <w:rFonts w:ascii="Arial" w:hAnsi="Arial"/>
          <w:color w:val="231F20"/>
          <w:spacing w:val="-8"/>
          <w:sz w:val="12"/>
        </w:rPr>
        <w:t> </w:t>
      </w:r>
      <w:r>
        <w:rPr>
          <w:rFonts w:ascii="Arial" w:hAnsi="Arial"/>
          <w:color w:val="231F20"/>
          <w:sz w:val="12"/>
        </w:rPr>
        <w:t>des</w:t>
      </w:r>
      <w:r>
        <w:rPr>
          <w:rFonts w:ascii="Arial" w:hAnsi="Arial"/>
          <w:color w:val="231F20"/>
          <w:spacing w:val="-9"/>
          <w:sz w:val="12"/>
        </w:rPr>
        <w:t> </w:t>
      </w:r>
      <w:r>
        <w:rPr>
          <w:rFonts w:ascii="Arial" w:hAnsi="Arial"/>
          <w:color w:val="231F20"/>
          <w:sz w:val="12"/>
        </w:rPr>
        <w:t>coauteurs</w:t>
      </w:r>
      <w:r>
        <w:rPr>
          <w:rFonts w:ascii="Arial" w:hAnsi="Arial"/>
          <w:color w:val="231F20"/>
          <w:spacing w:val="-8"/>
          <w:sz w:val="12"/>
        </w:rPr>
        <w:t> </w:t>
      </w:r>
      <w:r>
        <w:rPr>
          <w:rFonts w:ascii="Arial" w:hAnsi="Arial"/>
          <w:color w:val="231F20"/>
          <w:sz w:val="12"/>
        </w:rPr>
        <w:t>du</w:t>
      </w:r>
      <w:r>
        <w:rPr>
          <w:rFonts w:ascii="Arial" w:hAnsi="Arial"/>
          <w:color w:val="231F20"/>
          <w:spacing w:val="-9"/>
          <w:sz w:val="12"/>
        </w:rPr>
        <w:t> </w:t>
      </w:r>
      <w:r>
        <w:rPr>
          <w:rFonts w:ascii="Arial" w:hAnsi="Arial"/>
          <w:color w:val="231F20"/>
          <w:sz w:val="12"/>
        </w:rPr>
        <w:t>présent</w:t>
      </w:r>
      <w:r>
        <w:rPr>
          <w:rFonts w:ascii="Arial" w:hAnsi="Arial"/>
          <w:color w:val="231F20"/>
          <w:spacing w:val="-8"/>
          <w:sz w:val="12"/>
        </w:rPr>
        <w:t> </w:t>
      </w:r>
      <w:r>
        <w:rPr>
          <w:rFonts w:ascii="Arial" w:hAnsi="Arial"/>
          <w:color w:val="231F20"/>
          <w:sz w:val="12"/>
        </w:rPr>
        <w:t>ouvrage</w:t>
      </w:r>
      <w:r>
        <w:rPr>
          <w:rFonts w:ascii="Arial" w:hAnsi="Arial"/>
          <w:color w:val="231F20"/>
          <w:spacing w:val="-8"/>
          <w:sz w:val="12"/>
        </w:rPr>
        <w:t> </w:t>
      </w:r>
      <w:r>
        <w:rPr>
          <w:rFonts w:ascii="Arial" w:hAnsi="Arial"/>
          <w:color w:val="231F20"/>
          <w:sz w:val="12"/>
        </w:rPr>
        <w:t>et</w:t>
      </w:r>
      <w:r>
        <w:rPr>
          <w:rFonts w:ascii="Arial" w:hAnsi="Arial"/>
          <w:color w:val="231F20"/>
          <w:spacing w:val="-9"/>
          <w:sz w:val="12"/>
        </w:rPr>
        <w:t> </w:t>
      </w:r>
      <w:r>
        <w:rPr>
          <w:rFonts w:ascii="Arial" w:hAnsi="Arial"/>
          <w:color w:val="231F20"/>
          <w:sz w:val="12"/>
        </w:rPr>
        <w:t>de</w:t>
      </w:r>
      <w:r>
        <w:rPr>
          <w:rFonts w:ascii="Arial" w:hAnsi="Arial"/>
          <w:color w:val="231F20"/>
          <w:spacing w:val="-8"/>
          <w:sz w:val="12"/>
        </w:rPr>
        <w:t> </w:t>
      </w:r>
      <w:r>
        <w:rPr>
          <w:rFonts w:ascii="Arial" w:hAnsi="Arial"/>
          <w:color w:val="231F20"/>
          <w:sz w:val="12"/>
        </w:rPr>
        <w:t>deux</w:t>
      </w:r>
      <w:r>
        <w:rPr>
          <w:rFonts w:ascii="Arial" w:hAnsi="Arial"/>
          <w:color w:val="231F20"/>
          <w:spacing w:val="-8"/>
          <w:sz w:val="12"/>
        </w:rPr>
        <w:t> </w:t>
      </w:r>
      <w:r>
        <w:rPr>
          <w:rFonts w:ascii="Arial" w:hAnsi="Arial"/>
          <w:color w:val="231F20"/>
          <w:sz w:val="12"/>
        </w:rPr>
        <w:t>de</w:t>
      </w:r>
      <w:r>
        <w:rPr>
          <w:rFonts w:ascii="Arial" w:hAnsi="Arial"/>
          <w:color w:val="231F20"/>
          <w:spacing w:val="-9"/>
          <w:sz w:val="12"/>
        </w:rPr>
        <w:t> </w:t>
      </w:r>
      <w:r>
        <w:rPr>
          <w:rFonts w:ascii="Arial" w:hAnsi="Arial"/>
          <w:color w:val="231F20"/>
          <w:sz w:val="12"/>
        </w:rPr>
        <w:t>ses</w:t>
      </w:r>
      <w:r>
        <w:rPr>
          <w:rFonts w:ascii="Arial" w:hAnsi="Arial"/>
          <w:color w:val="231F20"/>
          <w:spacing w:val="-8"/>
          <w:sz w:val="12"/>
        </w:rPr>
        <w:t> </w:t>
      </w:r>
      <w:r>
        <w:rPr>
          <w:rFonts w:ascii="Arial" w:hAnsi="Arial"/>
          <w:color w:val="231F20"/>
          <w:sz w:val="12"/>
        </w:rPr>
        <w:t>collègues</w:t>
      </w:r>
      <w:r>
        <w:rPr>
          <w:rFonts w:ascii="Arial" w:hAnsi="Arial"/>
          <w:color w:val="231F20"/>
          <w:spacing w:val="-8"/>
          <w:sz w:val="12"/>
        </w:rPr>
        <w:t> </w:t>
      </w:r>
      <w:r>
        <w:rPr>
          <w:rFonts w:ascii="Arial" w:hAnsi="Arial"/>
          <w:color w:val="231F20"/>
          <w:sz w:val="12"/>
        </w:rPr>
        <w:t>espagnols.</w:t>
      </w:r>
      <w:r>
        <w:rPr>
          <w:rFonts w:ascii="Arial" w:hAnsi="Arial"/>
          <w:color w:val="231F20"/>
          <w:spacing w:val="40"/>
          <w:sz w:val="12"/>
        </w:rPr>
        <w:t> </w:t>
      </w:r>
      <w:r>
        <w:rPr>
          <w:rFonts w:ascii="Arial" w:hAnsi="Arial"/>
          <w:color w:val="231F20"/>
          <w:sz w:val="12"/>
        </w:rPr>
        <w:t>Le</w:t>
      </w:r>
      <w:r>
        <w:rPr>
          <w:rFonts w:ascii="Arial" w:hAnsi="Arial"/>
          <w:color w:val="231F20"/>
          <w:spacing w:val="-5"/>
          <w:sz w:val="12"/>
        </w:rPr>
        <w:t> </w:t>
      </w:r>
      <w:r>
        <w:rPr>
          <w:rFonts w:ascii="Arial" w:hAnsi="Arial"/>
          <w:color w:val="231F20"/>
          <w:sz w:val="12"/>
        </w:rPr>
        <w:t>matériel</w:t>
      </w:r>
      <w:r>
        <w:rPr>
          <w:rFonts w:ascii="Arial" w:hAnsi="Arial"/>
          <w:color w:val="231F20"/>
          <w:spacing w:val="-5"/>
          <w:sz w:val="12"/>
        </w:rPr>
        <w:t> </w:t>
      </w:r>
      <w:r>
        <w:rPr>
          <w:rFonts w:ascii="Arial" w:hAnsi="Arial"/>
          <w:color w:val="231F20"/>
          <w:sz w:val="12"/>
        </w:rPr>
        <w:t>emprunté</w:t>
      </w:r>
      <w:r>
        <w:rPr>
          <w:rFonts w:ascii="Arial" w:hAnsi="Arial"/>
          <w:color w:val="231F20"/>
          <w:spacing w:val="-5"/>
          <w:sz w:val="12"/>
        </w:rPr>
        <w:t> </w:t>
      </w:r>
      <w:r>
        <w:rPr>
          <w:rFonts w:ascii="Arial" w:hAnsi="Arial"/>
          <w:color w:val="231F20"/>
          <w:sz w:val="12"/>
        </w:rPr>
        <w:t>est</w:t>
      </w:r>
      <w:r>
        <w:rPr>
          <w:rFonts w:ascii="Arial" w:hAnsi="Arial"/>
          <w:color w:val="231F20"/>
          <w:spacing w:val="-5"/>
          <w:sz w:val="12"/>
        </w:rPr>
        <w:t> </w:t>
      </w:r>
      <w:r>
        <w:rPr>
          <w:rFonts w:ascii="Arial" w:hAnsi="Arial"/>
          <w:color w:val="231F20"/>
          <w:sz w:val="12"/>
        </w:rPr>
        <w:t>utilisé</w:t>
      </w:r>
      <w:r>
        <w:rPr>
          <w:rFonts w:ascii="Arial" w:hAnsi="Arial"/>
          <w:color w:val="231F20"/>
          <w:spacing w:val="-5"/>
          <w:sz w:val="12"/>
        </w:rPr>
        <w:t> </w:t>
      </w:r>
      <w:r>
        <w:rPr>
          <w:rFonts w:ascii="Arial" w:hAnsi="Arial"/>
          <w:color w:val="231F20"/>
          <w:sz w:val="12"/>
        </w:rPr>
        <w:t>avec</w:t>
      </w:r>
      <w:r>
        <w:rPr>
          <w:rFonts w:ascii="Arial" w:hAnsi="Arial"/>
          <w:color w:val="231F20"/>
          <w:spacing w:val="-5"/>
          <w:sz w:val="12"/>
        </w:rPr>
        <w:t> </w:t>
      </w:r>
      <w:r>
        <w:rPr>
          <w:rFonts w:ascii="Arial" w:hAnsi="Arial"/>
          <w:color w:val="231F20"/>
          <w:sz w:val="12"/>
        </w:rPr>
        <w:t>l’autorisation</w:t>
      </w:r>
      <w:r>
        <w:rPr>
          <w:rFonts w:ascii="Arial" w:hAnsi="Arial"/>
          <w:color w:val="231F20"/>
          <w:spacing w:val="-5"/>
          <w:sz w:val="12"/>
        </w:rPr>
        <w:t> </w:t>
      </w:r>
      <w:r>
        <w:rPr>
          <w:rFonts w:ascii="Arial" w:hAnsi="Arial"/>
          <w:color w:val="231F20"/>
          <w:sz w:val="12"/>
        </w:rPr>
        <w:t>des</w:t>
      </w:r>
      <w:r>
        <w:rPr>
          <w:rFonts w:ascii="Arial" w:hAnsi="Arial"/>
          <w:color w:val="231F20"/>
          <w:spacing w:val="-5"/>
          <w:sz w:val="12"/>
        </w:rPr>
        <w:t> </w:t>
      </w:r>
      <w:r>
        <w:rPr>
          <w:rFonts w:ascii="Arial" w:hAnsi="Arial"/>
          <w:color w:val="231F20"/>
          <w:sz w:val="12"/>
        </w:rPr>
        <w:t>auteurs.</w:t>
      </w:r>
      <w:r>
        <w:rPr>
          <w:rFonts w:ascii="Arial" w:hAnsi="Arial"/>
          <w:color w:val="231F20"/>
          <w:spacing w:val="-5"/>
          <w:sz w:val="12"/>
        </w:rPr>
        <w:t> </w:t>
      </w:r>
      <w:r>
        <w:rPr>
          <w:rFonts w:ascii="Arial" w:hAnsi="Arial"/>
          <w:color w:val="231F20"/>
          <w:sz w:val="12"/>
        </w:rPr>
        <w:t>Voir</w:t>
      </w:r>
      <w:r>
        <w:rPr>
          <w:rFonts w:ascii="Arial" w:hAnsi="Arial"/>
          <w:color w:val="231F20"/>
          <w:spacing w:val="-5"/>
          <w:sz w:val="12"/>
        </w:rPr>
        <w:t> </w:t>
      </w:r>
      <w:r>
        <w:rPr>
          <w:rFonts w:ascii="Arial" w:hAnsi="Arial"/>
          <w:color w:val="231F20"/>
          <w:sz w:val="12"/>
        </w:rPr>
        <w:t>Dolan,</w:t>
      </w:r>
      <w:r>
        <w:rPr>
          <w:rFonts w:ascii="Arial" w:hAnsi="Arial"/>
          <w:color w:val="231F20"/>
          <w:spacing w:val="-5"/>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L.,</w:t>
      </w:r>
      <w:r>
        <w:rPr>
          <w:rFonts w:ascii="Arial" w:hAnsi="Arial"/>
          <w:color w:val="231F20"/>
          <w:spacing w:val="-5"/>
          <w:sz w:val="12"/>
        </w:rPr>
        <w:t> </w:t>
      </w:r>
      <w:r>
        <w:rPr>
          <w:rFonts w:ascii="Arial" w:hAnsi="Arial"/>
          <w:color w:val="231F20"/>
          <w:sz w:val="12"/>
        </w:rPr>
        <w:t>García,</w:t>
      </w:r>
      <w:r>
        <w:rPr>
          <w:rFonts w:ascii="Arial" w:hAnsi="Arial"/>
          <w:color w:val="231F20"/>
          <w:spacing w:val="-5"/>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et</w:t>
      </w:r>
      <w:r>
        <w:rPr>
          <w:rFonts w:ascii="Arial" w:hAnsi="Arial"/>
          <w:color w:val="231F20"/>
          <w:spacing w:val="-5"/>
          <w:sz w:val="12"/>
        </w:rPr>
        <w:t> </w:t>
      </w:r>
      <w:r>
        <w:rPr>
          <w:rFonts w:ascii="Arial" w:hAnsi="Arial"/>
          <w:color w:val="231F20"/>
          <w:sz w:val="12"/>
        </w:rPr>
        <w:t>Díez-Piñol,</w:t>
      </w:r>
      <w:r>
        <w:rPr>
          <w:rFonts w:ascii="Arial" w:hAnsi="Arial"/>
          <w:color w:val="231F20"/>
          <w:spacing w:val="-5"/>
          <w:sz w:val="12"/>
        </w:rPr>
        <w:t> </w:t>
      </w:r>
      <w:r>
        <w:rPr>
          <w:rFonts w:ascii="Arial" w:hAnsi="Arial"/>
          <w:color w:val="231F20"/>
          <w:sz w:val="12"/>
        </w:rPr>
        <w:t>M.</w:t>
      </w:r>
      <w:r>
        <w:rPr>
          <w:rFonts w:ascii="Arial" w:hAnsi="Arial"/>
          <w:color w:val="231F20"/>
          <w:spacing w:val="40"/>
          <w:sz w:val="12"/>
        </w:rPr>
        <w:t> </w:t>
      </w:r>
      <w:r>
        <w:rPr>
          <w:rFonts w:ascii="Arial" w:hAnsi="Arial"/>
          <w:color w:val="231F20"/>
          <w:sz w:val="12"/>
        </w:rPr>
        <w:t>(2005). </w:t>
      </w:r>
      <w:r>
        <w:rPr>
          <w:rFonts w:ascii="Arial" w:hAnsi="Arial"/>
          <w:i/>
          <w:color w:val="231F20"/>
          <w:sz w:val="12"/>
        </w:rPr>
        <w:t>Autoestima, estrés y trabajo</w:t>
      </w:r>
      <w:r>
        <w:rPr>
          <w:rFonts w:ascii="Arial" w:hAnsi="Arial"/>
          <w:color w:val="231F20"/>
          <w:sz w:val="12"/>
        </w:rPr>
        <w:t>, Madrid, McGraw-Hill, chapitre 3 (</w:t>
      </w:r>
      <w:r>
        <w:rPr>
          <w:rFonts w:ascii="Arial" w:hAnsi="Arial"/>
          <w:i/>
          <w:color w:val="231F20"/>
          <w:sz w:val="12"/>
        </w:rPr>
        <w:t>Autoestima y estrés</w:t>
      </w:r>
      <w:r>
        <w:rPr>
          <w:rFonts w:ascii="Arial" w:hAnsi="Arial"/>
          <w:color w:val="231F20"/>
          <w:sz w:val="12"/>
        </w:rPr>
        <w:t>).</w:t>
      </w:r>
    </w:p>
    <w:p>
      <w:pPr>
        <w:spacing w:after="0" w:line="295" w:lineRule="auto"/>
        <w:jc w:val="both"/>
        <w:rPr>
          <w:rFonts w:ascii="Arial" w:hAnsi="Arial"/>
          <w:sz w:val="12"/>
        </w:rPr>
        <w:sectPr>
          <w:footerReference w:type="default" r:id="rId233"/>
          <w:pgSz w:w="8640" w:h="12960"/>
          <w:pgMar w:footer="0" w:header="0"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2" w:firstLine="250"/>
        <w:jc w:val="both"/>
      </w:pPr>
      <w:r>
        <w:rPr>
          <w:color w:val="231F20"/>
          <w:w w:val="120"/>
        </w:rPr>
        <w:t>On comprendra que nul ne peut entièrement contrôler l’émergence de situations potentiellement stressogènes dans son environnement. On</w:t>
      </w:r>
      <w:r>
        <w:rPr>
          <w:color w:val="231F20"/>
          <w:spacing w:val="-4"/>
          <w:w w:val="120"/>
        </w:rPr>
        <w:t> </w:t>
      </w:r>
      <w:r>
        <w:rPr>
          <w:color w:val="231F20"/>
          <w:w w:val="120"/>
        </w:rPr>
        <w:t>peut</w:t>
      </w:r>
      <w:r>
        <w:rPr>
          <w:color w:val="231F20"/>
          <w:spacing w:val="-4"/>
          <w:w w:val="120"/>
        </w:rPr>
        <w:t> </w:t>
      </w:r>
      <w:r>
        <w:rPr>
          <w:color w:val="231F20"/>
          <w:w w:val="120"/>
        </w:rPr>
        <w:t>bien</w:t>
      </w:r>
      <w:r>
        <w:rPr>
          <w:color w:val="231F20"/>
          <w:spacing w:val="-4"/>
          <w:w w:val="120"/>
        </w:rPr>
        <w:t> </w:t>
      </w:r>
      <w:r>
        <w:rPr>
          <w:color w:val="231F20"/>
          <w:w w:val="120"/>
        </w:rPr>
        <w:t>sûr</w:t>
      </w:r>
      <w:r>
        <w:rPr>
          <w:color w:val="231F20"/>
          <w:spacing w:val="-4"/>
          <w:w w:val="120"/>
        </w:rPr>
        <w:t> </w:t>
      </w:r>
      <w:r>
        <w:rPr>
          <w:color w:val="231F20"/>
          <w:w w:val="120"/>
        </w:rPr>
        <w:t>faire</w:t>
      </w:r>
      <w:r>
        <w:rPr>
          <w:color w:val="231F20"/>
          <w:spacing w:val="-4"/>
          <w:w w:val="120"/>
        </w:rPr>
        <w:t> </w:t>
      </w:r>
      <w:r>
        <w:rPr>
          <w:color w:val="231F20"/>
          <w:w w:val="120"/>
        </w:rPr>
        <w:t>preuve</w:t>
      </w:r>
      <w:r>
        <w:rPr>
          <w:color w:val="231F20"/>
          <w:spacing w:val="-4"/>
          <w:w w:val="120"/>
        </w:rPr>
        <w:t> </w:t>
      </w:r>
      <w:r>
        <w:rPr>
          <w:color w:val="231F20"/>
          <w:w w:val="120"/>
        </w:rPr>
        <w:t>de</w:t>
      </w:r>
      <w:r>
        <w:rPr>
          <w:color w:val="231F20"/>
          <w:spacing w:val="-4"/>
          <w:w w:val="120"/>
        </w:rPr>
        <w:t> </w:t>
      </w:r>
      <w:r>
        <w:rPr>
          <w:color w:val="231F20"/>
          <w:w w:val="120"/>
        </w:rPr>
        <w:t>proactivité</w:t>
      </w:r>
      <w:r>
        <w:rPr>
          <w:color w:val="231F20"/>
          <w:spacing w:val="-4"/>
          <w:w w:val="120"/>
        </w:rPr>
        <w:t> </w:t>
      </w:r>
      <w:r>
        <w:rPr>
          <w:color w:val="231F20"/>
          <w:w w:val="120"/>
        </w:rPr>
        <w:t>et</w:t>
      </w:r>
      <w:r>
        <w:rPr>
          <w:color w:val="231F20"/>
          <w:spacing w:val="-4"/>
          <w:w w:val="120"/>
        </w:rPr>
        <w:t> </w:t>
      </w:r>
      <w:r>
        <w:rPr>
          <w:color w:val="231F20"/>
          <w:w w:val="120"/>
        </w:rPr>
        <w:t>opérer</w:t>
      </w:r>
      <w:r>
        <w:rPr>
          <w:color w:val="231F20"/>
          <w:spacing w:val="-4"/>
          <w:w w:val="120"/>
        </w:rPr>
        <w:t> </w:t>
      </w:r>
      <w:r>
        <w:rPr>
          <w:color w:val="231F20"/>
          <w:w w:val="120"/>
        </w:rPr>
        <w:t>des</w:t>
      </w:r>
      <w:r>
        <w:rPr>
          <w:color w:val="231F20"/>
          <w:spacing w:val="-4"/>
          <w:w w:val="120"/>
        </w:rPr>
        <w:t> </w:t>
      </w:r>
      <w:r>
        <w:rPr>
          <w:color w:val="231F20"/>
          <w:w w:val="120"/>
        </w:rPr>
        <w:t>choix</w:t>
      </w:r>
      <w:r>
        <w:rPr>
          <w:color w:val="231F20"/>
          <w:spacing w:val="-4"/>
          <w:w w:val="120"/>
        </w:rPr>
        <w:t> </w:t>
      </w:r>
      <w:r>
        <w:rPr>
          <w:color w:val="231F20"/>
          <w:w w:val="120"/>
        </w:rPr>
        <w:t>afin</w:t>
      </w:r>
      <w:r>
        <w:rPr>
          <w:color w:val="231F20"/>
          <w:spacing w:val="-4"/>
          <w:w w:val="120"/>
        </w:rPr>
        <w:t> </w:t>
      </w:r>
      <w:r>
        <w:rPr>
          <w:color w:val="231F20"/>
          <w:w w:val="120"/>
        </w:rPr>
        <w:t>de limiter notre exposition au stress, mais bien des événements de la vie ou du travail apparaissent inopinément et sont souvent hors de la por- tée</w:t>
      </w:r>
      <w:r>
        <w:rPr>
          <w:color w:val="231F20"/>
          <w:spacing w:val="-8"/>
          <w:w w:val="120"/>
        </w:rPr>
        <w:t> </w:t>
      </w:r>
      <w:r>
        <w:rPr>
          <w:color w:val="231F20"/>
          <w:w w:val="120"/>
        </w:rPr>
        <w:t>du</w:t>
      </w:r>
      <w:r>
        <w:rPr>
          <w:color w:val="231F20"/>
          <w:spacing w:val="-8"/>
          <w:w w:val="120"/>
        </w:rPr>
        <w:t> </w:t>
      </w:r>
      <w:r>
        <w:rPr>
          <w:color w:val="231F20"/>
          <w:w w:val="120"/>
        </w:rPr>
        <w:t>contrôle</w:t>
      </w:r>
      <w:r>
        <w:rPr>
          <w:color w:val="231F20"/>
          <w:spacing w:val="-8"/>
          <w:w w:val="120"/>
        </w:rPr>
        <w:t> </w:t>
      </w:r>
      <w:r>
        <w:rPr>
          <w:color w:val="231F20"/>
          <w:w w:val="120"/>
        </w:rPr>
        <w:t>individuel.</w:t>
      </w:r>
      <w:r>
        <w:rPr>
          <w:color w:val="231F20"/>
          <w:spacing w:val="-8"/>
          <w:w w:val="120"/>
        </w:rPr>
        <w:t> </w:t>
      </w:r>
      <w:r>
        <w:rPr>
          <w:color w:val="231F20"/>
          <w:w w:val="120"/>
        </w:rPr>
        <w:t>Comme</w:t>
      </w:r>
      <w:r>
        <w:rPr>
          <w:color w:val="231F20"/>
          <w:spacing w:val="-8"/>
          <w:w w:val="120"/>
        </w:rPr>
        <w:t> </w:t>
      </w:r>
      <w:r>
        <w:rPr>
          <w:color w:val="231F20"/>
          <w:w w:val="120"/>
        </w:rPr>
        <w:t>certains</w:t>
      </w:r>
      <w:r>
        <w:rPr>
          <w:color w:val="231F20"/>
          <w:spacing w:val="-8"/>
          <w:w w:val="120"/>
        </w:rPr>
        <w:t> </w:t>
      </w:r>
      <w:r>
        <w:rPr>
          <w:color w:val="231F20"/>
          <w:w w:val="120"/>
        </w:rPr>
        <w:t>l’ont</w:t>
      </w:r>
      <w:r>
        <w:rPr>
          <w:color w:val="231F20"/>
          <w:spacing w:val="-8"/>
          <w:w w:val="120"/>
        </w:rPr>
        <w:t> </w:t>
      </w:r>
      <w:r>
        <w:rPr>
          <w:color w:val="231F20"/>
          <w:w w:val="120"/>
        </w:rPr>
        <w:t>énoncé</w:t>
      </w:r>
      <w:r>
        <w:rPr>
          <w:color w:val="231F20"/>
          <w:spacing w:val="-8"/>
          <w:w w:val="120"/>
        </w:rPr>
        <w:t> </w:t>
      </w:r>
      <w:r>
        <w:rPr>
          <w:color w:val="231F20"/>
          <w:w w:val="120"/>
        </w:rPr>
        <w:t>auparavant,</w:t>
      </w:r>
      <w:r>
        <w:rPr>
          <w:color w:val="231F20"/>
          <w:spacing w:val="-8"/>
          <w:w w:val="120"/>
        </w:rPr>
        <w:t> </w:t>
      </w:r>
      <w:r>
        <w:rPr>
          <w:color w:val="231F20"/>
          <w:w w:val="120"/>
        </w:rPr>
        <w:t>la </w:t>
      </w:r>
      <w:r>
        <w:rPr>
          <w:color w:val="231F20"/>
          <w:w w:val="115"/>
        </w:rPr>
        <w:t>soudaineté, l’imprévisibilité, l’incontrôlabilité, l’imminence, l’ambiguïté </w:t>
      </w:r>
      <w:r>
        <w:rPr>
          <w:color w:val="231F20"/>
          <w:w w:val="120"/>
        </w:rPr>
        <w:t>ou la nouveauté sont autant de caractéristiques d’une situation qui</w:t>
      </w:r>
      <w:r>
        <w:rPr>
          <w:color w:val="231F20"/>
          <w:spacing w:val="40"/>
          <w:w w:val="120"/>
        </w:rPr>
        <w:t> </w:t>
      </w:r>
      <w:r>
        <w:rPr>
          <w:color w:val="231F20"/>
          <w:w w:val="120"/>
        </w:rPr>
        <w:t>sont des déclencheurs communs d’un état de stress et qui ne relèvent habituellement que peu de la volonté de la personne2.</w:t>
      </w:r>
    </w:p>
    <w:p>
      <w:pPr>
        <w:pStyle w:val="BodyText"/>
        <w:spacing w:line="307" w:lineRule="auto" w:before="78"/>
        <w:ind w:left="830" w:right="492" w:firstLine="250"/>
        <w:jc w:val="both"/>
      </w:pPr>
      <w:r>
        <w:rPr>
          <w:color w:val="231F20"/>
          <w:spacing w:val="-4"/>
          <w:w w:val="120"/>
        </w:rPr>
        <w:t>En contrepartie, l’individu a davantage de contrôle sur la teneur de ses caractéristiques personnelles directement sollicitées dans l’évaluation des </w:t>
      </w:r>
      <w:r>
        <w:rPr>
          <w:color w:val="231F20"/>
          <w:w w:val="120"/>
        </w:rPr>
        <w:t>situations</w:t>
      </w:r>
      <w:r>
        <w:rPr>
          <w:color w:val="231F20"/>
          <w:spacing w:val="-9"/>
          <w:w w:val="120"/>
        </w:rPr>
        <w:t> </w:t>
      </w:r>
      <w:r>
        <w:rPr>
          <w:color w:val="231F20"/>
          <w:w w:val="120"/>
        </w:rPr>
        <w:t>stressantes.</w:t>
      </w:r>
      <w:r>
        <w:rPr>
          <w:color w:val="231F20"/>
          <w:spacing w:val="-9"/>
          <w:w w:val="120"/>
        </w:rPr>
        <w:t> </w:t>
      </w:r>
      <w:r>
        <w:rPr>
          <w:color w:val="231F20"/>
          <w:w w:val="120"/>
        </w:rPr>
        <w:t>Bien</w:t>
      </w:r>
      <w:r>
        <w:rPr>
          <w:color w:val="231F20"/>
          <w:spacing w:val="-9"/>
          <w:w w:val="120"/>
        </w:rPr>
        <w:t> </w:t>
      </w:r>
      <w:r>
        <w:rPr>
          <w:color w:val="231F20"/>
          <w:w w:val="120"/>
        </w:rPr>
        <w:t>sûr,</w:t>
      </w:r>
      <w:r>
        <w:rPr>
          <w:color w:val="231F20"/>
          <w:spacing w:val="-9"/>
          <w:w w:val="120"/>
        </w:rPr>
        <w:t> </w:t>
      </w:r>
      <w:r>
        <w:rPr>
          <w:color w:val="231F20"/>
          <w:w w:val="120"/>
        </w:rPr>
        <w:t>certaines</w:t>
      </w:r>
      <w:r>
        <w:rPr>
          <w:color w:val="231F20"/>
          <w:spacing w:val="-9"/>
          <w:w w:val="120"/>
        </w:rPr>
        <w:t> </w:t>
      </w:r>
      <w:r>
        <w:rPr>
          <w:color w:val="231F20"/>
          <w:w w:val="120"/>
        </w:rPr>
        <w:t>sont</w:t>
      </w:r>
      <w:r>
        <w:rPr>
          <w:color w:val="231F20"/>
          <w:spacing w:val="-9"/>
          <w:w w:val="120"/>
        </w:rPr>
        <w:t> </w:t>
      </w:r>
      <w:r>
        <w:rPr>
          <w:color w:val="231F20"/>
          <w:w w:val="120"/>
        </w:rPr>
        <w:t>relativement</w:t>
      </w:r>
      <w:r>
        <w:rPr>
          <w:color w:val="231F20"/>
          <w:spacing w:val="-9"/>
          <w:w w:val="120"/>
        </w:rPr>
        <w:t> </w:t>
      </w:r>
      <w:r>
        <w:rPr>
          <w:color w:val="231F20"/>
          <w:w w:val="120"/>
        </w:rPr>
        <w:t>immuables, que</w:t>
      </w:r>
      <w:r>
        <w:rPr>
          <w:color w:val="231F20"/>
          <w:spacing w:val="-1"/>
          <w:w w:val="120"/>
        </w:rPr>
        <w:t> </w:t>
      </w:r>
      <w:r>
        <w:rPr>
          <w:color w:val="231F20"/>
          <w:w w:val="120"/>
        </w:rPr>
        <w:t>l’on</w:t>
      </w:r>
      <w:r>
        <w:rPr>
          <w:color w:val="231F20"/>
          <w:spacing w:val="-1"/>
          <w:w w:val="120"/>
        </w:rPr>
        <w:t> </w:t>
      </w:r>
      <w:r>
        <w:rPr>
          <w:color w:val="231F20"/>
          <w:w w:val="120"/>
        </w:rPr>
        <w:t>pense</w:t>
      </w:r>
      <w:r>
        <w:rPr>
          <w:color w:val="231F20"/>
          <w:spacing w:val="-1"/>
          <w:w w:val="120"/>
        </w:rPr>
        <w:t> </w:t>
      </w:r>
      <w:r>
        <w:rPr>
          <w:color w:val="231F20"/>
          <w:w w:val="120"/>
        </w:rPr>
        <w:t>à</w:t>
      </w:r>
      <w:r>
        <w:rPr>
          <w:color w:val="231F20"/>
          <w:spacing w:val="-1"/>
          <w:w w:val="120"/>
        </w:rPr>
        <w:t> </w:t>
      </w:r>
      <w:r>
        <w:rPr>
          <w:color w:val="231F20"/>
          <w:w w:val="120"/>
        </w:rPr>
        <w:t>la</w:t>
      </w:r>
      <w:r>
        <w:rPr>
          <w:color w:val="231F20"/>
          <w:spacing w:val="-1"/>
          <w:w w:val="120"/>
        </w:rPr>
        <w:t> </w:t>
      </w:r>
      <w:r>
        <w:rPr>
          <w:color w:val="231F20"/>
          <w:w w:val="120"/>
        </w:rPr>
        <w:t>personnalité,</w:t>
      </w:r>
      <w:r>
        <w:rPr>
          <w:color w:val="231F20"/>
          <w:spacing w:val="-1"/>
          <w:w w:val="120"/>
        </w:rPr>
        <w:t> </w:t>
      </w:r>
      <w:r>
        <w:rPr>
          <w:color w:val="231F20"/>
          <w:w w:val="120"/>
        </w:rPr>
        <w:t>au</w:t>
      </w:r>
      <w:r>
        <w:rPr>
          <w:color w:val="231F20"/>
          <w:spacing w:val="-1"/>
          <w:w w:val="120"/>
        </w:rPr>
        <w:t> </w:t>
      </w:r>
      <w:r>
        <w:rPr>
          <w:color w:val="231F20"/>
          <w:w w:val="120"/>
        </w:rPr>
        <w:t>locus</w:t>
      </w:r>
      <w:r>
        <w:rPr>
          <w:color w:val="231F20"/>
          <w:spacing w:val="-1"/>
          <w:w w:val="120"/>
        </w:rPr>
        <w:t> </w:t>
      </w:r>
      <w:r>
        <w:rPr>
          <w:color w:val="231F20"/>
          <w:w w:val="120"/>
        </w:rPr>
        <w:t>de</w:t>
      </w:r>
      <w:r>
        <w:rPr>
          <w:color w:val="231F20"/>
          <w:spacing w:val="-1"/>
          <w:w w:val="120"/>
        </w:rPr>
        <w:t> </w:t>
      </w:r>
      <w:r>
        <w:rPr>
          <w:color w:val="231F20"/>
          <w:w w:val="120"/>
        </w:rPr>
        <w:t>contrôle</w:t>
      </w:r>
      <w:r>
        <w:rPr>
          <w:color w:val="231F20"/>
          <w:spacing w:val="-1"/>
          <w:w w:val="120"/>
        </w:rPr>
        <w:t> </w:t>
      </w:r>
      <w:r>
        <w:rPr>
          <w:color w:val="231F20"/>
          <w:w w:val="120"/>
        </w:rPr>
        <w:t>ou</w:t>
      </w:r>
      <w:r>
        <w:rPr>
          <w:color w:val="231F20"/>
          <w:spacing w:val="-1"/>
          <w:w w:val="120"/>
        </w:rPr>
        <w:t> </w:t>
      </w:r>
      <w:r>
        <w:rPr>
          <w:color w:val="231F20"/>
          <w:w w:val="120"/>
        </w:rPr>
        <w:t>à</w:t>
      </w:r>
      <w:r>
        <w:rPr>
          <w:color w:val="231F20"/>
          <w:spacing w:val="-1"/>
          <w:w w:val="120"/>
        </w:rPr>
        <w:t> </w:t>
      </w:r>
      <w:r>
        <w:rPr>
          <w:color w:val="231F20"/>
          <w:w w:val="120"/>
        </w:rPr>
        <w:t>l’endurance (</w:t>
      </w:r>
      <w:r>
        <w:rPr>
          <w:i/>
          <w:color w:val="231F20"/>
          <w:w w:val="120"/>
        </w:rPr>
        <w:t>hardiness</w:t>
      </w:r>
      <w:r>
        <w:rPr>
          <w:color w:val="231F20"/>
          <w:w w:val="120"/>
        </w:rPr>
        <w:t>).</w:t>
      </w:r>
      <w:r>
        <w:rPr>
          <w:color w:val="231F20"/>
          <w:spacing w:val="-15"/>
          <w:w w:val="120"/>
        </w:rPr>
        <w:t> </w:t>
      </w:r>
      <w:r>
        <w:rPr>
          <w:color w:val="231F20"/>
          <w:w w:val="120"/>
        </w:rPr>
        <w:t>Mais</w:t>
      </w:r>
      <w:r>
        <w:rPr>
          <w:color w:val="231F20"/>
          <w:spacing w:val="-13"/>
          <w:w w:val="120"/>
        </w:rPr>
        <w:t> </w:t>
      </w:r>
      <w:r>
        <w:rPr>
          <w:color w:val="231F20"/>
          <w:w w:val="120"/>
        </w:rPr>
        <w:t>force</w:t>
      </w:r>
      <w:r>
        <w:rPr>
          <w:color w:val="231F20"/>
          <w:spacing w:val="-13"/>
          <w:w w:val="120"/>
        </w:rPr>
        <w:t> </w:t>
      </w:r>
      <w:r>
        <w:rPr>
          <w:color w:val="231F20"/>
          <w:w w:val="120"/>
        </w:rPr>
        <w:t>est</w:t>
      </w:r>
      <w:r>
        <w:rPr>
          <w:color w:val="231F20"/>
          <w:spacing w:val="-12"/>
          <w:w w:val="120"/>
        </w:rPr>
        <w:t> </w:t>
      </w:r>
      <w:r>
        <w:rPr>
          <w:color w:val="231F20"/>
          <w:w w:val="120"/>
        </w:rPr>
        <w:t>de</w:t>
      </w:r>
      <w:r>
        <w:rPr>
          <w:color w:val="231F20"/>
          <w:spacing w:val="-13"/>
          <w:w w:val="120"/>
        </w:rPr>
        <w:t> </w:t>
      </w:r>
      <w:r>
        <w:rPr>
          <w:color w:val="231F20"/>
          <w:w w:val="120"/>
        </w:rPr>
        <w:t>reconnaître</w:t>
      </w:r>
      <w:r>
        <w:rPr>
          <w:color w:val="231F20"/>
          <w:spacing w:val="-13"/>
          <w:w w:val="120"/>
        </w:rPr>
        <w:t> </w:t>
      </w:r>
      <w:r>
        <w:rPr>
          <w:color w:val="231F20"/>
          <w:w w:val="120"/>
        </w:rPr>
        <w:t>que</w:t>
      </w:r>
      <w:r>
        <w:rPr>
          <w:color w:val="231F20"/>
          <w:spacing w:val="-13"/>
          <w:w w:val="120"/>
        </w:rPr>
        <w:t> </w:t>
      </w:r>
      <w:r>
        <w:rPr>
          <w:color w:val="231F20"/>
          <w:w w:val="120"/>
        </w:rPr>
        <w:t>certaines</w:t>
      </w:r>
      <w:r>
        <w:rPr>
          <w:color w:val="231F20"/>
          <w:spacing w:val="-12"/>
          <w:w w:val="120"/>
        </w:rPr>
        <w:t> </w:t>
      </w:r>
      <w:r>
        <w:rPr>
          <w:color w:val="231F20"/>
          <w:w w:val="120"/>
        </w:rPr>
        <w:t>caractéristiques psychologiques</w:t>
      </w:r>
      <w:r>
        <w:rPr>
          <w:color w:val="231F20"/>
          <w:spacing w:val="-13"/>
          <w:w w:val="120"/>
        </w:rPr>
        <w:t> </w:t>
      </w:r>
      <w:r>
        <w:rPr>
          <w:color w:val="231F20"/>
          <w:w w:val="120"/>
        </w:rPr>
        <w:t>peuvent</w:t>
      </w:r>
      <w:r>
        <w:rPr>
          <w:color w:val="231F20"/>
          <w:spacing w:val="-13"/>
          <w:w w:val="120"/>
        </w:rPr>
        <w:t> </w:t>
      </w:r>
      <w:r>
        <w:rPr>
          <w:color w:val="231F20"/>
          <w:w w:val="120"/>
        </w:rPr>
        <w:t>être</w:t>
      </w:r>
      <w:r>
        <w:rPr>
          <w:color w:val="231F20"/>
          <w:spacing w:val="-13"/>
          <w:w w:val="120"/>
        </w:rPr>
        <w:t> </w:t>
      </w:r>
      <w:r>
        <w:rPr>
          <w:color w:val="231F20"/>
          <w:w w:val="120"/>
        </w:rPr>
        <w:t>façonnées,</w:t>
      </w:r>
      <w:r>
        <w:rPr>
          <w:color w:val="231F20"/>
          <w:spacing w:val="-12"/>
          <w:w w:val="120"/>
        </w:rPr>
        <w:t> </w:t>
      </w:r>
      <w:r>
        <w:rPr>
          <w:color w:val="231F20"/>
          <w:w w:val="120"/>
        </w:rPr>
        <w:t>bonifiées</w:t>
      </w:r>
      <w:r>
        <w:rPr>
          <w:color w:val="231F20"/>
          <w:spacing w:val="-13"/>
          <w:w w:val="120"/>
        </w:rPr>
        <w:t> </w:t>
      </w:r>
      <w:r>
        <w:rPr>
          <w:color w:val="231F20"/>
          <w:w w:val="120"/>
        </w:rPr>
        <w:t>ou</w:t>
      </w:r>
      <w:r>
        <w:rPr>
          <w:color w:val="231F20"/>
          <w:spacing w:val="-13"/>
          <w:w w:val="120"/>
        </w:rPr>
        <w:t> </w:t>
      </w:r>
      <w:r>
        <w:rPr>
          <w:color w:val="231F20"/>
          <w:w w:val="120"/>
        </w:rPr>
        <w:t>améliorées</w:t>
      </w:r>
      <w:r>
        <w:rPr>
          <w:color w:val="231F20"/>
          <w:spacing w:val="-13"/>
          <w:w w:val="120"/>
        </w:rPr>
        <w:t> </w:t>
      </w:r>
      <w:r>
        <w:rPr>
          <w:color w:val="231F20"/>
          <w:w w:val="120"/>
        </w:rPr>
        <w:t>afin</w:t>
      </w:r>
      <w:r>
        <w:rPr>
          <w:color w:val="231F20"/>
          <w:spacing w:val="-12"/>
          <w:w w:val="120"/>
        </w:rPr>
        <w:t> </w:t>
      </w:r>
      <w:r>
        <w:rPr>
          <w:color w:val="231F20"/>
          <w:w w:val="120"/>
        </w:rPr>
        <w:t>de servir de rempart à la perception de stress dans diverses situations. Le niveau</w:t>
      </w:r>
      <w:r>
        <w:rPr>
          <w:color w:val="231F20"/>
          <w:spacing w:val="-11"/>
          <w:w w:val="120"/>
        </w:rPr>
        <w:t> </w:t>
      </w:r>
      <w:r>
        <w:rPr>
          <w:color w:val="231F20"/>
          <w:w w:val="120"/>
        </w:rPr>
        <w:t>de</w:t>
      </w:r>
      <w:r>
        <w:rPr>
          <w:color w:val="231F20"/>
          <w:spacing w:val="-11"/>
          <w:w w:val="120"/>
        </w:rPr>
        <w:t> </w:t>
      </w:r>
      <w:r>
        <w:rPr>
          <w:color w:val="231F20"/>
          <w:w w:val="120"/>
        </w:rPr>
        <w:t>compétence,</w:t>
      </w:r>
      <w:r>
        <w:rPr>
          <w:color w:val="231F20"/>
          <w:spacing w:val="-11"/>
          <w:w w:val="120"/>
        </w:rPr>
        <w:t> </w:t>
      </w:r>
      <w:r>
        <w:rPr>
          <w:color w:val="231F20"/>
          <w:w w:val="120"/>
        </w:rPr>
        <w:t>le</w:t>
      </w:r>
      <w:r>
        <w:rPr>
          <w:color w:val="231F20"/>
          <w:spacing w:val="-11"/>
          <w:w w:val="120"/>
        </w:rPr>
        <w:t> </w:t>
      </w:r>
      <w:r>
        <w:rPr>
          <w:color w:val="231F20"/>
          <w:w w:val="120"/>
        </w:rPr>
        <w:t>sentiment</w:t>
      </w:r>
      <w:r>
        <w:rPr>
          <w:color w:val="231F20"/>
          <w:spacing w:val="-11"/>
          <w:w w:val="120"/>
        </w:rPr>
        <w:t> </w:t>
      </w:r>
      <w:r>
        <w:rPr>
          <w:color w:val="231F20"/>
          <w:w w:val="120"/>
        </w:rPr>
        <w:t>d’autoefficacité,</w:t>
      </w:r>
      <w:r>
        <w:rPr>
          <w:color w:val="231F20"/>
          <w:spacing w:val="-11"/>
          <w:w w:val="120"/>
        </w:rPr>
        <w:t> </w:t>
      </w:r>
      <w:r>
        <w:rPr>
          <w:color w:val="231F20"/>
          <w:w w:val="120"/>
        </w:rPr>
        <w:t>ou</w:t>
      </w:r>
      <w:r>
        <w:rPr>
          <w:color w:val="231F20"/>
          <w:spacing w:val="-11"/>
          <w:w w:val="120"/>
        </w:rPr>
        <w:t> </w:t>
      </w:r>
      <w:r>
        <w:rPr>
          <w:color w:val="231F20"/>
          <w:w w:val="120"/>
        </w:rPr>
        <w:t>encore,</w:t>
      </w:r>
      <w:r>
        <w:rPr>
          <w:color w:val="231F20"/>
          <w:spacing w:val="-11"/>
          <w:w w:val="120"/>
        </w:rPr>
        <w:t> </w:t>
      </w:r>
      <w:r>
        <w:rPr>
          <w:color w:val="231F20"/>
          <w:w w:val="120"/>
        </w:rPr>
        <w:t>le</w:t>
      </w:r>
      <w:r>
        <w:rPr>
          <w:color w:val="231F20"/>
          <w:spacing w:val="-11"/>
          <w:w w:val="120"/>
        </w:rPr>
        <w:t> </w:t>
      </w:r>
      <w:r>
        <w:rPr>
          <w:color w:val="231F20"/>
          <w:w w:val="120"/>
        </w:rPr>
        <w:t>quo- </w:t>
      </w:r>
      <w:r>
        <w:rPr>
          <w:color w:val="231F20"/>
          <w:spacing w:val="-4"/>
          <w:w w:val="120"/>
        </w:rPr>
        <w:t>tient émotionnel sont au nombre des propriétés de l’individu qui peuvent, </w:t>
      </w:r>
      <w:r>
        <w:rPr>
          <w:color w:val="231F20"/>
          <w:w w:val="120"/>
        </w:rPr>
        <w:t>à</w:t>
      </w:r>
      <w:r>
        <w:rPr>
          <w:color w:val="231F20"/>
          <w:spacing w:val="-3"/>
          <w:w w:val="120"/>
        </w:rPr>
        <w:t> </w:t>
      </w:r>
      <w:r>
        <w:rPr>
          <w:color w:val="231F20"/>
          <w:w w:val="120"/>
        </w:rPr>
        <w:t>divers</w:t>
      </w:r>
      <w:r>
        <w:rPr>
          <w:color w:val="231F20"/>
          <w:spacing w:val="-3"/>
          <w:w w:val="120"/>
        </w:rPr>
        <w:t> </w:t>
      </w:r>
      <w:r>
        <w:rPr>
          <w:color w:val="231F20"/>
          <w:w w:val="120"/>
        </w:rPr>
        <w:t>égards,</w:t>
      </w:r>
      <w:r>
        <w:rPr>
          <w:color w:val="231F20"/>
          <w:spacing w:val="-3"/>
          <w:w w:val="120"/>
        </w:rPr>
        <w:t> </w:t>
      </w:r>
      <w:r>
        <w:rPr>
          <w:color w:val="231F20"/>
          <w:w w:val="120"/>
        </w:rPr>
        <w:t>le</w:t>
      </w:r>
      <w:r>
        <w:rPr>
          <w:color w:val="231F20"/>
          <w:spacing w:val="-3"/>
          <w:w w:val="120"/>
        </w:rPr>
        <w:t> </w:t>
      </w:r>
      <w:r>
        <w:rPr>
          <w:color w:val="231F20"/>
          <w:w w:val="120"/>
        </w:rPr>
        <w:t>protéger</w:t>
      </w:r>
      <w:r>
        <w:rPr>
          <w:color w:val="231F20"/>
          <w:spacing w:val="-3"/>
          <w:w w:val="120"/>
        </w:rPr>
        <w:t> </w:t>
      </w:r>
      <w:r>
        <w:rPr>
          <w:color w:val="231F20"/>
          <w:w w:val="120"/>
        </w:rPr>
        <w:t>contre</w:t>
      </w:r>
      <w:r>
        <w:rPr>
          <w:color w:val="231F20"/>
          <w:spacing w:val="-3"/>
          <w:w w:val="120"/>
        </w:rPr>
        <w:t> </w:t>
      </w:r>
      <w:r>
        <w:rPr>
          <w:color w:val="231F20"/>
          <w:w w:val="120"/>
        </w:rPr>
        <w:t>une</w:t>
      </w:r>
      <w:r>
        <w:rPr>
          <w:color w:val="231F20"/>
          <w:spacing w:val="-3"/>
          <w:w w:val="120"/>
        </w:rPr>
        <w:t> </w:t>
      </w:r>
      <w:r>
        <w:rPr>
          <w:color w:val="231F20"/>
          <w:w w:val="120"/>
        </w:rPr>
        <w:t>possible</w:t>
      </w:r>
      <w:r>
        <w:rPr>
          <w:color w:val="231F20"/>
          <w:spacing w:val="-3"/>
          <w:w w:val="120"/>
        </w:rPr>
        <w:t> </w:t>
      </w:r>
      <w:r>
        <w:rPr>
          <w:color w:val="231F20"/>
          <w:w w:val="120"/>
        </w:rPr>
        <w:t>déstabilisation</w:t>
      </w:r>
      <w:r>
        <w:rPr>
          <w:color w:val="231F20"/>
          <w:spacing w:val="-3"/>
          <w:w w:val="120"/>
        </w:rPr>
        <w:t> </w:t>
      </w:r>
      <w:r>
        <w:rPr>
          <w:color w:val="231F20"/>
          <w:w w:val="120"/>
        </w:rPr>
        <w:t>générée </w:t>
      </w:r>
      <w:r>
        <w:rPr>
          <w:color w:val="231F20"/>
          <w:spacing w:val="-2"/>
          <w:w w:val="120"/>
        </w:rPr>
        <w:t>par</w:t>
      </w:r>
      <w:r>
        <w:rPr>
          <w:color w:val="231F20"/>
          <w:spacing w:val="-11"/>
          <w:w w:val="120"/>
        </w:rPr>
        <w:t> </w:t>
      </w:r>
      <w:r>
        <w:rPr>
          <w:color w:val="231F20"/>
          <w:spacing w:val="-2"/>
          <w:w w:val="120"/>
        </w:rPr>
        <w:t>des</w:t>
      </w:r>
      <w:r>
        <w:rPr>
          <w:color w:val="231F20"/>
          <w:spacing w:val="-11"/>
          <w:w w:val="120"/>
        </w:rPr>
        <w:t> </w:t>
      </w:r>
      <w:r>
        <w:rPr>
          <w:color w:val="231F20"/>
          <w:spacing w:val="-2"/>
          <w:w w:val="120"/>
        </w:rPr>
        <w:t>facteurs</w:t>
      </w:r>
      <w:r>
        <w:rPr>
          <w:color w:val="231F20"/>
          <w:spacing w:val="-11"/>
          <w:w w:val="120"/>
        </w:rPr>
        <w:t> </w:t>
      </w:r>
      <w:r>
        <w:rPr>
          <w:color w:val="231F20"/>
          <w:spacing w:val="-2"/>
          <w:w w:val="120"/>
        </w:rPr>
        <w:t>environnementaux.</w:t>
      </w:r>
      <w:r>
        <w:rPr>
          <w:color w:val="231F20"/>
          <w:spacing w:val="-10"/>
          <w:w w:val="120"/>
        </w:rPr>
        <w:t> </w:t>
      </w:r>
      <w:r>
        <w:rPr>
          <w:color w:val="231F20"/>
          <w:spacing w:val="-2"/>
          <w:w w:val="120"/>
        </w:rPr>
        <w:t>Lupien3</w:t>
      </w:r>
      <w:r>
        <w:rPr>
          <w:color w:val="231F20"/>
          <w:spacing w:val="-11"/>
          <w:w w:val="120"/>
        </w:rPr>
        <w:t> </w:t>
      </w:r>
      <w:r>
        <w:rPr>
          <w:color w:val="231F20"/>
          <w:spacing w:val="-2"/>
          <w:w w:val="120"/>
        </w:rPr>
        <w:t>mentionne,</w:t>
      </w:r>
      <w:r>
        <w:rPr>
          <w:color w:val="231F20"/>
          <w:spacing w:val="-11"/>
          <w:w w:val="120"/>
        </w:rPr>
        <w:t> </w:t>
      </w:r>
      <w:r>
        <w:rPr>
          <w:color w:val="231F20"/>
          <w:spacing w:val="-2"/>
          <w:w w:val="120"/>
        </w:rPr>
        <w:t>à</w:t>
      </w:r>
      <w:r>
        <w:rPr>
          <w:color w:val="231F20"/>
          <w:spacing w:val="-11"/>
          <w:w w:val="120"/>
        </w:rPr>
        <w:t> </w:t>
      </w:r>
      <w:r>
        <w:rPr>
          <w:color w:val="231F20"/>
          <w:spacing w:val="-2"/>
          <w:w w:val="120"/>
        </w:rPr>
        <w:t>juste</w:t>
      </w:r>
      <w:r>
        <w:rPr>
          <w:color w:val="231F20"/>
          <w:spacing w:val="-10"/>
          <w:w w:val="120"/>
        </w:rPr>
        <w:t> </w:t>
      </w:r>
      <w:r>
        <w:rPr>
          <w:color w:val="231F20"/>
          <w:spacing w:val="-2"/>
          <w:w w:val="120"/>
        </w:rPr>
        <w:t>titre,</w:t>
      </w:r>
      <w:r>
        <w:rPr>
          <w:color w:val="231F20"/>
          <w:spacing w:val="-11"/>
          <w:w w:val="120"/>
        </w:rPr>
        <w:t> </w:t>
      </w:r>
      <w:r>
        <w:rPr>
          <w:color w:val="231F20"/>
          <w:spacing w:val="-2"/>
          <w:w w:val="120"/>
        </w:rPr>
        <w:t>que </w:t>
      </w:r>
      <w:r>
        <w:rPr>
          <w:color w:val="231F20"/>
          <w:w w:val="120"/>
        </w:rPr>
        <w:t>toute menace à l’estime de soi constitue un déclencheur d’un état de </w:t>
      </w:r>
      <w:r>
        <w:rPr>
          <w:color w:val="231F20"/>
          <w:spacing w:val="-2"/>
          <w:w w:val="120"/>
        </w:rPr>
        <w:t>stress.</w:t>
      </w:r>
      <w:r>
        <w:rPr>
          <w:color w:val="231F20"/>
          <w:spacing w:val="-6"/>
          <w:w w:val="120"/>
        </w:rPr>
        <w:t> </w:t>
      </w:r>
      <w:r>
        <w:rPr>
          <w:color w:val="231F20"/>
          <w:spacing w:val="-2"/>
          <w:w w:val="120"/>
        </w:rPr>
        <w:t>Ainsi,</w:t>
      </w:r>
      <w:r>
        <w:rPr>
          <w:color w:val="231F20"/>
          <w:spacing w:val="-6"/>
          <w:w w:val="120"/>
        </w:rPr>
        <w:t> </w:t>
      </w:r>
      <w:r>
        <w:rPr>
          <w:color w:val="231F20"/>
          <w:spacing w:val="-2"/>
          <w:w w:val="120"/>
        </w:rPr>
        <w:t>il</w:t>
      </w:r>
      <w:r>
        <w:rPr>
          <w:color w:val="231F20"/>
          <w:spacing w:val="-6"/>
          <w:w w:val="120"/>
        </w:rPr>
        <w:t> </w:t>
      </w:r>
      <w:r>
        <w:rPr>
          <w:color w:val="231F20"/>
          <w:spacing w:val="-2"/>
          <w:w w:val="120"/>
        </w:rPr>
        <w:t>faut</w:t>
      </w:r>
      <w:r>
        <w:rPr>
          <w:color w:val="231F20"/>
          <w:spacing w:val="-6"/>
          <w:w w:val="120"/>
        </w:rPr>
        <w:t> </w:t>
      </w:r>
      <w:r>
        <w:rPr>
          <w:color w:val="231F20"/>
          <w:spacing w:val="-2"/>
          <w:w w:val="120"/>
        </w:rPr>
        <w:t>considérer</w:t>
      </w:r>
      <w:r>
        <w:rPr>
          <w:color w:val="231F20"/>
          <w:spacing w:val="-6"/>
          <w:w w:val="120"/>
        </w:rPr>
        <w:t> </w:t>
      </w:r>
      <w:r>
        <w:rPr>
          <w:color w:val="231F20"/>
          <w:spacing w:val="-2"/>
          <w:w w:val="120"/>
        </w:rPr>
        <w:t>l’estime</w:t>
      </w:r>
      <w:r>
        <w:rPr>
          <w:color w:val="231F20"/>
          <w:spacing w:val="-6"/>
          <w:w w:val="120"/>
        </w:rPr>
        <w:t> </w:t>
      </w:r>
      <w:r>
        <w:rPr>
          <w:color w:val="231F20"/>
          <w:spacing w:val="-2"/>
          <w:w w:val="120"/>
        </w:rPr>
        <w:t>de</w:t>
      </w:r>
      <w:r>
        <w:rPr>
          <w:color w:val="231F20"/>
          <w:spacing w:val="-6"/>
          <w:w w:val="120"/>
        </w:rPr>
        <w:t> </w:t>
      </w:r>
      <w:r>
        <w:rPr>
          <w:color w:val="231F20"/>
          <w:spacing w:val="-2"/>
          <w:w w:val="120"/>
        </w:rPr>
        <w:t>soi</w:t>
      </w:r>
      <w:r>
        <w:rPr>
          <w:color w:val="231F20"/>
          <w:spacing w:val="-6"/>
          <w:w w:val="120"/>
        </w:rPr>
        <w:t> </w:t>
      </w:r>
      <w:r>
        <w:rPr>
          <w:color w:val="231F20"/>
          <w:spacing w:val="-2"/>
          <w:w w:val="120"/>
        </w:rPr>
        <w:t>comme</w:t>
      </w:r>
      <w:r>
        <w:rPr>
          <w:color w:val="231F20"/>
          <w:spacing w:val="-6"/>
          <w:w w:val="120"/>
        </w:rPr>
        <w:t> </w:t>
      </w:r>
      <w:r>
        <w:rPr>
          <w:color w:val="231F20"/>
          <w:spacing w:val="-2"/>
          <w:w w:val="120"/>
        </w:rPr>
        <w:t>un</w:t>
      </w:r>
      <w:r>
        <w:rPr>
          <w:color w:val="231F20"/>
          <w:spacing w:val="-6"/>
          <w:w w:val="120"/>
        </w:rPr>
        <w:t> </w:t>
      </w:r>
      <w:r>
        <w:rPr>
          <w:color w:val="231F20"/>
          <w:spacing w:val="-2"/>
          <w:w w:val="120"/>
        </w:rPr>
        <w:t>facteur</w:t>
      </w:r>
      <w:r>
        <w:rPr>
          <w:color w:val="231F20"/>
          <w:spacing w:val="-6"/>
          <w:w w:val="120"/>
        </w:rPr>
        <w:t> </w:t>
      </w:r>
      <w:r>
        <w:rPr>
          <w:color w:val="231F20"/>
          <w:spacing w:val="-2"/>
          <w:w w:val="120"/>
        </w:rPr>
        <w:t>person- nel</w:t>
      </w:r>
      <w:r>
        <w:rPr>
          <w:color w:val="231F20"/>
          <w:spacing w:val="-7"/>
          <w:w w:val="120"/>
        </w:rPr>
        <w:t> </w:t>
      </w:r>
      <w:r>
        <w:rPr>
          <w:color w:val="231F20"/>
          <w:spacing w:val="-2"/>
          <w:w w:val="120"/>
        </w:rPr>
        <w:t>central</w:t>
      </w:r>
      <w:r>
        <w:rPr>
          <w:color w:val="231F20"/>
          <w:spacing w:val="-7"/>
          <w:w w:val="120"/>
        </w:rPr>
        <w:t> </w:t>
      </w:r>
      <w:r>
        <w:rPr>
          <w:color w:val="231F20"/>
          <w:spacing w:val="-2"/>
          <w:w w:val="120"/>
        </w:rPr>
        <w:t>à</w:t>
      </w:r>
      <w:r>
        <w:rPr>
          <w:color w:val="231F20"/>
          <w:spacing w:val="-7"/>
          <w:w w:val="120"/>
        </w:rPr>
        <w:t> </w:t>
      </w:r>
      <w:r>
        <w:rPr>
          <w:color w:val="231F20"/>
          <w:spacing w:val="-2"/>
          <w:w w:val="120"/>
        </w:rPr>
        <w:t>la</w:t>
      </w:r>
      <w:r>
        <w:rPr>
          <w:color w:val="231F20"/>
          <w:spacing w:val="-7"/>
          <w:w w:val="120"/>
        </w:rPr>
        <w:t> </w:t>
      </w:r>
      <w:r>
        <w:rPr>
          <w:color w:val="231F20"/>
          <w:spacing w:val="-2"/>
          <w:w w:val="120"/>
        </w:rPr>
        <w:t>perception</w:t>
      </w:r>
      <w:r>
        <w:rPr>
          <w:color w:val="231F20"/>
          <w:spacing w:val="-7"/>
          <w:w w:val="120"/>
        </w:rPr>
        <w:t> </w:t>
      </w:r>
      <w:r>
        <w:rPr>
          <w:color w:val="231F20"/>
          <w:spacing w:val="-2"/>
          <w:w w:val="120"/>
        </w:rPr>
        <w:t>du</w:t>
      </w:r>
      <w:r>
        <w:rPr>
          <w:color w:val="231F20"/>
          <w:spacing w:val="-7"/>
          <w:w w:val="120"/>
        </w:rPr>
        <w:t> </w:t>
      </w:r>
      <w:r>
        <w:rPr>
          <w:color w:val="231F20"/>
          <w:spacing w:val="-2"/>
          <w:w w:val="120"/>
        </w:rPr>
        <w:t>stress.</w:t>
      </w:r>
      <w:r>
        <w:rPr>
          <w:color w:val="231F20"/>
          <w:spacing w:val="-7"/>
          <w:w w:val="120"/>
        </w:rPr>
        <w:t> </w:t>
      </w:r>
      <w:r>
        <w:rPr>
          <w:color w:val="231F20"/>
          <w:spacing w:val="-2"/>
          <w:w w:val="120"/>
        </w:rPr>
        <w:t>L’estime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est</w:t>
      </w:r>
      <w:r>
        <w:rPr>
          <w:color w:val="231F20"/>
          <w:spacing w:val="-7"/>
          <w:w w:val="120"/>
        </w:rPr>
        <w:t> </w:t>
      </w:r>
      <w:r>
        <w:rPr>
          <w:color w:val="231F20"/>
          <w:spacing w:val="-2"/>
          <w:w w:val="120"/>
        </w:rPr>
        <w:t>ainsi</w:t>
      </w:r>
      <w:r>
        <w:rPr>
          <w:color w:val="231F20"/>
          <w:spacing w:val="-7"/>
          <w:w w:val="120"/>
        </w:rPr>
        <w:t> </w:t>
      </w:r>
      <w:r>
        <w:rPr>
          <w:color w:val="231F20"/>
          <w:spacing w:val="-2"/>
          <w:w w:val="120"/>
        </w:rPr>
        <w:t>un</w:t>
      </w:r>
      <w:r>
        <w:rPr>
          <w:color w:val="231F20"/>
          <w:spacing w:val="-7"/>
          <w:w w:val="120"/>
        </w:rPr>
        <w:t> </w:t>
      </w:r>
      <w:r>
        <w:rPr>
          <w:color w:val="231F20"/>
          <w:spacing w:val="-2"/>
          <w:w w:val="120"/>
        </w:rPr>
        <w:t>dénomi- </w:t>
      </w:r>
      <w:r>
        <w:rPr>
          <w:color w:val="231F20"/>
          <w:w w:val="120"/>
        </w:rPr>
        <w:t>nateur commun à bien des caractéristiques psychologiques présentes dans</w:t>
      </w:r>
      <w:r>
        <w:rPr>
          <w:color w:val="231F20"/>
          <w:spacing w:val="-5"/>
          <w:w w:val="120"/>
        </w:rPr>
        <w:t> </w:t>
      </w:r>
      <w:r>
        <w:rPr>
          <w:color w:val="231F20"/>
          <w:w w:val="120"/>
        </w:rPr>
        <w:t>le</w:t>
      </w:r>
      <w:r>
        <w:rPr>
          <w:color w:val="231F20"/>
          <w:spacing w:val="-5"/>
          <w:w w:val="120"/>
        </w:rPr>
        <w:t> </w:t>
      </w:r>
      <w:r>
        <w:rPr>
          <w:color w:val="231F20"/>
          <w:w w:val="120"/>
        </w:rPr>
        <w:t>processus</w:t>
      </w:r>
      <w:r>
        <w:rPr>
          <w:color w:val="231F20"/>
          <w:spacing w:val="-5"/>
          <w:w w:val="120"/>
        </w:rPr>
        <w:t> </w:t>
      </w:r>
      <w:r>
        <w:rPr>
          <w:color w:val="231F20"/>
          <w:w w:val="120"/>
        </w:rPr>
        <w:t>d’évaluation</w:t>
      </w:r>
      <w:r>
        <w:rPr>
          <w:color w:val="231F20"/>
          <w:spacing w:val="-5"/>
          <w:w w:val="120"/>
        </w:rPr>
        <w:t> </w:t>
      </w:r>
      <w:r>
        <w:rPr>
          <w:color w:val="231F20"/>
          <w:w w:val="120"/>
        </w:rPr>
        <w:t>et</w:t>
      </w:r>
      <w:r>
        <w:rPr>
          <w:color w:val="231F20"/>
          <w:spacing w:val="-5"/>
          <w:w w:val="120"/>
        </w:rPr>
        <w:t> </w:t>
      </w:r>
      <w:r>
        <w:rPr>
          <w:color w:val="231F20"/>
          <w:w w:val="120"/>
        </w:rPr>
        <w:t>de</w:t>
      </w:r>
      <w:r>
        <w:rPr>
          <w:color w:val="231F20"/>
          <w:spacing w:val="-5"/>
          <w:w w:val="120"/>
        </w:rPr>
        <w:t> </w:t>
      </w:r>
      <w:r>
        <w:rPr>
          <w:color w:val="231F20"/>
          <w:w w:val="120"/>
        </w:rPr>
        <w:t>perception</w:t>
      </w:r>
      <w:r>
        <w:rPr>
          <w:color w:val="231F20"/>
          <w:spacing w:val="-5"/>
          <w:w w:val="120"/>
        </w:rPr>
        <w:t>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Bien</w:t>
      </w:r>
      <w:r>
        <w:rPr>
          <w:color w:val="231F20"/>
          <w:spacing w:val="-5"/>
          <w:w w:val="120"/>
        </w:rPr>
        <w:t> </w:t>
      </w:r>
      <w:r>
        <w:rPr>
          <w:color w:val="231F20"/>
          <w:w w:val="120"/>
        </w:rPr>
        <w:t>qu’il</w:t>
      </w:r>
      <w:r>
        <w:rPr>
          <w:color w:val="231F20"/>
          <w:spacing w:val="-5"/>
          <w:w w:val="120"/>
        </w:rPr>
        <w:t> </w:t>
      </w:r>
      <w:r>
        <w:rPr>
          <w:color w:val="231F20"/>
          <w:w w:val="120"/>
        </w:rPr>
        <w:t>ne puisse</w:t>
      </w:r>
      <w:r>
        <w:rPr>
          <w:color w:val="231F20"/>
          <w:spacing w:val="-13"/>
          <w:w w:val="120"/>
        </w:rPr>
        <w:t> </w:t>
      </w:r>
      <w:r>
        <w:rPr>
          <w:color w:val="231F20"/>
          <w:w w:val="120"/>
        </w:rPr>
        <w:t>à</w:t>
      </w:r>
      <w:r>
        <w:rPr>
          <w:color w:val="231F20"/>
          <w:spacing w:val="-13"/>
          <w:w w:val="120"/>
        </w:rPr>
        <w:t> </w:t>
      </w:r>
      <w:r>
        <w:rPr>
          <w:color w:val="231F20"/>
          <w:w w:val="120"/>
        </w:rPr>
        <w:t>lui</w:t>
      </w:r>
      <w:r>
        <w:rPr>
          <w:color w:val="231F20"/>
          <w:spacing w:val="-13"/>
          <w:w w:val="120"/>
        </w:rPr>
        <w:t> </w:t>
      </w:r>
      <w:r>
        <w:rPr>
          <w:color w:val="231F20"/>
          <w:w w:val="120"/>
        </w:rPr>
        <w:t>seul</w:t>
      </w:r>
      <w:r>
        <w:rPr>
          <w:color w:val="231F20"/>
          <w:spacing w:val="-12"/>
          <w:w w:val="120"/>
        </w:rPr>
        <w:t> </w:t>
      </w:r>
      <w:r>
        <w:rPr>
          <w:color w:val="231F20"/>
          <w:w w:val="120"/>
        </w:rPr>
        <w:t>déterminer</w:t>
      </w:r>
      <w:r>
        <w:rPr>
          <w:color w:val="231F20"/>
          <w:spacing w:val="-13"/>
          <w:w w:val="120"/>
        </w:rPr>
        <w:t> </w:t>
      </w:r>
      <w:r>
        <w:rPr>
          <w:color w:val="231F20"/>
          <w:w w:val="120"/>
        </w:rPr>
        <w:t>le</w:t>
      </w:r>
      <w:r>
        <w:rPr>
          <w:color w:val="231F20"/>
          <w:spacing w:val="-13"/>
          <w:w w:val="120"/>
        </w:rPr>
        <w:t> </w:t>
      </w:r>
      <w:r>
        <w:rPr>
          <w:color w:val="231F20"/>
          <w:w w:val="120"/>
        </w:rPr>
        <w:t>niveau</w:t>
      </w:r>
      <w:r>
        <w:rPr>
          <w:color w:val="231F20"/>
          <w:spacing w:val="-13"/>
          <w:w w:val="120"/>
        </w:rPr>
        <w:t> </w:t>
      </w:r>
      <w:r>
        <w:rPr>
          <w:color w:val="231F20"/>
          <w:w w:val="120"/>
        </w:rPr>
        <w:t>de</w:t>
      </w:r>
      <w:r>
        <w:rPr>
          <w:color w:val="231F20"/>
          <w:spacing w:val="-12"/>
          <w:w w:val="120"/>
        </w:rPr>
        <w:t> </w:t>
      </w:r>
      <w:r>
        <w:rPr>
          <w:color w:val="231F20"/>
          <w:w w:val="120"/>
        </w:rPr>
        <w:t>stress</w:t>
      </w:r>
      <w:r>
        <w:rPr>
          <w:color w:val="231F20"/>
          <w:spacing w:val="-13"/>
          <w:w w:val="120"/>
        </w:rPr>
        <w:t> </w:t>
      </w:r>
      <w:r>
        <w:rPr>
          <w:color w:val="231F20"/>
          <w:w w:val="120"/>
        </w:rPr>
        <w:t>vécu</w:t>
      </w:r>
      <w:r>
        <w:rPr>
          <w:color w:val="231F20"/>
          <w:spacing w:val="-13"/>
          <w:w w:val="120"/>
        </w:rPr>
        <w:t> </w:t>
      </w:r>
      <w:r>
        <w:rPr>
          <w:color w:val="231F20"/>
          <w:w w:val="120"/>
        </w:rPr>
        <w:t>par</w:t>
      </w:r>
      <w:r>
        <w:rPr>
          <w:color w:val="231F20"/>
          <w:spacing w:val="-13"/>
          <w:w w:val="120"/>
        </w:rPr>
        <w:t> </w:t>
      </w:r>
      <w:r>
        <w:rPr>
          <w:color w:val="231F20"/>
          <w:w w:val="120"/>
        </w:rPr>
        <w:t>une</w:t>
      </w:r>
      <w:r>
        <w:rPr>
          <w:color w:val="231F20"/>
          <w:spacing w:val="-12"/>
          <w:w w:val="120"/>
        </w:rPr>
        <w:t> </w:t>
      </w:r>
      <w:r>
        <w:rPr>
          <w:color w:val="231F20"/>
          <w:w w:val="120"/>
        </w:rPr>
        <w:t>personne,</w:t>
      </w:r>
      <w:r>
        <w:rPr>
          <w:color w:val="231F20"/>
          <w:spacing w:val="-13"/>
          <w:w w:val="120"/>
        </w:rPr>
        <w:t> </w:t>
      </w:r>
      <w:r>
        <w:rPr>
          <w:color w:val="231F20"/>
          <w:w w:val="120"/>
        </w:rPr>
        <w:t>la </w:t>
      </w:r>
      <w:r>
        <w:rPr>
          <w:color w:val="231F20"/>
          <w:spacing w:val="-2"/>
          <w:w w:val="120"/>
        </w:rPr>
        <w:t>littérature</w:t>
      </w:r>
      <w:r>
        <w:rPr>
          <w:color w:val="231F20"/>
          <w:spacing w:val="-3"/>
          <w:w w:val="120"/>
        </w:rPr>
        <w:t> </w:t>
      </w:r>
      <w:r>
        <w:rPr>
          <w:color w:val="231F20"/>
          <w:spacing w:val="-2"/>
          <w:w w:val="120"/>
        </w:rPr>
        <w:t>est</w:t>
      </w:r>
      <w:r>
        <w:rPr>
          <w:color w:val="231F20"/>
          <w:spacing w:val="-3"/>
          <w:w w:val="120"/>
        </w:rPr>
        <w:t> </w:t>
      </w:r>
      <w:r>
        <w:rPr>
          <w:color w:val="231F20"/>
          <w:spacing w:val="-2"/>
          <w:w w:val="120"/>
        </w:rPr>
        <w:t>assez</w:t>
      </w:r>
      <w:r>
        <w:rPr>
          <w:color w:val="231F20"/>
          <w:spacing w:val="-3"/>
          <w:w w:val="120"/>
        </w:rPr>
        <w:t> </w:t>
      </w:r>
      <w:r>
        <w:rPr>
          <w:color w:val="231F20"/>
          <w:spacing w:val="-2"/>
          <w:w w:val="120"/>
        </w:rPr>
        <w:t>unanime</w:t>
      </w:r>
      <w:r>
        <w:rPr>
          <w:color w:val="231F20"/>
          <w:spacing w:val="-3"/>
          <w:w w:val="120"/>
        </w:rPr>
        <w:t> </w:t>
      </w:r>
      <w:r>
        <w:rPr>
          <w:color w:val="231F20"/>
          <w:spacing w:val="-2"/>
          <w:w w:val="120"/>
        </w:rPr>
        <w:t>pour</w:t>
      </w:r>
      <w:r>
        <w:rPr>
          <w:color w:val="231F20"/>
          <w:spacing w:val="-3"/>
          <w:w w:val="120"/>
        </w:rPr>
        <w:t> </w:t>
      </w:r>
      <w:r>
        <w:rPr>
          <w:color w:val="231F20"/>
          <w:spacing w:val="-2"/>
          <w:w w:val="120"/>
        </w:rPr>
        <w:t>considérer</w:t>
      </w:r>
      <w:r>
        <w:rPr>
          <w:color w:val="231F20"/>
          <w:spacing w:val="-3"/>
          <w:w w:val="120"/>
        </w:rPr>
        <w:t> </w:t>
      </w:r>
      <w:r>
        <w:rPr>
          <w:color w:val="231F20"/>
          <w:spacing w:val="-2"/>
          <w:w w:val="120"/>
        </w:rPr>
        <w:t>que</w:t>
      </w:r>
      <w:r>
        <w:rPr>
          <w:color w:val="231F20"/>
          <w:spacing w:val="-3"/>
          <w:w w:val="120"/>
        </w:rPr>
        <w:t> </w:t>
      </w:r>
      <w:r>
        <w:rPr>
          <w:color w:val="231F20"/>
          <w:spacing w:val="-2"/>
          <w:w w:val="120"/>
        </w:rPr>
        <w:t>les</w:t>
      </w:r>
      <w:r>
        <w:rPr>
          <w:color w:val="231F20"/>
          <w:spacing w:val="-3"/>
          <w:w w:val="120"/>
        </w:rPr>
        <w:t> </w:t>
      </w:r>
      <w:r>
        <w:rPr>
          <w:color w:val="231F20"/>
          <w:spacing w:val="-2"/>
          <w:w w:val="120"/>
        </w:rPr>
        <w:t>personnes</w:t>
      </w:r>
      <w:r>
        <w:rPr>
          <w:color w:val="231F20"/>
          <w:spacing w:val="-3"/>
          <w:w w:val="120"/>
        </w:rPr>
        <w:t> </w:t>
      </w:r>
      <w:r>
        <w:rPr>
          <w:color w:val="231F20"/>
          <w:spacing w:val="-2"/>
          <w:w w:val="120"/>
        </w:rPr>
        <w:t>détenant </w:t>
      </w:r>
      <w:r>
        <w:rPr>
          <w:color w:val="231F20"/>
          <w:w w:val="120"/>
        </w:rPr>
        <w:t>une</w:t>
      </w:r>
      <w:r>
        <w:rPr>
          <w:color w:val="231F20"/>
          <w:spacing w:val="-6"/>
          <w:w w:val="120"/>
        </w:rPr>
        <w:t> </w:t>
      </w:r>
      <w:r>
        <w:rPr>
          <w:color w:val="231F20"/>
          <w:w w:val="120"/>
        </w:rPr>
        <w:t>bonne</w:t>
      </w:r>
      <w:r>
        <w:rPr>
          <w:color w:val="231F20"/>
          <w:spacing w:val="-6"/>
          <w:w w:val="120"/>
        </w:rPr>
        <w:t> </w:t>
      </w:r>
      <w:r>
        <w:rPr>
          <w:color w:val="231F20"/>
          <w:w w:val="120"/>
        </w:rPr>
        <w:t>estime</w:t>
      </w:r>
      <w:r>
        <w:rPr>
          <w:color w:val="231F20"/>
          <w:spacing w:val="-6"/>
          <w:w w:val="120"/>
        </w:rPr>
        <w:t> </w:t>
      </w:r>
      <w:r>
        <w:rPr>
          <w:color w:val="231F20"/>
          <w:w w:val="120"/>
        </w:rPr>
        <w:t>de</w:t>
      </w:r>
      <w:r>
        <w:rPr>
          <w:color w:val="231F20"/>
          <w:spacing w:val="-6"/>
          <w:w w:val="120"/>
        </w:rPr>
        <w:t> </w:t>
      </w:r>
      <w:r>
        <w:rPr>
          <w:color w:val="231F20"/>
          <w:w w:val="120"/>
        </w:rPr>
        <w:t>soi</w:t>
      </w:r>
      <w:r>
        <w:rPr>
          <w:color w:val="231F20"/>
          <w:spacing w:val="-6"/>
          <w:w w:val="120"/>
        </w:rPr>
        <w:t> </w:t>
      </w:r>
      <w:r>
        <w:rPr>
          <w:color w:val="231F20"/>
          <w:w w:val="120"/>
        </w:rPr>
        <w:t>ressentent</w:t>
      </w:r>
      <w:r>
        <w:rPr>
          <w:color w:val="231F20"/>
          <w:spacing w:val="-6"/>
          <w:w w:val="120"/>
        </w:rPr>
        <w:t> </w:t>
      </w:r>
      <w:r>
        <w:rPr>
          <w:color w:val="231F20"/>
          <w:w w:val="120"/>
        </w:rPr>
        <w:t>moins</w:t>
      </w:r>
      <w:r>
        <w:rPr>
          <w:color w:val="231F20"/>
          <w:spacing w:val="-6"/>
          <w:w w:val="120"/>
        </w:rPr>
        <w:t> </w:t>
      </w:r>
      <w:r>
        <w:rPr>
          <w:color w:val="231F20"/>
          <w:w w:val="120"/>
        </w:rPr>
        <w:t>de</w:t>
      </w:r>
      <w:r>
        <w:rPr>
          <w:color w:val="231F20"/>
          <w:spacing w:val="-6"/>
          <w:w w:val="120"/>
        </w:rPr>
        <w:t> </w:t>
      </w:r>
      <w:r>
        <w:rPr>
          <w:color w:val="231F20"/>
          <w:w w:val="120"/>
        </w:rPr>
        <w:t>stress</w:t>
      </w:r>
      <w:r>
        <w:rPr>
          <w:color w:val="231F20"/>
          <w:spacing w:val="-6"/>
          <w:w w:val="120"/>
        </w:rPr>
        <w:t> </w:t>
      </w:r>
      <w:r>
        <w:rPr>
          <w:color w:val="231F20"/>
          <w:w w:val="120"/>
        </w:rPr>
        <w:t>que</w:t>
      </w:r>
      <w:r>
        <w:rPr>
          <w:color w:val="231F20"/>
          <w:spacing w:val="-6"/>
          <w:w w:val="120"/>
        </w:rPr>
        <w:t> </w:t>
      </w:r>
      <w:r>
        <w:rPr>
          <w:color w:val="231F20"/>
          <w:w w:val="120"/>
        </w:rPr>
        <w:t>celles,</w:t>
      </w:r>
      <w:r>
        <w:rPr>
          <w:color w:val="231F20"/>
          <w:spacing w:val="-6"/>
          <w:w w:val="120"/>
        </w:rPr>
        <w:t> </w:t>
      </w:r>
      <w:r>
        <w:rPr>
          <w:color w:val="231F20"/>
          <w:w w:val="120"/>
        </w:rPr>
        <w:t>dans</w:t>
      </w:r>
      <w:r>
        <w:rPr>
          <w:color w:val="231F20"/>
          <w:spacing w:val="-6"/>
          <w:w w:val="120"/>
        </w:rPr>
        <w:t> </w:t>
      </w:r>
      <w:r>
        <w:rPr>
          <w:color w:val="231F20"/>
          <w:w w:val="120"/>
        </w:rPr>
        <w:t>des contextes</w:t>
      </w:r>
      <w:r>
        <w:rPr>
          <w:color w:val="231F20"/>
          <w:spacing w:val="-5"/>
          <w:w w:val="120"/>
        </w:rPr>
        <w:t> </w:t>
      </w:r>
      <w:r>
        <w:rPr>
          <w:color w:val="231F20"/>
          <w:w w:val="120"/>
        </w:rPr>
        <w:t>similaires,</w:t>
      </w:r>
      <w:r>
        <w:rPr>
          <w:color w:val="231F20"/>
          <w:spacing w:val="-5"/>
          <w:w w:val="120"/>
        </w:rPr>
        <w:t> </w:t>
      </w:r>
      <w:r>
        <w:rPr>
          <w:color w:val="231F20"/>
          <w:w w:val="120"/>
        </w:rPr>
        <w:t>dont</w:t>
      </w:r>
      <w:r>
        <w:rPr>
          <w:color w:val="231F20"/>
          <w:spacing w:val="-5"/>
          <w:w w:val="120"/>
        </w:rPr>
        <w:t> </w:t>
      </w:r>
      <w:r>
        <w:rPr>
          <w:color w:val="231F20"/>
          <w:w w:val="120"/>
        </w:rPr>
        <w:t>l’estime</w:t>
      </w:r>
      <w:r>
        <w:rPr>
          <w:color w:val="231F20"/>
          <w:spacing w:val="-5"/>
          <w:w w:val="120"/>
        </w:rPr>
        <w:t> </w:t>
      </w:r>
      <w:r>
        <w:rPr>
          <w:color w:val="231F20"/>
          <w:w w:val="120"/>
        </w:rPr>
        <w:t>de</w:t>
      </w:r>
      <w:r>
        <w:rPr>
          <w:color w:val="231F20"/>
          <w:spacing w:val="-5"/>
          <w:w w:val="120"/>
        </w:rPr>
        <w:t> </w:t>
      </w:r>
      <w:r>
        <w:rPr>
          <w:color w:val="231F20"/>
          <w:w w:val="120"/>
        </w:rPr>
        <w:t>soi</w:t>
      </w:r>
      <w:r>
        <w:rPr>
          <w:color w:val="231F20"/>
          <w:spacing w:val="-5"/>
          <w:w w:val="120"/>
        </w:rPr>
        <w:t> </w:t>
      </w:r>
      <w:r>
        <w:rPr>
          <w:color w:val="231F20"/>
          <w:w w:val="120"/>
        </w:rPr>
        <w:t>est</w:t>
      </w:r>
      <w:r>
        <w:rPr>
          <w:color w:val="231F20"/>
          <w:spacing w:val="-5"/>
          <w:w w:val="120"/>
        </w:rPr>
        <w:t> </w:t>
      </w:r>
      <w:r>
        <w:rPr>
          <w:color w:val="231F20"/>
          <w:w w:val="120"/>
        </w:rPr>
        <w:t>plus</w:t>
      </w:r>
      <w:r>
        <w:rPr>
          <w:color w:val="231F20"/>
          <w:spacing w:val="-5"/>
          <w:w w:val="120"/>
        </w:rPr>
        <w:t> </w:t>
      </w:r>
      <w:r>
        <w:rPr>
          <w:color w:val="231F20"/>
          <w:w w:val="120"/>
        </w:rPr>
        <w:t>fragile.</w:t>
      </w:r>
      <w:r>
        <w:rPr>
          <w:color w:val="231F20"/>
          <w:spacing w:val="-5"/>
          <w:w w:val="120"/>
        </w:rPr>
        <w:t> </w:t>
      </w:r>
      <w:r>
        <w:rPr>
          <w:color w:val="231F20"/>
          <w:w w:val="120"/>
        </w:rPr>
        <w:t>Cela</w:t>
      </w:r>
      <w:r>
        <w:rPr>
          <w:color w:val="231F20"/>
          <w:spacing w:val="-5"/>
          <w:w w:val="120"/>
        </w:rPr>
        <w:t> </w:t>
      </w:r>
      <w:r>
        <w:rPr>
          <w:color w:val="231F20"/>
          <w:w w:val="120"/>
        </w:rPr>
        <w:t>a</w:t>
      </w:r>
      <w:r>
        <w:rPr>
          <w:color w:val="231F20"/>
          <w:spacing w:val="-5"/>
          <w:w w:val="120"/>
        </w:rPr>
        <w:t> </w:t>
      </w:r>
      <w:r>
        <w:rPr>
          <w:color w:val="231F20"/>
          <w:w w:val="120"/>
        </w:rPr>
        <w:t>amené </w:t>
      </w:r>
      <w:r>
        <w:rPr>
          <w:color w:val="231F20"/>
          <w:spacing w:val="-2"/>
          <w:w w:val="120"/>
        </w:rPr>
        <w:t>Branden4,</w:t>
      </w:r>
      <w:r>
        <w:rPr>
          <w:color w:val="231F20"/>
          <w:spacing w:val="-6"/>
          <w:w w:val="120"/>
        </w:rPr>
        <w:t> </w:t>
      </w:r>
      <w:r>
        <w:rPr>
          <w:color w:val="231F20"/>
          <w:spacing w:val="-2"/>
          <w:w w:val="120"/>
        </w:rPr>
        <w:t>par</w:t>
      </w:r>
      <w:r>
        <w:rPr>
          <w:color w:val="231F20"/>
          <w:spacing w:val="-6"/>
          <w:w w:val="120"/>
        </w:rPr>
        <w:t> </w:t>
      </w:r>
      <w:r>
        <w:rPr>
          <w:color w:val="231F20"/>
          <w:spacing w:val="-2"/>
          <w:w w:val="120"/>
        </w:rPr>
        <w:t>analogie</w:t>
      </w:r>
      <w:r>
        <w:rPr>
          <w:color w:val="231F20"/>
          <w:spacing w:val="-6"/>
          <w:w w:val="120"/>
        </w:rPr>
        <w:t> </w:t>
      </w:r>
      <w:r>
        <w:rPr>
          <w:color w:val="231F20"/>
          <w:spacing w:val="-2"/>
          <w:w w:val="120"/>
        </w:rPr>
        <w:t>à</w:t>
      </w:r>
      <w:r>
        <w:rPr>
          <w:color w:val="231F20"/>
          <w:spacing w:val="-6"/>
          <w:w w:val="120"/>
        </w:rPr>
        <w:t> </w:t>
      </w:r>
      <w:r>
        <w:rPr>
          <w:color w:val="231F20"/>
          <w:spacing w:val="-2"/>
          <w:w w:val="120"/>
        </w:rPr>
        <w:t>la</w:t>
      </w:r>
      <w:r>
        <w:rPr>
          <w:color w:val="231F20"/>
          <w:spacing w:val="-6"/>
          <w:w w:val="120"/>
        </w:rPr>
        <w:t> </w:t>
      </w:r>
      <w:r>
        <w:rPr>
          <w:color w:val="231F20"/>
          <w:spacing w:val="-2"/>
          <w:w w:val="120"/>
        </w:rPr>
        <w:t>santé</w:t>
      </w:r>
      <w:r>
        <w:rPr>
          <w:color w:val="231F20"/>
          <w:spacing w:val="-6"/>
          <w:w w:val="120"/>
        </w:rPr>
        <w:t> </w:t>
      </w:r>
      <w:r>
        <w:rPr>
          <w:color w:val="231F20"/>
          <w:spacing w:val="-2"/>
          <w:w w:val="120"/>
        </w:rPr>
        <w:t>physique,</w:t>
      </w:r>
      <w:r>
        <w:rPr>
          <w:color w:val="231F20"/>
          <w:spacing w:val="-6"/>
          <w:w w:val="120"/>
        </w:rPr>
        <w:t> </w:t>
      </w:r>
      <w:r>
        <w:rPr>
          <w:color w:val="231F20"/>
          <w:spacing w:val="-2"/>
          <w:w w:val="120"/>
        </w:rPr>
        <w:t>à</w:t>
      </w:r>
      <w:r>
        <w:rPr>
          <w:color w:val="231F20"/>
          <w:spacing w:val="-6"/>
          <w:w w:val="120"/>
        </w:rPr>
        <w:t> </w:t>
      </w:r>
      <w:r>
        <w:rPr>
          <w:color w:val="231F20"/>
          <w:spacing w:val="-2"/>
          <w:w w:val="120"/>
        </w:rPr>
        <w:t>positionner</w:t>
      </w:r>
      <w:r>
        <w:rPr>
          <w:color w:val="231F20"/>
          <w:spacing w:val="-6"/>
          <w:w w:val="120"/>
        </w:rPr>
        <w:t> </w:t>
      </w:r>
      <w:r>
        <w:rPr>
          <w:color w:val="231F20"/>
          <w:spacing w:val="-2"/>
          <w:w w:val="120"/>
        </w:rPr>
        <w:t>l’estime</w:t>
      </w:r>
      <w:r>
        <w:rPr>
          <w:color w:val="231F20"/>
          <w:spacing w:val="-6"/>
          <w:w w:val="120"/>
        </w:rPr>
        <w:t> </w:t>
      </w:r>
      <w:r>
        <w:rPr>
          <w:color w:val="231F20"/>
          <w:spacing w:val="-2"/>
          <w:w w:val="120"/>
        </w:rPr>
        <w:t>de</w:t>
      </w:r>
      <w:r>
        <w:rPr>
          <w:color w:val="231F20"/>
          <w:spacing w:val="-6"/>
          <w:w w:val="120"/>
        </w:rPr>
        <w:t> </w:t>
      </w:r>
      <w:r>
        <w:rPr>
          <w:color w:val="231F20"/>
          <w:spacing w:val="-2"/>
          <w:w w:val="120"/>
        </w:rPr>
        <w:t>soi </w:t>
      </w:r>
      <w:r>
        <w:rPr>
          <w:color w:val="231F20"/>
          <w:w w:val="120"/>
        </w:rPr>
        <w:t>comme</w:t>
      </w:r>
      <w:r>
        <w:rPr>
          <w:color w:val="231F20"/>
          <w:spacing w:val="-9"/>
          <w:w w:val="120"/>
        </w:rPr>
        <w:t> </w:t>
      </w:r>
      <w:r>
        <w:rPr>
          <w:color w:val="231F20"/>
          <w:w w:val="120"/>
        </w:rPr>
        <w:t>«</w:t>
      </w:r>
      <w:r>
        <w:rPr>
          <w:color w:val="231F20"/>
          <w:spacing w:val="-34"/>
          <w:w w:val="120"/>
        </w:rPr>
        <w:t> </w:t>
      </w:r>
      <w:r>
        <w:rPr>
          <w:i/>
          <w:color w:val="231F20"/>
          <w:w w:val="120"/>
        </w:rPr>
        <w:t>le</w:t>
      </w:r>
      <w:r>
        <w:rPr>
          <w:i/>
          <w:color w:val="231F20"/>
          <w:spacing w:val="-9"/>
          <w:w w:val="120"/>
        </w:rPr>
        <w:t> </w:t>
      </w:r>
      <w:r>
        <w:rPr>
          <w:i/>
          <w:color w:val="231F20"/>
          <w:w w:val="120"/>
        </w:rPr>
        <w:t>système</w:t>
      </w:r>
      <w:r>
        <w:rPr>
          <w:i/>
          <w:color w:val="231F20"/>
          <w:spacing w:val="-9"/>
          <w:w w:val="120"/>
        </w:rPr>
        <w:t> </w:t>
      </w:r>
      <w:r>
        <w:rPr>
          <w:i/>
          <w:color w:val="231F20"/>
          <w:w w:val="120"/>
        </w:rPr>
        <w:t>immunitaire</w:t>
      </w:r>
      <w:r>
        <w:rPr>
          <w:i/>
          <w:color w:val="231F20"/>
          <w:spacing w:val="-9"/>
          <w:w w:val="120"/>
        </w:rPr>
        <w:t> </w:t>
      </w:r>
      <w:r>
        <w:rPr>
          <w:i/>
          <w:color w:val="231F20"/>
          <w:w w:val="120"/>
        </w:rPr>
        <w:t>de</w:t>
      </w:r>
      <w:r>
        <w:rPr>
          <w:i/>
          <w:color w:val="231F20"/>
          <w:spacing w:val="-9"/>
          <w:w w:val="120"/>
        </w:rPr>
        <w:t> </w:t>
      </w:r>
      <w:r>
        <w:rPr>
          <w:i/>
          <w:color w:val="231F20"/>
          <w:w w:val="120"/>
        </w:rPr>
        <w:t>la</w:t>
      </w:r>
      <w:r>
        <w:rPr>
          <w:i/>
          <w:color w:val="231F20"/>
          <w:spacing w:val="-9"/>
          <w:w w:val="120"/>
        </w:rPr>
        <w:t> </w:t>
      </w:r>
      <w:r>
        <w:rPr>
          <w:i/>
          <w:color w:val="231F20"/>
          <w:w w:val="120"/>
        </w:rPr>
        <w:t>psyché</w:t>
      </w:r>
      <w:r>
        <w:rPr>
          <w:i/>
          <w:color w:val="231F20"/>
          <w:spacing w:val="-34"/>
          <w:w w:val="120"/>
        </w:rPr>
        <w:t> </w:t>
      </w:r>
      <w:r>
        <w:rPr>
          <w:color w:val="231F20"/>
          <w:w w:val="120"/>
        </w:rPr>
        <w:t>».</w:t>
      </w:r>
    </w:p>
    <w:p>
      <w:pPr>
        <w:pStyle w:val="BodyText"/>
        <w:spacing w:line="307" w:lineRule="auto" w:before="76"/>
        <w:ind w:left="830" w:right="497" w:firstLine="250"/>
        <w:jc w:val="both"/>
      </w:pPr>
      <w:r>
        <w:rPr>
          <w:color w:val="231F20"/>
          <w:w w:val="120"/>
        </w:rPr>
        <w:t>Par</w:t>
      </w:r>
      <w:r>
        <w:rPr>
          <w:color w:val="231F20"/>
          <w:spacing w:val="-3"/>
          <w:w w:val="120"/>
        </w:rPr>
        <w:t> </w:t>
      </w:r>
      <w:r>
        <w:rPr>
          <w:color w:val="231F20"/>
          <w:w w:val="120"/>
        </w:rPr>
        <w:t>extension,</w:t>
      </w:r>
      <w:r>
        <w:rPr>
          <w:color w:val="231F20"/>
          <w:spacing w:val="-3"/>
          <w:w w:val="120"/>
        </w:rPr>
        <w:t> </w:t>
      </w:r>
      <w:r>
        <w:rPr>
          <w:color w:val="231F20"/>
          <w:w w:val="120"/>
        </w:rPr>
        <w:t>il</w:t>
      </w:r>
      <w:r>
        <w:rPr>
          <w:color w:val="231F20"/>
          <w:spacing w:val="-3"/>
          <w:w w:val="120"/>
        </w:rPr>
        <w:t> </w:t>
      </w:r>
      <w:r>
        <w:rPr>
          <w:color w:val="231F20"/>
          <w:w w:val="120"/>
        </w:rPr>
        <w:t>faut</w:t>
      </w:r>
      <w:r>
        <w:rPr>
          <w:color w:val="231F20"/>
          <w:spacing w:val="-3"/>
          <w:w w:val="120"/>
        </w:rPr>
        <w:t> </w:t>
      </w:r>
      <w:r>
        <w:rPr>
          <w:color w:val="231F20"/>
          <w:w w:val="120"/>
        </w:rPr>
        <w:t>aussi</w:t>
      </w:r>
      <w:r>
        <w:rPr>
          <w:color w:val="231F20"/>
          <w:spacing w:val="-3"/>
          <w:w w:val="120"/>
        </w:rPr>
        <w:t> </w:t>
      </w:r>
      <w:r>
        <w:rPr>
          <w:color w:val="231F20"/>
          <w:w w:val="120"/>
        </w:rPr>
        <w:t>considérer</w:t>
      </w:r>
      <w:r>
        <w:rPr>
          <w:color w:val="231F20"/>
          <w:spacing w:val="-3"/>
          <w:w w:val="120"/>
        </w:rPr>
        <w:t> </w:t>
      </w:r>
      <w:r>
        <w:rPr>
          <w:color w:val="231F20"/>
          <w:w w:val="120"/>
        </w:rPr>
        <w:t>l’incidence</w:t>
      </w:r>
      <w:r>
        <w:rPr>
          <w:color w:val="231F20"/>
          <w:spacing w:val="-3"/>
          <w:w w:val="120"/>
        </w:rPr>
        <w:t> </w:t>
      </w:r>
      <w:r>
        <w:rPr>
          <w:color w:val="231F20"/>
          <w:w w:val="120"/>
        </w:rPr>
        <w:t>de</w:t>
      </w:r>
      <w:r>
        <w:rPr>
          <w:color w:val="231F20"/>
          <w:spacing w:val="-3"/>
          <w:w w:val="120"/>
        </w:rPr>
        <w:t> </w:t>
      </w:r>
      <w:r>
        <w:rPr>
          <w:color w:val="231F20"/>
          <w:w w:val="120"/>
        </w:rPr>
        <w:t>l’estime</w:t>
      </w:r>
      <w:r>
        <w:rPr>
          <w:color w:val="231F20"/>
          <w:spacing w:val="-3"/>
          <w:w w:val="120"/>
        </w:rPr>
        <w:t> </w:t>
      </w:r>
      <w:r>
        <w:rPr>
          <w:color w:val="231F20"/>
          <w:w w:val="120"/>
        </w:rPr>
        <w:t>de</w:t>
      </w:r>
      <w:r>
        <w:rPr>
          <w:color w:val="231F20"/>
          <w:spacing w:val="-3"/>
          <w:w w:val="120"/>
        </w:rPr>
        <w:t> </w:t>
      </w:r>
      <w:r>
        <w:rPr>
          <w:color w:val="231F20"/>
          <w:w w:val="120"/>
        </w:rPr>
        <w:t>soi </w:t>
      </w:r>
      <w:r>
        <w:rPr>
          <w:color w:val="231F20"/>
          <w:spacing w:val="-4"/>
          <w:w w:val="120"/>
        </w:rPr>
        <w:t>organisationnelle puisque l’environnement de travail est un terreau fertile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production</w:t>
      </w:r>
      <w:r>
        <w:rPr>
          <w:color w:val="231F20"/>
          <w:spacing w:val="-12"/>
          <w:w w:val="120"/>
        </w:rPr>
        <w:t> </w:t>
      </w:r>
      <w:r>
        <w:rPr>
          <w:color w:val="231F20"/>
          <w:w w:val="120"/>
        </w:rPr>
        <w:t>de</w:t>
      </w:r>
      <w:r>
        <w:rPr>
          <w:color w:val="231F20"/>
          <w:spacing w:val="-12"/>
          <w:w w:val="120"/>
        </w:rPr>
        <w:t> </w:t>
      </w:r>
      <w:r>
        <w:rPr>
          <w:color w:val="231F20"/>
          <w:w w:val="120"/>
        </w:rPr>
        <w:t>stresseurs</w:t>
      </w:r>
      <w:r>
        <w:rPr>
          <w:color w:val="231F20"/>
          <w:spacing w:val="-12"/>
          <w:w w:val="120"/>
        </w:rPr>
        <w:t> </w:t>
      </w:r>
      <w:r>
        <w:rPr>
          <w:color w:val="231F20"/>
          <w:w w:val="120"/>
        </w:rPr>
        <w:t>et</w:t>
      </w:r>
      <w:r>
        <w:rPr>
          <w:color w:val="231F20"/>
          <w:spacing w:val="-12"/>
          <w:w w:val="120"/>
        </w:rPr>
        <w:t> </w:t>
      </w:r>
      <w:r>
        <w:rPr>
          <w:color w:val="231F20"/>
          <w:w w:val="120"/>
        </w:rPr>
        <w:t>à</w:t>
      </w:r>
      <w:r>
        <w:rPr>
          <w:color w:val="231F20"/>
          <w:spacing w:val="-12"/>
          <w:w w:val="120"/>
        </w:rPr>
        <w:t> </w:t>
      </w:r>
      <w:r>
        <w:rPr>
          <w:color w:val="231F20"/>
          <w:w w:val="120"/>
        </w:rPr>
        <w:t>l’accroissement</w:t>
      </w:r>
      <w:r>
        <w:rPr>
          <w:color w:val="231F20"/>
          <w:spacing w:val="-12"/>
          <w:w w:val="120"/>
        </w:rPr>
        <w:t> </w:t>
      </w:r>
      <w:r>
        <w:rPr>
          <w:color w:val="231F20"/>
          <w:w w:val="120"/>
        </w:rPr>
        <w:t>de</w:t>
      </w:r>
      <w:r>
        <w:rPr>
          <w:color w:val="231F20"/>
          <w:spacing w:val="-12"/>
          <w:w w:val="120"/>
        </w:rPr>
        <w:t> </w:t>
      </w:r>
      <w:r>
        <w:rPr>
          <w:color w:val="231F20"/>
          <w:w w:val="120"/>
        </w:rPr>
        <w:t>ces</w:t>
      </w:r>
      <w:r>
        <w:rPr>
          <w:color w:val="231F20"/>
          <w:spacing w:val="-12"/>
          <w:w w:val="120"/>
        </w:rPr>
        <w:t> </w:t>
      </w:r>
      <w:r>
        <w:rPr>
          <w:color w:val="231F20"/>
          <w:w w:val="120"/>
        </w:rPr>
        <w:t>derniers.</w:t>
      </w:r>
      <w:r>
        <w:rPr>
          <w:color w:val="231F20"/>
          <w:spacing w:val="-12"/>
          <w:w w:val="120"/>
        </w:rPr>
        <w:t> </w:t>
      </w:r>
      <w:r>
        <w:rPr>
          <w:color w:val="231F20"/>
          <w:w w:val="120"/>
        </w:rPr>
        <w:t>Ainsi, </w:t>
      </w:r>
      <w:r>
        <w:rPr>
          <w:color w:val="231F20"/>
          <w:w w:val="115"/>
        </w:rPr>
        <w:t>l’estime</w:t>
      </w:r>
      <w:r>
        <w:rPr>
          <w:color w:val="231F20"/>
          <w:spacing w:val="3"/>
          <w:w w:val="115"/>
        </w:rPr>
        <w:t> </w:t>
      </w:r>
      <w:r>
        <w:rPr>
          <w:color w:val="231F20"/>
          <w:w w:val="115"/>
        </w:rPr>
        <w:t>de</w:t>
      </w:r>
      <w:r>
        <w:rPr>
          <w:color w:val="231F20"/>
          <w:spacing w:val="4"/>
          <w:w w:val="115"/>
        </w:rPr>
        <w:t> </w:t>
      </w:r>
      <w:r>
        <w:rPr>
          <w:color w:val="231F20"/>
          <w:w w:val="115"/>
        </w:rPr>
        <w:t>soi</w:t>
      </w:r>
      <w:r>
        <w:rPr>
          <w:color w:val="231F20"/>
          <w:spacing w:val="3"/>
          <w:w w:val="115"/>
        </w:rPr>
        <w:t> </w:t>
      </w:r>
      <w:r>
        <w:rPr>
          <w:color w:val="231F20"/>
          <w:w w:val="115"/>
        </w:rPr>
        <w:t>cumulée</w:t>
      </w:r>
      <w:r>
        <w:rPr>
          <w:color w:val="231F20"/>
          <w:spacing w:val="4"/>
          <w:w w:val="115"/>
        </w:rPr>
        <w:t> </w:t>
      </w:r>
      <w:r>
        <w:rPr>
          <w:color w:val="231F20"/>
          <w:w w:val="115"/>
        </w:rPr>
        <w:t>par</w:t>
      </w:r>
      <w:r>
        <w:rPr>
          <w:color w:val="231F20"/>
          <w:spacing w:val="4"/>
          <w:w w:val="115"/>
        </w:rPr>
        <w:t> </w:t>
      </w:r>
      <w:r>
        <w:rPr>
          <w:color w:val="231F20"/>
          <w:w w:val="115"/>
        </w:rPr>
        <w:t>l’ensemble</w:t>
      </w:r>
      <w:r>
        <w:rPr>
          <w:color w:val="231F20"/>
          <w:spacing w:val="3"/>
          <w:w w:val="115"/>
        </w:rPr>
        <w:t> </w:t>
      </w:r>
      <w:r>
        <w:rPr>
          <w:color w:val="231F20"/>
          <w:w w:val="115"/>
        </w:rPr>
        <w:t>d’un</w:t>
      </w:r>
      <w:r>
        <w:rPr>
          <w:color w:val="231F20"/>
          <w:spacing w:val="4"/>
          <w:w w:val="115"/>
        </w:rPr>
        <w:t> </w:t>
      </w:r>
      <w:r>
        <w:rPr>
          <w:color w:val="231F20"/>
          <w:w w:val="115"/>
        </w:rPr>
        <w:t>groupe</w:t>
      </w:r>
      <w:r>
        <w:rPr>
          <w:color w:val="231F20"/>
          <w:spacing w:val="3"/>
          <w:w w:val="115"/>
        </w:rPr>
        <w:t> </w:t>
      </w:r>
      <w:r>
        <w:rPr>
          <w:color w:val="231F20"/>
          <w:w w:val="115"/>
        </w:rPr>
        <w:t>de</w:t>
      </w:r>
      <w:r>
        <w:rPr>
          <w:color w:val="231F20"/>
          <w:spacing w:val="4"/>
          <w:w w:val="115"/>
        </w:rPr>
        <w:t> </w:t>
      </w:r>
      <w:r>
        <w:rPr>
          <w:color w:val="231F20"/>
          <w:w w:val="115"/>
        </w:rPr>
        <w:t>travailleurs</w:t>
      </w:r>
      <w:r>
        <w:rPr>
          <w:color w:val="231F20"/>
          <w:spacing w:val="4"/>
          <w:w w:val="115"/>
        </w:rPr>
        <w:t> </w:t>
      </w:r>
      <w:r>
        <w:rPr>
          <w:color w:val="231F20"/>
          <w:w w:val="115"/>
        </w:rPr>
        <w:t>et</w:t>
      </w:r>
      <w:r>
        <w:rPr>
          <w:color w:val="231F20"/>
          <w:spacing w:val="3"/>
          <w:w w:val="115"/>
        </w:rPr>
        <w:t> </w:t>
      </w:r>
      <w:r>
        <w:rPr>
          <w:color w:val="231F20"/>
          <w:spacing w:val="-5"/>
          <w:w w:val="115"/>
        </w:rPr>
        <w:t>les</w:t>
      </w:r>
    </w:p>
    <w:p>
      <w:pPr>
        <w:pStyle w:val="BodyText"/>
        <w:spacing w:before="6"/>
        <w:rPr>
          <w:sz w:val="18"/>
        </w:rPr>
      </w:pPr>
      <w:r>
        <w:rPr/>
        <w:pict>
          <v:shape style="position:absolute;margin-left:62.5pt;margin-top:11.859863pt;width:287.5pt;height:.1pt;mso-position-horizontal-relative:page;mso-position-vertical-relative:paragraph;z-index:-15659520;mso-wrap-distance-left:0;mso-wrap-distance-right:0" id="docshape812" coordorigin="1250,237" coordsize="5750,0" path="m1250,237l7000,237e" filled="false" stroked="true" strokeweight=".25pt" strokecolor="#231f20">
            <v:path arrowok="t"/>
            <v:stroke dashstyle="shortdot"/>
            <w10:wrap type="topAndBottom"/>
          </v:shape>
        </w:pict>
      </w:r>
    </w:p>
    <w:p>
      <w:pPr>
        <w:pStyle w:val="ListParagraph"/>
        <w:numPr>
          <w:ilvl w:val="0"/>
          <w:numId w:val="63"/>
        </w:numPr>
        <w:tabs>
          <w:tab w:pos="829" w:val="left" w:leader="none"/>
          <w:tab w:pos="830" w:val="left" w:leader="none"/>
        </w:tabs>
        <w:spacing w:line="295" w:lineRule="auto" w:before="135" w:after="0"/>
        <w:ind w:left="829" w:right="497" w:hanging="328"/>
        <w:jc w:val="left"/>
        <w:rPr>
          <w:rFonts w:ascii="Arial" w:hAnsi="Arial"/>
          <w:sz w:val="12"/>
        </w:rPr>
      </w:pPr>
      <w:r>
        <w:rPr>
          <w:rFonts w:ascii="Arial" w:hAnsi="Arial"/>
          <w:color w:val="231F20"/>
          <w:sz w:val="12"/>
        </w:rPr>
        <w:t>Bruchon-Schweitzer,</w:t>
      </w:r>
      <w:r>
        <w:rPr>
          <w:rFonts w:ascii="Arial" w:hAnsi="Arial"/>
          <w:color w:val="231F20"/>
          <w:spacing w:val="17"/>
          <w:sz w:val="12"/>
        </w:rPr>
        <w:t> </w:t>
      </w:r>
      <w:r>
        <w:rPr>
          <w:rFonts w:ascii="Arial" w:hAnsi="Arial"/>
          <w:color w:val="231F20"/>
          <w:sz w:val="12"/>
        </w:rPr>
        <w:t>M.</w:t>
      </w:r>
      <w:r>
        <w:rPr>
          <w:rFonts w:ascii="Arial" w:hAnsi="Arial"/>
          <w:color w:val="231F20"/>
          <w:spacing w:val="17"/>
          <w:sz w:val="12"/>
        </w:rPr>
        <w:t> </w:t>
      </w:r>
      <w:r>
        <w:rPr>
          <w:rFonts w:ascii="Arial" w:hAnsi="Arial"/>
          <w:color w:val="231F20"/>
          <w:sz w:val="12"/>
        </w:rPr>
        <w:t>et</w:t>
      </w:r>
      <w:r>
        <w:rPr>
          <w:rFonts w:ascii="Arial" w:hAnsi="Arial"/>
          <w:color w:val="231F20"/>
          <w:spacing w:val="17"/>
          <w:sz w:val="12"/>
        </w:rPr>
        <w:t> </w:t>
      </w:r>
      <w:r>
        <w:rPr>
          <w:rFonts w:ascii="Arial" w:hAnsi="Arial"/>
          <w:color w:val="231F20"/>
          <w:sz w:val="12"/>
        </w:rPr>
        <w:t>Boujut,</w:t>
      </w:r>
      <w:r>
        <w:rPr>
          <w:rFonts w:ascii="Arial" w:hAnsi="Arial"/>
          <w:color w:val="231F20"/>
          <w:spacing w:val="17"/>
          <w:sz w:val="12"/>
        </w:rPr>
        <w:t> </w:t>
      </w:r>
      <w:r>
        <w:rPr>
          <w:rFonts w:ascii="Arial" w:hAnsi="Arial"/>
          <w:color w:val="231F20"/>
          <w:sz w:val="12"/>
        </w:rPr>
        <w:t>É.</w:t>
      </w:r>
      <w:r>
        <w:rPr>
          <w:rFonts w:ascii="Arial" w:hAnsi="Arial"/>
          <w:color w:val="231F20"/>
          <w:spacing w:val="17"/>
          <w:sz w:val="12"/>
        </w:rPr>
        <w:t> </w:t>
      </w:r>
      <w:r>
        <w:rPr>
          <w:rFonts w:ascii="Arial" w:hAnsi="Arial"/>
          <w:color w:val="231F20"/>
          <w:sz w:val="12"/>
        </w:rPr>
        <w:t>(2014).</w:t>
      </w:r>
      <w:r>
        <w:rPr>
          <w:rFonts w:ascii="Arial" w:hAnsi="Arial"/>
          <w:color w:val="231F20"/>
          <w:spacing w:val="17"/>
          <w:sz w:val="12"/>
        </w:rPr>
        <w:t> </w:t>
      </w:r>
      <w:r>
        <w:rPr>
          <w:rFonts w:ascii="Arial" w:hAnsi="Arial"/>
          <w:i/>
          <w:color w:val="231F20"/>
          <w:sz w:val="12"/>
        </w:rPr>
        <w:t>Psychologie</w:t>
      </w:r>
      <w:r>
        <w:rPr>
          <w:rFonts w:ascii="Arial" w:hAnsi="Arial"/>
          <w:i/>
          <w:color w:val="231F20"/>
          <w:spacing w:val="17"/>
          <w:sz w:val="12"/>
        </w:rPr>
        <w:t> </w:t>
      </w:r>
      <w:r>
        <w:rPr>
          <w:rFonts w:ascii="Arial" w:hAnsi="Arial"/>
          <w:i/>
          <w:color w:val="231F20"/>
          <w:sz w:val="12"/>
        </w:rPr>
        <w:t>de</w:t>
      </w:r>
      <w:r>
        <w:rPr>
          <w:rFonts w:ascii="Arial" w:hAnsi="Arial"/>
          <w:i/>
          <w:color w:val="231F20"/>
          <w:spacing w:val="17"/>
          <w:sz w:val="12"/>
        </w:rPr>
        <w:t> </w:t>
      </w:r>
      <w:r>
        <w:rPr>
          <w:rFonts w:ascii="Arial" w:hAnsi="Arial"/>
          <w:i/>
          <w:color w:val="231F20"/>
          <w:sz w:val="12"/>
        </w:rPr>
        <w:t>la</w:t>
      </w:r>
      <w:r>
        <w:rPr>
          <w:rFonts w:ascii="Arial" w:hAnsi="Arial"/>
          <w:i/>
          <w:color w:val="231F20"/>
          <w:spacing w:val="17"/>
          <w:sz w:val="12"/>
        </w:rPr>
        <w:t> </w:t>
      </w:r>
      <w:r>
        <w:rPr>
          <w:rFonts w:ascii="Arial" w:hAnsi="Arial"/>
          <w:i/>
          <w:color w:val="231F20"/>
          <w:sz w:val="12"/>
        </w:rPr>
        <w:t>santé</w:t>
      </w:r>
      <w:r>
        <w:rPr>
          <w:rFonts w:ascii="Arial" w:hAnsi="Arial"/>
          <w:i/>
          <w:color w:val="231F20"/>
          <w:spacing w:val="-15"/>
          <w:sz w:val="12"/>
        </w:rPr>
        <w:t> </w:t>
      </w:r>
      <w:r>
        <w:rPr>
          <w:rFonts w:ascii="Arial" w:hAnsi="Arial"/>
          <w:i/>
          <w:color w:val="231F20"/>
          <w:sz w:val="12"/>
        </w:rPr>
        <w:t>:</w:t>
      </w:r>
      <w:r>
        <w:rPr>
          <w:rFonts w:ascii="Arial" w:hAnsi="Arial"/>
          <w:i/>
          <w:color w:val="231F20"/>
          <w:spacing w:val="17"/>
          <w:sz w:val="12"/>
        </w:rPr>
        <w:t> </w:t>
      </w:r>
      <w:r>
        <w:rPr>
          <w:rFonts w:ascii="Arial" w:hAnsi="Arial"/>
          <w:i/>
          <w:color w:val="231F20"/>
          <w:sz w:val="12"/>
        </w:rPr>
        <w:t>concepts,</w:t>
      </w:r>
      <w:r>
        <w:rPr>
          <w:rFonts w:ascii="Arial" w:hAnsi="Arial"/>
          <w:i/>
          <w:color w:val="231F20"/>
          <w:spacing w:val="17"/>
          <w:sz w:val="12"/>
        </w:rPr>
        <w:t> </w:t>
      </w:r>
      <w:r>
        <w:rPr>
          <w:rFonts w:ascii="Arial" w:hAnsi="Arial"/>
          <w:i/>
          <w:color w:val="231F20"/>
          <w:sz w:val="12"/>
        </w:rPr>
        <w:t>méthodes</w:t>
      </w:r>
      <w:r>
        <w:rPr>
          <w:rFonts w:ascii="Arial" w:hAnsi="Arial"/>
          <w:i/>
          <w:color w:val="231F20"/>
          <w:spacing w:val="17"/>
          <w:sz w:val="12"/>
        </w:rPr>
        <w:t> </w:t>
      </w:r>
      <w:r>
        <w:rPr>
          <w:rFonts w:ascii="Arial" w:hAnsi="Arial"/>
          <w:i/>
          <w:color w:val="231F20"/>
          <w:sz w:val="12"/>
        </w:rPr>
        <w:t>et</w:t>
      </w:r>
      <w:r>
        <w:rPr>
          <w:rFonts w:ascii="Arial" w:hAnsi="Arial"/>
          <w:i/>
          <w:color w:val="231F20"/>
          <w:spacing w:val="17"/>
          <w:sz w:val="12"/>
        </w:rPr>
        <w:t> </w:t>
      </w:r>
      <w:r>
        <w:rPr>
          <w:rFonts w:ascii="Arial" w:hAnsi="Arial"/>
          <w:i/>
          <w:color w:val="231F20"/>
          <w:sz w:val="12"/>
        </w:rPr>
        <w:t>modèles</w:t>
      </w:r>
      <w:r>
        <w:rPr>
          <w:rFonts w:ascii="Arial" w:hAnsi="Arial"/>
          <w:color w:val="231F20"/>
          <w:sz w:val="12"/>
        </w:rPr>
        <w:t>,</w:t>
      </w:r>
      <w:r>
        <w:rPr>
          <w:rFonts w:ascii="Arial" w:hAnsi="Arial"/>
          <w:color w:val="231F20"/>
          <w:spacing w:val="40"/>
          <w:sz w:val="12"/>
        </w:rPr>
        <w:t> </w:t>
      </w:r>
      <w:r>
        <w:rPr>
          <w:rFonts w:ascii="Arial" w:hAnsi="Arial"/>
          <w:color w:val="231F20"/>
          <w:sz w:val="12"/>
        </w:rPr>
        <w:t>Paris,</w:t>
      </w:r>
      <w:r>
        <w:rPr>
          <w:rFonts w:ascii="Arial" w:hAnsi="Arial"/>
          <w:color w:val="231F20"/>
          <w:spacing w:val="-9"/>
          <w:sz w:val="12"/>
        </w:rPr>
        <w:t> </w:t>
      </w:r>
      <w:r>
        <w:rPr>
          <w:rFonts w:ascii="Arial" w:hAnsi="Arial"/>
          <w:color w:val="231F20"/>
          <w:sz w:val="12"/>
        </w:rPr>
        <w:t>Dunod.</w:t>
      </w:r>
    </w:p>
    <w:p>
      <w:pPr>
        <w:pStyle w:val="ListParagraph"/>
        <w:numPr>
          <w:ilvl w:val="0"/>
          <w:numId w:val="63"/>
        </w:numPr>
        <w:tabs>
          <w:tab w:pos="829" w:val="left" w:leader="none"/>
          <w:tab w:pos="830" w:val="left" w:leader="none"/>
        </w:tabs>
        <w:spacing w:line="240" w:lineRule="auto" w:before="0" w:after="0"/>
        <w:ind w:left="829" w:right="0" w:hanging="328"/>
        <w:jc w:val="left"/>
        <w:rPr>
          <w:rFonts w:ascii="Arial" w:hAnsi="Arial"/>
          <w:sz w:val="12"/>
        </w:rPr>
      </w:pPr>
      <w:r>
        <w:rPr>
          <w:rFonts w:ascii="Arial" w:hAnsi="Arial"/>
          <w:color w:val="231F20"/>
          <w:sz w:val="12"/>
        </w:rPr>
        <w:t>Lupien,</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(2010).</w:t>
      </w:r>
      <w:r>
        <w:rPr>
          <w:rFonts w:ascii="Arial" w:hAnsi="Arial"/>
          <w:color w:val="231F20"/>
          <w:spacing w:val="-7"/>
          <w:sz w:val="12"/>
        </w:rPr>
        <w:t> </w:t>
      </w:r>
      <w:r>
        <w:rPr>
          <w:rFonts w:ascii="Arial" w:hAnsi="Arial"/>
          <w:i/>
          <w:color w:val="231F20"/>
          <w:sz w:val="12"/>
        </w:rPr>
        <w:t>Par</w:t>
      </w:r>
      <w:r>
        <w:rPr>
          <w:rFonts w:ascii="Arial" w:hAnsi="Arial"/>
          <w:i/>
          <w:color w:val="231F20"/>
          <w:spacing w:val="-7"/>
          <w:sz w:val="12"/>
        </w:rPr>
        <w:t> </w:t>
      </w:r>
      <w:r>
        <w:rPr>
          <w:rFonts w:ascii="Arial" w:hAnsi="Arial"/>
          <w:i/>
          <w:color w:val="231F20"/>
          <w:sz w:val="12"/>
        </w:rPr>
        <w:t>amour</w:t>
      </w:r>
      <w:r>
        <w:rPr>
          <w:rFonts w:ascii="Arial" w:hAnsi="Arial"/>
          <w:i/>
          <w:color w:val="231F20"/>
          <w:spacing w:val="-7"/>
          <w:sz w:val="12"/>
        </w:rPr>
        <w:t> </w:t>
      </w:r>
      <w:r>
        <w:rPr>
          <w:rFonts w:ascii="Arial" w:hAnsi="Arial"/>
          <w:i/>
          <w:color w:val="231F20"/>
          <w:sz w:val="12"/>
        </w:rPr>
        <w:t>du</w:t>
      </w:r>
      <w:r>
        <w:rPr>
          <w:rFonts w:ascii="Arial" w:hAnsi="Arial"/>
          <w:i/>
          <w:color w:val="231F20"/>
          <w:spacing w:val="-6"/>
          <w:sz w:val="12"/>
        </w:rPr>
        <w:t> </w:t>
      </w:r>
      <w:r>
        <w:rPr>
          <w:rFonts w:ascii="Arial" w:hAnsi="Arial"/>
          <w:i/>
          <w:color w:val="231F20"/>
          <w:sz w:val="12"/>
        </w:rPr>
        <w:t>stress</w:t>
      </w:r>
      <w:r>
        <w:rPr>
          <w:rFonts w:ascii="Arial" w:hAnsi="Arial"/>
          <w:color w:val="231F20"/>
          <w:sz w:val="12"/>
        </w:rPr>
        <w:t>,</w:t>
      </w:r>
      <w:r>
        <w:rPr>
          <w:rFonts w:ascii="Arial" w:hAnsi="Arial"/>
          <w:color w:val="231F20"/>
          <w:spacing w:val="-7"/>
          <w:sz w:val="12"/>
        </w:rPr>
        <w:t> </w:t>
      </w:r>
      <w:r>
        <w:rPr>
          <w:rFonts w:ascii="Arial" w:hAnsi="Arial"/>
          <w:color w:val="231F20"/>
          <w:sz w:val="12"/>
        </w:rPr>
        <w:t>Montréal,</w:t>
      </w:r>
      <w:r>
        <w:rPr>
          <w:rFonts w:ascii="Arial" w:hAnsi="Arial"/>
          <w:color w:val="231F20"/>
          <w:spacing w:val="-7"/>
          <w:sz w:val="12"/>
        </w:rPr>
        <w:t> </w:t>
      </w:r>
      <w:r>
        <w:rPr>
          <w:rFonts w:ascii="Arial" w:hAnsi="Arial"/>
          <w:color w:val="231F20"/>
          <w:sz w:val="12"/>
        </w:rPr>
        <w:t>Éditions</w:t>
      </w:r>
      <w:r>
        <w:rPr>
          <w:rFonts w:ascii="Arial" w:hAnsi="Arial"/>
          <w:color w:val="231F20"/>
          <w:spacing w:val="-7"/>
          <w:sz w:val="12"/>
        </w:rPr>
        <w:t> </w:t>
      </w:r>
      <w:r>
        <w:rPr>
          <w:rFonts w:ascii="Arial" w:hAnsi="Arial"/>
          <w:color w:val="231F20"/>
          <w:sz w:val="12"/>
        </w:rPr>
        <w:t>au</w:t>
      </w:r>
      <w:r>
        <w:rPr>
          <w:rFonts w:ascii="Arial" w:hAnsi="Arial"/>
          <w:color w:val="231F20"/>
          <w:spacing w:val="-7"/>
          <w:sz w:val="12"/>
        </w:rPr>
        <w:t> </w:t>
      </w:r>
      <w:r>
        <w:rPr>
          <w:rFonts w:ascii="Arial" w:hAnsi="Arial"/>
          <w:color w:val="231F20"/>
          <w:spacing w:val="-2"/>
          <w:sz w:val="12"/>
        </w:rPr>
        <w:t>Carré.</w:t>
      </w:r>
    </w:p>
    <w:p>
      <w:pPr>
        <w:pStyle w:val="ListParagraph"/>
        <w:numPr>
          <w:ilvl w:val="0"/>
          <w:numId w:val="63"/>
        </w:numPr>
        <w:tabs>
          <w:tab w:pos="829" w:val="left" w:leader="none"/>
          <w:tab w:pos="830" w:val="left" w:leader="none"/>
        </w:tabs>
        <w:spacing w:line="240" w:lineRule="auto" w:before="32" w:after="0"/>
        <w:ind w:left="829" w:right="0" w:hanging="328"/>
        <w:jc w:val="left"/>
        <w:rPr>
          <w:rFonts w:ascii="Arial"/>
          <w:sz w:val="12"/>
        </w:rPr>
      </w:pPr>
      <w:r>
        <w:rPr>
          <w:rFonts w:ascii="Arial"/>
          <w:color w:val="231F20"/>
          <w:w w:val="95"/>
          <w:sz w:val="12"/>
        </w:rPr>
        <w:t>Branden,</w:t>
      </w:r>
      <w:r>
        <w:rPr>
          <w:rFonts w:ascii="Arial"/>
          <w:color w:val="231F20"/>
          <w:spacing w:val="4"/>
          <w:sz w:val="12"/>
        </w:rPr>
        <w:t> </w:t>
      </w:r>
      <w:r>
        <w:rPr>
          <w:rFonts w:ascii="Arial"/>
          <w:color w:val="231F20"/>
          <w:w w:val="95"/>
          <w:sz w:val="12"/>
        </w:rPr>
        <w:t>N.</w:t>
      </w:r>
      <w:r>
        <w:rPr>
          <w:rFonts w:ascii="Arial"/>
          <w:color w:val="231F20"/>
          <w:spacing w:val="5"/>
          <w:sz w:val="12"/>
        </w:rPr>
        <w:t> </w:t>
      </w:r>
      <w:r>
        <w:rPr>
          <w:rFonts w:ascii="Arial"/>
          <w:color w:val="231F20"/>
          <w:w w:val="95"/>
          <w:sz w:val="12"/>
        </w:rPr>
        <w:t>(1997).</w:t>
      </w:r>
      <w:r>
        <w:rPr>
          <w:rFonts w:ascii="Arial"/>
          <w:color w:val="231F20"/>
          <w:spacing w:val="4"/>
          <w:sz w:val="12"/>
        </w:rPr>
        <w:t> </w:t>
      </w:r>
      <w:r>
        <w:rPr>
          <w:rFonts w:ascii="Arial"/>
          <w:i/>
          <w:color w:val="231F20"/>
          <w:w w:val="95"/>
          <w:sz w:val="12"/>
        </w:rPr>
        <w:t>How</w:t>
      </w:r>
      <w:r>
        <w:rPr>
          <w:rFonts w:ascii="Arial"/>
          <w:i/>
          <w:color w:val="231F20"/>
          <w:spacing w:val="5"/>
          <w:sz w:val="12"/>
        </w:rPr>
        <w:t> </w:t>
      </w:r>
      <w:r>
        <w:rPr>
          <w:rFonts w:ascii="Arial"/>
          <w:i/>
          <w:color w:val="231F20"/>
          <w:w w:val="95"/>
          <w:sz w:val="12"/>
        </w:rPr>
        <w:t>to</w:t>
      </w:r>
      <w:r>
        <w:rPr>
          <w:rFonts w:ascii="Arial"/>
          <w:i/>
          <w:color w:val="231F20"/>
          <w:spacing w:val="5"/>
          <w:sz w:val="12"/>
        </w:rPr>
        <w:t> </w:t>
      </w:r>
      <w:r>
        <w:rPr>
          <w:rFonts w:ascii="Arial"/>
          <w:i/>
          <w:color w:val="231F20"/>
          <w:w w:val="95"/>
          <w:sz w:val="12"/>
        </w:rPr>
        <w:t>Raise</w:t>
      </w:r>
      <w:r>
        <w:rPr>
          <w:rFonts w:ascii="Arial"/>
          <w:i/>
          <w:color w:val="231F20"/>
          <w:spacing w:val="4"/>
          <w:sz w:val="12"/>
        </w:rPr>
        <w:t> </w:t>
      </w:r>
      <w:r>
        <w:rPr>
          <w:rFonts w:ascii="Arial"/>
          <w:i/>
          <w:color w:val="231F20"/>
          <w:w w:val="95"/>
          <w:sz w:val="12"/>
        </w:rPr>
        <w:t>your</w:t>
      </w:r>
      <w:r>
        <w:rPr>
          <w:rFonts w:ascii="Arial"/>
          <w:i/>
          <w:color w:val="231F20"/>
          <w:spacing w:val="5"/>
          <w:sz w:val="12"/>
        </w:rPr>
        <w:t> </w:t>
      </w:r>
      <w:r>
        <w:rPr>
          <w:rFonts w:ascii="Arial"/>
          <w:i/>
          <w:color w:val="231F20"/>
          <w:w w:val="95"/>
          <w:sz w:val="12"/>
        </w:rPr>
        <w:t>Self-Esteem</w:t>
      </w:r>
      <w:r>
        <w:rPr>
          <w:rFonts w:ascii="Arial"/>
          <w:color w:val="231F20"/>
          <w:w w:val="95"/>
          <w:sz w:val="12"/>
        </w:rPr>
        <w:t>,</w:t>
      </w:r>
      <w:r>
        <w:rPr>
          <w:rFonts w:ascii="Arial"/>
          <w:color w:val="231F20"/>
          <w:spacing w:val="5"/>
          <w:sz w:val="12"/>
        </w:rPr>
        <w:t> </w:t>
      </w:r>
      <w:r>
        <w:rPr>
          <w:rFonts w:ascii="Arial"/>
          <w:color w:val="231F20"/>
          <w:w w:val="95"/>
          <w:sz w:val="12"/>
        </w:rPr>
        <w:t>New</w:t>
      </w:r>
      <w:r>
        <w:rPr>
          <w:rFonts w:ascii="Arial"/>
          <w:color w:val="231F20"/>
          <w:spacing w:val="4"/>
          <w:sz w:val="12"/>
        </w:rPr>
        <w:t> </w:t>
      </w:r>
      <w:r>
        <w:rPr>
          <w:rFonts w:ascii="Arial"/>
          <w:color w:val="231F20"/>
          <w:w w:val="95"/>
          <w:sz w:val="12"/>
        </w:rPr>
        <w:t>York,</w:t>
      </w:r>
      <w:r>
        <w:rPr>
          <w:rFonts w:ascii="Arial"/>
          <w:color w:val="231F20"/>
          <w:spacing w:val="5"/>
          <w:sz w:val="12"/>
        </w:rPr>
        <w:t> </w:t>
      </w:r>
      <w:r>
        <w:rPr>
          <w:rFonts w:ascii="Arial"/>
          <w:color w:val="231F20"/>
          <w:w w:val="95"/>
          <w:sz w:val="12"/>
        </w:rPr>
        <w:t>Bantam</w:t>
      </w:r>
      <w:r>
        <w:rPr>
          <w:rFonts w:ascii="Arial"/>
          <w:color w:val="231F20"/>
          <w:spacing w:val="5"/>
          <w:sz w:val="12"/>
        </w:rPr>
        <w:t> </w:t>
      </w:r>
      <w:r>
        <w:rPr>
          <w:rFonts w:ascii="Arial"/>
          <w:color w:val="231F20"/>
          <w:spacing w:val="-2"/>
          <w:w w:val="95"/>
          <w:sz w:val="12"/>
        </w:rPr>
        <w:t>Books.</w:t>
      </w:r>
    </w:p>
    <w:p>
      <w:pPr>
        <w:spacing w:after="0" w:line="240" w:lineRule="auto"/>
        <w:jc w:val="left"/>
        <w:rPr>
          <w:rFonts w:ascii="Arial"/>
          <w:sz w:val="12"/>
        </w:rPr>
        <w:sectPr>
          <w:footerReference w:type="default" r:id="rId234"/>
          <w:pgSz w:w="8640" w:h="12960"/>
          <w:pgMar w:footer="424" w:header="0" w:top="520" w:bottom="620" w:left="420" w:right="1140"/>
        </w:sectPr>
      </w:pPr>
    </w:p>
    <w:p>
      <w:pPr>
        <w:spacing w:before="118"/>
        <w:ind w:left="1940" w:right="0" w:firstLine="0"/>
        <w:jc w:val="left"/>
        <w:rPr>
          <w:rFonts w:ascii="Arial" w:hAnsi="Arial"/>
          <w:sz w:val="14"/>
        </w:rPr>
      </w:pPr>
      <w:bookmarkStart w:name=" 4.2 / Qu’est-ce que l’estime de soi ?" w:id="131"/>
      <w:bookmarkEnd w:id="131"/>
      <w:r>
        <w:rPr/>
      </w:r>
      <w:bookmarkStart w:name="_bookmark56" w:id="132"/>
      <w:bookmarkEnd w:id="132"/>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6"/>
        <w:jc w:val="both"/>
      </w:pPr>
      <w:r>
        <w:rPr>
          <w:color w:val="231F20"/>
          <w:spacing w:val="-2"/>
          <w:w w:val="115"/>
        </w:rPr>
        <w:t>pratiques</w:t>
      </w:r>
      <w:r>
        <w:rPr>
          <w:color w:val="231F20"/>
          <w:spacing w:val="-4"/>
          <w:w w:val="115"/>
        </w:rPr>
        <w:t> </w:t>
      </w:r>
      <w:r>
        <w:rPr>
          <w:color w:val="231F20"/>
          <w:spacing w:val="-2"/>
          <w:w w:val="115"/>
        </w:rPr>
        <w:t>organisationnelles</w:t>
      </w:r>
      <w:r>
        <w:rPr>
          <w:color w:val="231F20"/>
          <w:spacing w:val="-4"/>
          <w:w w:val="115"/>
        </w:rPr>
        <w:t> </w:t>
      </w:r>
      <w:r>
        <w:rPr>
          <w:color w:val="231F20"/>
          <w:spacing w:val="-2"/>
          <w:w w:val="115"/>
        </w:rPr>
        <w:t>de</w:t>
      </w:r>
      <w:r>
        <w:rPr>
          <w:color w:val="231F20"/>
          <w:spacing w:val="-4"/>
          <w:w w:val="115"/>
        </w:rPr>
        <w:t> </w:t>
      </w:r>
      <w:r>
        <w:rPr>
          <w:color w:val="231F20"/>
          <w:spacing w:val="-2"/>
          <w:w w:val="115"/>
        </w:rPr>
        <w:t>valorisation</w:t>
      </w:r>
      <w:r>
        <w:rPr>
          <w:color w:val="231F20"/>
          <w:spacing w:val="-4"/>
          <w:w w:val="115"/>
        </w:rPr>
        <w:t> </w:t>
      </w:r>
      <w:r>
        <w:rPr>
          <w:color w:val="231F20"/>
          <w:spacing w:val="-2"/>
          <w:w w:val="115"/>
        </w:rPr>
        <w:t>des</w:t>
      </w:r>
      <w:r>
        <w:rPr>
          <w:color w:val="231F20"/>
          <w:spacing w:val="-4"/>
          <w:w w:val="115"/>
        </w:rPr>
        <w:t> </w:t>
      </w:r>
      <w:r>
        <w:rPr>
          <w:color w:val="231F20"/>
          <w:spacing w:val="-2"/>
          <w:w w:val="115"/>
        </w:rPr>
        <w:t>employés</w:t>
      </w:r>
      <w:r>
        <w:rPr>
          <w:color w:val="231F20"/>
          <w:spacing w:val="-4"/>
          <w:w w:val="115"/>
        </w:rPr>
        <w:t> </w:t>
      </w:r>
      <w:r>
        <w:rPr>
          <w:color w:val="231F20"/>
          <w:spacing w:val="-2"/>
          <w:w w:val="115"/>
        </w:rPr>
        <w:t>n’est</w:t>
      </w:r>
      <w:r>
        <w:rPr>
          <w:color w:val="231F20"/>
          <w:spacing w:val="-4"/>
          <w:w w:val="115"/>
        </w:rPr>
        <w:t> </w:t>
      </w:r>
      <w:r>
        <w:rPr>
          <w:color w:val="231F20"/>
          <w:spacing w:val="-2"/>
          <w:w w:val="115"/>
        </w:rPr>
        <w:t>pas</w:t>
      </w:r>
      <w:r>
        <w:rPr>
          <w:color w:val="231F20"/>
          <w:spacing w:val="-4"/>
          <w:w w:val="115"/>
        </w:rPr>
        <w:t> </w:t>
      </w:r>
      <w:r>
        <w:rPr>
          <w:color w:val="231F20"/>
          <w:spacing w:val="-2"/>
          <w:w w:val="115"/>
        </w:rPr>
        <w:t>à</w:t>
      </w:r>
      <w:r>
        <w:rPr>
          <w:color w:val="231F20"/>
          <w:spacing w:val="-4"/>
          <w:w w:val="115"/>
        </w:rPr>
        <w:t> </w:t>
      </w:r>
      <w:r>
        <w:rPr>
          <w:color w:val="231F20"/>
          <w:spacing w:val="-2"/>
          <w:w w:val="115"/>
        </w:rPr>
        <w:t>négli- </w:t>
      </w:r>
      <w:r>
        <w:rPr>
          <w:color w:val="231F20"/>
          <w:w w:val="120"/>
        </w:rPr>
        <w:t>ger dans l’analyse de l’effet des facteurs ambiants sur le vécu des per- </w:t>
      </w:r>
      <w:r>
        <w:rPr>
          <w:color w:val="231F20"/>
          <w:spacing w:val="-2"/>
          <w:w w:val="120"/>
        </w:rPr>
        <w:t>sonnes,</w:t>
      </w:r>
      <w:r>
        <w:rPr>
          <w:color w:val="231F20"/>
          <w:spacing w:val="-7"/>
          <w:w w:val="120"/>
        </w:rPr>
        <w:t> </w:t>
      </w:r>
      <w:r>
        <w:rPr>
          <w:color w:val="231F20"/>
          <w:spacing w:val="-2"/>
          <w:w w:val="120"/>
        </w:rPr>
        <w:t>ce</w:t>
      </w:r>
      <w:r>
        <w:rPr>
          <w:color w:val="231F20"/>
          <w:spacing w:val="-7"/>
          <w:w w:val="120"/>
        </w:rPr>
        <w:t> </w:t>
      </w:r>
      <w:r>
        <w:rPr>
          <w:color w:val="231F20"/>
          <w:spacing w:val="-2"/>
          <w:w w:val="120"/>
        </w:rPr>
        <w:t>que</w:t>
      </w:r>
      <w:r>
        <w:rPr>
          <w:color w:val="231F20"/>
          <w:spacing w:val="-7"/>
          <w:w w:val="120"/>
        </w:rPr>
        <w:t> </w:t>
      </w:r>
      <w:r>
        <w:rPr>
          <w:color w:val="231F20"/>
          <w:spacing w:val="-2"/>
          <w:w w:val="120"/>
        </w:rPr>
        <w:t>d’aucuns</w:t>
      </w:r>
      <w:r>
        <w:rPr>
          <w:color w:val="231F20"/>
          <w:spacing w:val="-7"/>
          <w:w w:val="120"/>
        </w:rPr>
        <w:t> </w:t>
      </w:r>
      <w:r>
        <w:rPr>
          <w:color w:val="231F20"/>
          <w:spacing w:val="-2"/>
          <w:w w:val="120"/>
        </w:rPr>
        <w:t>associent</w:t>
      </w:r>
      <w:r>
        <w:rPr>
          <w:color w:val="231F20"/>
          <w:spacing w:val="-6"/>
          <w:w w:val="120"/>
        </w:rPr>
        <w:t> </w:t>
      </w:r>
      <w:r>
        <w:rPr>
          <w:color w:val="231F20"/>
          <w:spacing w:val="-2"/>
          <w:w w:val="120"/>
        </w:rPr>
        <w:t>au</w:t>
      </w:r>
      <w:r>
        <w:rPr>
          <w:color w:val="231F20"/>
          <w:spacing w:val="-7"/>
          <w:w w:val="120"/>
        </w:rPr>
        <w:t> </w:t>
      </w:r>
      <w:r>
        <w:rPr>
          <w:color w:val="231F20"/>
          <w:spacing w:val="-2"/>
          <w:w w:val="120"/>
        </w:rPr>
        <w:t>contexte</w:t>
      </w:r>
      <w:r>
        <w:rPr>
          <w:color w:val="231F20"/>
          <w:spacing w:val="-7"/>
          <w:w w:val="120"/>
        </w:rPr>
        <w:t> </w:t>
      </w:r>
      <w:r>
        <w:rPr>
          <w:color w:val="231F20"/>
          <w:spacing w:val="-2"/>
          <w:w w:val="120"/>
        </w:rPr>
        <w:t>culturel</w:t>
      </w:r>
      <w:r>
        <w:rPr>
          <w:color w:val="231F20"/>
          <w:spacing w:val="-7"/>
          <w:w w:val="120"/>
        </w:rPr>
        <w:t> </w:t>
      </w:r>
      <w:r>
        <w:rPr>
          <w:color w:val="231F20"/>
          <w:spacing w:val="-2"/>
          <w:w w:val="120"/>
        </w:rPr>
        <w:t>de</w:t>
      </w:r>
      <w:r>
        <w:rPr>
          <w:color w:val="231F20"/>
          <w:spacing w:val="-6"/>
          <w:w w:val="120"/>
        </w:rPr>
        <w:t> </w:t>
      </w:r>
      <w:r>
        <w:rPr>
          <w:color w:val="231F20"/>
          <w:spacing w:val="-2"/>
          <w:w w:val="120"/>
        </w:rPr>
        <w:t>l’organisation.</w:t>
      </w:r>
    </w:p>
    <w:p>
      <w:pPr>
        <w:pStyle w:val="BodyText"/>
        <w:spacing w:line="307" w:lineRule="auto" w:before="80"/>
        <w:ind w:left="1220" w:right="105" w:firstLine="250"/>
        <w:jc w:val="both"/>
      </w:pPr>
      <w:r>
        <w:rPr>
          <w:color w:val="231F20"/>
          <w:w w:val="120"/>
        </w:rPr>
        <w:t>C’est</w:t>
      </w:r>
      <w:r>
        <w:rPr>
          <w:color w:val="231F20"/>
          <w:spacing w:val="-13"/>
          <w:w w:val="120"/>
        </w:rPr>
        <w:t> </w:t>
      </w:r>
      <w:r>
        <w:rPr>
          <w:color w:val="231F20"/>
          <w:w w:val="120"/>
        </w:rPr>
        <w:t>pour</w:t>
      </w:r>
      <w:r>
        <w:rPr>
          <w:color w:val="231F20"/>
          <w:spacing w:val="-13"/>
          <w:w w:val="120"/>
        </w:rPr>
        <w:t> </w:t>
      </w:r>
      <w:r>
        <w:rPr>
          <w:color w:val="231F20"/>
          <w:w w:val="120"/>
        </w:rPr>
        <w:t>ces</w:t>
      </w:r>
      <w:r>
        <w:rPr>
          <w:color w:val="231F20"/>
          <w:spacing w:val="-13"/>
          <w:w w:val="120"/>
        </w:rPr>
        <w:t> </w:t>
      </w:r>
      <w:r>
        <w:rPr>
          <w:color w:val="231F20"/>
          <w:w w:val="120"/>
        </w:rPr>
        <w:t>raisons</w:t>
      </w:r>
      <w:r>
        <w:rPr>
          <w:color w:val="231F20"/>
          <w:spacing w:val="-12"/>
          <w:w w:val="120"/>
        </w:rPr>
        <w:t> </w:t>
      </w:r>
      <w:r>
        <w:rPr>
          <w:color w:val="231F20"/>
          <w:w w:val="120"/>
        </w:rPr>
        <w:t>qu’il</w:t>
      </w:r>
      <w:r>
        <w:rPr>
          <w:color w:val="231F20"/>
          <w:spacing w:val="-13"/>
          <w:w w:val="120"/>
        </w:rPr>
        <w:t> </w:t>
      </w:r>
      <w:r>
        <w:rPr>
          <w:color w:val="231F20"/>
          <w:w w:val="120"/>
        </w:rPr>
        <w:t>nous</w:t>
      </w:r>
      <w:r>
        <w:rPr>
          <w:color w:val="231F20"/>
          <w:spacing w:val="-13"/>
          <w:w w:val="120"/>
        </w:rPr>
        <w:t> </w:t>
      </w:r>
      <w:r>
        <w:rPr>
          <w:color w:val="231F20"/>
          <w:w w:val="120"/>
        </w:rPr>
        <w:t>appert</w:t>
      </w:r>
      <w:r>
        <w:rPr>
          <w:color w:val="231F20"/>
          <w:spacing w:val="-13"/>
          <w:w w:val="120"/>
        </w:rPr>
        <w:t> </w:t>
      </w:r>
      <w:r>
        <w:rPr>
          <w:color w:val="231F20"/>
          <w:w w:val="120"/>
        </w:rPr>
        <w:t>incontournable</w:t>
      </w:r>
      <w:r>
        <w:rPr>
          <w:color w:val="231F20"/>
          <w:spacing w:val="-12"/>
          <w:w w:val="120"/>
        </w:rPr>
        <w:t> </w:t>
      </w:r>
      <w:r>
        <w:rPr>
          <w:color w:val="231F20"/>
          <w:w w:val="120"/>
        </w:rPr>
        <w:t>d’explorer</w:t>
      </w:r>
      <w:r>
        <w:rPr>
          <w:color w:val="231F20"/>
          <w:spacing w:val="-13"/>
          <w:w w:val="120"/>
        </w:rPr>
        <w:t> </w:t>
      </w:r>
      <w:r>
        <w:rPr>
          <w:color w:val="231F20"/>
          <w:w w:val="120"/>
        </w:rPr>
        <w:t>la notion d’</w:t>
      </w:r>
      <w:r>
        <w:rPr>
          <w:i/>
          <w:color w:val="231F20"/>
          <w:w w:val="120"/>
        </w:rPr>
        <w:t>estime de soi </w:t>
      </w:r>
      <w:r>
        <w:rPr>
          <w:color w:val="231F20"/>
          <w:w w:val="120"/>
        </w:rPr>
        <w:t>afin de mieux comprendre son incidence sur le stress, et particulièrement sur le stress professionnel. Nous explorons donc dans ce chapitre cette notion complexe ainsi que ses multiples ramifications sur la dynamique du stress professionnel.</w:t>
      </w:r>
    </w:p>
    <w:p>
      <w:pPr>
        <w:pStyle w:val="BodyText"/>
        <w:rPr>
          <w:sz w:val="24"/>
        </w:rPr>
      </w:pPr>
    </w:p>
    <w:p>
      <w:pPr>
        <w:pStyle w:val="Heading2"/>
        <w:numPr>
          <w:ilvl w:val="1"/>
          <w:numId w:val="62"/>
        </w:numPr>
        <w:tabs>
          <w:tab w:pos="911" w:val="left" w:leader="none"/>
          <w:tab w:pos="1219" w:val="left" w:leader="none"/>
        </w:tabs>
        <w:spacing w:line="240" w:lineRule="auto" w:before="184" w:after="0"/>
        <w:ind w:left="910" w:right="0" w:hanging="314"/>
        <w:jc w:val="left"/>
      </w:pPr>
      <w:r>
        <w:rPr>
          <w:b w:val="0"/>
          <w:i/>
          <w:color w:val="231F20"/>
          <w:spacing w:val="-10"/>
        </w:rPr>
        <w:t>/</w:t>
      </w:r>
      <w:r>
        <w:rPr>
          <w:b w:val="0"/>
          <w:i/>
          <w:color w:val="231F20"/>
        </w:rPr>
        <w:tab/>
      </w:r>
      <w:r>
        <w:rPr>
          <w:color w:val="231F20"/>
          <w:spacing w:val="-2"/>
          <w:w w:val="95"/>
        </w:rPr>
        <w:t>Qu’est-ce</w:t>
      </w:r>
      <w:r>
        <w:rPr>
          <w:color w:val="231F20"/>
          <w:spacing w:val="-4"/>
          <w:w w:val="95"/>
        </w:rPr>
        <w:t> </w:t>
      </w:r>
      <w:r>
        <w:rPr>
          <w:color w:val="231F20"/>
          <w:spacing w:val="-2"/>
          <w:w w:val="95"/>
        </w:rPr>
        <w:t>que</w:t>
      </w:r>
      <w:r>
        <w:rPr>
          <w:color w:val="231F20"/>
          <w:spacing w:val="-4"/>
          <w:w w:val="95"/>
        </w:rPr>
        <w:t> </w:t>
      </w:r>
      <w:r>
        <w:rPr>
          <w:color w:val="231F20"/>
          <w:spacing w:val="-2"/>
          <w:w w:val="95"/>
        </w:rPr>
        <w:t>l’estime</w:t>
      </w:r>
      <w:r>
        <w:rPr>
          <w:color w:val="231F20"/>
          <w:spacing w:val="-3"/>
          <w:w w:val="95"/>
        </w:rPr>
        <w:t> </w:t>
      </w:r>
      <w:r>
        <w:rPr>
          <w:color w:val="231F20"/>
          <w:spacing w:val="-2"/>
          <w:w w:val="95"/>
        </w:rPr>
        <w:t>de</w:t>
      </w:r>
      <w:r>
        <w:rPr>
          <w:color w:val="231F20"/>
          <w:spacing w:val="-4"/>
          <w:w w:val="95"/>
        </w:rPr>
        <w:t> </w:t>
      </w:r>
      <w:r>
        <w:rPr>
          <w:color w:val="231F20"/>
          <w:spacing w:val="-2"/>
          <w:w w:val="95"/>
        </w:rPr>
        <w:t>soi</w:t>
      </w:r>
      <w:r>
        <w:rPr>
          <w:color w:val="231F20"/>
          <w:spacing w:val="-32"/>
          <w:w w:val="95"/>
        </w:rPr>
        <w:t> </w:t>
      </w:r>
      <w:r>
        <w:rPr>
          <w:color w:val="231F20"/>
          <w:spacing w:val="-10"/>
          <w:w w:val="95"/>
        </w:rPr>
        <w:t>?</w:t>
      </w:r>
    </w:p>
    <w:p>
      <w:pPr>
        <w:pStyle w:val="BodyText"/>
        <w:spacing w:before="9"/>
        <w:rPr>
          <w:rFonts w:ascii="Arial"/>
          <w:b/>
          <w:sz w:val="25"/>
        </w:rPr>
      </w:pPr>
    </w:p>
    <w:p>
      <w:pPr>
        <w:pStyle w:val="BodyText"/>
        <w:spacing w:line="307" w:lineRule="auto"/>
        <w:ind w:left="1220" w:right="105"/>
        <w:jc w:val="both"/>
      </w:pPr>
      <w:r>
        <w:rPr>
          <w:color w:val="231F20"/>
          <w:w w:val="115"/>
        </w:rPr>
        <w:t>L’estime</w:t>
      </w:r>
      <w:r>
        <w:rPr>
          <w:color w:val="231F20"/>
          <w:spacing w:val="-10"/>
          <w:w w:val="115"/>
        </w:rPr>
        <w:t> </w:t>
      </w:r>
      <w:r>
        <w:rPr>
          <w:color w:val="231F20"/>
          <w:w w:val="115"/>
        </w:rPr>
        <w:t>de</w:t>
      </w:r>
      <w:r>
        <w:rPr>
          <w:color w:val="231F20"/>
          <w:spacing w:val="-10"/>
          <w:w w:val="115"/>
        </w:rPr>
        <w:t> </w:t>
      </w:r>
      <w:r>
        <w:rPr>
          <w:color w:val="231F20"/>
          <w:w w:val="115"/>
        </w:rPr>
        <w:t>soi</w:t>
      </w:r>
      <w:r>
        <w:rPr>
          <w:color w:val="231F20"/>
          <w:spacing w:val="-10"/>
          <w:w w:val="115"/>
        </w:rPr>
        <w:t> </w:t>
      </w:r>
      <w:r>
        <w:rPr>
          <w:color w:val="231F20"/>
          <w:w w:val="115"/>
        </w:rPr>
        <w:t>est</w:t>
      </w:r>
      <w:r>
        <w:rPr>
          <w:color w:val="231F20"/>
          <w:spacing w:val="-10"/>
          <w:w w:val="115"/>
        </w:rPr>
        <w:t> </w:t>
      </w:r>
      <w:r>
        <w:rPr>
          <w:color w:val="231F20"/>
          <w:w w:val="115"/>
        </w:rPr>
        <w:t>l’un</w:t>
      </w:r>
      <w:r>
        <w:rPr>
          <w:color w:val="231F20"/>
          <w:spacing w:val="-10"/>
          <w:w w:val="115"/>
        </w:rPr>
        <w:t> </w:t>
      </w:r>
      <w:r>
        <w:rPr>
          <w:color w:val="231F20"/>
          <w:w w:val="115"/>
        </w:rPr>
        <w:t>des</w:t>
      </w:r>
      <w:r>
        <w:rPr>
          <w:color w:val="231F20"/>
          <w:spacing w:val="-10"/>
          <w:w w:val="115"/>
        </w:rPr>
        <w:t> </w:t>
      </w:r>
      <w:r>
        <w:rPr>
          <w:color w:val="231F20"/>
          <w:w w:val="115"/>
        </w:rPr>
        <w:t>concepts</w:t>
      </w:r>
      <w:r>
        <w:rPr>
          <w:color w:val="231F20"/>
          <w:spacing w:val="-10"/>
          <w:w w:val="115"/>
        </w:rPr>
        <w:t> </w:t>
      </w:r>
      <w:r>
        <w:rPr>
          <w:color w:val="231F20"/>
          <w:w w:val="115"/>
        </w:rPr>
        <w:t>psychologiques</w:t>
      </w:r>
      <w:r>
        <w:rPr>
          <w:color w:val="231F20"/>
          <w:spacing w:val="-10"/>
          <w:w w:val="115"/>
        </w:rPr>
        <w:t> </w:t>
      </w:r>
      <w:r>
        <w:rPr>
          <w:color w:val="231F20"/>
          <w:w w:val="115"/>
        </w:rPr>
        <w:t>les</w:t>
      </w:r>
      <w:r>
        <w:rPr>
          <w:color w:val="231F20"/>
          <w:spacing w:val="-10"/>
          <w:w w:val="115"/>
        </w:rPr>
        <w:t> </w:t>
      </w:r>
      <w:r>
        <w:rPr>
          <w:color w:val="231F20"/>
          <w:w w:val="115"/>
        </w:rPr>
        <w:t>plus</w:t>
      </w:r>
      <w:r>
        <w:rPr>
          <w:color w:val="231F20"/>
          <w:spacing w:val="-10"/>
          <w:w w:val="115"/>
        </w:rPr>
        <w:t> </w:t>
      </w:r>
      <w:r>
        <w:rPr>
          <w:color w:val="231F20"/>
          <w:w w:val="115"/>
        </w:rPr>
        <w:t>vulgarisés</w:t>
      </w:r>
      <w:r>
        <w:rPr>
          <w:color w:val="231F20"/>
          <w:spacing w:val="-10"/>
          <w:w w:val="115"/>
        </w:rPr>
        <w:t> </w:t>
      </w:r>
      <w:r>
        <w:rPr>
          <w:color w:val="231F20"/>
          <w:w w:val="115"/>
        </w:rPr>
        <w:t>et </w:t>
      </w:r>
      <w:r>
        <w:rPr>
          <w:color w:val="231F20"/>
          <w:spacing w:val="-2"/>
          <w:w w:val="120"/>
        </w:rPr>
        <w:t>les</w:t>
      </w:r>
      <w:r>
        <w:rPr>
          <w:color w:val="231F20"/>
          <w:spacing w:val="-8"/>
          <w:w w:val="120"/>
        </w:rPr>
        <w:t> </w:t>
      </w:r>
      <w:r>
        <w:rPr>
          <w:color w:val="231F20"/>
          <w:spacing w:val="-2"/>
          <w:w w:val="120"/>
        </w:rPr>
        <w:t>plus</w:t>
      </w:r>
      <w:r>
        <w:rPr>
          <w:color w:val="231F20"/>
          <w:spacing w:val="-8"/>
          <w:w w:val="120"/>
        </w:rPr>
        <w:t> </w:t>
      </w:r>
      <w:r>
        <w:rPr>
          <w:color w:val="231F20"/>
          <w:spacing w:val="-2"/>
          <w:w w:val="120"/>
        </w:rPr>
        <w:t>utilisés</w:t>
      </w:r>
      <w:r>
        <w:rPr>
          <w:color w:val="231F20"/>
          <w:spacing w:val="-8"/>
          <w:w w:val="120"/>
        </w:rPr>
        <w:t> </w:t>
      </w:r>
      <w:r>
        <w:rPr>
          <w:color w:val="231F20"/>
          <w:spacing w:val="-2"/>
          <w:w w:val="120"/>
        </w:rPr>
        <w:t>dans</w:t>
      </w:r>
      <w:r>
        <w:rPr>
          <w:color w:val="231F20"/>
          <w:spacing w:val="-8"/>
          <w:w w:val="120"/>
        </w:rPr>
        <w:t> </w:t>
      </w:r>
      <w:r>
        <w:rPr>
          <w:color w:val="231F20"/>
          <w:spacing w:val="-2"/>
          <w:w w:val="120"/>
        </w:rPr>
        <w:t>le</w:t>
      </w:r>
      <w:r>
        <w:rPr>
          <w:color w:val="231F20"/>
          <w:spacing w:val="-8"/>
          <w:w w:val="120"/>
        </w:rPr>
        <w:t> </w:t>
      </w:r>
      <w:r>
        <w:rPr>
          <w:color w:val="231F20"/>
          <w:spacing w:val="-2"/>
          <w:w w:val="120"/>
        </w:rPr>
        <w:t>langage</w:t>
      </w:r>
      <w:r>
        <w:rPr>
          <w:color w:val="231F20"/>
          <w:spacing w:val="-8"/>
          <w:w w:val="120"/>
        </w:rPr>
        <w:t> </w:t>
      </w:r>
      <w:r>
        <w:rPr>
          <w:color w:val="231F20"/>
          <w:spacing w:val="-2"/>
          <w:w w:val="120"/>
        </w:rPr>
        <w:t>courant,</w:t>
      </w:r>
      <w:r>
        <w:rPr>
          <w:color w:val="231F20"/>
          <w:spacing w:val="-8"/>
          <w:w w:val="120"/>
        </w:rPr>
        <w:t> </w:t>
      </w:r>
      <w:r>
        <w:rPr>
          <w:color w:val="231F20"/>
          <w:spacing w:val="-2"/>
          <w:w w:val="120"/>
        </w:rPr>
        <w:t>sans</w:t>
      </w:r>
      <w:r>
        <w:rPr>
          <w:color w:val="231F20"/>
          <w:spacing w:val="-8"/>
          <w:w w:val="120"/>
        </w:rPr>
        <w:t> </w:t>
      </w:r>
      <w:r>
        <w:rPr>
          <w:color w:val="231F20"/>
          <w:spacing w:val="-2"/>
          <w:w w:val="120"/>
        </w:rPr>
        <w:t>doute</w:t>
      </w:r>
      <w:r>
        <w:rPr>
          <w:color w:val="231F20"/>
          <w:spacing w:val="-8"/>
          <w:w w:val="120"/>
        </w:rPr>
        <w:t> </w:t>
      </w:r>
      <w:r>
        <w:rPr>
          <w:color w:val="231F20"/>
          <w:spacing w:val="-2"/>
          <w:w w:val="120"/>
        </w:rPr>
        <w:t>parce</w:t>
      </w:r>
      <w:r>
        <w:rPr>
          <w:color w:val="231F20"/>
          <w:spacing w:val="-8"/>
          <w:w w:val="120"/>
        </w:rPr>
        <w:t> </w:t>
      </w:r>
      <w:r>
        <w:rPr>
          <w:color w:val="231F20"/>
          <w:spacing w:val="-2"/>
          <w:w w:val="120"/>
        </w:rPr>
        <w:t>qu’il</w:t>
      </w:r>
      <w:r>
        <w:rPr>
          <w:color w:val="231F20"/>
          <w:spacing w:val="-8"/>
          <w:w w:val="120"/>
        </w:rPr>
        <w:t> </w:t>
      </w:r>
      <w:r>
        <w:rPr>
          <w:color w:val="231F20"/>
          <w:spacing w:val="-2"/>
          <w:w w:val="120"/>
        </w:rPr>
        <w:t>nous</w:t>
      </w:r>
      <w:r>
        <w:rPr>
          <w:color w:val="231F20"/>
          <w:spacing w:val="-8"/>
          <w:w w:val="120"/>
        </w:rPr>
        <w:t> </w:t>
      </w:r>
      <w:r>
        <w:rPr>
          <w:color w:val="231F20"/>
          <w:spacing w:val="-2"/>
          <w:w w:val="120"/>
        </w:rPr>
        <w:t>aide à</w:t>
      </w:r>
      <w:r>
        <w:rPr>
          <w:color w:val="231F20"/>
          <w:spacing w:val="-21"/>
          <w:w w:val="120"/>
        </w:rPr>
        <w:t> </w:t>
      </w:r>
      <w:r>
        <w:rPr>
          <w:color w:val="231F20"/>
          <w:spacing w:val="-2"/>
          <w:w w:val="120"/>
        </w:rPr>
        <w:t>comprendre</w:t>
      </w:r>
      <w:r>
        <w:rPr>
          <w:color w:val="231F20"/>
          <w:spacing w:val="-20"/>
          <w:w w:val="120"/>
        </w:rPr>
        <w:t> </w:t>
      </w:r>
      <w:r>
        <w:rPr>
          <w:color w:val="231F20"/>
          <w:spacing w:val="-2"/>
          <w:w w:val="120"/>
        </w:rPr>
        <w:t>nos</w:t>
      </w:r>
      <w:r>
        <w:rPr>
          <w:color w:val="231F20"/>
          <w:spacing w:val="-21"/>
          <w:w w:val="120"/>
        </w:rPr>
        <w:t> </w:t>
      </w:r>
      <w:r>
        <w:rPr>
          <w:color w:val="231F20"/>
          <w:spacing w:val="-2"/>
          <w:w w:val="120"/>
        </w:rPr>
        <w:t>propres</w:t>
      </w:r>
      <w:r>
        <w:rPr>
          <w:color w:val="231F20"/>
          <w:spacing w:val="-20"/>
          <w:w w:val="120"/>
        </w:rPr>
        <w:t> </w:t>
      </w:r>
      <w:r>
        <w:rPr>
          <w:color w:val="231F20"/>
          <w:spacing w:val="-2"/>
          <w:w w:val="120"/>
        </w:rPr>
        <w:t>réactions,</w:t>
      </w:r>
      <w:r>
        <w:rPr>
          <w:color w:val="231F20"/>
          <w:spacing w:val="-21"/>
          <w:w w:val="120"/>
        </w:rPr>
        <w:t> </w:t>
      </w:r>
      <w:r>
        <w:rPr>
          <w:color w:val="231F20"/>
          <w:spacing w:val="-2"/>
          <w:w w:val="120"/>
        </w:rPr>
        <w:t>et</w:t>
      </w:r>
      <w:r>
        <w:rPr>
          <w:color w:val="231F20"/>
          <w:spacing w:val="-20"/>
          <w:w w:val="120"/>
        </w:rPr>
        <w:t> </w:t>
      </w:r>
      <w:r>
        <w:rPr>
          <w:color w:val="231F20"/>
          <w:spacing w:val="-2"/>
          <w:w w:val="120"/>
        </w:rPr>
        <w:t>celles</w:t>
      </w:r>
      <w:r>
        <w:rPr>
          <w:color w:val="231F20"/>
          <w:spacing w:val="-21"/>
          <w:w w:val="120"/>
        </w:rPr>
        <w:t> </w:t>
      </w:r>
      <w:r>
        <w:rPr>
          <w:color w:val="231F20"/>
          <w:spacing w:val="-2"/>
          <w:w w:val="120"/>
        </w:rPr>
        <w:t>des</w:t>
      </w:r>
      <w:r>
        <w:rPr>
          <w:color w:val="231F20"/>
          <w:spacing w:val="-20"/>
          <w:w w:val="120"/>
        </w:rPr>
        <w:t> </w:t>
      </w:r>
      <w:r>
        <w:rPr>
          <w:color w:val="231F20"/>
          <w:spacing w:val="-2"/>
          <w:w w:val="120"/>
        </w:rPr>
        <w:t>autres,</w:t>
      </w:r>
      <w:r>
        <w:rPr>
          <w:color w:val="231F20"/>
          <w:spacing w:val="-21"/>
          <w:w w:val="120"/>
        </w:rPr>
        <w:t> </w:t>
      </w:r>
      <w:r>
        <w:rPr>
          <w:color w:val="231F20"/>
          <w:spacing w:val="-2"/>
          <w:w w:val="120"/>
        </w:rPr>
        <w:t>face</w:t>
      </w:r>
      <w:r>
        <w:rPr>
          <w:color w:val="231F20"/>
          <w:spacing w:val="-20"/>
          <w:w w:val="120"/>
        </w:rPr>
        <w:t> </w:t>
      </w:r>
      <w:r>
        <w:rPr>
          <w:color w:val="231F20"/>
          <w:spacing w:val="-2"/>
          <w:w w:val="120"/>
        </w:rPr>
        <w:t>à</w:t>
      </w:r>
      <w:r>
        <w:rPr>
          <w:color w:val="231F20"/>
          <w:spacing w:val="-21"/>
          <w:w w:val="120"/>
        </w:rPr>
        <w:t> </w:t>
      </w:r>
      <w:r>
        <w:rPr>
          <w:color w:val="231F20"/>
          <w:spacing w:val="-2"/>
          <w:w w:val="120"/>
        </w:rPr>
        <w:t>l’adversité.</w:t>
      </w:r>
    </w:p>
    <w:p>
      <w:pPr>
        <w:pStyle w:val="BodyText"/>
        <w:spacing w:line="307" w:lineRule="auto" w:before="80"/>
        <w:ind w:left="1220" w:right="107" w:firstLine="250"/>
        <w:jc w:val="both"/>
      </w:pPr>
      <w:r>
        <w:rPr>
          <w:color w:val="231F20"/>
          <w:spacing w:val="-2"/>
          <w:w w:val="120"/>
        </w:rPr>
        <w:t>Intuitivement,</w:t>
      </w:r>
      <w:r>
        <w:rPr>
          <w:color w:val="231F20"/>
          <w:spacing w:val="-7"/>
          <w:w w:val="120"/>
        </w:rPr>
        <w:t> </w:t>
      </w:r>
      <w:r>
        <w:rPr>
          <w:color w:val="231F20"/>
          <w:spacing w:val="-2"/>
          <w:w w:val="120"/>
        </w:rPr>
        <w:t>nous</w:t>
      </w:r>
      <w:r>
        <w:rPr>
          <w:color w:val="231F20"/>
          <w:spacing w:val="-7"/>
          <w:w w:val="120"/>
        </w:rPr>
        <w:t> </w:t>
      </w:r>
      <w:r>
        <w:rPr>
          <w:color w:val="231F20"/>
          <w:spacing w:val="-2"/>
          <w:w w:val="120"/>
        </w:rPr>
        <w:t>savons</w:t>
      </w:r>
      <w:r>
        <w:rPr>
          <w:color w:val="231F20"/>
          <w:spacing w:val="-7"/>
          <w:w w:val="120"/>
        </w:rPr>
        <w:t> </w:t>
      </w:r>
      <w:r>
        <w:rPr>
          <w:color w:val="231F20"/>
          <w:spacing w:val="-2"/>
          <w:w w:val="120"/>
        </w:rPr>
        <w:t>que</w:t>
      </w:r>
      <w:r>
        <w:rPr>
          <w:color w:val="231F20"/>
          <w:spacing w:val="-7"/>
          <w:w w:val="120"/>
        </w:rPr>
        <w:t> </w:t>
      </w:r>
      <w:r>
        <w:rPr>
          <w:color w:val="231F20"/>
          <w:spacing w:val="-2"/>
          <w:w w:val="120"/>
        </w:rPr>
        <w:t>l’estime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est</w:t>
      </w:r>
      <w:r>
        <w:rPr>
          <w:color w:val="231F20"/>
          <w:spacing w:val="-7"/>
          <w:w w:val="120"/>
        </w:rPr>
        <w:t> </w:t>
      </w:r>
      <w:r>
        <w:rPr>
          <w:color w:val="231F20"/>
          <w:spacing w:val="-2"/>
          <w:w w:val="120"/>
        </w:rPr>
        <w:t>une</w:t>
      </w:r>
      <w:r>
        <w:rPr>
          <w:color w:val="231F20"/>
          <w:spacing w:val="-7"/>
          <w:w w:val="120"/>
        </w:rPr>
        <w:t> </w:t>
      </w:r>
      <w:r>
        <w:rPr>
          <w:color w:val="231F20"/>
          <w:spacing w:val="-2"/>
          <w:w w:val="120"/>
        </w:rPr>
        <w:t>caractéristique </w:t>
      </w:r>
      <w:r>
        <w:rPr>
          <w:color w:val="231F20"/>
          <w:w w:val="120"/>
        </w:rPr>
        <w:t>psychologique</w:t>
      </w:r>
      <w:r>
        <w:rPr>
          <w:color w:val="231F20"/>
          <w:spacing w:val="-13"/>
          <w:w w:val="120"/>
        </w:rPr>
        <w:t> </w:t>
      </w:r>
      <w:r>
        <w:rPr>
          <w:color w:val="231F20"/>
          <w:w w:val="120"/>
        </w:rPr>
        <w:t>souhaitable</w:t>
      </w:r>
      <w:r>
        <w:rPr>
          <w:color w:val="231F20"/>
          <w:spacing w:val="-13"/>
          <w:w w:val="120"/>
        </w:rPr>
        <w:t> </w:t>
      </w:r>
      <w:r>
        <w:rPr>
          <w:color w:val="231F20"/>
          <w:w w:val="120"/>
        </w:rPr>
        <w:t>et</w:t>
      </w:r>
      <w:r>
        <w:rPr>
          <w:color w:val="231F20"/>
          <w:spacing w:val="-13"/>
          <w:w w:val="120"/>
        </w:rPr>
        <w:t> </w:t>
      </w:r>
      <w:r>
        <w:rPr>
          <w:color w:val="231F20"/>
          <w:w w:val="120"/>
        </w:rPr>
        <w:t>positive,</w:t>
      </w:r>
      <w:r>
        <w:rPr>
          <w:color w:val="231F20"/>
          <w:spacing w:val="-12"/>
          <w:w w:val="120"/>
        </w:rPr>
        <w:t> </w:t>
      </w:r>
      <w:r>
        <w:rPr>
          <w:color w:val="231F20"/>
          <w:w w:val="120"/>
        </w:rPr>
        <w:t>à</w:t>
      </w:r>
      <w:r>
        <w:rPr>
          <w:color w:val="231F20"/>
          <w:spacing w:val="-13"/>
          <w:w w:val="120"/>
        </w:rPr>
        <w:t> </w:t>
      </w:r>
      <w:r>
        <w:rPr>
          <w:color w:val="231F20"/>
          <w:w w:val="120"/>
        </w:rPr>
        <w:t>plus</w:t>
      </w:r>
      <w:r>
        <w:rPr>
          <w:color w:val="231F20"/>
          <w:spacing w:val="-13"/>
          <w:w w:val="120"/>
        </w:rPr>
        <w:t> </w:t>
      </w:r>
      <w:r>
        <w:rPr>
          <w:color w:val="231F20"/>
          <w:w w:val="120"/>
        </w:rPr>
        <w:t>forte</w:t>
      </w:r>
      <w:r>
        <w:rPr>
          <w:color w:val="231F20"/>
          <w:spacing w:val="-13"/>
          <w:w w:val="120"/>
        </w:rPr>
        <w:t> </w:t>
      </w:r>
      <w:r>
        <w:rPr>
          <w:color w:val="231F20"/>
          <w:w w:val="120"/>
        </w:rPr>
        <w:t>raison</w:t>
      </w:r>
      <w:r>
        <w:rPr>
          <w:color w:val="231F20"/>
          <w:spacing w:val="-12"/>
          <w:w w:val="120"/>
        </w:rPr>
        <w:t> </w:t>
      </w:r>
      <w:r>
        <w:rPr>
          <w:color w:val="231F20"/>
          <w:w w:val="120"/>
        </w:rPr>
        <w:t>lorsqu’elle</w:t>
      </w:r>
      <w:r>
        <w:rPr>
          <w:color w:val="231F20"/>
          <w:spacing w:val="-13"/>
          <w:w w:val="120"/>
        </w:rPr>
        <w:t> </w:t>
      </w:r>
      <w:r>
        <w:rPr>
          <w:color w:val="231F20"/>
          <w:w w:val="120"/>
        </w:rPr>
        <w:t>est </w:t>
      </w:r>
      <w:r>
        <w:rPr>
          <w:color w:val="231F20"/>
          <w:spacing w:val="-2"/>
          <w:w w:val="120"/>
        </w:rPr>
        <w:t>bien</w:t>
      </w:r>
      <w:r>
        <w:rPr>
          <w:color w:val="231F20"/>
          <w:spacing w:val="-8"/>
          <w:w w:val="120"/>
        </w:rPr>
        <w:t> </w:t>
      </w:r>
      <w:r>
        <w:rPr>
          <w:color w:val="231F20"/>
          <w:spacing w:val="-2"/>
          <w:w w:val="120"/>
        </w:rPr>
        <w:t>équilibrée,</w:t>
      </w:r>
      <w:r>
        <w:rPr>
          <w:color w:val="231F20"/>
          <w:spacing w:val="-8"/>
          <w:w w:val="120"/>
        </w:rPr>
        <w:t> </w:t>
      </w:r>
      <w:r>
        <w:rPr>
          <w:color w:val="231F20"/>
          <w:spacing w:val="-2"/>
          <w:w w:val="120"/>
        </w:rPr>
        <w:t>c’est-à-dire</w:t>
      </w:r>
      <w:r>
        <w:rPr>
          <w:color w:val="231F20"/>
          <w:spacing w:val="-8"/>
          <w:w w:val="120"/>
        </w:rPr>
        <w:t> </w:t>
      </w:r>
      <w:r>
        <w:rPr>
          <w:color w:val="231F20"/>
          <w:spacing w:val="-2"/>
          <w:w w:val="120"/>
        </w:rPr>
        <w:t>qu’elle</w:t>
      </w:r>
      <w:r>
        <w:rPr>
          <w:color w:val="231F20"/>
          <w:spacing w:val="-8"/>
          <w:w w:val="120"/>
        </w:rPr>
        <w:t> </w:t>
      </w:r>
      <w:r>
        <w:rPr>
          <w:color w:val="231F20"/>
          <w:spacing w:val="-2"/>
          <w:w w:val="120"/>
        </w:rPr>
        <w:t>ne</w:t>
      </w:r>
      <w:r>
        <w:rPr>
          <w:color w:val="231F20"/>
          <w:spacing w:val="-8"/>
          <w:w w:val="120"/>
        </w:rPr>
        <w:t> </w:t>
      </w:r>
      <w:r>
        <w:rPr>
          <w:color w:val="231F20"/>
          <w:spacing w:val="-2"/>
          <w:w w:val="120"/>
        </w:rPr>
        <w:t>mène</w:t>
      </w:r>
      <w:r>
        <w:rPr>
          <w:color w:val="231F20"/>
          <w:spacing w:val="-8"/>
          <w:w w:val="120"/>
        </w:rPr>
        <w:t> </w:t>
      </w:r>
      <w:r>
        <w:rPr>
          <w:color w:val="231F20"/>
          <w:spacing w:val="-2"/>
          <w:w w:val="120"/>
        </w:rPr>
        <w:t>pas</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dévalorisation</w:t>
      </w:r>
      <w:r>
        <w:rPr>
          <w:color w:val="231F20"/>
          <w:spacing w:val="-8"/>
          <w:w w:val="120"/>
        </w:rPr>
        <w:t> </w:t>
      </w:r>
      <w:r>
        <w:rPr>
          <w:color w:val="231F20"/>
          <w:spacing w:val="-2"/>
          <w:w w:val="120"/>
        </w:rPr>
        <w:t>ou,</w:t>
      </w:r>
      <w:r>
        <w:rPr>
          <w:color w:val="231F20"/>
          <w:spacing w:val="-8"/>
          <w:w w:val="120"/>
        </w:rPr>
        <w:t> </w:t>
      </w:r>
      <w:r>
        <w:rPr>
          <w:color w:val="231F20"/>
          <w:spacing w:val="-2"/>
          <w:w w:val="120"/>
        </w:rPr>
        <w:t>à </w:t>
      </w:r>
      <w:r>
        <w:rPr>
          <w:color w:val="231F20"/>
          <w:w w:val="120"/>
        </w:rPr>
        <w:t>l’autre extrême, à la suffisance.</w:t>
      </w:r>
    </w:p>
    <w:p>
      <w:pPr>
        <w:pStyle w:val="BodyText"/>
        <w:spacing w:line="307" w:lineRule="auto" w:before="79"/>
        <w:ind w:left="1220" w:right="106" w:firstLine="250"/>
        <w:jc w:val="both"/>
      </w:pPr>
      <w:r>
        <w:rPr>
          <w:color w:val="231F20"/>
          <w:w w:val="120"/>
        </w:rPr>
        <w:t>Plus</w:t>
      </w:r>
      <w:r>
        <w:rPr>
          <w:color w:val="231F20"/>
          <w:spacing w:val="-13"/>
          <w:w w:val="120"/>
        </w:rPr>
        <w:t> </w:t>
      </w:r>
      <w:r>
        <w:rPr>
          <w:color w:val="231F20"/>
          <w:w w:val="120"/>
        </w:rPr>
        <w:t>concrètement,</w:t>
      </w:r>
      <w:r>
        <w:rPr>
          <w:color w:val="231F20"/>
          <w:spacing w:val="-12"/>
          <w:w w:val="120"/>
        </w:rPr>
        <w:t> </w:t>
      </w:r>
      <w:r>
        <w:rPr>
          <w:color w:val="231F20"/>
          <w:w w:val="120"/>
        </w:rPr>
        <w:t>dans</w:t>
      </w:r>
      <w:r>
        <w:rPr>
          <w:color w:val="231F20"/>
          <w:spacing w:val="-13"/>
          <w:w w:val="120"/>
        </w:rPr>
        <w:t> </w:t>
      </w:r>
      <w:r>
        <w:rPr>
          <w:color w:val="231F20"/>
          <w:w w:val="120"/>
        </w:rPr>
        <w:t>le</w:t>
      </w:r>
      <w:r>
        <w:rPr>
          <w:color w:val="231F20"/>
          <w:spacing w:val="-12"/>
          <w:w w:val="120"/>
        </w:rPr>
        <w:t> </w:t>
      </w:r>
      <w:r>
        <w:rPr>
          <w:color w:val="231F20"/>
          <w:w w:val="120"/>
        </w:rPr>
        <w:t>domaine</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psychologie,</w:t>
      </w:r>
      <w:r>
        <w:rPr>
          <w:color w:val="231F20"/>
          <w:spacing w:val="-12"/>
          <w:w w:val="120"/>
        </w:rPr>
        <w:t> </w:t>
      </w:r>
      <w:r>
        <w:rPr>
          <w:color w:val="231F20"/>
          <w:w w:val="120"/>
        </w:rPr>
        <w:t>James5</w:t>
      </w:r>
      <w:r>
        <w:rPr>
          <w:color w:val="231F20"/>
          <w:spacing w:val="-13"/>
          <w:w w:val="120"/>
        </w:rPr>
        <w:t> </w:t>
      </w:r>
      <w:r>
        <w:rPr>
          <w:color w:val="231F20"/>
          <w:w w:val="120"/>
        </w:rPr>
        <w:t>est</w:t>
      </w:r>
      <w:r>
        <w:rPr>
          <w:color w:val="231F20"/>
          <w:spacing w:val="-12"/>
          <w:w w:val="120"/>
        </w:rPr>
        <w:t> </w:t>
      </w:r>
      <w:r>
        <w:rPr>
          <w:color w:val="231F20"/>
          <w:w w:val="120"/>
        </w:rPr>
        <w:t>le </w:t>
      </w:r>
      <w:r>
        <w:rPr>
          <w:color w:val="231F20"/>
          <w:w w:val="115"/>
        </w:rPr>
        <w:t>premier</w:t>
      </w:r>
      <w:r>
        <w:rPr>
          <w:color w:val="231F20"/>
          <w:spacing w:val="-2"/>
          <w:w w:val="115"/>
        </w:rPr>
        <w:t> </w:t>
      </w:r>
      <w:r>
        <w:rPr>
          <w:color w:val="231F20"/>
          <w:w w:val="115"/>
        </w:rPr>
        <w:t>à</w:t>
      </w:r>
      <w:r>
        <w:rPr>
          <w:color w:val="231F20"/>
          <w:spacing w:val="-1"/>
          <w:w w:val="115"/>
        </w:rPr>
        <w:t> </w:t>
      </w:r>
      <w:r>
        <w:rPr>
          <w:color w:val="231F20"/>
          <w:w w:val="115"/>
        </w:rPr>
        <w:t>avoir</w:t>
      </w:r>
      <w:r>
        <w:rPr>
          <w:color w:val="231F20"/>
          <w:spacing w:val="-1"/>
          <w:w w:val="115"/>
        </w:rPr>
        <w:t> </w:t>
      </w:r>
      <w:r>
        <w:rPr>
          <w:color w:val="231F20"/>
          <w:w w:val="115"/>
        </w:rPr>
        <w:t>défini</w:t>
      </w:r>
      <w:r>
        <w:rPr>
          <w:color w:val="231F20"/>
          <w:spacing w:val="-1"/>
          <w:w w:val="115"/>
        </w:rPr>
        <w:t> </w:t>
      </w:r>
      <w:r>
        <w:rPr>
          <w:color w:val="231F20"/>
          <w:w w:val="115"/>
        </w:rPr>
        <w:t>le</w:t>
      </w:r>
      <w:r>
        <w:rPr>
          <w:color w:val="231F20"/>
          <w:spacing w:val="-1"/>
          <w:w w:val="115"/>
        </w:rPr>
        <w:t> </w:t>
      </w:r>
      <w:r>
        <w:rPr>
          <w:color w:val="231F20"/>
          <w:w w:val="115"/>
        </w:rPr>
        <w:t>concept.</w:t>
      </w:r>
      <w:r>
        <w:rPr>
          <w:color w:val="231F20"/>
          <w:spacing w:val="-1"/>
          <w:w w:val="115"/>
        </w:rPr>
        <w:t> </w:t>
      </w:r>
      <w:r>
        <w:rPr>
          <w:color w:val="231F20"/>
          <w:w w:val="115"/>
        </w:rPr>
        <w:t>Il</w:t>
      </w:r>
      <w:r>
        <w:rPr>
          <w:color w:val="231F20"/>
          <w:spacing w:val="-1"/>
          <w:w w:val="115"/>
        </w:rPr>
        <w:t> </w:t>
      </w:r>
      <w:r>
        <w:rPr>
          <w:color w:val="231F20"/>
          <w:w w:val="115"/>
        </w:rPr>
        <w:t>indiquera</w:t>
      </w:r>
      <w:r>
        <w:rPr>
          <w:color w:val="231F20"/>
          <w:spacing w:val="-1"/>
          <w:w w:val="115"/>
        </w:rPr>
        <w:t> </w:t>
      </w:r>
      <w:r>
        <w:rPr>
          <w:color w:val="231F20"/>
          <w:w w:val="115"/>
        </w:rPr>
        <w:t>que</w:t>
      </w:r>
      <w:r>
        <w:rPr>
          <w:color w:val="231F20"/>
          <w:spacing w:val="-1"/>
          <w:w w:val="115"/>
        </w:rPr>
        <w:t> </w:t>
      </w:r>
      <w:r>
        <w:rPr>
          <w:color w:val="231F20"/>
          <w:w w:val="115"/>
        </w:rPr>
        <w:t>l’estime</w:t>
      </w:r>
      <w:r>
        <w:rPr>
          <w:color w:val="231F20"/>
          <w:spacing w:val="-1"/>
          <w:w w:val="115"/>
        </w:rPr>
        <w:t> </w:t>
      </w:r>
      <w:r>
        <w:rPr>
          <w:color w:val="231F20"/>
          <w:w w:val="115"/>
        </w:rPr>
        <w:t>de</w:t>
      </w:r>
      <w:r>
        <w:rPr>
          <w:color w:val="231F20"/>
          <w:spacing w:val="-1"/>
          <w:w w:val="115"/>
        </w:rPr>
        <w:t> </w:t>
      </w:r>
      <w:r>
        <w:rPr>
          <w:color w:val="231F20"/>
          <w:w w:val="115"/>
        </w:rPr>
        <w:t>soi</w:t>
      </w:r>
      <w:r>
        <w:rPr>
          <w:color w:val="231F20"/>
          <w:spacing w:val="-1"/>
          <w:w w:val="115"/>
        </w:rPr>
        <w:t> </w:t>
      </w:r>
      <w:r>
        <w:rPr>
          <w:color w:val="231F20"/>
          <w:spacing w:val="-2"/>
          <w:w w:val="115"/>
        </w:rPr>
        <w:t>désigne</w:t>
      </w:r>
    </w:p>
    <w:p>
      <w:pPr>
        <w:pStyle w:val="BodyText"/>
        <w:spacing w:line="195" w:lineRule="exact"/>
        <w:ind w:left="732" w:right="106"/>
        <w:jc w:val="right"/>
      </w:pPr>
      <w:r>
        <w:rPr>
          <w:color w:val="231F20"/>
          <w:spacing w:val="-2"/>
          <w:w w:val="115"/>
        </w:rPr>
        <w:t>«</w:t>
      </w:r>
      <w:r>
        <w:rPr>
          <w:color w:val="231F20"/>
          <w:spacing w:val="-34"/>
          <w:w w:val="115"/>
        </w:rPr>
        <w:t> </w:t>
      </w:r>
      <w:r>
        <w:rPr>
          <w:color w:val="231F20"/>
          <w:spacing w:val="-2"/>
          <w:w w:val="115"/>
        </w:rPr>
        <w:t>la</w:t>
      </w:r>
      <w:r>
        <w:rPr>
          <w:color w:val="231F20"/>
          <w:spacing w:val="-8"/>
          <w:w w:val="115"/>
        </w:rPr>
        <w:t> </w:t>
      </w:r>
      <w:r>
        <w:rPr>
          <w:color w:val="231F20"/>
          <w:spacing w:val="-2"/>
          <w:w w:val="115"/>
        </w:rPr>
        <w:t>conscience</w:t>
      </w:r>
      <w:r>
        <w:rPr>
          <w:color w:val="231F20"/>
          <w:spacing w:val="-9"/>
          <w:w w:val="115"/>
        </w:rPr>
        <w:t> </w:t>
      </w:r>
      <w:r>
        <w:rPr>
          <w:color w:val="231F20"/>
          <w:spacing w:val="-2"/>
          <w:w w:val="115"/>
        </w:rPr>
        <w:t>de</w:t>
      </w:r>
      <w:r>
        <w:rPr>
          <w:color w:val="231F20"/>
          <w:spacing w:val="-8"/>
          <w:w w:val="115"/>
        </w:rPr>
        <w:t> </w:t>
      </w:r>
      <w:r>
        <w:rPr>
          <w:color w:val="231F20"/>
          <w:spacing w:val="-2"/>
          <w:w w:val="115"/>
        </w:rPr>
        <w:t>la</w:t>
      </w:r>
      <w:r>
        <w:rPr>
          <w:color w:val="231F20"/>
          <w:spacing w:val="-9"/>
          <w:w w:val="115"/>
        </w:rPr>
        <w:t> </w:t>
      </w:r>
      <w:r>
        <w:rPr>
          <w:color w:val="231F20"/>
          <w:spacing w:val="-2"/>
          <w:w w:val="115"/>
        </w:rPr>
        <w:t>valeur</w:t>
      </w:r>
      <w:r>
        <w:rPr>
          <w:color w:val="231F20"/>
          <w:spacing w:val="-8"/>
          <w:w w:val="115"/>
        </w:rPr>
        <w:t> </w:t>
      </w:r>
      <w:r>
        <w:rPr>
          <w:color w:val="231F20"/>
          <w:spacing w:val="-2"/>
          <w:w w:val="115"/>
        </w:rPr>
        <w:t>du</w:t>
      </w:r>
      <w:r>
        <w:rPr>
          <w:color w:val="231F20"/>
          <w:spacing w:val="-9"/>
          <w:w w:val="115"/>
        </w:rPr>
        <w:t> </w:t>
      </w:r>
      <w:r>
        <w:rPr>
          <w:color w:val="231F20"/>
          <w:spacing w:val="-2"/>
          <w:w w:val="115"/>
        </w:rPr>
        <w:t>moi6</w:t>
      </w:r>
      <w:r>
        <w:rPr>
          <w:color w:val="231F20"/>
          <w:spacing w:val="-34"/>
          <w:w w:val="115"/>
        </w:rPr>
        <w:t> </w:t>
      </w:r>
      <w:r>
        <w:rPr>
          <w:color w:val="231F20"/>
          <w:spacing w:val="-2"/>
          <w:w w:val="115"/>
        </w:rPr>
        <w:t>».</w:t>
      </w:r>
      <w:r>
        <w:rPr>
          <w:color w:val="231F20"/>
          <w:spacing w:val="-9"/>
          <w:w w:val="115"/>
        </w:rPr>
        <w:t> </w:t>
      </w:r>
      <w:r>
        <w:rPr>
          <w:color w:val="231F20"/>
          <w:spacing w:val="-2"/>
          <w:w w:val="115"/>
        </w:rPr>
        <w:t>Il</w:t>
      </w:r>
      <w:r>
        <w:rPr>
          <w:color w:val="231F20"/>
          <w:spacing w:val="-8"/>
          <w:w w:val="115"/>
        </w:rPr>
        <w:t> </w:t>
      </w:r>
      <w:r>
        <w:rPr>
          <w:color w:val="231F20"/>
          <w:spacing w:val="-2"/>
          <w:w w:val="115"/>
        </w:rPr>
        <w:t>s’agit</w:t>
      </w:r>
      <w:r>
        <w:rPr>
          <w:color w:val="231F20"/>
          <w:spacing w:val="-9"/>
          <w:w w:val="115"/>
        </w:rPr>
        <w:t> </w:t>
      </w:r>
      <w:r>
        <w:rPr>
          <w:color w:val="231F20"/>
          <w:spacing w:val="-2"/>
          <w:w w:val="115"/>
        </w:rPr>
        <w:t>ainsi</w:t>
      </w:r>
      <w:r>
        <w:rPr>
          <w:color w:val="231F20"/>
          <w:spacing w:val="-8"/>
          <w:w w:val="115"/>
        </w:rPr>
        <w:t> </w:t>
      </w:r>
      <w:r>
        <w:rPr>
          <w:color w:val="231F20"/>
          <w:spacing w:val="-2"/>
          <w:w w:val="115"/>
        </w:rPr>
        <w:t>pour</w:t>
      </w:r>
      <w:r>
        <w:rPr>
          <w:color w:val="231F20"/>
          <w:spacing w:val="-9"/>
          <w:w w:val="115"/>
        </w:rPr>
        <w:t> </w:t>
      </w:r>
      <w:r>
        <w:rPr>
          <w:color w:val="231F20"/>
          <w:spacing w:val="-2"/>
          <w:w w:val="115"/>
        </w:rPr>
        <w:t>lui</w:t>
      </w:r>
      <w:r>
        <w:rPr>
          <w:color w:val="231F20"/>
          <w:spacing w:val="-8"/>
          <w:w w:val="115"/>
        </w:rPr>
        <w:t> </w:t>
      </w:r>
      <w:r>
        <w:rPr>
          <w:color w:val="231F20"/>
          <w:spacing w:val="-2"/>
          <w:w w:val="115"/>
        </w:rPr>
        <w:t>d’un</w:t>
      </w:r>
      <w:r>
        <w:rPr>
          <w:color w:val="231F20"/>
          <w:spacing w:val="-9"/>
          <w:w w:val="115"/>
        </w:rPr>
        <w:t> </w:t>
      </w:r>
      <w:r>
        <w:rPr>
          <w:color w:val="231F20"/>
          <w:spacing w:val="-2"/>
          <w:w w:val="115"/>
        </w:rPr>
        <w:t>jugement</w:t>
      </w:r>
    </w:p>
    <w:p>
      <w:pPr>
        <w:pStyle w:val="BodyText"/>
        <w:spacing w:before="55"/>
        <w:ind w:left="732" w:right="107"/>
        <w:jc w:val="right"/>
      </w:pPr>
      <w:r>
        <w:rPr>
          <w:color w:val="231F20"/>
          <w:w w:val="120"/>
        </w:rPr>
        <w:t>que</w:t>
      </w:r>
      <w:r>
        <w:rPr>
          <w:color w:val="231F20"/>
          <w:spacing w:val="-12"/>
          <w:w w:val="120"/>
        </w:rPr>
        <w:t> </w:t>
      </w:r>
      <w:r>
        <w:rPr>
          <w:color w:val="231F20"/>
          <w:w w:val="120"/>
        </w:rPr>
        <w:t>l’on</w:t>
      </w:r>
      <w:r>
        <w:rPr>
          <w:color w:val="231F20"/>
          <w:spacing w:val="-12"/>
          <w:w w:val="120"/>
        </w:rPr>
        <w:t> </w:t>
      </w:r>
      <w:r>
        <w:rPr>
          <w:color w:val="231F20"/>
          <w:w w:val="120"/>
        </w:rPr>
        <w:t>porte</w:t>
      </w:r>
      <w:r>
        <w:rPr>
          <w:color w:val="231F20"/>
          <w:spacing w:val="-12"/>
          <w:w w:val="120"/>
        </w:rPr>
        <w:t> </w:t>
      </w:r>
      <w:r>
        <w:rPr>
          <w:color w:val="231F20"/>
          <w:w w:val="120"/>
        </w:rPr>
        <w:t>à</w:t>
      </w:r>
      <w:r>
        <w:rPr>
          <w:color w:val="231F20"/>
          <w:spacing w:val="-11"/>
          <w:w w:val="120"/>
        </w:rPr>
        <w:t> </w:t>
      </w:r>
      <w:r>
        <w:rPr>
          <w:color w:val="231F20"/>
          <w:w w:val="120"/>
        </w:rPr>
        <w:t>l’égard</w:t>
      </w:r>
      <w:r>
        <w:rPr>
          <w:color w:val="231F20"/>
          <w:spacing w:val="-12"/>
          <w:w w:val="120"/>
        </w:rPr>
        <w:t> </w:t>
      </w:r>
      <w:r>
        <w:rPr>
          <w:color w:val="231F20"/>
          <w:w w:val="120"/>
        </w:rPr>
        <w:t>de</w:t>
      </w:r>
      <w:r>
        <w:rPr>
          <w:color w:val="231F20"/>
          <w:spacing w:val="-12"/>
          <w:w w:val="120"/>
        </w:rPr>
        <w:t> </w:t>
      </w:r>
      <w:r>
        <w:rPr>
          <w:color w:val="231F20"/>
          <w:w w:val="120"/>
        </w:rPr>
        <w:t>notre</w:t>
      </w:r>
      <w:r>
        <w:rPr>
          <w:color w:val="231F20"/>
          <w:spacing w:val="-12"/>
          <w:w w:val="120"/>
        </w:rPr>
        <w:t> </w:t>
      </w:r>
      <w:r>
        <w:rPr>
          <w:color w:val="231F20"/>
          <w:w w:val="120"/>
        </w:rPr>
        <w:t>propre</w:t>
      </w:r>
      <w:r>
        <w:rPr>
          <w:color w:val="231F20"/>
          <w:spacing w:val="-11"/>
          <w:w w:val="120"/>
        </w:rPr>
        <w:t> </w:t>
      </w:r>
      <w:r>
        <w:rPr>
          <w:color w:val="231F20"/>
          <w:spacing w:val="-2"/>
          <w:w w:val="120"/>
        </w:rPr>
        <w:t>valeur.</w:t>
      </w:r>
    </w:p>
    <w:p>
      <w:pPr>
        <w:spacing w:after="0"/>
        <w:jc w:val="right"/>
        <w:sectPr>
          <w:footerReference w:type="default" r:id="rId235"/>
          <w:pgSz w:w="8640" w:h="12960"/>
          <w:pgMar w:footer="424" w:header="0" w:top="500" w:bottom="620" w:left="420" w:right="1140"/>
        </w:sectPr>
      </w:pPr>
    </w:p>
    <w:p>
      <w:pPr>
        <w:spacing w:line="268" w:lineRule="auto" w:before="111"/>
        <w:ind w:left="1220" w:right="0" w:firstLine="365"/>
        <w:jc w:val="right"/>
        <w:rPr>
          <w:rFonts w:ascii="Arial" w:hAnsi="Arial"/>
          <w:sz w:val="14"/>
        </w:rPr>
      </w:pPr>
      <w:r>
        <w:rPr>
          <w:rFonts w:ascii="Arial" w:hAnsi="Arial"/>
          <w:color w:val="231F20"/>
          <w:sz w:val="14"/>
        </w:rPr>
        <w:t>L’être</w:t>
      </w:r>
      <w:r>
        <w:rPr>
          <w:rFonts w:ascii="Arial" w:hAnsi="Arial"/>
          <w:color w:val="231F20"/>
          <w:spacing w:val="-10"/>
          <w:sz w:val="14"/>
        </w:rPr>
        <w:t> </w:t>
      </w:r>
      <w:r>
        <w:rPr>
          <w:rFonts w:ascii="Arial" w:hAnsi="Arial"/>
          <w:color w:val="231F20"/>
          <w:sz w:val="14"/>
        </w:rPr>
        <w:t>humain</w:t>
      </w:r>
      <w:r>
        <w:rPr>
          <w:rFonts w:ascii="Arial" w:hAnsi="Arial"/>
          <w:color w:val="231F20"/>
          <w:spacing w:val="-10"/>
          <w:sz w:val="14"/>
        </w:rPr>
        <w:t> </w:t>
      </w:r>
      <w:r>
        <w:rPr>
          <w:rFonts w:ascii="Arial" w:hAnsi="Arial"/>
          <w:color w:val="231F20"/>
          <w:sz w:val="14"/>
        </w:rPr>
        <w:t>est</w:t>
      </w:r>
      <w:r>
        <w:rPr>
          <w:rFonts w:ascii="Arial" w:hAnsi="Arial"/>
          <w:color w:val="231F20"/>
          <w:spacing w:val="-10"/>
          <w:sz w:val="14"/>
        </w:rPr>
        <w:t> </w:t>
      </w:r>
      <w:r>
        <w:rPr>
          <w:rFonts w:ascii="Arial" w:hAnsi="Arial"/>
          <w:color w:val="231F20"/>
          <w:sz w:val="14"/>
        </w:rPr>
        <w:t>doté</w:t>
      </w:r>
      <w:r>
        <w:rPr>
          <w:rFonts w:ascii="Arial" w:hAnsi="Arial"/>
          <w:color w:val="231F20"/>
          <w:spacing w:val="40"/>
          <w:sz w:val="14"/>
        </w:rPr>
        <w:t> </w:t>
      </w:r>
      <w:r>
        <w:rPr>
          <w:rFonts w:ascii="Arial" w:hAnsi="Arial"/>
          <w:color w:val="231F20"/>
          <w:sz w:val="14"/>
        </w:rPr>
        <w:t>d’une estime de soi</w:t>
      </w:r>
      <w:r>
        <w:rPr>
          <w:rFonts w:ascii="Arial" w:hAnsi="Arial"/>
          <w:color w:val="231F20"/>
          <w:spacing w:val="40"/>
          <w:sz w:val="14"/>
        </w:rPr>
        <w:t> </w:t>
      </w:r>
      <w:r>
        <w:rPr>
          <w:rFonts w:ascii="Arial" w:hAnsi="Arial"/>
          <w:color w:val="231F20"/>
          <w:sz w:val="14"/>
        </w:rPr>
        <w:t>essentielle</w:t>
      </w:r>
      <w:r>
        <w:rPr>
          <w:rFonts w:ascii="Arial" w:hAnsi="Arial"/>
          <w:color w:val="231F20"/>
          <w:spacing w:val="12"/>
          <w:sz w:val="14"/>
        </w:rPr>
        <w:t> </w:t>
      </w:r>
      <w:r>
        <w:rPr>
          <w:rFonts w:ascii="Arial" w:hAnsi="Arial"/>
          <w:color w:val="231F20"/>
          <w:sz w:val="14"/>
        </w:rPr>
        <w:t>et</w:t>
      </w:r>
      <w:r>
        <w:rPr>
          <w:rFonts w:ascii="Arial" w:hAnsi="Arial"/>
          <w:color w:val="231F20"/>
          <w:spacing w:val="13"/>
          <w:sz w:val="14"/>
        </w:rPr>
        <w:t> </w:t>
      </w:r>
      <w:r>
        <w:rPr>
          <w:rFonts w:ascii="Arial" w:hAnsi="Arial"/>
          <w:color w:val="231F20"/>
          <w:sz w:val="14"/>
        </w:rPr>
        <w:t>originelle</w:t>
      </w:r>
      <w:r>
        <w:rPr>
          <w:rFonts w:ascii="Arial" w:hAnsi="Arial"/>
          <w:color w:val="231F20"/>
          <w:spacing w:val="80"/>
          <w:sz w:val="14"/>
        </w:rPr>
        <w:t> </w:t>
      </w:r>
      <w:r>
        <w:rPr>
          <w:rFonts w:ascii="Arial" w:hAnsi="Arial"/>
          <w:color w:val="231F20"/>
          <w:sz w:val="14"/>
        </w:rPr>
        <w:t>qu’il façonne au fil de son</w:t>
      </w:r>
      <w:r>
        <w:rPr>
          <w:rFonts w:ascii="Arial" w:hAnsi="Arial"/>
          <w:color w:val="231F20"/>
          <w:spacing w:val="40"/>
          <w:sz w:val="14"/>
        </w:rPr>
        <w:t> </w:t>
      </w:r>
      <w:r>
        <w:rPr>
          <w:rFonts w:ascii="Arial" w:hAnsi="Arial"/>
          <w:color w:val="231F20"/>
          <w:sz w:val="14"/>
        </w:rPr>
        <w:t>existence</w:t>
      </w:r>
      <w:r>
        <w:rPr>
          <w:rFonts w:ascii="Arial" w:hAnsi="Arial"/>
          <w:color w:val="231F20"/>
          <w:spacing w:val="-10"/>
          <w:sz w:val="14"/>
        </w:rPr>
        <w:t> </w:t>
      </w:r>
      <w:r>
        <w:rPr>
          <w:rFonts w:ascii="Arial" w:hAnsi="Arial"/>
          <w:color w:val="231F20"/>
          <w:sz w:val="14"/>
        </w:rPr>
        <w:t>en</w:t>
      </w:r>
      <w:r>
        <w:rPr>
          <w:rFonts w:ascii="Arial" w:hAnsi="Arial"/>
          <w:color w:val="231F20"/>
          <w:spacing w:val="-10"/>
          <w:sz w:val="14"/>
        </w:rPr>
        <w:t> </w:t>
      </w:r>
      <w:r>
        <w:rPr>
          <w:rFonts w:ascii="Arial" w:hAnsi="Arial"/>
          <w:color w:val="231F20"/>
          <w:sz w:val="14"/>
        </w:rPr>
        <w:t>fonction</w:t>
      </w:r>
      <w:r>
        <w:rPr>
          <w:rFonts w:ascii="Arial" w:hAnsi="Arial"/>
          <w:color w:val="231F20"/>
          <w:spacing w:val="-10"/>
          <w:sz w:val="14"/>
        </w:rPr>
        <w:t> </w:t>
      </w:r>
      <w:r>
        <w:rPr>
          <w:rFonts w:ascii="Arial" w:hAnsi="Arial"/>
          <w:color w:val="231F20"/>
          <w:sz w:val="14"/>
        </w:rPr>
        <w:t>de</w:t>
      </w:r>
      <w:r>
        <w:rPr>
          <w:rFonts w:ascii="Arial" w:hAnsi="Arial"/>
          <w:color w:val="231F20"/>
          <w:spacing w:val="-9"/>
          <w:sz w:val="14"/>
        </w:rPr>
        <w:t> </w:t>
      </w:r>
      <w:r>
        <w:rPr>
          <w:rFonts w:ascii="Arial" w:hAnsi="Arial"/>
          <w:color w:val="231F20"/>
          <w:sz w:val="14"/>
        </w:rPr>
        <w:t>ses</w:t>
      </w:r>
      <w:r>
        <w:rPr>
          <w:rFonts w:ascii="Arial" w:hAnsi="Arial"/>
          <w:color w:val="231F20"/>
          <w:spacing w:val="40"/>
          <w:sz w:val="14"/>
        </w:rPr>
        <w:t> </w:t>
      </w:r>
      <w:r>
        <w:rPr>
          <w:rFonts w:ascii="Arial" w:hAnsi="Arial"/>
          <w:color w:val="231F20"/>
          <w:sz w:val="14"/>
        </w:rPr>
        <w:t>succès et de ses échecs.</w:t>
      </w:r>
    </w:p>
    <w:p>
      <w:pPr>
        <w:pStyle w:val="BodyText"/>
        <w:spacing w:line="307" w:lineRule="auto" w:before="49"/>
        <w:ind w:left="200" w:right="104"/>
        <w:jc w:val="both"/>
      </w:pPr>
      <w:r>
        <w:rPr/>
        <w:br w:type="column"/>
      </w:r>
      <w:r>
        <w:rPr>
          <w:color w:val="231F20"/>
          <w:w w:val="120"/>
        </w:rPr>
        <w:t>Cette</w:t>
      </w:r>
      <w:r>
        <w:rPr>
          <w:color w:val="231F20"/>
          <w:spacing w:val="-6"/>
          <w:w w:val="120"/>
        </w:rPr>
        <w:t> </w:t>
      </w:r>
      <w:r>
        <w:rPr>
          <w:color w:val="231F20"/>
          <w:w w:val="120"/>
        </w:rPr>
        <w:t>perspective</w:t>
      </w:r>
      <w:r>
        <w:rPr>
          <w:color w:val="231F20"/>
          <w:spacing w:val="-6"/>
          <w:w w:val="120"/>
        </w:rPr>
        <w:t> </w:t>
      </w:r>
      <w:r>
        <w:rPr>
          <w:color w:val="231F20"/>
          <w:w w:val="120"/>
        </w:rPr>
        <w:t>fera</w:t>
      </w:r>
      <w:r>
        <w:rPr>
          <w:color w:val="231F20"/>
          <w:spacing w:val="-6"/>
          <w:w w:val="120"/>
        </w:rPr>
        <w:t> </w:t>
      </w:r>
      <w:r>
        <w:rPr>
          <w:color w:val="231F20"/>
          <w:w w:val="120"/>
        </w:rPr>
        <w:t>école</w:t>
      </w:r>
      <w:r>
        <w:rPr>
          <w:color w:val="231F20"/>
          <w:spacing w:val="-6"/>
          <w:w w:val="120"/>
        </w:rPr>
        <w:t> </w:t>
      </w:r>
      <w:r>
        <w:rPr>
          <w:color w:val="231F20"/>
          <w:w w:val="120"/>
        </w:rPr>
        <w:t>et</w:t>
      </w:r>
      <w:r>
        <w:rPr>
          <w:color w:val="231F20"/>
          <w:spacing w:val="-6"/>
          <w:w w:val="120"/>
        </w:rPr>
        <w:t> </w:t>
      </w:r>
      <w:r>
        <w:rPr>
          <w:color w:val="231F20"/>
          <w:w w:val="120"/>
        </w:rPr>
        <w:t>sera</w:t>
      </w:r>
      <w:r>
        <w:rPr>
          <w:color w:val="231F20"/>
          <w:spacing w:val="-6"/>
          <w:w w:val="120"/>
        </w:rPr>
        <w:t> </w:t>
      </w:r>
      <w:r>
        <w:rPr>
          <w:color w:val="231F20"/>
          <w:w w:val="120"/>
        </w:rPr>
        <w:t>reprise</w:t>
      </w:r>
      <w:r>
        <w:rPr>
          <w:color w:val="231F20"/>
          <w:spacing w:val="-6"/>
          <w:w w:val="120"/>
        </w:rPr>
        <w:t> </w:t>
      </w:r>
      <w:r>
        <w:rPr>
          <w:color w:val="231F20"/>
          <w:w w:val="120"/>
        </w:rPr>
        <w:t>par nombre</w:t>
      </w:r>
      <w:r>
        <w:rPr>
          <w:color w:val="231F20"/>
          <w:spacing w:val="-4"/>
          <w:w w:val="120"/>
        </w:rPr>
        <w:t> </w:t>
      </w:r>
      <w:r>
        <w:rPr>
          <w:color w:val="231F20"/>
          <w:w w:val="120"/>
        </w:rPr>
        <w:t>d’auteurs</w:t>
      </w:r>
      <w:r>
        <w:rPr>
          <w:color w:val="231F20"/>
          <w:spacing w:val="-4"/>
          <w:w w:val="120"/>
        </w:rPr>
        <w:t> </w:t>
      </w:r>
      <w:r>
        <w:rPr>
          <w:color w:val="231F20"/>
          <w:w w:val="120"/>
        </w:rPr>
        <w:t>dont</w:t>
      </w:r>
      <w:r>
        <w:rPr>
          <w:color w:val="231F20"/>
          <w:spacing w:val="-4"/>
          <w:w w:val="120"/>
        </w:rPr>
        <w:t> </w:t>
      </w:r>
      <w:r>
        <w:rPr>
          <w:color w:val="231F20"/>
          <w:w w:val="120"/>
        </w:rPr>
        <w:t>Paradis</w:t>
      </w:r>
      <w:r>
        <w:rPr>
          <w:color w:val="231F20"/>
          <w:spacing w:val="-4"/>
          <w:w w:val="120"/>
        </w:rPr>
        <w:t> </w:t>
      </w:r>
      <w:r>
        <w:rPr>
          <w:color w:val="231F20"/>
          <w:w w:val="120"/>
        </w:rPr>
        <w:t>et</w:t>
      </w:r>
      <w:r>
        <w:rPr>
          <w:color w:val="231F20"/>
          <w:spacing w:val="-4"/>
          <w:w w:val="120"/>
        </w:rPr>
        <w:t> </w:t>
      </w:r>
      <w:r>
        <w:rPr>
          <w:color w:val="231F20"/>
          <w:w w:val="120"/>
        </w:rPr>
        <w:t>Vitaro7,</w:t>
      </w:r>
      <w:r>
        <w:rPr>
          <w:color w:val="231F20"/>
          <w:spacing w:val="-4"/>
          <w:w w:val="120"/>
        </w:rPr>
        <w:t> </w:t>
      </w:r>
      <w:r>
        <w:rPr>
          <w:color w:val="231F20"/>
          <w:w w:val="120"/>
        </w:rPr>
        <w:t>qui </w:t>
      </w:r>
      <w:r>
        <w:rPr>
          <w:color w:val="231F20"/>
          <w:spacing w:val="-2"/>
          <w:w w:val="120"/>
        </w:rPr>
        <w:t>considèrent</w:t>
      </w:r>
      <w:r>
        <w:rPr>
          <w:color w:val="231F20"/>
          <w:spacing w:val="-8"/>
          <w:w w:val="120"/>
        </w:rPr>
        <w:t> </w:t>
      </w:r>
      <w:r>
        <w:rPr>
          <w:color w:val="231F20"/>
          <w:spacing w:val="-2"/>
          <w:w w:val="120"/>
        </w:rPr>
        <w:t>de</w:t>
      </w:r>
      <w:r>
        <w:rPr>
          <w:color w:val="231F20"/>
          <w:spacing w:val="-8"/>
          <w:w w:val="120"/>
        </w:rPr>
        <w:t> </w:t>
      </w:r>
      <w:r>
        <w:rPr>
          <w:color w:val="231F20"/>
          <w:spacing w:val="-2"/>
          <w:w w:val="120"/>
        </w:rPr>
        <w:t>façon</w:t>
      </w:r>
      <w:r>
        <w:rPr>
          <w:color w:val="231F20"/>
          <w:spacing w:val="-8"/>
          <w:w w:val="120"/>
        </w:rPr>
        <w:t> </w:t>
      </w:r>
      <w:r>
        <w:rPr>
          <w:color w:val="231F20"/>
          <w:spacing w:val="-2"/>
          <w:w w:val="120"/>
        </w:rPr>
        <w:t>holistique</w:t>
      </w:r>
      <w:r>
        <w:rPr>
          <w:color w:val="231F20"/>
          <w:spacing w:val="-8"/>
          <w:w w:val="120"/>
        </w:rPr>
        <w:t> </w:t>
      </w:r>
      <w:r>
        <w:rPr>
          <w:color w:val="231F20"/>
          <w:spacing w:val="-2"/>
          <w:w w:val="120"/>
        </w:rPr>
        <w:t>que</w:t>
      </w:r>
      <w:r>
        <w:rPr>
          <w:color w:val="231F20"/>
          <w:spacing w:val="-8"/>
          <w:w w:val="120"/>
        </w:rPr>
        <w:t> </w:t>
      </w:r>
      <w:r>
        <w:rPr>
          <w:color w:val="231F20"/>
          <w:spacing w:val="-2"/>
          <w:w w:val="120"/>
        </w:rPr>
        <w:t>l’estime</w:t>
      </w:r>
      <w:r>
        <w:rPr>
          <w:color w:val="231F20"/>
          <w:spacing w:val="-8"/>
          <w:w w:val="120"/>
        </w:rPr>
        <w:t> </w:t>
      </w:r>
      <w:r>
        <w:rPr>
          <w:color w:val="231F20"/>
          <w:spacing w:val="-2"/>
          <w:w w:val="120"/>
        </w:rPr>
        <w:t>de </w:t>
      </w:r>
      <w:r>
        <w:rPr>
          <w:color w:val="231F20"/>
          <w:w w:val="115"/>
        </w:rPr>
        <w:t>soi</w:t>
      </w:r>
      <w:r>
        <w:rPr>
          <w:color w:val="231F20"/>
          <w:spacing w:val="-13"/>
          <w:w w:val="115"/>
        </w:rPr>
        <w:t> </w:t>
      </w:r>
      <w:r>
        <w:rPr>
          <w:color w:val="231F20"/>
          <w:w w:val="115"/>
        </w:rPr>
        <w:t>est</w:t>
      </w:r>
      <w:r>
        <w:rPr>
          <w:color w:val="231F20"/>
          <w:spacing w:val="-6"/>
          <w:w w:val="115"/>
        </w:rPr>
        <w:t> </w:t>
      </w:r>
      <w:r>
        <w:rPr>
          <w:color w:val="231F20"/>
          <w:w w:val="115"/>
        </w:rPr>
        <w:t>«</w:t>
      </w:r>
      <w:r>
        <w:rPr>
          <w:color w:val="231F20"/>
          <w:spacing w:val="-13"/>
          <w:w w:val="115"/>
        </w:rPr>
        <w:t> </w:t>
      </w:r>
      <w:r>
        <w:rPr>
          <w:color w:val="231F20"/>
          <w:w w:val="115"/>
        </w:rPr>
        <w:t>un</w:t>
      </w:r>
      <w:r>
        <w:rPr>
          <w:color w:val="231F20"/>
          <w:spacing w:val="-1"/>
          <w:w w:val="115"/>
        </w:rPr>
        <w:t> </w:t>
      </w:r>
      <w:r>
        <w:rPr>
          <w:color w:val="231F20"/>
          <w:w w:val="115"/>
        </w:rPr>
        <w:t>regard</w:t>
      </w:r>
      <w:r>
        <w:rPr>
          <w:color w:val="231F20"/>
          <w:spacing w:val="-2"/>
          <w:w w:val="115"/>
        </w:rPr>
        <w:t> </w:t>
      </w:r>
      <w:r>
        <w:rPr>
          <w:color w:val="231F20"/>
          <w:w w:val="115"/>
        </w:rPr>
        <w:t>global</w:t>
      </w:r>
      <w:r>
        <w:rPr>
          <w:color w:val="231F20"/>
          <w:spacing w:val="-2"/>
          <w:w w:val="115"/>
        </w:rPr>
        <w:t> </w:t>
      </w:r>
      <w:r>
        <w:rPr>
          <w:color w:val="231F20"/>
          <w:w w:val="115"/>
        </w:rPr>
        <w:t>sur</w:t>
      </w:r>
      <w:r>
        <w:rPr>
          <w:color w:val="231F20"/>
          <w:spacing w:val="-2"/>
          <w:w w:val="115"/>
        </w:rPr>
        <w:t> </w:t>
      </w:r>
      <w:r>
        <w:rPr>
          <w:color w:val="231F20"/>
          <w:w w:val="115"/>
        </w:rPr>
        <w:t>soi</w:t>
      </w:r>
      <w:r>
        <w:rPr>
          <w:color w:val="231F20"/>
          <w:spacing w:val="-2"/>
          <w:w w:val="115"/>
        </w:rPr>
        <w:t> </w:t>
      </w:r>
      <w:r>
        <w:rPr>
          <w:color w:val="231F20"/>
          <w:w w:val="115"/>
        </w:rPr>
        <w:t>qui</w:t>
      </w:r>
      <w:r>
        <w:rPr>
          <w:color w:val="231F20"/>
          <w:spacing w:val="-2"/>
          <w:w w:val="115"/>
        </w:rPr>
        <w:t> </w:t>
      </w:r>
      <w:r>
        <w:rPr>
          <w:color w:val="231F20"/>
          <w:w w:val="115"/>
        </w:rPr>
        <w:t>correspond </w:t>
      </w:r>
      <w:r>
        <w:rPr>
          <w:color w:val="231F20"/>
          <w:w w:val="120"/>
        </w:rPr>
        <w:t>à un jugement de sa valeur en tant que per- sonne».</w:t>
      </w:r>
      <w:r>
        <w:rPr>
          <w:color w:val="231F20"/>
          <w:spacing w:val="-5"/>
          <w:w w:val="120"/>
        </w:rPr>
        <w:t> </w:t>
      </w:r>
      <w:r>
        <w:rPr>
          <w:color w:val="231F20"/>
          <w:w w:val="120"/>
        </w:rPr>
        <w:t>Simplement</w:t>
      </w:r>
      <w:r>
        <w:rPr>
          <w:color w:val="231F20"/>
          <w:spacing w:val="-4"/>
          <w:w w:val="120"/>
        </w:rPr>
        <w:t> </w:t>
      </w:r>
      <w:r>
        <w:rPr>
          <w:color w:val="231F20"/>
          <w:w w:val="120"/>
        </w:rPr>
        <w:t>dit,</w:t>
      </w:r>
      <w:r>
        <w:rPr>
          <w:color w:val="231F20"/>
          <w:spacing w:val="-5"/>
          <w:w w:val="120"/>
        </w:rPr>
        <w:t> </w:t>
      </w:r>
      <w:r>
        <w:rPr>
          <w:color w:val="231F20"/>
          <w:w w:val="120"/>
        </w:rPr>
        <w:t>l’estime</w:t>
      </w:r>
      <w:r>
        <w:rPr>
          <w:color w:val="231F20"/>
          <w:spacing w:val="-4"/>
          <w:w w:val="120"/>
        </w:rPr>
        <w:t> </w:t>
      </w:r>
      <w:r>
        <w:rPr>
          <w:color w:val="231F20"/>
          <w:w w:val="120"/>
        </w:rPr>
        <w:t>de</w:t>
      </w:r>
      <w:r>
        <w:rPr>
          <w:color w:val="231F20"/>
          <w:spacing w:val="-4"/>
          <w:w w:val="120"/>
        </w:rPr>
        <w:t> </w:t>
      </w:r>
      <w:r>
        <w:rPr>
          <w:color w:val="231F20"/>
          <w:w w:val="120"/>
        </w:rPr>
        <w:t>soi</w:t>
      </w:r>
      <w:r>
        <w:rPr>
          <w:color w:val="231F20"/>
          <w:spacing w:val="-5"/>
          <w:w w:val="120"/>
        </w:rPr>
        <w:t> </w:t>
      </w:r>
      <w:r>
        <w:rPr>
          <w:color w:val="231F20"/>
          <w:spacing w:val="-2"/>
          <w:w w:val="120"/>
        </w:rPr>
        <w:t>d’une</w:t>
      </w:r>
    </w:p>
    <w:p>
      <w:pPr>
        <w:spacing w:after="0" w:line="307" w:lineRule="auto"/>
        <w:jc w:val="both"/>
        <w:sectPr>
          <w:type w:val="continuous"/>
          <w:pgSz w:w="8640" w:h="12960"/>
          <w:pgMar w:header="0" w:footer="424" w:top="1220" w:bottom="280" w:left="420" w:right="1140"/>
          <w:cols w:num="2" w:equalWidth="0">
            <w:col w:w="2981" w:space="40"/>
            <w:col w:w="4059"/>
          </w:cols>
        </w:sectPr>
      </w:pPr>
    </w:p>
    <w:p>
      <w:pPr>
        <w:pStyle w:val="BodyText"/>
        <w:spacing w:line="307" w:lineRule="auto" w:before="4"/>
        <w:ind w:left="1220" w:right="108"/>
        <w:jc w:val="both"/>
      </w:pPr>
      <w:r>
        <w:rPr>
          <w:color w:val="231F20"/>
          <w:w w:val="115"/>
        </w:rPr>
        <w:t>personne</w:t>
      </w:r>
      <w:r>
        <w:rPr>
          <w:color w:val="231F20"/>
          <w:spacing w:val="-7"/>
          <w:w w:val="115"/>
        </w:rPr>
        <w:t> </w:t>
      </w:r>
      <w:r>
        <w:rPr>
          <w:color w:val="231F20"/>
          <w:w w:val="115"/>
        </w:rPr>
        <w:t>est</w:t>
      </w:r>
      <w:r>
        <w:rPr>
          <w:color w:val="231F20"/>
          <w:spacing w:val="-7"/>
          <w:w w:val="115"/>
        </w:rPr>
        <w:t> </w:t>
      </w:r>
      <w:r>
        <w:rPr>
          <w:color w:val="231F20"/>
          <w:w w:val="115"/>
        </w:rPr>
        <w:t>sa</w:t>
      </w:r>
      <w:r>
        <w:rPr>
          <w:color w:val="231F20"/>
          <w:spacing w:val="-7"/>
          <w:w w:val="115"/>
        </w:rPr>
        <w:t> </w:t>
      </w:r>
      <w:r>
        <w:rPr>
          <w:color w:val="231F20"/>
          <w:w w:val="115"/>
        </w:rPr>
        <w:t>propre</w:t>
      </w:r>
      <w:r>
        <w:rPr>
          <w:color w:val="231F20"/>
          <w:spacing w:val="-7"/>
          <w:w w:val="115"/>
        </w:rPr>
        <w:t> </w:t>
      </w:r>
      <w:r>
        <w:rPr>
          <w:color w:val="231F20"/>
          <w:w w:val="115"/>
        </w:rPr>
        <w:t>perception</w:t>
      </w:r>
      <w:r>
        <w:rPr>
          <w:color w:val="231F20"/>
          <w:spacing w:val="-7"/>
          <w:w w:val="115"/>
        </w:rPr>
        <w:t> </w:t>
      </w:r>
      <w:r>
        <w:rPr>
          <w:color w:val="231F20"/>
          <w:w w:val="115"/>
        </w:rPr>
        <w:t>de</w:t>
      </w:r>
      <w:r>
        <w:rPr>
          <w:color w:val="231F20"/>
          <w:spacing w:val="-7"/>
          <w:w w:val="115"/>
        </w:rPr>
        <w:t> </w:t>
      </w:r>
      <w:r>
        <w:rPr>
          <w:color w:val="231F20"/>
          <w:w w:val="115"/>
        </w:rPr>
        <w:t>sa</w:t>
      </w:r>
      <w:r>
        <w:rPr>
          <w:color w:val="231F20"/>
          <w:spacing w:val="-7"/>
          <w:w w:val="115"/>
        </w:rPr>
        <w:t> </w:t>
      </w:r>
      <w:r>
        <w:rPr>
          <w:color w:val="231F20"/>
          <w:w w:val="115"/>
        </w:rPr>
        <w:t>valeur</w:t>
      </w:r>
      <w:r>
        <w:rPr>
          <w:color w:val="231F20"/>
          <w:spacing w:val="-7"/>
          <w:w w:val="115"/>
        </w:rPr>
        <w:t> </w:t>
      </w:r>
      <w:r>
        <w:rPr>
          <w:color w:val="231F20"/>
          <w:w w:val="115"/>
        </w:rPr>
        <w:t>sociale,</w:t>
      </w:r>
      <w:r>
        <w:rPr>
          <w:color w:val="231F20"/>
          <w:spacing w:val="-7"/>
          <w:w w:val="115"/>
        </w:rPr>
        <w:t> </w:t>
      </w:r>
      <w:r>
        <w:rPr>
          <w:color w:val="231F20"/>
          <w:w w:val="115"/>
        </w:rPr>
        <w:t>il</w:t>
      </w:r>
      <w:r>
        <w:rPr>
          <w:color w:val="231F20"/>
          <w:spacing w:val="-7"/>
          <w:w w:val="115"/>
        </w:rPr>
        <w:t> </w:t>
      </w:r>
      <w:r>
        <w:rPr>
          <w:color w:val="231F20"/>
          <w:w w:val="115"/>
        </w:rPr>
        <w:t>s’agit</w:t>
      </w:r>
      <w:r>
        <w:rPr>
          <w:color w:val="231F20"/>
          <w:spacing w:val="-7"/>
          <w:w w:val="115"/>
        </w:rPr>
        <w:t> </w:t>
      </w:r>
      <w:r>
        <w:rPr>
          <w:color w:val="231F20"/>
          <w:w w:val="115"/>
        </w:rPr>
        <w:t>ainsi</w:t>
      </w:r>
      <w:r>
        <w:rPr>
          <w:color w:val="231F20"/>
          <w:spacing w:val="-7"/>
          <w:w w:val="115"/>
        </w:rPr>
        <w:t> </w:t>
      </w:r>
      <w:r>
        <w:rPr>
          <w:color w:val="231F20"/>
          <w:w w:val="115"/>
        </w:rPr>
        <w:t>d’une </w:t>
      </w:r>
      <w:r>
        <w:rPr>
          <w:color w:val="231F20"/>
          <w:w w:val="120"/>
        </w:rPr>
        <w:t>autoappréciation comparative de son importance comme personne.</w:t>
      </w:r>
    </w:p>
    <w:p>
      <w:pPr>
        <w:pStyle w:val="BodyText"/>
        <w:spacing w:line="307" w:lineRule="auto" w:before="80"/>
        <w:ind w:left="1220" w:right="104" w:firstLine="250"/>
        <w:jc w:val="both"/>
      </w:pPr>
      <w:r>
        <w:rPr>
          <w:color w:val="231F20"/>
          <w:spacing w:val="-2"/>
          <w:w w:val="120"/>
        </w:rPr>
        <w:t>Abraham</w:t>
      </w:r>
      <w:r>
        <w:rPr>
          <w:color w:val="231F20"/>
          <w:spacing w:val="-7"/>
          <w:w w:val="120"/>
        </w:rPr>
        <w:t> </w:t>
      </w:r>
      <w:r>
        <w:rPr>
          <w:color w:val="231F20"/>
          <w:spacing w:val="-2"/>
          <w:w w:val="120"/>
        </w:rPr>
        <w:t>Maslow,</w:t>
      </w:r>
      <w:r>
        <w:rPr>
          <w:color w:val="231F20"/>
          <w:spacing w:val="-7"/>
          <w:w w:val="120"/>
        </w:rPr>
        <w:t> </w:t>
      </w:r>
      <w:r>
        <w:rPr>
          <w:color w:val="231F20"/>
          <w:spacing w:val="-2"/>
          <w:w w:val="120"/>
        </w:rPr>
        <w:t>l’un</w:t>
      </w:r>
      <w:r>
        <w:rPr>
          <w:color w:val="231F20"/>
          <w:spacing w:val="-7"/>
          <w:w w:val="120"/>
        </w:rPr>
        <w:t> </w:t>
      </w:r>
      <w:r>
        <w:rPr>
          <w:color w:val="231F20"/>
          <w:spacing w:val="-2"/>
          <w:w w:val="120"/>
        </w:rPr>
        <w:t>des</w:t>
      </w:r>
      <w:r>
        <w:rPr>
          <w:color w:val="231F20"/>
          <w:spacing w:val="-7"/>
          <w:w w:val="120"/>
        </w:rPr>
        <w:t> </w:t>
      </w:r>
      <w:r>
        <w:rPr>
          <w:color w:val="231F20"/>
          <w:spacing w:val="-2"/>
          <w:w w:val="120"/>
        </w:rPr>
        <w:t>psychologues</w:t>
      </w:r>
      <w:r>
        <w:rPr>
          <w:color w:val="231F20"/>
          <w:spacing w:val="-7"/>
          <w:w w:val="120"/>
        </w:rPr>
        <w:t> </w:t>
      </w:r>
      <w:r>
        <w:rPr>
          <w:color w:val="231F20"/>
          <w:spacing w:val="-2"/>
          <w:w w:val="120"/>
        </w:rPr>
        <w:t>humanistes</w:t>
      </w:r>
      <w:r>
        <w:rPr>
          <w:color w:val="231F20"/>
          <w:spacing w:val="-7"/>
          <w:w w:val="120"/>
        </w:rPr>
        <w:t> </w:t>
      </w:r>
      <w:r>
        <w:rPr>
          <w:color w:val="231F20"/>
          <w:spacing w:val="-2"/>
          <w:w w:val="120"/>
        </w:rPr>
        <w:t>les</w:t>
      </w:r>
      <w:r>
        <w:rPr>
          <w:color w:val="231F20"/>
          <w:spacing w:val="-7"/>
          <w:w w:val="120"/>
        </w:rPr>
        <w:t> </w:t>
      </w:r>
      <w:r>
        <w:rPr>
          <w:color w:val="231F20"/>
          <w:spacing w:val="-2"/>
          <w:w w:val="120"/>
        </w:rPr>
        <w:t>plus</w:t>
      </w:r>
      <w:r>
        <w:rPr>
          <w:color w:val="231F20"/>
          <w:spacing w:val="-7"/>
          <w:w w:val="120"/>
        </w:rPr>
        <w:t> </w:t>
      </w:r>
      <w:r>
        <w:rPr>
          <w:color w:val="231F20"/>
          <w:spacing w:val="-2"/>
          <w:w w:val="120"/>
        </w:rPr>
        <w:t>impor- </w:t>
      </w:r>
      <w:r>
        <w:rPr>
          <w:color w:val="231F20"/>
          <w:w w:val="120"/>
        </w:rPr>
        <w:t>tants du XX</w:t>
      </w:r>
      <w:r>
        <w:rPr>
          <w:color w:val="231F20"/>
          <w:w w:val="120"/>
          <w:position w:val="6"/>
          <w:sz w:val="10"/>
        </w:rPr>
        <w:t>e </w:t>
      </w:r>
      <w:r>
        <w:rPr>
          <w:color w:val="231F20"/>
          <w:w w:val="120"/>
        </w:rPr>
        <w:t>siècle, définissait l’estime de soi, pour sa part, comme</w:t>
      </w:r>
      <w:r>
        <w:rPr>
          <w:color w:val="231F20"/>
          <w:spacing w:val="80"/>
          <w:w w:val="120"/>
        </w:rPr>
        <w:t> </w:t>
      </w:r>
      <w:r>
        <w:rPr>
          <w:color w:val="231F20"/>
          <w:w w:val="120"/>
        </w:rPr>
        <w:t>un</w:t>
      </w:r>
      <w:r>
        <w:rPr>
          <w:color w:val="231F20"/>
          <w:spacing w:val="-8"/>
          <w:w w:val="120"/>
        </w:rPr>
        <w:t> </w:t>
      </w:r>
      <w:r>
        <w:rPr>
          <w:color w:val="231F20"/>
          <w:w w:val="120"/>
        </w:rPr>
        <w:t>besoin</w:t>
      </w:r>
      <w:r>
        <w:rPr>
          <w:color w:val="231F20"/>
          <w:spacing w:val="-9"/>
          <w:w w:val="120"/>
        </w:rPr>
        <w:t> </w:t>
      </w:r>
      <w:r>
        <w:rPr>
          <w:color w:val="231F20"/>
          <w:w w:val="120"/>
        </w:rPr>
        <w:t>vital</w:t>
      </w:r>
      <w:r>
        <w:rPr>
          <w:color w:val="231F20"/>
          <w:spacing w:val="-9"/>
          <w:w w:val="120"/>
        </w:rPr>
        <w:t> </w:t>
      </w:r>
      <w:r>
        <w:rPr>
          <w:color w:val="231F20"/>
          <w:w w:val="120"/>
        </w:rPr>
        <w:t>de</w:t>
      </w:r>
      <w:r>
        <w:rPr>
          <w:color w:val="231F20"/>
          <w:spacing w:val="-9"/>
          <w:w w:val="120"/>
        </w:rPr>
        <w:t> </w:t>
      </w:r>
      <w:r>
        <w:rPr>
          <w:color w:val="231F20"/>
          <w:w w:val="120"/>
        </w:rPr>
        <w:t>priorité</w:t>
      </w:r>
      <w:r>
        <w:rPr>
          <w:color w:val="231F20"/>
          <w:spacing w:val="-9"/>
          <w:w w:val="120"/>
        </w:rPr>
        <w:t> </w:t>
      </w:r>
      <w:r>
        <w:rPr>
          <w:color w:val="231F20"/>
          <w:w w:val="120"/>
        </w:rPr>
        <w:t>intermédiaire</w:t>
      </w:r>
      <w:r>
        <w:rPr>
          <w:color w:val="231F20"/>
          <w:spacing w:val="-9"/>
          <w:w w:val="120"/>
        </w:rPr>
        <w:t> </w:t>
      </w:r>
      <w:r>
        <w:rPr>
          <w:color w:val="231F20"/>
          <w:w w:val="120"/>
        </w:rPr>
        <w:t>qui</w:t>
      </w:r>
      <w:r>
        <w:rPr>
          <w:color w:val="231F20"/>
          <w:spacing w:val="-9"/>
          <w:w w:val="120"/>
        </w:rPr>
        <w:t> </w:t>
      </w:r>
      <w:r>
        <w:rPr>
          <w:color w:val="231F20"/>
          <w:w w:val="120"/>
        </w:rPr>
        <w:t>succède</w:t>
      </w:r>
      <w:r>
        <w:rPr>
          <w:color w:val="231F20"/>
          <w:spacing w:val="-9"/>
          <w:w w:val="120"/>
        </w:rPr>
        <w:t> </w:t>
      </w:r>
      <w:r>
        <w:rPr>
          <w:color w:val="231F20"/>
          <w:w w:val="120"/>
        </w:rPr>
        <w:t>en</w:t>
      </w:r>
      <w:r>
        <w:rPr>
          <w:color w:val="231F20"/>
          <w:spacing w:val="-9"/>
          <w:w w:val="120"/>
        </w:rPr>
        <w:t> </w:t>
      </w:r>
      <w:r>
        <w:rPr>
          <w:color w:val="231F20"/>
          <w:w w:val="120"/>
        </w:rPr>
        <w:t>importance</w:t>
      </w:r>
      <w:r>
        <w:rPr>
          <w:color w:val="231F20"/>
          <w:spacing w:val="-9"/>
          <w:w w:val="120"/>
        </w:rPr>
        <w:t> </w:t>
      </w:r>
      <w:r>
        <w:rPr>
          <w:color w:val="231F20"/>
          <w:w w:val="120"/>
        </w:rPr>
        <w:t>aux besoins</w:t>
      </w:r>
      <w:r>
        <w:rPr>
          <w:color w:val="231F20"/>
          <w:spacing w:val="-11"/>
          <w:w w:val="120"/>
        </w:rPr>
        <w:t> </w:t>
      </w:r>
      <w:r>
        <w:rPr>
          <w:color w:val="231F20"/>
          <w:w w:val="120"/>
        </w:rPr>
        <w:t>fondamentaux</w:t>
      </w:r>
      <w:r>
        <w:rPr>
          <w:color w:val="231F20"/>
          <w:spacing w:val="-10"/>
          <w:w w:val="120"/>
        </w:rPr>
        <w:t> </w:t>
      </w:r>
      <w:r>
        <w:rPr>
          <w:color w:val="231F20"/>
          <w:w w:val="120"/>
        </w:rPr>
        <w:t>de</w:t>
      </w:r>
      <w:r>
        <w:rPr>
          <w:color w:val="231F20"/>
          <w:spacing w:val="-10"/>
          <w:w w:val="120"/>
        </w:rPr>
        <w:t> </w:t>
      </w:r>
      <w:r>
        <w:rPr>
          <w:color w:val="231F20"/>
          <w:w w:val="120"/>
        </w:rPr>
        <w:t>sécurité</w:t>
      </w:r>
      <w:r>
        <w:rPr>
          <w:color w:val="231F20"/>
          <w:spacing w:val="-11"/>
          <w:w w:val="120"/>
        </w:rPr>
        <w:t> </w:t>
      </w:r>
      <w:r>
        <w:rPr>
          <w:color w:val="231F20"/>
          <w:w w:val="120"/>
        </w:rPr>
        <w:t>et</w:t>
      </w:r>
      <w:r>
        <w:rPr>
          <w:color w:val="231F20"/>
          <w:spacing w:val="-10"/>
          <w:w w:val="120"/>
        </w:rPr>
        <w:t> </w:t>
      </w:r>
      <w:r>
        <w:rPr>
          <w:color w:val="231F20"/>
          <w:w w:val="120"/>
        </w:rPr>
        <w:t>de</w:t>
      </w:r>
      <w:r>
        <w:rPr>
          <w:color w:val="231F20"/>
          <w:spacing w:val="-10"/>
          <w:w w:val="120"/>
        </w:rPr>
        <w:t> </w:t>
      </w:r>
      <w:r>
        <w:rPr>
          <w:color w:val="231F20"/>
          <w:w w:val="120"/>
        </w:rPr>
        <w:t>liens</w:t>
      </w:r>
      <w:r>
        <w:rPr>
          <w:color w:val="231F20"/>
          <w:spacing w:val="-11"/>
          <w:w w:val="120"/>
        </w:rPr>
        <w:t> </w:t>
      </w:r>
      <w:r>
        <w:rPr>
          <w:color w:val="231F20"/>
          <w:w w:val="120"/>
        </w:rPr>
        <w:t>affectifs</w:t>
      </w:r>
      <w:r>
        <w:rPr>
          <w:color w:val="231F20"/>
          <w:spacing w:val="-10"/>
          <w:w w:val="120"/>
        </w:rPr>
        <w:t> </w:t>
      </w:r>
      <w:r>
        <w:rPr>
          <w:color w:val="231F20"/>
          <w:w w:val="120"/>
        </w:rPr>
        <w:t>et</w:t>
      </w:r>
      <w:r>
        <w:rPr>
          <w:color w:val="231F20"/>
          <w:spacing w:val="-10"/>
          <w:w w:val="120"/>
        </w:rPr>
        <w:t> </w:t>
      </w:r>
      <w:r>
        <w:rPr>
          <w:color w:val="231F20"/>
          <w:w w:val="120"/>
        </w:rPr>
        <w:t>qui</w:t>
      </w:r>
      <w:r>
        <w:rPr>
          <w:color w:val="231F20"/>
          <w:spacing w:val="-11"/>
          <w:w w:val="120"/>
        </w:rPr>
        <w:t> </w:t>
      </w:r>
      <w:r>
        <w:rPr>
          <w:color w:val="231F20"/>
          <w:w w:val="120"/>
        </w:rPr>
        <w:t>a</w:t>
      </w:r>
      <w:r>
        <w:rPr>
          <w:color w:val="231F20"/>
          <w:spacing w:val="-10"/>
          <w:w w:val="120"/>
        </w:rPr>
        <w:t> </w:t>
      </w:r>
      <w:r>
        <w:rPr>
          <w:color w:val="231F20"/>
          <w:w w:val="120"/>
        </w:rPr>
        <w:t>lui-</w:t>
      </w:r>
      <w:r>
        <w:rPr>
          <w:color w:val="231F20"/>
          <w:spacing w:val="-4"/>
          <w:w w:val="120"/>
        </w:rPr>
        <w:t>même</w:t>
      </w:r>
    </w:p>
    <w:p>
      <w:pPr>
        <w:pStyle w:val="BodyText"/>
        <w:spacing w:before="4"/>
        <w:rPr>
          <w:sz w:val="26"/>
        </w:rPr>
      </w:pPr>
      <w:r>
        <w:rPr/>
        <w:pict>
          <v:shape style="position:absolute;margin-left:82pt;margin-top:16.35606pt;width:287.5pt;height:.1pt;mso-position-horizontal-relative:page;mso-position-vertical-relative:paragraph;z-index:-15659008;mso-wrap-distance-left:0;mso-wrap-distance-right:0" id="docshape814" coordorigin="1640,327" coordsize="5750,0" path="m1640,327l7390,327e" filled="false" stroked="true" strokeweight=".25pt" strokecolor="#231f20">
            <v:path arrowok="t"/>
            <v:stroke dashstyle="shortdot"/>
            <w10:wrap type="topAndBottom"/>
          </v:shape>
        </w:pict>
      </w:r>
    </w:p>
    <w:p>
      <w:pPr>
        <w:pStyle w:val="ListParagraph"/>
        <w:numPr>
          <w:ilvl w:val="0"/>
          <w:numId w:val="63"/>
        </w:numPr>
        <w:tabs>
          <w:tab w:pos="1219" w:val="left" w:leader="none"/>
          <w:tab w:pos="1220" w:val="left" w:leader="none"/>
        </w:tabs>
        <w:spacing w:line="240" w:lineRule="auto" w:before="135" w:after="0"/>
        <w:ind w:left="1219" w:right="0" w:hanging="328"/>
        <w:jc w:val="left"/>
        <w:rPr>
          <w:rFonts w:ascii="Arial"/>
          <w:sz w:val="12"/>
        </w:rPr>
      </w:pPr>
      <w:r>
        <w:rPr>
          <w:rFonts w:ascii="Arial"/>
          <w:color w:val="231F20"/>
          <w:spacing w:val="-2"/>
          <w:sz w:val="12"/>
        </w:rPr>
        <w:t>James,</w:t>
      </w:r>
      <w:r>
        <w:rPr>
          <w:rFonts w:ascii="Arial"/>
          <w:color w:val="231F20"/>
          <w:sz w:val="12"/>
        </w:rPr>
        <w:t> </w:t>
      </w:r>
      <w:r>
        <w:rPr>
          <w:rFonts w:ascii="Arial"/>
          <w:color w:val="231F20"/>
          <w:spacing w:val="-2"/>
          <w:sz w:val="12"/>
        </w:rPr>
        <w:t>W.</w:t>
      </w:r>
      <w:r>
        <w:rPr>
          <w:rFonts w:ascii="Arial"/>
          <w:color w:val="231F20"/>
          <w:spacing w:val="1"/>
          <w:sz w:val="12"/>
        </w:rPr>
        <w:t> </w:t>
      </w:r>
      <w:r>
        <w:rPr>
          <w:rFonts w:ascii="Arial"/>
          <w:color w:val="231F20"/>
          <w:spacing w:val="-2"/>
          <w:sz w:val="12"/>
        </w:rPr>
        <w:t>(1890).</w:t>
      </w:r>
      <w:r>
        <w:rPr>
          <w:rFonts w:ascii="Arial"/>
          <w:color w:val="231F20"/>
          <w:spacing w:val="1"/>
          <w:sz w:val="12"/>
        </w:rPr>
        <w:t> </w:t>
      </w:r>
      <w:r>
        <w:rPr>
          <w:rFonts w:ascii="Arial"/>
          <w:i/>
          <w:color w:val="231F20"/>
          <w:spacing w:val="-2"/>
          <w:sz w:val="12"/>
        </w:rPr>
        <w:t>The</w:t>
      </w:r>
      <w:r>
        <w:rPr>
          <w:rFonts w:ascii="Arial"/>
          <w:i/>
          <w:color w:val="231F20"/>
          <w:sz w:val="12"/>
        </w:rPr>
        <w:t> </w:t>
      </w:r>
      <w:r>
        <w:rPr>
          <w:rFonts w:ascii="Arial"/>
          <w:i/>
          <w:color w:val="231F20"/>
          <w:spacing w:val="-2"/>
          <w:sz w:val="12"/>
        </w:rPr>
        <w:t>Principles</w:t>
      </w:r>
      <w:r>
        <w:rPr>
          <w:rFonts w:ascii="Arial"/>
          <w:i/>
          <w:color w:val="231F20"/>
          <w:spacing w:val="1"/>
          <w:sz w:val="12"/>
        </w:rPr>
        <w:t> </w:t>
      </w:r>
      <w:r>
        <w:rPr>
          <w:rFonts w:ascii="Arial"/>
          <w:i/>
          <w:color w:val="231F20"/>
          <w:spacing w:val="-2"/>
          <w:sz w:val="12"/>
        </w:rPr>
        <w:t>of</w:t>
      </w:r>
      <w:r>
        <w:rPr>
          <w:rFonts w:ascii="Arial"/>
          <w:i/>
          <w:color w:val="231F20"/>
          <w:spacing w:val="1"/>
          <w:sz w:val="12"/>
        </w:rPr>
        <w:t> </w:t>
      </w:r>
      <w:r>
        <w:rPr>
          <w:rFonts w:ascii="Arial"/>
          <w:i/>
          <w:color w:val="231F20"/>
          <w:spacing w:val="-2"/>
          <w:sz w:val="12"/>
        </w:rPr>
        <w:t>Psychology</w:t>
      </w:r>
      <w:r>
        <w:rPr>
          <w:rFonts w:ascii="Arial"/>
          <w:color w:val="231F20"/>
          <w:spacing w:val="-2"/>
          <w:sz w:val="12"/>
        </w:rPr>
        <w:t>,</w:t>
      </w:r>
      <w:r>
        <w:rPr>
          <w:rFonts w:ascii="Arial"/>
          <w:color w:val="231F20"/>
          <w:spacing w:val="1"/>
          <w:sz w:val="12"/>
        </w:rPr>
        <w:t> </w:t>
      </w:r>
      <w:r>
        <w:rPr>
          <w:rFonts w:ascii="Arial"/>
          <w:color w:val="231F20"/>
          <w:spacing w:val="-2"/>
          <w:sz w:val="12"/>
        </w:rPr>
        <w:t>New</w:t>
      </w:r>
      <w:r>
        <w:rPr>
          <w:rFonts w:ascii="Arial"/>
          <w:color w:val="231F20"/>
          <w:sz w:val="12"/>
        </w:rPr>
        <w:t> </w:t>
      </w:r>
      <w:r>
        <w:rPr>
          <w:rFonts w:ascii="Arial"/>
          <w:color w:val="231F20"/>
          <w:spacing w:val="-2"/>
          <w:sz w:val="12"/>
        </w:rPr>
        <w:t>York,</w:t>
      </w:r>
      <w:r>
        <w:rPr>
          <w:rFonts w:ascii="Arial"/>
          <w:color w:val="231F20"/>
          <w:spacing w:val="1"/>
          <w:sz w:val="12"/>
        </w:rPr>
        <w:t> </w:t>
      </w:r>
      <w:r>
        <w:rPr>
          <w:rFonts w:ascii="Arial"/>
          <w:color w:val="231F20"/>
          <w:spacing w:val="-2"/>
          <w:sz w:val="12"/>
        </w:rPr>
        <w:t>Henry</w:t>
      </w:r>
      <w:r>
        <w:rPr>
          <w:rFonts w:ascii="Arial"/>
          <w:color w:val="231F20"/>
          <w:spacing w:val="1"/>
          <w:sz w:val="12"/>
        </w:rPr>
        <w:t> </w:t>
      </w:r>
      <w:r>
        <w:rPr>
          <w:rFonts w:ascii="Arial"/>
          <w:color w:val="231F20"/>
          <w:spacing w:val="-2"/>
          <w:sz w:val="12"/>
        </w:rPr>
        <w:t>Holt</w:t>
      </w:r>
      <w:r>
        <w:rPr>
          <w:rFonts w:ascii="Arial"/>
          <w:color w:val="231F20"/>
          <w:spacing w:val="1"/>
          <w:sz w:val="12"/>
        </w:rPr>
        <w:t> </w:t>
      </w:r>
      <w:r>
        <w:rPr>
          <w:rFonts w:ascii="Arial"/>
          <w:color w:val="231F20"/>
          <w:spacing w:val="-2"/>
          <w:sz w:val="12"/>
        </w:rPr>
        <w:t>and</w:t>
      </w:r>
      <w:r>
        <w:rPr>
          <w:rFonts w:ascii="Arial"/>
          <w:color w:val="231F20"/>
          <w:sz w:val="12"/>
        </w:rPr>
        <w:t> </w:t>
      </w:r>
      <w:r>
        <w:rPr>
          <w:rFonts w:ascii="Arial"/>
          <w:color w:val="231F20"/>
          <w:spacing w:val="-2"/>
          <w:sz w:val="12"/>
        </w:rPr>
        <w:t>Company.</w:t>
      </w:r>
    </w:p>
    <w:p>
      <w:pPr>
        <w:pStyle w:val="ListParagraph"/>
        <w:numPr>
          <w:ilvl w:val="0"/>
          <w:numId w:val="63"/>
        </w:numPr>
        <w:tabs>
          <w:tab w:pos="1219" w:val="left" w:leader="none"/>
          <w:tab w:pos="1220" w:val="left" w:leader="none"/>
        </w:tabs>
        <w:spacing w:line="240" w:lineRule="auto" w:before="32" w:after="0"/>
        <w:ind w:left="1219" w:right="0" w:hanging="328"/>
        <w:jc w:val="left"/>
        <w:rPr>
          <w:rFonts w:ascii="Arial" w:hAnsi="Arial"/>
          <w:sz w:val="12"/>
        </w:rPr>
      </w:pPr>
      <w:r>
        <w:rPr>
          <w:rFonts w:ascii="Arial" w:hAnsi="Arial"/>
          <w:color w:val="231F20"/>
          <w:w w:val="95"/>
          <w:sz w:val="12"/>
        </w:rPr>
        <w:t>Doré,</w:t>
      </w:r>
      <w:r>
        <w:rPr>
          <w:rFonts w:ascii="Arial" w:hAnsi="Arial"/>
          <w:color w:val="231F20"/>
          <w:spacing w:val="3"/>
          <w:sz w:val="12"/>
        </w:rPr>
        <w:t> </w:t>
      </w:r>
      <w:r>
        <w:rPr>
          <w:rFonts w:ascii="Arial" w:hAnsi="Arial"/>
          <w:color w:val="231F20"/>
          <w:w w:val="95"/>
          <w:sz w:val="12"/>
        </w:rPr>
        <w:t>C.</w:t>
      </w:r>
      <w:r>
        <w:rPr>
          <w:rFonts w:ascii="Arial" w:hAnsi="Arial"/>
          <w:color w:val="231F20"/>
          <w:spacing w:val="3"/>
          <w:sz w:val="12"/>
        </w:rPr>
        <w:t> </w:t>
      </w:r>
      <w:r>
        <w:rPr>
          <w:rFonts w:ascii="Arial" w:hAnsi="Arial"/>
          <w:color w:val="231F20"/>
          <w:w w:val="95"/>
          <w:sz w:val="12"/>
        </w:rPr>
        <w:t>(2017).</w:t>
      </w:r>
      <w:r>
        <w:rPr>
          <w:rFonts w:ascii="Arial" w:hAnsi="Arial"/>
          <w:color w:val="231F20"/>
          <w:spacing w:val="3"/>
          <w:sz w:val="12"/>
        </w:rPr>
        <w:t> </w:t>
      </w:r>
      <w:r>
        <w:rPr>
          <w:rFonts w:ascii="Arial" w:hAnsi="Arial"/>
          <w:color w:val="231F20"/>
          <w:w w:val="95"/>
          <w:sz w:val="12"/>
        </w:rPr>
        <w:t>L’estime</w:t>
      </w:r>
      <w:r>
        <w:rPr>
          <w:rFonts w:ascii="Arial" w:hAnsi="Arial"/>
          <w:color w:val="231F20"/>
          <w:spacing w:val="3"/>
          <w:sz w:val="12"/>
        </w:rPr>
        <w:t> </w:t>
      </w:r>
      <w:r>
        <w:rPr>
          <w:rFonts w:ascii="Arial" w:hAnsi="Arial"/>
          <w:color w:val="231F20"/>
          <w:w w:val="95"/>
          <w:sz w:val="12"/>
        </w:rPr>
        <w:t>de</w:t>
      </w:r>
      <w:r>
        <w:rPr>
          <w:rFonts w:ascii="Arial" w:hAnsi="Arial"/>
          <w:color w:val="231F20"/>
          <w:spacing w:val="3"/>
          <w:sz w:val="12"/>
        </w:rPr>
        <w:t> </w:t>
      </w:r>
      <w:r>
        <w:rPr>
          <w:rFonts w:ascii="Arial" w:hAnsi="Arial"/>
          <w:color w:val="231F20"/>
          <w:w w:val="95"/>
          <w:sz w:val="12"/>
        </w:rPr>
        <w:t>soi</w:t>
      </w:r>
      <w:r>
        <w:rPr>
          <w:rFonts w:ascii="Arial" w:hAnsi="Arial"/>
          <w:color w:val="231F20"/>
          <w:spacing w:val="-19"/>
          <w:w w:val="95"/>
          <w:sz w:val="12"/>
        </w:rPr>
        <w:t> </w:t>
      </w:r>
      <w:r>
        <w:rPr>
          <w:rFonts w:ascii="Arial" w:hAnsi="Arial"/>
          <w:color w:val="231F20"/>
          <w:w w:val="95"/>
          <w:sz w:val="12"/>
        </w:rPr>
        <w:t>:</w:t>
      </w:r>
      <w:r>
        <w:rPr>
          <w:rFonts w:ascii="Arial" w:hAnsi="Arial"/>
          <w:color w:val="231F20"/>
          <w:spacing w:val="3"/>
          <w:sz w:val="12"/>
        </w:rPr>
        <w:t> </w:t>
      </w:r>
      <w:r>
        <w:rPr>
          <w:rFonts w:ascii="Arial" w:hAnsi="Arial"/>
          <w:color w:val="231F20"/>
          <w:w w:val="95"/>
          <w:sz w:val="12"/>
        </w:rPr>
        <w:t>analyse</w:t>
      </w:r>
      <w:r>
        <w:rPr>
          <w:rFonts w:ascii="Arial" w:hAnsi="Arial"/>
          <w:color w:val="231F20"/>
          <w:spacing w:val="3"/>
          <w:sz w:val="12"/>
        </w:rPr>
        <w:t> </w:t>
      </w:r>
      <w:r>
        <w:rPr>
          <w:rFonts w:ascii="Arial" w:hAnsi="Arial"/>
          <w:color w:val="231F20"/>
          <w:w w:val="95"/>
          <w:sz w:val="12"/>
        </w:rPr>
        <w:t>d’un</w:t>
      </w:r>
      <w:r>
        <w:rPr>
          <w:rFonts w:ascii="Arial" w:hAnsi="Arial"/>
          <w:color w:val="231F20"/>
          <w:spacing w:val="3"/>
          <w:sz w:val="12"/>
        </w:rPr>
        <w:t> </w:t>
      </w:r>
      <w:r>
        <w:rPr>
          <w:rFonts w:ascii="Arial" w:hAnsi="Arial"/>
          <w:color w:val="231F20"/>
          <w:w w:val="95"/>
          <w:sz w:val="12"/>
        </w:rPr>
        <w:t>concept,</w:t>
      </w:r>
      <w:r>
        <w:rPr>
          <w:rFonts w:ascii="Arial" w:hAnsi="Arial"/>
          <w:color w:val="231F20"/>
          <w:spacing w:val="3"/>
          <w:sz w:val="12"/>
        </w:rPr>
        <w:t> </w:t>
      </w:r>
      <w:r>
        <w:rPr>
          <w:rFonts w:ascii="Arial" w:hAnsi="Arial"/>
          <w:i/>
          <w:color w:val="231F20"/>
          <w:w w:val="95"/>
          <w:sz w:val="12"/>
        </w:rPr>
        <w:t>Recherche</w:t>
      </w:r>
      <w:r>
        <w:rPr>
          <w:rFonts w:ascii="Arial" w:hAnsi="Arial"/>
          <w:i/>
          <w:color w:val="231F20"/>
          <w:spacing w:val="3"/>
          <w:sz w:val="12"/>
        </w:rPr>
        <w:t> </w:t>
      </w:r>
      <w:r>
        <w:rPr>
          <w:rFonts w:ascii="Arial" w:hAnsi="Arial"/>
          <w:i/>
          <w:color w:val="231F20"/>
          <w:w w:val="95"/>
          <w:sz w:val="12"/>
        </w:rPr>
        <w:t>en</w:t>
      </w:r>
      <w:r>
        <w:rPr>
          <w:rFonts w:ascii="Arial" w:hAnsi="Arial"/>
          <w:i/>
          <w:color w:val="231F20"/>
          <w:spacing w:val="3"/>
          <w:sz w:val="12"/>
        </w:rPr>
        <w:t> </w:t>
      </w:r>
      <w:r>
        <w:rPr>
          <w:rFonts w:ascii="Arial" w:hAnsi="Arial"/>
          <w:i/>
          <w:color w:val="231F20"/>
          <w:w w:val="95"/>
          <w:sz w:val="12"/>
        </w:rPr>
        <w:t>soins</w:t>
      </w:r>
      <w:r>
        <w:rPr>
          <w:rFonts w:ascii="Arial" w:hAnsi="Arial"/>
          <w:i/>
          <w:color w:val="231F20"/>
          <w:spacing w:val="3"/>
          <w:sz w:val="12"/>
        </w:rPr>
        <w:t> </w:t>
      </w:r>
      <w:r>
        <w:rPr>
          <w:rFonts w:ascii="Arial" w:hAnsi="Arial"/>
          <w:i/>
          <w:color w:val="231F20"/>
          <w:w w:val="95"/>
          <w:sz w:val="12"/>
        </w:rPr>
        <w:t>infirmiers</w:t>
      </w:r>
      <w:r>
        <w:rPr>
          <w:rFonts w:ascii="Arial" w:hAnsi="Arial"/>
          <w:color w:val="231F20"/>
          <w:w w:val="95"/>
          <w:sz w:val="12"/>
        </w:rPr>
        <w:t>,</w:t>
      </w:r>
      <w:r>
        <w:rPr>
          <w:rFonts w:ascii="Arial" w:hAnsi="Arial"/>
          <w:color w:val="231F20"/>
          <w:spacing w:val="3"/>
          <w:sz w:val="12"/>
        </w:rPr>
        <w:t> </w:t>
      </w:r>
      <w:r>
        <w:rPr>
          <w:rFonts w:ascii="Arial" w:hAnsi="Arial"/>
          <w:i/>
          <w:color w:val="231F20"/>
          <w:w w:val="95"/>
          <w:sz w:val="12"/>
        </w:rPr>
        <w:t>129</w:t>
      </w:r>
      <w:r>
        <w:rPr>
          <w:rFonts w:ascii="Arial" w:hAnsi="Arial"/>
          <w:color w:val="231F20"/>
          <w:w w:val="95"/>
          <w:sz w:val="12"/>
        </w:rPr>
        <w:t>,</w:t>
      </w:r>
      <w:r>
        <w:rPr>
          <w:rFonts w:ascii="Arial" w:hAnsi="Arial"/>
          <w:color w:val="231F20"/>
          <w:spacing w:val="3"/>
          <w:sz w:val="12"/>
        </w:rPr>
        <w:t> </w:t>
      </w:r>
      <w:r>
        <w:rPr>
          <w:rFonts w:ascii="Arial" w:hAnsi="Arial"/>
          <w:color w:val="231F20"/>
          <w:w w:val="95"/>
          <w:sz w:val="12"/>
        </w:rPr>
        <w:t>18-</w:t>
      </w:r>
      <w:r>
        <w:rPr>
          <w:rFonts w:ascii="Arial" w:hAnsi="Arial"/>
          <w:color w:val="231F20"/>
          <w:spacing w:val="-5"/>
          <w:w w:val="95"/>
          <w:sz w:val="12"/>
        </w:rPr>
        <w:t>26.</w:t>
      </w:r>
    </w:p>
    <w:p>
      <w:pPr>
        <w:pStyle w:val="ListParagraph"/>
        <w:numPr>
          <w:ilvl w:val="0"/>
          <w:numId w:val="63"/>
        </w:numPr>
        <w:tabs>
          <w:tab w:pos="1219" w:val="left" w:leader="none"/>
          <w:tab w:pos="1220" w:val="left" w:leader="none"/>
        </w:tabs>
        <w:spacing w:line="295" w:lineRule="auto" w:before="32" w:after="0"/>
        <w:ind w:left="1219" w:right="112" w:hanging="328"/>
        <w:jc w:val="left"/>
        <w:rPr>
          <w:rFonts w:ascii="Arial" w:hAnsi="Arial"/>
          <w:sz w:val="12"/>
        </w:rPr>
      </w:pPr>
      <w:r>
        <w:rPr>
          <w:rFonts w:ascii="Arial" w:hAnsi="Arial"/>
          <w:color w:val="231F20"/>
          <w:spacing w:val="-2"/>
          <w:sz w:val="12"/>
        </w:rPr>
        <w:t>Paradis,</w:t>
      </w:r>
      <w:r>
        <w:rPr>
          <w:rFonts w:ascii="Arial" w:hAnsi="Arial"/>
          <w:color w:val="231F20"/>
          <w:spacing w:val="-4"/>
          <w:sz w:val="12"/>
        </w:rPr>
        <w:t> </w:t>
      </w:r>
      <w:r>
        <w:rPr>
          <w:rFonts w:ascii="Arial" w:hAnsi="Arial"/>
          <w:color w:val="231F20"/>
          <w:spacing w:val="-2"/>
          <w:sz w:val="12"/>
        </w:rPr>
        <w:t>R.</w:t>
      </w:r>
      <w:r>
        <w:rPr>
          <w:rFonts w:ascii="Arial" w:hAnsi="Arial"/>
          <w:color w:val="231F20"/>
          <w:spacing w:val="-4"/>
          <w:sz w:val="12"/>
        </w:rPr>
        <w:t> </w:t>
      </w:r>
      <w:r>
        <w:rPr>
          <w:rFonts w:ascii="Arial" w:hAnsi="Arial"/>
          <w:color w:val="231F20"/>
          <w:spacing w:val="-2"/>
          <w:sz w:val="12"/>
        </w:rPr>
        <w:t>et</w:t>
      </w:r>
      <w:r>
        <w:rPr>
          <w:rFonts w:ascii="Arial" w:hAnsi="Arial"/>
          <w:color w:val="231F20"/>
          <w:spacing w:val="-4"/>
          <w:sz w:val="12"/>
        </w:rPr>
        <w:t> </w:t>
      </w:r>
      <w:r>
        <w:rPr>
          <w:rFonts w:ascii="Arial" w:hAnsi="Arial"/>
          <w:color w:val="231F20"/>
          <w:spacing w:val="-2"/>
          <w:sz w:val="12"/>
        </w:rPr>
        <w:t>Vitaro,</w:t>
      </w:r>
      <w:r>
        <w:rPr>
          <w:rFonts w:ascii="Arial" w:hAnsi="Arial"/>
          <w:color w:val="231F20"/>
          <w:spacing w:val="-4"/>
          <w:sz w:val="12"/>
        </w:rPr>
        <w:t> </w:t>
      </w:r>
      <w:r>
        <w:rPr>
          <w:rFonts w:ascii="Arial" w:hAnsi="Arial"/>
          <w:color w:val="231F20"/>
          <w:spacing w:val="-2"/>
          <w:sz w:val="12"/>
        </w:rPr>
        <w:t>F.</w:t>
      </w:r>
      <w:r>
        <w:rPr>
          <w:rFonts w:ascii="Arial" w:hAnsi="Arial"/>
          <w:color w:val="231F20"/>
          <w:spacing w:val="-4"/>
          <w:sz w:val="12"/>
        </w:rPr>
        <w:t> </w:t>
      </w:r>
      <w:r>
        <w:rPr>
          <w:rFonts w:ascii="Arial" w:hAnsi="Arial"/>
          <w:color w:val="231F20"/>
          <w:spacing w:val="-2"/>
          <w:sz w:val="12"/>
        </w:rPr>
        <w:t>(1992).</w:t>
      </w:r>
      <w:r>
        <w:rPr>
          <w:rFonts w:ascii="Arial" w:hAnsi="Arial"/>
          <w:color w:val="231F20"/>
          <w:spacing w:val="-4"/>
          <w:sz w:val="12"/>
        </w:rPr>
        <w:t> </w:t>
      </w:r>
      <w:r>
        <w:rPr>
          <w:rFonts w:ascii="Arial" w:hAnsi="Arial"/>
          <w:color w:val="231F20"/>
          <w:spacing w:val="-2"/>
          <w:sz w:val="12"/>
        </w:rPr>
        <w:t>Définition</w:t>
      </w:r>
      <w:r>
        <w:rPr>
          <w:rFonts w:ascii="Arial" w:hAnsi="Arial"/>
          <w:color w:val="231F20"/>
          <w:spacing w:val="-4"/>
          <w:sz w:val="12"/>
        </w:rPr>
        <w:t> </w:t>
      </w:r>
      <w:r>
        <w:rPr>
          <w:rFonts w:ascii="Arial" w:hAnsi="Arial"/>
          <w:color w:val="231F20"/>
          <w:spacing w:val="-2"/>
          <w:sz w:val="12"/>
        </w:rPr>
        <w:t>et</w:t>
      </w:r>
      <w:r>
        <w:rPr>
          <w:rFonts w:ascii="Arial" w:hAnsi="Arial"/>
          <w:color w:val="231F20"/>
          <w:spacing w:val="-4"/>
          <w:sz w:val="12"/>
        </w:rPr>
        <w:t> </w:t>
      </w:r>
      <w:r>
        <w:rPr>
          <w:rFonts w:ascii="Arial" w:hAnsi="Arial"/>
          <w:color w:val="231F20"/>
          <w:spacing w:val="-2"/>
          <w:sz w:val="12"/>
        </w:rPr>
        <w:t>mesure</w:t>
      </w:r>
      <w:r>
        <w:rPr>
          <w:rFonts w:ascii="Arial" w:hAnsi="Arial"/>
          <w:color w:val="231F20"/>
          <w:spacing w:val="-4"/>
          <w:sz w:val="12"/>
        </w:rPr>
        <w:t> </w:t>
      </w:r>
      <w:r>
        <w:rPr>
          <w:rFonts w:ascii="Arial" w:hAnsi="Arial"/>
          <w:color w:val="231F20"/>
          <w:spacing w:val="-2"/>
          <w:sz w:val="12"/>
        </w:rPr>
        <w:t>du</w:t>
      </w:r>
      <w:r>
        <w:rPr>
          <w:rFonts w:ascii="Arial" w:hAnsi="Arial"/>
          <w:color w:val="231F20"/>
          <w:spacing w:val="-4"/>
          <w:sz w:val="12"/>
        </w:rPr>
        <w:t> </w:t>
      </w:r>
      <w:r>
        <w:rPr>
          <w:rFonts w:ascii="Arial" w:hAnsi="Arial"/>
          <w:color w:val="231F20"/>
          <w:spacing w:val="-2"/>
          <w:sz w:val="12"/>
        </w:rPr>
        <w:t>concept</w:t>
      </w:r>
      <w:r>
        <w:rPr>
          <w:rFonts w:ascii="Arial" w:hAnsi="Arial"/>
          <w:color w:val="231F20"/>
          <w:spacing w:val="-4"/>
          <w:sz w:val="12"/>
        </w:rPr>
        <w:t> </w:t>
      </w:r>
      <w:r>
        <w:rPr>
          <w:rFonts w:ascii="Arial" w:hAnsi="Arial"/>
          <w:color w:val="231F20"/>
          <w:spacing w:val="-2"/>
          <w:sz w:val="12"/>
        </w:rPr>
        <w:t>de</w:t>
      </w:r>
      <w:r>
        <w:rPr>
          <w:rFonts w:ascii="Arial" w:hAnsi="Arial"/>
          <w:color w:val="231F20"/>
          <w:spacing w:val="-4"/>
          <w:sz w:val="12"/>
        </w:rPr>
        <w:t> </w:t>
      </w:r>
      <w:r>
        <w:rPr>
          <w:rFonts w:ascii="Arial" w:hAnsi="Arial"/>
          <w:color w:val="231F20"/>
          <w:spacing w:val="-2"/>
          <w:sz w:val="12"/>
        </w:rPr>
        <w:t>soi</w:t>
      </w:r>
      <w:r>
        <w:rPr>
          <w:rFonts w:ascii="Arial" w:hAnsi="Arial"/>
          <w:color w:val="231F20"/>
          <w:spacing w:val="-4"/>
          <w:sz w:val="12"/>
        </w:rPr>
        <w:t> </w:t>
      </w:r>
      <w:r>
        <w:rPr>
          <w:rFonts w:ascii="Arial" w:hAnsi="Arial"/>
          <w:color w:val="231F20"/>
          <w:spacing w:val="-2"/>
          <w:sz w:val="12"/>
        </w:rPr>
        <w:t>chez</w:t>
      </w:r>
      <w:r>
        <w:rPr>
          <w:rFonts w:ascii="Arial" w:hAnsi="Arial"/>
          <w:color w:val="231F20"/>
          <w:spacing w:val="-4"/>
          <w:sz w:val="12"/>
        </w:rPr>
        <w:t> </w:t>
      </w:r>
      <w:r>
        <w:rPr>
          <w:rFonts w:ascii="Arial" w:hAnsi="Arial"/>
          <w:color w:val="231F20"/>
          <w:spacing w:val="-2"/>
          <w:sz w:val="12"/>
        </w:rPr>
        <w:t>les</w:t>
      </w:r>
      <w:r>
        <w:rPr>
          <w:rFonts w:ascii="Arial" w:hAnsi="Arial"/>
          <w:color w:val="231F20"/>
          <w:spacing w:val="-4"/>
          <w:sz w:val="12"/>
        </w:rPr>
        <w:t> </w:t>
      </w:r>
      <w:r>
        <w:rPr>
          <w:rFonts w:ascii="Arial" w:hAnsi="Arial"/>
          <w:color w:val="231F20"/>
          <w:spacing w:val="-2"/>
          <w:sz w:val="12"/>
        </w:rPr>
        <w:t>enfants</w:t>
      </w:r>
      <w:r>
        <w:rPr>
          <w:rFonts w:ascii="Arial" w:hAnsi="Arial"/>
          <w:color w:val="231F20"/>
          <w:spacing w:val="-4"/>
          <w:sz w:val="12"/>
        </w:rPr>
        <w:t> </w:t>
      </w:r>
      <w:r>
        <w:rPr>
          <w:rFonts w:ascii="Arial" w:hAnsi="Arial"/>
          <w:color w:val="231F20"/>
          <w:spacing w:val="-2"/>
          <w:sz w:val="12"/>
        </w:rPr>
        <w:t>en</w:t>
      </w:r>
      <w:r>
        <w:rPr>
          <w:rFonts w:ascii="Arial" w:hAnsi="Arial"/>
          <w:color w:val="231F20"/>
          <w:spacing w:val="-4"/>
          <w:sz w:val="12"/>
        </w:rPr>
        <w:t> </w:t>
      </w:r>
      <w:r>
        <w:rPr>
          <w:rFonts w:ascii="Arial" w:hAnsi="Arial"/>
          <w:color w:val="231F20"/>
          <w:spacing w:val="-2"/>
          <w:sz w:val="12"/>
        </w:rPr>
        <w:t>difficulté</w:t>
      </w:r>
      <w:r>
        <w:rPr>
          <w:rFonts w:ascii="Arial" w:hAnsi="Arial"/>
          <w:color w:val="231F20"/>
          <w:spacing w:val="-4"/>
          <w:sz w:val="12"/>
        </w:rPr>
        <w:t> </w:t>
      </w:r>
      <w:r>
        <w:rPr>
          <w:rFonts w:ascii="Arial" w:hAnsi="Arial"/>
          <w:color w:val="231F20"/>
          <w:spacing w:val="-2"/>
          <w:sz w:val="12"/>
        </w:rPr>
        <w:t>d’adaptation</w:t>
      </w:r>
      <w:r>
        <w:rPr>
          <w:rFonts w:ascii="Arial" w:hAnsi="Arial"/>
          <w:color w:val="231F20"/>
          <w:spacing w:val="40"/>
          <w:sz w:val="12"/>
        </w:rPr>
        <w:t> </w:t>
      </w:r>
      <w:r>
        <w:rPr>
          <w:rFonts w:ascii="Arial" w:hAnsi="Arial"/>
          <w:color w:val="231F20"/>
          <w:sz w:val="12"/>
        </w:rPr>
        <w:t>sociale</w:t>
      </w:r>
      <w:r>
        <w:rPr>
          <w:rFonts w:ascii="Arial" w:hAnsi="Arial"/>
          <w:color w:val="231F20"/>
          <w:spacing w:val="-23"/>
          <w:sz w:val="12"/>
        </w:rPr>
        <w:t> </w:t>
      </w:r>
      <w:r>
        <w:rPr>
          <w:rFonts w:ascii="Arial" w:hAnsi="Arial"/>
          <w:color w:val="231F20"/>
          <w:sz w:val="12"/>
        </w:rPr>
        <w:t>:</w:t>
      </w:r>
      <w:r>
        <w:rPr>
          <w:rFonts w:ascii="Arial" w:hAnsi="Arial"/>
          <w:color w:val="231F20"/>
          <w:spacing w:val="-4"/>
          <w:sz w:val="12"/>
        </w:rPr>
        <w:t> </w:t>
      </w:r>
      <w:r>
        <w:rPr>
          <w:rFonts w:ascii="Arial" w:hAnsi="Arial"/>
          <w:color w:val="231F20"/>
          <w:sz w:val="12"/>
        </w:rPr>
        <w:t>une</w:t>
      </w:r>
      <w:r>
        <w:rPr>
          <w:rFonts w:ascii="Arial" w:hAnsi="Arial"/>
          <w:color w:val="231F20"/>
          <w:spacing w:val="-4"/>
          <w:sz w:val="12"/>
        </w:rPr>
        <w:t> </w:t>
      </w:r>
      <w:r>
        <w:rPr>
          <w:rFonts w:ascii="Arial" w:hAnsi="Arial"/>
          <w:color w:val="231F20"/>
          <w:sz w:val="12"/>
        </w:rPr>
        <w:t>recension</w:t>
      </w:r>
      <w:r>
        <w:rPr>
          <w:rFonts w:ascii="Arial" w:hAnsi="Arial"/>
          <w:color w:val="231F20"/>
          <w:spacing w:val="-4"/>
          <w:sz w:val="12"/>
        </w:rPr>
        <w:t> </w:t>
      </w:r>
      <w:r>
        <w:rPr>
          <w:rFonts w:ascii="Arial" w:hAnsi="Arial"/>
          <w:color w:val="231F20"/>
          <w:sz w:val="12"/>
        </w:rPr>
        <w:t>critique</w:t>
      </w:r>
      <w:r>
        <w:rPr>
          <w:rFonts w:ascii="Arial" w:hAnsi="Arial"/>
          <w:color w:val="231F20"/>
          <w:spacing w:val="-4"/>
          <w:sz w:val="12"/>
        </w:rPr>
        <w:t> </w:t>
      </w:r>
      <w:r>
        <w:rPr>
          <w:rFonts w:ascii="Arial" w:hAnsi="Arial"/>
          <w:color w:val="231F20"/>
          <w:sz w:val="12"/>
        </w:rPr>
        <w:t>des</w:t>
      </w:r>
      <w:r>
        <w:rPr>
          <w:rFonts w:ascii="Arial" w:hAnsi="Arial"/>
          <w:color w:val="231F20"/>
          <w:spacing w:val="-4"/>
          <w:sz w:val="12"/>
        </w:rPr>
        <w:t> </w:t>
      </w:r>
      <w:r>
        <w:rPr>
          <w:rFonts w:ascii="Arial" w:hAnsi="Arial"/>
          <w:color w:val="231F20"/>
          <w:sz w:val="12"/>
        </w:rPr>
        <w:t>écrits,</w:t>
      </w:r>
      <w:r>
        <w:rPr>
          <w:rFonts w:ascii="Arial" w:hAnsi="Arial"/>
          <w:color w:val="231F20"/>
          <w:spacing w:val="-4"/>
          <w:sz w:val="12"/>
        </w:rPr>
        <w:t> </w:t>
      </w:r>
      <w:r>
        <w:rPr>
          <w:rFonts w:ascii="Arial" w:hAnsi="Arial"/>
          <w:i/>
          <w:color w:val="231F20"/>
          <w:sz w:val="12"/>
        </w:rPr>
        <w:t>Revue</w:t>
      </w:r>
      <w:r>
        <w:rPr>
          <w:rFonts w:ascii="Arial" w:hAnsi="Arial"/>
          <w:i/>
          <w:color w:val="231F20"/>
          <w:spacing w:val="-4"/>
          <w:sz w:val="12"/>
        </w:rPr>
        <w:t> </w:t>
      </w:r>
      <w:r>
        <w:rPr>
          <w:rFonts w:ascii="Arial" w:hAnsi="Arial"/>
          <w:i/>
          <w:color w:val="231F20"/>
          <w:sz w:val="12"/>
        </w:rPr>
        <w:t>canadienne</w:t>
      </w:r>
      <w:r>
        <w:rPr>
          <w:rFonts w:ascii="Arial" w:hAnsi="Arial"/>
          <w:i/>
          <w:color w:val="231F20"/>
          <w:spacing w:val="-4"/>
          <w:sz w:val="12"/>
        </w:rPr>
        <w:t> </w:t>
      </w:r>
      <w:r>
        <w:rPr>
          <w:rFonts w:ascii="Arial" w:hAnsi="Arial"/>
          <w:i/>
          <w:color w:val="231F20"/>
          <w:sz w:val="12"/>
        </w:rPr>
        <w:t>de</w:t>
      </w:r>
      <w:r>
        <w:rPr>
          <w:rFonts w:ascii="Arial" w:hAnsi="Arial"/>
          <w:i/>
          <w:color w:val="231F20"/>
          <w:spacing w:val="-4"/>
          <w:sz w:val="12"/>
        </w:rPr>
        <w:t> </w:t>
      </w:r>
      <w:r>
        <w:rPr>
          <w:rFonts w:ascii="Arial" w:hAnsi="Arial"/>
          <w:i/>
          <w:color w:val="231F20"/>
          <w:sz w:val="12"/>
        </w:rPr>
        <w:t>psycho-éducation</w:t>
      </w:r>
      <w:r>
        <w:rPr>
          <w:rFonts w:ascii="Arial" w:hAnsi="Arial"/>
          <w:color w:val="231F20"/>
          <w:sz w:val="12"/>
        </w:rPr>
        <w:t>,</w:t>
      </w:r>
      <w:r>
        <w:rPr>
          <w:rFonts w:ascii="Arial" w:hAnsi="Arial"/>
          <w:color w:val="231F20"/>
          <w:spacing w:val="-4"/>
          <w:sz w:val="12"/>
        </w:rPr>
        <w:t> </w:t>
      </w:r>
      <w:r>
        <w:rPr>
          <w:rFonts w:ascii="Arial" w:hAnsi="Arial"/>
          <w:i/>
          <w:color w:val="231F20"/>
          <w:sz w:val="12"/>
        </w:rPr>
        <w:t>21</w:t>
      </w:r>
      <w:r>
        <w:rPr>
          <w:rFonts w:ascii="Arial" w:hAnsi="Arial"/>
          <w:color w:val="231F20"/>
          <w:sz w:val="12"/>
        </w:rPr>
        <w:t>,</w:t>
      </w:r>
      <w:r>
        <w:rPr>
          <w:rFonts w:ascii="Arial" w:hAnsi="Arial"/>
          <w:color w:val="231F20"/>
          <w:spacing w:val="-4"/>
          <w:sz w:val="12"/>
        </w:rPr>
        <w:t> </w:t>
      </w:r>
      <w:r>
        <w:rPr>
          <w:rFonts w:ascii="Arial" w:hAnsi="Arial"/>
          <w:color w:val="231F20"/>
          <w:sz w:val="12"/>
        </w:rPr>
        <w:t>93-114.</w:t>
      </w:r>
    </w:p>
    <w:p>
      <w:pPr>
        <w:spacing w:after="0" w:line="295" w:lineRule="auto"/>
        <w:jc w:val="left"/>
        <w:rPr>
          <w:rFonts w:ascii="Arial" w:hAnsi="Arial"/>
          <w:sz w:val="12"/>
        </w:rPr>
        <w:sectPr>
          <w:type w:val="continuous"/>
          <w:pgSz w:w="8640" w:h="12960"/>
          <w:pgMar w:header="0" w:footer="424"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3"/>
        <w:jc w:val="both"/>
      </w:pPr>
      <w:r>
        <w:rPr>
          <w:color w:val="231F20"/>
          <w:w w:val="115"/>
        </w:rPr>
        <w:t>préséance</w:t>
      </w:r>
      <w:r>
        <w:rPr>
          <w:color w:val="231F20"/>
          <w:spacing w:val="-9"/>
          <w:w w:val="115"/>
        </w:rPr>
        <w:t> </w:t>
      </w:r>
      <w:r>
        <w:rPr>
          <w:color w:val="231F20"/>
          <w:w w:val="115"/>
        </w:rPr>
        <w:t>sur</w:t>
      </w:r>
      <w:r>
        <w:rPr>
          <w:color w:val="231F20"/>
          <w:spacing w:val="-9"/>
          <w:w w:val="115"/>
        </w:rPr>
        <w:t> </w:t>
      </w:r>
      <w:r>
        <w:rPr>
          <w:color w:val="231F20"/>
          <w:w w:val="115"/>
        </w:rPr>
        <w:t>l’accomplissement</w:t>
      </w:r>
      <w:r>
        <w:rPr>
          <w:color w:val="231F20"/>
          <w:spacing w:val="-9"/>
          <w:w w:val="115"/>
        </w:rPr>
        <w:t> </w:t>
      </w:r>
      <w:r>
        <w:rPr>
          <w:color w:val="231F20"/>
          <w:w w:val="115"/>
        </w:rPr>
        <w:t>de</w:t>
      </w:r>
      <w:r>
        <w:rPr>
          <w:color w:val="231F20"/>
          <w:spacing w:val="-9"/>
          <w:w w:val="115"/>
        </w:rPr>
        <w:t> </w:t>
      </w:r>
      <w:r>
        <w:rPr>
          <w:color w:val="231F20"/>
          <w:w w:val="115"/>
        </w:rPr>
        <w:t>soi.</w:t>
      </w:r>
      <w:r>
        <w:rPr>
          <w:color w:val="231F20"/>
          <w:spacing w:val="-9"/>
          <w:w w:val="115"/>
        </w:rPr>
        <w:t> </w:t>
      </w:r>
      <w:r>
        <w:rPr>
          <w:color w:val="231F20"/>
          <w:w w:val="115"/>
        </w:rPr>
        <w:t>Il</w:t>
      </w:r>
      <w:r>
        <w:rPr>
          <w:color w:val="231F20"/>
          <w:spacing w:val="-9"/>
          <w:w w:val="115"/>
        </w:rPr>
        <w:t> </w:t>
      </w:r>
      <w:r>
        <w:rPr>
          <w:color w:val="231F20"/>
          <w:w w:val="115"/>
        </w:rPr>
        <w:t>a</w:t>
      </w:r>
      <w:r>
        <w:rPr>
          <w:color w:val="231F20"/>
          <w:spacing w:val="-9"/>
          <w:w w:val="115"/>
        </w:rPr>
        <w:t> </w:t>
      </w:r>
      <w:r>
        <w:rPr>
          <w:color w:val="231F20"/>
          <w:w w:val="115"/>
        </w:rPr>
        <w:t>d’ailleurs</w:t>
      </w:r>
      <w:r>
        <w:rPr>
          <w:color w:val="231F20"/>
          <w:spacing w:val="-9"/>
          <w:w w:val="115"/>
        </w:rPr>
        <w:t> </w:t>
      </w:r>
      <w:r>
        <w:rPr>
          <w:color w:val="231F20"/>
          <w:w w:val="115"/>
        </w:rPr>
        <w:t>présenté</w:t>
      </w:r>
      <w:r>
        <w:rPr>
          <w:color w:val="231F20"/>
          <w:spacing w:val="-9"/>
          <w:w w:val="115"/>
        </w:rPr>
        <w:t> </w:t>
      </w:r>
      <w:r>
        <w:rPr>
          <w:color w:val="231F20"/>
          <w:w w:val="115"/>
        </w:rPr>
        <w:t>clairement </w:t>
      </w:r>
      <w:r>
        <w:rPr>
          <w:color w:val="231F20"/>
          <w:w w:val="120"/>
        </w:rPr>
        <w:t>cette préséance dans sa fameuse pyramide des besoins. De ce point de vue, la recherche de l’estime de soi est une force motrice qui génère</w:t>
      </w:r>
      <w:r>
        <w:rPr>
          <w:color w:val="231F20"/>
          <w:spacing w:val="80"/>
          <w:w w:val="120"/>
        </w:rPr>
        <w:t> </w:t>
      </w:r>
      <w:r>
        <w:rPr>
          <w:color w:val="231F20"/>
          <w:w w:val="115"/>
        </w:rPr>
        <w:t>la</w:t>
      </w:r>
      <w:r>
        <w:rPr>
          <w:color w:val="231F20"/>
          <w:spacing w:val="-13"/>
          <w:w w:val="115"/>
        </w:rPr>
        <w:t> </w:t>
      </w:r>
      <w:r>
        <w:rPr>
          <w:color w:val="231F20"/>
          <w:w w:val="115"/>
        </w:rPr>
        <w:t>motivation.</w:t>
      </w:r>
      <w:r>
        <w:rPr>
          <w:color w:val="231F20"/>
          <w:spacing w:val="-12"/>
          <w:w w:val="115"/>
        </w:rPr>
        <w:t> </w:t>
      </w:r>
      <w:r>
        <w:rPr>
          <w:color w:val="231F20"/>
          <w:w w:val="115"/>
        </w:rPr>
        <w:t>Pour</w:t>
      </w:r>
      <w:r>
        <w:rPr>
          <w:color w:val="231F20"/>
          <w:spacing w:val="-12"/>
          <w:w w:val="115"/>
        </w:rPr>
        <w:t> </w:t>
      </w:r>
      <w:r>
        <w:rPr>
          <w:color w:val="231F20"/>
          <w:w w:val="115"/>
        </w:rPr>
        <w:t>Maslow,</w:t>
      </w:r>
      <w:r>
        <w:rPr>
          <w:color w:val="231F20"/>
          <w:spacing w:val="-12"/>
          <w:w w:val="115"/>
        </w:rPr>
        <w:t> </w:t>
      </w:r>
      <w:r>
        <w:rPr>
          <w:color w:val="231F20"/>
          <w:w w:val="115"/>
        </w:rPr>
        <w:t>une</w:t>
      </w:r>
      <w:r>
        <w:rPr>
          <w:color w:val="231F20"/>
          <w:spacing w:val="-13"/>
          <w:w w:val="115"/>
        </w:rPr>
        <w:t> </w:t>
      </w:r>
      <w:r>
        <w:rPr>
          <w:color w:val="231F20"/>
          <w:w w:val="115"/>
        </w:rPr>
        <w:t>fois</w:t>
      </w:r>
      <w:r>
        <w:rPr>
          <w:color w:val="231F20"/>
          <w:spacing w:val="-12"/>
          <w:w w:val="115"/>
        </w:rPr>
        <w:t> </w:t>
      </w:r>
      <w:r>
        <w:rPr>
          <w:color w:val="231F20"/>
          <w:w w:val="115"/>
        </w:rPr>
        <w:t>que</w:t>
      </w:r>
      <w:r>
        <w:rPr>
          <w:color w:val="231F20"/>
          <w:spacing w:val="-12"/>
          <w:w w:val="115"/>
        </w:rPr>
        <w:t> </w:t>
      </w:r>
      <w:r>
        <w:rPr>
          <w:color w:val="231F20"/>
          <w:w w:val="115"/>
        </w:rPr>
        <w:t>la</w:t>
      </w:r>
      <w:r>
        <w:rPr>
          <w:color w:val="231F20"/>
          <w:spacing w:val="-12"/>
          <w:w w:val="115"/>
        </w:rPr>
        <w:t> </w:t>
      </w:r>
      <w:r>
        <w:rPr>
          <w:color w:val="231F20"/>
          <w:w w:val="115"/>
        </w:rPr>
        <w:t>personne</w:t>
      </w:r>
      <w:r>
        <w:rPr>
          <w:color w:val="231F20"/>
          <w:spacing w:val="-12"/>
          <w:w w:val="115"/>
        </w:rPr>
        <w:t> </w:t>
      </w:r>
      <w:r>
        <w:rPr>
          <w:color w:val="231F20"/>
          <w:w w:val="115"/>
        </w:rPr>
        <w:t>a</w:t>
      </w:r>
      <w:r>
        <w:rPr>
          <w:color w:val="231F20"/>
          <w:spacing w:val="-13"/>
          <w:w w:val="115"/>
        </w:rPr>
        <w:t> </w:t>
      </w:r>
      <w:r>
        <w:rPr>
          <w:color w:val="231F20"/>
          <w:w w:val="115"/>
        </w:rPr>
        <w:t>comblé</w:t>
      </w:r>
      <w:r>
        <w:rPr>
          <w:color w:val="231F20"/>
          <w:spacing w:val="-12"/>
          <w:w w:val="115"/>
        </w:rPr>
        <w:t> </w:t>
      </w:r>
      <w:r>
        <w:rPr>
          <w:color w:val="231F20"/>
          <w:w w:val="115"/>
        </w:rPr>
        <w:t>ses</w:t>
      </w:r>
      <w:r>
        <w:rPr>
          <w:color w:val="231F20"/>
          <w:spacing w:val="-12"/>
          <w:w w:val="115"/>
        </w:rPr>
        <w:t> </w:t>
      </w:r>
      <w:r>
        <w:rPr>
          <w:color w:val="231F20"/>
          <w:w w:val="115"/>
        </w:rPr>
        <w:t>besoins physiologiques</w:t>
      </w:r>
      <w:r>
        <w:rPr>
          <w:color w:val="231F20"/>
          <w:spacing w:val="-13"/>
          <w:w w:val="115"/>
        </w:rPr>
        <w:t> </w:t>
      </w:r>
      <w:r>
        <w:rPr>
          <w:color w:val="231F20"/>
          <w:w w:val="115"/>
        </w:rPr>
        <w:t>et</w:t>
      </w:r>
      <w:r>
        <w:rPr>
          <w:color w:val="231F20"/>
          <w:spacing w:val="-12"/>
          <w:w w:val="115"/>
        </w:rPr>
        <w:t> </w:t>
      </w:r>
      <w:r>
        <w:rPr>
          <w:color w:val="231F20"/>
          <w:w w:val="115"/>
        </w:rPr>
        <w:t>sociaux</w:t>
      </w:r>
      <w:r>
        <w:rPr>
          <w:color w:val="231F20"/>
          <w:spacing w:val="-12"/>
          <w:w w:val="115"/>
        </w:rPr>
        <w:t> </w:t>
      </w:r>
      <w:r>
        <w:rPr>
          <w:color w:val="231F20"/>
          <w:w w:val="115"/>
        </w:rPr>
        <w:t>«</w:t>
      </w:r>
      <w:r>
        <w:rPr>
          <w:color w:val="231F20"/>
          <w:spacing w:val="-12"/>
          <w:w w:val="115"/>
        </w:rPr>
        <w:t> </w:t>
      </w:r>
      <w:r>
        <w:rPr>
          <w:color w:val="231F20"/>
          <w:w w:val="115"/>
        </w:rPr>
        <w:t>inférieurs</w:t>
      </w:r>
      <w:r>
        <w:rPr>
          <w:color w:val="231F20"/>
          <w:spacing w:val="-13"/>
          <w:w w:val="115"/>
        </w:rPr>
        <w:t> </w:t>
      </w:r>
      <w:r>
        <w:rPr>
          <w:color w:val="231F20"/>
          <w:w w:val="115"/>
        </w:rPr>
        <w:t>»,</w:t>
      </w:r>
      <w:r>
        <w:rPr>
          <w:color w:val="231F20"/>
          <w:spacing w:val="-7"/>
          <w:w w:val="115"/>
        </w:rPr>
        <w:t> </w:t>
      </w:r>
      <w:r>
        <w:rPr>
          <w:color w:val="231F20"/>
          <w:w w:val="115"/>
        </w:rPr>
        <w:t>elle</w:t>
      </w:r>
      <w:r>
        <w:rPr>
          <w:color w:val="231F20"/>
          <w:spacing w:val="-3"/>
          <w:w w:val="115"/>
        </w:rPr>
        <w:t> </w:t>
      </w:r>
      <w:r>
        <w:rPr>
          <w:color w:val="231F20"/>
          <w:w w:val="115"/>
        </w:rPr>
        <w:t>a</w:t>
      </w:r>
      <w:r>
        <w:rPr>
          <w:color w:val="231F20"/>
          <w:spacing w:val="-3"/>
          <w:w w:val="115"/>
        </w:rPr>
        <w:t> </w:t>
      </w:r>
      <w:r>
        <w:rPr>
          <w:color w:val="231F20"/>
          <w:w w:val="115"/>
        </w:rPr>
        <w:t>besoin</w:t>
      </w:r>
      <w:r>
        <w:rPr>
          <w:color w:val="231F20"/>
          <w:spacing w:val="-3"/>
          <w:w w:val="115"/>
        </w:rPr>
        <w:t> </w:t>
      </w:r>
      <w:r>
        <w:rPr>
          <w:color w:val="231F20"/>
          <w:w w:val="115"/>
        </w:rPr>
        <w:t>de</w:t>
      </w:r>
      <w:r>
        <w:rPr>
          <w:color w:val="231F20"/>
          <w:spacing w:val="-3"/>
          <w:w w:val="115"/>
        </w:rPr>
        <w:t> </w:t>
      </w:r>
      <w:r>
        <w:rPr>
          <w:color w:val="231F20"/>
          <w:w w:val="115"/>
        </w:rPr>
        <w:t>s’accomplir</w:t>
      </w:r>
      <w:r>
        <w:rPr>
          <w:color w:val="231F20"/>
          <w:spacing w:val="-3"/>
          <w:w w:val="115"/>
        </w:rPr>
        <w:t> </w:t>
      </w:r>
      <w:r>
        <w:rPr>
          <w:color w:val="231F20"/>
          <w:w w:val="115"/>
        </w:rPr>
        <w:t>pour </w:t>
      </w:r>
      <w:r>
        <w:rPr>
          <w:color w:val="231F20"/>
          <w:w w:val="120"/>
        </w:rPr>
        <w:t>nourrir son estime de soi, ce qui la rapprochera d’un sentiment de plénitude existentielle, c’est-à-dire de l’actualisation de soi8.</w:t>
      </w:r>
    </w:p>
    <w:p>
      <w:pPr>
        <w:pStyle w:val="BodyText"/>
        <w:spacing w:line="307" w:lineRule="auto" w:before="79"/>
        <w:ind w:left="830" w:right="494" w:firstLine="250"/>
        <w:jc w:val="both"/>
      </w:pPr>
      <w:r>
        <w:rPr>
          <w:color w:val="231F20"/>
          <w:w w:val="120"/>
        </w:rPr>
        <w:t>Il importe de mentionner que nombre d’auteurs ont exprimé divers </w:t>
      </w:r>
      <w:r>
        <w:rPr>
          <w:color w:val="231F20"/>
          <w:spacing w:val="-2"/>
          <w:w w:val="120"/>
        </w:rPr>
        <w:t>points</w:t>
      </w:r>
      <w:r>
        <w:rPr>
          <w:color w:val="231F20"/>
          <w:spacing w:val="-13"/>
          <w:w w:val="120"/>
        </w:rPr>
        <w:t> </w:t>
      </w:r>
      <w:r>
        <w:rPr>
          <w:color w:val="231F20"/>
          <w:spacing w:val="-2"/>
          <w:w w:val="120"/>
        </w:rPr>
        <w:t>de</w:t>
      </w:r>
      <w:r>
        <w:rPr>
          <w:color w:val="231F20"/>
          <w:spacing w:val="-11"/>
          <w:w w:val="120"/>
        </w:rPr>
        <w:t> </w:t>
      </w:r>
      <w:r>
        <w:rPr>
          <w:color w:val="231F20"/>
          <w:spacing w:val="-2"/>
          <w:w w:val="120"/>
        </w:rPr>
        <w:t>vue</w:t>
      </w:r>
      <w:r>
        <w:rPr>
          <w:color w:val="231F20"/>
          <w:spacing w:val="-11"/>
          <w:w w:val="120"/>
        </w:rPr>
        <w:t> </w:t>
      </w:r>
      <w:r>
        <w:rPr>
          <w:color w:val="231F20"/>
          <w:spacing w:val="-2"/>
          <w:w w:val="120"/>
        </w:rPr>
        <w:t>quant</w:t>
      </w:r>
      <w:r>
        <w:rPr>
          <w:color w:val="231F20"/>
          <w:spacing w:val="-10"/>
          <w:w w:val="120"/>
        </w:rPr>
        <w:t> </w:t>
      </w:r>
      <w:r>
        <w:rPr>
          <w:color w:val="231F20"/>
          <w:spacing w:val="-2"/>
          <w:w w:val="120"/>
        </w:rPr>
        <w:t>aux</w:t>
      </w:r>
      <w:r>
        <w:rPr>
          <w:color w:val="231F20"/>
          <w:spacing w:val="-11"/>
          <w:w w:val="120"/>
        </w:rPr>
        <w:t> </w:t>
      </w:r>
      <w:r>
        <w:rPr>
          <w:color w:val="231F20"/>
          <w:spacing w:val="-2"/>
          <w:w w:val="120"/>
        </w:rPr>
        <w:t>paramètres</w:t>
      </w:r>
      <w:r>
        <w:rPr>
          <w:color w:val="231F20"/>
          <w:spacing w:val="-11"/>
          <w:w w:val="120"/>
        </w:rPr>
        <w:t> </w:t>
      </w:r>
      <w:r>
        <w:rPr>
          <w:color w:val="231F20"/>
          <w:spacing w:val="-2"/>
          <w:w w:val="120"/>
        </w:rPr>
        <w:t>de</w:t>
      </w:r>
      <w:r>
        <w:rPr>
          <w:color w:val="231F20"/>
          <w:spacing w:val="-11"/>
          <w:w w:val="120"/>
        </w:rPr>
        <w:t> </w:t>
      </w:r>
      <w:r>
        <w:rPr>
          <w:color w:val="231F20"/>
          <w:spacing w:val="-2"/>
          <w:w w:val="120"/>
        </w:rPr>
        <w:t>l’estime</w:t>
      </w:r>
      <w:r>
        <w:rPr>
          <w:color w:val="231F20"/>
          <w:spacing w:val="-10"/>
          <w:w w:val="120"/>
        </w:rPr>
        <w:t> </w:t>
      </w:r>
      <w:r>
        <w:rPr>
          <w:color w:val="231F20"/>
          <w:spacing w:val="-2"/>
          <w:w w:val="120"/>
        </w:rPr>
        <w:t>de</w:t>
      </w:r>
      <w:r>
        <w:rPr>
          <w:color w:val="231F20"/>
          <w:spacing w:val="-11"/>
          <w:w w:val="120"/>
        </w:rPr>
        <w:t> </w:t>
      </w:r>
      <w:r>
        <w:rPr>
          <w:color w:val="231F20"/>
          <w:spacing w:val="-2"/>
          <w:w w:val="120"/>
        </w:rPr>
        <w:t>soi</w:t>
      </w:r>
      <w:r>
        <w:rPr>
          <w:color w:val="231F20"/>
          <w:spacing w:val="-11"/>
          <w:w w:val="120"/>
        </w:rPr>
        <w:t> </w:t>
      </w:r>
      <w:r>
        <w:rPr>
          <w:color w:val="231F20"/>
          <w:spacing w:val="-2"/>
          <w:w w:val="120"/>
        </w:rPr>
        <w:t>en</w:t>
      </w:r>
      <w:r>
        <w:rPr>
          <w:color w:val="231F20"/>
          <w:spacing w:val="-11"/>
          <w:w w:val="120"/>
        </w:rPr>
        <w:t> </w:t>
      </w:r>
      <w:r>
        <w:rPr>
          <w:color w:val="231F20"/>
          <w:spacing w:val="-2"/>
          <w:w w:val="120"/>
        </w:rPr>
        <w:t>mettant</w:t>
      </w:r>
      <w:r>
        <w:rPr>
          <w:color w:val="231F20"/>
          <w:spacing w:val="-10"/>
          <w:w w:val="120"/>
        </w:rPr>
        <w:t> </w:t>
      </w:r>
      <w:r>
        <w:rPr>
          <w:color w:val="231F20"/>
          <w:spacing w:val="-2"/>
          <w:w w:val="120"/>
        </w:rPr>
        <w:t>l’accent </w:t>
      </w:r>
      <w:r>
        <w:rPr>
          <w:color w:val="231F20"/>
          <w:w w:val="120"/>
        </w:rPr>
        <w:t>sur certaines dimensions du concept:</w:t>
      </w:r>
    </w:p>
    <w:p>
      <w:pPr>
        <w:pStyle w:val="BodyText"/>
        <w:spacing w:line="307" w:lineRule="auto" w:before="79"/>
        <w:ind w:left="830" w:right="495" w:firstLine="250"/>
        <w:jc w:val="both"/>
      </w:pPr>
      <w:r>
        <w:rPr>
          <w:color w:val="231F20"/>
          <w:w w:val="120"/>
        </w:rPr>
        <w:t>Pour</w:t>
      </w:r>
      <w:r>
        <w:rPr>
          <w:color w:val="231F20"/>
          <w:spacing w:val="-10"/>
          <w:w w:val="120"/>
        </w:rPr>
        <w:t> </w:t>
      </w:r>
      <w:r>
        <w:rPr>
          <w:color w:val="231F20"/>
          <w:w w:val="120"/>
        </w:rPr>
        <w:t>White9,</w:t>
      </w:r>
      <w:r>
        <w:rPr>
          <w:color w:val="231F20"/>
          <w:spacing w:val="-10"/>
          <w:w w:val="120"/>
        </w:rPr>
        <w:t> </w:t>
      </w:r>
      <w:r>
        <w:rPr>
          <w:color w:val="231F20"/>
          <w:w w:val="120"/>
        </w:rPr>
        <w:t>c’est</w:t>
      </w:r>
      <w:r>
        <w:rPr>
          <w:color w:val="231F20"/>
          <w:spacing w:val="-10"/>
          <w:w w:val="120"/>
        </w:rPr>
        <w:t> </w:t>
      </w:r>
      <w:r>
        <w:rPr>
          <w:color w:val="231F20"/>
          <w:w w:val="120"/>
        </w:rPr>
        <w:t>l’expérience</w:t>
      </w:r>
      <w:r>
        <w:rPr>
          <w:color w:val="231F20"/>
          <w:spacing w:val="-10"/>
          <w:w w:val="120"/>
        </w:rPr>
        <w:t> </w:t>
      </w:r>
      <w:r>
        <w:rPr>
          <w:color w:val="231F20"/>
          <w:w w:val="120"/>
        </w:rPr>
        <w:t>de</w:t>
      </w:r>
      <w:r>
        <w:rPr>
          <w:color w:val="231F20"/>
          <w:spacing w:val="-10"/>
          <w:w w:val="120"/>
        </w:rPr>
        <w:t> </w:t>
      </w:r>
      <w:r>
        <w:rPr>
          <w:color w:val="231F20"/>
          <w:w w:val="120"/>
        </w:rPr>
        <w:t>sa</w:t>
      </w:r>
      <w:r>
        <w:rPr>
          <w:color w:val="231F20"/>
          <w:spacing w:val="-10"/>
          <w:w w:val="120"/>
        </w:rPr>
        <w:t> </w:t>
      </w:r>
      <w:r>
        <w:rPr>
          <w:color w:val="231F20"/>
          <w:w w:val="120"/>
        </w:rPr>
        <w:t>propre</w:t>
      </w:r>
      <w:r>
        <w:rPr>
          <w:color w:val="231F20"/>
          <w:spacing w:val="-10"/>
          <w:w w:val="120"/>
        </w:rPr>
        <w:t> </w:t>
      </w:r>
      <w:r>
        <w:rPr>
          <w:color w:val="231F20"/>
          <w:w w:val="120"/>
        </w:rPr>
        <w:t>compétence</w:t>
      </w:r>
      <w:r>
        <w:rPr>
          <w:color w:val="231F20"/>
          <w:spacing w:val="-10"/>
          <w:w w:val="120"/>
        </w:rPr>
        <w:t> </w:t>
      </w:r>
      <w:r>
        <w:rPr>
          <w:color w:val="231F20"/>
          <w:w w:val="120"/>
        </w:rPr>
        <w:t>et</w:t>
      </w:r>
      <w:r>
        <w:rPr>
          <w:color w:val="231F20"/>
          <w:spacing w:val="-10"/>
          <w:w w:val="120"/>
        </w:rPr>
        <w:t> </w:t>
      </w:r>
      <w:r>
        <w:rPr>
          <w:color w:val="231F20"/>
          <w:w w:val="120"/>
        </w:rPr>
        <w:t>le</w:t>
      </w:r>
      <w:r>
        <w:rPr>
          <w:color w:val="231F20"/>
          <w:spacing w:val="-10"/>
          <w:w w:val="120"/>
        </w:rPr>
        <w:t> </w:t>
      </w:r>
      <w:r>
        <w:rPr>
          <w:color w:val="231F20"/>
          <w:w w:val="120"/>
        </w:rPr>
        <w:t>senti- </w:t>
      </w:r>
      <w:r>
        <w:rPr>
          <w:color w:val="231F20"/>
          <w:w w:val="115"/>
        </w:rPr>
        <w:t>ment d’autoefficience qui en découle. Pour Rosenberg10, c’est une atti- </w:t>
      </w:r>
      <w:r>
        <w:rPr>
          <w:color w:val="231F20"/>
          <w:w w:val="120"/>
        </w:rPr>
        <w:t>tude</w:t>
      </w:r>
      <w:r>
        <w:rPr>
          <w:color w:val="231F20"/>
          <w:spacing w:val="-8"/>
          <w:w w:val="120"/>
        </w:rPr>
        <w:t> </w:t>
      </w:r>
      <w:r>
        <w:rPr>
          <w:color w:val="231F20"/>
          <w:w w:val="120"/>
        </w:rPr>
        <w:t>positive ou négative envers un objet particulier</w:t>
      </w:r>
      <w:r>
        <w:rPr>
          <w:color w:val="231F20"/>
          <w:spacing w:val="-13"/>
          <w:w w:val="120"/>
        </w:rPr>
        <w:t> </w:t>
      </w:r>
      <w:r>
        <w:rPr>
          <w:color w:val="231F20"/>
          <w:w w:val="120"/>
        </w:rPr>
        <w:t>: soi-même. Pour </w:t>
      </w:r>
      <w:r>
        <w:rPr>
          <w:color w:val="231F20"/>
          <w:w w:val="115"/>
        </w:rPr>
        <w:t>Coopersmith11, c’est l’appréciation de soi qu’entretient l’individu et qui </w:t>
      </w:r>
      <w:r>
        <w:rPr>
          <w:color w:val="231F20"/>
          <w:spacing w:val="-4"/>
          <w:w w:val="120"/>
        </w:rPr>
        <w:t>exprime dans quelle mesure il approuve ses propres aptitudes, son impor- </w:t>
      </w:r>
      <w:r>
        <w:rPr>
          <w:color w:val="231F20"/>
          <w:w w:val="115"/>
        </w:rPr>
        <w:t>tance,</w:t>
      </w:r>
      <w:r>
        <w:rPr>
          <w:color w:val="231F20"/>
          <w:spacing w:val="-6"/>
          <w:w w:val="115"/>
        </w:rPr>
        <w:t> </w:t>
      </w:r>
      <w:r>
        <w:rPr>
          <w:color w:val="231F20"/>
          <w:w w:val="115"/>
        </w:rPr>
        <w:t>sa</w:t>
      </w:r>
      <w:r>
        <w:rPr>
          <w:color w:val="231F20"/>
          <w:spacing w:val="-6"/>
          <w:w w:val="115"/>
        </w:rPr>
        <w:t> </w:t>
      </w:r>
      <w:r>
        <w:rPr>
          <w:color w:val="231F20"/>
          <w:w w:val="115"/>
        </w:rPr>
        <w:t>réussite</w:t>
      </w:r>
      <w:r>
        <w:rPr>
          <w:color w:val="231F20"/>
          <w:spacing w:val="-7"/>
          <w:w w:val="115"/>
        </w:rPr>
        <w:t> </w:t>
      </w:r>
      <w:r>
        <w:rPr>
          <w:color w:val="231F20"/>
          <w:w w:val="115"/>
        </w:rPr>
        <w:t>et</w:t>
      </w:r>
      <w:r>
        <w:rPr>
          <w:color w:val="231F20"/>
          <w:spacing w:val="-6"/>
          <w:w w:val="115"/>
        </w:rPr>
        <w:t> </w:t>
      </w:r>
      <w:r>
        <w:rPr>
          <w:color w:val="231F20"/>
          <w:w w:val="115"/>
        </w:rPr>
        <w:t>sa</w:t>
      </w:r>
      <w:r>
        <w:rPr>
          <w:color w:val="231F20"/>
          <w:spacing w:val="-7"/>
          <w:w w:val="115"/>
        </w:rPr>
        <w:t> </w:t>
      </w:r>
      <w:r>
        <w:rPr>
          <w:color w:val="231F20"/>
          <w:w w:val="115"/>
        </w:rPr>
        <w:t>valeur.</w:t>
      </w:r>
      <w:r>
        <w:rPr>
          <w:color w:val="231F20"/>
          <w:spacing w:val="-6"/>
          <w:w w:val="115"/>
        </w:rPr>
        <w:t> </w:t>
      </w:r>
      <w:r>
        <w:rPr>
          <w:color w:val="231F20"/>
          <w:w w:val="115"/>
        </w:rPr>
        <w:t>Pour</w:t>
      </w:r>
      <w:r>
        <w:rPr>
          <w:color w:val="231F20"/>
          <w:spacing w:val="-7"/>
          <w:w w:val="115"/>
        </w:rPr>
        <w:t> </w:t>
      </w:r>
      <w:r>
        <w:rPr>
          <w:color w:val="231F20"/>
          <w:w w:val="115"/>
        </w:rPr>
        <w:t>Polaino-Lorente12,</w:t>
      </w:r>
      <w:r>
        <w:rPr>
          <w:color w:val="231F20"/>
          <w:spacing w:val="-6"/>
          <w:w w:val="115"/>
        </w:rPr>
        <w:t> </w:t>
      </w:r>
      <w:r>
        <w:rPr>
          <w:color w:val="231F20"/>
          <w:w w:val="115"/>
        </w:rPr>
        <w:t>c’est</w:t>
      </w:r>
      <w:r>
        <w:rPr>
          <w:color w:val="231F20"/>
          <w:spacing w:val="-7"/>
          <w:w w:val="115"/>
        </w:rPr>
        <w:t> </w:t>
      </w:r>
      <w:r>
        <w:rPr>
          <w:color w:val="231F20"/>
          <w:w w:val="115"/>
        </w:rPr>
        <w:t>la</w:t>
      </w:r>
      <w:r>
        <w:rPr>
          <w:color w:val="231F20"/>
          <w:spacing w:val="-6"/>
          <w:w w:val="115"/>
        </w:rPr>
        <w:t> </w:t>
      </w:r>
      <w:r>
        <w:rPr>
          <w:color w:val="231F20"/>
          <w:w w:val="115"/>
        </w:rPr>
        <w:t>conviction </w:t>
      </w:r>
      <w:r>
        <w:rPr>
          <w:color w:val="231F20"/>
          <w:w w:val="120"/>
        </w:rPr>
        <w:t>qu’a</w:t>
      </w:r>
      <w:r>
        <w:rPr>
          <w:color w:val="231F20"/>
          <w:spacing w:val="-6"/>
          <w:w w:val="120"/>
        </w:rPr>
        <w:t> </w:t>
      </w:r>
      <w:r>
        <w:rPr>
          <w:color w:val="231F20"/>
          <w:w w:val="120"/>
        </w:rPr>
        <w:t>la</w:t>
      </w:r>
      <w:r>
        <w:rPr>
          <w:color w:val="231F20"/>
          <w:spacing w:val="-6"/>
          <w:w w:val="120"/>
        </w:rPr>
        <w:t> </w:t>
      </w:r>
      <w:r>
        <w:rPr>
          <w:color w:val="231F20"/>
          <w:w w:val="120"/>
        </w:rPr>
        <w:t>personne</w:t>
      </w:r>
      <w:r>
        <w:rPr>
          <w:color w:val="231F20"/>
          <w:spacing w:val="-6"/>
          <w:w w:val="120"/>
        </w:rPr>
        <w:t> </w:t>
      </w:r>
      <w:r>
        <w:rPr>
          <w:color w:val="231F20"/>
          <w:w w:val="120"/>
        </w:rPr>
        <w:t>de</w:t>
      </w:r>
      <w:r>
        <w:rPr>
          <w:color w:val="231F20"/>
          <w:spacing w:val="-6"/>
          <w:w w:val="120"/>
        </w:rPr>
        <w:t> </w:t>
      </w:r>
      <w:r>
        <w:rPr>
          <w:color w:val="231F20"/>
          <w:w w:val="120"/>
        </w:rPr>
        <w:t>mériter</w:t>
      </w:r>
      <w:r>
        <w:rPr>
          <w:color w:val="231F20"/>
          <w:spacing w:val="-6"/>
          <w:w w:val="120"/>
        </w:rPr>
        <w:t> </w:t>
      </w:r>
      <w:r>
        <w:rPr>
          <w:color w:val="231F20"/>
          <w:w w:val="120"/>
        </w:rPr>
        <w:t>ou</w:t>
      </w:r>
      <w:r>
        <w:rPr>
          <w:color w:val="231F20"/>
          <w:spacing w:val="-6"/>
          <w:w w:val="120"/>
        </w:rPr>
        <w:t> </w:t>
      </w:r>
      <w:r>
        <w:rPr>
          <w:color w:val="231F20"/>
          <w:w w:val="120"/>
        </w:rPr>
        <w:t>non</w:t>
      </w:r>
      <w:r>
        <w:rPr>
          <w:color w:val="231F20"/>
          <w:spacing w:val="-6"/>
          <w:w w:val="120"/>
        </w:rPr>
        <w:t> </w:t>
      </w:r>
      <w:r>
        <w:rPr>
          <w:color w:val="231F20"/>
          <w:w w:val="120"/>
        </w:rPr>
        <w:t>son</w:t>
      </w:r>
      <w:r>
        <w:rPr>
          <w:color w:val="231F20"/>
          <w:spacing w:val="-6"/>
          <w:w w:val="120"/>
        </w:rPr>
        <w:t> </w:t>
      </w:r>
      <w:r>
        <w:rPr>
          <w:color w:val="231F20"/>
          <w:w w:val="120"/>
        </w:rPr>
        <w:t>propre</w:t>
      </w:r>
      <w:r>
        <w:rPr>
          <w:color w:val="231F20"/>
          <w:spacing w:val="-6"/>
          <w:w w:val="120"/>
        </w:rPr>
        <w:t> </w:t>
      </w:r>
      <w:r>
        <w:rPr>
          <w:color w:val="231F20"/>
          <w:w w:val="120"/>
        </w:rPr>
        <w:t>amour</w:t>
      </w:r>
      <w:r>
        <w:rPr>
          <w:color w:val="231F20"/>
          <w:spacing w:val="-6"/>
          <w:w w:val="120"/>
        </w:rPr>
        <w:t> </w:t>
      </w:r>
      <w:r>
        <w:rPr>
          <w:color w:val="231F20"/>
          <w:w w:val="120"/>
        </w:rPr>
        <w:t>et,</w:t>
      </w:r>
      <w:r>
        <w:rPr>
          <w:color w:val="231F20"/>
          <w:spacing w:val="-6"/>
          <w:w w:val="120"/>
        </w:rPr>
        <w:t> </w:t>
      </w:r>
      <w:r>
        <w:rPr>
          <w:color w:val="231F20"/>
          <w:w w:val="120"/>
        </w:rPr>
        <w:t>par</w:t>
      </w:r>
      <w:r>
        <w:rPr>
          <w:color w:val="231F20"/>
          <w:spacing w:val="-6"/>
          <w:w w:val="120"/>
        </w:rPr>
        <w:t> </w:t>
      </w:r>
      <w:r>
        <w:rPr>
          <w:color w:val="231F20"/>
          <w:w w:val="120"/>
        </w:rPr>
        <w:t>extension, celui</w:t>
      </w:r>
      <w:r>
        <w:rPr>
          <w:color w:val="231F20"/>
          <w:spacing w:val="-13"/>
          <w:w w:val="120"/>
        </w:rPr>
        <w:t> </w:t>
      </w:r>
      <w:r>
        <w:rPr>
          <w:color w:val="231F20"/>
          <w:w w:val="120"/>
        </w:rPr>
        <w:t>d’autrui.</w:t>
      </w:r>
      <w:r>
        <w:rPr>
          <w:color w:val="231F20"/>
          <w:spacing w:val="-13"/>
          <w:w w:val="120"/>
        </w:rPr>
        <w:t> </w:t>
      </w:r>
      <w:r>
        <w:rPr>
          <w:color w:val="231F20"/>
          <w:w w:val="120"/>
        </w:rPr>
        <w:t>Et</w:t>
      </w:r>
      <w:r>
        <w:rPr>
          <w:color w:val="231F20"/>
          <w:spacing w:val="-13"/>
          <w:w w:val="120"/>
        </w:rPr>
        <w:t> </w:t>
      </w:r>
      <w:r>
        <w:rPr>
          <w:color w:val="231F20"/>
          <w:w w:val="120"/>
        </w:rPr>
        <w:t>cela,</w:t>
      </w:r>
      <w:r>
        <w:rPr>
          <w:color w:val="231F20"/>
          <w:spacing w:val="-12"/>
          <w:w w:val="120"/>
        </w:rPr>
        <w:t> </w:t>
      </w:r>
      <w:r>
        <w:rPr>
          <w:color w:val="231F20"/>
          <w:w w:val="120"/>
        </w:rPr>
        <w:t>peu</w:t>
      </w:r>
      <w:r>
        <w:rPr>
          <w:color w:val="231F20"/>
          <w:spacing w:val="-13"/>
          <w:w w:val="120"/>
        </w:rPr>
        <w:t> </w:t>
      </w:r>
      <w:r>
        <w:rPr>
          <w:color w:val="231F20"/>
          <w:w w:val="120"/>
        </w:rPr>
        <w:t>importe</w:t>
      </w:r>
      <w:r>
        <w:rPr>
          <w:color w:val="231F20"/>
          <w:spacing w:val="-13"/>
          <w:w w:val="120"/>
        </w:rPr>
        <w:t> </w:t>
      </w:r>
      <w:r>
        <w:rPr>
          <w:color w:val="231F20"/>
          <w:w w:val="120"/>
        </w:rPr>
        <w:t>qui</w:t>
      </w:r>
      <w:r>
        <w:rPr>
          <w:color w:val="231F20"/>
          <w:spacing w:val="-13"/>
          <w:w w:val="120"/>
        </w:rPr>
        <w:t> </w:t>
      </w:r>
      <w:r>
        <w:rPr>
          <w:color w:val="231F20"/>
          <w:w w:val="120"/>
        </w:rPr>
        <w:t>elle</w:t>
      </w:r>
      <w:r>
        <w:rPr>
          <w:color w:val="231F20"/>
          <w:spacing w:val="-12"/>
          <w:w w:val="120"/>
        </w:rPr>
        <w:t> </w:t>
      </w:r>
      <w:r>
        <w:rPr>
          <w:color w:val="231F20"/>
          <w:w w:val="120"/>
        </w:rPr>
        <w:t>est,</w:t>
      </w:r>
      <w:r>
        <w:rPr>
          <w:color w:val="231F20"/>
          <w:spacing w:val="-13"/>
          <w:w w:val="120"/>
        </w:rPr>
        <w:t> </w:t>
      </w:r>
      <w:r>
        <w:rPr>
          <w:color w:val="231F20"/>
          <w:w w:val="120"/>
        </w:rPr>
        <w:t>doit</w:t>
      </w:r>
      <w:r>
        <w:rPr>
          <w:color w:val="231F20"/>
          <w:spacing w:val="-13"/>
          <w:w w:val="120"/>
        </w:rPr>
        <w:t> </w:t>
      </w:r>
      <w:r>
        <w:rPr>
          <w:color w:val="231F20"/>
          <w:w w:val="120"/>
        </w:rPr>
        <w:t>être</w:t>
      </w:r>
      <w:r>
        <w:rPr>
          <w:color w:val="231F20"/>
          <w:spacing w:val="-13"/>
          <w:w w:val="120"/>
        </w:rPr>
        <w:t> </w:t>
      </w:r>
      <w:r>
        <w:rPr>
          <w:color w:val="231F20"/>
          <w:w w:val="120"/>
        </w:rPr>
        <w:t>ou</w:t>
      </w:r>
      <w:r>
        <w:rPr>
          <w:color w:val="231F20"/>
          <w:spacing w:val="-12"/>
          <w:w w:val="120"/>
        </w:rPr>
        <w:t> </w:t>
      </w:r>
      <w:r>
        <w:rPr>
          <w:color w:val="231F20"/>
          <w:w w:val="120"/>
        </w:rPr>
        <w:t>paraît</w:t>
      </w:r>
      <w:r>
        <w:rPr>
          <w:color w:val="231F20"/>
          <w:spacing w:val="-13"/>
          <w:w w:val="120"/>
        </w:rPr>
        <w:t> </w:t>
      </w:r>
      <w:r>
        <w:rPr>
          <w:color w:val="231F20"/>
          <w:w w:val="120"/>
        </w:rPr>
        <w:t>être;</w:t>
      </w:r>
      <w:r>
        <w:rPr>
          <w:color w:val="231F20"/>
          <w:spacing w:val="-13"/>
          <w:w w:val="120"/>
        </w:rPr>
        <w:t> </w:t>
      </w:r>
      <w:r>
        <w:rPr>
          <w:color w:val="231F20"/>
          <w:w w:val="120"/>
        </w:rPr>
        <w:t>il </w:t>
      </w:r>
      <w:r>
        <w:rPr>
          <w:color w:val="231F20"/>
          <w:spacing w:val="-4"/>
          <w:w w:val="120"/>
        </w:rPr>
        <w:t>s’agit de sa capacité de ressentir intrinsèquement son propre mérite, indé- </w:t>
      </w:r>
      <w:r>
        <w:rPr>
          <w:color w:val="231F20"/>
          <w:spacing w:val="-2"/>
          <w:w w:val="120"/>
        </w:rPr>
        <w:t>pendamment</w:t>
      </w:r>
      <w:r>
        <w:rPr>
          <w:color w:val="231F20"/>
          <w:spacing w:val="-3"/>
          <w:w w:val="120"/>
        </w:rPr>
        <w:t> </w:t>
      </w:r>
      <w:r>
        <w:rPr>
          <w:color w:val="231F20"/>
          <w:spacing w:val="-2"/>
          <w:w w:val="120"/>
        </w:rPr>
        <w:t>des</w:t>
      </w:r>
      <w:r>
        <w:rPr>
          <w:color w:val="231F20"/>
          <w:spacing w:val="-3"/>
          <w:w w:val="120"/>
        </w:rPr>
        <w:t> </w:t>
      </w:r>
      <w:r>
        <w:rPr>
          <w:color w:val="231F20"/>
          <w:spacing w:val="-2"/>
          <w:w w:val="120"/>
        </w:rPr>
        <w:t>caractéristiques,</w:t>
      </w:r>
      <w:r>
        <w:rPr>
          <w:color w:val="231F20"/>
          <w:spacing w:val="-3"/>
          <w:w w:val="120"/>
        </w:rPr>
        <w:t> </w:t>
      </w:r>
      <w:r>
        <w:rPr>
          <w:color w:val="231F20"/>
          <w:spacing w:val="-2"/>
          <w:w w:val="120"/>
        </w:rPr>
        <w:t>des</w:t>
      </w:r>
      <w:r>
        <w:rPr>
          <w:color w:val="231F20"/>
          <w:spacing w:val="-3"/>
          <w:w w:val="120"/>
        </w:rPr>
        <w:t> </w:t>
      </w:r>
      <w:r>
        <w:rPr>
          <w:color w:val="231F20"/>
          <w:spacing w:val="-2"/>
          <w:w w:val="120"/>
        </w:rPr>
        <w:t>circonstances</w:t>
      </w:r>
      <w:r>
        <w:rPr>
          <w:color w:val="231F20"/>
          <w:spacing w:val="-3"/>
          <w:w w:val="120"/>
        </w:rPr>
        <w:t> </w:t>
      </w:r>
      <w:r>
        <w:rPr>
          <w:color w:val="231F20"/>
          <w:spacing w:val="-2"/>
          <w:w w:val="120"/>
        </w:rPr>
        <w:t>et</w:t>
      </w:r>
      <w:r>
        <w:rPr>
          <w:color w:val="231F20"/>
          <w:spacing w:val="-3"/>
          <w:w w:val="120"/>
        </w:rPr>
        <w:t> </w:t>
      </w:r>
      <w:r>
        <w:rPr>
          <w:color w:val="231F20"/>
          <w:spacing w:val="-2"/>
          <w:w w:val="120"/>
        </w:rPr>
        <w:t>des</w:t>
      </w:r>
      <w:r>
        <w:rPr>
          <w:color w:val="231F20"/>
          <w:spacing w:val="-3"/>
          <w:w w:val="120"/>
        </w:rPr>
        <w:t> </w:t>
      </w:r>
      <w:r>
        <w:rPr>
          <w:color w:val="231F20"/>
          <w:spacing w:val="-2"/>
          <w:w w:val="120"/>
        </w:rPr>
        <w:t>accomplisse- ments</w:t>
      </w:r>
      <w:r>
        <w:rPr>
          <w:color w:val="231F20"/>
          <w:spacing w:val="-11"/>
          <w:w w:val="120"/>
        </w:rPr>
        <w:t> </w:t>
      </w:r>
      <w:r>
        <w:rPr>
          <w:color w:val="231F20"/>
          <w:spacing w:val="-2"/>
          <w:w w:val="120"/>
        </w:rPr>
        <w:t>personnels</w:t>
      </w:r>
      <w:r>
        <w:rPr>
          <w:color w:val="231F20"/>
          <w:spacing w:val="-11"/>
          <w:w w:val="120"/>
        </w:rPr>
        <w:t> </w:t>
      </w:r>
      <w:r>
        <w:rPr>
          <w:color w:val="231F20"/>
          <w:spacing w:val="-2"/>
          <w:w w:val="120"/>
        </w:rPr>
        <w:t>qui</w:t>
      </w:r>
      <w:r>
        <w:rPr>
          <w:color w:val="231F20"/>
          <w:spacing w:val="-11"/>
          <w:w w:val="120"/>
        </w:rPr>
        <w:t> </w:t>
      </w:r>
      <w:r>
        <w:rPr>
          <w:color w:val="231F20"/>
          <w:spacing w:val="-2"/>
          <w:w w:val="120"/>
        </w:rPr>
        <w:t>contribuent</w:t>
      </w:r>
      <w:r>
        <w:rPr>
          <w:color w:val="231F20"/>
          <w:spacing w:val="-10"/>
          <w:w w:val="120"/>
        </w:rPr>
        <w:t> </w:t>
      </w:r>
      <w:r>
        <w:rPr>
          <w:color w:val="231F20"/>
          <w:spacing w:val="-2"/>
          <w:w w:val="120"/>
        </w:rPr>
        <w:t>également</w:t>
      </w:r>
      <w:r>
        <w:rPr>
          <w:color w:val="231F20"/>
          <w:spacing w:val="-11"/>
          <w:w w:val="120"/>
        </w:rPr>
        <w:t> </w:t>
      </w:r>
      <w:r>
        <w:rPr>
          <w:color w:val="231F20"/>
          <w:spacing w:val="-2"/>
          <w:w w:val="120"/>
        </w:rPr>
        <w:t>à</w:t>
      </w:r>
      <w:r>
        <w:rPr>
          <w:color w:val="231F20"/>
          <w:spacing w:val="-11"/>
          <w:w w:val="120"/>
        </w:rPr>
        <w:t> </w:t>
      </w:r>
      <w:r>
        <w:rPr>
          <w:color w:val="231F20"/>
          <w:spacing w:val="-2"/>
          <w:w w:val="120"/>
        </w:rPr>
        <w:t>la</w:t>
      </w:r>
      <w:r>
        <w:rPr>
          <w:color w:val="231F20"/>
          <w:spacing w:val="-11"/>
          <w:w w:val="120"/>
        </w:rPr>
        <w:t> </w:t>
      </w:r>
      <w:r>
        <w:rPr>
          <w:color w:val="231F20"/>
          <w:spacing w:val="-2"/>
          <w:w w:val="120"/>
        </w:rPr>
        <w:t>définir</w:t>
      </w:r>
      <w:r>
        <w:rPr>
          <w:color w:val="231F20"/>
          <w:spacing w:val="-10"/>
          <w:w w:val="120"/>
        </w:rPr>
        <w:t> </w:t>
      </w:r>
      <w:r>
        <w:rPr>
          <w:color w:val="231F20"/>
          <w:spacing w:val="-2"/>
          <w:w w:val="120"/>
        </w:rPr>
        <w:t>et</w:t>
      </w:r>
      <w:r>
        <w:rPr>
          <w:color w:val="231F20"/>
          <w:spacing w:val="-11"/>
          <w:w w:val="120"/>
        </w:rPr>
        <w:t> </w:t>
      </w:r>
      <w:r>
        <w:rPr>
          <w:color w:val="231F20"/>
          <w:spacing w:val="-2"/>
          <w:w w:val="120"/>
        </w:rPr>
        <w:t>à</w:t>
      </w:r>
      <w:r>
        <w:rPr>
          <w:color w:val="231F20"/>
          <w:spacing w:val="-11"/>
          <w:w w:val="120"/>
        </w:rPr>
        <w:t> </w:t>
      </w:r>
      <w:r>
        <w:rPr>
          <w:color w:val="231F20"/>
          <w:spacing w:val="-2"/>
          <w:w w:val="120"/>
        </w:rPr>
        <w:t>la</w:t>
      </w:r>
      <w:r>
        <w:rPr>
          <w:color w:val="231F20"/>
          <w:spacing w:val="-11"/>
          <w:w w:val="120"/>
        </w:rPr>
        <w:t> </w:t>
      </w:r>
      <w:r>
        <w:rPr>
          <w:color w:val="231F20"/>
          <w:spacing w:val="-2"/>
          <w:w w:val="120"/>
        </w:rPr>
        <w:t>distinguer. </w:t>
      </w:r>
      <w:r>
        <w:rPr>
          <w:color w:val="231F20"/>
          <w:w w:val="115"/>
        </w:rPr>
        <w:t>Pour Branden13, l’estime de soi met en lien deux sentiments interdépen- </w:t>
      </w:r>
      <w:r>
        <w:rPr>
          <w:color w:val="231F20"/>
          <w:w w:val="120"/>
        </w:rPr>
        <w:t>dants:</w:t>
      </w:r>
      <w:r>
        <w:rPr>
          <w:color w:val="231F20"/>
          <w:spacing w:val="-6"/>
          <w:w w:val="120"/>
        </w:rPr>
        <w:t> </w:t>
      </w:r>
      <w:r>
        <w:rPr>
          <w:color w:val="231F20"/>
          <w:w w:val="120"/>
        </w:rPr>
        <w:t>l’efficacité</w:t>
      </w:r>
      <w:r>
        <w:rPr>
          <w:color w:val="231F20"/>
          <w:spacing w:val="-6"/>
          <w:w w:val="120"/>
        </w:rPr>
        <w:t> </w:t>
      </w:r>
      <w:r>
        <w:rPr>
          <w:color w:val="231F20"/>
          <w:w w:val="120"/>
        </w:rPr>
        <w:t>personnelle</w:t>
      </w:r>
      <w:r>
        <w:rPr>
          <w:color w:val="231F20"/>
          <w:spacing w:val="-6"/>
          <w:w w:val="120"/>
        </w:rPr>
        <w:t> </w:t>
      </w:r>
      <w:r>
        <w:rPr>
          <w:color w:val="231F20"/>
          <w:w w:val="120"/>
        </w:rPr>
        <w:t>et</w:t>
      </w:r>
      <w:r>
        <w:rPr>
          <w:color w:val="231F20"/>
          <w:spacing w:val="-6"/>
          <w:w w:val="120"/>
        </w:rPr>
        <w:t> </w:t>
      </w:r>
      <w:r>
        <w:rPr>
          <w:color w:val="231F20"/>
          <w:w w:val="120"/>
        </w:rPr>
        <w:t>le</w:t>
      </w:r>
      <w:r>
        <w:rPr>
          <w:color w:val="231F20"/>
          <w:spacing w:val="-6"/>
          <w:w w:val="120"/>
        </w:rPr>
        <w:t> </w:t>
      </w:r>
      <w:r>
        <w:rPr>
          <w:color w:val="231F20"/>
          <w:w w:val="120"/>
        </w:rPr>
        <w:t>mérite</w:t>
      </w:r>
      <w:r>
        <w:rPr>
          <w:color w:val="231F20"/>
          <w:spacing w:val="-6"/>
          <w:w w:val="120"/>
        </w:rPr>
        <w:t> </w:t>
      </w:r>
      <w:r>
        <w:rPr>
          <w:color w:val="231F20"/>
          <w:w w:val="120"/>
        </w:rPr>
        <w:t>personnel.</w:t>
      </w:r>
      <w:r>
        <w:rPr>
          <w:color w:val="231F20"/>
          <w:spacing w:val="-6"/>
          <w:w w:val="120"/>
        </w:rPr>
        <w:t> </w:t>
      </w:r>
      <w:r>
        <w:rPr>
          <w:color w:val="231F20"/>
          <w:w w:val="120"/>
        </w:rPr>
        <w:t>Elle</w:t>
      </w:r>
      <w:r>
        <w:rPr>
          <w:color w:val="231F20"/>
          <w:spacing w:val="-6"/>
          <w:w w:val="120"/>
        </w:rPr>
        <w:t> </w:t>
      </w:r>
      <w:r>
        <w:rPr>
          <w:color w:val="231F20"/>
          <w:w w:val="120"/>
        </w:rPr>
        <w:t>est</w:t>
      </w:r>
      <w:r>
        <w:rPr>
          <w:color w:val="231F20"/>
          <w:spacing w:val="-6"/>
          <w:w w:val="120"/>
        </w:rPr>
        <w:t> </w:t>
      </w:r>
      <w:r>
        <w:rPr>
          <w:color w:val="231F20"/>
          <w:w w:val="120"/>
        </w:rPr>
        <w:t>la</w:t>
      </w:r>
      <w:r>
        <w:rPr>
          <w:color w:val="231F20"/>
          <w:spacing w:val="-6"/>
          <w:w w:val="120"/>
        </w:rPr>
        <w:t> </w:t>
      </w:r>
      <w:r>
        <w:rPr>
          <w:color w:val="231F20"/>
          <w:w w:val="120"/>
        </w:rPr>
        <w:t>somme intégrée</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confiance</w:t>
      </w:r>
      <w:r>
        <w:rPr>
          <w:color w:val="231F20"/>
          <w:spacing w:val="-12"/>
          <w:w w:val="120"/>
        </w:rPr>
        <w:t> </w:t>
      </w:r>
      <w:r>
        <w:rPr>
          <w:color w:val="231F20"/>
          <w:w w:val="120"/>
        </w:rPr>
        <w:t>en</w:t>
      </w:r>
      <w:r>
        <w:rPr>
          <w:color w:val="231F20"/>
          <w:spacing w:val="-13"/>
          <w:w w:val="120"/>
        </w:rPr>
        <w:t> </w:t>
      </w:r>
      <w:r>
        <w:rPr>
          <w:color w:val="231F20"/>
          <w:w w:val="120"/>
        </w:rPr>
        <w:t>soi</w:t>
      </w:r>
      <w:r>
        <w:rPr>
          <w:color w:val="231F20"/>
          <w:spacing w:val="-13"/>
          <w:w w:val="120"/>
        </w:rPr>
        <w:t> </w:t>
      </w:r>
      <w:r>
        <w:rPr>
          <w:color w:val="231F20"/>
          <w:w w:val="120"/>
        </w:rPr>
        <w:t>et</w:t>
      </w:r>
      <w:r>
        <w:rPr>
          <w:color w:val="231F20"/>
          <w:spacing w:val="-13"/>
          <w:w w:val="120"/>
        </w:rPr>
        <w:t> </w:t>
      </w:r>
      <w:r>
        <w:rPr>
          <w:color w:val="231F20"/>
          <w:w w:val="120"/>
        </w:rPr>
        <w:t>du</w:t>
      </w:r>
      <w:r>
        <w:rPr>
          <w:color w:val="231F20"/>
          <w:spacing w:val="-12"/>
          <w:w w:val="120"/>
        </w:rPr>
        <w:t> </w:t>
      </w:r>
      <w:r>
        <w:rPr>
          <w:color w:val="231F20"/>
          <w:w w:val="120"/>
        </w:rPr>
        <w:t>respect</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la</w:t>
      </w:r>
      <w:r>
        <w:rPr>
          <w:color w:val="231F20"/>
          <w:spacing w:val="-12"/>
          <w:w w:val="120"/>
        </w:rPr>
        <w:t> </w:t>
      </w:r>
      <w:r>
        <w:rPr>
          <w:color w:val="231F20"/>
          <w:w w:val="120"/>
        </w:rPr>
        <w:t>conviction</w:t>
      </w:r>
      <w:r>
        <w:rPr>
          <w:color w:val="231F20"/>
          <w:spacing w:val="-13"/>
          <w:w w:val="120"/>
        </w:rPr>
        <w:t> </w:t>
      </w:r>
      <w:r>
        <w:rPr>
          <w:color w:val="231F20"/>
          <w:w w:val="120"/>
        </w:rPr>
        <w:t>d’avoir </w:t>
      </w:r>
      <w:r>
        <w:rPr>
          <w:color w:val="231F20"/>
          <w:spacing w:val="-2"/>
          <w:w w:val="120"/>
        </w:rPr>
        <w:t>la</w:t>
      </w:r>
      <w:r>
        <w:rPr>
          <w:color w:val="231F20"/>
          <w:spacing w:val="-7"/>
          <w:w w:val="120"/>
        </w:rPr>
        <w:t> </w:t>
      </w:r>
      <w:r>
        <w:rPr>
          <w:color w:val="231F20"/>
          <w:spacing w:val="-2"/>
          <w:w w:val="120"/>
        </w:rPr>
        <w:t>compétence</w:t>
      </w:r>
      <w:r>
        <w:rPr>
          <w:color w:val="231F20"/>
          <w:spacing w:val="-7"/>
          <w:w w:val="120"/>
        </w:rPr>
        <w:t> </w:t>
      </w:r>
      <w:r>
        <w:rPr>
          <w:color w:val="231F20"/>
          <w:spacing w:val="-2"/>
          <w:w w:val="120"/>
        </w:rPr>
        <w:t>nécessaire</w:t>
      </w:r>
      <w:r>
        <w:rPr>
          <w:color w:val="231F20"/>
          <w:spacing w:val="-7"/>
          <w:w w:val="120"/>
        </w:rPr>
        <w:t> </w:t>
      </w:r>
      <w:r>
        <w:rPr>
          <w:color w:val="231F20"/>
          <w:spacing w:val="-2"/>
          <w:w w:val="120"/>
        </w:rPr>
        <w:t>pour</w:t>
      </w:r>
      <w:r>
        <w:rPr>
          <w:color w:val="231F20"/>
          <w:spacing w:val="-7"/>
          <w:w w:val="120"/>
        </w:rPr>
        <w:t> </w:t>
      </w:r>
      <w:r>
        <w:rPr>
          <w:color w:val="231F20"/>
          <w:spacing w:val="-2"/>
          <w:w w:val="120"/>
        </w:rPr>
        <w:t>vivre</w:t>
      </w:r>
      <w:r>
        <w:rPr>
          <w:color w:val="231F20"/>
          <w:spacing w:val="-7"/>
          <w:w w:val="120"/>
        </w:rPr>
        <w:t> </w:t>
      </w:r>
      <w:r>
        <w:rPr>
          <w:color w:val="231F20"/>
          <w:spacing w:val="-2"/>
          <w:w w:val="120"/>
        </w:rPr>
        <w:t>et</w:t>
      </w:r>
      <w:r>
        <w:rPr>
          <w:color w:val="231F20"/>
          <w:spacing w:val="-7"/>
          <w:w w:val="120"/>
        </w:rPr>
        <w:t> </w:t>
      </w:r>
      <w:r>
        <w:rPr>
          <w:color w:val="231F20"/>
          <w:spacing w:val="-2"/>
          <w:w w:val="120"/>
        </w:rPr>
        <w:t>de</w:t>
      </w:r>
      <w:r>
        <w:rPr>
          <w:color w:val="231F20"/>
          <w:spacing w:val="-7"/>
          <w:w w:val="120"/>
        </w:rPr>
        <w:t> </w:t>
      </w:r>
      <w:r>
        <w:rPr>
          <w:color w:val="231F20"/>
          <w:spacing w:val="-2"/>
          <w:w w:val="120"/>
        </w:rPr>
        <w:t>mériter</w:t>
      </w:r>
      <w:r>
        <w:rPr>
          <w:color w:val="231F20"/>
          <w:spacing w:val="-7"/>
          <w:w w:val="120"/>
        </w:rPr>
        <w:t> </w:t>
      </w:r>
      <w:r>
        <w:rPr>
          <w:color w:val="231F20"/>
          <w:spacing w:val="-2"/>
          <w:w w:val="120"/>
        </w:rPr>
        <w:t>de</w:t>
      </w:r>
      <w:r>
        <w:rPr>
          <w:color w:val="231F20"/>
          <w:spacing w:val="-7"/>
          <w:w w:val="120"/>
        </w:rPr>
        <w:t> </w:t>
      </w:r>
      <w:r>
        <w:rPr>
          <w:color w:val="231F20"/>
          <w:spacing w:val="-2"/>
          <w:w w:val="120"/>
        </w:rPr>
        <w:t>vivre,</w:t>
      </w:r>
      <w:r>
        <w:rPr>
          <w:color w:val="231F20"/>
          <w:spacing w:val="-7"/>
          <w:w w:val="120"/>
        </w:rPr>
        <w:t> </w:t>
      </w:r>
      <w:r>
        <w:rPr>
          <w:color w:val="231F20"/>
          <w:spacing w:val="-2"/>
          <w:w w:val="120"/>
        </w:rPr>
        <w:t>la</w:t>
      </w:r>
      <w:r>
        <w:rPr>
          <w:color w:val="231F20"/>
          <w:spacing w:val="-7"/>
          <w:w w:val="120"/>
        </w:rPr>
        <w:t> </w:t>
      </w:r>
      <w:r>
        <w:rPr>
          <w:color w:val="231F20"/>
          <w:spacing w:val="-2"/>
          <w:w w:val="120"/>
        </w:rPr>
        <w:t>conviction </w:t>
      </w:r>
      <w:r>
        <w:rPr>
          <w:color w:val="231F20"/>
          <w:w w:val="120"/>
        </w:rPr>
        <w:t>d’être</w:t>
      </w:r>
      <w:r>
        <w:rPr>
          <w:color w:val="231F20"/>
          <w:spacing w:val="-4"/>
          <w:w w:val="120"/>
        </w:rPr>
        <w:t> </w:t>
      </w:r>
      <w:r>
        <w:rPr>
          <w:color w:val="231F20"/>
          <w:w w:val="120"/>
        </w:rPr>
        <w:t>apte</w:t>
      </w:r>
      <w:r>
        <w:rPr>
          <w:color w:val="231F20"/>
          <w:spacing w:val="-4"/>
          <w:w w:val="120"/>
        </w:rPr>
        <w:t> </w:t>
      </w:r>
      <w:r>
        <w:rPr>
          <w:color w:val="231F20"/>
          <w:w w:val="120"/>
        </w:rPr>
        <w:t>à</w:t>
      </w:r>
      <w:r>
        <w:rPr>
          <w:color w:val="231F20"/>
          <w:spacing w:val="-4"/>
          <w:w w:val="120"/>
        </w:rPr>
        <w:t> </w:t>
      </w:r>
      <w:r>
        <w:rPr>
          <w:color w:val="231F20"/>
          <w:w w:val="120"/>
        </w:rPr>
        <w:t>faire</w:t>
      </w:r>
      <w:r>
        <w:rPr>
          <w:color w:val="231F20"/>
          <w:spacing w:val="-4"/>
          <w:w w:val="120"/>
        </w:rPr>
        <w:t> </w:t>
      </w:r>
      <w:r>
        <w:rPr>
          <w:color w:val="231F20"/>
          <w:w w:val="120"/>
        </w:rPr>
        <w:t>face</w:t>
      </w:r>
      <w:r>
        <w:rPr>
          <w:color w:val="231F20"/>
          <w:spacing w:val="-4"/>
          <w:w w:val="120"/>
        </w:rPr>
        <w:t> </w:t>
      </w:r>
      <w:r>
        <w:rPr>
          <w:color w:val="231F20"/>
          <w:w w:val="120"/>
        </w:rPr>
        <w:t>aux</w:t>
      </w:r>
      <w:r>
        <w:rPr>
          <w:color w:val="231F20"/>
          <w:spacing w:val="-4"/>
          <w:w w:val="120"/>
        </w:rPr>
        <w:t> </w:t>
      </w:r>
      <w:r>
        <w:rPr>
          <w:color w:val="231F20"/>
          <w:w w:val="120"/>
        </w:rPr>
        <w:t>principaux</w:t>
      </w:r>
      <w:r>
        <w:rPr>
          <w:color w:val="231F20"/>
          <w:spacing w:val="-4"/>
          <w:w w:val="120"/>
        </w:rPr>
        <w:t> </w:t>
      </w:r>
      <w:r>
        <w:rPr>
          <w:color w:val="231F20"/>
          <w:w w:val="120"/>
        </w:rPr>
        <w:t>défis</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vie</w:t>
      </w:r>
      <w:r>
        <w:rPr>
          <w:color w:val="231F20"/>
          <w:spacing w:val="-4"/>
          <w:w w:val="120"/>
        </w:rPr>
        <w:t> </w:t>
      </w:r>
      <w:r>
        <w:rPr>
          <w:color w:val="231F20"/>
          <w:w w:val="120"/>
        </w:rPr>
        <w:t>et</w:t>
      </w:r>
      <w:r>
        <w:rPr>
          <w:color w:val="231F20"/>
          <w:spacing w:val="-4"/>
          <w:w w:val="120"/>
        </w:rPr>
        <w:t> </w:t>
      </w:r>
      <w:r>
        <w:rPr>
          <w:color w:val="231F20"/>
          <w:w w:val="120"/>
        </w:rPr>
        <w:t>d’être</w:t>
      </w:r>
      <w:r>
        <w:rPr>
          <w:color w:val="231F20"/>
          <w:spacing w:val="-4"/>
          <w:w w:val="120"/>
        </w:rPr>
        <w:t> </w:t>
      </w:r>
      <w:r>
        <w:rPr>
          <w:color w:val="231F20"/>
          <w:w w:val="120"/>
        </w:rPr>
        <w:t>digne</w:t>
      </w:r>
      <w:r>
        <w:rPr>
          <w:color w:val="231F20"/>
          <w:spacing w:val="-4"/>
          <w:w w:val="120"/>
        </w:rPr>
        <w:t> </w:t>
      </w:r>
      <w:r>
        <w:rPr>
          <w:color w:val="231F20"/>
          <w:w w:val="120"/>
        </w:rPr>
        <w:t>du bonheur.</w:t>
      </w:r>
      <w:r>
        <w:rPr>
          <w:color w:val="231F20"/>
          <w:spacing w:val="-7"/>
          <w:w w:val="120"/>
        </w:rPr>
        <w:t> </w:t>
      </w:r>
      <w:r>
        <w:rPr>
          <w:color w:val="231F20"/>
          <w:w w:val="120"/>
        </w:rPr>
        <w:t>Plus</w:t>
      </w:r>
      <w:r>
        <w:rPr>
          <w:color w:val="231F20"/>
          <w:spacing w:val="-7"/>
          <w:w w:val="120"/>
        </w:rPr>
        <w:t> </w:t>
      </w:r>
      <w:r>
        <w:rPr>
          <w:color w:val="231F20"/>
          <w:w w:val="120"/>
        </w:rPr>
        <w:t>précisément,</w:t>
      </w:r>
      <w:r>
        <w:rPr>
          <w:color w:val="231F20"/>
          <w:spacing w:val="-7"/>
          <w:w w:val="120"/>
        </w:rPr>
        <w:t> </w:t>
      </w:r>
      <w:r>
        <w:rPr>
          <w:color w:val="231F20"/>
          <w:w w:val="120"/>
        </w:rPr>
        <w:t>les</w:t>
      </w:r>
      <w:r>
        <w:rPr>
          <w:color w:val="231F20"/>
          <w:spacing w:val="-7"/>
          <w:w w:val="120"/>
        </w:rPr>
        <w:t> </w:t>
      </w:r>
      <w:r>
        <w:rPr>
          <w:color w:val="231F20"/>
          <w:w w:val="120"/>
        </w:rPr>
        <w:t>deux</w:t>
      </w:r>
      <w:r>
        <w:rPr>
          <w:color w:val="231F20"/>
          <w:spacing w:val="-7"/>
          <w:w w:val="120"/>
        </w:rPr>
        <w:t> </w:t>
      </w:r>
      <w:r>
        <w:rPr>
          <w:color w:val="231F20"/>
          <w:w w:val="120"/>
        </w:rPr>
        <w:t>sentiments</w:t>
      </w:r>
      <w:r>
        <w:rPr>
          <w:color w:val="231F20"/>
          <w:spacing w:val="-7"/>
          <w:w w:val="120"/>
        </w:rPr>
        <w:t> </w:t>
      </w:r>
      <w:r>
        <w:rPr>
          <w:color w:val="231F20"/>
          <w:w w:val="120"/>
        </w:rPr>
        <w:t>constitutifs</w:t>
      </w:r>
      <w:r>
        <w:rPr>
          <w:color w:val="231F20"/>
          <w:spacing w:val="-7"/>
          <w:w w:val="120"/>
        </w:rPr>
        <w:t> </w:t>
      </w:r>
      <w:r>
        <w:rPr>
          <w:color w:val="231F20"/>
          <w:w w:val="120"/>
        </w:rPr>
        <w:t>de</w:t>
      </w:r>
      <w:r>
        <w:rPr>
          <w:color w:val="231F20"/>
          <w:spacing w:val="-7"/>
          <w:w w:val="120"/>
        </w:rPr>
        <w:t> </w:t>
      </w:r>
      <w:r>
        <w:rPr>
          <w:color w:val="231F20"/>
          <w:w w:val="120"/>
        </w:rPr>
        <w:t>l’estime de soi sont pour lui14</w:t>
      </w:r>
      <w:r>
        <w:rPr>
          <w:color w:val="231F20"/>
          <w:spacing w:val="-27"/>
          <w:w w:val="120"/>
        </w:rPr>
        <w:t> </w:t>
      </w:r>
      <w:r>
        <w:rPr>
          <w:color w:val="231F20"/>
          <w:w w:val="120"/>
        </w:rPr>
        <w:t>:</w:t>
      </w:r>
    </w:p>
    <w:p>
      <w:pPr>
        <w:pStyle w:val="BodyText"/>
        <w:spacing w:line="307" w:lineRule="auto" w:before="77"/>
        <w:ind w:left="1330" w:right="491" w:hanging="251"/>
        <w:jc w:val="both"/>
      </w:pPr>
      <w:r>
        <w:rPr>
          <w:rFonts w:ascii="Arial" w:hAnsi="Arial"/>
          <w:color w:val="231F20"/>
          <w:w w:val="105"/>
        </w:rPr>
        <w:t>1</w:t>
      </w:r>
      <w:r>
        <w:rPr>
          <w:rFonts w:ascii="Arial" w:hAnsi="Arial"/>
          <w:color w:val="231F20"/>
          <w:spacing w:val="80"/>
          <w:w w:val="120"/>
        </w:rPr>
        <w:t> </w:t>
      </w:r>
      <w:r>
        <w:rPr>
          <w:color w:val="231F20"/>
          <w:w w:val="120"/>
        </w:rPr>
        <w:t>Se</w:t>
      </w:r>
      <w:r>
        <w:rPr>
          <w:color w:val="231F20"/>
          <w:spacing w:val="-6"/>
          <w:w w:val="120"/>
        </w:rPr>
        <w:t> </w:t>
      </w:r>
      <w:r>
        <w:rPr>
          <w:color w:val="231F20"/>
          <w:w w:val="120"/>
        </w:rPr>
        <w:t>considérer</w:t>
      </w:r>
      <w:r>
        <w:rPr>
          <w:color w:val="231F20"/>
          <w:spacing w:val="-6"/>
          <w:w w:val="120"/>
        </w:rPr>
        <w:t> </w:t>
      </w:r>
      <w:r>
        <w:rPr>
          <w:color w:val="231F20"/>
          <w:w w:val="120"/>
        </w:rPr>
        <w:t>comme</w:t>
      </w:r>
      <w:r>
        <w:rPr>
          <w:color w:val="231F20"/>
          <w:spacing w:val="-6"/>
          <w:w w:val="120"/>
        </w:rPr>
        <w:t> </w:t>
      </w:r>
      <w:r>
        <w:rPr>
          <w:color w:val="231F20"/>
          <w:w w:val="120"/>
        </w:rPr>
        <w:t>efficace,</w:t>
      </w:r>
      <w:r>
        <w:rPr>
          <w:color w:val="231F20"/>
          <w:spacing w:val="-6"/>
          <w:w w:val="120"/>
        </w:rPr>
        <w:t> </w:t>
      </w:r>
      <w:r>
        <w:rPr>
          <w:color w:val="231F20"/>
          <w:w w:val="120"/>
        </w:rPr>
        <w:t>avoir</w:t>
      </w:r>
      <w:r>
        <w:rPr>
          <w:color w:val="231F20"/>
          <w:spacing w:val="-6"/>
          <w:w w:val="120"/>
        </w:rPr>
        <w:t> </w:t>
      </w:r>
      <w:r>
        <w:rPr>
          <w:color w:val="231F20"/>
          <w:w w:val="120"/>
        </w:rPr>
        <w:t>confiance</w:t>
      </w:r>
      <w:r>
        <w:rPr>
          <w:color w:val="231F20"/>
          <w:spacing w:val="-6"/>
          <w:w w:val="120"/>
        </w:rPr>
        <w:t> </w:t>
      </w:r>
      <w:r>
        <w:rPr>
          <w:color w:val="231F20"/>
          <w:w w:val="120"/>
        </w:rPr>
        <w:t>en</w:t>
      </w:r>
      <w:r>
        <w:rPr>
          <w:color w:val="231F20"/>
          <w:spacing w:val="-6"/>
          <w:w w:val="120"/>
        </w:rPr>
        <w:t> </w:t>
      </w:r>
      <w:r>
        <w:rPr>
          <w:color w:val="231F20"/>
          <w:w w:val="120"/>
        </w:rPr>
        <w:t>sa</w:t>
      </w:r>
      <w:r>
        <w:rPr>
          <w:color w:val="231F20"/>
          <w:spacing w:val="-6"/>
          <w:w w:val="120"/>
        </w:rPr>
        <w:t> </w:t>
      </w:r>
      <w:r>
        <w:rPr>
          <w:color w:val="231F20"/>
          <w:w w:val="120"/>
        </w:rPr>
        <w:t>capacité</w:t>
      </w:r>
      <w:r>
        <w:rPr>
          <w:color w:val="231F20"/>
          <w:spacing w:val="-6"/>
          <w:w w:val="120"/>
        </w:rPr>
        <w:t> </w:t>
      </w:r>
      <w:r>
        <w:rPr>
          <w:color w:val="231F20"/>
          <w:w w:val="120"/>
        </w:rPr>
        <w:t>de réfléchir, d’apprendre, de faire les bons choix, de prendre les bonnes décisions et, par extension, de relever des défis et de produire des changements;</w:t>
      </w:r>
    </w:p>
    <w:p>
      <w:pPr>
        <w:pStyle w:val="BodyText"/>
        <w:spacing w:before="6"/>
        <w:rPr>
          <w:sz w:val="24"/>
        </w:rPr>
      </w:pPr>
      <w:r>
        <w:rPr/>
        <w:pict>
          <v:shape style="position:absolute;margin-left:62.5pt;margin-top:15.316259pt;width:287.5pt;height:.1pt;mso-position-horizontal-relative:page;mso-position-vertical-relative:paragraph;z-index:-15658496;mso-wrap-distance-left:0;mso-wrap-distance-right:0" id="docshape816" coordorigin="1250,306" coordsize="5750,0" path="m1250,306l7000,306e" filled="false" stroked="true" strokeweight=".25pt" strokecolor="#231f20">
            <v:path arrowok="t"/>
            <v:stroke dashstyle="shortdot"/>
            <w10:wrap type="topAndBottom"/>
          </v:shape>
        </w:pict>
      </w:r>
    </w:p>
    <w:p>
      <w:pPr>
        <w:pStyle w:val="ListParagraph"/>
        <w:numPr>
          <w:ilvl w:val="0"/>
          <w:numId w:val="63"/>
        </w:numPr>
        <w:tabs>
          <w:tab w:pos="829" w:val="left" w:leader="none"/>
          <w:tab w:pos="830" w:val="left" w:leader="none"/>
        </w:tabs>
        <w:spacing w:line="295" w:lineRule="auto" w:before="135" w:after="0"/>
        <w:ind w:left="829" w:right="495" w:hanging="328"/>
        <w:jc w:val="left"/>
        <w:rPr>
          <w:rFonts w:ascii="Arial" w:hAnsi="Arial"/>
          <w:sz w:val="12"/>
        </w:rPr>
      </w:pPr>
      <w:r>
        <w:rPr>
          <w:rFonts w:ascii="Arial" w:hAnsi="Arial"/>
          <w:color w:val="231F20"/>
          <w:spacing w:val="-2"/>
          <w:sz w:val="12"/>
        </w:rPr>
        <w:t>Voir Dolan, S. L., Martín, I. et Soto, E. (2004). </w:t>
      </w:r>
      <w:r>
        <w:rPr>
          <w:rFonts w:ascii="Arial" w:hAnsi="Arial"/>
          <w:i/>
          <w:color w:val="231F20"/>
          <w:spacing w:val="-2"/>
          <w:sz w:val="12"/>
        </w:rPr>
        <w:t>Los 10 mandamientos para la dirección de personas </w:t>
      </w:r>
      <w:r>
        <w:rPr>
          <w:rFonts w:ascii="Arial" w:hAnsi="Arial"/>
          <w:color w:val="231F20"/>
          <w:spacing w:val="-2"/>
          <w:sz w:val="12"/>
        </w:rPr>
        <w:t>(chapitre 1).</w:t>
      </w:r>
      <w:r>
        <w:rPr>
          <w:rFonts w:ascii="Arial" w:hAnsi="Arial"/>
          <w:color w:val="231F20"/>
          <w:spacing w:val="40"/>
          <w:sz w:val="12"/>
        </w:rPr>
        <w:t> </w:t>
      </w:r>
      <w:r>
        <w:rPr>
          <w:rFonts w:ascii="Arial" w:hAnsi="Arial"/>
          <w:color w:val="231F20"/>
          <w:sz w:val="12"/>
        </w:rPr>
        <w:t>Dans </w:t>
      </w:r>
      <w:r>
        <w:rPr>
          <w:rFonts w:ascii="Arial" w:hAnsi="Arial"/>
          <w:i/>
          <w:color w:val="231F20"/>
          <w:sz w:val="12"/>
        </w:rPr>
        <w:t>Motivarás y reconocerás el esfuerzo</w:t>
      </w:r>
      <w:r>
        <w:rPr>
          <w:rFonts w:ascii="Arial" w:hAnsi="Arial"/>
          <w:color w:val="231F20"/>
          <w:sz w:val="12"/>
        </w:rPr>
        <w:t>, Barcelone, Gestión 2000.</w:t>
      </w:r>
    </w:p>
    <w:p>
      <w:pPr>
        <w:pStyle w:val="ListParagraph"/>
        <w:numPr>
          <w:ilvl w:val="0"/>
          <w:numId w:val="63"/>
        </w:numPr>
        <w:tabs>
          <w:tab w:pos="829" w:val="left" w:leader="none"/>
          <w:tab w:pos="830" w:val="left" w:leader="none"/>
        </w:tabs>
        <w:spacing w:line="240" w:lineRule="auto" w:before="0" w:after="0"/>
        <w:ind w:left="829" w:right="0" w:hanging="328"/>
        <w:jc w:val="left"/>
        <w:rPr>
          <w:rFonts w:ascii="Arial"/>
          <w:sz w:val="12"/>
        </w:rPr>
      </w:pPr>
      <w:r>
        <w:rPr>
          <w:rFonts w:ascii="Arial"/>
          <w:color w:val="231F20"/>
          <w:sz w:val="12"/>
        </w:rPr>
        <w:t>White,</w:t>
      </w:r>
      <w:r>
        <w:rPr>
          <w:rFonts w:ascii="Arial"/>
          <w:color w:val="231F20"/>
          <w:spacing w:val="2"/>
          <w:sz w:val="12"/>
        </w:rPr>
        <w:t> </w:t>
      </w:r>
      <w:r>
        <w:rPr>
          <w:rFonts w:ascii="Arial"/>
          <w:color w:val="231F20"/>
          <w:sz w:val="12"/>
        </w:rPr>
        <w:t>R.</w:t>
      </w:r>
      <w:r>
        <w:rPr>
          <w:rFonts w:ascii="Arial"/>
          <w:color w:val="231F20"/>
          <w:spacing w:val="3"/>
          <w:sz w:val="12"/>
        </w:rPr>
        <w:t> </w:t>
      </w:r>
      <w:r>
        <w:rPr>
          <w:rFonts w:ascii="Arial"/>
          <w:color w:val="231F20"/>
          <w:sz w:val="12"/>
        </w:rPr>
        <w:t>(1963).</w:t>
      </w:r>
      <w:r>
        <w:rPr>
          <w:rFonts w:ascii="Arial"/>
          <w:color w:val="231F20"/>
          <w:spacing w:val="3"/>
          <w:sz w:val="12"/>
        </w:rPr>
        <w:t> </w:t>
      </w:r>
      <w:r>
        <w:rPr>
          <w:rFonts w:ascii="Arial"/>
          <w:color w:val="231F20"/>
          <w:sz w:val="12"/>
        </w:rPr>
        <w:t>Ego</w:t>
      </w:r>
      <w:r>
        <w:rPr>
          <w:rFonts w:ascii="Arial"/>
          <w:color w:val="231F20"/>
          <w:spacing w:val="2"/>
          <w:sz w:val="12"/>
        </w:rPr>
        <w:t> </w:t>
      </w:r>
      <w:r>
        <w:rPr>
          <w:rFonts w:ascii="Arial"/>
          <w:color w:val="231F20"/>
          <w:sz w:val="12"/>
        </w:rPr>
        <w:t>and</w:t>
      </w:r>
      <w:r>
        <w:rPr>
          <w:rFonts w:ascii="Arial"/>
          <w:color w:val="231F20"/>
          <w:spacing w:val="3"/>
          <w:sz w:val="12"/>
        </w:rPr>
        <w:t> </w:t>
      </w:r>
      <w:r>
        <w:rPr>
          <w:rFonts w:ascii="Arial"/>
          <w:color w:val="231F20"/>
          <w:sz w:val="12"/>
        </w:rPr>
        <w:t>reality</w:t>
      </w:r>
      <w:r>
        <w:rPr>
          <w:rFonts w:ascii="Arial"/>
          <w:color w:val="231F20"/>
          <w:spacing w:val="2"/>
          <w:sz w:val="12"/>
        </w:rPr>
        <w:t> </w:t>
      </w:r>
      <w:r>
        <w:rPr>
          <w:rFonts w:ascii="Arial"/>
          <w:color w:val="231F20"/>
          <w:sz w:val="12"/>
        </w:rPr>
        <w:t>in</w:t>
      </w:r>
      <w:r>
        <w:rPr>
          <w:rFonts w:ascii="Arial"/>
          <w:color w:val="231F20"/>
          <w:spacing w:val="3"/>
          <w:sz w:val="12"/>
        </w:rPr>
        <w:t> </w:t>
      </w:r>
      <w:r>
        <w:rPr>
          <w:rFonts w:ascii="Arial"/>
          <w:color w:val="231F20"/>
          <w:sz w:val="12"/>
        </w:rPr>
        <w:t>psychoanalytic</w:t>
      </w:r>
      <w:r>
        <w:rPr>
          <w:rFonts w:ascii="Arial"/>
          <w:color w:val="231F20"/>
          <w:spacing w:val="3"/>
          <w:sz w:val="12"/>
        </w:rPr>
        <w:t> </w:t>
      </w:r>
      <w:r>
        <w:rPr>
          <w:rFonts w:ascii="Arial"/>
          <w:color w:val="231F20"/>
          <w:sz w:val="12"/>
        </w:rPr>
        <w:t>theory:</w:t>
      </w:r>
      <w:r>
        <w:rPr>
          <w:rFonts w:ascii="Arial"/>
          <w:color w:val="231F20"/>
          <w:spacing w:val="2"/>
          <w:sz w:val="12"/>
        </w:rPr>
        <w:t> </w:t>
      </w:r>
      <w:r>
        <w:rPr>
          <w:rFonts w:ascii="Arial"/>
          <w:color w:val="231F20"/>
          <w:sz w:val="12"/>
        </w:rPr>
        <w:t>A</w:t>
      </w:r>
      <w:r>
        <w:rPr>
          <w:rFonts w:ascii="Arial"/>
          <w:color w:val="231F20"/>
          <w:spacing w:val="3"/>
          <w:sz w:val="12"/>
        </w:rPr>
        <w:t> </w:t>
      </w:r>
      <w:r>
        <w:rPr>
          <w:rFonts w:ascii="Arial"/>
          <w:color w:val="231F20"/>
          <w:sz w:val="12"/>
        </w:rPr>
        <w:t>proposal</w:t>
      </w:r>
      <w:r>
        <w:rPr>
          <w:rFonts w:ascii="Arial"/>
          <w:color w:val="231F20"/>
          <w:spacing w:val="3"/>
          <w:sz w:val="12"/>
        </w:rPr>
        <w:t> </w:t>
      </w:r>
      <w:r>
        <w:rPr>
          <w:rFonts w:ascii="Arial"/>
          <w:color w:val="231F20"/>
          <w:sz w:val="12"/>
        </w:rPr>
        <w:t>regarding</w:t>
      </w:r>
      <w:r>
        <w:rPr>
          <w:rFonts w:ascii="Arial"/>
          <w:color w:val="231F20"/>
          <w:spacing w:val="2"/>
          <w:sz w:val="12"/>
        </w:rPr>
        <w:t> </w:t>
      </w:r>
      <w:r>
        <w:rPr>
          <w:rFonts w:ascii="Arial"/>
          <w:color w:val="231F20"/>
          <w:sz w:val="12"/>
        </w:rPr>
        <w:t>independent</w:t>
      </w:r>
      <w:r>
        <w:rPr>
          <w:rFonts w:ascii="Arial"/>
          <w:color w:val="231F20"/>
          <w:spacing w:val="3"/>
          <w:sz w:val="12"/>
        </w:rPr>
        <w:t> </w:t>
      </w:r>
      <w:r>
        <w:rPr>
          <w:rFonts w:ascii="Arial"/>
          <w:color w:val="231F20"/>
          <w:sz w:val="12"/>
        </w:rPr>
        <w:t>ego</w:t>
      </w:r>
      <w:r>
        <w:rPr>
          <w:rFonts w:ascii="Arial"/>
          <w:color w:val="231F20"/>
          <w:spacing w:val="3"/>
          <w:sz w:val="12"/>
        </w:rPr>
        <w:t> </w:t>
      </w:r>
      <w:r>
        <w:rPr>
          <w:rFonts w:ascii="Arial"/>
          <w:color w:val="231F20"/>
          <w:spacing w:val="-2"/>
          <w:sz w:val="12"/>
        </w:rPr>
        <w:t>energies,</w:t>
      </w:r>
    </w:p>
    <w:p>
      <w:pPr>
        <w:spacing w:before="32"/>
        <w:ind w:left="829" w:right="0" w:firstLine="0"/>
        <w:jc w:val="left"/>
        <w:rPr>
          <w:rFonts w:ascii="Arial"/>
          <w:sz w:val="12"/>
        </w:rPr>
      </w:pPr>
      <w:r>
        <w:rPr>
          <w:rFonts w:ascii="Arial"/>
          <w:i/>
          <w:color w:val="231F20"/>
          <w:w w:val="95"/>
          <w:sz w:val="12"/>
        </w:rPr>
        <w:t>Psychological</w:t>
      </w:r>
      <w:r>
        <w:rPr>
          <w:rFonts w:ascii="Arial"/>
          <w:i/>
          <w:color w:val="231F20"/>
          <w:spacing w:val="-3"/>
          <w:w w:val="95"/>
          <w:sz w:val="12"/>
        </w:rPr>
        <w:t> </w:t>
      </w:r>
      <w:r>
        <w:rPr>
          <w:rFonts w:ascii="Arial"/>
          <w:i/>
          <w:color w:val="231F20"/>
          <w:w w:val="95"/>
          <w:sz w:val="12"/>
        </w:rPr>
        <w:t>Issues</w:t>
      </w:r>
      <w:r>
        <w:rPr>
          <w:rFonts w:ascii="Arial"/>
          <w:color w:val="231F20"/>
          <w:w w:val="95"/>
          <w:sz w:val="12"/>
        </w:rPr>
        <w:t>,</w:t>
      </w:r>
      <w:r>
        <w:rPr>
          <w:rFonts w:ascii="Arial"/>
          <w:color w:val="231F20"/>
          <w:spacing w:val="-3"/>
          <w:w w:val="95"/>
          <w:sz w:val="12"/>
        </w:rPr>
        <w:t> </w:t>
      </w:r>
      <w:r>
        <w:rPr>
          <w:rFonts w:ascii="Arial"/>
          <w:i/>
          <w:color w:val="231F20"/>
          <w:w w:val="95"/>
          <w:sz w:val="12"/>
        </w:rPr>
        <w:t>3</w:t>
      </w:r>
      <w:r>
        <w:rPr>
          <w:rFonts w:ascii="Arial"/>
          <w:color w:val="231F20"/>
          <w:w w:val="95"/>
          <w:sz w:val="12"/>
        </w:rPr>
        <w:t>,</w:t>
      </w:r>
      <w:r>
        <w:rPr>
          <w:rFonts w:ascii="Arial"/>
          <w:color w:val="231F20"/>
          <w:spacing w:val="-3"/>
          <w:w w:val="95"/>
          <w:sz w:val="12"/>
        </w:rPr>
        <w:t> </w:t>
      </w:r>
      <w:r>
        <w:rPr>
          <w:rFonts w:ascii="Arial"/>
          <w:color w:val="231F20"/>
          <w:w w:val="95"/>
          <w:sz w:val="12"/>
        </w:rPr>
        <w:t>125-</w:t>
      </w:r>
      <w:r>
        <w:rPr>
          <w:rFonts w:ascii="Arial"/>
          <w:color w:val="231F20"/>
          <w:spacing w:val="-4"/>
          <w:w w:val="95"/>
          <w:sz w:val="12"/>
        </w:rPr>
        <w:t>150.</w:t>
      </w:r>
    </w:p>
    <w:p>
      <w:pPr>
        <w:pStyle w:val="ListParagraph"/>
        <w:numPr>
          <w:ilvl w:val="0"/>
          <w:numId w:val="63"/>
        </w:numPr>
        <w:tabs>
          <w:tab w:pos="829" w:val="left" w:leader="none"/>
          <w:tab w:pos="830" w:val="left" w:leader="none"/>
        </w:tabs>
        <w:spacing w:line="240" w:lineRule="auto" w:before="32" w:after="0"/>
        <w:ind w:left="829" w:right="0" w:hanging="406"/>
        <w:jc w:val="left"/>
        <w:rPr>
          <w:rFonts w:ascii="Arial"/>
          <w:sz w:val="12"/>
        </w:rPr>
      </w:pPr>
      <w:r>
        <w:rPr>
          <w:rFonts w:ascii="Arial"/>
          <w:color w:val="231F20"/>
          <w:w w:val="95"/>
          <w:sz w:val="12"/>
        </w:rPr>
        <w:t>Rosenberg,</w:t>
      </w:r>
      <w:r>
        <w:rPr>
          <w:rFonts w:ascii="Arial"/>
          <w:color w:val="231F20"/>
          <w:spacing w:val="3"/>
          <w:sz w:val="12"/>
        </w:rPr>
        <w:t> </w:t>
      </w:r>
      <w:r>
        <w:rPr>
          <w:rFonts w:ascii="Arial"/>
          <w:color w:val="231F20"/>
          <w:w w:val="95"/>
          <w:sz w:val="12"/>
        </w:rPr>
        <w:t>M.</w:t>
      </w:r>
      <w:r>
        <w:rPr>
          <w:rFonts w:ascii="Arial"/>
          <w:color w:val="231F20"/>
          <w:spacing w:val="4"/>
          <w:sz w:val="12"/>
        </w:rPr>
        <w:t> </w:t>
      </w:r>
      <w:r>
        <w:rPr>
          <w:rFonts w:ascii="Arial"/>
          <w:color w:val="231F20"/>
          <w:w w:val="95"/>
          <w:sz w:val="12"/>
        </w:rPr>
        <w:t>(1979).</w:t>
      </w:r>
      <w:r>
        <w:rPr>
          <w:rFonts w:ascii="Arial"/>
          <w:color w:val="231F20"/>
          <w:spacing w:val="3"/>
          <w:sz w:val="12"/>
        </w:rPr>
        <w:t> </w:t>
      </w:r>
      <w:r>
        <w:rPr>
          <w:rFonts w:ascii="Arial"/>
          <w:i/>
          <w:color w:val="231F20"/>
          <w:w w:val="95"/>
          <w:sz w:val="12"/>
        </w:rPr>
        <w:t>Conceiving</w:t>
      </w:r>
      <w:r>
        <w:rPr>
          <w:rFonts w:ascii="Arial"/>
          <w:i/>
          <w:color w:val="231F20"/>
          <w:spacing w:val="4"/>
          <w:sz w:val="12"/>
        </w:rPr>
        <w:t> </w:t>
      </w:r>
      <w:r>
        <w:rPr>
          <w:rFonts w:ascii="Arial"/>
          <w:i/>
          <w:color w:val="231F20"/>
          <w:w w:val="95"/>
          <w:sz w:val="12"/>
        </w:rPr>
        <w:t>the</w:t>
      </w:r>
      <w:r>
        <w:rPr>
          <w:rFonts w:ascii="Arial"/>
          <w:i/>
          <w:color w:val="231F20"/>
          <w:spacing w:val="3"/>
          <w:sz w:val="12"/>
        </w:rPr>
        <w:t> </w:t>
      </w:r>
      <w:r>
        <w:rPr>
          <w:rFonts w:ascii="Arial"/>
          <w:i/>
          <w:color w:val="231F20"/>
          <w:w w:val="95"/>
          <w:sz w:val="12"/>
        </w:rPr>
        <w:t>Self</w:t>
      </w:r>
      <w:r>
        <w:rPr>
          <w:rFonts w:ascii="Arial"/>
          <w:color w:val="231F20"/>
          <w:w w:val="95"/>
          <w:sz w:val="12"/>
        </w:rPr>
        <w:t>,</w:t>
      </w:r>
      <w:r>
        <w:rPr>
          <w:rFonts w:ascii="Arial"/>
          <w:color w:val="231F20"/>
          <w:spacing w:val="4"/>
          <w:sz w:val="12"/>
        </w:rPr>
        <w:t> </w:t>
      </w:r>
      <w:r>
        <w:rPr>
          <w:rFonts w:ascii="Arial"/>
          <w:color w:val="231F20"/>
          <w:w w:val="95"/>
          <w:sz w:val="12"/>
        </w:rPr>
        <w:t>New</w:t>
      </w:r>
      <w:r>
        <w:rPr>
          <w:rFonts w:ascii="Arial"/>
          <w:color w:val="231F20"/>
          <w:spacing w:val="3"/>
          <w:sz w:val="12"/>
        </w:rPr>
        <w:t> </w:t>
      </w:r>
      <w:r>
        <w:rPr>
          <w:rFonts w:ascii="Arial"/>
          <w:color w:val="231F20"/>
          <w:w w:val="95"/>
          <w:sz w:val="12"/>
        </w:rPr>
        <w:t>York,</w:t>
      </w:r>
      <w:r>
        <w:rPr>
          <w:rFonts w:ascii="Arial"/>
          <w:color w:val="231F20"/>
          <w:spacing w:val="4"/>
          <w:sz w:val="12"/>
        </w:rPr>
        <w:t> </w:t>
      </w:r>
      <w:r>
        <w:rPr>
          <w:rFonts w:ascii="Arial"/>
          <w:color w:val="231F20"/>
          <w:w w:val="95"/>
          <w:sz w:val="12"/>
        </w:rPr>
        <w:t>Basic</w:t>
      </w:r>
      <w:r>
        <w:rPr>
          <w:rFonts w:ascii="Arial"/>
          <w:color w:val="231F20"/>
          <w:spacing w:val="3"/>
          <w:sz w:val="12"/>
        </w:rPr>
        <w:t> </w:t>
      </w:r>
      <w:r>
        <w:rPr>
          <w:rFonts w:ascii="Arial"/>
          <w:color w:val="231F20"/>
          <w:spacing w:val="-2"/>
          <w:w w:val="95"/>
          <w:sz w:val="12"/>
        </w:rPr>
        <w:t>Books.</w:t>
      </w:r>
    </w:p>
    <w:p>
      <w:pPr>
        <w:pStyle w:val="ListParagraph"/>
        <w:numPr>
          <w:ilvl w:val="0"/>
          <w:numId w:val="63"/>
        </w:numPr>
        <w:tabs>
          <w:tab w:pos="829" w:val="left" w:leader="none"/>
          <w:tab w:pos="830" w:val="left" w:leader="none"/>
        </w:tabs>
        <w:spacing w:line="240" w:lineRule="auto" w:before="32" w:after="0"/>
        <w:ind w:left="829" w:right="0" w:hanging="406"/>
        <w:jc w:val="left"/>
        <w:rPr>
          <w:rFonts w:ascii="Arial"/>
          <w:sz w:val="12"/>
        </w:rPr>
      </w:pPr>
      <w:r>
        <w:rPr>
          <w:rFonts w:ascii="Arial"/>
          <w:color w:val="231F20"/>
          <w:w w:val="95"/>
          <w:sz w:val="12"/>
        </w:rPr>
        <w:t>Coopersmith,</w:t>
      </w:r>
      <w:r>
        <w:rPr>
          <w:rFonts w:ascii="Arial"/>
          <w:color w:val="231F20"/>
          <w:spacing w:val="3"/>
          <w:sz w:val="12"/>
        </w:rPr>
        <w:t> </w:t>
      </w:r>
      <w:r>
        <w:rPr>
          <w:rFonts w:ascii="Arial"/>
          <w:color w:val="231F20"/>
          <w:w w:val="95"/>
          <w:sz w:val="12"/>
        </w:rPr>
        <w:t>S.</w:t>
      </w:r>
      <w:r>
        <w:rPr>
          <w:rFonts w:ascii="Arial"/>
          <w:color w:val="231F20"/>
          <w:spacing w:val="3"/>
          <w:sz w:val="12"/>
        </w:rPr>
        <w:t> </w:t>
      </w:r>
      <w:r>
        <w:rPr>
          <w:rFonts w:ascii="Arial"/>
          <w:color w:val="231F20"/>
          <w:w w:val="95"/>
          <w:sz w:val="12"/>
        </w:rPr>
        <w:t>(1967).</w:t>
      </w:r>
      <w:r>
        <w:rPr>
          <w:rFonts w:ascii="Arial"/>
          <w:color w:val="231F20"/>
          <w:spacing w:val="3"/>
          <w:sz w:val="12"/>
        </w:rPr>
        <w:t> </w:t>
      </w:r>
      <w:r>
        <w:rPr>
          <w:rFonts w:ascii="Arial"/>
          <w:i/>
          <w:color w:val="231F20"/>
          <w:w w:val="95"/>
          <w:sz w:val="12"/>
        </w:rPr>
        <w:t>The</w:t>
      </w:r>
      <w:r>
        <w:rPr>
          <w:rFonts w:ascii="Arial"/>
          <w:i/>
          <w:color w:val="231F20"/>
          <w:spacing w:val="3"/>
          <w:sz w:val="12"/>
        </w:rPr>
        <w:t> </w:t>
      </w:r>
      <w:r>
        <w:rPr>
          <w:rFonts w:ascii="Arial"/>
          <w:i/>
          <w:color w:val="231F20"/>
          <w:w w:val="95"/>
          <w:sz w:val="12"/>
        </w:rPr>
        <w:t>Antecedents</w:t>
      </w:r>
      <w:r>
        <w:rPr>
          <w:rFonts w:ascii="Arial"/>
          <w:i/>
          <w:color w:val="231F20"/>
          <w:spacing w:val="3"/>
          <w:sz w:val="12"/>
        </w:rPr>
        <w:t> </w:t>
      </w:r>
      <w:r>
        <w:rPr>
          <w:rFonts w:ascii="Arial"/>
          <w:i/>
          <w:color w:val="231F20"/>
          <w:w w:val="95"/>
          <w:sz w:val="12"/>
        </w:rPr>
        <w:t>of</w:t>
      </w:r>
      <w:r>
        <w:rPr>
          <w:rFonts w:ascii="Arial"/>
          <w:i/>
          <w:color w:val="231F20"/>
          <w:spacing w:val="3"/>
          <w:sz w:val="12"/>
        </w:rPr>
        <w:t> </w:t>
      </w:r>
      <w:r>
        <w:rPr>
          <w:rFonts w:ascii="Arial"/>
          <w:i/>
          <w:color w:val="231F20"/>
          <w:w w:val="95"/>
          <w:sz w:val="12"/>
        </w:rPr>
        <w:t>Self-Esteem</w:t>
      </w:r>
      <w:r>
        <w:rPr>
          <w:rFonts w:ascii="Arial"/>
          <w:color w:val="231F20"/>
          <w:w w:val="95"/>
          <w:sz w:val="12"/>
        </w:rPr>
        <w:t>,</w:t>
      </w:r>
      <w:r>
        <w:rPr>
          <w:rFonts w:ascii="Arial"/>
          <w:color w:val="231F20"/>
          <w:spacing w:val="3"/>
          <w:sz w:val="12"/>
        </w:rPr>
        <w:t> </w:t>
      </w:r>
      <w:r>
        <w:rPr>
          <w:rFonts w:ascii="Arial"/>
          <w:color w:val="231F20"/>
          <w:w w:val="95"/>
          <w:sz w:val="12"/>
        </w:rPr>
        <w:t>San</w:t>
      </w:r>
      <w:r>
        <w:rPr>
          <w:rFonts w:ascii="Arial"/>
          <w:color w:val="231F20"/>
          <w:spacing w:val="3"/>
          <w:sz w:val="12"/>
        </w:rPr>
        <w:t> </w:t>
      </w:r>
      <w:r>
        <w:rPr>
          <w:rFonts w:ascii="Arial"/>
          <w:color w:val="231F20"/>
          <w:w w:val="95"/>
          <w:sz w:val="12"/>
        </w:rPr>
        <w:t>Francisco,</w:t>
      </w:r>
      <w:r>
        <w:rPr>
          <w:rFonts w:ascii="Arial"/>
          <w:color w:val="231F20"/>
          <w:spacing w:val="3"/>
          <w:sz w:val="12"/>
        </w:rPr>
        <w:t> </w:t>
      </w:r>
      <w:r>
        <w:rPr>
          <w:rFonts w:ascii="Arial"/>
          <w:color w:val="231F20"/>
          <w:spacing w:val="-2"/>
          <w:w w:val="95"/>
          <w:sz w:val="12"/>
        </w:rPr>
        <w:t>Freeman.</w:t>
      </w:r>
    </w:p>
    <w:p>
      <w:pPr>
        <w:pStyle w:val="ListParagraph"/>
        <w:numPr>
          <w:ilvl w:val="0"/>
          <w:numId w:val="63"/>
        </w:numPr>
        <w:tabs>
          <w:tab w:pos="829" w:val="left" w:leader="none"/>
          <w:tab w:pos="830" w:val="left" w:leader="none"/>
        </w:tabs>
        <w:spacing w:line="240" w:lineRule="auto" w:before="32" w:after="0"/>
        <w:ind w:left="829" w:right="0" w:hanging="406"/>
        <w:jc w:val="left"/>
        <w:rPr>
          <w:rFonts w:ascii="Arial" w:hAnsi="Arial"/>
          <w:sz w:val="12"/>
        </w:rPr>
      </w:pPr>
      <w:r>
        <w:rPr>
          <w:rFonts w:ascii="Arial" w:hAnsi="Arial"/>
          <w:color w:val="231F20"/>
          <w:sz w:val="12"/>
        </w:rPr>
        <w:t>Polaino-Lorente,</w:t>
      </w:r>
      <w:r>
        <w:rPr>
          <w:rFonts w:ascii="Arial" w:hAnsi="Arial"/>
          <w:color w:val="231F20"/>
          <w:spacing w:val="-6"/>
          <w:sz w:val="12"/>
        </w:rPr>
        <w:t> </w:t>
      </w:r>
      <w:r>
        <w:rPr>
          <w:rFonts w:ascii="Arial" w:hAnsi="Arial"/>
          <w:color w:val="231F20"/>
          <w:sz w:val="12"/>
        </w:rPr>
        <w:t>A.</w:t>
      </w:r>
      <w:r>
        <w:rPr>
          <w:rFonts w:ascii="Arial" w:hAnsi="Arial"/>
          <w:color w:val="231F20"/>
          <w:spacing w:val="-6"/>
          <w:sz w:val="12"/>
        </w:rPr>
        <w:t> </w:t>
      </w:r>
      <w:r>
        <w:rPr>
          <w:rFonts w:ascii="Arial" w:hAnsi="Arial"/>
          <w:color w:val="231F20"/>
          <w:sz w:val="12"/>
        </w:rPr>
        <w:t>(2003).</w:t>
      </w:r>
      <w:r>
        <w:rPr>
          <w:rFonts w:ascii="Arial" w:hAnsi="Arial"/>
          <w:color w:val="231F20"/>
          <w:spacing w:val="-6"/>
          <w:sz w:val="12"/>
        </w:rPr>
        <w:t> </w:t>
      </w:r>
      <w:r>
        <w:rPr>
          <w:rFonts w:ascii="Arial" w:hAnsi="Arial"/>
          <w:i/>
          <w:color w:val="231F20"/>
          <w:sz w:val="12"/>
        </w:rPr>
        <w:t>En</w:t>
      </w:r>
      <w:r>
        <w:rPr>
          <w:rFonts w:ascii="Arial" w:hAnsi="Arial"/>
          <w:i/>
          <w:color w:val="231F20"/>
          <w:spacing w:val="-6"/>
          <w:sz w:val="12"/>
        </w:rPr>
        <w:t> </w:t>
      </w:r>
      <w:r>
        <w:rPr>
          <w:rFonts w:ascii="Arial" w:hAnsi="Arial"/>
          <w:i/>
          <w:color w:val="231F20"/>
          <w:sz w:val="12"/>
        </w:rPr>
        <w:t>busca</w:t>
      </w:r>
      <w:r>
        <w:rPr>
          <w:rFonts w:ascii="Arial" w:hAnsi="Arial"/>
          <w:i/>
          <w:color w:val="231F20"/>
          <w:spacing w:val="-5"/>
          <w:sz w:val="12"/>
        </w:rPr>
        <w:t> </w:t>
      </w:r>
      <w:r>
        <w:rPr>
          <w:rFonts w:ascii="Arial" w:hAnsi="Arial"/>
          <w:i/>
          <w:color w:val="231F20"/>
          <w:sz w:val="12"/>
        </w:rPr>
        <w:t>de</w:t>
      </w:r>
      <w:r>
        <w:rPr>
          <w:rFonts w:ascii="Arial" w:hAnsi="Arial"/>
          <w:i/>
          <w:color w:val="231F20"/>
          <w:spacing w:val="-6"/>
          <w:sz w:val="12"/>
        </w:rPr>
        <w:t> </w:t>
      </w:r>
      <w:r>
        <w:rPr>
          <w:rFonts w:ascii="Arial" w:hAnsi="Arial"/>
          <w:i/>
          <w:color w:val="231F20"/>
          <w:sz w:val="12"/>
        </w:rPr>
        <w:t>la</w:t>
      </w:r>
      <w:r>
        <w:rPr>
          <w:rFonts w:ascii="Arial" w:hAnsi="Arial"/>
          <w:i/>
          <w:color w:val="231F20"/>
          <w:spacing w:val="-6"/>
          <w:sz w:val="12"/>
        </w:rPr>
        <w:t> </w:t>
      </w:r>
      <w:r>
        <w:rPr>
          <w:rFonts w:ascii="Arial" w:hAnsi="Arial"/>
          <w:i/>
          <w:color w:val="231F20"/>
          <w:sz w:val="12"/>
        </w:rPr>
        <w:t>autoestima</w:t>
      </w:r>
      <w:r>
        <w:rPr>
          <w:rFonts w:ascii="Arial" w:hAnsi="Arial"/>
          <w:i/>
          <w:color w:val="231F20"/>
          <w:spacing w:val="-6"/>
          <w:sz w:val="12"/>
        </w:rPr>
        <w:t> </w:t>
      </w:r>
      <w:r>
        <w:rPr>
          <w:rFonts w:ascii="Arial" w:hAnsi="Arial"/>
          <w:i/>
          <w:color w:val="231F20"/>
          <w:sz w:val="12"/>
        </w:rPr>
        <w:t>perdida</w:t>
      </w:r>
      <w:r>
        <w:rPr>
          <w:rFonts w:ascii="Arial" w:hAnsi="Arial"/>
          <w:color w:val="231F20"/>
          <w:sz w:val="12"/>
        </w:rPr>
        <w:t>,</w:t>
      </w:r>
      <w:r>
        <w:rPr>
          <w:rFonts w:ascii="Arial" w:hAnsi="Arial"/>
          <w:color w:val="231F20"/>
          <w:spacing w:val="-6"/>
          <w:sz w:val="12"/>
        </w:rPr>
        <w:t> </w:t>
      </w:r>
      <w:r>
        <w:rPr>
          <w:rFonts w:ascii="Arial" w:hAnsi="Arial"/>
          <w:color w:val="231F20"/>
          <w:sz w:val="12"/>
        </w:rPr>
        <w:t>Bilbao,</w:t>
      </w:r>
      <w:r>
        <w:rPr>
          <w:rFonts w:ascii="Arial" w:hAnsi="Arial"/>
          <w:color w:val="231F20"/>
          <w:spacing w:val="-5"/>
          <w:sz w:val="12"/>
        </w:rPr>
        <w:t> </w:t>
      </w:r>
      <w:r>
        <w:rPr>
          <w:rFonts w:ascii="Arial" w:hAnsi="Arial"/>
          <w:color w:val="231F20"/>
          <w:sz w:val="12"/>
        </w:rPr>
        <w:t>Desclée</w:t>
      </w:r>
      <w:r>
        <w:rPr>
          <w:rFonts w:ascii="Arial" w:hAnsi="Arial"/>
          <w:color w:val="231F20"/>
          <w:spacing w:val="-6"/>
          <w:sz w:val="12"/>
        </w:rPr>
        <w:t> </w:t>
      </w:r>
      <w:r>
        <w:rPr>
          <w:rFonts w:ascii="Arial" w:hAnsi="Arial"/>
          <w:color w:val="231F20"/>
          <w:sz w:val="12"/>
        </w:rPr>
        <w:t>de</w:t>
      </w:r>
      <w:r>
        <w:rPr>
          <w:rFonts w:ascii="Arial" w:hAnsi="Arial"/>
          <w:color w:val="231F20"/>
          <w:spacing w:val="-6"/>
          <w:sz w:val="12"/>
        </w:rPr>
        <w:t> </w:t>
      </w:r>
      <w:r>
        <w:rPr>
          <w:rFonts w:ascii="Arial" w:hAnsi="Arial"/>
          <w:color w:val="231F20"/>
          <w:spacing w:val="-2"/>
          <w:sz w:val="12"/>
        </w:rPr>
        <w:t>Brouwer.</w:t>
      </w:r>
    </w:p>
    <w:p>
      <w:pPr>
        <w:pStyle w:val="ListParagraph"/>
        <w:numPr>
          <w:ilvl w:val="0"/>
          <w:numId w:val="63"/>
        </w:numPr>
        <w:tabs>
          <w:tab w:pos="829" w:val="left" w:leader="none"/>
          <w:tab w:pos="830" w:val="left" w:leader="none"/>
        </w:tabs>
        <w:spacing w:line="240" w:lineRule="auto" w:before="33" w:after="0"/>
        <w:ind w:left="829" w:right="0" w:hanging="406"/>
        <w:jc w:val="left"/>
        <w:rPr>
          <w:rFonts w:ascii="Arial"/>
          <w:sz w:val="12"/>
        </w:rPr>
      </w:pPr>
      <w:r>
        <w:rPr>
          <w:rFonts w:ascii="Arial"/>
          <w:color w:val="231F20"/>
          <w:w w:val="95"/>
          <w:sz w:val="12"/>
        </w:rPr>
        <w:t>Branden,</w:t>
      </w:r>
      <w:r>
        <w:rPr>
          <w:rFonts w:ascii="Arial"/>
          <w:color w:val="231F20"/>
          <w:spacing w:val="5"/>
          <w:sz w:val="12"/>
        </w:rPr>
        <w:t> </w:t>
      </w:r>
      <w:r>
        <w:rPr>
          <w:rFonts w:ascii="Arial"/>
          <w:color w:val="231F20"/>
          <w:w w:val="95"/>
          <w:sz w:val="12"/>
        </w:rPr>
        <w:t>N.</w:t>
      </w:r>
      <w:r>
        <w:rPr>
          <w:rFonts w:ascii="Arial"/>
          <w:color w:val="231F20"/>
          <w:spacing w:val="6"/>
          <w:sz w:val="12"/>
        </w:rPr>
        <w:t> </w:t>
      </w:r>
      <w:r>
        <w:rPr>
          <w:rFonts w:ascii="Arial"/>
          <w:color w:val="231F20"/>
          <w:w w:val="95"/>
          <w:sz w:val="12"/>
        </w:rPr>
        <w:t>(1969).</w:t>
      </w:r>
      <w:r>
        <w:rPr>
          <w:rFonts w:ascii="Arial"/>
          <w:color w:val="231F20"/>
          <w:spacing w:val="6"/>
          <w:sz w:val="12"/>
        </w:rPr>
        <w:t> </w:t>
      </w:r>
      <w:r>
        <w:rPr>
          <w:rFonts w:ascii="Arial"/>
          <w:i/>
          <w:color w:val="231F20"/>
          <w:w w:val="95"/>
          <w:sz w:val="12"/>
        </w:rPr>
        <w:t>The</w:t>
      </w:r>
      <w:r>
        <w:rPr>
          <w:rFonts w:ascii="Arial"/>
          <w:i/>
          <w:color w:val="231F20"/>
          <w:spacing w:val="6"/>
          <w:sz w:val="12"/>
        </w:rPr>
        <w:t> </w:t>
      </w:r>
      <w:r>
        <w:rPr>
          <w:rFonts w:ascii="Arial"/>
          <w:i/>
          <w:color w:val="231F20"/>
          <w:w w:val="95"/>
          <w:sz w:val="12"/>
        </w:rPr>
        <w:t>Psychology</w:t>
      </w:r>
      <w:r>
        <w:rPr>
          <w:rFonts w:ascii="Arial"/>
          <w:i/>
          <w:color w:val="231F20"/>
          <w:spacing w:val="5"/>
          <w:sz w:val="12"/>
        </w:rPr>
        <w:t> </w:t>
      </w:r>
      <w:r>
        <w:rPr>
          <w:rFonts w:ascii="Arial"/>
          <w:i/>
          <w:color w:val="231F20"/>
          <w:w w:val="95"/>
          <w:sz w:val="12"/>
        </w:rPr>
        <w:t>of</w:t>
      </w:r>
      <w:r>
        <w:rPr>
          <w:rFonts w:ascii="Arial"/>
          <w:i/>
          <w:color w:val="231F20"/>
          <w:spacing w:val="6"/>
          <w:sz w:val="12"/>
        </w:rPr>
        <w:t> </w:t>
      </w:r>
      <w:r>
        <w:rPr>
          <w:rFonts w:ascii="Arial"/>
          <w:i/>
          <w:color w:val="231F20"/>
          <w:w w:val="95"/>
          <w:sz w:val="12"/>
        </w:rPr>
        <w:t>Self-Esteem</w:t>
      </w:r>
      <w:r>
        <w:rPr>
          <w:rFonts w:ascii="Arial"/>
          <w:color w:val="231F20"/>
          <w:w w:val="95"/>
          <w:sz w:val="12"/>
        </w:rPr>
        <w:t>,</w:t>
      </w:r>
      <w:r>
        <w:rPr>
          <w:rFonts w:ascii="Arial"/>
          <w:color w:val="231F20"/>
          <w:spacing w:val="6"/>
          <w:sz w:val="12"/>
        </w:rPr>
        <w:t> </w:t>
      </w:r>
      <w:r>
        <w:rPr>
          <w:rFonts w:ascii="Arial"/>
          <w:color w:val="231F20"/>
          <w:w w:val="95"/>
          <w:sz w:val="12"/>
        </w:rPr>
        <w:t>New</w:t>
      </w:r>
      <w:r>
        <w:rPr>
          <w:rFonts w:ascii="Arial"/>
          <w:color w:val="231F20"/>
          <w:spacing w:val="6"/>
          <w:sz w:val="12"/>
        </w:rPr>
        <w:t> </w:t>
      </w:r>
      <w:r>
        <w:rPr>
          <w:rFonts w:ascii="Arial"/>
          <w:color w:val="231F20"/>
          <w:w w:val="95"/>
          <w:sz w:val="12"/>
        </w:rPr>
        <w:t>York,</w:t>
      </w:r>
      <w:r>
        <w:rPr>
          <w:rFonts w:ascii="Arial"/>
          <w:color w:val="231F20"/>
          <w:spacing w:val="5"/>
          <w:sz w:val="12"/>
        </w:rPr>
        <w:t> </w:t>
      </w:r>
      <w:r>
        <w:rPr>
          <w:rFonts w:ascii="Arial"/>
          <w:color w:val="231F20"/>
          <w:spacing w:val="-2"/>
          <w:w w:val="95"/>
          <w:sz w:val="12"/>
        </w:rPr>
        <w:t>Bantam.</w:t>
      </w:r>
    </w:p>
    <w:p>
      <w:pPr>
        <w:pStyle w:val="ListParagraph"/>
        <w:numPr>
          <w:ilvl w:val="0"/>
          <w:numId w:val="63"/>
        </w:numPr>
        <w:tabs>
          <w:tab w:pos="829" w:val="left" w:leader="none"/>
          <w:tab w:pos="830" w:val="left" w:leader="none"/>
        </w:tabs>
        <w:spacing w:line="240" w:lineRule="auto" w:before="32" w:after="0"/>
        <w:ind w:left="829" w:right="0" w:hanging="406"/>
        <w:jc w:val="left"/>
        <w:rPr>
          <w:rFonts w:ascii="Arial"/>
          <w:sz w:val="12"/>
        </w:rPr>
      </w:pPr>
      <w:r>
        <w:rPr>
          <w:rFonts w:ascii="Arial"/>
          <w:color w:val="231F20"/>
          <w:spacing w:val="-2"/>
          <w:sz w:val="12"/>
        </w:rPr>
        <w:t>Branden,</w:t>
      </w:r>
      <w:r>
        <w:rPr>
          <w:rFonts w:ascii="Arial"/>
          <w:color w:val="231F20"/>
          <w:spacing w:val="5"/>
          <w:sz w:val="12"/>
        </w:rPr>
        <w:t> </w:t>
      </w:r>
      <w:r>
        <w:rPr>
          <w:rFonts w:ascii="Arial"/>
          <w:color w:val="231F20"/>
          <w:spacing w:val="-2"/>
          <w:sz w:val="12"/>
        </w:rPr>
        <w:t>N.</w:t>
      </w:r>
      <w:r>
        <w:rPr>
          <w:rFonts w:ascii="Arial"/>
          <w:color w:val="231F20"/>
          <w:spacing w:val="5"/>
          <w:sz w:val="12"/>
        </w:rPr>
        <w:t> </w:t>
      </w:r>
      <w:r>
        <w:rPr>
          <w:rFonts w:ascii="Arial"/>
          <w:color w:val="231F20"/>
          <w:spacing w:val="-2"/>
          <w:sz w:val="12"/>
        </w:rPr>
        <w:t>(1992).</w:t>
      </w:r>
      <w:r>
        <w:rPr>
          <w:rFonts w:ascii="Arial"/>
          <w:color w:val="231F20"/>
          <w:spacing w:val="5"/>
          <w:sz w:val="12"/>
        </w:rPr>
        <w:t> </w:t>
      </w:r>
      <w:r>
        <w:rPr>
          <w:rFonts w:ascii="Arial"/>
          <w:i/>
          <w:color w:val="231F20"/>
          <w:spacing w:val="-2"/>
          <w:sz w:val="12"/>
        </w:rPr>
        <w:t>The</w:t>
      </w:r>
      <w:r>
        <w:rPr>
          <w:rFonts w:ascii="Arial"/>
          <w:i/>
          <w:color w:val="231F20"/>
          <w:spacing w:val="5"/>
          <w:sz w:val="12"/>
        </w:rPr>
        <w:t> </w:t>
      </w:r>
      <w:r>
        <w:rPr>
          <w:rFonts w:ascii="Arial"/>
          <w:i/>
          <w:color w:val="231F20"/>
          <w:spacing w:val="-2"/>
          <w:sz w:val="12"/>
        </w:rPr>
        <w:t>Power</w:t>
      </w:r>
      <w:r>
        <w:rPr>
          <w:rFonts w:ascii="Arial"/>
          <w:i/>
          <w:color w:val="231F20"/>
          <w:spacing w:val="5"/>
          <w:sz w:val="12"/>
        </w:rPr>
        <w:t> </w:t>
      </w:r>
      <w:r>
        <w:rPr>
          <w:rFonts w:ascii="Arial"/>
          <w:i/>
          <w:color w:val="231F20"/>
          <w:spacing w:val="-2"/>
          <w:sz w:val="12"/>
        </w:rPr>
        <w:t>of</w:t>
      </w:r>
      <w:r>
        <w:rPr>
          <w:rFonts w:ascii="Arial"/>
          <w:i/>
          <w:color w:val="231F20"/>
          <w:spacing w:val="6"/>
          <w:sz w:val="12"/>
        </w:rPr>
        <w:t> </w:t>
      </w:r>
      <w:r>
        <w:rPr>
          <w:rFonts w:ascii="Arial"/>
          <w:i/>
          <w:color w:val="231F20"/>
          <w:spacing w:val="-2"/>
          <w:sz w:val="12"/>
        </w:rPr>
        <w:t>Self-Esteem</w:t>
      </w:r>
      <w:r>
        <w:rPr>
          <w:rFonts w:ascii="Arial"/>
          <w:color w:val="231F20"/>
          <w:spacing w:val="-2"/>
          <w:sz w:val="12"/>
        </w:rPr>
        <w:t>,</w:t>
      </w:r>
      <w:r>
        <w:rPr>
          <w:rFonts w:ascii="Arial"/>
          <w:color w:val="231F20"/>
          <w:spacing w:val="5"/>
          <w:sz w:val="12"/>
        </w:rPr>
        <w:t> </w:t>
      </w:r>
      <w:r>
        <w:rPr>
          <w:rFonts w:ascii="Arial"/>
          <w:color w:val="231F20"/>
          <w:spacing w:val="-2"/>
          <w:sz w:val="12"/>
        </w:rPr>
        <w:t>Health</w:t>
      </w:r>
      <w:r>
        <w:rPr>
          <w:rFonts w:ascii="Arial"/>
          <w:color w:val="231F20"/>
          <w:spacing w:val="5"/>
          <w:sz w:val="12"/>
        </w:rPr>
        <w:t> </w:t>
      </w:r>
      <w:r>
        <w:rPr>
          <w:rFonts w:ascii="Arial"/>
          <w:color w:val="231F20"/>
          <w:spacing w:val="-2"/>
          <w:sz w:val="12"/>
        </w:rPr>
        <w:t>Communications,</w:t>
      </w:r>
      <w:r>
        <w:rPr>
          <w:rFonts w:ascii="Arial"/>
          <w:color w:val="231F20"/>
          <w:spacing w:val="5"/>
          <w:sz w:val="12"/>
        </w:rPr>
        <w:t> </w:t>
      </w:r>
      <w:r>
        <w:rPr>
          <w:rFonts w:ascii="Arial"/>
          <w:color w:val="231F20"/>
          <w:spacing w:val="-2"/>
          <w:sz w:val="12"/>
        </w:rPr>
        <w:t>Deerfield</w:t>
      </w:r>
      <w:r>
        <w:rPr>
          <w:rFonts w:ascii="Arial"/>
          <w:color w:val="231F20"/>
          <w:spacing w:val="5"/>
          <w:sz w:val="12"/>
        </w:rPr>
        <w:t> </w:t>
      </w:r>
      <w:r>
        <w:rPr>
          <w:rFonts w:ascii="Arial"/>
          <w:color w:val="231F20"/>
          <w:spacing w:val="-2"/>
          <w:sz w:val="12"/>
        </w:rPr>
        <w:t>Beach.</w:t>
      </w:r>
    </w:p>
    <w:p>
      <w:pPr>
        <w:spacing w:after="0" w:line="240" w:lineRule="auto"/>
        <w:jc w:val="left"/>
        <w:rPr>
          <w:rFonts w:ascii="Arial"/>
          <w:sz w:val="12"/>
        </w:rPr>
        <w:sectPr>
          <w:footerReference w:type="default" r:id="rId236"/>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1"/>
        <w:ind w:left="1720" w:right="104" w:hanging="251"/>
        <w:jc w:val="both"/>
      </w:pPr>
      <w:r>
        <w:rPr>
          <w:rFonts w:ascii="Arial" w:hAnsi="Arial"/>
          <w:color w:val="231F20"/>
          <w:spacing w:val="-2"/>
          <w:w w:val="120"/>
        </w:rPr>
        <w:t>2</w:t>
      </w:r>
      <w:r>
        <w:rPr>
          <w:rFonts w:ascii="Arial" w:hAnsi="Arial"/>
          <w:color w:val="231F20"/>
          <w:spacing w:val="-4"/>
          <w:w w:val="120"/>
        </w:rPr>
        <w:t> </w:t>
      </w:r>
      <w:r>
        <w:rPr>
          <w:color w:val="231F20"/>
          <w:spacing w:val="-2"/>
          <w:w w:val="120"/>
        </w:rPr>
        <w:t>Se</w:t>
      </w:r>
      <w:r>
        <w:rPr>
          <w:color w:val="231F20"/>
          <w:spacing w:val="-11"/>
          <w:w w:val="120"/>
        </w:rPr>
        <w:t> </w:t>
      </w:r>
      <w:r>
        <w:rPr>
          <w:color w:val="231F20"/>
          <w:spacing w:val="-2"/>
          <w:w w:val="120"/>
        </w:rPr>
        <w:t>respecter</w:t>
      </w:r>
      <w:r>
        <w:rPr>
          <w:color w:val="231F20"/>
          <w:spacing w:val="-11"/>
          <w:w w:val="120"/>
        </w:rPr>
        <w:t> </w:t>
      </w:r>
      <w:r>
        <w:rPr>
          <w:color w:val="231F20"/>
          <w:spacing w:val="-2"/>
          <w:w w:val="120"/>
        </w:rPr>
        <w:t>soi-même,</w:t>
      </w:r>
      <w:r>
        <w:rPr>
          <w:color w:val="231F20"/>
          <w:spacing w:val="-11"/>
          <w:w w:val="120"/>
        </w:rPr>
        <w:t> </w:t>
      </w:r>
      <w:r>
        <w:rPr>
          <w:color w:val="231F20"/>
          <w:spacing w:val="-2"/>
          <w:w w:val="120"/>
        </w:rPr>
        <w:t>nourrir</w:t>
      </w:r>
      <w:r>
        <w:rPr>
          <w:color w:val="231F20"/>
          <w:spacing w:val="-10"/>
          <w:w w:val="120"/>
        </w:rPr>
        <w:t> </w:t>
      </w:r>
      <w:r>
        <w:rPr>
          <w:color w:val="231F20"/>
          <w:spacing w:val="-2"/>
          <w:w w:val="120"/>
        </w:rPr>
        <w:t>la</w:t>
      </w:r>
      <w:r>
        <w:rPr>
          <w:color w:val="231F20"/>
          <w:spacing w:val="-11"/>
          <w:w w:val="120"/>
        </w:rPr>
        <w:t> </w:t>
      </w:r>
      <w:r>
        <w:rPr>
          <w:color w:val="231F20"/>
          <w:spacing w:val="-2"/>
          <w:w w:val="120"/>
        </w:rPr>
        <w:t>certitude</w:t>
      </w:r>
      <w:r>
        <w:rPr>
          <w:color w:val="231F20"/>
          <w:spacing w:val="-11"/>
          <w:w w:val="120"/>
        </w:rPr>
        <w:t> </w:t>
      </w:r>
      <w:r>
        <w:rPr>
          <w:color w:val="231F20"/>
          <w:spacing w:val="-2"/>
          <w:w w:val="120"/>
        </w:rPr>
        <w:t>d’avoir</w:t>
      </w:r>
      <w:r>
        <w:rPr>
          <w:color w:val="231F20"/>
          <w:spacing w:val="-11"/>
          <w:w w:val="120"/>
        </w:rPr>
        <w:t> </w:t>
      </w:r>
      <w:r>
        <w:rPr>
          <w:color w:val="231F20"/>
          <w:spacing w:val="-2"/>
          <w:w w:val="120"/>
        </w:rPr>
        <w:t>droit</w:t>
      </w:r>
      <w:r>
        <w:rPr>
          <w:color w:val="231F20"/>
          <w:spacing w:val="-10"/>
          <w:w w:val="120"/>
        </w:rPr>
        <w:t> </w:t>
      </w:r>
      <w:r>
        <w:rPr>
          <w:color w:val="231F20"/>
          <w:spacing w:val="-2"/>
          <w:w w:val="120"/>
        </w:rPr>
        <w:t>au</w:t>
      </w:r>
      <w:r>
        <w:rPr>
          <w:color w:val="231F20"/>
          <w:spacing w:val="-11"/>
          <w:w w:val="120"/>
        </w:rPr>
        <w:t> </w:t>
      </w:r>
      <w:r>
        <w:rPr>
          <w:color w:val="231F20"/>
          <w:spacing w:val="-2"/>
          <w:w w:val="120"/>
        </w:rPr>
        <w:t>bonheur </w:t>
      </w:r>
      <w:r>
        <w:rPr>
          <w:color w:val="231F20"/>
          <w:w w:val="120"/>
        </w:rPr>
        <w:t>et, par extension, avoir la conviction que chacun est digne du respect, de l’amour et de l’accomplissement de soi qu’il vit.</w:t>
      </w:r>
    </w:p>
    <w:p>
      <w:pPr>
        <w:pStyle w:val="BodyText"/>
        <w:spacing w:line="307" w:lineRule="auto" w:before="80"/>
        <w:ind w:left="1219" w:right="104" w:firstLine="250"/>
        <w:jc w:val="both"/>
      </w:pPr>
      <w:r>
        <w:rPr>
          <w:color w:val="231F20"/>
          <w:w w:val="120"/>
        </w:rPr>
        <w:t>Sur</w:t>
      </w:r>
      <w:r>
        <w:rPr>
          <w:color w:val="231F20"/>
          <w:spacing w:val="-13"/>
          <w:w w:val="120"/>
        </w:rPr>
        <w:t> </w:t>
      </w:r>
      <w:r>
        <w:rPr>
          <w:color w:val="231F20"/>
          <w:w w:val="120"/>
        </w:rPr>
        <w:t>le</w:t>
      </w:r>
      <w:r>
        <w:rPr>
          <w:color w:val="231F20"/>
          <w:spacing w:val="-13"/>
          <w:w w:val="120"/>
        </w:rPr>
        <w:t> </w:t>
      </w:r>
      <w:r>
        <w:rPr>
          <w:color w:val="231F20"/>
          <w:w w:val="120"/>
        </w:rPr>
        <w:t>plan</w:t>
      </w:r>
      <w:r>
        <w:rPr>
          <w:color w:val="231F20"/>
          <w:spacing w:val="-13"/>
          <w:w w:val="120"/>
        </w:rPr>
        <w:t> </w:t>
      </w:r>
      <w:r>
        <w:rPr>
          <w:color w:val="231F20"/>
          <w:w w:val="120"/>
        </w:rPr>
        <w:t>philosophique,</w:t>
      </w:r>
      <w:r>
        <w:rPr>
          <w:color w:val="231F20"/>
          <w:spacing w:val="-12"/>
          <w:w w:val="120"/>
        </w:rPr>
        <w:t> </w:t>
      </w:r>
      <w:r>
        <w:rPr>
          <w:color w:val="231F20"/>
          <w:w w:val="120"/>
        </w:rPr>
        <w:t>l’humain</w:t>
      </w:r>
      <w:r>
        <w:rPr>
          <w:color w:val="231F20"/>
          <w:spacing w:val="-13"/>
          <w:w w:val="120"/>
        </w:rPr>
        <w:t> </w:t>
      </w:r>
      <w:r>
        <w:rPr>
          <w:color w:val="231F20"/>
          <w:w w:val="120"/>
        </w:rPr>
        <w:t>évalue</w:t>
      </w:r>
      <w:r>
        <w:rPr>
          <w:color w:val="231F20"/>
          <w:spacing w:val="-13"/>
          <w:w w:val="120"/>
        </w:rPr>
        <w:t> </w:t>
      </w:r>
      <w:r>
        <w:rPr>
          <w:color w:val="231F20"/>
          <w:w w:val="120"/>
        </w:rPr>
        <w:t>constamment</w:t>
      </w:r>
      <w:r>
        <w:rPr>
          <w:color w:val="231F20"/>
          <w:spacing w:val="-13"/>
          <w:w w:val="120"/>
        </w:rPr>
        <w:t> </w:t>
      </w:r>
      <w:r>
        <w:rPr>
          <w:color w:val="231F20"/>
          <w:w w:val="120"/>
        </w:rPr>
        <w:t>sa</w:t>
      </w:r>
      <w:r>
        <w:rPr>
          <w:color w:val="231F20"/>
          <w:spacing w:val="-12"/>
          <w:w w:val="120"/>
        </w:rPr>
        <w:t> </w:t>
      </w:r>
      <w:r>
        <w:rPr>
          <w:color w:val="231F20"/>
          <w:w w:val="120"/>
        </w:rPr>
        <w:t>position dans</w:t>
      </w:r>
      <w:r>
        <w:rPr>
          <w:color w:val="231F20"/>
          <w:spacing w:val="-4"/>
          <w:w w:val="120"/>
        </w:rPr>
        <w:t> </w:t>
      </w:r>
      <w:r>
        <w:rPr>
          <w:color w:val="231F20"/>
          <w:w w:val="120"/>
        </w:rPr>
        <w:t>le</w:t>
      </w:r>
      <w:r>
        <w:rPr>
          <w:color w:val="231F20"/>
          <w:spacing w:val="-4"/>
          <w:w w:val="120"/>
        </w:rPr>
        <w:t> </w:t>
      </w:r>
      <w:r>
        <w:rPr>
          <w:color w:val="231F20"/>
          <w:w w:val="120"/>
        </w:rPr>
        <w:t>périple</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vie</w:t>
      </w:r>
      <w:r>
        <w:rPr>
          <w:color w:val="231F20"/>
          <w:spacing w:val="-4"/>
          <w:w w:val="120"/>
        </w:rPr>
        <w:t> </w:t>
      </w:r>
      <w:r>
        <w:rPr>
          <w:color w:val="231F20"/>
          <w:w w:val="120"/>
        </w:rPr>
        <w:t>et</w:t>
      </w:r>
      <w:r>
        <w:rPr>
          <w:color w:val="231F20"/>
          <w:spacing w:val="-4"/>
          <w:w w:val="120"/>
        </w:rPr>
        <w:t> </w:t>
      </w:r>
      <w:r>
        <w:rPr>
          <w:color w:val="231F20"/>
          <w:w w:val="120"/>
        </w:rPr>
        <w:t>sa</w:t>
      </w:r>
      <w:r>
        <w:rPr>
          <w:color w:val="231F20"/>
          <w:spacing w:val="-4"/>
          <w:w w:val="120"/>
        </w:rPr>
        <w:t> </w:t>
      </w:r>
      <w:r>
        <w:rPr>
          <w:color w:val="231F20"/>
          <w:w w:val="120"/>
        </w:rPr>
        <w:t>déviation</w:t>
      </w:r>
      <w:r>
        <w:rPr>
          <w:color w:val="231F20"/>
          <w:spacing w:val="-4"/>
          <w:w w:val="120"/>
        </w:rPr>
        <w:t> </w:t>
      </w:r>
      <w:r>
        <w:rPr>
          <w:color w:val="231F20"/>
          <w:w w:val="120"/>
        </w:rPr>
        <w:t>éventuelle</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bonne</w:t>
      </w:r>
      <w:r>
        <w:rPr>
          <w:color w:val="231F20"/>
          <w:spacing w:val="-4"/>
          <w:w w:val="120"/>
        </w:rPr>
        <w:t> </w:t>
      </w:r>
      <w:r>
        <w:rPr>
          <w:color w:val="231F20"/>
          <w:w w:val="120"/>
        </w:rPr>
        <w:t>voie.</w:t>
      </w:r>
      <w:r>
        <w:rPr>
          <w:color w:val="231F20"/>
          <w:spacing w:val="-4"/>
          <w:w w:val="120"/>
        </w:rPr>
        <w:t> </w:t>
      </w:r>
      <w:r>
        <w:rPr>
          <w:color w:val="231F20"/>
          <w:w w:val="120"/>
        </w:rPr>
        <w:t>La destination</w:t>
      </w:r>
      <w:r>
        <w:rPr>
          <w:color w:val="231F20"/>
          <w:spacing w:val="-6"/>
          <w:w w:val="120"/>
        </w:rPr>
        <w:t> </w:t>
      </w:r>
      <w:r>
        <w:rPr>
          <w:color w:val="231F20"/>
          <w:w w:val="120"/>
        </w:rPr>
        <w:t>de</w:t>
      </w:r>
      <w:r>
        <w:rPr>
          <w:color w:val="231F20"/>
          <w:spacing w:val="-6"/>
          <w:w w:val="120"/>
        </w:rPr>
        <w:t> </w:t>
      </w:r>
      <w:r>
        <w:rPr>
          <w:color w:val="231F20"/>
          <w:w w:val="120"/>
        </w:rPr>
        <w:t>ce</w:t>
      </w:r>
      <w:r>
        <w:rPr>
          <w:color w:val="231F20"/>
          <w:spacing w:val="-6"/>
          <w:w w:val="120"/>
        </w:rPr>
        <w:t> </w:t>
      </w:r>
      <w:r>
        <w:rPr>
          <w:color w:val="231F20"/>
          <w:w w:val="120"/>
        </w:rPr>
        <w:t>voyage,</w:t>
      </w:r>
      <w:r>
        <w:rPr>
          <w:color w:val="231F20"/>
          <w:spacing w:val="-6"/>
          <w:w w:val="120"/>
        </w:rPr>
        <w:t> </w:t>
      </w:r>
      <w:r>
        <w:rPr>
          <w:color w:val="231F20"/>
          <w:w w:val="120"/>
        </w:rPr>
        <w:t>celle</w:t>
      </w:r>
      <w:r>
        <w:rPr>
          <w:color w:val="231F20"/>
          <w:spacing w:val="-7"/>
          <w:w w:val="120"/>
        </w:rPr>
        <w:t> </w:t>
      </w:r>
      <w:r>
        <w:rPr>
          <w:color w:val="231F20"/>
          <w:w w:val="120"/>
        </w:rPr>
        <w:t>que</w:t>
      </w:r>
      <w:r>
        <w:rPr>
          <w:color w:val="231F20"/>
          <w:spacing w:val="-6"/>
          <w:w w:val="120"/>
        </w:rPr>
        <w:t> </w:t>
      </w:r>
      <w:r>
        <w:rPr>
          <w:color w:val="231F20"/>
          <w:w w:val="120"/>
        </w:rPr>
        <w:t>chacun</w:t>
      </w:r>
      <w:r>
        <w:rPr>
          <w:color w:val="231F20"/>
          <w:spacing w:val="-6"/>
          <w:w w:val="120"/>
        </w:rPr>
        <w:t> </w:t>
      </w:r>
      <w:r>
        <w:rPr>
          <w:color w:val="231F20"/>
          <w:w w:val="120"/>
        </w:rPr>
        <w:t>recherche</w:t>
      </w:r>
      <w:r>
        <w:rPr>
          <w:color w:val="231F20"/>
          <w:spacing w:val="-6"/>
          <w:w w:val="120"/>
        </w:rPr>
        <w:t> </w:t>
      </w:r>
      <w:r>
        <w:rPr>
          <w:color w:val="231F20"/>
          <w:w w:val="120"/>
        </w:rPr>
        <w:t>toute</w:t>
      </w:r>
      <w:r>
        <w:rPr>
          <w:color w:val="231F20"/>
          <w:spacing w:val="-6"/>
          <w:w w:val="120"/>
        </w:rPr>
        <w:t> </w:t>
      </w:r>
      <w:r>
        <w:rPr>
          <w:color w:val="231F20"/>
          <w:w w:val="120"/>
        </w:rPr>
        <w:t>sa</w:t>
      </w:r>
      <w:r>
        <w:rPr>
          <w:color w:val="231F20"/>
          <w:spacing w:val="-7"/>
          <w:w w:val="120"/>
        </w:rPr>
        <w:t> </w:t>
      </w:r>
      <w:r>
        <w:rPr>
          <w:color w:val="231F20"/>
          <w:w w:val="120"/>
        </w:rPr>
        <w:t>vie,</w:t>
      </w:r>
      <w:r>
        <w:rPr>
          <w:color w:val="231F20"/>
          <w:spacing w:val="-6"/>
          <w:w w:val="120"/>
        </w:rPr>
        <w:t> </w:t>
      </w:r>
      <w:r>
        <w:rPr>
          <w:color w:val="231F20"/>
          <w:w w:val="120"/>
        </w:rPr>
        <w:t>c’est le bonheur. Le bonheur, l’</w:t>
      </w:r>
      <w:r>
        <w:rPr>
          <w:i/>
          <w:color w:val="231F20"/>
          <w:w w:val="120"/>
        </w:rPr>
        <w:t>eudaimonia </w:t>
      </w:r>
      <w:r>
        <w:rPr>
          <w:color w:val="231F20"/>
          <w:w w:val="120"/>
        </w:rPr>
        <w:t>des Grecs, consiste à trouver la bonne</w:t>
      </w:r>
      <w:r>
        <w:rPr>
          <w:color w:val="231F20"/>
          <w:spacing w:val="-13"/>
          <w:w w:val="120"/>
        </w:rPr>
        <w:t> </w:t>
      </w:r>
      <w:r>
        <w:rPr>
          <w:color w:val="231F20"/>
          <w:w w:val="120"/>
        </w:rPr>
        <w:t>destinée</w:t>
      </w:r>
      <w:r>
        <w:rPr>
          <w:color w:val="231F20"/>
          <w:spacing w:val="-13"/>
          <w:w w:val="120"/>
        </w:rPr>
        <w:t> </w:t>
      </w:r>
      <w:r>
        <w:rPr>
          <w:color w:val="231F20"/>
          <w:w w:val="120"/>
        </w:rPr>
        <w:t>qui</w:t>
      </w:r>
      <w:r>
        <w:rPr>
          <w:color w:val="231F20"/>
          <w:spacing w:val="-13"/>
          <w:w w:val="120"/>
        </w:rPr>
        <w:t> </w:t>
      </w:r>
      <w:r>
        <w:rPr>
          <w:color w:val="231F20"/>
          <w:w w:val="120"/>
        </w:rPr>
        <w:t>nous</w:t>
      </w:r>
      <w:r>
        <w:rPr>
          <w:color w:val="231F20"/>
          <w:spacing w:val="-12"/>
          <w:w w:val="120"/>
        </w:rPr>
        <w:t> </w:t>
      </w:r>
      <w:r>
        <w:rPr>
          <w:color w:val="231F20"/>
          <w:w w:val="120"/>
        </w:rPr>
        <w:t>permet</w:t>
      </w:r>
      <w:r>
        <w:rPr>
          <w:color w:val="231F20"/>
          <w:spacing w:val="-13"/>
          <w:w w:val="120"/>
        </w:rPr>
        <w:t> </w:t>
      </w:r>
      <w:r>
        <w:rPr>
          <w:color w:val="231F20"/>
          <w:w w:val="120"/>
        </w:rPr>
        <w:t>de</w:t>
      </w:r>
      <w:r>
        <w:rPr>
          <w:color w:val="231F20"/>
          <w:spacing w:val="-13"/>
          <w:w w:val="120"/>
        </w:rPr>
        <w:t> </w:t>
      </w:r>
      <w:r>
        <w:rPr>
          <w:color w:val="231F20"/>
          <w:w w:val="120"/>
        </w:rPr>
        <w:t>développer</w:t>
      </w:r>
      <w:r>
        <w:rPr>
          <w:color w:val="231F20"/>
          <w:spacing w:val="-13"/>
          <w:w w:val="120"/>
        </w:rPr>
        <w:t> </w:t>
      </w:r>
      <w:r>
        <w:rPr>
          <w:color w:val="231F20"/>
          <w:w w:val="120"/>
        </w:rPr>
        <w:t>notre</w:t>
      </w:r>
      <w:r>
        <w:rPr>
          <w:color w:val="231F20"/>
          <w:spacing w:val="-12"/>
          <w:w w:val="120"/>
        </w:rPr>
        <w:t> </w:t>
      </w:r>
      <w:r>
        <w:rPr>
          <w:color w:val="231F20"/>
          <w:w w:val="120"/>
        </w:rPr>
        <w:t>plein</w:t>
      </w:r>
      <w:r>
        <w:rPr>
          <w:color w:val="231F20"/>
          <w:spacing w:val="-13"/>
          <w:w w:val="120"/>
        </w:rPr>
        <w:t> </w:t>
      </w:r>
      <w:r>
        <w:rPr>
          <w:color w:val="231F20"/>
          <w:w w:val="120"/>
        </w:rPr>
        <w:t>potentiel</w:t>
      </w:r>
      <w:r>
        <w:rPr>
          <w:color w:val="231F20"/>
          <w:spacing w:val="-13"/>
          <w:w w:val="120"/>
        </w:rPr>
        <w:t> </w:t>
      </w:r>
      <w:r>
        <w:rPr>
          <w:color w:val="231F20"/>
          <w:w w:val="120"/>
        </w:rPr>
        <w:t>afin de devenir la meilleure version de soi-même. Il est donc absolument nécessaire</w:t>
      </w:r>
      <w:r>
        <w:rPr>
          <w:color w:val="231F20"/>
          <w:spacing w:val="-8"/>
          <w:w w:val="120"/>
        </w:rPr>
        <w:t> </w:t>
      </w:r>
      <w:r>
        <w:rPr>
          <w:color w:val="231F20"/>
          <w:w w:val="120"/>
        </w:rPr>
        <w:t>d’avoir</w:t>
      </w:r>
      <w:r>
        <w:rPr>
          <w:color w:val="231F20"/>
          <w:spacing w:val="-8"/>
          <w:w w:val="120"/>
        </w:rPr>
        <w:t> </w:t>
      </w:r>
      <w:r>
        <w:rPr>
          <w:color w:val="231F20"/>
          <w:w w:val="120"/>
        </w:rPr>
        <w:t>une</w:t>
      </w:r>
      <w:r>
        <w:rPr>
          <w:color w:val="231F20"/>
          <w:spacing w:val="-9"/>
          <w:w w:val="120"/>
        </w:rPr>
        <w:t> </w:t>
      </w:r>
      <w:r>
        <w:rPr>
          <w:color w:val="231F20"/>
          <w:w w:val="120"/>
        </w:rPr>
        <w:t>bonne</w:t>
      </w:r>
      <w:r>
        <w:rPr>
          <w:color w:val="231F20"/>
          <w:spacing w:val="-9"/>
          <w:w w:val="120"/>
        </w:rPr>
        <w:t> </w:t>
      </w:r>
      <w:r>
        <w:rPr>
          <w:color w:val="231F20"/>
          <w:w w:val="120"/>
        </w:rPr>
        <w:t>estime</w:t>
      </w:r>
      <w:r>
        <w:rPr>
          <w:color w:val="231F20"/>
          <w:spacing w:val="-9"/>
          <w:w w:val="120"/>
        </w:rPr>
        <w:t> </w:t>
      </w:r>
      <w:r>
        <w:rPr>
          <w:color w:val="231F20"/>
          <w:w w:val="120"/>
        </w:rPr>
        <w:t>de</w:t>
      </w:r>
      <w:r>
        <w:rPr>
          <w:color w:val="231F20"/>
          <w:spacing w:val="-8"/>
          <w:w w:val="120"/>
        </w:rPr>
        <w:t> </w:t>
      </w:r>
      <w:r>
        <w:rPr>
          <w:color w:val="231F20"/>
          <w:w w:val="120"/>
        </w:rPr>
        <w:t>soi</w:t>
      </w:r>
      <w:r>
        <w:rPr>
          <w:color w:val="231F20"/>
          <w:spacing w:val="-9"/>
          <w:w w:val="120"/>
        </w:rPr>
        <w:t> </w:t>
      </w:r>
      <w:r>
        <w:rPr>
          <w:color w:val="231F20"/>
          <w:w w:val="120"/>
        </w:rPr>
        <w:t>pour</w:t>
      </w:r>
      <w:r>
        <w:rPr>
          <w:color w:val="231F20"/>
          <w:spacing w:val="-9"/>
          <w:w w:val="120"/>
        </w:rPr>
        <w:t> </w:t>
      </w:r>
      <w:r>
        <w:rPr>
          <w:color w:val="231F20"/>
          <w:w w:val="120"/>
        </w:rPr>
        <w:t>être</w:t>
      </w:r>
      <w:r>
        <w:rPr>
          <w:color w:val="231F20"/>
          <w:spacing w:val="-9"/>
          <w:w w:val="120"/>
        </w:rPr>
        <w:t> </w:t>
      </w:r>
      <w:r>
        <w:rPr>
          <w:color w:val="231F20"/>
          <w:w w:val="120"/>
        </w:rPr>
        <w:t>heureux,</w:t>
      </w:r>
      <w:r>
        <w:rPr>
          <w:color w:val="231F20"/>
          <w:spacing w:val="-9"/>
          <w:w w:val="120"/>
        </w:rPr>
        <w:t> </w:t>
      </w:r>
      <w:r>
        <w:rPr>
          <w:color w:val="231F20"/>
          <w:w w:val="120"/>
        </w:rPr>
        <w:t>c’est</w:t>
      </w:r>
      <w:r>
        <w:rPr>
          <w:color w:val="231F20"/>
          <w:spacing w:val="-9"/>
          <w:w w:val="120"/>
        </w:rPr>
        <w:t> </w:t>
      </w:r>
      <w:r>
        <w:rPr>
          <w:color w:val="231F20"/>
          <w:w w:val="120"/>
        </w:rPr>
        <w:t>une condition </w:t>
      </w:r>
      <w:r>
        <w:rPr>
          <w:i/>
          <w:color w:val="231F20"/>
          <w:w w:val="120"/>
        </w:rPr>
        <w:t>sine qua non</w:t>
      </w:r>
      <w:r>
        <w:rPr>
          <w:color w:val="231F20"/>
          <w:w w:val="120"/>
        </w:rPr>
        <w:t>.</w:t>
      </w:r>
    </w:p>
    <w:p>
      <w:pPr>
        <w:pStyle w:val="BodyText"/>
        <w:spacing w:line="307" w:lineRule="auto" w:before="78"/>
        <w:ind w:left="1219" w:right="106" w:firstLine="250"/>
        <w:jc w:val="both"/>
      </w:pPr>
      <w:r>
        <w:rPr>
          <w:color w:val="231F20"/>
          <w:w w:val="115"/>
        </w:rPr>
        <w:t>L’estime</w:t>
      </w:r>
      <w:r>
        <w:rPr>
          <w:color w:val="231F20"/>
          <w:spacing w:val="-1"/>
          <w:w w:val="115"/>
        </w:rPr>
        <w:t> </w:t>
      </w:r>
      <w:r>
        <w:rPr>
          <w:color w:val="231F20"/>
          <w:w w:val="115"/>
        </w:rPr>
        <w:t>de</w:t>
      </w:r>
      <w:r>
        <w:rPr>
          <w:color w:val="231F20"/>
          <w:spacing w:val="-1"/>
          <w:w w:val="115"/>
        </w:rPr>
        <w:t> </w:t>
      </w:r>
      <w:r>
        <w:rPr>
          <w:color w:val="231F20"/>
          <w:w w:val="115"/>
        </w:rPr>
        <w:t>soi</w:t>
      </w:r>
      <w:r>
        <w:rPr>
          <w:color w:val="231F20"/>
          <w:spacing w:val="-1"/>
          <w:w w:val="115"/>
        </w:rPr>
        <w:t> </w:t>
      </w:r>
      <w:r>
        <w:rPr>
          <w:color w:val="231F20"/>
          <w:w w:val="115"/>
        </w:rPr>
        <w:t>est</w:t>
      </w:r>
      <w:r>
        <w:rPr>
          <w:color w:val="231F20"/>
          <w:spacing w:val="-1"/>
          <w:w w:val="115"/>
        </w:rPr>
        <w:t> </w:t>
      </w:r>
      <w:r>
        <w:rPr>
          <w:color w:val="231F20"/>
          <w:w w:val="115"/>
        </w:rPr>
        <w:t>au</w:t>
      </w:r>
      <w:r>
        <w:rPr>
          <w:color w:val="231F20"/>
          <w:spacing w:val="-1"/>
          <w:w w:val="115"/>
        </w:rPr>
        <w:t> </w:t>
      </w:r>
      <w:r>
        <w:rPr>
          <w:color w:val="231F20"/>
          <w:w w:val="115"/>
        </w:rPr>
        <w:t>centre</w:t>
      </w:r>
      <w:r>
        <w:rPr>
          <w:color w:val="231F20"/>
          <w:spacing w:val="-1"/>
          <w:w w:val="115"/>
        </w:rPr>
        <w:t> </w:t>
      </w:r>
      <w:r>
        <w:rPr>
          <w:color w:val="231F20"/>
          <w:w w:val="115"/>
        </w:rPr>
        <w:t>d’une</w:t>
      </w:r>
      <w:r>
        <w:rPr>
          <w:color w:val="231F20"/>
          <w:spacing w:val="-1"/>
          <w:w w:val="115"/>
        </w:rPr>
        <w:t> </w:t>
      </w:r>
      <w:r>
        <w:rPr>
          <w:color w:val="231F20"/>
          <w:w w:val="115"/>
        </w:rPr>
        <w:t>boucle:</w:t>
      </w:r>
      <w:r>
        <w:rPr>
          <w:color w:val="231F20"/>
          <w:spacing w:val="-1"/>
          <w:w w:val="115"/>
        </w:rPr>
        <w:t> </w:t>
      </w:r>
      <w:r>
        <w:rPr>
          <w:color w:val="231F20"/>
          <w:w w:val="115"/>
        </w:rPr>
        <w:t>elle</w:t>
      </w:r>
      <w:r>
        <w:rPr>
          <w:color w:val="231F20"/>
          <w:spacing w:val="-1"/>
          <w:w w:val="115"/>
        </w:rPr>
        <w:t> </w:t>
      </w:r>
      <w:r>
        <w:rPr>
          <w:color w:val="231F20"/>
          <w:w w:val="115"/>
        </w:rPr>
        <w:t>dépend</w:t>
      </w:r>
      <w:r>
        <w:rPr>
          <w:color w:val="231F20"/>
          <w:spacing w:val="-1"/>
          <w:w w:val="115"/>
        </w:rPr>
        <w:t> </w:t>
      </w:r>
      <w:r>
        <w:rPr>
          <w:color w:val="231F20"/>
          <w:w w:val="115"/>
        </w:rPr>
        <w:t>de</w:t>
      </w:r>
      <w:r>
        <w:rPr>
          <w:color w:val="231F20"/>
          <w:spacing w:val="-1"/>
          <w:w w:val="115"/>
        </w:rPr>
        <w:t> </w:t>
      </w:r>
      <w:r>
        <w:rPr>
          <w:color w:val="231F20"/>
          <w:w w:val="115"/>
        </w:rPr>
        <w:t>ce</w:t>
      </w:r>
      <w:r>
        <w:rPr>
          <w:color w:val="231F20"/>
          <w:spacing w:val="-1"/>
          <w:w w:val="115"/>
        </w:rPr>
        <w:t> </w:t>
      </w:r>
      <w:r>
        <w:rPr>
          <w:color w:val="231F20"/>
          <w:w w:val="115"/>
        </w:rPr>
        <w:t>que</w:t>
      </w:r>
      <w:r>
        <w:rPr>
          <w:color w:val="231F20"/>
          <w:spacing w:val="-1"/>
          <w:w w:val="115"/>
        </w:rPr>
        <w:t> </w:t>
      </w:r>
      <w:r>
        <w:rPr>
          <w:color w:val="231F20"/>
          <w:w w:val="115"/>
        </w:rPr>
        <w:t>cha- </w:t>
      </w:r>
      <w:r>
        <w:rPr>
          <w:color w:val="231F20"/>
          <w:w w:val="120"/>
        </w:rPr>
        <w:t>cun fait de son existence, en fonction et en conséquence de sa propre compréhension</w:t>
      </w:r>
      <w:r>
        <w:rPr>
          <w:color w:val="231F20"/>
          <w:spacing w:val="-8"/>
          <w:w w:val="120"/>
        </w:rPr>
        <w:t> </w:t>
      </w:r>
      <w:r>
        <w:rPr>
          <w:color w:val="231F20"/>
          <w:w w:val="120"/>
        </w:rPr>
        <w:t>de</w:t>
      </w:r>
      <w:r>
        <w:rPr>
          <w:color w:val="231F20"/>
          <w:spacing w:val="-8"/>
          <w:w w:val="120"/>
        </w:rPr>
        <w:t> </w:t>
      </w:r>
      <w:r>
        <w:rPr>
          <w:color w:val="231F20"/>
          <w:w w:val="120"/>
        </w:rPr>
        <w:t>ce</w:t>
      </w:r>
      <w:r>
        <w:rPr>
          <w:color w:val="231F20"/>
          <w:spacing w:val="-8"/>
          <w:w w:val="120"/>
        </w:rPr>
        <w:t> </w:t>
      </w:r>
      <w:r>
        <w:rPr>
          <w:color w:val="231F20"/>
          <w:w w:val="120"/>
        </w:rPr>
        <w:t>qu’est</w:t>
      </w:r>
      <w:r>
        <w:rPr>
          <w:color w:val="231F20"/>
          <w:spacing w:val="-8"/>
          <w:w w:val="120"/>
        </w:rPr>
        <w:t> </w:t>
      </w:r>
      <w:r>
        <w:rPr>
          <w:color w:val="231F20"/>
          <w:w w:val="120"/>
        </w:rPr>
        <w:t>la</w:t>
      </w:r>
      <w:r>
        <w:rPr>
          <w:color w:val="231F20"/>
          <w:spacing w:val="-8"/>
          <w:w w:val="120"/>
        </w:rPr>
        <w:t> </w:t>
      </w:r>
      <w:r>
        <w:rPr>
          <w:color w:val="231F20"/>
          <w:w w:val="120"/>
        </w:rPr>
        <w:t>vie.</w:t>
      </w:r>
      <w:r>
        <w:rPr>
          <w:color w:val="231F20"/>
          <w:spacing w:val="-8"/>
          <w:w w:val="120"/>
        </w:rPr>
        <w:t> </w:t>
      </w:r>
      <w:r>
        <w:rPr>
          <w:color w:val="231F20"/>
          <w:w w:val="120"/>
        </w:rPr>
        <w:t>La</w:t>
      </w:r>
      <w:r>
        <w:rPr>
          <w:color w:val="231F20"/>
          <w:spacing w:val="-8"/>
          <w:w w:val="120"/>
        </w:rPr>
        <w:t> </w:t>
      </w:r>
      <w:r>
        <w:rPr>
          <w:color w:val="231F20"/>
          <w:w w:val="120"/>
        </w:rPr>
        <w:t>véritable</w:t>
      </w:r>
      <w:r>
        <w:rPr>
          <w:color w:val="231F20"/>
          <w:spacing w:val="-8"/>
          <w:w w:val="120"/>
        </w:rPr>
        <w:t> </w:t>
      </w:r>
      <w:r>
        <w:rPr>
          <w:color w:val="231F20"/>
          <w:w w:val="120"/>
        </w:rPr>
        <w:t>tâche</w:t>
      </w:r>
      <w:r>
        <w:rPr>
          <w:color w:val="231F20"/>
          <w:spacing w:val="-8"/>
          <w:w w:val="120"/>
        </w:rPr>
        <w:t> </w:t>
      </w:r>
      <w:r>
        <w:rPr>
          <w:color w:val="231F20"/>
          <w:w w:val="120"/>
        </w:rPr>
        <w:t>morale</w:t>
      </w:r>
      <w:r>
        <w:rPr>
          <w:color w:val="231F20"/>
          <w:spacing w:val="-8"/>
          <w:w w:val="120"/>
        </w:rPr>
        <w:t> </w:t>
      </w:r>
      <w:r>
        <w:rPr>
          <w:color w:val="231F20"/>
          <w:w w:val="120"/>
        </w:rPr>
        <w:t>consiste</w:t>
      </w:r>
      <w:r>
        <w:rPr>
          <w:color w:val="231F20"/>
          <w:spacing w:val="-8"/>
          <w:w w:val="120"/>
        </w:rPr>
        <w:t> </w:t>
      </w:r>
      <w:r>
        <w:rPr>
          <w:color w:val="231F20"/>
          <w:w w:val="120"/>
        </w:rPr>
        <w:t>à devenir</w:t>
      </w:r>
      <w:r>
        <w:rPr>
          <w:color w:val="231F20"/>
          <w:spacing w:val="-6"/>
          <w:w w:val="120"/>
        </w:rPr>
        <w:t> </w:t>
      </w:r>
      <w:r>
        <w:rPr>
          <w:color w:val="231F20"/>
          <w:w w:val="120"/>
        </w:rPr>
        <w:t>tout</w:t>
      </w:r>
      <w:r>
        <w:rPr>
          <w:color w:val="231F20"/>
          <w:spacing w:val="-6"/>
          <w:w w:val="120"/>
        </w:rPr>
        <w:t> </w:t>
      </w:r>
      <w:r>
        <w:rPr>
          <w:color w:val="231F20"/>
          <w:w w:val="120"/>
        </w:rPr>
        <w:t>ce</w:t>
      </w:r>
      <w:r>
        <w:rPr>
          <w:color w:val="231F20"/>
          <w:spacing w:val="-6"/>
          <w:w w:val="120"/>
        </w:rPr>
        <w:t> </w:t>
      </w:r>
      <w:r>
        <w:rPr>
          <w:color w:val="231F20"/>
          <w:w w:val="120"/>
        </w:rPr>
        <w:t>que</w:t>
      </w:r>
      <w:r>
        <w:rPr>
          <w:color w:val="231F20"/>
          <w:spacing w:val="-6"/>
          <w:w w:val="120"/>
        </w:rPr>
        <w:t> </w:t>
      </w:r>
      <w:r>
        <w:rPr>
          <w:color w:val="231F20"/>
          <w:w w:val="120"/>
        </w:rPr>
        <w:t>l’on</w:t>
      </w:r>
      <w:r>
        <w:rPr>
          <w:color w:val="231F20"/>
          <w:spacing w:val="-6"/>
          <w:w w:val="120"/>
        </w:rPr>
        <w:t> </w:t>
      </w:r>
      <w:r>
        <w:rPr>
          <w:color w:val="231F20"/>
          <w:w w:val="120"/>
        </w:rPr>
        <w:t>peut</w:t>
      </w:r>
      <w:r>
        <w:rPr>
          <w:color w:val="231F20"/>
          <w:spacing w:val="-6"/>
          <w:w w:val="120"/>
        </w:rPr>
        <w:t> </w:t>
      </w:r>
      <w:r>
        <w:rPr>
          <w:color w:val="231F20"/>
          <w:w w:val="120"/>
        </w:rPr>
        <w:t>être</w:t>
      </w:r>
      <w:r>
        <w:rPr>
          <w:color w:val="231F20"/>
          <w:spacing w:val="-6"/>
          <w:w w:val="120"/>
        </w:rPr>
        <w:t> </w:t>
      </w:r>
      <w:r>
        <w:rPr>
          <w:color w:val="231F20"/>
          <w:w w:val="120"/>
        </w:rPr>
        <w:t>avec</w:t>
      </w:r>
      <w:r>
        <w:rPr>
          <w:color w:val="231F20"/>
          <w:spacing w:val="-6"/>
          <w:w w:val="120"/>
        </w:rPr>
        <w:t> </w:t>
      </w:r>
      <w:r>
        <w:rPr>
          <w:color w:val="231F20"/>
          <w:w w:val="120"/>
        </w:rPr>
        <w:t>ce</w:t>
      </w:r>
      <w:r>
        <w:rPr>
          <w:color w:val="231F20"/>
          <w:spacing w:val="-6"/>
          <w:w w:val="120"/>
        </w:rPr>
        <w:t> </w:t>
      </w:r>
      <w:r>
        <w:rPr>
          <w:color w:val="231F20"/>
          <w:w w:val="120"/>
        </w:rPr>
        <w:t>que</w:t>
      </w:r>
      <w:r>
        <w:rPr>
          <w:color w:val="231F20"/>
          <w:spacing w:val="-6"/>
          <w:w w:val="120"/>
        </w:rPr>
        <w:t> </w:t>
      </w:r>
      <w:r>
        <w:rPr>
          <w:color w:val="231F20"/>
          <w:w w:val="120"/>
        </w:rPr>
        <w:t>l’on</w:t>
      </w:r>
      <w:r>
        <w:rPr>
          <w:color w:val="231F20"/>
          <w:spacing w:val="-6"/>
          <w:w w:val="120"/>
        </w:rPr>
        <w:t> </w:t>
      </w:r>
      <w:r>
        <w:rPr>
          <w:color w:val="231F20"/>
          <w:w w:val="120"/>
        </w:rPr>
        <w:t>est15.</w:t>
      </w:r>
    </w:p>
    <w:p>
      <w:pPr>
        <w:pStyle w:val="BodyText"/>
        <w:spacing w:line="307" w:lineRule="auto" w:before="80"/>
        <w:ind w:left="1219" w:right="106" w:firstLine="250"/>
        <w:jc w:val="both"/>
      </w:pPr>
      <w:r>
        <w:rPr>
          <w:color w:val="231F20"/>
          <w:w w:val="120"/>
        </w:rPr>
        <w:t>L’être humain est doté d’une estime de soi essentielle et originelle, qu’il</w:t>
      </w:r>
      <w:r>
        <w:rPr>
          <w:color w:val="231F20"/>
          <w:spacing w:val="-13"/>
          <w:w w:val="120"/>
        </w:rPr>
        <w:t> </w:t>
      </w:r>
      <w:r>
        <w:rPr>
          <w:color w:val="231F20"/>
          <w:w w:val="120"/>
        </w:rPr>
        <w:t>façonne</w:t>
      </w:r>
      <w:r>
        <w:rPr>
          <w:color w:val="231F20"/>
          <w:spacing w:val="-12"/>
          <w:w w:val="120"/>
        </w:rPr>
        <w:t> </w:t>
      </w:r>
      <w:r>
        <w:rPr>
          <w:color w:val="231F20"/>
          <w:w w:val="120"/>
        </w:rPr>
        <w:t>peu</w:t>
      </w:r>
      <w:r>
        <w:rPr>
          <w:color w:val="231F20"/>
          <w:spacing w:val="-13"/>
          <w:w w:val="120"/>
        </w:rPr>
        <w:t> </w:t>
      </w:r>
      <w:r>
        <w:rPr>
          <w:color w:val="231F20"/>
          <w:w w:val="120"/>
        </w:rPr>
        <w:t>à</w:t>
      </w:r>
      <w:r>
        <w:rPr>
          <w:color w:val="231F20"/>
          <w:spacing w:val="-12"/>
          <w:w w:val="120"/>
        </w:rPr>
        <w:t> </w:t>
      </w:r>
      <w:r>
        <w:rPr>
          <w:color w:val="231F20"/>
          <w:w w:val="120"/>
        </w:rPr>
        <w:t>peu</w:t>
      </w:r>
      <w:r>
        <w:rPr>
          <w:color w:val="231F20"/>
          <w:spacing w:val="-13"/>
          <w:w w:val="120"/>
        </w:rPr>
        <w:t> </w:t>
      </w:r>
      <w:r>
        <w:rPr>
          <w:color w:val="231F20"/>
          <w:w w:val="120"/>
        </w:rPr>
        <w:t>au</w:t>
      </w:r>
      <w:r>
        <w:rPr>
          <w:color w:val="231F20"/>
          <w:spacing w:val="-12"/>
          <w:w w:val="120"/>
        </w:rPr>
        <w:t> </w:t>
      </w:r>
      <w:r>
        <w:rPr>
          <w:color w:val="231F20"/>
          <w:w w:val="120"/>
        </w:rPr>
        <w:t>fil</w:t>
      </w:r>
      <w:r>
        <w:rPr>
          <w:color w:val="231F20"/>
          <w:spacing w:val="-13"/>
          <w:w w:val="120"/>
        </w:rPr>
        <w:t> </w:t>
      </w:r>
      <w:r>
        <w:rPr>
          <w:color w:val="231F20"/>
          <w:w w:val="120"/>
        </w:rPr>
        <w:t>de</w:t>
      </w:r>
      <w:r>
        <w:rPr>
          <w:color w:val="231F20"/>
          <w:spacing w:val="-12"/>
          <w:w w:val="120"/>
        </w:rPr>
        <w:t> </w:t>
      </w:r>
      <w:r>
        <w:rPr>
          <w:color w:val="231F20"/>
          <w:w w:val="120"/>
        </w:rPr>
        <w:t>ses</w:t>
      </w:r>
      <w:r>
        <w:rPr>
          <w:color w:val="231F20"/>
          <w:spacing w:val="-13"/>
          <w:w w:val="120"/>
        </w:rPr>
        <w:t> </w:t>
      </w:r>
      <w:r>
        <w:rPr>
          <w:color w:val="231F20"/>
          <w:w w:val="120"/>
        </w:rPr>
        <w:t>expériences</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2"/>
          <w:w w:val="120"/>
        </w:rPr>
        <w:t> </w:t>
      </w:r>
      <w:r>
        <w:rPr>
          <w:color w:val="231F20"/>
          <w:w w:val="120"/>
        </w:rPr>
        <w:t>sa</w:t>
      </w:r>
      <w:r>
        <w:rPr>
          <w:color w:val="231F20"/>
          <w:spacing w:val="-13"/>
          <w:w w:val="120"/>
        </w:rPr>
        <w:t> </w:t>
      </w:r>
      <w:r>
        <w:rPr>
          <w:color w:val="231F20"/>
          <w:w w:val="120"/>
        </w:rPr>
        <w:t>capacité</w:t>
      </w:r>
      <w:r>
        <w:rPr>
          <w:color w:val="231F20"/>
          <w:spacing w:val="-12"/>
          <w:w w:val="120"/>
        </w:rPr>
        <w:t> </w:t>
      </w:r>
      <w:r>
        <w:rPr>
          <w:color w:val="231F20"/>
          <w:w w:val="120"/>
        </w:rPr>
        <w:t>à</w:t>
      </w:r>
      <w:r>
        <w:rPr>
          <w:color w:val="231F20"/>
          <w:spacing w:val="-13"/>
          <w:w w:val="120"/>
        </w:rPr>
        <w:t> </w:t>
      </w:r>
      <w:r>
        <w:rPr>
          <w:color w:val="231F20"/>
          <w:w w:val="120"/>
        </w:rPr>
        <w:t>maî- triser</w:t>
      </w:r>
      <w:r>
        <w:rPr>
          <w:color w:val="231F20"/>
          <w:spacing w:val="-13"/>
          <w:w w:val="120"/>
        </w:rPr>
        <w:t> </w:t>
      </w:r>
      <w:r>
        <w:rPr>
          <w:color w:val="231F20"/>
          <w:w w:val="120"/>
        </w:rPr>
        <w:t>les</w:t>
      </w:r>
      <w:r>
        <w:rPr>
          <w:color w:val="231F20"/>
          <w:spacing w:val="-13"/>
          <w:w w:val="120"/>
        </w:rPr>
        <w:t> </w:t>
      </w:r>
      <w:r>
        <w:rPr>
          <w:color w:val="231F20"/>
          <w:w w:val="120"/>
        </w:rPr>
        <w:t>variables</w:t>
      </w:r>
      <w:r>
        <w:rPr>
          <w:color w:val="231F20"/>
          <w:spacing w:val="-13"/>
          <w:w w:val="120"/>
        </w:rPr>
        <w:t> </w:t>
      </w:r>
      <w:r>
        <w:rPr>
          <w:color w:val="231F20"/>
          <w:w w:val="120"/>
        </w:rPr>
        <w:t>importantes</w:t>
      </w:r>
      <w:r>
        <w:rPr>
          <w:color w:val="231F20"/>
          <w:spacing w:val="-12"/>
          <w:w w:val="120"/>
        </w:rPr>
        <w:t> </w:t>
      </w:r>
      <w:r>
        <w:rPr>
          <w:color w:val="231F20"/>
          <w:w w:val="120"/>
        </w:rPr>
        <w:t>de</w:t>
      </w:r>
      <w:r>
        <w:rPr>
          <w:color w:val="231F20"/>
          <w:spacing w:val="-13"/>
          <w:w w:val="120"/>
        </w:rPr>
        <w:t> </w:t>
      </w:r>
      <w:r>
        <w:rPr>
          <w:color w:val="231F20"/>
          <w:w w:val="120"/>
        </w:rPr>
        <w:t>sa</w:t>
      </w:r>
      <w:r>
        <w:rPr>
          <w:color w:val="231F20"/>
          <w:spacing w:val="-13"/>
          <w:w w:val="120"/>
        </w:rPr>
        <w:t> </w:t>
      </w:r>
      <w:r>
        <w:rPr>
          <w:color w:val="231F20"/>
          <w:w w:val="120"/>
        </w:rPr>
        <w:t>vie.</w:t>
      </w:r>
      <w:r>
        <w:rPr>
          <w:color w:val="231F20"/>
          <w:spacing w:val="-13"/>
          <w:w w:val="120"/>
        </w:rPr>
        <w:t> </w:t>
      </w:r>
      <w:r>
        <w:rPr>
          <w:color w:val="231F20"/>
          <w:w w:val="120"/>
        </w:rPr>
        <w:t>L’objectif</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vie</w:t>
      </w:r>
      <w:r>
        <w:rPr>
          <w:color w:val="231F20"/>
          <w:spacing w:val="-13"/>
          <w:w w:val="120"/>
        </w:rPr>
        <w:t> </w:t>
      </w:r>
      <w:r>
        <w:rPr>
          <w:color w:val="231F20"/>
          <w:w w:val="120"/>
        </w:rPr>
        <w:t>consiste</w:t>
      </w:r>
      <w:r>
        <w:rPr>
          <w:color w:val="231F20"/>
          <w:spacing w:val="-12"/>
          <w:w w:val="120"/>
        </w:rPr>
        <w:t> </w:t>
      </w:r>
      <w:r>
        <w:rPr>
          <w:color w:val="231F20"/>
          <w:w w:val="120"/>
        </w:rPr>
        <w:t>en partie</w:t>
      </w:r>
      <w:r>
        <w:rPr>
          <w:color w:val="231F20"/>
          <w:spacing w:val="-9"/>
          <w:w w:val="120"/>
        </w:rPr>
        <w:t> </w:t>
      </w:r>
      <w:r>
        <w:rPr>
          <w:color w:val="231F20"/>
          <w:w w:val="120"/>
        </w:rPr>
        <w:t>à</w:t>
      </w:r>
      <w:r>
        <w:rPr>
          <w:color w:val="231F20"/>
          <w:spacing w:val="-9"/>
          <w:w w:val="120"/>
        </w:rPr>
        <w:t> </w:t>
      </w:r>
      <w:r>
        <w:rPr>
          <w:color w:val="231F20"/>
          <w:w w:val="120"/>
        </w:rPr>
        <w:t>assumer</w:t>
      </w:r>
      <w:r>
        <w:rPr>
          <w:color w:val="231F20"/>
          <w:spacing w:val="-9"/>
          <w:w w:val="120"/>
        </w:rPr>
        <w:t> </w:t>
      </w:r>
      <w:r>
        <w:rPr>
          <w:color w:val="231F20"/>
          <w:w w:val="120"/>
        </w:rPr>
        <w:t>la</w:t>
      </w:r>
      <w:r>
        <w:rPr>
          <w:color w:val="231F20"/>
          <w:spacing w:val="-9"/>
          <w:w w:val="120"/>
        </w:rPr>
        <w:t> </w:t>
      </w:r>
      <w:r>
        <w:rPr>
          <w:color w:val="231F20"/>
          <w:w w:val="120"/>
        </w:rPr>
        <w:t>responsabilité</w:t>
      </w:r>
      <w:r>
        <w:rPr>
          <w:color w:val="231F20"/>
          <w:spacing w:val="-9"/>
          <w:w w:val="120"/>
        </w:rPr>
        <w:t> </w:t>
      </w:r>
      <w:r>
        <w:rPr>
          <w:color w:val="231F20"/>
          <w:w w:val="120"/>
        </w:rPr>
        <w:t>d’enrichir</w:t>
      </w:r>
      <w:r>
        <w:rPr>
          <w:color w:val="231F20"/>
          <w:spacing w:val="-9"/>
          <w:w w:val="120"/>
        </w:rPr>
        <w:t> </w:t>
      </w:r>
      <w:r>
        <w:rPr>
          <w:color w:val="231F20"/>
          <w:w w:val="120"/>
        </w:rPr>
        <w:t>notre</w:t>
      </w:r>
      <w:r>
        <w:rPr>
          <w:color w:val="231F20"/>
          <w:spacing w:val="-9"/>
          <w:w w:val="120"/>
        </w:rPr>
        <w:t> </w:t>
      </w:r>
      <w:r>
        <w:rPr>
          <w:color w:val="231F20"/>
          <w:w w:val="120"/>
        </w:rPr>
        <w:t>santé,</w:t>
      </w:r>
      <w:r>
        <w:rPr>
          <w:color w:val="231F20"/>
          <w:spacing w:val="-9"/>
          <w:w w:val="120"/>
        </w:rPr>
        <w:t> </w:t>
      </w:r>
      <w:r>
        <w:rPr>
          <w:color w:val="231F20"/>
          <w:w w:val="120"/>
        </w:rPr>
        <w:t>notre</w:t>
      </w:r>
      <w:r>
        <w:rPr>
          <w:color w:val="231F20"/>
          <w:spacing w:val="-9"/>
          <w:w w:val="120"/>
        </w:rPr>
        <w:t> </w:t>
      </w:r>
      <w:r>
        <w:rPr>
          <w:color w:val="231F20"/>
          <w:w w:val="120"/>
        </w:rPr>
        <w:t>bonheur, notre</w:t>
      </w:r>
      <w:r>
        <w:rPr>
          <w:color w:val="231F20"/>
          <w:spacing w:val="-8"/>
          <w:w w:val="120"/>
        </w:rPr>
        <w:t> </w:t>
      </w:r>
      <w:r>
        <w:rPr>
          <w:color w:val="231F20"/>
          <w:w w:val="120"/>
        </w:rPr>
        <w:t>engagement</w:t>
      </w:r>
      <w:r>
        <w:rPr>
          <w:color w:val="231F20"/>
          <w:spacing w:val="-8"/>
          <w:w w:val="120"/>
        </w:rPr>
        <w:t> </w:t>
      </w:r>
      <w:r>
        <w:rPr>
          <w:color w:val="231F20"/>
          <w:w w:val="120"/>
        </w:rPr>
        <w:t>et</w:t>
      </w:r>
      <w:r>
        <w:rPr>
          <w:color w:val="231F20"/>
          <w:spacing w:val="-8"/>
          <w:w w:val="120"/>
        </w:rPr>
        <w:t> </w:t>
      </w:r>
      <w:r>
        <w:rPr>
          <w:color w:val="231F20"/>
          <w:w w:val="120"/>
        </w:rPr>
        <w:t>nos</w:t>
      </w:r>
      <w:r>
        <w:rPr>
          <w:color w:val="231F20"/>
          <w:spacing w:val="-8"/>
          <w:w w:val="120"/>
        </w:rPr>
        <w:t> </w:t>
      </w:r>
      <w:r>
        <w:rPr>
          <w:color w:val="231F20"/>
          <w:w w:val="120"/>
        </w:rPr>
        <w:t>efforts</w:t>
      </w:r>
      <w:r>
        <w:rPr>
          <w:color w:val="231F20"/>
          <w:spacing w:val="-8"/>
          <w:w w:val="120"/>
        </w:rPr>
        <w:t> </w:t>
      </w:r>
      <w:r>
        <w:rPr>
          <w:color w:val="231F20"/>
          <w:w w:val="120"/>
        </w:rPr>
        <w:t>afin</w:t>
      </w:r>
      <w:r>
        <w:rPr>
          <w:color w:val="231F20"/>
          <w:spacing w:val="-8"/>
          <w:w w:val="120"/>
        </w:rPr>
        <w:t> </w:t>
      </w:r>
      <w:r>
        <w:rPr>
          <w:color w:val="231F20"/>
          <w:w w:val="120"/>
        </w:rPr>
        <w:t>de</w:t>
      </w:r>
      <w:r>
        <w:rPr>
          <w:color w:val="231F20"/>
          <w:spacing w:val="-8"/>
          <w:w w:val="120"/>
        </w:rPr>
        <w:t> </w:t>
      </w:r>
      <w:r>
        <w:rPr>
          <w:color w:val="231F20"/>
          <w:w w:val="120"/>
        </w:rPr>
        <w:t>significativement</w:t>
      </w:r>
      <w:r>
        <w:rPr>
          <w:color w:val="231F20"/>
          <w:spacing w:val="-8"/>
          <w:w w:val="120"/>
        </w:rPr>
        <w:t> </w:t>
      </w:r>
      <w:r>
        <w:rPr>
          <w:color w:val="231F20"/>
          <w:w w:val="120"/>
        </w:rPr>
        <w:t>contribuer</w:t>
      </w:r>
      <w:r>
        <w:rPr>
          <w:color w:val="231F20"/>
          <w:spacing w:val="-8"/>
          <w:w w:val="120"/>
        </w:rPr>
        <w:t> </w:t>
      </w:r>
      <w:r>
        <w:rPr>
          <w:color w:val="231F20"/>
          <w:w w:val="120"/>
        </w:rPr>
        <w:t>au monde</w:t>
      </w:r>
      <w:r>
        <w:rPr>
          <w:color w:val="231F20"/>
          <w:spacing w:val="-9"/>
          <w:w w:val="120"/>
        </w:rPr>
        <w:t> </w:t>
      </w:r>
      <w:r>
        <w:rPr>
          <w:color w:val="231F20"/>
          <w:w w:val="120"/>
        </w:rPr>
        <w:t>qui</w:t>
      </w:r>
      <w:r>
        <w:rPr>
          <w:color w:val="231F20"/>
          <w:spacing w:val="-9"/>
          <w:w w:val="120"/>
        </w:rPr>
        <w:t> </w:t>
      </w:r>
      <w:r>
        <w:rPr>
          <w:color w:val="231F20"/>
          <w:w w:val="120"/>
        </w:rPr>
        <w:t>nous</w:t>
      </w:r>
      <w:r>
        <w:rPr>
          <w:color w:val="231F20"/>
          <w:spacing w:val="-9"/>
          <w:w w:val="120"/>
        </w:rPr>
        <w:t> </w:t>
      </w:r>
      <w:r>
        <w:rPr>
          <w:color w:val="231F20"/>
          <w:w w:val="120"/>
        </w:rPr>
        <w:t>entoure.</w:t>
      </w:r>
      <w:r>
        <w:rPr>
          <w:color w:val="231F20"/>
          <w:spacing w:val="-9"/>
          <w:w w:val="120"/>
        </w:rPr>
        <w:t> </w:t>
      </w:r>
      <w:r>
        <w:rPr>
          <w:color w:val="231F20"/>
          <w:w w:val="120"/>
        </w:rPr>
        <w:t>C’est</w:t>
      </w:r>
      <w:r>
        <w:rPr>
          <w:color w:val="231F20"/>
          <w:spacing w:val="-9"/>
          <w:w w:val="120"/>
        </w:rPr>
        <w:t> </w:t>
      </w:r>
      <w:r>
        <w:rPr>
          <w:color w:val="231F20"/>
          <w:w w:val="120"/>
        </w:rPr>
        <w:t>lorsque</w:t>
      </w:r>
      <w:r>
        <w:rPr>
          <w:color w:val="231F20"/>
          <w:spacing w:val="-9"/>
          <w:w w:val="120"/>
        </w:rPr>
        <w:t> </w:t>
      </w:r>
      <w:r>
        <w:rPr>
          <w:color w:val="231F20"/>
          <w:w w:val="120"/>
        </w:rPr>
        <w:t>nous</w:t>
      </w:r>
      <w:r>
        <w:rPr>
          <w:color w:val="231F20"/>
          <w:spacing w:val="-9"/>
          <w:w w:val="120"/>
        </w:rPr>
        <w:t> </w:t>
      </w:r>
      <w:r>
        <w:rPr>
          <w:color w:val="231F20"/>
          <w:w w:val="120"/>
        </w:rPr>
        <w:t>y</w:t>
      </w:r>
      <w:r>
        <w:rPr>
          <w:color w:val="231F20"/>
          <w:spacing w:val="-9"/>
          <w:w w:val="120"/>
        </w:rPr>
        <w:t> </w:t>
      </w:r>
      <w:r>
        <w:rPr>
          <w:color w:val="231F20"/>
          <w:w w:val="120"/>
        </w:rPr>
        <w:t>arrivons,</w:t>
      </w:r>
      <w:r>
        <w:rPr>
          <w:color w:val="231F20"/>
          <w:spacing w:val="-9"/>
          <w:w w:val="120"/>
        </w:rPr>
        <w:t> </w:t>
      </w:r>
      <w:r>
        <w:rPr>
          <w:color w:val="231F20"/>
          <w:w w:val="120"/>
        </w:rPr>
        <w:t>même</w:t>
      </w:r>
      <w:r>
        <w:rPr>
          <w:color w:val="231F20"/>
          <w:spacing w:val="-9"/>
          <w:w w:val="120"/>
        </w:rPr>
        <w:t> </w:t>
      </w:r>
      <w:r>
        <w:rPr>
          <w:color w:val="231F20"/>
          <w:w w:val="120"/>
        </w:rPr>
        <w:t>de</w:t>
      </w:r>
      <w:r>
        <w:rPr>
          <w:color w:val="231F20"/>
          <w:spacing w:val="-9"/>
          <w:w w:val="120"/>
        </w:rPr>
        <w:t> </w:t>
      </w:r>
      <w:r>
        <w:rPr>
          <w:color w:val="231F20"/>
          <w:w w:val="120"/>
        </w:rPr>
        <w:t>façon limitée, que nous augmentons notre véritable estime de soi.</w:t>
      </w:r>
    </w:p>
    <w:p>
      <w:pPr>
        <w:pStyle w:val="BodyText"/>
        <w:spacing w:line="307" w:lineRule="auto" w:before="79"/>
        <w:ind w:left="1219" w:right="104" w:firstLine="250"/>
        <w:jc w:val="both"/>
      </w:pPr>
      <w:r>
        <w:rPr>
          <w:color w:val="231F20"/>
          <w:w w:val="120"/>
        </w:rPr>
        <w:t>L’amour</w:t>
      </w:r>
      <w:r>
        <w:rPr>
          <w:color w:val="231F20"/>
          <w:spacing w:val="-12"/>
          <w:w w:val="120"/>
        </w:rPr>
        <w:t> </w:t>
      </w:r>
      <w:r>
        <w:rPr>
          <w:color w:val="231F20"/>
          <w:w w:val="120"/>
        </w:rPr>
        <w:t>de</w:t>
      </w:r>
      <w:r>
        <w:rPr>
          <w:color w:val="231F20"/>
          <w:spacing w:val="-12"/>
          <w:w w:val="120"/>
        </w:rPr>
        <w:t> </w:t>
      </w:r>
      <w:r>
        <w:rPr>
          <w:color w:val="231F20"/>
          <w:w w:val="120"/>
        </w:rPr>
        <w:t>soi-même</w:t>
      </w:r>
      <w:r>
        <w:rPr>
          <w:color w:val="231F20"/>
          <w:spacing w:val="-12"/>
          <w:w w:val="120"/>
        </w:rPr>
        <w:t> </w:t>
      </w:r>
      <w:r>
        <w:rPr>
          <w:color w:val="231F20"/>
          <w:w w:val="120"/>
        </w:rPr>
        <w:t>(l’amour-propre)</w:t>
      </w:r>
      <w:r>
        <w:rPr>
          <w:color w:val="231F20"/>
          <w:spacing w:val="-12"/>
          <w:w w:val="120"/>
        </w:rPr>
        <w:t> </w:t>
      </w:r>
      <w:r>
        <w:rPr>
          <w:color w:val="231F20"/>
          <w:w w:val="120"/>
        </w:rPr>
        <w:t>est</w:t>
      </w:r>
      <w:r>
        <w:rPr>
          <w:color w:val="231F20"/>
          <w:spacing w:val="-12"/>
          <w:w w:val="120"/>
        </w:rPr>
        <w:t> </w:t>
      </w:r>
      <w:r>
        <w:rPr>
          <w:color w:val="231F20"/>
          <w:w w:val="120"/>
        </w:rPr>
        <w:t>la</w:t>
      </w:r>
      <w:r>
        <w:rPr>
          <w:color w:val="231F20"/>
          <w:spacing w:val="-12"/>
          <w:w w:val="120"/>
        </w:rPr>
        <w:t> </w:t>
      </w:r>
      <w:r>
        <w:rPr>
          <w:color w:val="231F20"/>
          <w:w w:val="120"/>
        </w:rPr>
        <w:t>source</w:t>
      </w:r>
      <w:r>
        <w:rPr>
          <w:color w:val="231F20"/>
          <w:spacing w:val="-12"/>
          <w:w w:val="120"/>
        </w:rPr>
        <w:t> </w:t>
      </w:r>
      <w:r>
        <w:rPr>
          <w:color w:val="231F20"/>
          <w:w w:val="120"/>
        </w:rPr>
        <w:t>de</w:t>
      </w:r>
      <w:r>
        <w:rPr>
          <w:color w:val="231F20"/>
          <w:spacing w:val="-12"/>
          <w:w w:val="120"/>
        </w:rPr>
        <w:t> </w:t>
      </w:r>
      <w:r>
        <w:rPr>
          <w:color w:val="231F20"/>
          <w:w w:val="120"/>
        </w:rPr>
        <w:t>l’instinct</w:t>
      </w:r>
      <w:r>
        <w:rPr>
          <w:color w:val="231F20"/>
          <w:spacing w:val="-12"/>
          <w:w w:val="120"/>
        </w:rPr>
        <w:t> </w:t>
      </w:r>
      <w:r>
        <w:rPr>
          <w:color w:val="231F20"/>
          <w:w w:val="120"/>
        </w:rPr>
        <w:t>de conservation et de survie, de la conscience de soi et des autres. Les </w:t>
      </w:r>
      <w:r>
        <w:rPr>
          <w:color w:val="231F20"/>
          <w:w w:val="115"/>
        </w:rPr>
        <w:t>Grecs</w:t>
      </w:r>
      <w:r>
        <w:rPr>
          <w:color w:val="231F20"/>
          <w:spacing w:val="-4"/>
          <w:w w:val="115"/>
        </w:rPr>
        <w:t> </w:t>
      </w:r>
      <w:r>
        <w:rPr>
          <w:color w:val="231F20"/>
          <w:w w:val="115"/>
        </w:rPr>
        <w:t>appelaient</w:t>
      </w:r>
      <w:r>
        <w:rPr>
          <w:color w:val="231F20"/>
          <w:spacing w:val="-4"/>
          <w:w w:val="115"/>
        </w:rPr>
        <w:t> </w:t>
      </w:r>
      <w:r>
        <w:rPr>
          <w:i/>
          <w:color w:val="231F20"/>
          <w:w w:val="115"/>
        </w:rPr>
        <w:t>axioprepia</w:t>
      </w:r>
      <w:r>
        <w:rPr>
          <w:i/>
          <w:color w:val="231F20"/>
          <w:spacing w:val="-4"/>
          <w:w w:val="115"/>
        </w:rPr>
        <w:t> </w:t>
      </w:r>
      <w:r>
        <w:rPr>
          <w:color w:val="231F20"/>
          <w:w w:val="115"/>
        </w:rPr>
        <w:t>la</w:t>
      </w:r>
      <w:r>
        <w:rPr>
          <w:color w:val="231F20"/>
          <w:spacing w:val="-4"/>
          <w:w w:val="115"/>
        </w:rPr>
        <w:t> </w:t>
      </w:r>
      <w:r>
        <w:rPr>
          <w:color w:val="231F20"/>
          <w:w w:val="115"/>
        </w:rPr>
        <w:t>dignité</w:t>
      </w:r>
      <w:r>
        <w:rPr>
          <w:color w:val="231F20"/>
          <w:spacing w:val="-4"/>
          <w:w w:val="115"/>
        </w:rPr>
        <w:t> </w:t>
      </w:r>
      <w:r>
        <w:rPr>
          <w:color w:val="231F20"/>
          <w:w w:val="115"/>
        </w:rPr>
        <w:t>personnelle,</w:t>
      </w:r>
      <w:r>
        <w:rPr>
          <w:color w:val="231F20"/>
          <w:spacing w:val="-4"/>
          <w:w w:val="115"/>
        </w:rPr>
        <w:t> </w:t>
      </w:r>
      <w:r>
        <w:rPr>
          <w:color w:val="231F20"/>
          <w:w w:val="115"/>
        </w:rPr>
        <w:t>l’honneur</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dont l’objectif</w:t>
      </w:r>
      <w:r>
        <w:rPr>
          <w:color w:val="231F20"/>
          <w:spacing w:val="-8"/>
          <w:w w:val="115"/>
        </w:rPr>
        <w:t> </w:t>
      </w:r>
      <w:r>
        <w:rPr>
          <w:color w:val="231F20"/>
          <w:w w:val="115"/>
        </w:rPr>
        <w:t>final</w:t>
      </w:r>
      <w:r>
        <w:rPr>
          <w:color w:val="231F20"/>
          <w:spacing w:val="-8"/>
          <w:w w:val="115"/>
        </w:rPr>
        <w:t> </w:t>
      </w:r>
      <w:r>
        <w:rPr>
          <w:color w:val="231F20"/>
          <w:w w:val="115"/>
        </w:rPr>
        <w:t>est</w:t>
      </w:r>
      <w:r>
        <w:rPr>
          <w:color w:val="231F20"/>
          <w:spacing w:val="-8"/>
          <w:w w:val="115"/>
        </w:rPr>
        <w:t> </w:t>
      </w:r>
      <w:r>
        <w:rPr>
          <w:color w:val="231F20"/>
          <w:w w:val="115"/>
        </w:rPr>
        <w:t>d’assurer</w:t>
      </w:r>
      <w:r>
        <w:rPr>
          <w:color w:val="231F20"/>
          <w:spacing w:val="-8"/>
          <w:w w:val="115"/>
        </w:rPr>
        <w:t> </w:t>
      </w:r>
      <w:r>
        <w:rPr>
          <w:color w:val="231F20"/>
          <w:w w:val="115"/>
        </w:rPr>
        <w:t>la</w:t>
      </w:r>
      <w:r>
        <w:rPr>
          <w:color w:val="231F20"/>
          <w:spacing w:val="-8"/>
          <w:w w:val="115"/>
        </w:rPr>
        <w:t> </w:t>
      </w:r>
      <w:r>
        <w:rPr>
          <w:color w:val="231F20"/>
          <w:w w:val="115"/>
        </w:rPr>
        <w:t>cohésion</w:t>
      </w:r>
      <w:r>
        <w:rPr>
          <w:color w:val="231F20"/>
          <w:spacing w:val="-8"/>
          <w:w w:val="115"/>
        </w:rPr>
        <w:t> </w:t>
      </w:r>
      <w:r>
        <w:rPr>
          <w:color w:val="231F20"/>
          <w:w w:val="115"/>
        </w:rPr>
        <w:t>des</w:t>
      </w:r>
      <w:r>
        <w:rPr>
          <w:color w:val="231F20"/>
          <w:spacing w:val="-8"/>
          <w:w w:val="115"/>
        </w:rPr>
        <w:t> </w:t>
      </w:r>
      <w:r>
        <w:rPr>
          <w:color w:val="231F20"/>
          <w:w w:val="115"/>
        </w:rPr>
        <w:t>valeurs.</w:t>
      </w:r>
      <w:r>
        <w:rPr>
          <w:color w:val="231F20"/>
          <w:spacing w:val="-8"/>
          <w:w w:val="115"/>
        </w:rPr>
        <w:t> </w:t>
      </w:r>
      <w:r>
        <w:rPr>
          <w:color w:val="231F20"/>
          <w:w w:val="115"/>
        </w:rPr>
        <w:t>L’amour-propre</w:t>
      </w:r>
      <w:r>
        <w:rPr>
          <w:color w:val="231F20"/>
          <w:spacing w:val="-8"/>
          <w:w w:val="115"/>
        </w:rPr>
        <w:t> </w:t>
      </w:r>
      <w:r>
        <w:rPr>
          <w:color w:val="231F20"/>
          <w:w w:val="115"/>
        </w:rPr>
        <w:t>a</w:t>
      </w:r>
      <w:r>
        <w:rPr>
          <w:color w:val="231F20"/>
          <w:spacing w:val="-8"/>
          <w:w w:val="115"/>
        </w:rPr>
        <w:t> </w:t>
      </w:r>
      <w:r>
        <w:rPr>
          <w:color w:val="231F20"/>
          <w:w w:val="115"/>
        </w:rPr>
        <w:t>ses fondements</w:t>
      </w:r>
      <w:r>
        <w:rPr>
          <w:color w:val="231F20"/>
          <w:spacing w:val="-3"/>
          <w:w w:val="115"/>
        </w:rPr>
        <w:t> </w:t>
      </w:r>
      <w:r>
        <w:rPr>
          <w:color w:val="231F20"/>
          <w:w w:val="115"/>
        </w:rPr>
        <w:t>biologiques</w:t>
      </w:r>
      <w:r>
        <w:rPr>
          <w:color w:val="231F20"/>
          <w:spacing w:val="-3"/>
          <w:w w:val="115"/>
        </w:rPr>
        <w:t> </w:t>
      </w:r>
      <w:r>
        <w:rPr>
          <w:color w:val="231F20"/>
          <w:w w:val="115"/>
        </w:rPr>
        <w:t>dans</w:t>
      </w:r>
      <w:r>
        <w:rPr>
          <w:color w:val="231F20"/>
          <w:spacing w:val="-3"/>
          <w:w w:val="115"/>
        </w:rPr>
        <w:t> </w:t>
      </w:r>
      <w:r>
        <w:rPr>
          <w:color w:val="231F20"/>
          <w:w w:val="115"/>
        </w:rPr>
        <w:t>l’instinct</w:t>
      </w:r>
      <w:r>
        <w:rPr>
          <w:color w:val="231F20"/>
          <w:spacing w:val="-3"/>
          <w:w w:val="115"/>
        </w:rPr>
        <w:t> </w:t>
      </w:r>
      <w:r>
        <w:rPr>
          <w:color w:val="231F20"/>
          <w:w w:val="115"/>
        </w:rPr>
        <w:t>de</w:t>
      </w:r>
      <w:r>
        <w:rPr>
          <w:color w:val="231F20"/>
          <w:spacing w:val="-3"/>
          <w:w w:val="115"/>
        </w:rPr>
        <w:t> </w:t>
      </w:r>
      <w:r>
        <w:rPr>
          <w:color w:val="231F20"/>
          <w:w w:val="115"/>
        </w:rPr>
        <w:t>survie</w:t>
      </w:r>
      <w:r>
        <w:rPr>
          <w:color w:val="231F20"/>
          <w:spacing w:val="-3"/>
          <w:w w:val="115"/>
        </w:rPr>
        <w:t> </w:t>
      </w:r>
      <w:r>
        <w:rPr>
          <w:color w:val="231F20"/>
          <w:w w:val="115"/>
        </w:rPr>
        <w:t>et</w:t>
      </w:r>
      <w:r>
        <w:rPr>
          <w:color w:val="231F20"/>
          <w:spacing w:val="-3"/>
          <w:w w:val="115"/>
        </w:rPr>
        <w:t> </w:t>
      </w:r>
      <w:r>
        <w:rPr>
          <w:color w:val="231F20"/>
          <w:w w:val="115"/>
        </w:rPr>
        <w:t>une</w:t>
      </w:r>
      <w:r>
        <w:rPr>
          <w:color w:val="231F20"/>
          <w:spacing w:val="-3"/>
          <w:w w:val="115"/>
        </w:rPr>
        <w:t> </w:t>
      </w:r>
      <w:r>
        <w:rPr>
          <w:color w:val="231F20"/>
          <w:w w:val="115"/>
        </w:rPr>
        <w:t>quête</w:t>
      </w:r>
      <w:r>
        <w:rPr>
          <w:color w:val="231F20"/>
          <w:spacing w:val="-3"/>
          <w:w w:val="115"/>
        </w:rPr>
        <w:t> </w:t>
      </w:r>
      <w:r>
        <w:rPr>
          <w:color w:val="231F20"/>
          <w:w w:val="115"/>
        </w:rPr>
        <w:t>d’améliora- tion constante, ce que Jean-Jacques Rousseau associait à la perfectibilité. </w:t>
      </w:r>
      <w:r>
        <w:rPr>
          <w:color w:val="231F20"/>
          <w:spacing w:val="-2"/>
          <w:w w:val="120"/>
        </w:rPr>
        <w:t>Chacun</w:t>
      </w:r>
      <w:r>
        <w:rPr>
          <w:color w:val="231F20"/>
          <w:spacing w:val="-6"/>
          <w:w w:val="120"/>
        </w:rPr>
        <w:t> </w:t>
      </w:r>
      <w:r>
        <w:rPr>
          <w:color w:val="231F20"/>
          <w:spacing w:val="-2"/>
          <w:w w:val="120"/>
        </w:rPr>
        <w:t>doit</w:t>
      </w:r>
      <w:r>
        <w:rPr>
          <w:color w:val="231F20"/>
          <w:spacing w:val="-6"/>
          <w:w w:val="120"/>
        </w:rPr>
        <w:t> </w:t>
      </w:r>
      <w:r>
        <w:rPr>
          <w:color w:val="231F20"/>
          <w:spacing w:val="-2"/>
          <w:w w:val="120"/>
        </w:rPr>
        <w:t>s’aimer</w:t>
      </w:r>
      <w:r>
        <w:rPr>
          <w:color w:val="231F20"/>
          <w:spacing w:val="-6"/>
          <w:w w:val="120"/>
        </w:rPr>
        <w:t> </w:t>
      </w:r>
      <w:r>
        <w:rPr>
          <w:color w:val="231F20"/>
          <w:spacing w:val="-2"/>
          <w:w w:val="120"/>
        </w:rPr>
        <w:t>soi-même</w:t>
      </w:r>
      <w:r>
        <w:rPr>
          <w:color w:val="231F20"/>
          <w:spacing w:val="-6"/>
          <w:w w:val="120"/>
        </w:rPr>
        <w:t> </w:t>
      </w:r>
      <w:r>
        <w:rPr>
          <w:color w:val="231F20"/>
          <w:spacing w:val="-2"/>
          <w:w w:val="120"/>
        </w:rPr>
        <w:t>davantage</w:t>
      </w:r>
      <w:r>
        <w:rPr>
          <w:color w:val="231F20"/>
          <w:spacing w:val="-6"/>
          <w:w w:val="120"/>
        </w:rPr>
        <w:t> </w:t>
      </w:r>
      <w:r>
        <w:rPr>
          <w:color w:val="231F20"/>
          <w:spacing w:val="-2"/>
          <w:w w:val="120"/>
        </w:rPr>
        <w:t>ou,</w:t>
      </w:r>
      <w:r>
        <w:rPr>
          <w:color w:val="231F20"/>
          <w:spacing w:val="-6"/>
          <w:w w:val="120"/>
        </w:rPr>
        <w:t> </w:t>
      </w:r>
      <w:r>
        <w:rPr>
          <w:color w:val="231F20"/>
          <w:spacing w:val="-2"/>
          <w:w w:val="120"/>
        </w:rPr>
        <w:t>au</w:t>
      </w:r>
      <w:r>
        <w:rPr>
          <w:color w:val="231F20"/>
          <w:spacing w:val="-6"/>
          <w:w w:val="120"/>
        </w:rPr>
        <w:t> </w:t>
      </w:r>
      <w:r>
        <w:rPr>
          <w:color w:val="231F20"/>
          <w:spacing w:val="-2"/>
          <w:w w:val="120"/>
        </w:rPr>
        <w:t>moins,</w:t>
      </w:r>
      <w:r>
        <w:rPr>
          <w:color w:val="231F20"/>
          <w:spacing w:val="-6"/>
          <w:w w:val="120"/>
        </w:rPr>
        <w:t> </w:t>
      </w:r>
      <w:r>
        <w:rPr>
          <w:color w:val="231F20"/>
          <w:spacing w:val="-2"/>
          <w:w w:val="120"/>
        </w:rPr>
        <w:t>autant</w:t>
      </w:r>
      <w:r>
        <w:rPr>
          <w:color w:val="231F20"/>
          <w:spacing w:val="-6"/>
          <w:w w:val="120"/>
        </w:rPr>
        <w:t> </w:t>
      </w:r>
      <w:r>
        <w:rPr>
          <w:color w:val="231F20"/>
          <w:spacing w:val="-2"/>
          <w:w w:val="120"/>
        </w:rPr>
        <w:t>que</w:t>
      </w:r>
      <w:r>
        <w:rPr>
          <w:color w:val="231F20"/>
          <w:spacing w:val="-7"/>
          <w:w w:val="120"/>
        </w:rPr>
        <w:t> </w:t>
      </w:r>
      <w:r>
        <w:rPr>
          <w:color w:val="231F20"/>
          <w:spacing w:val="-2"/>
          <w:w w:val="120"/>
        </w:rPr>
        <w:t>toute autre</w:t>
      </w:r>
      <w:r>
        <w:rPr>
          <w:color w:val="231F20"/>
          <w:spacing w:val="-6"/>
          <w:w w:val="120"/>
        </w:rPr>
        <w:t> </w:t>
      </w:r>
      <w:r>
        <w:rPr>
          <w:color w:val="231F20"/>
          <w:spacing w:val="-2"/>
          <w:w w:val="120"/>
        </w:rPr>
        <w:t>personne</w:t>
      </w:r>
      <w:r>
        <w:rPr>
          <w:color w:val="231F20"/>
          <w:spacing w:val="-6"/>
          <w:w w:val="120"/>
        </w:rPr>
        <w:t> </w:t>
      </w:r>
      <w:r>
        <w:rPr>
          <w:color w:val="231F20"/>
          <w:spacing w:val="-2"/>
          <w:w w:val="120"/>
        </w:rPr>
        <w:t>ou</w:t>
      </w:r>
      <w:r>
        <w:rPr>
          <w:color w:val="231F20"/>
          <w:spacing w:val="-6"/>
          <w:w w:val="120"/>
        </w:rPr>
        <w:t> </w:t>
      </w:r>
      <w:r>
        <w:rPr>
          <w:color w:val="231F20"/>
          <w:spacing w:val="-2"/>
          <w:w w:val="120"/>
        </w:rPr>
        <w:t>toute</w:t>
      </w:r>
      <w:r>
        <w:rPr>
          <w:color w:val="231F20"/>
          <w:spacing w:val="-6"/>
          <w:w w:val="120"/>
        </w:rPr>
        <w:t> </w:t>
      </w:r>
      <w:r>
        <w:rPr>
          <w:color w:val="231F20"/>
          <w:spacing w:val="-2"/>
          <w:w w:val="120"/>
        </w:rPr>
        <w:t>autre</w:t>
      </w:r>
      <w:r>
        <w:rPr>
          <w:color w:val="231F20"/>
          <w:spacing w:val="-6"/>
          <w:w w:val="120"/>
        </w:rPr>
        <w:t> </w:t>
      </w:r>
      <w:r>
        <w:rPr>
          <w:color w:val="231F20"/>
          <w:spacing w:val="-2"/>
          <w:w w:val="120"/>
        </w:rPr>
        <w:t>chose.</w:t>
      </w:r>
      <w:r>
        <w:rPr>
          <w:color w:val="231F20"/>
          <w:spacing w:val="-6"/>
          <w:w w:val="120"/>
        </w:rPr>
        <w:t> </w:t>
      </w:r>
      <w:r>
        <w:rPr>
          <w:color w:val="231F20"/>
          <w:spacing w:val="-2"/>
          <w:w w:val="120"/>
        </w:rPr>
        <w:t>C’est</w:t>
      </w:r>
      <w:r>
        <w:rPr>
          <w:color w:val="231F20"/>
          <w:spacing w:val="-6"/>
          <w:w w:val="120"/>
        </w:rPr>
        <w:t> </w:t>
      </w:r>
      <w:r>
        <w:rPr>
          <w:color w:val="231F20"/>
          <w:spacing w:val="-2"/>
          <w:w w:val="120"/>
        </w:rPr>
        <w:t>pourquoi</w:t>
      </w:r>
      <w:r>
        <w:rPr>
          <w:color w:val="231F20"/>
          <w:spacing w:val="-6"/>
          <w:w w:val="120"/>
        </w:rPr>
        <w:t> </w:t>
      </w:r>
      <w:r>
        <w:rPr>
          <w:color w:val="231F20"/>
          <w:spacing w:val="-2"/>
          <w:w w:val="120"/>
        </w:rPr>
        <w:t>certains</w:t>
      </w:r>
      <w:r>
        <w:rPr>
          <w:color w:val="231F20"/>
          <w:spacing w:val="-6"/>
          <w:w w:val="120"/>
        </w:rPr>
        <w:t> </w:t>
      </w:r>
      <w:r>
        <w:rPr>
          <w:color w:val="231F20"/>
          <w:spacing w:val="-2"/>
          <w:w w:val="120"/>
        </w:rPr>
        <w:t>recherchent </w:t>
      </w:r>
      <w:r>
        <w:rPr>
          <w:color w:val="231F20"/>
          <w:w w:val="115"/>
        </w:rPr>
        <w:t>parfois</w:t>
      </w:r>
      <w:r>
        <w:rPr>
          <w:color w:val="231F20"/>
          <w:spacing w:val="-1"/>
          <w:w w:val="115"/>
        </w:rPr>
        <w:t> </w:t>
      </w:r>
      <w:r>
        <w:rPr>
          <w:color w:val="231F20"/>
          <w:w w:val="115"/>
        </w:rPr>
        <w:t>leur</w:t>
      </w:r>
      <w:r>
        <w:rPr>
          <w:color w:val="231F20"/>
          <w:spacing w:val="-1"/>
          <w:w w:val="115"/>
        </w:rPr>
        <w:t> </w:t>
      </w:r>
      <w:r>
        <w:rPr>
          <w:color w:val="231F20"/>
          <w:w w:val="115"/>
        </w:rPr>
        <w:t>propre</w:t>
      </w:r>
      <w:r>
        <w:rPr>
          <w:color w:val="231F20"/>
          <w:spacing w:val="-1"/>
          <w:w w:val="115"/>
        </w:rPr>
        <w:t> </w:t>
      </w:r>
      <w:r>
        <w:rPr>
          <w:color w:val="231F20"/>
          <w:w w:val="115"/>
        </w:rPr>
        <w:t>échec,</w:t>
      </w:r>
      <w:r>
        <w:rPr>
          <w:color w:val="231F20"/>
          <w:spacing w:val="-1"/>
          <w:w w:val="115"/>
        </w:rPr>
        <w:t> </w:t>
      </w:r>
      <w:r>
        <w:rPr>
          <w:color w:val="231F20"/>
          <w:w w:val="115"/>
        </w:rPr>
        <w:t>par</w:t>
      </w:r>
      <w:r>
        <w:rPr>
          <w:color w:val="231F20"/>
          <w:spacing w:val="-1"/>
          <w:w w:val="115"/>
        </w:rPr>
        <w:t> </w:t>
      </w:r>
      <w:r>
        <w:rPr>
          <w:color w:val="231F20"/>
          <w:w w:val="115"/>
        </w:rPr>
        <w:t>une</w:t>
      </w:r>
      <w:r>
        <w:rPr>
          <w:color w:val="231F20"/>
          <w:spacing w:val="-1"/>
          <w:w w:val="115"/>
        </w:rPr>
        <w:t> </w:t>
      </w:r>
      <w:r>
        <w:rPr>
          <w:color w:val="231F20"/>
          <w:w w:val="115"/>
        </w:rPr>
        <w:t>dysfonction</w:t>
      </w:r>
      <w:r>
        <w:rPr>
          <w:color w:val="231F20"/>
          <w:spacing w:val="-1"/>
          <w:w w:val="115"/>
        </w:rPr>
        <w:t> </w:t>
      </w:r>
      <w:r>
        <w:rPr>
          <w:color w:val="231F20"/>
          <w:w w:val="115"/>
        </w:rPr>
        <w:t>de</w:t>
      </w:r>
      <w:r>
        <w:rPr>
          <w:color w:val="231F20"/>
          <w:spacing w:val="-1"/>
          <w:w w:val="115"/>
        </w:rPr>
        <w:t> </w:t>
      </w:r>
      <w:r>
        <w:rPr>
          <w:color w:val="231F20"/>
          <w:w w:val="115"/>
        </w:rPr>
        <w:t>l’affirmation</w:t>
      </w:r>
      <w:r>
        <w:rPr>
          <w:color w:val="231F20"/>
          <w:spacing w:val="-1"/>
          <w:w w:val="115"/>
        </w:rPr>
        <w:t> </w:t>
      </w:r>
      <w:r>
        <w:rPr>
          <w:color w:val="231F20"/>
          <w:w w:val="115"/>
        </w:rPr>
        <w:t>de</w:t>
      </w:r>
      <w:r>
        <w:rPr>
          <w:color w:val="231F20"/>
          <w:spacing w:val="-1"/>
          <w:w w:val="115"/>
        </w:rPr>
        <w:t> </w:t>
      </w:r>
      <w:r>
        <w:rPr>
          <w:color w:val="231F20"/>
          <w:w w:val="115"/>
        </w:rPr>
        <w:t>soi.</w:t>
      </w:r>
      <w:r>
        <w:rPr>
          <w:color w:val="231F20"/>
          <w:spacing w:val="-1"/>
          <w:w w:val="115"/>
        </w:rPr>
        <w:t> </w:t>
      </w:r>
      <w:r>
        <w:rPr>
          <w:color w:val="231F20"/>
          <w:w w:val="115"/>
        </w:rPr>
        <w:t>On </w:t>
      </w:r>
      <w:r>
        <w:rPr>
          <w:color w:val="231F20"/>
          <w:w w:val="120"/>
        </w:rPr>
        <w:t>pourrait aussi expliquer de la sorte la règle d’or commune à plusieurs </w:t>
      </w:r>
      <w:r>
        <w:rPr>
          <w:color w:val="231F20"/>
          <w:w w:val="115"/>
        </w:rPr>
        <w:t>religions:</w:t>
      </w:r>
      <w:r>
        <w:rPr>
          <w:color w:val="231F20"/>
          <w:spacing w:val="-4"/>
          <w:w w:val="115"/>
        </w:rPr>
        <w:t> </w:t>
      </w:r>
      <w:r>
        <w:rPr>
          <w:color w:val="231F20"/>
          <w:w w:val="115"/>
        </w:rPr>
        <w:t>«</w:t>
      </w:r>
      <w:r>
        <w:rPr>
          <w:color w:val="231F20"/>
          <w:spacing w:val="-13"/>
          <w:w w:val="115"/>
        </w:rPr>
        <w:t> </w:t>
      </w:r>
      <w:r>
        <w:rPr>
          <w:color w:val="231F20"/>
          <w:w w:val="115"/>
        </w:rPr>
        <w:t>Aime ton prochain comme toi-même». La coïncidence, dans des</w:t>
      </w:r>
      <w:r>
        <w:rPr>
          <w:color w:val="231F20"/>
          <w:spacing w:val="-10"/>
          <w:w w:val="115"/>
        </w:rPr>
        <w:t> </w:t>
      </w:r>
      <w:r>
        <w:rPr>
          <w:color w:val="231F20"/>
          <w:w w:val="115"/>
        </w:rPr>
        <w:t>cultures</w:t>
      </w:r>
      <w:r>
        <w:rPr>
          <w:color w:val="231F20"/>
          <w:spacing w:val="-10"/>
          <w:w w:val="115"/>
        </w:rPr>
        <w:t> </w:t>
      </w:r>
      <w:r>
        <w:rPr>
          <w:color w:val="231F20"/>
          <w:w w:val="115"/>
        </w:rPr>
        <w:t>et</w:t>
      </w:r>
      <w:r>
        <w:rPr>
          <w:color w:val="231F20"/>
          <w:spacing w:val="-10"/>
          <w:w w:val="115"/>
        </w:rPr>
        <w:t> </w:t>
      </w:r>
      <w:r>
        <w:rPr>
          <w:color w:val="231F20"/>
          <w:w w:val="115"/>
        </w:rPr>
        <w:t>des</w:t>
      </w:r>
      <w:r>
        <w:rPr>
          <w:color w:val="231F20"/>
          <w:spacing w:val="-10"/>
          <w:w w:val="115"/>
        </w:rPr>
        <w:t> </w:t>
      </w:r>
      <w:r>
        <w:rPr>
          <w:color w:val="231F20"/>
          <w:w w:val="115"/>
        </w:rPr>
        <w:t>religions</w:t>
      </w:r>
      <w:r>
        <w:rPr>
          <w:color w:val="231F20"/>
          <w:spacing w:val="-10"/>
          <w:w w:val="115"/>
        </w:rPr>
        <w:t> </w:t>
      </w:r>
      <w:r>
        <w:rPr>
          <w:color w:val="231F20"/>
          <w:w w:val="115"/>
        </w:rPr>
        <w:t>variées,</w:t>
      </w:r>
      <w:r>
        <w:rPr>
          <w:color w:val="231F20"/>
          <w:spacing w:val="-10"/>
          <w:w w:val="115"/>
        </w:rPr>
        <w:t> </w:t>
      </w:r>
      <w:r>
        <w:rPr>
          <w:color w:val="231F20"/>
          <w:w w:val="115"/>
        </w:rPr>
        <w:t>de</w:t>
      </w:r>
      <w:r>
        <w:rPr>
          <w:color w:val="231F20"/>
          <w:spacing w:val="-10"/>
          <w:w w:val="115"/>
        </w:rPr>
        <w:t> </w:t>
      </w:r>
      <w:r>
        <w:rPr>
          <w:color w:val="231F20"/>
          <w:w w:val="115"/>
        </w:rPr>
        <w:t>ce</w:t>
      </w:r>
      <w:r>
        <w:rPr>
          <w:color w:val="231F20"/>
          <w:spacing w:val="-10"/>
          <w:w w:val="115"/>
        </w:rPr>
        <w:t> </w:t>
      </w:r>
      <w:r>
        <w:rPr>
          <w:color w:val="231F20"/>
          <w:w w:val="115"/>
        </w:rPr>
        <w:t>grain</w:t>
      </w:r>
      <w:r>
        <w:rPr>
          <w:color w:val="231F20"/>
          <w:spacing w:val="-10"/>
          <w:w w:val="115"/>
        </w:rPr>
        <w:t> </w:t>
      </w:r>
      <w:r>
        <w:rPr>
          <w:color w:val="231F20"/>
          <w:w w:val="115"/>
        </w:rPr>
        <w:t>de</w:t>
      </w:r>
      <w:r>
        <w:rPr>
          <w:color w:val="231F20"/>
          <w:spacing w:val="-10"/>
          <w:w w:val="115"/>
        </w:rPr>
        <w:t> </w:t>
      </w:r>
      <w:r>
        <w:rPr>
          <w:color w:val="231F20"/>
          <w:w w:val="115"/>
        </w:rPr>
        <w:t>sagesse</w:t>
      </w:r>
      <w:r>
        <w:rPr>
          <w:color w:val="231F20"/>
          <w:spacing w:val="-10"/>
          <w:w w:val="115"/>
        </w:rPr>
        <w:t> </w:t>
      </w:r>
      <w:r>
        <w:rPr>
          <w:color w:val="231F20"/>
          <w:w w:val="115"/>
        </w:rPr>
        <w:t>essentiel</w:t>
      </w:r>
      <w:r>
        <w:rPr>
          <w:color w:val="231F20"/>
          <w:spacing w:val="-10"/>
          <w:w w:val="115"/>
        </w:rPr>
        <w:t> </w:t>
      </w:r>
      <w:r>
        <w:rPr>
          <w:color w:val="231F20"/>
          <w:w w:val="115"/>
        </w:rPr>
        <w:t>qu’est la</w:t>
      </w:r>
      <w:r>
        <w:rPr>
          <w:color w:val="231F20"/>
          <w:spacing w:val="-3"/>
          <w:w w:val="115"/>
        </w:rPr>
        <w:t> </w:t>
      </w:r>
      <w:r>
        <w:rPr>
          <w:color w:val="231F20"/>
          <w:w w:val="115"/>
        </w:rPr>
        <w:t>consigne</w:t>
      </w:r>
      <w:r>
        <w:rPr>
          <w:color w:val="231F20"/>
          <w:spacing w:val="-3"/>
          <w:w w:val="115"/>
        </w:rPr>
        <w:t> </w:t>
      </w:r>
      <w:r>
        <w:rPr>
          <w:color w:val="231F20"/>
          <w:w w:val="115"/>
        </w:rPr>
        <w:t>de</w:t>
      </w:r>
      <w:r>
        <w:rPr>
          <w:color w:val="231F20"/>
          <w:spacing w:val="-3"/>
          <w:w w:val="115"/>
        </w:rPr>
        <w:t> </w:t>
      </w:r>
      <w:r>
        <w:rPr>
          <w:color w:val="231F20"/>
          <w:w w:val="115"/>
        </w:rPr>
        <w:t>traiter</w:t>
      </w:r>
      <w:r>
        <w:rPr>
          <w:color w:val="231F20"/>
          <w:spacing w:val="-3"/>
          <w:w w:val="115"/>
        </w:rPr>
        <w:t> </w:t>
      </w:r>
      <w:r>
        <w:rPr>
          <w:color w:val="231F20"/>
          <w:w w:val="115"/>
        </w:rPr>
        <w:t>et</w:t>
      </w:r>
      <w:r>
        <w:rPr>
          <w:color w:val="231F20"/>
          <w:spacing w:val="-3"/>
          <w:w w:val="115"/>
        </w:rPr>
        <w:t> </w:t>
      </w:r>
      <w:r>
        <w:rPr>
          <w:color w:val="231F20"/>
          <w:w w:val="115"/>
        </w:rPr>
        <w:t>d’aimer</w:t>
      </w:r>
      <w:r>
        <w:rPr>
          <w:color w:val="231F20"/>
          <w:spacing w:val="-3"/>
          <w:w w:val="115"/>
        </w:rPr>
        <w:t> </w:t>
      </w:r>
      <w:r>
        <w:rPr>
          <w:color w:val="231F20"/>
          <w:w w:val="115"/>
        </w:rPr>
        <w:t>les</w:t>
      </w:r>
      <w:r>
        <w:rPr>
          <w:color w:val="231F20"/>
          <w:spacing w:val="-3"/>
          <w:w w:val="115"/>
        </w:rPr>
        <w:t> </w:t>
      </w:r>
      <w:r>
        <w:rPr>
          <w:color w:val="231F20"/>
          <w:w w:val="115"/>
        </w:rPr>
        <w:t>autres</w:t>
      </w:r>
      <w:r>
        <w:rPr>
          <w:color w:val="231F20"/>
          <w:spacing w:val="-3"/>
          <w:w w:val="115"/>
        </w:rPr>
        <w:t> </w:t>
      </w:r>
      <w:r>
        <w:rPr>
          <w:color w:val="231F20"/>
          <w:w w:val="115"/>
        </w:rPr>
        <w:t>comme</w:t>
      </w:r>
      <w:r>
        <w:rPr>
          <w:color w:val="231F20"/>
          <w:spacing w:val="-3"/>
          <w:w w:val="115"/>
        </w:rPr>
        <w:t> </w:t>
      </w:r>
      <w:r>
        <w:rPr>
          <w:color w:val="231F20"/>
          <w:w w:val="115"/>
        </w:rPr>
        <w:t>on</w:t>
      </w:r>
      <w:r>
        <w:rPr>
          <w:color w:val="231F20"/>
          <w:spacing w:val="-3"/>
          <w:w w:val="115"/>
        </w:rPr>
        <w:t> </w:t>
      </w:r>
      <w:r>
        <w:rPr>
          <w:color w:val="231F20"/>
          <w:w w:val="115"/>
        </w:rPr>
        <w:t>voudrait</w:t>
      </w:r>
      <w:r>
        <w:rPr>
          <w:color w:val="231F20"/>
          <w:spacing w:val="-3"/>
          <w:w w:val="115"/>
        </w:rPr>
        <w:t> </w:t>
      </w:r>
      <w:r>
        <w:rPr>
          <w:color w:val="231F20"/>
          <w:w w:val="115"/>
        </w:rPr>
        <w:t>qu’ils</w:t>
      </w:r>
      <w:r>
        <w:rPr>
          <w:color w:val="231F20"/>
          <w:spacing w:val="-3"/>
          <w:w w:val="115"/>
        </w:rPr>
        <w:t> </w:t>
      </w:r>
      <w:r>
        <w:rPr>
          <w:color w:val="231F20"/>
          <w:w w:val="115"/>
        </w:rPr>
        <w:t>nous </w:t>
      </w:r>
      <w:r>
        <w:rPr>
          <w:color w:val="231F20"/>
          <w:w w:val="120"/>
        </w:rPr>
        <w:t>traitent et nous aiment, a tout de même de quoi surprendre.</w:t>
      </w:r>
    </w:p>
    <w:p>
      <w:pPr>
        <w:pStyle w:val="BodyText"/>
        <w:rPr>
          <w:sz w:val="20"/>
        </w:rPr>
      </w:pPr>
    </w:p>
    <w:p>
      <w:pPr>
        <w:pStyle w:val="BodyText"/>
        <w:spacing w:before="8"/>
        <w:rPr>
          <w:sz w:val="28"/>
        </w:rPr>
      </w:pPr>
      <w:r>
        <w:rPr/>
        <w:pict>
          <v:shape style="position:absolute;margin-left:82pt;margin-top:17.723486pt;width:287.5pt;height:.1pt;mso-position-horizontal-relative:page;mso-position-vertical-relative:paragraph;z-index:-15657984;mso-wrap-distance-left:0;mso-wrap-distance-right:0" id="docshape818" coordorigin="1640,354" coordsize="5750,0" path="m1640,354l7390,354e" filled="false" stroked="true" strokeweight=".25pt" strokecolor="#231f20">
            <v:path arrowok="t"/>
            <v:stroke dashstyle="shortdot"/>
            <w10:wrap type="topAndBottom"/>
          </v:shape>
        </w:pict>
      </w:r>
    </w:p>
    <w:p>
      <w:pPr>
        <w:pStyle w:val="ListParagraph"/>
        <w:numPr>
          <w:ilvl w:val="0"/>
          <w:numId w:val="63"/>
        </w:numPr>
        <w:tabs>
          <w:tab w:pos="1219" w:val="left" w:leader="none"/>
          <w:tab w:pos="1220" w:val="left" w:leader="none"/>
        </w:tabs>
        <w:spacing w:line="240" w:lineRule="auto" w:before="135" w:after="0"/>
        <w:ind w:left="1219" w:right="0" w:hanging="406"/>
        <w:jc w:val="left"/>
        <w:rPr>
          <w:rFonts w:ascii="Arial" w:hAnsi="Arial"/>
          <w:sz w:val="12"/>
        </w:rPr>
      </w:pPr>
      <w:r>
        <w:rPr>
          <w:rFonts w:ascii="Arial" w:hAnsi="Arial"/>
          <w:color w:val="231F20"/>
          <w:sz w:val="12"/>
        </w:rPr>
        <w:t>Aranguren,</w:t>
      </w:r>
      <w:r>
        <w:rPr>
          <w:rFonts w:ascii="Arial" w:hAnsi="Arial"/>
          <w:color w:val="231F20"/>
          <w:spacing w:val="-9"/>
          <w:sz w:val="12"/>
        </w:rPr>
        <w:t> </w:t>
      </w:r>
      <w:r>
        <w:rPr>
          <w:rFonts w:ascii="Arial" w:hAnsi="Arial"/>
          <w:color w:val="231F20"/>
          <w:sz w:val="12"/>
        </w:rPr>
        <w:t>J.</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A.</w:t>
      </w:r>
      <w:r>
        <w:rPr>
          <w:rFonts w:ascii="Arial" w:hAnsi="Arial"/>
          <w:color w:val="231F20"/>
          <w:spacing w:val="-8"/>
          <w:sz w:val="12"/>
        </w:rPr>
        <w:t> </w:t>
      </w:r>
      <w:r>
        <w:rPr>
          <w:rFonts w:ascii="Arial" w:hAnsi="Arial"/>
          <w:color w:val="231F20"/>
          <w:sz w:val="12"/>
        </w:rPr>
        <w:t>(1975).</w:t>
      </w:r>
      <w:r>
        <w:rPr>
          <w:rFonts w:ascii="Arial" w:hAnsi="Arial"/>
          <w:color w:val="231F20"/>
          <w:spacing w:val="-8"/>
          <w:sz w:val="12"/>
        </w:rPr>
        <w:t> </w:t>
      </w:r>
      <w:r>
        <w:rPr>
          <w:rFonts w:ascii="Arial" w:hAnsi="Arial"/>
          <w:i/>
          <w:color w:val="231F20"/>
          <w:sz w:val="12"/>
        </w:rPr>
        <w:t>Ética</w:t>
      </w:r>
      <w:r>
        <w:rPr>
          <w:rFonts w:ascii="Arial" w:hAnsi="Arial"/>
          <w:color w:val="231F20"/>
          <w:sz w:val="12"/>
        </w:rPr>
        <w:t>,</w:t>
      </w:r>
      <w:r>
        <w:rPr>
          <w:rFonts w:ascii="Arial" w:hAnsi="Arial"/>
          <w:color w:val="231F20"/>
          <w:spacing w:val="-8"/>
          <w:sz w:val="12"/>
        </w:rPr>
        <w:t> </w:t>
      </w:r>
      <w:r>
        <w:rPr>
          <w:rFonts w:ascii="Arial" w:hAnsi="Arial"/>
          <w:color w:val="231F20"/>
          <w:sz w:val="12"/>
        </w:rPr>
        <w:t>Madrid,</w:t>
      </w:r>
      <w:r>
        <w:rPr>
          <w:rFonts w:ascii="Arial" w:hAnsi="Arial"/>
          <w:color w:val="231F20"/>
          <w:spacing w:val="-8"/>
          <w:sz w:val="12"/>
        </w:rPr>
        <w:t> </w:t>
      </w:r>
      <w:r>
        <w:rPr>
          <w:rFonts w:ascii="Arial" w:hAnsi="Arial"/>
          <w:color w:val="231F20"/>
          <w:sz w:val="12"/>
        </w:rPr>
        <w:t>Alianza</w:t>
      </w:r>
      <w:r>
        <w:rPr>
          <w:rFonts w:ascii="Arial" w:hAnsi="Arial"/>
          <w:color w:val="231F20"/>
          <w:spacing w:val="-8"/>
          <w:sz w:val="12"/>
        </w:rPr>
        <w:t> </w:t>
      </w:r>
      <w:r>
        <w:rPr>
          <w:rFonts w:ascii="Arial" w:hAnsi="Arial"/>
          <w:color w:val="231F20"/>
          <w:spacing w:val="-2"/>
          <w:sz w:val="12"/>
        </w:rPr>
        <w:t>Editorial.</w:t>
      </w:r>
    </w:p>
    <w:p>
      <w:pPr>
        <w:spacing w:after="0" w:line="240" w:lineRule="auto"/>
        <w:jc w:val="left"/>
        <w:rPr>
          <w:rFonts w:ascii="Arial" w:hAnsi="Arial"/>
          <w:sz w:val="12"/>
        </w:rPr>
        <w:sectPr>
          <w:footerReference w:type="default" r:id="rId237"/>
          <w:pgSz w:w="8640" w:h="12960"/>
          <w:pgMar w:footer="424" w:header="0" w:top="500" w:bottom="620" w:left="420" w:right="1140"/>
        </w:sectPr>
      </w:pPr>
    </w:p>
    <w:p>
      <w:pPr>
        <w:spacing w:before="103"/>
        <w:ind w:left="1028" w:right="698" w:firstLine="0"/>
        <w:jc w:val="center"/>
        <w:rPr>
          <w:rFonts w:ascii="Arial" w:hAnsi="Arial"/>
          <w:sz w:val="14"/>
        </w:rPr>
      </w:pPr>
      <w:bookmarkStart w:name=" 4.3 / Multiples facettes de l’estime de" w:id="133"/>
      <w:bookmarkEnd w:id="133"/>
      <w:r>
        <w:rPr/>
      </w:r>
      <w:bookmarkStart w:name="_bookmark57" w:id="134"/>
      <w:bookmarkEnd w:id="13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3" w:firstLine="250"/>
        <w:jc w:val="both"/>
      </w:pPr>
      <w:r>
        <w:rPr>
          <w:color w:val="231F20"/>
          <w:w w:val="120"/>
        </w:rPr>
        <w:t>Quoi</w:t>
      </w:r>
      <w:r>
        <w:rPr>
          <w:color w:val="231F20"/>
          <w:spacing w:val="-13"/>
          <w:w w:val="120"/>
        </w:rPr>
        <w:t> </w:t>
      </w:r>
      <w:r>
        <w:rPr>
          <w:color w:val="231F20"/>
          <w:w w:val="120"/>
        </w:rPr>
        <w:t>qu’il</w:t>
      </w:r>
      <w:r>
        <w:rPr>
          <w:color w:val="231F20"/>
          <w:spacing w:val="-12"/>
          <w:w w:val="120"/>
        </w:rPr>
        <w:t> </w:t>
      </w:r>
      <w:r>
        <w:rPr>
          <w:color w:val="231F20"/>
          <w:w w:val="120"/>
        </w:rPr>
        <w:t>en</w:t>
      </w:r>
      <w:r>
        <w:rPr>
          <w:color w:val="231F20"/>
          <w:spacing w:val="-13"/>
          <w:w w:val="120"/>
        </w:rPr>
        <w:t> </w:t>
      </w:r>
      <w:r>
        <w:rPr>
          <w:color w:val="231F20"/>
          <w:w w:val="120"/>
        </w:rPr>
        <w:t>soit,</w:t>
      </w:r>
      <w:r>
        <w:rPr>
          <w:color w:val="231F20"/>
          <w:spacing w:val="-12"/>
          <w:w w:val="120"/>
        </w:rPr>
        <w:t> </w:t>
      </w:r>
      <w:r>
        <w:rPr>
          <w:color w:val="231F20"/>
          <w:w w:val="120"/>
        </w:rPr>
        <w:t>chacun</w:t>
      </w:r>
      <w:r>
        <w:rPr>
          <w:color w:val="231F20"/>
          <w:spacing w:val="-13"/>
          <w:w w:val="120"/>
        </w:rPr>
        <w:t> </w:t>
      </w:r>
      <w:r>
        <w:rPr>
          <w:color w:val="231F20"/>
          <w:w w:val="120"/>
        </w:rPr>
        <w:t>se</w:t>
      </w:r>
      <w:r>
        <w:rPr>
          <w:color w:val="231F20"/>
          <w:spacing w:val="-12"/>
          <w:w w:val="120"/>
        </w:rPr>
        <w:t> </w:t>
      </w:r>
      <w:r>
        <w:rPr>
          <w:color w:val="231F20"/>
          <w:w w:val="120"/>
        </w:rPr>
        <w:t>voit</w:t>
      </w:r>
      <w:r>
        <w:rPr>
          <w:color w:val="231F20"/>
          <w:spacing w:val="-13"/>
          <w:w w:val="120"/>
        </w:rPr>
        <w:t> </w:t>
      </w:r>
      <w:r>
        <w:rPr>
          <w:color w:val="231F20"/>
          <w:w w:val="120"/>
        </w:rPr>
        <w:t>comme</w:t>
      </w:r>
      <w:r>
        <w:rPr>
          <w:color w:val="231F20"/>
          <w:spacing w:val="-12"/>
          <w:w w:val="120"/>
        </w:rPr>
        <w:t> </w:t>
      </w:r>
      <w:r>
        <w:rPr>
          <w:color w:val="231F20"/>
          <w:w w:val="120"/>
        </w:rPr>
        <w:t>un</w:t>
      </w:r>
      <w:r>
        <w:rPr>
          <w:color w:val="231F20"/>
          <w:spacing w:val="-13"/>
          <w:w w:val="120"/>
        </w:rPr>
        <w:t> </w:t>
      </w:r>
      <w:r>
        <w:rPr>
          <w:color w:val="231F20"/>
          <w:w w:val="120"/>
        </w:rPr>
        <w:t>être</w:t>
      </w:r>
      <w:r>
        <w:rPr>
          <w:color w:val="231F20"/>
          <w:spacing w:val="-12"/>
          <w:w w:val="120"/>
        </w:rPr>
        <w:t> </w:t>
      </w:r>
      <w:r>
        <w:rPr>
          <w:color w:val="231F20"/>
          <w:w w:val="120"/>
        </w:rPr>
        <w:t>valable</w:t>
      </w:r>
      <w:r>
        <w:rPr>
          <w:color w:val="231F20"/>
          <w:spacing w:val="-13"/>
          <w:w w:val="120"/>
        </w:rPr>
        <w:t> </w:t>
      </w:r>
      <w:r>
        <w:rPr>
          <w:color w:val="231F20"/>
          <w:w w:val="120"/>
        </w:rPr>
        <w:t>ou</w:t>
      </w:r>
      <w:r>
        <w:rPr>
          <w:color w:val="231F20"/>
          <w:spacing w:val="-12"/>
          <w:w w:val="120"/>
        </w:rPr>
        <w:t> </w:t>
      </w:r>
      <w:r>
        <w:rPr>
          <w:color w:val="231F20"/>
          <w:w w:val="120"/>
        </w:rPr>
        <w:t>non,</w:t>
      </w:r>
      <w:r>
        <w:rPr>
          <w:color w:val="231F20"/>
          <w:spacing w:val="-13"/>
          <w:w w:val="120"/>
        </w:rPr>
        <w:t> </w:t>
      </w:r>
      <w:r>
        <w:rPr>
          <w:color w:val="231F20"/>
          <w:w w:val="120"/>
        </w:rPr>
        <w:t>bon ou</w:t>
      </w:r>
      <w:r>
        <w:rPr>
          <w:color w:val="231F20"/>
          <w:spacing w:val="-13"/>
          <w:w w:val="120"/>
        </w:rPr>
        <w:t> </w:t>
      </w:r>
      <w:r>
        <w:rPr>
          <w:color w:val="231F20"/>
          <w:w w:val="120"/>
        </w:rPr>
        <w:t>mauvais;</w:t>
      </w:r>
      <w:r>
        <w:rPr>
          <w:color w:val="231F20"/>
          <w:spacing w:val="-12"/>
          <w:w w:val="120"/>
        </w:rPr>
        <w:t> </w:t>
      </w:r>
      <w:r>
        <w:rPr>
          <w:color w:val="231F20"/>
          <w:w w:val="120"/>
        </w:rPr>
        <w:t>chacun</w:t>
      </w:r>
      <w:r>
        <w:rPr>
          <w:color w:val="231F20"/>
          <w:spacing w:val="-13"/>
          <w:w w:val="120"/>
        </w:rPr>
        <w:t> </w:t>
      </w:r>
      <w:r>
        <w:rPr>
          <w:color w:val="231F20"/>
          <w:w w:val="120"/>
        </w:rPr>
        <w:t>s’aime</w:t>
      </w:r>
      <w:r>
        <w:rPr>
          <w:color w:val="231F20"/>
          <w:spacing w:val="-12"/>
          <w:w w:val="120"/>
        </w:rPr>
        <w:t> </w:t>
      </w:r>
      <w:r>
        <w:rPr>
          <w:color w:val="231F20"/>
          <w:w w:val="120"/>
        </w:rPr>
        <w:t>ou</w:t>
      </w:r>
      <w:r>
        <w:rPr>
          <w:color w:val="231F20"/>
          <w:spacing w:val="-13"/>
          <w:w w:val="120"/>
        </w:rPr>
        <w:t> </w:t>
      </w:r>
      <w:r>
        <w:rPr>
          <w:color w:val="231F20"/>
          <w:w w:val="120"/>
        </w:rPr>
        <w:t>non</w:t>
      </w:r>
      <w:r>
        <w:rPr>
          <w:color w:val="231F20"/>
          <w:spacing w:val="-12"/>
          <w:w w:val="120"/>
        </w:rPr>
        <w:t> </w:t>
      </w:r>
      <w:r>
        <w:rPr>
          <w:color w:val="231F20"/>
          <w:w w:val="120"/>
        </w:rPr>
        <w:t>dans</w:t>
      </w:r>
      <w:r>
        <w:rPr>
          <w:color w:val="231F20"/>
          <w:spacing w:val="-13"/>
          <w:w w:val="120"/>
        </w:rPr>
        <w:t> </w:t>
      </w:r>
      <w:r>
        <w:rPr>
          <w:color w:val="231F20"/>
          <w:w w:val="120"/>
        </w:rPr>
        <w:t>une</w:t>
      </w:r>
      <w:r>
        <w:rPr>
          <w:color w:val="231F20"/>
          <w:spacing w:val="-12"/>
          <w:w w:val="120"/>
        </w:rPr>
        <w:t> </w:t>
      </w:r>
      <w:r>
        <w:rPr>
          <w:color w:val="231F20"/>
          <w:w w:val="120"/>
        </w:rPr>
        <w:t>certaine</w:t>
      </w:r>
      <w:r>
        <w:rPr>
          <w:color w:val="231F20"/>
          <w:spacing w:val="-13"/>
          <w:w w:val="120"/>
        </w:rPr>
        <w:t> </w:t>
      </w:r>
      <w:r>
        <w:rPr>
          <w:color w:val="231F20"/>
          <w:w w:val="120"/>
        </w:rPr>
        <w:t>mesure</w:t>
      </w:r>
      <w:r>
        <w:rPr>
          <w:color w:val="231F20"/>
          <w:spacing w:val="-12"/>
          <w:w w:val="120"/>
        </w:rPr>
        <w:t> </w:t>
      </w:r>
      <w:r>
        <w:rPr>
          <w:color w:val="231F20"/>
          <w:w w:val="120"/>
        </w:rPr>
        <w:t>et</w:t>
      </w:r>
      <w:r>
        <w:rPr>
          <w:color w:val="231F20"/>
          <w:spacing w:val="-13"/>
          <w:w w:val="120"/>
        </w:rPr>
        <w:t> </w:t>
      </w:r>
      <w:r>
        <w:rPr>
          <w:color w:val="231F20"/>
          <w:w w:val="120"/>
        </w:rPr>
        <w:t>a</w:t>
      </w:r>
      <w:r>
        <w:rPr>
          <w:color w:val="231F20"/>
          <w:spacing w:val="-12"/>
          <w:w w:val="120"/>
        </w:rPr>
        <w:t> </w:t>
      </w:r>
      <w:r>
        <w:rPr>
          <w:color w:val="231F20"/>
          <w:w w:val="120"/>
        </w:rPr>
        <w:t>de</w:t>
      </w:r>
      <w:r>
        <w:rPr>
          <w:color w:val="231F20"/>
          <w:spacing w:val="-13"/>
          <w:w w:val="120"/>
        </w:rPr>
        <w:t> </w:t>
      </w:r>
      <w:r>
        <w:rPr>
          <w:color w:val="231F20"/>
          <w:w w:val="120"/>
        </w:rPr>
        <w:t>soi- </w:t>
      </w:r>
      <w:r>
        <w:rPr>
          <w:color w:val="231F20"/>
          <w:spacing w:val="-2"/>
          <w:w w:val="120"/>
        </w:rPr>
        <w:t>même</w:t>
      </w:r>
      <w:r>
        <w:rPr>
          <w:color w:val="231F20"/>
          <w:spacing w:val="-5"/>
          <w:w w:val="120"/>
        </w:rPr>
        <w:t> </w:t>
      </w:r>
      <w:r>
        <w:rPr>
          <w:color w:val="231F20"/>
          <w:spacing w:val="-2"/>
          <w:w w:val="120"/>
        </w:rPr>
        <w:t>une</w:t>
      </w:r>
      <w:r>
        <w:rPr>
          <w:color w:val="231F20"/>
          <w:spacing w:val="-5"/>
          <w:w w:val="120"/>
        </w:rPr>
        <w:t> </w:t>
      </w:r>
      <w:r>
        <w:rPr>
          <w:color w:val="231F20"/>
          <w:spacing w:val="-2"/>
          <w:w w:val="120"/>
        </w:rPr>
        <w:t>opinion</w:t>
      </w:r>
      <w:r>
        <w:rPr>
          <w:color w:val="231F20"/>
          <w:spacing w:val="-5"/>
          <w:w w:val="120"/>
        </w:rPr>
        <w:t> </w:t>
      </w:r>
      <w:r>
        <w:rPr>
          <w:color w:val="231F20"/>
          <w:spacing w:val="-2"/>
          <w:w w:val="120"/>
        </w:rPr>
        <w:t>plus</w:t>
      </w:r>
      <w:r>
        <w:rPr>
          <w:color w:val="231F20"/>
          <w:spacing w:val="-5"/>
          <w:w w:val="120"/>
        </w:rPr>
        <w:t> </w:t>
      </w:r>
      <w:r>
        <w:rPr>
          <w:color w:val="231F20"/>
          <w:spacing w:val="-2"/>
          <w:w w:val="120"/>
        </w:rPr>
        <w:t>ou</w:t>
      </w:r>
      <w:r>
        <w:rPr>
          <w:color w:val="231F20"/>
          <w:spacing w:val="-5"/>
          <w:w w:val="120"/>
        </w:rPr>
        <w:t> </w:t>
      </w:r>
      <w:r>
        <w:rPr>
          <w:color w:val="231F20"/>
          <w:spacing w:val="-2"/>
          <w:w w:val="120"/>
        </w:rPr>
        <w:t>moins</w:t>
      </w:r>
      <w:r>
        <w:rPr>
          <w:color w:val="231F20"/>
          <w:spacing w:val="-5"/>
          <w:w w:val="120"/>
        </w:rPr>
        <w:t> </w:t>
      </w:r>
      <w:r>
        <w:rPr>
          <w:color w:val="231F20"/>
          <w:spacing w:val="-2"/>
          <w:w w:val="120"/>
        </w:rPr>
        <w:t>élevée,</w:t>
      </w:r>
      <w:r>
        <w:rPr>
          <w:color w:val="231F20"/>
          <w:spacing w:val="-5"/>
          <w:w w:val="120"/>
        </w:rPr>
        <w:t> </w:t>
      </w:r>
      <w:r>
        <w:rPr>
          <w:color w:val="231F20"/>
          <w:spacing w:val="-2"/>
          <w:w w:val="120"/>
        </w:rPr>
        <w:t>selon</w:t>
      </w:r>
      <w:r>
        <w:rPr>
          <w:color w:val="231F20"/>
          <w:spacing w:val="-5"/>
          <w:w w:val="120"/>
        </w:rPr>
        <w:t> </w:t>
      </w:r>
      <w:r>
        <w:rPr>
          <w:color w:val="231F20"/>
          <w:spacing w:val="-2"/>
          <w:w w:val="120"/>
        </w:rPr>
        <w:t>les</w:t>
      </w:r>
      <w:r>
        <w:rPr>
          <w:color w:val="231F20"/>
          <w:spacing w:val="-5"/>
          <w:w w:val="120"/>
        </w:rPr>
        <w:t> </w:t>
      </w:r>
      <w:r>
        <w:rPr>
          <w:color w:val="231F20"/>
          <w:spacing w:val="-2"/>
          <w:w w:val="120"/>
        </w:rPr>
        <w:t>expériences</w:t>
      </w:r>
      <w:r>
        <w:rPr>
          <w:color w:val="231F20"/>
          <w:spacing w:val="-5"/>
          <w:w w:val="120"/>
        </w:rPr>
        <w:t> </w:t>
      </w:r>
      <w:r>
        <w:rPr>
          <w:color w:val="231F20"/>
          <w:spacing w:val="-2"/>
          <w:w w:val="120"/>
        </w:rPr>
        <w:t>positives </w:t>
      </w:r>
      <w:r>
        <w:rPr>
          <w:color w:val="231F20"/>
          <w:w w:val="115"/>
        </w:rPr>
        <w:t>ou</w:t>
      </w:r>
      <w:r>
        <w:rPr>
          <w:color w:val="231F20"/>
          <w:spacing w:val="-4"/>
          <w:w w:val="115"/>
        </w:rPr>
        <w:t> </w:t>
      </w:r>
      <w:r>
        <w:rPr>
          <w:color w:val="231F20"/>
          <w:w w:val="115"/>
        </w:rPr>
        <w:t>négatives</w:t>
      </w:r>
      <w:r>
        <w:rPr>
          <w:color w:val="231F20"/>
          <w:spacing w:val="-4"/>
          <w:w w:val="115"/>
        </w:rPr>
        <w:t> </w:t>
      </w:r>
      <w:r>
        <w:rPr>
          <w:color w:val="231F20"/>
          <w:w w:val="115"/>
        </w:rPr>
        <w:t>qu’il</w:t>
      </w:r>
      <w:r>
        <w:rPr>
          <w:color w:val="231F20"/>
          <w:spacing w:val="-4"/>
          <w:w w:val="115"/>
        </w:rPr>
        <w:t> </w:t>
      </w:r>
      <w:r>
        <w:rPr>
          <w:color w:val="231F20"/>
          <w:w w:val="115"/>
        </w:rPr>
        <w:t>a</w:t>
      </w:r>
      <w:r>
        <w:rPr>
          <w:color w:val="231F20"/>
          <w:spacing w:val="-4"/>
          <w:w w:val="115"/>
        </w:rPr>
        <w:t> </w:t>
      </w:r>
      <w:r>
        <w:rPr>
          <w:color w:val="231F20"/>
          <w:w w:val="115"/>
        </w:rPr>
        <w:t>vécues</w:t>
      </w:r>
      <w:r>
        <w:rPr>
          <w:color w:val="231F20"/>
          <w:spacing w:val="-4"/>
          <w:w w:val="115"/>
        </w:rPr>
        <w:t> </w:t>
      </w:r>
      <w:r>
        <w:rPr>
          <w:color w:val="231F20"/>
          <w:w w:val="115"/>
        </w:rPr>
        <w:t>et</w:t>
      </w:r>
      <w:r>
        <w:rPr>
          <w:color w:val="231F20"/>
          <w:spacing w:val="-4"/>
          <w:w w:val="115"/>
        </w:rPr>
        <w:t> </w:t>
      </w:r>
      <w:r>
        <w:rPr>
          <w:color w:val="231F20"/>
          <w:w w:val="115"/>
        </w:rPr>
        <w:t>sa</w:t>
      </w:r>
      <w:r>
        <w:rPr>
          <w:color w:val="231F20"/>
          <w:spacing w:val="-4"/>
          <w:w w:val="115"/>
        </w:rPr>
        <w:t> </w:t>
      </w:r>
      <w:r>
        <w:rPr>
          <w:color w:val="231F20"/>
          <w:w w:val="115"/>
        </w:rPr>
        <w:t>façon</w:t>
      </w:r>
      <w:r>
        <w:rPr>
          <w:color w:val="231F20"/>
          <w:spacing w:val="-4"/>
          <w:w w:val="115"/>
        </w:rPr>
        <w:t> </w:t>
      </w:r>
      <w:r>
        <w:rPr>
          <w:color w:val="231F20"/>
          <w:w w:val="115"/>
        </w:rPr>
        <w:t>de</w:t>
      </w:r>
      <w:r>
        <w:rPr>
          <w:color w:val="231F20"/>
          <w:spacing w:val="-4"/>
          <w:w w:val="115"/>
        </w:rPr>
        <w:t> </w:t>
      </w:r>
      <w:r>
        <w:rPr>
          <w:color w:val="231F20"/>
          <w:w w:val="115"/>
        </w:rPr>
        <w:t>réagir</w:t>
      </w:r>
      <w:r>
        <w:rPr>
          <w:color w:val="231F20"/>
          <w:spacing w:val="-4"/>
          <w:w w:val="115"/>
        </w:rPr>
        <w:t> </w:t>
      </w:r>
      <w:r>
        <w:rPr>
          <w:color w:val="231F20"/>
          <w:w w:val="115"/>
        </w:rPr>
        <w:t>aux</w:t>
      </w:r>
      <w:r>
        <w:rPr>
          <w:color w:val="231F20"/>
          <w:spacing w:val="-4"/>
          <w:w w:val="115"/>
        </w:rPr>
        <w:t> </w:t>
      </w:r>
      <w:r>
        <w:rPr>
          <w:color w:val="231F20"/>
          <w:w w:val="115"/>
        </w:rPr>
        <w:t>événements.</w:t>
      </w:r>
      <w:r>
        <w:rPr>
          <w:color w:val="231F20"/>
          <w:spacing w:val="-4"/>
          <w:w w:val="115"/>
        </w:rPr>
        <w:t> </w:t>
      </w:r>
      <w:r>
        <w:rPr>
          <w:color w:val="231F20"/>
          <w:w w:val="115"/>
        </w:rPr>
        <w:t>Et</w:t>
      </w:r>
      <w:r>
        <w:rPr>
          <w:color w:val="231F20"/>
          <w:spacing w:val="-4"/>
          <w:w w:val="115"/>
        </w:rPr>
        <w:t> </w:t>
      </w:r>
      <w:r>
        <w:rPr>
          <w:color w:val="231F20"/>
          <w:w w:val="115"/>
        </w:rPr>
        <w:t>natu- </w:t>
      </w:r>
      <w:r>
        <w:rPr>
          <w:color w:val="231F20"/>
          <w:w w:val="120"/>
        </w:rPr>
        <w:t>rellement,</w:t>
      </w:r>
      <w:r>
        <w:rPr>
          <w:color w:val="231F20"/>
          <w:spacing w:val="-10"/>
          <w:w w:val="120"/>
        </w:rPr>
        <w:t> </w:t>
      </w:r>
      <w:r>
        <w:rPr>
          <w:color w:val="231F20"/>
          <w:w w:val="120"/>
        </w:rPr>
        <w:t>cette «</w:t>
      </w:r>
      <w:r>
        <w:rPr>
          <w:color w:val="231F20"/>
          <w:spacing w:val="-13"/>
          <w:w w:val="120"/>
        </w:rPr>
        <w:t> </w:t>
      </w:r>
      <w:r>
        <w:rPr>
          <w:color w:val="231F20"/>
          <w:w w:val="120"/>
        </w:rPr>
        <w:t>attitude» globale envers nous-même va venir teinter nos</w:t>
      </w:r>
      <w:r>
        <w:rPr>
          <w:color w:val="231F20"/>
          <w:spacing w:val="-9"/>
          <w:w w:val="120"/>
        </w:rPr>
        <w:t> </w:t>
      </w:r>
      <w:r>
        <w:rPr>
          <w:color w:val="231F20"/>
          <w:w w:val="120"/>
        </w:rPr>
        <w:t>comportements,</w:t>
      </w:r>
      <w:r>
        <w:rPr>
          <w:color w:val="231F20"/>
          <w:spacing w:val="-9"/>
          <w:w w:val="120"/>
        </w:rPr>
        <w:t> </w:t>
      </w:r>
      <w:r>
        <w:rPr>
          <w:color w:val="231F20"/>
          <w:w w:val="120"/>
        </w:rPr>
        <w:t>nos</w:t>
      </w:r>
      <w:r>
        <w:rPr>
          <w:color w:val="231F20"/>
          <w:spacing w:val="-9"/>
          <w:w w:val="120"/>
        </w:rPr>
        <w:t> </w:t>
      </w:r>
      <w:r>
        <w:rPr>
          <w:color w:val="231F20"/>
          <w:w w:val="120"/>
        </w:rPr>
        <w:t>pensées,</w:t>
      </w:r>
      <w:r>
        <w:rPr>
          <w:color w:val="231F20"/>
          <w:spacing w:val="-9"/>
          <w:w w:val="120"/>
        </w:rPr>
        <w:t> </w:t>
      </w:r>
      <w:r>
        <w:rPr>
          <w:color w:val="231F20"/>
          <w:w w:val="120"/>
        </w:rPr>
        <w:t>nos</w:t>
      </w:r>
      <w:r>
        <w:rPr>
          <w:color w:val="231F20"/>
          <w:spacing w:val="-9"/>
          <w:w w:val="120"/>
        </w:rPr>
        <w:t> </w:t>
      </w:r>
      <w:r>
        <w:rPr>
          <w:color w:val="231F20"/>
          <w:w w:val="120"/>
        </w:rPr>
        <w:t>actions</w:t>
      </w:r>
      <w:r>
        <w:rPr>
          <w:color w:val="231F20"/>
          <w:spacing w:val="-9"/>
          <w:w w:val="120"/>
        </w:rPr>
        <w:t> </w:t>
      </w:r>
      <w:r>
        <w:rPr>
          <w:color w:val="231F20"/>
          <w:w w:val="120"/>
        </w:rPr>
        <w:t>et</w:t>
      </w:r>
      <w:r>
        <w:rPr>
          <w:color w:val="231F20"/>
          <w:spacing w:val="-9"/>
          <w:w w:val="120"/>
        </w:rPr>
        <w:t> </w:t>
      </w:r>
      <w:r>
        <w:rPr>
          <w:color w:val="231F20"/>
          <w:w w:val="120"/>
        </w:rPr>
        <w:t>ultimement</w:t>
      </w:r>
      <w:r>
        <w:rPr>
          <w:color w:val="231F20"/>
          <w:spacing w:val="-9"/>
          <w:w w:val="120"/>
        </w:rPr>
        <w:t> </w:t>
      </w:r>
      <w:r>
        <w:rPr>
          <w:color w:val="231F20"/>
          <w:w w:val="120"/>
        </w:rPr>
        <w:t>notre</w:t>
      </w:r>
      <w:r>
        <w:rPr>
          <w:color w:val="231F20"/>
          <w:spacing w:val="-9"/>
          <w:w w:val="120"/>
        </w:rPr>
        <w:t> </w:t>
      </w:r>
      <w:r>
        <w:rPr>
          <w:color w:val="231F20"/>
          <w:w w:val="120"/>
        </w:rPr>
        <w:t>santé physique et psychologique.</w:t>
      </w:r>
    </w:p>
    <w:p>
      <w:pPr>
        <w:pStyle w:val="BodyText"/>
        <w:rPr>
          <w:sz w:val="24"/>
        </w:rPr>
      </w:pPr>
    </w:p>
    <w:p>
      <w:pPr>
        <w:pStyle w:val="Heading2"/>
        <w:numPr>
          <w:ilvl w:val="1"/>
          <w:numId w:val="62"/>
        </w:numPr>
        <w:tabs>
          <w:tab w:pos="521" w:val="left" w:leader="none"/>
          <w:tab w:pos="829" w:val="left" w:leader="none"/>
        </w:tabs>
        <w:spacing w:line="240" w:lineRule="auto" w:before="184" w:after="0"/>
        <w:ind w:left="520" w:right="0" w:hanging="312"/>
        <w:jc w:val="left"/>
      </w:pPr>
      <w:r>
        <w:rPr>
          <w:b w:val="0"/>
          <w:i/>
          <w:color w:val="231F20"/>
          <w:spacing w:val="-10"/>
        </w:rPr>
        <w:t>/</w:t>
      </w:r>
      <w:r>
        <w:rPr>
          <w:b w:val="0"/>
          <w:i/>
          <w:color w:val="231F20"/>
        </w:rPr>
        <w:tab/>
      </w:r>
      <w:r>
        <w:rPr>
          <w:color w:val="231F20"/>
          <w:w w:val="95"/>
        </w:rPr>
        <w:t>Multiples</w:t>
      </w:r>
      <w:r>
        <w:rPr>
          <w:color w:val="231F20"/>
          <w:spacing w:val="-1"/>
        </w:rPr>
        <w:t> </w:t>
      </w:r>
      <w:r>
        <w:rPr>
          <w:color w:val="231F20"/>
          <w:w w:val="95"/>
        </w:rPr>
        <w:t>facettes</w:t>
      </w:r>
      <w:r>
        <w:rPr>
          <w:color w:val="231F20"/>
        </w:rPr>
        <w:t> </w:t>
      </w:r>
      <w:r>
        <w:rPr>
          <w:color w:val="231F20"/>
          <w:w w:val="95"/>
        </w:rPr>
        <w:t>de</w:t>
      </w:r>
      <w:r>
        <w:rPr>
          <w:color w:val="231F20"/>
        </w:rPr>
        <w:t> </w:t>
      </w:r>
      <w:r>
        <w:rPr>
          <w:color w:val="231F20"/>
          <w:w w:val="95"/>
        </w:rPr>
        <w:t>l’estime</w:t>
      </w:r>
      <w:r>
        <w:rPr>
          <w:color w:val="231F20"/>
          <w:spacing w:val="-1"/>
        </w:rPr>
        <w:t> </w:t>
      </w:r>
      <w:r>
        <w:rPr>
          <w:color w:val="231F20"/>
          <w:w w:val="95"/>
        </w:rPr>
        <w:t>de</w:t>
      </w:r>
      <w:r>
        <w:rPr>
          <w:color w:val="231F20"/>
        </w:rPr>
        <w:t> </w:t>
      </w:r>
      <w:r>
        <w:rPr>
          <w:color w:val="231F20"/>
          <w:spacing w:val="-5"/>
          <w:w w:val="95"/>
        </w:rPr>
        <w:t>soi</w:t>
      </w:r>
    </w:p>
    <w:p>
      <w:pPr>
        <w:pStyle w:val="BodyText"/>
        <w:spacing w:before="9"/>
        <w:rPr>
          <w:rFonts w:ascii="Arial"/>
          <w:b/>
          <w:sz w:val="25"/>
        </w:rPr>
      </w:pPr>
    </w:p>
    <w:p>
      <w:pPr>
        <w:pStyle w:val="BodyText"/>
        <w:spacing w:line="307" w:lineRule="auto" w:before="1"/>
        <w:ind w:left="830" w:right="497"/>
        <w:jc w:val="both"/>
      </w:pPr>
      <w:r>
        <w:rPr>
          <w:color w:val="231F20"/>
          <w:spacing w:val="-2"/>
          <w:w w:val="120"/>
        </w:rPr>
        <w:t>L’estime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est</w:t>
      </w:r>
      <w:r>
        <w:rPr>
          <w:color w:val="231F20"/>
          <w:spacing w:val="-7"/>
          <w:w w:val="120"/>
        </w:rPr>
        <w:t> </w:t>
      </w:r>
      <w:r>
        <w:rPr>
          <w:color w:val="231F20"/>
          <w:spacing w:val="-2"/>
          <w:w w:val="120"/>
        </w:rPr>
        <w:t>par</w:t>
      </w:r>
      <w:r>
        <w:rPr>
          <w:color w:val="231F20"/>
          <w:spacing w:val="-7"/>
          <w:w w:val="120"/>
        </w:rPr>
        <w:t> </w:t>
      </w:r>
      <w:r>
        <w:rPr>
          <w:color w:val="231F20"/>
          <w:spacing w:val="-2"/>
          <w:w w:val="120"/>
        </w:rPr>
        <w:t>définition</w:t>
      </w:r>
      <w:r>
        <w:rPr>
          <w:color w:val="231F20"/>
          <w:spacing w:val="-7"/>
          <w:w w:val="120"/>
        </w:rPr>
        <w:t> </w:t>
      </w:r>
      <w:r>
        <w:rPr>
          <w:color w:val="231F20"/>
          <w:spacing w:val="-2"/>
          <w:w w:val="120"/>
        </w:rPr>
        <w:t>multiple.</w:t>
      </w:r>
      <w:r>
        <w:rPr>
          <w:color w:val="231F20"/>
          <w:spacing w:val="-7"/>
          <w:w w:val="120"/>
        </w:rPr>
        <w:t> </w:t>
      </w:r>
      <w:r>
        <w:rPr>
          <w:color w:val="231F20"/>
          <w:spacing w:val="-2"/>
          <w:w w:val="120"/>
        </w:rPr>
        <w:t>En</w:t>
      </w:r>
      <w:r>
        <w:rPr>
          <w:color w:val="231F20"/>
          <w:spacing w:val="-7"/>
          <w:w w:val="120"/>
        </w:rPr>
        <w:t> </w:t>
      </w:r>
      <w:r>
        <w:rPr>
          <w:color w:val="231F20"/>
          <w:spacing w:val="-2"/>
          <w:w w:val="120"/>
        </w:rPr>
        <w:t>fait,</w:t>
      </w:r>
      <w:r>
        <w:rPr>
          <w:color w:val="231F20"/>
          <w:spacing w:val="-7"/>
          <w:w w:val="120"/>
        </w:rPr>
        <w:t> </w:t>
      </w:r>
      <w:r>
        <w:rPr>
          <w:color w:val="231F20"/>
          <w:spacing w:val="-2"/>
          <w:w w:val="120"/>
        </w:rPr>
        <w:t>elle</w:t>
      </w:r>
      <w:r>
        <w:rPr>
          <w:color w:val="231F20"/>
          <w:spacing w:val="-7"/>
          <w:w w:val="120"/>
        </w:rPr>
        <w:t> </w:t>
      </w:r>
      <w:r>
        <w:rPr>
          <w:color w:val="231F20"/>
          <w:spacing w:val="-2"/>
          <w:w w:val="120"/>
        </w:rPr>
        <w:t>se</w:t>
      </w:r>
      <w:r>
        <w:rPr>
          <w:color w:val="231F20"/>
          <w:spacing w:val="-7"/>
          <w:w w:val="120"/>
        </w:rPr>
        <w:t> </w:t>
      </w:r>
      <w:r>
        <w:rPr>
          <w:color w:val="231F20"/>
          <w:spacing w:val="-2"/>
          <w:w w:val="120"/>
        </w:rPr>
        <w:t>démultiplie</w:t>
      </w:r>
      <w:r>
        <w:rPr>
          <w:color w:val="231F20"/>
          <w:spacing w:val="-7"/>
          <w:w w:val="120"/>
        </w:rPr>
        <w:t> </w:t>
      </w:r>
      <w:r>
        <w:rPr>
          <w:color w:val="231F20"/>
          <w:spacing w:val="-2"/>
          <w:w w:val="120"/>
        </w:rPr>
        <w:t>en </w:t>
      </w:r>
      <w:r>
        <w:rPr>
          <w:color w:val="231F20"/>
          <w:w w:val="115"/>
        </w:rPr>
        <w:t>fonction</w:t>
      </w:r>
      <w:r>
        <w:rPr>
          <w:color w:val="231F20"/>
          <w:spacing w:val="-6"/>
          <w:w w:val="115"/>
        </w:rPr>
        <w:t> </w:t>
      </w:r>
      <w:r>
        <w:rPr>
          <w:color w:val="231F20"/>
          <w:w w:val="115"/>
        </w:rPr>
        <w:t>des</w:t>
      </w:r>
      <w:r>
        <w:rPr>
          <w:color w:val="231F20"/>
          <w:spacing w:val="-6"/>
          <w:w w:val="115"/>
        </w:rPr>
        <w:t> </w:t>
      </w:r>
      <w:r>
        <w:rPr>
          <w:color w:val="231F20"/>
          <w:w w:val="115"/>
        </w:rPr>
        <w:t>diverses</w:t>
      </w:r>
      <w:r>
        <w:rPr>
          <w:color w:val="231F20"/>
          <w:spacing w:val="-6"/>
          <w:w w:val="115"/>
        </w:rPr>
        <w:t> </w:t>
      </w:r>
      <w:r>
        <w:rPr>
          <w:color w:val="231F20"/>
          <w:w w:val="115"/>
        </w:rPr>
        <w:t>dimensions</w:t>
      </w:r>
      <w:r>
        <w:rPr>
          <w:color w:val="231F20"/>
          <w:spacing w:val="-6"/>
          <w:w w:val="115"/>
        </w:rPr>
        <w:t> </w:t>
      </w:r>
      <w:r>
        <w:rPr>
          <w:color w:val="231F20"/>
          <w:w w:val="115"/>
        </w:rPr>
        <w:t>que</w:t>
      </w:r>
      <w:r>
        <w:rPr>
          <w:color w:val="231F20"/>
          <w:spacing w:val="-6"/>
          <w:w w:val="115"/>
        </w:rPr>
        <w:t> </w:t>
      </w:r>
      <w:r>
        <w:rPr>
          <w:color w:val="231F20"/>
          <w:w w:val="115"/>
        </w:rPr>
        <w:t>peut</w:t>
      </w:r>
      <w:r>
        <w:rPr>
          <w:color w:val="231F20"/>
          <w:spacing w:val="-6"/>
          <w:w w:val="115"/>
        </w:rPr>
        <w:t> </w:t>
      </w:r>
      <w:r>
        <w:rPr>
          <w:color w:val="231F20"/>
          <w:w w:val="115"/>
        </w:rPr>
        <w:t>prendre</w:t>
      </w:r>
      <w:r>
        <w:rPr>
          <w:color w:val="231F20"/>
          <w:spacing w:val="-6"/>
          <w:w w:val="115"/>
        </w:rPr>
        <w:t> </w:t>
      </w:r>
      <w:r>
        <w:rPr>
          <w:color w:val="231F20"/>
          <w:w w:val="115"/>
        </w:rPr>
        <w:t>le</w:t>
      </w:r>
      <w:r>
        <w:rPr>
          <w:color w:val="231F20"/>
          <w:spacing w:val="-6"/>
          <w:w w:val="115"/>
        </w:rPr>
        <w:t> </w:t>
      </w:r>
      <w:r>
        <w:rPr>
          <w:color w:val="231F20"/>
          <w:w w:val="115"/>
        </w:rPr>
        <w:t>concept</w:t>
      </w:r>
      <w:r>
        <w:rPr>
          <w:color w:val="231F20"/>
          <w:spacing w:val="-6"/>
          <w:w w:val="115"/>
        </w:rPr>
        <w:t> </w:t>
      </w:r>
      <w:r>
        <w:rPr>
          <w:color w:val="231F20"/>
          <w:w w:val="115"/>
        </w:rPr>
        <w:t>de</w:t>
      </w:r>
      <w:r>
        <w:rPr>
          <w:color w:val="231F20"/>
          <w:spacing w:val="-10"/>
          <w:w w:val="115"/>
        </w:rPr>
        <w:t> </w:t>
      </w:r>
      <w:r>
        <w:rPr>
          <w:i/>
          <w:color w:val="231F20"/>
          <w:w w:val="115"/>
        </w:rPr>
        <w:t>soi</w:t>
      </w:r>
      <w:r>
        <w:rPr>
          <w:color w:val="231F20"/>
          <w:w w:val="115"/>
        </w:rPr>
        <w:t>.</w:t>
      </w:r>
      <w:r>
        <w:rPr>
          <w:color w:val="231F20"/>
          <w:spacing w:val="-6"/>
          <w:w w:val="115"/>
        </w:rPr>
        <w:t> </w:t>
      </w:r>
      <w:r>
        <w:rPr>
          <w:color w:val="231F20"/>
          <w:w w:val="115"/>
        </w:rPr>
        <w:t>Bien </w:t>
      </w:r>
      <w:r>
        <w:rPr>
          <w:color w:val="231F20"/>
          <w:spacing w:val="-2"/>
          <w:w w:val="120"/>
        </w:rPr>
        <w:t>sûr,</w:t>
      </w:r>
      <w:r>
        <w:rPr>
          <w:color w:val="231F20"/>
          <w:spacing w:val="-13"/>
          <w:w w:val="120"/>
        </w:rPr>
        <w:t> </w:t>
      </w:r>
      <w:r>
        <w:rPr>
          <w:color w:val="231F20"/>
          <w:spacing w:val="-2"/>
          <w:w w:val="120"/>
        </w:rPr>
        <w:t>nous</w:t>
      </w:r>
      <w:r>
        <w:rPr>
          <w:color w:val="231F20"/>
          <w:spacing w:val="-11"/>
          <w:w w:val="120"/>
        </w:rPr>
        <w:t> </w:t>
      </w:r>
      <w:r>
        <w:rPr>
          <w:color w:val="231F20"/>
          <w:spacing w:val="-2"/>
          <w:w w:val="120"/>
        </w:rPr>
        <w:t>possédons</w:t>
      </w:r>
      <w:r>
        <w:rPr>
          <w:color w:val="231F20"/>
          <w:spacing w:val="-11"/>
          <w:w w:val="120"/>
        </w:rPr>
        <w:t> </w:t>
      </w:r>
      <w:r>
        <w:rPr>
          <w:color w:val="231F20"/>
          <w:spacing w:val="-2"/>
          <w:w w:val="120"/>
        </w:rPr>
        <w:t>tous</w:t>
      </w:r>
      <w:r>
        <w:rPr>
          <w:color w:val="231F20"/>
          <w:spacing w:val="-10"/>
          <w:w w:val="120"/>
        </w:rPr>
        <w:t> </w:t>
      </w:r>
      <w:r>
        <w:rPr>
          <w:color w:val="231F20"/>
          <w:spacing w:val="-2"/>
          <w:w w:val="120"/>
        </w:rPr>
        <w:t>une</w:t>
      </w:r>
      <w:r>
        <w:rPr>
          <w:color w:val="231F20"/>
          <w:spacing w:val="-11"/>
          <w:w w:val="120"/>
        </w:rPr>
        <w:t> </w:t>
      </w:r>
      <w:r>
        <w:rPr>
          <w:color w:val="231F20"/>
          <w:spacing w:val="-2"/>
          <w:w w:val="120"/>
        </w:rPr>
        <w:t>estime</w:t>
      </w:r>
      <w:r>
        <w:rPr>
          <w:color w:val="231F20"/>
          <w:spacing w:val="-11"/>
          <w:w w:val="120"/>
        </w:rPr>
        <w:t> </w:t>
      </w:r>
      <w:r>
        <w:rPr>
          <w:color w:val="231F20"/>
          <w:spacing w:val="-2"/>
          <w:w w:val="120"/>
        </w:rPr>
        <w:t>de</w:t>
      </w:r>
      <w:r>
        <w:rPr>
          <w:color w:val="231F20"/>
          <w:spacing w:val="-11"/>
          <w:w w:val="120"/>
        </w:rPr>
        <w:t> </w:t>
      </w:r>
      <w:r>
        <w:rPr>
          <w:color w:val="231F20"/>
          <w:spacing w:val="-2"/>
          <w:w w:val="120"/>
        </w:rPr>
        <w:t>soi</w:t>
      </w:r>
      <w:r>
        <w:rPr>
          <w:color w:val="231F20"/>
          <w:spacing w:val="-10"/>
          <w:w w:val="120"/>
        </w:rPr>
        <w:t> </w:t>
      </w:r>
      <w:r>
        <w:rPr>
          <w:color w:val="231F20"/>
          <w:spacing w:val="-2"/>
          <w:w w:val="120"/>
        </w:rPr>
        <w:t>globale</w:t>
      </w:r>
      <w:r>
        <w:rPr>
          <w:color w:val="231F20"/>
          <w:spacing w:val="-11"/>
          <w:w w:val="120"/>
        </w:rPr>
        <w:t> </w:t>
      </w:r>
      <w:r>
        <w:rPr>
          <w:color w:val="231F20"/>
          <w:spacing w:val="-2"/>
          <w:w w:val="120"/>
        </w:rPr>
        <w:t>qui</w:t>
      </w:r>
      <w:r>
        <w:rPr>
          <w:color w:val="231F20"/>
          <w:spacing w:val="-11"/>
          <w:w w:val="120"/>
        </w:rPr>
        <w:t> </w:t>
      </w:r>
      <w:r>
        <w:rPr>
          <w:color w:val="231F20"/>
          <w:spacing w:val="-2"/>
          <w:w w:val="120"/>
        </w:rPr>
        <w:t>est</w:t>
      </w:r>
      <w:r>
        <w:rPr>
          <w:color w:val="231F20"/>
          <w:spacing w:val="-11"/>
          <w:w w:val="120"/>
        </w:rPr>
        <w:t> </w:t>
      </w:r>
      <w:r>
        <w:rPr>
          <w:color w:val="231F20"/>
          <w:spacing w:val="-2"/>
          <w:w w:val="120"/>
        </w:rPr>
        <w:t>une</w:t>
      </w:r>
      <w:r>
        <w:rPr>
          <w:color w:val="231F20"/>
          <w:spacing w:val="-10"/>
          <w:w w:val="120"/>
        </w:rPr>
        <w:t> </w:t>
      </w:r>
      <w:r>
        <w:rPr>
          <w:color w:val="231F20"/>
          <w:spacing w:val="-2"/>
          <w:w w:val="120"/>
        </w:rPr>
        <w:t>agrégation des</w:t>
      </w:r>
      <w:r>
        <w:rPr>
          <w:color w:val="231F20"/>
          <w:spacing w:val="-7"/>
          <w:w w:val="120"/>
        </w:rPr>
        <w:t> </w:t>
      </w:r>
      <w:r>
        <w:rPr>
          <w:color w:val="231F20"/>
          <w:spacing w:val="-2"/>
          <w:w w:val="120"/>
        </w:rPr>
        <w:t>estimes</w:t>
      </w:r>
      <w:r>
        <w:rPr>
          <w:color w:val="231F20"/>
          <w:spacing w:val="-7"/>
          <w:w w:val="120"/>
        </w:rPr>
        <w:t> </w:t>
      </w:r>
      <w:r>
        <w:rPr>
          <w:color w:val="231F20"/>
          <w:spacing w:val="-2"/>
          <w:w w:val="120"/>
        </w:rPr>
        <w:t>que</w:t>
      </w:r>
      <w:r>
        <w:rPr>
          <w:color w:val="231F20"/>
          <w:spacing w:val="-7"/>
          <w:w w:val="120"/>
        </w:rPr>
        <w:t> </w:t>
      </w:r>
      <w:r>
        <w:rPr>
          <w:color w:val="231F20"/>
          <w:spacing w:val="-2"/>
          <w:w w:val="120"/>
        </w:rPr>
        <w:t>l’on</w:t>
      </w:r>
      <w:r>
        <w:rPr>
          <w:color w:val="231F20"/>
          <w:spacing w:val="-7"/>
          <w:w w:val="120"/>
        </w:rPr>
        <w:t> </w:t>
      </w:r>
      <w:r>
        <w:rPr>
          <w:color w:val="231F20"/>
          <w:spacing w:val="-2"/>
          <w:w w:val="120"/>
        </w:rPr>
        <w:t>accorde</w:t>
      </w:r>
      <w:r>
        <w:rPr>
          <w:color w:val="231F20"/>
          <w:spacing w:val="-7"/>
          <w:w w:val="120"/>
        </w:rPr>
        <w:t> </w:t>
      </w:r>
      <w:r>
        <w:rPr>
          <w:color w:val="231F20"/>
          <w:spacing w:val="-2"/>
          <w:w w:val="120"/>
        </w:rPr>
        <w:t>aux</w:t>
      </w:r>
      <w:r>
        <w:rPr>
          <w:color w:val="231F20"/>
          <w:spacing w:val="-7"/>
          <w:w w:val="120"/>
        </w:rPr>
        <w:t> </w:t>
      </w:r>
      <w:r>
        <w:rPr>
          <w:color w:val="231F20"/>
          <w:spacing w:val="-2"/>
          <w:w w:val="120"/>
        </w:rPr>
        <w:t>diverses</w:t>
      </w:r>
      <w:r>
        <w:rPr>
          <w:color w:val="231F20"/>
          <w:spacing w:val="-7"/>
          <w:w w:val="120"/>
        </w:rPr>
        <w:t> </w:t>
      </w:r>
      <w:r>
        <w:rPr>
          <w:color w:val="231F20"/>
          <w:spacing w:val="-2"/>
          <w:w w:val="120"/>
        </w:rPr>
        <w:t>dimensions</w:t>
      </w:r>
      <w:r>
        <w:rPr>
          <w:color w:val="231F20"/>
          <w:spacing w:val="-7"/>
          <w:w w:val="120"/>
        </w:rPr>
        <w:t> </w:t>
      </w:r>
      <w:r>
        <w:rPr>
          <w:color w:val="231F20"/>
          <w:spacing w:val="-2"/>
          <w:w w:val="120"/>
        </w:rPr>
        <w:t>de</w:t>
      </w:r>
      <w:r>
        <w:rPr>
          <w:color w:val="231F20"/>
          <w:spacing w:val="-7"/>
          <w:w w:val="120"/>
        </w:rPr>
        <w:t> </w:t>
      </w:r>
      <w:r>
        <w:rPr>
          <w:color w:val="231F20"/>
          <w:spacing w:val="-2"/>
          <w:w w:val="120"/>
        </w:rPr>
        <w:t>notre</w:t>
      </w:r>
      <w:r>
        <w:rPr>
          <w:color w:val="231F20"/>
          <w:spacing w:val="-7"/>
          <w:w w:val="120"/>
        </w:rPr>
        <w:t> </w:t>
      </w:r>
      <w:r>
        <w:rPr>
          <w:color w:val="231F20"/>
          <w:spacing w:val="-2"/>
          <w:w w:val="120"/>
        </w:rPr>
        <w:t>soi.</w:t>
      </w:r>
      <w:r>
        <w:rPr>
          <w:color w:val="231F20"/>
          <w:spacing w:val="-7"/>
          <w:w w:val="120"/>
        </w:rPr>
        <w:t> </w:t>
      </w:r>
      <w:r>
        <w:rPr>
          <w:color w:val="231F20"/>
          <w:spacing w:val="-2"/>
          <w:w w:val="120"/>
        </w:rPr>
        <w:t>Il</w:t>
      </w:r>
      <w:r>
        <w:rPr>
          <w:color w:val="231F20"/>
          <w:spacing w:val="-7"/>
          <w:w w:val="120"/>
        </w:rPr>
        <w:t> </w:t>
      </w:r>
      <w:r>
        <w:rPr>
          <w:color w:val="231F20"/>
          <w:spacing w:val="-2"/>
          <w:w w:val="120"/>
        </w:rPr>
        <w:t>y</w:t>
      </w:r>
      <w:r>
        <w:rPr>
          <w:color w:val="231F20"/>
          <w:spacing w:val="-7"/>
          <w:w w:val="120"/>
        </w:rPr>
        <w:t> </w:t>
      </w:r>
      <w:r>
        <w:rPr>
          <w:color w:val="231F20"/>
          <w:spacing w:val="-2"/>
          <w:w w:val="120"/>
        </w:rPr>
        <w:t>a </w:t>
      </w:r>
      <w:r>
        <w:rPr>
          <w:color w:val="231F20"/>
          <w:w w:val="115"/>
        </w:rPr>
        <w:t>notre</w:t>
      </w:r>
      <w:r>
        <w:rPr>
          <w:color w:val="231F20"/>
          <w:spacing w:val="-4"/>
          <w:w w:val="115"/>
        </w:rPr>
        <w:t> </w:t>
      </w:r>
      <w:r>
        <w:rPr>
          <w:color w:val="231F20"/>
          <w:w w:val="115"/>
        </w:rPr>
        <w:t>soi</w:t>
      </w:r>
      <w:r>
        <w:rPr>
          <w:color w:val="231F20"/>
          <w:spacing w:val="-4"/>
          <w:w w:val="115"/>
        </w:rPr>
        <w:t> </w:t>
      </w:r>
      <w:r>
        <w:rPr>
          <w:color w:val="231F20"/>
          <w:w w:val="115"/>
        </w:rPr>
        <w:t>réel,</w:t>
      </w:r>
      <w:r>
        <w:rPr>
          <w:color w:val="231F20"/>
          <w:spacing w:val="-4"/>
          <w:w w:val="115"/>
        </w:rPr>
        <w:t> </w:t>
      </w:r>
      <w:r>
        <w:rPr>
          <w:color w:val="231F20"/>
          <w:w w:val="115"/>
        </w:rPr>
        <w:t>mais</w:t>
      </w:r>
      <w:r>
        <w:rPr>
          <w:color w:val="231F20"/>
          <w:spacing w:val="-4"/>
          <w:w w:val="115"/>
        </w:rPr>
        <w:t> </w:t>
      </w:r>
      <w:r>
        <w:rPr>
          <w:color w:val="231F20"/>
          <w:w w:val="115"/>
        </w:rPr>
        <w:t>il</w:t>
      </w:r>
      <w:r>
        <w:rPr>
          <w:color w:val="231F20"/>
          <w:spacing w:val="-4"/>
          <w:w w:val="115"/>
        </w:rPr>
        <w:t> </w:t>
      </w:r>
      <w:r>
        <w:rPr>
          <w:color w:val="231F20"/>
          <w:w w:val="115"/>
        </w:rPr>
        <w:t>y</w:t>
      </w:r>
      <w:r>
        <w:rPr>
          <w:color w:val="231F20"/>
          <w:spacing w:val="-4"/>
          <w:w w:val="115"/>
        </w:rPr>
        <w:t> </w:t>
      </w:r>
      <w:r>
        <w:rPr>
          <w:color w:val="231F20"/>
          <w:w w:val="115"/>
        </w:rPr>
        <w:t>a</w:t>
      </w:r>
      <w:r>
        <w:rPr>
          <w:color w:val="231F20"/>
          <w:spacing w:val="-4"/>
          <w:w w:val="115"/>
        </w:rPr>
        <w:t> </w:t>
      </w:r>
      <w:r>
        <w:rPr>
          <w:color w:val="231F20"/>
          <w:w w:val="115"/>
        </w:rPr>
        <w:t>aussi,</w:t>
      </w:r>
      <w:r>
        <w:rPr>
          <w:color w:val="231F20"/>
          <w:spacing w:val="-4"/>
          <w:w w:val="115"/>
        </w:rPr>
        <w:t> </w:t>
      </w:r>
      <w:r>
        <w:rPr>
          <w:color w:val="231F20"/>
          <w:w w:val="115"/>
        </w:rPr>
        <w:t>à</w:t>
      </w:r>
      <w:r>
        <w:rPr>
          <w:color w:val="231F20"/>
          <w:spacing w:val="-4"/>
          <w:w w:val="115"/>
        </w:rPr>
        <w:t> </w:t>
      </w:r>
      <w:r>
        <w:rPr>
          <w:color w:val="231F20"/>
          <w:w w:val="115"/>
        </w:rPr>
        <w:t>titre</w:t>
      </w:r>
      <w:r>
        <w:rPr>
          <w:color w:val="231F20"/>
          <w:spacing w:val="-4"/>
          <w:w w:val="115"/>
        </w:rPr>
        <w:t> </w:t>
      </w:r>
      <w:r>
        <w:rPr>
          <w:color w:val="231F20"/>
          <w:w w:val="115"/>
        </w:rPr>
        <w:t>d’exemples,</w:t>
      </w:r>
      <w:r>
        <w:rPr>
          <w:color w:val="231F20"/>
          <w:spacing w:val="-4"/>
          <w:w w:val="115"/>
        </w:rPr>
        <w:t> </w:t>
      </w:r>
      <w:r>
        <w:rPr>
          <w:color w:val="231F20"/>
          <w:w w:val="115"/>
        </w:rPr>
        <w:t>notre</w:t>
      </w:r>
      <w:r>
        <w:rPr>
          <w:color w:val="231F20"/>
          <w:spacing w:val="-4"/>
          <w:w w:val="115"/>
        </w:rPr>
        <w:t> </w:t>
      </w:r>
      <w:r>
        <w:rPr>
          <w:color w:val="231F20"/>
          <w:w w:val="115"/>
        </w:rPr>
        <w:t>soi</w:t>
      </w:r>
      <w:r>
        <w:rPr>
          <w:color w:val="231F20"/>
          <w:spacing w:val="-4"/>
          <w:w w:val="115"/>
        </w:rPr>
        <w:t> </w:t>
      </w:r>
      <w:r>
        <w:rPr>
          <w:color w:val="231F20"/>
          <w:w w:val="115"/>
        </w:rPr>
        <w:t>idéal</w:t>
      </w:r>
      <w:r>
        <w:rPr>
          <w:color w:val="231F20"/>
          <w:spacing w:val="-4"/>
          <w:w w:val="115"/>
        </w:rPr>
        <w:t> </w:t>
      </w:r>
      <w:r>
        <w:rPr>
          <w:color w:val="231F20"/>
          <w:w w:val="115"/>
        </w:rPr>
        <w:t>ou</w:t>
      </w:r>
      <w:r>
        <w:rPr>
          <w:color w:val="231F20"/>
          <w:spacing w:val="-4"/>
          <w:w w:val="115"/>
        </w:rPr>
        <w:t> </w:t>
      </w:r>
      <w:r>
        <w:rPr>
          <w:color w:val="231F20"/>
          <w:w w:val="115"/>
        </w:rPr>
        <w:t>notre </w:t>
      </w:r>
      <w:r>
        <w:rPr>
          <w:color w:val="231F20"/>
          <w:w w:val="120"/>
        </w:rPr>
        <w:t>soi public, notre soi privé, ou encore notre soi futur.</w:t>
      </w:r>
    </w:p>
    <w:p>
      <w:pPr>
        <w:pStyle w:val="BodyText"/>
        <w:spacing w:line="307" w:lineRule="auto" w:before="79"/>
        <w:ind w:left="830" w:right="494" w:firstLine="249"/>
        <w:jc w:val="both"/>
      </w:pPr>
      <w:r>
        <w:rPr>
          <w:color w:val="231F20"/>
          <w:w w:val="120"/>
        </w:rPr>
        <w:t>Il est possible de distinguer trois types d’</w:t>
      </w:r>
      <w:r>
        <w:rPr>
          <w:i/>
          <w:color w:val="231F20"/>
          <w:w w:val="120"/>
        </w:rPr>
        <w:t>ego </w:t>
      </w:r>
      <w:r>
        <w:rPr>
          <w:color w:val="231F20"/>
          <w:w w:val="120"/>
        </w:rPr>
        <w:t>(ou de soi) chez les dirigeants et les employés d’une organisation:</w:t>
      </w:r>
    </w:p>
    <w:p>
      <w:pPr>
        <w:pStyle w:val="ListParagraph"/>
        <w:numPr>
          <w:ilvl w:val="2"/>
          <w:numId w:val="62"/>
        </w:numPr>
        <w:tabs>
          <w:tab w:pos="1331" w:val="left" w:leader="none"/>
        </w:tabs>
        <w:spacing w:line="307" w:lineRule="auto" w:before="78" w:after="0"/>
        <w:ind w:left="1330" w:right="494" w:hanging="251"/>
        <w:jc w:val="both"/>
        <w:rPr>
          <w:sz w:val="17"/>
        </w:rPr>
      </w:pPr>
      <w:r>
        <w:rPr>
          <w:color w:val="231F20"/>
          <w:w w:val="115"/>
          <w:sz w:val="17"/>
        </w:rPr>
        <w:t>L’</w:t>
      </w:r>
      <w:r>
        <w:rPr>
          <w:i/>
          <w:color w:val="231F20"/>
          <w:w w:val="115"/>
          <w:sz w:val="17"/>
        </w:rPr>
        <w:t>ego personnage. </w:t>
      </w:r>
      <w:r>
        <w:rPr>
          <w:color w:val="231F20"/>
          <w:w w:val="115"/>
          <w:sz w:val="17"/>
        </w:rPr>
        <w:t>La personne pragmatique, qui sait s’adapter et </w:t>
      </w:r>
      <w:r>
        <w:rPr>
          <w:color w:val="231F20"/>
          <w:w w:val="120"/>
          <w:sz w:val="17"/>
        </w:rPr>
        <w:t>qui génère une estime de soi apparente;</w:t>
      </w:r>
    </w:p>
    <w:p>
      <w:pPr>
        <w:pStyle w:val="ListParagraph"/>
        <w:numPr>
          <w:ilvl w:val="2"/>
          <w:numId w:val="62"/>
        </w:numPr>
        <w:tabs>
          <w:tab w:pos="1331" w:val="left" w:leader="none"/>
        </w:tabs>
        <w:spacing w:line="307" w:lineRule="auto" w:before="79" w:after="0"/>
        <w:ind w:left="1330" w:right="494" w:hanging="251"/>
        <w:jc w:val="both"/>
        <w:rPr>
          <w:sz w:val="17"/>
        </w:rPr>
      </w:pPr>
      <w:r>
        <w:rPr>
          <w:color w:val="231F20"/>
          <w:spacing w:val="-2"/>
          <w:w w:val="115"/>
          <w:sz w:val="17"/>
        </w:rPr>
        <w:t>L’</w:t>
      </w:r>
      <w:r>
        <w:rPr>
          <w:i/>
          <w:color w:val="231F20"/>
          <w:spacing w:val="-2"/>
          <w:w w:val="115"/>
          <w:sz w:val="17"/>
        </w:rPr>
        <w:t>ego</w:t>
      </w:r>
      <w:r>
        <w:rPr>
          <w:i/>
          <w:color w:val="231F20"/>
          <w:spacing w:val="-5"/>
          <w:w w:val="115"/>
          <w:sz w:val="17"/>
        </w:rPr>
        <w:t> </w:t>
      </w:r>
      <w:r>
        <w:rPr>
          <w:i/>
          <w:color w:val="231F20"/>
          <w:spacing w:val="-2"/>
          <w:w w:val="115"/>
          <w:sz w:val="17"/>
        </w:rPr>
        <w:t>rêveur</w:t>
      </w:r>
      <w:r>
        <w:rPr>
          <w:color w:val="231F20"/>
          <w:spacing w:val="-2"/>
          <w:w w:val="115"/>
          <w:sz w:val="17"/>
        </w:rPr>
        <w:t>.</w:t>
      </w:r>
      <w:r>
        <w:rPr>
          <w:color w:val="231F20"/>
          <w:spacing w:val="-6"/>
          <w:w w:val="115"/>
          <w:sz w:val="17"/>
        </w:rPr>
        <w:t> </w:t>
      </w:r>
      <w:r>
        <w:rPr>
          <w:color w:val="231F20"/>
          <w:spacing w:val="-2"/>
          <w:w w:val="115"/>
          <w:sz w:val="17"/>
        </w:rPr>
        <w:t>La</w:t>
      </w:r>
      <w:r>
        <w:rPr>
          <w:color w:val="231F20"/>
          <w:spacing w:val="-6"/>
          <w:w w:val="115"/>
          <w:sz w:val="17"/>
        </w:rPr>
        <w:t> </w:t>
      </w:r>
      <w:r>
        <w:rPr>
          <w:color w:val="231F20"/>
          <w:spacing w:val="-2"/>
          <w:w w:val="115"/>
          <w:sz w:val="17"/>
        </w:rPr>
        <w:t>personne</w:t>
      </w:r>
      <w:r>
        <w:rPr>
          <w:color w:val="231F20"/>
          <w:spacing w:val="-6"/>
          <w:w w:val="115"/>
          <w:sz w:val="17"/>
        </w:rPr>
        <w:t> </w:t>
      </w:r>
      <w:r>
        <w:rPr>
          <w:color w:val="231F20"/>
          <w:spacing w:val="-2"/>
          <w:w w:val="115"/>
          <w:sz w:val="17"/>
        </w:rPr>
        <w:t>créative,</w:t>
      </w:r>
      <w:r>
        <w:rPr>
          <w:color w:val="231F20"/>
          <w:spacing w:val="-6"/>
          <w:w w:val="115"/>
          <w:sz w:val="17"/>
        </w:rPr>
        <w:t> </w:t>
      </w:r>
      <w:r>
        <w:rPr>
          <w:color w:val="231F20"/>
          <w:spacing w:val="-2"/>
          <w:w w:val="115"/>
          <w:sz w:val="17"/>
        </w:rPr>
        <w:t>remplie</w:t>
      </w:r>
      <w:r>
        <w:rPr>
          <w:color w:val="231F20"/>
          <w:spacing w:val="-6"/>
          <w:w w:val="115"/>
          <w:sz w:val="17"/>
        </w:rPr>
        <w:t> </w:t>
      </w:r>
      <w:r>
        <w:rPr>
          <w:color w:val="231F20"/>
          <w:spacing w:val="-2"/>
          <w:w w:val="115"/>
          <w:sz w:val="17"/>
        </w:rPr>
        <w:t>d’espoir,</w:t>
      </w:r>
      <w:r>
        <w:rPr>
          <w:color w:val="231F20"/>
          <w:spacing w:val="-6"/>
          <w:w w:val="115"/>
          <w:sz w:val="17"/>
        </w:rPr>
        <w:t> </w:t>
      </w:r>
      <w:r>
        <w:rPr>
          <w:color w:val="231F20"/>
          <w:spacing w:val="-2"/>
          <w:w w:val="115"/>
          <w:sz w:val="17"/>
        </w:rPr>
        <w:t>qui</w:t>
      </w:r>
      <w:r>
        <w:rPr>
          <w:color w:val="231F20"/>
          <w:spacing w:val="-6"/>
          <w:w w:val="115"/>
          <w:sz w:val="17"/>
        </w:rPr>
        <w:t> </w:t>
      </w:r>
      <w:r>
        <w:rPr>
          <w:color w:val="231F20"/>
          <w:spacing w:val="-2"/>
          <w:w w:val="115"/>
          <w:sz w:val="17"/>
        </w:rPr>
        <w:t>génère</w:t>
      </w:r>
      <w:r>
        <w:rPr>
          <w:color w:val="231F20"/>
          <w:spacing w:val="-6"/>
          <w:w w:val="115"/>
          <w:sz w:val="17"/>
        </w:rPr>
        <w:t> </w:t>
      </w:r>
      <w:r>
        <w:rPr>
          <w:color w:val="231F20"/>
          <w:spacing w:val="-2"/>
          <w:w w:val="115"/>
          <w:sz w:val="17"/>
        </w:rPr>
        <w:t>une </w:t>
      </w:r>
      <w:r>
        <w:rPr>
          <w:color w:val="231F20"/>
          <w:w w:val="120"/>
          <w:sz w:val="17"/>
        </w:rPr>
        <w:t>estime de soi fantasmatique (et qui donne parfois l’impression d’agir dans un monde idéalisé);</w:t>
      </w:r>
    </w:p>
    <w:p>
      <w:pPr>
        <w:pStyle w:val="ListParagraph"/>
        <w:numPr>
          <w:ilvl w:val="2"/>
          <w:numId w:val="62"/>
        </w:numPr>
        <w:tabs>
          <w:tab w:pos="1331" w:val="left" w:leader="none"/>
        </w:tabs>
        <w:spacing w:line="307" w:lineRule="auto" w:before="79" w:after="0"/>
        <w:ind w:left="1330" w:right="494" w:hanging="251"/>
        <w:jc w:val="both"/>
        <w:rPr>
          <w:sz w:val="17"/>
        </w:rPr>
      </w:pPr>
      <w:r>
        <w:rPr>
          <w:color w:val="231F20"/>
          <w:spacing w:val="-2"/>
          <w:w w:val="115"/>
          <w:sz w:val="17"/>
        </w:rPr>
        <w:t>L’</w:t>
      </w:r>
      <w:r>
        <w:rPr>
          <w:i/>
          <w:color w:val="231F20"/>
          <w:spacing w:val="-2"/>
          <w:w w:val="115"/>
          <w:sz w:val="17"/>
        </w:rPr>
        <w:t>ego</w:t>
      </w:r>
      <w:r>
        <w:rPr>
          <w:i/>
          <w:color w:val="231F20"/>
          <w:spacing w:val="-3"/>
          <w:w w:val="115"/>
          <w:sz w:val="17"/>
        </w:rPr>
        <w:t> </w:t>
      </w:r>
      <w:r>
        <w:rPr>
          <w:i/>
          <w:color w:val="231F20"/>
          <w:spacing w:val="-2"/>
          <w:w w:val="115"/>
          <w:sz w:val="17"/>
        </w:rPr>
        <w:t>conscience.</w:t>
      </w:r>
      <w:r>
        <w:rPr>
          <w:i/>
          <w:color w:val="231F20"/>
          <w:spacing w:val="-3"/>
          <w:w w:val="115"/>
          <w:sz w:val="17"/>
        </w:rPr>
        <w:t> </w:t>
      </w:r>
      <w:r>
        <w:rPr>
          <w:color w:val="231F20"/>
          <w:spacing w:val="-2"/>
          <w:w w:val="115"/>
          <w:sz w:val="17"/>
        </w:rPr>
        <w:t>La</w:t>
      </w:r>
      <w:r>
        <w:rPr>
          <w:color w:val="231F20"/>
          <w:spacing w:val="-3"/>
          <w:w w:val="115"/>
          <w:sz w:val="17"/>
        </w:rPr>
        <w:t> </w:t>
      </w:r>
      <w:r>
        <w:rPr>
          <w:color w:val="231F20"/>
          <w:spacing w:val="-2"/>
          <w:w w:val="115"/>
          <w:sz w:val="17"/>
        </w:rPr>
        <w:t>personne</w:t>
      </w:r>
      <w:r>
        <w:rPr>
          <w:color w:val="231F20"/>
          <w:spacing w:val="-3"/>
          <w:w w:val="115"/>
          <w:sz w:val="17"/>
        </w:rPr>
        <w:t> </w:t>
      </w:r>
      <w:r>
        <w:rPr>
          <w:color w:val="231F20"/>
          <w:spacing w:val="-2"/>
          <w:w w:val="115"/>
          <w:sz w:val="17"/>
        </w:rPr>
        <w:t>vraiment</w:t>
      </w:r>
      <w:r>
        <w:rPr>
          <w:color w:val="231F20"/>
          <w:spacing w:val="-3"/>
          <w:w w:val="115"/>
          <w:sz w:val="17"/>
        </w:rPr>
        <w:t> </w:t>
      </w:r>
      <w:r>
        <w:rPr>
          <w:color w:val="231F20"/>
          <w:spacing w:val="-2"/>
          <w:w w:val="115"/>
          <w:sz w:val="17"/>
        </w:rPr>
        <w:t>soucieuse</w:t>
      </w:r>
      <w:r>
        <w:rPr>
          <w:color w:val="231F20"/>
          <w:spacing w:val="-3"/>
          <w:w w:val="115"/>
          <w:sz w:val="17"/>
        </w:rPr>
        <w:t> </w:t>
      </w:r>
      <w:r>
        <w:rPr>
          <w:color w:val="231F20"/>
          <w:spacing w:val="-2"/>
          <w:w w:val="115"/>
          <w:sz w:val="17"/>
        </w:rPr>
        <w:t>d’autrui</w:t>
      </w:r>
      <w:r>
        <w:rPr>
          <w:color w:val="231F20"/>
          <w:spacing w:val="-3"/>
          <w:w w:val="115"/>
          <w:sz w:val="17"/>
        </w:rPr>
        <w:t> </w:t>
      </w:r>
      <w:r>
        <w:rPr>
          <w:color w:val="231F20"/>
          <w:spacing w:val="-2"/>
          <w:w w:val="115"/>
          <w:sz w:val="17"/>
        </w:rPr>
        <w:t>et</w:t>
      </w:r>
      <w:r>
        <w:rPr>
          <w:color w:val="231F20"/>
          <w:spacing w:val="-3"/>
          <w:w w:val="115"/>
          <w:sz w:val="17"/>
        </w:rPr>
        <w:t> </w:t>
      </w:r>
      <w:r>
        <w:rPr>
          <w:color w:val="231F20"/>
          <w:spacing w:val="-2"/>
          <w:w w:val="115"/>
          <w:sz w:val="17"/>
        </w:rPr>
        <w:t>orien- </w:t>
      </w:r>
      <w:r>
        <w:rPr>
          <w:color w:val="231F20"/>
          <w:w w:val="120"/>
          <w:sz w:val="17"/>
        </w:rPr>
        <w:t>tée</w:t>
      </w:r>
      <w:r>
        <w:rPr>
          <w:color w:val="231F20"/>
          <w:spacing w:val="-6"/>
          <w:w w:val="120"/>
          <w:sz w:val="17"/>
        </w:rPr>
        <w:t> </w:t>
      </w:r>
      <w:r>
        <w:rPr>
          <w:color w:val="231F20"/>
          <w:w w:val="120"/>
          <w:sz w:val="17"/>
        </w:rPr>
        <w:t>sur</w:t>
      </w:r>
      <w:r>
        <w:rPr>
          <w:color w:val="231F20"/>
          <w:spacing w:val="-6"/>
          <w:w w:val="120"/>
          <w:sz w:val="17"/>
        </w:rPr>
        <w:t> </w:t>
      </w:r>
      <w:r>
        <w:rPr>
          <w:color w:val="231F20"/>
          <w:w w:val="120"/>
          <w:sz w:val="17"/>
        </w:rPr>
        <w:t>l’éthique,</w:t>
      </w:r>
      <w:r>
        <w:rPr>
          <w:color w:val="231F20"/>
          <w:spacing w:val="-6"/>
          <w:w w:val="120"/>
          <w:sz w:val="17"/>
        </w:rPr>
        <w:t> </w:t>
      </w:r>
      <w:r>
        <w:rPr>
          <w:color w:val="231F20"/>
          <w:w w:val="120"/>
          <w:sz w:val="17"/>
        </w:rPr>
        <w:t>qui</w:t>
      </w:r>
      <w:r>
        <w:rPr>
          <w:color w:val="231F20"/>
          <w:spacing w:val="-6"/>
          <w:w w:val="120"/>
          <w:sz w:val="17"/>
        </w:rPr>
        <w:t> </w:t>
      </w:r>
      <w:r>
        <w:rPr>
          <w:color w:val="231F20"/>
          <w:w w:val="120"/>
          <w:sz w:val="17"/>
        </w:rPr>
        <w:t>génère</w:t>
      </w:r>
      <w:r>
        <w:rPr>
          <w:color w:val="231F20"/>
          <w:spacing w:val="-6"/>
          <w:w w:val="120"/>
          <w:sz w:val="17"/>
        </w:rPr>
        <w:t> </w:t>
      </w:r>
      <w:r>
        <w:rPr>
          <w:color w:val="231F20"/>
          <w:w w:val="120"/>
          <w:sz w:val="17"/>
        </w:rPr>
        <w:t>l’estime</w:t>
      </w:r>
      <w:r>
        <w:rPr>
          <w:color w:val="231F20"/>
          <w:spacing w:val="-6"/>
          <w:w w:val="120"/>
          <w:sz w:val="17"/>
        </w:rPr>
        <w:t> </w:t>
      </w:r>
      <w:r>
        <w:rPr>
          <w:color w:val="231F20"/>
          <w:w w:val="120"/>
          <w:sz w:val="17"/>
        </w:rPr>
        <w:t>de</w:t>
      </w:r>
      <w:r>
        <w:rPr>
          <w:color w:val="231F20"/>
          <w:spacing w:val="-6"/>
          <w:w w:val="120"/>
          <w:sz w:val="17"/>
        </w:rPr>
        <w:t> </w:t>
      </w:r>
      <w:r>
        <w:rPr>
          <w:color w:val="231F20"/>
          <w:w w:val="120"/>
          <w:sz w:val="17"/>
        </w:rPr>
        <w:t>soi</w:t>
      </w:r>
      <w:r>
        <w:rPr>
          <w:color w:val="231F20"/>
          <w:spacing w:val="-6"/>
          <w:w w:val="120"/>
          <w:sz w:val="17"/>
        </w:rPr>
        <w:t> </w:t>
      </w:r>
      <w:r>
        <w:rPr>
          <w:color w:val="231F20"/>
          <w:w w:val="120"/>
          <w:sz w:val="17"/>
        </w:rPr>
        <w:t>la</w:t>
      </w:r>
      <w:r>
        <w:rPr>
          <w:color w:val="231F20"/>
          <w:spacing w:val="-6"/>
          <w:w w:val="120"/>
          <w:sz w:val="17"/>
        </w:rPr>
        <w:t> </w:t>
      </w:r>
      <w:r>
        <w:rPr>
          <w:color w:val="231F20"/>
          <w:w w:val="120"/>
          <w:sz w:val="17"/>
        </w:rPr>
        <w:t>plus</w:t>
      </w:r>
      <w:r>
        <w:rPr>
          <w:color w:val="231F20"/>
          <w:spacing w:val="-6"/>
          <w:w w:val="120"/>
          <w:sz w:val="17"/>
        </w:rPr>
        <w:t> </w:t>
      </w:r>
      <w:r>
        <w:rPr>
          <w:color w:val="231F20"/>
          <w:w w:val="120"/>
          <w:sz w:val="17"/>
        </w:rPr>
        <w:t>profonde</w:t>
      </w:r>
      <w:r>
        <w:rPr>
          <w:color w:val="231F20"/>
          <w:spacing w:val="-6"/>
          <w:w w:val="120"/>
          <w:sz w:val="17"/>
        </w:rPr>
        <w:t> </w:t>
      </w:r>
      <w:r>
        <w:rPr>
          <w:color w:val="231F20"/>
          <w:w w:val="120"/>
          <w:sz w:val="17"/>
        </w:rPr>
        <w:t>et</w:t>
      </w:r>
      <w:r>
        <w:rPr>
          <w:color w:val="231F20"/>
          <w:spacing w:val="-6"/>
          <w:w w:val="120"/>
          <w:sz w:val="17"/>
        </w:rPr>
        <w:t> </w:t>
      </w:r>
      <w:r>
        <w:rPr>
          <w:color w:val="231F20"/>
          <w:w w:val="120"/>
          <w:sz w:val="17"/>
        </w:rPr>
        <w:t>la plus</w:t>
      </w:r>
      <w:r>
        <w:rPr>
          <w:color w:val="231F20"/>
          <w:spacing w:val="-13"/>
          <w:w w:val="120"/>
          <w:sz w:val="17"/>
        </w:rPr>
        <w:t> </w:t>
      </w:r>
      <w:r>
        <w:rPr>
          <w:color w:val="231F20"/>
          <w:w w:val="120"/>
          <w:sz w:val="17"/>
        </w:rPr>
        <w:t>fondamentale.</w:t>
      </w:r>
    </w:p>
    <w:p>
      <w:pPr>
        <w:pStyle w:val="BodyText"/>
        <w:spacing w:line="307" w:lineRule="auto" w:before="79"/>
        <w:ind w:left="830" w:right="497"/>
        <w:jc w:val="both"/>
      </w:pPr>
      <w:r>
        <w:rPr>
          <w:color w:val="231F20"/>
          <w:w w:val="120"/>
        </w:rPr>
        <w:t>Ces caractères concordent bien avec le modèle psychodynamique des </w:t>
      </w:r>
      <w:r>
        <w:rPr>
          <w:color w:val="231F20"/>
          <w:w w:val="115"/>
        </w:rPr>
        <w:t>instances</w:t>
      </w:r>
      <w:r>
        <w:rPr>
          <w:color w:val="231F20"/>
          <w:spacing w:val="-9"/>
          <w:w w:val="115"/>
        </w:rPr>
        <w:t> </w:t>
      </w:r>
      <w:r>
        <w:rPr>
          <w:color w:val="231F20"/>
          <w:w w:val="115"/>
        </w:rPr>
        <w:t>psychiques</w:t>
      </w:r>
      <w:r>
        <w:rPr>
          <w:color w:val="231F20"/>
          <w:spacing w:val="-9"/>
          <w:w w:val="115"/>
        </w:rPr>
        <w:t> </w:t>
      </w:r>
      <w:r>
        <w:rPr>
          <w:color w:val="231F20"/>
          <w:w w:val="115"/>
        </w:rPr>
        <w:t>de</w:t>
      </w:r>
      <w:r>
        <w:rPr>
          <w:color w:val="231F20"/>
          <w:spacing w:val="-9"/>
          <w:w w:val="115"/>
        </w:rPr>
        <w:t> </w:t>
      </w:r>
      <w:r>
        <w:rPr>
          <w:color w:val="231F20"/>
          <w:w w:val="115"/>
        </w:rPr>
        <w:t>Freud,</w:t>
      </w:r>
      <w:r>
        <w:rPr>
          <w:color w:val="231F20"/>
          <w:spacing w:val="-9"/>
          <w:w w:val="115"/>
        </w:rPr>
        <w:t> </w:t>
      </w:r>
      <w:r>
        <w:rPr>
          <w:color w:val="231F20"/>
          <w:w w:val="115"/>
        </w:rPr>
        <w:t>pour</w:t>
      </w:r>
      <w:r>
        <w:rPr>
          <w:color w:val="231F20"/>
          <w:spacing w:val="-9"/>
          <w:w w:val="115"/>
        </w:rPr>
        <w:t> </w:t>
      </w:r>
      <w:r>
        <w:rPr>
          <w:color w:val="231F20"/>
          <w:w w:val="115"/>
        </w:rPr>
        <w:t>qui</w:t>
      </w:r>
      <w:r>
        <w:rPr>
          <w:color w:val="231F20"/>
          <w:spacing w:val="-9"/>
          <w:w w:val="115"/>
        </w:rPr>
        <w:t> </w:t>
      </w:r>
      <w:r>
        <w:rPr>
          <w:color w:val="231F20"/>
          <w:w w:val="115"/>
        </w:rPr>
        <w:t>la</w:t>
      </w:r>
      <w:r>
        <w:rPr>
          <w:color w:val="231F20"/>
          <w:spacing w:val="-9"/>
          <w:w w:val="115"/>
        </w:rPr>
        <w:t> </w:t>
      </w:r>
      <w:r>
        <w:rPr>
          <w:color w:val="231F20"/>
          <w:w w:val="115"/>
        </w:rPr>
        <w:t>théorie</w:t>
      </w:r>
      <w:r>
        <w:rPr>
          <w:color w:val="231F20"/>
          <w:spacing w:val="-9"/>
          <w:w w:val="115"/>
        </w:rPr>
        <w:t> </w:t>
      </w:r>
      <w:r>
        <w:rPr>
          <w:color w:val="231F20"/>
          <w:w w:val="115"/>
        </w:rPr>
        <w:t>de</w:t>
      </w:r>
      <w:r>
        <w:rPr>
          <w:color w:val="231F20"/>
          <w:spacing w:val="-9"/>
          <w:w w:val="115"/>
        </w:rPr>
        <w:t> </w:t>
      </w:r>
      <w:r>
        <w:rPr>
          <w:color w:val="231F20"/>
          <w:w w:val="115"/>
        </w:rPr>
        <w:t>l’agir</w:t>
      </w:r>
      <w:r>
        <w:rPr>
          <w:color w:val="231F20"/>
          <w:spacing w:val="-9"/>
          <w:w w:val="115"/>
        </w:rPr>
        <w:t> </w:t>
      </w:r>
      <w:r>
        <w:rPr>
          <w:color w:val="231F20"/>
          <w:w w:val="115"/>
        </w:rPr>
        <w:t>humain</w:t>
      </w:r>
      <w:r>
        <w:rPr>
          <w:color w:val="231F20"/>
          <w:spacing w:val="-9"/>
          <w:w w:val="115"/>
        </w:rPr>
        <w:t> </w:t>
      </w:r>
      <w:r>
        <w:rPr>
          <w:color w:val="231F20"/>
          <w:w w:val="115"/>
        </w:rPr>
        <w:t>repose </w:t>
      </w:r>
      <w:r>
        <w:rPr>
          <w:color w:val="231F20"/>
          <w:w w:val="120"/>
        </w:rPr>
        <w:t>sur trois composantes de la personnalité:</w:t>
      </w:r>
    </w:p>
    <w:p>
      <w:pPr>
        <w:pStyle w:val="ListParagraph"/>
        <w:numPr>
          <w:ilvl w:val="0"/>
          <w:numId w:val="64"/>
        </w:numPr>
        <w:tabs>
          <w:tab w:pos="1331" w:val="left" w:leader="none"/>
        </w:tabs>
        <w:spacing w:line="307" w:lineRule="auto" w:before="79" w:after="0"/>
        <w:ind w:left="1330" w:right="490" w:hanging="251"/>
        <w:jc w:val="both"/>
        <w:rPr>
          <w:sz w:val="17"/>
        </w:rPr>
      </w:pPr>
      <w:r>
        <w:rPr>
          <w:color w:val="231F20"/>
          <w:w w:val="115"/>
          <w:sz w:val="17"/>
        </w:rPr>
        <w:t>Le</w:t>
      </w:r>
      <w:r>
        <w:rPr>
          <w:color w:val="231F20"/>
          <w:spacing w:val="-7"/>
          <w:w w:val="115"/>
          <w:sz w:val="17"/>
        </w:rPr>
        <w:t> </w:t>
      </w:r>
      <w:r>
        <w:rPr>
          <w:i/>
          <w:color w:val="231F20"/>
          <w:w w:val="115"/>
          <w:sz w:val="17"/>
        </w:rPr>
        <w:t>Ça</w:t>
      </w:r>
      <w:r>
        <w:rPr>
          <w:i/>
          <w:color w:val="231F20"/>
          <w:spacing w:val="-7"/>
          <w:w w:val="115"/>
          <w:sz w:val="17"/>
        </w:rPr>
        <w:t> </w:t>
      </w:r>
      <w:r>
        <w:rPr>
          <w:color w:val="231F20"/>
          <w:w w:val="115"/>
          <w:sz w:val="17"/>
        </w:rPr>
        <w:t>qui</w:t>
      </w:r>
      <w:r>
        <w:rPr>
          <w:color w:val="231F20"/>
          <w:spacing w:val="-8"/>
          <w:w w:val="115"/>
          <w:sz w:val="17"/>
        </w:rPr>
        <w:t> </w:t>
      </w:r>
      <w:r>
        <w:rPr>
          <w:color w:val="231F20"/>
          <w:w w:val="115"/>
          <w:sz w:val="17"/>
        </w:rPr>
        <w:t>représente</w:t>
      </w:r>
      <w:r>
        <w:rPr>
          <w:color w:val="231F20"/>
          <w:spacing w:val="-8"/>
          <w:w w:val="115"/>
          <w:sz w:val="17"/>
        </w:rPr>
        <w:t> </w:t>
      </w:r>
      <w:r>
        <w:rPr>
          <w:color w:val="231F20"/>
          <w:w w:val="115"/>
          <w:sz w:val="17"/>
        </w:rPr>
        <w:t>un</w:t>
      </w:r>
      <w:r>
        <w:rPr>
          <w:color w:val="231F20"/>
          <w:spacing w:val="-8"/>
          <w:w w:val="115"/>
          <w:sz w:val="17"/>
        </w:rPr>
        <w:t> </w:t>
      </w:r>
      <w:r>
        <w:rPr>
          <w:color w:val="231F20"/>
          <w:w w:val="115"/>
          <w:sz w:val="17"/>
        </w:rPr>
        <w:t>réservoir</w:t>
      </w:r>
      <w:r>
        <w:rPr>
          <w:color w:val="231F20"/>
          <w:spacing w:val="-8"/>
          <w:w w:val="115"/>
          <w:sz w:val="17"/>
        </w:rPr>
        <w:t> </w:t>
      </w:r>
      <w:r>
        <w:rPr>
          <w:color w:val="231F20"/>
          <w:w w:val="115"/>
          <w:sz w:val="17"/>
        </w:rPr>
        <w:t>d’énergie</w:t>
      </w:r>
      <w:r>
        <w:rPr>
          <w:color w:val="231F20"/>
          <w:spacing w:val="-8"/>
          <w:w w:val="115"/>
          <w:sz w:val="17"/>
        </w:rPr>
        <w:t> </w:t>
      </w:r>
      <w:r>
        <w:rPr>
          <w:color w:val="231F20"/>
          <w:w w:val="115"/>
          <w:sz w:val="17"/>
        </w:rPr>
        <w:t>psychique</w:t>
      </w:r>
      <w:r>
        <w:rPr>
          <w:color w:val="231F20"/>
          <w:spacing w:val="-8"/>
          <w:w w:val="115"/>
          <w:sz w:val="17"/>
        </w:rPr>
        <w:t> </w:t>
      </w:r>
      <w:r>
        <w:rPr>
          <w:color w:val="231F20"/>
          <w:w w:val="115"/>
          <w:sz w:val="17"/>
        </w:rPr>
        <w:t>inconsciente </w:t>
      </w:r>
      <w:r>
        <w:rPr>
          <w:color w:val="231F20"/>
          <w:w w:val="120"/>
          <w:sz w:val="17"/>
        </w:rPr>
        <w:t>qui s’efforce de satisfaire les pulsions sexuelles et agressives fondamentales et qui, suivant le principe du plaisir, exige une gratification</w:t>
      </w:r>
      <w:r>
        <w:rPr>
          <w:color w:val="231F20"/>
          <w:spacing w:val="-13"/>
          <w:w w:val="120"/>
          <w:sz w:val="17"/>
        </w:rPr>
        <w:t> </w:t>
      </w:r>
      <w:r>
        <w:rPr>
          <w:color w:val="231F20"/>
          <w:w w:val="120"/>
          <w:sz w:val="17"/>
        </w:rPr>
        <w:t>immédiate;</w:t>
      </w:r>
    </w:p>
    <w:p>
      <w:pPr>
        <w:pStyle w:val="ListParagraph"/>
        <w:numPr>
          <w:ilvl w:val="0"/>
          <w:numId w:val="64"/>
        </w:numPr>
        <w:tabs>
          <w:tab w:pos="1331" w:val="left" w:leader="none"/>
        </w:tabs>
        <w:spacing w:line="307" w:lineRule="auto" w:before="79" w:after="0"/>
        <w:ind w:left="1330" w:right="496" w:hanging="251"/>
        <w:jc w:val="both"/>
        <w:rPr>
          <w:sz w:val="17"/>
        </w:rPr>
      </w:pPr>
      <w:r>
        <w:rPr>
          <w:color w:val="231F20"/>
          <w:w w:val="120"/>
          <w:sz w:val="17"/>
        </w:rPr>
        <w:t>Le </w:t>
      </w:r>
      <w:r>
        <w:rPr>
          <w:i/>
          <w:color w:val="231F20"/>
          <w:w w:val="120"/>
          <w:sz w:val="17"/>
        </w:rPr>
        <w:t>Superego </w:t>
      </w:r>
      <w:r>
        <w:rPr>
          <w:color w:val="231F20"/>
          <w:w w:val="120"/>
          <w:sz w:val="17"/>
        </w:rPr>
        <w:t>(surmoi) qui est la part de la personnalité qui pré- sente les idéaux internalisés et fixe les normes du jugement (la conscience) et des aspirations futures;</w:t>
      </w:r>
    </w:p>
    <w:p>
      <w:pPr>
        <w:spacing w:after="0" w:line="307" w:lineRule="auto"/>
        <w:jc w:val="both"/>
        <w:rPr>
          <w:sz w:val="17"/>
        </w:rPr>
        <w:sectPr>
          <w:footerReference w:type="default" r:id="rId238"/>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64"/>
        </w:numPr>
        <w:tabs>
          <w:tab w:pos="1721" w:val="left" w:leader="none"/>
        </w:tabs>
        <w:spacing w:line="240" w:lineRule="auto" w:before="121" w:after="0"/>
        <w:ind w:left="1720" w:right="0" w:hanging="251"/>
        <w:jc w:val="both"/>
        <w:rPr>
          <w:sz w:val="17"/>
        </w:rPr>
      </w:pPr>
      <w:r>
        <w:rPr>
          <w:color w:val="231F20"/>
          <w:w w:val="115"/>
          <w:sz w:val="17"/>
        </w:rPr>
        <w:t>L’</w:t>
      </w:r>
      <w:r>
        <w:rPr>
          <w:i/>
          <w:color w:val="231F20"/>
          <w:w w:val="115"/>
          <w:sz w:val="17"/>
        </w:rPr>
        <w:t>Ego</w:t>
      </w:r>
      <w:r>
        <w:rPr>
          <w:i/>
          <w:color w:val="231F20"/>
          <w:spacing w:val="9"/>
          <w:w w:val="115"/>
          <w:sz w:val="17"/>
        </w:rPr>
        <w:t> </w:t>
      </w:r>
      <w:r>
        <w:rPr>
          <w:color w:val="231F20"/>
          <w:w w:val="115"/>
          <w:sz w:val="17"/>
        </w:rPr>
        <w:t>(moi)</w:t>
      </w:r>
      <w:r>
        <w:rPr>
          <w:color w:val="231F20"/>
          <w:spacing w:val="10"/>
          <w:w w:val="115"/>
          <w:sz w:val="17"/>
        </w:rPr>
        <w:t> </w:t>
      </w:r>
      <w:r>
        <w:rPr>
          <w:color w:val="231F20"/>
          <w:w w:val="115"/>
          <w:sz w:val="17"/>
        </w:rPr>
        <w:t>qui</w:t>
      </w:r>
      <w:r>
        <w:rPr>
          <w:color w:val="231F20"/>
          <w:spacing w:val="9"/>
          <w:w w:val="115"/>
          <w:sz w:val="17"/>
        </w:rPr>
        <w:t> </w:t>
      </w:r>
      <w:r>
        <w:rPr>
          <w:color w:val="231F20"/>
          <w:w w:val="115"/>
          <w:sz w:val="17"/>
        </w:rPr>
        <w:t>est</w:t>
      </w:r>
      <w:r>
        <w:rPr>
          <w:color w:val="231F20"/>
          <w:spacing w:val="10"/>
          <w:w w:val="115"/>
          <w:sz w:val="17"/>
        </w:rPr>
        <w:t> </w:t>
      </w:r>
      <w:r>
        <w:rPr>
          <w:color w:val="231F20"/>
          <w:w w:val="115"/>
          <w:sz w:val="17"/>
        </w:rPr>
        <w:t>largement</w:t>
      </w:r>
      <w:r>
        <w:rPr>
          <w:color w:val="231F20"/>
          <w:spacing w:val="10"/>
          <w:w w:val="115"/>
          <w:sz w:val="17"/>
        </w:rPr>
        <w:t> </w:t>
      </w:r>
      <w:r>
        <w:rPr>
          <w:color w:val="231F20"/>
          <w:w w:val="115"/>
          <w:sz w:val="17"/>
        </w:rPr>
        <w:t>conscient</w:t>
      </w:r>
      <w:r>
        <w:rPr>
          <w:color w:val="231F20"/>
          <w:spacing w:val="9"/>
          <w:w w:val="115"/>
          <w:sz w:val="17"/>
        </w:rPr>
        <w:t> </w:t>
      </w:r>
      <w:r>
        <w:rPr>
          <w:color w:val="231F20"/>
          <w:w w:val="115"/>
          <w:sz w:val="17"/>
        </w:rPr>
        <w:t>et</w:t>
      </w:r>
      <w:r>
        <w:rPr>
          <w:color w:val="231F20"/>
          <w:spacing w:val="10"/>
          <w:w w:val="115"/>
          <w:sz w:val="17"/>
        </w:rPr>
        <w:t> </w:t>
      </w:r>
      <w:r>
        <w:rPr>
          <w:color w:val="231F20"/>
          <w:w w:val="115"/>
          <w:sz w:val="17"/>
        </w:rPr>
        <w:t>représente</w:t>
      </w:r>
      <w:r>
        <w:rPr>
          <w:color w:val="231F20"/>
          <w:spacing w:val="10"/>
          <w:w w:val="115"/>
          <w:sz w:val="17"/>
        </w:rPr>
        <w:t> </w:t>
      </w:r>
      <w:r>
        <w:rPr>
          <w:color w:val="231F20"/>
          <w:w w:val="115"/>
          <w:sz w:val="17"/>
        </w:rPr>
        <w:t>la</w:t>
      </w:r>
      <w:r>
        <w:rPr>
          <w:color w:val="231F20"/>
          <w:spacing w:val="9"/>
          <w:w w:val="115"/>
          <w:sz w:val="17"/>
        </w:rPr>
        <w:t> </w:t>
      </w:r>
      <w:r>
        <w:rPr>
          <w:color w:val="231F20"/>
          <w:spacing w:val="-2"/>
          <w:w w:val="115"/>
          <w:sz w:val="17"/>
        </w:rPr>
        <w:t>fonction</w:t>
      </w:r>
    </w:p>
    <w:p>
      <w:pPr>
        <w:pStyle w:val="BodyText"/>
        <w:spacing w:line="307" w:lineRule="auto" w:before="55"/>
        <w:ind w:left="1719" w:right="103"/>
        <w:jc w:val="both"/>
      </w:pPr>
      <w:r>
        <w:rPr>
          <w:color w:val="231F20"/>
          <w:w w:val="120"/>
        </w:rPr>
        <w:t>«</w:t>
      </w:r>
      <w:r>
        <w:rPr>
          <w:color w:val="231F20"/>
          <w:spacing w:val="-13"/>
          <w:w w:val="120"/>
        </w:rPr>
        <w:t> </w:t>
      </w:r>
      <w:r>
        <w:rPr>
          <w:color w:val="231F20"/>
          <w:w w:val="120"/>
        </w:rPr>
        <w:t>exécutive</w:t>
      </w:r>
      <w:r>
        <w:rPr>
          <w:color w:val="231F20"/>
          <w:spacing w:val="-13"/>
          <w:w w:val="120"/>
        </w:rPr>
        <w:t> </w:t>
      </w:r>
      <w:r>
        <w:rPr>
          <w:color w:val="231F20"/>
          <w:w w:val="120"/>
        </w:rPr>
        <w:t>» de la personnalité, qui sert d’intermédiaire entre les exigences du </w:t>
      </w:r>
      <w:r>
        <w:rPr>
          <w:i/>
          <w:color w:val="231F20"/>
          <w:w w:val="120"/>
        </w:rPr>
        <w:t>ça et </w:t>
      </w:r>
      <w:r>
        <w:rPr>
          <w:color w:val="231F20"/>
          <w:w w:val="120"/>
        </w:rPr>
        <w:t>du </w:t>
      </w:r>
      <w:r>
        <w:rPr>
          <w:i/>
          <w:color w:val="231F20"/>
          <w:w w:val="120"/>
        </w:rPr>
        <w:t>superego </w:t>
      </w:r>
      <w:r>
        <w:rPr>
          <w:color w:val="231F20"/>
          <w:w w:val="120"/>
        </w:rPr>
        <w:t>et qui, suivant le principe de la réalité, satisfait les désirs du </w:t>
      </w:r>
      <w:r>
        <w:rPr>
          <w:i/>
          <w:color w:val="231F20"/>
          <w:w w:val="120"/>
        </w:rPr>
        <w:t>ça </w:t>
      </w:r>
      <w:r>
        <w:rPr>
          <w:color w:val="231F20"/>
          <w:w w:val="120"/>
        </w:rPr>
        <w:t>par des moyens socialement raisonnables</w:t>
      </w:r>
      <w:r>
        <w:rPr>
          <w:color w:val="231F20"/>
          <w:spacing w:val="-3"/>
          <w:w w:val="120"/>
        </w:rPr>
        <w:t> </w:t>
      </w:r>
      <w:r>
        <w:rPr>
          <w:color w:val="231F20"/>
          <w:w w:val="120"/>
        </w:rPr>
        <w:t>susceptibles</w:t>
      </w:r>
      <w:r>
        <w:rPr>
          <w:color w:val="231F20"/>
          <w:spacing w:val="-3"/>
          <w:w w:val="120"/>
        </w:rPr>
        <w:t> </w:t>
      </w:r>
      <w:r>
        <w:rPr>
          <w:color w:val="231F20"/>
          <w:w w:val="120"/>
        </w:rPr>
        <w:t>de</w:t>
      </w:r>
      <w:r>
        <w:rPr>
          <w:color w:val="231F20"/>
          <w:spacing w:val="-3"/>
          <w:w w:val="120"/>
        </w:rPr>
        <w:t> </w:t>
      </w:r>
      <w:r>
        <w:rPr>
          <w:color w:val="231F20"/>
          <w:w w:val="120"/>
        </w:rPr>
        <w:t>lui</w:t>
      </w:r>
      <w:r>
        <w:rPr>
          <w:color w:val="231F20"/>
          <w:spacing w:val="-3"/>
          <w:w w:val="120"/>
        </w:rPr>
        <w:t> </w:t>
      </w:r>
      <w:r>
        <w:rPr>
          <w:color w:val="231F20"/>
          <w:w w:val="120"/>
        </w:rPr>
        <w:t>procurer</w:t>
      </w:r>
      <w:r>
        <w:rPr>
          <w:color w:val="231F20"/>
          <w:spacing w:val="-3"/>
          <w:w w:val="120"/>
        </w:rPr>
        <w:t> </w:t>
      </w:r>
      <w:r>
        <w:rPr>
          <w:color w:val="231F20"/>
          <w:w w:val="120"/>
        </w:rPr>
        <w:t>du</w:t>
      </w:r>
      <w:r>
        <w:rPr>
          <w:color w:val="231F20"/>
          <w:spacing w:val="-3"/>
          <w:w w:val="120"/>
        </w:rPr>
        <w:t> </w:t>
      </w:r>
      <w:r>
        <w:rPr>
          <w:color w:val="231F20"/>
          <w:w w:val="120"/>
        </w:rPr>
        <w:t>plaisir</w:t>
      </w:r>
      <w:r>
        <w:rPr>
          <w:color w:val="231F20"/>
          <w:spacing w:val="-3"/>
          <w:w w:val="120"/>
        </w:rPr>
        <w:t> </w:t>
      </w:r>
      <w:r>
        <w:rPr>
          <w:color w:val="231F20"/>
          <w:w w:val="120"/>
        </w:rPr>
        <w:t>plutôt</w:t>
      </w:r>
      <w:r>
        <w:rPr>
          <w:color w:val="231F20"/>
          <w:spacing w:val="-3"/>
          <w:w w:val="120"/>
        </w:rPr>
        <w:t> </w:t>
      </w:r>
      <w:r>
        <w:rPr>
          <w:color w:val="231F20"/>
          <w:w w:val="120"/>
        </w:rPr>
        <w:t>que</w:t>
      </w:r>
      <w:r>
        <w:rPr>
          <w:color w:val="231F20"/>
          <w:spacing w:val="-3"/>
          <w:w w:val="120"/>
        </w:rPr>
        <w:t> </w:t>
      </w:r>
      <w:r>
        <w:rPr>
          <w:color w:val="231F20"/>
          <w:w w:val="120"/>
        </w:rPr>
        <w:t>de la</w:t>
      </w:r>
      <w:r>
        <w:rPr>
          <w:color w:val="231F20"/>
          <w:spacing w:val="-13"/>
          <w:w w:val="120"/>
        </w:rPr>
        <w:t> </w:t>
      </w:r>
      <w:r>
        <w:rPr>
          <w:color w:val="231F20"/>
          <w:w w:val="120"/>
        </w:rPr>
        <w:t>douleur.</w:t>
      </w:r>
    </w:p>
    <w:p>
      <w:pPr>
        <w:pStyle w:val="BodyText"/>
        <w:spacing w:line="307" w:lineRule="auto" w:before="79"/>
        <w:ind w:left="1219" w:right="101"/>
        <w:jc w:val="both"/>
      </w:pPr>
      <w:r>
        <w:rPr>
          <w:color w:val="231F20"/>
          <w:w w:val="120"/>
        </w:rPr>
        <w:t>Par</w:t>
      </w:r>
      <w:r>
        <w:rPr>
          <w:color w:val="231F20"/>
          <w:spacing w:val="-13"/>
          <w:w w:val="120"/>
        </w:rPr>
        <w:t> </w:t>
      </w:r>
      <w:r>
        <w:rPr>
          <w:color w:val="231F20"/>
          <w:w w:val="120"/>
        </w:rPr>
        <w:t>conséquent,</w:t>
      </w:r>
      <w:r>
        <w:rPr>
          <w:color w:val="231F20"/>
          <w:spacing w:val="-13"/>
          <w:w w:val="120"/>
        </w:rPr>
        <w:t> </w:t>
      </w:r>
      <w:r>
        <w:rPr>
          <w:color w:val="231F20"/>
          <w:w w:val="120"/>
        </w:rPr>
        <w:t>si</w:t>
      </w:r>
      <w:r>
        <w:rPr>
          <w:color w:val="231F20"/>
          <w:spacing w:val="-13"/>
          <w:w w:val="120"/>
        </w:rPr>
        <w:t> </w:t>
      </w:r>
      <w:r>
        <w:rPr>
          <w:color w:val="231F20"/>
          <w:w w:val="120"/>
        </w:rPr>
        <w:t>l’on</w:t>
      </w:r>
      <w:r>
        <w:rPr>
          <w:color w:val="231F20"/>
          <w:spacing w:val="-12"/>
          <w:w w:val="120"/>
        </w:rPr>
        <w:t> </w:t>
      </w:r>
      <w:r>
        <w:rPr>
          <w:color w:val="231F20"/>
          <w:w w:val="120"/>
        </w:rPr>
        <w:t>extrapole</w:t>
      </w:r>
      <w:r>
        <w:rPr>
          <w:color w:val="231F20"/>
          <w:spacing w:val="-13"/>
          <w:w w:val="120"/>
        </w:rPr>
        <w:t> </w:t>
      </w:r>
      <w:r>
        <w:rPr>
          <w:color w:val="231F20"/>
          <w:w w:val="120"/>
        </w:rPr>
        <w:t>la</w:t>
      </w:r>
      <w:r>
        <w:rPr>
          <w:color w:val="231F20"/>
          <w:spacing w:val="-13"/>
          <w:w w:val="120"/>
        </w:rPr>
        <w:t> </w:t>
      </w:r>
      <w:r>
        <w:rPr>
          <w:color w:val="231F20"/>
          <w:w w:val="120"/>
        </w:rPr>
        <w:t>vision</w:t>
      </w:r>
      <w:r>
        <w:rPr>
          <w:color w:val="231F20"/>
          <w:spacing w:val="-13"/>
          <w:w w:val="120"/>
        </w:rPr>
        <w:t> </w:t>
      </w:r>
      <w:r>
        <w:rPr>
          <w:color w:val="231F20"/>
          <w:w w:val="120"/>
        </w:rPr>
        <w:t>freudienne</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tension</w:t>
      </w:r>
      <w:r>
        <w:rPr>
          <w:color w:val="231F20"/>
          <w:spacing w:val="-13"/>
          <w:w w:val="120"/>
        </w:rPr>
        <w:t> </w:t>
      </w:r>
      <w:r>
        <w:rPr>
          <w:color w:val="231F20"/>
          <w:w w:val="120"/>
        </w:rPr>
        <w:t>entre le conscient et l’inconscient, cette lutte interne peut se refléter dans le type</w:t>
      </w:r>
      <w:r>
        <w:rPr>
          <w:color w:val="231F20"/>
          <w:spacing w:val="-1"/>
          <w:w w:val="120"/>
        </w:rPr>
        <w:t> </w:t>
      </w:r>
      <w:r>
        <w:rPr>
          <w:color w:val="231F20"/>
          <w:w w:val="120"/>
        </w:rPr>
        <w:t>d’</w:t>
      </w:r>
      <w:r>
        <w:rPr>
          <w:i/>
          <w:color w:val="231F20"/>
          <w:w w:val="120"/>
        </w:rPr>
        <w:t>ego</w:t>
      </w:r>
      <w:r>
        <w:rPr>
          <w:i/>
          <w:color w:val="231F20"/>
          <w:spacing w:val="-1"/>
          <w:w w:val="120"/>
        </w:rPr>
        <w:t> </w:t>
      </w:r>
      <w:r>
        <w:rPr>
          <w:color w:val="231F20"/>
          <w:w w:val="120"/>
        </w:rPr>
        <w:t>adopté.</w:t>
      </w:r>
      <w:r>
        <w:rPr>
          <w:color w:val="231F20"/>
          <w:spacing w:val="-1"/>
          <w:w w:val="120"/>
        </w:rPr>
        <w:t> </w:t>
      </w:r>
      <w:r>
        <w:rPr>
          <w:color w:val="231F20"/>
          <w:w w:val="120"/>
        </w:rPr>
        <w:t>L’</w:t>
      </w:r>
      <w:r>
        <w:rPr>
          <w:i/>
          <w:color w:val="231F20"/>
          <w:w w:val="120"/>
        </w:rPr>
        <w:t>ego</w:t>
      </w:r>
      <w:r>
        <w:rPr>
          <w:i/>
          <w:color w:val="231F20"/>
          <w:spacing w:val="-1"/>
          <w:w w:val="120"/>
        </w:rPr>
        <w:t> </w:t>
      </w:r>
      <w:r>
        <w:rPr>
          <w:i/>
          <w:color w:val="231F20"/>
          <w:w w:val="120"/>
        </w:rPr>
        <w:t>personnage</w:t>
      </w:r>
      <w:r>
        <w:rPr>
          <w:i/>
          <w:color w:val="231F20"/>
          <w:spacing w:val="-1"/>
          <w:w w:val="120"/>
        </w:rPr>
        <w:t> </w:t>
      </w:r>
      <w:r>
        <w:rPr>
          <w:color w:val="231F20"/>
          <w:w w:val="120"/>
        </w:rPr>
        <w:t>ou</w:t>
      </w:r>
      <w:r>
        <w:rPr>
          <w:color w:val="231F20"/>
          <w:spacing w:val="-1"/>
          <w:w w:val="120"/>
        </w:rPr>
        <w:t> </w:t>
      </w:r>
      <w:r>
        <w:rPr>
          <w:i/>
          <w:color w:val="231F20"/>
          <w:w w:val="120"/>
        </w:rPr>
        <w:t>apparent</w:t>
      </w:r>
      <w:r>
        <w:rPr>
          <w:i/>
          <w:color w:val="231F20"/>
          <w:spacing w:val="-1"/>
          <w:w w:val="120"/>
        </w:rPr>
        <w:t> </w:t>
      </w:r>
      <w:r>
        <w:rPr>
          <w:color w:val="231F20"/>
          <w:w w:val="120"/>
        </w:rPr>
        <w:t>est</w:t>
      </w:r>
      <w:r>
        <w:rPr>
          <w:color w:val="231F20"/>
          <w:spacing w:val="-1"/>
          <w:w w:val="120"/>
        </w:rPr>
        <w:t> </w:t>
      </w:r>
      <w:r>
        <w:rPr>
          <w:color w:val="231F20"/>
          <w:w w:val="120"/>
        </w:rPr>
        <w:t>le</w:t>
      </w:r>
      <w:r>
        <w:rPr>
          <w:color w:val="231F20"/>
          <w:spacing w:val="-1"/>
          <w:w w:val="120"/>
        </w:rPr>
        <w:t> </w:t>
      </w:r>
      <w:r>
        <w:rPr>
          <w:color w:val="231F20"/>
          <w:w w:val="120"/>
        </w:rPr>
        <w:t>rôle</w:t>
      </w:r>
      <w:r>
        <w:rPr>
          <w:color w:val="231F20"/>
          <w:spacing w:val="-1"/>
          <w:w w:val="120"/>
        </w:rPr>
        <w:t> </w:t>
      </w:r>
      <w:r>
        <w:rPr>
          <w:color w:val="231F20"/>
          <w:w w:val="120"/>
        </w:rPr>
        <w:t>que</w:t>
      </w:r>
      <w:r>
        <w:rPr>
          <w:color w:val="231F20"/>
          <w:spacing w:val="-1"/>
          <w:w w:val="120"/>
        </w:rPr>
        <w:t> </w:t>
      </w:r>
      <w:r>
        <w:rPr>
          <w:color w:val="231F20"/>
          <w:w w:val="120"/>
        </w:rPr>
        <w:t>nous jouons dans nos interactions quotidiennes avec les autres, le masque </w:t>
      </w:r>
      <w:r>
        <w:rPr>
          <w:color w:val="231F20"/>
          <w:w w:val="115"/>
        </w:rPr>
        <w:t>conventionnel</w:t>
      </w:r>
      <w:r>
        <w:rPr>
          <w:color w:val="231F20"/>
          <w:spacing w:val="-5"/>
          <w:w w:val="115"/>
        </w:rPr>
        <w:t> </w:t>
      </w:r>
      <w:r>
        <w:rPr>
          <w:color w:val="231F20"/>
          <w:w w:val="115"/>
        </w:rPr>
        <w:t>de</w:t>
      </w:r>
      <w:r>
        <w:rPr>
          <w:color w:val="231F20"/>
          <w:spacing w:val="-5"/>
          <w:w w:val="115"/>
        </w:rPr>
        <w:t> </w:t>
      </w:r>
      <w:r>
        <w:rPr>
          <w:color w:val="231F20"/>
          <w:w w:val="115"/>
        </w:rPr>
        <w:t>nos</w:t>
      </w:r>
      <w:r>
        <w:rPr>
          <w:color w:val="231F20"/>
          <w:spacing w:val="-5"/>
          <w:w w:val="115"/>
        </w:rPr>
        <w:t> </w:t>
      </w:r>
      <w:r>
        <w:rPr>
          <w:color w:val="231F20"/>
          <w:w w:val="115"/>
        </w:rPr>
        <w:t>véritables</w:t>
      </w:r>
      <w:r>
        <w:rPr>
          <w:color w:val="231F20"/>
          <w:spacing w:val="-5"/>
          <w:w w:val="115"/>
        </w:rPr>
        <w:t> </w:t>
      </w:r>
      <w:r>
        <w:rPr>
          <w:color w:val="231F20"/>
          <w:w w:val="115"/>
        </w:rPr>
        <w:t>désirs</w:t>
      </w:r>
      <w:r>
        <w:rPr>
          <w:color w:val="231F20"/>
          <w:spacing w:val="-5"/>
          <w:w w:val="115"/>
        </w:rPr>
        <w:t> </w:t>
      </w:r>
      <w:r>
        <w:rPr>
          <w:color w:val="231F20"/>
          <w:w w:val="115"/>
        </w:rPr>
        <w:t>et</w:t>
      </w:r>
      <w:r>
        <w:rPr>
          <w:color w:val="231F20"/>
          <w:spacing w:val="-5"/>
          <w:w w:val="115"/>
        </w:rPr>
        <w:t> </w:t>
      </w:r>
      <w:r>
        <w:rPr>
          <w:color w:val="231F20"/>
          <w:w w:val="115"/>
        </w:rPr>
        <w:t>l’essence</w:t>
      </w:r>
      <w:r>
        <w:rPr>
          <w:color w:val="231F20"/>
          <w:spacing w:val="-5"/>
          <w:w w:val="115"/>
        </w:rPr>
        <w:t> </w:t>
      </w:r>
      <w:r>
        <w:rPr>
          <w:color w:val="231F20"/>
          <w:w w:val="115"/>
        </w:rPr>
        <w:t>humaine</w:t>
      </w:r>
      <w:r>
        <w:rPr>
          <w:color w:val="231F20"/>
          <w:spacing w:val="-5"/>
          <w:w w:val="115"/>
        </w:rPr>
        <w:t> </w:t>
      </w:r>
      <w:r>
        <w:rPr>
          <w:color w:val="231F20"/>
          <w:w w:val="115"/>
        </w:rPr>
        <w:t>de</w:t>
      </w:r>
      <w:r>
        <w:rPr>
          <w:color w:val="231F20"/>
          <w:spacing w:val="-5"/>
          <w:w w:val="115"/>
        </w:rPr>
        <w:t> </w:t>
      </w:r>
      <w:r>
        <w:rPr>
          <w:color w:val="231F20"/>
          <w:w w:val="115"/>
        </w:rPr>
        <w:t>nos</w:t>
      </w:r>
      <w:r>
        <w:rPr>
          <w:color w:val="231F20"/>
          <w:spacing w:val="-5"/>
          <w:w w:val="115"/>
        </w:rPr>
        <w:t> </w:t>
      </w:r>
      <w:r>
        <w:rPr>
          <w:color w:val="231F20"/>
          <w:w w:val="115"/>
        </w:rPr>
        <w:t>efforts </w:t>
      </w:r>
      <w:r>
        <w:rPr>
          <w:color w:val="231F20"/>
          <w:w w:val="120"/>
        </w:rPr>
        <w:t>de</w:t>
      </w:r>
      <w:r>
        <w:rPr>
          <w:color w:val="231F20"/>
          <w:spacing w:val="-15"/>
          <w:w w:val="120"/>
        </w:rPr>
        <w:t> </w:t>
      </w:r>
      <w:r>
        <w:rPr>
          <w:color w:val="231F20"/>
          <w:w w:val="120"/>
        </w:rPr>
        <w:t>survie.</w:t>
      </w:r>
      <w:r>
        <w:rPr>
          <w:color w:val="231F20"/>
          <w:spacing w:val="-13"/>
          <w:w w:val="120"/>
        </w:rPr>
        <w:t> </w:t>
      </w:r>
      <w:r>
        <w:rPr>
          <w:color w:val="231F20"/>
          <w:w w:val="120"/>
        </w:rPr>
        <w:t>Il</w:t>
      </w:r>
      <w:r>
        <w:rPr>
          <w:color w:val="231F20"/>
          <w:spacing w:val="-13"/>
          <w:w w:val="120"/>
        </w:rPr>
        <w:t> </w:t>
      </w:r>
      <w:r>
        <w:rPr>
          <w:color w:val="231F20"/>
          <w:w w:val="120"/>
        </w:rPr>
        <w:t>est</w:t>
      </w:r>
      <w:r>
        <w:rPr>
          <w:color w:val="231F20"/>
          <w:spacing w:val="-12"/>
          <w:w w:val="120"/>
        </w:rPr>
        <w:t> </w:t>
      </w:r>
      <w:r>
        <w:rPr>
          <w:color w:val="231F20"/>
          <w:w w:val="120"/>
        </w:rPr>
        <w:t>associé</w:t>
      </w:r>
      <w:r>
        <w:rPr>
          <w:color w:val="231F20"/>
          <w:spacing w:val="-13"/>
          <w:w w:val="120"/>
        </w:rPr>
        <w:t> </w:t>
      </w:r>
      <w:r>
        <w:rPr>
          <w:color w:val="231F20"/>
          <w:w w:val="120"/>
        </w:rPr>
        <w:t>à</w:t>
      </w:r>
      <w:r>
        <w:rPr>
          <w:color w:val="231F20"/>
          <w:spacing w:val="-13"/>
          <w:w w:val="120"/>
        </w:rPr>
        <w:t> </w:t>
      </w:r>
      <w:r>
        <w:rPr>
          <w:color w:val="231F20"/>
          <w:w w:val="120"/>
        </w:rPr>
        <w:t>ce</w:t>
      </w:r>
      <w:r>
        <w:rPr>
          <w:color w:val="231F20"/>
          <w:spacing w:val="-13"/>
          <w:w w:val="120"/>
        </w:rPr>
        <w:t> </w:t>
      </w:r>
      <w:r>
        <w:rPr>
          <w:color w:val="231F20"/>
          <w:w w:val="120"/>
        </w:rPr>
        <w:t>qu’on</w:t>
      </w:r>
      <w:r>
        <w:rPr>
          <w:color w:val="231F20"/>
          <w:spacing w:val="-12"/>
          <w:w w:val="120"/>
        </w:rPr>
        <w:t> </w:t>
      </w:r>
      <w:r>
        <w:rPr>
          <w:color w:val="231F20"/>
          <w:w w:val="120"/>
        </w:rPr>
        <w:t>appelle</w:t>
      </w:r>
      <w:r>
        <w:rPr>
          <w:color w:val="231F20"/>
          <w:spacing w:val="-13"/>
          <w:w w:val="120"/>
        </w:rPr>
        <w:t> </w:t>
      </w:r>
      <w:r>
        <w:rPr>
          <w:color w:val="231F20"/>
          <w:w w:val="120"/>
        </w:rPr>
        <w:t>le</w:t>
      </w:r>
      <w:r>
        <w:rPr>
          <w:color w:val="231F20"/>
          <w:spacing w:val="-13"/>
          <w:w w:val="120"/>
        </w:rPr>
        <w:t> </w:t>
      </w:r>
      <w:r>
        <w:rPr>
          <w:color w:val="231F20"/>
          <w:w w:val="120"/>
        </w:rPr>
        <w:t>«</w:t>
      </w:r>
      <w:r>
        <w:rPr>
          <w:color w:val="231F20"/>
          <w:spacing w:val="-13"/>
          <w:w w:val="120"/>
        </w:rPr>
        <w:t> </w:t>
      </w:r>
      <w:r>
        <w:rPr>
          <w:color w:val="231F20"/>
          <w:w w:val="120"/>
        </w:rPr>
        <w:t>jugement</w:t>
      </w:r>
      <w:r>
        <w:rPr>
          <w:color w:val="231F20"/>
          <w:spacing w:val="-12"/>
          <w:w w:val="120"/>
        </w:rPr>
        <w:t> </w:t>
      </w:r>
      <w:r>
        <w:rPr>
          <w:color w:val="231F20"/>
          <w:w w:val="120"/>
        </w:rPr>
        <w:t>sûr»</w:t>
      </w:r>
      <w:r>
        <w:rPr>
          <w:color w:val="231F20"/>
          <w:spacing w:val="-13"/>
          <w:w w:val="120"/>
        </w:rPr>
        <w:t> </w:t>
      </w:r>
      <w:r>
        <w:rPr>
          <w:color w:val="231F20"/>
          <w:w w:val="120"/>
        </w:rPr>
        <w:t>ou</w:t>
      </w:r>
      <w:r>
        <w:rPr>
          <w:color w:val="231F20"/>
          <w:spacing w:val="-13"/>
          <w:w w:val="120"/>
        </w:rPr>
        <w:t> </w:t>
      </w:r>
      <w:r>
        <w:rPr>
          <w:color w:val="231F20"/>
          <w:w w:val="120"/>
        </w:rPr>
        <w:t>le</w:t>
      </w:r>
      <w:r>
        <w:rPr>
          <w:color w:val="231F20"/>
          <w:spacing w:val="-13"/>
          <w:w w:val="120"/>
        </w:rPr>
        <w:t> </w:t>
      </w:r>
      <w:r>
        <w:rPr>
          <w:color w:val="231F20"/>
          <w:w w:val="120"/>
        </w:rPr>
        <w:t>«</w:t>
      </w:r>
      <w:r>
        <w:rPr>
          <w:color w:val="231F20"/>
          <w:spacing w:val="-12"/>
          <w:w w:val="120"/>
        </w:rPr>
        <w:t> </w:t>
      </w:r>
      <w:r>
        <w:rPr>
          <w:color w:val="231F20"/>
          <w:w w:val="120"/>
        </w:rPr>
        <w:t>rai- sonnement</w:t>
      </w:r>
      <w:r>
        <w:rPr>
          <w:color w:val="231F20"/>
          <w:spacing w:val="-10"/>
          <w:w w:val="120"/>
        </w:rPr>
        <w:t> </w:t>
      </w:r>
      <w:r>
        <w:rPr>
          <w:color w:val="231F20"/>
          <w:w w:val="120"/>
        </w:rPr>
        <w:t>pratique</w:t>
      </w:r>
      <w:r>
        <w:rPr>
          <w:color w:val="231F20"/>
          <w:spacing w:val="-12"/>
          <w:w w:val="120"/>
        </w:rPr>
        <w:t> </w:t>
      </w:r>
      <w:r>
        <w:rPr>
          <w:color w:val="231F20"/>
          <w:w w:val="120"/>
        </w:rPr>
        <w:t>». C’est notre identité psychologique, normalisée, </w:t>
      </w:r>
      <w:r>
        <w:rPr>
          <w:color w:val="231F20"/>
          <w:spacing w:val="-2"/>
          <w:w w:val="120"/>
        </w:rPr>
        <w:t>rationnelle</w:t>
      </w:r>
      <w:r>
        <w:rPr>
          <w:color w:val="231F20"/>
          <w:spacing w:val="-8"/>
          <w:w w:val="120"/>
        </w:rPr>
        <w:t> </w:t>
      </w:r>
      <w:r>
        <w:rPr>
          <w:color w:val="231F20"/>
          <w:spacing w:val="-2"/>
          <w:w w:val="120"/>
        </w:rPr>
        <w:t>et</w:t>
      </w:r>
      <w:r>
        <w:rPr>
          <w:color w:val="231F20"/>
          <w:spacing w:val="-8"/>
          <w:w w:val="120"/>
        </w:rPr>
        <w:t> </w:t>
      </w:r>
      <w:r>
        <w:rPr>
          <w:color w:val="231F20"/>
          <w:spacing w:val="-2"/>
          <w:w w:val="120"/>
        </w:rPr>
        <w:t>prudente.</w:t>
      </w:r>
      <w:r>
        <w:rPr>
          <w:color w:val="231F20"/>
          <w:spacing w:val="-8"/>
          <w:w w:val="120"/>
        </w:rPr>
        <w:t> </w:t>
      </w:r>
      <w:r>
        <w:rPr>
          <w:color w:val="231F20"/>
          <w:spacing w:val="-2"/>
          <w:w w:val="120"/>
        </w:rPr>
        <w:t>La</w:t>
      </w:r>
      <w:r>
        <w:rPr>
          <w:color w:val="231F20"/>
          <w:spacing w:val="-8"/>
          <w:w w:val="120"/>
        </w:rPr>
        <w:t> </w:t>
      </w:r>
      <w:r>
        <w:rPr>
          <w:color w:val="231F20"/>
          <w:spacing w:val="-2"/>
          <w:w w:val="120"/>
        </w:rPr>
        <w:t>théorie</w:t>
      </w:r>
      <w:r>
        <w:rPr>
          <w:color w:val="231F20"/>
          <w:spacing w:val="-8"/>
          <w:w w:val="120"/>
        </w:rPr>
        <w:t> </w:t>
      </w:r>
      <w:r>
        <w:rPr>
          <w:color w:val="231F20"/>
          <w:spacing w:val="-2"/>
          <w:w w:val="120"/>
        </w:rPr>
        <w:t>psychodynamique</w:t>
      </w:r>
      <w:r>
        <w:rPr>
          <w:color w:val="231F20"/>
          <w:spacing w:val="-8"/>
          <w:w w:val="120"/>
        </w:rPr>
        <w:t> </w:t>
      </w:r>
      <w:r>
        <w:rPr>
          <w:color w:val="231F20"/>
          <w:spacing w:val="-2"/>
          <w:w w:val="120"/>
        </w:rPr>
        <w:t>l’identifierait</w:t>
      </w:r>
      <w:r>
        <w:rPr>
          <w:color w:val="231F20"/>
          <w:spacing w:val="-8"/>
          <w:w w:val="120"/>
        </w:rPr>
        <w:t> </w:t>
      </w:r>
      <w:r>
        <w:rPr>
          <w:color w:val="231F20"/>
          <w:spacing w:val="-2"/>
          <w:w w:val="120"/>
        </w:rPr>
        <w:t>assu- </w:t>
      </w:r>
      <w:r>
        <w:rPr>
          <w:color w:val="231F20"/>
          <w:w w:val="120"/>
        </w:rPr>
        <w:t>rément</w:t>
      </w:r>
      <w:r>
        <w:rPr>
          <w:color w:val="231F20"/>
          <w:spacing w:val="-2"/>
          <w:w w:val="120"/>
        </w:rPr>
        <w:t> </w:t>
      </w:r>
      <w:r>
        <w:rPr>
          <w:color w:val="231F20"/>
          <w:w w:val="120"/>
        </w:rPr>
        <w:t>au</w:t>
      </w:r>
      <w:r>
        <w:rPr>
          <w:color w:val="231F20"/>
          <w:spacing w:val="-2"/>
          <w:w w:val="120"/>
        </w:rPr>
        <w:t> </w:t>
      </w:r>
      <w:r>
        <w:rPr>
          <w:i/>
          <w:color w:val="231F20"/>
          <w:w w:val="120"/>
        </w:rPr>
        <w:t>superego</w:t>
      </w:r>
      <w:r>
        <w:rPr>
          <w:i/>
          <w:color w:val="231F20"/>
          <w:spacing w:val="-2"/>
          <w:w w:val="120"/>
        </w:rPr>
        <w:t> </w:t>
      </w:r>
      <w:r>
        <w:rPr>
          <w:color w:val="231F20"/>
          <w:w w:val="120"/>
        </w:rPr>
        <w:t>contrôlant,</w:t>
      </w:r>
      <w:r>
        <w:rPr>
          <w:color w:val="231F20"/>
          <w:spacing w:val="-2"/>
          <w:w w:val="120"/>
        </w:rPr>
        <w:t> </w:t>
      </w:r>
      <w:r>
        <w:rPr>
          <w:color w:val="231F20"/>
          <w:w w:val="120"/>
        </w:rPr>
        <w:t>qui</w:t>
      </w:r>
      <w:r>
        <w:rPr>
          <w:color w:val="231F20"/>
          <w:spacing w:val="-2"/>
          <w:w w:val="120"/>
        </w:rPr>
        <w:t> </w:t>
      </w:r>
      <w:r>
        <w:rPr>
          <w:color w:val="231F20"/>
          <w:w w:val="120"/>
        </w:rPr>
        <w:t>se</w:t>
      </w:r>
      <w:r>
        <w:rPr>
          <w:color w:val="231F20"/>
          <w:spacing w:val="-2"/>
          <w:w w:val="120"/>
        </w:rPr>
        <w:t> </w:t>
      </w:r>
      <w:r>
        <w:rPr>
          <w:color w:val="231F20"/>
          <w:w w:val="120"/>
        </w:rPr>
        <w:t>forme</w:t>
      </w:r>
      <w:r>
        <w:rPr>
          <w:color w:val="231F20"/>
          <w:spacing w:val="-2"/>
          <w:w w:val="120"/>
        </w:rPr>
        <w:t> </w:t>
      </w:r>
      <w:r>
        <w:rPr>
          <w:color w:val="231F20"/>
          <w:w w:val="120"/>
        </w:rPr>
        <w:t>chez</w:t>
      </w:r>
      <w:r>
        <w:rPr>
          <w:color w:val="231F20"/>
          <w:spacing w:val="-2"/>
          <w:w w:val="120"/>
        </w:rPr>
        <w:t> </w:t>
      </w:r>
      <w:r>
        <w:rPr>
          <w:color w:val="231F20"/>
          <w:w w:val="120"/>
        </w:rPr>
        <w:t>l’enfant</w:t>
      </w:r>
      <w:r>
        <w:rPr>
          <w:color w:val="231F20"/>
          <w:spacing w:val="-2"/>
          <w:w w:val="120"/>
        </w:rPr>
        <w:t> </w:t>
      </w:r>
      <w:r>
        <w:rPr>
          <w:color w:val="231F20"/>
          <w:w w:val="120"/>
        </w:rPr>
        <w:t>au</w:t>
      </w:r>
      <w:r>
        <w:rPr>
          <w:color w:val="231F20"/>
          <w:spacing w:val="-2"/>
          <w:w w:val="120"/>
        </w:rPr>
        <w:t> </w:t>
      </w:r>
      <w:r>
        <w:rPr>
          <w:color w:val="231F20"/>
          <w:w w:val="120"/>
        </w:rPr>
        <w:t>fil</w:t>
      </w:r>
      <w:r>
        <w:rPr>
          <w:color w:val="231F20"/>
          <w:spacing w:val="-2"/>
          <w:w w:val="120"/>
        </w:rPr>
        <w:t> </w:t>
      </w:r>
      <w:r>
        <w:rPr>
          <w:color w:val="231F20"/>
          <w:w w:val="120"/>
        </w:rPr>
        <w:t>de</w:t>
      </w:r>
      <w:r>
        <w:rPr>
          <w:color w:val="231F20"/>
          <w:spacing w:val="-2"/>
          <w:w w:val="120"/>
        </w:rPr>
        <w:t> </w:t>
      </w:r>
      <w:r>
        <w:rPr>
          <w:color w:val="231F20"/>
          <w:w w:val="120"/>
        </w:rPr>
        <w:t>ses interactions avec les symboles d’autorité que sont les parents et les personnes significatives de son entourage.</w:t>
      </w:r>
    </w:p>
    <w:p>
      <w:pPr>
        <w:pStyle w:val="BodyText"/>
        <w:spacing w:line="307" w:lineRule="auto" w:before="78"/>
        <w:ind w:left="1219" w:right="107" w:firstLine="250"/>
        <w:jc w:val="both"/>
      </w:pP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surface,</w:t>
      </w:r>
      <w:r>
        <w:rPr>
          <w:color w:val="231F20"/>
          <w:spacing w:val="-11"/>
          <w:w w:val="120"/>
        </w:rPr>
        <w:t> </w:t>
      </w:r>
      <w:r>
        <w:rPr>
          <w:color w:val="231F20"/>
          <w:w w:val="120"/>
        </w:rPr>
        <w:t>ce</w:t>
      </w:r>
      <w:r>
        <w:rPr>
          <w:color w:val="231F20"/>
          <w:spacing w:val="-11"/>
          <w:w w:val="120"/>
        </w:rPr>
        <w:t> </w:t>
      </w:r>
      <w:r>
        <w:rPr>
          <w:color w:val="231F20"/>
          <w:w w:val="120"/>
        </w:rPr>
        <w:t>masque</w:t>
      </w:r>
      <w:r>
        <w:rPr>
          <w:color w:val="231F20"/>
          <w:spacing w:val="-11"/>
          <w:w w:val="120"/>
        </w:rPr>
        <w:t> </w:t>
      </w:r>
      <w:r>
        <w:rPr>
          <w:color w:val="231F20"/>
          <w:w w:val="120"/>
        </w:rPr>
        <w:t>adaptatif</w:t>
      </w:r>
      <w:r>
        <w:rPr>
          <w:color w:val="231F20"/>
          <w:spacing w:val="-11"/>
          <w:w w:val="120"/>
        </w:rPr>
        <w:t> </w:t>
      </w:r>
      <w:r>
        <w:rPr>
          <w:color w:val="231F20"/>
          <w:w w:val="120"/>
        </w:rPr>
        <w:t>est</w:t>
      </w:r>
      <w:r>
        <w:rPr>
          <w:color w:val="231F20"/>
          <w:spacing w:val="-11"/>
          <w:w w:val="120"/>
        </w:rPr>
        <w:t> </w:t>
      </w:r>
      <w:r>
        <w:rPr>
          <w:color w:val="231F20"/>
          <w:w w:val="120"/>
        </w:rPr>
        <w:t>calmant;</w:t>
      </w:r>
      <w:r>
        <w:rPr>
          <w:color w:val="231F20"/>
          <w:spacing w:val="-11"/>
          <w:w w:val="120"/>
        </w:rPr>
        <w:t> </w:t>
      </w:r>
      <w:r>
        <w:rPr>
          <w:color w:val="231F20"/>
          <w:w w:val="120"/>
        </w:rPr>
        <w:t>conventionnellement, il est conçu pour interpréter un rôle accepté et renforcé par la société, approuvé</w:t>
      </w:r>
      <w:r>
        <w:rPr>
          <w:color w:val="231F20"/>
          <w:spacing w:val="-9"/>
          <w:w w:val="120"/>
        </w:rPr>
        <w:t> </w:t>
      </w:r>
      <w:r>
        <w:rPr>
          <w:color w:val="231F20"/>
          <w:w w:val="120"/>
        </w:rPr>
        <w:t>par</w:t>
      </w:r>
      <w:r>
        <w:rPr>
          <w:color w:val="231F20"/>
          <w:spacing w:val="-9"/>
          <w:w w:val="120"/>
        </w:rPr>
        <w:t> </w:t>
      </w:r>
      <w:r>
        <w:rPr>
          <w:color w:val="231F20"/>
          <w:w w:val="120"/>
        </w:rPr>
        <w:t>les</w:t>
      </w:r>
      <w:r>
        <w:rPr>
          <w:color w:val="231F20"/>
          <w:spacing w:val="-9"/>
          <w:w w:val="120"/>
        </w:rPr>
        <w:t> </w:t>
      </w:r>
      <w:r>
        <w:rPr>
          <w:color w:val="231F20"/>
          <w:w w:val="120"/>
        </w:rPr>
        <w:t>groupes</w:t>
      </w:r>
      <w:r>
        <w:rPr>
          <w:color w:val="231F20"/>
          <w:spacing w:val="-9"/>
          <w:w w:val="120"/>
        </w:rPr>
        <w:t> </w:t>
      </w:r>
      <w:r>
        <w:rPr>
          <w:color w:val="231F20"/>
          <w:w w:val="120"/>
        </w:rPr>
        <w:t>de</w:t>
      </w:r>
      <w:r>
        <w:rPr>
          <w:color w:val="231F20"/>
          <w:spacing w:val="-9"/>
          <w:w w:val="120"/>
        </w:rPr>
        <w:t> </w:t>
      </w:r>
      <w:r>
        <w:rPr>
          <w:color w:val="231F20"/>
          <w:w w:val="120"/>
        </w:rPr>
        <w:t>référence</w:t>
      </w:r>
      <w:r>
        <w:rPr>
          <w:color w:val="231F20"/>
          <w:spacing w:val="-9"/>
          <w:w w:val="120"/>
        </w:rPr>
        <w:t> </w:t>
      </w:r>
      <w:r>
        <w:rPr>
          <w:color w:val="231F20"/>
          <w:w w:val="120"/>
        </w:rPr>
        <w:t>qui</w:t>
      </w:r>
      <w:r>
        <w:rPr>
          <w:color w:val="231F20"/>
          <w:spacing w:val="-9"/>
          <w:w w:val="120"/>
        </w:rPr>
        <w:t> </w:t>
      </w:r>
      <w:r>
        <w:rPr>
          <w:color w:val="231F20"/>
          <w:w w:val="120"/>
        </w:rPr>
        <w:t>nous</w:t>
      </w:r>
      <w:r>
        <w:rPr>
          <w:color w:val="231F20"/>
          <w:spacing w:val="-9"/>
          <w:w w:val="120"/>
        </w:rPr>
        <w:t> </w:t>
      </w:r>
      <w:r>
        <w:rPr>
          <w:color w:val="231F20"/>
          <w:w w:val="120"/>
        </w:rPr>
        <w:t>donnent</w:t>
      </w:r>
      <w:r>
        <w:rPr>
          <w:color w:val="231F20"/>
          <w:spacing w:val="-9"/>
          <w:w w:val="120"/>
        </w:rPr>
        <w:t> </w:t>
      </w:r>
      <w:r>
        <w:rPr>
          <w:color w:val="231F20"/>
          <w:w w:val="120"/>
        </w:rPr>
        <w:t>des</w:t>
      </w:r>
      <w:r>
        <w:rPr>
          <w:color w:val="231F20"/>
          <w:spacing w:val="-9"/>
          <w:w w:val="120"/>
        </w:rPr>
        <w:t> </w:t>
      </w:r>
      <w:r>
        <w:rPr>
          <w:color w:val="231F20"/>
          <w:w w:val="120"/>
        </w:rPr>
        <w:t>modèles</w:t>
      </w:r>
      <w:r>
        <w:rPr>
          <w:color w:val="231F20"/>
          <w:spacing w:val="-9"/>
          <w:w w:val="120"/>
        </w:rPr>
        <w:t> </w:t>
      </w:r>
      <w:r>
        <w:rPr>
          <w:color w:val="231F20"/>
          <w:w w:val="120"/>
        </w:rPr>
        <w:t>et un</w:t>
      </w:r>
      <w:r>
        <w:rPr>
          <w:color w:val="231F20"/>
          <w:spacing w:val="-7"/>
          <w:w w:val="120"/>
        </w:rPr>
        <w:t> </w:t>
      </w:r>
      <w:r>
        <w:rPr>
          <w:color w:val="231F20"/>
          <w:w w:val="120"/>
        </w:rPr>
        <w:t>sentiment</w:t>
      </w:r>
      <w:r>
        <w:rPr>
          <w:color w:val="231F20"/>
          <w:spacing w:val="-7"/>
          <w:w w:val="120"/>
        </w:rPr>
        <w:t> </w:t>
      </w:r>
      <w:r>
        <w:rPr>
          <w:color w:val="231F20"/>
          <w:w w:val="120"/>
        </w:rPr>
        <w:t>d’appartenance,</w:t>
      </w:r>
      <w:r>
        <w:rPr>
          <w:color w:val="231F20"/>
          <w:spacing w:val="-7"/>
          <w:w w:val="120"/>
        </w:rPr>
        <w:t> </w:t>
      </w:r>
      <w:r>
        <w:rPr>
          <w:color w:val="231F20"/>
          <w:w w:val="120"/>
        </w:rPr>
        <w:t>d’inclusion.</w:t>
      </w:r>
      <w:r>
        <w:rPr>
          <w:color w:val="231F20"/>
          <w:spacing w:val="-7"/>
          <w:w w:val="120"/>
        </w:rPr>
        <w:t> </w:t>
      </w:r>
      <w:r>
        <w:rPr>
          <w:color w:val="231F20"/>
          <w:w w:val="120"/>
        </w:rPr>
        <w:t>Il</w:t>
      </w:r>
      <w:r>
        <w:rPr>
          <w:color w:val="231F20"/>
          <w:spacing w:val="-7"/>
          <w:w w:val="120"/>
        </w:rPr>
        <w:t> </w:t>
      </w:r>
      <w:r>
        <w:rPr>
          <w:color w:val="231F20"/>
          <w:w w:val="120"/>
        </w:rPr>
        <w:t>se</w:t>
      </w:r>
      <w:r>
        <w:rPr>
          <w:color w:val="231F20"/>
          <w:spacing w:val="-7"/>
          <w:w w:val="120"/>
        </w:rPr>
        <w:t> </w:t>
      </w:r>
      <w:r>
        <w:rPr>
          <w:color w:val="231F20"/>
          <w:w w:val="120"/>
        </w:rPr>
        <w:t>conforme</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scénario qui,</w:t>
      </w:r>
      <w:r>
        <w:rPr>
          <w:color w:val="231F20"/>
          <w:spacing w:val="-13"/>
          <w:w w:val="120"/>
        </w:rPr>
        <w:t> </w:t>
      </w:r>
      <w:r>
        <w:rPr>
          <w:color w:val="231F20"/>
          <w:w w:val="120"/>
        </w:rPr>
        <w:t>souvent,</w:t>
      </w:r>
      <w:r>
        <w:rPr>
          <w:color w:val="231F20"/>
          <w:spacing w:val="-13"/>
          <w:w w:val="120"/>
        </w:rPr>
        <w:t> </w:t>
      </w:r>
      <w:r>
        <w:rPr>
          <w:color w:val="231F20"/>
          <w:w w:val="120"/>
        </w:rPr>
        <w:t>restreint</w:t>
      </w:r>
      <w:r>
        <w:rPr>
          <w:color w:val="231F20"/>
          <w:spacing w:val="-13"/>
          <w:w w:val="120"/>
        </w:rPr>
        <w:t> </w:t>
      </w:r>
      <w:r>
        <w:rPr>
          <w:color w:val="231F20"/>
          <w:w w:val="120"/>
        </w:rPr>
        <w:t>les</w:t>
      </w:r>
      <w:r>
        <w:rPr>
          <w:color w:val="231F20"/>
          <w:spacing w:val="-12"/>
          <w:w w:val="120"/>
        </w:rPr>
        <w:t> </w:t>
      </w:r>
      <w:r>
        <w:rPr>
          <w:color w:val="231F20"/>
          <w:w w:val="120"/>
        </w:rPr>
        <w:t>véritables</w:t>
      </w:r>
      <w:r>
        <w:rPr>
          <w:color w:val="231F20"/>
          <w:spacing w:val="-13"/>
          <w:w w:val="120"/>
        </w:rPr>
        <w:t> </w:t>
      </w:r>
      <w:r>
        <w:rPr>
          <w:color w:val="231F20"/>
          <w:w w:val="120"/>
        </w:rPr>
        <w:t>perspectives,</w:t>
      </w:r>
      <w:r>
        <w:rPr>
          <w:color w:val="231F20"/>
          <w:spacing w:val="-13"/>
          <w:w w:val="120"/>
        </w:rPr>
        <w:t> </w:t>
      </w:r>
      <w:r>
        <w:rPr>
          <w:color w:val="231F20"/>
          <w:w w:val="120"/>
        </w:rPr>
        <w:t>qu’elles</w:t>
      </w:r>
      <w:r>
        <w:rPr>
          <w:color w:val="231F20"/>
          <w:spacing w:val="-13"/>
          <w:w w:val="120"/>
        </w:rPr>
        <w:t> </w:t>
      </w:r>
      <w:r>
        <w:rPr>
          <w:color w:val="231F20"/>
          <w:w w:val="120"/>
        </w:rPr>
        <w:t>relèvent</w:t>
      </w:r>
      <w:r>
        <w:rPr>
          <w:color w:val="231F20"/>
          <w:spacing w:val="-12"/>
          <w:w w:val="120"/>
        </w:rPr>
        <w:t> </w:t>
      </w:r>
      <w:r>
        <w:rPr>
          <w:color w:val="231F20"/>
          <w:w w:val="120"/>
        </w:rPr>
        <w:t>de</w:t>
      </w:r>
      <w:r>
        <w:rPr>
          <w:color w:val="231F20"/>
          <w:spacing w:val="-13"/>
          <w:w w:val="120"/>
        </w:rPr>
        <w:t> </w:t>
      </w:r>
      <w:r>
        <w:rPr>
          <w:color w:val="231F20"/>
          <w:w w:val="120"/>
        </w:rPr>
        <w:t>la pratique,</w:t>
      </w:r>
      <w:r>
        <w:rPr>
          <w:color w:val="231F20"/>
          <w:spacing w:val="-4"/>
          <w:w w:val="120"/>
        </w:rPr>
        <w:t> </w:t>
      </w:r>
      <w:r>
        <w:rPr>
          <w:color w:val="231F20"/>
          <w:w w:val="120"/>
        </w:rPr>
        <w:t>des</w:t>
      </w:r>
      <w:r>
        <w:rPr>
          <w:color w:val="231F20"/>
          <w:spacing w:val="-4"/>
          <w:w w:val="120"/>
        </w:rPr>
        <w:t> </w:t>
      </w:r>
      <w:r>
        <w:rPr>
          <w:color w:val="231F20"/>
          <w:w w:val="120"/>
        </w:rPr>
        <w:t>émotions</w:t>
      </w:r>
      <w:r>
        <w:rPr>
          <w:color w:val="231F20"/>
          <w:spacing w:val="-4"/>
          <w:w w:val="120"/>
        </w:rPr>
        <w:t> </w:t>
      </w:r>
      <w:r>
        <w:rPr>
          <w:color w:val="231F20"/>
          <w:w w:val="120"/>
        </w:rPr>
        <w:t>ou</w:t>
      </w:r>
      <w:r>
        <w:rPr>
          <w:color w:val="231F20"/>
          <w:spacing w:val="-4"/>
          <w:w w:val="120"/>
        </w:rPr>
        <w:t> </w:t>
      </w:r>
      <w:r>
        <w:rPr>
          <w:color w:val="231F20"/>
          <w:w w:val="120"/>
        </w:rPr>
        <w:t>de</w:t>
      </w:r>
      <w:r>
        <w:rPr>
          <w:color w:val="231F20"/>
          <w:spacing w:val="-4"/>
          <w:w w:val="120"/>
        </w:rPr>
        <w:t> </w:t>
      </w:r>
      <w:r>
        <w:rPr>
          <w:color w:val="231F20"/>
          <w:w w:val="120"/>
        </w:rPr>
        <w:t>l’éthique.</w:t>
      </w:r>
      <w:r>
        <w:rPr>
          <w:color w:val="231F20"/>
          <w:spacing w:val="-4"/>
          <w:w w:val="120"/>
        </w:rPr>
        <w:t> </w:t>
      </w:r>
      <w:r>
        <w:rPr>
          <w:color w:val="231F20"/>
          <w:w w:val="120"/>
        </w:rPr>
        <w:t>Or,</w:t>
      </w:r>
      <w:r>
        <w:rPr>
          <w:color w:val="231F20"/>
          <w:spacing w:val="-4"/>
          <w:w w:val="120"/>
        </w:rPr>
        <w:t> </w:t>
      </w:r>
      <w:r>
        <w:rPr>
          <w:color w:val="231F20"/>
          <w:w w:val="120"/>
        </w:rPr>
        <w:t>lorsqu’on</w:t>
      </w:r>
      <w:r>
        <w:rPr>
          <w:color w:val="231F20"/>
          <w:spacing w:val="-4"/>
          <w:w w:val="120"/>
        </w:rPr>
        <w:t> </w:t>
      </w:r>
      <w:r>
        <w:rPr>
          <w:color w:val="231F20"/>
          <w:w w:val="120"/>
        </w:rPr>
        <w:t>parle</w:t>
      </w:r>
      <w:r>
        <w:rPr>
          <w:color w:val="231F20"/>
          <w:spacing w:val="-4"/>
          <w:w w:val="120"/>
        </w:rPr>
        <w:t> </w:t>
      </w:r>
      <w:r>
        <w:rPr>
          <w:color w:val="231F20"/>
          <w:w w:val="120"/>
        </w:rPr>
        <w:t>du</w:t>
      </w:r>
      <w:r>
        <w:rPr>
          <w:color w:val="231F20"/>
          <w:spacing w:val="-4"/>
          <w:w w:val="120"/>
        </w:rPr>
        <w:t> </w:t>
      </w:r>
      <w:r>
        <w:rPr>
          <w:color w:val="231F20"/>
          <w:w w:val="120"/>
        </w:rPr>
        <w:t>principe </w:t>
      </w:r>
      <w:r>
        <w:rPr>
          <w:color w:val="231F20"/>
          <w:spacing w:val="-2"/>
          <w:w w:val="120"/>
        </w:rPr>
        <w:t>utopique,</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color w:val="231F20"/>
          <w:spacing w:val="-2"/>
          <w:w w:val="120"/>
        </w:rPr>
        <w:t>personne</w:t>
      </w:r>
      <w:r>
        <w:rPr>
          <w:color w:val="231F20"/>
          <w:spacing w:val="-9"/>
          <w:w w:val="120"/>
        </w:rPr>
        <w:t> </w:t>
      </w:r>
      <w:r>
        <w:rPr>
          <w:color w:val="231F20"/>
          <w:spacing w:val="-2"/>
          <w:w w:val="120"/>
        </w:rPr>
        <w:t>comme</w:t>
      </w:r>
      <w:r>
        <w:rPr>
          <w:color w:val="231F20"/>
          <w:spacing w:val="-9"/>
          <w:w w:val="120"/>
        </w:rPr>
        <w:t> </w:t>
      </w:r>
      <w:r>
        <w:rPr>
          <w:color w:val="231F20"/>
          <w:spacing w:val="-2"/>
          <w:w w:val="120"/>
        </w:rPr>
        <w:t>une</w:t>
      </w:r>
      <w:r>
        <w:rPr>
          <w:color w:val="231F20"/>
          <w:spacing w:val="-9"/>
          <w:w w:val="120"/>
        </w:rPr>
        <w:t> </w:t>
      </w:r>
      <w:r>
        <w:rPr>
          <w:color w:val="231F20"/>
          <w:spacing w:val="-2"/>
          <w:w w:val="120"/>
        </w:rPr>
        <w:t>fin</w:t>
      </w:r>
      <w:r>
        <w:rPr>
          <w:color w:val="231F20"/>
          <w:spacing w:val="-9"/>
          <w:w w:val="120"/>
        </w:rPr>
        <w:t> </w:t>
      </w:r>
      <w:r>
        <w:rPr>
          <w:color w:val="231F20"/>
          <w:spacing w:val="-2"/>
          <w:w w:val="120"/>
        </w:rPr>
        <w:t>en</w:t>
      </w:r>
      <w:r>
        <w:rPr>
          <w:color w:val="231F20"/>
          <w:spacing w:val="-9"/>
          <w:w w:val="120"/>
        </w:rPr>
        <w:t> </w:t>
      </w:r>
      <w:r>
        <w:rPr>
          <w:color w:val="231F20"/>
          <w:spacing w:val="-2"/>
          <w:w w:val="120"/>
        </w:rPr>
        <w:t>soi,</w:t>
      </w:r>
      <w:r>
        <w:rPr>
          <w:color w:val="231F20"/>
          <w:spacing w:val="-9"/>
          <w:w w:val="120"/>
        </w:rPr>
        <w:t> </w:t>
      </w:r>
      <w:r>
        <w:rPr>
          <w:color w:val="231F20"/>
          <w:spacing w:val="-2"/>
          <w:w w:val="120"/>
        </w:rPr>
        <w:t>c’est</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color w:val="231F20"/>
          <w:spacing w:val="-2"/>
          <w:w w:val="120"/>
        </w:rPr>
        <w:t>personne</w:t>
      </w:r>
      <w:r>
        <w:rPr>
          <w:color w:val="231F20"/>
          <w:spacing w:val="-9"/>
          <w:w w:val="120"/>
        </w:rPr>
        <w:t> </w:t>
      </w:r>
      <w:r>
        <w:rPr>
          <w:color w:val="231F20"/>
          <w:spacing w:val="-2"/>
          <w:w w:val="120"/>
        </w:rPr>
        <w:t>dans </w:t>
      </w:r>
      <w:r>
        <w:rPr>
          <w:color w:val="231F20"/>
          <w:w w:val="120"/>
        </w:rPr>
        <w:t>son intégralité dont il est question.</w:t>
      </w:r>
    </w:p>
    <w:p>
      <w:pPr>
        <w:pStyle w:val="BodyText"/>
        <w:spacing w:before="79"/>
        <w:ind w:left="1470"/>
        <w:jc w:val="both"/>
      </w:pPr>
      <w:r>
        <w:rPr>
          <w:color w:val="231F20"/>
          <w:w w:val="120"/>
        </w:rPr>
        <w:t>L’</w:t>
      </w:r>
      <w:r>
        <w:rPr>
          <w:i/>
          <w:color w:val="231F20"/>
          <w:w w:val="120"/>
        </w:rPr>
        <w:t>ego</w:t>
      </w:r>
      <w:r>
        <w:rPr>
          <w:i/>
          <w:color w:val="231F20"/>
          <w:spacing w:val="-10"/>
          <w:w w:val="120"/>
        </w:rPr>
        <w:t> </w:t>
      </w:r>
      <w:r>
        <w:rPr>
          <w:i/>
          <w:color w:val="231F20"/>
          <w:w w:val="120"/>
        </w:rPr>
        <w:t>rêveur</w:t>
      </w:r>
      <w:r>
        <w:rPr>
          <w:i/>
          <w:color w:val="231F20"/>
          <w:spacing w:val="-10"/>
          <w:w w:val="120"/>
        </w:rPr>
        <w:t> </w:t>
      </w:r>
      <w:r>
        <w:rPr>
          <w:color w:val="231F20"/>
          <w:w w:val="120"/>
        </w:rPr>
        <w:t>est</w:t>
      </w:r>
      <w:r>
        <w:rPr>
          <w:color w:val="231F20"/>
          <w:spacing w:val="-10"/>
          <w:w w:val="120"/>
        </w:rPr>
        <w:t> </w:t>
      </w:r>
      <w:r>
        <w:rPr>
          <w:color w:val="231F20"/>
          <w:w w:val="120"/>
        </w:rPr>
        <w:t>une</w:t>
      </w:r>
      <w:r>
        <w:rPr>
          <w:color w:val="231F20"/>
          <w:spacing w:val="-9"/>
          <w:w w:val="120"/>
        </w:rPr>
        <w:t> </w:t>
      </w:r>
      <w:r>
        <w:rPr>
          <w:color w:val="231F20"/>
          <w:w w:val="120"/>
        </w:rPr>
        <w:t>dimension</w:t>
      </w:r>
      <w:r>
        <w:rPr>
          <w:color w:val="231F20"/>
          <w:spacing w:val="-10"/>
          <w:w w:val="120"/>
        </w:rPr>
        <w:t> </w:t>
      </w:r>
      <w:r>
        <w:rPr>
          <w:color w:val="231F20"/>
          <w:w w:val="120"/>
        </w:rPr>
        <w:t>de</w:t>
      </w:r>
      <w:r>
        <w:rPr>
          <w:color w:val="231F20"/>
          <w:spacing w:val="-10"/>
          <w:w w:val="120"/>
        </w:rPr>
        <w:t> </w:t>
      </w:r>
      <w:r>
        <w:rPr>
          <w:color w:val="231F20"/>
          <w:w w:val="120"/>
        </w:rPr>
        <w:t>l’être</w:t>
      </w:r>
      <w:r>
        <w:rPr>
          <w:color w:val="231F20"/>
          <w:spacing w:val="-9"/>
          <w:w w:val="120"/>
        </w:rPr>
        <w:t> </w:t>
      </w:r>
      <w:r>
        <w:rPr>
          <w:color w:val="231F20"/>
          <w:w w:val="120"/>
        </w:rPr>
        <w:t>qui</w:t>
      </w:r>
      <w:r>
        <w:rPr>
          <w:color w:val="231F20"/>
          <w:spacing w:val="-10"/>
          <w:w w:val="120"/>
        </w:rPr>
        <w:t> </w:t>
      </w:r>
      <w:r>
        <w:rPr>
          <w:color w:val="231F20"/>
          <w:w w:val="120"/>
        </w:rPr>
        <w:t>répond</w:t>
      </w:r>
      <w:r>
        <w:rPr>
          <w:color w:val="231F20"/>
          <w:spacing w:val="-10"/>
          <w:w w:val="120"/>
        </w:rPr>
        <w:t> </w:t>
      </w:r>
      <w:r>
        <w:rPr>
          <w:color w:val="231F20"/>
          <w:w w:val="120"/>
        </w:rPr>
        <w:t>aux</w:t>
      </w:r>
      <w:r>
        <w:rPr>
          <w:color w:val="231F20"/>
          <w:spacing w:val="-9"/>
          <w:w w:val="120"/>
        </w:rPr>
        <w:t> </w:t>
      </w:r>
      <w:r>
        <w:rPr>
          <w:color w:val="231F20"/>
          <w:spacing w:val="-2"/>
          <w:w w:val="120"/>
        </w:rPr>
        <w:t>impulsions</w:t>
      </w:r>
    </w:p>
    <w:p>
      <w:pPr>
        <w:pStyle w:val="BodyText"/>
        <w:spacing w:line="307" w:lineRule="auto" w:before="55"/>
        <w:ind w:left="1219" w:right="105"/>
        <w:jc w:val="both"/>
      </w:pPr>
      <w:r>
        <w:rPr>
          <w:color w:val="231F20"/>
          <w:w w:val="115"/>
        </w:rPr>
        <w:t>«</w:t>
      </w:r>
      <w:r>
        <w:rPr>
          <w:color w:val="231F20"/>
          <w:spacing w:val="-13"/>
          <w:w w:val="115"/>
        </w:rPr>
        <w:t> </w:t>
      </w:r>
      <w:r>
        <w:rPr>
          <w:color w:val="231F20"/>
          <w:w w:val="115"/>
        </w:rPr>
        <w:t>poétiques»</w:t>
      </w:r>
      <w:r>
        <w:rPr>
          <w:color w:val="231F20"/>
          <w:spacing w:val="-12"/>
          <w:w w:val="115"/>
        </w:rPr>
        <w:t> </w:t>
      </w:r>
      <w:r>
        <w:rPr>
          <w:color w:val="231F20"/>
          <w:w w:val="115"/>
        </w:rPr>
        <w:t>de</w:t>
      </w:r>
      <w:r>
        <w:rPr>
          <w:color w:val="231F20"/>
          <w:spacing w:val="-12"/>
          <w:w w:val="115"/>
        </w:rPr>
        <w:t> </w:t>
      </w:r>
      <w:r>
        <w:rPr>
          <w:color w:val="231F20"/>
          <w:w w:val="115"/>
        </w:rPr>
        <w:t>la vie (du grec </w:t>
      </w:r>
      <w:r>
        <w:rPr>
          <w:i/>
          <w:color w:val="231F20"/>
          <w:w w:val="115"/>
        </w:rPr>
        <w:t>poiesis</w:t>
      </w:r>
      <w:r>
        <w:rPr>
          <w:color w:val="231F20"/>
          <w:w w:val="115"/>
        </w:rPr>
        <w:t>, «</w:t>
      </w:r>
      <w:r>
        <w:rPr>
          <w:color w:val="231F20"/>
          <w:spacing w:val="-13"/>
          <w:w w:val="115"/>
        </w:rPr>
        <w:t> </w:t>
      </w:r>
      <w:r>
        <w:rPr>
          <w:color w:val="231F20"/>
          <w:w w:val="115"/>
        </w:rPr>
        <w:t>générer», «</w:t>
      </w:r>
      <w:r>
        <w:rPr>
          <w:color w:val="231F20"/>
          <w:spacing w:val="-13"/>
          <w:w w:val="115"/>
        </w:rPr>
        <w:t> </w:t>
      </w:r>
      <w:r>
        <w:rPr>
          <w:color w:val="231F20"/>
          <w:w w:val="115"/>
        </w:rPr>
        <w:t>donner naissance»): </w:t>
      </w:r>
      <w:r>
        <w:rPr>
          <w:color w:val="231F20"/>
          <w:w w:val="120"/>
        </w:rPr>
        <w:t>la</w:t>
      </w:r>
      <w:r>
        <w:rPr>
          <w:color w:val="231F20"/>
          <w:spacing w:val="-13"/>
          <w:w w:val="120"/>
        </w:rPr>
        <w:t> </w:t>
      </w:r>
      <w:r>
        <w:rPr>
          <w:color w:val="231F20"/>
          <w:w w:val="120"/>
        </w:rPr>
        <w:t>création,</w:t>
      </w:r>
      <w:r>
        <w:rPr>
          <w:color w:val="231F20"/>
          <w:spacing w:val="-13"/>
          <w:w w:val="120"/>
        </w:rPr>
        <w:t> </w:t>
      </w:r>
      <w:r>
        <w:rPr>
          <w:color w:val="231F20"/>
          <w:w w:val="120"/>
        </w:rPr>
        <w:t>la</w:t>
      </w:r>
      <w:r>
        <w:rPr>
          <w:color w:val="231F20"/>
          <w:spacing w:val="-13"/>
          <w:w w:val="120"/>
        </w:rPr>
        <w:t> </w:t>
      </w:r>
      <w:r>
        <w:rPr>
          <w:color w:val="231F20"/>
          <w:w w:val="120"/>
        </w:rPr>
        <w:t>spontanéité,</w:t>
      </w:r>
      <w:r>
        <w:rPr>
          <w:color w:val="231F20"/>
          <w:spacing w:val="-12"/>
          <w:w w:val="120"/>
        </w:rPr>
        <w:t> </w:t>
      </w:r>
      <w:r>
        <w:rPr>
          <w:color w:val="231F20"/>
          <w:w w:val="120"/>
        </w:rPr>
        <w:t>la</w:t>
      </w:r>
      <w:r>
        <w:rPr>
          <w:color w:val="231F20"/>
          <w:spacing w:val="-13"/>
          <w:w w:val="120"/>
        </w:rPr>
        <w:t> </w:t>
      </w:r>
      <w:r>
        <w:rPr>
          <w:color w:val="231F20"/>
          <w:w w:val="120"/>
        </w:rPr>
        <w:t>folie,</w:t>
      </w:r>
      <w:r>
        <w:rPr>
          <w:color w:val="231F20"/>
          <w:spacing w:val="-13"/>
          <w:w w:val="120"/>
        </w:rPr>
        <w:t> </w:t>
      </w:r>
      <w:r>
        <w:rPr>
          <w:color w:val="231F20"/>
          <w:w w:val="120"/>
        </w:rPr>
        <w:t>le</w:t>
      </w:r>
      <w:r>
        <w:rPr>
          <w:color w:val="231F20"/>
          <w:spacing w:val="-13"/>
          <w:w w:val="120"/>
        </w:rPr>
        <w:t> </w:t>
      </w:r>
      <w:r>
        <w:rPr>
          <w:color w:val="231F20"/>
          <w:w w:val="120"/>
        </w:rPr>
        <w:t>plaisir,</w:t>
      </w:r>
      <w:r>
        <w:rPr>
          <w:color w:val="231F20"/>
          <w:spacing w:val="-12"/>
          <w:w w:val="120"/>
        </w:rPr>
        <w:t> </w:t>
      </w:r>
      <w:r>
        <w:rPr>
          <w:color w:val="231F20"/>
          <w:w w:val="120"/>
        </w:rPr>
        <w:t>la</w:t>
      </w:r>
      <w:r>
        <w:rPr>
          <w:color w:val="231F20"/>
          <w:spacing w:val="-13"/>
          <w:w w:val="120"/>
        </w:rPr>
        <w:t> </w:t>
      </w:r>
      <w:r>
        <w:rPr>
          <w:i/>
          <w:color w:val="231F20"/>
          <w:w w:val="120"/>
        </w:rPr>
        <w:t>rauxa</w:t>
      </w:r>
      <w:r>
        <w:rPr>
          <w:i/>
          <w:color w:val="231F20"/>
          <w:spacing w:val="-13"/>
          <w:w w:val="120"/>
        </w:rPr>
        <w:t> </w:t>
      </w:r>
      <w:r>
        <w:rPr>
          <w:color w:val="231F20"/>
          <w:w w:val="120"/>
        </w:rPr>
        <w:t>(«</w:t>
      </w:r>
      <w:r>
        <w:rPr>
          <w:color w:val="231F20"/>
          <w:spacing w:val="-13"/>
          <w:w w:val="120"/>
        </w:rPr>
        <w:t> </w:t>
      </w:r>
      <w:r>
        <w:rPr>
          <w:color w:val="231F20"/>
          <w:w w:val="120"/>
        </w:rPr>
        <w:t>chaos</w:t>
      </w:r>
      <w:r>
        <w:rPr>
          <w:color w:val="231F20"/>
          <w:spacing w:val="-12"/>
          <w:w w:val="120"/>
        </w:rPr>
        <w:t> </w:t>
      </w:r>
      <w:r>
        <w:rPr>
          <w:color w:val="231F20"/>
          <w:w w:val="120"/>
        </w:rPr>
        <w:t>créatif»), </w:t>
      </w:r>
      <w:r>
        <w:rPr>
          <w:color w:val="231F20"/>
          <w:w w:val="115"/>
        </w:rPr>
        <w:t>chère à Dalí. Dans la théorie psychodynamique, l’</w:t>
      </w:r>
      <w:r>
        <w:rPr>
          <w:i/>
          <w:color w:val="231F20"/>
          <w:w w:val="115"/>
        </w:rPr>
        <w:t>ego rêveur </w:t>
      </w:r>
      <w:r>
        <w:rPr>
          <w:color w:val="231F20"/>
          <w:w w:val="115"/>
        </w:rPr>
        <w:t>correspond </w:t>
      </w:r>
      <w:r>
        <w:rPr>
          <w:color w:val="231F20"/>
          <w:w w:val="120"/>
        </w:rPr>
        <w:t>à</w:t>
      </w:r>
      <w:r>
        <w:rPr>
          <w:color w:val="231F20"/>
          <w:spacing w:val="-3"/>
          <w:w w:val="120"/>
        </w:rPr>
        <w:t> </w:t>
      </w:r>
      <w:r>
        <w:rPr>
          <w:color w:val="231F20"/>
          <w:w w:val="120"/>
        </w:rPr>
        <w:t>la</w:t>
      </w:r>
      <w:r>
        <w:rPr>
          <w:color w:val="231F20"/>
          <w:spacing w:val="-4"/>
          <w:w w:val="120"/>
        </w:rPr>
        <w:t> </w:t>
      </w:r>
      <w:r>
        <w:rPr>
          <w:color w:val="231F20"/>
          <w:w w:val="120"/>
        </w:rPr>
        <w:t>pulsion</w:t>
      </w:r>
      <w:r>
        <w:rPr>
          <w:color w:val="231F20"/>
          <w:spacing w:val="-3"/>
          <w:w w:val="120"/>
        </w:rPr>
        <w:t> </w:t>
      </w:r>
      <w:r>
        <w:rPr>
          <w:color w:val="231F20"/>
          <w:w w:val="120"/>
        </w:rPr>
        <w:t>libidineuse</w:t>
      </w:r>
      <w:r>
        <w:rPr>
          <w:color w:val="231F20"/>
          <w:spacing w:val="-4"/>
          <w:w w:val="120"/>
        </w:rPr>
        <w:t> </w:t>
      </w:r>
      <w:r>
        <w:rPr>
          <w:color w:val="231F20"/>
          <w:w w:val="120"/>
        </w:rPr>
        <w:t>que</w:t>
      </w:r>
      <w:r>
        <w:rPr>
          <w:color w:val="231F20"/>
          <w:spacing w:val="-3"/>
          <w:w w:val="120"/>
        </w:rPr>
        <w:t> </w:t>
      </w:r>
      <w:r>
        <w:rPr>
          <w:color w:val="231F20"/>
          <w:w w:val="120"/>
        </w:rPr>
        <w:t>l’éducation</w:t>
      </w:r>
      <w:r>
        <w:rPr>
          <w:color w:val="231F20"/>
          <w:spacing w:val="-4"/>
          <w:w w:val="120"/>
        </w:rPr>
        <w:t> </w:t>
      </w:r>
      <w:r>
        <w:rPr>
          <w:color w:val="231F20"/>
          <w:w w:val="120"/>
        </w:rPr>
        <w:t>conventionnelle</w:t>
      </w:r>
      <w:r>
        <w:rPr>
          <w:color w:val="231F20"/>
          <w:spacing w:val="-3"/>
          <w:w w:val="120"/>
        </w:rPr>
        <w:t> </w:t>
      </w:r>
      <w:r>
        <w:rPr>
          <w:color w:val="231F20"/>
          <w:w w:val="120"/>
        </w:rPr>
        <w:t>module,</w:t>
      </w:r>
      <w:r>
        <w:rPr>
          <w:color w:val="231F20"/>
          <w:spacing w:val="-2"/>
          <w:w w:val="120"/>
        </w:rPr>
        <w:t> </w:t>
      </w:r>
      <w:r>
        <w:rPr>
          <w:color w:val="231F20"/>
          <w:w w:val="120"/>
        </w:rPr>
        <w:t>voire </w:t>
      </w:r>
      <w:r>
        <w:rPr>
          <w:color w:val="231F20"/>
          <w:w w:val="115"/>
        </w:rPr>
        <w:t>réprime,</w:t>
      </w:r>
      <w:r>
        <w:rPr>
          <w:color w:val="231F20"/>
          <w:spacing w:val="-13"/>
          <w:w w:val="115"/>
        </w:rPr>
        <w:t> </w:t>
      </w:r>
      <w:r>
        <w:rPr>
          <w:color w:val="231F20"/>
          <w:w w:val="115"/>
        </w:rPr>
        <w:t>à</w:t>
      </w:r>
      <w:r>
        <w:rPr>
          <w:color w:val="231F20"/>
          <w:spacing w:val="-12"/>
          <w:w w:val="115"/>
        </w:rPr>
        <w:t> </w:t>
      </w:r>
      <w:r>
        <w:rPr>
          <w:color w:val="231F20"/>
          <w:w w:val="115"/>
        </w:rPr>
        <w:t>la</w:t>
      </w:r>
      <w:r>
        <w:rPr>
          <w:color w:val="231F20"/>
          <w:spacing w:val="-12"/>
          <w:w w:val="115"/>
        </w:rPr>
        <w:t> </w:t>
      </w:r>
      <w:r>
        <w:rPr>
          <w:color w:val="231F20"/>
          <w:w w:val="115"/>
        </w:rPr>
        <w:t>phase</w:t>
      </w:r>
      <w:r>
        <w:rPr>
          <w:color w:val="231F20"/>
          <w:spacing w:val="-3"/>
          <w:w w:val="115"/>
        </w:rPr>
        <w:t> </w:t>
      </w:r>
      <w:r>
        <w:rPr>
          <w:color w:val="231F20"/>
          <w:w w:val="115"/>
        </w:rPr>
        <w:t>«</w:t>
      </w:r>
      <w:r>
        <w:rPr>
          <w:color w:val="231F20"/>
          <w:spacing w:val="-13"/>
          <w:w w:val="115"/>
        </w:rPr>
        <w:t> </w:t>
      </w:r>
      <w:r>
        <w:rPr>
          <w:color w:val="231F20"/>
          <w:w w:val="115"/>
        </w:rPr>
        <w:t>préconventionnelle</w:t>
      </w:r>
      <w:r>
        <w:rPr>
          <w:color w:val="231F20"/>
          <w:spacing w:val="-12"/>
          <w:w w:val="115"/>
        </w:rPr>
        <w:t> </w:t>
      </w:r>
      <w:r>
        <w:rPr>
          <w:color w:val="231F20"/>
          <w:w w:val="115"/>
        </w:rPr>
        <w:t>»</w:t>
      </w:r>
      <w:r>
        <w:rPr>
          <w:color w:val="231F20"/>
          <w:spacing w:val="-1"/>
          <w:w w:val="115"/>
        </w:rPr>
        <w:t> </w:t>
      </w:r>
      <w:r>
        <w:rPr>
          <w:color w:val="231F20"/>
          <w:w w:val="115"/>
        </w:rPr>
        <w:t>de</w:t>
      </w:r>
      <w:r>
        <w:rPr>
          <w:color w:val="231F20"/>
          <w:spacing w:val="-2"/>
          <w:w w:val="115"/>
        </w:rPr>
        <w:t> </w:t>
      </w:r>
      <w:r>
        <w:rPr>
          <w:color w:val="231F20"/>
          <w:w w:val="115"/>
        </w:rPr>
        <w:t>l’évolution</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conscience </w:t>
      </w:r>
      <w:r>
        <w:rPr>
          <w:color w:val="231F20"/>
          <w:w w:val="120"/>
        </w:rPr>
        <w:t>morale selon les enseignements de Kohlberg16.</w:t>
      </w:r>
    </w:p>
    <w:p>
      <w:pPr>
        <w:pStyle w:val="BodyText"/>
        <w:spacing w:line="307" w:lineRule="auto" w:before="79"/>
        <w:ind w:left="1219" w:right="102" w:firstLine="250"/>
        <w:jc w:val="both"/>
      </w:pPr>
      <w:r>
        <w:rPr>
          <w:color w:val="231F20"/>
          <w:w w:val="120"/>
        </w:rPr>
        <w:t>L’</w:t>
      </w:r>
      <w:r>
        <w:rPr>
          <w:i/>
          <w:color w:val="231F20"/>
          <w:w w:val="120"/>
        </w:rPr>
        <w:t>ego conscience</w:t>
      </w:r>
      <w:r>
        <w:rPr>
          <w:color w:val="231F20"/>
          <w:w w:val="120"/>
        </w:rPr>
        <w:t>, pour sa part, est la véritable personne unique et essentielle.</w:t>
      </w:r>
      <w:r>
        <w:rPr>
          <w:color w:val="231F20"/>
          <w:spacing w:val="-6"/>
          <w:w w:val="120"/>
        </w:rPr>
        <w:t> </w:t>
      </w:r>
      <w:r>
        <w:rPr>
          <w:color w:val="231F20"/>
          <w:w w:val="120"/>
        </w:rPr>
        <w:t>C’est</w:t>
      </w:r>
      <w:r>
        <w:rPr>
          <w:color w:val="231F20"/>
          <w:spacing w:val="-6"/>
          <w:w w:val="120"/>
        </w:rPr>
        <w:t> </w:t>
      </w:r>
      <w:r>
        <w:rPr>
          <w:color w:val="231F20"/>
          <w:w w:val="120"/>
        </w:rPr>
        <w:t>là</w:t>
      </w:r>
      <w:r>
        <w:rPr>
          <w:color w:val="231F20"/>
          <w:spacing w:val="-6"/>
          <w:w w:val="120"/>
        </w:rPr>
        <w:t> </w:t>
      </w:r>
      <w:r>
        <w:rPr>
          <w:color w:val="231F20"/>
          <w:w w:val="120"/>
        </w:rPr>
        <w:t>que</w:t>
      </w:r>
      <w:r>
        <w:rPr>
          <w:color w:val="231F20"/>
          <w:spacing w:val="-6"/>
          <w:w w:val="120"/>
        </w:rPr>
        <w:t> </w:t>
      </w:r>
      <w:r>
        <w:rPr>
          <w:color w:val="231F20"/>
          <w:w w:val="120"/>
        </w:rPr>
        <w:t>réside</w:t>
      </w:r>
      <w:r>
        <w:rPr>
          <w:color w:val="231F20"/>
          <w:spacing w:val="-6"/>
          <w:w w:val="120"/>
        </w:rPr>
        <w:t> </w:t>
      </w:r>
      <w:r>
        <w:rPr>
          <w:color w:val="231F20"/>
          <w:w w:val="120"/>
        </w:rPr>
        <w:t>l’être,</w:t>
      </w:r>
      <w:r>
        <w:rPr>
          <w:color w:val="231F20"/>
          <w:spacing w:val="-6"/>
          <w:w w:val="120"/>
        </w:rPr>
        <w:t> </w:t>
      </w:r>
      <w:r>
        <w:rPr>
          <w:color w:val="231F20"/>
          <w:w w:val="120"/>
        </w:rPr>
        <w:t>l’instance</w:t>
      </w:r>
      <w:r>
        <w:rPr>
          <w:color w:val="231F20"/>
          <w:spacing w:val="-6"/>
          <w:w w:val="120"/>
        </w:rPr>
        <w:t> </w:t>
      </w:r>
      <w:r>
        <w:rPr>
          <w:color w:val="231F20"/>
          <w:w w:val="120"/>
        </w:rPr>
        <w:t>éthique</w:t>
      </w:r>
      <w:r>
        <w:rPr>
          <w:color w:val="231F20"/>
          <w:spacing w:val="-6"/>
          <w:w w:val="120"/>
        </w:rPr>
        <w:t> </w:t>
      </w:r>
      <w:r>
        <w:rPr>
          <w:color w:val="231F20"/>
          <w:w w:val="120"/>
        </w:rPr>
        <w:t>(du</w:t>
      </w:r>
      <w:r>
        <w:rPr>
          <w:color w:val="231F20"/>
          <w:spacing w:val="-6"/>
          <w:w w:val="120"/>
        </w:rPr>
        <w:t> </w:t>
      </w:r>
      <w:r>
        <w:rPr>
          <w:color w:val="231F20"/>
          <w:w w:val="120"/>
        </w:rPr>
        <w:t>grec</w:t>
      </w:r>
      <w:r>
        <w:rPr>
          <w:color w:val="231F20"/>
          <w:spacing w:val="-6"/>
          <w:w w:val="120"/>
        </w:rPr>
        <w:t> </w:t>
      </w:r>
      <w:r>
        <w:rPr>
          <w:i/>
          <w:color w:val="231F20"/>
          <w:w w:val="120"/>
        </w:rPr>
        <w:t>ethos</w:t>
      </w:r>
      <w:r>
        <w:rPr>
          <w:i/>
          <w:color w:val="231F20"/>
          <w:spacing w:val="-33"/>
          <w:w w:val="120"/>
        </w:rPr>
        <w:t> </w:t>
      </w:r>
      <w:r>
        <w:rPr>
          <w:color w:val="231F20"/>
          <w:w w:val="120"/>
        </w:rPr>
        <w:t>:</w:t>
      </w:r>
    </w:p>
    <w:p>
      <w:pPr>
        <w:pStyle w:val="BodyText"/>
        <w:spacing w:line="307" w:lineRule="auto"/>
        <w:ind w:left="1219" w:right="108"/>
        <w:jc w:val="both"/>
      </w:pPr>
      <w:r>
        <w:rPr>
          <w:color w:val="231F20"/>
          <w:w w:val="115"/>
        </w:rPr>
        <w:t>«</w:t>
      </w:r>
      <w:r>
        <w:rPr>
          <w:color w:val="231F20"/>
          <w:spacing w:val="-13"/>
          <w:w w:val="115"/>
        </w:rPr>
        <w:t> </w:t>
      </w:r>
      <w:r>
        <w:rPr>
          <w:color w:val="231F20"/>
          <w:w w:val="115"/>
        </w:rPr>
        <w:t>résidence</w:t>
      </w:r>
      <w:r>
        <w:rPr>
          <w:color w:val="231F20"/>
          <w:spacing w:val="-12"/>
          <w:w w:val="115"/>
        </w:rPr>
        <w:t> </w:t>
      </w:r>
      <w:r>
        <w:rPr>
          <w:color w:val="231F20"/>
          <w:w w:val="115"/>
        </w:rPr>
        <w:t>»,</w:t>
      </w:r>
      <w:r>
        <w:rPr>
          <w:color w:val="231F20"/>
          <w:spacing w:val="-12"/>
          <w:w w:val="115"/>
        </w:rPr>
        <w:t> </w:t>
      </w:r>
      <w:r>
        <w:rPr>
          <w:color w:val="231F20"/>
          <w:w w:val="115"/>
        </w:rPr>
        <w:t>«</w:t>
      </w:r>
      <w:r>
        <w:rPr>
          <w:color w:val="231F20"/>
          <w:spacing w:val="-12"/>
          <w:w w:val="115"/>
        </w:rPr>
        <w:t> </w:t>
      </w:r>
      <w:r>
        <w:rPr>
          <w:color w:val="231F20"/>
          <w:w w:val="115"/>
        </w:rPr>
        <w:t>caractère</w:t>
      </w:r>
      <w:r>
        <w:rPr>
          <w:color w:val="231F20"/>
          <w:spacing w:val="-13"/>
          <w:w w:val="115"/>
        </w:rPr>
        <w:t> </w:t>
      </w:r>
      <w:r>
        <w:rPr>
          <w:color w:val="231F20"/>
          <w:w w:val="115"/>
        </w:rPr>
        <w:t>»)</w:t>
      </w:r>
      <w:r>
        <w:rPr>
          <w:color w:val="231F20"/>
          <w:spacing w:val="-12"/>
          <w:w w:val="115"/>
        </w:rPr>
        <w:t> </w:t>
      </w:r>
      <w:r>
        <w:rPr>
          <w:color w:val="231F20"/>
          <w:w w:val="115"/>
        </w:rPr>
        <w:t>la</w:t>
      </w:r>
      <w:r>
        <w:rPr>
          <w:color w:val="231F20"/>
          <w:spacing w:val="-12"/>
          <w:w w:val="115"/>
        </w:rPr>
        <w:t> </w:t>
      </w:r>
      <w:r>
        <w:rPr>
          <w:color w:val="231F20"/>
          <w:w w:val="115"/>
        </w:rPr>
        <w:t>plus</w:t>
      </w:r>
      <w:r>
        <w:rPr>
          <w:color w:val="231F20"/>
          <w:spacing w:val="-12"/>
          <w:w w:val="115"/>
        </w:rPr>
        <w:t> </w:t>
      </w:r>
      <w:r>
        <w:rPr>
          <w:color w:val="231F20"/>
          <w:w w:val="115"/>
        </w:rPr>
        <w:t>profonde</w:t>
      </w:r>
      <w:r>
        <w:rPr>
          <w:color w:val="231F20"/>
          <w:spacing w:val="-12"/>
          <w:w w:val="115"/>
        </w:rPr>
        <w:t> </w:t>
      </w:r>
      <w:r>
        <w:rPr>
          <w:color w:val="231F20"/>
          <w:w w:val="115"/>
        </w:rPr>
        <w:t>de</w:t>
      </w:r>
      <w:r>
        <w:rPr>
          <w:color w:val="231F20"/>
          <w:spacing w:val="-13"/>
          <w:w w:val="115"/>
        </w:rPr>
        <w:t> </w:t>
      </w:r>
      <w:r>
        <w:rPr>
          <w:color w:val="231F20"/>
          <w:w w:val="115"/>
        </w:rPr>
        <w:t>notre</w:t>
      </w:r>
      <w:r>
        <w:rPr>
          <w:color w:val="231F20"/>
          <w:spacing w:val="-12"/>
          <w:w w:val="115"/>
        </w:rPr>
        <w:t> </w:t>
      </w:r>
      <w:r>
        <w:rPr>
          <w:color w:val="231F20"/>
          <w:w w:val="115"/>
        </w:rPr>
        <w:t>caractère</w:t>
      </w:r>
      <w:r>
        <w:rPr>
          <w:color w:val="231F20"/>
          <w:spacing w:val="-7"/>
          <w:w w:val="115"/>
        </w:rPr>
        <w:t> </w:t>
      </w:r>
      <w:r>
        <w:rPr>
          <w:color w:val="231F20"/>
          <w:w w:val="115"/>
        </w:rPr>
        <w:t>moral.</w:t>
      </w:r>
      <w:r>
        <w:rPr>
          <w:color w:val="231F20"/>
          <w:spacing w:val="-2"/>
          <w:w w:val="115"/>
        </w:rPr>
        <w:t> </w:t>
      </w:r>
      <w:r>
        <w:rPr>
          <w:color w:val="231F20"/>
          <w:w w:val="115"/>
        </w:rPr>
        <w:t>Son </w:t>
      </w:r>
      <w:r>
        <w:rPr>
          <w:color w:val="231F20"/>
          <w:w w:val="120"/>
        </w:rPr>
        <w:t>existence</w:t>
      </w:r>
      <w:r>
        <w:rPr>
          <w:color w:val="231F20"/>
          <w:spacing w:val="-5"/>
          <w:w w:val="120"/>
        </w:rPr>
        <w:t> </w:t>
      </w:r>
      <w:r>
        <w:rPr>
          <w:color w:val="231F20"/>
          <w:w w:val="120"/>
        </w:rPr>
        <w:t>est</w:t>
      </w:r>
      <w:r>
        <w:rPr>
          <w:color w:val="231F20"/>
          <w:spacing w:val="-5"/>
          <w:w w:val="120"/>
        </w:rPr>
        <w:t> </w:t>
      </w:r>
      <w:r>
        <w:rPr>
          <w:color w:val="231F20"/>
          <w:w w:val="120"/>
        </w:rPr>
        <w:t>particulièrement</w:t>
      </w:r>
      <w:r>
        <w:rPr>
          <w:color w:val="231F20"/>
          <w:spacing w:val="-5"/>
          <w:w w:val="120"/>
        </w:rPr>
        <w:t> </w:t>
      </w:r>
      <w:r>
        <w:rPr>
          <w:color w:val="231F20"/>
          <w:w w:val="120"/>
        </w:rPr>
        <w:t>sereine</w:t>
      </w:r>
      <w:r>
        <w:rPr>
          <w:color w:val="231F20"/>
          <w:spacing w:val="-5"/>
          <w:w w:val="120"/>
        </w:rPr>
        <w:t> </w:t>
      </w:r>
      <w:r>
        <w:rPr>
          <w:color w:val="231F20"/>
          <w:w w:val="120"/>
        </w:rPr>
        <w:t>et</w:t>
      </w:r>
      <w:r>
        <w:rPr>
          <w:color w:val="231F20"/>
          <w:spacing w:val="-5"/>
          <w:w w:val="120"/>
        </w:rPr>
        <w:t> </w:t>
      </w:r>
      <w:r>
        <w:rPr>
          <w:color w:val="231F20"/>
          <w:w w:val="120"/>
        </w:rPr>
        <w:t>inspirante;</w:t>
      </w:r>
      <w:r>
        <w:rPr>
          <w:color w:val="231F20"/>
          <w:spacing w:val="-5"/>
          <w:w w:val="120"/>
        </w:rPr>
        <w:t> </w:t>
      </w:r>
      <w:r>
        <w:rPr>
          <w:color w:val="231F20"/>
          <w:w w:val="120"/>
        </w:rPr>
        <w:t>c’est</w:t>
      </w:r>
      <w:r>
        <w:rPr>
          <w:color w:val="231F20"/>
          <w:spacing w:val="-5"/>
          <w:w w:val="120"/>
        </w:rPr>
        <w:t> </w:t>
      </w:r>
      <w:r>
        <w:rPr>
          <w:color w:val="231F20"/>
          <w:w w:val="120"/>
        </w:rPr>
        <w:t>lui</w:t>
      </w:r>
      <w:r>
        <w:rPr>
          <w:color w:val="231F20"/>
          <w:spacing w:val="-5"/>
          <w:w w:val="120"/>
        </w:rPr>
        <w:t> </w:t>
      </w:r>
      <w:r>
        <w:rPr>
          <w:color w:val="231F20"/>
          <w:w w:val="120"/>
        </w:rPr>
        <w:t>qui</w:t>
      </w:r>
      <w:r>
        <w:rPr>
          <w:color w:val="231F20"/>
          <w:spacing w:val="-5"/>
          <w:w w:val="120"/>
        </w:rPr>
        <w:t> </w:t>
      </w:r>
      <w:r>
        <w:rPr>
          <w:color w:val="231F20"/>
          <w:spacing w:val="-2"/>
          <w:w w:val="120"/>
        </w:rPr>
        <w:t>génère</w:t>
      </w:r>
    </w:p>
    <w:p>
      <w:pPr>
        <w:pStyle w:val="BodyText"/>
        <w:rPr>
          <w:sz w:val="20"/>
        </w:rPr>
      </w:pPr>
    </w:p>
    <w:p>
      <w:pPr>
        <w:pStyle w:val="BodyText"/>
        <w:rPr>
          <w:sz w:val="14"/>
        </w:rPr>
      </w:pPr>
      <w:r>
        <w:rPr/>
        <w:pict>
          <v:shape style="position:absolute;margin-left:82pt;margin-top:9.297022pt;width:287.5pt;height:.1pt;mso-position-horizontal-relative:page;mso-position-vertical-relative:paragraph;z-index:-15657472;mso-wrap-distance-left:0;mso-wrap-distance-right:0" id="docshape821" coordorigin="1640,186" coordsize="5750,0" path="m1640,186l7390,186e" filled="false" stroked="true" strokeweight=".25pt" strokecolor="#231f20">
            <v:path arrowok="t"/>
            <v:stroke dashstyle="shortdot"/>
            <w10:wrap type="topAndBottom"/>
          </v:shape>
        </w:pict>
      </w:r>
    </w:p>
    <w:p>
      <w:pPr>
        <w:tabs>
          <w:tab w:pos="1219" w:val="left" w:leader="none"/>
        </w:tabs>
        <w:spacing w:line="295" w:lineRule="auto" w:before="135"/>
        <w:ind w:left="1219" w:right="109" w:hanging="406"/>
        <w:jc w:val="left"/>
        <w:rPr>
          <w:rFonts w:ascii="Arial"/>
          <w:sz w:val="12"/>
        </w:rPr>
      </w:pPr>
      <w:r>
        <w:rPr>
          <w:rFonts w:ascii="Arial"/>
          <w:color w:val="231F20"/>
          <w:spacing w:val="-6"/>
          <w:sz w:val="12"/>
        </w:rPr>
        <w:t>16</w:t>
      </w:r>
      <w:r>
        <w:rPr>
          <w:rFonts w:ascii="Arial"/>
          <w:color w:val="231F20"/>
          <w:sz w:val="12"/>
        </w:rPr>
        <w:tab/>
        <w:t>Kohlberg,</w:t>
      </w:r>
      <w:r>
        <w:rPr>
          <w:rFonts w:ascii="Arial"/>
          <w:color w:val="231F20"/>
          <w:spacing w:val="22"/>
          <w:sz w:val="12"/>
        </w:rPr>
        <w:t> </w:t>
      </w:r>
      <w:r>
        <w:rPr>
          <w:rFonts w:ascii="Arial"/>
          <w:color w:val="231F20"/>
          <w:sz w:val="12"/>
        </w:rPr>
        <w:t>L.</w:t>
      </w:r>
      <w:r>
        <w:rPr>
          <w:rFonts w:ascii="Arial"/>
          <w:color w:val="231F20"/>
          <w:spacing w:val="22"/>
          <w:sz w:val="12"/>
        </w:rPr>
        <w:t> </w:t>
      </w:r>
      <w:r>
        <w:rPr>
          <w:rFonts w:ascii="Arial"/>
          <w:color w:val="231F20"/>
          <w:sz w:val="12"/>
        </w:rPr>
        <w:t>(1984).</w:t>
      </w:r>
      <w:r>
        <w:rPr>
          <w:rFonts w:ascii="Arial"/>
          <w:color w:val="231F20"/>
          <w:spacing w:val="22"/>
          <w:sz w:val="12"/>
        </w:rPr>
        <w:t> </w:t>
      </w:r>
      <w:r>
        <w:rPr>
          <w:rFonts w:ascii="Arial"/>
          <w:i/>
          <w:color w:val="231F20"/>
          <w:sz w:val="12"/>
        </w:rPr>
        <w:t>The</w:t>
      </w:r>
      <w:r>
        <w:rPr>
          <w:rFonts w:ascii="Arial"/>
          <w:i/>
          <w:color w:val="231F20"/>
          <w:spacing w:val="22"/>
          <w:sz w:val="12"/>
        </w:rPr>
        <w:t> </w:t>
      </w:r>
      <w:r>
        <w:rPr>
          <w:rFonts w:ascii="Arial"/>
          <w:i/>
          <w:color w:val="231F20"/>
          <w:sz w:val="12"/>
        </w:rPr>
        <w:t>Psychology</w:t>
      </w:r>
      <w:r>
        <w:rPr>
          <w:rFonts w:ascii="Arial"/>
          <w:i/>
          <w:color w:val="231F20"/>
          <w:spacing w:val="22"/>
          <w:sz w:val="12"/>
        </w:rPr>
        <w:t> </w:t>
      </w:r>
      <w:r>
        <w:rPr>
          <w:rFonts w:ascii="Arial"/>
          <w:i/>
          <w:color w:val="231F20"/>
          <w:sz w:val="12"/>
        </w:rPr>
        <w:t>of</w:t>
      </w:r>
      <w:r>
        <w:rPr>
          <w:rFonts w:ascii="Arial"/>
          <w:i/>
          <w:color w:val="231F20"/>
          <w:spacing w:val="22"/>
          <w:sz w:val="12"/>
        </w:rPr>
        <w:t> </w:t>
      </w:r>
      <w:r>
        <w:rPr>
          <w:rFonts w:ascii="Arial"/>
          <w:i/>
          <w:color w:val="231F20"/>
          <w:sz w:val="12"/>
        </w:rPr>
        <w:t>Moral</w:t>
      </w:r>
      <w:r>
        <w:rPr>
          <w:rFonts w:ascii="Arial"/>
          <w:i/>
          <w:color w:val="231F20"/>
          <w:spacing w:val="22"/>
          <w:sz w:val="12"/>
        </w:rPr>
        <w:t> </w:t>
      </w:r>
      <w:r>
        <w:rPr>
          <w:rFonts w:ascii="Arial"/>
          <w:i/>
          <w:color w:val="231F20"/>
          <w:sz w:val="12"/>
        </w:rPr>
        <w:t>Development</w:t>
      </w:r>
      <w:r>
        <w:rPr>
          <w:rFonts w:ascii="Arial"/>
          <w:i/>
          <w:color w:val="231F20"/>
          <w:spacing w:val="-13"/>
          <w:sz w:val="12"/>
        </w:rPr>
        <w:t> </w:t>
      </w:r>
      <w:r>
        <w:rPr>
          <w:rFonts w:ascii="Arial"/>
          <w:i/>
          <w:color w:val="231F20"/>
          <w:sz w:val="12"/>
        </w:rPr>
        <w:t>:</w:t>
      </w:r>
      <w:r>
        <w:rPr>
          <w:rFonts w:ascii="Arial"/>
          <w:i/>
          <w:color w:val="231F20"/>
          <w:spacing w:val="22"/>
          <w:sz w:val="12"/>
        </w:rPr>
        <w:t> </w:t>
      </w:r>
      <w:r>
        <w:rPr>
          <w:rFonts w:ascii="Arial"/>
          <w:i/>
          <w:color w:val="231F20"/>
          <w:sz w:val="12"/>
        </w:rPr>
        <w:t>The</w:t>
      </w:r>
      <w:r>
        <w:rPr>
          <w:rFonts w:ascii="Arial"/>
          <w:i/>
          <w:color w:val="231F20"/>
          <w:spacing w:val="22"/>
          <w:sz w:val="12"/>
        </w:rPr>
        <w:t> </w:t>
      </w:r>
      <w:r>
        <w:rPr>
          <w:rFonts w:ascii="Arial"/>
          <w:i/>
          <w:color w:val="231F20"/>
          <w:sz w:val="12"/>
        </w:rPr>
        <w:t>Nature</w:t>
      </w:r>
      <w:r>
        <w:rPr>
          <w:rFonts w:ascii="Arial"/>
          <w:i/>
          <w:color w:val="231F20"/>
          <w:spacing w:val="22"/>
          <w:sz w:val="12"/>
        </w:rPr>
        <w:t> </w:t>
      </w:r>
      <w:r>
        <w:rPr>
          <w:rFonts w:ascii="Arial"/>
          <w:i/>
          <w:color w:val="231F20"/>
          <w:sz w:val="12"/>
        </w:rPr>
        <w:t>and</w:t>
      </w:r>
      <w:r>
        <w:rPr>
          <w:rFonts w:ascii="Arial"/>
          <w:i/>
          <w:color w:val="231F20"/>
          <w:spacing w:val="22"/>
          <w:sz w:val="12"/>
        </w:rPr>
        <w:t> </w:t>
      </w:r>
      <w:r>
        <w:rPr>
          <w:rFonts w:ascii="Arial"/>
          <w:i/>
          <w:color w:val="231F20"/>
          <w:sz w:val="12"/>
        </w:rPr>
        <w:t>Validity</w:t>
      </w:r>
      <w:r>
        <w:rPr>
          <w:rFonts w:ascii="Arial"/>
          <w:i/>
          <w:color w:val="231F20"/>
          <w:spacing w:val="22"/>
          <w:sz w:val="12"/>
        </w:rPr>
        <w:t> </w:t>
      </w:r>
      <w:r>
        <w:rPr>
          <w:rFonts w:ascii="Arial"/>
          <w:i/>
          <w:color w:val="231F20"/>
          <w:sz w:val="12"/>
        </w:rPr>
        <w:t>of</w:t>
      </w:r>
      <w:r>
        <w:rPr>
          <w:rFonts w:ascii="Arial"/>
          <w:i/>
          <w:color w:val="231F20"/>
          <w:spacing w:val="22"/>
          <w:sz w:val="12"/>
        </w:rPr>
        <w:t> </w:t>
      </w:r>
      <w:r>
        <w:rPr>
          <w:rFonts w:ascii="Arial"/>
          <w:i/>
          <w:color w:val="231F20"/>
          <w:sz w:val="12"/>
        </w:rPr>
        <w:t>Moral</w:t>
      </w:r>
      <w:r>
        <w:rPr>
          <w:rFonts w:ascii="Arial"/>
          <w:i/>
          <w:color w:val="231F20"/>
          <w:spacing w:val="22"/>
          <w:sz w:val="12"/>
        </w:rPr>
        <w:t> </w:t>
      </w:r>
      <w:r>
        <w:rPr>
          <w:rFonts w:ascii="Arial"/>
          <w:i/>
          <w:color w:val="231F20"/>
          <w:sz w:val="12"/>
        </w:rPr>
        <w:t>Stages</w:t>
      </w:r>
      <w:r>
        <w:rPr>
          <w:rFonts w:ascii="Arial"/>
          <w:color w:val="231F20"/>
          <w:sz w:val="12"/>
        </w:rPr>
        <w:t>,</w:t>
      </w:r>
      <w:r>
        <w:rPr>
          <w:rFonts w:ascii="Arial"/>
          <w:color w:val="231F20"/>
          <w:spacing w:val="40"/>
          <w:sz w:val="12"/>
        </w:rPr>
        <w:t> </w:t>
      </w:r>
      <w:r>
        <w:rPr>
          <w:rFonts w:ascii="Arial"/>
          <w:color w:val="231F20"/>
          <w:sz w:val="12"/>
        </w:rPr>
        <w:t>San Francisco, Harper and Row.</w:t>
      </w:r>
    </w:p>
    <w:p>
      <w:pPr>
        <w:spacing w:after="0" w:line="295" w:lineRule="auto"/>
        <w:jc w:val="left"/>
        <w:rPr>
          <w:rFonts w:ascii="Arial"/>
          <w:sz w:val="12"/>
        </w:rPr>
        <w:sectPr>
          <w:footerReference w:type="default" r:id="rId23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20"/>
        </w:rPr>
        <w:t>l’estime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bien</w:t>
      </w:r>
      <w:r>
        <w:rPr>
          <w:color w:val="231F20"/>
          <w:spacing w:val="-12"/>
          <w:w w:val="120"/>
        </w:rPr>
        <w:t> </w:t>
      </w:r>
      <w:r>
        <w:rPr>
          <w:color w:val="231F20"/>
          <w:w w:val="120"/>
        </w:rPr>
        <w:t>au-delà</w:t>
      </w:r>
      <w:r>
        <w:rPr>
          <w:color w:val="231F20"/>
          <w:spacing w:val="-13"/>
          <w:w w:val="120"/>
        </w:rPr>
        <w:t> </w:t>
      </w:r>
      <w:r>
        <w:rPr>
          <w:color w:val="231F20"/>
          <w:w w:val="120"/>
        </w:rPr>
        <w:t>des</w:t>
      </w:r>
      <w:r>
        <w:rPr>
          <w:color w:val="231F20"/>
          <w:spacing w:val="-13"/>
          <w:w w:val="120"/>
        </w:rPr>
        <w:t> </w:t>
      </w:r>
      <w:r>
        <w:rPr>
          <w:color w:val="231F20"/>
          <w:w w:val="120"/>
        </w:rPr>
        <w:t>conventions.</w:t>
      </w:r>
      <w:r>
        <w:rPr>
          <w:color w:val="231F20"/>
          <w:spacing w:val="-13"/>
          <w:w w:val="120"/>
        </w:rPr>
        <w:t> </w:t>
      </w:r>
      <w:r>
        <w:rPr>
          <w:color w:val="231F20"/>
          <w:w w:val="120"/>
        </w:rPr>
        <w:t>L’externalisation</w:t>
      </w:r>
      <w:r>
        <w:rPr>
          <w:color w:val="231F20"/>
          <w:spacing w:val="-12"/>
          <w:w w:val="120"/>
        </w:rPr>
        <w:t> </w:t>
      </w:r>
      <w:r>
        <w:rPr>
          <w:color w:val="231F20"/>
          <w:w w:val="120"/>
        </w:rPr>
        <w:t>et</w:t>
      </w:r>
      <w:r>
        <w:rPr>
          <w:color w:val="231F20"/>
          <w:spacing w:val="-13"/>
          <w:w w:val="120"/>
        </w:rPr>
        <w:t> </w:t>
      </w:r>
      <w:r>
        <w:rPr>
          <w:color w:val="231F20"/>
          <w:w w:val="120"/>
        </w:rPr>
        <w:t>la</w:t>
      </w:r>
      <w:r>
        <w:rPr>
          <w:color w:val="231F20"/>
          <w:spacing w:val="-13"/>
          <w:w w:val="120"/>
        </w:rPr>
        <w:t> </w:t>
      </w:r>
      <w:r>
        <w:rPr>
          <w:color w:val="231F20"/>
          <w:w w:val="120"/>
        </w:rPr>
        <w:t>sti- mulation</w:t>
      </w:r>
      <w:r>
        <w:rPr>
          <w:color w:val="231F20"/>
          <w:spacing w:val="-11"/>
          <w:w w:val="120"/>
        </w:rPr>
        <w:t> </w:t>
      </w:r>
      <w:r>
        <w:rPr>
          <w:color w:val="231F20"/>
          <w:w w:val="120"/>
        </w:rPr>
        <w:t>excessive</w:t>
      </w:r>
      <w:r>
        <w:rPr>
          <w:color w:val="231F20"/>
          <w:spacing w:val="-11"/>
          <w:w w:val="120"/>
        </w:rPr>
        <w:t> </w:t>
      </w:r>
      <w:r>
        <w:rPr>
          <w:color w:val="231F20"/>
          <w:w w:val="120"/>
        </w:rPr>
        <w:t>alimentent</w:t>
      </w:r>
      <w:r>
        <w:rPr>
          <w:color w:val="231F20"/>
          <w:spacing w:val="-11"/>
          <w:w w:val="120"/>
        </w:rPr>
        <w:t> </w:t>
      </w:r>
      <w:r>
        <w:rPr>
          <w:color w:val="231F20"/>
          <w:w w:val="120"/>
        </w:rPr>
        <w:t>le</w:t>
      </w:r>
      <w:r>
        <w:rPr>
          <w:color w:val="231F20"/>
          <w:spacing w:val="-11"/>
          <w:w w:val="120"/>
        </w:rPr>
        <w:t> </w:t>
      </w:r>
      <w:r>
        <w:rPr>
          <w:color w:val="231F20"/>
          <w:w w:val="120"/>
        </w:rPr>
        <w:t>désir</w:t>
      </w:r>
      <w:r>
        <w:rPr>
          <w:color w:val="231F20"/>
          <w:spacing w:val="-11"/>
          <w:w w:val="120"/>
        </w:rPr>
        <w:t> </w:t>
      </w:r>
      <w:r>
        <w:rPr>
          <w:color w:val="231F20"/>
          <w:w w:val="120"/>
        </w:rPr>
        <w:t>de</w:t>
      </w:r>
      <w:r>
        <w:rPr>
          <w:color w:val="231F20"/>
          <w:spacing w:val="-11"/>
          <w:w w:val="120"/>
        </w:rPr>
        <w:t> </w:t>
      </w:r>
      <w:r>
        <w:rPr>
          <w:color w:val="231F20"/>
          <w:w w:val="120"/>
        </w:rPr>
        <w:t>contrôler</w:t>
      </w:r>
      <w:r>
        <w:rPr>
          <w:color w:val="231F20"/>
          <w:spacing w:val="-11"/>
          <w:w w:val="120"/>
        </w:rPr>
        <w:t> </w:t>
      </w:r>
      <w:r>
        <w:rPr>
          <w:color w:val="231F20"/>
          <w:w w:val="120"/>
        </w:rPr>
        <w:t>et</w:t>
      </w:r>
      <w:r>
        <w:rPr>
          <w:color w:val="231F20"/>
          <w:spacing w:val="-11"/>
          <w:w w:val="120"/>
        </w:rPr>
        <w:t> </w:t>
      </w:r>
      <w:r>
        <w:rPr>
          <w:color w:val="231F20"/>
          <w:w w:val="120"/>
        </w:rPr>
        <w:t>la</w:t>
      </w:r>
      <w:r>
        <w:rPr>
          <w:color w:val="231F20"/>
          <w:spacing w:val="-11"/>
          <w:w w:val="120"/>
        </w:rPr>
        <w:t> </w:t>
      </w:r>
      <w:r>
        <w:rPr>
          <w:color w:val="231F20"/>
          <w:w w:val="120"/>
        </w:rPr>
        <w:t>peur</w:t>
      </w:r>
      <w:r>
        <w:rPr>
          <w:color w:val="231F20"/>
          <w:spacing w:val="-11"/>
          <w:w w:val="120"/>
        </w:rPr>
        <w:t> </w:t>
      </w:r>
      <w:r>
        <w:rPr>
          <w:color w:val="231F20"/>
          <w:w w:val="120"/>
        </w:rPr>
        <w:t>de</w:t>
      </w:r>
      <w:r>
        <w:rPr>
          <w:color w:val="231F20"/>
          <w:spacing w:val="-11"/>
          <w:w w:val="120"/>
        </w:rPr>
        <w:t> </w:t>
      </w:r>
      <w:r>
        <w:rPr>
          <w:color w:val="231F20"/>
          <w:w w:val="120"/>
        </w:rPr>
        <w:t>l’ennui et</w:t>
      </w:r>
      <w:r>
        <w:rPr>
          <w:color w:val="231F20"/>
          <w:spacing w:val="-9"/>
          <w:w w:val="120"/>
        </w:rPr>
        <w:t> </w:t>
      </w:r>
      <w:r>
        <w:rPr>
          <w:color w:val="231F20"/>
          <w:w w:val="120"/>
        </w:rPr>
        <w:t>du</w:t>
      </w:r>
      <w:r>
        <w:rPr>
          <w:color w:val="231F20"/>
          <w:spacing w:val="-8"/>
          <w:w w:val="120"/>
        </w:rPr>
        <w:t> </w:t>
      </w:r>
      <w:r>
        <w:rPr>
          <w:color w:val="231F20"/>
          <w:w w:val="120"/>
        </w:rPr>
        <w:t>rejet</w:t>
      </w:r>
      <w:r>
        <w:rPr>
          <w:color w:val="231F20"/>
          <w:spacing w:val="-8"/>
          <w:w w:val="120"/>
        </w:rPr>
        <w:t> </w:t>
      </w:r>
      <w:r>
        <w:rPr>
          <w:color w:val="231F20"/>
          <w:w w:val="120"/>
        </w:rPr>
        <w:t>social</w:t>
      </w:r>
      <w:r>
        <w:rPr>
          <w:color w:val="231F20"/>
          <w:spacing w:val="-8"/>
          <w:w w:val="120"/>
        </w:rPr>
        <w:t> </w:t>
      </w:r>
      <w:r>
        <w:rPr>
          <w:color w:val="231F20"/>
          <w:w w:val="120"/>
        </w:rPr>
        <w:t>tendent</w:t>
      </w:r>
      <w:r>
        <w:rPr>
          <w:color w:val="231F20"/>
          <w:spacing w:val="-9"/>
          <w:w w:val="120"/>
        </w:rPr>
        <w:t> </w:t>
      </w:r>
      <w:r>
        <w:rPr>
          <w:color w:val="231F20"/>
          <w:w w:val="120"/>
        </w:rPr>
        <w:t>à</w:t>
      </w:r>
      <w:r>
        <w:rPr>
          <w:color w:val="231F20"/>
          <w:spacing w:val="-9"/>
          <w:w w:val="120"/>
        </w:rPr>
        <w:t> </w:t>
      </w:r>
      <w:r>
        <w:rPr>
          <w:color w:val="231F20"/>
          <w:w w:val="120"/>
        </w:rPr>
        <w:t>fermer</w:t>
      </w:r>
      <w:r>
        <w:rPr>
          <w:color w:val="231F20"/>
          <w:spacing w:val="-8"/>
          <w:w w:val="120"/>
        </w:rPr>
        <w:t> </w:t>
      </w:r>
      <w:r>
        <w:rPr>
          <w:color w:val="231F20"/>
          <w:w w:val="120"/>
        </w:rPr>
        <w:t>l’accès</w:t>
      </w:r>
      <w:r>
        <w:rPr>
          <w:color w:val="231F20"/>
          <w:spacing w:val="-9"/>
          <w:w w:val="120"/>
        </w:rPr>
        <w:t> </w:t>
      </w:r>
      <w:r>
        <w:rPr>
          <w:color w:val="231F20"/>
          <w:w w:val="120"/>
        </w:rPr>
        <w:t>à</w:t>
      </w:r>
      <w:r>
        <w:rPr>
          <w:color w:val="231F20"/>
          <w:spacing w:val="-9"/>
          <w:w w:val="120"/>
        </w:rPr>
        <w:t> </w:t>
      </w:r>
      <w:r>
        <w:rPr>
          <w:color w:val="231F20"/>
          <w:w w:val="120"/>
        </w:rPr>
        <w:t>cet</w:t>
      </w:r>
      <w:r>
        <w:rPr>
          <w:color w:val="231F20"/>
          <w:spacing w:val="-9"/>
          <w:w w:val="120"/>
        </w:rPr>
        <w:t> </w:t>
      </w:r>
      <w:r>
        <w:rPr>
          <w:color w:val="231F20"/>
          <w:w w:val="120"/>
        </w:rPr>
        <w:t>actif</w:t>
      </w:r>
      <w:r>
        <w:rPr>
          <w:color w:val="231F20"/>
          <w:spacing w:val="-8"/>
          <w:w w:val="120"/>
        </w:rPr>
        <w:t> </w:t>
      </w:r>
      <w:r>
        <w:rPr>
          <w:color w:val="231F20"/>
          <w:w w:val="120"/>
        </w:rPr>
        <w:t>essentiel,</w:t>
      </w:r>
      <w:r>
        <w:rPr>
          <w:color w:val="231F20"/>
          <w:spacing w:val="-8"/>
          <w:w w:val="120"/>
        </w:rPr>
        <w:t> </w:t>
      </w:r>
      <w:r>
        <w:rPr>
          <w:color w:val="231F20"/>
          <w:w w:val="120"/>
        </w:rPr>
        <w:t>source</w:t>
      </w:r>
      <w:r>
        <w:rPr>
          <w:color w:val="231F20"/>
          <w:spacing w:val="-8"/>
          <w:w w:val="120"/>
        </w:rPr>
        <w:t> </w:t>
      </w:r>
      <w:r>
        <w:rPr>
          <w:color w:val="231F20"/>
          <w:w w:val="120"/>
        </w:rPr>
        <w:t>de liberté, de bienveillance et de sagesse vitale, que chacun porte en soi.</w:t>
      </w:r>
    </w:p>
    <w:p>
      <w:pPr>
        <w:pStyle w:val="BodyText"/>
        <w:spacing w:line="307" w:lineRule="auto" w:before="79"/>
        <w:ind w:left="830" w:right="495" w:firstLine="250"/>
        <w:jc w:val="both"/>
      </w:pPr>
      <w:r>
        <w:rPr>
          <w:color w:val="231F20"/>
          <w:spacing w:val="-2"/>
          <w:w w:val="120"/>
        </w:rPr>
        <w:t>Sur</w:t>
      </w:r>
      <w:r>
        <w:rPr>
          <w:color w:val="231F20"/>
          <w:spacing w:val="-11"/>
          <w:w w:val="120"/>
        </w:rPr>
        <w:t> </w:t>
      </w:r>
      <w:r>
        <w:rPr>
          <w:color w:val="231F20"/>
          <w:spacing w:val="-2"/>
          <w:w w:val="120"/>
        </w:rPr>
        <w:t>des</w:t>
      </w:r>
      <w:r>
        <w:rPr>
          <w:color w:val="231F20"/>
          <w:spacing w:val="-11"/>
          <w:w w:val="120"/>
        </w:rPr>
        <w:t> </w:t>
      </w:r>
      <w:r>
        <w:rPr>
          <w:color w:val="231F20"/>
          <w:spacing w:val="-2"/>
          <w:w w:val="120"/>
        </w:rPr>
        <w:t>bases</w:t>
      </w:r>
      <w:r>
        <w:rPr>
          <w:color w:val="231F20"/>
          <w:spacing w:val="-11"/>
          <w:w w:val="120"/>
        </w:rPr>
        <w:t> </w:t>
      </w:r>
      <w:r>
        <w:rPr>
          <w:color w:val="231F20"/>
          <w:spacing w:val="-2"/>
          <w:w w:val="120"/>
        </w:rPr>
        <w:t>factuelles,</w:t>
      </w:r>
      <w:r>
        <w:rPr>
          <w:color w:val="231F20"/>
          <w:spacing w:val="-10"/>
          <w:w w:val="120"/>
        </w:rPr>
        <w:t> </w:t>
      </w:r>
      <w:r>
        <w:rPr>
          <w:color w:val="231F20"/>
          <w:spacing w:val="-2"/>
          <w:w w:val="120"/>
        </w:rPr>
        <w:t>on</w:t>
      </w:r>
      <w:r>
        <w:rPr>
          <w:color w:val="231F20"/>
          <w:spacing w:val="-11"/>
          <w:w w:val="120"/>
        </w:rPr>
        <w:t> </w:t>
      </w:r>
      <w:r>
        <w:rPr>
          <w:color w:val="231F20"/>
          <w:spacing w:val="-2"/>
          <w:w w:val="120"/>
        </w:rPr>
        <w:t>peut</w:t>
      </w:r>
      <w:r>
        <w:rPr>
          <w:color w:val="231F20"/>
          <w:spacing w:val="-11"/>
          <w:w w:val="120"/>
        </w:rPr>
        <w:t> </w:t>
      </w:r>
      <w:r>
        <w:rPr>
          <w:color w:val="231F20"/>
          <w:spacing w:val="-2"/>
          <w:w w:val="120"/>
        </w:rPr>
        <w:t>établir</w:t>
      </w:r>
      <w:r>
        <w:rPr>
          <w:color w:val="231F20"/>
          <w:spacing w:val="-11"/>
          <w:w w:val="120"/>
        </w:rPr>
        <w:t> </w:t>
      </w:r>
      <w:r>
        <w:rPr>
          <w:color w:val="231F20"/>
          <w:spacing w:val="-2"/>
          <w:w w:val="120"/>
        </w:rPr>
        <w:t>plusieurs</w:t>
      </w:r>
      <w:r>
        <w:rPr>
          <w:color w:val="231F20"/>
          <w:spacing w:val="-10"/>
          <w:w w:val="120"/>
        </w:rPr>
        <w:t> </w:t>
      </w:r>
      <w:r>
        <w:rPr>
          <w:color w:val="231F20"/>
          <w:spacing w:val="-2"/>
          <w:w w:val="120"/>
        </w:rPr>
        <w:t>liens</w:t>
      </w:r>
      <w:r>
        <w:rPr>
          <w:color w:val="231F20"/>
          <w:spacing w:val="-11"/>
          <w:w w:val="120"/>
        </w:rPr>
        <w:t> </w:t>
      </w:r>
      <w:r>
        <w:rPr>
          <w:color w:val="231F20"/>
          <w:spacing w:val="-2"/>
          <w:w w:val="120"/>
        </w:rPr>
        <w:t>entre</w:t>
      </w:r>
      <w:r>
        <w:rPr>
          <w:color w:val="231F20"/>
          <w:spacing w:val="-11"/>
          <w:w w:val="120"/>
        </w:rPr>
        <w:t> </w:t>
      </w:r>
      <w:r>
        <w:rPr>
          <w:color w:val="231F20"/>
          <w:spacing w:val="-2"/>
          <w:w w:val="120"/>
        </w:rPr>
        <w:t>les</w:t>
      </w:r>
      <w:r>
        <w:rPr>
          <w:color w:val="231F20"/>
          <w:spacing w:val="-11"/>
          <w:w w:val="120"/>
        </w:rPr>
        <w:t> </w:t>
      </w:r>
      <w:r>
        <w:rPr>
          <w:color w:val="231F20"/>
          <w:spacing w:val="-2"/>
          <w:w w:val="120"/>
        </w:rPr>
        <w:t>divers </w:t>
      </w:r>
      <w:r>
        <w:rPr>
          <w:color w:val="231F20"/>
          <w:w w:val="120"/>
        </w:rPr>
        <w:t>mécanismes de défense formulés par la psychanalyse freudienne17 et les mécanismes de protection de l’estime de soi:</w:t>
      </w:r>
    </w:p>
    <w:p>
      <w:pPr>
        <w:pStyle w:val="BodyText"/>
        <w:spacing w:before="5"/>
        <w:rPr>
          <w:sz w:val="23"/>
        </w:rPr>
      </w:pPr>
    </w:p>
    <w:p>
      <w:pPr>
        <w:pStyle w:val="BodyText"/>
        <w:spacing w:line="307" w:lineRule="auto"/>
        <w:ind w:left="830" w:right="493"/>
        <w:jc w:val="both"/>
      </w:pPr>
      <w:r>
        <w:rPr>
          <w:b/>
          <w:color w:val="231F20"/>
          <w:w w:val="120"/>
        </w:rPr>
        <w:t>La compensation. </w:t>
      </w:r>
      <w:r>
        <w:rPr>
          <w:color w:val="231F20"/>
          <w:w w:val="120"/>
        </w:rPr>
        <w:t>Ce processus consiste à masquer les perceptions négatives</w:t>
      </w:r>
      <w:r>
        <w:rPr>
          <w:color w:val="231F20"/>
          <w:spacing w:val="-4"/>
          <w:w w:val="120"/>
        </w:rPr>
        <w:t> </w:t>
      </w:r>
      <w:r>
        <w:rPr>
          <w:color w:val="231F20"/>
          <w:w w:val="120"/>
        </w:rPr>
        <w:t>de</w:t>
      </w:r>
      <w:r>
        <w:rPr>
          <w:color w:val="231F20"/>
          <w:spacing w:val="-4"/>
          <w:w w:val="120"/>
        </w:rPr>
        <w:t> </w:t>
      </w:r>
      <w:r>
        <w:rPr>
          <w:color w:val="231F20"/>
          <w:w w:val="120"/>
        </w:rPr>
        <w:t>soi-même</w:t>
      </w:r>
      <w:r>
        <w:rPr>
          <w:color w:val="231F20"/>
          <w:spacing w:val="-4"/>
          <w:w w:val="120"/>
        </w:rPr>
        <w:t> </w:t>
      </w:r>
      <w:r>
        <w:rPr>
          <w:color w:val="231F20"/>
          <w:w w:val="120"/>
        </w:rPr>
        <w:t>ou</w:t>
      </w:r>
      <w:r>
        <w:rPr>
          <w:color w:val="231F20"/>
          <w:spacing w:val="-4"/>
          <w:w w:val="120"/>
        </w:rPr>
        <w:t> </w:t>
      </w:r>
      <w:r>
        <w:rPr>
          <w:color w:val="231F20"/>
          <w:w w:val="120"/>
        </w:rPr>
        <w:t>à</w:t>
      </w:r>
      <w:r>
        <w:rPr>
          <w:color w:val="231F20"/>
          <w:spacing w:val="-4"/>
          <w:w w:val="120"/>
        </w:rPr>
        <w:t> </w:t>
      </w:r>
      <w:r>
        <w:rPr>
          <w:color w:val="231F20"/>
          <w:w w:val="120"/>
        </w:rPr>
        <w:t>en</w:t>
      </w:r>
      <w:r>
        <w:rPr>
          <w:color w:val="231F20"/>
          <w:spacing w:val="-4"/>
          <w:w w:val="120"/>
        </w:rPr>
        <w:t> </w:t>
      </w:r>
      <w:r>
        <w:rPr>
          <w:color w:val="231F20"/>
          <w:w w:val="120"/>
        </w:rPr>
        <w:t>développer</w:t>
      </w:r>
      <w:r>
        <w:rPr>
          <w:color w:val="231F20"/>
          <w:spacing w:val="-4"/>
          <w:w w:val="120"/>
        </w:rPr>
        <w:t> </w:t>
      </w:r>
      <w:r>
        <w:rPr>
          <w:color w:val="231F20"/>
          <w:w w:val="120"/>
        </w:rPr>
        <w:t>des</w:t>
      </w:r>
      <w:r>
        <w:rPr>
          <w:color w:val="231F20"/>
          <w:spacing w:val="-4"/>
          <w:w w:val="120"/>
        </w:rPr>
        <w:t> </w:t>
      </w:r>
      <w:r>
        <w:rPr>
          <w:color w:val="231F20"/>
          <w:w w:val="120"/>
        </w:rPr>
        <w:t>positives</w:t>
      </w:r>
      <w:r>
        <w:rPr>
          <w:color w:val="231F20"/>
          <w:spacing w:val="-4"/>
          <w:w w:val="120"/>
        </w:rPr>
        <w:t> </w:t>
      </w:r>
      <w:r>
        <w:rPr>
          <w:color w:val="231F20"/>
          <w:w w:val="120"/>
        </w:rPr>
        <w:t>pour</w:t>
      </w:r>
      <w:r>
        <w:rPr>
          <w:color w:val="231F20"/>
          <w:spacing w:val="-4"/>
          <w:w w:val="120"/>
        </w:rPr>
        <w:t> </w:t>
      </w:r>
      <w:r>
        <w:rPr>
          <w:color w:val="231F20"/>
          <w:w w:val="120"/>
        </w:rPr>
        <w:t>compen- ser</w:t>
      </w:r>
      <w:r>
        <w:rPr>
          <w:color w:val="231F20"/>
          <w:spacing w:val="-4"/>
          <w:w w:val="120"/>
        </w:rPr>
        <w:t> </w:t>
      </w:r>
      <w:r>
        <w:rPr>
          <w:color w:val="231F20"/>
          <w:w w:val="120"/>
        </w:rPr>
        <w:t>les</w:t>
      </w:r>
      <w:r>
        <w:rPr>
          <w:color w:val="231F20"/>
          <w:spacing w:val="-4"/>
          <w:w w:val="120"/>
        </w:rPr>
        <w:t> </w:t>
      </w:r>
      <w:r>
        <w:rPr>
          <w:color w:val="231F20"/>
          <w:w w:val="120"/>
        </w:rPr>
        <w:t>premières.</w:t>
      </w:r>
      <w:r>
        <w:rPr>
          <w:color w:val="231F20"/>
          <w:spacing w:val="-4"/>
          <w:w w:val="120"/>
        </w:rPr>
        <w:t> </w:t>
      </w:r>
      <w:r>
        <w:rPr>
          <w:color w:val="231F20"/>
          <w:w w:val="120"/>
        </w:rPr>
        <w:t>Par</w:t>
      </w:r>
      <w:r>
        <w:rPr>
          <w:color w:val="231F20"/>
          <w:spacing w:val="-4"/>
          <w:w w:val="120"/>
        </w:rPr>
        <w:t> </w:t>
      </w:r>
      <w:r>
        <w:rPr>
          <w:color w:val="231F20"/>
          <w:w w:val="120"/>
        </w:rPr>
        <w:t>exemple,</w:t>
      </w:r>
      <w:r>
        <w:rPr>
          <w:color w:val="231F20"/>
          <w:spacing w:val="-4"/>
          <w:w w:val="120"/>
        </w:rPr>
        <w:t> </w:t>
      </w:r>
      <w:r>
        <w:rPr>
          <w:color w:val="231F20"/>
          <w:w w:val="120"/>
        </w:rPr>
        <w:t>une</w:t>
      </w:r>
      <w:r>
        <w:rPr>
          <w:color w:val="231F20"/>
          <w:spacing w:val="-4"/>
          <w:w w:val="120"/>
        </w:rPr>
        <w:t> </w:t>
      </w:r>
      <w:r>
        <w:rPr>
          <w:color w:val="231F20"/>
          <w:w w:val="120"/>
        </w:rPr>
        <w:t>personne</w:t>
      </w:r>
      <w:r>
        <w:rPr>
          <w:color w:val="231F20"/>
          <w:spacing w:val="-4"/>
          <w:w w:val="120"/>
        </w:rPr>
        <w:t> </w:t>
      </w:r>
      <w:r>
        <w:rPr>
          <w:color w:val="231F20"/>
          <w:w w:val="120"/>
        </w:rPr>
        <w:t>qui</w:t>
      </w:r>
      <w:r>
        <w:rPr>
          <w:color w:val="231F20"/>
          <w:spacing w:val="-4"/>
          <w:w w:val="120"/>
        </w:rPr>
        <w:t> </w:t>
      </w:r>
      <w:r>
        <w:rPr>
          <w:color w:val="231F20"/>
          <w:w w:val="120"/>
        </w:rPr>
        <w:t>se</w:t>
      </w:r>
      <w:r>
        <w:rPr>
          <w:color w:val="231F20"/>
          <w:spacing w:val="-4"/>
          <w:w w:val="120"/>
        </w:rPr>
        <w:t> </w:t>
      </w:r>
      <w:r>
        <w:rPr>
          <w:color w:val="231F20"/>
          <w:w w:val="120"/>
        </w:rPr>
        <w:t>trouve</w:t>
      </w:r>
      <w:r>
        <w:rPr>
          <w:color w:val="231F20"/>
          <w:spacing w:val="-4"/>
          <w:w w:val="120"/>
        </w:rPr>
        <w:t> </w:t>
      </w:r>
      <w:r>
        <w:rPr>
          <w:color w:val="231F20"/>
          <w:w w:val="120"/>
        </w:rPr>
        <w:t>plutôt</w:t>
      </w:r>
      <w:r>
        <w:rPr>
          <w:color w:val="231F20"/>
          <w:spacing w:val="-4"/>
          <w:w w:val="120"/>
        </w:rPr>
        <w:t> </w:t>
      </w:r>
      <w:r>
        <w:rPr>
          <w:color w:val="231F20"/>
          <w:w w:val="120"/>
        </w:rPr>
        <w:t>ordi- naire fait beaucoup de conditionnement physique pour compenser cette</w:t>
      </w:r>
      <w:r>
        <w:rPr>
          <w:color w:val="231F20"/>
          <w:spacing w:val="-13"/>
          <w:w w:val="120"/>
        </w:rPr>
        <w:t> </w:t>
      </w:r>
      <w:r>
        <w:rPr>
          <w:color w:val="231F20"/>
          <w:w w:val="120"/>
        </w:rPr>
        <w:t>impression.</w:t>
      </w:r>
    </w:p>
    <w:p>
      <w:pPr>
        <w:pStyle w:val="BodyText"/>
        <w:spacing w:before="5"/>
        <w:rPr>
          <w:sz w:val="23"/>
        </w:rPr>
      </w:pPr>
    </w:p>
    <w:p>
      <w:pPr>
        <w:pStyle w:val="BodyText"/>
        <w:spacing w:line="307" w:lineRule="auto"/>
        <w:ind w:left="830" w:right="494"/>
        <w:jc w:val="both"/>
      </w:pPr>
      <w:r>
        <w:rPr>
          <w:b/>
          <w:color w:val="231F20"/>
          <w:w w:val="115"/>
        </w:rPr>
        <w:t>Le</w:t>
      </w:r>
      <w:r>
        <w:rPr>
          <w:b/>
          <w:color w:val="231F20"/>
          <w:spacing w:val="-13"/>
          <w:w w:val="115"/>
        </w:rPr>
        <w:t> </w:t>
      </w:r>
      <w:r>
        <w:rPr>
          <w:b/>
          <w:color w:val="231F20"/>
          <w:w w:val="115"/>
        </w:rPr>
        <w:t>déni.</w:t>
      </w:r>
      <w:r>
        <w:rPr>
          <w:b/>
          <w:color w:val="231F20"/>
          <w:spacing w:val="-12"/>
          <w:w w:val="115"/>
        </w:rPr>
        <w:t> </w:t>
      </w:r>
      <w:r>
        <w:rPr>
          <w:color w:val="231F20"/>
          <w:w w:val="115"/>
        </w:rPr>
        <w:t>Ce</w:t>
      </w:r>
      <w:r>
        <w:rPr>
          <w:color w:val="231F20"/>
          <w:spacing w:val="-12"/>
          <w:w w:val="115"/>
        </w:rPr>
        <w:t> </w:t>
      </w:r>
      <w:r>
        <w:rPr>
          <w:color w:val="231F20"/>
          <w:w w:val="115"/>
        </w:rPr>
        <w:t>processus</w:t>
      </w:r>
      <w:r>
        <w:rPr>
          <w:color w:val="231F20"/>
          <w:spacing w:val="-12"/>
          <w:w w:val="115"/>
        </w:rPr>
        <w:t> </w:t>
      </w:r>
      <w:r>
        <w:rPr>
          <w:color w:val="231F20"/>
          <w:w w:val="115"/>
        </w:rPr>
        <w:t>consiste,</w:t>
      </w:r>
      <w:r>
        <w:rPr>
          <w:color w:val="231F20"/>
          <w:spacing w:val="-11"/>
          <w:w w:val="115"/>
        </w:rPr>
        <w:t> </w:t>
      </w:r>
      <w:r>
        <w:rPr>
          <w:color w:val="231F20"/>
          <w:w w:val="115"/>
        </w:rPr>
        <w:t>pour</w:t>
      </w:r>
      <w:r>
        <w:rPr>
          <w:color w:val="231F20"/>
          <w:spacing w:val="-12"/>
          <w:w w:val="115"/>
        </w:rPr>
        <w:t> </w:t>
      </w:r>
      <w:r>
        <w:rPr>
          <w:color w:val="231F20"/>
          <w:w w:val="115"/>
        </w:rPr>
        <w:t>l’individu</w:t>
      </w:r>
      <w:r>
        <w:rPr>
          <w:color w:val="231F20"/>
          <w:spacing w:val="-12"/>
          <w:w w:val="115"/>
        </w:rPr>
        <w:t> </w:t>
      </w:r>
      <w:r>
        <w:rPr>
          <w:color w:val="231F20"/>
          <w:w w:val="115"/>
        </w:rPr>
        <w:t>qui</w:t>
      </w:r>
      <w:r>
        <w:rPr>
          <w:color w:val="231F20"/>
          <w:spacing w:val="-11"/>
          <w:w w:val="115"/>
        </w:rPr>
        <w:t> </w:t>
      </w:r>
      <w:r>
        <w:rPr>
          <w:color w:val="231F20"/>
          <w:w w:val="115"/>
        </w:rPr>
        <w:t>a</w:t>
      </w:r>
      <w:r>
        <w:rPr>
          <w:color w:val="231F20"/>
          <w:spacing w:val="-12"/>
          <w:w w:val="115"/>
        </w:rPr>
        <w:t> </w:t>
      </w:r>
      <w:r>
        <w:rPr>
          <w:color w:val="231F20"/>
          <w:w w:val="115"/>
        </w:rPr>
        <w:t>certaines</w:t>
      </w:r>
      <w:r>
        <w:rPr>
          <w:color w:val="231F20"/>
          <w:spacing w:val="-12"/>
          <w:w w:val="115"/>
        </w:rPr>
        <w:t> </w:t>
      </w:r>
      <w:r>
        <w:rPr>
          <w:color w:val="231F20"/>
          <w:w w:val="115"/>
        </w:rPr>
        <w:t>perceptions négatives de lui-même, à se rendre aveugle à celles qu’il refuse d’affron- ter. Le déni équivaut à «</w:t>
      </w:r>
      <w:r>
        <w:rPr>
          <w:color w:val="231F20"/>
          <w:spacing w:val="-13"/>
          <w:w w:val="115"/>
        </w:rPr>
        <w:t> </w:t>
      </w:r>
      <w:r>
        <w:rPr>
          <w:color w:val="231F20"/>
          <w:w w:val="115"/>
        </w:rPr>
        <w:t>fermer les yeux» devant les perceptions néga- tives de soi-même associées à des personnes, des lieux ou des choses</w:t>
      </w:r>
      <w:r>
        <w:rPr>
          <w:color w:val="231F20"/>
          <w:spacing w:val="40"/>
          <w:w w:val="115"/>
        </w:rPr>
        <w:t> </w:t>
      </w:r>
      <w:r>
        <w:rPr>
          <w:color w:val="231F20"/>
          <w:w w:val="115"/>
        </w:rPr>
        <w:t>trop</w:t>
      </w:r>
      <w:r>
        <w:rPr>
          <w:color w:val="231F20"/>
          <w:spacing w:val="39"/>
          <w:w w:val="115"/>
        </w:rPr>
        <w:t> </w:t>
      </w:r>
      <w:r>
        <w:rPr>
          <w:color w:val="231F20"/>
          <w:w w:val="115"/>
        </w:rPr>
        <w:t>difficiles</w:t>
      </w:r>
      <w:r>
        <w:rPr>
          <w:color w:val="231F20"/>
          <w:spacing w:val="39"/>
          <w:w w:val="115"/>
        </w:rPr>
        <w:t> </w:t>
      </w:r>
      <w:r>
        <w:rPr>
          <w:color w:val="231F20"/>
          <w:w w:val="115"/>
        </w:rPr>
        <w:t>à</w:t>
      </w:r>
      <w:r>
        <w:rPr>
          <w:color w:val="231F20"/>
          <w:spacing w:val="39"/>
          <w:w w:val="115"/>
        </w:rPr>
        <w:t> </w:t>
      </w:r>
      <w:r>
        <w:rPr>
          <w:color w:val="231F20"/>
          <w:w w:val="115"/>
        </w:rPr>
        <w:t>voir</w:t>
      </w:r>
      <w:r>
        <w:rPr>
          <w:color w:val="231F20"/>
          <w:spacing w:val="39"/>
          <w:w w:val="115"/>
        </w:rPr>
        <w:t> </w:t>
      </w:r>
      <w:r>
        <w:rPr>
          <w:color w:val="231F20"/>
          <w:w w:val="115"/>
        </w:rPr>
        <w:t>en</w:t>
      </w:r>
      <w:r>
        <w:rPr>
          <w:color w:val="231F20"/>
          <w:spacing w:val="39"/>
          <w:w w:val="115"/>
        </w:rPr>
        <w:t> </w:t>
      </w:r>
      <w:r>
        <w:rPr>
          <w:color w:val="231F20"/>
          <w:w w:val="115"/>
        </w:rPr>
        <w:t>face.</w:t>
      </w:r>
      <w:r>
        <w:rPr>
          <w:color w:val="231F20"/>
          <w:spacing w:val="39"/>
          <w:w w:val="115"/>
        </w:rPr>
        <w:t> </w:t>
      </w:r>
      <w:r>
        <w:rPr>
          <w:color w:val="231F20"/>
          <w:w w:val="115"/>
        </w:rPr>
        <w:t>Par</w:t>
      </w:r>
      <w:r>
        <w:rPr>
          <w:color w:val="231F20"/>
          <w:spacing w:val="39"/>
          <w:w w:val="115"/>
        </w:rPr>
        <w:t> </w:t>
      </w:r>
      <w:r>
        <w:rPr>
          <w:color w:val="231F20"/>
          <w:w w:val="115"/>
        </w:rPr>
        <w:t>exemple,</w:t>
      </w:r>
      <w:r>
        <w:rPr>
          <w:color w:val="231F20"/>
          <w:spacing w:val="39"/>
          <w:w w:val="115"/>
        </w:rPr>
        <w:t> </w:t>
      </w:r>
      <w:r>
        <w:rPr>
          <w:color w:val="231F20"/>
          <w:w w:val="115"/>
        </w:rPr>
        <w:t>une</w:t>
      </w:r>
      <w:r>
        <w:rPr>
          <w:color w:val="231F20"/>
          <w:spacing w:val="39"/>
          <w:w w:val="115"/>
        </w:rPr>
        <w:t> </w:t>
      </w:r>
      <w:r>
        <w:rPr>
          <w:color w:val="231F20"/>
          <w:w w:val="115"/>
        </w:rPr>
        <w:t>famille</w:t>
      </w:r>
      <w:r>
        <w:rPr>
          <w:color w:val="231F20"/>
          <w:spacing w:val="39"/>
          <w:w w:val="115"/>
        </w:rPr>
        <w:t> </w:t>
      </w:r>
      <w:r>
        <w:rPr>
          <w:color w:val="231F20"/>
          <w:w w:val="115"/>
        </w:rPr>
        <w:t>fait</w:t>
      </w:r>
      <w:r>
        <w:rPr>
          <w:color w:val="231F20"/>
          <w:spacing w:val="39"/>
          <w:w w:val="115"/>
        </w:rPr>
        <w:t> </w:t>
      </w:r>
      <w:r>
        <w:rPr>
          <w:color w:val="231F20"/>
          <w:w w:val="115"/>
        </w:rPr>
        <w:t>semblant que le père est simplement malade alors qu’il souffre d’un problème évident</w:t>
      </w:r>
      <w:r>
        <w:rPr>
          <w:color w:val="231F20"/>
          <w:spacing w:val="-13"/>
          <w:w w:val="115"/>
        </w:rPr>
        <w:t> </w:t>
      </w:r>
      <w:r>
        <w:rPr>
          <w:color w:val="231F20"/>
          <w:w w:val="115"/>
        </w:rPr>
        <w:t>d’alcoolisme.</w:t>
      </w:r>
    </w:p>
    <w:p>
      <w:pPr>
        <w:pStyle w:val="BodyText"/>
        <w:spacing w:before="4"/>
        <w:rPr>
          <w:sz w:val="23"/>
        </w:rPr>
      </w:pPr>
    </w:p>
    <w:p>
      <w:pPr>
        <w:pStyle w:val="BodyText"/>
        <w:spacing w:line="307" w:lineRule="auto" w:before="1"/>
        <w:ind w:left="830" w:right="493"/>
        <w:jc w:val="both"/>
      </w:pPr>
      <w:r>
        <w:rPr>
          <w:b/>
          <w:color w:val="231F20"/>
          <w:w w:val="115"/>
        </w:rPr>
        <w:t>Le déplacement. </w:t>
      </w:r>
      <w:r>
        <w:rPr>
          <w:color w:val="231F20"/>
          <w:w w:val="115"/>
        </w:rPr>
        <w:t>Ce mécanisme se produit lorsqu’on exprime des senti- ments à une cible de substitution parce qu’on craint d’en faire part à la cible véritable. Les sentiments que l’individu communique à la cible de substitution reposent sur les perceptions négatives qu’il a de la cible réelle. La colère inopinée et le délestage émotionnel sur autrui peuvent être des exemples de déplacement. Dans ces exemples, le sujet épanche</w:t>
      </w:r>
      <w:r>
        <w:rPr>
          <w:color w:val="231F20"/>
          <w:spacing w:val="40"/>
          <w:w w:val="115"/>
        </w:rPr>
        <w:t> </w:t>
      </w:r>
      <w:r>
        <w:rPr>
          <w:color w:val="231F20"/>
          <w:w w:val="115"/>
        </w:rPr>
        <w:t>la</w:t>
      </w:r>
      <w:r>
        <w:rPr>
          <w:color w:val="231F20"/>
          <w:spacing w:val="-2"/>
          <w:w w:val="115"/>
        </w:rPr>
        <w:t> </w:t>
      </w:r>
      <w:r>
        <w:rPr>
          <w:color w:val="231F20"/>
          <w:w w:val="115"/>
        </w:rPr>
        <w:t>colère</w:t>
      </w:r>
      <w:r>
        <w:rPr>
          <w:color w:val="231F20"/>
          <w:spacing w:val="-2"/>
          <w:w w:val="115"/>
        </w:rPr>
        <w:t> </w:t>
      </w:r>
      <w:r>
        <w:rPr>
          <w:color w:val="231F20"/>
          <w:w w:val="115"/>
        </w:rPr>
        <w:t>et</w:t>
      </w:r>
      <w:r>
        <w:rPr>
          <w:color w:val="231F20"/>
          <w:spacing w:val="-2"/>
          <w:w w:val="115"/>
        </w:rPr>
        <w:t> </w:t>
      </w:r>
      <w:r>
        <w:rPr>
          <w:color w:val="231F20"/>
          <w:w w:val="115"/>
        </w:rPr>
        <w:t>la</w:t>
      </w:r>
      <w:r>
        <w:rPr>
          <w:color w:val="231F20"/>
          <w:spacing w:val="-2"/>
          <w:w w:val="115"/>
        </w:rPr>
        <w:t> </w:t>
      </w:r>
      <w:r>
        <w:rPr>
          <w:color w:val="231F20"/>
          <w:w w:val="115"/>
        </w:rPr>
        <w:t>frustration</w:t>
      </w:r>
      <w:r>
        <w:rPr>
          <w:color w:val="231F20"/>
          <w:spacing w:val="-2"/>
          <w:w w:val="115"/>
        </w:rPr>
        <w:t> </w:t>
      </w:r>
      <w:r>
        <w:rPr>
          <w:color w:val="231F20"/>
          <w:w w:val="115"/>
        </w:rPr>
        <w:t>que</w:t>
      </w:r>
      <w:r>
        <w:rPr>
          <w:color w:val="231F20"/>
          <w:spacing w:val="-2"/>
          <w:w w:val="115"/>
        </w:rPr>
        <w:t> </w:t>
      </w:r>
      <w:r>
        <w:rPr>
          <w:color w:val="231F20"/>
          <w:w w:val="115"/>
        </w:rPr>
        <w:t>suscitent</w:t>
      </w:r>
      <w:r>
        <w:rPr>
          <w:color w:val="231F20"/>
          <w:spacing w:val="-2"/>
          <w:w w:val="115"/>
        </w:rPr>
        <w:t> </w:t>
      </w:r>
      <w:r>
        <w:rPr>
          <w:color w:val="231F20"/>
          <w:w w:val="115"/>
        </w:rPr>
        <w:t>ses</w:t>
      </w:r>
      <w:r>
        <w:rPr>
          <w:color w:val="231F20"/>
          <w:spacing w:val="-2"/>
          <w:w w:val="115"/>
        </w:rPr>
        <w:t> </w:t>
      </w:r>
      <w:r>
        <w:rPr>
          <w:color w:val="231F20"/>
          <w:w w:val="115"/>
        </w:rPr>
        <w:t>perceptions</w:t>
      </w:r>
      <w:r>
        <w:rPr>
          <w:color w:val="231F20"/>
          <w:spacing w:val="-2"/>
          <w:w w:val="115"/>
        </w:rPr>
        <w:t> </w:t>
      </w:r>
      <w:r>
        <w:rPr>
          <w:color w:val="231F20"/>
          <w:w w:val="115"/>
        </w:rPr>
        <w:t>négatives</w:t>
      </w:r>
      <w:r>
        <w:rPr>
          <w:color w:val="231F20"/>
          <w:spacing w:val="-2"/>
          <w:w w:val="115"/>
        </w:rPr>
        <w:t> </w:t>
      </w:r>
      <w:r>
        <w:rPr>
          <w:color w:val="231F20"/>
          <w:w w:val="115"/>
        </w:rPr>
        <w:t>à</w:t>
      </w:r>
      <w:r>
        <w:rPr>
          <w:color w:val="231F20"/>
          <w:spacing w:val="-2"/>
          <w:w w:val="115"/>
        </w:rPr>
        <w:t> </w:t>
      </w:r>
      <w:r>
        <w:rPr>
          <w:color w:val="231F20"/>
          <w:w w:val="115"/>
        </w:rPr>
        <w:t>l’égard d’un tiers sur une cible moins menaçante: un subordonné, par exemple, dont il a peu à craindre.</w:t>
      </w:r>
    </w:p>
    <w:p>
      <w:pPr>
        <w:pStyle w:val="BodyText"/>
        <w:spacing w:before="4"/>
        <w:rPr>
          <w:sz w:val="23"/>
        </w:rPr>
      </w:pPr>
    </w:p>
    <w:p>
      <w:pPr>
        <w:pStyle w:val="BodyText"/>
        <w:spacing w:line="307" w:lineRule="auto"/>
        <w:ind w:left="830" w:right="496"/>
        <w:jc w:val="both"/>
      </w:pPr>
      <w:r>
        <w:rPr>
          <w:b/>
          <w:color w:val="231F20"/>
          <w:w w:val="115"/>
        </w:rPr>
        <w:t>L’identification. </w:t>
      </w:r>
      <w:r>
        <w:rPr>
          <w:color w:val="231F20"/>
          <w:w w:val="115"/>
        </w:rPr>
        <w:t>Il est question ici de l’identification de l’individu à un </w:t>
      </w:r>
      <w:r>
        <w:rPr>
          <w:color w:val="231F20"/>
          <w:w w:val="120"/>
        </w:rPr>
        <w:t>modèle, à un héros, à une organisation, à une cause, à un groupe, ou à </w:t>
      </w:r>
      <w:r>
        <w:rPr>
          <w:color w:val="231F20"/>
          <w:w w:val="115"/>
        </w:rPr>
        <w:t>tout</w:t>
      </w:r>
      <w:r>
        <w:rPr>
          <w:color w:val="231F20"/>
          <w:spacing w:val="-5"/>
          <w:w w:val="115"/>
        </w:rPr>
        <w:t> </w:t>
      </w:r>
      <w:r>
        <w:rPr>
          <w:color w:val="231F20"/>
          <w:w w:val="115"/>
        </w:rPr>
        <w:t>ce</w:t>
      </w:r>
      <w:r>
        <w:rPr>
          <w:color w:val="231F20"/>
          <w:spacing w:val="-5"/>
          <w:w w:val="115"/>
        </w:rPr>
        <w:t> </w:t>
      </w:r>
      <w:r>
        <w:rPr>
          <w:color w:val="231F20"/>
          <w:w w:val="115"/>
        </w:rPr>
        <w:t>qui</w:t>
      </w:r>
      <w:r>
        <w:rPr>
          <w:color w:val="231F20"/>
          <w:spacing w:val="-5"/>
          <w:w w:val="115"/>
        </w:rPr>
        <w:t> </w:t>
      </w:r>
      <w:r>
        <w:rPr>
          <w:color w:val="231F20"/>
          <w:w w:val="115"/>
        </w:rPr>
        <w:t>peut</w:t>
      </w:r>
      <w:r>
        <w:rPr>
          <w:color w:val="231F20"/>
          <w:spacing w:val="-5"/>
          <w:w w:val="115"/>
        </w:rPr>
        <w:t> </w:t>
      </w:r>
      <w:r>
        <w:rPr>
          <w:color w:val="231F20"/>
          <w:w w:val="115"/>
        </w:rPr>
        <w:t>avoir</w:t>
      </w:r>
      <w:r>
        <w:rPr>
          <w:color w:val="231F20"/>
          <w:spacing w:val="-5"/>
          <w:w w:val="115"/>
        </w:rPr>
        <w:t> </w:t>
      </w:r>
      <w:r>
        <w:rPr>
          <w:color w:val="231F20"/>
          <w:w w:val="115"/>
        </w:rPr>
        <w:t>une</w:t>
      </w:r>
      <w:r>
        <w:rPr>
          <w:color w:val="231F20"/>
          <w:spacing w:val="-5"/>
          <w:w w:val="115"/>
        </w:rPr>
        <w:t> </w:t>
      </w:r>
      <w:r>
        <w:rPr>
          <w:color w:val="231F20"/>
          <w:w w:val="115"/>
        </w:rPr>
        <w:t>connotation</w:t>
      </w:r>
      <w:r>
        <w:rPr>
          <w:color w:val="231F20"/>
          <w:spacing w:val="-5"/>
          <w:w w:val="115"/>
        </w:rPr>
        <w:t> </w:t>
      </w:r>
      <w:r>
        <w:rPr>
          <w:color w:val="231F20"/>
          <w:w w:val="115"/>
        </w:rPr>
        <w:t>sociale</w:t>
      </w:r>
      <w:r>
        <w:rPr>
          <w:color w:val="231F20"/>
          <w:spacing w:val="-5"/>
          <w:w w:val="115"/>
        </w:rPr>
        <w:t> </w:t>
      </w:r>
      <w:r>
        <w:rPr>
          <w:color w:val="231F20"/>
          <w:w w:val="115"/>
        </w:rPr>
        <w:t>désirable.</w:t>
      </w:r>
      <w:r>
        <w:rPr>
          <w:color w:val="231F20"/>
          <w:spacing w:val="-5"/>
          <w:w w:val="115"/>
        </w:rPr>
        <w:t> </w:t>
      </w:r>
      <w:r>
        <w:rPr>
          <w:color w:val="231F20"/>
          <w:w w:val="115"/>
        </w:rPr>
        <w:t>Par</w:t>
      </w:r>
      <w:r>
        <w:rPr>
          <w:color w:val="231F20"/>
          <w:spacing w:val="-5"/>
          <w:w w:val="115"/>
        </w:rPr>
        <w:t> </w:t>
      </w:r>
      <w:r>
        <w:rPr>
          <w:color w:val="231F20"/>
          <w:w w:val="115"/>
        </w:rPr>
        <w:t>exemple,</w:t>
      </w:r>
      <w:r>
        <w:rPr>
          <w:color w:val="231F20"/>
          <w:spacing w:val="-5"/>
          <w:w w:val="115"/>
        </w:rPr>
        <w:t> </w:t>
      </w:r>
      <w:r>
        <w:rPr>
          <w:color w:val="231F20"/>
          <w:w w:val="115"/>
        </w:rPr>
        <w:t>une </w:t>
      </w:r>
      <w:r>
        <w:rPr>
          <w:color w:val="231F20"/>
          <w:w w:val="120"/>
        </w:rPr>
        <w:t>personne</w:t>
      </w:r>
      <w:r>
        <w:rPr>
          <w:color w:val="231F20"/>
          <w:spacing w:val="-7"/>
          <w:w w:val="120"/>
        </w:rPr>
        <w:t> </w:t>
      </w:r>
      <w:r>
        <w:rPr>
          <w:color w:val="231F20"/>
          <w:w w:val="120"/>
        </w:rPr>
        <w:t>s’identifie</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mouvement</w:t>
      </w:r>
      <w:r>
        <w:rPr>
          <w:color w:val="231F20"/>
          <w:spacing w:val="-7"/>
          <w:w w:val="120"/>
        </w:rPr>
        <w:t> </w:t>
      </w:r>
      <w:r>
        <w:rPr>
          <w:color w:val="231F20"/>
          <w:w w:val="120"/>
        </w:rPr>
        <w:t>d’aide</w:t>
      </w:r>
      <w:r>
        <w:rPr>
          <w:color w:val="231F20"/>
          <w:spacing w:val="-7"/>
          <w:w w:val="120"/>
        </w:rPr>
        <w:t> </w:t>
      </w:r>
      <w:r>
        <w:rPr>
          <w:color w:val="231F20"/>
          <w:w w:val="120"/>
        </w:rPr>
        <w:t>aux</w:t>
      </w:r>
      <w:r>
        <w:rPr>
          <w:color w:val="231F20"/>
          <w:spacing w:val="-7"/>
          <w:w w:val="120"/>
        </w:rPr>
        <w:t> </w:t>
      </w:r>
      <w:r>
        <w:rPr>
          <w:color w:val="231F20"/>
          <w:w w:val="120"/>
        </w:rPr>
        <w:t>enfants</w:t>
      </w:r>
      <w:r>
        <w:rPr>
          <w:color w:val="231F20"/>
          <w:spacing w:val="-7"/>
          <w:w w:val="120"/>
        </w:rPr>
        <w:t> </w:t>
      </w:r>
      <w:r>
        <w:rPr>
          <w:color w:val="231F20"/>
          <w:w w:val="120"/>
        </w:rPr>
        <w:t>dans</w:t>
      </w:r>
      <w:r>
        <w:rPr>
          <w:color w:val="231F20"/>
          <w:spacing w:val="-7"/>
          <w:w w:val="120"/>
        </w:rPr>
        <w:t> </w:t>
      </w:r>
      <w:r>
        <w:rPr>
          <w:color w:val="231F20"/>
          <w:w w:val="120"/>
        </w:rPr>
        <w:t>le</w:t>
      </w:r>
      <w:r>
        <w:rPr>
          <w:color w:val="231F20"/>
          <w:spacing w:val="-7"/>
          <w:w w:val="120"/>
        </w:rPr>
        <w:t> </w:t>
      </w:r>
      <w:r>
        <w:rPr>
          <w:color w:val="231F20"/>
          <w:w w:val="120"/>
        </w:rPr>
        <w:t>besoin afin</w:t>
      </w:r>
      <w:r>
        <w:rPr>
          <w:color w:val="231F20"/>
          <w:spacing w:val="-6"/>
          <w:w w:val="120"/>
        </w:rPr>
        <w:t> </w:t>
      </w:r>
      <w:r>
        <w:rPr>
          <w:color w:val="231F20"/>
          <w:w w:val="120"/>
        </w:rPr>
        <w:t>d’alimenter</w:t>
      </w:r>
      <w:r>
        <w:rPr>
          <w:color w:val="231F20"/>
          <w:spacing w:val="-6"/>
          <w:w w:val="120"/>
        </w:rPr>
        <w:t> </w:t>
      </w:r>
      <w:r>
        <w:rPr>
          <w:color w:val="231F20"/>
          <w:w w:val="120"/>
        </w:rPr>
        <w:t>son</w:t>
      </w:r>
      <w:r>
        <w:rPr>
          <w:color w:val="231F20"/>
          <w:spacing w:val="-6"/>
          <w:w w:val="120"/>
        </w:rPr>
        <w:t> </w:t>
      </w:r>
      <w:r>
        <w:rPr>
          <w:color w:val="231F20"/>
          <w:w w:val="120"/>
        </w:rPr>
        <w:t>estime</w:t>
      </w:r>
      <w:r>
        <w:rPr>
          <w:color w:val="231F20"/>
          <w:spacing w:val="-6"/>
          <w:w w:val="120"/>
        </w:rPr>
        <w:t> </w:t>
      </w:r>
      <w:r>
        <w:rPr>
          <w:color w:val="231F20"/>
          <w:w w:val="120"/>
        </w:rPr>
        <w:t>grâce</w:t>
      </w:r>
      <w:r>
        <w:rPr>
          <w:color w:val="231F20"/>
          <w:spacing w:val="-6"/>
          <w:w w:val="120"/>
        </w:rPr>
        <w:t> </w:t>
      </w:r>
      <w:r>
        <w:rPr>
          <w:color w:val="231F20"/>
          <w:w w:val="120"/>
        </w:rPr>
        <w:t>à</w:t>
      </w:r>
      <w:r>
        <w:rPr>
          <w:color w:val="231F20"/>
          <w:spacing w:val="-6"/>
          <w:w w:val="120"/>
        </w:rPr>
        <w:t> </w:t>
      </w:r>
      <w:r>
        <w:rPr>
          <w:color w:val="231F20"/>
          <w:w w:val="120"/>
        </w:rPr>
        <w:t>l’image</w:t>
      </w:r>
      <w:r>
        <w:rPr>
          <w:color w:val="231F20"/>
          <w:spacing w:val="-6"/>
          <w:w w:val="120"/>
        </w:rPr>
        <w:t> </w:t>
      </w:r>
      <w:r>
        <w:rPr>
          <w:color w:val="231F20"/>
          <w:w w:val="120"/>
        </w:rPr>
        <w:t>positive</w:t>
      </w:r>
      <w:r>
        <w:rPr>
          <w:color w:val="231F20"/>
          <w:spacing w:val="-6"/>
          <w:w w:val="120"/>
        </w:rPr>
        <w:t> </w:t>
      </w:r>
      <w:r>
        <w:rPr>
          <w:color w:val="231F20"/>
          <w:w w:val="120"/>
        </w:rPr>
        <w:t>à</w:t>
      </w:r>
      <w:r>
        <w:rPr>
          <w:color w:val="231F20"/>
          <w:spacing w:val="-6"/>
          <w:w w:val="120"/>
        </w:rPr>
        <w:t> </w:t>
      </w:r>
      <w:r>
        <w:rPr>
          <w:color w:val="231F20"/>
          <w:w w:val="120"/>
        </w:rPr>
        <w:t>ce</w:t>
      </w:r>
      <w:r>
        <w:rPr>
          <w:color w:val="231F20"/>
          <w:spacing w:val="-6"/>
          <w:w w:val="120"/>
        </w:rPr>
        <w:t> </w:t>
      </w:r>
      <w:r>
        <w:rPr>
          <w:color w:val="231F20"/>
          <w:w w:val="120"/>
        </w:rPr>
        <w:t>mouvement.</w:t>
      </w:r>
    </w:p>
    <w:p>
      <w:pPr>
        <w:pStyle w:val="BodyText"/>
        <w:spacing w:before="2"/>
        <w:rPr>
          <w:sz w:val="26"/>
        </w:rPr>
      </w:pPr>
      <w:r>
        <w:rPr/>
        <w:pict>
          <v:shape style="position:absolute;margin-left:62.5pt;margin-top:16.297169pt;width:287.5pt;height:.1pt;mso-position-horizontal-relative:page;mso-position-vertical-relative:paragraph;z-index:-15656960;mso-wrap-distance-left:0;mso-wrap-distance-right:0" id="docshape823" coordorigin="1250,326" coordsize="5750,0" path="m1250,326l7000,326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95" w:lineRule="auto" w:before="135" w:after="0"/>
        <w:ind w:left="829" w:right="496" w:hanging="406"/>
        <w:jc w:val="left"/>
        <w:rPr>
          <w:rFonts w:ascii="Arial" w:hAnsi="Arial"/>
          <w:sz w:val="12"/>
        </w:rPr>
      </w:pPr>
      <w:r>
        <w:rPr>
          <w:rFonts w:ascii="Arial" w:hAnsi="Arial"/>
          <w:color w:val="231F20"/>
          <w:sz w:val="12"/>
        </w:rPr>
        <w:t>Ionescu,</w:t>
      </w:r>
      <w:r>
        <w:rPr>
          <w:rFonts w:ascii="Arial" w:hAnsi="Arial"/>
          <w:color w:val="231F20"/>
          <w:spacing w:val="12"/>
          <w:sz w:val="12"/>
        </w:rPr>
        <w:t> </w:t>
      </w:r>
      <w:r>
        <w:rPr>
          <w:rFonts w:ascii="Arial" w:hAnsi="Arial"/>
          <w:color w:val="231F20"/>
          <w:sz w:val="12"/>
        </w:rPr>
        <w:t>S.,</w:t>
      </w:r>
      <w:r>
        <w:rPr>
          <w:rFonts w:ascii="Arial" w:hAnsi="Arial"/>
          <w:color w:val="231F20"/>
          <w:spacing w:val="12"/>
          <w:sz w:val="12"/>
        </w:rPr>
        <w:t> </w:t>
      </w:r>
      <w:r>
        <w:rPr>
          <w:rFonts w:ascii="Arial" w:hAnsi="Arial"/>
          <w:color w:val="231F20"/>
          <w:sz w:val="12"/>
        </w:rPr>
        <w:t>Jacquet,</w:t>
      </w:r>
      <w:r>
        <w:rPr>
          <w:rFonts w:ascii="Arial" w:hAnsi="Arial"/>
          <w:color w:val="231F20"/>
          <w:spacing w:val="12"/>
          <w:sz w:val="12"/>
        </w:rPr>
        <w:t> </w:t>
      </w:r>
      <w:r>
        <w:rPr>
          <w:rFonts w:ascii="Arial" w:hAnsi="Arial"/>
          <w:color w:val="231F20"/>
          <w:sz w:val="12"/>
        </w:rPr>
        <w:t>M.-M.</w:t>
      </w:r>
      <w:r>
        <w:rPr>
          <w:rFonts w:ascii="Arial" w:hAnsi="Arial"/>
          <w:color w:val="231F20"/>
          <w:spacing w:val="12"/>
          <w:sz w:val="12"/>
        </w:rPr>
        <w:t> </w:t>
      </w:r>
      <w:r>
        <w:rPr>
          <w:rFonts w:ascii="Arial" w:hAnsi="Arial"/>
          <w:color w:val="231F20"/>
          <w:sz w:val="12"/>
        </w:rPr>
        <w:t>et</w:t>
      </w:r>
      <w:r>
        <w:rPr>
          <w:rFonts w:ascii="Arial" w:hAnsi="Arial"/>
          <w:color w:val="231F20"/>
          <w:spacing w:val="12"/>
          <w:sz w:val="12"/>
        </w:rPr>
        <w:t> </w:t>
      </w:r>
      <w:r>
        <w:rPr>
          <w:rFonts w:ascii="Arial" w:hAnsi="Arial"/>
          <w:color w:val="231F20"/>
          <w:sz w:val="12"/>
        </w:rPr>
        <w:t>Lhote,</w:t>
      </w:r>
      <w:r>
        <w:rPr>
          <w:rFonts w:ascii="Arial" w:hAnsi="Arial"/>
          <w:color w:val="231F20"/>
          <w:spacing w:val="12"/>
          <w:sz w:val="12"/>
        </w:rPr>
        <w:t> </w:t>
      </w:r>
      <w:r>
        <w:rPr>
          <w:rFonts w:ascii="Arial" w:hAnsi="Arial"/>
          <w:color w:val="231F20"/>
          <w:sz w:val="12"/>
        </w:rPr>
        <w:t>C.</w:t>
      </w:r>
      <w:r>
        <w:rPr>
          <w:rFonts w:ascii="Arial" w:hAnsi="Arial"/>
          <w:color w:val="231F20"/>
          <w:spacing w:val="12"/>
          <w:sz w:val="12"/>
        </w:rPr>
        <w:t> </w:t>
      </w:r>
      <w:r>
        <w:rPr>
          <w:rFonts w:ascii="Arial" w:hAnsi="Arial"/>
          <w:color w:val="231F20"/>
          <w:sz w:val="12"/>
        </w:rPr>
        <w:t>(2020).</w:t>
      </w:r>
      <w:r>
        <w:rPr>
          <w:rFonts w:ascii="Arial" w:hAnsi="Arial"/>
          <w:color w:val="231F20"/>
          <w:spacing w:val="12"/>
          <w:sz w:val="12"/>
        </w:rPr>
        <w:t> </w:t>
      </w:r>
      <w:r>
        <w:rPr>
          <w:rFonts w:ascii="Arial" w:hAnsi="Arial"/>
          <w:i/>
          <w:color w:val="231F20"/>
          <w:sz w:val="12"/>
        </w:rPr>
        <w:t>Les</w:t>
      </w:r>
      <w:r>
        <w:rPr>
          <w:rFonts w:ascii="Arial" w:hAnsi="Arial"/>
          <w:i/>
          <w:color w:val="231F20"/>
          <w:spacing w:val="12"/>
          <w:sz w:val="12"/>
        </w:rPr>
        <w:t> </w:t>
      </w:r>
      <w:r>
        <w:rPr>
          <w:rFonts w:ascii="Arial" w:hAnsi="Arial"/>
          <w:i/>
          <w:color w:val="231F20"/>
          <w:sz w:val="12"/>
        </w:rPr>
        <w:t>mécanismes</w:t>
      </w:r>
      <w:r>
        <w:rPr>
          <w:rFonts w:ascii="Arial" w:hAnsi="Arial"/>
          <w:i/>
          <w:color w:val="231F20"/>
          <w:spacing w:val="12"/>
          <w:sz w:val="12"/>
        </w:rPr>
        <w:t> </w:t>
      </w:r>
      <w:r>
        <w:rPr>
          <w:rFonts w:ascii="Arial" w:hAnsi="Arial"/>
          <w:i/>
          <w:color w:val="231F20"/>
          <w:sz w:val="12"/>
        </w:rPr>
        <w:t>de</w:t>
      </w:r>
      <w:r>
        <w:rPr>
          <w:rFonts w:ascii="Arial" w:hAnsi="Arial"/>
          <w:i/>
          <w:color w:val="231F20"/>
          <w:spacing w:val="12"/>
          <w:sz w:val="12"/>
        </w:rPr>
        <w:t> </w:t>
      </w:r>
      <w:r>
        <w:rPr>
          <w:rFonts w:ascii="Arial" w:hAnsi="Arial"/>
          <w:i/>
          <w:color w:val="231F20"/>
          <w:sz w:val="12"/>
        </w:rPr>
        <w:t>défense</w:t>
      </w:r>
      <w:r>
        <w:rPr>
          <w:rFonts w:ascii="Arial" w:hAnsi="Arial"/>
          <w:i/>
          <w:color w:val="231F20"/>
          <w:spacing w:val="-16"/>
          <w:sz w:val="12"/>
        </w:rPr>
        <w:t> </w:t>
      </w:r>
      <w:r>
        <w:rPr>
          <w:rFonts w:ascii="Arial" w:hAnsi="Arial"/>
          <w:i/>
          <w:color w:val="231F20"/>
          <w:sz w:val="12"/>
        </w:rPr>
        <w:t>:</w:t>
      </w:r>
      <w:r>
        <w:rPr>
          <w:rFonts w:ascii="Arial" w:hAnsi="Arial"/>
          <w:i/>
          <w:color w:val="231F20"/>
          <w:spacing w:val="12"/>
          <w:sz w:val="12"/>
        </w:rPr>
        <w:t> </w:t>
      </w:r>
      <w:r>
        <w:rPr>
          <w:rFonts w:ascii="Arial" w:hAnsi="Arial"/>
          <w:i/>
          <w:color w:val="231F20"/>
          <w:sz w:val="12"/>
        </w:rPr>
        <w:t>théorie</w:t>
      </w:r>
      <w:r>
        <w:rPr>
          <w:rFonts w:ascii="Arial" w:hAnsi="Arial"/>
          <w:i/>
          <w:color w:val="231F20"/>
          <w:spacing w:val="12"/>
          <w:sz w:val="12"/>
        </w:rPr>
        <w:t> </w:t>
      </w:r>
      <w:r>
        <w:rPr>
          <w:rFonts w:ascii="Arial" w:hAnsi="Arial"/>
          <w:i/>
          <w:color w:val="231F20"/>
          <w:sz w:val="12"/>
        </w:rPr>
        <w:t>et</w:t>
      </w:r>
      <w:r>
        <w:rPr>
          <w:rFonts w:ascii="Arial" w:hAnsi="Arial"/>
          <w:i/>
          <w:color w:val="231F20"/>
          <w:spacing w:val="12"/>
          <w:sz w:val="12"/>
        </w:rPr>
        <w:t> </w:t>
      </w:r>
      <w:r>
        <w:rPr>
          <w:rFonts w:ascii="Arial" w:hAnsi="Arial"/>
          <w:i/>
          <w:color w:val="231F20"/>
          <w:sz w:val="12"/>
        </w:rPr>
        <w:t>clinique</w:t>
      </w:r>
      <w:r>
        <w:rPr>
          <w:rFonts w:ascii="Arial" w:hAnsi="Arial"/>
          <w:color w:val="231F20"/>
          <w:sz w:val="12"/>
        </w:rPr>
        <w:t>,</w:t>
      </w:r>
      <w:r>
        <w:rPr>
          <w:rFonts w:ascii="Arial" w:hAnsi="Arial"/>
          <w:color w:val="231F20"/>
          <w:spacing w:val="12"/>
          <w:sz w:val="12"/>
        </w:rPr>
        <w:t> </w:t>
      </w:r>
      <w:r>
        <w:rPr>
          <w:rFonts w:ascii="Arial" w:hAnsi="Arial"/>
          <w:color w:val="231F20"/>
          <w:sz w:val="12"/>
        </w:rPr>
        <w:t>3</w:t>
      </w:r>
      <w:r>
        <w:rPr>
          <w:rFonts w:ascii="Arial" w:hAnsi="Arial"/>
          <w:color w:val="231F20"/>
          <w:position w:val="4"/>
          <w:sz w:val="7"/>
        </w:rPr>
        <w:t>e</w:t>
      </w:r>
      <w:r>
        <w:rPr>
          <w:rFonts w:ascii="Arial" w:hAnsi="Arial"/>
          <w:color w:val="231F20"/>
          <w:spacing w:val="24"/>
          <w:position w:val="4"/>
          <w:sz w:val="7"/>
        </w:rPr>
        <w:t> </w:t>
      </w:r>
      <w:r>
        <w:rPr>
          <w:rFonts w:ascii="Arial" w:hAnsi="Arial"/>
          <w:color w:val="231F20"/>
          <w:sz w:val="12"/>
        </w:rPr>
        <w:t>éd.,</w:t>
      </w:r>
      <w:r>
        <w:rPr>
          <w:rFonts w:ascii="Arial" w:hAnsi="Arial"/>
          <w:color w:val="231F20"/>
          <w:spacing w:val="40"/>
          <w:sz w:val="12"/>
        </w:rPr>
        <w:t> </w:t>
      </w:r>
      <w:r>
        <w:rPr>
          <w:rFonts w:ascii="Arial" w:hAnsi="Arial"/>
          <w:color w:val="231F20"/>
          <w:sz w:val="12"/>
        </w:rPr>
        <w:t>Paris,</w:t>
      </w:r>
      <w:r>
        <w:rPr>
          <w:rFonts w:ascii="Arial" w:hAnsi="Arial"/>
          <w:color w:val="231F20"/>
          <w:spacing w:val="-9"/>
          <w:sz w:val="12"/>
        </w:rPr>
        <w:t> </w:t>
      </w:r>
      <w:r>
        <w:rPr>
          <w:rFonts w:ascii="Arial" w:hAnsi="Arial"/>
          <w:color w:val="231F20"/>
          <w:sz w:val="12"/>
        </w:rPr>
        <w:t>Dunod.</w:t>
      </w:r>
    </w:p>
    <w:p>
      <w:pPr>
        <w:spacing w:after="0" w:line="295" w:lineRule="auto"/>
        <w:jc w:val="left"/>
        <w:rPr>
          <w:rFonts w:ascii="Arial" w:hAnsi="Arial"/>
          <w:sz w:val="12"/>
        </w:rPr>
        <w:sectPr>
          <w:footerReference w:type="default" r:id="rId240"/>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6"/>
        <w:jc w:val="both"/>
      </w:pPr>
      <w:r>
        <w:rPr>
          <w:b/>
          <w:color w:val="231F20"/>
          <w:spacing w:val="-2"/>
          <w:w w:val="115"/>
        </w:rPr>
        <w:t>L’introjection.</w:t>
      </w:r>
      <w:r>
        <w:rPr>
          <w:b/>
          <w:color w:val="231F20"/>
          <w:spacing w:val="-4"/>
          <w:w w:val="115"/>
        </w:rPr>
        <w:t> </w:t>
      </w:r>
      <w:r>
        <w:rPr>
          <w:color w:val="231F20"/>
          <w:spacing w:val="-2"/>
          <w:w w:val="115"/>
        </w:rPr>
        <w:t>Ce</w:t>
      </w:r>
      <w:r>
        <w:rPr>
          <w:color w:val="231F20"/>
          <w:spacing w:val="-4"/>
          <w:w w:val="115"/>
        </w:rPr>
        <w:t> </w:t>
      </w:r>
      <w:r>
        <w:rPr>
          <w:color w:val="231F20"/>
          <w:spacing w:val="-2"/>
          <w:w w:val="115"/>
        </w:rPr>
        <w:t>processus</w:t>
      </w:r>
      <w:r>
        <w:rPr>
          <w:color w:val="231F20"/>
          <w:spacing w:val="-4"/>
          <w:w w:val="115"/>
        </w:rPr>
        <w:t> </w:t>
      </w:r>
      <w:r>
        <w:rPr>
          <w:color w:val="231F20"/>
          <w:spacing w:val="-2"/>
          <w:w w:val="115"/>
        </w:rPr>
        <w:t>consiste</w:t>
      </w:r>
      <w:r>
        <w:rPr>
          <w:color w:val="231F20"/>
          <w:spacing w:val="-4"/>
          <w:w w:val="115"/>
        </w:rPr>
        <w:t> </w:t>
      </w:r>
      <w:r>
        <w:rPr>
          <w:color w:val="231F20"/>
          <w:spacing w:val="-2"/>
          <w:w w:val="115"/>
        </w:rPr>
        <w:t>à</w:t>
      </w:r>
      <w:r>
        <w:rPr>
          <w:color w:val="231F20"/>
          <w:spacing w:val="-4"/>
          <w:w w:val="115"/>
        </w:rPr>
        <w:t> </w:t>
      </w:r>
      <w:r>
        <w:rPr>
          <w:color w:val="231F20"/>
          <w:spacing w:val="-2"/>
          <w:w w:val="115"/>
        </w:rPr>
        <w:t>accepter</w:t>
      </w:r>
      <w:r>
        <w:rPr>
          <w:color w:val="231F20"/>
          <w:spacing w:val="-4"/>
          <w:w w:val="115"/>
        </w:rPr>
        <w:t> </w:t>
      </w:r>
      <w:r>
        <w:rPr>
          <w:color w:val="231F20"/>
          <w:spacing w:val="-2"/>
          <w:w w:val="115"/>
        </w:rPr>
        <w:t>les</w:t>
      </w:r>
      <w:r>
        <w:rPr>
          <w:color w:val="231F20"/>
          <w:spacing w:val="-4"/>
          <w:w w:val="115"/>
        </w:rPr>
        <w:t> </w:t>
      </w:r>
      <w:r>
        <w:rPr>
          <w:color w:val="231F20"/>
          <w:spacing w:val="-2"/>
          <w:w w:val="115"/>
        </w:rPr>
        <w:t>normes</w:t>
      </w:r>
      <w:r>
        <w:rPr>
          <w:color w:val="231F20"/>
          <w:spacing w:val="-4"/>
          <w:w w:val="115"/>
        </w:rPr>
        <w:t> </w:t>
      </w:r>
      <w:r>
        <w:rPr>
          <w:color w:val="231F20"/>
          <w:spacing w:val="-2"/>
          <w:w w:val="115"/>
        </w:rPr>
        <w:t>des</w:t>
      </w:r>
      <w:r>
        <w:rPr>
          <w:color w:val="231F20"/>
          <w:spacing w:val="-4"/>
          <w:w w:val="115"/>
        </w:rPr>
        <w:t> </w:t>
      </w:r>
      <w:r>
        <w:rPr>
          <w:color w:val="231F20"/>
          <w:spacing w:val="-2"/>
          <w:w w:val="115"/>
        </w:rPr>
        <w:t>autres</w:t>
      </w:r>
      <w:r>
        <w:rPr>
          <w:color w:val="231F20"/>
          <w:spacing w:val="-4"/>
          <w:w w:val="115"/>
        </w:rPr>
        <w:t> </w:t>
      </w:r>
      <w:r>
        <w:rPr>
          <w:color w:val="231F20"/>
          <w:spacing w:val="-2"/>
          <w:w w:val="115"/>
        </w:rPr>
        <w:t>afin </w:t>
      </w:r>
      <w:r>
        <w:rPr>
          <w:color w:val="231F20"/>
          <w:spacing w:val="-2"/>
          <w:w w:val="120"/>
        </w:rPr>
        <w:t>d’éviter</w:t>
      </w:r>
      <w:r>
        <w:rPr>
          <w:color w:val="231F20"/>
          <w:spacing w:val="-9"/>
          <w:w w:val="120"/>
        </w:rPr>
        <w:t> </w:t>
      </w:r>
      <w:r>
        <w:rPr>
          <w:color w:val="231F20"/>
          <w:spacing w:val="-2"/>
          <w:w w:val="120"/>
        </w:rPr>
        <w:t>de</w:t>
      </w:r>
      <w:r>
        <w:rPr>
          <w:color w:val="231F20"/>
          <w:spacing w:val="-9"/>
          <w:w w:val="120"/>
        </w:rPr>
        <w:t> </w:t>
      </w:r>
      <w:r>
        <w:rPr>
          <w:color w:val="231F20"/>
          <w:spacing w:val="-2"/>
          <w:w w:val="120"/>
        </w:rPr>
        <w:t>donner</w:t>
      </w:r>
      <w:r>
        <w:rPr>
          <w:color w:val="231F20"/>
          <w:spacing w:val="-9"/>
          <w:w w:val="120"/>
        </w:rPr>
        <w:t> </w:t>
      </w:r>
      <w:r>
        <w:rPr>
          <w:color w:val="231F20"/>
          <w:spacing w:val="-2"/>
          <w:w w:val="120"/>
        </w:rPr>
        <w:t>une</w:t>
      </w:r>
      <w:r>
        <w:rPr>
          <w:color w:val="231F20"/>
          <w:spacing w:val="-9"/>
          <w:w w:val="120"/>
        </w:rPr>
        <w:t> </w:t>
      </w:r>
      <w:r>
        <w:rPr>
          <w:color w:val="231F20"/>
          <w:spacing w:val="-2"/>
          <w:w w:val="120"/>
        </w:rPr>
        <w:t>impression</w:t>
      </w:r>
      <w:r>
        <w:rPr>
          <w:color w:val="231F20"/>
          <w:spacing w:val="-9"/>
          <w:w w:val="120"/>
        </w:rPr>
        <w:t> </w:t>
      </w:r>
      <w:r>
        <w:rPr>
          <w:color w:val="231F20"/>
          <w:spacing w:val="-2"/>
          <w:w w:val="120"/>
        </w:rPr>
        <w:t>négative</w:t>
      </w:r>
      <w:r>
        <w:rPr>
          <w:color w:val="231F20"/>
          <w:spacing w:val="-9"/>
          <w:w w:val="120"/>
        </w:rPr>
        <w:t> </w:t>
      </w:r>
      <w:r>
        <w:rPr>
          <w:color w:val="231F20"/>
          <w:spacing w:val="-2"/>
          <w:w w:val="120"/>
        </w:rPr>
        <w:t>au</w:t>
      </w:r>
      <w:r>
        <w:rPr>
          <w:color w:val="231F20"/>
          <w:spacing w:val="-9"/>
          <w:w w:val="120"/>
        </w:rPr>
        <w:t> </w:t>
      </w:r>
      <w:r>
        <w:rPr>
          <w:color w:val="231F20"/>
          <w:spacing w:val="-2"/>
          <w:w w:val="120"/>
        </w:rPr>
        <w:t>regard</w:t>
      </w:r>
      <w:r>
        <w:rPr>
          <w:color w:val="231F20"/>
          <w:spacing w:val="-9"/>
          <w:w w:val="120"/>
        </w:rPr>
        <w:t> </w:t>
      </w:r>
      <w:r>
        <w:rPr>
          <w:color w:val="231F20"/>
          <w:spacing w:val="-2"/>
          <w:w w:val="120"/>
        </w:rPr>
        <w:t>de</w:t>
      </w:r>
      <w:r>
        <w:rPr>
          <w:color w:val="231F20"/>
          <w:spacing w:val="-9"/>
          <w:w w:val="120"/>
        </w:rPr>
        <w:t> </w:t>
      </w:r>
      <w:r>
        <w:rPr>
          <w:color w:val="231F20"/>
          <w:spacing w:val="-2"/>
          <w:w w:val="120"/>
        </w:rPr>
        <w:t>ces</w:t>
      </w:r>
      <w:r>
        <w:rPr>
          <w:color w:val="231F20"/>
          <w:spacing w:val="-9"/>
          <w:w w:val="120"/>
        </w:rPr>
        <w:t> </w:t>
      </w:r>
      <w:r>
        <w:rPr>
          <w:color w:val="231F20"/>
          <w:spacing w:val="-2"/>
          <w:w w:val="120"/>
        </w:rPr>
        <w:t>normes.</w:t>
      </w:r>
      <w:r>
        <w:rPr>
          <w:color w:val="231F20"/>
          <w:spacing w:val="-9"/>
          <w:w w:val="120"/>
        </w:rPr>
        <w:t> </w:t>
      </w:r>
      <w:r>
        <w:rPr>
          <w:color w:val="231F20"/>
          <w:spacing w:val="-2"/>
          <w:w w:val="120"/>
        </w:rPr>
        <w:t>Par exemple,</w:t>
      </w:r>
      <w:r>
        <w:rPr>
          <w:color w:val="231F20"/>
          <w:spacing w:val="-5"/>
          <w:w w:val="120"/>
        </w:rPr>
        <w:t> </w:t>
      </w:r>
      <w:r>
        <w:rPr>
          <w:color w:val="231F20"/>
          <w:spacing w:val="-2"/>
          <w:w w:val="120"/>
        </w:rPr>
        <w:t>une</w:t>
      </w:r>
      <w:r>
        <w:rPr>
          <w:color w:val="231F20"/>
          <w:spacing w:val="-5"/>
          <w:w w:val="120"/>
        </w:rPr>
        <w:t> </w:t>
      </w:r>
      <w:r>
        <w:rPr>
          <w:color w:val="231F20"/>
          <w:spacing w:val="-2"/>
          <w:w w:val="120"/>
        </w:rPr>
        <w:t>personne</w:t>
      </w:r>
      <w:r>
        <w:rPr>
          <w:color w:val="231F20"/>
          <w:spacing w:val="-5"/>
          <w:w w:val="120"/>
        </w:rPr>
        <w:t> </w:t>
      </w:r>
      <w:r>
        <w:rPr>
          <w:color w:val="231F20"/>
          <w:spacing w:val="-2"/>
          <w:w w:val="120"/>
        </w:rPr>
        <w:t>accepte</w:t>
      </w:r>
      <w:r>
        <w:rPr>
          <w:color w:val="231F20"/>
          <w:spacing w:val="-5"/>
          <w:w w:val="120"/>
        </w:rPr>
        <w:t> </w:t>
      </w:r>
      <w:r>
        <w:rPr>
          <w:color w:val="231F20"/>
          <w:spacing w:val="-2"/>
          <w:w w:val="120"/>
        </w:rPr>
        <w:t>sans</w:t>
      </w:r>
      <w:r>
        <w:rPr>
          <w:color w:val="231F20"/>
          <w:spacing w:val="-5"/>
          <w:w w:val="120"/>
        </w:rPr>
        <w:t> </w:t>
      </w:r>
      <w:r>
        <w:rPr>
          <w:color w:val="231F20"/>
          <w:spacing w:val="-2"/>
          <w:w w:val="120"/>
        </w:rPr>
        <w:t>critiquer</w:t>
      </w:r>
      <w:r>
        <w:rPr>
          <w:color w:val="231F20"/>
          <w:spacing w:val="-5"/>
          <w:w w:val="120"/>
        </w:rPr>
        <w:t> </w:t>
      </w:r>
      <w:r>
        <w:rPr>
          <w:color w:val="231F20"/>
          <w:spacing w:val="-2"/>
          <w:w w:val="120"/>
        </w:rPr>
        <w:t>les</w:t>
      </w:r>
      <w:r>
        <w:rPr>
          <w:color w:val="231F20"/>
          <w:spacing w:val="-5"/>
          <w:w w:val="120"/>
        </w:rPr>
        <w:t> </w:t>
      </w:r>
      <w:r>
        <w:rPr>
          <w:color w:val="231F20"/>
          <w:spacing w:val="-2"/>
          <w:w w:val="120"/>
        </w:rPr>
        <w:t>normes</w:t>
      </w:r>
      <w:r>
        <w:rPr>
          <w:color w:val="231F20"/>
          <w:spacing w:val="-5"/>
          <w:w w:val="120"/>
        </w:rPr>
        <w:t> </w:t>
      </w:r>
      <w:r>
        <w:rPr>
          <w:color w:val="231F20"/>
          <w:spacing w:val="-2"/>
          <w:w w:val="120"/>
        </w:rPr>
        <w:t>de</w:t>
      </w:r>
      <w:r>
        <w:rPr>
          <w:color w:val="231F20"/>
          <w:spacing w:val="-5"/>
          <w:w w:val="120"/>
        </w:rPr>
        <w:t> </w:t>
      </w:r>
      <w:r>
        <w:rPr>
          <w:color w:val="231F20"/>
          <w:spacing w:val="-2"/>
          <w:w w:val="120"/>
        </w:rPr>
        <w:t>son</w:t>
      </w:r>
      <w:r>
        <w:rPr>
          <w:color w:val="231F20"/>
          <w:spacing w:val="-5"/>
          <w:w w:val="120"/>
        </w:rPr>
        <w:t> </w:t>
      </w:r>
      <w:r>
        <w:rPr>
          <w:color w:val="231F20"/>
          <w:spacing w:val="-2"/>
          <w:w w:val="120"/>
        </w:rPr>
        <w:t>gouver- </w:t>
      </w:r>
      <w:r>
        <w:rPr>
          <w:color w:val="231F20"/>
          <w:w w:val="120"/>
        </w:rPr>
        <w:t>nement ou de son employeur afin d’alimenter une perception positive d’elle-même par rapport à ces normes.</w:t>
      </w:r>
    </w:p>
    <w:p>
      <w:pPr>
        <w:pStyle w:val="BodyText"/>
        <w:spacing w:before="8"/>
        <w:rPr>
          <w:sz w:val="21"/>
        </w:rPr>
      </w:pPr>
    </w:p>
    <w:p>
      <w:pPr>
        <w:pStyle w:val="BodyText"/>
        <w:spacing w:line="307" w:lineRule="auto"/>
        <w:ind w:left="1220" w:right="103"/>
        <w:jc w:val="both"/>
      </w:pPr>
      <w:r>
        <w:rPr>
          <w:b/>
          <w:color w:val="231F20"/>
          <w:w w:val="115"/>
        </w:rPr>
        <w:t>La</w:t>
      </w:r>
      <w:r>
        <w:rPr>
          <w:b/>
          <w:color w:val="231F20"/>
          <w:spacing w:val="-7"/>
          <w:w w:val="115"/>
        </w:rPr>
        <w:t> </w:t>
      </w:r>
      <w:r>
        <w:rPr>
          <w:b/>
          <w:color w:val="231F20"/>
          <w:w w:val="115"/>
        </w:rPr>
        <w:t>projection.</w:t>
      </w:r>
      <w:r>
        <w:rPr>
          <w:b/>
          <w:color w:val="231F20"/>
          <w:spacing w:val="-3"/>
          <w:w w:val="115"/>
        </w:rPr>
        <w:t> </w:t>
      </w:r>
      <w:r>
        <w:rPr>
          <w:color w:val="231F20"/>
          <w:w w:val="115"/>
        </w:rPr>
        <w:t>Cette</w:t>
      </w:r>
      <w:r>
        <w:rPr>
          <w:color w:val="231F20"/>
          <w:spacing w:val="-3"/>
          <w:w w:val="115"/>
        </w:rPr>
        <w:t> </w:t>
      </w:r>
      <w:r>
        <w:rPr>
          <w:color w:val="231F20"/>
          <w:w w:val="115"/>
        </w:rPr>
        <w:t>stratégie</w:t>
      </w:r>
      <w:r>
        <w:rPr>
          <w:color w:val="231F20"/>
          <w:spacing w:val="-3"/>
          <w:w w:val="115"/>
        </w:rPr>
        <w:t> </w:t>
      </w:r>
      <w:r>
        <w:rPr>
          <w:color w:val="231F20"/>
          <w:w w:val="115"/>
        </w:rPr>
        <w:t>consiste</w:t>
      </w:r>
      <w:r>
        <w:rPr>
          <w:color w:val="231F20"/>
          <w:spacing w:val="-3"/>
          <w:w w:val="115"/>
        </w:rPr>
        <w:t> </w:t>
      </w:r>
      <w:r>
        <w:rPr>
          <w:color w:val="231F20"/>
          <w:w w:val="115"/>
        </w:rPr>
        <w:t>pour</w:t>
      </w:r>
      <w:r>
        <w:rPr>
          <w:color w:val="231F20"/>
          <w:spacing w:val="-3"/>
          <w:w w:val="115"/>
        </w:rPr>
        <w:t> </w:t>
      </w:r>
      <w:r>
        <w:rPr>
          <w:color w:val="231F20"/>
          <w:w w:val="115"/>
        </w:rPr>
        <w:t>l’individu</w:t>
      </w:r>
      <w:r>
        <w:rPr>
          <w:color w:val="231F20"/>
          <w:spacing w:val="-3"/>
          <w:w w:val="115"/>
        </w:rPr>
        <w:t> </w:t>
      </w:r>
      <w:r>
        <w:rPr>
          <w:color w:val="231F20"/>
          <w:w w:val="115"/>
        </w:rPr>
        <w:t>à</w:t>
      </w:r>
      <w:r>
        <w:rPr>
          <w:color w:val="231F20"/>
          <w:spacing w:val="-3"/>
          <w:w w:val="115"/>
        </w:rPr>
        <w:t> </w:t>
      </w:r>
      <w:r>
        <w:rPr>
          <w:color w:val="231F20"/>
          <w:w w:val="115"/>
        </w:rPr>
        <w:t>attribuer</w:t>
      </w:r>
      <w:r>
        <w:rPr>
          <w:color w:val="231F20"/>
          <w:spacing w:val="-3"/>
          <w:w w:val="115"/>
        </w:rPr>
        <w:t> </w:t>
      </w:r>
      <w:r>
        <w:rPr>
          <w:color w:val="231F20"/>
          <w:w w:val="115"/>
        </w:rPr>
        <w:t>à</w:t>
      </w:r>
      <w:r>
        <w:rPr>
          <w:color w:val="231F20"/>
          <w:spacing w:val="-3"/>
          <w:w w:val="115"/>
        </w:rPr>
        <w:t> </w:t>
      </w:r>
      <w:r>
        <w:rPr>
          <w:color w:val="231F20"/>
          <w:w w:val="115"/>
        </w:rPr>
        <w:t>autrui </w:t>
      </w:r>
      <w:r>
        <w:rPr>
          <w:color w:val="231F20"/>
          <w:w w:val="120"/>
        </w:rPr>
        <w:t>ses</w:t>
      </w:r>
      <w:r>
        <w:rPr>
          <w:color w:val="231F20"/>
          <w:spacing w:val="-13"/>
          <w:w w:val="120"/>
        </w:rPr>
        <w:t> </w:t>
      </w:r>
      <w:r>
        <w:rPr>
          <w:color w:val="231F20"/>
          <w:w w:val="120"/>
        </w:rPr>
        <w:t>propres</w:t>
      </w:r>
      <w:r>
        <w:rPr>
          <w:color w:val="231F20"/>
          <w:spacing w:val="-13"/>
          <w:w w:val="120"/>
        </w:rPr>
        <w:t> </w:t>
      </w:r>
      <w:r>
        <w:rPr>
          <w:color w:val="231F20"/>
          <w:w w:val="120"/>
        </w:rPr>
        <w:t>perceptions</w:t>
      </w:r>
      <w:r>
        <w:rPr>
          <w:color w:val="231F20"/>
          <w:spacing w:val="-13"/>
          <w:w w:val="120"/>
        </w:rPr>
        <w:t> </w:t>
      </w:r>
      <w:r>
        <w:rPr>
          <w:color w:val="231F20"/>
          <w:w w:val="120"/>
        </w:rPr>
        <w:t>négatives</w:t>
      </w:r>
      <w:r>
        <w:rPr>
          <w:color w:val="231F20"/>
          <w:spacing w:val="-12"/>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Elle</w:t>
      </w:r>
      <w:r>
        <w:rPr>
          <w:color w:val="231F20"/>
          <w:spacing w:val="-13"/>
          <w:w w:val="120"/>
        </w:rPr>
        <w:t> </w:t>
      </w:r>
      <w:r>
        <w:rPr>
          <w:color w:val="231F20"/>
          <w:w w:val="120"/>
        </w:rPr>
        <w:t>est</w:t>
      </w:r>
      <w:r>
        <w:rPr>
          <w:color w:val="231F20"/>
          <w:spacing w:val="-12"/>
          <w:w w:val="120"/>
        </w:rPr>
        <w:t> </w:t>
      </w:r>
      <w:r>
        <w:rPr>
          <w:color w:val="231F20"/>
          <w:w w:val="120"/>
        </w:rPr>
        <w:t>mise</w:t>
      </w:r>
      <w:r>
        <w:rPr>
          <w:color w:val="231F20"/>
          <w:spacing w:val="-13"/>
          <w:w w:val="120"/>
        </w:rPr>
        <w:t> </w:t>
      </w:r>
      <w:r>
        <w:rPr>
          <w:color w:val="231F20"/>
          <w:w w:val="120"/>
        </w:rPr>
        <w:t>en</w:t>
      </w:r>
      <w:r>
        <w:rPr>
          <w:color w:val="231F20"/>
          <w:spacing w:val="-13"/>
          <w:w w:val="120"/>
        </w:rPr>
        <w:t> </w:t>
      </w:r>
      <w:r>
        <w:rPr>
          <w:color w:val="231F20"/>
          <w:w w:val="120"/>
        </w:rPr>
        <w:t>œuvre</w:t>
      </w:r>
      <w:r>
        <w:rPr>
          <w:color w:val="231F20"/>
          <w:spacing w:val="-13"/>
          <w:w w:val="120"/>
        </w:rPr>
        <w:t> </w:t>
      </w:r>
      <w:r>
        <w:rPr>
          <w:color w:val="231F20"/>
          <w:w w:val="120"/>
        </w:rPr>
        <w:t>lorsque la</w:t>
      </w:r>
      <w:r>
        <w:rPr>
          <w:color w:val="231F20"/>
          <w:spacing w:val="-5"/>
          <w:w w:val="120"/>
        </w:rPr>
        <w:t> </w:t>
      </w:r>
      <w:r>
        <w:rPr>
          <w:color w:val="231F20"/>
          <w:w w:val="120"/>
        </w:rPr>
        <w:t>personne,</w:t>
      </w:r>
      <w:r>
        <w:rPr>
          <w:color w:val="231F20"/>
          <w:spacing w:val="-5"/>
          <w:w w:val="120"/>
        </w:rPr>
        <w:t> </w:t>
      </w:r>
      <w:r>
        <w:rPr>
          <w:color w:val="231F20"/>
          <w:w w:val="120"/>
        </w:rPr>
        <w:t>pour</w:t>
      </w:r>
      <w:r>
        <w:rPr>
          <w:color w:val="231F20"/>
          <w:spacing w:val="-5"/>
          <w:w w:val="120"/>
        </w:rPr>
        <w:t> </w:t>
      </w:r>
      <w:r>
        <w:rPr>
          <w:color w:val="231F20"/>
          <w:w w:val="120"/>
        </w:rPr>
        <w:t>éviter</w:t>
      </w:r>
      <w:r>
        <w:rPr>
          <w:color w:val="231F20"/>
          <w:spacing w:val="-5"/>
          <w:w w:val="120"/>
        </w:rPr>
        <w:t> </w:t>
      </w:r>
      <w:r>
        <w:rPr>
          <w:color w:val="231F20"/>
          <w:w w:val="120"/>
        </w:rPr>
        <w:t>d’affronter</w:t>
      </w:r>
      <w:r>
        <w:rPr>
          <w:color w:val="231F20"/>
          <w:spacing w:val="-5"/>
          <w:w w:val="120"/>
        </w:rPr>
        <w:t> </w:t>
      </w:r>
      <w:r>
        <w:rPr>
          <w:color w:val="231F20"/>
          <w:w w:val="120"/>
        </w:rPr>
        <w:t>des</w:t>
      </w:r>
      <w:r>
        <w:rPr>
          <w:color w:val="231F20"/>
          <w:spacing w:val="-5"/>
          <w:w w:val="120"/>
        </w:rPr>
        <w:t> </w:t>
      </w:r>
      <w:r>
        <w:rPr>
          <w:color w:val="231F20"/>
          <w:w w:val="120"/>
        </w:rPr>
        <w:t>perceptions</w:t>
      </w:r>
      <w:r>
        <w:rPr>
          <w:color w:val="231F20"/>
          <w:spacing w:val="-5"/>
          <w:w w:val="120"/>
        </w:rPr>
        <w:t> </w:t>
      </w:r>
      <w:r>
        <w:rPr>
          <w:color w:val="231F20"/>
          <w:w w:val="120"/>
        </w:rPr>
        <w:t>négatives</w:t>
      </w:r>
      <w:r>
        <w:rPr>
          <w:color w:val="231F20"/>
          <w:spacing w:val="-5"/>
          <w:w w:val="120"/>
        </w:rPr>
        <w:t> </w:t>
      </w:r>
      <w:r>
        <w:rPr>
          <w:color w:val="231F20"/>
          <w:w w:val="120"/>
        </w:rPr>
        <w:t>qu’elle</w:t>
      </w:r>
      <w:r>
        <w:rPr>
          <w:color w:val="231F20"/>
          <w:spacing w:val="-5"/>
          <w:w w:val="120"/>
        </w:rPr>
        <w:t> </w:t>
      </w:r>
      <w:r>
        <w:rPr>
          <w:color w:val="231F20"/>
          <w:w w:val="120"/>
        </w:rPr>
        <w:t>a de ses propres comportements ou de ses propres intentions, les pro- jette</w:t>
      </w:r>
      <w:r>
        <w:rPr>
          <w:color w:val="231F20"/>
          <w:spacing w:val="-10"/>
          <w:w w:val="120"/>
        </w:rPr>
        <w:t> </w:t>
      </w:r>
      <w:r>
        <w:rPr>
          <w:color w:val="231F20"/>
          <w:w w:val="120"/>
        </w:rPr>
        <w:t>sur</w:t>
      </w:r>
      <w:r>
        <w:rPr>
          <w:color w:val="231F20"/>
          <w:spacing w:val="-10"/>
          <w:w w:val="120"/>
        </w:rPr>
        <w:t> </w:t>
      </w:r>
      <w:r>
        <w:rPr>
          <w:color w:val="231F20"/>
          <w:w w:val="120"/>
        </w:rPr>
        <w:t>quelqu’un</w:t>
      </w:r>
      <w:r>
        <w:rPr>
          <w:color w:val="231F20"/>
          <w:spacing w:val="-10"/>
          <w:w w:val="120"/>
        </w:rPr>
        <w:t> </w:t>
      </w:r>
      <w:r>
        <w:rPr>
          <w:color w:val="231F20"/>
          <w:w w:val="120"/>
        </w:rPr>
        <w:t>d’autre.</w:t>
      </w:r>
      <w:r>
        <w:rPr>
          <w:color w:val="231F20"/>
          <w:spacing w:val="-10"/>
          <w:w w:val="120"/>
        </w:rPr>
        <w:t> </w:t>
      </w:r>
      <w:r>
        <w:rPr>
          <w:color w:val="231F20"/>
          <w:w w:val="120"/>
        </w:rPr>
        <w:t>Par</w:t>
      </w:r>
      <w:r>
        <w:rPr>
          <w:color w:val="231F20"/>
          <w:spacing w:val="-10"/>
          <w:w w:val="120"/>
        </w:rPr>
        <w:t> </w:t>
      </w:r>
      <w:r>
        <w:rPr>
          <w:color w:val="231F20"/>
          <w:w w:val="120"/>
        </w:rPr>
        <w:t>exemple,</w:t>
      </w:r>
      <w:r>
        <w:rPr>
          <w:color w:val="231F20"/>
          <w:spacing w:val="-10"/>
          <w:w w:val="120"/>
        </w:rPr>
        <w:t> </w:t>
      </w:r>
      <w:r>
        <w:rPr>
          <w:color w:val="231F20"/>
          <w:w w:val="120"/>
        </w:rPr>
        <w:t>une</w:t>
      </w:r>
      <w:r>
        <w:rPr>
          <w:color w:val="231F20"/>
          <w:spacing w:val="-10"/>
          <w:w w:val="120"/>
        </w:rPr>
        <w:t> </w:t>
      </w:r>
      <w:r>
        <w:rPr>
          <w:color w:val="231F20"/>
          <w:w w:val="120"/>
        </w:rPr>
        <w:t>personne</w:t>
      </w:r>
      <w:r>
        <w:rPr>
          <w:color w:val="231F20"/>
          <w:spacing w:val="-10"/>
          <w:w w:val="120"/>
        </w:rPr>
        <w:t> </w:t>
      </w:r>
      <w:r>
        <w:rPr>
          <w:color w:val="231F20"/>
          <w:w w:val="120"/>
        </w:rPr>
        <w:t>en</w:t>
      </w:r>
      <w:r>
        <w:rPr>
          <w:color w:val="231F20"/>
          <w:spacing w:val="-10"/>
          <w:w w:val="120"/>
        </w:rPr>
        <w:t> </w:t>
      </w:r>
      <w:r>
        <w:rPr>
          <w:color w:val="231F20"/>
          <w:w w:val="120"/>
        </w:rPr>
        <w:t>colère</w:t>
      </w:r>
      <w:r>
        <w:rPr>
          <w:color w:val="231F20"/>
          <w:spacing w:val="-10"/>
          <w:w w:val="120"/>
        </w:rPr>
        <w:t> </w:t>
      </w:r>
      <w:r>
        <w:rPr>
          <w:color w:val="231F20"/>
          <w:w w:val="120"/>
        </w:rPr>
        <w:t>contre son conjoint s’imagine plutôt que c’est son conjoint qui entretient du ressentiment à son égard.</w:t>
      </w:r>
    </w:p>
    <w:p>
      <w:pPr>
        <w:pStyle w:val="BodyText"/>
        <w:spacing w:before="7"/>
        <w:rPr>
          <w:sz w:val="21"/>
        </w:rPr>
      </w:pPr>
    </w:p>
    <w:p>
      <w:pPr>
        <w:pStyle w:val="BodyText"/>
        <w:spacing w:line="307" w:lineRule="auto"/>
        <w:ind w:left="1220" w:right="105"/>
        <w:jc w:val="both"/>
      </w:pPr>
      <w:r>
        <w:rPr>
          <w:b/>
          <w:color w:val="231F20"/>
          <w:spacing w:val="-2"/>
          <w:w w:val="115"/>
        </w:rPr>
        <w:t>La</w:t>
      </w:r>
      <w:r>
        <w:rPr>
          <w:b/>
          <w:color w:val="231F20"/>
          <w:spacing w:val="-11"/>
          <w:w w:val="115"/>
        </w:rPr>
        <w:t> </w:t>
      </w:r>
      <w:r>
        <w:rPr>
          <w:b/>
          <w:color w:val="231F20"/>
          <w:spacing w:val="-2"/>
          <w:w w:val="115"/>
        </w:rPr>
        <w:t>rationalisation.</w:t>
      </w:r>
      <w:r>
        <w:rPr>
          <w:b/>
          <w:color w:val="231F20"/>
          <w:spacing w:val="-9"/>
          <w:w w:val="115"/>
        </w:rPr>
        <w:t> </w:t>
      </w:r>
      <w:r>
        <w:rPr>
          <w:color w:val="231F20"/>
          <w:spacing w:val="-2"/>
          <w:w w:val="115"/>
        </w:rPr>
        <w:t>Ce</w:t>
      </w:r>
      <w:r>
        <w:rPr>
          <w:color w:val="231F20"/>
          <w:spacing w:val="-8"/>
          <w:w w:val="115"/>
        </w:rPr>
        <w:t> </w:t>
      </w:r>
      <w:r>
        <w:rPr>
          <w:color w:val="231F20"/>
          <w:spacing w:val="-2"/>
          <w:w w:val="115"/>
        </w:rPr>
        <w:t>processus</w:t>
      </w:r>
      <w:r>
        <w:rPr>
          <w:color w:val="231F20"/>
          <w:spacing w:val="-8"/>
          <w:w w:val="115"/>
        </w:rPr>
        <w:t> </w:t>
      </w:r>
      <w:r>
        <w:rPr>
          <w:color w:val="231F20"/>
          <w:spacing w:val="-2"/>
          <w:w w:val="115"/>
        </w:rPr>
        <w:t>consiste,</w:t>
      </w:r>
      <w:r>
        <w:rPr>
          <w:color w:val="231F20"/>
          <w:spacing w:val="-8"/>
          <w:w w:val="115"/>
        </w:rPr>
        <w:t> </w:t>
      </w:r>
      <w:r>
        <w:rPr>
          <w:color w:val="231F20"/>
          <w:spacing w:val="-2"/>
          <w:w w:val="115"/>
        </w:rPr>
        <w:t>pour</w:t>
      </w:r>
      <w:r>
        <w:rPr>
          <w:color w:val="231F20"/>
          <w:spacing w:val="-8"/>
          <w:w w:val="115"/>
        </w:rPr>
        <w:t> </w:t>
      </w:r>
      <w:r>
        <w:rPr>
          <w:color w:val="231F20"/>
          <w:spacing w:val="-2"/>
          <w:w w:val="115"/>
        </w:rPr>
        <w:t>le</w:t>
      </w:r>
      <w:r>
        <w:rPr>
          <w:color w:val="231F20"/>
          <w:spacing w:val="-8"/>
          <w:w w:val="115"/>
        </w:rPr>
        <w:t> </w:t>
      </w:r>
      <w:r>
        <w:rPr>
          <w:color w:val="231F20"/>
          <w:spacing w:val="-2"/>
          <w:w w:val="115"/>
        </w:rPr>
        <w:t>sujet,</w:t>
      </w:r>
      <w:r>
        <w:rPr>
          <w:color w:val="231F20"/>
          <w:spacing w:val="-8"/>
          <w:w w:val="115"/>
        </w:rPr>
        <w:t> </w:t>
      </w:r>
      <w:r>
        <w:rPr>
          <w:color w:val="231F20"/>
          <w:spacing w:val="-2"/>
          <w:w w:val="115"/>
        </w:rPr>
        <w:t>à</w:t>
      </w:r>
      <w:r>
        <w:rPr>
          <w:color w:val="231F20"/>
          <w:spacing w:val="-8"/>
          <w:w w:val="115"/>
        </w:rPr>
        <w:t> </w:t>
      </w:r>
      <w:r>
        <w:rPr>
          <w:color w:val="231F20"/>
          <w:spacing w:val="-2"/>
          <w:w w:val="115"/>
        </w:rPr>
        <w:t>justifier</w:t>
      </w:r>
      <w:r>
        <w:rPr>
          <w:color w:val="231F20"/>
          <w:spacing w:val="-8"/>
          <w:w w:val="115"/>
        </w:rPr>
        <w:t> </w:t>
      </w:r>
      <w:r>
        <w:rPr>
          <w:color w:val="231F20"/>
          <w:spacing w:val="-2"/>
          <w:w w:val="115"/>
        </w:rPr>
        <w:t>ses</w:t>
      </w:r>
      <w:r>
        <w:rPr>
          <w:color w:val="231F20"/>
          <w:spacing w:val="-8"/>
          <w:w w:val="115"/>
        </w:rPr>
        <w:t> </w:t>
      </w:r>
      <w:r>
        <w:rPr>
          <w:color w:val="231F20"/>
          <w:spacing w:val="-2"/>
          <w:w w:val="115"/>
        </w:rPr>
        <w:t>com- </w:t>
      </w:r>
      <w:r>
        <w:rPr>
          <w:color w:val="231F20"/>
          <w:w w:val="120"/>
        </w:rPr>
        <w:t>portements ou ses intentions pour éviter le jugement d’autrui. La per- sonne</w:t>
      </w:r>
      <w:r>
        <w:rPr>
          <w:color w:val="231F20"/>
          <w:spacing w:val="-6"/>
          <w:w w:val="120"/>
        </w:rPr>
        <w:t> </w:t>
      </w:r>
      <w:r>
        <w:rPr>
          <w:color w:val="231F20"/>
          <w:w w:val="120"/>
        </w:rPr>
        <w:t>qui,</w:t>
      </w:r>
      <w:r>
        <w:rPr>
          <w:color w:val="231F20"/>
          <w:spacing w:val="-6"/>
          <w:w w:val="120"/>
        </w:rPr>
        <w:t> </w:t>
      </w:r>
      <w:r>
        <w:rPr>
          <w:color w:val="231F20"/>
          <w:w w:val="120"/>
        </w:rPr>
        <w:t>par</w:t>
      </w:r>
      <w:r>
        <w:rPr>
          <w:color w:val="231F20"/>
          <w:spacing w:val="-6"/>
          <w:w w:val="120"/>
        </w:rPr>
        <w:t> </w:t>
      </w:r>
      <w:r>
        <w:rPr>
          <w:color w:val="231F20"/>
          <w:w w:val="120"/>
        </w:rPr>
        <w:t>exemple,</w:t>
      </w:r>
      <w:r>
        <w:rPr>
          <w:color w:val="231F20"/>
          <w:spacing w:val="-6"/>
          <w:w w:val="120"/>
        </w:rPr>
        <w:t> </w:t>
      </w:r>
      <w:r>
        <w:rPr>
          <w:color w:val="231F20"/>
          <w:w w:val="120"/>
        </w:rPr>
        <w:t>explique</w:t>
      </w:r>
      <w:r>
        <w:rPr>
          <w:color w:val="231F20"/>
          <w:spacing w:val="-6"/>
          <w:w w:val="120"/>
        </w:rPr>
        <w:t> </w:t>
      </w:r>
      <w:r>
        <w:rPr>
          <w:color w:val="231F20"/>
          <w:w w:val="120"/>
        </w:rPr>
        <w:t>que</w:t>
      </w:r>
      <w:r>
        <w:rPr>
          <w:color w:val="231F20"/>
          <w:spacing w:val="-6"/>
          <w:w w:val="120"/>
        </w:rPr>
        <w:t> </w:t>
      </w:r>
      <w:r>
        <w:rPr>
          <w:color w:val="231F20"/>
          <w:w w:val="120"/>
        </w:rPr>
        <w:t>de</w:t>
      </w:r>
      <w:r>
        <w:rPr>
          <w:color w:val="231F20"/>
          <w:spacing w:val="-6"/>
          <w:w w:val="120"/>
        </w:rPr>
        <w:t> </w:t>
      </w:r>
      <w:r>
        <w:rPr>
          <w:color w:val="231F20"/>
          <w:w w:val="120"/>
        </w:rPr>
        <w:t>toute</w:t>
      </w:r>
      <w:r>
        <w:rPr>
          <w:color w:val="231F20"/>
          <w:spacing w:val="-6"/>
          <w:w w:val="120"/>
        </w:rPr>
        <w:t> </w:t>
      </w:r>
      <w:r>
        <w:rPr>
          <w:color w:val="231F20"/>
          <w:w w:val="120"/>
        </w:rPr>
        <w:t>façon</w:t>
      </w:r>
      <w:r>
        <w:rPr>
          <w:color w:val="231F20"/>
          <w:spacing w:val="-6"/>
          <w:w w:val="120"/>
        </w:rPr>
        <w:t> </w:t>
      </w:r>
      <w:r>
        <w:rPr>
          <w:color w:val="231F20"/>
          <w:w w:val="120"/>
        </w:rPr>
        <w:t>elle</w:t>
      </w:r>
      <w:r>
        <w:rPr>
          <w:color w:val="231F20"/>
          <w:spacing w:val="-6"/>
          <w:w w:val="120"/>
        </w:rPr>
        <w:t> </w:t>
      </w:r>
      <w:r>
        <w:rPr>
          <w:color w:val="231F20"/>
          <w:w w:val="120"/>
        </w:rPr>
        <w:t>ne</w:t>
      </w:r>
      <w:r>
        <w:rPr>
          <w:color w:val="231F20"/>
          <w:spacing w:val="-6"/>
          <w:w w:val="120"/>
        </w:rPr>
        <w:t> </w:t>
      </w:r>
      <w:r>
        <w:rPr>
          <w:color w:val="231F20"/>
          <w:w w:val="120"/>
        </w:rPr>
        <w:t>voulait</w:t>
      </w:r>
      <w:r>
        <w:rPr>
          <w:color w:val="231F20"/>
          <w:spacing w:val="-6"/>
          <w:w w:val="120"/>
        </w:rPr>
        <w:t> </w:t>
      </w:r>
      <w:r>
        <w:rPr>
          <w:color w:val="231F20"/>
          <w:w w:val="120"/>
        </w:rPr>
        <w:t>pas </w:t>
      </w:r>
      <w:r>
        <w:rPr>
          <w:color w:val="231F20"/>
          <w:w w:val="115"/>
        </w:rPr>
        <w:t>d’un</w:t>
      </w:r>
      <w:r>
        <w:rPr>
          <w:color w:val="231F20"/>
          <w:spacing w:val="-5"/>
          <w:w w:val="115"/>
        </w:rPr>
        <w:t> </w:t>
      </w:r>
      <w:r>
        <w:rPr>
          <w:color w:val="231F20"/>
          <w:w w:val="115"/>
        </w:rPr>
        <w:t>objet</w:t>
      </w:r>
      <w:r>
        <w:rPr>
          <w:color w:val="231F20"/>
          <w:spacing w:val="-5"/>
          <w:w w:val="115"/>
        </w:rPr>
        <w:t> </w:t>
      </w:r>
      <w:r>
        <w:rPr>
          <w:color w:val="231F20"/>
          <w:w w:val="115"/>
        </w:rPr>
        <w:t>qui</w:t>
      </w:r>
      <w:r>
        <w:rPr>
          <w:color w:val="231F20"/>
          <w:spacing w:val="-5"/>
          <w:w w:val="115"/>
        </w:rPr>
        <w:t> </w:t>
      </w:r>
      <w:r>
        <w:rPr>
          <w:color w:val="231F20"/>
          <w:w w:val="115"/>
        </w:rPr>
        <w:t>s’avère</w:t>
      </w:r>
      <w:r>
        <w:rPr>
          <w:color w:val="231F20"/>
          <w:spacing w:val="-5"/>
          <w:w w:val="115"/>
        </w:rPr>
        <w:t> </w:t>
      </w:r>
      <w:r>
        <w:rPr>
          <w:color w:val="231F20"/>
          <w:w w:val="115"/>
        </w:rPr>
        <w:t>inaccessible</w:t>
      </w:r>
      <w:r>
        <w:rPr>
          <w:color w:val="231F20"/>
          <w:spacing w:val="-5"/>
          <w:w w:val="115"/>
        </w:rPr>
        <w:t> </w:t>
      </w:r>
      <w:r>
        <w:rPr>
          <w:color w:val="231F20"/>
          <w:w w:val="115"/>
        </w:rPr>
        <w:t>pour</w:t>
      </w:r>
      <w:r>
        <w:rPr>
          <w:color w:val="231F20"/>
          <w:spacing w:val="-5"/>
          <w:w w:val="115"/>
        </w:rPr>
        <w:t> </w:t>
      </w:r>
      <w:r>
        <w:rPr>
          <w:color w:val="231F20"/>
          <w:w w:val="115"/>
        </w:rPr>
        <w:t>elle</w:t>
      </w:r>
      <w:r>
        <w:rPr>
          <w:color w:val="231F20"/>
          <w:spacing w:val="-5"/>
          <w:w w:val="115"/>
        </w:rPr>
        <w:t> </w:t>
      </w:r>
      <w:r>
        <w:rPr>
          <w:color w:val="231F20"/>
          <w:w w:val="115"/>
        </w:rPr>
        <w:t>rappelle</w:t>
      </w:r>
      <w:r>
        <w:rPr>
          <w:color w:val="231F20"/>
          <w:spacing w:val="-5"/>
          <w:w w:val="115"/>
        </w:rPr>
        <w:t> </w:t>
      </w:r>
      <w:r>
        <w:rPr>
          <w:color w:val="231F20"/>
          <w:w w:val="115"/>
        </w:rPr>
        <w:t>la</w:t>
      </w:r>
      <w:r>
        <w:rPr>
          <w:color w:val="231F20"/>
          <w:spacing w:val="-5"/>
          <w:w w:val="115"/>
        </w:rPr>
        <w:t> </w:t>
      </w:r>
      <w:r>
        <w:rPr>
          <w:color w:val="231F20"/>
          <w:w w:val="115"/>
        </w:rPr>
        <w:t>fable</w:t>
      </w:r>
      <w:r>
        <w:rPr>
          <w:color w:val="231F20"/>
          <w:spacing w:val="-5"/>
          <w:w w:val="115"/>
        </w:rPr>
        <w:t> </w:t>
      </w:r>
      <w:r>
        <w:rPr>
          <w:i/>
          <w:color w:val="231F20"/>
          <w:w w:val="115"/>
        </w:rPr>
        <w:t>Le</w:t>
      </w:r>
      <w:r>
        <w:rPr>
          <w:i/>
          <w:color w:val="231F20"/>
          <w:spacing w:val="-5"/>
          <w:w w:val="115"/>
        </w:rPr>
        <w:t> </w:t>
      </w:r>
      <w:r>
        <w:rPr>
          <w:i/>
          <w:color w:val="231F20"/>
          <w:w w:val="115"/>
        </w:rPr>
        <w:t>renard</w:t>
      </w:r>
      <w:r>
        <w:rPr>
          <w:i/>
          <w:color w:val="231F20"/>
          <w:spacing w:val="-5"/>
          <w:w w:val="115"/>
        </w:rPr>
        <w:t> </w:t>
      </w:r>
      <w:r>
        <w:rPr>
          <w:i/>
          <w:color w:val="231F20"/>
          <w:w w:val="115"/>
        </w:rPr>
        <w:t>et les</w:t>
      </w:r>
      <w:r>
        <w:rPr>
          <w:i/>
          <w:color w:val="231F20"/>
          <w:spacing w:val="-13"/>
          <w:w w:val="115"/>
        </w:rPr>
        <w:t> </w:t>
      </w:r>
      <w:r>
        <w:rPr>
          <w:i/>
          <w:color w:val="231F20"/>
          <w:w w:val="115"/>
        </w:rPr>
        <w:t>raisins</w:t>
      </w:r>
      <w:r>
        <w:rPr>
          <w:i/>
          <w:color w:val="231F20"/>
          <w:spacing w:val="-7"/>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Fontaine:</w:t>
      </w:r>
      <w:r>
        <w:rPr>
          <w:color w:val="231F20"/>
          <w:spacing w:val="-2"/>
          <w:w w:val="115"/>
        </w:rPr>
        <w:t> </w:t>
      </w:r>
      <w:r>
        <w:rPr>
          <w:color w:val="231F20"/>
          <w:w w:val="115"/>
        </w:rPr>
        <w:t>«</w:t>
      </w:r>
      <w:r>
        <w:rPr>
          <w:color w:val="231F20"/>
          <w:spacing w:val="-13"/>
          <w:w w:val="115"/>
        </w:rPr>
        <w:t> </w:t>
      </w:r>
      <w:r>
        <w:rPr>
          <w:color w:val="231F20"/>
          <w:w w:val="115"/>
        </w:rPr>
        <w:t>Ils</w:t>
      </w:r>
      <w:r>
        <w:rPr>
          <w:color w:val="231F20"/>
          <w:spacing w:val="-2"/>
          <w:w w:val="115"/>
        </w:rPr>
        <w:t> </w:t>
      </w:r>
      <w:r>
        <w:rPr>
          <w:color w:val="231F20"/>
          <w:w w:val="115"/>
        </w:rPr>
        <w:t>sont</w:t>
      </w:r>
      <w:r>
        <w:rPr>
          <w:color w:val="231F20"/>
          <w:spacing w:val="-2"/>
          <w:w w:val="115"/>
        </w:rPr>
        <w:t> </w:t>
      </w:r>
      <w:r>
        <w:rPr>
          <w:color w:val="231F20"/>
          <w:w w:val="115"/>
        </w:rPr>
        <w:t>trop</w:t>
      </w:r>
      <w:r>
        <w:rPr>
          <w:color w:val="231F20"/>
          <w:spacing w:val="-2"/>
          <w:w w:val="115"/>
        </w:rPr>
        <w:t> </w:t>
      </w:r>
      <w:r>
        <w:rPr>
          <w:color w:val="231F20"/>
          <w:w w:val="115"/>
        </w:rPr>
        <w:t>verts,</w:t>
      </w:r>
      <w:r>
        <w:rPr>
          <w:color w:val="231F20"/>
          <w:spacing w:val="-2"/>
          <w:w w:val="115"/>
        </w:rPr>
        <w:t> </w:t>
      </w:r>
      <w:r>
        <w:rPr>
          <w:color w:val="231F20"/>
          <w:w w:val="115"/>
        </w:rPr>
        <w:t>et</w:t>
      </w:r>
      <w:r>
        <w:rPr>
          <w:color w:val="231F20"/>
          <w:spacing w:val="-2"/>
          <w:w w:val="115"/>
        </w:rPr>
        <w:t> </w:t>
      </w:r>
      <w:r>
        <w:rPr>
          <w:color w:val="231F20"/>
          <w:w w:val="115"/>
        </w:rPr>
        <w:t>bons</w:t>
      </w:r>
      <w:r>
        <w:rPr>
          <w:color w:val="231F20"/>
          <w:spacing w:val="-2"/>
          <w:w w:val="115"/>
        </w:rPr>
        <w:t> </w:t>
      </w:r>
      <w:r>
        <w:rPr>
          <w:color w:val="231F20"/>
          <w:w w:val="115"/>
        </w:rPr>
        <w:t>pour</w:t>
      </w:r>
      <w:r>
        <w:rPr>
          <w:color w:val="231F20"/>
          <w:spacing w:val="-2"/>
          <w:w w:val="115"/>
        </w:rPr>
        <w:t> </w:t>
      </w:r>
      <w:r>
        <w:rPr>
          <w:color w:val="231F20"/>
          <w:w w:val="115"/>
        </w:rPr>
        <w:t>des</w:t>
      </w:r>
      <w:r>
        <w:rPr>
          <w:color w:val="231F20"/>
          <w:spacing w:val="-2"/>
          <w:w w:val="115"/>
        </w:rPr>
        <w:t> </w:t>
      </w:r>
      <w:r>
        <w:rPr>
          <w:color w:val="231F20"/>
          <w:w w:val="115"/>
        </w:rPr>
        <w:t>goujats.» La</w:t>
      </w:r>
      <w:r>
        <w:rPr>
          <w:color w:val="231F20"/>
          <w:spacing w:val="-10"/>
          <w:w w:val="115"/>
        </w:rPr>
        <w:t> </w:t>
      </w:r>
      <w:r>
        <w:rPr>
          <w:color w:val="231F20"/>
          <w:w w:val="115"/>
        </w:rPr>
        <w:t>rationalisation peut aussi aller dans le sens contraire des «</w:t>
      </w:r>
      <w:r>
        <w:rPr>
          <w:color w:val="231F20"/>
          <w:spacing w:val="-13"/>
          <w:w w:val="115"/>
        </w:rPr>
        <w:t> </w:t>
      </w:r>
      <w:r>
        <w:rPr>
          <w:color w:val="231F20"/>
          <w:w w:val="115"/>
        </w:rPr>
        <w:t>raisins </w:t>
      </w:r>
      <w:r>
        <w:rPr>
          <w:color w:val="231F20"/>
          <w:w w:val="115"/>
        </w:rPr>
        <w:t>trop verts»,</w:t>
      </w:r>
      <w:r>
        <w:rPr>
          <w:color w:val="231F20"/>
          <w:spacing w:val="-13"/>
          <w:w w:val="115"/>
        </w:rPr>
        <w:t> </w:t>
      </w:r>
      <w:r>
        <w:rPr>
          <w:color w:val="231F20"/>
          <w:w w:val="115"/>
        </w:rPr>
        <w:t>qu’on</w:t>
      </w:r>
      <w:r>
        <w:rPr>
          <w:color w:val="231F20"/>
          <w:spacing w:val="-12"/>
          <w:w w:val="115"/>
        </w:rPr>
        <w:t> </w:t>
      </w:r>
      <w:r>
        <w:rPr>
          <w:color w:val="231F20"/>
          <w:w w:val="115"/>
        </w:rPr>
        <w:t>appelle</w:t>
      </w:r>
      <w:r>
        <w:rPr>
          <w:color w:val="231F20"/>
          <w:spacing w:val="-12"/>
          <w:w w:val="115"/>
        </w:rPr>
        <w:t> </w:t>
      </w:r>
      <w:r>
        <w:rPr>
          <w:color w:val="231F20"/>
          <w:w w:val="115"/>
        </w:rPr>
        <w:t>parfois</w:t>
      </w:r>
      <w:r>
        <w:rPr>
          <w:color w:val="231F20"/>
          <w:spacing w:val="-12"/>
          <w:w w:val="115"/>
        </w:rPr>
        <w:t> </w:t>
      </w:r>
      <w:r>
        <w:rPr>
          <w:color w:val="231F20"/>
          <w:w w:val="115"/>
        </w:rPr>
        <w:t>le</w:t>
      </w:r>
      <w:r>
        <w:rPr>
          <w:color w:val="231F20"/>
          <w:spacing w:val="-8"/>
          <w:w w:val="115"/>
        </w:rPr>
        <w:t> </w:t>
      </w:r>
      <w:r>
        <w:rPr>
          <w:color w:val="231F20"/>
          <w:w w:val="115"/>
        </w:rPr>
        <w:t>«</w:t>
      </w:r>
      <w:r>
        <w:rPr>
          <w:color w:val="231F20"/>
          <w:spacing w:val="-13"/>
          <w:w w:val="115"/>
        </w:rPr>
        <w:t> </w:t>
      </w:r>
      <w:r>
        <w:rPr>
          <w:color w:val="231F20"/>
          <w:w w:val="115"/>
        </w:rPr>
        <w:t>citron</w:t>
      </w:r>
      <w:r>
        <w:rPr>
          <w:color w:val="231F20"/>
          <w:spacing w:val="-7"/>
          <w:w w:val="115"/>
        </w:rPr>
        <w:t> </w:t>
      </w:r>
      <w:r>
        <w:rPr>
          <w:color w:val="231F20"/>
          <w:w w:val="115"/>
        </w:rPr>
        <w:t>doux».</w:t>
      </w:r>
      <w:r>
        <w:rPr>
          <w:color w:val="231F20"/>
          <w:spacing w:val="-8"/>
          <w:w w:val="115"/>
        </w:rPr>
        <w:t> </w:t>
      </w:r>
      <w:r>
        <w:rPr>
          <w:color w:val="231F20"/>
          <w:w w:val="115"/>
        </w:rPr>
        <w:t>Par</w:t>
      </w:r>
      <w:r>
        <w:rPr>
          <w:color w:val="231F20"/>
          <w:spacing w:val="-8"/>
          <w:w w:val="115"/>
        </w:rPr>
        <w:t> </w:t>
      </w:r>
      <w:r>
        <w:rPr>
          <w:color w:val="231F20"/>
          <w:w w:val="115"/>
        </w:rPr>
        <w:t>exemple,</w:t>
      </w:r>
      <w:r>
        <w:rPr>
          <w:color w:val="231F20"/>
          <w:spacing w:val="-8"/>
          <w:w w:val="115"/>
        </w:rPr>
        <w:t> </w:t>
      </w:r>
      <w:r>
        <w:rPr>
          <w:color w:val="231F20"/>
          <w:w w:val="115"/>
        </w:rPr>
        <w:t>une</w:t>
      </w:r>
      <w:r>
        <w:rPr>
          <w:color w:val="231F20"/>
          <w:spacing w:val="-8"/>
          <w:w w:val="115"/>
        </w:rPr>
        <w:t> </w:t>
      </w:r>
      <w:r>
        <w:rPr>
          <w:color w:val="231F20"/>
          <w:w w:val="115"/>
        </w:rPr>
        <w:t>personne </w:t>
      </w:r>
      <w:r>
        <w:rPr>
          <w:color w:val="231F20"/>
          <w:w w:val="120"/>
        </w:rPr>
        <w:t>justifie un mauvais achat en exagérant ou en inventant les avantages du</w:t>
      </w:r>
      <w:r>
        <w:rPr>
          <w:color w:val="231F20"/>
          <w:spacing w:val="-13"/>
          <w:w w:val="120"/>
        </w:rPr>
        <w:t> </w:t>
      </w:r>
      <w:r>
        <w:rPr>
          <w:color w:val="231F20"/>
          <w:w w:val="120"/>
        </w:rPr>
        <w:t>produit.</w:t>
      </w:r>
    </w:p>
    <w:p>
      <w:pPr>
        <w:pStyle w:val="BodyText"/>
        <w:spacing w:before="7"/>
        <w:rPr>
          <w:sz w:val="21"/>
        </w:rPr>
      </w:pPr>
    </w:p>
    <w:p>
      <w:pPr>
        <w:pStyle w:val="BodyText"/>
        <w:spacing w:line="307" w:lineRule="auto"/>
        <w:ind w:left="1220" w:right="100"/>
        <w:jc w:val="both"/>
      </w:pPr>
      <w:r>
        <w:rPr>
          <w:b/>
          <w:color w:val="231F20"/>
          <w:w w:val="115"/>
        </w:rPr>
        <w:t>La formation réactionnelle. </w:t>
      </w:r>
      <w:r>
        <w:rPr>
          <w:color w:val="231F20"/>
          <w:w w:val="115"/>
        </w:rPr>
        <w:t>Ce processus consiste à former consciem- </w:t>
      </w:r>
      <w:r>
        <w:rPr>
          <w:color w:val="231F20"/>
          <w:w w:val="120"/>
        </w:rPr>
        <w:t>ment</w:t>
      </w:r>
      <w:r>
        <w:rPr>
          <w:color w:val="231F20"/>
          <w:spacing w:val="-2"/>
          <w:w w:val="120"/>
        </w:rPr>
        <w:t> </w:t>
      </w:r>
      <w:r>
        <w:rPr>
          <w:color w:val="231F20"/>
          <w:w w:val="120"/>
        </w:rPr>
        <w:t>des</w:t>
      </w:r>
      <w:r>
        <w:rPr>
          <w:color w:val="231F20"/>
          <w:spacing w:val="-2"/>
          <w:w w:val="120"/>
        </w:rPr>
        <w:t> </w:t>
      </w:r>
      <w:r>
        <w:rPr>
          <w:color w:val="231F20"/>
          <w:w w:val="120"/>
        </w:rPr>
        <w:t>perceptions</w:t>
      </w:r>
      <w:r>
        <w:rPr>
          <w:color w:val="231F20"/>
          <w:spacing w:val="-2"/>
          <w:w w:val="120"/>
        </w:rPr>
        <w:t> </w:t>
      </w:r>
      <w:r>
        <w:rPr>
          <w:color w:val="231F20"/>
          <w:w w:val="120"/>
        </w:rPr>
        <w:t>positives</w:t>
      </w:r>
      <w:r>
        <w:rPr>
          <w:color w:val="231F20"/>
          <w:spacing w:val="-2"/>
          <w:w w:val="120"/>
        </w:rPr>
        <w:t> </w:t>
      </w:r>
      <w:r>
        <w:rPr>
          <w:color w:val="231F20"/>
          <w:w w:val="120"/>
        </w:rPr>
        <w:t>de</w:t>
      </w:r>
      <w:r>
        <w:rPr>
          <w:color w:val="231F20"/>
          <w:spacing w:val="-2"/>
          <w:w w:val="120"/>
        </w:rPr>
        <w:t> </w:t>
      </w:r>
      <w:r>
        <w:rPr>
          <w:color w:val="231F20"/>
          <w:w w:val="120"/>
        </w:rPr>
        <w:t>soi</w:t>
      </w:r>
      <w:r>
        <w:rPr>
          <w:color w:val="231F20"/>
          <w:spacing w:val="-2"/>
          <w:w w:val="120"/>
        </w:rPr>
        <w:t> </w:t>
      </w:r>
      <w:r>
        <w:rPr>
          <w:color w:val="231F20"/>
          <w:w w:val="120"/>
        </w:rPr>
        <w:t>afin</w:t>
      </w:r>
      <w:r>
        <w:rPr>
          <w:color w:val="231F20"/>
          <w:spacing w:val="-2"/>
          <w:w w:val="120"/>
        </w:rPr>
        <w:t> </w:t>
      </w:r>
      <w:r>
        <w:rPr>
          <w:color w:val="231F20"/>
          <w:w w:val="120"/>
        </w:rPr>
        <w:t>de</w:t>
      </w:r>
      <w:r>
        <w:rPr>
          <w:color w:val="231F20"/>
          <w:spacing w:val="-2"/>
          <w:w w:val="120"/>
        </w:rPr>
        <w:t> </w:t>
      </w:r>
      <w:r>
        <w:rPr>
          <w:color w:val="231F20"/>
          <w:w w:val="120"/>
        </w:rPr>
        <w:t>masquer</w:t>
      </w:r>
      <w:r>
        <w:rPr>
          <w:color w:val="231F20"/>
          <w:spacing w:val="-2"/>
          <w:w w:val="120"/>
        </w:rPr>
        <w:t> </w:t>
      </w:r>
      <w:r>
        <w:rPr>
          <w:color w:val="231F20"/>
          <w:w w:val="120"/>
        </w:rPr>
        <w:t>et</w:t>
      </w:r>
      <w:r>
        <w:rPr>
          <w:color w:val="231F20"/>
          <w:spacing w:val="-2"/>
          <w:w w:val="120"/>
        </w:rPr>
        <w:t> </w:t>
      </w:r>
      <w:r>
        <w:rPr>
          <w:color w:val="231F20"/>
          <w:w w:val="120"/>
        </w:rPr>
        <w:t>de</w:t>
      </w:r>
      <w:r>
        <w:rPr>
          <w:color w:val="231F20"/>
          <w:spacing w:val="-2"/>
          <w:w w:val="120"/>
        </w:rPr>
        <w:t> </w:t>
      </w:r>
      <w:r>
        <w:rPr>
          <w:color w:val="231F20"/>
          <w:w w:val="120"/>
        </w:rPr>
        <w:t>cacher</w:t>
      </w:r>
      <w:r>
        <w:rPr>
          <w:color w:val="231F20"/>
          <w:spacing w:val="-2"/>
          <w:w w:val="120"/>
        </w:rPr>
        <w:t> </w:t>
      </w:r>
      <w:r>
        <w:rPr>
          <w:color w:val="231F20"/>
          <w:w w:val="120"/>
        </w:rPr>
        <w:t>des perceptions</w:t>
      </w:r>
      <w:r>
        <w:rPr>
          <w:color w:val="231F20"/>
          <w:spacing w:val="-9"/>
          <w:w w:val="120"/>
        </w:rPr>
        <w:t> </w:t>
      </w:r>
      <w:r>
        <w:rPr>
          <w:color w:val="231F20"/>
          <w:w w:val="120"/>
        </w:rPr>
        <w:t>négatives</w:t>
      </w:r>
      <w:r>
        <w:rPr>
          <w:color w:val="231F20"/>
          <w:spacing w:val="-9"/>
          <w:w w:val="120"/>
        </w:rPr>
        <w:t> </w:t>
      </w:r>
      <w:r>
        <w:rPr>
          <w:color w:val="231F20"/>
          <w:w w:val="120"/>
        </w:rPr>
        <w:t>opposées.</w:t>
      </w:r>
      <w:r>
        <w:rPr>
          <w:color w:val="231F20"/>
          <w:spacing w:val="-9"/>
          <w:w w:val="120"/>
        </w:rPr>
        <w:t> </w:t>
      </w:r>
      <w:r>
        <w:rPr>
          <w:color w:val="231F20"/>
          <w:w w:val="120"/>
        </w:rPr>
        <w:t>L’individu</w:t>
      </w:r>
      <w:r>
        <w:rPr>
          <w:color w:val="231F20"/>
          <w:spacing w:val="-9"/>
          <w:w w:val="120"/>
        </w:rPr>
        <w:t> </w:t>
      </w:r>
      <w:r>
        <w:rPr>
          <w:color w:val="231F20"/>
          <w:w w:val="120"/>
        </w:rPr>
        <w:t>compense</w:t>
      </w:r>
      <w:r>
        <w:rPr>
          <w:color w:val="231F20"/>
          <w:spacing w:val="-9"/>
          <w:w w:val="120"/>
        </w:rPr>
        <w:t> </w:t>
      </w:r>
      <w:r>
        <w:rPr>
          <w:color w:val="231F20"/>
          <w:w w:val="120"/>
        </w:rPr>
        <w:t>ainsi</w:t>
      </w:r>
      <w:r>
        <w:rPr>
          <w:color w:val="231F20"/>
          <w:spacing w:val="-9"/>
          <w:w w:val="120"/>
        </w:rPr>
        <w:t> </w:t>
      </w:r>
      <w:r>
        <w:rPr>
          <w:color w:val="231F20"/>
          <w:w w:val="120"/>
        </w:rPr>
        <w:t>les</w:t>
      </w:r>
      <w:r>
        <w:rPr>
          <w:color w:val="231F20"/>
          <w:spacing w:val="-9"/>
          <w:w w:val="120"/>
        </w:rPr>
        <w:t> </w:t>
      </w:r>
      <w:r>
        <w:rPr>
          <w:color w:val="231F20"/>
          <w:w w:val="120"/>
        </w:rPr>
        <w:t>percep- tions négatives qu’il a de lui-même en affichant leur contraire. Par exemple, une personne qui nourrit du ressentiment à l’égard de ses </w:t>
      </w:r>
      <w:r>
        <w:rPr>
          <w:color w:val="231F20"/>
          <w:spacing w:val="-2"/>
          <w:w w:val="120"/>
        </w:rPr>
        <w:t>parents</w:t>
      </w:r>
      <w:r>
        <w:rPr>
          <w:color w:val="231F20"/>
          <w:spacing w:val="-4"/>
          <w:w w:val="120"/>
        </w:rPr>
        <w:t> </w:t>
      </w:r>
      <w:r>
        <w:rPr>
          <w:color w:val="231F20"/>
          <w:spacing w:val="-2"/>
          <w:w w:val="120"/>
        </w:rPr>
        <w:t>fournit</w:t>
      </w:r>
      <w:r>
        <w:rPr>
          <w:color w:val="231F20"/>
          <w:spacing w:val="-4"/>
          <w:w w:val="120"/>
        </w:rPr>
        <w:t> </w:t>
      </w:r>
      <w:r>
        <w:rPr>
          <w:color w:val="231F20"/>
          <w:spacing w:val="-2"/>
          <w:w w:val="120"/>
        </w:rPr>
        <w:t>des</w:t>
      </w:r>
      <w:r>
        <w:rPr>
          <w:color w:val="231F20"/>
          <w:spacing w:val="-4"/>
          <w:w w:val="120"/>
        </w:rPr>
        <w:t> </w:t>
      </w:r>
      <w:r>
        <w:rPr>
          <w:color w:val="231F20"/>
          <w:spacing w:val="-2"/>
          <w:w w:val="120"/>
        </w:rPr>
        <w:t>efforts</w:t>
      </w:r>
      <w:r>
        <w:rPr>
          <w:color w:val="231F20"/>
          <w:spacing w:val="-4"/>
          <w:w w:val="120"/>
        </w:rPr>
        <w:t> </w:t>
      </w:r>
      <w:r>
        <w:rPr>
          <w:color w:val="231F20"/>
          <w:spacing w:val="-2"/>
          <w:w w:val="120"/>
        </w:rPr>
        <w:t>particuliers</w:t>
      </w:r>
      <w:r>
        <w:rPr>
          <w:color w:val="231F20"/>
          <w:spacing w:val="-4"/>
          <w:w w:val="120"/>
        </w:rPr>
        <w:t> </w:t>
      </w:r>
      <w:r>
        <w:rPr>
          <w:color w:val="231F20"/>
          <w:spacing w:val="-2"/>
          <w:w w:val="120"/>
        </w:rPr>
        <w:t>pour</w:t>
      </w:r>
      <w:r>
        <w:rPr>
          <w:color w:val="231F20"/>
          <w:spacing w:val="-4"/>
          <w:w w:val="120"/>
        </w:rPr>
        <w:t> </w:t>
      </w:r>
      <w:r>
        <w:rPr>
          <w:color w:val="231F20"/>
          <w:spacing w:val="-2"/>
          <w:w w:val="120"/>
        </w:rPr>
        <w:t>démontrer</w:t>
      </w:r>
      <w:r>
        <w:rPr>
          <w:color w:val="231F20"/>
          <w:spacing w:val="-4"/>
          <w:w w:val="120"/>
        </w:rPr>
        <w:t> </w:t>
      </w:r>
      <w:r>
        <w:rPr>
          <w:color w:val="231F20"/>
          <w:spacing w:val="-2"/>
          <w:w w:val="120"/>
        </w:rPr>
        <w:t>aux</w:t>
      </w:r>
      <w:r>
        <w:rPr>
          <w:color w:val="231F20"/>
          <w:spacing w:val="-4"/>
          <w:w w:val="120"/>
        </w:rPr>
        <w:t> </w:t>
      </w:r>
      <w:r>
        <w:rPr>
          <w:color w:val="231F20"/>
          <w:spacing w:val="-2"/>
          <w:w w:val="120"/>
        </w:rPr>
        <w:t>autres</w:t>
      </w:r>
      <w:r>
        <w:rPr>
          <w:color w:val="231F20"/>
          <w:spacing w:val="-4"/>
          <w:w w:val="120"/>
        </w:rPr>
        <w:t> </w:t>
      </w:r>
      <w:r>
        <w:rPr>
          <w:color w:val="231F20"/>
          <w:spacing w:val="-2"/>
          <w:w w:val="120"/>
        </w:rPr>
        <w:t>qu’elle </w:t>
      </w:r>
      <w:r>
        <w:rPr>
          <w:color w:val="231F20"/>
          <w:w w:val="120"/>
        </w:rPr>
        <w:t>en</w:t>
      </w:r>
      <w:r>
        <w:rPr>
          <w:color w:val="231F20"/>
          <w:spacing w:val="-13"/>
          <w:w w:val="120"/>
        </w:rPr>
        <w:t> </w:t>
      </w:r>
      <w:r>
        <w:rPr>
          <w:color w:val="231F20"/>
          <w:w w:val="120"/>
        </w:rPr>
        <w:t>prend</w:t>
      </w:r>
      <w:r>
        <w:rPr>
          <w:color w:val="231F20"/>
          <w:spacing w:val="-13"/>
          <w:w w:val="120"/>
        </w:rPr>
        <w:t> </w:t>
      </w:r>
      <w:r>
        <w:rPr>
          <w:color w:val="231F20"/>
          <w:w w:val="120"/>
        </w:rPr>
        <w:t>soin</w:t>
      </w:r>
      <w:r>
        <w:rPr>
          <w:color w:val="231F20"/>
          <w:spacing w:val="-13"/>
          <w:w w:val="120"/>
        </w:rPr>
        <w:t> </w:t>
      </w:r>
      <w:r>
        <w:rPr>
          <w:color w:val="231F20"/>
          <w:w w:val="120"/>
        </w:rPr>
        <w:t>et</w:t>
      </w:r>
      <w:r>
        <w:rPr>
          <w:color w:val="231F20"/>
          <w:spacing w:val="-12"/>
          <w:w w:val="120"/>
        </w:rPr>
        <w:t> </w:t>
      </w:r>
      <w:r>
        <w:rPr>
          <w:color w:val="231F20"/>
          <w:w w:val="120"/>
        </w:rPr>
        <w:t>qu’elle</w:t>
      </w:r>
      <w:r>
        <w:rPr>
          <w:color w:val="231F20"/>
          <w:spacing w:val="-13"/>
          <w:w w:val="120"/>
        </w:rPr>
        <w:t> </w:t>
      </w:r>
      <w:r>
        <w:rPr>
          <w:color w:val="231F20"/>
          <w:w w:val="120"/>
        </w:rPr>
        <w:t>s’en</w:t>
      </w:r>
      <w:r>
        <w:rPr>
          <w:color w:val="231F20"/>
          <w:spacing w:val="-13"/>
          <w:w w:val="120"/>
        </w:rPr>
        <w:t> </w:t>
      </w:r>
      <w:r>
        <w:rPr>
          <w:color w:val="231F20"/>
          <w:w w:val="120"/>
        </w:rPr>
        <w:t>soucie.</w:t>
      </w:r>
      <w:r>
        <w:rPr>
          <w:color w:val="231F20"/>
          <w:spacing w:val="-13"/>
          <w:w w:val="120"/>
        </w:rPr>
        <w:t> </w:t>
      </w:r>
      <w:r>
        <w:rPr>
          <w:color w:val="231F20"/>
          <w:w w:val="120"/>
        </w:rPr>
        <w:t>Ou</w:t>
      </w:r>
      <w:r>
        <w:rPr>
          <w:color w:val="231F20"/>
          <w:spacing w:val="-12"/>
          <w:w w:val="120"/>
        </w:rPr>
        <w:t> </w:t>
      </w:r>
      <w:r>
        <w:rPr>
          <w:color w:val="231F20"/>
          <w:w w:val="120"/>
        </w:rPr>
        <w:t>encore,</w:t>
      </w:r>
      <w:r>
        <w:rPr>
          <w:color w:val="231F20"/>
          <w:spacing w:val="-13"/>
          <w:w w:val="120"/>
        </w:rPr>
        <w:t> </w:t>
      </w:r>
      <w:r>
        <w:rPr>
          <w:color w:val="231F20"/>
          <w:w w:val="120"/>
        </w:rPr>
        <w:t>un</w:t>
      </w:r>
      <w:r>
        <w:rPr>
          <w:color w:val="231F20"/>
          <w:spacing w:val="-13"/>
          <w:w w:val="120"/>
        </w:rPr>
        <w:t> </w:t>
      </w:r>
      <w:r>
        <w:rPr>
          <w:color w:val="231F20"/>
          <w:w w:val="120"/>
        </w:rPr>
        <w:t>gestionnaire</w:t>
      </w:r>
      <w:r>
        <w:rPr>
          <w:color w:val="231F20"/>
          <w:spacing w:val="-13"/>
          <w:w w:val="120"/>
        </w:rPr>
        <w:t> </w:t>
      </w:r>
      <w:r>
        <w:rPr>
          <w:color w:val="231F20"/>
          <w:w w:val="120"/>
        </w:rPr>
        <w:t>particu- </w:t>
      </w:r>
      <w:r>
        <w:rPr>
          <w:color w:val="231F20"/>
          <w:spacing w:val="-2"/>
          <w:w w:val="120"/>
        </w:rPr>
        <w:t>lièrement</w:t>
      </w:r>
      <w:r>
        <w:rPr>
          <w:color w:val="231F20"/>
          <w:spacing w:val="-10"/>
          <w:w w:val="120"/>
        </w:rPr>
        <w:t> </w:t>
      </w:r>
      <w:r>
        <w:rPr>
          <w:color w:val="231F20"/>
          <w:spacing w:val="-2"/>
          <w:w w:val="120"/>
        </w:rPr>
        <w:t>tyrannique</w:t>
      </w:r>
      <w:r>
        <w:rPr>
          <w:color w:val="231F20"/>
          <w:spacing w:val="-10"/>
          <w:w w:val="120"/>
        </w:rPr>
        <w:t> </w:t>
      </w:r>
      <w:r>
        <w:rPr>
          <w:color w:val="231F20"/>
          <w:spacing w:val="-2"/>
          <w:w w:val="120"/>
        </w:rPr>
        <w:t>surutilise</w:t>
      </w:r>
      <w:r>
        <w:rPr>
          <w:color w:val="231F20"/>
          <w:spacing w:val="-10"/>
          <w:w w:val="120"/>
        </w:rPr>
        <w:t> </w:t>
      </w:r>
      <w:r>
        <w:rPr>
          <w:color w:val="231F20"/>
          <w:spacing w:val="-2"/>
          <w:w w:val="120"/>
        </w:rPr>
        <w:t>l’appel</w:t>
      </w:r>
      <w:r>
        <w:rPr>
          <w:color w:val="231F20"/>
          <w:spacing w:val="-10"/>
          <w:w w:val="120"/>
        </w:rPr>
        <w:t> </w:t>
      </w:r>
      <w:r>
        <w:rPr>
          <w:color w:val="231F20"/>
          <w:spacing w:val="-2"/>
          <w:w w:val="120"/>
        </w:rPr>
        <w:t>à</w:t>
      </w:r>
      <w:r>
        <w:rPr>
          <w:color w:val="231F20"/>
          <w:spacing w:val="-10"/>
          <w:w w:val="120"/>
        </w:rPr>
        <w:t> </w:t>
      </w:r>
      <w:r>
        <w:rPr>
          <w:color w:val="231F20"/>
          <w:spacing w:val="-2"/>
          <w:w w:val="120"/>
        </w:rPr>
        <w:t>l’importance</w:t>
      </w:r>
      <w:r>
        <w:rPr>
          <w:color w:val="231F20"/>
          <w:spacing w:val="-10"/>
          <w:w w:val="120"/>
        </w:rPr>
        <w:t> </w:t>
      </w:r>
      <w:r>
        <w:rPr>
          <w:color w:val="231F20"/>
          <w:spacing w:val="-2"/>
          <w:w w:val="120"/>
        </w:rPr>
        <w:t>de</w:t>
      </w:r>
      <w:r>
        <w:rPr>
          <w:color w:val="231F20"/>
          <w:spacing w:val="-10"/>
          <w:w w:val="120"/>
        </w:rPr>
        <w:t> </w:t>
      </w:r>
      <w:r>
        <w:rPr>
          <w:color w:val="231F20"/>
          <w:spacing w:val="-2"/>
          <w:w w:val="120"/>
        </w:rPr>
        <w:t>la</w:t>
      </w:r>
      <w:r>
        <w:rPr>
          <w:color w:val="231F20"/>
          <w:spacing w:val="-10"/>
          <w:w w:val="120"/>
        </w:rPr>
        <w:t> </w:t>
      </w:r>
      <w:r>
        <w:rPr>
          <w:color w:val="231F20"/>
          <w:spacing w:val="-2"/>
          <w:w w:val="120"/>
        </w:rPr>
        <w:t>bienveillance </w:t>
      </w:r>
      <w:r>
        <w:rPr>
          <w:color w:val="231F20"/>
          <w:w w:val="120"/>
        </w:rPr>
        <w:t>dans ses communications avec ses employés.</w:t>
      </w:r>
    </w:p>
    <w:p>
      <w:pPr>
        <w:pStyle w:val="BodyText"/>
        <w:spacing w:before="7"/>
        <w:rPr>
          <w:sz w:val="21"/>
        </w:rPr>
      </w:pPr>
    </w:p>
    <w:p>
      <w:pPr>
        <w:pStyle w:val="BodyText"/>
        <w:spacing w:line="307" w:lineRule="auto"/>
        <w:ind w:left="1220" w:right="104"/>
        <w:jc w:val="both"/>
      </w:pPr>
      <w:r>
        <w:rPr>
          <w:b/>
          <w:color w:val="231F20"/>
          <w:w w:val="120"/>
        </w:rPr>
        <w:t>La</w:t>
      </w:r>
      <w:r>
        <w:rPr>
          <w:b/>
          <w:color w:val="231F20"/>
          <w:spacing w:val="-3"/>
          <w:w w:val="120"/>
        </w:rPr>
        <w:t> </w:t>
      </w:r>
      <w:r>
        <w:rPr>
          <w:b/>
          <w:color w:val="231F20"/>
          <w:w w:val="120"/>
        </w:rPr>
        <w:t>régression. </w:t>
      </w:r>
      <w:r>
        <w:rPr>
          <w:color w:val="231F20"/>
          <w:w w:val="120"/>
        </w:rPr>
        <w:t>La régression consiste à adopter des cognitions ou des comportements</w:t>
      </w:r>
      <w:r>
        <w:rPr>
          <w:color w:val="231F20"/>
          <w:spacing w:val="-13"/>
          <w:w w:val="120"/>
        </w:rPr>
        <w:t> </w:t>
      </w:r>
      <w:r>
        <w:rPr>
          <w:color w:val="231F20"/>
          <w:w w:val="120"/>
        </w:rPr>
        <w:t>associés</w:t>
      </w:r>
      <w:r>
        <w:rPr>
          <w:color w:val="231F20"/>
          <w:spacing w:val="-13"/>
          <w:w w:val="120"/>
        </w:rPr>
        <w:t> </w:t>
      </w:r>
      <w:r>
        <w:rPr>
          <w:color w:val="231F20"/>
          <w:w w:val="120"/>
        </w:rPr>
        <w:t>à</w:t>
      </w:r>
      <w:r>
        <w:rPr>
          <w:color w:val="231F20"/>
          <w:spacing w:val="-13"/>
          <w:w w:val="120"/>
        </w:rPr>
        <w:t> </w:t>
      </w:r>
      <w:r>
        <w:rPr>
          <w:color w:val="231F20"/>
          <w:w w:val="120"/>
        </w:rPr>
        <w:t>une</w:t>
      </w:r>
      <w:r>
        <w:rPr>
          <w:color w:val="231F20"/>
          <w:spacing w:val="-12"/>
          <w:w w:val="120"/>
        </w:rPr>
        <w:t> </w:t>
      </w:r>
      <w:r>
        <w:rPr>
          <w:color w:val="231F20"/>
          <w:w w:val="120"/>
        </w:rPr>
        <w:t>période</w:t>
      </w:r>
      <w:r>
        <w:rPr>
          <w:color w:val="231F20"/>
          <w:spacing w:val="-13"/>
          <w:w w:val="120"/>
        </w:rPr>
        <w:t> </w:t>
      </w:r>
      <w:r>
        <w:rPr>
          <w:color w:val="231F20"/>
          <w:w w:val="120"/>
        </w:rPr>
        <w:t>antérieure</w:t>
      </w:r>
      <w:r>
        <w:rPr>
          <w:color w:val="231F20"/>
          <w:spacing w:val="-13"/>
          <w:w w:val="120"/>
        </w:rPr>
        <w:t> </w:t>
      </w:r>
      <w:r>
        <w:rPr>
          <w:color w:val="231F20"/>
          <w:w w:val="120"/>
        </w:rPr>
        <w:t>de</w:t>
      </w:r>
      <w:r>
        <w:rPr>
          <w:color w:val="231F20"/>
          <w:spacing w:val="-13"/>
          <w:w w:val="120"/>
        </w:rPr>
        <w:t> </w:t>
      </w:r>
      <w:r>
        <w:rPr>
          <w:color w:val="231F20"/>
          <w:w w:val="120"/>
        </w:rPr>
        <w:t>sa</w:t>
      </w:r>
      <w:r>
        <w:rPr>
          <w:color w:val="231F20"/>
          <w:spacing w:val="-12"/>
          <w:w w:val="120"/>
        </w:rPr>
        <w:t> </w:t>
      </w:r>
      <w:r>
        <w:rPr>
          <w:color w:val="231F20"/>
          <w:w w:val="120"/>
        </w:rPr>
        <w:t>vie.</w:t>
      </w:r>
      <w:r>
        <w:rPr>
          <w:color w:val="231F20"/>
          <w:spacing w:val="-13"/>
          <w:w w:val="120"/>
        </w:rPr>
        <w:t> </w:t>
      </w:r>
      <w:r>
        <w:rPr>
          <w:color w:val="231F20"/>
          <w:w w:val="120"/>
        </w:rPr>
        <w:t>La</w:t>
      </w:r>
      <w:r>
        <w:rPr>
          <w:color w:val="231F20"/>
          <w:spacing w:val="-13"/>
          <w:w w:val="120"/>
        </w:rPr>
        <w:t> </w:t>
      </w:r>
      <w:r>
        <w:rPr>
          <w:color w:val="231F20"/>
          <w:w w:val="120"/>
        </w:rPr>
        <w:t>personne revient</w:t>
      </w:r>
      <w:r>
        <w:rPr>
          <w:color w:val="231F20"/>
          <w:spacing w:val="-8"/>
          <w:w w:val="120"/>
        </w:rPr>
        <w:t> </w:t>
      </w:r>
      <w:r>
        <w:rPr>
          <w:color w:val="231F20"/>
          <w:w w:val="120"/>
        </w:rPr>
        <w:t>alors</w:t>
      </w:r>
      <w:r>
        <w:rPr>
          <w:color w:val="231F20"/>
          <w:spacing w:val="-8"/>
          <w:w w:val="120"/>
        </w:rPr>
        <w:t> </w:t>
      </w:r>
      <w:r>
        <w:rPr>
          <w:color w:val="231F20"/>
          <w:w w:val="120"/>
        </w:rPr>
        <w:t>aux</w:t>
      </w:r>
      <w:r>
        <w:rPr>
          <w:color w:val="231F20"/>
          <w:spacing w:val="-8"/>
          <w:w w:val="120"/>
        </w:rPr>
        <w:t> </w:t>
      </w:r>
      <w:r>
        <w:rPr>
          <w:color w:val="231F20"/>
          <w:w w:val="120"/>
        </w:rPr>
        <w:t>pensées,</w:t>
      </w:r>
      <w:r>
        <w:rPr>
          <w:color w:val="231F20"/>
          <w:spacing w:val="-7"/>
          <w:w w:val="120"/>
        </w:rPr>
        <w:t> </w:t>
      </w:r>
      <w:r>
        <w:rPr>
          <w:color w:val="231F20"/>
          <w:w w:val="120"/>
        </w:rPr>
        <w:t>aux</w:t>
      </w:r>
      <w:r>
        <w:rPr>
          <w:color w:val="231F20"/>
          <w:spacing w:val="-8"/>
          <w:w w:val="120"/>
        </w:rPr>
        <w:t> </w:t>
      </w:r>
      <w:r>
        <w:rPr>
          <w:color w:val="231F20"/>
          <w:w w:val="120"/>
        </w:rPr>
        <w:t>sentiments</w:t>
      </w:r>
      <w:r>
        <w:rPr>
          <w:color w:val="231F20"/>
          <w:spacing w:val="-8"/>
          <w:w w:val="120"/>
        </w:rPr>
        <w:t> </w:t>
      </w:r>
      <w:r>
        <w:rPr>
          <w:color w:val="231F20"/>
          <w:w w:val="120"/>
        </w:rPr>
        <w:t>ou</w:t>
      </w:r>
      <w:r>
        <w:rPr>
          <w:color w:val="231F20"/>
          <w:spacing w:val="-7"/>
          <w:w w:val="120"/>
        </w:rPr>
        <w:t> </w:t>
      </w:r>
      <w:r>
        <w:rPr>
          <w:color w:val="231F20"/>
          <w:w w:val="120"/>
        </w:rPr>
        <w:t>aux</w:t>
      </w:r>
      <w:r>
        <w:rPr>
          <w:color w:val="231F20"/>
          <w:spacing w:val="-8"/>
          <w:w w:val="120"/>
        </w:rPr>
        <w:t> </w:t>
      </w:r>
      <w:r>
        <w:rPr>
          <w:color w:val="231F20"/>
          <w:w w:val="120"/>
        </w:rPr>
        <w:t>comportements</w:t>
      </w:r>
      <w:r>
        <w:rPr>
          <w:color w:val="231F20"/>
          <w:spacing w:val="-8"/>
          <w:w w:val="120"/>
        </w:rPr>
        <w:t> </w:t>
      </w:r>
      <w:r>
        <w:rPr>
          <w:color w:val="231F20"/>
          <w:spacing w:val="-2"/>
          <w:w w:val="120"/>
        </w:rPr>
        <w:t>d’une</w:t>
      </w:r>
    </w:p>
    <w:p>
      <w:pPr>
        <w:spacing w:after="0" w:line="307" w:lineRule="auto"/>
        <w:jc w:val="both"/>
        <w:sectPr>
          <w:footerReference w:type="default" r:id="rId241"/>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1"/>
        <w:jc w:val="both"/>
      </w:pPr>
      <w:r>
        <w:rPr>
          <w:color w:val="231F20"/>
          <w:w w:val="120"/>
        </w:rPr>
        <w:t>période antérieure de son développement afin de s’identifier à la per- sonne</w:t>
      </w:r>
      <w:r>
        <w:rPr>
          <w:color w:val="231F20"/>
          <w:spacing w:val="-13"/>
          <w:w w:val="120"/>
        </w:rPr>
        <w:t> </w:t>
      </w:r>
      <w:r>
        <w:rPr>
          <w:color w:val="231F20"/>
          <w:w w:val="120"/>
        </w:rPr>
        <w:t>qu’elle</w:t>
      </w:r>
      <w:r>
        <w:rPr>
          <w:color w:val="231F20"/>
          <w:spacing w:val="-13"/>
          <w:w w:val="120"/>
        </w:rPr>
        <w:t> </w:t>
      </w:r>
      <w:r>
        <w:rPr>
          <w:color w:val="231F20"/>
          <w:w w:val="120"/>
        </w:rPr>
        <w:t>était</w:t>
      </w:r>
      <w:r>
        <w:rPr>
          <w:color w:val="231F20"/>
          <w:spacing w:val="-13"/>
          <w:w w:val="120"/>
        </w:rPr>
        <w:t> </w:t>
      </w:r>
      <w:r>
        <w:rPr>
          <w:color w:val="231F20"/>
          <w:w w:val="120"/>
        </w:rPr>
        <w:t>à</w:t>
      </w:r>
      <w:r>
        <w:rPr>
          <w:color w:val="231F20"/>
          <w:spacing w:val="-12"/>
          <w:w w:val="120"/>
        </w:rPr>
        <w:t> </w:t>
      </w:r>
      <w:r>
        <w:rPr>
          <w:color w:val="231F20"/>
          <w:w w:val="120"/>
        </w:rPr>
        <w:t>l’époque.</w:t>
      </w:r>
      <w:r>
        <w:rPr>
          <w:color w:val="231F20"/>
          <w:spacing w:val="-13"/>
          <w:w w:val="120"/>
        </w:rPr>
        <w:t> </w:t>
      </w:r>
      <w:r>
        <w:rPr>
          <w:color w:val="231F20"/>
          <w:w w:val="120"/>
        </w:rPr>
        <w:t>Par</w:t>
      </w:r>
      <w:r>
        <w:rPr>
          <w:color w:val="231F20"/>
          <w:spacing w:val="-13"/>
          <w:w w:val="120"/>
        </w:rPr>
        <w:t> </w:t>
      </w:r>
      <w:r>
        <w:rPr>
          <w:color w:val="231F20"/>
          <w:w w:val="120"/>
        </w:rPr>
        <w:t>exemple,</w:t>
      </w:r>
      <w:r>
        <w:rPr>
          <w:color w:val="231F20"/>
          <w:spacing w:val="-13"/>
          <w:w w:val="120"/>
        </w:rPr>
        <w:t> </w:t>
      </w:r>
      <w:r>
        <w:rPr>
          <w:color w:val="231F20"/>
          <w:w w:val="120"/>
        </w:rPr>
        <w:t>face</w:t>
      </w:r>
      <w:r>
        <w:rPr>
          <w:color w:val="231F20"/>
          <w:spacing w:val="-12"/>
          <w:w w:val="120"/>
        </w:rPr>
        <w:t> </w:t>
      </w:r>
      <w:r>
        <w:rPr>
          <w:color w:val="231F20"/>
          <w:w w:val="120"/>
        </w:rPr>
        <w:t>aux</w:t>
      </w:r>
      <w:r>
        <w:rPr>
          <w:color w:val="231F20"/>
          <w:spacing w:val="-13"/>
          <w:w w:val="120"/>
        </w:rPr>
        <w:t> </w:t>
      </w:r>
      <w:r>
        <w:rPr>
          <w:color w:val="231F20"/>
          <w:w w:val="120"/>
        </w:rPr>
        <w:t>critiques</w:t>
      </w:r>
      <w:r>
        <w:rPr>
          <w:color w:val="231F20"/>
          <w:spacing w:val="-13"/>
          <w:w w:val="120"/>
        </w:rPr>
        <w:t> </w:t>
      </w:r>
      <w:r>
        <w:rPr>
          <w:color w:val="231F20"/>
          <w:w w:val="120"/>
        </w:rPr>
        <w:t>d’un</w:t>
      </w:r>
      <w:r>
        <w:rPr>
          <w:color w:val="231F20"/>
          <w:spacing w:val="-13"/>
          <w:w w:val="120"/>
        </w:rPr>
        <w:t> </w:t>
      </w:r>
      <w:r>
        <w:rPr>
          <w:color w:val="231F20"/>
          <w:w w:val="120"/>
        </w:rPr>
        <w:t>ges- </w:t>
      </w:r>
      <w:r>
        <w:rPr>
          <w:color w:val="231F20"/>
          <w:spacing w:val="-4"/>
          <w:w w:val="120"/>
        </w:rPr>
        <w:t>tionnaire exigeant, l’employé peut simplement penser que de toute façon, </w:t>
      </w:r>
      <w:r>
        <w:rPr>
          <w:color w:val="231F20"/>
          <w:w w:val="120"/>
        </w:rPr>
        <w:t>ce</w:t>
      </w:r>
      <w:r>
        <w:rPr>
          <w:color w:val="231F20"/>
          <w:spacing w:val="-6"/>
          <w:w w:val="120"/>
        </w:rPr>
        <w:t> </w:t>
      </w:r>
      <w:r>
        <w:rPr>
          <w:color w:val="231F20"/>
          <w:w w:val="120"/>
        </w:rPr>
        <w:t>patron</w:t>
      </w:r>
      <w:r>
        <w:rPr>
          <w:color w:val="231F20"/>
          <w:spacing w:val="-6"/>
          <w:w w:val="120"/>
        </w:rPr>
        <w:t> </w:t>
      </w:r>
      <w:r>
        <w:rPr>
          <w:color w:val="231F20"/>
          <w:w w:val="120"/>
        </w:rPr>
        <w:t>n’est</w:t>
      </w:r>
      <w:r>
        <w:rPr>
          <w:color w:val="231F20"/>
          <w:spacing w:val="-6"/>
          <w:w w:val="120"/>
        </w:rPr>
        <w:t> </w:t>
      </w:r>
      <w:r>
        <w:rPr>
          <w:color w:val="231F20"/>
          <w:w w:val="120"/>
        </w:rPr>
        <w:t>jamais</w:t>
      </w:r>
      <w:r>
        <w:rPr>
          <w:color w:val="231F20"/>
          <w:spacing w:val="-6"/>
          <w:w w:val="120"/>
        </w:rPr>
        <w:t> </w:t>
      </w:r>
      <w:r>
        <w:rPr>
          <w:color w:val="231F20"/>
          <w:w w:val="120"/>
        </w:rPr>
        <w:t>satisfait.</w:t>
      </w:r>
      <w:r>
        <w:rPr>
          <w:color w:val="231F20"/>
          <w:spacing w:val="-6"/>
          <w:w w:val="120"/>
        </w:rPr>
        <w:t> </w:t>
      </w:r>
      <w:r>
        <w:rPr>
          <w:color w:val="231F20"/>
          <w:w w:val="120"/>
        </w:rPr>
        <w:t>Ainsi,</w:t>
      </w:r>
      <w:r>
        <w:rPr>
          <w:color w:val="231F20"/>
          <w:spacing w:val="-6"/>
          <w:w w:val="120"/>
        </w:rPr>
        <w:t> </w:t>
      </w:r>
      <w:r>
        <w:rPr>
          <w:color w:val="231F20"/>
          <w:w w:val="120"/>
        </w:rPr>
        <w:t>plutôt</w:t>
      </w:r>
      <w:r>
        <w:rPr>
          <w:color w:val="231F20"/>
          <w:spacing w:val="-6"/>
          <w:w w:val="120"/>
        </w:rPr>
        <w:t> </w:t>
      </w:r>
      <w:r>
        <w:rPr>
          <w:color w:val="231F20"/>
          <w:w w:val="120"/>
        </w:rPr>
        <w:t>que</w:t>
      </w:r>
      <w:r>
        <w:rPr>
          <w:color w:val="231F20"/>
          <w:spacing w:val="-6"/>
          <w:w w:val="120"/>
        </w:rPr>
        <w:t> </w:t>
      </w:r>
      <w:r>
        <w:rPr>
          <w:color w:val="231F20"/>
          <w:w w:val="120"/>
        </w:rPr>
        <w:t>d’adopter</w:t>
      </w:r>
      <w:r>
        <w:rPr>
          <w:color w:val="231F20"/>
          <w:spacing w:val="-6"/>
          <w:w w:val="120"/>
        </w:rPr>
        <w:t> </w:t>
      </w:r>
      <w:r>
        <w:rPr>
          <w:color w:val="231F20"/>
          <w:w w:val="120"/>
        </w:rPr>
        <w:t>une</w:t>
      </w:r>
      <w:r>
        <w:rPr>
          <w:color w:val="231F20"/>
          <w:spacing w:val="-6"/>
          <w:w w:val="120"/>
        </w:rPr>
        <w:t> </w:t>
      </w:r>
      <w:r>
        <w:rPr>
          <w:color w:val="231F20"/>
          <w:w w:val="120"/>
        </w:rPr>
        <w:t>attitude mature pour comprendre la critique et s’améliorer, l’employé met en place une attitude puéril pour complètement se déresponsabiliser de</w:t>
      </w:r>
      <w:r>
        <w:rPr>
          <w:color w:val="231F20"/>
          <w:spacing w:val="80"/>
          <w:w w:val="120"/>
        </w:rPr>
        <w:t> </w:t>
      </w:r>
      <w:r>
        <w:rPr>
          <w:color w:val="231F20"/>
          <w:w w:val="120"/>
        </w:rPr>
        <w:t>la</w:t>
      </w:r>
      <w:r>
        <w:rPr>
          <w:color w:val="231F20"/>
          <w:spacing w:val="-13"/>
          <w:w w:val="120"/>
        </w:rPr>
        <w:t> </w:t>
      </w:r>
      <w:r>
        <w:rPr>
          <w:color w:val="231F20"/>
          <w:w w:val="120"/>
        </w:rPr>
        <w:t>critique.</w:t>
      </w:r>
    </w:p>
    <w:p>
      <w:pPr>
        <w:pStyle w:val="BodyText"/>
        <w:spacing w:before="7"/>
        <w:rPr>
          <w:sz w:val="21"/>
        </w:rPr>
      </w:pPr>
    </w:p>
    <w:p>
      <w:pPr>
        <w:pStyle w:val="BodyText"/>
        <w:spacing w:line="307" w:lineRule="auto"/>
        <w:ind w:left="829" w:right="496"/>
        <w:jc w:val="both"/>
      </w:pPr>
      <w:r>
        <w:rPr>
          <w:b/>
          <w:color w:val="231F20"/>
          <w:w w:val="115"/>
        </w:rPr>
        <w:t>La</w:t>
      </w:r>
      <w:r>
        <w:rPr>
          <w:b/>
          <w:color w:val="231F20"/>
          <w:spacing w:val="-13"/>
          <w:w w:val="115"/>
        </w:rPr>
        <w:t> </w:t>
      </w:r>
      <w:r>
        <w:rPr>
          <w:b/>
          <w:color w:val="231F20"/>
          <w:w w:val="115"/>
        </w:rPr>
        <w:t>répression.</w:t>
      </w:r>
      <w:r>
        <w:rPr>
          <w:b/>
          <w:color w:val="231F20"/>
          <w:spacing w:val="-11"/>
          <w:w w:val="115"/>
        </w:rPr>
        <w:t> </w:t>
      </w:r>
      <w:r>
        <w:rPr>
          <w:color w:val="231F20"/>
          <w:w w:val="115"/>
        </w:rPr>
        <w:t>Ce</w:t>
      </w:r>
      <w:r>
        <w:rPr>
          <w:color w:val="231F20"/>
          <w:spacing w:val="-11"/>
          <w:w w:val="115"/>
        </w:rPr>
        <w:t> </w:t>
      </w:r>
      <w:r>
        <w:rPr>
          <w:color w:val="231F20"/>
          <w:w w:val="115"/>
        </w:rPr>
        <w:t>processus</w:t>
      </w:r>
      <w:r>
        <w:rPr>
          <w:color w:val="231F20"/>
          <w:spacing w:val="-11"/>
          <w:w w:val="115"/>
        </w:rPr>
        <w:t> </w:t>
      </w:r>
      <w:r>
        <w:rPr>
          <w:color w:val="231F20"/>
          <w:w w:val="115"/>
        </w:rPr>
        <w:t>consiste</w:t>
      </w:r>
      <w:r>
        <w:rPr>
          <w:color w:val="231F20"/>
          <w:spacing w:val="-11"/>
          <w:w w:val="115"/>
        </w:rPr>
        <w:t> </w:t>
      </w:r>
      <w:r>
        <w:rPr>
          <w:color w:val="231F20"/>
          <w:w w:val="115"/>
        </w:rPr>
        <w:t>à</w:t>
      </w:r>
      <w:r>
        <w:rPr>
          <w:color w:val="231F20"/>
          <w:spacing w:val="-11"/>
          <w:w w:val="115"/>
        </w:rPr>
        <w:t> </w:t>
      </w:r>
      <w:r>
        <w:rPr>
          <w:color w:val="231F20"/>
          <w:w w:val="115"/>
        </w:rPr>
        <w:t>éviter</w:t>
      </w:r>
      <w:r>
        <w:rPr>
          <w:color w:val="231F20"/>
          <w:spacing w:val="-11"/>
          <w:w w:val="115"/>
        </w:rPr>
        <w:t> </w:t>
      </w:r>
      <w:r>
        <w:rPr>
          <w:color w:val="231F20"/>
          <w:w w:val="115"/>
        </w:rPr>
        <w:t>inconsciemment</w:t>
      </w:r>
      <w:r>
        <w:rPr>
          <w:color w:val="231F20"/>
          <w:spacing w:val="-11"/>
          <w:w w:val="115"/>
        </w:rPr>
        <w:t> </w:t>
      </w:r>
      <w:r>
        <w:rPr>
          <w:color w:val="231F20"/>
          <w:w w:val="115"/>
        </w:rPr>
        <w:t>et</w:t>
      </w:r>
      <w:r>
        <w:rPr>
          <w:color w:val="231F20"/>
          <w:spacing w:val="-11"/>
          <w:w w:val="115"/>
        </w:rPr>
        <w:t> </w:t>
      </w:r>
      <w:r>
        <w:rPr>
          <w:color w:val="231F20"/>
          <w:w w:val="115"/>
        </w:rPr>
        <w:t>involon- </w:t>
      </w:r>
      <w:r>
        <w:rPr>
          <w:color w:val="231F20"/>
          <w:w w:val="120"/>
        </w:rPr>
        <w:t>tairement</w:t>
      </w:r>
      <w:r>
        <w:rPr>
          <w:color w:val="231F20"/>
          <w:spacing w:val="-9"/>
          <w:w w:val="120"/>
        </w:rPr>
        <w:t> </w:t>
      </w:r>
      <w:r>
        <w:rPr>
          <w:color w:val="231F20"/>
          <w:w w:val="120"/>
        </w:rPr>
        <w:t>de</w:t>
      </w:r>
      <w:r>
        <w:rPr>
          <w:color w:val="231F20"/>
          <w:spacing w:val="-9"/>
          <w:w w:val="120"/>
        </w:rPr>
        <w:t> </w:t>
      </w:r>
      <w:r>
        <w:rPr>
          <w:color w:val="231F20"/>
          <w:w w:val="120"/>
        </w:rPr>
        <w:t>prendre</w:t>
      </w:r>
      <w:r>
        <w:rPr>
          <w:color w:val="231F20"/>
          <w:spacing w:val="-9"/>
          <w:w w:val="120"/>
        </w:rPr>
        <w:t> </w:t>
      </w:r>
      <w:r>
        <w:rPr>
          <w:color w:val="231F20"/>
          <w:w w:val="120"/>
        </w:rPr>
        <w:t>conscience</w:t>
      </w:r>
      <w:r>
        <w:rPr>
          <w:color w:val="231F20"/>
          <w:spacing w:val="-9"/>
          <w:w w:val="120"/>
        </w:rPr>
        <w:t> </w:t>
      </w:r>
      <w:r>
        <w:rPr>
          <w:color w:val="231F20"/>
          <w:w w:val="120"/>
        </w:rPr>
        <w:t>de</w:t>
      </w:r>
      <w:r>
        <w:rPr>
          <w:color w:val="231F20"/>
          <w:spacing w:val="-9"/>
          <w:w w:val="120"/>
        </w:rPr>
        <w:t> </w:t>
      </w:r>
      <w:r>
        <w:rPr>
          <w:color w:val="231F20"/>
          <w:w w:val="120"/>
        </w:rPr>
        <w:t>pensées</w:t>
      </w:r>
      <w:r>
        <w:rPr>
          <w:color w:val="231F20"/>
          <w:spacing w:val="-9"/>
          <w:w w:val="120"/>
        </w:rPr>
        <w:t> </w:t>
      </w:r>
      <w:r>
        <w:rPr>
          <w:color w:val="231F20"/>
          <w:w w:val="120"/>
        </w:rPr>
        <w:t>ou</w:t>
      </w:r>
      <w:r>
        <w:rPr>
          <w:color w:val="231F20"/>
          <w:spacing w:val="-9"/>
          <w:w w:val="120"/>
        </w:rPr>
        <w:t> </w:t>
      </w:r>
      <w:r>
        <w:rPr>
          <w:color w:val="231F20"/>
          <w:w w:val="120"/>
        </w:rPr>
        <w:t>d’expériences</w:t>
      </w:r>
      <w:r>
        <w:rPr>
          <w:color w:val="231F20"/>
          <w:spacing w:val="-9"/>
          <w:w w:val="120"/>
        </w:rPr>
        <w:t> </w:t>
      </w:r>
      <w:r>
        <w:rPr>
          <w:color w:val="231F20"/>
          <w:w w:val="120"/>
        </w:rPr>
        <w:t>pénibles. Par</w:t>
      </w:r>
      <w:r>
        <w:rPr>
          <w:color w:val="231F20"/>
          <w:spacing w:val="-13"/>
          <w:w w:val="120"/>
        </w:rPr>
        <w:t> </w:t>
      </w:r>
      <w:r>
        <w:rPr>
          <w:color w:val="231F20"/>
          <w:w w:val="120"/>
        </w:rPr>
        <w:t>exemple,</w:t>
      </w:r>
      <w:r>
        <w:rPr>
          <w:color w:val="231F20"/>
          <w:spacing w:val="-12"/>
          <w:w w:val="120"/>
        </w:rPr>
        <w:t> </w:t>
      </w:r>
      <w:r>
        <w:rPr>
          <w:color w:val="231F20"/>
          <w:w w:val="120"/>
        </w:rPr>
        <w:t>on</w:t>
      </w:r>
      <w:r>
        <w:rPr>
          <w:color w:val="231F20"/>
          <w:spacing w:val="-13"/>
          <w:w w:val="120"/>
        </w:rPr>
        <w:t> </w:t>
      </w:r>
      <w:r>
        <w:rPr>
          <w:color w:val="231F20"/>
          <w:w w:val="120"/>
        </w:rPr>
        <w:t>peut</w:t>
      </w:r>
      <w:r>
        <w:rPr>
          <w:color w:val="231F20"/>
          <w:spacing w:val="-12"/>
          <w:w w:val="120"/>
        </w:rPr>
        <w:t> </w:t>
      </w:r>
      <w:r>
        <w:rPr>
          <w:color w:val="231F20"/>
          <w:w w:val="120"/>
        </w:rPr>
        <w:t>bloquer</w:t>
      </w:r>
      <w:r>
        <w:rPr>
          <w:color w:val="231F20"/>
          <w:spacing w:val="-13"/>
          <w:w w:val="120"/>
        </w:rPr>
        <w:t> </w:t>
      </w:r>
      <w:r>
        <w:rPr>
          <w:color w:val="231F20"/>
          <w:w w:val="120"/>
        </w:rPr>
        <w:t>complètement</w:t>
      </w:r>
      <w:r>
        <w:rPr>
          <w:color w:val="231F20"/>
          <w:spacing w:val="-12"/>
          <w:w w:val="120"/>
        </w:rPr>
        <w:t> </w:t>
      </w:r>
      <w:r>
        <w:rPr>
          <w:color w:val="231F20"/>
          <w:w w:val="120"/>
        </w:rPr>
        <w:t>le</w:t>
      </w:r>
      <w:r>
        <w:rPr>
          <w:color w:val="231F20"/>
          <w:spacing w:val="-13"/>
          <w:w w:val="120"/>
        </w:rPr>
        <w:t> </w:t>
      </w:r>
      <w:r>
        <w:rPr>
          <w:color w:val="231F20"/>
          <w:w w:val="120"/>
        </w:rPr>
        <w:t>souvenir</w:t>
      </w:r>
      <w:r>
        <w:rPr>
          <w:color w:val="231F20"/>
          <w:spacing w:val="-12"/>
          <w:w w:val="120"/>
        </w:rPr>
        <w:t> </w:t>
      </w:r>
      <w:r>
        <w:rPr>
          <w:color w:val="231F20"/>
          <w:w w:val="120"/>
        </w:rPr>
        <w:t>d’un</w:t>
      </w:r>
      <w:r>
        <w:rPr>
          <w:color w:val="231F20"/>
          <w:spacing w:val="-13"/>
          <w:w w:val="120"/>
        </w:rPr>
        <w:t> </w:t>
      </w:r>
      <w:r>
        <w:rPr>
          <w:color w:val="231F20"/>
          <w:w w:val="120"/>
        </w:rPr>
        <w:t>important </w:t>
      </w:r>
      <w:r>
        <w:rPr>
          <w:color w:val="231F20"/>
          <w:spacing w:val="-2"/>
          <w:w w:val="115"/>
        </w:rPr>
        <w:t>échec</w:t>
      </w:r>
      <w:r>
        <w:rPr>
          <w:color w:val="231F20"/>
          <w:spacing w:val="-5"/>
          <w:w w:val="115"/>
        </w:rPr>
        <w:t> </w:t>
      </w:r>
      <w:r>
        <w:rPr>
          <w:color w:val="231F20"/>
          <w:spacing w:val="-2"/>
          <w:w w:val="115"/>
        </w:rPr>
        <w:t>professionnel</w:t>
      </w:r>
      <w:r>
        <w:rPr>
          <w:color w:val="231F20"/>
          <w:spacing w:val="-5"/>
          <w:w w:val="115"/>
        </w:rPr>
        <w:t> </w:t>
      </w:r>
      <w:r>
        <w:rPr>
          <w:color w:val="231F20"/>
          <w:spacing w:val="-2"/>
          <w:w w:val="115"/>
        </w:rPr>
        <w:t>et</w:t>
      </w:r>
      <w:r>
        <w:rPr>
          <w:color w:val="231F20"/>
          <w:spacing w:val="-5"/>
          <w:w w:val="115"/>
        </w:rPr>
        <w:t> </w:t>
      </w:r>
      <w:r>
        <w:rPr>
          <w:color w:val="231F20"/>
          <w:spacing w:val="-2"/>
          <w:w w:val="115"/>
        </w:rPr>
        <w:t>agir</w:t>
      </w:r>
      <w:r>
        <w:rPr>
          <w:color w:val="231F20"/>
          <w:spacing w:val="-5"/>
          <w:w w:val="115"/>
        </w:rPr>
        <w:t> </w:t>
      </w:r>
      <w:r>
        <w:rPr>
          <w:color w:val="231F20"/>
          <w:spacing w:val="-2"/>
          <w:w w:val="115"/>
        </w:rPr>
        <w:t>comme</w:t>
      </w:r>
      <w:r>
        <w:rPr>
          <w:color w:val="231F20"/>
          <w:spacing w:val="-5"/>
          <w:w w:val="115"/>
        </w:rPr>
        <w:t> </w:t>
      </w:r>
      <w:r>
        <w:rPr>
          <w:color w:val="231F20"/>
          <w:spacing w:val="-2"/>
          <w:w w:val="115"/>
        </w:rPr>
        <w:t>si</w:t>
      </w:r>
      <w:r>
        <w:rPr>
          <w:color w:val="231F20"/>
          <w:spacing w:val="-5"/>
          <w:w w:val="115"/>
        </w:rPr>
        <w:t> </w:t>
      </w:r>
      <w:r>
        <w:rPr>
          <w:color w:val="231F20"/>
          <w:spacing w:val="-2"/>
          <w:w w:val="115"/>
        </w:rPr>
        <w:t>la</w:t>
      </w:r>
      <w:r>
        <w:rPr>
          <w:color w:val="231F20"/>
          <w:spacing w:val="-5"/>
          <w:w w:val="115"/>
        </w:rPr>
        <w:t> </w:t>
      </w:r>
      <w:r>
        <w:rPr>
          <w:color w:val="231F20"/>
          <w:spacing w:val="-2"/>
          <w:w w:val="115"/>
        </w:rPr>
        <w:t>situation</w:t>
      </w:r>
      <w:r>
        <w:rPr>
          <w:color w:val="231F20"/>
          <w:spacing w:val="-5"/>
          <w:w w:val="115"/>
        </w:rPr>
        <w:t> </w:t>
      </w:r>
      <w:r>
        <w:rPr>
          <w:color w:val="231F20"/>
          <w:spacing w:val="-2"/>
          <w:w w:val="115"/>
        </w:rPr>
        <w:t>ne</w:t>
      </w:r>
      <w:r>
        <w:rPr>
          <w:color w:val="231F20"/>
          <w:spacing w:val="-5"/>
          <w:w w:val="115"/>
        </w:rPr>
        <w:t> </w:t>
      </w:r>
      <w:r>
        <w:rPr>
          <w:color w:val="231F20"/>
          <w:spacing w:val="-2"/>
          <w:w w:val="115"/>
        </w:rPr>
        <w:t>s’était</w:t>
      </w:r>
      <w:r>
        <w:rPr>
          <w:color w:val="231F20"/>
          <w:spacing w:val="-5"/>
          <w:w w:val="115"/>
        </w:rPr>
        <w:t> </w:t>
      </w:r>
      <w:r>
        <w:rPr>
          <w:color w:val="231F20"/>
          <w:spacing w:val="-2"/>
          <w:w w:val="115"/>
        </w:rPr>
        <w:t>jamais</w:t>
      </w:r>
      <w:r>
        <w:rPr>
          <w:color w:val="231F20"/>
          <w:spacing w:val="-8"/>
          <w:w w:val="115"/>
        </w:rPr>
        <w:t> </w:t>
      </w:r>
      <w:r>
        <w:rPr>
          <w:color w:val="231F20"/>
          <w:spacing w:val="-2"/>
          <w:w w:val="115"/>
        </w:rPr>
        <w:t>déroulée. </w:t>
      </w:r>
      <w:r>
        <w:rPr>
          <w:color w:val="231F20"/>
          <w:w w:val="120"/>
        </w:rPr>
        <w:t>C’est</w:t>
      </w:r>
      <w:r>
        <w:rPr>
          <w:color w:val="231F20"/>
          <w:spacing w:val="-1"/>
          <w:w w:val="120"/>
        </w:rPr>
        <w:t> </w:t>
      </w:r>
      <w:r>
        <w:rPr>
          <w:color w:val="231F20"/>
          <w:w w:val="120"/>
        </w:rPr>
        <w:t>comme</w:t>
      </w:r>
      <w:r>
        <w:rPr>
          <w:color w:val="231F20"/>
          <w:spacing w:val="-1"/>
          <w:w w:val="120"/>
        </w:rPr>
        <w:t> </w:t>
      </w:r>
      <w:r>
        <w:rPr>
          <w:color w:val="231F20"/>
          <w:w w:val="120"/>
        </w:rPr>
        <w:t>un</w:t>
      </w:r>
      <w:r>
        <w:rPr>
          <w:color w:val="231F20"/>
          <w:spacing w:val="-1"/>
          <w:w w:val="120"/>
        </w:rPr>
        <w:t> </w:t>
      </w:r>
      <w:r>
        <w:rPr>
          <w:color w:val="231F20"/>
          <w:w w:val="120"/>
        </w:rPr>
        <w:t>oubli</w:t>
      </w:r>
      <w:r>
        <w:rPr>
          <w:color w:val="231F20"/>
          <w:spacing w:val="-1"/>
          <w:w w:val="120"/>
        </w:rPr>
        <w:t> </w:t>
      </w:r>
      <w:r>
        <w:rPr>
          <w:color w:val="231F20"/>
          <w:w w:val="120"/>
        </w:rPr>
        <w:t>volontaire</w:t>
      </w:r>
      <w:r>
        <w:rPr>
          <w:color w:val="231F20"/>
          <w:spacing w:val="-1"/>
          <w:w w:val="120"/>
        </w:rPr>
        <w:t> </w:t>
      </w:r>
      <w:r>
        <w:rPr>
          <w:color w:val="231F20"/>
          <w:w w:val="120"/>
        </w:rPr>
        <w:t>et</w:t>
      </w:r>
      <w:r>
        <w:rPr>
          <w:color w:val="231F20"/>
          <w:spacing w:val="-1"/>
          <w:w w:val="120"/>
        </w:rPr>
        <w:t> </w:t>
      </w:r>
      <w:r>
        <w:rPr>
          <w:color w:val="231F20"/>
          <w:w w:val="120"/>
        </w:rPr>
        <w:t>permanent,</w:t>
      </w:r>
      <w:r>
        <w:rPr>
          <w:color w:val="231F20"/>
          <w:spacing w:val="-1"/>
          <w:w w:val="120"/>
        </w:rPr>
        <w:t> </w:t>
      </w:r>
      <w:r>
        <w:rPr>
          <w:color w:val="231F20"/>
          <w:w w:val="120"/>
        </w:rPr>
        <w:t>mais</w:t>
      </w:r>
      <w:r>
        <w:rPr>
          <w:color w:val="231F20"/>
          <w:spacing w:val="-1"/>
          <w:w w:val="120"/>
        </w:rPr>
        <w:t> </w:t>
      </w:r>
      <w:r>
        <w:rPr>
          <w:color w:val="231F20"/>
          <w:w w:val="120"/>
        </w:rPr>
        <w:t>réversible.</w:t>
      </w:r>
    </w:p>
    <w:p>
      <w:pPr>
        <w:pStyle w:val="BodyText"/>
        <w:spacing w:before="8"/>
        <w:rPr>
          <w:sz w:val="21"/>
        </w:rPr>
      </w:pPr>
    </w:p>
    <w:p>
      <w:pPr>
        <w:pStyle w:val="BodyText"/>
        <w:spacing w:line="307" w:lineRule="auto"/>
        <w:ind w:left="829" w:right="497"/>
        <w:jc w:val="both"/>
      </w:pPr>
      <w:r>
        <w:rPr>
          <w:b/>
          <w:color w:val="231F20"/>
          <w:w w:val="115"/>
        </w:rPr>
        <w:t>Le</w:t>
      </w:r>
      <w:r>
        <w:rPr>
          <w:b/>
          <w:color w:val="231F20"/>
          <w:spacing w:val="-1"/>
          <w:w w:val="115"/>
        </w:rPr>
        <w:t> </w:t>
      </w:r>
      <w:r>
        <w:rPr>
          <w:b/>
          <w:color w:val="231F20"/>
          <w:w w:val="115"/>
        </w:rPr>
        <w:t>rituel</w:t>
      </w:r>
      <w:r>
        <w:rPr>
          <w:b/>
          <w:color w:val="231F20"/>
          <w:spacing w:val="-1"/>
          <w:w w:val="115"/>
        </w:rPr>
        <w:t> </w:t>
      </w:r>
      <w:r>
        <w:rPr>
          <w:b/>
          <w:color w:val="231F20"/>
          <w:w w:val="115"/>
        </w:rPr>
        <w:t>et</w:t>
      </w:r>
      <w:r>
        <w:rPr>
          <w:b/>
          <w:color w:val="231F20"/>
          <w:spacing w:val="-1"/>
          <w:w w:val="115"/>
        </w:rPr>
        <w:t> </w:t>
      </w:r>
      <w:r>
        <w:rPr>
          <w:b/>
          <w:color w:val="231F20"/>
          <w:w w:val="115"/>
        </w:rPr>
        <w:t>l’annulation. </w:t>
      </w:r>
      <w:r>
        <w:rPr>
          <w:color w:val="231F20"/>
          <w:w w:val="115"/>
        </w:rPr>
        <w:t>Ce processus consiste à amenuiser les percep- </w:t>
      </w:r>
      <w:r>
        <w:rPr>
          <w:color w:val="231F20"/>
          <w:spacing w:val="-2"/>
          <w:w w:val="120"/>
        </w:rPr>
        <w:t>tions</w:t>
      </w:r>
      <w:r>
        <w:rPr>
          <w:color w:val="231F20"/>
          <w:spacing w:val="-8"/>
          <w:w w:val="120"/>
        </w:rPr>
        <w:t> </w:t>
      </w:r>
      <w:r>
        <w:rPr>
          <w:color w:val="231F20"/>
          <w:spacing w:val="-2"/>
          <w:w w:val="120"/>
        </w:rPr>
        <w:t>négatives</w:t>
      </w:r>
      <w:r>
        <w:rPr>
          <w:color w:val="231F20"/>
          <w:spacing w:val="-8"/>
          <w:w w:val="120"/>
        </w:rPr>
        <w:t> </w:t>
      </w:r>
      <w:r>
        <w:rPr>
          <w:color w:val="231F20"/>
          <w:spacing w:val="-2"/>
          <w:w w:val="120"/>
        </w:rPr>
        <w:t>qu’on</w:t>
      </w:r>
      <w:r>
        <w:rPr>
          <w:color w:val="231F20"/>
          <w:spacing w:val="-8"/>
          <w:w w:val="120"/>
        </w:rPr>
        <w:t> </w:t>
      </w:r>
      <w:r>
        <w:rPr>
          <w:color w:val="231F20"/>
          <w:spacing w:val="-2"/>
          <w:w w:val="120"/>
        </w:rPr>
        <w:t>se</w:t>
      </w:r>
      <w:r>
        <w:rPr>
          <w:color w:val="231F20"/>
          <w:spacing w:val="-8"/>
          <w:w w:val="120"/>
        </w:rPr>
        <w:t> </w:t>
      </w:r>
      <w:r>
        <w:rPr>
          <w:color w:val="231F20"/>
          <w:spacing w:val="-2"/>
          <w:w w:val="120"/>
        </w:rPr>
        <w:t>fait</w:t>
      </w:r>
      <w:r>
        <w:rPr>
          <w:color w:val="231F20"/>
          <w:spacing w:val="-8"/>
          <w:w w:val="120"/>
        </w:rPr>
        <w:t> </w:t>
      </w:r>
      <w:r>
        <w:rPr>
          <w:color w:val="231F20"/>
          <w:spacing w:val="-2"/>
          <w:w w:val="120"/>
        </w:rPr>
        <w:t>de</w:t>
      </w:r>
      <w:r>
        <w:rPr>
          <w:color w:val="231F20"/>
          <w:spacing w:val="-8"/>
          <w:w w:val="120"/>
        </w:rPr>
        <w:t> </w:t>
      </w:r>
      <w:r>
        <w:rPr>
          <w:color w:val="231F20"/>
          <w:spacing w:val="-2"/>
          <w:w w:val="120"/>
        </w:rPr>
        <w:t>soi-même</w:t>
      </w:r>
      <w:r>
        <w:rPr>
          <w:color w:val="231F20"/>
          <w:spacing w:val="-8"/>
          <w:w w:val="120"/>
        </w:rPr>
        <w:t> </w:t>
      </w:r>
      <w:r>
        <w:rPr>
          <w:color w:val="231F20"/>
          <w:spacing w:val="-2"/>
          <w:w w:val="120"/>
        </w:rPr>
        <w:t>en</w:t>
      </w:r>
      <w:r>
        <w:rPr>
          <w:color w:val="231F20"/>
          <w:spacing w:val="-8"/>
          <w:w w:val="120"/>
        </w:rPr>
        <w:t> </w:t>
      </w:r>
      <w:r>
        <w:rPr>
          <w:color w:val="231F20"/>
          <w:spacing w:val="-2"/>
          <w:w w:val="120"/>
        </w:rPr>
        <w:t>exécutant</w:t>
      </w:r>
      <w:r>
        <w:rPr>
          <w:color w:val="231F20"/>
          <w:spacing w:val="-8"/>
          <w:w w:val="120"/>
        </w:rPr>
        <w:t> </w:t>
      </w:r>
      <w:r>
        <w:rPr>
          <w:color w:val="231F20"/>
          <w:spacing w:val="-2"/>
          <w:w w:val="120"/>
        </w:rPr>
        <w:t>des</w:t>
      </w:r>
      <w:r>
        <w:rPr>
          <w:color w:val="231F20"/>
          <w:spacing w:val="-8"/>
          <w:w w:val="120"/>
        </w:rPr>
        <w:t> </w:t>
      </w:r>
      <w:r>
        <w:rPr>
          <w:color w:val="231F20"/>
          <w:spacing w:val="-2"/>
          <w:w w:val="120"/>
        </w:rPr>
        <w:t>rituels</w:t>
      </w:r>
      <w:r>
        <w:rPr>
          <w:color w:val="231F20"/>
          <w:spacing w:val="-8"/>
          <w:w w:val="120"/>
        </w:rPr>
        <w:t> </w:t>
      </w:r>
      <w:r>
        <w:rPr>
          <w:color w:val="231F20"/>
          <w:spacing w:val="-2"/>
          <w:w w:val="120"/>
        </w:rPr>
        <w:t>ou</w:t>
      </w:r>
      <w:r>
        <w:rPr>
          <w:color w:val="231F20"/>
          <w:spacing w:val="-8"/>
          <w:w w:val="120"/>
        </w:rPr>
        <w:t> </w:t>
      </w:r>
      <w:r>
        <w:rPr>
          <w:color w:val="231F20"/>
          <w:spacing w:val="-2"/>
          <w:w w:val="120"/>
        </w:rPr>
        <w:t>des </w:t>
      </w:r>
      <w:r>
        <w:rPr>
          <w:color w:val="231F20"/>
          <w:w w:val="120"/>
        </w:rPr>
        <w:t>comportements</w:t>
      </w:r>
      <w:r>
        <w:rPr>
          <w:color w:val="231F20"/>
          <w:spacing w:val="-8"/>
          <w:w w:val="120"/>
        </w:rPr>
        <w:t> </w:t>
      </w:r>
      <w:r>
        <w:rPr>
          <w:color w:val="231F20"/>
          <w:w w:val="120"/>
        </w:rPr>
        <w:t>qui</w:t>
      </w:r>
      <w:r>
        <w:rPr>
          <w:color w:val="231F20"/>
          <w:spacing w:val="-8"/>
          <w:w w:val="120"/>
        </w:rPr>
        <w:t> </w:t>
      </w:r>
      <w:r>
        <w:rPr>
          <w:color w:val="231F20"/>
          <w:w w:val="120"/>
        </w:rPr>
        <w:t>visent</w:t>
      </w:r>
      <w:r>
        <w:rPr>
          <w:color w:val="231F20"/>
          <w:spacing w:val="-8"/>
          <w:w w:val="120"/>
        </w:rPr>
        <w:t> </w:t>
      </w:r>
      <w:r>
        <w:rPr>
          <w:color w:val="231F20"/>
          <w:w w:val="120"/>
        </w:rPr>
        <w:t>à</w:t>
      </w:r>
      <w:r>
        <w:rPr>
          <w:color w:val="231F20"/>
          <w:spacing w:val="-8"/>
          <w:w w:val="120"/>
        </w:rPr>
        <w:t> </w:t>
      </w:r>
      <w:r>
        <w:rPr>
          <w:color w:val="231F20"/>
          <w:w w:val="120"/>
        </w:rPr>
        <w:t>contrebalancer</w:t>
      </w:r>
      <w:r>
        <w:rPr>
          <w:color w:val="231F20"/>
          <w:spacing w:val="-8"/>
          <w:w w:val="120"/>
        </w:rPr>
        <w:t> </w:t>
      </w:r>
      <w:r>
        <w:rPr>
          <w:color w:val="231F20"/>
          <w:w w:val="120"/>
        </w:rPr>
        <w:t>les</w:t>
      </w:r>
      <w:r>
        <w:rPr>
          <w:color w:val="231F20"/>
          <w:spacing w:val="-8"/>
          <w:w w:val="120"/>
        </w:rPr>
        <w:t> </w:t>
      </w:r>
      <w:r>
        <w:rPr>
          <w:color w:val="231F20"/>
          <w:w w:val="120"/>
        </w:rPr>
        <w:t>actions</w:t>
      </w:r>
      <w:r>
        <w:rPr>
          <w:color w:val="231F20"/>
          <w:spacing w:val="-8"/>
          <w:w w:val="120"/>
        </w:rPr>
        <w:t> </w:t>
      </w:r>
      <w:r>
        <w:rPr>
          <w:color w:val="231F20"/>
          <w:w w:val="120"/>
        </w:rPr>
        <w:t>qui</w:t>
      </w:r>
      <w:r>
        <w:rPr>
          <w:color w:val="231F20"/>
          <w:spacing w:val="-8"/>
          <w:w w:val="120"/>
        </w:rPr>
        <w:t> </w:t>
      </w:r>
      <w:r>
        <w:rPr>
          <w:color w:val="231F20"/>
          <w:w w:val="120"/>
        </w:rPr>
        <w:t>donnent</w:t>
      </w:r>
      <w:r>
        <w:rPr>
          <w:color w:val="231F20"/>
          <w:spacing w:val="-8"/>
          <w:w w:val="120"/>
        </w:rPr>
        <w:t> </w:t>
      </w:r>
      <w:r>
        <w:rPr>
          <w:color w:val="231F20"/>
          <w:w w:val="120"/>
        </w:rPr>
        <w:t>lieu </w:t>
      </w:r>
      <w:r>
        <w:rPr>
          <w:color w:val="231F20"/>
          <w:w w:val="115"/>
        </w:rPr>
        <w:t>aux</w:t>
      </w:r>
      <w:r>
        <w:rPr>
          <w:color w:val="231F20"/>
          <w:spacing w:val="-5"/>
          <w:w w:val="115"/>
        </w:rPr>
        <w:t> </w:t>
      </w:r>
      <w:r>
        <w:rPr>
          <w:color w:val="231F20"/>
          <w:w w:val="115"/>
        </w:rPr>
        <w:t>perceptions</w:t>
      </w:r>
      <w:r>
        <w:rPr>
          <w:color w:val="231F20"/>
          <w:spacing w:val="-5"/>
          <w:w w:val="115"/>
        </w:rPr>
        <w:t> </w:t>
      </w:r>
      <w:r>
        <w:rPr>
          <w:color w:val="231F20"/>
          <w:w w:val="115"/>
        </w:rPr>
        <w:t>négatives.</w:t>
      </w:r>
      <w:r>
        <w:rPr>
          <w:color w:val="231F20"/>
          <w:spacing w:val="-5"/>
          <w:w w:val="115"/>
        </w:rPr>
        <w:t> </w:t>
      </w:r>
      <w:r>
        <w:rPr>
          <w:color w:val="231F20"/>
          <w:w w:val="115"/>
        </w:rPr>
        <w:t>Par</w:t>
      </w:r>
      <w:r>
        <w:rPr>
          <w:color w:val="231F20"/>
          <w:spacing w:val="-5"/>
          <w:w w:val="115"/>
        </w:rPr>
        <w:t> </w:t>
      </w:r>
      <w:r>
        <w:rPr>
          <w:color w:val="231F20"/>
          <w:w w:val="115"/>
        </w:rPr>
        <w:t>exemple,</w:t>
      </w:r>
      <w:r>
        <w:rPr>
          <w:color w:val="231F20"/>
          <w:spacing w:val="-5"/>
          <w:w w:val="115"/>
        </w:rPr>
        <w:t> </w:t>
      </w:r>
      <w:r>
        <w:rPr>
          <w:color w:val="231F20"/>
          <w:w w:val="115"/>
        </w:rPr>
        <w:t>un</w:t>
      </w:r>
      <w:r>
        <w:rPr>
          <w:color w:val="231F20"/>
          <w:spacing w:val="-5"/>
          <w:w w:val="115"/>
        </w:rPr>
        <w:t> </w:t>
      </w:r>
      <w:r>
        <w:rPr>
          <w:color w:val="231F20"/>
          <w:w w:val="115"/>
        </w:rPr>
        <w:t>millionnaire</w:t>
      </w:r>
      <w:r>
        <w:rPr>
          <w:color w:val="231F20"/>
          <w:spacing w:val="-5"/>
          <w:w w:val="115"/>
        </w:rPr>
        <w:t> </w:t>
      </w:r>
      <w:r>
        <w:rPr>
          <w:color w:val="231F20"/>
          <w:w w:val="115"/>
        </w:rPr>
        <w:t>fait</w:t>
      </w:r>
      <w:r>
        <w:rPr>
          <w:color w:val="231F20"/>
          <w:spacing w:val="-5"/>
          <w:w w:val="115"/>
        </w:rPr>
        <w:t> </w:t>
      </w:r>
      <w:r>
        <w:rPr>
          <w:color w:val="231F20"/>
          <w:w w:val="115"/>
        </w:rPr>
        <w:t>des</w:t>
      </w:r>
      <w:r>
        <w:rPr>
          <w:color w:val="231F20"/>
          <w:spacing w:val="-5"/>
          <w:w w:val="115"/>
        </w:rPr>
        <w:t> </w:t>
      </w:r>
      <w:r>
        <w:rPr>
          <w:color w:val="231F20"/>
          <w:w w:val="115"/>
        </w:rPr>
        <w:t>dons</w:t>
      </w:r>
      <w:r>
        <w:rPr>
          <w:color w:val="231F20"/>
          <w:spacing w:val="-5"/>
          <w:w w:val="115"/>
        </w:rPr>
        <w:t> </w:t>
      </w:r>
      <w:r>
        <w:rPr>
          <w:color w:val="231F20"/>
          <w:w w:val="115"/>
        </w:rPr>
        <w:t>aux </w:t>
      </w:r>
      <w:r>
        <w:rPr>
          <w:color w:val="231F20"/>
          <w:w w:val="120"/>
        </w:rPr>
        <w:t>œuvres de charité pour les pauvres pour compenser le fait qu’il s’est </w:t>
      </w:r>
      <w:r>
        <w:rPr>
          <w:color w:val="231F20"/>
          <w:spacing w:val="-2"/>
          <w:w w:val="120"/>
        </w:rPr>
        <w:t>enrichi</w:t>
      </w:r>
      <w:r>
        <w:rPr>
          <w:color w:val="231F20"/>
          <w:spacing w:val="-11"/>
          <w:w w:val="120"/>
        </w:rPr>
        <w:t> </w:t>
      </w:r>
      <w:r>
        <w:rPr>
          <w:color w:val="231F20"/>
          <w:spacing w:val="-2"/>
          <w:w w:val="120"/>
        </w:rPr>
        <w:t>au</w:t>
      </w:r>
      <w:r>
        <w:rPr>
          <w:color w:val="231F20"/>
          <w:spacing w:val="-11"/>
          <w:w w:val="120"/>
        </w:rPr>
        <w:t> </w:t>
      </w:r>
      <w:r>
        <w:rPr>
          <w:color w:val="231F20"/>
          <w:spacing w:val="-2"/>
          <w:w w:val="120"/>
        </w:rPr>
        <w:t>profit</w:t>
      </w:r>
      <w:r>
        <w:rPr>
          <w:color w:val="231F20"/>
          <w:spacing w:val="-11"/>
          <w:w w:val="120"/>
        </w:rPr>
        <w:t> </w:t>
      </w:r>
      <w:r>
        <w:rPr>
          <w:color w:val="231F20"/>
          <w:spacing w:val="-2"/>
          <w:w w:val="120"/>
        </w:rPr>
        <w:t>des</w:t>
      </w:r>
      <w:r>
        <w:rPr>
          <w:color w:val="231F20"/>
          <w:spacing w:val="-10"/>
          <w:w w:val="120"/>
        </w:rPr>
        <w:t> </w:t>
      </w:r>
      <w:r>
        <w:rPr>
          <w:color w:val="231F20"/>
          <w:spacing w:val="-2"/>
          <w:w w:val="120"/>
        </w:rPr>
        <w:t>autres,</w:t>
      </w:r>
      <w:r>
        <w:rPr>
          <w:color w:val="231F20"/>
          <w:spacing w:val="-11"/>
          <w:w w:val="120"/>
        </w:rPr>
        <w:t> </w:t>
      </w:r>
      <w:r>
        <w:rPr>
          <w:color w:val="231F20"/>
          <w:spacing w:val="-2"/>
          <w:w w:val="120"/>
        </w:rPr>
        <w:t>ou</w:t>
      </w:r>
      <w:r>
        <w:rPr>
          <w:color w:val="231F20"/>
          <w:spacing w:val="-11"/>
          <w:w w:val="120"/>
        </w:rPr>
        <w:t> </w:t>
      </w:r>
      <w:r>
        <w:rPr>
          <w:color w:val="231F20"/>
          <w:spacing w:val="-2"/>
          <w:w w:val="120"/>
        </w:rPr>
        <w:t>un</w:t>
      </w:r>
      <w:r>
        <w:rPr>
          <w:color w:val="231F20"/>
          <w:spacing w:val="-11"/>
          <w:w w:val="120"/>
        </w:rPr>
        <w:t> </w:t>
      </w:r>
      <w:r>
        <w:rPr>
          <w:color w:val="231F20"/>
          <w:spacing w:val="-2"/>
          <w:w w:val="120"/>
        </w:rPr>
        <w:t>parent</w:t>
      </w:r>
      <w:r>
        <w:rPr>
          <w:color w:val="231F20"/>
          <w:spacing w:val="-10"/>
          <w:w w:val="120"/>
        </w:rPr>
        <w:t> </w:t>
      </w:r>
      <w:r>
        <w:rPr>
          <w:color w:val="231F20"/>
          <w:spacing w:val="-2"/>
          <w:w w:val="120"/>
        </w:rPr>
        <w:t>achète</w:t>
      </w:r>
      <w:r>
        <w:rPr>
          <w:color w:val="231F20"/>
          <w:spacing w:val="-11"/>
          <w:w w:val="120"/>
        </w:rPr>
        <w:t> </w:t>
      </w:r>
      <w:r>
        <w:rPr>
          <w:color w:val="231F20"/>
          <w:spacing w:val="-2"/>
          <w:w w:val="120"/>
        </w:rPr>
        <w:t>à</w:t>
      </w:r>
      <w:r>
        <w:rPr>
          <w:color w:val="231F20"/>
          <w:spacing w:val="-11"/>
          <w:w w:val="120"/>
        </w:rPr>
        <w:t> </w:t>
      </w:r>
      <w:r>
        <w:rPr>
          <w:color w:val="231F20"/>
          <w:spacing w:val="-2"/>
          <w:w w:val="120"/>
        </w:rPr>
        <w:t>ses</w:t>
      </w:r>
      <w:r>
        <w:rPr>
          <w:color w:val="231F20"/>
          <w:spacing w:val="-11"/>
          <w:w w:val="120"/>
        </w:rPr>
        <w:t> </w:t>
      </w:r>
      <w:r>
        <w:rPr>
          <w:color w:val="231F20"/>
          <w:spacing w:val="-2"/>
          <w:w w:val="120"/>
        </w:rPr>
        <w:t>enfants</w:t>
      </w:r>
      <w:r>
        <w:rPr>
          <w:color w:val="231F20"/>
          <w:spacing w:val="-10"/>
          <w:w w:val="120"/>
        </w:rPr>
        <w:t> </w:t>
      </w:r>
      <w:r>
        <w:rPr>
          <w:color w:val="231F20"/>
          <w:spacing w:val="-2"/>
          <w:w w:val="120"/>
        </w:rPr>
        <w:t>des</w:t>
      </w:r>
      <w:r>
        <w:rPr>
          <w:color w:val="231F20"/>
          <w:spacing w:val="-11"/>
          <w:w w:val="120"/>
        </w:rPr>
        <w:t> </w:t>
      </w:r>
      <w:r>
        <w:rPr>
          <w:color w:val="231F20"/>
          <w:spacing w:val="-2"/>
          <w:w w:val="120"/>
        </w:rPr>
        <w:t>cadeaux </w:t>
      </w:r>
      <w:r>
        <w:rPr>
          <w:color w:val="231F20"/>
          <w:w w:val="120"/>
        </w:rPr>
        <w:t>dispendieux pour compenser ses absences.</w:t>
      </w:r>
    </w:p>
    <w:p>
      <w:pPr>
        <w:pStyle w:val="BodyText"/>
        <w:spacing w:before="7"/>
        <w:rPr>
          <w:sz w:val="21"/>
        </w:rPr>
      </w:pPr>
    </w:p>
    <w:p>
      <w:pPr>
        <w:pStyle w:val="BodyText"/>
        <w:spacing w:line="307" w:lineRule="auto"/>
        <w:ind w:left="829" w:right="496"/>
        <w:jc w:val="both"/>
      </w:pPr>
      <w:r>
        <w:rPr>
          <w:b/>
          <w:color w:val="231F20"/>
          <w:w w:val="115"/>
        </w:rPr>
        <w:t>La</w:t>
      </w:r>
      <w:r>
        <w:rPr>
          <w:b/>
          <w:color w:val="231F20"/>
          <w:spacing w:val="-7"/>
          <w:w w:val="115"/>
        </w:rPr>
        <w:t> </w:t>
      </w:r>
      <w:r>
        <w:rPr>
          <w:b/>
          <w:color w:val="231F20"/>
          <w:w w:val="115"/>
        </w:rPr>
        <w:t>sublimation.</w:t>
      </w:r>
      <w:r>
        <w:rPr>
          <w:b/>
          <w:color w:val="231F20"/>
          <w:spacing w:val="-3"/>
          <w:w w:val="115"/>
        </w:rPr>
        <w:t> </w:t>
      </w:r>
      <w:r>
        <w:rPr>
          <w:color w:val="231F20"/>
          <w:w w:val="115"/>
        </w:rPr>
        <w:t>Ce</w:t>
      </w:r>
      <w:r>
        <w:rPr>
          <w:color w:val="231F20"/>
          <w:spacing w:val="-3"/>
          <w:w w:val="115"/>
        </w:rPr>
        <w:t> </w:t>
      </w:r>
      <w:r>
        <w:rPr>
          <w:color w:val="231F20"/>
          <w:w w:val="115"/>
        </w:rPr>
        <w:t>processus</w:t>
      </w:r>
      <w:r>
        <w:rPr>
          <w:color w:val="231F20"/>
          <w:spacing w:val="-3"/>
          <w:w w:val="115"/>
        </w:rPr>
        <w:t> </w:t>
      </w:r>
      <w:r>
        <w:rPr>
          <w:color w:val="231F20"/>
          <w:w w:val="115"/>
        </w:rPr>
        <w:t>consiste</w:t>
      </w:r>
      <w:r>
        <w:rPr>
          <w:color w:val="231F20"/>
          <w:spacing w:val="-3"/>
          <w:w w:val="115"/>
        </w:rPr>
        <w:t> </w:t>
      </w:r>
      <w:r>
        <w:rPr>
          <w:color w:val="231F20"/>
          <w:w w:val="115"/>
        </w:rPr>
        <w:t>à</w:t>
      </w:r>
      <w:r>
        <w:rPr>
          <w:color w:val="231F20"/>
          <w:spacing w:val="-3"/>
          <w:w w:val="115"/>
        </w:rPr>
        <w:t> </w:t>
      </w:r>
      <w:r>
        <w:rPr>
          <w:color w:val="231F20"/>
          <w:w w:val="115"/>
        </w:rPr>
        <w:t>dévier</w:t>
      </w:r>
      <w:r>
        <w:rPr>
          <w:color w:val="231F20"/>
          <w:spacing w:val="-3"/>
          <w:w w:val="115"/>
        </w:rPr>
        <w:t> </w:t>
      </w:r>
      <w:r>
        <w:rPr>
          <w:color w:val="231F20"/>
          <w:w w:val="115"/>
        </w:rPr>
        <w:t>les</w:t>
      </w:r>
      <w:r>
        <w:rPr>
          <w:color w:val="231F20"/>
          <w:spacing w:val="-3"/>
          <w:w w:val="115"/>
        </w:rPr>
        <w:t> </w:t>
      </w:r>
      <w:r>
        <w:rPr>
          <w:color w:val="231F20"/>
          <w:w w:val="115"/>
        </w:rPr>
        <w:t>perceptions</w:t>
      </w:r>
      <w:r>
        <w:rPr>
          <w:color w:val="231F20"/>
          <w:spacing w:val="-3"/>
          <w:w w:val="115"/>
        </w:rPr>
        <w:t> </w:t>
      </w:r>
      <w:r>
        <w:rPr>
          <w:color w:val="231F20"/>
          <w:w w:val="115"/>
        </w:rPr>
        <w:t>négatives qu’on</w:t>
      </w:r>
      <w:r>
        <w:rPr>
          <w:color w:val="231F20"/>
          <w:spacing w:val="-5"/>
          <w:w w:val="115"/>
        </w:rPr>
        <w:t> </w:t>
      </w:r>
      <w:r>
        <w:rPr>
          <w:color w:val="231F20"/>
          <w:w w:val="115"/>
        </w:rPr>
        <w:t>a</w:t>
      </w:r>
      <w:r>
        <w:rPr>
          <w:color w:val="231F20"/>
          <w:spacing w:val="-5"/>
          <w:w w:val="115"/>
        </w:rPr>
        <w:t> </w:t>
      </w:r>
      <w:r>
        <w:rPr>
          <w:color w:val="231F20"/>
          <w:w w:val="115"/>
        </w:rPr>
        <w:t>de</w:t>
      </w:r>
      <w:r>
        <w:rPr>
          <w:color w:val="231F20"/>
          <w:spacing w:val="-5"/>
          <w:w w:val="115"/>
        </w:rPr>
        <w:t> </w:t>
      </w:r>
      <w:r>
        <w:rPr>
          <w:color w:val="231F20"/>
          <w:w w:val="115"/>
        </w:rPr>
        <w:t>soi-même</w:t>
      </w:r>
      <w:r>
        <w:rPr>
          <w:color w:val="231F20"/>
          <w:spacing w:val="-5"/>
          <w:w w:val="115"/>
        </w:rPr>
        <w:t> </w:t>
      </w:r>
      <w:r>
        <w:rPr>
          <w:color w:val="231F20"/>
          <w:w w:val="115"/>
        </w:rPr>
        <w:t>vers</w:t>
      </w:r>
      <w:r>
        <w:rPr>
          <w:color w:val="231F20"/>
          <w:spacing w:val="-5"/>
          <w:w w:val="115"/>
        </w:rPr>
        <w:t> </w:t>
      </w:r>
      <w:r>
        <w:rPr>
          <w:color w:val="231F20"/>
          <w:w w:val="115"/>
        </w:rPr>
        <w:t>des</w:t>
      </w:r>
      <w:r>
        <w:rPr>
          <w:color w:val="231F20"/>
          <w:spacing w:val="-5"/>
          <w:w w:val="115"/>
        </w:rPr>
        <w:t> </w:t>
      </w:r>
      <w:r>
        <w:rPr>
          <w:color w:val="231F20"/>
          <w:w w:val="115"/>
        </w:rPr>
        <w:t>activités</w:t>
      </w:r>
      <w:r>
        <w:rPr>
          <w:color w:val="231F20"/>
          <w:spacing w:val="-5"/>
          <w:w w:val="115"/>
        </w:rPr>
        <w:t> </w:t>
      </w:r>
      <w:r>
        <w:rPr>
          <w:color w:val="231F20"/>
          <w:w w:val="115"/>
        </w:rPr>
        <w:t>plus</w:t>
      </w:r>
      <w:r>
        <w:rPr>
          <w:color w:val="231F20"/>
          <w:spacing w:val="-5"/>
          <w:w w:val="115"/>
        </w:rPr>
        <w:t> </w:t>
      </w:r>
      <w:r>
        <w:rPr>
          <w:color w:val="231F20"/>
          <w:w w:val="115"/>
        </w:rPr>
        <w:t>acceptables</w:t>
      </w:r>
      <w:r>
        <w:rPr>
          <w:color w:val="231F20"/>
          <w:spacing w:val="-5"/>
          <w:w w:val="115"/>
        </w:rPr>
        <w:t> </w:t>
      </w:r>
      <w:r>
        <w:rPr>
          <w:color w:val="231F20"/>
          <w:w w:val="115"/>
        </w:rPr>
        <w:t>sur</w:t>
      </w:r>
      <w:r>
        <w:rPr>
          <w:color w:val="231F20"/>
          <w:spacing w:val="-5"/>
          <w:w w:val="115"/>
        </w:rPr>
        <w:t> </w:t>
      </w:r>
      <w:r>
        <w:rPr>
          <w:color w:val="231F20"/>
          <w:w w:val="115"/>
        </w:rPr>
        <w:t>le</w:t>
      </w:r>
      <w:r>
        <w:rPr>
          <w:color w:val="231F20"/>
          <w:spacing w:val="-5"/>
          <w:w w:val="115"/>
        </w:rPr>
        <w:t> </w:t>
      </w:r>
      <w:r>
        <w:rPr>
          <w:color w:val="231F20"/>
          <w:w w:val="115"/>
        </w:rPr>
        <w:t>plan</w:t>
      </w:r>
      <w:r>
        <w:rPr>
          <w:color w:val="231F20"/>
          <w:spacing w:val="-5"/>
          <w:w w:val="115"/>
        </w:rPr>
        <w:t> </w:t>
      </w:r>
      <w:r>
        <w:rPr>
          <w:color w:val="231F20"/>
          <w:w w:val="115"/>
        </w:rPr>
        <w:t>social. Par</w:t>
      </w:r>
      <w:r>
        <w:rPr>
          <w:color w:val="231F20"/>
          <w:spacing w:val="-9"/>
          <w:w w:val="115"/>
        </w:rPr>
        <w:t> </w:t>
      </w:r>
      <w:r>
        <w:rPr>
          <w:color w:val="231F20"/>
          <w:w w:val="115"/>
        </w:rPr>
        <w:t>exemple,</w:t>
      </w:r>
      <w:r>
        <w:rPr>
          <w:color w:val="231F20"/>
          <w:spacing w:val="-9"/>
          <w:w w:val="115"/>
        </w:rPr>
        <w:t> </w:t>
      </w:r>
      <w:r>
        <w:rPr>
          <w:color w:val="231F20"/>
          <w:w w:val="115"/>
        </w:rPr>
        <w:t>une</w:t>
      </w:r>
      <w:r>
        <w:rPr>
          <w:color w:val="231F20"/>
          <w:spacing w:val="-9"/>
          <w:w w:val="115"/>
        </w:rPr>
        <w:t> </w:t>
      </w:r>
      <w:r>
        <w:rPr>
          <w:color w:val="231F20"/>
          <w:w w:val="115"/>
        </w:rPr>
        <w:t>personne</w:t>
      </w:r>
      <w:r>
        <w:rPr>
          <w:color w:val="231F20"/>
          <w:spacing w:val="-9"/>
          <w:w w:val="115"/>
        </w:rPr>
        <w:t> </w:t>
      </w:r>
      <w:r>
        <w:rPr>
          <w:color w:val="231F20"/>
          <w:w w:val="115"/>
        </w:rPr>
        <w:t>frustrée</w:t>
      </w:r>
      <w:r>
        <w:rPr>
          <w:color w:val="231F20"/>
          <w:spacing w:val="-9"/>
          <w:w w:val="115"/>
        </w:rPr>
        <w:t> </w:t>
      </w:r>
      <w:r>
        <w:rPr>
          <w:color w:val="231F20"/>
          <w:w w:val="115"/>
        </w:rPr>
        <w:t>par</w:t>
      </w:r>
      <w:r>
        <w:rPr>
          <w:color w:val="231F20"/>
          <w:spacing w:val="-9"/>
          <w:w w:val="115"/>
        </w:rPr>
        <w:t> </w:t>
      </w:r>
      <w:r>
        <w:rPr>
          <w:color w:val="231F20"/>
          <w:w w:val="115"/>
        </w:rPr>
        <w:t>sa</w:t>
      </w:r>
      <w:r>
        <w:rPr>
          <w:color w:val="231F20"/>
          <w:spacing w:val="-9"/>
          <w:w w:val="115"/>
        </w:rPr>
        <w:t> </w:t>
      </w:r>
      <w:r>
        <w:rPr>
          <w:color w:val="231F20"/>
          <w:w w:val="115"/>
        </w:rPr>
        <w:t>vie</w:t>
      </w:r>
      <w:r>
        <w:rPr>
          <w:color w:val="231F20"/>
          <w:spacing w:val="-9"/>
          <w:w w:val="115"/>
        </w:rPr>
        <w:t> </w:t>
      </w:r>
      <w:r>
        <w:rPr>
          <w:color w:val="231F20"/>
          <w:w w:val="115"/>
        </w:rPr>
        <w:t>conjugale</w:t>
      </w:r>
      <w:r>
        <w:rPr>
          <w:color w:val="231F20"/>
          <w:spacing w:val="-9"/>
          <w:w w:val="115"/>
        </w:rPr>
        <w:t> </w:t>
      </w:r>
      <w:r>
        <w:rPr>
          <w:color w:val="231F20"/>
          <w:w w:val="115"/>
        </w:rPr>
        <w:t>sublime</w:t>
      </w:r>
      <w:r>
        <w:rPr>
          <w:color w:val="231F20"/>
          <w:spacing w:val="-9"/>
          <w:w w:val="115"/>
        </w:rPr>
        <w:t> </w:t>
      </w:r>
      <w:r>
        <w:rPr>
          <w:color w:val="231F20"/>
          <w:w w:val="115"/>
        </w:rPr>
        <w:t>sa</w:t>
      </w:r>
      <w:r>
        <w:rPr>
          <w:color w:val="231F20"/>
          <w:spacing w:val="-9"/>
          <w:w w:val="115"/>
        </w:rPr>
        <w:t> </w:t>
      </w:r>
      <w:r>
        <w:rPr>
          <w:color w:val="231F20"/>
          <w:w w:val="115"/>
        </w:rPr>
        <w:t>décep- </w:t>
      </w:r>
      <w:r>
        <w:rPr>
          <w:color w:val="231F20"/>
          <w:spacing w:val="-2"/>
          <w:w w:val="120"/>
        </w:rPr>
        <w:t>tion</w:t>
      </w:r>
      <w:r>
        <w:rPr>
          <w:color w:val="231F20"/>
          <w:spacing w:val="-13"/>
          <w:w w:val="120"/>
        </w:rPr>
        <w:t> </w:t>
      </w:r>
      <w:r>
        <w:rPr>
          <w:color w:val="231F20"/>
          <w:spacing w:val="-2"/>
          <w:w w:val="120"/>
        </w:rPr>
        <w:t>en</w:t>
      </w:r>
      <w:r>
        <w:rPr>
          <w:color w:val="231F20"/>
          <w:spacing w:val="-13"/>
          <w:w w:val="120"/>
        </w:rPr>
        <w:t> </w:t>
      </w:r>
      <w:r>
        <w:rPr>
          <w:color w:val="231F20"/>
          <w:spacing w:val="-2"/>
          <w:w w:val="120"/>
        </w:rPr>
        <w:t>canalisant</w:t>
      </w:r>
      <w:r>
        <w:rPr>
          <w:color w:val="231F20"/>
          <w:spacing w:val="-13"/>
          <w:w w:val="120"/>
        </w:rPr>
        <w:t> </w:t>
      </w:r>
      <w:r>
        <w:rPr>
          <w:color w:val="231F20"/>
          <w:spacing w:val="-2"/>
          <w:w w:val="120"/>
        </w:rPr>
        <w:t>son</w:t>
      </w:r>
      <w:r>
        <w:rPr>
          <w:color w:val="231F20"/>
          <w:spacing w:val="-13"/>
          <w:w w:val="120"/>
        </w:rPr>
        <w:t> </w:t>
      </w:r>
      <w:r>
        <w:rPr>
          <w:color w:val="231F20"/>
          <w:spacing w:val="-2"/>
          <w:w w:val="120"/>
        </w:rPr>
        <w:t>énergie</w:t>
      </w:r>
      <w:r>
        <w:rPr>
          <w:color w:val="231F20"/>
          <w:spacing w:val="-13"/>
          <w:w w:val="120"/>
        </w:rPr>
        <w:t> </w:t>
      </w:r>
      <w:r>
        <w:rPr>
          <w:color w:val="231F20"/>
          <w:spacing w:val="-2"/>
          <w:w w:val="120"/>
        </w:rPr>
        <w:t>vers</w:t>
      </w:r>
      <w:r>
        <w:rPr>
          <w:color w:val="231F20"/>
          <w:spacing w:val="-13"/>
          <w:w w:val="120"/>
        </w:rPr>
        <w:t> </w:t>
      </w:r>
      <w:r>
        <w:rPr>
          <w:color w:val="231F20"/>
          <w:spacing w:val="-2"/>
          <w:w w:val="120"/>
        </w:rPr>
        <w:t>des</w:t>
      </w:r>
      <w:r>
        <w:rPr>
          <w:color w:val="231F20"/>
          <w:spacing w:val="-13"/>
          <w:w w:val="120"/>
        </w:rPr>
        <w:t> </w:t>
      </w:r>
      <w:r>
        <w:rPr>
          <w:color w:val="231F20"/>
          <w:spacing w:val="-2"/>
          <w:w w:val="120"/>
        </w:rPr>
        <w:t>accomplissements</w:t>
      </w:r>
      <w:r>
        <w:rPr>
          <w:color w:val="231F20"/>
          <w:spacing w:val="-13"/>
          <w:w w:val="120"/>
        </w:rPr>
        <w:t> </w:t>
      </w:r>
      <w:r>
        <w:rPr>
          <w:color w:val="231F20"/>
          <w:spacing w:val="-2"/>
          <w:w w:val="120"/>
        </w:rPr>
        <w:t>professionnels.</w:t>
      </w:r>
    </w:p>
    <w:p>
      <w:pPr>
        <w:pStyle w:val="BodyText"/>
        <w:spacing w:line="307" w:lineRule="auto" w:before="80"/>
        <w:ind w:left="829" w:right="495" w:firstLine="250"/>
        <w:jc w:val="both"/>
      </w:pPr>
      <w:r>
        <w:rPr>
          <w:color w:val="231F20"/>
          <w:w w:val="115"/>
        </w:rPr>
        <w:t>C’est</w:t>
      </w:r>
      <w:r>
        <w:rPr>
          <w:color w:val="231F20"/>
          <w:spacing w:val="-8"/>
          <w:w w:val="115"/>
        </w:rPr>
        <w:t> </w:t>
      </w:r>
      <w:r>
        <w:rPr>
          <w:color w:val="231F20"/>
          <w:w w:val="115"/>
        </w:rPr>
        <w:t>une</w:t>
      </w:r>
      <w:r>
        <w:rPr>
          <w:color w:val="231F20"/>
          <w:spacing w:val="-8"/>
          <w:w w:val="115"/>
        </w:rPr>
        <w:t> </w:t>
      </w:r>
      <w:r>
        <w:rPr>
          <w:color w:val="231F20"/>
          <w:w w:val="115"/>
        </w:rPr>
        <w:t>chose</w:t>
      </w:r>
      <w:r>
        <w:rPr>
          <w:color w:val="231F20"/>
          <w:spacing w:val="-8"/>
          <w:w w:val="115"/>
        </w:rPr>
        <w:t> </w:t>
      </w:r>
      <w:r>
        <w:rPr>
          <w:color w:val="231F20"/>
          <w:w w:val="115"/>
        </w:rPr>
        <w:t>que</w:t>
      </w:r>
      <w:r>
        <w:rPr>
          <w:color w:val="231F20"/>
          <w:spacing w:val="-8"/>
          <w:w w:val="115"/>
        </w:rPr>
        <w:t> </w:t>
      </w:r>
      <w:r>
        <w:rPr>
          <w:color w:val="231F20"/>
          <w:w w:val="115"/>
        </w:rPr>
        <w:t>d’avoir</w:t>
      </w:r>
      <w:r>
        <w:rPr>
          <w:color w:val="231F20"/>
          <w:spacing w:val="-8"/>
          <w:w w:val="115"/>
        </w:rPr>
        <w:t> </w:t>
      </w:r>
      <w:r>
        <w:rPr>
          <w:color w:val="231F20"/>
          <w:w w:val="115"/>
        </w:rPr>
        <w:t>confiance</w:t>
      </w:r>
      <w:r>
        <w:rPr>
          <w:color w:val="231F20"/>
          <w:spacing w:val="-8"/>
          <w:w w:val="115"/>
        </w:rPr>
        <w:t> </w:t>
      </w:r>
      <w:r>
        <w:rPr>
          <w:color w:val="231F20"/>
          <w:w w:val="115"/>
        </w:rPr>
        <w:t>ou</w:t>
      </w:r>
      <w:r>
        <w:rPr>
          <w:color w:val="231F20"/>
          <w:spacing w:val="-8"/>
          <w:w w:val="115"/>
        </w:rPr>
        <w:t> </w:t>
      </w:r>
      <w:r>
        <w:rPr>
          <w:color w:val="231F20"/>
          <w:w w:val="115"/>
        </w:rPr>
        <w:t>de</w:t>
      </w:r>
      <w:r>
        <w:rPr>
          <w:color w:val="231F20"/>
          <w:spacing w:val="-8"/>
          <w:w w:val="115"/>
        </w:rPr>
        <w:t> </w:t>
      </w:r>
      <w:r>
        <w:rPr>
          <w:color w:val="231F20"/>
          <w:w w:val="115"/>
        </w:rPr>
        <w:t>croire</w:t>
      </w:r>
      <w:r>
        <w:rPr>
          <w:color w:val="231F20"/>
          <w:spacing w:val="-8"/>
          <w:w w:val="115"/>
        </w:rPr>
        <w:t> </w:t>
      </w:r>
      <w:r>
        <w:rPr>
          <w:color w:val="231F20"/>
          <w:w w:val="115"/>
        </w:rPr>
        <w:t>en</w:t>
      </w:r>
      <w:r>
        <w:rPr>
          <w:color w:val="231F20"/>
          <w:spacing w:val="-8"/>
          <w:w w:val="115"/>
        </w:rPr>
        <w:t> </w:t>
      </w:r>
      <w:r>
        <w:rPr>
          <w:color w:val="231F20"/>
          <w:w w:val="115"/>
        </w:rPr>
        <w:t>soi.</w:t>
      </w:r>
      <w:r>
        <w:rPr>
          <w:color w:val="231F20"/>
          <w:spacing w:val="-8"/>
          <w:w w:val="115"/>
        </w:rPr>
        <w:t> </w:t>
      </w:r>
      <w:r>
        <w:rPr>
          <w:color w:val="231F20"/>
          <w:w w:val="115"/>
        </w:rPr>
        <w:t>C’en</w:t>
      </w:r>
      <w:r>
        <w:rPr>
          <w:color w:val="231F20"/>
          <w:spacing w:val="-8"/>
          <w:w w:val="115"/>
        </w:rPr>
        <w:t> </w:t>
      </w:r>
      <w:r>
        <w:rPr>
          <w:color w:val="231F20"/>
          <w:w w:val="115"/>
        </w:rPr>
        <w:t>est</w:t>
      </w:r>
      <w:r>
        <w:rPr>
          <w:color w:val="231F20"/>
          <w:spacing w:val="-8"/>
          <w:w w:val="115"/>
        </w:rPr>
        <w:t> </w:t>
      </w:r>
      <w:r>
        <w:rPr>
          <w:color w:val="231F20"/>
          <w:w w:val="115"/>
        </w:rPr>
        <w:t>une </w:t>
      </w:r>
      <w:r>
        <w:rPr>
          <w:color w:val="231F20"/>
          <w:w w:val="120"/>
        </w:rPr>
        <w:t>autre</w:t>
      </w:r>
      <w:r>
        <w:rPr>
          <w:color w:val="231F20"/>
          <w:spacing w:val="-12"/>
          <w:w w:val="120"/>
        </w:rPr>
        <w:t> </w:t>
      </w:r>
      <w:r>
        <w:rPr>
          <w:color w:val="231F20"/>
          <w:w w:val="120"/>
        </w:rPr>
        <w:t>que</w:t>
      </w:r>
      <w:r>
        <w:rPr>
          <w:color w:val="231F20"/>
          <w:spacing w:val="-12"/>
          <w:w w:val="120"/>
        </w:rPr>
        <w:t> </w:t>
      </w:r>
      <w:r>
        <w:rPr>
          <w:color w:val="231F20"/>
          <w:w w:val="120"/>
        </w:rPr>
        <w:t>d’avoir</w:t>
      </w:r>
      <w:r>
        <w:rPr>
          <w:color w:val="231F20"/>
          <w:spacing w:val="-12"/>
          <w:w w:val="120"/>
        </w:rPr>
        <w:t> </w:t>
      </w:r>
      <w:r>
        <w:rPr>
          <w:color w:val="231F20"/>
          <w:w w:val="120"/>
        </w:rPr>
        <w:t>confiance</w:t>
      </w:r>
      <w:r>
        <w:rPr>
          <w:color w:val="231F20"/>
          <w:spacing w:val="-12"/>
          <w:w w:val="120"/>
        </w:rPr>
        <w:t> </w:t>
      </w:r>
      <w:r>
        <w:rPr>
          <w:color w:val="231F20"/>
          <w:w w:val="120"/>
        </w:rPr>
        <w:t>en</w:t>
      </w:r>
      <w:r>
        <w:rPr>
          <w:color w:val="231F20"/>
          <w:spacing w:val="-12"/>
          <w:w w:val="120"/>
        </w:rPr>
        <w:t> </w:t>
      </w:r>
      <w:r>
        <w:rPr>
          <w:color w:val="231F20"/>
          <w:w w:val="120"/>
        </w:rPr>
        <w:t>autrui,</w:t>
      </w:r>
      <w:r>
        <w:rPr>
          <w:color w:val="231F20"/>
          <w:spacing w:val="-12"/>
          <w:w w:val="120"/>
        </w:rPr>
        <w:t> </w:t>
      </w:r>
      <w:r>
        <w:rPr>
          <w:color w:val="231F20"/>
          <w:w w:val="120"/>
        </w:rPr>
        <w:t>envers</w:t>
      </w:r>
      <w:r>
        <w:rPr>
          <w:color w:val="231F20"/>
          <w:spacing w:val="-12"/>
          <w:w w:val="120"/>
        </w:rPr>
        <w:t> </w:t>
      </w:r>
      <w:r>
        <w:rPr>
          <w:color w:val="231F20"/>
          <w:w w:val="120"/>
        </w:rPr>
        <w:t>l’avenir</w:t>
      </w:r>
      <w:r>
        <w:rPr>
          <w:color w:val="231F20"/>
          <w:spacing w:val="-12"/>
          <w:w w:val="120"/>
        </w:rPr>
        <w:t> </w:t>
      </w:r>
      <w:r>
        <w:rPr>
          <w:color w:val="231F20"/>
          <w:w w:val="120"/>
        </w:rPr>
        <w:t>de</w:t>
      </w:r>
      <w:r>
        <w:rPr>
          <w:color w:val="231F20"/>
          <w:spacing w:val="-12"/>
          <w:w w:val="120"/>
        </w:rPr>
        <w:t> </w:t>
      </w:r>
      <w:r>
        <w:rPr>
          <w:color w:val="231F20"/>
          <w:w w:val="120"/>
        </w:rPr>
        <w:t>l’humanité,</w:t>
      </w:r>
      <w:r>
        <w:rPr>
          <w:color w:val="231F20"/>
          <w:spacing w:val="-12"/>
          <w:w w:val="120"/>
        </w:rPr>
        <w:t> </w:t>
      </w:r>
      <w:r>
        <w:rPr>
          <w:color w:val="231F20"/>
          <w:w w:val="120"/>
        </w:rPr>
        <w:t>les </w:t>
      </w:r>
      <w:r>
        <w:rPr>
          <w:color w:val="231F20"/>
          <w:w w:val="115"/>
        </w:rPr>
        <w:t>dirigeants</w:t>
      </w:r>
      <w:r>
        <w:rPr>
          <w:color w:val="231F20"/>
          <w:spacing w:val="-11"/>
          <w:w w:val="115"/>
        </w:rPr>
        <w:t> </w:t>
      </w:r>
      <w:r>
        <w:rPr>
          <w:color w:val="231F20"/>
          <w:w w:val="115"/>
        </w:rPr>
        <w:t>politiques</w:t>
      </w:r>
      <w:r>
        <w:rPr>
          <w:color w:val="231F20"/>
          <w:spacing w:val="-11"/>
          <w:w w:val="115"/>
        </w:rPr>
        <w:t> </w:t>
      </w:r>
      <w:r>
        <w:rPr>
          <w:color w:val="231F20"/>
          <w:w w:val="115"/>
        </w:rPr>
        <w:t>ou</w:t>
      </w:r>
      <w:r>
        <w:rPr>
          <w:color w:val="231F20"/>
          <w:spacing w:val="-11"/>
          <w:w w:val="115"/>
        </w:rPr>
        <w:t> </w:t>
      </w:r>
      <w:r>
        <w:rPr>
          <w:color w:val="231F20"/>
          <w:w w:val="115"/>
        </w:rPr>
        <w:t>le</w:t>
      </w:r>
      <w:r>
        <w:rPr>
          <w:color w:val="231F20"/>
          <w:spacing w:val="-11"/>
          <w:w w:val="115"/>
        </w:rPr>
        <w:t> </w:t>
      </w:r>
      <w:r>
        <w:rPr>
          <w:color w:val="231F20"/>
          <w:w w:val="115"/>
        </w:rPr>
        <w:t>projet</w:t>
      </w:r>
      <w:r>
        <w:rPr>
          <w:color w:val="231F20"/>
          <w:spacing w:val="-11"/>
          <w:w w:val="115"/>
        </w:rPr>
        <w:t> </w:t>
      </w:r>
      <w:r>
        <w:rPr>
          <w:color w:val="231F20"/>
          <w:w w:val="115"/>
        </w:rPr>
        <w:t>d’entreprise</w:t>
      </w:r>
      <w:r>
        <w:rPr>
          <w:color w:val="231F20"/>
          <w:spacing w:val="-11"/>
          <w:w w:val="115"/>
        </w:rPr>
        <w:t> </w:t>
      </w:r>
      <w:r>
        <w:rPr>
          <w:color w:val="231F20"/>
          <w:w w:val="115"/>
        </w:rPr>
        <w:t>auquel</w:t>
      </w:r>
      <w:r>
        <w:rPr>
          <w:color w:val="231F20"/>
          <w:spacing w:val="-11"/>
          <w:w w:val="115"/>
        </w:rPr>
        <w:t> </w:t>
      </w:r>
      <w:r>
        <w:rPr>
          <w:color w:val="231F20"/>
          <w:w w:val="115"/>
        </w:rPr>
        <w:t>on</w:t>
      </w:r>
      <w:r>
        <w:rPr>
          <w:color w:val="231F20"/>
          <w:spacing w:val="-11"/>
          <w:w w:val="115"/>
        </w:rPr>
        <w:t> </w:t>
      </w:r>
      <w:r>
        <w:rPr>
          <w:color w:val="231F20"/>
          <w:w w:val="115"/>
        </w:rPr>
        <w:t>participe.</w:t>
      </w:r>
      <w:r>
        <w:rPr>
          <w:color w:val="231F20"/>
          <w:spacing w:val="-11"/>
          <w:w w:val="115"/>
        </w:rPr>
        <w:t> </w:t>
      </w:r>
      <w:r>
        <w:rPr>
          <w:color w:val="231F20"/>
          <w:w w:val="115"/>
        </w:rPr>
        <w:t>S’ajoute </w:t>
      </w:r>
      <w:r>
        <w:rPr>
          <w:color w:val="231F20"/>
          <w:spacing w:val="-2"/>
          <w:w w:val="120"/>
        </w:rPr>
        <w:t>à</w:t>
      </w:r>
      <w:r>
        <w:rPr>
          <w:color w:val="231F20"/>
          <w:spacing w:val="-9"/>
          <w:w w:val="120"/>
        </w:rPr>
        <w:t> </w:t>
      </w:r>
      <w:r>
        <w:rPr>
          <w:color w:val="231F20"/>
          <w:spacing w:val="-2"/>
          <w:w w:val="120"/>
        </w:rPr>
        <w:t>ces</w:t>
      </w:r>
      <w:r>
        <w:rPr>
          <w:color w:val="231F20"/>
          <w:spacing w:val="-9"/>
          <w:w w:val="120"/>
        </w:rPr>
        <w:t> </w:t>
      </w:r>
      <w:r>
        <w:rPr>
          <w:color w:val="231F20"/>
          <w:spacing w:val="-2"/>
          <w:w w:val="120"/>
        </w:rPr>
        <w:t>deux</w:t>
      </w:r>
      <w:r>
        <w:rPr>
          <w:color w:val="231F20"/>
          <w:spacing w:val="-9"/>
          <w:w w:val="120"/>
        </w:rPr>
        <w:t> </w:t>
      </w:r>
      <w:r>
        <w:rPr>
          <w:color w:val="231F20"/>
          <w:spacing w:val="-2"/>
          <w:w w:val="120"/>
        </w:rPr>
        <w:t>notions,</w:t>
      </w:r>
      <w:r>
        <w:rPr>
          <w:color w:val="231F20"/>
          <w:spacing w:val="-9"/>
          <w:w w:val="120"/>
        </w:rPr>
        <w:t> </w:t>
      </w:r>
      <w:r>
        <w:rPr>
          <w:color w:val="231F20"/>
          <w:spacing w:val="-2"/>
          <w:w w:val="120"/>
        </w:rPr>
        <w:t>celle</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i/>
          <w:color w:val="231F20"/>
          <w:spacing w:val="-2"/>
          <w:w w:val="120"/>
        </w:rPr>
        <w:t>confiance</w:t>
      </w:r>
      <w:r>
        <w:rPr>
          <w:i/>
          <w:color w:val="231F20"/>
          <w:spacing w:val="-9"/>
          <w:w w:val="120"/>
        </w:rPr>
        <w:t> </w:t>
      </w:r>
      <w:r>
        <w:rPr>
          <w:color w:val="231F20"/>
          <w:spacing w:val="-2"/>
          <w:w w:val="120"/>
        </w:rPr>
        <w:t>ou</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i/>
          <w:color w:val="231F20"/>
          <w:spacing w:val="-2"/>
          <w:w w:val="120"/>
        </w:rPr>
        <w:t>loyauté</w:t>
      </w:r>
      <w:r>
        <w:rPr>
          <w:i/>
          <w:color w:val="231F20"/>
          <w:spacing w:val="-9"/>
          <w:w w:val="120"/>
        </w:rPr>
        <w:t> </w:t>
      </w:r>
      <w:r>
        <w:rPr>
          <w:color w:val="231F20"/>
          <w:spacing w:val="-2"/>
          <w:w w:val="120"/>
        </w:rPr>
        <w:t>que</w:t>
      </w:r>
      <w:r>
        <w:rPr>
          <w:color w:val="231F20"/>
          <w:spacing w:val="-9"/>
          <w:w w:val="120"/>
        </w:rPr>
        <w:t> </w:t>
      </w:r>
      <w:r>
        <w:rPr>
          <w:color w:val="231F20"/>
          <w:spacing w:val="-2"/>
          <w:w w:val="120"/>
        </w:rPr>
        <w:t>l’on</w:t>
      </w:r>
      <w:r>
        <w:rPr>
          <w:color w:val="231F20"/>
          <w:spacing w:val="-9"/>
          <w:w w:val="120"/>
        </w:rPr>
        <w:t> </w:t>
      </w:r>
      <w:r>
        <w:rPr>
          <w:color w:val="231F20"/>
          <w:spacing w:val="-2"/>
          <w:w w:val="120"/>
        </w:rPr>
        <w:t>inspire </w:t>
      </w:r>
      <w:r>
        <w:rPr>
          <w:color w:val="231F20"/>
          <w:w w:val="120"/>
        </w:rPr>
        <w:t>soi-même à autrui.</w:t>
      </w:r>
    </w:p>
    <w:p>
      <w:pPr>
        <w:pStyle w:val="BodyText"/>
        <w:spacing w:line="307" w:lineRule="auto" w:before="79"/>
        <w:ind w:left="829" w:right="495" w:firstLine="250"/>
        <w:jc w:val="both"/>
      </w:pPr>
      <w:r>
        <w:rPr>
          <w:color w:val="231F20"/>
          <w:w w:val="115"/>
        </w:rPr>
        <w:t>Il</w:t>
      </w:r>
      <w:r>
        <w:rPr>
          <w:color w:val="231F20"/>
          <w:spacing w:val="-11"/>
          <w:w w:val="115"/>
        </w:rPr>
        <w:t> </w:t>
      </w:r>
      <w:r>
        <w:rPr>
          <w:color w:val="231F20"/>
          <w:w w:val="115"/>
        </w:rPr>
        <w:t>est</w:t>
      </w:r>
      <w:r>
        <w:rPr>
          <w:color w:val="231F20"/>
          <w:spacing w:val="-11"/>
          <w:w w:val="115"/>
        </w:rPr>
        <w:t> </w:t>
      </w:r>
      <w:r>
        <w:rPr>
          <w:color w:val="231F20"/>
          <w:w w:val="115"/>
        </w:rPr>
        <w:t>possible</w:t>
      </w:r>
      <w:r>
        <w:rPr>
          <w:color w:val="231F20"/>
          <w:spacing w:val="-11"/>
          <w:w w:val="115"/>
        </w:rPr>
        <w:t> </w:t>
      </w:r>
      <w:r>
        <w:rPr>
          <w:color w:val="231F20"/>
          <w:w w:val="115"/>
        </w:rPr>
        <w:t>de</w:t>
      </w:r>
      <w:r>
        <w:rPr>
          <w:color w:val="231F20"/>
          <w:spacing w:val="-11"/>
          <w:w w:val="115"/>
        </w:rPr>
        <w:t> </w:t>
      </w:r>
      <w:r>
        <w:rPr>
          <w:color w:val="231F20"/>
          <w:w w:val="115"/>
        </w:rPr>
        <w:t>considérer</w:t>
      </w:r>
      <w:r>
        <w:rPr>
          <w:color w:val="231F20"/>
          <w:spacing w:val="-11"/>
          <w:w w:val="115"/>
        </w:rPr>
        <w:t> </w:t>
      </w:r>
      <w:r>
        <w:rPr>
          <w:color w:val="231F20"/>
          <w:w w:val="115"/>
        </w:rPr>
        <w:t>que</w:t>
      </w:r>
      <w:r>
        <w:rPr>
          <w:color w:val="231F20"/>
          <w:spacing w:val="-11"/>
          <w:w w:val="115"/>
        </w:rPr>
        <w:t> </w:t>
      </w:r>
      <w:r>
        <w:rPr>
          <w:color w:val="231F20"/>
          <w:w w:val="115"/>
        </w:rPr>
        <w:t>la</w:t>
      </w:r>
      <w:r>
        <w:rPr>
          <w:color w:val="231F20"/>
          <w:spacing w:val="-11"/>
          <w:w w:val="115"/>
        </w:rPr>
        <w:t> </w:t>
      </w:r>
      <w:r>
        <w:rPr>
          <w:color w:val="231F20"/>
          <w:w w:val="115"/>
        </w:rPr>
        <w:t>notion</w:t>
      </w:r>
      <w:r>
        <w:rPr>
          <w:color w:val="231F20"/>
          <w:spacing w:val="-11"/>
          <w:w w:val="115"/>
        </w:rPr>
        <w:t> </w:t>
      </w:r>
      <w:r>
        <w:rPr>
          <w:color w:val="231F20"/>
          <w:w w:val="115"/>
        </w:rPr>
        <w:t>de</w:t>
      </w:r>
      <w:r>
        <w:rPr>
          <w:color w:val="231F20"/>
          <w:spacing w:val="-11"/>
          <w:w w:val="115"/>
        </w:rPr>
        <w:t> </w:t>
      </w:r>
      <w:r>
        <w:rPr>
          <w:i/>
          <w:color w:val="231F20"/>
          <w:w w:val="115"/>
        </w:rPr>
        <w:t>confiance</w:t>
      </w:r>
      <w:r>
        <w:rPr>
          <w:i/>
          <w:color w:val="231F20"/>
          <w:spacing w:val="-11"/>
          <w:w w:val="115"/>
        </w:rPr>
        <w:t> </w:t>
      </w:r>
      <w:r>
        <w:rPr>
          <w:i/>
          <w:color w:val="231F20"/>
          <w:w w:val="115"/>
        </w:rPr>
        <w:t>en</w:t>
      </w:r>
      <w:r>
        <w:rPr>
          <w:i/>
          <w:color w:val="231F20"/>
          <w:spacing w:val="-11"/>
          <w:w w:val="115"/>
        </w:rPr>
        <w:t> </w:t>
      </w:r>
      <w:r>
        <w:rPr>
          <w:i/>
          <w:color w:val="231F20"/>
          <w:w w:val="115"/>
        </w:rPr>
        <w:t>soi</w:t>
      </w:r>
      <w:r>
        <w:rPr>
          <w:i/>
          <w:color w:val="231F20"/>
          <w:spacing w:val="-11"/>
          <w:w w:val="115"/>
        </w:rPr>
        <w:t> </w:t>
      </w:r>
      <w:r>
        <w:rPr>
          <w:color w:val="231F20"/>
          <w:w w:val="115"/>
        </w:rPr>
        <w:t>fait</w:t>
      </w:r>
      <w:r>
        <w:rPr>
          <w:color w:val="231F20"/>
          <w:spacing w:val="-11"/>
          <w:w w:val="115"/>
        </w:rPr>
        <w:t> </w:t>
      </w:r>
      <w:r>
        <w:rPr>
          <w:color w:val="231F20"/>
          <w:w w:val="115"/>
        </w:rPr>
        <w:t>partie </w:t>
      </w:r>
      <w:r>
        <w:rPr>
          <w:color w:val="231F20"/>
          <w:spacing w:val="-4"/>
          <w:w w:val="120"/>
        </w:rPr>
        <w:t>d’une</w:t>
      </w:r>
      <w:r>
        <w:rPr>
          <w:color w:val="231F20"/>
          <w:spacing w:val="-7"/>
          <w:w w:val="120"/>
        </w:rPr>
        <w:t> </w:t>
      </w:r>
      <w:r>
        <w:rPr>
          <w:color w:val="231F20"/>
          <w:spacing w:val="-4"/>
          <w:w w:val="120"/>
        </w:rPr>
        <w:t>conception</w:t>
      </w:r>
      <w:r>
        <w:rPr>
          <w:color w:val="231F20"/>
          <w:spacing w:val="-7"/>
          <w:w w:val="120"/>
        </w:rPr>
        <w:t> </w:t>
      </w:r>
      <w:r>
        <w:rPr>
          <w:color w:val="231F20"/>
          <w:spacing w:val="-4"/>
          <w:w w:val="120"/>
        </w:rPr>
        <w:t>large</w:t>
      </w:r>
      <w:r>
        <w:rPr>
          <w:color w:val="231F20"/>
          <w:spacing w:val="-7"/>
          <w:w w:val="120"/>
        </w:rPr>
        <w:t> </w:t>
      </w:r>
      <w:r>
        <w:rPr>
          <w:color w:val="231F20"/>
          <w:spacing w:val="-4"/>
          <w:w w:val="120"/>
        </w:rPr>
        <w:t>du</w:t>
      </w:r>
      <w:r>
        <w:rPr>
          <w:color w:val="231F20"/>
          <w:spacing w:val="-7"/>
          <w:w w:val="120"/>
        </w:rPr>
        <w:t> </w:t>
      </w:r>
      <w:r>
        <w:rPr>
          <w:color w:val="231F20"/>
          <w:spacing w:val="-4"/>
          <w:w w:val="120"/>
        </w:rPr>
        <w:t>sentiment</w:t>
      </w:r>
      <w:r>
        <w:rPr>
          <w:color w:val="231F20"/>
          <w:spacing w:val="-7"/>
          <w:w w:val="120"/>
        </w:rPr>
        <w:t> </w:t>
      </w:r>
      <w:r>
        <w:rPr>
          <w:color w:val="231F20"/>
          <w:spacing w:val="-4"/>
          <w:w w:val="120"/>
        </w:rPr>
        <w:t>de</w:t>
      </w:r>
      <w:r>
        <w:rPr>
          <w:color w:val="231F20"/>
          <w:spacing w:val="-7"/>
          <w:w w:val="120"/>
        </w:rPr>
        <w:t> </w:t>
      </w:r>
      <w:r>
        <w:rPr>
          <w:color w:val="231F20"/>
          <w:spacing w:val="-4"/>
          <w:w w:val="120"/>
        </w:rPr>
        <w:t>compétence.</w:t>
      </w:r>
      <w:r>
        <w:rPr>
          <w:color w:val="231F20"/>
          <w:spacing w:val="-7"/>
          <w:w w:val="120"/>
        </w:rPr>
        <w:t> </w:t>
      </w:r>
      <w:r>
        <w:rPr>
          <w:color w:val="231F20"/>
          <w:spacing w:val="-4"/>
          <w:w w:val="120"/>
        </w:rPr>
        <w:t>Si</w:t>
      </w:r>
      <w:r>
        <w:rPr>
          <w:color w:val="231F20"/>
          <w:spacing w:val="-7"/>
          <w:w w:val="120"/>
        </w:rPr>
        <w:t> </w:t>
      </w:r>
      <w:r>
        <w:rPr>
          <w:color w:val="231F20"/>
          <w:spacing w:val="-4"/>
          <w:w w:val="120"/>
        </w:rPr>
        <w:t>vous</w:t>
      </w:r>
      <w:r>
        <w:rPr>
          <w:color w:val="231F20"/>
          <w:spacing w:val="-7"/>
          <w:w w:val="120"/>
        </w:rPr>
        <w:t> </w:t>
      </w:r>
      <w:r>
        <w:rPr>
          <w:color w:val="231F20"/>
          <w:spacing w:val="-4"/>
          <w:w w:val="120"/>
        </w:rPr>
        <w:t>pensez</w:t>
      </w:r>
      <w:r>
        <w:rPr>
          <w:color w:val="231F20"/>
          <w:spacing w:val="-7"/>
          <w:w w:val="120"/>
        </w:rPr>
        <w:t> </w:t>
      </w:r>
      <w:r>
        <w:rPr>
          <w:color w:val="231F20"/>
          <w:spacing w:val="-4"/>
          <w:w w:val="120"/>
        </w:rPr>
        <w:t>avoir </w:t>
      </w:r>
      <w:r>
        <w:rPr>
          <w:color w:val="231F20"/>
          <w:w w:val="115"/>
        </w:rPr>
        <w:t>les</w:t>
      </w:r>
      <w:r>
        <w:rPr>
          <w:color w:val="231F20"/>
          <w:spacing w:val="-3"/>
          <w:w w:val="115"/>
        </w:rPr>
        <w:t> </w:t>
      </w:r>
      <w:r>
        <w:rPr>
          <w:color w:val="231F20"/>
          <w:w w:val="115"/>
        </w:rPr>
        <w:t>compétences</w:t>
      </w:r>
      <w:r>
        <w:rPr>
          <w:color w:val="231F20"/>
          <w:spacing w:val="-3"/>
          <w:w w:val="115"/>
        </w:rPr>
        <w:t> </w:t>
      </w:r>
      <w:r>
        <w:rPr>
          <w:color w:val="231F20"/>
          <w:w w:val="115"/>
        </w:rPr>
        <w:t>pour</w:t>
      </w:r>
      <w:r>
        <w:rPr>
          <w:color w:val="231F20"/>
          <w:spacing w:val="-3"/>
          <w:w w:val="115"/>
        </w:rPr>
        <w:t> </w:t>
      </w:r>
      <w:r>
        <w:rPr>
          <w:color w:val="231F20"/>
          <w:w w:val="115"/>
        </w:rPr>
        <w:t>faire</w:t>
      </w:r>
      <w:r>
        <w:rPr>
          <w:color w:val="231F20"/>
          <w:spacing w:val="-3"/>
          <w:w w:val="115"/>
        </w:rPr>
        <w:t> </w:t>
      </w:r>
      <w:r>
        <w:rPr>
          <w:color w:val="231F20"/>
          <w:w w:val="115"/>
        </w:rPr>
        <w:t>une</w:t>
      </w:r>
      <w:r>
        <w:rPr>
          <w:color w:val="231F20"/>
          <w:spacing w:val="-3"/>
          <w:w w:val="115"/>
        </w:rPr>
        <w:t> </w:t>
      </w:r>
      <w:r>
        <w:rPr>
          <w:color w:val="231F20"/>
          <w:w w:val="115"/>
        </w:rPr>
        <w:t>action</w:t>
      </w:r>
      <w:r>
        <w:rPr>
          <w:color w:val="231F20"/>
          <w:spacing w:val="-3"/>
          <w:w w:val="115"/>
        </w:rPr>
        <w:t> </w:t>
      </w:r>
      <w:r>
        <w:rPr>
          <w:color w:val="231F20"/>
          <w:w w:val="115"/>
        </w:rPr>
        <w:t>ou</w:t>
      </w:r>
      <w:r>
        <w:rPr>
          <w:color w:val="231F20"/>
          <w:spacing w:val="-3"/>
          <w:w w:val="115"/>
        </w:rPr>
        <w:t> </w:t>
      </w:r>
      <w:r>
        <w:rPr>
          <w:color w:val="231F20"/>
          <w:w w:val="115"/>
        </w:rPr>
        <w:t>une</w:t>
      </w:r>
      <w:r>
        <w:rPr>
          <w:color w:val="231F20"/>
          <w:spacing w:val="-3"/>
          <w:w w:val="115"/>
        </w:rPr>
        <w:t> </w:t>
      </w:r>
      <w:r>
        <w:rPr>
          <w:color w:val="231F20"/>
          <w:w w:val="115"/>
        </w:rPr>
        <w:t>activité</w:t>
      </w:r>
      <w:r>
        <w:rPr>
          <w:color w:val="231F20"/>
          <w:spacing w:val="-3"/>
          <w:w w:val="115"/>
        </w:rPr>
        <w:t> </w:t>
      </w:r>
      <w:r>
        <w:rPr>
          <w:color w:val="231F20"/>
          <w:w w:val="115"/>
        </w:rPr>
        <w:t>particulière</w:t>
      </w:r>
      <w:r>
        <w:rPr>
          <w:color w:val="231F20"/>
          <w:spacing w:val="-3"/>
          <w:w w:val="115"/>
        </w:rPr>
        <w:t> </w:t>
      </w:r>
      <w:r>
        <w:rPr>
          <w:color w:val="231F20"/>
          <w:w w:val="115"/>
        </w:rPr>
        <w:t>ou</w:t>
      </w:r>
      <w:r>
        <w:rPr>
          <w:color w:val="231F20"/>
          <w:spacing w:val="-3"/>
          <w:w w:val="115"/>
        </w:rPr>
        <w:t> </w:t>
      </w:r>
      <w:r>
        <w:rPr>
          <w:color w:val="231F20"/>
          <w:w w:val="115"/>
        </w:rPr>
        <w:t>vous engager</w:t>
      </w:r>
      <w:r>
        <w:rPr>
          <w:color w:val="231F20"/>
          <w:spacing w:val="-13"/>
          <w:w w:val="115"/>
        </w:rPr>
        <w:t> </w:t>
      </w:r>
      <w:r>
        <w:rPr>
          <w:color w:val="231F20"/>
          <w:w w:val="115"/>
        </w:rPr>
        <w:t>dans</w:t>
      </w:r>
      <w:r>
        <w:rPr>
          <w:color w:val="231F20"/>
          <w:spacing w:val="-12"/>
          <w:w w:val="115"/>
        </w:rPr>
        <w:t> </w:t>
      </w:r>
      <w:r>
        <w:rPr>
          <w:color w:val="231F20"/>
          <w:w w:val="115"/>
        </w:rPr>
        <w:t>ces</w:t>
      </w:r>
      <w:r>
        <w:rPr>
          <w:color w:val="231F20"/>
          <w:spacing w:val="-12"/>
          <w:w w:val="115"/>
        </w:rPr>
        <w:t> </w:t>
      </w:r>
      <w:r>
        <w:rPr>
          <w:color w:val="231F20"/>
          <w:w w:val="115"/>
        </w:rPr>
        <w:t>dernières</w:t>
      </w:r>
      <w:r>
        <w:rPr>
          <w:color w:val="231F20"/>
          <w:spacing w:val="-12"/>
          <w:w w:val="115"/>
        </w:rPr>
        <w:t> </w:t>
      </w:r>
      <w:r>
        <w:rPr>
          <w:color w:val="231F20"/>
          <w:w w:val="115"/>
        </w:rPr>
        <w:t>…</w:t>
      </w:r>
      <w:r>
        <w:rPr>
          <w:color w:val="231F20"/>
          <w:spacing w:val="-13"/>
          <w:w w:val="115"/>
        </w:rPr>
        <w:t> </w:t>
      </w:r>
      <w:r>
        <w:rPr>
          <w:color w:val="231F20"/>
          <w:w w:val="115"/>
        </w:rPr>
        <w:t>vous</w:t>
      </w:r>
      <w:r>
        <w:rPr>
          <w:color w:val="231F20"/>
          <w:spacing w:val="-12"/>
          <w:w w:val="115"/>
        </w:rPr>
        <w:t> </w:t>
      </w:r>
      <w:r>
        <w:rPr>
          <w:color w:val="231F20"/>
          <w:w w:val="115"/>
        </w:rPr>
        <w:t>avez</w:t>
      </w:r>
      <w:r>
        <w:rPr>
          <w:color w:val="231F20"/>
          <w:spacing w:val="-12"/>
          <w:w w:val="115"/>
        </w:rPr>
        <w:t> </w:t>
      </w:r>
      <w:r>
        <w:rPr>
          <w:color w:val="231F20"/>
          <w:w w:val="115"/>
        </w:rPr>
        <w:t>confiance</w:t>
      </w:r>
      <w:r>
        <w:rPr>
          <w:color w:val="231F20"/>
          <w:spacing w:val="-12"/>
          <w:w w:val="115"/>
        </w:rPr>
        <w:t> </w:t>
      </w:r>
      <w:r>
        <w:rPr>
          <w:color w:val="231F20"/>
          <w:w w:val="115"/>
        </w:rPr>
        <w:t>en</w:t>
      </w:r>
      <w:r>
        <w:rPr>
          <w:color w:val="231F20"/>
          <w:spacing w:val="-12"/>
          <w:w w:val="115"/>
        </w:rPr>
        <w:t> </w:t>
      </w:r>
      <w:r>
        <w:rPr>
          <w:color w:val="231F20"/>
          <w:w w:val="115"/>
        </w:rPr>
        <w:t>vous</w:t>
      </w:r>
      <w:r>
        <w:rPr>
          <w:color w:val="231F20"/>
          <w:spacing w:val="-13"/>
          <w:w w:val="115"/>
        </w:rPr>
        <w:t> </w:t>
      </w:r>
      <w:r>
        <w:rPr>
          <w:color w:val="231F20"/>
          <w:w w:val="115"/>
        </w:rPr>
        <w:t>et</w:t>
      </w:r>
      <w:r>
        <w:rPr>
          <w:color w:val="231F20"/>
          <w:spacing w:val="-12"/>
          <w:w w:val="115"/>
        </w:rPr>
        <w:t> </w:t>
      </w:r>
      <w:r>
        <w:rPr>
          <w:color w:val="231F20"/>
          <w:w w:val="115"/>
        </w:rPr>
        <w:t>vous</w:t>
      </w:r>
      <w:r>
        <w:rPr>
          <w:color w:val="231F20"/>
          <w:spacing w:val="-12"/>
          <w:w w:val="115"/>
        </w:rPr>
        <w:t> </w:t>
      </w:r>
      <w:r>
        <w:rPr>
          <w:color w:val="231F20"/>
          <w:w w:val="115"/>
        </w:rPr>
        <w:t>adoptez </w:t>
      </w:r>
      <w:r>
        <w:rPr>
          <w:color w:val="231F20"/>
          <w:w w:val="120"/>
        </w:rPr>
        <w:t>une posture en conséquence. Alors que l’estime de soi concerne une </w:t>
      </w:r>
      <w:r>
        <w:rPr>
          <w:color w:val="231F20"/>
          <w:w w:val="115"/>
        </w:rPr>
        <w:t>autoévaluation</w:t>
      </w:r>
      <w:r>
        <w:rPr>
          <w:color w:val="231F20"/>
          <w:spacing w:val="-8"/>
          <w:w w:val="115"/>
        </w:rPr>
        <w:t> </w:t>
      </w:r>
      <w:r>
        <w:rPr>
          <w:color w:val="231F20"/>
          <w:w w:val="115"/>
        </w:rPr>
        <w:t>globale</w:t>
      </w:r>
      <w:r>
        <w:rPr>
          <w:color w:val="231F20"/>
          <w:spacing w:val="-8"/>
          <w:w w:val="115"/>
        </w:rPr>
        <w:t> </w:t>
      </w:r>
      <w:r>
        <w:rPr>
          <w:color w:val="231F20"/>
          <w:w w:val="115"/>
        </w:rPr>
        <w:t>de</w:t>
      </w:r>
      <w:r>
        <w:rPr>
          <w:color w:val="231F20"/>
          <w:spacing w:val="-8"/>
          <w:w w:val="115"/>
        </w:rPr>
        <w:t> </w:t>
      </w:r>
      <w:r>
        <w:rPr>
          <w:color w:val="231F20"/>
          <w:w w:val="115"/>
        </w:rPr>
        <w:t>la</w:t>
      </w:r>
      <w:r>
        <w:rPr>
          <w:color w:val="231F20"/>
          <w:spacing w:val="-8"/>
          <w:w w:val="115"/>
        </w:rPr>
        <w:t> </w:t>
      </w:r>
      <w:r>
        <w:rPr>
          <w:color w:val="231F20"/>
          <w:w w:val="115"/>
        </w:rPr>
        <w:t>valeur</w:t>
      </w:r>
      <w:r>
        <w:rPr>
          <w:color w:val="231F20"/>
          <w:spacing w:val="-8"/>
          <w:w w:val="115"/>
        </w:rPr>
        <w:t> </w:t>
      </w:r>
      <w:r>
        <w:rPr>
          <w:color w:val="231F20"/>
          <w:w w:val="115"/>
        </w:rPr>
        <w:t>de</w:t>
      </w:r>
      <w:r>
        <w:rPr>
          <w:color w:val="231F20"/>
          <w:spacing w:val="-8"/>
          <w:w w:val="115"/>
        </w:rPr>
        <w:t> </w:t>
      </w:r>
      <w:r>
        <w:rPr>
          <w:color w:val="231F20"/>
          <w:w w:val="115"/>
        </w:rPr>
        <w:t>l’individu,</w:t>
      </w:r>
      <w:r>
        <w:rPr>
          <w:color w:val="231F20"/>
          <w:spacing w:val="-8"/>
          <w:w w:val="115"/>
        </w:rPr>
        <w:t> </w:t>
      </w:r>
      <w:r>
        <w:rPr>
          <w:color w:val="231F20"/>
          <w:w w:val="115"/>
        </w:rPr>
        <w:t>la</w:t>
      </w:r>
      <w:r>
        <w:rPr>
          <w:color w:val="231F20"/>
          <w:spacing w:val="-8"/>
          <w:w w:val="115"/>
        </w:rPr>
        <w:t> </w:t>
      </w:r>
      <w:r>
        <w:rPr>
          <w:color w:val="231F20"/>
          <w:w w:val="115"/>
        </w:rPr>
        <w:t>confiance</w:t>
      </w:r>
      <w:r>
        <w:rPr>
          <w:color w:val="231F20"/>
          <w:spacing w:val="-8"/>
          <w:w w:val="115"/>
        </w:rPr>
        <w:t> </w:t>
      </w:r>
      <w:r>
        <w:rPr>
          <w:color w:val="231F20"/>
          <w:w w:val="115"/>
        </w:rPr>
        <w:t>en</w:t>
      </w:r>
      <w:r>
        <w:rPr>
          <w:color w:val="231F20"/>
          <w:spacing w:val="-8"/>
          <w:w w:val="115"/>
        </w:rPr>
        <w:t> </w:t>
      </w:r>
      <w:r>
        <w:rPr>
          <w:color w:val="231F20"/>
          <w:w w:val="115"/>
        </w:rPr>
        <w:t>soi</w:t>
      </w:r>
      <w:r>
        <w:rPr>
          <w:color w:val="231F20"/>
          <w:spacing w:val="-8"/>
          <w:w w:val="115"/>
        </w:rPr>
        <w:t> </w:t>
      </w:r>
      <w:r>
        <w:rPr>
          <w:color w:val="231F20"/>
          <w:w w:val="115"/>
        </w:rPr>
        <w:t>porte </w:t>
      </w:r>
      <w:r>
        <w:rPr>
          <w:color w:val="231F20"/>
          <w:w w:val="120"/>
        </w:rPr>
        <w:t>sur</w:t>
      </w:r>
      <w:r>
        <w:rPr>
          <w:color w:val="231F20"/>
          <w:spacing w:val="-12"/>
          <w:w w:val="120"/>
        </w:rPr>
        <w:t> </w:t>
      </w:r>
      <w:r>
        <w:rPr>
          <w:color w:val="231F20"/>
          <w:w w:val="120"/>
        </w:rPr>
        <w:t>l’assurance</w:t>
      </w:r>
      <w:r>
        <w:rPr>
          <w:color w:val="231F20"/>
          <w:spacing w:val="-12"/>
          <w:w w:val="120"/>
        </w:rPr>
        <w:t> </w:t>
      </w:r>
      <w:r>
        <w:rPr>
          <w:color w:val="231F20"/>
          <w:w w:val="120"/>
        </w:rPr>
        <w:t>de</w:t>
      </w:r>
      <w:r>
        <w:rPr>
          <w:color w:val="231F20"/>
          <w:spacing w:val="-12"/>
          <w:w w:val="120"/>
        </w:rPr>
        <w:t> </w:t>
      </w:r>
      <w:r>
        <w:rPr>
          <w:color w:val="231F20"/>
          <w:w w:val="120"/>
        </w:rPr>
        <w:t>l’individu</w:t>
      </w:r>
      <w:r>
        <w:rPr>
          <w:color w:val="231F20"/>
          <w:spacing w:val="-12"/>
          <w:w w:val="120"/>
        </w:rPr>
        <w:t> </w:t>
      </w:r>
      <w:r>
        <w:rPr>
          <w:color w:val="231F20"/>
          <w:w w:val="120"/>
        </w:rPr>
        <w:t>en</w:t>
      </w:r>
      <w:r>
        <w:rPr>
          <w:color w:val="231F20"/>
          <w:spacing w:val="-12"/>
          <w:w w:val="120"/>
        </w:rPr>
        <w:t> </w:t>
      </w:r>
      <w:r>
        <w:rPr>
          <w:color w:val="231F20"/>
          <w:w w:val="120"/>
        </w:rPr>
        <w:t>ses</w:t>
      </w:r>
      <w:r>
        <w:rPr>
          <w:color w:val="231F20"/>
          <w:spacing w:val="-12"/>
          <w:w w:val="120"/>
        </w:rPr>
        <w:t> </w:t>
      </w:r>
      <w:r>
        <w:rPr>
          <w:color w:val="231F20"/>
          <w:w w:val="120"/>
        </w:rPr>
        <w:t>moyens</w:t>
      </w:r>
      <w:r>
        <w:rPr>
          <w:color w:val="231F20"/>
          <w:spacing w:val="-12"/>
          <w:w w:val="120"/>
        </w:rPr>
        <w:t> </w:t>
      </w:r>
      <w:r>
        <w:rPr>
          <w:color w:val="231F20"/>
          <w:w w:val="120"/>
        </w:rPr>
        <w:t>pour</w:t>
      </w:r>
      <w:r>
        <w:rPr>
          <w:color w:val="231F20"/>
          <w:spacing w:val="-12"/>
          <w:w w:val="120"/>
        </w:rPr>
        <w:t> </w:t>
      </w:r>
      <w:r>
        <w:rPr>
          <w:color w:val="231F20"/>
          <w:w w:val="120"/>
        </w:rPr>
        <w:t>réussir</w:t>
      </w:r>
      <w:r>
        <w:rPr>
          <w:color w:val="231F20"/>
          <w:spacing w:val="-12"/>
          <w:w w:val="120"/>
        </w:rPr>
        <w:t> </w:t>
      </w:r>
      <w:r>
        <w:rPr>
          <w:color w:val="231F20"/>
          <w:w w:val="120"/>
        </w:rPr>
        <w:t>les</w:t>
      </w:r>
      <w:r>
        <w:rPr>
          <w:color w:val="231F20"/>
          <w:spacing w:val="-12"/>
          <w:w w:val="120"/>
        </w:rPr>
        <w:t> </w:t>
      </w:r>
      <w:r>
        <w:rPr>
          <w:color w:val="231F20"/>
          <w:w w:val="120"/>
        </w:rPr>
        <w:t>divers</w:t>
      </w:r>
      <w:r>
        <w:rPr>
          <w:color w:val="231F20"/>
          <w:spacing w:val="-12"/>
          <w:w w:val="120"/>
        </w:rPr>
        <w:t> </w:t>
      </w:r>
      <w:r>
        <w:rPr>
          <w:color w:val="231F20"/>
          <w:w w:val="120"/>
        </w:rPr>
        <w:t>rôles de sa vie. Néanmoins, l’estime de soi et la confiance en soi sont des caractéristiques</w:t>
      </w:r>
      <w:r>
        <w:rPr>
          <w:color w:val="231F20"/>
          <w:spacing w:val="-13"/>
          <w:w w:val="120"/>
        </w:rPr>
        <w:t> </w:t>
      </w:r>
      <w:r>
        <w:rPr>
          <w:color w:val="231F20"/>
          <w:w w:val="120"/>
        </w:rPr>
        <w:t>interdépendantes.</w:t>
      </w:r>
    </w:p>
    <w:p>
      <w:pPr>
        <w:spacing w:after="0" w:line="307" w:lineRule="auto"/>
        <w:jc w:val="both"/>
        <w:sectPr>
          <w:footerReference w:type="default" r:id="rId242"/>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19" w:right="103" w:firstLine="250"/>
        <w:jc w:val="both"/>
      </w:pPr>
      <w:r>
        <w:rPr>
          <w:color w:val="231F20"/>
          <w:w w:val="115"/>
        </w:rPr>
        <w:t>Avoir confiance en soi, c’est avoir la confiance en sa capacité de plei- nement s’engager avec succès dans des projets. Une personne sûre d’elle </w:t>
      </w:r>
      <w:r>
        <w:rPr>
          <w:color w:val="231F20"/>
          <w:w w:val="120"/>
        </w:rPr>
        <w:t>est</w:t>
      </w:r>
      <w:r>
        <w:rPr>
          <w:color w:val="231F20"/>
          <w:spacing w:val="-13"/>
          <w:w w:val="120"/>
        </w:rPr>
        <w:t> </w:t>
      </w:r>
      <w:r>
        <w:rPr>
          <w:color w:val="231F20"/>
          <w:w w:val="120"/>
        </w:rPr>
        <w:t>prête</w:t>
      </w:r>
      <w:r>
        <w:rPr>
          <w:color w:val="231F20"/>
          <w:spacing w:val="-13"/>
          <w:w w:val="120"/>
        </w:rPr>
        <w:t> </w:t>
      </w:r>
      <w:r>
        <w:rPr>
          <w:color w:val="231F20"/>
          <w:w w:val="120"/>
        </w:rPr>
        <w:t>à</w:t>
      </w:r>
      <w:r>
        <w:rPr>
          <w:color w:val="231F20"/>
          <w:spacing w:val="-13"/>
          <w:w w:val="120"/>
        </w:rPr>
        <w:t> </w:t>
      </w:r>
      <w:r>
        <w:rPr>
          <w:color w:val="231F20"/>
          <w:w w:val="120"/>
        </w:rPr>
        <w:t>relever</w:t>
      </w:r>
      <w:r>
        <w:rPr>
          <w:color w:val="231F20"/>
          <w:spacing w:val="-12"/>
          <w:w w:val="120"/>
        </w:rPr>
        <w:t> </w:t>
      </w:r>
      <w:r>
        <w:rPr>
          <w:color w:val="231F20"/>
          <w:w w:val="120"/>
        </w:rPr>
        <w:t>de</w:t>
      </w:r>
      <w:r>
        <w:rPr>
          <w:color w:val="231F20"/>
          <w:spacing w:val="-13"/>
          <w:w w:val="120"/>
        </w:rPr>
        <w:t> </w:t>
      </w:r>
      <w:r>
        <w:rPr>
          <w:color w:val="231F20"/>
          <w:w w:val="120"/>
        </w:rPr>
        <w:t>nouveaux</w:t>
      </w:r>
      <w:r>
        <w:rPr>
          <w:color w:val="231F20"/>
          <w:spacing w:val="-13"/>
          <w:w w:val="120"/>
        </w:rPr>
        <w:t> </w:t>
      </w:r>
      <w:r>
        <w:rPr>
          <w:color w:val="231F20"/>
          <w:w w:val="120"/>
        </w:rPr>
        <w:t>défis,</w:t>
      </w:r>
      <w:r>
        <w:rPr>
          <w:color w:val="231F20"/>
          <w:spacing w:val="-13"/>
          <w:w w:val="120"/>
        </w:rPr>
        <w:t> </w:t>
      </w:r>
      <w:r>
        <w:rPr>
          <w:color w:val="231F20"/>
          <w:w w:val="120"/>
        </w:rPr>
        <w:t>à</w:t>
      </w:r>
      <w:r>
        <w:rPr>
          <w:color w:val="231F20"/>
          <w:spacing w:val="-12"/>
          <w:w w:val="120"/>
        </w:rPr>
        <w:t> </w:t>
      </w:r>
      <w:r>
        <w:rPr>
          <w:color w:val="231F20"/>
          <w:w w:val="120"/>
        </w:rPr>
        <w:t>saisir</w:t>
      </w:r>
      <w:r>
        <w:rPr>
          <w:color w:val="231F20"/>
          <w:spacing w:val="-13"/>
          <w:w w:val="120"/>
        </w:rPr>
        <w:t> </w:t>
      </w:r>
      <w:r>
        <w:rPr>
          <w:color w:val="231F20"/>
          <w:w w:val="120"/>
        </w:rPr>
        <w:t>les</w:t>
      </w:r>
      <w:r>
        <w:rPr>
          <w:color w:val="231F20"/>
          <w:spacing w:val="-13"/>
          <w:w w:val="120"/>
        </w:rPr>
        <w:t> </w:t>
      </w:r>
      <w:r>
        <w:rPr>
          <w:color w:val="231F20"/>
          <w:w w:val="120"/>
        </w:rPr>
        <w:t>occasions,</w:t>
      </w:r>
      <w:r>
        <w:rPr>
          <w:color w:val="231F20"/>
          <w:spacing w:val="-13"/>
          <w:w w:val="120"/>
        </w:rPr>
        <w:t> </w:t>
      </w:r>
      <w:r>
        <w:rPr>
          <w:color w:val="231F20"/>
          <w:w w:val="120"/>
        </w:rPr>
        <w:t>à</w:t>
      </w:r>
      <w:r>
        <w:rPr>
          <w:color w:val="231F20"/>
          <w:spacing w:val="-12"/>
          <w:w w:val="120"/>
        </w:rPr>
        <w:t> </w:t>
      </w:r>
      <w:r>
        <w:rPr>
          <w:color w:val="231F20"/>
          <w:w w:val="120"/>
        </w:rPr>
        <w:t>faire</w:t>
      </w:r>
      <w:r>
        <w:rPr>
          <w:color w:val="231F20"/>
          <w:spacing w:val="-13"/>
          <w:w w:val="120"/>
        </w:rPr>
        <w:t> </w:t>
      </w:r>
      <w:r>
        <w:rPr>
          <w:color w:val="231F20"/>
          <w:w w:val="120"/>
        </w:rPr>
        <w:t>face</w:t>
      </w:r>
      <w:r>
        <w:rPr>
          <w:color w:val="231F20"/>
          <w:spacing w:val="-13"/>
          <w:w w:val="120"/>
        </w:rPr>
        <w:t> </w:t>
      </w:r>
      <w:r>
        <w:rPr>
          <w:color w:val="231F20"/>
          <w:w w:val="120"/>
        </w:rPr>
        <w:t>à des situations difficiles et à assumer des responsabilités. Tout comme </w:t>
      </w:r>
      <w:r>
        <w:rPr>
          <w:color w:val="231F20"/>
          <w:w w:val="115"/>
        </w:rPr>
        <w:t>la</w:t>
      </w:r>
      <w:r>
        <w:rPr>
          <w:color w:val="231F20"/>
          <w:spacing w:val="-5"/>
          <w:w w:val="115"/>
        </w:rPr>
        <w:t> </w:t>
      </w:r>
      <w:r>
        <w:rPr>
          <w:color w:val="231F20"/>
          <w:w w:val="115"/>
        </w:rPr>
        <w:t>confiance</w:t>
      </w:r>
      <w:r>
        <w:rPr>
          <w:color w:val="231F20"/>
          <w:spacing w:val="-5"/>
          <w:w w:val="115"/>
        </w:rPr>
        <w:t> </w:t>
      </w:r>
      <w:r>
        <w:rPr>
          <w:color w:val="231F20"/>
          <w:w w:val="115"/>
        </w:rPr>
        <w:t>en</w:t>
      </w:r>
      <w:r>
        <w:rPr>
          <w:color w:val="231F20"/>
          <w:spacing w:val="-5"/>
          <w:w w:val="115"/>
        </w:rPr>
        <w:t> </w:t>
      </w:r>
      <w:r>
        <w:rPr>
          <w:color w:val="231F20"/>
          <w:w w:val="115"/>
        </w:rPr>
        <w:t>soi</w:t>
      </w:r>
      <w:r>
        <w:rPr>
          <w:color w:val="231F20"/>
          <w:spacing w:val="-5"/>
          <w:w w:val="115"/>
        </w:rPr>
        <w:t> </w:t>
      </w:r>
      <w:r>
        <w:rPr>
          <w:color w:val="231F20"/>
          <w:w w:val="115"/>
        </w:rPr>
        <w:t>conduit</w:t>
      </w:r>
      <w:r>
        <w:rPr>
          <w:color w:val="231F20"/>
          <w:spacing w:val="-5"/>
          <w:w w:val="115"/>
        </w:rPr>
        <w:t> </w:t>
      </w:r>
      <w:r>
        <w:rPr>
          <w:color w:val="231F20"/>
          <w:w w:val="115"/>
        </w:rPr>
        <w:t>à</w:t>
      </w:r>
      <w:r>
        <w:rPr>
          <w:color w:val="231F20"/>
          <w:spacing w:val="-5"/>
          <w:w w:val="115"/>
        </w:rPr>
        <w:t> </w:t>
      </w:r>
      <w:r>
        <w:rPr>
          <w:color w:val="231F20"/>
          <w:w w:val="115"/>
        </w:rPr>
        <w:t>une</w:t>
      </w:r>
      <w:r>
        <w:rPr>
          <w:color w:val="231F20"/>
          <w:spacing w:val="-5"/>
          <w:w w:val="115"/>
        </w:rPr>
        <w:t> </w:t>
      </w:r>
      <w:r>
        <w:rPr>
          <w:color w:val="231F20"/>
          <w:w w:val="115"/>
        </w:rPr>
        <w:t>expérience</w:t>
      </w:r>
      <w:r>
        <w:rPr>
          <w:color w:val="231F20"/>
          <w:spacing w:val="-5"/>
          <w:w w:val="115"/>
        </w:rPr>
        <w:t> </w:t>
      </w:r>
      <w:r>
        <w:rPr>
          <w:color w:val="231F20"/>
          <w:w w:val="115"/>
        </w:rPr>
        <w:t>réussie,</w:t>
      </w:r>
      <w:r>
        <w:rPr>
          <w:color w:val="231F20"/>
          <w:spacing w:val="-5"/>
          <w:w w:val="115"/>
        </w:rPr>
        <w:t> </w:t>
      </w:r>
      <w:r>
        <w:rPr>
          <w:color w:val="231F20"/>
          <w:w w:val="115"/>
        </w:rPr>
        <w:t>une</w:t>
      </w:r>
      <w:r>
        <w:rPr>
          <w:color w:val="231F20"/>
          <w:spacing w:val="-5"/>
          <w:w w:val="115"/>
        </w:rPr>
        <w:t> </w:t>
      </w:r>
      <w:r>
        <w:rPr>
          <w:color w:val="231F20"/>
          <w:w w:val="115"/>
        </w:rPr>
        <w:t>expérience</w:t>
      </w:r>
      <w:r>
        <w:rPr>
          <w:color w:val="231F20"/>
          <w:spacing w:val="-5"/>
          <w:w w:val="115"/>
        </w:rPr>
        <w:t> </w:t>
      </w:r>
      <w:r>
        <w:rPr>
          <w:color w:val="231F20"/>
          <w:w w:val="115"/>
        </w:rPr>
        <w:t>réus- </w:t>
      </w:r>
      <w:r>
        <w:rPr>
          <w:color w:val="231F20"/>
          <w:spacing w:val="-2"/>
          <w:w w:val="120"/>
        </w:rPr>
        <w:t>sie</w:t>
      </w:r>
      <w:r>
        <w:rPr>
          <w:color w:val="231F20"/>
          <w:spacing w:val="-11"/>
          <w:w w:val="120"/>
        </w:rPr>
        <w:t> </w:t>
      </w:r>
      <w:r>
        <w:rPr>
          <w:color w:val="231F20"/>
          <w:spacing w:val="-2"/>
          <w:w w:val="120"/>
        </w:rPr>
        <w:t>conduit</w:t>
      </w:r>
      <w:r>
        <w:rPr>
          <w:color w:val="231F20"/>
          <w:spacing w:val="-11"/>
          <w:w w:val="120"/>
        </w:rPr>
        <w:t> </w:t>
      </w:r>
      <w:r>
        <w:rPr>
          <w:color w:val="231F20"/>
          <w:spacing w:val="-2"/>
          <w:w w:val="120"/>
        </w:rPr>
        <w:t>à</w:t>
      </w:r>
      <w:r>
        <w:rPr>
          <w:color w:val="231F20"/>
          <w:spacing w:val="-11"/>
          <w:w w:val="120"/>
        </w:rPr>
        <w:t> </w:t>
      </w:r>
      <w:r>
        <w:rPr>
          <w:color w:val="231F20"/>
          <w:spacing w:val="-2"/>
          <w:w w:val="120"/>
        </w:rPr>
        <w:t>la</w:t>
      </w:r>
      <w:r>
        <w:rPr>
          <w:color w:val="231F20"/>
          <w:spacing w:val="-10"/>
          <w:w w:val="120"/>
        </w:rPr>
        <w:t> </w:t>
      </w:r>
      <w:r>
        <w:rPr>
          <w:color w:val="231F20"/>
          <w:spacing w:val="-2"/>
          <w:w w:val="120"/>
        </w:rPr>
        <w:t>confiance</w:t>
      </w:r>
      <w:r>
        <w:rPr>
          <w:color w:val="231F20"/>
          <w:spacing w:val="-11"/>
          <w:w w:val="120"/>
        </w:rPr>
        <w:t> </w:t>
      </w:r>
      <w:r>
        <w:rPr>
          <w:color w:val="231F20"/>
          <w:spacing w:val="-2"/>
          <w:w w:val="120"/>
        </w:rPr>
        <w:t>en</w:t>
      </w:r>
      <w:r>
        <w:rPr>
          <w:color w:val="231F20"/>
          <w:spacing w:val="-11"/>
          <w:w w:val="120"/>
        </w:rPr>
        <w:t> </w:t>
      </w:r>
      <w:r>
        <w:rPr>
          <w:color w:val="231F20"/>
          <w:spacing w:val="-2"/>
          <w:w w:val="120"/>
        </w:rPr>
        <w:t>soi.</w:t>
      </w:r>
      <w:r>
        <w:rPr>
          <w:color w:val="231F20"/>
          <w:spacing w:val="-11"/>
          <w:w w:val="120"/>
        </w:rPr>
        <w:t> </w:t>
      </w:r>
      <w:r>
        <w:rPr>
          <w:color w:val="231F20"/>
          <w:spacing w:val="-2"/>
          <w:w w:val="120"/>
        </w:rPr>
        <w:t>Bien</w:t>
      </w:r>
      <w:r>
        <w:rPr>
          <w:color w:val="231F20"/>
          <w:spacing w:val="-10"/>
          <w:w w:val="120"/>
        </w:rPr>
        <w:t> </w:t>
      </w:r>
      <w:r>
        <w:rPr>
          <w:color w:val="231F20"/>
          <w:spacing w:val="-2"/>
          <w:w w:val="120"/>
        </w:rPr>
        <w:t>que</w:t>
      </w:r>
      <w:r>
        <w:rPr>
          <w:color w:val="231F20"/>
          <w:spacing w:val="-11"/>
          <w:w w:val="120"/>
        </w:rPr>
        <w:t> </w:t>
      </w:r>
      <w:r>
        <w:rPr>
          <w:color w:val="231F20"/>
          <w:spacing w:val="-2"/>
          <w:w w:val="120"/>
        </w:rPr>
        <w:t>toute</w:t>
      </w:r>
      <w:r>
        <w:rPr>
          <w:color w:val="231F20"/>
          <w:spacing w:val="-11"/>
          <w:w w:val="120"/>
        </w:rPr>
        <w:t> </w:t>
      </w:r>
      <w:r>
        <w:rPr>
          <w:color w:val="231F20"/>
          <w:spacing w:val="-2"/>
          <w:w w:val="120"/>
        </w:rPr>
        <w:t>réussite</w:t>
      </w:r>
      <w:r>
        <w:rPr>
          <w:color w:val="231F20"/>
          <w:spacing w:val="-11"/>
          <w:w w:val="120"/>
        </w:rPr>
        <w:t> </w:t>
      </w:r>
      <w:r>
        <w:rPr>
          <w:color w:val="231F20"/>
          <w:spacing w:val="-2"/>
          <w:w w:val="120"/>
        </w:rPr>
        <w:t>contribue</w:t>
      </w:r>
      <w:r>
        <w:rPr>
          <w:color w:val="231F20"/>
          <w:spacing w:val="-10"/>
          <w:w w:val="120"/>
        </w:rPr>
        <w:t> </w:t>
      </w:r>
      <w:r>
        <w:rPr>
          <w:color w:val="231F20"/>
          <w:spacing w:val="-2"/>
          <w:w w:val="120"/>
        </w:rPr>
        <w:t>à</w:t>
      </w:r>
      <w:r>
        <w:rPr>
          <w:color w:val="231F20"/>
          <w:spacing w:val="-11"/>
          <w:w w:val="120"/>
        </w:rPr>
        <w:t> </w:t>
      </w:r>
      <w:r>
        <w:rPr>
          <w:color w:val="231F20"/>
          <w:spacing w:val="-2"/>
          <w:w w:val="120"/>
        </w:rPr>
        <w:t>notre </w:t>
      </w:r>
      <w:r>
        <w:rPr>
          <w:color w:val="231F20"/>
          <w:w w:val="120"/>
        </w:rPr>
        <w:t>confiance globale, il est bien sûr possible d’être très confiant dans un domaine,</w:t>
      </w:r>
      <w:r>
        <w:rPr>
          <w:color w:val="231F20"/>
          <w:spacing w:val="-12"/>
          <w:w w:val="120"/>
        </w:rPr>
        <w:t> </w:t>
      </w:r>
      <w:r>
        <w:rPr>
          <w:color w:val="231F20"/>
          <w:w w:val="120"/>
        </w:rPr>
        <w:t>comme</w:t>
      </w:r>
      <w:r>
        <w:rPr>
          <w:color w:val="231F20"/>
          <w:spacing w:val="-12"/>
          <w:w w:val="120"/>
        </w:rPr>
        <w:t> </w:t>
      </w:r>
      <w:r>
        <w:rPr>
          <w:color w:val="231F20"/>
          <w:w w:val="120"/>
        </w:rPr>
        <w:t>la</w:t>
      </w:r>
      <w:r>
        <w:rPr>
          <w:color w:val="231F20"/>
          <w:spacing w:val="-12"/>
          <w:w w:val="120"/>
        </w:rPr>
        <w:t> </w:t>
      </w:r>
      <w:r>
        <w:rPr>
          <w:color w:val="231F20"/>
          <w:w w:val="120"/>
        </w:rPr>
        <w:t>cuisine</w:t>
      </w:r>
      <w:r>
        <w:rPr>
          <w:color w:val="231F20"/>
          <w:spacing w:val="-12"/>
          <w:w w:val="120"/>
        </w:rPr>
        <w:t> </w:t>
      </w:r>
      <w:r>
        <w:rPr>
          <w:color w:val="231F20"/>
          <w:w w:val="120"/>
        </w:rPr>
        <w:t>ou</w:t>
      </w:r>
      <w:r>
        <w:rPr>
          <w:color w:val="231F20"/>
          <w:spacing w:val="-12"/>
          <w:w w:val="120"/>
        </w:rPr>
        <w:t> </w:t>
      </w:r>
      <w:r>
        <w:rPr>
          <w:color w:val="231F20"/>
          <w:w w:val="120"/>
        </w:rPr>
        <w:t>la</w:t>
      </w:r>
      <w:r>
        <w:rPr>
          <w:color w:val="231F20"/>
          <w:spacing w:val="-12"/>
          <w:w w:val="120"/>
        </w:rPr>
        <w:t> </w:t>
      </w:r>
      <w:r>
        <w:rPr>
          <w:color w:val="231F20"/>
          <w:w w:val="120"/>
        </w:rPr>
        <w:t>danse,</w:t>
      </w:r>
      <w:r>
        <w:rPr>
          <w:color w:val="231F20"/>
          <w:spacing w:val="-12"/>
          <w:w w:val="120"/>
        </w:rPr>
        <w:t> </w:t>
      </w:r>
      <w:r>
        <w:rPr>
          <w:color w:val="231F20"/>
          <w:w w:val="120"/>
        </w:rPr>
        <w:t>mais</w:t>
      </w:r>
      <w:r>
        <w:rPr>
          <w:color w:val="231F20"/>
          <w:spacing w:val="-12"/>
          <w:w w:val="120"/>
        </w:rPr>
        <w:t> </w:t>
      </w:r>
      <w:r>
        <w:rPr>
          <w:color w:val="231F20"/>
          <w:w w:val="120"/>
        </w:rPr>
        <w:t>très</w:t>
      </w:r>
      <w:r>
        <w:rPr>
          <w:color w:val="231F20"/>
          <w:spacing w:val="-12"/>
          <w:w w:val="120"/>
        </w:rPr>
        <w:t> </w:t>
      </w:r>
      <w:r>
        <w:rPr>
          <w:color w:val="231F20"/>
          <w:w w:val="120"/>
        </w:rPr>
        <w:t>peu</w:t>
      </w:r>
      <w:r>
        <w:rPr>
          <w:color w:val="231F20"/>
          <w:spacing w:val="-12"/>
          <w:w w:val="120"/>
        </w:rPr>
        <w:t> </w:t>
      </w:r>
      <w:r>
        <w:rPr>
          <w:color w:val="231F20"/>
          <w:w w:val="120"/>
        </w:rPr>
        <w:t>sûr</w:t>
      </w:r>
      <w:r>
        <w:rPr>
          <w:color w:val="231F20"/>
          <w:spacing w:val="-12"/>
          <w:w w:val="120"/>
        </w:rPr>
        <w:t> </w:t>
      </w:r>
      <w:r>
        <w:rPr>
          <w:color w:val="231F20"/>
          <w:w w:val="120"/>
        </w:rPr>
        <w:t>dans</w:t>
      </w:r>
      <w:r>
        <w:rPr>
          <w:color w:val="231F20"/>
          <w:spacing w:val="-12"/>
          <w:w w:val="120"/>
        </w:rPr>
        <w:t> </w:t>
      </w:r>
      <w:r>
        <w:rPr>
          <w:color w:val="231F20"/>
          <w:w w:val="120"/>
        </w:rPr>
        <w:t>un</w:t>
      </w:r>
      <w:r>
        <w:rPr>
          <w:color w:val="231F20"/>
          <w:spacing w:val="-13"/>
          <w:w w:val="120"/>
        </w:rPr>
        <w:t> </w:t>
      </w:r>
      <w:r>
        <w:rPr>
          <w:color w:val="231F20"/>
          <w:w w:val="120"/>
        </w:rPr>
        <w:t>autre, comme les mathématiques ou les allocutions publiques.</w:t>
      </w:r>
    </w:p>
    <w:p>
      <w:pPr>
        <w:pStyle w:val="BodyText"/>
        <w:spacing w:line="307" w:lineRule="auto" w:before="79"/>
        <w:ind w:left="1219" w:right="105" w:firstLine="250"/>
        <w:jc w:val="both"/>
      </w:pPr>
      <w:r>
        <w:rPr>
          <w:color w:val="231F20"/>
          <w:w w:val="120"/>
        </w:rPr>
        <w:t>Pour</w:t>
      </w:r>
      <w:r>
        <w:rPr>
          <w:color w:val="231F20"/>
          <w:spacing w:val="-8"/>
          <w:w w:val="120"/>
        </w:rPr>
        <w:t> </w:t>
      </w:r>
      <w:r>
        <w:rPr>
          <w:color w:val="231F20"/>
          <w:w w:val="120"/>
        </w:rPr>
        <w:t>sa</w:t>
      </w:r>
      <w:r>
        <w:rPr>
          <w:color w:val="231F20"/>
          <w:spacing w:val="-8"/>
          <w:w w:val="120"/>
        </w:rPr>
        <w:t> </w:t>
      </w:r>
      <w:r>
        <w:rPr>
          <w:color w:val="231F20"/>
          <w:w w:val="120"/>
        </w:rPr>
        <w:t>part,</w:t>
      </w:r>
      <w:r>
        <w:rPr>
          <w:color w:val="231F20"/>
          <w:spacing w:val="-8"/>
          <w:w w:val="120"/>
        </w:rPr>
        <w:t> </w:t>
      </w:r>
      <w:r>
        <w:rPr>
          <w:color w:val="231F20"/>
          <w:w w:val="120"/>
        </w:rPr>
        <w:t>comme</w:t>
      </w:r>
      <w:r>
        <w:rPr>
          <w:color w:val="231F20"/>
          <w:spacing w:val="-8"/>
          <w:w w:val="120"/>
        </w:rPr>
        <w:t> </w:t>
      </w:r>
      <w:r>
        <w:rPr>
          <w:color w:val="231F20"/>
          <w:w w:val="120"/>
        </w:rPr>
        <w:t>nous</w:t>
      </w:r>
      <w:r>
        <w:rPr>
          <w:color w:val="231F20"/>
          <w:spacing w:val="-8"/>
          <w:w w:val="120"/>
        </w:rPr>
        <w:t> </w:t>
      </w:r>
      <w:r>
        <w:rPr>
          <w:color w:val="231F20"/>
          <w:w w:val="120"/>
        </w:rPr>
        <w:t>en</w:t>
      </w:r>
      <w:r>
        <w:rPr>
          <w:color w:val="231F20"/>
          <w:spacing w:val="-8"/>
          <w:w w:val="120"/>
        </w:rPr>
        <w:t> </w:t>
      </w:r>
      <w:r>
        <w:rPr>
          <w:color w:val="231F20"/>
          <w:w w:val="120"/>
        </w:rPr>
        <w:t>avons</w:t>
      </w:r>
      <w:r>
        <w:rPr>
          <w:color w:val="231F20"/>
          <w:spacing w:val="-8"/>
          <w:w w:val="120"/>
        </w:rPr>
        <w:t> </w:t>
      </w:r>
      <w:r>
        <w:rPr>
          <w:color w:val="231F20"/>
          <w:w w:val="120"/>
        </w:rPr>
        <w:t>discuté,</w:t>
      </w:r>
      <w:r>
        <w:rPr>
          <w:color w:val="231F20"/>
          <w:spacing w:val="-8"/>
          <w:w w:val="120"/>
        </w:rPr>
        <w:t> </w:t>
      </w:r>
      <w:r>
        <w:rPr>
          <w:color w:val="231F20"/>
          <w:w w:val="120"/>
        </w:rPr>
        <w:t>l’estime</w:t>
      </w:r>
      <w:r>
        <w:rPr>
          <w:color w:val="231F20"/>
          <w:spacing w:val="-8"/>
          <w:w w:val="120"/>
        </w:rPr>
        <w:t> </w:t>
      </w:r>
      <w:r>
        <w:rPr>
          <w:color w:val="231F20"/>
          <w:w w:val="120"/>
        </w:rPr>
        <w:t>de</w:t>
      </w:r>
      <w:r>
        <w:rPr>
          <w:color w:val="231F20"/>
          <w:spacing w:val="-8"/>
          <w:w w:val="120"/>
        </w:rPr>
        <w:t> </w:t>
      </w:r>
      <w:r>
        <w:rPr>
          <w:color w:val="231F20"/>
          <w:w w:val="120"/>
        </w:rPr>
        <w:t>soi</w:t>
      </w:r>
      <w:r>
        <w:rPr>
          <w:color w:val="231F20"/>
          <w:spacing w:val="-8"/>
          <w:w w:val="120"/>
        </w:rPr>
        <w:t> </w:t>
      </w:r>
      <w:r>
        <w:rPr>
          <w:color w:val="231F20"/>
          <w:w w:val="120"/>
        </w:rPr>
        <w:t>est</w:t>
      </w:r>
      <w:r>
        <w:rPr>
          <w:color w:val="231F20"/>
          <w:spacing w:val="-8"/>
          <w:w w:val="120"/>
        </w:rPr>
        <w:t> </w:t>
      </w:r>
      <w:r>
        <w:rPr>
          <w:color w:val="231F20"/>
          <w:w w:val="120"/>
        </w:rPr>
        <w:t>notre évaluation cognitive, et émotionnelle, de notre propre valeur. C’est la matrice à travers laquelle nous pensons, ressentons et agissons, et elle détermine</w:t>
      </w:r>
      <w:r>
        <w:rPr>
          <w:color w:val="231F20"/>
          <w:spacing w:val="-13"/>
          <w:w w:val="120"/>
        </w:rPr>
        <w:t> </w:t>
      </w:r>
      <w:r>
        <w:rPr>
          <w:color w:val="231F20"/>
          <w:w w:val="120"/>
        </w:rPr>
        <w:t>notre</w:t>
      </w:r>
      <w:r>
        <w:rPr>
          <w:color w:val="231F20"/>
          <w:spacing w:val="-13"/>
          <w:w w:val="120"/>
        </w:rPr>
        <w:t> </w:t>
      </w:r>
      <w:r>
        <w:rPr>
          <w:color w:val="231F20"/>
          <w:w w:val="120"/>
        </w:rPr>
        <w:t>relation</w:t>
      </w:r>
      <w:r>
        <w:rPr>
          <w:color w:val="231F20"/>
          <w:spacing w:val="-13"/>
          <w:w w:val="120"/>
        </w:rPr>
        <w:t> </w:t>
      </w:r>
      <w:r>
        <w:rPr>
          <w:color w:val="231F20"/>
          <w:w w:val="120"/>
        </w:rPr>
        <w:t>à</w:t>
      </w:r>
      <w:r>
        <w:rPr>
          <w:color w:val="231F20"/>
          <w:spacing w:val="-12"/>
          <w:w w:val="120"/>
        </w:rPr>
        <w:t> </w:t>
      </w:r>
      <w:r>
        <w:rPr>
          <w:color w:val="231F20"/>
          <w:w w:val="120"/>
        </w:rPr>
        <w:t>nous-même,</w:t>
      </w:r>
      <w:r>
        <w:rPr>
          <w:color w:val="231F20"/>
          <w:spacing w:val="-13"/>
          <w:w w:val="120"/>
        </w:rPr>
        <w:t> </w:t>
      </w:r>
      <w:r>
        <w:rPr>
          <w:color w:val="231F20"/>
          <w:w w:val="120"/>
        </w:rPr>
        <w:t>aux</w:t>
      </w:r>
      <w:r>
        <w:rPr>
          <w:color w:val="231F20"/>
          <w:spacing w:val="-13"/>
          <w:w w:val="120"/>
        </w:rPr>
        <w:t> </w:t>
      </w:r>
      <w:r>
        <w:rPr>
          <w:color w:val="231F20"/>
          <w:w w:val="120"/>
        </w:rPr>
        <w:t>autres</w:t>
      </w:r>
      <w:r>
        <w:rPr>
          <w:color w:val="231F20"/>
          <w:spacing w:val="-13"/>
          <w:w w:val="120"/>
        </w:rPr>
        <w:t> </w:t>
      </w:r>
      <w:r>
        <w:rPr>
          <w:color w:val="231F20"/>
          <w:w w:val="120"/>
        </w:rPr>
        <w:t>et</w:t>
      </w:r>
      <w:r>
        <w:rPr>
          <w:color w:val="231F20"/>
          <w:spacing w:val="-12"/>
          <w:w w:val="120"/>
        </w:rPr>
        <w:t> </w:t>
      </w:r>
      <w:r>
        <w:rPr>
          <w:color w:val="231F20"/>
          <w:w w:val="120"/>
        </w:rPr>
        <w:t>au</w:t>
      </w:r>
      <w:r>
        <w:rPr>
          <w:color w:val="231F20"/>
          <w:spacing w:val="-13"/>
          <w:w w:val="120"/>
        </w:rPr>
        <w:t> </w:t>
      </w:r>
      <w:r>
        <w:rPr>
          <w:color w:val="231F20"/>
          <w:w w:val="120"/>
        </w:rPr>
        <w:t>monde.</w:t>
      </w:r>
      <w:r>
        <w:rPr>
          <w:color w:val="231F20"/>
          <w:spacing w:val="-13"/>
          <w:w w:val="120"/>
        </w:rPr>
        <w:t> </w:t>
      </w:r>
      <w:r>
        <w:rPr>
          <w:color w:val="231F20"/>
          <w:w w:val="120"/>
        </w:rPr>
        <w:t>Les</w:t>
      </w:r>
      <w:r>
        <w:rPr>
          <w:color w:val="231F20"/>
          <w:spacing w:val="-13"/>
          <w:w w:val="120"/>
        </w:rPr>
        <w:t> </w:t>
      </w:r>
      <w:r>
        <w:rPr>
          <w:color w:val="231F20"/>
          <w:w w:val="120"/>
        </w:rPr>
        <w:t>per- sonnes</w:t>
      </w:r>
      <w:r>
        <w:rPr>
          <w:color w:val="231F20"/>
          <w:spacing w:val="-11"/>
          <w:w w:val="120"/>
        </w:rPr>
        <w:t> </w:t>
      </w:r>
      <w:r>
        <w:rPr>
          <w:color w:val="231F20"/>
          <w:w w:val="120"/>
        </w:rPr>
        <w:t>ayant</w:t>
      </w:r>
      <w:r>
        <w:rPr>
          <w:color w:val="231F20"/>
          <w:spacing w:val="-11"/>
          <w:w w:val="120"/>
        </w:rPr>
        <w:t> </w:t>
      </w:r>
      <w:r>
        <w:rPr>
          <w:color w:val="231F20"/>
          <w:w w:val="120"/>
        </w:rPr>
        <w:t>une</w:t>
      </w:r>
      <w:r>
        <w:rPr>
          <w:color w:val="231F20"/>
          <w:spacing w:val="-11"/>
          <w:w w:val="120"/>
        </w:rPr>
        <w:t> </w:t>
      </w:r>
      <w:r>
        <w:rPr>
          <w:color w:val="231F20"/>
          <w:w w:val="120"/>
        </w:rPr>
        <w:t>bonne</w:t>
      </w:r>
      <w:r>
        <w:rPr>
          <w:color w:val="231F20"/>
          <w:spacing w:val="-11"/>
          <w:w w:val="120"/>
        </w:rPr>
        <w:t> </w:t>
      </w:r>
      <w:r>
        <w:rPr>
          <w:color w:val="231F20"/>
          <w:w w:val="120"/>
        </w:rPr>
        <w:t>estime</w:t>
      </w:r>
      <w:r>
        <w:rPr>
          <w:color w:val="231F20"/>
          <w:spacing w:val="-11"/>
          <w:w w:val="120"/>
        </w:rPr>
        <w:t>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n’ont</w:t>
      </w:r>
      <w:r>
        <w:rPr>
          <w:color w:val="231F20"/>
          <w:spacing w:val="-11"/>
          <w:w w:val="120"/>
        </w:rPr>
        <w:t> </w:t>
      </w:r>
      <w:r>
        <w:rPr>
          <w:color w:val="231F20"/>
          <w:w w:val="120"/>
        </w:rPr>
        <w:t>pas</w:t>
      </w:r>
      <w:r>
        <w:rPr>
          <w:color w:val="231F20"/>
          <w:spacing w:val="-11"/>
          <w:w w:val="120"/>
        </w:rPr>
        <w:t> </w:t>
      </w:r>
      <w:r>
        <w:rPr>
          <w:color w:val="231F20"/>
          <w:w w:val="120"/>
        </w:rPr>
        <w:t>besoin</w:t>
      </w:r>
      <w:r>
        <w:rPr>
          <w:color w:val="231F20"/>
          <w:spacing w:val="-11"/>
          <w:w w:val="120"/>
        </w:rPr>
        <w:t> </w:t>
      </w:r>
      <w:r>
        <w:rPr>
          <w:color w:val="231F20"/>
          <w:w w:val="120"/>
        </w:rPr>
        <w:t>de</w:t>
      </w:r>
      <w:r>
        <w:rPr>
          <w:color w:val="231F20"/>
          <w:spacing w:val="-11"/>
          <w:w w:val="120"/>
        </w:rPr>
        <w:t> </w:t>
      </w:r>
      <w:r>
        <w:rPr>
          <w:color w:val="231F20"/>
          <w:w w:val="120"/>
        </w:rPr>
        <w:t>s’appuyer</w:t>
      </w:r>
      <w:r>
        <w:rPr>
          <w:color w:val="231F20"/>
          <w:spacing w:val="-11"/>
          <w:w w:val="120"/>
        </w:rPr>
        <w:t> </w:t>
      </w:r>
      <w:r>
        <w:rPr>
          <w:color w:val="231F20"/>
          <w:w w:val="120"/>
        </w:rPr>
        <w:t>sur des éléments externes tels que le revenu, le statut ou la notoriété pour exposer</w:t>
      </w:r>
      <w:r>
        <w:rPr>
          <w:color w:val="231F20"/>
          <w:spacing w:val="-13"/>
          <w:w w:val="120"/>
        </w:rPr>
        <w:t> </w:t>
      </w:r>
      <w:r>
        <w:rPr>
          <w:color w:val="231F20"/>
          <w:w w:val="120"/>
        </w:rPr>
        <w:t>leur</w:t>
      </w:r>
      <w:r>
        <w:rPr>
          <w:color w:val="231F20"/>
          <w:spacing w:val="-13"/>
          <w:w w:val="120"/>
        </w:rPr>
        <w:t> </w:t>
      </w:r>
      <w:r>
        <w:rPr>
          <w:color w:val="231F20"/>
          <w:w w:val="120"/>
        </w:rPr>
        <w:t>valeur.</w:t>
      </w:r>
      <w:r>
        <w:rPr>
          <w:color w:val="231F20"/>
          <w:spacing w:val="-13"/>
          <w:w w:val="120"/>
        </w:rPr>
        <w:t> </w:t>
      </w:r>
      <w:r>
        <w:rPr>
          <w:color w:val="231F20"/>
          <w:w w:val="120"/>
        </w:rPr>
        <w:t>Au</w:t>
      </w:r>
      <w:r>
        <w:rPr>
          <w:color w:val="231F20"/>
          <w:spacing w:val="-11"/>
          <w:w w:val="120"/>
        </w:rPr>
        <w:t> </w:t>
      </w:r>
      <w:r>
        <w:rPr>
          <w:color w:val="231F20"/>
          <w:w w:val="120"/>
        </w:rPr>
        <w:t>contraire,</w:t>
      </w:r>
      <w:r>
        <w:rPr>
          <w:color w:val="231F20"/>
          <w:spacing w:val="-12"/>
          <w:w w:val="120"/>
        </w:rPr>
        <w:t> </w:t>
      </w:r>
      <w:r>
        <w:rPr>
          <w:color w:val="231F20"/>
          <w:w w:val="120"/>
        </w:rPr>
        <w:t>ils</w:t>
      </w:r>
      <w:r>
        <w:rPr>
          <w:color w:val="231F20"/>
          <w:spacing w:val="-13"/>
          <w:w w:val="120"/>
        </w:rPr>
        <w:t> </w:t>
      </w:r>
      <w:r>
        <w:rPr>
          <w:color w:val="231F20"/>
          <w:w w:val="120"/>
        </w:rPr>
        <w:t>se</w:t>
      </w:r>
      <w:r>
        <w:rPr>
          <w:color w:val="231F20"/>
          <w:spacing w:val="-13"/>
          <w:w w:val="120"/>
        </w:rPr>
        <w:t> </w:t>
      </w:r>
      <w:r>
        <w:rPr>
          <w:color w:val="231F20"/>
          <w:w w:val="120"/>
        </w:rPr>
        <w:t>traitent</w:t>
      </w:r>
      <w:r>
        <w:rPr>
          <w:color w:val="231F20"/>
          <w:spacing w:val="-12"/>
          <w:w w:val="120"/>
        </w:rPr>
        <w:t> </w:t>
      </w:r>
      <w:r>
        <w:rPr>
          <w:color w:val="231F20"/>
          <w:w w:val="120"/>
        </w:rPr>
        <w:t>avec</w:t>
      </w:r>
      <w:r>
        <w:rPr>
          <w:color w:val="231F20"/>
          <w:spacing w:val="-13"/>
          <w:w w:val="120"/>
        </w:rPr>
        <w:t> </w:t>
      </w:r>
      <w:r>
        <w:rPr>
          <w:color w:val="231F20"/>
          <w:w w:val="120"/>
        </w:rPr>
        <w:t>respect</w:t>
      </w:r>
      <w:r>
        <w:rPr>
          <w:color w:val="231F20"/>
          <w:spacing w:val="-11"/>
          <w:w w:val="120"/>
        </w:rPr>
        <w:t> </w:t>
      </w:r>
      <w:r>
        <w:rPr>
          <w:color w:val="231F20"/>
          <w:w w:val="120"/>
        </w:rPr>
        <w:t>et</w:t>
      </w:r>
      <w:r>
        <w:rPr>
          <w:color w:val="231F20"/>
          <w:spacing w:val="-13"/>
          <w:w w:val="120"/>
        </w:rPr>
        <w:t> </w:t>
      </w:r>
      <w:r>
        <w:rPr>
          <w:color w:val="231F20"/>
          <w:w w:val="120"/>
        </w:rPr>
        <w:t>prennent </w:t>
      </w:r>
      <w:r>
        <w:rPr>
          <w:color w:val="231F20"/>
          <w:spacing w:val="-2"/>
          <w:w w:val="120"/>
        </w:rPr>
        <w:t>soin</w:t>
      </w:r>
      <w:r>
        <w:rPr>
          <w:color w:val="231F20"/>
          <w:spacing w:val="-13"/>
          <w:w w:val="120"/>
        </w:rPr>
        <w:t> </w:t>
      </w:r>
      <w:r>
        <w:rPr>
          <w:color w:val="231F20"/>
          <w:spacing w:val="-2"/>
          <w:w w:val="120"/>
        </w:rPr>
        <w:t>de</w:t>
      </w:r>
      <w:r>
        <w:rPr>
          <w:color w:val="231F20"/>
          <w:spacing w:val="-11"/>
          <w:w w:val="120"/>
        </w:rPr>
        <w:t> </w:t>
      </w:r>
      <w:r>
        <w:rPr>
          <w:color w:val="231F20"/>
          <w:spacing w:val="-2"/>
          <w:w w:val="120"/>
        </w:rPr>
        <w:t>leur</w:t>
      </w:r>
      <w:r>
        <w:rPr>
          <w:color w:val="231F20"/>
          <w:spacing w:val="-11"/>
          <w:w w:val="120"/>
        </w:rPr>
        <w:t> </w:t>
      </w:r>
      <w:r>
        <w:rPr>
          <w:color w:val="231F20"/>
          <w:spacing w:val="-2"/>
          <w:w w:val="120"/>
        </w:rPr>
        <w:t>santé,</w:t>
      </w:r>
      <w:r>
        <w:rPr>
          <w:color w:val="231F20"/>
          <w:spacing w:val="-10"/>
          <w:w w:val="120"/>
        </w:rPr>
        <w:t> </w:t>
      </w:r>
      <w:r>
        <w:rPr>
          <w:color w:val="231F20"/>
          <w:spacing w:val="-2"/>
          <w:w w:val="120"/>
        </w:rPr>
        <w:t>de</w:t>
      </w:r>
      <w:r>
        <w:rPr>
          <w:color w:val="231F20"/>
          <w:spacing w:val="-11"/>
          <w:w w:val="120"/>
        </w:rPr>
        <w:t> </w:t>
      </w:r>
      <w:r>
        <w:rPr>
          <w:color w:val="231F20"/>
          <w:spacing w:val="-2"/>
          <w:w w:val="120"/>
        </w:rPr>
        <w:t>leur</w:t>
      </w:r>
      <w:r>
        <w:rPr>
          <w:color w:val="231F20"/>
          <w:spacing w:val="-11"/>
          <w:w w:val="120"/>
        </w:rPr>
        <w:t> </w:t>
      </w:r>
      <w:r>
        <w:rPr>
          <w:color w:val="231F20"/>
          <w:spacing w:val="-2"/>
          <w:w w:val="120"/>
        </w:rPr>
        <w:t>communauté</w:t>
      </w:r>
      <w:r>
        <w:rPr>
          <w:color w:val="231F20"/>
          <w:spacing w:val="-11"/>
          <w:w w:val="120"/>
        </w:rPr>
        <w:t> </w:t>
      </w:r>
      <w:r>
        <w:rPr>
          <w:color w:val="231F20"/>
          <w:spacing w:val="-2"/>
          <w:w w:val="120"/>
        </w:rPr>
        <w:t>et</w:t>
      </w:r>
      <w:r>
        <w:rPr>
          <w:color w:val="231F20"/>
          <w:spacing w:val="-10"/>
          <w:w w:val="120"/>
        </w:rPr>
        <w:t> </w:t>
      </w:r>
      <w:r>
        <w:rPr>
          <w:color w:val="231F20"/>
          <w:spacing w:val="-2"/>
          <w:w w:val="120"/>
        </w:rPr>
        <w:t>de</w:t>
      </w:r>
      <w:r>
        <w:rPr>
          <w:color w:val="231F20"/>
          <w:spacing w:val="-11"/>
          <w:w w:val="120"/>
        </w:rPr>
        <w:t> </w:t>
      </w:r>
      <w:r>
        <w:rPr>
          <w:color w:val="231F20"/>
          <w:spacing w:val="-2"/>
          <w:w w:val="120"/>
        </w:rPr>
        <w:t>leur</w:t>
      </w:r>
      <w:r>
        <w:rPr>
          <w:color w:val="231F20"/>
          <w:spacing w:val="-11"/>
          <w:w w:val="120"/>
        </w:rPr>
        <w:t> </w:t>
      </w:r>
      <w:r>
        <w:rPr>
          <w:color w:val="231F20"/>
          <w:spacing w:val="-2"/>
          <w:w w:val="120"/>
        </w:rPr>
        <w:t>environnement.</w:t>
      </w:r>
      <w:r>
        <w:rPr>
          <w:color w:val="231F20"/>
          <w:spacing w:val="-11"/>
          <w:w w:val="120"/>
        </w:rPr>
        <w:t> </w:t>
      </w:r>
      <w:r>
        <w:rPr>
          <w:color w:val="231F20"/>
          <w:spacing w:val="-2"/>
          <w:w w:val="120"/>
        </w:rPr>
        <w:t>Ils</w:t>
      </w:r>
      <w:r>
        <w:rPr>
          <w:color w:val="231F20"/>
          <w:spacing w:val="-10"/>
          <w:w w:val="120"/>
        </w:rPr>
        <w:t> </w:t>
      </w:r>
      <w:r>
        <w:rPr>
          <w:color w:val="231F20"/>
          <w:spacing w:val="-2"/>
          <w:w w:val="120"/>
        </w:rPr>
        <w:t>sont capables</w:t>
      </w:r>
      <w:r>
        <w:rPr>
          <w:color w:val="231F20"/>
          <w:spacing w:val="-5"/>
          <w:w w:val="120"/>
        </w:rPr>
        <w:t> </w:t>
      </w:r>
      <w:r>
        <w:rPr>
          <w:color w:val="231F20"/>
          <w:spacing w:val="-2"/>
          <w:w w:val="120"/>
        </w:rPr>
        <w:t>de</w:t>
      </w:r>
      <w:r>
        <w:rPr>
          <w:color w:val="231F20"/>
          <w:spacing w:val="-5"/>
          <w:w w:val="120"/>
        </w:rPr>
        <w:t> </w:t>
      </w:r>
      <w:r>
        <w:rPr>
          <w:color w:val="231F20"/>
          <w:spacing w:val="-2"/>
          <w:w w:val="120"/>
        </w:rPr>
        <w:t>s’investir</w:t>
      </w:r>
      <w:r>
        <w:rPr>
          <w:color w:val="231F20"/>
          <w:spacing w:val="-5"/>
          <w:w w:val="120"/>
        </w:rPr>
        <w:t> </w:t>
      </w:r>
      <w:r>
        <w:rPr>
          <w:color w:val="231F20"/>
          <w:spacing w:val="-2"/>
          <w:w w:val="120"/>
        </w:rPr>
        <w:t>totalement</w:t>
      </w:r>
      <w:r>
        <w:rPr>
          <w:color w:val="231F20"/>
          <w:spacing w:val="-5"/>
          <w:w w:val="120"/>
        </w:rPr>
        <w:t> </w:t>
      </w:r>
      <w:r>
        <w:rPr>
          <w:color w:val="231F20"/>
          <w:spacing w:val="-2"/>
          <w:w w:val="120"/>
        </w:rPr>
        <w:t>dans</w:t>
      </w:r>
      <w:r>
        <w:rPr>
          <w:color w:val="231F20"/>
          <w:spacing w:val="-5"/>
          <w:w w:val="120"/>
        </w:rPr>
        <w:t> </w:t>
      </w:r>
      <w:r>
        <w:rPr>
          <w:color w:val="231F20"/>
          <w:spacing w:val="-2"/>
          <w:w w:val="120"/>
        </w:rPr>
        <w:t>des</w:t>
      </w:r>
      <w:r>
        <w:rPr>
          <w:color w:val="231F20"/>
          <w:spacing w:val="-5"/>
          <w:w w:val="120"/>
        </w:rPr>
        <w:t> </w:t>
      </w:r>
      <w:r>
        <w:rPr>
          <w:color w:val="231F20"/>
          <w:spacing w:val="-2"/>
          <w:w w:val="120"/>
        </w:rPr>
        <w:t>projets</w:t>
      </w:r>
      <w:r>
        <w:rPr>
          <w:color w:val="231F20"/>
          <w:spacing w:val="-5"/>
          <w:w w:val="120"/>
        </w:rPr>
        <w:t> </w:t>
      </w:r>
      <w:r>
        <w:rPr>
          <w:color w:val="231F20"/>
          <w:spacing w:val="-2"/>
          <w:w w:val="120"/>
        </w:rPr>
        <w:t>et</w:t>
      </w:r>
      <w:r>
        <w:rPr>
          <w:color w:val="231F20"/>
          <w:spacing w:val="-5"/>
          <w:w w:val="120"/>
        </w:rPr>
        <w:t> </w:t>
      </w:r>
      <w:r>
        <w:rPr>
          <w:color w:val="231F20"/>
          <w:spacing w:val="-2"/>
          <w:w w:val="120"/>
        </w:rPr>
        <w:t>avec</w:t>
      </w:r>
      <w:r>
        <w:rPr>
          <w:color w:val="231F20"/>
          <w:spacing w:val="-5"/>
          <w:w w:val="120"/>
        </w:rPr>
        <w:t> </w:t>
      </w:r>
      <w:r>
        <w:rPr>
          <w:color w:val="231F20"/>
          <w:spacing w:val="-2"/>
          <w:w w:val="120"/>
        </w:rPr>
        <w:t>des</w:t>
      </w:r>
      <w:r>
        <w:rPr>
          <w:color w:val="231F20"/>
          <w:spacing w:val="-5"/>
          <w:w w:val="120"/>
        </w:rPr>
        <w:t> </w:t>
      </w:r>
      <w:r>
        <w:rPr>
          <w:color w:val="231F20"/>
          <w:spacing w:val="-2"/>
          <w:w w:val="120"/>
        </w:rPr>
        <w:t>personnes, </w:t>
      </w:r>
      <w:r>
        <w:rPr>
          <w:color w:val="231F20"/>
          <w:w w:val="120"/>
        </w:rPr>
        <w:t>car</w:t>
      </w:r>
      <w:r>
        <w:rPr>
          <w:color w:val="231F20"/>
          <w:spacing w:val="-12"/>
          <w:w w:val="120"/>
        </w:rPr>
        <w:t> </w:t>
      </w:r>
      <w:r>
        <w:rPr>
          <w:color w:val="231F20"/>
          <w:w w:val="120"/>
        </w:rPr>
        <w:t>ils</w:t>
      </w:r>
      <w:r>
        <w:rPr>
          <w:color w:val="231F20"/>
          <w:spacing w:val="-12"/>
          <w:w w:val="120"/>
        </w:rPr>
        <w:t> </w:t>
      </w:r>
      <w:r>
        <w:rPr>
          <w:color w:val="231F20"/>
          <w:w w:val="120"/>
        </w:rPr>
        <w:t>ne</w:t>
      </w:r>
      <w:r>
        <w:rPr>
          <w:color w:val="231F20"/>
          <w:spacing w:val="-12"/>
          <w:w w:val="120"/>
        </w:rPr>
        <w:t> </w:t>
      </w:r>
      <w:r>
        <w:rPr>
          <w:color w:val="231F20"/>
          <w:w w:val="120"/>
        </w:rPr>
        <w:t>craignent</w:t>
      </w:r>
      <w:r>
        <w:rPr>
          <w:color w:val="231F20"/>
          <w:spacing w:val="-12"/>
          <w:w w:val="120"/>
        </w:rPr>
        <w:t> </w:t>
      </w:r>
      <w:r>
        <w:rPr>
          <w:color w:val="231F20"/>
          <w:w w:val="120"/>
        </w:rPr>
        <w:t>ni</w:t>
      </w:r>
      <w:r>
        <w:rPr>
          <w:color w:val="231F20"/>
          <w:spacing w:val="-12"/>
          <w:w w:val="120"/>
        </w:rPr>
        <w:t> </w:t>
      </w:r>
      <w:r>
        <w:rPr>
          <w:color w:val="231F20"/>
          <w:w w:val="120"/>
        </w:rPr>
        <w:t>l’échec</w:t>
      </w:r>
      <w:r>
        <w:rPr>
          <w:color w:val="231F20"/>
          <w:spacing w:val="-12"/>
          <w:w w:val="120"/>
        </w:rPr>
        <w:t> </w:t>
      </w:r>
      <w:r>
        <w:rPr>
          <w:color w:val="231F20"/>
          <w:w w:val="120"/>
        </w:rPr>
        <w:t>ni</w:t>
      </w:r>
      <w:r>
        <w:rPr>
          <w:color w:val="231F20"/>
          <w:spacing w:val="-12"/>
          <w:w w:val="120"/>
        </w:rPr>
        <w:t> </w:t>
      </w:r>
      <w:r>
        <w:rPr>
          <w:color w:val="231F20"/>
          <w:w w:val="120"/>
        </w:rPr>
        <w:t>le</w:t>
      </w:r>
      <w:r>
        <w:rPr>
          <w:color w:val="231F20"/>
          <w:spacing w:val="-12"/>
          <w:w w:val="120"/>
        </w:rPr>
        <w:t> </w:t>
      </w:r>
      <w:r>
        <w:rPr>
          <w:color w:val="231F20"/>
          <w:w w:val="120"/>
        </w:rPr>
        <w:t>rejet.</w:t>
      </w:r>
      <w:r>
        <w:rPr>
          <w:color w:val="231F20"/>
          <w:spacing w:val="-12"/>
          <w:w w:val="120"/>
        </w:rPr>
        <w:t> </w:t>
      </w:r>
      <w:r>
        <w:rPr>
          <w:color w:val="231F20"/>
          <w:w w:val="120"/>
        </w:rPr>
        <w:t>La</w:t>
      </w:r>
      <w:r>
        <w:rPr>
          <w:color w:val="231F20"/>
          <w:spacing w:val="-12"/>
          <w:w w:val="120"/>
        </w:rPr>
        <w:t> </w:t>
      </w:r>
      <w:r>
        <w:rPr>
          <w:color w:val="231F20"/>
          <w:w w:val="120"/>
        </w:rPr>
        <w:t>recherche</w:t>
      </w:r>
      <w:r>
        <w:rPr>
          <w:color w:val="231F20"/>
          <w:spacing w:val="-12"/>
          <w:w w:val="120"/>
        </w:rPr>
        <w:t> </w:t>
      </w:r>
      <w:r>
        <w:rPr>
          <w:color w:val="231F20"/>
          <w:w w:val="120"/>
        </w:rPr>
        <w:t>fait</w:t>
      </w:r>
      <w:r>
        <w:rPr>
          <w:color w:val="231F20"/>
          <w:spacing w:val="-12"/>
          <w:w w:val="120"/>
        </w:rPr>
        <w:t> </w:t>
      </w:r>
      <w:r>
        <w:rPr>
          <w:color w:val="231F20"/>
          <w:w w:val="120"/>
        </w:rPr>
        <w:t>état</w:t>
      </w:r>
      <w:r>
        <w:rPr>
          <w:color w:val="231F20"/>
          <w:spacing w:val="-12"/>
          <w:w w:val="120"/>
        </w:rPr>
        <w:t> </w:t>
      </w:r>
      <w:r>
        <w:rPr>
          <w:color w:val="231F20"/>
          <w:w w:val="120"/>
        </w:rPr>
        <w:t>que</w:t>
      </w:r>
      <w:r>
        <w:rPr>
          <w:color w:val="231F20"/>
          <w:spacing w:val="-12"/>
          <w:w w:val="120"/>
        </w:rPr>
        <w:t> </w:t>
      </w:r>
      <w:r>
        <w:rPr>
          <w:color w:val="231F20"/>
          <w:w w:val="120"/>
        </w:rPr>
        <w:t>l’éta- </w:t>
      </w:r>
      <w:r>
        <w:rPr>
          <w:color w:val="231F20"/>
          <w:spacing w:val="-2"/>
          <w:w w:val="120"/>
        </w:rPr>
        <w:t>blissement</w:t>
      </w:r>
      <w:r>
        <w:rPr>
          <w:color w:val="231F20"/>
          <w:spacing w:val="-9"/>
          <w:w w:val="120"/>
        </w:rPr>
        <w:t> </w:t>
      </w:r>
      <w:r>
        <w:rPr>
          <w:color w:val="231F20"/>
          <w:spacing w:val="-2"/>
          <w:w w:val="120"/>
        </w:rPr>
        <w:t>d’un</w:t>
      </w:r>
      <w:r>
        <w:rPr>
          <w:color w:val="231F20"/>
          <w:spacing w:val="-9"/>
          <w:w w:val="120"/>
        </w:rPr>
        <w:t> </w:t>
      </w:r>
      <w:r>
        <w:rPr>
          <w:color w:val="231F20"/>
          <w:spacing w:val="-2"/>
          <w:w w:val="120"/>
        </w:rPr>
        <w:t>niveau</w:t>
      </w:r>
      <w:r>
        <w:rPr>
          <w:color w:val="231F20"/>
          <w:spacing w:val="-9"/>
          <w:w w:val="120"/>
        </w:rPr>
        <w:t> </w:t>
      </w:r>
      <w:r>
        <w:rPr>
          <w:color w:val="231F20"/>
          <w:spacing w:val="-2"/>
          <w:w w:val="120"/>
        </w:rPr>
        <w:t>élevé/sain</w:t>
      </w:r>
      <w:r>
        <w:rPr>
          <w:color w:val="231F20"/>
          <w:spacing w:val="-9"/>
          <w:w w:val="120"/>
        </w:rPr>
        <w:t> </w:t>
      </w:r>
      <w:r>
        <w:rPr>
          <w:color w:val="231F20"/>
          <w:spacing w:val="-2"/>
          <w:w w:val="120"/>
        </w:rPr>
        <w:t>d’estime</w:t>
      </w:r>
      <w:r>
        <w:rPr>
          <w:color w:val="231F20"/>
          <w:spacing w:val="-9"/>
          <w:w w:val="120"/>
        </w:rPr>
        <w:t> </w:t>
      </w:r>
      <w:r>
        <w:rPr>
          <w:color w:val="231F20"/>
          <w:spacing w:val="-2"/>
          <w:w w:val="120"/>
        </w:rPr>
        <w:t>de</w:t>
      </w:r>
      <w:r>
        <w:rPr>
          <w:color w:val="231F20"/>
          <w:spacing w:val="-9"/>
          <w:w w:val="120"/>
        </w:rPr>
        <w:t> </w:t>
      </w:r>
      <w:r>
        <w:rPr>
          <w:color w:val="231F20"/>
          <w:spacing w:val="-2"/>
          <w:w w:val="120"/>
        </w:rPr>
        <w:t>soi</w:t>
      </w:r>
      <w:r>
        <w:rPr>
          <w:color w:val="231F20"/>
          <w:spacing w:val="-9"/>
          <w:w w:val="120"/>
        </w:rPr>
        <w:t> </w:t>
      </w:r>
      <w:r>
        <w:rPr>
          <w:color w:val="231F20"/>
          <w:spacing w:val="-2"/>
          <w:w w:val="120"/>
        </w:rPr>
        <w:t>conduit</w:t>
      </w:r>
      <w:r>
        <w:rPr>
          <w:color w:val="231F20"/>
          <w:spacing w:val="-9"/>
          <w:w w:val="120"/>
        </w:rPr>
        <w:t> </w:t>
      </w:r>
      <w:r>
        <w:rPr>
          <w:color w:val="231F20"/>
          <w:spacing w:val="-2"/>
          <w:w w:val="120"/>
        </w:rPr>
        <w:t>à</w:t>
      </w:r>
      <w:r>
        <w:rPr>
          <w:color w:val="231F20"/>
          <w:spacing w:val="-9"/>
          <w:w w:val="120"/>
        </w:rPr>
        <w:t> </w:t>
      </w:r>
      <w:r>
        <w:rPr>
          <w:color w:val="231F20"/>
          <w:spacing w:val="-2"/>
          <w:w w:val="120"/>
        </w:rPr>
        <w:t>la</w:t>
      </w:r>
      <w:r>
        <w:rPr>
          <w:color w:val="231F20"/>
          <w:spacing w:val="-9"/>
          <w:w w:val="120"/>
        </w:rPr>
        <w:t> </w:t>
      </w:r>
      <w:r>
        <w:rPr>
          <w:color w:val="231F20"/>
          <w:spacing w:val="-2"/>
          <w:w w:val="120"/>
        </w:rPr>
        <w:t>résilience, </w:t>
      </w:r>
      <w:r>
        <w:rPr>
          <w:color w:val="231F20"/>
          <w:w w:val="120"/>
        </w:rPr>
        <w:t>de</w:t>
      </w:r>
      <w:r>
        <w:rPr>
          <w:color w:val="231F20"/>
          <w:spacing w:val="-9"/>
          <w:w w:val="120"/>
        </w:rPr>
        <w:t> </w:t>
      </w:r>
      <w:r>
        <w:rPr>
          <w:color w:val="231F20"/>
          <w:w w:val="120"/>
        </w:rPr>
        <w:t>sorte</w:t>
      </w:r>
      <w:r>
        <w:rPr>
          <w:color w:val="231F20"/>
          <w:spacing w:val="-9"/>
          <w:w w:val="120"/>
        </w:rPr>
        <w:t> </w:t>
      </w:r>
      <w:r>
        <w:rPr>
          <w:color w:val="231F20"/>
          <w:w w:val="120"/>
        </w:rPr>
        <w:t>que</w:t>
      </w:r>
      <w:r>
        <w:rPr>
          <w:color w:val="231F20"/>
          <w:spacing w:val="-9"/>
          <w:w w:val="120"/>
        </w:rPr>
        <w:t> </w:t>
      </w:r>
      <w:r>
        <w:rPr>
          <w:color w:val="231F20"/>
          <w:w w:val="120"/>
        </w:rPr>
        <w:t>ces</w:t>
      </w:r>
      <w:r>
        <w:rPr>
          <w:color w:val="231F20"/>
          <w:spacing w:val="-9"/>
          <w:w w:val="120"/>
        </w:rPr>
        <w:t> </w:t>
      </w:r>
      <w:r>
        <w:rPr>
          <w:color w:val="231F20"/>
          <w:w w:val="120"/>
        </w:rPr>
        <w:t>personnes</w:t>
      </w:r>
      <w:r>
        <w:rPr>
          <w:color w:val="231F20"/>
          <w:spacing w:val="-9"/>
          <w:w w:val="120"/>
        </w:rPr>
        <w:t> </w:t>
      </w:r>
      <w:r>
        <w:rPr>
          <w:color w:val="231F20"/>
          <w:w w:val="120"/>
        </w:rPr>
        <w:t>sont</w:t>
      </w:r>
      <w:r>
        <w:rPr>
          <w:color w:val="231F20"/>
          <w:spacing w:val="-9"/>
          <w:w w:val="120"/>
        </w:rPr>
        <w:t> </w:t>
      </w:r>
      <w:r>
        <w:rPr>
          <w:color w:val="231F20"/>
          <w:w w:val="120"/>
        </w:rPr>
        <w:t>ouvertes</w:t>
      </w:r>
      <w:r>
        <w:rPr>
          <w:color w:val="231F20"/>
          <w:spacing w:val="-9"/>
          <w:w w:val="120"/>
        </w:rPr>
        <w:t> </w:t>
      </w:r>
      <w:r>
        <w:rPr>
          <w:color w:val="231F20"/>
          <w:w w:val="120"/>
        </w:rPr>
        <w:t>aux</w:t>
      </w:r>
      <w:r>
        <w:rPr>
          <w:color w:val="231F20"/>
          <w:spacing w:val="-9"/>
          <w:w w:val="120"/>
        </w:rPr>
        <w:t> </w:t>
      </w:r>
      <w:r>
        <w:rPr>
          <w:color w:val="231F20"/>
          <w:w w:val="120"/>
        </w:rPr>
        <w:t>expériences</w:t>
      </w:r>
      <w:r>
        <w:rPr>
          <w:color w:val="231F20"/>
          <w:spacing w:val="-9"/>
          <w:w w:val="120"/>
        </w:rPr>
        <w:t> </w:t>
      </w:r>
      <w:r>
        <w:rPr>
          <w:color w:val="231F20"/>
          <w:w w:val="120"/>
        </w:rPr>
        <w:t>de</w:t>
      </w:r>
      <w:r>
        <w:rPr>
          <w:color w:val="231F20"/>
          <w:spacing w:val="-9"/>
          <w:w w:val="120"/>
        </w:rPr>
        <w:t> </w:t>
      </w:r>
      <w:r>
        <w:rPr>
          <w:color w:val="231F20"/>
          <w:w w:val="120"/>
        </w:rPr>
        <w:t>croissance et</w:t>
      </w:r>
      <w:r>
        <w:rPr>
          <w:color w:val="231F20"/>
          <w:spacing w:val="-1"/>
          <w:w w:val="120"/>
        </w:rPr>
        <w:t> </w:t>
      </w:r>
      <w:r>
        <w:rPr>
          <w:color w:val="231F20"/>
          <w:w w:val="120"/>
        </w:rPr>
        <w:t>aux</w:t>
      </w:r>
      <w:r>
        <w:rPr>
          <w:color w:val="231F20"/>
          <w:spacing w:val="-1"/>
          <w:w w:val="120"/>
        </w:rPr>
        <w:t> </w:t>
      </w:r>
      <w:r>
        <w:rPr>
          <w:color w:val="231F20"/>
          <w:w w:val="120"/>
        </w:rPr>
        <w:t>relations</w:t>
      </w:r>
      <w:r>
        <w:rPr>
          <w:color w:val="231F20"/>
          <w:spacing w:val="-1"/>
          <w:w w:val="120"/>
        </w:rPr>
        <w:t> </w:t>
      </w:r>
      <w:r>
        <w:rPr>
          <w:color w:val="231F20"/>
          <w:w w:val="120"/>
        </w:rPr>
        <w:t>significatives;</w:t>
      </w:r>
      <w:r>
        <w:rPr>
          <w:color w:val="231F20"/>
          <w:spacing w:val="-1"/>
          <w:w w:val="120"/>
        </w:rPr>
        <w:t> </w:t>
      </w:r>
      <w:r>
        <w:rPr>
          <w:color w:val="231F20"/>
          <w:w w:val="120"/>
        </w:rPr>
        <w:t>elles</w:t>
      </w:r>
      <w:r>
        <w:rPr>
          <w:color w:val="231F20"/>
          <w:spacing w:val="-1"/>
          <w:w w:val="120"/>
        </w:rPr>
        <w:t> </w:t>
      </w:r>
      <w:r>
        <w:rPr>
          <w:color w:val="231F20"/>
          <w:w w:val="120"/>
        </w:rPr>
        <w:t>sont</w:t>
      </w:r>
      <w:r>
        <w:rPr>
          <w:color w:val="231F20"/>
          <w:spacing w:val="-1"/>
          <w:w w:val="120"/>
        </w:rPr>
        <w:t> </w:t>
      </w:r>
      <w:r>
        <w:rPr>
          <w:color w:val="231F20"/>
          <w:w w:val="120"/>
        </w:rPr>
        <w:t>également</w:t>
      </w:r>
      <w:r>
        <w:rPr>
          <w:color w:val="231F20"/>
          <w:spacing w:val="-1"/>
          <w:w w:val="120"/>
        </w:rPr>
        <w:t> </w:t>
      </w:r>
      <w:r>
        <w:rPr>
          <w:color w:val="231F20"/>
          <w:w w:val="120"/>
        </w:rPr>
        <w:t>plus</w:t>
      </w:r>
      <w:r>
        <w:rPr>
          <w:color w:val="231F20"/>
          <w:spacing w:val="-1"/>
          <w:w w:val="120"/>
        </w:rPr>
        <w:t> </w:t>
      </w:r>
      <w:r>
        <w:rPr>
          <w:color w:val="231F20"/>
          <w:w w:val="120"/>
        </w:rPr>
        <w:t>tolérantes</w:t>
      </w:r>
      <w:r>
        <w:rPr>
          <w:color w:val="231F20"/>
          <w:spacing w:val="-1"/>
          <w:w w:val="120"/>
        </w:rPr>
        <w:t> </w:t>
      </w:r>
      <w:r>
        <w:rPr>
          <w:color w:val="231F20"/>
          <w:w w:val="120"/>
        </w:rPr>
        <w:t>à</w:t>
      </w:r>
      <w:r>
        <w:rPr>
          <w:color w:val="231F20"/>
          <w:spacing w:val="-1"/>
          <w:w w:val="120"/>
        </w:rPr>
        <w:t> </w:t>
      </w:r>
      <w:r>
        <w:rPr>
          <w:color w:val="231F20"/>
          <w:w w:val="120"/>
        </w:rPr>
        <w:t>la prise de risque et sont promptes à la joie et à l’enthousiasme.</w:t>
      </w:r>
    </w:p>
    <w:p>
      <w:pPr>
        <w:pStyle w:val="BodyText"/>
        <w:spacing w:line="307" w:lineRule="auto" w:before="77"/>
        <w:ind w:left="1219" w:right="106" w:firstLine="250"/>
        <w:jc w:val="both"/>
      </w:pPr>
      <w:r>
        <w:rPr>
          <w:color w:val="231F20"/>
          <w:w w:val="115"/>
        </w:rPr>
        <w:t>Les gens, comme les systèmes sociaux, sont plus susceptibles </w:t>
      </w:r>
      <w:r>
        <w:rPr>
          <w:color w:val="231F20"/>
          <w:w w:val="115"/>
        </w:rPr>
        <w:t>d’avoir </w:t>
      </w:r>
      <w:r>
        <w:rPr>
          <w:color w:val="231F20"/>
          <w:w w:val="120"/>
        </w:rPr>
        <w:t>confiance</w:t>
      </w:r>
      <w:r>
        <w:rPr>
          <w:color w:val="231F20"/>
          <w:spacing w:val="-11"/>
          <w:w w:val="120"/>
        </w:rPr>
        <w:t> </w:t>
      </w:r>
      <w:r>
        <w:rPr>
          <w:color w:val="231F20"/>
          <w:w w:val="120"/>
        </w:rPr>
        <w:t>en</w:t>
      </w:r>
      <w:r>
        <w:rPr>
          <w:color w:val="231F20"/>
          <w:spacing w:val="-11"/>
          <w:w w:val="120"/>
        </w:rPr>
        <w:t> </w:t>
      </w:r>
      <w:r>
        <w:rPr>
          <w:color w:val="231F20"/>
          <w:w w:val="120"/>
        </w:rPr>
        <w:t>autrui</w:t>
      </w:r>
      <w:r>
        <w:rPr>
          <w:color w:val="231F20"/>
          <w:spacing w:val="-11"/>
          <w:w w:val="120"/>
        </w:rPr>
        <w:t> </w:t>
      </w:r>
      <w:r>
        <w:rPr>
          <w:color w:val="231F20"/>
          <w:w w:val="120"/>
        </w:rPr>
        <w:t>s’ils</w:t>
      </w:r>
      <w:r>
        <w:rPr>
          <w:color w:val="231F20"/>
          <w:spacing w:val="-11"/>
          <w:w w:val="120"/>
        </w:rPr>
        <w:t> </w:t>
      </w:r>
      <w:r>
        <w:rPr>
          <w:color w:val="231F20"/>
          <w:w w:val="120"/>
        </w:rPr>
        <w:t>possèdent</w:t>
      </w:r>
      <w:r>
        <w:rPr>
          <w:color w:val="231F20"/>
          <w:spacing w:val="-11"/>
          <w:w w:val="120"/>
        </w:rPr>
        <w:t> </w:t>
      </w:r>
      <w:r>
        <w:rPr>
          <w:color w:val="231F20"/>
          <w:w w:val="120"/>
        </w:rPr>
        <w:t>un</w:t>
      </w:r>
      <w:r>
        <w:rPr>
          <w:color w:val="231F20"/>
          <w:spacing w:val="-11"/>
          <w:w w:val="120"/>
        </w:rPr>
        <w:t> </w:t>
      </w:r>
      <w:r>
        <w:rPr>
          <w:color w:val="231F20"/>
          <w:w w:val="120"/>
        </w:rPr>
        <w:t>sentiment</w:t>
      </w:r>
      <w:r>
        <w:rPr>
          <w:color w:val="231F20"/>
          <w:spacing w:val="-11"/>
          <w:w w:val="120"/>
        </w:rPr>
        <w:t> </w:t>
      </w:r>
      <w:r>
        <w:rPr>
          <w:color w:val="231F20"/>
          <w:w w:val="120"/>
        </w:rPr>
        <w:t>de</w:t>
      </w:r>
      <w:r>
        <w:rPr>
          <w:color w:val="231F20"/>
          <w:spacing w:val="-11"/>
          <w:w w:val="120"/>
        </w:rPr>
        <w:t> </w:t>
      </w:r>
      <w:r>
        <w:rPr>
          <w:color w:val="231F20"/>
          <w:w w:val="120"/>
        </w:rPr>
        <w:t>sécurité,</w:t>
      </w:r>
      <w:r>
        <w:rPr>
          <w:color w:val="231F20"/>
          <w:spacing w:val="-11"/>
          <w:w w:val="120"/>
        </w:rPr>
        <w:t> </w:t>
      </w:r>
      <w:r>
        <w:rPr>
          <w:color w:val="231F20"/>
          <w:w w:val="120"/>
        </w:rPr>
        <w:t>une</w:t>
      </w:r>
      <w:r>
        <w:rPr>
          <w:color w:val="231F20"/>
          <w:spacing w:val="-11"/>
          <w:w w:val="120"/>
        </w:rPr>
        <w:t> </w:t>
      </w:r>
      <w:r>
        <w:rPr>
          <w:color w:val="231F20"/>
          <w:w w:val="120"/>
        </w:rPr>
        <w:t>estime de</w:t>
      </w:r>
      <w:r>
        <w:rPr>
          <w:color w:val="231F20"/>
          <w:spacing w:val="-8"/>
          <w:w w:val="120"/>
        </w:rPr>
        <w:t> </w:t>
      </w:r>
      <w:r>
        <w:rPr>
          <w:color w:val="231F20"/>
          <w:w w:val="120"/>
        </w:rPr>
        <w:t>soi</w:t>
      </w:r>
      <w:r>
        <w:rPr>
          <w:color w:val="231F20"/>
          <w:spacing w:val="-8"/>
          <w:w w:val="120"/>
        </w:rPr>
        <w:t> </w:t>
      </w:r>
      <w:r>
        <w:rPr>
          <w:color w:val="231F20"/>
          <w:w w:val="120"/>
        </w:rPr>
        <w:t>positive,</w:t>
      </w:r>
      <w:r>
        <w:rPr>
          <w:color w:val="231F20"/>
          <w:spacing w:val="-8"/>
          <w:w w:val="120"/>
        </w:rPr>
        <w:t> </w:t>
      </w:r>
      <w:r>
        <w:rPr>
          <w:color w:val="231F20"/>
          <w:w w:val="120"/>
        </w:rPr>
        <w:t>s’ils</w:t>
      </w:r>
      <w:r>
        <w:rPr>
          <w:color w:val="231F20"/>
          <w:spacing w:val="-8"/>
          <w:w w:val="120"/>
        </w:rPr>
        <w:t> </w:t>
      </w:r>
      <w:r>
        <w:rPr>
          <w:color w:val="231F20"/>
          <w:w w:val="120"/>
        </w:rPr>
        <w:t>ont</w:t>
      </w:r>
      <w:r>
        <w:rPr>
          <w:color w:val="231F20"/>
          <w:spacing w:val="-8"/>
          <w:w w:val="120"/>
        </w:rPr>
        <w:t> </w:t>
      </w:r>
      <w:r>
        <w:rPr>
          <w:color w:val="231F20"/>
          <w:w w:val="120"/>
        </w:rPr>
        <w:t>confiance</w:t>
      </w:r>
      <w:r>
        <w:rPr>
          <w:color w:val="231F20"/>
          <w:spacing w:val="-8"/>
          <w:w w:val="120"/>
        </w:rPr>
        <w:t> </w:t>
      </w:r>
      <w:r>
        <w:rPr>
          <w:color w:val="231F20"/>
          <w:w w:val="120"/>
        </w:rPr>
        <w:t>en</w:t>
      </w:r>
      <w:r>
        <w:rPr>
          <w:color w:val="231F20"/>
          <w:spacing w:val="-8"/>
          <w:w w:val="120"/>
        </w:rPr>
        <w:t> </w:t>
      </w:r>
      <w:r>
        <w:rPr>
          <w:color w:val="231F20"/>
          <w:w w:val="120"/>
        </w:rPr>
        <w:t>eux-mêmes,</w:t>
      </w:r>
      <w:r>
        <w:rPr>
          <w:color w:val="231F20"/>
          <w:spacing w:val="-8"/>
          <w:w w:val="120"/>
        </w:rPr>
        <w:t> </w:t>
      </w:r>
      <w:r>
        <w:rPr>
          <w:color w:val="231F20"/>
          <w:w w:val="120"/>
        </w:rPr>
        <w:t>s’ils</w:t>
      </w:r>
      <w:r>
        <w:rPr>
          <w:color w:val="231F20"/>
          <w:spacing w:val="-8"/>
          <w:w w:val="120"/>
        </w:rPr>
        <w:t> </w:t>
      </w:r>
      <w:r>
        <w:rPr>
          <w:color w:val="231F20"/>
          <w:w w:val="120"/>
        </w:rPr>
        <w:t>sont</w:t>
      </w:r>
      <w:r>
        <w:rPr>
          <w:color w:val="231F20"/>
          <w:spacing w:val="-8"/>
          <w:w w:val="120"/>
        </w:rPr>
        <w:t> </w:t>
      </w:r>
      <w:r>
        <w:rPr>
          <w:color w:val="231F20"/>
          <w:w w:val="120"/>
        </w:rPr>
        <w:t>activement </w:t>
      </w:r>
      <w:r>
        <w:rPr>
          <w:color w:val="231F20"/>
          <w:w w:val="115"/>
        </w:rPr>
        <w:t>conscients</w:t>
      </w:r>
      <w:r>
        <w:rPr>
          <w:color w:val="231F20"/>
          <w:spacing w:val="-4"/>
          <w:w w:val="115"/>
        </w:rPr>
        <w:t> </w:t>
      </w:r>
      <w:r>
        <w:rPr>
          <w:color w:val="231F20"/>
          <w:w w:val="115"/>
        </w:rPr>
        <w:t>de</w:t>
      </w:r>
      <w:r>
        <w:rPr>
          <w:color w:val="231F20"/>
          <w:spacing w:val="-4"/>
          <w:w w:val="115"/>
        </w:rPr>
        <w:t> </w:t>
      </w:r>
      <w:r>
        <w:rPr>
          <w:color w:val="231F20"/>
          <w:w w:val="115"/>
        </w:rPr>
        <w:t>ce</w:t>
      </w:r>
      <w:r>
        <w:rPr>
          <w:color w:val="231F20"/>
          <w:spacing w:val="-4"/>
          <w:w w:val="115"/>
        </w:rPr>
        <w:t> </w:t>
      </w:r>
      <w:r>
        <w:rPr>
          <w:color w:val="231F20"/>
          <w:w w:val="115"/>
        </w:rPr>
        <w:t>qui</w:t>
      </w:r>
      <w:r>
        <w:rPr>
          <w:color w:val="231F20"/>
          <w:spacing w:val="-4"/>
          <w:w w:val="115"/>
        </w:rPr>
        <w:t> </w:t>
      </w:r>
      <w:r>
        <w:rPr>
          <w:color w:val="231F20"/>
          <w:w w:val="115"/>
        </w:rPr>
        <w:t>se</w:t>
      </w:r>
      <w:r>
        <w:rPr>
          <w:color w:val="231F20"/>
          <w:spacing w:val="-4"/>
          <w:w w:val="115"/>
        </w:rPr>
        <w:t> </w:t>
      </w:r>
      <w:r>
        <w:rPr>
          <w:color w:val="231F20"/>
          <w:w w:val="115"/>
        </w:rPr>
        <w:t>passe</w:t>
      </w:r>
      <w:r>
        <w:rPr>
          <w:color w:val="231F20"/>
          <w:spacing w:val="-4"/>
          <w:w w:val="115"/>
        </w:rPr>
        <w:t> </w:t>
      </w:r>
      <w:r>
        <w:rPr>
          <w:color w:val="231F20"/>
          <w:w w:val="115"/>
        </w:rPr>
        <w:t>en</w:t>
      </w:r>
      <w:r>
        <w:rPr>
          <w:color w:val="231F20"/>
          <w:spacing w:val="-4"/>
          <w:w w:val="115"/>
        </w:rPr>
        <w:t> </w:t>
      </w:r>
      <w:r>
        <w:rPr>
          <w:color w:val="231F20"/>
          <w:w w:val="115"/>
        </w:rPr>
        <w:t>eux</w:t>
      </w:r>
      <w:r>
        <w:rPr>
          <w:color w:val="231F20"/>
          <w:spacing w:val="-4"/>
          <w:w w:val="115"/>
        </w:rPr>
        <w:t> </w:t>
      </w:r>
      <w:r>
        <w:rPr>
          <w:color w:val="231F20"/>
          <w:w w:val="115"/>
        </w:rPr>
        <w:t>et</w:t>
      </w:r>
      <w:r>
        <w:rPr>
          <w:color w:val="231F20"/>
          <w:spacing w:val="-4"/>
          <w:w w:val="115"/>
        </w:rPr>
        <w:t> </w:t>
      </w:r>
      <w:r>
        <w:rPr>
          <w:color w:val="231F20"/>
          <w:w w:val="115"/>
        </w:rPr>
        <w:t>autour</w:t>
      </w:r>
      <w:r>
        <w:rPr>
          <w:color w:val="231F20"/>
          <w:spacing w:val="-4"/>
          <w:w w:val="115"/>
        </w:rPr>
        <w:t> </w:t>
      </w:r>
      <w:r>
        <w:rPr>
          <w:color w:val="231F20"/>
          <w:w w:val="115"/>
        </w:rPr>
        <w:t>d’eux.</w:t>
      </w:r>
      <w:r>
        <w:rPr>
          <w:color w:val="231F20"/>
          <w:spacing w:val="-4"/>
          <w:w w:val="115"/>
        </w:rPr>
        <w:t> </w:t>
      </w:r>
      <w:r>
        <w:rPr>
          <w:color w:val="231F20"/>
          <w:w w:val="115"/>
        </w:rPr>
        <w:t>L’individu</w:t>
      </w:r>
      <w:r>
        <w:rPr>
          <w:color w:val="231F20"/>
          <w:spacing w:val="-4"/>
          <w:w w:val="115"/>
        </w:rPr>
        <w:t> </w:t>
      </w:r>
      <w:r>
        <w:rPr>
          <w:color w:val="231F20"/>
          <w:w w:val="115"/>
        </w:rPr>
        <w:t>instille</w:t>
      </w:r>
      <w:r>
        <w:rPr>
          <w:color w:val="231F20"/>
          <w:spacing w:val="-4"/>
          <w:w w:val="115"/>
        </w:rPr>
        <w:t> </w:t>
      </w:r>
      <w:r>
        <w:rPr>
          <w:color w:val="231F20"/>
          <w:w w:val="115"/>
        </w:rPr>
        <w:t>la confiance</w:t>
      </w:r>
      <w:r>
        <w:rPr>
          <w:color w:val="231F20"/>
          <w:spacing w:val="-13"/>
          <w:w w:val="115"/>
        </w:rPr>
        <w:t> </w:t>
      </w:r>
      <w:r>
        <w:rPr>
          <w:color w:val="231F20"/>
          <w:w w:val="115"/>
        </w:rPr>
        <w:t>lorsqu’il</w:t>
      </w:r>
      <w:r>
        <w:rPr>
          <w:color w:val="231F20"/>
          <w:spacing w:val="-12"/>
          <w:w w:val="115"/>
        </w:rPr>
        <w:t> </w:t>
      </w:r>
      <w:r>
        <w:rPr>
          <w:color w:val="231F20"/>
          <w:w w:val="115"/>
        </w:rPr>
        <w:t>est</w:t>
      </w:r>
      <w:r>
        <w:rPr>
          <w:color w:val="231F20"/>
          <w:spacing w:val="-12"/>
          <w:w w:val="115"/>
        </w:rPr>
        <w:t> </w:t>
      </w:r>
      <w:r>
        <w:rPr>
          <w:color w:val="231F20"/>
          <w:w w:val="115"/>
        </w:rPr>
        <w:t>intègre,</w:t>
      </w:r>
      <w:r>
        <w:rPr>
          <w:color w:val="231F20"/>
          <w:spacing w:val="-12"/>
          <w:w w:val="115"/>
        </w:rPr>
        <w:t> </w:t>
      </w:r>
      <w:r>
        <w:rPr>
          <w:color w:val="231F20"/>
          <w:w w:val="115"/>
        </w:rPr>
        <w:t>qu’il</w:t>
      </w:r>
      <w:r>
        <w:rPr>
          <w:color w:val="231F20"/>
          <w:spacing w:val="-13"/>
          <w:w w:val="115"/>
        </w:rPr>
        <w:t> </w:t>
      </w:r>
      <w:r>
        <w:rPr>
          <w:color w:val="231F20"/>
          <w:w w:val="115"/>
        </w:rPr>
        <w:t>souhaite</w:t>
      </w:r>
      <w:r>
        <w:rPr>
          <w:color w:val="231F20"/>
          <w:spacing w:val="-12"/>
          <w:w w:val="115"/>
        </w:rPr>
        <w:t> </w:t>
      </w:r>
      <w:r>
        <w:rPr>
          <w:color w:val="231F20"/>
          <w:w w:val="115"/>
        </w:rPr>
        <w:t>à</w:t>
      </w:r>
      <w:r>
        <w:rPr>
          <w:color w:val="231F20"/>
          <w:spacing w:val="-12"/>
          <w:w w:val="115"/>
        </w:rPr>
        <w:t> </w:t>
      </w:r>
      <w:r>
        <w:rPr>
          <w:color w:val="231F20"/>
          <w:w w:val="115"/>
        </w:rPr>
        <w:t>autrui</w:t>
      </w:r>
      <w:r>
        <w:rPr>
          <w:color w:val="231F20"/>
          <w:spacing w:val="-12"/>
          <w:w w:val="115"/>
        </w:rPr>
        <w:t> </w:t>
      </w:r>
      <w:r>
        <w:rPr>
          <w:color w:val="231F20"/>
          <w:w w:val="115"/>
        </w:rPr>
        <w:t>ce</w:t>
      </w:r>
      <w:r>
        <w:rPr>
          <w:color w:val="231F20"/>
          <w:spacing w:val="-12"/>
          <w:w w:val="115"/>
        </w:rPr>
        <w:t> </w:t>
      </w:r>
      <w:r>
        <w:rPr>
          <w:color w:val="231F20"/>
          <w:w w:val="115"/>
        </w:rPr>
        <w:t>qu’il</w:t>
      </w:r>
      <w:r>
        <w:rPr>
          <w:color w:val="231F20"/>
          <w:spacing w:val="-13"/>
          <w:w w:val="115"/>
        </w:rPr>
        <w:t> </w:t>
      </w:r>
      <w:r>
        <w:rPr>
          <w:color w:val="231F20"/>
          <w:w w:val="115"/>
        </w:rPr>
        <w:t>y</w:t>
      </w:r>
      <w:r>
        <w:rPr>
          <w:color w:val="231F20"/>
          <w:spacing w:val="-12"/>
          <w:w w:val="115"/>
        </w:rPr>
        <w:t> </w:t>
      </w:r>
      <w:r>
        <w:rPr>
          <w:color w:val="231F20"/>
          <w:w w:val="115"/>
        </w:rPr>
        <w:t>a</w:t>
      </w:r>
      <w:r>
        <w:rPr>
          <w:color w:val="231F20"/>
          <w:spacing w:val="-12"/>
          <w:w w:val="115"/>
        </w:rPr>
        <w:t> </w:t>
      </w:r>
      <w:r>
        <w:rPr>
          <w:color w:val="231F20"/>
          <w:w w:val="115"/>
        </w:rPr>
        <w:t>de</w:t>
      </w:r>
      <w:r>
        <w:rPr>
          <w:color w:val="231F20"/>
          <w:spacing w:val="-12"/>
          <w:w w:val="115"/>
        </w:rPr>
        <w:t> </w:t>
      </w:r>
      <w:r>
        <w:rPr>
          <w:color w:val="231F20"/>
          <w:w w:val="115"/>
        </w:rPr>
        <w:t>mieux, </w:t>
      </w:r>
      <w:r>
        <w:rPr>
          <w:color w:val="231F20"/>
          <w:w w:val="120"/>
        </w:rPr>
        <w:t>qu’il se montre capable de subvenir à ses besoins et qu’il adopte un discours émotionnel positif.</w:t>
      </w:r>
    </w:p>
    <w:p>
      <w:pPr>
        <w:pStyle w:val="BodyText"/>
        <w:spacing w:line="307" w:lineRule="auto" w:before="79"/>
        <w:ind w:left="1219" w:right="103" w:firstLine="250"/>
        <w:jc w:val="both"/>
      </w:pPr>
      <w:r>
        <w:rPr>
          <w:color w:val="231F20"/>
          <w:w w:val="120"/>
        </w:rPr>
        <w:t>Sur les plans organisationnel et social, cette confiance a des consé- </w:t>
      </w:r>
      <w:r>
        <w:rPr>
          <w:color w:val="231F20"/>
          <w:spacing w:val="-2"/>
          <w:w w:val="120"/>
        </w:rPr>
        <w:t>quences</w:t>
      </w:r>
      <w:r>
        <w:rPr>
          <w:color w:val="231F20"/>
          <w:spacing w:val="-11"/>
          <w:w w:val="120"/>
        </w:rPr>
        <w:t> </w:t>
      </w:r>
      <w:r>
        <w:rPr>
          <w:color w:val="231F20"/>
          <w:spacing w:val="-2"/>
          <w:w w:val="120"/>
        </w:rPr>
        <w:t>notables:</w:t>
      </w:r>
      <w:r>
        <w:rPr>
          <w:color w:val="231F20"/>
          <w:spacing w:val="-11"/>
          <w:w w:val="120"/>
        </w:rPr>
        <w:t> </w:t>
      </w:r>
      <w:r>
        <w:rPr>
          <w:color w:val="231F20"/>
          <w:spacing w:val="-2"/>
          <w:w w:val="120"/>
        </w:rPr>
        <w:t>le</w:t>
      </w:r>
      <w:r>
        <w:rPr>
          <w:color w:val="231F20"/>
          <w:spacing w:val="-11"/>
          <w:w w:val="120"/>
        </w:rPr>
        <w:t> </w:t>
      </w:r>
      <w:r>
        <w:rPr>
          <w:color w:val="231F20"/>
          <w:spacing w:val="-2"/>
          <w:w w:val="120"/>
        </w:rPr>
        <w:t>dialogue,</w:t>
      </w:r>
      <w:r>
        <w:rPr>
          <w:color w:val="231F20"/>
          <w:spacing w:val="-10"/>
          <w:w w:val="120"/>
        </w:rPr>
        <w:t> </w:t>
      </w:r>
      <w:r>
        <w:rPr>
          <w:color w:val="231F20"/>
          <w:spacing w:val="-2"/>
          <w:w w:val="120"/>
        </w:rPr>
        <w:t>les</w:t>
      </w:r>
      <w:r>
        <w:rPr>
          <w:color w:val="231F20"/>
          <w:spacing w:val="-11"/>
          <w:w w:val="120"/>
        </w:rPr>
        <w:t> </w:t>
      </w:r>
      <w:r>
        <w:rPr>
          <w:color w:val="231F20"/>
          <w:spacing w:val="-2"/>
          <w:w w:val="120"/>
        </w:rPr>
        <w:t>relations</w:t>
      </w:r>
      <w:r>
        <w:rPr>
          <w:color w:val="231F20"/>
          <w:spacing w:val="-11"/>
          <w:w w:val="120"/>
        </w:rPr>
        <w:t> </w:t>
      </w:r>
      <w:r>
        <w:rPr>
          <w:color w:val="231F20"/>
          <w:spacing w:val="-2"/>
          <w:w w:val="120"/>
        </w:rPr>
        <w:t>stables,</w:t>
      </w:r>
      <w:r>
        <w:rPr>
          <w:color w:val="231F20"/>
          <w:spacing w:val="-11"/>
          <w:w w:val="120"/>
        </w:rPr>
        <w:t> </w:t>
      </w:r>
      <w:r>
        <w:rPr>
          <w:color w:val="231F20"/>
          <w:spacing w:val="-2"/>
          <w:w w:val="120"/>
        </w:rPr>
        <w:t>le</w:t>
      </w:r>
      <w:r>
        <w:rPr>
          <w:color w:val="231F20"/>
          <w:spacing w:val="-10"/>
          <w:w w:val="120"/>
        </w:rPr>
        <w:t> </w:t>
      </w:r>
      <w:r>
        <w:rPr>
          <w:color w:val="231F20"/>
          <w:spacing w:val="-2"/>
          <w:w w:val="120"/>
        </w:rPr>
        <w:t>soutien</w:t>
      </w:r>
      <w:r>
        <w:rPr>
          <w:color w:val="231F20"/>
          <w:spacing w:val="-11"/>
          <w:w w:val="120"/>
        </w:rPr>
        <w:t> </w:t>
      </w:r>
      <w:r>
        <w:rPr>
          <w:color w:val="231F20"/>
          <w:spacing w:val="-2"/>
          <w:w w:val="120"/>
        </w:rPr>
        <w:t>et</w:t>
      </w:r>
      <w:r>
        <w:rPr>
          <w:color w:val="231F20"/>
          <w:spacing w:val="-11"/>
          <w:w w:val="120"/>
        </w:rPr>
        <w:t> </w:t>
      </w:r>
      <w:r>
        <w:rPr>
          <w:color w:val="231F20"/>
          <w:spacing w:val="-2"/>
          <w:w w:val="120"/>
        </w:rPr>
        <w:t>l’appren- </w:t>
      </w:r>
      <w:r>
        <w:rPr>
          <w:color w:val="231F20"/>
          <w:w w:val="120"/>
        </w:rPr>
        <w:t>tissage</w:t>
      </w:r>
      <w:r>
        <w:rPr>
          <w:color w:val="231F20"/>
          <w:spacing w:val="-4"/>
          <w:w w:val="120"/>
        </w:rPr>
        <w:t> </w:t>
      </w:r>
      <w:r>
        <w:rPr>
          <w:color w:val="231F20"/>
          <w:w w:val="120"/>
        </w:rPr>
        <w:t>mutuels,</w:t>
      </w:r>
      <w:r>
        <w:rPr>
          <w:color w:val="231F20"/>
          <w:spacing w:val="-4"/>
          <w:w w:val="120"/>
        </w:rPr>
        <w:t> </w:t>
      </w:r>
      <w:r>
        <w:rPr>
          <w:color w:val="231F20"/>
          <w:w w:val="120"/>
        </w:rPr>
        <w:t>l’initiative</w:t>
      </w:r>
      <w:r>
        <w:rPr>
          <w:color w:val="231F20"/>
          <w:spacing w:val="-4"/>
          <w:w w:val="120"/>
        </w:rPr>
        <w:t> </w:t>
      </w:r>
      <w:r>
        <w:rPr>
          <w:color w:val="231F20"/>
          <w:w w:val="120"/>
        </w:rPr>
        <w:t>créatrice,</w:t>
      </w:r>
      <w:r>
        <w:rPr>
          <w:color w:val="231F20"/>
          <w:spacing w:val="-4"/>
          <w:w w:val="120"/>
        </w:rPr>
        <w:t> </w:t>
      </w:r>
      <w:r>
        <w:rPr>
          <w:color w:val="231F20"/>
          <w:w w:val="120"/>
        </w:rPr>
        <w:t>le</w:t>
      </w:r>
      <w:r>
        <w:rPr>
          <w:color w:val="231F20"/>
          <w:spacing w:val="-4"/>
          <w:w w:val="120"/>
        </w:rPr>
        <w:t> </w:t>
      </w:r>
      <w:r>
        <w:rPr>
          <w:color w:val="231F20"/>
          <w:w w:val="120"/>
        </w:rPr>
        <w:t>renforcement</w:t>
      </w:r>
      <w:r>
        <w:rPr>
          <w:color w:val="231F20"/>
          <w:spacing w:val="-4"/>
          <w:w w:val="120"/>
        </w:rPr>
        <w:t> </w:t>
      </w:r>
      <w:r>
        <w:rPr>
          <w:color w:val="231F20"/>
          <w:w w:val="120"/>
        </w:rPr>
        <w:t>de</w:t>
      </w:r>
      <w:r>
        <w:rPr>
          <w:color w:val="231F20"/>
          <w:spacing w:val="-4"/>
          <w:w w:val="120"/>
        </w:rPr>
        <w:t> </w:t>
      </w:r>
      <w:r>
        <w:rPr>
          <w:color w:val="231F20"/>
          <w:w w:val="120"/>
        </w:rPr>
        <w:t>ce</w:t>
      </w:r>
      <w:r>
        <w:rPr>
          <w:color w:val="231F20"/>
          <w:spacing w:val="-4"/>
          <w:w w:val="120"/>
        </w:rPr>
        <w:t> </w:t>
      </w:r>
      <w:r>
        <w:rPr>
          <w:color w:val="231F20"/>
          <w:w w:val="120"/>
        </w:rPr>
        <w:t>qu’on</w:t>
      </w:r>
      <w:r>
        <w:rPr>
          <w:color w:val="231F20"/>
          <w:spacing w:val="-4"/>
          <w:w w:val="120"/>
        </w:rPr>
        <w:t> </w:t>
      </w:r>
      <w:r>
        <w:rPr>
          <w:color w:val="231F20"/>
          <w:w w:val="120"/>
        </w:rPr>
        <w:t>peut appeler</w:t>
      </w:r>
      <w:r>
        <w:rPr>
          <w:color w:val="231F20"/>
          <w:spacing w:val="-13"/>
          <w:w w:val="120"/>
        </w:rPr>
        <w:t> </w:t>
      </w:r>
      <w:r>
        <w:rPr>
          <w:color w:val="231F20"/>
          <w:w w:val="120"/>
        </w:rPr>
        <w:t>l’«</w:t>
      </w:r>
      <w:r>
        <w:rPr>
          <w:color w:val="231F20"/>
          <w:spacing w:val="-13"/>
          <w:w w:val="120"/>
        </w:rPr>
        <w:t> </w:t>
      </w:r>
      <w:r>
        <w:rPr>
          <w:color w:val="231F20"/>
          <w:w w:val="120"/>
        </w:rPr>
        <w:t>estime</w:t>
      </w:r>
      <w:r>
        <w:rPr>
          <w:color w:val="231F20"/>
          <w:spacing w:val="-13"/>
          <w:w w:val="120"/>
        </w:rPr>
        <w:t> </w:t>
      </w:r>
      <w:r>
        <w:rPr>
          <w:color w:val="231F20"/>
          <w:w w:val="120"/>
        </w:rPr>
        <w:t>de</w:t>
      </w:r>
      <w:r>
        <w:rPr>
          <w:color w:val="231F20"/>
          <w:spacing w:val="-12"/>
          <w:w w:val="120"/>
        </w:rPr>
        <w:t> </w:t>
      </w:r>
      <w:r>
        <w:rPr>
          <w:color w:val="231F20"/>
          <w:w w:val="120"/>
        </w:rPr>
        <w:t>soi</w:t>
      </w:r>
      <w:r>
        <w:rPr>
          <w:color w:val="231F20"/>
          <w:spacing w:val="-13"/>
          <w:w w:val="120"/>
        </w:rPr>
        <w:t> </w:t>
      </w:r>
      <w:r>
        <w:rPr>
          <w:color w:val="231F20"/>
          <w:w w:val="120"/>
        </w:rPr>
        <w:t>organisationnelle».</w:t>
      </w:r>
      <w:r>
        <w:rPr>
          <w:color w:val="231F20"/>
          <w:spacing w:val="-13"/>
          <w:w w:val="120"/>
        </w:rPr>
        <w:t> </w:t>
      </w:r>
      <w:r>
        <w:rPr>
          <w:color w:val="231F20"/>
          <w:w w:val="120"/>
        </w:rPr>
        <w:t>La</w:t>
      </w:r>
      <w:r>
        <w:rPr>
          <w:color w:val="231F20"/>
          <w:spacing w:val="-13"/>
          <w:w w:val="120"/>
        </w:rPr>
        <w:t> </w:t>
      </w:r>
      <w:r>
        <w:rPr>
          <w:color w:val="231F20"/>
          <w:w w:val="120"/>
        </w:rPr>
        <w:t>confiance</w:t>
      </w:r>
      <w:r>
        <w:rPr>
          <w:color w:val="231F20"/>
          <w:spacing w:val="-12"/>
          <w:w w:val="120"/>
        </w:rPr>
        <w:t> </w:t>
      </w:r>
      <w:r>
        <w:rPr>
          <w:color w:val="231F20"/>
          <w:w w:val="120"/>
        </w:rPr>
        <w:t>est</w:t>
      </w:r>
      <w:r>
        <w:rPr>
          <w:color w:val="231F20"/>
          <w:spacing w:val="-13"/>
          <w:w w:val="120"/>
        </w:rPr>
        <w:t> </w:t>
      </w:r>
      <w:r>
        <w:rPr>
          <w:color w:val="231F20"/>
          <w:w w:val="120"/>
        </w:rPr>
        <w:t>un</w:t>
      </w:r>
      <w:r>
        <w:rPr>
          <w:color w:val="231F20"/>
          <w:spacing w:val="-13"/>
          <w:w w:val="120"/>
        </w:rPr>
        <w:t> </w:t>
      </w:r>
      <w:r>
        <w:rPr>
          <w:color w:val="231F20"/>
          <w:w w:val="120"/>
        </w:rPr>
        <w:t>ciment et un lubrifiant pour les relations entre les individus, les groupes, les </w:t>
      </w:r>
      <w:r>
        <w:rPr>
          <w:color w:val="231F20"/>
          <w:spacing w:val="-2"/>
          <w:w w:val="120"/>
        </w:rPr>
        <w:t>organisations</w:t>
      </w:r>
      <w:r>
        <w:rPr>
          <w:color w:val="231F20"/>
          <w:spacing w:val="-5"/>
          <w:w w:val="120"/>
        </w:rPr>
        <w:t> </w:t>
      </w:r>
      <w:r>
        <w:rPr>
          <w:color w:val="231F20"/>
          <w:spacing w:val="-2"/>
          <w:w w:val="120"/>
        </w:rPr>
        <w:t>et</w:t>
      </w:r>
      <w:r>
        <w:rPr>
          <w:color w:val="231F20"/>
          <w:spacing w:val="-5"/>
          <w:w w:val="120"/>
        </w:rPr>
        <w:t> </w:t>
      </w:r>
      <w:r>
        <w:rPr>
          <w:color w:val="231F20"/>
          <w:spacing w:val="-2"/>
          <w:w w:val="120"/>
        </w:rPr>
        <w:t>les</w:t>
      </w:r>
      <w:r>
        <w:rPr>
          <w:color w:val="231F20"/>
          <w:spacing w:val="-5"/>
          <w:w w:val="120"/>
        </w:rPr>
        <w:t> </w:t>
      </w:r>
      <w:r>
        <w:rPr>
          <w:color w:val="231F20"/>
          <w:spacing w:val="-2"/>
          <w:w w:val="120"/>
        </w:rPr>
        <w:t>sociétés.</w:t>
      </w:r>
      <w:r>
        <w:rPr>
          <w:color w:val="231F20"/>
          <w:spacing w:val="-5"/>
          <w:w w:val="120"/>
        </w:rPr>
        <w:t> </w:t>
      </w:r>
      <w:r>
        <w:rPr>
          <w:color w:val="231F20"/>
          <w:spacing w:val="-2"/>
          <w:w w:val="120"/>
        </w:rPr>
        <w:t>Sans</w:t>
      </w:r>
      <w:r>
        <w:rPr>
          <w:color w:val="231F20"/>
          <w:spacing w:val="-5"/>
          <w:w w:val="120"/>
        </w:rPr>
        <w:t> </w:t>
      </w:r>
      <w:r>
        <w:rPr>
          <w:color w:val="231F20"/>
          <w:spacing w:val="-2"/>
          <w:w w:val="120"/>
        </w:rPr>
        <w:t>cette</w:t>
      </w:r>
      <w:r>
        <w:rPr>
          <w:color w:val="231F20"/>
          <w:spacing w:val="-5"/>
          <w:w w:val="120"/>
        </w:rPr>
        <w:t> </w:t>
      </w:r>
      <w:r>
        <w:rPr>
          <w:color w:val="231F20"/>
          <w:spacing w:val="-2"/>
          <w:w w:val="120"/>
        </w:rPr>
        <w:t>confiance,</w:t>
      </w:r>
      <w:r>
        <w:rPr>
          <w:color w:val="231F20"/>
          <w:spacing w:val="-5"/>
          <w:w w:val="120"/>
        </w:rPr>
        <w:t> </w:t>
      </w:r>
      <w:r>
        <w:rPr>
          <w:color w:val="231F20"/>
          <w:spacing w:val="-2"/>
          <w:w w:val="120"/>
        </w:rPr>
        <w:t>ce</w:t>
      </w:r>
      <w:r>
        <w:rPr>
          <w:color w:val="231F20"/>
          <w:spacing w:val="-5"/>
          <w:w w:val="120"/>
        </w:rPr>
        <w:t> </w:t>
      </w:r>
      <w:r>
        <w:rPr>
          <w:color w:val="231F20"/>
          <w:spacing w:val="-2"/>
          <w:w w:val="120"/>
        </w:rPr>
        <w:t>sont</w:t>
      </w:r>
      <w:r>
        <w:rPr>
          <w:color w:val="231F20"/>
          <w:spacing w:val="-5"/>
          <w:w w:val="120"/>
        </w:rPr>
        <w:t> </w:t>
      </w:r>
      <w:r>
        <w:rPr>
          <w:color w:val="231F20"/>
          <w:spacing w:val="-2"/>
          <w:w w:val="120"/>
        </w:rPr>
        <w:t>la</w:t>
      </w:r>
      <w:r>
        <w:rPr>
          <w:color w:val="231F20"/>
          <w:spacing w:val="-5"/>
          <w:w w:val="120"/>
        </w:rPr>
        <w:t> </w:t>
      </w:r>
      <w:r>
        <w:rPr>
          <w:color w:val="231F20"/>
          <w:spacing w:val="-2"/>
          <w:w w:val="120"/>
        </w:rPr>
        <w:t>ségrégation </w:t>
      </w:r>
      <w:r>
        <w:rPr>
          <w:color w:val="231F20"/>
          <w:w w:val="120"/>
        </w:rPr>
        <w:t>interpersonnelle ainsi que la désintégration et la fragmentation orga- nisationnelles et sociales qui prévalent. Pour poursuivre sur les idées </w:t>
      </w:r>
      <w:r>
        <w:rPr>
          <w:color w:val="231F20"/>
          <w:w w:val="115"/>
        </w:rPr>
        <w:t>avancées par Kenneth Joseph Arrow, lauréat d’un prix Nobel, le manque </w:t>
      </w:r>
      <w:r>
        <w:rPr>
          <w:color w:val="231F20"/>
          <w:w w:val="120"/>
        </w:rPr>
        <w:t>de</w:t>
      </w:r>
      <w:r>
        <w:rPr>
          <w:color w:val="231F20"/>
          <w:spacing w:val="-13"/>
          <w:w w:val="120"/>
        </w:rPr>
        <w:t> </w:t>
      </w:r>
      <w:r>
        <w:rPr>
          <w:color w:val="231F20"/>
          <w:w w:val="120"/>
        </w:rPr>
        <w:t>confiance</w:t>
      </w:r>
      <w:r>
        <w:rPr>
          <w:color w:val="231F20"/>
          <w:spacing w:val="-12"/>
          <w:w w:val="120"/>
        </w:rPr>
        <w:t> </w:t>
      </w:r>
      <w:r>
        <w:rPr>
          <w:color w:val="231F20"/>
          <w:w w:val="120"/>
        </w:rPr>
        <w:t>fait</w:t>
      </w:r>
      <w:r>
        <w:rPr>
          <w:color w:val="231F20"/>
          <w:spacing w:val="-12"/>
          <w:w w:val="120"/>
        </w:rPr>
        <w:t> </w:t>
      </w:r>
      <w:r>
        <w:rPr>
          <w:color w:val="231F20"/>
          <w:w w:val="120"/>
        </w:rPr>
        <w:t>grincer</w:t>
      </w:r>
      <w:r>
        <w:rPr>
          <w:color w:val="231F20"/>
          <w:spacing w:val="-12"/>
          <w:w w:val="120"/>
        </w:rPr>
        <w:t> </w:t>
      </w:r>
      <w:r>
        <w:rPr>
          <w:color w:val="231F20"/>
          <w:w w:val="120"/>
        </w:rPr>
        <w:t>les</w:t>
      </w:r>
      <w:r>
        <w:rPr>
          <w:color w:val="231F20"/>
          <w:spacing w:val="-12"/>
          <w:w w:val="120"/>
        </w:rPr>
        <w:t> </w:t>
      </w:r>
      <w:r>
        <w:rPr>
          <w:color w:val="231F20"/>
          <w:w w:val="120"/>
        </w:rPr>
        <w:t>engrenages</w:t>
      </w:r>
      <w:r>
        <w:rPr>
          <w:color w:val="231F20"/>
          <w:spacing w:val="-12"/>
          <w:w w:val="120"/>
        </w:rPr>
        <w:t> </w:t>
      </w:r>
      <w:r>
        <w:rPr>
          <w:color w:val="231F20"/>
          <w:w w:val="120"/>
        </w:rPr>
        <w:t>du</w:t>
      </w:r>
      <w:r>
        <w:rPr>
          <w:color w:val="231F20"/>
          <w:spacing w:val="-12"/>
          <w:w w:val="120"/>
        </w:rPr>
        <w:t> </w:t>
      </w:r>
      <w:r>
        <w:rPr>
          <w:color w:val="231F20"/>
          <w:w w:val="120"/>
        </w:rPr>
        <w:t>système</w:t>
      </w:r>
      <w:r>
        <w:rPr>
          <w:color w:val="231F20"/>
          <w:spacing w:val="-12"/>
          <w:w w:val="120"/>
        </w:rPr>
        <w:t> </w:t>
      </w:r>
      <w:r>
        <w:rPr>
          <w:color w:val="231F20"/>
          <w:w w:val="120"/>
        </w:rPr>
        <w:t>social</w:t>
      </w:r>
      <w:r>
        <w:rPr>
          <w:color w:val="231F20"/>
          <w:spacing w:val="-12"/>
          <w:w w:val="120"/>
        </w:rPr>
        <w:t> </w:t>
      </w:r>
      <w:r>
        <w:rPr>
          <w:color w:val="231F20"/>
          <w:w w:val="120"/>
        </w:rPr>
        <w:t>formé</w:t>
      </w:r>
      <w:r>
        <w:rPr>
          <w:color w:val="231F20"/>
          <w:spacing w:val="-12"/>
          <w:w w:val="120"/>
        </w:rPr>
        <w:t> </w:t>
      </w:r>
      <w:r>
        <w:rPr>
          <w:color w:val="231F20"/>
          <w:w w:val="120"/>
        </w:rPr>
        <w:t>par</w:t>
      </w:r>
      <w:r>
        <w:rPr>
          <w:color w:val="231F20"/>
          <w:spacing w:val="-12"/>
          <w:w w:val="120"/>
        </w:rPr>
        <w:t> </w:t>
      </w:r>
      <w:r>
        <w:rPr>
          <w:color w:val="231F20"/>
          <w:spacing w:val="-5"/>
          <w:w w:val="120"/>
        </w:rPr>
        <w:t>les</w:t>
      </w:r>
    </w:p>
    <w:p>
      <w:pPr>
        <w:spacing w:after="0" w:line="307" w:lineRule="auto"/>
        <w:jc w:val="both"/>
        <w:sectPr>
          <w:footerReference w:type="default" r:id="rId243"/>
          <w:pgSz w:w="8640" w:h="12960"/>
          <w:pgMar w:footer="424" w:header="0" w:top="500" w:bottom="620" w:left="420" w:right="1140"/>
        </w:sectPr>
      </w:pPr>
    </w:p>
    <w:p>
      <w:pPr>
        <w:spacing w:before="103"/>
        <w:ind w:left="1028" w:right="698" w:firstLine="0"/>
        <w:jc w:val="center"/>
        <w:rPr>
          <w:rFonts w:ascii="Arial" w:hAnsi="Arial"/>
          <w:sz w:val="14"/>
        </w:rPr>
      </w:pPr>
      <w:bookmarkStart w:name=" 4.4 / Origines et incidences de l’estim" w:id="135"/>
      <w:bookmarkEnd w:id="135"/>
      <w:r>
        <w:rPr/>
      </w:r>
      <w:bookmarkStart w:name="_bookmark58" w:id="136"/>
      <w:bookmarkEnd w:id="13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6"/>
        <w:jc w:val="both"/>
      </w:pPr>
      <w:r>
        <w:rPr>
          <w:color w:val="231F20"/>
          <w:spacing w:val="-4"/>
          <w:w w:val="120"/>
        </w:rPr>
        <w:t>divers groupes d’intérêts d’une entreprise: les propriétaires, les employés, </w:t>
      </w:r>
      <w:r>
        <w:rPr>
          <w:color w:val="231F20"/>
          <w:w w:val="120"/>
        </w:rPr>
        <w:t>les</w:t>
      </w:r>
      <w:r>
        <w:rPr>
          <w:color w:val="231F20"/>
          <w:spacing w:val="-3"/>
          <w:w w:val="120"/>
        </w:rPr>
        <w:t> </w:t>
      </w:r>
      <w:r>
        <w:rPr>
          <w:color w:val="231F20"/>
          <w:w w:val="120"/>
        </w:rPr>
        <w:t>clients,</w:t>
      </w:r>
      <w:r>
        <w:rPr>
          <w:color w:val="231F20"/>
          <w:spacing w:val="-3"/>
          <w:w w:val="120"/>
        </w:rPr>
        <w:t> </w:t>
      </w:r>
      <w:r>
        <w:rPr>
          <w:color w:val="231F20"/>
          <w:w w:val="120"/>
        </w:rPr>
        <w:t>les</w:t>
      </w:r>
      <w:r>
        <w:rPr>
          <w:color w:val="231F20"/>
          <w:spacing w:val="-3"/>
          <w:w w:val="120"/>
        </w:rPr>
        <w:t> </w:t>
      </w:r>
      <w:r>
        <w:rPr>
          <w:color w:val="231F20"/>
          <w:w w:val="120"/>
        </w:rPr>
        <w:t>syndicats,</w:t>
      </w:r>
      <w:r>
        <w:rPr>
          <w:color w:val="231F20"/>
          <w:spacing w:val="-3"/>
          <w:w w:val="120"/>
        </w:rPr>
        <w:t> </w:t>
      </w:r>
      <w:r>
        <w:rPr>
          <w:color w:val="231F20"/>
          <w:w w:val="120"/>
        </w:rPr>
        <w:t>les</w:t>
      </w:r>
      <w:r>
        <w:rPr>
          <w:color w:val="231F20"/>
          <w:spacing w:val="-3"/>
          <w:w w:val="120"/>
        </w:rPr>
        <w:t> </w:t>
      </w:r>
      <w:r>
        <w:rPr>
          <w:color w:val="231F20"/>
          <w:w w:val="120"/>
        </w:rPr>
        <w:t>bailleurs</w:t>
      </w:r>
      <w:r>
        <w:rPr>
          <w:color w:val="231F20"/>
          <w:spacing w:val="-3"/>
          <w:w w:val="120"/>
        </w:rPr>
        <w:t> </w:t>
      </w:r>
      <w:r>
        <w:rPr>
          <w:color w:val="231F20"/>
          <w:w w:val="120"/>
        </w:rPr>
        <w:t>de</w:t>
      </w:r>
      <w:r>
        <w:rPr>
          <w:color w:val="231F20"/>
          <w:spacing w:val="-3"/>
          <w:w w:val="120"/>
        </w:rPr>
        <w:t> </w:t>
      </w:r>
      <w:r>
        <w:rPr>
          <w:color w:val="231F20"/>
          <w:w w:val="120"/>
        </w:rPr>
        <w:t>fonds,</w:t>
      </w:r>
      <w:r>
        <w:rPr>
          <w:color w:val="231F20"/>
          <w:spacing w:val="-3"/>
          <w:w w:val="120"/>
        </w:rPr>
        <w:t> </w:t>
      </w:r>
      <w:r>
        <w:rPr>
          <w:color w:val="231F20"/>
          <w:w w:val="120"/>
        </w:rPr>
        <w:t>les</w:t>
      </w:r>
      <w:r>
        <w:rPr>
          <w:color w:val="231F20"/>
          <w:spacing w:val="-3"/>
          <w:w w:val="120"/>
        </w:rPr>
        <w:t> </w:t>
      </w:r>
      <w:r>
        <w:rPr>
          <w:color w:val="231F20"/>
          <w:w w:val="120"/>
        </w:rPr>
        <w:t>agents</w:t>
      </w:r>
      <w:r>
        <w:rPr>
          <w:color w:val="231F20"/>
          <w:spacing w:val="-3"/>
          <w:w w:val="120"/>
        </w:rPr>
        <w:t> </w:t>
      </w:r>
      <w:r>
        <w:rPr>
          <w:color w:val="231F20"/>
          <w:w w:val="120"/>
        </w:rPr>
        <w:t>de</w:t>
      </w:r>
      <w:r>
        <w:rPr>
          <w:color w:val="231F20"/>
          <w:spacing w:val="-3"/>
          <w:w w:val="120"/>
        </w:rPr>
        <w:t> </w:t>
      </w:r>
      <w:r>
        <w:rPr>
          <w:color w:val="231F20"/>
          <w:w w:val="120"/>
        </w:rPr>
        <w:t>publicité, </w:t>
      </w:r>
      <w:r>
        <w:rPr>
          <w:color w:val="231F20"/>
          <w:w w:val="115"/>
        </w:rPr>
        <w:t>les</w:t>
      </w:r>
      <w:r>
        <w:rPr>
          <w:color w:val="231F20"/>
          <w:spacing w:val="6"/>
          <w:w w:val="115"/>
        </w:rPr>
        <w:t> </w:t>
      </w:r>
      <w:r>
        <w:rPr>
          <w:color w:val="231F20"/>
          <w:w w:val="115"/>
        </w:rPr>
        <w:t>fournisseurs.</w:t>
      </w:r>
      <w:r>
        <w:rPr>
          <w:color w:val="231F20"/>
          <w:spacing w:val="6"/>
          <w:w w:val="115"/>
        </w:rPr>
        <w:t> </w:t>
      </w:r>
      <w:r>
        <w:rPr>
          <w:color w:val="231F20"/>
          <w:w w:val="115"/>
        </w:rPr>
        <w:t>Sans</w:t>
      </w:r>
      <w:r>
        <w:rPr>
          <w:color w:val="231F20"/>
          <w:spacing w:val="6"/>
          <w:w w:val="115"/>
        </w:rPr>
        <w:t> </w:t>
      </w:r>
      <w:r>
        <w:rPr>
          <w:color w:val="231F20"/>
          <w:w w:val="115"/>
        </w:rPr>
        <w:t>ce</w:t>
      </w:r>
      <w:r>
        <w:rPr>
          <w:color w:val="231F20"/>
          <w:spacing w:val="7"/>
          <w:w w:val="115"/>
        </w:rPr>
        <w:t> </w:t>
      </w:r>
      <w:r>
        <w:rPr>
          <w:color w:val="231F20"/>
          <w:w w:val="115"/>
        </w:rPr>
        <w:t>lubrifiant,</w:t>
      </w:r>
      <w:r>
        <w:rPr>
          <w:color w:val="231F20"/>
          <w:spacing w:val="6"/>
          <w:w w:val="115"/>
        </w:rPr>
        <w:t> </w:t>
      </w:r>
      <w:r>
        <w:rPr>
          <w:color w:val="231F20"/>
          <w:w w:val="115"/>
        </w:rPr>
        <w:t>il</w:t>
      </w:r>
      <w:r>
        <w:rPr>
          <w:color w:val="231F20"/>
          <w:spacing w:val="6"/>
          <w:w w:val="115"/>
        </w:rPr>
        <w:t> </w:t>
      </w:r>
      <w:r>
        <w:rPr>
          <w:color w:val="231F20"/>
          <w:w w:val="115"/>
        </w:rPr>
        <w:t>est</w:t>
      </w:r>
      <w:r>
        <w:rPr>
          <w:color w:val="231F20"/>
          <w:spacing w:val="7"/>
          <w:w w:val="115"/>
        </w:rPr>
        <w:t> </w:t>
      </w:r>
      <w:r>
        <w:rPr>
          <w:color w:val="231F20"/>
          <w:w w:val="115"/>
        </w:rPr>
        <w:t>beaucoup</w:t>
      </w:r>
      <w:r>
        <w:rPr>
          <w:color w:val="231F20"/>
          <w:spacing w:val="6"/>
          <w:w w:val="115"/>
        </w:rPr>
        <w:t> </w:t>
      </w:r>
      <w:r>
        <w:rPr>
          <w:color w:val="231F20"/>
          <w:w w:val="115"/>
        </w:rPr>
        <w:t>plus</w:t>
      </w:r>
      <w:r>
        <w:rPr>
          <w:color w:val="231F20"/>
          <w:spacing w:val="6"/>
          <w:w w:val="115"/>
        </w:rPr>
        <w:t> </w:t>
      </w:r>
      <w:r>
        <w:rPr>
          <w:color w:val="231F20"/>
          <w:w w:val="115"/>
        </w:rPr>
        <w:t>difficile</w:t>
      </w:r>
      <w:r>
        <w:rPr>
          <w:color w:val="231F20"/>
          <w:spacing w:val="7"/>
          <w:w w:val="115"/>
        </w:rPr>
        <w:t> </w:t>
      </w:r>
      <w:r>
        <w:rPr>
          <w:color w:val="231F20"/>
          <w:w w:val="115"/>
        </w:rPr>
        <w:t>de</w:t>
      </w:r>
      <w:r>
        <w:rPr>
          <w:color w:val="231F20"/>
          <w:spacing w:val="6"/>
          <w:w w:val="115"/>
        </w:rPr>
        <w:t> </w:t>
      </w:r>
      <w:r>
        <w:rPr>
          <w:color w:val="231F20"/>
          <w:spacing w:val="-2"/>
          <w:w w:val="115"/>
        </w:rPr>
        <w:t>faire</w:t>
      </w:r>
    </w:p>
    <w:p>
      <w:pPr>
        <w:pStyle w:val="BodyText"/>
        <w:spacing w:line="195" w:lineRule="exact"/>
        <w:ind w:left="2830"/>
        <w:jc w:val="both"/>
      </w:pPr>
      <w:r>
        <w:rPr>
          <w:color w:val="231F20"/>
          <w:w w:val="120"/>
        </w:rPr>
        <w:t>fonctionner</w:t>
      </w:r>
      <w:r>
        <w:rPr>
          <w:color w:val="231F20"/>
          <w:spacing w:val="75"/>
          <w:w w:val="150"/>
        </w:rPr>
        <w:t> </w:t>
      </w:r>
      <w:r>
        <w:rPr>
          <w:color w:val="231F20"/>
          <w:w w:val="120"/>
        </w:rPr>
        <w:t>tous</w:t>
      </w:r>
      <w:r>
        <w:rPr>
          <w:color w:val="231F20"/>
          <w:spacing w:val="75"/>
          <w:w w:val="150"/>
        </w:rPr>
        <w:t> </w:t>
      </w:r>
      <w:r>
        <w:rPr>
          <w:color w:val="231F20"/>
          <w:w w:val="120"/>
        </w:rPr>
        <w:t>les</w:t>
      </w:r>
      <w:r>
        <w:rPr>
          <w:color w:val="231F20"/>
          <w:spacing w:val="75"/>
          <w:w w:val="150"/>
        </w:rPr>
        <w:t> </w:t>
      </w:r>
      <w:r>
        <w:rPr>
          <w:color w:val="231F20"/>
          <w:w w:val="120"/>
        </w:rPr>
        <w:t>sous-systèmes</w:t>
      </w:r>
      <w:r>
        <w:rPr>
          <w:color w:val="231F20"/>
          <w:spacing w:val="76"/>
          <w:w w:val="150"/>
        </w:rPr>
        <w:t> </w:t>
      </w:r>
      <w:r>
        <w:rPr>
          <w:color w:val="231F20"/>
          <w:spacing w:val="-2"/>
          <w:w w:val="120"/>
        </w:rPr>
        <w:t>d’une</w:t>
      </w:r>
    </w:p>
    <w:p>
      <w:pPr>
        <w:spacing w:after="0" w:line="195" w:lineRule="exact"/>
        <w:jc w:val="both"/>
        <w:sectPr>
          <w:footerReference w:type="default" r:id="rId244"/>
          <w:pgSz w:w="8640" w:h="12960"/>
          <w:pgMar w:footer="424" w:header="0" w:top="520" w:bottom="620" w:left="420" w:right="1140"/>
        </w:sectPr>
      </w:pPr>
    </w:p>
    <w:p>
      <w:pPr>
        <w:spacing w:line="268" w:lineRule="auto" w:before="121"/>
        <w:ind w:left="910" w:right="0" w:firstLine="295"/>
        <w:jc w:val="right"/>
        <w:rPr>
          <w:rFonts w:ascii="Arial" w:hAnsi="Arial"/>
          <w:sz w:val="14"/>
        </w:rPr>
      </w:pPr>
      <w:r>
        <w:rPr>
          <w:rFonts w:ascii="Arial" w:hAnsi="Arial"/>
          <w:color w:val="231F20"/>
          <w:sz w:val="14"/>
        </w:rPr>
        <w:t>Lorsque</w:t>
      </w:r>
      <w:r>
        <w:rPr>
          <w:rFonts w:ascii="Arial" w:hAnsi="Arial"/>
          <w:color w:val="231F20"/>
          <w:spacing w:val="-10"/>
          <w:sz w:val="14"/>
        </w:rPr>
        <w:t> </w:t>
      </w:r>
      <w:r>
        <w:rPr>
          <w:rFonts w:ascii="Arial" w:hAnsi="Arial"/>
          <w:color w:val="231F20"/>
          <w:sz w:val="14"/>
        </w:rPr>
        <w:t>les</w:t>
      </w:r>
      <w:r>
        <w:rPr>
          <w:rFonts w:ascii="Arial" w:hAnsi="Arial"/>
          <w:color w:val="231F20"/>
          <w:spacing w:val="-10"/>
          <w:sz w:val="14"/>
        </w:rPr>
        <w:t> </w:t>
      </w:r>
      <w:r>
        <w:rPr>
          <w:rFonts w:ascii="Arial" w:hAnsi="Arial"/>
          <w:color w:val="231F20"/>
          <w:sz w:val="14"/>
        </w:rPr>
        <w:t>autres</w:t>
      </w:r>
      <w:r>
        <w:rPr>
          <w:rFonts w:ascii="Arial" w:hAnsi="Arial"/>
          <w:color w:val="231F20"/>
          <w:spacing w:val="-10"/>
          <w:sz w:val="14"/>
        </w:rPr>
        <w:t> </w:t>
      </w:r>
      <w:r>
        <w:rPr>
          <w:rFonts w:ascii="Arial" w:hAnsi="Arial"/>
          <w:color w:val="231F20"/>
          <w:sz w:val="14"/>
        </w:rPr>
        <w:t>ont</w:t>
      </w:r>
      <w:r>
        <w:rPr>
          <w:rFonts w:ascii="Arial" w:hAnsi="Arial"/>
          <w:color w:val="231F20"/>
          <w:spacing w:val="40"/>
          <w:sz w:val="14"/>
        </w:rPr>
        <w:t> </w:t>
      </w:r>
      <w:r>
        <w:rPr>
          <w:rFonts w:ascii="Arial" w:hAnsi="Arial"/>
          <w:color w:val="231F20"/>
          <w:sz w:val="14"/>
        </w:rPr>
        <w:t>confiance en nous et nous</w:t>
      </w:r>
      <w:r>
        <w:rPr>
          <w:rFonts w:ascii="Arial" w:hAnsi="Arial"/>
          <w:color w:val="231F20"/>
          <w:spacing w:val="40"/>
          <w:sz w:val="14"/>
        </w:rPr>
        <w:t> </w:t>
      </w:r>
      <w:r>
        <w:rPr>
          <w:rFonts w:ascii="Arial" w:hAnsi="Arial"/>
          <w:color w:val="231F20"/>
          <w:sz w:val="14"/>
        </w:rPr>
        <w:t>donnent la liberté d’agir,</w:t>
      </w:r>
      <w:r>
        <w:rPr>
          <w:rFonts w:ascii="Arial" w:hAnsi="Arial"/>
          <w:color w:val="231F20"/>
          <w:spacing w:val="40"/>
          <w:sz w:val="14"/>
        </w:rPr>
        <w:t> </w:t>
      </w:r>
      <w:r>
        <w:rPr>
          <w:rFonts w:ascii="Arial" w:hAnsi="Arial"/>
          <w:color w:val="231F20"/>
          <w:sz w:val="14"/>
        </w:rPr>
        <w:t>notre estime de soi</w:t>
      </w:r>
      <w:r>
        <w:rPr>
          <w:rFonts w:ascii="Arial" w:hAnsi="Arial"/>
          <w:color w:val="231F20"/>
          <w:spacing w:val="40"/>
          <w:sz w:val="14"/>
        </w:rPr>
        <w:t> </w:t>
      </w:r>
      <w:r>
        <w:rPr>
          <w:rFonts w:ascii="Arial" w:hAnsi="Arial"/>
          <w:color w:val="231F20"/>
          <w:sz w:val="14"/>
        </w:rPr>
        <w:t>s’améliore</w:t>
      </w:r>
      <w:r>
        <w:rPr>
          <w:rFonts w:ascii="Arial" w:hAnsi="Arial"/>
          <w:color w:val="231F20"/>
          <w:spacing w:val="-10"/>
          <w:sz w:val="14"/>
        </w:rPr>
        <w:t> </w:t>
      </w:r>
      <w:r>
        <w:rPr>
          <w:rFonts w:ascii="Arial" w:hAnsi="Arial"/>
          <w:color w:val="231F20"/>
          <w:sz w:val="14"/>
        </w:rPr>
        <w:t>et</w:t>
      </w:r>
      <w:r>
        <w:rPr>
          <w:rFonts w:ascii="Arial" w:hAnsi="Arial"/>
          <w:color w:val="231F20"/>
          <w:spacing w:val="-10"/>
          <w:sz w:val="14"/>
        </w:rPr>
        <w:t> </w:t>
      </w:r>
      <w:r>
        <w:rPr>
          <w:rFonts w:ascii="Arial" w:hAnsi="Arial"/>
          <w:color w:val="231F20"/>
          <w:sz w:val="14"/>
        </w:rPr>
        <w:t>nous</w:t>
      </w:r>
      <w:r>
        <w:rPr>
          <w:rFonts w:ascii="Arial" w:hAnsi="Arial"/>
          <w:color w:val="231F20"/>
          <w:spacing w:val="-10"/>
          <w:sz w:val="14"/>
        </w:rPr>
        <w:t> </w:t>
      </w:r>
      <w:r>
        <w:rPr>
          <w:rFonts w:ascii="Arial" w:hAnsi="Arial"/>
          <w:color w:val="231F20"/>
          <w:sz w:val="14"/>
        </w:rPr>
        <w:t>tendons</w:t>
      </w:r>
      <w:r>
        <w:rPr>
          <w:rFonts w:ascii="Arial" w:hAnsi="Arial"/>
          <w:color w:val="231F20"/>
          <w:spacing w:val="40"/>
          <w:sz w:val="14"/>
        </w:rPr>
        <w:t> </w:t>
      </w:r>
      <w:r>
        <w:rPr>
          <w:rFonts w:ascii="Arial" w:hAnsi="Arial"/>
          <w:color w:val="231F20"/>
          <w:sz w:val="14"/>
        </w:rPr>
        <w:t>à devenir plus productifs.</w:t>
      </w:r>
      <w:r>
        <w:rPr>
          <w:rFonts w:ascii="Arial" w:hAnsi="Arial"/>
          <w:color w:val="231F20"/>
          <w:spacing w:val="40"/>
          <w:sz w:val="14"/>
        </w:rPr>
        <w:t> </w:t>
      </w:r>
      <w:r>
        <w:rPr>
          <w:rFonts w:ascii="Arial" w:hAnsi="Arial"/>
          <w:color w:val="231F20"/>
          <w:sz w:val="14"/>
        </w:rPr>
        <w:t>Ce phénomène est le</w:t>
      </w:r>
      <w:r>
        <w:rPr>
          <w:rFonts w:ascii="Arial" w:hAnsi="Arial"/>
          <w:color w:val="231F20"/>
          <w:spacing w:val="40"/>
          <w:sz w:val="14"/>
        </w:rPr>
        <w:t> </w:t>
      </w:r>
      <w:r>
        <w:rPr>
          <w:rFonts w:ascii="Arial" w:hAnsi="Arial"/>
          <w:color w:val="231F20"/>
          <w:sz w:val="14"/>
        </w:rPr>
        <w:t>fondement des initiatives</w:t>
      </w:r>
    </w:p>
    <w:p>
      <w:pPr>
        <w:spacing w:line="268" w:lineRule="auto" w:before="0"/>
        <w:ind w:left="1225" w:right="0" w:firstLine="535"/>
        <w:jc w:val="right"/>
        <w:rPr>
          <w:rFonts w:ascii="Arial" w:hAnsi="Arial"/>
          <w:sz w:val="14"/>
        </w:rPr>
      </w:pPr>
      <w:r>
        <w:rPr>
          <w:rFonts w:ascii="Arial" w:hAnsi="Arial"/>
          <w:color w:val="231F20"/>
          <w:spacing w:val="-2"/>
          <w:sz w:val="14"/>
        </w:rPr>
        <w:t>d’habilitation</w:t>
      </w:r>
      <w:r>
        <w:rPr>
          <w:rFonts w:ascii="Arial" w:hAnsi="Arial"/>
          <w:color w:val="231F20"/>
          <w:spacing w:val="40"/>
          <w:sz w:val="14"/>
        </w:rPr>
        <w:t> </w:t>
      </w:r>
      <w:r>
        <w:rPr>
          <w:rFonts w:ascii="Arial" w:hAnsi="Arial"/>
          <w:color w:val="231F20"/>
          <w:spacing w:val="-2"/>
          <w:sz w:val="14"/>
        </w:rPr>
        <w:t>(</w:t>
      </w:r>
      <w:r>
        <w:rPr>
          <w:rFonts w:ascii="Arial" w:hAnsi="Arial"/>
          <w:i/>
          <w:color w:val="231F20"/>
          <w:spacing w:val="-2"/>
          <w:sz w:val="14"/>
        </w:rPr>
        <w:t>empowerment</w:t>
      </w:r>
      <w:r>
        <w:rPr>
          <w:rFonts w:ascii="Arial" w:hAnsi="Arial"/>
          <w:color w:val="231F20"/>
          <w:spacing w:val="-2"/>
          <w:sz w:val="14"/>
        </w:rPr>
        <w:t>)</w:t>
      </w:r>
      <w:r>
        <w:rPr>
          <w:rFonts w:ascii="Arial" w:hAnsi="Arial"/>
          <w:color w:val="231F20"/>
          <w:spacing w:val="-8"/>
          <w:sz w:val="14"/>
        </w:rPr>
        <w:t> </w:t>
      </w:r>
      <w:r>
        <w:rPr>
          <w:rFonts w:ascii="Arial" w:hAnsi="Arial"/>
          <w:color w:val="231F20"/>
          <w:spacing w:val="-2"/>
          <w:sz w:val="14"/>
        </w:rPr>
        <w:t>mises</w:t>
      </w:r>
      <w:r>
        <w:rPr>
          <w:rFonts w:ascii="Arial" w:hAnsi="Arial"/>
          <w:color w:val="231F20"/>
          <w:spacing w:val="40"/>
          <w:sz w:val="14"/>
        </w:rPr>
        <w:t> </w:t>
      </w:r>
      <w:r>
        <w:rPr>
          <w:rFonts w:ascii="Arial" w:hAnsi="Arial"/>
          <w:color w:val="231F20"/>
          <w:sz w:val="14"/>
        </w:rPr>
        <w:t>en œuvre au sein de</w:t>
      </w:r>
      <w:r>
        <w:rPr>
          <w:rFonts w:ascii="Arial" w:hAnsi="Arial"/>
          <w:color w:val="231F20"/>
          <w:spacing w:val="40"/>
          <w:sz w:val="14"/>
        </w:rPr>
        <w:t> </w:t>
      </w:r>
      <w:r>
        <w:rPr>
          <w:rFonts w:ascii="Arial" w:hAnsi="Arial"/>
          <w:color w:val="231F20"/>
          <w:sz w:val="14"/>
        </w:rPr>
        <w:t>certaines</w:t>
      </w:r>
      <w:r>
        <w:rPr>
          <w:rFonts w:ascii="Arial" w:hAnsi="Arial"/>
          <w:color w:val="231F20"/>
          <w:spacing w:val="-7"/>
          <w:sz w:val="14"/>
        </w:rPr>
        <w:t> </w:t>
      </w:r>
      <w:r>
        <w:rPr>
          <w:rFonts w:ascii="Arial" w:hAnsi="Arial"/>
          <w:color w:val="231F20"/>
          <w:spacing w:val="-2"/>
          <w:sz w:val="14"/>
        </w:rPr>
        <w:t>entreprises.</w:t>
      </w:r>
    </w:p>
    <w:p>
      <w:pPr>
        <w:pStyle w:val="BodyText"/>
        <w:spacing w:line="307" w:lineRule="auto" w:before="54"/>
        <w:ind w:left="200" w:right="491"/>
        <w:jc w:val="both"/>
      </w:pPr>
      <w:r>
        <w:rPr/>
        <w:br w:type="column"/>
      </w:r>
      <w:r>
        <w:rPr>
          <w:color w:val="231F20"/>
          <w:w w:val="120"/>
        </w:rPr>
        <w:t>manière coordonnée, synergique et efficace. Comme l’affirme Arrow, la confiance sert de facilitateur</w:t>
      </w:r>
      <w:r>
        <w:rPr>
          <w:color w:val="231F20"/>
          <w:spacing w:val="-13"/>
          <w:w w:val="120"/>
        </w:rPr>
        <w:t> </w:t>
      </w:r>
      <w:r>
        <w:rPr>
          <w:color w:val="231F20"/>
          <w:w w:val="120"/>
        </w:rPr>
        <w:t>aux</w:t>
      </w:r>
      <w:r>
        <w:rPr>
          <w:color w:val="231F20"/>
          <w:spacing w:val="-11"/>
          <w:w w:val="120"/>
        </w:rPr>
        <w:t> </w:t>
      </w:r>
      <w:r>
        <w:rPr>
          <w:color w:val="231F20"/>
          <w:w w:val="120"/>
        </w:rPr>
        <w:t>systèmes</w:t>
      </w:r>
      <w:r>
        <w:rPr>
          <w:color w:val="231F20"/>
          <w:spacing w:val="-11"/>
          <w:w w:val="120"/>
        </w:rPr>
        <w:t> </w:t>
      </w:r>
      <w:r>
        <w:rPr>
          <w:color w:val="231F20"/>
          <w:w w:val="120"/>
        </w:rPr>
        <w:t>sociaux.</w:t>
      </w:r>
      <w:r>
        <w:rPr>
          <w:color w:val="231F20"/>
          <w:spacing w:val="-11"/>
          <w:w w:val="120"/>
        </w:rPr>
        <w:t> </w:t>
      </w:r>
      <w:r>
        <w:rPr>
          <w:color w:val="231F20"/>
          <w:w w:val="120"/>
        </w:rPr>
        <w:t>Oser</w:t>
      </w:r>
      <w:r>
        <w:rPr>
          <w:color w:val="231F20"/>
          <w:spacing w:val="-11"/>
          <w:w w:val="120"/>
        </w:rPr>
        <w:t> </w:t>
      </w:r>
      <w:r>
        <w:rPr>
          <w:color w:val="231F20"/>
          <w:w w:val="120"/>
        </w:rPr>
        <w:t>conso- lider</w:t>
      </w:r>
      <w:r>
        <w:rPr>
          <w:color w:val="231F20"/>
          <w:w w:val="120"/>
        </w:rPr>
        <w:t> cette</w:t>
      </w:r>
      <w:r>
        <w:rPr>
          <w:color w:val="231F20"/>
          <w:w w:val="120"/>
        </w:rPr>
        <w:t> confiance</w:t>
      </w:r>
      <w:r>
        <w:rPr>
          <w:color w:val="231F20"/>
          <w:w w:val="120"/>
        </w:rPr>
        <w:t> au</w:t>
      </w:r>
      <w:r>
        <w:rPr>
          <w:color w:val="231F20"/>
          <w:w w:val="120"/>
        </w:rPr>
        <w:t> sein</w:t>
      </w:r>
      <w:r>
        <w:rPr>
          <w:color w:val="231F20"/>
          <w:w w:val="120"/>
        </w:rPr>
        <w:t> des</w:t>
      </w:r>
      <w:r>
        <w:rPr>
          <w:color w:val="231F20"/>
          <w:w w:val="120"/>
        </w:rPr>
        <w:t> systèmes </w:t>
      </w:r>
      <w:r>
        <w:rPr>
          <w:color w:val="231F20"/>
          <w:spacing w:val="-2"/>
          <w:w w:val="120"/>
        </w:rPr>
        <w:t>sociaux</w:t>
      </w:r>
      <w:r>
        <w:rPr>
          <w:color w:val="231F20"/>
          <w:spacing w:val="-6"/>
          <w:w w:val="120"/>
        </w:rPr>
        <w:t> </w:t>
      </w:r>
      <w:r>
        <w:rPr>
          <w:color w:val="231F20"/>
          <w:spacing w:val="-2"/>
          <w:w w:val="120"/>
        </w:rPr>
        <w:t>est</w:t>
      </w:r>
      <w:r>
        <w:rPr>
          <w:color w:val="231F20"/>
          <w:spacing w:val="-6"/>
          <w:w w:val="120"/>
        </w:rPr>
        <w:t> </w:t>
      </w:r>
      <w:r>
        <w:rPr>
          <w:color w:val="231F20"/>
          <w:spacing w:val="-2"/>
          <w:w w:val="120"/>
        </w:rPr>
        <w:t>essentiel</w:t>
      </w:r>
      <w:r>
        <w:rPr>
          <w:color w:val="231F20"/>
          <w:spacing w:val="-6"/>
          <w:w w:val="120"/>
        </w:rPr>
        <w:t> </w:t>
      </w:r>
      <w:r>
        <w:rPr>
          <w:color w:val="231F20"/>
          <w:spacing w:val="-2"/>
          <w:w w:val="120"/>
        </w:rPr>
        <w:t>afin</w:t>
      </w:r>
      <w:r>
        <w:rPr>
          <w:color w:val="231F20"/>
          <w:spacing w:val="-6"/>
          <w:w w:val="120"/>
        </w:rPr>
        <w:t> </w:t>
      </w:r>
      <w:r>
        <w:rPr>
          <w:color w:val="231F20"/>
          <w:spacing w:val="-2"/>
          <w:w w:val="120"/>
        </w:rPr>
        <w:t>d’éviter</w:t>
      </w:r>
      <w:r>
        <w:rPr>
          <w:color w:val="231F20"/>
          <w:spacing w:val="-6"/>
          <w:w w:val="120"/>
        </w:rPr>
        <w:t> </w:t>
      </w:r>
      <w:r>
        <w:rPr>
          <w:color w:val="231F20"/>
          <w:spacing w:val="-2"/>
          <w:w w:val="120"/>
        </w:rPr>
        <w:t>les</w:t>
      </w:r>
      <w:r>
        <w:rPr>
          <w:color w:val="231F20"/>
          <w:spacing w:val="-6"/>
          <w:w w:val="120"/>
        </w:rPr>
        <w:t> </w:t>
      </w:r>
      <w:r>
        <w:rPr>
          <w:color w:val="231F20"/>
          <w:spacing w:val="-2"/>
          <w:w w:val="120"/>
        </w:rPr>
        <w:t>conflits</w:t>
      </w:r>
      <w:r>
        <w:rPr>
          <w:color w:val="231F20"/>
          <w:spacing w:val="-6"/>
          <w:w w:val="120"/>
        </w:rPr>
        <w:t> </w:t>
      </w:r>
      <w:r>
        <w:rPr>
          <w:color w:val="231F20"/>
          <w:spacing w:val="-2"/>
          <w:w w:val="120"/>
        </w:rPr>
        <w:t>et </w:t>
      </w:r>
      <w:r>
        <w:rPr>
          <w:color w:val="231F20"/>
          <w:w w:val="120"/>
        </w:rPr>
        <w:t>de gérer le changement18.</w:t>
      </w:r>
    </w:p>
    <w:p>
      <w:pPr>
        <w:pStyle w:val="BodyText"/>
        <w:spacing w:line="307" w:lineRule="auto" w:before="74"/>
        <w:ind w:left="200" w:right="490" w:firstLine="250"/>
        <w:jc w:val="both"/>
      </w:pPr>
      <w:r>
        <w:rPr>
          <w:color w:val="231F20"/>
          <w:w w:val="120"/>
        </w:rPr>
        <w:t>Toutefois,</w:t>
      </w:r>
      <w:r>
        <w:rPr>
          <w:color w:val="231F20"/>
          <w:w w:val="120"/>
        </w:rPr>
        <w:t> la</w:t>
      </w:r>
      <w:r>
        <w:rPr>
          <w:color w:val="231F20"/>
          <w:w w:val="120"/>
        </w:rPr>
        <w:t> confiance</w:t>
      </w:r>
      <w:r>
        <w:rPr>
          <w:color w:val="231F20"/>
          <w:w w:val="120"/>
        </w:rPr>
        <w:t> en</w:t>
      </w:r>
      <w:r>
        <w:rPr>
          <w:color w:val="231F20"/>
          <w:w w:val="120"/>
        </w:rPr>
        <w:t> soi</w:t>
      </w:r>
      <w:r>
        <w:rPr>
          <w:color w:val="231F20"/>
          <w:w w:val="120"/>
        </w:rPr>
        <w:t> n’est</w:t>
      </w:r>
      <w:r>
        <w:rPr>
          <w:color w:val="231F20"/>
          <w:w w:val="120"/>
        </w:rPr>
        <w:t> pas </w:t>
      </w:r>
      <w:r>
        <w:rPr>
          <w:color w:val="231F20"/>
          <w:w w:val="115"/>
        </w:rPr>
        <w:t>synonyme</w:t>
      </w:r>
      <w:r>
        <w:rPr>
          <w:color w:val="231F20"/>
          <w:spacing w:val="-4"/>
          <w:w w:val="115"/>
        </w:rPr>
        <w:t> </w:t>
      </w:r>
      <w:r>
        <w:rPr>
          <w:color w:val="231F20"/>
          <w:w w:val="115"/>
        </w:rPr>
        <w:t>d’estime</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La</w:t>
      </w:r>
      <w:r>
        <w:rPr>
          <w:color w:val="231F20"/>
          <w:spacing w:val="-4"/>
          <w:w w:val="115"/>
        </w:rPr>
        <w:t> </w:t>
      </w:r>
      <w:r>
        <w:rPr>
          <w:color w:val="231F20"/>
          <w:w w:val="115"/>
        </w:rPr>
        <w:t>confiance</w:t>
      </w:r>
      <w:r>
        <w:rPr>
          <w:color w:val="231F20"/>
          <w:spacing w:val="-4"/>
          <w:w w:val="115"/>
        </w:rPr>
        <w:t> </w:t>
      </w:r>
      <w:r>
        <w:rPr>
          <w:color w:val="231F20"/>
          <w:w w:val="115"/>
        </w:rPr>
        <w:t>est</w:t>
      </w:r>
      <w:r>
        <w:rPr>
          <w:color w:val="231F20"/>
          <w:spacing w:val="-4"/>
          <w:w w:val="115"/>
        </w:rPr>
        <w:t> </w:t>
      </w:r>
      <w:r>
        <w:rPr>
          <w:color w:val="231F20"/>
          <w:w w:val="115"/>
        </w:rPr>
        <w:t>une </w:t>
      </w:r>
      <w:r>
        <w:rPr>
          <w:color w:val="231F20"/>
          <w:w w:val="120"/>
        </w:rPr>
        <w:t>valeur</w:t>
      </w:r>
      <w:r>
        <w:rPr>
          <w:color w:val="231F20"/>
          <w:spacing w:val="-2"/>
          <w:w w:val="120"/>
        </w:rPr>
        <w:t> </w:t>
      </w:r>
      <w:r>
        <w:rPr>
          <w:color w:val="231F20"/>
          <w:w w:val="120"/>
        </w:rPr>
        <w:t>importante,</w:t>
      </w:r>
      <w:r>
        <w:rPr>
          <w:color w:val="231F20"/>
          <w:spacing w:val="-2"/>
          <w:w w:val="120"/>
        </w:rPr>
        <w:t> </w:t>
      </w:r>
      <w:r>
        <w:rPr>
          <w:color w:val="231F20"/>
          <w:w w:val="120"/>
        </w:rPr>
        <w:t>pure,</w:t>
      </w:r>
      <w:r>
        <w:rPr>
          <w:color w:val="231F20"/>
          <w:spacing w:val="-2"/>
          <w:w w:val="120"/>
        </w:rPr>
        <w:t> </w:t>
      </w:r>
      <w:r>
        <w:rPr>
          <w:color w:val="231F20"/>
          <w:w w:val="120"/>
        </w:rPr>
        <w:t>intrinsèque,</w:t>
      </w:r>
      <w:r>
        <w:rPr>
          <w:color w:val="231F20"/>
          <w:spacing w:val="-2"/>
          <w:w w:val="120"/>
        </w:rPr>
        <w:t> </w:t>
      </w:r>
      <w:r>
        <w:rPr>
          <w:color w:val="231F20"/>
          <w:w w:val="120"/>
        </w:rPr>
        <w:t>un</w:t>
      </w:r>
      <w:r>
        <w:rPr>
          <w:color w:val="231F20"/>
          <w:spacing w:val="-2"/>
          <w:w w:val="120"/>
        </w:rPr>
        <w:t> </w:t>
      </w:r>
      <w:r>
        <w:rPr>
          <w:color w:val="231F20"/>
          <w:w w:val="120"/>
        </w:rPr>
        <w:t>choix stratégique</w:t>
      </w:r>
      <w:r>
        <w:rPr>
          <w:color w:val="231F20"/>
          <w:spacing w:val="4"/>
          <w:w w:val="120"/>
        </w:rPr>
        <w:t> </w:t>
      </w:r>
      <w:r>
        <w:rPr>
          <w:color w:val="231F20"/>
          <w:w w:val="120"/>
        </w:rPr>
        <w:t>courageux.</w:t>
      </w:r>
      <w:r>
        <w:rPr>
          <w:color w:val="231F20"/>
          <w:spacing w:val="4"/>
          <w:w w:val="120"/>
        </w:rPr>
        <w:t> </w:t>
      </w:r>
      <w:r>
        <w:rPr>
          <w:color w:val="231F20"/>
          <w:w w:val="120"/>
        </w:rPr>
        <w:t>Il</w:t>
      </w:r>
      <w:r>
        <w:rPr>
          <w:color w:val="231F20"/>
          <w:spacing w:val="4"/>
          <w:w w:val="120"/>
        </w:rPr>
        <w:t> </w:t>
      </w:r>
      <w:r>
        <w:rPr>
          <w:color w:val="231F20"/>
          <w:w w:val="120"/>
        </w:rPr>
        <w:t>faut</w:t>
      </w:r>
      <w:r>
        <w:rPr>
          <w:color w:val="231F20"/>
          <w:spacing w:val="4"/>
          <w:w w:val="120"/>
        </w:rPr>
        <w:t> </w:t>
      </w:r>
      <w:r>
        <w:rPr>
          <w:color w:val="231F20"/>
          <w:w w:val="120"/>
        </w:rPr>
        <w:t>avoir</w:t>
      </w:r>
      <w:r>
        <w:rPr>
          <w:color w:val="231F20"/>
          <w:spacing w:val="4"/>
          <w:w w:val="120"/>
        </w:rPr>
        <w:t> </w:t>
      </w:r>
      <w:r>
        <w:rPr>
          <w:color w:val="231F20"/>
          <w:spacing w:val="-2"/>
          <w:w w:val="120"/>
        </w:rPr>
        <w:t>confiance</w:t>
      </w:r>
    </w:p>
    <w:p>
      <w:pPr>
        <w:spacing w:after="0" w:line="307" w:lineRule="auto"/>
        <w:jc w:val="both"/>
        <w:sectPr>
          <w:type w:val="continuous"/>
          <w:pgSz w:w="8640" w:h="12960"/>
          <w:pgMar w:header="0" w:footer="424" w:top="1220" w:bottom="280" w:left="420" w:right="1140"/>
          <w:cols w:num="2" w:equalWidth="0">
            <w:col w:w="2591" w:space="40"/>
            <w:col w:w="4449"/>
          </w:cols>
        </w:sectPr>
      </w:pPr>
    </w:p>
    <w:p>
      <w:pPr>
        <w:pStyle w:val="BodyText"/>
        <w:spacing w:line="307" w:lineRule="auto" w:before="5"/>
        <w:ind w:left="829" w:right="490"/>
        <w:jc w:val="both"/>
      </w:pPr>
      <w:r>
        <w:rPr>
          <w:color w:val="231F20"/>
          <w:w w:val="120"/>
        </w:rPr>
        <w:t>en</w:t>
      </w:r>
      <w:r>
        <w:rPr>
          <w:color w:val="231F20"/>
          <w:spacing w:val="29"/>
          <w:w w:val="120"/>
        </w:rPr>
        <w:t> </w:t>
      </w:r>
      <w:r>
        <w:rPr>
          <w:color w:val="231F20"/>
          <w:w w:val="120"/>
        </w:rPr>
        <w:t>soi-même</w:t>
      </w:r>
      <w:r>
        <w:rPr>
          <w:color w:val="231F20"/>
          <w:spacing w:val="29"/>
          <w:w w:val="120"/>
        </w:rPr>
        <w:t> </w:t>
      </w:r>
      <w:r>
        <w:rPr>
          <w:color w:val="231F20"/>
          <w:w w:val="120"/>
        </w:rPr>
        <w:t>ou</w:t>
      </w:r>
      <w:r>
        <w:rPr>
          <w:color w:val="231F20"/>
          <w:spacing w:val="29"/>
          <w:w w:val="120"/>
        </w:rPr>
        <w:t> </w:t>
      </w:r>
      <w:r>
        <w:rPr>
          <w:color w:val="231F20"/>
          <w:w w:val="120"/>
        </w:rPr>
        <w:t>en</w:t>
      </w:r>
      <w:r>
        <w:rPr>
          <w:color w:val="231F20"/>
          <w:spacing w:val="29"/>
          <w:w w:val="120"/>
        </w:rPr>
        <w:t> </w:t>
      </w:r>
      <w:r>
        <w:rPr>
          <w:color w:val="231F20"/>
          <w:w w:val="120"/>
        </w:rPr>
        <w:t>autrui</w:t>
      </w:r>
      <w:r>
        <w:rPr>
          <w:color w:val="231F20"/>
          <w:spacing w:val="29"/>
          <w:w w:val="120"/>
        </w:rPr>
        <w:t> </w:t>
      </w:r>
      <w:r>
        <w:rPr>
          <w:color w:val="231F20"/>
          <w:w w:val="120"/>
        </w:rPr>
        <w:t>lorsqu’on</w:t>
      </w:r>
      <w:r>
        <w:rPr>
          <w:color w:val="231F20"/>
          <w:spacing w:val="29"/>
          <w:w w:val="120"/>
        </w:rPr>
        <w:t> </w:t>
      </w:r>
      <w:r>
        <w:rPr>
          <w:color w:val="231F20"/>
          <w:w w:val="120"/>
        </w:rPr>
        <w:t>décide</w:t>
      </w:r>
      <w:r>
        <w:rPr>
          <w:color w:val="231F20"/>
          <w:spacing w:val="29"/>
          <w:w w:val="120"/>
        </w:rPr>
        <w:t> </w:t>
      </w:r>
      <w:r>
        <w:rPr>
          <w:color w:val="231F20"/>
          <w:w w:val="120"/>
        </w:rPr>
        <w:t>de</w:t>
      </w:r>
      <w:r>
        <w:rPr>
          <w:color w:val="231F20"/>
          <w:spacing w:val="29"/>
          <w:w w:val="120"/>
        </w:rPr>
        <w:t> </w:t>
      </w:r>
      <w:r>
        <w:rPr>
          <w:color w:val="231F20"/>
          <w:w w:val="120"/>
        </w:rPr>
        <w:t>prendre</w:t>
      </w:r>
      <w:r>
        <w:rPr>
          <w:color w:val="231F20"/>
          <w:spacing w:val="29"/>
          <w:w w:val="120"/>
        </w:rPr>
        <w:t> </w:t>
      </w:r>
      <w:r>
        <w:rPr>
          <w:color w:val="231F20"/>
          <w:w w:val="120"/>
        </w:rPr>
        <w:t>le</w:t>
      </w:r>
      <w:r>
        <w:rPr>
          <w:color w:val="231F20"/>
          <w:spacing w:val="29"/>
          <w:w w:val="120"/>
        </w:rPr>
        <w:t> </w:t>
      </w:r>
      <w:r>
        <w:rPr>
          <w:color w:val="231F20"/>
          <w:w w:val="120"/>
        </w:rPr>
        <w:t>risque</w:t>
      </w:r>
      <w:r>
        <w:rPr>
          <w:color w:val="231F20"/>
          <w:spacing w:val="29"/>
          <w:w w:val="120"/>
        </w:rPr>
        <w:t> </w:t>
      </w:r>
      <w:r>
        <w:rPr>
          <w:color w:val="231F20"/>
          <w:w w:val="120"/>
        </w:rPr>
        <w:t>de se rendre vulnérable aux conséquences de son propre comportement ou de celui des autres sans se sentir intimidé, sans crainte inhibitrice des</w:t>
      </w:r>
      <w:r>
        <w:rPr>
          <w:color w:val="231F20"/>
          <w:spacing w:val="-11"/>
          <w:w w:val="120"/>
        </w:rPr>
        <w:t> </w:t>
      </w:r>
      <w:r>
        <w:rPr>
          <w:color w:val="231F20"/>
          <w:w w:val="120"/>
        </w:rPr>
        <w:t>conséquences.</w:t>
      </w:r>
    </w:p>
    <w:p>
      <w:pPr>
        <w:pStyle w:val="BodyText"/>
        <w:rPr>
          <w:sz w:val="24"/>
        </w:rPr>
      </w:pPr>
    </w:p>
    <w:p>
      <w:pPr>
        <w:pStyle w:val="Heading2"/>
        <w:numPr>
          <w:ilvl w:val="1"/>
          <w:numId w:val="62"/>
        </w:numPr>
        <w:tabs>
          <w:tab w:pos="521" w:val="left" w:leader="none"/>
          <w:tab w:pos="829" w:val="left" w:leader="none"/>
        </w:tabs>
        <w:spacing w:line="240" w:lineRule="auto" w:before="184" w:after="0"/>
        <w:ind w:left="520" w:right="0" w:hanging="325"/>
        <w:jc w:val="left"/>
      </w:pPr>
      <w:r>
        <w:rPr>
          <w:b w:val="0"/>
          <w:i/>
          <w:color w:val="231F20"/>
          <w:spacing w:val="-10"/>
        </w:rPr>
        <w:t>/</w:t>
      </w:r>
      <w:r>
        <w:rPr>
          <w:b w:val="0"/>
          <w:i/>
          <w:color w:val="231F20"/>
        </w:rPr>
        <w:tab/>
      </w:r>
      <w:r>
        <w:rPr>
          <w:color w:val="231F20"/>
          <w:w w:val="95"/>
        </w:rPr>
        <w:t>Origines</w:t>
      </w:r>
      <w:r>
        <w:rPr>
          <w:color w:val="231F20"/>
          <w:spacing w:val="-10"/>
          <w:w w:val="95"/>
        </w:rPr>
        <w:t> </w:t>
      </w:r>
      <w:r>
        <w:rPr>
          <w:color w:val="231F20"/>
          <w:w w:val="95"/>
        </w:rPr>
        <w:t>et</w:t>
      </w:r>
      <w:r>
        <w:rPr>
          <w:color w:val="231F20"/>
          <w:spacing w:val="-10"/>
          <w:w w:val="95"/>
        </w:rPr>
        <w:t> </w:t>
      </w:r>
      <w:r>
        <w:rPr>
          <w:color w:val="231F20"/>
          <w:w w:val="95"/>
        </w:rPr>
        <w:t>incidences</w:t>
      </w:r>
      <w:r>
        <w:rPr>
          <w:color w:val="231F20"/>
          <w:spacing w:val="-10"/>
          <w:w w:val="95"/>
        </w:rPr>
        <w:t> </w:t>
      </w:r>
      <w:r>
        <w:rPr>
          <w:color w:val="231F20"/>
          <w:w w:val="95"/>
        </w:rPr>
        <w:t>de</w:t>
      </w:r>
      <w:r>
        <w:rPr>
          <w:color w:val="231F20"/>
          <w:spacing w:val="-10"/>
          <w:w w:val="95"/>
        </w:rPr>
        <w:t> </w:t>
      </w:r>
      <w:r>
        <w:rPr>
          <w:color w:val="231F20"/>
          <w:w w:val="95"/>
        </w:rPr>
        <w:t>l’estime</w:t>
      </w:r>
      <w:r>
        <w:rPr>
          <w:color w:val="231F20"/>
          <w:spacing w:val="-10"/>
          <w:w w:val="95"/>
        </w:rPr>
        <w:t> </w:t>
      </w:r>
      <w:r>
        <w:rPr>
          <w:color w:val="231F20"/>
          <w:w w:val="95"/>
        </w:rPr>
        <w:t>de</w:t>
      </w:r>
      <w:r>
        <w:rPr>
          <w:color w:val="231F20"/>
          <w:spacing w:val="-10"/>
          <w:w w:val="95"/>
        </w:rPr>
        <w:t> </w:t>
      </w:r>
      <w:r>
        <w:rPr>
          <w:color w:val="231F20"/>
          <w:spacing w:val="-5"/>
          <w:w w:val="95"/>
        </w:rPr>
        <w:t>soi</w:t>
      </w:r>
    </w:p>
    <w:p>
      <w:pPr>
        <w:pStyle w:val="BodyText"/>
        <w:spacing w:before="9"/>
        <w:rPr>
          <w:rFonts w:ascii="Arial"/>
          <w:b/>
          <w:sz w:val="25"/>
        </w:rPr>
      </w:pPr>
    </w:p>
    <w:p>
      <w:pPr>
        <w:pStyle w:val="BodyText"/>
        <w:spacing w:line="307" w:lineRule="auto"/>
        <w:ind w:left="830" w:right="494"/>
        <w:jc w:val="both"/>
      </w:pPr>
      <w:r>
        <w:rPr>
          <w:color w:val="231F20"/>
          <w:w w:val="115"/>
        </w:rPr>
        <w:t>Comme</w:t>
      </w:r>
      <w:r>
        <w:rPr>
          <w:color w:val="231F20"/>
          <w:spacing w:val="-4"/>
          <w:w w:val="115"/>
        </w:rPr>
        <w:t> </w:t>
      </w:r>
      <w:r>
        <w:rPr>
          <w:color w:val="231F20"/>
          <w:w w:val="115"/>
        </w:rPr>
        <w:t>il</w:t>
      </w:r>
      <w:r>
        <w:rPr>
          <w:color w:val="231F20"/>
          <w:spacing w:val="-4"/>
          <w:w w:val="115"/>
        </w:rPr>
        <w:t> </w:t>
      </w:r>
      <w:r>
        <w:rPr>
          <w:color w:val="231F20"/>
          <w:w w:val="115"/>
        </w:rPr>
        <w:t>est</w:t>
      </w:r>
      <w:r>
        <w:rPr>
          <w:color w:val="231F20"/>
          <w:spacing w:val="-4"/>
          <w:w w:val="115"/>
        </w:rPr>
        <w:t> </w:t>
      </w:r>
      <w:r>
        <w:rPr>
          <w:color w:val="231F20"/>
          <w:w w:val="115"/>
        </w:rPr>
        <w:t>possible</w:t>
      </w:r>
      <w:r>
        <w:rPr>
          <w:color w:val="231F20"/>
          <w:spacing w:val="-4"/>
          <w:w w:val="115"/>
        </w:rPr>
        <w:t> </w:t>
      </w:r>
      <w:r>
        <w:rPr>
          <w:color w:val="231F20"/>
          <w:w w:val="115"/>
        </w:rPr>
        <w:t>de</w:t>
      </w:r>
      <w:r>
        <w:rPr>
          <w:color w:val="231F20"/>
          <w:spacing w:val="-4"/>
          <w:w w:val="115"/>
        </w:rPr>
        <w:t> </w:t>
      </w:r>
      <w:r>
        <w:rPr>
          <w:color w:val="231F20"/>
          <w:w w:val="115"/>
        </w:rPr>
        <w:t>le</w:t>
      </w:r>
      <w:r>
        <w:rPr>
          <w:color w:val="231F20"/>
          <w:spacing w:val="-4"/>
          <w:w w:val="115"/>
        </w:rPr>
        <w:t> </w:t>
      </w:r>
      <w:r>
        <w:rPr>
          <w:color w:val="231F20"/>
          <w:w w:val="115"/>
        </w:rPr>
        <w:t>constater,</w:t>
      </w:r>
      <w:r>
        <w:rPr>
          <w:color w:val="231F20"/>
          <w:spacing w:val="-4"/>
          <w:w w:val="115"/>
        </w:rPr>
        <w:t> </w:t>
      </w:r>
      <w:r>
        <w:rPr>
          <w:color w:val="231F20"/>
          <w:w w:val="115"/>
        </w:rPr>
        <w:t>l’estime</w:t>
      </w:r>
      <w:r>
        <w:rPr>
          <w:color w:val="231F20"/>
          <w:spacing w:val="-4"/>
          <w:w w:val="115"/>
        </w:rPr>
        <w:t> </w:t>
      </w:r>
      <w:r>
        <w:rPr>
          <w:color w:val="231F20"/>
          <w:w w:val="115"/>
        </w:rPr>
        <w:t>de</w:t>
      </w:r>
      <w:r>
        <w:rPr>
          <w:color w:val="231F20"/>
          <w:spacing w:val="-4"/>
          <w:w w:val="115"/>
        </w:rPr>
        <w:t> </w:t>
      </w:r>
      <w:r>
        <w:rPr>
          <w:color w:val="231F20"/>
          <w:w w:val="115"/>
        </w:rPr>
        <w:t>soi</w:t>
      </w:r>
      <w:r>
        <w:rPr>
          <w:color w:val="231F20"/>
          <w:spacing w:val="-4"/>
          <w:w w:val="115"/>
        </w:rPr>
        <w:t> </w:t>
      </w:r>
      <w:r>
        <w:rPr>
          <w:color w:val="231F20"/>
          <w:w w:val="115"/>
        </w:rPr>
        <w:t>est</w:t>
      </w:r>
      <w:r>
        <w:rPr>
          <w:color w:val="231F20"/>
          <w:spacing w:val="-4"/>
          <w:w w:val="115"/>
        </w:rPr>
        <w:t> </w:t>
      </w:r>
      <w:r>
        <w:rPr>
          <w:color w:val="231F20"/>
          <w:w w:val="115"/>
        </w:rPr>
        <w:t>un</w:t>
      </w:r>
      <w:r>
        <w:rPr>
          <w:color w:val="231F20"/>
          <w:spacing w:val="-4"/>
          <w:w w:val="115"/>
        </w:rPr>
        <w:t> </w:t>
      </w:r>
      <w:r>
        <w:rPr>
          <w:color w:val="231F20"/>
          <w:w w:val="115"/>
        </w:rPr>
        <w:t>concept</w:t>
      </w:r>
      <w:r>
        <w:rPr>
          <w:color w:val="231F20"/>
          <w:spacing w:val="-4"/>
          <w:w w:val="115"/>
        </w:rPr>
        <w:t> </w:t>
      </w:r>
      <w:r>
        <w:rPr>
          <w:color w:val="231F20"/>
          <w:w w:val="115"/>
        </w:rPr>
        <w:t>com- </w:t>
      </w:r>
      <w:r>
        <w:rPr>
          <w:color w:val="231F20"/>
          <w:w w:val="120"/>
        </w:rPr>
        <w:t>plexe dont le rôle est central dans la consolidation et la protection de l’identité</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personne.</w:t>
      </w:r>
      <w:r>
        <w:rPr>
          <w:color w:val="231F20"/>
          <w:spacing w:val="-5"/>
          <w:w w:val="120"/>
        </w:rPr>
        <w:t> </w:t>
      </w:r>
      <w:r>
        <w:rPr>
          <w:color w:val="231F20"/>
          <w:w w:val="120"/>
        </w:rPr>
        <w:t>Cette</w:t>
      </w:r>
      <w:r>
        <w:rPr>
          <w:color w:val="231F20"/>
          <w:spacing w:val="-5"/>
          <w:w w:val="120"/>
        </w:rPr>
        <w:t> </w:t>
      </w:r>
      <w:r>
        <w:rPr>
          <w:color w:val="231F20"/>
          <w:w w:val="120"/>
        </w:rPr>
        <w:t>complexité</w:t>
      </w:r>
      <w:r>
        <w:rPr>
          <w:color w:val="231F20"/>
          <w:spacing w:val="-5"/>
          <w:w w:val="120"/>
        </w:rPr>
        <w:t> </w:t>
      </w:r>
      <w:r>
        <w:rPr>
          <w:color w:val="231F20"/>
          <w:w w:val="120"/>
        </w:rPr>
        <w:t>tire</w:t>
      </w:r>
      <w:r>
        <w:rPr>
          <w:color w:val="231F20"/>
          <w:spacing w:val="-5"/>
          <w:w w:val="120"/>
        </w:rPr>
        <w:t> </w:t>
      </w:r>
      <w:r>
        <w:rPr>
          <w:color w:val="231F20"/>
          <w:w w:val="120"/>
        </w:rPr>
        <w:t>bien</w:t>
      </w:r>
      <w:r>
        <w:rPr>
          <w:color w:val="231F20"/>
          <w:spacing w:val="-5"/>
          <w:w w:val="120"/>
        </w:rPr>
        <w:t> </w:t>
      </w:r>
      <w:r>
        <w:rPr>
          <w:color w:val="231F20"/>
          <w:w w:val="120"/>
        </w:rPr>
        <w:t>sûr</w:t>
      </w:r>
      <w:r>
        <w:rPr>
          <w:color w:val="231F20"/>
          <w:spacing w:val="-5"/>
          <w:w w:val="120"/>
        </w:rPr>
        <w:t> </w:t>
      </w:r>
      <w:r>
        <w:rPr>
          <w:color w:val="231F20"/>
          <w:w w:val="120"/>
        </w:rPr>
        <w:t>son</w:t>
      </w:r>
      <w:r>
        <w:rPr>
          <w:color w:val="231F20"/>
          <w:spacing w:val="-5"/>
          <w:w w:val="120"/>
        </w:rPr>
        <w:t> </w:t>
      </w:r>
      <w:r>
        <w:rPr>
          <w:color w:val="231F20"/>
          <w:w w:val="120"/>
        </w:rPr>
        <w:t>origine</w:t>
      </w:r>
      <w:r>
        <w:rPr>
          <w:color w:val="231F20"/>
          <w:spacing w:val="-5"/>
          <w:w w:val="120"/>
        </w:rPr>
        <w:t> </w:t>
      </w:r>
      <w:r>
        <w:rPr>
          <w:color w:val="231F20"/>
          <w:w w:val="120"/>
        </w:rPr>
        <w:t>des </w:t>
      </w:r>
      <w:r>
        <w:rPr>
          <w:color w:val="231F20"/>
          <w:w w:val="115"/>
        </w:rPr>
        <w:t>diverses</w:t>
      </w:r>
      <w:r>
        <w:rPr>
          <w:color w:val="231F20"/>
          <w:spacing w:val="-9"/>
          <w:w w:val="115"/>
        </w:rPr>
        <w:t> </w:t>
      </w:r>
      <w:r>
        <w:rPr>
          <w:color w:val="231F20"/>
          <w:w w:val="115"/>
        </w:rPr>
        <w:t>fonctions</w:t>
      </w:r>
      <w:r>
        <w:rPr>
          <w:color w:val="231F20"/>
          <w:spacing w:val="-9"/>
          <w:w w:val="115"/>
        </w:rPr>
        <w:t> </w:t>
      </w:r>
      <w:r>
        <w:rPr>
          <w:color w:val="231F20"/>
          <w:w w:val="115"/>
        </w:rPr>
        <w:t>assumées</w:t>
      </w:r>
      <w:r>
        <w:rPr>
          <w:color w:val="231F20"/>
          <w:spacing w:val="-9"/>
          <w:w w:val="115"/>
        </w:rPr>
        <w:t> </w:t>
      </w:r>
      <w:r>
        <w:rPr>
          <w:color w:val="231F20"/>
          <w:w w:val="115"/>
        </w:rPr>
        <w:t>par</w:t>
      </w:r>
      <w:r>
        <w:rPr>
          <w:color w:val="231F20"/>
          <w:spacing w:val="-9"/>
          <w:w w:val="115"/>
        </w:rPr>
        <w:t> </w:t>
      </w:r>
      <w:r>
        <w:rPr>
          <w:color w:val="231F20"/>
          <w:w w:val="115"/>
        </w:rPr>
        <w:t>l’estime</w:t>
      </w:r>
      <w:r>
        <w:rPr>
          <w:color w:val="231F20"/>
          <w:spacing w:val="-9"/>
          <w:w w:val="115"/>
        </w:rPr>
        <w:t> </w:t>
      </w:r>
      <w:r>
        <w:rPr>
          <w:color w:val="231F20"/>
          <w:w w:val="115"/>
        </w:rPr>
        <w:t>de</w:t>
      </w:r>
      <w:r>
        <w:rPr>
          <w:color w:val="231F20"/>
          <w:spacing w:val="-9"/>
          <w:w w:val="115"/>
        </w:rPr>
        <w:t> </w:t>
      </w:r>
      <w:r>
        <w:rPr>
          <w:color w:val="231F20"/>
          <w:w w:val="115"/>
        </w:rPr>
        <w:t>soi</w:t>
      </w:r>
      <w:r>
        <w:rPr>
          <w:color w:val="231F20"/>
          <w:spacing w:val="-9"/>
          <w:w w:val="115"/>
        </w:rPr>
        <w:t> </w:t>
      </w:r>
      <w:r>
        <w:rPr>
          <w:color w:val="231F20"/>
          <w:w w:val="115"/>
        </w:rPr>
        <w:t>dans</w:t>
      </w:r>
      <w:r>
        <w:rPr>
          <w:color w:val="231F20"/>
          <w:spacing w:val="-9"/>
          <w:w w:val="115"/>
        </w:rPr>
        <w:t> </w:t>
      </w:r>
      <w:r>
        <w:rPr>
          <w:color w:val="231F20"/>
          <w:w w:val="115"/>
        </w:rPr>
        <w:t>la</w:t>
      </w:r>
      <w:r>
        <w:rPr>
          <w:color w:val="231F20"/>
          <w:spacing w:val="-9"/>
          <w:w w:val="115"/>
        </w:rPr>
        <w:t> </w:t>
      </w:r>
      <w:r>
        <w:rPr>
          <w:color w:val="231F20"/>
          <w:w w:val="115"/>
        </w:rPr>
        <w:t>préservation</w:t>
      </w:r>
      <w:r>
        <w:rPr>
          <w:color w:val="231F20"/>
          <w:spacing w:val="-9"/>
          <w:w w:val="115"/>
        </w:rPr>
        <w:t> </w:t>
      </w:r>
      <w:r>
        <w:rPr>
          <w:color w:val="231F20"/>
          <w:w w:val="115"/>
        </w:rPr>
        <w:t>d’une </w:t>
      </w:r>
      <w:r>
        <w:rPr>
          <w:color w:val="231F20"/>
          <w:spacing w:val="-2"/>
          <w:w w:val="120"/>
        </w:rPr>
        <w:t>saine</w:t>
      </w:r>
      <w:r>
        <w:rPr>
          <w:color w:val="231F20"/>
          <w:spacing w:val="-8"/>
          <w:w w:val="120"/>
        </w:rPr>
        <w:t> </w:t>
      </w:r>
      <w:r>
        <w:rPr>
          <w:color w:val="231F20"/>
          <w:spacing w:val="-2"/>
          <w:w w:val="120"/>
        </w:rPr>
        <w:t>santé</w:t>
      </w:r>
      <w:r>
        <w:rPr>
          <w:color w:val="231F20"/>
          <w:spacing w:val="-8"/>
          <w:w w:val="120"/>
        </w:rPr>
        <w:t> </w:t>
      </w:r>
      <w:r>
        <w:rPr>
          <w:color w:val="231F20"/>
          <w:spacing w:val="-2"/>
          <w:w w:val="120"/>
        </w:rPr>
        <w:t>psychologique,</w:t>
      </w:r>
      <w:r>
        <w:rPr>
          <w:color w:val="231F20"/>
          <w:spacing w:val="-8"/>
          <w:w w:val="120"/>
        </w:rPr>
        <w:t> </w:t>
      </w:r>
      <w:r>
        <w:rPr>
          <w:color w:val="231F20"/>
          <w:spacing w:val="-2"/>
          <w:w w:val="120"/>
        </w:rPr>
        <w:t>mais</w:t>
      </w:r>
      <w:r>
        <w:rPr>
          <w:color w:val="231F20"/>
          <w:spacing w:val="-8"/>
          <w:w w:val="120"/>
        </w:rPr>
        <w:t> </w:t>
      </w:r>
      <w:r>
        <w:rPr>
          <w:color w:val="231F20"/>
          <w:spacing w:val="-2"/>
          <w:w w:val="120"/>
        </w:rPr>
        <w:t>cette</w:t>
      </w:r>
      <w:r>
        <w:rPr>
          <w:color w:val="231F20"/>
          <w:spacing w:val="-8"/>
          <w:w w:val="120"/>
        </w:rPr>
        <w:t> </w:t>
      </w:r>
      <w:r>
        <w:rPr>
          <w:color w:val="231F20"/>
          <w:spacing w:val="-2"/>
          <w:w w:val="120"/>
        </w:rPr>
        <w:t>complexité</w:t>
      </w:r>
      <w:r>
        <w:rPr>
          <w:color w:val="231F20"/>
          <w:spacing w:val="-8"/>
          <w:w w:val="120"/>
        </w:rPr>
        <w:t> </w:t>
      </w:r>
      <w:r>
        <w:rPr>
          <w:color w:val="231F20"/>
          <w:spacing w:val="-2"/>
          <w:w w:val="120"/>
        </w:rPr>
        <w:t>tire</w:t>
      </w:r>
      <w:r>
        <w:rPr>
          <w:color w:val="231F20"/>
          <w:spacing w:val="-8"/>
          <w:w w:val="120"/>
        </w:rPr>
        <w:t> </w:t>
      </w:r>
      <w:r>
        <w:rPr>
          <w:color w:val="231F20"/>
          <w:spacing w:val="-2"/>
          <w:w w:val="120"/>
        </w:rPr>
        <w:t>aussi</w:t>
      </w:r>
      <w:r>
        <w:rPr>
          <w:color w:val="231F20"/>
          <w:spacing w:val="-8"/>
          <w:w w:val="120"/>
        </w:rPr>
        <w:t> </w:t>
      </w:r>
      <w:r>
        <w:rPr>
          <w:color w:val="231F20"/>
          <w:spacing w:val="-2"/>
          <w:w w:val="120"/>
        </w:rPr>
        <w:t>sa</w:t>
      </w:r>
      <w:r>
        <w:rPr>
          <w:color w:val="231F20"/>
          <w:spacing w:val="-8"/>
          <w:w w:val="120"/>
        </w:rPr>
        <w:t> </w:t>
      </w:r>
      <w:r>
        <w:rPr>
          <w:color w:val="231F20"/>
          <w:spacing w:val="-2"/>
          <w:w w:val="120"/>
        </w:rPr>
        <w:t>source</w:t>
      </w:r>
      <w:r>
        <w:rPr>
          <w:color w:val="231F20"/>
          <w:spacing w:val="-8"/>
          <w:w w:val="120"/>
        </w:rPr>
        <w:t> </w:t>
      </w:r>
      <w:r>
        <w:rPr>
          <w:color w:val="231F20"/>
          <w:spacing w:val="-2"/>
          <w:w w:val="120"/>
        </w:rPr>
        <w:t>des </w:t>
      </w:r>
      <w:r>
        <w:rPr>
          <w:color w:val="231F20"/>
          <w:w w:val="120"/>
        </w:rPr>
        <w:t>divers</w:t>
      </w:r>
      <w:r>
        <w:rPr>
          <w:color w:val="231F20"/>
          <w:spacing w:val="-8"/>
          <w:w w:val="120"/>
        </w:rPr>
        <w:t> </w:t>
      </w:r>
      <w:r>
        <w:rPr>
          <w:color w:val="231F20"/>
          <w:w w:val="120"/>
        </w:rPr>
        <w:t>antécédents</w:t>
      </w:r>
      <w:r>
        <w:rPr>
          <w:color w:val="231F20"/>
          <w:spacing w:val="-8"/>
          <w:w w:val="120"/>
        </w:rPr>
        <w:t> </w:t>
      </w:r>
      <w:r>
        <w:rPr>
          <w:color w:val="231F20"/>
          <w:w w:val="120"/>
        </w:rPr>
        <w:t>et</w:t>
      </w:r>
      <w:r>
        <w:rPr>
          <w:color w:val="231F20"/>
          <w:spacing w:val="-8"/>
          <w:w w:val="120"/>
        </w:rPr>
        <w:t> </w:t>
      </w:r>
      <w:r>
        <w:rPr>
          <w:color w:val="231F20"/>
          <w:w w:val="120"/>
        </w:rPr>
        <w:t>des</w:t>
      </w:r>
      <w:r>
        <w:rPr>
          <w:color w:val="231F20"/>
          <w:spacing w:val="-8"/>
          <w:w w:val="120"/>
        </w:rPr>
        <w:t> </w:t>
      </w:r>
      <w:r>
        <w:rPr>
          <w:color w:val="231F20"/>
          <w:w w:val="120"/>
        </w:rPr>
        <w:t>multiples</w:t>
      </w:r>
      <w:r>
        <w:rPr>
          <w:color w:val="231F20"/>
          <w:spacing w:val="-8"/>
          <w:w w:val="120"/>
        </w:rPr>
        <w:t> </w:t>
      </w:r>
      <w:r>
        <w:rPr>
          <w:color w:val="231F20"/>
          <w:w w:val="120"/>
        </w:rPr>
        <w:t>répercussions</w:t>
      </w:r>
      <w:r>
        <w:rPr>
          <w:color w:val="231F20"/>
          <w:spacing w:val="-8"/>
          <w:w w:val="120"/>
        </w:rPr>
        <w:t> </w:t>
      </w:r>
      <w:r>
        <w:rPr>
          <w:color w:val="231F20"/>
          <w:w w:val="120"/>
        </w:rPr>
        <w:t>qu’elle</w:t>
      </w:r>
      <w:r>
        <w:rPr>
          <w:color w:val="231F20"/>
          <w:spacing w:val="-8"/>
          <w:w w:val="120"/>
        </w:rPr>
        <w:t> </w:t>
      </w:r>
      <w:r>
        <w:rPr>
          <w:color w:val="231F20"/>
          <w:w w:val="120"/>
        </w:rPr>
        <w:t>peut</w:t>
      </w:r>
      <w:r>
        <w:rPr>
          <w:color w:val="231F20"/>
          <w:spacing w:val="-8"/>
          <w:w w:val="120"/>
        </w:rPr>
        <w:t> </w:t>
      </w:r>
      <w:r>
        <w:rPr>
          <w:color w:val="231F20"/>
          <w:w w:val="120"/>
        </w:rPr>
        <w:t>avoir</w:t>
      </w:r>
      <w:r>
        <w:rPr>
          <w:color w:val="231F20"/>
          <w:spacing w:val="-8"/>
          <w:w w:val="120"/>
        </w:rPr>
        <w:t> </w:t>
      </w:r>
      <w:r>
        <w:rPr>
          <w:color w:val="231F20"/>
          <w:w w:val="120"/>
        </w:rPr>
        <w:t>sur plusieurs</w:t>
      </w:r>
      <w:r>
        <w:rPr>
          <w:color w:val="231F20"/>
          <w:spacing w:val="-13"/>
          <w:w w:val="120"/>
        </w:rPr>
        <w:t> </w:t>
      </w:r>
      <w:r>
        <w:rPr>
          <w:color w:val="231F20"/>
          <w:w w:val="120"/>
        </w:rPr>
        <w:t>dimensions</w:t>
      </w:r>
      <w:r>
        <w:rPr>
          <w:color w:val="231F20"/>
          <w:spacing w:val="-13"/>
          <w:w w:val="120"/>
        </w:rPr>
        <w:t> </w:t>
      </w:r>
      <w:r>
        <w:rPr>
          <w:color w:val="231F20"/>
          <w:w w:val="120"/>
        </w:rPr>
        <w:t>psychologiques</w:t>
      </w:r>
      <w:r>
        <w:rPr>
          <w:color w:val="231F20"/>
          <w:spacing w:val="-13"/>
          <w:w w:val="120"/>
        </w:rPr>
        <w:t> </w:t>
      </w:r>
      <w:r>
        <w:rPr>
          <w:color w:val="231F20"/>
          <w:w w:val="120"/>
        </w:rPr>
        <w:t>adjacentes.</w:t>
      </w:r>
      <w:r>
        <w:rPr>
          <w:color w:val="231F20"/>
          <w:spacing w:val="-12"/>
          <w:w w:val="120"/>
        </w:rPr>
        <w:t> </w:t>
      </w:r>
      <w:r>
        <w:rPr>
          <w:color w:val="231F20"/>
          <w:w w:val="120"/>
        </w:rPr>
        <w:t>La</w:t>
      </w:r>
      <w:r>
        <w:rPr>
          <w:color w:val="231F20"/>
          <w:spacing w:val="-13"/>
          <w:w w:val="120"/>
        </w:rPr>
        <w:t> </w:t>
      </w:r>
      <w:r>
        <w:rPr>
          <w:color w:val="231F20"/>
          <w:w w:val="120"/>
        </w:rPr>
        <w:t>figure</w:t>
      </w:r>
      <w:r>
        <w:rPr>
          <w:color w:val="231F20"/>
          <w:spacing w:val="-13"/>
          <w:w w:val="120"/>
        </w:rPr>
        <w:t> </w:t>
      </w:r>
      <w:r>
        <w:rPr>
          <w:color w:val="231F20"/>
          <w:w w:val="120"/>
        </w:rPr>
        <w:t>4.1</w:t>
      </w:r>
      <w:r>
        <w:rPr>
          <w:color w:val="231F20"/>
          <w:spacing w:val="-13"/>
          <w:w w:val="120"/>
        </w:rPr>
        <w:t> </w:t>
      </w:r>
      <w:r>
        <w:rPr>
          <w:color w:val="231F20"/>
          <w:w w:val="120"/>
        </w:rPr>
        <w:t>présente une synthèse des principaux tenants et aboutissants de l’estime de soi. C’est ce dont nous discuterons dans les prochaines sections.</w:t>
      </w:r>
    </w:p>
    <w:p>
      <w:pPr>
        <w:pStyle w:val="BodyText"/>
        <w:spacing w:before="6"/>
        <w:rPr>
          <w:sz w:val="11"/>
        </w:rPr>
      </w:pPr>
      <w:r>
        <w:rPr/>
        <w:pict>
          <v:group style="position:absolute;margin-left:62.5pt;margin-top:7.845654pt;width:287.5pt;height:81.25pt;mso-position-horizontal-relative:page;mso-position-vertical-relative:paragraph;z-index:-15656448;mso-wrap-distance-left:0;mso-wrap-distance-right:0" id="docshapegroup828" coordorigin="1250,157" coordsize="5750,1625">
            <v:rect style="position:absolute;left:1250;top:156;width:5750;height:705" id="docshape829" filled="true" fillcolor="#e2e3e4" stroked="false">
              <v:fill type="solid"/>
            </v:rect>
            <v:line style="position:absolute" from="1500,704" to="6750,704" stroked="true" strokeweight=".25pt" strokecolor="#231f20">
              <v:stroke dashstyle="shortdot"/>
            </v:line>
            <v:rect style="position:absolute;left:1250;top:781;width:5750;height:1000" id="docshape830" filled="true" fillcolor="#e2e3e4" stroked="false">
              <v:fill type="solid"/>
            </v:rect>
            <v:shape style="position:absolute;left:1250;top:156;width:5750;height:1625" type="#_x0000_t202" id="docshape831" filled="false" stroked="false">
              <v:textbox inset="0,0,0,0">
                <w:txbxContent>
                  <w:p>
                    <w:pPr>
                      <w:spacing w:line="240" w:lineRule="auto" w:before="9"/>
                      <w:rPr>
                        <w:sz w:val="18"/>
                      </w:rPr>
                    </w:pPr>
                  </w:p>
                  <w:p>
                    <w:pPr>
                      <w:spacing w:before="0"/>
                      <w:ind w:left="250" w:right="0" w:firstLine="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w:t>
                    </w:r>
                    <w:r>
                      <w:rPr>
                        <w:rFonts w:ascii="Arial" w:hAnsi="Arial"/>
                        <w:color w:val="231F20"/>
                        <w:spacing w:val="-2"/>
                        <w:w w:val="120"/>
                        <w:sz w:val="17"/>
                      </w:rPr>
                      <w:t>intéressant</w:t>
                    </w:r>
                  </w:p>
                  <w:p>
                    <w:pPr>
                      <w:spacing w:line="240" w:lineRule="auto" w:before="5"/>
                      <w:rPr>
                        <w:rFonts w:ascii="Arial"/>
                        <w:sz w:val="26"/>
                      </w:rPr>
                    </w:pPr>
                  </w:p>
                  <w:p>
                    <w:pPr>
                      <w:spacing w:line="307" w:lineRule="auto" w:before="0"/>
                      <w:ind w:left="250" w:right="246" w:firstLine="0"/>
                      <w:jc w:val="both"/>
                      <w:rPr>
                        <w:rFonts w:ascii="Arial" w:hAnsi="Arial"/>
                        <w:sz w:val="17"/>
                      </w:rPr>
                    </w:pPr>
                    <w:r>
                      <w:rPr>
                        <w:rFonts w:ascii="Arial" w:hAnsi="Arial"/>
                        <w:color w:val="231F20"/>
                        <w:spacing w:val="-2"/>
                        <w:sz w:val="17"/>
                      </w:rPr>
                      <w:t>L’estime</w:t>
                    </w:r>
                    <w:r>
                      <w:rPr>
                        <w:rFonts w:ascii="Arial" w:hAnsi="Arial"/>
                        <w:color w:val="231F20"/>
                        <w:spacing w:val="-7"/>
                        <w:sz w:val="17"/>
                      </w:rPr>
                      <w:t> </w:t>
                    </w:r>
                    <w:r>
                      <w:rPr>
                        <w:rFonts w:ascii="Arial" w:hAnsi="Arial"/>
                        <w:color w:val="231F20"/>
                        <w:spacing w:val="-2"/>
                        <w:sz w:val="17"/>
                      </w:rPr>
                      <w:t>que</w:t>
                    </w:r>
                    <w:r>
                      <w:rPr>
                        <w:rFonts w:ascii="Arial" w:hAnsi="Arial"/>
                        <w:color w:val="231F20"/>
                        <w:spacing w:val="-7"/>
                        <w:sz w:val="17"/>
                      </w:rPr>
                      <w:t> </w:t>
                    </w:r>
                    <w:r>
                      <w:rPr>
                        <w:rFonts w:ascii="Arial" w:hAnsi="Arial"/>
                        <w:color w:val="231F20"/>
                        <w:spacing w:val="-2"/>
                        <w:sz w:val="17"/>
                      </w:rPr>
                      <w:t>l’on</w:t>
                    </w:r>
                    <w:r>
                      <w:rPr>
                        <w:rFonts w:ascii="Arial" w:hAnsi="Arial"/>
                        <w:color w:val="231F20"/>
                        <w:spacing w:val="-7"/>
                        <w:sz w:val="17"/>
                      </w:rPr>
                      <w:t> </w:t>
                    </w:r>
                    <w:r>
                      <w:rPr>
                        <w:rFonts w:ascii="Arial" w:hAnsi="Arial"/>
                        <w:color w:val="231F20"/>
                        <w:spacing w:val="-2"/>
                        <w:sz w:val="17"/>
                      </w:rPr>
                      <w:t>va</w:t>
                    </w:r>
                    <w:r>
                      <w:rPr>
                        <w:rFonts w:ascii="Arial" w:hAnsi="Arial"/>
                        <w:color w:val="231F20"/>
                        <w:spacing w:val="-7"/>
                        <w:sz w:val="17"/>
                      </w:rPr>
                      <w:t> </w:t>
                    </w:r>
                    <w:r>
                      <w:rPr>
                        <w:rFonts w:ascii="Arial" w:hAnsi="Arial"/>
                        <w:color w:val="231F20"/>
                        <w:spacing w:val="-2"/>
                        <w:sz w:val="17"/>
                      </w:rPr>
                      <w:t>avoir</w:t>
                    </w:r>
                    <w:r>
                      <w:rPr>
                        <w:rFonts w:ascii="Arial" w:hAnsi="Arial"/>
                        <w:color w:val="231F20"/>
                        <w:spacing w:val="-7"/>
                        <w:sz w:val="17"/>
                      </w:rPr>
                      <w:t> </w:t>
                    </w:r>
                    <w:r>
                      <w:rPr>
                        <w:rFonts w:ascii="Arial" w:hAnsi="Arial"/>
                        <w:color w:val="231F20"/>
                        <w:spacing w:val="-2"/>
                        <w:sz w:val="17"/>
                      </w:rPr>
                      <w:t>de</w:t>
                    </w:r>
                    <w:r>
                      <w:rPr>
                        <w:rFonts w:ascii="Arial" w:hAnsi="Arial"/>
                        <w:color w:val="231F20"/>
                        <w:spacing w:val="-7"/>
                        <w:sz w:val="17"/>
                      </w:rPr>
                      <w:t> </w:t>
                    </w:r>
                    <w:r>
                      <w:rPr>
                        <w:rFonts w:ascii="Arial" w:hAnsi="Arial"/>
                        <w:color w:val="231F20"/>
                        <w:spacing w:val="-2"/>
                        <w:sz w:val="17"/>
                      </w:rPr>
                      <w:t>soi</w:t>
                    </w:r>
                    <w:r>
                      <w:rPr>
                        <w:rFonts w:ascii="Arial" w:hAnsi="Arial"/>
                        <w:color w:val="231F20"/>
                        <w:spacing w:val="-7"/>
                        <w:sz w:val="17"/>
                      </w:rPr>
                      <w:t> </w:t>
                    </w:r>
                    <w:r>
                      <w:rPr>
                        <w:rFonts w:ascii="Arial" w:hAnsi="Arial"/>
                        <w:color w:val="231F20"/>
                        <w:spacing w:val="-2"/>
                        <w:sz w:val="17"/>
                      </w:rPr>
                      <w:t>dépendra</w:t>
                    </w:r>
                    <w:r>
                      <w:rPr>
                        <w:rFonts w:ascii="Arial" w:hAnsi="Arial"/>
                        <w:color w:val="231F20"/>
                        <w:spacing w:val="-7"/>
                        <w:sz w:val="17"/>
                      </w:rPr>
                      <w:t> </w:t>
                    </w:r>
                    <w:r>
                      <w:rPr>
                        <w:rFonts w:ascii="Arial" w:hAnsi="Arial"/>
                        <w:color w:val="231F20"/>
                        <w:spacing w:val="-2"/>
                        <w:sz w:val="17"/>
                      </w:rPr>
                      <w:t>de</w:t>
                    </w:r>
                    <w:r>
                      <w:rPr>
                        <w:rFonts w:ascii="Arial" w:hAnsi="Arial"/>
                        <w:color w:val="231F20"/>
                        <w:spacing w:val="-7"/>
                        <w:sz w:val="17"/>
                      </w:rPr>
                      <w:t> </w:t>
                    </w:r>
                    <w:r>
                      <w:rPr>
                        <w:rFonts w:ascii="Arial" w:hAnsi="Arial"/>
                        <w:color w:val="231F20"/>
                        <w:spacing w:val="-2"/>
                        <w:sz w:val="17"/>
                      </w:rPr>
                      <w:t>beaucoup</w:t>
                    </w:r>
                    <w:r>
                      <w:rPr>
                        <w:rFonts w:ascii="Arial" w:hAnsi="Arial"/>
                        <w:color w:val="231F20"/>
                        <w:spacing w:val="-7"/>
                        <w:sz w:val="17"/>
                      </w:rPr>
                      <w:t> </w:t>
                    </w:r>
                    <w:r>
                      <w:rPr>
                        <w:rFonts w:ascii="Arial" w:hAnsi="Arial"/>
                        <w:color w:val="231F20"/>
                        <w:spacing w:val="-2"/>
                        <w:sz w:val="17"/>
                      </w:rPr>
                      <w:t>de</w:t>
                    </w:r>
                    <w:r>
                      <w:rPr>
                        <w:rFonts w:ascii="Arial" w:hAnsi="Arial"/>
                        <w:color w:val="231F20"/>
                        <w:spacing w:val="-7"/>
                        <w:sz w:val="17"/>
                      </w:rPr>
                      <w:t> </w:t>
                    </w:r>
                    <w:r>
                      <w:rPr>
                        <w:rFonts w:ascii="Arial" w:hAnsi="Arial"/>
                        <w:color w:val="231F20"/>
                        <w:spacing w:val="-2"/>
                        <w:sz w:val="17"/>
                      </w:rPr>
                      <w:t>paramètres. </w:t>
                    </w:r>
                    <w:r>
                      <w:rPr>
                        <w:rFonts w:ascii="Arial" w:hAnsi="Arial"/>
                        <w:color w:val="231F20"/>
                        <w:sz w:val="17"/>
                      </w:rPr>
                      <w:t>L’environnement,</w:t>
                    </w:r>
                    <w:r>
                      <w:rPr>
                        <w:rFonts w:ascii="Arial" w:hAnsi="Arial"/>
                        <w:color w:val="231F20"/>
                        <w:spacing w:val="-7"/>
                        <w:sz w:val="17"/>
                      </w:rPr>
                      <w:t> </w:t>
                    </w:r>
                    <w:r>
                      <w:rPr>
                        <w:rFonts w:ascii="Arial" w:hAnsi="Arial"/>
                        <w:color w:val="231F20"/>
                        <w:sz w:val="17"/>
                      </w:rPr>
                      <w:t>l’éducation,</w:t>
                    </w:r>
                    <w:r>
                      <w:rPr>
                        <w:rFonts w:ascii="Arial" w:hAnsi="Arial"/>
                        <w:color w:val="231F20"/>
                        <w:spacing w:val="-7"/>
                        <w:sz w:val="17"/>
                      </w:rPr>
                      <w:t> </w:t>
                    </w:r>
                    <w:r>
                      <w:rPr>
                        <w:rFonts w:ascii="Arial" w:hAnsi="Arial"/>
                        <w:color w:val="231F20"/>
                        <w:sz w:val="17"/>
                      </w:rPr>
                      <w:t>la</w:t>
                    </w:r>
                    <w:r>
                      <w:rPr>
                        <w:rFonts w:ascii="Arial" w:hAnsi="Arial"/>
                        <w:color w:val="231F20"/>
                        <w:spacing w:val="-7"/>
                        <w:sz w:val="17"/>
                      </w:rPr>
                      <w:t> </w:t>
                    </w:r>
                    <w:r>
                      <w:rPr>
                        <w:rFonts w:ascii="Arial" w:hAnsi="Arial"/>
                        <w:color w:val="231F20"/>
                        <w:sz w:val="17"/>
                      </w:rPr>
                      <w:t>personnalité,</w:t>
                    </w:r>
                    <w:r>
                      <w:rPr>
                        <w:rFonts w:ascii="Arial" w:hAnsi="Arial"/>
                        <w:color w:val="231F20"/>
                        <w:spacing w:val="-7"/>
                        <w:sz w:val="17"/>
                      </w:rPr>
                      <w:t> </w:t>
                    </w:r>
                    <w:r>
                      <w:rPr>
                        <w:rFonts w:ascii="Arial" w:hAnsi="Arial"/>
                        <w:color w:val="231F20"/>
                        <w:sz w:val="17"/>
                      </w:rPr>
                      <w:t>les</w:t>
                    </w:r>
                    <w:r>
                      <w:rPr>
                        <w:rFonts w:ascii="Arial" w:hAnsi="Arial"/>
                        <w:color w:val="231F20"/>
                        <w:spacing w:val="-7"/>
                        <w:sz w:val="17"/>
                      </w:rPr>
                      <w:t> </w:t>
                    </w:r>
                    <w:r>
                      <w:rPr>
                        <w:rFonts w:ascii="Arial" w:hAnsi="Arial"/>
                        <w:color w:val="231F20"/>
                        <w:sz w:val="17"/>
                      </w:rPr>
                      <w:t>capacités</w:t>
                    </w:r>
                    <w:r>
                      <w:rPr>
                        <w:rFonts w:ascii="Arial" w:hAnsi="Arial"/>
                        <w:color w:val="231F20"/>
                        <w:spacing w:val="-7"/>
                        <w:sz w:val="17"/>
                      </w:rPr>
                      <w:t> </w:t>
                    </w:r>
                    <w:r>
                      <w:rPr>
                        <w:rFonts w:ascii="Arial" w:hAnsi="Arial"/>
                        <w:color w:val="231F20"/>
                        <w:sz w:val="17"/>
                      </w:rPr>
                      <w:t>physiques et</w:t>
                    </w:r>
                    <w:r>
                      <w:rPr>
                        <w:rFonts w:ascii="Arial" w:hAnsi="Arial"/>
                        <w:color w:val="231F20"/>
                        <w:spacing w:val="16"/>
                        <w:sz w:val="17"/>
                      </w:rPr>
                      <w:t> </w:t>
                    </w:r>
                    <w:r>
                      <w:rPr>
                        <w:rFonts w:ascii="Arial" w:hAnsi="Arial"/>
                        <w:color w:val="231F20"/>
                        <w:sz w:val="17"/>
                      </w:rPr>
                      <w:t>intellectuelles,</w:t>
                    </w:r>
                    <w:r>
                      <w:rPr>
                        <w:rFonts w:ascii="Arial" w:hAnsi="Arial"/>
                        <w:color w:val="231F20"/>
                        <w:spacing w:val="16"/>
                        <w:sz w:val="17"/>
                      </w:rPr>
                      <w:t> </w:t>
                    </w:r>
                    <w:r>
                      <w:rPr>
                        <w:rFonts w:ascii="Arial" w:hAnsi="Arial"/>
                        <w:color w:val="231F20"/>
                        <w:sz w:val="17"/>
                      </w:rPr>
                      <w:t>etc.</w:t>
                    </w:r>
                    <w:r>
                      <w:rPr>
                        <w:rFonts w:ascii="Arial" w:hAnsi="Arial"/>
                        <w:color w:val="231F20"/>
                        <w:spacing w:val="16"/>
                        <w:sz w:val="17"/>
                      </w:rPr>
                      <w:t> </w:t>
                    </w:r>
                    <w:r>
                      <w:rPr>
                        <w:rFonts w:ascii="Arial" w:hAnsi="Arial"/>
                        <w:color w:val="231F20"/>
                        <w:sz w:val="17"/>
                      </w:rPr>
                      <w:t>sont</w:t>
                    </w:r>
                    <w:r>
                      <w:rPr>
                        <w:rFonts w:ascii="Arial" w:hAnsi="Arial"/>
                        <w:color w:val="231F20"/>
                        <w:spacing w:val="16"/>
                        <w:sz w:val="17"/>
                      </w:rPr>
                      <w:t> </w:t>
                    </w:r>
                    <w:r>
                      <w:rPr>
                        <w:rFonts w:ascii="Arial" w:hAnsi="Arial"/>
                        <w:color w:val="231F20"/>
                        <w:sz w:val="17"/>
                      </w:rPr>
                      <w:t>autant</w:t>
                    </w:r>
                    <w:r>
                      <w:rPr>
                        <w:rFonts w:ascii="Arial" w:hAnsi="Arial"/>
                        <w:color w:val="231F20"/>
                        <w:spacing w:val="16"/>
                        <w:sz w:val="17"/>
                      </w:rPr>
                      <w:t> </w:t>
                    </w:r>
                    <w:r>
                      <w:rPr>
                        <w:rFonts w:ascii="Arial" w:hAnsi="Arial"/>
                        <w:color w:val="231F20"/>
                        <w:sz w:val="17"/>
                      </w:rPr>
                      <w:t>de</w:t>
                    </w:r>
                    <w:r>
                      <w:rPr>
                        <w:rFonts w:ascii="Arial" w:hAnsi="Arial"/>
                        <w:color w:val="231F20"/>
                        <w:spacing w:val="16"/>
                        <w:sz w:val="17"/>
                      </w:rPr>
                      <w:t> </w:t>
                    </w:r>
                    <w:r>
                      <w:rPr>
                        <w:rFonts w:ascii="Arial" w:hAnsi="Arial"/>
                        <w:color w:val="231F20"/>
                        <w:sz w:val="17"/>
                      </w:rPr>
                      <w:t>variables</w:t>
                    </w:r>
                    <w:r>
                      <w:rPr>
                        <w:rFonts w:ascii="Arial" w:hAnsi="Arial"/>
                        <w:color w:val="231F20"/>
                        <w:spacing w:val="16"/>
                        <w:sz w:val="17"/>
                      </w:rPr>
                      <w:t> </w:t>
                    </w:r>
                    <w:r>
                      <w:rPr>
                        <w:rFonts w:ascii="Arial" w:hAnsi="Arial"/>
                        <w:color w:val="231F20"/>
                        <w:sz w:val="17"/>
                      </w:rPr>
                      <w:t>qui</w:t>
                    </w:r>
                    <w:r>
                      <w:rPr>
                        <w:rFonts w:ascii="Arial" w:hAnsi="Arial"/>
                        <w:color w:val="231F20"/>
                        <w:spacing w:val="16"/>
                        <w:sz w:val="17"/>
                      </w:rPr>
                      <w:t> </w:t>
                    </w:r>
                    <w:r>
                      <w:rPr>
                        <w:rFonts w:ascii="Arial" w:hAnsi="Arial"/>
                        <w:color w:val="231F20"/>
                        <w:sz w:val="17"/>
                      </w:rPr>
                      <w:t>vont</w:t>
                    </w:r>
                    <w:r>
                      <w:rPr>
                        <w:rFonts w:ascii="Arial" w:hAnsi="Arial"/>
                        <w:color w:val="231F20"/>
                        <w:spacing w:val="16"/>
                        <w:sz w:val="17"/>
                      </w:rPr>
                      <w:t> </w:t>
                    </w:r>
                    <w:r>
                      <w:rPr>
                        <w:rFonts w:ascii="Arial" w:hAnsi="Arial"/>
                        <w:color w:val="231F20"/>
                        <w:sz w:val="17"/>
                      </w:rPr>
                      <w:t>influencer</w:t>
                    </w:r>
                    <w:r>
                      <w:rPr>
                        <w:rFonts w:ascii="Arial" w:hAnsi="Arial"/>
                        <w:color w:val="231F20"/>
                        <w:spacing w:val="16"/>
                        <w:sz w:val="17"/>
                      </w:rPr>
                      <w:t> </w:t>
                    </w:r>
                    <w:r>
                      <w:rPr>
                        <w:rFonts w:ascii="Arial" w:hAnsi="Arial"/>
                        <w:color w:val="231F20"/>
                        <w:spacing w:val="-5"/>
                        <w:sz w:val="17"/>
                      </w:rPr>
                      <w:t>le</w:t>
                    </w:r>
                  </w:p>
                </w:txbxContent>
              </v:textbox>
              <w10:wrap type="none"/>
            </v:shape>
            <w10:wrap type="topAndBottom"/>
          </v:group>
        </w:pict>
      </w:r>
      <w:r>
        <w:rPr/>
        <w:pict>
          <v:shape style="position:absolute;margin-left:62.5pt;margin-top:103.845551pt;width:287.5pt;height:.1pt;mso-position-horizontal-relative:page;mso-position-vertical-relative:paragraph;z-index:-15655936;mso-wrap-distance-left:0;mso-wrap-distance-right:0" id="docshape832" coordorigin="1250,2077" coordsize="5750,0" path="m1250,2077l7000,2077e" filled="false" stroked="true" strokeweight=".25pt" strokecolor="#231f20">
            <v:path arrowok="t"/>
            <v:stroke dashstyle="shortdot"/>
            <w10:wrap type="topAndBottom"/>
          </v:shape>
        </w:pict>
      </w:r>
    </w:p>
    <w:p>
      <w:pPr>
        <w:pStyle w:val="BodyText"/>
        <w:spacing w:before="6"/>
        <w:rPr>
          <w:sz w:val="23"/>
        </w:rPr>
      </w:pPr>
    </w:p>
    <w:p>
      <w:pPr>
        <w:pStyle w:val="ListParagraph"/>
        <w:numPr>
          <w:ilvl w:val="0"/>
          <w:numId w:val="65"/>
        </w:numPr>
        <w:tabs>
          <w:tab w:pos="829" w:val="left" w:leader="none"/>
          <w:tab w:pos="830" w:val="left" w:leader="none"/>
        </w:tabs>
        <w:spacing w:line="240" w:lineRule="auto" w:before="135" w:after="0"/>
        <w:ind w:left="829" w:right="0" w:hanging="406"/>
        <w:jc w:val="left"/>
        <w:rPr>
          <w:rFonts w:ascii="Arial"/>
          <w:sz w:val="12"/>
        </w:rPr>
      </w:pPr>
      <w:r>
        <w:rPr>
          <w:rFonts w:ascii="Arial"/>
          <w:color w:val="231F20"/>
          <w:w w:val="95"/>
          <w:sz w:val="12"/>
        </w:rPr>
        <w:t>Arrow,</w:t>
      </w:r>
      <w:r>
        <w:rPr>
          <w:rFonts w:ascii="Arial"/>
          <w:color w:val="231F20"/>
          <w:spacing w:val="-5"/>
          <w:w w:val="95"/>
          <w:sz w:val="12"/>
        </w:rPr>
        <w:t> </w:t>
      </w:r>
      <w:r>
        <w:rPr>
          <w:rFonts w:ascii="Arial"/>
          <w:color w:val="231F20"/>
          <w:w w:val="95"/>
          <w:sz w:val="12"/>
        </w:rPr>
        <w:t>K.</w:t>
      </w:r>
      <w:r>
        <w:rPr>
          <w:rFonts w:ascii="Arial"/>
          <w:color w:val="231F20"/>
          <w:spacing w:val="-4"/>
          <w:w w:val="95"/>
          <w:sz w:val="12"/>
        </w:rPr>
        <w:t> </w:t>
      </w:r>
      <w:r>
        <w:rPr>
          <w:rFonts w:ascii="Arial"/>
          <w:color w:val="231F20"/>
          <w:w w:val="95"/>
          <w:sz w:val="12"/>
        </w:rPr>
        <w:t>J.</w:t>
      </w:r>
      <w:r>
        <w:rPr>
          <w:rFonts w:ascii="Arial"/>
          <w:color w:val="231F20"/>
          <w:spacing w:val="-4"/>
          <w:w w:val="95"/>
          <w:sz w:val="12"/>
        </w:rPr>
        <w:t> </w:t>
      </w:r>
      <w:r>
        <w:rPr>
          <w:rFonts w:ascii="Arial"/>
          <w:color w:val="231F20"/>
          <w:w w:val="95"/>
          <w:sz w:val="12"/>
        </w:rPr>
        <w:t>(1970).</w:t>
      </w:r>
      <w:r>
        <w:rPr>
          <w:rFonts w:ascii="Arial"/>
          <w:color w:val="231F20"/>
          <w:spacing w:val="-5"/>
          <w:w w:val="95"/>
          <w:sz w:val="12"/>
        </w:rPr>
        <w:t> </w:t>
      </w:r>
      <w:r>
        <w:rPr>
          <w:rFonts w:ascii="Arial"/>
          <w:i/>
          <w:color w:val="231F20"/>
          <w:w w:val="95"/>
          <w:sz w:val="12"/>
        </w:rPr>
        <w:t>Social</w:t>
      </w:r>
      <w:r>
        <w:rPr>
          <w:rFonts w:ascii="Arial"/>
          <w:i/>
          <w:color w:val="231F20"/>
          <w:spacing w:val="-4"/>
          <w:w w:val="95"/>
          <w:sz w:val="12"/>
        </w:rPr>
        <w:t> </w:t>
      </w:r>
      <w:r>
        <w:rPr>
          <w:rFonts w:ascii="Arial"/>
          <w:i/>
          <w:color w:val="231F20"/>
          <w:w w:val="95"/>
          <w:sz w:val="12"/>
        </w:rPr>
        <w:t>Choice</w:t>
      </w:r>
      <w:r>
        <w:rPr>
          <w:rFonts w:ascii="Arial"/>
          <w:i/>
          <w:color w:val="231F20"/>
          <w:spacing w:val="-4"/>
          <w:w w:val="95"/>
          <w:sz w:val="12"/>
        </w:rPr>
        <w:t> </w:t>
      </w:r>
      <w:r>
        <w:rPr>
          <w:rFonts w:ascii="Arial"/>
          <w:i/>
          <w:color w:val="231F20"/>
          <w:w w:val="95"/>
          <w:sz w:val="12"/>
        </w:rPr>
        <w:t>and</w:t>
      </w:r>
      <w:r>
        <w:rPr>
          <w:rFonts w:ascii="Arial"/>
          <w:i/>
          <w:color w:val="231F20"/>
          <w:spacing w:val="-4"/>
          <w:w w:val="95"/>
          <w:sz w:val="12"/>
        </w:rPr>
        <w:t> </w:t>
      </w:r>
      <w:r>
        <w:rPr>
          <w:rFonts w:ascii="Arial"/>
          <w:i/>
          <w:color w:val="231F20"/>
          <w:w w:val="95"/>
          <w:sz w:val="12"/>
        </w:rPr>
        <w:t>Individual</w:t>
      </w:r>
      <w:r>
        <w:rPr>
          <w:rFonts w:ascii="Arial"/>
          <w:i/>
          <w:color w:val="231F20"/>
          <w:spacing w:val="-5"/>
          <w:w w:val="95"/>
          <w:sz w:val="12"/>
        </w:rPr>
        <w:t> </w:t>
      </w:r>
      <w:r>
        <w:rPr>
          <w:rFonts w:ascii="Arial"/>
          <w:i/>
          <w:color w:val="231F20"/>
          <w:w w:val="95"/>
          <w:sz w:val="12"/>
        </w:rPr>
        <w:t>Values</w:t>
      </w:r>
      <w:r>
        <w:rPr>
          <w:rFonts w:ascii="Arial"/>
          <w:color w:val="231F20"/>
          <w:w w:val="95"/>
          <w:sz w:val="12"/>
        </w:rPr>
        <w:t>,</w:t>
      </w:r>
      <w:r>
        <w:rPr>
          <w:rFonts w:ascii="Arial"/>
          <w:color w:val="231F20"/>
          <w:spacing w:val="-4"/>
          <w:w w:val="95"/>
          <w:sz w:val="12"/>
        </w:rPr>
        <w:t> </w:t>
      </w:r>
      <w:r>
        <w:rPr>
          <w:rFonts w:ascii="Arial"/>
          <w:color w:val="231F20"/>
          <w:w w:val="95"/>
          <w:sz w:val="12"/>
        </w:rPr>
        <w:t>Cowles</w:t>
      </w:r>
      <w:r>
        <w:rPr>
          <w:rFonts w:ascii="Arial"/>
          <w:color w:val="231F20"/>
          <w:spacing w:val="-4"/>
          <w:w w:val="95"/>
          <w:sz w:val="12"/>
        </w:rPr>
        <w:t> </w:t>
      </w:r>
      <w:r>
        <w:rPr>
          <w:rFonts w:ascii="Arial"/>
          <w:color w:val="231F20"/>
          <w:w w:val="95"/>
          <w:sz w:val="12"/>
        </w:rPr>
        <w:t>Foundation</w:t>
      </w:r>
      <w:r>
        <w:rPr>
          <w:rFonts w:ascii="Arial"/>
          <w:color w:val="231F20"/>
          <w:spacing w:val="-4"/>
          <w:w w:val="95"/>
          <w:sz w:val="12"/>
        </w:rPr>
        <w:t> </w:t>
      </w:r>
      <w:r>
        <w:rPr>
          <w:rFonts w:ascii="Arial"/>
          <w:color w:val="231F20"/>
          <w:w w:val="95"/>
          <w:sz w:val="12"/>
        </w:rPr>
        <w:t>Monographs</w:t>
      </w:r>
      <w:r>
        <w:rPr>
          <w:rFonts w:ascii="Arial"/>
          <w:color w:val="231F20"/>
          <w:spacing w:val="-5"/>
          <w:w w:val="95"/>
          <w:sz w:val="12"/>
        </w:rPr>
        <w:t> </w:t>
      </w:r>
      <w:r>
        <w:rPr>
          <w:rFonts w:ascii="Arial"/>
          <w:color w:val="231F20"/>
          <w:w w:val="95"/>
          <w:sz w:val="12"/>
        </w:rPr>
        <w:t>Series,</w:t>
      </w:r>
      <w:r>
        <w:rPr>
          <w:rFonts w:ascii="Arial"/>
          <w:color w:val="231F20"/>
          <w:spacing w:val="-4"/>
          <w:w w:val="95"/>
          <w:sz w:val="12"/>
        </w:rPr>
        <w:t> </w:t>
      </w:r>
      <w:r>
        <w:rPr>
          <w:rFonts w:ascii="Arial"/>
          <w:color w:val="231F20"/>
          <w:w w:val="95"/>
          <w:sz w:val="12"/>
        </w:rPr>
        <w:t>Yale</w:t>
      </w:r>
      <w:r>
        <w:rPr>
          <w:rFonts w:ascii="Arial"/>
          <w:color w:val="231F20"/>
          <w:spacing w:val="-4"/>
          <w:w w:val="95"/>
          <w:sz w:val="12"/>
        </w:rPr>
        <w:t> </w:t>
      </w:r>
      <w:r>
        <w:rPr>
          <w:rFonts w:ascii="Arial"/>
          <w:color w:val="231F20"/>
          <w:spacing w:val="-2"/>
          <w:w w:val="95"/>
          <w:sz w:val="12"/>
        </w:rPr>
        <w:t>University.</w:t>
      </w:r>
    </w:p>
    <w:p>
      <w:pPr>
        <w:spacing w:after="0" w:line="240" w:lineRule="auto"/>
        <w:jc w:val="left"/>
        <w:rPr>
          <w:rFonts w:ascii="Arial"/>
          <w:sz w:val="12"/>
        </w:rPr>
        <w:sectPr>
          <w:type w:val="continuous"/>
          <w:pgSz w:w="8640" w:h="12960"/>
          <w:pgMar w:header="0" w:footer="424" w:top="1220" w:bottom="280" w:left="420" w:right="1140"/>
        </w:sectPr>
      </w:pPr>
    </w:p>
    <w:p>
      <w:pPr>
        <w:spacing w:before="118"/>
        <w:ind w:left="1940" w:right="0" w:firstLine="0"/>
        <w:jc w:val="left"/>
        <w:rPr>
          <w:rFonts w:ascii="Arial" w:hAnsi="Arial"/>
          <w:sz w:val="14"/>
        </w:rPr>
      </w:pPr>
      <w:bookmarkStart w:name=" 4.4.1 / Antécédents de l’estime de soi" w:id="137"/>
      <w:bookmarkEnd w:id="137"/>
      <w:r>
        <w:rPr/>
      </w:r>
      <w:bookmarkStart w:name="_bookmark59" w:id="138"/>
      <w:bookmarkEnd w:id="138"/>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spacing w:before="3"/>
        <w:rPr>
          <w:rFonts w:ascii="Arial"/>
          <w:sz w:val="29"/>
        </w:rPr>
      </w:pPr>
      <w:r>
        <w:rPr/>
        <w:pict>
          <v:group style="position:absolute;margin-left:82pt;margin-top:18.051661pt;width:287.5pt;height:86pt;mso-position-horizontal-relative:page;mso-position-vertical-relative:paragraph;z-index:-15655424;mso-wrap-distance-left:0;mso-wrap-distance-right:0" id="docshapegroup834" coordorigin="1640,361" coordsize="5750,1720">
            <v:shape style="position:absolute;left:1640;top:361;width:5750;height:1720" id="docshape835" coordorigin="1640,361" coordsize="5750,1720" path="m7390,361l1640,361,1640,1411,1640,1491,1640,2081,7390,2081,7390,1491,7390,1411,7390,361xe" filled="true" fillcolor="#e2e3e4" stroked="false">
              <v:path arrowok="t"/>
              <v:fill type="solid"/>
            </v:shape>
            <v:line style="position:absolute" from="1890,1409" to="7140,1409" stroked="true" strokeweight=".25pt" strokecolor="#231f20">
              <v:stroke dashstyle="shortdot"/>
            </v:line>
            <v:shape style="position:absolute;left:1640;top:361;width:5750;height:1720" type="#_x0000_t202" id="docshape836" filled="false" stroked="false">
              <v:textbox inset="0,0,0,0">
                <w:txbxContent>
                  <w:p>
                    <w:pPr>
                      <w:spacing w:line="240" w:lineRule="auto" w:before="2"/>
                      <w:rPr>
                        <w:rFonts w:ascii="Arial"/>
                        <w:sz w:val="19"/>
                      </w:rPr>
                    </w:pPr>
                  </w:p>
                  <w:p>
                    <w:pPr>
                      <w:spacing w:line="307" w:lineRule="auto" w:before="0"/>
                      <w:ind w:left="250" w:right="247" w:firstLine="0"/>
                      <w:jc w:val="both"/>
                      <w:rPr>
                        <w:rFonts w:ascii="Arial" w:hAnsi="Arial"/>
                        <w:sz w:val="17"/>
                      </w:rPr>
                    </w:pPr>
                    <w:r>
                      <w:rPr>
                        <w:rFonts w:ascii="Arial" w:hAnsi="Arial"/>
                        <w:color w:val="231F20"/>
                        <w:spacing w:val="-2"/>
                        <w:sz w:val="17"/>
                      </w:rPr>
                      <w:t>jugement</w:t>
                    </w:r>
                    <w:r>
                      <w:rPr>
                        <w:rFonts w:ascii="Arial" w:hAnsi="Arial"/>
                        <w:color w:val="231F20"/>
                        <w:spacing w:val="-10"/>
                        <w:sz w:val="17"/>
                      </w:rPr>
                      <w:t> </w:t>
                    </w:r>
                    <w:r>
                      <w:rPr>
                        <w:rFonts w:ascii="Arial" w:hAnsi="Arial"/>
                        <w:color w:val="231F20"/>
                        <w:spacing w:val="-2"/>
                        <w:sz w:val="17"/>
                      </w:rPr>
                      <w:t>que</w:t>
                    </w:r>
                    <w:r>
                      <w:rPr>
                        <w:rFonts w:ascii="Arial" w:hAnsi="Arial"/>
                        <w:color w:val="231F20"/>
                        <w:spacing w:val="-10"/>
                        <w:sz w:val="17"/>
                      </w:rPr>
                      <w:t> </w:t>
                    </w:r>
                    <w:r>
                      <w:rPr>
                        <w:rFonts w:ascii="Arial" w:hAnsi="Arial"/>
                        <w:color w:val="231F20"/>
                        <w:spacing w:val="-2"/>
                        <w:sz w:val="17"/>
                      </w:rPr>
                      <w:t>nous</w:t>
                    </w:r>
                    <w:r>
                      <w:rPr>
                        <w:rFonts w:ascii="Arial" w:hAnsi="Arial"/>
                        <w:color w:val="231F20"/>
                        <w:spacing w:val="-10"/>
                        <w:sz w:val="17"/>
                      </w:rPr>
                      <w:t> </w:t>
                    </w:r>
                    <w:r>
                      <w:rPr>
                        <w:rFonts w:ascii="Arial" w:hAnsi="Arial"/>
                        <w:color w:val="231F20"/>
                        <w:spacing w:val="-2"/>
                        <w:sz w:val="17"/>
                      </w:rPr>
                      <w:t>portons</w:t>
                    </w:r>
                    <w:r>
                      <w:rPr>
                        <w:rFonts w:ascii="Arial" w:hAnsi="Arial"/>
                        <w:color w:val="231F20"/>
                        <w:spacing w:val="-10"/>
                        <w:sz w:val="17"/>
                      </w:rPr>
                      <w:t> </w:t>
                    </w:r>
                    <w:r>
                      <w:rPr>
                        <w:rFonts w:ascii="Arial" w:hAnsi="Arial"/>
                        <w:color w:val="231F20"/>
                        <w:spacing w:val="-2"/>
                        <w:sz w:val="17"/>
                      </w:rPr>
                      <w:t>sur</w:t>
                    </w:r>
                    <w:r>
                      <w:rPr>
                        <w:rFonts w:ascii="Arial" w:hAnsi="Arial"/>
                        <w:color w:val="231F20"/>
                        <w:spacing w:val="-10"/>
                        <w:sz w:val="17"/>
                      </w:rPr>
                      <w:t> </w:t>
                    </w:r>
                    <w:r>
                      <w:rPr>
                        <w:rFonts w:ascii="Arial" w:hAnsi="Arial"/>
                        <w:color w:val="231F20"/>
                        <w:spacing w:val="-2"/>
                        <w:sz w:val="17"/>
                      </w:rPr>
                      <w:t>nous-même.</w:t>
                    </w:r>
                    <w:r>
                      <w:rPr>
                        <w:rFonts w:ascii="Arial" w:hAnsi="Arial"/>
                        <w:color w:val="231F20"/>
                        <w:spacing w:val="-9"/>
                        <w:sz w:val="17"/>
                      </w:rPr>
                      <w:t> </w:t>
                    </w:r>
                    <w:r>
                      <w:rPr>
                        <w:rFonts w:ascii="Arial" w:hAnsi="Arial"/>
                        <w:color w:val="231F20"/>
                        <w:spacing w:val="-2"/>
                        <w:sz w:val="17"/>
                      </w:rPr>
                      <w:t>L’estime</w:t>
                    </w:r>
                    <w:r>
                      <w:rPr>
                        <w:rFonts w:ascii="Arial" w:hAnsi="Arial"/>
                        <w:color w:val="231F20"/>
                        <w:spacing w:val="-10"/>
                        <w:sz w:val="17"/>
                      </w:rPr>
                      <w:t> </w:t>
                    </w:r>
                    <w:r>
                      <w:rPr>
                        <w:rFonts w:ascii="Arial" w:hAnsi="Arial"/>
                        <w:color w:val="231F20"/>
                        <w:spacing w:val="-2"/>
                        <w:sz w:val="17"/>
                      </w:rPr>
                      <w:t>de</w:t>
                    </w:r>
                    <w:r>
                      <w:rPr>
                        <w:rFonts w:ascii="Arial" w:hAnsi="Arial"/>
                        <w:color w:val="231F20"/>
                        <w:spacing w:val="-10"/>
                        <w:sz w:val="17"/>
                      </w:rPr>
                      <w:t> </w:t>
                    </w:r>
                    <w:r>
                      <w:rPr>
                        <w:rFonts w:ascii="Arial" w:hAnsi="Arial"/>
                        <w:color w:val="231F20"/>
                        <w:spacing w:val="-2"/>
                        <w:sz w:val="17"/>
                      </w:rPr>
                      <w:t>soi</w:t>
                    </w:r>
                    <w:r>
                      <w:rPr>
                        <w:rFonts w:ascii="Arial" w:hAnsi="Arial"/>
                        <w:color w:val="231F20"/>
                        <w:spacing w:val="-10"/>
                        <w:sz w:val="17"/>
                      </w:rPr>
                      <w:t> </w:t>
                    </w:r>
                    <w:r>
                      <w:rPr>
                        <w:rFonts w:ascii="Arial" w:hAnsi="Arial"/>
                        <w:color w:val="231F20"/>
                        <w:spacing w:val="-2"/>
                        <w:sz w:val="17"/>
                      </w:rPr>
                      <w:t>se</w:t>
                    </w:r>
                    <w:r>
                      <w:rPr>
                        <w:rFonts w:ascii="Arial" w:hAnsi="Arial"/>
                        <w:color w:val="231F20"/>
                        <w:spacing w:val="-10"/>
                        <w:sz w:val="17"/>
                      </w:rPr>
                      <w:t> </w:t>
                    </w:r>
                    <w:r>
                      <w:rPr>
                        <w:rFonts w:ascii="Arial" w:hAnsi="Arial"/>
                        <w:color w:val="231F20"/>
                        <w:spacing w:val="-2"/>
                        <w:sz w:val="17"/>
                      </w:rPr>
                      <w:t>construit </w:t>
                    </w:r>
                    <w:r>
                      <w:rPr>
                        <w:rFonts w:ascii="Arial" w:hAnsi="Arial"/>
                        <w:color w:val="231F20"/>
                        <w:sz w:val="17"/>
                      </w:rPr>
                      <w:t>durant</w:t>
                    </w:r>
                    <w:r>
                      <w:rPr>
                        <w:rFonts w:ascii="Arial" w:hAnsi="Arial"/>
                        <w:color w:val="231F20"/>
                        <w:spacing w:val="-12"/>
                        <w:sz w:val="17"/>
                      </w:rPr>
                      <w:t> </w:t>
                    </w:r>
                    <w:r>
                      <w:rPr>
                        <w:rFonts w:ascii="Arial" w:hAnsi="Arial"/>
                        <w:color w:val="231F20"/>
                        <w:sz w:val="17"/>
                      </w:rPr>
                      <w:t>l’enfance</w:t>
                    </w:r>
                    <w:r>
                      <w:rPr>
                        <w:rFonts w:ascii="Arial" w:hAnsi="Arial"/>
                        <w:color w:val="231F20"/>
                        <w:spacing w:val="-12"/>
                        <w:sz w:val="17"/>
                      </w:rPr>
                      <w:t> </w:t>
                    </w:r>
                    <w:r>
                      <w:rPr>
                        <w:rFonts w:ascii="Arial" w:hAnsi="Arial"/>
                        <w:color w:val="231F20"/>
                        <w:sz w:val="17"/>
                      </w:rPr>
                      <w:t>et</w:t>
                    </w:r>
                    <w:r>
                      <w:rPr>
                        <w:rFonts w:ascii="Arial" w:hAnsi="Arial"/>
                        <w:color w:val="231F20"/>
                        <w:spacing w:val="-11"/>
                        <w:sz w:val="17"/>
                      </w:rPr>
                      <w:t> </w:t>
                    </w:r>
                    <w:r>
                      <w:rPr>
                        <w:rFonts w:ascii="Arial" w:hAnsi="Arial"/>
                        <w:color w:val="231F20"/>
                        <w:sz w:val="17"/>
                      </w:rPr>
                      <w:t>évoluera</w:t>
                    </w:r>
                    <w:r>
                      <w:rPr>
                        <w:rFonts w:ascii="Arial" w:hAnsi="Arial"/>
                        <w:color w:val="231F20"/>
                        <w:spacing w:val="-12"/>
                        <w:sz w:val="17"/>
                      </w:rPr>
                      <w:t> </w:t>
                    </w:r>
                    <w:r>
                      <w:rPr>
                        <w:rFonts w:ascii="Arial" w:hAnsi="Arial"/>
                        <w:color w:val="231F20"/>
                        <w:sz w:val="17"/>
                      </w:rPr>
                      <w:t>au</w:t>
                    </w:r>
                    <w:r>
                      <w:rPr>
                        <w:rFonts w:ascii="Arial" w:hAnsi="Arial"/>
                        <w:color w:val="231F20"/>
                        <w:spacing w:val="-12"/>
                        <w:sz w:val="17"/>
                      </w:rPr>
                      <w:t> </w:t>
                    </w:r>
                    <w:r>
                      <w:rPr>
                        <w:rFonts w:ascii="Arial" w:hAnsi="Arial"/>
                        <w:color w:val="231F20"/>
                        <w:sz w:val="17"/>
                      </w:rPr>
                      <w:t>cours</w:t>
                    </w:r>
                    <w:r>
                      <w:rPr>
                        <w:rFonts w:ascii="Arial" w:hAnsi="Arial"/>
                        <w:color w:val="231F20"/>
                        <w:spacing w:val="-11"/>
                        <w:sz w:val="17"/>
                      </w:rPr>
                      <w:t> </w:t>
                    </w:r>
                    <w:r>
                      <w:rPr>
                        <w:rFonts w:ascii="Arial" w:hAnsi="Arial"/>
                        <w:color w:val="231F20"/>
                        <w:sz w:val="17"/>
                      </w:rPr>
                      <w:t>de</w:t>
                    </w:r>
                    <w:r>
                      <w:rPr>
                        <w:rFonts w:ascii="Arial" w:hAnsi="Arial"/>
                        <w:color w:val="231F20"/>
                        <w:spacing w:val="-12"/>
                        <w:sz w:val="17"/>
                      </w:rPr>
                      <w:t> </w:t>
                    </w:r>
                    <w:r>
                      <w:rPr>
                        <w:rFonts w:ascii="Arial" w:hAnsi="Arial"/>
                        <w:color w:val="231F20"/>
                        <w:sz w:val="17"/>
                      </w:rPr>
                      <w:t>la</w:t>
                    </w:r>
                    <w:r>
                      <w:rPr>
                        <w:rFonts w:ascii="Arial" w:hAnsi="Arial"/>
                        <w:color w:val="231F20"/>
                        <w:spacing w:val="-12"/>
                        <w:sz w:val="17"/>
                      </w:rPr>
                      <w:t> </w:t>
                    </w:r>
                    <w:r>
                      <w:rPr>
                        <w:rFonts w:ascii="Arial" w:hAnsi="Arial"/>
                        <w:color w:val="231F20"/>
                        <w:sz w:val="17"/>
                      </w:rPr>
                      <w:t>vie</w:t>
                    </w:r>
                    <w:r>
                      <w:rPr>
                        <w:rFonts w:ascii="Arial" w:hAnsi="Arial"/>
                        <w:color w:val="231F20"/>
                        <w:spacing w:val="-11"/>
                        <w:sz w:val="17"/>
                      </w:rPr>
                      <w:t> </w:t>
                    </w:r>
                    <w:r>
                      <w:rPr>
                        <w:rFonts w:ascii="Arial" w:hAnsi="Arial"/>
                        <w:color w:val="231F20"/>
                        <w:sz w:val="17"/>
                      </w:rPr>
                      <w:t>avec</w:t>
                    </w:r>
                    <w:r>
                      <w:rPr>
                        <w:rFonts w:ascii="Arial" w:hAnsi="Arial"/>
                        <w:color w:val="231F20"/>
                        <w:spacing w:val="-12"/>
                        <w:sz w:val="17"/>
                      </w:rPr>
                      <w:t> </w:t>
                    </w:r>
                    <w:r>
                      <w:rPr>
                        <w:rFonts w:ascii="Arial" w:hAnsi="Arial"/>
                        <w:color w:val="231F20"/>
                        <w:sz w:val="17"/>
                      </w:rPr>
                      <w:t>les</w:t>
                    </w:r>
                    <w:r>
                      <w:rPr>
                        <w:rFonts w:ascii="Arial" w:hAnsi="Arial"/>
                        <w:color w:val="231F20"/>
                        <w:spacing w:val="-12"/>
                        <w:sz w:val="17"/>
                      </w:rPr>
                      <w:t> </w:t>
                    </w:r>
                    <w:r>
                      <w:rPr>
                        <w:rFonts w:ascii="Arial" w:hAnsi="Arial"/>
                        <w:color w:val="231F20"/>
                        <w:sz w:val="17"/>
                      </w:rPr>
                      <w:t>expériences</w:t>
                    </w:r>
                    <w:r>
                      <w:rPr>
                        <w:rFonts w:ascii="Arial" w:hAnsi="Arial"/>
                        <w:color w:val="231F20"/>
                        <w:spacing w:val="-11"/>
                        <w:sz w:val="17"/>
                      </w:rPr>
                      <w:t> </w:t>
                    </w:r>
                    <w:r>
                      <w:rPr>
                        <w:rFonts w:ascii="Arial" w:hAnsi="Arial"/>
                        <w:color w:val="231F20"/>
                        <w:sz w:val="17"/>
                      </w:rPr>
                      <w:t>de réussite et d’échec.</w:t>
                    </w:r>
                  </w:p>
                  <w:p>
                    <w:pPr>
                      <w:spacing w:line="240" w:lineRule="auto" w:before="9"/>
                      <w:rPr>
                        <w:rFonts w:ascii="Arial"/>
                        <w:sz w:val="18"/>
                      </w:rPr>
                    </w:pPr>
                  </w:p>
                  <w:p>
                    <w:pPr>
                      <w:spacing w:line="295" w:lineRule="auto" w:before="0"/>
                      <w:ind w:left="250" w:right="248"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 Brodar, C. (2012). Les troubles de l’estime de soi, </w:t>
                    </w:r>
                    <w:r>
                      <w:rPr>
                        <w:rFonts w:ascii="Arial" w:hAnsi="Arial"/>
                        <w:i/>
                        <w:color w:val="231F20"/>
                        <w:sz w:val="12"/>
                      </w:rPr>
                      <w:t>Passeport Santé</w:t>
                    </w:r>
                    <w:r>
                      <w:rPr>
                        <w:rFonts w:ascii="Arial" w:hAnsi="Arial"/>
                        <w:color w:val="231F20"/>
                        <w:sz w:val="12"/>
                      </w:rPr>
                      <w:t>, &lt;https://</w:t>
                    </w:r>
                    <w:hyperlink r:id="rId220">
                      <w:r>
                        <w:rPr>
                          <w:rFonts w:ascii="Arial" w:hAnsi="Arial"/>
                          <w:color w:val="231F20"/>
                          <w:sz w:val="12"/>
                        </w:rPr>
                        <w:t>www.</w:t>
                      </w:r>
                    </w:hyperlink>
                    <w:r>
                      <w:rPr>
                        <w:rFonts w:ascii="Arial" w:hAnsi="Arial"/>
                        <w:color w:val="231F20"/>
                        <w:spacing w:val="40"/>
                        <w:sz w:val="12"/>
                      </w:rPr>
                      <w:t> </w:t>
                    </w:r>
                    <w:r>
                      <w:rPr>
                        <w:rFonts w:ascii="Arial" w:hAnsi="Arial"/>
                        <w:color w:val="231F20"/>
                        <w:sz w:val="12"/>
                      </w:rPr>
                      <w:t>passeportsante.net&gt;, consulté le 22 octobre 2021.</w:t>
                    </w:r>
                  </w:p>
                </w:txbxContent>
              </v:textbox>
              <w10:wrap type="none"/>
            </v:shape>
            <w10:wrap type="topAndBottom"/>
          </v:group>
        </w:pict>
      </w:r>
    </w:p>
    <w:p>
      <w:pPr>
        <w:pStyle w:val="BodyText"/>
        <w:spacing w:before="7"/>
        <w:rPr>
          <w:rFonts w:ascii="Arial"/>
          <w:sz w:val="18"/>
        </w:rPr>
      </w:pPr>
    </w:p>
    <w:p>
      <w:pPr>
        <w:pStyle w:val="Heading4"/>
        <w:numPr>
          <w:ilvl w:val="2"/>
          <w:numId w:val="66"/>
        </w:numPr>
        <w:tabs>
          <w:tab w:pos="919" w:val="left" w:leader="none"/>
          <w:tab w:pos="1219" w:val="left" w:leader="none"/>
        </w:tabs>
        <w:spacing w:line="240" w:lineRule="auto" w:before="147" w:after="0"/>
        <w:ind w:left="918" w:right="0" w:hanging="397"/>
        <w:jc w:val="left"/>
      </w:pPr>
      <w:r>
        <w:rPr>
          <w:b w:val="0"/>
          <w:i/>
          <w:color w:val="231F20"/>
          <w:spacing w:val="-10"/>
        </w:rPr>
        <w:t>/</w:t>
      </w:r>
      <w:r>
        <w:rPr>
          <w:b w:val="0"/>
          <w:i/>
          <w:color w:val="231F20"/>
        </w:rPr>
        <w:tab/>
      </w:r>
      <w:r>
        <w:rPr>
          <w:color w:val="231F20"/>
          <w:w w:val="95"/>
        </w:rPr>
        <w:t>Antécédents</w:t>
      </w:r>
      <w:r>
        <w:rPr>
          <w:color w:val="231F20"/>
          <w:spacing w:val="-6"/>
          <w:w w:val="95"/>
        </w:rPr>
        <w:t> </w:t>
      </w:r>
      <w:r>
        <w:rPr>
          <w:color w:val="231F20"/>
          <w:w w:val="95"/>
        </w:rPr>
        <w:t>de</w:t>
      </w:r>
      <w:r>
        <w:rPr>
          <w:color w:val="231F20"/>
          <w:spacing w:val="-6"/>
          <w:w w:val="95"/>
        </w:rPr>
        <w:t> </w:t>
      </w:r>
      <w:r>
        <w:rPr>
          <w:color w:val="231F20"/>
          <w:w w:val="95"/>
        </w:rPr>
        <w:t>l’estime</w:t>
      </w:r>
      <w:r>
        <w:rPr>
          <w:color w:val="231F20"/>
          <w:spacing w:val="-6"/>
          <w:w w:val="95"/>
        </w:rPr>
        <w:t> </w:t>
      </w:r>
      <w:r>
        <w:rPr>
          <w:color w:val="231F20"/>
          <w:w w:val="95"/>
        </w:rPr>
        <w:t>de</w:t>
      </w:r>
      <w:r>
        <w:rPr>
          <w:color w:val="231F20"/>
          <w:spacing w:val="-6"/>
          <w:w w:val="95"/>
        </w:rPr>
        <w:t> </w:t>
      </w:r>
      <w:r>
        <w:rPr>
          <w:color w:val="231F20"/>
          <w:spacing w:val="-5"/>
          <w:w w:val="95"/>
        </w:rPr>
        <w:t>soi</w:t>
      </w:r>
    </w:p>
    <w:p>
      <w:pPr>
        <w:pStyle w:val="BodyText"/>
        <w:spacing w:line="307" w:lineRule="auto" w:before="233"/>
        <w:ind w:left="1220" w:right="101"/>
        <w:jc w:val="both"/>
      </w:pPr>
      <w:r>
        <w:rPr>
          <w:color w:val="231F20"/>
          <w:w w:val="120"/>
        </w:rPr>
        <w:t>La disponibilité, l’accessibilité et l’affection des parents, tout comme les</w:t>
      </w:r>
      <w:r>
        <w:rPr>
          <w:color w:val="231F20"/>
          <w:spacing w:val="-3"/>
          <w:w w:val="120"/>
        </w:rPr>
        <w:t> </w:t>
      </w:r>
      <w:r>
        <w:rPr>
          <w:color w:val="231F20"/>
          <w:w w:val="120"/>
        </w:rPr>
        <w:t>stimulations</w:t>
      </w:r>
      <w:r>
        <w:rPr>
          <w:color w:val="231F20"/>
          <w:spacing w:val="-3"/>
          <w:w w:val="120"/>
        </w:rPr>
        <w:t> </w:t>
      </w:r>
      <w:r>
        <w:rPr>
          <w:color w:val="231F20"/>
          <w:w w:val="120"/>
        </w:rPr>
        <w:t>et</w:t>
      </w:r>
      <w:r>
        <w:rPr>
          <w:color w:val="231F20"/>
          <w:spacing w:val="-3"/>
          <w:w w:val="120"/>
        </w:rPr>
        <w:t> </w:t>
      </w:r>
      <w:r>
        <w:rPr>
          <w:color w:val="231F20"/>
          <w:w w:val="120"/>
        </w:rPr>
        <w:t>les</w:t>
      </w:r>
      <w:r>
        <w:rPr>
          <w:color w:val="231F20"/>
          <w:spacing w:val="-3"/>
          <w:w w:val="120"/>
        </w:rPr>
        <w:t> </w:t>
      </w:r>
      <w:r>
        <w:rPr>
          <w:color w:val="231F20"/>
          <w:w w:val="120"/>
        </w:rPr>
        <w:t>renforcements</w:t>
      </w:r>
      <w:r>
        <w:rPr>
          <w:color w:val="231F20"/>
          <w:spacing w:val="-3"/>
          <w:w w:val="120"/>
        </w:rPr>
        <w:t> </w:t>
      </w:r>
      <w:r>
        <w:rPr>
          <w:color w:val="231F20"/>
          <w:w w:val="120"/>
        </w:rPr>
        <w:t>qu’ils</w:t>
      </w:r>
      <w:r>
        <w:rPr>
          <w:color w:val="231F20"/>
          <w:spacing w:val="-3"/>
          <w:w w:val="120"/>
        </w:rPr>
        <w:t> </w:t>
      </w:r>
      <w:r>
        <w:rPr>
          <w:color w:val="231F20"/>
          <w:w w:val="120"/>
        </w:rPr>
        <w:t>procurent,</w:t>
      </w:r>
      <w:r>
        <w:rPr>
          <w:color w:val="231F20"/>
          <w:spacing w:val="-3"/>
          <w:w w:val="120"/>
        </w:rPr>
        <w:t> </w:t>
      </w:r>
      <w:r>
        <w:rPr>
          <w:color w:val="231F20"/>
          <w:w w:val="120"/>
        </w:rPr>
        <w:t>sont</w:t>
      </w:r>
      <w:r>
        <w:rPr>
          <w:color w:val="231F20"/>
          <w:spacing w:val="-3"/>
          <w:w w:val="120"/>
        </w:rPr>
        <w:t> </w:t>
      </w:r>
      <w:r>
        <w:rPr>
          <w:color w:val="231F20"/>
          <w:w w:val="120"/>
        </w:rPr>
        <w:t>essentielles au développement de l’estime de soi du jeune enfant, ce qui forme indéniablement l’assise de l’estime de soi chez l’adulte.</w:t>
      </w:r>
    </w:p>
    <w:p>
      <w:pPr>
        <w:pStyle w:val="BodyText"/>
        <w:spacing w:line="307" w:lineRule="auto" w:before="79"/>
        <w:ind w:left="1220" w:right="105" w:firstLine="250"/>
        <w:jc w:val="both"/>
      </w:pPr>
      <w:r>
        <w:rPr>
          <w:color w:val="231F20"/>
          <w:w w:val="115"/>
        </w:rPr>
        <w:t>La construction affective se fait à partir des premières relations signi- </w:t>
      </w:r>
      <w:r>
        <w:rPr>
          <w:color w:val="231F20"/>
          <w:w w:val="120"/>
        </w:rPr>
        <w:t>ficatives</w:t>
      </w:r>
      <w:r>
        <w:rPr>
          <w:color w:val="231F20"/>
          <w:spacing w:val="-9"/>
          <w:w w:val="120"/>
        </w:rPr>
        <w:t> </w:t>
      </w:r>
      <w:r>
        <w:rPr>
          <w:color w:val="231F20"/>
          <w:w w:val="120"/>
        </w:rPr>
        <w:t>qui</w:t>
      </w:r>
      <w:r>
        <w:rPr>
          <w:color w:val="231F20"/>
          <w:spacing w:val="-9"/>
          <w:w w:val="120"/>
        </w:rPr>
        <w:t> </w:t>
      </w:r>
      <w:r>
        <w:rPr>
          <w:color w:val="231F20"/>
          <w:w w:val="120"/>
        </w:rPr>
        <w:t>ont</w:t>
      </w:r>
      <w:r>
        <w:rPr>
          <w:color w:val="231F20"/>
          <w:spacing w:val="-9"/>
          <w:w w:val="120"/>
        </w:rPr>
        <w:t> </w:t>
      </w:r>
      <w:r>
        <w:rPr>
          <w:color w:val="231F20"/>
          <w:w w:val="120"/>
        </w:rPr>
        <w:t>cours</w:t>
      </w:r>
      <w:r>
        <w:rPr>
          <w:color w:val="231F20"/>
          <w:spacing w:val="-9"/>
          <w:w w:val="120"/>
        </w:rPr>
        <w:t> </w:t>
      </w:r>
      <w:r>
        <w:rPr>
          <w:color w:val="231F20"/>
          <w:w w:val="120"/>
        </w:rPr>
        <w:t>à</w:t>
      </w:r>
      <w:r>
        <w:rPr>
          <w:color w:val="231F20"/>
          <w:spacing w:val="-9"/>
          <w:w w:val="120"/>
        </w:rPr>
        <w:t> </w:t>
      </w:r>
      <w:r>
        <w:rPr>
          <w:color w:val="231F20"/>
          <w:w w:val="120"/>
        </w:rPr>
        <w:t>la</w:t>
      </w:r>
      <w:r>
        <w:rPr>
          <w:color w:val="231F20"/>
          <w:spacing w:val="-9"/>
          <w:w w:val="120"/>
        </w:rPr>
        <w:t> </w:t>
      </w:r>
      <w:r>
        <w:rPr>
          <w:color w:val="231F20"/>
          <w:w w:val="120"/>
        </w:rPr>
        <w:t>maison19,</w:t>
      </w:r>
      <w:r>
        <w:rPr>
          <w:color w:val="231F20"/>
          <w:spacing w:val="-9"/>
          <w:w w:val="120"/>
        </w:rPr>
        <w:t> </w:t>
      </w:r>
      <w:r>
        <w:rPr>
          <w:color w:val="231F20"/>
          <w:w w:val="120"/>
        </w:rPr>
        <w:t>en</w:t>
      </w:r>
      <w:r>
        <w:rPr>
          <w:color w:val="231F20"/>
          <w:spacing w:val="-9"/>
          <w:w w:val="120"/>
        </w:rPr>
        <w:t> </w:t>
      </w:r>
      <w:r>
        <w:rPr>
          <w:color w:val="231F20"/>
          <w:w w:val="120"/>
        </w:rPr>
        <w:t>particulier</w:t>
      </w:r>
      <w:r>
        <w:rPr>
          <w:color w:val="231F20"/>
          <w:spacing w:val="-9"/>
          <w:w w:val="120"/>
        </w:rPr>
        <w:t> </w:t>
      </w:r>
      <w:r>
        <w:rPr>
          <w:color w:val="231F20"/>
          <w:w w:val="120"/>
        </w:rPr>
        <w:t>entre</w:t>
      </w:r>
      <w:r>
        <w:rPr>
          <w:color w:val="231F20"/>
          <w:spacing w:val="-9"/>
          <w:w w:val="120"/>
        </w:rPr>
        <w:t> </w:t>
      </w:r>
      <w:r>
        <w:rPr>
          <w:color w:val="231F20"/>
          <w:w w:val="120"/>
        </w:rPr>
        <w:t>l’enfant</w:t>
      </w:r>
      <w:r>
        <w:rPr>
          <w:color w:val="231F20"/>
          <w:spacing w:val="-9"/>
          <w:w w:val="120"/>
        </w:rPr>
        <w:t> </w:t>
      </w:r>
      <w:r>
        <w:rPr>
          <w:color w:val="231F20"/>
          <w:w w:val="120"/>
        </w:rPr>
        <w:t>et</w:t>
      </w:r>
      <w:r>
        <w:rPr>
          <w:color w:val="231F20"/>
          <w:spacing w:val="-9"/>
          <w:w w:val="120"/>
        </w:rPr>
        <w:t> </w:t>
      </w:r>
      <w:r>
        <w:rPr>
          <w:color w:val="231F20"/>
          <w:w w:val="120"/>
        </w:rPr>
        <w:t>ses parents,</w:t>
      </w:r>
      <w:r>
        <w:rPr>
          <w:color w:val="231F20"/>
          <w:spacing w:val="-1"/>
          <w:w w:val="120"/>
        </w:rPr>
        <w:t> </w:t>
      </w:r>
      <w:r>
        <w:rPr>
          <w:color w:val="231F20"/>
          <w:w w:val="120"/>
        </w:rPr>
        <w:t>mais</w:t>
      </w:r>
      <w:r>
        <w:rPr>
          <w:color w:val="231F20"/>
          <w:spacing w:val="-1"/>
          <w:w w:val="120"/>
        </w:rPr>
        <w:t> </w:t>
      </w:r>
      <w:r>
        <w:rPr>
          <w:color w:val="231F20"/>
          <w:w w:val="120"/>
        </w:rPr>
        <w:t>aussi</w:t>
      </w:r>
      <w:r>
        <w:rPr>
          <w:color w:val="231F20"/>
          <w:spacing w:val="-1"/>
          <w:w w:val="120"/>
        </w:rPr>
        <w:t> </w:t>
      </w:r>
      <w:r>
        <w:rPr>
          <w:color w:val="231F20"/>
          <w:w w:val="120"/>
        </w:rPr>
        <w:t>entre</w:t>
      </w:r>
      <w:r>
        <w:rPr>
          <w:color w:val="231F20"/>
          <w:spacing w:val="-1"/>
          <w:w w:val="120"/>
        </w:rPr>
        <w:t> </w:t>
      </w:r>
      <w:r>
        <w:rPr>
          <w:color w:val="231F20"/>
          <w:w w:val="120"/>
        </w:rPr>
        <w:t>frères</w:t>
      </w:r>
      <w:r>
        <w:rPr>
          <w:color w:val="231F20"/>
          <w:spacing w:val="-1"/>
          <w:w w:val="120"/>
        </w:rPr>
        <w:t> </w:t>
      </w:r>
      <w:r>
        <w:rPr>
          <w:color w:val="231F20"/>
          <w:w w:val="120"/>
        </w:rPr>
        <w:t>et</w:t>
      </w:r>
      <w:r>
        <w:rPr>
          <w:color w:val="231F20"/>
          <w:spacing w:val="-1"/>
          <w:w w:val="120"/>
        </w:rPr>
        <w:t> </w:t>
      </w:r>
      <w:r>
        <w:rPr>
          <w:color w:val="231F20"/>
          <w:w w:val="120"/>
        </w:rPr>
        <w:t>sœurs,</w:t>
      </w:r>
      <w:r>
        <w:rPr>
          <w:color w:val="231F20"/>
          <w:spacing w:val="-1"/>
          <w:w w:val="120"/>
        </w:rPr>
        <w:t> </w:t>
      </w:r>
      <w:r>
        <w:rPr>
          <w:color w:val="231F20"/>
          <w:w w:val="120"/>
        </w:rPr>
        <w:t>avec</w:t>
      </w:r>
      <w:r>
        <w:rPr>
          <w:color w:val="231F20"/>
          <w:spacing w:val="-1"/>
          <w:w w:val="120"/>
        </w:rPr>
        <w:t> </w:t>
      </w:r>
      <w:r>
        <w:rPr>
          <w:color w:val="231F20"/>
          <w:w w:val="120"/>
        </w:rPr>
        <w:t>les</w:t>
      </w:r>
      <w:r>
        <w:rPr>
          <w:color w:val="231F20"/>
          <w:spacing w:val="-1"/>
          <w:w w:val="120"/>
        </w:rPr>
        <w:t> </w:t>
      </w:r>
      <w:r>
        <w:rPr>
          <w:color w:val="231F20"/>
          <w:w w:val="120"/>
        </w:rPr>
        <w:t>grands-parents</w:t>
      </w:r>
      <w:r>
        <w:rPr>
          <w:color w:val="231F20"/>
          <w:spacing w:val="-1"/>
          <w:w w:val="120"/>
        </w:rPr>
        <w:t> </w:t>
      </w:r>
      <w:r>
        <w:rPr>
          <w:color w:val="231F20"/>
          <w:w w:val="120"/>
        </w:rPr>
        <w:t>et</w:t>
      </w:r>
      <w:r>
        <w:rPr>
          <w:color w:val="231F20"/>
          <w:spacing w:val="-1"/>
          <w:w w:val="120"/>
        </w:rPr>
        <w:t> </w:t>
      </w:r>
      <w:r>
        <w:rPr>
          <w:color w:val="231F20"/>
          <w:w w:val="120"/>
        </w:rPr>
        <w:t>les </w:t>
      </w:r>
      <w:r>
        <w:rPr>
          <w:color w:val="231F20"/>
          <w:w w:val="115"/>
        </w:rPr>
        <w:t>autres</w:t>
      </w:r>
      <w:r>
        <w:rPr>
          <w:color w:val="231F20"/>
          <w:spacing w:val="-3"/>
          <w:w w:val="115"/>
        </w:rPr>
        <w:t> </w:t>
      </w:r>
      <w:r>
        <w:rPr>
          <w:color w:val="231F20"/>
          <w:w w:val="115"/>
        </w:rPr>
        <w:t>membres</w:t>
      </w:r>
      <w:r>
        <w:rPr>
          <w:color w:val="231F20"/>
          <w:spacing w:val="-3"/>
          <w:w w:val="115"/>
        </w:rPr>
        <w:t> </w:t>
      </w:r>
      <w:r>
        <w:rPr>
          <w:color w:val="231F20"/>
          <w:w w:val="115"/>
        </w:rPr>
        <w:t>de</w:t>
      </w:r>
      <w:r>
        <w:rPr>
          <w:color w:val="231F20"/>
          <w:spacing w:val="-3"/>
          <w:w w:val="115"/>
        </w:rPr>
        <w:t> </w:t>
      </w:r>
      <w:r>
        <w:rPr>
          <w:color w:val="231F20"/>
          <w:w w:val="115"/>
        </w:rPr>
        <w:t>la</w:t>
      </w:r>
      <w:r>
        <w:rPr>
          <w:color w:val="231F20"/>
          <w:spacing w:val="-3"/>
          <w:w w:val="115"/>
        </w:rPr>
        <w:t> </w:t>
      </w:r>
      <w:r>
        <w:rPr>
          <w:color w:val="231F20"/>
          <w:w w:val="115"/>
        </w:rPr>
        <w:t>famille.</w:t>
      </w:r>
      <w:r>
        <w:rPr>
          <w:color w:val="231F20"/>
          <w:spacing w:val="-3"/>
          <w:w w:val="115"/>
        </w:rPr>
        <w:t> </w:t>
      </w:r>
      <w:r>
        <w:rPr>
          <w:color w:val="231F20"/>
          <w:w w:val="115"/>
        </w:rPr>
        <w:t>Ces</w:t>
      </w:r>
      <w:r>
        <w:rPr>
          <w:color w:val="231F20"/>
          <w:spacing w:val="-3"/>
          <w:w w:val="115"/>
        </w:rPr>
        <w:t> </w:t>
      </w:r>
      <w:r>
        <w:rPr>
          <w:color w:val="231F20"/>
          <w:w w:val="115"/>
        </w:rPr>
        <w:t>membres</w:t>
      </w:r>
      <w:r>
        <w:rPr>
          <w:color w:val="231F20"/>
          <w:spacing w:val="-3"/>
          <w:w w:val="115"/>
        </w:rPr>
        <w:t> </w:t>
      </w:r>
      <w:r>
        <w:rPr>
          <w:color w:val="231F20"/>
          <w:w w:val="115"/>
        </w:rPr>
        <w:t>de</w:t>
      </w:r>
      <w:r>
        <w:rPr>
          <w:color w:val="231F20"/>
          <w:spacing w:val="-3"/>
          <w:w w:val="115"/>
        </w:rPr>
        <w:t> </w:t>
      </w:r>
      <w:r>
        <w:rPr>
          <w:color w:val="231F20"/>
          <w:w w:val="115"/>
        </w:rPr>
        <w:t>la</w:t>
      </w:r>
      <w:r>
        <w:rPr>
          <w:color w:val="231F20"/>
          <w:spacing w:val="-3"/>
          <w:w w:val="115"/>
        </w:rPr>
        <w:t> </w:t>
      </w:r>
      <w:r>
        <w:rPr>
          <w:color w:val="231F20"/>
          <w:w w:val="115"/>
        </w:rPr>
        <w:t>famille</w:t>
      </w:r>
      <w:r>
        <w:rPr>
          <w:color w:val="231F20"/>
          <w:spacing w:val="-3"/>
          <w:w w:val="115"/>
        </w:rPr>
        <w:t> </w:t>
      </w:r>
      <w:r>
        <w:rPr>
          <w:color w:val="231F20"/>
          <w:w w:val="115"/>
        </w:rPr>
        <w:t>servent</w:t>
      </w:r>
      <w:r>
        <w:rPr>
          <w:color w:val="231F20"/>
          <w:spacing w:val="-3"/>
          <w:w w:val="115"/>
        </w:rPr>
        <w:t> </w:t>
      </w:r>
      <w:r>
        <w:rPr>
          <w:color w:val="231F20"/>
          <w:w w:val="115"/>
        </w:rPr>
        <w:t>de</w:t>
      </w:r>
      <w:r>
        <w:rPr>
          <w:color w:val="231F20"/>
          <w:spacing w:val="-3"/>
          <w:w w:val="115"/>
        </w:rPr>
        <w:t> </w:t>
      </w:r>
      <w:r>
        <w:rPr>
          <w:color w:val="231F20"/>
          <w:w w:val="115"/>
        </w:rPr>
        <w:t>pilier </w:t>
      </w:r>
      <w:r>
        <w:rPr>
          <w:color w:val="231F20"/>
          <w:spacing w:val="-2"/>
          <w:w w:val="120"/>
        </w:rPr>
        <w:t>identitaire</w:t>
      </w:r>
      <w:r>
        <w:rPr>
          <w:color w:val="231F20"/>
          <w:spacing w:val="-11"/>
          <w:w w:val="120"/>
        </w:rPr>
        <w:t> </w:t>
      </w:r>
      <w:r>
        <w:rPr>
          <w:color w:val="231F20"/>
          <w:spacing w:val="-2"/>
          <w:w w:val="120"/>
        </w:rPr>
        <w:t>à</w:t>
      </w:r>
      <w:r>
        <w:rPr>
          <w:color w:val="231F20"/>
          <w:spacing w:val="-11"/>
          <w:w w:val="120"/>
        </w:rPr>
        <w:t> </w:t>
      </w:r>
      <w:r>
        <w:rPr>
          <w:color w:val="231F20"/>
          <w:spacing w:val="-2"/>
          <w:w w:val="120"/>
        </w:rPr>
        <w:t>l’enfant</w:t>
      </w:r>
      <w:r>
        <w:rPr>
          <w:color w:val="231F20"/>
          <w:spacing w:val="-11"/>
          <w:w w:val="120"/>
        </w:rPr>
        <w:t> </w:t>
      </w:r>
      <w:r>
        <w:rPr>
          <w:color w:val="231F20"/>
          <w:spacing w:val="-2"/>
          <w:w w:val="120"/>
        </w:rPr>
        <w:t>en</w:t>
      </w:r>
      <w:r>
        <w:rPr>
          <w:color w:val="231F20"/>
          <w:spacing w:val="-10"/>
          <w:w w:val="120"/>
        </w:rPr>
        <w:t> </w:t>
      </w:r>
      <w:r>
        <w:rPr>
          <w:color w:val="231F20"/>
          <w:spacing w:val="-2"/>
          <w:w w:val="120"/>
        </w:rPr>
        <w:t>offrant</w:t>
      </w:r>
      <w:r>
        <w:rPr>
          <w:color w:val="231F20"/>
          <w:spacing w:val="-11"/>
          <w:w w:val="120"/>
        </w:rPr>
        <w:t> </w:t>
      </w:r>
      <w:r>
        <w:rPr>
          <w:color w:val="231F20"/>
          <w:spacing w:val="-2"/>
          <w:w w:val="120"/>
        </w:rPr>
        <w:t>une</w:t>
      </w:r>
      <w:r>
        <w:rPr>
          <w:color w:val="231F20"/>
          <w:spacing w:val="-11"/>
          <w:w w:val="120"/>
        </w:rPr>
        <w:t> </w:t>
      </w:r>
      <w:r>
        <w:rPr>
          <w:color w:val="231F20"/>
          <w:spacing w:val="-2"/>
          <w:w w:val="120"/>
        </w:rPr>
        <w:t>acceptation</w:t>
      </w:r>
      <w:r>
        <w:rPr>
          <w:color w:val="231F20"/>
          <w:spacing w:val="-11"/>
          <w:w w:val="120"/>
        </w:rPr>
        <w:t> </w:t>
      </w:r>
      <w:r>
        <w:rPr>
          <w:color w:val="231F20"/>
          <w:spacing w:val="-2"/>
          <w:w w:val="120"/>
        </w:rPr>
        <w:t>relativement</w:t>
      </w:r>
      <w:r>
        <w:rPr>
          <w:color w:val="231F20"/>
          <w:spacing w:val="-10"/>
          <w:w w:val="120"/>
        </w:rPr>
        <w:t> </w:t>
      </w:r>
      <w:r>
        <w:rPr>
          <w:color w:val="231F20"/>
          <w:spacing w:val="-2"/>
          <w:w w:val="120"/>
        </w:rPr>
        <w:t>incondition- </w:t>
      </w:r>
      <w:r>
        <w:rPr>
          <w:color w:val="231F20"/>
          <w:w w:val="120"/>
        </w:rPr>
        <w:t>nelle,</w:t>
      </w:r>
      <w:r>
        <w:rPr>
          <w:color w:val="231F20"/>
          <w:spacing w:val="-7"/>
          <w:w w:val="120"/>
        </w:rPr>
        <w:t> </w:t>
      </w:r>
      <w:r>
        <w:rPr>
          <w:color w:val="231F20"/>
          <w:w w:val="120"/>
        </w:rPr>
        <w:t>mais</w:t>
      </w:r>
      <w:r>
        <w:rPr>
          <w:color w:val="231F20"/>
          <w:spacing w:val="-7"/>
          <w:w w:val="120"/>
        </w:rPr>
        <w:t> </w:t>
      </w:r>
      <w:r>
        <w:rPr>
          <w:color w:val="231F20"/>
          <w:w w:val="120"/>
        </w:rPr>
        <w:t>aussi</w:t>
      </w:r>
      <w:r>
        <w:rPr>
          <w:color w:val="231F20"/>
          <w:spacing w:val="-7"/>
          <w:w w:val="120"/>
        </w:rPr>
        <w:t> </w:t>
      </w:r>
      <w:r>
        <w:rPr>
          <w:color w:val="231F20"/>
          <w:w w:val="120"/>
        </w:rPr>
        <w:t>en</w:t>
      </w:r>
      <w:r>
        <w:rPr>
          <w:color w:val="231F20"/>
          <w:spacing w:val="-7"/>
          <w:w w:val="120"/>
        </w:rPr>
        <w:t> </w:t>
      </w:r>
      <w:r>
        <w:rPr>
          <w:color w:val="231F20"/>
          <w:w w:val="120"/>
        </w:rPr>
        <w:t>traçant</w:t>
      </w:r>
      <w:r>
        <w:rPr>
          <w:color w:val="231F20"/>
          <w:spacing w:val="-7"/>
          <w:w w:val="120"/>
        </w:rPr>
        <w:t> </w:t>
      </w:r>
      <w:r>
        <w:rPr>
          <w:color w:val="231F20"/>
          <w:w w:val="120"/>
        </w:rPr>
        <w:t>les</w:t>
      </w:r>
      <w:r>
        <w:rPr>
          <w:color w:val="231F20"/>
          <w:spacing w:val="-7"/>
          <w:w w:val="120"/>
        </w:rPr>
        <w:t> </w:t>
      </w:r>
      <w:r>
        <w:rPr>
          <w:color w:val="231F20"/>
          <w:w w:val="120"/>
        </w:rPr>
        <w:t>limites</w:t>
      </w:r>
      <w:r>
        <w:rPr>
          <w:color w:val="231F20"/>
          <w:spacing w:val="-7"/>
          <w:w w:val="120"/>
        </w:rPr>
        <w:t> </w:t>
      </w:r>
      <w:r>
        <w:rPr>
          <w:color w:val="231F20"/>
          <w:w w:val="120"/>
        </w:rPr>
        <w:t>de</w:t>
      </w:r>
      <w:r>
        <w:rPr>
          <w:color w:val="231F20"/>
          <w:spacing w:val="-7"/>
          <w:w w:val="120"/>
        </w:rPr>
        <w:t> </w:t>
      </w:r>
      <w:r>
        <w:rPr>
          <w:color w:val="231F20"/>
          <w:w w:val="120"/>
        </w:rPr>
        <w:t>ce</w:t>
      </w:r>
      <w:r>
        <w:rPr>
          <w:color w:val="231F20"/>
          <w:spacing w:val="-7"/>
          <w:w w:val="120"/>
        </w:rPr>
        <w:t> </w:t>
      </w:r>
      <w:r>
        <w:rPr>
          <w:color w:val="231F20"/>
          <w:w w:val="120"/>
        </w:rPr>
        <w:t>qui</w:t>
      </w:r>
      <w:r>
        <w:rPr>
          <w:color w:val="231F20"/>
          <w:spacing w:val="-7"/>
          <w:w w:val="120"/>
        </w:rPr>
        <w:t> </w:t>
      </w:r>
      <w:r>
        <w:rPr>
          <w:color w:val="231F20"/>
          <w:w w:val="120"/>
        </w:rPr>
        <w:t>constitue</w:t>
      </w:r>
      <w:r>
        <w:rPr>
          <w:color w:val="231F20"/>
          <w:spacing w:val="-7"/>
          <w:w w:val="120"/>
        </w:rPr>
        <w:t> </w:t>
      </w:r>
      <w:r>
        <w:rPr>
          <w:color w:val="231F20"/>
          <w:w w:val="120"/>
        </w:rPr>
        <w:t>un</w:t>
      </w:r>
      <w:r>
        <w:rPr>
          <w:color w:val="231F20"/>
          <w:spacing w:val="-7"/>
          <w:w w:val="120"/>
        </w:rPr>
        <w:t> </w:t>
      </w:r>
      <w:r>
        <w:rPr>
          <w:color w:val="231F20"/>
          <w:w w:val="120"/>
        </w:rPr>
        <w:t>comporte- ment</w:t>
      </w:r>
      <w:r>
        <w:rPr>
          <w:color w:val="231F20"/>
          <w:spacing w:val="-11"/>
          <w:w w:val="120"/>
        </w:rPr>
        <w:t> </w:t>
      </w:r>
      <w:r>
        <w:rPr>
          <w:color w:val="231F20"/>
          <w:w w:val="120"/>
        </w:rPr>
        <w:t>adéquat</w:t>
      </w:r>
      <w:r>
        <w:rPr>
          <w:color w:val="231F20"/>
          <w:spacing w:val="-11"/>
          <w:w w:val="120"/>
        </w:rPr>
        <w:t> </w:t>
      </w:r>
      <w:r>
        <w:rPr>
          <w:color w:val="231F20"/>
          <w:w w:val="120"/>
        </w:rPr>
        <w:t>ou</w:t>
      </w:r>
      <w:r>
        <w:rPr>
          <w:color w:val="231F20"/>
          <w:spacing w:val="-11"/>
          <w:w w:val="120"/>
        </w:rPr>
        <w:t> </w:t>
      </w:r>
      <w:r>
        <w:rPr>
          <w:color w:val="231F20"/>
          <w:w w:val="120"/>
        </w:rPr>
        <w:t>inadéquat.</w:t>
      </w:r>
      <w:r>
        <w:rPr>
          <w:color w:val="231F20"/>
          <w:spacing w:val="-11"/>
          <w:w w:val="120"/>
        </w:rPr>
        <w:t> </w:t>
      </w:r>
      <w:r>
        <w:rPr>
          <w:color w:val="231F20"/>
          <w:w w:val="120"/>
        </w:rPr>
        <w:t>Il</w:t>
      </w:r>
      <w:r>
        <w:rPr>
          <w:color w:val="231F20"/>
          <w:spacing w:val="-11"/>
          <w:w w:val="120"/>
        </w:rPr>
        <w:t> </w:t>
      </w:r>
      <w:r>
        <w:rPr>
          <w:color w:val="231F20"/>
          <w:w w:val="120"/>
        </w:rPr>
        <w:t>est</w:t>
      </w:r>
      <w:r>
        <w:rPr>
          <w:color w:val="231F20"/>
          <w:spacing w:val="-11"/>
          <w:w w:val="120"/>
        </w:rPr>
        <w:t> </w:t>
      </w:r>
      <w:r>
        <w:rPr>
          <w:color w:val="231F20"/>
          <w:w w:val="120"/>
        </w:rPr>
        <w:t>essentiel</w:t>
      </w:r>
      <w:r>
        <w:rPr>
          <w:color w:val="231F20"/>
          <w:spacing w:val="-11"/>
          <w:w w:val="120"/>
        </w:rPr>
        <w:t> </w:t>
      </w:r>
      <w:r>
        <w:rPr>
          <w:color w:val="231F20"/>
          <w:w w:val="120"/>
        </w:rPr>
        <w:t>de</w:t>
      </w:r>
      <w:r>
        <w:rPr>
          <w:color w:val="231F20"/>
          <w:spacing w:val="-11"/>
          <w:w w:val="120"/>
        </w:rPr>
        <w:t> </w:t>
      </w:r>
      <w:r>
        <w:rPr>
          <w:color w:val="231F20"/>
          <w:w w:val="120"/>
        </w:rPr>
        <w:t>se</w:t>
      </w:r>
      <w:r>
        <w:rPr>
          <w:color w:val="231F20"/>
          <w:spacing w:val="-11"/>
          <w:w w:val="120"/>
        </w:rPr>
        <w:t> </w:t>
      </w:r>
      <w:r>
        <w:rPr>
          <w:color w:val="231F20"/>
          <w:w w:val="120"/>
        </w:rPr>
        <w:t>sentir</w:t>
      </w:r>
      <w:r>
        <w:rPr>
          <w:color w:val="231F20"/>
          <w:spacing w:val="-11"/>
          <w:w w:val="120"/>
        </w:rPr>
        <w:t> </w:t>
      </w:r>
      <w:r>
        <w:rPr>
          <w:color w:val="231F20"/>
          <w:w w:val="120"/>
        </w:rPr>
        <w:t>aimé</w:t>
      </w:r>
      <w:r>
        <w:rPr>
          <w:color w:val="231F20"/>
          <w:spacing w:val="-11"/>
          <w:w w:val="120"/>
        </w:rPr>
        <w:t> </w:t>
      </w:r>
      <w:r>
        <w:rPr>
          <w:color w:val="231F20"/>
          <w:w w:val="120"/>
        </w:rPr>
        <w:t>pour</w:t>
      </w:r>
      <w:r>
        <w:rPr>
          <w:color w:val="231F20"/>
          <w:spacing w:val="-11"/>
          <w:w w:val="120"/>
        </w:rPr>
        <w:t> </w:t>
      </w:r>
      <w:r>
        <w:rPr>
          <w:color w:val="231F20"/>
          <w:w w:val="120"/>
        </w:rPr>
        <w:t>savoir </w:t>
      </w:r>
      <w:r>
        <w:rPr>
          <w:color w:val="231F20"/>
          <w:w w:val="115"/>
        </w:rPr>
        <w:t>aimer</w:t>
      </w:r>
      <w:r>
        <w:rPr>
          <w:color w:val="231F20"/>
          <w:spacing w:val="-4"/>
          <w:w w:val="115"/>
        </w:rPr>
        <w:t> </w:t>
      </w:r>
      <w:r>
        <w:rPr>
          <w:color w:val="231F20"/>
          <w:w w:val="115"/>
        </w:rPr>
        <w:t>les</w:t>
      </w:r>
      <w:r>
        <w:rPr>
          <w:color w:val="231F20"/>
          <w:spacing w:val="-4"/>
          <w:w w:val="115"/>
        </w:rPr>
        <w:t> </w:t>
      </w:r>
      <w:r>
        <w:rPr>
          <w:color w:val="231F20"/>
          <w:w w:val="115"/>
        </w:rPr>
        <w:t>autres</w:t>
      </w:r>
      <w:r>
        <w:rPr>
          <w:color w:val="231F20"/>
          <w:spacing w:val="-4"/>
          <w:w w:val="115"/>
        </w:rPr>
        <w:t> </w:t>
      </w:r>
      <w:r>
        <w:rPr>
          <w:color w:val="231F20"/>
          <w:w w:val="115"/>
        </w:rPr>
        <w:t>et</w:t>
      </w:r>
      <w:r>
        <w:rPr>
          <w:color w:val="231F20"/>
          <w:spacing w:val="-4"/>
          <w:w w:val="115"/>
        </w:rPr>
        <w:t> </w:t>
      </w:r>
      <w:r>
        <w:rPr>
          <w:color w:val="231F20"/>
          <w:w w:val="115"/>
        </w:rPr>
        <w:t>pour</w:t>
      </w:r>
      <w:r>
        <w:rPr>
          <w:color w:val="231F20"/>
          <w:spacing w:val="-4"/>
          <w:w w:val="115"/>
        </w:rPr>
        <w:t> </w:t>
      </w:r>
      <w:r>
        <w:rPr>
          <w:color w:val="231F20"/>
          <w:w w:val="115"/>
        </w:rPr>
        <w:t>être</w:t>
      </w:r>
      <w:r>
        <w:rPr>
          <w:color w:val="231F20"/>
          <w:spacing w:val="-4"/>
          <w:w w:val="115"/>
        </w:rPr>
        <w:t> </w:t>
      </w:r>
      <w:r>
        <w:rPr>
          <w:color w:val="231F20"/>
          <w:w w:val="115"/>
        </w:rPr>
        <w:t>capable</w:t>
      </w:r>
      <w:r>
        <w:rPr>
          <w:color w:val="231F20"/>
          <w:spacing w:val="-4"/>
          <w:w w:val="115"/>
        </w:rPr>
        <w:t> </w:t>
      </w:r>
      <w:r>
        <w:rPr>
          <w:color w:val="231F20"/>
          <w:w w:val="115"/>
        </w:rPr>
        <w:t>de</w:t>
      </w:r>
      <w:r>
        <w:rPr>
          <w:color w:val="231F20"/>
          <w:spacing w:val="-4"/>
          <w:w w:val="115"/>
        </w:rPr>
        <w:t> </w:t>
      </w:r>
      <w:r>
        <w:rPr>
          <w:color w:val="231F20"/>
          <w:w w:val="115"/>
        </w:rPr>
        <w:t>s’aimer</w:t>
      </w:r>
      <w:r>
        <w:rPr>
          <w:color w:val="231F20"/>
          <w:spacing w:val="-4"/>
          <w:w w:val="115"/>
        </w:rPr>
        <w:t> </w:t>
      </w:r>
      <w:r>
        <w:rPr>
          <w:color w:val="231F20"/>
          <w:w w:val="115"/>
        </w:rPr>
        <w:t>soi-même.</w:t>
      </w:r>
      <w:r>
        <w:rPr>
          <w:color w:val="231F20"/>
          <w:spacing w:val="-4"/>
          <w:w w:val="115"/>
        </w:rPr>
        <w:t> </w:t>
      </w:r>
      <w:r>
        <w:rPr>
          <w:color w:val="231F20"/>
          <w:w w:val="115"/>
        </w:rPr>
        <w:t>Il</w:t>
      </w:r>
      <w:r>
        <w:rPr>
          <w:color w:val="231F20"/>
          <w:spacing w:val="-4"/>
          <w:w w:val="115"/>
        </w:rPr>
        <w:t> </w:t>
      </w:r>
      <w:r>
        <w:rPr>
          <w:color w:val="231F20"/>
          <w:w w:val="115"/>
        </w:rPr>
        <w:t>est</w:t>
      </w:r>
      <w:r>
        <w:rPr>
          <w:color w:val="231F20"/>
          <w:spacing w:val="-4"/>
          <w:w w:val="115"/>
        </w:rPr>
        <w:t> </w:t>
      </w:r>
      <w:r>
        <w:rPr>
          <w:color w:val="231F20"/>
          <w:w w:val="115"/>
        </w:rPr>
        <w:t>très</w:t>
      </w:r>
      <w:r>
        <w:rPr>
          <w:color w:val="231F20"/>
          <w:spacing w:val="-4"/>
          <w:w w:val="115"/>
        </w:rPr>
        <w:t> </w:t>
      </w:r>
      <w:r>
        <w:rPr>
          <w:color w:val="231F20"/>
          <w:w w:val="115"/>
        </w:rPr>
        <w:t>diffi- </w:t>
      </w:r>
      <w:r>
        <w:rPr>
          <w:color w:val="231F20"/>
          <w:spacing w:val="-4"/>
          <w:w w:val="115"/>
        </w:rPr>
        <w:t>cile pour un enfant d’avoir confiance en soi s’il n’a pas d’abord eu confiance </w:t>
      </w:r>
      <w:r>
        <w:rPr>
          <w:color w:val="231F20"/>
          <w:w w:val="120"/>
        </w:rPr>
        <w:t>en ses parents. L’une des meilleures sources d’estime de soi est le fait </w:t>
      </w:r>
      <w:r>
        <w:rPr>
          <w:color w:val="231F20"/>
          <w:spacing w:val="-4"/>
          <w:w w:val="120"/>
        </w:rPr>
        <w:t>d’avoir</w:t>
      </w:r>
      <w:r>
        <w:rPr>
          <w:color w:val="231F20"/>
          <w:spacing w:val="-17"/>
          <w:w w:val="120"/>
        </w:rPr>
        <w:t> </w:t>
      </w:r>
      <w:r>
        <w:rPr>
          <w:color w:val="231F20"/>
          <w:spacing w:val="-4"/>
          <w:w w:val="120"/>
        </w:rPr>
        <w:t>des</w:t>
      </w:r>
      <w:r>
        <w:rPr>
          <w:color w:val="231F20"/>
          <w:spacing w:val="-17"/>
          <w:w w:val="120"/>
        </w:rPr>
        <w:t> </w:t>
      </w:r>
      <w:r>
        <w:rPr>
          <w:color w:val="231F20"/>
          <w:spacing w:val="-4"/>
          <w:w w:val="120"/>
        </w:rPr>
        <w:t>parents</w:t>
      </w:r>
      <w:r>
        <w:rPr>
          <w:color w:val="231F20"/>
          <w:spacing w:val="-17"/>
          <w:w w:val="120"/>
        </w:rPr>
        <w:t> </w:t>
      </w:r>
      <w:r>
        <w:rPr>
          <w:color w:val="231F20"/>
          <w:spacing w:val="-4"/>
          <w:w w:val="120"/>
        </w:rPr>
        <w:t>qui</w:t>
      </w:r>
      <w:r>
        <w:rPr>
          <w:color w:val="231F20"/>
          <w:spacing w:val="-17"/>
          <w:w w:val="120"/>
        </w:rPr>
        <w:t> </w:t>
      </w:r>
      <w:r>
        <w:rPr>
          <w:color w:val="231F20"/>
          <w:spacing w:val="-4"/>
          <w:w w:val="120"/>
        </w:rPr>
        <w:t>manifestent</w:t>
      </w:r>
      <w:r>
        <w:rPr>
          <w:color w:val="231F20"/>
          <w:spacing w:val="-17"/>
          <w:w w:val="120"/>
        </w:rPr>
        <w:t> </w:t>
      </w:r>
      <w:r>
        <w:rPr>
          <w:color w:val="231F20"/>
          <w:spacing w:val="-4"/>
          <w:w w:val="120"/>
        </w:rPr>
        <w:t>eux-mêmes</w:t>
      </w:r>
      <w:r>
        <w:rPr>
          <w:color w:val="231F20"/>
          <w:spacing w:val="-17"/>
          <w:w w:val="120"/>
        </w:rPr>
        <w:t> </w:t>
      </w:r>
      <w:r>
        <w:rPr>
          <w:color w:val="231F20"/>
          <w:spacing w:val="-4"/>
          <w:w w:val="120"/>
        </w:rPr>
        <w:t>une</w:t>
      </w:r>
      <w:r>
        <w:rPr>
          <w:color w:val="231F20"/>
          <w:spacing w:val="-17"/>
          <w:w w:val="120"/>
        </w:rPr>
        <w:t> </w:t>
      </w:r>
      <w:r>
        <w:rPr>
          <w:color w:val="231F20"/>
          <w:spacing w:val="-4"/>
          <w:w w:val="120"/>
        </w:rPr>
        <w:t>bonne</w:t>
      </w:r>
      <w:r>
        <w:rPr>
          <w:color w:val="231F20"/>
          <w:spacing w:val="-17"/>
          <w:w w:val="120"/>
        </w:rPr>
        <w:t> </w:t>
      </w:r>
      <w:r>
        <w:rPr>
          <w:color w:val="231F20"/>
          <w:spacing w:val="-4"/>
          <w:w w:val="120"/>
        </w:rPr>
        <w:t>estime</w:t>
      </w:r>
      <w:r>
        <w:rPr>
          <w:color w:val="231F20"/>
          <w:spacing w:val="-17"/>
          <w:w w:val="120"/>
        </w:rPr>
        <w:t> </w:t>
      </w:r>
      <w:r>
        <w:rPr>
          <w:color w:val="231F20"/>
          <w:spacing w:val="-4"/>
          <w:w w:val="120"/>
        </w:rPr>
        <w:t>de</w:t>
      </w:r>
      <w:r>
        <w:rPr>
          <w:color w:val="231F20"/>
          <w:spacing w:val="-17"/>
          <w:w w:val="120"/>
        </w:rPr>
        <w:t> </w:t>
      </w:r>
      <w:r>
        <w:rPr>
          <w:color w:val="231F20"/>
          <w:spacing w:val="-4"/>
          <w:w w:val="120"/>
        </w:rPr>
        <w:t>soi20.</w:t>
      </w:r>
    </w:p>
    <w:p>
      <w:pPr>
        <w:pStyle w:val="BodyText"/>
        <w:spacing w:line="307" w:lineRule="auto" w:before="79"/>
        <w:ind w:left="1220" w:right="106" w:firstLine="250"/>
        <w:jc w:val="both"/>
      </w:pPr>
      <w:r>
        <w:rPr>
          <w:color w:val="231F20"/>
          <w:spacing w:val="-2"/>
          <w:w w:val="120"/>
        </w:rPr>
        <w:t>Les</w:t>
      </w:r>
      <w:r>
        <w:rPr>
          <w:color w:val="231F20"/>
          <w:spacing w:val="-8"/>
          <w:w w:val="120"/>
        </w:rPr>
        <w:t> </w:t>
      </w:r>
      <w:r>
        <w:rPr>
          <w:color w:val="231F20"/>
          <w:spacing w:val="-2"/>
          <w:w w:val="120"/>
        </w:rPr>
        <w:t>parents</w:t>
      </w:r>
      <w:r>
        <w:rPr>
          <w:color w:val="231F20"/>
          <w:spacing w:val="-8"/>
          <w:w w:val="120"/>
        </w:rPr>
        <w:t> </w:t>
      </w:r>
      <w:r>
        <w:rPr>
          <w:color w:val="231F20"/>
          <w:spacing w:val="-2"/>
          <w:w w:val="120"/>
        </w:rPr>
        <w:t>qui</w:t>
      </w:r>
      <w:r>
        <w:rPr>
          <w:color w:val="231F20"/>
          <w:spacing w:val="-8"/>
          <w:w w:val="120"/>
        </w:rPr>
        <w:t> </w:t>
      </w:r>
      <w:r>
        <w:rPr>
          <w:color w:val="231F20"/>
          <w:spacing w:val="-2"/>
          <w:w w:val="120"/>
        </w:rPr>
        <w:t>suscitent</w:t>
      </w:r>
      <w:r>
        <w:rPr>
          <w:color w:val="231F20"/>
          <w:spacing w:val="-8"/>
          <w:w w:val="120"/>
        </w:rPr>
        <w:t> </w:t>
      </w:r>
      <w:r>
        <w:rPr>
          <w:color w:val="231F20"/>
          <w:spacing w:val="-2"/>
          <w:w w:val="120"/>
        </w:rPr>
        <w:t>l’estime</w:t>
      </w:r>
      <w:r>
        <w:rPr>
          <w:color w:val="231F20"/>
          <w:spacing w:val="-8"/>
          <w:w w:val="120"/>
        </w:rPr>
        <w:t> </w:t>
      </w:r>
      <w:r>
        <w:rPr>
          <w:color w:val="231F20"/>
          <w:spacing w:val="-2"/>
          <w:w w:val="120"/>
        </w:rPr>
        <w:t>de</w:t>
      </w:r>
      <w:r>
        <w:rPr>
          <w:color w:val="231F20"/>
          <w:spacing w:val="-10"/>
          <w:w w:val="120"/>
        </w:rPr>
        <w:t> </w:t>
      </w:r>
      <w:r>
        <w:rPr>
          <w:color w:val="231F20"/>
          <w:spacing w:val="-2"/>
          <w:w w:val="120"/>
        </w:rPr>
        <w:t>soi</w:t>
      </w:r>
      <w:r>
        <w:rPr>
          <w:color w:val="231F20"/>
          <w:spacing w:val="-8"/>
          <w:w w:val="120"/>
        </w:rPr>
        <w:t> </w:t>
      </w:r>
      <w:r>
        <w:rPr>
          <w:color w:val="231F20"/>
          <w:spacing w:val="-2"/>
          <w:w w:val="120"/>
        </w:rPr>
        <w:t>adoptent</w:t>
      </w:r>
      <w:r>
        <w:rPr>
          <w:color w:val="231F20"/>
          <w:spacing w:val="-8"/>
          <w:w w:val="120"/>
        </w:rPr>
        <w:t> </w:t>
      </w:r>
      <w:r>
        <w:rPr>
          <w:color w:val="231F20"/>
          <w:spacing w:val="-2"/>
          <w:w w:val="120"/>
        </w:rPr>
        <w:t>une</w:t>
      </w:r>
      <w:r>
        <w:rPr>
          <w:color w:val="231F20"/>
          <w:spacing w:val="-8"/>
          <w:w w:val="120"/>
        </w:rPr>
        <w:t> </w:t>
      </w:r>
      <w:r>
        <w:rPr>
          <w:color w:val="231F20"/>
          <w:spacing w:val="-2"/>
          <w:w w:val="120"/>
        </w:rPr>
        <w:t>série</w:t>
      </w:r>
      <w:r>
        <w:rPr>
          <w:color w:val="231F20"/>
          <w:spacing w:val="-8"/>
          <w:w w:val="120"/>
        </w:rPr>
        <w:t> </w:t>
      </w:r>
      <w:r>
        <w:rPr>
          <w:color w:val="231F20"/>
          <w:spacing w:val="-2"/>
          <w:w w:val="120"/>
        </w:rPr>
        <w:t>de</w:t>
      </w:r>
      <w:r>
        <w:rPr>
          <w:color w:val="231F20"/>
          <w:spacing w:val="-8"/>
          <w:w w:val="120"/>
        </w:rPr>
        <w:t> </w:t>
      </w:r>
      <w:r>
        <w:rPr>
          <w:color w:val="231F20"/>
          <w:spacing w:val="-2"/>
          <w:w w:val="120"/>
        </w:rPr>
        <w:t>valeurs </w:t>
      </w:r>
      <w:r>
        <w:rPr>
          <w:color w:val="231F20"/>
          <w:w w:val="125"/>
        </w:rPr>
        <w:t>et</w:t>
      </w:r>
      <w:r>
        <w:rPr>
          <w:color w:val="231F20"/>
          <w:spacing w:val="-11"/>
          <w:w w:val="125"/>
        </w:rPr>
        <w:t> </w:t>
      </w:r>
      <w:r>
        <w:rPr>
          <w:color w:val="231F20"/>
          <w:w w:val="125"/>
        </w:rPr>
        <w:t>de</w:t>
      </w:r>
      <w:r>
        <w:rPr>
          <w:color w:val="231F20"/>
          <w:spacing w:val="-11"/>
          <w:w w:val="125"/>
        </w:rPr>
        <w:t> </w:t>
      </w:r>
      <w:r>
        <w:rPr>
          <w:color w:val="231F20"/>
          <w:w w:val="125"/>
        </w:rPr>
        <w:t>lignes</w:t>
      </w:r>
      <w:r>
        <w:rPr>
          <w:color w:val="231F20"/>
          <w:spacing w:val="-11"/>
          <w:w w:val="125"/>
        </w:rPr>
        <w:t> </w:t>
      </w:r>
      <w:r>
        <w:rPr>
          <w:color w:val="231F20"/>
          <w:w w:val="125"/>
        </w:rPr>
        <w:t>de</w:t>
      </w:r>
      <w:r>
        <w:rPr>
          <w:color w:val="231F20"/>
          <w:spacing w:val="-11"/>
          <w:w w:val="125"/>
        </w:rPr>
        <w:t> </w:t>
      </w:r>
      <w:r>
        <w:rPr>
          <w:color w:val="231F20"/>
          <w:w w:val="125"/>
        </w:rPr>
        <w:t>conduite</w:t>
      </w:r>
      <w:r>
        <w:rPr>
          <w:color w:val="231F20"/>
          <w:spacing w:val="-11"/>
          <w:w w:val="125"/>
        </w:rPr>
        <w:t> </w:t>
      </w:r>
      <w:r>
        <w:rPr>
          <w:color w:val="231F20"/>
          <w:w w:val="125"/>
        </w:rPr>
        <w:t>à</w:t>
      </w:r>
      <w:r>
        <w:rPr>
          <w:color w:val="231F20"/>
          <w:spacing w:val="-11"/>
          <w:w w:val="125"/>
        </w:rPr>
        <w:t> </w:t>
      </w:r>
      <w:r>
        <w:rPr>
          <w:color w:val="231F20"/>
          <w:w w:val="125"/>
        </w:rPr>
        <w:t>l’égard</w:t>
      </w:r>
      <w:r>
        <w:rPr>
          <w:color w:val="231F20"/>
          <w:spacing w:val="-11"/>
          <w:w w:val="125"/>
        </w:rPr>
        <w:t> </w:t>
      </w:r>
      <w:r>
        <w:rPr>
          <w:color w:val="231F20"/>
          <w:w w:val="125"/>
        </w:rPr>
        <w:t>de</w:t>
      </w:r>
      <w:r>
        <w:rPr>
          <w:color w:val="231F20"/>
          <w:spacing w:val="-11"/>
          <w:w w:val="125"/>
        </w:rPr>
        <w:t> </w:t>
      </w:r>
      <w:r>
        <w:rPr>
          <w:color w:val="231F20"/>
          <w:w w:val="125"/>
        </w:rPr>
        <w:t>leur</w:t>
      </w:r>
      <w:r>
        <w:rPr>
          <w:color w:val="231F20"/>
          <w:spacing w:val="-11"/>
          <w:w w:val="125"/>
        </w:rPr>
        <w:t> </w:t>
      </w:r>
      <w:r>
        <w:rPr>
          <w:color w:val="231F20"/>
          <w:w w:val="125"/>
        </w:rPr>
        <w:t>enfant:</w:t>
      </w:r>
    </w:p>
    <w:p>
      <w:pPr>
        <w:pStyle w:val="ListParagraph"/>
        <w:numPr>
          <w:ilvl w:val="3"/>
          <w:numId w:val="66"/>
        </w:numPr>
        <w:tabs>
          <w:tab w:pos="1721" w:val="left" w:leader="none"/>
        </w:tabs>
        <w:spacing w:line="240" w:lineRule="auto" w:before="79" w:after="0"/>
        <w:ind w:left="1720" w:right="0" w:hanging="251"/>
        <w:jc w:val="left"/>
        <w:rPr>
          <w:sz w:val="17"/>
        </w:rPr>
      </w:pPr>
      <w:r>
        <w:rPr>
          <w:color w:val="231F20"/>
          <w:w w:val="115"/>
          <w:sz w:val="17"/>
        </w:rPr>
        <w:t>Ils</w:t>
      </w:r>
      <w:r>
        <w:rPr>
          <w:color w:val="231F20"/>
          <w:spacing w:val="-4"/>
          <w:w w:val="115"/>
          <w:sz w:val="17"/>
        </w:rPr>
        <w:t> </w:t>
      </w:r>
      <w:r>
        <w:rPr>
          <w:color w:val="231F20"/>
          <w:w w:val="115"/>
          <w:sz w:val="17"/>
        </w:rPr>
        <w:t>l’élèvent</w:t>
      </w:r>
      <w:r>
        <w:rPr>
          <w:color w:val="231F20"/>
          <w:spacing w:val="-3"/>
          <w:w w:val="115"/>
          <w:sz w:val="17"/>
        </w:rPr>
        <w:t> </w:t>
      </w:r>
      <w:r>
        <w:rPr>
          <w:color w:val="231F20"/>
          <w:w w:val="115"/>
          <w:sz w:val="17"/>
        </w:rPr>
        <w:t>avec</w:t>
      </w:r>
      <w:r>
        <w:rPr>
          <w:color w:val="231F20"/>
          <w:spacing w:val="-4"/>
          <w:w w:val="115"/>
          <w:sz w:val="17"/>
        </w:rPr>
        <w:t> </w:t>
      </w:r>
      <w:r>
        <w:rPr>
          <w:color w:val="231F20"/>
          <w:w w:val="115"/>
          <w:sz w:val="17"/>
        </w:rPr>
        <w:t>amour</w:t>
      </w:r>
      <w:r>
        <w:rPr>
          <w:color w:val="231F20"/>
          <w:spacing w:val="-3"/>
          <w:w w:val="115"/>
          <w:sz w:val="17"/>
        </w:rPr>
        <w:t> </w:t>
      </w:r>
      <w:r>
        <w:rPr>
          <w:color w:val="231F20"/>
          <w:w w:val="115"/>
          <w:sz w:val="17"/>
        </w:rPr>
        <w:t>et</w:t>
      </w:r>
      <w:r>
        <w:rPr>
          <w:color w:val="231F20"/>
          <w:spacing w:val="-4"/>
          <w:w w:val="115"/>
          <w:sz w:val="17"/>
        </w:rPr>
        <w:t> </w:t>
      </w:r>
      <w:r>
        <w:rPr>
          <w:color w:val="231F20"/>
          <w:spacing w:val="-2"/>
          <w:w w:val="115"/>
          <w:sz w:val="17"/>
        </w:rPr>
        <w:t>respect;</w:t>
      </w:r>
    </w:p>
    <w:p>
      <w:pPr>
        <w:pStyle w:val="ListParagraph"/>
        <w:numPr>
          <w:ilvl w:val="3"/>
          <w:numId w:val="66"/>
        </w:numPr>
        <w:tabs>
          <w:tab w:pos="1721" w:val="left" w:leader="none"/>
        </w:tabs>
        <w:spacing w:line="307" w:lineRule="auto" w:before="55" w:after="0"/>
        <w:ind w:left="1720" w:right="101" w:hanging="251"/>
        <w:jc w:val="left"/>
        <w:rPr>
          <w:sz w:val="17"/>
        </w:rPr>
      </w:pPr>
      <w:r>
        <w:rPr>
          <w:color w:val="231F20"/>
          <w:w w:val="120"/>
          <w:sz w:val="17"/>
        </w:rPr>
        <w:t>Ils</w:t>
      </w:r>
      <w:r>
        <w:rPr>
          <w:color w:val="231F20"/>
          <w:spacing w:val="40"/>
          <w:w w:val="120"/>
          <w:sz w:val="17"/>
        </w:rPr>
        <w:t> </w:t>
      </w:r>
      <w:r>
        <w:rPr>
          <w:color w:val="231F20"/>
          <w:w w:val="120"/>
          <w:sz w:val="17"/>
        </w:rPr>
        <w:t>lui</w:t>
      </w:r>
      <w:r>
        <w:rPr>
          <w:color w:val="231F20"/>
          <w:spacing w:val="40"/>
          <w:w w:val="120"/>
          <w:sz w:val="17"/>
        </w:rPr>
        <w:t> </w:t>
      </w:r>
      <w:r>
        <w:rPr>
          <w:color w:val="231F20"/>
          <w:w w:val="120"/>
          <w:sz w:val="17"/>
        </w:rPr>
        <w:t>permettent</w:t>
      </w:r>
      <w:r>
        <w:rPr>
          <w:color w:val="231F20"/>
          <w:spacing w:val="40"/>
          <w:w w:val="120"/>
          <w:sz w:val="17"/>
        </w:rPr>
        <w:t> </w:t>
      </w:r>
      <w:r>
        <w:rPr>
          <w:color w:val="231F20"/>
          <w:w w:val="120"/>
          <w:sz w:val="17"/>
        </w:rPr>
        <w:t>de</w:t>
      </w:r>
      <w:r>
        <w:rPr>
          <w:color w:val="231F20"/>
          <w:spacing w:val="40"/>
          <w:w w:val="120"/>
          <w:sz w:val="17"/>
        </w:rPr>
        <w:t> </w:t>
      </w:r>
      <w:r>
        <w:rPr>
          <w:color w:val="231F20"/>
          <w:w w:val="120"/>
          <w:sz w:val="17"/>
        </w:rPr>
        <w:t>ressentir</w:t>
      </w:r>
      <w:r>
        <w:rPr>
          <w:color w:val="231F20"/>
          <w:spacing w:val="40"/>
          <w:w w:val="120"/>
          <w:sz w:val="17"/>
        </w:rPr>
        <w:t> </w:t>
      </w:r>
      <w:r>
        <w:rPr>
          <w:color w:val="231F20"/>
          <w:w w:val="120"/>
          <w:sz w:val="17"/>
        </w:rPr>
        <w:t>une</w:t>
      </w:r>
      <w:r>
        <w:rPr>
          <w:color w:val="231F20"/>
          <w:spacing w:val="40"/>
          <w:w w:val="120"/>
          <w:sz w:val="17"/>
        </w:rPr>
        <w:t> </w:t>
      </w:r>
      <w:r>
        <w:rPr>
          <w:color w:val="231F20"/>
          <w:w w:val="120"/>
          <w:sz w:val="17"/>
        </w:rPr>
        <w:t>acceptation</w:t>
      </w:r>
      <w:r>
        <w:rPr>
          <w:color w:val="231F20"/>
          <w:spacing w:val="40"/>
          <w:w w:val="120"/>
          <w:sz w:val="17"/>
        </w:rPr>
        <w:t> </w:t>
      </w:r>
      <w:r>
        <w:rPr>
          <w:color w:val="231F20"/>
          <w:w w:val="120"/>
          <w:sz w:val="17"/>
        </w:rPr>
        <w:t>cohérente</w:t>
      </w:r>
      <w:r>
        <w:rPr>
          <w:color w:val="231F20"/>
          <w:spacing w:val="40"/>
          <w:w w:val="120"/>
          <w:sz w:val="17"/>
        </w:rPr>
        <w:t> </w:t>
      </w:r>
      <w:r>
        <w:rPr>
          <w:color w:val="231F20"/>
          <w:w w:val="120"/>
          <w:sz w:val="17"/>
        </w:rPr>
        <w:t>et bienveillante de leur part;</w:t>
      </w:r>
    </w:p>
    <w:p>
      <w:pPr>
        <w:pStyle w:val="ListParagraph"/>
        <w:numPr>
          <w:ilvl w:val="3"/>
          <w:numId w:val="66"/>
        </w:numPr>
        <w:tabs>
          <w:tab w:pos="1721" w:val="left" w:leader="none"/>
        </w:tabs>
        <w:spacing w:line="307" w:lineRule="auto" w:before="0" w:after="0"/>
        <w:ind w:left="1720" w:right="102" w:hanging="251"/>
        <w:jc w:val="left"/>
        <w:rPr>
          <w:sz w:val="17"/>
        </w:rPr>
      </w:pPr>
      <w:r>
        <w:rPr>
          <w:color w:val="231F20"/>
          <w:w w:val="120"/>
          <w:sz w:val="17"/>
        </w:rPr>
        <w:t>Ils</w:t>
      </w:r>
      <w:r>
        <w:rPr>
          <w:color w:val="231F20"/>
          <w:spacing w:val="34"/>
          <w:w w:val="120"/>
          <w:sz w:val="17"/>
        </w:rPr>
        <w:t> </w:t>
      </w:r>
      <w:r>
        <w:rPr>
          <w:color w:val="231F20"/>
          <w:w w:val="120"/>
          <w:sz w:val="17"/>
        </w:rPr>
        <w:t>lui</w:t>
      </w:r>
      <w:r>
        <w:rPr>
          <w:color w:val="231F20"/>
          <w:spacing w:val="34"/>
          <w:w w:val="120"/>
          <w:sz w:val="17"/>
        </w:rPr>
        <w:t> </w:t>
      </w:r>
      <w:r>
        <w:rPr>
          <w:color w:val="231F20"/>
          <w:w w:val="120"/>
          <w:sz w:val="17"/>
        </w:rPr>
        <w:t>offrent</w:t>
      </w:r>
      <w:r>
        <w:rPr>
          <w:color w:val="231F20"/>
          <w:spacing w:val="34"/>
          <w:w w:val="120"/>
          <w:sz w:val="17"/>
        </w:rPr>
        <w:t> </w:t>
      </w:r>
      <w:r>
        <w:rPr>
          <w:color w:val="231F20"/>
          <w:w w:val="120"/>
          <w:sz w:val="17"/>
        </w:rPr>
        <w:t>une</w:t>
      </w:r>
      <w:r>
        <w:rPr>
          <w:color w:val="231F20"/>
          <w:spacing w:val="34"/>
          <w:w w:val="120"/>
          <w:sz w:val="17"/>
        </w:rPr>
        <w:t> </w:t>
      </w:r>
      <w:r>
        <w:rPr>
          <w:color w:val="231F20"/>
          <w:w w:val="120"/>
          <w:sz w:val="17"/>
        </w:rPr>
        <w:t>structure</w:t>
      </w:r>
      <w:r>
        <w:rPr>
          <w:color w:val="231F20"/>
          <w:spacing w:val="34"/>
          <w:w w:val="120"/>
          <w:sz w:val="17"/>
        </w:rPr>
        <w:t> </w:t>
      </w:r>
      <w:r>
        <w:rPr>
          <w:color w:val="231F20"/>
          <w:w w:val="120"/>
          <w:sz w:val="17"/>
        </w:rPr>
        <w:t>de</w:t>
      </w:r>
      <w:r>
        <w:rPr>
          <w:color w:val="231F20"/>
          <w:spacing w:val="34"/>
          <w:w w:val="120"/>
          <w:sz w:val="17"/>
        </w:rPr>
        <w:t> </w:t>
      </w:r>
      <w:r>
        <w:rPr>
          <w:color w:val="231F20"/>
          <w:w w:val="120"/>
          <w:sz w:val="17"/>
        </w:rPr>
        <w:t>soutien</w:t>
      </w:r>
      <w:r>
        <w:rPr>
          <w:color w:val="231F20"/>
          <w:spacing w:val="34"/>
          <w:w w:val="120"/>
          <w:sz w:val="17"/>
        </w:rPr>
        <w:t> </w:t>
      </w:r>
      <w:r>
        <w:rPr>
          <w:color w:val="231F20"/>
          <w:w w:val="120"/>
          <w:sz w:val="17"/>
        </w:rPr>
        <w:t>comportant</w:t>
      </w:r>
      <w:r>
        <w:rPr>
          <w:color w:val="231F20"/>
          <w:spacing w:val="34"/>
          <w:w w:val="120"/>
          <w:sz w:val="17"/>
        </w:rPr>
        <w:t> </w:t>
      </w:r>
      <w:r>
        <w:rPr>
          <w:color w:val="231F20"/>
          <w:w w:val="120"/>
          <w:sz w:val="17"/>
        </w:rPr>
        <w:t>des</w:t>
      </w:r>
      <w:r>
        <w:rPr>
          <w:color w:val="231F20"/>
          <w:spacing w:val="34"/>
          <w:w w:val="120"/>
          <w:sz w:val="17"/>
        </w:rPr>
        <w:t> </w:t>
      </w:r>
      <w:r>
        <w:rPr>
          <w:color w:val="231F20"/>
          <w:w w:val="120"/>
          <w:sz w:val="17"/>
        </w:rPr>
        <w:t>règles raisonnables et des attentes adéquates;</w:t>
      </w:r>
    </w:p>
    <w:p>
      <w:pPr>
        <w:pStyle w:val="ListParagraph"/>
        <w:numPr>
          <w:ilvl w:val="3"/>
          <w:numId w:val="66"/>
        </w:numPr>
        <w:tabs>
          <w:tab w:pos="1721" w:val="left" w:leader="none"/>
        </w:tabs>
        <w:spacing w:line="307" w:lineRule="auto" w:before="0" w:after="0"/>
        <w:ind w:left="1720" w:right="100" w:hanging="251"/>
        <w:jc w:val="left"/>
        <w:rPr>
          <w:sz w:val="17"/>
        </w:rPr>
      </w:pPr>
      <w:r>
        <w:rPr>
          <w:color w:val="231F20"/>
          <w:w w:val="120"/>
          <w:sz w:val="17"/>
        </w:rPr>
        <w:t>Ils</w:t>
      </w:r>
      <w:r>
        <w:rPr>
          <w:color w:val="231F20"/>
          <w:spacing w:val="40"/>
          <w:w w:val="120"/>
          <w:sz w:val="17"/>
        </w:rPr>
        <w:t> </w:t>
      </w:r>
      <w:r>
        <w:rPr>
          <w:color w:val="231F20"/>
          <w:w w:val="120"/>
          <w:sz w:val="17"/>
        </w:rPr>
        <w:t>évitent</w:t>
      </w:r>
      <w:r>
        <w:rPr>
          <w:color w:val="231F20"/>
          <w:spacing w:val="40"/>
          <w:w w:val="120"/>
          <w:sz w:val="17"/>
        </w:rPr>
        <w:t> </w:t>
      </w:r>
      <w:r>
        <w:rPr>
          <w:color w:val="231F20"/>
          <w:w w:val="120"/>
          <w:sz w:val="17"/>
        </w:rPr>
        <w:t>de</w:t>
      </w:r>
      <w:r>
        <w:rPr>
          <w:color w:val="231F20"/>
          <w:spacing w:val="40"/>
          <w:w w:val="120"/>
          <w:sz w:val="17"/>
        </w:rPr>
        <w:t> </w:t>
      </w:r>
      <w:r>
        <w:rPr>
          <w:color w:val="231F20"/>
          <w:w w:val="120"/>
          <w:sz w:val="17"/>
        </w:rPr>
        <w:t>le</w:t>
      </w:r>
      <w:r>
        <w:rPr>
          <w:color w:val="231F20"/>
          <w:spacing w:val="40"/>
          <w:w w:val="120"/>
          <w:sz w:val="17"/>
        </w:rPr>
        <w:t> </w:t>
      </w:r>
      <w:r>
        <w:rPr>
          <w:color w:val="231F20"/>
          <w:w w:val="120"/>
          <w:sz w:val="17"/>
        </w:rPr>
        <w:t>soumettre</w:t>
      </w:r>
      <w:r>
        <w:rPr>
          <w:color w:val="231F20"/>
          <w:spacing w:val="40"/>
          <w:w w:val="120"/>
          <w:sz w:val="17"/>
        </w:rPr>
        <w:t> </w:t>
      </w:r>
      <w:r>
        <w:rPr>
          <w:color w:val="231F20"/>
          <w:w w:val="120"/>
          <w:sz w:val="17"/>
        </w:rPr>
        <w:t>à</w:t>
      </w:r>
      <w:r>
        <w:rPr>
          <w:color w:val="231F20"/>
          <w:spacing w:val="40"/>
          <w:w w:val="120"/>
          <w:sz w:val="17"/>
        </w:rPr>
        <w:t> </w:t>
      </w:r>
      <w:r>
        <w:rPr>
          <w:color w:val="231F20"/>
          <w:w w:val="120"/>
          <w:sz w:val="17"/>
        </w:rPr>
        <w:t>des</w:t>
      </w:r>
      <w:r>
        <w:rPr>
          <w:color w:val="231F20"/>
          <w:spacing w:val="40"/>
          <w:w w:val="120"/>
          <w:sz w:val="17"/>
        </w:rPr>
        <w:t> </w:t>
      </w:r>
      <w:r>
        <w:rPr>
          <w:color w:val="231F20"/>
          <w:w w:val="120"/>
          <w:sz w:val="17"/>
        </w:rPr>
        <w:t>attentes</w:t>
      </w:r>
      <w:r>
        <w:rPr>
          <w:color w:val="231F20"/>
          <w:spacing w:val="40"/>
          <w:w w:val="120"/>
          <w:sz w:val="17"/>
        </w:rPr>
        <w:t> </w:t>
      </w:r>
      <w:r>
        <w:rPr>
          <w:color w:val="231F20"/>
          <w:w w:val="120"/>
          <w:sz w:val="17"/>
        </w:rPr>
        <w:t>et</w:t>
      </w:r>
      <w:r>
        <w:rPr>
          <w:color w:val="231F20"/>
          <w:spacing w:val="40"/>
          <w:w w:val="120"/>
          <w:sz w:val="17"/>
        </w:rPr>
        <w:t> </w:t>
      </w:r>
      <w:r>
        <w:rPr>
          <w:color w:val="231F20"/>
          <w:w w:val="120"/>
          <w:sz w:val="17"/>
        </w:rPr>
        <w:t>à</w:t>
      </w:r>
      <w:r>
        <w:rPr>
          <w:color w:val="231F20"/>
          <w:spacing w:val="40"/>
          <w:w w:val="120"/>
          <w:sz w:val="17"/>
        </w:rPr>
        <w:t> </w:t>
      </w:r>
      <w:r>
        <w:rPr>
          <w:color w:val="231F20"/>
          <w:w w:val="120"/>
          <w:sz w:val="17"/>
        </w:rPr>
        <w:t>des</w:t>
      </w:r>
      <w:r>
        <w:rPr>
          <w:color w:val="231F20"/>
          <w:spacing w:val="40"/>
          <w:w w:val="120"/>
          <w:sz w:val="17"/>
        </w:rPr>
        <w:t> </w:t>
      </w:r>
      <w:r>
        <w:rPr>
          <w:color w:val="231F20"/>
          <w:w w:val="120"/>
          <w:sz w:val="17"/>
        </w:rPr>
        <w:t>directives </w:t>
      </w:r>
      <w:r>
        <w:rPr>
          <w:color w:val="231F20"/>
          <w:spacing w:val="-2"/>
          <w:w w:val="120"/>
          <w:sz w:val="17"/>
        </w:rPr>
        <w:t>contradictoires;</w:t>
      </w:r>
    </w:p>
    <w:p>
      <w:pPr>
        <w:pStyle w:val="ListParagraph"/>
        <w:numPr>
          <w:ilvl w:val="3"/>
          <w:numId w:val="66"/>
        </w:numPr>
        <w:tabs>
          <w:tab w:pos="1721" w:val="left" w:leader="none"/>
        </w:tabs>
        <w:spacing w:line="307" w:lineRule="auto" w:before="0" w:after="0"/>
        <w:ind w:left="1720" w:right="107" w:hanging="251"/>
        <w:jc w:val="left"/>
        <w:rPr>
          <w:sz w:val="17"/>
        </w:rPr>
      </w:pPr>
      <w:r>
        <w:rPr>
          <w:color w:val="231F20"/>
          <w:w w:val="120"/>
          <w:sz w:val="17"/>
        </w:rPr>
        <w:t>Ils</w:t>
      </w:r>
      <w:r>
        <w:rPr>
          <w:color w:val="231F20"/>
          <w:spacing w:val="-15"/>
          <w:w w:val="120"/>
          <w:sz w:val="17"/>
        </w:rPr>
        <w:t> </w:t>
      </w:r>
      <w:r>
        <w:rPr>
          <w:color w:val="231F20"/>
          <w:w w:val="120"/>
          <w:sz w:val="17"/>
        </w:rPr>
        <w:t>évitent</w:t>
      </w:r>
      <w:r>
        <w:rPr>
          <w:color w:val="231F20"/>
          <w:spacing w:val="-14"/>
          <w:w w:val="120"/>
          <w:sz w:val="17"/>
        </w:rPr>
        <w:t> </w:t>
      </w:r>
      <w:r>
        <w:rPr>
          <w:color w:val="231F20"/>
          <w:w w:val="120"/>
          <w:sz w:val="17"/>
        </w:rPr>
        <w:t>tout</w:t>
      </w:r>
      <w:r>
        <w:rPr>
          <w:color w:val="231F20"/>
          <w:spacing w:val="-15"/>
          <w:w w:val="120"/>
          <w:sz w:val="17"/>
        </w:rPr>
        <w:t> </w:t>
      </w:r>
      <w:r>
        <w:rPr>
          <w:color w:val="231F20"/>
          <w:w w:val="120"/>
          <w:sz w:val="17"/>
        </w:rPr>
        <w:t>recours</w:t>
      </w:r>
      <w:r>
        <w:rPr>
          <w:color w:val="231F20"/>
          <w:spacing w:val="-14"/>
          <w:w w:val="120"/>
          <w:sz w:val="17"/>
        </w:rPr>
        <w:t> </w:t>
      </w:r>
      <w:r>
        <w:rPr>
          <w:color w:val="231F20"/>
          <w:w w:val="120"/>
          <w:sz w:val="17"/>
        </w:rPr>
        <w:t>au</w:t>
      </w:r>
      <w:r>
        <w:rPr>
          <w:color w:val="231F20"/>
          <w:spacing w:val="-15"/>
          <w:w w:val="120"/>
          <w:sz w:val="17"/>
        </w:rPr>
        <w:t> </w:t>
      </w:r>
      <w:r>
        <w:rPr>
          <w:color w:val="231F20"/>
          <w:w w:val="120"/>
          <w:sz w:val="17"/>
        </w:rPr>
        <w:t>ridicule,</w:t>
      </w:r>
      <w:r>
        <w:rPr>
          <w:color w:val="231F20"/>
          <w:spacing w:val="-14"/>
          <w:w w:val="120"/>
          <w:sz w:val="17"/>
        </w:rPr>
        <w:t> </w:t>
      </w:r>
      <w:r>
        <w:rPr>
          <w:color w:val="231F20"/>
          <w:w w:val="120"/>
          <w:sz w:val="17"/>
        </w:rPr>
        <w:t>à</w:t>
      </w:r>
      <w:r>
        <w:rPr>
          <w:color w:val="231F20"/>
          <w:spacing w:val="-15"/>
          <w:w w:val="120"/>
          <w:sz w:val="17"/>
        </w:rPr>
        <w:t> </w:t>
      </w:r>
      <w:r>
        <w:rPr>
          <w:color w:val="231F20"/>
          <w:w w:val="120"/>
          <w:sz w:val="17"/>
        </w:rPr>
        <w:t>l’humiliation</w:t>
      </w:r>
      <w:r>
        <w:rPr>
          <w:color w:val="231F20"/>
          <w:spacing w:val="-14"/>
          <w:w w:val="120"/>
          <w:sz w:val="17"/>
        </w:rPr>
        <w:t> </w:t>
      </w:r>
      <w:r>
        <w:rPr>
          <w:color w:val="231F20"/>
          <w:w w:val="120"/>
          <w:sz w:val="17"/>
        </w:rPr>
        <w:t>ou</w:t>
      </w:r>
      <w:r>
        <w:rPr>
          <w:color w:val="231F20"/>
          <w:spacing w:val="-15"/>
          <w:w w:val="120"/>
          <w:sz w:val="17"/>
        </w:rPr>
        <w:t> </w:t>
      </w:r>
      <w:r>
        <w:rPr>
          <w:color w:val="231F20"/>
          <w:w w:val="120"/>
          <w:sz w:val="17"/>
        </w:rPr>
        <w:t>à</w:t>
      </w:r>
      <w:r>
        <w:rPr>
          <w:color w:val="231F20"/>
          <w:spacing w:val="-14"/>
          <w:w w:val="120"/>
          <w:sz w:val="17"/>
        </w:rPr>
        <w:t> </w:t>
      </w:r>
      <w:r>
        <w:rPr>
          <w:color w:val="231F20"/>
          <w:w w:val="120"/>
          <w:sz w:val="17"/>
        </w:rPr>
        <w:t>la</w:t>
      </w:r>
      <w:r>
        <w:rPr>
          <w:color w:val="231F20"/>
          <w:spacing w:val="-15"/>
          <w:w w:val="120"/>
          <w:sz w:val="17"/>
        </w:rPr>
        <w:t> </w:t>
      </w:r>
      <w:r>
        <w:rPr>
          <w:color w:val="231F20"/>
          <w:w w:val="120"/>
          <w:sz w:val="17"/>
        </w:rPr>
        <w:t>violence physique ou psychologique pour le contrôler;</w:t>
      </w:r>
    </w:p>
    <w:p>
      <w:pPr>
        <w:pStyle w:val="ListParagraph"/>
        <w:numPr>
          <w:ilvl w:val="3"/>
          <w:numId w:val="66"/>
        </w:numPr>
        <w:tabs>
          <w:tab w:pos="1721" w:val="left" w:leader="none"/>
        </w:tabs>
        <w:spacing w:line="307" w:lineRule="auto" w:before="0" w:after="0"/>
        <w:ind w:left="1720" w:right="105" w:hanging="251"/>
        <w:jc w:val="left"/>
        <w:rPr>
          <w:sz w:val="17"/>
        </w:rPr>
      </w:pPr>
      <w:r>
        <w:rPr>
          <w:color w:val="231F20"/>
          <w:spacing w:val="-2"/>
          <w:w w:val="120"/>
          <w:sz w:val="17"/>
        </w:rPr>
        <w:t>Ils</w:t>
      </w:r>
      <w:r>
        <w:rPr>
          <w:color w:val="231F20"/>
          <w:spacing w:val="-10"/>
          <w:w w:val="120"/>
          <w:sz w:val="17"/>
        </w:rPr>
        <w:t> </w:t>
      </w:r>
      <w:r>
        <w:rPr>
          <w:color w:val="231F20"/>
          <w:spacing w:val="-2"/>
          <w:w w:val="120"/>
          <w:sz w:val="17"/>
        </w:rPr>
        <w:t>démontrent</w:t>
      </w:r>
      <w:r>
        <w:rPr>
          <w:color w:val="231F20"/>
          <w:spacing w:val="-10"/>
          <w:w w:val="120"/>
          <w:sz w:val="17"/>
        </w:rPr>
        <w:t> </w:t>
      </w:r>
      <w:r>
        <w:rPr>
          <w:color w:val="231F20"/>
          <w:spacing w:val="-2"/>
          <w:w w:val="120"/>
          <w:sz w:val="17"/>
        </w:rPr>
        <w:t>qu’ils</w:t>
      </w:r>
      <w:r>
        <w:rPr>
          <w:color w:val="231F20"/>
          <w:spacing w:val="-10"/>
          <w:w w:val="120"/>
          <w:sz w:val="17"/>
        </w:rPr>
        <w:t> </w:t>
      </w:r>
      <w:r>
        <w:rPr>
          <w:color w:val="231F20"/>
          <w:spacing w:val="-2"/>
          <w:w w:val="120"/>
          <w:sz w:val="17"/>
        </w:rPr>
        <w:t>valorisent</w:t>
      </w:r>
      <w:r>
        <w:rPr>
          <w:color w:val="231F20"/>
          <w:spacing w:val="-10"/>
          <w:w w:val="120"/>
          <w:sz w:val="17"/>
        </w:rPr>
        <w:t> </w:t>
      </w:r>
      <w:r>
        <w:rPr>
          <w:color w:val="231F20"/>
          <w:spacing w:val="-2"/>
          <w:w w:val="120"/>
          <w:sz w:val="17"/>
        </w:rPr>
        <w:t>la</w:t>
      </w:r>
      <w:r>
        <w:rPr>
          <w:color w:val="231F20"/>
          <w:spacing w:val="-10"/>
          <w:w w:val="120"/>
          <w:sz w:val="17"/>
        </w:rPr>
        <w:t> </w:t>
      </w:r>
      <w:r>
        <w:rPr>
          <w:color w:val="231F20"/>
          <w:spacing w:val="-2"/>
          <w:w w:val="120"/>
          <w:sz w:val="17"/>
        </w:rPr>
        <w:t>compétence,</w:t>
      </w:r>
      <w:r>
        <w:rPr>
          <w:color w:val="231F20"/>
          <w:spacing w:val="-10"/>
          <w:w w:val="120"/>
          <w:sz w:val="17"/>
        </w:rPr>
        <w:t> </w:t>
      </w:r>
      <w:r>
        <w:rPr>
          <w:color w:val="231F20"/>
          <w:spacing w:val="-2"/>
          <w:w w:val="120"/>
          <w:sz w:val="17"/>
        </w:rPr>
        <w:t>la</w:t>
      </w:r>
      <w:r>
        <w:rPr>
          <w:color w:val="231F20"/>
          <w:spacing w:val="-10"/>
          <w:w w:val="120"/>
          <w:sz w:val="17"/>
        </w:rPr>
        <w:t> </w:t>
      </w:r>
      <w:r>
        <w:rPr>
          <w:color w:val="231F20"/>
          <w:spacing w:val="-2"/>
          <w:w w:val="120"/>
          <w:sz w:val="17"/>
        </w:rPr>
        <w:t>responsabilité</w:t>
      </w:r>
      <w:r>
        <w:rPr>
          <w:color w:val="231F20"/>
          <w:spacing w:val="-10"/>
          <w:w w:val="120"/>
          <w:sz w:val="17"/>
        </w:rPr>
        <w:t> </w:t>
      </w:r>
      <w:r>
        <w:rPr>
          <w:color w:val="231F20"/>
          <w:spacing w:val="-2"/>
          <w:w w:val="120"/>
          <w:sz w:val="17"/>
        </w:rPr>
        <w:t>et </w:t>
      </w:r>
      <w:r>
        <w:rPr>
          <w:color w:val="231F20"/>
          <w:w w:val="120"/>
          <w:sz w:val="17"/>
        </w:rPr>
        <w:t>l’autonomie de leur enfant.</w:t>
      </w:r>
    </w:p>
    <w:p>
      <w:pPr>
        <w:pStyle w:val="BodyText"/>
        <w:spacing w:before="10"/>
        <w:rPr>
          <w:sz w:val="14"/>
        </w:rPr>
      </w:pPr>
      <w:r>
        <w:rPr/>
        <w:pict>
          <v:shape style="position:absolute;margin-left:82pt;margin-top:9.782275pt;width:287.5pt;height:.1pt;mso-position-horizontal-relative:page;mso-position-vertical-relative:paragraph;z-index:-15654912;mso-wrap-distance-left:0;mso-wrap-distance-right:0" id="docshape837" coordorigin="1640,196" coordsize="5750,0" path="m1640,196l7390,196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hAnsi="Arial"/>
          <w:sz w:val="12"/>
        </w:rPr>
      </w:pPr>
      <w:r>
        <w:rPr>
          <w:rFonts w:ascii="Arial" w:hAnsi="Arial"/>
          <w:color w:val="231F20"/>
          <w:w w:val="95"/>
          <w:sz w:val="12"/>
        </w:rPr>
        <w:t>Carballo,</w:t>
      </w:r>
      <w:r>
        <w:rPr>
          <w:rFonts w:ascii="Arial" w:hAnsi="Arial"/>
          <w:color w:val="231F20"/>
          <w:spacing w:val="6"/>
          <w:sz w:val="12"/>
        </w:rPr>
        <w:t> </w:t>
      </w:r>
      <w:r>
        <w:rPr>
          <w:rFonts w:ascii="Arial" w:hAnsi="Arial"/>
          <w:color w:val="231F20"/>
          <w:w w:val="95"/>
          <w:sz w:val="12"/>
        </w:rPr>
        <w:t>R.</w:t>
      </w:r>
      <w:r>
        <w:rPr>
          <w:rFonts w:ascii="Arial" w:hAnsi="Arial"/>
          <w:color w:val="231F20"/>
          <w:spacing w:val="6"/>
          <w:sz w:val="12"/>
        </w:rPr>
        <w:t> </w:t>
      </w:r>
      <w:r>
        <w:rPr>
          <w:rFonts w:ascii="Arial" w:hAnsi="Arial"/>
          <w:color w:val="231F20"/>
          <w:w w:val="95"/>
          <w:sz w:val="12"/>
        </w:rPr>
        <w:t>(1977).</w:t>
      </w:r>
      <w:r>
        <w:rPr>
          <w:rFonts w:ascii="Arial" w:hAnsi="Arial"/>
          <w:color w:val="231F20"/>
          <w:spacing w:val="7"/>
          <w:sz w:val="12"/>
        </w:rPr>
        <w:t> </w:t>
      </w:r>
      <w:r>
        <w:rPr>
          <w:rFonts w:ascii="Arial" w:hAnsi="Arial"/>
          <w:i/>
          <w:color w:val="231F20"/>
          <w:w w:val="95"/>
          <w:sz w:val="12"/>
        </w:rPr>
        <w:t>Violencia</w:t>
      </w:r>
      <w:r>
        <w:rPr>
          <w:rFonts w:ascii="Arial" w:hAnsi="Arial"/>
          <w:i/>
          <w:color w:val="231F20"/>
          <w:spacing w:val="6"/>
          <w:sz w:val="12"/>
        </w:rPr>
        <w:t> </w:t>
      </w:r>
      <w:r>
        <w:rPr>
          <w:rFonts w:ascii="Arial" w:hAnsi="Arial"/>
          <w:i/>
          <w:color w:val="231F20"/>
          <w:w w:val="95"/>
          <w:sz w:val="12"/>
        </w:rPr>
        <w:t>y</w:t>
      </w:r>
      <w:r>
        <w:rPr>
          <w:rFonts w:ascii="Arial" w:hAnsi="Arial"/>
          <w:i/>
          <w:color w:val="231F20"/>
          <w:spacing w:val="7"/>
          <w:sz w:val="12"/>
        </w:rPr>
        <w:t> </w:t>
      </w:r>
      <w:r>
        <w:rPr>
          <w:rFonts w:ascii="Arial" w:hAnsi="Arial"/>
          <w:i/>
          <w:color w:val="231F20"/>
          <w:w w:val="95"/>
          <w:sz w:val="12"/>
        </w:rPr>
        <w:t>ternura</w:t>
      </w:r>
      <w:r>
        <w:rPr>
          <w:rFonts w:ascii="Arial" w:hAnsi="Arial"/>
          <w:color w:val="231F20"/>
          <w:w w:val="95"/>
          <w:sz w:val="12"/>
        </w:rPr>
        <w:t>,</w:t>
      </w:r>
      <w:r>
        <w:rPr>
          <w:rFonts w:ascii="Arial" w:hAnsi="Arial"/>
          <w:color w:val="231F20"/>
          <w:spacing w:val="6"/>
          <w:sz w:val="12"/>
        </w:rPr>
        <w:t> </w:t>
      </w:r>
      <w:r>
        <w:rPr>
          <w:rFonts w:ascii="Arial" w:hAnsi="Arial"/>
          <w:color w:val="231F20"/>
          <w:w w:val="95"/>
          <w:sz w:val="12"/>
        </w:rPr>
        <w:t>Madrid,</w:t>
      </w:r>
      <w:r>
        <w:rPr>
          <w:rFonts w:ascii="Arial" w:hAnsi="Arial"/>
          <w:color w:val="231F20"/>
          <w:spacing w:val="7"/>
          <w:sz w:val="12"/>
        </w:rPr>
        <w:t> </w:t>
      </w:r>
      <w:r>
        <w:rPr>
          <w:rFonts w:ascii="Arial" w:hAnsi="Arial"/>
          <w:color w:val="231F20"/>
          <w:w w:val="95"/>
          <w:sz w:val="12"/>
        </w:rPr>
        <w:t>Prensa</w:t>
      </w:r>
      <w:r>
        <w:rPr>
          <w:rFonts w:ascii="Arial" w:hAnsi="Arial"/>
          <w:color w:val="231F20"/>
          <w:spacing w:val="6"/>
          <w:sz w:val="12"/>
        </w:rPr>
        <w:t> </w:t>
      </w:r>
      <w:r>
        <w:rPr>
          <w:rFonts w:ascii="Arial" w:hAnsi="Arial"/>
          <w:color w:val="231F20"/>
          <w:spacing w:val="-2"/>
          <w:w w:val="95"/>
          <w:sz w:val="12"/>
        </w:rPr>
        <w:t>Española.</w:t>
      </w:r>
    </w:p>
    <w:p>
      <w:pPr>
        <w:pStyle w:val="ListParagraph"/>
        <w:numPr>
          <w:ilvl w:val="0"/>
          <w:numId w:val="65"/>
        </w:numPr>
        <w:tabs>
          <w:tab w:pos="1219" w:val="left" w:leader="none"/>
          <w:tab w:pos="1220" w:val="left" w:leader="none"/>
        </w:tabs>
        <w:spacing w:line="240" w:lineRule="auto" w:before="32" w:after="0"/>
        <w:ind w:left="1219" w:right="0" w:hanging="406"/>
        <w:jc w:val="left"/>
        <w:rPr>
          <w:rFonts w:ascii="Arial"/>
          <w:sz w:val="12"/>
        </w:rPr>
      </w:pPr>
      <w:r>
        <w:rPr>
          <w:rFonts w:ascii="Arial"/>
          <w:color w:val="231F20"/>
          <w:w w:val="95"/>
          <w:sz w:val="12"/>
        </w:rPr>
        <w:t>Coopersmith,</w:t>
      </w:r>
      <w:r>
        <w:rPr>
          <w:rFonts w:ascii="Arial"/>
          <w:color w:val="231F20"/>
          <w:spacing w:val="3"/>
          <w:sz w:val="12"/>
        </w:rPr>
        <w:t> </w:t>
      </w:r>
      <w:r>
        <w:rPr>
          <w:rFonts w:ascii="Arial"/>
          <w:color w:val="231F20"/>
          <w:w w:val="95"/>
          <w:sz w:val="12"/>
        </w:rPr>
        <w:t>S.</w:t>
      </w:r>
      <w:r>
        <w:rPr>
          <w:rFonts w:ascii="Arial"/>
          <w:color w:val="231F20"/>
          <w:spacing w:val="3"/>
          <w:sz w:val="12"/>
        </w:rPr>
        <w:t> </w:t>
      </w:r>
      <w:r>
        <w:rPr>
          <w:rFonts w:ascii="Arial"/>
          <w:color w:val="231F20"/>
          <w:w w:val="95"/>
          <w:sz w:val="12"/>
        </w:rPr>
        <w:t>(1967).</w:t>
      </w:r>
      <w:r>
        <w:rPr>
          <w:rFonts w:ascii="Arial"/>
          <w:color w:val="231F20"/>
          <w:spacing w:val="3"/>
          <w:sz w:val="12"/>
        </w:rPr>
        <w:t> </w:t>
      </w:r>
      <w:r>
        <w:rPr>
          <w:rFonts w:ascii="Arial"/>
          <w:i/>
          <w:color w:val="231F20"/>
          <w:w w:val="95"/>
          <w:sz w:val="12"/>
        </w:rPr>
        <w:t>The</w:t>
      </w:r>
      <w:r>
        <w:rPr>
          <w:rFonts w:ascii="Arial"/>
          <w:i/>
          <w:color w:val="231F20"/>
          <w:spacing w:val="3"/>
          <w:sz w:val="12"/>
        </w:rPr>
        <w:t> </w:t>
      </w:r>
      <w:r>
        <w:rPr>
          <w:rFonts w:ascii="Arial"/>
          <w:i/>
          <w:color w:val="231F20"/>
          <w:w w:val="95"/>
          <w:sz w:val="12"/>
        </w:rPr>
        <w:t>Antecedents</w:t>
      </w:r>
      <w:r>
        <w:rPr>
          <w:rFonts w:ascii="Arial"/>
          <w:i/>
          <w:color w:val="231F20"/>
          <w:spacing w:val="3"/>
          <w:sz w:val="12"/>
        </w:rPr>
        <w:t> </w:t>
      </w:r>
      <w:r>
        <w:rPr>
          <w:rFonts w:ascii="Arial"/>
          <w:i/>
          <w:color w:val="231F20"/>
          <w:w w:val="95"/>
          <w:sz w:val="12"/>
        </w:rPr>
        <w:t>of</w:t>
      </w:r>
      <w:r>
        <w:rPr>
          <w:rFonts w:ascii="Arial"/>
          <w:i/>
          <w:color w:val="231F20"/>
          <w:spacing w:val="3"/>
          <w:sz w:val="12"/>
        </w:rPr>
        <w:t> </w:t>
      </w:r>
      <w:r>
        <w:rPr>
          <w:rFonts w:ascii="Arial"/>
          <w:i/>
          <w:color w:val="231F20"/>
          <w:w w:val="95"/>
          <w:sz w:val="12"/>
        </w:rPr>
        <w:t>Self-Esteem</w:t>
      </w:r>
      <w:r>
        <w:rPr>
          <w:rFonts w:ascii="Arial"/>
          <w:color w:val="231F20"/>
          <w:w w:val="95"/>
          <w:sz w:val="12"/>
        </w:rPr>
        <w:t>,</w:t>
      </w:r>
      <w:r>
        <w:rPr>
          <w:rFonts w:ascii="Arial"/>
          <w:color w:val="231F20"/>
          <w:spacing w:val="3"/>
          <w:sz w:val="12"/>
        </w:rPr>
        <w:t> </w:t>
      </w:r>
      <w:r>
        <w:rPr>
          <w:rFonts w:ascii="Arial"/>
          <w:color w:val="231F20"/>
          <w:w w:val="95"/>
          <w:sz w:val="12"/>
        </w:rPr>
        <w:t>San</w:t>
      </w:r>
      <w:r>
        <w:rPr>
          <w:rFonts w:ascii="Arial"/>
          <w:color w:val="231F20"/>
          <w:spacing w:val="3"/>
          <w:sz w:val="12"/>
        </w:rPr>
        <w:t> </w:t>
      </w:r>
      <w:r>
        <w:rPr>
          <w:rFonts w:ascii="Arial"/>
          <w:color w:val="231F20"/>
          <w:w w:val="95"/>
          <w:sz w:val="12"/>
        </w:rPr>
        <w:t>Francisco,</w:t>
      </w:r>
      <w:r>
        <w:rPr>
          <w:rFonts w:ascii="Arial"/>
          <w:color w:val="231F20"/>
          <w:spacing w:val="3"/>
          <w:sz w:val="12"/>
        </w:rPr>
        <w:t> </w:t>
      </w:r>
      <w:r>
        <w:rPr>
          <w:rFonts w:ascii="Arial"/>
          <w:color w:val="231F20"/>
          <w:spacing w:val="-2"/>
          <w:w w:val="95"/>
          <w:sz w:val="12"/>
        </w:rPr>
        <w:t>Freeman.</w:t>
      </w:r>
    </w:p>
    <w:p>
      <w:pPr>
        <w:spacing w:after="0" w:line="240" w:lineRule="auto"/>
        <w:jc w:val="left"/>
        <w:rPr>
          <w:rFonts w:ascii="Arial"/>
          <w:sz w:val="12"/>
        </w:rPr>
        <w:sectPr>
          <w:footerReference w:type="default" r:id="rId245"/>
          <w:pgSz w:w="8640" w:h="12960"/>
          <w:pgMar w:footer="424" w:header="0" w:top="500" w:bottom="620" w:left="420" w:right="1140"/>
        </w:sectPr>
      </w:pPr>
    </w:p>
    <w:p>
      <w:pPr>
        <w:spacing w:before="103"/>
        <w:ind w:left="1028" w:right="698" w:firstLine="0"/>
        <w:jc w:val="center"/>
        <w:rPr>
          <w:rFonts w:ascii="Arial" w:hAnsi="Arial"/>
          <w:sz w:val="14"/>
        </w:rPr>
      </w:pPr>
      <w:bookmarkStart w:name="Figure 4.1 / Tenants et aboutissants de " w:id="139"/>
      <w:bookmarkEnd w:id="139"/>
      <w:r>
        <w:rPr/>
      </w:r>
      <w:bookmarkStart w:name="_bookmark60" w:id="140"/>
      <w:bookmarkEnd w:id="14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3"/>
        <w:rPr>
          <w:rFonts w:ascii="Arial"/>
          <w:sz w:val="29"/>
        </w:rPr>
      </w:pPr>
      <w:r>
        <w:rPr/>
        <w:pict>
          <v:group style="position:absolute;margin-left:62.5pt;margin-top:18.051661pt;width:287.5pt;height:333.25pt;mso-position-horizontal-relative:page;mso-position-vertical-relative:paragraph;z-index:-15654400;mso-wrap-distance-left:0;mso-wrap-distance-right:0" id="docshapegroup839" coordorigin="1250,361" coordsize="5750,6665">
            <v:shape style="position:absolute;left:1250;top:361;width:5750;height:6665" id="docshape840" coordorigin="1250,361" coordsize="5750,6665" path="m7000,361l1250,361,1250,906,1250,1066,1250,6356,1250,6466,1250,7026,7000,7026,7000,6466,7000,6356,7000,1066,7000,906,7000,361xe" filled="true" fillcolor="#e2e3e4" stroked="false">
              <v:path arrowok="t"/>
              <v:fill type="solid"/>
            </v:shape>
            <v:line style="position:absolute" from="1500,6354" to="6750,6354" stroked="true" strokeweight=".25pt" strokecolor="#231f20">
              <v:stroke dashstyle="shortdot"/>
            </v:line>
            <v:line style="position:absolute" from="3661,5560" to="3385,5560" stroked="true" strokeweight=".25pt" strokecolor="#231f20">
              <v:stroke dashstyle="solid"/>
            </v:line>
            <v:shape style="position:absolute;left:3338;top:5527;width:57;height:65" id="docshape841" coordorigin="3338,5527" coordsize="57,65" path="m3394,5527l3338,5560,3394,5592,3394,5527xe" filled="true" fillcolor="#231f20" stroked="false">
              <v:path arrowok="t"/>
              <v:fill type="solid"/>
            </v:shape>
            <v:line style="position:absolute" from="3661,5674" to="4597,5674" stroked="true" strokeweight=".25pt" strokecolor="#231f20">
              <v:stroke dashstyle="solid"/>
            </v:line>
            <v:shape style="position:absolute;left:4587;top:5641;width:57;height:65" id="docshape842" coordorigin="4587,5641" coordsize="57,65" path="m4587,5641l4587,5706,4643,5674,4587,5641xe" filled="true" fillcolor="#231f20" stroked="false">
              <v:path arrowok="t"/>
              <v:fill type="solid"/>
            </v:shape>
            <v:line style="position:absolute" from="3661,5097" to="3385,5097" stroked="true" strokeweight=".25pt" strokecolor="#231f20">
              <v:stroke dashstyle="solid"/>
            </v:line>
            <v:shape style="position:absolute;left:3338;top:5064;width:57;height:65" id="docshape843" coordorigin="3338,5064" coordsize="57,65" path="m3394,5064l3338,5097,3394,5129,3394,5064xe" filled="true" fillcolor="#231f20" stroked="false">
              <v:path arrowok="t"/>
              <v:fill type="solid"/>
            </v:shape>
            <v:line style="position:absolute" from="2938,1243" to="4841,1243" stroked="true" strokeweight=".25pt" strokecolor="#231f20">
              <v:stroke dashstyle="solid"/>
            </v:line>
            <v:shape style="position:absolute;left:4831;top:1210;width:57;height:65" id="docshape844" coordorigin="4832,1211" coordsize="57,65" path="m4832,1211l4832,1276,4888,1243,4832,1211xe" filled="true" fillcolor="#231f20" stroked="false">
              <v:path arrowok="t"/>
              <v:fill type="solid"/>
            </v:shape>
            <v:line style="position:absolute" from="4491,3276" to="4266,3276" stroked="true" strokeweight=".25pt" strokecolor="#231f20">
              <v:stroke dashstyle="solid"/>
            </v:line>
            <v:shape style="position:absolute;left:4219;top:3243;width:57;height:65" id="docshape845" coordorigin="4219,3243" coordsize="57,65" path="m4276,3243l4219,3276,4276,3308,4276,3243xe" filled="true" fillcolor="#231f20" stroked="false">
              <v:path arrowok="t"/>
              <v:fill type="solid"/>
            </v:shape>
            <v:line style="position:absolute" from="5508,1546" to="5508,1842" stroked="true" strokeweight=".25pt" strokecolor="#231f20">
              <v:stroke dashstyle="solid"/>
            </v:line>
            <v:shape style="position:absolute;left:5475;top:1499;width:65;height:389" id="docshape846" coordorigin="5475,1500" coordsize="65,389" path="m5540,1832l5475,1832,5508,1888,5540,1832xm5540,1556l5508,1500,5475,1556,5540,1556xe" filled="true" fillcolor="#231f20" stroked="false">
              <v:path arrowok="t"/>
              <v:fill type="solid"/>
            </v:shape>
            <v:line style="position:absolute" from="5508,4968" to="5508,5264" stroked="true" strokeweight=".25pt" strokecolor="#231f20">
              <v:stroke dashstyle="solid"/>
            </v:line>
            <v:shape style="position:absolute;left:5475;top:4921;width:65;height:389" id="docshape847" coordorigin="5475,4922" coordsize="65,389" path="m5540,5254l5475,5254,5508,5310,5540,5254xm5540,4978l5508,4922,5475,4978,5540,4978xe" filled="true" fillcolor="#231f20" stroked="false">
              <v:path arrowok="t"/>
              <v:fill type="solid"/>
            </v:shape>
            <v:line style="position:absolute" from="5508,3472" to="5508,3765" stroked="true" strokeweight=".25pt" strokecolor="#231f20">
              <v:stroke dashstyle="solid"/>
            </v:line>
            <v:shape style="position:absolute;left:5475;top:3755;width:65;height:57" id="docshape848" coordorigin="5475,3755" coordsize="65,57" path="m5540,3755l5475,3755,5508,3811,5540,3755xe" filled="true" fillcolor="#231f20" stroked="false">
              <v:path arrowok="t"/>
              <v:fill type="solid"/>
            </v:shape>
            <v:line style="position:absolute" from="2596,1765" to="3608,1765" stroked="true" strokeweight=".25pt" strokecolor="#231f20">
              <v:stroke dashstyle="solid"/>
            </v:line>
            <v:shape style="position:absolute;left:2549;top:1732;width:1106;height:65" id="docshape849" coordorigin="2549,1733" coordsize="1106,65" path="m2605,1733l2549,1765,2605,1797,2605,1733xm3655,1765l3599,1733,3599,1797,3655,1765xe" filled="true" fillcolor="#231f20" stroked="false">
              <v:path arrowok="t"/>
              <v:fill type="solid"/>
            </v:shape>
            <v:line style="position:absolute" from="3133,2276" to="3608,2276" stroked="true" strokeweight=".25pt" strokecolor="#231f20">
              <v:stroke dashstyle="solid"/>
            </v:line>
            <v:shape style="position:absolute;left:3086;top:2243;width:569;height:65" id="docshape850" coordorigin="3087,2243" coordsize="569,65" path="m3143,2243l3087,2276,3143,2308,3143,2243xm3655,2276l3599,2243,3599,2308,3655,2276xe" filled="true" fillcolor="#231f20" stroked="false">
              <v:path arrowok="t"/>
              <v:fill type="solid"/>
            </v:shape>
            <v:line style="position:absolute" from="2380,2619" to="3608,2619" stroked="true" strokeweight=".25pt" strokecolor="#231f20">
              <v:stroke dashstyle="solid"/>
            </v:line>
            <v:shape style="position:absolute;left:2333;top:2586;width:1322;height:65" id="docshape851" coordorigin="2333,2586" coordsize="1322,65" path="m2389,2586l2333,2619,2389,2651,2389,2586xm3655,2619l3599,2586,3599,2651,3655,2619xe" filled="true" fillcolor="#231f20" stroked="false">
              <v:path arrowok="t"/>
              <v:fill type="solid"/>
            </v:shape>
            <v:shape style="position:absolute;left:2623;top:2879;width:986;height:626" id="docshape852" coordorigin="2623,2879" coordsize="986,626" path="m3608,2879l2796,2879,2796,3505,2623,3505e" filled="false" stroked="true" strokeweight=".25pt" strokecolor="#231f20">
              <v:path arrowok="t"/>
              <v:stroke dashstyle="solid"/>
            </v:shape>
            <v:shape style="position:absolute;left:2576;top:2846;width:1079;height:691" id="docshape853" coordorigin="2576,2847" coordsize="1079,691" path="m2633,3473l2576,3505,2633,3537,2633,3473xm3655,2879l3599,2847,3599,2912,3655,2879xe" filled="true" fillcolor="#231f20" stroked="false">
              <v:path arrowok="t"/>
              <v:fill type="solid"/>
            </v:shape>
            <v:shape style="position:absolute;left:2783;top:3275;width:266;height:933" id="docshape854" coordorigin="2783,3276" coordsize="266,933" path="m3049,3276l2916,3276,2916,4208,2783,4208e" filled="false" stroked="true" strokeweight=".25pt" strokecolor="#231f20">
              <v:path arrowok="t"/>
              <v:stroke dashstyle="solid"/>
            </v:shape>
            <v:shape style="position:absolute;left:2736;top:3243;width:360;height:998" id="docshape855" coordorigin="2736,3243" coordsize="360,998" path="m2793,4176l2736,4208,2793,4241,2793,4176xm3096,3276l3040,3243,3040,3308,3096,3276xe" filled="true" fillcolor="#231f20" stroked="false">
              <v:path arrowok="t"/>
              <v:fill type="solid"/>
            </v:shape>
            <v:line style="position:absolute" from="3658,1250" to="3658,3067" stroked="true" strokeweight=".25pt" strokecolor="#231f20">
              <v:stroke dashstyle="solid"/>
            </v:line>
            <v:shape style="position:absolute;left:3625;top:3057;width:65;height:57" id="docshape856" coordorigin="3625,3058" coordsize="65,57" path="m3690,3058l3625,3058,3658,3114,3690,3058xe" filled="true" fillcolor="#231f20" stroked="false">
              <v:path arrowok="t"/>
              <v:fill type="solid"/>
            </v:shape>
            <v:shape style="position:absolute;left:3384;top:3483;width:277;height:2540" id="docshape857" coordorigin="3385,3484" coordsize="277,2540" path="m3661,3484l3661,6023,3385,6023e" filled="false" stroked="true" strokeweight=".25pt" strokecolor="#231f20">
              <v:path arrowok="t"/>
              <v:stroke dashstyle="solid"/>
            </v:shape>
            <v:shape style="position:absolute;left:3337;top:3437;width:356;height:2619" id="docshape858" coordorigin="3338,3437" coordsize="356,2619" path="m3394,5991l3338,6023,3394,6056,3394,5991xm3693,3493l3661,3437,3628,3493,3693,3493xe" filled="true" fillcolor="#231f20" stroked="false">
              <v:path arrowok="t"/>
              <v:fill type="solid"/>
            </v:shape>
            <v:shape style="position:absolute;left:4888;top:997;width:1248;height:3925" id="docshape859" coordorigin="4888,997" coordsize="1248,3925" path="m6135,4222l4888,4222,4888,4922,6135,4922,6135,4222xm6135,997l4888,997,4888,1497,6135,1497,6135,997xe" filled="true" fillcolor="#c7c8ca" stroked="false">
              <v:path arrowok="t"/>
              <v:fill type="solid"/>
            </v:shape>
            <v:shape style="position:absolute;left:4643;top:1888;width:1737;height:4123" id="docshape860" coordorigin="4643,1888" coordsize="1737,4123" path="m6380,5310l4643,5310,4643,6011,6380,6011,6380,5310xm6380,2772l4643,2772,4643,3472,6380,3472,6380,2772xm6380,1888l4643,1888,4643,2388,6380,2388,6380,1888xe" filled="true" fillcolor="#ffffff" stroked="false">
              <v:path arrowok="t"/>
              <v:fill type="solid"/>
            </v:shape>
            <v:shape style="position:absolute;left:4490;top:3113;width:351;height:1458" id="docshape861" coordorigin="4491,3114" coordsize="351,1458" path="m4597,3114l4491,3114,4491,4572,4841,4572e" filled="false" stroked="true" strokeweight=".25pt" strokecolor="#231f20">
              <v:path arrowok="t"/>
              <v:stroke dashstyle="solid"/>
            </v:shape>
            <v:shape style="position:absolute;left:4587;top:3081;width:301;height:1523" id="docshape862" coordorigin="4587,3082" coordsize="301,1523" path="m4643,3114l4587,3082,4587,3146,4643,3114xm4888,4572l4832,4539,4832,4604,4888,4572xe" filled="true" fillcolor="#231f20" stroked="false">
              <v:path arrowok="t"/>
              <v:fill type="solid"/>
            </v:shape>
            <v:shape style="position:absolute;left:4385;top:2138;width:212;height:1134" id="docshape863" coordorigin="4385,2138" coordsize="212,1134" path="m4597,2138l4385,2138,4385,3272e" filled="false" stroked="true" strokeweight=".25pt" strokecolor="#231f20">
              <v:path arrowok="t"/>
              <v:stroke dashstyle="solid"/>
            </v:shape>
            <v:shape style="position:absolute;left:4587;top:2105;width:57;height:65" id="docshape864" coordorigin="4587,2106" coordsize="57,65" path="m4587,2106l4587,2171,4643,2138,4587,2106xe" filled="true" fillcolor="#231f20" stroked="false">
              <v:path arrowok="t"/>
              <v:fill type="solid"/>
            </v:shape>
            <v:shape style="position:absolute;left:6379;top:2135;width:251;height:3537" id="docshape865" coordorigin="6380,2136" coordsize="251,3537" path="m6380,5672l6630,5672,6630,2136e" filled="false" stroked="true" strokeweight=".25pt" strokecolor="#231f20">
              <v:path arrowok="t"/>
              <v:stroke dashstyle="solid"/>
            </v:shape>
            <v:shape style="position:absolute;left:6181;top:2135;width:549;height:2437" id="docshape866" coordorigin="6182,2136" coordsize="549,2437" path="m6427,2136l6730,2136,6730,4572,6182,4572e" filled="false" stroked="true" strokeweight=".25pt" strokecolor="#231f20">
              <v:path arrowok="t"/>
              <v:stroke dashstyle="solid"/>
            </v:shape>
            <v:shape style="position:absolute;left:6135;top:2103;width:301;height:2501" id="docshape867" coordorigin="6135,2103" coordsize="301,2501" path="m6191,4539l6135,4572,6191,4604,6191,4539xm6436,2103l6380,2136,6436,2168,6436,2103xe" filled="true" fillcolor="#231f20" stroked="false">
              <v:path arrowok="t"/>
              <v:fill type="solid"/>
            </v:shape>
            <v:shape style="position:absolute;left:6379;top:2138;width:153;height:984" id="docshape868" coordorigin="6380,2138" coordsize="153,984" path="m6380,3122l6532,3122,6532,2138e" filled="false" stroked="true" strokeweight=".25pt" strokecolor="#231f20">
              <v:path arrowok="t"/>
              <v:stroke dashstyle="solid"/>
            </v:shape>
            <v:shape style="position:absolute;left:1500;top:532;width:4153;height:246" type="#_x0000_t202" id="docshape869" filled="false" stroked="false">
              <v:textbox inset="0,0,0,0">
                <w:txbxContent>
                  <w:p>
                    <w:pPr>
                      <w:spacing w:before="44"/>
                      <w:ind w:left="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4.1</w:t>
                    </w:r>
                    <w:r>
                      <w:rPr>
                        <w:rFonts w:ascii="Arial" w:hAnsi="Arial"/>
                        <w:color w:val="231F20"/>
                        <w:spacing w:val="-11"/>
                        <w:w w:val="95"/>
                        <w:sz w:val="17"/>
                      </w:rPr>
                      <w:t> </w:t>
                    </w:r>
                    <w:r>
                      <w:rPr>
                        <w:rFonts w:ascii="Arial" w:hAnsi="Arial"/>
                        <w:i/>
                        <w:color w:val="231F20"/>
                        <w:w w:val="95"/>
                        <w:sz w:val="17"/>
                      </w:rPr>
                      <w:t>/</w:t>
                    </w:r>
                    <w:r>
                      <w:rPr>
                        <w:rFonts w:ascii="Arial" w:hAnsi="Arial"/>
                        <w:i/>
                        <w:color w:val="231F20"/>
                        <w:spacing w:val="45"/>
                        <w:sz w:val="17"/>
                      </w:rPr>
                      <w:t> </w:t>
                    </w:r>
                    <w:r>
                      <w:rPr>
                        <w:rFonts w:ascii="Arial" w:hAnsi="Arial"/>
                        <w:b/>
                        <w:color w:val="231F20"/>
                        <w:w w:val="95"/>
                        <w:sz w:val="17"/>
                      </w:rPr>
                      <w:t>Tenants</w:t>
                    </w:r>
                    <w:r>
                      <w:rPr>
                        <w:rFonts w:ascii="Arial" w:hAnsi="Arial"/>
                        <w:b/>
                        <w:color w:val="231F20"/>
                        <w:spacing w:val="-4"/>
                        <w:w w:val="95"/>
                        <w:sz w:val="17"/>
                      </w:rPr>
                      <w:t> </w:t>
                    </w:r>
                    <w:r>
                      <w:rPr>
                        <w:rFonts w:ascii="Arial" w:hAnsi="Arial"/>
                        <w:b/>
                        <w:color w:val="231F20"/>
                        <w:w w:val="95"/>
                        <w:sz w:val="17"/>
                      </w:rPr>
                      <w:t>et</w:t>
                    </w:r>
                    <w:r>
                      <w:rPr>
                        <w:rFonts w:ascii="Arial" w:hAnsi="Arial"/>
                        <w:b/>
                        <w:color w:val="231F20"/>
                        <w:spacing w:val="-4"/>
                        <w:w w:val="95"/>
                        <w:sz w:val="17"/>
                      </w:rPr>
                      <w:t> </w:t>
                    </w:r>
                    <w:r>
                      <w:rPr>
                        <w:rFonts w:ascii="Arial" w:hAnsi="Arial"/>
                        <w:b/>
                        <w:color w:val="231F20"/>
                        <w:w w:val="95"/>
                        <w:sz w:val="17"/>
                      </w:rPr>
                      <w:t>aboutissants</w:t>
                    </w:r>
                    <w:r>
                      <w:rPr>
                        <w:rFonts w:ascii="Arial" w:hAnsi="Arial"/>
                        <w:b/>
                        <w:color w:val="231F20"/>
                        <w:spacing w:val="-4"/>
                        <w:w w:val="95"/>
                        <w:sz w:val="17"/>
                      </w:rPr>
                      <w:t> </w:t>
                    </w:r>
                    <w:r>
                      <w:rPr>
                        <w:rFonts w:ascii="Arial" w:hAnsi="Arial"/>
                        <w:b/>
                        <w:color w:val="231F20"/>
                        <w:w w:val="95"/>
                        <w:sz w:val="17"/>
                      </w:rPr>
                      <w:t>de</w:t>
                    </w:r>
                    <w:r>
                      <w:rPr>
                        <w:rFonts w:ascii="Arial" w:hAnsi="Arial"/>
                        <w:b/>
                        <w:color w:val="231F20"/>
                        <w:spacing w:val="-5"/>
                        <w:w w:val="95"/>
                        <w:sz w:val="17"/>
                      </w:rPr>
                      <w:t> </w:t>
                    </w:r>
                    <w:r>
                      <w:rPr>
                        <w:rFonts w:ascii="Arial" w:hAnsi="Arial"/>
                        <w:b/>
                        <w:color w:val="231F20"/>
                        <w:w w:val="95"/>
                        <w:sz w:val="17"/>
                      </w:rPr>
                      <w:t>l’estime</w:t>
                    </w:r>
                    <w:r>
                      <w:rPr>
                        <w:rFonts w:ascii="Arial" w:hAnsi="Arial"/>
                        <w:b/>
                        <w:color w:val="231F20"/>
                        <w:spacing w:val="-4"/>
                        <w:w w:val="95"/>
                        <w:sz w:val="17"/>
                      </w:rPr>
                      <w:t> </w:t>
                    </w:r>
                    <w:r>
                      <w:rPr>
                        <w:rFonts w:ascii="Arial" w:hAnsi="Arial"/>
                        <w:b/>
                        <w:color w:val="231F20"/>
                        <w:w w:val="95"/>
                        <w:sz w:val="17"/>
                      </w:rPr>
                      <w:t>de</w:t>
                    </w:r>
                    <w:r>
                      <w:rPr>
                        <w:rFonts w:ascii="Arial" w:hAnsi="Arial"/>
                        <w:b/>
                        <w:color w:val="231F20"/>
                        <w:spacing w:val="-4"/>
                        <w:w w:val="95"/>
                        <w:sz w:val="17"/>
                      </w:rPr>
                      <w:t> </w:t>
                    </w:r>
                    <w:r>
                      <w:rPr>
                        <w:rFonts w:ascii="Arial" w:hAnsi="Arial"/>
                        <w:b/>
                        <w:color w:val="231F20"/>
                        <w:spacing w:val="-5"/>
                        <w:w w:val="95"/>
                        <w:sz w:val="17"/>
                      </w:rPr>
                      <w:t>soi</w:t>
                    </w:r>
                  </w:p>
                </w:txbxContent>
              </v:textbox>
              <w10:wrap type="none"/>
            </v:shape>
            <v:shape style="position:absolute;left:1525;top:1124;width:1520;height:3152" type="#_x0000_t202" id="docshape870" filled="false" stroked="false">
              <v:textbox inset="0,0,0,0">
                <w:txbxContent>
                  <w:p>
                    <w:pPr>
                      <w:spacing w:line="249" w:lineRule="auto" w:before="18"/>
                      <w:ind w:left="0" w:right="0" w:firstLine="0"/>
                      <w:jc w:val="left"/>
                      <w:rPr>
                        <w:rFonts w:ascii="Arial" w:hAnsi="Arial"/>
                        <w:sz w:val="15"/>
                      </w:rPr>
                    </w:pPr>
                    <w:r>
                      <w:rPr>
                        <w:rFonts w:ascii="Arial" w:hAnsi="Arial"/>
                        <w:color w:val="231F20"/>
                        <w:spacing w:val="-2"/>
                        <w:w w:val="95"/>
                        <w:sz w:val="15"/>
                      </w:rPr>
                      <w:t>Construction</w:t>
                    </w:r>
                    <w:r>
                      <w:rPr>
                        <w:rFonts w:ascii="Arial" w:hAnsi="Arial"/>
                        <w:color w:val="231F20"/>
                        <w:spacing w:val="-11"/>
                        <w:w w:val="95"/>
                        <w:sz w:val="15"/>
                      </w:rPr>
                      <w:t> </w:t>
                    </w:r>
                    <w:r>
                      <w:rPr>
                        <w:rFonts w:ascii="Arial" w:hAnsi="Arial"/>
                        <w:color w:val="231F20"/>
                        <w:spacing w:val="-2"/>
                        <w:w w:val="95"/>
                        <w:sz w:val="15"/>
                      </w:rPr>
                      <w:t>affective</w:t>
                    </w:r>
                    <w:r>
                      <w:rPr>
                        <w:rFonts w:ascii="Arial" w:hAnsi="Arial"/>
                        <w:color w:val="231F20"/>
                        <w:sz w:val="15"/>
                      </w:rPr>
                      <w:t> depuis</w:t>
                    </w:r>
                    <w:r>
                      <w:rPr>
                        <w:rFonts w:ascii="Arial" w:hAnsi="Arial"/>
                        <w:color w:val="231F20"/>
                        <w:spacing w:val="-13"/>
                        <w:sz w:val="15"/>
                      </w:rPr>
                      <w:t> </w:t>
                    </w:r>
                    <w:r>
                      <w:rPr>
                        <w:rFonts w:ascii="Arial" w:hAnsi="Arial"/>
                        <w:color w:val="231F20"/>
                        <w:sz w:val="15"/>
                      </w:rPr>
                      <w:t>l’enfance</w:t>
                    </w:r>
                  </w:p>
                  <w:p>
                    <w:pPr>
                      <w:spacing w:line="249" w:lineRule="auto" w:before="161"/>
                      <w:ind w:left="0" w:right="544" w:firstLine="0"/>
                      <w:jc w:val="left"/>
                      <w:rPr>
                        <w:rFonts w:ascii="Arial" w:hAnsi="Arial"/>
                        <w:sz w:val="15"/>
                      </w:rPr>
                    </w:pPr>
                    <w:r>
                      <w:rPr>
                        <w:rFonts w:ascii="Arial" w:hAnsi="Arial"/>
                        <w:color w:val="231F20"/>
                        <w:w w:val="90"/>
                        <w:sz w:val="15"/>
                      </w:rPr>
                      <w:t>Connexion</w:t>
                    </w:r>
                    <w:r>
                      <w:rPr>
                        <w:rFonts w:ascii="Arial" w:hAnsi="Arial"/>
                        <w:color w:val="231F20"/>
                        <w:spacing w:val="-9"/>
                        <w:w w:val="90"/>
                        <w:sz w:val="15"/>
                      </w:rPr>
                      <w:t> </w:t>
                    </w:r>
                    <w:r>
                      <w:rPr>
                        <w:rFonts w:ascii="Arial" w:hAnsi="Arial"/>
                        <w:color w:val="231F20"/>
                        <w:w w:val="90"/>
                        <w:sz w:val="15"/>
                      </w:rPr>
                      <w:t>avec</w:t>
                    </w:r>
                    <w:r>
                      <w:rPr>
                        <w:rFonts w:ascii="Arial" w:hAnsi="Arial"/>
                        <w:color w:val="231F20"/>
                        <w:sz w:val="15"/>
                      </w:rPr>
                      <w:t> </w:t>
                    </w:r>
                    <w:r>
                      <w:rPr>
                        <w:rFonts w:ascii="Arial" w:hAnsi="Arial"/>
                        <w:color w:val="231F20"/>
                        <w:spacing w:val="-2"/>
                        <w:sz w:val="15"/>
                      </w:rPr>
                      <w:t>soi-même</w:t>
                    </w:r>
                  </w:p>
                  <w:p>
                    <w:pPr>
                      <w:spacing w:line="340" w:lineRule="exact" w:before="30"/>
                      <w:ind w:left="0" w:right="0" w:firstLine="0"/>
                      <w:jc w:val="left"/>
                      <w:rPr>
                        <w:rFonts w:ascii="Arial" w:hAnsi="Arial"/>
                        <w:sz w:val="15"/>
                      </w:rPr>
                    </w:pPr>
                    <w:r>
                      <w:rPr>
                        <w:rFonts w:ascii="Arial" w:hAnsi="Arial"/>
                        <w:color w:val="231F20"/>
                        <w:spacing w:val="-2"/>
                        <w:w w:val="95"/>
                        <w:sz w:val="15"/>
                      </w:rPr>
                      <w:t>Assertivité</w:t>
                    </w:r>
                    <w:r>
                      <w:rPr>
                        <w:rFonts w:ascii="Arial" w:hAnsi="Arial"/>
                        <w:color w:val="231F20"/>
                        <w:spacing w:val="-11"/>
                        <w:w w:val="95"/>
                        <w:sz w:val="15"/>
                      </w:rPr>
                      <w:t> </w:t>
                    </w:r>
                    <w:r>
                      <w:rPr>
                        <w:rFonts w:ascii="Arial" w:hAnsi="Arial"/>
                        <w:color w:val="231F20"/>
                        <w:spacing w:val="-2"/>
                        <w:w w:val="95"/>
                        <w:sz w:val="15"/>
                      </w:rPr>
                      <w:t>émotionnelle</w:t>
                    </w:r>
                    <w:r>
                      <w:rPr>
                        <w:rFonts w:ascii="Arial" w:hAnsi="Arial"/>
                        <w:color w:val="231F20"/>
                        <w:sz w:val="15"/>
                      </w:rPr>
                      <w:t> </w:t>
                    </w:r>
                    <w:r>
                      <w:rPr>
                        <w:rFonts w:ascii="Arial" w:hAnsi="Arial"/>
                        <w:color w:val="231F20"/>
                        <w:spacing w:val="-2"/>
                        <w:sz w:val="15"/>
                      </w:rPr>
                      <w:t>Expériences</w:t>
                    </w:r>
                  </w:p>
                  <w:p>
                    <w:pPr>
                      <w:spacing w:line="144" w:lineRule="exact" w:before="0"/>
                      <w:ind w:left="0" w:right="0" w:firstLine="0"/>
                      <w:jc w:val="left"/>
                      <w:rPr>
                        <w:rFonts w:ascii="Arial" w:hAnsi="Arial"/>
                        <w:sz w:val="15"/>
                      </w:rPr>
                    </w:pPr>
                    <w:r>
                      <w:rPr>
                        <w:rFonts w:ascii="Arial" w:hAnsi="Arial"/>
                        <w:color w:val="231F20"/>
                        <w:w w:val="90"/>
                        <w:sz w:val="15"/>
                      </w:rPr>
                      <w:t>de</w:t>
                    </w:r>
                    <w:r>
                      <w:rPr>
                        <w:rFonts w:ascii="Arial" w:hAnsi="Arial"/>
                        <w:color w:val="231F20"/>
                        <w:spacing w:val="-4"/>
                        <w:w w:val="90"/>
                        <w:sz w:val="15"/>
                      </w:rPr>
                      <w:t> </w:t>
                    </w:r>
                    <w:r>
                      <w:rPr>
                        <w:rFonts w:ascii="Arial" w:hAnsi="Arial"/>
                        <w:color w:val="231F20"/>
                        <w:spacing w:val="-2"/>
                        <w:sz w:val="15"/>
                      </w:rPr>
                      <w:t>réussite</w:t>
                    </w:r>
                  </w:p>
                  <w:p>
                    <w:pPr>
                      <w:spacing w:line="249" w:lineRule="auto" w:before="8"/>
                      <w:ind w:left="0" w:right="544" w:firstLine="0"/>
                      <w:jc w:val="left"/>
                      <w:rPr>
                        <w:rFonts w:ascii="Arial"/>
                        <w:sz w:val="15"/>
                      </w:rPr>
                    </w:pPr>
                    <w:r>
                      <w:rPr>
                        <w:rFonts w:ascii="Arial"/>
                        <w:color w:val="231F20"/>
                        <w:spacing w:val="-2"/>
                        <w:w w:val="90"/>
                        <w:sz w:val="15"/>
                      </w:rPr>
                      <w:t>psychologique</w:t>
                    </w:r>
                    <w:r>
                      <w:rPr>
                        <w:rFonts w:ascii="Arial"/>
                        <w:color w:val="231F20"/>
                        <w:sz w:val="15"/>
                      </w:rPr>
                      <w:t> de</w:t>
                    </w:r>
                    <w:r>
                      <w:rPr>
                        <w:rFonts w:ascii="Arial"/>
                        <w:color w:val="231F20"/>
                        <w:spacing w:val="-5"/>
                        <w:sz w:val="15"/>
                      </w:rPr>
                      <w:t> </w:t>
                    </w:r>
                    <w:r>
                      <w:rPr>
                        <w:rFonts w:ascii="Arial"/>
                        <w:color w:val="231F20"/>
                        <w:sz w:val="15"/>
                      </w:rPr>
                      <w:t>la</w:t>
                    </w:r>
                    <w:r>
                      <w:rPr>
                        <w:rFonts w:ascii="Arial"/>
                        <w:color w:val="231F20"/>
                        <w:spacing w:val="-5"/>
                        <w:sz w:val="15"/>
                      </w:rPr>
                      <w:t> </w:t>
                    </w:r>
                    <w:r>
                      <w:rPr>
                        <w:rFonts w:ascii="Arial"/>
                        <w:color w:val="231F20"/>
                        <w:sz w:val="15"/>
                      </w:rPr>
                      <w:t>vie</w:t>
                    </w:r>
                  </w:p>
                  <w:p>
                    <w:pPr>
                      <w:spacing w:line="249" w:lineRule="auto" w:before="161"/>
                      <w:ind w:left="0" w:right="0" w:firstLine="0"/>
                      <w:jc w:val="left"/>
                      <w:rPr>
                        <w:rFonts w:ascii="Arial" w:hAnsi="Arial"/>
                        <w:sz w:val="15"/>
                      </w:rPr>
                    </w:pPr>
                    <w:r>
                      <w:rPr>
                        <w:rFonts w:ascii="Arial" w:hAnsi="Arial"/>
                        <w:color w:val="231F20"/>
                        <w:spacing w:val="-2"/>
                        <w:w w:val="85"/>
                        <w:sz w:val="15"/>
                      </w:rPr>
                      <w:t>Reconnaissance</w:t>
                    </w:r>
                    <w:r>
                      <w:rPr>
                        <w:rFonts w:ascii="Arial" w:hAnsi="Arial"/>
                        <w:color w:val="231F20"/>
                        <w:sz w:val="15"/>
                      </w:rPr>
                      <w:t> </w:t>
                    </w:r>
                    <w:r>
                      <w:rPr>
                        <w:rFonts w:ascii="Arial" w:hAnsi="Arial"/>
                        <w:color w:val="231F20"/>
                        <w:spacing w:val="-2"/>
                        <w:sz w:val="15"/>
                      </w:rPr>
                      <w:t>émotionnelle</w:t>
                    </w:r>
                  </w:p>
                  <w:p>
                    <w:pPr>
                      <w:spacing w:before="1"/>
                      <w:ind w:left="0" w:right="0" w:firstLine="0"/>
                      <w:jc w:val="left"/>
                      <w:rPr>
                        <w:rFonts w:ascii="Arial" w:hAnsi="Arial"/>
                        <w:sz w:val="15"/>
                      </w:rPr>
                    </w:pPr>
                    <w:r>
                      <w:rPr>
                        <w:rFonts w:ascii="Arial" w:hAnsi="Arial"/>
                        <w:color w:val="231F20"/>
                        <w:w w:val="95"/>
                        <w:sz w:val="15"/>
                      </w:rPr>
                      <w:t>de</w:t>
                    </w:r>
                    <w:r>
                      <w:rPr>
                        <w:rFonts w:ascii="Arial" w:hAnsi="Arial"/>
                        <w:color w:val="231F20"/>
                        <w:spacing w:val="-10"/>
                        <w:w w:val="95"/>
                        <w:sz w:val="15"/>
                      </w:rPr>
                      <w:t> </w:t>
                    </w:r>
                    <w:r>
                      <w:rPr>
                        <w:rFonts w:ascii="Arial" w:hAnsi="Arial"/>
                        <w:color w:val="231F20"/>
                        <w:w w:val="95"/>
                        <w:sz w:val="15"/>
                      </w:rPr>
                      <w:t>l’effort</w:t>
                    </w:r>
                    <w:r>
                      <w:rPr>
                        <w:rFonts w:ascii="Arial" w:hAnsi="Arial"/>
                        <w:color w:val="231F20"/>
                        <w:spacing w:val="-9"/>
                        <w:w w:val="95"/>
                        <w:sz w:val="15"/>
                      </w:rPr>
                      <w:t> </w:t>
                    </w:r>
                    <w:r>
                      <w:rPr>
                        <w:rFonts w:ascii="Arial" w:hAnsi="Arial"/>
                        <w:color w:val="231F20"/>
                        <w:w w:val="95"/>
                        <w:sz w:val="15"/>
                      </w:rPr>
                      <w:t>de</w:t>
                    </w:r>
                    <w:r>
                      <w:rPr>
                        <w:rFonts w:ascii="Arial" w:hAnsi="Arial"/>
                        <w:color w:val="231F20"/>
                        <w:spacing w:val="-9"/>
                        <w:w w:val="95"/>
                        <w:sz w:val="15"/>
                      </w:rPr>
                      <w:t> </w:t>
                    </w:r>
                    <w:r>
                      <w:rPr>
                        <w:rFonts w:ascii="Arial" w:hAnsi="Arial"/>
                        <w:color w:val="231F20"/>
                        <w:spacing w:val="-2"/>
                        <w:w w:val="95"/>
                        <w:sz w:val="15"/>
                      </w:rPr>
                      <w:t>travail</w:t>
                    </w:r>
                  </w:p>
                  <w:p>
                    <w:pPr>
                      <w:spacing w:line="240" w:lineRule="auto" w:before="7"/>
                      <w:rPr>
                        <w:rFonts w:ascii="Arial"/>
                        <w:sz w:val="14"/>
                      </w:rPr>
                    </w:pPr>
                  </w:p>
                  <w:p>
                    <w:pPr>
                      <w:spacing w:before="0"/>
                      <w:ind w:left="0" w:right="0" w:firstLine="0"/>
                      <w:jc w:val="left"/>
                      <w:rPr>
                        <w:rFonts w:ascii="Arial" w:hAnsi="Arial"/>
                        <w:sz w:val="15"/>
                      </w:rPr>
                    </w:pPr>
                    <w:r>
                      <w:rPr>
                        <w:rFonts w:ascii="Arial" w:hAnsi="Arial"/>
                        <w:color w:val="231F20"/>
                        <w:w w:val="90"/>
                        <w:sz w:val="15"/>
                      </w:rPr>
                      <w:t>Fierté</w:t>
                    </w:r>
                    <w:r>
                      <w:rPr>
                        <w:rFonts w:ascii="Arial" w:hAnsi="Arial"/>
                        <w:color w:val="231F20"/>
                        <w:spacing w:val="-2"/>
                        <w:sz w:val="15"/>
                      </w:rPr>
                      <w:t> d’appartenir</w:t>
                    </w:r>
                  </w:p>
                </w:txbxContent>
              </v:textbox>
              <w10:wrap type="none"/>
            </v:shape>
            <v:shape style="position:absolute;left:5192;top:1044;width:658;height:372" type="#_x0000_t202" id="docshape871" filled="false" stroked="false">
              <v:textbox inset="0,0,0,0">
                <w:txbxContent>
                  <w:p>
                    <w:pPr>
                      <w:spacing w:line="249" w:lineRule="auto" w:before="14"/>
                      <w:ind w:left="0" w:right="17" w:firstLine="0"/>
                      <w:jc w:val="left"/>
                      <w:rPr>
                        <w:rFonts w:ascii="Arial"/>
                        <w:sz w:val="15"/>
                      </w:rPr>
                    </w:pPr>
                    <w:r>
                      <w:rPr>
                        <w:rFonts w:ascii="Arial"/>
                        <w:color w:val="231F20"/>
                        <w:spacing w:val="-2"/>
                        <w:w w:val="95"/>
                        <w:sz w:val="15"/>
                      </w:rPr>
                      <w:t>Ouverture</w:t>
                    </w:r>
                    <w:r>
                      <w:rPr>
                        <w:rFonts w:ascii="Arial"/>
                        <w:color w:val="231F20"/>
                        <w:sz w:val="15"/>
                      </w:rPr>
                      <w:t> </w:t>
                    </w:r>
                    <w:r>
                      <w:rPr>
                        <w:rFonts w:ascii="Arial"/>
                        <w:color w:val="231F20"/>
                        <w:w w:val="90"/>
                        <w:sz w:val="15"/>
                      </w:rPr>
                      <w:t>aux</w:t>
                    </w:r>
                    <w:r>
                      <w:rPr>
                        <w:rFonts w:ascii="Arial"/>
                        <w:color w:val="231F20"/>
                        <w:spacing w:val="-7"/>
                        <w:w w:val="90"/>
                        <w:sz w:val="15"/>
                      </w:rPr>
                      <w:t> </w:t>
                    </w:r>
                    <w:r>
                      <w:rPr>
                        <w:rFonts w:ascii="Arial"/>
                        <w:color w:val="231F20"/>
                        <w:spacing w:val="-4"/>
                        <w:w w:val="95"/>
                        <w:sz w:val="15"/>
                      </w:rPr>
                      <w:t>autres</w:t>
                    </w:r>
                  </w:p>
                </w:txbxContent>
              </v:textbox>
              <w10:wrap type="none"/>
            </v:shape>
            <v:shape style="position:absolute;left:4794;top:1936;width:1454;height:2897" type="#_x0000_t202" id="docshape872" filled="false" stroked="false">
              <v:textbox inset="0,0,0,0">
                <w:txbxContent>
                  <w:p>
                    <w:pPr>
                      <w:spacing w:line="249" w:lineRule="auto" w:before="18"/>
                      <w:ind w:left="0" w:right="2" w:firstLine="123"/>
                      <w:jc w:val="left"/>
                      <w:rPr>
                        <w:rFonts w:ascii="Arial" w:hAnsi="Arial"/>
                        <w:sz w:val="15"/>
                      </w:rPr>
                    </w:pPr>
                    <w:r>
                      <w:rPr>
                        <w:rFonts w:ascii="Arial" w:hAnsi="Arial"/>
                        <w:color w:val="231F20"/>
                        <w:sz w:val="15"/>
                      </w:rPr>
                      <w:t>Amabilité,</w:t>
                    </w:r>
                    <w:r>
                      <w:rPr>
                        <w:rFonts w:ascii="Arial" w:hAnsi="Arial"/>
                        <w:color w:val="231F20"/>
                        <w:spacing w:val="-13"/>
                        <w:sz w:val="15"/>
                      </w:rPr>
                      <w:t> </w:t>
                    </w:r>
                    <w:r>
                      <w:rPr>
                        <w:rFonts w:ascii="Arial" w:hAnsi="Arial"/>
                        <w:color w:val="231F20"/>
                        <w:sz w:val="15"/>
                      </w:rPr>
                      <w:t>initiative </w:t>
                    </w:r>
                    <w:r>
                      <w:rPr>
                        <w:rFonts w:ascii="Arial" w:hAnsi="Arial"/>
                        <w:color w:val="231F20"/>
                        <w:w w:val="95"/>
                        <w:sz w:val="15"/>
                      </w:rPr>
                      <w:t>et</w:t>
                    </w:r>
                    <w:r>
                      <w:rPr>
                        <w:rFonts w:ascii="Arial" w:hAnsi="Arial"/>
                        <w:color w:val="231F20"/>
                        <w:spacing w:val="-11"/>
                        <w:w w:val="95"/>
                        <w:sz w:val="15"/>
                      </w:rPr>
                      <w:t> </w:t>
                    </w:r>
                    <w:r>
                      <w:rPr>
                        <w:rFonts w:ascii="Arial" w:hAnsi="Arial"/>
                        <w:color w:val="231F20"/>
                        <w:w w:val="95"/>
                        <w:sz w:val="15"/>
                      </w:rPr>
                      <w:t>productivité</w:t>
                    </w:r>
                    <w:r>
                      <w:rPr>
                        <w:rFonts w:ascii="Arial" w:hAnsi="Arial"/>
                        <w:color w:val="231F20"/>
                        <w:spacing w:val="-11"/>
                        <w:w w:val="95"/>
                        <w:sz w:val="15"/>
                      </w:rPr>
                      <w:t> </w:t>
                    </w:r>
                    <w:r>
                      <w:rPr>
                        <w:rFonts w:ascii="Arial" w:hAnsi="Arial"/>
                        <w:color w:val="231F20"/>
                        <w:w w:val="95"/>
                        <w:sz w:val="15"/>
                      </w:rPr>
                      <w:t>créative</w:t>
                    </w:r>
                  </w:p>
                  <w:p>
                    <w:pPr>
                      <w:spacing w:line="240" w:lineRule="auto" w:before="0"/>
                      <w:rPr>
                        <w:rFonts w:ascii="Arial"/>
                        <w:sz w:val="18"/>
                      </w:rPr>
                    </w:pPr>
                  </w:p>
                  <w:p>
                    <w:pPr>
                      <w:spacing w:line="240" w:lineRule="auto" w:before="0"/>
                      <w:rPr>
                        <w:rFonts w:ascii="Arial"/>
                        <w:sz w:val="18"/>
                      </w:rPr>
                    </w:pPr>
                  </w:p>
                  <w:p>
                    <w:pPr>
                      <w:spacing w:line="249" w:lineRule="auto" w:before="121"/>
                      <w:ind w:left="105" w:right="123" w:firstLine="0"/>
                      <w:jc w:val="center"/>
                      <w:rPr>
                        <w:rFonts w:ascii="Arial" w:hAnsi="Arial"/>
                        <w:sz w:val="15"/>
                      </w:rPr>
                    </w:pPr>
                    <w:r>
                      <w:rPr>
                        <w:rFonts w:ascii="Arial" w:hAnsi="Arial"/>
                        <w:color w:val="231F20"/>
                        <w:spacing w:val="-2"/>
                        <w:w w:val="90"/>
                        <w:sz w:val="15"/>
                      </w:rPr>
                      <w:t>Résistance</w:t>
                    </w:r>
                    <w:r>
                      <w:rPr>
                        <w:rFonts w:ascii="Arial" w:hAnsi="Arial"/>
                        <w:color w:val="231F20"/>
                        <w:spacing w:val="-9"/>
                        <w:w w:val="90"/>
                        <w:sz w:val="15"/>
                      </w:rPr>
                      <w:t> </w:t>
                    </w:r>
                    <w:r>
                      <w:rPr>
                        <w:rFonts w:ascii="Arial" w:hAnsi="Arial"/>
                        <w:color w:val="231F20"/>
                        <w:spacing w:val="-2"/>
                        <w:w w:val="90"/>
                        <w:sz w:val="15"/>
                      </w:rPr>
                      <w:t>au</w:t>
                    </w:r>
                    <w:r>
                      <w:rPr>
                        <w:rFonts w:ascii="Arial" w:hAnsi="Arial"/>
                        <w:color w:val="231F20"/>
                        <w:spacing w:val="-9"/>
                        <w:w w:val="90"/>
                        <w:sz w:val="15"/>
                      </w:rPr>
                      <w:t> </w:t>
                    </w:r>
                    <w:r>
                      <w:rPr>
                        <w:rFonts w:ascii="Arial" w:hAnsi="Arial"/>
                        <w:color w:val="231F20"/>
                        <w:spacing w:val="-2"/>
                        <w:w w:val="90"/>
                        <w:sz w:val="15"/>
                      </w:rPr>
                      <w:t>stress</w:t>
                    </w:r>
                    <w:r>
                      <w:rPr>
                        <w:rFonts w:ascii="Arial" w:hAnsi="Arial"/>
                        <w:color w:val="231F20"/>
                        <w:sz w:val="15"/>
                      </w:rPr>
                      <w:t> ou</w:t>
                    </w:r>
                    <w:r>
                      <w:rPr>
                        <w:rFonts w:ascii="Arial" w:hAnsi="Arial"/>
                        <w:color w:val="231F20"/>
                        <w:spacing w:val="-5"/>
                        <w:sz w:val="15"/>
                      </w:rPr>
                      <w:t> </w:t>
                    </w:r>
                    <w:r>
                      <w:rPr>
                        <w:rFonts w:ascii="Arial" w:hAnsi="Arial"/>
                        <w:color w:val="231F20"/>
                        <w:sz w:val="15"/>
                      </w:rPr>
                      <w:t>à</w:t>
                    </w:r>
                    <w:r>
                      <w:rPr>
                        <w:rFonts w:ascii="Arial" w:hAnsi="Arial"/>
                        <w:color w:val="231F20"/>
                        <w:spacing w:val="-5"/>
                        <w:sz w:val="15"/>
                      </w:rPr>
                      <w:t> </w:t>
                    </w:r>
                    <w:r>
                      <w:rPr>
                        <w:rFonts w:ascii="Arial" w:hAnsi="Arial"/>
                        <w:color w:val="231F20"/>
                        <w:sz w:val="15"/>
                      </w:rPr>
                      <w:t>l’effort </w:t>
                    </w:r>
                    <w:r>
                      <w:rPr>
                        <w:rFonts w:ascii="Arial" w:hAnsi="Arial"/>
                        <w:color w:val="231F20"/>
                        <w:spacing w:val="-2"/>
                        <w:sz w:val="15"/>
                      </w:rPr>
                      <w:t>supplémentaire</w:t>
                    </w:r>
                  </w:p>
                  <w:p>
                    <w:pPr>
                      <w:spacing w:line="240" w:lineRule="auto" w:before="0"/>
                      <w:rPr>
                        <w:rFonts w:ascii="Arial"/>
                        <w:sz w:val="18"/>
                      </w:rPr>
                    </w:pPr>
                  </w:p>
                  <w:p>
                    <w:pPr>
                      <w:spacing w:line="240" w:lineRule="auto" w:before="8"/>
                      <w:rPr>
                        <w:rFonts w:ascii="Arial"/>
                        <w:sz w:val="20"/>
                      </w:rPr>
                    </w:pPr>
                  </w:p>
                  <w:p>
                    <w:pPr>
                      <w:spacing w:line="249" w:lineRule="auto" w:before="0"/>
                      <w:ind w:left="35" w:right="61" w:firstLine="0"/>
                      <w:jc w:val="center"/>
                      <w:rPr>
                        <w:rFonts w:ascii="Arial" w:hAnsi="Arial"/>
                        <w:sz w:val="15"/>
                      </w:rPr>
                    </w:pPr>
                    <w:r>
                      <w:rPr>
                        <w:rFonts w:ascii="Arial" w:hAnsi="Arial"/>
                        <w:color w:val="231F20"/>
                        <w:spacing w:val="-2"/>
                        <w:w w:val="95"/>
                        <w:sz w:val="15"/>
                      </w:rPr>
                      <w:t>Moins</w:t>
                    </w:r>
                    <w:r>
                      <w:rPr>
                        <w:rFonts w:ascii="Arial" w:hAnsi="Arial"/>
                        <w:color w:val="231F20"/>
                        <w:spacing w:val="-11"/>
                        <w:w w:val="95"/>
                        <w:sz w:val="15"/>
                      </w:rPr>
                      <w:t> </w:t>
                    </w:r>
                    <w:r>
                      <w:rPr>
                        <w:rFonts w:ascii="Arial" w:hAnsi="Arial"/>
                        <w:color w:val="231F20"/>
                        <w:spacing w:val="-2"/>
                        <w:w w:val="95"/>
                        <w:sz w:val="15"/>
                      </w:rPr>
                      <w:t>de</w:t>
                    </w:r>
                    <w:r>
                      <w:rPr>
                        <w:rFonts w:ascii="Arial" w:hAnsi="Arial"/>
                        <w:color w:val="231F20"/>
                        <w:spacing w:val="-11"/>
                        <w:w w:val="95"/>
                        <w:sz w:val="15"/>
                      </w:rPr>
                      <w:t> </w:t>
                    </w:r>
                    <w:r>
                      <w:rPr>
                        <w:rFonts w:ascii="Arial" w:hAnsi="Arial"/>
                        <w:color w:val="231F20"/>
                        <w:spacing w:val="-2"/>
                        <w:w w:val="95"/>
                        <w:sz w:val="15"/>
                      </w:rPr>
                      <w:t>vulnérabilité</w:t>
                    </w:r>
                    <w:r>
                      <w:rPr>
                        <w:rFonts w:ascii="Arial" w:hAnsi="Arial"/>
                        <w:color w:val="231F20"/>
                        <w:sz w:val="15"/>
                      </w:rPr>
                      <w:t> à</w:t>
                    </w:r>
                    <w:r>
                      <w:rPr>
                        <w:rFonts w:ascii="Arial" w:hAnsi="Arial"/>
                        <w:color w:val="231F20"/>
                        <w:spacing w:val="-13"/>
                        <w:sz w:val="15"/>
                      </w:rPr>
                      <w:t> </w:t>
                    </w:r>
                    <w:r>
                      <w:rPr>
                        <w:rFonts w:ascii="Arial" w:hAnsi="Arial"/>
                        <w:color w:val="231F20"/>
                        <w:sz w:val="15"/>
                      </w:rPr>
                      <w:t>confronter</w:t>
                    </w:r>
                  </w:p>
                  <w:p>
                    <w:pPr>
                      <w:spacing w:line="249" w:lineRule="auto" w:before="105"/>
                      <w:ind w:left="260" w:right="278" w:hanging="1"/>
                      <w:jc w:val="center"/>
                      <w:rPr>
                        <w:rFonts w:ascii="Arial" w:hAnsi="Arial"/>
                        <w:sz w:val="15"/>
                      </w:rPr>
                    </w:pPr>
                    <w:r>
                      <w:rPr>
                        <w:rFonts w:ascii="Arial" w:hAnsi="Arial"/>
                        <w:color w:val="231F20"/>
                        <w:spacing w:val="-2"/>
                        <w:w w:val="95"/>
                        <w:sz w:val="15"/>
                      </w:rPr>
                      <w:t>Établissement</w:t>
                    </w:r>
                    <w:r>
                      <w:rPr>
                        <w:rFonts w:ascii="Arial" w:hAnsi="Arial"/>
                        <w:color w:val="231F20"/>
                        <w:sz w:val="15"/>
                      </w:rPr>
                      <w:t> </w:t>
                    </w:r>
                    <w:r>
                      <w:rPr>
                        <w:rFonts w:ascii="Arial" w:hAnsi="Arial"/>
                        <w:color w:val="231F20"/>
                        <w:w w:val="90"/>
                        <w:sz w:val="15"/>
                      </w:rPr>
                      <w:t>de</w:t>
                    </w:r>
                    <w:r>
                      <w:rPr>
                        <w:rFonts w:ascii="Arial" w:hAnsi="Arial"/>
                        <w:color w:val="231F20"/>
                        <w:spacing w:val="-9"/>
                        <w:w w:val="90"/>
                        <w:sz w:val="15"/>
                      </w:rPr>
                      <w:t> </w:t>
                    </w:r>
                    <w:r>
                      <w:rPr>
                        <w:rFonts w:ascii="Arial" w:hAnsi="Arial"/>
                        <w:color w:val="231F20"/>
                        <w:w w:val="90"/>
                        <w:sz w:val="15"/>
                      </w:rPr>
                      <w:t>la</w:t>
                    </w:r>
                    <w:r>
                      <w:rPr>
                        <w:rFonts w:ascii="Arial" w:hAnsi="Arial"/>
                        <w:color w:val="231F20"/>
                        <w:spacing w:val="-9"/>
                        <w:w w:val="90"/>
                        <w:sz w:val="15"/>
                      </w:rPr>
                      <w:t> </w:t>
                    </w:r>
                    <w:r>
                      <w:rPr>
                        <w:rFonts w:ascii="Arial" w:hAnsi="Arial"/>
                        <w:color w:val="231F20"/>
                        <w:w w:val="90"/>
                        <w:sz w:val="15"/>
                      </w:rPr>
                      <w:t>confiance</w:t>
                    </w:r>
                    <w:r>
                      <w:rPr>
                        <w:rFonts w:ascii="Arial" w:hAnsi="Arial"/>
                        <w:color w:val="231F20"/>
                        <w:sz w:val="15"/>
                      </w:rPr>
                      <w:t> </w:t>
                    </w:r>
                    <w:r>
                      <w:rPr>
                        <w:rFonts w:ascii="Arial" w:hAnsi="Arial"/>
                        <w:color w:val="231F20"/>
                        <w:spacing w:val="-2"/>
                        <w:sz w:val="15"/>
                      </w:rPr>
                      <w:t>mutuelle</w:t>
                    </w:r>
                  </w:p>
                </w:txbxContent>
              </v:textbox>
              <w10:wrap type="none"/>
            </v:shape>
            <v:shape style="position:absolute;left:4958;top:5368;width:1127;height:552" type="#_x0000_t202" id="docshape873" filled="false" stroked="false">
              <v:textbox inset="0,0,0,0">
                <w:txbxContent>
                  <w:p>
                    <w:pPr>
                      <w:spacing w:line="249" w:lineRule="auto" w:before="14"/>
                      <w:ind w:left="0" w:right="0" w:firstLine="146"/>
                      <w:jc w:val="left"/>
                      <w:rPr>
                        <w:rFonts w:ascii="Arial" w:hAnsi="Arial"/>
                        <w:sz w:val="15"/>
                      </w:rPr>
                    </w:pPr>
                    <w:r>
                      <w:rPr>
                        <w:rFonts w:ascii="Arial" w:hAnsi="Arial"/>
                        <w:color w:val="231F20"/>
                        <w:sz w:val="15"/>
                      </w:rPr>
                      <w:t>Ouverture</w:t>
                    </w:r>
                    <w:r>
                      <w:rPr>
                        <w:rFonts w:ascii="Arial" w:hAnsi="Arial"/>
                        <w:color w:val="231F20"/>
                        <w:spacing w:val="-13"/>
                        <w:sz w:val="15"/>
                      </w:rPr>
                      <w:t> </w:t>
                    </w:r>
                    <w:r>
                      <w:rPr>
                        <w:rFonts w:ascii="Arial" w:hAnsi="Arial"/>
                        <w:color w:val="231F20"/>
                        <w:sz w:val="15"/>
                      </w:rPr>
                      <w:t>au </w:t>
                    </w:r>
                    <w:r>
                      <w:rPr>
                        <w:rFonts w:ascii="Arial" w:hAnsi="Arial"/>
                        <w:color w:val="231F20"/>
                        <w:spacing w:val="-2"/>
                        <w:w w:val="90"/>
                        <w:sz w:val="15"/>
                      </w:rPr>
                      <w:t>désapprentissage</w:t>
                    </w:r>
                    <w:r>
                      <w:rPr>
                        <w:rFonts w:ascii="Arial" w:hAnsi="Arial"/>
                        <w:color w:val="231F20"/>
                        <w:sz w:val="15"/>
                      </w:rPr>
                      <w:t> </w:t>
                    </w:r>
                    <w:r>
                      <w:rPr>
                        <w:rFonts w:ascii="Arial" w:hAnsi="Arial"/>
                        <w:color w:val="231F20"/>
                        <w:w w:val="90"/>
                        <w:sz w:val="15"/>
                      </w:rPr>
                      <w:t>et</w:t>
                    </w:r>
                    <w:r>
                      <w:rPr>
                        <w:rFonts w:ascii="Arial" w:hAnsi="Arial"/>
                        <w:color w:val="231F20"/>
                        <w:spacing w:val="-4"/>
                        <w:w w:val="90"/>
                        <w:sz w:val="15"/>
                      </w:rPr>
                      <w:t> </w:t>
                    </w:r>
                    <w:r>
                      <w:rPr>
                        <w:rFonts w:ascii="Arial" w:hAnsi="Arial"/>
                        <w:color w:val="231F20"/>
                        <w:w w:val="90"/>
                        <w:sz w:val="15"/>
                      </w:rPr>
                      <w:t>au</w:t>
                    </w:r>
                    <w:r>
                      <w:rPr>
                        <w:rFonts w:ascii="Arial" w:hAnsi="Arial"/>
                        <w:color w:val="231F20"/>
                        <w:spacing w:val="-3"/>
                        <w:w w:val="90"/>
                        <w:sz w:val="15"/>
                      </w:rPr>
                      <w:t> </w:t>
                    </w:r>
                    <w:r>
                      <w:rPr>
                        <w:rFonts w:ascii="Arial" w:hAnsi="Arial"/>
                        <w:color w:val="231F20"/>
                        <w:spacing w:val="-2"/>
                        <w:w w:val="90"/>
                        <w:sz w:val="15"/>
                      </w:rPr>
                      <w:t>changement</w:t>
                    </w:r>
                  </w:p>
                </w:txbxContent>
              </v:textbox>
              <w10:wrap type="none"/>
            </v:shape>
            <v:shape style="position:absolute;left:1500;top:6465;width:5271;height:340" type="#_x0000_t202" id="docshape874" filled="false" stroked="false">
              <v:textbox inset="0,0,0,0">
                <w:txbxContent>
                  <w:p>
                    <w:pPr>
                      <w:spacing w:line="295" w:lineRule="auto" w:before="23"/>
                      <w:ind w:left="0" w:right="18" w:firstLine="0"/>
                      <w:jc w:val="left"/>
                      <w:rPr>
                        <w:rFonts w:ascii="Arial" w:hAnsi="Arial"/>
                        <w:sz w:val="12"/>
                      </w:rPr>
                    </w:pPr>
                    <w:r>
                      <w:rPr>
                        <w:rFonts w:ascii="Arial" w:hAnsi="Arial"/>
                        <w:color w:val="231F20"/>
                        <w:sz w:val="12"/>
                      </w:rPr>
                      <w:t>Source</w:t>
                    </w:r>
                    <w:r>
                      <w:rPr>
                        <w:rFonts w:ascii="Arial" w:hAnsi="Arial"/>
                        <w:color w:val="231F20"/>
                        <w:spacing w:val="-23"/>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Dolan,</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L.,</w:t>
                    </w:r>
                    <w:r>
                      <w:rPr>
                        <w:rFonts w:ascii="Arial" w:hAnsi="Arial"/>
                        <w:color w:val="231F20"/>
                        <w:spacing w:val="-7"/>
                        <w:sz w:val="12"/>
                      </w:rPr>
                      <w:t> </w:t>
                    </w:r>
                    <w:r>
                      <w:rPr>
                        <w:rFonts w:ascii="Arial" w:hAnsi="Arial"/>
                        <w:color w:val="231F20"/>
                        <w:sz w:val="12"/>
                      </w:rPr>
                      <w:t>Garcia,</w:t>
                    </w:r>
                    <w:r>
                      <w:rPr>
                        <w:rFonts w:ascii="Arial" w:hAnsi="Arial"/>
                        <w:color w:val="231F20"/>
                        <w:spacing w:val="-7"/>
                        <w:sz w:val="12"/>
                      </w:rPr>
                      <w:t> </w:t>
                    </w:r>
                    <w:r>
                      <w:rPr>
                        <w:rFonts w:ascii="Arial" w:hAnsi="Arial"/>
                        <w:color w:val="231F20"/>
                        <w:sz w:val="12"/>
                      </w:rPr>
                      <w:t>S.</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Diez-Pinol,</w:t>
                    </w:r>
                    <w:r>
                      <w:rPr>
                        <w:rFonts w:ascii="Arial" w:hAnsi="Arial"/>
                        <w:color w:val="231F20"/>
                        <w:spacing w:val="-7"/>
                        <w:sz w:val="12"/>
                      </w:rPr>
                      <w:t> </w:t>
                    </w:r>
                    <w:r>
                      <w:rPr>
                        <w:rFonts w:ascii="Arial" w:hAnsi="Arial"/>
                        <w:color w:val="231F20"/>
                        <w:sz w:val="12"/>
                      </w:rPr>
                      <w:t>M.</w:t>
                    </w:r>
                    <w:r>
                      <w:rPr>
                        <w:rFonts w:ascii="Arial" w:hAnsi="Arial"/>
                        <w:color w:val="231F20"/>
                        <w:spacing w:val="-7"/>
                        <w:sz w:val="12"/>
                      </w:rPr>
                      <w:t> </w:t>
                    </w:r>
                    <w:r>
                      <w:rPr>
                        <w:rFonts w:ascii="Arial" w:hAnsi="Arial"/>
                        <w:i/>
                        <w:color w:val="231F20"/>
                        <w:sz w:val="12"/>
                      </w:rPr>
                      <w:t>Autoestima,</w:t>
                    </w:r>
                    <w:r>
                      <w:rPr>
                        <w:rFonts w:ascii="Arial" w:hAnsi="Arial"/>
                        <w:i/>
                        <w:color w:val="231F20"/>
                        <w:spacing w:val="-7"/>
                        <w:sz w:val="12"/>
                      </w:rPr>
                      <w:t> </w:t>
                    </w:r>
                    <w:r>
                      <w:rPr>
                        <w:rFonts w:ascii="Arial" w:hAnsi="Arial"/>
                        <w:i/>
                        <w:color w:val="231F20"/>
                        <w:sz w:val="12"/>
                      </w:rPr>
                      <w:t>estrès</w:t>
                    </w:r>
                    <w:r>
                      <w:rPr>
                        <w:rFonts w:ascii="Arial" w:hAnsi="Arial"/>
                        <w:i/>
                        <w:color w:val="231F20"/>
                        <w:spacing w:val="-7"/>
                        <w:sz w:val="12"/>
                      </w:rPr>
                      <w:t> </w:t>
                    </w:r>
                    <w:r>
                      <w:rPr>
                        <w:rFonts w:ascii="Arial" w:hAnsi="Arial"/>
                        <w:i/>
                        <w:color w:val="231F20"/>
                        <w:sz w:val="12"/>
                      </w:rPr>
                      <w:t>y</w:t>
                    </w:r>
                    <w:r>
                      <w:rPr>
                        <w:rFonts w:ascii="Arial" w:hAnsi="Arial"/>
                        <w:i/>
                        <w:color w:val="231F20"/>
                        <w:spacing w:val="-7"/>
                        <w:sz w:val="12"/>
                      </w:rPr>
                      <w:t> </w:t>
                    </w:r>
                    <w:r>
                      <w:rPr>
                        <w:rFonts w:ascii="Arial" w:hAnsi="Arial"/>
                        <w:i/>
                        <w:color w:val="231F20"/>
                        <w:sz w:val="12"/>
                      </w:rPr>
                      <w:t>trabajo</w:t>
                    </w:r>
                    <w:r>
                      <w:rPr>
                        <w:rFonts w:ascii="Arial" w:hAnsi="Arial"/>
                        <w:color w:val="231F20"/>
                        <w:sz w:val="12"/>
                      </w:rPr>
                      <w:t>,</w:t>
                    </w:r>
                    <w:r>
                      <w:rPr>
                        <w:rFonts w:ascii="Arial" w:hAnsi="Arial"/>
                        <w:color w:val="231F20"/>
                        <w:spacing w:val="-7"/>
                        <w:sz w:val="12"/>
                      </w:rPr>
                      <w:t> </w:t>
                    </w:r>
                    <w:r>
                      <w:rPr>
                        <w:rFonts w:ascii="Arial" w:hAnsi="Arial"/>
                        <w:color w:val="231F20"/>
                        <w:sz w:val="12"/>
                      </w:rPr>
                      <w:t>Madrid,</w:t>
                    </w:r>
                    <w:r>
                      <w:rPr>
                        <w:rFonts w:ascii="Arial" w:hAnsi="Arial"/>
                        <w:color w:val="231F20"/>
                        <w:spacing w:val="-7"/>
                        <w:sz w:val="12"/>
                      </w:rPr>
                      <w:t> </w:t>
                    </w:r>
                    <w:r>
                      <w:rPr>
                        <w:rFonts w:ascii="Arial" w:hAnsi="Arial"/>
                        <w:color w:val="231F20"/>
                        <w:sz w:val="12"/>
                      </w:rPr>
                      <w:t>McGraw-Hill,</w:t>
                    </w:r>
                    <w:r>
                      <w:rPr>
                        <w:rFonts w:ascii="Arial" w:hAnsi="Arial"/>
                        <w:color w:val="231F20"/>
                        <w:spacing w:val="40"/>
                        <w:sz w:val="12"/>
                      </w:rPr>
                      <w:t> </w:t>
                    </w:r>
                    <w:r>
                      <w:rPr>
                        <w:rFonts w:ascii="Arial" w:hAnsi="Arial"/>
                        <w:color w:val="231F20"/>
                        <w:sz w:val="12"/>
                      </w:rPr>
                      <w:t>p.</w:t>
                    </w:r>
                    <w:r>
                      <w:rPr>
                        <w:rFonts w:ascii="Arial" w:hAnsi="Arial"/>
                        <w:color w:val="231F20"/>
                        <w:spacing w:val="-9"/>
                        <w:sz w:val="12"/>
                      </w:rPr>
                      <w:t> </w:t>
                    </w:r>
                    <w:r>
                      <w:rPr>
                        <w:rFonts w:ascii="Arial" w:hAnsi="Arial"/>
                        <w:color w:val="231F20"/>
                        <w:sz w:val="12"/>
                      </w:rPr>
                      <w:t>50.</w:t>
                    </w:r>
                  </w:p>
                </w:txbxContent>
              </v:textbox>
              <w10:wrap type="none"/>
            </v:shape>
            <v:shape style="position:absolute;left:2054;top:5861;width:1284;height:324" type="#_x0000_t202" id="docshape875" filled="true" fillcolor="#c7c8ca" stroked="false">
              <v:textbox inset="0,0,0,0">
                <w:txbxContent>
                  <w:p>
                    <w:pPr>
                      <w:spacing w:before="68"/>
                      <w:ind w:left="111" w:right="0" w:firstLine="0"/>
                      <w:jc w:val="left"/>
                      <w:rPr>
                        <w:rFonts w:ascii="Arial"/>
                        <w:color w:val="000000"/>
                        <w:sz w:val="15"/>
                      </w:rPr>
                    </w:pPr>
                    <w:r>
                      <w:rPr>
                        <w:rFonts w:ascii="Arial"/>
                        <w:color w:val="231F20"/>
                        <w:w w:val="90"/>
                        <w:sz w:val="15"/>
                      </w:rPr>
                      <w:t>Perception</w:t>
                    </w:r>
                    <w:r>
                      <w:rPr>
                        <w:rFonts w:ascii="Arial"/>
                        <w:color w:val="231F20"/>
                        <w:sz w:val="15"/>
                      </w:rPr>
                      <w:t> </w:t>
                    </w:r>
                    <w:r>
                      <w:rPr>
                        <w:rFonts w:ascii="Arial"/>
                        <w:color w:val="231F20"/>
                        <w:w w:val="90"/>
                        <w:sz w:val="15"/>
                      </w:rPr>
                      <w:t>de</w:t>
                    </w:r>
                    <w:r>
                      <w:rPr>
                        <w:rFonts w:ascii="Arial"/>
                        <w:color w:val="231F20"/>
                        <w:sz w:val="15"/>
                      </w:rPr>
                      <w:t> </w:t>
                    </w:r>
                    <w:r>
                      <w:rPr>
                        <w:rFonts w:ascii="Arial"/>
                        <w:color w:val="231F20"/>
                        <w:spacing w:val="-5"/>
                        <w:w w:val="90"/>
                        <w:sz w:val="15"/>
                      </w:rPr>
                      <w:t>soi</w:t>
                    </w:r>
                  </w:p>
                </w:txbxContent>
              </v:textbox>
              <v:fill type="solid"/>
              <w10:wrap type="none"/>
            </v:shape>
            <v:shape style="position:absolute;left:2054;top:5398;width:1284;height:324" type="#_x0000_t202" id="docshape876" filled="true" fillcolor="#c7c8ca" stroked="false">
              <v:textbox inset="0,0,0,0">
                <w:txbxContent>
                  <w:p>
                    <w:pPr>
                      <w:spacing w:before="68"/>
                      <w:ind w:left="196" w:right="0" w:firstLine="0"/>
                      <w:jc w:val="left"/>
                      <w:rPr>
                        <w:rFonts w:ascii="Arial"/>
                        <w:color w:val="000000"/>
                        <w:sz w:val="15"/>
                      </w:rPr>
                    </w:pPr>
                    <w:r>
                      <w:rPr>
                        <w:rFonts w:ascii="Arial"/>
                        <w:color w:val="231F20"/>
                        <w:spacing w:val="-2"/>
                        <w:sz w:val="15"/>
                      </w:rPr>
                      <w:t>Autoefficience</w:t>
                    </w:r>
                  </w:p>
                </w:txbxContent>
              </v:textbox>
              <v:fill type="solid"/>
              <w10:wrap type="none"/>
            </v:shape>
            <v:shape style="position:absolute;left:2054;top:4935;width:1284;height:324" type="#_x0000_t202" id="docshape877" filled="true" fillcolor="#c7c8ca" stroked="false">
              <v:textbox inset="0,0,0,0">
                <w:txbxContent>
                  <w:p>
                    <w:pPr>
                      <w:spacing w:before="68"/>
                      <w:ind w:left="258" w:right="0" w:firstLine="0"/>
                      <w:jc w:val="left"/>
                      <w:rPr>
                        <w:rFonts w:ascii="Arial"/>
                        <w:color w:val="000000"/>
                        <w:sz w:val="15"/>
                      </w:rPr>
                    </w:pPr>
                    <w:r>
                      <w:rPr>
                        <w:rFonts w:ascii="Arial"/>
                        <w:color w:val="231F20"/>
                        <w:w w:val="90"/>
                        <w:sz w:val="15"/>
                      </w:rPr>
                      <w:t>Image</w:t>
                    </w:r>
                    <w:r>
                      <w:rPr>
                        <w:rFonts w:ascii="Arial"/>
                        <w:color w:val="231F20"/>
                        <w:spacing w:val="-7"/>
                        <w:w w:val="90"/>
                        <w:sz w:val="15"/>
                      </w:rPr>
                      <w:t> </w:t>
                    </w:r>
                    <w:r>
                      <w:rPr>
                        <w:rFonts w:ascii="Arial"/>
                        <w:color w:val="231F20"/>
                        <w:w w:val="90"/>
                        <w:sz w:val="15"/>
                      </w:rPr>
                      <w:t>de</w:t>
                    </w:r>
                    <w:r>
                      <w:rPr>
                        <w:rFonts w:ascii="Arial"/>
                        <w:color w:val="231F20"/>
                        <w:spacing w:val="-6"/>
                        <w:w w:val="90"/>
                        <w:sz w:val="15"/>
                      </w:rPr>
                      <w:t> </w:t>
                    </w:r>
                    <w:r>
                      <w:rPr>
                        <w:rFonts w:ascii="Arial"/>
                        <w:color w:val="231F20"/>
                        <w:spacing w:val="-5"/>
                        <w:w w:val="90"/>
                        <w:sz w:val="15"/>
                      </w:rPr>
                      <w:t>soi</w:t>
                    </w:r>
                  </w:p>
                </w:txbxContent>
              </v:textbox>
              <v:fill type="solid"/>
              <w10:wrap type="none"/>
            </v:shape>
            <v:shape style="position:absolute;left:3095;top:3113;width:1124;height:324" type="#_x0000_t202" id="docshape878" filled="true" fillcolor="#636466" stroked="false">
              <v:textbox inset="0,0,0,0">
                <w:txbxContent>
                  <w:p>
                    <w:pPr>
                      <w:spacing w:before="67"/>
                      <w:ind w:left="78" w:right="0" w:firstLine="0"/>
                      <w:jc w:val="left"/>
                      <w:rPr>
                        <w:rFonts w:ascii="Arial"/>
                        <w:b/>
                        <w:color w:val="000000"/>
                        <w:sz w:val="15"/>
                      </w:rPr>
                    </w:pPr>
                    <w:r>
                      <w:rPr>
                        <w:rFonts w:ascii="Arial"/>
                        <w:b/>
                        <w:color w:val="FFFFFF"/>
                        <w:w w:val="85"/>
                        <w:sz w:val="15"/>
                      </w:rPr>
                      <w:t>ESTIME</w:t>
                    </w:r>
                    <w:r>
                      <w:rPr>
                        <w:rFonts w:ascii="Arial"/>
                        <w:b/>
                        <w:color w:val="FFFFFF"/>
                        <w:spacing w:val="-3"/>
                        <w:sz w:val="15"/>
                      </w:rPr>
                      <w:t> </w:t>
                    </w:r>
                    <w:r>
                      <w:rPr>
                        <w:rFonts w:ascii="Arial"/>
                        <w:b/>
                        <w:color w:val="FFFFFF"/>
                        <w:w w:val="85"/>
                        <w:sz w:val="15"/>
                      </w:rPr>
                      <w:t>DE</w:t>
                    </w:r>
                    <w:r>
                      <w:rPr>
                        <w:rFonts w:ascii="Arial"/>
                        <w:b/>
                        <w:color w:val="FFFFFF"/>
                        <w:spacing w:val="-2"/>
                        <w:sz w:val="15"/>
                      </w:rPr>
                      <w:t> </w:t>
                    </w:r>
                    <w:r>
                      <w:rPr>
                        <w:rFonts w:ascii="Arial"/>
                        <w:b/>
                        <w:color w:val="FFFFFF"/>
                        <w:spacing w:val="-5"/>
                        <w:w w:val="85"/>
                        <w:sz w:val="15"/>
                      </w:rPr>
                      <w:t>SOI</w:t>
                    </w:r>
                  </w:p>
                </w:txbxContent>
              </v:textbox>
              <v:fill type="solid"/>
              <w10:wrap type="none"/>
            </v:shape>
            <w10:wrap type="topAndBottom"/>
          </v:group>
        </w:pict>
      </w:r>
    </w:p>
    <w:p>
      <w:pPr>
        <w:pStyle w:val="BodyText"/>
        <w:spacing w:before="1"/>
        <w:rPr>
          <w:rFonts w:ascii="Arial"/>
        </w:rPr>
      </w:pPr>
    </w:p>
    <w:p>
      <w:pPr>
        <w:pStyle w:val="BodyText"/>
        <w:spacing w:line="307" w:lineRule="auto" w:before="145"/>
        <w:ind w:left="732" w:right="498"/>
        <w:jc w:val="right"/>
      </w:pPr>
      <w:r>
        <w:rPr>
          <w:color w:val="231F20"/>
          <w:w w:val="115"/>
        </w:rPr>
        <w:t>Bien</w:t>
      </w:r>
      <w:r>
        <w:rPr>
          <w:color w:val="231F20"/>
          <w:spacing w:val="-14"/>
          <w:w w:val="115"/>
        </w:rPr>
        <w:t> </w:t>
      </w:r>
      <w:r>
        <w:rPr>
          <w:color w:val="231F20"/>
          <w:w w:val="115"/>
        </w:rPr>
        <w:t>qu’il</w:t>
      </w:r>
      <w:r>
        <w:rPr>
          <w:color w:val="231F20"/>
          <w:spacing w:val="-14"/>
          <w:w w:val="115"/>
        </w:rPr>
        <w:t> </w:t>
      </w:r>
      <w:r>
        <w:rPr>
          <w:color w:val="231F20"/>
          <w:w w:val="115"/>
        </w:rPr>
        <w:t>semble</w:t>
      </w:r>
      <w:r>
        <w:rPr>
          <w:color w:val="231F20"/>
          <w:spacing w:val="-14"/>
          <w:w w:val="115"/>
        </w:rPr>
        <w:t> </w:t>
      </w:r>
      <w:r>
        <w:rPr>
          <w:color w:val="231F20"/>
          <w:w w:val="115"/>
        </w:rPr>
        <w:t>exagéré</w:t>
      </w:r>
      <w:r>
        <w:rPr>
          <w:color w:val="231F20"/>
          <w:spacing w:val="-14"/>
          <w:w w:val="115"/>
        </w:rPr>
        <w:t> </w:t>
      </w:r>
      <w:r>
        <w:rPr>
          <w:color w:val="231F20"/>
          <w:w w:val="115"/>
        </w:rPr>
        <w:t>de</w:t>
      </w:r>
      <w:r>
        <w:rPr>
          <w:color w:val="231F20"/>
          <w:spacing w:val="-14"/>
          <w:w w:val="115"/>
        </w:rPr>
        <w:t> </w:t>
      </w:r>
      <w:r>
        <w:rPr>
          <w:color w:val="231F20"/>
          <w:w w:val="115"/>
        </w:rPr>
        <w:t>dire,</w:t>
      </w:r>
      <w:r>
        <w:rPr>
          <w:color w:val="231F20"/>
          <w:spacing w:val="-14"/>
          <w:w w:val="115"/>
        </w:rPr>
        <w:t> </w:t>
      </w:r>
      <w:r>
        <w:rPr>
          <w:color w:val="231F20"/>
          <w:w w:val="115"/>
        </w:rPr>
        <w:t>comme</w:t>
      </w:r>
      <w:r>
        <w:rPr>
          <w:color w:val="231F20"/>
          <w:spacing w:val="-14"/>
          <w:w w:val="115"/>
        </w:rPr>
        <w:t> </w:t>
      </w:r>
      <w:r>
        <w:rPr>
          <w:color w:val="231F20"/>
          <w:w w:val="115"/>
        </w:rPr>
        <w:t>le</w:t>
      </w:r>
      <w:r>
        <w:rPr>
          <w:color w:val="231F20"/>
          <w:spacing w:val="-14"/>
          <w:w w:val="115"/>
        </w:rPr>
        <w:t> </w:t>
      </w:r>
      <w:r>
        <w:rPr>
          <w:color w:val="231F20"/>
          <w:w w:val="115"/>
        </w:rPr>
        <w:t>proposait</w:t>
      </w:r>
      <w:r>
        <w:rPr>
          <w:color w:val="231F20"/>
          <w:spacing w:val="-14"/>
          <w:w w:val="115"/>
        </w:rPr>
        <w:t> </w:t>
      </w:r>
      <w:r>
        <w:rPr>
          <w:color w:val="231F20"/>
          <w:w w:val="115"/>
        </w:rPr>
        <w:t>Dobson21,</w:t>
      </w:r>
      <w:r>
        <w:rPr>
          <w:color w:val="231F20"/>
          <w:spacing w:val="-14"/>
          <w:w w:val="115"/>
        </w:rPr>
        <w:t> </w:t>
      </w:r>
      <w:r>
        <w:rPr>
          <w:color w:val="231F20"/>
          <w:w w:val="115"/>
        </w:rPr>
        <w:t>que</w:t>
      </w:r>
      <w:r>
        <w:rPr>
          <w:color w:val="231F20"/>
          <w:spacing w:val="-14"/>
          <w:w w:val="115"/>
        </w:rPr>
        <w:t> </w:t>
      </w:r>
      <w:r>
        <w:rPr>
          <w:color w:val="231F20"/>
          <w:w w:val="115"/>
        </w:rPr>
        <w:t>tout </w:t>
      </w:r>
      <w:r>
        <w:rPr>
          <w:color w:val="231F20"/>
          <w:spacing w:val="-2"/>
          <w:w w:val="120"/>
        </w:rPr>
        <w:t>se</w:t>
      </w:r>
      <w:r>
        <w:rPr>
          <w:color w:val="231F20"/>
          <w:spacing w:val="-15"/>
          <w:w w:val="120"/>
        </w:rPr>
        <w:t> </w:t>
      </w:r>
      <w:r>
        <w:rPr>
          <w:color w:val="231F20"/>
          <w:spacing w:val="-2"/>
          <w:w w:val="120"/>
        </w:rPr>
        <w:t>joue</w:t>
      </w:r>
      <w:r>
        <w:rPr>
          <w:color w:val="231F20"/>
          <w:spacing w:val="-15"/>
          <w:w w:val="120"/>
        </w:rPr>
        <w:t> </w:t>
      </w:r>
      <w:r>
        <w:rPr>
          <w:color w:val="231F20"/>
          <w:spacing w:val="-2"/>
          <w:w w:val="120"/>
        </w:rPr>
        <w:t>avant</w:t>
      </w:r>
      <w:r>
        <w:rPr>
          <w:color w:val="231F20"/>
          <w:spacing w:val="-14"/>
          <w:w w:val="120"/>
        </w:rPr>
        <w:t> </w:t>
      </w:r>
      <w:r>
        <w:rPr>
          <w:color w:val="231F20"/>
          <w:spacing w:val="-2"/>
          <w:w w:val="120"/>
        </w:rPr>
        <w:t>6</w:t>
      </w:r>
      <w:r>
        <w:rPr>
          <w:color w:val="231F20"/>
          <w:spacing w:val="-15"/>
          <w:w w:val="120"/>
        </w:rPr>
        <w:t> </w:t>
      </w:r>
      <w:r>
        <w:rPr>
          <w:color w:val="231F20"/>
          <w:spacing w:val="-2"/>
          <w:w w:val="120"/>
        </w:rPr>
        <w:t>ans,</w:t>
      </w:r>
      <w:r>
        <w:rPr>
          <w:color w:val="231F20"/>
          <w:spacing w:val="-15"/>
          <w:w w:val="120"/>
        </w:rPr>
        <w:t> </w:t>
      </w:r>
      <w:r>
        <w:rPr>
          <w:color w:val="231F20"/>
          <w:spacing w:val="-2"/>
          <w:w w:val="120"/>
        </w:rPr>
        <w:t>il</w:t>
      </w:r>
      <w:r>
        <w:rPr>
          <w:color w:val="231F20"/>
          <w:spacing w:val="-14"/>
          <w:w w:val="120"/>
        </w:rPr>
        <w:t> </w:t>
      </w:r>
      <w:r>
        <w:rPr>
          <w:color w:val="231F20"/>
          <w:spacing w:val="-2"/>
          <w:w w:val="120"/>
        </w:rPr>
        <w:t>faut</w:t>
      </w:r>
      <w:r>
        <w:rPr>
          <w:color w:val="231F20"/>
          <w:spacing w:val="-15"/>
          <w:w w:val="120"/>
        </w:rPr>
        <w:t> </w:t>
      </w:r>
      <w:r>
        <w:rPr>
          <w:color w:val="231F20"/>
          <w:spacing w:val="-2"/>
          <w:w w:val="120"/>
        </w:rPr>
        <w:t>cependant</w:t>
      </w:r>
      <w:r>
        <w:rPr>
          <w:color w:val="231F20"/>
          <w:spacing w:val="-15"/>
          <w:w w:val="120"/>
        </w:rPr>
        <w:t> </w:t>
      </w:r>
      <w:r>
        <w:rPr>
          <w:color w:val="231F20"/>
          <w:spacing w:val="-2"/>
          <w:w w:val="120"/>
        </w:rPr>
        <w:t>reconnaître</w:t>
      </w:r>
      <w:r>
        <w:rPr>
          <w:color w:val="231F20"/>
          <w:spacing w:val="-14"/>
          <w:w w:val="120"/>
        </w:rPr>
        <w:t> </w:t>
      </w:r>
      <w:r>
        <w:rPr>
          <w:color w:val="231F20"/>
          <w:spacing w:val="-2"/>
          <w:w w:val="120"/>
        </w:rPr>
        <w:t>que</w:t>
      </w:r>
      <w:r>
        <w:rPr>
          <w:color w:val="231F20"/>
          <w:spacing w:val="-15"/>
          <w:w w:val="120"/>
        </w:rPr>
        <w:t> </w:t>
      </w:r>
      <w:r>
        <w:rPr>
          <w:color w:val="231F20"/>
          <w:spacing w:val="-2"/>
          <w:w w:val="120"/>
        </w:rPr>
        <w:t>les</w:t>
      </w:r>
      <w:r>
        <w:rPr>
          <w:color w:val="231F20"/>
          <w:spacing w:val="-15"/>
          <w:w w:val="120"/>
        </w:rPr>
        <w:t> </w:t>
      </w:r>
      <w:r>
        <w:rPr>
          <w:color w:val="231F20"/>
          <w:spacing w:val="-2"/>
          <w:w w:val="120"/>
        </w:rPr>
        <w:t>bases</w:t>
      </w:r>
      <w:r>
        <w:rPr>
          <w:color w:val="231F20"/>
          <w:spacing w:val="-14"/>
          <w:w w:val="120"/>
        </w:rPr>
        <w:t> </w:t>
      </w:r>
      <w:r>
        <w:rPr>
          <w:color w:val="231F20"/>
          <w:spacing w:val="-2"/>
          <w:w w:val="120"/>
        </w:rPr>
        <w:t>de</w:t>
      </w:r>
      <w:r>
        <w:rPr>
          <w:color w:val="231F20"/>
          <w:spacing w:val="-15"/>
          <w:w w:val="120"/>
        </w:rPr>
        <w:t> </w:t>
      </w:r>
      <w:r>
        <w:rPr>
          <w:color w:val="231F20"/>
          <w:spacing w:val="-2"/>
          <w:w w:val="120"/>
        </w:rPr>
        <w:t>l’estime</w:t>
      </w:r>
    </w:p>
    <w:p>
      <w:pPr>
        <w:pStyle w:val="BodyText"/>
        <w:spacing w:line="135" w:lineRule="exact"/>
        <w:ind w:left="732" w:right="492"/>
        <w:jc w:val="right"/>
      </w:pP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se</w:t>
      </w:r>
      <w:r>
        <w:rPr>
          <w:color w:val="231F20"/>
          <w:spacing w:val="14"/>
          <w:w w:val="120"/>
        </w:rPr>
        <w:t> </w:t>
      </w:r>
      <w:r>
        <w:rPr>
          <w:color w:val="231F20"/>
          <w:w w:val="120"/>
        </w:rPr>
        <w:t>forgent</w:t>
      </w:r>
      <w:r>
        <w:rPr>
          <w:color w:val="231F20"/>
          <w:spacing w:val="13"/>
          <w:w w:val="120"/>
        </w:rPr>
        <w:t> </w:t>
      </w:r>
      <w:r>
        <w:rPr>
          <w:color w:val="231F20"/>
          <w:w w:val="120"/>
        </w:rPr>
        <w:t>en</w:t>
      </w:r>
      <w:r>
        <w:rPr>
          <w:color w:val="231F20"/>
          <w:spacing w:val="14"/>
          <w:w w:val="120"/>
        </w:rPr>
        <w:t> </w:t>
      </w:r>
      <w:r>
        <w:rPr>
          <w:color w:val="231F20"/>
          <w:w w:val="120"/>
        </w:rPr>
        <w:t>bas</w:t>
      </w:r>
      <w:r>
        <w:rPr>
          <w:color w:val="231F20"/>
          <w:spacing w:val="13"/>
          <w:w w:val="120"/>
        </w:rPr>
        <w:t> </w:t>
      </w:r>
      <w:r>
        <w:rPr>
          <w:color w:val="231F20"/>
          <w:w w:val="120"/>
        </w:rPr>
        <w:t>âge.</w:t>
      </w:r>
      <w:r>
        <w:rPr>
          <w:color w:val="231F20"/>
          <w:spacing w:val="14"/>
          <w:w w:val="120"/>
        </w:rPr>
        <w:t> </w:t>
      </w:r>
      <w:r>
        <w:rPr>
          <w:color w:val="231F20"/>
          <w:w w:val="120"/>
        </w:rPr>
        <w:t>Ce</w:t>
      </w:r>
      <w:r>
        <w:rPr>
          <w:color w:val="231F20"/>
          <w:spacing w:val="13"/>
          <w:w w:val="120"/>
        </w:rPr>
        <w:t> </w:t>
      </w:r>
      <w:r>
        <w:rPr>
          <w:color w:val="231F20"/>
          <w:w w:val="120"/>
        </w:rPr>
        <w:t>sont</w:t>
      </w:r>
      <w:r>
        <w:rPr>
          <w:color w:val="231F20"/>
          <w:spacing w:val="14"/>
          <w:w w:val="120"/>
        </w:rPr>
        <w:t> </w:t>
      </w:r>
      <w:r>
        <w:rPr>
          <w:color w:val="231F20"/>
          <w:w w:val="120"/>
        </w:rPr>
        <w:t>sur</w:t>
      </w:r>
      <w:r>
        <w:rPr>
          <w:color w:val="231F20"/>
          <w:spacing w:val="13"/>
          <w:w w:val="120"/>
        </w:rPr>
        <w:t> </w:t>
      </w:r>
      <w:r>
        <w:rPr>
          <w:color w:val="231F20"/>
          <w:spacing w:val="-5"/>
          <w:w w:val="120"/>
        </w:rPr>
        <w:t>ces</w:t>
      </w:r>
    </w:p>
    <w:p>
      <w:pPr>
        <w:spacing w:after="0" w:line="135" w:lineRule="exact"/>
        <w:jc w:val="right"/>
        <w:sectPr>
          <w:footerReference w:type="default" r:id="rId246"/>
          <w:pgSz w:w="8640" w:h="12960"/>
          <w:pgMar w:footer="424" w:header="0" w:top="520" w:bottom="620" w:left="420" w:right="1140"/>
        </w:sectPr>
      </w:pPr>
    </w:p>
    <w:p>
      <w:pPr>
        <w:spacing w:line="268" w:lineRule="auto" w:before="32"/>
        <w:ind w:left="937" w:right="0" w:firstLine="659"/>
        <w:jc w:val="right"/>
        <w:rPr>
          <w:rFonts w:ascii="Arial" w:hAnsi="Arial"/>
          <w:sz w:val="14"/>
        </w:rPr>
      </w:pPr>
      <w:r>
        <w:rPr>
          <w:rFonts w:ascii="Arial" w:hAnsi="Arial"/>
          <w:color w:val="231F20"/>
          <w:spacing w:val="-2"/>
          <w:w w:val="105"/>
          <w:sz w:val="14"/>
        </w:rPr>
        <w:t>La</w:t>
      </w:r>
      <w:r>
        <w:rPr>
          <w:rFonts w:ascii="Arial" w:hAnsi="Arial"/>
          <w:color w:val="231F20"/>
          <w:spacing w:val="-9"/>
          <w:w w:val="105"/>
          <w:sz w:val="14"/>
        </w:rPr>
        <w:t> </w:t>
      </w:r>
      <w:r>
        <w:rPr>
          <w:rFonts w:ascii="Arial" w:hAnsi="Arial"/>
          <w:color w:val="231F20"/>
          <w:spacing w:val="-2"/>
          <w:w w:val="105"/>
          <w:sz w:val="14"/>
        </w:rPr>
        <w:t>disponibilité,</w:t>
      </w:r>
      <w:r>
        <w:rPr>
          <w:rFonts w:ascii="Arial" w:hAnsi="Arial"/>
          <w:color w:val="231F20"/>
          <w:spacing w:val="40"/>
          <w:w w:val="105"/>
          <w:sz w:val="14"/>
        </w:rPr>
        <w:t> </w:t>
      </w:r>
      <w:r>
        <w:rPr>
          <w:rFonts w:ascii="Arial" w:hAnsi="Arial"/>
          <w:color w:val="231F20"/>
          <w:spacing w:val="-2"/>
          <w:w w:val="105"/>
          <w:sz w:val="14"/>
        </w:rPr>
        <w:t>l’acceptation,</w:t>
      </w:r>
      <w:r>
        <w:rPr>
          <w:rFonts w:ascii="Arial" w:hAnsi="Arial"/>
          <w:color w:val="231F20"/>
          <w:spacing w:val="-9"/>
          <w:w w:val="105"/>
          <w:sz w:val="14"/>
        </w:rPr>
        <w:t> </w:t>
      </w:r>
      <w:r>
        <w:rPr>
          <w:rFonts w:ascii="Arial" w:hAnsi="Arial"/>
          <w:color w:val="231F20"/>
          <w:spacing w:val="-2"/>
          <w:w w:val="105"/>
          <w:sz w:val="14"/>
        </w:rPr>
        <w:t>le</w:t>
      </w:r>
      <w:r>
        <w:rPr>
          <w:rFonts w:ascii="Arial" w:hAnsi="Arial"/>
          <w:color w:val="231F20"/>
          <w:spacing w:val="-8"/>
          <w:w w:val="105"/>
          <w:sz w:val="14"/>
        </w:rPr>
        <w:t> </w:t>
      </w:r>
      <w:r>
        <w:rPr>
          <w:rFonts w:ascii="Arial" w:hAnsi="Arial"/>
          <w:color w:val="231F20"/>
          <w:spacing w:val="-2"/>
          <w:w w:val="105"/>
          <w:sz w:val="14"/>
        </w:rPr>
        <w:t>soutien</w:t>
      </w:r>
      <w:r>
        <w:rPr>
          <w:rFonts w:ascii="Arial" w:hAnsi="Arial"/>
          <w:color w:val="231F20"/>
          <w:spacing w:val="-8"/>
          <w:w w:val="105"/>
          <w:sz w:val="14"/>
        </w:rPr>
        <w:t> </w:t>
      </w:r>
      <w:r>
        <w:rPr>
          <w:rFonts w:ascii="Arial" w:hAnsi="Arial"/>
          <w:color w:val="231F20"/>
          <w:spacing w:val="-2"/>
          <w:w w:val="105"/>
          <w:sz w:val="14"/>
        </w:rPr>
        <w:t>et</w:t>
      </w:r>
      <w:r>
        <w:rPr>
          <w:rFonts w:ascii="Arial" w:hAnsi="Arial"/>
          <w:color w:val="231F20"/>
          <w:w w:val="105"/>
          <w:sz w:val="14"/>
        </w:rPr>
        <w:t> l’amour</w:t>
      </w:r>
      <w:r>
        <w:rPr>
          <w:rFonts w:ascii="Arial" w:hAnsi="Arial"/>
          <w:color w:val="231F20"/>
          <w:spacing w:val="-2"/>
          <w:w w:val="105"/>
          <w:sz w:val="14"/>
        </w:rPr>
        <w:t> </w:t>
      </w:r>
      <w:r>
        <w:rPr>
          <w:rFonts w:ascii="Arial" w:hAnsi="Arial"/>
          <w:color w:val="231F20"/>
          <w:w w:val="105"/>
          <w:sz w:val="14"/>
        </w:rPr>
        <w:t>des</w:t>
      </w:r>
      <w:r>
        <w:rPr>
          <w:rFonts w:ascii="Arial" w:hAnsi="Arial"/>
          <w:color w:val="231F20"/>
          <w:spacing w:val="-2"/>
          <w:w w:val="105"/>
          <w:sz w:val="14"/>
        </w:rPr>
        <w:t> </w:t>
      </w:r>
      <w:r>
        <w:rPr>
          <w:rFonts w:ascii="Arial" w:hAnsi="Arial"/>
          <w:color w:val="231F20"/>
          <w:w w:val="105"/>
          <w:sz w:val="14"/>
        </w:rPr>
        <w:t>parents,</w:t>
      </w:r>
      <w:r>
        <w:rPr>
          <w:rFonts w:ascii="Arial" w:hAnsi="Arial"/>
          <w:color w:val="231F20"/>
          <w:spacing w:val="-2"/>
          <w:w w:val="105"/>
          <w:sz w:val="14"/>
        </w:rPr>
        <w:t> </w:t>
      </w:r>
      <w:r>
        <w:rPr>
          <w:rFonts w:ascii="Arial" w:hAnsi="Arial"/>
          <w:color w:val="231F20"/>
          <w:w w:val="105"/>
          <w:sz w:val="14"/>
        </w:rPr>
        <w:t>tout comme les stimuli et</w:t>
      </w:r>
    </w:p>
    <w:p>
      <w:pPr>
        <w:spacing w:line="268" w:lineRule="auto" w:before="0"/>
        <w:ind w:left="953" w:right="0" w:firstLine="140"/>
        <w:jc w:val="right"/>
        <w:rPr>
          <w:rFonts w:ascii="Arial" w:hAnsi="Arial"/>
          <w:sz w:val="14"/>
        </w:rPr>
      </w:pPr>
      <w:r>
        <w:rPr>
          <w:rFonts w:ascii="Arial" w:hAnsi="Arial"/>
          <w:color w:val="231F20"/>
          <w:sz w:val="14"/>
        </w:rPr>
        <w:t>les</w:t>
      </w:r>
      <w:r>
        <w:rPr>
          <w:rFonts w:ascii="Arial" w:hAnsi="Arial"/>
          <w:color w:val="231F20"/>
          <w:spacing w:val="-7"/>
          <w:sz w:val="14"/>
        </w:rPr>
        <w:t> </w:t>
      </w:r>
      <w:r>
        <w:rPr>
          <w:rFonts w:ascii="Arial" w:hAnsi="Arial"/>
          <w:color w:val="231F20"/>
          <w:sz w:val="14"/>
        </w:rPr>
        <w:t>renforcements</w:t>
      </w:r>
      <w:r>
        <w:rPr>
          <w:rFonts w:ascii="Arial" w:hAnsi="Arial"/>
          <w:color w:val="231F20"/>
          <w:spacing w:val="-7"/>
          <w:sz w:val="14"/>
        </w:rPr>
        <w:t> </w:t>
      </w:r>
      <w:r>
        <w:rPr>
          <w:rFonts w:ascii="Arial" w:hAnsi="Arial"/>
          <w:color w:val="231F20"/>
          <w:sz w:val="14"/>
        </w:rPr>
        <w:t>qu’ils</w:t>
      </w:r>
      <w:r>
        <w:rPr>
          <w:rFonts w:ascii="Arial" w:hAnsi="Arial"/>
          <w:color w:val="231F20"/>
          <w:spacing w:val="40"/>
          <w:sz w:val="14"/>
        </w:rPr>
        <w:t> </w:t>
      </w:r>
      <w:r>
        <w:rPr>
          <w:rFonts w:ascii="Arial" w:hAnsi="Arial"/>
          <w:color w:val="231F20"/>
          <w:sz w:val="14"/>
        </w:rPr>
        <w:t>procurent, sont essentiels</w:t>
      </w:r>
      <w:r>
        <w:rPr>
          <w:rFonts w:ascii="Arial" w:hAnsi="Arial"/>
          <w:color w:val="231F20"/>
          <w:spacing w:val="40"/>
          <w:sz w:val="14"/>
        </w:rPr>
        <w:t> </w:t>
      </w:r>
      <w:r>
        <w:rPr>
          <w:rFonts w:ascii="Arial" w:hAnsi="Arial"/>
          <w:color w:val="231F20"/>
          <w:sz w:val="14"/>
        </w:rPr>
        <w:t>à l’estime de soi de</w:t>
      </w:r>
      <w:r>
        <w:rPr>
          <w:rFonts w:ascii="Arial" w:hAnsi="Arial"/>
          <w:color w:val="231F20"/>
          <w:spacing w:val="40"/>
          <w:sz w:val="14"/>
        </w:rPr>
        <w:t> </w:t>
      </w:r>
      <w:r>
        <w:rPr>
          <w:rFonts w:ascii="Arial" w:hAnsi="Arial"/>
          <w:color w:val="231F20"/>
          <w:sz w:val="14"/>
        </w:rPr>
        <w:t>l’enfant, ce qui forme</w:t>
      </w:r>
      <w:r>
        <w:rPr>
          <w:rFonts w:ascii="Arial" w:hAnsi="Arial"/>
          <w:color w:val="231F20"/>
          <w:spacing w:val="40"/>
          <w:sz w:val="14"/>
        </w:rPr>
        <w:t> </w:t>
      </w:r>
      <w:r>
        <w:rPr>
          <w:rFonts w:ascii="Arial" w:hAnsi="Arial"/>
          <w:color w:val="231F20"/>
          <w:sz w:val="14"/>
        </w:rPr>
        <w:t>indéniablement</w:t>
      </w:r>
      <w:r>
        <w:rPr>
          <w:rFonts w:ascii="Arial" w:hAnsi="Arial"/>
          <w:color w:val="231F20"/>
          <w:spacing w:val="-9"/>
          <w:sz w:val="14"/>
        </w:rPr>
        <w:t> </w:t>
      </w:r>
      <w:r>
        <w:rPr>
          <w:rFonts w:ascii="Arial" w:hAnsi="Arial"/>
          <w:color w:val="231F20"/>
          <w:sz w:val="14"/>
        </w:rPr>
        <w:t>l’assise</w:t>
      </w:r>
      <w:r>
        <w:rPr>
          <w:rFonts w:ascii="Arial" w:hAnsi="Arial"/>
          <w:color w:val="231F20"/>
          <w:spacing w:val="-9"/>
          <w:sz w:val="14"/>
        </w:rPr>
        <w:t> </w:t>
      </w:r>
      <w:r>
        <w:rPr>
          <w:rFonts w:ascii="Arial" w:hAnsi="Arial"/>
          <w:color w:val="231F20"/>
          <w:spacing w:val="-5"/>
          <w:sz w:val="14"/>
        </w:rPr>
        <w:t>de</w:t>
      </w:r>
    </w:p>
    <w:p>
      <w:pPr>
        <w:spacing w:line="160" w:lineRule="exact" w:before="0"/>
        <w:ind w:left="0" w:right="0" w:firstLine="0"/>
        <w:jc w:val="right"/>
        <w:rPr>
          <w:rFonts w:ascii="Arial" w:hAnsi="Arial"/>
          <w:sz w:val="14"/>
        </w:rPr>
      </w:pPr>
      <w:r>
        <w:rPr>
          <w:rFonts w:ascii="Arial" w:hAnsi="Arial"/>
          <w:color w:val="231F20"/>
          <w:sz w:val="14"/>
        </w:rPr>
        <w:t>l’estime</w:t>
      </w:r>
      <w:r>
        <w:rPr>
          <w:rFonts w:ascii="Arial" w:hAnsi="Arial"/>
          <w:color w:val="231F20"/>
          <w:spacing w:val="-8"/>
          <w:sz w:val="14"/>
        </w:rPr>
        <w:t> </w:t>
      </w:r>
      <w:r>
        <w:rPr>
          <w:rFonts w:ascii="Arial" w:hAnsi="Arial"/>
          <w:color w:val="231F20"/>
          <w:sz w:val="14"/>
        </w:rPr>
        <w:t>de</w:t>
      </w:r>
      <w:r>
        <w:rPr>
          <w:rFonts w:ascii="Arial" w:hAnsi="Arial"/>
          <w:color w:val="231F20"/>
          <w:spacing w:val="-8"/>
          <w:sz w:val="14"/>
        </w:rPr>
        <w:t> </w:t>
      </w:r>
      <w:r>
        <w:rPr>
          <w:rFonts w:ascii="Arial" w:hAnsi="Arial"/>
          <w:color w:val="231F20"/>
          <w:sz w:val="14"/>
        </w:rPr>
        <w:t>soi</w:t>
      </w:r>
      <w:r>
        <w:rPr>
          <w:rFonts w:ascii="Arial" w:hAnsi="Arial"/>
          <w:color w:val="231F20"/>
          <w:spacing w:val="-8"/>
          <w:sz w:val="14"/>
        </w:rPr>
        <w:t> </w:t>
      </w:r>
      <w:r>
        <w:rPr>
          <w:rFonts w:ascii="Arial" w:hAnsi="Arial"/>
          <w:color w:val="231F20"/>
          <w:sz w:val="14"/>
        </w:rPr>
        <w:t>chez</w:t>
      </w:r>
      <w:r>
        <w:rPr>
          <w:rFonts w:ascii="Arial" w:hAnsi="Arial"/>
          <w:color w:val="231F20"/>
          <w:spacing w:val="-8"/>
          <w:sz w:val="14"/>
        </w:rPr>
        <w:t> </w:t>
      </w:r>
      <w:r>
        <w:rPr>
          <w:rFonts w:ascii="Arial" w:hAnsi="Arial"/>
          <w:color w:val="231F20"/>
          <w:spacing w:val="-2"/>
          <w:sz w:val="14"/>
        </w:rPr>
        <w:t>l’adulte.</w:t>
      </w:r>
    </w:p>
    <w:p>
      <w:pPr>
        <w:pStyle w:val="BodyText"/>
        <w:spacing w:line="307" w:lineRule="auto" w:before="115"/>
        <w:ind w:left="200" w:right="491"/>
        <w:jc w:val="both"/>
      </w:pPr>
      <w:r>
        <w:rPr/>
        <w:br w:type="column"/>
      </w:r>
      <w:r>
        <w:rPr>
          <w:color w:val="231F20"/>
          <w:w w:val="120"/>
        </w:rPr>
        <w:t>bases</w:t>
      </w:r>
      <w:r>
        <w:rPr>
          <w:color w:val="231F20"/>
          <w:spacing w:val="-15"/>
          <w:w w:val="120"/>
        </w:rPr>
        <w:t> </w:t>
      </w:r>
      <w:r>
        <w:rPr>
          <w:color w:val="231F20"/>
          <w:w w:val="120"/>
        </w:rPr>
        <w:t>que</w:t>
      </w:r>
      <w:r>
        <w:rPr>
          <w:color w:val="231F20"/>
          <w:spacing w:val="-13"/>
          <w:w w:val="120"/>
        </w:rPr>
        <w:t> </w:t>
      </w:r>
      <w:r>
        <w:rPr>
          <w:color w:val="231F20"/>
          <w:w w:val="120"/>
        </w:rPr>
        <w:t>sera</w:t>
      </w:r>
      <w:r>
        <w:rPr>
          <w:color w:val="231F20"/>
          <w:spacing w:val="-13"/>
          <w:w w:val="120"/>
        </w:rPr>
        <w:t> </w:t>
      </w:r>
      <w:r>
        <w:rPr>
          <w:color w:val="231F20"/>
          <w:w w:val="120"/>
        </w:rPr>
        <w:t>érigé</w:t>
      </w:r>
      <w:r>
        <w:rPr>
          <w:color w:val="231F20"/>
          <w:spacing w:val="-12"/>
          <w:w w:val="120"/>
        </w:rPr>
        <w:t> </w:t>
      </w:r>
      <w:r>
        <w:rPr>
          <w:color w:val="231F20"/>
          <w:w w:val="120"/>
        </w:rPr>
        <w:t>l’édifice</w:t>
      </w:r>
      <w:r>
        <w:rPr>
          <w:color w:val="231F20"/>
          <w:spacing w:val="-13"/>
          <w:w w:val="120"/>
        </w:rPr>
        <w:t> </w:t>
      </w:r>
      <w:r>
        <w:rPr>
          <w:color w:val="231F20"/>
          <w:w w:val="120"/>
        </w:rPr>
        <w:t>de</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2"/>
          <w:w w:val="120"/>
        </w:rPr>
        <w:t> </w:t>
      </w:r>
      <w:r>
        <w:rPr>
          <w:color w:val="231F20"/>
          <w:w w:val="120"/>
        </w:rPr>
        <w:t>soi adulte en fonction des confirmations ou </w:t>
      </w:r>
      <w:r>
        <w:rPr>
          <w:color w:val="231F20"/>
          <w:w w:val="120"/>
        </w:rPr>
        <w:t>des infirmations que nourriront les succès et les </w:t>
      </w:r>
      <w:r>
        <w:rPr>
          <w:color w:val="231F20"/>
          <w:w w:val="115"/>
        </w:rPr>
        <w:t>échecs</w:t>
      </w:r>
      <w:r>
        <w:rPr>
          <w:color w:val="231F20"/>
          <w:spacing w:val="-12"/>
          <w:w w:val="115"/>
        </w:rPr>
        <w:t> </w:t>
      </w:r>
      <w:r>
        <w:rPr>
          <w:color w:val="231F20"/>
          <w:w w:val="115"/>
        </w:rPr>
        <w:t>cumulés</w:t>
      </w:r>
      <w:r>
        <w:rPr>
          <w:color w:val="231F20"/>
          <w:spacing w:val="-12"/>
          <w:w w:val="115"/>
        </w:rPr>
        <w:t> </w:t>
      </w:r>
      <w:r>
        <w:rPr>
          <w:color w:val="231F20"/>
          <w:w w:val="115"/>
        </w:rPr>
        <w:t>par</w:t>
      </w:r>
      <w:r>
        <w:rPr>
          <w:color w:val="231F20"/>
          <w:spacing w:val="-12"/>
          <w:w w:val="115"/>
        </w:rPr>
        <w:t> </w:t>
      </w:r>
      <w:r>
        <w:rPr>
          <w:color w:val="231F20"/>
          <w:w w:val="115"/>
        </w:rPr>
        <w:t>la</w:t>
      </w:r>
      <w:r>
        <w:rPr>
          <w:color w:val="231F20"/>
          <w:spacing w:val="-12"/>
          <w:w w:val="115"/>
        </w:rPr>
        <w:t> </w:t>
      </w:r>
      <w:r>
        <w:rPr>
          <w:color w:val="231F20"/>
          <w:w w:val="115"/>
        </w:rPr>
        <w:t>suite.</w:t>
      </w:r>
      <w:r>
        <w:rPr>
          <w:color w:val="231F20"/>
          <w:spacing w:val="-12"/>
          <w:w w:val="115"/>
        </w:rPr>
        <w:t> </w:t>
      </w:r>
      <w:r>
        <w:rPr>
          <w:color w:val="231F20"/>
          <w:w w:val="115"/>
        </w:rPr>
        <w:t>Ainsi,</w:t>
      </w:r>
      <w:r>
        <w:rPr>
          <w:color w:val="231F20"/>
          <w:spacing w:val="-12"/>
          <w:w w:val="115"/>
        </w:rPr>
        <w:t> </w:t>
      </w:r>
      <w:r>
        <w:rPr>
          <w:color w:val="231F20"/>
          <w:w w:val="115"/>
        </w:rPr>
        <w:t>bien</w:t>
      </w:r>
      <w:r>
        <w:rPr>
          <w:color w:val="231F20"/>
          <w:spacing w:val="-12"/>
          <w:w w:val="115"/>
        </w:rPr>
        <w:t> </w:t>
      </w:r>
      <w:r>
        <w:rPr>
          <w:color w:val="231F20"/>
          <w:w w:val="115"/>
        </w:rPr>
        <w:t>que</w:t>
      </w:r>
      <w:r>
        <w:rPr>
          <w:color w:val="231F20"/>
          <w:spacing w:val="-12"/>
          <w:w w:val="115"/>
        </w:rPr>
        <w:t> </w:t>
      </w:r>
      <w:r>
        <w:rPr>
          <w:color w:val="231F20"/>
          <w:w w:val="115"/>
        </w:rPr>
        <w:t>l’es- </w:t>
      </w:r>
      <w:r>
        <w:rPr>
          <w:color w:val="231F20"/>
          <w:w w:val="120"/>
        </w:rPr>
        <w:t>time</w:t>
      </w:r>
      <w:r>
        <w:rPr>
          <w:color w:val="231F20"/>
          <w:spacing w:val="-3"/>
          <w:w w:val="120"/>
        </w:rPr>
        <w:t> </w:t>
      </w:r>
      <w:r>
        <w:rPr>
          <w:color w:val="231F20"/>
          <w:w w:val="120"/>
        </w:rPr>
        <w:t>de</w:t>
      </w:r>
      <w:r>
        <w:rPr>
          <w:color w:val="231F20"/>
          <w:spacing w:val="-3"/>
          <w:w w:val="120"/>
        </w:rPr>
        <w:t> </w:t>
      </w:r>
      <w:r>
        <w:rPr>
          <w:color w:val="231F20"/>
          <w:w w:val="120"/>
        </w:rPr>
        <w:t>soi</w:t>
      </w:r>
      <w:r>
        <w:rPr>
          <w:color w:val="231F20"/>
          <w:spacing w:val="-3"/>
          <w:w w:val="120"/>
        </w:rPr>
        <w:t> </w:t>
      </w:r>
      <w:r>
        <w:rPr>
          <w:color w:val="231F20"/>
          <w:w w:val="120"/>
        </w:rPr>
        <w:t>ait</w:t>
      </w:r>
      <w:r>
        <w:rPr>
          <w:color w:val="231F20"/>
          <w:spacing w:val="-3"/>
          <w:w w:val="120"/>
        </w:rPr>
        <w:t> </w:t>
      </w:r>
      <w:r>
        <w:rPr>
          <w:color w:val="231F20"/>
          <w:w w:val="120"/>
        </w:rPr>
        <w:t>déjà</w:t>
      </w:r>
      <w:r>
        <w:rPr>
          <w:color w:val="231F20"/>
          <w:spacing w:val="-3"/>
          <w:w w:val="120"/>
        </w:rPr>
        <w:t> </w:t>
      </w:r>
      <w:r>
        <w:rPr>
          <w:color w:val="231F20"/>
          <w:w w:val="120"/>
        </w:rPr>
        <w:t>des</w:t>
      </w:r>
      <w:r>
        <w:rPr>
          <w:color w:val="231F20"/>
          <w:spacing w:val="-3"/>
          <w:w w:val="120"/>
        </w:rPr>
        <w:t> </w:t>
      </w:r>
      <w:r>
        <w:rPr>
          <w:color w:val="231F20"/>
          <w:w w:val="120"/>
        </w:rPr>
        <w:t>pourtours</w:t>
      </w:r>
      <w:r>
        <w:rPr>
          <w:color w:val="231F20"/>
          <w:spacing w:val="-3"/>
          <w:w w:val="120"/>
        </w:rPr>
        <w:t> </w:t>
      </w:r>
      <w:r>
        <w:rPr>
          <w:color w:val="231F20"/>
          <w:w w:val="120"/>
        </w:rPr>
        <w:t>délimités</w:t>
      </w:r>
      <w:r>
        <w:rPr>
          <w:color w:val="231F20"/>
          <w:spacing w:val="-3"/>
          <w:w w:val="120"/>
        </w:rPr>
        <w:t> </w:t>
      </w:r>
      <w:r>
        <w:rPr>
          <w:color w:val="231F20"/>
          <w:w w:val="120"/>
        </w:rPr>
        <w:t>au cours</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prime</w:t>
      </w:r>
      <w:r>
        <w:rPr>
          <w:color w:val="231F20"/>
          <w:spacing w:val="-10"/>
          <w:w w:val="120"/>
        </w:rPr>
        <w:t> </w:t>
      </w:r>
      <w:r>
        <w:rPr>
          <w:color w:val="231F20"/>
          <w:w w:val="120"/>
        </w:rPr>
        <w:t>enfance,</w:t>
      </w:r>
      <w:r>
        <w:rPr>
          <w:color w:val="231F20"/>
          <w:spacing w:val="-10"/>
          <w:w w:val="120"/>
        </w:rPr>
        <w:t> </w:t>
      </w:r>
      <w:r>
        <w:rPr>
          <w:color w:val="231F20"/>
          <w:w w:val="120"/>
        </w:rPr>
        <w:t>il</w:t>
      </w:r>
      <w:r>
        <w:rPr>
          <w:color w:val="231F20"/>
          <w:spacing w:val="-10"/>
          <w:w w:val="120"/>
        </w:rPr>
        <w:t> </w:t>
      </w:r>
      <w:r>
        <w:rPr>
          <w:color w:val="231F20"/>
          <w:w w:val="120"/>
        </w:rPr>
        <w:t>demeure</w:t>
      </w:r>
      <w:r>
        <w:rPr>
          <w:color w:val="231F20"/>
          <w:spacing w:val="-10"/>
          <w:w w:val="120"/>
        </w:rPr>
        <w:t> </w:t>
      </w:r>
      <w:r>
        <w:rPr>
          <w:color w:val="231F20"/>
          <w:w w:val="120"/>
        </w:rPr>
        <w:t>possible de</w:t>
      </w:r>
      <w:r>
        <w:rPr>
          <w:color w:val="231F20"/>
          <w:spacing w:val="-3"/>
          <w:w w:val="120"/>
        </w:rPr>
        <w:t> </w:t>
      </w:r>
      <w:r>
        <w:rPr>
          <w:color w:val="231F20"/>
          <w:w w:val="120"/>
        </w:rPr>
        <w:t>façonner</w:t>
      </w:r>
      <w:r>
        <w:rPr>
          <w:color w:val="231F20"/>
          <w:spacing w:val="-2"/>
          <w:w w:val="120"/>
        </w:rPr>
        <w:t> </w:t>
      </w:r>
      <w:r>
        <w:rPr>
          <w:color w:val="231F20"/>
          <w:w w:val="120"/>
        </w:rPr>
        <w:t>notre</w:t>
      </w:r>
      <w:r>
        <w:rPr>
          <w:color w:val="231F20"/>
          <w:spacing w:val="-3"/>
          <w:w w:val="120"/>
        </w:rPr>
        <w:t> </w:t>
      </w:r>
      <w:r>
        <w:rPr>
          <w:color w:val="231F20"/>
          <w:w w:val="120"/>
        </w:rPr>
        <w:t>estime</w:t>
      </w:r>
      <w:r>
        <w:rPr>
          <w:color w:val="231F20"/>
          <w:spacing w:val="-2"/>
          <w:w w:val="120"/>
        </w:rPr>
        <w:t> </w:t>
      </w:r>
      <w:r>
        <w:rPr>
          <w:color w:val="231F20"/>
          <w:w w:val="120"/>
        </w:rPr>
        <w:t>selon</w:t>
      </w:r>
      <w:r>
        <w:rPr>
          <w:color w:val="231F20"/>
          <w:spacing w:val="-3"/>
          <w:w w:val="120"/>
        </w:rPr>
        <w:t> </w:t>
      </w:r>
      <w:r>
        <w:rPr>
          <w:color w:val="231F20"/>
          <w:w w:val="120"/>
        </w:rPr>
        <w:t>les</w:t>
      </w:r>
      <w:r>
        <w:rPr>
          <w:color w:val="231F20"/>
          <w:spacing w:val="-2"/>
          <w:w w:val="120"/>
        </w:rPr>
        <w:t> possibilités</w:t>
      </w:r>
    </w:p>
    <w:p>
      <w:pPr>
        <w:spacing w:after="0" w:line="307" w:lineRule="auto"/>
        <w:jc w:val="both"/>
        <w:sectPr>
          <w:type w:val="continuous"/>
          <w:pgSz w:w="8640" w:h="12960"/>
          <w:pgMar w:header="0" w:footer="424" w:top="1220" w:bottom="280" w:left="420" w:right="1140"/>
          <w:cols w:num="2" w:equalWidth="0">
            <w:col w:w="2591" w:space="40"/>
            <w:col w:w="4449"/>
          </w:cols>
        </w:sectPr>
      </w:pPr>
    </w:p>
    <w:p>
      <w:pPr>
        <w:pStyle w:val="BodyText"/>
        <w:rPr>
          <w:sz w:val="20"/>
        </w:rPr>
      </w:pPr>
    </w:p>
    <w:p>
      <w:pPr>
        <w:pStyle w:val="BodyText"/>
        <w:rPr>
          <w:sz w:val="20"/>
        </w:rPr>
      </w:pPr>
    </w:p>
    <w:p>
      <w:pPr>
        <w:pStyle w:val="BodyText"/>
        <w:spacing w:before="7"/>
        <w:rPr>
          <w:sz w:val="13"/>
        </w:rPr>
      </w:pPr>
    </w:p>
    <w:p>
      <w:pPr>
        <w:pStyle w:val="BodyText"/>
        <w:spacing w:line="20" w:lineRule="exact"/>
        <w:ind w:left="830"/>
        <w:rPr>
          <w:sz w:val="2"/>
        </w:rPr>
      </w:pPr>
      <w:r>
        <w:rPr>
          <w:sz w:val="2"/>
        </w:rPr>
        <w:pict>
          <v:group style="width:287.5pt;height:.25pt;mso-position-horizontal-relative:char;mso-position-vertical-relative:line" id="docshapegroup879" coordorigin="0,0" coordsize="5750,5">
            <v:line style="position:absolute" from="0,2" to="5750,2" stroked="true" strokeweight=".25pt" strokecolor="#231f20">
              <v:stroke dashstyle="shortdot"/>
            </v:line>
          </v:group>
        </w:pict>
      </w:r>
      <w:r>
        <w:rPr>
          <w:sz w:val="2"/>
        </w:rPr>
      </w:r>
    </w:p>
    <w:p>
      <w:pPr>
        <w:pStyle w:val="ListParagraph"/>
        <w:numPr>
          <w:ilvl w:val="0"/>
          <w:numId w:val="65"/>
        </w:numPr>
        <w:tabs>
          <w:tab w:pos="829" w:val="left" w:leader="none"/>
          <w:tab w:pos="830" w:val="left" w:leader="none"/>
        </w:tabs>
        <w:spacing w:line="240" w:lineRule="auto" w:before="117" w:after="0"/>
        <w:ind w:left="829" w:right="0" w:hanging="406"/>
        <w:jc w:val="left"/>
        <w:rPr>
          <w:rFonts w:ascii="Arial" w:hAnsi="Arial"/>
          <w:sz w:val="12"/>
        </w:rPr>
      </w:pPr>
      <w:r>
        <w:rPr>
          <w:rFonts w:ascii="Arial" w:hAnsi="Arial"/>
          <w:color w:val="231F20"/>
          <w:spacing w:val="-2"/>
          <w:w w:val="95"/>
          <w:sz w:val="12"/>
        </w:rPr>
        <w:t>Dobson,</w:t>
      </w:r>
      <w:r>
        <w:rPr>
          <w:rFonts w:ascii="Arial" w:hAnsi="Arial"/>
          <w:color w:val="231F20"/>
          <w:spacing w:val="-3"/>
          <w:sz w:val="12"/>
        </w:rPr>
        <w:t> </w:t>
      </w:r>
      <w:r>
        <w:rPr>
          <w:rFonts w:ascii="Arial" w:hAnsi="Arial"/>
          <w:color w:val="231F20"/>
          <w:spacing w:val="-2"/>
          <w:w w:val="95"/>
          <w:sz w:val="12"/>
        </w:rPr>
        <w:t>F.</w:t>
      </w:r>
      <w:r>
        <w:rPr>
          <w:rFonts w:ascii="Arial" w:hAnsi="Arial"/>
          <w:color w:val="231F20"/>
          <w:spacing w:val="-2"/>
          <w:sz w:val="12"/>
        </w:rPr>
        <w:t> </w:t>
      </w:r>
      <w:r>
        <w:rPr>
          <w:rFonts w:ascii="Arial" w:hAnsi="Arial"/>
          <w:color w:val="231F20"/>
          <w:spacing w:val="-2"/>
          <w:w w:val="95"/>
          <w:sz w:val="12"/>
        </w:rPr>
        <w:t>(2013).</w:t>
      </w:r>
      <w:r>
        <w:rPr>
          <w:rFonts w:ascii="Arial" w:hAnsi="Arial"/>
          <w:color w:val="231F20"/>
          <w:spacing w:val="-3"/>
          <w:sz w:val="12"/>
        </w:rPr>
        <w:t> </w:t>
      </w:r>
      <w:r>
        <w:rPr>
          <w:rFonts w:ascii="Arial" w:hAnsi="Arial"/>
          <w:i/>
          <w:color w:val="231F20"/>
          <w:spacing w:val="-2"/>
          <w:w w:val="95"/>
          <w:sz w:val="12"/>
        </w:rPr>
        <w:t>Tout</w:t>
      </w:r>
      <w:r>
        <w:rPr>
          <w:rFonts w:ascii="Arial" w:hAnsi="Arial"/>
          <w:i/>
          <w:color w:val="231F20"/>
          <w:spacing w:val="-2"/>
          <w:sz w:val="12"/>
        </w:rPr>
        <w:t> </w:t>
      </w:r>
      <w:r>
        <w:rPr>
          <w:rFonts w:ascii="Arial" w:hAnsi="Arial"/>
          <w:i/>
          <w:color w:val="231F20"/>
          <w:spacing w:val="-2"/>
          <w:w w:val="95"/>
          <w:sz w:val="12"/>
        </w:rPr>
        <w:t>se</w:t>
      </w:r>
      <w:r>
        <w:rPr>
          <w:rFonts w:ascii="Arial" w:hAnsi="Arial"/>
          <w:i/>
          <w:color w:val="231F20"/>
          <w:spacing w:val="-3"/>
          <w:sz w:val="12"/>
        </w:rPr>
        <w:t> </w:t>
      </w:r>
      <w:r>
        <w:rPr>
          <w:rFonts w:ascii="Arial" w:hAnsi="Arial"/>
          <w:i/>
          <w:color w:val="231F20"/>
          <w:spacing w:val="-2"/>
          <w:w w:val="95"/>
          <w:sz w:val="12"/>
        </w:rPr>
        <w:t>joue</w:t>
      </w:r>
      <w:r>
        <w:rPr>
          <w:rFonts w:ascii="Arial" w:hAnsi="Arial"/>
          <w:i/>
          <w:color w:val="231F20"/>
          <w:spacing w:val="-2"/>
          <w:sz w:val="12"/>
        </w:rPr>
        <w:t> </w:t>
      </w:r>
      <w:r>
        <w:rPr>
          <w:rFonts w:ascii="Arial" w:hAnsi="Arial"/>
          <w:i/>
          <w:color w:val="231F20"/>
          <w:spacing w:val="-2"/>
          <w:w w:val="95"/>
          <w:sz w:val="12"/>
        </w:rPr>
        <w:t>avant</w:t>
      </w:r>
      <w:r>
        <w:rPr>
          <w:rFonts w:ascii="Arial" w:hAnsi="Arial"/>
          <w:i/>
          <w:color w:val="231F20"/>
          <w:spacing w:val="-3"/>
          <w:sz w:val="12"/>
        </w:rPr>
        <w:t> </w:t>
      </w:r>
      <w:r>
        <w:rPr>
          <w:rFonts w:ascii="Arial" w:hAnsi="Arial"/>
          <w:i/>
          <w:color w:val="231F20"/>
          <w:spacing w:val="-2"/>
          <w:w w:val="95"/>
          <w:sz w:val="12"/>
        </w:rPr>
        <w:t>6</w:t>
      </w:r>
      <w:r>
        <w:rPr>
          <w:rFonts w:ascii="Arial" w:hAnsi="Arial"/>
          <w:i/>
          <w:color w:val="231F20"/>
          <w:spacing w:val="-2"/>
          <w:sz w:val="12"/>
        </w:rPr>
        <w:t> </w:t>
      </w:r>
      <w:r>
        <w:rPr>
          <w:rFonts w:ascii="Arial" w:hAnsi="Arial"/>
          <w:i/>
          <w:color w:val="231F20"/>
          <w:spacing w:val="-2"/>
          <w:w w:val="95"/>
          <w:sz w:val="12"/>
        </w:rPr>
        <w:t>ans</w:t>
      </w:r>
      <w:r>
        <w:rPr>
          <w:rFonts w:ascii="Arial" w:hAnsi="Arial"/>
          <w:i/>
          <w:color w:val="231F20"/>
          <w:spacing w:val="-20"/>
          <w:w w:val="95"/>
          <w:sz w:val="12"/>
        </w:rPr>
        <w:t> </w:t>
      </w:r>
      <w:r>
        <w:rPr>
          <w:rFonts w:ascii="Arial" w:hAnsi="Arial"/>
          <w:i/>
          <w:color w:val="231F20"/>
          <w:spacing w:val="-2"/>
          <w:w w:val="95"/>
          <w:sz w:val="12"/>
        </w:rPr>
        <w:t>:</w:t>
      </w:r>
      <w:r>
        <w:rPr>
          <w:rFonts w:ascii="Arial" w:hAnsi="Arial"/>
          <w:i/>
          <w:color w:val="231F20"/>
          <w:spacing w:val="-3"/>
          <w:sz w:val="12"/>
        </w:rPr>
        <w:t> </w:t>
      </w:r>
      <w:r>
        <w:rPr>
          <w:rFonts w:ascii="Arial" w:hAnsi="Arial"/>
          <w:i/>
          <w:color w:val="231F20"/>
          <w:spacing w:val="-2"/>
          <w:w w:val="95"/>
          <w:sz w:val="12"/>
        </w:rPr>
        <w:t>les</w:t>
      </w:r>
      <w:r>
        <w:rPr>
          <w:rFonts w:ascii="Arial" w:hAnsi="Arial"/>
          <w:i/>
          <w:color w:val="231F20"/>
          <w:spacing w:val="-2"/>
          <w:sz w:val="12"/>
        </w:rPr>
        <w:t> </w:t>
      </w:r>
      <w:r>
        <w:rPr>
          <w:rFonts w:ascii="Arial" w:hAnsi="Arial"/>
          <w:i/>
          <w:color w:val="231F20"/>
          <w:spacing w:val="-2"/>
          <w:w w:val="95"/>
          <w:sz w:val="12"/>
        </w:rPr>
        <w:t>grandes</w:t>
      </w:r>
      <w:r>
        <w:rPr>
          <w:rFonts w:ascii="Arial" w:hAnsi="Arial"/>
          <w:i/>
          <w:color w:val="231F20"/>
          <w:spacing w:val="-3"/>
          <w:sz w:val="12"/>
        </w:rPr>
        <w:t> </w:t>
      </w:r>
      <w:r>
        <w:rPr>
          <w:rFonts w:ascii="Arial" w:hAnsi="Arial"/>
          <w:i/>
          <w:color w:val="231F20"/>
          <w:spacing w:val="-2"/>
          <w:w w:val="95"/>
          <w:sz w:val="12"/>
        </w:rPr>
        <w:t>étapes</w:t>
      </w:r>
      <w:r>
        <w:rPr>
          <w:rFonts w:ascii="Arial" w:hAnsi="Arial"/>
          <w:i/>
          <w:color w:val="231F20"/>
          <w:spacing w:val="-2"/>
          <w:sz w:val="12"/>
        </w:rPr>
        <w:t> </w:t>
      </w:r>
      <w:r>
        <w:rPr>
          <w:rFonts w:ascii="Arial" w:hAnsi="Arial"/>
          <w:i/>
          <w:color w:val="231F20"/>
          <w:spacing w:val="-2"/>
          <w:w w:val="95"/>
          <w:sz w:val="12"/>
        </w:rPr>
        <w:t>d’une</w:t>
      </w:r>
      <w:r>
        <w:rPr>
          <w:rFonts w:ascii="Arial" w:hAnsi="Arial"/>
          <w:i/>
          <w:color w:val="231F20"/>
          <w:spacing w:val="-2"/>
          <w:sz w:val="12"/>
        </w:rPr>
        <w:t> </w:t>
      </w:r>
      <w:r>
        <w:rPr>
          <w:rFonts w:ascii="Arial" w:hAnsi="Arial"/>
          <w:i/>
          <w:color w:val="231F20"/>
          <w:spacing w:val="-2"/>
          <w:w w:val="95"/>
          <w:sz w:val="12"/>
        </w:rPr>
        <w:t>éducation</w:t>
      </w:r>
      <w:r>
        <w:rPr>
          <w:rFonts w:ascii="Arial" w:hAnsi="Arial"/>
          <w:i/>
          <w:color w:val="231F20"/>
          <w:spacing w:val="-3"/>
          <w:sz w:val="12"/>
        </w:rPr>
        <w:t> </w:t>
      </w:r>
      <w:r>
        <w:rPr>
          <w:rFonts w:ascii="Arial" w:hAnsi="Arial"/>
          <w:i/>
          <w:color w:val="231F20"/>
          <w:spacing w:val="-2"/>
          <w:w w:val="95"/>
          <w:sz w:val="12"/>
        </w:rPr>
        <w:t>réussie</w:t>
      </w:r>
      <w:r>
        <w:rPr>
          <w:rFonts w:ascii="Arial" w:hAnsi="Arial"/>
          <w:color w:val="231F20"/>
          <w:spacing w:val="-2"/>
          <w:w w:val="95"/>
          <w:sz w:val="12"/>
        </w:rPr>
        <w:t>,</w:t>
      </w:r>
      <w:r>
        <w:rPr>
          <w:rFonts w:ascii="Arial" w:hAnsi="Arial"/>
          <w:color w:val="231F20"/>
          <w:spacing w:val="-2"/>
          <w:sz w:val="12"/>
        </w:rPr>
        <w:t> </w:t>
      </w:r>
      <w:r>
        <w:rPr>
          <w:rFonts w:ascii="Arial" w:hAnsi="Arial"/>
          <w:color w:val="231F20"/>
          <w:spacing w:val="-2"/>
          <w:w w:val="95"/>
          <w:sz w:val="12"/>
        </w:rPr>
        <w:t>Paris,</w:t>
      </w:r>
      <w:r>
        <w:rPr>
          <w:rFonts w:ascii="Arial" w:hAnsi="Arial"/>
          <w:color w:val="231F20"/>
          <w:spacing w:val="-3"/>
          <w:sz w:val="12"/>
        </w:rPr>
        <w:t> </w:t>
      </w:r>
      <w:r>
        <w:rPr>
          <w:rFonts w:ascii="Arial" w:hAnsi="Arial"/>
          <w:color w:val="231F20"/>
          <w:spacing w:val="-2"/>
          <w:w w:val="95"/>
          <w:sz w:val="12"/>
        </w:rPr>
        <w:t>Éditions</w:t>
      </w:r>
      <w:r>
        <w:rPr>
          <w:rFonts w:ascii="Arial" w:hAnsi="Arial"/>
          <w:color w:val="231F20"/>
          <w:spacing w:val="-2"/>
          <w:sz w:val="12"/>
        </w:rPr>
        <w:t> </w:t>
      </w:r>
      <w:r>
        <w:rPr>
          <w:rFonts w:ascii="Arial" w:hAnsi="Arial"/>
          <w:color w:val="231F20"/>
          <w:spacing w:val="-2"/>
          <w:w w:val="95"/>
          <w:sz w:val="12"/>
        </w:rPr>
        <w:t>Marabout.</w:t>
      </w:r>
    </w:p>
    <w:p>
      <w:pPr>
        <w:spacing w:after="0" w:line="240" w:lineRule="auto"/>
        <w:jc w:val="left"/>
        <w:rPr>
          <w:rFonts w:ascii="Arial" w:hAnsi="Arial"/>
          <w:sz w:val="12"/>
        </w:rPr>
        <w:sectPr>
          <w:type w:val="continuous"/>
          <w:pgSz w:w="8640" w:h="12960"/>
          <w:pgMar w:header="0" w:footer="424" w:top="1220" w:bottom="280" w:left="420" w:right="1140"/>
        </w:sectPr>
      </w:pPr>
    </w:p>
    <w:p>
      <w:pPr>
        <w:spacing w:before="118"/>
        <w:ind w:left="1940" w:right="0" w:firstLine="0"/>
        <w:jc w:val="left"/>
        <w:rPr>
          <w:rFonts w:ascii="Arial" w:hAnsi="Arial"/>
          <w:sz w:val="14"/>
        </w:rPr>
      </w:pPr>
      <w:bookmarkStart w:name=" 4.4.2 / Conséquences d’une faible estim" w:id="141"/>
      <w:bookmarkEnd w:id="141"/>
      <w:r>
        <w:rPr/>
      </w:r>
      <w:bookmarkStart w:name="_bookmark61" w:id="142"/>
      <w:bookmarkEnd w:id="142"/>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color w:val="231F20"/>
          <w:w w:val="115"/>
        </w:rPr>
        <w:t>de succès et de réussites qu’on s’offre22. Il est donc possible, dans une certaine mesure, de remodeler notre estime de soi en fonction de nos relations personnelles ou professionnelles23, mais aussi en </w:t>
      </w:r>
      <w:r>
        <w:rPr>
          <w:color w:val="231F20"/>
          <w:w w:val="115"/>
        </w:rPr>
        <w:t>redéfinissant nos attentes, nos valeurs, nos objectifs. Une vision réaliste de nos possi- bilités permettra de cumuler plus de succès que d’échecs et d’alimenter ainsi une meilleure estime de nous-même.</w:t>
      </w:r>
    </w:p>
    <w:p>
      <w:pPr>
        <w:pStyle w:val="BodyText"/>
        <w:spacing w:before="9"/>
        <w:rPr>
          <w:sz w:val="26"/>
        </w:rPr>
      </w:pPr>
    </w:p>
    <w:p>
      <w:pPr>
        <w:pStyle w:val="Heading4"/>
        <w:numPr>
          <w:ilvl w:val="2"/>
          <w:numId w:val="66"/>
        </w:numPr>
        <w:tabs>
          <w:tab w:pos="919" w:val="left" w:leader="none"/>
          <w:tab w:pos="1219" w:val="left" w:leader="none"/>
        </w:tabs>
        <w:spacing w:line="240" w:lineRule="auto" w:before="1" w:after="0"/>
        <w:ind w:left="918" w:right="0" w:hanging="417"/>
        <w:jc w:val="left"/>
      </w:pPr>
      <w:r>
        <w:rPr>
          <w:b w:val="0"/>
          <w:i/>
          <w:color w:val="231F20"/>
          <w:spacing w:val="-10"/>
        </w:rPr>
        <w:t>/</w:t>
      </w:r>
      <w:r>
        <w:rPr>
          <w:b w:val="0"/>
          <w:i/>
          <w:color w:val="231F20"/>
        </w:rPr>
        <w:tab/>
      </w:r>
      <w:r>
        <w:rPr>
          <w:color w:val="231F20"/>
          <w:w w:val="90"/>
        </w:rPr>
        <w:t>Conséquences</w:t>
      </w:r>
      <w:r>
        <w:rPr>
          <w:color w:val="231F20"/>
          <w:spacing w:val="11"/>
        </w:rPr>
        <w:t> </w:t>
      </w:r>
      <w:r>
        <w:rPr>
          <w:color w:val="231F20"/>
          <w:w w:val="90"/>
        </w:rPr>
        <w:t>d’une</w:t>
      </w:r>
      <w:r>
        <w:rPr>
          <w:color w:val="231F20"/>
          <w:spacing w:val="12"/>
        </w:rPr>
        <w:t> </w:t>
      </w:r>
      <w:r>
        <w:rPr>
          <w:color w:val="231F20"/>
          <w:w w:val="90"/>
        </w:rPr>
        <w:t>faible</w:t>
      </w:r>
      <w:r>
        <w:rPr>
          <w:color w:val="231F20"/>
          <w:spacing w:val="12"/>
        </w:rPr>
        <w:t> </w:t>
      </w:r>
      <w:r>
        <w:rPr>
          <w:color w:val="231F20"/>
          <w:w w:val="90"/>
        </w:rPr>
        <w:t>estime</w:t>
      </w:r>
      <w:r>
        <w:rPr>
          <w:color w:val="231F20"/>
          <w:spacing w:val="12"/>
        </w:rPr>
        <w:t> </w:t>
      </w:r>
      <w:r>
        <w:rPr>
          <w:color w:val="231F20"/>
          <w:w w:val="90"/>
        </w:rPr>
        <w:t>de</w:t>
      </w:r>
      <w:r>
        <w:rPr>
          <w:color w:val="231F20"/>
          <w:spacing w:val="12"/>
        </w:rPr>
        <w:t> </w:t>
      </w:r>
      <w:r>
        <w:rPr>
          <w:color w:val="231F20"/>
          <w:spacing w:val="-5"/>
          <w:w w:val="90"/>
        </w:rPr>
        <w:t>soi</w:t>
      </w:r>
    </w:p>
    <w:p>
      <w:pPr>
        <w:pStyle w:val="BodyText"/>
        <w:spacing w:line="307" w:lineRule="auto" w:before="233"/>
        <w:ind w:left="1220" w:right="103"/>
        <w:jc w:val="both"/>
      </w:pPr>
      <w:r>
        <w:rPr>
          <w:color w:val="231F20"/>
          <w:w w:val="120"/>
        </w:rPr>
        <w:t>Une</w:t>
      </w:r>
      <w:r>
        <w:rPr>
          <w:color w:val="231F20"/>
          <w:spacing w:val="-11"/>
          <w:w w:val="120"/>
        </w:rPr>
        <w:t> </w:t>
      </w:r>
      <w:r>
        <w:rPr>
          <w:color w:val="231F20"/>
          <w:w w:val="120"/>
        </w:rPr>
        <w:t>faible</w:t>
      </w:r>
      <w:r>
        <w:rPr>
          <w:color w:val="231F20"/>
          <w:spacing w:val="-11"/>
          <w:w w:val="120"/>
        </w:rPr>
        <w:t> </w:t>
      </w:r>
      <w:r>
        <w:rPr>
          <w:color w:val="231F20"/>
          <w:w w:val="120"/>
        </w:rPr>
        <w:t>estime</w:t>
      </w:r>
      <w:r>
        <w:rPr>
          <w:color w:val="231F20"/>
          <w:spacing w:val="-11"/>
          <w:w w:val="120"/>
        </w:rPr>
        <w:t>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entraîne</w:t>
      </w:r>
      <w:r>
        <w:rPr>
          <w:color w:val="231F20"/>
          <w:spacing w:val="-11"/>
          <w:w w:val="120"/>
        </w:rPr>
        <w:t> </w:t>
      </w:r>
      <w:r>
        <w:rPr>
          <w:color w:val="231F20"/>
          <w:w w:val="120"/>
        </w:rPr>
        <w:t>des</w:t>
      </w:r>
      <w:r>
        <w:rPr>
          <w:color w:val="231F20"/>
          <w:spacing w:val="-11"/>
          <w:w w:val="120"/>
        </w:rPr>
        <w:t> </w:t>
      </w:r>
      <w:r>
        <w:rPr>
          <w:color w:val="231F20"/>
          <w:w w:val="120"/>
        </w:rPr>
        <w:t>répercussions</w:t>
      </w:r>
      <w:r>
        <w:rPr>
          <w:color w:val="231F20"/>
          <w:spacing w:val="-11"/>
          <w:w w:val="120"/>
        </w:rPr>
        <w:t> </w:t>
      </w:r>
      <w:r>
        <w:rPr>
          <w:color w:val="231F20"/>
          <w:w w:val="120"/>
        </w:rPr>
        <w:t>très</w:t>
      </w:r>
      <w:r>
        <w:rPr>
          <w:color w:val="231F20"/>
          <w:spacing w:val="-11"/>
          <w:w w:val="120"/>
        </w:rPr>
        <w:t> </w:t>
      </w:r>
      <w:r>
        <w:rPr>
          <w:color w:val="231F20"/>
          <w:w w:val="120"/>
        </w:rPr>
        <w:t>importantes</w:t>
      </w:r>
      <w:r>
        <w:rPr>
          <w:color w:val="231F20"/>
          <w:spacing w:val="-11"/>
          <w:w w:val="120"/>
        </w:rPr>
        <w:t> </w:t>
      </w:r>
      <w:r>
        <w:rPr>
          <w:color w:val="231F20"/>
          <w:w w:val="120"/>
        </w:rPr>
        <w:t>sur l’équilibre et la santé psychologique d’une personne. Sans estime, il devient</w:t>
      </w:r>
      <w:r>
        <w:rPr>
          <w:color w:val="231F20"/>
          <w:spacing w:val="-4"/>
          <w:w w:val="120"/>
        </w:rPr>
        <w:t> </w:t>
      </w:r>
      <w:r>
        <w:rPr>
          <w:color w:val="231F20"/>
          <w:w w:val="120"/>
        </w:rPr>
        <w:t>impossible</w:t>
      </w:r>
      <w:r>
        <w:rPr>
          <w:color w:val="231F20"/>
          <w:spacing w:val="-4"/>
          <w:w w:val="120"/>
        </w:rPr>
        <w:t> </w:t>
      </w:r>
      <w:r>
        <w:rPr>
          <w:color w:val="231F20"/>
          <w:w w:val="120"/>
        </w:rPr>
        <w:t>de</w:t>
      </w:r>
      <w:r>
        <w:rPr>
          <w:color w:val="231F20"/>
          <w:spacing w:val="-4"/>
          <w:w w:val="120"/>
        </w:rPr>
        <w:t> </w:t>
      </w:r>
      <w:r>
        <w:rPr>
          <w:color w:val="231F20"/>
          <w:w w:val="120"/>
        </w:rPr>
        <w:t>trouver</w:t>
      </w:r>
      <w:r>
        <w:rPr>
          <w:color w:val="231F20"/>
          <w:spacing w:val="-4"/>
          <w:w w:val="120"/>
        </w:rPr>
        <w:t> </w:t>
      </w:r>
      <w:r>
        <w:rPr>
          <w:color w:val="231F20"/>
          <w:w w:val="120"/>
        </w:rPr>
        <w:t>la</w:t>
      </w:r>
      <w:r>
        <w:rPr>
          <w:color w:val="231F20"/>
          <w:spacing w:val="-4"/>
          <w:w w:val="120"/>
        </w:rPr>
        <w:t> </w:t>
      </w:r>
      <w:r>
        <w:rPr>
          <w:color w:val="231F20"/>
          <w:w w:val="120"/>
        </w:rPr>
        <w:t>place</w:t>
      </w:r>
      <w:r>
        <w:rPr>
          <w:color w:val="231F20"/>
          <w:spacing w:val="-4"/>
          <w:w w:val="120"/>
        </w:rPr>
        <w:t> </w:t>
      </w:r>
      <w:r>
        <w:rPr>
          <w:color w:val="231F20"/>
          <w:w w:val="120"/>
        </w:rPr>
        <w:t>qui</w:t>
      </w:r>
      <w:r>
        <w:rPr>
          <w:color w:val="231F20"/>
          <w:spacing w:val="-4"/>
          <w:w w:val="120"/>
        </w:rPr>
        <w:t> </w:t>
      </w:r>
      <w:r>
        <w:rPr>
          <w:color w:val="231F20"/>
          <w:w w:val="120"/>
        </w:rPr>
        <w:t>nous</w:t>
      </w:r>
      <w:r>
        <w:rPr>
          <w:color w:val="231F20"/>
          <w:spacing w:val="-4"/>
          <w:w w:val="120"/>
        </w:rPr>
        <w:t> </w:t>
      </w:r>
      <w:r>
        <w:rPr>
          <w:color w:val="231F20"/>
          <w:w w:val="120"/>
        </w:rPr>
        <w:t>revient</w:t>
      </w:r>
      <w:r>
        <w:rPr>
          <w:color w:val="231F20"/>
          <w:spacing w:val="-4"/>
          <w:w w:val="120"/>
        </w:rPr>
        <w:t> </w:t>
      </w:r>
      <w:r>
        <w:rPr>
          <w:color w:val="231F20"/>
          <w:w w:val="120"/>
        </w:rPr>
        <w:t>dans</w:t>
      </w:r>
      <w:r>
        <w:rPr>
          <w:color w:val="231F20"/>
          <w:spacing w:val="-4"/>
          <w:w w:val="120"/>
        </w:rPr>
        <w:t> </w:t>
      </w:r>
      <w:r>
        <w:rPr>
          <w:color w:val="231F20"/>
          <w:w w:val="120"/>
        </w:rPr>
        <w:t>la</w:t>
      </w:r>
      <w:r>
        <w:rPr>
          <w:color w:val="231F20"/>
          <w:spacing w:val="-4"/>
          <w:w w:val="120"/>
        </w:rPr>
        <w:t> </w:t>
      </w:r>
      <w:r>
        <w:rPr>
          <w:color w:val="231F20"/>
          <w:w w:val="120"/>
        </w:rPr>
        <w:t>société, dans</w:t>
      </w:r>
      <w:r>
        <w:rPr>
          <w:color w:val="231F20"/>
          <w:spacing w:val="-13"/>
          <w:w w:val="120"/>
        </w:rPr>
        <w:t> </w:t>
      </w:r>
      <w:r>
        <w:rPr>
          <w:color w:val="231F20"/>
          <w:w w:val="120"/>
        </w:rPr>
        <w:t>la</w:t>
      </w:r>
      <w:r>
        <w:rPr>
          <w:color w:val="231F20"/>
          <w:spacing w:val="-13"/>
          <w:w w:val="120"/>
        </w:rPr>
        <w:t> </w:t>
      </w:r>
      <w:r>
        <w:rPr>
          <w:color w:val="231F20"/>
          <w:w w:val="120"/>
        </w:rPr>
        <w:t>famille,</w:t>
      </w:r>
      <w:r>
        <w:rPr>
          <w:color w:val="231F20"/>
          <w:spacing w:val="-13"/>
          <w:w w:val="120"/>
        </w:rPr>
        <w:t> </w:t>
      </w:r>
      <w:r>
        <w:rPr>
          <w:color w:val="231F20"/>
          <w:w w:val="120"/>
        </w:rPr>
        <w:t>dans</w:t>
      </w:r>
      <w:r>
        <w:rPr>
          <w:color w:val="231F20"/>
          <w:spacing w:val="-12"/>
          <w:w w:val="120"/>
        </w:rPr>
        <w:t> </w:t>
      </w:r>
      <w:r>
        <w:rPr>
          <w:color w:val="231F20"/>
          <w:w w:val="120"/>
        </w:rPr>
        <w:t>l’organisation.</w:t>
      </w:r>
      <w:r>
        <w:rPr>
          <w:color w:val="231F20"/>
          <w:spacing w:val="-13"/>
          <w:w w:val="120"/>
        </w:rPr>
        <w:t> </w:t>
      </w:r>
      <w:r>
        <w:rPr>
          <w:color w:val="231F20"/>
          <w:w w:val="120"/>
        </w:rPr>
        <w:t>C’est</w:t>
      </w:r>
      <w:r>
        <w:rPr>
          <w:color w:val="231F20"/>
          <w:spacing w:val="-13"/>
          <w:w w:val="120"/>
        </w:rPr>
        <w:t> </w:t>
      </w:r>
      <w:r>
        <w:rPr>
          <w:color w:val="231F20"/>
          <w:w w:val="120"/>
        </w:rPr>
        <w:t>tout</w:t>
      </w:r>
      <w:r>
        <w:rPr>
          <w:color w:val="231F20"/>
          <w:spacing w:val="-13"/>
          <w:w w:val="120"/>
        </w:rPr>
        <w:t> </w:t>
      </w:r>
      <w:r>
        <w:rPr>
          <w:color w:val="231F20"/>
          <w:w w:val="120"/>
        </w:rPr>
        <w:t>l’appareil</w:t>
      </w:r>
      <w:r>
        <w:rPr>
          <w:color w:val="231F20"/>
          <w:spacing w:val="-12"/>
          <w:w w:val="120"/>
        </w:rPr>
        <w:t> </w:t>
      </w:r>
      <w:r>
        <w:rPr>
          <w:color w:val="231F20"/>
          <w:w w:val="120"/>
        </w:rPr>
        <w:t>psychologique de la personne qui sera touché par une faible estime de soi. L’enjeu</w:t>
      </w:r>
      <w:r>
        <w:rPr>
          <w:color w:val="231F20"/>
          <w:spacing w:val="40"/>
          <w:w w:val="120"/>
        </w:rPr>
        <w:t> </w:t>
      </w:r>
      <w:r>
        <w:rPr>
          <w:color w:val="231F20"/>
          <w:w w:val="120"/>
        </w:rPr>
        <w:t>est majeur. Insatisfaction, désengagement, dévalorisation, problèmes relationnels, troubles alimentaires, comportements autodestructeurs, dépendance et ultimement, dépression24.</w:t>
      </w:r>
    </w:p>
    <w:p>
      <w:pPr>
        <w:pStyle w:val="BodyText"/>
        <w:spacing w:line="307" w:lineRule="auto" w:before="79"/>
        <w:ind w:left="1220" w:right="100" w:firstLine="250"/>
        <w:jc w:val="both"/>
      </w:pPr>
      <w:r>
        <w:rPr>
          <w:color w:val="231F20"/>
          <w:w w:val="120"/>
        </w:rPr>
        <w:t>Il</w:t>
      </w:r>
      <w:r>
        <w:rPr>
          <w:color w:val="231F20"/>
          <w:spacing w:val="-12"/>
          <w:w w:val="120"/>
        </w:rPr>
        <w:t> </w:t>
      </w:r>
      <w:r>
        <w:rPr>
          <w:color w:val="231F20"/>
          <w:w w:val="120"/>
        </w:rPr>
        <w:t>importe</w:t>
      </w:r>
      <w:r>
        <w:rPr>
          <w:color w:val="231F20"/>
          <w:spacing w:val="-12"/>
          <w:w w:val="120"/>
        </w:rPr>
        <w:t> </w:t>
      </w:r>
      <w:r>
        <w:rPr>
          <w:color w:val="231F20"/>
          <w:w w:val="120"/>
        </w:rPr>
        <w:t>cependant</w:t>
      </w:r>
      <w:r>
        <w:rPr>
          <w:color w:val="231F20"/>
          <w:spacing w:val="-12"/>
          <w:w w:val="120"/>
        </w:rPr>
        <w:t> </w:t>
      </w:r>
      <w:r>
        <w:rPr>
          <w:color w:val="231F20"/>
          <w:w w:val="120"/>
        </w:rPr>
        <w:t>de</w:t>
      </w:r>
      <w:r>
        <w:rPr>
          <w:color w:val="231F20"/>
          <w:spacing w:val="-12"/>
          <w:w w:val="120"/>
        </w:rPr>
        <w:t> </w:t>
      </w:r>
      <w:r>
        <w:rPr>
          <w:color w:val="231F20"/>
          <w:w w:val="120"/>
        </w:rPr>
        <w:t>faire</w:t>
      </w:r>
      <w:r>
        <w:rPr>
          <w:color w:val="231F20"/>
          <w:spacing w:val="-12"/>
          <w:w w:val="120"/>
        </w:rPr>
        <w:t> </w:t>
      </w:r>
      <w:r>
        <w:rPr>
          <w:color w:val="231F20"/>
          <w:w w:val="120"/>
        </w:rPr>
        <w:t>une</w:t>
      </w:r>
      <w:r>
        <w:rPr>
          <w:color w:val="231F20"/>
          <w:spacing w:val="-12"/>
          <w:w w:val="120"/>
        </w:rPr>
        <w:t> </w:t>
      </w:r>
      <w:r>
        <w:rPr>
          <w:color w:val="231F20"/>
          <w:w w:val="120"/>
        </w:rPr>
        <w:t>distinction</w:t>
      </w:r>
      <w:r>
        <w:rPr>
          <w:color w:val="231F20"/>
          <w:spacing w:val="-12"/>
          <w:w w:val="120"/>
        </w:rPr>
        <w:t> </w:t>
      </w:r>
      <w:r>
        <w:rPr>
          <w:color w:val="231F20"/>
          <w:w w:val="120"/>
        </w:rPr>
        <w:t>entre</w:t>
      </w:r>
      <w:r>
        <w:rPr>
          <w:color w:val="231F20"/>
          <w:spacing w:val="-12"/>
          <w:w w:val="120"/>
        </w:rPr>
        <w:t> </w:t>
      </w:r>
      <w:r>
        <w:rPr>
          <w:color w:val="231F20"/>
          <w:w w:val="120"/>
        </w:rPr>
        <w:t>une</w:t>
      </w:r>
      <w:r>
        <w:rPr>
          <w:color w:val="231F20"/>
          <w:spacing w:val="-12"/>
          <w:w w:val="120"/>
        </w:rPr>
        <w:t> </w:t>
      </w:r>
      <w:r>
        <w:rPr>
          <w:color w:val="231F20"/>
          <w:w w:val="120"/>
        </w:rPr>
        <w:t>atteinte</w:t>
      </w:r>
      <w:r>
        <w:rPr>
          <w:color w:val="231F20"/>
          <w:spacing w:val="-12"/>
          <w:w w:val="120"/>
        </w:rPr>
        <w:t> </w:t>
      </w:r>
      <w:r>
        <w:rPr>
          <w:color w:val="231F20"/>
          <w:w w:val="120"/>
        </w:rPr>
        <w:t>ponc- </w:t>
      </w:r>
      <w:r>
        <w:rPr>
          <w:color w:val="231F20"/>
          <w:w w:val="115"/>
        </w:rPr>
        <w:t>tuelle</w:t>
      </w:r>
      <w:r>
        <w:rPr>
          <w:color w:val="231F20"/>
          <w:spacing w:val="-3"/>
          <w:w w:val="115"/>
        </w:rPr>
        <w:t> </w:t>
      </w:r>
      <w:r>
        <w:rPr>
          <w:color w:val="231F20"/>
          <w:w w:val="115"/>
        </w:rPr>
        <w:t>à</w:t>
      </w:r>
      <w:r>
        <w:rPr>
          <w:color w:val="231F20"/>
          <w:spacing w:val="-3"/>
          <w:w w:val="115"/>
        </w:rPr>
        <w:t> </w:t>
      </w:r>
      <w:r>
        <w:rPr>
          <w:color w:val="231F20"/>
          <w:w w:val="115"/>
        </w:rPr>
        <w:t>l’estime</w:t>
      </w:r>
      <w:r>
        <w:rPr>
          <w:color w:val="231F20"/>
          <w:spacing w:val="-3"/>
          <w:w w:val="115"/>
        </w:rPr>
        <w:t> </w:t>
      </w:r>
      <w:r>
        <w:rPr>
          <w:color w:val="231F20"/>
          <w:w w:val="115"/>
        </w:rPr>
        <w:t>de</w:t>
      </w:r>
      <w:r>
        <w:rPr>
          <w:color w:val="231F20"/>
          <w:spacing w:val="-3"/>
          <w:w w:val="115"/>
        </w:rPr>
        <w:t> </w:t>
      </w:r>
      <w:r>
        <w:rPr>
          <w:color w:val="231F20"/>
          <w:w w:val="115"/>
        </w:rPr>
        <w:t>soi</w:t>
      </w:r>
      <w:r>
        <w:rPr>
          <w:color w:val="231F20"/>
          <w:spacing w:val="-3"/>
          <w:w w:val="115"/>
        </w:rPr>
        <w:t> </w:t>
      </w:r>
      <w:r>
        <w:rPr>
          <w:color w:val="231F20"/>
          <w:w w:val="115"/>
        </w:rPr>
        <w:t>et</w:t>
      </w:r>
      <w:r>
        <w:rPr>
          <w:color w:val="231F20"/>
          <w:spacing w:val="-3"/>
          <w:w w:val="115"/>
        </w:rPr>
        <w:t> </w:t>
      </w:r>
      <w:r>
        <w:rPr>
          <w:color w:val="231F20"/>
          <w:w w:val="115"/>
        </w:rPr>
        <w:t>une</w:t>
      </w:r>
      <w:r>
        <w:rPr>
          <w:color w:val="231F20"/>
          <w:spacing w:val="-3"/>
          <w:w w:val="115"/>
        </w:rPr>
        <w:t> </w:t>
      </w:r>
      <w:r>
        <w:rPr>
          <w:color w:val="231F20"/>
          <w:w w:val="115"/>
        </w:rPr>
        <w:t>faible</w:t>
      </w:r>
      <w:r>
        <w:rPr>
          <w:color w:val="231F20"/>
          <w:spacing w:val="-3"/>
          <w:w w:val="115"/>
        </w:rPr>
        <w:t> </w:t>
      </w:r>
      <w:r>
        <w:rPr>
          <w:color w:val="231F20"/>
          <w:w w:val="115"/>
        </w:rPr>
        <w:t>estime</w:t>
      </w:r>
      <w:r>
        <w:rPr>
          <w:color w:val="231F20"/>
          <w:spacing w:val="-3"/>
          <w:w w:val="115"/>
        </w:rPr>
        <w:t> </w:t>
      </w:r>
      <w:r>
        <w:rPr>
          <w:color w:val="231F20"/>
          <w:w w:val="115"/>
        </w:rPr>
        <w:t>de</w:t>
      </w:r>
      <w:r>
        <w:rPr>
          <w:color w:val="231F20"/>
          <w:spacing w:val="-3"/>
          <w:w w:val="115"/>
        </w:rPr>
        <w:t> </w:t>
      </w:r>
      <w:r>
        <w:rPr>
          <w:color w:val="231F20"/>
          <w:w w:val="115"/>
        </w:rPr>
        <w:t>soi</w:t>
      </w:r>
      <w:r>
        <w:rPr>
          <w:color w:val="231F20"/>
          <w:spacing w:val="-3"/>
          <w:w w:val="115"/>
        </w:rPr>
        <w:t> </w:t>
      </w:r>
      <w:r>
        <w:rPr>
          <w:color w:val="231F20"/>
          <w:w w:val="115"/>
        </w:rPr>
        <w:t>chronique.</w:t>
      </w:r>
      <w:r>
        <w:rPr>
          <w:color w:val="231F20"/>
          <w:spacing w:val="-3"/>
          <w:w w:val="115"/>
        </w:rPr>
        <w:t> </w:t>
      </w:r>
      <w:r>
        <w:rPr>
          <w:color w:val="231F20"/>
          <w:w w:val="115"/>
        </w:rPr>
        <w:t>Un</w:t>
      </w:r>
      <w:r>
        <w:rPr>
          <w:color w:val="231F20"/>
          <w:spacing w:val="-3"/>
          <w:w w:val="115"/>
        </w:rPr>
        <w:t> </w:t>
      </w:r>
      <w:r>
        <w:rPr>
          <w:color w:val="231F20"/>
          <w:w w:val="115"/>
        </w:rPr>
        <w:t>échec</w:t>
      </w:r>
      <w:r>
        <w:rPr>
          <w:color w:val="231F20"/>
          <w:spacing w:val="-3"/>
          <w:w w:val="115"/>
        </w:rPr>
        <w:t> </w:t>
      </w:r>
      <w:r>
        <w:rPr>
          <w:color w:val="231F20"/>
          <w:w w:val="115"/>
        </w:rPr>
        <w:t>ou </w:t>
      </w:r>
      <w:r>
        <w:rPr>
          <w:color w:val="231F20"/>
          <w:spacing w:val="-2"/>
          <w:w w:val="120"/>
        </w:rPr>
        <w:t>un revers professionnel, selon son importance, déstabilisera temporaire- </w:t>
      </w:r>
      <w:r>
        <w:rPr>
          <w:color w:val="231F20"/>
          <w:w w:val="120"/>
        </w:rPr>
        <w:t>ment notre estime de soi. D’ailleurs, c’est ce qui nous amène à nous remettre en question et ultimement à nous améliorer afin qu’une telle situation ne se reproduise pas. L’effet sera de courte durée, quelques </w:t>
      </w:r>
      <w:r>
        <w:rPr>
          <w:color w:val="231F20"/>
          <w:w w:val="115"/>
        </w:rPr>
        <w:t>jours,</w:t>
      </w:r>
      <w:r>
        <w:rPr>
          <w:color w:val="231F20"/>
          <w:spacing w:val="-5"/>
          <w:w w:val="115"/>
        </w:rPr>
        <w:t> </w:t>
      </w:r>
      <w:r>
        <w:rPr>
          <w:color w:val="231F20"/>
          <w:w w:val="115"/>
        </w:rPr>
        <w:t>quelques</w:t>
      </w:r>
      <w:r>
        <w:rPr>
          <w:color w:val="231F20"/>
          <w:spacing w:val="-5"/>
          <w:w w:val="115"/>
        </w:rPr>
        <w:t> </w:t>
      </w:r>
      <w:r>
        <w:rPr>
          <w:color w:val="231F20"/>
          <w:w w:val="115"/>
        </w:rPr>
        <w:t>semaines,</w:t>
      </w:r>
      <w:r>
        <w:rPr>
          <w:color w:val="231F20"/>
          <w:spacing w:val="-5"/>
          <w:w w:val="115"/>
        </w:rPr>
        <w:t> </w:t>
      </w:r>
      <w:r>
        <w:rPr>
          <w:color w:val="231F20"/>
          <w:w w:val="115"/>
        </w:rPr>
        <w:t>et</w:t>
      </w:r>
      <w:r>
        <w:rPr>
          <w:color w:val="231F20"/>
          <w:spacing w:val="-5"/>
          <w:w w:val="115"/>
        </w:rPr>
        <w:t> </w:t>
      </w:r>
      <w:r>
        <w:rPr>
          <w:color w:val="231F20"/>
          <w:w w:val="115"/>
        </w:rPr>
        <w:t>la</w:t>
      </w:r>
      <w:r>
        <w:rPr>
          <w:color w:val="231F20"/>
          <w:spacing w:val="-5"/>
          <w:w w:val="115"/>
        </w:rPr>
        <w:t> </w:t>
      </w:r>
      <w:r>
        <w:rPr>
          <w:color w:val="231F20"/>
          <w:w w:val="115"/>
        </w:rPr>
        <w:t>valeur</w:t>
      </w:r>
      <w:r>
        <w:rPr>
          <w:color w:val="231F20"/>
          <w:spacing w:val="-5"/>
          <w:w w:val="115"/>
        </w:rPr>
        <w:t> </w:t>
      </w:r>
      <w:r>
        <w:rPr>
          <w:color w:val="231F20"/>
          <w:w w:val="115"/>
        </w:rPr>
        <w:t>qu’on</w:t>
      </w:r>
      <w:r>
        <w:rPr>
          <w:color w:val="231F20"/>
          <w:spacing w:val="-5"/>
          <w:w w:val="115"/>
        </w:rPr>
        <w:t> </w:t>
      </w:r>
      <w:r>
        <w:rPr>
          <w:color w:val="231F20"/>
          <w:w w:val="115"/>
        </w:rPr>
        <w:t>s’accorde</w:t>
      </w:r>
      <w:r>
        <w:rPr>
          <w:color w:val="231F20"/>
          <w:spacing w:val="-5"/>
          <w:w w:val="115"/>
        </w:rPr>
        <w:t> </w:t>
      </w:r>
      <w:r>
        <w:rPr>
          <w:color w:val="231F20"/>
          <w:w w:val="115"/>
        </w:rPr>
        <w:t>reprendra</w:t>
      </w:r>
      <w:r>
        <w:rPr>
          <w:color w:val="231F20"/>
          <w:spacing w:val="-5"/>
          <w:w w:val="115"/>
        </w:rPr>
        <w:t> </w:t>
      </w:r>
      <w:r>
        <w:rPr>
          <w:color w:val="231F20"/>
          <w:w w:val="115"/>
        </w:rPr>
        <w:t>habituel- </w:t>
      </w:r>
      <w:r>
        <w:rPr>
          <w:color w:val="231F20"/>
          <w:w w:val="120"/>
        </w:rPr>
        <w:t>lement</w:t>
      </w:r>
      <w:r>
        <w:rPr>
          <w:color w:val="231F20"/>
          <w:spacing w:val="-1"/>
          <w:w w:val="120"/>
        </w:rPr>
        <w:t> </w:t>
      </w:r>
      <w:r>
        <w:rPr>
          <w:color w:val="231F20"/>
          <w:w w:val="120"/>
        </w:rPr>
        <w:t>le</w:t>
      </w:r>
      <w:r>
        <w:rPr>
          <w:color w:val="231F20"/>
          <w:spacing w:val="-1"/>
          <w:w w:val="120"/>
        </w:rPr>
        <w:t> </w:t>
      </w:r>
      <w:r>
        <w:rPr>
          <w:color w:val="231F20"/>
          <w:w w:val="120"/>
        </w:rPr>
        <w:t>dessus</w:t>
      </w:r>
      <w:r>
        <w:rPr>
          <w:color w:val="231F20"/>
          <w:spacing w:val="-1"/>
          <w:w w:val="120"/>
        </w:rPr>
        <w:t> </w:t>
      </w:r>
      <w:r>
        <w:rPr>
          <w:color w:val="231F20"/>
          <w:w w:val="120"/>
        </w:rPr>
        <w:t>en</w:t>
      </w:r>
      <w:r>
        <w:rPr>
          <w:color w:val="231F20"/>
          <w:spacing w:val="-1"/>
          <w:w w:val="120"/>
        </w:rPr>
        <w:t> </w:t>
      </w:r>
      <w:r>
        <w:rPr>
          <w:color w:val="231F20"/>
          <w:w w:val="120"/>
        </w:rPr>
        <w:t>considérant</w:t>
      </w:r>
      <w:r>
        <w:rPr>
          <w:color w:val="231F20"/>
          <w:spacing w:val="-1"/>
          <w:w w:val="120"/>
        </w:rPr>
        <w:t> </w:t>
      </w:r>
      <w:r>
        <w:rPr>
          <w:color w:val="231F20"/>
          <w:w w:val="120"/>
        </w:rPr>
        <w:t>que</w:t>
      </w:r>
      <w:r>
        <w:rPr>
          <w:color w:val="231F20"/>
          <w:spacing w:val="-1"/>
          <w:w w:val="120"/>
        </w:rPr>
        <w:t> </w:t>
      </w:r>
      <w:r>
        <w:rPr>
          <w:color w:val="231F20"/>
          <w:w w:val="120"/>
        </w:rPr>
        <w:t>l’échec</w:t>
      </w:r>
      <w:r>
        <w:rPr>
          <w:color w:val="231F20"/>
          <w:spacing w:val="-1"/>
          <w:w w:val="120"/>
        </w:rPr>
        <w:t> </w:t>
      </w:r>
      <w:r>
        <w:rPr>
          <w:color w:val="231F20"/>
          <w:w w:val="120"/>
        </w:rPr>
        <w:t>vécu</w:t>
      </w:r>
      <w:r>
        <w:rPr>
          <w:color w:val="231F20"/>
          <w:spacing w:val="-1"/>
          <w:w w:val="120"/>
        </w:rPr>
        <w:t> </w:t>
      </w:r>
      <w:r>
        <w:rPr>
          <w:color w:val="231F20"/>
          <w:w w:val="120"/>
        </w:rPr>
        <w:t>est</w:t>
      </w:r>
      <w:r>
        <w:rPr>
          <w:color w:val="231F20"/>
          <w:spacing w:val="-1"/>
          <w:w w:val="120"/>
        </w:rPr>
        <w:t> </w:t>
      </w:r>
      <w:r>
        <w:rPr>
          <w:color w:val="231F20"/>
          <w:w w:val="120"/>
        </w:rPr>
        <w:t>un</w:t>
      </w:r>
      <w:r>
        <w:rPr>
          <w:color w:val="231F20"/>
          <w:spacing w:val="-1"/>
          <w:w w:val="120"/>
        </w:rPr>
        <w:t> </w:t>
      </w:r>
      <w:r>
        <w:rPr>
          <w:color w:val="231F20"/>
          <w:w w:val="120"/>
        </w:rPr>
        <w:t>moment</w:t>
      </w:r>
      <w:r>
        <w:rPr>
          <w:color w:val="231F20"/>
          <w:spacing w:val="-1"/>
          <w:w w:val="120"/>
        </w:rPr>
        <w:t> </w:t>
      </w:r>
      <w:r>
        <w:rPr>
          <w:color w:val="231F20"/>
          <w:w w:val="120"/>
        </w:rPr>
        <w:t>d’ap- prentissage</w:t>
      </w:r>
      <w:r>
        <w:rPr>
          <w:color w:val="231F20"/>
          <w:spacing w:val="-8"/>
          <w:w w:val="120"/>
        </w:rPr>
        <w:t> </w:t>
      </w:r>
      <w:r>
        <w:rPr>
          <w:color w:val="231F20"/>
          <w:w w:val="120"/>
        </w:rPr>
        <w:t>permettant</w:t>
      </w:r>
      <w:r>
        <w:rPr>
          <w:color w:val="231F20"/>
          <w:spacing w:val="-8"/>
          <w:w w:val="120"/>
        </w:rPr>
        <w:t> </w:t>
      </w:r>
      <w:r>
        <w:rPr>
          <w:color w:val="231F20"/>
          <w:w w:val="120"/>
        </w:rPr>
        <w:t>de</w:t>
      </w:r>
      <w:r>
        <w:rPr>
          <w:color w:val="231F20"/>
          <w:spacing w:val="-8"/>
          <w:w w:val="120"/>
        </w:rPr>
        <w:t> </w:t>
      </w:r>
      <w:r>
        <w:rPr>
          <w:color w:val="231F20"/>
          <w:w w:val="120"/>
        </w:rPr>
        <w:t>forger</w:t>
      </w:r>
      <w:r>
        <w:rPr>
          <w:color w:val="231F20"/>
          <w:spacing w:val="-8"/>
          <w:w w:val="120"/>
        </w:rPr>
        <w:t> </w:t>
      </w:r>
      <w:r>
        <w:rPr>
          <w:color w:val="231F20"/>
          <w:w w:val="120"/>
        </w:rPr>
        <w:t>une</w:t>
      </w:r>
      <w:r>
        <w:rPr>
          <w:color w:val="231F20"/>
          <w:spacing w:val="-8"/>
          <w:w w:val="120"/>
        </w:rPr>
        <w:t> </w:t>
      </w:r>
      <w:r>
        <w:rPr>
          <w:color w:val="231F20"/>
          <w:w w:val="120"/>
        </w:rPr>
        <w:t>version</w:t>
      </w:r>
      <w:r>
        <w:rPr>
          <w:color w:val="231F20"/>
          <w:spacing w:val="-8"/>
          <w:w w:val="120"/>
        </w:rPr>
        <w:t> </w:t>
      </w:r>
      <w:r>
        <w:rPr>
          <w:color w:val="231F20"/>
          <w:w w:val="120"/>
        </w:rPr>
        <w:t>améliorée</w:t>
      </w:r>
      <w:r>
        <w:rPr>
          <w:color w:val="231F20"/>
          <w:spacing w:val="-8"/>
          <w:w w:val="120"/>
        </w:rPr>
        <w:t> </w:t>
      </w:r>
      <w:r>
        <w:rPr>
          <w:color w:val="231F20"/>
          <w:w w:val="120"/>
        </w:rPr>
        <w:t>de</w:t>
      </w:r>
      <w:r>
        <w:rPr>
          <w:color w:val="231F20"/>
          <w:spacing w:val="-8"/>
          <w:w w:val="120"/>
        </w:rPr>
        <w:t> </w:t>
      </w:r>
      <w:r>
        <w:rPr>
          <w:color w:val="231F20"/>
          <w:w w:val="120"/>
        </w:rPr>
        <w:t>nous-même. </w:t>
      </w:r>
      <w:r>
        <w:rPr>
          <w:color w:val="231F20"/>
          <w:spacing w:val="-2"/>
          <w:w w:val="120"/>
        </w:rPr>
        <w:t>Une</w:t>
      </w:r>
      <w:r>
        <w:rPr>
          <w:color w:val="231F20"/>
          <w:spacing w:val="-11"/>
          <w:w w:val="120"/>
        </w:rPr>
        <w:t> </w:t>
      </w:r>
      <w:r>
        <w:rPr>
          <w:color w:val="231F20"/>
          <w:spacing w:val="-2"/>
          <w:w w:val="120"/>
        </w:rPr>
        <w:t>atteinte</w:t>
      </w:r>
      <w:r>
        <w:rPr>
          <w:color w:val="231F20"/>
          <w:spacing w:val="-11"/>
          <w:w w:val="120"/>
        </w:rPr>
        <w:t> </w:t>
      </w:r>
      <w:r>
        <w:rPr>
          <w:color w:val="231F20"/>
          <w:spacing w:val="-2"/>
          <w:w w:val="120"/>
        </w:rPr>
        <w:t>chronique</w:t>
      </w:r>
      <w:r>
        <w:rPr>
          <w:color w:val="231F20"/>
          <w:spacing w:val="-10"/>
          <w:w w:val="120"/>
        </w:rPr>
        <w:t> </w:t>
      </w:r>
      <w:r>
        <w:rPr>
          <w:color w:val="231F20"/>
          <w:spacing w:val="-2"/>
          <w:w w:val="120"/>
        </w:rPr>
        <w:t>à</w:t>
      </w:r>
      <w:r>
        <w:rPr>
          <w:color w:val="231F20"/>
          <w:spacing w:val="-11"/>
          <w:w w:val="120"/>
        </w:rPr>
        <w:t> </w:t>
      </w:r>
      <w:r>
        <w:rPr>
          <w:color w:val="231F20"/>
          <w:spacing w:val="-2"/>
          <w:w w:val="120"/>
        </w:rPr>
        <w:t>l’estime</w:t>
      </w:r>
      <w:r>
        <w:rPr>
          <w:color w:val="231F20"/>
          <w:spacing w:val="-11"/>
          <w:w w:val="120"/>
        </w:rPr>
        <w:t> </w:t>
      </w:r>
      <w:r>
        <w:rPr>
          <w:color w:val="231F20"/>
          <w:spacing w:val="-2"/>
          <w:w w:val="120"/>
        </w:rPr>
        <w:t>de</w:t>
      </w:r>
      <w:r>
        <w:rPr>
          <w:color w:val="231F20"/>
          <w:spacing w:val="-10"/>
          <w:w w:val="120"/>
        </w:rPr>
        <w:t> </w:t>
      </w:r>
      <w:r>
        <w:rPr>
          <w:color w:val="231F20"/>
          <w:spacing w:val="-2"/>
          <w:w w:val="120"/>
        </w:rPr>
        <w:t>soi</w:t>
      </w:r>
      <w:r>
        <w:rPr>
          <w:color w:val="231F20"/>
          <w:spacing w:val="-11"/>
          <w:w w:val="120"/>
        </w:rPr>
        <w:t> </w:t>
      </w:r>
      <w:r>
        <w:rPr>
          <w:color w:val="231F20"/>
          <w:spacing w:val="-2"/>
          <w:w w:val="120"/>
        </w:rPr>
        <w:t>est</w:t>
      </w:r>
      <w:r>
        <w:rPr>
          <w:color w:val="231F20"/>
          <w:spacing w:val="-11"/>
          <w:w w:val="120"/>
        </w:rPr>
        <w:t> </w:t>
      </w:r>
      <w:r>
        <w:rPr>
          <w:color w:val="231F20"/>
          <w:spacing w:val="-2"/>
          <w:w w:val="120"/>
        </w:rPr>
        <w:t>d’un</w:t>
      </w:r>
      <w:r>
        <w:rPr>
          <w:color w:val="231F20"/>
          <w:spacing w:val="-10"/>
          <w:w w:val="120"/>
        </w:rPr>
        <w:t> </w:t>
      </w:r>
      <w:r>
        <w:rPr>
          <w:color w:val="231F20"/>
          <w:spacing w:val="-2"/>
          <w:w w:val="120"/>
        </w:rPr>
        <w:t>tout</w:t>
      </w:r>
      <w:r>
        <w:rPr>
          <w:color w:val="231F20"/>
          <w:spacing w:val="-11"/>
          <w:w w:val="120"/>
        </w:rPr>
        <w:t> </w:t>
      </w:r>
      <w:r>
        <w:rPr>
          <w:color w:val="231F20"/>
          <w:spacing w:val="-2"/>
          <w:w w:val="120"/>
        </w:rPr>
        <w:t>autre</w:t>
      </w:r>
      <w:r>
        <w:rPr>
          <w:color w:val="231F20"/>
          <w:spacing w:val="-11"/>
          <w:w w:val="120"/>
        </w:rPr>
        <w:t> </w:t>
      </w:r>
      <w:r>
        <w:rPr>
          <w:color w:val="231F20"/>
          <w:spacing w:val="-2"/>
          <w:w w:val="120"/>
        </w:rPr>
        <w:t>ordre.</w:t>
      </w:r>
      <w:r>
        <w:rPr>
          <w:color w:val="231F20"/>
          <w:spacing w:val="-10"/>
          <w:w w:val="120"/>
        </w:rPr>
        <w:t> </w:t>
      </w:r>
      <w:r>
        <w:rPr>
          <w:color w:val="231F20"/>
          <w:spacing w:val="-2"/>
          <w:w w:val="120"/>
        </w:rPr>
        <w:t>Il</w:t>
      </w:r>
      <w:r>
        <w:rPr>
          <w:color w:val="231F20"/>
          <w:spacing w:val="-11"/>
          <w:w w:val="120"/>
        </w:rPr>
        <w:t> </w:t>
      </w:r>
      <w:r>
        <w:rPr>
          <w:color w:val="231F20"/>
          <w:spacing w:val="-2"/>
          <w:w w:val="120"/>
        </w:rPr>
        <w:t>s’agit </w:t>
      </w:r>
      <w:r>
        <w:rPr>
          <w:color w:val="231F20"/>
          <w:w w:val="115"/>
        </w:rPr>
        <w:t>d’une pathologie psychologique qui nous insensibilise aux apports posi- </w:t>
      </w:r>
      <w:r>
        <w:rPr>
          <w:color w:val="231F20"/>
          <w:w w:val="120"/>
        </w:rPr>
        <w:t>tifs de la vie à notre estime de soi. Peu importe ce qui arrive, c’est le </w:t>
      </w:r>
      <w:r>
        <w:rPr>
          <w:color w:val="231F20"/>
          <w:w w:val="115"/>
        </w:rPr>
        <w:t>négatif</w:t>
      </w:r>
      <w:r>
        <w:rPr>
          <w:color w:val="231F20"/>
          <w:spacing w:val="-4"/>
          <w:w w:val="115"/>
        </w:rPr>
        <w:t> </w:t>
      </w:r>
      <w:r>
        <w:rPr>
          <w:color w:val="231F20"/>
          <w:w w:val="115"/>
        </w:rPr>
        <w:t>qui</w:t>
      </w:r>
      <w:r>
        <w:rPr>
          <w:color w:val="231F20"/>
          <w:spacing w:val="-4"/>
          <w:w w:val="115"/>
        </w:rPr>
        <w:t> </w:t>
      </w:r>
      <w:r>
        <w:rPr>
          <w:color w:val="231F20"/>
          <w:w w:val="115"/>
        </w:rPr>
        <w:t>prime.</w:t>
      </w:r>
      <w:r>
        <w:rPr>
          <w:color w:val="231F20"/>
          <w:spacing w:val="-4"/>
          <w:w w:val="115"/>
        </w:rPr>
        <w:t> </w:t>
      </w:r>
      <w:r>
        <w:rPr>
          <w:color w:val="231F20"/>
          <w:w w:val="115"/>
        </w:rPr>
        <w:t>Dans</w:t>
      </w:r>
      <w:r>
        <w:rPr>
          <w:color w:val="231F20"/>
          <w:spacing w:val="-4"/>
          <w:w w:val="115"/>
        </w:rPr>
        <w:t> </w:t>
      </w:r>
      <w:r>
        <w:rPr>
          <w:color w:val="231F20"/>
          <w:w w:val="115"/>
        </w:rPr>
        <w:t>un</w:t>
      </w:r>
      <w:r>
        <w:rPr>
          <w:color w:val="231F20"/>
          <w:spacing w:val="-4"/>
          <w:w w:val="115"/>
        </w:rPr>
        <w:t> </w:t>
      </w:r>
      <w:r>
        <w:rPr>
          <w:color w:val="231F20"/>
          <w:w w:val="115"/>
        </w:rPr>
        <w:t>tel</w:t>
      </w:r>
      <w:r>
        <w:rPr>
          <w:color w:val="231F20"/>
          <w:spacing w:val="-4"/>
          <w:w w:val="115"/>
        </w:rPr>
        <w:t> </w:t>
      </w:r>
      <w:r>
        <w:rPr>
          <w:color w:val="231F20"/>
          <w:w w:val="115"/>
        </w:rPr>
        <w:t>cas,</w:t>
      </w:r>
      <w:r>
        <w:rPr>
          <w:color w:val="231F20"/>
          <w:spacing w:val="-4"/>
          <w:w w:val="115"/>
        </w:rPr>
        <w:t> </w:t>
      </w:r>
      <w:r>
        <w:rPr>
          <w:color w:val="231F20"/>
          <w:w w:val="115"/>
        </w:rPr>
        <w:t>la</w:t>
      </w:r>
      <w:r>
        <w:rPr>
          <w:color w:val="231F20"/>
          <w:spacing w:val="-4"/>
          <w:w w:val="115"/>
        </w:rPr>
        <w:t> </w:t>
      </w:r>
      <w:r>
        <w:rPr>
          <w:color w:val="231F20"/>
          <w:w w:val="115"/>
        </w:rPr>
        <w:t>personne</w:t>
      </w:r>
      <w:r>
        <w:rPr>
          <w:color w:val="231F20"/>
          <w:spacing w:val="-4"/>
          <w:w w:val="115"/>
        </w:rPr>
        <w:t> </w:t>
      </w:r>
      <w:r>
        <w:rPr>
          <w:color w:val="231F20"/>
          <w:w w:val="115"/>
        </w:rPr>
        <w:t>se</w:t>
      </w:r>
      <w:r>
        <w:rPr>
          <w:color w:val="231F20"/>
          <w:spacing w:val="-4"/>
          <w:w w:val="115"/>
        </w:rPr>
        <w:t> </w:t>
      </w:r>
      <w:r>
        <w:rPr>
          <w:color w:val="231F20"/>
          <w:w w:val="115"/>
        </w:rPr>
        <w:t>fixera</w:t>
      </w:r>
      <w:r>
        <w:rPr>
          <w:color w:val="231F20"/>
          <w:spacing w:val="-4"/>
          <w:w w:val="115"/>
        </w:rPr>
        <w:t> </w:t>
      </w:r>
      <w:r>
        <w:rPr>
          <w:color w:val="231F20"/>
          <w:w w:val="115"/>
        </w:rPr>
        <w:t>des</w:t>
      </w:r>
      <w:r>
        <w:rPr>
          <w:color w:val="231F20"/>
          <w:spacing w:val="-4"/>
          <w:w w:val="115"/>
        </w:rPr>
        <w:t> </w:t>
      </w:r>
      <w:r>
        <w:rPr>
          <w:color w:val="231F20"/>
          <w:w w:val="115"/>
        </w:rPr>
        <w:t>attentes</w:t>
      </w:r>
      <w:r>
        <w:rPr>
          <w:color w:val="231F20"/>
          <w:spacing w:val="-4"/>
          <w:w w:val="115"/>
        </w:rPr>
        <w:t> </w:t>
      </w:r>
      <w:r>
        <w:rPr>
          <w:color w:val="231F20"/>
          <w:w w:val="115"/>
        </w:rPr>
        <w:t>irréa- </w:t>
      </w:r>
      <w:r>
        <w:rPr>
          <w:color w:val="231F20"/>
          <w:w w:val="120"/>
        </w:rPr>
        <w:t>listes</w:t>
      </w:r>
      <w:r>
        <w:rPr>
          <w:color w:val="231F20"/>
          <w:spacing w:val="-9"/>
          <w:w w:val="120"/>
        </w:rPr>
        <w:t> </w:t>
      </w:r>
      <w:r>
        <w:rPr>
          <w:color w:val="231F20"/>
          <w:w w:val="120"/>
        </w:rPr>
        <w:t>qui</w:t>
      </w:r>
      <w:r>
        <w:rPr>
          <w:color w:val="231F20"/>
          <w:spacing w:val="-9"/>
          <w:w w:val="120"/>
        </w:rPr>
        <w:t> </w:t>
      </w:r>
      <w:r>
        <w:rPr>
          <w:color w:val="231F20"/>
          <w:w w:val="120"/>
        </w:rPr>
        <w:t>l’entraîneront</w:t>
      </w:r>
      <w:r>
        <w:rPr>
          <w:color w:val="231F20"/>
          <w:spacing w:val="-9"/>
          <w:w w:val="120"/>
        </w:rPr>
        <w:t> </w:t>
      </w:r>
      <w:r>
        <w:rPr>
          <w:color w:val="231F20"/>
          <w:w w:val="120"/>
        </w:rPr>
        <w:t>dans</w:t>
      </w:r>
      <w:r>
        <w:rPr>
          <w:color w:val="231F20"/>
          <w:spacing w:val="-9"/>
          <w:w w:val="120"/>
        </w:rPr>
        <w:t> </w:t>
      </w:r>
      <w:r>
        <w:rPr>
          <w:color w:val="231F20"/>
          <w:w w:val="120"/>
        </w:rPr>
        <w:t>une</w:t>
      </w:r>
      <w:r>
        <w:rPr>
          <w:color w:val="231F20"/>
          <w:spacing w:val="-9"/>
          <w:w w:val="120"/>
        </w:rPr>
        <w:t> </w:t>
      </w:r>
      <w:r>
        <w:rPr>
          <w:color w:val="231F20"/>
          <w:w w:val="120"/>
        </w:rPr>
        <w:t>spirale</w:t>
      </w:r>
      <w:r>
        <w:rPr>
          <w:color w:val="231F20"/>
          <w:spacing w:val="-9"/>
          <w:w w:val="120"/>
        </w:rPr>
        <w:t> </w:t>
      </w:r>
      <w:r>
        <w:rPr>
          <w:color w:val="231F20"/>
          <w:w w:val="120"/>
        </w:rPr>
        <w:t>de</w:t>
      </w:r>
      <w:r>
        <w:rPr>
          <w:color w:val="231F20"/>
          <w:spacing w:val="-9"/>
          <w:w w:val="120"/>
        </w:rPr>
        <w:t> </w:t>
      </w:r>
      <w:r>
        <w:rPr>
          <w:color w:val="231F20"/>
          <w:w w:val="120"/>
        </w:rPr>
        <w:t>perfectionnisme</w:t>
      </w:r>
      <w:r>
        <w:rPr>
          <w:color w:val="231F20"/>
          <w:spacing w:val="-9"/>
          <w:w w:val="120"/>
        </w:rPr>
        <w:t> </w:t>
      </w:r>
      <w:r>
        <w:rPr>
          <w:color w:val="231F20"/>
          <w:w w:val="120"/>
        </w:rPr>
        <w:t>compulsif. L’aide</w:t>
      </w:r>
      <w:r>
        <w:rPr>
          <w:color w:val="231F20"/>
          <w:spacing w:val="-11"/>
          <w:w w:val="120"/>
        </w:rPr>
        <w:t> </w:t>
      </w:r>
      <w:r>
        <w:rPr>
          <w:color w:val="231F20"/>
          <w:w w:val="120"/>
        </w:rPr>
        <w:t>psychothérapeutique</w:t>
      </w:r>
      <w:r>
        <w:rPr>
          <w:color w:val="231F20"/>
          <w:spacing w:val="-11"/>
          <w:w w:val="120"/>
        </w:rPr>
        <w:t> </w:t>
      </w:r>
      <w:r>
        <w:rPr>
          <w:color w:val="231F20"/>
          <w:w w:val="120"/>
        </w:rPr>
        <w:t>sera</w:t>
      </w:r>
      <w:r>
        <w:rPr>
          <w:color w:val="231F20"/>
          <w:spacing w:val="-11"/>
          <w:w w:val="120"/>
        </w:rPr>
        <w:t> </w:t>
      </w:r>
      <w:r>
        <w:rPr>
          <w:color w:val="231F20"/>
          <w:w w:val="120"/>
        </w:rPr>
        <w:t>alors</w:t>
      </w:r>
      <w:r>
        <w:rPr>
          <w:color w:val="231F20"/>
          <w:spacing w:val="-11"/>
          <w:w w:val="120"/>
        </w:rPr>
        <w:t> </w:t>
      </w:r>
      <w:r>
        <w:rPr>
          <w:color w:val="231F20"/>
          <w:w w:val="120"/>
        </w:rPr>
        <w:t>souvent</w:t>
      </w:r>
      <w:r>
        <w:rPr>
          <w:color w:val="231F20"/>
          <w:spacing w:val="-11"/>
          <w:w w:val="120"/>
        </w:rPr>
        <w:t> </w:t>
      </w:r>
      <w:r>
        <w:rPr>
          <w:color w:val="231F20"/>
          <w:w w:val="120"/>
        </w:rPr>
        <w:t>nécessaire</w:t>
      </w:r>
      <w:r>
        <w:rPr>
          <w:color w:val="231F20"/>
          <w:spacing w:val="-11"/>
          <w:w w:val="120"/>
        </w:rPr>
        <w:t> </w:t>
      </w:r>
      <w:r>
        <w:rPr>
          <w:color w:val="231F20"/>
          <w:w w:val="120"/>
        </w:rPr>
        <w:t>afin</w:t>
      </w:r>
      <w:r>
        <w:rPr>
          <w:color w:val="231F20"/>
          <w:spacing w:val="-11"/>
          <w:w w:val="120"/>
        </w:rPr>
        <w:t> </w:t>
      </w:r>
      <w:r>
        <w:rPr>
          <w:color w:val="231F20"/>
          <w:w w:val="120"/>
        </w:rPr>
        <w:t>de</w:t>
      </w:r>
      <w:r>
        <w:rPr>
          <w:color w:val="231F20"/>
          <w:spacing w:val="-11"/>
          <w:w w:val="120"/>
        </w:rPr>
        <w:t> </w:t>
      </w:r>
      <w:r>
        <w:rPr>
          <w:color w:val="231F20"/>
          <w:w w:val="120"/>
        </w:rPr>
        <w:t>briser ce cercle vicieux de la dévalorisation.</w:t>
      </w:r>
    </w:p>
    <w:p>
      <w:pPr>
        <w:pStyle w:val="BodyText"/>
        <w:rPr>
          <w:sz w:val="20"/>
        </w:rPr>
      </w:pPr>
    </w:p>
    <w:p>
      <w:pPr>
        <w:pStyle w:val="BodyText"/>
        <w:spacing w:before="1"/>
        <w:rPr>
          <w:sz w:val="26"/>
        </w:rPr>
      </w:pPr>
      <w:r>
        <w:rPr/>
        <w:pict>
          <v:shape style="position:absolute;margin-left:82pt;margin-top:16.228613pt;width:287.5pt;height:.1pt;mso-position-horizontal-relative:page;mso-position-vertical-relative:paragraph;z-index:-15653376;mso-wrap-distance-left:0;mso-wrap-distance-right:0" id="docshape881" coordorigin="1640,325" coordsize="5750,0" path="m1640,325l7390,325e" filled="false" stroked="true" strokeweight=".25pt" strokecolor="#231f20">
            <v:path arrowok="t"/>
            <v:stroke dashstyle="shortdot"/>
            <w10:wrap type="topAndBottom"/>
          </v:shape>
        </w:pict>
      </w:r>
    </w:p>
    <w:p>
      <w:pPr>
        <w:pStyle w:val="ListParagraph"/>
        <w:numPr>
          <w:ilvl w:val="0"/>
          <w:numId w:val="65"/>
        </w:numPr>
        <w:tabs>
          <w:tab w:pos="1220" w:val="left" w:leader="none"/>
        </w:tabs>
        <w:spacing w:line="295" w:lineRule="auto" w:before="135" w:after="0"/>
        <w:ind w:left="1219" w:right="111" w:hanging="406"/>
        <w:jc w:val="both"/>
        <w:rPr>
          <w:rFonts w:ascii="Arial"/>
          <w:sz w:val="12"/>
        </w:rPr>
      </w:pPr>
      <w:r>
        <w:rPr>
          <w:rFonts w:ascii="Arial"/>
          <w:color w:val="231F20"/>
          <w:sz w:val="12"/>
        </w:rPr>
        <w:t>Abdel-Khalek, A. M. (2016). Introduction to the psychology of self-esteem. Dans F. Holloway (dir.), </w:t>
      </w:r>
      <w:r>
        <w:rPr>
          <w:rFonts w:ascii="Arial"/>
          <w:i/>
          <w:color w:val="231F20"/>
          <w:sz w:val="12"/>
        </w:rPr>
        <w:t>Self-</w:t>
      </w:r>
      <w:r>
        <w:rPr>
          <w:rFonts w:ascii="Arial"/>
          <w:i/>
          <w:color w:val="231F20"/>
          <w:spacing w:val="40"/>
          <w:sz w:val="12"/>
        </w:rPr>
        <w:t> </w:t>
      </w:r>
      <w:r>
        <w:rPr>
          <w:rFonts w:ascii="Arial"/>
          <w:i/>
          <w:color w:val="231F20"/>
          <w:sz w:val="12"/>
        </w:rPr>
        <w:t>Esteem:</w:t>
      </w:r>
      <w:r>
        <w:rPr>
          <w:rFonts w:ascii="Arial"/>
          <w:i/>
          <w:color w:val="231F20"/>
          <w:spacing w:val="-6"/>
          <w:sz w:val="12"/>
        </w:rPr>
        <w:t> </w:t>
      </w:r>
      <w:r>
        <w:rPr>
          <w:rFonts w:ascii="Arial"/>
          <w:i/>
          <w:color w:val="231F20"/>
          <w:sz w:val="12"/>
        </w:rPr>
        <w:t>Perspectives,</w:t>
      </w:r>
      <w:r>
        <w:rPr>
          <w:rFonts w:ascii="Arial"/>
          <w:i/>
          <w:color w:val="231F20"/>
          <w:spacing w:val="-6"/>
          <w:sz w:val="12"/>
        </w:rPr>
        <w:t> </w:t>
      </w:r>
      <w:r>
        <w:rPr>
          <w:rFonts w:ascii="Arial"/>
          <w:i/>
          <w:color w:val="231F20"/>
          <w:sz w:val="12"/>
        </w:rPr>
        <w:t>Influences</w:t>
      </w:r>
      <w:r>
        <w:rPr>
          <w:rFonts w:ascii="Arial"/>
          <w:i/>
          <w:color w:val="231F20"/>
          <w:spacing w:val="-6"/>
          <w:sz w:val="12"/>
        </w:rPr>
        <w:t> </w:t>
      </w:r>
      <w:r>
        <w:rPr>
          <w:rFonts w:ascii="Arial"/>
          <w:i/>
          <w:color w:val="231F20"/>
          <w:sz w:val="12"/>
        </w:rPr>
        <w:t>and</w:t>
      </w:r>
      <w:r>
        <w:rPr>
          <w:rFonts w:ascii="Arial"/>
          <w:i/>
          <w:color w:val="231F20"/>
          <w:spacing w:val="-6"/>
          <w:sz w:val="12"/>
        </w:rPr>
        <w:t> </w:t>
      </w:r>
      <w:r>
        <w:rPr>
          <w:rFonts w:ascii="Arial"/>
          <w:i/>
          <w:color w:val="231F20"/>
          <w:sz w:val="12"/>
        </w:rPr>
        <w:t>Improvement</w:t>
      </w:r>
      <w:r>
        <w:rPr>
          <w:rFonts w:ascii="Arial"/>
          <w:i/>
          <w:color w:val="231F20"/>
          <w:spacing w:val="-6"/>
          <w:sz w:val="12"/>
        </w:rPr>
        <w:t> </w:t>
      </w:r>
      <w:r>
        <w:rPr>
          <w:rFonts w:ascii="Arial"/>
          <w:i/>
          <w:color w:val="231F20"/>
          <w:sz w:val="12"/>
        </w:rPr>
        <w:t>Strategies</w:t>
      </w:r>
      <w:r>
        <w:rPr>
          <w:rFonts w:ascii="Arial"/>
          <w:color w:val="231F20"/>
          <w:sz w:val="12"/>
        </w:rPr>
        <w:t>,</w:t>
      </w:r>
      <w:r>
        <w:rPr>
          <w:rFonts w:ascii="Arial"/>
          <w:color w:val="231F20"/>
          <w:spacing w:val="-6"/>
          <w:sz w:val="12"/>
        </w:rPr>
        <w:t> </w:t>
      </w:r>
      <w:r>
        <w:rPr>
          <w:rFonts w:ascii="Arial"/>
          <w:color w:val="231F20"/>
          <w:sz w:val="12"/>
        </w:rPr>
        <w:t>London,</w:t>
      </w:r>
      <w:r>
        <w:rPr>
          <w:rFonts w:ascii="Arial"/>
          <w:color w:val="231F20"/>
          <w:spacing w:val="-6"/>
          <w:sz w:val="12"/>
        </w:rPr>
        <w:t> </w:t>
      </w:r>
      <w:r>
        <w:rPr>
          <w:rFonts w:ascii="Arial"/>
          <w:color w:val="231F20"/>
          <w:sz w:val="12"/>
        </w:rPr>
        <w:t>Nova</w:t>
      </w:r>
      <w:r>
        <w:rPr>
          <w:rFonts w:ascii="Arial"/>
          <w:color w:val="231F20"/>
          <w:spacing w:val="-6"/>
          <w:sz w:val="12"/>
        </w:rPr>
        <w:t> </w:t>
      </w:r>
      <w:r>
        <w:rPr>
          <w:rFonts w:ascii="Arial"/>
          <w:color w:val="231F20"/>
          <w:sz w:val="12"/>
        </w:rPr>
        <w:t>Science</w:t>
      </w:r>
      <w:r>
        <w:rPr>
          <w:rFonts w:ascii="Arial"/>
          <w:color w:val="231F20"/>
          <w:spacing w:val="-6"/>
          <w:sz w:val="12"/>
        </w:rPr>
        <w:t> </w:t>
      </w:r>
      <w:r>
        <w:rPr>
          <w:rFonts w:ascii="Arial"/>
          <w:color w:val="231F20"/>
          <w:sz w:val="12"/>
        </w:rPr>
        <w:t>Publishers.</w:t>
      </w:r>
    </w:p>
    <w:p>
      <w:pPr>
        <w:pStyle w:val="ListParagraph"/>
        <w:numPr>
          <w:ilvl w:val="0"/>
          <w:numId w:val="65"/>
        </w:numPr>
        <w:tabs>
          <w:tab w:pos="1220" w:val="left" w:leader="none"/>
        </w:tabs>
        <w:spacing w:line="295" w:lineRule="auto" w:before="0" w:after="0"/>
        <w:ind w:left="1219" w:right="110" w:hanging="406"/>
        <w:jc w:val="both"/>
        <w:rPr>
          <w:rFonts w:ascii="Arial" w:hAnsi="Arial"/>
          <w:sz w:val="12"/>
        </w:rPr>
      </w:pPr>
      <w:r>
        <w:rPr>
          <w:rFonts w:ascii="Arial" w:hAnsi="Arial"/>
          <w:color w:val="231F20"/>
          <w:sz w:val="12"/>
        </w:rPr>
        <w:t>Harris,</w:t>
      </w:r>
      <w:r>
        <w:rPr>
          <w:rFonts w:ascii="Arial" w:hAnsi="Arial"/>
          <w:color w:val="231F20"/>
          <w:spacing w:val="-6"/>
          <w:sz w:val="12"/>
        </w:rPr>
        <w:t> </w:t>
      </w:r>
      <w:r>
        <w:rPr>
          <w:rFonts w:ascii="Arial" w:hAnsi="Arial"/>
          <w:color w:val="231F20"/>
          <w:sz w:val="12"/>
        </w:rPr>
        <w:t>M. A. et Orth, U. (2019). The link between self-esteem and social relationships</w:t>
      </w:r>
      <w:r>
        <w:rPr>
          <w:rFonts w:ascii="Arial" w:hAnsi="Arial"/>
          <w:color w:val="231F20"/>
          <w:spacing w:val="-9"/>
          <w:sz w:val="12"/>
        </w:rPr>
        <w:t> </w:t>
      </w:r>
      <w:r>
        <w:rPr>
          <w:rFonts w:ascii="Arial" w:hAnsi="Arial"/>
          <w:color w:val="231F20"/>
          <w:sz w:val="12"/>
        </w:rPr>
        <w:t>: A meta-analysis of</w:t>
      </w:r>
      <w:r>
        <w:rPr>
          <w:rFonts w:ascii="Arial" w:hAnsi="Arial"/>
          <w:color w:val="231F20"/>
          <w:spacing w:val="40"/>
          <w:sz w:val="12"/>
        </w:rPr>
        <w:t> </w:t>
      </w:r>
      <w:r>
        <w:rPr>
          <w:rFonts w:ascii="Arial" w:hAnsi="Arial"/>
          <w:color w:val="231F20"/>
          <w:sz w:val="12"/>
        </w:rPr>
        <w:t>longitudinal</w:t>
      </w:r>
      <w:r>
        <w:rPr>
          <w:rFonts w:ascii="Arial" w:hAnsi="Arial"/>
          <w:color w:val="231F20"/>
          <w:spacing w:val="-9"/>
          <w:sz w:val="12"/>
        </w:rPr>
        <w:t> </w:t>
      </w:r>
      <w:r>
        <w:rPr>
          <w:rFonts w:ascii="Arial" w:hAnsi="Arial"/>
          <w:color w:val="231F20"/>
          <w:sz w:val="12"/>
        </w:rPr>
        <w:t>studies,</w:t>
      </w:r>
      <w:r>
        <w:rPr>
          <w:rFonts w:ascii="Arial" w:hAnsi="Arial"/>
          <w:color w:val="231F20"/>
          <w:spacing w:val="-8"/>
          <w:sz w:val="12"/>
        </w:rPr>
        <w:t> </w:t>
      </w:r>
      <w:r>
        <w:rPr>
          <w:rFonts w:ascii="Arial" w:hAnsi="Arial"/>
          <w:i/>
          <w:color w:val="231F20"/>
          <w:sz w:val="12"/>
        </w:rPr>
        <w:t>Journal</w:t>
      </w:r>
      <w:r>
        <w:rPr>
          <w:rFonts w:ascii="Arial" w:hAnsi="Arial"/>
          <w:i/>
          <w:color w:val="231F20"/>
          <w:spacing w:val="-8"/>
          <w:sz w:val="12"/>
        </w:rPr>
        <w:t> </w:t>
      </w:r>
      <w:r>
        <w:rPr>
          <w:rFonts w:ascii="Arial" w:hAnsi="Arial"/>
          <w:i/>
          <w:color w:val="231F20"/>
          <w:sz w:val="12"/>
        </w:rPr>
        <w:t>of</w:t>
      </w:r>
      <w:r>
        <w:rPr>
          <w:rFonts w:ascii="Arial" w:hAnsi="Arial"/>
          <w:i/>
          <w:color w:val="231F20"/>
          <w:spacing w:val="-9"/>
          <w:sz w:val="12"/>
        </w:rPr>
        <w:t> </w:t>
      </w:r>
      <w:r>
        <w:rPr>
          <w:rFonts w:ascii="Arial" w:hAnsi="Arial"/>
          <w:i/>
          <w:color w:val="231F20"/>
          <w:sz w:val="12"/>
        </w:rPr>
        <w:t>Personality</w:t>
      </w:r>
      <w:r>
        <w:rPr>
          <w:rFonts w:ascii="Arial" w:hAnsi="Arial"/>
          <w:i/>
          <w:color w:val="231F20"/>
          <w:spacing w:val="-8"/>
          <w:sz w:val="12"/>
        </w:rPr>
        <w:t> </w:t>
      </w:r>
      <w:r>
        <w:rPr>
          <w:rFonts w:ascii="Arial" w:hAnsi="Arial"/>
          <w:i/>
          <w:color w:val="231F20"/>
          <w:sz w:val="12"/>
        </w:rPr>
        <w:t>and</w:t>
      </w:r>
      <w:r>
        <w:rPr>
          <w:rFonts w:ascii="Arial" w:hAnsi="Arial"/>
          <w:i/>
          <w:color w:val="231F20"/>
          <w:spacing w:val="-8"/>
          <w:sz w:val="12"/>
        </w:rPr>
        <w:t> </w:t>
      </w:r>
      <w:r>
        <w:rPr>
          <w:rFonts w:ascii="Arial" w:hAnsi="Arial"/>
          <w:i/>
          <w:color w:val="231F20"/>
          <w:sz w:val="12"/>
        </w:rPr>
        <w:t>Social</w:t>
      </w:r>
      <w:r>
        <w:rPr>
          <w:rFonts w:ascii="Arial" w:hAnsi="Arial"/>
          <w:i/>
          <w:color w:val="231F20"/>
          <w:spacing w:val="-9"/>
          <w:sz w:val="12"/>
        </w:rPr>
        <w:t> </w:t>
      </w:r>
      <w:r>
        <w:rPr>
          <w:rFonts w:ascii="Arial" w:hAnsi="Arial"/>
          <w:i/>
          <w:color w:val="231F20"/>
          <w:sz w:val="12"/>
        </w:rPr>
        <w:t>Psychology</w:t>
      </w:r>
      <w:r>
        <w:rPr>
          <w:rFonts w:ascii="Arial" w:hAnsi="Arial"/>
          <w:color w:val="231F20"/>
          <w:sz w:val="12"/>
        </w:rPr>
        <w:t>,</w:t>
      </w:r>
      <w:r>
        <w:rPr>
          <w:rFonts w:ascii="Arial" w:hAnsi="Arial"/>
          <w:color w:val="231F20"/>
          <w:spacing w:val="-8"/>
          <w:sz w:val="12"/>
        </w:rPr>
        <w:t> </w:t>
      </w:r>
      <w:hyperlink r:id="rId248">
        <w:r>
          <w:rPr>
            <w:rFonts w:ascii="Arial" w:hAnsi="Arial"/>
            <w:color w:val="231F20"/>
            <w:sz w:val="12"/>
          </w:rPr>
          <w:t>&lt;http:/</w:t>
        </w:r>
      </w:hyperlink>
      <w:r>
        <w:rPr>
          <w:rFonts w:ascii="Arial" w:hAnsi="Arial"/>
          <w:color w:val="231F20"/>
          <w:sz w:val="12"/>
        </w:rPr>
        <w:t>/</w:t>
      </w:r>
      <w:hyperlink r:id="rId248">
        <w:r>
          <w:rPr>
            <w:rFonts w:ascii="Arial" w:hAnsi="Arial"/>
            <w:color w:val="231F20"/>
            <w:sz w:val="12"/>
          </w:rPr>
          <w:t>dx.doi.org/10.1037/pspp0000265&gt;,</w:t>
        </w:r>
      </w:hyperlink>
      <w:r>
        <w:rPr>
          <w:rFonts w:ascii="Arial" w:hAnsi="Arial"/>
          <w:color w:val="231F20"/>
          <w:spacing w:val="40"/>
          <w:w w:val="105"/>
          <w:sz w:val="12"/>
        </w:rPr>
        <w:t> </w:t>
      </w:r>
      <w:r>
        <w:rPr>
          <w:rFonts w:ascii="Arial" w:hAnsi="Arial"/>
          <w:color w:val="231F20"/>
          <w:w w:val="105"/>
          <w:sz w:val="12"/>
        </w:rPr>
        <w:t>consulté le 22 octobre 2021.</w:t>
      </w:r>
    </w:p>
    <w:p>
      <w:pPr>
        <w:pStyle w:val="ListParagraph"/>
        <w:numPr>
          <w:ilvl w:val="0"/>
          <w:numId w:val="65"/>
        </w:numPr>
        <w:tabs>
          <w:tab w:pos="1220" w:val="left" w:leader="none"/>
        </w:tabs>
        <w:spacing w:line="295" w:lineRule="auto" w:before="1" w:after="0"/>
        <w:ind w:left="1219" w:right="102" w:hanging="406"/>
        <w:jc w:val="both"/>
        <w:rPr>
          <w:rFonts w:ascii="Arial"/>
          <w:sz w:val="12"/>
        </w:rPr>
      </w:pPr>
      <w:r>
        <w:rPr>
          <w:rFonts w:ascii="Arial"/>
          <w:color w:val="231F20"/>
          <w:sz w:val="12"/>
        </w:rPr>
        <w:t>Galanakis, M., Palaiologou, A., Patsi, G., Velegraki, I.-M. et Darviri, C. (2016). Literature review on the</w:t>
      </w:r>
      <w:r>
        <w:rPr>
          <w:rFonts w:ascii="Arial"/>
          <w:color w:val="231F20"/>
          <w:spacing w:val="40"/>
          <w:sz w:val="12"/>
        </w:rPr>
        <w:t> </w:t>
      </w:r>
      <w:r>
        <w:rPr>
          <w:rFonts w:ascii="Arial"/>
          <w:color w:val="231F20"/>
          <w:sz w:val="12"/>
        </w:rPr>
        <w:t>connection between stress and self-esteem, </w:t>
      </w:r>
      <w:r>
        <w:rPr>
          <w:rFonts w:ascii="Arial"/>
          <w:i/>
          <w:color w:val="231F20"/>
          <w:sz w:val="12"/>
        </w:rPr>
        <w:t>Psychology</w:t>
      </w:r>
      <w:r>
        <w:rPr>
          <w:rFonts w:ascii="Arial"/>
          <w:color w:val="231F20"/>
          <w:sz w:val="12"/>
        </w:rPr>
        <w:t>, </w:t>
      </w:r>
      <w:r>
        <w:rPr>
          <w:rFonts w:ascii="Arial"/>
          <w:i/>
          <w:color w:val="231F20"/>
          <w:sz w:val="12"/>
        </w:rPr>
        <w:t>7</w:t>
      </w:r>
      <w:r>
        <w:rPr>
          <w:rFonts w:ascii="Arial"/>
          <w:color w:val="231F20"/>
          <w:sz w:val="12"/>
        </w:rPr>
        <w:t>, 687-694.</w:t>
      </w:r>
    </w:p>
    <w:p>
      <w:pPr>
        <w:spacing w:after="0" w:line="295" w:lineRule="auto"/>
        <w:jc w:val="both"/>
        <w:rPr>
          <w:rFonts w:ascii="Arial"/>
          <w:sz w:val="12"/>
        </w:rPr>
        <w:sectPr>
          <w:footerReference w:type="default" r:id="rId247"/>
          <w:pgSz w:w="8640" w:h="12960"/>
          <w:pgMar w:footer="424" w:header="0" w:top="500" w:bottom="620" w:left="420" w:right="1140"/>
        </w:sectPr>
      </w:pPr>
    </w:p>
    <w:p>
      <w:pPr>
        <w:spacing w:before="103"/>
        <w:ind w:left="1028" w:right="698" w:firstLine="0"/>
        <w:jc w:val="center"/>
        <w:rPr>
          <w:rFonts w:ascii="Arial" w:hAnsi="Arial"/>
          <w:sz w:val="14"/>
        </w:rPr>
      </w:pPr>
      <w:bookmarkStart w:name=" 4.5 / Estime de soi et travail" w:id="143"/>
      <w:bookmarkEnd w:id="143"/>
      <w:r>
        <w:rPr/>
      </w:r>
      <w:bookmarkStart w:name="_bookmark62" w:id="144"/>
      <w:bookmarkEnd w:id="14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before="139"/>
        <w:ind w:left="830"/>
        <w:jc w:val="both"/>
        <w:rPr>
          <w:rFonts w:ascii="Arial" w:hAnsi="Arial"/>
        </w:rPr>
      </w:pPr>
      <w:r>
        <w:rPr/>
        <w:pict>
          <v:shape style="position:absolute;margin-left:62.5pt;margin-top:19.047901pt;width:287.5pt;height:.1pt;mso-position-horizontal-relative:page;mso-position-vertical-relative:paragraph;z-index:-15652864;mso-wrap-distance-left:0;mso-wrap-distance-right:0" id="docshape883" coordorigin="1250,381" coordsize="5750,0" path="m1250,381l7000,381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ind w:left="830" w:right="745"/>
        <w:jc w:val="both"/>
        <w:rPr>
          <w:rFonts w:ascii="Arial" w:hAnsi="Arial"/>
        </w:rPr>
      </w:pPr>
      <w:r>
        <w:rPr>
          <w:rFonts w:ascii="Arial" w:hAnsi="Arial"/>
          <w:color w:val="231F20"/>
        </w:rPr>
        <w:t>À</w:t>
      </w:r>
      <w:r>
        <w:rPr>
          <w:rFonts w:ascii="Arial" w:hAnsi="Arial"/>
          <w:color w:val="231F20"/>
          <w:spacing w:val="-7"/>
        </w:rPr>
        <w:t> </w:t>
      </w:r>
      <w:r>
        <w:rPr>
          <w:rFonts w:ascii="Arial" w:hAnsi="Arial"/>
          <w:color w:val="231F20"/>
        </w:rPr>
        <w:t>l’âge</w:t>
      </w:r>
      <w:r>
        <w:rPr>
          <w:rFonts w:ascii="Arial" w:hAnsi="Arial"/>
          <w:color w:val="231F20"/>
          <w:spacing w:val="-7"/>
        </w:rPr>
        <w:t> </w:t>
      </w:r>
      <w:r>
        <w:rPr>
          <w:rFonts w:ascii="Arial" w:hAnsi="Arial"/>
          <w:color w:val="231F20"/>
        </w:rPr>
        <w:t>adulte,</w:t>
      </w:r>
      <w:r>
        <w:rPr>
          <w:rFonts w:ascii="Arial" w:hAnsi="Arial"/>
          <w:color w:val="231F20"/>
          <w:spacing w:val="-7"/>
        </w:rPr>
        <w:t> </w:t>
      </w:r>
      <w:r>
        <w:rPr>
          <w:rFonts w:ascii="Arial" w:hAnsi="Arial"/>
          <w:color w:val="231F20"/>
        </w:rPr>
        <w:t>les</w:t>
      </w:r>
      <w:r>
        <w:rPr>
          <w:rFonts w:ascii="Arial" w:hAnsi="Arial"/>
          <w:color w:val="231F20"/>
          <w:spacing w:val="-7"/>
        </w:rPr>
        <w:t> </w:t>
      </w:r>
      <w:r>
        <w:rPr>
          <w:rFonts w:ascii="Arial" w:hAnsi="Arial"/>
          <w:color w:val="231F20"/>
        </w:rPr>
        <w:t>bases</w:t>
      </w:r>
      <w:r>
        <w:rPr>
          <w:rFonts w:ascii="Arial" w:hAnsi="Arial"/>
          <w:color w:val="231F20"/>
          <w:spacing w:val="-7"/>
        </w:rPr>
        <w:t> </w:t>
      </w:r>
      <w:r>
        <w:rPr>
          <w:rFonts w:ascii="Arial" w:hAnsi="Arial"/>
          <w:color w:val="231F20"/>
        </w:rPr>
        <w:t>de</w:t>
      </w:r>
      <w:r>
        <w:rPr>
          <w:rFonts w:ascii="Arial" w:hAnsi="Arial"/>
          <w:color w:val="231F20"/>
          <w:spacing w:val="-7"/>
        </w:rPr>
        <w:t> </w:t>
      </w:r>
      <w:r>
        <w:rPr>
          <w:rFonts w:ascii="Arial" w:hAnsi="Arial"/>
          <w:color w:val="231F20"/>
        </w:rPr>
        <w:t>l’estime</w:t>
      </w:r>
      <w:r>
        <w:rPr>
          <w:rFonts w:ascii="Arial" w:hAnsi="Arial"/>
          <w:color w:val="231F20"/>
          <w:spacing w:val="-7"/>
        </w:rPr>
        <w:t> </w:t>
      </w:r>
      <w:r>
        <w:rPr>
          <w:rFonts w:ascii="Arial" w:hAnsi="Arial"/>
          <w:color w:val="231F20"/>
        </w:rPr>
        <w:t>de</w:t>
      </w:r>
      <w:r>
        <w:rPr>
          <w:rFonts w:ascii="Arial" w:hAnsi="Arial"/>
          <w:color w:val="231F20"/>
          <w:spacing w:val="-7"/>
        </w:rPr>
        <w:t> </w:t>
      </w:r>
      <w:r>
        <w:rPr>
          <w:rFonts w:ascii="Arial" w:hAnsi="Arial"/>
          <w:color w:val="231F20"/>
        </w:rPr>
        <w:t>soi</w:t>
      </w:r>
      <w:r>
        <w:rPr>
          <w:rFonts w:ascii="Arial" w:hAnsi="Arial"/>
          <w:color w:val="231F20"/>
          <w:spacing w:val="-7"/>
        </w:rPr>
        <w:t> </w:t>
      </w:r>
      <w:r>
        <w:rPr>
          <w:rFonts w:ascii="Arial" w:hAnsi="Arial"/>
          <w:color w:val="231F20"/>
        </w:rPr>
        <w:t>sont</w:t>
      </w:r>
      <w:r>
        <w:rPr>
          <w:rFonts w:ascii="Arial" w:hAnsi="Arial"/>
          <w:color w:val="231F20"/>
          <w:spacing w:val="-7"/>
        </w:rPr>
        <w:t> </w:t>
      </w:r>
      <w:r>
        <w:rPr>
          <w:rFonts w:ascii="Arial" w:hAnsi="Arial"/>
          <w:color w:val="231F20"/>
        </w:rPr>
        <w:t>déjà</w:t>
      </w:r>
      <w:r>
        <w:rPr>
          <w:rFonts w:ascii="Arial" w:hAnsi="Arial"/>
          <w:color w:val="231F20"/>
          <w:spacing w:val="-7"/>
        </w:rPr>
        <w:t> </w:t>
      </w:r>
      <w:r>
        <w:rPr>
          <w:rFonts w:ascii="Arial" w:hAnsi="Arial"/>
          <w:color w:val="231F20"/>
        </w:rPr>
        <w:t>en</w:t>
      </w:r>
      <w:r>
        <w:rPr>
          <w:rFonts w:ascii="Arial" w:hAnsi="Arial"/>
          <w:color w:val="231F20"/>
          <w:spacing w:val="-7"/>
        </w:rPr>
        <w:t> </w:t>
      </w:r>
      <w:r>
        <w:rPr>
          <w:rFonts w:ascii="Arial" w:hAnsi="Arial"/>
          <w:color w:val="231F20"/>
        </w:rPr>
        <w:t>place</w:t>
      </w:r>
      <w:r>
        <w:rPr>
          <w:rFonts w:ascii="Arial" w:hAnsi="Arial"/>
          <w:color w:val="231F20"/>
          <w:spacing w:val="-7"/>
        </w:rPr>
        <w:t> </w:t>
      </w:r>
      <w:r>
        <w:rPr>
          <w:rFonts w:ascii="Arial" w:hAnsi="Arial"/>
          <w:color w:val="231F20"/>
        </w:rPr>
        <w:t>et</w:t>
      </w:r>
      <w:r>
        <w:rPr>
          <w:rFonts w:ascii="Arial" w:hAnsi="Arial"/>
          <w:color w:val="231F20"/>
          <w:spacing w:val="-7"/>
        </w:rPr>
        <w:t> </w:t>
      </w:r>
      <w:r>
        <w:rPr>
          <w:rFonts w:ascii="Arial" w:hAnsi="Arial"/>
          <w:color w:val="231F20"/>
        </w:rPr>
        <w:t>les</w:t>
      </w:r>
      <w:r>
        <w:rPr>
          <w:rFonts w:ascii="Arial" w:hAnsi="Arial"/>
          <w:color w:val="231F20"/>
          <w:spacing w:val="-7"/>
        </w:rPr>
        <w:t> </w:t>
      </w:r>
      <w:r>
        <w:rPr>
          <w:rFonts w:ascii="Arial" w:hAnsi="Arial"/>
          <w:color w:val="231F20"/>
        </w:rPr>
        <w:t>expé- riences, surtout professionnelles et familiales, continueront de nourrir l’estime que l’on se porte.</w:t>
      </w:r>
    </w:p>
    <w:p>
      <w:pPr>
        <w:pStyle w:val="BodyText"/>
        <w:spacing w:before="6"/>
        <w:rPr>
          <w:rFonts w:ascii="Arial"/>
          <w:sz w:val="4"/>
        </w:rPr>
      </w:pPr>
      <w:r>
        <w:rPr/>
        <w:pict>
          <v:shape style="position:absolute;margin-left:62.5pt;margin-top:3.843262pt;width:287.5pt;height:.1pt;mso-position-horizontal-relative:page;mso-position-vertical-relative:paragraph;z-index:-15652352;mso-wrap-distance-left:0;mso-wrap-distance-right:0" id="docshape884" coordorigin="1250,77" coordsize="5750,0" path="m1250,77l7000,77e" filled="false" stroked="true" strokeweight=".25pt" strokecolor="#231f20">
            <v:path arrowok="t"/>
            <v:stroke dashstyle="shortdot"/>
            <w10:wrap type="topAndBottom"/>
          </v:shape>
        </w:pict>
      </w:r>
    </w:p>
    <w:p>
      <w:pPr>
        <w:spacing w:line="295" w:lineRule="auto" w:before="137"/>
        <w:ind w:left="830" w:right="745"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Brodar,</w:t>
      </w:r>
      <w:r>
        <w:rPr>
          <w:rFonts w:ascii="Arial" w:hAnsi="Arial"/>
          <w:color w:val="231F20"/>
          <w:spacing w:val="-8"/>
          <w:sz w:val="12"/>
        </w:rPr>
        <w:t> </w:t>
      </w:r>
      <w:r>
        <w:rPr>
          <w:rFonts w:ascii="Arial" w:hAnsi="Arial"/>
          <w:color w:val="231F20"/>
          <w:sz w:val="12"/>
        </w:rPr>
        <w:t>C.</w:t>
      </w:r>
      <w:r>
        <w:rPr>
          <w:rFonts w:ascii="Arial" w:hAnsi="Arial"/>
          <w:color w:val="231F20"/>
          <w:spacing w:val="-6"/>
          <w:sz w:val="12"/>
        </w:rPr>
        <w:t> </w:t>
      </w:r>
      <w:r>
        <w:rPr>
          <w:rFonts w:ascii="Arial" w:hAnsi="Arial"/>
          <w:color w:val="231F20"/>
          <w:sz w:val="12"/>
        </w:rPr>
        <w:t>(2012).</w:t>
      </w:r>
      <w:r>
        <w:rPr>
          <w:rFonts w:ascii="Arial" w:hAnsi="Arial"/>
          <w:color w:val="231F20"/>
          <w:spacing w:val="-3"/>
          <w:sz w:val="12"/>
        </w:rPr>
        <w:t> </w:t>
      </w:r>
      <w:r>
        <w:rPr>
          <w:rFonts w:ascii="Arial" w:hAnsi="Arial"/>
          <w:color w:val="231F20"/>
          <w:sz w:val="12"/>
        </w:rPr>
        <w:t>Les</w:t>
      </w:r>
      <w:r>
        <w:rPr>
          <w:rFonts w:ascii="Arial" w:hAnsi="Arial"/>
          <w:color w:val="231F20"/>
          <w:spacing w:val="-3"/>
          <w:sz w:val="12"/>
        </w:rPr>
        <w:t> </w:t>
      </w:r>
      <w:r>
        <w:rPr>
          <w:rFonts w:ascii="Arial" w:hAnsi="Arial"/>
          <w:color w:val="231F20"/>
          <w:sz w:val="12"/>
        </w:rPr>
        <w:t>troubles</w:t>
      </w:r>
      <w:r>
        <w:rPr>
          <w:rFonts w:ascii="Arial" w:hAnsi="Arial"/>
          <w:color w:val="231F20"/>
          <w:spacing w:val="-3"/>
          <w:sz w:val="12"/>
        </w:rPr>
        <w:t> </w:t>
      </w:r>
      <w:r>
        <w:rPr>
          <w:rFonts w:ascii="Arial" w:hAnsi="Arial"/>
          <w:color w:val="231F20"/>
          <w:sz w:val="12"/>
        </w:rPr>
        <w:t>de</w:t>
      </w:r>
      <w:r>
        <w:rPr>
          <w:rFonts w:ascii="Arial" w:hAnsi="Arial"/>
          <w:color w:val="231F20"/>
          <w:spacing w:val="-3"/>
          <w:sz w:val="12"/>
        </w:rPr>
        <w:t> </w:t>
      </w:r>
      <w:r>
        <w:rPr>
          <w:rFonts w:ascii="Arial" w:hAnsi="Arial"/>
          <w:color w:val="231F20"/>
          <w:sz w:val="12"/>
        </w:rPr>
        <w:t>l’estime</w:t>
      </w:r>
      <w:r>
        <w:rPr>
          <w:rFonts w:ascii="Arial" w:hAnsi="Arial"/>
          <w:color w:val="231F20"/>
          <w:spacing w:val="-3"/>
          <w:sz w:val="12"/>
        </w:rPr>
        <w:t> </w:t>
      </w:r>
      <w:r>
        <w:rPr>
          <w:rFonts w:ascii="Arial" w:hAnsi="Arial"/>
          <w:color w:val="231F20"/>
          <w:sz w:val="12"/>
        </w:rPr>
        <w:t>de</w:t>
      </w:r>
      <w:r>
        <w:rPr>
          <w:rFonts w:ascii="Arial" w:hAnsi="Arial"/>
          <w:color w:val="231F20"/>
          <w:spacing w:val="-3"/>
          <w:sz w:val="12"/>
        </w:rPr>
        <w:t> </w:t>
      </w:r>
      <w:r>
        <w:rPr>
          <w:rFonts w:ascii="Arial" w:hAnsi="Arial"/>
          <w:color w:val="231F20"/>
          <w:sz w:val="12"/>
        </w:rPr>
        <w:t>soi</w:t>
      </w:r>
      <w:r>
        <w:rPr>
          <w:rFonts w:ascii="Arial" w:hAnsi="Arial"/>
          <w:color w:val="231F20"/>
          <w:spacing w:val="-3"/>
          <w:sz w:val="12"/>
        </w:rPr>
        <w:t> </w:t>
      </w:r>
      <w:r>
        <w:rPr>
          <w:rFonts w:ascii="Arial" w:hAnsi="Arial"/>
          <w:color w:val="231F20"/>
          <w:sz w:val="12"/>
        </w:rPr>
        <w:t>-</w:t>
      </w:r>
      <w:r>
        <w:rPr>
          <w:rFonts w:ascii="Arial" w:hAnsi="Arial"/>
          <w:color w:val="231F20"/>
          <w:spacing w:val="-3"/>
          <w:sz w:val="12"/>
        </w:rPr>
        <w:t> </w:t>
      </w:r>
      <w:r>
        <w:rPr>
          <w:rFonts w:ascii="Arial" w:hAnsi="Arial"/>
          <w:color w:val="231F20"/>
          <w:sz w:val="12"/>
        </w:rPr>
        <w:t>Le</w:t>
      </w:r>
      <w:r>
        <w:rPr>
          <w:rFonts w:ascii="Arial" w:hAnsi="Arial"/>
          <w:color w:val="231F20"/>
          <w:spacing w:val="-3"/>
          <w:sz w:val="12"/>
        </w:rPr>
        <w:t> </w:t>
      </w:r>
      <w:r>
        <w:rPr>
          <w:rFonts w:ascii="Arial" w:hAnsi="Arial"/>
          <w:color w:val="231F20"/>
          <w:sz w:val="12"/>
        </w:rPr>
        <w:t>développement</w:t>
      </w:r>
      <w:r>
        <w:rPr>
          <w:rFonts w:ascii="Arial" w:hAnsi="Arial"/>
          <w:color w:val="231F20"/>
          <w:spacing w:val="-3"/>
          <w:sz w:val="12"/>
        </w:rPr>
        <w:t> </w:t>
      </w:r>
      <w:r>
        <w:rPr>
          <w:rFonts w:ascii="Arial" w:hAnsi="Arial"/>
          <w:color w:val="231F20"/>
          <w:sz w:val="12"/>
        </w:rPr>
        <w:t>de</w:t>
      </w:r>
      <w:r>
        <w:rPr>
          <w:rFonts w:ascii="Arial" w:hAnsi="Arial"/>
          <w:color w:val="231F20"/>
          <w:spacing w:val="-3"/>
          <w:sz w:val="12"/>
        </w:rPr>
        <w:t> </w:t>
      </w:r>
      <w:r>
        <w:rPr>
          <w:rFonts w:ascii="Arial" w:hAnsi="Arial"/>
          <w:color w:val="231F20"/>
          <w:sz w:val="12"/>
        </w:rPr>
        <w:t>l’estime</w:t>
      </w:r>
      <w:r>
        <w:rPr>
          <w:rFonts w:ascii="Arial" w:hAnsi="Arial"/>
          <w:color w:val="231F20"/>
          <w:spacing w:val="-3"/>
          <w:sz w:val="12"/>
        </w:rPr>
        <w:t> </w:t>
      </w:r>
      <w:r>
        <w:rPr>
          <w:rFonts w:ascii="Arial" w:hAnsi="Arial"/>
          <w:color w:val="231F20"/>
          <w:sz w:val="12"/>
        </w:rPr>
        <w:t>de</w:t>
      </w:r>
      <w:r>
        <w:rPr>
          <w:rFonts w:ascii="Arial" w:hAnsi="Arial"/>
          <w:color w:val="231F20"/>
          <w:spacing w:val="-3"/>
          <w:sz w:val="12"/>
        </w:rPr>
        <w:t> </w:t>
      </w:r>
      <w:r>
        <w:rPr>
          <w:rFonts w:ascii="Arial" w:hAnsi="Arial"/>
          <w:color w:val="231F20"/>
          <w:sz w:val="12"/>
        </w:rPr>
        <w:t>soi</w:t>
      </w:r>
      <w:r>
        <w:rPr>
          <w:rFonts w:ascii="Arial" w:hAnsi="Arial"/>
          <w:color w:val="231F20"/>
          <w:spacing w:val="-3"/>
          <w:sz w:val="12"/>
        </w:rPr>
        <w:t> </w:t>
      </w:r>
      <w:r>
        <w:rPr>
          <w:rFonts w:ascii="Arial" w:hAnsi="Arial"/>
          <w:color w:val="231F20"/>
          <w:sz w:val="12"/>
        </w:rPr>
        <w:t>depuis</w:t>
      </w:r>
      <w:r>
        <w:rPr>
          <w:rFonts w:ascii="Arial" w:hAnsi="Arial"/>
          <w:color w:val="231F20"/>
          <w:spacing w:val="40"/>
          <w:sz w:val="12"/>
        </w:rPr>
        <w:t> </w:t>
      </w:r>
      <w:r>
        <w:rPr>
          <w:rFonts w:ascii="Arial" w:hAnsi="Arial"/>
          <w:color w:val="231F20"/>
          <w:sz w:val="12"/>
        </w:rPr>
        <w:t>l’enfance, </w:t>
      </w:r>
      <w:r>
        <w:rPr>
          <w:rFonts w:ascii="Arial" w:hAnsi="Arial"/>
          <w:i/>
          <w:color w:val="231F20"/>
          <w:sz w:val="12"/>
        </w:rPr>
        <w:t>Passeport Santé</w:t>
      </w:r>
      <w:r>
        <w:rPr>
          <w:rFonts w:ascii="Arial" w:hAnsi="Arial"/>
          <w:color w:val="231F20"/>
          <w:sz w:val="12"/>
        </w:rPr>
        <w:t>, &lt;https://</w:t>
      </w:r>
      <w:hyperlink r:id="rId250">
        <w:r>
          <w:rPr>
            <w:rFonts w:ascii="Arial" w:hAnsi="Arial"/>
            <w:color w:val="231F20"/>
            <w:sz w:val="12"/>
          </w:rPr>
          <w:t>www.passeportsante.net/fr/Maux/Problemes/Fiche.aspx?doc=</w:t>
        </w:r>
      </w:hyperlink>
      <w:r>
        <w:rPr>
          <w:rFonts w:ascii="Arial" w:hAnsi="Arial"/>
          <w:color w:val="231F20"/>
          <w:spacing w:val="40"/>
          <w:w w:val="105"/>
          <w:sz w:val="12"/>
        </w:rPr>
        <w:t> </w:t>
      </w:r>
      <w:r>
        <w:rPr>
          <w:rFonts w:ascii="Arial" w:hAnsi="Arial"/>
          <w:color w:val="231F20"/>
          <w:spacing w:val="-2"/>
          <w:w w:val="105"/>
          <w:sz w:val="12"/>
        </w:rPr>
        <w:t>troubles-de-l-estime-de-soi-comment-se-developpe-l-estime-de-soi-de-l-enfance-a-la-vie-adulte-&gt;,</w:t>
      </w:r>
      <w:r>
        <w:rPr>
          <w:rFonts w:ascii="Arial" w:hAnsi="Arial"/>
          <w:color w:val="231F20"/>
          <w:spacing w:val="40"/>
          <w:w w:val="105"/>
          <w:sz w:val="12"/>
        </w:rPr>
        <w:t> </w:t>
      </w:r>
      <w:r>
        <w:rPr>
          <w:rFonts w:ascii="Arial" w:hAnsi="Arial"/>
          <w:color w:val="231F20"/>
          <w:w w:val="105"/>
          <w:sz w:val="12"/>
        </w:rPr>
        <w:t>consulté</w:t>
      </w:r>
      <w:r>
        <w:rPr>
          <w:rFonts w:ascii="Arial" w:hAnsi="Arial"/>
          <w:color w:val="231F20"/>
          <w:spacing w:val="-2"/>
          <w:w w:val="105"/>
          <w:sz w:val="12"/>
        </w:rPr>
        <w:t> </w:t>
      </w:r>
      <w:r>
        <w:rPr>
          <w:rFonts w:ascii="Arial" w:hAnsi="Arial"/>
          <w:color w:val="231F20"/>
          <w:w w:val="105"/>
          <w:sz w:val="12"/>
        </w:rPr>
        <w:t>le</w:t>
      </w:r>
      <w:r>
        <w:rPr>
          <w:rFonts w:ascii="Arial" w:hAnsi="Arial"/>
          <w:color w:val="231F20"/>
          <w:spacing w:val="-2"/>
          <w:w w:val="105"/>
          <w:sz w:val="12"/>
        </w:rPr>
        <w:t> </w:t>
      </w:r>
      <w:r>
        <w:rPr>
          <w:rFonts w:ascii="Arial" w:hAnsi="Arial"/>
          <w:color w:val="231F20"/>
          <w:w w:val="105"/>
          <w:sz w:val="12"/>
        </w:rPr>
        <w:t>15</w:t>
      </w:r>
      <w:r>
        <w:rPr>
          <w:rFonts w:ascii="Arial" w:hAnsi="Arial"/>
          <w:color w:val="231F20"/>
          <w:spacing w:val="-2"/>
          <w:w w:val="105"/>
          <w:sz w:val="12"/>
        </w:rPr>
        <w:t> </w:t>
      </w:r>
      <w:r>
        <w:rPr>
          <w:rFonts w:ascii="Arial" w:hAnsi="Arial"/>
          <w:color w:val="231F20"/>
          <w:w w:val="105"/>
          <w:sz w:val="12"/>
        </w:rPr>
        <w:t>novembre</w:t>
      </w:r>
      <w:r>
        <w:rPr>
          <w:rFonts w:ascii="Arial" w:hAnsi="Arial"/>
          <w:color w:val="231F20"/>
          <w:spacing w:val="-2"/>
          <w:w w:val="105"/>
          <w:sz w:val="12"/>
        </w:rPr>
        <w:t> </w:t>
      </w:r>
      <w:r>
        <w:rPr>
          <w:rFonts w:ascii="Arial" w:hAnsi="Arial"/>
          <w:color w:val="231F20"/>
          <w:w w:val="105"/>
          <w:sz w:val="12"/>
        </w:rPr>
        <w:t>2021.</w:t>
      </w:r>
    </w:p>
    <w:p>
      <w:pPr>
        <w:pStyle w:val="BodyText"/>
        <w:rPr>
          <w:rFonts w:ascii="Arial"/>
          <w:sz w:val="16"/>
        </w:rPr>
      </w:pPr>
    </w:p>
    <w:p>
      <w:pPr>
        <w:pStyle w:val="BodyText"/>
        <w:rPr>
          <w:rFonts w:ascii="Arial"/>
          <w:sz w:val="16"/>
        </w:rPr>
      </w:pPr>
    </w:p>
    <w:p>
      <w:pPr>
        <w:pStyle w:val="Heading2"/>
        <w:numPr>
          <w:ilvl w:val="1"/>
          <w:numId w:val="62"/>
        </w:numPr>
        <w:tabs>
          <w:tab w:pos="521" w:val="left" w:leader="none"/>
          <w:tab w:pos="829" w:val="left" w:leader="none"/>
        </w:tabs>
        <w:spacing w:line="240" w:lineRule="auto" w:before="129" w:after="0"/>
        <w:ind w:left="520" w:right="0" w:hanging="313"/>
        <w:jc w:val="left"/>
      </w:pPr>
      <w:r>
        <w:rPr>
          <w:b w:val="0"/>
          <w:i/>
          <w:color w:val="231F20"/>
          <w:spacing w:val="-10"/>
        </w:rPr>
        <w:t>/</w:t>
      </w:r>
      <w:r>
        <w:rPr>
          <w:b w:val="0"/>
          <w:i/>
          <w:color w:val="231F20"/>
        </w:rPr>
        <w:tab/>
      </w:r>
      <w:r>
        <w:rPr>
          <w:color w:val="231F20"/>
          <w:w w:val="95"/>
        </w:rPr>
        <w:t>Estime</w:t>
      </w:r>
      <w:r>
        <w:rPr>
          <w:color w:val="231F20"/>
          <w:spacing w:val="-9"/>
          <w:w w:val="95"/>
        </w:rPr>
        <w:t> </w:t>
      </w:r>
      <w:r>
        <w:rPr>
          <w:color w:val="231F20"/>
          <w:w w:val="95"/>
        </w:rPr>
        <w:t>de</w:t>
      </w:r>
      <w:r>
        <w:rPr>
          <w:color w:val="231F20"/>
          <w:spacing w:val="-9"/>
          <w:w w:val="95"/>
        </w:rPr>
        <w:t> </w:t>
      </w:r>
      <w:r>
        <w:rPr>
          <w:color w:val="231F20"/>
          <w:w w:val="95"/>
        </w:rPr>
        <w:t>soi</w:t>
      </w:r>
      <w:r>
        <w:rPr>
          <w:color w:val="231F20"/>
          <w:spacing w:val="-8"/>
          <w:w w:val="95"/>
        </w:rPr>
        <w:t> </w:t>
      </w:r>
      <w:r>
        <w:rPr>
          <w:color w:val="231F20"/>
          <w:w w:val="95"/>
        </w:rPr>
        <w:t>et</w:t>
      </w:r>
      <w:r>
        <w:rPr>
          <w:color w:val="231F20"/>
          <w:spacing w:val="-9"/>
          <w:w w:val="95"/>
        </w:rPr>
        <w:t> </w:t>
      </w:r>
      <w:r>
        <w:rPr>
          <w:color w:val="231F20"/>
          <w:spacing w:val="-2"/>
          <w:w w:val="95"/>
        </w:rPr>
        <w:t>travail</w:t>
      </w:r>
    </w:p>
    <w:p>
      <w:pPr>
        <w:pStyle w:val="BodyText"/>
        <w:spacing w:before="9"/>
        <w:rPr>
          <w:rFonts w:ascii="Arial"/>
          <w:b/>
          <w:sz w:val="25"/>
        </w:rPr>
      </w:pPr>
    </w:p>
    <w:p>
      <w:pPr>
        <w:pStyle w:val="BodyText"/>
        <w:spacing w:line="307" w:lineRule="auto"/>
        <w:ind w:left="829" w:right="496"/>
        <w:jc w:val="both"/>
      </w:pPr>
      <w:r>
        <w:rPr>
          <w:color w:val="231F20"/>
          <w:w w:val="120"/>
        </w:rPr>
        <w:t>Comme l’écrivait Ortega y Gasset il y a plus de 70 ans dans son essai </w:t>
      </w:r>
      <w:r>
        <w:rPr>
          <w:i/>
          <w:color w:val="231F20"/>
          <w:w w:val="120"/>
        </w:rPr>
        <w:t>Autour</w:t>
      </w:r>
      <w:r>
        <w:rPr>
          <w:i/>
          <w:color w:val="231F20"/>
          <w:spacing w:val="-5"/>
          <w:w w:val="120"/>
        </w:rPr>
        <w:t> </w:t>
      </w:r>
      <w:r>
        <w:rPr>
          <w:i/>
          <w:color w:val="231F20"/>
          <w:w w:val="120"/>
        </w:rPr>
        <w:t>de</w:t>
      </w:r>
      <w:r>
        <w:rPr>
          <w:i/>
          <w:color w:val="231F20"/>
          <w:spacing w:val="-5"/>
          <w:w w:val="120"/>
        </w:rPr>
        <w:t> </w:t>
      </w:r>
      <w:r>
        <w:rPr>
          <w:i/>
          <w:color w:val="231F20"/>
          <w:w w:val="120"/>
        </w:rPr>
        <w:t>Galilée</w:t>
      </w:r>
      <w:r>
        <w:rPr>
          <w:color w:val="231F20"/>
          <w:w w:val="120"/>
        </w:rPr>
        <w:t>25,</w:t>
      </w:r>
      <w:r>
        <w:rPr>
          <w:color w:val="231F20"/>
          <w:spacing w:val="-5"/>
          <w:w w:val="120"/>
        </w:rPr>
        <w:t> </w:t>
      </w:r>
      <w:r>
        <w:rPr>
          <w:color w:val="231F20"/>
          <w:w w:val="120"/>
        </w:rPr>
        <w:t>ouvrage</w:t>
      </w:r>
      <w:r>
        <w:rPr>
          <w:color w:val="231F20"/>
          <w:spacing w:val="-5"/>
          <w:w w:val="120"/>
        </w:rPr>
        <w:t> </w:t>
      </w:r>
      <w:r>
        <w:rPr>
          <w:color w:val="231F20"/>
          <w:w w:val="120"/>
        </w:rPr>
        <w:t>précurseur</w:t>
      </w:r>
      <w:r>
        <w:rPr>
          <w:color w:val="231F20"/>
          <w:spacing w:val="-5"/>
          <w:w w:val="120"/>
        </w:rPr>
        <w:t> </w:t>
      </w:r>
      <w:r>
        <w:rPr>
          <w:color w:val="231F20"/>
          <w:w w:val="120"/>
        </w:rPr>
        <w:t>de</w:t>
      </w:r>
      <w:r>
        <w:rPr>
          <w:color w:val="231F20"/>
          <w:spacing w:val="-5"/>
          <w:w w:val="120"/>
        </w:rPr>
        <w:t> </w:t>
      </w:r>
      <w:r>
        <w:rPr>
          <w:color w:val="231F20"/>
          <w:w w:val="120"/>
        </w:rPr>
        <w:t>l’idée</w:t>
      </w:r>
      <w:r>
        <w:rPr>
          <w:color w:val="231F20"/>
          <w:spacing w:val="-5"/>
          <w:w w:val="120"/>
        </w:rPr>
        <w:t> </w:t>
      </w:r>
      <w:r>
        <w:rPr>
          <w:color w:val="231F20"/>
          <w:w w:val="120"/>
        </w:rPr>
        <w:t>de</w:t>
      </w:r>
      <w:r>
        <w:rPr>
          <w:color w:val="231F20"/>
          <w:spacing w:val="-5"/>
          <w:w w:val="120"/>
        </w:rPr>
        <w:t> </w:t>
      </w:r>
      <w:r>
        <w:rPr>
          <w:color w:val="231F20"/>
          <w:w w:val="120"/>
        </w:rPr>
        <w:t>stress</w:t>
      </w:r>
      <w:r>
        <w:rPr>
          <w:color w:val="231F20"/>
          <w:spacing w:val="-5"/>
          <w:w w:val="120"/>
        </w:rPr>
        <w:t> </w:t>
      </w:r>
      <w:r>
        <w:rPr>
          <w:color w:val="231F20"/>
          <w:w w:val="120"/>
        </w:rPr>
        <w:t>dans</w:t>
      </w:r>
      <w:r>
        <w:rPr>
          <w:color w:val="231F20"/>
          <w:spacing w:val="-5"/>
          <w:w w:val="120"/>
        </w:rPr>
        <w:t> </w:t>
      </w:r>
      <w:r>
        <w:rPr>
          <w:color w:val="231F20"/>
          <w:w w:val="120"/>
        </w:rPr>
        <w:t>la</w:t>
      </w:r>
      <w:r>
        <w:rPr>
          <w:color w:val="231F20"/>
          <w:spacing w:val="-5"/>
          <w:w w:val="120"/>
        </w:rPr>
        <w:t> </w:t>
      </w:r>
      <w:r>
        <w:rPr>
          <w:color w:val="231F20"/>
          <w:w w:val="120"/>
        </w:rPr>
        <w:t>vie moderne</w:t>
      </w:r>
      <w:r>
        <w:rPr>
          <w:color w:val="231F20"/>
          <w:spacing w:val="-4"/>
          <w:w w:val="120"/>
        </w:rPr>
        <w:t> </w:t>
      </w:r>
      <w:r>
        <w:rPr>
          <w:color w:val="231F20"/>
          <w:w w:val="120"/>
        </w:rPr>
        <w:t>quand</w:t>
      </w:r>
      <w:r>
        <w:rPr>
          <w:color w:val="231F20"/>
          <w:spacing w:val="-4"/>
          <w:w w:val="120"/>
        </w:rPr>
        <w:t> </w:t>
      </w:r>
      <w:r>
        <w:rPr>
          <w:color w:val="231F20"/>
          <w:w w:val="120"/>
        </w:rPr>
        <w:t>il</w:t>
      </w:r>
      <w:r>
        <w:rPr>
          <w:color w:val="231F20"/>
          <w:spacing w:val="-4"/>
          <w:w w:val="120"/>
        </w:rPr>
        <w:t> </w:t>
      </w:r>
      <w:r>
        <w:rPr>
          <w:color w:val="231F20"/>
          <w:w w:val="120"/>
        </w:rPr>
        <w:t>aborde</w:t>
      </w:r>
      <w:r>
        <w:rPr>
          <w:color w:val="231F20"/>
          <w:spacing w:val="-4"/>
          <w:w w:val="120"/>
        </w:rPr>
        <w:t> </w:t>
      </w:r>
      <w:r>
        <w:rPr>
          <w:color w:val="231F20"/>
          <w:w w:val="120"/>
        </w:rPr>
        <w:t>la</w:t>
      </w:r>
      <w:r>
        <w:rPr>
          <w:color w:val="231F20"/>
          <w:spacing w:val="-4"/>
          <w:w w:val="120"/>
        </w:rPr>
        <w:t> </w:t>
      </w:r>
      <w:r>
        <w:rPr>
          <w:color w:val="231F20"/>
          <w:w w:val="120"/>
        </w:rPr>
        <w:t>vie</w:t>
      </w:r>
      <w:r>
        <w:rPr>
          <w:color w:val="231F20"/>
          <w:spacing w:val="-4"/>
          <w:w w:val="120"/>
        </w:rPr>
        <w:t> </w:t>
      </w:r>
      <w:r>
        <w:rPr>
          <w:i/>
          <w:color w:val="231F20"/>
          <w:w w:val="120"/>
        </w:rPr>
        <w:t>al</w:t>
      </w:r>
      <w:r>
        <w:rPr>
          <w:i/>
          <w:color w:val="231F20"/>
          <w:spacing w:val="-4"/>
          <w:w w:val="120"/>
        </w:rPr>
        <w:t> </w:t>
      </w:r>
      <w:r>
        <w:rPr>
          <w:i/>
          <w:color w:val="231F20"/>
          <w:w w:val="120"/>
        </w:rPr>
        <w:t>estricote</w:t>
      </w:r>
      <w:r>
        <w:rPr>
          <w:color w:val="231F20"/>
          <w:w w:val="120"/>
        </w:rPr>
        <w:t>,</w:t>
      </w:r>
      <w:r>
        <w:rPr>
          <w:color w:val="231F20"/>
          <w:spacing w:val="-4"/>
          <w:w w:val="120"/>
        </w:rPr>
        <w:t> </w:t>
      </w:r>
      <w:r>
        <w:rPr>
          <w:color w:val="231F20"/>
          <w:w w:val="120"/>
        </w:rPr>
        <w:t>«</w:t>
      </w:r>
      <w:r>
        <w:rPr>
          <w:color w:val="231F20"/>
          <w:spacing w:val="-32"/>
          <w:w w:val="120"/>
        </w:rPr>
        <w:t> </w:t>
      </w:r>
      <w:r>
        <w:rPr>
          <w:color w:val="231F20"/>
          <w:w w:val="120"/>
        </w:rPr>
        <w:t>à</w:t>
      </w:r>
      <w:r>
        <w:rPr>
          <w:color w:val="231F20"/>
          <w:spacing w:val="-4"/>
          <w:w w:val="120"/>
        </w:rPr>
        <w:t> </w:t>
      </w:r>
      <w:r>
        <w:rPr>
          <w:color w:val="231F20"/>
          <w:w w:val="120"/>
        </w:rPr>
        <w:t>gauche</w:t>
      </w:r>
      <w:r>
        <w:rPr>
          <w:color w:val="231F20"/>
          <w:spacing w:val="-4"/>
          <w:w w:val="120"/>
        </w:rPr>
        <w:t> </w:t>
      </w:r>
      <w:r>
        <w:rPr>
          <w:color w:val="231F20"/>
          <w:w w:val="120"/>
        </w:rPr>
        <w:t>et</w:t>
      </w:r>
      <w:r>
        <w:rPr>
          <w:color w:val="231F20"/>
          <w:spacing w:val="-4"/>
          <w:w w:val="120"/>
        </w:rPr>
        <w:t> </w:t>
      </w:r>
      <w:r>
        <w:rPr>
          <w:color w:val="231F20"/>
          <w:w w:val="120"/>
        </w:rPr>
        <w:t>à</w:t>
      </w:r>
      <w:r>
        <w:rPr>
          <w:color w:val="231F20"/>
          <w:spacing w:val="-4"/>
          <w:w w:val="120"/>
        </w:rPr>
        <w:t> </w:t>
      </w:r>
      <w:r>
        <w:rPr>
          <w:color w:val="231F20"/>
          <w:w w:val="120"/>
        </w:rPr>
        <w:t>droite»</w:t>
      </w:r>
      <w:r>
        <w:rPr>
          <w:color w:val="231F20"/>
          <w:spacing w:val="-32"/>
          <w:w w:val="120"/>
        </w:rPr>
        <w:t> </w:t>
      </w:r>
      <w:r>
        <w:rPr>
          <w:color w:val="231F20"/>
          <w:w w:val="120"/>
        </w:rPr>
        <w:t>:</w:t>
      </w:r>
    </w:p>
    <w:p>
      <w:pPr>
        <w:pStyle w:val="BodyText"/>
        <w:spacing w:before="8"/>
        <w:rPr>
          <w:sz w:val="21"/>
        </w:rPr>
      </w:pPr>
    </w:p>
    <w:p>
      <w:pPr>
        <w:pStyle w:val="BodyText"/>
        <w:spacing w:line="307" w:lineRule="auto"/>
        <w:ind w:left="1080" w:right="745"/>
        <w:jc w:val="both"/>
      </w:pPr>
      <w:r>
        <w:rPr>
          <w:color w:val="231F20"/>
          <w:w w:val="120"/>
        </w:rPr>
        <w:t>En</w:t>
      </w:r>
      <w:r>
        <w:rPr>
          <w:color w:val="231F20"/>
          <w:spacing w:val="-10"/>
          <w:w w:val="120"/>
        </w:rPr>
        <w:t> </w:t>
      </w:r>
      <w:r>
        <w:rPr>
          <w:color w:val="231F20"/>
          <w:w w:val="120"/>
        </w:rPr>
        <w:t>ces temps modernes, nous vivons à gauche et à droite</w:t>
      </w:r>
      <w:r>
        <w:rPr>
          <w:color w:val="231F20"/>
          <w:spacing w:val="-13"/>
          <w:w w:val="120"/>
        </w:rPr>
        <w:t> </w:t>
      </w:r>
      <w:r>
        <w:rPr>
          <w:color w:val="231F20"/>
          <w:w w:val="120"/>
        </w:rPr>
        <w:t>; nous avons</w:t>
      </w:r>
      <w:r>
        <w:rPr>
          <w:color w:val="231F20"/>
          <w:spacing w:val="-5"/>
          <w:w w:val="120"/>
        </w:rPr>
        <w:t> </w:t>
      </w:r>
      <w:r>
        <w:rPr>
          <w:color w:val="231F20"/>
          <w:w w:val="120"/>
        </w:rPr>
        <w:t>perdu</w:t>
      </w:r>
      <w:r>
        <w:rPr>
          <w:color w:val="231F20"/>
          <w:spacing w:val="-5"/>
          <w:w w:val="120"/>
        </w:rPr>
        <w:t> </w:t>
      </w:r>
      <w:r>
        <w:rPr>
          <w:color w:val="231F20"/>
          <w:w w:val="120"/>
        </w:rPr>
        <w:t>la</w:t>
      </w:r>
      <w:r>
        <w:rPr>
          <w:color w:val="231F20"/>
          <w:spacing w:val="-5"/>
          <w:w w:val="120"/>
        </w:rPr>
        <w:t> </w:t>
      </w:r>
      <w:r>
        <w:rPr>
          <w:color w:val="231F20"/>
          <w:w w:val="120"/>
        </w:rPr>
        <w:t>faculté</w:t>
      </w:r>
      <w:r>
        <w:rPr>
          <w:color w:val="231F20"/>
          <w:spacing w:val="-5"/>
          <w:w w:val="120"/>
        </w:rPr>
        <w:t> </w:t>
      </w:r>
      <w:r>
        <w:rPr>
          <w:color w:val="231F20"/>
          <w:w w:val="120"/>
        </w:rPr>
        <w:t>de</w:t>
      </w:r>
      <w:r>
        <w:rPr>
          <w:color w:val="231F20"/>
          <w:spacing w:val="-5"/>
          <w:w w:val="120"/>
        </w:rPr>
        <w:t> </w:t>
      </w:r>
      <w:r>
        <w:rPr>
          <w:color w:val="231F20"/>
          <w:w w:val="120"/>
        </w:rPr>
        <w:t>contempler</w:t>
      </w:r>
      <w:r>
        <w:rPr>
          <w:color w:val="231F20"/>
          <w:spacing w:val="-5"/>
          <w:w w:val="120"/>
        </w:rPr>
        <w:t> </w:t>
      </w:r>
      <w:r>
        <w:rPr>
          <w:color w:val="231F20"/>
          <w:w w:val="120"/>
        </w:rPr>
        <w:t>et</w:t>
      </w:r>
      <w:r>
        <w:rPr>
          <w:color w:val="231F20"/>
          <w:spacing w:val="-5"/>
          <w:w w:val="120"/>
        </w:rPr>
        <w:t> </w:t>
      </w:r>
      <w:r>
        <w:rPr>
          <w:color w:val="231F20"/>
          <w:w w:val="120"/>
        </w:rPr>
        <w:t>de</w:t>
      </w:r>
      <w:r>
        <w:rPr>
          <w:color w:val="231F20"/>
          <w:spacing w:val="-5"/>
          <w:w w:val="120"/>
        </w:rPr>
        <w:t> </w:t>
      </w:r>
      <w:r>
        <w:rPr>
          <w:color w:val="231F20"/>
          <w:w w:val="120"/>
        </w:rPr>
        <w:t>nous</w:t>
      </w:r>
      <w:r>
        <w:rPr>
          <w:color w:val="231F20"/>
          <w:spacing w:val="-5"/>
          <w:w w:val="120"/>
        </w:rPr>
        <w:t> </w:t>
      </w:r>
      <w:r>
        <w:rPr>
          <w:color w:val="231F20"/>
          <w:w w:val="120"/>
        </w:rPr>
        <w:t>absorber</w:t>
      </w:r>
      <w:r>
        <w:rPr>
          <w:color w:val="231F20"/>
          <w:spacing w:val="-5"/>
          <w:w w:val="120"/>
        </w:rPr>
        <w:t> </w:t>
      </w:r>
      <w:r>
        <w:rPr>
          <w:color w:val="231F20"/>
          <w:w w:val="120"/>
        </w:rPr>
        <w:t>dans</w:t>
      </w:r>
      <w:r>
        <w:rPr>
          <w:color w:val="231F20"/>
          <w:spacing w:val="-5"/>
          <w:w w:val="120"/>
        </w:rPr>
        <w:t> </w:t>
      </w:r>
      <w:r>
        <w:rPr>
          <w:color w:val="231F20"/>
          <w:w w:val="120"/>
        </w:rPr>
        <w:t>la </w:t>
      </w:r>
      <w:r>
        <w:rPr>
          <w:color w:val="231F20"/>
          <w:w w:val="115"/>
        </w:rPr>
        <w:t>réflexion.</w:t>
      </w:r>
      <w:r>
        <w:rPr>
          <w:color w:val="231F20"/>
          <w:spacing w:val="-13"/>
          <w:w w:val="115"/>
        </w:rPr>
        <w:t> </w:t>
      </w:r>
      <w:r>
        <w:rPr>
          <w:color w:val="231F20"/>
          <w:w w:val="115"/>
        </w:rPr>
        <w:t>L’absorption</w:t>
      </w:r>
      <w:r>
        <w:rPr>
          <w:color w:val="231F20"/>
          <w:spacing w:val="-12"/>
          <w:w w:val="115"/>
        </w:rPr>
        <w:t> </w:t>
      </w:r>
      <w:r>
        <w:rPr>
          <w:color w:val="231F20"/>
          <w:w w:val="115"/>
        </w:rPr>
        <w:t>de</w:t>
      </w:r>
      <w:r>
        <w:rPr>
          <w:color w:val="231F20"/>
          <w:spacing w:val="-12"/>
          <w:w w:val="115"/>
        </w:rPr>
        <w:t> </w:t>
      </w:r>
      <w:r>
        <w:rPr>
          <w:color w:val="231F20"/>
          <w:w w:val="115"/>
        </w:rPr>
        <w:t>soi</w:t>
      </w:r>
      <w:r>
        <w:rPr>
          <w:color w:val="231F20"/>
          <w:spacing w:val="-12"/>
          <w:w w:val="115"/>
        </w:rPr>
        <w:t> </w:t>
      </w:r>
      <w:r>
        <w:rPr>
          <w:color w:val="231F20"/>
          <w:w w:val="115"/>
        </w:rPr>
        <w:t>dans</w:t>
      </w:r>
      <w:r>
        <w:rPr>
          <w:color w:val="231F20"/>
          <w:spacing w:val="-13"/>
          <w:w w:val="115"/>
        </w:rPr>
        <w:t> </w:t>
      </w:r>
      <w:r>
        <w:rPr>
          <w:color w:val="231F20"/>
          <w:w w:val="115"/>
        </w:rPr>
        <w:t>la</w:t>
      </w:r>
      <w:r>
        <w:rPr>
          <w:color w:val="231F20"/>
          <w:spacing w:val="-12"/>
          <w:w w:val="115"/>
        </w:rPr>
        <w:t> </w:t>
      </w:r>
      <w:r>
        <w:rPr>
          <w:color w:val="231F20"/>
          <w:w w:val="115"/>
        </w:rPr>
        <w:t>réflexion</w:t>
      </w:r>
      <w:r>
        <w:rPr>
          <w:color w:val="231F20"/>
          <w:spacing w:val="-12"/>
          <w:w w:val="115"/>
        </w:rPr>
        <w:t> </w:t>
      </w:r>
      <w:r>
        <w:rPr>
          <w:color w:val="231F20"/>
          <w:w w:val="115"/>
        </w:rPr>
        <w:t>est</w:t>
      </w:r>
      <w:r>
        <w:rPr>
          <w:color w:val="231F20"/>
          <w:spacing w:val="-12"/>
          <w:w w:val="115"/>
        </w:rPr>
        <w:t> </w:t>
      </w:r>
      <w:r>
        <w:rPr>
          <w:color w:val="231F20"/>
          <w:w w:val="115"/>
        </w:rPr>
        <w:t>à</w:t>
      </w:r>
      <w:r>
        <w:rPr>
          <w:color w:val="231F20"/>
          <w:spacing w:val="-12"/>
          <w:w w:val="115"/>
        </w:rPr>
        <w:t> </w:t>
      </w:r>
      <w:r>
        <w:rPr>
          <w:color w:val="231F20"/>
          <w:w w:val="115"/>
        </w:rPr>
        <w:t>l’opposé</w:t>
      </w:r>
      <w:r>
        <w:rPr>
          <w:color w:val="231F20"/>
          <w:spacing w:val="-13"/>
          <w:w w:val="115"/>
        </w:rPr>
        <w:t> </w:t>
      </w:r>
      <w:r>
        <w:rPr>
          <w:color w:val="231F20"/>
          <w:w w:val="115"/>
        </w:rPr>
        <w:t>du</w:t>
      </w:r>
      <w:r>
        <w:rPr>
          <w:color w:val="231F20"/>
          <w:spacing w:val="-12"/>
          <w:w w:val="115"/>
        </w:rPr>
        <w:t> </w:t>
      </w:r>
      <w:r>
        <w:rPr>
          <w:color w:val="231F20"/>
          <w:w w:val="115"/>
        </w:rPr>
        <w:t>fait </w:t>
      </w:r>
      <w:r>
        <w:rPr>
          <w:color w:val="231F20"/>
          <w:w w:val="120"/>
        </w:rPr>
        <w:t>de</w:t>
      </w:r>
      <w:r>
        <w:rPr>
          <w:color w:val="231F20"/>
          <w:spacing w:val="-11"/>
          <w:w w:val="120"/>
        </w:rPr>
        <w:t> </w:t>
      </w:r>
      <w:r>
        <w:rPr>
          <w:color w:val="231F20"/>
          <w:w w:val="120"/>
        </w:rPr>
        <w:t>vivre</w:t>
      </w:r>
      <w:r>
        <w:rPr>
          <w:color w:val="231F20"/>
          <w:spacing w:val="-11"/>
          <w:w w:val="120"/>
        </w:rPr>
        <w:t> </w:t>
      </w:r>
      <w:r>
        <w:rPr>
          <w:color w:val="231F20"/>
          <w:w w:val="120"/>
        </w:rPr>
        <w:t>une</w:t>
      </w:r>
      <w:r>
        <w:rPr>
          <w:color w:val="231F20"/>
          <w:spacing w:val="-11"/>
          <w:w w:val="120"/>
        </w:rPr>
        <w:t> </w:t>
      </w:r>
      <w:r>
        <w:rPr>
          <w:color w:val="231F20"/>
          <w:w w:val="120"/>
        </w:rPr>
        <w:t>vie</w:t>
      </w:r>
      <w:r>
        <w:rPr>
          <w:color w:val="231F20"/>
          <w:spacing w:val="-11"/>
          <w:w w:val="120"/>
        </w:rPr>
        <w:t> </w:t>
      </w:r>
      <w:r>
        <w:rPr>
          <w:color w:val="231F20"/>
          <w:w w:val="120"/>
        </w:rPr>
        <w:t>maltraitée,</w:t>
      </w:r>
      <w:r>
        <w:rPr>
          <w:color w:val="231F20"/>
          <w:spacing w:val="-11"/>
          <w:w w:val="120"/>
        </w:rPr>
        <w:t> </w:t>
      </w:r>
      <w:r>
        <w:rPr>
          <w:color w:val="231F20"/>
          <w:w w:val="120"/>
        </w:rPr>
        <w:t>lorsque</w:t>
      </w:r>
      <w:r>
        <w:rPr>
          <w:color w:val="231F20"/>
          <w:spacing w:val="-11"/>
          <w:w w:val="120"/>
        </w:rPr>
        <w:t> </w:t>
      </w:r>
      <w:r>
        <w:rPr>
          <w:color w:val="231F20"/>
          <w:w w:val="120"/>
        </w:rPr>
        <w:t>les</w:t>
      </w:r>
      <w:r>
        <w:rPr>
          <w:color w:val="231F20"/>
          <w:spacing w:val="-11"/>
          <w:w w:val="120"/>
        </w:rPr>
        <w:t> </w:t>
      </w:r>
      <w:r>
        <w:rPr>
          <w:color w:val="231F20"/>
          <w:w w:val="120"/>
        </w:rPr>
        <w:t>choses</w:t>
      </w:r>
      <w:r>
        <w:rPr>
          <w:color w:val="231F20"/>
          <w:spacing w:val="-11"/>
          <w:w w:val="120"/>
        </w:rPr>
        <w:t> </w:t>
      </w:r>
      <w:r>
        <w:rPr>
          <w:color w:val="231F20"/>
          <w:w w:val="120"/>
        </w:rPr>
        <w:t>qui</w:t>
      </w:r>
      <w:r>
        <w:rPr>
          <w:color w:val="231F20"/>
          <w:spacing w:val="-11"/>
          <w:w w:val="120"/>
        </w:rPr>
        <w:t> </w:t>
      </w:r>
      <w:r>
        <w:rPr>
          <w:color w:val="231F20"/>
          <w:w w:val="120"/>
        </w:rPr>
        <w:t>nous</w:t>
      </w:r>
      <w:r>
        <w:rPr>
          <w:color w:val="231F20"/>
          <w:spacing w:val="-11"/>
          <w:w w:val="120"/>
        </w:rPr>
        <w:t> </w:t>
      </w:r>
      <w:r>
        <w:rPr>
          <w:color w:val="231F20"/>
          <w:w w:val="120"/>
        </w:rPr>
        <w:t>entourent </w:t>
      </w:r>
      <w:r>
        <w:rPr>
          <w:color w:val="231F20"/>
          <w:spacing w:val="-2"/>
          <w:w w:val="120"/>
        </w:rPr>
        <w:t>nous</w:t>
      </w:r>
      <w:r>
        <w:rPr>
          <w:color w:val="231F20"/>
          <w:spacing w:val="-6"/>
          <w:w w:val="120"/>
        </w:rPr>
        <w:t> </w:t>
      </w:r>
      <w:r>
        <w:rPr>
          <w:color w:val="231F20"/>
          <w:spacing w:val="-2"/>
          <w:w w:val="120"/>
        </w:rPr>
        <w:t>dictent</w:t>
      </w:r>
      <w:r>
        <w:rPr>
          <w:color w:val="231F20"/>
          <w:spacing w:val="-6"/>
          <w:w w:val="120"/>
        </w:rPr>
        <w:t> </w:t>
      </w:r>
      <w:r>
        <w:rPr>
          <w:color w:val="231F20"/>
          <w:spacing w:val="-2"/>
          <w:w w:val="120"/>
        </w:rPr>
        <w:t>nos</w:t>
      </w:r>
      <w:r>
        <w:rPr>
          <w:color w:val="231F20"/>
          <w:spacing w:val="-6"/>
          <w:w w:val="120"/>
        </w:rPr>
        <w:t> </w:t>
      </w:r>
      <w:r>
        <w:rPr>
          <w:color w:val="231F20"/>
          <w:spacing w:val="-2"/>
          <w:w w:val="120"/>
        </w:rPr>
        <w:t>actions,</w:t>
      </w:r>
      <w:r>
        <w:rPr>
          <w:color w:val="231F20"/>
          <w:spacing w:val="-6"/>
          <w:w w:val="120"/>
        </w:rPr>
        <w:t> </w:t>
      </w:r>
      <w:r>
        <w:rPr>
          <w:color w:val="231F20"/>
          <w:spacing w:val="-2"/>
          <w:w w:val="120"/>
        </w:rPr>
        <w:t>nous</w:t>
      </w:r>
      <w:r>
        <w:rPr>
          <w:color w:val="231F20"/>
          <w:spacing w:val="-6"/>
          <w:w w:val="120"/>
        </w:rPr>
        <w:t> </w:t>
      </w:r>
      <w:r>
        <w:rPr>
          <w:color w:val="231F20"/>
          <w:spacing w:val="-2"/>
          <w:w w:val="120"/>
        </w:rPr>
        <w:t>poussent</w:t>
      </w:r>
      <w:r>
        <w:rPr>
          <w:color w:val="231F20"/>
          <w:spacing w:val="-6"/>
          <w:w w:val="120"/>
        </w:rPr>
        <w:t> </w:t>
      </w:r>
      <w:r>
        <w:rPr>
          <w:color w:val="231F20"/>
          <w:spacing w:val="-2"/>
          <w:w w:val="120"/>
        </w:rPr>
        <w:t>mécaniquement</w:t>
      </w:r>
      <w:r>
        <w:rPr>
          <w:color w:val="231F20"/>
          <w:spacing w:val="-6"/>
          <w:w w:val="120"/>
        </w:rPr>
        <w:t> </w:t>
      </w:r>
      <w:r>
        <w:rPr>
          <w:color w:val="231F20"/>
          <w:spacing w:val="-2"/>
          <w:w w:val="120"/>
        </w:rPr>
        <w:t>d’un</w:t>
      </w:r>
      <w:r>
        <w:rPr>
          <w:color w:val="231F20"/>
          <w:spacing w:val="-6"/>
          <w:w w:val="120"/>
        </w:rPr>
        <w:t> </w:t>
      </w:r>
      <w:r>
        <w:rPr>
          <w:color w:val="231F20"/>
          <w:spacing w:val="-2"/>
          <w:w w:val="120"/>
        </w:rPr>
        <w:t>côté </w:t>
      </w:r>
      <w:r>
        <w:rPr>
          <w:color w:val="231F20"/>
          <w:w w:val="120"/>
        </w:rPr>
        <w:t>ou de l’autre et nous entraînent à gauche et à droite.</w:t>
      </w:r>
    </w:p>
    <w:p>
      <w:pPr>
        <w:pStyle w:val="BodyText"/>
        <w:spacing w:before="7"/>
        <w:rPr>
          <w:sz w:val="21"/>
        </w:rPr>
      </w:pPr>
    </w:p>
    <w:p>
      <w:pPr>
        <w:pStyle w:val="BodyText"/>
        <w:spacing w:line="307" w:lineRule="auto" w:before="1"/>
        <w:ind w:left="829" w:right="493"/>
        <w:jc w:val="both"/>
      </w:pPr>
      <w:r>
        <w:rPr>
          <w:color w:val="231F20"/>
          <w:w w:val="120"/>
        </w:rPr>
        <w:t>De</w:t>
      </w:r>
      <w:r>
        <w:rPr>
          <w:color w:val="231F20"/>
          <w:spacing w:val="-10"/>
          <w:w w:val="120"/>
        </w:rPr>
        <w:t> </w:t>
      </w:r>
      <w:r>
        <w:rPr>
          <w:color w:val="231F20"/>
          <w:w w:val="120"/>
        </w:rPr>
        <w:t>fait,</w:t>
      </w:r>
      <w:r>
        <w:rPr>
          <w:color w:val="231F20"/>
          <w:spacing w:val="-10"/>
          <w:w w:val="120"/>
        </w:rPr>
        <w:t> </w:t>
      </w:r>
      <w:r>
        <w:rPr>
          <w:color w:val="231F20"/>
          <w:w w:val="120"/>
        </w:rPr>
        <w:t>depuis</w:t>
      </w:r>
      <w:r>
        <w:rPr>
          <w:color w:val="231F20"/>
          <w:spacing w:val="-10"/>
          <w:w w:val="120"/>
        </w:rPr>
        <w:t> </w:t>
      </w:r>
      <w:r>
        <w:rPr>
          <w:color w:val="231F20"/>
          <w:w w:val="120"/>
        </w:rPr>
        <w:t>plusieurs</w:t>
      </w:r>
      <w:r>
        <w:rPr>
          <w:color w:val="231F20"/>
          <w:spacing w:val="-10"/>
          <w:w w:val="120"/>
        </w:rPr>
        <w:t> </w:t>
      </w:r>
      <w:r>
        <w:rPr>
          <w:color w:val="231F20"/>
          <w:w w:val="120"/>
        </w:rPr>
        <w:t>décennies,</w:t>
      </w:r>
      <w:r>
        <w:rPr>
          <w:color w:val="231F20"/>
          <w:spacing w:val="-10"/>
          <w:w w:val="120"/>
        </w:rPr>
        <w:t> </w:t>
      </w:r>
      <w:r>
        <w:rPr>
          <w:color w:val="231F20"/>
          <w:w w:val="120"/>
        </w:rPr>
        <w:t>nous</w:t>
      </w:r>
      <w:r>
        <w:rPr>
          <w:color w:val="231F20"/>
          <w:spacing w:val="-10"/>
          <w:w w:val="120"/>
        </w:rPr>
        <w:t> </w:t>
      </w:r>
      <w:r>
        <w:rPr>
          <w:color w:val="231F20"/>
          <w:w w:val="120"/>
        </w:rPr>
        <w:t>vivons</w:t>
      </w:r>
      <w:r>
        <w:rPr>
          <w:color w:val="231F20"/>
          <w:spacing w:val="-10"/>
          <w:w w:val="120"/>
        </w:rPr>
        <w:t> </w:t>
      </w:r>
      <w:r>
        <w:rPr>
          <w:color w:val="231F20"/>
          <w:w w:val="120"/>
        </w:rPr>
        <w:t>déconnectés</w:t>
      </w:r>
      <w:r>
        <w:rPr>
          <w:color w:val="231F20"/>
          <w:spacing w:val="-10"/>
          <w:w w:val="120"/>
        </w:rPr>
        <w:t> </w:t>
      </w:r>
      <w:r>
        <w:rPr>
          <w:color w:val="231F20"/>
          <w:w w:val="120"/>
        </w:rPr>
        <w:t>de</w:t>
      </w:r>
      <w:r>
        <w:rPr>
          <w:color w:val="231F20"/>
          <w:spacing w:val="-10"/>
          <w:w w:val="120"/>
        </w:rPr>
        <w:t> </w:t>
      </w:r>
      <w:r>
        <w:rPr>
          <w:color w:val="231F20"/>
          <w:w w:val="120"/>
        </w:rPr>
        <w:t>tout</w:t>
      </w:r>
      <w:r>
        <w:rPr>
          <w:color w:val="231F20"/>
          <w:spacing w:val="-10"/>
          <w:w w:val="120"/>
        </w:rPr>
        <w:t> </w:t>
      </w:r>
      <w:r>
        <w:rPr>
          <w:color w:val="231F20"/>
          <w:w w:val="120"/>
        </w:rPr>
        <w:t>ce qui se trouve autour de nous et en nous</w:t>
      </w:r>
      <w:r>
        <w:rPr>
          <w:color w:val="231F20"/>
          <w:spacing w:val="-13"/>
          <w:w w:val="120"/>
        </w:rPr>
        <w:t> </w:t>
      </w:r>
      <w:r>
        <w:rPr>
          <w:color w:val="231F20"/>
          <w:w w:val="120"/>
        </w:rPr>
        <w:t>; dans cet état, comme nous l’avons</w:t>
      </w:r>
      <w:r>
        <w:rPr>
          <w:color w:val="231F20"/>
          <w:spacing w:val="-10"/>
          <w:w w:val="120"/>
        </w:rPr>
        <w:t> </w:t>
      </w:r>
      <w:r>
        <w:rPr>
          <w:color w:val="231F20"/>
          <w:w w:val="120"/>
        </w:rPr>
        <w:t>vu,</w:t>
      </w:r>
      <w:r>
        <w:rPr>
          <w:color w:val="231F20"/>
          <w:spacing w:val="-10"/>
          <w:w w:val="120"/>
        </w:rPr>
        <w:t> </w:t>
      </w:r>
      <w:r>
        <w:rPr>
          <w:color w:val="231F20"/>
          <w:w w:val="120"/>
        </w:rPr>
        <w:t>il</w:t>
      </w:r>
      <w:r>
        <w:rPr>
          <w:color w:val="231F20"/>
          <w:spacing w:val="-10"/>
          <w:w w:val="120"/>
        </w:rPr>
        <w:t> </w:t>
      </w:r>
      <w:r>
        <w:rPr>
          <w:color w:val="231F20"/>
          <w:w w:val="120"/>
        </w:rPr>
        <w:t>est</w:t>
      </w:r>
      <w:r>
        <w:rPr>
          <w:color w:val="231F20"/>
          <w:spacing w:val="-10"/>
          <w:w w:val="120"/>
        </w:rPr>
        <w:t> </w:t>
      </w:r>
      <w:r>
        <w:rPr>
          <w:color w:val="231F20"/>
          <w:w w:val="120"/>
        </w:rPr>
        <w:t>bien</w:t>
      </w:r>
      <w:r>
        <w:rPr>
          <w:color w:val="231F20"/>
          <w:spacing w:val="-10"/>
          <w:w w:val="120"/>
        </w:rPr>
        <w:t> </w:t>
      </w:r>
      <w:r>
        <w:rPr>
          <w:color w:val="231F20"/>
          <w:w w:val="120"/>
        </w:rPr>
        <w:t>difficile</w:t>
      </w:r>
      <w:r>
        <w:rPr>
          <w:color w:val="231F20"/>
          <w:spacing w:val="-10"/>
          <w:w w:val="120"/>
        </w:rPr>
        <w:t> </w:t>
      </w:r>
      <w:r>
        <w:rPr>
          <w:color w:val="231F20"/>
          <w:w w:val="120"/>
        </w:rPr>
        <w:t>de</w:t>
      </w:r>
      <w:r>
        <w:rPr>
          <w:color w:val="231F20"/>
          <w:spacing w:val="-10"/>
          <w:w w:val="120"/>
        </w:rPr>
        <w:t> </w:t>
      </w:r>
      <w:r>
        <w:rPr>
          <w:color w:val="231F20"/>
          <w:w w:val="120"/>
        </w:rPr>
        <w:t>construire</w:t>
      </w:r>
      <w:r>
        <w:rPr>
          <w:color w:val="231F20"/>
          <w:spacing w:val="-10"/>
          <w:w w:val="120"/>
        </w:rPr>
        <w:t> </w:t>
      </w:r>
      <w:r>
        <w:rPr>
          <w:color w:val="231F20"/>
          <w:w w:val="120"/>
        </w:rPr>
        <w:t>une</w:t>
      </w:r>
      <w:r>
        <w:rPr>
          <w:color w:val="231F20"/>
          <w:spacing w:val="-10"/>
          <w:w w:val="120"/>
        </w:rPr>
        <w:t> </w:t>
      </w:r>
      <w:r>
        <w:rPr>
          <w:color w:val="231F20"/>
          <w:w w:val="120"/>
        </w:rPr>
        <w:t>véritable</w:t>
      </w:r>
      <w:r>
        <w:rPr>
          <w:color w:val="231F20"/>
          <w:spacing w:val="-10"/>
          <w:w w:val="120"/>
        </w:rPr>
        <w:t> </w:t>
      </w:r>
      <w:r>
        <w:rPr>
          <w:color w:val="231F20"/>
          <w:w w:val="120"/>
        </w:rPr>
        <w:t>estime</w:t>
      </w:r>
      <w:r>
        <w:rPr>
          <w:color w:val="231F20"/>
          <w:spacing w:val="-10"/>
          <w:w w:val="120"/>
        </w:rPr>
        <w:t> </w:t>
      </w:r>
      <w:r>
        <w:rPr>
          <w:color w:val="231F20"/>
          <w:w w:val="120"/>
        </w:rPr>
        <w:t>de</w:t>
      </w:r>
      <w:r>
        <w:rPr>
          <w:color w:val="231F20"/>
          <w:spacing w:val="-10"/>
          <w:w w:val="120"/>
        </w:rPr>
        <w:t> </w:t>
      </w:r>
      <w:r>
        <w:rPr>
          <w:color w:val="231F20"/>
          <w:w w:val="120"/>
        </w:rPr>
        <w:t>soi. Notre mode de vie rapide, tendu et agité, submergé par un trop-plein </w:t>
      </w:r>
      <w:r>
        <w:rPr>
          <w:color w:val="231F20"/>
          <w:spacing w:val="-2"/>
          <w:w w:val="120"/>
        </w:rPr>
        <w:t>d’engagements</w:t>
      </w:r>
      <w:r>
        <w:rPr>
          <w:color w:val="231F20"/>
          <w:spacing w:val="-6"/>
          <w:w w:val="120"/>
        </w:rPr>
        <w:t> </w:t>
      </w:r>
      <w:r>
        <w:rPr>
          <w:color w:val="231F20"/>
          <w:spacing w:val="-2"/>
          <w:w w:val="120"/>
        </w:rPr>
        <w:t>et</w:t>
      </w:r>
      <w:r>
        <w:rPr>
          <w:color w:val="231F20"/>
          <w:spacing w:val="-6"/>
          <w:w w:val="120"/>
        </w:rPr>
        <w:t> </w:t>
      </w:r>
      <w:r>
        <w:rPr>
          <w:color w:val="231F20"/>
          <w:spacing w:val="-2"/>
          <w:w w:val="120"/>
        </w:rPr>
        <w:t>d’activités</w:t>
      </w:r>
      <w:r>
        <w:rPr>
          <w:color w:val="231F20"/>
          <w:spacing w:val="-6"/>
          <w:w w:val="120"/>
        </w:rPr>
        <w:t> </w:t>
      </w:r>
      <w:r>
        <w:rPr>
          <w:color w:val="231F20"/>
          <w:spacing w:val="-2"/>
          <w:w w:val="120"/>
        </w:rPr>
        <w:t>qui</w:t>
      </w:r>
      <w:r>
        <w:rPr>
          <w:color w:val="231F20"/>
          <w:spacing w:val="-6"/>
          <w:w w:val="120"/>
        </w:rPr>
        <w:t> </w:t>
      </w:r>
      <w:r>
        <w:rPr>
          <w:color w:val="231F20"/>
          <w:spacing w:val="-2"/>
          <w:w w:val="120"/>
        </w:rPr>
        <w:t>dépassent</w:t>
      </w:r>
      <w:r>
        <w:rPr>
          <w:color w:val="231F20"/>
          <w:spacing w:val="-6"/>
          <w:w w:val="120"/>
        </w:rPr>
        <w:t> </w:t>
      </w:r>
      <w:r>
        <w:rPr>
          <w:color w:val="231F20"/>
          <w:spacing w:val="-2"/>
          <w:w w:val="120"/>
        </w:rPr>
        <w:t>souvent</w:t>
      </w:r>
      <w:r>
        <w:rPr>
          <w:color w:val="231F20"/>
          <w:spacing w:val="-6"/>
          <w:w w:val="120"/>
        </w:rPr>
        <w:t> </w:t>
      </w:r>
      <w:r>
        <w:rPr>
          <w:color w:val="231F20"/>
          <w:spacing w:val="-2"/>
          <w:w w:val="120"/>
        </w:rPr>
        <w:t>nos</w:t>
      </w:r>
      <w:r>
        <w:rPr>
          <w:color w:val="231F20"/>
          <w:spacing w:val="-6"/>
          <w:w w:val="120"/>
        </w:rPr>
        <w:t> </w:t>
      </w:r>
      <w:r>
        <w:rPr>
          <w:color w:val="231F20"/>
          <w:spacing w:val="-2"/>
          <w:w w:val="120"/>
        </w:rPr>
        <w:t>capacités</w:t>
      </w:r>
      <w:r>
        <w:rPr>
          <w:color w:val="231F20"/>
          <w:spacing w:val="-6"/>
          <w:w w:val="120"/>
        </w:rPr>
        <w:t> </w:t>
      </w:r>
      <w:r>
        <w:rPr>
          <w:color w:val="231F20"/>
          <w:spacing w:val="-2"/>
          <w:w w:val="120"/>
        </w:rPr>
        <w:t>réelles </w:t>
      </w:r>
      <w:r>
        <w:rPr>
          <w:color w:val="231F20"/>
          <w:w w:val="120"/>
        </w:rPr>
        <w:t>d’adaptation</w:t>
      </w:r>
      <w:r>
        <w:rPr>
          <w:color w:val="231F20"/>
          <w:spacing w:val="-12"/>
          <w:w w:val="120"/>
        </w:rPr>
        <w:t> </w:t>
      </w:r>
      <w:r>
        <w:rPr>
          <w:color w:val="231F20"/>
          <w:w w:val="120"/>
        </w:rPr>
        <w:t>et</w:t>
      </w:r>
      <w:r>
        <w:rPr>
          <w:color w:val="231F20"/>
          <w:spacing w:val="-12"/>
          <w:w w:val="120"/>
        </w:rPr>
        <w:t> </w:t>
      </w:r>
      <w:r>
        <w:rPr>
          <w:color w:val="231F20"/>
          <w:w w:val="120"/>
        </w:rPr>
        <w:t>de</w:t>
      </w:r>
      <w:r>
        <w:rPr>
          <w:color w:val="231F20"/>
          <w:spacing w:val="-12"/>
          <w:w w:val="120"/>
        </w:rPr>
        <w:t> </w:t>
      </w:r>
      <w:r>
        <w:rPr>
          <w:color w:val="231F20"/>
          <w:w w:val="120"/>
        </w:rPr>
        <w:t>maîtrise,</w:t>
      </w:r>
      <w:r>
        <w:rPr>
          <w:color w:val="231F20"/>
          <w:spacing w:val="-12"/>
          <w:w w:val="120"/>
        </w:rPr>
        <w:t> </w:t>
      </w:r>
      <w:r>
        <w:rPr>
          <w:color w:val="231F20"/>
          <w:w w:val="120"/>
        </w:rPr>
        <w:t>est</w:t>
      </w:r>
      <w:r>
        <w:rPr>
          <w:color w:val="231F20"/>
          <w:spacing w:val="-12"/>
          <w:w w:val="120"/>
        </w:rPr>
        <w:t> </w:t>
      </w:r>
      <w:r>
        <w:rPr>
          <w:color w:val="231F20"/>
          <w:w w:val="120"/>
        </w:rPr>
        <w:t>devenu</w:t>
      </w:r>
      <w:r>
        <w:rPr>
          <w:color w:val="231F20"/>
          <w:spacing w:val="-12"/>
          <w:w w:val="120"/>
        </w:rPr>
        <w:t> </w:t>
      </w:r>
      <w:r>
        <w:rPr>
          <w:color w:val="231F20"/>
          <w:w w:val="120"/>
        </w:rPr>
        <w:t>la</w:t>
      </w:r>
      <w:r>
        <w:rPr>
          <w:color w:val="231F20"/>
          <w:spacing w:val="-12"/>
          <w:w w:val="120"/>
        </w:rPr>
        <w:t> </w:t>
      </w:r>
      <w:r>
        <w:rPr>
          <w:color w:val="231F20"/>
          <w:w w:val="120"/>
        </w:rPr>
        <w:t>norme</w:t>
      </w:r>
      <w:r>
        <w:rPr>
          <w:color w:val="231F20"/>
          <w:spacing w:val="-12"/>
          <w:w w:val="120"/>
        </w:rPr>
        <w:t> </w:t>
      </w:r>
      <w:r>
        <w:rPr>
          <w:color w:val="231F20"/>
          <w:w w:val="120"/>
        </w:rPr>
        <w:t>et</w:t>
      </w:r>
      <w:r>
        <w:rPr>
          <w:color w:val="231F20"/>
          <w:spacing w:val="-12"/>
          <w:w w:val="120"/>
        </w:rPr>
        <w:t> </w:t>
      </w:r>
      <w:r>
        <w:rPr>
          <w:color w:val="231F20"/>
          <w:w w:val="120"/>
        </w:rPr>
        <w:t>une</w:t>
      </w:r>
      <w:r>
        <w:rPr>
          <w:color w:val="231F20"/>
          <w:spacing w:val="-12"/>
          <w:w w:val="120"/>
        </w:rPr>
        <w:t> </w:t>
      </w:r>
      <w:r>
        <w:rPr>
          <w:color w:val="231F20"/>
          <w:w w:val="120"/>
        </w:rPr>
        <w:t>source</w:t>
      </w:r>
      <w:r>
        <w:rPr>
          <w:color w:val="231F20"/>
          <w:spacing w:val="-12"/>
          <w:w w:val="120"/>
        </w:rPr>
        <w:t> </w:t>
      </w:r>
      <w:r>
        <w:rPr>
          <w:color w:val="231F20"/>
          <w:w w:val="120"/>
        </w:rPr>
        <w:t>d’insatis- faction, de fragilisation de l’estime de soi et de marasme collectif. À </w:t>
      </w:r>
      <w:r>
        <w:rPr>
          <w:color w:val="231F20"/>
          <w:spacing w:val="-2"/>
          <w:w w:val="115"/>
        </w:rPr>
        <w:t>l’époque</w:t>
      </w:r>
      <w:r>
        <w:rPr>
          <w:color w:val="231F20"/>
          <w:spacing w:val="-11"/>
          <w:w w:val="115"/>
        </w:rPr>
        <w:t> </w:t>
      </w:r>
      <w:r>
        <w:rPr>
          <w:color w:val="231F20"/>
          <w:spacing w:val="-2"/>
          <w:w w:val="115"/>
        </w:rPr>
        <w:t>qu’on</w:t>
      </w:r>
      <w:r>
        <w:rPr>
          <w:color w:val="231F20"/>
          <w:spacing w:val="-10"/>
          <w:w w:val="115"/>
        </w:rPr>
        <w:t> </w:t>
      </w:r>
      <w:r>
        <w:rPr>
          <w:color w:val="231F20"/>
          <w:spacing w:val="-2"/>
          <w:w w:val="115"/>
        </w:rPr>
        <w:t>appelle</w:t>
      </w:r>
      <w:r>
        <w:rPr>
          <w:color w:val="231F20"/>
          <w:spacing w:val="-10"/>
          <w:w w:val="115"/>
        </w:rPr>
        <w:t> </w:t>
      </w:r>
      <w:r>
        <w:rPr>
          <w:color w:val="231F20"/>
          <w:spacing w:val="-2"/>
          <w:w w:val="115"/>
        </w:rPr>
        <w:t>l’«</w:t>
      </w:r>
      <w:r>
        <w:rPr>
          <w:color w:val="231F20"/>
          <w:spacing w:val="-10"/>
          <w:w w:val="115"/>
        </w:rPr>
        <w:t> </w:t>
      </w:r>
      <w:r>
        <w:rPr>
          <w:color w:val="231F20"/>
          <w:spacing w:val="-2"/>
          <w:w w:val="115"/>
        </w:rPr>
        <w:t>ère</w:t>
      </w:r>
      <w:r>
        <w:rPr>
          <w:color w:val="231F20"/>
          <w:spacing w:val="-11"/>
          <w:w w:val="115"/>
        </w:rPr>
        <w:t> </w:t>
      </w:r>
      <w:r>
        <w:rPr>
          <w:color w:val="231F20"/>
          <w:spacing w:val="-2"/>
          <w:w w:val="115"/>
        </w:rPr>
        <w:t>de</w:t>
      </w:r>
      <w:r>
        <w:rPr>
          <w:color w:val="231F20"/>
          <w:spacing w:val="-10"/>
          <w:w w:val="115"/>
        </w:rPr>
        <w:t> </w:t>
      </w:r>
      <w:r>
        <w:rPr>
          <w:color w:val="231F20"/>
          <w:spacing w:val="-2"/>
          <w:w w:val="115"/>
        </w:rPr>
        <w:t>l’information</w:t>
      </w:r>
      <w:r>
        <w:rPr>
          <w:color w:val="231F20"/>
          <w:spacing w:val="-10"/>
          <w:w w:val="115"/>
        </w:rPr>
        <w:t> </w:t>
      </w:r>
      <w:r>
        <w:rPr>
          <w:color w:val="231F20"/>
          <w:spacing w:val="-2"/>
          <w:w w:val="115"/>
        </w:rPr>
        <w:t>»</w:t>
      </w:r>
      <w:r>
        <w:rPr>
          <w:color w:val="231F20"/>
          <w:spacing w:val="-10"/>
          <w:w w:val="115"/>
        </w:rPr>
        <w:t> </w:t>
      </w:r>
      <w:r>
        <w:rPr>
          <w:color w:val="231F20"/>
          <w:spacing w:val="-2"/>
          <w:w w:val="115"/>
        </w:rPr>
        <w:t>ou</w:t>
      </w:r>
      <w:r>
        <w:rPr>
          <w:color w:val="231F20"/>
          <w:spacing w:val="-5"/>
          <w:w w:val="115"/>
        </w:rPr>
        <w:t> </w:t>
      </w:r>
      <w:r>
        <w:rPr>
          <w:color w:val="231F20"/>
          <w:spacing w:val="-2"/>
          <w:w w:val="115"/>
        </w:rPr>
        <w:t>l’«</w:t>
      </w:r>
      <w:r>
        <w:rPr>
          <w:color w:val="231F20"/>
          <w:spacing w:val="-10"/>
          <w:w w:val="115"/>
        </w:rPr>
        <w:t> </w:t>
      </w:r>
      <w:r>
        <w:rPr>
          <w:color w:val="231F20"/>
          <w:spacing w:val="-2"/>
          <w:w w:val="115"/>
        </w:rPr>
        <w:t>ère</w:t>
      </w:r>
      <w:r>
        <w:rPr>
          <w:color w:val="231F20"/>
          <w:w w:val="115"/>
        </w:rPr>
        <w:t> </w:t>
      </w:r>
      <w:r>
        <w:rPr>
          <w:color w:val="231F20"/>
          <w:spacing w:val="-2"/>
          <w:w w:val="115"/>
        </w:rPr>
        <w:t>du numérique</w:t>
      </w:r>
      <w:r>
        <w:rPr>
          <w:color w:val="231F20"/>
          <w:spacing w:val="-11"/>
          <w:w w:val="115"/>
        </w:rPr>
        <w:t> </w:t>
      </w:r>
      <w:r>
        <w:rPr>
          <w:color w:val="231F20"/>
          <w:spacing w:val="-2"/>
          <w:w w:val="115"/>
        </w:rPr>
        <w:t>», </w:t>
      </w:r>
      <w:r>
        <w:rPr>
          <w:color w:val="231F20"/>
          <w:w w:val="120"/>
        </w:rPr>
        <w:t>il nous manque encore la sagesse nécessaire pour vivre en paix et en harmonie avec autrui, avec notre environnement et avec nous-même.</w:t>
      </w:r>
    </w:p>
    <w:p>
      <w:pPr>
        <w:pStyle w:val="BodyText"/>
        <w:spacing w:line="307" w:lineRule="auto" w:before="78"/>
        <w:ind w:left="829" w:right="498" w:firstLine="250"/>
        <w:jc w:val="both"/>
      </w:pPr>
      <w:r>
        <w:rPr>
          <w:color w:val="231F20"/>
          <w:w w:val="115"/>
        </w:rPr>
        <w:t>Aristote</w:t>
      </w:r>
      <w:r>
        <w:rPr>
          <w:color w:val="231F20"/>
          <w:spacing w:val="-13"/>
          <w:w w:val="115"/>
        </w:rPr>
        <w:t> </w:t>
      </w:r>
      <w:r>
        <w:rPr>
          <w:color w:val="231F20"/>
          <w:w w:val="115"/>
        </w:rPr>
        <w:t>avait</w:t>
      </w:r>
      <w:r>
        <w:rPr>
          <w:color w:val="231F20"/>
          <w:spacing w:val="-12"/>
          <w:w w:val="115"/>
        </w:rPr>
        <w:t> </w:t>
      </w:r>
      <w:r>
        <w:rPr>
          <w:color w:val="231F20"/>
          <w:w w:val="115"/>
        </w:rPr>
        <w:t>bien</w:t>
      </w:r>
      <w:r>
        <w:rPr>
          <w:color w:val="231F20"/>
          <w:spacing w:val="-4"/>
          <w:w w:val="115"/>
        </w:rPr>
        <w:t> </w:t>
      </w:r>
      <w:r>
        <w:rPr>
          <w:color w:val="231F20"/>
          <w:w w:val="115"/>
        </w:rPr>
        <w:t>raison</w:t>
      </w:r>
      <w:r>
        <w:rPr>
          <w:color w:val="231F20"/>
          <w:spacing w:val="-4"/>
          <w:w w:val="115"/>
        </w:rPr>
        <w:t> </w:t>
      </w:r>
      <w:r>
        <w:rPr>
          <w:color w:val="231F20"/>
          <w:w w:val="115"/>
        </w:rPr>
        <w:t>de</w:t>
      </w:r>
      <w:r>
        <w:rPr>
          <w:color w:val="231F20"/>
          <w:spacing w:val="-4"/>
          <w:w w:val="115"/>
        </w:rPr>
        <w:t> </w:t>
      </w:r>
      <w:r>
        <w:rPr>
          <w:color w:val="231F20"/>
          <w:w w:val="115"/>
        </w:rPr>
        <w:t>nous</w:t>
      </w:r>
      <w:r>
        <w:rPr>
          <w:color w:val="231F20"/>
          <w:spacing w:val="-4"/>
          <w:w w:val="115"/>
        </w:rPr>
        <w:t> </w:t>
      </w:r>
      <w:r>
        <w:rPr>
          <w:color w:val="231F20"/>
          <w:w w:val="115"/>
        </w:rPr>
        <w:t>en</w:t>
      </w:r>
      <w:r>
        <w:rPr>
          <w:color w:val="231F20"/>
          <w:spacing w:val="-4"/>
          <w:w w:val="115"/>
        </w:rPr>
        <w:t> </w:t>
      </w:r>
      <w:r>
        <w:rPr>
          <w:color w:val="231F20"/>
          <w:w w:val="115"/>
        </w:rPr>
        <w:t>avertir</w:t>
      </w:r>
      <w:r>
        <w:rPr>
          <w:color w:val="231F20"/>
          <w:spacing w:val="-4"/>
          <w:w w:val="115"/>
        </w:rPr>
        <w:t> </w:t>
      </w:r>
      <w:r>
        <w:rPr>
          <w:color w:val="231F20"/>
          <w:w w:val="115"/>
        </w:rPr>
        <w:t>il</w:t>
      </w:r>
      <w:r>
        <w:rPr>
          <w:color w:val="231F20"/>
          <w:spacing w:val="-4"/>
          <w:w w:val="115"/>
        </w:rPr>
        <w:t> </w:t>
      </w:r>
      <w:r>
        <w:rPr>
          <w:color w:val="231F20"/>
          <w:w w:val="115"/>
        </w:rPr>
        <w:t>y</w:t>
      </w:r>
      <w:r>
        <w:rPr>
          <w:color w:val="231F20"/>
          <w:spacing w:val="-4"/>
          <w:w w:val="115"/>
        </w:rPr>
        <w:t> </w:t>
      </w:r>
      <w:r>
        <w:rPr>
          <w:color w:val="231F20"/>
          <w:w w:val="115"/>
        </w:rPr>
        <w:t>a</w:t>
      </w:r>
      <w:r>
        <w:rPr>
          <w:color w:val="231F20"/>
          <w:spacing w:val="-4"/>
          <w:w w:val="115"/>
        </w:rPr>
        <w:t> </w:t>
      </w:r>
      <w:r>
        <w:rPr>
          <w:color w:val="231F20"/>
          <w:w w:val="115"/>
        </w:rPr>
        <w:t>24</w:t>
      </w:r>
      <w:r>
        <w:rPr>
          <w:color w:val="231F20"/>
          <w:spacing w:val="-4"/>
          <w:w w:val="115"/>
        </w:rPr>
        <w:t> </w:t>
      </w:r>
      <w:r>
        <w:rPr>
          <w:color w:val="231F20"/>
          <w:w w:val="115"/>
        </w:rPr>
        <w:t>siècles:</w:t>
      </w:r>
      <w:r>
        <w:rPr>
          <w:color w:val="231F20"/>
          <w:spacing w:val="-4"/>
          <w:w w:val="115"/>
        </w:rPr>
        <w:t> </w:t>
      </w:r>
      <w:r>
        <w:rPr>
          <w:color w:val="231F20"/>
          <w:w w:val="115"/>
        </w:rPr>
        <w:t>«</w:t>
      </w:r>
      <w:r>
        <w:rPr>
          <w:color w:val="231F20"/>
          <w:spacing w:val="-13"/>
          <w:w w:val="115"/>
        </w:rPr>
        <w:t> </w:t>
      </w:r>
      <w:r>
        <w:rPr>
          <w:color w:val="231F20"/>
          <w:w w:val="115"/>
        </w:rPr>
        <w:t>L’excès </w:t>
      </w:r>
      <w:r>
        <w:rPr>
          <w:color w:val="231F20"/>
          <w:w w:val="120"/>
        </w:rPr>
        <w:t>de</w:t>
      </w:r>
      <w:r>
        <w:rPr>
          <w:color w:val="231F20"/>
          <w:spacing w:val="-6"/>
          <w:w w:val="120"/>
        </w:rPr>
        <w:t> </w:t>
      </w:r>
      <w:r>
        <w:rPr>
          <w:color w:val="231F20"/>
          <w:w w:val="120"/>
        </w:rPr>
        <w:t>travail</w:t>
      </w:r>
      <w:r>
        <w:rPr>
          <w:color w:val="231F20"/>
          <w:spacing w:val="-6"/>
          <w:w w:val="120"/>
        </w:rPr>
        <w:t> </w:t>
      </w:r>
      <w:r>
        <w:rPr>
          <w:color w:val="231F20"/>
          <w:w w:val="120"/>
        </w:rPr>
        <w:t>rend</w:t>
      </w:r>
      <w:r>
        <w:rPr>
          <w:color w:val="231F20"/>
          <w:spacing w:val="-6"/>
          <w:w w:val="120"/>
        </w:rPr>
        <w:t> </w:t>
      </w:r>
      <w:r>
        <w:rPr>
          <w:color w:val="231F20"/>
          <w:w w:val="120"/>
        </w:rPr>
        <w:t>impossible</w:t>
      </w:r>
      <w:r>
        <w:rPr>
          <w:color w:val="231F20"/>
          <w:spacing w:val="-6"/>
          <w:w w:val="120"/>
        </w:rPr>
        <w:t> </w:t>
      </w:r>
      <w:r>
        <w:rPr>
          <w:color w:val="231F20"/>
          <w:w w:val="120"/>
        </w:rPr>
        <w:t>la</w:t>
      </w:r>
      <w:r>
        <w:rPr>
          <w:color w:val="231F20"/>
          <w:spacing w:val="-6"/>
          <w:w w:val="120"/>
        </w:rPr>
        <w:t> </w:t>
      </w:r>
      <w:r>
        <w:rPr>
          <w:color w:val="231F20"/>
          <w:w w:val="120"/>
        </w:rPr>
        <w:t>contemplation</w:t>
      </w:r>
      <w:r>
        <w:rPr>
          <w:color w:val="231F20"/>
          <w:spacing w:val="-6"/>
          <w:w w:val="120"/>
        </w:rPr>
        <w:t> </w:t>
      </w:r>
      <w:r>
        <w:rPr>
          <w:color w:val="231F20"/>
          <w:w w:val="120"/>
        </w:rPr>
        <w:t>adéquate</w:t>
      </w:r>
      <w:r>
        <w:rPr>
          <w:color w:val="231F20"/>
          <w:spacing w:val="-6"/>
          <w:w w:val="120"/>
        </w:rPr>
        <w:t>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beauté</w:t>
      </w:r>
      <w:r>
        <w:rPr>
          <w:color w:val="231F20"/>
          <w:spacing w:val="-6"/>
          <w:w w:val="120"/>
        </w:rPr>
        <w:t> </w:t>
      </w:r>
      <w:r>
        <w:rPr>
          <w:color w:val="231F20"/>
          <w:w w:val="120"/>
        </w:rPr>
        <w:t>et</w:t>
      </w:r>
      <w:r>
        <w:rPr>
          <w:color w:val="231F20"/>
          <w:spacing w:val="-6"/>
          <w:w w:val="120"/>
        </w:rPr>
        <w:t> </w:t>
      </w:r>
      <w:r>
        <w:rPr>
          <w:color w:val="231F20"/>
          <w:w w:val="120"/>
        </w:rPr>
        <w:t>de la</w:t>
      </w:r>
      <w:r>
        <w:rPr>
          <w:color w:val="231F20"/>
          <w:spacing w:val="-2"/>
          <w:w w:val="120"/>
        </w:rPr>
        <w:t> </w:t>
      </w:r>
      <w:r>
        <w:rPr>
          <w:color w:val="231F20"/>
          <w:w w:val="120"/>
        </w:rPr>
        <w:t>vérité</w:t>
      </w:r>
      <w:r>
        <w:rPr>
          <w:color w:val="231F20"/>
          <w:spacing w:val="-2"/>
          <w:w w:val="120"/>
        </w:rPr>
        <w:t> </w:t>
      </w:r>
      <w:r>
        <w:rPr>
          <w:color w:val="231F20"/>
          <w:w w:val="120"/>
        </w:rPr>
        <w:t>[…],</w:t>
      </w:r>
      <w:r>
        <w:rPr>
          <w:color w:val="231F20"/>
          <w:spacing w:val="-2"/>
          <w:w w:val="120"/>
        </w:rPr>
        <w:t> </w:t>
      </w:r>
      <w:r>
        <w:rPr>
          <w:color w:val="231F20"/>
          <w:w w:val="120"/>
        </w:rPr>
        <w:t>il</w:t>
      </w:r>
      <w:r>
        <w:rPr>
          <w:color w:val="231F20"/>
          <w:spacing w:val="-2"/>
          <w:w w:val="120"/>
        </w:rPr>
        <w:t> </w:t>
      </w:r>
      <w:r>
        <w:rPr>
          <w:color w:val="231F20"/>
          <w:w w:val="120"/>
        </w:rPr>
        <w:t>déforme</w:t>
      </w:r>
      <w:r>
        <w:rPr>
          <w:color w:val="231F20"/>
          <w:spacing w:val="-2"/>
          <w:w w:val="120"/>
        </w:rPr>
        <w:t> </w:t>
      </w:r>
      <w:r>
        <w:rPr>
          <w:color w:val="231F20"/>
          <w:w w:val="120"/>
        </w:rPr>
        <w:t>le</w:t>
      </w:r>
      <w:r>
        <w:rPr>
          <w:color w:val="231F20"/>
          <w:spacing w:val="-2"/>
          <w:w w:val="120"/>
        </w:rPr>
        <w:t> </w:t>
      </w:r>
      <w:r>
        <w:rPr>
          <w:color w:val="231F20"/>
          <w:w w:val="120"/>
        </w:rPr>
        <w:t>corps</w:t>
      </w:r>
      <w:r>
        <w:rPr>
          <w:color w:val="231F20"/>
          <w:spacing w:val="-2"/>
          <w:w w:val="120"/>
        </w:rPr>
        <w:t> </w:t>
      </w:r>
      <w:r>
        <w:rPr>
          <w:color w:val="231F20"/>
          <w:w w:val="120"/>
        </w:rPr>
        <w:t>humain</w:t>
      </w:r>
      <w:r>
        <w:rPr>
          <w:i/>
          <w:color w:val="231F20"/>
          <w:w w:val="120"/>
        </w:rPr>
        <w:t>.</w:t>
      </w:r>
      <w:r>
        <w:rPr>
          <w:i/>
          <w:color w:val="231F20"/>
          <w:spacing w:val="-32"/>
          <w:w w:val="120"/>
        </w:rPr>
        <w:t> </w:t>
      </w:r>
      <w:r>
        <w:rPr>
          <w:color w:val="231F20"/>
          <w:w w:val="120"/>
        </w:rPr>
        <w:t>»</w:t>
      </w:r>
    </w:p>
    <w:p>
      <w:pPr>
        <w:pStyle w:val="BodyText"/>
        <w:rPr>
          <w:sz w:val="20"/>
        </w:rPr>
      </w:pPr>
    </w:p>
    <w:p>
      <w:pPr>
        <w:pStyle w:val="BodyText"/>
        <w:rPr>
          <w:sz w:val="20"/>
        </w:rPr>
      </w:pPr>
    </w:p>
    <w:p>
      <w:pPr>
        <w:pStyle w:val="BodyText"/>
        <w:spacing w:before="2"/>
        <w:rPr>
          <w:sz w:val="14"/>
        </w:rPr>
      </w:pPr>
      <w:r>
        <w:rPr/>
        <w:pict>
          <v:shape style="position:absolute;margin-left:62.5pt;margin-top:9.371970pt;width:287.5pt;height:.1pt;mso-position-horizontal-relative:page;mso-position-vertical-relative:paragraph;z-index:-15651840;mso-wrap-distance-left:0;mso-wrap-distance-right:0" id="docshape885" coordorigin="1250,187" coordsize="5750,0" path="m1250,187l7000,187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40" w:lineRule="auto" w:before="135" w:after="0"/>
        <w:ind w:left="829" w:right="0" w:hanging="406"/>
        <w:jc w:val="left"/>
        <w:rPr>
          <w:rFonts w:ascii="Arial"/>
          <w:sz w:val="12"/>
        </w:rPr>
      </w:pPr>
      <w:r>
        <w:rPr>
          <w:rFonts w:ascii="Arial"/>
          <w:color w:val="231F20"/>
          <w:spacing w:val="-2"/>
          <w:sz w:val="12"/>
        </w:rPr>
        <w:t>Ortega</w:t>
      </w:r>
      <w:r>
        <w:rPr>
          <w:rFonts w:ascii="Arial"/>
          <w:color w:val="231F20"/>
          <w:sz w:val="12"/>
        </w:rPr>
        <w:t> </w:t>
      </w:r>
      <w:r>
        <w:rPr>
          <w:rFonts w:ascii="Arial"/>
          <w:color w:val="231F20"/>
          <w:spacing w:val="-2"/>
          <w:sz w:val="12"/>
        </w:rPr>
        <w:t>y</w:t>
      </w:r>
      <w:r>
        <w:rPr>
          <w:rFonts w:ascii="Arial"/>
          <w:color w:val="231F20"/>
          <w:spacing w:val="1"/>
          <w:sz w:val="12"/>
        </w:rPr>
        <w:t> </w:t>
      </w:r>
      <w:r>
        <w:rPr>
          <w:rFonts w:ascii="Arial"/>
          <w:color w:val="231F20"/>
          <w:spacing w:val="-2"/>
          <w:sz w:val="12"/>
        </w:rPr>
        <w:t>Gasset,</w:t>
      </w:r>
      <w:r>
        <w:rPr>
          <w:rFonts w:ascii="Arial"/>
          <w:color w:val="231F20"/>
          <w:spacing w:val="1"/>
          <w:sz w:val="12"/>
        </w:rPr>
        <w:t> </w:t>
      </w:r>
      <w:r>
        <w:rPr>
          <w:rFonts w:ascii="Arial"/>
          <w:color w:val="231F20"/>
          <w:spacing w:val="-2"/>
          <w:sz w:val="12"/>
        </w:rPr>
        <w:t>J.</w:t>
      </w:r>
      <w:r>
        <w:rPr>
          <w:rFonts w:ascii="Arial"/>
          <w:color w:val="231F20"/>
          <w:sz w:val="12"/>
        </w:rPr>
        <w:t> </w:t>
      </w:r>
      <w:r>
        <w:rPr>
          <w:rFonts w:ascii="Arial"/>
          <w:color w:val="231F20"/>
          <w:spacing w:val="-2"/>
          <w:sz w:val="12"/>
        </w:rPr>
        <w:t>(1947).</w:t>
      </w:r>
      <w:r>
        <w:rPr>
          <w:rFonts w:ascii="Arial"/>
          <w:color w:val="231F20"/>
          <w:spacing w:val="1"/>
          <w:sz w:val="12"/>
        </w:rPr>
        <w:t> </w:t>
      </w:r>
      <w:r>
        <w:rPr>
          <w:rFonts w:ascii="Arial"/>
          <w:i/>
          <w:color w:val="231F20"/>
          <w:spacing w:val="-2"/>
          <w:sz w:val="12"/>
        </w:rPr>
        <w:t>En</w:t>
      </w:r>
      <w:r>
        <w:rPr>
          <w:rFonts w:ascii="Arial"/>
          <w:i/>
          <w:color w:val="231F20"/>
          <w:spacing w:val="1"/>
          <w:sz w:val="12"/>
        </w:rPr>
        <w:t> </w:t>
      </w:r>
      <w:r>
        <w:rPr>
          <w:rFonts w:ascii="Arial"/>
          <w:i/>
          <w:color w:val="231F20"/>
          <w:spacing w:val="-2"/>
          <w:sz w:val="12"/>
        </w:rPr>
        <w:t>torno</w:t>
      </w:r>
      <w:r>
        <w:rPr>
          <w:rFonts w:ascii="Arial"/>
          <w:i/>
          <w:color w:val="231F20"/>
          <w:spacing w:val="1"/>
          <w:sz w:val="12"/>
        </w:rPr>
        <w:t> </w:t>
      </w:r>
      <w:r>
        <w:rPr>
          <w:rFonts w:ascii="Arial"/>
          <w:i/>
          <w:color w:val="231F20"/>
          <w:spacing w:val="-2"/>
          <w:sz w:val="12"/>
        </w:rPr>
        <w:t>a</w:t>
      </w:r>
      <w:r>
        <w:rPr>
          <w:rFonts w:ascii="Arial"/>
          <w:i/>
          <w:color w:val="231F20"/>
          <w:sz w:val="12"/>
        </w:rPr>
        <w:t> </w:t>
      </w:r>
      <w:r>
        <w:rPr>
          <w:rFonts w:ascii="Arial"/>
          <w:i/>
          <w:color w:val="231F20"/>
          <w:spacing w:val="-2"/>
          <w:sz w:val="12"/>
        </w:rPr>
        <w:t>Galileo</w:t>
      </w:r>
      <w:r>
        <w:rPr>
          <w:rFonts w:ascii="Arial"/>
          <w:color w:val="231F20"/>
          <w:spacing w:val="-2"/>
          <w:sz w:val="12"/>
        </w:rPr>
        <w:t>,</w:t>
      </w:r>
      <w:r>
        <w:rPr>
          <w:rFonts w:ascii="Arial"/>
          <w:color w:val="231F20"/>
          <w:spacing w:val="1"/>
          <w:sz w:val="12"/>
        </w:rPr>
        <w:t> </w:t>
      </w:r>
      <w:r>
        <w:rPr>
          <w:rFonts w:ascii="Arial"/>
          <w:color w:val="231F20"/>
          <w:spacing w:val="-2"/>
          <w:sz w:val="12"/>
        </w:rPr>
        <w:t>Madrid,</w:t>
      </w:r>
      <w:r>
        <w:rPr>
          <w:rFonts w:ascii="Arial"/>
          <w:color w:val="231F20"/>
          <w:spacing w:val="1"/>
          <w:sz w:val="12"/>
        </w:rPr>
        <w:t> </w:t>
      </w:r>
      <w:r>
        <w:rPr>
          <w:rFonts w:ascii="Arial"/>
          <w:color w:val="231F20"/>
          <w:spacing w:val="-2"/>
          <w:sz w:val="12"/>
        </w:rPr>
        <w:t>Revista</w:t>
      </w:r>
      <w:r>
        <w:rPr>
          <w:rFonts w:ascii="Arial"/>
          <w:color w:val="231F20"/>
          <w:spacing w:val="1"/>
          <w:sz w:val="12"/>
        </w:rPr>
        <w:t> </w:t>
      </w:r>
      <w:r>
        <w:rPr>
          <w:rFonts w:ascii="Arial"/>
          <w:color w:val="231F20"/>
          <w:spacing w:val="-2"/>
          <w:sz w:val="12"/>
        </w:rPr>
        <w:t>de</w:t>
      </w:r>
      <w:r>
        <w:rPr>
          <w:rFonts w:ascii="Arial"/>
          <w:color w:val="231F20"/>
          <w:sz w:val="12"/>
        </w:rPr>
        <w:t> </w:t>
      </w:r>
      <w:r>
        <w:rPr>
          <w:rFonts w:ascii="Arial"/>
          <w:color w:val="231F20"/>
          <w:spacing w:val="-2"/>
          <w:sz w:val="12"/>
        </w:rPr>
        <w:t>Occidente.</w:t>
      </w:r>
    </w:p>
    <w:p>
      <w:pPr>
        <w:spacing w:after="0" w:line="240" w:lineRule="auto"/>
        <w:jc w:val="left"/>
        <w:rPr>
          <w:rFonts w:ascii="Arial"/>
          <w:sz w:val="12"/>
        </w:rPr>
        <w:sectPr>
          <w:footerReference w:type="default" r:id="rId249"/>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19" w:right="105" w:firstLine="250"/>
        <w:jc w:val="both"/>
      </w:pPr>
      <w:r>
        <w:rPr>
          <w:color w:val="231F20"/>
          <w:w w:val="120"/>
        </w:rPr>
        <w:t>Une estime de soi positive est un peu le système immunitaire de la conscience;</w:t>
      </w:r>
      <w:r>
        <w:rPr>
          <w:color w:val="231F20"/>
          <w:spacing w:val="-13"/>
          <w:w w:val="120"/>
        </w:rPr>
        <w:t> </w:t>
      </w:r>
      <w:r>
        <w:rPr>
          <w:color w:val="231F20"/>
          <w:w w:val="120"/>
        </w:rPr>
        <w:t>elle</w:t>
      </w:r>
      <w:r>
        <w:rPr>
          <w:color w:val="231F20"/>
          <w:spacing w:val="-13"/>
          <w:w w:val="120"/>
        </w:rPr>
        <w:t> </w:t>
      </w:r>
      <w:r>
        <w:rPr>
          <w:color w:val="231F20"/>
          <w:w w:val="120"/>
        </w:rPr>
        <w:t>accroît</w:t>
      </w:r>
      <w:r>
        <w:rPr>
          <w:color w:val="231F20"/>
          <w:spacing w:val="-13"/>
          <w:w w:val="120"/>
        </w:rPr>
        <w:t> </w:t>
      </w:r>
      <w:r>
        <w:rPr>
          <w:color w:val="231F20"/>
          <w:w w:val="120"/>
        </w:rPr>
        <w:t>la</w:t>
      </w:r>
      <w:r>
        <w:rPr>
          <w:color w:val="231F20"/>
          <w:spacing w:val="-12"/>
          <w:w w:val="120"/>
        </w:rPr>
        <w:t> </w:t>
      </w:r>
      <w:r>
        <w:rPr>
          <w:color w:val="231F20"/>
          <w:w w:val="120"/>
        </w:rPr>
        <w:t>résistance,</w:t>
      </w:r>
      <w:r>
        <w:rPr>
          <w:color w:val="231F20"/>
          <w:spacing w:val="-13"/>
          <w:w w:val="120"/>
        </w:rPr>
        <w:t> </w:t>
      </w:r>
      <w:r>
        <w:rPr>
          <w:color w:val="231F20"/>
          <w:w w:val="120"/>
        </w:rPr>
        <w:t>la</w:t>
      </w:r>
      <w:r>
        <w:rPr>
          <w:color w:val="231F20"/>
          <w:spacing w:val="-13"/>
          <w:w w:val="120"/>
        </w:rPr>
        <w:t> </w:t>
      </w:r>
      <w:r>
        <w:rPr>
          <w:color w:val="231F20"/>
          <w:w w:val="120"/>
        </w:rPr>
        <w:t>force</w:t>
      </w:r>
      <w:r>
        <w:rPr>
          <w:color w:val="231F20"/>
          <w:spacing w:val="-13"/>
          <w:w w:val="120"/>
        </w:rPr>
        <w:t> </w:t>
      </w:r>
      <w:r>
        <w:rPr>
          <w:color w:val="231F20"/>
          <w:w w:val="120"/>
        </w:rPr>
        <w:t>et</w:t>
      </w:r>
      <w:r>
        <w:rPr>
          <w:color w:val="231F20"/>
          <w:spacing w:val="-12"/>
          <w:w w:val="120"/>
        </w:rPr>
        <w:t> </w:t>
      </w:r>
      <w:r>
        <w:rPr>
          <w:color w:val="231F20"/>
          <w:w w:val="120"/>
        </w:rPr>
        <w:t>la</w:t>
      </w:r>
      <w:r>
        <w:rPr>
          <w:color w:val="231F20"/>
          <w:spacing w:val="-13"/>
          <w:w w:val="120"/>
        </w:rPr>
        <w:t> </w:t>
      </w:r>
      <w:r>
        <w:rPr>
          <w:color w:val="231F20"/>
          <w:w w:val="120"/>
        </w:rPr>
        <w:t>capacité</w:t>
      </w:r>
      <w:r>
        <w:rPr>
          <w:color w:val="231F20"/>
          <w:spacing w:val="-13"/>
          <w:w w:val="120"/>
        </w:rPr>
        <w:t> </w:t>
      </w:r>
      <w:r>
        <w:rPr>
          <w:color w:val="231F20"/>
          <w:w w:val="120"/>
        </w:rPr>
        <w:t>de</w:t>
      </w:r>
      <w:r>
        <w:rPr>
          <w:color w:val="231F20"/>
          <w:spacing w:val="-13"/>
          <w:w w:val="120"/>
        </w:rPr>
        <w:t> </w:t>
      </w:r>
      <w:r>
        <w:rPr>
          <w:color w:val="231F20"/>
          <w:w w:val="120"/>
        </w:rPr>
        <w:t>régénéra- </w:t>
      </w:r>
      <w:r>
        <w:rPr>
          <w:color w:val="231F20"/>
          <w:spacing w:val="-2"/>
          <w:w w:val="120"/>
        </w:rPr>
        <w:t>tion</w:t>
      </w:r>
      <w:r>
        <w:rPr>
          <w:color w:val="231F20"/>
          <w:spacing w:val="-8"/>
          <w:w w:val="120"/>
        </w:rPr>
        <w:t> </w:t>
      </w:r>
      <w:r>
        <w:rPr>
          <w:color w:val="231F20"/>
          <w:spacing w:val="-2"/>
          <w:w w:val="120"/>
        </w:rPr>
        <w:t>face</w:t>
      </w:r>
      <w:r>
        <w:rPr>
          <w:color w:val="231F20"/>
          <w:spacing w:val="-8"/>
          <w:w w:val="120"/>
        </w:rPr>
        <w:t> </w:t>
      </w:r>
      <w:r>
        <w:rPr>
          <w:color w:val="231F20"/>
          <w:spacing w:val="-2"/>
          <w:w w:val="120"/>
        </w:rPr>
        <w:t>aux</w:t>
      </w:r>
      <w:r>
        <w:rPr>
          <w:color w:val="231F20"/>
          <w:spacing w:val="-8"/>
          <w:w w:val="120"/>
        </w:rPr>
        <w:t> </w:t>
      </w:r>
      <w:r>
        <w:rPr>
          <w:color w:val="231F20"/>
          <w:spacing w:val="-2"/>
          <w:w w:val="120"/>
        </w:rPr>
        <w:t>traumatismes</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vie.</w:t>
      </w:r>
      <w:r>
        <w:rPr>
          <w:color w:val="231F20"/>
          <w:spacing w:val="-8"/>
          <w:w w:val="120"/>
        </w:rPr>
        <w:t> </w:t>
      </w:r>
      <w:r>
        <w:rPr>
          <w:color w:val="231F20"/>
          <w:spacing w:val="-2"/>
          <w:w w:val="120"/>
        </w:rPr>
        <w:t>La</w:t>
      </w:r>
      <w:r>
        <w:rPr>
          <w:color w:val="231F20"/>
          <w:spacing w:val="-8"/>
          <w:w w:val="120"/>
        </w:rPr>
        <w:t> </w:t>
      </w:r>
      <w:r>
        <w:rPr>
          <w:color w:val="231F20"/>
          <w:spacing w:val="-2"/>
          <w:w w:val="120"/>
        </w:rPr>
        <w:t>personne</w:t>
      </w:r>
      <w:r>
        <w:rPr>
          <w:color w:val="231F20"/>
          <w:spacing w:val="-8"/>
          <w:w w:val="120"/>
        </w:rPr>
        <w:t> </w:t>
      </w:r>
      <w:r>
        <w:rPr>
          <w:color w:val="231F20"/>
          <w:spacing w:val="-2"/>
          <w:w w:val="120"/>
        </w:rPr>
        <w:t>qui</w:t>
      </w:r>
      <w:r>
        <w:rPr>
          <w:color w:val="231F20"/>
          <w:spacing w:val="-8"/>
          <w:w w:val="120"/>
        </w:rPr>
        <w:t> </w:t>
      </w:r>
      <w:r>
        <w:rPr>
          <w:color w:val="231F20"/>
          <w:spacing w:val="-2"/>
          <w:w w:val="120"/>
        </w:rPr>
        <w:t>a</w:t>
      </w:r>
      <w:r>
        <w:rPr>
          <w:color w:val="231F20"/>
          <w:spacing w:val="-8"/>
          <w:w w:val="120"/>
        </w:rPr>
        <w:t> </w:t>
      </w:r>
      <w:r>
        <w:rPr>
          <w:color w:val="231F20"/>
          <w:spacing w:val="-2"/>
          <w:w w:val="120"/>
        </w:rPr>
        <w:t>une</w:t>
      </w:r>
      <w:r>
        <w:rPr>
          <w:color w:val="231F20"/>
          <w:spacing w:val="-8"/>
          <w:w w:val="120"/>
        </w:rPr>
        <w:t> </w:t>
      </w:r>
      <w:r>
        <w:rPr>
          <w:color w:val="231F20"/>
          <w:spacing w:val="-2"/>
          <w:w w:val="120"/>
        </w:rPr>
        <w:t>faible</w:t>
      </w:r>
      <w:r>
        <w:rPr>
          <w:color w:val="231F20"/>
          <w:spacing w:val="-8"/>
          <w:w w:val="120"/>
        </w:rPr>
        <w:t> </w:t>
      </w:r>
      <w:r>
        <w:rPr>
          <w:color w:val="231F20"/>
          <w:spacing w:val="-2"/>
          <w:w w:val="120"/>
        </w:rPr>
        <w:t>estime de</w:t>
      </w:r>
      <w:r>
        <w:rPr>
          <w:color w:val="231F20"/>
          <w:spacing w:val="-9"/>
          <w:w w:val="120"/>
        </w:rPr>
        <w:t> </w:t>
      </w:r>
      <w:r>
        <w:rPr>
          <w:color w:val="231F20"/>
          <w:spacing w:val="-2"/>
          <w:w w:val="120"/>
        </w:rPr>
        <w:t>soi</w:t>
      </w:r>
      <w:r>
        <w:rPr>
          <w:color w:val="231F20"/>
          <w:spacing w:val="-9"/>
          <w:w w:val="120"/>
        </w:rPr>
        <w:t> </w:t>
      </w:r>
      <w:r>
        <w:rPr>
          <w:color w:val="231F20"/>
          <w:spacing w:val="-2"/>
          <w:w w:val="120"/>
        </w:rPr>
        <w:t>a</w:t>
      </w:r>
      <w:r>
        <w:rPr>
          <w:color w:val="231F20"/>
          <w:spacing w:val="-9"/>
          <w:w w:val="120"/>
        </w:rPr>
        <w:t> </w:t>
      </w:r>
      <w:r>
        <w:rPr>
          <w:color w:val="231F20"/>
          <w:spacing w:val="-2"/>
          <w:w w:val="120"/>
        </w:rPr>
        <w:t>plus</w:t>
      </w:r>
      <w:r>
        <w:rPr>
          <w:color w:val="231F20"/>
          <w:spacing w:val="-9"/>
          <w:w w:val="120"/>
        </w:rPr>
        <w:t> </w:t>
      </w:r>
      <w:r>
        <w:rPr>
          <w:color w:val="231F20"/>
          <w:spacing w:val="-2"/>
          <w:w w:val="120"/>
        </w:rPr>
        <w:t>tendance</w:t>
      </w:r>
      <w:r>
        <w:rPr>
          <w:color w:val="231F20"/>
          <w:spacing w:val="-9"/>
          <w:w w:val="120"/>
        </w:rPr>
        <w:t> </w:t>
      </w:r>
      <w:r>
        <w:rPr>
          <w:color w:val="231F20"/>
          <w:spacing w:val="-2"/>
          <w:w w:val="120"/>
        </w:rPr>
        <w:t>à</w:t>
      </w:r>
      <w:r>
        <w:rPr>
          <w:color w:val="231F20"/>
          <w:spacing w:val="-9"/>
          <w:w w:val="120"/>
        </w:rPr>
        <w:t> </w:t>
      </w:r>
      <w:r>
        <w:rPr>
          <w:color w:val="231F20"/>
          <w:spacing w:val="-2"/>
          <w:w w:val="120"/>
        </w:rPr>
        <w:t>vouloir</w:t>
      </w:r>
      <w:r>
        <w:rPr>
          <w:color w:val="231F20"/>
          <w:spacing w:val="-9"/>
          <w:w w:val="120"/>
        </w:rPr>
        <w:t> </w:t>
      </w:r>
      <w:r>
        <w:rPr>
          <w:color w:val="231F20"/>
          <w:spacing w:val="-2"/>
          <w:w w:val="120"/>
        </w:rPr>
        <w:t>éviter</w:t>
      </w:r>
      <w:r>
        <w:rPr>
          <w:color w:val="231F20"/>
          <w:spacing w:val="-9"/>
          <w:w w:val="120"/>
        </w:rPr>
        <w:t> </w:t>
      </w:r>
      <w:r>
        <w:rPr>
          <w:color w:val="231F20"/>
          <w:spacing w:val="-2"/>
          <w:w w:val="120"/>
        </w:rPr>
        <w:t>le</w:t>
      </w:r>
      <w:r>
        <w:rPr>
          <w:color w:val="231F20"/>
          <w:spacing w:val="-9"/>
          <w:w w:val="120"/>
        </w:rPr>
        <w:t> </w:t>
      </w:r>
      <w:r>
        <w:rPr>
          <w:color w:val="231F20"/>
          <w:spacing w:val="-2"/>
          <w:w w:val="120"/>
        </w:rPr>
        <w:t>malheur</w:t>
      </w:r>
      <w:r>
        <w:rPr>
          <w:color w:val="231F20"/>
          <w:spacing w:val="-9"/>
          <w:w w:val="120"/>
        </w:rPr>
        <w:t> </w:t>
      </w:r>
      <w:r>
        <w:rPr>
          <w:color w:val="231F20"/>
          <w:spacing w:val="-2"/>
          <w:w w:val="120"/>
        </w:rPr>
        <w:t>qu’à</w:t>
      </w:r>
      <w:r>
        <w:rPr>
          <w:color w:val="231F20"/>
          <w:spacing w:val="-9"/>
          <w:w w:val="120"/>
        </w:rPr>
        <w:t> </w:t>
      </w:r>
      <w:r>
        <w:rPr>
          <w:color w:val="231F20"/>
          <w:spacing w:val="-2"/>
          <w:w w:val="120"/>
        </w:rPr>
        <w:t>rechercher</w:t>
      </w:r>
      <w:r>
        <w:rPr>
          <w:color w:val="231F20"/>
          <w:spacing w:val="-9"/>
          <w:w w:val="120"/>
        </w:rPr>
        <w:t> </w:t>
      </w:r>
      <w:r>
        <w:rPr>
          <w:color w:val="231F20"/>
          <w:spacing w:val="-2"/>
          <w:w w:val="120"/>
        </w:rPr>
        <w:t>le</w:t>
      </w:r>
      <w:r>
        <w:rPr>
          <w:color w:val="231F20"/>
          <w:spacing w:val="-9"/>
          <w:w w:val="120"/>
        </w:rPr>
        <w:t> </w:t>
      </w:r>
      <w:r>
        <w:rPr>
          <w:color w:val="231F20"/>
          <w:spacing w:val="-2"/>
          <w:w w:val="120"/>
        </w:rPr>
        <w:t>bon- </w:t>
      </w:r>
      <w:r>
        <w:rPr>
          <w:color w:val="231F20"/>
          <w:w w:val="115"/>
        </w:rPr>
        <w:t>heur.</w:t>
      </w:r>
      <w:r>
        <w:rPr>
          <w:color w:val="231F20"/>
          <w:spacing w:val="-5"/>
          <w:w w:val="115"/>
        </w:rPr>
        <w:t> </w:t>
      </w:r>
      <w:r>
        <w:rPr>
          <w:color w:val="231F20"/>
          <w:w w:val="115"/>
        </w:rPr>
        <w:t>En</w:t>
      </w:r>
      <w:r>
        <w:rPr>
          <w:color w:val="231F20"/>
          <w:spacing w:val="-5"/>
          <w:w w:val="115"/>
        </w:rPr>
        <w:t> </w:t>
      </w:r>
      <w:r>
        <w:rPr>
          <w:color w:val="231F20"/>
          <w:w w:val="115"/>
        </w:rPr>
        <w:t>outre,</w:t>
      </w:r>
      <w:r>
        <w:rPr>
          <w:color w:val="231F20"/>
          <w:spacing w:val="-5"/>
          <w:w w:val="115"/>
        </w:rPr>
        <w:t> </w:t>
      </w:r>
      <w:r>
        <w:rPr>
          <w:color w:val="231F20"/>
          <w:w w:val="115"/>
        </w:rPr>
        <w:t>rien</w:t>
      </w:r>
      <w:r>
        <w:rPr>
          <w:color w:val="231F20"/>
          <w:spacing w:val="-5"/>
          <w:w w:val="115"/>
        </w:rPr>
        <w:t> </w:t>
      </w:r>
      <w:r>
        <w:rPr>
          <w:color w:val="231F20"/>
          <w:w w:val="115"/>
        </w:rPr>
        <w:t>de</w:t>
      </w:r>
      <w:r>
        <w:rPr>
          <w:color w:val="231F20"/>
          <w:spacing w:val="-5"/>
          <w:w w:val="115"/>
        </w:rPr>
        <w:t> </w:t>
      </w:r>
      <w:r>
        <w:rPr>
          <w:color w:val="231F20"/>
          <w:w w:val="115"/>
        </w:rPr>
        <w:t>ce</w:t>
      </w:r>
      <w:r>
        <w:rPr>
          <w:color w:val="231F20"/>
          <w:spacing w:val="-5"/>
          <w:w w:val="115"/>
        </w:rPr>
        <w:t> </w:t>
      </w:r>
      <w:r>
        <w:rPr>
          <w:color w:val="231F20"/>
          <w:w w:val="115"/>
        </w:rPr>
        <w:t>qu’elle</w:t>
      </w:r>
      <w:r>
        <w:rPr>
          <w:color w:val="231F20"/>
          <w:spacing w:val="-5"/>
          <w:w w:val="115"/>
        </w:rPr>
        <w:t> </w:t>
      </w:r>
      <w:r>
        <w:rPr>
          <w:color w:val="231F20"/>
          <w:w w:val="115"/>
        </w:rPr>
        <w:t>accomplit</w:t>
      </w:r>
      <w:r>
        <w:rPr>
          <w:color w:val="231F20"/>
          <w:spacing w:val="-5"/>
          <w:w w:val="115"/>
        </w:rPr>
        <w:t> </w:t>
      </w:r>
      <w:r>
        <w:rPr>
          <w:color w:val="231F20"/>
          <w:w w:val="115"/>
        </w:rPr>
        <w:t>ne</w:t>
      </w:r>
      <w:r>
        <w:rPr>
          <w:color w:val="231F20"/>
          <w:spacing w:val="-5"/>
          <w:w w:val="115"/>
        </w:rPr>
        <w:t> </w:t>
      </w:r>
      <w:r>
        <w:rPr>
          <w:color w:val="231F20"/>
          <w:w w:val="115"/>
        </w:rPr>
        <w:t>semble</w:t>
      </w:r>
      <w:r>
        <w:rPr>
          <w:color w:val="231F20"/>
          <w:spacing w:val="-5"/>
          <w:w w:val="115"/>
        </w:rPr>
        <w:t> </w:t>
      </w:r>
      <w:r>
        <w:rPr>
          <w:color w:val="231F20"/>
          <w:w w:val="115"/>
        </w:rPr>
        <w:t>suffire.</w:t>
      </w:r>
      <w:r>
        <w:rPr>
          <w:color w:val="231F20"/>
          <w:spacing w:val="-5"/>
          <w:w w:val="115"/>
        </w:rPr>
        <w:t> </w:t>
      </w:r>
      <w:r>
        <w:rPr>
          <w:color w:val="231F20"/>
          <w:w w:val="115"/>
        </w:rPr>
        <w:t>Cette</w:t>
      </w:r>
      <w:r>
        <w:rPr>
          <w:color w:val="231F20"/>
          <w:spacing w:val="-5"/>
          <w:w w:val="115"/>
        </w:rPr>
        <w:t> </w:t>
      </w:r>
      <w:r>
        <w:rPr>
          <w:color w:val="231F20"/>
          <w:w w:val="115"/>
        </w:rPr>
        <w:t>situa- </w:t>
      </w:r>
      <w:r>
        <w:rPr>
          <w:color w:val="231F20"/>
          <w:spacing w:val="-4"/>
          <w:w w:val="120"/>
        </w:rPr>
        <w:t>tion s’apparente au mythe de Sisyphe, qui emploie des efforts titanesques </w:t>
      </w:r>
      <w:r>
        <w:rPr>
          <w:color w:val="231F20"/>
          <w:spacing w:val="-2"/>
          <w:w w:val="120"/>
        </w:rPr>
        <w:t>à</w:t>
      </w:r>
      <w:r>
        <w:rPr>
          <w:color w:val="231F20"/>
          <w:spacing w:val="-3"/>
          <w:w w:val="120"/>
        </w:rPr>
        <w:t> </w:t>
      </w:r>
      <w:r>
        <w:rPr>
          <w:color w:val="231F20"/>
          <w:spacing w:val="-2"/>
          <w:w w:val="120"/>
        </w:rPr>
        <w:t>la</w:t>
      </w:r>
      <w:r>
        <w:rPr>
          <w:color w:val="231F20"/>
          <w:spacing w:val="-3"/>
          <w:w w:val="120"/>
        </w:rPr>
        <w:t> </w:t>
      </w:r>
      <w:r>
        <w:rPr>
          <w:color w:val="231F20"/>
          <w:spacing w:val="-2"/>
          <w:w w:val="120"/>
        </w:rPr>
        <w:t>réalisation</w:t>
      </w:r>
      <w:r>
        <w:rPr>
          <w:color w:val="231F20"/>
          <w:spacing w:val="-3"/>
          <w:w w:val="120"/>
        </w:rPr>
        <w:t> </w:t>
      </w:r>
      <w:r>
        <w:rPr>
          <w:color w:val="231F20"/>
          <w:spacing w:val="-2"/>
          <w:w w:val="120"/>
        </w:rPr>
        <w:t>répétée</w:t>
      </w:r>
      <w:r>
        <w:rPr>
          <w:color w:val="231F20"/>
          <w:spacing w:val="-3"/>
          <w:w w:val="120"/>
        </w:rPr>
        <w:t> </w:t>
      </w:r>
      <w:r>
        <w:rPr>
          <w:color w:val="231F20"/>
          <w:spacing w:val="-2"/>
          <w:w w:val="120"/>
        </w:rPr>
        <w:t>d’objectifs</w:t>
      </w:r>
      <w:r>
        <w:rPr>
          <w:color w:val="231F20"/>
          <w:spacing w:val="-3"/>
          <w:w w:val="120"/>
        </w:rPr>
        <w:t> </w:t>
      </w:r>
      <w:r>
        <w:rPr>
          <w:color w:val="231F20"/>
          <w:spacing w:val="-2"/>
          <w:w w:val="120"/>
        </w:rPr>
        <w:t>inaccessibles,</w:t>
      </w:r>
      <w:r>
        <w:rPr>
          <w:color w:val="231F20"/>
          <w:spacing w:val="-3"/>
          <w:w w:val="120"/>
        </w:rPr>
        <w:t> </w:t>
      </w:r>
      <w:r>
        <w:rPr>
          <w:color w:val="231F20"/>
          <w:spacing w:val="-2"/>
          <w:w w:val="120"/>
        </w:rPr>
        <w:t>sans</w:t>
      </w:r>
      <w:r>
        <w:rPr>
          <w:color w:val="231F20"/>
          <w:spacing w:val="-3"/>
          <w:w w:val="120"/>
        </w:rPr>
        <w:t> </w:t>
      </w:r>
      <w:r>
        <w:rPr>
          <w:color w:val="231F20"/>
          <w:spacing w:val="-2"/>
          <w:w w:val="120"/>
        </w:rPr>
        <w:t>jamais</w:t>
      </w:r>
      <w:r>
        <w:rPr>
          <w:color w:val="231F20"/>
          <w:spacing w:val="-3"/>
          <w:w w:val="120"/>
        </w:rPr>
        <w:t> </w:t>
      </w:r>
      <w:r>
        <w:rPr>
          <w:color w:val="231F20"/>
          <w:spacing w:val="-2"/>
          <w:w w:val="120"/>
        </w:rPr>
        <w:t>reconnaître </w:t>
      </w:r>
      <w:r>
        <w:rPr>
          <w:color w:val="231F20"/>
          <w:w w:val="120"/>
        </w:rPr>
        <w:t>son propre mérite ni obtenir de récompense satisfaisante.</w:t>
      </w:r>
    </w:p>
    <w:p>
      <w:pPr>
        <w:pStyle w:val="BodyText"/>
        <w:spacing w:line="307" w:lineRule="auto" w:before="79"/>
        <w:ind w:left="1219" w:right="104" w:firstLine="250"/>
        <w:jc w:val="both"/>
      </w:pPr>
      <w:r>
        <w:rPr>
          <w:color w:val="231F20"/>
          <w:w w:val="115"/>
        </w:rPr>
        <w:t>Beaucoup</w:t>
      </w:r>
      <w:r>
        <w:rPr>
          <w:color w:val="231F20"/>
          <w:spacing w:val="-5"/>
          <w:w w:val="115"/>
        </w:rPr>
        <w:t> </w:t>
      </w:r>
      <w:r>
        <w:rPr>
          <w:color w:val="231F20"/>
          <w:w w:val="115"/>
        </w:rPr>
        <w:t>de</w:t>
      </w:r>
      <w:r>
        <w:rPr>
          <w:color w:val="231F20"/>
          <w:spacing w:val="-5"/>
          <w:w w:val="115"/>
        </w:rPr>
        <w:t> </w:t>
      </w:r>
      <w:r>
        <w:rPr>
          <w:color w:val="231F20"/>
          <w:w w:val="115"/>
        </w:rPr>
        <w:t>gens</w:t>
      </w:r>
      <w:r>
        <w:rPr>
          <w:color w:val="231F20"/>
          <w:spacing w:val="-5"/>
          <w:w w:val="115"/>
        </w:rPr>
        <w:t> </w:t>
      </w:r>
      <w:r>
        <w:rPr>
          <w:color w:val="231F20"/>
          <w:w w:val="115"/>
        </w:rPr>
        <w:t>qui,</w:t>
      </w:r>
      <w:r>
        <w:rPr>
          <w:color w:val="231F20"/>
          <w:spacing w:val="-5"/>
          <w:w w:val="115"/>
        </w:rPr>
        <w:t> </w:t>
      </w:r>
      <w:r>
        <w:rPr>
          <w:color w:val="231F20"/>
          <w:w w:val="115"/>
        </w:rPr>
        <w:t>en</w:t>
      </w:r>
      <w:r>
        <w:rPr>
          <w:color w:val="231F20"/>
          <w:spacing w:val="-5"/>
          <w:w w:val="115"/>
        </w:rPr>
        <w:t> </w:t>
      </w:r>
      <w:r>
        <w:rPr>
          <w:color w:val="231F20"/>
          <w:w w:val="115"/>
        </w:rPr>
        <w:t>apparence,</w:t>
      </w:r>
      <w:r>
        <w:rPr>
          <w:color w:val="231F20"/>
          <w:spacing w:val="-5"/>
          <w:w w:val="115"/>
        </w:rPr>
        <w:t> </w:t>
      </w:r>
      <w:r>
        <w:rPr>
          <w:color w:val="231F20"/>
          <w:w w:val="115"/>
        </w:rPr>
        <w:t>ont</w:t>
      </w:r>
      <w:r>
        <w:rPr>
          <w:color w:val="231F20"/>
          <w:spacing w:val="-5"/>
          <w:w w:val="115"/>
        </w:rPr>
        <w:t> </w:t>
      </w:r>
      <w:r>
        <w:rPr>
          <w:color w:val="231F20"/>
          <w:w w:val="115"/>
        </w:rPr>
        <w:t>une</w:t>
      </w:r>
      <w:r>
        <w:rPr>
          <w:color w:val="231F20"/>
          <w:spacing w:val="-5"/>
          <w:w w:val="115"/>
        </w:rPr>
        <w:t> </w:t>
      </w:r>
      <w:r>
        <w:rPr>
          <w:color w:val="231F20"/>
          <w:w w:val="115"/>
        </w:rPr>
        <w:t>vie</w:t>
      </w:r>
      <w:r>
        <w:rPr>
          <w:color w:val="231F20"/>
          <w:spacing w:val="-5"/>
          <w:w w:val="115"/>
        </w:rPr>
        <w:t> </w:t>
      </w:r>
      <w:r>
        <w:rPr>
          <w:color w:val="231F20"/>
          <w:w w:val="115"/>
        </w:rPr>
        <w:t>sociale</w:t>
      </w:r>
      <w:r>
        <w:rPr>
          <w:color w:val="231F20"/>
          <w:spacing w:val="-5"/>
          <w:w w:val="115"/>
        </w:rPr>
        <w:t> </w:t>
      </w:r>
      <w:r>
        <w:rPr>
          <w:color w:val="231F20"/>
          <w:w w:val="115"/>
        </w:rPr>
        <w:t>et</w:t>
      </w:r>
      <w:r>
        <w:rPr>
          <w:color w:val="231F20"/>
          <w:spacing w:val="-5"/>
          <w:w w:val="115"/>
        </w:rPr>
        <w:t> </w:t>
      </w:r>
      <w:r>
        <w:rPr>
          <w:color w:val="231F20"/>
          <w:w w:val="115"/>
        </w:rPr>
        <w:t>profession- </w:t>
      </w:r>
      <w:r>
        <w:rPr>
          <w:color w:val="231F20"/>
          <w:spacing w:val="-4"/>
          <w:w w:val="120"/>
        </w:rPr>
        <w:t>nelle</w:t>
      </w:r>
      <w:r>
        <w:rPr>
          <w:color w:val="231F20"/>
          <w:spacing w:val="-5"/>
          <w:w w:val="120"/>
        </w:rPr>
        <w:t> </w:t>
      </w:r>
      <w:r>
        <w:rPr>
          <w:color w:val="231F20"/>
          <w:spacing w:val="-4"/>
          <w:w w:val="120"/>
        </w:rPr>
        <w:t>fructueuse</w:t>
      </w:r>
      <w:r>
        <w:rPr>
          <w:color w:val="231F20"/>
          <w:spacing w:val="-5"/>
          <w:w w:val="120"/>
        </w:rPr>
        <w:t> </w:t>
      </w:r>
      <w:r>
        <w:rPr>
          <w:color w:val="231F20"/>
          <w:spacing w:val="-4"/>
          <w:w w:val="120"/>
        </w:rPr>
        <w:t>et</w:t>
      </w:r>
      <w:r>
        <w:rPr>
          <w:color w:val="231F20"/>
          <w:spacing w:val="-5"/>
          <w:w w:val="120"/>
        </w:rPr>
        <w:t> </w:t>
      </w:r>
      <w:r>
        <w:rPr>
          <w:color w:val="231F20"/>
          <w:spacing w:val="-4"/>
          <w:w w:val="120"/>
        </w:rPr>
        <w:t>sont</w:t>
      </w:r>
      <w:r>
        <w:rPr>
          <w:color w:val="231F20"/>
          <w:spacing w:val="-5"/>
          <w:w w:val="120"/>
        </w:rPr>
        <w:t> </w:t>
      </w:r>
      <w:r>
        <w:rPr>
          <w:color w:val="231F20"/>
          <w:spacing w:val="-4"/>
          <w:w w:val="120"/>
        </w:rPr>
        <w:t>tellement</w:t>
      </w:r>
      <w:r>
        <w:rPr>
          <w:color w:val="231F20"/>
          <w:spacing w:val="-5"/>
          <w:w w:val="120"/>
        </w:rPr>
        <w:t> </w:t>
      </w:r>
      <w:r>
        <w:rPr>
          <w:color w:val="231F20"/>
          <w:spacing w:val="-4"/>
          <w:w w:val="120"/>
        </w:rPr>
        <w:t>sûrs</w:t>
      </w:r>
      <w:r>
        <w:rPr>
          <w:color w:val="231F20"/>
          <w:spacing w:val="-5"/>
          <w:w w:val="120"/>
        </w:rPr>
        <w:t> </w:t>
      </w:r>
      <w:r>
        <w:rPr>
          <w:color w:val="231F20"/>
          <w:spacing w:val="-4"/>
          <w:w w:val="120"/>
        </w:rPr>
        <w:t>d’eux-mêmes</w:t>
      </w:r>
      <w:r>
        <w:rPr>
          <w:color w:val="231F20"/>
          <w:spacing w:val="-5"/>
          <w:w w:val="120"/>
        </w:rPr>
        <w:t> </w:t>
      </w:r>
      <w:r>
        <w:rPr>
          <w:color w:val="231F20"/>
          <w:spacing w:val="-4"/>
          <w:w w:val="120"/>
        </w:rPr>
        <w:t>qu’ils</w:t>
      </w:r>
      <w:r>
        <w:rPr>
          <w:color w:val="231F20"/>
          <w:spacing w:val="-5"/>
          <w:w w:val="120"/>
        </w:rPr>
        <w:t> </w:t>
      </w:r>
      <w:r>
        <w:rPr>
          <w:color w:val="231F20"/>
          <w:spacing w:val="-4"/>
          <w:w w:val="120"/>
        </w:rPr>
        <w:t>semblent</w:t>
      </w:r>
      <w:r>
        <w:rPr>
          <w:color w:val="231F20"/>
          <w:spacing w:val="-5"/>
          <w:w w:val="120"/>
        </w:rPr>
        <w:t> </w:t>
      </w:r>
      <w:r>
        <w:rPr>
          <w:color w:val="231F20"/>
          <w:spacing w:val="-4"/>
          <w:w w:val="120"/>
        </w:rPr>
        <w:t>avoir </w:t>
      </w:r>
      <w:r>
        <w:rPr>
          <w:color w:val="231F20"/>
          <w:w w:val="120"/>
        </w:rPr>
        <w:t>atteint</w:t>
      </w:r>
      <w:r>
        <w:rPr>
          <w:color w:val="231F20"/>
          <w:spacing w:val="-2"/>
          <w:w w:val="120"/>
        </w:rPr>
        <w:t> </w:t>
      </w:r>
      <w:r>
        <w:rPr>
          <w:color w:val="231F20"/>
          <w:w w:val="120"/>
        </w:rPr>
        <w:t>la</w:t>
      </w:r>
      <w:r>
        <w:rPr>
          <w:color w:val="231F20"/>
          <w:spacing w:val="-2"/>
          <w:w w:val="120"/>
        </w:rPr>
        <w:t> </w:t>
      </w:r>
      <w:r>
        <w:rPr>
          <w:color w:val="231F20"/>
          <w:w w:val="120"/>
        </w:rPr>
        <w:t>perfection</w:t>
      </w:r>
      <w:r>
        <w:rPr>
          <w:color w:val="231F20"/>
          <w:spacing w:val="-2"/>
          <w:w w:val="120"/>
        </w:rPr>
        <w:t> </w:t>
      </w:r>
      <w:r>
        <w:rPr>
          <w:color w:val="231F20"/>
          <w:w w:val="120"/>
        </w:rPr>
        <w:t>ont</w:t>
      </w:r>
      <w:r>
        <w:rPr>
          <w:color w:val="231F20"/>
          <w:spacing w:val="-2"/>
          <w:w w:val="120"/>
        </w:rPr>
        <w:t> </w:t>
      </w:r>
      <w:r>
        <w:rPr>
          <w:color w:val="231F20"/>
          <w:w w:val="120"/>
        </w:rPr>
        <w:t>en</w:t>
      </w:r>
      <w:r>
        <w:rPr>
          <w:color w:val="231F20"/>
          <w:spacing w:val="-2"/>
          <w:w w:val="120"/>
        </w:rPr>
        <w:t> </w:t>
      </w:r>
      <w:r>
        <w:rPr>
          <w:color w:val="231F20"/>
          <w:w w:val="120"/>
        </w:rPr>
        <w:t>fait</w:t>
      </w:r>
      <w:r>
        <w:rPr>
          <w:color w:val="231F20"/>
          <w:spacing w:val="-2"/>
          <w:w w:val="120"/>
        </w:rPr>
        <w:t> </w:t>
      </w:r>
      <w:r>
        <w:rPr>
          <w:color w:val="231F20"/>
          <w:w w:val="120"/>
        </w:rPr>
        <w:t>une</w:t>
      </w:r>
      <w:r>
        <w:rPr>
          <w:color w:val="231F20"/>
          <w:spacing w:val="-2"/>
          <w:w w:val="120"/>
        </w:rPr>
        <w:t> </w:t>
      </w:r>
      <w:r>
        <w:rPr>
          <w:color w:val="231F20"/>
          <w:w w:val="120"/>
        </w:rPr>
        <w:t>estime</w:t>
      </w:r>
      <w:r>
        <w:rPr>
          <w:color w:val="231F20"/>
          <w:spacing w:val="-2"/>
          <w:w w:val="120"/>
        </w:rPr>
        <w:t> </w:t>
      </w:r>
      <w:r>
        <w:rPr>
          <w:color w:val="231F20"/>
          <w:w w:val="120"/>
        </w:rPr>
        <w:t>de</w:t>
      </w:r>
      <w:r>
        <w:rPr>
          <w:color w:val="231F20"/>
          <w:spacing w:val="-2"/>
          <w:w w:val="120"/>
        </w:rPr>
        <w:t> </w:t>
      </w:r>
      <w:r>
        <w:rPr>
          <w:color w:val="231F20"/>
          <w:w w:val="120"/>
        </w:rPr>
        <w:t>soi</w:t>
      </w:r>
      <w:r>
        <w:rPr>
          <w:color w:val="231F20"/>
          <w:spacing w:val="-2"/>
          <w:w w:val="120"/>
        </w:rPr>
        <w:t> </w:t>
      </w:r>
      <w:r>
        <w:rPr>
          <w:color w:val="231F20"/>
          <w:w w:val="120"/>
        </w:rPr>
        <w:t>très</w:t>
      </w:r>
      <w:r>
        <w:rPr>
          <w:color w:val="231F20"/>
          <w:spacing w:val="-2"/>
          <w:w w:val="120"/>
        </w:rPr>
        <w:t> </w:t>
      </w:r>
      <w:r>
        <w:rPr>
          <w:color w:val="231F20"/>
          <w:w w:val="120"/>
        </w:rPr>
        <w:t>peu</w:t>
      </w:r>
      <w:r>
        <w:rPr>
          <w:color w:val="231F20"/>
          <w:spacing w:val="-2"/>
          <w:w w:val="120"/>
        </w:rPr>
        <w:t> </w:t>
      </w:r>
      <w:r>
        <w:rPr>
          <w:color w:val="231F20"/>
          <w:w w:val="120"/>
        </w:rPr>
        <w:t>ancrée.</w:t>
      </w:r>
      <w:r>
        <w:rPr>
          <w:color w:val="231F20"/>
          <w:spacing w:val="-2"/>
          <w:w w:val="120"/>
        </w:rPr>
        <w:t> </w:t>
      </w:r>
      <w:r>
        <w:rPr>
          <w:color w:val="231F20"/>
          <w:w w:val="120"/>
        </w:rPr>
        <w:t>C’est </w:t>
      </w:r>
      <w:r>
        <w:rPr>
          <w:color w:val="231F20"/>
          <w:spacing w:val="-2"/>
          <w:w w:val="120"/>
        </w:rPr>
        <w:t>peut-être</w:t>
      </w:r>
      <w:r>
        <w:rPr>
          <w:color w:val="231F20"/>
          <w:spacing w:val="-6"/>
          <w:w w:val="120"/>
        </w:rPr>
        <w:t> </w:t>
      </w:r>
      <w:r>
        <w:rPr>
          <w:color w:val="231F20"/>
          <w:spacing w:val="-2"/>
          <w:w w:val="120"/>
        </w:rPr>
        <w:t>pour</w:t>
      </w:r>
      <w:r>
        <w:rPr>
          <w:color w:val="231F20"/>
          <w:spacing w:val="-6"/>
          <w:w w:val="120"/>
        </w:rPr>
        <w:t> </w:t>
      </w:r>
      <w:r>
        <w:rPr>
          <w:color w:val="231F20"/>
          <w:spacing w:val="-2"/>
          <w:w w:val="120"/>
        </w:rPr>
        <w:t>cela</w:t>
      </w:r>
      <w:r>
        <w:rPr>
          <w:color w:val="231F20"/>
          <w:spacing w:val="-6"/>
          <w:w w:val="120"/>
        </w:rPr>
        <w:t> </w:t>
      </w:r>
      <w:r>
        <w:rPr>
          <w:color w:val="231F20"/>
          <w:spacing w:val="-2"/>
          <w:w w:val="120"/>
        </w:rPr>
        <w:t>qu’ils</w:t>
      </w:r>
      <w:r>
        <w:rPr>
          <w:color w:val="231F20"/>
          <w:spacing w:val="-6"/>
          <w:w w:val="120"/>
        </w:rPr>
        <w:t> </w:t>
      </w:r>
      <w:r>
        <w:rPr>
          <w:color w:val="231F20"/>
          <w:spacing w:val="-2"/>
          <w:w w:val="120"/>
        </w:rPr>
        <w:t>s’efforcent</w:t>
      </w:r>
      <w:r>
        <w:rPr>
          <w:color w:val="231F20"/>
          <w:spacing w:val="-6"/>
          <w:w w:val="120"/>
        </w:rPr>
        <w:t> </w:t>
      </w:r>
      <w:r>
        <w:rPr>
          <w:color w:val="231F20"/>
          <w:spacing w:val="-2"/>
          <w:w w:val="120"/>
        </w:rPr>
        <w:t>tant</w:t>
      </w:r>
      <w:r>
        <w:rPr>
          <w:color w:val="231F20"/>
          <w:spacing w:val="-6"/>
          <w:w w:val="120"/>
        </w:rPr>
        <w:t> </w:t>
      </w:r>
      <w:r>
        <w:rPr>
          <w:color w:val="231F20"/>
          <w:spacing w:val="-2"/>
          <w:w w:val="120"/>
        </w:rPr>
        <w:t>de</w:t>
      </w:r>
      <w:r>
        <w:rPr>
          <w:color w:val="231F20"/>
          <w:spacing w:val="-6"/>
          <w:w w:val="120"/>
        </w:rPr>
        <w:t> </w:t>
      </w:r>
      <w:r>
        <w:rPr>
          <w:color w:val="231F20"/>
          <w:spacing w:val="-2"/>
          <w:w w:val="120"/>
        </w:rPr>
        <w:t>faire</w:t>
      </w:r>
      <w:r>
        <w:rPr>
          <w:color w:val="231F20"/>
          <w:spacing w:val="-6"/>
          <w:w w:val="120"/>
        </w:rPr>
        <w:t> </w:t>
      </w:r>
      <w:r>
        <w:rPr>
          <w:color w:val="231F20"/>
          <w:spacing w:val="-2"/>
          <w:w w:val="120"/>
        </w:rPr>
        <w:t>valoir</w:t>
      </w:r>
      <w:r>
        <w:rPr>
          <w:color w:val="231F20"/>
          <w:spacing w:val="-6"/>
          <w:w w:val="120"/>
        </w:rPr>
        <w:t> </w:t>
      </w:r>
      <w:r>
        <w:rPr>
          <w:color w:val="231F20"/>
          <w:spacing w:val="-2"/>
          <w:w w:val="120"/>
        </w:rPr>
        <w:t>leur</w:t>
      </w:r>
      <w:r>
        <w:rPr>
          <w:color w:val="231F20"/>
          <w:spacing w:val="-6"/>
          <w:w w:val="120"/>
        </w:rPr>
        <w:t> </w:t>
      </w:r>
      <w:r>
        <w:rPr>
          <w:color w:val="231F20"/>
          <w:spacing w:val="-2"/>
          <w:w w:val="120"/>
        </w:rPr>
        <w:t>mérite</w:t>
      </w:r>
      <w:r>
        <w:rPr>
          <w:color w:val="231F20"/>
          <w:spacing w:val="-6"/>
          <w:w w:val="120"/>
        </w:rPr>
        <w:t> </w:t>
      </w:r>
      <w:r>
        <w:rPr>
          <w:color w:val="231F20"/>
          <w:spacing w:val="-2"/>
          <w:w w:val="120"/>
        </w:rPr>
        <w:t>indi- </w:t>
      </w:r>
      <w:r>
        <w:rPr>
          <w:color w:val="231F20"/>
          <w:w w:val="120"/>
        </w:rPr>
        <w:t>viduel.</w:t>
      </w:r>
      <w:r>
        <w:rPr>
          <w:color w:val="231F20"/>
          <w:spacing w:val="-13"/>
          <w:w w:val="120"/>
        </w:rPr>
        <w:t> </w:t>
      </w:r>
      <w:r>
        <w:rPr>
          <w:color w:val="231F20"/>
          <w:w w:val="120"/>
        </w:rPr>
        <w:t>L’individualisme</w:t>
      </w:r>
      <w:r>
        <w:rPr>
          <w:color w:val="231F20"/>
          <w:spacing w:val="-13"/>
          <w:w w:val="120"/>
        </w:rPr>
        <w:t> </w:t>
      </w:r>
      <w:r>
        <w:rPr>
          <w:color w:val="231F20"/>
          <w:w w:val="120"/>
        </w:rPr>
        <w:t>se</w:t>
      </w:r>
      <w:r>
        <w:rPr>
          <w:color w:val="231F20"/>
          <w:spacing w:val="-13"/>
          <w:w w:val="120"/>
        </w:rPr>
        <w:t> </w:t>
      </w:r>
      <w:r>
        <w:rPr>
          <w:color w:val="231F20"/>
          <w:w w:val="120"/>
        </w:rPr>
        <w:t>substitue</w:t>
      </w:r>
      <w:r>
        <w:rPr>
          <w:color w:val="231F20"/>
          <w:spacing w:val="-12"/>
          <w:w w:val="120"/>
        </w:rPr>
        <w:t> </w:t>
      </w:r>
      <w:r>
        <w:rPr>
          <w:color w:val="231F20"/>
          <w:w w:val="120"/>
        </w:rPr>
        <w:t>alors</w:t>
      </w:r>
      <w:r>
        <w:rPr>
          <w:color w:val="231F20"/>
          <w:spacing w:val="-13"/>
          <w:w w:val="120"/>
        </w:rPr>
        <w:t> </w:t>
      </w:r>
      <w:r>
        <w:rPr>
          <w:color w:val="231F20"/>
          <w:w w:val="120"/>
        </w:rPr>
        <w:t>à</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2"/>
          <w:w w:val="120"/>
        </w:rPr>
        <w:t> </w:t>
      </w:r>
      <w:r>
        <w:rPr>
          <w:color w:val="231F20"/>
          <w:w w:val="120"/>
        </w:rPr>
        <w:t>soi</w:t>
      </w:r>
      <w:r>
        <w:rPr>
          <w:color w:val="231F20"/>
          <w:spacing w:val="-13"/>
          <w:w w:val="120"/>
        </w:rPr>
        <w:t> </w:t>
      </w:r>
      <w:r>
        <w:rPr>
          <w:color w:val="231F20"/>
          <w:w w:val="120"/>
        </w:rPr>
        <w:t>véritable</w:t>
      </w:r>
      <w:r>
        <w:rPr>
          <w:color w:val="231F20"/>
          <w:spacing w:val="-13"/>
          <w:w w:val="120"/>
        </w:rPr>
        <w:t> </w:t>
      </w:r>
      <w:r>
        <w:rPr>
          <w:color w:val="231F20"/>
          <w:w w:val="120"/>
        </w:rPr>
        <w:t>en </w:t>
      </w:r>
      <w:r>
        <w:rPr>
          <w:color w:val="231F20"/>
          <w:w w:val="115"/>
        </w:rPr>
        <w:t>tant</w:t>
      </w:r>
      <w:r>
        <w:rPr>
          <w:color w:val="231F20"/>
          <w:spacing w:val="-8"/>
          <w:w w:val="115"/>
        </w:rPr>
        <w:t> </w:t>
      </w:r>
      <w:r>
        <w:rPr>
          <w:color w:val="231F20"/>
          <w:w w:val="115"/>
        </w:rPr>
        <w:t>que</w:t>
      </w:r>
      <w:r>
        <w:rPr>
          <w:color w:val="231F20"/>
          <w:spacing w:val="-8"/>
          <w:w w:val="115"/>
        </w:rPr>
        <w:t> </w:t>
      </w:r>
      <w:r>
        <w:rPr>
          <w:color w:val="231F20"/>
          <w:w w:val="115"/>
        </w:rPr>
        <w:t>valeur</w:t>
      </w:r>
      <w:r>
        <w:rPr>
          <w:color w:val="231F20"/>
          <w:spacing w:val="-7"/>
          <w:w w:val="115"/>
        </w:rPr>
        <w:t> </w:t>
      </w:r>
      <w:r>
        <w:rPr>
          <w:color w:val="231F20"/>
          <w:w w:val="115"/>
        </w:rPr>
        <w:t>cardinale26.</w:t>
      </w:r>
      <w:r>
        <w:rPr>
          <w:color w:val="231F20"/>
          <w:spacing w:val="-8"/>
          <w:w w:val="115"/>
        </w:rPr>
        <w:t> </w:t>
      </w:r>
      <w:r>
        <w:rPr>
          <w:color w:val="231F20"/>
          <w:w w:val="115"/>
        </w:rPr>
        <w:t>Cet</w:t>
      </w:r>
      <w:r>
        <w:rPr>
          <w:color w:val="231F20"/>
          <w:spacing w:val="-7"/>
          <w:w w:val="115"/>
        </w:rPr>
        <w:t> </w:t>
      </w:r>
      <w:r>
        <w:rPr>
          <w:color w:val="231F20"/>
          <w:w w:val="115"/>
        </w:rPr>
        <w:t>individualisme</w:t>
      </w:r>
      <w:r>
        <w:rPr>
          <w:color w:val="231F20"/>
          <w:spacing w:val="-8"/>
          <w:w w:val="115"/>
        </w:rPr>
        <w:t> </w:t>
      </w:r>
      <w:r>
        <w:rPr>
          <w:color w:val="231F20"/>
          <w:w w:val="115"/>
        </w:rPr>
        <w:t>hypercompétitif</w:t>
      </w:r>
      <w:r>
        <w:rPr>
          <w:color w:val="231F20"/>
          <w:spacing w:val="-7"/>
          <w:w w:val="115"/>
        </w:rPr>
        <w:t> </w:t>
      </w:r>
      <w:r>
        <w:rPr>
          <w:color w:val="231F20"/>
          <w:w w:val="115"/>
        </w:rPr>
        <w:t>se</w:t>
      </w:r>
      <w:r>
        <w:rPr>
          <w:color w:val="231F20"/>
          <w:spacing w:val="-8"/>
          <w:w w:val="115"/>
        </w:rPr>
        <w:t> </w:t>
      </w:r>
      <w:r>
        <w:rPr>
          <w:color w:val="231F20"/>
          <w:spacing w:val="-2"/>
          <w:w w:val="115"/>
        </w:rPr>
        <w:t>forme</w:t>
      </w:r>
    </w:p>
    <w:p>
      <w:pPr>
        <w:pStyle w:val="BodyText"/>
        <w:spacing w:line="195" w:lineRule="exact"/>
        <w:ind w:left="3219"/>
        <w:jc w:val="both"/>
      </w:pPr>
      <w:r>
        <w:rPr>
          <w:color w:val="231F20"/>
          <w:w w:val="120"/>
        </w:rPr>
        <w:t>tout</w:t>
      </w:r>
      <w:r>
        <w:rPr>
          <w:color w:val="231F20"/>
          <w:spacing w:val="16"/>
          <w:w w:val="120"/>
        </w:rPr>
        <w:t> </w:t>
      </w:r>
      <w:r>
        <w:rPr>
          <w:color w:val="231F20"/>
          <w:w w:val="120"/>
        </w:rPr>
        <w:t>particulièrement</w:t>
      </w:r>
      <w:r>
        <w:rPr>
          <w:color w:val="231F20"/>
          <w:spacing w:val="16"/>
          <w:w w:val="120"/>
        </w:rPr>
        <w:t> </w:t>
      </w:r>
      <w:r>
        <w:rPr>
          <w:color w:val="231F20"/>
          <w:w w:val="120"/>
        </w:rPr>
        <w:t>dans</w:t>
      </w:r>
      <w:r>
        <w:rPr>
          <w:color w:val="231F20"/>
          <w:spacing w:val="16"/>
          <w:w w:val="120"/>
        </w:rPr>
        <w:t> </w:t>
      </w:r>
      <w:r>
        <w:rPr>
          <w:color w:val="231F20"/>
          <w:w w:val="120"/>
        </w:rPr>
        <w:t>le</w:t>
      </w:r>
      <w:r>
        <w:rPr>
          <w:color w:val="231F20"/>
          <w:spacing w:val="16"/>
          <w:w w:val="120"/>
        </w:rPr>
        <w:t> </w:t>
      </w:r>
      <w:r>
        <w:rPr>
          <w:color w:val="231F20"/>
          <w:w w:val="120"/>
        </w:rPr>
        <w:t>paradigme</w:t>
      </w:r>
      <w:r>
        <w:rPr>
          <w:color w:val="231F20"/>
          <w:spacing w:val="16"/>
          <w:w w:val="120"/>
        </w:rPr>
        <w:t> </w:t>
      </w:r>
      <w:r>
        <w:rPr>
          <w:color w:val="231F20"/>
          <w:spacing w:val="-4"/>
          <w:w w:val="120"/>
        </w:rPr>
        <w:t>pro-</w:t>
      </w:r>
    </w:p>
    <w:p>
      <w:pPr>
        <w:spacing w:after="0" w:line="195" w:lineRule="exact"/>
        <w:jc w:val="both"/>
        <w:sectPr>
          <w:footerReference w:type="default" r:id="rId251"/>
          <w:pgSz w:w="8640" w:h="12960"/>
          <w:pgMar w:footer="424" w:header="0" w:top="500" w:bottom="620" w:left="420" w:right="1140"/>
        </w:sectPr>
      </w:pPr>
    </w:p>
    <w:p>
      <w:pPr>
        <w:spacing w:line="268" w:lineRule="auto" w:before="111"/>
        <w:ind w:left="1375" w:right="0" w:hanging="8"/>
        <w:jc w:val="right"/>
        <w:rPr>
          <w:rFonts w:ascii="Arial" w:hAnsi="Arial"/>
          <w:sz w:val="14"/>
        </w:rPr>
      </w:pPr>
      <w:r>
        <w:rPr>
          <w:rFonts w:ascii="Arial" w:hAnsi="Arial"/>
          <w:color w:val="231F20"/>
          <w:sz w:val="14"/>
        </w:rPr>
        <w:t>L’estime</w:t>
      </w:r>
      <w:r>
        <w:rPr>
          <w:rFonts w:ascii="Arial" w:hAnsi="Arial"/>
          <w:color w:val="231F20"/>
          <w:spacing w:val="-1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soi</w:t>
      </w:r>
      <w:r>
        <w:rPr>
          <w:rFonts w:ascii="Arial" w:hAnsi="Arial"/>
          <w:color w:val="231F20"/>
          <w:spacing w:val="-10"/>
          <w:sz w:val="14"/>
        </w:rPr>
        <w:t> </w:t>
      </w:r>
      <w:r>
        <w:rPr>
          <w:rFonts w:ascii="Arial" w:hAnsi="Arial"/>
          <w:color w:val="231F20"/>
          <w:sz w:val="14"/>
        </w:rPr>
        <w:t>fondée</w:t>
      </w:r>
      <w:r>
        <w:rPr>
          <w:rFonts w:ascii="Arial" w:hAnsi="Arial"/>
          <w:color w:val="231F20"/>
          <w:spacing w:val="-9"/>
          <w:sz w:val="14"/>
        </w:rPr>
        <w:t> </w:t>
      </w:r>
      <w:r>
        <w:rPr>
          <w:rFonts w:ascii="Arial" w:hAnsi="Arial"/>
          <w:color w:val="231F20"/>
          <w:sz w:val="14"/>
        </w:rPr>
        <w:t>sur</w:t>
      </w:r>
      <w:r>
        <w:rPr>
          <w:rFonts w:ascii="Arial" w:hAnsi="Arial"/>
          <w:color w:val="231F20"/>
          <w:w w:val="105"/>
          <w:sz w:val="14"/>
        </w:rPr>
        <w:t> l’être est beaucoup plus solide, plus profonde et </w:t>
      </w:r>
      <w:r>
        <w:rPr>
          <w:rFonts w:ascii="Arial" w:hAnsi="Arial"/>
          <w:color w:val="231F20"/>
          <w:sz w:val="14"/>
        </w:rPr>
        <w:t>plus durable que</w:t>
      </w:r>
      <w:r>
        <w:rPr>
          <w:rFonts w:ascii="Arial" w:hAnsi="Arial"/>
          <w:color w:val="231F20"/>
          <w:spacing w:val="1"/>
          <w:sz w:val="14"/>
        </w:rPr>
        <w:t> </w:t>
      </w:r>
      <w:r>
        <w:rPr>
          <w:rFonts w:ascii="Arial" w:hAnsi="Arial"/>
          <w:color w:val="231F20"/>
          <w:sz w:val="14"/>
        </w:rPr>
        <w:t>celle </w:t>
      </w:r>
      <w:r>
        <w:rPr>
          <w:rFonts w:ascii="Arial" w:hAnsi="Arial"/>
          <w:color w:val="231F20"/>
          <w:spacing w:val="-5"/>
          <w:sz w:val="14"/>
        </w:rPr>
        <w:t>qui</w:t>
      </w:r>
    </w:p>
    <w:p>
      <w:pPr>
        <w:spacing w:line="160" w:lineRule="exact" w:before="0"/>
        <w:ind w:left="0" w:right="0" w:firstLine="0"/>
        <w:jc w:val="right"/>
        <w:rPr>
          <w:rFonts w:ascii="Arial" w:hAnsi="Arial"/>
          <w:sz w:val="14"/>
        </w:rPr>
      </w:pPr>
      <w:r>
        <w:rPr>
          <w:rFonts w:ascii="Arial" w:hAnsi="Arial"/>
          <w:color w:val="231F20"/>
          <w:w w:val="95"/>
          <w:sz w:val="14"/>
        </w:rPr>
        <w:t>repose</w:t>
      </w:r>
      <w:r>
        <w:rPr>
          <w:rFonts w:ascii="Arial" w:hAnsi="Arial"/>
          <w:color w:val="231F20"/>
          <w:spacing w:val="5"/>
          <w:sz w:val="14"/>
        </w:rPr>
        <w:t> </w:t>
      </w:r>
      <w:r>
        <w:rPr>
          <w:rFonts w:ascii="Arial" w:hAnsi="Arial"/>
          <w:color w:val="231F20"/>
          <w:w w:val="95"/>
          <w:sz w:val="14"/>
        </w:rPr>
        <w:t>sur</w:t>
      </w:r>
      <w:r>
        <w:rPr>
          <w:rFonts w:ascii="Arial" w:hAnsi="Arial"/>
          <w:color w:val="231F20"/>
          <w:spacing w:val="5"/>
          <w:sz w:val="14"/>
        </w:rPr>
        <w:t> </w:t>
      </w:r>
      <w:r>
        <w:rPr>
          <w:rFonts w:ascii="Arial" w:hAnsi="Arial"/>
          <w:color w:val="231F20"/>
          <w:spacing w:val="-2"/>
          <w:w w:val="95"/>
          <w:sz w:val="14"/>
        </w:rPr>
        <w:t>l’avoir.</w:t>
      </w:r>
    </w:p>
    <w:p>
      <w:pPr>
        <w:pStyle w:val="BodyText"/>
        <w:spacing w:line="307" w:lineRule="auto" w:before="49"/>
        <w:ind w:left="199" w:right="104"/>
        <w:jc w:val="both"/>
      </w:pPr>
      <w:r>
        <w:rPr/>
        <w:br w:type="column"/>
      </w:r>
      <w:r>
        <w:rPr>
          <w:color w:val="231F20"/>
          <w:w w:val="120"/>
        </w:rPr>
        <w:t>ductiviste,</w:t>
      </w:r>
      <w:r>
        <w:rPr>
          <w:color w:val="231F20"/>
          <w:spacing w:val="-13"/>
          <w:w w:val="120"/>
        </w:rPr>
        <w:t> </w:t>
      </w:r>
      <w:r>
        <w:rPr>
          <w:color w:val="231F20"/>
          <w:w w:val="120"/>
        </w:rPr>
        <w:t>qui</w:t>
      </w:r>
      <w:r>
        <w:rPr>
          <w:color w:val="231F20"/>
          <w:spacing w:val="-13"/>
          <w:w w:val="120"/>
        </w:rPr>
        <w:t> </w:t>
      </w:r>
      <w:r>
        <w:rPr>
          <w:color w:val="231F20"/>
          <w:w w:val="120"/>
        </w:rPr>
        <w:t>consiste</w:t>
      </w:r>
      <w:r>
        <w:rPr>
          <w:color w:val="231F20"/>
          <w:spacing w:val="-13"/>
          <w:w w:val="120"/>
        </w:rPr>
        <w:t> </w:t>
      </w:r>
      <w:r>
        <w:rPr>
          <w:color w:val="231F20"/>
          <w:w w:val="120"/>
        </w:rPr>
        <w:t>à</w:t>
      </w:r>
      <w:r>
        <w:rPr>
          <w:color w:val="231F20"/>
          <w:spacing w:val="-12"/>
          <w:w w:val="120"/>
        </w:rPr>
        <w:t> </w:t>
      </w:r>
      <w:r>
        <w:rPr>
          <w:color w:val="231F20"/>
          <w:w w:val="120"/>
        </w:rPr>
        <w:t>essayer</w:t>
      </w:r>
      <w:r>
        <w:rPr>
          <w:color w:val="231F20"/>
          <w:spacing w:val="-13"/>
          <w:w w:val="120"/>
        </w:rPr>
        <w:t> </w:t>
      </w:r>
      <w:r>
        <w:rPr>
          <w:color w:val="231F20"/>
          <w:w w:val="120"/>
        </w:rPr>
        <w:t>de</w:t>
      </w:r>
      <w:r>
        <w:rPr>
          <w:color w:val="231F20"/>
          <w:spacing w:val="-13"/>
          <w:w w:val="120"/>
        </w:rPr>
        <w:t> </w:t>
      </w:r>
      <w:r>
        <w:rPr>
          <w:color w:val="231F20"/>
          <w:w w:val="120"/>
        </w:rPr>
        <w:t>maximiser </w:t>
      </w:r>
      <w:r>
        <w:rPr>
          <w:color w:val="231F20"/>
          <w:spacing w:val="-4"/>
          <w:w w:val="120"/>
        </w:rPr>
        <w:t>les</w:t>
      </w:r>
      <w:r>
        <w:rPr>
          <w:color w:val="231F20"/>
          <w:spacing w:val="-5"/>
          <w:w w:val="120"/>
        </w:rPr>
        <w:t> </w:t>
      </w:r>
      <w:r>
        <w:rPr>
          <w:color w:val="231F20"/>
          <w:spacing w:val="-4"/>
          <w:w w:val="120"/>
        </w:rPr>
        <w:t>avantages</w:t>
      </w:r>
      <w:r>
        <w:rPr>
          <w:color w:val="231F20"/>
          <w:spacing w:val="-5"/>
          <w:w w:val="120"/>
        </w:rPr>
        <w:t> </w:t>
      </w:r>
      <w:r>
        <w:rPr>
          <w:color w:val="231F20"/>
          <w:spacing w:val="-4"/>
          <w:w w:val="120"/>
        </w:rPr>
        <w:t>obtenus</w:t>
      </w:r>
      <w:r>
        <w:rPr>
          <w:color w:val="231F20"/>
          <w:spacing w:val="-5"/>
          <w:w w:val="120"/>
        </w:rPr>
        <w:t> </w:t>
      </w:r>
      <w:r>
        <w:rPr>
          <w:color w:val="231F20"/>
          <w:spacing w:val="-4"/>
          <w:w w:val="120"/>
        </w:rPr>
        <w:t>en</w:t>
      </w:r>
      <w:r>
        <w:rPr>
          <w:color w:val="231F20"/>
          <w:spacing w:val="-5"/>
          <w:w w:val="120"/>
        </w:rPr>
        <w:t> </w:t>
      </w:r>
      <w:r>
        <w:rPr>
          <w:color w:val="231F20"/>
          <w:spacing w:val="-4"/>
          <w:w w:val="120"/>
        </w:rPr>
        <w:t>réduisant</w:t>
      </w:r>
      <w:r>
        <w:rPr>
          <w:color w:val="231F20"/>
          <w:spacing w:val="-5"/>
          <w:w w:val="120"/>
        </w:rPr>
        <w:t> </w:t>
      </w:r>
      <w:r>
        <w:rPr>
          <w:color w:val="231F20"/>
          <w:spacing w:val="-4"/>
          <w:w w:val="120"/>
        </w:rPr>
        <w:t>au</w:t>
      </w:r>
      <w:r>
        <w:rPr>
          <w:color w:val="231F20"/>
          <w:spacing w:val="-5"/>
          <w:w w:val="120"/>
        </w:rPr>
        <w:t> </w:t>
      </w:r>
      <w:r>
        <w:rPr>
          <w:color w:val="231F20"/>
          <w:spacing w:val="-4"/>
          <w:w w:val="120"/>
        </w:rPr>
        <w:t>minimum </w:t>
      </w:r>
      <w:r>
        <w:rPr>
          <w:color w:val="231F20"/>
          <w:w w:val="120"/>
        </w:rPr>
        <w:t>les efforts, sans s’attarder aux autres valeurs et aux résultats. L’individu stressé se soumet parfois</w:t>
      </w:r>
      <w:r>
        <w:rPr>
          <w:color w:val="231F20"/>
          <w:spacing w:val="-1"/>
          <w:w w:val="120"/>
        </w:rPr>
        <w:t> </w:t>
      </w:r>
      <w:r>
        <w:rPr>
          <w:color w:val="231F20"/>
          <w:w w:val="120"/>
        </w:rPr>
        <w:t>lui-même</w:t>
      </w:r>
      <w:r>
        <w:rPr>
          <w:color w:val="231F20"/>
          <w:spacing w:val="-1"/>
          <w:w w:val="120"/>
        </w:rPr>
        <w:t> </w:t>
      </w:r>
      <w:r>
        <w:rPr>
          <w:color w:val="231F20"/>
          <w:w w:val="120"/>
        </w:rPr>
        <w:t>à</w:t>
      </w:r>
      <w:r>
        <w:rPr>
          <w:color w:val="231F20"/>
          <w:spacing w:val="-1"/>
          <w:w w:val="120"/>
        </w:rPr>
        <w:t> </w:t>
      </w:r>
      <w:r>
        <w:rPr>
          <w:color w:val="231F20"/>
          <w:w w:val="120"/>
        </w:rPr>
        <w:t>cette</w:t>
      </w:r>
      <w:r>
        <w:rPr>
          <w:color w:val="231F20"/>
          <w:spacing w:val="-1"/>
          <w:w w:val="120"/>
        </w:rPr>
        <w:t> </w:t>
      </w:r>
      <w:r>
        <w:rPr>
          <w:color w:val="231F20"/>
          <w:w w:val="120"/>
        </w:rPr>
        <w:t>pression</w:t>
      </w:r>
      <w:r>
        <w:rPr>
          <w:color w:val="231F20"/>
          <w:spacing w:val="-1"/>
          <w:w w:val="120"/>
        </w:rPr>
        <w:t> </w:t>
      </w:r>
      <w:r>
        <w:rPr>
          <w:color w:val="231F20"/>
          <w:w w:val="120"/>
        </w:rPr>
        <w:t>d’une</w:t>
      </w:r>
      <w:r>
        <w:rPr>
          <w:color w:val="231F20"/>
          <w:spacing w:val="-1"/>
          <w:w w:val="120"/>
        </w:rPr>
        <w:t> </w:t>
      </w:r>
      <w:r>
        <w:rPr>
          <w:color w:val="231F20"/>
          <w:spacing w:val="-2"/>
          <w:w w:val="120"/>
        </w:rPr>
        <w:t>façon</w:t>
      </w:r>
    </w:p>
    <w:p>
      <w:pPr>
        <w:spacing w:after="0" w:line="307" w:lineRule="auto"/>
        <w:jc w:val="both"/>
        <w:sectPr>
          <w:type w:val="continuous"/>
          <w:pgSz w:w="8640" w:h="12960"/>
          <w:pgMar w:header="0" w:footer="424" w:top="1220" w:bottom="280" w:left="420" w:right="1140"/>
          <w:cols w:num="2" w:equalWidth="0">
            <w:col w:w="2981" w:space="40"/>
            <w:col w:w="4059"/>
          </w:cols>
        </w:sectPr>
      </w:pPr>
    </w:p>
    <w:p>
      <w:pPr>
        <w:pStyle w:val="BodyText"/>
        <w:spacing w:line="307" w:lineRule="auto" w:before="5"/>
        <w:ind w:left="1219" w:right="106"/>
        <w:jc w:val="both"/>
      </w:pPr>
      <w:r>
        <w:rPr>
          <w:color w:val="231F20"/>
          <w:w w:val="115"/>
        </w:rPr>
        <w:t>conformiste</w:t>
      </w:r>
      <w:r>
        <w:rPr>
          <w:color w:val="231F20"/>
          <w:spacing w:val="-3"/>
          <w:w w:val="115"/>
        </w:rPr>
        <w:t> </w:t>
      </w:r>
      <w:r>
        <w:rPr>
          <w:color w:val="231F20"/>
          <w:w w:val="115"/>
        </w:rPr>
        <w:t>et</w:t>
      </w:r>
      <w:r>
        <w:rPr>
          <w:color w:val="231F20"/>
          <w:spacing w:val="-3"/>
          <w:w w:val="115"/>
        </w:rPr>
        <w:t> </w:t>
      </w:r>
      <w:r>
        <w:rPr>
          <w:color w:val="231F20"/>
          <w:w w:val="115"/>
        </w:rPr>
        <w:t>conventionnelle;</w:t>
      </w:r>
      <w:r>
        <w:rPr>
          <w:color w:val="231F20"/>
          <w:spacing w:val="-3"/>
          <w:w w:val="115"/>
        </w:rPr>
        <w:t> </w:t>
      </w:r>
      <w:r>
        <w:rPr>
          <w:color w:val="231F20"/>
          <w:w w:val="115"/>
        </w:rPr>
        <w:t>il</w:t>
      </w:r>
      <w:r>
        <w:rPr>
          <w:color w:val="231F20"/>
          <w:spacing w:val="-3"/>
          <w:w w:val="115"/>
        </w:rPr>
        <w:t> </w:t>
      </w:r>
      <w:r>
        <w:rPr>
          <w:color w:val="231F20"/>
          <w:w w:val="115"/>
        </w:rPr>
        <w:t>se</w:t>
      </w:r>
      <w:r>
        <w:rPr>
          <w:color w:val="231F20"/>
          <w:spacing w:val="-3"/>
          <w:w w:val="115"/>
        </w:rPr>
        <w:t> </w:t>
      </w:r>
      <w:r>
        <w:rPr>
          <w:color w:val="231F20"/>
          <w:w w:val="115"/>
        </w:rPr>
        <w:t>sent</w:t>
      </w:r>
      <w:r>
        <w:rPr>
          <w:color w:val="231F20"/>
          <w:spacing w:val="-3"/>
          <w:w w:val="115"/>
        </w:rPr>
        <w:t> </w:t>
      </w:r>
      <w:r>
        <w:rPr>
          <w:color w:val="231F20"/>
          <w:w w:val="115"/>
        </w:rPr>
        <w:t>piégé,</w:t>
      </w:r>
      <w:r>
        <w:rPr>
          <w:color w:val="231F20"/>
          <w:spacing w:val="-3"/>
          <w:w w:val="115"/>
        </w:rPr>
        <w:t> </w:t>
      </w:r>
      <w:r>
        <w:rPr>
          <w:color w:val="231F20"/>
          <w:w w:val="115"/>
        </w:rPr>
        <w:t>à</w:t>
      </w:r>
      <w:r>
        <w:rPr>
          <w:color w:val="231F20"/>
          <w:spacing w:val="-3"/>
          <w:w w:val="115"/>
        </w:rPr>
        <w:t> </w:t>
      </w:r>
      <w:r>
        <w:rPr>
          <w:color w:val="231F20"/>
          <w:w w:val="115"/>
        </w:rPr>
        <w:t>la</w:t>
      </w:r>
      <w:r>
        <w:rPr>
          <w:color w:val="231F20"/>
          <w:spacing w:val="-3"/>
          <w:w w:val="115"/>
        </w:rPr>
        <w:t> </w:t>
      </w:r>
      <w:r>
        <w:rPr>
          <w:color w:val="231F20"/>
          <w:w w:val="115"/>
        </w:rPr>
        <w:t>fois</w:t>
      </w:r>
      <w:r>
        <w:rPr>
          <w:color w:val="231F20"/>
          <w:spacing w:val="-3"/>
          <w:w w:val="115"/>
        </w:rPr>
        <w:t> </w:t>
      </w:r>
      <w:r>
        <w:rPr>
          <w:color w:val="231F20"/>
          <w:w w:val="115"/>
        </w:rPr>
        <w:t>victime</w:t>
      </w:r>
      <w:r>
        <w:rPr>
          <w:color w:val="231F20"/>
          <w:spacing w:val="-3"/>
          <w:w w:val="115"/>
        </w:rPr>
        <w:t> </w:t>
      </w:r>
      <w:r>
        <w:rPr>
          <w:color w:val="231F20"/>
          <w:w w:val="115"/>
        </w:rPr>
        <w:t>et</w:t>
      </w:r>
      <w:r>
        <w:rPr>
          <w:color w:val="231F20"/>
          <w:spacing w:val="-3"/>
          <w:w w:val="115"/>
        </w:rPr>
        <w:t> </w:t>
      </w:r>
      <w:r>
        <w:rPr>
          <w:color w:val="231F20"/>
          <w:w w:val="115"/>
        </w:rPr>
        <w:t>agent, </w:t>
      </w:r>
      <w:r>
        <w:rPr>
          <w:color w:val="231F20"/>
          <w:spacing w:val="-4"/>
          <w:w w:val="120"/>
        </w:rPr>
        <w:t>dans</w:t>
      </w:r>
      <w:r>
        <w:rPr>
          <w:color w:val="231F20"/>
          <w:spacing w:val="-5"/>
          <w:w w:val="120"/>
        </w:rPr>
        <w:t> </w:t>
      </w:r>
      <w:r>
        <w:rPr>
          <w:color w:val="231F20"/>
          <w:spacing w:val="-4"/>
          <w:w w:val="120"/>
        </w:rPr>
        <w:t>un</w:t>
      </w:r>
      <w:r>
        <w:rPr>
          <w:color w:val="231F20"/>
          <w:spacing w:val="-5"/>
          <w:w w:val="120"/>
        </w:rPr>
        <w:t> </w:t>
      </w:r>
      <w:r>
        <w:rPr>
          <w:color w:val="231F20"/>
          <w:spacing w:val="-4"/>
          <w:w w:val="120"/>
        </w:rPr>
        <w:t>monde</w:t>
      </w:r>
      <w:r>
        <w:rPr>
          <w:color w:val="231F20"/>
          <w:spacing w:val="-5"/>
          <w:w w:val="120"/>
        </w:rPr>
        <w:t> </w:t>
      </w:r>
      <w:r>
        <w:rPr>
          <w:color w:val="231F20"/>
          <w:spacing w:val="-4"/>
          <w:w w:val="120"/>
        </w:rPr>
        <w:t>dénué</w:t>
      </w:r>
      <w:r>
        <w:rPr>
          <w:color w:val="231F20"/>
          <w:spacing w:val="-5"/>
          <w:w w:val="120"/>
        </w:rPr>
        <w:t> </w:t>
      </w:r>
      <w:r>
        <w:rPr>
          <w:color w:val="231F20"/>
          <w:spacing w:val="-4"/>
          <w:w w:val="120"/>
        </w:rPr>
        <w:t>de</w:t>
      </w:r>
      <w:r>
        <w:rPr>
          <w:color w:val="231F20"/>
          <w:spacing w:val="-5"/>
          <w:w w:val="120"/>
        </w:rPr>
        <w:t> </w:t>
      </w:r>
      <w:r>
        <w:rPr>
          <w:color w:val="231F20"/>
          <w:spacing w:val="-4"/>
          <w:w w:val="120"/>
        </w:rPr>
        <w:t>sens</w:t>
      </w:r>
      <w:r>
        <w:rPr>
          <w:color w:val="231F20"/>
          <w:spacing w:val="-5"/>
          <w:w w:val="120"/>
        </w:rPr>
        <w:t> </w:t>
      </w:r>
      <w:r>
        <w:rPr>
          <w:color w:val="231F20"/>
          <w:spacing w:val="-4"/>
          <w:w w:val="120"/>
        </w:rPr>
        <w:t>qui</w:t>
      </w:r>
      <w:r>
        <w:rPr>
          <w:color w:val="231F20"/>
          <w:spacing w:val="-5"/>
          <w:w w:val="120"/>
        </w:rPr>
        <w:t> </w:t>
      </w:r>
      <w:r>
        <w:rPr>
          <w:color w:val="231F20"/>
          <w:spacing w:val="-4"/>
          <w:w w:val="120"/>
        </w:rPr>
        <w:t>lui</w:t>
      </w:r>
      <w:r>
        <w:rPr>
          <w:color w:val="231F20"/>
          <w:spacing w:val="-5"/>
          <w:w w:val="120"/>
        </w:rPr>
        <w:t> </w:t>
      </w:r>
      <w:r>
        <w:rPr>
          <w:color w:val="231F20"/>
          <w:spacing w:val="-4"/>
          <w:w w:val="120"/>
        </w:rPr>
        <w:t>demande</w:t>
      </w:r>
      <w:r>
        <w:rPr>
          <w:color w:val="231F20"/>
          <w:spacing w:val="-5"/>
          <w:w w:val="120"/>
        </w:rPr>
        <w:t> </w:t>
      </w:r>
      <w:r>
        <w:rPr>
          <w:color w:val="231F20"/>
          <w:spacing w:val="-4"/>
          <w:w w:val="120"/>
        </w:rPr>
        <w:t>toujours</w:t>
      </w:r>
      <w:r>
        <w:rPr>
          <w:color w:val="231F20"/>
          <w:spacing w:val="-5"/>
          <w:w w:val="120"/>
        </w:rPr>
        <w:t> </w:t>
      </w:r>
      <w:r>
        <w:rPr>
          <w:color w:val="231F20"/>
          <w:spacing w:val="-4"/>
          <w:w w:val="120"/>
        </w:rPr>
        <w:t>plus</w:t>
      </w:r>
      <w:r>
        <w:rPr>
          <w:color w:val="231F20"/>
          <w:spacing w:val="-5"/>
          <w:w w:val="120"/>
        </w:rPr>
        <w:t> </w:t>
      </w:r>
      <w:r>
        <w:rPr>
          <w:color w:val="231F20"/>
          <w:spacing w:val="-4"/>
          <w:w w:val="120"/>
        </w:rPr>
        <w:t>en</w:t>
      </w:r>
      <w:r>
        <w:rPr>
          <w:color w:val="231F20"/>
          <w:spacing w:val="-5"/>
          <w:w w:val="120"/>
        </w:rPr>
        <w:t> </w:t>
      </w:r>
      <w:r>
        <w:rPr>
          <w:color w:val="231F20"/>
          <w:spacing w:val="-4"/>
          <w:w w:val="120"/>
        </w:rPr>
        <w:t>lui</w:t>
      </w:r>
      <w:r>
        <w:rPr>
          <w:color w:val="231F20"/>
          <w:spacing w:val="-5"/>
          <w:w w:val="120"/>
        </w:rPr>
        <w:t> </w:t>
      </w:r>
      <w:r>
        <w:rPr>
          <w:color w:val="231F20"/>
          <w:spacing w:val="-4"/>
          <w:w w:val="120"/>
        </w:rPr>
        <w:t>offrant </w:t>
      </w:r>
      <w:r>
        <w:rPr>
          <w:color w:val="231F20"/>
          <w:w w:val="120"/>
        </w:rPr>
        <w:t>toujours moins en retour.</w:t>
      </w:r>
    </w:p>
    <w:p>
      <w:pPr>
        <w:pStyle w:val="BodyText"/>
        <w:spacing w:line="307" w:lineRule="auto" w:before="79"/>
        <w:ind w:left="1219" w:right="104" w:firstLine="250"/>
        <w:jc w:val="both"/>
      </w:pPr>
      <w:r>
        <w:rPr>
          <w:color w:val="231F20"/>
          <w:w w:val="120"/>
        </w:rPr>
        <w:t>L’estime</w:t>
      </w:r>
      <w:r>
        <w:rPr>
          <w:color w:val="231F20"/>
          <w:spacing w:val="-5"/>
          <w:w w:val="120"/>
        </w:rPr>
        <w:t> </w:t>
      </w:r>
      <w:r>
        <w:rPr>
          <w:color w:val="231F20"/>
          <w:w w:val="120"/>
        </w:rPr>
        <w:t>de</w:t>
      </w:r>
      <w:r>
        <w:rPr>
          <w:color w:val="231F20"/>
          <w:spacing w:val="-5"/>
          <w:w w:val="120"/>
        </w:rPr>
        <w:t> </w:t>
      </w:r>
      <w:r>
        <w:rPr>
          <w:color w:val="231F20"/>
          <w:w w:val="120"/>
        </w:rPr>
        <w:t>soi</w:t>
      </w:r>
      <w:r>
        <w:rPr>
          <w:color w:val="231F20"/>
          <w:spacing w:val="-5"/>
          <w:w w:val="120"/>
        </w:rPr>
        <w:t> </w:t>
      </w:r>
      <w:r>
        <w:rPr>
          <w:color w:val="231F20"/>
          <w:w w:val="120"/>
        </w:rPr>
        <w:t>fondée</w:t>
      </w:r>
      <w:r>
        <w:rPr>
          <w:color w:val="231F20"/>
          <w:spacing w:val="-5"/>
          <w:w w:val="120"/>
        </w:rPr>
        <w:t> </w:t>
      </w:r>
      <w:r>
        <w:rPr>
          <w:color w:val="231F20"/>
          <w:w w:val="120"/>
        </w:rPr>
        <w:t>sur</w:t>
      </w:r>
      <w:r>
        <w:rPr>
          <w:color w:val="231F20"/>
          <w:spacing w:val="-5"/>
          <w:w w:val="120"/>
        </w:rPr>
        <w:t> </w:t>
      </w:r>
      <w:r>
        <w:rPr>
          <w:color w:val="231F20"/>
          <w:w w:val="120"/>
        </w:rPr>
        <w:t>l’être</w:t>
      </w:r>
      <w:r>
        <w:rPr>
          <w:color w:val="231F20"/>
          <w:spacing w:val="-5"/>
          <w:w w:val="120"/>
        </w:rPr>
        <w:t> </w:t>
      </w:r>
      <w:r>
        <w:rPr>
          <w:color w:val="231F20"/>
          <w:w w:val="120"/>
        </w:rPr>
        <w:t>est</w:t>
      </w:r>
      <w:r>
        <w:rPr>
          <w:color w:val="231F20"/>
          <w:spacing w:val="-6"/>
          <w:w w:val="120"/>
        </w:rPr>
        <w:t> </w:t>
      </w:r>
      <w:r>
        <w:rPr>
          <w:color w:val="231F20"/>
          <w:w w:val="120"/>
        </w:rPr>
        <w:t>beaucoup</w:t>
      </w:r>
      <w:r>
        <w:rPr>
          <w:color w:val="231F20"/>
          <w:spacing w:val="-5"/>
          <w:w w:val="120"/>
        </w:rPr>
        <w:t> </w:t>
      </w:r>
      <w:r>
        <w:rPr>
          <w:color w:val="231F20"/>
          <w:w w:val="120"/>
        </w:rPr>
        <w:t>plus</w:t>
      </w:r>
      <w:r>
        <w:rPr>
          <w:color w:val="231F20"/>
          <w:spacing w:val="-5"/>
          <w:w w:val="120"/>
        </w:rPr>
        <w:t> </w:t>
      </w:r>
      <w:r>
        <w:rPr>
          <w:color w:val="231F20"/>
          <w:w w:val="120"/>
        </w:rPr>
        <w:t>solide,</w:t>
      </w:r>
      <w:r>
        <w:rPr>
          <w:color w:val="231F20"/>
          <w:spacing w:val="-5"/>
          <w:w w:val="120"/>
        </w:rPr>
        <w:t> </w:t>
      </w:r>
      <w:r>
        <w:rPr>
          <w:color w:val="231F20"/>
          <w:w w:val="120"/>
        </w:rPr>
        <w:t>plus</w:t>
      </w:r>
      <w:r>
        <w:rPr>
          <w:color w:val="231F20"/>
          <w:spacing w:val="-5"/>
          <w:w w:val="120"/>
        </w:rPr>
        <w:t> </w:t>
      </w:r>
      <w:r>
        <w:rPr>
          <w:color w:val="231F20"/>
          <w:w w:val="120"/>
        </w:rPr>
        <w:t>pro- </w:t>
      </w:r>
      <w:r>
        <w:rPr>
          <w:color w:val="231F20"/>
          <w:w w:val="115"/>
        </w:rPr>
        <w:t>fonde</w:t>
      </w:r>
      <w:r>
        <w:rPr>
          <w:color w:val="231F20"/>
          <w:spacing w:val="-4"/>
          <w:w w:val="115"/>
        </w:rPr>
        <w:t> </w:t>
      </w:r>
      <w:r>
        <w:rPr>
          <w:color w:val="231F20"/>
          <w:w w:val="115"/>
        </w:rPr>
        <w:t>et</w:t>
      </w:r>
      <w:r>
        <w:rPr>
          <w:color w:val="231F20"/>
          <w:spacing w:val="-4"/>
          <w:w w:val="115"/>
        </w:rPr>
        <w:t> </w:t>
      </w:r>
      <w:r>
        <w:rPr>
          <w:color w:val="231F20"/>
          <w:w w:val="115"/>
        </w:rPr>
        <w:t>plus</w:t>
      </w:r>
      <w:r>
        <w:rPr>
          <w:color w:val="231F20"/>
          <w:spacing w:val="-4"/>
          <w:w w:val="115"/>
        </w:rPr>
        <w:t> </w:t>
      </w:r>
      <w:r>
        <w:rPr>
          <w:color w:val="231F20"/>
          <w:w w:val="115"/>
        </w:rPr>
        <w:t>durable</w:t>
      </w:r>
      <w:r>
        <w:rPr>
          <w:color w:val="231F20"/>
          <w:spacing w:val="-4"/>
          <w:w w:val="115"/>
        </w:rPr>
        <w:t> </w:t>
      </w:r>
      <w:r>
        <w:rPr>
          <w:color w:val="231F20"/>
          <w:w w:val="115"/>
        </w:rPr>
        <w:t>que</w:t>
      </w:r>
      <w:r>
        <w:rPr>
          <w:color w:val="231F20"/>
          <w:spacing w:val="-4"/>
          <w:w w:val="115"/>
        </w:rPr>
        <w:t> </w:t>
      </w:r>
      <w:r>
        <w:rPr>
          <w:color w:val="231F20"/>
          <w:w w:val="115"/>
        </w:rPr>
        <w:t>celle</w:t>
      </w:r>
      <w:r>
        <w:rPr>
          <w:color w:val="231F20"/>
          <w:spacing w:val="-4"/>
          <w:w w:val="115"/>
        </w:rPr>
        <w:t> </w:t>
      </w:r>
      <w:r>
        <w:rPr>
          <w:color w:val="231F20"/>
          <w:w w:val="115"/>
        </w:rPr>
        <w:t>qui</w:t>
      </w:r>
      <w:r>
        <w:rPr>
          <w:color w:val="231F20"/>
          <w:spacing w:val="-4"/>
          <w:w w:val="115"/>
        </w:rPr>
        <w:t> </w:t>
      </w:r>
      <w:r>
        <w:rPr>
          <w:color w:val="231F20"/>
          <w:w w:val="115"/>
        </w:rPr>
        <w:t>repose</w:t>
      </w:r>
      <w:r>
        <w:rPr>
          <w:color w:val="231F20"/>
          <w:spacing w:val="-4"/>
          <w:w w:val="115"/>
        </w:rPr>
        <w:t> </w:t>
      </w:r>
      <w:r>
        <w:rPr>
          <w:color w:val="231F20"/>
          <w:w w:val="115"/>
        </w:rPr>
        <w:t>sur</w:t>
      </w:r>
      <w:r>
        <w:rPr>
          <w:color w:val="231F20"/>
          <w:spacing w:val="-4"/>
          <w:w w:val="115"/>
        </w:rPr>
        <w:t> </w:t>
      </w:r>
      <w:r>
        <w:rPr>
          <w:color w:val="231F20"/>
          <w:w w:val="115"/>
        </w:rPr>
        <w:t>l’avoir.</w:t>
      </w:r>
      <w:r>
        <w:rPr>
          <w:color w:val="231F20"/>
          <w:spacing w:val="-4"/>
          <w:w w:val="115"/>
        </w:rPr>
        <w:t> </w:t>
      </w:r>
      <w:r>
        <w:rPr>
          <w:color w:val="231F20"/>
          <w:w w:val="115"/>
        </w:rPr>
        <w:t>L’individu</w:t>
      </w:r>
      <w:r>
        <w:rPr>
          <w:color w:val="231F20"/>
          <w:spacing w:val="-4"/>
          <w:w w:val="115"/>
        </w:rPr>
        <w:t> </w:t>
      </w:r>
      <w:r>
        <w:rPr>
          <w:color w:val="231F20"/>
          <w:w w:val="115"/>
        </w:rPr>
        <w:t>tendu</w:t>
      </w:r>
      <w:r>
        <w:rPr>
          <w:color w:val="231F20"/>
          <w:spacing w:val="-4"/>
          <w:w w:val="115"/>
        </w:rPr>
        <w:t> </w:t>
      </w:r>
      <w:r>
        <w:rPr>
          <w:color w:val="231F20"/>
          <w:w w:val="115"/>
        </w:rPr>
        <w:t>ne </w:t>
      </w:r>
      <w:r>
        <w:rPr>
          <w:color w:val="231F20"/>
          <w:w w:val="120"/>
        </w:rPr>
        <w:t>tire</w:t>
      </w:r>
      <w:r>
        <w:rPr>
          <w:color w:val="231F20"/>
          <w:spacing w:val="-13"/>
          <w:w w:val="120"/>
        </w:rPr>
        <w:t> </w:t>
      </w:r>
      <w:r>
        <w:rPr>
          <w:color w:val="231F20"/>
          <w:w w:val="120"/>
        </w:rPr>
        <w:t>que</w:t>
      </w:r>
      <w:r>
        <w:rPr>
          <w:color w:val="231F20"/>
          <w:spacing w:val="-12"/>
          <w:w w:val="120"/>
        </w:rPr>
        <w:t> </w:t>
      </w:r>
      <w:r>
        <w:rPr>
          <w:color w:val="231F20"/>
          <w:w w:val="120"/>
        </w:rPr>
        <w:t>peu</w:t>
      </w:r>
      <w:r>
        <w:rPr>
          <w:color w:val="231F20"/>
          <w:spacing w:val="-13"/>
          <w:w w:val="120"/>
        </w:rPr>
        <w:t> </w:t>
      </w:r>
      <w:r>
        <w:rPr>
          <w:color w:val="231F20"/>
          <w:w w:val="120"/>
        </w:rPr>
        <w:t>de</w:t>
      </w:r>
      <w:r>
        <w:rPr>
          <w:color w:val="231F20"/>
          <w:spacing w:val="-12"/>
          <w:w w:val="120"/>
        </w:rPr>
        <w:t> </w:t>
      </w:r>
      <w:r>
        <w:rPr>
          <w:color w:val="231F20"/>
          <w:w w:val="120"/>
        </w:rPr>
        <w:t>satisfaction</w:t>
      </w:r>
      <w:r>
        <w:rPr>
          <w:color w:val="231F20"/>
          <w:spacing w:val="-13"/>
          <w:w w:val="120"/>
        </w:rPr>
        <w:t> </w:t>
      </w:r>
      <w:r>
        <w:rPr>
          <w:color w:val="231F20"/>
          <w:w w:val="120"/>
        </w:rPr>
        <w:t>de</w:t>
      </w:r>
      <w:r>
        <w:rPr>
          <w:color w:val="231F20"/>
          <w:spacing w:val="-12"/>
          <w:w w:val="120"/>
        </w:rPr>
        <w:t> </w:t>
      </w:r>
      <w:r>
        <w:rPr>
          <w:color w:val="231F20"/>
          <w:w w:val="120"/>
        </w:rPr>
        <w:t>sa</w:t>
      </w:r>
      <w:r>
        <w:rPr>
          <w:color w:val="231F20"/>
          <w:spacing w:val="-13"/>
          <w:w w:val="120"/>
        </w:rPr>
        <w:t> </w:t>
      </w:r>
      <w:r>
        <w:rPr>
          <w:color w:val="231F20"/>
          <w:w w:val="120"/>
        </w:rPr>
        <w:t>vie;</w:t>
      </w:r>
      <w:r>
        <w:rPr>
          <w:color w:val="231F20"/>
          <w:spacing w:val="-12"/>
          <w:w w:val="120"/>
        </w:rPr>
        <w:t> </w:t>
      </w:r>
      <w:r>
        <w:rPr>
          <w:color w:val="231F20"/>
          <w:w w:val="120"/>
        </w:rPr>
        <w:t>il</w:t>
      </w:r>
      <w:r>
        <w:rPr>
          <w:color w:val="231F20"/>
          <w:spacing w:val="-13"/>
          <w:w w:val="120"/>
        </w:rPr>
        <w:t> </w:t>
      </w:r>
      <w:r>
        <w:rPr>
          <w:color w:val="231F20"/>
          <w:w w:val="120"/>
        </w:rPr>
        <w:t>n’est</w:t>
      </w:r>
      <w:r>
        <w:rPr>
          <w:color w:val="231F20"/>
          <w:spacing w:val="-12"/>
          <w:w w:val="120"/>
        </w:rPr>
        <w:t> </w:t>
      </w:r>
      <w:r>
        <w:rPr>
          <w:color w:val="231F20"/>
          <w:w w:val="120"/>
        </w:rPr>
        <w:t>pas</w:t>
      </w:r>
      <w:r>
        <w:rPr>
          <w:color w:val="231F20"/>
          <w:spacing w:val="-13"/>
          <w:w w:val="120"/>
        </w:rPr>
        <w:t> </w:t>
      </w:r>
      <w:r>
        <w:rPr>
          <w:color w:val="231F20"/>
          <w:w w:val="120"/>
        </w:rPr>
        <w:t>à</w:t>
      </w:r>
      <w:r>
        <w:rPr>
          <w:color w:val="231F20"/>
          <w:spacing w:val="-12"/>
          <w:w w:val="120"/>
        </w:rPr>
        <w:t> </w:t>
      </w:r>
      <w:r>
        <w:rPr>
          <w:color w:val="231F20"/>
          <w:w w:val="120"/>
        </w:rPr>
        <w:t>l’aise</w:t>
      </w:r>
      <w:r>
        <w:rPr>
          <w:color w:val="231F20"/>
          <w:spacing w:val="-13"/>
          <w:w w:val="120"/>
        </w:rPr>
        <w:t> </w:t>
      </w:r>
      <w:r>
        <w:rPr>
          <w:color w:val="231F20"/>
          <w:w w:val="120"/>
        </w:rPr>
        <w:t>avec</w:t>
      </w:r>
      <w:r>
        <w:rPr>
          <w:color w:val="231F20"/>
          <w:spacing w:val="-12"/>
          <w:w w:val="120"/>
        </w:rPr>
        <w:t> </w:t>
      </w:r>
      <w:r>
        <w:rPr>
          <w:color w:val="231F20"/>
          <w:w w:val="120"/>
        </w:rPr>
        <w:t>lui-même. </w:t>
      </w:r>
      <w:r>
        <w:rPr>
          <w:color w:val="231F20"/>
          <w:spacing w:val="-2"/>
          <w:w w:val="120"/>
        </w:rPr>
        <w:t>Il</w:t>
      </w:r>
      <w:r>
        <w:rPr>
          <w:color w:val="231F20"/>
          <w:spacing w:val="-11"/>
          <w:w w:val="120"/>
        </w:rPr>
        <w:t> </w:t>
      </w:r>
      <w:r>
        <w:rPr>
          <w:color w:val="231F20"/>
          <w:spacing w:val="-2"/>
          <w:w w:val="120"/>
        </w:rPr>
        <w:t>devient</w:t>
      </w:r>
      <w:r>
        <w:rPr>
          <w:color w:val="231F20"/>
          <w:spacing w:val="-11"/>
          <w:w w:val="120"/>
        </w:rPr>
        <w:t> </w:t>
      </w:r>
      <w:r>
        <w:rPr>
          <w:i/>
          <w:color w:val="231F20"/>
          <w:spacing w:val="-2"/>
          <w:w w:val="120"/>
        </w:rPr>
        <w:t>étranger</w:t>
      </w:r>
      <w:r>
        <w:rPr>
          <w:color w:val="231F20"/>
          <w:spacing w:val="-2"/>
          <w:w w:val="120"/>
        </w:rPr>
        <w:t>,</w:t>
      </w:r>
      <w:r>
        <w:rPr>
          <w:color w:val="231F20"/>
          <w:spacing w:val="-11"/>
          <w:w w:val="120"/>
        </w:rPr>
        <w:t> </w:t>
      </w:r>
      <w:r>
        <w:rPr>
          <w:color w:val="231F20"/>
          <w:spacing w:val="-2"/>
          <w:w w:val="120"/>
        </w:rPr>
        <w:t>au</w:t>
      </w:r>
      <w:r>
        <w:rPr>
          <w:color w:val="231F20"/>
          <w:spacing w:val="-7"/>
          <w:w w:val="120"/>
        </w:rPr>
        <w:t> </w:t>
      </w:r>
      <w:r>
        <w:rPr>
          <w:color w:val="231F20"/>
          <w:spacing w:val="-2"/>
          <w:w w:val="120"/>
        </w:rPr>
        <w:t>sens</w:t>
      </w:r>
      <w:r>
        <w:rPr>
          <w:color w:val="231F20"/>
          <w:spacing w:val="-5"/>
          <w:w w:val="120"/>
        </w:rPr>
        <w:t> </w:t>
      </w:r>
      <w:r>
        <w:rPr>
          <w:color w:val="231F20"/>
          <w:spacing w:val="-2"/>
          <w:w w:val="120"/>
        </w:rPr>
        <w:t>où</w:t>
      </w:r>
      <w:r>
        <w:rPr>
          <w:color w:val="231F20"/>
          <w:spacing w:val="-5"/>
          <w:w w:val="120"/>
        </w:rPr>
        <w:t> </w:t>
      </w:r>
      <w:r>
        <w:rPr>
          <w:color w:val="231F20"/>
          <w:spacing w:val="-2"/>
          <w:w w:val="120"/>
        </w:rPr>
        <w:t>l’entend</w:t>
      </w:r>
      <w:r>
        <w:rPr>
          <w:color w:val="231F20"/>
          <w:spacing w:val="-5"/>
          <w:w w:val="120"/>
        </w:rPr>
        <w:t> </w:t>
      </w:r>
      <w:r>
        <w:rPr>
          <w:color w:val="231F20"/>
          <w:spacing w:val="-2"/>
          <w:w w:val="120"/>
        </w:rPr>
        <w:t>Polaino-Lorente27</w:t>
      </w:r>
      <w:r>
        <w:rPr>
          <w:color w:val="231F20"/>
          <w:spacing w:val="-11"/>
          <w:w w:val="120"/>
        </w:rPr>
        <w:t> </w:t>
      </w:r>
      <w:r>
        <w:rPr>
          <w:color w:val="231F20"/>
          <w:spacing w:val="-2"/>
          <w:w w:val="120"/>
        </w:rPr>
        <w:t>:</w:t>
      </w:r>
      <w:r>
        <w:rPr>
          <w:color w:val="231F20"/>
          <w:spacing w:val="-5"/>
          <w:w w:val="120"/>
        </w:rPr>
        <w:t> </w:t>
      </w:r>
      <w:r>
        <w:rPr>
          <w:color w:val="231F20"/>
          <w:spacing w:val="-2"/>
          <w:w w:val="120"/>
        </w:rPr>
        <w:t>on</w:t>
      </w:r>
      <w:r>
        <w:rPr>
          <w:color w:val="231F20"/>
          <w:spacing w:val="-5"/>
          <w:w w:val="120"/>
        </w:rPr>
        <w:t> </w:t>
      </w:r>
      <w:r>
        <w:rPr>
          <w:color w:val="231F20"/>
          <w:spacing w:val="-2"/>
          <w:w w:val="120"/>
        </w:rPr>
        <w:t>a</w:t>
      </w:r>
      <w:r>
        <w:rPr>
          <w:color w:val="231F20"/>
          <w:spacing w:val="-5"/>
          <w:w w:val="120"/>
        </w:rPr>
        <w:t> </w:t>
      </w:r>
      <w:r>
        <w:rPr>
          <w:color w:val="231F20"/>
          <w:spacing w:val="-2"/>
          <w:w w:val="120"/>
        </w:rPr>
        <w:t>de</w:t>
      </w:r>
      <w:r>
        <w:rPr>
          <w:color w:val="231F20"/>
          <w:spacing w:val="-5"/>
          <w:w w:val="120"/>
        </w:rPr>
        <w:t> </w:t>
      </w:r>
      <w:r>
        <w:rPr>
          <w:color w:val="231F20"/>
          <w:spacing w:val="-2"/>
          <w:w w:val="120"/>
        </w:rPr>
        <w:t>plus </w:t>
      </w:r>
      <w:r>
        <w:rPr>
          <w:color w:val="231F20"/>
          <w:w w:val="115"/>
        </w:rPr>
        <w:t>en</w:t>
      </w:r>
      <w:r>
        <w:rPr>
          <w:color w:val="231F20"/>
          <w:spacing w:val="-12"/>
          <w:w w:val="115"/>
        </w:rPr>
        <w:t> </w:t>
      </w:r>
      <w:r>
        <w:rPr>
          <w:color w:val="231F20"/>
          <w:w w:val="115"/>
        </w:rPr>
        <w:t>plus</w:t>
      </w:r>
      <w:r>
        <w:rPr>
          <w:color w:val="231F20"/>
          <w:spacing w:val="-12"/>
          <w:w w:val="115"/>
        </w:rPr>
        <w:t> </w:t>
      </w:r>
      <w:r>
        <w:rPr>
          <w:color w:val="231F20"/>
          <w:w w:val="115"/>
        </w:rPr>
        <w:t>de</w:t>
      </w:r>
      <w:r>
        <w:rPr>
          <w:color w:val="231F20"/>
          <w:spacing w:val="-12"/>
          <w:w w:val="115"/>
        </w:rPr>
        <w:t> </w:t>
      </w:r>
      <w:r>
        <w:rPr>
          <w:color w:val="231F20"/>
          <w:w w:val="115"/>
        </w:rPr>
        <w:t>mal</w:t>
      </w:r>
      <w:r>
        <w:rPr>
          <w:color w:val="231F20"/>
          <w:spacing w:val="-12"/>
          <w:w w:val="115"/>
        </w:rPr>
        <w:t> </w:t>
      </w:r>
      <w:r>
        <w:rPr>
          <w:color w:val="231F20"/>
          <w:w w:val="115"/>
        </w:rPr>
        <w:t>à</w:t>
      </w:r>
      <w:r>
        <w:rPr>
          <w:color w:val="231F20"/>
          <w:spacing w:val="-12"/>
          <w:w w:val="115"/>
        </w:rPr>
        <w:t> </w:t>
      </w:r>
      <w:r>
        <w:rPr>
          <w:color w:val="231F20"/>
          <w:w w:val="115"/>
        </w:rPr>
        <w:t>lui</w:t>
      </w:r>
      <w:r>
        <w:rPr>
          <w:color w:val="231F20"/>
          <w:spacing w:val="-12"/>
          <w:w w:val="115"/>
        </w:rPr>
        <w:t> </w:t>
      </w:r>
      <w:r>
        <w:rPr>
          <w:color w:val="231F20"/>
          <w:w w:val="115"/>
        </w:rPr>
        <w:t>parler;</w:t>
      </w:r>
      <w:r>
        <w:rPr>
          <w:color w:val="231F20"/>
          <w:spacing w:val="-12"/>
          <w:w w:val="115"/>
        </w:rPr>
        <w:t> </w:t>
      </w:r>
      <w:r>
        <w:rPr>
          <w:color w:val="231F20"/>
          <w:w w:val="115"/>
        </w:rPr>
        <w:t>il</w:t>
      </w:r>
      <w:r>
        <w:rPr>
          <w:color w:val="231F20"/>
          <w:spacing w:val="-12"/>
          <w:w w:val="115"/>
        </w:rPr>
        <w:t> </w:t>
      </w:r>
      <w:r>
        <w:rPr>
          <w:color w:val="231F20"/>
          <w:w w:val="115"/>
        </w:rPr>
        <w:t>s’enferme</w:t>
      </w:r>
      <w:r>
        <w:rPr>
          <w:color w:val="231F20"/>
          <w:spacing w:val="-12"/>
          <w:w w:val="115"/>
        </w:rPr>
        <w:t> </w:t>
      </w:r>
      <w:r>
        <w:rPr>
          <w:color w:val="231F20"/>
          <w:w w:val="115"/>
        </w:rPr>
        <w:t>dans</w:t>
      </w:r>
      <w:r>
        <w:rPr>
          <w:color w:val="231F20"/>
          <w:spacing w:val="-12"/>
          <w:w w:val="115"/>
        </w:rPr>
        <w:t> </w:t>
      </w:r>
      <w:r>
        <w:rPr>
          <w:color w:val="231F20"/>
          <w:w w:val="115"/>
        </w:rPr>
        <w:t>sa</w:t>
      </w:r>
      <w:r>
        <w:rPr>
          <w:color w:val="231F20"/>
          <w:spacing w:val="-12"/>
          <w:w w:val="115"/>
        </w:rPr>
        <w:t> </w:t>
      </w:r>
      <w:r>
        <w:rPr>
          <w:color w:val="231F20"/>
          <w:w w:val="115"/>
        </w:rPr>
        <w:t>coquille;</w:t>
      </w:r>
      <w:r>
        <w:rPr>
          <w:color w:val="231F20"/>
          <w:spacing w:val="-12"/>
          <w:w w:val="115"/>
        </w:rPr>
        <w:t> </w:t>
      </w:r>
      <w:r>
        <w:rPr>
          <w:color w:val="231F20"/>
          <w:w w:val="115"/>
        </w:rPr>
        <w:t>il</w:t>
      </w:r>
      <w:r>
        <w:rPr>
          <w:color w:val="231F20"/>
          <w:spacing w:val="-12"/>
          <w:w w:val="115"/>
        </w:rPr>
        <w:t> </w:t>
      </w:r>
      <w:r>
        <w:rPr>
          <w:color w:val="231F20"/>
          <w:w w:val="115"/>
        </w:rPr>
        <w:t>a</w:t>
      </w:r>
      <w:r>
        <w:rPr>
          <w:color w:val="231F20"/>
          <w:spacing w:val="-12"/>
          <w:w w:val="115"/>
        </w:rPr>
        <w:t> </w:t>
      </w:r>
      <w:r>
        <w:rPr>
          <w:color w:val="231F20"/>
          <w:w w:val="115"/>
        </w:rPr>
        <w:t>des</w:t>
      </w:r>
      <w:r>
        <w:rPr>
          <w:color w:val="231F20"/>
          <w:spacing w:val="-12"/>
          <w:w w:val="115"/>
        </w:rPr>
        <w:t> </w:t>
      </w:r>
      <w:r>
        <w:rPr>
          <w:color w:val="231F20"/>
          <w:w w:val="115"/>
        </w:rPr>
        <w:t>problèmes </w:t>
      </w:r>
      <w:r>
        <w:rPr>
          <w:color w:val="231F20"/>
          <w:w w:val="120"/>
        </w:rPr>
        <w:t>avec</w:t>
      </w:r>
      <w:r>
        <w:rPr>
          <w:color w:val="231F20"/>
          <w:spacing w:val="-7"/>
          <w:w w:val="120"/>
        </w:rPr>
        <w:t> </w:t>
      </w:r>
      <w:r>
        <w:rPr>
          <w:color w:val="231F20"/>
          <w:w w:val="120"/>
        </w:rPr>
        <w:t>son</w:t>
      </w:r>
      <w:r>
        <w:rPr>
          <w:color w:val="231F20"/>
          <w:spacing w:val="-7"/>
          <w:w w:val="120"/>
        </w:rPr>
        <w:t> </w:t>
      </w:r>
      <w:r>
        <w:rPr>
          <w:color w:val="231F20"/>
          <w:w w:val="120"/>
        </w:rPr>
        <w:t>ou</w:t>
      </w:r>
      <w:r>
        <w:rPr>
          <w:color w:val="231F20"/>
          <w:spacing w:val="-7"/>
          <w:w w:val="120"/>
        </w:rPr>
        <w:t> </w:t>
      </w:r>
      <w:r>
        <w:rPr>
          <w:color w:val="231F20"/>
          <w:w w:val="120"/>
        </w:rPr>
        <w:t>sa</w:t>
      </w:r>
      <w:r>
        <w:rPr>
          <w:color w:val="231F20"/>
          <w:spacing w:val="-7"/>
          <w:w w:val="120"/>
        </w:rPr>
        <w:t> </w:t>
      </w:r>
      <w:r>
        <w:rPr>
          <w:color w:val="231F20"/>
          <w:w w:val="120"/>
        </w:rPr>
        <w:t>partenaire;</w:t>
      </w:r>
      <w:r>
        <w:rPr>
          <w:color w:val="231F20"/>
          <w:spacing w:val="-7"/>
          <w:w w:val="120"/>
        </w:rPr>
        <w:t> </w:t>
      </w:r>
      <w:r>
        <w:rPr>
          <w:color w:val="231F20"/>
          <w:w w:val="120"/>
        </w:rPr>
        <w:t>il</w:t>
      </w:r>
      <w:r>
        <w:rPr>
          <w:color w:val="231F20"/>
          <w:spacing w:val="-7"/>
          <w:w w:val="120"/>
        </w:rPr>
        <w:t> </w:t>
      </w:r>
      <w:r>
        <w:rPr>
          <w:color w:val="231F20"/>
          <w:w w:val="120"/>
        </w:rPr>
        <w:t>n’a</w:t>
      </w:r>
      <w:r>
        <w:rPr>
          <w:color w:val="231F20"/>
          <w:spacing w:val="-7"/>
          <w:w w:val="120"/>
        </w:rPr>
        <w:t> </w:t>
      </w:r>
      <w:r>
        <w:rPr>
          <w:color w:val="231F20"/>
          <w:w w:val="120"/>
        </w:rPr>
        <w:t>pas</w:t>
      </w:r>
      <w:r>
        <w:rPr>
          <w:color w:val="231F20"/>
          <w:spacing w:val="-7"/>
          <w:w w:val="120"/>
        </w:rPr>
        <w:t> </w:t>
      </w:r>
      <w:r>
        <w:rPr>
          <w:color w:val="231F20"/>
          <w:w w:val="120"/>
        </w:rPr>
        <w:t>de</w:t>
      </w:r>
      <w:r>
        <w:rPr>
          <w:color w:val="231F20"/>
          <w:spacing w:val="-7"/>
          <w:w w:val="120"/>
        </w:rPr>
        <w:t> </w:t>
      </w:r>
      <w:r>
        <w:rPr>
          <w:color w:val="231F20"/>
          <w:w w:val="120"/>
        </w:rPr>
        <w:t>véritables</w:t>
      </w:r>
      <w:r>
        <w:rPr>
          <w:color w:val="231F20"/>
          <w:spacing w:val="-7"/>
          <w:w w:val="120"/>
        </w:rPr>
        <w:t> </w:t>
      </w:r>
      <w:r>
        <w:rPr>
          <w:color w:val="231F20"/>
          <w:w w:val="120"/>
        </w:rPr>
        <w:t>amis.</w:t>
      </w:r>
      <w:r>
        <w:rPr>
          <w:color w:val="231F20"/>
          <w:spacing w:val="-7"/>
          <w:w w:val="120"/>
        </w:rPr>
        <w:t> </w:t>
      </w:r>
      <w:r>
        <w:rPr>
          <w:color w:val="231F20"/>
          <w:w w:val="120"/>
        </w:rPr>
        <w:t>Il</w:t>
      </w:r>
      <w:r>
        <w:rPr>
          <w:color w:val="231F20"/>
          <w:spacing w:val="-7"/>
          <w:w w:val="120"/>
        </w:rPr>
        <w:t> </w:t>
      </w:r>
      <w:r>
        <w:rPr>
          <w:color w:val="231F20"/>
          <w:w w:val="120"/>
        </w:rPr>
        <w:t>souffre</w:t>
      </w:r>
      <w:r>
        <w:rPr>
          <w:color w:val="231F20"/>
          <w:spacing w:val="-7"/>
          <w:w w:val="120"/>
        </w:rPr>
        <w:t> </w:t>
      </w:r>
      <w:r>
        <w:rPr>
          <w:color w:val="231F20"/>
          <w:w w:val="120"/>
        </w:rPr>
        <w:t>d’une </w:t>
      </w:r>
      <w:r>
        <w:rPr>
          <w:color w:val="231F20"/>
          <w:w w:val="115"/>
        </w:rPr>
        <w:t>crise</w:t>
      </w:r>
      <w:r>
        <w:rPr>
          <w:color w:val="231F20"/>
          <w:spacing w:val="-9"/>
          <w:w w:val="115"/>
        </w:rPr>
        <w:t> </w:t>
      </w:r>
      <w:r>
        <w:rPr>
          <w:color w:val="231F20"/>
          <w:w w:val="115"/>
        </w:rPr>
        <w:t>d’identité</w:t>
      </w:r>
      <w:r>
        <w:rPr>
          <w:color w:val="231F20"/>
          <w:spacing w:val="-9"/>
          <w:w w:val="115"/>
        </w:rPr>
        <w:t> </w:t>
      </w:r>
      <w:r>
        <w:rPr>
          <w:color w:val="231F20"/>
          <w:w w:val="115"/>
        </w:rPr>
        <w:t>semblable</w:t>
      </w:r>
      <w:r>
        <w:rPr>
          <w:color w:val="231F20"/>
          <w:spacing w:val="-9"/>
          <w:w w:val="115"/>
        </w:rPr>
        <w:t> </w:t>
      </w:r>
      <w:r>
        <w:rPr>
          <w:color w:val="231F20"/>
          <w:w w:val="115"/>
        </w:rPr>
        <w:t>à</w:t>
      </w:r>
      <w:r>
        <w:rPr>
          <w:color w:val="231F20"/>
          <w:spacing w:val="-9"/>
          <w:w w:val="115"/>
        </w:rPr>
        <w:t> </w:t>
      </w:r>
      <w:r>
        <w:rPr>
          <w:color w:val="231F20"/>
          <w:w w:val="115"/>
        </w:rPr>
        <w:t>celle</w:t>
      </w:r>
      <w:r>
        <w:rPr>
          <w:color w:val="231F20"/>
          <w:spacing w:val="-9"/>
          <w:w w:val="115"/>
        </w:rPr>
        <w:t> </w:t>
      </w:r>
      <w:r>
        <w:rPr>
          <w:color w:val="231F20"/>
          <w:w w:val="115"/>
        </w:rPr>
        <w:t>qui</w:t>
      </w:r>
      <w:r>
        <w:rPr>
          <w:color w:val="231F20"/>
          <w:spacing w:val="-9"/>
          <w:w w:val="115"/>
        </w:rPr>
        <w:t> </w:t>
      </w:r>
      <w:r>
        <w:rPr>
          <w:color w:val="231F20"/>
          <w:w w:val="115"/>
        </w:rPr>
        <w:t>tourmenterait</w:t>
      </w:r>
      <w:r>
        <w:rPr>
          <w:color w:val="231F20"/>
          <w:spacing w:val="-9"/>
          <w:w w:val="115"/>
        </w:rPr>
        <w:t> </w:t>
      </w:r>
      <w:r>
        <w:rPr>
          <w:color w:val="231F20"/>
          <w:w w:val="115"/>
        </w:rPr>
        <w:t>un</w:t>
      </w:r>
      <w:r>
        <w:rPr>
          <w:color w:val="231F20"/>
          <w:spacing w:val="-9"/>
          <w:w w:val="115"/>
        </w:rPr>
        <w:t> </w:t>
      </w:r>
      <w:r>
        <w:rPr>
          <w:color w:val="231F20"/>
          <w:w w:val="115"/>
        </w:rPr>
        <w:t>adolescent.</w:t>
      </w:r>
      <w:r>
        <w:rPr>
          <w:color w:val="231F20"/>
          <w:spacing w:val="-9"/>
          <w:w w:val="115"/>
        </w:rPr>
        <w:t> </w:t>
      </w:r>
      <w:r>
        <w:rPr>
          <w:color w:val="231F20"/>
          <w:w w:val="115"/>
        </w:rPr>
        <w:t>Comme </w:t>
      </w:r>
      <w:r>
        <w:rPr>
          <w:color w:val="231F20"/>
          <w:spacing w:val="-2"/>
          <w:w w:val="120"/>
        </w:rPr>
        <w:t>l’illustre</w:t>
      </w:r>
      <w:r>
        <w:rPr>
          <w:color w:val="231F20"/>
          <w:spacing w:val="-5"/>
          <w:w w:val="120"/>
        </w:rPr>
        <w:t> </w:t>
      </w:r>
      <w:r>
        <w:rPr>
          <w:color w:val="231F20"/>
          <w:spacing w:val="-2"/>
          <w:w w:val="120"/>
        </w:rPr>
        <w:t>la</w:t>
      </w:r>
      <w:r>
        <w:rPr>
          <w:color w:val="231F20"/>
          <w:spacing w:val="-5"/>
          <w:w w:val="120"/>
        </w:rPr>
        <w:t> </w:t>
      </w:r>
      <w:r>
        <w:rPr>
          <w:color w:val="231F20"/>
          <w:spacing w:val="-2"/>
          <w:w w:val="120"/>
        </w:rPr>
        <w:t>figure</w:t>
      </w:r>
      <w:r>
        <w:rPr>
          <w:color w:val="231F20"/>
          <w:spacing w:val="-5"/>
          <w:w w:val="120"/>
        </w:rPr>
        <w:t> </w:t>
      </w:r>
      <w:r>
        <w:rPr>
          <w:color w:val="231F20"/>
          <w:spacing w:val="-2"/>
          <w:w w:val="120"/>
        </w:rPr>
        <w:t>4.2,</w:t>
      </w:r>
      <w:r>
        <w:rPr>
          <w:color w:val="231F20"/>
          <w:spacing w:val="-5"/>
          <w:w w:val="120"/>
        </w:rPr>
        <w:t> </w:t>
      </w:r>
      <w:r>
        <w:rPr>
          <w:color w:val="231F20"/>
          <w:spacing w:val="-2"/>
          <w:w w:val="120"/>
        </w:rPr>
        <w:t>le</w:t>
      </w:r>
      <w:r>
        <w:rPr>
          <w:color w:val="231F20"/>
          <w:spacing w:val="-5"/>
          <w:w w:val="120"/>
        </w:rPr>
        <w:t> </w:t>
      </w:r>
      <w:r>
        <w:rPr>
          <w:color w:val="231F20"/>
          <w:spacing w:val="-2"/>
          <w:w w:val="120"/>
        </w:rPr>
        <w:t>manque</w:t>
      </w:r>
      <w:r>
        <w:rPr>
          <w:color w:val="231F20"/>
          <w:spacing w:val="-5"/>
          <w:w w:val="120"/>
        </w:rPr>
        <w:t> </w:t>
      </w:r>
      <w:r>
        <w:rPr>
          <w:color w:val="231F20"/>
          <w:spacing w:val="-2"/>
          <w:w w:val="120"/>
        </w:rPr>
        <w:t>d’estime</w:t>
      </w:r>
      <w:r>
        <w:rPr>
          <w:color w:val="231F20"/>
          <w:spacing w:val="-5"/>
          <w:w w:val="120"/>
        </w:rPr>
        <w:t> </w:t>
      </w:r>
      <w:r>
        <w:rPr>
          <w:color w:val="231F20"/>
          <w:spacing w:val="-2"/>
          <w:w w:val="120"/>
        </w:rPr>
        <w:t>de</w:t>
      </w:r>
      <w:r>
        <w:rPr>
          <w:color w:val="231F20"/>
          <w:spacing w:val="-5"/>
          <w:w w:val="120"/>
        </w:rPr>
        <w:t> </w:t>
      </w:r>
      <w:r>
        <w:rPr>
          <w:color w:val="231F20"/>
          <w:spacing w:val="-2"/>
          <w:w w:val="120"/>
        </w:rPr>
        <w:t>soi</w:t>
      </w:r>
      <w:r>
        <w:rPr>
          <w:color w:val="231F20"/>
          <w:spacing w:val="-5"/>
          <w:w w:val="120"/>
        </w:rPr>
        <w:t> </w:t>
      </w:r>
      <w:r>
        <w:rPr>
          <w:color w:val="231F20"/>
          <w:spacing w:val="-2"/>
          <w:w w:val="120"/>
        </w:rPr>
        <w:t>jette</w:t>
      </w:r>
      <w:r>
        <w:rPr>
          <w:color w:val="231F20"/>
          <w:spacing w:val="-5"/>
          <w:w w:val="120"/>
        </w:rPr>
        <w:t> </w:t>
      </w:r>
      <w:r>
        <w:rPr>
          <w:color w:val="231F20"/>
          <w:spacing w:val="-2"/>
          <w:w w:val="120"/>
        </w:rPr>
        <w:t>l’individu</w:t>
      </w:r>
      <w:r>
        <w:rPr>
          <w:color w:val="231F20"/>
          <w:spacing w:val="-5"/>
          <w:w w:val="120"/>
        </w:rPr>
        <w:t> </w:t>
      </w:r>
      <w:r>
        <w:rPr>
          <w:color w:val="231F20"/>
          <w:spacing w:val="-2"/>
          <w:w w:val="120"/>
        </w:rPr>
        <w:t>dans</w:t>
      </w:r>
      <w:r>
        <w:rPr>
          <w:color w:val="231F20"/>
          <w:spacing w:val="-5"/>
          <w:w w:val="120"/>
        </w:rPr>
        <w:t> </w:t>
      </w:r>
      <w:r>
        <w:rPr>
          <w:color w:val="231F20"/>
          <w:spacing w:val="-2"/>
          <w:w w:val="120"/>
        </w:rPr>
        <w:t>un </w:t>
      </w:r>
      <w:r>
        <w:rPr>
          <w:color w:val="231F20"/>
          <w:w w:val="120"/>
        </w:rPr>
        <w:t>labyrinthe sans issue de stress et d’inadaptation.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r>
        <w:rPr/>
        <w:pict>
          <v:shape style="position:absolute;margin-left:82pt;margin-top:9.790669pt;width:287.5pt;height:.1pt;mso-position-horizontal-relative:page;mso-position-vertical-relative:paragraph;z-index:-15651328;mso-wrap-distance-left:0;mso-wrap-distance-right:0" id="docshape887" coordorigin="1640,196" coordsize="5750,0" path="m1640,196l7390,196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hAnsi="Arial"/>
          <w:sz w:val="12"/>
        </w:rPr>
      </w:pPr>
      <w:r>
        <w:rPr>
          <w:rFonts w:ascii="Arial" w:hAnsi="Arial"/>
          <w:color w:val="231F20"/>
          <w:w w:val="95"/>
          <w:sz w:val="12"/>
        </w:rPr>
        <w:t>Lipovetsky,</w:t>
      </w:r>
      <w:r>
        <w:rPr>
          <w:rFonts w:ascii="Arial" w:hAnsi="Arial"/>
          <w:color w:val="231F20"/>
          <w:spacing w:val="7"/>
          <w:sz w:val="12"/>
        </w:rPr>
        <w:t> </w:t>
      </w:r>
      <w:r>
        <w:rPr>
          <w:rFonts w:ascii="Arial" w:hAnsi="Arial"/>
          <w:color w:val="231F20"/>
          <w:w w:val="95"/>
          <w:sz w:val="12"/>
        </w:rPr>
        <w:t>G.</w:t>
      </w:r>
      <w:r>
        <w:rPr>
          <w:rFonts w:ascii="Arial" w:hAnsi="Arial"/>
          <w:color w:val="231F20"/>
          <w:spacing w:val="8"/>
          <w:sz w:val="12"/>
        </w:rPr>
        <w:t> </w:t>
      </w:r>
      <w:r>
        <w:rPr>
          <w:rFonts w:ascii="Arial" w:hAnsi="Arial"/>
          <w:color w:val="231F20"/>
          <w:w w:val="95"/>
          <w:sz w:val="12"/>
        </w:rPr>
        <w:t>(1989).</w:t>
      </w:r>
      <w:r>
        <w:rPr>
          <w:rFonts w:ascii="Arial" w:hAnsi="Arial"/>
          <w:color w:val="231F20"/>
          <w:spacing w:val="8"/>
          <w:sz w:val="12"/>
        </w:rPr>
        <w:t> </w:t>
      </w:r>
      <w:r>
        <w:rPr>
          <w:rFonts w:ascii="Arial" w:hAnsi="Arial"/>
          <w:i/>
          <w:color w:val="231F20"/>
          <w:w w:val="95"/>
          <w:sz w:val="12"/>
        </w:rPr>
        <w:t>L’ère</w:t>
      </w:r>
      <w:r>
        <w:rPr>
          <w:rFonts w:ascii="Arial" w:hAnsi="Arial"/>
          <w:i/>
          <w:color w:val="231F20"/>
          <w:spacing w:val="8"/>
          <w:sz w:val="12"/>
        </w:rPr>
        <w:t> </w:t>
      </w:r>
      <w:r>
        <w:rPr>
          <w:rFonts w:ascii="Arial" w:hAnsi="Arial"/>
          <w:i/>
          <w:color w:val="231F20"/>
          <w:w w:val="95"/>
          <w:sz w:val="12"/>
        </w:rPr>
        <w:t>du</w:t>
      </w:r>
      <w:r>
        <w:rPr>
          <w:rFonts w:ascii="Arial" w:hAnsi="Arial"/>
          <w:i/>
          <w:color w:val="231F20"/>
          <w:spacing w:val="8"/>
          <w:sz w:val="12"/>
        </w:rPr>
        <w:t> </w:t>
      </w:r>
      <w:r>
        <w:rPr>
          <w:rFonts w:ascii="Arial" w:hAnsi="Arial"/>
          <w:i/>
          <w:color w:val="231F20"/>
          <w:w w:val="95"/>
          <w:sz w:val="12"/>
        </w:rPr>
        <w:t>vide:</w:t>
      </w:r>
      <w:r>
        <w:rPr>
          <w:rFonts w:ascii="Arial" w:hAnsi="Arial"/>
          <w:i/>
          <w:color w:val="231F20"/>
          <w:spacing w:val="7"/>
          <w:sz w:val="12"/>
        </w:rPr>
        <w:t> </w:t>
      </w:r>
      <w:r>
        <w:rPr>
          <w:rFonts w:ascii="Arial" w:hAnsi="Arial"/>
          <w:i/>
          <w:color w:val="231F20"/>
          <w:w w:val="95"/>
          <w:sz w:val="12"/>
        </w:rPr>
        <w:t>essais</w:t>
      </w:r>
      <w:r>
        <w:rPr>
          <w:rFonts w:ascii="Arial" w:hAnsi="Arial"/>
          <w:i/>
          <w:color w:val="231F20"/>
          <w:spacing w:val="8"/>
          <w:sz w:val="12"/>
        </w:rPr>
        <w:t> </w:t>
      </w:r>
      <w:r>
        <w:rPr>
          <w:rFonts w:ascii="Arial" w:hAnsi="Arial"/>
          <w:i/>
          <w:color w:val="231F20"/>
          <w:w w:val="95"/>
          <w:sz w:val="12"/>
        </w:rPr>
        <w:t>sur</w:t>
      </w:r>
      <w:r>
        <w:rPr>
          <w:rFonts w:ascii="Arial" w:hAnsi="Arial"/>
          <w:i/>
          <w:color w:val="231F20"/>
          <w:spacing w:val="8"/>
          <w:sz w:val="12"/>
        </w:rPr>
        <w:t> </w:t>
      </w:r>
      <w:r>
        <w:rPr>
          <w:rFonts w:ascii="Arial" w:hAnsi="Arial"/>
          <w:i/>
          <w:color w:val="231F20"/>
          <w:w w:val="95"/>
          <w:sz w:val="12"/>
        </w:rPr>
        <w:t>l’individualisme</w:t>
      </w:r>
      <w:r>
        <w:rPr>
          <w:rFonts w:ascii="Arial" w:hAnsi="Arial"/>
          <w:i/>
          <w:color w:val="231F20"/>
          <w:spacing w:val="8"/>
          <w:sz w:val="12"/>
        </w:rPr>
        <w:t> </w:t>
      </w:r>
      <w:r>
        <w:rPr>
          <w:rFonts w:ascii="Arial" w:hAnsi="Arial"/>
          <w:i/>
          <w:color w:val="231F20"/>
          <w:w w:val="95"/>
          <w:sz w:val="12"/>
        </w:rPr>
        <w:t>contemporain</w:t>
      </w:r>
      <w:r>
        <w:rPr>
          <w:rFonts w:ascii="Arial" w:hAnsi="Arial"/>
          <w:color w:val="231F20"/>
          <w:w w:val="95"/>
          <w:sz w:val="12"/>
        </w:rPr>
        <w:t>,</w:t>
      </w:r>
      <w:r>
        <w:rPr>
          <w:rFonts w:ascii="Arial" w:hAnsi="Arial"/>
          <w:color w:val="231F20"/>
          <w:spacing w:val="8"/>
          <w:sz w:val="12"/>
        </w:rPr>
        <w:t> </w:t>
      </w:r>
      <w:r>
        <w:rPr>
          <w:rFonts w:ascii="Arial" w:hAnsi="Arial"/>
          <w:color w:val="231F20"/>
          <w:w w:val="95"/>
          <w:sz w:val="12"/>
        </w:rPr>
        <w:t>Paris,</w:t>
      </w:r>
      <w:r>
        <w:rPr>
          <w:rFonts w:ascii="Arial" w:hAnsi="Arial"/>
          <w:color w:val="231F20"/>
          <w:spacing w:val="8"/>
          <w:sz w:val="12"/>
        </w:rPr>
        <w:t> </w:t>
      </w:r>
      <w:r>
        <w:rPr>
          <w:rFonts w:ascii="Arial" w:hAnsi="Arial"/>
          <w:color w:val="231F20"/>
          <w:spacing w:val="-2"/>
          <w:w w:val="95"/>
          <w:sz w:val="12"/>
        </w:rPr>
        <w:t>Gallimard.</w:t>
      </w:r>
    </w:p>
    <w:p>
      <w:pPr>
        <w:pStyle w:val="ListParagraph"/>
        <w:numPr>
          <w:ilvl w:val="0"/>
          <w:numId w:val="65"/>
        </w:numPr>
        <w:tabs>
          <w:tab w:pos="1219" w:val="left" w:leader="none"/>
          <w:tab w:pos="1220" w:val="left" w:leader="none"/>
        </w:tabs>
        <w:spacing w:line="240" w:lineRule="auto" w:before="32" w:after="0"/>
        <w:ind w:left="1219" w:right="0" w:hanging="406"/>
        <w:jc w:val="left"/>
        <w:rPr>
          <w:rFonts w:ascii="Arial" w:hAnsi="Arial"/>
          <w:sz w:val="12"/>
        </w:rPr>
      </w:pPr>
      <w:r>
        <w:rPr>
          <w:rFonts w:ascii="Arial" w:hAnsi="Arial"/>
          <w:color w:val="231F20"/>
          <w:sz w:val="12"/>
        </w:rPr>
        <w:t>Polaino-Lorente,</w:t>
      </w:r>
      <w:r>
        <w:rPr>
          <w:rFonts w:ascii="Arial" w:hAnsi="Arial"/>
          <w:color w:val="231F20"/>
          <w:spacing w:val="-6"/>
          <w:sz w:val="12"/>
        </w:rPr>
        <w:t> </w:t>
      </w:r>
      <w:r>
        <w:rPr>
          <w:rFonts w:ascii="Arial" w:hAnsi="Arial"/>
          <w:color w:val="231F20"/>
          <w:sz w:val="12"/>
        </w:rPr>
        <w:t>A.</w:t>
      </w:r>
      <w:r>
        <w:rPr>
          <w:rFonts w:ascii="Arial" w:hAnsi="Arial"/>
          <w:color w:val="231F20"/>
          <w:spacing w:val="-6"/>
          <w:sz w:val="12"/>
        </w:rPr>
        <w:t> </w:t>
      </w:r>
      <w:r>
        <w:rPr>
          <w:rFonts w:ascii="Arial" w:hAnsi="Arial"/>
          <w:color w:val="231F20"/>
          <w:sz w:val="12"/>
        </w:rPr>
        <w:t>(2003).</w:t>
      </w:r>
      <w:r>
        <w:rPr>
          <w:rFonts w:ascii="Arial" w:hAnsi="Arial"/>
          <w:color w:val="231F20"/>
          <w:spacing w:val="-6"/>
          <w:sz w:val="12"/>
        </w:rPr>
        <w:t> </w:t>
      </w:r>
      <w:r>
        <w:rPr>
          <w:rFonts w:ascii="Arial" w:hAnsi="Arial"/>
          <w:i/>
          <w:color w:val="231F20"/>
          <w:sz w:val="12"/>
        </w:rPr>
        <w:t>En</w:t>
      </w:r>
      <w:r>
        <w:rPr>
          <w:rFonts w:ascii="Arial" w:hAnsi="Arial"/>
          <w:i/>
          <w:color w:val="231F20"/>
          <w:spacing w:val="-6"/>
          <w:sz w:val="12"/>
        </w:rPr>
        <w:t> </w:t>
      </w:r>
      <w:r>
        <w:rPr>
          <w:rFonts w:ascii="Arial" w:hAnsi="Arial"/>
          <w:i/>
          <w:color w:val="231F20"/>
          <w:sz w:val="12"/>
        </w:rPr>
        <w:t>busca</w:t>
      </w:r>
      <w:r>
        <w:rPr>
          <w:rFonts w:ascii="Arial" w:hAnsi="Arial"/>
          <w:i/>
          <w:color w:val="231F20"/>
          <w:spacing w:val="-5"/>
          <w:sz w:val="12"/>
        </w:rPr>
        <w:t> </w:t>
      </w:r>
      <w:r>
        <w:rPr>
          <w:rFonts w:ascii="Arial" w:hAnsi="Arial"/>
          <w:i/>
          <w:color w:val="231F20"/>
          <w:sz w:val="12"/>
        </w:rPr>
        <w:t>de</w:t>
      </w:r>
      <w:r>
        <w:rPr>
          <w:rFonts w:ascii="Arial" w:hAnsi="Arial"/>
          <w:i/>
          <w:color w:val="231F20"/>
          <w:spacing w:val="-6"/>
          <w:sz w:val="12"/>
        </w:rPr>
        <w:t> </w:t>
      </w:r>
      <w:r>
        <w:rPr>
          <w:rFonts w:ascii="Arial" w:hAnsi="Arial"/>
          <w:i/>
          <w:color w:val="231F20"/>
          <w:sz w:val="12"/>
        </w:rPr>
        <w:t>la</w:t>
      </w:r>
      <w:r>
        <w:rPr>
          <w:rFonts w:ascii="Arial" w:hAnsi="Arial"/>
          <w:i/>
          <w:color w:val="231F20"/>
          <w:spacing w:val="-6"/>
          <w:sz w:val="12"/>
        </w:rPr>
        <w:t> </w:t>
      </w:r>
      <w:r>
        <w:rPr>
          <w:rFonts w:ascii="Arial" w:hAnsi="Arial"/>
          <w:i/>
          <w:color w:val="231F20"/>
          <w:sz w:val="12"/>
        </w:rPr>
        <w:t>autoestima</w:t>
      </w:r>
      <w:r>
        <w:rPr>
          <w:rFonts w:ascii="Arial" w:hAnsi="Arial"/>
          <w:i/>
          <w:color w:val="231F20"/>
          <w:spacing w:val="-6"/>
          <w:sz w:val="12"/>
        </w:rPr>
        <w:t> </w:t>
      </w:r>
      <w:r>
        <w:rPr>
          <w:rFonts w:ascii="Arial" w:hAnsi="Arial"/>
          <w:i/>
          <w:color w:val="231F20"/>
          <w:sz w:val="12"/>
        </w:rPr>
        <w:t>perdida</w:t>
      </w:r>
      <w:r>
        <w:rPr>
          <w:rFonts w:ascii="Arial" w:hAnsi="Arial"/>
          <w:color w:val="231F20"/>
          <w:sz w:val="12"/>
        </w:rPr>
        <w:t>,</w:t>
      </w:r>
      <w:r>
        <w:rPr>
          <w:rFonts w:ascii="Arial" w:hAnsi="Arial"/>
          <w:color w:val="231F20"/>
          <w:spacing w:val="-6"/>
          <w:sz w:val="12"/>
        </w:rPr>
        <w:t> </w:t>
      </w:r>
      <w:r>
        <w:rPr>
          <w:rFonts w:ascii="Arial" w:hAnsi="Arial"/>
          <w:color w:val="231F20"/>
          <w:sz w:val="12"/>
        </w:rPr>
        <w:t>Bilbao,</w:t>
      </w:r>
      <w:r>
        <w:rPr>
          <w:rFonts w:ascii="Arial" w:hAnsi="Arial"/>
          <w:color w:val="231F20"/>
          <w:spacing w:val="-5"/>
          <w:sz w:val="12"/>
        </w:rPr>
        <w:t> </w:t>
      </w:r>
      <w:r>
        <w:rPr>
          <w:rFonts w:ascii="Arial" w:hAnsi="Arial"/>
          <w:color w:val="231F20"/>
          <w:sz w:val="12"/>
        </w:rPr>
        <w:t>Desclée</w:t>
      </w:r>
      <w:r>
        <w:rPr>
          <w:rFonts w:ascii="Arial" w:hAnsi="Arial"/>
          <w:color w:val="231F20"/>
          <w:spacing w:val="-6"/>
          <w:sz w:val="12"/>
        </w:rPr>
        <w:t> </w:t>
      </w:r>
      <w:r>
        <w:rPr>
          <w:rFonts w:ascii="Arial" w:hAnsi="Arial"/>
          <w:color w:val="231F20"/>
          <w:sz w:val="12"/>
        </w:rPr>
        <w:t>de</w:t>
      </w:r>
      <w:r>
        <w:rPr>
          <w:rFonts w:ascii="Arial" w:hAnsi="Arial"/>
          <w:color w:val="231F20"/>
          <w:spacing w:val="-6"/>
          <w:sz w:val="12"/>
        </w:rPr>
        <w:t> </w:t>
      </w:r>
      <w:r>
        <w:rPr>
          <w:rFonts w:ascii="Arial" w:hAnsi="Arial"/>
          <w:color w:val="231F20"/>
          <w:spacing w:val="-2"/>
          <w:sz w:val="12"/>
        </w:rPr>
        <w:t>Brouwer.</w:t>
      </w:r>
    </w:p>
    <w:p>
      <w:pPr>
        <w:spacing w:after="0" w:line="240" w:lineRule="auto"/>
        <w:jc w:val="left"/>
        <w:rPr>
          <w:rFonts w:ascii="Arial" w:hAnsi="Arial"/>
          <w:sz w:val="12"/>
        </w:rPr>
        <w:sectPr>
          <w:type w:val="continuous"/>
          <w:pgSz w:w="8640" w:h="12960"/>
          <w:pgMar w:header="0" w:footer="424" w:top="1220" w:bottom="280" w:left="420" w:right="1140"/>
        </w:sectPr>
      </w:pPr>
    </w:p>
    <w:p>
      <w:pPr>
        <w:spacing w:before="103"/>
        <w:ind w:left="1028" w:right="698" w:firstLine="0"/>
        <w:jc w:val="center"/>
        <w:rPr>
          <w:rFonts w:ascii="Arial" w:hAnsi="Arial"/>
          <w:sz w:val="14"/>
        </w:rPr>
      </w:pPr>
      <w:bookmarkStart w:name="Figure 4.2 / Interrelation entre l’estim" w:id="145"/>
      <w:bookmarkEnd w:id="145"/>
      <w:r>
        <w:rPr/>
      </w:r>
      <w:bookmarkStart w:name="_bookmark63" w:id="146"/>
      <w:bookmarkEnd w:id="14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29" w:right="494" w:firstLine="250"/>
        <w:jc w:val="both"/>
      </w:pPr>
      <w:r>
        <w:rPr>
          <w:color w:val="231F20"/>
          <w:spacing w:val="-2"/>
          <w:w w:val="120"/>
        </w:rPr>
        <w:t>Plus</w:t>
      </w:r>
      <w:r>
        <w:rPr>
          <w:color w:val="231F20"/>
          <w:spacing w:val="-4"/>
          <w:w w:val="120"/>
        </w:rPr>
        <w:t> </w:t>
      </w:r>
      <w:r>
        <w:rPr>
          <w:color w:val="231F20"/>
          <w:spacing w:val="-2"/>
          <w:w w:val="120"/>
        </w:rPr>
        <w:t>l’individu</w:t>
      </w:r>
      <w:r>
        <w:rPr>
          <w:color w:val="231F20"/>
          <w:spacing w:val="-4"/>
          <w:w w:val="120"/>
        </w:rPr>
        <w:t> </w:t>
      </w:r>
      <w:r>
        <w:rPr>
          <w:color w:val="231F20"/>
          <w:spacing w:val="-2"/>
          <w:w w:val="120"/>
        </w:rPr>
        <w:t>est</w:t>
      </w:r>
      <w:r>
        <w:rPr>
          <w:color w:val="231F20"/>
          <w:spacing w:val="-4"/>
          <w:w w:val="120"/>
        </w:rPr>
        <w:t> </w:t>
      </w:r>
      <w:r>
        <w:rPr>
          <w:color w:val="231F20"/>
          <w:spacing w:val="-2"/>
          <w:w w:val="120"/>
        </w:rPr>
        <w:t>confiant,</w:t>
      </w:r>
      <w:r>
        <w:rPr>
          <w:color w:val="231F20"/>
          <w:spacing w:val="-4"/>
          <w:w w:val="120"/>
        </w:rPr>
        <w:t> </w:t>
      </w:r>
      <w:r>
        <w:rPr>
          <w:color w:val="231F20"/>
          <w:spacing w:val="-2"/>
          <w:w w:val="120"/>
        </w:rPr>
        <w:t>moins</w:t>
      </w:r>
      <w:r>
        <w:rPr>
          <w:color w:val="231F20"/>
          <w:spacing w:val="-4"/>
          <w:w w:val="120"/>
        </w:rPr>
        <w:t> </w:t>
      </w:r>
      <w:r>
        <w:rPr>
          <w:color w:val="231F20"/>
          <w:spacing w:val="-2"/>
          <w:w w:val="120"/>
        </w:rPr>
        <w:t>il</w:t>
      </w:r>
      <w:r>
        <w:rPr>
          <w:color w:val="231F20"/>
          <w:spacing w:val="-4"/>
          <w:w w:val="120"/>
        </w:rPr>
        <w:t> </w:t>
      </w:r>
      <w:r>
        <w:rPr>
          <w:color w:val="231F20"/>
          <w:spacing w:val="-2"/>
          <w:w w:val="120"/>
        </w:rPr>
        <w:t>a</w:t>
      </w:r>
      <w:r>
        <w:rPr>
          <w:color w:val="231F20"/>
          <w:spacing w:val="-4"/>
          <w:w w:val="120"/>
        </w:rPr>
        <w:t> </w:t>
      </w:r>
      <w:r>
        <w:rPr>
          <w:color w:val="231F20"/>
          <w:spacing w:val="-2"/>
          <w:w w:val="120"/>
        </w:rPr>
        <w:t>besoin</w:t>
      </w:r>
      <w:r>
        <w:rPr>
          <w:color w:val="231F20"/>
          <w:spacing w:val="-4"/>
          <w:w w:val="120"/>
        </w:rPr>
        <w:t> </w:t>
      </w:r>
      <w:r>
        <w:rPr>
          <w:color w:val="231F20"/>
          <w:spacing w:val="-2"/>
          <w:w w:val="120"/>
        </w:rPr>
        <w:t>d’objets</w:t>
      </w:r>
      <w:r>
        <w:rPr>
          <w:color w:val="231F20"/>
          <w:spacing w:val="-4"/>
          <w:w w:val="120"/>
        </w:rPr>
        <w:t> </w:t>
      </w:r>
      <w:r>
        <w:rPr>
          <w:color w:val="231F20"/>
          <w:spacing w:val="-2"/>
          <w:w w:val="120"/>
        </w:rPr>
        <w:t>matériels</w:t>
      </w:r>
      <w:r>
        <w:rPr>
          <w:color w:val="231F20"/>
          <w:spacing w:val="-4"/>
          <w:w w:val="120"/>
        </w:rPr>
        <w:t> </w:t>
      </w:r>
      <w:r>
        <w:rPr>
          <w:color w:val="231F20"/>
          <w:spacing w:val="-2"/>
          <w:w w:val="120"/>
        </w:rPr>
        <w:t>pour </w:t>
      </w:r>
      <w:r>
        <w:rPr>
          <w:color w:val="231F20"/>
          <w:w w:val="120"/>
        </w:rPr>
        <w:t>s’affirmer</w:t>
      </w:r>
      <w:r>
        <w:rPr>
          <w:color w:val="231F20"/>
          <w:spacing w:val="-13"/>
          <w:w w:val="120"/>
        </w:rPr>
        <w:t> </w:t>
      </w:r>
      <w:r>
        <w:rPr>
          <w:color w:val="231F20"/>
          <w:w w:val="120"/>
        </w:rPr>
        <w:t>à</w:t>
      </w:r>
      <w:r>
        <w:rPr>
          <w:color w:val="231F20"/>
          <w:spacing w:val="-13"/>
          <w:w w:val="120"/>
        </w:rPr>
        <w:t> </w:t>
      </w:r>
      <w:r>
        <w:rPr>
          <w:color w:val="231F20"/>
          <w:w w:val="120"/>
        </w:rPr>
        <w:t>ses</w:t>
      </w:r>
      <w:r>
        <w:rPr>
          <w:color w:val="231F20"/>
          <w:spacing w:val="-13"/>
          <w:w w:val="120"/>
        </w:rPr>
        <w:t> </w:t>
      </w:r>
      <w:r>
        <w:rPr>
          <w:color w:val="231F20"/>
          <w:w w:val="120"/>
        </w:rPr>
        <w:t>propres</w:t>
      </w:r>
      <w:r>
        <w:rPr>
          <w:color w:val="231F20"/>
          <w:spacing w:val="-12"/>
          <w:w w:val="120"/>
        </w:rPr>
        <w:t> </w:t>
      </w:r>
      <w:r>
        <w:rPr>
          <w:color w:val="231F20"/>
          <w:w w:val="120"/>
        </w:rPr>
        <w:t>yeux</w:t>
      </w:r>
      <w:r>
        <w:rPr>
          <w:color w:val="231F20"/>
          <w:spacing w:val="-13"/>
          <w:w w:val="120"/>
        </w:rPr>
        <w:t> </w:t>
      </w:r>
      <w:r>
        <w:rPr>
          <w:color w:val="231F20"/>
          <w:w w:val="120"/>
        </w:rPr>
        <w:t>et</w:t>
      </w:r>
      <w:r>
        <w:rPr>
          <w:color w:val="231F20"/>
          <w:spacing w:val="-13"/>
          <w:w w:val="120"/>
        </w:rPr>
        <w:t> </w:t>
      </w:r>
      <w:r>
        <w:rPr>
          <w:color w:val="231F20"/>
          <w:w w:val="120"/>
        </w:rPr>
        <w:t>à</w:t>
      </w:r>
      <w:r>
        <w:rPr>
          <w:color w:val="231F20"/>
          <w:spacing w:val="-13"/>
          <w:w w:val="120"/>
        </w:rPr>
        <w:t> </w:t>
      </w:r>
      <w:r>
        <w:rPr>
          <w:color w:val="231F20"/>
          <w:w w:val="120"/>
        </w:rPr>
        <w:t>ceux</w:t>
      </w:r>
      <w:r>
        <w:rPr>
          <w:color w:val="231F20"/>
          <w:spacing w:val="-12"/>
          <w:w w:val="120"/>
        </w:rPr>
        <w:t> </w:t>
      </w:r>
      <w:r>
        <w:rPr>
          <w:color w:val="231F20"/>
          <w:w w:val="120"/>
        </w:rPr>
        <w:t>d’autrui.</w:t>
      </w:r>
      <w:r>
        <w:rPr>
          <w:color w:val="231F20"/>
          <w:spacing w:val="-13"/>
          <w:w w:val="120"/>
        </w:rPr>
        <w:t> </w:t>
      </w:r>
      <w:r>
        <w:rPr>
          <w:color w:val="231F20"/>
          <w:w w:val="120"/>
        </w:rPr>
        <w:t>Cela</w:t>
      </w:r>
      <w:r>
        <w:rPr>
          <w:color w:val="231F20"/>
          <w:spacing w:val="-13"/>
          <w:w w:val="120"/>
        </w:rPr>
        <w:t> </w:t>
      </w:r>
      <w:r>
        <w:rPr>
          <w:color w:val="231F20"/>
          <w:w w:val="120"/>
        </w:rPr>
        <w:t>signifie</w:t>
      </w:r>
      <w:r>
        <w:rPr>
          <w:color w:val="231F20"/>
          <w:spacing w:val="-13"/>
          <w:w w:val="120"/>
        </w:rPr>
        <w:t> </w:t>
      </w:r>
      <w:r>
        <w:rPr>
          <w:color w:val="231F20"/>
          <w:w w:val="120"/>
        </w:rPr>
        <w:t>aussi</w:t>
      </w:r>
      <w:r>
        <w:rPr>
          <w:color w:val="231F20"/>
          <w:spacing w:val="-12"/>
          <w:w w:val="120"/>
        </w:rPr>
        <w:t> </w:t>
      </w:r>
      <w:r>
        <w:rPr>
          <w:color w:val="231F20"/>
          <w:w w:val="120"/>
        </w:rPr>
        <w:t>qu’il s’expose</w:t>
      </w:r>
      <w:r>
        <w:rPr>
          <w:color w:val="231F20"/>
          <w:spacing w:val="-6"/>
          <w:w w:val="120"/>
        </w:rPr>
        <w:t> </w:t>
      </w:r>
      <w:r>
        <w:rPr>
          <w:color w:val="231F20"/>
          <w:w w:val="120"/>
        </w:rPr>
        <w:t>moins</w:t>
      </w:r>
      <w:r>
        <w:rPr>
          <w:color w:val="231F20"/>
          <w:spacing w:val="-6"/>
          <w:w w:val="120"/>
        </w:rPr>
        <w:t> </w:t>
      </w:r>
      <w:r>
        <w:rPr>
          <w:color w:val="231F20"/>
          <w:w w:val="120"/>
        </w:rPr>
        <w:t>à</w:t>
      </w:r>
      <w:r>
        <w:rPr>
          <w:color w:val="231F20"/>
          <w:spacing w:val="-6"/>
          <w:w w:val="120"/>
        </w:rPr>
        <w:t> </w:t>
      </w:r>
      <w:r>
        <w:rPr>
          <w:color w:val="231F20"/>
          <w:w w:val="120"/>
        </w:rPr>
        <w:t>des</w:t>
      </w:r>
      <w:r>
        <w:rPr>
          <w:color w:val="231F20"/>
          <w:spacing w:val="-6"/>
          <w:w w:val="120"/>
        </w:rPr>
        <w:t> </w:t>
      </w:r>
      <w:r>
        <w:rPr>
          <w:color w:val="231F20"/>
          <w:w w:val="120"/>
        </w:rPr>
        <w:t>états</w:t>
      </w:r>
      <w:r>
        <w:rPr>
          <w:color w:val="231F20"/>
          <w:spacing w:val="-6"/>
          <w:w w:val="120"/>
        </w:rPr>
        <w:t> </w:t>
      </w:r>
      <w:r>
        <w:rPr>
          <w:color w:val="231F20"/>
          <w:w w:val="120"/>
        </w:rPr>
        <w:t>subjectifs</w:t>
      </w:r>
      <w:r>
        <w:rPr>
          <w:color w:val="231F20"/>
          <w:spacing w:val="-6"/>
          <w:w w:val="120"/>
        </w:rPr>
        <w:t> </w:t>
      </w:r>
      <w:r>
        <w:rPr>
          <w:color w:val="231F20"/>
          <w:w w:val="120"/>
        </w:rPr>
        <w:t>de</w:t>
      </w:r>
      <w:r>
        <w:rPr>
          <w:color w:val="231F20"/>
          <w:spacing w:val="-6"/>
          <w:w w:val="120"/>
        </w:rPr>
        <w:t> </w:t>
      </w:r>
      <w:r>
        <w:rPr>
          <w:color w:val="231F20"/>
          <w:w w:val="120"/>
        </w:rPr>
        <w:t>perte</w:t>
      </w:r>
      <w:r>
        <w:rPr>
          <w:color w:val="231F20"/>
          <w:spacing w:val="-6"/>
          <w:w w:val="120"/>
        </w:rPr>
        <w:t> </w:t>
      </w:r>
      <w:r>
        <w:rPr>
          <w:color w:val="231F20"/>
          <w:w w:val="120"/>
        </w:rPr>
        <w:t>de</w:t>
      </w:r>
      <w:r>
        <w:rPr>
          <w:color w:val="231F20"/>
          <w:spacing w:val="-6"/>
          <w:w w:val="120"/>
        </w:rPr>
        <w:t> </w:t>
      </w:r>
      <w:r>
        <w:rPr>
          <w:color w:val="231F20"/>
          <w:w w:val="120"/>
        </w:rPr>
        <w:t>maîtrise</w:t>
      </w:r>
      <w:r>
        <w:rPr>
          <w:color w:val="231F20"/>
          <w:spacing w:val="-6"/>
          <w:w w:val="120"/>
        </w:rPr>
        <w:t> </w:t>
      </w:r>
      <w:r>
        <w:rPr>
          <w:color w:val="231F20"/>
          <w:w w:val="120"/>
        </w:rPr>
        <w:t>et</w:t>
      </w:r>
      <w:r>
        <w:rPr>
          <w:color w:val="231F20"/>
          <w:spacing w:val="-6"/>
          <w:w w:val="120"/>
        </w:rPr>
        <w:t> </w:t>
      </w:r>
      <w:r>
        <w:rPr>
          <w:color w:val="231F20"/>
          <w:w w:val="120"/>
        </w:rPr>
        <w:t>de</w:t>
      </w:r>
      <w:r>
        <w:rPr>
          <w:color w:val="231F20"/>
          <w:spacing w:val="-6"/>
          <w:w w:val="120"/>
        </w:rPr>
        <w:t> </w:t>
      </w:r>
      <w:r>
        <w:rPr>
          <w:color w:val="231F20"/>
          <w:w w:val="120"/>
        </w:rPr>
        <w:t>stress</w:t>
      </w:r>
      <w:r>
        <w:rPr>
          <w:color w:val="231F20"/>
          <w:spacing w:val="-6"/>
          <w:w w:val="120"/>
        </w:rPr>
        <w:t> </w:t>
      </w:r>
      <w:r>
        <w:rPr>
          <w:color w:val="231F20"/>
          <w:w w:val="120"/>
        </w:rPr>
        <w:t>et qu’il est moins vulnérable à l’accumulation pathogène d’événements incontrôlables, ce qui est bénéfique pour sa santé28.</w:t>
      </w:r>
    </w:p>
    <w:p>
      <w:pPr>
        <w:pStyle w:val="BodyText"/>
        <w:spacing w:before="6"/>
        <w:rPr>
          <w:sz w:val="11"/>
        </w:rPr>
      </w:pPr>
      <w:r>
        <w:rPr/>
        <w:pict>
          <v:group style="position:absolute;margin-left:62.5pt;margin-top:7.873779pt;width:287.5pt;height:106.4pt;mso-position-horizontal-relative:page;mso-position-vertical-relative:paragraph;z-index:-15650816;mso-wrap-distance-left:0;mso-wrap-distance-right:0" id="docshapegroup889" coordorigin="1250,157" coordsize="5750,2128">
            <v:shape style="position:absolute;left:1250;top:157;width:5750;height:2128" id="docshape890" coordorigin="1250,157" coordsize="5750,2128" path="m7000,157l1250,157,1250,662,1250,862,1250,2285,7000,2285,7000,862,7000,662,7000,157xe" filled="true" fillcolor="#e2e3e4" stroked="false">
              <v:path arrowok="t"/>
              <v:fill type="solid"/>
            </v:shape>
            <v:line style="position:absolute" from="4398,1190" to="4714,1190" stroked="true" strokeweight=".25pt" strokecolor="#231f20">
              <v:stroke dashstyle="solid"/>
            </v:line>
            <v:shape style="position:absolute;left:4704;top:1157;width:57;height:65" id="docshape891" coordorigin="4704,1157" coordsize="57,65" path="m4704,1157l4704,1222,4760,1190,4704,1157xe" filled="true" fillcolor="#231f20" stroked="false">
              <v:path arrowok="t"/>
              <v:fill type="solid"/>
            </v:shape>
            <v:shape style="position:absolute;left:1724;top:947;width:4560;height:500" id="docshape892" coordorigin="1724,947" coordsize="4560,500" path="m2888,947l1724,947,1724,1447,2888,1447,2888,947xm6284,947l4760,947,4760,1447,6284,1447,6284,947xe" filled="true" fillcolor="#c7c8ca" stroked="false">
              <v:path arrowok="t"/>
              <v:fill type="solid"/>
            </v:shape>
            <v:shape style="position:absolute;left:2302;top:754;width:1421;height:193" id="docshape893" coordorigin="2302,755" coordsize="1421,193" path="m2302,947l2302,755,3723,755,3723,861e" filled="false" stroked="true" strokeweight=".25pt" strokecolor="#231f20">
              <v:path arrowok="t"/>
              <v:stroke dashstyle="solid"/>
            </v:shape>
            <v:shape style="position:absolute;left:3690;top:851;width:65;height:57" id="docshape894" coordorigin="3691,851" coordsize="65,57" path="m3756,851l3691,851,3723,907,3756,851xe" filled="true" fillcolor="#231f20" stroked="false">
              <v:path arrowok="t"/>
              <v:fill type="solid"/>
            </v:shape>
            <v:shape style="position:absolute;left:5523;top:754;width:965;height:684" id="docshape895" coordorigin="5524,755" coordsize="965,684" path="m5524,947l5524,755,6488,755,6488,1438e" filled="false" stroked="true" strokeweight=".25pt" strokecolor="#231f20">
              <v:path arrowok="t"/>
              <v:stroke dashstyle="solid"/>
            </v:shape>
            <v:shape style="position:absolute;left:6455;top:1428;width:65;height:57" id="docshape896" coordorigin="6456,1429" coordsize="65,57" path="m6520,1429l6456,1429,6488,1485,6520,1429xe" filled="true" fillcolor="#231f20" stroked="false">
              <v:path arrowok="t"/>
              <v:fill type="solid"/>
            </v:shape>
            <v:shape style="position:absolute;left:2302;top:1447;width:3220;height:193" id="docshape897" coordorigin="2302,1447" coordsize="3220,193" path="m5522,1447l5522,1640,2302,1640,2302,1494e" filled="false" stroked="true" strokeweight=".25pt" strokecolor="#231f20">
              <v:path arrowok="t"/>
              <v:stroke dashstyle="solid"/>
            </v:shape>
            <v:shape style="position:absolute;left:2270;top:1447;width:65;height:57" id="docshape898" coordorigin="2270,1447" coordsize="65,57" path="m2302,1447l2270,1503,2335,1503,2302,1447xe" filled="true" fillcolor="#231f20" stroked="false">
              <v:path arrowok="t"/>
              <v:fill type="solid"/>
            </v:shape>
            <v:shape style="position:absolute;left:4135;top:1749;width:2353;height:193" id="docshape899" coordorigin="4135,1750" coordsize="2353,193" path="m6488,1750l6488,1943,4135,1943e" filled="false" stroked="true" strokeweight=".25pt" strokecolor="#231f20">
              <v:path arrowok="t"/>
              <v:stroke dashstyle="solid"/>
            </v:shape>
            <v:shape style="position:absolute;left:4088;top:1910;width:57;height:65" id="docshape900" coordorigin="4088,1910" coordsize="57,65" path="m4144,1910l4088,1943,4144,1975,4144,1910xe" filled="true" fillcolor="#231f20" stroked="false">
              <v:path arrowok="t"/>
              <v:fill type="solid"/>
            </v:shape>
            <v:shape style="position:absolute;left:1524;top:1189;width:2005;height:754" id="docshape901" coordorigin="1524,1190" coordsize="2005,754" path="m3529,1943l1524,1943,1524,1190,1677,1190e" filled="false" stroked="true" strokeweight=".25pt" strokecolor="#231f20">
              <v:path arrowok="t"/>
              <v:stroke dashstyle="solid"/>
            </v:shape>
            <v:shape style="position:absolute;left:1667;top:1157;width:57;height:65" id="docshape902" coordorigin="1668,1157" coordsize="57,65" path="m1668,1157l1668,1222,1724,1190,1668,1157xe" filled="true" fillcolor="#231f20" stroked="false">
              <v:path arrowok="t"/>
              <v:fill type="solid"/>
            </v:shape>
            <v:shape style="position:absolute;left:1500;top:329;width:4431;height:246" type="#_x0000_t202" id="docshape903" filled="false" stroked="false">
              <v:textbox inset="0,0,0,0">
                <w:txbxContent>
                  <w:p>
                    <w:pPr>
                      <w:spacing w:before="44"/>
                      <w:ind w:left="0" w:right="0" w:firstLine="0"/>
                      <w:jc w:val="left"/>
                      <w:rPr>
                        <w:rFonts w:ascii="Arial" w:hAnsi="Arial"/>
                        <w:b/>
                        <w:sz w:val="17"/>
                      </w:rPr>
                    </w:pPr>
                    <w:r>
                      <w:rPr>
                        <w:rFonts w:ascii="Arial" w:hAnsi="Arial"/>
                        <w:color w:val="231F20"/>
                        <w:sz w:val="17"/>
                      </w:rPr>
                      <w:t>Figure</w:t>
                    </w:r>
                    <w:r>
                      <w:rPr>
                        <w:rFonts w:ascii="Arial" w:hAnsi="Arial"/>
                        <w:color w:val="231F20"/>
                        <w:spacing w:val="-12"/>
                        <w:sz w:val="17"/>
                      </w:rPr>
                      <w:t> </w:t>
                    </w:r>
                    <w:r>
                      <w:rPr>
                        <w:rFonts w:ascii="Arial" w:hAnsi="Arial"/>
                        <w:color w:val="231F20"/>
                        <w:sz w:val="17"/>
                      </w:rPr>
                      <w:t>4.2</w:t>
                    </w:r>
                    <w:r>
                      <w:rPr>
                        <w:rFonts w:ascii="Arial" w:hAnsi="Arial"/>
                        <w:color w:val="231F20"/>
                        <w:spacing w:val="-16"/>
                        <w:sz w:val="17"/>
                      </w:rPr>
                      <w:t> </w:t>
                    </w:r>
                    <w:r>
                      <w:rPr>
                        <w:rFonts w:ascii="Arial" w:hAnsi="Arial"/>
                        <w:i/>
                        <w:color w:val="231F20"/>
                        <w:sz w:val="17"/>
                      </w:rPr>
                      <w:t>/</w:t>
                    </w:r>
                    <w:r>
                      <w:rPr>
                        <w:rFonts w:ascii="Arial" w:hAnsi="Arial"/>
                        <w:i/>
                        <w:color w:val="231F20"/>
                        <w:spacing w:val="30"/>
                        <w:sz w:val="17"/>
                      </w:rPr>
                      <w:t> </w:t>
                    </w:r>
                    <w:r>
                      <w:rPr>
                        <w:rFonts w:ascii="Arial" w:hAnsi="Arial"/>
                        <w:b/>
                        <w:color w:val="231F20"/>
                        <w:sz w:val="17"/>
                      </w:rPr>
                      <w:t>Interrelation</w:t>
                    </w:r>
                    <w:r>
                      <w:rPr>
                        <w:rFonts w:ascii="Arial" w:hAnsi="Arial"/>
                        <w:b/>
                        <w:color w:val="231F20"/>
                        <w:spacing w:val="-12"/>
                        <w:sz w:val="17"/>
                      </w:rPr>
                      <w:t> </w:t>
                    </w:r>
                    <w:r>
                      <w:rPr>
                        <w:rFonts w:ascii="Arial" w:hAnsi="Arial"/>
                        <w:b/>
                        <w:color w:val="231F20"/>
                        <w:sz w:val="17"/>
                      </w:rPr>
                      <w:t>entre</w:t>
                    </w:r>
                    <w:r>
                      <w:rPr>
                        <w:rFonts w:ascii="Arial" w:hAnsi="Arial"/>
                        <w:b/>
                        <w:color w:val="231F20"/>
                        <w:spacing w:val="-12"/>
                        <w:sz w:val="17"/>
                      </w:rPr>
                      <w:t> </w:t>
                    </w:r>
                    <w:r>
                      <w:rPr>
                        <w:rFonts w:ascii="Arial" w:hAnsi="Arial"/>
                        <w:b/>
                        <w:color w:val="231F20"/>
                        <w:sz w:val="17"/>
                      </w:rPr>
                      <w:t>l’estime</w:t>
                    </w:r>
                    <w:r>
                      <w:rPr>
                        <w:rFonts w:ascii="Arial" w:hAnsi="Arial"/>
                        <w:b/>
                        <w:color w:val="231F20"/>
                        <w:spacing w:val="-12"/>
                        <w:sz w:val="17"/>
                      </w:rPr>
                      <w:t> </w:t>
                    </w:r>
                    <w:r>
                      <w:rPr>
                        <w:rFonts w:ascii="Arial" w:hAnsi="Arial"/>
                        <w:b/>
                        <w:color w:val="231F20"/>
                        <w:sz w:val="17"/>
                      </w:rPr>
                      <w:t>de</w:t>
                    </w:r>
                    <w:r>
                      <w:rPr>
                        <w:rFonts w:ascii="Arial" w:hAnsi="Arial"/>
                        <w:b/>
                        <w:color w:val="231F20"/>
                        <w:spacing w:val="-11"/>
                        <w:sz w:val="17"/>
                      </w:rPr>
                      <w:t> </w:t>
                    </w:r>
                    <w:r>
                      <w:rPr>
                        <w:rFonts w:ascii="Arial" w:hAnsi="Arial"/>
                        <w:b/>
                        <w:color w:val="231F20"/>
                        <w:sz w:val="17"/>
                      </w:rPr>
                      <w:t>soi</w:t>
                    </w:r>
                    <w:r>
                      <w:rPr>
                        <w:rFonts w:ascii="Arial" w:hAnsi="Arial"/>
                        <w:b/>
                        <w:color w:val="231F20"/>
                        <w:spacing w:val="-12"/>
                        <w:sz w:val="17"/>
                      </w:rPr>
                      <w:t> </w:t>
                    </w:r>
                    <w:r>
                      <w:rPr>
                        <w:rFonts w:ascii="Arial" w:hAnsi="Arial"/>
                        <w:b/>
                        <w:color w:val="231F20"/>
                        <w:sz w:val="17"/>
                      </w:rPr>
                      <w:t>et</w:t>
                    </w:r>
                    <w:r>
                      <w:rPr>
                        <w:rFonts w:ascii="Arial" w:hAnsi="Arial"/>
                        <w:b/>
                        <w:color w:val="231F20"/>
                        <w:spacing w:val="-12"/>
                        <w:sz w:val="17"/>
                      </w:rPr>
                      <w:t> </w:t>
                    </w:r>
                    <w:r>
                      <w:rPr>
                        <w:rFonts w:ascii="Arial" w:hAnsi="Arial"/>
                        <w:b/>
                        <w:color w:val="231F20"/>
                        <w:sz w:val="17"/>
                      </w:rPr>
                      <w:t>le</w:t>
                    </w:r>
                    <w:r>
                      <w:rPr>
                        <w:rFonts w:ascii="Arial" w:hAnsi="Arial"/>
                        <w:b/>
                        <w:color w:val="231F20"/>
                        <w:spacing w:val="-12"/>
                        <w:sz w:val="17"/>
                      </w:rPr>
                      <w:t> </w:t>
                    </w:r>
                    <w:r>
                      <w:rPr>
                        <w:rFonts w:ascii="Arial" w:hAnsi="Arial"/>
                        <w:b/>
                        <w:color w:val="231F20"/>
                        <w:spacing w:val="-2"/>
                        <w:sz w:val="17"/>
                      </w:rPr>
                      <w:t>stress</w:t>
                    </w:r>
                  </w:p>
                </w:txbxContent>
              </v:textbox>
              <w10:wrap type="none"/>
            </v:shape>
            <v:shape style="position:absolute;left:1852;top:995;width:928;height:372" type="#_x0000_t202" id="docshape904" filled="false" stroked="false">
              <v:textbox inset="0,0,0,0">
                <w:txbxContent>
                  <w:p>
                    <w:pPr>
                      <w:spacing w:line="249" w:lineRule="auto" w:before="14"/>
                      <w:ind w:left="0" w:right="0" w:firstLine="201"/>
                      <w:jc w:val="left"/>
                      <w:rPr>
                        <w:rFonts w:ascii="Arial" w:hAnsi="Arial"/>
                        <w:sz w:val="15"/>
                      </w:rPr>
                    </w:pPr>
                    <w:r>
                      <w:rPr>
                        <w:rFonts w:ascii="Arial" w:hAnsi="Arial"/>
                        <w:color w:val="231F20"/>
                        <w:spacing w:val="-2"/>
                        <w:sz w:val="15"/>
                      </w:rPr>
                      <w:t>Manque</w:t>
                    </w:r>
                    <w:r>
                      <w:rPr>
                        <w:rFonts w:ascii="Arial" w:hAnsi="Arial"/>
                        <w:color w:val="231F20"/>
                        <w:sz w:val="15"/>
                      </w:rPr>
                      <w:t> </w:t>
                    </w:r>
                    <w:r>
                      <w:rPr>
                        <w:rFonts w:ascii="Arial" w:hAnsi="Arial"/>
                        <w:color w:val="231F20"/>
                        <w:spacing w:val="-4"/>
                        <w:w w:val="95"/>
                        <w:sz w:val="15"/>
                      </w:rPr>
                      <w:t>d’estime</w:t>
                    </w:r>
                    <w:r>
                      <w:rPr>
                        <w:rFonts w:ascii="Arial" w:hAnsi="Arial"/>
                        <w:color w:val="231F20"/>
                        <w:spacing w:val="-11"/>
                        <w:w w:val="95"/>
                        <w:sz w:val="15"/>
                      </w:rPr>
                      <w:t> </w:t>
                    </w:r>
                    <w:r>
                      <w:rPr>
                        <w:rFonts w:ascii="Arial" w:hAnsi="Arial"/>
                        <w:color w:val="231F20"/>
                        <w:spacing w:val="-4"/>
                        <w:w w:val="95"/>
                        <w:sz w:val="15"/>
                      </w:rPr>
                      <w:t>de</w:t>
                    </w:r>
                    <w:r>
                      <w:rPr>
                        <w:rFonts w:ascii="Arial" w:hAnsi="Arial"/>
                        <w:color w:val="231F20"/>
                        <w:spacing w:val="-11"/>
                        <w:w w:val="95"/>
                        <w:sz w:val="15"/>
                      </w:rPr>
                      <w:t> </w:t>
                    </w:r>
                    <w:r>
                      <w:rPr>
                        <w:rFonts w:ascii="Arial" w:hAnsi="Arial"/>
                        <w:color w:val="231F20"/>
                        <w:spacing w:val="-4"/>
                        <w:w w:val="95"/>
                        <w:sz w:val="15"/>
                      </w:rPr>
                      <w:t>soi</w:t>
                    </w:r>
                  </w:p>
                </w:txbxContent>
              </v:textbox>
              <w10:wrap type="none"/>
            </v:shape>
            <v:shape style="position:absolute;left:2985;top:891;width:1417;height:552" type="#_x0000_t202" id="docshape905" filled="false" stroked="false">
              <v:textbox inset="0,0,0,0">
                <w:txbxContent>
                  <w:p>
                    <w:pPr>
                      <w:spacing w:line="249" w:lineRule="auto" w:before="14"/>
                      <w:ind w:left="0" w:right="18" w:firstLine="0"/>
                      <w:jc w:val="center"/>
                      <w:rPr>
                        <w:rFonts w:ascii="Arial" w:hAnsi="Arial"/>
                        <w:sz w:val="15"/>
                      </w:rPr>
                    </w:pPr>
                    <w:r>
                      <w:rPr>
                        <w:rFonts w:ascii="Arial" w:hAnsi="Arial"/>
                        <w:color w:val="231F20"/>
                        <w:spacing w:val="-2"/>
                        <w:w w:val="95"/>
                        <w:sz w:val="15"/>
                      </w:rPr>
                      <w:t>Tentatives</w:t>
                    </w:r>
                    <w:r>
                      <w:rPr>
                        <w:rFonts w:ascii="Arial" w:hAnsi="Arial"/>
                        <w:color w:val="231F20"/>
                        <w:spacing w:val="-11"/>
                        <w:w w:val="95"/>
                        <w:sz w:val="15"/>
                      </w:rPr>
                      <w:t> </w:t>
                    </w:r>
                    <w:r>
                      <w:rPr>
                        <w:rFonts w:ascii="Arial" w:hAnsi="Arial"/>
                        <w:color w:val="231F20"/>
                        <w:spacing w:val="-2"/>
                        <w:w w:val="95"/>
                        <w:sz w:val="15"/>
                      </w:rPr>
                      <w:t>constantes/</w:t>
                    </w:r>
                    <w:r>
                      <w:rPr>
                        <w:rFonts w:ascii="Arial" w:hAnsi="Arial"/>
                        <w:color w:val="231F20"/>
                        <w:sz w:val="15"/>
                      </w:rPr>
                      <w:t> chroniques</w:t>
                    </w:r>
                    <w:r>
                      <w:rPr>
                        <w:rFonts w:ascii="Arial" w:hAnsi="Arial"/>
                        <w:color w:val="231F20"/>
                        <w:spacing w:val="-13"/>
                        <w:sz w:val="15"/>
                      </w:rPr>
                      <w:t> </w:t>
                    </w:r>
                    <w:r>
                      <w:rPr>
                        <w:rFonts w:ascii="Arial" w:hAnsi="Arial"/>
                        <w:color w:val="231F20"/>
                        <w:sz w:val="15"/>
                      </w:rPr>
                      <w:t>d’afficher une</w:t>
                    </w:r>
                    <w:r>
                      <w:rPr>
                        <w:rFonts w:ascii="Arial" w:hAnsi="Arial"/>
                        <w:color w:val="231F20"/>
                        <w:spacing w:val="-5"/>
                        <w:sz w:val="15"/>
                      </w:rPr>
                      <w:t> </w:t>
                    </w:r>
                    <w:r>
                      <w:rPr>
                        <w:rFonts w:ascii="Arial" w:hAnsi="Arial"/>
                        <w:color w:val="231F20"/>
                        <w:sz w:val="15"/>
                      </w:rPr>
                      <w:t>valeur</w:t>
                    </w:r>
                    <w:r>
                      <w:rPr>
                        <w:rFonts w:ascii="Arial" w:hAnsi="Arial"/>
                        <w:color w:val="231F20"/>
                        <w:spacing w:val="-5"/>
                        <w:sz w:val="15"/>
                      </w:rPr>
                      <w:t> </w:t>
                    </w:r>
                    <w:r>
                      <w:rPr>
                        <w:rFonts w:ascii="Arial" w:hAnsi="Arial"/>
                        <w:color w:val="231F20"/>
                        <w:sz w:val="15"/>
                      </w:rPr>
                      <w:t>ajoutée</w:t>
                    </w:r>
                  </w:p>
                </w:txbxContent>
              </v:textbox>
              <w10:wrap type="none"/>
            </v:shape>
            <v:shape style="position:absolute;left:4886;top:995;width:1293;height:372" type="#_x0000_t202" id="docshape906" filled="false" stroked="false">
              <v:textbox inset="0,0,0,0">
                <w:txbxContent>
                  <w:p>
                    <w:pPr>
                      <w:spacing w:line="249" w:lineRule="auto" w:before="14"/>
                      <w:ind w:left="0" w:right="0" w:firstLine="354"/>
                      <w:jc w:val="left"/>
                      <w:rPr>
                        <w:rFonts w:ascii="Arial"/>
                        <w:sz w:val="15"/>
                      </w:rPr>
                    </w:pPr>
                    <w:r>
                      <w:rPr>
                        <w:rFonts w:ascii="Arial"/>
                        <w:color w:val="231F20"/>
                        <w:sz w:val="15"/>
                      </w:rPr>
                      <w:t>Stress</w:t>
                    </w:r>
                    <w:r>
                      <w:rPr>
                        <w:rFonts w:ascii="Arial"/>
                        <w:color w:val="231F20"/>
                        <w:spacing w:val="-13"/>
                        <w:sz w:val="15"/>
                      </w:rPr>
                      <w:t> </w:t>
                    </w:r>
                    <w:r>
                      <w:rPr>
                        <w:rFonts w:ascii="Arial"/>
                        <w:color w:val="231F20"/>
                        <w:sz w:val="15"/>
                      </w:rPr>
                      <w:t>du </w:t>
                    </w:r>
                    <w:r>
                      <w:rPr>
                        <w:rFonts w:ascii="Arial"/>
                        <w:color w:val="231F20"/>
                        <w:spacing w:val="-2"/>
                        <w:w w:val="95"/>
                        <w:sz w:val="15"/>
                      </w:rPr>
                      <w:t>surmenage</w:t>
                    </w:r>
                    <w:r>
                      <w:rPr>
                        <w:rFonts w:ascii="Arial"/>
                        <w:color w:val="231F20"/>
                        <w:spacing w:val="-11"/>
                        <w:w w:val="95"/>
                        <w:sz w:val="15"/>
                      </w:rPr>
                      <w:t> </w:t>
                    </w:r>
                    <w:r>
                      <w:rPr>
                        <w:rFonts w:ascii="Arial"/>
                        <w:color w:val="231F20"/>
                        <w:spacing w:val="-2"/>
                        <w:w w:val="95"/>
                        <w:sz w:val="15"/>
                      </w:rPr>
                      <w:t>adaptatif</w:t>
                    </w:r>
                  </w:p>
                </w:txbxContent>
              </v:textbox>
              <w10:wrap type="none"/>
            </v:shape>
            <v:shape style="position:absolute;left:6246;top:1513;width:504;height:192" type="#_x0000_t202" id="docshape907" filled="false" stroked="false">
              <v:textbox inset="0,0,0,0">
                <w:txbxContent>
                  <w:p>
                    <w:pPr>
                      <w:spacing w:before="18"/>
                      <w:ind w:left="0" w:right="0" w:firstLine="0"/>
                      <w:jc w:val="left"/>
                      <w:rPr>
                        <w:rFonts w:ascii="Arial"/>
                        <w:sz w:val="15"/>
                      </w:rPr>
                    </w:pPr>
                    <w:r>
                      <w:rPr>
                        <w:rFonts w:ascii="Arial"/>
                        <w:color w:val="231F20"/>
                        <w:spacing w:val="-2"/>
                        <w:w w:val="95"/>
                        <w:sz w:val="15"/>
                      </w:rPr>
                      <w:t>Maladie</w:t>
                    </w:r>
                  </w:p>
                </w:txbxContent>
              </v:textbox>
              <w10:wrap type="none"/>
            </v:shape>
            <v:shape style="position:absolute;left:3639;top:1824;width:387;height:192" type="#_x0000_t202" id="docshape908" filled="false" stroked="false">
              <v:textbox inset="0,0,0,0">
                <w:txbxContent>
                  <w:p>
                    <w:pPr>
                      <w:spacing w:before="18"/>
                      <w:ind w:left="0" w:right="0" w:firstLine="0"/>
                      <w:jc w:val="left"/>
                      <w:rPr>
                        <w:rFonts w:ascii="Arial" w:hAnsi="Arial"/>
                        <w:sz w:val="15"/>
                      </w:rPr>
                    </w:pPr>
                    <w:r>
                      <w:rPr>
                        <w:rFonts w:ascii="Arial" w:hAnsi="Arial"/>
                        <w:color w:val="231F20"/>
                        <w:spacing w:val="-2"/>
                        <w:w w:val="90"/>
                        <w:sz w:val="15"/>
                      </w:rPr>
                      <w:t>Échec</w:t>
                    </w:r>
                  </w:p>
                </w:txbxContent>
              </v:textbox>
              <w10:wrap type="none"/>
            </v:shape>
            <w10:wrap type="topAndBottom"/>
          </v:group>
        </w:pict>
      </w:r>
    </w:p>
    <w:p>
      <w:pPr>
        <w:pStyle w:val="BodyText"/>
        <w:spacing w:before="3"/>
        <w:rPr>
          <w:sz w:val="9"/>
        </w:rPr>
      </w:pPr>
    </w:p>
    <w:p>
      <w:pPr>
        <w:pStyle w:val="BodyText"/>
        <w:spacing w:line="307" w:lineRule="auto" w:before="144"/>
        <w:ind w:left="830" w:right="493"/>
        <w:jc w:val="both"/>
      </w:pPr>
      <w:r>
        <w:rPr>
          <w:color w:val="231F20"/>
          <w:w w:val="120"/>
        </w:rPr>
        <w:t>On</w:t>
      </w:r>
      <w:r>
        <w:rPr>
          <w:color w:val="231F20"/>
          <w:spacing w:val="-3"/>
          <w:w w:val="120"/>
        </w:rPr>
        <w:t> </w:t>
      </w:r>
      <w:r>
        <w:rPr>
          <w:color w:val="231F20"/>
          <w:w w:val="120"/>
        </w:rPr>
        <w:t>peut définir le stress professionnel chronique ou le «</w:t>
      </w:r>
      <w:r>
        <w:rPr>
          <w:color w:val="231F20"/>
          <w:spacing w:val="-13"/>
          <w:w w:val="120"/>
        </w:rPr>
        <w:t> </w:t>
      </w:r>
      <w:r>
        <w:rPr>
          <w:color w:val="231F20"/>
          <w:w w:val="120"/>
        </w:rPr>
        <w:t>stress du </w:t>
      </w:r>
      <w:r>
        <w:rPr>
          <w:color w:val="231F20"/>
          <w:w w:val="120"/>
        </w:rPr>
        <w:t>col blanc»</w:t>
      </w:r>
      <w:r>
        <w:rPr>
          <w:color w:val="231F20"/>
          <w:spacing w:val="-9"/>
          <w:w w:val="120"/>
        </w:rPr>
        <w:t> </w:t>
      </w:r>
      <w:r>
        <w:rPr>
          <w:color w:val="231F20"/>
          <w:w w:val="120"/>
        </w:rPr>
        <w:t>comme</w:t>
      </w:r>
      <w:r>
        <w:rPr>
          <w:color w:val="231F20"/>
          <w:spacing w:val="-9"/>
          <w:w w:val="120"/>
        </w:rPr>
        <w:t> </w:t>
      </w:r>
      <w:r>
        <w:rPr>
          <w:color w:val="231F20"/>
          <w:w w:val="120"/>
        </w:rPr>
        <w:t>une</w:t>
      </w:r>
      <w:r>
        <w:rPr>
          <w:color w:val="231F20"/>
          <w:spacing w:val="-9"/>
          <w:w w:val="120"/>
        </w:rPr>
        <w:t> </w:t>
      </w:r>
      <w:r>
        <w:rPr>
          <w:color w:val="231F20"/>
          <w:w w:val="120"/>
        </w:rPr>
        <w:t>surcharge</w:t>
      </w:r>
      <w:r>
        <w:rPr>
          <w:color w:val="231F20"/>
          <w:spacing w:val="-9"/>
          <w:w w:val="120"/>
        </w:rPr>
        <w:t> </w:t>
      </w:r>
      <w:r>
        <w:rPr>
          <w:color w:val="231F20"/>
          <w:w w:val="120"/>
        </w:rPr>
        <w:t>adaptative</w:t>
      </w:r>
      <w:r>
        <w:rPr>
          <w:color w:val="231F20"/>
          <w:spacing w:val="-9"/>
          <w:w w:val="120"/>
        </w:rPr>
        <w:t> </w:t>
      </w:r>
      <w:r>
        <w:rPr>
          <w:color w:val="231F20"/>
          <w:w w:val="120"/>
        </w:rPr>
        <w:t>qui</w:t>
      </w:r>
      <w:r>
        <w:rPr>
          <w:color w:val="231F20"/>
          <w:spacing w:val="-9"/>
          <w:w w:val="120"/>
        </w:rPr>
        <w:t> </w:t>
      </w:r>
      <w:r>
        <w:rPr>
          <w:color w:val="231F20"/>
          <w:w w:val="120"/>
        </w:rPr>
        <w:t>est</w:t>
      </w:r>
      <w:r>
        <w:rPr>
          <w:color w:val="231F20"/>
          <w:spacing w:val="-9"/>
          <w:w w:val="120"/>
        </w:rPr>
        <w:t> </w:t>
      </w:r>
      <w:r>
        <w:rPr>
          <w:color w:val="231F20"/>
          <w:w w:val="120"/>
        </w:rPr>
        <w:t>toujours</w:t>
      </w:r>
      <w:r>
        <w:rPr>
          <w:color w:val="231F20"/>
          <w:spacing w:val="-9"/>
          <w:w w:val="120"/>
        </w:rPr>
        <w:t> </w:t>
      </w:r>
      <w:r>
        <w:rPr>
          <w:color w:val="231F20"/>
          <w:w w:val="120"/>
        </w:rPr>
        <w:t>plus</w:t>
      </w:r>
      <w:r>
        <w:rPr>
          <w:color w:val="231F20"/>
          <w:spacing w:val="-9"/>
          <w:w w:val="120"/>
        </w:rPr>
        <w:t> </w:t>
      </w:r>
      <w:r>
        <w:rPr>
          <w:color w:val="231F20"/>
          <w:w w:val="120"/>
        </w:rPr>
        <w:t>fréquente </w:t>
      </w:r>
      <w:r>
        <w:rPr>
          <w:color w:val="231F20"/>
          <w:spacing w:val="-2"/>
          <w:w w:val="120"/>
        </w:rPr>
        <w:t>dans</w:t>
      </w:r>
      <w:r>
        <w:rPr>
          <w:color w:val="231F20"/>
          <w:spacing w:val="-13"/>
          <w:w w:val="120"/>
        </w:rPr>
        <w:t> </w:t>
      </w:r>
      <w:r>
        <w:rPr>
          <w:color w:val="231F20"/>
          <w:spacing w:val="-2"/>
          <w:w w:val="120"/>
        </w:rPr>
        <w:t>les</w:t>
      </w:r>
      <w:r>
        <w:rPr>
          <w:color w:val="231F20"/>
          <w:spacing w:val="-11"/>
          <w:w w:val="120"/>
        </w:rPr>
        <w:t> </w:t>
      </w:r>
      <w:r>
        <w:rPr>
          <w:color w:val="231F20"/>
          <w:spacing w:val="-2"/>
          <w:w w:val="120"/>
        </w:rPr>
        <w:t>pays</w:t>
      </w:r>
      <w:r>
        <w:rPr>
          <w:color w:val="231F20"/>
          <w:spacing w:val="-11"/>
          <w:w w:val="120"/>
        </w:rPr>
        <w:t> </w:t>
      </w:r>
      <w:r>
        <w:rPr>
          <w:color w:val="231F20"/>
          <w:spacing w:val="-2"/>
          <w:w w:val="120"/>
        </w:rPr>
        <w:t>technologiquement</w:t>
      </w:r>
      <w:r>
        <w:rPr>
          <w:color w:val="231F20"/>
          <w:spacing w:val="-10"/>
          <w:w w:val="120"/>
        </w:rPr>
        <w:t> </w:t>
      </w:r>
      <w:r>
        <w:rPr>
          <w:color w:val="231F20"/>
          <w:spacing w:val="-2"/>
          <w:w w:val="120"/>
        </w:rPr>
        <w:t>et</w:t>
      </w:r>
      <w:r>
        <w:rPr>
          <w:color w:val="231F20"/>
          <w:spacing w:val="-11"/>
          <w:w w:val="120"/>
        </w:rPr>
        <w:t> </w:t>
      </w:r>
      <w:r>
        <w:rPr>
          <w:color w:val="231F20"/>
          <w:spacing w:val="-2"/>
          <w:w w:val="120"/>
        </w:rPr>
        <w:t>économiquement</w:t>
      </w:r>
      <w:r>
        <w:rPr>
          <w:color w:val="231F20"/>
          <w:spacing w:val="-11"/>
          <w:w w:val="120"/>
        </w:rPr>
        <w:t> </w:t>
      </w:r>
      <w:r>
        <w:rPr>
          <w:color w:val="231F20"/>
          <w:spacing w:val="-2"/>
          <w:w w:val="120"/>
        </w:rPr>
        <w:t>prospères</w:t>
      </w:r>
      <w:r>
        <w:rPr>
          <w:color w:val="231F20"/>
          <w:spacing w:val="-11"/>
          <w:w w:val="120"/>
        </w:rPr>
        <w:t> </w:t>
      </w:r>
      <w:r>
        <w:rPr>
          <w:color w:val="231F20"/>
          <w:spacing w:val="-2"/>
          <w:w w:val="120"/>
        </w:rPr>
        <w:t>que</w:t>
      </w:r>
      <w:r>
        <w:rPr>
          <w:color w:val="231F20"/>
          <w:spacing w:val="-10"/>
          <w:w w:val="120"/>
        </w:rPr>
        <w:t> </w:t>
      </w:r>
      <w:r>
        <w:rPr>
          <w:color w:val="231F20"/>
          <w:spacing w:val="-2"/>
          <w:w w:val="120"/>
        </w:rPr>
        <w:t>dans </w:t>
      </w:r>
      <w:r>
        <w:rPr>
          <w:color w:val="231F20"/>
          <w:w w:val="120"/>
        </w:rPr>
        <w:t>les</w:t>
      </w:r>
      <w:r>
        <w:rPr>
          <w:color w:val="231F20"/>
          <w:spacing w:val="-11"/>
          <w:w w:val="120"/>
        </w:rPr>
        <w:t> </w:t>
      </w:r>
      <w:r>
        <w:rPr>
          <w:color w:val="231F20"/>
          <w:w w:val="120"/>
        </w:rPr>
        <w:t>pays</w:t>
      </w:r>
      <w:r>
        <w:rPr>
          <w:color w:val="231F20"/>
          <w:spacing w:val="-11"/>
          <w:w w:val="120"/>
        </w:rPr>
        <w:t> </w:t>
      </w:r>
      <w:r>
        <w:rPr>
          <w:color w:val="231F20"/>
          <w:w w:val="120"/>
        </w:rPr>
        <w:t>en</w:t>
      </w:r>
      <w:r>
        <w:rPr>
          <w:color w:val="231F20"/>
          <w:spacing w:val="-11"/>
          <w:w w:val="120"/>
        </w:rPr>
        <w:t> </w:t>
      </w:r>
      <w:r>
        <w:rPr>
          <w:color w:val="231F20"/>
          <w:w w:val="120"/>
        </w:rPr>
        <w:t>développement.</w:t>
      </w:r>
      <w:r>
        <w:rPr>
          <w:color w:val="231F20"/>
          <w:spacing w:val="-11"/>
          <w:w w:val="120"/>
        </w:rPr>
        <w:t> </w:t>
      </w:r>
      <w:r>
        <w:rPr>
          <w:color w:val="231F20"/>
          <w:w w:val="120"/>
        </w:rPr>
        <w:t>Cette</w:t>
      </w:r>
      <w:r>
        <w:rPr>
          <w:color w:val="231F20"/>
          <w:spacing w:val="-11"/>
          <w:w w:val="120"/>
        </w:rPr>
        <w:t> </w:t>
      </w:r>
      <w:r>
        <w:rPr>
          <w:color w:val="231F20"/>
          <w:w w:val="120"/>
        </w:rPr>
        <w:t>surcharge</w:t>
      </w:r>
      <w:r>
        <w:rPr>
          <w:color w:val="231F20"/>
          <w:spacing w:val="-11"/>
          <w:w w:val="120"/>
        </w:rPr>
        <w:t> </w:t>
      </w:r>
      <w:r>
        <w:rPr>
          <w:color w:val="231F20"/>
          <w:w w:val="120"/>
        </w:rPr>
        <w:t>se</w:t>
      </w:r>
      <w:r>
        <w:rPr>
          <w:color w:val="231F20"/>
          <w:spacing w:val="-11"/>
          <w:w w:val="120"/>
        </w:rPr>
        <w:t> </w:t>
      </w:r>
      <w:r>
        <w:rPr>
          <w:color w:val="231F20"/>
          <w:w w:val="120"/>
        </w:rPr>
        <w:t>caractérise,</w:t>
      </w:r>
      <w:r>
        <w:rPr>
          <w:color w:val="231F20"/>
          <w:spacing w:val="-11"/>
          <w:w w:val="120"/>
        </w:rPr>
        <w:t> </w:t>
      </w:r>
      <w:r>
        <w:rPr>
          <w:color w:val="231F20"/>
          <w:w w:val="120"/>
        </w:rPr>
        <w:t>entre</w:t>
      </w:r>
      <w:r>
        <w:rPr>
          <w:color w:val="231F20"/>
          <w:spacing w:val="-11"/>
          <w:w w:val="120"/>
        </w:rPr>
        <w:t> </w:t>
      </w:r>
      <w:r>
        <w:rPr>
          <w:color w:val="231F20"/>
          <w:w w:val="120"/>
        </w:rPr>
        <w:t>autres, par</w:t>
      </w:r>
      <w:r>
        <w:rPr>
          <w:color w:val="231F20"/>
          <w:spacing w:val="-2"/>
          <w:w w:val="120"/>
        </w:rPr>
        <w:t> </w:t>
      </w:r>
      <w:r>
        <w:rPr>
          <w:color w:val="231F20"/>
          <w:w w:val="120"/>
        </w:rPr>
        <w:t>une</w:t>
      </w:r>
      <w:r>
        <w:rPr>
          <w:color w:val="231F20"/>
          <w:spacing w:val="-2"/>
          <w:w w:val="120"/>
        </w:rPr>
        <w:t> </w:t>
      </w:r>
      <w:r>
        <w:rPr>
          <w:color w:val="231F20"/>
          <w:w w:val="120"/>
        </w:rPr>
        <w:t>désorientation</w:t>
      </w:r>
      <w:r>
        <w:rPr>
          <w:color w:val="231F20"/>
          <w:spacing w:val="-2"/>
          <w:w w:val="120"/>
        </w:rPr>
        <w:t> </w:t>
      </w:r>
      <w:r>
        <w:rPr>
          <w:color w:val="231F20"/>
          <w:w w:val="120"/>
        </w:rPr>
        <w:t>stratégique</w:t>
      </w:r>
      <w:r>
        <w:rPr>
          <w:color w:val="231F20"/>
          <w:spacing w:val="-2"/>
          <w:w w:val="120"/>
        </w:rPr>
        <w:t> </w:t>
      </w:r>
      <w:r>
        <w:rPr>
          <w:color w:val="231F20"/>
          <w:w w:val="120"/>
        </w:rPr>
        <w:t>quant</w:t>
      </w:r>
      <w:r>
        <w:rPr>
          <w:color w:val="231F20"/>
          <w:spacing w:val="-2"/>
          <w:w w:val="120"/>
        </w:rPr>
        <w:t> </w:t>
      </w:r>
      <w:r>
        <w:rPr>
          <w:color w:val="231F20"/>
          <w:w w:val="120"/>
        </w:rPr>
        <w:t>aux</w:t>
      </w:r>
      <w:r>
        <w:rPr>
          <w:color w:val="231F20"/>
          <w:spacing w:val="-2"/>
          <w:w w:val="120"/>
        </w:rPr>
        <w:t> </w:t>
      </w:r>
      <w:r>
        <w:rPr>
          <w:color w:val="231F20"/>
          <w:w w:val="120"/>
        </w:rPr>
        <w:t>finalités,</w:t>
      </w:r>
      <w:r>
        <w:rPr>
          <w:color w:val="231F20"/>
          <w:spacing w:val="-2"/>
          <w:w w:val="120"/>
        </w:rPr>
        <w:t> </w:t>
      </w:r>
      <w:r>
        <w:rPr>
          <w:color w:val="231F20"/>
          <w:w w:val="120"/>
        </w:rPr>
        <w:t>aux</w:t>
      </w:r>
      <w:r>
        <w:rPr>
          <w:color w:val="231F20"/>
          <w:spacing w:val="-2"/>
          <w:w w:val="120"/>
        </w:rPr>
        <w:t> </w:t>
      </w:r>
      <w:r>
        <w:rPr>
          <w:color w:val="231F20"/>
          <w:w w:val="120"/>
        </w:rPr>
        <w:t>motivations </w:t>
      </w:r>
      <w:r>
        <w:rPr>
          <w:color w:val="231F20"/>
          <w:w w:val="115"/>
        </w:rPr>
        <w:t>et aux valeurs de l’individu. Le stress professionnel résulte d’un surcroît </w:t>
      </w:r>
      <w:r>
        <w:rPr>
          <w:color w:val="231F20"/>
          <w:spacing w:val="-2"/>
          <w:w w:val="120"/>
        </w:rPr>
        <w:t>de</w:t>
      </w:r>
      <w:r>
        <w:rPr>
          <w:color w:val="231F20"/>
          <w:spacing w:val="-11"/>
          <w:w w:val="120"/>
        </w:rPr>
        <w:t> </w:t>
      </w:r>
      <w:r>
        <w:rPr>
          <w:color w:val="231F20"/>
          <w:spacing w:val="-2"/>
          <w:w w:val="120"/>
        </w:rPr>
        <w:t>charges</w:t>
      </w:r>
      <w:r>
        <w:rPr>
          <w:color w:val="231F20"/>
          <w:spacing w:val="-11"/>
          <w:w w:val="120"/>
        </w:rPr>
        <w:t> </w:t>
      </w:r>
      <w:r>
        <w:rPr>
          <w:color w:val="231F20"/>
          <w:spacing w:val="-2"/>
          <w:w w:val="120"/>
        </w:rPr>
        <w:t>ou</w:t>
      </w:r>
      <w:r>
        <w:rPr>
          <w:color w:val="231F20"/>
          <w:spacing w:val="-11"/>
          <w:w w:val="120"/>
        </w:rPr>
        <w:t> </w:t>
      </w:r>
      <w:r>
        <w:rPr>
          <w:color w:val="231F20"/>
          <w:spacing w:val="-2"/>
          <w:w w:val="120"/>
        </w:rPr>
        <w:t>d’engagements</w:t>
      </w:r>
      <w:r>
        <w:rPr>
          <w:color w:val="231F20"/>
          <w:spacing w:val="-10"/>
          <w:w w:val="120"/>
        </w:rPr>
        <w:t> </w:t>
      </w:r>
      <w:r>
        <w:rPr>
          <w:color w:val="231F20"/>
          <w:spacing w:val="-2"/>
          <w:w w:val="120"/>
        </w:rPr>
        <w:t>professionnels</w:t>
      </w:r>
      <w:r>
        <w:rPr>
          <w:color w:val="231F20"/>
          <w:spacing w:val="-11"/>
          <w:w w:val="120"/>
        </w:rPr>
        <w:t> </w:t>
      </w:r>
      <w:r>
        <w:rPr>
          <w:color w:val="231F20"/>
          <w:spacing w:val="-2"/>
          <w:w w:val="120"/>
        </w:rPr>
        <w:t>et</w:t>
      </w:r>
      <w:r>
        <w:rPr>
          <w:color w:val="231F20"/>
          <w:spacing w:val="-11"/>
          <w:w w:val="120"/>
        </w:rPr>
        <w:t> </w:t>
      </w:r>
      <w:r>
        <w:rPr>
          <w:color w:val="231F20"/>
          <w:spacing w:val="-2"/>
          <w:w w:val="120"/>
        </w:rPr>
        <w:t>personnels</w:t>
      </w:r>
      <w:r>
        <w:rPr>
          <w:color w:val="231F20"/>
          <w:spacing w:val="-11"/>
          <w:w w:val="120"/>
        </w:rPr>
        <w:t> </w:t>
      </w:r>
      <w:r>
        <w:rPr>
          <w:color w:val="231F20"/>
          <w:spacing w:val="-2"/>
          <w:w w:val="120"/>
        </w:rPr>
        <w:t>(conditionnés </w:t>
      </w:r>
      <w:r>
        <w:rPr>
          <w:color w:val="231F20"/>
          <w:w w:val="120"/>
        </w:rPr>
        <w:t>extérieurement</w:t>
      </w:r>
      <w:r>
        <w:rPr>
          <w:color w:val="231F20"/>
          <w:spacing w:val="-11"/>
          <w:w w:val="120"/>
        </w:rPr>
        <w:t> </w:t>
      </w:r>
      <w:r>
        <w:rPr>
          <w:color w:val="231F20"/>
          <w:w w:val="120"/>
        </w:rPr>
        <w:t>et</w:t>
      </w:r>
      <w:r>
        <w:rPr>
          <w:color w:val="231F20"/>
          <w:spacing w:val="-11"/>
          <w:w w:val="120"/>
        </w:rPr>
        <w:t> </w:t>
      </w:r>
      <w:r>
        <w:rPr>
          <w:color w:val="231F20"/>
          <w:w w:val="120"/>
        </w:rPr>
        <w:t>intérieurement),</w:t>
      </w:r>
      <w:r>
        <w:rPr>
          <w:color w:val="231F20"/>
          <w:spacing w:val="-11"/>
          <w:w w:val="120"/>
        </w:rPr>
        <w:t> </w:t>
      </w:r>
      <w:r>
        <w:rPr>
          <w:color w:val="231F20"/>
          <w:w w:val="120"/>
        </w:rPr>
        <w:t>combiné</w:t>
      </w:r>
      <w:r>
        <w:rPr>
          <w:color w:val="231F20"/>
          <w:spacing w:val="-11"/>
          <w:w w:val="120"/>
        </w:rPr>
        <w:t> </w:t>
      </w:r>
      <w:r>
        <w:rPr>
          <w:color w:val="231F20"/>
          <w:w w:val="120"/>
        </w:rPr>
        <w:t>à</w:t>
      </w:r>
      <w:r>
        <w:rPr>
          <w:color w:val="231F20"/>
          <w:spacing w:val="-11"/>
          <w:w w:val="120"/>
        </w:rPr>
        <w:t> </w:t>
      </w:r>
      <w:r>
        <w:rPr>
          <w:color w:val="231F20"/>
          <w:w w:val="120"/>
        </w:rPr>
        <w:t>l’absence</w:t>
      </w:r>
      <w:r>
        <w:rPr>
          <w:color w:val="231F20"/>
          <w:spacing w:val="-11"/>
          <w:w w:val="120"/>
        </w:rPr>
        <w:t> </w:t>
      </w:r>
      <w:r>
        <w:rPr>
          <w:color w:val="231F20"/>
          <w:w w:val="120"/>
        </w:rPr>
        <w:t>de</w:t>
      </w:r>
      <w:r>
        <w:rPr>
          <w:color w:val="231F20"/>
          <w:spacing w:val="-11"/>
          <w:w w:val="120"/>
        </w:rPr>
        <w:t> </w:t>
      </w:r>
      <w:r>
        <w:rPr>
          <w:color w:val="231F20"/>
          <w:w w:val="120"/>
        </w:rPr>
        <w:t>mécanismes </w:t>
      </w:r>
      <w:r>
        <w:rPr>
          <w:color w:val="231F20"/>
          <w:spacing w:val="-2"/>
          <w:w w:val="120"/>
        </w:rPr>
        <w:t>de</w:t>
      </w:r>
      <w:r>
        <w:rPr>
          <w:color w:val="231F20"/>
          <w:spacing w:val="-4"/>
          <w:w w:val="120"/>
        </w:rPr>
        <w:t> </w:t>
      </w:r>
      <w:r>
        <w:rPr>
          <w:color w:val="231F20"/>
          <w:spacing w:val="-2"/>
          <w:w w:val="120"/>
        </w:rPr>
        <w:t>contrôle</w:t>
      </w:r>
      <w:r>
        <w:rPr>
          <w:color w:val="231F20"/>
          <w:spacing w:val="-4"/>
          <w:w w:val="120"/>
        </w:rPr>
        <w:t> </w:t>
      </w:r>
      <w:r>
        <w:rPr>
          <w:color w:val="231F20"/>
          <w:spacing w:val="-2"/>
          <w:w w:val="120"/>
        </w:rPr>
        <w:t>psychologique</w:t>
      </w:r>
      <w:r>
        <w:rPr>
          <w:color w:val="231F20"/>
          <w:spacing w:val="-4"/>
          <w:w w:val="120"/>
        </w:rPr>
        <w:t> </w:t>
      </w:r>
      <w:r>
        <w:rPr>
          <w:color w:val="231F20"/>
          <w:spacing w:val="-2"/>
          <w:w w:val="120"/>
        </w:rPr>
        <w:t>ou</w:t>
      </w:r>
      <w:r>
        <w:rPr>
          <w:color w:val="231F20"/>
          <w:spacing w:val="-4"/>
          <w:w w:val="120"/>
        </w:rPr>
        <w:t> </w:t>
      </w:r>
      <w:r>
        <w:rPr>
          <w:color w:val="231F20"/>
          <w:spacing w:val="-2"/>
          <w:w w:val="120"/>
        </w:rPr>
        <w:t>d’adaptation</w:t>
      </w:r>
      <w:r>
        <w:rPr>
          <w:color w:val="231F20"/>
          <w:spacing w:val="-4"/>
          <w:w w:val="120"/>
        </w:rPr>
        <w:t> </w:t>
      </w:r>
      <w:r>
        <w:rPr>
          <w:color w:val="231F20"/>
          <w:spacing w:val="-2"/>
          <w:w w:val="120"/>
        </w:rPr>
        <w:t>situationnelle</w:t>
      </w:r>
      <w:r>
        <w:rPr>
          <w:color w:val="231F20"/>
          <w:spacing w:val="-4"/>
          <w:w w:val="120"/>
        </w:rPr>
        <w:t> </w:t>
      </w:r>
      <w:r>
        <w:rPr>
          <w:color w:val="231F20"/>
          <w:spacing w:val="-2"/>
          <w:w w:val="120"/>
        </w:rPr>
        <w:t>et</w:t>
      </w:r>
      <w:r>
        <w:rPr>
          <w:color w:val="231F20"/>
          <w:spacing w:val="-4"/>
          <w:w w:val="120"/>
        </w:rPr>
        <w:t> </w:t>
      </w:r>
      <w:r>
        <w:rPr>
          <w:color w:val="231F20"/>
          <w:spacing w:val="-2"/>
          <w:w w:val="120"/>
        </w:rPr>
        <w:t>au</w:t>
      </w:r>
      <w:r>
        <w:rPr>
          <w:color w:val="231F20"/>
          <w:spacing w:val="-4"/>
          <w:w w:val="120"/>
        </w:rPr>
        <w:t> </w:t>
      </w:r>
      <w:r>
        <w:rPr>
          <w:color w:val="231F20"/>
          <w:spacing w:val="-2"/>
          <w:w w:val="120"/>
        </w:rPr>
        <w:t>fait</w:t>
      </w:r>
      <w:r>
        <w:rPr>
          <w:color w:val="231F20"/>
          <w:spacing w:val="-4"/>
          <w:w w:val="120"/>
        </w:rPr>
        <w:t> </w:t>
      </w:r>
      <w:r>
        <w:rPr>
          <w:color w:val="231F20"/>
          <w:spacing w:val="-2"/>
          <w:w w:val="120"/>
        </w:rPr>
        <w:t>de</w:t>
      </w:r>
      <w:r>
        <w:rPr>
          <w:color w:val="231F20"/>
          <w:spacing w:val="-4"/>
          <w:w w:val="120"/>
        </w:rPr>
        <w:t> </w:t>
      </w:r>
      <w:r>
        <w:rPr>
          <w:color w:val="231F20"/>
          <w:spacing w:val="-2"/>
          <w:w w:val="120"/>
        </w:rPr>
        <w:t>ne </w:t>
      </w:r>
      <w:r>
        <w:rPr>
          <w:color w:val="231F20"/>
          <w:spacing w:val="-4"/>
          <w:w w:val="120"/>
        </w:rPr>
        <w:t>pas</w:t>
      </w:r>
      <w:r>
        <w:rPr>
          <w:color w:val="231F20"/>
          <w:spacing w:val="-13"/>
          <w:w w:val="120"/>
        </w:rPr>
        <w:t> </w:t>
      </w:r>
      <w:r>
        <w:rPr>
          <w:color w:val="231F20"/>
          <w:spacing w:val="-4"/>
          <w:w w:val="120"/>
        </w:rPr>
        <w:t>pouvoir</w:t>
      </w:r>
      <w:r>
        <w:rPr>
          <w:color w:val="231F20"/>
          <w:spacing w:val="-13"/>
          <w:w w:val="120"/>
        </w:rPr>
        <w:t> </w:t>
      </w:r>
      <w:r>
        <w:rPr>
          <w:color w:val="231F20"/>
          <w:spacing w:val="-4"/>
          <w:w w:val="120"/>
        </w:rPr>
        <w:t>bénéficier,</w:t>
      </w:r>
      <w:r>
        <w:rPr>
          <w:color w:val="231F20"/>
          <w:spacing w:val="-13"/>
          <w:w w:val="120"/>
        </w:rPr>
        <w:t> </w:t>
      </w:r>
      <w:r>
        <w:rPr>
          <w:color w:val="231F20"/>
          <w:spacing w:val="-4"/>
          <w:w w:val="120"/>
        </w:rPr>
        <w:t>parfois</w:t>
      </w:r>
      <w:r>
        <w:rPr>
          <w:color w:val="231F20"/>
          <w:spacing w:val="-13"/>
          <w:w w:val="120"/>
        </w:rPr>
        <w:t> </w:t>
      </w:r>
      <w:r>
        <w:rPr>
          <w:color w:val="231F20"/>
          <w:spacing w:val="-4"/>
          <w:w w:val="120"/>
        </w:rPr>
        <w:t>par</w:t>
      </w:r>
      <w:r>
        <w:rPr>
          <w:color w:val="231F20"/>
          <w:spacing w:val="-13"/>
          <w:w w:val="120"/>
        </w:rPr>
        <w:t> </w:t>
      </w:r>
      <w:r>
        <w:rPr>
          <w:color w:val="231F20"/>
          <w:spacing w:val="-4"/>
          <w:w w:val="120"/>
        </w:rPr>
        <w:t>négligence,</w:t>
      </w:r>
      <w:r>
        <w:rPr>
          <w:color w:val="231F20"/>
          <w:spacing w:val="-13"/>
          <w:w w:val="120"/>
        </w:rPr>
        <w:t> </w:t>
      </w:r>
      <w:r>
        <w:rPr>
          <w:color w:val="231F20"/>
          <w:spacing w:val="-4"/>
          <w:w w:val="120"/>
        </w:rPr>
        <w:t>d’un</w:t>
      </w:r>
      <w:r>
        <w:rPr>
          <w:color w:val="231F20"/>
          <w:spacing w:val="-13"/>
          <w:w w:val="120"/>
        </w:rPr>
        <w:t> </w:t>
      </w:r>
      <w:r>
        <w:rPr>
          <w:color w:val="231F20"/>
          <w:spacing w:val="-4"/>
          <w:w w:val="120"/>
        </w:rPr>
        <w:t>soutien</w:t>
      </w:r>
      <w:r>
        <w:rPr>
          <w:color w:val="231F20"/>
          <w:spacing w:val="-13"/>
          <w:w w:val="120"/>
        </w:rPr>
        <w:t> </w:t>
      </w:r>
      <w:r>
        <w:rPr>
          <w:color w:val="231F20"/>
          <w:spacing w:val="-4"/>
          <w:w w:val="120"/>
        </w:rPr>
        <w:t>social</w:t>
      </w:r>
      <w:r>
        <w:rPr>
          <w:color w:val="231F20"/>
          <w:spacing w:val="-13"/>
          <w:w w:val="120"/>
        </w:rPr>
        <w:t> </w:t>
      </w:r>
      <w:r>
        <w:rPr>
          <w:color w:val="231F20"/>
          <w:spacing w:val="-4"/>
          <w:w w:val="120"/>
        </w:rPr>
        <w:t>durable.</w:t>
      </w:r>
    </w:p>
    <w:p>
      <w:pPr>
        <w:pStyle w:val="BodyText"/>
        <w:spacing w:line="307" w:lineRule="auto" w:before="79"/>
        <w:ind w:left="830" w:right="495" w:firstLine="250"/>
        <w:jc w:val="both"/>
      </w:pPr>
      <w:r>
        <w:rPr>
          <w:color w:val="231F20"/>
          <w:w w:val="115"/>
        </w:rPr>
        <w:t>Pour</w:t>
      </w:r>
      <w:r>
        <w:rPr>
          <w:color w:val="231F20"/>
          <w:spacing w:val="-13"/>
          <w:w w:val="115"/>
        </w:rPr>
        <w:t> </w:t>
      </w:r>
      <w:r>
        <w:rPr>
          <w:color w:val="231F20"/>
          <w:w w:val="115"/>
        </w:rPr>
        <w:t>faciliter</w:t>
      </w:r>
      <w:r>
        <w:rPr>
          <w:color w:val="231F20"/>
          <w:spacing w:val="-12"/>
          <w:w w:val="115"/>
        </w:rPr>
        <w:t> </w:t>
      </w:r>
      <w:r>
        <w:rPr>
          <w:color w:val="231F20"/>
          <w:w w:val="115"/>
        </w:rPr>
        <w:t>la</w:t>
      </w:r>
      <w:r>
        <w:rPr>
          <w:color w:val="231F20"/>
          <w:spacing w:val="-12"/>
          <w:w w:val="115"/>
        </w:rPr>
        <w:t> </w:t>
      </w:r>
      <w:r>
        <w:rPr>
          <w:color w:val="231F20"/>
          <w:w w:val="115"/>
        </w:rPr>
        <w:t>compréhension</w:t>
      </w:r>
      <w:r>
        <w:rPr>
          <w:color w:val="231F20"/>
          <w:spacing w:val="-12"/>
          <w:w w:val="115"/>
        </w:rPr>
        <w:t> </w:t>
      </w:r>
      <w:r>
        <w:rPr>
          <w:color w:val="231F20"/>
          <w:w w:val="115"/>
        </w:rPr>
        <w:t>de</w:t>
      </w:r>
      <w:r>
        <w:rPr>
          <w:color w:val="231F20"/>
          <w:spacing w:val="-13"/>
          <w:w w:val="115"/>
        </w:rPr>
        <w:t> </w:t>
      </w:r>
      <w:r>
        <w:rPr>
          <w:color w:val="231F20"/>
          <w:w w:val="115"/>
        </w:rPr>
        <w:t>ce</w:t>
      </w:r>
      <w:r>
        <w:rPr>
          <w:color w:val="231F20"/>
          <w:spacing w:val="-12"/>
          <w:w w:val="115"/>
        </w:rPr>
        <w:t> </w:t>
      </w:r>
      <w:r>
        <w:rPr>
          <w:color w:val="231F20"/>
          <w:w w:val="115"/>
        </w:rPr>
        <w:t>processus,</w:t>
      </w:r>
      <w:r>
        <w:rPr>
          <w:color w:val="231F20"/>
          <w:spacing w:val="-12"/>
          <w:w w:val="115"/>
        </w:rPr>
        <w:t> </w:t>
      </w:r>
      <w:r>
        <w:rPr>
          <w:color w:val="231F20"/>
          <w:w w:val="115"/>
        </w:rPr>
        <w:t>Dolan,</w:t>
      </w:r>
      <w:r>
        <w:rPr>
          <w:color w:val="231F20"/>
          <w:spacing w:val="-12"/>
          <w:w w:val="115"/>
        </w:rPr>
        <w:t> </w:t>
      </w:r>
      <w:r>
        <w:rPr>
          <w:color w:val="231F20"/>
          <w:w w:val="115"/>
        </w:rPr>
        <w:t>García</w:t>
      </w:r>
      <w:r>
        <w:rPr>
          <w:color w:val="231F20"/>
          <w:spacing w:val="-12"/>
          <w:w w:val="115"/>
        </w:rPr>
        <w:t> </w:t>
      </w:r>
      <w:r>
        <w:rPr>
          <w:color w:val="231F20"/>
          <w:w w:val="115"/>
        </w:rPr>
        <w:t>et</w:t>
      </w:r>
      <w:r>
        <w:rPr>
          <w:color w:val="231F20"/>
          <w:spacing w:val="-13"/>
          <w:w w:val="115"/>
        </w:rPr>
        <w:t> </w:t>
      </w:r>
      <w:r>
        <w:rPr>
          <w:color w:val="231F20"/>
          <w:w w:val="115"/>
        </w:rPr>
        <w:t>Díez- Piñol29</w:t>
      </w:r>
      <w:r>
        <w:rPr>
          <w:color w:val="231F20"/>
          <w:spacing w:val="-13"/>
          <w:w w:val="115"/>
        </w:rPr>
        <w:t> </w:t>
      </w:r>
      <w:r>
        <w:rPr>
          <w:color w:val="231F20"/>
          <w:w w:val="115"/>
        </w:rPr>
        <w:t>ont</w:t>
      </w:r>
      <w:r>
        <w:rPr>
          <w:color w:val="231F20"/>
          <w:spacing w:val="-12"/>
          <w:w w:val="115"/>
        </w:rPr>
        <w:t> </w:t>
      </w:r>
      <w:r>
        <w:rPr>
          <w:color w:val="231F20"/>
          <w:w w:val="115"/>
        </w:rPr>
        <w:t>proposé</w:t>
      </w:r>
      <w:r>
        <w:rPr>
          <w:color w:val="231F20"/>
          <w:spacing w:val="-12"/>
          <w:w w:val="115"/>
        </w:rPr>
        <w:t> </w:t>
      </w:r>
      <w:r>
        <w:rPr>
          <w:color w:val="231F20"/>
          <w:w w:val="115"/>
        </w:rPr>
        <w:t>l’acronyme</w:t>
      </w:r>
      <w:r>
        <w:rPr>
          <w:color w:val="231F20"/>
          <w:spacing w:val="-12"/>
          <w:w w:val="115"/>
        </w:rPr>
        <w:t> </w:t>
      </w:r>
      <w:r>
        <w:rPr>
          <w:color w:val="231F20"/>
          <w:w w:val="115"/>
        </w:rPr>
        <w:t>«</w:t>
      </w:r>
      <w:r>
        <w:rPr>
          <w:color w:val="231F20"/>
          <w:spacing w:val="-13"/>
          <w:w w:val="115"/>
        </w:rPr>
        <w:t> </w:t>
      </w:r>
      <w:r>
        <w:rPr>
          <w:color w:val="231F20"/>
          <w:w w:val="115"/>
        </w:rPr>
        <w:t>CRASH</w:t>
      </w:r>
      <w:r>
        <w:rPr>
          <w:color w:val="231F20"/>
          <w:spacing w:val="-12"/>
          <w:w w:val="115"/>
        </w:rPr>
        <w:t> </w:t>
      </w:r>
      <w:r>
        <w:rPr>
          <w:color w:val="231F20"/>
          <w:w w:val="115"/>
        </w:rPr>
        <w:t>»</w:t>
      </w:r>
      <w:r>
        <w:rPr>
          <w:color w:val="231F20"/>
          <w:spacing w:val="-12"/>
          <w:w w:val="115"/>
        </w:rPr>
        <w:t> </w:t>
      </w:r>
      <w:r>
        <w:rPr>
          <w:color w:val="231F20"/>
          <w:w w:val="115"/>
        </w:rPr>
        <w:t>(figure</w:t>
      </w:r>
      <w:r>
        <w:rPr>
          <w:color w:val="231F20"/>
          <w:spacing w:val="-12"/>
          <w:w w:val="115"/>
        </w:rPr>
        <w:t> </w:t>
      </w:r>
      <w:r>
        <w:rPr>
          <w:color w:val="231F20"/>
          <w:w w:val="115"/>
        </w:rPr>
        <w:t>4.3),</w:t>
      </w:r>
      <w:r>
        <w:rPr>
          <w:color w:val="231F20"/>
          <w:spacing w:val="-12"/>
          <w:w w:val="115"/>
        </w:rPr>
        <w:t> </w:t>
      </w:r>
      <w:r>
        <w:rPr>
          <w:color w:val="231F20"/>
          <w:w w:val="115"/>
        </w:rPr>
        <w:t>par</w:t>
      </w:r>
      <w:r>
        <w:rPr>
          <w:color w:val="231F20"/>
          <w:spacing w:val="-6"/>
          <w:w w:val="115"/>
        </w:rPr>
        <w:t> </w:t>
      </w:r>
      <w:r>
        <w:rPr>
          <w:color w:val="231F20"/>
          <w:w w:val="115"/>
        </w:rPr>
        <w:t>analogie</w:t>
      </w:r>
      <w:r>
        <w:rPr>
          <w:color w:val="231F20"/>
          <w:spacing w:val="-7"/>
          <w:w w:val="115"/>
        </w:rPr>
        <w:t> </w:t>
      </w:r>
      <w:r>
        <w:rPr>
          <w:color w:val="231F20"/>
          <w:w w:val="115"/>
        </w:rPr>
        <w:t>aux </w:t>
      </w:r>
      <w:r>
        <w:rPr>
          <w:color w:val="231F20"/>
          <w:w w:val="120"/>
        </w:rPr>
        <w:t>conséquences</w:t>
      </w:r>
      <w:r>
        <w:rPr>
          <w:color w:val="231F20"/>
          <w:spacing w:val="-11"/>
          <w:w w:val="120"/>
        </w:rPr>
        <w:t> </w:t>
      </w:r>
      <w:r>
        <w:rPr>
          <w:color w:val="231F20"/>
          <w:w w:val="120"/>
        </w:rPr>
        <w:t>négatives</w:t>
      </w:r>
      <w:r>
        <w:rPr>
          <w:color w:val="231F20"/>
          <w:spacing w:val="-11"/>
          <w:w w:val="120"/>
        </w:rPr>
        <w:t> </w:t>
      </w:r>
      <w:r>
        <w:rPr>
          <w:color w:val="231F20"/>
          <w:w w:val="120"/>
        </w:rPr>
        <w:t>et</w:t>
      </w:r>
      <w:r>
        <w:rPr>
          <w:color w:val="231F20"/>
          <w:spacing w:val="-11"/>
          <w:w w:val="120"/>
        </w:rPr>
        <w:t> </w:t>
      </w:r>
      <w:r>
        <w:rPr>
          <w:color w:val="231F20"/>
          <w:w w:val="120"/>
        </w:rPr>
        <w:t>dramatiques</w:t>
      </w:r>
      <w:r>
        <w:rPr>
          <w:color w:val="231F20"/>
          <w:spacing w:val="-11"/>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chronique.</w:t>
      </w:r>
      <w:r>
        <w:rPr>
          <w:color w:val="231F20"/>
          <w:spacing w:val="-11"/>
          <w:w w:val="120"/>
        </w:rPr>
        <w:t> </w:t>
      </w:r>
      <w:r>
        <w:rPr>
          <w:color w:val="231F20"/>
          <w:w w:val="120"/>
        </w:rPr>
        <w:t>Il</w:t>
      </w:r>
      <w:r>
        <w:rPr>
          <w:color w:val="231F20"/>
          <w:spacing w:val="-11"/>
          <w:w w:val="120"/>
        </w:rPr>
        <w:t> </w:t>
      </w:r>
      <w:r>
        <w:rPr>
          <w:color w:val="231F20"/>
          <w:w w:val="120"/>
        </w:rPr>
        <w:t>convient </w:t>
      </w:r>
      <w:r>
        <w:rPr>
          <w:color w:val="231F20"/>
          <w:w w:val="115"/>
        </w:rPr>
        <w:t>de</w:t>
      </w:r>
      <w:r>
        <w:rPr>
          <w:color w:val="231F20"/>
          <w:spacing w:val="-13"/>
          <w:w w:val="115"/>
        </w:rPr>
        <w:t> </w:t>
      </w:r>
      <w:r>
        <w:rPr>
          <w:color w:val="231F20"/>
          <w:w w:val="115"/>
        </w:rPr>
        <w:t>souligner</w:t>
      </w:r>
      <w:r>
        <w:rPr>
          <w:color w:val="231F20"/>
          <w:spacing w:val="-12"/>
          <w:w w:val="115"/>
        </w:rPr>
        <w:t> </w:t>
      </w:r>
      <w:r>
        <w:rPr>
          <w:color w:val="231F20"/>
          <w:w w:val="115"/>
        </w:rPr>
        <w:t>que</w:t>
      </w:r>
      <w:r>
        <w:rPr>
          <w:color w:val="231F20"/>
          <w:spacing w:val="-12"/>
          <w:w w:val="115"/>
        </w:rPr>
        <w:t> </w:t>
      </w:r>
      <w:r>
        <w:rPr>
          <w:color w:val="231F20"/>
          <w:w w:val="115"/>
        </w:rPr>
        <w:t>l’estime</w:t>
      </w:r>
      <w:r>
        <w:rPr>
          <w:color w:val="231F20"/>
          <w:spacing w:val="-12"/>
          <w:w w:val="115"/>
        </w:rPr>
        <w:t> </w:t>
      </w:r>
      <w:r>
        <w:rPr>
          <w:color w:val="231F20"/>
          <w:w w:val="115"/>
        </w:rPr>
        <w:t>de</w:t>
      </w:r>
      <w:r>
        <w:rPr>
          <w:color w:val="231F20"/>
          <w:spacing w:val="-13"/>
          <w:w w:val="115"/>
        </w:rPr>
        <w:t> </w:t>
      </w:r>
      <w:r>
        <w:rPr>
          <w:color w:val="231F20"/>
          <w:w w:val="115"/>
        </w:rPr>
        <w:t>soi</w:t>
      </w:r>
      <w:r>
        <w:rPr>
          <w:color w:val="231F20"/>
          <w:spacing w:val="-12"/>
          <w:w w:val="115"/>
        </w:rPr>
        <w:t> </w:t>
      </w:r>
      <w:r>
        <w:rPr>
          <w:color w:val="231F20"/>
          <w:w w:val="115"/>
        </w:rPr>
        <w:t>fait</w:t>
      </w:r>
      <w:r>
        <w:rPr>
          <w:color w:val="231F20"/>
          <w:spacing w:val="-12"/>
          <w:w w:val="115"/>
        </w:rPr>
        <w:t> </w:t>
      </w:r>
      <w:r>
        <w:rPr>
          <w:color w:val="231F20"/>
          <w:w w:val="115"/>
        </w:rPr>
        <w:t>office</w:t>
      </w:r>
      <w:r>
        <w:rPr>
          <w:color w:val="231F20"/>
          <w:spacing w:val="-12"/>
          <w:w w:val="115"/>
        </w:rPr>
        <w:t> </w:t>
      </w:r>
      <w:r>
        <w:rPr>
          <w:color w:val="231F20"/>
          <w:w w:val="115"/>
        </w:rPr>
        <w:t>de</w:t>
      </w:r>
      <w:r>
        <w:rPr>
          <w:color w:val="231F20"/>
          <w:spacing w:val="-12"/>
          <w:w w:val="115"/>
        </w:rPr>
        <w:t> </w:t>
      </w:r>
      <w:r>
        <w:rPr>
          <w:color w:val="231F20"/>
          <w:w w:val="115"/>
        </w:rPr>
        <w:t>variable</w:t>
      </w:r>
      <w:r>
        <w:rPr>
          <w:color w:val="231F20"/>
          <w:spacing w:val="-13"/>
          <w:w w:val="115"/>
        </w:rPr>
        <w:t> </w:t>
      </w:r>
      <w:r>
        <w:rPr>
          <w:color w:val="231F20"/>
          <w:w w:val="115"/>
        </w:rPr>
        <w:t>tampon,</w:t>
      </w:r>
      <w:r>
        <w:rPr>
          <w:color w:val="231F20"/>
          <w:spacing w:val="-12"/>
          <w:w w:val="115"/>
        </w:rPr>
        <w:t> </w:t>
      </w:r>
      <w:r>
        <w:rPr>
          <w:color w:val="231F20"/>
          <w:w w:val="115"/>
        </w:rPr>
        <w:t>tout</w:t>
      </w:r>
      <w:r>
        <w:rPr>
          <w:color w:val="231F20"/>
          <w:spacing w:val="-12"/>
          <w:w w:val="115"/>
        </w:rPr>
        <w:t> </w:t>
      </w:r>
      <w:r>
        <w:rPr>
          <w:color w:val="231F20"/>
          <w:w w:val="115"/>
        </w:rPr>
        <w:t>comme le</w:t>
      </w:r>
      <w:r>
        <w:rPr>
          <w:color w:val="231F20"/>
          <w:spacing w:val="-7"/>
          <w:w w:val="115"/>
        </w:rPr>
        <w:t> </w:t>
      </w:r>
      <w:r>
        <w:rPr>
          <w:color w:val="231F20"/>
          <w:w w:val="115"/>
        </w:rPr>
        <w:t>soutien</w:t>
      </w:r>
      <w:r>
        <w:rPr>
          <w:color w:val="231F20"/>
          <w:spacing w:val="-7"/>
          <w:w w:val="115"/>
        </w:rPr>
        <w:t> </w:t>
      </w:r>
      <w:r>
        <w:rPr>
          <w:color w:val="231F20"/>
          <w:w w:val="115"/>
        </w:rPr>
        <w:t>social.</w:t>
      </w:r>
      <w:r>
        <w:rPr>
          <w:color w:val="231F20"/>
          <w:spacing w:val="-7"/>
          <w:w w:val="115"/>
        </w:rPr>
        <w:t> </w:t>
      </w:r>
      <w:r>
        <w:rPr>
          <w:color w:val="231F20"/>
          <w:w w:val="115"/>
        </w:rPr>
        <w:t>Dans</w:t>
      </w:r>
      <w:r>
        <w:rPr>
          <w:color w:val="231F20"/>
          <w:spacing w:val="-7"/>
          <w:w w:val="115"/>
        </w:rPr>
        <w:t> </w:t>
      </w:r>
      <w:r>
        <w:rPr>
          <w:color w:val="231F20"/>
          <w:w w:val="115"/>
        </w:rPr>
        <w:t>la</w:t>
      </w:r>
      <w:r>
        <w:rPr>
          <w:color w:val="231F20"/>
          <w:spacing w:val="-7"/>
          <w:w w:val="115"/>
        </w:rPr>
        <w:t> </w:t>
      </w:r>
      <w:r>
        <w:rPr>
          <w:color w:val="231F20"/>
          <w:w w:val="115"/>
        </w:rPr>
        <w:t>même</w:t>
      </w:r>
      <w:r>
        <w:rPr>
          <w:color w:val="231F20"/>
          <w:spacing w:val="-7"/>
          <w:w w:val="115"/>
        </w:rPr>
        <w:t> </w:t>
      </w:r>
      <w:r>
        <w:rPr>
          <w:color w:val="231F20"/>
          <w:w w:val="115"/>
        </w:rPr>
        <w:t>veine,</w:t>
      </w:r>
      <w:r>
        <w:rPr>
          <w:color w:val="231F20"/>
          <w:spacing w:val="-7"/>
          <w:w w:val="115"/>
        </w:rPr>
        <w:t> </w:t>
      </w:r>
      <w:r>
        <w:rPr>
          <w:color w:val="231F20"/>
          <w:w w:val="115"/>
        </w:rPr>
        <w:t>l’humilité</w:t>
      </w:r>
      <w:r>
        <w:rPr>
          <w:color w:val="231F20"/>
          <w:spacing w:val="-7"/>
          <w:w w:val="115"/>
        </w:rPr>
        <w:t> </w:t>
      </w:r>
      <w:r>
        <w:rPr>
          <w:color w:val="231F20"/>
          <w:w w:val="115"/>
        </w:rPr>
        <w:t>ressort</w:t>
      </w:r>
      <w:r>
        <w:rPr>
          <w:color w:val="231F20"/>
          <w:spacing w:val="-7"/>
          <w:w w:val="115"/>
        </w:rPr>
        <w:t> </w:t>
      </w:r>
      <w:r>
        <w:rPr>
          <w:color w:val="231F20"/>
          <w:w w:val="115"/>
        </w:rPr>
        <w:t>aussi</w:t>
      </w:r>
      <w:r>
        <w:rPr>
          <w:color w:val="231F20"/>
          <w:spacing w:val="-7"/>
          <w:w w:val="115"/>
        </w:rPr>
        <w:t> </w:t>
      </w:r>
      <w:r>
        <w:rPr>
          <w:color w:val="231F20"/>
          <w:w w:val="115"/>
        </w:rPr>
        <w:t>comme</w:t>
      </w:r>
      <w:r>
        <w:rPr>
          <w:color w:val="231F20"/>
          <w:spacing w:val="-7"/>
          <w:w w:val="115"/>
        </w:rPr>
        <w:t> </w:t>
      </w:r>
      <w:r>
        <w:rPr>
          <w:color w:val="231F20"/>
          <w:w w:val="115"/>
        </w:rPr>
        <w:t>une </w:t>
      </w:r>
      <w:r>
        <w:rPr>
          <w:color w:val="231F20"/>
          <w:w w:val="120"/>
        </w:rPr>
        <w:t>caractéristique</w:t>
      </w:r>
      <w:r>
        <w:rPr>
          <w:color w:val="231F20"/>
          <w:spacing w:val="-11"/>
          <w:w w:val="120"/>
        </w:rPr>
        <w:t> </w:t>
      </w:r>
      <w:r>
        <w:rPr>
          <w:color w:val="231F20"/>
          <w:w w:val="120"/>
        </w:rPr>
        <w:t>personnelle</w:t>
      </w:r>
      <w:r>
        <w:rPr>
          <w:color w:val="231F20"/>
          <w:spacing w:val="-10"/>
          <w:w w:val="120"/>
        </w:rPr>
        <w:t> </w:t>
      </w:r>
      <w:r>
        <w:rPr>
          <w:color w:val="231F20"/>
          <w:w w:val="120"/>
        </w:rPr>
        <w:t>qui</w:t>
      </w:r>
      <w:r>
        <w:rPr>
          <w:color w:val="231F20"/>
          <w:spacing w:val="-10"/>
          <w:w w:val="120"/>
        </w:rPr>
        <w:t> </w:t>
      </w:r>
      <w:r>
        <w:rPr>
          <w:color w:val="231F20"/>
          <w:w w:val="120"/>
        </w:rPr>
        <w:t>agit</w:t>
      </w:r>
      <w:r>
        <w:rPr>
          <w:color w:val="231F20"/>
          <w:spacing w:val="-11"/>
          <w:w w:val="120"/>
        </w:rPr>
        <w:t> </w:t>
      </w:r>
      <w:r>
        <w:rPr>
          <w:color w:val="231F20"/>
          <w:w w:val="120"/>
        </w:rPr>
        <w:t>comme</w:t>
      </w:r>
      <w:r>
        <w:rPr>
          <w:color w:val="231F20"/>
          <w:spacing w:val="-10"/>
          <w:w w:val="120"/>
        </w:rPr>
        <w:t> </w:t>
      </w:r>
      <w:r>
        <w:rPr>
          <w:color w:val="231F20"/>
          <w:w w:val="120"/>
        </w:rPr>
        <w:t>une</w:t>
      </w:r>
      <w:r>
        <w:rPr>
          <w:color w:val="231F20"/>
          <w:spacing w:val="-10"/>
          <w:w w:val="120"/>
        </w:rPr>
        <w:t> </w:t>
      </w:r>
      <w:r>
        <w:rPr>
          <w:color w:val="231F20"/>
          <w:w w:val="120"/>
        </w:rPr>
        <w:t>ressource</w:t>
      </w:r>
      <w:r>
        <w:rPr>
          <w:color w:val="231F20"/>
          <w:spacing w:val="-11"/>
          <w:w w:val="120"/>
        </w:rPr>
        <w:t> </w:t>
      </w:r>
      <w:r>
        <w:rPr>
          <w:color w:val="231F20"/>
          <w:spacing w:val="-2"/>
          <w:w w:val="120"/>
        </w:rPr>
        <w:t>d’adaptation.</w:t>
      </w:r>
    </w:p>
    <w:p>
      <w:pPr>
        <w:pStyle w:val="BodyText"/>
        <w:spacing w:before="5"/>
        <w:rPr>
          <w:sz w:val="29"/>
        </w:rPr>
      </w:pPr>
    </w:p>
    <w:p>
      <w:pPr>
        <w:spacing w:before="0"/>
        <w:ind w:left="830" w:right="0" w:firstLine="0"/>
        <w:jc w:val="both"/>
        <w:rPr>
          <w:rFonts w:ascii="Arial" w:hAnsi="Arial"/>
          <w:b/>
          <w:sz w:val="17"/>
        </w:rPr>
      </w:pPr>
      <w:r>
        <w:rPr/>
        <w:pict>
          <v:shape style="position:absolute;margin-left:62.5pt;margin-top:12.046896pt;width:287.5pt;height:.1pt;mso-position-horizontal-relative:page;mso-position-vertical-relative:paragraph;z-index:-15650304;mso-wrap-distance-left:0;mso-wrap-distance-right:0" id="docshape909" coordorigin="1250,241" coordsize="5750,0" path="m1250,241l7000,241e" filled="false" stroked="true" strokeweight=".25pt" strokecolor="#231f20">
            <v:path arrowok="t"/>
            <v:stroke dashstyle="shortdot"/>
            <w10:wrap type="topAndBottom"/>
          </v:shape>
        </w:pict>
      </w:r>
      <w:r>
        <w:rPr>
          <w:rFonts w:ascii="Arial" w:hAnsi="Arial"/>
          <w:color w:val="231F20"/>
          <w:sz w:val="17"/>
        </w:rPr>
        <w:t>Matière</w:t>
      </w:r>
      <w:r>
        <w:rPr>
          <w:rFonts w:ascii="Arial" w:hAnsi="Arial"/>
          <w:color w:val="231F20"/>
          <w:spacing w:val="-3"/>
          <w:sz w:val="17"/>
        </w:rPr>
        <w:t> </w:t>
      </w:r>
      <w:r>
        <w:rPr>
          <w:rFonts w:ascii="Arial" w:hAnsi="Arial"/>
          <w:color w:val="231F20"/>
          <w:sz w:val="17"/>
        </w:rPr>
        <w:t>à</w:t>
      </w:r>
      <w:r>
        <w:rPr>
          <w:rFonts w:ascii="Arial" w:hAnsi="Arial"/>
          <w:color w:val="231F20"/>
          <w:spacing w:val="-3"/>
          <w:sz w:val="17"/>
        </w:rPr>
        <w:t> </w:t>
      </w:r>
      <w:r>
        <w:rPr>
          <w:rFonts w:ascii="Arial" w:hAnsi="Arial"/>
          <w:color w:val="231F20"/>
          <w:sz w:val="17"/>
        </w:rPr>
        <w:t>réFlexion</w:t>
      </w:r>
      <w:r>
        <w:rPr>
          <w:rFonts w:ascii="Arial" w:hAnsi="Arial"/>
          <w:color w:val="231F20"/>
          <w:spacing w:val="-14"/>
          <w:sz w:val="17"/>
        </w:rPr>
        <w:t> </w:t>
      </w:r>
      <w:r>
        <w:rPr>
          <w:rFonts w:ascii="Arial" w:hAnsi="Arial"/>
          <w:i/>
          <w:color w:val="231F20"/>
          <w:sz w:val="17"/>
        </w:rPr>
        <w:t>/</w:t>
      </w:r>
      <w:r>
        <w:rPr>
          <w:rFonts w:ascii="Arial" w:hAnsi="Arial"/>
          <w:i/>
          <w:color w:val="231F20"/>
          <w:spacing w:val="42"/>
          <w:sz w:val="17"/>
        </w:rPr>
        <w:t> </w:t>
      </w:r>
      <w:r>
        <w:rPr>
          <w:rFonts w:ascii="Arial" w:hAnsi="Arial"/>
          <w:b/>
          <w:color w:val="231F20"/>
          <w:sz w:val="17"/>
        </w:rPr>
        <w:t>Quelques</w:t>
      </w:r>
      <w:r>
        <w:rPr>
          <w:rFonts w:ascii="Arial" w:hAnsi="Arial"/>
          <w:b/>
          <w:color w:val="231F20"/>
          <w:spacing w:val="-7"/>
          <w:sz w:val="17"/>
        </w:rPr>
        <w:t> </w:t>
      </w:r>
      <w:r>
        <w:rPr>
          <w:rFonts w:ascii="Arial" w:hAnsi="Arial"/>
          <w:b/>
          <w:color w:val="231F20"/>
          <w:sz w:val="17"/>
        </w:rPr>
        <w:t>signes</w:t>
      </w:r>
      <w:r>
        <w:rPr>
          <w:rFonts w:ascii="Arial" w:hAnsi="Arial"/>
          <w:b/>
          <w:color w:val="231F20"/>
          <w:spacing w:val="-8"/>
          <w:sz w:val="17"/>
        </w:rPr>
        <w:t> </w:t>
      </w:r>
      <w:r>
        <w:rPr>
          <w:rFonts w:ascii="Arial" w:hAnsi="Arial"/>
          <w:b/>
          <w:color w:val="231F20"/>
          <w:sz w:val="17"/>
        </w:rPr>
        <w:t>d’une</w:t>
      </w:r>
      <w:r>
        <w:rPr>
          <w:rFonts w:ascii="Arial" w:hAnsi="Arial"/>
          <w:b/>
          <w:color w:val="231F20"/>
          <w:spacing w:val="-8"/>
          <w:sz w:val="17"/>
        </w:rPr>
        <w:t> </w:t>
      </w:r>
      <w:r>
        <w:rPr>
          <w:rFonts w:ascii="Arial" w:hAnsi="Arial"/>
          <w:b/>
          <w:color w:val="231F20"/>
          <w:sz w:val="17"/>
        </w:rPr>
        <w:t>faible</w:t>
      </w:r>
      <w:r>
        <w:rPr>
          <w:rFonts w:ascii="Arial" w:hAnsi="Arial"/>
          <w:b/>
          <w:color w:val="231F20"/>
          <w:spacing w:val="-8"/>
          <w:sz w:val="17"/>
        </w:rPr>
        <w:t> </w:t>
      </w:r>
      <w:r>
        <w:rPr>
          <w:rFonts w:ascii="Arial" w:hAnsi="Arial"/>
          <w:b/>
          <w:color w:val="231F20"/>
          <w:sz w:val="17"/>
        </w:rPr>
        <w:t>estime</w:t>
      </w:r>
      <w:r>
        <w:rPr>
          <w:rFonts w:ascii="Arial" w:hAnsi="Arial"/>
          <w:b/>
          <w:color w:val="231F20"/>
          <w:spacing w:val="-8"/>
          <w:sz w:val="17"/>
        </w:rPr>
        <w:t> </w:t>
      </w:r>
      <w:r>
        <w:rPr>
          <w:rFonts w:ascii="Arial" w:hAnsi="Arial"/>
          <w:b/>
          <w:color w:val="231F20"/>
          <w:sz w:val="17"/>
        </w:rPr>
        <w:t>de</w:t>
      </w:r>
      <w:r>
        <w:rPr>
          <w:rFonts w:ascii="Arial" w:hAnsi="Arial"/>
          <w:b/>
          <w:color w:val="231F20"/>
          <w:spacing w:val="-8"/>
          <w:sz w:val="17"/>
        </w:rPr>
        <w:t> </w:t>
      </w:r>
      <w:r>
        <w:rPr>
          <w:rFonts w:ascii="Arial" w:hAnsi="Arial"/>
          <w:b/>
          <w:color w:val="231F20"/>
          <w:spacing w:val="-5"/>
          <w:sz w:val="17"/>
        </w:rPr>
        <w:t>soi</w:t>
      </w:r>
    </w:p>
    <w:p>
      <w:pPr>
        <w:pStyle w:val="BodyText"/>
        <w:spacing w:before="9"/>
        <w:rPr>
          <w:rFonts w:ascii="Arial"/>
          <w:b/>
          <w:sz w:val="18"/>
        </w:rPr>
      </w:pPr>
    </w:p>
    <w:p>
      <w:pPr>
        <w:pStyle w:val="ListParagraph"/>
        <w:numPr>
          <w:ilvl w:val="1"/>
          <w:numId w:val="65"/>
        </w:numPr>
        <w:tabs>
          <w:tab w:pos="1341" w:val="left" w:leader="none"/>
        </w:tabs>
        <w:spacing w:line="307" w:lineRule="auto" w:before="0" w:after="0"/>
        <w:ind w:left="1340" w:right="1097" w:hanging="251"/>
        <w:jc w:val="left"/>
        <w:rPr>
          <w:rFonts w:ascii="Arial" w:hAnsi="Arial"/>
          <w:sz w:val="17"/>
        </w:rPr>
      </w:pPr>
      <w:r>
        <w:rPr>
          <w:rFonts w:ascii="Arial" w:hAnsi="Arial"/>
          <w:color w:val="231F20"/>
          <w:sz w:val="17"/>
        </w:rPr>
        <w:t>Un</w:t>
      </w:r>
      <w:r>
        <w:rPr>
          <w:rFonts w:ascii="Arial" w:hAnsi="Arial"/>
          <w:color w:val="231F20"/>
          <w:spacing w:val="-3"/>
          <w:sz w:val="17"/>
        </w:rPr>
        <w:t> </w:t>
      </w:r>
      <w:r>
        <w:rPr>
          <w:rFonts w:ascii="Arial" w:hAnsi="Arial"/>
          <w:color w:val="231F20"/>
          <w:sz w:val="17"/>
        </w:rPr>
        <w:t>des</w:t>
      </w:r>
      <w:r>
        <w:rPr>
          <w:rFonts w:ascii="Arial" w:hAnsi="Arial"/>
          <w:color w:val="231F20"/>
          <w:spacing w:val="-3"/>
          <w:sz w:val="17"/>
        </w:rPr>
        <w:t> </w:t>
      </w:r>
      <w:r>
        <w:rPr>
          <w:rFonts w:ascii="Arial" w:hAnsi="Arial"/>
          <w:color w:val="231F20"/>
          <w:sz w:val="17"/>
        </w:rPr>
        <w:t>premiers</w:t>
      </w:r>
      <w:r>
        <w:rPr>
          <w:rFonts w:ascii="Arial" w:hAnsi="Arial"/>
          <w:color w:val="231F20"/>
          <w:spacing w:val="-3"/>
          <w:sz w:val="17"/>
        </w:rPr>
        <w:t> </w:t>
      </w:r>
      <w:r>
        <w:rPr>
          <w:rFonts w:ascii="Arial" w:hAnsi="Arial"/>
          <w:color w:val="231F20"/>
          <w:sz w:val="17"/>
        </w:rPr>
        <w:t>symptômes</w:t>
      </w:r>
      <w:r>
        <w:rPr>
          <w:rFonts w:ascii="Arial" w:hAnsi="Arial"/>
          <w:color w:val="231F20"/>
          <w:spacing w:val="-3"/>
          <w:sz w:val="17"/>
        </w:rPr>
        <w:t> </w:t>
      </w:r>
      <w:r>
        <w:rPr>
          <w:rFonts w:ascii="Arial" w:hAnsi="Arial"/>
          <w:color w:val="231F20"/>
          <w:sz w:val="17"/>
        </w:rPr>
        <w:t>est</w:t>
      </w:r>
      <w:r>
        <w:rPr>
          <w:rFonts w:ascii="Arial" w:hAnsi="Arial"/>
          <w:color w:val="231F20"/>
          <w:spacing w:val="-3"/>
          <w:sz w:val="17"/>
        </w:rPr>
        <w:t> </w:t>
      </w:r>
      <w:r>
        <w:rPr>
          <w:rFonts w:ascii="Arial" w:hAnsi="Arial"/>
          <w:color w:val="231F20"/>
          <w:sz w:val="17"/>
        </w:rPr>
        <w:t>certainement</w:t>
      </w:r>
      <w:r>
        <w:rPr>
          <w:rFonts w:ascii="Arial" w:hAnsi="Arial"/>
          <w:color w:val="231F20"/>
          <w:spacing w:val="-3"/>
          <w:sz w:val="17"/>
        </w:rPr>
        <w:t> </w:t>
      </w:r>
      <w:r>
        <w:rPr>
          <w:rFonts w:ascii="Arial" w:hAnsi="Arial"/>
          <w:color w:val="231F20"/>
          <w:sz w:val="17"/>
        </w:rPr>
        <w:t>la</w:t>
      </w:r>
      <w:r>
        <w:rPr>
          <w:rFonts w:ascii="Arial" w:hAnsi="Arial"/>
          <w:color w:val="231F20"/>
          <w:spacing w:val="-3"/>
          <w:sz w:val="17"/>
        </w:rPr>
        <w:t> </w:t>
      </w:r>
      <w:r>
        <w:rPr>
          <w:rFonts w:ascii="Arial" w:hAnsi="Arial"/>
          <w:color w:val="231F20"/>
          <w:sz w:val="17"/>
        </w:rPr>
        <w:t>dépréciation</w:t>
      </w:r>
      <w:r>
        <w:rPr>
          <w:rFonts w:ascii="Arial" w:hAnsi="Arial"/>
          <w:color w:val="231F20"/>
          <w:sz w:val="17"/>
        </w:rPr>
        <w:t> de soi. Vous avez une tendance à aisément dire des choses négatives sur vous-même.</w:t>
      </w:r>
    </w:p>
    <w:p>
      <w:pPr>
        <w:pStyle w:val="BodyText"/>
        <w:spacing w:before="1"/>
        <w:rPr>
          <w:rFonts w:ascii="Arial"/>
          <w:sz w:val="15"/>
        </w:rPr>
      </w:pPr>
      <w:r>
        <w:rPr/>
        <w:pict>
          <v:shape style="position:absolute;margin-left:62.5pt;margin-top:9.918066pt;width:287.5pt;height:.1pt;mso-position-horizontal-relative:page;mso-position-vertical-relative:paragraph;z-index:-15649792;mso-wrap-distance-left:0;mso-wrap-distance-right:0" id="docshape910" coordorigin="1250,198" coordsize="5750,0" path="m1250,198l7000,198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40" w:lineRule="auto" w:before="135" w:after="0"/>
        <w:ind w:left="829" w:right="0" w:hanging="406"/>
        <w:jc w:val="left"/>
        <w:rPr>
          <w:rFonts w:ascii="Arial" w:hAnsi="Arial"/>
          <w:sz w:val="12"/>
        </w:rPr>
      </w:pPr>
      <w:r>
        <w:rPr>
          <w:rFonts w:ascii="Arial" w:hAnsi="Arial"/>
          <w:color w:val="231F20"/>
          <w:w w:val="95"/>
          <w:sz w:val="12"/>
        </w:rPr>
        <w:t>García</w:t>
      </w:r>
      <w:r>
        <w:rPr>
          <w:rFonts w:ascii="Arial" w:hAnsi="Arial"/>
          <w:color w:val="231F20"/>
          <w:sz w:val="12"/>
        </w:rPr>
        <w:t> </w:t>
      </w:r>
      <w:r>
        <w:rPr>
          <w:rFonts w:ascii="Arial" w:hAnsi="Arial"/>
          <w:color w:val="231F20"/>
          <w:w w:val="95"/>
          <w:sz w:val="12"/>
        </w:rPr>
        <w:t>Sanchez,</w:t>
      </w:r>
      <w:r>
        <w:rPr>
          <w:rFonts w:ascii="Arial" w:hAnsi="Arial"/>
          <w:color w:val="231F20"/>
          <w:sz w:val="12"/>
        </w:rPr>
        <w:t> </w:t>
      </w:r>
      <w:r>
        <w:rPr>
          <w:rFonts w:ascii="Arial" w:hAnsi="Arial"/>
          <w:color w:val="231F20"/>
          <w:w w:val="95"/>
          <w:sz w:val="12"/>
        </w:rPr>
        <w:t>S.</w:t>
      </w:r>
      <w:r>
        <w:rPr>
          <w:rFonts w:ascii="Arial" w:hAnsi="Arial"/>
          <w:color w:val="231F20"/>
          <w:spacing w:val="1"/>
          <w:sz w:val="12"/>
        </w:rPr>
        <w:t> </w:t>
      </w:r>
      <w:r>
        <w:rPr>
          <w:rFonts w:ascii="Arial" w:hAnsi="Arial"/>
          <w:color w:val="231F20"/>
          <w:w w:val="95"/>
          <w:sz w:val="12"/>
        </w:rPr>
        <w:t>(1990).</w:t>
      </w:r>
      <w:r>
        <w:rPr>
          <w:rFonts w:ascii="Arial" w:hAnsi="Arial"/>
          <w:color w:val="231F20"/>
          <w:sz w:val="12"/>
        </w:rPr>
        <w:t> </w:t>
      </w:r>
      <w:r>
        <w:rPr>
          <w:rFonts w:ascii="Arial" w:hAnsi="Arial"/>
          <w:color w:val="231F20"/>
          <w:w w:val="95"/>
          <w:sz w:val="12"/>
        </w:rPr>
        <w:t>Estrés</w:t>
      </w:r>
      <w:r>
        <w:rPr>
          <w:rFonts w:ascii="Arial" w:hAnsi="Arial"/>
          <w:color w:val="231F20"/>
          <w:spacing w:val="1"/>
          <w:sz w:val="12"/>
        </w:rPr>
        <w:t> </w:t>
      </w:r>
      <w:r>
        <w:rPr>
          <w:rFonts w:ascii="Arial" w:hAnsi="Arial"/>
          <w:color w:val="231F20"/>
          <w:w w:val="95"/>
          <w:sz w:val="12"/>
        </w:rPr>
        <w:t>laboral,</w:t>
      </w:r>
      <w:r>
        <w:rPr>
          <w:rFonts w:ascii="Arial" w:hAnsi="Arial"/>
          <w:color w:val="231F20"/>
          <w:sz w:val="12"/>
        </w:rPr>
        <w:t> </w:t>
      </w:r>
      <w:r>
        <w:rPr>
          <w:rFonts w:ascii="Arial" w:hAnsi="Arial"/>
          <w:color w:val="231F20"/>
          <w:w w:val="95"/>
          <w:sz w:val="12"/>
        </w:rPr>
        <w:t>percepción</w:t>
      </w:r>
      <w:r>
        <w:rPr>
          <w:rFonts w:ascii="Arial" w:hAnsi="Arial"/>
          <w:color w:val="231F20"/>
          <w:spacing w:val="1"/>
          <w:sz w:val="12"/>
        </w:rPr>
        <w:t> </w:t>
      </w:r>
      <w:r>
        <w:rPr>
          <w:rFonts w:ascii="Arial" w:hAnsi="Arial"/>
          <w:color w:val="231F20"/>
          <w:w w:val="95"/>
          <w:sz w:val="12"/>
        </w:rPr>
        <w:t>de</w:t>
      </w:r>
      <w:r>
        <w:rPr>
          <w:rFonts w:ascii="Arial" w:hAnsi="Arial"/>
          <w:color w:val="231F20"/>
          <w:sz w:val="12"/>
        </w:rPr>
        <w:t> </w:t>
      </w:r>
      <w:r>
        <w:rPr>
          <w:rFonts w:ascii="Arial" w:hAnsi="Arial"/>
          <w:color w:val="231F20"/>
          <w:w w:val="95"/>
          <w:sz w:val="12"/>
        </w:rPr>
        <w:t>control</w:t>
      </w:r>
      <w:r>
        <w:rPr>
          <w:rFonts w:ascii="Arial" w:hAnsi="Arial"/>
          <w:color w:val="231F20"/>
          <w:spacing w:val="1"/>
          <w:sz w:val="12"/>
        </w:rPr>
        <w:t> </w:t>
      </w:r>
      <w:r>
        <w:rPr>
          <w:rFonts w:ascii="Arial" w:hAnsi="Arial"/>
          <w:color w:val="231F20"/>
          <w:w w:val="95"/>
          <w:sz w:val="12"/>
        </w:rPr>
        <w:t>sobre</w:t>
      </w:r>
      <w:r>
        <w:rPr>
          <w:rFonts w:ascii="Arial" w:hAnsi="Arial"/>
          <w:color w:val="231F20"/>
          <w:sz w:val="12"/>
        </w:rPr>
        <w:t> </w:t>
      </w:r>
      <w:r>
        <w:rPr>
          <w:rFonts w:ascii="Arial" w:hAnsi="Arial"/>
          <w:color w:val="231F20"/>
          <w:w w:val="95"/>
          <w:sz w:val="12"/>
        </w:rPr>
        <w:t>el</w:t>
      </w:r>
      <w:r>
        <w:rPr>
          <w:rFonts w:ascii="Arial" w:hAnsi="Arial"/>
          <w:color w:val="231F20"/>
          <w:spacing w:val="1"/>
          <w:sz w:val="12"/>
        </w:rPr>
        <w:t> </w:t>
      </w:r>
      <w:r>
        <w:rPr>
          <w:rFonts w:ascii="Arial" w:hAnsi="Arial"/>
          <w:color w:val="231F20"/>
          <w:w w:val="95"/>
          <w:sz w:val="12"/>
        </w:rPr>
        <w:t>trabajo</w:t>
      </w:r>
      <w:r>
        <w:rPr>
          <w:rFonts w:ascii="Arial" w:hAnsi="Arial"/>
          <w:color w:val="231F20"/>
          <w:sz w:val="12"/>
        </w:rPr>
        <w:t> </w:t>
      </w:r>
      <w:r>
        <w:rPr>
          <w:rFonts w:ascii="Arial" w:hAnsi="Arial"/>
          <w:color w:val="231F20"/>
          <w:w w:val="95"/>
          <w:sz w:val="12"/>
        </w:rPr>
        <w:t>y</w:t>
      </w:r>
      <w:r>
        <w:rPr>
          <w:rFonts w:ascii="Arial" w:hAnsi="Arial"/>
          <w:color w:val="231F20"/>
          <w:spacing w:val="1"/>
          <w:sz w:val="12"/>
        </w:rPr>
        <w:t> </w:t>
      </w:r>
      <w:r>
        <w:rPr>
          <w:rFonts w:ascii="Arial" w:hAnsi="Arial"/>
          <w:color w:val="231F20"/>
          <w:w w:val="95"/>
          <w:sz w:val="12"/>
        </w:rPr>
        <w:t>número</w:t>
      </w:r>
      <w:r>
        <w:rPr>
          <w:rFonts w:ascii="Arial" w:hAnsi="Arial"/>
          <w:color w:val="231F20"/>
          <w:sz w:val="12"/>
        </w:rPr>
        <w:t> </w:t>
      </w:r>
      <w:r>
        <w:rPr>
          <w:rFonts w:ascii="Arial" w:hAnsi="Arial"/>
          <w:color w:val="231F20"/>
          <w:w w:val="95"/>
          <w:sz w:val="12"/>
        </w:rPr>
        <w:t>de</w:t>
      </w:r>
      <w:r>
        <w:rPr>
          <w:rFonts w:ascii="Arial" w:hAnsi="Arial"/>
          <w:color w:val="231F20"/>
          <w:sz w:val="12"/>
        </w:rPr>
        <w:t> </w:t>
      </w:r>
      <w:r>
        <w:rPr>
          <w:rFonts w:ascii="Arial" w:hAnsi="Arial"/>
          <w:color w:val="231F20"/>
          <w:w w:val="95"/>
          <w:sz w:val="12"/>
        </w:rPr>
        <w:t>visitas</w:t>
      </w:r>
      <w:r>
        <w:rPr>
          <w:rFonts w:ascii="Arial" w:hAnsi="Arial"/>
          <w:color w:val="231F20"/>
          <w:spacing w:val="1"/>
          <w:sz w:val="12"/>
        </w:rPr>
        <w:t> </w:t>
      </w:r>
      <w:r>
        <w:rPr>
          <w:rFonts w:ascii="Arial" w:hAnsi="Arial"/>
          <w:color w:val="231F20"/>
          <w:w w:val="95"/>
          <w:sz w:val="12"/>
        </w:rPr>
        <w:t>al</w:t>
      </w:r>
      <w:r>
        <w:rPr>
          <w:rFonts w:ascii="Arial" w:hAnsi="Arial"/>
          <w:color w:val="231F20"/>
          <w:sz w:val="12"/>
        </w:rPr>
        <w:t> </w:t>
      </w:r>
      <w:r>
        <w:rPr>
          <w:rFonts w:ascii="Arial" w:hAnsi="Arial"/>
          <w:color w:val="231F20"/>
          <w:spacing w:val="-2"/>
          <w:w w:val="95"/>
          <w:sz w:val="12"/>
        </w:rPr>
        <w:t>médico,</w:t>
      </w:r>
    </w:p>
    <w:p>
      <w:pPr>
        <w:spacing w:before="32"/>
        <w:ind w:left="829" w:right="0" w:firstLine="0"/>
        <w:jc w:val="left"/>
        <w:rPr>
          <w:rFonts w:ascii="Arial"/>
          <w:sz w:val="12"/>
        </w:rPr>
      </w:pPr>
      <w:r>
        <w:rPr>
          <w:rFonts w:ascii="Arial"/>
          <w:i/>
          <w:color w:val="231F20"/>
          <w:w w:val="95"/>
          <w:sz w:val="12"/>
        </w:rPr>
        <w:t>Medicina</w:t>
      </w:r>
      <w:r>
        <w:rPr>
          <w:rFonts w:ascii="Arial"/>
          <w:i/>
          <w:color w:val="231F20"/>
          <w:spacing w:val="2"/>
          <w:sz w:val="12"/>
        </w:rPr>
        <w:t> </w:t>
      </w:r>
      <w:r>
        <w:rPr>
          <w:rFonts w:ascii="Arial"/>
          <w:i/>
          <w:color w:val="231F20"/>
          <w:w w:val="95"/>
          <w:sz w:val="12"/>
        </w:rPr>
        <w:t>de</w:t>
      </w:r>
      <w:r>
        <w:rPr>
          <w:rFonts w:ascii="Arial"/>
          <w:i/>
          <w:color w:val="231F20"/>
          <w:spacing w:val="2"/>
          <w:sz w:val="12"/>
        </w:rPr>
        <w:t> </w:t>
      </w:r>
      <w:r>
        <w:rPr>
          <w:rFonts w:ascii="Arial"/>
          <w:i/>
          <w:color w:val="231F20"/>
          <w:w w:val="95"/>
          <w:sz w:val="12"/>
        </w:rPr>
        <w:t>empresa</w:t>
      </w:r>
      <w:r>
        <w:rPr>
          <w:rFonts w:ascii="Arial"/>
          <w:color w:val="231F20"/>
          <w:w w:val="95"/>
          <w:sz w:val="12"/>
        </w:rPr>
        <w:t>,</w:t>
      </w:r>
      <w:r>
        <w:rPr>
          <w:rFonts w:ascii="Arial"/>
          <w:color w:val="231F20"/>
          <w:spacing w:val="3"/>
          <w:sz w:val="12"/>
        </w:rPr>
        <w:t> </w:t>
      </w:r>
      <w:r>
        <w:rPr>
          <w:rFonts w:ascii="Arial"/>
          <w:i/>
          <w:color w:val="231F20"/>
          <w:w w:val="95"/>
          <w:sz w:val="12"/>
        </w:rPr>
        <w:t>23</w:t>
      </w:r>
      <w:r>
        <w:rPr>
          <w:rFonts w:ascii="Arial"/>
          <w:color w:val="231F20"/>
          <w:w w:val="95"/>
          <w:sz w:val="12"/>
        </w:rPr>
        <w:t>,</w:t>
      </w:r>
      <w:r>
        <w:rPr>
          <w:rFonts w:ascii="Arial"/>
          <w:color w:val="231F20"/>
          <w:spacing w:val="2"/>
          <w:sz w:val="12"/>
        </w:rPr>
        <w:t> </w:t>
      </w:r>
      <w:r>
        <w:rPr>
          <w:rFonts w:ascii="Arial"/>
          <w:color w:val="231F20"/>
          <w:w w:val="95"/>
          <w:sz w:val="12"/>
        </w:rPr>
        <w:t>5-</w:t>
      </w:r>
      <w:r>
        <w:rPr>
          <w:rFonts w:ascii="Arial"/>
          <w:color w:val="231F20"/>
          <w:spacing w:val="-5"/>
          <w:w w:val="95"/>
          <w:sz w:val="12"/>
        </w:rPr>
        <w:t>14.</w:t>
      </w:r>
    </w:p>
    <w:p>
      <w:pPr>
        <w:pStyle w:val="ListParagraph"/>
        <w:numPr>
          <w:ilvl w:val="0"/>
          <w:numId w:val="65"/>
        </w:numPr>
        <w:tabs>
          <w:tab w:pos="829" w:val="left" w:leader="none"/>
          <w:tab w:pos="830" w:val="left" w:leader="none"/>
        </w:tabs>
        <w:spacing w:line="240" w:lineRule="auto" w:before="32" w:after="0"/>
        <w:ind w:left="829" w:right="0" w:hanging="406"/>
        <w:jc w:val="left"/>
        <w:rPr>
          <w:rFonts w:ascii="Arial" w:hAnsi="Arial"/>
          <w:sz w:val="12"/>
        </w:rPr>
      </w:pPr>
      <w:r>
        <w:rPr>
          <w:rFonts w:ascii="Arial" w:hAnsi="Arial"/>
          <w:color w:val="231F20"/>
          <w:sz w:val="12"/>
        </w:rPr>
        <w:t>Dolan,</w:t>
      </w:r>
      <w:r>
        <w:rPr>
          <w:rFonts w:ascii="Arial" w:hAnsi="Arial"/>
          <w:color w:val="231F20"/>
          <w:spacing w:val="-5"/>
          <w:sz w:val="12"/>
        </w:rPr>
        <w:t> </w:t>
      </w:r>
      <w:r>
        <w:rPr>
          <w:rFonts w:ascii="Arial" w:hAnsi="Arial"/>
          <w:color w:val="231F20"/>
          <w:sz w:val="12"/>
        </w:rPr>
        <w:t>S.</w:t>
      </w:r>
      <w:r>
        <w:rPr>
          <w:rFonts w:ascii="Arial" w:hAnsi="Arial"/>
          <w:color w:val="231F20"/>
          <w:spacing w:val="-4"/>
          <w:sz w:val="12"/>
        </w:rPr>
        <w:t> </w:t>
      </w:r>
      <w:r>
        <w:rPr>
          <w:rFonts w:ascii="Arial" w:hAnsi="Arial"/>
          <w:color w:val="231F20"/>
          <w:sz w:val="12"/>
        </w:rPr>
        <w:t>L.,</w:t>
      </w:r>
      <w:r>
        <w:rPr>
          <w:rFonts w:ascii="Arial" w:hAnsi="Arial"/>
          <w:color w:val="231F20"/>
          <w:spacing w:val="-5"/>
          <w:sz w:val="12"/>
        </w:rPr>
        <w:t> </w:t>
      </w:r>
      <w:r>
        <w:rPr>
          <w:rFonts w:ascii="Arial" w:hAnsi="Arial"/>
          <w:color w:val="231F20"/>
          <w:sz w:val="12"/>
        </w:rPr>
        <w:t>García,</w:t>
      </w:r>
      <w:r>
        <w:rPr>
          <w:rFonts w:ascii="Arial" w:hAnsi="Arial"/>
          <w:color w:val="231F20"/>
          <w:spacing w:val="-4"/>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et</w:t>
      </w:r>
      <w:r>
        <w:rPr>
          <w:rFonts w:ascii="Arial" w:hAnsi="Arial"/>
          <w:color w:val="231F20"/>
          <w:spacing w:val="-4"/>
          <w:sz w:val="12"/>
        </w:rPr>
        <w:t> </w:t>
      </w:r>
      <w:r>
        <w:rPr>
          <w:rFonts w:ascii="Arial" w:hAnsi="Arial"/>
          <w:color w:val="231F20"/>
          <w:sz w:val="12"/>
        </w:rPr>
        <w:t>Díez-Piñol,</w:t>
      </w:r>
      <w:r>
        <w:rPr>
          <w:rFonts w:ascii="Arial" w:hAnsi="Arial"/>
          <w:color w:val="231F20"/>
          <w:spacing w:val="-4"/>
          <w:sz w:val="12"/>
        </w:rPr>
        <w:t> </w:t>
      </w:r>
      <w:r>
        <w:rPr>
          <w:rFonts w:ascii="Arial" w:hAnsi="Arial"/>
          <w:color w:val="231F20"/>
          <w:sz w:val="12"/>
        </w:rPr>
        <w:t>M.</w:t>
      </w:r>
      <w:r>
        <w:rPr>
          <w:rFonts w:ascii="Arial" w:hAnsi="Arial"/>
          <w:color w:val="231F20"/>
          <w:spacing w:val="-5"/>
          <w:sz w:val="12"/>
        </w:rPr>
        <w:t> </w:t>
      </w:r>
      <w:r>
        <w:rPr>
          <w:rFonts w:ascii="Arial" w:hAnsi="Arial"/>
          <w:color w:val="231F20"/>
          <w:sz w:val="12"/>
        </w:rPr>
        <w:t>(2005).</w:t>
      </w:r>
      <w:r>
        <w:rPr>
          <w:rFonts w:ascii="Arial" w:hAnsi="Arial"/>
          <w:color w:val="231F20"/>
          <w:spacing w:val="-4"/>
          <w:sz w:val="12"/>
        </w:rPr>
        <w:t> </w:t>
      </w:r>
      <w:r>
        <w:rPr>
          <w:rFonts w:ascii="Arial" w:hAnsi="Arial"/>
          <w:i/>
          <w:color w:val="231F20"/>
          <w:sz w:val="12"/>
        </w:rPr>
        <w:t>Autoestima,</w:t>
      </w:r>
      <w:r>
        <w:rPr>
          <w:rFonts w:ascii="Arial" w:hAnsi="Arial"/>
          <w:i/>
          <w:color w:val="231F20"/>
          <w:spacing w:val="-5"/>
          <w:sz w:val="12"/>
        </w:rPr>
        <w:t> </w:t>
      </w:r>
      <w:r>
        <w:rPr>
          <w:rFonts w:ascii="Arial" w:hAnsi="Arial"/>
          <w:i/>
          <w:color w:val="231F20"/>
          <w:sz w:val="12"/>
        </w:rPr>
        <w:t>estrés</w:t>
      </w:r>
      <w:r>
        <w:rPr>
          <w:rFonts w:ascii="Arial" w:hAnsi="Arial"/>
          <w:i/>
          <w:color w:val="231F20"/>
          <w:spacing w:val="-4"/>
          <w:sz w:val="12"/>
        </w:rPr>
        <w:t> </w:t>
      </w:r>
      <w:r>
        <w:rPr>
          <w:rFonts w:ascii="Arial" w:hAnsi="Arial"/>
          <w:i/>
          <w:color w:val="231F20"/>
          <w:sz w:val="12"/>
        </w:rPr>
        <w:t>y</w:t>
      </w:r>
      <w:r>
        <w:rPr>
          <w:rFonts w:ascii="Arial" w:hAnsi="Arial"/>
          <w:i/>
          <w:color w:val="231F20"/>
          <w:spacing w:val="-5"/>
          <w:sz w:val="12"/>
        </w:rPr>
        <w:t> </w:t>
      </w:r>
      <w:r>
        <w:rPr>
          <w:rFonts w:ascii="Arial" w:hAnsi="Arial"/>
          <w:i/>
          <w:color w:val="231F20"/>
          <w:sz w:val="12"/>
        </w:rPr>
        <w:t>trabajo</w:t>
      </w:r>
      <w:r>
        <w:rPr>
          <w:rFonts w:ascii="Arial" w:hAnsi="Arial"/>
          <w:color w:val="231F20"/>
          <w:sz w:val="12"/>
        </w:rPr>
        <w:t>,</w:t>
      </w:r>
      <w:r>
        <w:rPr>
          <w:rFonts w:ascii="Arial" w:hAnsi="Arial"/>
          <w:color w:val="231F20"/>
          <w:spacing w:val="-4"/>
          <w:sz w:val="12"/>
        </w:rPr>
        <w:t> </w:t>
      </w:r>
      <w:r>
        <w:rPr>
          <w:rFonts w:ascii="Arial" w:hAnsi="Arial"/>
          <w:color w:val="231F20"/>
          <w:sz w:val="12"/>
        </w:rPr>
        <w:t>Madrid,</w:t>
      </w:r>
      <w:r>
        <w:rPr>
          <w:rFonts w:ascii="Arial" w:hAnsi="Arial"/>
          <w:color w:val="231F20"/>
          <w:spacing w:val="-4"/>
          <w:sz w:val="12"/>
        </w:rPr>
        <w:t> </w:t>
      </w:r>
      <w:r>
        <w:rPr>
          <w:rFonts w:ascii="Arial" w:hAnsi="Arial"/>
          <w:color w:val="231F20"/>
          <w:sz w:val="12"/>
        </w:rPr>
        <w:t>McGraw-Hill,</w:t>
      </w:r>
      <w:r>
        <w:rPr>
          <w:rFonts w:ascii="Arial" w:hAnsi="Arial"/>
          <w:color w:val="231F20"/>
          <w:spacing w:val="-5"/>
          <w:sz w:val="12"/>
        </w:rPr>
        <w:t> </w:t>
      </w:r>
      <w:r>
        <w:rPr>
          <w:rFonts w:ascii="Arial" w:hAnsi="Arial"/>
          <w:color w:val="231F20"/>
          <w:sz w:val="12"/>
        </w:rPr>
        <w:t>p.</w:t>
      </w:r>
      <w:r>
        <w:rPr>
          <w:rFonts w:ascii="Arial" w:hAnsi="Arial"/>
          <w:color w:val="231F20"/>
          <w:spacing w:val="-4"/>
          <w:sz w:val="12"/>
        </w:rPr>
        <w:t> </w:t>
      </w:r>
      <w:r>
        <w:rPr>
          <w:rFonts w:ascii="Arial" w:hAnsi="Arial"/>
          <w:color w:val="231F20"/>
          <w:spacing w:val="-5"/>
          <w:sz w:val="12"/>
        </w:rPr>
        <w:t>75.</w:t>
      </w:r>
    </w:p>
    <w:p>
      <w:pPr>
        <w:spacing w:after="0" w:line="240" w:lineRule="auto"/>
        <w:jc w:val="left"/>
        <w:rPr>
          <w:rFonts w:ascii="Arial" w:hAnsi="Arial"/>
          <w:sz w:val="12"/>
        </w:rPr>
        <w:sectPr>
          <w:footerReference w:type="default" r:id="rId252"/>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ListParagraph"/>
        <w:numPr>
          <w:ilvl w:val="1"/>
          <w:numId w:val="65"/>
        </w:numPr>
        <w:tabs>
          <w:tab w:pos="1731" w:val="left" w:leader="none"/>
        </w:tabs>
        <w:spacing w:line="307" w:lineRule="auto" w:before="139" w:after="0"/>
        <w:ind w:left="1730" w:right="524" w:hanging="251"/>
        <w:jc w:val="left"/>
        <w:rPr>
          <w:rFonts w:ascii="Arial" w:hAnsi="Arial"/>
          <w:sz w:val="17"/>
        </w:rPr>
      </w:pPr>
      <w:r>
        <w:rPr>
          <w:rFonts w:ascii="Arial" w:hAnsi="Arial"/>
          <w:color w:val="231F20"/>
          <w:sz w:val="17"/>
        </w:rPr>
        <w:t>Vous</w:t>
      </w:r>
      <w:r>
        <w:rPr>
          <w:rFonts w:ascii="Arial" w:hAnsi="Arial"/>
          <w:color w:val="231F20"/>
          <w:spacing w:val="-1"/>
          <w:sz w:val="17"/>
        </w:rPr>
        <w:t> </w:t>
      </w:r>
      <w:r>
        <w:rPr>
          <w:rFonts w:ascii="Arial" w:hAnsi="Arial"/>
          <w:color w:val="231F20"/>
          <w:sz w:val="17"/>
        </w:rPr>
        <w:t>vous</w:t>
      </w:r>
      <w:r>
        <w:rPr>
          <w:rFonts w:ascii="Arial" w:hAnsi="Arial"/>
          <w:color w:val="231F20"/>
          <w:spacing w:val="-1"/>
          <w:sz w:val="17"/>
        </w:rPr>
        <w:t> </w:t>
      </w:r>
      <w:r>
        <w:rPr>
          <w:rFonts w:ascii="Arial" w:hAnsi="Arial"/>
          <w:color w:val="231F20"/>
          <w:sz w:val="17"/>
        </w:rPr>
        <w:t>observez</w:t>
      </w:r>
      <w:r>
        <w:rPr>
          <w:rFonts w:ascii="Arial" w:hAnsi="Arial"/>
          <w:color w:val="231F20"/>
          <w:spacing w:val="-1"/>
          <w:sz w:val="17"/>
        </w:rPr>
        <w:t> </w:t>
      </w:r>
      <w:r>
        <w:rPr>
          <w:rFonts w:ascii="Arial" w:hAnsi="Arial"/>
          <w:color w:val="231F20"/>
          <w:sz w:val="17"/>
        </w:rPr>
        <w:t>trop</w:t>
      </w:r>
      <w:r>
        <w:rPr>
          <w:rFonts w:ascii="Arial" w:hAnsi="Arial"/>
          <w:color w:val="231F20"/>
          <w:spacing w:val="-1"/>
          <w:sz w:val="17"/>
        </w:rPr>
        <w:t> </w:t>
      </w:r>
      <w:r>
        <w:rPr>
          <w:rFonts w:ascii="Arial" w:hAnsi="Arial"/>
          <w:color w:val="231F20"/>
          <w:sz w:val="17"/>
        </w:rPr>
        <w:t>souvent</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travers</w:t>
      </w:r>
      <w:r>
        <w:rPr>
          <w:rFonts w:ascii="Arial" w:hAnsi="Arial"/>
          <w:color w:val="231F20"/>
          <w:spacing w:val="-1"/>
          <w:sz w:val="17"/>
        </w:rPr>
        <w:t> </w:t>
      </w:r>
      <w:r>
        <w:rPr>
          <w:rFonts w:ascii="Arial" w:hAnsi="Arial"/>
          <w:color w:val="231F20"/>
          <w:sz w:val="17"/>
        </w:rPr>
        <w:t>un</w:t>
      </w:r>
      <w:r>
        <w:rPr>
          <w:rFonts w:ascii="Arial" w:hAnsi="Arial"/>
          <w:color w:val="231F20"/>
          <w:spacing w:val="-1"/>
          <w:sz w:val="17"/>
        </w:rPr>
        <w:t> </w:t>
      </w:r>
      <w:r>
        <w:rPr>
          <w:rFonts w:ascii="Arial" w:hAnsi="Arial"/>
          <w:color w:val="231F20"/>
          <w:sz w:val="17"/>
        </w:rPr>
        <w:t>miroir</w:t>
      </w:r>
      <w:r>
        <w:rPr>
          <w:rFonts w:ascii="Arial" w:hAnsi="Arial"/>
          <w:color w:val="231F20"/>
          <w:spacing w:val="-1"/>
          <w:sz w:val="17"/>
        </w:rPr>
        <w:t> </w:t>
      </w:r>
      <w:r>
        <w:rPr>
          <w:rFonts w:ascii="Arial" w:hAnsi="Arial"/>
          <w:color w:val="231F20"/>
          <w:sz w:val="17"/>
        </w:rPr>
        <w:t>déformant. </w:t>
      </w:r>
      <w:r>
        <w:rPr>
          <w:rFonts w:ascii="Arial" w:hAnsi="Arial"/>
          <w:color w:val="231F20"/>
          <w:w w:val="105"/>
          <w:sz w:val="17"/>
        </w:rPr>
        <w:t>Alors,</w:t>
      </w:r>
      <w:r>
        <w:rPr>
          <w:rFonts w:ascii="Arial" w:hAnsi="Arial"/>
          <w:color w:val="231F20"/>
          <w:spacing w:val="-11"/>
          <w:w w:val="105"/>
          <w:sz w:val="17"/>
        </w:rPr>
        <w:t> </w:t>
      </w:r>
      <w:r>
        <w:rPr>
          <w:rFonts w:ascii="Arial" w:hAnsi="Arial"/>
          <w:color w:val="231F20"/>
          <w:w w:val="105"/>
          <w:sz w:val="17"/>
        </w:rPr>
        <w:t>vous</w:t>
      </w:r>
      <w:r>
        <w:rPr>
          <w:rFonts w:ascii="Arial" w:hAnsi="Arial"/>
          <w:color w:val="231F20"/>
          <w:spacing w:val="-11"/>
          <w:w w:val="105"/>
          <w:sz w:val="17"/>
        </w:rPr>
        <w:t> </w:t>
      </w:r>
      <w:r>
        <w:rPr>
          <w:rFonts w:ascii="Arial" w:hAnsi="Arial"/>
          <w:color w:val="231F20"/>
          <w:w w:val="105"/>
          <w:sz w:val="17"/>
        </w:rPr>
        <w:t>vous</w:t>
      </w:r>
      <w:r>
        <w:rPr>
          <w:rFonts w:ascii="Arial" w:hAnsi="Arial"/>
          <w:color w:val="231F20"/>
          <w:spacing w:val="-11"/>
          <w:w w:val="105"/>
          <w:sz w:val="17"/>
        </w:rPr>
        <w:t> </w:t>
      </w:r>
      <w:r>
        <w:rPr>
          <w:rFonts w:ascii="Arial" w:hAnsi="Arial"/>
          <w:color w:val="231F20"/>
          <w:w w:val="105"/>
          <w:sz w:val="17"/>
        </w:rPr>
        <w:t>trouvez</w:t>
      </w:r>
      <w:r>
        <w:rPr>
          <w:rFonts w:ascii="Arial" w:hAnsi="Arial"/>
          <w:color w:val="231F20"/>
          <w:spacing w:val="-11"/>
          <w:w w:val="105"/>
          <w:sz w:val="17"/>
        </w:rPr>
        <w:t> </w:t>
      </w:r>
      <w:r>
        <w:rPr>
          <w:rFonts w:ascii="Arial" w:hAnsi="Arial"/>
          <w:color w:val="231F20"/>
          <w:w w:val="105"/>
          <w:sz w:val="17"/>
        </w:rPr>
        <w:t>laid,</w:t>
      </w:r>
      <w:r>
        <w:rPr>
          <w:rFonts w:ascii="Arial" w:hAnsi="Arial"/>
          <w:color w:val="231F20"/>
          <w:spacing w:val="-11"/>
          <w:w w:val="105"/>
          <w:sz w:val="17"/>
        </w:rPr>
        <w:t> </w:t>
      </w:r>
      <w:r>
        <w:rPr>
          <w:rFonts w:ascii="Arial" w:hAnsi="Arial"/>
          <w:color w:val="231F20"/>
          <w:w w:val="105"/>
          <w:sz w:val="17"/>
        </w:rPr>
        <w:t>stupide,</w:t>
      </w:r>
      <w:r>
        <w:rPr>
          <w:rFonts w:ascii="Arial" w:hAnsi="Arial"/>
          <w:color w:val="231F20"/>
          <w:spacing w:val="-11"/>
          <w:w w:val="105"/>
          <w:sz w:val="17"/>
        </w:rPr>
        <w:t> </w:t>
      </w:r>
      <w:r>
        <w:rPr>
          <w:rFonts w:ascii="Arial" w:hAnsi="Arial"/>
          <w:color w:val="231F20"/>
          <w:w w:val="105"/>
          <w:sz w:val="17"/>
        </w:rPr>
        <w:t>incapable</w:t>
      </w:r>
      <w:r>
        <w:rPr>
          <w:rFonts w:ascii="Arial" w:hAnsi="Arial"/>
          <w:color w:val="231F20"/>
          <w:spacing w:val="-11"/>
          <w:w w:val="105"/>
          <w:sz w:val="17"/>
        </w:rPr>
        <w:t> </w:t>
      </w:r>
      <w:r>
        <w:rPr>
          <w:rFonts w:ascii="Arial" w:hAnsi="Arial"/>
          <w:color w:val="231F20"/>
          <w:w w:val="105"/>
          <w:sz w:val="17"/>
        </w:rPr>
        <w:t>de</w:t>
      </w:r>
      <w:r>
        <w:rPr>
          <w:rFonts w:ascii="Arial" w:hAnsi="Arial"/>
          <w:color w:val="231F20"/>
          <w:spacing w:val="-11"/>
          <w:w w:val="105"/>
          <w:sz w:val="17"/>
        </w:rPr>
        <w:t> </w:t>
      </w:r>
      <w:r>
        <w:rPr>
          <w:rFonts w:ascii="Arial" w:hAnsi="Arial"/>
          <w:color w:val="231F20"/>
          <w:w w:val="105"/>
          <w:sz w:val="17"/>
        </w:rPr>
        <w:t>réussir, incompétent, inutile et même indigne d’être aimé.</w:t>
      </w:r>
    </w:p>
    <w:p>
      <w:pPr>
        <w:pStyle w:val="ListParagraph"/>
        <w:numPr>
          <w:ilvl w:val="1"/>
          <w:numId w:val="65"/>
        </w:numPr>
        <w:tabs>
          <w:tab w:pos="1731" w:val="left" w:leader="none"/>
        </w:tabs>
        <w:spacing w:line="307" w:lineRule="auto" w:before="0" w:after="0"/>
        <w:ind w:left="1730" w:right="548" w:hanging="251"/>
        <w:jc w:val="left"/>
        <w:rPr>
          <w:rFonts w:ascii="Arial" w:hAnsi="Arial"/>
          <w:sz w:val="17"/>
        </w:rPr>
      </w:pPr>
      <w:r>
        <w:rPr>
          <w:rFonts w:ascii="Arial" w:hAnsi="Arial"/>
          <w:color w:val="231F20"/>
          <w:sz w:val="17"/>
        </w:rPr>
        <w:t>Vous</w:t>
      </w:r>
      <w:r>
        <w:rPr>
          <w:rFonts w:ascii="Arial" w:hAnsi="Arial"/>
          <w:color w:val="231F20"/>
          <w:spacing w:val="-7"/>
          <w:sz w:val="17"/>
        </w:rPr>
        <w:t> </w:t>
      </w:r>
      <w:r>
        <w:rPr>
          <w:rFonts w:ascii="Arial" w:hAnsi="Arial"/>
          <w:color w:val="231F20"/>
          <w:sz w:val="17"/>
        </w:rPr>
        <w:t>avez</w:t>
      </w:r>
      <w:r>
        <w:rPr>
          <w:rFonts w:ascii="Arial" w:hAnsi="Arial"/>
          <w:color w:val="231F20"/>
          <w:spacing w:val="-7"/>
          <w:sz w:val="17"/>
        </w:rPr>
        <w:t> </w:t>
      </w:r>
      <w:r>
        <w:rPr>
          <w:rFonts w:ascii="Arial" w:hAnsi="Arial"/>
          <w:color w:val="231F20"/>
          <w:sz w:val="17"/>
        </w:rPr>
        <w:t>cette</w:t>
      </w:r>
      <w:r>
        <w:rPr>
          <w:rFonts w:ascii="Arial" w:hAnsi="Arial"/>
          <w:color w:val="231F20"/>
          <w:spacing w:val="-7"/>
          <w:sz w:val="17"/>
        </w:rPr>
        <w:t> </w:t>
      </w:r>
      <w:r>
        <w:rPr>
          <w:rFonts w:ascii="Arial" w:hAnsi="Arial"/>
          <w:color w:val="231F20"/>
          <w:sz w:val="17"/>
        </w:rPr>
        <w:t>impression</w:t>
      </w:r>
      <w:r>
        <w:rPr>
          <w:rFonts w:ascii="Arial" w:hAnsi="Arial"/>
          <w:color w:val="231F20"/>
          <w:spacing w:val="-7"/>
          <w:sz w:val="17"/>
        </w:rPr>
        <w:t> </w:t>
      </w:r>
      <w:r>
        <w:rPr>
          <w:rFonts w:ascii="Arial" w:hAnsi="Arial"/>
          <w:color w:val="231F20"/>
          <w:sz w:val="17"/>
        </w:rPr>
        <w:t>que</w:t>
      </w:r>
      <w:r>
        <w:rPr>
          <w:rFonts w:ascii="Arial" w:hAnsi="Arial"/>
          <w:color w:val="231F20"/>
          <w:spacing w:val="-7"/>
          <w:sz w:val="17"/>
        </w:rPr>
        <w:t> </w:t>
      </w:r>
      <w:r>
        <w:rPr>
          <w:rFonts w:ascii="Arial" w:hAnsi="Arial"/>
          <w:color w:val="231F20"/>
          <w:sz w:val="17"/>
        </w:rPr>
        <w:t>vous</w:t>
      </w:r>
      <w:r>
        <w:rPr>
          <w:rFonts w:ascii="Arial" w:hAnsi="Arial"/>
          <w:color w:val="231F20"/>
          <w:spacing w:val="-7"/>
          <w:sz w:val="17"/>
        </w:rPr>
        <w:t> </w:t>
      </w:r>
      <w:r>
        <w:rPr>
          <w:rFonts w:ascii="Arial" w:hAnsi="Arial"/>
          <w:color w:val="231F20"/>
          <w:sz w:val="17"/>
        </w:rPr>
        <w:t>êtes</w:t>
      </w:r>
      <w:r>
        <w:rPr>
          <w:rFonts w:ascii="Arial" w:hAnsi="Arial"/>
          <w:color w:val="231F20"/>
          <w:spacing w:val="-7"/>
          <w:sz w:val="17"/>
        </w:rPr>
        <w:t> </w:t>
      </w:r>
      <w:r>
        <w:rPr>
          <w:rFonts w:ascii="Arial" w:hAnsi="Arial"/>
          <w:color w:val="231F20"/>
          <w:sz w:val="17"/>
        </w:rPr>
        <w:t>dans</w:t>
      </w:r>
      <w:r>
        <w:rPr>
          <w:rFonts w:ascii="Arial" w:hAnsi="Arial"/>
          <w:color w:val="231F20"/>
          <w:spacing w:val="-7"/>
          <w:sz w:val="17"/>
        </w:rPr>
        <w:t> </w:t>
      </w:r>
      <w:r>
        <w:rPr>
          <w:rFonts w:ascii="Arial" w:hAnsi="Arial"/>
          <w:color w:val="231F20"/>
          <w:sz w:val="17"/>
        </w:rPr>
        <w:t>l’incapacité</w:t>
      </w:r>
      <w:r>
        <w:rPr>
          <w:rFonts w:ascii="Arial" w:hAnsi="Arial"/>
          <w:color w:val="231F20"/>
          <w:spacing w:val="-7"/>
          <w:sz w:val="17"/>
        </w:rPr>
        <w:t> </w:t>
      </w:r>
      <w:r>
        <w:rPr>
          <w:rFonts w:ascii="Arial" w:hAnsi="Arial"/>
          <w:color w:val="231F20"/>
          <w:sz w:val="17"/>
        </w:rPr>
        <w:t>[de] </w:t>
      </w:r>
      <w:r>
        <w:rPr>
          <w:rFonts w:ascii="Arial" w:hAnsi="Arial"/>
          <w:color w:val="231F20"/>
          <w:w w:val="105"/>
          <w:sz w:val="17"/>
        </w:rPr>
        <w:t>remplir</w:t>
      </w:r>
      <w:r>
        <w:rPr>
          <w:rFonts w:ascii="Arial" w:hAnsi="Arial"/>
          <w:color w:val="231F20"/>
          <w:spacing w:val="-6"/>
          <w:w w:val="105"/>
          <w:sz w:val="17"/>
        </w:rPr>
        <w:t> </w:t>
      </w:r>
      <w:r>
        <w:rPr>
          <w:rFonts w:ascii="Arial" w:hAnsi="Arial"/>
          <w:color w:val="231F20"/>
          <w:w w:val="105"/>
          <w:sz w:val="17"/>
        </w:rPr>
        <w:t>vos</w:t>
      </w:r>
      <w:r>
        <w:rPr>
          <w:rFonts w:ascii="Arial" w:hAnsi="Arial"/>
          <w:color w:val="231F20"/>
          <w:spacing w:val="-6"/>
          <w:w w:val="105"/>
          <w:sz w:val="17"/>
        </w:rPr>
        <w:t> </w:t>
      </w:r>
      <w:r>
        <w:rPr>
          <w:rFonts w:ascii="Arial" w:hAnsi="Arial"/>
          <w:color w:val="231F20"/>
          <w:w w:val="105"/>
          <w:sz w:val="17"/>
        </w:rPr>
        <w:t>tâches,</w:t>
      </w:r>
      <w:r>
        <w:rPr>
          <w:rFonts w:ascii="Arial" w:hAnsi="Arial"/>
          <w:color w:val="231F20"/>
          <w:spacing w:val="-6"/>
          <w:w w:val="105"/>
          <w:sz w:val="17"/>
        </w:rPr>
        <w:t> </w:t>
      </w:r>
      <w:r>
        <w:rPr>
          <w:rFonts w:ascii="Arial" w:hAnsi="Arial"/>
          <w:color w:val="231F20"/>
          <w:w w:val="105"/>
          <w:sz w:val="17"/>
        </w:rPr>
        <w:t>et</w:t>
      </w:r>
      <w:r>
        <w:rPr>
          <w:rFonts w:ascii="Arial" w:hAnsi="Arial"/>
          <w:color w:val="231F20"/>
          <w:spacing w:val="-6"/>
          <w:w w:val="105"/>
          <w:sz w:val="17"/>
        </w:rPr>
        <w:t> </w:t>
      </w:r>
      <w:r>
        <w:rPr>
          <w:rFonts w:ascii="Arial" w:hAnsi="Arial"/>
          <w:color w:val="231F20"/>
          <w:w w:val="105"/>
          <w:sz w:val="17"/>
        </w:rPr>
        <w:t>même</w:t>
      </w:r>
      <w:r>
        <w:rPr>
          <w:rFonts w:ascii="Arial" w:hAnsi="Arial"/>
          <w:color w:val="231F20"/>
          <w:spacing w:val="-6"/>
          <w:w w:val="105"/>
          <w:sz w:val="17"/>
        </w:rPr>
        <w:t> </w:t>
      </w:r>
      <w:r>
        <w:rPr>
          <w:rFonts w:ascii="Arial" w:hAnsi="Arial"/>
          <w:color w:val="231F20"/>
          <w:w w:val="105"/>
          <w:sz w:val="17"/>
        </w:rPr>
        <w:t>d’en</w:t>
      </w:r>
      <w:r>
        <w:rPr>
          <w:rFonts w:ascii="Arial" w:hAnsi="Arial"/>
          <w:color w:val="231F20"/>
          <w:spacing w:val="-6"/>
          <w:w w:val="105"/>
          <w:sz w:val="17"/>
        </w:rPr>
        <w:t> </w:t>
      </w:r>
      <w:r>
        <w:rPr>
          <w:rFonts w:ascii="Arial" w:hAnsi="Arial"/>
          <w:color w:val="231F20"/>
          <w:w w:val="105"/>
          <w:sz w:val="17"/>
        </w:rPr>
        <w:t>parler</w:t>
      </w:r>
      <w:r>
        <w:rPr>
          <w:rFonts w:ascii="Arial" w:hAnsi="Arial"/>
          <w:color w:val="231F20"/>
          <w:spacing w:val="-6"/>
          <w:w w:val="105"/>
          <w:sz w:val="17"/>
        </w:rPr>
        <w:t> </w:t>
      </w:r>
      <w:r>
        <w:rPr>
          <w:rFonts w:ascii="Arial" w:hAnsi="Arial"/>
          <w:color w:val="231F20"/>
          <w:w w:val="105"/>
          <w:sz w:val="17"/>
        </w:rPr>
        <w:t>aux</w:t>
      </w:r>
      <w:r>
        <w:rPr>
          <w:rFonts w:ascii="Arial" w:hAnsi="Arial"/>
          <w:color w:val="231F20"/>
          <w:spacing w:val="-6"/>
          <w:w w:val="105"/>
          <w:sz w:val="17"/>
        </w:rPr>
        <w:t> </w:t>
      </w:r>
      <w:r>
        <w:rPr>
          <w:rFonts w:ascii="Arial" w:hAnsi="Arial"/>
          <w:color w:val="231F20"/>
          <w:w w:val="105"/>
          <w:sz w:val="17"/>
        </w:rPr>
        <w:t>autres.</w:t>
      </w:r>
    </w:p>
    <w:p>
      <w:pPr>
        <w:pStyle w:val="ListParagraph"/>
        <w:numPr>
          <w:ilvl w:val="1"/>
          <w:numId w:val="65"/>
        </w:numPr>
        <w:tabs>
          <w:tab w:pos="1731" w:val="left" w:leader="none"/>
        </w:tabs>
        <w:spacing w:line="307" w:lineRule="auto" w:before="0" w:after="0"/>
        <w:ind w:left="1730" w:right="521" w:hanging="251"/>
        <w:jc w:val="left"/>
        <w:rPr>
          <w:rFonts w:ascii="Arial" w:hAnsi="Arial"/>
          <w:sz w:val="17"/>
        </w:rPr>
      </w:pPr>
      <w:r>
        <w:rPr>
          <w:rFonts w:ascii="Arial" w:hAnsi="Arial"/>
          <w:color w:val="231F20"/>
          <w:sz w:val="17"/>
        </w:rPr>
        <w:t>Vous avez un penchant à exprimer votre désarroi face à votre image corporelle et à votre allure. Cette perception négative </w:t>
      </w:r>
      <w:r>
        <w:rPr>
          <w:rFonts w:ascii="Arial" w:hAnsi="Arial"/>
          <w:color w:val="231F20"/>
          <w:sz w:val="17"/>
        </w:rPr>
        <w:t>de</w:t>
      </w:r>
      <w:r>
        <w:rPr>
          <w:rFonts w:ascii="Arial" w:hAnsi="Arial"/>
          <w:color w:val="231F20"/>
          <w:sz w:val="17"/>
        </w:rPr>
        <w:t> vous-même est l’un des signes les plus concrets d’une faible estime de soi. À la limite, vous pouvez sembler constamment paranoïaque et sensible à l’impression des autres face à</w:t>
      </w:r>
    </w:p>
    <w:p>
      <w:pPr>
        <w:pStyle w:val="BodyText"/>
        <w:spacing w:line="195" w:lineRule="exact"/>
        <w:ind w:left="1730"/>
        <w:rPr>
          <w:rFonts w:ascii="Arial"/>
        </w:rPr>
      </w:pPr>
      <w:r>
        <w:rPr>
          <w:rFonts w:ascii="Arial"/>
          <w:color w:val="231F20"/>
        </w:rPr>
        <w:t>votre</w:t>
      </w:r>
      <w:r>
        <w:rPr>
          <w:rFonts w:ascii="Arial"/>
          <w:color w:val="231F20"/>
          <w:spacing w:val="16"/>
        </w:rPr>
        <w:t> </w:t>
      </w:r>
      <w:r>
        <w:rPr>
          <w:rFonts w:ascii="Arial"/>
          <w:color w:val="231F20"/>
          <w:spacing w:val="-2"/>
        </w:rPr>
        <w:t>image.</w:t>
      </w:r>
    </w:p>
    <w:p>
      <w:pPr>
        <w:pStyle w:val="ListParagraph"/>
        <w:numPr>
          <w:ilvl w:val="1"/>
          <w:numId w:val="65"/>
        </w:numPr>
        <w:tabs>
          <w:tab w:pos="1731" w:val="left" w:leader="none"/>
        </w:tabs>
        <w:spacing w:line="307" w:lineRule="auto" w:before="54" w:after="0"/>
        <w:ind w:left="1730" w:right="457" w:hanging="251"/>
        <w:jc w:val="left"/>
        <w:rPr>
          <w:rFonts w:ascii="Arial" w:hAnsi="Arial"/>
          <w:sz w:val="17"/>
        </w:rPr>
      </w:pPr>
      <w:r>
        <w:rPr>
          <w:rFonts w:ascii="Arial" w:hAnsi="Arial"/>
          <w:color w:val="231F20"/>
          <w:sz w:val="17"/>
        </w:rPr>
        <w:t>Vous</w:t>
      </w:r>
      <w:r>
        <w:rPr>
          <w:rFonts w:ascii="Arial" w:hAnsi="Arial"/>
          <w:color w:val="231F20"/>
          <w:spacing w:val="-12"/>
          <w:sz w:val="17"/>
        </w:rPr>
        <w:t> </w:t>
      </w:r>
      <w:r>
        <w:rPr>
          <w:rFonts w:ascii="Arial" w:hAnsi="Arial"/>
          <w:color w:val="231F20"/>
          <w:sz w:val="17"/>
        </w:rPr>
        <w:t>pouvez</w:t>
      </w:r>
      <w:r>
        <w:rPr>
          <w:rFonts w:ascii="Arial" w:hAnsi="Arial"/>
          <w:color w:val="231F20"/>
          <w:spacing w:val="-12"/>
          <w:sz w:val="17"/>
        </w:rPr>
        <w:t> </w:t>
      </w:r>
      <w:r>
        <w:rPr>
          <w:rFonts w:ascii="Arial" w:hAnsi="Arial"/>
          <w:color w:val="231F20"/>
          <w:sz w:val="17"/>
        </w:rPr>
        <w:t>également</w:t>
      </w:r>
      <w:r>
        <w:rPr>
          <w:rFonts w:ascii="Arial" w:hAnsi="Arial"/>
          <w:color w:val="231F20"/>
          <w:spacing w:val="-12"/>
          <w:sz w:val="17"/>
        </w:rPr>
        <w:t> </w:t>
      </w:r>
      <w:r>
        <w:rPr>
          <w:rFonts w:ascii="Arial" w:hAnsi="Arial"/>
          <w:color w:val="231F20"/>
          <w:sz w:val="17"/>
        </w:rPr>
        <w:t>être</w:t>
      </w:r>
      <w:r>
        <w:rPr>
          <w:rFonts w:ascii="Arial" w:hAnsi="Arial"/>
          <w:color w:val="231F20"/>
          <w:spacing w:val="-12"/>
          <w:sz w:val="17"/>
        </w:rPr>
        <w:t> </w:t>
      </w:r>
      <w:r>
        <w:rPr>
          <w:rFonts w:ascii="Arial" w:hAnsi="Arial"/>
          <w:color w:val="231F20"/>
          <w:sz w:val="17"/>
        </w:rPr>
        <w:t>obsédé</w:t>
      </w:r>
      <w:r>
        <w:rPr>
          <w:rFonts w:ascii="Arial" w:hAnsi="Arial"/>
          <w:color w:val="231F20"/>
          <w:spacing w:val="-12"/>
          <w:sz w:val="17"/>
        </w:rPr>
        <w:t> </w:t>
      </w:r>
      <w:r>
        <w:rPr>
          <w:rFonts w:ascii="Arial" w:hAnsi="Arial"/>
          <w:color w:val="231F20"/>
          <w:sz w:val="17"/>
        </w:rPr>
        <w:t>par</w:t>
      </w:r>
      <w:r>
        <w:rPr>
          <w:rFonts w:ascii="Arial" w:hAnsi="Arial"/>
          <w:color w:val="231F20"/>
          <w:spacing w:val="-11"/>
          <w:sz w:val="17"/>
        </w:rPr>
        <w:t> </w:t>
      </w:r>
      <w:r>
        <w:rPr>
          <w:rFonts w:ascii="Arial" w:hAnsi="Arial"/>
          <w:color w:val="231F20"/>
          <w:sz w:val="17"/>
        </w:rPr>
        <w:t>l’ordre.</w:t>
      </w:r>
      <w:r>
        <w:rPr>
          <w:rFonts w:ascii="Arial" w:hAnsi="Arial"/>
          <w:color w:val="231F20"/>
          <w:spacing w:val="-12"/>
          <w:sz w:val="17"/>
        </w:rPr>
        <w:t> </w:t>
      </w:r>
      <w:r>
        <w:rPr>
          <w:rFonts w:ascii="Arial" w:hAnsi="Arial"/>
          <w:color w:val="231F20"/>
          <w:sz w:val="17"/>
        </w:rPr>
        <w:t>Vous</w:t>
      </w:r>
      <w:r>
        <w:rPr>
          <w:rFonts w:ascii="Arial" w:hAnsi="Arial"/>
          <w:color w:val="231F20"/>
          <w:spacing w:val="-12"/>
          <w:sz w:val="17"/>
        </w:rPr>
        <w:t> </w:t>
      </w:r>
      <w:r>
        <w:rPr>
          <w:rFonts w:ascii="Arial" w:hAnsi="Arial"/>
          <w:color w:val="231F20"/>
          <w:sz w:val="17"/>
        </w:rPr>
        <w:t>essayez</w:t>
      </w:r>
      <w:r>
        <w:rPr>
          <w:rFonts w:ascii="Arial" w:hAnsi="Arial"/>
          <w:color w:val="231F20"/>
          <w:spacing w:val="-12"/>
          <w:sz w:val="17"/>
        </w:rPr>
        <w:t> </w:t>
      </w:r>
      <w:r>
        <w:rPr>
          <w:rFonts w:ascii="Arial" w:hAnsi="Arial"/>
          <w:color w:val="231F20"/>
          <w:sz w:val="17"/>
        </w:rPr>
        <w:t>de répondre à un standard impossible de perfection en effectuant n’importe laquelle des tâches qui vous incombent. Cela vous mène à travailler plus lentement que les autres, et peut vous rendre plus vulnérable aux impressions de ne pas être à la hauteur</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cause</w:t>
      </w:r>
      <w:r>
        <w:rPr>
          <w:rFonts w:ascii="Arial" w:hAnsi="Arial"/>
          <w:color w:val="231F20"/>
          <w:spacing w:val="-1"/>
          <w:sz w:val="17"/>
        </w:rPr>
        <w:t> </w:t>
      </w:r>
      <w:r>
        <w:rPr>
          <w:rFonts w:ascii="Arial" w:hAnsi="Arial"/>
          <w:color w:val="231F20"/>
          <w:sz w:val="17"/>
        </w:rPr>
        <w:t>de</w:t>
      </w:r>
      <w:r>
        <w:rPr>
          <w:rFonts w:ascii="Arial" w:hAnsi="Arial"/>
          <w:color w:val="231F20"/>
          <w:spacing w:val="-1"/>
          <w:sz w:val="17"/>
        </w:rPr>
        <w:t> </w:t>
      </w:r>
      <w:r>
        <w:rPr>
          <w:rFonts w:ascii="Arial" w:hAnsi="Arial"/>
          <w:color w:val="231F20"/>
          <w:sz w:val="17"/>
        </w:rPr>
        <w:t>vos</w:t>
      </w:r>
      <w:r>
        <w:rPr>
          <w:rFonts w:ascii="Arial" w:hAnsi="Arial"/>
          <w:color w:val="231F20"/>
          <w:spacing w:val="-1"/>
          <w:sz w:val="17"/>
        </w:rPr>
        <w:t> </w:t>
      </w:r>
      <w:r>
        <w:rPr>
          <w:rFonts w:ascii="Arial" w:hAnsi="Arial"/>
          <w:color w:val="231F20"/>
          <w:sz w:val="17"/>
        </w:rPr>
        <w:t>propres</w:t>
      </w:r>
      <w:r>
        <w:rPr>
          <w:rFonts w:ascii="Arial" w:hAnsi="Arial"/>
          <w:color w:val="231F20"/>
          <w:spacing w:val="-1"/>
          <w:sz w:val="17"/>
        </w:rPr>
        <w:t> </w:t>
      </w:r>
      <w:r>
        <w:rPr>
          <w:rFonts w:ascii="Arial" w:hAnsi="Arial"/>
          <w:color w:val="231F20"/>
          <w:sz w:val="17"/>
        </w:rPr>
        <w:t>attentes</w:t>
      </w:r>
      <w:r>
        <w:rPr>
          <w:rFonts w:ascii="Arial" w:hAnsi="Arial"/>
          <w:color w:val="231F20"/>
          <w:spacing w:val="-1"/>
          <w:sz w:val="17"/>
        </w:rPr>
        <w:t> </w:t>
      </w:r>
      <w:r>
        <w:rPr>
          <w:rFonts w:ascii="Arial" w:hAnsi="Arial"/>
          <w:color w:val="231F20"/>
          <w:sz w:val="17"/>
        </w:rPr>
        <w:t>beaucoup</w:t>
      </w:r>
      <w:r>
        <w:rPr>
          <w:rFonts w:ascii="Arial" w:hAnsi="Arial"/>
          <w:color w:val="231F20"/>
          <w:spacing w:val="-1"/>
          <w:sz w:val="17"/>
        </w:rPr>
        <w:t> </w:t>
      </w:r>
      <w:r>
        <w:rPr>
          <w:rFonts w:ascii="Arial" w:hAnsi="Arial"/>
          <w:color w:val="231F20"/>
          <w:sz w:val="17"/>
        </w:rPr>
        <w:t>trop</w:t>
      </w:r>
      <w:r>
        <w:rPr>
          <w:rFonts w:ascii="Arial" w:hAnsi="Arial"/>
          <w:color w:val="231F20"/>
          <w:spacing w:val="-1"/>
          <w:sz w:val="17"/>
        </w:rPr>
        <w:t> </w:t>
      </w:r>
      <w:r>
        <w:rPr>
          <w:rFonts w:ascii="Arial" w:hAnsi="Arial"/>
          <w:color w:val="231F20"/>
          <w:sz w:val="17"/>
        </w:rPr>
        <w:t>élevées.</w:t>
      </w:r>
    </w:p>
    <w:p>
      <w:pPr>
        <w:pStyle w:val="ListParagraph"/>
        <w:numPr>
          <w:ilvl w:val="1"/>
          <w:numId w:val="65"/>
        </w:numPr>
        <w:tabs>
          <w:tab w:pos="1731" w:val="left" w:leader="none"/>
        </w:tabs>
        <w:spacing w:line="195" w:lineRule="exact" w:before="0" w:after="0"/>
        <w:ind w:left="1730" w:right="0" w:hanging="251"/>
        <w:jc w:val="left"/>
        <w:rPr>
          <w:rFonts w:ascii="Arial" w:hAnsi="Arial"/>
          <w:sz w:val="17"/>
        </w:rPr>
      </w:pPr>
      <w:r>
        <w:rPr>
          <w:rFonts w:ascii="Arial" w:hAnsi="Arial"/>
          <w:color w:val="231F20"/>
          <w:sz w:val="17"/>
        </w:rPr>
        <w:t>Vous</w:t>
      </w:r>
      <w:r>
        <w:rPr>
          <w:rFonts w:ascii="Arial" w:hAnsi="Arial"/>
          <w:color w:val="231F20"/>
          <w:spacing w:val="-6"/>
          <w:sz w:val="17"/>
        </w:rPr>
        <w:t> </w:t>
      </w:r>
      <w:r>
        <w:rPr>
          <w:rFonts w:ascii="Arial" w:hAnsi="Arial"/>
          <w:color w:val="231F20"/>
          <w:sz w:val="17"/>
        </w:rPr>
        <w:t>pouvez</w:t>
      </w:r>
      <w:r>
        <w:rPr>
          <w:rFonts w:ascii="Arial" w:hAnsi="Arial"/>
          <w:color w:val="231F20"/>
          <w:spacing w:val="-5"/>
          <w:sz w:val="17"/>
        </w:rPr>
        <w:t> </w:t>
      </w:r>
      <w:r>
        <w:rPr>
          <w:rFonts w:ascii="Arial" w:hAnsi="Arial"/>
          <w:color w:val="231F20"/>
          <w:sz w:val="17"/>
        </w:rPr>
        <w:t>tomber</w:t>
      </w:r>
      <w:r>
        <w:rPr>
          <w:rFonts w:ascii="Arial" w:hAnsi="Arial"/>
          <w:color w:val="231F20"/>
          <w:spacing w:val="-6"/>
          <w:sz w:val="17"/>
        </w:rPr>
        <w:t> </w:t>
      </w:r>
      <w:r>
        <w:rPr>
          <w:rFonts w:ascii="Arial" w:hAnsi="Arial"/>
          <w:color w:val="231F20"/>
          <w:sz w:val="17"/>
        </w:rPr>
        <w:t>dans</w:t>
      </w:r>
      <w:r>
        <w:rPr>
          <w:rFonts w:ascii="Arial" w:hAnsi="Arial"/>
          <w:color w:val="231F20"/>
          <w:spacing w:val="-5"/>
          <w:sz w:val="17"/>
        </w:rPr>
        <w:t> </w:t>
      </w:r>
      <w:r>
        <w:rPr>
          <w:rFonts w:ascii="Arial" w:hAnsi="Arial"/>
          <w:color w:val="231F20"/>
          <w:sz w:val="17"/>
        </w:rPr>
        <w:t>le</w:t>
      </w:r>
      <w:r>
        <w:rPr>
          <w:rFonts w:ascii="Arial" w:hAnsi="Arial"/>
          <w:color w:val="231F20"/>
          <w:spacing w:val="-6"/>
          <w:sz w:val="17"/>
        </w:rPr>
        <w:t> </w:t>
      </w:r>
      <w:r>
        <w:rPr>
          <w:rFonts w:ascii="Arial" w:hAnsi="Arial"/>
          <w:color w:val="231F20"/>
          <w:sz w:val="17"/>
        </w:rPr>
        <w:t>piège</w:t>
      </w:r>
      <w:r>
        <w:rPr>
          <w:rFonts w:ascii="Arial" w:hAnsi="Arial"/>
          <w:color w:val="231F20"/>
          <w:spacing w:val="-5"/>
          <w:sz w:val="17"/>
        </w:rPr>
        <w:t> </w:t>
      </w:r>
      <w:r>
        <w:rPr>
          <w:rFonts w:ascii="Arial" w:hAnsi="Arial"/>
          <w:color w:val="231F20"/>
          <w:sz w:val="17"/>
        </w:rPr>
        <w:t>du</w:t>
      </w:r>
      <w:r>
        <w:rPr>
          <w:rFonts w:ascii="Arial" w:hAnsi="Arial"/>
          <w:color w:val="231F20"/>
          <w:spacing w:val="-6"/>
          <w:sz w:val="17"/>
        </w:rPr>
        <w:t> </w:t>
      </w:r>
      <w:r>
        <w:rPr>
          <w:rFonts w:ascii="Arial" w:hAnsi="Arial"/>
          <w:color w:val="231F20"/>
          <w:spacing w:val="-2"/>
          <w:sz w:val="17"/>
        </w:rPr>
        <w:t>perfectionnisme.</w:t>
      </w:r>
    </w:p>
    <w:p>
      <w:pPr>
        <w:pStyle w:val="ListParagraph"/>
        <w:numPr>
          <w:ilvl w:val="1"/>
          <w:numId w:val="65"/>
        </w:numPr>
        <w:tabs>
          <w:tab w:pos="1731" w:val="left" w:leader="none"/>
        </w:tabs>
        <w:spacing w:line="307" w:lineRule="auto" w:before="55" w:after="0"/>
        <w:ind w:left="1730" w:right="631" w:hanging="251"/>
        <w:jc w:val="left"/>
        <w:rPr>
          <w:rFonts w:ascii="Arial" w:hAnsi="Arial"/>
          <w:sz w:val="17"/>
        </w:rPr>
      </w:pPr>
      <w:r>
        <w:rPr>
          <w:rFonts w:ascii="Arial" w:hAnsi="Arial"/>
          <w:color w:val="231F20"/>
          <w:sz w:val="17"/>
        </w:rPr>
        <w:t>Vous</w:t>
      </w:r>
      <w:r>
        <w:rPr>
          <w:rFonts w:ascii="Arial" w:hAnsi="Arial"/>
          <w:color w:val="231F20"/>
          <w:spacing w:val="-4"/>
          <w:sz w:val="17"/>
        </w:rPr>
        <w:t> </w:t>
      </w:r>
      <w:r>
        <w:rPr>
          <w:rFonts w:ascii="Arial" w:hAnsi="Arial"/>
          <w:color w:val="231F20"/>
          <w:sz w:val="17"/>
        </w:rPr>
        <w:t>pouvez</w:t>
      </w:r>
      <w:r>
        <w:rPr>
          <w:rFonts w:ascii="Arial" w:hAnsi="Arial"/>
          <w:color w:val="231F20"/>
          <w:spacing w:val="-4"/>
          <w:sz w:val="17"/>
        </w:rPr>
        <w:t> </w:t>
      </w:r>
      <w:r>
        <w:rPr>
          <w:rFonts w:ascii="Arial" w:hAnsi="Arial"/>
          <w:color w:val="231F20"/>
          <w:sz w:val="17"/>
        </w:rPr>
        <w:t>être</w:t>
      </w:r>
      <w:r>
        <w:rPr>
          <w:rFonts w:ascii="Arial" w:hAnsi="Arial"/>
          <w:color w:val="231F20"/>
          <w:spacing w:val="-4"/>
          <w:sz w:val="17"/>
        </w:rPr>
        <w:t> </w:t>
      </w:r>
      <w:r>
        <w:rPr>
          <w:rFonts w:ascii="Arial" w:hAnsi="Arial"/>
          <w:color w:val="231F20"/>
          <w:sz w:val="17"/>
        </w:rPr>
        <w:t>très</w:t>
      </w:r>
      <w:r>
        <w:rPr>
          <w:rFonts w:ascii="Arial" w:hAnsi="Arial"/>
          <w:color w:val="231F20"/>
          <w:spacing w:val="-4"/>
          <w:sz w:val="17"/>
        </w:rPr>
        <w:t> </w:t>
      </w:r>
      <w:r>
        <w:rPr>
          <w:rFonts w:ascii="Arial" w:hAnsi="Arial"/>
          <w:color w:val="231F20"/>
          <w:sz w:val="17"/>
        </w:rPr>
        <w:t>enclin</w:t>
      </w:r>
      <w:r>
        <w:rPr>
          <w:rFonts w:ascii="Arial" w:hAnsi="Arial"/>
          <w:color w:val="231F20"/>
          <w:spacing w:val="-4"/>
          <w:sz w:val="17"/>
        </w:rPr>
        <w:t> </w:t>
      </w:r>
      <w:r>
        <w:rPr>
          <w:rFonts w:ascii="Arial" w:hAnsi="Arial"/>
          <w:color w:val="231F20"/>
          <w:sz w:val="17"/>
        </w:rPr>
        <w:t>à</w:t>
      </w:r>
      <w:r>
        <w:rPr>
          <w:rFonts w:ascii="Arial" w:hAnsi="Arial"/>
          <w:color w:val="231F20"/>
          <w:spacing w:val="-4"/>
          <w:sz w:val="17"/>
        </w:rPr>
        <w:t> </w:t>
      </w:r>
      <w:r>
        <w:rPr>
          <w:rFonts w:ascii="Arial" w:hAnsi="Arial"/>
          <w:color w:val="231F20"/>
          <w:sz w:val="17"/>
        </w:rPr>
        <w:t>absolument</w:t>
      </w:r>
      <w:r>
        <w:rPr>
          <w:rFonts w:ascii="Arial" w:hAnsi="Arial"/>
          <w:color w:val="231F20"/>
          <w:spacing w:val="-4"/>
          <w:sz w:val="17"/>
        </w:rPr>
        <w:t> </w:t>
      </w:r>
      <w:r>
        <w:rPr>
          <w:rFonts w:ascii="Arial" w:hAnsi="Arial"/>
          <w:color w:val="231F20"/>
          <w:sz w:val="17"/>
        </w:rPr>
        <w:t>vouloir</w:t>
      </w:r>
      <w:r>
        <w:rPr>
          <w:rFonts w:ascii="Arial" w:hAnsi="Arial"/>
          <w:color w:val="231F20"/>
          <w:spacing w:val="-4"/>
          <w:sz w:val="17"/>
        </w:rPr>
        <w:t> </w:t>
      </w:r>
      <w:r>
        <w:rPr>
          <w:rFonts w:ascii="Arial" w:hAnsi="Arial"/>
          <w:color w:val="231F20"/>
          <w:sz w:val="17"/>
        </w:rPr>
        <w:t>plaire.</w:t>
      </w:r>
      <w:r>
        <w:rPr>
          <w:rFonts w:ascii="Arial" w:hAnsi="Arial"/>
          <w:color w:val="231F20"/>
          <w:spacing w:val="-4"/>
          <w:sz w:val="17"/>
        </w:rPr>
        <w:t> </w:t>
      </w:r>
      <w:r>
        <w:rPr>
          <w:rFonts w:ascii="Arial" w:hAnsi="Arial"/>
          <w:color w:val="231F20"/>
          <w:sz w:val="17"/>
        </w:rPr>
        <w:t>Vous devenez ainsi sensible et très dépendant de l’approbation des </w:t>
      </w:r>
      <w:r>
        <w:rPr>
          <w:rFonts w:ascii="Arial" w:hAnsi="Arial"/>
          <w:color w:val="231F20"/>
          <w:w w:val="105"/>
          <w:sz w:val="17"/>
        </w:rPr>
        <w:t>autres afin de vous sentir valorisé.</w:t>
      </w:r>
    </w:p>
    <w:p>
      <w:pPr>
        <w:pStyle w:val="ListParagraph"/>
        <w:numPr>
          <w:ilvl w:val="1"/>
          <w:numId w:val="65"/>
        </w:numPr>
        <w:tabs>
          <w:tab w:pos="1731" w:val="left" w:leader="none"/>
        </w:tabs>
        <w:spacing w:line="307" w:lineRule="auto" w:before="0" w:after="0"/>
        <w:ind w:left="1730" w:right="453" w:hanging="251"/>
        <w:jc w:val="left"/>
        <w:rPr>
          <w:rFonts w:ascii="Arial" w:hAnsi="Arial"/>
          <w:sz w:val="17"/>
        </w:rPr>
      </w:pPr>
      <w:r>
        <w:rPr>
          <w:rFonts w:ascii="Arial" w:hAnsi="Arial"/>
          <w:color w:val="231F20"/>
          <w:sz w:val="17"/>
        </w:rPr>
        <w:t>Vous êtes également très enclin à vous comparer à d’autres personnes pour lesquelles vous avez une opinion très élevée. Cependant,</w:t>
      </w:r>
      <w:r>
        <w:rPr>
          <w:rFonts w:ascii="Arial" w:hAnsi="Arial"/>
          <w:color w:val="231F20"/>
          <w:spacing w:val="-4"/>
          <w:sz w:val="17"/>
        </w:rPr>
        <w:t> </w:t>
      </w:r>
      <w:r>
        <w:rPr>
          <w:rFonts w:ascii="Arial" w:hAnsi="Arial"/>
          <w:color w:val="231F20"/>
          <w:sz w:val="17"/>
        </w:rPr>
        <w:t>cette</w:t>
      </w:r>
      <w:r>
        <w:rPr>
          <w:rFonts w:ascii="Arial" w:hAnsi="Arial"/>
          <w:color w:val="231F20"/>
          <w:spacing w:val="-4"/>
          <w:sz w:val="17"/>
        </w:rPr>
        <w:t> </w:t>
      </w:r>
      <w:r>
        <w:rPr>
          <w:rFonts w:ascii="Arial" w:hAnsi="Arial"/>
          <w:color w:val="231F20"/>
          <w:sz w:val="17"/>
        </w:rPr>
        <w:t>forme</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comparaison</w:t>
      </w:r>
      <w:r>
        <w:rPr>
          <w:rFonts w:ascii="Arial" w:hAnsi="Arial"/>
          <w:color w:val="231F20"/>
          <w:spacing w:val="-4"/>
          <w:sz w:val="17"/>
        </w:rPr>
        <w:t> </w:t>
      </w:r>
      <w:r>
        <w:rPr>
          <w:rFonts w:ascii="Arial" w:hAnsi="Arial"/>
          <w:color w:val="231F20"/>
          <w:sz w:val="17"/>
        </w:rPr>
        <w:t>sert</w:t>
      </w:r>
      <w:r>
        <w:rPr>
          <w:rFonts w:ascii="Arial" w:hAnsi="Arial"/>
          <w:color w:val="231F20"/>
          <w:spacing w:val="-4"/>
          <w:sz w:val="17"/>
        </w:rPr>
        <w:t> </w:t>
      </w:r>
      <w:r>
        <w:rPr>
          <w:rFonts w:ascii="Arial" w:hAnsi="Arial"/>
          <w:color w:val="231F20"/>
          <w:sz w:val="17"/>
        </w:rPr>
        <w:t>à</w:t>
      </w:r>
      <w:r>
        <w:rPr>
          <w:rFonts w:ascii="Arial" w:hAnsi="Arial"/>
          <w:color w:val="231F20"/>
          <w:spacing w:val="-4"/>
          <w:sz w:val="17"/>
        </w:rPr>
        <w:t> </w:t>
      </w:r>
      <w:r>
        <w:rPr>
          <w:rFonts w:ascii="Arial" w:hAnsi="Arial"/>
          <w:color w:val="231F20"/>
          <w:sz w:val="17"/>
        </w:rPr>
        <w:t>combler</w:t>
      </w:r>
      <w:r>
        <w:rPr>
          <w:rFonts w:ascii="Arial" w:hAnsi="Arial"/>
          <w:color w:val="231F20"/>
          <w:spacing w:val="-4"/>
          <w:sz w:val="17"/>
        </w:rPr>
        <w:t> </w:t>
      </w:r>
      <w:r>
        <w:rPr>
          <w:rFonts w:ascii="Arial" w:hAnsi="Arial"/>
          <w:color w:val="231F20"/>
          <w:sz w:val="17"/>
        </w:rPr>
        <w:t>le</w:t>
      </w:r>
      <w:r>
        <w:rPr>
          <w:rFonts w:ascii="Arial" w:hAnsi="Arial"/>
          <w:color w:val="231F20"/>
          <w:spacing w:val="-4"/>
          <w:sz w:val="17"/>
        </w:rPr>
        <w:t> </w:t>
      </w:r>
      <w:r>
        <w:rPr>
          <w:rFonts w:ascii="Arial" w:hAnsi="Arial"/>
          <w:color w:val="231F20"/>
          <w:sz w:val="17"/>
        </w:rPr>
        <w:t>besoin essentiel de mettre [l’accent] sur vos lacunes et vos faiblesses.</w:t>
      </w:r>
    </w:p>
    <w:p>
      <w:pPr>
        <w:pStyle w:val="ListParagraph"/>
        <w:numPr>
          <w:ilvl w:val="1"/>
          <w:numId w:val="65"/>
        </w:numPr>
        <w:tabs>
          <w:tab w:pos="1731" w:val="left" w:leader="none"/>
        </w:tabs>
        <w:spacing w:line="307" w:lineRule="auto" w:before="0" w:after="0"/>
        <w:ind w:left="1730" w:right="591" w:hanging="251"/>
        <w:jc w:val="left"/>
        <w:rPr>
          <w:rFonts w:ascii="Arial" w:hAnsi="Arial"/>
          <w:sz w:val="17"/>
        </w:rPr>
      </w:pPr>
      <w:r>
        <w:rPr>
          <w:rFonts w:ascii="Arial" w:hAnsi="Arial"/>
          <w:color w:val="231F20"/>
          <w:sz w:val="17"/>
        </w:rPr>
        <w:t>Vous</w:t>
      </w:r>
      <w:r>
        <w:rPr>
          <w:rFonts w:ascii="Arial" w:hAnsi="Arial"/>
          <w:color w:val="231F20"/>
          <w:spacing w:val="-8"/>
          <w:sz w:val="17"/>
        </w:rPr>
        <w:t> </w:t>
      </w:r>
      <w:r>
        <w:rPr>
          <w:rFonts w:ascii="Arial" w:hAnsi="Arial"/>
          <w:color w:val="231F20"/>
          <w:sz w:val="17"/>
        </w:rPr>
        <w:t>pouvez</w:t>
      </w:r>
      <w:r>
        <w:rPr>
          <w:rFonts w:ascii="Arial" w:hAnsi="Arial"/>
          <w:color w:val="231F20"/>
          <w:spacing w:val="-8"/>
          <w:sz w:val="17"/>
        </w:rPr>
        <w:t> </w:t>
      </w:r>
      <w:r>
        <w:rPr>
          <w:rFonts w:ascii="Arial" w:hAnsi="Arial"/>
          <w:color w:val="231F20"/>
          <w:sz w:val="17"/>
        </w:rPr>
        <w:t>vous</w:t>
      </w:r>
      <w:r>
        <w:rPr>
          <w:rFonts w:ascii="Arial" w:hAnsi="Arial"/>
          <w:color w:val="231F20"/>
          <w:spacing w:val="-8"/>
          <w:sz w:val="17"/>
        </w:rPr>
        <w:t> </w:t>
      </w:r>
      <w:r>
        <w:rPr>
          <w:rFonts w:ascii="Arial" w:hAnsi="Arial"/>
          <w:color w:val="231F20"/>
          <w:sz w:val="17"/>
        </w:rPr>
        <w:t>éloigner</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la</w:t>
      </w:r>
      <w:r>
        <w:rPr>
          <w:rFonts w:ascii="Arial" w:hAnsi="Arial"/>
          <w:color w:val="231F20"/>
          <w:spacing w:val="-8"/>
          <w:sz w:val="17"/>
        </w:rPr>
        <w:t> </w:t>
      </w:r>
      <w:r>
        <w:rPr>
          <w:rFonts w:ascii="Arial" w:hAnsi="Arial"/>
          <w:color w:val="231F20"/>
          <w:sz w:val="17"/>
        </w:rPr>
        <w:t>société</w:t>
      </w:r>
      <w:r>
        <w:rPr>
          <w:rFonts w:ascii="Arial" w:hAnsi="Arial"/>
          <w:color w:val="231F20"/>
          <w:spacing w:val="-8"/>
          <w:sz w:val="17"/>
        </w:rPr>
        <w:t> </w:t>
      </w:r>
      <w:r>
        <w:rPr>
          <w:rFonts w:ascii="Arial" w:hAnsi="Arial"/>
          <w:color w:val="231F20"/>
          <w:sz w:val="17"/>
        </w:rPr>
        <w:t>à</w:t>
      </w:r>
      <w:r>
        <w:rPr>
          <w:rFonts w:ascii="Arial" w:hAnsi="Arial"/>
          <w:color w:val="231F20"/>
          <w:spacing w:val="-8"/>
          <w:sz w:val="17"/>
        </w:rPr>
        <w:t> </w:t>
      </w:r>
      <w:r>
        <w:rPr>
          <w:rFonts w:ascii="Arial" w:hAnsi="Arial"/>
          <w:color w:val="231F20"/>
          <w:sz w:val="17"/>
        </w:rPr>
        <w:t>cause</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votre</w:t>
      </w:r>
      <w:r>
        <w:rPr>
          <w:rFonts w:ascii="Arial" w:hAnsi="Arial"/>
          <w:color w:val="231F20"/>
          <w:spacing w:val="-8"/>
          <w:sz w:val="17"/>
        </w:rPr>
        <w:t> </w:t>
      </w:r>
      <w:r>
        <w:rPr>
          <w:rFonts w:ascii="Arial" w:hAnsi="Arial"/>
          <w:color w:val="231F20"/>
          <w:sz w:val="17"/>
        </w:rPr>
        <w:t>faible </w:t>
      </w:r>
      <w:r>
        <w:rPr>
          <w:rFonts w:ascii="Arial" w:hAnsi="Arial"/>
          <w:color w:val="231F20"/>
          <w:w w:val="105"/>
          <w:sz w:val="17"/>
        </w:rPr>
        <w:t>estime</w:t>
      </w:r>
      <w:r>
        <w:rPr>
          <w:rFonts w:ascii="Arial" w:hAnsi="Arial"/>
          <w:color w:val="231F20"/>
          <w:spacing w:val="-3"/>
          <w:w w:val="105"/>
          <w:sz w:val="17"/>
        </w:rPr>
        <w:t> </w:t>
      </w:r>
      <w:r>
        <w:rPr>
          <w:rFonts w:ascii="Arial" w:hAnsi="Arial"/>
          <w:color w:val="231F20"/>
          <w:w w:val="105"/>
          <w:sz w:val="17"/>
        </w:rPr>
        <w:t>de</w:t>
      </w:r>
      <w:r>
        <w:rPr>
          <w:rFonts w:ascii="Arial" w:hAnsi="Arial"/>
          <w:color w:val="231F20"/>
          <w:spacing w:val="-3"/>
          <w:w w:val="105"/>
          <w:sz w:val="17"/>
        </w:rPr>
        <w:t> </w:t>
      </w:r>
      <w:r>
        <w:rPr>
          <w:rFonts w:ascii="Arial" w:hAnsi="Arial"/>
          <w:color w:val="231F20"/>
          <w:w w:val="105"/>
          <w:sz w:val="17"/>
        </w:rPr>
        <w:t>vous-même,</w:t>
      </w:r>
      <w:r>
        <w:rPr>
          <w:rFonts w:ascii="Arial" w:hAnsi="Arial"/>
          <w:color w:val="231F20"/>
          <w:spacing w:val="-3"/>
          <w:w w:val="105"/>
          <w:sz w:val="17"/>
        </w:rPr>
        <w:t> </w:t>
      </w:r>
      <w:r>
        <w:rPr>
          <w:rFonts w:ascii="Arial" w:hAnsi="Arial"/>
          <w:color w:val="231F20"/>
          <w:w w:val="105"/>
          <w:sz w:val="17"/>
        </w:rPr>
        <w:t>au</w:t>
      </w:r>
      <w:r>
        <w:rPr>
          <w:rFonts w:ascii="Arial" w:hAnsi="Arial"/>
          <w:color w:val="231F20"/>
          <w:spacing w:val="-3"/>
          <w:w w:val="105"/>
          <w:sz w:val="17"/>
        </w:rPr>
        <w:t> </w:t>
      </w:r>
      <w:r>
        <w:rPr>
          <w:rFonts w:ascii="Arial" w:hAnsi="Arial"/>
          <w:color w:val="231F20"/>
          <w:w w:val="105"/>
          <w:sz w:val="17"/>
        </w:rPr>
        <w:t>point</w:t>
      </w:r>
      <w:r>
        <w:rPr>
          <w:rFonts w:ascii="Arial" w:hAnsi="Arial"/>
          <w:color w:val="231F20"/>
          <w:spacing w:val="-3"/>
          <w:w w:val="105"/>
          <w:sz w:val="17"/>
        </w:rPr>
        <w:t> </w:t>
      </w:r>
      <w:r>
        <w:rPr>
          <w:rFonts w:ascii="Arial" w:hAnsi="Arial"/>
          <w:color w:val="231F20"/>
          <w:w w:val="105"/>
          <w:sz w:val="17"/>
        </w:rPr>
        <w:t>même</w:t>
      </w:r>
      <w:r>
        <w:rPr>
          <w:rFonts w:ascii="Arial" w:hAnsi="Arial"/>
          <w:color w:val="231F20"/>
          <w:spacing w:val="-3"/>
          <w:w w:val="105"/>
          <w:sz w:val="17"/>
        </w:rPr>
        <w:t> </w:t>
      </w:r>
      <w:r>
        <w:rPr>
          <w:rFonts w:ascii="Arial" w:hAnsi="Arial"/>
          <w:color w:val="231F20"/>
          <w:w w:val="105"/>
          <w:sz w:val="17"/>
        </w:rPr>
        <w:t>de</w:t>
      </w:r>
      <w:r>
        <w:rPr>
          <w:rFonts w:ascii="Arial" w:hAnsi="Arial"/>
          <w:color w:val="231F20"/>
          <w:spacing w:val="-3"/>
          <w:w w:val="105"/>
          <w:sz w:val="17"/>
        </w:rPr>
        <w:t> </w:t>
      </w:r>
      <w:r>
        <w:rPr>
          <w:rFonts w:ascii="Arial" w:hAnsi="Arial"/>
          <w:color w:val="231F20"/>
          <w:w w:val="105"/>
          <w:sz w:val="17"/>
        </w:rPr>
        <w:t>vous</w:t>
      </w:r>
      <w:r>
        <w:rPr>
          <w:rFonts w:ascii="Arial" w:hAnsi="Arial"/>
          <w:color w:val="231F20"/>
          <w:spacing w:val="-3"/>
          <w:w w:val="105"/>
          <w:sz w:val="17"/>
        </w:rPr>
        <w:t> </w:t>
      </w:r>
      <w:r>
        <w:rPr>
          <w:rFonts w:ascii="Arial" w:hAnsi="Arial"/>
          <w:color w:val="231F20"/>
          <w:w w:val="105"/>
          <w:sz w:val="17"/>
        </w:rPr>
        <w:t>[isoler] </w:t>
      </w:r>
      <w:r>
        <w:rPr>
          <w:rFonts w:ascii="Arial" w:hAnsi="Arial"/>
          <w:color w:val="231F20"/>
          <w:spacing w:val="-2"/>
          <w:w w:val="105"/>
          <w:sz w:val="17"/>
        </w:rPr>
        <w:t>complètement.</w:t>
      </w:r>
    </w:p>
    <w:p>
      <w:pPr>
        <w:pStyle w:val="ListParagraph"/>
        <w:numPr>
          <w:ilvl w:val="1"/>
          <w:numId w:val="65"/>
        </w:numPr>
        <w:tabs>
          <w:tab w:pos="1731" w:val="left" w:leader="none"/>
        </w:tabs>
        <w:spacing w:line="195" w:lineRule="exact" w:before="0" w:after="0"/>
        <w:ind w:left="1730" w:right="0" w:hanging="251"/>
        <w:jc w:val="left"/>
        <w:rPr>
          <w:rFonts w:ascii="Arial" w:hAnsi="Arial"/>
          <w:sz w:val="17"/>
        </w:rPr>
      </w:pPr>
      <w:r>
        <w:rPr>
          <w:rFonts w:ascii="Arial" w:hAnsi="Arial"/>
          <w:color w:val="231F20"/>
          <w:sz w:val="17"/>
        </w:rPr>
        <w:t>Certains</w:t>
      </w:r>
      <w:r>
        <w:rPr>
          <w:rFonts w:ascii="Arial" w:hAnsi="Arial"/>
          <w:color w:val="231F20"/>
          <w:spacing w:val="-6"/>
          <w:sz w:val="17"/>
        </w:rPr>
        <w:t> </w:t>
      </w:r>
      <w:r>
        <w:rPr>
          <w:rFonts w:ascii="Arial" w:hAnsi="Arial"/>
          <w:color w:val="231F20"/>
          <w:sz w:val="17"/>
        </w:rPr>
        <w:t>vont</w:t>
      </w:r>
      <w:r>
        <w:rPr>
          <w:rFonts w:ascii="Arial" w:hAnsi="Arial"/>
          <w:color w:val="231F20"/>
          <w:spacing w:val="-5"/>
          <w:sz w:val="17"/>
        </w:rPr>
        <w:t> </w:t>
      </w:r>
      <w:r>
        <w:rPr>
          <w:rFonts w:ascii="Arial" w:hAnsi="Arial"/>
          <w:color w:val="231F20"/>
          <w:sz w:val="17"/>
        </w:rPr>
        <w:t>répondre</w:t>
      </w:r>
      <w:r>
        <w:rPr>
          <w:rFonts w:ascii="Arial" w:hAnsi="Arial"/>
          <w:color w:val="231F20"/>
          <w:spacing w:val="-6"/>
          <w:sz w:val="17"/>
        </w:rPr>
        <w:t> </w:t>
      </w:r>
      <w:r>
        <w:rPr>
          <w:rFonts w:ascii="Arial" w:hAnsi="Arial"/>
          <w:color w:val="231F20"/>
          <w:sz w:val="17"/>
        </w:rPr>
        <w:t>par</w:t>
      </w:r>
      <w:r>
        <w:rPr>
          <w:rFonts w:ascii="Arial" w:hAnsi="Arial"/>
          <w:color w:val="231F20"/>
          <w:spacing w:val="-5"/>
          <w:sz w:val="17"/>
        </w:rPr>
        <w:t> </w:t>
      </w:r>
      <w:r>
        <w:rPr>
          <w:rFonts w:ascii="Arial" w:hAnsi="Arial"/>
          <w:color w:val="231F20"/>
          <w:sz w:val="17"/>
        </w:rPr>
        <w:t>une</w:t>
      </w:r>
      <w:r>
        <w:rPr>
          <w:rFonts w:ascii="Arial" w:hAnsi="Arial"/>
          <w:color w:val="231F20"/>
          <w:spacing w:val="-6"/>
          <w:sz w:val="17"/>
        </w:rPr>
        <w:t> </w:t>
      </w:r>
      <w:r>
        <w:rPr>
          <w:rFonts w:ascii="Arial" w:hAnsi="Arial"/>
          <w:color w:val="231F20"/>
          <w:sz w:val="17"/>
        </w:rPr>
        <w:t>rage</w:t>
      </w:r>
      <w:r>
        <w:rPr>
          <w:rFonts w:ascii="Arial" w:hAnsi="Arial"/>
          <w:color w:val="231F20"/>
          <w:spacing w:val="-5"/>
          <w:sz w:val="17"/>
        </w:rPr>
        <w:t> </w:t>
      </w:r>
      <w:r>
        <w:rPr>
          <w:rFonts w:ascii="Arial" w:hAnsi="Arial"/>
          <w:color w:val="231F20"/>
          <w:sz w:val="17"/>
        </w:rPr>
        <w:t>non</w:t>
      </w:r>
      <w:r>
        <w:rPr>
          <w:rFonts w:ascii="Arial" w:hAnsi="Arial"/>
          <w:color w:val="231F20"/>
          <w:spacing w:val="-6"/>
          <w:sz w:val="17"/>
        </w:rPr>
        <w:t> </w:t>
      </w:r>
      <w:r>
        <w:rPr>
          <w:rFonts w:ascii="Arial" w:hAnsi="Arial"/>
          <w:color w:val="231F20"/>
          <w:sz w:val="17"/>
        </w:rPr>
        <w:t>dissimulée</w:t>
      </w:r>
      <w:r>
        <w:rPr>
          <w:rFonts w:ascii="Arial" w:hAnsi="Arial"/>
          <w:color w:val="231F20"/>
          <w:spacing w:val="-5"/>
          <w:sz w:val="17"/>
        </w:rPr>
        <w:t> </w:t>
      </w:r>
      <w:r>
        <w:rPr>
          <w:rFonts w:ascii="Arial" w:hAnsi="Arial"/>
          <w:color w:val="231F20"/>
          <w:spacing w:val="-4"/>
          <w:sz w:val="17"/>
        </w:rPr>
        <w:t>face</w:t>
      </w:r>
    </w:p>
    <w:p>
      <w:pPr>
        <w:pStyle w:val="BodyText"/>
        <w:spacing w:line="307" w:lineRule="auto" w:before="53"/>
        <w:ind w:left="1730" w:right="500"/>
        <w:rPr>
          <w:rFonts w:ascii="Arial" w:hAnsi="Arial"/>
        </w:rPr>
      </w:pPr>
      <w:r>
        <w:rPr>
          <w:rFonts w:ascii="Arial" w:hAnsi="Arial"/>
          <w:color w:val="231F20"/>
        </w:rPr>
        <w:t>à</w:t>
      </w:r>
      <w:r>
        <w:rPr>
          <w:rFonts w:ascii="Arial" w:hAnsi="Arial"/>
          <w:color w:val="231F20"/>
          <w:spacing w:val="-12"/>
        </w:rPr>
        <w:t> </w:t>
      </w:r>
      <w:r>
        <w:rPr>
          <w:rFonts w:ascii="Arial" w:hAnsi="Arial"/>
          <w:color w:val="231F20"/>
        </w:rPr>
        <w:t>eux-mêmes</w:t>
      </w:r>
      <w:r>
        <w:rPr>
          <w:rFonts w:ascii="Arial" w:hAnsi="Arial"/>
          <w:color w:val="231F20"/>
          <w:spacing w:val="-12"/>
        </w:rPr>
        <w:t> </w:t>
      </w:r>
      <w:r>
        <w:rPr>
          <w:rFonts w:ascii="Arial" w:hAnsi="Arial"/>
          <w:color w:val="231F20"/>
        </w:rPr>
        <w:t>ou</w:t>
      </w:r>
      <w:r>
        <w:rPr>
          <w:rFonts w:ascii="Arial" w:hAnsi="Arial"/>
          <w:color w:val="231F20"/>
          <w:spacing w:val="-12"/>
        </w:rPr>
        <w:t> </w:t>
      </w:r>
      <w:r>
        <w:rPr>
          <w:rFonts w:ascii="Arial" w:hAnsi="Arial"/>
          <w:color w:val="231F20"/>
        </w:rPr>
        <w:t>face</w:t>
      </w:r>
      <w:r>
        <w:rPr>
          <w:rFonts w:ascii="Arial" w:hAnsi="Arial"/>
          <w:color w:val="231F20"/>
          <w:spacing w:val="-12"/>
        </w:rPr>
        <w:t> </w:t>
      </w:r>
      <w:r>
        <w:rPr>
          <w:rFonts w:ascii="Arial" w:hAnsi="Arial"/>
          <w:color w:val="231F20"/>
        </w:rPr>
        <w:t>aux</w:t>
      </w:r>
      <w:r>
        <w:rPr>
          <w:rFonts w:ascii="Arial" w:hAnsi="Arial"/>
          <w:color w:val="231F20"/>
          <w:spacing w:val="-12"/>
        </w:rPr>
        <w:t> </w:t>
      </w:r>
      <w:r>
        <w:rPr>
          <w:rFonts w:ascii="Arial" w:hAnsi="Arial"/>
          <w:color w:val="231F20"/>
        </w:rPr>
        <w:t>autres.</w:t>
      </w:r>
      <w:r>
        <w:rPr>
          <w:rFonts w:ascii="Arial" w:hAnsi="Arial"/>
          <w:color w:val="231F20"/>
          <w:spacing w:val="-11"/>
        </w:rPr>
        <w:t> </w:t>
      </w:r>
      <w:r>
        <w:rPr>
          <w:rFonts w:ascii="Arial" w:hAnsi="Arial"/>
          <w:color w:val="231F20"/>
        </w:rPr>
        <w:t>Si</w:t>
      </w:r>
      <w:r>
        <w:rPr>
          <w:rFonts w:ascii="Arial" w:hAnsi="Arial"/>
          <w:color w:val="231F20"/>
          <w:spacing w:val="-12"/>
        </w:rPr>
        <w:t> </w:t>
      </w:r>
      <w:r>
        <w:rPr>
          <w:rFonts w:ascii="Arial" w:hAnsi="Arial"/>
          <w:color w:val="231F20"/>
        </w:rPr>
        <w:t>c’est</w:t>
      </w:r>
      <w:r>
        <w:rPr>
          <w:rFonts w:ascii="Arial" w:hAnsi="Arial"/>
          <w:color w:val="231F20"/>
          <w:spacing w:val="-12"/>
        </w:rPr>
        <w:t> </w:t>
      </w:r>
      <w:r>
        <w:rPr>
          <w:rFonts w:ascii="Arial" w:hAnsi="Arial"/>
          <w:color w:val="231F20"/>
        </w:rPr>
        <w:t>votre</w:t>
      </w:r>
      <w:r>
        <w:rPr>
          <w:rFonts w:ascii="Arial" w:hAnsi="Arial"/>
          <w:color w:val="231F20"/>
          <w:spacing w:val="-12"/>
        </w:rPr>
        <w:t> </w:t>
      </w:r>
      <w:r>
        <w:rPr>
          <w:rFonts w:ascii="Arial" w:hAnsi="Arial"/>
          <w:color w:val="231F20"/>
        </w:rPr>
        <w:t>cas,</w:t>
      </w:r>
      <w:r>
        <w:rPr>
          <w:rFonts w:ascii="Arial" w:hAnsi="Arial"/>
          <w:color w:val="231F20"/>
          <w:spacing w:val="-12"/>
        </w:rPr>
        <w:t> </w:t>
      </w:r>
      <w:r>
        <w:rPr>
          <w:rFonts w:ascii="Arial" w:hAnsi="Arial"/>
          <w:color w:val="231F20"/>
        </w:rPr>
        <w:t>vous</w:t>
      </w:r>
      <w:r>
        <w:rPr>
          <w:rFonts w:ascii="Arial" w:hAnsi="Arial"/>
          <w:color w:val="231F20"/>
          <w:spacing w:val="-11"/>
        </w:rPr>
        <w:t> </w:t>
      </w:r>
      <w:r>
        <w:rPr>
          <w:rFonts w:ascii="Arial" w:hAnsi="Arial"/>
          <w:color w:val="231F20"/>
        </w:rPr>
        <w:t>pouvez l’exhiber soit en vous blessant vous-même, ou soit en blessant ceux qui vous entourent, même si ces personnes ne sont pas celles qui déclenchent ces sentiments de rage.</w:t>
      </w:r>
    </w:p>
    <w:p>
      <w:pPr>
        <w:pStyle w:val="ListParagraph"/>
        <w:numPr>
          <w:ilvl w:val="1"/>
          <w:numId w:val="65"/>
        </w:numPr>
        <w:tabs>
          <w:tab w:pos="1731" w:val="left" w:leader="none"/>
        </w:tabs>
        <w:spacing w:line="307" w:lineRule="auto" w:before="0" w:after="0"/>
        <w:ind w:left="1730" w:right="381" w:hanging="251"/>
        <w:jc w:val="left"/>
        <w:rPr>
          <w:rFonts w:ascii="Arial" w:hAnsi="Arial"/>
          <w:sz w:val="17"/>
        </w:rPr>
      </w:pPr>
      <w:r>
        <w:rPr>
          <w:rFonts w:ascii="Arial" w:hAnsi="Arial"/>
          <w:color w:val="231F20"/>
          <w:sz w:val="17"/>
        </w:rPr>
        <w:t>Vous</w:t>
      </w:r>
      <w:r>
        <w:rPr>
          <w:rFonts w:ascii="Arial" w:hAnsi="Arial"/>
          <w:color w:val="231F20"/>
          <w:spacing w:val="-12"/>
          <w:sz w:val="17"/>
        </w:rPr>
        <w:t> </w:t>
      </w:r>
      <w:r>
        <w:rPr>
          <w:rFonts w:ascii="Arial" w:hAnsi="Arial"/>
          <w:color w:val="231F20"/>
          <w:sz w:val="17"/>
        </w:rPr>
        <w:t>êtes</w:t>
      </w:r>
      <w:r>
        <w:rPr>
          <w:rFonts w:ascii="Arial" w:hAnsi="Arial"/>
          <w:color w:val="231F20"/>
          <w:spacing w:val="-12"/>
          <w:sz w:val="17"/>
        </w:rPr>
        <w:t> </w:t>
      </w:r>
      <w:r>
        <w:rPr>
          <w:rFonts w:ascii="Arial" w:hAnsi="Arial"/>
          <w:color w:val="231F20"/>
          <w:sz w:val="17"/>
        </w:rPr>
        <w:t>aussi</w:t>
      </w:r>
      <w:r>
        <w:rPr>
          <w:rFonts w:ascii="Arial" w:hAnsi="Arial"/>
          <w:color w:val="231F20"/>
          <w:spacing w:val="-11"/>
          <w:sz w:val="17"/>
        </w:rPr>
        <w:t> </w:t>
      </w:r>
      <w:r>
        <w:rPr>
          <w:rFonts w:ascii="Arial" w:hAnsi="Arial"/>
          <w:color w:val="231F20"/>
          <w:sz w:val="17"/>
        </w:rPr>
        <w:t>plus</w:t>
      </w:r>
      <w:r>
        <w:rPr>
          <w:rFonts w:ascii="Arial" w:hAnsi="Arial"/>
          <w:color w:val="231F20"/>
          <w:spacing w:val="-12"/>
          <w:sz w:val="17"/>
        </w:rPr>
        <w:t> </w:t>
      </w:r>
      <w:r>
        <w:rPr>
          <w:rFonts w:ascii="Arial" w:hAnsi="Arial"/>
          <w:color w:val="231F20"/>
          <w:sz w:val="17"/>
        </w:rPr>
        <w:t>enclin</w:t>
      </w:r>
      <w:r>
        <w:rPr>
          <w:rFonts w:ascii="Arial" w:hAnsi="Arial"/>
          <w:color w:val="231F20"/>
          <w:spacing w:val="-12"/>
          <w:sz w:val="17"/>
        </w:rPr>
        <w:t> </w:t>
      </w:r>
      <w:r>
        <w:rPr>
          <w:rFonts w:ascii="Arial" w:hAnsi="Arial"/>
          <w:color w:val="231F20"/>
          <w:sz w:val="17"/>
        </w:rPr>
        <w:t>à</w:t>
      </w:r>
      <w:r>
        <w:rPr>
          <w:rFonts w:ascii="Arial" w:hAnsi="Arial"/>
          <w:color w:val="231F20"/>
          <w:spacing w:val="-11"/>
          <w:sz w:val="17"/>
        </w:rPr>
        <w:t> </w:t>
      </w:r>
      <w:r>
        <w:rPr>
          <w:rFonts w:ascii="Arial" w:hAnsi="Arial"/>
          <w:color w:val="231F20"/>
          <w:sz w:val="17"/>
        </w:rPr>
        <w:t>piquer</w:t>
      </w:r>
      <w:r>
        <w:rPr>
          <w:rFonts w:ascii="Arial" w:hAnsi="Arial"/>
          <w:color w:val="231F20"/>
          <w:spacing w:val="-12"/>
          <w:sz w:val="17"/>
        </w:rPr>
        <w:t> </w:t>
      </w:r>
      <w:r>
        <w:rPr>
          <w:rFonts w:ascii="Arial" w:hAnsi="Arial"/>
          <w:color w:val="231F20"/>
          <w:sz w:val="17"/>
        </w:rPr>
        <w:t>des</w:t>
      </w:r>
      <w:r>
        <w:rPr>
          <w:rFonts w:ascii="Arial" w:hAnsi="Arial"/>
          <w:color w:val="231F20"/>
          <w:spacing w:val="-12"/>
          <w:sz w:val="17"/>
        </w:rPr>
        <w:t> </w:t>
      </w:r>
      <w:r>
        <w:rPr>
          <w:rFonts w:ascii="Arial" w:hAnsi="Arial"/>
          <w:color w:val="231F20"/>
          <w:sz w:val="17"/>
        </w:rPr>
        <w:t>colères</w:t>
      </w:r>
      <w:r>
        <w:rPr>
          <w:rFonts w:ascii="Arial" w:hAnsi="Arial"/>
          <w:color w:val="231F20"/>
          <w:spacing w:val="-11"/>
          <w:sz w:val="17"/>
        </w:rPr>
        <w:t> </w:t>
      </w:r>
      <w:r>
        <w:rPr>
          <w:rFonts w:ascii="Arial" w:hAnsi="Arial"/>
          <w:color w:val="231F20"/>
          <w:sz w:val="17"/>
        </w:rPr>
        <w:t>au</w:t>
      </w:r>
      <w:r>
        <w:rPr>
          <w:rFonts w:ascii="Arial" w:hAnsi="Arial"/>
          <w:color w:val="231F20"/>
          <w:spacing w:val="-12"/>
          <w:sz w:val="17"/>
        </w:rPr>
        <w:t> </w:t>
      </w:r>
      <w:r>
        <w:rPr>
          <w:rFonts w:ascii="Arial" w:hAnsi="Arial"/>
          <w:color w:val="231F20"/>
          <w:sz w:val="17"/>
        </w:rPr>
        <w:t>sujet</w:t>
      </w:r>
      <w:r>
        <w:rPr>
          <w:rFonts w:ascii="Arial" w:hAnsi="Arial"/>
          <w:color w:val="231F20"/>
          <w:spacing w:val="-12"/>
          <w:sz w:val="17"/>
        </w:rPr>
        <w:t> </w:t>
      </w:r>
      <w:r>
        <w:rPr>
          <w:rFonts w:ascii="Arial" w:hAnsi="Arial"/>
          <w:color w:val="231F20"/>
          <w:sz w:val="17"/>
        </w:rPr>
        <w:t>de</w:t>
      </w:r>
      <w:r>
        <w:rPr>
          <w:rFonts w:ascii="Arial" w:hAnsi="Arial"/>
          <w:color w:val="231F20"/>
          <w:spacing w:val="-11"/>
          <w:sz w:val="17"/>
        </w:rPr>
        <w:t> </w:t>
      </w:r>
      <w:r>
        <w:rPr>
          <w:rFonts w:ascii="Arial" w:hAnsi="Arial"/>
          <w:color w:val="231F20"/>
          <w:sz w:val="17"/>
        </w:rPr>
        <w:t>menus détails lorsque vous avez l’impression d’avoir été pris dans un piège ou humilié.</w:t>
      </w:r>
    </w:p>
    <w:p>
      <w:pPr>
        <w:pStyle w:val="BodyText"/>
        <w:spacing w:before="3"/>
        <w:rPr>
          <w:rFonts w:ascii="Arial"/>
          <w:sz w:val="4"/>
        </w:rPr>
      </w:pPr>
      <w:r>
        <w:rPr/>
        <w:pict>
          <v:shape style="position:absolute;margin-left:82pt;margin-top:3.699167pt;width:287.5pt;height:.1pt;mso-position-horizontal-relative:page;mso-position-vertical-relative:paragraph;z-index:-15649280;mso-wrap-distance-left:0;mso-wrap-distance-right:0" id="docshape912" coordorigin="1640,74" coordsize="5750,0" path="m1640,74l7390,74e" filled="false" stroked="true" strokeweight=".25pt" strokecolor="#231f20">
            <v:path arrowok="t"/>
            <v:stroke dashstyle="shortdot"/>
            <w10:wrap type="topAndBottom"/>
          </v:shape>
        </w:pict>
      </w:r>
    </w:p>
    <w:p>
      <w:pPr>
        <w:spacing w:line="295" w:lineRule="auto" w:before="137"/>
        <w:ind w:left="1220" w:right="356" w:firstLine="0"/>
        <w:jc w:val="both"/>
        <w:rPr>
          <w:rFonts w:ascii="Arial" w:hAnsi="Arial"/>
          <w:sz w:val="12"/>
        </w:rPr>
      </w:pPr>
      <w:r>
        <w:rPr>
          <w:rFonts w:ascii="Arial" w:hAnsi="Arial"/>
          <w:color w:val="231F20"/>
          <w:spacing w:val="-2"/>
          <w:sz w:val="12"/>
        </w:rPr>
        <w:t>Source</w:t>
      </w:r>
      <w:r>
        <w:rPr>
          <w:rFonts w:ascii="Arial" w:hAnsi="Arial"/>
          <w:color w:val="231F20"/>
          <w:spacing w:val="-7"/>
          <w:sz w:val="12"/>
        </w:rPr>
        <w:t> </w:t>
      </w:r>
      <w:r>
        <w:rPr>
          <w:rFonts w:ascii="Arial" w:hAnsi="Arial"/>
          <w:color w:val="231F20"/>
          <w:spacing w:val="-2"/>
          <w:sz w:val="12"/>
        </w:rPr>
        <w:t>:</w:t>
      </w:r>
      <w:r>
        <w:rPr>
          <w:rFonts w:ascii="Arial" w:hAnsi="Arial"/>
          <w:color w:val="231F20"/>
          <w:spacing w:val="-6"/>
          <w:sz w:val="12"/>
        </w:rPr>
        <w:t> </w:t>
      </w:r>
      <w:r>
        <w:rPr>
          <w:rFonts w:ascii="Arial" w:hAnsi="Arial"/>
          <w:color w:val="231F20"/>
          <w:spacing w:val="-2"/>
          <w:sz w:val="12"/>
        </w:rPr>
        <w:t>Gagné,</w:t>
      </w:r>
      <w:r>
        <w:rPr>
          <w:rFonts w:ascii="Arial" w:hAnsi="Arial"/>
          <w:color w:val="231F20"/>
          <w:spacing w:val="-5"/>
          <w:sz w:val="12"/>
        </w:rPr>
        <w:t> </w:t>
      </w:r>
      <w:r>
        <w:rPr>
          <w:rFonts w:ascii="Arial" w:hAnsi="Arial"/>
          <w:color w:val="231F20"/>
          <w:spacing w:val="-2"/>
          <w:sz w:val="12"/>
        </w:rPr>
        <w:t>M. (2016). Les symptômes et les conséquences d’une faible estime de vous-même, mais</w:t>
      </w:r>
      <w:r>
        <w:rPr>
          <w:rFonts w:ascii="Arial" w:hAnsi="Arial"/>
          <w:color w:val="231F20"/>
          <w:spacing w:val="40"/>
          <w:sz w:val="12"/>
        </w:rPr>
        <w:t> </w:t>
      </w:r>
      <w:r>
        <w:rPr>
          <w:rFonts w:ascii="Arial" w:hAnsi="Arial"/>
          <w:color w:val="231F20"/>
          <w:sz w:val="12"/>
        </w:rPr>
        <w:t>stable…,</w:t>
      </w:r>
      <w:r>
        <w:rPr>
          <w:rFonts w:ascii="Arial" w:hAnsi="Arial"/>
          <w:color w:val="231F20"/>
          <w:spacing w:val="-11"/>
          <w:sz w:val="12"/>
        </w:rPr>
        <w:t> </w:t>
      </w:r>
      <w:r>
        <w:rPr>
          <w:rFonts w:ascii="Arial" w:hAnsi="Arial"/>
          <w:color w:val="231F20"/>
          <w:sz w:val="12"/>
        </w:rPr>
        <w:t>TOPP</w:t>
      </w:r>
      <w:r>
        <w:rPr>
          <w:rFonts w:ascii="Arial" w:hAnsi="Arial"/>
          <w:color w:val="231F20"/>
          <w:spacing w:val="-8"/>
          <w:sz w:val="12"/>
        </w:rPr>
        <w:t> </w:t>
      </w:r>
      <w:r>
        <w:rPr>
          <w:rFonts w:ascii="Arial" w:hAnsi="Arial"/>
          <w:color w:val="231F20"/>
          <w:sz w:val="12"/>
        </w:rPr>
        <w:t>Confiance,</w:t>
      </w:r>
      <w:r>
        <w:rPr>
          <w:rFonts w:ascii="Arial" w:hAnsi="Arial"/>
          <w:color w:val="231F20"/>
          <w:spacing w:val="-8"/>
          <w:sz w:val="12"/>
        </w:rPr>
        <w:t> </w:t>
      </w:r>
      <w:r>
        <w:rPr>
          <w:rFonts w:ascii="Arial" w:hAnsi="Arial"/>
          <w:color w:val="231F20"/>
          <w:sz w:val="12"/>
        </w:rPr>
        <w:t>&lt;</w:t>
      </w:r>
      <w:hyperlink r:id="rId254">
        <w:r>
          <w:rPr>
            <w:rFonts w:ascii="Arial" w:hAnsi="Arial"/>
            <w:color w:val="231F20"/>
            <w:sz w:val="12"/>
          </w:rPr>
          <w:t>http://toppconfiance.com/les-symptomes-et-les-consequences-dune-faible-</w:t>
        </w:r>
      </w:hyperlink>
      <w:r>
        <w:rPr>
          <w:rFonts w:ascii="Arial" w:hAnsi="Arial"/>
          <w:color w:val="231F20"/>
          <w:spacing w:val="40"/>
          <w:w w:val="105"/>
          <w:sz w:val="12"/>
        </w:rPr>
        <w:t> </w:t>
      </w:r>
      <w:r>
        <w:rPr>
          <w:rFonts w:ascii="Arial" w:hAnsi="Arial"/>
          <w:color w:val="231F20"/>
          <w:w w:val="105"/>
          <w:sz w:val="12"/>
        </w:rPr>
        <w:t>estime-de-vous-meme-mais-stable-et-comment-la-renforcir/&gt;,</w:t>
      </w:r>
      <w:r>
        <w:rPr>
          <w:rFonts w:ascii="Arial" w:hAnsi="Arial"/>
          <w:color w:val="231F20"/>
          <w:spacing w:val="-2"/>
          <w:w w:val="105"/>
          <w:sz w:val="12"/>
        </w:rPr>
        <w:t> </w:t>
      </w:r>
      <w:r>
        <w:rPr>
          <w:rFonts w:ascii="Arial" w:hAnsi="Arial"/>
          <w:color w:val="231F20"/>
          <w:w w:val="105"/>
          <w:sz w:val="12"/>
        </w:rPr>
        <w:t>consulté</w:t>
      </w:r>
      <w:r>
        <w:rPr>
          <w:rFonts w:ascii="Arial" w:hAnsi="Arial"/>
          <w:color w:val="231F20"/>
          <w:spacing w:val="-2"/>
          <w:w w:val="105"/>
          <w:sz w:val="12"/>
        </w:rPr>
        <w:t> </w:t>
      </w:r>
      <w:r>
        <w:rPr>
          <w:rFonts w:ascii="Arial" w:hAnsi="Arial"/>
          <w:color w:val="231F20"/>
          <w:w w:val="105"/>
          <w:sz w:val="12"/>
        </w:rPr>
        <w:t>le</w:t>
      </w:r>
      <w:r>
        <w:rPr>
          <w:rFonts w:ascii="Arial" w:hAnsi="Arial"/>
          <w:color w:val="231F20"/>
          <w:spacing w:val="-2"/>
          <w:w w:val="105"/>
          <w:sz w:val="12"/>
        </w:rPr>
        <w:t> </w:t>
      </w:r>
      <w:r>
        <w:rPr>
          <w:rFonts w:ascii="Arial" w:hAnsi="Arial"/>
          <w:color w:val="231F20"/>
          <w:w w:val="105"/>
          <w:sz w:val="12"/>
        </w:rPr>
        <w:t>22</w:t>
      </w:r>
      <w:r>
        <w:rPr>
          <w:rFonts w:ascii="Arial" w:hAnsi="Arial"/>
          <w:color w:val="231F20"/>
          <w:spacing w:val="-2"/>
          <w:w w:val="105"/>
          <w:sz w:val="12"/>
        </w:rPr>
        <w:t> </w:t>
      </w:r>
      <w:r>
        <w:rPr>
          <w:rFonts w:ascii="Arial" w:hAnsi="Arial"/>
          <w:color w:val="231F20"/>
          <w:w w:val="105"/>
          <w:sz w:val="12"/>
        </w:rPr>
        <w:t>octobre</w:t>
      </w:r>
      <w:r>
        <w:rPr>
          <w:rFonts w:ascii="Arial" w:hAnsi="Arial"/>
          <w:color w:val="231F20"/>
          <w:spacing w:val="-2"/>
          <w:w w:val="105"/>
          <w:sz w:val="12"/>
        </w:rPr>
        <w:t> </w:t>
      </w:r>
      <w:r>
        <w:rPr>
          <w:rFonts w:ascii="Arial" w:hAnsi="Arial"/>
          <w:color w:val="231F20"/>
          <w:w w:val="105"/>
          <w:sz w:val="12"/>
        </w:rPr>
        <w:t>2021.</w:t>
      </w:r>
    </w:p>
    <w:p>
      <w:pPr>
        <w:spacing w:after="0" w:line="295" w:lineRule="auto"/>
        <w:jc w:val="both"/>
        <w:rPr>
          <w:rFonts w:ascii="Arial" w:hAnsi="Arial"/>
          <w:sz w:val="12"/>
        </w:rPr>
        <w:sectPr>
          <w:footerReference w:type="default" r:id="rId253"/>
          <w:pgSz w:w="8640" w:h="12960"/>
          <w:pgMar w:footer="424" w:header="0" w:top="500" w:bottom="620" w:left="420" w:right="1140"/>
        </w:sectPr>
      </w:pPr>
    </w:p>
    <w:p>
      <w:pPr>
        <w:spacing w:before="103"/>
        <w:ind w:left="1028" w:right="698" w:firstLine="0"/>
        <w:jc w:val="center"/>
        <w:rPr>
          <w:rFonts w:ascii="Arial" w:hAnsi="Arial"/>
          <w:sz w:val="14"/>
        </w:rPr>
      </w:pPr>
      <w:bookmarkStart w:name="Figure 4.3 / Formule CRASH" w:id="147"/>
      <w:bookmarkEnd w:id="147"/>
      <w:r>
        <w:rPr/>
      </w:r>
      <w:bookmarkStart w:name="_bookmark64" w:id="148"/>
      <w:bookmarkEnd w:id="148"/>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3"/>
        <w:rPr>
          <w:rFonts w:ascii="Arial"/>
          <w:sz w:val="29"/>
        </w:rPr>
      </w:pPr>
      <w:r>
        <w:rPr/>
        <w:pict>
          <v:group style="position:absolute;margin-left:62.5pt;margin-top:18.051661pt;width:287.5pt;height:186.3pt;mso-position-horizontal-relative:page;mso-position-vertical-relative:paragraph;z-index:-15648768;mso-wrap-distance-left:0;mso-wrap-distance-right:0" id="docshapegroup914" coordorigin="1250,361" coordsize="5750,3726">
            <v:shape style="position:absolute;left:1250;top:361;width:5750;height:3726" id="docshape915" coordorigin="1250,361" coordsize="5750,3726" path="m7000,361l1250,361,1250,906,1250,1066,1250,3417,1250,3527,1250,4087,7000,4087,7000,3527,7000,3417,7000,1066,7000,906,7000,361xe" filled="true" fillcolor="#e2e3e4" stroked="false">
              <v:path arrowok="t"/>
              <v:fill type="solid"/>
            </v:shape>
            <v:line style="position:absolute" from="1500,3415" to="6750,3415" stroked="true" strokeweight=".25pt" strokecolor="#231f20">
              <v:stroke dashstyle="shortdot"/>
            </v:line>
            <v:rect style="position:absolute;left:3123;top:1768;width:1915;height:702" id="docshape916" filled="true" fillcolor="#ffffff" stroked="false">
              <v:fill type="solid"/>
            </v:rect>
            <v:line style="position:absolute" from="3884,1488" to="3884,1498" stroked="true" strokeweight=".25pt" strokecolor="#231f20">
              <v:stroke dashstyle="solid"/>
            </v:line>
            <v:line style="position:absolute" from="3884,1535" to="3884,1628" stroked="true" strokeweight=".25pt" strokecolor="#231f20">
              <v:stroke dashstyle="shortdot"/>
            </v:line>
            <v:line style="position:absolute" from="3884,1647" to="3884,1795" stroked="true" strokeweight=".25pt" strokecolor="#231f20">
              <v:stroke dashstyle="shortdot"/>
            </v:line>
            <v:line style="position:absolute" from="3884,1814" to="3884,1824" stroked="true" strokeweight=".25pt" strokecolor="#231f20">
              <v:stroke dashstyle="solid"/>
            </v:line>
            <v:shape style="position:absolute;left:3851;top:1814;width:65;height:57" id="docshape917" coordorigin="3852,1814" coordsize="65,57" path="m3916,1814l3852,1814,3884,1871,3916,1814xe" filled="true" fillcolor="#231f20" stroked="false">
              <v:path arrowok="t"/>
              <v:fill type="solid"/>
            </v:shape>
            <v:line style="position:absolute" from="4338,1488" to="4338,1498" stroked="true" strokeweight=".25pt" strokecolor="#231f20">
              <v:stroke dashstyle="solid"/>
            </v:line>
            <v:line style="position:absolute" from="4338,1546" to="4338,1666" stroked="true" strokeweight=".25pt" strokecolor="#231f20">
              <v:stroke dashstyle="shortdot"/>
            </v:line>
            <v:line style="position:absolute" from="4338,1690" to="4338,1881" stroked="true" strokeweight=".25pt" strokecolor="#231f20">
              <v:stroke dashstyle="shortdot"/>
            </v:line>
            <v:line style="position:absolute" from="4338,1905" to="4338,1915" stroked="true" strokeweight=".25pt" strokecolor="#231f20">
              <v:stroke dashstyle="solid"/>
            </v:line>
            <v:shape style="position:absolute;left:4305;top:1905;width:65;height:57" id="docshape918" coordorigin="4306,1906" coordsize="65,57" path="m4371,1906l4306,1906,4338,1962,4371,1906xe" filled="true" fillcolor="#231f20" stroked="false">
              <v:path arrowok="t"/>
              <v:fill type="solid"/>
            </v:shape>
            <v:line style="position:absolute" from="4604,2749" to="4604,2739" stroked="true" strokeweight=".25pt" strokecolor="#231f20">
              <v:stroke dashstyle="solid"/>
            </v:line>
            <v:line style="position:absolute" from="4604,2705" to="4604,2619" stroked="true" strokeweight=".25pt" strokecolor="#231f20">
              <v:stroke dashstyle="dot"/>
            </v:line>
            <v:line style="position:absolute" from="4604,2601" to="4604,2309" stroked="true" strokeweight=".25pt" strokecolor="#231f20">
              <v:stroke dashstyle="dot"/>
            </v:line>
            <v:line style="position:absolute" from="4604,2292" to="4604,2282" stroked="true" strokeweight=".25pt" strokecolor="#231f20">
              <v:stroke dashstyle="solid"/>
            </v:line>
            <v:shape style="position:absolute;left:4571;top:2235;width:65;height:57" id="docshape919" coordorigin="4571,2235" coordsize="65,57" path="m4604,2235l4571,2292,4636,2292,4604,2235xe" filled="true" fillcolor="#231f20" stroked="false">
              <v:path arrowok="t"/>
              <v:fill type="solid"/>
            </v:shape>
            <v:line style="position:absolute" from="3884,2743" to="3884,2733" stroked="true" strokeweight=".25pt" strokecolor="#231f20">
              <v:stroke dashstyle="solid"/>
            </v:line>
            <v:line style="position:absolute" from="3884,2696" to="3884,2603" stroked="true" strokeweight=".25pt" strokecolor="#231f20">
              <v:stroke dashstyle="shortdot"/>
            </v:line>
            <v:line style="position:absolute" from="3884,2584" to="3884,2436" stroked="true" strokeweight=".25pt" strokecolor="#231f20">
              <v:stroke dashstyle="shortdot"/>
            </v:line>
            <v:line style="position:absolute" from="3884,2417" to="3884,2407" stroked="true" strokeweight=".25pt" strokecolor="#231f20">
              <v:stroke dashstyle="solid"/>
            </v:line>
            <v:shape style="position:absolute;left:3851;top:2360;width:65;height:57" id="docshape920" coordorigin="3852,2361" coordsize="65,57" path="m3884,2361l3852,2417,3916,2417,3884,2361xe" filled="true" fillcolor="#231f20" stroked="false">
              <v:path arrowok="t"/>
              <v:fill type="solid"/>
            </v:shape>
            <v:line style="position:absolute" from="2849,2119" to="2859,2119" stroked="true" strokeweight=".25pt" strokecolor="#231f20">
              <v:stroke dashstyle="solid"/>
            </v:line>
            <v:line style="position:absolute" from="2894,2119" to="2981,2119" stroked="true" strokeweight=".25pt" strokecolor="#231f20">
              <v:stroke dashstyle="shortdot"/>
            </v:line>
            <v:line style="position:absolute" from="2998,2119" to="3295,2119" stroked="true" strokeweight=".25pt" strokecolor="#231f20">
              <v:stroke dashstyle="shortdot"/>
            </v:line>
            <v:line style="position:absolute" from="3312,2119" to="3322,2119" stroked="true" strokeweight=".25pt" strokecolor="#231f20">
              <v:stroke dashstyle="solid"/>
            </v:line>
            <v:shape style="position:absolute;left:3312;top:2086;width:57;height:65" id="docshape921" coordorigin="3313,2087" coordsize="57,65" path="m3313,2087l3313,2152,3369,2119,3313,2087xe" filled="true" fillcolor="#231f20" stroked="false">
              <v:path arrowok="t"/>
              <v:fill type="solid"/>
            </v:shape>
            <v:shape style="position:absolute;left:4462;top:1628;width:938;height:506" id="docshape922" coordorigin="4463,1629" coordsize="938,506" path="m4463,1915l4463,1629,5220,1629,5220,2135,5400,2135e" filled="false" stroked="true" strokeweight=".25pt" strokecolor="#231f20">
              <v:path arrowok="t"/>
              <v:stroke dashstyle="dot"/>
            </v:shape>
            <v:shape style="position:absolute;left:4430;top:1905;width:65;height:57" id="docshape923" coordorigin="4430,1906" coordsize="65,57" path="m4495,1906l4430,1906,4463,1962,4495,1906xe" filled="true" fillcolor="#231f20" stroked="false">
              <v:path arrowok="t"/>
              <v:fill type="solid"/>
            </v:shape>
            <v:shape style="position:absolute;left:1500;top:532;width:2201;height:246" type="#_x0000_t202" id="docshape924" filled="false" stroked="false">
              <v:textbox inset="0,0,0,0">
                <w:txbxContent>
                  <w:p>
                    <w:pPr>
                      <w:spacing w:before="44"/>
                      <w:ind w:left="0" w:right="0" w:firstLine="0"/>
                      <w:jc w:val="left"/>
                      <w:rPr>
                        <w:rFonts w:ascii="Arial"/>
                        <w:b/>
                        <w:sz w:val="17"/>
                      </w:rPr>
                    </w:pPr>
                    <w:r>
                      <w:rPr>
                        <w:rFonts w:ascii="Arial"/>
                        <w:color w:val="231F20"/>
                        <w:sz w:val="17"/>
                      </w:rPr>
                      <w:t>Figure</w:t>
                    </w:r>
                    <w:r>
                      <w:rPr>
                        <w:rFonts w:ascii="Arial"/>
                        <w:color w:val="231F20"/>
                        <w:spacing w:val="-4"/>
                        <w:sz w:val="17"/>
                      </w:rPr>
                      <w:t> </w:t>
                    </w:r>
                    <w:r>
                      <w:rPr>
                        <w:rFonts w:ascii="Arial"/>
                        <w:color w:val="231F20"/>
                        <w:sz w:val="17"/>
                      </w:rPr>
                      <w:t>4.3</w:t>
                    </w:r>
                    <w:r>
                      <w:rPr>
                        <w:rFonts w:ascii="Arial"/>
                        <w:color w:val="231F20"/>
                        <w:spacing w:val="-16"/>
                        <w:sz w:val="17"/>
                      </w:rPr>
                      <w:t> </w:t>
                    </w:r>
                    <w:r>
                      <w:rPr>
                        <w:rFonts w:ascii="Arial"/>
                        <w:i/>
                        <w:color w:val="231F20"/>
                        <w:sz w:val="17"/>
                      </w:rPr>
                      <w:t>/</w:t>
                    </w:r>
                    <w:r>
                      <w:rPr>
                        <w:rFonts w:ascii="Arial"/>
                        <w:i/>
                        <w:color w:val="231F20"/>
                        <w:spacing w:val="40"/>
                        <w:sz w:val="17"/>
                      </w:rPr>
                      <w:t> </w:t>
                    </w:r>
                    <w:r>
                      <w:rPr>
                        <w:rFonts w:ascii="Arial"/>
                        <w:b/>
                        <w:color w:val="231F20"/>
                        <w:sz w:val="17"/>
                      </w:rPr>
                      <w:t>Formule</w:t>
                    </w:r>
                    <w:r>
                      <w:rPr>
                        <w:rFonts w:ascii="Arial"/>
                        <w:b/>
                        <w:color w:val="231F20"/>
                        <w:spacing w:val="-9"/>
                        <w:sz w:val="17"/>
                      </w:rPr>
                      <w:t> </w:t>
                    </w:r>
                    <w:r>
                      <w:rPr>
                        <w:rFonts w:ascii="Arial"/>
                        <w:b/>
                        <w:color w:val="231F20"/>
                        <w:spacing w:val="-4"/>
                        <w:w w:val="90"/>
                        <w:sz w:val="17"/>
                      </w:rPr>
                      <w:t>CRASH</w:t>
                    </w:r>
                  </w:p>
                </w:txbxContent>
              </v:textbox>
              <w10:wrap type="none"/>
            </v:shape>
            <v:shape style="position:absolute;left:3412;top:1833;width:1358;height:404" type="#_x0000_t202" id="docshape925" filled="false" stroked="false">
              <v:textbox inset="0,0,0,0">
                <w:txbxContent>
                  <w:p>
                    <w:pPr>
                      <w:spacing w:before="29"/>
                      <w:ind w:left="0" w:right="0" w:firstLine="0"/>
                      <w:jc w:val="left"/>
                      <w:rPr>
                        <w:rFonts w:ascii="Arial" w:hAnsi="Arial"/>
                        <w:sz w:val="22"/>
                      </w:rPr>
                    </w:pPr>
                    <w:r>
                      <w:rPr>
                        <w:rFonts w:ascii="Arial" w:hAnsi="Arial"/>
                        <w:color w:val="231F20"/>
                        <w:w w:val="95"/>
                        <w:sz w:val="22"/>
                      </w:rPr>
                      <w:t>S</w:t>
                    </w:r>
                    <w:r>
                      <w:rPr>
                        <w:rFonts w:ascii="Arial" w:hAnsi="Arial"/>
                        <w:color w:val="231F20"/>
                        <w:spacing w:val="-8"/>
                        <w:w w:val="95"/>
                        <w:sz w:val="22"/>
                      </w:rPr>
                      <w:t> </w:t>
                    </w:r>
                    <w:r>
                      <w:rPr>
                        <w:rFonts w:ascii="Arial" w:hAnsi="Arial"/>
                        <w:color w:val="231F20"/>
                        <w:w w:val="95"/>
                        <w:sz w:val="22"/>
                      </w:rPr>
                      <w:t>=</w:t>
                    </w:r>
                    <w:r>
                      <w:rPr>
                        <w:rFonts w:ascii="Arial" w:hAnsi="Arial"/>
                        <w:color w:val="231F20"/>
                        <w:spacing w:val="11"/>
                        <w:sz w:val="22"/>
                      </w:rPr>
                      <w:t> </w:t>
                    </w:r>
                    <w:r>
                      <w:rPr>
                        <w:rFonts w:ascii="Arial" w:hAnsi="Arial"/>
                        <w:color w:val="231F20"/>
                        <w:w w:val="95"/>
                        <w:position w:val="12"/>
                        <w:sz w:val="22"/>
                        <w:u w:val="single" w:color="231F20"/>
                      </w:rPr>
                      <w:t>C</w:t>
                    </w:r>
                    <w:r>
                      <w:rPr>
                        <w:rFonts w:ascii="Arial" w:hAnsi="Arial"/>
                        <w:color w:val="231F20"/>
                        <w:spacing w:val="19"/>
                        <w:position w:val="12"/>
                        <w:sz w:val="22"/>
                      </w:rPr>
                      <w:t> </w:t>
                    </w:r>
                    <w:r>
                      <w:rPr>
                        <w:rFonts w:ascii="Arial" w:hAnsi="Arial"/>
                        <w:color w:val="231F20"/>
                        <w:w w:val="95"/>
                        <w:sz w:val="22"/>
                      </w:rPr>
                      <w:t>–</w:t>
                    </w:r>
                    <w:r>
                      <w:rPr>
                        <w:rFonts w:ascii="Arial" w:hAnsi="Arial"/>
                        <w:color w:val="231F20"/>
                        <w:spacing w:val="-12"/>
                        <w:w w:val="95"/>
                        <w:sz w:val="22"/>
                      </w:rPr>
                      <w:t> </w:t>
                    </w:r>
                    <w:r>
                      <w:rPr>
                        <w:rFonts w:ascii="Arial" w:hAnsi="Arial"/>
                        <w:color w:val="231F20"/>
                        <w:spacing w:val="-2"/>
                        <w:w w:val="95"/>
                        <w:sz w:val="22"/>
                      </w:rPr>
                      <w:t>(ASH)</w:t>
                    </w:r>
                  </w:p>
                </w:txbxContent>
              </v:textbox>
              <w10:wrap type="none"/>
            </v:shape>
            <v:shape style="position:absolute;left:3801;top:2069;width:153;height:287" type="#_x0000_t202" id="docshape926" filled="false" stroked="false">
              <v:textbox inset="0,0,0,0">
                <w:txbxContent>
                  <w:p>
                    <w:pPr>
                      <w:spacing w:before="31"/>
                      <w:ind w:left="0" w:right="0" w:firstLine="0"/>
                      <w:jc w:val="left"/>
                      <w:rPr>
                        <w:rFonts w:ascii="Arial"/>
                        <w:sz w:val="22"/>
                      </w:rPr>
                    </w:pPr>
                    <w:r>
                      <w:rPr>
                        <w:rFonts w:ascii="Arial"/>
                        <w:color w:val="231F20"/>
                        <w:w w:val="83"/>
                        <w:sz w:val="22"/>
                      </w:rPr>
                      <w:t>R</w:t>
                    </w:r>
                  </w:p>
                </w:txbxContent>
              </v:textbox>
              <w10:wrap type="none"/>
            </v:shape>
            <v:shape style="position:absolute;left:1500;top:3526;width:5271;height:340" type="#_x0000_t202" id="docshape927" filled="false" stroked="false">
              <v:textbox inset="0,0,0,0">
                <w:txbxContent>
                  <w:p>
                    <w:pPr>
                      <w:spacing w:line="295" w:lineRule="auto" w:before="23"/>
                      <w:ind w:left="0" w:right="18" w:firstLine="0"/>
                      <w:jc w:val="left"/>
                      <w:rPr>
                        <w:rFonts w:ascii="Arial" w:hAnsi="Arial"/>
                        <w:sz w:val="12"/>
                      </w:rPr>
                    </w:pPr>
                    <w:r>
                      <w:rPr>
                        <w:rFonts w:ascii="Arial" w:hAnsi="Arial"/>
                        <w:color w:val="231F20"/>
                        <w:spacing w:val="-2"/>
                        <w:sz w:val="12"/>
                      </w:rPr>
                      <w:t>Source</w:t>
                    </w:r>
                    <w:r>
                      <w:rPr>
                        <w:rFonts w:ascii="Arial" w:hAnsi="Arial"/>
                        <w:color w:val="231F20"/>
                        <w:spacing w:val="-24"/>
                        <w:sz w:val="12"/>
                      </w:rPr>
                      <w:t> </w:t>
                    </w:r>
                    <w:r>
                      <w:rPr>
                        <w:rFonts w:ascii="Arial" w:hAnsi="Arial"/>
                        <w:color w:val="231F20"/>
                        <w:spacing w:val="-2"/>
                        <w:sz w:val="12"/>
                      </w:rPr>
                      <w:t>:</w:t>
                    </w:r>
                    <w:r>
                      <w:rPr>
                        <w:rFonts w:ascii="Arial" w:hAnsi="Arial"/>
                        <w:color w:val="231F20"/>
                        <w:spacing w:val="-7"/>
                        <w:sz w:val="12"/>
                      </w:rPr>
                      <w:t> </w:t>
                    </w:r>
                    <w:r>
                      <w:rPr>
                        <w:rFonts w:ascii="Arial" w:hAnsi="Arial"/>
                        <w:color w:val="231F20"/>
                        <w:spacing w:val="-2"/>
                        <w:sz w:val="12"/>
                      </w:rPr>
                      <w:t>Adapté</w:t>
                    </w:r>
                    <w:r>
                      <w:rPr>
                        <w:rFonts w:ascii="Arial" w:hAnsi="Arial"/>
                        <w:color w:val="231F20"/>
                        <w:spacing w:val="-7"/>
                        <w:sz w:val="12"/>
                      </w:rPr>
                      <w:t> </w:t>
                    </w:r>
                    <w:r>
                      <w:rPr>
                        <w:rFonts w:ascii="Arial" w:hAnsi="Arial"/>
                        <w:color w:val="231F20"/>
                        <w:spacing w:val="-2"/>
                        <w:sz w:val="12"/>
                      </w:rPr>
                      <w:t>de</w:t>
                    </w:r>
                    <w:r>
                      <w:rPr>
                        <w:rFonts w:ascii="Arial" w:hAnsi="Arial"/>
                        <w:color w:val="231F20"/>
                        <w:spacing w:val="-7"/>
                        <w:sz w:val="12"/>
                      </w:rPr>
                      <w:t> </w:t>
                    </w:r>
                    <w:r>
                      <w:rPr>
                        <w:rFonts w:ascii="Arial" w:hAnsi="Arial"/>
                        <w:color w:val="231F20"/>
                        <w:spacing w:val="-2"/>
                        <w:sz w:val="12"/>
                      </w:rPr>
                      <w:t>S.</w:t>
                    </w:r>
                    <w:r>
                      <w:rPr>
                        <w:rFonts w:ascii="Arial" w:hAnsi="Arial"/>
                        <w:color w:val="231F20"/>
                        <w:spacing w:val="-7"/>
                        <w:sz w:val="12"/>
                      </w:rPr>
                      <w:t> </w:t>
                    </w:r>
                    <w:r>
                      <w:rPr>
                        <w:rFonts w:ascii="Arial" w:hAnsi="Arial"/>
                        <w:color w:val="231F20"/>
                        <w:spacing w:val="-2"/>
                        <w:sz w:val="12"/>
                      </w:rPr>
                      <w:t>L.</w:t>
                    </w:r>
                    <w:r>
                      <w:rPr>
                        <w:rFonts w:ascii="Arial" w:hAnsi="Arial"/>
                        <w:color w:val="231F20"/>
                        <w:spacing w:val="-7"/>
                        <w:sz w:val="12"/>
                      </w:rPr>
                      <w:t> </w:t>
                    </w:r>
                    <w:r>
                      <w:rPr>
                        <w:rFonts w:ascii="Arial" w:hAnsi="Arial"/>
                        <w:color w:val="231F20"/>
                        <w:spacing w:val="-2"/>
                        <w:sz w:val="12"/>
                      </w:rPr>
                      <w:t>Dolan,</w:t>
                    </w:r>
                    <w:r>
                      <w:rPr>
                        <w:rFonts w:ascii="Arial" w:hAnsi="Arial"/>
                        <w:color w:val="231F20"/>
                        <w:spacing w:val="-7"/>
                        <w:sz w:val="12"/>
                      </w:rPr>
                      <w:t> </w:t>
                    </w:r>
                    <w:r>
                      <w:rPr>
                        <w:rFonts w:ascii="Arial" w:hAnsi="Arial"/>
                        <w:color w:val="231F20"/>
                        <w:spacing w:val="-2"/>
                        <w:sz w:val="12"/>
                      </w:rPr>
                      <w:t>S.</w:t>
                    </w:r>
                    <w:r>
                      <w:rPr>
                        <w:rFonts w:ascii="Arial" w:hAnsi="Arial"/>
                        <w:color w:val="231F20"/>
                        <w:spacing w:val="-7"/>
                        <w:sz w:val="12"/>
                      </w:rPr>
                      <w:t> </w:t>
                    </w:r>
                    <w:r>
                      <w:rPr>
                        <w:rFonts w:ascii="Arial" w:hAnsi="Arial"/>
                        <w:color w:val="231F20"/>
                        <w:spacing w:val="-2"/>
                        <w:sz w:val="12"/>
                      </w:rPr>
                      <w:t>García</w:t>
                    </w:r>
                    <w:r>
                      <w:rPr>
                        <w:rFonts w:ascii="Arial" w:hAnsi="Arial"/>
                        <w:color w:val="231F20"/>
                        <w:spacing w:val="-7"/>
                        <w:sz w:val="12"/>
                      </w:rPr>
                      <w:t> </w:t>
                    </w:r>
                    <w:r>
                      <w:rPr>
                        <w:rFonts w:ascii="Arial" w:hAnsi="Arial"/>
                        <w:color w:val="231F20"/>
                        <w:spacing w:val="-2"/>
                        <w:sz w:val="12"/>
                      </w:rPr>
                      <w:t>et</w:t>
                    </w:r>
                    <w:r>
                      <w:rPr>
                        <w:rFonts w:ascii="Arial" w:hAnsi="Arial"/>
                        <w:color w:val="231F20"/>
                        <w:spacing w:val="-7"/>
                        <w:sz w:val="12"/>
                      </w:rPr>
                      <w:t> </w:t>
                    </w:r>
                    <w:r>
                      <w:rPr>
                        <w:rFonts w:ascii="Arial" w:hAnsi="Arial"/>
                        <w:color w:val="231F20"/>
                        <w:spacing w:val="-2"/>
                        <w:sz w:val="12"/>
                      </w:rPr>
                      <w:t>M.</w:t>
                    </w:r>
                    <w:r>
                      <w:rPr>
                        <w:rFonts w:ascii="Arial" w:hAnsi="Arial"/>
                        <w:color w:val="231F20"/>
                        <w:spacing w:val="-7"/>
                        <w:sz w:val="12"/>
                      </w:rPr>
                      <w:t> </w:t>
                    </w:r>
                    <w:r>
                      <w:rPr>
                        <w:rFonts w:ascii="Arial" w:hAnsi="Arial"/>
                        <w:color w:val="231F20"/>
                        <w:spacing w:val="-2"/>
                        <w:sz w:val="12"/>
                      </w:rPr>
                      <w:t>Díez-Piñol</w:t>
                    </w:r>
                    <w:r>
                      <w:rPr>
                        <w:rFonts w:ascii="Arial" w:hAnsi="Arial"/>
                        <w:color w:val="231F20"/>
                        <w:spacing w:val="-7"/>
                        <w:sz w:val="12"/>
                      </w:rPr>
                      <w:t> </w:t>
                    </w:r>
                    <w:r>
                      <w:rPr>
                        <w:rFonts w:ascii="Arial" w:hAnsi="Arial"/>
                        <w:color w:val="231F20"/>
                        <w:spacing w:val="-2"/>
                        <w:sz w:val="12"/>
                      </w:rPr>
                      <w:t>(2005).</w:t>
                    </w:r>
                    <w:r>
                      <w:rPr>
                        <w:rFonts w:ascii="Arial" w:hAnsi="Arial"/>
                        <w:color w:val="231F20"/>
                        <w:spacing w:val="-7"/>
                        <w:sz w:val="12"/>
                      </w:rPr>
                      <w:t> </w:t>
                    </w:r>
                    <w:r>
                      <w:rPr>
                        <w:rFonts w:ascii="Arial" w:hAnsi="Arial"/>
                        <w:i/>
                        <w:color w:val="231F20"/>
                        <w:spacing w:val="-2"/>
                        <w:sz w:val="12"/>
                      </w:rPr>
                      <w:t>Autoestima,</w:t>
                    </w:r>
                    <w:r>
                      <w:rPr>
                        <w:rFonts w:ascii="Arial" w:hAnsi="Arial"/>
                        <w:i/>
                        <w:color w:val="231F20"/>
                        <w:spacing w:val="-7"/>
                        <w:sz w:val="12"/>
                      </w:rPr>
                      <w:t> </w:t>
                    </w:r>
                    <w:r>
                      <w:rPr>
                        <w:rFonts w:ascii="Arial" w:hAnsi="Arial"/>
                        <w:i/>
                        <w:color w:val="231F20"/>
                        <w:spacing w:val="-2"/>
                        <w:sz w:val="12"/>
                      </w:rPr>
                      <w:t>estrés</w:t>
                    </w:r>
                    <w:r>
                      <w:rPr>
                        <w:rFonts w:ascii="Arial" w:hAnsi="Arial"/>
                        <w:i/>
                        <w:color w:val="231F20"/>
                        <w:spacing w:val="-7"/>
                        <w:sz w:val="12"/>
                      </w:rPr>
                      <w:t> </w:t>
                    </w:r>
                    <w:r>
                      <w:rPr>
                        <w:rFonts w:ascii="Arial" w:hAnsi="Arial"/>
                        <w:i/>
                        <w:color w:val="231F20"/>
                        <w:spacing w:val="-2"/>
                        <w:sz w:val="12"/>
                      </w:rPr>
                      <w:t>y</w:t>
                    </w:r>
                    <w:r>
                      <w:rPr>
                        <w:rFonts w:ascii="Arial" w:hAnsi="Arial"/>
                        <w:i/>
                        <w:color w:val="231F20"/>
                        <w:spacing w:val="-7"/>
                        <w:sz w:val="12"/>
                      </w:rPr>
                      <w:t> </w:t>
                    </w:r>
                    <w:r>
                      <w:rPr>
                        <w:rFonts w:ascii="Arial" w:hAnsi="Arial"/>
                        <w:i/>
                        <w:color w:val="231F20"/>
                        <w:spacing w:val="-2"/>
                        <w:sz w:val="12"/>
                      </w:rPr>
                      <w:t>trabajo</w:t>
                    </w:r>
                    <w:r>
                      <w:rPr>
                        <w:rFonts w:ascii="Arial" w:hAnsi="Arial"/>
                        <w:color w:val="231F20"/>
                        <w:spacing w:val="-2"/>
                        <w:sz w:val="12"/>
                      </w:rPr>
                      <w:t>,</w:t>
                    </w:r>
                    <w:r>
                      <w:rPr>
                        <w:rFonts w:ascii="Arial" w:hAnsi="Arial"/>
                        <w:color w:val="231F20"/>
                        <w:spacing w:val="-7"/>
                        <w:sz w:val="12"/>
                      </w:rPr>
                      <w:t> </w:t>
                    </w:r>
                    <w:r>
                      <w:rPr>
                        <w:rFonts w:ascii="Arial" w:hAnsi="Arial"/>
                        <w:color w:val="231F20"/>
                        <w:spacing w:val="-2"/>
                        <w:sz w:val="12"/>
                      </w:rPr>
                      <w:t>Madrid,</w:t>
                    </w:r>
                    <w:r>
                      <w:rPr>
                        <w:rFonts w:ascii="Arial" w:hAnsi="Arial"/>
                        <w:color w:val="231F20"/>
                        <w:spacing w:val="40"/>
                        <w:w w:val="105"/>
                        <w:sz w:val="12"/>
                      </w:rPr>
                      <w:t> </w:t>
                    </w:r>
                    <w:r>
                      <w:rPr>
                        <w:rFonts w:ascii="Arial" w:hAnsi="Arial"/>
                        <w:color w:val="231F20"/>
                        <w:w w:val="105"/>
                        <w:sz w:val="12"/>
                      </w:rPr>
                      <w:t>McGraw-Hill,</w:t>
                    </w:r>
                    <w:r>
                      <w:rPr>
                        <w:rFonts w:ascii="Arial" w:hAnsi="Arial"/>
                        <w:color w:val="231F20"/>
                        <w:spacing w:val="-5"/>
                        <w:w w:val="105"/>
                        <w:sz w:val="12"/>
                      </w:rPr>
                      <w:t> </w:t>
                    </w:r>
                    <w:r>
                      <w:rPr>
                        <w:rFonts w:ascii="Arial" w:hAnsi="Arial"/>
                        <w:color w:val="231F20"/>
                        <w:w w:val="105"/>
                        <w:sz w:val="12"/>
                      </w:rPr>
                      <w:t>p.</w:t>
                    </w:r>
                    <w:r>
                      <w:rPr>
                        <w:rFonts w:ascii="Arial" w:hAnsi="Arial"/>
                        <w:color w:val="231F20"/>
                        <w:spacing w:val="-5"/>
                        <w:w w:val="105"/>
                        <w:sz w:val="12"/>
                      </w:rPr>
                      <w:t> </w:t>
                    </w:r>
                    <w:r>
                      <w:rPr>
                        <w:rFonts w:ascii="Arial" w:hAnsi="Arial"/>
                        <w:color w:val="231F20"/>
                        <w:w w:val="105"/>
                        <w:sz w:val="12"/>
                      </w:rPr>
                      <w:t>75.</w:t>
                    </w:r>
                    <w:r>
                      <w:rPr>
                        <w:rFonts w:ascii="Arial" w:hAnsi="Arial"/>
                        <w:color w:val="231F20"/>
                        <w:spacing w:val="-5"/>
                        <w:w w:val="105"/>
                        <w:sz w:val="12"/>
                      </w:rPr>
                      <w:t> </w:t>
                    </w:r>
                    <w:r>
                      <w:rPr>
                        <w:rFonts w:ascii="Arial" w:hAnsi="Arial"/>
                        <w:color w:val="231F20"/>
                        <w:w w:val="105"/>
                        <w:sz w:val="12"/>
                      </w:rPr>
                      <w:t>Reproduit</w:t>
                    </w:r>
                    <w:r>
                      <w:rPr>
                        <w:rFonts w:ascii="Arial" w:hAnsi="Arial"/>
                        <w:color w:val="231F20"/>
                        <w:spacing w:val="-5"/>
                        <w:w w:val="105"/>
                        <w:sz w:val="12"/>
                      </w:rPr>
                      <w:t> </w:t>
                    </w:r>
                    <w:r>
                      <w:rPr>
                        <w:rFonts w:ascii="Arial" w:hAnsi="Arial"/>
                        <w:color w:val="231F20"/>
                        <w:w w:val="105"/>
                        <w:sz w:val="12"/>
                      </w:rPr>
                      <w:t>avec</w:t>
                    </w:r>
                    <w:r>
                      <w:rPr>
                        <w:rFonts w:ascii="Arial" w:hAnsi="Arial"/>
                        <w:color w:val="231F20"/>
                        <w:spacing w:val="-5"/>
                        <w:w w:val="105"/>
                        <w:sz w:val="12"/>
                      </w:rPr>
                      <w:t> </w:t>
                    </w:r>
                    <w:r>
                      <w:rPr>
                        <w:rFonts w:ascii="Arial" w:hAnsi="Arial"/>
                        <w:color w:val="231F20"/>
                        <w:w w:val="105"/>
                        <w:sz w:val="12"/>
                      </w:rPr>
                      <w:t>l’autorisation</w:t>
                    </w:r>
                    <w:r>
                      <w:rPr>
                        <w:rFonts w:ascii="Arial" w:hAnsi="Arial"/>
                        <w:color w:val="231F20"/>
                        <w:spacing w:val="-5"/>
                        <w:w w:val="105"/>
                        <w:sz w:val="12"/>
                      </w:rPr>
                      <w:t> </w:t>
                    </w:r>
                    <w:r>
                      <w:rPr>
                        <w:rFonts w:ascii="Arial" w:hAnsi="Arial"/>
                        <w:color w:val="231F20"/>
                        <w:w w:val="105"/>
                        <w:sz w:val="12"/>
                      </w:rPr>
                      <w:t>des</w:t>
                    </w:r>
                    <w:r>
                      <w:rPr>
                        <w:rFonts w:ascii="Arial" w:hAnsi="Arial"/>
                        <w:color w:val="231F20"/>
                        <w:spacing w:val="-5"/>
                        <w:w w:val="105"/>
                        <w:sz w:val="12"/>
                      </w:rPr>
                      <w:t> </w:t>
                    </w:r>
                    <w:r>
                      <w:rPr>
                        <w:rFonts w:ascii="Arial" w:hAnsi="Arial"/>
                        <w:color w:val="231F20"/>
                        <w:w w:val="105"/>
                        <w:sz w:val="12"/>
                      </w:rPr>
                      <w:t>auteurs.</w:t>
                    </w:r>
                  </w:p>
                </w:txbxContent>
              </v:textbox>
              <w10:wrap type="none"/>
            </v:shape>
            <v:shape style="position:absolute;left:4259;top:2743;width:1364;height:500" type="#_x0000_t202" id="docshape928" filled="true" fillcolor="#c7c8ca" stroked="false">
              <v:textbox inset="0,0,0,0">
                <w:txbxContent>
                  <w:p>
                    <w:pPr>
                      <w:spacing w:line="249" w:lineRule="auto" w:before="66"/>
                      <w:ind w:left="359" w:right="315" w:firstLine="59"/>
                      <w:jc w:val="left"/>
                      <w:rPr>
                        <w:rFonts w:ascii="Arial" w:hAnsi="Arial"/>
                        <w:color w:val="000000"/>
                        <w:sz w:val="15"/>
                      </w:rPr>
                    </w:pPr>
                    <w:r>
                      <w:rPr>
                        <w:rFonts w:ascii="Arial" w:hAnsi="Arial"/>
                        <w:color w:val="231F20"/>
                        <w:spacing w:val="-2"/>
                        <w:sz w:val="15"/>
                      </w:rPr>
                      <w:t>Humilité</w:t>
                    </w:r>
                    <w:r>
                      <w:rPr>
                        <w:rFonts w:ascii="Arial" w:hAnsi="Arial"/>
                        <w:color w:val="231F20"/>
                        <w:sz w:val="15"/>
                      </w:rPr>
                      <w:t> et</w:t>
                    </w:r>
                    <w:r>
                      <w:rPr>
                        <w:rFonts w:ascii="Arial" w:hAnsi="Arial"/>
                        <w:color w:val="231F20"/>
                        <w:spacing w:val="-13"/>
                        <w:sz w:val="15"/>
                      </w:rPr>
                      <w:t> </w:t>
                    </w:r>
                    <w:r>
                      <w:rPr>
                        <w:rFonts w:ascii="Arial" w:hAnsi="Arial"/>
                        <w:color w:val="231F20"/>
                        <w:spacing w:val="-6"/>
                        <w:sz w:val="15"/>
                      </w:rPr>
                      <w:t>humour</w:t>
                    </w:r>
                  </w:p>
                </w:txbxContent>
              </v:textbox>
              <v:fill type="solid"/>
              <w10:wrap type="none"/>
            </v:shape>
            <v:shape style="position:absolute;left:2430;top:2743;width:1684;height:500" type="#_x0000_t202" id="docshape929" filled="true" fillcolor="#c7c8ca" stroked="false">
              <v:textbox inset="0,0,0,0">
                <w:txbxContent>
                  <w:p>
                    <w:pPr>
                      <w:spacing w:line="249" w:lineRule="auto" w:before="66"/>
                      <w:ind w:left="102" w:right="0" w:firstLine="299"/>
                      <w:jc w:val="left"/>
                      <w:rPr>
                        <w:rFonts w:ascii="Arial" w:hAnsi="Arial"/>
                        <w:color w:val="000000"/>
                        <w:sz w:val="15"/>
                      </w:rPr>
                    </w:pPr>
                    <w:r>
                      <w:rPr>
                        <w:rFonts w:ascii="Arial" w:hAnsi="Arial"/>
                        <w:color w:val="231F20"/>
                        <w:sz w:val="15"/>
                      </w:rPr>
                      <w:t>Ressources</w:t>
                    </w:r>
                    <w:r>
                      <w:rPr>
                        <w:rFonts w:ascii="Arial" w:hAnsi="Arial"/>
                        <w:color w:val="231F20"/>
                        <w:spacing w:val="-13"/>
                        <w:sz w:val="15"/>
                      </w:rPr>
                      <w:t> </w:t>
                    </w:r>
                    <w:r>
                      <w:rPr>
                        <w:rFonts w:ascii="Arial" w:hAnsi="Arial"/>
                        <w:color w:val="231F20"/>
                        <w:sz w:val="15"/>
                      </w:rPr>
                      <w:t>de </w:t>
                    </w:r>
                    <w:r>
                      <w:rPr>
                        <w:rFonts w:ascii="Arial" w:hAnsi="Arial"/>
                        <w:color w:val="231F20"/>
                        <w:w w:val="95"/>
                        <w:sz w:val="15"/>
                      </w:rPr>
                      <w:t>contrôle</w:t>
                    </w:r>
                    <w:r>
                      <w:rPr>
                        <w:rFonts w:ascii="Arial" w:hAnsi="Arial"/>
                        <w:color w:val="231F20"/>
                        <w:spacing w:val="-11"/>
                        <w:w w:val="95"/>
                        <w:sz w:val="15"/>
                      </w:rPr>
                      <w:t> </w:t>
                    </w:r>
                    <w:r>
                      <w:rPr>
                        <w:rFonts w:ascii="Arial" w:hAnsi="Arial"/>
                        <w:color w:val="231F20"/>
                        <w:w w:val="95"/>
                        <w:sz w:val="15"/>
                      </w:rPr>
                      <w:t>et</w:t>
                    </w:r>
                    <w:r>
                      <w:rPr>
                        <w:rFonts w:ascii="Arial" w:hAnsi="Arial"/>
                        <w:color w:val="231F20"/>
                        <w:spacing w:val="-11"/>
                        <w:w w:val="95"/>
                        <w:sz w:val="15"/>
                      </w:rPr>
                      <w:t> </w:t>
                    </w:r>
                    <w:r>
                      <w:rPr>
                        <w:rFonts w:ascii="Arial" w:hAnsi="Arial"/>
                        <w:color w:val="231F20"/>
                        <w:w w:val="95"/>
                        <w:sz w:val="15"/>
                      </w:rPr>
                      <w:t>d’adaptation</w:t>
                    </w:r>
                  </w:p>
                </w:txbxContent>
              </v:textbox>
              <v:fill type="solid"/>
              <w10:wrap type="none"/>
            </v:shape>
            <v:shape style="position:absolute;left:1500;top:1955;width:1349;height:320" type="#_x0000_t202" id="docshape930" filled="true" fillcolor="#c7c8ca" stroked="false">
              <v:textbox inset="0,0,0,0">
                <w:txbxContent>
                  <w:p>
                    <w:pPr>
                      <w:spacing w:before="66"/>
                      <w:ind w:left="441" w:right="453" w:firstLine="0"/>
                      <w:jc w:val="center"/>
                      <w:rPr>
                        <w:rFonts w:ascii="Arial"/>
                        <w:color w:val="000000"/>
                        <w:sz w:val="15"/>
                      </w:rPr>
                    </w:pPr>
                    <w:r>
                      <w:rPr>
                        <w:rFonts w:ascii="Arial"/>
                        <w:color w:val="231F20"/>
                        <w:spacing w:val="-2"/>
                        <w:sz w:val="15"/>
                      </w:rPr>
                      <w:t>Stress</w:t>
                    </w:r>
                  </w:p>
                </w:txbxContent>
              </v:textbox>
              <v:fill type="solid"/>
              <w10:wrap type="none"/>
            </v:shape>
            <v:shape style="position:absolute;left:5401;top:1884;width:1349;height:500" type="#_x0000_t202" id="docshape931" filled="true" fillcolor="#c7c8ca" stroked="false">
              <v:textbox inset="0,0,0,0">
                <w:txbxContent>
                  <w:p>
                    <w:pPr>
                      <w:spacing w:line="249" w:lineRule="auto" w:before="66"/>
                      <w:ind w:left="509" w:right="109" w:hanging="65"/>
                      <w:jc w:val="left"/>
                      <w:rPr>
                        <w:rFonts w:ascii="Arial"/>
                        <w:color w:val="000000"/>
                        <w:sz w:val="15"/>
                      </w:rPr>
                    </w:pPr>
                    <w:r>
                      <w:rPr>
                        <w:rFonts w:ascii="Arial"/>
                        <w:color w:val="231F20"/>
                        <w:spacing w:val="-2"/>
                        <w:w w:val="90"/>
                        <w:sz w:val="15"/>
                      </w:rPr>
                      <w:t>Soutien</w:t>
                    </w:r>
                    <w:r>
                      <w:rPr>
                        <w:rFonts w:ascii="Arial"/>
                        <w:color w:val="231F20"/>
                        <w:sz w:val="15"/>
                      </w:rPr>
                      <w:t> </w:t>
                    </w:r>
                    <w:r>
                      <w:rPr>
                        <w:rFonts w:ascii="Arial"/>
                        <w:color w:val="231F20"/>
                        <w:spacing w:val="-2"/>
                        <w:sz w:val="15"/>
                      </w:rPr>
                      <w:t>social</w:t>
                    </w:r>
                  </w:p>
                </w:txbxContent>
              </v:textbox>
              <v:fill type="solid"/>
              <w10:wrap type="none"/>
            </v:shape>
            <v:shape style="position:absolute;left:4259;top:987;width:1364;height:500" type="#_x0000_t202" id="docshape932" filled="true" fillcolor="#c7c8ca" stroked="false">
              <v:textbox inset="0,0,0,0">
                <w:txbxContent>
                  <w:p>
                    <w:pPr>
                      <w:spacing w:line="249" w:lineRule="auto" w:before="66"/>
                      <w:ind w:left="186" w:right="179" w:firstLine="137"/>
                      <w:jc w:val="left"/>
                      <w:rPr>
                        <w:rFonts w:ascii="Arial"/>
                        <w:color w:val="000000"/>
                        <w:sz w:val="15"/>
                      </w:rPr>
                    </w:pPr>
                    <w:r>
                      <w:rPr>
                        <w:rFonts w:ascii="Arial"/>
                        <w:color w:val="231F20"/>
                        <w:spacing w:val="-2"/>
                        <w:sz w:val="15"/>
                      </w:rPr>
                      <w:t>Autoestime</w:t>
                    </w:r>
                    <w:r>
                      <w:rPr>
                        <w:rFonts w:ascii="Arial"/>
                        <w:color w:val="231F20"/>
                        <w:sz w:val="15"/>
                      </w:rPr>
                      <w:t> </w:t>
                    </w:r>
                    <w:r>
                      <w:rPr>
                        <w:rFonts w:ascii="Arial"/>
                        <w:color w:val="231F20"/>
                        <w:spacing w:val="-2"/>
                        <w:w w:val="95"/>
                        <w:sz w:val="15"/>
                      </w:rPr>
                      <w:t>ou</w:t>
                    </w:r>
                    <w:r>
                      <w:rPr>
                        <w:rFonts w:ascii="Arial"/>
                        <w:color w:val="231F20"/>
                        <w:spacing w:val="-11"/>
                        <w:w w:val="95"/>
                        <w:sz w:val="15"/>
                      </w:rPr>
                      <w:t> </w:t>
                    </w:r>
                    <w:r>
                      <w:rPr>
                        <w:rFonts w:ascii="Arial"/>
                        <w:color w:val="231F20"/>
                        <w:spacing w:val="-2"/>
                        <w:w w:val="95"/>
                        <w:sz w:val="15"/>
                      </w:rPr>
                      <w:t>estime</w:t>
                    </w:r>
                    <w:r>
                      <w:rPr>
                        <w:rFonts w:ascii="Arial"/>
                        <w:color w:val="231F20"/>
                        <w:spacing w:val="-11"/>
                        <w:w w:val="95"/>
                        <w:sz w:val="15"/>
                      </w:rPr>
                      <w:t> </w:t>
                    </w:r>
                    <w:r>
                      <w:rPr>
                        <w:rFonts w:ascii="Arial"/>
                        <w:color w:val="231F20"/>
                        <w:spacing w:val="-2"/>
                        <w:w w:val="95"/>
                        <w:sz w:val="15"/>
                      </w:rPr>
                      <w:t>de</w:t>
                    </w:r>
                    <w:r>
                      <w:rPr>
                        <w:rFonts w:ascii="Arial"/>
                        <w:color w:val="231F20"/>
                        <w:spacing w:val="-11"/>
                        <w:w w:val="95"/>
                        <w:sz w:val="15"/>
                      </w:rPr>
                      <w:t> </w:t>
                    </w:r>
                    <w:r>
                      <w:rPr>
                        <w:rFonts w:ascii="Arial"/>
                        <w:color w:val="231F20"/>
                        <w:spacing w:val="-2"/>
                        <w:w w:val="95"/>
                        <w:sz w:val="15"/>
                      </w:rPr>
                      <w:t>soi</w:t>
                    </w:r>
                  </w:p>
                </w:txbxContent>
              </v:textbox>
              <v:fill type="solid"/>
              <w10:wrap type="none"/>
            </v:shape>
            <v:shape style="position:absolute;left:2750;top:987;width:1364;height:500" type="#_x0000_t202" id="docshape933" filled="true" fillcolor="#c7c8ca" stroked="false">
              <v:textbox inset="0,0,0,0">
                <w:txbxContent>
                  <w:p>
                    <w:pPr>
                      <w:spacing w:line="249" w:lineRule="auto" w:before="66"/>
                      <w:ind w:left="263" w:right="179" w:firstLine="92"/>
                      <w:jc w:val="left"/>
                      <w:rPr>
                        <w:rFonts w:ascii="Arial"/>
                        <w:color w:val="000000"/>
                        <w:sz w:val="15"/>
                      </w:rPr>
                    </w:pPr>
                    <w:r>
                      <w:rPr>
                        <w:rFonts w:ascii="Arial"/>
                        <w:color w:val="231F20"/>
                        <w:sz w:val="15"/>
                      </w:rPr>
                      <w:t>Charges</w:t>
                    </w:r>
                    <w:r>
                      <w:rPr>
                        <w:rFonts w:ascii="Arial"/>
                        <w:color w:val="231F20"/>
                        <w:spacing w:val="-13"/>
                        <w:sz w:val="15"/>
                      </w:rPr>
                      <w:t> </w:t>
                    </w:r>
                    <w:r>
                      <w:rPr>
                        <w:rFonts w:ascii="Arial"/>
                        <w:color w:val="231F20"/>
                        <w:sz w:val="15"/>
                      </w:rPr>
                      <w:t>et </w:t>
                    </w:r>
                    <w:r>
                      <w:rPr>
                        <w:rFonts w:ascii="Arial"/>
                        <w:color w:val="231F20"/>
                        <w:spacing w:val="-2"/>
                        <w:w w:val="90"/>
                        <w:sz w:val="15"/>
                      </w:rPr>
                      <w:t>engagements</w:t>
                    </w:r>
                  </w:p>
                </w:txbxContent>
              </v:textbox>
              <v:fill type="solid"/>
              <w10:wrap type="none"/>
            </v:shape>
            <w10:wrap type="topAndBottom"/>
          </v:group>
        </w:pict>
      </w:r>
    </w:p>
    <w:p>
      <w:pPr>
        <w:pStyle w:val="BodyText"/>
        <w:spacing w:before="1"/>
        <w:rPr>
          <w:rFonts w:ascii="Arial"/>
        </w:rPr>
      </w:pPr>
    </w:p>
    <w:p>
      <w:pPr>
        <w:pStyle w:val="BodyText"/>
        <w:spacing w:line="307" w:lineRule="auto" w:before="145"/>
        <w:ind w:left="829" w:right="493"/>
        <w:jc w:val="both"/>
      </w:pPr>
      <w:r>
        <w:rPr>
          <w:color w:val="231F20"/>
          <w:w w:val="115"/>
        </w:rPr>
        <w:t>La</w:t>
      </w:r>
      <w:r>
        <w:rPr>
          <w:color w:val="231F20"/>
          <w:spacing w:val="-3"/>
          <w:w w:val="115"/>
        </w:rPr>
        <w:t> </w:t>
      </w:r>
      <w:r>
        <w:rPr>
          <w:color w:val="231F20"/>
          <w:w w:val="115"/>
        </w:rPr>
        <w:t>formule</w:t>
      </w:r>
      <w:r>
        <w:rPr>
          <w:color w:val="231F20"/>
          <w:spacing w:val="-3"/>
          <w:w w:val="115"/>
        </w:rPr>
        <w:t> </w:t>
      </w:r>
      <w:r>
        <w:rPr>
          <w:color w:val="231F20"/>
          <w:w w:val="115"/>
        </w:rPr>
        <w:t>CRASH</w:t>
      </w:r>
      <w:r>
        <w:rPr>
          <w:color w:val="231F20"/>
          <w:spacing w:val="-3"/>
          <w:w w:val="115"/>
        </w:rPr>
        <w:t> </w:t>
      </w:r>
      <w:r>
        <w:rPr>
          <w:color w:val="231F20"/>
          <w:w w:val="115"/>
        </w:rPr>
        <w:t>met</w:t>
      </w:r>
      <w:r>
        <w:rPr>
          <w:color w:val="231F20"/>
          <w:spacing w:val="-3"/>
          <w:w w:val="115"/>
        </w:rPr>
        <w:t> </w:t>
      </w:r>
      <w:r>
        <w:rPr>
          <w:color w:val="231F20"/>
          <w:w w:val="115"/>
        </w:rPr>
        <w:t>en</w:t>
      </w:r>
      <w:r>
        <w:rPr>
          <w:color w:val="231F20"/>
          <w:spacing w:val="-3"/>
          <w:w w:val="115"/>
        </w:rPr>
        <w:t> </w:t>
      </w:r>
      <w:r>
        <w:rPr>
          <w:color w:val="231F20"/>
          <w:w w:val="115"/>
        </w:rPr>
        <w:t>relief</w:t>
      </w:r>
      <w:r>
        <w:rPr>
          <w:color w:val="231F20"/>
          <w:spacing w:val="-3"/>
          <w:w w:val="115"/>
        </w:rPr>
        <w:t> </w:t>
      </w:r>
      <w:r>
        <w:rPr>
          <w:color w:val="231F20"/>
          <w:w w:val="115"/>
        </w:rPr>
        <w:t>l’importance</w:t>
      </w:r>
      <w:r>
        <w:rPr>
          <w:color w:val="231F20"/>
          <w:spacing w:val="-3"/>
          <w:w w:val="115"/>
        </w:rPr>
        <w:t> </w:t>
      </w:r>
      <w:r>
        <w:rPr>
          <w:color w:val="231F20"/>
          <w:w w:val="115"/>
        </w:rPr>
        <w:t>de</w:t>
      </w:r>
      <w:r>
        <w:rPr>
          <w:color w:val="231F20"/>
          <w:spacing w:val="-3"/>
          <w:w w:val="115"/>
        </w:rPr>
        <w:t> </w:t>
      </w:r>
      <w:r>
        <w:rPr>
          <w:color w:val="231F20"/>
          <w:w w:val="115"/>
        </w:rPr>
        <w:t>diverses</w:t>
      </w:r>
      <w:r>
        <w:rPr>
          <w:color w:val="231F20"/>
          <w:spacing w:val="-3"/>
          <w:w w:val="115"/>
        </w:rPr>
        <w:t> </w:t>
      </w:r>
      <w:r>
        <w:rPr>
          <w:color w:val="231F20"/>
          <w:w w:val="115"/>
        </w:rPr>
        <w:t>variables</w:t>
      </w:r>
      <w:r>
        <w:rPr>
          <w:color w:val="231F20"/>
          <w:spacing w:val="-3"/>
          <w:w w:val="115"/>
        </w:rPr>
        <w:t> </w:t>
      </w:r>
      <w:r>
        <w:rPr>
          <w:color w:val="231F20"/>
          <w:w w:val="115"/>
        </w:rPr>
        <w:t>dans </w:t>
      </w:r>
      <w:r>
        <w:rPr>
          <w:color w:val="231F20"/>
          <w:spacing w:val="-2"/>
          <w:w w:val="120"/>
        </w:rPr>
        <w:t>l’équation</w:t>
      </w:r>
      <w:r>
        <w:rPr>
          <w:color w:val="231F20"/>
          <w:spacing w:val="-5"/>
          <w:w w:val="120"/>
        </w:rPr>
        <w:t> </w:t>
      </w:r>
      <w:r>
        <w:rPr>
          <w:color w:val="231F20"/>
          <w:spacing w:val="-2"/>
          <w:w w:val="120"/>
        </w:rPr>
        <w:t>du</w:t>
      </w:r>
      <w:r>
        <w:rPr>
          <w:color w:val="231F20"/>
          <w:spacing w:val="-5"/>
          <w:w w:val="120"/>
        </w:rPr>
        <w:t> </w:t>
      </w:r>
      <w:r>
        <w:rPr>
          <w:color w:val="231F20"/>
          <w:spacing w:val="-2"/>
          <w:w w:val="120"/>
        </w:rPr>
        <w:t>stress.</w:t>
      </w:r>
      <w:r>
        <w:rPr>
          <w:color w:val="231F20"/>
          <w:spacing w:val="-5"/>
          <w:w w:val="120"/>
        </w:rPr>
        <w:t> </w:t>
      </w:r>
      <w:r>
        <w:rPr>
          <w:color w:val="231F20"/>
          <w:spacing w:val="-2"/>
          <w:w w:val="120"/>
        </w:rPr>
        <w:t>Ainsi,</w:t>
      </w:r>
      <w:r>
        <w:rPr>
          <w:color w:val="231F20"/>
          <w:spacing w:val="-5"/>
          <w:w w:val="120"/>
        </w:rPr>
        <w:t> </w:t>
      </w:r>
      <w:r>
        <w:rPr>
          <w:color w:val="231F20"/>
          <w:spacing w:val="-2"/>
          <w:w w:val="120"/>
        </w:rPr>
        <w:t>c’est</w:t>
      </w:r>
      <w:r>
        <w:rPr>
          <w:color w:val="231F20"/>
          <w:spacing w:val="-5"/>
          <w:w w:val="120"/>
        </w:rPr>
        <w:t> </w:t>
      </w:r>
      <w:r>
        <w:rPr>
          <w:color w:val="231F20"/>
          <w:spacing w:val="-2"/>
          <w:w w:val="120"/>
        </w:rPr>
        <w:t>le</w:t>
      </w:r>
      <w:r>
        <w:rPr>
          <w:color w:val="231F20"/>
          <w:spacing w:val="-5"/>
          <w:w w:val="120"/>
        </w:rPr>
        <w:t> </w:t>
      </w:r>
      <w:r>
        <w:rPr>
          <w:color w:val="231F20"/>
          <w:spacing w:val="-2"/>
          <w:w w:val="120"/>
        </w:rPr>
        <w:t>rapport</w:t>
      </w:r>
      <w:r>
        <w:rPr>
          <w:color w:val="231F20"/>
          <w:spacing w:val="-5"/>
          <w:w w:val="120"/>
        </w:rPr>
        <w:t> </w:t>
      </w:r>
      <w:r>
        <w:rPr>
          <w:color w:val="231F20"/>
          <w:spacing w:val="-2"/>
          <w:w w:val="120"/>
        </w:rPr>
        <w:t>entre</w:t>
      </w:r>
      <w:r>
        <w:rPr>
          <w:color w:val="231F20"/>
          <w:spacing w:val="-5"/>
          <w:w w:val="120"/>
        </w:rPr>
        <w:t> </w:t>
      </w:r>
      <w:r>
        <w:rPr>
          <w:color w:val="231F20"/>
          <w:spacing w:val="-2"/>
          <w:w w:val="120"/>
        </w:rPr>
        <w:t>les</w:t>
      </w:r>
      <w:r>
        <w:rPr>
          <w:color w:val="231F20"/>
          <w:spacing w:val="-5"/>
          <w:w w:val="120"/>
        </w:rPr>
        <w:t> </w:t>
      </w:r>
      <w:r>
        <w:rPr>
          <w:color w:val="231F20"/>
          <w:spacing w:val="-2"/>
          <w:w w:val="120"/>
        </w:rPr>
        <w:t>demandes</w:t>
      </w:r>
      <w:r>
        <w:rPr>
          <w:color w:val="231F20"/>
          <w:spacing w:val="-5"/>
          <w:w w:val="120"/>
        </w:rPr>
        <w:t> </w:t>
      </w:r>
      <w:r>
        <w:rPr>
          <w:color w:val="231F20"/>
          <w:spacing w:val="-2"/>
          <w:w w:val="120"/>
        </w:rPr>
        <w:t>de</w:t>
      </w:r>
      <w:r>
        <w:rPr>
          <w:color w:val="231F20"/>
          <w:spacing w:val="-5"/>
          <w:w w:val="120"/>
        </w:rPr>
        <w:t> </w:t>
      </w:r>
      <w:r>
        <w:rPr>
          <w:color w:val="231F20"/>
          <w:spacing w:val="-2"/>
          <w:w w:val="120"/>
        </w:rPr>
        <w:t>l’envi- </w:t>
      </w:r>
      <w:r>
        <w:rPr>
          <w:color w:val="231F20"/>
          <w:w w:val="120"/>
        </w:rPr>
        <w:t>ronnement</w:t>
      </w:r>
      <w:r>
        <w:rPr>
          <w:color w:val="231F20"/>
          <w:spacing w:val="-11"/>
          <w:w w:val="120"/>
        </w:rPr>
        <w:t> </w:t>
      </w:r>
      <w:r>
        <w:rPr>
          <w:b/>
          <w:color w:val="231F20"/>
          <w:w w:val="120"/>
        </w:rPr>
        <w:t>(C)</w:t>
      </w:r>
      <w:r>
        <w:rPr>
          <w:b/>
          <w:color w:val="231F20"/>
          <w:spacing w:val="-11"/>
          <w:w w:val="120"/>
        </w:rPr>
        <w:t> </w:t>
      </w:r>
      <w:r>
        <w:rPr>
          <w:color w:val="231F20"/>
          <w:w w:val="120"/>
        </w:rPr>
        <w:t>et</w:t>
      </w:r>
      <w:r>
        <w:rPr>
          <w:color w:val="231F20"/>
          <w:spacing w:val="-11"/>
          <w:w w:val="120"/>
        </w:rPr>
        <w:t> </w:t>
      </w:r>
      <w:r>
        <w:rPr>
          <w:color w:val="231F20"/>
          <w:w w:val="120"/>
        </w:rPr>
        <w:t>les</w:t>
      </w:r>
      <w:r>
        <w:rPr>
          <w:color w:val="231F20"/>
          <w:spacing w:val="-11"/>
          <w:w w:val="120"/>
        </w:rPr>
        <w:t> </w:t>
      </w:r>
      <w:r>
        <w:rPr>
          <w:color w:val="231F20"/>
          <w:w w:val="120"/>
        </w:rPr>
        <w:t>ressources</w:t>
      </w:r>
      <w:r>
        <w:rPr>
          <w:color w:val="231F20"/>
          <w:spacing w:val="-11"/>
          <w:w w:val="120"/>
        </w:rPr>
        <w:t> </w:t>
      </w:r>
      <w:r>
        <w:rPr>
          <w:color w:val="231F20"/>
          <w:w w:val="120"/>
        </w:rPr>
        <w:t>de</w:t>
      </w:r>
      <w:r>
        <w:rPr>
          <w:color w:val="231F20"/>
          <w:spacing w:val="-11"/>
          <w:w w:val="120"/>
        </w:rPr>
        <w:t> </w:t>
      </w:r>
      <w:r>
        <w:rPr>
          <w:color w:val="231F20"/>
          <w:w w:val="120"/>
        </w:rPr>
        <w:t>l’individu</w:t>
      </w:r>
      <w:r>
        <w:rPr>
          <w:color w:val="231F20"/>
          <w:spacing w:val="-10"/>
          <w:w w:val="120"/>
        </w:rPr>
        <w:t> </w:t>
      </w:r>
      <w:r>
        <w:rPr>
          <w:b/>
          <w:color w:val="231F20"/>
          <w:w w:val="120"/>
        </w:rPr>
        <w:t>(R)</w:t>
      </w:r>
      <w:r>
        <w:rPr>
          <w:b/>
          <w:color w:val="231F20"/>
          <w:spacing w:val="-11"/>
          <w:w w:val="120"/>
        </w:rPr>
        <w:t> </w:t>
      </w:r>
      <w:r>
        <w:rPr>
          <w:color w:val="231F20"/>
          <w:w w:val="120"/>
        </w:rPr>
        <w:t>qui</w:t>
      </w:r>
      <w:r>
        <w:rPr>
          <w:color w:val="231F20"/>
          <w:spacing w:val="-11"/>
          <w:w w:val="120"/>
        </w:rPr>
        <w:t> </w:t>
      </w:r>
      <w:r>
        <w:rPr>
          <w:color w:val="231F20"/>
          <w:w w:val="120"/>
        </w:rPr>
        <w:t>est</w:t>
      </w:r>
      <w:r>
        <w:rPr>
          <w:color w:val="231F20"/>
          <w:spacing w:val="-11"/>
          <w:w w:val="120"/>
        </w:rPr>
        <w:t> </w:t>
      </w:r>
      <w:r>
        <w:rPr>
          <w:color w:val="231F20"/>
          <w:w w:val="120"/>
        </w:rPr>
        <w:t>le</w:t>
      </w:r>
      <w:r>
        <w:rPr>
          <w:color w:val="231F20"/>
          <w:spacing w:val="-11"/>
          <w:w w:val="120"/>
        </w:rPr>
        <w:t> </w:t>
      </w:r>
      <w:r>
        <w:rPr>
          <w:color w:val="231F20"/>
          <w:w w:val="120"/>
        </w:rPr>
        <w:t>déterminant premier du niveau de stress ressenti. Cependant, dans une logique de soustraction,</w:t>
      </w:r>
      <w:r>
        <w:rPr>
          <w:color w:val="231F20"/>
          <w:spacing w:val="-9"/>
          <w:w w:val="120"/>
        </w:rPr>
        <w:t> </w:t>
      </w:r>
      <w:r>
        <w:rPr>
          <w:color w:val="231F20"/>
          <w:w w:val="120"/>
        </w:rPr>
        <w:t>certains</w:t>
      </w:r>
      <w:r>
        <w:rPr>
          <w:color w:val="231F20"/>
          <w:spacing w:val="-9"/>
          <w:w w:val="120"/>
        </w:rPr>
        <w:t> </w:t>
      </w:r>
      <w:r>
        <w:rPr>
          <w:color w:val="231F20"/>
          <w:w w:val="120"/>
        </w:rPr>
        <w:t>facteurs</w:t>
      </w:r>
      <w:r>
        <w:rPr>
          <w:color w:val="231F20"/>
          <w:spacing w:val="-9"/>
          <w:w w:val="120"/>
        </w:rPr>
        <w:t> </w:t>
      </w:r>
      <w:r>
        <w:rPr>
          <w:color w:val="231F20"/>
          <w:w w:val="120"/>
        </w:rPr>
        <w:t>peuvent</w:t>
      </w:r>
      <w:r>
        <w:rPr>
          <w:color w:val="231F20"/>
          <w:spacing w:val="-9"/>
          <w:w w:val="120"/>
        </w:rPr>
        <w:t> </w:t>
      </w:r>
      <w:r>
        <w:rPr>
          <w:color w:val="231F20"/>
          <w:w w:val="120"/>
        </w:rPr>
        <w:t>servir</w:t>
      </w:r>
      <w:r>
        <w:rPr>
          <w:color w:val="231F20"/>
          <w:spacing w:val="-9"/>
          <w:w w:val="120"/>
        </w:rPr>
        <w:t> </w:t>
      </w:r>
      <w:r>
        <w:rPr>
          <w:color w:val="231F20"/>
          <w:w w:val="120"/>
        </w:rPr>
        <w:t>de</w:t>
      </w:r>
      <w:r>
        <w:rPr>
          <w:color w:val="231F20"/>
          <w:spacing w:val="-9"/>
          <w:w w:val="120"/>
        </w:rPr>
        <w:t> </w:t>
      </w:r>
      <w:r>
        <w:rPr>
          <w:color w:val="231F20"/>
          <w:w w:val="120"/>
        </w:rPr>
        <w:t>rempart,</w:t>
      </w:r>
      <w:r>
        <w:rPr>
          <w:color w:val="231F20"/>
          <w:spacing w:val="-9"/>
          <w:w w:val="120"/>
        </w:rPr>
        <w:t> </w:t>
      </w:r>
      <w:r>
        <w:rPr>
          <w:color w:val="231F20"/>
          <w:w w:val="120"/>
        </w:rPr>
        <w:t>de</w:t>
      </w:r>
      <w:r>
        <w:rPr>
          <w:color w:val="231F20"/>
          <w:spacing w:val="-9"/>
          <w:w w:val="120"/>
        </w:rPr>
        <w:t> </w:t>
      </w:r>
      <w:r>
        <w:rPr>
          <w:color w:val="231F20"/>
          <w:w w:val="120"/>
        </w:rPr>
        <w:t>protection, afin</w:t>
      </w:r>
      <w:r>
        <w:rPr>
          <w:color w:val="231F20"/>
          <w:spacing w:val="-1"/>
          <w:w w:val="120"/>
        </w:rPr>
        <w:t> </w:t>
      </w:r>
      <w:r>
        <w:rPr>
          <w:color w:val="231F20"/>
          <w:w w:val="120"/>
        </w:rPr>
        <w:t>de</w:t>
      </w:r>
      <w:r>
        <w:rPr>
          <w:color w:val="231F20"/>
          <w:spacing w:val="-1"/>
          <w:w w:val="120"/>
        </w:rPr>
        <w:t> </w:t>
      </w:r>
      <w:r>
        <w:rPr>
          <w:color w:val="231F20"/>
          <w:w w:val="120"/>
        </w:rPr>
        <w:t>limiter</w:t>
      </w:r>
      <w:r>
        <w:rPr>
          <w:color w:val="231F20"/>
          <w:spacing w:val="-1"/>
          <w:w w:val="120"/>
        </w:rPr>
        <w:t> </w:t>
      </w:r>
      <w:r>
        <w:rPr>
          <w:color w:val="231F20"/>
          <w:w w:val="120"/>
        </w:rPr>
        <w:t>l’effet</w:t>
      </w:r>
      <w:r>
        <w:rPr>
          <w:color w:val="231F20"/>
          <w:spacing w:val="-1"/>
          <w:w w:val="120"/>
        </w:rPr>
        <w:t> </w:t>
      </w:r>
      <w:r>
        <w:rPr>
          <w:color w:val="231F20"/>
          <w:w w:val="120"/>
        </w:rPr>
        <w:t>du</w:t>
      </w:r>
      <w:r>
        <w:rPr>
          <w:color w:val="231F20"/>
          <w:spacing w:val="-1"/>
          <w:w w:val="120"/>
        </w:rPr>
        <w:t> </w:t>
      </w:r>
      <w:r>
        <w:rPr>
          <w:color w:val="231F20"/>
          <w:w w:val="120"/>
        </w:rPr>
        <w:t>stress</w:t>
      </w:r>
      <w:r>
        <w:rPr>
          <w:color w:val="231F20"/>
          <w:spacing w:val="-1"/>
          <w:w w:val="120"/>
        </w:rPr>
        <w:t> </w:t>
      </w:r>
      <w:r>
        <w:rPr>
          <w:color w:val="231F20"/>
          <w:w w:val="120"/>
        </w:rPr>
        <w:t>sur</w:t>
      </w:r>
      <w:r>
        <w:rPr>
          <w:color w:val="231F20"/>
          <w:spacing w:val="-1"/>
          <w:w w:val="120"/>
        </w:rPr>
        <w:t> </w:t>
      </w:r>
      <w:r>
        <w:rPr>
          <w:color w:val="231F20"/>
          <w:w w:val="120"/>
        </w:rPr>
        <w:t>la</w:t>
      </w:r>
      <w:r>
        <w:rPr>
          <w:color w:val="231F20"/>
          <w:spacing w:val="-1"/>
          <w:w w:val="120"/>
        </w:rPr>
        <w:t> </w:t>
      </w:r>
      <w:r>
        <w:rPr>
          <w:color w:val="231F20"/>
          <w:w w:val="120"/>
        </w:rPr>
        <w:t>personne.</w:t>
      </w:r>
      <w:r>
        <w:rPr>
          <w:color w:val="231F20"/>
          <w:spacing w:val="-1"/>
          <w:w w:val="120"/>
        </w:rPr>
        <w:t> </w:t>
      </w:r>
      <w:r>
        <w:rPr>
          <w:color w:val="231F20"/>
          <w:w w:val="120"/>
        </w:rPr>
        <w:t>Ces</w:t>
      </w:r>
      <w:r>
        <w:rPr>
          <w:color w:val="231F20"/>
          <w:spacing w:val="-1"/>
          <w:w w:val="120"/>
        </w:rPr>
        <w:t> </w:t>
      </w:r>
      <w:r>
        <w:rPr>
          <w:color w:val="231F20"/>
          <w:w w:val="120"/>
        </w:rPr>
        <w:t>facteurs</w:t>
      </w:r>
      <w:r>
        <w:rPr>
          <w:color w:val="231F20"/>
          <w:spacing w:val="-1"/>
          <w:w w:val="120"/>
        </w:rPr>
        <w:t> </w:t>
      </w:r>
      <w:r>
        <w:rPr>
          <w:color w:val="231F20"/>
          <w:w w:val="120"/>
        </w:rPr>
        <w:t>sont,</w:t>
      </w:r>
      <w:r>
        <w:rPr>
          <w:color w:val="231F20"/>
          <w:spacing w:val="-1"/>
          <w:w w:val="120"/>
        </w:rPr>
        <w:t> </w:t>
      </w:r>
      <w:r>
        <w:rPr>
          <w:color w:val="231F20"/>
          <w:w w:val="120"/>
        </w:rPr>
        <w:t>dans </w:t>
      </w:r>
      <w:r>
        <w:rPr>
          <w:color w:val="231F20"/>
          <w:w w:val="115"/>
        </w:rPr>
        <w:t>cette</w:t>
      </w:r>
      <w:r>
        <w:rPr>
          <w:color w:val="231F20"/>
          <w:spacing w:val="-18"/>
          <w:w w:val="115"/>
        </w:rPr>
        <w:t> </w:t>
      </w:r>
      <w:r>
        <w:rPr>
          <w:color w:val="231F20"/>
          <w:w w:val="115"/>
        </w:rPr>
        <w:t>formulation,</w:t>
      </w:r>
      <w:r>
        <w:rPr>
          <w:color w:val="231F20"/>
          <w:spacing w:val="-17"/>
          <w:w w:val="115"/>
        </w:rPr>
        <w:t> </w:t>
      </w:r>
      <w:r>
        <w:rPr>
          <w:color w:val="231F20"/>
          <w:w w:val="115"/>
        </w:rPr>
        <w:t>l’estime</w:t>
      </w:r>
      <w:r>
        <w:rPr>
          <w:color w:val="231F20"/>
          <w:spacing w:val="-17"/>
          <w:w w:val="115"/>
        </w:rPr>
        <w:t> </w:t>
      </w:r>
      <w:r>
        <w:rPr>
          <w:color w:val="231F20"/>
          <w:w w:val="115"/>
        </w:rPr>
        <w:t>de</w:t>
      </w:r>
      <w:r>
        <w:rPr>
          <w:color w:val="231F20"/>
          <w:spacing w:val="-18"/>
          <w:w w:val="115"/>
        </w:rPr>
        <w:t> </w:t>
      </w:r>
      <w:r>
        <w:rPr>
          <w:color w:val="231F20"/>
          <w:w w:val="115"/>
        </w:rPr>
        <w:t>soi</w:t>
      </w:r>
      <w:r>
        <w:rPr>
          <w:color w:val="231F20"/>
          <w:spacing w:val="-17"/>
          <w:w w:val="115"/>
        </w:rPr>
        <w:t> </w:t>
      </w:r>
      <w:r>
        <w:rPr>
          <w:b/>
          <w:color w:val="231F20"/>
          <w:w w:val="115"/>
        </w:rPr>
        <w:t>(E)</w:t>
      </w:r>
      <w:r>
        <w:rPr>
          <w:color w:val="231F20"/>
          <w:w w:val="115"/>
        </w:rPr>
        <w:t>,</w:t>
      </w:r>
      <w:r>
        <w:rPr>
          <w:color w:val="231F20"/>
          <w:spacing w:val="-17"/>
          <w:w w:val="115"/>
        </w:rPr>
        <w:t> </w:t>
      </w:r>
      <w:r>
        <w:rPr>
          <w:color w:val="231F20"/>
          <w:w w:val="115"/>
        </w:rPr>
        <w:t>le</w:t>
      </w:r>
      <w:r>
        <w:rPr>
          <w:color w:val="231F20"/>
          <w:spacing w:val="-18"/>
          <w:w w:val="115"/>
        </w:rPr>
        <w:t> </w:t>
      </w:r>
      <w:r>
        <w:rPr>
          <w:color w:val="231F20"/>
          <w:w w:val="115"/>
        </w:rPr>
        <w:t>soutien</w:t>
      </w:r>
      <w:r>
        <w:rPr>
          <w:color w:val="231F20"/>
          <w:spacing w:val="-17"/>
          <w:w w:val="115"/>
        </w:rPr>
        <w:t> </w:t>
      </w:r>
      <w:r>
        <w:rPr>
          <w:color w:val="231F20"/>
          <w:w w:val="115"/>
        </w:rPr>
        <w:t>social</w:t>
      </w:r>
      <w:r>
        <w:rPr>
          <w:color w:val="231F20"/>
          <w:spacing w:val="-17"/>
          <w:w w:val="115"/>
        </w:rPr>
        <w:t> </w:t>
      </w:r>
      <w:r>
        <w:rPr>
          <w:b/>
          <w:color w:val="231F20"/>
          <w:w w:val="115"/>
        </w:rPr>
        <w:t>(S)</w:t>
      </w:r>
      <w:r>
        <w:rPr>
          <w:b/>
          <w:color w:val="231F20"/>
          <w:spacing w:val="-18"/>
          <w:w w:val="115"/>
        </w:rPr>
        <w:t> </w:t>
      </w:r>
      <w:r>
        <w:rPr>
          <w:color w:val="231F20"/>
          <w:w w:val="115"/>
        </w:rPr>
        <w:t>et</w:t>
      </w:r>
      <w:r>
        <w:rPr>
          <w:color w:val="231F20"/>
          <w:spacing w:val="-17"/>
          <w:w w:val="115"/>
        </w:rPr>
        <w:t> </w:t>
      </w:r>
      <w:r>
        <w:rPr>
          <w:color w:val="231F20"/>
          <w:w w:val="115"/>
        </w:rPr>
        <w:t>l’humilité</w:t>
      </w:r>
      <w:r>
        <w:rPr>
          <w:color w:val="231F20"/>
          <w:spacing w:val="-17"/>
          <w:w w:val="115"/>
        </w:rPr>
        <w:t> </w:t>
      </w:r>
      <w:r>
        <w:rPr>
          <w:b/>
          <w:color w:val="231F20"/>
          <w:w w:val="115"/>
        </w:rPr>
        <w:t>(H)</w:t>
      </w:r>
      <w:r>
        <w:rPr>
          <w:color w:val="231F20"/>
          <w:w w:val="115"/>
        </w:rPr>
        <w:t>.</w:t>
      </w:r>
    </w:p>
    <w:p>
      <w:pPr>
        <w:pStyle w:val="BodyText"/>
        <w:rPr>
          <w:sz w:val="24"/>
        </w:rPr>
      </w:pPr>
    </w:p>
    <w:p>
      <w:pPr>
        <w:pStyle w:val="BodyText"/>
        <w:spacing w:before="182"/>
        <w:ind w:left="829"/>
        <w:jc w:val="both"/>
        <w:rPr>
          <w:rFonts w:ascii="Arial" w:hAnsi="Arial"/>
        </w:rPr>
      </w:pPr>
      <w:r>
        <w:rPr/>
        <w:pict>
          <v:shape style="position:absolute;margin-left:62.5pt;margin-top:21.180914pt;width:287.5pt;height:.1pt;mso-position-horizontal-relative:page;mso-position-vertical-relative:paragraph;z-index:-15648256;mso-wrap-distance-left:0;mso-wrap-distance-right:0" id="docshape934" coordorigin="1250,424" coordsize="5750,0" path="m1250,424l7000,424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before="1"/>
        <w:ind w:left="829" w:right="747"/>
        <w:jc w:val="both"/>
        <w:rPr>
          <w:rFonts w:ascii="Arial" w:hAnsi="Arial"/>
        </w:rPr>
      </w:pPr>
      <w:r>
        <w:rPr>
          <w:rFonts w:ascii="Arial" w:hAnsi="Arial"/>
          <w:color w:val="231F20"/>
        </w:rPr>
        <w:t>Le</w:t>
      </w:r>
      <w:r>
        <w:rPr>
          <w:rFonts w:ascii="Arial" w:hAnsi="Arial"/>
          <w:color w:val="231F20"/>
          <w:spacing w:val="-9"/>
        </w:rPr>
        <w:t> </w:t>
      </w:r>
      <w:r>
        <w:rPr>
          <w:rFonts w:ascii="Arial" w:hAnsi="Arial"/>
          <w:color w:val="231F20"/>
        </w:rPr>
        <w:t>manque</w:t>
      </w:r>
      <w:r>
        <w:rPr>
          <w:rFonts w:ascii="Arial" w:hAnsi="Arial"/>
          <w:color w:val="231F20"/>
          <w:spacing w:val="-9"/>
        </w:rPr>
        <w:t> </w:t>
      </w:r>
      <w:r>
        <w:rPr>
          <w:rFonts w:ascii="Arial" w:hAnsi="Arial"/>
          <w:color w:val="231F20"/>
        </w:rPr>
        <w:t>d’appréciation,</w:t>
      </w:r>
      <w:r>
        <w:rPr>
          <w:rFonts w:ascii="Arial" w:hAnsi="Arial"/>
          <w:color w:val="231F20"/>
          <w:spacing w:val="-9"/>
        </w:rPr>
        <w:t> </w:t>
      </w:r>
      <w:r>
        <w:rPr>
          <w:rFonts w:ascii="Arial" w:hAnsi="Arial"/>
          <w:color w:val="231F20"/>
        </w:rPr>
        <w:t>l’indifférence</w:t>
      </w:r>
      <w:r>
        <w:rPr>
          <w:rFonts w:ascii="Arial" w:hAnsi="Arial"/>
          <w:color w:val="231F20"/>
          <w:spacing w:val="-9"/>
        </w:rPr>
        <w:t> </w:t>
      </w:r>
      <w:r>
        <w:rPr>
          <w:rFonts w:ascii="Arial" w:hAnsi="Arial"/>
          <w:color w:val="231F20"/>
        </w:rPr>
        <w:t>et</w:t>
      </w:r>
      <w:r>
        <w:rPr>
          <w:rFonts w:ascii="Arial" w:hAnsi="Arial"/>
          <w:color w:val="231F20"/>
          <w:spacing w:val="-9"/>
        </w:rPr>
        <w:t> </w:t>
      </w:r>
      <w:r>
        <w:rPr>
          <w:rFonts w:ascii="Arial" w:hAnsi="Arial"/>
          <w:color w:val="231F20"/>
        </w:rPr>
        <w:t>toute</w:t>
      </w:r>
      <w:r>
        <w:rPr>
          <w:rFonts w:ascii="Arial" w:hAnsi="Arial"/>
          <w:color w:val="231F20"/>
          <w:spacing w:val="-9"/>
        </w:rPr>
        <w:t> </w:t>
      </w:r>
      <w:r>
        <w:rPr>
          <w:rFonts w:ascii="Arial" w:hAnsi="Arial"/>
          <w:color w:val="231F20"/>
        </w:rPr>
        <w:t>autre</w:t>
      </w:r>
      <w:r>
        <w:rPr>
          <w:rFonts w:ascii="Arial" w:hAnsi="Arial"/>
          <w:color w:val="231F20"/>
          <w:spacing w:val="-9"/>
        </w:rPr>
        <w:t> </w:t>
      </w:r>
      <w:r>
        <w:rPr>
          <w:rFonts w:ascii="Arial" w:hAnsi="Arial"/>
          <w:color w:val="231F20"/>
        </w:rPr>
        <w:t>forme</w:t>
      </w:r>
      <w:r>
        <w:rPr>
          <w:rFonts w:ascii="Arial" w:hAnsi="Arial"/>
          <w:color w:val="231F20"/>
          <w:spacing w:val="-9"/>
        </w:rPr>
        <w:t> </w:t>
      </w:r>
      <w:r>
        <w:rPr>
          <w:rFonts w:ascii="Arial" w:hAnsi="Arial"/>
          <w:color w:val="231F20"/>
        </w:rPr>
        <w:t>d’agressivité directe ou indirecte peuvent causer des dommages irréparables au sein d’une entreprise. C’est pourquoi la communication basée sur le respect mutuel</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l’estime</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soi</w:t>
      </w:r>
      <w:r>
        <w:rPr>
          <w:rFonts w:ascii="Arial" w:hAnsi="Arial"/>
          <w:color w:val="231F20"/>
          <w:spacing w:val="-3"/>
        </w:rPr>
        <w:t> </w:t>
      </w:r>
      <w:r>
        <w:rPr>
          <w:rFonts w:ascii="Arial" w:hAnsi="Arial"/>
          <w:color w:val="231F20"/>
        </w:rPr>
        <w:t>est</w:t>
      </w:r>
      <w:r>
        <w:rPr>
          <w:rFonts w:ascii="Arial" w:hAnsi="Arial"/>
          <w:color w:val="231F20"/>
          <w:spacing w:val="-3"/>
        </w:rPr>
        <w:t> </w:t>
      </w:r>
      <w:r>
        <w:rPr>
          <w:rFonts w:ascii="Arial" w:hAnsi="Arial"/>
          <w:color w:val="231F20"/>
        </w:rPr>
        <w:t>si</w:t>
      </w:r>
      <w:r>
        <w:rPr>
          <w:rFonts w:ascii="Arial" w:hAnsi="Arial"/>
          <w:color w:val="231F20"/>
          <w:spacing w:val="-3"/>
        </w:rPr>
        <w:t> </w:t>
      </w:r>
      <w:r>
        <w:rPr>
          <w:rFonts w:ascii="Arial" w:hAnsi="Arial"/>
          <w:color w:val="231F20"/>
        </w:rPr>
        <w:t>importante</w:t>
      </w:r>
      <w:r>
        <w:rPr>
          <w:rFonts w:ascii="Arial" w:hAnsi="Arial"/>
          <w:color w:val="231F20"/>
          <w:spacing w:val="-3"/>
        </w:rPr>
        <w:t> </w:t>
      </w:r>
      <w:r>
        <w:rPr>
          <w:rFonts w:ascii="Arial" w:hAnsi="Arial"/>
          <w:color w:val="231F20"/>
        </w:rPr>
        <w:t>dans</w:t>
      </w:r>
      <w:r>
        <w:rPr>
          <w:rFonts w:ascii="Arial" w:hAnsi="Arial"/>
          <w:color w:val="231F20"/>
          <w:spacing w:val="-3"/>
        </w:rPr>
        <w:t> </w:t>
      </w:r>
      <w:r>
        <w:rPr>
          <w:rFonts w:ascii="Arial" w:hAnsi="Arial"/>
          <w:color w:val="231F20"/>
        </w:rPr>
        <w:t>une</w:t>
      </w:r>
      <w:r>
        <w:rPr>
          <w:rFonts w:ascii="Arial" w:hAnsi="Arial"/>
          <w:color w:val="231F20"/>
          <w:spacing w:val="-3"/>
        </w:rPr>
        <w:t> </w:t>
      </w:r>
      <w:r>
        <w:rPr>
          <w:rFonts w:ascii="Arial" w:hAnsi="Arial"/>
          <w:color w:val="231F20"/>
        </w:rPr>
        <w:t>équipe.</w:t>
      </w:r>
      <w:r>
        <w:rPr>
          <w:rFonts w:ascii="Arial" w:hAnsi="Arial"/>
          <w:color w:val="231F20"/>
          <w:spacing w:val="-3"/>
        </w:rPr>
        <w:t> </w:t>
      </w:r>
      <w:r>
        <w:rPr>
          <w:rFonts w:ascii="Arial" w:hAnsi="Arial"/>
          <w:color w:val="231F20"/>
        </w:rPr>
        <w:t>Reconnaître, de</w:t>
      </w:r>
      <w:r>
        <w:rPr>
          <w:rFonts w:ascii="Arial" w:hAnsi="Arial"/>
          <w:color w:val="231F20"/>
          <w:spacing w:val="-8"/>
        </w:rPr>
        <w:t> </w:t>
      </w:r>
      <w:r>
        <w:rPr>
          <w:rFonts w:ascii="Arial" w:hAnsi="Arial"/>
          <w:color w:val="231F20"/>
        </w:rPr>
        <w:t>façon</w:t>
      </w:r>
      <w:r>
        <w:rPr>
          <w:rFonts w:ascii="Arial" w:hAnsi="Arial"/>
          <w:color w:val="231F20"/>
          <w:spacing w:val="-8"/>
        </w:rPr>
        <w:t> </w:t>
      </w:r>
      <w:r>
        <w:rPr>
          <w:rFonts w:ascii="Arial" w:hAnsi="Arial"/>
          <w:color w:val="231F20"/>
        </w:rPr>
        <w:t>objective,</w:t>
      </w:r>
      <w:r>
        <w:rPr>
          <w:rFonts w:ascii="Arial" w:hAnsi="Arial"/>
          <w:color w:val="231F20"/>
          <w:spacing w:val="-8"/>
        </w:rPr>
        <w:t> </w:t>
      </w:r>
      <w:r>
        <w:rPr>
          <w:rFonts w:ascii="Arial" w:hAnsi="Arial"/>
          <w:color w:val="231F20"/>
        </w:rPr>
        <w:t>les</w:t>
      </w:r>
      <w:r>
        <w:rPr>
          <w:rFonts w:ascii="Arial" w:hAnsi="Arial"/>
          <w:color w:val="231F20"/>
          <w:spacing w:val="-8"/>
        </w:rPr>
        <w:t> </w:t>
      </w:r>
      <w:r>
        <w:rPr>
          <w:rFonts w:ascii="Arial" w:hAnsi="Arial"/>
          <w:color w:val="231F20"/>
        </w:rPr>
        <w:t>forces</w:t>
      </w:r>
      <w:r>
        <w:rPr>
          <w:rFonts w:ascii="Arial" w:hAnsi="Arial"/>
          <w:color w:val="231F20"/>
          <w:spacing w:val="-8"/>
        </w:rPr>
        <w:t> </w:t>
      </w:r>
      <w:r>
        <w:rPr>
          <w:rFonts w:ascii="Arial" w:hAnsi="Arial"/>
          <w:color w:val="231F20"/>
        </w:rPr>
        <w:t>et</w:t>
      </w:r>
      <w:r>
        <w:rPr>
          <w:rFonts w:ascii="Arial" w:hAnsi="Arial"/>
          <w:color w:val="231F20"/>
          <w:spacing w:val="-8"/>
        </w:rPr>
        <w:t> </w:t>
      </w:r>
      <w:r>
        <w:rPr>
          <w:rFonts w:ascii="Arial" w:hAnsi="Arial"/>
          <w:color w:val="231F20"/>
        </w:rPr>
        <w:t>les</w:t>
      </w:r>
      <w:r>
        <w:rPr>
          <w:rFonts w:ascii="Arial" w:hAnsi="Arial"/>
          <w:color w:val="231F20"/>
          <w:spacing w:val="-8"/>
        </w:rPr>
        <w:t> </w:t>
      </w:r>
      <w:r>
        <w:rPr>
          <w:rFonts w:ascii="Arial" w:hAnsi="Arial"/>
          <w:color w:val="231F20"/>
        </w:rPr>
        <w:t>faiblesses</w:t>
      </w:r>
      <w:r>
        <w:rPr>
          <w:rFonts w:ascii="Arial" w:hAnsi="Arial"/>
          <w:color w:val="231F20"/>
          <w:spacing w:val="-8"/>
        </w:rPr>
        <w:t> </w:t>
      </w:r>
      <w:r>
        <w:rPr>
          <w:rFonts w:ascii="Arial" w:hAnsi="Arial"/>
          <w:color w:val="231F20"/>
        </w:rPr>
        <w:t>des</w:t>
      </w:r>
      <w:r>
        <w:rPr>
          <w:rFonts w:ascii="Arial" w:hAnsi="Arial"/>
          <w:color w:val="231F20"/>
          <w:spacing w:val="-8"/>
        </w:rPr>
        <w:t> </w:t>
      </w:r>
      <w:r>
        <w:rPr>
          <w:rFonts w:ascii="Arial" w:hAnsi="Arial"/>
          <w:color w:val="231F20"/>
        </w:rPr>
        <w:t>membres</w:t>
      </w:r>
      <w:r>
        <w:rPr>
          <w:rFonts w:ascii="Arial" w:hAnsi="Arial"/>
          <w:color w:val="231F20"/>
          <w:spacing w:val="-8"/>
        </w:rPr>
        <w:t> </w:t>
      </w:r>
      <w:r>
        <w:rPr>
          <w:rFonts w:ascii="Arial" w:hAnsi="Arial"/>
          <w:color w:val="231F20"/>
        </w:rPr>
        <w:t>d’une</w:t>
      </w:r>
      <w:r>
        <w:rPr>
          <w:rFonts w:ascii="Arial" w:hAnsi="Arial"/>
          <w:color w:val="231F20"/>
          <w:spacing w:val="-8"/>
        </w:rPr>
        <w:t> </w:t>
      </w:r>
      <w:r>
        <w:rPr>
          <w:rFonts w:ascii="Arial" w:hAnsi="Arial"/>
          <w:color w:val="231F20"/>
        </w:rPr>
        <w:t>équipe pour</w:t>
      </w:r>
      <w:r>
        <w:rPr>
          <w:rFonts w:ascii="Arial" w:hAnsi="Arial"/>
          <w:color w:val="231F20"/>
          <w:spacing w:val="-7"/>
        </w:rPr>
        <w:t> </w:t>
      </w:r>
      <w:r>
        <w:rPr>
          <w:rFonts w:ascii="Arial" w:hAnsi="Arial"/>
          <w:color w:val="231F20"/>
        </w:rPr>
        <w:t>mieux</w:t>
      </w:r>
      <w:r>
        <w:rPr>
          <w:rFonts w:ascii="Arial" w:hAnsi="Arial"/>
          <w:color w:val="231F20"/>
          <w:spacing w:val="-7"/>
        </w:rPr>
        <w:t> </w:t>
      </w:r>
      <w:r>
        <w:rPr>
          <w:rFonts w:ascii="Arial" w:hAnsi="Arial"/>
          <w:color w:val="231F20"/>
        </w:rPr>
        <w:t>utiliser</w:t>
      </w:r>
      <w:r>
        <w:rPr>
          <w:rFonts w:ascii="Arial" w:hAnsi="Arial"/>
          <w:color w:val="231F20"/>
          <w:spacing w:val="-7"/>
        </w:rPr>
        <w:t> </w:t>
      </w:r>
      <w:r>
        <w:rPr>
          <w:rFonts w:ascii="Arial" w:hAnsi="Arial"/>
          <w:color w:val="231F20"/>
        </w:rPr>
        <w:t>le</w:t>
      </w:r>
      <w:r>
        <w:rPr>
          <w:rFonts w:ascii="Arial" w:hAnsi="Arial"/>
          <w:color w:val="231F20"/>
          <w:spacing w:val="-7"/>
        </w:rPr>
        <w:t> </w:t>
      </w:r>
      <w:r>
        <w:rPr>
          <w:rFonts w:ascii="Arial" w:hAnsi="Arial"/>
          <w:color w:val="231F20"/>
        </w:rPr>
        <w:t>potentiel</w:t>
      </w:r>
      <w:r>
        <w:rPr>
          <w:rFonts w:ascii="Arial" w:hAnsi="Arial"/>
          <w:color w:val="231F20"/>
          <w:spacing w:val="-7"/>
        </w:rPr>
        <w:t> </w:t>
      </w:r>
      <w:r>
        <w:rPr>
          <w:rFonts w:ascii="Arial" w:hAnsi="Arial"/>
          <w:color w:val="231F20"/>
        </w:rPr>
        <w:t>de</w:t>
      </w:r>
      <w:r>
        <w:rPr>
          <w:rFonts w:ascii="Arial" w:hAnsi="Arial"/>
          <w:color w:val="231F20"/>
          <w:spacing w:val="-7"/>
        </w:rPr>
        <w:t> </w:t>
      </w:r>
      <w:r>
        <w:rPr>
          <w:rFonts w:ascii="Arial" w:hAnsi="Arial"/>
          <w:color w:val="231F20"/>
        </w:rPr>
        <w:t>chacun</w:t>
      </w:r>
      <w:r>
        <w:rPr>
          <w:rFonts w:ascii="Arial" w:hAnsi="Arial"/>
          <w:color w:val="231F20"/>
          <w:spacing w:val="-7"/>
        </w:rPr>
        <w:t> </w:t>
      </w:r>
      <w:r>
        <w:rPr>
          <w:rFonts w:ascii="Arial" w:hAnsi="Arial"/>
          <w:color w:val="231F20"/>
        </w:rPr>
        <w:t>dans</w:t>
      </w:r>
      <w:r>
        <w:rPr>
          <w:rFonts w:ascii="Arial" w:hAnsi="Arial"/>
          <w:color w:val="231F20"/>
          <w:spacing w:val="-7"/>
        </w:rPr>
        <w:t> </w:t>
      </w:r>
      <w:r>
        <w:rPr>
          <w:rFonts w:ascii="Arial" w:hAnsi="Arial"/>
          <w:color w:val="231F20"/>
        </w:rPr>
        <w:t>le</w:t>
      </w:r>
      <w:r>
        <w:rPr>
          <w:rFonts w:ascii="Arial" w:hAnsi="Arial"/>
          <w:color w:val="231F20"/>
          <w:spacing w:val="-7"/>
        </w:rPr>
        <w:t> </w:t>
      </w:r>
      <w:r>
        <w:rPr>
          <w:rFonts w:ascii="Arial" w:hAnsi="Arial"/>
          <w:color w:val="231F20"/>
        </w:rPr>
        <w:t>but</w:t>
      </w:r>
      <w:r>
        <w:rPr>
          <w:rFonts w:ascii="Arial" w:hAnsi="Arial"/>
          <w:color w:val="231F20"/>
          <w:spacing w:val="-7"/>
        </w:rPr>
        <w:t> </w:t>
      </w:r>
      <w:r>
        <w:rPr>
          <w:rFonts w:ascii="Arial" w:hAnsi="Arial"/>
          <w:color w:val="231F20"/>
        </w:rPr>
        <w:t>d’atteindre</w:t>
      </w:r>
      <w:r>
        <w:rPr>
          <w:rFonts w:ascii="Arial" w:hAnsi="Arial"/>
          <w:color w:val="231F20"/>
          <w:spacing w:val="-7"/>
        </w:rPr>
        <w:t> </w:t>
      </w:r>
      <w:r>
        <w:rPr>
          <w:rFonts w:ascii="Arial" w:hAnsi="Arial"/>
          <w:color w:val="231F20"/>
        </w:rPr>
        <w:t>un</w:t>
      </w:r>
      <w:r>
        <w:rPr>
          <w:rFonts w:ascii="Arial" w:hAnsi="Arial"/>
          <w:color w:val="231F20"/>
          <w:spacing w:val="-7"/>
        </w:rPr>
        <w:t> </w:t>
      </w:r>
      <w:r>
        <w:rPr>
          <w:rFonts w:ascii="Arial" w:hAnsi="Arial"/>
          <w:color w:val="231F20"/>
        </w:rPr>
        <w:t>objec- </w:t>
      </w:r>
      <w:r>
        <w:rPr>
          <w:rFonts w:ascii="Arial" w:hAnsi="Arial"/>
          <w:color w:val="231F20"/>
          <w:w w:val="105"/>
        </w:rPr>
        <w:t>tif</w:t>
      </w:r>
      <w:r>
        <w:rPr>
          <w:rFonts w:ascii="Arial" w:hAnsi="Arial"/>
          <w:color w:val="231F20"/>
          <w:spacing w:val="-9"/>
          <w:w w:val="105"/>
        </w:rPr>
        <w:t> </w:t>
      </w:r>
      <w:r>
        <w:rPr>
          <w:rFonts w:ascii="Arial" w:hAnsi="Arial"/>
          <w:color w:val="231F20"/>
          <w:w w:val="105"/>
        </w:rPr>
        <w:t>commun,</w:t>
      </w:r>
      <w:r>
        <w:rPr>
          <w:rFonts w:ascii="Arial" w:hAnsi="Arial"/>
          <w:color w:val="231F20"/>
          <w:spacing w:val="-9"/>
          <w:w w:val="105"/>
        </w:rPr>
        <w:t> </w:t>
      </w:r>
      <w:r>
        <w:rPr>
          <w:rFonts w:ascii="Arial" w:hAnsi="Arial"/>
          <w:color w:val="231F20"/>
          <w:w w:val="105"/>
        </w:rPr>
        <w:t>voilà</w:t>
      </w:r>
      <w:r>
        <w:rPr>
          <w:rFonts w:ascii="Arial" w:hAnsi="Arial"/>
          <w:color w:val="231F20"/>
          <w:spacing w:val="-9"/>
          <w:w w:val="105"/>
        </w:rPr>
        <w:t> </w:t>
      </w:r>
      <w:r>
        <w:rPr>
          <w:rFonts w:ascii="Arial" w:hAnsi="Arial"/>
          <w:color w:val="231F20"/>
          <w:w w:val="105"/>
        </w:rPr>
        <w:t>une</w:t>
      </w:r>
      <w:r>
        <w:rPr>
          <w:rFonts w:ascii="Arial" w:hAnsi="Arial"/>
          <w:color w:val="231F20"/>
          <w:spacing w:val="-9"/>
          <w:w w:val="105"/>
        </w:rPr>
        <w:t> </w:t>
      </w:r>
      <w:r>
        <w:rPr>
          <w:rFonts w:ascii="Arial" w:hAnsi="Arial"/>
          <w:color w:val="231F20"/>
          <w:w w:val="105"/>
        </w:rPr>
        <w:t>excellente</w:t>
      </w:r>
      <w:r>
        <w:rPr>
          <w:rFonts w:ascii="Arial" w:hAnsi="Arial"/>
          <w:color w:val="231F20"/>
          <w:spacing w:val="-9"/>
          <w:w w:val="105"/>
        </w:rPr>
        <w:t> </w:t>
      </w:r>
      <w:r>
        <w:rPr>
          <w:rFonts w:ascii="Arial" w:hAnsi="Arial"/>
          <w:color w:val="231F20"/>
          <w:w w:val="105"/>
        </w:rPr>
        <w:t>technique</w:t>
      </w:r>
      <w:r>
        <w:rPr>
          <w:rFonts w:ascii="Arial" w:hAnsi="Arial"/>
          <w:color w:val="231F20"/>
          <w:spacing w:val="-9"/>
          <w:w w:val="105"/>
        </w:rPr>
        <w:t> </w:t>
      </w:r>
      <w:r>
        <w:rPr>
          <w:rFonts w:ascii="Arial" w:hAnsi="Arial"/>
          <w:color w:val="231F20"/>
          <w:w w:val="105"/>
        </w:rPr>
        <w:t>pour</w:t>
      </w:r>
      <w:r>
        <w:rPr>
          <w:rFonts w:ascii="Arial" w:hAnsi="Arial"/>
          <w:color w:val="231F20"/>
          <w:spacing w:val="-9"/>
          <w:w w:val="105"/>
        </w:rPr>
        <w:t> </w:t>
      </w:r>
      <w:r>
        <w:rPr>
          <w:rFonts w:ascii="Arial" w:hAnsi="Arial"/>
          <w:color w:val="231F20"/>
          <w:w w:val="105"/>
        </w:rPr>
        <w:t>créer</w:t>
      </w:r>
      <w:r>
        <w:rPr>
          <w:rFonts w:ascii="Arial" w:hAnsi="Arial"/>
          <w:color w:val="231F20"/>
          <w:spacing w:val="-9"/>
          <w:w w:val="105"/>
        </w:rPr>
        <w:t> </w:t>
      </w:r>
      <w:r>
        <w:rPr>
          <w:rFonts w:ascii="Arial" w:hAnsi="Arial"/>
          <w:color w:val="231F20"/>
          <w:w w:val="105"/>
        </w:rPr>
        <w:t>un</w:t>
      </w:r>
      <w:r>
        <w:rPr>
          <w:rFonts w:ascii="Arial" w:hAnsi="Arial"/>
          <w:color w:val="231F20"/>
          <w:spacing w:val="-9"/>
          <w:w w:val="105"/>
        </w:rPr>
        <w:t> </w:t>
      </w:r>
      <w:r>
        <w:rPr>
          <w:rFonts w:ascii="Arial" w:hAnsi="Arial"/>
          <w:color w:val="231F20"/>
          <w:w w:val="105"/>
        </w:rPr>
        <w:t>sentiment</w:t>
      </w:r>
      <w:r>
        <w:rPr>
          <w:rFonts w:ascii="Arial" w:hAnsi="Arial"/>
          <w:color w:val="231F20"/>
          <w:spacing w:val="-9"/>
          <w:w w:val="105"/>
        </w:rPr>
        <w:t> </w:t>
      </w:r>
      <w:r>
        <w:rPr>
          <w:rFonts w:ascii="Arial" w:hAnsi="Arial"/>
          <w:color w:val="231F20"/>
          <w:w w:val="105"/>
        </w:rPr>
        <w:t>de fierté individuelle et de groupe!</w:t>
      </w:r>
    </w:p>
    <w:p>
      <w:pPr>
        <w:pStyle w:val="BodyText"/>
        <w:spacing w:before="4"/>
        <w:rPr>
          <w:rFonts w:ascii="Arial"/>
          <w:sz w:val="4"/>
        </w:rPr>
      </w:pPr>
      <w:r>
        <w:rPr/>
        <w:pict>
          <v:shape style="position:absolute;margin-left:62.5pt;margin-top:3.738574pt;width:287.5pt;height:.1pt;mso-position-horizontal-relative:page;mso-position-vertical-relative:paragraph;z-index:-15647744;mso-wrap-distance-left:0;mso-wrap-distance-right:0" id="docshape935" coordorigin="1250,75" coordsize="5750,0" path="m1250,75l7000,75e" filled="false" stroked="true" strokeweight=".25pt" strokecolor="#231f20">
            <v:path arrowok="t"/>
            <v:stroke dashstyle="shortdot"/>
            <w10:wrap type="topAndBottom"/>
          </v:shape>
        </w:pict>
      </w:r>
    </w:p>
    <w:p>
      <w:pPr>
        <w:spacing w:line="295" w:lineRule="auto" w:before="137"/>
        <w:ind w:left="830" w:right="744" w:firstLine="0"/>
        <w:jc w:val="both"/>
        <w:rPr>
          <w:rFonts w:ascii="Arial" w:hAnsi="Arial"/>
          <w:sz w:val="12"/>
        </w:rPr>
      </w:pPr>
      <w:r>
        <w:rPr>
          <w:rFonts w:ascii="Arial" w:hAnsi="Arial"/>
          <w:color w:val="231F20"/>
          <w:sz w:val="12"/>
        </w:rPr>
        <w:t>Source</w:t>
      </w:r>
      <w:r>
        <w:rPr>
          <w:rFonts w:ascii="Arial" w:hAnsi="Arial"/>
          <w:color w:val="231F20"/>
          <w:spacing w:val="-5"/>
          <w:sz w:val="12"/>
        </w:rPr>
        <w:t> </w:t>
      </w:r>
      <w:r>
        <w:rPr>
          <w:rFonts w:ascii="Arial" w:hAnsi="Arial"/>
          <w:color w:val="231F20"/>
          <w:sz w:val="12"/>
        </w:rPr>
        <w:t>: E. Plouffe (s. a.), &lt;https://action-emploi.ca/reconnaissance-et-estime-de-soi-au-travail/&gt;,</w:t>
      </w:r>
      <w:r>
        <w:rPr>
          <w:rFonts w:ascii="Arial" w:hAnsi="Arial"/>
          <w:color w:val="231F20"/>
          <w:spacing w:val="40"/>
          <w:sz w:val="12"/>
        </w:rPr>
        <w:t> </w:t>
      </w:r>
      <w:r>
        <w:rPr>
          <w:rFonts w:ascii="Arial" w:hAnsi="Arial"/>
          <w:color w:val="231F20"/>
          <w:sz w:val="12"/>
        </w:rPr>
        <w:t>consulté le 12 janvier 2022.</w:t>
      </w:r>
    </w:p>
    <w:p>
      <w:pPr>
        <w:spacing w:after="0" w:line="295" w:lineRule="auto"/>
        <w:jc w:val="both"/>
        <w:rPr>
          <w:rFonts w:ascii="Arial" w:hAnsi="Arial"/>
          <w:sz w:val="12"/>
        </w:rPr>
        <w:sectPr>
          <w:footerReference w:type="default" r:id="rId255"/>
          <w:pgSz w:w="8640" w:h="12960"/>
          <w:pgMar w:footer="424" w:header="0" w:top="520" w:bottom="620" w:left="420" w:right="1140"/>
        </w:sectPr>
      </w:pPr>
    </w:p>
    <w:p>
      <w:pPr>
        <w:spacing w:before="118"/>
        <w:ind w:left="1940" w:right="0" w:firstLine="0"/>
        <w:jc w:val="left"/>
        <w:rPr>
          <w:rFonts w:ascii="Arial" w:hAnsi="Arial"/>
          <w:sz w:val="14"/>
        </w:rPr>
      </w:pPr>
      <w:bookmarkStart w:name=" 4.6 / Estime de soi – équilibre entre a" w:id="149"/>
      <w:bookmarkEnd w:id="149"/>
      <w:r>
        <w:rPr/>
      </w:r>
      <w:bookmarkStart w:name="_bookmark65" w:id="150"/>
      <w:bookmarkEnd w:id="150"/>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spacing w:before="3"/>
        <w:rPr>
          <w:rFonts w:ascii="Arial"/>
          <w:sz w:val="27"/>
        </w:rPr>
      </w:pPr>
    </w:p>
    <w:p>
      <w:pPr>
        <w:pStyle w:val="Heading2"/>
        <w:numPr>
          <w:ilvl w:val="1"/>
          <w:numId w:val="62"/>
        </w:numPr>
        <w:tabs>
          <w:tab w:pos="911" w:val="left" w:leader="none"/>
          <w:tab w:pos="1219" w:val="left" w:leader="none"/>
        </w:tabs>
        <w:spacing w:line="240" w:lineRule="auto" w:before="0" w:after="0"/>
        <w:ind w:left="910" w:right="0" w:hanging="328"/>
        <w:jc w:val="left"/>
      </w:pPr>
      <w:r>
        <w:rPr>
          <w:b w:val="0"/>
          <w:i/>
          <w:color w:val="231F20"/>
          <w:spacing w:val="-10"/>
        </w:rPr>
        <w:t>/</w:t>
      </w:r>
      <w:r>
        <w:rPr>
          <w:b w:val="0"/>
          <w:i/>
          <w:color w:val="231F20"/>
        </w:rPr>
        <w:tab/>
      </w:r>
      <w:r>
        <w:rPr>
          <w:color w:val="231F20"/>
          <w:w w:val="95"/>
        </w:rPr>
        <w:t>Estime</w:t>
      </w:r>
      <w:r>
        <w:rPr>
          <w:color w:val="231F20"/>
          <w:spacing w:val="-8"/>
          <w:w w:val="95"/>
        </w:rPr>
        <w:t> </w:t>
      </w:r>
      <w:r>
        <w:rPr>
          <w:color w:val="231F20"/>
          <w:w w:val="95"/>
        </w:rPr>
        <w:t>de</w:t>
      </w:r>
      <w:r>
        <w:rPr>
          <w:color w:val="231F20"/>
          <w:spacing w:val="-8"/>
          <w:w w:val="95"/>
        </w:rPr>
        <w:t> </w:t>
      </w:r>
      <w:r>
        <w:rPr>
          <w:color w:val="231F20"/>
          <w:w w:val="95"/>
        </w:rPr>
        <w:t>soi</w:t>
      </w:r>
      <w:r>
        <w:rPr>
          <w:color w:val="231F20"/>
          <w:spacing w:val="-8"/>
          <w:w w:val="95"/>
        </w:rPr>
        <w:t> </w:t>
      </w:r>
      <w:r>
        <w:rPr>
          <w:color w:val="231F20"/>
          <w:w w:val="95"/>
        </w:rPr>
        <w:t>–</w:t>
      </w:r>
      <w:r>
        <w:rPr>
          <w:color w:val="231F20"/>
          <w:spacing w:val="-7"/>
          <w:w w:val="95"/>
        </w:rPr>
        <w:t> </w:t>
      </w:r>
      <w:r>
        <w:rPr>
          <w:color w:val="231F20"/>
          <w:w w:val="95"/>
        </w:rPr>
        <w:t>équilibre</w:t>
      </w:r>
      <w:r>
        <w:rPr>
          <w:color w:val="231F20"/>
          <w:spacing w:val="-8"/>
          <w:w w:val="95"/>
        </w:rPr>
        <w:t> </w:t>
      </w:r>
      <w:r>
        <w:rPr>
          <w:color w:val="231F20"/>
          <w:w w:val="95"/>
        </w:rPr>
        <w:t>entre</w:t>
      </w:r>
      <w:r>
        <w:rPr>
          <w:color w:val="231F20"/>
          <w:spacing w:val="-8"/>
          <w:w w:val="95"/>
        </w:rPr>
        <w:t> </w:t>
      </w:r>
      <w:r>
        <w:rPr>
          <w:color w:val="231F20"/>
          <w:w w:val="95"/>
        </w:rPr>
        <w:t>accomplissements</w:t>
      </w:r>
      <w:r>
        <w:rPr>
          <w:color w:val="231F20"/>
          <w:spacing w:val="-8"/>
          <w:w w:val="95"/>
        </w:rPr>
        <w:t> </w:t>
      </w:r>
      <w:r>
        <w:rPr>
          <w:color w:val="231F20"/>
          <w:w w:val="95"/>
        </w:rPr>
        <w:t>et</w:t>
      </w:r>
      <w:r>
        <w:rPr>
          <w:color w:val="231F20"/>
          <w:spacing w:val="-7"/>
          <w:w w:val="95"/>
        </w:rPr>
        <w:t> </w:t>
      </w:r>
      <w:r>
        <w:rPr>
          <w:color w:val="231F20"/>
          <w:spacing w:val="-2"/>
          <w:w w:val="95"/>
        </w:rPr>
        <w:t>valeurs</w:t>
      </w:r>
    </w:p>
    <w:p>
      <w:pPr>
        <w:pStyle w:val="BodyText"/>
        <w:spacing w:before="9"/>
        <w:rPr>
          <w:rFonts w:ascii="Arial"/>
          <w:b/>
          <w:sz w:val="25"/>
        </w:rPr>
      </w:pPr>
    </w:p>
    <w:p>
      <w:pPr>
        <w:pStyle w:val="BodyText"/>
        <w:spacing w:line="307" w:lineRule="auto" w:before="1"/>
        <w:ind w:left="1220" w:right="103"/>
        <w:jc w:val="both"/>
      </w:pPr>
      <w:r>
        <w:rPr>
          <w:color w:val="231F20"/>
          <w:w w:val="120"/>
        </w:rPr>
        <w:t>L’estime</w:t>
      </w:r>
      <w:r>
        <w:rPr>
          <w:color w:val="231F20"/>
          <w:spacing w:val="-5"/>
          <w:w w:val="120"/>
        </w:rPr>
        <w:t> </w:t>
      </w:r>
      <w:r>
        <w:rPr>
          <w:color w:val="231F20"/>
          <w:w w:val="120"/>
        </w:rPr>
        <w:t>de</w:t>
      </w:r>
      <w:r>
        <w:rPr>
          <w:color w:val="231F20"/>
          <w:spacing w:val="-5"/>
          <w:w w:val="120"/>
        </w:rPr>
        <w:t> </w:t>
      </w:r>
      <w:r>
        <w:rPr>
          <w:color w:val="231F20"/>
          <w:w w:val="120"/>
        </w:rPr>
        <w:t>soi</w:t>
      </w:r>
      <w:r>
        <w:rPr>
          <w:color w:val="231F20"/>
          <w:spacing w:val="-5"/>
          <w:w w:val="120"/>
        </w:rPr>
        <w:t> </w:t>
      </w:r>
      <w:r>
        <w:rPr>
          <w:color w:val="231F20"/>
          <w:w w:val="120"/>
        </w:rPr>
        <w:t>résulte</w:t>
      </w:r>
      <w:r>
        <w:rPr>
          <w:color w:val="231F20"/>
          <w:spacing w:val="-5"/>
          <w:w w:val="120"/>
        </w:rPr>
        <w:t> </w:t>
      </w:r>
      <w:r>
        <w:rPr>
          <w:color w:val="231F20"/>
          <w:w w:val="120"/>
        </w:rPr>
        <w:t>d’une</w:t>
      </w:r>
      <w:r>
        <w:rPr>
          <w:color w:val="231F20"/>
          <w:spacing w:val="-5"/>
          <w:w w:val="120"/>
        </w:rPr>
        <w:t> </w:t>
      </w:r>
      <w:r>
        <w:rPr>
          <w:color w:val="231F20"/>
          <w:w w:val="120"/>
        </w:rPr>
        <w:t>combinaison</w:t>
      </w:r>
      <w:r>
        <w:rPr>
          <w:color w:val="231F20"/>
          <w:spacing w:val="-5"/>
          <w:w w:val="120"/>
        </w:rPr>
        <w:t> </w:t>
      </w:r>
      <w:r>
        <w:rPr>
          <w:color w:val="231F20"/>
          <w:w w:val="120"/>
        </w:rPr>
        <w:t>adéquate</w:t>
      </w:r>
      <w:r>
        <w:rPr>
          <w:color w:val="231F20"/>
          <w:spacing w:val="-5"/>
          <w:w w:val="120"/>
        </w:rPr>
        <w:t> </w:t>
      </w:r>
      <w:r>
        <w:rPr>
          <w:color w:val="231F20"/>
          <w:w w:val="120"/>
        </w:rPr>
        <w:t>des</w:t>
      </w:r>
      <w:r>
        <w:rPr>
          <w:color w:val="231F20"/>
          <w:spacing w:val="-5"/>
          <w:w w:val="120"/>
        </w:rPr>
        <w:t> </w:t>
      </w:r>
      <w:r>
        <w:rPr>
          <w:color w:val="231F20"/>
          <w:w w:val="120"/>
        </w:rPr>
        <w:t>valeurs</w:t>
      </w:r>
      <w:r>
        <w:rPr>
          <w:color w:val="231F20"/>
          <w:spacing w:val="-5"/>
          <w:w w:val="120"/>
        </w:rPr>
        <w:t> </w:t>
      </w:r>
      <w:r>
        <w:rPr>
          <w:color w:val="231F20"/>
          <w:w w:val="120"/>
        </w:rPr>
        <w:t>essen- </w:t>
      </w:r>
      <w:r>
        <w:rPr>
          <w:color w:val="231F20"/>
          <w:w w:val="115"/>
        </w:rPr>
        <w:t>tielles</w:t>
      </w:r>
      <w:r>
        <w:rPr>
          <w:color w:val="231F20"/>
          <w:spacing w:val="-13"/>
          <w:w w:val="115"/>
        </w:rPr>
        <w:t> </w:t>
      </w:r>
      <w:r>
        <w:rPr>
          <w:color w:val="231F20"/>
          <w:w w:val="115"/>
        </w:rPr>
        <w:t>à</w:t>
      </w:r>
      <w:r>
        <w:rPr>
          <w:color w:val="231F20"/>
          <w:spacing w:val="-2"/>
          <w:w w:val="115"/>
        </w:rPr>
        <w:t> </w:t>
      </w:r>
      <w:r>
        <w:rPr>
          <w:color w:val="231F20"/>
          <w:w w:val="115"/>
        </w:rPr>
        <w:t>la réussite psychologique</w:t>
      </w:r>
      <w:r>
        <w:rPr>
          <w:color w:val="231F20"/>
          <w:spacing w:val="-13"/>
          <w:w w:val="115"/>
        </w:rPr>
        <w:t> </w:t>
      </w:r>
      <w:r>
        <w:rPr>
          <w:color w:val="231F20"/>
          <w:w w:val="115"/>
        </w:rPr>
        <w:t>: l’humilité nécessaire pour reconnaître </w:t>
      </w:r>
      <w:r>
        <w:rPr>
          <w:color w:val="231F20"/>
          <w:w w:val="120"/>
        </w:rPr>
        <w:t>ses</w:t>
      </w:r>
      <w:r>
        <w:rPr>
          <w:color w:val="231F20"/>
          <w:spacing w:val="-3"/>
          <w:w w:val="120"/>
        </w:rPr>
        <w:t> </w:t>
      </w:r>
      <w:r>
        <w:rPr>
          <w:color w:val="231F20"/>
          <w:w w:val="120"/>
        </w:rPr>
        <w:t>propres</w:t>
      </w:r>
      <w:r>
        <w:rPr>
          <w:color w:val="231F20"/>
          <w:spacing w:val="-3"/>
          <w:w w:val="120"/>
        </w:rPr>
        <w:t> </w:t>
      </w:r>
      <w:r>
        <w:rPr>
          <w:color w:val="231F20"/>
          <w:w w:val="120"/>
        </w:rPr>
        <w:t>limites</w:t>
      </w:r>
      <w:r>
        <w:rPr>
          <w:color w:val="231F20"/>
          <w:spacing w:val="-3"/>
          <w:w w:val="120"/>
        </w:rPr>
        <w:t> </w:t>
      </w:r>
      <w:r>
        <w:rPr>
          <w:color w:val="231F20"/>
          <w:w w:val="120"/>
        </w:rPr>
        <w:t>et</w:t>
      </w:r>
      <w:r>
        <w:rPr>
          <w:color w:val="231F20"/>
          <w:spacing w:val="-3"/>
          <w:w w:val="120"/>
        </w:rPr>
        <w:t> </w:t>
      </w:r>
      <w:r>
        <w:rPr>
          <w:color w:val="231F20"/>
          <w:w w:val="120"/>
        </w:rPr>
        <w:t>éviter</w:t>
      </w:r>
      <w:r>
        <w:rPr>
          <w:color w:val="231F20"/>
          <w:spacing w:val="-3"/>
          <w:w w:val="120"/>
        </w:rPr>
        <w:t> </w:t>
      </w:r>
      <w:r>
        <w:rPr>
          <w:color w:val="231F20"/>
          <w:w w:val="120"/>
        </w:rPr>
        <w:t>les</w:t>
      </w:r>
      <w:r>
        <w:rPr>
          <w:color w:val="231F20"/>
          <w:spacing w:val="-3"/>
          <w:w w:val="120"/>
        </w:rPr>
        <w:t> </w:t>
      </w:r>
      <w:r>
        <w:rPr>
          <w:color w:val="231F20"/>
          <w:w w:val="120"/>
        </w:rPr>
        <w:t>échecs;</w:t>
      </w:r>
      <w:r>
        <w:rPr>
          <w:color w:val="231F20"/>
          <w:spacing w:val="-3"/>
          <w:w w:val="120"/>
        </w:rPr>
        <w:t> </w:t>
      </w:r>
      <w:r>
        <w:rPr>
          <w:color w:val="231F20"/>
          <w:w w:val="120"/>
        </w:rPr>
        <w:t>le</w:t>
      </w:r>
      <w:r>
        <w:rPr>
          <w:color w:val="231F20"/>
          <w:spacing w:val="-3"/>
          <w:w w:val="120"/>
        </w:rPr>
        <w:t> </w:t>
      </w:r>
      <w:r>
        <w:rPr>
          <w:color w:val="231F20"/>
          <w:w w:val="120"/>
        </w:rPr>
        <w:t>courage</w:t>
      </w:r>
      <w:r>
        <w:rPr>
          <w:color w:val="231F20"/>
          <w:spacing w:val="-3"/>
          <w:w w:val="120"/>
        </w:rPr>
        <w:t> </w:t>
      </w:r>
      <w:r>
        <w:rPr>
          <w:color w:val="231F20"/>
          <w:w w:val="120"/>
        </w:rPr>
        <w:t>nécessaire</w:t>
      </w:r>
      <w:r>
        <w:rPr>
          <w:color w:val="231F20"/>
          <w:spacing w:val="-3"/>
          <w:w w:val="120"/>
        </w:rPr>
        <w:t> </w:t>
      </w:r>
      <w:r>
        <w:rPr>
          <w:color w:val="231F20"/>
          <w:w w:val="120"/>
        </w:rPr>
        <w:t>pour</w:t>
      </w:r>
      <w:r>
        <w:rPr>
          <w:color w:val="231F20"/>
          <w:spacing w:val="-3"/>
          <w:w w:val="120"/>
        </w:rPr>
        <w:t> </w:t>
      </w:r>
      <w:r>
        <w:rPr>
          <w:color w:val="231F20"/>
          <w:w w:val="120"/>
        </w:rPr>
        <w:t>per- sévérer afin d’atteindre ses objectifs et de vivre des expériences fruc- tueuses. Cette polarité est féconde, contrairement à celle qui met en opposition</w:t>
      </w:r>
      <w:r>
        <w:rPr>
          <w:color w:val="231F20"/>
          <w:spacing w:val="-13"/>
          <w:w w:val="120"/>
        </w:rPr>
        <w:t> </w:t>
      </w:r>
      <w:r>
        <w:rPr>
          <w:color w:val="231F20"/>
          <w:w w:val="120"/>
        </w:rPr>
        <w:t>l’humiliation</w:t>
      </w:r>
      <w:r>
        <w:rPr>
          <w:color w:val="231F20"/>
          <w:spacing w:val="-13"/>
          <w:w w:val="120"/>
        </w:rPr>
        <w:t> </w:t>
      </w:r>
      <w:r>
        <w:rPr>
          <w:color w:val="231F20"/>
          <w:w w:val="120"/>
        </w:rPr>
        <w:t>et</w:t>
      </w:r>
      <w:r>
        <w:rPr>
          <w:color w:val="231F20"/>
          <w:spacing w:val="-13"/>
          <w:w w:val="120"/>
        </w:rPr>
        <w:t> </w:t>
      </w:r>
      <w:r>
        <w:rPr>
          <w:color w:val="231F20"/>
          <w:w w:val="120"/>
        </w:rPr>
        <w:t>l’arrogance,</w:t>
      </w:r>
      <w:r>
        <w:rPr>
          <w:color w:val="231F20"/>
          <w:spacing w:val="-12"/>
          <w:w w:val="120"/>
        </w:rPr>
        <w:t> </w:t>
      </w:r>
      <w:r>
        <w:rPr>
          <w:color w:val="231F20"/>
          <w:w w:val="120"/>
        </w:rPr>
        <w:t>deux</w:t>
      </w:r>
      <w:r>
        <w:rPr>
          <w:color w:val="231F20"/>
          <w:spacing w:val="-13"/>
          <w:w w:val="120"/>
        </w:rPr>
        <w:t> </w:t>
      </w:r>
      <w:r>
        <w:rPr>
          <w:color w:val="231F20"/>
          <w:w w:val="120"/>
        </w:rPr>
        <w:t>états</w:t>
      </w:r>
      <w:r>
        <w:rPr>
          <w:color w:val="231F20"/>
          <w:spacing w:val="-13"/>
          <w:w w:val="120"/>
        </w:rPr>
        <w:t> </w:t>
      </w:r>
      <w:r>
        <w:rPr>
          <w:color w:val="231F20"/>
          <w:w w:val="120"/>
        </w:rPr>
        <w:t>émotionnels</w:t>
      </w:r>
      <w:r>
        <w:rPr>
          <w:color w:val="231F20"/>
          <w:spacing w:val="-13"/>
          <w:w w:val="120"/>
        </w:rPr>
        <w:t> </w:t>
      </w:r>
      <w:r>
        <w:rPr>
          <w:color w:val="231F20"/>
          <w:w w:val="120"/>
        </w:rPr>
        <w:t>négatifs et dysfonctionnels sur le plan adaptatif.</w:t>
      </w:r>
    </w:p>
    <w:p>
      <w:pPr>
        <w:pStyle w:val="BodyText"/>
        <w:spacing w:before="78"/>
        <w:ind w:left="1470"/>
        <w:jc w:val="both"/>
      </w:pPr>
      <w:r>
        <w:rPr>
          <w:color w:val="231F20"/>
          <w:spacing w:val="-2"/>
          <w:w w:val="120"/>
        </w:rPr>
        <w:t>James30,</w:t>
      </w:r>
      <w:r>
        <w:rPr>
          <w:color w:val="231F20"/>
          <w:spacing w:val="-3"/>
          <w:w w:val="120"/>
        </w:rPr>
        <w:t> </w:t>
      </w:r>
      <w:r>
        <w:rPr>
          <w:color w:val="231F20"/>
          <w:spacing w:val="-2"/>
          <w:w w:val="120"/>
        </w:rPr>
        <w:t>au</w:t>
      </w:r>
      <w:r>
        <w:rPr>
          <w:color w:val="231F20"/>
          <w:spacing w:val="-3"/>
          <w:w w:val="120"/>
        </w:rPr>
        <w:t> </w:t>
      </w:r>
      <w:r>
        <w:rPr>
          <w:color w:val="231F20"/>
          <w:spacing w:val="-2"/>
          <w:w w:val="120"/>
        </w:rPr>
        <w:t>tout</w:t>
      </w:r>
      <w:r>
        <w:rPr>
          <w:color w:val="231F20"/>
          <w:spacing w:val="-3"/>
          <w:w w:val="120"/>
        </w:rPr>
        <w:t> </w:t>
      </w:r>
      <w:r>
        <w:rPr>
          <w:color w:val="231F20"/>
          <w:spacing w:val="-2"/>
          <w:w w:val="120"/>
        </w:rPr>
        <w:t>début,</w:t>
      </w:r>
      <w:r>
        <w:rPr>
          <w:color w:val="231F20"/>
          <w:spacing w:val="-3"/>
          <w:w w:val="120"/>
        </w:rPr>
        <w:t> </w:t>
      </w:r>
      <w:r>
        <w:rPr>
          <w:color w:val="231F20"/>
          <w:spacing w:val="-2"/>
          <w:w w:val="120"/>
        </w:rPr>
        <w:t>distinguait</w:t>
      </w:r>
      <w:r>
        <w:rPr>
          <w:color w:val="231F20"/>
          <w:spacing w:val="-3"/>
          <w:w w:val="120"/>
        </w:rPr>
        <w:t> </w:t>
      </w:r>
      <w:r>
        <w:rPr>
          <w:color w:val="231F20"/>
          <w:spacing w:val="-2"/>
          <w:w w:val="120"/>
        </w:rPr>
        <w:t>trois</w:t>
      </w:r>
      <w:r>
        <w:rPr>
          <w:color w:val="231F20"/>
          <w:spacing w:val="-3"/>
          <w:w w:val="120"/>
        </w:rPr>
        <w:t> </w:t>
      </w:r>
      <w:r>
        <w:rPr>
          <w:color w:val="231F20"/>
          <w:spacing w:val="-2"/>
          <w:w w:val="120"/>
        </w:rPr>
        <w:t>types</w:t>
      </w:r>
      <w:r>
        <w:rPr>
          <w:color w:val="231F20"/>
          <w:spacing w:val="-3"/>
          <w:w w:val="120"/>
        </w:rPr>
        <w:t> </w:t>
      </w:r>
      <w:r>
        <w:rPr>
          <w:color w:val="231F20"/>
          <w:spacing w:val="-2"/>
          <w:w w:val="120"/>
        </w:rPr>
        <w:t>d’estime</w:t>
      </w:r>
      <w:r>
        <w:rPr>
          <w:color w:val="231F20"/>
          <w:spacing w:val="-3"/>
          <w:w w:val="120"/>
        </w:rPr>
        <w:t> </w:t>
      </w:r>
      <w:r>
        <w:rPr>
          <w:color w:val="231F20"/>
          <w:spacing w:val="-2"/>
          <w:w w:val="120"/>
        </w:rPr>
        <w:t>de</w:t>
      </w:r>
      <w:r>
        <w:rPr>
          <w:color w:val="231F20"/>
          <w:spacing w:val="-3"/>
          <w:w w:val="120"/>
        </w:rPr>
        <w:t> </w:t>
      </w:r>
      <w:r>
        <w:rPr>
          <w:color w:val="231F20"/>
          <w:spacing w:val="-4"/>
          <w:w w:val="120"/>
        </w:rPr>
        <w:t>soi:</w:t>
      </w:r>
    </w:p>
    <w:p>
      <w:pPr>
        <w:pStyle w:val="ListParagraph"/>
        <w:numPr>
          <w:ilvl w:val="0"/>
          <w:numId w:val="67"/>
        </w:numPr>
        <w:tabs>
          <w:tab w:pos="1721" w:val="left" w:leader="none"/>
        </w:tabs>
        <w:spacing w:line="240" w:lineRule="auto" w:before="134" w:after="0"/>
        <w:ind w:left="1720" w:right="0" w:hanging="251"/>
        <w:jc w:val="both"/>
        <w:rPr>
          <w:sz w:val="17"/>
        </w:rPr>
      </w:pPr>
      <w:r>
        <w:rPr>
          <w:color w:val="231F20"/>
          <w:w w:val="115"/>
          <w:sz w:val="17"/>
        </w:rPr>
        <w:t>L’</w:t>
      </w:r>
      <w:r>
        <w:rPr>
          <w:i/>
          <w:color w:val="231F20"/>
          <w:w w:val="115"/>
          <w:sz w:val="17"/>
        </w:rPr>
        <w:t>estime</w:t>
      </w:r>
      <w:r>
        <w:rPr>
          <w:i/>
          <w:color w:val="231F20"/>
          <w:spacing w:val="-13"/>
          <w:w w:val="115"/>
          <w:sz w:val="17"/>
        </w:rPr>
        <w:t> </w:t>
      </w:r>
      <w:r>
        <w:rPr>
          <w:i/>
          <w:color w:val="231F20"/>
          <w:w w:val="115"/>
          <w:sz w:val="17"/>
        </w:rPr>
        <w:t>de</w:t>
      </w:r>
      <w:r>
        <w:rPr>
          <w:i/>
          <w:color w:val="231F20"/>
          <w:spacing w:val="-11"/>
          <w:w w:val="115"/>
          <w:sz w:val="17"/>
        </w:rPr>
        <w:t> </w:t>
      </w:r>
      <w:r>
        <w:rPr>
          <w:i/>
          <w:color w:val="231F20"/>
          <w:w w:val="115"/>
          <w:sz w:val="17"/>
        </w:rPr>
        <w:t>soi</w:t>
      </w:r>
      <w:r>
        <w:rPr>
          <w:i/>
          <w:color w:val="231F20"/>
          <w:spacing w:val="-12"/>
          <w:w w:val="115"/>
          <w:sz w:val="17"/>
        </w:rPr>
        <w:t> </w:t>
      </w:r>
      <w:r>
        <w:rPr>
          <w:i/>
          <w:color w:val="231F20"/>
          <w:w w:val="115"/>
          <w:sz w:val="17"/>
        </w:rPr>
        <w:t>matérielle</w:t>
      </w:r>
      <w:r>
        <w:rPr>
          <w:i/>
          <w:color w:val="231F20"/>
          <w:spacing w:val="-33"/>
          <w:w w:val="115"/>
          <w:sz w:val="17"/>
        </w:rPr>
        <w:t> </w:t>
      </w:r>
      <w:r>
        <w:rPr>
          <w:color w:val="231F20"/>
          <w:w w:val="115"/>
          <w:sz w:val="17"/>
        </w:rPr>
        <w:t>:</w:t>
      </w:r>
      <w:r>
        <w:rPr>
          <w:color w:val="231F20"/>
          <w:spacing w:val="-12"/>
          <w:w w:val="115"/>
          <w:sz w:val="17"/>
        </w:rPr>
        <w:t> </w:t>
      </w:r>
      <w:r>
        <w:rPr>
          <w:color w:val="231F20"/>
          <w:w w:val="115"/>
          <w:sz w:val="17"/>
        </w:rPr>
        <w:t>la</w:t>
      </w:r>
      <w:r>
        <w:rPr>
          <w:color w:val="231F20"/>
          <w:spacing w:val="-12"/>
          <w:w w:val="115"/>
          <w:sz w:val="17"/>
        </w:rPr>
        <w:t> </w:t>
      </w:r>
      <w:r>
        <w:rPr>
          <w:color w:val="231F20"/>
          <w:w w:val="115"/>
          <w:sz w:val="17"/>
        </w:rPr>
        <w:t>vanité,</w:t>
      </w:r>
      <w:r>
        <w:rPr>
          <w:color w:val="231F20"/>
          <w:spacing w:val="-12"/>
          <w:w w:val="115"/>
          <w:sz w:val="17"/>
        </w:rPr>
        <w:t> </w:t>
      </w:r>
      <w:r>
        <w:rPr>
          <w:color w:val="231F20"/>
          <w:w w:val="115"/>
          <w:sz w:val="17"/>
        </w:rPr>
        <w:t>la</w:t>
      </w:r>
      <w:r>
        <w:rPr>
          <w:color w:val="231F20"/>
          <w:spacing w:val="-11"/>
          <w:w w:val="115"/>
          <w:sz w:val="17"/>
        </w:rPr>
        <w:t> </w:t>
      </w:r>
      <w:r>
        <w:rPr>
          <w:color w:val="231F20"/>
          <w:w w:val="115"/>
          <w:sz w:val="17"/>
        </w:rPr>
        <w:t>fierté</w:t>
      </w:r>
      <w:r>
        <w:rPr>
          <w:color w:val="231F20"/>
          <w:spacing w:val="-12"/>
          <w:w w:val="115"/>
          <w:sz w:val="17"/>
        </w:rPr>
        <w:t> </w:t>
      </w:r>
      <w:r>
        <w:rPr>
          <w:color w:val="231F20"/>
          <w:w w:val="115"/>
          <w:sz w:val="17"/>
        </w:rPr>
        <w:t>d’être</w:t>
      </w:r>
      <w:r>
        <w:rPr>
          <w:color w:val="231F20"/>
          <w:spacing w:val="-12"/>
          <w:w w:val="115"/>
          <w:sz w:val="17"/>
        </w:rPr>
        <w:t> </w:t>
      </w:r>
      <w:r>
        <w:rPr>
          <w:color w:val="231F20"/>
          <w:spacing w:val="-2"/>
          <w:w w:val="115"/>
          <w:sz w:val="17"/>
        </w:rPr>
        <w:t>riche;</w:t>
      </w:r>
    </w:p>
    <w:p>
      <w:pPr>
        <w:pStyle w:val="ListParagraph"/>
        <w:numPr>
          <w:ilvl w:val="0"/>
          <w:numId w:val="67"/>
        </w:numPr>
        <w:tabs>
          <w:tab w:pos="1721" w:val="left" w:leader="none"/>
        </w:tabs>
        <w:spacing w:line="240" w:lineRule="auto" w:before="134" w:after="0"/>
        <w:ind w:left="1720" w:right="0" w:hanging="251"/>
        <w:jc w:val="both"/>
        <w:rPr>
          <w:sz w:val="17"/>
        </w:rPr>
      </w:pPr>
      <w:r>
        <w:rPr>
          <w:color w:val="231F20"/>
          <w:w w:val="110"/>
          <w:sz w:val="17"/>
        </w:rPr>
        <w:t>L’</w:t>
      </w:r>
      <w:r>
        <w:rPr>
          <w:i/>
          <w:color w:val="231F20"/>
          <w:w w:val="110"/>
          <w:sz w:val="17"/>
        </w:rPr>
        <w:t>estime</w:t>
      </w:r>
      <w:r>
        <w:rPr>
          <w:i/>
          <w:color w:val="231F20"/>
          <w:spacing w:val="6"/>
          <w:w w:val="110"/>
          <w:sz w:val="17"/>
        </w:rPr>
        <w:t> </w:t>
      </w:r>
      <w:r>
        <w:rPr>
          <w:i/>
          <w:color w:val="231F20"/>
          <w:w w:val="110"/>
          <w:sz w:val="17"/>
        </w:rPr>
        <w:t>de</w:t>
      </w:r>
      <w:r>
        <w:rPr>
          <w:i/>
          <w:color w:val="231F20"/>
          <w:spacing w:val="6"/>
          <w:w w:val="110"/>
          <w:sz w:val="17"/>
        </w:rPr>
        <w:t> </w:t>
      </w:r>
      <w:r>
        <w:rPr>
          <w:i/>
          <w:color w:val="231F20"/>
          <w:w w:val="110"/>
          <w:sz w:val="17"/>
        </w:rPr>
        <w:t>soi</w:t>
      </w:r>
      <w:r>
        <w:rPr>
          <w:i/>
          <w:color w:val="231F20"/>
          <w:spacing w:val="6"/>
          <w:w w:val="110"/>
          <w:sz w:val="17"/>
        </w:rPr>
        <w:t> </w:t>
      </w:r>
      <w:r>
        <w:rPr>
          <w:i/>
          <w:color w:val="231F20"/>
          <w:w w:val="110"/>
          <w:sz w:val="17"/>
        </w:rPr>
        <w:t>sociale</w:t>
      </w:r>
      <w:r>
        <w:rPr>
          <w:i/>
          <w:color w:val="231F20"/>
          <w:spacing w:val="-26"/>
          <w:w w:val="110"/>
          <w:sz w:val="17"/>
        </w:rPr>
        <w:t> </w:t>
      </w:r>
      <w:r>
        <w:rPr>
          <w:color w:val="231F20"/>
          <w:w w:val="110"/>
          <w:sz w:val="17"/>
        </w:rPr>
        <w:t>:</w:t>
      </w:r>
      <w:r>
        <w:rPr>
          <w:color w:val="231F20"/>
          <w:spacing w:val="7"/>
          <w:w w:val="110"/>
          <w:sz w:val="17"/>
        </w:rPr>
        <w:t> </w:t>
      </w:r>
      <w:r>
        <w:rPr>
          <w:color w:val="231F20"/>
          <w:w w:val="110"/>
          <w:sz w:val="17"/>
        </w:rPr>
        <w:t>la</w:t>
      </w:r>
      <w:r>
        <w:rPr>
          <w:color w:val="231F20"/>
          <w:spacing w:val="6"/>
          <w:w w:val="110"/>
          <w:sz w:val="17"/>
        </w:rPr>
        <w:t> </w:t>
      </w:r>
      <w:r>
        <w:rPr>
          <w:color w:val="231F20"/>
          <w:w w:val="110"/>
          <w:sz w:val="17"/>
        </w:rPr>
        <w:t>fierté</w:t>
      </w:r>
      <w:r>
        <w:rPr>
          <w:color w:val="231F20"/>
          <w:spacing w:val="6"/>
          <w:w w:val="110"/>
          <w:sz w:val="17"/>
        </w:rPr>
        <w:t> </w:t>
      </w:r>
      <w:r>
        <w:rPr>
          <w:color w:val="231F20"/>
          <w:w w:val="110"/>
          <w:sz w:val="17"/>
        </w:rPr>
        <w:t>sociale,</w:t>
      </w:r>
      <w:r>
        <w:rPr>
          <w:color w:val="231F20"/>
          <w:spacing w:val="6"/>
          <w:w w:val="110"/>
          <w:sz w:val="17"/>
        </w:rPr>
        <w:t> </w:t>
      </w:r>
      <w:r>
        <w:rPr>
          <w:color w:val="231F20"/>
          <w:w w:val="110"/>
          <w:sz w:val="17"/>
        </w:rPr>
        <w:t>familiale,</w:t>
      </w:r>
      <w:r>
        <w:rPr>
          <w:color w:val="231F20"/>
          <w:spacing w:val="6"/>
          <w:w w:val="110"/>
          <w:sz w:val="17"/>
        </w:rPr>
        <w:t> </w:t>
      </w:r>
      <w:r>
        <w:rPr>
          <w:color w:val="231F20"/>
          <w:spacing w:val="-2"/>
          <w:w w:val="110"/>
          <w:sz w:val="17"/>
        </w:rPr>
        <w:t>professionnelle;</w:t>
      </w:r>
    </w:p>
    <w:p>
      <w:pPr>
        <w:pStyle w:val="ListParagraph"/>
        <w:numPr>
          <w:ilvl w:val="0"/>
          <w:numId w:val="67"/>
        </w:numPr>
        <w:tabs>
          <w:tab w:pos="1721" w:val="left" w:leader="none"/>
        </w:tabs>
        <w:spacing w:line="240" w:lineRule="auto" w:before="134" w:after="0"/>
        <w:ind w:left="1720" w:right="0" w:hanging="251"/>
        <w:jc w:val="both"/>
        <w:rPr>
          <w:sz w:val="17"/>
        </w:rPr>
      </w:pPr>
      <w:r>
        <w:rPr>
          <w:color w:val="231F20"/>
          <w:w w:val="115"/>
          <w:sz w:val="17"/>
        </w:rPr>
        <w:t>L’</w:t>
      </w:r>
      <w:r>
        <w:rPr>
          <w:i/>
          <w:color w:val="231F20"/>
          <w:w w:val="115"/>
          <w:sz w:val="17"/>
        </w:rPr>
        <w:t>estime</w:t>
      </w:r>
      <w:r>
        <w:rPr>
          <w:i/>
          <w:color w:val="231F20"/>
          <w:spacing w:val="-3"/>
          <w:w w:val="115"/>
          <w:sz w:val="17"/>
        </w:rPr>
        <w:t> </w:t>
      </w:r>
      <w:r>
        <w:rPr>
          <w:i/>
          <w:color w:val="231F20"/>
          <w:w w:val="115"/>
          <w:sz w:val="17"/>
        </w:rPr>
        <w:t>de</w:t>
      </w:r>
      <w:r>
        <w:rPr>
          <w:i/>
          <w:color w:val="231F20"/>
          <w:spacing w:val="-3"/>
          <w:w w:val="115"/>
          <w:sz w:val="17"/>
        </w:rPr>
        <w:t> </w:t>
      </w:r>
      <w:r>
        <w:rPr>
          <w:i/>
          <w:color w:val="231F20"/>
          <w:w w:val="115"/>
          <w:sz w:val="17"/>
        </w:rPr>
        <w:t>soi</w:t>
      </w:r>
      <w:r>
        <w:rPr>
          <w:i/>
          <w:color w:val="231F20"/>
          <w:spacing w:val="-2"/>
          <w:w w:val="115"/>
          <w:sz w:val="17"/>
        </w:rPr>
        <w:t> </w:t>
      </w:r>
      <w:r>
        <w:rPr>
          <w:i/>
          <w:color w:val="231F20"/>
          <w:w w:val="115"/>
          <w:sz w:val="17"/>
        </w:rPr>
        <w:t>spirituelle</w:t>
      </w:r>
      <w:r>
        <w:rPr>
          <w:i/>
          <w:color w:val="231F20"/>
          <w:spacing w:val="-31"/>
          <w:w w:val="115"/>
          <w:sz w:val="17"/>
        </w:rPr>
        <w:t> </w:t>
      </w:r>
      <w:r>
        <w:rPr>
          <w:color w:val="231F20"/>
          <w:w w:val="115"/>
          <w:sz w:val="17"/>
        </w:rPr>
        <w:t>:</w:t>
      </w:r>
      <w:r>
        <w:rPr>
          <w:color w:val="231F20"/>
          <w:spacing w:val="-2"/>
          <w:w w:val="115"/>
          <w:sz w:val="17"/>
        </w:rPr>
        <w:t> </w:t>
      </w:r>
      <w:r>
        <w:rPr>
          <w:color w:val="231F20"/>
          <w:w w:val="115"/>
          <w:sz w:val="17"/>
        </w:rPr>
        <w:t>un</w:t>
      </w:r>
      <w:r>
        <w:rPr>
          <w:color w:val="231F20"/>
          <w:spacing w:val="-3"/>
          <w:w w:val="115"/>
          <w:sz w:val="17"/>
        </w:rPr>
        <w:t> </w:t>
      </w:r>
      <w:r>
        <w:rPr>
          <w:color w:val="231F20"/>
          <w:w w:val="115"/>
          <w:sz w:val="17"/>
        </w:rPr>
        <w:t>sentiment</w:t>
      </w:r>
      <w:r>
        <w:rPr>
          <w:color w:val="231F20"/>
          <w:spacing w:val="-2"/>
          <w:w w:val="115"/>
          <w:sz w:val="17"/>
        </w:rPr>
        <w:t> </w:t>
      </w:r>
      <w:r>
        <w:rPr>
          <w:color w:val="231F20"/>
          <w:w w:val="115"/>
          <w:sz w:val="17"/>
        </w:rPr>
        <w:t>de</w:t>
      </w:r>
      <w:r>
        <w:rPr>
          <w:color w:val="231F20"/>
          <w:spacing w:val="-3"/>
          <w:w w:val="115"/>
          <w:sz w:val="17"/>
        </w:rPr>
        <w:t> </w:t>
      </w:r>
      <w:r>
        <w:rPr>
          <w:color w:val="231F20"/>
          <w:w w:val="115"/>
          <w:sz w:val="17"/>
        </w:rPr>
        <w:t>supériorité</w:t>
      </w:r>
      <w:r>
        <w:rPr>
          <w:color w:val="231F20"/>
          <w:spacing w:val="-3"/>
          <w:w w:val="115"/>
          <w:sz w:val="17"/>
        </w:rPr>
        <w:t> </w:t>
      </w:r>
      <w:r>
        <w:rPr>
          <w:color w:val="231F20"/>
          <w:spacing w:val="-2"/>
          <w:w w:val="115"/>
          <w:sz w:val="17"/>
        </w:rPr>
        <w:t>morale.</w:t>
      </w:r>
    </w:p>
    <w:p>
      <w:pPr>
        <w:pStyle w:val="BodyText"/>
        <w:spacing w:line="307" w:lineRule="auto" w:before="134"/>
        <w:ind w:left="1220" w:right="103"/>
        <w:jc w:val="both"/>
      </w:pPr>
      <w:r>
        <w:rPr>
          <w:color w:val="231F20"/>
          <w:w w:val="120"/>
        </w:rPr>
        <w:t>Le terme </w:t>
      </w:r>
      <w:r>
        <w:rPr>
          <w:i/>
          <w:color w:val="231F20"/>
          <w:w w:val="120"/>
        </w:rPr>
        <w:t>axiologie</w:t>
      </w:r>
      <w:r>
        <w:rPr>
          <w:color w:val="231F20"/>
          <w:w w:val="120"/>
        </w:rPr>
        <w:t>, qui désigne l’étude des valeurs, vient du mot grec </w:t>
      </w:r>
      <w:r>
        <w:rPr>
          <w:i/>
          <w:color w:val="231F20"/>
          <w:w w:val="120"/>
        </w:rPr>
        <w:t>axios</w:t>
      </w:r>
      <w:r>
        <w:rPr>
          <w:color w:val="231F20"/>
          <w:w w:val="120"/>
        </w:rPr>
        <w:t>,</w:t>
      </w:r>
      <w:r>
        <w:rPr>
          <w:color w:val="231F20"/>
          <w:spacing w:val="-13"/>
          <w:w w:val="120"/>
        </w:rPr>
        <w:t> </w:t>
      </w:r>
      <w:r>
        <w:rPr>
          <w:color w:val="231F20"/>
          <w:w w:val="120"/>
        </w:rPr>
        <w:t>«</w:t>
      </w:r>
      <w:r>
        <w:rPr>
          <w:color w:val="231F20"/>
          <w:spacing w:val="-13"/>
          <w:w w:val="120"/>
        </w:rPr>
        <w:t> </w:t>
      </w:r>
      <w:r>
        <w:rPr>
          <w:color w:val="231F20"/>
          <w:w w:val="120"/>
        </w:rPr>
        <w:t>axe</w:t>
      </w:r>
      <w:r>
        <w:rPr>
          <w:color w:val="231F20"/>
          <w:spacing w:val="-13"/>
          <w:w w:val="120"/>
        </w:rPr>
        <w:t> </w:t>
      </w:r>
      <w:r>
        <w:rPr>
          <w:color w:val="231F20"/>
          <w:w w:val="120"/>
        </w:rPr>
        <w:t>». Les valeurs sont les axes autour desquels gravitent nos </w:t>
      </w:r>
      <w:r>
        <w:rPr>
          <w:color w:val="231F20"/>
          <w:w w:val="125"/>
        </w:rPr>
        <w:t>actions. En nous fondant sur ces catégories tout en les développant </w:t>
      </w:r>
      <w:r>
        <w:rPr>
          <w:color w:val="231F20"/>
          <w:w w:val="120"/>
        </w:rPr>
        <w:t>dans</w:t>
      </w:r>
      <w:r>
        <w:rPr>
          <w:color w:val="231F20"/>
          <w:spacing w:val="-12"/>
          <w:w w:val="120"/>
        </w:rPr>
        <w:t> </w:t>
      </w:r>
      <w:r>
        <w:rPr>
          <w:color w:val="231F20"/>
          <w:w w:val="120"/>
        </w:rPr>
        <w:t>le</w:t>
      </w:r>
      <w:r>
        <w:rPr>
          <w:color w:val="231F20"/>
          <w:spacing w:val="-12"/>
          <w:w w:val="120"/>
        </w:rPr>
        <w:t> </w:t>
      </w:r>
      <w:r>
        <w:rPr>
          <w:color w:val="231F20"/>
          <w:w w:val="120"/>
        </w:rPr>
        <w:t>contexte</w:t>
      </w:r>
      <w:r>
        <w:rPr>
          <w:color w:val="231F20"/>
          <w:spacing w:val="-12"/>
          <w:w w:val="120"/>
        </w:rPr>
        <w:t> </w:t>
      </w:r>
      <w:r>
        <w:rPr>
          <w:color w:val="231F20"/>
          <w:w w:val="120"/>
        </w:rPr>
        <w:t>d’un</w:t>
      </w:r>
      <w:r>
        <w:rPr>
          <w:color w:val="231F20"/>
          <w:spacing w:val="-12"/>
          <w:w w:val="120"/>
        </w:rPr>
        <w:t> </w:t>
      </w:r>
      <w:r>
        <w:rPr>
          <w:color w:val="231F20"/>
          <w:w w:val="120"/>
        </w:rPr>
        <w:t>modèle</w:t>
      </w:r>
      <w:r>
        <w:rPr>
          <w:color w:val="231F20"/>
          <w:spacing w:val="-12"/>
          <w:w w:val="120"/>
        </w:rPr>
        <w:t> </w:t>
      </w:r>
      <w:r>
        <w:rPr>
          <w:color w:val="231F20"/>
          <w:w w:val="120"/>
        </w:rPr>
        <w:t>triaxial31</w:t>
      </w:r>
      <w:r>
        <w:rPr>
          <w:color w:val="231F20"/>
          <w:spacing w:val="-12"/>
          <w:w w:val="120"/>
        </w:rPr>
        <w:t> </w:t>
      </w:r>
      <w:r>
        <w:rPr>
          <w:color w:val="231F20"/>
          <w:w w:val="120"/>
        </w:rPr>
        <w:t>(figure</w:t>
      </w:r>
      <w:r>
        <w:rPr>
          <w:color w:val="231F20"/>
          <w:spacing w:val="-12"/>
          <w:w w:val="120"/>
        </w:rPr>
        <w:t> </w:t>
      </w:r>
      <w:r>
        <w:rPr>
          <w:color w:val="231F20"/>
          <w:w w:val="120"/>
        </w:rPr>
        <w:t>4.4)</w:t>
      </w:r>
      <w:r>
        <w:rPr>
          <w:color w:val="231F20"/>
          <w:spacing w:val="-12"/>
          <w:w w:val="120"/>
        </w:rPr>
        <w:t> </w:t>
      </w:r>
      <w:r>
        <w:rPr>
          <w:color w:val="231F20"/>
          <w:w w:val="120"/>
        </w:rPr>
        <w:t>et</w:t>
      </w:r>
      <w:r>
        <w:rPr>
          <w:color w:val="231F20"/>
          <w:spacing w:val="-12"/>
          <w:w w:val="120"/>
        </w:rPr>
        <w:t> </w:t>
      </w:r>
      <w:r>
        <w:rPr>
          <w:color w:val="231F20"/>
          <w:w w:val="120"/>
        </w:rPr>
        <w:t>en</w:t>
      </w:r>
      <w:r>
        <w:rPr>
          <w:color w:val="231F20"/>
          <w:spacing w:val="-12"/>
          <w:w w:val="120"/>
        </w:rPr>
        <w:t> </w:t>
      </w:r>
      <w:r>
        <w:rPr>
          <w:color w:val="231F20"/>
          <w:w w:val="120"/>
        </w:rPr>
        <w:t>nous</w:t>
      </w:r>
      <w:r>
        <w:rPr>
          <w:color w:val="231F20"/>
          <w:spacing w:val="-12"/>
          <w:w w:val="120"/>
        </w:rPr>
        <w:t> </w:t>
      </w:r>
      <w:r>
        <w:rPr>
          <w:color w:val="231F20"/>
          <w:w w:val="120"/>
        </w:rPr>
        <w:t>inspirant de</w:t>
      </w:r>
      <w:r>
        <w:rPr>
          <w:color w:val="231F20"/>
          <w:spacing w:val="-5"/>
          <w:w w:val="120"/>
        </w:rPr>
        <w:t> </w:t>
      </w:r>
      <w:r>
        <w:rPr>
          <w:color w:val="231F20"/>
          <w:w w:val="120"/>
        </w:rPr>
        <w:t>la</w:t>
      </w:r>
      <w:r>
        <w:rPr>
          <w:color w:val="231F20"/>
          <w:spacing w:val="-5"/>
          <w:w w:val="120"/>
        </w:rPr>
        <w:t> </w:t>
      </w:r>
      <w:r>
        <w:rPr>
          <w:color w:val="231F20"/>
          <w:w w:val="120"/>
        </w:rPr>
        <w:t>réflexion</w:t>
      </w:r>
      <w:r>
        <w:rPr>
          <w:color w:val="231F20"/>
          <w:spacing w:val="-5"/>
          <w:w w:val="120"/>
        </w:rPr>
        <w:t> </w:t>
      </w:r>
      <w:r>
        <w:rPr>
          <w:color w:val="231F20"/>
          <w:w w:val="120"/>
        </w:rPr>
        <w:t>de</w:t>
      </w:r>
      <w:r>
        <w:rPr>
          <w:color w:val="231F20"/>
          <w:spacing w:val="-5"/>
          <w:w w:val="120"/>
        </w:rPr>
        <w:t> </w:t>
      </w:r>
      <w:r>
        <w:rPr>
          <w:color w:val="231F20"/>
          <w:w w:val="120"/>
        </w:rPr>
        <w:t>Pérez</w:t>
      </w:r>
      <w:r>
        <w:rPr>
          <w:color w:val="231F20"/>
          <w:spacing w:val="-5"/>
          <w:w w:val="120"/>
        </w:rPr>
        <w:t> </w:t>
      </w:r>
      <w:r>
        <w:rPr>
          <w:color w:val="231F20"/>
          <w:w w:val="120"/>
        </w:rPr>
        <w:t>López32,</w:t>
      </w:r>
      <w:r>
        <w:rPr>
          <w:color w:val="231F20"/>
          <w:spacing w:val="-5"/>
          <w:w w:val="120"/>
        </w:rPr>
        <w:t> </w:t>
      </w:r>
      <w:r>
        <w:rPr>
          <w:color w:val="231F20"/>
          <w:w w:val="120"/>
        </w:rPr>
        <w:t>nous</w:t>
      </w:r>
      <w:r>
        <w:rPr>
          <w:color w:val="231F20"/>
          <w:spacing w:val="-5"/>
          <w:w w:val="120"/>
        </w:rPr>
        <w:t> </w:t>
      </w:r>
      <w:r>
        <w:rPr>
          <w:color w:val="231F20"/>
          <w:w w:val="120"/>
        </w:rPr>
        <w:t>définirons</w:t>
      </w:r>
      <w:r>
        <w:rPr>
          <w:color w:val="231F20"/>
          <w:spacing w:val="-5"/>
          <w:w w:val="120"/>
        </w:rPr>
        <w:t> </w:t>
      </w:r>
      <w:r>
        <w:rPr>
          <w:color w:val="231F20"/>
          <w:w w:val="120"/>
        </w:rPr>
        <w:t>trois</w:t>
      </w:r>
      <w:r>
        <w:rPr>
          <w:color w:val="231F20"/>
          <w:spacing w:val="-5"/>
          <w:w w:val="120"/>
        </w:rPr>
        <w:t> </w:t>
      </w:r>
      <w:r>
        <w:rPr>
          <w:color w:val="231F20"/>
          <w:w w:val="120"/>
        </w:rPr>
        <w:t>axes</w:t>
      </w:r>
      <w:r>
        <w:rPr>
          <w:color w:val="231F20"/>
          <w:spacing w:val="-5"/>
          <w:w w:val="120"/>
        </w:rPr>
        <w:t> </w:t>
      </w:r>
      <w:r>
        <w:rPr>
          <w:color w:val="231F20"/>
          <w:w w:val="120"/>
        </w:rPr>
        <w:t>de</w:t>
      </w:r>
      <w:r>
        <w:rPr>
          <w:color w:val="231F20"/>
          <w:spacing w:val="-5"/>
          <w:w w:val="120"/>
        </w:rPr>
        <w:t> </w:t>
      </w:r>
      <w:r>
        <w:rPr>
          <w:color w:val="231F20"/>
          <w:w w:val="120"/>
        </w:rPr>
        <w:t>valeurs </w:t>
      </w:r>
      <w:r>
        <w:rPr>
          <w:color w:val="231F20"/>
          <w:w w:val="125"/>
        </w:rPr>
        <w:t>interdépendantes</w:t>
      </w:r>
      <w:r>
        <w:rPr>
          <w:color w:val="231F20"/>
          <w:spacing w:val="-13"/>
          <w:w w:val="125"/>
        </w:rPr>
        <w:t> </w:t>
      </w:r>
      <w:r>
        <w:rPr>
          <w:color w:val="231F20"/>
          <w:w w:val="125"/>
        </w:rPr>
        <w:t>sur</w:t>
      </w:r>
      <w:r>
        <w:rPr>
          <w:color w:val="231F20"/>
          <w:spacing w:val="-13"/>
          <w:w w:val="125"/>
        </w:rPr>
        <w:t> </w:t>
      </w:r>
      <w:r>
        <w:rPr>
          <w:color w:val="231F20"/>
          <w:w w:val="125"/>
        </w:rPr>
        <w:t>lesquels</w:t>
      </w:r>
      <w:r>
        <w:rPr>
          <w:color w:val="231F20"/>
          <w:spacing w:val="-13"/>
          <w:w w:val="125"/>
        </w:rPr>
        <w:t> </w:t>
      </w:r>
      <w:r>
        <w:rPr>
          <w:color w:val="231F20"/>
          <w:w w:val="125"/>
        </w:rPr>
        <w:t>établir</w:t>
      </w:r>
      <w:r>
        <w:rPr>
          <w:color w:val="231F20"/>
          <w:spacing w:val="-13"/>
          <w:w w:val="125"/>
        </w:rPr>
        <w:t> </w:t>
      </w:r>
      <w:r>
        <w:rPr>
          <w:color w:val="231F20"/>
          <w:w w:val="125"/>
        </w:rPr>
        <w:t>une</w:t>
      </w:r>
      <w:r>
        <w:rPr>
          <w:color w:val="231F20"/>
          <w:spacing w:val="-13"/>
          <w:w w:val="125"/>
        </w:rPr>
        <w:t> </w:t>
      </w:r>
      <w:r>
        <w:rPr>
          <w:color w:val="231F20"/>
          <w:w w:val="125"/>
        </w:rPr>
        <w:t>estime</w:t>
      </w:r>
      <w:r>
        <w:rPr>
          <w:color w:val="231F20"/>
          <w:spacing w:val="-13"/>
          <w:w w:val="125"/>
        </w:rPr>
        <w:t> </w:t>
      </w:r>
      <w:r>
        <w:rPr>
          <w:color w:val="231F20"/>
          <w:w w:val="125"/>
        </w:rPr>
        <w:t>de</w:t>
      </w:r>
      <w:r>
        <w:rPr>
          <w:color w:val="231F20"/>
          <w:spacing w:val="-13"/>
          <w:w w:val="125"/>
        </w:rPr>
        <w:t> </w:t>
      </w:r>
      <w:r>
        <w:rPr>
          <w:color w:val="231F20"/>
          <w:w w:val="125"/>
        </w:rPr>
        <w:t>soi</w:t>
      </w:r>
      <w:r>
        <w:rPr>
          <w:color w:val="231F20"/>
          <w:spacing w:val="-13"/>
          <w:w w:val="125"/>
        </w:rPr>
        <w:t> </w:t>
      </w:r>
      <w:r>
        <w:rPr>
          <w:color w:val="231F20"/>
          <w:w w:val="125"/>
        </w:rPr>
        <w:t>équilibrée.</w:t>
      </w:r>
    </w:p>
    <w:p>
      <w:pPr>
        <w:pStyle w:val="Heading6"/>
        <w:spacing w:before="78"/>
        <w:ind w:left="1470"/>
        <w:rPr>
          <w:rFonts w:ascii="Times New Roman" w:hAnsi="Times New Roman"/>
        </w:rPr>
      </w:pPr>
      <w:r>
        <w:rPr>
          <w:b w:val="0"/>
          <w:color w:val="231F20"/>
          <w:w w:val="105"/>
        </w:rPr>
        <w:t>1</w:t>
      </w:r>
      <w:r>
        <w:rPr>
          <w:b w:val="0"/>
          <w:color w:val="231F20"/>
          <w:spacing w:val="36"/>
          <w:w w:val="115"/>
        </w:rPr>
        <w:t>  </w:t>
      </w:r>
      <w:r>
        <w:rPr>
          <w:rFonts w:ascii="Times New Roman" w:hAnsi="Times New Roman"/>
          <w:color w:val="231F20"/>
          <w:w w:val="115"/>
        </w:rPr>
        <w:t>Axe</w:t>
      </w:r>
      <w:r>
        <w:rPr>
          <w:rFonts w:ascii="Times New Roman" w:hAnsi="Times New Roman"/>
          <w:color w:val="231F20"/>
          <w:spacing w:val="-6"/>
          <w:w w:val="115"/>
        </w:rPr>
        <w:t> </w:t>
      </w:r>
      <w:r>
        <w:rPr>
          <w:rFonts w:ascii="Times New Roman" w:hAnsi="Times New Roman"/>
          <w:color w:val="231F20"/>
          <w:w w:val="115"/>
        </w:rPr>
        <w:t>de</w:t>
      </w:r>
      <w:r>
        <w:rPr>
          <w:rFonts w:ascii="Times New Roman" w:hAnsi="Times New Roman"/>
          <w:color w:val="231F20"/>
          <w:spacing w:val="-7"/>
          <w:w w:val="115"/>
        </w:rPr>
        <w:t> </w:t>
      </w:r>
      <w:r>
        <w:rPr>
          <w:rFonts w:ascii="Times New Roman" w:hAnsi="Times New Roman"/>
          <w:color w:val="231F20"/>
          <w:w w:val="115"/>
        </w:rPr>
        <w:t>l’accomplissement</w:t>
      </w:r>
      <w:r>
        <w:rPr>
          <w:rFonts w:ascii="Times New Roman" w:hAnsi="Times New Roman"/>
          <w:color w:val="231F20"/>
          <w:spacing w:val="-6"/>
          <w:w w:val="115"/>
        </w:rPr>
        <w:t> </w:t>
      </w:r>
      <w:r>
        <w:rPr>
          <w:rFonts w:ascii="Times New Roman" w:hAnsi="Times New Roman"/>
          <w:color w:val="231F20"/>
          <w:w w:val="115"/>
        </w:rPr>
        <w:t>matériel</w:t>
      </w:r>
      <w:r>
        <w:rPr>
          <w:rFonts w:ascii="Times New Roman" w:hAnsi="Times New Roman"/>
          <w:color w:val="231F20"/>
          <w:spacing w:val="-7"/>
          <w:w w:val="115"/>
        </w:rPr>
        <w:t> </w:t>
      </w:r>
      <w:r>
        <w:rPr>
          <w:rFonts w:ascii="Times New Roman" w:hAnsi="Times New Roman"/>
          <w:color w:val="231F20"/>
          <w:w w:val="115"/>
        </w:rPr>
        <w:t>et</w:t>
      </w:r>
      <w:r>
        <w:rPr>
          <w:rFonts w:ascii="Times New Roman" w:hAnsi="Times New Roman"/>
          <w:color w:val="231F20"/>
          <w:spacing w:val="-6"/>
          <w:w w:val="115"/>
        </w:rPr>
        <w:t> </w:t>
      </w:r>
      <w:r>
        <w:rPr>
          <w:rFonts w:ascii="Times New Roman" w:hAnsi="Times New Roman"/>
          <w:color w:val="231F20"/>
          <w:w w:val="115"/>
        </w:rPr>
        <w:t>du</w:t>
      </w:r>
      <w:r>
        <w:rPr>
          <w:rFonts w:ascii="Times New Roman" w:hAnsi="Times New Roman"/>
          <w:color w:val="231F20"/>
          <w:spacing w:val="-7"/>
          <w:w w:val="115"/>
        </w:rPr>
        <w:t> </w:t>
      </w:r>
      <w:r>
        <w:rPr>
          <w:rFonts w:ascii="Times New Roman" w:hAnsi="Times New Roman"/>
          <w:color w:val="231F20"/>
          <w:w w:val="115"/>
        </w:rPr>
        <w:t>statut</w:t>
      </w:r>
      <w:r>
        <w:rPr>
          <w:rFonts w:ascii="Times New Roman" w:hAnsi="Times New Roman"/>
          <w:color w:val="231F20"/>
          <w:spacing w:val="-6"/>
          <w:w w:val="115"/>
        </w:rPr>
        <w:t> </w:t>
      </w:r>
      <w:r>
        <w:rPr>
          <w:rFonts w:ascii="Times New Roman" w:hAnsi="Times New Roman"/>
          <w:color w:val="231F20"/>
          <w:w w:val="115"/>
        </w:rPr>
        <w:t>social</w:t>
      </w:r>
      <w:r>
        <w:rPr>
          <w:rFonts w:ascii="Times New Roman" w:hAnsi="Times New Roman"/>
          <w:color w:val="231F20"/>
          <w:spacing w:val="-7"/>
          <w:w w:val="115"/>
        </w:rPr>
        <w:t> </w:t>
      </w:r>
      <w:r>
        <w:rPr>
          <w:rFonts w:ascii="Times New Roman" w:hAnsi="Times New Roman"/>
          <w:color w:val="231F20"/>
          <w:w w:val="115"/>
        </w:rPr>
        <w:t>(axe</w:t>
      </w:r>
      <w:r>
        <w:rPr>
          <w:rFonts w:ascii="Times New Roman" w:hAnsi="Times New Roman"/>
          <w:color w:val="231F20"/>
          <w:spacing w:val="-6"/>
          <w:w w:val="115"/>
        </w:rPr>
        <w:t> </w:t>
      </w:r>
      <w:r>
        <w:rPr>
          <w:rFonts w:ascii="Times New Roman" w:hAnsi="Times New Roman"/>
          <w:color w:val="231F20"/>
          <w:w w:val="115"/>
        </w:rPr>
        <w:t>de</w:t>
      </w:r>
      <w:r>
        <w:rPr>
          <w:rFonts w:ascii="Times New Roman" w:hAnsi="Times New Roman"/>
          <w:color w:val="231F20"/>
          <w:spacing w:val="-7"/>
          <w:w w:val="115"/>
        </w:rPr>
        <w:t> </w:t>
      </w:r>
      <w:r>
        <w:rPr>
          <w:rFonts w:ascii="Times New Roman" w:hAnsi="Times New Roman"/>
          <w:color w:val="231F20"/>
          <w:spacing w:val="-5"/>
          <w:w w:val="115"/>
        </w:rPr>
        <w:t>la</w:t>
      </w:r>
    </w:p>
    <w:p>
      <w:pPr>
        <w:spacing w:before="55"/>
        <w:ind w:left="1720" w:right="0" w:firstLine="0"/>
        <w:jc w:val="both"/>
        <w:rPr>
          <w:b/>
          <w:sz w:val="17"/>
        </w:rPr>
      </w:pPr>
      <w:r>
        <w:rPr>
          <w:b/>
          <w:color w:val="231F20"/>
          <w:w w:val="110"/>
          <w:sz w:val="17"/>
        </w:rPr>
        <w:t>«</w:t>
      </w:r>
      <w:r>
        <w:rPr>
          <w:b/>
          <w:color w:val="231F20"/>
          <w:spacing w:val="-25"/>
          <w:w w:val="110"/>
          <w:sz w:val="17"/>
        </w:rPr>
        <w:t> </w:t>
      </w:r>
      <w:r>
        <w:rPr>
          <w:b/>
          <w:color w:val="231F20"/>
          <w:w w:val="110"/>
          <w:sz w:val="17"/>
        </w:rPr>
        <w:t>praxis» ou</w:t>
      </w:r>
      <w:r>
        <w:rPr>
          <w:b/>
          <w:color w:val="231F20"/>
          <w:spacing w:val="1"/>
          <w:w w:val="110"/>
          <w:sz w:val="17"/>
        </w:rPr>
        <w:t> </w:t>
      </w:r>
      <w:r>
        <w:rPr>
          <w:b/>
          <w:color w:val="231F20"/>
          <w:w w:val="110"/>
          <w:sz w:val="17"/>
        </w:rPr>
        <w:t>axe</w:t>
      </w:r>
      <w:r>
        <w:rPr>
          <w:b/>
          <w:color w:val="231F20"/>
          <w:spacing w:val="1"/>
          <w:w w:val="110"/>
          <w:sz w:val="17"/>
        </w:rPr>
        <w:t> </w:t>
      </w:r>
      <w:r>
        <w:rPr>
          <w:b/>
          <w:color w:val="231F20"/>
          <w:spacing w:val="-2"/>
          <w:w w:val="110"/>
          <w:sz w:val="17"/>
        </w:rPr>
        <w:t>utilitariste)</w:t>
      </w:r>
    </w:p>
    <w:p>
      <w:pPr>
        <w:pStyle w:val="BodyText"/>
        <w:spacing w:line="307" w:lineRule="auto" w:before="135"/>
        <w:ind w:left="1720" w:right="104"/>
        <w:jc w:val="both"/>
      </w:pPr>
      <w:r>
        <w:rPr>
          <w:color w:val="231F20"/>
          <w:w w:val="120"/>
        </w:rPr>
        <w:t>Ce</w:t>
      </w:r>
      <w:r>
        <w:rPr>
          <w:color w:val="231F20"/>
          <w:spacing w:val="-4"/>
          <w:w w:val="120"/>
        </w:rPr>
        <w:t> </w:t>
      </w:r>
      <w:r>
        <w:rPr>
          <w:color w:val="231F20"/>
          <w:w w:val="120"/>
        </w:rPr>
        <w:t>premier</w:t>
      </w:r>
      <w:r>
        <w:rPr>
          <w:color w:val="231F20"/>
          <w:spacing w:val="-4"/>
          <w:w w:val="120"/>
        </w:rPr>
        <w:t> </w:t>
      </w:r>
      <w:r>
        <w:rPr>
          <w:color w:val="231F20"/>
          <w:w w:val="120"/>
        </w:rPr>
        <w:t>axe</w:t>
      </w:r>
      <w:r>
        <w:rPr>
          <w:color w:val="231F20"/>
          <w:spacing w:val="-4"/>
          <w:w w:val="120"/>
        </w:rPr>
        <w:t> </w:t>
      </w:r>
      <w:r>
        <w:rPr>
          <w:color w:val="231F20"/>
          <w:w w:val="120"/>
        </w:rPr>
        <w:t>est</w:t>
      </w:r>
      <w:r>
        <w:rPr>
          <w:color w:val="231F20"/>
          <w:spacing w:val="-4"/>
          <w:w w:val="120"/>
        </w:rPr>
        <w:t> </w:t>
      </w:r>
      <w:r>
        <w:rPr>
          <w:color w:val="231F20"/>
          <w:w w:val="120"/>
        </w:rPr>
        <w:t>traditionnellement</w:t>
      </w:r>
      <w:r>
        <w:rPr>
          <w:color w:val="231F20"/>
          <w:spacing w:val="-4"/>
          <w:w w:val="120"/>
        </w:rPr>
        <w:t> </w:t>
      </w:r>
      <w:r>
        <w:rPr>
          <w:color w:val="231F20"/>
          <w:w w:val="120"/>
        </w:rPr>
        <w:t>le</w:t>
      </w:r>
      <w:r>
        <w:rPr>
          <w:color w:val="231F20"/>
          <w:spacing w:val="-4"/>
          <w:w w:val="120"/>
        </w:rPr>
        <w:t> </w:t>
      </w:r>
      <w:r>
        <w:rPr>
          <w:color w:val="231F20"/>
          <w:w w:val="120"/>
        </w:rPr>
        <w:t>plus</w:t>
      </w:r>
      <w:r>
        <w:rPr>
          <w:color w:val="231F20"/>
          <w:spacing w:val="-4"/>
          <w:w w:val="120"/>
        </w:rPr>
        <w:t> </w:t>
      </w:r>
      <w:r>
        <w:rPr>
          <w:color w:val="231F20"/>
          <w:w w:val="120"/>
        </w:rPr>
        <w:t>développé</w:t>
      </w:r>
      <w:r>
        <w:rPr>
          <w:color w:val="231F20"/>
          <w:spacing w:val="-4"/>
          <w:w w:val="120"/>
        </w:rPr>
        <w:t> </w:t>
      </w:r>
      <w:r>
        <w:rPr>
          <w:color w:val="231F20"/>
          <w:w w:val="120"/>
        </w:rPr>
        <w:t>dans</w:t>
      </w:r>
      <w:r>
        <w:rPr>
          <w:color w:val="231F20"/>
          <w:spacing w:val="-4"/>
          <w:w w:val="120"/>
        </w:rPr>
        <w:t> </w:t>
      </w:r>
      <w:r>
        <w:rPr>
          <w:color w:val="231F20"/>
          <w:w w:val="120"/>
        </w:rPr>
        <w:t>les </w:t>
      </w:r>
      <w:r>
        <w:rPr>
          <w:color w:val="231F20"/>
          <w:spacing w:val="-2"/>
          <w:w w:val="120"/>
        </w:rPr>
        <w:t>sociétés</w:t>
      </w:r>
      <w:r>
        <w:rPr>
          <w:color w:val="231F20"/>
          <w:spacing w:val="-7"/>
          <w:w w:val="120"/>
        </w:rPr>
        <w:t> </w:t>
      </w:r>
      <w:r>
        <w:rPr>
          <w:color w:val="231F20"/>
          <w:spacing w:val="-2"/>
          <w:w w:val="120"/>
        </w:rPr>
        <w:t>capitalistes</w:t>
      </w:r>
      <w:r>
        <w:rPr>
          <w:color w:val="231F20"/>
          <w:spacing w:val="-7"/>
          <w:w w:val="120"/>
        </w:rPr>
        <w:t> </w:t>
      </w:r>
      <w:r>
        <w:rPr>
          <w:color w:val="231F20"/>
          <w:spacing w:val="-2"/>
          <w:w w:val="120"/>
        </w:rPr>
        <w:t>de</w:t>
      </w:r>
      <w:r>
        <w:rPr>
          <w:color w:val="231F20"/>
          <w:spacing w:val="-7"/>
          <w:w w:val="120"/>
        </w:rPr>
        <w:t> </w:t>
      </w:r>
      <w:r>
        <w:rPr>
          <w:color w:val="231F20"/>
          <w:spacing w:val="-2"/>
          <w:w w:val="120"/>
        </w:rPr>
        <w:t>consommation,</w:t>
      </w:r>
      <w:r>
        <w:rPr>
          <w:color w:val="231F20"/>
          <w:spacing w:val="-7"/>
          <w:w w:val="120"/>
        </w:rPr>
        <w:t> </w:t>
      </w:r>
      <w:r>
        <w:rPr>
          <w:color w:val="231F20"/>
          <w:spacing w:val="-2"/>
          <w:w w:val="120"/>
        </w:rPr>
        <w:t>où</w:t>
      </w:r>
      <w:r>
        <w:rPr>
          <w:color w:val="231F20"/>
          <w:spacing w:val="-7"/>
          <w:w w:val="120"/>
        </w:rPr>
        <w:t> </w:t>
      </w:r>
      <w:r>
        <w:rPr>
          <w:color w:val="231F20"/>
          <w:spacing w:val="-2"/>
          <w:w w:val="120"/>
        </w:rPr>
        <w:t>la</w:t>
      </w:r>
      <w:r>
        <w:rPr>
          <w:color w:val="231F20"/>
          <w:spacing w:val="-7"/>
          <w:w w:val="120"/>
        </w:rPr>
        <w:t> </w:t>
      </w:r>
      <w:r>
        <w:rPr>
          <w:color w:val="231F20"/>
          <w:spacing w:val="-2"/>
          <w:w w:val="120"/>
        </w:rPr>
        <w:t>politique</w:t>
      </w:r>
      <w:r>
        <w:rPr>
          <w:color w:val="231F20"/>
          <w:spacing w:val="-7"/>
          <w:w w:val="120"/>
        </w:rPr>
        <w:t> </w:t>
      </w:r>
      <w:r>
        <w:rPr>
          <w:color w:val="231F20"/>
          <w:spacing w:val="-2"/>
          <w:w w:val="120"/>
        </w:rPr>
        <w:t>et</w:t>
      </w:r>
      <w:r>
        <w:rPr>
          <w:color w:val="231F20"/>
          <w:spacing w:val="-7"/>
          <w:w w:val="120"/>
        </w:rPr>
        <w:t> </w:t>
      </w:r>
      <w:r>
        <w:rPr>
          <w:color w:val="231F20"/>
          <w:spacing w:val="-2"/>
          <w:w w:val="120"/>
        </w:rPr>
        <w:t>la</w:t>
      </w:r>
      <w:r>
        <w:rPr>
          <w:color w:val="231F20"/>
          <w:spacing w:val="-7"/>
          <w:w w:val="120"/>
        </w:rPr>
        <w:t> </w:t>
      </w:r>
      <w:r>
        <w:rPr>
          <w:color w:val="231F20"/>
          <w:spacing w:val="-2"/>
          <w:w w:val="120"/>
        </w:rPr>
        <w:t>culture </w:t>
      </w:r>
      <w:r>
        <w:rPr>
          <w:color w:val="231F20"/>
          <w:w w:val="120"/>
        </w:rPr>
        <w:t>sont régies par le pragmatisme de l’économie et des entreprises. </w:t>
      </w:r>
      <w:r>
        <w:rPr>
          <w:color w:val="231F20"/>
          <w:w w:val="115"/>
        </w:rPr>
        <w:t>La</w:t>
      </w:r>
      <w:r>
        <w:rPr>
          <w:color w:val="231F20"/>
          <w:spacing w:val="-1"/>
          <w:w w:val="115"/>
        </w:rPr>
        <w:t> </w:t>
      </w:r>
      <w:r>
        <w:rPr>
          <w:i/>
          <w:color w:val="231F20"/>
          <w:w w:val="115"/>
        </w:rPr>
        <w:t>praxis</w:t>
      </w:r>
      <w:r>
        <w:rPr>
          <w:color w:val="231F20"/>
          <w:w w:val="115"/>
        </w:rPr>
        <w:t>,</w:t>
      </w:r>
      <w:r>
        <w:rPr>
          <w:color w:val="231F20"/>
          <w:spacing w:val="-1"/>
          <w:w w:val="115"/>
        </w:rPr>
        <w:t> </w:t>
      </w:r>
      <w:r>
        <w:rPr>
          <w:color w:val="231F20"/>
          <w:w w:val="115"/>
        </w:rPr>
        <w:t>c’est</w:t>
      </w:r>
      <w:r>
        <w:rPr>
          <w:color w:val="231F20"/>
          <w:spacing w:val="-1"/>
          <w:w w:val="115"/>
        </w:rPr>
        <w:t> </w:t>
      </w:r>
      <w:r>
        <w:rPr>
          <w:color w:val="231F20"/>
          <w:w w:val="115"/>
        </w:rPr>
        <w:t>l’action,</w:t>
      </w:r>
      <w:r>
        <w:rPr>
          <w:color w:val="231F20"/>
          <w:spacing w:val="-1"/>
          <w:w w:val="115"/>
        </w:rPr>
        <w:t> </w:t>
      </w:r>
      <w:r>
        <w:rPr>
          <w:color w:val="231F20"/>
          <w:w w:val="115"/>
        </w:rPr>
        <w:t>l’exécution;</w:t>
      </w:r>
      <w:r>
        <w:rPr>
          <w:color w:val="231F20"/>
          <w:spacing w:val="-1"/>
          <w:w w:val="115"/>
        </w:rPr>
        <w:t> </w:t>
      </w:r>
      <w:r>
        <w:rPr>
          <w:color w:val="231F20"/>
          <w:w w:val="115"/>
        </w:rPr>
        <w:t>ce</w:t>
      </w:r>
      <w:r>
        <w:rPr>
          <w:color w:val="231F20"/>
          <w:spacing w:val="-1"/>
          <w:w w:val="115"/>
        </w:rPr>
        <w:t> </w:t>
      </w:r>
      <w:r>
        <w:rPr>
          <w:color w:val="231F20"/>
          <w:w w:val="115"/>
        </w:rPr>
        <w:t>mot</w:t>
      </w:r>
      <w:r>
        <w:rPr>
          <w:color w:val="231F20"/>
          <w:spacing w:val="-1"/>
          <w:w w:val="115"/>
        </w:rPr>
        <w:t> </w:t>
      </w:r>
      <w:r>
        <w:rPr>
          <w:color w:val="231F20"/>
          <w:w w:val="115"/>
        </w:rPr>
        <w:t>grec</w:t>
      </w:r>
      <w:r>
        <w:rPr>
          <w:color w:val="231F20"/>
          <w:spacing w:val="-1"/>
          <w:w w:val="115"/>
        </w:rPr>
        <w:t> </w:t>
      </w:r>
      <w:r>
        <w:rPr>
          <w:color w:val="231F20"/>
          <w:w w:val="115"/>
        </w:rPr>
        <w:t>est</w:t>
      </w:r>
      <w:r>
        <w:rPr>
          <w:color w:val="231F20"/>
          <w:spacing w:val="-1"/>
          <w:w w:val="115"/>
        </w:rPr>
        <w:t> </w:t>
      </w:r>
      <w:r>
        <w:rPr>
          <w:color w:val="231F20"/>
          <w:w w:val="115"/>
        </w:rPr>
        <w:t>à</w:t>
      </w:r>
      <w:r>
        <w:rPr>
          <w:color w:val="231F20"/>
          <w:spacing w:val="-1"/>
          <w:w w:val="115"/>
        </w:rPr>
        <w:t> </w:t>
      </w:r>
      <w:r>
        <w:rPr>
          <w:color w:val="231F20"/>
          <w:w w:val="115"/>
        </w:rPr>
        <w:t>l’origine</w:t>
      </w:r>
      <w:r>
        <w:rPr>
          <w:color w:val="231F20"/>
          <w:spacing w:val="-1"/>
          <w:w w:val="115"/>
        </w:rPr>
        <w:t> </w:t>
      </w:r>
      <w:r>
        <w:rPr>
          <w:color w:val="231F20"/>
          <w:w w:val="115"/>
        </w:rPr>
        <w:t>du mot </w:t>
      </w:r>
      <w:r>
        <w:rPr>
          <w:i/>
          <w:color w:val="231F20"/>
          <w:w w:val="115"/>
        </w:rPr>
        <w:t>prose</w:t>
      </w:r>
      <w:r>
        <w:rPr>
          <w:color w:val="231F20"/>
          <w:w w:val="115"/>
        </w:rPr>
        <w:t>. Les valeurs prosaïques les plus propices au développe- </w:t>
      </w:r>
      <w:r>
        <w:rPr>
          <w:color w:val="231F20"/>
          <w:w w:val="120"/>
        </w:rPr>
        <w:t>ment</w:t>
      </w:r>
      <w:r>
        <w:rPr>
          <w:color w:val="231F20"/>
          <w:spacing w:val="-11"/>
          <w:w w:val="120"/>
        </w:rPr>
        <w:t> </w:t>
      </w:r>
      <w:r>
        <w:rPr>
          <w:color w:val="231F20"/>
          <w:w w:val="120"/>
        </w:rPr>
        <w:t>de</w:t>
      </w:r>
      <w:r>
        <w:rPr>
          <w:color w:val="231F20"/>
          <w:spacing w:val="-11"/>
          <w:w w:val="120"/>
        </w:rPr>
        <w:t> </w:t>
      </w:r>
      <w:r>
        <w:rPr>
          <w:color w:val="231F20"/>
          <w:w w:val="120"/>
        </w:rPr>
        <w:t>l’axe</w:t>
      </w:r>
      <w:r>
        <w:rPr>
          <w:color w:val="231F20"/>
          <w:spacing w:val="-11"/>
          <w:w w:val="120"/>
        </w:rPr>
        <w:t> </w:t>
      </w:r>
      <w:r>
        <w:rPr>
          <w:color w:val="231F20"/>
          <w:w w:val="120"/>
        </w:rPr>
        <w:t>économique-pratique</w:t>
      </w:r>
      <w:r>
        <w:rPr>
          <w:color w:val="231F20"/>
          <w:spacing w:val="-11"/>
          <w:w w:val="120"/>
        </w:rPr>
        <w:t> </w:t>
      </w:r>
      <w:r>
        <w:rPr>
          <w:color w:val="231F20"/>
          <w:w w:val="120"/>
        </w:rPr>
        <w:t>de</w:t>
      </w:r>
      <w:r>
        <w:rPr>
          <w:color w:val="231F20"/>
          <w:spacing w:val="-11"/>
          <w:w w:val="120"/>
        </w:rPr>
        <w:t> </w:t>
      </w:r>
      <w:r>
        <w:rPr>
          <w:color w:val="231F20"/>
          <w:w w:val="120"/>
        </w:rPr>
        <w:t>l’estime</w:t>
      </w:r>
      <w:r>
        <w:rPr>
          <w:color w:val="231F20"/>
          <w:spacing w:val="-11"/>
          <w:w w:val="120"/>
        </w:rPr>
        <w:t>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sont</w:t>
      </w:r>
      <w:r>
        <w:rPr>
          <w:color w:val="231F20"/>
          <w:spacing w:val="-11"/>
          <w:w w:val="120"/>
        </w:rPr>
        <w:t> </w:t>
      </w:r>
      <w:r>
        <w:rPr>
          <w:color w:val="231F20"/>
          <w:w w:val="120"/>
        </w:rPr>
        <w:t>la</w:t>
      </w:r>
      <w:r>
        <w:rPr>
          <w:color w:val="231F20"/>
          <w:spacing w:val="-11"/>
          <w:w w:val="120"/>
        </w:rPr>
        <w:t> </w:t>
      </w:r>
      <w:r>
        <w:rPr>
          <w:color w:val="231F20"/>
          <w:w w:val="120"/>
        </w:rPr>
        <w:t>dis- </w:t>
      </w:r>
      <w:r>
        <w:rPr>
          <w:color w:val="231F20"/>
          <w:w w:val="115"/>
        </w:rPr>
        <w:t>cipline,</w:t>
      </w:r>
      <w:r>
        <w:rPr>
          <w:color w:val="231F20"/>
          <w:spacing w:val="-1"/>
          <w:w w:val="115"/>
        </w:rPr>
        <w:t> </w:t>
      </w:r>
      <w:r>
        <w:rPr>
          <w:color w:val="231F20"/>
          <w:w w:val="115"/>
        </w:rPr>
        <w:t>le</w:t>
      </w:r>
      <w:r>
        <w:rPr>
          <w:color w:val="231F20"/>
          <w:spacing w:val="-1"/>
          <w:w w:val="115"/>
        </w:rPr>
        <w:t> </w:t>
      </w:r>
      <w:r>
        <w:rPr>
          <w:color w:val="231F20"/>
          <w:w w:val="115"/>
        </w:rPr>
        <w:t>travail</w:t>
      </w:r>
      <w:r>
        <w:rPr>
          <w:color w:val="231F20"/>
          <w:spacing w:val="-1"/>
          <w:w w:val="115"/>
        </w:rPr>
        <w:t> </w:t>
      </w:r>
      <w:r>
        <w:rPr>
          <w:color w:val="231F20"/>
          <w:w w:val="115"/>
        </w:rPr>
        <w:t>acharné,</w:t>
      </w:r>
      <w:r>
        <w:rPr>
          <w:color w:val="231F20"/>
          <w:spacing w:val="-1"/>
          <w:w w:val="115"/>
        </w:rPr>
        <w:t> </w:t>
      </w:r>
      <w:r>
        <w:rPr>
          <w:color w:val="231F20"/>
          <w:w w:val="115"/>
        </w:rPr>
        <w:t>l’adaptabilité</w:t>
      </w:r>
      <w:r>
        <w:rPr>
          <w:color w:val="231F20"/>
          <w:spacing w:val="-1"/>
          <w:w w:val="115"/>
        </w:rPr>
        <w:t> </w:t>
      </w:r>
      <w:r>
        <w:rPr>
          <w:color w:val="231F20"/>
          <w:w w:val="115"/>
        </w:rPr>
        <w:t>au</w:t>
      </w:r>
      <w:r>
        <w:rPr>
          <w:color w:val="231F20"/>
          <w:spacing w:val="-1"/>
          <w:w w:val="115"/>
        </w:rPr>
        <w:t> </w:t>
      </w:r>
      <w:r>
        <w:rPr>
          <w:color w:val="231F20"/>
          <w:w w:val="115"/>
        </w:rPr>
        <w:t>changement,</w:t>
      </w:r>
      <w:r>
        <w:rPr>
          <w:color w:val="231F20"/>
          <w:spacing w:val="-1"/>
          <w:w w:val="115"/>
        </w:rPr>
        <w:t> </w:t>
      </w:r>
      <w:r>
        <w:rPr>
          <w:color w:val="231F20"/>
          <w:w w:val="115"/>
        </w:rPr>
        <w:t>l’épargne, </w:t>
      </w:r>
      <w:r>
        <w:rPr>
          <w:color w:val="231F20"/>
          <w:w w:val="120"/>
        </w:rPr>
        <w:t>l’orientation</w:t>
      </w:r>
      <w:r>
        <w:rPr>
          <w:color w:val="231F20"/>
          <w:spacing w:val="-6"/>
          <w:w w:val="120"/>
        </w:rPr>
        <w:t> </w:t>
      </w:r>
      <w:r>
        <w:rPr>
          <w:color w:val="231F20"/>
          <w:w w:val="120"/>
        </w:rPr>
        <w:t>sur</w:t>
      </w:r>
      <w:r>
        <w:rPr>
          <w:color w:val="231F20"/>
          <w:spacing w:val="-6"/>
          <w:w w:val="120"/>
        </w:rPr>
        <w:t> </w:t>
      </w:r>
      <w:r>
        <w:rPr>
          <w:color w:val="231F20"/>
          <w:w w:val="120"/>
        </w:rPr>
        <w:t>les</w:t>
      </w:r>
      <w:r>
        <w:rPr>
          <w:color w:val="231F20"/>
          <w:spacing w:val="-6"/>
          <w:w w:val="120"/>
        </w:rPr>
        <w:t> </w:t>
      </w:r>
      <w:r>
        <w:rPr>
          <w:color w:val="231F20"/>
          <w:w w:val="120"/>
        </w:rPr>
        <w:t>résultats,</w:t>
      </w:r>
      <w:r>
        <w:rPr>
          <w:color w:val="231F20"/>
          <w:spacing w:val="-6"/>
          <w:w w:val="120"/>
        </w:rPr>
        <w:t> </w:t>
      </w:r>
      <w:r>
        <w:rPr>
          <w:color w:val="231F20"/>
          <w:w w:val="120"/>
        </w:rPr>
        <w:t>l’efficience</w:t>
      </w:r>
      <w:r>
        <w:rPr>
          <w:color w:val="231F20"/>
          <w:spacing w:val="-6"/>
          <w:w w:val="120"/>
        </w:rPr>
        <w:t> </w:t>
      </w:r>
      <w:r>
        <w:rPr>
          <w:color w:val="231F20"/>
          <w:w w:val="120"/>
        </w:rPr>
        <w:t>et</w:t>
      </w:r>
      <w:r>
        <w:rPr>
          <w:color w:val="231F20"/>
          <w:spacing w:val="-6"/>
          <w:w w:val="120"/>
        </w:rPr>
        <w:t> </w:t>
      </w:r>
      <w:r>
        <w:rPr>
          <w:color w:val="231F20"/>
          <w:w w:val="120"/>
        </w:rPr>
        <w:t>l’efficacité.</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r>
        <w:rPr/>
        <w:pict>
          <v:shape style="position:absolute;margin-left:82pt;margin-top:7.810987pt;width:287.5pt;height:.1pt;mso-position-horizontal-relative:page;mso-position-vertical-relative:paragraph;z-index:-15647232;mso-wrap-distance-left:0;mso-wrap-distance-right:0" id="docshape937" coordorigin="1640,156" coordsize="5750,0" path="m1640,156l7390,156e" filled="false" stroked="true" strokeweight=".25pt" strokecolor="#231f20">
            <v:path arrowok="t"/>
            <v:stroke dashstyle="shortdot"/>
            <w10:wrap type="topAndBottom"/>
          </v:shape>
        </w:pict>
      </w:r>
    </w:p>
    <w:p>
      <w:pPr>
        <w:pStyle w:val="ListParagraph"/>
        <w:numPr>
          <w:ilvl w:val="0"/>
          <w:numId w:val="65"/>
        </w:numPr>
        <w:tabs>
          <w:tab w:pos="1220" w:val="left" w:leader="none"/>
        </w:tabs>
        <w:spacing w:line="240" w:lineRule="auto" w:before="135" w:after="0"/>
        <w:ind w:left="1219" w:right="0" w:hanging="406"/>
        <w:jc w:val="both"/>
        <w:rPr>
          <w:rFonts w:ascii="Arial"/>
          <w:sz w:val="12"/>
        </w:rPr>
      </w:pPr>
      <w:r>
        <w:rPr>
          <w:rFonts w:ascii="Arial"/>
          <w:color w:val="231F20"/>
          <w:w w:val="95"/>
          <w:sz w:val="12"/>
        </w:rPr>
        <w:t>James,</w:t>
      </w:r>
      <w:r>
        <w:rPr>
          <w:rFonts w:ascii="Arial"/>
          <w:color w:val="231F20"/>
          <w:spacing w:val="8"/>
          <w:sz w:val="12"/>
        </w:rPr>
        <w:t> </w:t>
      </w:r>
      <w:r>
        <w:rPr>
          <w:rFonts w:ascii="Arial"/>
          <w:color w:val="231F20"/>
          <w:w w:val="95"/>
          <w:sz w:val="12"/>
        </w:rPr>
        <w:t>W.</w:t>
      </w:r>
      <w:r>
        <w:rPr>
          <w:rFonts w:ascii="Arial"/>
          <w:color w:val="231F20"/>
          <w:spacing w:val="8"/>
          <w:sz w:val="12"/>
        </w:rPr>
        <w:t> </w:t>
      </w:r>
      <w:r>
        <w:rPr>
          <w:rFonts w:ascii="Arial"/>
          <w:color w:val="231F20"/>
          <w:w w:val="95"/>
          <w:sz w:val="12"/>
        </w:rPr>
        <w:t>(1890).</w:t>
      </w:r>
      <w:r>
        <w:rPr>
          <w:rFonts w:ascii="Arial"/>
          <w:color w:val="231F20"/>
          <w:spacing w:val="8"/>
          <w:sz w:val="12"/>
        </w:rPr>
        <w:t> </w:t>
      </w:r>
      <w:r>
        <w:rPr>
          <w:rFonts w:ascii="Arial"/>
          <w:i/>
          <w:color w:val="231F20"/>
          <w:w w:val="95"/>
          <w:sz w:val="12"/>
        </w:rPr>
        <w:t>The</w:t>
      </w:r>
      <w:r>
        <w:rPr>
          <w:rFonts w:ascii="Arial"/>
          <w:i/>
          <w:color w:val="231F20"/>
          <w:spacing w:val="9"/>
          <w:sz w:val="12"/>
        </w:rPr>
        <w:t> </w:t>
      </w:r>
      <w:r>
        <w:rPr>
          <w:rFonts w:ascii="Arial"/>
          <w:i/>
          <w:color w:val="231F20"/>
          <w:w w:val="95"/>
          <w:sz w:val="12"/>
        </w:rPr>
        <w:t>Principles</w:t>
      </w:r>
      <w:r>
        <w:rPr>
          <w:rFonts w:ascii="Arial"/>
          <w:i/>
          <w:color w:val="231F20"/>
          <w:spacing w:val="8"/>
          <w:sz w:val="12"/>
        </w:rPr>
        <w:t> </w:t>
      </w:r>
      <w:r>
        <w:rPr>
          <w:rFonts w:ascii="Arial"/>
          <w:i/>
          <w:color w:val="231F20"/>
          <w:w w:val="95"/>
          <w:sz w:val="12"/>
        </w:rPr>
        <w:t>of</w:t>
      </w:r>
      <w:r>
        <w:rPr>
          <w:rFonts w:ascii="Arial"/>
          <w:i/>
          <w:color w:val="231F20"/>
          <w:spacing w:val="8"/>
          <w:sz w:val="12"/>
        </w:rPr>
        <w:t> </w:t>
      </w:r>
      <w:r>
        <w:rPr>
          <w:rFonts w:ascii="Arial"/>
          <w:i/>
          <w:color w:val="231F20"/>
          <w:w w:val="95"/>
          <w:sz w:val="12"/>
        </w:rPr>
        <w:t>Psychology</w:t>
      </w:r>
      <w:r>
        <w:rPr>
          <w:rFonts w:ascii="Arial"/>
          <w:color w:val="231F20"/>
          <w:w w:val="95"/>
          <w:sz w:val="12"/>
        </w:rPr>
        <w:t>,</w:t>
      </w:r>
      <w:r>
        <w:rPr>
          <w:rFonts w:ascii="Arial"/>
          <w:color w:val="231F20"/>
          <w:spacing w:val="8"/>
          <w:sz w:val="12"/>
        </w:rPr>
        <w:t> </w:t>
      </w:r>
      <w:r>
        <w:rPr>
          <w:rFonts w:ascii="Arial"/>
          <w:color w:val="231F20"/>
          <w:w w:val="95"/>
          <w:sz w:val="12"/>
        </w:rPr>
        <w:t>Cambridge,</w:t>
      </w:r>
      <w:r>
        <w:rPr>
          <w:rFonts w:ascii="Arial"/>
          <w:color w:val="231F20"/>
          <w:spacing w:val="9"/>
          <w:sz w:val="12"/>
        </w:rPr>
        <w:t> </w:t>
      </w:r>
      <w:r>
        <w:rPr>
          <w:rFonts w:ascii="Arial"/>
          <w:color w:val="231F20"/>
          <w:w w:val="95"/>
          <w:sz w:val="12"/>
        </w:rPr>
        <w:t>Harvard</w:t>
      </w:r>
      <w:r>
        <w:rPr>
          <w:rFonts w:ascii="Arial"/>
          <w:color w:val="231F20"/>
          <w:spacing w:val="8"/>
          <w:sz w:val="12"/>
        </w:rPr>
        <w:t> </w:t>
      </w:r>
      <w:r>
        <w:rPr>
          <w:rFonts w:ascii="Arial"/>
          <w:color w:val="231F20"/>
          <w:w w:val="95"/>
          <w:sz w:val="12"/>
        </w:rPr>
        <w:t>University</w:t>
      </w:r>
      <w:r>
        <w:rPr>
          <w:rFonts w:ascii="Arial"/>
          <w:color w:val="231F20"/>
          <w:spacing w:val="8"/>
          <w:sz w:val="12"/>
        </w:rPr>
        <w:t> </w:t>
      </w:r>
      <w:r>
        <w:rPr>
          <w:rFonts w:ascii="Arial"/>
          <w:color w:val="231F20"/>
          <w:spacing w:val="-2"/>
          <w:w w:val="95"/>
          <w:sz w:val="12"/>
        </w:rPr>
        <w:t>Press.</w:t>
      </w:r>
    </w:p>
    <w:p>
      <w:pPr>
        <w:pStyle w:val="ListParagraph"/>
        <w:numPr>
          <w:ilvl w:val="0"/>
          <w:numId w:val="65"/>
        </w:numPr>
        <w:tabs>
          <w:tab w:pos="1220" w:val="left" w:leader="none"/>
        </w:tabs>
        <w:spacing w:line="240" w:lineRule="auto" w:before="32" w:after="0"/>
        <w:ind w:left="1219" w:right="0" w:hanging="406"/>
        <w:jc w:val="both"/>
        <w:rPr>
          <w:rFonts w:ascii="Arial" w:hAnsi="Arial"/>
          <w:sz w:val="12"/>
        </w:rPr>
      </w:pPr>
      <w:r>
        <w:rPr>
          <w:rFonts w:ascii="Arial" w:hAnsi="Arial"/>
          <w:color w:val="231F20"/>
          <w:w w:val="95"/>
          <w:sz w:val="12"/>
        </w:rPr>
        <w:t>Dolan,</w:t>
      </w:r>
      <w:r>
        <w:rPr>
          <w:rFonts w:ascii="Arial" w:hAnsi="Arial"/>
          <w:color w:val="231F20"/>
          <w:spacing w:val="-2"/>
          <w:w w:val="95"/>
          <w:sz w:val="12"/>
        </w:rPr>
        <w:t> </w:t>
      </w:r>
      <w:r>
        <w:rPr>
          <w:rFonts w:ascii="Arial" w:hAnsi="Arial"/>
          <w:color w:val="231F20"/>
          <w:w w:val="95"/>
          <w:sz w:val="12"/>
        </w:rPr>
        <w:t>S.</w:t>
      </w:r>
      <w:r>
        <w:rPr>
          <w:rFonts w:ascii="Arial" w:hAnsi="Arial"/>
          <w:color w:val="231F20"/>
          <w:spacing w:val="-1"/>
          <w:w w:val="95"/>
          <w:sz w:val="12"/>
        </w:rPr>
        <w:t> </w:t>
      </w:r>
      <w:r>
        <w:rPr>
          <w:rFonts w:ascii="Arial" w:hAnsi="Arial"/>
          <w:color w:val="231F20"/>
          <w:w w:val="95"/>
          <w:sz w:val="12"/>
        </w:rPr>
        <w:t>L.</w:t>
      </w:r>
      <w:r>
        <w:rPr>
          <w:rFonts w:ascii="Arial" w:hAnsi="Arial"/>
          <w:color w:val="231F20"/>
          <w:spacing w:val="-1"/>
          <w:w w:val="95"/>
          <w:sz w:val="12"/>
        </w:rPr>
        <w:t> </w:t>
      </w:r>
      <w:r>
        <w:rPr>
          <w:rFonts w:ascii="Arial" w:hAnsi="Arial"/>
          <w:color w:val="231F20"/>
          <w:w w:val="95"/>
          <w:sz w:val="12"/>
        </w:rPr>
        <w:t>(2003).</w:t>
      </w:r>
      <w:r>
        <w:rPr>
          <w:rFonts w:ascii="Arial" w:hAnsi="Arial"/>
          <w:color w:val="231F20"/>
          <w:spacing w:val="-1"/>
          <w:w w:val="95"/>
          <w:sz w:val="12"/>
        </w:rPr>
        <w:t> </w:t>
      </w:r>
      <w:r>
        <w:rPr>
          <w:rFonts w:ascii="Arial" w:hAnsi="Arial"/>
          <w:color w:val="231F20"/>
          <w:w w:val="95"/>
          <w:sz w:val="12"/>
        </w:rPr>
        <w:t>Making</w:t>
      </w:r>
      <w:r>
        <w:rPr>
          <w:rFonts w:ascii="Arial" w:hAnsi="Arial"/>
          <w:color w:val="231F20"/>
          <w:spacing w:val="-1"/>
          <w:w w:val="95"/>
          <w:sz w:val="12"/>
        </w:rPr>
        <w:t> </w:t>
      </w:r>
      <w:r>
        <w:rPr>
          <w:rFonts w:ascii="Arial" w:hAnsi="Arial"/>
          <w:color w:val="231F20"/>
          <w:w w:val="95"/>
          <w:sz w:val="12"/>
        </w:rPr>
        <w:t>a</w:t>
      </w:r>
      <w:r>
        <w:rPr>
          <w:rFonts w:ascii="Arial" w:hAnsi="Arial"/>
          <w:color w:val="231F20"/>
          <w:spacing w:val="-1"/>
          <w:w w:val="95"/>
          <w:sz w:val="12"/>
        </w:rPr>
        <w:t> </w:t>
      </w:r>
      <w:r>
        <w:rPr>
          <w:rFonts w:ascii="Arial" w:hAnsi="Arial"/>
          <w:color w:val="231F20"/>
          <w:w w:val="95"/>
          <w:sz w:val="12"/>
        </w:rPr>
        <w:t>life</w:t>
      </w:r>
      <w:r>
        <w:rPr>
          <w:rFonts w:ascii="Arial" w:hAnsi="Arial"/>
          <w:color w:val="231F20"/>
          <w:spacing w:val="-1"/>
          <w:w w:val="95"/>
          <w:sz w:val="12"/>
        </w:rPr>
        <w:t> </w:t>
      </w:r>
      <w:r>
        <w:rPr>
          <w:rFonts w:ascii="Arial" w:hAnsi="Arial"/>
          <w:color w:val="231F20"/>
          <w:w w:val="95"/>
          <w:sz w:val="12"/>
        </w:rPr>
        <w:t>or</w:t>
      </w:r>
      <w:r>
        <w:rPr>
          <w:rFonts w:ascii="Arial" w:hAnsi="Arial"/>
          <w:color w:val="231F20"/>
          <w:spacing w:val="-1"/>
          <w:w w:val="95"/>
          <w:sz w:val="12"/>
        </w:rPr>
        <w:t> </w:t>
      </w:r>
      <w:r>
        <w:rPr>
          <w:rFonts w:ascii="Arial" w:hAnsi="Arial"/>
          <w:color w:val="231F20"/>
          <w:w w:val="95"/>
          <w:sz w:val="12"/>
        </w:rPr>
        <w:t>making</w:t>
      </w:r>
      <w:r>
        <w:rPr>
          <w:rFonts w:ascii="Arial" w:hAnsi="Arial"/>
          <w:color w:val="231F20"/>
          <w:spacing w:val="-1"/>
          <w:w w:val="95"/>
          <w:sz w:val="12"/>
        </w:rPr>
        <w:t> </w:t>
      </w:r>
      <w:r>
        <w:rPr>
          <w:rFonts w:ascii="Arial" w:hAnsi="Arial"/>
          <w:color w:val="231F20"/>
          <w:w w:val="95"/>
          <w:sz w:val="12"/>
        </w:rPr>
        <w:t>a</w:t>
      </w:r>
      <w:r>
        <w:rPr>
          <w:rFonts w:ascii="Arial" w:hAnsi="Arial"/>
          <w:color w:val="231F20"/>
          <w:spacing w:val="-2"/>
          <w:w w:val="95"/>
          <w:sz w:val="12"/>
        </w:rPr>
        <w:t> </w:t>
      </w:r>
      <w:r>
        <w:rPr>
          <w:rFonts w:ascii="Arial" w:hAnsi="Arial"/>
          <w:color w:val="231F20"/>
          <w:w w:val="95"/>
          <w:sz w:val="12"/>
        </w:rPr>
        <w:t>living,</w:t>
      </w:r>
      <w:r>
        <w:rPr>
          <w:rFonts w:ascii="Arial" w:hAnsi="Arial"/>
          <w:color w:val="231F20"/>
          <w:spacing w:val="-1"/>
          <w:w w:val="95"/>
          <w:sz w:val="12"/>
        </w:rPr>
        <w:t> </w:t>
      </w:r>
      <w:r>
        <w:rPr>
          <w:rFonts w:ascii="Arial" w:hAnsi="Arial"/>
          <w:i/>
          <w:color w:val="231F20"/>
          <w:w w:val="95"/>
          <w:sz w:val="12"/>
        </w:rPr>
        <w:t>ESADE</w:t>
      </w:r>
      <w:r>
        <w:rPr>
          <w:rFonts w:ascii="Arial" w:hAnsi="Arial"/>
          <w:i/>
          <w:color w:val="231F20"/>
          <w:spacing w:val="-1"/>
          <w:w w:val="95"/>
          <w:sz w:val="12"/>
        </w:rPr>
        <w:t> </w:t>
      </w:r>
      <w:r>
        <w:rPr>
          <w:rFonts w:ascii="Arial" w:hAnsi="Arial"/>
          <w:i/>
          <w:color w:val="231F20"/>
          <w:w w:val="95"/>
          <w:sz w:val="12"/>
        </w:rPr>
        <w:t>MBA</w:t>
      </w:r>
      <w:r>
        <w:rPr>
          <w:rFonts w:ascii="Arial" w:hAnsi="Arial"/>
          <w:i/>
          <w:color w:val="231F20"/>
          <w:spacing w:val="-1"/>
          <w:w w:val="95"/>
          <w:sz w:val="12"/>
        </w:rPr>
        <w:t> </w:t>
      </w:r>
      <w:r>
        <w:rPr>
          <w:rFonts w:ascii="Arial" w:hAnsi="Arial"/>
          <w:i/>
          <w:color w:val="231F20"/>
          <w:w w:val="95"/>
          <w:sz w:val="12"/>
        </w:rPr>
        <w:t>Business</w:t>
      </w:r>
      <w:r>
        <w:rPr>
          <w:rFonts w:ascii="Arial" w:hAnsi="Arial"/>
          <w:i/>
          <w:color w:val="231F20"/>
          <w:spacing w:val="-1"/>
          <w:w w:val="95"/>
          <w:sz w:val="12"/>
        </w:rPr>
        <w:t> </w:t>
      </w:r>
      <w:r>
        <w:rPr>
          <w:rFonts w:ascii="Arial" w:hAnsi="Arial"/>
          <w:i/>
          <w:color w:val="231F20"/>
          <w:w w:val="95"/>
          <w:sz w:val="12"/>
        </w:rPr>
        <w:t>Review</w:t>
      </w:r>
      <w:r>
        <w:rPr>
          <w:rFonts w:ascii="Arial" w:hAnsi="Arial"/>
          <w:color w:val="231F20"/>
          <w:w w:val="95"/>
          <w:sz w:val="12"/>
        </w:rPr>
        <w:t>,</w:t>
      </w:r>
      <w:r>
        <w:rPr>
          <w:rFonts w:ascii="Arial" w:hAnsi="Arial"/>
          <w:color w:val="231F20"/>
          <w:spacing w:val="-1"/>
          <w:w w:val="95"/>
          <w:sz w:val="12"/>
        </w:rPr>
        <w:t> </w:t>
      </w:r>
      <w:r>
        <w:rPr>
          <w:rFonts w:ascii="Arial" w:hAnsi="Arial"/>
          <w:i/>
          <w:color w:val="231F20"/>
          <w:w w:val="95"/>
          <w:sz w:val="12"/>
        </w:rPr>
        <w:t>1</w:t>
      </w:r>
      <w:r>
        <w:rPr>
          <w:rFonts w:ascii="Arial" w:hAnsi="Arial"/>
          <w:color w:val="231F20"/>
          <w:w w:val="95"/>
          <w:sz w:val="12"/>
        </w:rPr>
        <w:t>,</w:t>
      </w:r>
      <w:r>
        <w:rPr>
          <w:rFonts w:ascii="Arial" w:hAnsi="Arial"/>
          <w:color w:val="231F20"/>
          <w:spacing w:val="-1"/>
          <w:w w:val="95"/>
          <w:sz w:val="12"/>
        </w:rPr>
        <w:t> </w:t>
      </w:r>
      <w:r>
        <w:rPr>
          <w:rFonts w:ascii="Arial" w:hAnsi="Arial"/>
          <w:color w:val="231F20"/>
          <w:w w:val="95"/>
          <w:sz w:val="12"/>
        </w:rPr>
        <w:t>8-11</w:t>
      </w:r>
      <w:r>
        <w:rPr>
          <w:rFonts w:ascii="Arial" w:hAnsi="Arial"/>
          <w:color w:val="231F20"/>
          <w:spacing w:val="-19"/>
          <w:w w:val="95"/>
          <w:sz w:val="12"/>
        </w:rPr>
        <w:t> </w:t>
      </w:r>
      <w:r>
        <w:rPr>
          <w:rFonts w:ascii="Arial" w:hAnsi="Arial"/>
          <w:color w:val="231F20"/>
          <w:w w:val="95"/>
          <w:sz w:val="12"/>
        </w:rPr>
        <w:t>;</w:t>
      </w:r>
      <w:r>
        <w:rPr>
          <w:rFonts w:ascii="Arial" w:hAnsi="Arial"/>
          <w:color w:val="231F20"/>
          <w:spacing w:val="-1"/>
          <w:w w:val="95"/>
          <w:sz w:val="12"/>
        </w:rPr>
        <w:t> </w:t>
      </w:r>
      <w:r>
        <w:rPr>
          <w:rFonts w:ascii="Arial" w:hAnsi="Arial"/>
          <w:color w:val="231F20"/>
          <w:w w:val="95"/>
          <w:sz w:val="12"/>
        </w:rPr>
        <w:t>Dolan,</w:t>
      </w:r>
      <w:r>
        <w:rPr>
          <w:rFonts w:ascii="Arial" w:hAnsi="Arial"/>
          <w:color w:val="231F20"/>
          <w:spacing w:val="-2"/>
          <w:w w:val="95"/>
          <w:sz w:val="12"/>
        </w:rPr>
        <w:t> </w:t>
      </w:r>
      <w:r>
        <w:rPr>
          <w:rFonts w:ascii="Arial" w:hAnsi="Arial"/>
          <w:color w:val="231F20"/>
          <w:w w:val="95"/>
          <w:sz w:val="12"/>
        </w:rPr>
        <w:t>S.</w:t>
      </w:r>
      <w:r>
        <w:rPr>
          <w:rFonts w:ascii="Arial" w:hAnsi="Arial"/>
          <w:color w:val="231F20"/>
          <w:spacing w:val="-1"/>
          <w:w w:val="95"/>
          <w:sz w:val="12"/>
        </w:rPr>
        <w:t> </w:t>
      </w:r>
      <w:r>
        <w:rPr>
          <w:rFonts w:ascii="Arial" w:hAnsi="Arial"/>
          <w:color w:val="231F20"/>
          <w:w w:val="95"/>
          <w:sz w:val="12"/>
        </w:rPr>
        <w:t>L.,</w:t>
      </w:r>
      <w:r>
        <w:rPr>
          <w:rFonts w:ascii="Arial" w:hAnsi="Arial"/>
          <w:color w:val="231F20"/>
          <w:spacing w:val="-1"/>
          <w:w w:val="95"/>
          <w:sz w:val="12"/>
        </w:rPr>
        <w:t> </w:t>
      </w:r>
      <w:r>
        <w:rPr>
          <w:rFonts w:ascii="Arial" w:hAnsi="Arial"/>
          <w:color w:val="231F20"/>
          <w:spacing w:val="-2"/>
          <w:w w:val="95"/>
          <w:sz w:val="12"/>
        </w:rPr>
        <w:t>García,</w:t>
      </w:r>
    </w:p>
    <w:p>
      <w:pPr>
        <w:spacing w:line="295" w:lineRule="auto" w:before="32"/>
        <w:ind w:left="1219" w:right="104" w:firstLine="0"/>
        <w:jc w:val="both"/>
        <w:rPr>
          <w:rFonts w:ascii="Arial" w:hAnsi="Arial"/>
          <w:sz w:val="12"/>
        </w:rPr>
      </w:pPr>
      <w:r>
        <w:rPr>
          <w:rFonts w:ascii="Arial" w:hAnsi="Arial"/>
          <w:color w:val="231F20"/>
          <w:sz w:val="12"/>
        </w:rPr>
        <w:t>S.</w:t>
      </w:r>
      <w:r>
        <w:rPr>
          <w:rFonts w:ascii="Arial" w:hAnsi="Arial"/>
          <w:color w:val="231F20"/>
          <w:spacing w:val="-6"/>
          <w:sz w:val="12"/>
        </w:rPr>
        <w:t> </w:t>
      </w:r>
      <w:r>
        <w:rPr>
          <w:rFonts w:ascii="Arial" w:hAnsi="Arial"/>
          <w:color w:val="231F20"/>
          <w:sz w:val="12"/>
        </w:rPr>
        <w:t>et Díez-Piñol, M. (2004). Validation of “triaxial” model of values-based management</w:t>
      </w:r>
      <w:r>
        <w:rPr>
          <w:rFonts w:ascii="Arial" w:hAnsi="Arial"/>
          <w:color w:val="231F20"/>
          <w:spacing w:val="-9"/>
          <w:sz w:val="12"/>
        </w:rPr>
        <w:t> </w:t>
      </w:r>
      <w:r>
        <w:rPr>
          <w:rFonts w:ascii="Arial" w:hAnsi="Arial"/>
          <w:color w:val="231F20"/>
          <w:sz w:val="12"/>
        </w:rPr>
        <w:t>: Towards new per-</w:t>
      </w:r>
      <w:r>
        <w:rPr>
          <w:rFonts w:ascii="Arial" w:hAnsi="Arial"/>
          <w:color w:val="231F20"/>
          <w:spacing w:val="40"/>
          <w:sz w:val="12"/>
        </w:rPr>
        <w:t> </w:t>
      </w:r>
      <w:r>
        <w:rPr>
          <w:rFonts w:ascii="Arial" w:hAnsi="Arial"/>
          <w:color w:val="231F20"/>
          <w:sz w:val="12"/>
        </w:rPr>
        <w:t>spectives</w:t>
      </w:r>
      <w:r>
        <w:rPr>
          <w:rFonts w:ascii="Arial" w:hAnsi="Arial"/>
          <w:color w:val="231F20"/>
          <w:spacing w:val="-9"/>
          <w:sz w:val="12"/>
        </w:rPr>
        <w:t> </w:t>
      </w:r>
      <w:r>
        <w:rPr>
          <w:rFonts w:ascii="Arial" w:hAnsi="Arial"/>
          <w:color w:val="231F20"/>
          <w:sz w:val="12"/>
        </w:rPr>
        <w:t>to</w:t>
      </w:r>
      <w:r>
        <w:rPr>
          <w:rFonts w:ascii="Arial" w:hAnsi="Arial"/>
          <w:color w:val="231F20"/>
          <w:spacing w:val="-8"/>
          <w:sz w:val="12"/>
        </w:rPr>
        <w:t> </w:t>
      </w:r>
      <w:r>
        <w:rPr>
          <w:rFonts w:ascii="Arial" w:hAnsi="Arial"/>
          <w:color w:val="231F20"/>
          <w:sz w:val="12"/>
        </w:rPr>
        <w:t>manage</w:t>
      </w:r>
      <w:r>
        <w:rPr>
          <w:rFonts w:ascii="Arial" w:hAnsi="Arial"/>
          <w:color w:val="231F20"/>
          <w:spacing w:val="-8"/>
          <w:sz w:val="12"/>
        </w:rPr>
        <w:t> </w:t>
      </w:r>
      <w:r>
        <w:rPr>
          <w:rFonts w:ascii="Arial" w:hAnsi="Arial"/>
          <w:color w:val="231F20"/>
          <w:sz w:val="12"/>
        </w:rPr>
        <w:t>culture</w:t>
      </w:r>
      <w:r>
        <w:rPr>
          <w:rFonts w:ascii="Arial" w:hAnsi="Arial"/>
          <w:color w:val="231F20"/>
          <w:spacing w:val="-9"/>
          <w:sz w:val="12"/>
        </w:rPr>
        <w:t> </w:t>
      </w:r>
      <w:r>
        <w:rPr>
          <w:rFonts w:ascii="Arial" w:hAnsi="Arial"/>
          <w:color w:val="231F20"/>
          <w:sz w:val="12"/>
        </w:rPr>
        <w:t>in</w:t>
      </w:r>
      <w:r>
        <w:rPr>
          <w:rFonts w:ascii="Arial" w:hAnsi="Arial"/>
          <w:color w:val="231F20"/>
          <w:spacing w:val="-8"/>
          <w:sz w:val="12"/>
        </w:rPr>
        <w:t> </w:t>
      </w:r>
      <w:r>
        <w:rPr>
          <w:rFonts w:ascii="Arial" w:hAnsi="Arial"/>
          <w:color w:val="231F20"/>
          <w:sz w:val="12"/>
        </w:rPr>
        <w:t>organisations,</w:t>
      </w:r>
      <w:r>
        <w:rPr>
          <w:rFonts w:ascii="Arial" w:hAnsi="Arial"/>
          <w:color w:val="231F20"/>
          <w:spacing w:val="-8"/>
          <w:sz w:val="12"/>
        </w:rPr>
        <w:t> </w:t>
      </w:r>
      <w:r>
        <w:rPr>
          <w:rFonts w:ascii="Arial" w:hAnsi="Arial"/>
          <w:i/>
          <w:color w:val="231F20"/>
          <w:sz w:val="12"/>
        </w:rPr>
        <w:t>Proceedings</w:t>
      </w:r>
      <w:r>
        <w:rPr>
          <w:rFonts w:ascii="Arial" w:hAnsi="Arial"/>
          <w:i/>
          <w:color w:val="231F20"/>
          <w:spacing w:val="-9"/>
          <w:sz w:val="12"/>
        </w:rPr>
        <w:t> </w:t>
      </w:r>
      <w:r>
        <w:rPr>
          <w:rFonts w:ascii="Arial" w:hAnsi="Arial"/>
          <w:i/>
          <w:color w:val="231F20"/>
          <w:sz w:val="12"/>
        </w:rPr>
        <w:t>of</w:t>
      </w:r>
      <w:r>
        <w:rPr>
          <w:rFonts w:ascii="Arial" w:hAnsi="Arial"/>
          <w:i/>
          <w:color w:val="231F20"/>
          <w:spacing w:val="-8"/>
          <w:sz w:val="12"/>
        </w:rPr>
        <w:t> </w:t>
      </w:r>
      <w:r>
        <w:rPr>
          <w:rFonts w:ascii="Arial" w:hAnsi="Arial"/>
          <w:i/>
          <w:color w:val="231F20"/>
          <w:sz w:val="12"/>
        </w:rPr>
        <w:t>the</w:t>
      </w:r>
      <w:r>
        <w:rPr>
          <w:rFonts w:ascii="Arial" w:hAnsi="Arial"/>
          <w:i/>
          <w:color w:val="231F20"/>
          <w:spacing w:val="-8"/>
          <w:sz w:val="12"/>
        </w:rPr>
        <w:t> </w:t>
      </w:r>
      <w:r>
        <w:rPr>
          <w:rFonts w:ascii="Arial" w:hAnsi="Arial"/>
          <w:i/>
          <w:color w:val="231F20"/>
          <w:sz w:val="12"/>
        </w:rPr>
        <w:t>9th</w:t>
      </w:r>
      <w:r>
        <w:rPr>
          <w:rFonts w:ascii="Arial" w:hAnsi="Arial"/>
          <w:i/>
          <w:color w:val="231F20"/>
          <w:spacing w:val="-9"/>
          <w:sz w:val="12"/>
        </w:rPr>
        <w:t> </w:t>
      </w:r>
      <w:r>
        <w:rPr>
          <w:rFonts w:ascii="Arial" w:hAnsi="Arial"/>
          <w:i/>
          <w:color w:val="231F20"/>
          <w:sz w:val="12"/>
        </w:rPr>
        <w:t>International</w:t>
      </w:r>
      <w:r>
        <w:rPr>
          <w:rFonts w:ascii="Arial" w:hAnsi="Arial"/>
          <w:i/>
          <w:color w:val="231F20"/>
          <w:spacing w:val="-8"/>
          <w:sz w:val="12"/>
        </w:rPr>
        <w:t> </w:t>
      </w:r>
      <w:r>
        <w:rPr>
          <w:rFonts w:ascii="Arial" w:hAnsi="Arial"/>
          <w:i/>
          <w:color w:val="231F20"/>
          <w:sz w:val="12"/>
        </w:rPr>
        <w:t>Conference</w:t>
      </w:r>
      <w:r>
        <w:rPr>
          <w:rFonts w:ascii="Arial" w:hAnsi="Arial"/>
          <w:i/>
          <w:color w:val="231F20"/>
          <w:spacing w:val="-8"/>
          <w:sz w:val="12"/>
        </w:rPr>
        <w:t> </w:t>
      </w:r>
      <w:r>
        <w:rPr>
          <w:rFonts w:ascii="Arial" w:hAnsi="Arial"/>
          <w:i/>
          <w:color w:val="231F20"/>
          <w:sz w:val="12"/>
        </w:rPr>
        <w:t>of</w:t>
      </w:r>
      <w:r>
        <w:rPr>
          <w:rFonts w:ascii="Arial" w:hAnsi="Arial"/>
          <w:i/>
          <w:color w:val="231F20"/>
          <w:spacing w:val="-9"/>
          <w:sz w:val="12"/>
        </w:rPr>
        <w:t> </w:t>
      </w:r>
      <w:r>
        <w:rPr>
          <w:rFonts w:ascii="Arial" w:hAnsi="Arial"/>
          <w:i/>
          <w:color w:val="231F20"/>
          <w:sz w:val="12"/>
        </w:rPr>
        <w:t>Work</w:t>
      </w:r>
      <w:r>
        <w:rPr>
          <w:rFonts w:ascii="Arial" w:hAnsi="Arial"/>
          <w:i/>
          <w:color w:val="231F20"/>
          <w:spacing w:val="-8"/>
          <w:sz w:val="12"/>
        </w:rPr>
        <w:t> </w:t>
      </w:r>
      <w:r>
        <w:rPr>
          <w:rFonts w:ascii="Arial" w:hAnsi="Arial"/>
          <w:i/>
          <w:color w:val="231F20"/>
          <w:sz w:val="12"/>
        </w:rPr>
        <w:t>Values</w:t>
      </w:r>
      <w:r>
        <w:rPr>
          <w:rFonts w:ascii="Arial" w:hAnsi="Arial"/>
          <w:i/>
          <w:color w:val="231F20"/>
          <w:spacing w:val="40"/>
          <w:sz w:val="12"/>
        </w:rPr>
        <w:t> </w:t>
      </w:r>
      <w:r>
        <w:rPr>
          <w:rFonts w:ascii="Arial" w:hAnsi="Arial"/>
          <w:i/>
          <w:color w:val="231F20"/>
          <w:w w:val="95"/>
          <w:sz w:val="12"/>
        </w:rPr>
        <w:t>and</w:t>
      </w:r>
      <w:r>
        <w:rPr>
          <w:rFonts w:ascii="Arial" w:hAnsi="Arial"/>
          <w:i/>
          <w:color w:val="231F20"/>
          <w:spacing w:val="-7"/>
          <w:w w:val="95"/>
          <w:sz w:val="12"/>
        </w:rPr>
        <w:t> </w:t>
      </w:r>
      <w:r>
        <w:rPr>
          <w:rFonts w:ascii="Arial" w:hAnsi="Arial"/>
          <w:i/>
          <w:color w:val="231F20"/>
          <w:w w:val="95"/>
          <w:sz w:val="12"/>
        </w:rPr>
        <w:t>Behavior</w:t>
      </w:r>
      <w:r>
        <w:rPr>
          <w:rFonts w:ascii="Arial" w:hAnsi="Arial"/>
          <w:color w:val="231F20"/>
          <w:w w:val="95"/>
          <w:sz w:val="12"/>
        </w:rPr>
        <w:t>,</w:t>
      </w:r>
      <w:r>
        <w:rPr>
          <w:rFonts w:ascii="Arial" w:hAnsi="Arial"/>
          <w:color w:val="231F20"/>
          <w:spacing w:val="-3"/>
          <w:w w:val="95"/>
          <w:sz w:val="12"/>
        </w:rPr>
        <w:t> </w:t>
      </w:r>
      <w:r>
        <w:rPr>
          <w:rFonts w:ascii="Arial" w:hAnsi="Arial"/>
          <w:color w:val="231F20"/>
          <w:w w:val="95"/>
          <w:sz w:val="12"/>
        </w:rPr>
        <w:t>La Nouvelle-Orléans, 3-6 août</w:t>
      </w:r>
      <w:r>
        <w:rPr>
          <w:rFonts w:ascii="Arial" w:hAnsi="Arial"/>
          <w:color w:val="231F20"/>
          <w:spacing w:val="-7"/>
          <w:w w:val="95"/>
          <w:sz w:val="12"/>
        </w:rPr>
        <w:t> </w:t>
      </w:r>
      <w:r>
        <w:rPr>
          <w:rFonts w:ascii="Arial" w:hAnsi="Arial"/>
          <w:color w:val="231F20"/>
          <w:w w:val="95"/>
          <w:sz w:val="12"/>
        </w:rPr>
        <w:t>; Dolan, S. L., García, S. et Richley, B. (2006). </w:t>
      </w:r>
      <w:r>
        <w:rPr>
          <w:rFonts w:ascii="Arial" w:hAnsi="Arial"/>
          <w:i/>
          <w:color w:val="231F20"/>
          <w:w w:val="95"/>
          <w:sz w:val="12"/>
        </w:rPr>
        <w:t>Managing by Values</w:t>
      </w:r>
      <w:r>
        <w:rPr>
          <w:rFonts w:ascii="Arial" w:hAnsi="Arial"/>
          <w:color w:val="231F20"/>
          <w:w w:val="95"/>
          <w:sz w:val="12"/>
        </w:rPr>
        <w:t>,</w:t>
      </w:r>
      <w:r>
        <w:rPr>
          <w:rFonts w:ascii="Arial" w:hAnsi="Arial"/>
          <w:color w:val="231F20"/>
          <w:spacing w:val="40"/>
          <w:sz w:val="12"/>
        </w:rPr>
        <w:t> </w:t>
      </w:r>
      <w:r>
        <w:rPr>
          <w:rFonts w:ascii="Arial" w:hAnsi="Arial"/>
          <w:color w:val="231F20"/>
          <w:sz w:val="12"/>
        </w:rPr>
        <w:t>Londres, Palgrave Macmillan.</w:t>
      </w:r>
    </w:p>
    <w:p>
      <w:pPr>
        <w:pStyle w:val="ListParagraph"/>
        <w:numPr>
          <w:ilvl w:val="0"/>
          <w:numId w:val="65"/>
        </w:numPr>
        <w:tabs>
          <w:tab w:pos="1220" w:val="left" w:leader="none"/>
        </w:tabs>
        <w:spacing w:line="240" w:lineRule="auto" w:before="1" w:after="0"/>
        <w:ind w:left="1219" w:right="0" w:hanging="406"/>
        <w:jc w:val="both"/>
        <w:rPr>
          <w:rFonts w:ascii="Arial" w:hAnsi="Arial"/>
          <w:sz w:val="12"/>
        </w:rPr>
      </w:pPr>
      <w:r>
        <w:rPr>
          <w:rFonts w:ascii="Arial" w:hAnsi="Arial"/>
          <w:color w:val="231F20"/>
          <w:w w:val="95"/>
          <w:sz w:val="12"/>
        </w:rPr>
        <w:t>Pérez</w:t>
      </w:r>
      <w:r>
        <w:rPr>
          <w:rFonts w:ascii="Arial" w:hAnsi="Arial"/>
          <w:color w:val="231F20"/>
          <w:spacing w:val="3"/>
          <w:sz w:val="12"/>
        </w:rPr>
        <w:t> </w:t>
      </w:r>
      <w:r>
        <w:rPr>
          <w:rFonts w:ascii="Arial" w:hAnsi="Arial"/>
          <w:color w:val="231F20"/>
          <w:w w:val="95"/>
          <w:sz w:val="12"/>
        </w:rPr>
        <w:t>López,</w:t>
      </w:r>
      <w:r>
        <w:rPr>
          <w:rFonts w:ascii="Arial" w:hAnsi="Arial"/>
          <w:color w:val="231F20"/>
          <w:spacing w:val="3"/>
          <w:sz w:val="12"/>
        </w:rPr>
        <w:t> </w:t>
      </w:r>
      <w:r>
        <w:rPr>
          <w:rFonts w:ascii="Arial" w:hAnsi="Arial"/>
          <w:color w:val="231F20"/>
          <w:w w:val="95"/>
          <w:sz w:val="12"/>
        </w:rPr>
        <w:t>J.</w:t>
      </w:r>
      <w:r>
        <w:rPr>
          <w:rFonts w:ascii="Arial" w:hAnsi="Arial"/>
          <w:color w:val="231F20"/>
          <w:spacing w:val="3"/>
          <w:sz w:val="12"/>
        </w:rPr>
        <w:t> </w:t>
      </w:r>
      <w:r>
        <w:rPr>
          <w:rFonts w:ascii="Arial" w:hAnsi="Arial"/>
          <w:color w:val="231F20"/>
          <w:w w:val="95"/>
          <w:sz w:val="12"/>
        </w:rPr>
        <w:t>A.</w:t>
      </w:r>
      <w:r>
        <w:rPr>
          <w:rFonts w:ascii="Arial" w:hAnsi="Arial"/>
          <w:color w:val="231F20"/>
          <w:spacing w:val="3"/>
          <w:sz w:val="12"/>
        </w:rPr>
        <w:t> </w:t>
      </w:r>
      <w:r>
        <w:rPr>
          <w:rFonts w:ascii="Arial" w:hAnsi="Arial"/>
          <w:color w:val="231F20"/>
          <w:w w:val="95"/>
          <w:sz w:val="12"/>
        </w:rPr>
        <w:t>(1998).</w:t>
      </w:r>
      <w:r>
        <w:rPr>
          <w:rFonts w:ascii="Arial" w:hAnsi="Arial"/>
          <w:color w:val="231F20"/>
          <w:spacing w:val="4"/>
          <w:sz w:val="12"/>
        </w:rPr>
        <w:t> </w:t>
      </w:r>
      <w:r>
        <w:rPr>
          <w:rFonts w:ascii="Arial" w:hAnsi="Arial"/>
          <w:i/>
          <w:color w:val="231F20"/>
          <w:w w:val="95"/>
          <w:sz w:val="12"/>
        </w:rPr>
        <w:t>Liderazgo</w:t>
      </w:r>
      <w:r>
        <w:rPr>
          <w:rFonts w:ascii="Arial" w:hAnsi="Arial"/>
          <w:i/>
          <w:color w:val="231F20"/>
          <w:spacing w:val="3"/>
          <w:sz w:val="12"/>
        </w:rPr>
        <w:t> </w:t>
      </w:r>
      <w:r>
        <w:rPr>
          <w:rFonts w:ascii="Arial" w:hAnsi="Arial"/>
          <w:i/>
          <w:color w:val="231F20"/>
          <w:w w:val="95"/>
          <w:sz w:val="12"/>
        </w:rPr>
        <w:t>y</w:t>
      </w:r>
      <w:r>
        <w:rPr>
          <w:rFonts w:ascii="Arial" w:hAnsi="Arial"/>
          <w:i/>
          <w:color w:val="231F20"/>
          <w:spacing w:val="3"/>
          <w:sz w:val="12"/>
        </w:rPr>
        <w:t> </w:t>
      </w:r>
      <w:r>
        <w:rPr>
          <w:rFonts w:ascii="Arial" w:hAnsi="Arial"/>
          <w:i/>
          <w:color w:val="231F20"/>
          <w:w w:val="95"/>
          <w:sz w:val="12"/>
        </w:rPr>
        <w:t>ética</w:t>
      </w:r>
      <w:r>
        <w:rPr>
          <w:rFonts w:ascii="Arial" w:hAnsi="Arial"/>
          <w:i/>
          <w:color w:val="231F20"/>
          <w:spacing w:val="3"/>
          <w:sz w:val="12"/>
        </w:rPr>
        <w:t> </w:t>
      </w:r>
      <w:r>
        <w:rPr>
          <w:rFonts w:ascii="Arial" w:hAnsi="Arial"/>
          <w:i/>
          <w:color w:val="231F20"/>
          <w:w w:val="95"/>
          <w:sz w:val="12"/>
        </w:rPr>
        <w:t>en</w:t>
      </w:r>
      <w:r>
        <w:rPr>
          <w:rFonts w:ascii="Arial" w:hAnsi="Arial"/>
          <w:i/>
          <w:color w:val="231F20"/>
          <w:spacing w:val="3"/>
          <w:sz w:val="12"/>
        </w:rPr>
        <w:t> </w:t>
      </w:r>
      <w:r>
        <w:rPr>
          <w:rFonts w:ascii="Arial" w:hAnsi="Arial"/>
          <w:i/>
          <w:color w:val="231F20"/>
          <w:w w:val="95"/>
          <w:sz w:val="12"/>
        </w:rPr>
        <w:t>la</w:t>
      </w:r>
      <w:r>
        <w:rPr>
          <w:rFonts w:ascii="Arial" w:hAnsi="Arial"/>
          <w:i/>
          <w:color w:val="231F20"/>
          <w:spacing w:val="4"/>
          <w:sz w:val="12"/>
        </w:rPr>
        <w:t> </w:t>
      </w:r>
      <w:r>
        <w:rPr>
          <w:rFonts w:ascii="Arial" w:hAnsi="Arial"/>
          <w:i/>
          <w:color w:val="231F20"/>
          <w:w w:val="95"/>
          <w:sz w:val="12"/>
        </w:rPr>
        <w:t>dirección</w:t>
      </w:r>
      <w:r>
        <w:rPr>
          <w:rFonts w:ascii="Arial" w:hAnsi="Arial"/>
          <w:i/>
          <w:color w:val="231F20"/>
          <w:spacing w:val="3"/>
          <w:sz w:val="12"/>
        </w:rPr>
        <w:t> </w:t>
      </w:r>
      <w:r>
        <w:rPr>
          <w:rFonts w:ascii="Arial" w:hAnsi="Arial"/>
          <w:i/>
          <w:color w:val="231F20"/>
          <w:w w:val="95"/>
          <w:sz w:val="12"/>
        </w:rPr>
        <w:t>de</w:t>
      </w:r>
      <w:r>
        <w:rPr>
          <w:rFonts w:ascii="Arial" w:hAnsi="Arial"/>
          <w:i/>
          <w:color w:val="231F20"/>
          <w:spacing w:val="3"/>
          <w:sz w:val="12"/>
        </w:rPr>
        <w:t> </w:t>
      </w:r>
      <w:r>
        <w:rPr>
          <w:rFonts w:ascii="Arial" w:hAnsi="Arial"/>
          <w:i/>
          <w:color w:val="231F20"/>
          <w:w w:val="95"/>
          <w:sz w:val="12"/>
        </w:rPr>
        <w:t>empresas</w:t>
      </w:r>
      <w:r>
        <w:rPr>
          <w:rFonts w:ascii="Arial" w:hAnsi="Arial"/>
          <w:color w:val="231F20"/>
          <w:w w:val="95"/>
          <w:sz w:val="12"/>
        </w:rPr>
        <w:t>,</w:t>
      </w:r>
      <w:r>
        <w:rPr>
          <w:rFonts w:ascii="Arial" w:hAnsi="Arial"/>
          <w:color w:val="231F20"/>
          <w:spacing w:val="3"/>
          <w:sz w:val="12"/>
        </w:rPr>
        <w:t> </w:t>
      </w:r>
      <w:r>
        <w:rPr>
          <w:rFonts w:ascii="Arial" w:hAnsi="Arial"/>
          <w:color w:val="231F20"/>
          <w:w w:val="95"/>
          <w:sz w:val="12"/>
        </w:rPr>
        <w:t>Bilbao,</w:t>
      </w:r>
      <w:r>
        <w:rPr>
          <w:rFonts w:ascii="Arial" w:hAnsi="Arial"/>
          <w:color w:val="231F20"/>
          <w:spacing w:val="3"/>
          <w:sz w:val="12"/>
        </w:rPr>
        <w:t> </w:t>
      </w:r>
      <w:r>
        <w:rPr>
          <w:rFonts w:ascii="Arial" w:hAnsi="Arial"/>
          <w:color w:val="231F20"/>
          <w:spacing w:val="-2"/>
          <w:w w:val="95"/>
          <w:sz w:val="12"/>
        </w:rPr>
        <w:t>Deusto.</w:t>
      </w:r>
    </w:p>
    <w:p>
      <w:pPr>
        <w:spacing w:after="0" w:line="240" w:lineRule="auto"/>
        <w:jc w:val="both"/>
        <w:rPr>
          <w:rFonts w:ascii="Arial" w:hAnsi="Arial"/>
          <w:sz w:val="12"/>
        </w:rPr>
        <w:sectPr>
          <w:footerReference w:type="default" r:id="rId256"/>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Heading6"/>
        <w:numPr>
          <w:ilvl w:val="0"/>
          <w:numId w:val="68"/>
        </w:numPr>
        <w:tabs>
          <w:tab w:pos="1331" w:val="left" w:leader="none"/>
        </w:tabs>
        <w:spacing w:line="240" w:lineRule="auto" w:before="116" w:after="0"/>
        <w:ind w:left="1330" w:right="0" w:hanging="251"/>
        <w:jc w:val="both"/>
        <w:rPr>
          <w:rFonts w:ascii="Times New Roman" w:hAnsi="Times New Roman"/>
        </w:rPr>
      </w:pPr>
      <w:r>
        <w:rPr>
          <w:rFonts w:ascii="Times New Roman" w:hAnsi="Times New Roman"/>
          <w:color w:val="231F20"/>
          <w:w w:val="115"/>
        </w:rPr>
        <w:t>Axe</w:t>
      </w:r>
      <w:r>
        <w:rPr>
          <w:rFonts w:ascii="Times New Roman" w:hAnsi="Times New Roman"/>
          <w:color w:val="231F20"/>
          <w:spacing w:val="59"/>
          <w:w w:val="115"/>
        </w:rPr>
        <w:t> </w:t>
      </w:r>
      <w:r>
        <w:rPr>
          <w:rFonts w:ascii="Times New Roman" w:hAnsi="Times New Roman"/>
          <w:color w:val="231F20"/>
          <w:w w:val="115"/>
        </w:rPr>
        <w:t>de</w:t>
      </w:r>
      <w:r>
        <w:rPr>
          <w:rFonts w:ascii="Times New Roman" w:hAnsi="Times New Roman"/>
          <w:color w:val="231F20"/>
          <w:spacing w:val="59"/>
          <w:w w:val="115"/>
        </w:rPr>
        <w:t> </w:t>
      </w:r>
      <w:r>
        <w:rPr>
          <w:rFonts w:ascii="Times New Roman" w:hAnsi="Times New Roman"/>
          <w:color w:val="231F20"/>
          <w:w w:val="115"/>
        </w:rPr>
        <w:t>l’accomplissement</w:t>
      </w:r>
      <w:r>
        <w:rPr>
          <w:rFonts w:ascii="Times New Roman" w:hAnsi="Times New Roman"/>
          <w:color w:val="231F20"/>
          <w:spacing w:val="59"/>
          <w:w w:val="115"/>
        </w:rPr>
        <w:t> </w:t>
      </w:r>
      <w:r>
        <w:rPr>
          <w:rFonts w:ascii="Times New Roman" w:hAnsi="Times New Roman"/>
          <w:color w:val="231F20"/>
          <w:w w:val="115"/>
        </w:rPr>
        <w:t>émotionnel</w:t>
      </w:r>
      <w:r>
        <w:rPr>
          <w:rFonts w:ascii="Times New Roman" w:hAnsi="Times New Roman"/>
          <w:color w:val="231F20"/>
          <w:spacing w:val="57"/>
          <w:w w:val="115"/>
        </w:rPr>
        <w:t> </w:t>
      </w:r>
      <w:r>
        <w:rPr>
          <w:rFonts w:ascii="Times New Roman" w:hAnsi="Times New Roman"/>
          <w:color w:val="231F20"/>
          <w:w w:val="115"/>
        </w:rPr>
        <w:t>et</w:t>
      </w:r>
      <w:r>
        <w:rPr>
          <w:rFonts w:ascii="Times New Roman" w:hAnsi="Times New Roman"/>
          <w:color w:val="231F20"/>
          <w:spacing w:val="58"/>
          <w:w w:val="115"/>
        </w:rPr>
        <w:t> </w:t>
      </w:r>
      <w:r>
        <w:rPr>
          <w:rFonts w:ascii="Times New Roman" w:hAnsi="Times New Roman"/>
          <w:color w:val="231F20"/>
          <w:w w:val="115"/>
        </w:rPr>
        <w:t>créatif</w:t>
      </w:r>
      <w:r>
        <w:rPr>
          <w:rFonts w:ascii="Times New Roman" w:hAnsi="Times New Roman"/>
          <w:color w:val="231F20"/>
          <w:spacing w:val="57"/>
          <w:w w:val="115"/>
        </w:rPr>
        <w:t> </w:t>
      </w:r>
      <w:r>
        <w:rPr>
          <w:rFonts w:ascii="Times New Roman" w:hAnsi="Times New Roman"/>
          <w:color w:val="231F20"/>
          <w:w w:val="115"/>
        </w:rPr>
        <w:t>(axe</w:t>
      </w:r>
      <w:r>
        <w:rPr>
          <w:rFonts w:ascii="Times New Roman" w:hAnsi="Times New Roman"/>
          <w:color w:val="231F20"/>
          <w:spacing w:val="58"/>
          <w:w w:val="115"/>
        </w:rPr>
        <w:t> </w:t>
      </w:r>
      <w:r>
        <w:rPr>
          <w:rFonts w:ascii="Times New Roman" w:hAnsi="Times New Roman"/>
          <w:color w:val="231F20"/>
          <w:w w:val="115"/>
        </w:rPr>
        <w:t>de</w:t>
      </w:r>
      <w:r>
        <w:rPr>
          <w:rFonts w:ascii="Times New Roman" w:hAnsi="Times New Roman"/>
          <w:color w:val="231F20"/>
          <w:spacing w:val="57"/>
          <w:w w:val="115"/>
        </w:rPr>
        <w:t> </w:t>
      </w:r>
      <w:r>
        <w:rPr>
          <w:rFonts w:ascii="Times New Roman" w:hAnsi="Times New Roman"/>
          <w:color w:val="231F20"/>
          <w:spacing w:val="-5"/>
          <w:w w:val="115"/>
        </w:rPr>
        <w:t>la</w:t>
      </w:r>
    </w:p>
    <w:p>
      <w:pPr>
        <w:spacing w:before="55"/>
        <w:ind w:left="1330" w:right="0" w:firstLine="0"/>
        <w:jc w:val="both"/>
        <w:rPr>
          <w:b/>
          <w:sz w:val="17"/>
        </w:rPr>
      </w:pPr>
      <w:r>
        <w:rPr>
          <w:b/>
          <w:color w:val="231F20"/>
          <w:w w:val="115"/>
          <w:sz w:val="17"/>
        </w:rPr>
        <w:t>«</w:t>
      </w:r>
      <w:r>
        <w:rPr>
          <w:b/>
          <w:color w:val="231F20"/>
          <w:spacing w:val="-31"/>
          <w:w w:val="115"/>
          <w:sz w:val="17"/>
        </w:rPr>
        <w:t> </w:t>
      </w:r>
      <w:r>
        <w:rPr>
          <w:b/>
          <w:color w:val="231F20"/>
          <w:w w:val="115"/>
          <w:sz w:val="17"/>
        </w:rPr>
        <w:t>poïétique»</w:t>
      </w:r>
      <w:r>
        <w:rPr>
          <w:b/>
          <w:color w:val="231F20"/>
          <w:spacing w:val="-9"/>
          <w:w w:val="115"/>
          <w:sz w:val="17"/>
        </w:rPr>
        <w:t> </w:t>
      </w:r>
      <w:r>
        <w:rPr>
          <w:b/>
          <w:color w:val="231F20"/>
          <w:w w:val="115"/>
          <w:sz w:val="17"/>
        </w:rPr>
        <w:t>ou</w:t>
      </w:r>
      <w:r>
        <w:rPr>
          <w:b/>
          <w:color w:val="231F20"/>
          <w:spacing w:val="-9"/>
          <w:w w:val="115"/>
          <w:sz w:val="17"/>
        </w:rPr>
        <w:t> </w:t>
      </w:r>
      <w:r>
        <w:rPr>
          <w:b/>
          <w:color w:val="231F20"/>
          <w:w w:val="115"/>
          <w:sz w:val="17"/>
        </w:rPr>
        <w:t>axe</w:t>
      </w:r>
      <w:r>
        <w:rPr>
          <w:b/>
          <w:color w:val="231F20"/>
          <w:spacing w:val="-9"/>
          <w:w w:val="115"/>
          <w:sz w:val="17"/>
        </w:rPr>
        <w:t> </w:t>
      </w:r>
      <w:r>
        <w:rPr>
          <w:b/>
          <w:color w:val="231F20"/>
          <w:spacing w:val="-2"/>
          <w:w w:val="115"/>
          <w:sz w:val="17"/>
        </w:rPr>
        <w:t>génératif)</w:t>
      </w:r>
    </w:p>
    <w:p>
      <w:pPr>
        <w:pStyle w:val="BodyText"/>
        <w:spacing w:line="307" w:lineRule="auto" w:before="134"/>
        <w:ind w:left="1330" w:right="495"/>
        <w:jc w:val="both"/>
      </w:pPr>
      <w:r>
        <w:rPr>
          <w:i/>
          <w:color w:val="231F20"/>
          <w:spacing w:val="-2"/>
          <w:w w:val="115"/>
        </w:rPr>
        <w:t>Poiesis</w:t>
      </w:r>
      <w:r>
        <w:rPr>
          <w:i/>
          <w:color w:val="231F20"/>
          <w:spacing w:val="-11"/>
          <w:w w:val="115"/>
        </w:rPr>
        <w:t> </w:t>
      </w:r>
      <w:r>
        <w:rPr>
          <w:color w:val="231F20"/>
          <w:spacing w:val="-2"/>
          <w:w w:val="115"/>
        </w:rPr>
        <w:t>signifie</w:t>
      </w:r>
      <w:r>
        <w:rPr>
          <w:color w:val="231F20"/>
          <w:spacing w:val="-10"/>
          <w:w w:val="115"/>
        </w:rPr>
        <w:t> </w:t>
      </w:r>
      <w:r>
        <w:rPr>
          <w:color w:val="231F20"/>
          <w:spacing w:val="-2"/>
          <w:w w:val="115"/>
        </w:rPr>
        <w:t>«</w:t>
      </w:r>
      <w:r>
        <w:rPr>
          <w:color w:val="231F20"/>
          <w:spacing w:val="-10"/>
          <w:w w:val="115"/>
        </w:rPr>
        <w:t> </w:t>
      </w:r>
      <w:r>
        <w:rPr>
          <w:color w:val="231F20"/>
          <w:spacing w:val="-2"/>
          <w:w w:val="115"/>
        </w:rPr>
        <w:t>générer</w:t>
      </w:r>
      <w:r>
        <w:rPr>
          <w:color w:val="231F20"/>
          <w:spacing w:val="-10"/>
          <w:w w:val="115"/>
        </w:rPr>
        <w:t> </w:t>
      </w:r>
      <w:r>
        <w:rPr>
          <w:color w:val="231F20"/>
          <w:spacing w:val="-2"/>
          <w:w w:val="115"/>
        </w:rPr>
        <w:t>»</w:t>
      </w:r>
      <w:r>
        <w:rPr>
          <w:color w:val="231F20"/>
          <w:spacing w:val="-11"/>
          <w:w w:val="115"/>
        </w:rPr>
        <w:t> </w:t>
      </w:r>
      <w:r>
        <w:rPr>
          <w:color w:val="231F20"/>
          <w:spacing w:val="-2"/>
          <w:w w:val="115"/>
        </w:rPr>
        <w:t>ou</w:t>
      </w:r>
      <w:r>
        <w:rPr>
          <w:color w:val="231F20"/>
          <w:spacing w:val="-10"/>
          <w:w w:val="115"/>
        </w:rPr>
        <w:t> </w:t>
      </w:r>
      <w:r>
        <w:rPr>
          <w:color w:val="231F20"/>
          <w:spacing w:val="-2"/>
          <w:w w:val="115"/>
        </w:rPr>
        <w:t>«</w:t>
      </w:r>
      <w:r>
        <w:rPr>
          <w:color w:val="231F20"/>
          <w:spacing w:val="-10"/>
          <w:w w:val="115"/>
        </w:rPr>
        <w:t> </w:t>
      </w:r>
      <w:r>
        <w:rPr>
          <w:color w:val="231F20"/>
          <w:spacing w:val="-2"/>
          <w:w w:val="115"/>
        </w:rPr>
        <w:t>donner</w:t>
      </w:r>
      <w:r>
        <w:rPr>
          <w:color w:val="231F20"/>
          <w:spacing w:val="-10"/>
          <w:w w:val="115"/>
        </w:rPr>
        <w:t> </w:t>
      </w:r>
      <w:r>
        <w:rPr>
          <w:color w:val="231F20"/>
          <w:spacing w:val="-2"/>
          <w:w w:val="115"/>
        </w:rPr>
        <w:t>naissance</w:t>
      </w:r>
      <w:r>
        <w:rPr>
          <w:color w:val="231F20"/>
          <w:spacing w:val="-10"/>
          <w:w w:val="115"/>
        </w:rPr>
        <w:t> </w:t>
      </w:r>
      <w:r>
        <w:rPr>
          <w:color w:val="231F20"/>
          <w:spacing w:val="-2"/>
          <w:w w:val="115"/>
        </w:rPr>
        <w:t>»;</w:t>
      </w:r>
      <w:r>
        <w:rPr>
          <w:color w:val="231F20"/>
          <w:spacing w:val="-9"/>
          <w:w w:val="115"/>
        </w:rPr>
        <w:t> </w:t>
      </w:r>
      <w:r>
        <w:rPr>
          <w:color w:val="231F20"/>
          <w:spacing w:val="-2"/>
          <w:w w:val="115"/>
        </w:rPr>
        <w:t>en</w:t>
      </w:r>
      <w:r>
        <w:rPr>
          <w:color w:val="231F20"/>
          <w:spacing w:val="2"/>
          <w:w w:val="115"/>
        </w:rPr>
        <w:t> </w:t>
      </w:r>
      <w:r>
        <w:rPr>
          <w:color w:val="231F20"/>
          <w:spacing w:val="-2"/>
          <w:w w:val="115"/>
        </w:rPr>
        <w:t>dérive</w:t>
      </w:r>
      <w:r>
        <w:rPr>
          <w:color w:val="231F20"/>
          <w:spacing w:val="1"/>
          <w:w w:val="115"/>
        </w:rPr>
        <w:t> </w:t>
      </w:r>
      <w:r>
        <w:rPr>
          <w:color w:val="231F20"/>
          <w:spacing w:val="-2"/>
          <w:w w:val="115"/>
        </w:rPr>
        <w:t>le</w:t>
      </w:r>
      <w:r>
        <w:rPr>
          <w:color w:val="231F20"/>
          <w:spacing w:val="1"/>
          <w:w w:val="115"/>
        </w:rPr>
        <w:t> </w:t>
      </w:r>
      <w:r>
        <w:rPr>
          <w:color w:val="231F20"/>
          <w:spacing w:val="-2"/>
          <w:w w:val="115"/>
        </w:rPr>
        <w:t>mot </w:t>
      </w:r>
      <w:r>
        <w:rPr>
          <w:i/>
          <w:color w:val="231F20"/>
          <w:spacing w:val="-2"/>
          <w:w w:val="120"/>
        </w:rPr>
        <w:t>poésie</w:t>
      </w:r>
      <w:r>
        <w:rPr>
          <w:color w:val="231F20"/>
          <w:spacing w:val="-2"/>
          <w:w w:val="120"/>
        </w:rPr>
        <w:t>.</w:t>
      </w:r>
      <w:r>
        <w:rPr>
          <w:color w:val="231F20"/>
          <w:spacing w:val="-10"/>
          <w:w w:val="120"/>
        </w:rPr>
        <w:t> </w:t>
      </w:r>
      <w:r>
        <w:rPr>
          <w:color w:val="231F20"/>
          <w:spacing w:val="-2"/>
          <w:w w:val="120"/>
        </w:rPr>
        <w:t>Étroitement</w:t>
      </w:r>
      <w:r>
        <w:rPr>
          <w:color w:val="231F20"/>
          <w:spacing w:val="-10"/>
          <w:w w:val="120"/>
        </w:rPr>
        <w:t> </w:t>
      </w:r>
      <w:r>
        <w:rPr>
          <w:color w:val="231F20"/>
          <w:spacing w:val="-2"/>
          <w:w w:val="120"/>
        </w:rPr>
        <w:t>apparenté</w:t>
      </w:r>
      <w:r>
        <w:rPr>
          <w:color w:val="231F20"/>
          <w:spacing w:val="-10"/>
          <w:w w:val="120"/>
        </w:rPr>
        <w:t> </w:t>
      </w:r>
      <w:r>
        <w:rPr>
          <w:color w:val="231F20"/>
          <w:spacing w:val="-2"/>
          <w:w w:val="120"/>
        </w:rPr>
        <w:t>sur</w:t>
      </w:r>
      <w:r>
        <w:rPr>
          <w:color w:val="231F20"/>
          <w:spacing w:val="-10"/>
          <w:w w:val="120"/>
        </w:rPr>
        <w:t> </w:t>
      </w:r>
      <w:r>
        <w:rPr>
          <w:color w:val="231F20"/>
          <w:spacing w:val="-2"/>
          <w:w w:val="120"/>
        </w:rPr>
        <w:t>le</w:t>
      </w:r>
      <w:r>
        <w:rPr>
          <w:color w:val="231F20"/>
          <w:spacing w:val="-10"/>
          <w:w w:val="120"/>
        </w:rPr>
        <w:t> </w:t>
      </w:r>
      <w:r>
        <w:rPr>
          <w:color w:val="231F20"/>
          <w:spacing w:val="-2"/>
          <w:w w:val="120"/>
        </w:rPr>
        <w:t>plan</w:t>
      </w:r>
      <w:r>
        <w:rPr>
          <w:color w:val="231F20"/>
          <w:spacing w:val="-10"/>
          <w:w w:val="120"/>
        </w:rPr>
        <w:t> </w:t>
      </w:r>
      <w:r>
        <w:rPr>
          <w:color w:val="231F20"/>
          <w:spacing w:val="-2"/>
          <w:w w:val="120"/>
        </w:rPr>
        <w:t>théorique</w:t>
      </w:r>
      <w:r>
        <w:rPr>
          <w:color w:val="231F20"/>
          <w:spacing w:val="-10"/>
          <w:w w:val="120"/>
        </w:rPr>
        <w:t> </w:t>
      </w:r>
      <w:r>
        <w:rPr>
          <w:color w:val="231F20"/>
          <w:spacing w:val="-2"/>
          <w:w w:val="120"/>
        </w:rPr>
        <w:t>au</w:t>
      </w:r>
      <w:r>
        <w:rPr>
          <w:color w:val="231F20"/>
          <w:spacing w:val="-10"/>
          <w:w w:val="120"/>
        </w:rPr>
        <w:t> </w:t>
      </w:r>
      <w:r>
        <w:rPr>
          <w:color w:val="231F20"/>
          <w:spacing w:val="-2"/>
          <w:w w:val="120"/>
        </w:rPr>
        <w:t>premier</w:t>
      </w:r>
      <w:r>
        <w:rPr>
          <w:color w:val="231F20"/>
          <w:spacing w:val="-10"/>
          <w:w w:val="120"/>
        </w:rPr>
        <w:t> </w:t>
      </w:r>
      <w:r>
        <w:rPr>
          <w:color w:val="231F20"/>
          <w:spacing w:val="-2"/>
          <w:w w:val="120"/>
        </w:rPr>
        <w:t>axe </w:t>
      </w:r>
      <w:r>
        <w:rPr>
          <w:color w:val="231F20"/>
          <w:w w:val="120"/>
        </w:rPr>
        <w:t>bidirectionnel entre cause et effet, l’axe émotionnel-créatif, ou axe</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3"/>
          <w:w w:val="120"/>
        </w:rPr>
        <w:t> </w:t>
      </w:r>
      <w:r>
        <w:rPr>
          <w:color w:val="231F20"/>
          <w:w w:val="120"/>
        </w:rPr>
        <w:t>«</w:t>
      </w:r>
      <w:r>
        <w:rPr>
          <w:color w:val="231F20"/>
          <w:spacing w:val="-13"/>
          <w:w w:val="120"/>
        </w:rPr>
        <w:t> </w:t>
      </w:r>
      <w:r>
        <w:rPr>
          <w:color w:val="231F20"/>
          <w:w w:val="120"/>
        </w:rPr>
        <w:t>poïétique»,</w:t>
      </w:r>
      <w:r>
        <w:rPr>
          <w:color w:val="231F20"/>
          <w:spacing w:val="-3"/>
          <w:w w:val="120"/>
        </w:rPr>
        <w:t> </w:t>
      </w:r>
      <w:r>
        <w:rPr>
          <w:color w:val="231F20"/>
          <w:w w:val="120"/>
        </w:rPr>
        <w:t>possède</w:t>
      </w:r>
      <w:r>
        <w:rPr>
          <w:color w:val="231F20"/>
          <w:spacing w:val="-3"/>
          <w:w w:val="120"/>
        </w:rPr>
        <w:t> </w:t>
      </w:r>
      <w:r>
        <w:rPr>
          <w:color w:val="231F20"/>
          <w:w w:val="120"/>
        </w:rPr>
        <w:t>une</w:t>
      </w:r>
      <w:r>
        <w:rPr>
          <w:color w:val="231F20"/>
          <w:spacing w:val="-3"/>
          <w:w w:val="120"/>
        </w:rPr>
        <w:t> </w:t>
      </w:r>
      <w:r>
        <w:rPr>
          <w:color w:val="231F20"/>
          <w:w w:val="120"/>
        </w:rPr>
        <w:t>identité</w:t>
      </w:r>
      <w:r>
        <w:rPr>
          <w:color w:val="231F20"/>
          <w:spacing w:val="-3"/>
          <w:w w:val="120"/>
        </w:rPr>
        <w:t> </w:t>
      </w:r>
      <w:r>
        <w:rPr>
          <w:color w:val="231F20"/>
          <w:w w:val="120"/>
        </w:rPr>
        <w:t>qui</w:t>
      </w:r>
      <w:r>
        <w:rPr>
          <w:color w:val="231F20"/>
          <w:spacing w:val="-3"/>
          <w:w w:val="120"/>
        </w:rPr>
        <w:t> </w:t>
      </w:r>
      <w:r>
        <w:rPr>
          <w:color w:val="231F20"/>
          <w:w w:val="120"/>
        </w:rPr>
        <w:t>lui</w:t>
      </w:r>
      <w:r>
        <w:rPr>
          <w:color w:val="231F20"/>
          <w:spacing w:val="-3"/>
          <w:w w:val="120"/>
        </w:rPr>
        <w:t> </w:t>
      </w:r>
      <w:r>
        <w:rPr>
          <w:color w:val="231F20"/>
          <w:w w:val="120"/>
        </w:rPr>
        <w:t>est</w:t>
      </w:r>
      <w:r>
        <w:rPr>
          <w:color w:val="231F20"/>
          <w:spacing w:val="-3"/>
          <w:w w:val="120"/>
        </w:rPr>
        <w:t> </w:t>
      </w:r>
      <w:r>
        <w:rPr>
          <w:color w:val="231F20"/>
          <w:w w:val="120"/>
        </w:rPr>
        <w:t>propre,</w:t>
      </w:r>
      <w:r>
        <w:rPr>
          <w:color w:val="231F20"/>
          <w:spacing w:val="-3"/>
          <w:w w:val="120"/>
        </w:rPr>
        <w:t> </w:t>
      </w:r>
      <w:r>
        <w:rPr>
          <w:color w:val="231F20"/>
          <w:w w:val="120"/>
        </w:rPr>
        <w:t>au point</w:t>
      </w:r>
      <w:r>
        <w:rPr>
          <w:color w:val="231F20"/>
          <w:spacing w:val="-9"/>
          <w:w w:val="120"/>
        </w:rPr>
        <w:t> </w:t>
      </w:r>
      <w:r>
        <w:rPr>
          <w:color w:val="231F20"/>
          <w:w w:val="120"/>
        </w:rPr>
        <w:t>d’être</w:t>
      </w:r>
      <w:r>
        <w:rPr>
          <w:color w:val="231F20"/>
          <w:spacing w:val="-9"/>
          <w:w w:val="120"/>
        </w:rPr>
        <w:t> </w:t>
      </w:r>
      <w:r>
        <w:rPr>
          <w:color w:val="231F20"/>
          <w:w w:val="120"/>
        </w:rPr>
        <w:t>parfois</w:t>
      </w:r>
      <w:r>
        <w:rPr>
          <w:color w:val="231F20"/>
          <w:spacing w:val="-9"/>
          <w:w w:val="120"/>
        </w:rPr>
        <w:t> </w:t>
      </w:r>
      <w:r>
        <w:rPr>
          <w:color w:val="231F20"/>
          <w:w w:val="120"/>
        </w:rPr>
        <w:t>dissocié</w:t>
      </w:r>
      <w:r>
        <w:rPr>
          <w:color w:val="231F20"/>
          <w:spacing w:val="-9"/>
          <w:w w:val="120"/>
        </w:rPr>
        <w:t> </w:t>
      </w:r>
      <w:r>
        <w:rPr>
          <w:color w:val="231F20"/>
          <w:w w:val="120"/>
        </w:rPr>
        <w:t>de</w:t>
      </w:r>
      <w:r>
        <w:rPr>
          <w:color w:val="231F20"/>
          <w:spacing w:val="-9"/>
          <w:w w:val="120"/>
        </w:rPr>
        <w:t> </w:t>
      </w:r>
      <w:r>
        <w:rPr>
          <w:color w:val="231F20"/>
          <w:w w:val="120"/>
        </w:rPr>
        <w:t>l’axe</w:t>
      </w:r>
      <w:r>
        <w:rPr>
          <w:color w:val="231F20"/>
          <w:spacing w:val="-9"/>
          <w:w w:val="120"/>
        </w:rPr>
        <w:t> </w:t>
      </w:r>
      <w:r>
        <w:rPr>
          <w:color w:val="231F20"/>
          <w:w w:val="120"/>
        </w:rPr>
        <w:t>précédent</w:t>
      </w:r>
      <w:r>
        <w:rPr>
          <w:color w:val="231F20"/>
          <w:spacing w:val="-9"/>
          <w:w w:val="120"/>
        </w:rPr>
        <w:t> </w:t>
      </w:r>
      <w:r>
        <w:rPr>
          <w:color w:val="231F20"/>
          <w:w w:val="120"/>
        </w:rPr>
        <w:t>et,</w:t>
      </w:r>
      <w:r>
        <w:rPr>
          <w:color w:val="231F20"/>
          <w:spacing w:val="-9"/>
          <w:w w:val="120"/>
        </w:rPr>
        <w:t> </w:t>
      </w:r>
      <w:r>
        <w:rPr>
          <w:color w:val="231F20"/>
          <w:w w:val="120"/>
        </w:rPr>
        <w:t>dans</w:t>
      </w:r>
      <w:r>
        <w:rPr>
          <w:color w:val="231F20"/>
          <w:spacing w:val="-9"/>
          <w:w w:val="120"/>
        </w:rPr>
        <w:t> </w:t>
      </w:r>
      <w:r>
        <w:rPr>
          <w:color w:val="231F20"/>
          <w:w w:val="120"/>
        </w:rPr>
        <w:t>le</w:t>
      </w:r>
      <w:r>
        <w:rPr>
          <w:color w:val="231F20"/>
          <w:spacing w:val="-9"/>
          <w:w w:val="120"/>
        </w:rPr>
        <w:t> </w:t>
      </w:r>
      <w:r>
        <w:rPr>
          <w:color w:val="231F20"/>
          <w:w w:val="120"/>
        </w:rPr>
        <w:t>monde des affaires, de demeurer dans l’ombre de l’axe économique- </w:t>
      </w:r>
      <w:r>
        <w:rPr>
          <w:color w:val="231F20"/>
          <w:spacing w:val="-2"/>
          <w:w w:val="120"/>
        </w:rPr>
        <w:t>pratique.</w:t>
      </w:r>
      <w:r>
        <w:rPr>
          <w:color w:val="231F20"/>
          <w:spacing w:val="-11"/>
          <w:w w:val="120"/>
        </w:rPr>
        <w:t> </w:t>
      </w:r>
      <w:r>
        <w:rPr>
          <w:color w:val="231F20"/>
          <w:spacing w:val="-2"/>
          <w:w w:val="120"/>
        </w:rPr>
        <w:t>L’impératif</w:t>
      </w:r>
      <w:r>
        <w:rPr>
          <w:color w:val="231F20"/>
          <w:spacing w:val="-11"/>
          <w:w w:val="120"/>
        </w:rPr>
        <w:t> </w:t>
      </w:r>
      <w:r>
        <w:rPr>
          <w:color w:val="231F20"/>
          <w:spacing w:val="-2"/>
          <w:w w:val="120"/>
        </w:rPr>
        <w:t>pragmatique</w:t>
      </w:r>
      <w:r>
        <w:rPr>
          <w:color w:val="231F20"/>
          <w:spacing w:val="-11"/>
          <w:w w:val="120"/>
        </w:rPr>
        <w:t> </w:t>
      </w:r>
      <w:r>
        <w:rPr>
          <w:color w:val="231F20"/>
          <w:spacing w:val="-2"/>
          <w:w w:val="120"/>
        </w:rPr>
        <w:t>a</w:t>
      </w:r>
      <w:r>
        <w:rPr>
          <w:color w:val="231F20"/>
          <w:spacing w:val="-10"/>
          <w:w w:val="120"/>
        </w:rPr>
        <w:t> </w:t>
      </w:r>
      <w:r>
        <w:rPr>
          <w:color w:val="231F20"/>
          <w:spacing w:val="-2"/>
          <w:w w:val="120"/>
        </w:rPr>
        <w:t>tendance</w:t>
      </w:r>
      <w:r>
        <w:rPr>
          <w:color w:val="231F20"/>
          <w:spacing w:val="-10"/>
          <w:w w:val="120"/>
        </w:rPr>
        <w:t> </w:t>
      </w:r>
      <w:r>
        <w:rPr>
          <w:color w:val="231F20"/>
          <w:spacing w:val="-2"/>
          <w:w w:val="120"/>
        </w:rPr>
        <w:t>(à</w:t>
      </w:r>
      <w:r>
        <w:rPr>
          <w:color w:val="231F20"/>
          <w:spacing w:val="-11"/>
          <w:w w:val="120"/>
        </w:rPr>
        <w:t> </w:t>
      </w:r>
      <w:r>
        <w:rPr>
          <w:color w:val="231F20"/>
          <w:spacing w:val="-2"/>
          <w:w w:val="120"/>
        </w:rPr>
        <w:t>tort)</w:t>
      </w:r>
      <w:r>
        <w:rPr>
          <w:color w:val="231F20"/>
          <w:spacing w:val="-11"/>
          <w:w w:val="120"/>
        </w:rPr>
        <w:t> </w:t>
      </w:r>
      <w:r>
        <w:rPr>
          <w:color w:val="231F20"/>
          <w:spacing w:val="-2"/>
          <w:w w:val="120"/>
        </w:rPr>
        <w:t>à</w:t>
      </w:r>
      <w:r>
        <w:rPr>
          <w:color w:val="231F20"/>
          <w:spacing w:val="-9"/>
          <w:w w:val="120"/>
        </w:rPr>
        <w:t> </w:t>
      </w:r>
      <w:r>
        <w:rPr>
          <w:color w:val="231F20"/>
          <w:spacing w:val="-2"/>
          <w:w w:val="120"/>
        </w:rPr>
        <w:t>annihiler</w:t>
      </w:r>
      <w:r>
        <w:rPr>
          <w:color w:val="231F20"/>
          <w:spacing w:val="-10"/>
          <w:w w:val="120"/>
        </w:rPr>
        <w:t> </w:t>
      </w:r>
      <w:r>
        <w:rPr>
          <w:color w:val="231F20"/>
          <w:spacing w:val="-2"/>
          <w:w w:val="120"/>
        </w:rPr>
        <w:t>le </w:t>
      </w:r>
      <w:r>
        <w:rPr>
          <w:color w:val="231F20"/>
          <w:w w:val="120"/>
        </w:rPr>
        <w:t>souvent fragile impératif poétique. Les accomplissements émo- </w:t>
      </w:r>
      <w:r>
        <w:rPr>
          <w:color w:val="231F20"/>
          <w:spacing w:val="-2"/>
          <w:w w:val="120"/>
        </w:rPr>
        <w:t>tionnels</w:t>
      </w:r>
      <w:r>
        <w:rPr>
          <w:color w:val="231F20"/>
          <w:spacing w:val="-6"/>
          <w:w w:val="120"/>
        </w:rPr>
        <w:t> </w:t>
      </w:r>
      <w:r>
        <w:rPr>
          <w:color w:val="231F20"/>
          <w:spacing w:val="-2"/>
          <w:w w:val="120"/>
        </w:rPr>
        <w:t>et</w:t>
      </w:r>
      <w:r>
        <w:rPr>
          <w:color w:val="231F20"/>
          <w:spacing w:val="-6"/>
          <w:w w:val="120"/>
        </w:rPr>
        <w:t> </w:t>
      </w:r>
      <w:r>
        <w:rPr>
          <w:color w:val="231F20"/>
          <w:spacing w:val="-2"/>
          <w:w w:val="120"/>
        </w:rPr>
        <w:t>créatifs</w:t>
      </w:r>
      <w:r>
        <w:rPr>
          <w:color w:val="231F20"/>
          <w:spacing w:val="-6"/>
          <w:w w:val="120"/>
        </w:rPr>
        <w:t> </w:t>
      </w:r>
      <w:r>
        <w:rPr>
          <w:color w:val="231F20"/>
          <w:spacing w:val="-2"/>
          <w:w w:val="120"/>
        </w:rPr>
        <w:t>sont</w:t>
      </w:r>
      <w:r>
        <w:rPr>
          <w:color w:val="231F20"/>
          <w:spacing w:val="-6"/>
          <w:w w:val="120"/>
        </w:rPr>
        <w:t> </w:t>
      </w:r>
      <w:r>
        <w:rPr>
          <w:color w:val="231F20"/>
          <w:spacing w:val="-2"/>
          <w:w w:val="120"/>
        </w:rPr>
        <w:t>très</w:t>
      </w:r>
      <w:r>
        <w:rPr>
          <w:color w:val="231F20"/>
          <w:spacing w:val="-6"/>
          <w:w w:val="120"/>
        </w:rPr>
        <w:t> </w:t>
      </w:r>
      <w:r>
        <w:rPr>
          <w:color w:val="231F20"/>
          <w:spacing w:val="-2"/>
          <w:w w:val="120"/>
        </w:rPr>
        <w:t>semblables.</w:t>
      </w:r>
      <w:r>
        <w:rPr>
          <w:color w:val="231F20"/>
          <w:spacing w:val="-6"/>
          <w:w w:val="120"/>
        </w:rPr>
        <w:t> </w:t>
      </w:r>
      <w:r>
        <w:rPr>
          <w:color w:val="231F20"/>
          <w:spacing w:val="-2"/>
          <w:w w:val="120"/>
        </w:rPr>
        <w:t>La</w:t>
      </w:r>
      <w:r>
        <w:rPr>
          <w:color w:val="231F20"/>
          <w:spacing w:val="-6"/>
          <w:w w:val="120"/>
        </w:rPr>
        <w:t> </w:t>
      </w:r>
      <w:r>
        <w:rPr>
          <w:color w:val="231F20"/>
          <w:spacing w:val="-2"/>
          <w:w w:val="120"/>
        </w:rPr>
        <w:t>production</w:t>
      </w:r>
      <w:r>
        <w:rPr>
          <w:color w:val="231F20"/>
          <w:spacing w:val="-6"/>
          <w:w w:val="120"/>
        </w:rPr>
        <w:t> </w:t>
      </w:r>
      <w:r>
        <w:rPr>
          <w:color w:val="231F20"/>
          <w:spacing w:val="-2"/>
          <w:w w:val="120"/>
        </w:rPr>
        <w:t>d’une</w:t>
      </w:r>
      <w:r>
        <w:rPr>
          <w:color w:val="231F20"/>
          <w:spacing w:val="-6"/>
          <w:w w:val="120"/>
        </w:rPr>
        <w:t> </w:t>
      </w:r>
      <w:r>
        <w:rPr>
          <w:color w:val="231F20"/>
          <w:spacing w:val="-2"/>
          <w:w w:val="120"/>
        </w:rPr>
        <w:t>nou- </w:t>
      </w:r>
      <w:r>
        <w:rPr>
          <w:color w:val="231F20"/>
          <w:w w:val="115"/>
        </w:rPr>
        <w:t>velle</w:t>
      </w:r>
      <w:r>
        <w:rPr>
          <w:color w:val="231F20"/>
          <w:spacing w:val="-7"/>
          <w:w w:val="115"/>
        </w:rPr>
        <w:t> </w:t>
      </w:r>
      <w:r>
        <w:rPr>
          <w:color w:val="231F20"/>
          <w:w w:val="115"/>
        </w:rPr>
        <w:t>idée</w:t>
      </w:r>
      <w:r>
        <w:rPr>
          <w:color w:val="231F20"/>
          <w:spacing w:val="-7"/>
          <w:w w:val="115"/>
        </w:rPr>
        <w:t> </w:t>
      </w:r>
      <w:r>
        <w:rPr>
          <w:color w:val="231F20"/>
          <w:w w:val="115"/>
        </w:rPr>
        <w:t>est-elle</w:t>
      </w:r>
      <w:r>
        <w:rPr>
          <w:color w:val="231F20"/>
          <w:spacing w:val="-7"/>
          <w:w w:val="115"/>
        </w:rPr>
        <w:t> </w:t>
      </w:r>
      <w:r>
        <w:rPr>
          <w:color w:val="231F20"/>
          <w:w w:val="115"/>
        </w:rPr>
        <w:t>une</w:t>
      </w:r>
      <w:r>
        <w:rPr>
          <w:color w:val="231F20"/>
          <w:spacing w:val="-7"/>
          <w:w w:val="115"/>
        </w:rPr>
        <w:t> </w:t>
      </w:r>
      <w:r>
        <w:rPr>
          <w:color w:val="231F20"/>
          <w:w w:val="115"/>
        </w:rPr>
        <w:t>source</w:t>
      </w:r>
      <w:r>
        <w:rPr>
          <w:color w:val="231F20"/>
          <w:spacing w:val="-7"/>
          <w:w w:val="115"/>
        </w:rPr>
        <w:t> </w:t>
      </w:r>
      <w:r>
        <w:rPr>
          <w:color w:val="231F20"/>
          <w:w w:val="115"/>
        </w:rPr>
        <w:t>d’abattement</w:t>
      </w:r>
      <w:r>
        <w:rPr>
          <w:color w:val="231F20"/>
          <w:spacing w:val="-7"/>
          <w:w w:val="115"/>
        </w:rPr>
        <w:t> </w:t>
      </w:r>
      <w:r>
        <w:rPr>
          <w:color w:val="231F20"/>
          <w:w w:val="115"/>
        </w:rPr>
        <w:t>ou</w:t>
      </w:r>
      <w:r>
        <w:rPr>
          <w:color w:val="231F20"/>
          <w:spacing w:val="-7"/>
          <w:w w:val="115"/>
        </w:rPr>
        <w:t> </w:t>
      </w:r>
      <w:r>
        <w:rPr>
          <w:color w:val="231F20"/>
          <w:w w:val="115"/>
        </w:rPr>
        <w:t>d’enthousiasme?</w:t>
      </w:r>
      <w:r>
        <w:rPr>
          <w:color w:val="231F20"/>
          <w:spacing w:val="-7"/>
          <w:w w:val="115"/>
        </w:rPr>
        <w:t> </w:t>
      </w:r>
      <w:r>
        <w:rPr>
          <w:color w:val="231F20"/>
          <w:w w:val="115"/>
        </w:rPr>
        <w:t>Les </w:t>
      </w:r>
      <w:r>
        <w:rPr>
          <w:color w:val="231F20"/>
          <w:w w:val="120"/>
        </w:rPr>
        <w:t>valeurs associées à l’accomplissement émotionnel sont l’ouver- ture,</w:t>
      </w:r>
      <w:r>
        <w:rPr>
          <w:color w:val="231F20"/>
          <w:spacing w:val="-9"/>
          <w:w w:val="120"/>
        </w:rPr>
        <w:t> </w:t>
      </w:r>
      <w:r>
        <w:rPr>
          <w:color w:val="231F20"/>
          <w:w w:val="120"/>
        </w:rPr>
        <w:t>le</w:t>
      </w:r>
      <w:r>
        <w:rPr>
          <w:color w:val="231F20"/>
          <w:spacing w:val="-9"/>
          <w:w w:val="120"/>
        </w:rPr>
        <w:t> </w:t>
      </w:r>
      <w:r>
        <w:rPr>
          <w:color w:val="231F20"/>
          <w:w w:val="120"/>
        </w:rPr>
        <w:t>bonheur,</w:t>
      </w:r>
      <w:r>
        <w:rPr>
          <w:color w:val="231F20"/>
          <w:spacing w:val="-9"/>
          <w:w w:val="120"/>
        </w:rPr>
        <w:t> </w:t>
      </w:r>
      <w:r>
        <w:rPr>
          <w:color w:val="231F20"/>
          <w:w w:val="120"/>
        </w:rPr>
        <w:t>l’imagination,</w:t>
      </w:r>
      <w:r>
        <w:rPr>
          <w:color w:val="231F20"/>
          <w:spacing w:val="-9"/>
          <w:w w:val="120"/>
        </w:rPr>
        <w:t> </w:t>
      </w:r>
      <w:r>
        <w:rPr>
          <w:color w:val="231F20"/>
          <w:w w:val="120"/>
        </w:rPr>
        <w:t>le</w:t>
      </w:r>
      <w:r>
        <w:rPr>
          <w:color w:val="231F20"/>
          <w:spacing w:val="-9"/>
          <w:w w:val="120"/>
        </w:rPr>
        <w:t> </w:t>
      </w:r>
      <w:r>
        <w:rPr>
          <w:color w:val="231F20"/>
          <w:w w:val="120"/>
        </w:rPr>
        <w:t>cran,</w:t>
      </w:r>
      <w:r>
        <w:rPr>
          <w:color w:val="231F20"/>
          <w:spacing w:val="-9"/>
          <w:w w:val="120"/>
        </w:rPr>
        <w:t> </w:t>
      </w:r>
      <w:r>
        <w:rPr>
          <w:color w:val="231F20"/>
          <w:w w:val="120"/>
        </w:rPr>
        <w:t>l’harmonie,</w:t>
      </w:r>
      <w:r>
        <w:rPr>
          <w:color w:val="231F20"/>
          <w:spacing w:val="-9"/>
          <w:w w:val="120"/>
        </w:rPr>
        <w:t> </w:t>
      </w:r>
      <w:r>
        <w:rPr>
          <w:color w:val="231F20"/>
          <w:w w:val="120"/>
        </w:rPr>
        <w:t>l’esthétisme, </w:t>
      </w:r>
      <w:r>
        <w:rPr>
          <w:color w:val="231F20"/>
          <w:w w:val="115"/>
        </w:rPr>
        <w:t>l’amitié</w:t>
      </w:r>
      <w:r>
        <w:rPr>
          <w:color w:val="231F20"/>
          <w:spacing w:val="-12"/>
          <w:w w:val="115"/>
        </w:rPr>
        <w:t> </w:t>
      </w:r>
      <w:r>
        <w:rPr>
          <w:color w:val="231F20"/>
          <w:w w:val="115"/>
        </w:rPr>
        <w:t>(la</w:t>
      </w:r>
      <w:r>
        <w:rPr>
          <w:color w:val="231F20"/>
          <w:spacing w:val="-12"/>
          <w:w w:val="115"/>
        </w:rPr>
        <w:t> </w:t>
      </w:r>
      <w:r>
        <w:rPr>
          <w:i/>
          <w:color w:val="231F20"/>
          <w:w w:val="115"/>
        </w:rPr>
        <w:t>filia</w:t>
      </w:r>
      <w:r>
        <w:rPr>
          <w:i/>
          <w:color w:val="231F20"/>
          <w:spacing w:val="-12"/>
          <w:w w:val="115"/>
        </w:rPr>
        <w:t> </w:t>
      </w:r>
      <w:r>
        <w:rPr>
          <w:color w:val="231F20"/>
          <w:w w:val="115"/>
        </w:rPr>
        <w:t>ou</w:t>
      </w:r>
      <w:r>
        <w:rPr>
          <w:color w:val="231F20"/>
          <w:spacing w:val="-12"/>
          <w:w w:val="115"/>
        </w:rPr>
        <w:t> </w:t>
      </w:r>
      <w:r>
        <w:rPr>
          <w:color w:val="231F20"/>
          <w:w w:val="115"/>
        </w:rPr>
        <w:t>confiance</w:t>
      </w:r>
      <w:r>
        <w:rPr>
          <w:color w:val="231F20"/>
          <w:spacing w:val="-12"/>
          <w:w w:val="115"/>
        </w:rPr>
        <w:t> </w:t>
      </w:r>
      <w:r>
        <w:rPr>
          <w:color w:val="231F20"/>
          <w:w w:val="115"/>
        </w:rPr>
        <w:t>mutuelle</w:t>
      </w:r>
      <w:r>
        <w:rPr>
          <w:color w:val="231F20"/>
          <w:spacing w:val="-12"/>
          <w:w w:val="115"/>
        </w:rPr>
        <w:t> </w:t>
      </w:r>
      <w:r>
        <w:rPr>
          <w:color w:val="231F20"/>
          <w:w w:val="115"/>
        </w:rPr>
        <w:t>profonde)</w:t>
      </w:r>
      <w:r>
        <w:rPr>
          <w:color w:val="231F20"/>
          <w:spacing w:val="-12"/>
          <w:w w:val="115"/>
        </w:rPr>
        <w:t> </w:t>
      </w:r>
      <w:r>
        <w:rPr>
          <w:color w:val="231F20"/>
          <w:w w:val="115"/>
        </w:rPr>
        <w:t>ou</w:t>
      </w:r>
      <w:r>
        <w:rPr>
          <w:color w:val="231F20"/>
          <w:spacing w:val="-12"/>
          <w:w w:val="115"/>
        </w:rPr>
        <w:t> </w:t>
      </w:r>
      <w:r>
        <w:rPr>
          <w:color w:val="231F20"/>
          <w:w w:val="115"/>
        </w:rPr>
        <w:t>l’enthousiasme </w:t>
      </w:r>
      <w:r>
        <w:rPr>
          <w:color w:val="231F20"/>
          <w:w w:val="120"/>
        </w:rPr>
        <w:t>à l’égard des nouveaux projets.</w:t>
      </w:r>
    </w:p>
    <w:p>
      <w:pPr>
        <w:pStyle w:val="BodyText"/>
        <w:spacing w:line="307" w:lineRule="auto" w:before="78"/>
        <w:ind w:left="1330" w:right="494"/>
        <w:jc w:val="both"/>
      </w:pPr>
      <w:r>
        <w:rPr>
          <w:color w:val="231F20"/>
          <w:spacing w:val="-2"/>
          <w:w w:val="120"/>
        </w:rPr>
        <w:t>L’estime</w:t>
      </w:r>
      <w:r>
        <w:rPr>
          <w:color w:val="231F20"/>
          <w:spacing w:val="-6"/>
          <w:w w:val="120"/>
        </w:rPr>
        <w:t> </w:t>
      </w:r>
      <w:r>
        <w:rPr>
          <w:color w:val="231F20"/>
          <w:spacing w:val="-2"/>
          <w:w w:val="120"/>
        </w:rPr>
        <w:t>de</w:t>
      </w:r>
      <w:r>
        <w:rPr>
          <w:color w:val="231F20"/>
          <w:spacing w:val="-6"/>
          <w:w w:val="120"/>
        </w:rPr>
        <w:t> </w:t>
      </w:r>
      <w:r>
        <w:rPr>
          <w:color w:val="231F20"/>
          <w:spacing w:val="-2"/>
          <w:w w:val="120"/>
        </w:rPr>
        <w:t>soi</w:t>
      </w:r>
      <w:r>
        <w:rPr>
          <w:color w:val="231F20"/>
          <w:spacing w:val="-6"/>
          <w:w w:val="120"/>
        </w:rPr>
        <w:t> </w:t>
      </w:r>
      <w:r>
        <w:rPr>
          <w:color w:val="231F20"/>
          <w:spacing w:val="-2"/>
          <w:w w:val="120"/>
        </w:rPr>
        <w:t>émotionnelle</w:t>
      </w:r>
      <w:r>
        <w:rPr>
          <w:color w:val="231F20"/>
          <w:spacing w:val="-6"/>
          <w:w w:val="120"/>
        </w:rPr>
        <w:t> </w:t>
      </w:r>
      <w:r>
        <w:rPr>
          <w:color w:val="231F20"/>
          <w:spacing w:val="-2"/>
          <w:w w:val="120"/>
        </w:rPr>
        <w:t>découle</w:t>
      </w:r>
      <w:r>
        <w:rPr>
          <w:color w:val="231F20"/>
          <w:spacing w:val="-6"/>
          <w:w w:val="120"/>
        </w:rPr>
        <w:t> </w:t>
      </w:r>
      <w:r>
        <w:rPr>
          <w:color w:val="231F20"/>
          <w:spacing w:val="-2"/>
          <w:w w:val="120"/>
        </w:rPr>
        <w:t>de</w:t>
      </w:r>
      <w:r>
        <w:rPr>
          <w:color w:val="231F20"/>
          <w:spacing w:val="-6"/>
          <w:w w:val="120"/>
        </w:rPr>
        <w:t> </w:t>
      </w:r>
      <w:r>
        <w:rPr>
          <w:color w:val="231F20"/>
          <w:spacing w:val="-2"/>
          <w:w w:val="120"/>
        </w:rPr>
        <w:t>l’aptitude</w:t>
      </w:r>
      <w:r>
        <w:rPr>
          <w:color w:val="231F20"/>
          <w:spacing w:val="-6"/>
          <w:w w:val="120"/>
        </w:rPr>
        <w:t> </w:t>
      </w:r>
      <w:r>
        <w:rPr>
          <w:color w:val="231F20"/>
          <w:spacing w:val="-2"/>
          <w:w w:val="120"/>
        </w:rPr>
        <w:t>que</w:t>
      </w:r>
      <w:r>
        <w:rPr>
          <w:color w:val="231F20"/>
          <w:spacing w:val="-6"/>
          <w:w w:val="120"/>
        </w:rPr>
        <w:t> </w:t>
      </w:r>
      <w:r>
        <w:rPr>
          <w:color w:val="231F20"/>
          <w:spacing w:val="-2"/>
          <w:w w:val="120"/>
        </w:rPr>
        <w:t>croit</w:t>
      </w:r>
      <w:r>
        <w:rPr>
          <w:color w:val="231F20"/>
          <w:spacing w:val="-6"/>
          <w:w w:val="120"/>
        </w:rPr>
        <w:t> </w:t>
      </w:r>
      <w:r>
        <w:rPr>
          <w:color w:val="231F20"/>
          <w:spacing w:val="-2"/>
          <w:w w:val="120"/>
        </w:rPr>
        <w:t>avoir </w:t>
      </w:r>
      <w:r>
        <w:rPr>
          <w:color w:val="231F20"/>
          <w:w w:val="120"/>
        </w:rPr>
        <w:t>l’individu</w:t>
      </w:r>
      <w:r>
        <w:rPr>
          <w:color w:val="231F20"/>
          <w:spacing w:val="-6"/>
          <w:w w:val="120"/>
        </w:rPr>
        <w:t> </w:t>
      </w:r>
      <w:r>
        <w:rPr>
          <w:color w:val="231F20"/>
          <w:w w:val="120"/>
        </w:rPr>
        <w:t>de</w:t>
      </w:r>
      <w:r>
        <w:rPr>
          <w:color w:val="231F20"/>
          <w:spacing w:val="-6"/>
          <w:w w:val="120"/>
        </w:rPr>
        <w:t> </w:t>
      </w:r>
      <w:r>
        <w:rPr>
          <w:color w:val="231F20"/>
          <w:w w:val="120"/>
        </w:rPr>
        <w:t>surmonter</w:t>
      </w:r>
      <w:r>
        <w:rPr>
          <w:color w:val="231F20"/>
          <w:spacing w:val="-6"/>
          <w:w w:val="120"/>
        </w:rPr>
        <w:t> </w:t>
      </w:r>
      <w:r>
        <w:rPr>
          <w:color w:val="231F20"/>
          <w:w w:val="120"/>
        </w:rPr>
        <w:t>l’adversité,</w:t>
      </w:r>
      <w:r>
        <w:rPr>
          <w:color w:val="231F20"/>
          <w:spacing w:val="-6"/>
          <w:w w:val="120"/>
        </w:rPr>
        <w:t> </w:t>
      </w:r>
      <w:r>
        <w:rPr>
          <w:color w:val="231F20"/>
          <w:w w:val="120"/>
        </w:rPr>
        <w:t>de</w:t>
      </w:r>
      <w:r>
        <w:rPr>
          <w:color w:val="231F20"/>
          <w:spacing w:val="-6"/>
          <w:w w:val="120"/>
        </w:rPr>
        <w:t> </w:t>
      </w:r>
      <w:r>
        <w:rPr>
          <w:color w:val="231F20"/>
          <w:w w:val="120"/>
        </w:rPr>
        <w:t>générer</w:t>
      </w:r>
      <w:r>
        <w:rPr>
          <w:color w:val="231F20"/>
          <w:spacing w:val="-6"/>
          <w:w w:val="120"/>
        </w:rPr>
        <w:t> </w:t>
      </w:r>
      <w:r>
        <w:rPr>
          <w:color w:val="231F20"/>
          <w:w w:val="120"/>
        </w:rPr>
        <w:t>des</w:t>
      </w:r>
      <w:r>
        <w:rPr>
          <w:color w:val="231F20"/>
          <w:spacing w:val="-6"/>
          <w:w w:val="120"/>
        </w:rPr>
        <w:t> </w:t>
      </w:r>
      <w:r>
        <w:rPr>
          <w:color w:val="231F20"/>
          <w:w w:val="120"/>
        </w:rPr>
        <w:t>pensées</w:t>
      </w:r>
      <w:r>
        <w:rPr>
          <w:color w:val="231F20"/>
          <w:spacing w:val="-6"/>
          <w:w w:val="120"/>
        </w:rPr>
        <w:t> </w:t>
      </w:r>
      <w:r>
        <w:rPr>
          <w:color w:val="231F20"/>
          <w:w w:val="120"/>
        </w:rPr>
        <w:t>posi- tives,</w:t>
      </w:r>
      <w:r>
        <w:rPr>
          <w:color w:val="231F20"/>
          <w:spacing w:val="-4"/>
          <w:w w:val="120"/>
        </w:rPr>
        <w:t> </w:t>
      </w:r>
      <w:r>
        <w:rPr>
          <w:color w:val="231F20"/>
          <w:w w:val="120"/>
        </w:rPr>
        <w:t>de</w:t>
      </w:r>
      <w:r>
        <w:rPr>
          <w:color w:val="231F20"/>
          <w:spacing w:val="-4"/>
          <w:w w:val="120"/>
        </w:rPr>
        <w:t> </w:t>
      </w:r>
      <w:r>
        <w:rPr>
          <w:color w:val="231F20"/>
          <w:w w:val="120"/>
        </w:rPr>
        <w:t>faire</w:t>
      </w:r>
      <w:r>
        <w:rPr>
          <w:color w:val="231F20"/>
          <w:spacing w:val="-4"/>
          <w:w w:val="120"/>
        </w:rPr>
        <w:t> </w:t>
      </w:r>
      <w:r>
        <w:rPr>
          <w:color w:val="231F20"/>
          <w:w w:val="120"/>
        </w:rPr>
        <w:t>preuve</w:t>
      </w:r>
      <w:r>
        <w:rPr>
          <w:color w:val="231F20"/>
          <w:spacing w:val="-4"/>
          <w:w w:val="120"/>
        </w:rPr>
        <w:t> </w:t>
      </w:r>
      <w:r>
        <w:rPr>
          <w:color w:val="231F20"/>
          <w:w w:val="120"/>
        </w:rPr>
        <w:t>d’imagination,</w:t>
      </w:r>
      <w:r>
        <w:rPr>
          <w:color w:val="231F20"/>
          <w:spacing w:val="-4"/>
          <w:w w:val="120"/>
        </w:rPr>
        <w:t> </w:t>
      </w:r>
      <w:r>
        <w:rPr>
          <w:color w:val="231F20"/>
          <w:w w:val="120"/>
        </w:rPr>
        <w:t>de</w:t>
      </w:r>
      <w:r>
        <w:rPr>
          <w:color w:val="231F20"/>
          <w:spacing w:val="-4"/>
          <w:w w:val="120"/>
        </w:rPr>
        <w:t> </w:t>
      </w:r>
      <w:r>
        <w:rPr>
          <w:color w:val="231F20"/>
          <w:w w:val="120"/>
        </w:rPr>
        <w:t>susciter</w:t>
      </w:r>
      <w:r>
        <w:rPr>
          <w:color w:val="231F20"/>
          <w:spacing w:val="-4"/>
          <w:w w:val="120"/>
        </w:rPr>
        <w:t> </w:t>
      </w:r>
      <w:r>
        <w:rPr>
          <w:color w:val="231F20"/>
          <w:w w:val="120"/>
        </w:rPr>
        <w:t>l’harmonie</w:t>
      </w:r>
      <w:r>
        <w:rPr>
          <w:color w:val="231F20"/>
          <w:spacing w:val="-4"/>
          <w:w w:val="120"/>
        </w:rPr>
        <w:t> </w:t>
      </w:r>
      <w:r>
        <w:rPr>
          <w:color w:val="231F20"/>
          <w:w w:val="120"/>
        </w:rPr>
        <w:t>phy- sique</w:t>
      </w:r>
      <w:r>
        <w:rPr>
          <w:color w:val="231F20"/>
          <w:spacing w:val="-11"/>
          <w:w w:val="120"/>
        </w:rPr>
        <w:t> </w:t>
      </w:r>
      <w:r>
        <w:rPr>
          <w:color w:val="231F20"/>
          <w:w w:val="120"/>
        </w:rPr>
        <w:t>et</w:t>
      </w:r>
      <w:r>
        <w:rPr>
          <w:color w:val="231F20"/>
          <w:spacing w:val="-11"/>
          <w:w w:val="120"/>
        </w:rPr>
        <w:t> </w:t>
      </w:r>
      <w:r>
        <w:rPr>
          <w:color w:val="231F20"/>
          <w:w w:val="120"/>
        </w:rPr>
        <w:t>affective</w:t>
      </w:r>
      <w:r>
        <w:rPr>
          <w:color w:val="231F20"/>
          <w:spacing w:val="-11"/>
          <w:w w:val="120"/>
        </w:rPr>
        <w:t> </w:t>
      </w:r>
      <w:r>
        <w:rPr>
          <w:color w:val="231F20"/>
          <w:w w:val="120"/>
        </w:rPr>
        <w:t>autour</w:t>
      </w:r>
      <w:r>
        <w:rPr>
          <w:color w:val="231F20"/>
          <w:spacing w:val="-11"/>
          <w:w w:val="120"/>
        </w:rPr>
        <w:t>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et,</w:t>
      </w:r>
      <w:r>
        <w:rPr>
          <w:color w:val="231F20"/>
          <w:spacing w:val="-11"/>
          <w:w w:val="120"/>
        </w:rPr>
        <w:t> </w:t>
      </w:r>
      <w:r>
        <w:rPr>
          <w:color w:val="231F20"/>
          <w:w w:val="120"/>
        </w:rPr>
        <w:t>en</w:t>
      </w:r>
      <w:r>
        <w:rPr>
          <w:color w:val="231F20"/>
          <w:spacing w:val="-11"/>
          <w:w w:val="120"/>
        </w:rPr>
        <w:t> </w:t>
      </w:r>
      <w:r>
        <w:rPr>
          <w:color w:val="231F20"/>
          <w:w w:val="120"/>
        </w:rPr>
        <w:t>général,</w:t>
      </w:r>
      <w:r>
        <w:rPr>
          <w:color w:val="231F20"/>
          <w:spacing w:val="-11"/>
          <w:w w:val="120"/>
        </w:rPr>
        <w:t> </w:t>
      </w:r>
      <w:r>
        <w:rPr>
          <w:color w:val="231F20"/>
          <w:w w:val="120"/>
        </w:rPr>
        <w:t>de</w:t>
      </w:r>
      <w:r>
        <w:rPr>
          <w:color w:val="231F20"/>
          <w:spacing w:val="-11"/>
          <w:w w:val="120"/>
        </w:rPr>
        <w:t> </w:t>
      </w:r>
      <w:r>
        <w:rPr>
          <w:color w:val="231F20"/>
          <w:w w:val="120"/>
        </w:rPr>
        <w:t>vivre</w:t>
      </w:r>
      <w:r>
        <w:rPr>
          <w:color w:val="231F20"/>
          <w:spacing w:val="-11"/>
          <w:w w:val="120"/>
        </w:rPr>
        <w:t> </w:t>
      </w:r>
      <w:r>
        <w:rPr>
          <w:color w:val="231F20"/>
          <w:w w:val="120"/>
        </w:rPr>
        <w:t>sa</w:t>
      </w:r>
      <w:r>
        <w:rPr>
          <w:color w:val="231F20"/>
          <w:spacing w:val="-11"/>
          <w:w w:val="120"/>
        </w:rPr>
        <w:t> </w:t>
      </w:r>
      <w:r>
        <w:rPr>
          <w:color w:val="231F20"/>
          <w:w w:val="120"/>
        </w:rPr>
        <w:t>vie</w:t>
      </w:r>
      <w:r>
        <w:rPr>
          <w:color w:val="231F20"/>
          <w:spacing w:val="-11"/>
          <w:w w:val="120"/>
        </w:rPr>
        <w:t> </w:t>
      </w:r>
      <w:r>
        <w:rPr>
          <w:color w:val="231F20"/>
          <w:w w:val="120"/>
        </w:rPr>
        <w:t>avec engagement,</w:t>
      </w:r>
      <w:r>
        <w:rPr>
          <w:color w:val="231F20"/>
          <w:spacing w:val="-15"/>
          <w:w w:val="120"/>
        </w:rPr>
        <w:t> </w:t>
      </w:r>
      <w:r>
        <w:rPr>
          <w:color w:val="231F20"/>
          <w:w w:val="120"/>
        </w:rPr>
        <w:t>voire</w:t>
      </w:r>
      <w:r>
        <w:rPr>
          <w:color w:val="231F20"/>
          <w:spacing w:val="-13"/>
          <w:w w:val="120"/>
        </w:rPr>
        <w:t> </w:t>
      </w:r>
      <w:r>
        <w:rPr>
          <w:color w:val="231F20"/>
          <w:w w:val="120"/>
        </w:rPr>
        <w:t>avec</w:t>
      </w:r>
      <w:r>
        <w:rPr>
          <w:color w:val="231F20"/>
          <w:spacing w:val="-13"/>
          <w:w w:val="120"/>
        </w:rPr>
        <w:t> </w:t>
      </w:r>
      <w:r>
        <w:rPr>
          <w:color w:val="231F20"/>
          <w:w w:val="120"/>
        </w:rPr>
        <w:t>enthousiasme</w:t>
      </w:r>
      <w:r>
        <w:rPr>
          <w:color w:val="231F20"/>
          <w:spacing w:val="-12"/>
          <w:w w:val="120"/>
        </w:rPr>
        <w:t> </w:t>
      </w:r>
      <w:r>
        <w:rPr>
          <w:color w:val="231F20"/>
          <w:w w:val="120"/>
        </w:rPr>
        <w:t>et</w:t>
      </w:r>
      <w:r>
        <w:rPr>
          <w:color w:val="231F20"/>
          <w:spacing w:val="-13"/>
          <w:w w:val="120"/>
        </w:rPr>
        <w:t> </w:t>
      </w:r>
      <w:r>
        <w:rPr>
          <w:color w:val="231F20"/>
          <w:w w:val="120"/>
        </w:rPr>
        <w:t>passion,</w:t>
      </w:r>
      <w:r>
        <w:rPr>
          <w:color w:val="231F20"/>
          <w:spacing w:val="-13"/>
          <w:w w:val="120"/>
        </w:rPr>
        <w:t> </w:t>
      </w:r>
      <w:r>
        <w:rPr>
          <w:color w:val="231F20"/>
          <w:w w:val="120"/>
        </w:rPr>
        <w:t>fût-ce</w:t>
      </w:r>
      <w:r>
        <w:rPr>
          <w:color w:val="231F20"/>
          <w:spacing w:val="-13"/>
          <w:w w:val="120"/>
        </w:rPr>
        <w:t> </w:t>
      </w:r>
      <w:r>
        <w:rPr>
          <w:color w:val="231F20"/>
          <w:w w:val="120"/>
        </w:rPr>
        <w:t>au</w:t>
      </w:r>
      <w:r>
        <w:rPr>
          <w:color w:val="231F20"/>
          <w:spacing w:val="-12"/>
          <w:w w:val="120"/>
        </w:rPr>
        <w:t> </w:t>
      </w:r>
      <w:r>
        <w:rPr>
          <w:color w:val="231F20"/>
          <w:w w:val="120"/>
        </w:rPr>
        <w:t>risque de se blesser.</w:t>
      </w:r>
    </w:p>
    <w:p>
      <w:pPr>
        <w:pStyle w:val="Heading6"/>
        <w:numPr>
          <w:ilvl w:val="0"/>
          <w:numId w:val="68"/>
        </w:numPr>
        <w:tabs>
          <w:tab w:pos="1331" w:val="left" w:leader="none"/>
        </w:tabs>
        <w:spacing w:line="240" w:lineRule="auto" w:before="78" w:after="0"/>
        <w:ind w:left="1330" w:right="0" w:hanging="252"/>
        <w:jc w:val="both"/>
        <w:rPr>
          <w:rFonts w:ascii="Times New Roman" w:hAnsi="Times New Roman"/>
        </w:rPr>
      </w:pPr>
      <w:r>
        <w:rPr>
          <w:rFonts w:ascii="Times New Roman" w:hAnsi="Times New Roman"/>
          <w:color w:val="231F20"/>
          <w:w w:val="115"/>
        </w:rPr>
        <w:t>Axe</w:t>
      </w:r>
      <w:r>
        <w:rPr>
          <w:rFonts w:ascii="Times New Roman" w:hAnsi="Times New Roman"/>
          <w:color w:val="231F20"/>
          <w:spacing w:val="-13"/>
          <w:w w:val="115"/>
        </w:rPr>
        <w:t> </w:t>
      </w:r>
      <w:r>
        <w:rPr>
          <w:rFonts w:ascii="Times New Roman" w:hAnsi="Times New Roman"/>
          <w:color w:val="231F20"/>
          <w:w w:val="115"/>
        </w:rPr>
        <w:t>de</w:t>
      </w:r>
      <w:r>
        <w:rPr>
          <w:rFonts w:ascii="Times New Roman" w:hAnsi="Times New Roman"/>
          <w:color w:val="231F20"/>
          <w:spacing w:val="-12"/>
          <w:w w:val="115"/>
        </w:rPr>
        <w:t> </w:t>
      </w:r>
      <w:r>
        <w:rPr>
          <w:rFonts w:ascii="Times New Roman" w:hAnsi="Times New Roman"/>
          <w:color w:val="231F20"/>
          <w:w w:val="115"/>
        </w:rPr>
        <w:t>l’accomplissement</w:t>
      </w:r>
      <w:r>
        <w:rPr>
          <w:rFonts w:ascii="Times New Roman" w:hAnsi="Times New Roman"/>
          <w:color w:val="231F20"/>
          <w:spacing w:val="-13"/>
          <w:w w:val="115"/>
        </w:rPr>
        <w:t> </w:t>
      </w:r>
      <w:r>
        <w:rPr>
          <w:rFonts w:ascii="Times New Roman" w:hAnsi="Times New Roman"/>
          <w:color w:val="231F20"/>
          <w:w w:val="115"/>
        </w:rPr>
        <w:t>éthique</w:t>
      </w:r>
      <w:r>
        <w:rPr>
          <w:rFonts w:ascii="Times New Roman" w:hAnsi="Times New Roman"/>
          <w:color w:val="231F20"/>
          <w:spacing w:val="-12"/>
          <w:w w:val="115"/>
        </w:rPr>
        <w:t> </w:t>
      </w:r>
      <w:r>
        <w:rPr>
          <w:rFonts w:ascii="Times New Roman" w:hAnsi="Times New Roman"/>
          <w:color w:val="231F20"/>
          <w:w w:val="115"/>
        </w:rPr>
        <w:t>et</w:t>
      </w:r>
      <w:r>
        <w:rPr>
          <w:rFonts w:ascii="Times New Roman" w:hAnsi="Times New Roman"/>
          <w:color w:val="231F20"/>
          <w:spacing w:val="-12"/>
          <w:w w:val="115"/>
        </w:rPr>
        <w:t> </w:t>
      </w:r>
      <w:r>
        <w:rPr>
          <w:rFonts w:ascii="Times New Roman" w:hAnsi="Times New Roman"/>
          <w:color w:val="231F20"/>
          <w:w w:val="115"/>
        </w:rPr>
        <w:t>social</w:t>
      </w:r>
      <w:r>
        <w:rPr>
          <w:rFonts w:ascii="Times New Roman" w:hAnsi="Times New Roman"/>
          <w:color w:val="231F20"/>
          <w:spacing w:val="-13"/>
          <w:w w:val="115"/>
        </w:rPr>
        <w:t> </w:t>
      </w:r>
      <w:r>
        <w:rPr>
          <w:rFonts w:ascii="Times New Roman" w:hAnsi="Times New Roman"/>
          <w:color w:val="231F20"/>
          <w:w w:val="115"/>
        </w:rPr>
        <w:t>(axe</w:t>
      </w:r>
      <w:r>
        <w:rPr>
          <w:rFonts w:ascii="Times New Roman" w:hAnsi="Times New Roman"/>
          <w:color w:val="231F20"/>
          <w:spacing w:val="-12"/>
          <w:w w:val="115"/>
        </w:rPr>
        <w:t> </w:t>
      </w:r>
      <w:r>
        <w:rPr>
          <w:rFonts w:ascii="Times New Roman" w:hAnsi="Times New Roman"/>
          <w:color w:val="231F20"/>
          <w:spacing w:val="-2"/>
          <w:w w:val="115"/>
        </w:rPr>
        <w:t>transcendant)</w:t>
      </w:r>
    </w:p>
    <w:p>
      <w:pPr>
        <w:pStyle w:val="BodyText"/>
        <w:spacing w:line="307" w:lineRule="auto" w:before="135"/>
        <w:ind w:left="1330" w:right="495"/>
        <w:jc w:val="both"/>
      </w:pPr>
      <w:r>
        <w:rPr>
          <w:color w:val="231F20"/>
          <w:w w:val="115"/>
        </w:rPr>
        <w:t>John</w:t>
      </w:r>
      <w:r>
        <w:rPr>
          <w:color w:val="231F20"/>
          <w:spacing w:val="-4"/>
          <w:w w:val="115"/>
        </w:rPr>
        <w:t> </w:t>
      </w:r>
      <w:r>
        <w:rPr>
          <w:color w:val="231F20"/>
          <w:w w:val="115"/>
        </w:rPr>
        <w:t>Stuart</w:t>
      </w:r>
      <w:r>
        <w:rPr>
          <w:color w:val="231F20"/>
          <w:spacing w:val="-4"/>
          <w:w w:val="115"/>
        </w:rPr>
        <w:t> </w:t>
      </w:r>
      <w:r>
        <w:rPr>
          <w:color w:val="231F20"/>
          <w:w w:val="115"/>
        </w:rPr>
        <w:t>Mill,</w:t>
      </w:r>
      <w:r>
        <w:rPr>
          <w:color w:val="231F20"/>
          <w:spacing w:val="-4"/>
          <w:w w:val="115"/>
        </w:rPr>
        <w:t> </w:t>
      </w:r>
      <w:r>
        <w:rPr>
          <w:color w:val="231F20"/>
          <w:w w:val="115"/>
        </w:rPr>
        <w:t>l’un</w:t>
      </w:r>
      <w:r>
        <w:rPr>
          <w:color w:val="231F20"/>
          <w:spacing w:val="-5"/>
          <w:w w:val="115"/>
        </w:rPr>
        <w:t> </w:t>
      </w:r>
      <w:r>
        <w:rPr>
          <w:color w:val="231F20"/>
          <w:w w:val="115"/>
        </w:rPr>
        <w:t>des</w:t>
      </w:r>
      <w:r>
        <w:rPr>
          <w:color w:val="231F20"/>
          <w:spacing w:val="-5"/>
          <w:w w:val="115"/>
        </w:rPr>
        <w:t> </w:t>
      </w:r>
      <w:r>
        <w:rPr>
          <w:color w:val="231F20"/>
          <w:w w:val="115"/>
        </w:rPr>
        <w:t>précurseurs</w:t>
      </w:r>
      <w:r>
        <w:rPr>
          <w:color w:val="231F20"/>
          <w:spacing w:val="-4"/>
          <w:w w:val="115"/>
        </w:rPr>
        <w:t> </w:t>
      </w:r>
      <w:r>
        <w:rPr>
          <w:color w:val="231F20"/>
          <w:w w:val="115"/>
        </w:rPr>
        <w:t>de</w:t>
      </w:r>
      <w:r>
        <w:rPr>
          <w:color w:val="231F20"/>
          <w:spacing w:val="-5"/>
          <w:w w:val="115"/>
        </w:rPr>
        <w:t> </w:t>
      </w:r>
      <w:r>
        <w:rPr>
          <w:color w:val="231F20"/>
          <w:w w:val="115"/>
        </w:rPr>
        <w:t>l’école</w:t>
      </w:r>
      <w:r>
        <w:rPr>
          <w:color w:val="231F20"/>
          <w:spacing w:val="-4"/>
          <w:w w:val="115"/>
        </w:rPr>
        <w:t> </w:t>
      </w:r>
      <w:r>
        <w:rPr>
          <w:color w:val="231F20"/>
          <w:w w:val="115"/>
        </w:rPr>
        <w:t>de</w:t>
      </w:r>
      <w:r>
        <w:rPr>
          <w:color w:val="231F20"/>
          <w:spacing w:val="-4"/>
          <w:w w:val="115"/>
        </w:rPr>
        <w:t> </w:t>
      </w:r>
      <w:r>
        <w:rPr>
          <w:color w:val="231F20"/>
          <w:w w:val="115"/>
        </w:rPr>
        <w:t>pensée</w:t>
      </w:r>
      <w:r>
        <w:rPr>
          <w:color w:val="231F20"/>
          <w:spacing w:val="-4"/>
          <w:w w:val="115"/>
        </w:rPr>
        <w:t> </w:t>
      </w:r>
      <w:r>
        <w:rPr>
          <w:color w:val="231F20"/>
          <w:w w:val="115"/>
        </w:rPr>
        <w:t>libérale, écrit</w:t>
      </w:r>
      <w:r>
        <w:rPr>
          <w:color w:val="231F20"/>
          <w:spacing w:val="-13"/>
          <w:w w:val="115"/>
        </w:rPr>
        <w:t> </w:t>
      </w:r>
      <w:r>
        <w:rPr>
          <w:color w:val="231F20"/>
          <w:w w:val="115"/>
        </w:rPr>
        <w:t>qu’il</w:t>
      </w:r>
      <w:r>
        <w:rPr>
          <w:color w:val="231F20"/>
          <w:spacing w:val="-12"/>
          <w:w w:val="115"/>
        </w:rPr>
        <w:t> </w:t>
      </w:r>
      <w:r>
        <w:rPr>
          <w:color w:val="231F20"/>
          <w:w w:val="115"/>
        </w:rPr>
        <w:t>y</w:t>
      </w:r>
      <w:r>
        <w:rPr>
          <w:color w:val="231F20"/>
          <w:spacing w:val="-12"/>
          <w:w w:val="115"/>
        </w:rPr>
        <w:t> </w:t>
      </w:r>
      <w:r>
        <w:rPr>
          <w:color w:val="231F20"/>
          <w:w w:val="115"/>
        </w:rPr>
        <w:t>a</w:t>
      </w:r>
      <w:r>
        <w:rPr>
          <w:color w:val="231F20"/>
          <w:spacing w:val="-12"/>
          <w:w w:val="115"/>
        </w:rPr>
        <w:t> </w:t>
      </w:r>
      <w:r>
        <w:rPr>
          <w:color w:val="231F20"/>
          <w:w w:val="115"/>
        </w:rPr>
        <w:t>trois</w:t>
      </w:r>
      <w:r>
        <w:rPr>
          <w:color w:val="231F20"/>
          <w:spacing w:val="-13"/>
          <w:w w:val="115"/>
        </w:rPr>
        <w:t> </w:t>
      </w:r>
      <w:r>
        <w:rPr>
          <w:color w:val="231F20"/>
          <w:w w:val="115"/>
        </w:rPr>
        <w:t>types</w:t>
      </w:r>
      <w:r>
        <w:rPr>
          <w:color w:val="231F20"/>
          <w:spacing w:val="-12"/>
          <w:w w:val="115"/>
        </w:rPr>
        <w:t> </w:t>
      </w:r>
      <w:r>
        <w:rPr>
          <w:color w:val="231F20"/>
          <w:w w:val="115"/>
        </w:rPr>
        <w:t>de</w:t>
      </w:r>
      <w:r>
        <w:rPr>
          <w:color w:val="231F20"/>
          <w:spacing w:val="-12"/>
          <w:w w:val="115"/>
        </w:rPr>
        <w:t> </w:t>
      </w:r>
      <w:r>
        <w:rPr>
          <w:color w:val="231F20"/>
          <w:w w:val="115"/>
        </w:rPr>
        <w:t>plaisirs</w:t>
      </w:r>
      <w:r>
        <w:rPr>
          <w:color w:val="231F20"/>
          <w:spacing w:val="-12"/>
          <w:w w:val="115"/>
        </w:rPr>
        <w:t> </w:t>
      </w:r>
      <w:r>
        <w:rPr>
          <w:color w:val="231F20"/>
          <w:w w:val="115"/>
        </w:rPr>
        <w:t>:</w:t>
      </w:r>
      <w:r>
        <w:rPr>
          <w:color w:val="231F20"/>
          <w:spacing w:val="-12"/>
          <w:w w:val="115"/>
        </w:rPr>
        <w:t> </w:t>
      </w:r>
      <w:r>
        <w:rPr>
          <w:color w:val="231F20"/>
          <w:w w:val="115"/>
        </w:rPr>
        <w:t>le</w:t>
      </w:r>
      <w:r>
        <w:rPr>
          <w:color w:val="231F20"/>
          <w:spacing w:val="-13"/>
          <w:w w:val="115"/>
        </w:rPr>
        <w:t> </w:t>
      </w:r>
      <w:r>
        <w:rPr>
          <w:color w:val="231F20"/>
          <w:w w:val="115"/>
        </w:rPr>
        <w:t>plaisir</w:t>
      </w:r>
      <w:r>
        <w:rPr>
          <w:color w:val="231F20"/>
          <w:spacing w:val="-12"/>
          <w:w w:val="115"/>
        </w:rPr>
        <w:t> </w:t>
      </w:r>
      <w:r>
        <w:rPr>
          <w:color w:val="231F20"/>
          <w:w w:val="115"/>
        </w:rPr>
        <w:t>solitaire,</w:t>
      </w:r>
      <w:r>
        <w:rPr>
          <w:color w:val="231F20"/>
          <w:spacing w:val="-12"/>
          <w:w w:val="115"/>
        </w:rPr>
        <w:t> </w:t>
      </w:r>
      <w:r>
        <w:rPr>
          <w:color w:val="231F20"/>
          <w:w w:val="115"/>
        </w:rPr>
        <w:t>le</w:t>
      </w:r>
      <w:r>
        <w:rPr>
          <w:color w:val="231F20"/>
          <w:spacing w:val="-12"/>
          <w:w w:val="115"/>
        </w:rPr>
        <w:t> </w:t>
      </w:r>
      <w:r>
        <w:rPr>
          <w:color w:val="231F20"/>
          <w:w w:val="115"/>
        </w:rPr>
        <w:t>plaisir</w:t>
      </w:r>
      <w:r>
        <w:rPr>
          <w:color w:val="231F20"/>
          <w:spacing w:val="-13"/>
          <w:w w:val="115"/>
        </w:rPr>
        <w:t> </w:t>
      </w:r>
      <w:r>
        <w:rPr>
          <w:color w:val="231F20"/>
          <w:w w:val="115"/>
        </w:rPr>
        <w:t>gré- </w:t>
      </w:r>
      <w:r>
        <w:rPr>
          <w:color w:val="231F20"/>
          <w:spacing w:val="-2"/>
          <w:w w:val="120"/>
        </w:rPr>
        <w:t>gaire</w:t>
      </w:r>
      <w:r>
        <w:rPr>
          <w:color w:val="231F20"/>
          <w:spacing w:val="-9"/>
          <w:w w:val="120"/>
        </w:rPr>
        <w:t> </w:t>
      </w:r>
      <w:r>
        <w:rPr>
          <w:color w:val="231F20"/>
          <w:spacing w:val="-2"/>
          <w:w w:val="120"/>
        </w:rPr>
        <w:t>et</w:t>
      </w:r>
      <w:r>
        <w:rPr>
          <w:color w:val="231F20"/>
          <w:spacing w:val="-9"/>
          <w:w w:val="120"/>
        </w:rPr>
        <w:t> </w:t>
      </w:r>
      <w:r>
        <w:rPr>
          <w:color w:val="231F20"/>
          <w:spacing w:val="-2"/>
          <w:w w:val="120"/>
        </w:rPr>
        <w:t>le</w:t>
      </w:r>
      <w:r>
        <w:rPr>
          <w:color w:val="231F20"/>
          <w:spacing w:val="-9"/>
          <w:w w:val="120"/>
        </w:rPr>
        <w:t> </w:t>
      </w:r>
      <w:r>
        <w:rPr>
          <w:color w:val="231F20"/>
          <w:spacing w:val="-2"/>
          <w:w w:val="120"/>
        </w:rPr>
        <w:t>plaisir</w:t>
      </w:r>
      <w:r>
        <w:rPr>
          <w:color w:val="231F20"/>
          <w:spacing w:val="-9"/>
          <w:w w:val="120"/>
        </w:rPr>
        <w:t> </w:t>
      </w:r>
      <w:r>
        <w:rPr>
          <w:color w:val="231F20"/>
          <w:spacing w:val="-2"/>
          <w:w w:val="120"/>
        </w:rPr>
        <w:t>partagé,</w:t>
      </w:r>
      <w:r>
        <w:rPr>
          <w:color w:val="231F20"/>
          <w:spacing w:val="-9"/>
          <w:w w:val="120"/>
        </w:rPr>
        <w:t> </w:t>
      </w:r>
      <w:r>
        <w:rPr>
          <w:color w:val="231F20"/>
          <w:spacing w:val="-2"/>
          <w:w w:val="120"/>
        </w:rPr>
        <w:t>et</w:t>
      </w:r>
      <w:r>
        <w:rPr>
          <w:color w:val="231F20"/>
          <w:spacing w:val="-9"/>
          <w:w w:val="120"/>
        </w:rPr>
        <w:t> </w:t>
      </w:r>
      <w:r>
        <w:rPr>
          <w:color w:val="231F20"/>
          <w:spacing w:val="-2"/>
          <w:w w:val="120"/>
        </w:rPr>
        <w:t>que</w:t>
      </w:r>
      <w:r>
        <w:rPr>
          <w:color w:val="231F20"/>
          <w:spacing w:val="-9"/>
          <w:w w:val="120"/>
        </w:rPr>
        <w:t> </w:t>
      </w:r>
      <w:r>
        <w:rPr>
          <w:color w:val="231F20"/>
          <w:spacing w:val="-2"/>
          <w:w w:val="120"/>
        </w:rPr>
        <w:t>c’est</w:t>
      </w:r>
      <w:r>
        <w:rPr>
          <w:color w:val="231F20"/>
          <w:spacing w:val="-9"/>
          <w:w w:val="120"/>
        </w:rPr>
        <w:t> </w:t>
      </w:r>
      <w:r>
        <w:rPr>
          <w:color w:val="231F20"/>
          <w:spacing w:val="-2"/>
          <w:w w:val="120"/>
        </w:rPr>
        <w:t>ce</w:t>
      </w:r>
      <w:r>
        <w:rPr>
          <w:color w:val="231F20"/>
          <w:spacing w:val="-9"/>
          <w:w w:val="120"/>
        </w:rPr>
        <w:t> </w:t>
      </w:r>
      <w:r>
        <w:rPr>
          <w:color w:val="231F20"/>
          <w:spacing w:val="-2"/>
          <w:w w:val="120"/>
        </w:rPr>
        <w:t>dernier</w:t>
      </w:r>
      <w:r>
        <w:rPr>
          <w:color w:val="231F20"/>
          <w:spacing w:val="-9"/>
          <w:w w:val="120"/>
        </w:rPr>
        <w:t> </w:t>
      </w:r>
      <w:r>
        <w:rPr>
          <w:color w:val="231F20"/>
          <w:spacing w:val="-2"/>
          <w:w w:val="120"/>
        </w:rPr>
        <w:t>qui</w:t>
      </w:r>
      <w:r>
        <w:rPr>
          <w:color w:val="231F20"/>
          <w:spacing w:val="-9"/>
          <w:w w:val="120"/>
        </w:rPr>
        <w:t> </w:t>
      </w:r>
      <w:r>
        <w:rPr>
          <w:color w:val="231F20"/>
          <w:spacing w:val="-2"/>
          <w:w w:val="120"/>
        </w:rPr>
        <w:t>produit</w:t>
      </w:r>
      <w:r>
        <w:rPr>
          <w:color w:val="231F20"/>
          <w:spacing w:val="-9"/>
          <w:w w:val="120"/>
        </w:rPr>
        <w:t> </w:t>
      </w:r>
      <w:r>
        <w:rPr>
          <w:color w:val="231F20"/>
          <w:spacing w:val="-2"/>
          <w:w w:val="120"/>
        </w:rPr>
        <w:t>le</w:t>
      </w:r>
      <w:r>
        <w:rPr>
          <w:color w:val="231F20"/>
          <w:spacing w:val="-9"/>
          <w:w w:val="120"/>
        </w:rPr>
        <w:t> </w:t>
      </w:r>
      <w:r>
        <w:rPr>
          <w:color w:val="231F20"/>
          <w:spacing w:val="-2"/>
          <w:w w:val="120"/>
        </w:rPr>
        <w:t>plus </w:t>
      </w:r>
      <w:r>
        <w:rPr>
          <w:color w:val="231F20"/>
          <w:w w:val="115"/>
        </w:rPr>
        <w:t>de bonheur véritable33. Les valeurs ou principes d’action qui per- </w:t>
      </w:r>
      <w:r>
        <w:rPr>
          <w:color w:val="231F20"/>
          <w:w w:val="120"/>
        </w:rPr>
        <w:t>mettent</w:t>
      </w:r>
      <w:r>
        <w:rPr>
          <w:color w:val="231F20"/>
          <w:spacing w:val="-13"/>
          <w:w w:val="120"/>
        </w:rPr>
        <w:t> </w:t>
      </w:r>
      <w:r>
        <w:rPr>
          <w:color w:val="231F20"/>
          <w:w w:val="120"/>
        </w:rPr>
        <w:t>de</w:t>
      </w:r>
      <w:r>
        <w:rPr>
          <w:color w:val="231F20"/>
          <w:spacing w:val="-13"/>
          <w:w w:val="120"/>
        </w:rPr>
        <w:t> </w:t>
      </w:r>
      <w:r>
        <w:rPr>
          <w:color w:val="231F20"/>
          <w:w w:val="120"/>
        </w:rPr>
        <w:t>développer</w:t>
      </w:r>
      <w:r>
        <w:rPr>
          <w:color w:val="231F20"/>
          <w:spacing w:val="-13"/>
          <w:w w:val="120"/>
        </w:rPr>
        <w:t> </w:t>
      </w:r>
      <w:r>
        <w:rPr>
          <w:color w:val="231F20"/>
          <w:w w:val="120"/>
        </w:rPr>
        <w:t>l’axe</w:t>
      </w:r>
      <w:r>
        <w:rPr>
          <w:color w:val="231F20"/>
          <w:spacing w:val="-12"/>
          <w:w w:val="120"/>
        </w:rPr>
        <w:t> </w:t>
      </w:r>
      <w:r>
        <w:rPr>
          <w:color w:val="231F20"/>
          <w:w w:val="120"/>
        </w:rPr>
        <w:t>éthique-social</w:t>
      </w:r>
      <w:r>
        <w:rPr>
          <w:color w:val="231F20"/>
          <w:spacing w:val="-13"/>
          <w:w w:val="120"/>
        </w:rPr>
        <w:t> </w:t>
      </w:r>
      <w:r>
        <w:rPr>
          <w:color w:val="231F20"/>
          <w:w w:val="120"/>
        </w:rPr>
        <w:t>de</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2"/>
          <w:w w:val="120"/>
        </w:rPr>
        <w:t> </w:t>
      </w:r>
      <w:r>
        <w:rPr>
          <w:color w:val="231F20"/>
          <w:w w:val="120"/>
        </w:rPr>
        <w:t>soi</w:t>
      </w:r>
      <w:r>
        <w:rPr>
          <w:color w:val="231F20"/>
          <w:spacing w:val="-13"/>
          <w:w w:val="120"/>
        </w:rPr>
        <w:t> </w:t>
      </w:r>
      <w:r>
        <w:rPr>
          <w:color w:val="231F20"/>
          <w:w w:val="120"/>
        </w:rPr>
        <w:t>sont l’authenticité</w:t>
      </w:r>
      <w:r>
        <w:rPr>
          <w:color w:val="231F20"/>
          <w:spacing w:val="-9"/>
          <w:w w:val="120"/>
        </w:rPr>
        <w:t> </w:t>
      </w:r>
      <w:r>
        <w:rPr>
          <w:color w:val="231F20"/>
          <w:w w:val="120"/>
        </w:rPr>
        <w:t>par</w:t>
      </w:r>
      <w:r>
        <w:rPr>
          <w:color w:val="231F20"/>
          <w:spacing w:val="-9"/>
          <w:w w:val="120"/>
        </w:rPr>
        <w:t> </w:t>
      </w:r>
      <w:r>
        <w:rPr>
          <w:color w:val="231F20"/>
          <w:w w:val="120"/>
        </w:rPr>
        <w:t>rapport</w:t>
      </w:r>
      <w:r>
        <w:rPr>
          <w:color w:val="231F20"/>
          <w:spacing w:val="-9"/>
          <w:w w:val="120"/>
        </w:rPr>
        <w:t> </w:t>
      </w:r>
      <w:r>
        <w:rPr>
          <w:color w:val="231F20"/>
          <w:w w:val="120"/>
        </w:rPr>
        <w:t>à</w:t>
      </w:r>
      <w:r>
        <w:rPr>
          <w:color w:val="231F20"/>
          <w:spacing w:val="-9"/>
          <w:w w:val="120"/>
        </w:rPr>
        <w:t> </w:t>
      </w:r>
      <w:r>
        <w:rPr>
          <w:color w:val="231F20"/>
          <w:w w:val="120"/>
        </w:rPr>
        <w:t>soi-même,</w:t>
      </w:r>
      <w:r>
        <w:rPr>
          <w:color w:val="231F20"/>
          <w:spacing w:val="-9"/>
          <w:w w:val="120"/>
        </w:rPr>
        <w:t> </w:t>
      </w:r>
      <w:r>
        <w:rPr>
          <w:color w:val="231F20"/>
          <w:w w:val="120"/>
        </w:rPr>
        <w:t>la</w:t>
      </w:r>
      <w:r>
        <w:rPr>
          <w:color w:val="231F20"/>
          <w:spacing w:val="-9"/>
          <w:w w:val="120"/>
        </w:rPr>
        <w:t> </w:t>
      </w:r>
      <w:r>
        <w:rPr>
          <w:color w:val="231F20"/>
          <w:w w:val="120"/>
        </w:rPr>
        <w:t>dignité,</w:t>
      </w:r>
      <w:r>
        <w:rPr>
          <w:color w:val="231F20"/>
          <w:spacing w:val="-9"/>
          <w:w w:val="120"/>
        </w:rPr>
        <w:t> </w:t>
      </w:r>
      <w:r>
        <w:rPr>
          <w:color w:val="231F20"/>
          <w:w w:val="120"/>
        </w:rPr>
        <w:t>la</w:t>
      </w:r>
      <w:r>
        <w:rPr>
          <w:color w:val="231F20"/>
          <w:spacing w:val="-9"/>
          <w:w w:val="120"/>
        </w:rPr>
        <w:t> </w:t>
      </w:r>
      <w:r>
        <w:rPr>
          <w:color w:val="231F20"/>
          <w:w w:val="120"/>
        </w:rPr>
        <w:t>philanthropie </w:t>
      </w:r>
      <w:r>
        <w:rPr>
          <w:color w:val="231F20"/>
          <w:w w:val="115"/>
        </w:rPr>
        <w:t>ou</w:t>
      </w:r>
      <w:r>
        <w:rPr>
          <w:color w:val="231F20"/>
          <w:spacing w:val="-2"/>
          <w:w w:val="115"/>
        </w:rPr>
        <w:t> </w:t>
      </w:r>
      <w:r>
        <w:rPr>
          <w:color w:val="231F20"/>
          <w:w w:val="115"/>
        </w:rPr>
        <w:t>l’amour</w:t>
      </w:r>
      <w:r>
        <w:rPr>
          <w:color w:val="231F20"/>
          <w:spacing w:val="-2"/>
          <w:w w:val="115"/>
        </w:rPr>
        <w:t> </w:t>
      </w:r>
      <w:r>
        <w:rPr>
          <w:color w:val="231F20"/>
          <w:w w:val="115"/>
        </w:rPr>
        <w:t>de</w:t>
      </w:r>
      <w:r>
        <w:rPr>
          <w:color w:val="231F20"/>
          <w:spacing w:val="-2"/>
          <w:w w:val="115"/>
        </w:rPr>
        <w:t> </w:t>
      </w:r>
      <w:r>
        <w:rPr>
          <w:color w:val="231F20"/>
          <w:w w:val="115"/>
        </w:rPr>
        <w:t>l’être</w:t>
      </w:r>
      <w:r>
        <w:rPr>
          <w:color w:val="231F20"/>
          <w:spacing w:val="-2"/>
          <w:w w:val="115"/>
        </w:rPr>
        <w:t> </w:t>
      </w:r>
      <w:r>
        <w:rPr>
          <w:color w:val="231F20"/>
          <w:w w:val="115"/>
        </w:rPr>
        <w:t>humain,</w:t>
      </w:r>
      <w:r>
        <w:rPr>
          <w:color w:val="231F20"/>
          <w:spacing w:val="-2"/>
          <w:w w:val="115"/>
        </w:rPr>
        <w:t> </w:t>
      </w:r>
      <w:r>
        <w:rPr>
          <w:color w:val="231F20"/>
          <w:w w:val="115"/>
        </w:rPr>
        <w:t>l’altruisme/altérité</w:t>
      </w:r>
      <w:r>
        <w:rPr>
          <w:color w:val="231F20"/>
          <w:spacing w:val="-2"/>
          <w:w w:val="115"/>
        </w:rPr>
        <w:t> </w:t>
      </w:r>
      <w:r>
        <w:rPr>
          <w:color w:val="231F20"/>
          <w:w w:val="115"/>
        </w:rPr>
        <w:t>(la reconnaissance </w:t>
      </w:r>
      <w:r>
        <w:rPr>
          <w:color w:val="231F20"/>
          <w:w w:val="120"/>
        </w:rPr>
        <w:t>des autres) et la bienveillance à l’égard d’autrui.</w:t>
      </w:r>
    </w:p>
    <w:p>
      <w:pPr>
        <w:pStyle w:val="BodyText"/>
        <w:spacing w:line="307" w:lineRule="auto" w:before="79"/>
        <w:ind w:left="1330" w:right="495"/>
        <w:jc w:val="both"/>
      </w:pPr>
      <w:r>
        <w:rPr>
          <w:color w:val="231F20"/>
          <w:w w:val="120"/>
        </w:rPr>
        <w:t>Dans ce modèle triaxial, l’estime de soi est associée à l’évalua- tion</w:t>
      </w:r>
      <w:r>
        <w:rPr>
          <w:color w:val="231F20"/>
          <w:spacing w:val="-10"/>
          <w:w w:val="120"/>
        </w:rPr>
        <w:t> </w:t>
      </w:r>
      <w:r>
        <w:rPr>
          <w:color w:val="231F20"/>
          <w:w w:val="120"/>
        </w:rPr>
        <w:t>perceptuelle</w:t>
      </w:r>
      <w:r>
        <w:rPr>
          <w:color w:val="231F20"/>
          <w:spacing w:val="-10"/>
          <w:w w:val="120"/>
        </w:rPr>
        <w:t> </w:t>
      </w:r>
      <w:r>
        <w:rPr>
          <w:color w:val="231F20"/>
          <w:w w:val="120"/>
        </w:rPr>
        <w:t>que</w:t>
      </w:r>
      <w:r>
        <w:rPr>
          <w:color w:val="231F20"/>
          <w:spacing w:val="-10"/>
          <w:w w:val="120"/>
        </w:rPr>
        <w:t> </w:t>
      </w:r>
      <w:r>
        <w:rPr>
          <w:color w:val="231F20"/>
          <w:w w:val="120"/>
        </w:rPr>
        <w:t>formule</w:t>
      </w:r>
      <w:r>
        <w:rPr>
          <w:color w:val="231F20"/>
          <w:spacing w:val="-10"/>
          <w:w w:val="120"/>
        </w:rPr>
        <w:t> </w:t>
      </w:r>
      <w:r>
        <w:rPr>
          <w:color w:val="231F20"/>
          <w:w w:val="120"/>
        </w:rPr>
        <w:t>l’individu</w:t>
      </w:r>
      <w:r>
        <w:rPr>
          <w:color w:val="231F20"/>
          <w:spacing w:val="-10"/>
          <w:w w:val="120"/>
        </w:rPr>
        <w:t> </w:t>
      </w:r>
      <w:r>
        <w:rPr>
          <w:color w:val="231F20"/>
          <w:w w:val="120"/>
        </w:rPr>
        <w:t>quant</w:t>
      </w:r>
      <w:r>
        <w:rPr>
          <w:color w:val="231F20"/>
          <w:spacing w:val="-10"/>
          <w:w w:val="120"/>
        </w:rPr>
        <w:t> </w:t>
      </w:r>
      <w:r>
        <w:rPr>
          <w:color w:val="231F20"/>
          <w:w w:val="120"/>
        </w:rPr>
        <w:t>à</w:t>
      </w:r>
      <w:r>
        <w:rPr>
          <w:color w:val="231F20"/>
          <w:spacing w:val="-10"/>
          <w:w w:val="120"/>
        </w:rPr>
        <w:t> </w:t>
      </w:r>
      <w:r>
        <w:rPr>
          <w:color w:val="231F20"/>
          <w:w w:val="120"/>
        </w:rPr>
        <w:t>sa</w:t>
      </w:r>
      <w:r>
        <w:rPr>
          <w:color w:val="231F20"/>
          <w:spacing w:val="-10"/>
          <w:w w:val="120"/>
        </w:rPr>
        <w:t> </w:t>
      </w:r>
      <w:r>
        <w:rPr>
          <w:color w:val="231F20"/>
          <w:w w:val="120"/>
        </w:rPr>
        <w:t>compétence</w:t>
      </w:r>
      <w:r>
        <w:rPr>
          <w:color w:val="231F20"/>
          <w:spacing w:val="-10"/>
          <w:w w:val="120"/>
        </w:rPr>
        <w:t> </w:t>
      </w:r>
      <w:r>
        <w:rPr>
          <w:color w:val="231F20"/>
          <w:w w:val="120"/>
        </w:rPr>
        <w:t>à travailler, à vivre, à partager, bref, à assurer son développement</w:t>
      </w:r>
    </w:p>
    <w:p>
      <w:pPr>
        <w:pStyle w:val="BodyText"/>
        <w:rPr>
          <w:sz w:val="20"/>
        </w:rPr>
      </w:pPr>
    </w:p>
    <w:p>
      <w:pPr>
        <w:pStyle w:val="BodyText"/>
        <w:rPr>
          <w:sz w:val="20"/>
        </w:rPr>
      </w:pPr>
    </w:p>
    <w:p>
      <w:pPr>
        <w:pStyle w:val="BodyText"/>
        <w:rPr>
          <w:sz w:val="20"/>
        </w:rPr>
      </w:pPr>
    </w:p>
    <w:p>
      <w:pPr>
        <w:pStyle w:val="BodyText"/>
        <w:spacing w:before="4"/>
        <w:rPr>
          <w:sz w:val="25"/>
        </w:rPr>
      </w:pPr>
      <w:r>
        <w:rPr/>
        <w:pict>
          <v:shape style="position:absolute;margin-left:62.5pt;margin-top:15.820164pt;width:287.5pt;height:.1pt;mso-position-horizontal-relative:page;mso-position-vertical-relative:paragraph;z-index:-15646720;mso-wrap-distance-left:0;mso-wrap-distance-right:0" id="docshape939" coordorigin="1250,316" coordsize="5750,0" path="m1250,316l7000,316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40" w:lineRule="auto" w:before="135" w:after="0"/>
        <w:ind w:left="829" w:right="0" w:hanging="406"/>
        <w:jc w:val="left"/>
        <w:rPr>
          <w:rFonts w:ascii="Arial" w:hAnsi="Arial"/>
          <w:sz w:val="12"/>
        </w:rPr>
      </w:pPr>
      <w:r>
        <w:rPr>
          <w:rFonts w:ascii="Arial" w:hAnsi="Arial"/>
          <w:color w:val="231F20"/>
          <w:sz w:val="12"/>
        </w:rPr>
        <w:t>Mill,</w:t>
      </w:r>
      <w:r>
        <w:rPr>
          <w:rFonts w:ascii="Arial" w:hAnsi="Arial"/>
          <w:color w:val="231F20"/>
          <w:spacing w:val="-5"/>
          <w:sz w:val="12"/>
        </w:rPr>
        <w:t> </w:t>
      </w:r>
      <w:r>
        <w:rPr>
          <w:rFonts w:ascii="Arial" w:hAnsi="Arial"/>
          <w:color w:val="231F20"/>
          <w:sz w:val="12"/>
        </w:rPr>
        <w:t>J.</w:t>
      </w:r>
      <w:r>
        <w:rPr>
          <w:rFonts w:ascii="Arial" w:hAnsi="Arial"/>
          <w:color w:val="231F20"/>
          <w:spacing w:val="-4"/>
          <w:sz w:val="12"/>
        </w:rPr>
        <w:t> </w:t>
      </w:r>
      <w:r>
        <w:rPr>
          <w:rFonts w:ascii="Arial" w:hAnsi="Arial"/>
          <w:color w:val="231F20"/>
          <w:sz w:val="12"/>
        </w:rPr>
        <w:t>S.</w:t>
      </w:r>
      <w:r>
        <w:rPr>
          <w:rFonts w:ascii="Arial" w:hAnsi="Arial"/>
          <w:color w:val="231F20"/>
          <w:spacing w:val="-5"/>
          <w:sz w:val="12"/>
        </w:rPr>
        <w:t> </w:t>
      </w:r>
      <w:r>
        <w:rPr>
          <w:rFonts w:ascii="Arial" w:hAnsi="Arial"/>
          <w:color w:val="231F20"/>
          <w:sz w:val="12"/>
        </w:rPr>
        <w:t>(1987).</w:t>
      </w:r>
      <w:r>
        <w:rPr>
          <w:rFonts w:ascii="Arial" w:hAnsi="Arial"/>
          <w:color w:val="231F20"/>
          <w:spacing w:val="-4"/>
          <w:sz w:val="12"/>
        </w:rPr>
        <w:t> </w:t>
      </w:r>
      <w:r>
        <w:rPr>
          <w:rFonts w:ascii="Arial" w:hAnsi="Arial"/>
          <w:i/>
          <w:color w:val="231F20"/>
          <w:sz w:val="12"/>
        </w:rPr>
        <w:t>De</w:t>
      </w:r>
      <w:r>
        <w:rPr>
          <w:rFonts w:ascii="Arial" w:hAnsi="Arial"/>
          <w:i/>
          <w:color w:val="231F20"/>
          <w:spacing w:val="-5"/>
          <w:sz w:val="12"/>
        </w:rPr>
        <w:t> </w:t>
      </w:r>
      <w:r>
        <w:rPr>
          <w:rFonts w:ascii="Arial" w:hAnsi="Arial"/>
          <w:i/>
          <w:color w:val="231F20"/>
          <w:sz w:val="12"/>
        </w:rPr>
        <w:t>la</w:t>
      </w:r>
      <w:r>
        <w:rPr>
          <w:rFonts w:ascii="Arial" w:hAnsi="Arial"/>
          <w:i/>
          <w:color w:val="231F20"/>
          <w:spacing w:val="-4"/>
          <w:sz w:val="12"/>
        </w:rPr>
        <w:t> </w:t>
      </w:r>
      <w:r>
        <w:rPr>
          <w:rFonts w:ascii="Arial" w:hAnsi="Arial"/>
          <w:i/>
          <w:color w:val="231F20"/>
          <w:sz w:val="12"/>
        </w:rPr>
        <w:t>liberté</w:t>
      </w:r>
      <w:r>
        <w:rPr>
          <w:rFonts w:ascii="Arial" w:hAnsi="Arial"/>
          <w:color w:val="231F20"/>
          <w:sz w:val="12"/>
        </w:rPr>
        <w:t>,</w:t>
      </w:r>
      <w:r>
        <w:rPr>
          <w:rFonts w:ascii="Arial" w:hAnsi="Arial"/>
          <w:color w:val="231F20"/>
          <w:spacing w:val="-5"/>
          <w:sz w:val="12"/>
        </w:rPr>
        <w:t> </w:t>
      </w:r>
      <w:r>
        <w:rPr>
          <w:rFonts w:ascii="Arial" w:hAnsi="Arial"/>
          <w:color w:val="231F20"/>
          <w:sz w:val="12"/>
        </w:rPr>
        <w:t>Zürich,</w:t>
      </w:r>
      <w:r>
        <w:rPr>
          <w:rFonts w:ascii="Arial" w:hAnsi="Arial"/>
          <w:color w:val="231F20"/>
          <w:spacing w:val="-4"/>
          <w:sz w:val="12"/>
        </w:rPr>
        <w:t> </w:t>
      </w:r>
      <w:r>
        <w:rPr>
          <w:rFonts w:ascii="Arial" w:hAnsi="Arial"/>
          <w:color w:val="231F20"/>
          <w:sz w:val="12"/>
        </w:rPr>
        <w:t>Éditions</w:t>
      </w:r>
      <w:r>
        <w:rPr>
          <w:rFonts w:ascii="Arial" w:hAnsi="Arial"/>
          <w:color w:val="231F20"/>
          <w:spacing w:val="-5"/>
          <w:sz w:val="12"/>
        </w:rPr>
        <w:t> </w:t>
      </w:r>
      <w:r>
        <w:rPr>
          <w:rFonts w:ascii="Arial" w:hAnsi="Arial"/>
          <w:color w:val="231F20"/>
          <w:sz w:val="12"/>
        </w:rPr>
        <w:t>du</w:t>
      </w:r>
      <w:r>
        <w:rPr>
          <w:rFonts w:ascii="Arial" w:hAnsi="Arial"/>
          <w:color w:val="231F20"/>
          <w:spacing w:val="-4"/>
          <w:sz w:val="12"/>
        </w:rPr>
        <w:t> </w:t>
      </w:r>
      <w:r>
        <w:rPr>
          <w:rFonts w:ascii="Arial" w:hAnsi="Arial"/>
          <w:color w:val="231F20"/>
          <w:sz w:val="12"/>
        </w:rPr>
        <w:t>Grand</w:t>
      </w:r>
      <w:r>
        <w:rPr>
          <w:rFonts w:ascii="Arial" w:hAnsi="Arial"/>
          <w:color w:val="231F20"/>
          <w:spacing w:val="-5"/>
          <w:sz w:val="12"/>
        </w:rPr>
        <w:t> </w:t>
      </w:r>
      <w:r>
        <w:rPr>
          <w:rFonts w:ascii="Arial" w:hAnsi="Arial"/>
          <w:color w:val="231F20"/>
          <w:spacing w:val="-2"/>
          <w:sz w:val="12"/>
        </w:rPr>
        <w:t>Midi.</w:t>
      </w:r>
    </w:p>
    <w:p>
      <w:pPr>
        <w:spacing w:after="0" w:line="240" w:lineRule="auto"/>
        <w:jc w:val="left"/>
        <w:rPr>
          <w:rFonts w:ascii="Arial" w:hAnsi="Arial"/>
          <w:sz w:val="12"/>
        </w:rPr>
        <w:sectPr>
          <w:footerReference w:type="default" r:id="rId257"/>
          <w:pgSz w:w="8640" w:h="12960"/>
          <w:pgMar w:footer="424" w:header="0" w:top="520" w:bottom="620" w:left="420" w:right="1140"/>
        </w:sectPr>
      </w:pPr>
    </w:p>
    <w:p>
      <w:pPr>
        <w:spacing w:before="118"/>
        <w:ind w:left="1940" w:right="0" w:firstLine="0"/>
        <w:jc w:val="left"/>
        <w:rPr>
          <w:rFonts w:ascii="Arial" w:hAnsi="Arial"/>
          <w:sz w:val="14"/>
        </w:rPr>
      </w:pPr>
      <w:bookmarkStart w:name="Figure 4.4 / Modèle triaxial de l’estime" w:id="151"/>
      <w:bookmarkEnd w:id="151"/>
      <w:r>
        <w:rPr/>
      </w:r>
      <w:bookmarkStart w:name="_bookmark66" w:id="152"/>
      <w:bookmarkEnd w:id="152"/>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720" w:right="105"/>
        <w:jc w:val="both"/>
      </w:pPr>
      <w:r>
        <w:rPr>
          <w:color w:val="231F20"/>
          <w:w w:val="120"/>
        </w:rPr>
        <w:t>complet en tant que personne équilibrée. Autrement dit, elle résulte</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perception</w:t>
      </w:r>
      <w:r>
        <w:rPr>
          <w:color w:val="231F20"/>
          <w:spacing w:val="-12"/>
          <w:w w:val="120"/>
        </w:rPr>
        <w:t> </w:t>
      </w:r>
      <w:r>
        <w:rPr>
          <w:color w:val="231F20"/>
          <w:w w:val="120"/>
        </w:rPr>
        <w:t>de</w:t>
      </w:r>
      <w:r>
        <w:rPr>
          <w:color w:val="231F20"/>
          <w:spacing w:val="-13"/>
          <w:w w:val="120"/>
        </w:rPr>
        <w:t> </w:t>
      </w:r>
      <w:r>
        <w:rPr>
          <w:color w:val="231F20"/>
          <w:w w:val="120"/>
        </w:rPr>
        <w:t>ses</w:t>
      </w:r>
      <w:r>
        <w:rPr>
          <w:color w:val="231F20"/>
          <w:spacing w:val="-12"/>
          <w:w w:val="120"/>
        </w:rPr>
        <w:t> </w:t>
      </w:r>
      <w:r>
        <w:rPr>
          <w:color w:val="231F20"/>
          <w:w w:val="120"/>
        </w:rPr>
        <w:t>propres</w:t>
      </w:r>
      <w:r>
        <w:rPr>
          <w:color w:val="231F20"/>
          <w:spacing w:val="-13"/>
          <w:w w:val="120"/>
        </w:rPr>
        <w:t> </w:t>
      </w:r>
      <w:r>
        <w:rPr>
          <w:color w:val="231F20"/>
          <w:w w:val="120"/>
        </w:rPr>
        <w:t>réussites</w:t>
      </w:r>
      <w:r>
        <w:rPr>
          <w:color w:val="231F20"/>
          <w:spacing w:val="-12"/>
          <w:w w:val="120"/>
        </w:rPr>
        <w:t> </w:t>
      </w:r>
      <w:r>
        <w:rPr>
          <w:color w:val="231F20"/>
          <w:w w:val="120"/>
        </w:rPr>
        <w:t>matérielles,</w:t>
      </w:r>
      <w:r>
        <w:rPr>
          <w:color w:val="231F20"/>
          <w:spacing w:val="-13"/>
          <w:w w:val="120"/>
        </w:rPr>
        <w:t> </w:t>
      </w:r>
      <w:r>
        <w:rPr>
          <w:color w:val="231F20"/>
          <w:w w:val="120"/>
        </w:rPr>
        <w:t>émo- tionnelles</w:t>
      </w:r>
      <w:r>
        <w:rPr>
          <w:color w:val="231F20"/>
          <w:spacing w:val="-13"/>
          <w:w w:val="120"/>
        </w:rPr>
        <w:t> </w:t>
      </w:r>
      <w:r>
        <w:rPr>
          <w:color w:val="231F20"/>
          <w:w w:val="120"/>
        </w:rPr>
        <w:t>et</w:t>
      </w:r>
      <w:r>
        <w:rPr>
          <w:color w:val="231F20"/>
          <w:spacing w:val="-13"/>
          <w:w w:val="120"/>
        </w:rPr>
        <w:t> </w:t>
      </w:r>
      <w:r>
        <w:rPr>
          <w:color w:val="231F20"/>
          <w:w w:val="120"/>
        </w:rPr>
        <w:t>éthiques,</w:t>
      </w:r>
      <w:r>
        <w:rPr>
          <w:color w:val="231F20"/>
          <w:spacing w:val="-13"/>
          <w:w w:val="120"/>
        </w:rPr>
        <w:t> </w:t>
      </w:r>
      <w:r>
        <w:rPr>
          <w:color w:val="231F20"/>
          <w:w w:val="120"/>
        </w:rPr>
        <w:t>perception</w:t>
      </w:r>
      <w:r>
        <w:rPr>
          <w:color w:val="231F20"/>
          <w:spacing w:val="-12"/>
          <w:w w:val="120"/>
        </w:rPr>
        <w:t> </w:t>
      </w:r>
      <w:r>
        <w:rPr>
          <w:color w:val="231F20"/>
          <w:w w:val="120"/>
        </w:rPr>
        <w:t>fondée</w:t>
      </w:r>
      <w:r>
        <w:rPr>
          <w:color w:val="231F20"/>
          <w:spacing w:val="-13"/>
          <w:w w:val="120"/>
        </w:rPr>
        <w:t> </w:t>
      </w:r>
      <w:r>
        <w:rPr>
          <w:color w:val="231F20"/>
          <w:w w:val="120"/>
        </w:rPr>
        <w:t>sur</w:t>
      </w:r>
      <w:r>
        <w:rPr>
          <w:color w:val="231F20"/>
          <w:spacing w:val="-13"/>
          <w:w w:val="120"/>
        </w:rPr>
        <w:t> </w:t>
      </w:r>
      <w:r>
        <w:rPr>
          <w:color w:val="231F20"/>
          <w:w w:val="120"/>
        </w:rPr>
        <w:t>ses</w:t>
      </w:r>
      <w:r>
        <w:rPr>
          <w:color w:val="231F20"/>
          <w:spacing w:val="-13"/>
          <w:w w:val="120"/>
        </w:rPr>
        <w:t> </w:t>
      </w:r>
      <w:r>
        <w:rPr>
          <w:color w:val="231F20"/>
          <w:w w:val="120"/>
        </w:rPr>
        <w:t>propres</w:t>
      </w:r>
      <w:r>
        <w:rPr>
          <w:color w:val="231F20"/>
          <w:spacing w:val="-12"/>
          <w:w w:val="120"/>
        </w:rPr>
        <w:t> </w:t>
      </w:r>
      <w:r>
        <w:rPr>
          <w:color w:val="231F20"/>
          <w:w w:val="120"/>
        </w:rPr>
        <w:t>efforts</w:t>
      </w:r>
      <w:r>
        <w:rPr>
          <w:color w:val="231F20"/>
          <w:spacing w:val="-13"/>
          <w:w w:val="120"/>
        </w:rPr>
        <w:t> </w:t>
      </w:r>
      <w:r>
        <w:rPr>
          <w:color w:val="231F20"/>
          <w:w w:val="120"/>
        </w:rPr>
        <w:t>et </w:t>
      </w:r>
      <w:r>
        <w:rPr>
          <w:color w:val="231F20"/>
          <w:w w:val="115"/>
        </w:rPr>
        <w:t>sur</w:t>
      </w:r>
      <w:r>
        <w:rPr>
          <w:color w:val="231F20"/>
          <w:spacing w:val="-5"/>
          <w:w w:val="115"/>
        </w:rPr>
        <w:t> </w:t>
      </w:r>
      <w:r>
        <w:rPr>
          <w:color w:val="231F20"/>
          <w:w w:val="115"/>
        </w:rPr>
        <w:t>sa</w:t>
      </w:r>
      <w:r>
        <w:rPr>
          <w:color w:val="231F20"/>
          <w:spacing w:val="-5"/>
          <w:w w:val="115"/>
        </w:rPr>
        <w:t> </w:t>
      </w:r>
      <w:r>
        <w:rPr>
          <w:color w:val="231F20"/>
          <w:w w:val="115"/>
        </w:rPr>
        <w:t>confiance</w:t>
      </w:r>
      <w:r>
        <w:rPr>
          <w:color w:val="231F20"/>
          <w:spacing w:val="-5"/>
          <w:w w:val="115"/>
        </w:rPr>
        <w:t> </w:t>
      </w:r>
      <w:r>
        <w:rPr>
          <w:color w:val="231F20"/>
          <w:w w:val="115"/>
        </w:rPr>
        <w:t>en</w:t>
      </w:r>
      <w:r>
        <w:rPr>
          <w:color w:val="231F20"/>
          <w:spacing w:val="-5"/>
          <w:w w:val="115"/>
        </w:rPr>
        <w:t> </w:t>
      </w:r>
      <w:r>
        <w:rPr>
          <w:color w:val="231F20"/>
          <w:w w:val="115"/>
        </w:rPr>
        <w:t>soi</w:t>
      </w:r>
      <w:r>
        <w:rPr>
          <w:color w:val="231F20"/>
          <w:spacing w:val="-5"/>
          <w:w w:val="115"/>
        </w:rPr>
        <w:t> </w:t>
      </w:r>
      <w:r>
        <w:rPr>
          <w:color w:val="231F20"/>
          <w:w w:val="115"/>
        </w:rPr>
        <w:t>et</w:t>
      </w:r>
      <w:r>
        <w:rPr>
          <w:color w:val="231F20"/>
          <w:spacing w:val="-5"/>
          <w:w w:val="115"/>
        </w:rPr>
        <w:t> </w:t>
      </w:r>
      <w:r>
        <w:rPr>
          <w:color w:val="231F20"/>
          <w:w w:val="115"/>
        </w:rPr>
        <w:t>en</w:t>
      </w:r>
      <w:r>
        <w:rPr>
          <w:color w:val="231F20"/>
          <w:spacing w:val="-5"/>
          <w:w w:val="115"/>
        </w:rPr>
        <w:t> </w:t>
      </w:r>
      <w:r>
        <w:rPr>
          <w:color w:val="231F20"/>
          <w:w w:val="115"/>
        </w:rPr>
        <w:t>les</w:t>
      </w:r>
      <w:r>
        <w:rPr>
          <w:color w:val="231F20"/>
          <w:spacing w:val="-5"/>
          <w:w w:val="115"/>
        </w:rPr>
        <w:t> </w:t>
      </w:r>
      <w:r>
        <w:rPr>
          <w:color w:val="231F20"/>
          <w:w w:val="115"/>
        </w:rPr>
        <w:t>autres.</w:t>
      </w:r>
      <w:r>
        <w:rPr>
          <w:color w:val="231F20"/>
          <w:spacing w:val="-5"/>
          <w:w w:val="115"/>
        </w:rPr>
        <w:t> </w:t>
      </w:r>
      <w:r>
        <w:rPr>
          <w:color w:val="231F20"/>
          <w:w w:val="115"/>
        </w:rPr>
        <w:t>L’estime</w:t>
      </w:r>
      <w:r>
        <w:rPr>
          <w:color w:val="231F20"/>
          <w:spacing w:val="-5"/>
          <w:w w:val="115"/>
        </w:rPr>
        <w:t> </w:t>
      </w:r>
      <w:r>
        <w:rPr>
          <w:color w:val="231F20"/>
          <w:w w:val="115"/>
        </w:rPr>
        <w:t>de</w:t>
      </w:r>
      <w:r>
        <w:rPr>
          <w:color w:val="231F20"/>
          <w:spacing w:val="-5"/>
          <w:w w:val="115"/>
        </w:rPr>
        <w:t> </w:t>
      </w:r>
      <w:r>
        <w:rPr>
          <w:color w:val="231F20"/>
          <w:w w:val="115"/>
        </w:rPr>
        <w:t>soi</w:t>
      </w:r>
      <w:r>
        <w:rPr>
          <w:color w:val="231F20"/>
          <w:spacing w:val="-5"/>
          <w:w w:val="115"/>
        </w:rPr>
        <w:t> </w:t>
      </w:r>
      <w:r>
        <w:rPr>
          <w:color w:val="231F20"/>
          <w:w w:val="115"/>
        </w:rPr>
        <w:t>se</w:t>
      </w:r>
      <w:r>
        <w:rPr>
          <w:color w:val="231F20"/>
          <w:spacing w:val="-5"/>
          <w:w w:val="115"/>
        </w:rPr>
        <w:t> </w:t>
      </w:r>
      <w:r>
        <w:rPr>
          <w:color w:val="231F20"/>
          <w:w w:val="115"/>
        </w:rPr>
        <w:t>fonde</w:t>
      </w:r>
      <w:r>
        <w:rPr>
          <w:color w:val="231F20"/>
          <w:spacing w:val="-5"/>
          <w:w w:val="115"/>
        </w:rPr>
        <w:t> </w:t>
      </w:r>
      <w:r>
        <w:rPr>
          <w:color w:val="231F20"/>
          <w:w w:val="115"/>
        </w:rPr>
        <w:t>sur la</w:t>
      </w:r>
      <w:r>
        <w:rPr>
          <w:color w:val="231F20"/>
          <w:spacing w:val="-4"/>
          <w:w w:val="115"/>
        </w:rPr>
        <w:t> </w:t>
      </w:r>
      <w:r>
        <w:rPr>
          <w:color w:val="231F20"/>
          <w:w w:val="115"/>
        </w:rPr>
        <w:t>confiance</w:t>
      </w:r>
      <w:r>
        <w:rPr>
          <w:color w:val="231F20"/>
          <w:spacing w:val="-4"/>
          <w:w w:val="115"/>
        </w:rPr>
        <w:t> </w:t>
      </w:r>
      <w:r>
        <w:rPr>
          <w:color w:val="231F20"/>
          <w:w w:val="115"/>
        </w:rPr>
        <w:t>de</w:t>
      </w:r>
      <w:r>
        <w:rPr>
          <w:color w:val="231F20"/>
          <w:spacing w:val="-4"/>
          <w:w w:val="115"/>
        </w:rPr>
        <w:t> </w:t>
      </w:r>
      <w:r>
        <w:rPr>
          <w:color w:val="231F20"/>
          <w:w w:val="115"/>
        </w:rPr>
        <w:t>la</w:t>
      </w:r>
      <w:r>
        <w:rPr>
          <w:color w:val="231F20"/>
          <w:spacing w:val="-4"/>
          <w:w w:val="115"/>
        </w:rPr>
        <w:t> </w:t>
      </w:r>
      <w:r>
        <w:rPr>
          <w:color w:val="231F20"/>
          <w:w w:val="115"/>
        </w:rPr>
        <w:t>personne</w:t>
      </w:r>
      <w:r>
        <w:rPr>
          <w:color w:val="231F20"/>
          <w:spacing w:val="-4"/>
          <w:w w:val="115"/>
        </w:rPr>
        <w:t> </w:t>
      </w:r>
      <w:r>
        <w:rPr>
          <w:color w:val="231F20"/>
          <w:w w:val="115"/>
        </w:rPr>
        <w:t>en</w:t>
      </w:r>
      <w:r>
        <w:rPr>
          <w:color w:val="231F20"/>
          <w:spacing w:val="-4"/>
          <w:w w:val="115"/>
        </w:rPr>
        <w:t> </w:t>
      </w:r>
      <w:r>
        <w:rPr>
          <w:color w:val="231F20"/>
          <w:w w:val="115"/>
        </w:rPr>
        <w:t>sa</w:t>
      </w:r>
      <w:r>
        <w:rPr>
          <w:color w:val="231F20"/>
          <w:spacing w:val="-4"/>
          <w:w w:val="115"/>
        </w:rPr>
        <w:t> </w:t>
      </w:r>
      <w:r>
        <w:rPr>
          <w:color w:val="231F20"/>
          <w:w w:val="115"/>
        </w:rPr>
        <w:t>propre</w:t>
      </w:r>
      <w:r>
        <w:rPr>
          <w:color w:val="231F20"/>
          <w:spacing w:val="-4"/>
          <w:w w:val="115"/>
        </w:rPr>
        <w:t> </w:t>
      </w:r>
      <w:r>
        <w:rPr>
          <w:color w:val="231F20"/>
          <w:w w:val="115"/>
        </w:rPr>
        <w:t>capacité</w:t>
      </w:r>
      <w:r>
        <w:rPr>
          <w:color w:val="231F20"/>
          <w:spacing w:val="-4"/>
          <w:w w:val="115"/>
        </w:rPr>
        <w:t> </w:t>
      </w:r>
      <w:r>
        <w:rPr>
          <w:color w:val="231F20"/>
          <w:w w:val="115"/>
        </w:rPr>
        <w:t>de</w:t>
      </w:r>
      <w:r>
        <w:rPr>
          <w:color w:val="231F20"/>
          <w:spacing w:val="-4"/>
          <w:w w:val="115"/>
        </w:rPr>
        <w:t> </w:t>
      </w:r>
      <w:r>
        <w:rPr>
          <w:color w:val="231F20"/>
          <w:w w:val="115"/>
        </w:rPr>
        <w:t>rêver,</w:t>
      </w:r>
      <w:r>
        <w:rPr>
          <w:color w:val="231F20"/>
          <w:spacing w:val="-4"/>
          <w:w w:val="115"/>
        </w:rPr>
        <w:t> </w:t>
      </w:r>
      <w:r>
        <w:rPr>
          <w:color w:val="231F20"/>
          <w:w w:val="115"/>
        </w:rPr>
        <w:t>de</w:t>
      </w:r>
      <w:r>
        <w:rPr>
          <w:color w:val="231F20"/>
          <w:spacing w:val="-4"/>
          <w:w w:val="115"/>
        </w:rPr>
        <w:t> </w:t>
      </w:r>
      <w:r>
        <w:rPr>
          <w:color w:val="231F20"/>
          <w:w w:val="115"/>
        </w:rPr>
        <w:t>réflé- chir</w:t>
      </w:r>
      <w:r>
        <w:rPr>
          <w:color w:val="231F20"/>
          <w:spacing w:val="-7"/>
          <w:w w:val="115"/>
        </w:rPr>
        <w:t> </w:t>
      </w:r>
      <w:r>
        <w:rPr>
          <w:color w:val="231F20"/>
          <w:w w:val="115"/>
        </w:rPr>
        <w:t>et</w:t>
      </w:r>
      <w:r>
        <w:rPr>
          <w:color w:val="231F20"/>
          <w:spacing w:val="-7"/>
          <w:w w:val="115"/>
        </w:rPr>
        <w:t> </w:t>
      </w:r>
      <w:r>
        <w:rPr>
          <w:color w:val="231F20"/>
          <w:w w:val="115"/>
        </w:rPr>
        <w:t>de</w:t>
      </w:r>
      <w:r>
        <w:rPr>
          <w:color w:val="231F20"/>
          <w:spacing w:val="-7"/>
          <w:w w:val="115"/>
        </w:rPr>
        <w:t> </w:t>
      </w:r>
      <w:r>
        <w:rPr>
          <w:color w:val="231F20"/>
          <w:w w:val="115"/>
        </w:rPr>
        <w:t>réussir</w:t>
      </w:r>
      <w:r>
        <w:rPr>
          <w:color w:val="231F20"/>
          <w:spacing w:val="-7"/>
          <w:w w:val="115"/>
        </w:rPr>
        <w:t> </w:t>
      </w:r>
      <w:r>
        <w:rPr>
          <w:color w:val="231F20"/>
          <w:w w:val="115"/>
        </w:rPr>
        <w:t>à</w:t>
      </w:r>
      <w:r>
        <w:rPr>
          <w:color w:val="231F20"/>
          <w:spacing w:val="-7"/>
          <w:w w:val="115"/>
        </w:rPr>
        <w:t> </w:t>
      </w:r>
      <w:r>
        <w:rPr>
          <w:color w:val="231F20"/>
          <w:w w:val="115"/>
        </w:rPr>
        <w:t>être</w:t>
      </w:r>
      <w:r>
        <w:rPr>
          <w:color w:val="231F20"/>
          <w:spacing w:val="-7"/>
          <w:w w:val="115"/>
        </w:rPr>
        <w:t> </w:t>
      </w:r>
      <w:r>
        <w:rPr>
          <w:color w:val="231F20"/>
          <w:w w:val="115"/>
        </w:rPr>
        <w:t>efficace</w:t>
      </w:r>
      <w:r>
        <w:rPr>
          <w:color w:val="231F20"/>
          <w:spacing w:val="-7"/>
          <w:w w:val="115"/>
        </w:rPr>
        <w:t> </w:t>
      </w:r>
      <w:r>
        <w:rPr>
          <w:color w:val="231F20"/>
          <w:w w:val="115"/>
        </w:rPr>
        <w:t>et</w:t>
      </w:r>
      <w:r>
        <w:rPr>
          <w:color w:val="231F20"/>
          <w:spacing w:val="-7"/>
          <w:w w:val="115"/>
        </w:rPr>
        <w:t> </w:t>
      </w:r>
      <w:r>
        <w:rPr>
          <w:color w:val="231F20"/>
          <w:w w:val="115"/>
        </w:rPr>
        <w:t>à</w:t>
      </w:r>
      <w:r>
        <w:rPr>
          <w:color w:val="231F20"/>
          <w:spacing w:val="-7"/>
          <w:w w:val="115"/>
        </w:rPr>
        <w:t> </w:t>
      </w:r>
      <w:r>
        <w:rPr>
          <w:color w:val="231F20"/>
          <w:w w:val="115"/>
        </w:rPr>
        <w:t>relever</w:t>
      </w:r>
      <w:r>
        <w:rPr>
          <w:color w:val="231F20"/>
          <w:spacing w:val="-7"/>
          <w:w w:val="115"/>
        </w:rPr>
        <w:t> </w:t>
      </w:r>
      <w:r>
        <w:rPr>
          <w:color w:val="231F20"/>
          <w:w w:val="115"/>
        </w:rPr>
        <w:t>les</w:t>
      </w:r>
      <w:r>
        <w:rPr>
          <w:color w:val="231F20"/>
          <w:spacing w:val="-7"/>
          <w:w w:val="115"/>
        </w:rPr>
        <w:t> </w:t>
      </w:r>
      <w:r>
        <w:rPr>
          <w:color w:val="231F20"/>
          <w:w w:val="115"/>
        </w:rPr>
        <w:t>défis</w:t>
      </w:r>
      <w:r>
        <w:rPr>
          <w:color w:val="231F20"/>
          <w:spacing w:val="-7"/>
          <w:w w:val="115"/>
        </w:rPr>
        <w:t> </w:t>
      </w:r>
      <w:r>
        <w:rPr>
          <w:color w:val="231F20"/>
          <w:w w:val="115"/>
        </w:rPr>
        <w:t>de</w:t>
      </w:r>
      <w:r>
        <w:rPr>
          <w:color w:val="231F20"/>
          <w:spacing w:val="-7"/>
          <w:w w:val="115"/>
        </w:rPr>
        <w:t> </w:t>
      </w:r>
      <w:r>
        <w:rPr>
          <w:color w:val="231F20"/>
          <w:w w:val="115"/>
        </w:rPr>
        <w:t>la</w:t>
      </w:r>
      <w:r>
        <w:rPr>
          <w:color w:val="231F20"/>
          <w:spacing w:val="-7"/>
          <w:w w:val="115"/>
        </w:rPr>
        <w:t> </w:t>
      </w:r>
      <w:r>
        <w:rPr>
          <w:color w:val="231F20"/>
          <w:w w:val="115"/>
        </w:rPr>
        <w:t>vie,</w:t>
      </w:r>
      <w:r>
        <w:rPr>
          <w:color w:val="231F20"/>
          <w:spacing w:val="-7"/>
          <w:w w:val="115"/>
        </w:rPr>
        <w:t> </w:t>
      </w:r>
      <w:r>
        <w:rPr>
          <w:color w:val="231F20"/>
          <w:w w:val="115"/>
        </w:rPr>
        <w:t>qu’ils </w:t>
      </w:r>
      <w:r>
        <w:rPr>
          <w:color w:val="231F20"/>
          <w:w w:val="120"/>
        </w:rPr>
        <w:t>soient</w:t>
      </w:r>
      <w:r>
        <w:rPr>
          <w:color w:val="231F20"/>
          <w:spacing w:val="-13"/>
          <w:w w:val="120"/>
        </w:rPr>
        <w:t> </w:t>
      </w:r>
      <w:r>
        <w:rPr>
          <w:color w:val="231F20"/>
          <w:w w:val="120"/>
        </w:rPr>
        <w:t>positifs</w:t>
      </w:r>
      <w:r>
        <w:rPr>
          <w:color w:val="231F20"/>
          <w:spacing w:val="-13"/>
          <w:w w:val="120"/>
        </w:rPr>
        <w:t> </w:t>
      </w:r>
      <w:r>
        <w:rPr>
          <w:color w:val="231F20"/>
          <w:w w:val="120"/>
        </w:rPr>
        <w:t>ou</w:t>
      </w:r>
      <w:r>
        <w:rPr>
          <w:color w:val="231F20"/>
          <w:spacing w:val="-13"/>
          <w:w w:val="120"/>
        </w:rPr>
        <w:t> </w:t>
      </w:r>
      <w:r>
        <w:rPr>
          <w:color w:val="231F20"/>
          <w:w w:val="120"/>
        </w:rPr>
        <w:t>négatifs.</w:t>
      </w:r>
      <w:r>
        <w:rPr>
          <w:color w:val="231F20"/>
          <w:spacing w:val="-12"/>
          <w:w w:val="120"/>
        </w:rPr>
        <w:t> </w:t>
      </w:r>
      <w:r>
        <w:rPr>
          <w:color w:val="231F20"/>
          <w:w w:val="120"/>
        </w:rPr>
        <w:t>Elle</w:t>
      </w:r>
      <w:r>
        <w:rPr>
          <w:color w:val="231F20"/>
          <w:spacing w:val="-13"/>
          <w:w w:val="120"/>
        </w:rPr>
        <w:t> </w:t>
      </w:r>
      <w:r>
        <w:rPr>
          <w:color w:val="231F20"/>
          <w:w w:val="120"/>
        </w:rPr>
        <w:t>repose</w:t>
      </w:r>
      <w:r>
        <w:rPr>
          <w:color w:val="231F20"/>
          <w:spacing w:val="-13"/>
          <w:w w:val="120"/>
        </w:rPr>
        <w:t> </w:t>
      </w:r>
      <w:r>
        <w:rPr>
          <w:color w:val="231F20"/>
          <w:w w:val="120"/>
        </w:rPr>
        <w:t>aussi</w:t>
      </w:r>
      <w:r>
        <w:rPr>
          <w:color w:val="231F20"/>
          <w:spacing w:val="-13"/>
          <w:w w:val="120"/>
        </w:rPr>
        <w:t> </w:t>
      </w:r>
      <w:r>
        <w:rPr>
          <w:color w:val="231F20"/>
          <w:w w:val="120"/>
        </w:rPr>
        <w:t>sur</w:t>
      </w:r>
      <w:r>
        <w:rPr>
          <w:color w:val="231F20"/>
          <w:spacing w:val="-12"/>
          <w:w w:val="120"/>
        </w:rPr>
        <w:t> </w:t>
      </w:r>
      <w:r>
        <w:rPr>
          <w:color w:val="231F20"/>
          <w:w w:val="120"/>
        </w:rPr>
        <w:t>la</w:t>
      </w:r>
      <w:r>
        <w:rPr>
          <w:color w:val="231F20"/>
          <w:spacing w:val="-13"/>
          <w:w w:val="120"/>
        </w:rPr>
        <w:t> </w:t>
      </w:r>
      <w:r>
        <w:rPr>
          <w:color w:val="231F20"/>
          <w:w w:val="120"/>
        </w:rPr>
        <w:t>confiance</w:t>
      </w:r>
      <w:r>
        <w:rPr>
          <w:color w:val="231F20"/>
          <w:spacing w:val="-13"/>
          <w:w w:val="120"/>
        </w:rPr>
        <w:t> </w:t>
      </w:r>
      <w:r>
        <w:rPr>
          <w:color w:val="231F20"/>
          <w:w w:val="120"/>
        </w:rPr>
        <w:t>ou</w:t>
      </w:r>
      <w:r>
        <w:rPr>
          <w:color w:val="231F20"/>
          <w:spacing w:val="-13"/>
          <w:w w:val="120"/>
        </w:rPr>
        <w:t> </w:t>
      </w:r>
      <w:r>
        <w:rPr>
          <w:color w:val="231F20"/>
          <w:w w:val="120"/>
        </w:rPr>
        <w:t>la croyance</w:t>
      </w:r>
      <w:r>
        <w:rPr>
          <w:color w:val="231F20"/>
          <w:spacing w:val="-3"/>
          <w:w w:val="120"/>
        </w:rPr>
        <w:t> </w:t>
      </w:r>
      <w:r>
        <w:rPr>
          <w:color w:val="231F20"/>
          <w:w w:val="120"/>
        </w:rPr>
        <w:t>en</w:t>
      </w:r>
      <w:r>
        <w:rPr>
          <w:color w:val="231F20"/>
          <w:spacing w:val="-3"/>
          <w:w w:val="120"/>
        </w:rPr>
        <w:t> </w:t>
      </w:r>
      <w:r>
        <w:rPr>
          <w:color w:val="231F20"/>
          <w:w w:val="120"/>
        </w:rPr>
        <w:t>autrui,</w:t>
      </w:r>
      <w:r>
        <w:rPr>
          <w:color w:val="231F20"/>
          <w:spacing w:val="-3"/>
          <w:w w:val="120"/>
        </w:rPr>
        <w:t> </w:t>
      </w:r>
      <w:r>
        <w:rPr>
          <w:color w:val="231F20"/>
          <w:w w:val="120"/>
        </w:rPr>
        <w:t>de</w:t>
      </w:r>
      <w:r>
        <w:rPr>
          <w:color w:val="231F20"/>
          <w:spacing w:val="-3"/>
          <w:w w:val="120"/>
        </w:rPr>
        <w:t> </w:t>
      </w:r>
      <w:r>
        <w:rPr>
          <w:color w:val="231F20"/>
          <w:w w:val="120"/>
        </w:rPr>
        <w:t>même</w:t>
      </w:r>
      <w:r>
        <w:rPr>
          <w:color w:val="231F20"/>
          <w:spacing w:val="-3"/>
          <w:w w:val="120"/>
        </w:rPr>
        <w:t> </w:t>
      </w:r>
      <w:r>
        <w:rPr>
          <w:color w:val="231F20"/>
          <w:w w:val="120"/>
        </w:rPr>
        <w:t>que</w:t>
      </w:r>
      <w:r>
        <w:rPr>
          <w:color w:val="231F20"/>
          <w:spacing w:val="-3"/>
          <w:w w:val="120"/>
        </w:rPr>
        <w:t> </w:t>
      </w:r>
      <w:r>
        <w:rPr>
          <w:color w:val="231F20"/>
          <w:w w:val="120"/>
        </w:rPr>
        <w:t>sur</w:t>
      </w:r>
      <w:r>
        <w:rPr>
          <w:color w:val="231F20"/>
          <w:spacing w:val="-3"/>
          <w:w w:val="120"/>
        </w:rPr>
        <w:t> </w:t>
      </w:r>
      <w:r>
        <w:rPr>
          <w:color w:val="231F20"/>
          <w:w w:val="120"/>
        </w:rPr>
        <w:t>la</w:t>
      </w:r>
      <w:r>
        <w:rPr>
          <w:color w:val="231F20"/>
          <w:spacing w:val="-3"/>
          <w:w w:val="120"/>
        </w:rPr>
        <w:t> </w:t>
      </w:r>
      <w:r>
        <w:rPr>
          <w:color w:val="231F20"/>
          <w:w w:val="120"/>
        </w:rPr>
        <w:t>confiance</w:t>
      </w:r>
      <w:r>
        <w:rPr>
          <w:color w:val="231F20"/>
          <w:spacing w:val="-3"/>
          <w:w w:val="120"/>
        </w:rPr>
        <w:t> </w:t>
      </w:r>
      <w:r>
        <w:rPr>
          <w:color w:val="231F20"/>
          <w:w w:val="120"/>
        </w:rPr>
        <w:t>que</w:t>
      </w:r>
      <w:r>
        <w:rPr>
          <w:color w:val="231F20"/>
          <w:spacing w:val="-3"/>
          <w:w w:val="120"/>
        </w:rPr>
        <w:t> </w:t>
      </w:r>
      <w:r>
        <w:rPr>
          <w:color w:val="231F20"/>
          <w:w w:val="120"/>
        </w:rPr>
        <w:t>l’individu inspire lui-même aux autres.</w:t>
      </w:r>
    </w:p>
    <w:p>
      <w:pPr>
        <w:pStyle w:val="BodyText"/>
        <w:spacing w:line="307" w:lineRule="auto" w:before="79"/>
        <w:ind w:left="1720" w:right="107"/>
        <w:jc w:val="both"/>
      </w:pPr>
      <w:r>
        <w:rPr>
          <w:color w:val="231F20"/>
          <w:w w:val="115"/>
        </w:rPr>
        <w:t>Tout</w:t>
      </w:r>
      <w:r>
        <w:rPr>
          <w:color w:val="231F20"/>
          <w:spacing w:val="-8"/>
          <w:w w:val="115"/>
        </w:rPr>
        <w:t> </w:t>
      </w:r>
      <w:r>
        <w:rPr>
          <w:color w:val="231F20"/>
          <w:w w:val="115"/>
        </w:rPr>
        <w:t>comme</w:t>
      </w:r>
      <w:r>
        <w:rPr>
          <w:color w:val="231F20"/>
          <w:spacing w:val="-8"/>
          <w:w w:val="115"/>
        </w:rPr>
        <w:t> </w:t>
      </w:r>
      <w:r>
        <w:rPr>
          <w:color w:val="231F20"/>
          <w:w w:val="115"/>
        </w:rPr>
        <w:t>l’humilité</w:t>
      </w:r>
      <w:r>
        <w:rPr>
          <w:color w:val="231F20"/>
          <w:spacing w:val="-8"/>
          <w:w w:val="115"/>
        </w:rPr>
        <w:t> </w:t>
      </w:r>
      <w:r>
        <w:rPr>
          <w:color w:val="231F20"/>
          <w:w w:val="115"/>
        </w:rPr>
        <w:t>et</w:t>
      </w:r>
      <w:r>
        <w:rPr>
          <w:color w:val="231F20"/>
          <w:spacing w:val="-8"/>
          <w:w w:val="115"/>
        </w:rPr>
        <w:t> </w:t>
      </w:r>
      <w:r>
        <w:rPr>
          <w:color w:val="231F20"/>
          <w:w w:val="115"/>
        </w:rPr>
        <w:t>le</w:t>
      </w:r>
      <w:r>
        <w:rPr>
          <w:color w:val="231F20"/>
          <w:spacing w:val="-8"/>
          <w:w w:val="115"/>
        </w:rPr>
        <w:t> </w:t>
      </w:r>
      <w:r>
        <w:rPr>
          <w:color w:val="231F20"/>
          <w:w w:val="115"/>
        </w:rPr>
        <w:t>courage</w:t>
      </w:r>
      <w:r>
        <w:rPr>
          <w:color w:val="231F20"/>
          <w:spacing w:val="-8"/>
          <w:w w:val="115"/>
        </w:rPr>
        <w:t> </w:t>
      </w:r>
      <w:r>
        <w:rPr>
          <w:color w:val="231F20"/>
          <w:w w:val="115"/>
        </w:rPr>
        <w:t>qui</w:t>
      </w:r>
      <w:r>
        <w:rPr>
          <w:color w:val="231F20"/>
          <w:spacing w:val="-8"/>
          <w:w w:val="115"/>
        </w:rPr>
        <w:t> </w:t>
      </w:r>
      <w:r>
        <w:rPr>
          <w:color w:val="231F20"/>
          <w:w w:val="115"/>
        </w:rPr>
        <w:t>sont</w:t>
      </w:r>
      <w:r>
        <w:rPr>
          <w:color w:val="231F20"/>
          <w:spacing w:val="-8"/>
          <w:w w:val="115"/>
        </w:rPr>
        <w:t> </w:t>
      </w:r>
      <w:r>
        <w:rPr>
          <w:color w:val="231F20"/>
          <w:w w:val="115"/>
        </w:rPr>
        <w:t>les</w:t>
      </w:r>
      <w:r>
        <w:rPr>
          <w:color w:val="231F20"/>
          <w:spacing w:val="-8"/>
          <w:w w:val="115"/>
        </w:rPr>
        <w:t> </w:t>
      </w:r>
      <w:r>
        <w:rPr>
          <w:color w:val="231F20"/>
          <w:w w:val="115"/>
        </w:rPr>
        <w:t>extrêmes</w:t>
      </w:r>
      <w:r>
        <w:rPr>
          <w:color w:val="231F20"/>
          <w:spacing w:val="-8"/>
          <w:w w:val="115"/>
        </w:rPr>
        <w:t> </w:t>
      </w:r>
      <w:r>
        <w:rPr>
          <w:color w:val="231F20"/>
          <w:w w:val="115"/>
        </w:rPr>
        <w:t>vertueux qui</w:t>
      </w:r>
      <w:r>
        <w:rPr>
          <w:color w:val="231F20"/>
          <w:spacing w:val="-7"/>
          <w:w w:val="115"/>
        </w:rPr>
        <w:t> </w:t>
      </w:r>
      <w:r>
        <w:rPr>
          <w:color w:val="231F20"/>
          <w:w w:val="115"/>
        </w:rPr>
        <w:t>génèrent</w:t>
      </w:r>
      <w:r>
        <w:rPr>
          <w:color w:val="231F20"/>
          <w:spacing w:val="-7"/>
          <w:w w:val="115"/>
        </w:rPr>
        <w:t> </w:t>
      </w:r>
      <w:r>
        <w:rPr>
          <w:color w:val="231F20"/>
          <w:w w:val="115"/>
        </w:rPr>
        <w:t>l’estime</w:t>
      </w:r>
      <w:r>
        <w:rPr>
          <w:color w:val="231F20"/>
          <w:spacing w:val="-7"/>
          <w:w w:val="115"/>
        </w:rPr>
        <w:t> </w:t>
      </w:r>
      <w:r>
        <w:rPr>
          <w:color w:val="231F20"/>
          <w:w w:val="115"/>
        </w:rPr>
        <w:t>de</w:t>
      </w:r>
      <w:r>
        <w:rPr>
          <w:color w:val="231F20"/>
          <w:spacing w:val="-7"/>
          <w:w w:val="115"/>
        </w:rPr>
        <w:t> </w:t>
      </w:r>
      <w:r>
        <w:rPr>
          <w:color w:val="231F20"/>
          <w:w w:val="115"/>
        </w:rPr>
        <w:t>soi,</w:t>
      </w:r>
      <w:r>
        <w:rPr>
          <w:color w:val="231F20"/>
          <w:spacing w:val="-7"/>
          <w:w w:val="115"/>
        </w:rPr>
        <w:t> </w:t>
      </w:r>
      <w:r>
        <w:rPr>
          <w:color w:val="231F20"/>
          <w:w w:val="115"/>
        </w:rPr>
        <w:t>l’humiliation</w:t>
      </w:r>
      <w:r>
        <w:rPr>
          <w:color w:val="231F20"/>
          <w:spacing w:val="-7"/>
          <w:w w:val="115"/>
        </w:rPr>
        <w:t> </w:t>
      </w:r>
      <w:r>
        <w:rPr>
          <w:color w:val="231F20"/>
          <w:w w:val="115"/>
        </w:rPr>
        <w:t>et</w:t>
      </w:r>
      <w:r>
        <w:rPr>
          <w:color w:val="231F20"/>
          <w:spacing w:val="-7"/>
          <w:w w:val="115"/>
        </w:rPr>
        <w:t> </w:t>
      </w:r>
      <w:r>
        <w:rPr>
          <w:color w:val="231F20"/>
          <w:w w:val="115"/>
        </w:rPr>
        <w:t>l’arrogance</w:t>
      </w:r>
      <w:r>
        <w:rPr>
          <w:color w:val="231F20"/>
          <w:spacing w:val="-7"/>
          <w:w w:val="115"/>
        </w:rPr>
        <w:t> </w:t>
      </w:r>
      <w:r>
        <w:rPr>
          <w:color w:val="231F20"/>
          <w:w w:val="115"/>
        </w:rPr>
        <w:t>en</w:t>
      </w:r>
      <w:r>
        <w:rPr>
          <w:color w:val="231F20"/>
          <w:spacing w:val="-7"/>
          <w:w w:val="115"/>
        </w:rPr>
        <w:t> </w:t>
      </w:r>
      <w:r>
        <w:rPr>
          <w:color w:val="231F20"/>
          <w:w w:val="115"/>
        </w:rPr>
        <w:t>sont</w:t>
      </w:r>
      <w:r>
        <w:rPr>
          <w:color w:val="231F20"/>
          <w:spacing w:val="-7"/>
          <w:w w:val="115"/>
        </w:rPr>
        <w:t> </w:t>
      </w:r>
      <w:r>
        <w:rPr>
          <w:color w:val="231F20"/>
          <w:w w:val="115"/>
        </w:rPr>
        <w:t>les </w:t>
      </w:r>
      <w:r>
        <w:rPr>
          <w:color w:val="231F20"/>
          <w:spacing w:val="-2"/>
          <w:w w:val="120"/>
        </w:rPr>
        <w:t>extrêmes</w:t>
      </w:r>
      <w:r>
        <w:rPr>
          <w:color w:val="231F20"/>
          <w:spacing w:val="-13"/>
          <w:w w:val="120"/>
        </w:rPr>
        <w:t> </w:t>
      </w:r>
      <w:r>
        <w:rPr>
          <w:color w:val="231F20"/>
          <w:spacing w:val="-2"/>
          <w:w w:val="120"/>
        </w:rPr>
        <w:t>négatifs</w:t>
      </w:r>
      <w:r>
        <w:rPr>
          <w:color w:val="231F20"/>
          <w:spacing w:val="-11"/>
          <w:w w:val="120"/>
        </w:rPr>
        <w:t> </w:t>
      </w:r>
      <w:r>
        <w:rPr>
          <w:color w:val="231F20"/>
          <w:spacing w:val="-2"/>
          <w:w w:val="120"/>
        </w:rPr>
        <w:t>sur</w:t>
      </w:r>
      <w:r>
        <w:rPr>
          <w:color w:val="231F20"/>
          <w:spacing w:val="-11"/>
          <w:w w:val="120"/>
        </w:rPr>
        <w:t> </w:t>
      </w:r>
      <w:r>
        <w:rPr>
          <w:color w:val="231F20"/>
          <w:spacing w:val="-2"/>
          <w:w w:val="120"/>
        </w:rPr>
        <w:t>les</w:t>
      </w:r>
      <w:r>
        <w:rPr>
          <w:color w:val="231F20"/>
          <w:spacing w:val="-10"/>
          <w:w w:val="120"/>
        </w:rPr>
        <w:t> </w:t>
      </w:r>
      <w:r>
        <w:rPr>
          <w:color w:val="231F20"/>
          <w:spacing w:val="-2"/>
          <w:w w:val="120"/>
        </w:rPr>
        <w:t>plans</w:t>
      </w:r>
      <w:r>
        <w:rPr>
          <w:color w:val="231F20"/>
          <w:spacing w:val="-11"/>
          <w:w w:val="120"/>
        </w:rPr>
        <w:t> </w:t>
      </w:r>
      <w:r>
        <w:rPr>
          <w:color w:val="231F20"/>
          <w:spacing w:val="-2"/>
          <w:w w:val="120"/>
        </w:rPr>
        <w:t>comportemental</w:t>
      </w:r>
      <w:r>
        <w:rPr>
          <w:color w:val="231F20"/>
          <w:spacing w:val="-11"/>
          <w:w w:val="120"/>
        </w:rPr>
        <w:t> </w:t>
      </w:r>
      <w:r>
        <w:rPr>
          <w:color w:val="231F20"/>
          <w:spacing w:val="-2"/>
          <w:w w:val="120"/>
        </w:rPr>
        <w:t>et</w:t>
      </w:r>
      <w:r>
        <w:rPr>
          <w:color w:val="231F20"/>
          <w:spacing w:val="-11"/>
          <w:w w:val="120"/>
        </w:rPr>
        <w:t> </w:t>
      </w:r>
      <w:r>
        <w:rPr>
          <w:color w:val="231F20"/>
          <w:spacing w:val="-2"/>
          <w:w w:val="120"/>
        </w:rPr>
        <w:t>adaptatif,</w:t>
      </w:r>
      <w:r>
        <w:rPr>
          <w:color w:val="231F20"/>
          <w:spacing w:val="-10"/>
          <w:w w:val="120"/>
        </w:rPr>
        <w:t> </w:t>
      </w:r>
      <w:r>
        <w:rPr>
          <w:color w:val="231F20"/>
          <w:spacing w:val="-2"/>
          <w:w w:val="120"/>
        </w:rPr>
        <w:t>tandis </w:t>
      </w:r>
      <w:r>
        <w:rPr>
          <w:color w:val="231F20"/>
          <w:w w:val="120"/>
        </w:rPr>
        <w:t>que la dépression et le narcissisme (ou les manies) en sont les extrêmes</w:t>
      </w:r>
      <w:r>
        <w:rPr>
          <w:color w:val="231F20"/>
          <w:spacing w:val="-13"/>
          <w:w w:val="120"/>
        </w:rPr>
        <w:t> </w:t>
      </w:r>
      <w:r>
        <w:rPr>
          <w:color w:val="231F20"/>
          <w:w w:val="120"/>
        </w:rPr>
        <w:t>psychopathologiques.</w:t>
      </w:r>
    </w:p>
    <w:p>
      <w:pPr>
        <w:pStyle w:val="BodyText"/>
        <w:spacing w:before="6"/>
        <w:rPr>
          <w:sz w:val="11"/>
        </w:rPr>
      </w:pPr>
      <w:r>
        <w:rPr/>
        <w:pict>
          <v:group style="position:absolute;margin-left:82pt;margin-top:7.824463pt;width:287.5pt;height:243.85pt;mso-position-horizontal-relative:page;mso-position-vertical-relative:paragraph;z-index:-15646208;mso-wrap-distance-left:0;mso-wrap-distance-right:0" id="docshapegroup941" coordorigin="1640,156" coordsize="5750,4877">
            <v:shape style="position:absolute;left:1640;top:156;width:5750;height:4877" id="docshape942" coordorigin="1640,156" coordsize="5750,4877" path="m7390,156l1640,156,1640,701,1640,861,1640,4363,1640,4473,1640,5033,7390,5033,7390,4473,7390,4363,7390,861,7390,701,7390,156xe" filled="true" fillcolor="#e2e3e4" stroked="false">
              <v:path arrowok="t"/>
              <v:fill type="solid"/>
            </v:shape>
            <v:line style="position:absolute" from="1890,4361" to="7140,4361" stroked="true" strokeweight=".25pt" strokecolor="#231f20">
              <v:stroke dashstyle="shortdot"/>
            </v:line>
            <v:shape style="position:absolute;left:1890;top:798;width:5250;height:3376" id="docshape943" coordorigin="1890,799" coordsize="5250,3376" path="m7140,799l1890,799,4526,4174,7140,801,7140,799xe" filled="true" fillcolor="#ffffff" stroked="false">
              <v:path arrowok="t"/>
              <v:fill type="solid"/>
            </v:shape>
            <v:shape style="position:absolute;left:3540;top:886;width:1952;height:2405" id="docshape944" coordorigin="3540,887" coordsize="1952,2405" path="m4516,887l4449,890,4383,898,4319,911,4256,930,4195,953,4136,981,4079,1014,4023,1051,3970,1092,3920,1137,3872,1186,3826,1239,3783,1295,3744,1354,3707,1417,3673,1482,3643,1550,3617,1621,3594,1694,3575,1769,3560,1847,3549,1926,3543,2007,3540,2089,3543,2171,3549,2252,3560,2331,3575,2409,3594,2484,3617,2557,3643,2628,3673,2696,3707,2761,3744,2824,3783,2883,3826,2939,3872,2992,3920,3041,3970,3086,4023,3127,4079,3164,4136,3197,4195,3225,4256,3248,4319,3267,4383,3280,4449,3288,4516,3291,4583,3288,4648,3280,4712,3267,4775,3248,4836,3225,4896,3197,4953,3164,5008,3127,5061,3086,5112,3041,5160,2992,5206,2939,5248,2883,5288,2824,5325,2761,5358,2696,5388,2628,5415,2557,5438,2484,5457,2409,5472,2331,5482,2252,5489,2171,5491,2089,5489,2007,5482,1926,5472,1847,5457,1769,5438,1694,5415,1621,5388,1550,5358,1482,5325,1417,5288,1354,5248,1295,5206,1239,5160,1186,5112,1137,5061,1092,5008,1051,4953,1014,4896,981,4836,953,4775,930,4712,911,4648,898,4583,890,4516,887xe" filled="true" fillcolor="#c7c8ca" stroked="false">
              <v:path arrowok="t"/>
              <v:fill type="solid"/>
            </v:shape>
            <v:shape style="position:absolute;left:3697;top:1457;width:1637;height:1640" id="docshape945" coordorigin="3698,1458" coordsize="1637,1640" path="m4516,1458l4441,1461,4369,1471,4298,1487,4230,1509,4165,1536,4103,1569,4044,1608,3989,1650,3937,1698,3890,1749,3847,1805,3809,1864,3776,1926,3749,1991,3727,2059,3711,2130,3701,2203,3698,2277,3701,2352,3711,2425,3727,2495,3749,2563,3776,2629,3809,2691,3847,2750,3890,2806,3937,2857,3989,2904,4044,2947,4103,2985,4165,3018,4230,3046,4298,3068,4369,3084,4441,3094,4516,3097,4590,3094,4663,3084,4733,3068,4801,3046,4867,3018,4929,2985,4988,2947,5043,2904,5094,2857,5142,2806,5184,2750,5222,2691,5255,2629,5283,2563,5305,2495,5321,2425,5331,2352,5334,2277,5331,2203,5321,2130,5305,2059,5283,1991,5255,1926,5222,1864,5184,1805,5142,1749,5094,1698,5043,1650,4988,1608,4929,1569,4867,1536,4801,1509,4733,1487,4663,1471,4590,1461,4516,1458xe" filled="true" fillcolor="#939598" stroked="false">
              <v:path arrowok="t"/>
              <v:fill type="solid"/>
            </v:shape>
            <v:shape style="position:absolute;left:3907;top:2088;width:1217;height:885" id="docshape946" coordorigin="3907,2089" coordsize="1217,885" path="m4516,2089l4426,2094,4340,2108,4259,2130,4185,2160,4117,2197,4057,2241,4005,2290,3964,2345,3933,2403,3914,2466,3907,2531,3914,2596,3933,2659,3964,2717,4005,2772,4057,2821,4117,2865,4185,2902,4259,2932,4340,2954,4426,2968,4516,2973,4606,2968,4692,2954,4772,2932,4847,2902,4915,2865,4975,2821,5026,2772,5068,2717,5098,2659,5118,2596,5124,2531,5118,2466,5098,2403,5068,2345,5026,2290,4975,2241,4915,2197,4847,2160,4772,2130,4692,2108,4606,2094,4516,2089xe" filled="true" fillcolor="#636466" stroked="false">
              <v:path arrowok="t"/>
              <v:fill type="solid"/>
            </v:shape>
            <v:shape style="position:absolute;left:1889;top:328;width:3513;height:246" type="#_x0000_t202" id="docshape947" filled="false" stroked="false">
              <v:textbox inset="0,0,0,0">
                <w:txbxContent>
                  <w:p>
                    <w:pPr>
                      <w:spacing w:before="44"/>
                      <w:ind w:left="0" w:right="0" w:firstLine="0"/>
                      <w:jc w:val="left"/>
                      <w:rPr>
                        <w:rFonts w:ascii="Arial" w:hAnsi="Arial"/>
                        <w:b/>
                        <w:sz w:val="17"/>
                      </w:rPr>
                    </w:pPr>
                    <w:r>
                      <w:rPr>
                        <w:rFonts w:ascii="Arial" w:hAnsi="Arial"/>
                        <w:color w:val="231F20"/>
                        <w:sz w:val="17"/>
                      </w:rPr>
                      <w:t>Figure</w:t>
                    </w:r>
                    <w:r>
                      <w:rPr>
                        <w:rFonts w:ascii="Arial" w:hAnsi="Arial"/>
                        <w:color w:val="231F20"/>
                        <w:spacing w:val="-12"/>
                        <w:sz w:val="17"/>
                      </w:rPr>
                      <w:t> </w:t>
                    </w:r>
                    <w:r>
                      <w:rPr>
                        <w:rFonts w:ascii="Arial" w:hAnsi="Arial"/>
                        <w:color w:val="231F20"/>
                        <w:sz w:val="17"/>
                      </w:rPr>
                      <w:t>4.4</w:t>
                    </w:r>
                    <w:r>
                      <w:rPr>
                        <w:rFonts w:ascii="Arial" w:hAnsi="Arial"/>
                        <w:color w:val="231F20"/>
                        <w:spacing w:val="-16"/>
                        <w:sz w:val="17"/>
                      </w:rPr>
                      <w:t> </w:t>
                    </w:r>
                    <w:r>
                      <w:rPr>
                        <w:rFonts w:ascii="Arial" w:hAnsi="Arial"/>
                        <w:i/>
                        <w:color w:val="231F20"/>
                        <w:sz w:val="17"/>
                      </w:rPr>
                      <w:t>/</w:t>
                    </w:r>
                    <w:r>
                      <w:rPr>
                        <w:rFonts w:ascii="Arial" w:hAnsi="Arial"/>
                        <w:i/>
                        <w:color w:val="231F20"/>
                        <w:spacing w:val="32"/>
                        <w:sz w:val="17"/>
                      </w:rPr>
                      <w:t> </w:t>
                    </w:r>
                    <w:r>
                      <w:rPr>
                        <w:rFonts w:ascii="Arial" w:hAnsi="Arial"/>
                        <w:b/>
                        <w:color w:val="231F20"/>
                        <w:sz w:val="17"/>
                      </w:rPr>
                      <w:t>Modèle</w:t>
                    </w:r>
                    <w:r>
                      <w:rPr>
                        <w:rFonts w:ascii="Arial" w:hAnsi="Arial"/>
                        <w:b/>
                        <w:color w:val="231F20"/>
                        <w:spacing w:val="-11"/>
                        <w:sz w:val="17"/>
                      </w:rPr>
                      <w:t> </w:t>
                    </w:r>
                    <w:r>
                      <w:rPr>
                        <w:rFonts w:ascii="Arial" w:hAnsi="Arial"/>
                        <w:b/>
                        <w:color w:val="231F20"/>
                        <w:sz w:val="17"/>
                      </w:rPr>
                      <w:t>triaxial</w:t>
                    </w:r>
                    <w:r>
                      <w:rPr>
                        <w:rFonts w:ascii="Arial" w:hAnsi="Arial"/>
                        <w:b/>
                        <w:color w:val="231F20"/>
                        <w:spacing w:val="-12"/>
                        <w:sz w:val="17"/>
                      </w:rPr>
                      <w:t> </w:t>
                    </w:r>
                    <w:r>
                      <w:rPr>
                        <w:rFonts w:ascii="Arial" w:hAnsi="Arial"/>
                        <w:b/>
                        <w:color w:val="231F20"/>
                        <w:sz w:val="17"/>
                      </w:rPr>
                      <w:t>de</w:t>
                    </w:r>
                    <w:r>
                      <w:rPr>
                        <w:rFonts w:ascii="Arial" w:hAnsi="Arial"/>
                        <w:b/>
                        <w:color w:val="231F20"/>
                        <w:spacing w:val="-12"/>
                        <w:sz w:val="17"/>
                      </w:rPr>
                      <w:t> </w:t>
                    </w:r>
                    <w:r>
                      <w:rPr>
                        <w:rFonts w:ascii="Arial" w:hAnsi="Arial"/>
                        <w:b/>
                        <w:color w:val="231F20"/>
                        <w:sz w:val="17"/>
                      </w:rPr>
                      <w:t>l’estime</w:t>
                    </w:r>
                    <w:r>
                      <w:rPr>
                        <w:rFonts w:ascii="Arial" w:hAnsi="Arial"/>
                        <w:b/>
                        <w:color w:val="231F20"/>
                        <w:spacing w:val="-12"/>
                        <w:sz w:val="17"/>
                      </w:rPr>
                      <w:t> </w:t>
                    </w:r>
                    <w:r>
                      <w:rPr>
                        <w:rFonts w:ascii="Arial" w:hAnsi="Arial"/>
                        <w:b/>
                        <w:color w:val="231F20"/>
                        <w:sz w:val="17"/>
                      </w:rPr>
                      <w:t>de</w:t>
                    </w:r>
                    <w:r>
                      <w:rPr>
                        <w:rFonts w:ascii="Arial" w:hAnsi="Arial"/>
                        <w:b/>
                        <w:color w:val="231F20"/>
                        <w:spacing w:val="-12"/>
                        <w:sz w:val="17"/>
                      </w:rPr>
                      <w:t> </w:t>
                    </w:r>
                    <w:r>
                      <w:rPr>
                        <w:rFonts w:ascii="Arial" w:hAnsi="Arial"/>
                        <w:b/>
                        <w:color w:val="231F20"/>
                        <w:spacing w:val="-5"/>
                        <w:sz w:val="17"/>
                      </w:rPr>
                      <w:t>soi</w:t>
                    </w:r>
                  </w:p>
                </w:txbxContent>
              </v:textbox>
              <w10:wrap type="none"/>
            </v:shape>
            <v:shape style="position:absolute;left:2455;top:877;width:786;height:370" type="#_x0000_t202" id="docshape948" filled="false" stroked="false">
              <v:textbox inset="0,0,0,0">
                <w:txbxContent>
                  <w:p>
                    <w:pPr>
                      <w:spacing w:line="249" w:lineRule="auto" w:before="13"/>
                      <w:ind w:left="0" w:right="0" w:firstLine="266"/>
                      <w:jc w:val="left"/>
                      <w:rPr>
                        <w:rFonts w:ascii="Arial" w:hAnsi="Arial"/>
                        <w:sz w:val="15"/>
                      </w:rPr>
                    </w:pPr>
                    <w:r>
                      <w:rPr>
                        <w:rFonts w:ascii="Arial" w:hAnsi="Arial"/>
                        <w:color w:val="231F20"/>
                        <w:spacing w:val="-4"/>
                        <w:sz w:val="15"/>
                      </w:rPr>
                      <w:t>Axe</w:t>
                    </w:r>
                    <w:r>
                      <w:rPr>
                        <w:rFonts w:ascii="Arial" w:hAnsi="Arial"/>
                        <w:color w:val="231F20"/>
                        <w:sz w:val="15"/>
                      </w:rPr>
                      <w:t> </w:t>
                    </w:r>
                    <w:r>
                      <w:rPr>
                        <w:rFonts w:ascii="Arial" w:hAnsi="Arial"/>
                        <w:color w:val="231F20"/>
                        <w:spacing w:val="-2"/>
                        <w:w w:val="90"/>
                        <w:sz w:val="15"/>
                      </w:rPr>
                      <w:t>économique</w:t>
                    </w:r>
                  </w:p>
                </w:txbxContent>
              </v:textbox>
              <w10:wrap type="none"/>
            </v:shape>
            <v:shape style="position:absolute;left:4114;top:1019;width:824;height:370" type="#_x0000_t202" id="docshape949" filled="false" stroked="false">
              <v:textbox inset="0,0,0,0">
                <w:txbxContent>
                  <w:p>
                    <w:pPr>
                      <w:spacing w:line="249" w:lineRule="auto" w:before="13"/>
                      <w:ind w:left="193" w:right="14" w:hanging="194"/>
                      <w:jc w:val="left"/>
                      <w:rPr>
                        <w:rFonts w:ascii="Arial"/>
                        <w:sz w:val="15"/>
                      </w:rPr>
                    </w:pPr>
                    <w:r>
                      <w:rPr>
                        <w:rFonts w:ascii="Arial"/>
                        <w:color w:val="231F20"/>
                        <w:w w:val="90"/>
                        <w:sz w:val="15"/>
                      </w:rPr>
                      <w:t>Estime</w:t>
                    </w:r>
                    <w:r>
                      <w:rPr>
                        <w:rFonts w:ascii="Arial"/>
                        <w:color w:val="231F20"/>
                        <w:spacing w:val="-10"/>
                        <w:w w:val="90"/>
                        <w:sz w:val="15"/>
                      </w:rPr>
                      <w:t> </w:t>
                    </w:r>
                    <w:r>
                      <w:rPr>
                        <w:rFonts w:ascii="Arial"/>
                        <w:color w:val="231F20"/>
                        <w:w w:val="90"/>
                        <w:sz w:val="15"/>
                      </w:rPr>
                      <w:t>de</w:t>
                    </w:r>
                    <w:r>
                      <w:rPr>
                        <w:rFonts w:ascii="Arial"/>
                        <w:color w:val="231F20"/>
                        <w:spacing w:val="-10"/>
                        <w:w w:val="90"/>
                        <w:sz w:val="15"/>
                      </w:rPr>
                      <w:t> </w:t>
                    </w:r>
                    <w:r>
                      <w:rPr>
                        <w:rFonts w:ascii="Arial"/>
                        <w:color w:val="231F20"/>
                        <w:w w:val="90"/>
                        <w:sz w:val="15"/>
                      </w:rPr>
                      <w:t>soi</w:t>
                    </w:r>
                    <w:r>
                      <w:rPr>
                        <w:rFonts w:ascii="Arial"/>
                        <w:color w:val="231F20"/>
                        <w:sz w:val="15"/>
                      </w:rPr>
                      <w:t> </w:t>
                    </w:r>
                    <w:r>
                      <w:rPr>
                        <w:rFonts w:ascii="Arial"/>
                        <w:color w:val="231F20"/>
                        <w:spacing w:val="-2"/>
                        <w:sz w:val="15"/>
                      </w:rPr>
                      <w:t>sociale</w:t>
                    </w:r>
                  </w:p>
                </w:txbxContent>
              </v:textbox>
              <w10:wrap type="none"/>
            </v:shape>
            <v:shape style="position:absolute;left:5857;top:877;width:724;height:370" type="#_x0000_t202" id="docshape950" filled="false" stroked="false">
              <v:textbox inset="0,0,0,0">
                <w:txbxContent>
                  <w:p>
                    <w:pPr>
                      <w:spacing w:line="249" w:lineRule="auto" w:before="13"/>
                      <w:ind w:left="0" w:right="0" w:firstLine="235"/>
                      <w:jc w:val="left"/>
                      <w:rPr>
                        <w:rFonts w:ascii="Arial" w:hAnsi="Arial"/>
                        <w:sz w:val="15"/>
                      </w:rPr>
                    </w:pPr>
                    <w:r>
                      <w:rPr>
                        <w:rFonts w:ascii="Arial" w:hAnsi="Arial"/>
                        <w:color w:val="231F20"/>
                        <w:spacing w:val="-4"/>
                        <w:sz w:val="15"/>
                      </w:rPr>
                      <w:t>Axe</w:t>
                    </w:r>
                    <w:r>
                      <w:rPr>
                        <w:rFonts w:ascii="Arial" w:hAnsi="Arial"/>
                        <w:color w:val="231F20"/>
                        <w:sz w:val="15"/>
                      </w:rPr>
                      <w:t> </w:t>
                    </w:r>
                    <w:r>
                      <w:rPr>
                        <w:rFonts w:ascii="Arial" w:hAnsi="Arial"/>
                        <w:color w:val="231F20"/>
                        <w:spacing w:val="-2"/>
                        <w:w w:val="95"/>
                        <w:sz w:val="15"/>
                      </w:rPr>
                      <w:t>émotionnel</w:t>
                    </w:r>
                  </w:p>
                </w:txbxContent>
              </v:textbox>
              <w10:wrap type="none"/>
            </v:shape>
            <v:shape style="position:absolute;left:3988;top:1652;width:1075;height:1046" type="#_x0000_t202" id="docshape951" filled="false" stroked="false">
              <v:textbox inset="0,0,0,0">
                <w:txbxContent>
                  <w:p>
                    <w:pPr>
                      <w:spacing w:line="249" w:lineRule="auto" w:before="17"/>
                      <w:ind w:left="0" w:right="18" w:hanging="1"/>
                      <w:jc w:val="center"/>
                      <w:rPr>
                        <w:rFonts w:ascii="Arial"/>
                        <w:sz w:val="15"/>
                      </w:rPr>
                    </w:pPr>
                    <w:r>
                      <w:rPr>
                        <w:rFonts w:ascii="Arial"/>
                        <w:color w:val="231F20"/>
                        <w:sz w:val="15"/>
                      </w:rPr>
                      <w:t>Estime</w:t>
                    </w:r>
                    <w:r>
                      <w:rPr>
                        <w:rFonts w:ascii="Arial"/>
                        <w:color w:val="231F20"/>
                        <w:spacing w:val="-7"/>
                        <w:sz w:val="15"/>
                      </w:rPr>
                      <w:t> </w:t>
                    </w:r>
                    <w:r>
                      <w:rPr>
                        <w:rFonts w:ascii="Arial"/>
                        <w:color w:val="231F20"/>
                        <w:sz w:val="15"/>
                      </w:rPr>
                      <w:t>de</w:t>
                    </w:r>
                    <w:r>
                      <w:rPr>
                        <w:rFonts w:ascii="Arial"/>
                        <w:color w:val="231F20"/>
                        <w:spacing w:val="-7"/>
                        <w:sz w:val="15"/>
                      </w:rPr>
                      <w:t> </w:t>
                    </w:r>
                    <w:r>
                      <w:rPr>
                        <w:rFonts w:ascii="Arial"/>
                        <w:color w:val="231F20"/>
                        <w:sz w:val="15"/>
                      </w:rPr>
                      <w:t>soi </w:t>
                    </w:r>
                    <w:r>
                      <w:rPr>
                        <w:rFonts w:ascii="Arial"/>
                        <w:color w:val="231F20"/>
                        <w:spacing w:val="-2"/>
                        <w:w w:val="90"/>
                        <w:sz w:val="15"/>
                      </w:rPr>
                      <w:t>organisationnelle</w:t>
                    </w:r>
                  </w:p>
                  <w:p>
                    <w:pPr>
                      <w:spacing w:line="240" w:lineRule="auto" w:before="0"/>
                      <w:rPr>
                        <w:rFonts w:ascii="Arial"/>
                        <w:sz w:val="18"/>
                      </w:rPr>
                    </w:pPr>
                  </w:p>
                  <w:p>
                    <w:pPr>
                      <w:spacing w:line="249" w:lineRule="auto" w:before="106"/>
                      <w:ind w:left="125" w:right="143" w:firstLine="0"/>
                      <w:jc w:val="center"/>
                      <w:rPr>
                        <w:rFonts w:ascii="Arial"/>
                        <w:sz w:val="15"/>
                      </w:rPr>
                    </w:pPr>
                    <w:r>
                      <w:rPr>
                        <w:rFonts w:ascii="Arial"/>
                        <w:color w:val="FFFFFF"/>
                        <w:w w:val="90"/>
                        <w:sz w:val="15"/>
                      </w:rPr>
                      <w:t>Estime</w:t>
                    </w:r>
                    <w:r>
                      <w:rPr>
                        <w:rFonts w:ascii="Arial"/>
                        <w:color w:val="FFFFFF"/>
                        <w:spacing w:val="-10"/>
                        <w:w w:val="90"/>
                        <w:sz w:val="15"/>
                      </w:rPr>
                      <w:t> </w:t>
                    </w:r>
                    <w:r>
                      <w:rPr>
                        <w:rFonts w:ascii="Arial"/>
                        <w:color w:val="FFFFFF"/>
                        <w:w w:val="90"/>
                        <w:sz w:val="15"/>
                      </w:rPr>
                      <w:t>de</w:t>
                    </w:r>
                    <w:r>
                      <w:rPr>
                        <w:rFonts w:ascii="Arial"/>
                        <w:color w:val="FFFFFF"/>
                        <w:spacing w:val="-10"/>
                        <w:w w:val="90"/>
                        <w:sz w:val="15"/>
                      </w:rPr>
                      <w:t> </w:t>
                    </w:r>
                    <w:r>
                      <w:rPr>
                        <w:rFonts w:ascii="Arial"/>
                        <w:color w:val="FFFFFF"/>
                        <w:w w:val="90"/>
                        <w:sz w:val="15"/>
                      </w:rPr>
                      <w:t>soi</w:t>
                    </w:r>
                    <w:r>
                      <w:rPr>
                        <w:rFonts w:ascii="Arial"/>
                        <w:color w:val="FFFFFF"/>
                        <w:sz w:val="15"/>
                      </w:rPr>
                      <w:t> </w:t>
                    </w:r>
                    <w:r>
                      <w:rPr>
                        <w:rFonts w:ascii="Arial"/>
                        <w:color w:val="FFFFFF"/>
                        <w:spacing w:val="-2"/>
                        <w:sz w:val="15"/>
                      </w:rPr>
                      <w:t>personnelle</w:t>
                    </w:r>
                  </w:p>
                </w:txbxContent>
              </v:textbox>
              <w10:wrap type="none"/>
            </v:shape>
            <v:shape style="position:absolute;left:4280;top:3344;width:492;height:370" type="#_x0000_t202" id="docshape952" filled="false" stroked="false">
              <v:textbox inset="0,0,0,0">
                <w:txbxContent>
                  <w:p>
                    <w:pPr>
                      <w:spacing w:line="249" w:lineRule="auto" w:before="13"/>
                      <w:ind w:left="0" w:right="0" w:firstLine="119"/>
                      <w:jc w:val="left"/>
                      <w:rPr>
                        <w:rFonts w:ascii="Arial" w:hAnsi="Arial"/>
                        <w:sz w:val="15"/>
                      </w:rPr>
                    </w:pPr>
                    <w:r>
                      <w:rPr>
                        <w:rFonts w:ascii="Arial" w:hAnsi="Arial"/>
                        <w:color w:val="231F20"/>
                        <w:spacing w:val="-4"/>
                        <w:sz w:val="15"/>
                      </w:rPr>
                      <w:t>Axe</w:t>
                    </w:r>
                    <w:r>
                      <w:rPr>
                        <w:rFonts w:ascii="Arial" w:hAnsi="Arial"/>
                        <w:color w:val="231F20"/>
                        <w:sz w:val="15"/>
                      </w:rPr>
                      <w:t> </w:t>
                    </w:r>
                    <w:r>
                      <w:rPr>
                        <w:rFonts w:ascii="Arial" w:hAnsi="Arial"/>
                        <w:color w:val="231F20"/>
                        <w:spacing w:val="-2"/>
                        <w:w w:val="95"/>
                        <w:sz w:val="15"/>
                      </w:rPr>
                      <w:t>éthique</w:t>
                    </w:r>
                  </w:p>
                </w:txbxContent>
              </v:textbox>
              <w10:wrap type="none"/>
            </v:shape>
            <v:shape style="position:absolute;left:1890;top:4473;width:5270;height:340" type="#_x0000_t202" id="docshape953" filled="false" stroked="false">
              <v:textbox inset="0,0,0,0">
                <w:txbxContent>
                  <w:p>
                    <w:pPr>
                      <w:spacing w:line="295" w:lineRule="auto" w:before="23"/>
                      <w:ind w:left="0" w:right="18" w:firstLine="0"/>
                      <w:jc w:val="left"/>
                      <w:rPr>
                        <w:rFonts w:ascii="Arial" w:hAnsi="Arial"/>
                        <w:sz w:val="12"/>
                      </w:rPr>
                    </w:pPr>
                    <w:r>
                      <w:rPr>
                        <w:rFonts w:ascii="Arial" w:hAnsi="Arial"/>
                        <w:color w:val="231F20"/>
                        <w:sz w:val="12"/>
                      </w:rPr>
                      <w:t>Source</w:t>
                    </w:r>
                    <w:r>
                      <w:rPr>
                        <w:rFonts w:ascii="Arial" w:hAnsi="Arial"/>
                        <w:color w:val="231F20"/>
                        <w:spacing w:val="-23"/>
                        <w:sz w:val="12"/>
                      </w:rPr>
                      <w:t> </w:t>
                    </w:r>
                    <w:r>
                      <w:rPr>
                        <w:rFonts w:ascii="Arial" w:hAnsi="Arial"/>
                        <w:color w:val="231F20"/>
                        <w:sz w:val="12"/>
                      </w:rPr>
                      <w:t>:</w:t>
                    </w:r>
                    <w:r>
                      <w:rPr>
                        <w:rFonts w:ascii="Arial" w:hAnsi="Arial"/>
                        <w:color w:val="231F20"/>
                        <w:spacing w:val="-9"/>
                        <w:sz w:val="12"/>
                      </w:rPr>
                      <w:t> </w:t>
                    </w:r>
                    <w:r>
                      <w:rPr>
                        <w:rFonts w:ascii="Arial" w:hAnsi="Arial"/>
                        <w:color w:val="231F20"/>
                        <w:sz w:val="12"/>
                      </w:rPr>
                      <w:t>D’après</w:t>
                    </w:r>
                    <w:r>
                      <w:rPr>
                        <w:rFonts w:ascii="Arial" w:hAnsi="Arial"/>
                        <w:color w:val="231F20"/>
                        <w:spacing w:val="-8"/>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L.</w:t>
                    </w:r>
                    <w:r>
                      <w:rPr>
                        <w:rFonts w:ascii="Arial" w:hAnsi="Arial"/>
                        <w:color w:val="231F20"/>
                        <w:spacing w:val="-9"/>
                        <w:sz w:val="12"/>
                      </w:rPr>
                      <w:t> </w:t>
                    </w:r>
                    <w:r>
                      <w:rPr>
                        <w:rFonts w:ascii="Arial" w:hAnsi="Arial"/>
                        <w:color w:val="231F20"/>
                        <w:sz w:val="12"/>
                      </w:rPr>
                      <w:t>Dolan,</w:t>
                    </w:r>
                    <w:r>
                      <w:rPr>
                        <w:rFonts w:ascii="Arial" w:hAnsi="Arial"/>
                        <w:color w:val="231F20"/>
                        <w:spacing w:val="-8"/>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García</w:t>
                    </w:r>
                    <w:r>
                      <w:rPr>
                        <w:rFonts w:ascii="Arial" w:hAnsi="Arial"/>
                        <w:color w:val="231F20"/>
                        <w:spacing w:val="-9"/>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M.</w:t>
                    </w:r>
                    <w:r>
                      <w:rPr>
                        <w:rFonts w:ascii="Arial" w:hAnsi="Arial"/>
                        <w:color w:val="231F20"/>
                        <w:spacing w:val="-9"/>
                        <w:sz w:val="12"/>
                      </w:rPr>
                      <w:t> </w:t>
                    </w:r>
                    <w:r>
                      <w:rPr>
                        <w:rFonts w:ascii="Arial" w:hAnsi="Arial"/>
                        <w:color w:val="231F20"/>
                        <w:sz w:val="12"/>
                      </w:rPr>
                      <w:t>Díez-Piñol</w:t>
                    </w:r>
                    <w:r>
                      <w:rPr>
                        <w:rFonts w:ascii="Arial" w:hAnsi="Arial"/>
                        <w:color w:val="231F20"/>
                        <w:spacing w:val="-8"/>
                        <w:sz w:val="12"/>
                      </w:rPr>
                      <w:t> </w:t>
                    </w:r>
                    <w:r>
                      <w:rPr>
                        <w:rFonts w:ascii="Arial" w:hAnsi="Arial"/>
                        <w:color w:val="231F20"/>
                        <w:sz w:val="12"/>
                      </w:rPr>
                      <w:t>(2005).</w:t>
                    </w:r>
                    <w:r>
                      <w:rPr>
                        <w:rFonts w:ascii="Arial" w:hAnsi="Arial"/>
                        <w:color w:val="231F20"/>
                        <w:spacing w:val="-8"/>
                        <w:sz w:val="12"/>
                      </w:rPr>
                      <w:t> </w:t>
                    </w:r>
                    <w:r>
                      <w:rPr>
                        <w:rFonts w:ascii="Arial" w:hAnsi="Arial"/>
                        <w:i/>
                        <w:color w:val="231F20"/>
                        <w:sz w:val="12"/>
                      </w:rPr>
                      <w:t>Autoestima,</w:t>
                    </w:r>
                    <w:r>
                      <w:rPr>
                        <w:rFonts w:ascii="Arial" w:hAnsi="Arial"/>
                        <w:i/>
                        <w:color w:val="231F20"/>
                        <w:spacing w:val="-9"/>
                        <w:sz w:val="12"/>
                      </w:rPr>
                      <w:t> </w:t>
                    </w:r>
                    <w:r>
                      <w:rPr>
                        <w:rFonts w:ascii="Arial" w:hAnsi="Arial"/>
                        <w:i/>
                        <w:color w:val="231F20"/>
                        <w:sz w:val="12"/>
                      </w:rPr>
                      <w:t>estrés</w:t>
                    </w:r>
                    <w:r>
                      <w:rPr>
                        <w:rFonts w:ascii="Arial" w:hAnsi="Arial"/>
                        <w:i/>
                        <w:color w:val="231F20"/>
                        <w:spacing w:val="-8"/>
                        <w:sz w:val="12"/>
                      </w:rPr>
                      <w:t> </w:t>
                    </w:r>
                    <w:r>
                      <w:rPr>
                        <w:rFonts w:ascii="Arial" w:hAnsi="Arial"/>
                        <w:i/>
                        <w:color w:val="231F20"/>
                        <w:sz w:val="12"/>
                      </w:rPr>
                      <w:t>y</w:t>
                    </w:r>
                    <w:r>
                      <w:rPr>
                        <w:rFonts w:ascii="Arial" w:hAnsi="Arial"/>
                        <w:i/>
                        <w:color w:val="231F20"/>
                        <w:spacing w:val="-8"/>
                        <w:sz w:val="12"/>
                      </w:rPr>
                      <w:t> </w:t>
                    </w:r>
                    <w:r>
                      <w:rPr>
                        <w:rFonts w:ascii="Arial" w:hAnsi="Arial"/>
                        <w:i/>
                        <w:color w:val="231F20"/>
                        <w:sz w:val="12"/>
                      </w:rPr>
                      <w:t>trabajo</w:t>
                    </w:r>
                    <w:r>
                      <w:rPr>
                        <w:rFonts w:ascii="Arial" w:hAnsi="Arial"/>
                        <w:color w:val="231F20"/>
                        <w:sz w:val="12"/>
                      </w:rPr>
                      <w:t>,</w:t>
                    </w:r>
                    <w:r>
                      <w:rPr>
                        <w:rFonts w:ascii="Arial" w:hAnsi="Arial"/>
                        <w:color w:val="231F20"/>
                        <w:spacing w:val="-9"/>
                        <w:sz w:val="12"/>
                      </w:rPr>
                      <w:t> </w:t>
                    </w:r>
                    <w:r>
                      <w:rPr>
                        <w:rFonts w:ascii="Arial" w:hAnsi="Arial"/>
                        <w:color w:val="231F20"/>
                        <w:sz w:val="12"/>
                      </w:rPr>
                      <w:t>Madrid,</w:t>
                    </w:r>
                    <w:r>
                      <w:rPr>
                        <w:rFonts w:ascii="Arial" w:hAnsi="Arial"/>
                        <w:color w:val="231F20"/>
                        <w:spacing w:val="40"/>
                        <w:w w:val="105"/>
                        <w:sz w:val="12"/>
                      </w:rPr>
                      <w:t> </w:t>
                    </w:r>
                    <w:r>
                      <w:rPr>
                        <w:rFonts w:ascii="Arial" w:hAnsi="Arial"/>
                        <w:color w:val="231F20"/>
                        <w:w w:val="105"/>
                        <w:sz w:val="12"/>
                      </w:rPr>
                      <w:t>McGraw-Hill,</w:t>
                    </w:r>
                    <w:r>
                      <w:rPr>
                        <w:rFonts w:ascii="Arial" w:hAnsi="Arial"/>
                        <w:color w:val="231F20"/>
                        <w:spacing w:val="-5"/>
                        <w:w w:val="105"/>
                        <w:sz w:val="12"/>
                      </w:rPr>
                      <w:t> </w:t>
                    </w:r>
                    <w:r>
                      <w:rPr>
                        <w:rFonts w:ascii="Arial" w:hAnsi="Arial"/>
                        <w:color w:val="231F20"/>
                        <w:w w:val="105"/>
                        <w:sz w:val="12"/>
                      </w:rPr>
                      <w:t>p.</w:t>
                    </w:r>
                    <w:r>
                      <w:rPr>
                        <w:rFonts w:ascii="Arial" w:hAnsi="Arial"/>
                        <w:color w:val="231F20"/>
                        <w:spacing w:val="-5"/>
                        <w:w w:val="105"/>
                        <w:sz w:val="12"/>
                      </w:rPr>
                      <w:t> </w:t>
                    </w:r>
                    <w:r>
                      <w:rPr>
                        <w:rFonts w:ascii="Arial" w:hAnsi="Arial"/>
                        <w:color w:val="231F20"/>
                        <w:w w:val="105"/>
                        <w:sz w:val="12"/>
                      </w:rPr>
                      <w:t>56.</w:t>
                    </w:r>
                    <w:r>
                      <w:rPr>
                        <w:rFonts w:ascii="Arial" w:hAnsi="Arial"/>
                        <w:color w:val="231F20"/>
                        <w:spacing w:val="-5"/>
                        <w:w w:val="105"/>
                        <w:sz w:val="12"/>
                      </w:rPr>
                      <w:t> </w:t>
                    </w:r>
                    <w:r>
                      <w:rPr>
                        <w:rFonts w:ascii="Arial" w:hAnsi="Arial"/>
                        <w:color w:val="231F20"/>
                        <w:w w:val="105"/>
                        <w:sz w:val="12"/>
                      </w:rPr>
                      <w:t>Reproduit</w:t>
                    </w:r>
                    <w:r>
                      <w:rPr>
                        <w:rFonts w:ascii="Arial" w:hAnsi="Arial"/>
                        <w:color w:val="231F20"/>
                        <w:spacing w:val="-5"/>
                        <w:w w:val="105"/>
                        <w:sz w:val="12"/>
                      </w:rPr>
                      <w:t> </w:t>
                    </w:r>
                    <w:r>
                      <w:rPr>
                        <w:rFonts w:ascii="Arial" w:hAnsi="Arial"/>
                        <w:color w:val="231F20"/>
                        <w:w w:val="105"/>
                        <w:sz w:val="12"/>
                      </w:rPr>
                      <w:t>avec</w:t>
                    </w:r>
                    <w:r>
                      <w:rPr>
                        <w:rFonts w:ascii="Arial" w:hAnsi="Arial"/>
                        <w:color w:val="231F20"/>
                        <w:spacing w:val="-5"/>
                        <w:w w:val="105"/>
                        <w:sz w:val="12"/>
                      </w:rPr>
                      <w:t> </w:t>
                    </w:r>
                    <w:r>
                      <w:rPr>
                        <w:rFonts w:ascii="Arial" w:hAnsi="Arial"/>
                        <w:color w:val="231F20"/>
                        <w:w w:val="105"/>
                        <w:sz w:val="12"/>
                      </w:rPr>
                      <w:t>l’autorisation</w:t>
                    </w:r>
                    <w:r>
                      <w:rPr>
                        <w:rFonts w:ascii="Arial" w:hAnsi="Arial"/>
                        <w:color w:val="231F20"/>
                        <w:spacing w:val="-5"/>
                        <w:w w:val="105"/>
                        <w:sz w:val="12"/>
                      </w:rPr>
                      <w:t> </w:t>
                    </w:r>
                    <w:r>
                      <w:rPr>
                        <w:rFonts w:ascii="Arial" w:hAnsi="Arial"/>
                        <w:color w:val="231F20"/>
                        <w:w w:val="105"/>
                        <w:sz w:val="12"/>
                      </w:rPr>
                      <w:t>des</w:t>
                    </w:r>
                    <w:r>
                      <w:rPr>
                        <w:rFonts w:ascii="Arial" w:hAnsi="Arial"/>
                        <w:color w:val="231F20"/>
                        <w:spacing w:val="-5"/>
                        <w:w w:val="105"/>
                        <w:sz w:val="12"/>
                      </w:rPr>
                      <w:t> </w:t>
                    </w:r>
                    <w:r>
                      <w:rPr>
                        <w:rFonts w:ascii="Arial" w:hAnsi="Arial"/>
                        <w:color w:val="231F20"/>
                        <w:w w:val="105"/>
                        <w:sz w:val="12"/>
                      </w:rPr>
                      <w:t>auteurs.</w:t>
                    </w:r>
                  </w:p>
                </w:txbxContent>
              </v:textbox>
              <w10:wrap type="none"/>
            </v:shape>
            <w10:wrap type="topAndBottom"/>
          </v:group>
        </w:pict>
      </w:r>
    </w:p>
    <w:p>
      <w:pPr>
        <w:spacing w:after="0"/>
        <w:rPr>
          <w:sz w:val="11"/>
        </w:rPr>
        <w:sectPr>
          <w:footerReference w:type="default" r:id="rId258"/>
          <w:pgSz w:w="8640" w:h="12960"/>
          <w:pgMar w:footer="424" w:header="0" w:top="500" w:bottom="620" w:left="420" w:right="1140"/>
        </w:sectPr>
      </w:pPr>
    </w:p>
    <w:p>
      <w:pPr>
        <w:spacing w:before="103"/>
        <w:ind w:left="1028" w:right="698" w:firstLine="0"/>
        <w:jc w:val="center"/>
        <w:rPr>
          <w:rFonts w:ascii="Arial" w:hAnsi="Arial"/>
          <w:sz w:val="14"/>
        </w:rPr>
      </w:pPr>
      <w:bookmarkStart w:name=" 4.7 / Comment développer l’estime de so" w:id="153"/>
      <w:bookmarkEnd w:id="153"/>
      <w:r>
        <w:rPr/>
      </w:r>
      <w:bookmarkStart w:name="_bookmark67" w:id="154"/>
      <w:bookmarkEnd w:id="15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10"/>
        <w:rPr>
          <w:rFonts w:ascii="Arial"/>
          <w:sz w:val="26"/>
        </w:rPr>
      </w:pPr>
    </w:p>
    <w:p>
      <w:pPr>
        <w:pStyle w:val="Heading2"/>
        <w:numPr>
          <w:ilvl w:val="1"/>
          <w:numId w:val="62"/>
        </w:numPr>
        <w:tabs>
          <w:tab w:pos="521" w:val="left" w:leader="none"/>
          <w:tab w:pos="829" w:val="left" w:leader="none"/>
        </w:tabs>
        <w:spacing w:line="240" w:lineRule="auto" w:before="0" w:after="0"/>
        <w:ind w:left="520" w:right="0" w:hanging="309"/>
        <w:jc w:val="left"/>
      </w:pPr>
      <w:r>
        <w:rPr>
          <w:b w:val="0"/>
          <w:i/>
          <w:color w:val="231F20"/>
          <w:spacing w:val="-10"/>
        </w:rPr>
        <w:t>/</w:t>
      </w:r>
      <w:r>
        <w:rPr>
          <w:b w:val="0"/>
          <w:i/>
          <w:color w:val="231F20"/>
        </w:rPr>
        <w:tab/>
      </w:r>
      <w:r>
        <w:rPr>
          <w:color w:val="231F20"/>
          <w:w w:val="95"/>
        </w:rPr>
        <w:t>Comment</w:t>
      </w:r>
      <w:r>
        <w:rPr>
          <w:color w:val="231F20"/>
          <w:spacing w:val="-1"/>
          <w:w w:val="95"/>
        </w:rPr>
        <w:t> </w:t>
      </w:r>
      <w:r>
        <w:rPr>
          <w:color w:val="231F20"/>
          <w:w w:val="95"/>
        </w:rPr>
        <w:t>développer</w:t>
      </w:r>
      <w:r>
        <w:rPr>
          <w:color w:val="231F20"/>
          <w:spacing w:val="-1"/>
          <w:w w:val="95"/>
        </w:rPr>
        <w:t> </w:t>
      </w:r>
      <w:r>
        <w:rPr>
          <w:color w:val="231F20"/>
          <w:w w:val="95"/>
        </w:rPr>
        <w:t>l’estime</w:t>
      </w:r>
      <w:r>
        <w:rPr>
          <w:color w:val="231F20"/>
          <w:spacing w:val="-1"/>
          <w:w w:val="95"/>
        </w:rPr>
        <w:t> </w:t>
      </w:r>
      <w:r>
        <w:rPr>
          <w:color w:val="231F20"/>
          <w:w w:val="95"/>
        </w:rPr>
        <w:t>de</w:t>
      </w:r>
      <w:r>
        <w:rPr>
          <w:color w:val="231F20"/>
          <w:spacing w:val="-1"/>
          <w:w w:val="95"/>
        </w:rPr>
        <w:t> </w:t>
      </w:r>
      <w:r>
        <w:rPr>
          <w:color w:val="231F20"/>
          <w:w w:val="95"/>
        </w:rPr>
        <w:t>soi</w:t>
      </w:r>
      <w:r>
        <w:rPr>
          <w:color w:val="231F20"/>
          <w:spacing w:val="-1"/>
          <w:w w:val="95"/>
        </w:rPr>
        <w:t> </w:t>
      </w:r>
      <w:r>
        <w:rPr>
          <w:color w:val="231F20"/>
          <w:w w:val="95"/>
        </w:rPr>
        <w:t>et</w:t>
      </w:r>
      <w:r>
        <w:rPr>
          <w:color w:val="231F20"/>
          <w:spacing w:val="-1"/>
          <w:w w:val="95"/>
        </w:rPr>
        <w:t> </w:t>
      </w:r>
      <w:r>
        <w:rPr>
          <w:color w:val="231F20"/>
          <w:w w:val="95"/>
        </w:rPr>
        <w:t>éviter</w:t>
      </w:r>
      <w:r>
        <w:rPr>
          <w:color w:val="231F20"/>
          <w:spacing w:val="-1"/>
          <w:w w:val="95"/>
        </w:rPr>
        <w:t> </w:t>
      </w:r>
      <w:r>
        <w:rPr>
          <w:color w:val="231F20"/>
          <w:w w:val="95"/>
        </w:rPr>
        <w:t>le</w:t>
      </w:r>
      <w:r>
        <w:rPr>
          <w:color w:val="231F20"/>
          <w:spacing w:val="-1"/>
          <w:w w:val="95"/>
        </w:rPr>
        <w:t> </w:t>
      </w:r>
      <w:r>
        <w:rPr>
          <w:color w:val="231F20"/>
          <w:spacing w:val="-2"/>
          <w:w w:val="95"/>
        </w:rPr>
        <w:t>stress</w:t>
      </w:r>
    </w:p>
    <w:p>
      <w:pPr>
        <w:pStyle w:val="BodyText"/>
        <w:spacing w:before="256"/>
        <w:ind w:left="830"/>
        <w:rPr>
          <w:rFonts w:ascii="Arial" w:hAnsi="Arial"/>
        </w:rPr>
      </w:pPr>
      <w:r>
        <w:rPr/>
        <w:pict>
          <v:shape style="position:absolute;margin-left:62.5pt;margin-top:24.8979pt;width:287.5pt;height:.1pt;mso-position-horizontal-relative:page;mso-position-vertical-relative:paragraph;z-index:-15645696;mso-wrap-distance-left:0;mso-wrap-distance-right:0" id="docshape955" coordorigin="1250,498" coordsize="5750,0" path="m1250,498l7000,498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ind w:left="830" w:right="1045"/>
        <w:rPr>
          <w:rFonts w:ascii="Arial" w:hAnsi="Arial"/>
        </w:rPr>
      </w:pPr>
      <w:r>
        <w:rPr>
          <w:rFonts w:ascii="Arial" w:hAnsi="Arial"/>
          <w:color w:val="231F20"/>
        </w:rPr>
        <w:t>«</w:t>
      </w:r>
      <w:r>
        <w:rPr>
          <w:rFonts w:ascii="Arial" w:hAnsi="Arial"/>
          <w:color w:val="231F20"/>
          <w:spacing w:val="-32"/>
        </w:rPr>
        <w:t> </w:t>
      </w:r>
      <w:r>
        <w:rPr>
          <w:rFonts w:ascii="Arial" w:hAnsi="Arial"/>
          <w:color w:val="231F20"/>
        </w:rPr>
        <w:t>Notre</w:t>
      </w:r>
      <w:r>
        <w:rPr>
          <w:rFonts w:ascii="Arial" w:hAnsi="Arial"/>
          <w:color w:val="231F20"/>
          <w:spacing w:val="-9"/>
        </w:rPr>
        <w:t> </w:t>
      </w:r>
      <w:r>
        <w:rPr>
          <w:rFonts w:ascii="Arial" w:hAnsi="Arial"/>
          <w:color w:val="231F20"/>
        </w:rPr>
        <w:t>grande</w:t>
      </w:r>
      <w:r>
        <w:rPr>
          <w:rFonts w:ascii="Arial" w:hAnsi="Arial"/>
          <w:color w:val="231F20"/>
          <w:spacing w:val="-8"/>
        </w:rPr>
        <w:t> </w:t>
      </w:r>
      <w:r>
        <w:rPr>
          <w:rFonts w:ascii="Arial" w:hAnsi="Arial"/>
          <w:color w:val="231F20"/>
        </w:rPr>
        <w:t>gloire</w:t>
      </w:r>
      <w:r>
        <w:rPr>
          <w:rFonts w:ascii="Arial" w:hAnsi="Arial"/>
          <w:color w:val="231F20"/>
          <w:spacing w:val="-8"/>
        </w:rPr>
        <w:t> </w:t>
      </w:r>
      <w:r>
        <w:rPr>
          <w:rFonts w:ascii="Arial" w:hAnsi="Arial"/>
          <w:color w:val="231F20"/>
        </w:rPr>
        <w:t>n’est</w:t>
      </w:r>
      <w:r>
        <w:rPr>
          <w:rFonts w:ascii="Arial" w:hAnsi="Arial"/>
          <w:color w:val="231F20"/>
          <w:spacing w:val="-8"/>
        </w:rPr>
        <w:t> </w:t>
      </w:r>
      <w:r>
        <w:rPr>
          <w:rFonts w:ascii="Arial" w:hAnsi="Arial"/>
          <w:color w:val="231F20"/>
        </w:rPr>
        <w:t>pas</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ne</w:t>
      </w:r>
      <w:r>
        <w:rPr>
          <w:rFonts w:ascii="Arial" w:hAnsi="Arial"/>
          <w:color w:val="231F20"/>
          <w:spacing w:val="-8"/>
        </w:rPr>
        <w:t> </w:t>
      </w:r>
      <w:r>
        <w:rPr>
          <w:rFonts w:ascii="Arial" w:hAnsi="Arial"/>
          <w:color w:val="231F20"/>
        </w:rPr>
        <w:t>jamais</w:t>
      </w:r>
      <w:r>
        <w:rPr>
          <w:rFonts w:ascii="Arial" w:hAnsi="Arial"/>
          <w:color w:val="231F20"/>
          <w:spacing w:val="-8"/>
        </w:rPr>
        <w:t> </w:t>
      </w:r>
      <w:r>
        <w:rPr>
          <w:rFonts w:ascii="Arial" w:hAnsi="Arial"/>
          <w:color w:val="231F20"/>
        </w:rPr>
        <w:t>tomber,</w:t>
      </w:r>
      <w:r>
        <w:rPr>
          <w:rFonts w:ascii="Arial" w:hAnsi="Arial"/>
          <w:color w:val="231F20"/>
          <w:spacing w:val="-8"/>
        </w:rPr>
        <w:t> </w:t>
      </w:r>
      <w:r>
        <w:rPr>
          <w:rFonts w:ascii="Arial" w:hAnsi="Arial"/>
          <w:color w:val="231F20"/>
        </w:rPr>
        <w:t>mais</w:t>
      </w:r>
      <w:r>
        <w:rPr>
          <w:rFonts w:ascii="Arial" w:hAnsi="Arial"/>
          <w:color w:val="231F20"/>
          <w:spacing w:val="-8"/>
        </w:rPr>
        <w:t> </w:t>
      </w:r>
      <w:r>
        <w:rPr>
          <w:rFonts w:ascii="Arial" w:hAnsi="Arial"/>
          <w:color w:val="231F20"/>
        </w:rPr>
        <w:t>de</w:t>
      </w:r>
      <w:r>
        <w:rPr>
          <w:rFonts w:ascii="Arial" w:hAnsi="Arial"/>
          <w:color w:val="231F20"/>
          <w:spacing w:val="-8"/>
        </w:rPr>
        <w:t> </w:t>
      </w:r>
      <w:r>
        <w:rPr>
          <w:rFonts w:ascii="Arial" w:hAnsi="Arial"/>
          <w:color w:val="231F20"/>
        </w:rPr>
        <w:t>nous relever chaque fois que nous tombons.</w:t>
      </w:r>
      <w:r>
        <w:rPr>
          <w:rFonts w:ascii="Arial" w:hAnsi="Arial"/>
          <w:color w:val="231F20"/>
          <w:spacing w:val="-21"/>
        </w:rPr>
        <w:t> </w:t>
      </w:r>
      <w:r>
        <w:rPr>
          <w:rFonts w:ascii="Arial" w:hAnsi="Arial"/>
          <w:color w:val="231F20"/>
        </w:rPr>
        <w:t>»</w:t>
      </w:r>
    </w:p>
    <w:p>
      <w:pPr>
        <w:pStyle w:val="BodyText"/>
        <w:spacing w:line="195" w:lineRule="exact"/>
        <w:ind w:left="830"/>
        <w:jc w:val="both"/>
        <w:rPr>
          <w:rFonts w:ascii="Arial"/>
        </w:rPr>
      </w:pPr>
      <w:r>
        <w:rPr>
          <w:rFonts w:ascii="Arial"/>
          <w:color w:val="231F20"/>
          <w:spacing w:val="-2"/>
        </w:rPr>
        <w:t>Ralph</w:t>
      </w:r>
      <w:r>
        <w:rPr>
          <w:rFonts w:ascii="Arial"/>
          <w:color w:val="231F20"/>
          <w:spacing w:val="-4"/>
        </w:rPr>
        <w:t> </w:t>
      </w:r>
      <w:r>
        <w:rPr>
          <w:rFonts w:ascii="Arial"/>
          <w:color w:val="231F20"/>
          <w:spacing w:val="-2"/>
        </w:rPr>
        <w:t>Waldo</w:t>
      </w:r>
      <w:r>
        <w:rPr>
          <w:rFonts w:ascii="Arial"/>
          <w:color w:val="231F20"/>
          <w:spacing w:val="-4"/>
        </w:rPr>
        <w:t> </w:t>
      </w:r>
      <w:r>
        <w:rPr>
          <w:rFonts w:ascii="Arial"/>
          <w:color w:val="231F20"/>
          <w:spacing w:val="-2"/>
        </w:rPr>
        <w:t>Emerson</w:t>
      </w:r>
    </w:p>
    <w:p>
      <w:pPr>
        <w:pStyle w:val="BodyText"/>
        <w:spacing w:line="307" w:lineRule="auto" w:before="135"/>
        <w:ind w:left="830" w:right="1045"/>
        <w:rPr>
          <w:rFonts w:ascii="Arial" w:hAnsi="Arial"/>
        </w:rPr>
      </w:pPr>
      <w:r>
        <w:rPr>
          <w:rFonts w:ascii="Arial" w:hAnsi="Arial"/>
          <w:color w:val="231F20"/>
        </w:rPr>
        <w:t>«</w:t>
      </w:r>
      <w:r>
        <w:rPr>
          <w:rFonts w:ascii="Arial" w:hAnsi="Arial"/>
          <w:color w:val="231F20"/>
          <w:spacing w:val="-32"/>
        </w:rPr>
        <w:t> </w:t>
      </w:r>
      <w:r>
        <w:rPr>
          <w:rFonts w:ascii="Arial" w:hAnsi="Arial"/>
          <w:color w:val="231F20"/>
        </w:rPr>
        <w:t>Souvent,</w:t>
      </w:r>
      <w:r>
        <w:rPr>
          <w:rFonts w:ascii="Arial" w:hAnsi="Arial"/>
          <w:color w:val="231F20"/>
          <w:spacing w:val="-3"/>
        </w:rPr>
        <w:t> </w:t>
      </w:r>
      <w:r>
        <w:rPr>
          <w:rFonts w:ascii="Arial" w:hAnsi="Arial"/>
          <w:color w:val="231F20"/>
        </w:rPr>
        <w:t>notre</w:t>
      </w:r>
      <w:r>
        <w:rPr>
          <w:rFonts w:ascii="Arial" w:hAnsi="Arial"/>
          <w:color w:val="231F20"/>
          <w:spacing w:val="-3"/>
        </w:rPr>
        <w:t> </w:t>
      </w:r>
      <w:r>
        <w:rPr>
          <w:rFonts w:ascii="Arial" w:hAnsi="Arial"/>
          <w:color w:val="231F20"/>
        </w:rPr>
        <w:t>force</w:t>
      </w:r>
      <w:r>
        <w:rPr>
          <w:rFonts w:ascii="Arial" w:hAnsi="Arial"/>
          <w:color w:val="231F20"/>
          <w:spacing w:val="-3"/>
        </w:rPr>
        <w:t> </w:t>
      </w:r>
      <w:r>
        <w:rPr>
          <w:rFonts w:ascii="Arial" w:hAnsi="Arial"/>
          <w:color w:val="231F20"/>
        </w:rPr>
        <w:t>s’accroît</w:t>
      </w:r>
      <w:r>
        <w:rPr>
          <w:rFonts w:ascii="Arial" w:hAnsi="Arial"/>
          <w:color w:val="231F20"/>
          <w:spacing w:val="-3"/>
        </w:rPr>
        <w:t> </w:t>
      </w:r>
      <w:r>
        <w:rPr>
          <w:rFonts w:ascii="Arial" w:hAnsi="Arial"/>
          <w:color w:val="231F20"/>
        </w:rPr>
        <w:t>en</w:t>
      </w:r>
      <w:r>
        <w:rPr>
          <w:rFonts w:ascii="Arial" w:hAnsi="Arial"/>
          <w:color w:val="231F20"/>
          <w:spacing w:val="-3"/>
        </w:rPr>
        <w:t> </w:t>
      </w:r>
      <w:r>
        <w:rPr>
          <w:rFonts w:ascii="Arial" w:hAnsi="Arial"/>
          <w:color w:val="231F20"/>
        </w:rPr>
        <w:t>proportion</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obstacles</w:t>
      </w:r>
      <w:r>
        <w:rPr>
          <w:rFonts w:ascii="Arial" w:hAnsi="Arial"/>
          <w:color w:val="231F20"/>
          <w:spacing w:val="-3"/>
        </w:rPr>
        <w:t> </w:t>
      </w:r>
      <w:r>
        <w:rPr>
          <w:rFonts w:ascii="Arial" w:hAnsi="Arial"/>
          <w:color w:val="231F20"/>
        </w:rPr>
        <w:t>auxquels elle se heurte.</w:t>
      </w:r>
      <w:r>
        <w:rPr>
          <w:rFonts w:ascii="Arial" w:hAnsi="Arial"/>
          <w:color w:val="231F20"/>
          <w:spacing w:val="-23"/>
        </w:rPr>
        <w:t> </w:t>
      </w:r>
      <w:r>
        <w:rPr>
          <w:rFonts w:ascii="Arial" w:hAnsi="Arial"/>
          <w:color w:val="231F20"/>
        </w:rPr>
        <w:t>»</w:t>
      </w:r>
    </w:p>
    <w:p>
      <w:pPr>
        <w:pStyle w:val="BodyText"/>
        <w:spacing w:line="195" w:lineRule="exact"/>
        <w:ind w:left="830"/>
        <w:jc w:val="both"/>
        <w:rPr>
          <w:rFonts w:ascii="Arial"/>
        </w:rPr>
      </w:pPr>
      <w:r>
        <w:rPr>
          <w:rFonts w:ascii="Arial"/>
          <w:color w:val="231F20"/>
          <w:w w:val="95"/>
        </w:rPr>
        <w:t>Paul</w:t>
      </w:r>
      <w:r>
        <w:rPr>
          <w:rFonts w:ascii="Arial"/>
          <w:color w:val="231F20"/>
        </w:rPr>
        <w:t> </w:t>
      </w:r>
      <w:r>
        <w:rPr>
          <w:rFonts w:ascii="Arial"/>
          <w:color w:val="231F20"/>
          <w:w w:val="95"/>
        </w:rPr>
        <w:t>de</w:t>
      </w:r>
      <w:r>
        <w:rPr>
          <w:rFonts w:ascii="Arial"/>
          <w:color w:val="231F20"/>
          <w:spacing w:val="1"/>
        </w:rPr>
        <w:t> </w:t>
      </w:r>
      <w:r>
        <w:rPr>
          <w:rFonts w:ascii="Arial"/>
          <w:color w:val="231F20"/>
          <w:spacing w:val="-2"/>
          <w:w w:val="95"/>
        </w:rPr>
        <w:t>Rapin</w:t>
      </w:r>
    </w:p>
    <w:p>
      <w:pPr>
        <w:pStyle w:val="BodyText"/>
        <w:spacing w:line="307" w:lineRule="auto" w:before="134"/>
        <w:ind w:left="830" w:right="924"/>
        <w:jc w:val="both"/>
        <w:rPr>
          <w:rFonts w:ascii="Arial" w:hAnsi="Arial"/>
        </w:rPr>
      </w:pPr>
      <w:r>
        <w:rPr>
          <w:rFonts w:ascii="Arial" w:hAnsi="Arial"/>
          <w:color w:val="231F20"/>
        </w:rPr>
        <w:t>«</w:t>
      </w:r>
      <w:r>
        <w:rPr>
          <w:rFonts w:ascii="Arial" w:hAnsi="Arial"/>
          <w:color w:val="231F20"/>
          <w:spacing w:val="-12"/>
        </w:rPr>
        <w:t> </w:t>
      </w:r>
      <w:r>
        <w:rPr>
          <w:rFonts w:ascii="Arial" w:hAnsi="Arial"/>
          <w:color w:val="231F20"/>
        </w:rPr>
        <w:t>Le</w:t>
      </w:r>
      <w:r>
        <w:rPr>
          <w:rFonts w:ascii="Arial" w:hAnsi="Arial"/>
          <w:color w:val="231F20"/>
          <w:spacing w:val="-12"/>
        </w:rPr>
        <w:t> </w:t>
      </w:r>
      <w:r>
        <w:rPr>
          <w:rFonts w:ascii="Arial" w:hAnsi="Arial"/>
          <w:color w:val="231F20"/>
        </w:rPr>
        <w:t>courage,</w:t>
      </w:r>
      <w:r>
        <w:rPr>
          <w:rFonts w:ascii="Arial" w:hAnsi="Arial"/>
          <w:color w:val="231F20"/>
          <w:spacing w:val="-12"/>
        </w:rPr>
        <w:t> </w:t>
      </w:r>
      <w:r>
        <w:rPr>
          <w:rFonts w:ascii="Arial" w:hAnsi="Arial"/>
          <w:color w:val="231F20"/>
        </w:rPr>
        <w:t>c’est</w:t>
      </w:r>
      <w:r>
        <w:rPr>
          <w:rFonts w:ascii="Arial" w:hAnsi="Arial"/>
          <w:color w:val="231F20"/>
          <w:spacing w:val="-12"/>
        </w:rPr>
        <w:t> </w:t>
      </w:r>
      <w:r>
        <w:rPr>
          <w:rFonts w:ascii="Arial" w:hAnsi="Arial"/>
          <w:color w:val="231F20"/>
        </w:rPr>
        <w:t>la</w:t>
      </w:r>
      <w:r>
        <w:rPr>
          <w:rFonts w:ascii="Arial" w:hAnsi="Arial"/>
          <w:color w:val="231F20"/>
          <w:spacing w:val="-7"/>
        </w:rPr>
        <w:t> </w:t>
      </w:r>
      <w:r>
        <w:rPr>
          <w:rFonts w:ascii="Arial" w:hAnsi="Arial"/>
          <w:color w:val="231F20"/>
        </w:rPr>
        <w:t>résistance</w:t>
      </w:r>
      <w:r>
        <w:rPr>
          <w:rFonts w:ascii="Arial" w:hAnsi="Arial"/>
          <w:color w:val="231F20"/>
          <w:spacing w:val="-6"/>
        </w:rPr>
        <w:t> </w:t>
      </w:r>
      <w:r>
        <w:rPr>
          <w:rFonts w:ascii="Arial" w:hAnsi="Arial"/>
          <w:color w:val="231F20"/>
        </w:rPr>
        <w:t>à</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peur,</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maîtrise</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peur,</w:t>
      </w:r>
      <w:r>
        <w:rPr>
          <w:rFonts w:ascii="Arial" w:hAnsi="Arial"/>
          <w:color w:val="231F20"/>
          <w:spacing w:val="-6"/>
        </w:rPr>
        <w:t> </w:t>
      </w:r>
      <w:r>
        <w:rPr>
          <w:rFonts w:ascii="Arial" w:hAnsi="Arial"/>
          <w:color w:val="231F20"/>
        </w:rPr>
        <w:t>et</w:t>
      </w:r>
      <w:r>
        <w:rPr>
          <w:rFonts w:ascii="Arial" w:hAnsi="Arial"/>
          <w:color w:val="231F20"/>
          <w:spacing w:val="-6"/>
        </w:rPr>
        <w:t> </w:t>
      </w:r>
      <w:r>
        <w:rPr>
          <w:rFonts w:ascii="Arial" w:hAnsi="Arial"/>
          <w:color w:val="231F20"/>
        </w:rPr>
        <w:t>non l’absence</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peur.</w:t>
      </w:r>
      <w:r>
        <w:rPr>
          <w:rFonts w:ascii="Arial" w:hAnsi="Arial"/>
          <w:color w:val="231F20"/>
          <w:spacing w:val="-12"/>
        </w:rPr>
        <w:t> </w:t>
      </w:r>
      <w:r>
        <w:rPr>
          <w:rFonts w:ascii="Arial" w:hAnsi="Arial"/>
          <w:color w:val="231F20"/>
        </w:rPr>
        <w:t>Si</w:t>
      </w:r>
      <w:r>
        <w:rPr>
          <w:rFonts w:ascii="Arial" w:hAnsi="Arial"/>
          <w:color w:val="231F20"/>
          <w:spacing w:val="-12"/>
        </w:rPr>
        <w:t> </w:t>
      </w:r>
      <w:r>
        <w:rPr>
          <w:rFonts w:ascii="Arial" w:hAnsi="Arial"/>
          <w:color w:val="231F20"/>
        </w:rPr>
        <w:t>un</w:t>
      </w:r>
      <w:r>
        <w:rPr>
          <w:rFonts w:ascii="Arial" w:hAnsi="Arial"/>
          <w:color w:val="231F20"/>
          <w:spacing w:val="-12"/>
        </w:rPr>
        <w:t> </w:t>
      </w:r>
      <w:r>
        <w:rPr>
          <w:rFonts w:ascii="Arial" w:hAnsi="Arial"/>
          <w:color w:val="231F20"/>
        </w:rPr>
        <w:t>être</w:t>
      </w:r>
      <w:r>
        <w:rPr>
          <w:rFonts w:ascii="Arial" w:hAnsi="Arial"/>
          <w:color w:val="231F20"/>
          <w:spacing w:val="-11"/>
        </w:rPr>
        <w:t> </w:t>
      </w:r>
      <w:r>
        <w:rPr>
          <w:rFonts w:ascii="Arial" w:hAnsi="Arial"/>
          <w:color w:val="231F20"/>
        </w:rPr>
        <w:t>n’a</w:t>
      </w:r>
      <w:r>
        <w:rPr>
          <w:rFonts w:ascii="Arial" w:hAnsi="Arial"/>
          <w:color w:val="231F20"/>
          <w:spacing w:val="-12"/>
        </w:rPr>
        <w:t> </w:t>
      </w:r>
      <w:r>
        <w:rPr>
          <w:rFonts w:ascii="Arial" w:hAnsi="Arial"/>
          <w:color w:val="231F20"/>
        </w:rPr>
        <w:t>pas</w:t>
      </w:r>
      <w:r>
        <w:rPr>
          <w:rFonts w:ascii="Arial" w:hAnsi="Arial"/>
          <w:color w:val="231F20"/>
          <w:spacing w:val="-12"/>
        </w:rPr>
        <w:t> </w:t>
      </w:r>
      <w:r>
        <w:rPr>
          <w:rFonts w:ascii="Arial" w:hAnsi="Arial"/>
          <w:color w:val="231F20"/>
        </w:rPr>
        <w:t>une</w:t>
      </w:r>
      <w:r>
        <w:rPr>
          <w:rFonts w:ascii="Arial" w:hAnsi="Arial"/>
          <w:color w:val="231F20"/>
          <w:spacing w:val="-12"/>
        </w:rPr>
        <w:t> </w:t>
      </w:r>
      <w:r>
        <w:rPr>
          <w:rFonts w:ascii="Arial" w:hAnsi="Arial"/>
          <w:color w:val="231F20"/>
        </w:rPr>
        <w:t>part</w:t>
      </w:r>
      <w:r>
        <w:rPr>
          <w:rFonts w:ascii="Arial" w:hAnsi="Arial"/>
          <w:color w:val="231F20"/>
          <w:spacing w:val="-12"/>
        </w:rPr>
        <w:t> </w:t>
      </w:r>
      <w:r>
        <w:rPr>
          <w:rFonts w:ascii="Arial" w:hAnsi="Arial"/>
          <w:color w:val="231F20"/>
        </w:rPr>
        <w:t>de</w:t>
      </w:r>
      <w:r>
        <w:rPr>
          <w:rFonts w:ascii="Arial" w:hAnsi="Arial"/>
          <w:color w:val="231F20"/>
          <w:spacing w:val="-11"/>
        </w:rPr>
        <w:t> </w:t>
      </w:r>
      <w:r>
        <w:rPr>
          <w:rFonts w:ascii="Arial" w:hAnsi="Arial"/>
          <w:color w:val="231F20"/>
        </w:rPr>
        <w:t>couardise,</w:t>
      </w:r>
      <w:r>
        <w:rPr>
          <w:rFonts w:ascii="Arial" w:hAnsi="Arial"/>
          <w:color w:val="231F20"/>
          <w:spacing w:val="-12"/>
        </w:rPr>
        <w:t> </w:t>
      </w:r>
      <w:r>
        <w:rPr>
          <w:rFonts w:ascii="Arial" w:hAnsi="Arial"/>
          <w:color w:val="231F20"/>
        </w:rPr>
        <w:t>ce</w:t>
      </w:r>
      <w:r>
        <w:rPr>
          <w:rFonts w:ascii="Arial" w:hAnsi="Arial"/>
          <w:color w:val="231F20"/>
          <w:spacing w:val="-12"/>
        </w:rPr>
        <w:t> </w:t>
      </w:r>
      <w:r>
        <w:rPr>
          <w:rFonts w:ascii="Arial" w:hAnsi="Arial"/>
          <w:color w:val="231F20"/>
        </w:rPr>
        <w:t>n’est</w:t>
      </w:r>
      <w:r>
        <w:rPr>
          <w:rFonts w:ascii="Arial" w:hAnsi="Arial"/>
          <w:color w:val="231F20"/>
          <w:spacing w:val="-12"/>
        </w:rPr>
        <w:t> </w:t>
      </w:r>
      <w:r>
        <w:rPr>
          <w:rFonts w:ascii="Arial" w:hAnsi="Arial"/>
          <w:color w:val="231F20"/>
        </w:rPr>
        <w:t>pas </w:t>
      </w:r>
      <w:r>
        <w:rPr>
          <w:rFonts w:ascii="Arial" w:hAnsi="Arial"/>
          <w:color w:val="231F20"/>
          <w:w w:val="105"/>
        </w:rPr>
        <w:t>un compliment que de dire qu’il est brave.</w:t>
      </w:r>
      <w:r>
        <w:rPr>
          <w:rFonts w:ascii="Arial" w:hAnsi="Arial"/>
          <w:color w:val="231F20"/>
          <w:spacing w:val="-31"/>
          <w:w w:val="105"/>
        </w:rPr>
        <w:t> </w:t>
      </w:r>
      <w:r>
        <w:rPr>
          <w:rFonts w:ascii="Arial" w:hAnsi="Arial"/>
          <w:color w:val="231F20"/>
          <w:w w:val="105"/>
        </w:rPr>
        <w:t>»</w:t>
      </w:r>
    </w:p>
    <w:p>
      <w:pPr>
        <w:pStyle w:val="BodyText"/>
        <w:spacing w:line="195" w:lineRule="exact"/>
        <w:ind w:left="830"/>
        <w:jc w:val="both"/>
        <w:rPr>
          <w:rFonts w:ascii="Arial"/>
        </w:rPr>
      </w:pPr>
      <w:r>
        <w:rPr>
          <w:rFonts w:ascii="Arial"/>
          <w:color w:val="231F20"/>
        </w:rPr>
        <w:t>Mark</w:t>
      </w:r>
      <w:r>
        <w:rPr>
          <w:rFonts w:ascii="Arial"/>
          <w:color w:val="231F20"/>
          <w:spacing w:val="-5"/>
        </w:rPr>
        <w:t> </w:t>
      </w:r>
      <w:r>
        <w:rPr>
          <w:rFonts w:ascii="Arial"/>
          <w:color w:val="231F20"/>
          <w:spacing w:val="-2"/>
        </w:rPr>
        <w:t>Twain</w:t>
      </w:r>
    </w:p>
    <w:p>
      <w:pPr>
        <w:pStyle w:val="BodyText"/>
        <w:spacing w:line="307" w:lineRule="auto" w:before="135"/>
        <w:ind w:left="830" w:right="2332"/>
        <w:rPr>
          <w:rFonts w:ascii="Arial" w:hAnsi="Arial"/>
        </w:rPr>
      </w:pPr>
      <w:r>
        <w:rPr>
          <w:rFonts w:ascii="Arial" w:hAnsi="Arial"/>
          <w:color w:val="231F20"/>
        </w:rPr>
        <w:t>«</w:t>
      </w:r>
      <w:r>
        <w:rPr>
          <w:rFonts w:ascii="Arial" w:hAnsi="Arial"/>
          <w:color w:val="231F20"/>
          <w:spacing w:val="-32"/>
        </w:rPr>
        <w:t> </w:t>
      </w:r>
      <w:r>
        <w:rPr>
          <w:rFonts w:ascii="Arial" w:hAnsi="Arial"/>
          <w:color w:val="231F20"/>
        </w:rPr>
        <w:t>La</w:t>
      </w:r>
      <w:r>
        <w:rPr>
          <w:rFonts w:ascii="Arial" w:hAnsi="Arial"/>
          <w:color w:val="231F20"/>
          <w:spacing w:val="-12"/>
        </w:rPr>
        <w:t> </w:t>
      </w:r>
      <w:r>
        <w:rPr>
          <w:rFonts w:ascii="Arial" w:hAnsi="Arial"/>
          <w:color w:val="231F20"/>
        </w:rPr>
        <w:t>réussite</w:t>
      </w:r>
      <w:r>
        <w:rPr>
          <w:rFonts w:ascii="Arial" w:hAnsi="Arial"/>
          <w:color w:val="231F20"/>
          <w:spacing w:val="-12"/>
        </w:rPr>
        <w:t> </w:t>
      </w:r>
      <w:r>
        <w:rPr>
          <w:rFonts w:ascii="Arial" w:hAnsi="Arial"/>
          <w:color w:val="231F20"/>
        </w:rPr>
        <w:t>ne</w:t>
      </w:r>
      <w:r>
        <w:rPr>
          <w:rFonts w:ascii="Arial" w:hAnsi="Arial"/>
          <w:color w:val="231F20"/>
          <w:spacing w:val="-12"/>
        </w:rPr>
        <w:t> </w:t>
      </w:r>
      <w:r>
        <w:rPr>
          <w:rFonts w:ascii="Arial" w:hAnsi="Arial"/>
          <w:color w:val="231F20"/>
        </w:rPr>
        <w:t>vient</w:t>
      </w:r>
      <w:r>
        <w:rPr>
          <w:rFonts w:ascii="Arial" w:hAnsi="Arial"/>
          <w:color w:val="231F20"/>
          <w:spacing w:val="-12"/>
        </w:rPr>
        <w:t> </w:t>
      </w:r>
      <w:r>
        <w:rPr>
          <w:rFonts w:ascii="Arial" w:hAnsi="Arial"/>
          <w:color w:val="231F20"/>
        </w:rPr>
        <w:t>pas</w:t>
      </w:r>
      <w:r>
        <w:rPr>
          <w:rFonts w:ascii="Arial" w:hAnsi="Arial"/>
          <w:color w:val="231F20"/>
          <w:spacing w:val="-11"/>
        </w:rPr>
        <w:t> </w:t>
      </w:r>
      <w:r>
        <w:rPr>
          <w:rFonts w:ascii="Arial" w:hAnsi="Arial"/>
          <w:color w:val="231F20"/>
        </w:rPr>
        <w:t>vers</w:t>
      </w:r>
      <w:r>
        <w:rPr>
          <w:rFonts w:ascii="Arial" w:hAnsi="Arial"/>
          <w:color w:val="231F20"/>
          <w:spacing w:val="-11"/>
        </w:rPr>
        <w:t> </w:t>
      </w:r>
      <w:r>
        <w:rPr>
          <w:rFonts w:ascii="Arial" w:hAnsi="Arial"/>
          <w:color w:val="231F20"/>
        </w:rPr>
        <w:t>soi…</w:t>
      </w:r>
      <w:r>
        <w:rPr>
          <w:rFonts w:ascii="Arial" w:hAnsi="Arial"/>
          <w:color w:val="231F20"/>
          <w:spacing w:val="-12"/>
        </w:rPr>
        <w:t> </w:t>
      </w:r>
      <w:r>
        <w:rPr>
          <w:rFonts w:ascii="Arial" w:hAnsi="Arial"/>
          <w:color w:val="231F20"/>
        </w:rPr>
        <w:t>on</w:t>
      </w:r>
      <w:r>
        <w:rPr>
          <w:rFonts w:ascii="Arial" w:hAnsi="Arial"/>
          <w:color w:val="231F20"/>
          <w:spacing w:val="-11"/>
        </w:rPr>
        <w:t> </w:t>
      </w:r>
      <w:r>
        <w:rPr>
          <w:rFonts w:ascii="Arial" w:hAnsi="Arial"/>
          <w:color w:val="231F20"/>
        </w:rPr>
        <w:t>va</w:t>
      </w:r>
      <w:r>
        <w:rPr>
          <w:rFonts w:ascii="Arial" w:hAnsi="Arial"/>
          <w:color w:val="231F20"/>
          <w:spacing w:val="-12"/>
        </w:rPr>
        <w:t> </w:t>
      </w:r>
      <w:r>
        <w:rPr>
          <w:rFonts w:ascii="Arial" w:hAnsi="Arial"/>
          <w:color w:val="231F20"/>
        </w:rPr>
        <w:t>vers</w:t>
      </w:r>
      <w:r>
        <w:rPr>
          <w:rFonts w:ascii="Arial" w:hAnsi="Arial"/>
          <w:color w:val="231F20"/>
          <w:spacing w:val="-11"/>
        </w:rPr>
        <w:t> </w:t>
      </w:r>
      <w:r>
        <w:rPr>
          <w:rFonts w:ascii="Arial" w:hAnsi="Arial"/>
          <w:color w:val="231F20"/>
        </w:rPr>
        <w:t>elle.» Marva</w:t>
      </w:r>
      <w:r>
        <w:rPr>
          <w:rFonts w:ascii="Arial" w:hAnsi="Arial"/>
          <w:color w:val="231F20"/>
          <w:spacing w:val="-3"/>
        </w:rPr>
        <w:t> </w:t>
      </w:r>
      <w:r>
        <w:rPr>
          <w:rFonts w:ascii="Arial" w:hAnsi="Arial"/>
          <w:color w:val="231F20"/>
        </w:rPr>
        <w:t>Collins</w:t>
      </w:r>
    </w:p>
    <w:p>
      <w:pPr>
        <w:pStyle w:val="BodyText"/>
        <w:spacing w:line="307" w:lineRule="auto" w:before="79"/>
        <w:ind w:left="830" w:right="1045"/>
        <w:rPr>
          <w:rFonts w:ascii="Arial" w:hAnsi="Arial"/>
        </w:rPr>
      </w:pPr>
      <w:r>
        <w:rPr>
          <w:rFonts w:ascii="Arial" w:hAnsi="Arial"/>
          <w:color w:val="231F20"/>
        </w:rPr>
        <w:t>«</w:t>
      </w:r>
      <w:r>
        <w:rPr>
          <w:rFonts w:ascii="Arial" w:hAnsi="Arial"/>
          <w:color w:val="231F20"/>
          <w:spacing w:val="-32"/>
        </w:rPr>
        <w:t> </w:t>
      </w:r>
      <w:r>
        <w:rPr>
          <w:rFonts w:ascii="Arial" w:hAnsi="Arial"/>
          <w:color w:val="231F20"/>
        </w:rPr>
        <w:t>La</w:t>
      </w:r>
      <w:r>
        <w:rPr>
          <w:rFonts w:ascii="Arial" w:hAnsi="Arial"/>
          <w:color w:val="231F20"/>
          <w:spacing w:val="-9"/>
        </w:rPr>
        <w:t> </w:t>
      </w:r>
      <w:r>
        <w:rPr>
          <w:rFonts w:ascii="Arial" w:hAnsi="Arial"/>
          <w:color w:val="231F20"/>
        </w:rPr>
        <w:t>critique</w:t>
      </w:r>
      <w:r>
        <w:rPr>
          <w:rFonts w:ascii="Arial" w:hAnsi="Arial"/>
          <w:color w:val="231F20"/>
          <w:spacing w:val="-8"/>
        </w:rPr>
        <w:t> </w:t>
      </w:r>
      <w:r>
        <w:rPr>
          <w:rFonts w:ascii="Arial" w:hAnsi="Arial"/>
          <w:color w:val="231F20"/>
        </w:rPr>
        <w:t>n’est</w:t>
      </w:r>
      <w:r>
        <w:rPr>
          <w:rFonts w:ascii="Arial" w:hAnsi="Arial"/>
          <w:color w:val="231F20"/>
          <w:spacing w:val="-8"/>
        </w:rPr>
        <w:t> </w:t>
      </w:r>
      <w:r>
        <w:rPr>
          <w:rFonts w:ascii="Arial" w:hAnsi="Arial"/>
          <w:color w:val="231F20"/>
        </w:rPr>
        <w:t>peut-être</w:t>
      </w:r>
      <w:r>
        <w:rPr>
          <w:rFonts w:ascii="Arial" w:hAnsi="Arial"/>
          <w:color w:val="231F20"/>
          <w:spacing w:val="-8"/>
        </w:rPr>
        <w:t> </w:t>
      </w:r>
      <w:r>
        <w:rPr>
          <w:rFonts w:ascii="Arial" w:hAnsi="Arial"/>
          <w:color w:val="231F20"/>
        </w:rPr>
        <w:t>pas</w:t>
      </w:r>
      <w:r>
        <w:rPr>
          <w:rFonts w:ascii="Arial" w:hAnsi="Arial"/>
          <w:color w:val="231F20"/>
          <w:spacing w:val="-8"/>
        </w:rPr>
        <w:t> </w:t>
      </w:r>
      <w:r>
        <w:rPr>
          <w:rFonts w:ascii="Arial" w:hAnsi="Arial"/>
          <w:color w:val="231F20"/>
        </w:rPr>
        <w:t>agréable,</w:t>
      </w:r>
      <w:r>
        <w:rPr>
          <w:rFonts w:ascii="Arial" w:hAnsi="Arial"/>
          <w:color w:val="231F20"/>
          <w:spacing w:val="-8"/>
        </w:rPr>
        <w:t> </w:t>
      </w:r>
      <w:r>
        <w:rPr>
          <w:rFonts w:ascii="Arial" w:hAnsi="Arial"/>
          <w:color w:val="231F20"/>
        </w:rPr>
        <w:t>mais</w:t>
      </w:r>
      <w:r>
        <w:rPr>
          <w:rFonts w:ascii="Arial" w:hAnsi="Arial"/>
          <w:color w:val="231F20"/>
          <w:spacing w:val="-8"/>
        </w:rPr>
        <w:t> </w:t>
      </w:r>
      <w:r>
        <w:rPr>
          <w:rFonts w:ascii="Arial" w:hAnsi="Arial"/>
          <w:color w:val="231F20"/>
        </w:rPr>
        <w:t>elle</w:t>
      </w:r>
      <w:r>
        <w:rPr>
          <w:rFonts w:ascii="Arial" w:hAnsi="Arial"/>
          <w:color w:val="231F20"/>
          <w:spacing w:val="-8"/>
        </w:rPr>
        <w:t> </w:t>
      </w:r>
      <w:r>
        <w:rPr>
          <w:rFonts w:ascii="Arial" w:hAnsi="Arial"/>
          <w:color w:val="231F20"/>
        </w:rPr>
        <w:t>est</w:t>
      </w:r>
      <w:r>
        <w:rPr>
          <w:rFonts w:ascii="Arial" w:hAnsi="Arial"/>
          <w:color w:val="231F20"/>
          <w:spacing w:val="-8"/>
        </w:rPr>
        <w:t> </w:t>
      </w:r>
      <w:r>
        <w:rPr>
          <w:rFonts w:ascii="Arial" w:hAnsi="Arial"/>
          <w:color w:val="231F20"/>
        </w:rPr>
        <w:t>nécessaire. Elle a la même fonction que la douleur dans le corps humain.</w:t>
      </w:r>
    </w:p>
    <w:p>
      <w:pPr>
        <w:pStyle w:val="BodyText"/>
        <w:spacing w:line="307" w:lineRule="auto"/>
        <w:ind w:left="830" w:right="2507"/>
        <w:rPr>
          <w:rFonts w:ascii="Arial" w:hAnsi="Arial"/>
        </w:rPr>
      </w:pPr>
      <w:r>
        <w:rPr>
          <w:rFonts w:ascii="Arial" w:hAnsi="Arial"/>
          <w:color w:val="231F20"/>
          <w:spacing w:val="-2"/>
          <w:w w:val="105"/>
        </w:rPr>
        <w:t>Elle</w:t>
      </w:r>
      <w:r>
        <w:rPr>
          <w:rFonts w:ascii="Arial" w:hAnsi="Arial"/>
          <w:color w:val="231F20"/>
          <w:spacing w:val="-5"/>
          <w:w w:val="105"/>
        </w:rPr>
        <w:t> </w:t>
      </w:r>
      <w:r>
        <w:rPr>
          <w:rFonts w:ascii="Arial" w:hAnsi="Arial"/>
          <w:color w:val="231F20"/>
          <w:spacing w:val="-2"/>
          <w:w w:val="105"/>
        </w:rPr>
        <w:t>attire</w:t>
      </w:r>
      <w:r>
        <w:rPr>
          <w:rFonts w:ascii="Arial" w:hAnsi="Arial"/>
          <w:color w:val="231F20"/>
          <w:spacing w:val="-5"/>
          <w:w w:val="105"/>
        </w:rPr>
        <w:t> </w:t>
      </w:r>
      <w:r>
        <w:rPr>
          <w:rFonts w:ascii="Arial" w:hAnsi="Arial"/>
          <w:color w:val="231F20"/>
          <w:spacing w:val="-2"/>
          <w:w w:val="105"/>
        </w:rPr>
        <w:t>l’attention</w:t>
      </w:r>
      <w:r>
        <w:rPr>
          <w:rFonts w:ascii="Arial" w:hAnsi="Arial"/>
          <w:color w:val="231F20"/>
          <w:spacing w:val="-5"/>
          <w:w w:val="105"/>
        </w:rPr>
        <w:t> </w:t>
      </w:r>
      <w:r>
        <w:rPr>
          <w:rFonts w:ascii="Arial" w:hAnsi="Arial"/>
          <w:color w:val="231F20"/>
          <w:spacing w:val="-2"/>
          <w:w w:val="105"/>
        </w:rPr>
        <w:t>sur</w:t>
      </w:r>
      <w:r>
        <w:rPr>
          <w:rFonts w:ascii="Arial" w:hAnsi="Arial"/>
          <w:color w:val="231F20"/>
          <w:spacing w:val="-5"/>
          <w:w w:val="105"/>
        </w:rPr>
        <w:t> </w:t>
      </w:r>
      <w:r>
        <w:rPr>
          <w:rFonts w:ascii="Arial" w:hAnsi="Arial"/>
          <w:color w:val="231F20"/>
          <w:spacing w:val="-2"/>
          <w:w w:val="105"/>
        </w:rPr>
        <w:t>un</w:t>
      </w:r>
      <w:r>
        <w:rPr>
          <w:rFonts w:ascii="Arial" w:hAnsi="Arial"/>
          <w:color w:val="231F20"/>
          <w:spacing w:val="-5"/>
          <w:w w:val="105"/>
        </w:rPr>
        <w:t> </w:t>
      </w:r>
      <w:r>
        <w:rPr>
          <w:rFonts w:ascii="Arial" w:hAnsi="Arial"/>
          <w:color w:val="231F20"/>
          <w:spacing w:val="-2"/>
          <w:w w:val="105"/>
        </w:rPr>
        <w:t>état</w:t>
      </w:r>
      <w:r>
        <w:rPr>
          <w:rFonts w:ascii="Arial" w:hAnsi="Arial"/>
          <w:color w:val="231F20"/>
          <w:spacing w:val="-5"/>
          <w:w w:val="105"/>
        </w:rPr>
        <w:t> </w:t>
      </w:r>
      <w:r>
        <w:rPr>
          <w:rFonts w:ascii="Arial" w:hAnsi="Arial"/>
          <w:color w:val="231F20"/>
          <w:spacing w:val="-2"/>
          <w:w w:val="105"/>
        </w:rPr>
        <w:t>malsain.</w:t>
      </w:r>
      <w:r>
        <w:rPr>
          <w:rFonts w:ascii="Arial" w:hAnsi="Arial"/>
          <w:color w:val="231F20"/>
          <w:spacing w:val="-34"/>
          <w:w w:val="105"/>
        </w:rPr>
        <w:t> </w:t>
      </w:r>
      <w:r>
        <w:rPr>
          <w:rFonts w:ascii="Arial" w:hAnsi="Arial"/>
          <w:color w:val="231F20"/>
          <w:spacing w:val="-2"/>
          <w:w w:val="105"/>
        </w:rPr>
        <w:t>» </w:t>
      </w:r>
      <w:r>
        <w:rPr>
          <w:rFonts w:ascii="Arial" w:hAnsi="Arial"/>
          <w:color w:val="231F20"/>
          <w:w w:val="105"/>
        </w:rPr>
        <w:t>Winston</w:t>
      </w:r>
      <w:r>
        <w:rPr>
          <w:rFonts w:ascii="Arial" w:hAnsi="Arial"/>
          <w:color w:val="231F20"/>
          <w:spacing w:val="-6"/>
          <w:w w:val="105"/>
        </w:rPr>
        <w:t> </w:t>
      </w:r>
      <w:r>
        <w:rPr>
          <w:rFonts w:ascii="Arial" w:hAnsi="Arial"/>
          <w:color w:val="231F20"/>
          <w:w w:val="105"/>
        </w:rPr>
        <w:t>Churchill</w:t>
      </w:r>
    </w:p>
    <w:p>
      <w:pPr>
        <w:pStyle w:val="BodyText"/>
        <w:spacing w:line="307" w:lineRule="auto" w:before="80"/>
        <w:ind w:left="830" w:right="2044"/>
        <w:rPr>
          <w:rFonts w:ascii="Arial" w:hAnsi="Arial"/>
        </w:rPr>
      </w:pPr>
      <w:r>
        <w:rPr>
          <w:rFonts w:ascii="Arial" w:hAnsi="Arial"/>
          <w:color w:val="231F20"/>
        </w:rPr>
        <w:t>«</w:t>
      </w:r>
      <w:r>
        <w:rPr>
          <w:rFonts w:ascii="Arial" w:hAnsi="Arial"/>
          <w:color w:val="231F20"/>
          <w:spacing w:val="-32"/>
        </w:rPr>
        <w:t> </w:t>
      </w:r>
      <w:r>
        <w:rPr>
          <w:rFonts w:ascii="Arial" w:hAnsi="Arial"/>
          <w:color w:val="231F20"/>
        </w:rPr>
        <w:t>Personne</w:t>
      </w:r>
      <w:r>
        <w:rPr>
          <w:rFonts w:ascii="Arial" w:hAnsi="Arial"/>
          <w:color w:val="231F20"/>
          <w:spacing w:val="-7"/>
        </w:rPr>
        <w:t> </w:t>
      </w:r>
      <w:r>
        <w:rPr>
          <w:rFonts w:ascii="Arial" w:hAnsi="Arial"/>
          <w:color w:val="231F20"/>
        </w:rPr>
        <w:t>n’a</w:t>
      </w:r>
      <w:r>
        <w:rPr>
          <w:rFonts w:ascii="Arial" w:hAnsi="Arial"/>
          <w:color w:val="231F20"/>
          <w:spacing w:val="-6"/>
        </w:rPr>
        <w:t> </w:t>
      </w:r>
      <w:r>
        <w:rPr>
          <w:rFonts w:ascii="Arial" w:hAnsi="Arial"/>
          <w:color w:val="231F20"/>
        </w:rPr>
        <w:t>le</w:t>
      </w:r>
      <w:r>
        <w:rPr>
          <w:rFonts w:ascii="Arial" w:hAnsi="Arial"/>
          <w:color w:val="231F20"/>
          <w:spacing w:val="-6"/>
        </w:rPr>
        <w:t> </w:t>
      </w:r>
      <w:r>
        <w:rPr>
          <w:rFonts w:ascii="Arial" w:hAnsi="Arial"/>
          <w:color w:val="231F20"/>
        </w:rPr>
        <w:t>droit</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vous</w:t>
      </w:r>
      <w:r>
        <w:rPr>
          <w:rFonts w:ascii="Arial" w:hAnsi="Arial"/>
          <w:color w:val="231F20"/>
          <w:spacing w:val="-6"/>
        </w:rPr>
        <w:t> </w:t>
      </w:r>
      <w:r>
        <w:rPr>
          <w:rFonts w:ascii="Arial" w:hAnsi="Arial"/>
          <w:color w:val="231F20"/>
        </w:rPr>
        <w:t>faire</w:t>
      </w:r>
      <w:r>
        <w:rPr>
          <w:rFonts w:ascii="Arial" w:hAnsi="Arial"/>
          <w:color w:val="231F20"/>
          <w:spacing w:val="-6"/>
        </w:rPr>
        <w:t> </w:t>
      </w:r>
      <w:r>
        <w:rPr>
          <w:rFonts w:ascii="Arial" w:hAnsi="Arial"/>
          <w:color w:val="231F20"/>
        </w:rPr>
        <w:t>sentir</w:t>
      </w:r>
      <w:r>
        <w:rPr>
          <w:rFonts w:ascii="Arial" w:hAnsi="Arial"/>
          <w:color w:val="231F20"/>
          <w:spacing w:val="-6"/>
        </w:rPr>
        <w:t> </w:t>
      </w:r>
      <w:r>
        <w:rPr>
          <w:rFonts w:ascii="Arial" w:hAnsi="Arial"/>
          <w:color w:val="231F20"/>
        </w:rPr>
        <w:t>inférieur</w:t>
      </w:r>
      <w:r>
        <w:rPr>
          <w:rFonts w:ascii="Arial" w:hAnsi="Arial"/>
          <w:color w:val="231F20"/>
          <w:spacing w:val="-6"/>
        </w:rPr>
        <w:t> </w:t>
      </w:r>
      <w:r>
        <w:rPr>
          <w:rFonts w:ascii="Arial" w:hAnsi="Arial"/>
          <w:color w:val="231F20"/>
        </w:rPr>
        <w:t>sans votre</w:t>
      </w:r>
      <w:r>
        <w:rPr>
          <w:rFonts w:ascii="Arial" w:hAnsi="Arial"/>
          <w:color w:val="231F20"/>
          <w:spacing w:val="-3"/>
        </w:rPr>
        <w:t> </w:t>
      </w:r>
      <w:r>
        <w:rPr>
          <w:rFonts w:ascii="Arial" w:hAnsi="Arial"/>
          <w:color w:val="231F20"/>
        </w:rPr>
        <w:t>consentement.»</w:t>
      </w:r>
    </w:p>
    <w:p>
      <w:pPr>
        <w:pStyle w:val="BodyText"/>
        <w:spacing w:line="195" w:lineRule="exact"/>
        <w:ind w:left="830"/>
        <w:rPr>
          <w:rFonts w:ascii="Arial"/>
        </w:rPr>
      </w:pPr>
      <w:r>
        <w:rPr>
          <w:rFonts w:ascii="Arial"/>
          <w:color w:val="231F20"/>
          <w:w w:val="95"/>
        </w:rPr>
        <w:t>Eleanor</w:t>
      </w:r>
      <w:r>
        <w:rPr>
          <w:rFonts w:ascii="Arial"/>
          <w:color w:val="231F20"/>
          <w:spacing w:val="12"/>
        </w:rPr>
        <w:t> </w:t>
      </w:r>
      <w:r>
        <w:rPr>
          <w:rFonts w:ascii="Arial"/>
          <w:color w:val="231F20"/>
          <w:spacing w:val="-2"/>
        </w:rPr>
        <w:t>Roosevelt</w:t>
      </w:r>
    </w:p>
    <w:p>
      <w:pPr>
        <w:pStyle w:val="BodyText"/>
        <w:spacing w:before="134"/>
        <w:ind w:left="830"/>
        <w:rPr>
          <w:rFonts w:ascii="Arial" w:hAnsi="Arial"/>
        </w:rPr>
      </w:pPr>
      <w:r>
        <w:rPr>
          <w:rFonts w:ascii="Arial" w:hAnsi="Arial"/>
          <w:color w:val="231F20"/>
        </w:rPr>
        <w:t>«</w:t>
      </w:r>
      <w:r>
        <w:rPr>
          <w:rFonts w:ascii="Arial" w:hAnsi="Arial"/>
          <w:color w:val="231F20"/>
          <w:spacing w:val="-32"/>
        </w:rPr>
        <w:t> </w:t>
      </w:r>
      <w:r>
        <w:rPr>
          <w:rFonts w:ascii="Arial" w:hAnsi="Arial"/>
          <w:color w:val="231F20"/>
        </w:rPr>
        <w:t>Les</w:t>
      </w:r>
      <w:r>
        <w:rPr>
          <w:rFonts w:ascii="Arial" w:hAnsi="Arial"/>
          <w:color w:val="231F20"/>
          <w:spacing w:val="-5"/>
        </w:rPr>
        <w:t> </w:t>
      </w:r>
      <w:r>
        <w:rPr>
          <w:rFonts w:ascii="Arial" w:hAnsi="Arial"/>
          <w:color w:val="231F20"/>
        </w:rPr>
        <w:t>gens</w:t>
      </w:r>
      <w:r>
        <w:rPr>
          <w:rFonts w:ascii="Arial" w:hAnsi="Arial"/>
          <w:color w:val="231F20"/>
          <w:spacing w:val="-4"/>
        </w:rPr>
        <w:t> </w:t>
      </w:r>
      <w:r>
        <w:rPr>
          <w:rFonts w:ascii="Arial" w:hAnsi="Arial"/>
          <w:color w:val="231F20"/>
        </w:rPr>
        <w:t>qui</w:t>
      </w:r>
      <w:r>
        <w:rPr>
          <w:rFonts w:ascii="Arial" w:hAnsi="Arial"/>
          <w:color w:val="231F20"/>
          <w:spacing w:val="-5"/>
        </w:rPr>
        <w:t> </w:t>
      </w:r>
      <w:r>
        <w:rPr>
          <w:rFonts w:ascii="Arial" w:hAnsi="Arial"/>
          <w:color w:val="231F20"/>
        </w:rPr>
        <w:t>se</w:t>
      </w:r>
      <w:r>
        <w:rPr>
          <w:rFonts w:ascii="Arial" w:hAnsi="Arial"/>
          <w:color w:val="231F20"/>
          <w:spacing w:val="-4"/>
        </w:rPr>
        <w:t> </w:t>
      </w:r>
      <w:r>
        <w:rPr>
          <w:rFonts w:ascii="Arial" w:hAnsi="Arial"/>
          <w:color w:val="231F20"/>
        </w:rPr>
        <w:t>tirent</w:t>
      </w:r>
      <w:r>
        <w:rPr>
          <w:rFonts w:ascii="Arial" w:hAnsi="Arial"/>
          <w:color w:val="231F20"/>
          <w:spacing w:val="-5"/>
        </w:rPr>
        <w:t> </w:t>
      </w:r>
      <w:r>
        <w:rPr>
          <w:rFonts w:ascii="Arial" w:hAnsi="Arial"/>
          <w:color w:val="231F20"/>
        </w:rPr>
        <w:t>d’affaire</w:t>
      </w:r>
      <w:r>
        <w:rPr>
          <w:rFonts w:ascii="Arial" w:hAnsi="Arial"/>
          <w:color w:val="231F20"/>
          <w:spacing w:val="-5"/>
        </w:rPr>
        <w:t> </w:t>
      </w:r>
      <w:r>
        <w:rPr>
          <w:rFonts w:ascii="Arial" w:hAnsi="Arial"/>
          <w:color w:val="231F20"/>
        </w:rPr>
        <w:t>dans</w:t>
      </w:r>
      <w:r>
        <w:rPr>
          <w:rFonts w:ascii="Arial" w:hAnsi="Arial"/>
          <w:color w:val="231F20"/>
          <w:spacing w:val="-4"/>
        </w:rPr>
        <w:t> </w:t>
      </w:r>
      <w:r>
        <w:rPr>
          <w:rFonts w:ascii="Arial" w:hAnsi="Arial"/>
          <w:color w:val="231F20"/>
        </w:rPr>
        <w:t>notre</w:t>
      </w:r>
      <w:r>
        <w:rPr>
          <w:rFonts w:ascii="Arial" w:hAnsi="Arial"/>
          <w:color w:val="231F20"/>
          <w:spacing w:val="-5"/>
        </w:rPr>
        <w:t> </w:t>
      </w:r>
      <w:r>
        <w:rPr>
          <w:rFonts w:ascii="Arial" w:hAnsi="Arial"/>
          <w:color w:val="231F20"/>
        </w:rPr>
        <w:t>monde</w:t>
      </w:r>
      <w:r>
        <w:rPr>
          <w:rFonts w:ascii="Arial" w:hAnsi="Arial"/>
          <w:color w:val="231F20"/>
          <w:spacing w:val="-4"/>
        </w:rPr>
        <w:t> </w:t>
      </w:r>
      <w:r>
        <w:rPr>
          <w:rFonts w:ascii="Arial" w:hAnsi="Arial"/>
          <w:color w:val="231F20"/>
        </w:rPr>
        <w:t>sont</w:t>
      </w:r>
      <w:r>
        <w:rPr>
          <w:rFonts w:ascii="Arial" w:hAnsi="Arial"/>
          <w:color w:val="231F20"/>
          <w:spacing w:val="-5"/>
        </w:rPr>
        <w:t> </w:t>
      </w:r>
      <w:r>
        <w:rPr>
          <w:rFonts w:ascii="Arial" w:hAnsi="Arial"/>
          <w:color w:val="231F20"/>
        </w:rPr>
        <w:t>ceux</w:t>
      </w:r>
      <w:r>
        <w:rPr>
          <w:rFonts w:ascii="Arial" w:hAnsi="Arial"/>
          <w:color w:val="231F20"/>
          <w:spacing w:val="-4"/>
        </w:rPr>
        <w:t> </w:t>
      </w:r>
      <w:r>
        <w:rPr>
          <w:rFonts w:ascii="Arial" w:hAnsi="Arial"/>
          <w:color w:val="231F20"/>
          <w:spacing w:val="-5"/>
        </w:rPr>
        <w:t>qui</w:t>
      </w:r>
    </w:p>
    <w:p>
      <w:pPr>
        <w:pStyle w:val="BodyText"/>
        <w:spacing w:line="307" w:lineRule="auto" w:before="55"/>
        <w:ind w:left="830" w:right="1045"/>
        <w:rPr>
          <w:rFonts w:ascii="Arial" w:hAnsi="Arial"/>
        </w:rPr>
      </w:pPr>
      <w:r>
        <w:rPr>
          <w:rFonts w:ascii="Arial" w:hAnsi="Arial"/>
          <w:color w:val="231F20"/>
        </w:rPr>
        <w:t>se</w:t>
      </w:r>
      <w:r>
        <w:rPr>
          <w:rFonts w:ascii="Arial" w:hAnsi="Arial"/>
          <w:color w:val="231F20"/>
          <w:spacing w:val="-1"/>
        </w:rPr>
        <w:t> </w:t>
      </w:r>
      <w:r>
        <w:rPr>
          <w:rFonts w:ascii="Arial" w:hAnsi="Arial"/>
          <w:color w:val="231F20"/>
        </w:rPr>
        <w:t>lèvent,</w:t>
      </w:r>
      <w:r>
        <w:rPr>
          <w:rFonts w:ascii="Arial" w:hAnsi="Arial"/>
          <w:color w:val="231F20"/>
          <w:spacing w:val="-1"/>
        </w:rPr>
        <w:t> </w:t>
      </w:r>
      <w:r>
        <w:rPr>
          <w:rFonts w:ascii="Arial" w:hAnsi="Arial"/>
          <w:color w:val="231F20"/>
        </w:rPr>
        <w:t>partent</w:t>
      </w:r>
      <w:r>
        <w:rPr>
          <w:rFonts w:ascii="Arial" w:hAnsi="Arial"/>
          <w:color w:val="231F20"/>
          <w:spacing w:val="-1"/>
        </w:rPr>
        <w:t> </w:t>
      </w:r>
      <w:r>
        <w:rPr>
          <w:rFonts w:ascii="Arial" w:hAnsi="Arial"/>
          <w:color w:val="231F20"/>
        </w:rPr>
        <w:t>à</w:t>
      </w:r>
      <w:r>
        <w:rPr>
          <w:rFonts w:ascii="Arial" w:hAnsi="Arial"/>
          <w:color w:val="231F20"/>
          <w:spacing w:val="-1"/>
        </w:rPr>
        <w:t> </w:t>
      </w:r>
      <w:r>
        <w:rPr>
          <w:rFonts w:ascii="Arial" w:hAnsi="Arial"/>
          <w:color w:val="231F20"/>
        </w:rPr>
        <w:t>la</w:t>
      </w:r>
      <w:r>
        <w:rPr>
          <w:rFonts w:ascii="Arial" w:hAnsi="Arial"/>
          <w:color w:val="231F20"/>
          <w:spacing w:val="-1"/>
        </w:rPr>
        <w:t> </w:t>
      </w:r>
      <w:r>
        <w:rPr>
          <w:rFonts w:ascii="Arial" w:hAnsi="Arial"/>
          <w:color w:val="231F20"/>
        </w:rPr>
        <w:t>recherche</w:t>
      </w:r>
      <w:r>
        <w:rPr>
          <w:rFonts w:ascii="Arial" w:hAnsi="Arial"/>
          <w:color w:val="231F20"/>
          <w:spacing w:val="-1"/>
        </w:rPr>
        <w:t> </w:t>
      </w:r>
      <w:r>
        <w:rPr>
          <w:rFonts w:ascii="Arial" w:hAnsi="Arial"/>
          <w:color w:val="231F20"/>
        </w:rPr>
        <w:t>des</w:t>
      </w:r>
      <w:r>
        <w:rPr>
          <w:rFonts w:ascii="Arial" w:hAnsi="Arial"/>
          <w:color w:val="231F20"/>
          <w:spacing w:val="-1"/>
        </w:rPr>
        <w:t> </w:t>
      </w:r>
      <w:r>
        <w:rPr>
          <w:rFonts w:ascii="Arial" w:hAnsi="Arial"/>
          <w:color w:val="231F20"/>
        </w:rPr>
        <w:t>circonstances</w:t>
      </w:r>
      <w:r>
        <w:rPr>
          <w:rFonts w:ascii="Arial" w:hAnsi="Arial"/>
          <w:color w:val="231F20"/>
          <w:spacing w:val="-1"/>
        </w:rPr>
        <w:t> </w:t>
      </w:r>
      <w:r>
        <w:rPr>
          <w:rFonts w:ascii="Arial" w:hAnsi="Arial"/>
          <w:color w:val="231F20"/>
        </w:rPr>
        <w:t>qu’ils</w:t>
      </w:r>
      <w:r>
        <w:rPr>
          <w:rFonts w:ascii="Arial" w:hAnsi="Arial"/>
          <w:color w:val="231F20"/>
          <w:spacing w:val="-1"/>
        </w:rPr>
        <w:t> </w:t>
      </w:r>
      <w:r>
        <w:rPr>
          <w:rFonts w:ascii="Arial" w:hAnsi="Arial"/>
          <w:color w:val="231F20"/>
        </w:rPr>
        <w:t>veulent</w:t>
      </w:r>
      <w:r>
        <w:rPr>
          <w:rFonts w:ascii="Arial" w:hAnsi="Arial"/>
          <w:color w:val="231F20"/>
          <w:spacing w:val="-1"/>
        </w:rPr>
        <w:t> </w:t>
      </w:r>
      <w:r>
        <w:rPr>
          <w:rFonts w:ascii="Arial" w:hAnsi="Arial"/>
          <w:color w:val="231F20"/>
        </w:rPr>
        <w:t>et, s’ils ne les trouvent pas, les fabriquent.»</w:t>
      </w:r>
    </w:p>
    <w:p>
      <w:pPr>
        <w:pStyle w:val="BodyText"/>
        <w:spacing w:line="195" w:lineRule="exact"/>
        <w:ind w:left="830"/>
        <w:rPr>
          <w:rFonts w:ascii="Arial"/>
        </w:rPr>
      </w:pPr>
      <w:r>
        <w:rPr>
          <w:rFonts w:ascii="Arial"/>
          <w:color w:val="231F20"/>
          <w:w w:val="95"/>
        </w:rPr>
        <w:t>George</w:t>
      </w:r>
      <w:r>
        <w:rPr>
          <w:rFonts w:ascii="Arial"/>
          <w:color w:val="231F20"/>
          <w:spacing w:val="12"/>
        </w:rPr>
        <w:t> </w:t>
      </w:r>
      <w:r>
        <w:rPr>
          <w:rFonts w:ascii="Arial"/>
          <w:color w:val="231F20"/>
          <w:w w:val="95"/>
        </w:rPr>
        <w:t>Bernard</w:t>
      </w:r>
      <w:r>
        <w:rPr>
          <w:rFonts w:ascii="Arial"/>
          <w:color w:val="231F20"/>
          <w:spacing w:val="13"/>
        </w:rPr>
        <w:t> </w:t>
      </w:r>
      <w:r>
        <w:rPr>
          <w:rFonts w:ascii="Arial"/>
          <w:color w:val="231F20"/>
          <w:spacing w:val="-4"/>
          <w:w w:val="95"/>
        </w:rPr>
        <w:t>Shaw</w:t>
      </w:r>
    </w:p>
    <w:p>
      <w:pPr>
        <w:pStyle w:val="BodyText"/>
        <w:spacing w:before="11"/>
        <w:rPr>
          <w:rFonts w:ascii="Arial"/>
          <w:sz w:val="27"/>
        </w:rPr>
      </w:pPr>
      <w:r>
        <w:rPr/>
        <w:pict>
          <v:shape style="position:absolute;margin-left:62.5pt;margin-top:17.276932pt;width:71.5pt;height:.1pt;mso-position-horizontal-relative:page;mso-position-vertical-relative:paragraph;z-index:-15645184;mso-wrap-distance-left:0;mso-wrap-distance-right:0" id="docshape956" coordorigin="1250,346" coordsize="1430,0" path="m1250,346l2680,346e" filled="false" stroked="true" strokeweight=".25pt" strokecolor="#231f20">
            <v:path arrowok="t"/>
            <v:stroke dashstyle="shortdot"/>
            <w10:wrap type="topAndBottom"/>
          </v:shape>
        </w:pict>
      </w:r>
    </w:p>
    <w:p>
      <w:pPr>
        <w:pStyle w:val="BodyText"/>
        <w:spacing w:before="6"/>
        <w:rPr>
          <w:rFonts w:ascii="Arial"/>
          <w:sz w:val="34"/>
        </w:rPr>
      </w:pPr>
    </w:p>
    <w:p>
      <w:pPr>
        <w:pStyle w:val="BodyText"/>
        <w:spacing w:line="307" w:lineRule="auto"/>
        <w:ind w:left="830" w:right="497"/>
        <w:jc w:val="both"/>
      </w:pPr>
      <w:r>
        <w:rPr>
          <w:color w:val="231F20"/>
          <w:w w:val="120"/>
        </w:rPr>
        <w:t>Aucune</w:t>
      </w:r>
      <w:r>
        <w:rPr>
          <w:color w:val="231F20"/>
          <w:spacing w:val="-13"/>
          <w:w w:val="120"/>
        </w:rPr>
        <w:t> </w:t>
      </w:r>
      <w:r>
        <w:rPr>
          <w:color w:val="231F20"/>
          <w:w w:val="120"/>
        </w:rPr>
        <w:t>recette</w:t>
      </w:r>
      <w:r>
        <w:rPr>
          <w:color w:val="231F20"/>
          <w:spacing w:val="-13"/>
          <w:w w:val="120"/>
        </w:rPr>
        <w:t> </w:t>
      </w:r>
      <w:r>
        <w:rPr>
          <w:color w:val="231F20"/>
          <w:w w:val="120"/>
        </w:rPr>
        <w:t>«</w:t>
      </w:r>
      <w:r>
        <w:rPr>
          <w:color w:val="231F20"/>
          <w:spacing w:val="-13"/>
          <w:w w:val="120"/>
        </w:rPr>
        <w:t> </w:t>
      </w:r>
      <w:r>
        <w:rPr>
          <w:color w:val="231F20"/>
          <w:w w:val="120"/>
        </w:rPr>
        <w:t>clé</w:t>
      </w:r>
      <w:r>
        <w:rPr>
          <w:color w:val="231F20"/>
          <w:spacing w:val="-12"/>
          <w:w w:val="120"/>
        </w:rPr>
        <w:t> </w:t>
      </w:r>
      <w:r>
        <w:rPr>
          <w:color w:val="231F20"/>
          <w:w w:val="120"/>
        </w:rPr>
        <w:t>en</w:t>
      </w:r>
      <w:r>
        <w:rPr>
          <w:color w:val="231F20"/>
          <w:spacing w:val="-6"/>
          <w:w w:val="120"/>
        </w:rPr>
        <w:t> </w:t>
      </w:r>
      <w:r>
        <w:rPr>
          <w:color w:val="231F20"/>
          <w:w w:val="120"/>
        </w:rPr>
        <w:t>main»</w:t>
      </w:r>
      <w:r>
        <w:rPr>
          <w:color w:val="231F20"/>
          <w:spacing w:val="-6"/>
          <w:w w:val="120"/>
        </w:rPr>
        <w:t> </w:t>
      </w:r>
      <w:r>
        <w:rPr>
          <w:color w:val="231F20"/>
          <w:w w:val="120"/>
        </w:rPr>
        <w:t>ne</w:t>
      </w:r>
      <w:r>
        <w:rPr>
          <w:color w:val="231F20"/>
          <w:spacing w:val="-6"/>
          <w:w w:val="120"/>
        </w:rPr>
        <w:t> </w:t>
      </w:r>
      <w:r>
        <w:rPr>
          <w:color w:val="231F20"/>
          <w:w w:val="120"/>
        </w:rPr>
        <w:t>permet</w:t>
      </w:r>
      <w:r>
        <w:rPr>
          <w:color w:val="231F20"/>
          <w:spacing w:val="-6"/>
          <w:w w:val="120"/>
        </w:rPr>
        <w:t> </w:t>
      </w:r>
      <w:r>
        <w:rPr>
          <w:color w:val="231F20"/>
          <w:w w:val="120"/>
        </w:rPr>
        <w:t>de</w:t>
      </w:r>
      <w:r>
        <w:rPr>
          <w:color w:val="231F20"/>
          <w:spacing w:val="-6"/>
          <w:w w:val="120"/>
        </w:rPr>
        <w:t> </w:t>
      </w:r>
      <w:r>
        <w:rPr>
          <w:color w:val="231F20"/>
          <w:w w:val="120"/>
        </w:rPr>
        <w:t>renforcer</w:t>
      </w:r>
      <w:r>
        <w:rPr>
          <w:color w:val="231F20"/>
          <w:spacing w:val="-6"/>
          <w:w w:val="120"/>
        </w:rPr>
        <w:t> </w:t>
      </w:r>
      <w:r>
        <w:rPr>
          <w:color w:val="231F20"/>
          <w:w w:val="120"/>
        </w:rPr>
        <w:t>l’estime</w:t>
      </w:r>
      <w:r>
        <w:rPr>
          <w:color w:val="231F20"/>
          <w:spacing w:val="-6"/>
          <w:w w:val="120"/>
        </w:rPr>
        <w:t> </w:t>
      </w:r>
      <w:r>
        <w:rPr>
          <w:color w:val="231F20"/>
          <w:w w:val="120"/>
        </w:rPr>
        <w:t>de</w:t>
      </w:r>
      <w:r>
        <w:rPr>
          <w:color w:val="231F20"/>
          <w:spacing w:val="-6"/>
          <w:w w:val="120"/>
        </w:rPr>
        <w:t> </w:t>
      </w:r>
      <w:r>
        <w:rPr>
          <w:color w:val="231F20"/>
          <w:w w:val="120"/>
        </w:rPr>
        <w:t>soi</w:t>
      </w:r>
      <w:r>
        <w:rPr>
          <w:color w:val="231F20"/>
          <w:spacing w:val="-6"/>
          <w:w w:val="120"/>
        </w:rPr>
        <w:t> </w:t>
      </w:r>
      <w:r>
        <w:rPr>
          <w:color w:val="231F20"/>
          <w:w w:val="120"/>
        </w:rPr>
        <w:t>et </w:t>
      </w:r>
      <w:r>
        <w:rPr>
          <w:color w:val="231F20"/>
          <w:w w:val="115"/>
        </w:rPr>
        <w:t>d’abaisser</w:t>
      </w:r>
      <w:r>
        <w:rPr>
          <w:color w:val="231F20"/>
          <w:spacing w:val="-6"/>
          <w:w w:val="115"/>
        </w:rPr>
        <w:t> </w:t>
      </w:r>
      <w:r>
        <w:rPr>
          <w:color w:val="231F20"/>
          <w:w w:val="115"/>
        </w:rPr>
        <w:t>instantanément</w:t>
      </w:r>
      <w:r>
        <w:rPr>
          <w:color w:val="231F20"/>
          <w:spacing w:val="-6"/>
          <w:w w:val="115"/>
        </w:rPr>
        <w:t> </w:t>
      </w:r>
      <w:r>
        <w:rPr>
          <w:color w:val="231F20"/>
          <w:w w:val="115"/>
        </w:rPr>
        <w:t>le</w:t>
      </w:r>
      <w:r>
        <w:rPr>
          <w:color w:val="231F20"/>
          <w:spacing w:val="-6"/>
          <w:w w:val="115"/>
        </w:rPr>
        <w:t> </w:t>
      </w:r>
      <w:r>
        <w:rPr>
          <w:color w:val="231F20"/>
          <w:w w:val="115"/>
        </w:rPr>
        <w:t>stress.</w:t>
      </w:r>
      <w:r>
        <w:rPr>
          <w:color w:val="231F20"/>
          <w:spacing w:val="-6"/>
          <w:w w:val="115"/>
        </w:rPr>
        <w:t> </w:t>
      </w:r>
      <w:r>
        <w:rPr>
          <w:color w:val="231F20"/>
          <w:w w:val="115"/>
        </w:rPr>
        <w:t>Voici</w:t>
      </w:r>
      <w:r>
        <w:rPr>
          <w:color w:val="231F20"/>
          <w:spacing w:val="-6"/>
          <w:w w:val="115"/>
        </w:rPr>
        <w:t> </w:t>
      </w:r>
      <w:r>
        <w:rPr>
          <w:color w:val="231F20"/>
          <w:w w:val="115"/>
        </w:rPr>
        <w:t>tout</w:t>
      </w:r>
      <w:r>
        <w:rPr>
          <w:color w:val="231F20"/>
          <w:spacing w:val="-6"/>
          <w:w w:val="115"/>
        </w:rPr>
        <w:t> </w:t>
      </w:r>
      <w:r>
        <w:rPr>
          <w:color w:val="231F20"/>
          <w:w w:val="115"/>
        </w:rPr>
        <w:t>de</w:t>
      </w:r>
      <w:r>
        <w:rPr>
          <w:color w:val="231F20"/>
          <w:spacing w:val="-6"/>
          <w:w w:val="115"/>
        </w:rPr>
        <w:t> </w:t>
      </w:r>
      <w:r>
        <w:rPr>
          <w:color w:val="231F20"/>
          <w:w w:val="115"/>
        </w:rPr>
        <w:t>même</w:t>
      </w:r>
      <w:r>
        <w:rPr>
          <w:color w:val="231F20"/>
          <w:spacing w:val="-6"/>
          <w:w w:val="115"/>
        </w:rPr>
        <w:t> </w:t>
      </w:r>
      <w:r>
        <w:rPr>
          <w:color w:val="231F20"/>
          <w:w w:val="115"/>
        </w:rPr>
        <w:t>quelques</w:t>
      </w:r>
      <w:r>
        <w:rPr>
          <w:color w:val="231F20"/>
          <w:spacing w:val="-6"/>
          <w:w w:val="115"/>
        </w:rPr>
        <w:t> </w:t>
      </w:r>
      <w:r>
        <w:rPr>
          <w:color w:val="231F20"/>
          <w:w w:val="115"/>
        </w:rPr>
        <w:t>conseils </w:t>
      </w:r>
      <w:r>
        <w:rPr>
          <w:color w:val="231F20"/>
          <w:w w:val="120"/>
        </w:rPr>
        <w:t>glanés, ici et là, dans la littérature sur le sujet.</w:t>
      </w:r>
    </w:p>
    <w:p>
      <w:pPr>
        <w:pStyle w:val="BodyText"/>
        <w:spacing w:before="8"/>
        <w:rPr>
          <w:sz w:val="21"/>
        </w:rPr>
      </w:pPr>
    </w:p>
    <w:p>
      <w:pPr>
        <w:spacing w:line="307" w:lineRule="auto" w:before="0"/>
        <w:ind w:left="830" w:right="496" w:firstLine="0"/>
        <w:jc w:val="both"/>
        <w:rPr>
          <w:sz w:val="17"/>
        </w:rPr>
      </w:pPr>
      <w:r>
        <w:rPr>
          <w:b/>
          <w:color w:val="231F20"/>
          <w:w w:val="115"/>
          <w:sz w:val="17"/>
        </w:rPr>
        <w:t>Recentrez-vous</w:t>
      </w:r>
      <w:r>
        <w:rPr>
          <w:b/>
          <w:color w:val="231F20"/>
          <w:spacing w:val="-13"/>
          <w:w w:val="115"/>
          <w:sz w:val="17"/>
        </w:rPr>
        <w:t> </w:t>
      </w:r>
      <w:r>
        <w:rPr>
          <w:b/>
          <w:color w:val="231F20"/>
          <w:w w:val="115"/>
          <w:sz w:val="17"/>
        </w:rPr>
        <w:t>et</w:t>
      </w:r>
      <w:r>
        <w:rPr>
          <w:b/>
          <w:color w:val="231F20"/>
          <w:spacing w:val="-12"/>
          <w:w w:val="115"/>
          <w:sz w:val="17"/>
        </w:rPr>
        <w:t> </w:t>
      </w:r>
      <w:r>
        <w:rPr>
          <w:b/>
          <w:color w:val="231F20"/>
          <w:w w:val="115"/>
          <w:sz w:val="17"/>
        </w:rPr>
        <w:t>apprenez</w:t>
      </w:r>
      <w:r>
        <w:rPr>
          <w:b/>
          <w:color w:val="231F20"/>
          <w:spacing w:val="-12"/>
          <w:w w:val="115"/>
          <w:sz w:val="17"/>
        </w:rPr>
        <w:t> </w:t>
      </w:r>
      <w:r>
        <w:rPr>
          <w:b/>
          <w:color w:val="231F20"/>
          <w:w w:val="115"/>
          <w:sz w:val="17"/>
        </w:rPr>
        <w:t>calmement</w:t>
      </w:r>
      <w:r>
        <w:rPr>
          <w:b/>
          <w:color w:val="231F20"/>
          <w:spacing w:val="-12"/>
          <w:w w:val="115"/>
          <w:sz w:val="17"/>
        </w:rPr>
        <w:t> </w:t>
      </w:r>
      <w:r>
        <w:rPr>
          <w:b/>
          <w:color w:val="231F20"/>
          <w:w w:val="115"/>
          <w:sz w:val="17"/>
        </w:rPr>
        <w:t>à</w:t>
      </w:r>
      <w:r>
        <w:rPr>
          <w:b/>
          <w:color w:val="231F20"/>
          <w:spacing w:val="-13"/>
          <w:w w:val="115"/>
          <w:sz w:val="17"/>
        </w:rPr>
        <w:t> </w:t>
      </w:r>
      <w:r>
        <w:rPr>
          <w:b/>
          <w:color w:val="231F20"/>
          <w:w w:val="115"/>
          <w:sz w:val="17"/>
        </w:rPr>
        <w:t>prendre</w:t>
      </w:r>
      <w:r>
        <w:rPr>
          <w:b/>
          <w:color w:val="231F20"/>
          <w:spacing w:val="-12"/>
          <w:w w:val="115"/>
          <w:sz w:val="17"/>
        </w:rPr>
        <w:t> </w:t>
      </w:r>
      <w:r>
        <w:rPr>
          <w:b/>
          <w:color w:val="231F20"/>
          <w:w w:val="115"/>
          <w:sz w:val="17"/>
        </w:rPr>
        <w:t>conscience</w:t>
      </w:r>
      <w:r>
        <w:rPr>
          <w:b/>
          <w:color w:val="231F20"/>
          <w:spacing w:val="-12"/>
          <w:w w:val="115"/>
          <w:sz w:val="17"/>
        </w:rPr>
        <w:t> </w:t>
      </w:r>
      <w:r>
        <w:rPr>
          <w:b/>
          <w:color w:val="231F20"/>
          <w:w w:val="115"/>
          <w:sz w:val="17"/>
        </w:rPr>
        <w:t>de</w:t>
      </w:r>
      <w:r>
        <w:rPr>
          <w:b/>
          <w:color w:val="231F20"/>
          <w:spacing w:val="-12"/>
          <w:w w:val="115"/>
          <w:sz w:val="17"/>
        </w:rPr>
        <w:t> </w:t>
      </w:r>
      <w:r>
        <w:rPr>
          <w:b/>
          <w:color w:val="231F20"/>
          <w:w w:val="115"/>
          <w:sz w:val="17"/>
        </w:rPr>
        <w:t>ce</w:t>
      </w:r>
      <w:r>
        <w:rPr>
          <w:b/>
          <w:color w:val="231F20"/>
          <w:spacing w:val="-12"/>
          <w:w w:val="115"/>
          <w:sz w:val="17"/>
        </w:rPr>
        <w:t> </w:t>
      </w:r>
      <w:r>
        <w:rPr>
          <w:b/>
          <w:color w:val="231F20"/>
          <w:w w:val="115"/>
          <w:sz w:val="17"/>
        </w:rPr>
        <w:t>qui se</w:t>
      </w:r>
      <w:r>
        <w:rPr>
          <w:b/>
          <w:color w:val="231F20"/>
          <w:spacing w:val="-4"/>
          <w:w w:val="115"/>
          <w:sz w:val="17"/>
        </w:rPr>
        <w:t> </w:t>
      </w:r>
      <w:r>
        <w:rPr>
          <w:b/>
          <w:color w:val="231F20"/>
          <w:w w:val="115"/>
          <w:sz w:val="17"/>
        </w:rPr>
        <w:t>passe</w:t>
      </w:r>
      <w:r>
        <w:rPr>
          <w:b/>
          <w:color w:val="231F20"/>
          <w:spacing w:val="-4"/>
          <w:w w:val="115"/>
          <w:sz w:val="17"/>
        </w:rPr>
        <w:t> </w:t>
      </w:r>
      <w:r>
        <w:rPr>
          <w:b/>
          <w:color w:val="231F20"/>
          <w:w w:val="115"/>
          <w:sz w:val="17"/>
        </w:rPr>
        <w:t>en</w:t>
      </w:r>
      <w:r>
        <w:rPr>
          <w:b/>
          <w:color w:val="231F20"/>
          <w:spacing w:val="-4"/>
          <w:w w:val="115"/>
          <w:sz w:val="17"/>
        </w:rPr>
        <w:t> </w:t>
      </w:r>
      <w:r>
        <w:rPr>
          <w:b/>
          <w:color w:val="231F20"/>
          <w:w w:val="115"/>
          <w:sz w:val="17"/>
        </w:rPr>
        <w:t>vous. </w:t>
      </w:r>
      <w:r>
        <w:rPr>
          <w:color w:val="231F20"/>
          <w:w w:val="115"/>
          <w:sz w:val="17"/>
        </w:rPr>
        <w:t>La pratique régulière de la méditation permet à chacun </w:t>
      </w:r>
      <w:r>
        <w:rPr>
          <w:color w:val="231F20"/>
          <w:w w:val="120"/>
          <w:sz w:val="17"/>
        </w:rPr>
        <w:t>de</w:t>
      </w:r>
      <w:r>
        <w:rPr>
          <w:color w:val="231F20"/>
          <w:spacing w:val="-9"/>
          <w:w w:val="120"/>
          <w:sz w:val="17"/>
        </w:rPr>
        <w:t> </w:t>
      </w:r>
      <w:r>
        <w:rPr>
          <w:color w:val="231F20"/>
          <w:w w:val="120"/>
          <w:sz w:val="17"/>
        </w:rPr>
        <w:t>garder</w:t>
      </w:r>
      <w:r>
        <w:rPr>
          <w:color w:val="231F20"/>
          <w:spacing w:val="-9"/>
          <w:w w:val="120"/>
          <w:sz w:val="17"/>
        </w:rPr>
        <w:t> </w:t>
      </w:r>
      <w:r>
        <w:rPr>
          <w:color w:val="231F20"/>
          <w:w w:val="120"/>
          <w:sz w:val="17"/>
        </w:rPr>
        <w:t>le</w:t>
      </w:r>
      <w:r>
        <w:rPr>
          <w:color w:val="231F20"/>
          <w:spacing w:val="-9"/>
          <w:w w:val="120"/>
          <w:sz w:val="17"/>
        </w:rPr>
        <w:t> </w:t>
      </w:r>
      <w:r>
        <w:rPr>
          <w:color w:val="231F20"/>
          <w:w w:val="120"/>
          <w:sz w:val="17"/>
        </w:rPr>
        <w:t>contact</w:t>
      </w:r>
      <w:r>
        <w:rPr>
          <w:color w:val="231F20"/>
          <w:spacing w:val="-9"/>
          <w:w w:val="120"/>
          <w:sz w:val="17"/>
        </w:rPr>
        <w:t> </w:t>
      </w:r>
      <w:r>
        <w:rPr>
          <w:color w:val="231F20"/>
          <w:w w:val="120"/>
          <w:sz w:val="17"/>
        </w:rPr>
        <w:t>avec</w:t>
      </w:r>
      <w:r>
        <w:rPr>
          <w:color w:val="231F20"/>
          <w:spacing w:val="-9"/>
          <w:w w:val="120"/>
          <w:sz w:val="17"/>
        </w:rPr>
        <w:t> </w:t>
      </w:r>
      <w:r>
        <w:rPr>
          <w:color w:val="231F20"/>
          <w:w w:val="120"/>
          <w:sz w:val="17"/>
        </w:rPr>
        <w:t>son</w:t>
      </w:r>
      <w:r>
        <w:rPr>
          <w:color w:val="231F20"/>
          <w:spacing w:val="-9"/>
          <w:w w:val="120"/>
          <w:sz w:val="17"/>
        </w:rPr>
        <w:t> </w:t>
      </w:r>
      <w:r>
        <w:rPr>
          <w:color w:val="231F20"/>
          <w:w w:val="120"/>
          <w:sz w:val="17"/>
        </w:rPr>
        <w:t>essence</w:t>
      </w:r>
      <w:r>
        <w:rPr>
          <w:color w:val="231F20"/>
          <w:spacing w:val="-9"/>
          <w:w w:val="120"/>
          <w:sz w:val="17"/>
        </w:rPr>
        <w:t> </w:t>
      </w:r>
      <w:r>
        <w:rPr>
          <w:color w:val="231F20"/>
          <w:w w:val="120"/>
          <w:sz w:val="17"/>
        </w:rPr>
        <w:t>profonde,</w:t>
      </w:r>
      <w:r>
        <w:rPr>
          <w:color w:val="231F20"/>
          <w:spacing w:val="-9"/>
          <w:w w:val="120"/>
          <w:sz w:val="17"/>
        </w:rPr>
        <w:t> </w:t>
      </w:r>
      <w:r>
        <w:rPr>
          <w:color w:val="231F20"/>
          <w:w w:val="120"/>
          <w:sz w:val="17"/>
        </w:rPr>
        <w:t>avec</w:t>
      </w:r>
      <w:r>
        <w:rPr>
          <w:color w:val="231F20"/>
          <w:spacing w:val="-9"/>
          <w:w w:val="120"/>
          <w:sz w:val="17"/>
        </w:rPr>
        <w:t> </w:t>
      </w:r>
      <w:r>
        <w:rPr>
          <w:color w:val="231F20"/>
          <w:w w:val="120"/>
          <w:sz w:val="17"/>
        </w:rPr>
        <w:t>le</w:t>
      </w:r>
      <w:r>
        <w:rPr>
          <w:color w:val="231F20"/>
          <w:spacing w:val="-9"/>
          <w:w w:val="120"/>
          <w:sz w:val="17"/>
        </w:rPr>
        <w:t> </w:t>
      </w:r>
      <w:r>
        <w:rPr>
          <w:color w:val="231F20"/>
          <w:w w:val="120"/>
          <w:sz w:val="17"/>
        </w:rPr>
        <w:t>meilleur</w:t>
      </w:r>
      <w:r>
        <w:rPr>
          <w:color w:val="231F20"/>
          <w:spacing w:val="-9"/>
          <w:w w:val="120"/>
          <w:sz w:val="17"/>
        </w:rPr>
        <w:t> </w:t>
      </w:r>
      <w:r>
        <w:rPr>
          <w:color w:val="231F20"/>
          <w:w w:val="120"/>
          <w:sz w:val="17"/>
        </w:rPr>
        <w:t>de</w:t>
      </w:r>
      <w:r>
        <w:rPr>
          <w:color w:val="231F20"/>
          <w:spacing w:val="-9"/>
          <w:w w:val="120"/>
          <w:sz w:val="17"/>
        </w:rPr>
        <w:t> </w:t>
      </w:r>
      <w:r>
        <w:rPr>
          <w:color w:val="231F20"/>
          <w:w w:val="120"/>
          <w:sz w:val="17"/>
        </w:rPr>
        <w:t>soi, avec</w:t>
      </w:r>
      <w:r>
        <w:rPr>
          <w:color w:val="231F20"/>
          <w:spacing w:val="-6"/>
          <w:w w:val="120"/>
          <w:sz w:val="17"/>
        </w:rPr>
        <w:t> </w:t>
      </w:r>
      <w:r>
        <w:rPr>
          <w:color w:val="231F20"/>
          <w:w w:val="120"/>
          <w:sz w:val="17"/>
        </w:rPr>
        <w:t>sa</w:t>
      </w:r>
      <w:r>
        <w:rPr>
          <w:color w:val="231F20"/>
          <w:spacing w:val="-6"/>
          <w:w w:val="120"/>
          <w:sz w:val="17"/>
        </w:rPr>
        <w:t> </w:t>
      </w:r>
      <w:r>
        <w:rPr>
          <w:color w:val="231F20"/>
          <w:w w:val="120"/>
          <w:sz w:val="17"/>
        </w:rPr>
        <w:t>nature</w:t>
      </w:r>
      <w:r>
        <w:rPr>
          <w:color w:val="231F20"/>
          <w:spacing w:val="-6"/>
          <w:w w:val="120"/>
          <w:sz w:val="17"/>
        </w:rPr>
        <w:t> </w:t>
      </w:r>
      <w:r>
        <w:rPr>
          <w:color w:val="231F20"/>
          <w:w w:val="120"/>
          <w:sz w:val="17"/>
        </w:rPr>
        <w:t>essentielle</w:t>
      </w:r>
      <w:r>
        <w:rPr>
          <w:color w:val="231F20"/>
          <w:spacing w:val="-6"/>
          <w:w w:val="120"/>
          <w:sz w:val="17"/>
        </w:rPr>
        <w:t> </w:t>
      </w:r>
      <w:r>
        <w:rPr>
          <w:color w:val="231F20"/>
          <w:w w:val="120"/>
          <w:sz w:val="17"/>
        </w:rPr>
        <w:t>dans</w:t>
      </w:r>
      <w:r>
        <w:rPr>
          <w:color w:val="231F20"/>
          <w:spacing w:val="-6"/>
          <w:w w:val="120"/>
          <w:sz w:val="17"/>
        </w:rPr>
        <w:t> </w:t>
      </w:r>
      <w:r>
        <w:rPr>
          <w:color w:val="231F20"/>
          <w:w w:val="120"/>
          <w:sz w:val="17"/>
        </w:rPr>
        <w:t>toute</w:t>
      </w:r>
      <w:r>
        <w:rPr>
          <w:color w:val="231F20"/>
          <w:spacing w:val="-6"/>
          <w:w w:val="120"/>
          <w:sz w:val="17"/>
        </w:rPr>
        <w:t> </w:t>
      </w:r>
      <w:r>
        <w:rPr>
          <w:color w:val="231F20"/>
          <w:w w:val="120"/>
          <w:sz w:val="17"/>
        </w:rPr>
        <w:t>sa</w:t>
      </w:r>
      <w:r>
        <w:rPr>
          <w:color w:val="231F20"/>
          <w:spacing w:val="-6"/>
          <w:w w:val="120"/>
          <w:sz w:val="17"/>
        </w:rPr>
        <w:t> </w:t>
      </w:r>
      <w:r>
        <w:rPr>
          <w:color w:val="231F20"/>
          <w:w w:val="120"/>
          <w:sz w:val="17"/>
        </w:rPr>
        <w:t>pureté.</w:t>
      </w:r>
      <w:r>
        <w:rPr>
          <w:color w:val="231F20"/>
          <w:spacing w:val="-6"/>
          <w:w w:val="120"/>
          <w:sz w:val="17"/>
        </w:rPr>
        <w:t> </w:t>
      </w:r>
      <w:r>
        <w:rPr>
          <w:color w:val="231F20"/>
          <w:w w:val="120"/>
          <w:sz w:val="17"/>
        </w:rPr>
        <w:t>C’est</w:t>
      </w:r>
      <w:r>
        <w:rPr>
          <w:color w:val="231F20"/>
          <w:spacing w:val="-6"/>
          <w:w w:val="120"/>
          <w:sz w:val="17"/>
        </w:rPr>
        <w:t> </w:t>
      </w:r>
      <w:r>
        <w:rPr>
          <w:color w:val="231F20"/>
          <w:w w:val="120"/>
          <w:sz w:val="17"/>
        </w:rPr>
        <w:t>une</w:t>
      </w:r>
      <w:r>
        <w:rPr>
          <w:color w:val="231F20"/>
          <w:spacing w:val="-6"/>
          <w:w w:val="120"/>
          <w:sz w:val="17"/>
        </w:rPr>
        <w:t> </w:t>
      </w:r>
      <w:r>
        <w:rPr>
          <w:color w:val="231F20"/>
          <w:w w:val="120"/>
          <w:sz w:val="17"/>
        </w:rPr>
        <w:t>expérience</w:t>
      </w:r>
      <w:r>
        <w:rPr>
          <w:color w:val="231F20"/>
          <w:spacing w:val="-6"/>
          <w:w w:val="120"/>
          <w:sz w:val="17"/>
        </w:rPr>
        <w:t> </w:t>
      </w:r>
      <w:r>
        <w:rPr>
          <w:color w:val="231F20"/>
          <w:w w:val="120"/>
          <w:sz w:val="17"/>
        </w:rPr>
        <w:t>de sérénité</w:t>
      </w:r>
      <w:r>
        <w:rPr>
          <w:color w:val="231F20"/>
          <w:spacing w:val="17"/>
          <w:w w:val="120"/>
          <w:sz w:val="17"/>
        </w:rPr>
        <w:t> </w:t>
      </w:r>
      <w:r>
        <w:rPr>
          <w:color w:val="231F20"/>
          <w:w w:val="120"/>
          <w:sz w:val="17"/>
        </w:rPr>
        <w:t>et</w:t>
      </w:r>
      <w:r>
        <w:rPr>
          <w:color w:val="231F20"/>
          <w:spacing w:val="17"/>
          <w:w w:val="120"/>
          <w:sz w:val="17"/>
        </w:rPr>
        <w:t> </w:t>
      </w:r>
      <w:r>
        <w:rPr>
          <w:color w:val="231F20"/>
          <w:w w:val="120"/>
          <w:sz w:val="17"/>
        </w:rPr>
        <w:t>de</w:t>
      </w:r>
      <w:r>
        <w:rPr>
          <w:color w:val="231F20"/>
          <w:spacing w:val="17"/>
          <w:w w:val="120"/>
          <w:sz w:val="17"/>
        </w:rPr>
        <w:t> </w:t>
      </w:r>
      <w:r>
        <w:rPr>
          <w:color w:val="231F20"/>
          <w:w w:val="120"/>
          <w:sz w:val="17"/>
        </w:rPr>
        <w:t>recentrage</w:t>
      </w:r>
      <w:r>
        <w:rPr>
          <w:color w:val="231F20"/>
          <w:spacing w:val="17"/>
          <w:w w:val="120"/>
          <w:sz w:val="17"/>
        </w:rPr>
        <w:t> </w:t>
      </w:r>
      <w:r>
        <w:rPr>
          <w:color w:val="231F20"/>
          <w:w w:val="120"/>
          <w:sz w:val="17"/>
        </w:rPr>
        <w:t>pour</w:t>
      </w:r>
      <w:r>
        <w:rPr>
          <w:color w:val="231F20"/>
          <w:spacing w:val="17"/>
          <w:w w:val="120"/>
          <w:sz w:val="17"/>
        </w:rPr>
        <w:t> </w:t>
      </w:r>
      <w:r>
        <w:rPr>
          <w:color w:val="231F20"/>
          <w:w w:val="120"/>
          <w:sz w:val="17"/>
        </w:rPr>
        <w:t>construire</w:t>
      </w:r>
      <w:r>
        <w:rPr>
          <w:color w:val="231F20"/>
          <w:spacing w:val="18"/>
          <w:w w:val="120"/>
          <w:sz w:val="17"/>
        </w:rPr>
        <w:t> </w:t>
      </w:r>
      <w:r>
        <w:rPr>
          <w:color w:val="231F20"/>
          <w:w w:val="120"/>
          <w:sz w:val="17"/>
        </w:rPr>
        <w:t>l’estime</w:t>
      </w:r>
      <w:r>
        <w:rPr>
          <w:color w:val="231F20"/>
          <w:spacing w:val="17"/>
          <w:w w:val="120"/>
          <w:sz w:val="17"/>
        </w:rPr>
        <w:t> </w:t>
      </w:r>
      <w:r>
        <w:rPr>
          <w:color w:val="231F20"/>
          <w:w w:val="120"/>
          <w:sz w:val="17"/>
        </w:rPr>
        <w:t>de</w:t>
      </w:r>
      <w:r>
        <w:rPr>
          <w:color w:val="231F20"/>
          <w:spacing w:val="17"/>
          <w:w w:val="120"/>
          <w:sz w:val="17"/>
        </w:rPr>
        <w:t> </w:t>
      </w:r>
      <w:r>
        <w:rPr>
          <w:color w:val="231F20"/>
          <w:w w:val="120"/>
          <w:sz w:val="17"/>
        </w:rPr>
        <w:t>soi</w:t>
      </w:r>
      <w:r>
        <w:rPr>
          <w:color w:val="231F20"/>
          <w:spacing w:val="17"/>
          <w:w w:val="120"/>
          <w:sz w:val="17"/>
        </w:rPr>
        <w:t> </w:t>
      </w:r>
      <w:r>
        <w:rPr>
          <w:color w:val="231F20"/>
          <w:w w:val="120"/>
          <w:sz w:val="17"/>
        </w:rPr>
        <w:t>véritable,</w:t>
      </w:r>
      <w:r>
        <w:rPr>
          <w:color w:val="231F20"/>
          <w:spacing w:val="17"/>
          <w:w w:val="120"/>
          <w:sz w:val="17"/>
        </w:rPr>
        <w:t> </w:t>
      </w:r>
      <w:r>
        <w:rPr>
          <w:color w:val="231F20"/>
          <w:spacing w:val="-5"/>
          <w:w w:val="120"/>
          <w:sz w:val="17"/>
        </w:rPr>
        <w:t>la</w:t>
      </w:r>
    </w:p>
    <w:p>
      <w:pPr>
        <w:spacing w:after="0" w:line="307" w:lineRule="auto"/>
        <w:jc w:val="both"/>
        <w:rPr>
          <w:sz w:val="17"/>
        </w:rPr>
        <w:sectPr>
          <w:footerReference w:type="default" r:id="rId259"/>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7"/>
        <w:jc w:val="both"/>
      </w:pPr>
      <w:r>
        <w:rPr>
          <w:color w:val="231F20"/>
          <w:w w:val="120"/>
        </w:rPr>
        <w:t>sécurité</w:t>
      </w:r>
      <w:r>
        <w:rPr>
          <w:color w:val="231F20"/>
          <w:spacing w:val="-13"/>
          <w:w w:val="120"/>
        </w:rPr>
        <w:t> </w:t>
      </w:r>
      <w:r>
        <w:rPr>
          <w:color w:val="231F20"/>
          <w:w w:val="120"/>
        </w:rPr>
        <w:t>et</w:t>
      </w:r>
      <w:r>
        <w:rPr>
          <w:color w:val="231F20"/>
          <w:spacing w:val="-13"/>
          <w:w w:val="120"/>
        </w:rPr>
        <w:t> </w:t>
      </w:r>
      <w:r>
        <w:rPr>
          <w:color w:val="231F20"/>
          <w:w w:val="120"/>
        </w:rPr>
        <w:t>la</w:t>
      </w:r>
      <w:r>
        <w:rPr>
          <w:color w:val="231F20"/>
          <w:spacing w:val="-13"/>
          <w:w w:val="120"/>
        </w:rPr>
        <w:t> </w:t>
      </w:r>
      <w:r>
        <w:rPr>
          <w:color w:val="231F20"/>
          <w:w w:val="120"/>
        </w:rPr>
        <w:t>confiance</w:t>
      </w:r>
      <w:r>
        <w:rPr>
          <w:color w:val="231F20"/>
          <w:spacing w:val="-12"/>
          <w:w w:val="120"/>
        </w:rPr>
        <w:t> </w:t>
      </w:r>
      <w:r>
        <w:rPr>
          <w:color w:val="231F20"/>
          <w:w w:val="120"/>
        </w:rPr>
        <w:t>en</w:t>
      </w:r>
      <w:r>
        <w:rPr>
          <w:color w:val="231F20"/>
          <w:spacing w:val="-13"/>
          <w:w w:val="120"/>
        </w:rPr>
        <w:t> </w:t>
      </w:r>
      <w:r>
        <w:rPr>
          <w:color w:val="231F20"/>
          <w:w w:val="120"/>
        </w:rPr>
        <w:t>soi</w:t>
      </w:r>
      <w:r>
        <w:rPr>
          <w:color w:val="231F20"/>
          <w:spacing w:val="-13"/>
          <w:w w:val="120"/>
        </w:rPr>
        <w:t> </w:t>
      </w:r>
      <w:r>
        <w:rPr>
          <w:color w:val="231F20"/>
          <w:w w:val="120"/>
        </w:rPr>
        <w:t>et</w:t>
      </w:r>
      <w:r>
        <w:rPr>
          <w:color w:val="231F20"/>
          <w:spacing w:val="-13"/>
          <w:w w:val="120"/>
        </w:rPr>
        <w:t> </w:t>
      </w:r>
      <w:r>
        <w:rPr>
          <w:color w:val="231F20"/>
          <w:w w:val="120"/>
        </w:rPr>
        <w:t>dans</w:t>
      </w:r>
      <w:r>
        <w:rPr>
          <w:color w:val="231F20"/>
          <w:spacing w:val="-12"/>
          <w:w w:val="120"/>
        </w:rPr>
        <w:t> </w:t>
      </w:r>
      <w:r>
        <w:rPr>
          <w:color w:val="231F20"/>
          <w:w w:val="120"/>
        </w:rPr>
        <w:t>les</w:t>
      </w:r>
      <w:r>
        <w:rPr>
          <w:color w:val="231F20"/>
          <w:spacing w:val="-13"/>
          <w:w w:val="120"/>
        </w:rPr>
        <w:t> </w:t>
      </w:r>
      <w:r>
        <w:rPr>
          <w:color w:val="231F20"/>
          <w:w w:val="120"/>
        </w:rPr>
        <w:t>autres.</w:t>
      </w:r>
      <w:r>
        <w:rPr>
          <w:color w:val="231F20"/>
          <w:spacing w:val="-13"/>
          <w:w w:val="120"/>
        </w:rPr>
        <w:t> </w:t>
      </w:r>
      <w:r>
        <w:rPr>
          <w:color w:val="231F20"/>
          <w:w w:val="120"/>
        </w:rPr>
        <w:t>La</w:t>
      </w:r>
      <w:r>
        <w:rPr>
          <w:color w:val="231F20"/>
          <w:spacing w:val="-13"/>
          <w:w w:val="120"/>
        </w:rPr>
        <w:t> </w:t>
      </w:r>
      <w:r>
        <w:rPr>
          <w:color w:val="231F20"/>
          <w:w w:val="120"/>
        </w:rPr>
        <w:t>méditation</w:t>
      </w:r>
      <w:r>
        <w:rPr>
          <w:color w:val="231F20"/>
          <w:spacing w:val="-12"/>
          <w:w w:val="120"/>
        </w:rPr>
        <w:t> </w:t>
      </w:r>
      <w:r>
        <w:rPr>
          <w:color w:val="231F20"/>
          <w:w w:val="120"/>
        </w:rPr>
        <w:t>revêt</w:t>
      </w:r>
      <w:r>
        <w:rPr>
          <w:color w:val="231F20"/>
          <w:spacing w:val="-13"/>
          <w:w w:val="120"/>
        </w:rPr>
        <w:t> </w:t>
      </w:r>
      <w:r>
        <w:rPr>
          <w:color w:val="231F20"/>
          <w:w w:val="120"/>
        </w:rPr>
        <w:t>une importance particulière pour les personnes qui exercent une influence sur les autres, dont les gestionnaires.</w:t>
      </w:r>
    </w:p>
    <w:p>
      <w:pPr>
        <w:pStyle w:val="BodyText"/>
        <w:spacing w:line="307" w:lineRule="auto" w:before="80"/>
        <w:ind w:left="1220" w:right="104" w:firstLine="250"/>
        <w:jc w:val="both"/>
      </w:pPr>
      <w:r>
        <w:rPr>
          <w:color w:val="231F20"/>
          <w:w w:val="120"/>
        </w:rPr>
        <w:t>Le</w:t>
      </w:r>
      <w:r>
        <w:rPr>
          <w:color w:val="231F20"/>
          <w:spacing w:val="-7"/>
          <w:w w:val="120"/>
        </w:rPr>
        <w:t> </w:t>
      </w:r>
      <w:r>
        <w:rPr>
          <w:color w:val="231F20"/>
          <w:w w:val="120"/>
        </w:rPr>
        <w:t>but</w:t>
      </w:r>
      <w:r>
        <w:rPr>
          <w:color w:val="231F20"/>
          <w:spacing w:val="-7"/>
          <w:w w:val="120"/>
        </w:rPr>
        <w:t> </w:t>
      </w:r>
      <w:r>
        <w:rPr>
          <w:color w:val="231F20"/>
          <w:w w:val="120"/>
        </w:rPr>
        <w:t>est</w:t>
      </w:r>
      <w:r>
        <w:rPr>
          <w:color w:val="231F20"/>
          <w:spacing w:val="-7"/>
          <w:w w:val="120"/>
        </w:rPr>
        <w:t> </w:t>
      </w:r>
      <w:r>
        <w:rPr>
          <w:color w:val="231F20"/>
          <w:w w:val="120"/>
        </w:rPr>
        <w:t>de</w:t>
      </w:r>
      <w:r>
        <w:rPr>
          <w:color w:val="231F20"/>
          <w:spacing w:val="-7"/>
          <w:w w:val="120"/>
        </w:rPr>
        <w:t> </w:t>
      </w:r>
      <w:r>
        <w:rPr>
          <w:color w:val="231F20"/>
          <w:w w:val="120"/>
        </w:rPr>
        <w:t>réfléchir</w:t>
      </w:r>
      <w:r>
        <w:rPr>
          <w:color w:val="231F20"/>
          <w:spacing w:val="-7"/>
          <w:w w:val="120"/>
        </w:rPr>
        <w:t> </w:t>
      </w:r>
      <w:r>
        <w:rPr>
          <w:color w:val="231F20"/>
          <w:w w:val="120"/>
        </w:rPr>
        <w:t>à</w:t>
      </w:r>
      <w:r>
        <w:rPr>
          <w:color w:val="231F20"/>
          <w:spacing w:val="-7"/>
          <w:w w:val="120"/>
        </w:rPr>
        <w:t> </w:t>
      </w:r>
      <w:r>
        <w:rPr>
          <w:color w:val="231F20"/>
          <w:w w:val="120"/>
        </w:rPr>
        <w:t>soi-même,</w:t>
      </w:r>
      <w:r>
        <w:rPr>
          <w:color w:val="231F20"/>
          <w:spacing w:val="-7"/>
          <w:w w:val="120"/>
        </w:rPr>
        <w:t> </w:t>
      </w:r>
      <w:r>
        <w:rPr>
          <w:color w:val="231F20"/>
          <w:w w:val="120"/>
        </w:rPr>
        <w:t>de</w:t>
      </w:r>
      <w:r>
        <w:rPr>
          <w:color w:val="231F20"/>
          <w:spacing w:val="-7"/>
          <w:w w:val="120"/>
        </w:rPr>
        <w:t> </w:t>
      </w:r>
      <w:r>
        <w:rPr>
          <w:color w:val="231F20"/>
          <w:w w:val="120"/>
        </w:rPr>
        <w:t>se</w:t>
      </w:r>
      <w:r>
        <w:rPr>
          <w:color w:val="231F20"/>
          <w:spacing w:val="-7"/>
          <w:w w:val="120"/>
        </w:rPr>
        <w:t> </w:t>
      </w:r>
      <w:r>
        <w:rPr>
          <w:color w:val="231F20"/>
          <w:w w:val="120"/>
        </w:rPr>
        <w:t>regarder</w:t>
      </w:r>
      <w:r>
        <w:rPr>
          <w:color w:val="231F20"/>
          <w:spacing w:val="-7"/>
          <w:w w:val="120"/>
        </w:rPr>
        <w:t> </w:t>
      </w:r>
      <w:r>
        <w:rPr>
          <w:color w:val="231F20"/>
          <w:w w:val="120"/>
        </w:rPr>
        <w:t>de</w:t>
      </w:r>
      <w:r>
        <w:rPr>
          <w:color w:val="231F20"/>
          <w:spacing w:val="-7"/>
          <w:w w:val="120"/>
        </w:rPr>
        <w:t> </w:t>
      </w:r>
      <w:r>
        <w:rPr>
          <w:color w:val="231F20"/>
          <w:w w:val="120"/>
        </w:rPr>
        <w:t>l’extérieur</w:t>
      </w:r>
      <w:r>
        <w:rPr>
          <w:color w:val="231F20"/>
          <w:spacing w:val="-7"/>
          <w:w w:val="120"/>
        </w:rPr>
        <w:t> </w:t>
      </w:r>
      <w:r>
        <w:rPr>
          <w:color w:val="231F20"/>
          <w:w w:val="120"/>
        </w:rPr>
        <w:t>afin de voir vraiment son soi intérieur et de contempler ses émotions, ses idées, ses actions. Il est très important pour l’individu d’avoir cons- cience</w:t>
      </w:r>
      <w:r>
        <w:rPr>
          <w:color w:val="231F20"/>
          <w:spacing w:val="-1"/>
          <w:w w:val="120"/>
        </w:rPr>
        <w:t> </w:t>
      </w:r>
      <w:r>
        <w:rPr>
          <w:color w:val="231F20"/>
          <w:w w:val="120"/>
        </w:rPr>
        <w:t>de</w:t>
      </w:r>
      <w:r>
        <w:rPr>
          <w:color w:val="231F20"/>
          <w:spacing w:val="-1"/>
          <w:w w:val="120"/>
        </w:rPr>
        <w:t> </w:t>
      </w:r>
      <w:r>
        <w:rPr>
          <w:color w:val="231F20"/>
          <w:w w:val="120"/>
        </w:rPr>
        <w:t>ce</w:t>
      </w:r>
      <w:r>
        <w:rPr>
          <w:color w:val="231F20"/>
          <w:spacing w:val="-1"/>
          <w:w w:val="120"/>
        </w:rPr>
        <w:t> </w:t>
      </w:r>
      <w:r>
        <w:rPr>
          <w:color w:val="231F20"/>
          <w:w w:val="120"/>
        </w:rPr>
        <w:t>qu’il</w:t>
      </w:r>
      <w:r>
        <w:rPr>
          <w:color w:val="231F20"/>
          <w:spacing w:val="-1"/>
          <w:w w:val="120"/>
        </w:rPr>
        <w:t> </w:t>
      </w:r>
      <w:r>
        <w:rPr>
          <w:color w:val="231F20"/>
          <w:w w:val="120"/>
        </w:rPr>
        <w:t>pense,</w:t>
      </w:r>
      <w:r>
        <w:rPr>
          <w:color w:val="231F20"/>
          <w:spacing w:val="-1"/>
          <w:w w:val="120"/>
        </w:rPr>
        <w:t> </w:t>
      </w:r>
      <w:r>
        <w:rPr>
          <w:color w:val="231F20"/>
          <w:w w:val="120"/>
        </w:rPr>
        <w:t>ressent</w:t>
      </w:r>
      <w:r>
        <w:rPr>
          <w:color w:val="231F20"/>
          <w:spacing w:val="-1"/>
          <w:w w:val="120"/>
        </w:rPr>
        <w:t> </w:t>
      </w:r>
      <w:r>
        <w:rPr>
          <w:color w:val="231F20"/>
          <w:w w:val="120"/>
        </w:rPr>
        <w:t>et</w:t>
      </w:r>
      <w:r>
        <w:rPr>
          <w:color w:val="231F20"/>
          <w:spacing w:val="-1"/>
          <w:w w:val="120"/>
        </w:rPr>
        <w:t> </w:t>
      </w:r>
      <w:r>
        <w:rPr>
          <w:color w:val="231F20"/>
          <w:w w:val="120"/>
        </w:rPr>
        <w:t>fait,</w:t>
      </w:r>
      <w:r>
        <w:rPr>
          <w:color w:val="231F20"/>
          <w:spacing w:val="-1"/>
          <w:w w:val="120"/>
        </w:rPr>
        <w:t> </w:t>
      </w:r>
      <w:r>
        <w:rPr>
          <w:color w:val="231F20"/>
          <w:w w:val="120"/>
        </w:rPr>
        <w:t>afin</w:t>
      </w:r>
      <w:r>
        <w:rPr>
          <w:color w:val="231F20"/>
          <w:spacing w:val="-1"/>
          <w:w w:val="120"/>
        </w:rPr>
        <w:t> </w:t>
      </w:r>
      <w:r>
        <w:rPr>
          <w:color w:val="231F20"/>
          <w:w w:val="120"/>
        </w:rPr>
        <w:t>d’adopter</w:t>
      </w:r>
      <w:r>
        <w:rPr>
          <w:color w:val="231F20"/>
          <w:spacing w:val="-1"/>
          <w:w w:val="120"/>
        </w:rPr>
        <w:t> </w:t>
      </w:r>
      <w:r>
        <w:rPr>
          <w:color w:val="231F20"/>
          <w:w w:val="120"/>
        </w:rPr>
        <w:t>la</w:t>
      </w:r>
      <w:r>
        <w:rPr>
          <w:color w:val="231F20"/>
          <w:spacing w:val="-1"/>
          <w:w w:val="120"/>
        </w:rPr>
        <w:t> </w:t>
      </w:r>
      <w:r>
        <w:rPr>
          <w:color w:val="231F20"/>
          <w:w w:val="120"/>
        </w:rPr>
        <w:t>position</w:t>
      </w:r>
      <w:r>
        <w:rPr>
          <w:color w:val="231F20"/>
          <w:spacing w:val="-1"/>
          <w:w w:val="120"/>
        </w:rPr>
        <w:t> </w:t>
      </w:r>
      <w:r>
        <w:rPr>
          <w:color w:val="231F20"/>
          <w:w w:val="120"/>
        </w:rPr>
        <w:t>d’un observateur neutre à l’endroit de son estime de soi, ce qui lui permet de corriger celle-ci d’une façon rationnelle et efficace.</w:t>
      </w:r>
    </w:p>
    <w:p>
      <w:pPr>
        <w:pStyle w:val="BodyText"/>
        <w:spacing w:line="307" w:lineRule="auto" w:before="79"/>
        <w:ind w:left="1220" w:right="103" w:firstLine="250"/>
        <w:jc w:val="both"/>
      </w:pPr>
      <w:r>
        <w:rPr>
          <w:color w:val="231F20"/>
          <w:w w:val="120"/>
        </w:rPr>
        <w:t>On</w:t>
      </w:r>
      <w:r>
        <w:rPr>
          <w:color w:val="231F20"/>
          <w:spacing w:val="-8"/>
          <w:w w:val="120"/>
        </w:rPr>
        <w:t> </w:t>
      </w:r>
      <w:r>
        <w:rPr>
          <w:color w:val="231F20"/>
          <w:w w:val="120"/>
        </w:rPr>
        <w:t>est</w:t>
      </w:r>
      <w:r>
        <w:rPr>
          <w:color w:val="231F20"/>
          <w:spacing w:val="-8"/>
          <w:w w:val="120"/>
        </w:rPr>
        <w:t> </w:t>
      </w:r>
      <w:r>
        <w:rPr>
          <w:color w:val="231F20"/>
          <w:w w:val="120"/>
        </w:rPr>
        <w:t>ce</w:t>
      </w:r>
      <w:r>
        <w:rPr>
          <w:color w:val="231F20"/>
          <w:spacing w:val="-8"/>
          <w:w w:val="120"/>
        </w:rPr>
        <w:t> </w:t>
      </w:r>
      <w:r>
        <w:rPr>
          <w:color w:val="231F20"/>
          <w:w w:val="120"/>
        </w:rPr>
        <w:t>que</w:t>
      </w:r>
      <w:r>
        <w:rPr>
          <w:color w:val="231F20"/>
          <w:spacing w:val="-8"/>
          <w:w w:val="120"/>
        </w:rPr>
        <w:t> </w:t>
      </w:r>
      <w:r>
        <w:rPr>
          <w:color w:val="231F20"/>
          <w:w w:val="120"/>
        </w:rPr>
        <w:t>l’on</w:t>
      </w:r>
      <w:r>
        <w:rPr>
          <w:color w:val="231F20"/>
          <w:spacing w:val="-8"/>
          <w:w w:val="120"/>
        </w:rPr>
        <w:t> </w:t>
      </w:r>
      <w:r>
        <w:rPr>
          <w:color w:val="231F20"/>
          <w:w w:val="120"/>
        </w:rPr>
        <w:t>fait.</w:t>
      </w:r>
      <w:r>
        <w:rPr>
          <w:color w:val="231F20"/>
          <w:spacing w:val="-8"/>
          <w:w w:val="120"/>
        </w:rPr>
        <w:t> </w:t>
      </w:r>
      <w:r>
        <w:rPr>
          <w:color w:val="231F20"/>
          <w:w w:val="120"/>
        </w:rPr>
        <w:t>Vient</w:t>
      </w:r>
      <w:r>
        <w:rPr>
          <w:color w:val="231F20"/>
          <w:spacing w:val="-8"/>
          <w:w w:val="120"/>
        </w:rPr>
        <w:t> </w:t>
      </w:r>
      <w:r>
        <w:rPr>
          <w:color w:val="231F20"/>
          <w:w w:val="120"/>
        </w:rPr>
        <w:t>d’abord</w:t>
      </w:r>
      <w:r>
        <w:rPr>
          <w:color w:val="231F20"/>
          <w:spacing w:val="-8"/>
          <w:w w:val="120"/>
        </w:rPr>
        <w:t> </w:t>
      </w:r>
      <w:r>
        <w:rPr>
          <w:color w:val="231F20"/>
          <w:w w:val="120"/>
        </w:rPr>
        <w:t>l’</w:t>
      </w:r>
      <w:r>
        <w:rPr>
          <w:i/>
          <w:color w:val="231F20"/>
          <w:w w:val="120"/>
        </w:rPr>
        <w:t>être</w:t>
      </w:r>
      <w:r>
        <w:rPr>
          <w:color w:val="231F20"/>
          <w:w w:val="120"/>
        </w:rPr>
        <w:t>,</w:t>
      </w:r>
      <w:r>
        <w:rPr>
          <w:color w:val="231F20"/>
          <w:spacing w:val="-8"/>
          <w:w w:val="120"/>
        </w:rPr>
        <w:t> </w:t>
      </w:r>
      <w:r>
        <w:rPr>
          <w:color w:val="231F20"/>
          <w:w w:val="120"/>
        </w:rPr>
        <w:t>puis</w:t>
      </w:r>
      <w:r>
        <w:rPr>
          <w:color w:val="231F20"/>
          <w:spacing w:val="-8"/>
          <w:w w:val="120"/>
        </w:rPr>
        <w:t> </w:t>
      </w:r>
      <w:r>
        <w:rPr>
          <w:color w:val="231F20"/>
          <w:w w:val="120"/>
        </w:rPr>
        <w:t>le</w:t>
      </w:r>
      <w:r>
        <w:rPr>
          <w:color w:val="231F20"/>
          <w:spacing w:val="-8"/>
          <w:w w:val="120"/>
        </w:rPr>
        <w:t> </w:t>
      </w:r>
      <w:r>
        <w:rPr>
          <w:i/>
          <w:color w:val="231F20"/>
          <w:w w:val="120"/>
        </w:rPr>
        <w:t>faire</w:t>
      </w:r>
      <w:r>
        <w:rPr>
          <w:color w:val="231F20"/>
          <w:w w:val="120"/>
        </w:rPr>
        <w:t>.</w:t>
      </w:r>
      <w:r>
        <w:rPr>
          <w:color w:val="231F20"/>
          <w:spacing w:val="-8"/>
          <w:w w:val="120"/>
        </w:rPr>
        <w:t> </w:t>
      </w:r>
      <w:r>
        <w:rPr>
          <w:color w:val="231F20"/>
          <w:w w:val="120"/>
        </w:rPr>
        <w:t>Ce</w:t>
      </w:r>
      <w:r>
        <w:rPr>
          <w:color w:val="231F20"/>
          <w:spacing w:val="-8"/>
          <w:w w:val="120"/>
        </w:rPr>
        <w:t> </w:t>
      </w:r>
      <w:r>
        <w:rPr>
          <w:color w:val="231F20"/>
          <w:w w:val="120"/>
        </w:rPr>
        <w:t>qu’une personne</w:t>
      </w:r>
      <w:r>
        <w:rPr>
          <w:color w:val="231F20"/>
          <w:spacing w:val="-11"/>
          <w:w w:val="120"/>
        </w:rPr>
        <w:t> </w:t>
      </w:r>
      <w:r>
        <w:rPr>
          <w:color w:val="231F20"/>
          <w:w w:val="120"/>
        </w:rPr>
        <w:t>fait</w:t>
      </w:r>
      <w:r>
        <w:rPr>
          <w:color w:val="231F20"/>
          <w:spacing w:val="-11"/>
          <w:w w:val="120"/>
        </w:rPr>
        <w:t> </w:t>
      </w:r>
      <w:r>
        <w:rPr>
          <w:color w:val="231F20"/>
          <w:w w:val="120"/>
        </w:rPr>
        <w:t>ajoute</w:t>
      </w:r>
      <w:r>
        <w:rPr>
          <w:color w:val="231F20"/>
          <w:spacing w:val="-11"/>
          <w:w w:val="120"/>
        </w:rPr>
        <w:t> </w:t>
      </w: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valeur</w:t>
      </w:r>
      <w:r>
        <w:rPr>
          <w:color w:val="231F20"/>
          <w:spacing w:val="-11"/>
          <w:w w:val="120"/>
        </w:rPr>
        <w:t> </w:t>
      </w:r>
      <w:r>
        <w:rPr>
          <w:color w:val="231F20"/>
          <w:w w:val="120"/>
        </w:rPr>
        <w:t>de</w:t>
      </w:r>
      <w:r>
        <w:rPr>
          <w:color w:val="231F20"/>
          <w:spacing w:val="-11"/>
          <w:w w:val="120"/>
        </w:rPr>
        <w:t> </w:t>
      </w:r>
      <w:r>
        <w:rPr>
          <w:color w:val="231F20"/>
          <w:w w:val="120"/>
        </w:rPr>
        <w:t>son</w:t>
      </w:r>
      <w:r>
        <w:rPr>
          <w:color w:val="231F20"/>
          <w:spacing w:val="-11"/>
          <w:w w:val="120"/>
        </w:rPr>
        <w:t> </w:t>
      </w:r>
      <w:r>
        <w:rPr>
          <w:i/>
          <w:color w:val="231F20"/>
          <w:w w:val="120"/>
        </w:rPr>
        <w:t>être</w:t>
      </w:r>
      <w:r>
        <w:rPr>
          <w:color w:val="231F20"/>
          <w:w w:val="120"/>
        </w:rPr>
        <w:t>.</w:t>
      </w:r>
      <w:r>
        <w:rPr>
          <w:color w:val="231F20"/>
          <w:spacing w:val="-11"/>
          <w:w w:val="120"/>
        </w:rPr>
        <w:t> </w:t>
      </w:r>
      <w:r>
        <w:rPr>
          <w:color w:val="231F20"/>
          <w:w w:val="120"/>
        </w:rPr>
        <w:t>C’est</w:t>
      </w:r>
      <w:r>
        <w:rPr>
          <w:color w:val="231F20"/>
          <w:spacing w:val="-11"/>
          <w:w w:val="120"/>
        </w:rPr>
        <w:t> </w:t>
      </w:r>
      <w:r>
        <w:rPr>
          <w:color w:val="231F20"/>
          <w:w w:val="120"/>
        </w:rPr>
        <w:t>de</w:t>
      </w:r>
      <w:r>
        <w:rPr>
          <w:color w:val="231F20"/>
          <w:spacing w:val="-11"/>
          <w:w w:val="120"/>
        </w:rPr>
        <w:t> </w:t>
      </w:r>
      <w:r>
        <w:rPr>
          <w:color w:val="231F20"/>
          <w:w w:val="120"/>
        </w:rPr>
        <w:t>cette</w:t>
      </w:r>
      <w:r>
        <w:rPr>
          <w:color w:val="231F20"/>
          <w:spacing w:val="-11"/>
          <w:w w:val="120"/>
        </w:rPr>
        <w:t> </w:t>
      </w:r>
      <w:r>
        <w:rPr>
          <w:color w:val="231F20"/>
          <w:w w:val="120"/>
        </w:rPr>
        <w:t>idée</w:t>
      </w:r>
      <w:r>
        <w:rPr>
          <w:color w:val="231F20"/>
          <w:spacing w:val="-11"/>
          <w:w w:val="120"/>
        </w:rPr>
        <w:t> </w:t>
      </w:r>
      <w:r>
        <w:rPr>
          <w:color w:val="231F20"/>
          <w:w w:val="120"/>
        </w:rPr>
        <w:t>que</w:t>
      </w:r>
      <w:r>
        <w:rPr>
          <w:color w:val="231F20"/>
          <w:spacing w:val="-11"/>
          <w:w w:val="120"/>
        </w:rPr>
        <w:t> </w:t>
      </w:r>
      <w:r>
        <w:rPr>
          <w:color w:val="231F20"/>
          <w:w w:val="120"/>
        </w:rPr>
        <w:t>vient </w:t>
      </w:r>
      <w:r>
        <w:rPr>
          <w:color w:val="231F20"/>
          <w:w w:val="115"/>
        </w:rPr>
        <w:t>le</w:t>
      </w:r>
      <w:r>
        <w:rPr>
          <w:color w:val="231F20"/>
          <w:spacing w:val="-12"/>
          <w:w w:val="115"/>
        </w:rPr>
        <w:t> </w:t>
      </w:r>
      <w:r>
        <w:rPr>
          <w:color w:val="231F20"/>
          <w:w w:val="115"/>
        </w:rPr>
        <w:t>concept</w:t>
      </w:r>
      <w:r>
        <w:rPr>
          <w:color w:val="231F20"/>
          <w:spacing w:val="-12"/>
          <w:w w:val="115"/>
        </w:rPr>
        <w:t> </w:t>
      </w:r>
      <w:r>
        <w:rPr>
          <w:color w:val="231F20"/>
          <w:w w:val="115"/>
        </w:rPr>
        <w:t>d’</w:t>
      </w:r>
      <w:r>
        <w:rPr>
          <w:i/>
          <w:color w:val="231F20"/>
          <w:w w:val="115"/>
        </w:rPr>
        <w:t>habitude</w:t>
      </w:r>
      <w:r>
        <w:rPr>
          <w:i/>
          <w:color w:val="231F20"/>
          <w:spacing w:val="-12"/>
          <w:w w:val="115"/>
        </w:rPr>
        <w:t> </w:t>
      </w:r>
      <w:r>
        <w:rPr>
          <w:color w:val="231F20"/>
          <w:w w:val="115"/>
        </w:rPr>
        <w:t>chez</w:t>
      </w:r>
      <w:r>
        <w:rPr>
          <w:color w:val="231F20"/>
          <w:spacing w:val="-12"/>
          <w:w w:val="115"/>
        </w:rPr>
        <w:t> </w:t>
      </w:r>
      <w:r>
        <w:rPr>
          <w:color w:val="231F20"/>
          <w:w w:val="115"/>
        </w:rPr>
        <w:t>Aristote.</w:t>
      </w:r>
      <w:r>
        <w:rPr>
          <w:color w:val="231F20"/>
          <w:spacing w:val="-12"/>
          <w:w w:val="115"/>
        </w:rPr>
        <w:t> </w:t>
      </w:r>
      <w:r>
        <w:rPr>
          <w:color w:val="231F20"/>
          <w:w w:val="115"/>
        </w:rPr>
        <w:t>La</w:t>
      </w:r>
      <w:r>
        <w:rPr>
          <w:color w:val="231F20"/>
          <w:spacing w:val="-12"/>
          <w:w w:val="115"/>
        </w:rPr>
        <w:t> </w:t>
      </w:r>
      <w:r>
        <w:rPr>
          <w:color w:val="231F20"/>
          <w:w w:val="115"/>
        </w:rPr>
        <w:t>bonne</w:t>
      </w:r>
      <w:r>
        <w:rPr>
          <w:color w:val="231F20"/>
          <w:spacing w:val="-12"/>
          <w:w w:val="115"/>
        </w:rPr>
        <w:t> </w:t>
      </w:r>
      <w:r>
        <w:rPr>
          <w:color w:val="231F20"/>
          <w:w w:val="115"/>
        </w:rPr>
        <w:t>personne</w:t>
      </w:r>
      <w:r>
        <w:rPr>
          <w:color w:val="231F20"/>
          <w:spacing w:val="-12"/>
          <w:w w:val="115"/>
        </w:rPr>
        <w:t> </w:t>
      </w:r>
      <w:r>
        <w:rPr>
          <w:color w:val="231F20"/>
          <w:w w:val="115"/>
        </w:rPr>
        <w:t>est</w:t>
      </w:r>
      <w:r>
        <w:rPr>
          <w:color w:val="231F20"/>
          <w:spacing w:val="-12"/>
          <w:w w:val="115"/>
        </w:rPr>
        <w:t> </w:t>
      </w:r>
      <w:r>
        <w:rPr>
          <w:color w:val="231F20"/>
          <w:w w:val="115"/>
        </w:rPr>
        <w:t>celle</w:t>
      </w:r>
      <w:r>
        <w:rPr>
          <w:color w:val="231F20"/>
          <w:spacing w:val="-12"/>
          <w:w w:val="115"/>
        </w:rPr>
        <w:t> </w:t>
      </w:r>
      <w:r>
        <w:rPr>
          <w:color w:val="231F20"/>
          <w:w w:val="115"/>
        </w:rPr>
        <w:t>qui</w:t>
      </w:r>
      <w:r>
        <w:rPr>
          <w:color w:val="231F20"/>
          <w:spacing w:val="-12"/>
          <w:w w:val="115"/>
        </w:rPr>
        <w:t> </w:t>
      </w:r>
      <w:r>
        <w:rPr>
          <w:color w:val="231F20"/>
          <w:w w:val="115"/>
        </w:rPr>
        <w:t>trans- met sa bienveillance. L’intériorisation est essentielle à la connaissance et à</w:t>
      </w:r>
      <w:r>
        <w:rPr>
          <w:color w:val="231F20"/>
          <w:spacing w:val="-7"/>
          <w:w w:val="115"/>
        </w:rPr>
        <w:t> </w:t>
      </w:r>
      <w:r>
        <w:rPr>
          <w:color w:val="231F20"/>
          <w:w w:val="115"/>
        </w:rPr>
        <w:t>la</w:t>
      </w:r>
      <w:r>
        <w:rPr>
          <w:color w:val="231F20"/>
          <w:spacing w:val="-7"/>
          <w:w w:val="115"/>
        </w:rPr>
        <w:t> </w:t>
      </w:r>
      <w:r>
        <w:rPr>
          <w:color w:val="231F20"/>
          <w:w w:val="115"/>
        </w:rPr>
        <w:t>conscience</w:t>
      </w:r>
      <w:r>
        <w:rPr>
          <w:color w:val="231F20"/>
          <w:spacing w:val="-7"/>
          <w:w w:val="115"/>
        </w:rPr>
        <w:t> </w:t>
      </w:r>
      <w:r>
        <w:rPr>
          <w:color w:val="231F20"/>
          <w:w w:val="115"/>
        </w:rPr>
        <w:t>véritable</w:t>
      </w:r>
      <w:r>
        <w:rPr>
          <w:color w:val="231F20"/>
          <w:spacing w:val="-7"/>
          <w:w w:val="115"/>
        </w:rPr>
        <w:t> </w:t>
      </w:r>
      <w:r>
        <w:rPr>
          <w:color w:val="231F20"/>
          <w:w w:val="115"/>
        </w:rPr>
        <w:t>de</w:t>
      </w:r>
      <w:r>
        <w:rPr>
          <w:color w:val="231F20"/>
          <w:spacing w:val="-7"/>
          <w:w w:val="115"/>
        </w:rPr>
        <w:t> </w:t>
      </w:r>
      <w:r>
        <w:rPr>
          <w:color w:val="231F20"/>
          <w:w w:val="115"/>
        </w:rPr>
        <w:t>sa</w:t>
      </w:r>
      <w:r>
        <w:rPr>
          <w:color w:val="231F20"/>
          <w:spacing w:val="-7"/>
          <w:w w:val="115"/>
        </w:rPr>
        <w:t> </w:t>
      </w:r>
      <w:r>
        <w:rPr>
          <w:color w:val="231F20"/>
          <w:w w:val="115"/>
        </w:rPr>
        <w:t>propre</w:t>
      </w:r>
      <w:r>
        <w:rPr>
          <w:color w:val="231F20"/>
          <w:spacing w:val="-8"/>
          <w:w w:val="115"/>
        </w:rPr>
        <w:t> </w:t>
      </w:r>
      <w:r>
        <w:rPr>
          <w:color w:val="231F20"/>
          <w:w w:val="115"/>
        </w:rPr>
        <w:t>réalité.</w:t>
      </w:r>
      <w:r>
        <w:rPr>
          <w:color w:val="231F20"/>
          <w:spacing w:val="-7"/>
          <w:w w:val="115"/>
        </w:rPr>
        <w:t> </w:t>
      </w:r>
      <w:r>
        <w:rPr>
          <w:color w:val="231F20"/>
          <w:w w:val="115"/>
        </w:rPr>
        <w:t>Il</w:t>
      </w:r>
      <w:r>
        <w:rPr>
          <w:color w:val="231F20"/>
          <w:spacing w:val="-7"/>
          <w:w w:val="115"/>
        </w:rPr>
        <w:t> </w:t>
      </w:r>
      <w:r>
        <w:rPr>
          <w:color w:val="231F20"/>
          <w:w w:val="115"/>
        </w:rPr>
        <w:t>est</w:t>
      </w:r>
      <w:r>
        <w:rPr>
          <w:color w:val="231F20"/>
          <w:spacing w:val="-7"/>
          <w:w w:val="115"/>
        </w:rPr>
        <w:t> </w:t>
      </w:r>
      <w:r>
        <w:rPr>
          <w:color w:val="231F20"/>
          <w:w w:val="115"/>
        </w:rPr>
        <w:t>très</w:t>
      </w:r>
      <w:r>
        <w:rPr>
          <w:color w:val="231F20"/>
          <w:spacing w:val="-7"/>
          <w:w w:val="115"/>
        </w:rPr>
        <w:t> </w:t>
      </w:r>
      <w:r>
        <w:rPr>
          <w:color w:val="231F20"/>
          <w:w w:val="115"/>
        </w:rPr>
        <w:t>difficile</w:t>
      </w:r>
      <w:r>
        <w:rPr>
          <w:color w:val="231F20"/>
          <w:spacing w:val="-7"/>
          <w:w w:val="115"/>
        </w:rPr>
        <w:t> </w:t>
      </w:r>
      <w:r>
        <w:rPr>
          <w:color w:val="231F20"/>
          <w:w w:val="115"/>
        </w:rPr>
        <w:t>de</w:t>
      </w:r>
      <w:r>
        <w:rPr>
          <w:color w:val="231F20"/>
          <w:spacing w:val="-7"/>
          <w:w w:val="115"/>
        </w:rPr>
        <w:t> </w:t>
      </w:r>
      <w:r>
        <w:rPr>
          <w:color w:val="231F20"/>
          <w:w w:val="115"/>
        </w:rPr>
        <w:t>s’aimer </w:t>
      </w:r>
      <w:r>
        <w:rPr>
          <w:color w:val="231F20"/>
          <w:w w:val="120"/>
        </w:rPr>
        <w:t>sans savoir qui on est. Personne ne peut aimer ce qu’il ne connaît pas. En</w:t>
      </w:r>
      <w:r>
        <w:rPr>
          <w:color w:val="231F20"/>
          <w:spacing w:val="-9"/>
          <w:w w:val="120"/>
        </w:rPr>
        <w:t> </w:t>
      </w:r>
      <w:r>
        <w:rPr>
          <w:color w:val="231F20"/>
          <w:w w:val="120"/>
        </w:rPr>
        <w:t>même</w:t>
      </w:r>
      <w:r>
        <w:rPr>
          <w:color w:val="231F20"/>
          <w:spacing w:val="-9"/>
          <w:w w:val="120"/>
        </w:rPr>
        <w:t> </w:t>
      </w:r>
      <w:r>
        <w:rPr>
          <w:color w:val="231F20"/>
          <w:w w:val="120"/>
        </w:rPr>
        <w:t>temps,</w:t>
      </w:r>
      <w:r>
        <w:rPr>
          <w:color w:val="231F20"/>
          <w:spacing w:val="-9"/>
          <w:w w:val="120"/>
        </w:rPr>
        <w:t> </w:t>
      </w:r>
      <w:r>
        <w:rPr>
          <w:color w:val="231F20"/>
          <w:w w:val="120"/>
        </w:rPr>
        <w:t>la</w:t>
      </w:r>
      <w:r>
        <w:rPr>
          <w:color w:val="231F20"/>
          <w:spacing w:val="-9"/>
          <w:w w:val="120"/>
        </w:rPr>
        <w:t> </w:t>
      </w:r>
      <w:r>
        <w:rPr>
          <w:color w:val="231F20"/>
          <w:w w:val="120"/>
        </w:rPr>
        <w:t>réflexion</w:t>
      </w:r>
      <w:r>
        <w:rPr>
          <w:color w:val="231F20"/>
          <w:spacing w:val="-9"/>
          <w:w w:val="120"/>
        </w:rPr>
        <w:t> </w:t>
      </w:r>
      <w:r>
        <w:rPr>
          <w:color w:val="231F20"/>
          <w:w w:val="120"/>
        </w:rPr>
        <w:t>méditative</w:t>
      </w:r>
      <w:r>
        <w:rPr>
          <w:color w:val="231F20"/>
          <w:spacing w:val="-9"/>
          <w:w w:val="120"/>
        </w:rPr>
        <w:t> </w:t>
      </w:r>
      <w:r>
        <w:rPr>
          <w:color w:val="231F20"/>
          <w:w w:val="120"/>
        </w:rPr>
        <w:t>sur</w:t>
      </w:r>
      <w:r>
        <w:rPr>
          <w:color w:val="231F20"/>
          <w:spacing w:val="-9"/>
          <w:w w:val="120"/>
        </w:rPr>
        <w:t> </w:t>
      </w:r>
      <w:r>
        <w:rPr>
          <w:color w:val="231F20"/>
          <w:w w:val="120"/>
        </w:rPr>
        <w:t>soi-même</w:t>
      </w:r>
      <w:r>
        <w:rPr>
          <w:color w:val="231F20"/>
          <w:spacing w:val="-9"/>
          <w:w w:val="120"/>
        </w:rPr>
        <w:t> </w:t>
      </w:r>
      <w:r>
        <w:rPr>
          <w:color w:val="231F20"/>
          <w:w w:val="120"/>
        </w:rPr>
        <w:t>facilite</w:t>
      </w:r>
      <w:r>
        <w:rPr>
          <w:color w:val="231F20"/>
          <w:spacing w:val="-9"/>
          <w:w w:val="120"/>
        </w:rPr>
        <w:t> </w:t>
      </w:r>
      <w:r>
        <w:rPr>
          <w:color w:val="231F20"/>
          <w:w w:val="120"/>
        </w:rPr>
        <w:t>une</w:t>
      </w:r>
      <w:r>
        <w:rPr>
          <w:color w:val="231F20"/>
          <w:spacing w:val="-9"/>
          <w:w w:val="120"/>
        </w:rPr>
        <w:t> </w:t>
      </w:r>
      <w:r>
        <w:rPr>
          <w:color w:val="231F20"/>
          <w:w w:val="120"/>
        </w:rPr>
        <w:t>nou- velle</w:t>
      </w:r>
      <w:r>
        <w:rPr>
          <w:color w:val="231F20"/>
          <w:spacing w:val="-2"/>
          <w:w w:val="120"/>
        </w:rPr>
        <w:t> </w:t>
      </w:r>
      <w:r>
        <w:rPr>
          <w:color w:val="231F20"/>
          <w:w w:val="120"/>
        </w:rPr>
        <w:t>conception</w:t>
      </w:r>
      <w:r>
        <w:rPr>
          <w:color w:val="231F20"/>
          <w:spacing w:val="-2"/>
          <w:w w:val="120"/>
        </w:rPr>
        <w:t> </w:t>
      </w:r>
      <w:r>
        <w:rPr>
          <w:color w:val="231F20"/>
          <w:w w:val="120"/>
        </w:rPr>
        <w:t>des</w:t>
      </w:r>
      <w:r>
        <w:rPr>
          <w:color w:val="231F20"/>
          <w:spacing w:val="-2"/>
          <w:w w:val="120"/>
        </w:rPr>
        <w:t> </w:t>
      </w:r>
      <w:r>
        <w:rPr>
          <w:color w:val="231F20"/>
          <w:w w:val="120"/>
        </w:rPr>
        <w:t>vraies</w:t>
      </w:r>
      <w:r>
        <w:rPr>
          <w:color w:val="231F20"/>
          <w:spacing w:val="-2"/>
          <w:w w:val="120"/>
        </w:rPr>
        <w:t> </w:t>
      </w:r>
      <w:r>
        <w:rPr>
          <w:color w:val="231F20"/>
          <w:w w:val="120"/>
        </w:rPr>
        <w:t>valeurs</w:t>
      </w:r>
      <w:r>
        <w:rPr>
          <w:color w:val="231F20"/>
          <w:spacing w:val="-2"/>
          <w:w w:val="120"/>
        </w:rPr>
        <w:t> </w:t>
      </w:r>
      <w:r>
        <w:rPr>
          <w:color w:val="231F20"/>
          <w:w w:val="120"/>
        </w:rPr>
        <w:t>et</w:t>
      </w:r>
      <w:r>
        <w:rPr>
          <w:color w:val="231F20"/>
          <w:spacing w:val="-2"/>
          <w:w w:val="120"/>
        </w:rPr>
        <w:t> </w:t>
      </w:r>
      <w:r>
        <w:rPr>
          <w:color w:val="231F20"/>
          <w:w w:val="120"/>
        </w:rPr>
        <w:t>des</w:t>
      </w:r>
      <w:r>
        <w:rPr>
          <w:color w:val="231F20"/>
          <w:spacing w:val="-2"/>
          <w:w w:val="120"/>
        </w:rPr>
        <w:t> </w:t>
      </w:r>
      <w:r>
        <w:rPr>
          <w:color w:val="231F20"/>
          <w:w w:val="120"/>
        </w:rPr>
        <w:t>buts</w:t>
      </w:r>
      <w:r>
        <w:rPr>
          <w:color w:val="231F20"/>
          <w:spacing w:val="-2"/>
          <w:w w:val="120"/>
        </w:rPr>
        <w:t> </w:t>
      </w:r>
      <w:r>
        <w:rPr>
          <w:color w:val="231F20"/>
          <w:w w:val="120"/>
        </w:rPr>
        <w:t>véritables</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vie,</w:t>
      </w:r>
      <w:r>
        <w:rPr>
          <w:color w:val="231F20"/>
          <w:spacing w:val="-2"/>
          <w:w w:val="120"/>
        </w:rPr>
        <w:t> </w:t>
      </w:r>
      <w:r>
        <w:rPr>
          <w:color w:val="231F20"/>
          <w:w w:val="120"/>
        </w:rPr>
        <w:t>une conception</w:t>
      </w:r>
      <w:r>
        <w:rPr>
          <w:color w:val="231F20"/>
          <w:spacing w:val="-12"/>
          <w:w w:val="120"/>
        </w:rPr>
        <w:t> </w:t>
      </w:r>
      <w:r>
        <w:rPr>
          <w:color w:val="231F20"/>
          <w:w w:val="120"/>
        </w:rPr>
        <w:t>qui</w:t>
      </w:r>
      <w:r>
        <w:rPr>
          <w:color w:val="231F20"/>
          <w:spacing w:val="-12"/>
          <w:w w:val="120"/>
        </w:rPr>
        <w:t> </w:t>
      </w:r>
      <w:r>
        <w:rPr>
          <w:color w:val="231F20"/>
          <w:w w:val="120"/>
        </w:rPr>
        <w:t>aidera</w:t>
      </w:r>
      <w:r>
        <w:rPr>
          <w:color w:val="231F20"/>
          <w:spacing w:val="-12"/>
          <w:w w:val="120"/>
        </w:rPr>
        <w:t> </w:t>
      </w:r>
      <w:r>
        <w:rPr>
          <w:color w:val="231F20"/>
          <w:w w:val="120"/>
        </w:rPr>
        <w:t>l’individu</w:t>
      </w:r>
      <w:r>
        <w:rPr>
          <w:color w:val="231F20"/>
          <w:spacing w:val="-12"/>
          <w:w w:val="120"/>
        </w:rPr>
        <w:t> </w:t>
      </w:r>
      <w:r>
        <w:rPr>
          <w:color w:val="231F20"/>
          <w:w w:val="120"/>
        </w:rPr>
        <w:t>à</w:t>
      </w:r>
      <w:r>
        <w:rPr>
          <w:color w:val="231F20"/>
          <w:spacing w:val="-12"/>
          <w:w w:val="120"/>
        </w:rPr>
        <w:t> </w:t>
      </w:r>
      <w:r>
        <w:rPr>
          <w:color w:val="231F20"/>
          <w:w w:val="120"/>
        </w:rPr>
        <w:t>mieux</w:t>
      </w:r>
      <w:r>
        <w:rPr>
          <w:color w:val="231F20"/>
          <w:spacing w:val="-12"/>
          <w:w w:val="120"/>
        </w:rPr>
        <w:t> </w:t>
      </w:r>
      <w:r>
        <w:rPr>
          <w:color w:val="231F20"/>
          <w:w w:val="120"/>
        </w:rPr>
        <w:t>s’apprécier</w:t>
      </w:r>
      <w:r>
        <w:rPr>
          <w:color w:val="231F20"/>
          <w:spacing w:val="-12"/>
          <w:w w:val="120"/>
        </w:rPr>
        <w:t> </w:t>
      </w:r>
      <w:r>
        <w:rPr>
          <w:color w:val="231F20"/>
          <w:w w:val="120"/>
        </w:rPr>
        <w:t>lui-même,</w:t>
      </w:r>
      <w:r>
        <w:rPr>
          <w:color w:val="231F20"/>
          <w:spacing w:val="-12"/>
          <w:w w:val="120"/>
        </w:rPr>
        <w:t> </w:t>
      </w:r>
      <w:r>
        <w:rPr>
          <w:color w:val="231F20"/>
          <w:w w:val="120"/>
        </w:rPr>
        <w:t>au-delà de</w:t>
      </w:r>
      <w:r>
        <w:rPr>
          <w:color w:val="231F20"/>
          <w:spacing w:val="-9"/>
          <w:w w:val="120"/>
        </w:rPr>
        <w:t> </w:t>
      </w:r>
      <w:r>
        <w:rPr>
          <w:color w:val="231F20"/>
          <w:w w:val="120"/>
        </w:rPr>
        <w:t>l’</w:t>
      </w:r>
      <w:r>
        <w:rPr>
          <w:i/>
          <w:color w:val="231F20"/>
          <w:w w:val="120"/>
        </w:rPr>
        <w:t>ego</w:t>
      </w:r>
      <w:r>
        <w:rPr>
          <w:i/>
          <w:color w:val="231F20"/>
          <w:spacing w:val="-9"/>
          <w:w w:val="120"/>
        </w:rPr>
        <w:t> </w:t>
      </w:r>
      <w:r>
        <w:rPr>
          <w:color w:val="231F20"/>
          <w:w w:val="120"/>
        </w:rPr>
        <w:t>iconique</w:t>
      </w:r>
      <w:r>
        <w:rPr>
          <w:color w:val="231F20"/>
          <w:spacing w:val="-9"/>
          <w:w w:val="120"/>
        </w:rPr>
        <w:t> </w:t>
      </w:r>
      <w:r>
        <w:rPr>
          <w:color w:val="231F20"/>
          <w:w w:val="120"/>
        </w:rPr>
        <w:t>ou</w:t>
      </w:r>
      <w:r>
        <w:rPr>
          <w:color w:val="231F20"/>
          <w:spacing w:val="-9"/>
          <w:w w:val="120"/>
        </w:rPr>
        <w:t> </w:t>
      </w:r>
      <w:r>
        <w:rPr>
          <w:color w:val="231F20"/>
          <w:w w:val="120"/>
        </w:rPr>
        <w:t>représentatif.</w:t>
      </w:r>
      <w:r>
        <w:rPr>
          <w:color w:val="231F20"/>
          <w:spacing w:val="-9"/>
          <w:w w:val="120"/>
        </w:rPr>
        <w:t> </w:t>
      </w:r>
      <w:r>
        <w:rPr>
          <w:color w:val="231F20"/>
          <w:w w:val="120"/>
        </w:rPr>
        <w:t>Chacun</w:t>
      </w:r>
      <w:r>
        <w:rPr>
          <w:color w:val="231F20"/>
          <w:spacing w:val="-9"/>
          <w:w w:val="120"/>
        </w:rPr>
        <w:t> </w:t>
      </w:r>
      <w:r>
        <w:rPr>
          <w:color w:val="231F20"/>
          <w:w w:val="120"/>
        </w:rPr>
        <w:t>doit</w:t>
      </w:r>
      <w:r>
        <w:rPr>
          <w:color w:val="231F20"/>
          <w:spacing w:val="-9"/>
          <w:w w:val="120"/>
        </w:rPr>
        <w:t> </w:t>
      </w:r>
      <w:r>
        <w:rPr>
          <w:color w:val="231F20"/>
          <w:w w:val="120"/>
        </w:rPr>
        <w:t>tenter</w:t>
      </w:r>
      <w:r>
        <w:rPr>
          <w:color w:val="231F20"/>
          <w:spacing w:val="-9"/>
          <w:w w:val="120"/>
        </w:rPr>
        <w:t> </w:t>
      </w:r>
      <w:r>
        <w:rPr>
          <w:color w:val="231F20"/>
          <w:w w:val="120"/>
        </w:rPr>
        <w:t>de</w:t>
      </w:r>
      <w:r>
        <w:rPr>
          <w:color w:val="231F20"/>
          <w:spacing w:val="-9"/>
          <w:w w:val="120"/>
        </w:rPr>
        <w:t> </w:t>
      </w:r>
      <w:r>
        <w:rPr>
          <w:color w:val="231F20"/>
          <w:w w:val="120"/>
        </w:rPr>
        <w:t>se</w:t>
      </w:r>
      <w:r>
        <w:rPr>
          <w:color w:val="231F20"/>
          <w:spacing w:val="-9"/>
          <w:w w:val="120"/>
        </w:rPr>
        <w:t> </w:t>
      </w:r>
      <w:r>
        <w:rPr>
          <w:color w:val="231F20"/>
          <w:w w:val="120"/>
        </w:rPr>
        <w:t>rendre</w:t>
      </w:r>
      <w:r>
        <w:rPr>
          <w:color w:val="231F20"/>
          <w:spacing w:val="-9"/>
          <w:w w:val="120"/>
        </w:rPr>
        <w:t> </w:t>
      </w:r>
      <w:r>
        <w:rPr>
          <w:color w:val="231F20"/>
          <w:w w:val="120"/>
        </w:rPr>
        <w:t>inté- ressant</w:t>
      </w:r>
      <w:r>
        <w:rPr>
          <w:color w:val="231F20"/>
          <w:spacing w:val="-4"/>
          <w:w w:val="120"/>
        </w:rPr>
        <w:t> </w:t>
      </w:r>
      <w:r>
        <w:rPr>
          <w:color w:val="231F20"/>
          <w:w w:val="120"/>
        </w:rPr>
        <w:t>pour</w:t>
      </w:r>
      <w:r>
        <w:rPr>
          <w:color w:val="231F20"/>
          <w:spacing w:val="-4"/>
          <w:w w:val="120"/>
        </w:rPr>
        <w:t> </w:t>
      </w:r>
      <w:r>
        <w:rPr>
          <w:color w:val="231F20"/>
          <w:w w:val="120"/>
        </w:rPr>
        <w:t>lui-même,</w:t>
      </w:r>
      <w:r>
        <w:rPr>
          <w:color w:val="231F20"/>
          <w:spacing w:val="-4"/>
          <w:w w:val="120"/>
        </w:rPr>
        <w:t> </w:t>
      </w:r>
      <w:r>
        <w:rPr>
          <w:color w:val="231F20"/>
          <w:w w:val="120"/>
        </w:rPr>
        <w:t>faute</w:t>
      </w:r>
      <w:r>
        <w:rPr>
          <w:color w:val="231F20"/>
          <w:spacing w:val="-4"/>
          <w:w w:val="120"/>
        </w:rPr>
        <w:t> </w:t>
      </w:r>
      <w:r>
        <w:rPr>
          <w:color w:val="231F20"/>
          <w:w w:val="120"/>
        </w:rPr>
        <w:t>de</w:t>
      </w:r>
      <w:r>
        <w:rPr>
          <w:color w:val="231F20"/>
          <w:spacing w:val="-4"/>
          <w:w w:val="120"/>
        </w:rPr>
        <w:t> </w:t>
      </w:r>
      <w:r>
        <w:rPr>
          <w:color w:val="231F20"/>
          <w:w w:val="120"/>
        </w:rPr>
        <w:t>quoi</w:t>
      </w:r>
      <w:r>
        <w:rPr>
          <w:color w:val="231F20"/>
          <w:spacing w:val="-4"/>
          <w:w w:val="120"/>
        </w:rPr>
        <w:t> </w:t>
      </w:r>
      <w:r>
        <w:rPr>
          <w:color w:val="231F20"/>
          <w:w w:val="120"/>
        </w:rPr>
        <w:t>les</w:t>
      </w:r>
      <w:r>
        <w:rPr>
          <w:color w:val="231F20"/>
          <w:spacing w:val="-4"/>
          <w:w w:val="120"/>
        </w:rPr>
        <w:t> </w:t>
      </w:r>
      <w:r>
        <w:rPr>
          <w:color w:val="231F20"/>
          <w:w w:val="120"/>
        </w:rPr>
        <w:t>autres</w:t>
      </w:r>
      <w:r>
        <w:rPr>
          <w:color w:val="231F20"/>
          <w:spacing w:val="-4"/>
          <w:w w:val="120"/>
        </w:rPr>
        <w:t> </w:t>
      </w:r>
      <w:r>
        <w:rPr>
          <w:color w:val="231F20"/>
          <w:w w:val="120"/>
        </w:rPr>
        <w:t>ne</w:t>
      </w:r>
      <w:r>
        <w:rPr>
          <w:color w:val="231F20"/>
          <w:spacing w:val="-4"/>
          <w:w w:val="120"/>
        </w:rPr>
        <w:t> </w:t>
      </w:r>
      <w:r>
        <w:rPr>
          <w:color w:val="231F20"/>
          <w:w w:val="120"/>
        </w:rPr>
        <w:t>lui</w:t>
      </w:r>
      <w:r>
        <w:rPr>
          <w:color w:val="231F20"/>
          <w:spacing w:val="-4"/>
          <w:w w:val="120"/>
        </w:rPr>
        <w:t> </w:t>
      </w:r>
      <w:r>
        <w:rPr>
          <w:color w:val="231F20"/>
          <w:w w:val="120"/>
        </w:rPr>
        <w:t>trouveront</w:t>
      </w:r>
      <w:r>
        <w:rPr>
          <w:color w:val="231F20"/>
          <w:spacing w:val="-4"/>
          <w:w w:val="120"/>
        </w:rPr>
        <w:t> </w:t>
      </w:r>
      <w:r>
        <w:rPr>
          <w:color w:val="231F20"/>
          <w:w w:val="120"/>
        </w:rPr>
        <w:t>aucun </w:t>
      </w:r>
      <w:r>
        <w:rPr>
          <w:color w:val="231F20"/>
          <w:w w:val="115"/>
        </w:rPr>
        <w:t>intérêt.</w:t>
      </w:r>
      <w:r>
        <w:rPr>
          <w:color w:val="231F20"/>
          <w:spacing w:val="-9"/>
          <w:w w:val="115"/>
        </w:rPr>
        <w:t> </w:t>
      </w:r>
      <w:r>
        <w:rPr>
          <w:color w:val="231F20"/>
          <w:w w:val="115"/>
        </w:rPr>
        <w:t>La</w:t>
      </w:r>
      <w:r>
        <w:rPr>
          <w:color w:val="231F20"/>
          <w:spacing w:val="-9"/>
          <w:w w:val="115"/>
        </w:rPr>
        <w:t> </w:t>
      </w:r>
      <w:r>
        <w:rPr>
          <w:color w:val="231F20"/>
          <w:w w:val="115"/>
        </w:rPr>
        <w:t>personne</w:t>
      </w:r>
      <w:r>
        <w:rPr>
          <w:color w:val="231F20"/>
          <w:spacing w:val="-9"/>
          <w:w w:val="115"/>
        </w:rPr>
        <w:t> </w:t>
      </w:r>
      <w:r>
        <w:rPr>
          <w:color w:val="231F20"/>
          <w:w w:val="115"/>
        </w:rPr>
        <w:t>qui</w:t>
      </w:r>
      <w:r>
        <w:rPr>
          <w:color w:val="231F20"/>
          <w:spacing w:val="-9"/>
          <w:w w:val="115"/>
        </w:rPr>
        <w:t> </w:t>
      </w:r>
      <w:r>
        <w:rPr>
          <w:color w:val="231F20"/>
          <w:w w:val="115"/>
        </w:rPr>
        <w:t>cesse</w:t>
      </w:r>
      <w:r>
        <w:rPr>
          <w:color w:val="231F20"/>
          <w:spacing w:val="-9"/>
          <w:w w:val="115"/>
        </w:rPr>
        <w:t> </w:t>
      </w:r>
      <w:r>
        <w:rPr>
          <w:color w:val="231F20"/>
          <w:w w:val="115"/>
        </w:rPr>
        <w:t>de</w:t>
      </w:r>
      <w:r>
        <w:rPr>
          <w:color w:val="231F20"/>
          <w:spacing w:val="-9"/>
          <w:w w:val="115"/>
        </w:rPr>
        <w:t> </w:t>
      </w:r>
      <w:r>
        <w:rPr>
          <w:color w:val="231F20"/>
          <w:w w:val="115"/>
        </w:rPr>
        <w:t>s’intéresser</w:t>
      </w:r>
      <w:r>
        <w:rPr>
          <w:color w:val="231F20"/>
          <w:spacing w:val="-9"/>
          <w:w w:val="115"/>
        </w:rPr>
        <w:t> </w:t>
      </w:r>
      <w:r>
        <w:rPr>
          <w:color w:val="231F20"/>
          <w:w w:val="115"/>
        </w:rPr>
        <w:t>à</w:t>
      </w:r>
      <w:r>
        <w:rPr>
          <w:color w:val="231F20"/>
          <w:spacing w:val="-9"/>
          <w:w w:val="115"/>
        </w:rPr>
        <w:t> </w:t>
      </w:r>
      <w:r>
        <w:rPr>
          <w:color w:val="231F20"/>
          <w:w w:val="115"/>
        </w:rPr>
        <w:t>elle-même</w:t>
      </w:r>
      <w:r>
        <w:rPr>
          <w:color w:val="231F20"/>
          <w:spacing w:val="-9"/>
          <w:w w:val="115"/>
        </w:rPr>
        <w:t> </w:t>
      </w:r>
      <w:r>
        <w:rPr>
          <w:color w:val="231F20"/>
          <w:w w:val="115"/>
        </w:rPr>
        <w:t>ne</w:t>
      </w:r>
      <w:r>
        <w:rPr>
          <w:color w:val="231F20"/>
          <w:spacing w:val="-9"/>
          <w:w w:val="115"/>
        </w:rPr>
        <w:t> </w:t>
      </w:r>
      <w:r>
        <w:rPr>
          <w:color w:val="231F20"/>
          <w:w w:val="115"/>
        </w:rPr>
        <w:t>peut</w:t>
      </w:r>
      <w:r>
        <w:rPr>
          <w:color w:val="231F20"/>
          <w:spacing w:val="-9"/>
          <w:w w:val="115"/>
        </w:rPr>
        <w:t> </w:t>
      </w:r>
      <w:r>
        <w:rPr>
          <w:color w:val="231F20"/>
          <w:w w:val="115"/>
        </w:rPr>
        <w:t>s’appré- </w:t>
      </w:r>
      <w:r>
        <w:rPr>
          <w:color w:val="231F20"/>
          <w:w w:val="120"/>
        </w:rPr>
        <w:t>cier</w:t>
      </w:r>
      <w:r>
        <w:rPr>
          <w:color w:val="231F20"/>
          <w:spacing w:val="-13"/>
          <w:w w:val="120"/>
        </w:rPr>
        <w:t> </w:t>
      </w:r>
      <w:r>
        <w:rPr>
          <w:color w:val="231F20"/>
          <w:w w:val="120"/>
        </w:rPr>
        <w:t>;</w:t>
      </w:r>
      <w:r>
        <w:rPr>
          <w:color w:val="231F20"/>
          <w:spacing w:val="-13"/>
          <w:w w:val="120"/>
        </w:rPr>
        <w:t> </w:t>
      </w:r>
      <w:r>
        <w:rPr>
          <w:color w:val="231F20"/>
          <w:w w:val="120"/>
        </w:rPr>
        <w:t>il</w:t>
      </w:r>
      <w:r>
        <w:rPr>
          <w:color w:val="231F20"/>
          <w:spacing w:val="-3"/>
          <w:w w:val="120"/>
        </w:rPr>
        <w:t> </w:t>
      </w:r>
      <w:r>
        <w:rPr>
          <w:color w:val="231F20"/>
          <w:w w:val="120"/>
        </w:rPr>
        <w:t>est alors difficile pour les autres d’en faire autant. Vraisembla- blement, les autres ne l’intéresseront pas non plus. Pour ressentir une estime de soi profonde et durable, il faut une effervescence intérieure créative et constructive.</w:t>
      </w:r>
    </w:p>
    <w:p>
      <w:pPr>
        <w:pStyle w:val="BodyText"/>
        <w:spacing w:before="5"/>
        <w:rPr>
          <w:sz w:val="21"/>
        </w:rPr>
      </w:pPr>
    </w:p>
    <w:p>
      <w:pPr>
        <w:spacing w:line="307" w:lineRule="auto" w:before="1"/>
        <w:ind w:left="1220" w:right="106" w:firstLine="0"/>
        <w:jc w:val="both"/>
        <w:rPr>
          <w:sz w:val="17"/>
        </w:rPr>
      </w:pPr>
      <w:r>
        <w:rPr>
          <w:b/>
          <w:color w:val="231F20"/>
          <w:spacing w:val="-2"/>
          <w:w w:val="115"/>
          <w:sz w:val="17"/>
        </w:rPr>
        <w:t>Rappelez-vous</w:t>
      </w:r>
      <w:r>
        <w:rPr>
          <w:b/>
          <w:color w:val="231F20"/>
          <w:spacing w:val="-4"/>
          <w:w w:val="115"/>
          <w:sz w:val="17"/>
        </w:rPr>
        <w:t> </w:t>
      </w:r>
      <w:r>
        <w:rPr>
          <w:b/>
          <w:color w:val="231F20"/>
          <w:spacing w:val="-2"/>
          <w:w w:val="115"/>
          <w:sz w:val="17"/>
        </w:rPr>
        <w:t>et</w:t>
      </w:r>
      <w:r>
        <w:rPr>
          <w:b/>
          <w:color w:val="231F20"/>
          <w:spacing w:val="-4"/>
          <w:w w:val="115"/>
          <w:sz w:val="17"/>
        </w:rPr>
        <w:t> </w:t>
      </w:r>
      <w:r>
        <w:rPr>
          <w:b/>
          <w:color w:val="231F20"/>
          <w:spacing w:val="-2"/>
          <w:w w:val="115"/>
          <w:sz w:val="17"/>
        </w:rPr>
        <w:t>reconstruisez,</w:t>
      </w:r>
      <w:r>
        <w:rPr>
          <w:b/>
          <w:color w:val="231F20"/>
          <w:spacing w:val="-4"/>
          <w:w w:val="115"/>
          <w:sz w:val="17"/>
        </w:rPr>
        <w:t> </w:t>
      </w:r>
      <w:r>
        <w:rPr>
          <w:b/>
          <w:color w:val="231F20"/>
          <w:spacing w:val="-2"/>
          <w:w w:val="115"/>
          <w:sz w:val="17"/>
        </w:rPr>
        <w:t>dans</w:t>
      </w:r>
      <w:r>
        <w:rPr>
          <w:b/>
          <w:color w:val="231F20"/>
          <w:spacing w:val="-4"/>
          <w:w w:val="115"/>
          <w:sz w:val="17"/>
        </w:rPr>
        <w:t> </w:t>
      </w:r>
      <w:r>
        <w:rPr>
          <w:b/>
          <w:color w:val="231F20"/>
          <w:spacing w:val="-2"/>
          <w:w w:val="115"/>
          <w:sz w:val="17"/>
        </w:rPr>
        <w:t>la</w:t>
      </w:r>
      <w:r>
        <w:rPr>
          <w:b/>
          <w:color w:val="231F20"/>
          <w:spacing w:val="-4"/>
          <w:w w:val="115"/>
          <w:sz w:val="17"/>
        </w:rPr>
        <w:t> </w:t>
      </w:r>
      <w:r>
        <w:rPr>
          <w:b/>
          <w:color w:val="231F20"/>
          <w:spacing w:val="-2"/>
          <w:w w:val="115"/>
          <w:sz w:val="17"/>
        </w:rPr>
        <w:t>mesure</w:t>
      </w:r>
      <w:r>
        <w:rPr>
          <w:b/>
          <w:color w:val="231F20"/>
          <w:spacing w:val="-4"/>
          <w:w w:val="115"/>
          <w:sz w:val="17"/>
        </w:rPr>
        <w:t> </w:t>
      </w:r>
      <w:r>
        <w:rPr>
          <w:b/>
          <w:color w:val="231F20"/>
          <w:spacing w:val="-2"/>
          <w:w w:val="115"/>
          <w:sz w:val="17"/>
        </w:rPr>
        <w:t>du</w:t>
      </w:r>
      <w:r>
        <w:rPr>
          <w:b/>
          <w:color w:val="231F20"/>
          <w:spacing w:val="-4"/>
          <w:w w:val="115"/>
          <w:sz w:val="17"/>
        </w:rPr>
        <w:t> </w:t>
      </w:r>
      <w:r>
        <w:rPr>
          <w:b/>
          <w:color w:val="231F20"/>
          <w:spacing w:val="-2"/>
          <w:w w:val="115"/>
          <w:sz w:val="17"/>
        </w:rPr>
        <w:t>possible,</w:t>
      </w:r>
      <w:r>
        <w:rPr>
          <w:b/>
          <w:color w:val="231F20"/>
          <w:spacing w:val="-4"/>
          <w:w w:val="115"/>
          <w:sz w:val="17"/>
        </w:rPr>
        <w:t> </w:t>
      </w:r>
      <w:r>
        <w:rPr>
          <w:b/>
          <w:color w:val="231F20"/>
          <w:spacing w:val="-2"/>
          <w:w w:val="115"/>
          <w:sz w:val="17"/>
        </w:rPr>
        <w:t>l’amour</w:t>
      </w:r>
      <w:r>
        <w:rPr>
          <w:b/>
          <w:color w:val="231F20"/>
          <w:spacing w:val="-4"/>
          <w:w w:val="115"/>
          <w:sz w:val="17"/>
        </w:rPr>
        <w:t> </w:t>
      </w:r>
      <w:r>
        <w:rPr>
          <w:b/>
          <w:color w:val="231F20"/>
          <w:spacing w:val="-2"/>
          <w:w w:val="115"/>
          <w:sz w:val="17"/>
        </w:rPr>
        <w:t>et </w:t>
      </w:r>
      <w:r>
        <w:rPr>
          <w:b/>
          <w:color w:val="231F20"/>
          <w:w w:val="115"/>
          <w:sz w:val="17"/>
        </w:rPr>
        <w:t>la confiance que vous ressentiez envers vos parents pendant votre enfance. </w:t>
      </w:r>
      <w:r>
        <w:rPr>
          <w:color w:val="231F20"/>
          <w:w w:val="115"/>
          <w:sz w:val="17"/>
        </w:rPr>
        <w:t>Comme le souligne Polaino-Lorente34, la vie d’une personne vaut ce que vaut son amour. Pour préciser, on pourrait ajouter que la vie d’une personne vaut ce que vaut son amour tel qu’elle le perçoit, se le rappelle et le reconstruit.</w:t>
      </w:r>
    </w:p>
    <w:p>
      <w:pPr>
        <w:pStyle w:val="BodyText"/>
        <w:spacing w:line="307" w:lineRule="auto" w:before="79"/>
        <w:ind w:left="1220" w:right="104" w:firstLine="250"/>
        <w:jc w:val="both"/>
      </w:pPr>
      <w:r>
        <w:rPr>
          <w:color w:val="231F20"/>
          <w:w w:val="120"/>
        </w:rPr>
        <w:t>Il est évident que la construction affective se fait plus ou moins objectivement pendant l’enfance et l’adolescence. Toutefois, il arrive que</w:t>
      </w:r>
      <w:r>
        <w:rPr>
          <w:color w:val="231F20"/>
          <w:spacing w:val="-3"/>
          <w:w w:val="120"/>
        </w:rPr>
        <w:t> </w:t>
      </w:r>
      <w:r>
        <w:rPr>
          <w:color w:val="231F20"/>
          <w:w w:val="120"/>
        </w:rPr>
        <w:t>certains</w:t>
      </w:r>
      <w:r>
        <w:rPr>
          <w:color w:val="231F20"/>
          <w:spacing w:val="-3"/>
          <w:w w:val="120"/>
        </w:rPr>
        <w:t> </w:t>
      </w:r>
      <w:r>
        <w:rPr>
          <w:color w:val="231F20"/>
          <w:w w:val="120"/>
        </w:rPr>
        <w:t>filtres</w:t>
      </w:r>
      <w:r>
        <w:rPr>
          <w:color w:val="231F20"/>
          <w:spacing w:val="-3"/>
          <w:w w:val="120"/>
        </w:rPr>
        <w:t> </w:t>
      </w:r>
      <w:r>
        <w:rPr>
          <w:color w:val="231F20"/>
          <w:w w:val="120"/>
        </w:rPr>
        <w:t>cognitifs</w:t>
      </w:r>
      <w:r>
        <w:rPr>
          <w:color w:val="231F20"/>
          <w:spacing w:val="-3"/>
          <w:w w:val="120"/>
        </w:rPr>
        <w:t> </w:t>
      </w:r>
      <w:r>
        <w:rPr>
          <w:color w:val="231F20"/>
          <w:w w:val="120"/>
        </w:rPr>
        <w:t>minimisent</w:t>
      </w:r>
      <w:r>
        <w:rPr>
          <w:color w:val="231F20"/>
          <w:spacing w:val="-3"/>
          <w:w w:val="120"/>
        </w:rPr>
        <w:t> </w:t>
      </w:r>
      <w:r>
        <w:rPr>
          <w:color w:val="231F20"/>
          <w:w w:val="120"/>
        </w:rPr>
        <w:t>ou</w:t>
      </w:r>
      <w:r>
        <w:rPr>
          <w:color w:val="231F20"/>
          <w:spacing w:val="-3"/>
          <w:w w:val="120"/>
        </w:rPr>
        <w:t> </w:t>
      </w:r>
      <w:r>
        <w:rPr>
          <w:color w:val="231F20"/>
          <w:w w:val="120"/>
        </w:rPr>
        <w:t>déforment</w:t>
      </w:r>
      <w:r>
        <w:rPr>
          <w:color w:val="231F20"/>
          <w:spacing w:val="-3"/>
          <w:w w:val="120"/>
        </w:rPr>
        <w:t> </w:t>
      </w:r>
      <w:r>
        <w:rPr>
          <w:color w:val="231F20"/>
          <w:w w:val="120"/>
        </w:rPr>
        <w:t>négativement</w:t>
      </w:r>
      <w:r>
        <w:rPr>
          <w:color w:val="231F20"/>
          <w:spacing w:val="-3"/>
          <w:w w:val="120"/>
        </w:rPr>
        <w:t> </w:t>
      </w:r>
      <w:r>
        <w:rPr>
          <w:color w:val="231F20"/>
          <w:w w:val="120"/>
        </w:rPr>
        <w:t>le souvenir</w:t>
      </w:r>
      <w:r>
        <w:rPr>
          <w:color w:val="231F20"/>
          <w:spacing w:val="-4"/>
          <w:w w:val="120"/>
        </w:rPr>
        <w:t> </w:t>
      </w:r>
      <w:r>
        <w:rPr>
          <w:color w:val="231F20"/>
          <w:w w:val="120"/>
        </w:rPr>
        <w:t>d’avoir</w:t>
      </w:r>
      <w:r>
        <w:rPr>
          <w:color w:val="231F20"/>
          <w:spacing w:val="-4"/>
          <w:w w:val="120"/>
        </w:rPr>
        <w:t> </w:t>
      </w:r>
      <w:r>
        <w:rPr>
          <w:color w:val="231F20"/>
          <w:w w:val="120"/>
        </w:rPr>
        <w:t>été</w:t>
      </w:r>
      <w:r>
        <w:rPr>
          <w:color w:val="231F20"/>
          <w:spacing w:val="-4"/>
          <w:w w:val="120"/>
        </w:rPr>
        <w:t> </w:t>
      </w:r>
      <w:r>
        <w:rPr>
          <w:color w:val="231F20"/>
          <w:w w:val="120"/>
        </w:rPr>
        <w:t>aimé</w:t>
      </w:r>
      <w:r>
        <w:rPr>
          <w:color w:val="231F20"/>
          <w:spacing w:val="-4"/>
          <w:w w:val="120"/>
        </w:rPr>
        <w:t> </w:t>
      </w:r>
      <w:r>
        <w:rPr>
          <w:color w:val="231F20"/>
          <w:w w:val="120"/>
        </w:rPr>
        <w:t>et</w:t>
      </w:r>
      <w:r>
        <w:rPr>
          <w:color w:val="231F20"/>
          <w:spacing w:val="-4"/>
          <w:w w:val="120"/>
        </w:rPr>
        <w:t> </w:t>
      </w:r>
      <w:r>
        <w:rPr>
          <w:color w:val="231F20"/>
          <w:w w:val="120"/>
        </w:rPr>
        <w:t>accepté</w:t>
      </w:r>
      <w:r>
        <w:rPr>
          <w:color w:val="231F20"/>
          <w:spacing w:val="-4"/>
          <w:w w:val="120"/>
        </w:rPr>
        <w:t> </w:t>
      </w:r>
      <w:r>
        <w:rPr>
          <w:color w:val="231F20"/>
          <w:w w:val="120"/>
        </w:rPr>
        <w:t>par</w:t>
      </w:r>
      <w:r>
        <w:rPr>
          <w:color w:val="231F20"/>
          <w:spacing w:val="-4"/>
          <w:w w:val="120"/>
        </w:rPr>
        <w:t> </w:t>
      </w:r>
      <w:r>
        <w:rPr>
          <w:color w:val="231F20"/>
          <w:w w:val="120"/>
        </w:rPr>
        <w:t>ses</w:t>
      </w:r>
      <w:r>
        <w:rPr>
          <w:color w:val="231F20"/>
          <w:spacing w:val="-4"/>
          <w:w w:val="120"/>
        </w:rPr>
        <w:t> </w:t>
      </w:r>
      <w:r>
        <w:rPr>
          <w:color w:val="231F20"/>
          <w:w w:val="120"/>
        </w:rPr>
        <w:t>parents</w:t>
      </w:r>
      <w:r>
        <w:rPr>
          <w:color w:val="231F20"/>
          <w:spacing w:val="-4"/>
          <w:w w:val="120"/>
        </w:rPr>
        <w:t> </w:t>
      </w:r>
      <w:r>
        <w:rPr>
          <w:color w:val="231F20"/>
          <w:w w:val="120"/>
        </w:rPr>
        <w:t>et</w:t>
      </w:r>
      <w:r>
        <w:rPr>
          <w:color w:val="231F20"/>
          <w:spacing w:val="-4"/>
          <w:w w:val="120"/>
        </w:rPr>
        <w:t> </w:t>
      </w:r>
      <w:r>
        <w:rPr>
          <w:color w:val="231F20"/>
          <w:w w:val="120"/>
        </w:rPr>
        <w:t>par</w:t>
      </w:r>
      <w:r>
        <w:rPr>
          <w:color w:val="231F20"/>
          <w:spacing w:val="-4"/>
          <w:w w:val="120"/>
        </w:rPr>
        <w:t> </w:t>
      </w:r>
      <w:r>
        <w:rPr>
          <w:color w:val="231F20"/>
          <w:w w:val="120"/>
        </w:rPr>
        <w:t>d’autres</w:t>
      </w:r>
      <w:r>
        <w:rPr>
          <w:color w:val="231F20"/>
          <w:spacing w:val="-4"/>
          <w:w w:val="120"/>
        </w:rPr>
        <w:t> </w:t>
      </w:r>
      <w:r>
        <w:rPr>
          <w:color w:val="231F20"/>
          <w:w w:val="120"/>
        </w:rPr>
        <w:t>aux premiers</w:t>
      </w:r>
      <w:r>
        <w:rPr>
          <w:color w:val="231F20"/>
          <w:spacing w:val="8"/>
          <w:w w:val="120"/>
        </w:rPr>
        <w:t> </w:t>
      </w:r>
      <w:r>
        <w:rPr>
          <w:color w:val="231F20"/>
          <w:w w:val="120"/>
        </w:rPr>
        <w:t>moments</w:t>
      </w:r>
      <w:r>
        <w:rPr>
          <w:color w:val="231F20"/>
          <w:spacing w:val="8"/>
          <w:w w:val="120"/>
        </w:rPr>
        <w:t> </w:t>
      </w:r>
      <w:r>
        <w:rPr>
          <w:color w:val="231F20"/>
          <w:w w:val="120"/>
        </w:rPr>
        <w:t>de</w:t>
      </w:r>
      <w:r>
        <w:rPr>
          <w:color w:val="231F20"/>
          <w:spacing w:val="9"/>
          <w:w w:val="120"/>
        </w:rPr>
        <w:t> </w:t>
      </w:r>
      <w:r>
        <w:rPr>
          <w:color w:val="231F20"/>
          <w:w w:val="120"/>
        </w:rPr>
        <w:t>notre</w:t>
      </w:r>
      <w:r>
        <w:rPr>
          <w:color w:val="231F20"/>
          <w:spacing w:val="8"/>
          <w:w w:val="120"/>
        </w:rPr>
        <w:t> </w:t>
      </w:r>
      <w:r>
        <w:rPr>
          <w:color w:val="231F20"/>
          <w:w w:val="120"/>
        </w:rPr>
        <w:t>vie.</w:t>
      </w:r>
      <w:r>
        <w:rPr>
          <w:color w:val="231F20"/>
          <w:spacing w:val="8"/>
          <w:w w:val="120"/>
        </w:rPr>
        <w:t> </w:t>
      </w:r>
      <w:r>
        <w:rPr>
          <w:color w:val="231F20"/>
          <w:w w:val="120"/>
        </w:rPr>
        <w:t>En</w:t>
      </w:r>
      <w:r>
        <w:rPr>
          <w:color w:val="231F20"/>
          <w:spacing w:val="9"/>
          <w:w w:val="120"/>
        </w:rPr>
        <w:t> </w:t>
      </w:r>
      <w:r>
        <w:rPr>
          <w:color w:val="231F20"/>
          <w:w w:val="120"/>
        </w:rPr>
        <w:t>ce</w:t>
      </w:r>
      <w:r>
        <w:rPr>
          <w:color w:val="231F20"/>
          <w:spacing w:val="8"/>
          <w:w w:val="120"/>
        </w:rPr>
        <w:t> </w:t>
      </w:r>
      <w:r>
        <w:rPr>
          <w:color w:val="231F20"/>
          <w:w w:val="120"/>
        </w:rPr>
        <w:t>sens,</w:t>
      </w:r>
      <w:r>
        <w:rPr>
          <w:color w:val="231F20"/>
          <w:spacing w:val="8"/>
          <w:w w:val="120"/>
        </w:rPr>
        <w:t> </w:t>
      </w:r>
      <w:r>
        <w:rPr>
          <w:color w:val="231F20"/>
          <w:w w:val="120"/>
        </w:rPr>
        <w:t>il</w:t>
      </w:r>
      <w:r>
        <w:rPr>
          <w:color w:val="231F20"/>
          <w:spacing w:val="9"/>
          <w:w w:val="120"/>
        </w:rPr>
        <w:t> </w:t>
      </w:r>
      <w:r>
        <w:rPr>
          <w:color w:val="231F20"/>
          <w:w w:val="120"/>
        </w:rPr>
        <w:t>est</w:t>
      </w:r>
      <w:r>
        <w:rPr>
          <w:color w:val="231F20"/>
          <w:spacing w:val="8"/>
          <w:w w:val="120"/>
        </w:rPr>
        <w:t> </w:t>
      </w:r>
      <w:r>
        <w:rPr>
          <w:color w:val="231F20"/>
          <w:w w:val="120"/>
        </w:rPr>
        <w:t>très</w:t>
      </w:r>
      <w:r>
        <w:rPr>
          <w:color w:val="231F20"/>
          <w:spacing w:val="8"/>
          <w:w w:val="120"/>
        </w:rPr>
        <w:t> </w:t>
      </w:r>
      <w:r>
        <w:rPr>
          <w:color w:val="231F20"/>
          <w:w w:val="120"/>
        </w:rPr>
        <w:t>important</w:t>
      </w:r>
      <w:r>
        <w:rPr>
          <w:color w:val="231F20"/>
          <w:spacing w:val="9"/>
          <w:w w:val="120"/>
        </w:rPr>
        <w:t> </w:t>
      </w:r>
      <w:r>
        <w:rPr>
          <w:color w:val="231F20"/>
          <w:spacing w:val="-4"/>
          <w:w w:val="120"/>
        </w:rPr>
        <w:t>pour</w:t>
      </w:r>
    </w:p>
    <w:p>
      <w:pPr>
        <w:pStyle w:val="BodyText"/>
        <w:rPr>
          <w:sz w:val="20"/>
        </w:rPr>
      </w:pPr>
    </w:p>
    <w:p>
      <w:pPr>
        <w:pStyle w:val="BodyText"/>
        <w:rPr>
          <w:sz w:val="14"/>
        </w:rPr>
      </w:pPr>
      <w:r>
        <w:rPr/>
        <w:pict>
          <v:shape style="position:absolute;margin-left:82pt;margin-top:9.286865pt;width:287.5pt;height:.1pt;mso-position-horizontal-relative:page;mso-position-vertical-relative:paragraph;z-index:-15644672;mso-wrap-distance-left:0;mso-wrap-distance-right:0" id="docshape958" coordorigin="1640,186" coordsize="5750,0" path="m1640,186l7390,186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i/>
          <w:sz w:val="12"/>
        </w:rPr>
      </w:pPr>
      <w:r>
        <w:rPr>
          <w:rFonts w:ascii="Arial"/>
          <w:color w:val="231F20"/>
          <w:sz w:val="12"/>
        </w:rPr>
        <w:t>Polaino-Lorente</w:t>
      </w:r>
      <w:r>
        <w:rPr>
          <w:rFonts w:ascii="Arial"/>
          <w:color w:val="231F20"/>
          <w:spacing w:val="15"/>
          <w:sz w:val="12"/>
        </w:rPr>
        <w:t> </w:t>
      </w:r>
      <w:r>
        <w:rPr>
          <w:rFonts w:ascii="Arial"/>
          <w:color w:val="231F20"/>
          <w:sz w:val="12"/>
        </w:rPr>
        <w:t>(2003).</w:t>
      </w:r>
      <w:r>
        <w:rPr>
          <w:rFonts w:ascii="Arial"/>
          <w:color w:val="231F20"/>
          <w:spacing w:val="16"/>
          <w:sz w:val="12"/>
        </w:rPr>
        <w:t> </w:t>
      </w:r>
      <w:r>
        <w:rPr>
          <w:rFonts w:ascii="Arial"/>
          <w:i/>
          <w:color w:val="231F20"/>
          <w:spacing w:val="-2"/>
          <w:sz w:val="12"/>
        </w:rPr>
        <w:t>Ibid.</w:t>
      </w:r>
    </w:p>
    <w:p>
      <w:pPr>
        <w:spacing w:after="0" w:line="240" w:lineRule="auto"/>
        <w:jc w:val="left"/>
        <w:rPr>
          <w:rFonts w:ascii="Arial"/>
          <w:sz w:val="12"/>
        </w:rPr>
        <w:sectPr>
          <w:footerReference w:type="default" r:id="rId260"/>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7"/>
        <w:jc w:val="both"/>
      </w:pPr>
      <w:r>
        <w:rPr>
          <w:color w:val="231F20"/>
          <w:spacing w:val="-2"/>
          <w:w w:val="120"/>
        </w:rPr>
        <w:t>l’estime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d’essayer</w:t>
      </w:r>
      <w:r>
        <w:rPr>
          <w:color w:val="231F20"/>
          <w:spacing w:val="-7"/>
          <w:w w:val="120"/>
        </w:rPr>
        <w:t> </w:t>
      </w:r>
      <w:r>
        <w:rPr>
          <w:color w:val="231F20"/>
          <w:spacing w:val="-2"/>
          <w:w w:val="120"/>
        </w:rPr>
        <w:t>de</w:t>
      </w:r>
      <w:r>
        <w:rPr>
          <w:color w:val="231F20"/>
          <w:spacing w:val="-7"/>
          <w:w w:val="120"/>
        </w:rPr>
        <w:t> </w:t>
      </w:r>
      <w:r>
        <w:rPr>
          <w:color w:val="231F20"/>
          <w:spacing w:val="-2"/>
          <w:w w:val="120"/>
        </w:rPr>
        <w:t>rationaliser</w:t>
      </w:r>
      <w:r>
        <w:rPr>
          <w:color w:val="231F20"/>
          <w:spacing w:val="-7"/>
          <w:w w:val="120"/>
        </w:rPr>
        <w:t> </w:t>
      </w:r>
      <w:r>
        <w:rPr>
          <w:color w:val="231F20"/>
          <w:spacing w:val="-2"/>
          <w:w w:val="120"/>
        </w:rPr>
        <w:t>ces</w:t>
      </w:r>
      <w:r>
        <w:rPr>
          <w:color w:val="231F20"/>
          <w:spacing w:val="-7"/>
          <w:w w:val="120"/>
        </w:rPr>
        <w:t> </w:t>
      </w:r>
      <w:r>
        <w:rPr>
          <w:color w:val="231F20"/>
          <w:spacing w:val="-2"/>
          <w:w w:val="120"/>
        </w:rPr>
        <w:t>filtres</w:t>
      </w:r>
      <w:r>
        <w:rPr>
          <w:color w:val="231F20"/>
          <w:spacing w:val="-7"/>
          <w:w w:val="120"/>
        </w:rPr>
        <w:t> </w:t>
      </w:r>
      <w:r>
        <w:rPr>
          <w:color w:val="231F20"/>
          <w:spacing w:val="-2"/>
          <w:w w:val="120"/>
        </w:rPr>
        <w:t>cognitifs</w:t>
      </w:r>
      <w:r>
        <w:rPr>
          <w:color w:val="231F20"/>
          <w:spacing w:val="-7"/>
          <w:w w:val="120"/>
        </w:rPr>
        <w:t> </w:t>
      </w:r>
      <w:r>
        <w:rPr>
          <w:color w:val="231F20"/>
          <w:spacing w:val="-2"/>
          <w:w w:val="120"/>
        </w:rPr>
        <w:t>de</w:t>
      </w:r>
      <w:r>
        <w:rPr>
          <w:color w:val="231F20"/>
          <w:spacing w:val="-7"/>
          <w:w w:val="120"/>
        </w:rPr>
        <w:t> </w:t>
      </w:r>
      <w:r>
        <w:rPr>
          <w:color w:val="231F20"/>
          <w:spacing w:val="-2"/>
          <w:w w:val="120"/>
        </w:rPr>
        <w:t>manière</w:t>
      </w:r>
      <w:r>
        <w:rPr>
          <w:color w:val="231F20"/>
          <w:spacing w:val="-7"/>
          <w:w w:val="120"/>
        </w:rPr>
        <w:t> </w:t>
      </w:r>
      <w:r>
        <w:rPr>
          <w:color w:val="231F20"/>
          <w:spacing w:val="-2"/>
          <w:w w:val="120"/>
        </w:rPr>
        <w:t>à </w:t>
      </w:r>
      <w:r>
        <w:rPr>
          <w:color w:val="231F20"/>
          <w:w w:val="120"/>
        </w:rPr>
        <w:t>les</w:t>
      </w:r>
      <w:r>
        <w:rPr>
          <w:color w:val="231F20"/>
          <w:spacing w:val="-15"/>
          <w:w w:val="120"/>
        </w:rPr>
        <w:t> </w:t>
      </w:r>
      <w:r>
        <w:rPr>
          <w:color w:val="231F20"/>
          <w:w w:val="120"/>
        </w:rPr>
        <w:t>rendre</w:t>
      </w:r>
      <w:r>
        <w:rPr>
          <w:color w:val="231F20"/>
          <w:spacing w:val="-13"/>
          <w:w w:val="120"/>
        </w:rPr>
        <w:t> </w:t>
      </w:r>
      <w:r>
        <w:rPr>
          <w:color w:val="231F20"/>
          <w:w w:val="120"/>
        </w:rPr>
        <w:t>positifs,</w:t>
      </w:r>
      <w:r>
        <w:rPr>
          <w:color w:val="231F20"/>
          <w:spacing w:val="-13"/>
          <w:w w:val="120"/>
        </w:rPr>
        <w:t> </w:t>
      </w:r>
      <w:r>
        <w:rPr>
          <w:color w:val="231F20"/>
          <w:w w:val="120"/>
        </w:rPr>
        <w:t>de</w:t>
      </w:r>
      <w:r>
        <w:rPr>
          <w:color w:val="231F20"/>
          <w:spacing w:val="-12"/>
          <w:w w:val="120"/>
        </w:rPr>
        <w:t> </w:t>
      </w:r>
      <w:r>
        <w:rPr>
          <w:color w:val="231F20"/>
          <w:w w:val="120"/>
        </w:rPr>
        <w:t>tenter</w:t>
      </w:r>
      <w:r>
        <w:rPr>
          <w:color w:val="231F20"/>
          <w:spacing w:val="-13"/>
          <w:w w:val="120"/>
        </w:rPr>
        <w:t> </w:t>
      </w:r>
      <w:r>
        <w:rPr>
          <w:color w:val="231F20"/>
          <w:w w:val="120"/>
        </w:rPr>
        <w:t>de</w:t>
      </w:r>
      <w:r>
        <w:rPr>
          <w:color w:val="231F20"/>
          <w:spacing w:val="-13"/>
          <w:w w:val="120"/>
        </w:rPr>
        <w:t> </w:t>
      </w:r>
      <w:r>
        <w:rPr>
          <w:color w:val="231F20"/>
          <w:w w:val="120"/>
        </w:rPr>
        <w:t>choisir</w:t>
      </w:r>
      <w:r>
        <w:rPr>
          <w:color w:val="231F20"/>
          <w:spacing w:val="-13"/>
          <w:w w:val="120"/>
        </w:rPr>
        <w:t> </w:t>
      </w:r>
      <w:r>
        <w:rPr>
          <w:color w:val="231F20"/>
          <w:w w:val="120"/>
        </w:rPr>
        <w:t>et</w:t>
      </w:r>
      <w:r>
        <w:rPr>
          <w:color w:val="231F20"/>
          <w:spacing w:val="-12"/>
          <w:w w:val="120"/>
        </w:rPr>
        <w:t> </w:t>
      </w:r>
      <w:r>
        <w:rPr>
          <w:color w:val="231F20"/>
          <w:w w:val="120"/>
        </w:rPr>
        <w:t>de</w:t>
      </w:r>
      <w:r>
        <w:rPr>
          <w:color w:val="231F20"/>
          <w:spacing w:val="-13"/>
          <w:w w:val="120"/>
        </w:rPr>
        <w:t> </w:t>
      </w:r>
      <w:r>
        <w:rPr>
          <w:color w:val="231F20"/>
          <w:w w:val="120"/>
        </w:rPr>
        <w:t>retenir</w:t>
      </w:r>
      <w:r>
        <w:rPr>
          <w:color w:val="231F20"/>
          <w:spacing w:val="-13"/>
          <w:w w:val="120"/>
        </w:rPr>
        <w:t> </w:t>
      </w:r>
      <w:r>
        <w:rPr>
          <w:color w:val="231F20"/>
          <w:w w:val="120"/>
        </w:rPr>
        <w:t>les</w:t>
      </w:r>
      <w:r>
        <w:rPr>
          <w:color w:val="231F20"/>
          <w:spacing w:val="-13"/>
          <w:w w:val="120"/>
        </w:rPr>
        <w:t> </w:t>
      </w:r>
      <w:r>
        <w:rPr>
          <w:color w:val="231F20"/>
          <w:w w:val="120"/>
        </w:rPr>
        <w:t>scènes,</w:t>
      </w:r>
      <w:r>
        <w:rPr>
          <w:color w:val="231F20"/>
          <w:spacing w:val="-12"/>
          <w:w w:val="120"/>
        </w:rPr>
        <w:t> </w:t>
      </w:r>
      <w:r>
        <w:rPr>
          <w:color w:val="231F20"/>
          <w:w w:val="120"/>
        </w:rPr>
        <w:t>dialogues et autres souvenirs positifs qui magnifient cet amour.</w:t>
      </w:r>
    </w:p>
    <w:p>
      <w:pPr>
        <w:pStyle w:val="BodyText"/>
        <w:spacing w:before="8"/>
        <w:rPr>
          <w:sz w:val="21"/>
        </w:rPr>
      </w:pPr>
    </w:p>
    <w:p>
      <w:pPr>
        <w:pStyle w:val="BodyText"/>
        <w:spacing w:line="307" w:lineRule="auto"/>
        <w:ind w:left="830" w:right="497"/>
        <w:jc w:val="both"/>
      </w:pPr>
      <w:r>
        <w:rPr>
          <w:b/>
          <w:color w:val="231F20"/>
          <w:w w:val="110"/>
        </w:rPr>
        <w:t>Efforcez-vous</w:t>
      </w:r>
      <w:r>
        <w:rPr>
          <w:b/>
          <w:color w:val="231F20"/>
          <w:spacing w:val="-6"/>
          <w:w w:val="110"/>
        </w:rPr>
        <w:t> </w:t>
      </w:r>
      <w:r>
        <w:rPr>
          <w:b/>
          <w:color w:val="231F20"/>
          <w:w w:val="110"/>
        </w:rPr>
        <w:t>de</w:t>
      </w:r>
      <w:r>
        <w:rPr>
          <w:b/>
          <w:color w:val="231F20"/>
          <w:spacing w:val="-6"/>
          <w:w w:val="110"/>
        </w:rPr>
        <w:t> </w:t>
      </w:r>
      <w:r>
        <w:rPr>
          <w:b/>
          <w:color w:val="231F20"/>
          <w:w w:val="110"/>
        </w:rPr>
        <w:t>respecter</w:t>
      </w:r>
      <w:r>
        <w:rPr>
          <w:b/>
          <w:color w:val="231F20"/>
          <w:spacing w:val="-6"/>
          <w:w w:val="110"/>
        </w:rPr>
        <w:t> </w:t>
      </w:r>
      <w:r>
        <w:rPr>
          <w:b/>
          <w:color w:val="231F20"/>
          <w:w w:val="110"/>
        </w:rPr>
        <w:t>avec</w:t>
      </w:r>
      <w:r>
        <w:rPr>
          <w:b/>
          <w:color w:val="231F20"/>
          <w:spacing w:val="-6"/>
          <w:w w:val="110"/>
        </w:rPr>
        <w:t> </w:t>
      </w:r>
      <w:r>
        <w:rPr>
          <w:b/>
          <w:color w:val="231F20"/>
          <w:w w:val="110"/>
        </w:rPr>
        <w:t>cohérence</w:t>
      </w:r>
      <w:r>
        <w:rPr>
          <w:b/>
          <w:color w:val="231F20"/>
          <w:spacing w:val="-6"/>
          <w:w w:val="110"/>
        </w:rPr>
        <w:t> </w:t>
      </w:r>
      <w:r>
        <w:rPr>
          <w:b/>
          <w:color w:val="231F20"/>
          <w:w w:val="110"/>
        </w:rPr>
        <w:t>les</w:t>
      </w:r>
      <w:r>
        <w:rPr>
          <w:b/>
          <w:color w:val="231F20"/>
          <w:spacing w:val="-6"/>
          <w:w w:val="110"/>
        </w:rPr>
        <w:t> </w:t>
      </w:r>
      <w:r>
        <w:rPr>
          <w:b/>
          <w:color w:val="231F20"/>
          <w:w w:val="110"/>
        </w:rPr>
        <w:t>valeurs</w:t>
      </w:r>
      <w:r>
        <w:rPr>
          <w:b/>
          <w:color w:val="231F20"/>
          <w:spacing w:val="-6"/>
          <w:w w:val="110"/>
        </w:rPr>
        <w:t> </w:t>
      </w:r>
      <w:r>
        <w:rPr>
          <w:b/>
          <w:color w:val="231F20"/>
          <w:w w:val="110"/>
        </w:rPr>
        <w:t>que</w:t>
      </w:r>
      <w:r>
        <w:rPr>
          <w:b/>
          <w:color w:val="231F20"/>
          <w:spacing w:val="-6"/>
          <w:w w:val="110"/>
        </w:rPr>
        <w:t> </w:t>
      </w:r>
      <w:r>
        <w:rPr>
          <w:b/>
          <w:color w:val="231F20"/>
          <w:w w:val="110"/>
        </w:rPr>
        <w:t>vous</w:t>
      </w:r>
      <w:r>
        <w:rPr>
          <w:b/>
          <w:color w:val="231F20"/>
          <w:spacing w:val="-6"/>
          <w:w w:val="110"/>
        </w:rPr>
        <w:t> </w:t>
      </w:r>
      <w:r>
        <w:rPr>
          <w:b/>
          <w:color w:val="231F20"/>
          <w:w w:val="110"/>
        </w:rPr>
        <w:t>affirmez. </w:t>
      </w:r>
      <w:r>
        <w:rPr>
          <w:color w:val="231F20"/>
          <w:w w:val="115"/>
        </w:rPr>
        <w:t>La</w:t>
      </w:r>
      <w:r>
        <w:rPr>
          <w:color w:val="231F20"/>
          <w:spacing w:val="-13"/>
          <w:w w:val="115"/>
        </w:rPr>
        <w:t> </w:t>
      </w:r>
      <w:r>
        <w:rPr>
          <w:color w:val="231F20"/>
          <w:w w:val="115"/>
        </w:rPr>
        <w:t>congruité</w:t>
      </w:r>
      <w:r>
        <w:rPr>
          <w:color w:val="231F20"/>
          <w:spacing w:val="-12"/>
          <w:w w:val="115"/>
        </w:rPr>
        <w:t> </w:t>
      </w:r>
      <w:r>
        <w:rPr>
          <w:color w:val="231F20"/>
          <w:w w:val="115"/>
        </w:rPr>
        <w:t>ou</w:t>
      </w:r>
      <w:r>
        <w:rPr>
          <w:color w:val="231F20"/>
          <w:spacing w:val="-12"/>
          <w:w w:val="115"/>
        </w:rPr>
        <w:t> </w:t>
      </w:r>
      <w:r>
        <w:rPr>
          <w:color w:val="231F20"/>
          <w:w w:val="115"/>
        </w:rPr>
        <w:t>l’intégrité</w:t>
      </w:r>
      <w:r>
        <w:rPr>
          <w:color w:val="231F20"/>
          <w:spacing w:val="-12"/>
          <w:w w:val="115"/>
        </w:rPr>
        <w:t> </w:t>
      </w:r>
      <w:r>
        <w:rPr>
          <w:color w:val="231F20"/>
          <w:w w:val="115"/>
        </w:rPr>
        <w:t>entre</w:t>
      </w:r>
      <w:r>
        <w:rPr>
          <w:color w:val="231F20"/>
          <w:spacing w:val="-13"/>
          <w:w w:val="115"/>
        </w:rPr>
        <w:t> </w:t>
      </w:r>
      <w:r>
        <w:rPr>
          <w:color w:val="231F20"/>
          <w:w w:val="115"/>
        </w:rPr>
        <w:t>ce</w:t>
      </w:r>
      <w:r>
        <w:rPr>
          <w:color w:val="231F20"/>
          <w:spacing w:val="-12"/>
          <w:w w:val="115"/>
        </w:rPr>
        <w:t> </w:t>
      </w:r>
      <w:r>
        <w:rPr>
          <w:color w:val="231F20"/>
          <w:w w:val="115"/>
        </w:rPr>
        <w:t>qu’on</w:t>
      </w:r>
      <w:r>
        <w:rPr>
          <w:color w:val="231F20"/>
          <w:spacing w:val="-12"/>
          <w:w w:val="115"/>
        </w:rPr>
        <w:t> </w:t>
      </w:r>
      <w:r>
        <w:rPr>
          <w:color w:val="231F20"/>
          <w:w w:val="115"/>
        </w:rPr>
        <w:t>dit</w:t>
      </w:r>
      <w:r>
        <w:rPr>
          <w:color w:val="231F20"/>
          <w:spacing w:val="-12"/>
          <w:w w:val="115"/>
        </w:rPr>
        <w:t> </w:t>
      </w:r>
      <w:r>
        <w:rPr>
          <w:color w:val="231F20"/>
          <w:w w:val="115"/>
        </w:rPr>
        <w:t>et</w:t>
      </w:r>
      <w:r>
        <w:rPr>
          <w:color w:val="231F20"/>
          <w:spacing w:val="-12"/>
          <w:w w:val="115"/>
        </w:rPr>
        <w:t> </w:t>
      </w:r>
      <w:r>
        <w:rPr>
          <w:color w:val="231F20"/>
          <w:w w:val="115"/>
        </w:rPr>
        <w:t>ce</w:t>
      </w:r>
      <w:r>
        <w:rPr>
          <w:color w:val="231F20"/>
          <w:spacing w:val="-13"/>
          <w:w w:val="115"/>
        </w:rPr>
        <w:t> </w:t>
      </w:r>
      <w:r>
        <w:rPr>
          <w:color w:val="231F20"/>
          <w:w w:val="115"/>
        </w:rPr>
        <w:t>qu’on</w:t>
      </w:r>
      <w:r>
        <w:rPr>
          <w:color w:val="231F20"/>
          <w:spacing w:val="-12"/>
          <w:w w:val="115"/>
        </w:rPr>
        <w:t> </w:t>
      </w:r>
      <w:r>
        <w:rPr>
          <w:color w:val="231F20"/>
          <w:w w:val="115"/>
        </w:rPr>
        <w:t>fait</w:t>
      </w:r>
      <w:r>
        <w:rPr>
          <w:color w:val="231F20"/>
          <w:spacing w:val="-12"/>
          <w:w w:val="115"/>
        </w:rPr>
        <w:t> </w:t>
      </w:r>
      <w:r>
        <w:rPr>
          <w:color w:val="231F20"/>
          <w:w w:val="115"/>
        </w:rPr>
        <w:t>est</w:t>
      </w:r>
      <w:r>
        <w:rPr>
          <w:color w:val="231F20"/>
          <w:spacing w:val="-12"/>
          <w:w w:val="115"/>
        </w:rPr>
        <w:t> </w:t>
      </w:r>
      <w:r>
        <w:rPr>
          <w:color w:val="231F20"/>
          <w:w w:val="115"/>
        </w:rPr>
        <w:t>un</w:t>
      </w:r>
      <w:r>
        <w:rPr>
          <w:color w:val="231F20"/>
          <w:spacing w:val="-13"/>
          <w:w w:val="115"/>
        </w:rPr>
        <w:t> </w:t>
      </w:r>
      <w:r>
        <w:rPr>
          <w:color w:val="231F20"/>
          <w:w w:val="115"/>
        </w:rPr>
        <w:t>élément </w:t>
      </w:r>
      <w:r>
        <w:rPr>
          <w:color w:val="231F20"/>
          <w:w w:val="120"/>
        </w:rPr>
        <w:t>essentiel</w:t>
      </w:r>
      <w:r>
        <w:rPr>
          <w:color w:val="231F20"/>
          <w:spacing w:val="-9"/>
          <w:w w:val="120"/>
        </w:rPr>
        <w:t> </w:t>
      </w:r>
      <w:r>
        <w:rPr>
          <w:color w:val="231F20"/>
          <w:w w:val="120"/>
        </w:rPr>
        <w:t>à</w:t>
      </w:r>
      <w:r>
        <w:rPr>
          <w:color w:val="231F20"/>
          <w:spacing w:val="-9"/>
          <w:w w:val="120"/>
        </w:rPr>
        <w:t> </w:t>
      </w:r>
      <w:r>
        <w:rPr>
          <w:color w:val="231F20"/>
          <w:w w:val="120"/>
        </w:rPr>
        <w:t>l’estime</w:t>
      </w:r>
      <w:r>
        <w:rPr>
          <w:color w:val="231F20"/>
          <w:spacing w:val="-9"/>
          <w:w w:val="120"/>
        </w:rPr>
        <w:t> </w:t>
      </w:r>
      <w:r>
        <w:rPr>
          <w:color w:val="231F20"/>
          <w:w w:val="120"/>
        </w:rPr>
        <w:t>de</w:t>
      </w:r>
      <w:r>
        <w:rPr>
          <w:color w:val="231F20"/>
          <w:spacing w:val="-9"/>
          <w:w w:val="120"/>
        </w:rPr>
        <w:t> </w:t>
      </w:r>
      <w:r>
        <w:rPr>
          <w:color w:val="231F20"/>
          <w:w w:val="120"/>
        </w:rPr>
        <w:t>soi.</w:t>
      </w:r>
      <w:r>
        <w:rPr>
          <w:color w:val="231F20"/>
          <w:spacing w:val="-9"/>
          <w:w w:val="120"/>
        </w:rPr>
        <w:t> </w:t>
      </w:r>
      <w:r>
        <w:rPr>
          <w:color w:val="231F20"/>
          <w:w w:val="120"/>
        </w:rPr>
        <w:t>Ce</w:t>
      </w:r>
      <w:r>
        <w:rPr>
          <w:color w:val="231F20"/>
          <w:spacing w:val="-9"/>
          <w:w w:val="120"/>
        </w:rPr>
        <w:t> </w:t>
      </w:r>
      <w:r>
        <w:rPr>
          <w:color w:val="231F20"/>
          <w:w w:val="120"/>
        </w:rPr>
        <w:t>principe</w:t>
      </w:r>
      <w:r>
        <w:rPr>
          <w:color w:val="231F20"/>
          <w:spacing w:val="-9"/>
          <w:w w:val="120"/>
        </w:rPr>
        <w:t> </w:t>
      </w:r>
      <w:r>
        <w:rPr>
          <w:color w:val="231F20"/>
          <w:w w:val="120"/>
        </w:rPr>
        <w:t>s’applique</w:t>
      </w:r>
      <w:r>
        <w:rPr>
          <w:color w:val="231F20"/>
          <w:spacing w:val="-9"/>
          <w:w w:val="120"/>
        </w:rPr>
        <w:t> </w:t>
      </w:r>
      <w:r>
        <w:rPr>
          <w:color w:val="231F20"/>
          <w:w w:val="120"/>
        </w:rPr>
        <w:t>tout</w:t>
      </w:r>
      <w:r>
        <w:rPr>
          <w:color w:val="231F20"/>
          <w:spacing w:val="-9"/>
          <w:w w:val="120"/>
        </w:rPr>
        <w:t> </w:t>
      </w:r>
      <w:r>
        <w:rPr>
          <w:color w:val="231F20"/>
          <w:w w:val="120"/>
        </w:rPr>
        <w:t>particulièrement </w:t>
      </w:r>
      <w:r>
        <w:rPr>
          <w:color w:val="231F20"/>
          <w:w w:val="115"/>
        </w:rPr>
        <w:t>aux</w:t>
      </w:r>
      <w:r>
        <w:rPr>
          <w:color w:val="231F20"/>
          <w:spacing w:val="-4"/>
          <w:w w:val="115"/>
        </w:rPr>
        <w:t> </w:t>
      </w:r>
      <w:r>
        <w:rPr>
          <w:color w:val="231F20"/>
          <w:w w:val="115"/>
        </w:rPr>
        <w:t>valeurs</w:t>
      </w:r>
      <w:r>
        <w:rPr>
          <w:color w:val="231F20"/>
          <w:spacing w:val="-4"/>
          <w:w w:val="115"/>
        </w:rPr>
        <w:t> </w:t>
      </w:r>
      <w:r>
        <w:rPr>
          <w:color w:val="231F20"/>
          <w:w w:val="115"/>
        </w:rPr>
        <w:t>morales.</w:t>
      </w:r>
      <w:r>
        <w:rPr>
          <w:color w:val="231F20"/>
          <w:spacing w:val="-4"/>
          <w:w w:val="115"/>
        </w:rPr>
        <w:t> </w:t>
      </w:r>
      <w:r>
        <w:rPr>
          <w:color w:val="231F20"/>
          <w:w w:val="115"/>
        </w:rPr>
        <w:t>D’après</w:t>
      </w:r>
      <w:r>
        <w:rPr>
          <w:color w:val="231F20"/>
          <w:spacing w:val="-4"/>
          <w:w w:val="115"/>
        </w:rPr>
        <w:t> </w:t>
      </w:r>
      <w:r>
        <w:rPr>
          <w:color w:val="231F20"/>
          <w:w w:val="115"/>
        </w:rPr>
        <w:t>Maturana</w:t>
      </w:r>
      <w:r>
        <w:rPr>
          <w:color w:val="231F20"/>
          <w:spacing w:val="-4"/>
          <w:w w:val="115"/>
        </w:rPr>
        <w:t> </w:t>
      </w:r>
      <w:r>
        <w:rPr>
          <w:color w:val="231F20"/>
          <w:w w:val="115"/>
        </w:rPr>
        <w:t>et</w:t>
      </w:r>
      <w:r>
        <w:rPr>
          <w:color w:val="231F20"/>
          <w:spacing w:val="-4"/>
          <w:w w:val="115"/>
        </w:rPr>
        <w:t> </w:t>
      </w:r>
      <w:r>
        <w:rPr>
          <w:color w:val="231F20"/>
          <w:w w:val="115"/>
        </w:rPr>
        <w:t>Varela35,</w:t>
      </w:r>
      <w:r>
        <w:rPr>
          <w:color w:val="231F20"/>
          <w:spacing w:val="-4"/>
          <w:w w:val="115"/>
        </w:rPr>
        <w:t> </w:t>
      </w:r>
      <w:r>
        <w:rPr>
          <w:color w:val="231F20"/>
          <w:w w:val="115"/>
        </w:rPr>
        <w:t>le</w:t>
      </w:r>
      <w:r>
        <w:rPr>
          <w:color w:val="231F20"/>
          <w:spacing w:val="-4"/>
          <w:w w:val="115"/>
        </w:rPr>
        <w:t> </w:t>
      </w:r>
      <w:r>
        <w:rPr>
          <w:color w:val="231F20"/>
          <w:w w:val="115"/>
        </w:rPr>
        <w:t>problème</w:t>
      </w:r>
      <w:r>
        <w:rPr>
          <w:color w:val="231F20"/>
          <w:spacing w:val="-4"/>
          <w:w w:val="115"/>
        </w:rPr>
        <w:t> </w:t>
      </w:r>
      <w:r>
        <w:rPr>
          <w:color w:val="231F20"/>
          <w:w w:val="115"/>
        </w:rPr>
        <w:t>vient</w:t>
      </w:r>
      <w:r>
        <w:rPr>
          <w:color w:val="231F20"/>
          <w:spacing w:val="-4"/>
          <w:w w:val="115"/>
        </w:rPr>
        <w:t> </w:t>
      </w:r>
      <w:r>
        <w:rPr>
          <w:color w:val="231F20"/>
          <w:w w:val="115"/>
        </w:rPr>
        <w:t>du </w:t>
      </w:r>
      <w:r>
        <w:rPr>
          <w:color w:val="231F20"/>
          <w:w w:val="120"/>
        </w:rPr>
        <w:t>fait</w:t>
      </w:r>
      <w:r>
        <w:rPr>
          <w:color w:val="231F20"/>
          <w:spacing w:val="6"/>
          <w:w w:val="120"/>
        </w:rPr>
        <w:t> </w:t>
      </w:r>
      <w:r>
        <w:rPr>
          <w:color w:val="231F20"/>
          <w:w w:val="120"/>
        </w:rPr>
        <w:t>que</w:t>
      </w:r>
      <w:r>
        <w:rPr>
          <w:color w:val="231F20"/>
          <w:spacing w:val="7"/>
          <w:w w:val="120"/>
        </w:rPr>
        <w:t> </w:t>
      </w:r>
      <w:r>
        <w:rPr>
          <w:color w:val="231F20"/>
          <w:w w:val="120"/>
        </w:rPr>
        <w:t>les</w:t>
      </w:r>
      <w:r>
        <w:rPr>
          <w:color w:val="231F20"/>
          <w:spacing w:val="7"/>
          <w:w w:val="120"/>
        </w:rPr>
        <w:t> </w:t>
      </w:r>
      <w:r>
        <w:rPr>
          <w:color w:val="231F20"/>
          <w:w w:val="120"/>
        </w:rPr>
        <w:t>valeurs</w:t>
      </w:r>
      <w:r>
        <w:rPr>
          <w:color w:val="231F20"/>
          <w:spacing w:val="7"/>
          <w:w w:val="120"/>
        </w:rPr>
        <w:t> </w:t>
      </w:r>
      <w:r>
        <w:rPr>
          <w:color w:val="231F20"/>
          <w:w w:val="120"/>
        </w:rPr>
        <w:t>que</w:t>
      </w:r>
      <w:r>
        <w:rPr>
          <w:color w:val="231F20"/>
          <w:spacing w:val="7"/>
          <w:w w:val="120"/>
        </w:rPr>
        <w:t> </w:t>
      </w:r>
      <w:r>
        <w:rPr>
          <w:color w:val="231F20"/>
          <w:w w:val="120"/>
        </w:rPr>
        <w:t>nous</w:t>
      </w:r>
      <w:r>
        <w:rPr>
          <w:color w:val="231F20"/>
          <w:spacing w:val="7"/>
          <w:w w:val="120"/>
        </w:rPr>
        <w:t> </w:t>
      </w:r>
      <w:r>
        <w:rPr>
          <w:color w:val="231F20"/>
          <w:w w:val="120"/>
        </w:rPr>
        <w:t>déclarons</w:t>
      </w:r>
      <w:r>
        <w:rPr>
          <w:color w:val="231F20"/>
          <w:spacing w:val="7"/>
          <w:w w:val="120"/>
        </w:rPr>
        <w:t> </w:t>
      </w:r>
      <w:r>
        <w:rPr>
          <w:color w:val="231F20"/>
          <w:w w:val="120"/>
        </w:rPr>
        <w:t>avoir</w:t>
      </w:r>
      <w:r>
        <w:rPr>
          <w:color w:val="231F20"/>
          <w:spacing w:val="7"/>
          <w:w w:val="120"/>
        </w:rPr>
        <w:t> </w:t>
      </w:r>
      <w:r>
        <w:rPr>
          <w:color w:val="231F20"/>
          <w:w w:val="120"/>
        </w:rPr>
        <w:t>ne</w:t>
      </w:r>
      <w:r>
        <w:rPr>
          <w:color w:val="231F20"/>
          <w:spacing w:val="7"/>
          <w:w w:val="120"/>
        </w:rPr>
        <w:t> </w:t>
      </w:r>
      <w:r>
        <w:rPr>
          <w:color w:val="231F20"/>
          <w:w w:val="120"/>
        </w:rPr>
        <w:t>sont</w:t>
      </w:r>
      <w:r>
        <w:rPr>
          <w:color w:val="231F20"/>
          <w:spacing w:val="6"/>
          <w:w w:val="120"/>
        </w:rPr>
        <w:t> </w:t>
      </w:r>
      <w:r>
        <w:rPr>
          <w:color w:val="231F20"/>
          <w:w w:val="120"/>
        </w:rPr>
        <w:t>souvent</w:t>
      </w:r>
      <w:r>
        <w:rPr>
          <w:color w:val="231F20"/>
          <w:spacing w:val="7"/>
          <w:w w:val="120"/>
        </w:rPr>
        <w:t> </w:t>
      </w:r>
      <w:r>
        <w:rPr>
          <w:color w:val="231F20"/>
          <w:w w:val="120"/>
        </w:rPr>
        <w:t>que</w:t>
      </w:r>
      <w:r>
        <w:rPr>
          <w:color w:val="231F20"/>
          <w:spacing w:val="7"/>
          <w:w w:val="120"/>
        </w:rPr>
        <w:t> </w:t>
      </w:r>
      <w:r>
        <w:rPr>
          <w:color w:val="231F20"/>
          <w:spacing w:val="-5"/>
          <w:w w:val="120"/>
        </w:rPr>
        <w:t>des</w:t>
      </w:r>
    </w:p>
    <w:p>
      <w:pPr>
        <w:pStyle w:val="BodyText"/>
        <w:spacing w:line="307" w:lineRule="auto"/>
        <w:ind w:left="830" w:right="499"/>
        <w:jc w:val="both"/>
      </w:pPr>
      <w:r>
        <w:rPr>
          <w:color w:val="231F20"/>
          <w:w w:val="115"/>
        </w:rPr>
        <w:t>«</w:t>
      </w:r>
      <w:r>
        <w:rPr>
          <w:color w:val="231F20"/>
          <w:spacing w:val="-13"/>
          <w:w w:val="115"/>
        </w:rPr>
        <w:t> </w:t>
      </w:r>
      <w:r>
        <w:rPr>
          <w:color w:val="231F20"/>
          <w:w w:val="115"/>
        </w:rPr>
        <w:t>vœux</w:t>
      </w:r>
      <w:r>
        <w:rPr>
          <w:color w:val="231F20"/>
          <w:spacing w:val="-12"/>
          <w:w w:val="115"/>
        </w:rPr>
        <w:t> </w:t>
      </w:r>
      <w:r>
        <w:rPr>
          <w:color w:val="231F20"/>
          <w:w w:val="115"/>
        </w:rPr>
        <w:t>pieux</w:t>
      </w:r>
      <w:r>
        <w:rPr>
          <w:color w:val="231F20"/>
          <w:spacing w:val="-12"/>
          <w:w w:val="115"/>
        </w:rPr>
        <w:t> </w:t>
      </w:r>
      <w:r>
        <w:rPr>
          <w:color w:val="231F20"/>
          <w:w w:val="115"/>
        </w:rPr>
        <w:t>».</w:t>
      </w:r>
      <w:r>
        <w:rPr>
          <w:color w:val="231F20"/>
          <w:spacing w:val="-12"/>
          <w:w w:val="115"/>
        </w:rPr>
        <w:t> </w:t>
      </w:r>
      <w:r>
        <w:rPr>
          <w:color w:val="231F20"/>
          <w:w w:val="115"/>
        </w:rPr>
        <w:t>Il</w:t>
      </w:r>
      <w:r>
        <w:rPr>
          <w:color w:val="231F20"/>
          <w:spacing w:val="-13"/>
          <w:w w:val="115"/>
        </w:rPr>
        <w:t> </w:t>
      </w:r>
      <w:r>
        <w:rPr>
          <w:color w:val="231F20"/>
          <w:w w:val="115"/>
        </w:rPr>
        <w:t>faut</w:t>
      </w:r>
      <w:r>
        <w:rPr>
          <w:color w:val="231F20"/>
          <w:spacing w:val="-12"/>
          <w:w w:val="115"/>
        </w:rPr>
        <w:t> </w:t>
      </w:r>
      <w:r>
        <w:rPr>
          <w:color w:val="231F20"/>
          <w:w w:val="115"/>
        </w:rPr>
        <w:t>s’efforcer</w:t>
      </w:r>
      <w:r>
        <w:rPr>
          <w:color w:val="231F20"/>
          <w:spacing w:val="-12"/>
          <w:w w:val="115"/>
        </w:rPr>
        <w:t> </w:t>
      </w:r>
      <w:r>
        <w:rPr>
          <w:color w:val="231F20"/>
          <w:w w:val="115"/>
        </w:rPr>
        <w:t>de</w:t>
      </w:r>
      <w:r>
        <w:rPr>
          <w:color w:val="231F20"/>
          <w:spacing w:val="-12"/>
          <w:w w:val="115"/>
        </w:rPr>
        <w:t> </w:t>
      </w:r>
      <w:r>
        <w:rPr>
          <w:color w:val="231F20"/>
          <w:w w:val="115"/>
        </w:rPr>
        <w:t>vivre</w:t>
      </w:r>
      <w:r>
        <w:rPr>
          <w:color w:val="231F20"/>
          <w:spacing w:val="-12"/>
          <w:w w:val="115"/>
        </w:rPr>
        <w:t> </w:t>
      </w:r>
      <w:r>
        <w:rPr>
          <w:color w:val="231F20"/>
          <w:w w:val="115"/>
        </w:rPr>
        <w:t>une</w:t>
      </w:r>
      <w:r>
        <w:rPr>
          <w:color w:val="231F20"/>
          <w:spacing w:val="-10"/>
          <w:w w:val="115"/>
        </w:rPr>
        <w:t> </w:t>
      </w:r>
      <w:r>
        <w:rPr>
          <w:color w:val="231F20"/>
          <w:w w:val="115"/>
        </w:rPr>
        <w:t>vie</w:t>
      </w:r>
      <w:r>
        <w:rPr>
          <w:color w:val="231F20"/>
          <w:spacing w:val="-6"/>
          <w:w w:val="115"/>
        </w:rPr>
        <w:t> </w:t>
      </w:r>
      <w:r>
        <w:rPr>
          <w:color w:val="231F20"/>
          <w:w w:val="115"/>
        </w:rPr>
        <w:t>entière</w:t>
      </w:r>
      <w:r>
        <w:rPr>
          <w:color w:val="231F20"/>
          <w:spacing w:val="-7"/>
          <w:w w:val="115"/>
        </w:rPr>
        <w:t> </w:t>
      </w:r>
      <w:r>
        <w:rPr>
          <w:color w:val="231F20"/>
          <w:w w:val="115"/>
        </w:rPr>
        <w:t>plutôt</w:t>
      </w:r>
      <w:r>
        <w:rPr>
          <w:color w:val="231F20"/>
          <w:spacing w:val="-7"/>
          <w:w w:val="115"/>
        </w:rPr>
        <w:t> </w:t>
      </w:r>
      <w:r>
        <w:rPr>
          <w:color w:val="231F20"/>
          <w:w w:val="115"/>
        </w:rPr>
        <w:t>qu’une</w:t>
      </w:r>
      <w:r>
        <w:rPr>
          <w:color w:val="231F20"/>
          <w:spacing w:val="-7"/>
          <w:w w:val="115"/>
        </w:rPr>
        <w:t> </w:t>
      </w:r>
      <w:r>
        <w:rPr>
          <w:color w:val="231F20"/>
          <w:w w:val="115"/>
        </w:rPr>
        <w:t>vie </w:t>
      </w:r>
      <w:r>
        <w:rPr>
          <w:color w:val="231F20"/>
          <w:w w:val="120"/>
        </w:rPr>
        <w:t>dissociée ou dissonante.</w:t>
      </w:r>
    </w:p>
    <w:p>
      <w:pPr>
        <w:pStyle w:val="BodyText"/>
        <w:spacing w:before="7"/>
        <w:rPr>
          <w:sz w:val="21"/>
        </w:rPr>
      </w:pPr>
    </w:p>
    <w:p>
      <w:pPr>
        <w:pStyle w:val="BodyText"/>
        <w:spacing w:line="307" w:lineRule="auto"/>
        <w:ind w:left="830" w:right="496"/>
        <w:jc w:val="both"/>
      </w:pPr>
      <w:r>
        <w:rPr>
          <w:b/>
          <w:color w:val="231F20"/>
          <w:spacing w:val="-2"/>
          <w:w w:val="115"/>
        </w:rPr>
        <w:t>Faites</w:t>
      </w:r>
      <w:r>
        <w:rPr>
          <w:b/>
          <w:color w:val="231F20"/>
          <w:spacing w:val="-11"/>
          <w:w w:val="115"/>
        </w:rPr>
        <w:t> </w:t>
      </w:r>
      <w:r>
        <w:rPr>
          <w:b/>
          <w:color w:val="231F20"/>
          <w:spacing w:val="-2"/>
          <w:w w:val="115"/>
        </w:rPr>
        <w:t>des</w:t>
      </w:r>
      <w:r>
        <w:rPr>
          <w:b/>
          <w:color w:val="231F20"/>
          <w:spacing w:val="-10"/>
          <w:w w:val="115"/>
        </w:rPr>
        <w:t> </w:t>
      </w:r>
      <w:r>
        <w:rPr>
          <w:b/>
          <w:color w:val="231F20"/>
          <w:spacing w:val="-2"/>
          <w:w w:val="115"/>
        </w:rPr>
        <w:t>projets</w:t>
      </w:r>
      <w:r>
        <w:rPr>
          <w:b/>
          <w:color w:val="231F20"/>
          <w:spacing w:val="-10"/>
          <w:w w:val="115"/>
        </w:rPr>
        <w:t> </w:t>
      </w:r>
      <w:r>
        <w:rPr>
          <w:b/>
          <w:color w:val="231F20"/>
          <w:spacing w:val="-2"/>
          <w:w w:val="115"/>
        </w:rPr>
        <w:t>en</w:t>
      </w:r>
      <w:r>
        <w:rPr>
          <w:b/>
          <w:color w:val="231F20"/>
          <w:spacing w:val="-10"/>
          <w:w w:val="115"/>
        </w:rPr>
        <w:t> </w:t>
      </w:r>
      <w:r>
        <w:rPr>
          <w:b/>
          <w:color w:val="231F20"/>
          <w:spacing w:val="-2"/>
          <w:w w:val="115"/>
        </w:rPr>
        <w:t>ayant</w:t>
      </w:r>
      <w:r>
        <w:rPr>
          <w:b/>
          <w:color w:val="231F20"/>
          <w:spacing w:val="-11"/>
          <w:w w:val="115"/>
        </w:rPr>
        <w:t> </w:t>
      </w:r>
      <w:r>
        <w:rPr>
          <w:b/>
          <w:color w:val="231F20"/>
          <w:spacing w:val="-2"/>
          <w:w w:val="115"/>
        </w:rPr>
        <w:t>à</w:t>
      </w:r>
      <w:r>
        <w:rPr>
          <w:b/>
          <w:color w:val="231F20"/>
          <w:spacing w:val="-10"/>
          <w:w w:val="115"/>
        </w:rPr>
        <w:t> </w:t>
      </w:r>
      <w:r>
        <w:rPr>
          <w:b/>
          <w:color w:val="231F20"/>
          <w:spacing w:val="-2"/>
          <w:w w:val="115"/>
        </w:rPr>
        <w:t>l’esprit</w:t>
      </w:r>
      <w:r>
        <w:rPr>
          <w:b/>
          <w:color w:val="231F20"/>
          <w:spacing w:val="-10"/>
          <w:w w:val="115"/>
        </w:rPr>
        <w:t> </w:t>
      </w:r>
      <w:r>
        <w:rPr>
          <w:b/>
          <w:color w:val="231F20"/>
          <w:spacing w:val="-2"/>
          <w:w w:val="115"/>
        </w:rPr>
        <w:t>des</w:t>
      </w:r>
      <w:r>
        <w:rPr>
          <w:b/>
          <w:color w:val="231F20"/>
          <w:spacing w:val="-10"/>
          <w:w w:val="115"/>
        </w:rPr>
        <w:t> </w:t>
      </w:r>
      <w:r>
        <w:rPr>
          <w:b/>
          <w:color w:val="231F20"/>
          <w:spacing w:val="-2"/>
          <w:w w:val="115"/>
        </w:rPr>
        <w:t>réussites</w:t>
      </w:r>
      <w:r>
        <w:rPr>
          <w:b/>
          <w:color w:val="231F20"/>
          <w:spacing w:val="-10"/>
          <w:w w:val="115"/>
        </w:rPr>
        <w:t> </w:t>
      </w:r>
      <w:r>
        <w:rPr>
          <w:b/>
          <w:color w:val="231F20"/>
          <w:spacing w:val="-2"/>
          <w:w w:val="115"/>
        </w:rPr>
        <w:t>psychologiques</w:t>
      </w:r>
      <w:r>
        <w:rPr>
          <w:color w:val="231F20"/>
          <w:spacing w:val="-2"/>
          <w:w w:val="115"/>
        </w:rPr>
        <w:t>.</w:t>
      </w:r>
      <w:r>
        <w:rPr>
          <w:color w:val="231F20"/>
          <w:spacing w:val="-11"/>
          <w:w w:val="115"/>
        </w:rPr>
        <w:t> </w:t>
      </w:r>
      <w:r>
        <w:rPr>
          <w:color w:val="231F20"/>
          <w:spacing w:val="-2"/>
          <w:w w:val="115"/>
        </w:rPr>
        <w:t>Il</w:t>
      </w:r>
      <w:r>
        <w:rPr>
          <w:color w:val="231F20"/>
          <w:spacing w:val="-10"/>
          <w:w w:val="115"/>
        </w:rPr>
        <w:t> </w:t>
      </w:r>
      <w:r>
        <w:rPr>
          <w:color w:val="231F20"/>
          <w:spacing w:val="-2"/>
          <w:w w:val="115"/>
        </w:rPr>
        <w:t>faut </w:t>
      </w:r>
      <w:r>
        <w:rPr>
          <w:color w:val="231F20"/>
          <w:spacing w:val="-2"/>
          <w:w w:val="120"/>
        </w:rPr>
        <w:t>projeter</w:t>
      </w:r>
      <w:r>
        <w:rPr>
          <w:color w:val="231F20"/>
          <w:spacing w:val="-9"/>
          <w:w w:val="120"/>
        </w:rPr>
        <w:t> </w:t>
      </w:r>
      <w:r>
        <w:rPr>
          <w:color w:val="231F20"/>
          <w:spacing w:val="-2"/>
          <w:w w:val="120"/>
        </w:rPr>
        <w:t>ses</w:t>
      </w:r>
      <w:r>
        <w:rPr>
          <w:color w:val="231F20"/>
          <w:spacing w:val="-9"/>
          <w:w w:val="120"/>
        </w:rPr>
        <w:t> </w:t>
      </w:r>
      <w:r>
        <w:rPr>
          <w:color w:val="231F20"/>
          <w:spacing w:val="-2"/>
          <w:w w:val="120"/>
        </w:rPr>
        <w:t>buts</w:t>
      </w:r>
      <w:r>
        <w:rPr>
          <w:color w:val="231F20"/>
          <w:spacing w:val="-9"/>
          <w:w w:val="120"/>
        </w:rPr>
        <w:t> </w:t>
      </w:r>
      <w:r>
        <w:rPr>
          <w:color w:val="231F20"/>
          <w:spacing w:val="-2"/>
          <w:w w:val="120"/>
        </w:rPr>
        <w:t>avec</w:t>
      </w:r>
      <w:r>
        <w:rPr>
          <w:color w:val="231F20"/>
          <w:spacing w:val="-9"/>
          <w:w w:val="120"/>
        </w:rPr>
        <w:t> </w:t>
      </w:r>
      <w:r>
        <w:rPr>
          <w:color w:val="231F20"/>
          <w:spacing w:val="-2"/>
          <w:w w:val="120"/>
        </w:rPr>
        <w:t>persévérance</w:t>
      </w:r>
      <w:r>
        <w:rPr>
          <w:color w:val="231F20"/>
          <w:spacing w:val="-9"/>
          <w:w w:val="120"/>
        </w:rPr>
        <w:t> </w:t>
      </w:r>
      <w:r>
        <w:rPr>
          <w:color w:val="231F20"/>
          <w:spacing w:val="-2"/>
          <w:w w:val="120"/>
        </w:rPr>
        <w:t>et</w:t>
      </w:r>
      <w:r>
        <w:rPr>
          <w:color w:val="231F20"/>
          <w:spacing w:val="-9"/>
          <w:w w:val="120"/>
        </w:rPr>
        <w:t> </w:t>
      </w:r>
      <w:r>
        <w:rPr>
          <w:color w:val="231F20"/>
          <w:spacing w:val="-2"/>
          <w:w w:val="120"/>
        </w:rPr>
        <w:t>détermination</w:t>
      </w:r>
      <w:r>
        <w:rPr>
          <w:color w:val="231F20"/>
          <w:spacing w:val="-9"/>
          <w:w w:val="120"/>
        </w:rPr>
        <w:t> </w:t>
      </w:r>
      <w:r>
        <w:rPr>
          <w:color w:val="231F20"/>
          <w:spacing w:val="-2"/>
          <w:w w:val="120"/>
        </w:rPr>
        <w:t>jusqu’à</w:t>
      </w:r>
      <w:r>
        <w:rPr>
          <w:color w:val="231F20"/>
          <w:spacing w:val="-9"/>
          <w:w w:val="120"/>
        </w:rPr>
        <w:t> </w:t>
      </w:r>
      <w:r>
        <w:rPr>
          <w:color w:val="231F20"/>
          <w:spacing w:val="-2"/>
          <w:w w:val="120"/>
        </w:rPr>
        <w:t>l’atteinte</w:t>
      </w:r>
      <w:r>
        <w:rPr>
          <w:color w:val="231F20"/>
          <w:spacing w:val="-9"/>
          <w:w w:val="120"/>
        </w:rPr>
        <w:t> </w:t>
      </w:r>
      <w:r>
        <w:rPr>
          <w:color w:val="231F20"/>
          <w:spacing w:val="-2"/>
          <w:w w:val="120"/>
        </w:rPr>
        <w:t>de </w:t>
      </w:r>
      <w:r>
        <w:rPr>
          <w:color w:val="231F20"/>
          <w:w w:val="120"/>
        </w:rPr>
        <w:t>la réussite psychologique. Sans projet et sans célébration des résultats </w:t>
      </w:r>
      <w:r>
        <w:rPr>
          <w:color w:val="231F20"/>
          <w:spacing w:val="-2"/>
          <w:w w:val="120"/>
        </w:rPr>
        <w:t>de</w:t>
      </w:r>
      <w:r>
        <w:rPr>
          <w:color w:val="231F20"/>
          <w:spacing w:val="-7"/>
          <w:w w:val="120"/>
        </w:rPr>
        <w:t> </w:t>
      </w:r>
      <w:r>
        <w:rPr>
          <w:color w:val="231F20"/>
          <w:spacing w:val="-2"/>
          <w:w w:val="120"/>
        </w:rPr>
        <w:t>ce</w:t>
      </w:r>
      <w:r>
        <w:rPr>
          <w:color w:val="231F20"/>
          <w:spacing w:val="-7"/>
          <w:w w:val="120"/>
        </w:rPr>
        <w:t> </w:t>
      </w:r>
      <w:r>
        <w:rPr>
          <w:color w:val="231F20"/>
          <w:spacing w:val="-2"/>
          <w:w w:val="120"/>
        </w:rPr>
        <w:t>projet,</w:t>
      </w:r>
      <w:r>
        <w:rPr>
          <w:color w:val="231F20"/>
          <w:spacing w:val="-7"/>
          <w:w w:val="120"/>
        </w:rPr>
        <w:t> </w:t>
      </w:r>
      <w:r>
        <w:rPr>
          <w:color w:val="231F20"/>
          <w:spacing w:val="-2"/>
          <w:w w:val="120"/>
        </w:rPr>
        <w:t>il</w:t>
      </w:r>
      <w:r>
        <w:rPr>
          <w:color w:val="231F20"/>
          <w:spacing w:val="-7"/>
          <w:w w:val="120"/>
        </w:rPr>
        <w:t> </w:t>
      </w:r>
      <w:r>
        <w:rPr>
          <w:color w:val="231F20"/>
          <w:spacing w:val="-2"/>
          <w:w w:val="120"/>
        </w:rPr>
        <w:t>n’y</w:t>
      </w:r>
      <w:r>
        <w:rPr>
          <w:color w:val="231F20"/>
          <w:spacing w:val="-7"/>
          <w:w w:val="120"/>
        </w:rPr>
        <w:t> </w:t>
      </w:r>
      <w:r>
        <w:rPr>
          <w:color w:val="231F20"/>
          <w:spacing w:val="-2"/>
          <w:w w:val="120"/>
        </w:rPr>
        <w:t>a</w:t>
      </w:r>
      <w:r>
        <w:rPr>
          <w:color w:val="231F20"/>
          <w:spacing w:val="-7"/>
          <w:w w:val="120"/>
        </w:rPr>
        <w:t> </w:t>
      </w:r>
      <w:r>
        <w:rPr>
          <w:color w:val="231F20"/>
          <w:spacing w:val="-2"/>
          <w:w w:val="120"/>
        </w:rPr>
        <w:t>pas</w:t>
      </w:r>
      <w:r>
        <w:rPr>
          <w:color w:val="231F20"/>
          <w:spacing w:val="-7"/>
          <w:w w:val="120"/>
        </w:rPr>
        <w:t> </w:t>
      </w:r>
      <w:r>
        <w:rPr>
          <w:color w:val="231F20"/>
          <w:spacing w:val="-2"/>
          <w:w w:val="120"/>
        </w:rPr>
        <w:t>d’estime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Il</w:t>
      </w:r>
      <w:r>
        <w:rPr>
          <w:color w:val="231F20"/>
          <w:spacing w:val="-7"/>
          <w:w w:val="120"/>
        </w:rPr>
        <w:t> </w:t>
      </w:r>
      <w:r>
        <w:rPr>
          <w:color w:val="231F20"/>
          <w:spacing w:val="-2"/>
          <w:w w:val="120"/>
        </w:rPr>
        <w:t>est</w:t>
      </w:r>
      <w:r>
        <w:rPr>
          <w:color w:val="231F20"/>
          <w:spacing w:val="-7"/>
          <w:w w:val="120"/>
        </w:rPr>
        <w:t> </w:t>
      </w:r>
      <w:r>
        <w:rPr>
          <w:color w:val="231F20"/>
          <w:spacing w:val="-2"/>
          <w:w w:val="120"/>
        </w:rPr>
        <w:t>très</w:t>
      </w:r>
      <w:r>
        <w:rPr>
          <w:color w:val="231F20"/>
          <w:spacing w:val="-7"/>
          <w:w w:val="120"/>
        </w:rPr>
        <w:t> </w:t>
      </w:r>
      <w:r>
        <w:rPr>
          <w:color w:val="231F20"/>
          <w:spacing w:val="-2"/>
          <w:w w:val="120"/>
        </w:rPr>
        <w:t>important</w:t>
      </w:r>
      <w:r>
        <w:rPr>
          <w:color w:val="231F20"/>
          <w:spacing w:val="-7"/>
          <w:w w:val="120"/>
        </w:rPr>
        <w:t> </w:t>
      </w:r>
      <w:r>
        <w:rPr>
          <w:color w:val="231F20"/>
          <w:spacing w:val="-2"/>
          <w:w w:val="120"/>
        </w:rPr>
        <w:t>de</w:t>
      </w:r>
      <w:r>
        <w:rPr>
          <w:color w:val="231F20"/>
          <w:spacing w:val="-7"/>
          <w:w w:val="120"/>
        </w:rPr>
        <w:t> </w:t>
      </w:r>
      <w:r>
        <w:rPr>
          <w:color w:val="231F20"/>
          <w:spacing w:val="-2"/>
          <w:w w:val="120"/>
        </w:rPr>
        <w:t>célébrer, </w:t>
      </w:r>
      <w:r>
        <w:rPr>
          <w:color w:val="231F20"/>
          <w:w w:val="120"/>
        </w:rPr>
        <w:t>au</w:t>
      </w:r>
      <w:r>
        <w:rPr>
          <w:color w:val="231F20"/>
          <w:spacing w:val="-13"/>
          <w:w w:val="120"/>
        </w:rPr>
        <w:t> </w:t>
      </w:r>
      <w:r>
        <w:rPr>
          <w:color w:val="231F20"/>
          <w:w w:val="120"/>
        </w:rPr>
        <w:t>même</w:t>
      </w:r>
      <w:r>
        <w:rPr>
          <w:color w:val="231F20"/>
          <w:spacing w:val="-12"/>
          <w:w w:val="120"/>
        </w:rPr>
        <w:t> </w:t>
      </w:r>
      <w:r>
        <w:rPr>
          <w:color w:val="231F20"/>
          <w:w w:val="120"/>
        </w:rPr>
        <w:t>titre,</w:t>
      </w:r>
      <w:r>
        <w:rPr>
          <w:color w:val="231F20"/>
          <w:spacing w:val="-13"/>
          <w:w w:val="120"/>
        </w:rPr>
        <w:t> </w:t>
      </w:r>
      <w:r>
        <w:rPr>
          <w:color w:val="231F20"/>
          <w:w w:val="120"/>
        </w:rPr>
        <w:t>les</w:t>
      </w:r>
      <w:r>
        <w:rPr>
          <w:color w:val="231F20"/>
          <w:spacing w:val="-12"/>
          <w:w w:val="120"/>
        </w:rPr>
        <w:t> </w:t>
      </w:r>
      <w:r>
        <w:rPr>
          <w:color w:val="231F20"/>
          <w:w w:val="120"/>
        </w:rPr>
        <w:t>réussites</w:t>
      </w:r>
      <w:r>
        <w:rPr>
          <w:color w:val="231F20"/>
          <w:spacing w:val="-13"/>
          <w:w w:val="120"/>
        </w:rPr>
        <w:t> </w:t>
      </w:r>
      <w:r>
        <w:rPr>
          <w:color w:val="231F20"/>
          <w:w w:val="120"/>
        </w:rPr>
        <w:t>objectives</w:t>
      </w:r>
      <w:r>
        <w:rPr>
          <w:color w:val="231F20"/>
          <w:spacing w:val="-12"/>
          <w:w w:val="120"/>
        </w:rPr>
        <w:t> </w:t>
      </w:r>
      <w:r>
        <w:rPr>
          <w:color w:val="231F20"/>
          <w:w w:val="120"/>
        </w:rPr>
        <w:t>et</w:t>
      </w:r>
      <w:r>
        <w:rPr>
          <w:color w:val="231F20"/>
          <w:spacing w:val="-13"/>
          <w:w w:val="120"/>
        </w:rPr>
        <w:t> </w:t>
      </w:r>
      <w:r>
        <w:rPr>
          <w:color w:val="231F20"/>
          <w:w w:val="120"/>
        </w:rPr>
        <w:t>subjectives.</w:t>
      </w:r>
      <w:r>
        <w:rPr>
          <w:color w:val="231F20"/>
          <w:spacing w:val="-12"/>
          <w:w w:val="120"/>
        </w:rPr>
        <w:t> </w:t>
      </w:r>
      <w:r>
        <w:rPr>
          <w:color w:val="231F20"/>
          <w:w w:val="120"/>
        </w:rPr>
        <w:t>Nous</w:t>
      </w:r>
      <w:r>
        <w:rPr>
          <w:color w:val="231F20"/>
          <w:spacing w:val="-13"/>
          <w:w w:val="120"/>
        </w:rPr>
        <w:t> </w:t>
      </w:r>
      <w:r>
        <w:rPr>
          <w:color w:val="231F20"/>
          <w:w w:val="120"/>
        </w:rPr>
        <w:t>devons</w:t>
      </w:r>
      <w:r>
        <w:rPr>
          <w:color w:val="231F20"/>
          <w:spacing w:val="-12"/>
          <w:w w:val="120"/>
        </w:rPr>
        <w:t> </w:t>
      </w:r>
      <w:r>
        <w:rPr>
          <w:color w:val="231F20"/>
          <w:w w:val="120"/>
        </w:rPr>
        <w:t>nous récompenser</w:t>
      </w:r>
      <w:r>
        <w:rPr>
          <w:color w:val="231F20"/>
          <w:spacing w:val="-7"/>
          <w:w w:val="120"/>
        </w:rPr>
        <w:t> </w:t>
      </w:r>
      <w:r>
        <w:rPr>
          <w:color w:val="231F20"/>
          <w:w w:val="120"/>
        </w:rPr>
        <w:t>sur</w:t>
      </w:r>
      <w:r>
        <w:rPr>
          <w:color w:val="231F20"/>
          <w:spacing w:val="-7"/>
          <w:w w:val="120"/>
        </w:rPr>
        <w:t> </w:t>
      </w:r>
      <w:r>
        <w:rPr>
          <w:color w:val="231F20"/>
          <w:w w:val="120"/>
        </w:rPr>
        <w:t>la</w:t>
      </w:r>
      <w:r>
        <w:rPr>
          <w:color w:val="231F20"/>
          <w:spacing w:val="-7"/>
          <w:w w:val="120"/>
        </w:rPr>
        <w:t> </w:t>
      </w:r>
      <w:r>
        <w:rPr>
          <w:color w:val="231F20"/>
          <w:w w:val="120"/>
        </w:rPr>
        <w:t>base</w:t>
      </w:r>
      <w:r>
        <w:rPr>
          <w:color w:val="231F20"/>
          <w:spacing w:val="-7"/>
          <w:w w:val="120"/>
        </w:rPr>
        <w:t> </w:t>
      </w:r>
      <w:r>
        <w:rPr>
          <w:color w:val="231F20"/>
          <w:w w:val="120"/>
        </w:rPr>
        <w:t>d’événements</w:t>
      </w:r>
      <w:r>
        <w:rPr>
          <w:color w:val="231F20"/>
          <w:spacing w:val="-7"/>
          <w:w w:val="120"/>
        </w:rPr>
        <w:t> </w:t>
      </w:r>
      <w:r>
        <w:rPr>
          <w:color w:val="231F20"/>
          <w:w w:val="120"/>
        </w:rPr>
        <w:t>réels,</w:t>
      </w:r>
      <w:r>
        <w:rPr>
          <w:color w:val="231F20"/>
          <w:spacing w:val="-7"/>
          <w:w w:val="120"/>
        </w:rPr>
        <w:t> </w:t>
      </w:r>
      <w:r>
        <w:rPr>
          <w:color w:val="231F20"/>
          <w:w w:val="120"/>
        </w:rPr>
        <w:t>quantitatifs</w:t>
      </w:r>
      <w:r>
        <w:rPr>
          <w:color w:val="231F20"/>
          <w:spacing w:val="-7"/>
          <w:w w:val="120"/>
        </w:rPr>
        <w:t> </w:t>
      </w:r>
      <w:r>
        <w:rPr>
          <w:color w:val="231F20"/>
          <w:w w:val="120"/>
        </w:rPr>
        <w:t>ou</w:t>
      </w:r>
      <w:r>
        <w:rPr>
          <w:color w:val="231F20"/>
          <w:spacing w:val="-7"/>
          <w:w w:val="120"/>
        </w:rPr>
        <w:t> </w:t>
      </w:r>
      <w:r>
        <w:rPr>
          <w:color w:val="231F20"/>
          <w:w w:val="120"/>
        </w:rPr>
        <w:t>qualitatifs, </w:t>
      </w:r>
      <w:r>
        <w:rPr>
          <w:color w:val="231F20"/>
          <w:w w:val="115"/>
        </w:rPr>
        <w:t>mais toujours fondés sur la vérité. Il est impossible de mentir à son soi le </w:t>
      </w:r>
      <w:r>
        <w:rPr>
          <w:color w:val="231F20"/>
          <w:w w:val="120"/>
        </w:rPr>
        <w:t>plus</w:t>
      </w:r>
      <w:r>
        <w:rPr>
          <w:color w:val="231F20"/>
          <w:spacing w:val="-13"/>
          <w:w w:val="120"/>
        </w:rPr>
        <w:t> </w:t>
      </w:r>
      <w:r>
        <w:rPr>
          <w:color w:val="231F20"/>
          <w:w w:val="120"/>
        </w:rPr>
        <w:t>profond.</w:t>
      </w:r>
    </w:p>
    <w:p>
      <w:pPr>
        <w:pStyle w:val="BodyText"/>
        <w:spacing w:line="307" w:lineRule="auto" w:before="79"/>
        <w:ind w:left="830" w:right="496" w:firstLine="250"/>
        <w:jc w:val="both"/>
      </w:pPr>
      <w:r>
        <w:rPr>
          <w:color w:val="231F20"/>
          <w:w w:val="120"/>
        </w:rPr>
        <w:t>Il ne faut pas oublier que la véritable réussite psychologique passe </w:t>
      </w:r>
      <w:r>
        <w:rPr>
          <w:color w:val="231F20"/>
          <w:w w:val="115"/>
        </w:rPr>
        <w:t>par</w:t>
      </w:r>
      <w:r>
        <w:rPr>
          <w:color w:val="231F20"/>
          <w:spacing w:val="-3"/>
          <w:w w:val="115"/>
        </w:rPr>
        <w:t> </w:t>
      </w:r>
      <w:r>
        <w:rPr>
          <w:color w:val="231F20"/>
          <w:w w:val="115"/>
        </w:rPr>
        <w:t>l’intégration</w:t>
      </w:r>
      <w:r>
        <w:rPr>
          <w:color w:val="231F20"/>
          <w:spacing w:val="-3"/>
          <w:w w:val="115"/>
        </w:rPr>
        <w:t> </w:t>
      </w:r>
      <w:r>
        <w:rPr>
          <w:color w:val="231F20"/>
          <w:w w:val="115"/>
        </w:rPr>
        <w:t>et</w:t>
      </w:r>
      <w:r>
        <w:rPr>
          <w:color w:val="231F20"/>
          <w:spacing w:val="-3"/>
          <w:w w:val="115"/>
        </w:rPr>
        <w:t> </w:t>
      </w:r>
      <w:r>
        <w:rPr>
          <w:color w:val="231F20"/>
          <w:w w:val="115"/>
        </w:rPr>
        <w:t>l’équilibre</w:t>
      </w:r>
      <w:r>
        <w:rPr>
          <w:color w:val="231F20"/>
          <w:spacing w:val="-3"/>
          <w:w w:val="115"/>
        </w:rPr>
        <w:t> </w:t>
      </w:r>
      <w:r>
        <w:rPr>
          <w:color w:val="231F20"/>
          <w:w w:val="115"/>
        </w:rPr>
        <w:t>de</w:t>
      </w:r>
      <w:r>
        <w:rPr>
          <w:color w:val="231F20"/>
          <w:spacing w:val="-3"/>
          <w:w w:val="115"/>
        </w:rPr>
        <w:t> </w:t>
      </w:r>
      <w:r>
        <w:rPr>
          <w:color w:val="231F20"/>
          <w:w w:val="115"/>
        </w:rPr>
        <w:t>l’accomplissement</w:t>
      </w:r>
      <w:r>
        <w:rPr>
          <w:color w:val="231F20"/>
          <w:spacing w:val="-3"/>
          <w:w w:val="115"/>
        </w:rPr>
        <w:t> </w:t>
      </w:r>
      <w:r>
        <w:rPr>
          <w:color w:val="231F20"/>
          <w:w w:val="115"/>
        </w:rPr>
        <w:t>matériel,</w:t>
      </w:r>
      <w:r>
        <w:rPr>
          <w:color w:val="231F20"/>
          <w:spacing w:val="-3"/>
          <w:w w:val="115"/>
        </w:rPr>
        <w:t> </w:t>
      </w:r>
      <w:r>
        <w:rPr>
          <w:color w:val="231F20"/>
          <w:w w:val="115"/>
        </w:rPr>
        <w:t>émotionnel </w:t>
      </w:r>
      <w:r>
        <w:rPr>
          <w:color w:val="231F20"/>
          <w:w w:val="120"/>
        </w:rPr>
        <w:t>et</w:t>
      </w:r>
      <w:r>
        <w:rPr>
          <w:color w:val="231F20"/>
          <w:spacing w:val="-13"/>
          <w:w w:val="120"/>
        </w:rPr>
        <w:t> </w:t>
      </w:r>
      <w:r>
        <w:rPr>
          <w:color w:val="231F20"/>
          <w:w w:val="120"/>
        </w:rPr>
        <w:t>éthique.</w:t>
      </w:r>
    </w:p>
    <w:p>
      <w:pPr>
        <w:pStyle w:val="ListParagraph"/>
        <w:numPr>
          <w:ilvl w:val="0"/>
          <w:numId w:val="69"/>
        </w:numPr>
        <w:tabs>
          <w:tab w:pos="1331" w:val="left" w:leader="none"/>
        </w:tabs>
        <w:spacing w:line="307" w:lineRule="auto" w:before="59" w:after="0"/>
        <w:ind w:left="1330" w:right="495" w:hanging="251"/>
        <w:jc w:val="both"/>
        <w:rPr>
          <w:sz w:val="17"/>
        </w:rPr>
      </w:pPr>
      <w:r>
        <w:rPr>
          <w:i/>
          <w:color w:val="231F20"/>
          <w:spacing w:val="-2"/>
          <w:w w:val="115"/>
          <w:sz w:val="17"/>
        </w:rPr>
        <w:t>L’accomplissement</w:t>
      </w:r>
      <w:r>
        <w:rPr>
          <w:i/>
          <w:color w:val="231F20"/>
          <w:spacing w:val="-11"/>
          <w:w w:val="115"/>
          <w:sz w:val="17"/>
        </w:rPr>
        <w:t> </w:t>
      </w:r>
      <w:r>
        <w:rPr>
          <w:i/>
          <w:color w:val="231F20"/>
          <w:spacing w:val="-2"/>
          <w:w w:val="115"/>
          <w:sz w:val="17"/>
        </w:rPr>
        <w:t>émotionnel</w:t>
      </w:r>
      <w:r>
        <w:rPr>
          <w:color w:val="231F20"/>
          <w:spacing w:val="-2"/>
          <w:w w:val="115"/>
          <w:sz w:val="17"/>
        </w:rPr>
        <w:t>.</w:t>
      </w:r>
      <w:r>
        <w:rPr>
          <w:color w:val="231F20"/>
          <w:spacing w:val="-10"/>
          <w:w w:val="115"/>
          <w:sz w:val="17"/>
        </w:rPr>
        <w:t> </w:t>
      </w:r>
      <w:r>
        <w:rPr>
          <w:color w:val="231F20"/>
          <w:spacing w:val="-2"/>
          <w:w w:val="115"/>
          <w:sz w:val="17"/>
        </w:rPr>
        <w:t>Faites</w:t>
      </w:r>
      <w:r>
        <w:rPr>
          <w:color w:val="231F20"/>
          <w:spacing w:val="-10"/>
          <w:w w:val="115"/>
          <w:sz w:val="17"/>
        </w:rPr>
        <w:t> </w:t>
      </w:r>
      <w:r>
        <w:rPr>
          <w:color w:val="231F20"/>
          <w:spacing w:val="-2"/>
          <w:w w:val="115"/>
          <w:sz w:val="17"/>
        </w:rPr>
        <w:t>l’effort</w:t>
      </w:r>
      <w:r>
        <w:rPr>
          <w:color w:val="231F20"/>
          <w:spacing w:val="-10"/>
          <w:w w:val="115"/>
          <w:sz w:val="17"/>
        </w:rPr>
        <w:t> </w:t>
      </w:r>
      <w:r>
        <w:rPr>
          <w:color w:val="231F20"/>
          <w:spacing w:val="-2"/>
          <w:w w:val="115"/>
          <w:sz w:val="17"/>
        </w:rPr>
        <w:t>de</w:t>
      </w:r>
      <w:r>
        <w:rPr>
          <w:color w:val="231F20"/>
          <w:spacing w:val="-11"/>
          <w:w w:val="115"/>
          <w:sz w:val="17"/>
        </w:rPr>
        <w:t> </w:t>
      </w:r>
      <w:r>
        <w:rPr>
          <w:color w:val="231F20"/>
          <w:spacing w:val="-2"/>
          <w:w w:val="115"/>
          <w:sz w:val="17"/>
        </w:rPr>
        <w:t>cultiver</w:t>
      </w:r>
      <w:r>
        <w:rPr>
          <w:color w:val="231F20"/>
          <w:spacing w:val="-10"/>
          <w:w w:val="115"/>
          <w:sz w:val="17"/>
        </w:rPr>
        <w:t> </w:t>
      </w:r>
      <w:r>
        <w:rPr>
          <w:color w:val="231F20"/>
          <w:spacing w:val="-2"/>
          <w:w w:val="115"/>
          <w:sz w:val="17"/>
        </w:rPr>
        <w:t>vos</w:t>
      </w:r>
      <w:r>
        <w:rPr>
          <w:color w:val="231F20"/>
          <w:spacing w:val="-10"/>
          <w:w w:val="115"/>
          <w:sz w:val="17"/>
        </w:rPr>
        <w:t> </w:t>
      </w:r>
      <w:r>
        <w:rPr>
          <w:color w:val="231F20"/>
          <w:spacing w:val="-2"/>
          <w:w w:val="115"/>
          <w:sz w:val="17"/>
        </w:rPr>
        <w:t>propres </w:t>
      </w:r>
      <w:r>
        <w:rPr>
          <w:color w:val="231F20"/>
          <w:w w:val="120"/>
          <w:sz w:val="17"/>
        </w:rPr>
        <w:t>pensées</w:t>
      </w:r>
      <w:r>
        <w:rPr>
          <w:color w:val="231F20"/>
          <w:spacing w:val="-8"/>
          <w:w w:val="120"/>
          <w:sz w:val="17"/>
        </w:rPr>
        <w:t> </w:t>
      </w:r>
      <w:r>
        <w:rPr>
          <w:color w:val="231F20"/>
          <w:w w:val="120"/>
          <w:sz w:val="17"/>
        </w:rPr>
        <w:t>et</w:t>
      </w:r>
      <w:r>
        <w:rPr>
          <w:color w:val="231F20"/>
          <w:spacing w:val="-8"/>
          <w:w w:val="120"/>
          <w:sz w:val="17"/>
        </w:rPr>
        <w:t> </w:t>
      </w:r>
      <w:r>
        <w:rPr>
          <w:color w:val="231F20"/>
          <w:w w:val="120"/>
          <w:sz w:val="17"/>
        </w:rPr>
        <w:t>émotions</w:t>
      </w:r>
      <w:r>
        <w:rPr>
          <w:color w:val="231F20"/>
          <w:spacing w:val="-8"/>
          <w:w w:val="120"/>
          <w:sz w:val="17"/>
        </w:rPr>
        <w:t> </w:t>
      </w:r>
      <w:r>
        <w:rPr>
          <w:color w:val="231F20"/>
          <w:w w:val="120"/>
          <w:sz w:val="17"/>
        </w:rPr>
        <w:t>positives</w:t>
      </w:r>
      <w:r>
        <w:rPr>
          <w:color w:val="231F20"/>
          <w:spacing w:val="-8"/>
          <w:w w:val="120"/>
          <w:sz w:val="17"/>
        </w:rPr>
        <w:t> </w:t>
      </w:r>
      <w:r>
        <w:rPr>
          <w:color w:val="231F20"/>
          <w:w w:val="120"/>
          <w:sz w:val="17"/>
        </w:rPr>
        <w:t>dans</w:t>
      </w:r>
      <w:r>
        <w:rPr>
          <w:color w:val="231F20"/>
          <w:spacing w:val="-8"/>
          <w:w w:val="120"/>
          <w:sz w:val="17"/>
        </w:rPr>
        <w:t> </w:t>
      </w:r>
      <w:r>
        <w:rPr>
          <w:color w:val="231F20"/>
          <w:w w:val="120"/>
          <w:sz w:val="17"/>
        </w:rPr>
        <w:t>votre</w:t>
      </w:r>
      <w:r>
        <w:rPr>
          <w:color w:val="231F20"/>
          <w:spacing w:val="-8"/>
          <w:w w:val="120"/>
          <w:sz w:val="17"/>
        </w:rPr>
        <w:t> </w:t>
      </w:r>
      <w:r>
        <w:rPr>
          <w:color w:val="231F20"/>
          <w:w w:val="120"/>
          <w:sz w:val="17"/>
        </w:rPr>
        <w:t>vie</w:t>
      </w:r>
      <w:r>
        <w:rPr>
          <w:color w:val="231F20"/>
          <w:spacing w:val="-8"/>
          <w:w w:val="120"/>
          <w:sz w:val="17"/>
        </w:rPr>
        <w:t> </w:t>
      </w:r>
      <w:r>
        <w:rPr>
          <w:color w:val="231F20"/>
          <w:w w:val="120"/>
          <w:sz w:val="17"/>
        </w:rPr>
        <w:t>quotidienne,</w:t>
      </w:r>
      <w:r>
        <w:rPr>
          <w:color w:val="231F20"/>
          <w:spacing w:val="-8"/>
          <w:w w:val="120"/>
          <w:sz w:val="17"/>
        </w:rPr>
        <w:t> </w:t>
      </w:r>
      <w:r>
        <w:rPr>
          <w:color w:val="231F20"/>
          <w:w w:val="120"/>
          <w:sz w:val="17"/>
        </w:rPr>
        <w:t>tout</w:t>
      </w:r>
      <w:r>
        <w:rPr>
          <w:color w:val="231F20"/>
          <w:spacing w:val="-8"/>
          <w:w w:val="120"/>
          <w:sz w:val="17"/>
        </w:rPr>
        <w:t> </w:t>
      </w:r>
      <w:r>
        <w:rPr>
          <w:color w:val="231F20"/>
          <w:w w:val="120"/>
          <w:sz w:val="17"/>
        </w:rPr>
        <w:t>en modulant</w:t>
      </w:r>
      <w:r>
        <w:rPr>
          <w:color w:val="231F20"/>
          <w:spacing w:val="-5"/>
          <w:w w:val="120"/>
          <w:sz w:val="17"/>
        </w:rPr>
        <w:t> </w:t>
      </w:r>
      <w:r>
        <w:rPr>
          <w:color w:val="231F20"/>
          <w:w w:val="120"/>
          <w:sz w:val="17"/>
        </w:rPr>
        <w:t>vos</w:t>
      </w:r>
      <w:r>
        <w:rPr>
          <w:color w:val="231F20"/>
          <w:spacing w:val="-5"/>
          <w:w w:val="120"/>
          <w:sz w:val="17"/>
        </w:rPr>
        <w:t> </w:t>
      </w:r>
      <w:r>
        <w:rPr>
          <w:color w:val="231F20"/>
          <w:w w:val="120"/>
          <w:sz w:val="17"/>
        </w:rPr>
        <w:t>émotions</w:t>
      </w:r>
      <w:r>
        <w:rPr>
          <w:color w:val="231F20"/>
          <w:spacing w:val="-5"/>
          <w:w w:val="120"/>
          <w:sz w:val="17"/>
        </w:rPr>
        <w:t> </w:t>
      </w:r>
      <w:r>
        <w:rPr>
          <w:color w:val="231F20"/>
          <w:w w:val="120"/>
          <w:sz w:val="17"/>
        </w:rPr>
        <w:t>face</w:t>
      </w:r>
      <w:r>
        <w:rPr>
          <w:color w:val="231F20"/>
          <w:spacing w:val="-5"/>
          <w:w w:val="120"/>
          <w:sz w:val="17"/>
        </w:rPr>
        <w:t> </w:t>
      </w:r>
      <w:r>
        <w:rPr>
          <w:color w:val="231F20"/>
          <w:w w:val="120"/>
          <w:sz w:val="17"/>
        </w:rPr>
        <w:t>à</w:t>
      </w:r>
      <w:r>
        <w:rPr>
          <w:color w:val="231F20"/>
          <w:spacing w:val="-5"/>
          <w:w w:val="120"/>
          <w:sz w:val="17"/>
        </w:rPr>
        <w:t> </w:t>
      </w:r>
      <w:r>
        <w:rPr>
          <w:color w:val="231F20"/>
          <w:w w:val="120"/>
          <w:sz w:val="17"/>
        </w:rPr>
        <w:t>des</w:t>
      </w:r>
      <w:r>
        <w:rPr>
          <w:color w:val="231F20"/>
          <w:spacing w:val="-5"/>
          <w:w w:val="120"/>
          <w:sz w:val="17"/>
        </w:rPr>
        <w:t> </w:t>
      </w:r>
      <w:r>
        <w:rPr>
          <w:color w:val="231F20"/>
          <w:w w:val="120"/>
          <w:sz w:val="17"/>
        </w:rPr>
        <w:t>événements</w:t>
      </w:r>
      <w:r>
        <w:rPr>
          <w:color w:val="231F20"/>
          <w:spacing w:val="-5"/>
          <w:w w:val="120"/>
          <w:sz w:val="17"/>
        </w:rPr>
        <w:t> </w:t>
      </w:r>
      <w:r>
        <w:rPr>
          <w:color w:val="231F20"/>
          <w:w w:val="120"/>
          <w:sz w:val="17"/>
        </w:rPr>
        <w:t>négatifs.</w:t>
      </w:r>
      <w:r>
        <w:rPr>
          <w:color w:val="231F20"/>
          <w:spacing w:val="-5"/>
          <w:w w:val="120"/>
          <w:sz w:val="17"/>
        </w:rPr>
        <w:t> </w:t>
      </w:r>
      <w:r>
        <w:rPr>
          <w:color w:val="231F20"/>
          <w:w w:val="120"/>
          <w:sz w:val="17"/>
        </w:rPr>
        <w:t>Sous</w:t>
      </w:r>
      <w:r>
        <w:rPr>
          <w:color w:val="231F20"/>
          <w:spacing w:val="-5"/>
          <w:w w:val="120"/>
          <w:sz w:val="17"/>
        </w:rPr>
        <w:t> </w:t>
      </w:r>
      <w:r>
        <w:rPr>
          <w:color w:val="231F20"/>
          <w:w w:val="120"/>
          <w:sz w:val="17"/>
        </w:rPr>
        <w:t>cet aspect, la capacité d’aimer et d’être aimé est, de toute évidence, </w:t>
      </w:r>
      <w:r>
        <w:rPr>
          <w:color w:val="231F20"/>
          <w:spacing w:val="-2"/>
          <w:w w:val="120"/>
          <w:sz w:val="17"/>
        </w:rPr>
        <w:t>l’accomplissement</w:t>
      </w:r>
      <w:r>
        <w:rPr>
          <w:color w:val="231F20"/>
          <w:spacing w:val="-6"/>
          <w:w w:val="120"/>
          <w:sz w:val="17"/>
        </w:rPr>
        <w:t> </w:t>
      </w:r>
      <w:r>
        <w:rPr>
          <w:color w:val="231F20"/>
          <w:spacing w:val="-2"/>
          <w:w w:val="120"/>
          <w:sz w:val="17"/>
        </w:rPr>
        <w:t>émotionnel</w:t>
      </w:r>
      <w:r>
        <w:rPr>
          <w:color w:val="231F20"/>
          <w:spacing w:val="-6"/>
          <w:w w:val="120"/>
          <w:sz w:val="17"/>
        </w:rPr>
        <w:t> </w:t>
      </w:r>
      <w:r>
        <w:rPr>
          <w:color w:val="231F20"/>
          <w:spacing w:val="-2"/>
          <w:w w:val="120"/>
          <w:sz w:val="17"/>
        </w:rPr>
        <w:t>le</w:t>
      </w:r>
      <w:r>
        <w:rPr>
          <w:color w:val="231F20"/>
          <w:spacing w:val="-6"/>
          <w:w w:val="120"/>
          <w:sz w:val="17"/>
        </w:rPr>
        <w:t> </w:t>
      </w:r>
      <w:r>
        <w:rPr>
          <w:color w:val="231F20"/>
          <w:spacing w:val="-2"/>
          <w:w w:val="120"/>
          <w:sz w:val="17"/>
        </w:rPr>
        <w:t>plus</w:t>
      </w:r>
      <w:r>
        <w:rPr>
          <w:color w:val="231F20"/>
          <w:spacing w:val="-6"/>
          <w:w w:val="120"/>
          <w:sz w:val="17"/>
        </w:rPr>
        <w:t> </w:t>
      </w:r>
      <w:r>
        <w:rPr>
          <w:color w:val="231F20"/>
          <w:spacing w:val="-2"/>
          <w:w w:val="120"/>
          <w:sz w:val="17"/>
        </w:rPr>
        <w:t>important</w:t>
      </w:r>
      <w:r>
        <w:rPr>
          <w:color w:val="231F20"/>
          <w:spacing w:val="-6"/>
          <w:w w:val="120"/>
          <w:sz w:val="17"/>
        </w:rPr>
        <w:t> </w:t>
      </w:r>
      <w:r>
        <w:rPr>
          <w:color w:val="231F20"/>
          <w:spacing w:val="-2"/>
          <w:w w:val="120"/>
          <w:sz w:val="17"/>
        </w:rPr>
        <w:t>et</w:t>
      </w:r>
      <w:r>
        <w:rPr>
          <w:color w:val="231F20"/>
          <w:spacing w:val="-6"/>
          <w:w w:val="120"/>
          <w:sz w:val="17"/>
        </w:rPr>
        <w:t> </w:t>
      </w:r>
      <w:r>
        <w:rPr>
          <w:color w:val="231F20"/>
          <w:spacing w:val="-2"/>
          <w:w w:val="120"/>
          <w:sz w:val="17"/>
        </w:rPr>
        <w:t>le</w:t>
      </w:r>
      <w:r>
        <w:rPr>
          <w:color w:val="231F20"/>
          <w:spacing w:val="-6"/>
          <w:w w:val="120"/>
          <w:sz w:val="17"/>
        </w:rPr>
        <w:t> </w:t>
      </w:r>
      <w:r>
        <w:rPr>
          <w:color w:val="231F20"/>
          <w:spacing w:val="-2"/>
          <w:w w:val="120"/>
          <w:sz w:val="17"/>
        </w:rPr>
        <w:t>plus</w:t>
      </w:r>
      <w:r>
        <w:rPr>
          <w:color w:val="231F20"/>
          <w:spacing w:val="-6"/>
          <w:w w:val="120"/>
          <w:sz w:val="17"/>
        </w:rPr>
        <w:t> </w:t>
      </w:r>
      <w:r>
        <w:rPr>
          <w:color w:val="231F20"/>
          <w:spacing w:val="-2"/>
          <w:w w:val="120"/>
          <w:sz w:val="17"/>
        </w:rPr>
        <w:t>général </w:t>
      </w:r>
      <w:r>
        <w:rPr>
          <w:color w:val="231F20"/>
          <w:w w:val="120"/>
          <w:sz w:val="17"/>
        </w:rPr>
        <w:t>de</w:t>
      </w:r>
      <w:r>
        <w:rPr>
          <w:color w:val="231F20"/>
          <w:spacing w:val="-13"/>
          <w:w w:val="120"/>
          <w:sz w:val="17"/>
        </w:rPr>
        <w:t> </w:t>
      </w:r>
      <w:r>
        <w:rPr>
          <w:color w:val="231F20"/>
          <w:w w:val="120"/>
          <w:sz w:val="17"/>
        </w:rPr>
        <w:t>l’existence.</w:t>
      </w:r>
    </w:p>
    <w:p>
      <w:pPr>
        <w:pStyle w:val="ListParagraph"/>
        <w:numPr>
          <w:ilvl w:val="0"/>
          <w:numId w:val="69"/>
        </w:numPr>
        <w:tabs>
          <w:tab w:pos="1331" w:val="left" w:leader="none"/>
        </w:tabs>
        <w:spacing w:line="307" w:lineRule="auto" w:before="58" w:after="0"/>
        <w:ind w:left="1330" w:right="495" w:hanging="251"/>
        <w:jc w:val="both"/>
        <w:rPr>
          <w:sz w:val="17"/>
        </w:rPr>
      </w:pPr>
      <w:r>
        <w:rPr>
          <w:i/>
          <w:color w:val="231F20"/>
          <w:w w:val="115"/>
          <w:sz w:val="17"/>
        </w:rPr>
        <w:t>L’accomplissement éthique</w:t>
      </w:r>
      <w:r>
        <w:rPr>
          <w:color w:val="231F20"/>
          <w:w w:val="115"/>
          <w:sz w:val="17"/>
        </w:rPr>
        <w:t>. Faites l’effort de devenir la meilleure </w:t>
      </w:r>
      <w:r>
        <w:rPr>
          <w:color w:val="231F20"/>
          <w:spacing w:val="-2"/>
          <w:w w:val="120"/>
          <w:sz w:val="17"/>
        </w:rPr>
        <w:t>personne</w:t>
      </w:r>
      <w:r>
        <w:rPr>
          <w:color w:val="231F20"/>
          <w:spacing w:val="-7"/>
          <w:w w:val="120"/>
          <w:sz w:val="17"/>
        </w:rPr>
        <w:t> </w:t>
      </w:r>
      <w:r>
        <w:rPr>
          <w:color w:val="231F20"/>
          <w:spacing w:val="-2"/>
          <w:w w:val="120"/>
          <w:sz w:val="17"/>
        </w:rPr>
        <w:t>possible</w:t>
      </w:r>
      <w:r>
        <w:rPr>
          <w:color w:val="231F20"/>
          <w:spacing w:val="-7"/>
          <w:w w:val="120"/>
          <w:sz w:val="17"/>
        </w:rPr>
        <w:t> </w:t>
      </w:r>
      <w:r>
        <w:rPr>
          <w:color w:val="231F20"/>
          <w:spacing w:val="-2"/>
          <w:w w:val="120"/>
          <w:sz w:val="17"/>
        </w:rPr>
        <w:t>et</w:t>
      </w:r>
      <w:r>
        <w:rPr>
          <w:color w:val="231F20"/>
          <w:spacing w:val="-7"/>
          <w:w w:val="120"/>
          <w:sz w:val="17"/>
        </w:rPr>
        <w:t> </w:t>
      </w:r>
      <w:r>
        <w:rPr>
          <w:color w:val="231F20"/>
          <w:spacing w:val="-2"/>
          <w:w w:val="120"/>
          <w:sz w:val="17"/>
        </w:rPr>
        <w:t>savourez</w:t>
      </w:r>
      <w:r>
        <w:rPr>
          <w:color w:val="231F20"/>
          <w:spacing w:val="-7"/>
          <w:w w:val="120"/>
          <w:sz w:val="17"/>
        </w:rPr>
        <w:t> </w:t>
      </w:r>
      <w:r>
        <w:rPr>
          <w:color w:val="231F20"/>
          <w:spacing w:val="-2"/>
          <w:w w:val="120"/>
          <w:sz w:val="17"/>
        </w:rPr>
        <w:t>la</w:t>
      </w:r>
      <w:r>
        <w:rPr>
          <w:color w:val="231F20"/>
          <w:spacing w:val="-7"/>
          <w:w w:val="120"/>
          <w:sz w:val="17"/>
        </w:rPr>
        <w:t> </w:t>
      </w:r>
      <w:r>
        <w:rPr>
          <w:color w:val="231F20"/>
          <w:spacing w:val="-2"/>
          <w:w w:val="120"/>
          <w:sz w:val="17"/>
        </w:rPr>
        <w:t>mise</w:t>
      </w:r>
      <w:r>
        <w:rPr>
          <w:color w:val="231F20"/>
          <w:spacing w:val="-7"/>
          <w:w w:val="120"/>
          <w:sz w:val="17"/>
        </w:rPr>
        <w:t> </w:t>
      </w:r>
      <w:r>
        <w:rPr>
          <w:color w:val="231F20"/>
          <w:spacing w:val="-2"/>
          <w:w w:val="120"/>
          <w:sz w:val="17"/>
        </w:rPr>
        <w:t>en</w:t>
      </w:r>
      <w:r>
        <w:rPr>
          <w:color w:val="231F20"/>
          <w:spacing w:val="-7"/>
          <w:w w:val="120"/>
          <w:sz w:val="17"/>
        </w:rPr>
        <w:t> </w:t>
      </w:r>
      <w:r>
        <w:rPr>
          <w:color w:val="231F20"/>
          <w:spacing w:val="-2"/>
          <w:w w:val="120"/>
          <w:sz w:val="17"/>
        </w:rPr>
        <w:t>pratique</w:t>
      </w:r>
      <w:r>
        <w:rPr>
          <w:color w:val="231F20"/>
          <w:spacing w:val="-7"/>
          <w:w w:val="120"/>
          <w:sz w:val="17"/>
        </w:rPr>
        <w:t> </w:t>
      </w:r>
      <w:r>
        <w:rPr>
          <w:color w:val="231F20"/>
          <w:spacing w:val="-2"/>
          <w:w w:val="120"/>
          <w:sz w:val="17"/>
        </w:rPr>
        <w:t>de</w:t>
      </w:r>
      <w:r>
        <w:rPr>
          <w:color w:val="231F20"/>
          <w:spacing w:val="-7"/>
          <w:w w:val="120"/>
          <w:sz w:val="17"/>
        </w:rPr>
        <w:t> </w:t>
      </w:r>
      <w:r>
        <w:rPr>
          <w:color w:val="231F20"/>
          <w:spacing w:val="-2"/>
          <w:w w:val="120"/>
          <w:sz w:val="17"/>
        </w:rPr>
        <w:t>valeurs</w:t>
      </w:r>
      <w:r>
        <w:rPr>
          <w:color w:val="231F20"/>
          <w:spacing w:val="-7"/>
          <w:w w:val="120"/>
          <w:sz w:val="17"/>
        </w:rPr>
        <w:t> </w:t>
      </w:r>
      <w:r>
        <w:rPr>
          <w:color w:val="231F20"/>
          <w:spacing w:val="-2"/>
          <w:w w:val="120"/>
          <w:sz w:val="17"/>
        </w:rPr>
        <w:t>telles </w:t>
      </w:r>
      <w:r>
        <w:rPr>
          <w:color w:val="231F20"/>
          <w:w w:val="120"/>
          <w:sz w:val="17"/>
        </w:rPr>
        <w:t>l’intégrité, la générosité et l’authenticité.</w:t>
      </w:r>
    </w:p>
    <w:p>
      <w:pPr>
        <w:pStyle w:val="ListParagraph"/>
        <w:numPr>
          <w:ilvl w:val="0"/>
          <w:numId w:val="69"/>
        </w:numPr>
        <w:tabs>
          <w:tab w:pos="1331" w:val="left" w:leader="none"/>
        </w:tabs>
        <w:spacing w:line="307" w:lineRule="auto" w:before="59" w:after="0"/>
        <w:ind w:left="1330" w:right="493" w:hanging="251"/>
        <w:jc w:val="both"/>
        <w:rPr>
          <w:sz w:val="17"/>
        </w:rPr>
      </w:pPr>
      <w:r>
        <w:rPr>
          <w:i/>
          <w:color w:val="231F20"/>
          <w:w w:val="115"/>
          <w:sz w:val="17"/>
        </w:rPr>
        <w:t>L’accomplissement matériel</w:t>
      </w:r>
      <w:r>
        <w:rPr>
          <w:color w:val="231F20"/>
          <w:w w:val="115"/>
          <w:sz w:val="17"/>
        </w:rPr>
        <w:t>. Faites l’effort de devenir autonome </w:t>
      </w:r>
      <w:r>
        <w:rPr>
          <w:color w:val="231F20"/>
          <w:w w:val="120"/>
          <w:sz w:val="17"/>
        </w:rPr>
        <w:t>sur le plan économique et savourez les biens matériels que vous procurent vos propres efforts par un mélange d’ingéniosité, de détermination et de possibilités.</w:t>
      </w:r>
    </w:p>
    <w:p>
      <w:pPr>
        <w:pStyle w:val="BodyText"/>
        <w:rPr>
          <w:sz w:val="20"/>
        </w:rPr>
      </w:pPr>
    </w:p>
    <w:p>
      <w:pPr>
        <w:pStyle w:val="BodyText"/>
        <w:spacing w:before="3"/>
        <w:rPr>
          <w:sz w:val="19"/>
        </w:rPr>
      </w:pPr>
      <w:r>
        <w:rPr/>
        <w:pict>
          <v:shape style="position:absolute;margin-left:62.5pt;margin-top:12.322705pt;width:287.5pt;height:.1pt;mso-position-horizontal-relative:page;mso-position-vertical-relative:paragraph;z-index:-15644160;mso-wrap-distance-left:0;mso-wrap-distance-right:0" id="docshape960" coordorigin="1250,246" coordsize="5750,0" path="m1250,246l7000,246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95" w:lineRule="auto" w:before="135" w:after="0"/>
        <w:ind w:left="829" w:right="492" w:hanging="406"/>
        <w:jc w:val="left"/>
        <w:rPr>
          <w:rFonts w:ascii="Arial"/>
          <w:sz w:val="12"/>
        </w:rPr>
      </w:pPr>
      <w:r>
        <w:rPr>
          <w:rFonts w:ascii="Arial"/>
          <w:color w:val="231F20"/>
          <w:sz w:val="12"/>
        </w:rPr>
        <w:t>Maturana, H. R. et Varela, F. L. (1980). </w:t>
      </w:r>
      <w:r>
        <w:rPr>
          <w:rFonts w:ascii="Arial"/>
          <w:i/>
          <w:color w:val="231F20"/>
          <w:sz w:val="12"/>
        </w:rPr>
        <w:t>Autopoiesis and Cognition</w:t>
      </w:r>
      <w:r>
        <w:rPr>
          <w:rFonts w:ascii="Arial"/>
          <w:i/>
          <w:color w:val="231F20"/>
          <w:spacing w:val="-17"/>
          <w:sz w:val="12"/>
        </w:rPr>
        <w:t> </w:t>
      </w:r>
      <w:r>
        <w:rPr>
          <w:rFonts w:ascii="Arial"/>
          <w:i/>
          <w:color w:val="231F20"/>
          <w:sz w:val="12"/>
        </w:rPr>
        <w:t>: The Revolution of the Living</w:t>
      </w:r>
      <w:r>
        <w:rPr>
          <w:rFonts w:ascii="Arial"/>
          <w:color w:val="231F20"/>
          <w:sz w:val="12"/>
        </w:rPr>
        <w:t>, vol. 42,</w:t>
      </w:r>
      <w:r>
        <w:rPr>
          <w:rFonts w:ascii="Arial"/>
          <w:color w:val="231F20"/>
          <w:spacing w:val="40"/>
          <w:sz w:val="12"/>
        </w:rPr>
        <w:t> </w:t>
      </w:r>
      <w:r>
        <w:rPr>
          <w:rFonts w:ascii="Arial"/>
          <w:color w:val="231F20"/>
          <w:sz w:val="12"/>
        </w:rPr>
        <w:t>Boston,</w:t>
      </w:r>
      <w:r>
        <w:rPr>
          <w:rFonts w:ascii="Arial"/>
          <w:color w:val="231F20"/>
          <w:spacing w:val="-9"/>
          <w:sz w:val="12"/>
        </w:rPr>
        <w:t> </w:t>
      </w:r>
      <w:r>
        <w:rPr>
          <w:rFonts w:ascii="Arial"/>
          <w:color w:val="231F20"/>
          <w:sz w:val="12"/>
        </w:rPr>
        <w:t>Reidel.</w:t>
      </w:r>
    </w:p>
    <w:p>
      <w:pPr>
        <w:spacing w:after="0" w:line="295" w:lineRule="auto"/>
        <w:jc w:val="left"/>
        <w:rPr>
          <w:rFonts w:ascii="Arial"/>
          <w:sz w:val="12"/>
        </w:rPr>
        <w:sectPr>
          <w:footerReference w:type="default" r:id="rId261"/>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b/>
          <w:color w:val="231F20"/>
          <w:spacing w:val="-2"/>
          <w:w w:val="115"/>
        </w:rPr>
        <w:t>Transcendez-vous,</w:t>
      </w:r>
      <w:r>
        <w:rPr>
          <w:b/>
          <w:color w:val="231F20"/>
          <w:spacing w:val="-9"/>
          <w:w w:val="115"/>
        </w:rPr>
        <w:t> </w:t>
      </w:r>
      <w:r>
        <w:rPr>
          <w:b/>
          <w:color w:val="231F20"/>
          <w:spacing w:val="-2"/>
          <w:w w:val="115"/>
        </w:rPr>
        <w:t>dépassez-vous.</w:t>
      </w:r>
      <w:r>
        <w:rPr>
          <w:b/>
          <w:color w:val="231F20"/>
          <w:spacing w:val="-4"/>
          <w:w w:val="115"/>
        </w:rPr>
        <w:t> </w:t>
      </w:r>
      <w:r>
        <w:rPr>
          <w:color w:val="231F20"/>
          <w:spacing w:val="-2"/>
          <w:w w:val="115"/>
        </w:rPr>
        <w:t>La</w:t>
      </w:r>
      <w:r>
        <w:rPr>
          <w:color w:val="231F20"/>
          <w:spacing w:val="-4"/>
          <w:w w:val="115"/>
        </w:rPr>
        <w:t> </w:t>
      </w:r>
      <w:r>
        <w:rPr>
          <w:color w:val="231F20"/>
          <w:spacing w:val="-2"/>
          <w:w w:val="115"/>
        </w:rPr>
        <w:t>véritable</w:t>
      </w:r>
      <w:r>
        <w:rPr>
          <w:color w:val="231F20"/>
          <w:spacing w:val="-4"/>
          <w:w w:val="115"/>
        </w:rPr>
        <w:t> </w:t>
      </w:r>
      <w:r>
        <w:rPr>
          <w:color w:val="231F20"/>
          <w:spacing w:val="-2"/>
          <w:w w:val="115"/>
        </w:rPr>
        <w:t>estime</w:t>
      </w:r>
      <w:r>
        <w:rPr>
          <w:color w:val="231F20"/>
          <w:spacing w:val="-4"/>
          <w:w w:val="115"/>
        </w:rPr>
        <w:t> </w:t>
      </w:r>
      <w:r>
        <w:rPr>
          <w:color w:val="231F20"/>
          <w:spacing w:val="-2"/>
          <w:w w:val="115"/>
        </w:rPr>
        <w:t>de</w:t>
      </w:r>
      <w:r>
        <w:rPr>
          <w:color w:val="231F20"/>
          <w:spacing w:val="-4"/>
          <w:w w:val="115"/>
        </w:rPr>
        <w:t> </w:t>
      </w:r>
      <w:r>
        <w:rPr>
          <w:color w:val="231F20"/>
          <w:spacing w:val="-2"/>
          <w:w w:val="115"/>
        </w:rPr>
        <w:t>soi</w:t>
      </w:r>
      <w:r>
        <w:rPr>
          <w:color w:val="231F20"/>
          <w:spacing w:val="-4"/>
          <w:w w:val="115"/>
        </w:rPr>
        <w:t> </w:t>
      </w:r>
      <w:r>
        <w:rPr>
          <w:color w:val="231F20"/>
          <w:spacing w:val="-2"/>
          <w:w w:val="115"/>
        </w:rPr>
        <w:t>va</w:t>
      </w:r>
      <w:r>
        <w:rPr>
          <w:color w:val="231F20"/>
          <w:spacing w:val="-4"/>
          <w:w w:val="115"/>
        </w:rPr>
        <w:t> </w:t>
      </w:r>
      <w:r>
        <w:rPr>
          <w:color w:val="231F20"/>
          <w:spacing w:val="-2"/>
          <w:w w:val="115"/>
        </w:rPr>
        <w:t>bien</w:t>
      </w:r>
      <w:r>
        <w:rPr>
          <w:color w:val="231F20"/>
          <w:spacing w:val="-4"/>
          <w:w w:val="115"/>
        </w:rPr>
        <w:t> </w:t>
      </w:r>
      <w:r>
        <w:rPr>
          <w:color w:val="231F20"/>
          <w:spacing w:val="-2"/>
          <w:w w:val="115"/>
        </w:rPr>
        <w:t>plus </w:t>
      </w:r>
      <w:r>
        <w:rPr>
          <w:color w:val="231F20"/>
          <w:w w:val="115"/>
        </w:rPr>
        <w:t>loin</w:t>
      </w:r>
      <w:r>
        <w:rPr>
          <w:color w:val="231F20"/>
          <w:spacing w:val="-1"/>
          <w:w w:val="115"/>
        </w:rPr>
        <w:t> </w:t>
      </w:r>
      <w:r>
        <w:rPr>
          <w:color w:val="231F20"/>
          <w:w w:val="115"/>
        </w:rPr>
        <w:t>que</w:t>
      </w:r>
      <w:r>
        <w:rPr>
          <w:color w:val="231F20"/>
          <w:spacing w:val="-1"/>
          <w:w w:val="115"/>
        </w:rPr>
        <w:t> </w:t>
      </w:r>
      <w:r>
        <w:rPr>
          <w:color w:val="231F20"/>
          <w:w w:val="115"/>
        </w:rPr>
        <w:t>l’accomplissement</w:t>
      </w:r>
      <w:r>
        <w:rPr>
          <w:color w:val="231F20"/>
          <w:spacing w:val="-1"/>
          <w:w w:val="115"/>
        </w:rPr>
        <w:t> </w:t>
      </w:r>
      <w:r>
        <w:rPr>
          <w:color w:val="231F20"/>
          <w:w w:val="115"/>
        </w:rPr>
        <w:t>matériel</w:t>
      </w:r>
      <w:r>
        <w:rPr>
          <w:color w:val="231F20"/>
          <w:spacing w:val="-1"/>
          <w:w w:val="115"/>
        </w:rPr>
        <w:t> </w:t>
      </w:r>
      <w:r>
        <w:rPr>
          <w:color w:val="231F20"/>
          <w:w w:val="115"/>
        </w:rPr>
        <w:t>et</w:t>
      </w:r>
      <w:r>
        <w:rPr>
          <w:color w:val="231F20"/>
          <w:spacing w:val="-1"/>
          <w:w w:val="115"/>
        </w:rPr>
        <w:t> </w:t>
      </w:r>
      <w:r>
        <w:rPr>
          <w:color w:val="231F20"/>
          <w:w w:val="115"/>
        </w:rPr>
        <w:t>émotionnel.</w:t>
      </w:r>
      <w:r>
        <w:rPr>
          <w:color w:val="231F20"/>
          <w:spacing w:val="-1"/>
          <w:w w:val="115"/>
        </w:rPr>
        <w:t> </w:t>
      </w:r>
      <w:r>
        <w:rPr>
          <w:color w:val="231F20"/>
          <w:w w:val="115"/>
        </w:rPr>
        <w:t>Comme</w:t>
      </w:r>
      <w:r>
        <w:rPr>
          <w:color w:val="231F20"/>
          <w:spacing w:val="-1"/>
          <w:w w:val="115"/>
        </w:rPr>
        <w:t> </w:t>
      </w:r>
      <w:r>
        <w:rPr>
          <w:color w:val="231F20"/>
          <w:w w:val="115"/>
        </w:rPr>
        <w:t>nous</w:t>
      </w:r>
      <w:r>
        <w:rPr>
          <w:color w:val="231F20"/>
          <w:spacing w:val="-1"/>
          <w:w w:val="115"/>
        </w:rPr>
        <w:t> </w:t>
      </w:r>
      <w:r>
        <w:rPr>
          <w:color w:val="231F20"/>
          <w:w w:val="115"/>
        </w:rPr>
        <w:t>l’avons </w:t>
      </w:r>
      <w:r>
        <w:rPr>
          <w:color w:val="231F20"/>
          <w:spacing w:val="-2"/>
          <w:w w:val="120"/>
        </w:rPr>
        <w:t>vu</w:t>
      </w:r>
      <w:r>
        <w:rPr>
          <w:color w:val="231F20"/>
          <w:spacing w:val="-6"/>
          <w:w w:val="120"/>
        </w:rPr>
        <w:t> </w:t>
      </w:r>
      <w:r>
        <w:rPr>
          <w:color w:val="231F20"/>
          <w:spacing w:val="-2"/>
          <w:w w:val="120"/>
        </w:rPr>
        <w:t>à</w:t>
      </w:r>
      <w:r>
        <w:rPr>
          <w:color w:val="231F20"/>
          <w:spacing w:val="-6"/>
          <w:w w:val="120"/>
        </w:rPr>
        <w:t> </w:t>
      </w:r>
      <w:r>
        <w:rPr>
          <w:color w:val="231F20"/>
          <w:spacing w:val="-2"/>
          <w:w w:val="120"/>
        </w:rPr>
        <w:t>propos</w:t>
      </w:r>
      <w:r>
        <w:rPr>
          <w:color w:val="231F20"/>
          <w:spacing w:val="-6"/>
          <w:w w:val="120"/>
        </w:rPr>
        <w:t> </w:t>
      </w:r>
      <w:r>
        <w:rPr>
          <w:color w:val="231F20"/>
          <w:spacing w:val="-2"/>
          <w:w w:val="120"/>
        </w:rPr>
        <w:t>des</w:t>
      </w:r>
      <w:r>
        <w:rPr>
          <w:color w:val="231F20"/>
          <w:spacing w:val="-6"/>
          <w:w w:val="120"/>
        </w:rPr>
        <w:t> </w:t>
      </w:r>
      <w:r>
        <w:rPr>
          <w:color w:val="231F20"/>
          <w:spacing w:val="-2"/>
          <w:w w:val="120"/>
        </w:rPr>
        <w:t>origines</w:t>
      </w:r>
      <w:r>
        <w:rPr>
          <w:color w:val="231F20"/>
          <w:spacing w:val="-6"/>
          <w:w w:val="120"/>
        </w:rPr>
        <w:t> </w:t>
      </w:r>
      <w:r>
        <w:rPr>
          <w:color w:val="231F20"/>
          <w:spacing w:val="-2"/>
          <w:w w:val="120"/>
        </w:rPr>
        <w:t>de</w:t>
      </w:r>
      <w:r>
        <w:rPr>
          <w:color w:val="231F20"/>
          <w:spacing w:val="-6"/>
          <w:w w:val="120"/>
        </w:rPr>
        <w:t> </w:t>
      </w:r>
      <w:r>
        <w:rPr>
          <w:color w:val="231F20"/>
          <w:spacing w:val="-2"/>
          <w:w w:val="120"/>
        </w:rPr>
        <w:t>l’estime</w:t>
      </w:r>
      <w:r>
        <w:rPr>
          <w:color w:val="231F20"/>
          <w:spacing w:val="-6"/>
          <w:w w:val="120"/>
        </w:rPr>
        <w:t> </w:t>
      </w:r>
      <w:r>
        <w:rPr>
          <w:color w:val="231F20"/>
          <w:spacing w:val="-2"/>
          <w:w w:val="120"/>
        </w:rPr>
        <w:t>de</w:t>
      </w:r>
      <w:r>
        <w:rPr>
          <w:color w:val="231F20"/>
          <w:spacing w:val="-6"/>
          <w:w w:val="120"/>
        </w:rPr>
        <w:t> </w:t>
      </w:r>
      <w:r>
        <w:rPr>
          <w:color w:val="231F20"/>
          <w:spacing w:val="-2"/>
          <w:w w:val="120"/>
        </w:rPr>
        <w:t>soi,</w:t>
      </w:r>
      <w:r>
        <w:rPr>
          <w:color w:val="231F20"/>
          <w:spacing w:val="-6"/>
          <w:w w:val="120"/>
        </w:rPr>
        <w:t> </w:t>
      </w:r>
      <w:r>
        <w:rPr>
          <w:color w:val="231F20"/>
          <w:spacing w:val="-2"/>
          <w:w w:val="120"/>
        </w:rPr>
        <w:t>celle-ci</w:t>
      </w:r>
      <w:r>
        <w:rPr>
          <w:color w:val="231F20"/>
          <w:spacing w:val="-6"/>
          <w:w w:val="120"/>
        </w:rPr>
        <w:t> </w:t>
      </w:r>
      <w:r>
        <w:rPr>
          <w:color w:val="231F20"/>
          <w:spacing w:val="-2"/>
          <w:w w:val="120"/>
        </w:rPr>
        <w:t>repose</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percep- </w:t>
      </w:r>
      <w:r>
        <w:rPr>
          <w:color w:val="231F20"/>
          <w:w w:val="115"/>
        </w:rPr>
        <w:t>tion d’utilité sociale, au-delà de l’utilitarisme individuel. Il est également </w:t>
      </w:r>
      <w:r>
        <w:rPr>
          <w:color w:val="231F20"/>
          <w:w w:val="120"/>
        </w:rPr>
        <w:t>très</w:t>
      </w:r>
      <w:r>
        <w:rPr>
          <w:color w:val="231F20"/>
          <w:spacing w:val="-5"/>
          <w:w w:val="120"/>
        </w:rPr>
        <w:t> </w:t>
      </w:r>
      <w:r>
        <w:rPr>
          <w:color w:val="231F20"/>
          <w:w w:val="120"/>
        </w:rPr>
        <w:t>peu</w:t>
      </w:r>
      <w:r>
        <w:rPr>
          <w:color w:val="231F20"/>
          <w:spacing w:val="-5"/>
          <w:w w:val="120"/>
        </w:rPr>
        <w:t> </w:t>
      </w:r>
      <w:r>
        <w:rPr>
          <w:color w:val="231F20"/>
          <w:w w:val="120"/>
        </w:rPr>
        <w:t>probable</w:t>
      </w:r>
      <w:r>
        <w:rPr>
          <w:color w:val="231F20"/>
          <w:spacing w:val="-5"/>
          <w:w w:val="120"/>
        </w:rPr>
        <w:t> </w:t>
      </w:r>
      <w:r>
        <w:rPr>
          <w:color w:val="231F20"/>
          <w:w w:val="120"/>
        </w:rPr>
        <w:t>qu’une</w:t>
      </w:r>
      <w:r>
        <w:rPr>
          <w:color w:val="231F20"/>
          <w:spacing w:val="-5"/>
          <w:w w:val="120"/>
        </w:rPr>
        <w:t> </w:t>
      </w:r>
      <w:r>
        <w:rPr>
          <w:color w:val="231F20"/>
          <w:w w:val="120"/>
        </w:rPr>
        <w:t>personne</w:t>
      </w:r>
      <w:r>
        <w:rPr>
          <w:color w:val="231F20"/>
          <w:spacing w:val="-5"/>
          <w:w w:val="120"/>
        </w:rPr>
        <w:t> </w:t>
      </w:r>
      <w:r>
        <w:rPr>
          <w:color w:val="231F20"/>
          <w:w w:val="120"/>
        </w:rPr>
        <w:t>puisse</w:t>
      </w:r>
      <w:r>
        <w:rPr>
          <w:color w:val="231F20"/>
          <w:spacing w:val="-5"/>
          <w:w w:val="120"/>
        </w:rPr>
        <w:t> </w:t>
      </w:r>
      <w:r>
        <w:rPr>
          <w:color w:val="231F20"/>
          <w:w w:val="120"/>
        </w:rPr>
        <w:t>atteindre</w:t>
      </w:r>
      <w:r>
        <w:rPr>
          <w:color w:val="231F20"/>
          <w:spacing w:val="-5"/>
          <w:w w:val="120"/>
        </w:rPr>
        <w:t> </w:t>
      </w:r>
      <w:r>
        <w:rPr>
          <w:color w:val="231F20"/>
          <w:w w:val="120"/>
        </w:rPr>
        <w:t>ses</w:t>
      </w:r>
      <w:r>
        <w:rPr>
          <w:color w:val="231F20"/>
          <w:spacing w:val="-5"/>
          <w:w w:val="120"/>
        </w:rPr>
        <w:t> </w:t>
      </w:r>
      <w:r>
        <w:rPr>
          <w:color w:val="231F20"/>
          <w:w w:val="120"/>
        </w:rPr>
        <w:t>objectifs,</w:t>
      </w:r>
      <w:r>
        <w:rPr>
          <w:color w:val="231F20"/>
          <w:spacing w:val="-5"/>
          <w:w w:val="120"/>
        </w:rPr>
        <w:t> </w:t>
      </w:r>
      <w:r>
        <w:rPr>
          <w:color w:val="231F20"/>
          <w:w w:val="120"/>
        </w:rPr>
        <w:t>qu’ils </w:t>
      </w:r>
      <w:r>
        <w:rPr>
          <w:color w:val="231F20"/>
          <w:spacing w:val="-2"/>
          <w:w w:val="120"/>
        </w:rPr>
        <w:t>soient</w:t>
      </w:r>
      <w:r>
        <w:rPr>
          <w:color w:val="231F20"/>
          <w:spacing w:val="-10"/>
          <w:w w:val="120"/>
        </w:rPr>
        <w:t> </w:t>
      </w:r>
      <w:r>
        <w:rPr>
          <w:color w:val="231F20"/>
          <w:spacing w:val="-2"/>
          <w:w w:val="120"/>
        </w:rPr>
        <w:t>d’ordre</w:t>
      </w:r>
      <w:r>
        <w:rPr>
          <w:color w:val="231F20"/>
          <w:spacing w:val="-10"/>
          <w:w w:val="120"/>
        </w:rPr>
        <w:t> </w:t>
      </w:r>
      <w:r>
        <w:rPr>
          <w:color w:val="231F20"/>
          <w:spacing w:val="-2"/>
          <w:w w:val="120"/>
        </w:rPr>
        <w:t>personnel</w:t>
      </w:r>
      <w:r>
        <w:rPr>
          <w:color w:val="231F20"/>
          <w:spacing w:val="-10"/>
          <w:w w:val="120"/>
        </w:rPr>
        <w:t> </w:t>
      </w:r>
      <w:r>
        <w:rPr>
          <w:color w:val="231F20"/>
          <w:spacing w:val="-2"/>
          <w:w w:val="120"/>
        </w:rPr>
        <w:t>ou</w:t>
      </w:r>
      <w:r>
        <w:rPr>
          <w:color w:val="231F20"/>
          <w:spacing w:val="-10"/>
          <w:w w:val="120"/>
        </w:rPr>
        <w:t> </w:t>
      </w:r>
      <w:r>
        <w:rPr>
          <w:color w:val="231F20"/>
          <w:spacing w:val="-2"/>
          <w:w w:val="120"/>
        </w:rPr>
        <w:t>social,</w:t>
      </w:r>
      <w:r>
        <w:rPr>
          <w:color w:val="231F20"/>
          <w:spacing w:val="-10"/>
          <w:w w:val="120"/>
        </w:rPr>
        <w:t> </w:t>
      </w:r>
      <w:r>
        <w:rPr>
          <w:color w:val="231F20"/>
          <w:spacing w:val="-2"/>
          <w:w w:val="120"/>
        </w:rPr>
        <w:t>si</w:t>
      </w:r>
      <w:r>
        <w:rPr>
          <w:color w:val="231F20"/>
          <w:spacing w:val="-10"/>
          <w:w w:val="120"/>
        </w:rPr>
        <w:t> </w:t>
      </w:r>
      <w:r>
        <w:rPr>
          <w:color w:val="231F20"/>
          <w:spacing w:val="-2"/>
          <w:w w:val="120"/>
        </w:rPr>
        <w:t>elle</w:t>
      </w:r>
      <w:r>
        <w:rPr>
          <w:color w:val="231F20"/>
          <w:spacing w:val="-10"/>
          <w:w w:val="120"/>
        </w:rPr>
        <w:t> </w:t>
      </w:r>
      <w:r>
        <w:rPr>
          <w:color w:val="231F20"/>
          <w:spacing w:val="-2"/>
          <w:w w:val="120"/>
        </w:rPr>
        <w:t>ne</w:t>
      </w:r>
      <w:r>
        <w:rPr>
          <w:color w:val="231F20"/>
          <w:spacing w:val="-10"/>
          <w:w w:val="120"/>
        </w:rPr>
        <w:t> </w:t>
      </w:r>
      <w:r>
        <w:rPr>
          <w:color w:val="231F20"/>
          <w:spacing w:val="-2"/>
          <w:w w:val="120"/>
        </w:rPr>
        <w:t>redonne</w:t>
      </w:r>
      <w:r>
        <w:rPr>
          <w:color w:val="231F20"/>
          <w:spacing w:val="-10"/>
          <w:w w:val="120"/>
        </w:rPr>
        <w:t> </w:t>
      </w:r>
      <w:r>
        <w:rPr>
          <w:color w:val="231F20"/>
          <w:spacing w:val="-2"/>
          <w:w w:val="120"/>
        </w:rPr>
        <w:t>pas</w:t>
      </w:r>
      <w:r>
        <w:rPr>
          <w:color w:val="231F20"/>
          <w:spacing w:val="-10"/>
          <w:w w:val="120"/>
        </w:rPr>
        <w:t> </w:t>
      </w:r>
      <w:r>
        <w:rPr>
          <w:color w:val="231F20"/>
          <w:spacing w:val="-2"/>
          <w:w w:val="120"/>
        </w:rPr>
        <w:t>une</w:t>
      </w:r>
      <w:r>
        <w:rPr>
          <w:color w:val="231F20"/>
          <w:spacing w:val="-10"/>
          <w:w w:val="120"/>
        </w:rPr>
        <w:t> </w:t>
      </w:r>
      <w:r>
        <w:rPr>
          <w:color w:val="231F20"/>
          <w:spacing w:val="-2"/>
          <w:w w:val="120"/>
        </w:rPr>
        <w:t>partie</w:t>
      </w:r>
      <w:r>
        <w:rPr>
          <w:color w:val="231F20"/>
          <w:spacing w:val="-10"/>
          <w:w w:val="120"/>
        </w:rPr>
        <w:t> </w:t>
      </w:r>
      <w:r>
        <w:rPr>
          <w:color w:val="231F20"/>
          <w:spacing w:val="-2"/>
          <w:w w:val="120"/>
        </w:rPr>
        <w:t>de</w:t>
      </w:r>
      <w:r>
        <w:rPr>
          <w:color w:val="231F20"/>
          <w:spacing w:val="-10"/>
          <w:w w:val="120"/>
        </w:rPr>
        <w:t> </w:t>
      </w:r>
      <w:r>
        <w:rPr>
          <w:color w:val="231F20"/>
          <w:spacing w:val="-2"/>
          <w:w w:val="120"/>
        </w:rPr>
        <w:t>ce </w:t>
      </w:r>
      <w:r>
        <w:rPr>
          <w:color w:val="231F20"/>
          <w:w w:val="120"/>
        </w:rPr>
        <w:t>qu’elle reçoit, si elle ne transmet pas ses acquis.</w:t>
      </w:r>
    </w:p>
    <w:p>
      <w:pPr>
        <w:pStyle w:val="BodyText"/>
        <w:spacing w:before="7"/>
        <w:rPr>
          <w:sz w:val="21"/>
        </w:rPr>
      </w:pPr>
    </w:p>
    <w:p>
      <w:pPr>
        <w:pStyle w:val="BodyText"/>
        <w:spacing w:line="307" w:lineRule="auto"/>
        <w:ind w:left="1220" w:right="104"/>
        <w:jc w:val="both"/>
      </w:pPr>
      <w:r>
        <w:rPr>
          <w:b/>
          <w:color w:val="231F20"/>
          <w:spacing w:val="-2"/>
          <w:w w:val="115"/>
        </w:rPr>
        <w:t>Allez</w:t>
      </w:r>
      <w:r>
        <w:rPr>
          <w:b/>
          <w:color w:val="231F20"/>
          <w:spacing w:val="-11"/>
          <w:w w:val="115"/>
        </w:rPr>
        <w:t> </w:t>
      </w:r>
      <w:r>
        <w:rPr>
          <w:b/>
          <w:color w:val="231F20"/>
          <w:spacing w:val="-2"/>
          <w:w w:val="115"/>
        </w:rPr>
        <w:t>au-delà</w:t>
      </w:r>
      <w:r>
        <w:rPr>
          <w:b/>
          <w:color w:val="231F20"/>
          <w:spacing w:val="-10"/>
          <w:w w:val="115"/>
        </w:rPr>
        <w:t> </w:t>
      </w:r>
      <w:r>
        <w:rPr>
          <w:b/>
          <w:color w:val="231F20"/>
          <w:spacing w:val="-2"/>
          <w:w w:val="115"/>
        </w:rPr>
        <w:t>des</w:t>
      </w:r>
      <w:r>
        <w:rPr>
          <w:b/>
          <w:color w:val="231F20"/>
          <w:spacing w:val="-10"/>
          <w:w w:val="115"/>
        </w:rPr>
        <w:t> </w:t>
      </w:r>
      <w:r>
        <w:rPr>
          <w:b/>
          <w:color w:val="231F20"/>
          <w:spacing w:val="-2"/>
          <w:w w:val="115"/>
        </w:rPr>
        <w:t>croyances</w:t>
      </w:r>
      <w:r>
        <w:rPr>
          <w:b/>
          <w:color w:val="231F20"/>
          <w:spacing w:val="-10"/>
          <w:w w:val="115"/>
        </w:rPr>
        <w:t> </w:t>
      </w:r>
      <w:r>
        <w:rPr>
          <w:b/>
          <w:color w:val="231F20"/>
          <w:spacing w:val="-2"/>
          <w:w w:val="115"/>
        </w:rPr>
        <w:t>et</w:t>
      </w:r>
      <w:r>
        <w:rPr>
          <w:b/>
          <w:color w:val="231F20"/>
          <w:spacing w:val="-11"/>
          <w:w w:val="115"/>
        </w:rPr>
        <w:t> </w:t>
      </w:r>
      <w:r>
        <w:rPr>
          <w:b/>
          <w:color w:val="231F20"/>
          <w:spacing w:val="-2"/>
          <w:w w:val="115"/>
        </w:rPr>
        <w:t>des</w:t>
      </w:r>
      <w:r>
        <w:rPr>
          <w:b/>
          <w:color w:val="231F20"/>
          <w:spacing w:val="-10"/>
          <w:w w:val="115"/>
        </w:rPr>
        <w:t> </w:t>
      </w:r>
      <w:r>
        <w:rPr>
          <w:b/>
          <w:color w:val="231F20"/>
          <w:spacing w:val="-2"/>
          <w:w w:val="115"/>
        </w:rPr>
        <w:t>valeurs</w:t>
      </w:r>
      <w:r>
        <w:rPr>
          <w:b/>
          <w:color w:val="231F20"/>
          <w:spacing w:val="-10"/>
          <w:w w:val="115"/>
        </w:rPr>
        <w:t> </w:t>
      </w:r>
      <w:r>
        <w:rPr>
          <w:b/>
          <w:color w:val="231F20"/>
          <w:spacing w:val="-2"/>
          <w:w w:val="115"/>
        </w:rPr>
        <w:t>conventionnelles.</w:t>
      </w:r>
      <w:r>
        <w:rPr>
          <w:b/>
          <w:color w:val="231F20"/>
          <w:spacing w:val="-7"/>
          <w:w w:val="115"/>
        </w:rPr>
        <w:t> </w:t>
      </w:r>
      <w:r>
        <w:rPr>
          <w:color w:val="231F20"/>
          <w:spacing w:val="-2"/>
          <w:w w:val="115"/>
        </w:rPr>
        <w:t>La</w:t>
      </w:r>
      <w:r>
        <w:rPr>
          <w:color w:val="231F20"/>
          <w:spacing w:val="-7"/>
          <w:w w:val="115"/>
        </w:rPr>
        <w:t> </w:t>
      </w:r>
      <w:r>
        <w:rPr>
          <w:color w:val="231F20"/>
          <w:spacing w:val="-2"/>
          <w:w w:val="115"/>
        </w:rPr>
        <w:t>véritable </w:t>
      </w:r>
      <w:r>
        <w:rPr>
          <w:color w:val="231F20"/>
          <w:w w:val="120"/>
        </w:rPr>
        <w:t>estime de soi repose sur l’adoption d’actions et de comportements qui </w:t>
      </w:r>
      <w:r>
        <w:rPr>
          <w:color w:val="231F20"/>
          <w:spacing w:val="-2"/>
          <w:w w:val="120"/>
        </w:rPr>
        <w:t>découlent</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conscience</w:t>
      </w:r>
      <w:r>
        <w:rPr>
          <w:color w:val="231F20"/>
          <w:spacing w:val="-8"/>
          <w:w w:val="120"/>
        </w:rPr>
        <w:t> </w:t>
      </w:r>
      <w:r>
        <w:rPr>
          <w:color w:val="231F20"/>
          <w:spacing w:val="-2"/>
          <w:w w:val="120"/>
        </w:rPr>
        <w:t>qu’a</w:t>
      </w:r>
      <w:r>
        <w:rPr>
          <w:color w:val="231F20"/>
          <w:spacing w:val="-8"/>
          <w:w w:val="120"/>
        </w:rPr>
        <w:t> </w:t>
      </w:r>
      <w:r>
        <w:rPr>
          <w:color w:val="231F20"/>
          <w:spacing w:val="-2"/>
          <w:w w:val="120"/>
        </w:rPr>
        <w:t>l’individu</w:t>
      </w:r>
      <w:r>
        <w:rPr>
          <w:color w:val="231F20"/>
          <w:spacing w:val="-8"/>
          <w:w w:val="120"/>
        </w:rPr>
        <w:t> </w:t>
      </w:r>
      <w:r>
        <w:rPr>
          <w:color w:val="231F20"/>
          <w:spacing w:val="-2"/>
          <w:w w:val="120"/>
        </w:rPr>
        <w:t>de</w:t>
      </w:r>
      <w:r>
        <w:rPr>
          <w:color w:val="231F20"/>
          <w:spacing w:val="-8"/>
          <w:w w:val="120"/>
        </w:rPr>
        <w:t> </w:t>
      </w:r>
      <w:r>
        <w:rPr>
          <w:color w:val="231F20"/>
          <w:spacing w:val="-2"/>
          <w:w w:val="120"/>
        </w:rPr>
        <w:t>ce</w:t>
      </w:r>
      <w:r>
        <w:rPr>
          <w:color w:val="231F20"/>
          <w:spacing w:val="-8"/>
          <w:w w:val="120"/>
        </w:rPr>
        <w:t> </w:t>
      </w:r>
      <w:r>
        <w:rPr>
          <w:color w:val="231F20"/>
          <w:spacing w:val="-2"/>
          <w:w w:val="120"/>
        </w:rPr>
        <w:t>qu’il</w:t>
      </w:r>
      <w:r>
        <w:rPr>
          <w:color w:val="231F20"/>
          <w:spacing w:val="-8"/>
          <w:w w:val="120"/>
        </w:rPr>
        <w:t> </w:t>
      </w:r>
      <w:r>
        <w:rPr>
          <w:color w:val="231F20"/>
          <w:spacing w:val="-2"/>
          <w:w w:val="120"/>
        </w:rPr>
        <w:t>convient</w:t>
      </w:r>
      <w:r>
        <w:rPr>
          <w:color w:val="231F20"/>
          <w:spacing w:val="-8"/>
          <w:w w:val="120"/>
        </w:rPr>
        <w:t> </w:t>
      </w:r>
      <w:r>
        <w:rPr>
          <w:color w:val="231F20"/>
          <w:spacing w:val="-2"/>
          <w:w w:val="120"/>
        </w:rPr>
        <w:t>de</w:t>
      </w:r>
      <w:r>
        <w:rPr>
          <w:color w:val="231F20"/>
          <w:spacing w:val="-8"/>
          <w:w w:val="120"/>
        </w:rPr>
        <w:t> </w:t>
      </w:r>
      <w:r>
        <w:rPr>
          <w:color w:val="231F20"/>
          <w:spacing w:val="-2"/>
          <w:w w:val="120"/>
        </w:rPr>
        <w:t>dire</w:t>
      </w:r>
      <w:r>
        <w:rPr>
          <w:color w:val="231F20"/>
          <w:spacing w:val="-8"/>
          <w:w w:val="120"/>
        </w:rPr>
        <w:t> </w:t>
      </w:r>
      <w:r>
        <w:rPr>
          <w:color w:val="231F20"/>
          <w:spacing w:val="-2"/>
          <w:w w:val="120"/>
        </w:rPr>
        <w:t>et de</w:t>
      </w:r>
      <w:r>
        <w:rPr>
          <w:color w:val="231F20"/>
          <w:spacing w:val="-11"/>
          <w:w w:val="120"/>
        </w:rPr>
        <w:t> </w:t>
      </w:r>
      <w:r>
        <w:rPr>
          <w:color w:val="231F20"/>
          <w:spacing w:val="-2"/>
          <w:w w:val="120"/>
        </w:rPr>
        <w:t>faire,</w:t>
      </w:r>
      <w:r>
        <w:rPr>
          <w:color w:val="231F20"/>
          <w:spacing w:val="-11"/>
          <w:w w:val="120"/>
        </w:rPr>
        <w:t> </w:t>
      </w:r>
      <w:r>
        <w:rPr>
          <w:color w:val="231F20"/>
          <w:spacing w:val="-2"/>
          <w:w w:val="120"/>
        </w:rPr>
        <w:t>bien</w:t>
      </w:r>
      <w:r>
        <w:rPr>
          <w:color w:val="231F20"/>
          <w:spacing w:val="-11"/>
          <w:w w:val="120"/>
        </w:rPr>
        <w:t> </w:t>
      </w:r>
      <w:r>
        <w:rPr>
          <w:color w:val="231F20"/>
          <w:spacing w:val="-2"/>
          <w:w w:val="120"/>
        </w:rPr>
        <w:t>au-delà</w:t>
      </w:r>
      <w:r>
        <w:rPr>
          <w:color w:val="231F20"/>
          <w:spacing w:val="-10"/>
          <w:w w:val="120"/>
        </w:rPr>
        <w:t> </w:t>
      </w:r>
      <w:r>
        <w:rPr>
          <w:color w:val="231F20"/>
          <w:spacing w:val="-2"/>
          <w:w w:val="120"/>
        </w:rPr>
        <w:t>des</w:t>
      </w:r>
      <w:r>
        <w:rPr>
          <w:color w:val="231F20"/>
          <w:spacing w:val="-11"/>
          <w:w w:val="120"/>
        </w:rPr>
        <w:t> </w:t>
      </w:r>
      <w:r>
        <w:rPr>
          <w:color w:val="231F20"/>
          <w:spacing w:val="-2"/>
          <w:w w:val="120"/>
        </w:rPr>
        <w:t>croyances</w:t>
      </w:r>
      <w:r>
        <w:rPr>
          <w:color w:val="231F20"/>
          <w:spacing w:val="-11"/>
          <w:w w:val="120"/>
        </w:rPr>
        <w:t> </w:t>
      </w:r>
      <w:r>
        <w:rPr>
          <w:color w:val="231F20"/>
          <w:spacing w:val="-2"/>
          <w:w w:val="120"/>
        </w:rPr>
        <w:t>et</w:t>
      </w:r>
      <w:r>
        <w:rPr>
          <w:color w:val="231F20"/>
          <w:spacing w:val="-11"/>
          <w:w w:val="120"/>
        </w:rPr>
        <w:t> </w:t>
      </w:r>
      <w:r>
        <w:rPr>
          <w:color w:val="231F20"/>
          <w:spacing w:val="-2"/>
          <w:w w:val="120"/>
        </w:rPr>
        <w:t>des</w:t>
      </w:r>
      <w:r>
        <w:rPr>
          <w:color w:val="231F20"/>
          <w:spacing w:val="-10"/>
          <w:w w:val="120"/>
        </w:rPr>
        <w:t> </w:t>
      </w:r>
      <w:r>
        <w:rPr>
          <w:color w:val="231F20"/>
          <w:spacing w:val="-2"/>
          <w:w w:val="120"/>
        </w:rPr>
        <w:t>valeurs</w:t>
      </w:r>
      <w:r>
        <w:rPr>
          <w:color w:val="231F20"/>
          <w:spacing w:val="-11"/>
          <w:w w:val="120"/>
        </w:rPr>
        <w:t> </w:t>
      </w:r>
      <w:r>
        <w:rPr>
          <w:color w:val="231F20"/>
          <w:spacing w:val="-2"/>
          <w:w w:val="120"/>
        </w:rPr>
        <w:t>culturelles</w:t>
      </w:r>
      <w:r>
        <w:rPr>
          <w:color w:val="231F20"/>
          <w:spacing w:val="-11"/>
          <w:w w:val="120"/>
        </w:rPr>
        <w:t> </w:t>
      </w:r>
      <w:r>
        <w:rPr>
          <w:color w:val="231F20"/>
          <w:spacing w:val="-2"/>
          <w:w w:val="120"/>
        </w:rPr>
        <w:t>dominantes </w:t>
      </w:r>
      <w:r>
        <w:rPr>
          <w:color w:val="231F20"/>
          <w:w w:val="120"/>
        </w:rPr>
        <w:t>du</w:t>
      </w:r>
      <w:r>
        <w:rPr>
          <w:color w:val="231F20"/>
          <w:spacing w:val="-9"/>
          <w:w w:val="120"/>
        </w:rPr>
        <w:t> </w:t>
      </w:r>
      <w:r>
        <w:rPr>
          <w:color w:val="231F20"/>
          <w:w w:val="120"/>
        </w:rPr>
        <w:t>groupe</w:t>
      </w:r>
      <w:r>
        <w:rPr>
          <w:color w:val="231F20"/>
          <w:spacing w:val="-9"/>
          <w:w w:val="120"/>
        </w:rPr>
        <w:t> </w:t>
      </w:r>
      <w:r>
        <w:rPr>
          <w:color w:val="231F20"/>
          <w:w w:val="120"/>
        </w:rPr>
        <w:t>auquel</w:t>
      </w:r>
      <w:r>
        <w:rPr>
          <w:color w:val="231F20"/>
          <w:spacing w:val="-9"/>
          <w:w w:val="120"/>
        </w:rPr>
        <w:t> </w:t>
      </w:r>
      <w:r>
        <w:rPr>
          <w:color w:val="231F20"/>
          <w:w w:val="120"/>
        </w:rPr>
        <w:t>il</w:t>
      </w:r>
      <w:r>
        <w:rPr>
          <w:color w:val="231F20"/>
          <w:spacing w:val="-9"/>
          <w:w w:val="120"/>
        </w:rPr>
        <w:t> </w:t>
      </w:r>
      <w:r>
        <w:rPr>
          <w:color w:val="231F20"/>
          <w:w w:val="120"/>
        </w:rPr>
        <w:t>appartient</w:t>
      </w:r>
      <w:r>
        <w:rPr>
          <w:color w:val="231F20"/>
          <w:spacing w:val="-9"/>
          <w:w w:val="120"/>
        </w:rPr>
        <w:t> </w:t>
      </w:r>
      <w:r>
        <w:rPr>
          <w:color w:val="231F20"/>
          <w:w w:val="120"/>
        </w:rPr>
        <w:t>et</w:t>
      </w:r>
      <w:r>
        <w:rPr>
          <w:color w:val="231F20"/>
          <w:spacing w:val="-9"/>
          <w:w w:val="120"/>
        </w:rPr>
        <w:t> </w:t>
      </w:r>
      <w:r>
        <w:rPr>
          <w:color w:val="231F20"/>
          <w:w w:val="120"/>
        </w:rPr>
        <w:t>qui</w:t>
      </w:r>
      <w:r>
        <w:rPr>
          <w:color w:val="231F20"/>
          <w:spacing w:val="-9"/>
          <w:w w:val="120"/>
        </w:rPr>
        <w:t> </w:t>
      </w:r>
      <w:r>
        <w:rPr>
          <w:color w:val="231F20"/>
          <w:w w:val="120"/>
        </w:rPr>
        <w:t>lui</w:t>
      </w:r>
      <w:r>
        <w:rPr>
          <w:color w:val="231F20"/>
          <w:spacing w:val="-9"/>
          <w:w w:val="120"/>
        </w:rPr>
        <w:t> </w:t>
      </w:r>
      <w:r>
        <w:rPr>
          <w:color w:val="231F20"/>
          <w:w w:val="120"/>
        </w:rPr>
        <w:t>sert</w:t>
      </w:r>
      <w:r>
        <w:rPr>
          <w:color w:val="231F20"/>
          <w:spacing w:val="-9"/>
          <w:w w:val="120"/>
        </w:rPr>
        <w:t> </w:t>
      </w:r>
      <w:r>
        <w:rPr>
          <w:color w:val="231F20"/>
          <w:w w:val="120"/>
        </w:rPr>
        <w:t>de</w:t>
      </w:r>
      <w:r>
        <w:rPr>
          <w:color w:val="231F20"/>
          <w:spacing w:val="-9"/>
          <w:w w:val="120"/>
        </w:rPr>
        <w:t> </w:t>
      </w:r>
      <w:r>
        <w:rPr>
          <w:color w:val="231F20"/>
          <w:w w:val="120"/>
        </w:rPr>
        <w:t>point</w:t>
      </w:r>
      <w:r>
        <w:rPr>
          <w:color w:val="231F20"/>
          <w:spacing w:val="-9"/>
          <w:w w:val="120"/>
        </w:rPr>
        <w:t> </w:t>
      </w:r>
      <w:r>
        <w:rPr>
          <w:color w:val="231F20"/>
          <w:w w:val="120"/>
        </w:rPr>
        <w:t>de</w:t>
      </w:r>
      <w:r>
        <w:rPr>
          <w:color w:val="231F20"/>
          <w:spacing w:val="-9"/>
          <w:w w:val="120"/>
        </w:rPr>
        <w:t> </w:t>
      </w:r>
      <w:r>
        <w:rPr>
          <w:color w:val="231F20"/>
          <w:w w:val="120"/>
        </w:rPr>
        <w:t>référence.</w:t>
      </w:r>
      <w:r>
        <w:rPr>
          <w:color w:val="231F20"/>
          <w:spacing w:val="-9"/>
          <w:w w:val="120"/>
        </w:rPr>
        <w:t> </w:t>
      </w:r>
      <w:r>
        <w:rPr>
          <w:color w:val="231F20"/>
          <w:w w:val="120"/>
        </w:rPr>
        <w:t>Pour édifier</w:t>
      </w:r>
      <w:r>
        <w:rPr>
          <w:color w:val="231F20"/>
          <w:spacing w:val="-13"/>
          <w:w w:val="120"/>
        </w:rPr>
        <w:t> </w:t>
      </w:r>
      <w:r>
        <w:rPr>
          <w:color w:val="231F20"/>
          <w:w w:val="120"/>
        </w:rPr>
        <w:t>une estime de soi saine et «</w:t>
      </w:r>
      <w:r>
        <w:rPr>
          <w:color w:val="231F20"/>
          <w:spacing w:val="-13"/>
          <w:w w:val="120"/>
        </w:rPr>
        <w:t> </w:t>
      </w:r>
      <w:r>
        <w:rPr>
          <w:color w:val="231F20"/>
          <w:w w:val="120"/>
        </w:rPr>
        <w:t>postconventionnelle36</w:t>
      </w:r>
      <w:r>
        <w:rPr>
          <w:color w:val="231F20"/>
          <w:spacing w:val="-13"/>
          <w:w w:val="120"/>
        </w:rPr>
        <w:t> </w:t>
      </w:r>
      <w:r>
        <w:rPr>
          <w:color w:val="231F20"/>
          <w:w w:val="120"/>
        </w:rPr>
        <w:t>», il faut se donner la liberté d’atteindre certains buts:</w:t>
      </w:r>
    </w:p>
    <w:p>
      <w:pPr>
        <w:pStyle w:val="ListParagraph"/>
        <w:numPr>
          <w:ilvl w:val="0"/>
          <w:numId w:val="70"/>
        </w:numPr>
        <w:tabs>
          <w:tab w:pos="1721" w:val="left" w:leader="none"/>
        </w:tabs>
        <w:spacing w:line="307" w:lineRule="auto" w:before="79" w:after="0"/>
        <w:ind w:left="1720" w:right="107" w:hanging="251"/>
        <w:jc w:val="both"/>
        <w:rPr>
          <w:sz w:val="17"/>
        </w:rPr>
      </w:pPr>
      <w:r>
        <w:rPr>
          <w:i/>
          <w:color w:val="231F20"/>
          <w:w w:val="115"/>
          <w:sz w:val="17"/>
        </w:rPr>
        <w:t>Être soi-même</w:t>
      </w:r>
      <w:r>
        <w:rPr>
          <w:color w:val="231F20"/>
          <w:w w:val="115"/>
          <w:sz w:val="17"/>
        </w:rPr>
        <w:t>. Oser découvrir sa propre réalité, ses forces comme ses</w:t>
      </w:r>
      <w:r>
        <w:rPr>
          <w:color w:val="231F20"/>
          <w:spacing w:val="-1"/>
          <w:w w:val="115"/>
          <w:sz w:val="17"/>
        </w:rPr>
        <w:t> </w:t>
      </w:r>
      <w:r>
        <w:rPr>
          <w:color w:val="231F20"/>
          <w:w w:val="115"/>
          <w:sz w:val="17"/>
        </w:rPr>
        <w:t>faiblesses, bien au-delà de la réalité numérique de la «</w:t>
      </w:r>
      <w:r>
        <w:rPr>
          <w:color w:val="231F20"/>
          <w:spacing w:val="-13"/>
          <w:w w:val="115"/>
          <w:sz w:val="17"/>
        </w:rPr>
        <w:t> </w:t>
      </w:r>
      <w:r>
        <w:rPr>
          <w:color w:val="231F20"/>
          <w:w w:val="115"/>
          <w:sz w:val="17"/>
        </w:rPr>
        <w:t>société de</w:t>
      </w:r>
      <w:r>
        <w:rPr>
          <w:color w:val="231F20"/>
          <w:spacing w:val="-13"/>
          <w:w w:val="115"/>
          <w:sz w:val="17"/>
        </w:rPr>
        <w:t> </w:t>
      </w:r>
      <w:r>
        <w:rPr>
          <w:color w:val="231F20"/>
          <w:w w:val="115"/>
          <w:sz w:val="17"/>
        </w:rPr>
        <w:t>l’information».</w:t>
      </w:r>
    </w:p>
    <w:p>
      <w:pPr>
        <w:pStyle w:val="ListParagraph"/>
        <w:numPr>
          <w:ilvl w:val="0"/>
          <w:numId w:val="70"/>
        </w:numPr>
        <w:tabs>
          <w:tab w:pos="1721" w:val="left" w:leader="none"/>
        </w:tabs>
        <w:spacing w:line="307" w:lineRule="auto" w:before="78" w:after="0"/>
        <w:ind w:left="1720" w:right="102" w:hanging="251"/>
        <w:jc w:val="both"/>
        <w:rPr>
          <w:sz w:val="17"/>
        </w:rPr>
      </w:pPr>
      <w:r>
        <w:rPr>
          <w:i/>
          <w:color w:val="231F20"/>
          <w:w w:val="120"/>
          <w:sz w:val="17"/>
        </w:rPr>
        <w:t>Sortir</w:t>
      </w:r>
      <w:r>
        <w:rPr>
          <w:i/>
          <w:color w:val="231F20"/>
          <w:spacing w:val="-8"/>
          <w:w w:val="120"/>
          <w:sz w:val="17"/>
        </w:rPr>
        <w:t> </w:t>
      </w:r>
      <w:r>
        <w:rPr>
          <w:i/>
          <w:color w:val="231F20"/>
          <w:w w:val="120"/>
          <w:sz w:val="17"/>
        </w:rPr>
        <w:t>du</w:t>
      </w:r>
      <w:r>
        <w:rPr>
          <w:i/>
          <w:color w:val="231F20"/>
          <w:spacing w:val="-8"/>
          <w:w w:val="120"/>
          <w:sz w:val="17"/>
        </w:rPr>
        <w:t> </w:t>
      </w:r>
      <w:r>
        <w:rPr>
          <w:i/>
          <w:color w:val="231F20"/>
          <w:w w:val="120"/>
          <w:sz w:val="17"/>
        </w:rPr>
        <w:t>placard</w:t>
      </w:r>
      <w:r>
        <w:rPr>
          <w:i/>
          <w:color w:val="231F20"/>
          <w:spacing w:val="-8"/>
          <w:w w:val="120"/>
          <w:sz w:val="17"/>
        </w:rPr>
        <w:t> </w:t>
      </w:r>
      <w:r>
        <w:rPr>
          <w:i/>
          <w:color w:val="231F20"/>
          <w:w w:val="120"/>
          <w:sz w:val="17"/>
        </w:rPr>
        <w:t>émotionnel</w:t>
      </w:r>
      <w:r>
        <w:rPr>
          <w:color w:val="231F20"/>
          <w:w w:val="120"/>
          <w:sz w:val="17"/>
        </w:rPr>
        <w:t>.</w:t>
      </w:r>
      <w:r>
        <w:rPr>
          <w:color w:val="231F20"/>
          <w:spacing w:val="-8"/>
          <w:w w:val="120"/>
          <w:sz w:val="17"/>
        </w:rPr>
        <w:t> </w:t>
      </w:r>
      <w:r>
        <w:rPr>
          <w:color w:val="231F20"/>
          <w:w w:val="120"/>
          <w:sz w:val="17"/>
        </w:rPr>
        <w:t>S’exprimer,</w:t>
      </w:r>
      <w:r>
        <w:rPr>
          <w:color w:val="231F20"/>
          <w:spacing w:val="-8"/>
          <w:w w:val="120"/>
          <w:sz w:val="17"/>
        </w:rPr>
        <w:t> </w:t>
      </w:r>
      <w:r>
        <w:rPr>
          <w:color w:val="231F20"/>
          <w:w w:val="120"/>
          <w:sz w:val="17"/>
        </w:rPr>
        <w:t>agir</w:t>
      </w:r>
      <w:r>
        <w:rPr>
          <w:color w:val="231F20"/>
          <w:spacing w:val="-8"/>
          <w:w w:val="120"/>
          <w:sz w:val="17"/>
        </w:rPr>
        <w:t> </w:t>
      </w:r>
      <w:r>
        <w:rPr>
          <w:color w:val="231F20"/>
          <w:w w:val="120"/>
          <w:sz w:val="17"/>
        </w:rPr>
        <w:t>avec</w:t>
      </w:r>
      <w:r>
        <w:rPr>
          <w:color w:val="231F20"/>
          <w:spacing w:val="-8"/>
          <w:w w:val="120"/>
          <w:sz w:val="17"/>
        </w:rPr>
        <w:t> </w:t>
      </w:r>
      <w:r>
        <w:rPr>
          <w:color w:val="231F20"/>
          <w:w w:val="120"/>
          <w:sz w:val="17"/>
        </w:rPr>
        <w:t>spontanéité, </w:t>
      </w:r>
      <w:r>
        <w:rPr>
          <w:color w:val="231F20"/>
          <w:w w:val="125"/>
          <w:sz w:val="17"/>
        </w:rPr>
        <w:t>afficher</w:t>
      </w:r>
      <w:r>
        <w:rPr>
          <w:color w:val="231F20"/>
          <w:spacing w:val="-3"/>
          <w:w w:val="125"/>
          <w:sz w:val="17"/>
        </w:rPr>
        <w:t> </w:t>
      </w:r>
      <w:r>
        <w:rPr>
          <w:color w:val="231F20"/>
          <w:w w:val="125"/>
          <w:sz w:val="17"/>
        </w:rPr>
        <w:t>ses</w:t>
      </w:r>
      <w:r>
        <w:rPr>
          <w:color w:val="231F20"/>
          <w:spacing w:val="-3"/>
          <w:w w:val="125"/>
          <w:sz w:val="17"/>
        </w:rPr>
        <w:t> </w:t>
      </w:r>
      <w:r>
        <w:rPr>
          <w:color w:val="231F20"/>
          <w:w w:val="125"/>
          <w:sz w:val="17"/>
        </w:rPr>
        <w:t>sentiments,</w:t>
      </w:r>
      <w:r>
        <w:rPr>
          <w:color w:val="231F20"/>
          <w:spacing w:val="-3"/>
          <w:w w:val="125"/>
          <w:sz w:val="17"/>
        </w:rPr>
        <w:t> </w:t>
      </w:r>
      <w:r>
        <w:rPr>
          <w:color w:val="231F20"/>
          <w:w w:val="125"/>
          <w:sz w:val="17"/>
        </w:rPr>
        <w:t>ses</w:t>
      </w:r>
      <w:r>
        <w:rPr>
          <w:color w:val="231F20"/>
          <w:spacing w:val="-3"/>
          <w:w w:val="125"/>
          <w:sz w:val="17"/>
        </w:rPr>
        <w:t> </w:t>
      </w:r>
      <w:r>
        <w:rPr>
          <w:color w:val="231F20"/>
          <w:w w:val="125"/>
          <w:sz w:val="17"/>
        </w:rPr>
        <w:t>douleurs</w:t>
      </w:r>
      <w:r>
        <w:rPr>
          <w:color w:val="231F20"/>
          <w:spacing w:val="-3"/>
          <w:w w:val="125"/>
          <w:sz w:val="17"/>
        </w:rPr>
        <w:t> </w:t>
      </w:r>
      <w:r>
        <w:rPr>
          <w:color w:val="231F20"/>
          <w:w w:val="125"/>
          <w:sz w:val="17"/>
        </w:rPr>
        <w:t>et</w:t>
      </w:r>
      <w:r>
        <w:rPr>
          <w:color w:val="231F20"/>
          <w:spacing w:val="-3"/>
          <w:w w:val="125"/>
          <w:sz w:val="17"/>
        </w:rPr>
        <w:t> </w:t>
      </w:r>
      <w:r>
        <w:rPr>
          <w:color w:val="231F20"/>
          <w:w w:val="125"/>
          <w:sz w:val="17"/>
        </w:rPr>
        <w:t>ses</w:t>
      </w:r>
      <w:r>
        <w:rPr>
          <w:color w:val="231F20"/>
          <w:spacing w:val="-3"/>
          <w:w w:val="125"/>
          <w:sz w:val="17"/>
        </w:rPr>
        <w:t> </w:t>
      </w:r>
      <w:r>
        <w:rPr>
          <w:color w:val="231F20"/>
          <w:w w:val="125"/>
          <w:sz w:val="17"/>
        </w:rPr>
        <w:t>joies,</w:t>
      </w:r>
      <w:r>
        <w:rPr>
          <w:color w:val="231F20"/>
          <w:spacing w:val="-3"/>
          <w:w w:val="125"/>
          <w:sz w:val="17"/>
        </w:rPr>
        <w:t> </w:t>
      </w:r>
      <w:r>
        <w:rPr>
          <w:color w:val="231F20"/>
          <w:w w:val="125"/>
          <w:sz w:val="17"/>
        </w:rPr>
        <w:t>ainsi</w:t>
      </w:r>
      <w:r>
        <w:rPr>
          <w:color w:val="231F20"/>
          <w:spacing w:val="-3"/>
          <w:w w:val="125"/>
          <w:sz w:val="17"/>
        </w:rPr>
        <w:t> </w:t>
      </w:r>
      <w:r>
        <w:rPr>
          <w:color w:val="231F20"/>
          <w:w w:val="125"/>
          <w:sz w:val="17"/>
        </w:rPr>
        <w:t>que</w:t>
      </w:r>
      <w:r>
        <w:rPr>
          <w:color w:val="231F20"/>
          <w:spacing w:val="-3"/>
          <w:w w:val="125"/>
          <w:sz w:val="17"/>
        </w:rPr>
        <w:t> </w:t>
      </w:r>
      <w:r>
        <w:rPr>
          <w:color w:val="231F20"/>
          <w:w w:val="125"/>
          <w:sz w:val="17"/>
        </w:rPr>
        <w:t>ses </w:t>
      </w:r>
      <w:r>
        <w:rPr>
          <w:color w:val="231F20"/>
          <w:spacing w:val="-2"/>
          <w:w w:val="120"/>
          <w:sz w:val="17"/>
        </w:rPr>
        <w:t>propres</w:t>
      </w:r>
      <w:r>
        <w:rPr>
          <w:color w:val="231F20"/>
          <w:spacing w:val="-5"/>
          <w:w w:val="120"/>
          <w:sz w:val="17"/>
        </w:rPr>
        <w:t> </w:t>
      </w:r>
      <w:r>
        <w:rPr>
          <w:color w:val="231F20"/>
          <w:spacing w:val="-2"/>
          <w:w w:val="120"/>
          <w:sz w:val="17"/>
        </w:rPr>
        <w:t>principes</w:t>
      </w:r>
      <w:r>
        <w:rPr>
          <w:color w:val="231F20"/>
          <w:spacing w:val="-5"/>
          <w:w w:val="120"/>
          <w:sz w:val="17"/>
        </w:rPr>
        <w:t> </w:t>
      </w:r>
      <w:r>
        <w:rPr>
          <w:color w:val="231F20"/>
          <w:spacing w:val="-2"/>
          <w:w w:val="120"/>
          <w:sz w:val="17"/>
        </w:rPr>
        <w:t>et</w:t>
      </w:r>
      <w:r>
        <w:rPr>
          <w:color w:val="231F20"/>
          <w:spacing w:val="-5"/>
          <w:w w:val="120"/>
          <w:sz w:val="17"/>
        </w:rPr>
        <w:t> </w:t>
      </w:r>
      <w:r>
        <w:rPr>
          <w:color w:val="231F20"/>
          <w:spacing w:val="-2"/>
          <w:w w:val="120"/>
          <w:sz w:val="17"/>
        </w:rPr>
        <w:t>critères</w:t>
      </w:r>
      <w:r>
        <w:rPr>
          <w:color w:val="231F20"/>
          <w:spacing w:val="-5"/>
          <w:w w:val="120"/>
          <w:sz w:val="17"/>
        </w:rPr>
        <w:t> </w:t>
      </w:r>
      <w:r>
        <w:rPr>
          <w:color w:val="231F20"/>
          <w:spacing w:val="-2"/>
          <w:w w:val="120"/>
          <w:sz w:val="17"/>
        </w:rPr>
        <w:t>d’ordre</w:t>
      </w:r>
      <w:r>
        <w:rPr>
          <w:color w:val="231F20"/>
          <w:spacing w:val="-5"/>
          <w:w w:val="120"/>
          <w:sz w:val="17"/>
        </w:rPr>
        <w:t> </w:t>
      </w:r>
      <w:r>
        <w:rPr>
          <w:color w:val="231F20"/>
          <w:spacing w:val="-2"/>
          <w:w w:val="120"/>
          <w:sz w:val="17"/>
        </w:rPr>
        <w:t>esthétique,</w:t>
      </w:r>
      <w:r>
        <w:rPr>
          <w:color w:val="231F20"/>
          <w:spacing w:val="-5"/>
          <w:w w:val="120"/>
          <w:sz w:val="17"/>
        </w:rPr>
        <w:t> </w:t>
      </w:r>
      <w:r>
        <w:rPr>
          <w:color w:val="231F20"/>
          <w:spacing w:val="-2"/>
          <w:w w:val="120"/>
          <w:sz w:val="17"/>
        </w:rPr>
        <w:t>éthique,</w:t>
      </w:r>
      <w:r>
        <w:rPr>
          <w:color w:val="231F20"/>
          <w:spacing w:val="-5"/>
          <w:w w:val="120"/>
          <w:sz w:val="17"/>
        </w:rPr>
        <w:t> </w:t>
      </w:r>
      <w:r>
        <w:rPr>
          <w:color w:val="231F20"/>
          <w:spacing w:val="-2"/>
          <w:w w:val="120"/>
          <w:sz w:val="17"/>
        </w:rPr>
        <w:t>politique, </w:t>
      </w:r>
      <w:r>
        <w:rPr>
          <w:color w:val="231F20"/>
          <w:w w:val="120"/>
          <w:sz w:val="17"/>
        </w:rPr>
        <w:t>etc. Plus encore, être capable de se donner la liberté d’exprimer </w:t>
      </w:r>
      <w:r>
        <w:rPr>
          <w:color w:val="231F20"/>
          <w:w w:val="125"/>
          <w:sz w:val="17"/>
        </w:rPr>
        <w:t>adéquatement</w:t>
      </w:r>
      <w:r>
        <w:rPr>
          <w:color w:val="231F20"/>
          <w:spacing w:val="-8"/>
          <w:w w:val="125"/>
          <w:sz w:val="17"/>
        </w:rPr>
        <w:t> </w:t>
      </w:r>
      <w:r>
        <w:rPr>
          <w:color w:val="231F20"/>
          <w:w w:val="125"/>
          <w:sz w:val="17"/>
        </w:rPr>
        <w:t>ses</w:t>
      </w:r>
      <w:r>
        <w:rPr>
          <w:color w:val="231F20"/>
          <w:spacing w:val="-8"/>
          <w:w w:val="125"/>
          <w:sz w:val="17"/>
        </w:rPr>
        <w:t> </w:t>
      </w:r>
      <w:r>
        <w:rPr>
          <w:color w:val="231F20"/>
          <w:w w:val="125"/>
          <w:sz w:val="17"/>
        </w:rPr>
        <w:t>émotions</w:t>
      </w:r>
      <w:r>
        <w:rPr>
          <w:color w:val="231F20"/>
          <w:spacing w:val="-8"/>
          <w:w w:val="125"/>
          <w:sz w:val="17"/>
        </w:rPr>
        <w:t> </w:t>
      </w:r>
      <w:r>
        <w:rPr>
          <w:color w:val="231F20"/>
          <w:w w:val="125"/>
          <w:sz w:val="17"/>
        </w:rPr>
        <w:t>et</w:t>
      </w:r>
      <w:r>
        <w:rPr>
          <w:color w:val="231F20"/>
          <w:spacing w:val="-8"/>
          <w:w w:val="125"/>
          <w:sz w:val="17"/>
        </w:rPr>
        <w:t> </w:t>
      </w:r>
      <w:r>
        <w:rPr>
          <w:color w:val="231F20"/>
          <w:w w:val="125"/>
          <w:sz w:val="17"/>
        </w:rPr>
        <w:t>ses</w:t>
      </w:r>
      <w:r>
        <w:rPr>
          <w:color w:val="231F20"/>
          <w:spacing w:val="-8"/>
          <w:w w:val="125"/>
          <w:sz w:val="17"/>
        </w:rPr>
        <w:t> </w:t>
      </w:r>
      <w:r>
        <w:rPr>
          <w:color w:val="231F20"/>
          <w:w w:val="125"/>
          <w:sz w:val="17"/>
        </w:rPr>
        <w:t>droits.</w:t>
      </w:r>
      <w:r>
        <w:rPr>
          <w:color w:val="231F20"/>
          <w:spacing w:val="-8"/>
          <w:w w:val="125"/>
          <w:sz w:val="17"/>
        </w:rPr>
        <w:t> </w:t>
      </w:r>
      <w:r>
        <w:rPr>
          <w:color w:val="231F20"/>
          <w:w w:val="125"/>
          <w:sz w:val="17"/>
        </w:rPr>
        <w:t>Surmonter</w:t>
      </w:r>
      <w:r>
        <w:rPr>
          <w:color w:val="231F20"/>
          <w:spacing w:val="-8"/>
          <w:w w:val="125"/>
          <w:sz w:val="17"/>
        </w:rPr>
        <w:t> </w:t>
      </w:r>
      <w:r>
        <w:rPr>
          <w:color w:val="231F20"/>
          <w:w w:val="125"/>
          <w:sz w:val="17"/>
        </w:rPr>
        <w:t>la</w:t>
      </w:r>
      <w:r>
        <w:rPr>
          <w:color w:val="231F20"/>
          <w:spacing w:val="-8"/>
          <w:w w:val="125"/>
          <w:sz w:val="17"/>
        </w:rPr>
        <w:t> </w:t>
      </w:r>
      <w:r>
        <w:rPr>
          <w:color w:val="231F20"/>
          <w:w w:val="125"/>
          <w:sz w:val="17"/>
        </w:rPr>
        <w:t>peur</w:t>
      </w:r>
      <w:r>
        <w:rPr>
          <w:color w:val="231F20"/>
          <w:spacing w:val="-8"/>
          <w:w w:val="125"/>
          <w:sz w:val="17"/>
        </w:rPr>
        <w:t> </w:t>
      </w:r>
      <w:r>
        <w:rPr>
          <w:color w:val="231F20"/>
          <w:w w:val="125"/>
          <w:sz w:val="17"/>
        </w:rPr>
        <w:t>du </w:t>
      </w:r>
      <w:r>
        <w:rPr>
          <w:color w:val="231F20"/>
          <w:w w:val="115"/>
          <w:sz w:val="17"/>
        </w:rPr>
        <w:t>ridicule</w:t>
      </w:r>
      <w:r>
        <w:rPr>
          <w:color w:val="231F20"/>
          <w:spacing w:val="-5"/>
          <w:w w:val="115"/>
          <w:sz w:val="17"/>
        </w:rPr>
        <w:t> </w:t>
      </w:r>
      <w:r>
        <w:rPr>
          <w:color w:val="231F20"/>
          <w:w w:val="115"/>
          <w:sz w:val="17"/>
        </w:rPr>
        <w:t>et</w:t>
      </w:r>
      <w:r>
        <w:rPr>
          <w:color w:val="231F20"/>
          <w:spacing w:val="-5"/>
          <w:w w:val="115"/>
          <w:sz w:val="17"/>
        </w:rPr>
        <w:t> </w:t>
      </w:r>
      <w:r>
        <w:rPr>
          <w:color w:val="231F20"/>
          <w:w w:val="115"/>
          <w:sz w:val="17"/>
        </w:rPr>
        <w:t>adopter</w:t>
      </w:r>
      <w:r>
        <w:rPr>
          <w:color w:val="231F20"/>
          <w:spacing w:val="-5"/>
          <w:w w:val="115"/>
          <w:sz w:val="17"/>
        </w:rPr>
        <w:t> </w:t>
      </w:r>
      <w:r>
        <w:rPr>
          <w:color w:val="231F20"/>
          <w:w w:val="115"/>
          <w:sz w:val="17"/>
        </w:rPr>
        <w:t>un</w:t>
      </w:r>
      <w:r>
        <w:rPr>
          <w:color w:val="231F20"/>
          <w:spacing w:val="-5"/>
          <w:w w:val="115"/>
          <w:sz w:val="17"/>
        </w:rPr>
        <w:t> </w:t>
      </w:r>
      <w:r>
        <w:rPr>
          <w:color w:val="231F20"/>
          <w:w w:val="115"/>
          <w:sz w:val="17"/>
        </w:rPr>
        <w:t>style</w:t>
      </w:r>
      <w:r>
        <w:rPr>
          <w:color w:val="231F20"/>
          <w:spacing w:val="-5"/>
          <w:w w:val="115"/>
          <w:sz w:val="17"/>
        </w:rPr>
        <w:t> </w:t>
      </w:r>
      <w:r>
        <w:rPr>
          <w:color w:val="231F20"/>
          <w:w w:val="115"/>
          <w:sz w:val="17"/>
        </w:rPr>
        <w:t>expressif</w:t>
      </w:r>
      <w:r>
        <w:rPr>
          <w:color w:val="231F20"/>
          <w:spacing w:val="-5"/>
          <w:w w:val="115"/>
          <w:sz w:val="17"/>
        </w:rPr>
        <w:t> </w:t>
      </w:r>
      <w:r>
        <w:rPr>
          <w:color w:val="231F20"/>
          <w:w w:val="115"/>
          <w:sz w:val="17"/>
        </w:rPr>
        <w:t>qui</w:t>
      </w:r>
      <w:r>
        <w:rPr>
          <w:color w:val="231F20"/>
          <w:spacing w:val="-5"/>
          <w:w w:val="115"/>
          <w:sz w:val="17"/>
        </w:rPr>
        <w:t> </w:t>
      </w:r>
      <w:r>
        <w:rPr>
          <w:color w:val="231F20"/>
          <w:w w:val="115"/>
          <w:sz w:val="17"/>
        </w:rPr>
        <w:t>ne</w:t>
      </w:r>
      <w:r>
        <w:rPr>
          <w:color w:val="231F20"/>
          <w:spacing w:val="-5"/>
          <w:w w:val="115"/>
          <w:sz w:val="17"/>
        </w:rPr>
        <w:t> </w:t>
      </w:r>
      <w:r>
        <w:rPr>
          <w:color w:val="231F20"/>
          <w:w w:val="115"/>
          <w:sz w:val="17"/>
        </w:rPr>
        <w:t>soit</w:t>
      </w:r>
      <w:r>
        <w:rPr>
          <w:color w:val="231F20"/>
          <w:spacing w:val="-5"/>
          <w:w w:val="115"/>
          <w:sz w:val="17"/>
        </w:rPr>
        <w:t> </w:t>
      </w:r>
      <w:r>
        <w:rPr>
          <w:color w:val="231F20"/>
          <w:w w:val="115"/>
          <w:sz w:val="17"/>
        </w:rPr>
        <w:t>ni</w:t>
      </w:r>
      <w:r>
        <w:rPr>
          <w:color w:val="231F20"/>
          <w:spacing w:val="-5"/>
          <w:w w:val="115"/>
          <w:sz w:val="17"/>
        </w:rPr>
        <w:t> </w:t>
      </w:r>
      <w:r>
        <w:rPr>
          <w:color w:val="231F20"/>
          <w:w w:val="115"/>
          <w:sz w:val="17"/>
        </w:rPr>
        <w:t>passif</w:t>
      </w:r>
      <w:r>
        <w:rPr>
          <w:color w:val="231F20"/>
          <w:spacing w:val="-5"/>
          <w:w w:val="115"/>
          <w:sz w:val="17"/>
        </w:rPr>
        <w:t> </w:t>
      </w:r>
      <w:r>
        <w:rPr>
          <w:color w:val="231F20"/>
          <w:w w:val="115"/>
          <w:sz w:val="17"/>
        </w:rPr>
        <w:t>ni</w:t>
      </w:r>
      <w:r>
        <w:rPr>
          <w:color w:val="231F20"/>
          <w:spacing w:val="-5"/>
          <w:w w:val="115"/>
          <w:sz w:val="17"/>
        </w:rPr>
        <w:t> </w:t>
      </w:r>
      <w:r>
        <w:rPr>
          <w:color w:val="231F20"/>
          <w:w w:val="115"/>
          <w:sz w:val="17"/>
        </w:rPr>
        <w:t>agressif </w:t>
      </w:r>
      <w:r>
        <w:rPr>
          <w:color w:val="231F20"/>
          <w:w w:val="120"/>
          <w:sz w:val="17"/>
        </w:rPr>
        <w:t>permettent à l’individu de s’exprimer poliment tout en donnant aux</w:t>
      </w:r>
      <w:r>
        <w:rPr>
          <w:color w:val="231F20"/>
          <w:spacing w:val="-13"/>
          <w:w w:val="120"/>
          <w:sz w:val="17"/>
        </w:rPr>
        <w:t> </w:t>
      </w:r>
      <w:r>
        <w:rPr>
          <w:color w:val="231F20"/>
          <w:w w:val="120"/>
          <w:sz w:val="17"/>
        </w:rPr>
        <w:t>autres</w:t>
      </w:r>
      <w:r>
        <w:rPr>
          <w:color w:val="231F20"/>
          <w:spacing w:val="-13"/>
          <w:w w:val="120"/>
          <w:sz w:val="17"/>
        </w:rPr>
        <w:t> </w:t>
      </w:r>
      <w:r>
        <w:rPr>
          <w:color w:val="231F20"/>
          <w:w w:val="120"/>
          <w:sz w:val="17"/>
        </w:rPr>
        <w:t>la</w:t>
      </w:r>
      <w:r>
        <w:rPr>
          <w:color w:val="231F20"/>
          <w:spacing w:val="-13"/>
          <w:w w:val="120"/>
          <w:sz w:val="17"/>
        </w:rPr>
        <w:t> </w:t>
      </w:r>
      <w:r>
        <w:rPr>
          <w:color w:val="231F20"/>
          <w:w w:val="120"/>
          <w:sz w:val="17"/>
        </w:rPr>
        <w:t>possibilité</w:t>
      </w:r>
      <w:r>
        <w:rPr>
          <w:color w:val="231F20"/>
          <w:spacing w:val="-12"/>
          <w:w w:val="120"/>
          <w:sz w:val="17"/>
        </w:rPr>
        <w:t> </w:t>
      </w:r>
      <w:r>
        <w:rPr>
          <w:color w:val="231F20"/>
          <w:w w:val="120"/>
          <w:sz w:val="17"/>
        </w:rPr>
        <w:t>de</w:t>
      </w:r>
      <w:r>
        <w:rPr>
          <w:color w:val="231F20"/>
          <w:spacing w:val="-13"/>
          <w:w w:val="120"/>
          <w:sz w:val="17"/>
        </w:rPr>
        <w:t> </w:t>
      </w:r>
      <w:r>
        <w:rPr>
          <w:color w:val="231F20"/>
          <w:w w:val="120"/>
          <w:sz w:val="17"/>
        </w:rPr>
        <w:t>participer</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l’aider</w:t>
      </w:r>
      <w:r>
        <w:rPr>
          <w:color w:val="231F20"/>
          <w:spacing w:val="-13"/>
          <w:w w:val="120"/>
          <w:sz w:val="17"/>
        </w:rPr>
        <w:t> </w:t>
      </w:r>
      <w:r>
        <w:rPr>
          <w:color w:val="231F20"/>
          <w:w w:val="120"/>
          <w:sz w:val="17"/>
        </w:rPr>
        <w:t>à</w:t>
      </w:r>
      <w:r>
        <w:rPr>
          <w:color w:val="231F20"/>
          <w:spacing w:val="-13"/>
          <w:w w:val="120"/>
          <w:sz w:val="17"/>
        </w:rPr>
        <w:t> </w:t>
      </w:r>
      <w:r>
        <w:rPr>
          <w:color w:val="231F20"/>
          <w:w w:val="120"/>
          <w:sz w:val="17"/>
        </w:rPr>
        <w:t>construire</w:t>
      </w:r>
      <w:r>
        <w:rPr>
          <w:color w:val="231F20"/>
          <w:spacing w:val="-13"/>
          <w:w w:val="120"/>
          <w:sz w:val="17"/>
        </w:rPr>
        <w:t> </w:t>
      </w:r>
      <w:r>
        <w:rPr>
          <w:color w:val="231F20"/>
          <w:w w:val="120"/>
          <w:sz w:val="17"/>
        </w:rPr>
        <w:t>son </w:t>
      </w:r>
      <w:r>
        <w:rPr>
          <w:color w:val="231F20"/>
          <w:w w:val="125"/>
          <w:sz w:val="17"/>
        </w:rPr>
        <w:t>propre</w:t>
      </w:r>
      <w:r>
        <w:rPr>
          <w:color w:val="231F20"/>
          <w:spacing w:val="-15"/>
          <w:w w:val="125"/>
          <w:sz w:val="17"/>
        </w:rPr>
        <w:t> </w:t>
      </w:r>
      <w:r>
        <w:rPr>
          <w:color w:val="231F20"/>
          <w:w w:val="125"/>
          <w:sz w:val="17"/>
        </w:rPr>
        <w:t>raisonnement.</w:t>
      </w:r>
    </w:p>
    <w:p>
      <w:pPr>
        <w:pStyle w:val="ListParagraph"/>
        <w:numPr>
          <w:ilvl w:val="0"/>
          <w:numId w:val="70"/>
        </w:numPr>
        <w:tabs>
          <w:tab w:pos="1721" w:val="left" w:leader="none"/>
        </w:tabs>
        <w:spacing w:line="307" w:lineRule="auto" w:before="78" w:after="0"/>
        <w:ind w:left="1720" w:right="107" w:hanging="251"/>
        <w:jc w:val="both"/>
        <w:rPr>
          <w:sz w:val="17"/>
        </w:rPr>
      </w:pPr>
      <w:r>
        <w:rPr>
          <w:i/>
          <w:color w:val="231F20"/>
          <w:w w:val="115"/>
          <w:sz w:val="17"/>
        </w:rPr>
        <w:t>Concrétiser</w:t>
      </w:r>
      <w:r>
        <w:rPr>
          <w:i/>
          <w:color w:val="231F20"/>
          <w:spacing w:val="-5"/>
          <w:w w:val="115"/>
          <w:sz w:val="17"/>
        </w:rPr>
        <w:t> </w:t>
      </w:r>
      <w:r>
        <w:rPr>
          <w:i/>
          <w:color w:val="231F20"/>
          <w:w w:val="115"/>
          <w:sz w:val="17"/>
        </w:rPr>
        <w:t>réellement</w:t>
      </w:r>
      <w:r>
        <w:rPr>
          <w:i/>
          <w:color w:val="231F20"/>
          <w:spacing w:val="-5"/>
          <w:w w:val="115"/>
          <w:sz w:val="17"/>
        </w:rPr>
        <w:t> </w:t>
      </w:r>
      <w:r>
        <w:rPr>
          <w:i/>
          <w:color w:val="231F20"/>
          <w:w w:val="115"/>
          <w:sz w:val="17"/>
        </w:rPr>
        <w:t>ce</w:t>
      </w:r>
      <w:r>
        <w:rPr>
          <w:i/>
          <w:color w:val="231F20"/>
          <w:spacing w:val="-5"/>
          <w:w w:val="115"/>
          <w:sz w:val="17"/>
        </w:rPr>
        <w:t> </w:t>
      </w:r>
      <w:r>
        <w:rPr>
          <w:i/>
          <w:color w:val="231F20"/>
          <w:w w:val="115"/>
          <w:sz w:val="17"/>
        </w:rPr>
        <w:t>qu’on</w:t>
      </w:r>
      <w:r>
        <w:rPr>
          <w:i/>
          <w:color w:val="231F20"/>
          <w:spacing w:val="-5"/>
          <w:w w:val="115"/>
          <w:sz w:val="17"/>
        </w:rPr>
        <w:t> </w:t>
      </w:r>
      <w:r>
        <w:rPr>
          <w:i/>
          <w:color w:val="231F20"/>
          <w:w w:val="115"/>
          <w:sz w:val="17"/>
        </w:rPr>
        <w:t>visualise</w:t>
      </w:r>
      <w:r>
        <w:rPr>
          <w:color w:val="231F20"/>
          <w:w w:val="115"/>
          <w:sz w:val="17"/>
        </w:rPr>
        <w:t>.</w:t>
      </w:r>
      <w:r>
        <w:rPr>
          <w:color w:val="231F20"/>
          <w:spacing w:val="-5"/>
          <w:w w:val="115"/>
          <w:sz w:val="17"/>
        </w:rPr>
        <w:t> </w:t>
      </w:r>
      <w:r>
        <w:rPr>
          <w:color w:val="231F20"/>
          <w:w w:val="115"/>
          <w:sz w:val="17"/>
        </w:rPr>
        <w:t>Cet</w:t>
      </w:r>
      <w:r>
        <w:rPr>
          <w:color w:val="231F20"/>
          <w:spacing w:val="-5"/>
          <w:w w:val="115"/>
          <w:sz w:val="17"/>
        </w:rPr>
        <w:t> </w:t>
      </w:r>
      <w:r>
        <w:rPr>
          <w:color w:val="231F20"/>
          <w:w w:val="115"/>
          <w:sz w:val="17"/>
        </w:rPr>
        <w:t>objectif</w:t>
      </w:r>
      <w:r>
        <w:rPr>
          <w:color w:val="231F20"/>
          <w:spacing w:val="-5"/>
          <w:w w:val="115"/>
          <w:sz w:val="17"/>
        </w:rPr>
        <w:t> </w:t>
      </w:r>
      <w:r>
        <w:rPr>
          <w:color w:val="231F20"/>
          <w:w w:val="115"/>
          <w:sz w:val="17"/>
        </w:rPr>
        <w:t>s’atteint</w:t>
      </w:r>
      <w:r>
        <w:rPr>
          <w:color w:val="231F20"/>
          <w:spacing w:val="-5"/>
          <w:w w:val="115"/>
          <w:sz w:val="17"/>
        </w:rPr>
        <w:t> </w:t>
      </w:r>
      <w:r>
        <w:rPr>
          <w:color w:val="231F20"/>
          <w:w w:val="115"/>
          <w:sz w:val="17"/>
        </w:rPr>
        <w:t>par </w:t>
      </w:r>
      <w:r>
        <w:rPr>
          <w:color w:val="231F20"/>
          <w:spacing w:val="-2"/>
          <w:w w:val="120"/>
          <w:sz w:val="17"/>
        </w:rPr>
        <w:t>le</w:t>
      </w:r>
      <w:r>
        <w:rPr>
          <w:color w:val="231F20"/>
          <w:spacing w:val="-13"/>
          <w:w w:val="120"/>
          <w:sz w:val="17"/>
        </w:rPr>
        <w:t> </w:t>
      </w:r>
      <w:r>
        <w:rPr>
          <w:color w:val="231F20"/>
          <w:spacing w:val="-2"/>
          <w:w w:val="120"/>
          <w:sz w:val="17"/>
        </w:rPr>
        <w:t>maintien</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l’intention</w:t>
      </w:r>
      <w:r>
        <w:rPr>
          <w:color w:val="231F20"/>
          <w:spacing w:val="-10"/>
          <w:w w:val="120"/>
          <w:sz w:val="17"/>
        </w:rPr>
        <w:t> </w:t>
      </w:r>
      <w:r>
        <w:rPr>
          <w:color w:val="231F20"/>
          <w:spacing w:val="-2"/>
          <w:w w:val="120"/>
          <w:sz w:val="17"/>
        </w:rPr>
        <w:t>au</w:t>
      </w:r>
      <w:r>
        <w:rPr>
          <w:color w:val="231F20"/>
          <w:spacing w:val="-11"/>
          <w:w w:val="120"/>
          <w:sz w:val="17"/>
        </w:rPr>
        <w:t> </w:t>
      </w:r>
      <w:r>
        <w:rPr>
          <w:color w:val="231F20"/>
          <w:spacing w:val="-2"/>
          <w:w w:val="120"/>
          <w:sz w:val="17"/>
        </w:rPr>
        <w:t>fil</w:t>
      </w:r>
      <w:r>
        <w:rPr>
          <w:color w:val="231F20"/>
          <w:spacing w:val="-11"/>
          <w:w w:val="120"/>
          <w:sz w:val="17"/>
        </w:rPr>
        <w:t> </w:t>
      </w:r>
      <w:r>
        <w:rPr>
          <w:color w:val="231F20"/>
          <w:spacing w:val="-2"/>
          <w:w w:val="120"/>
          <w:sz w:val="17"/>
        </w:rPr>
        <w:t>du</w:t>
      </w:r>
      <w:r>
        <w:rPr>
          <w:color w:val="231F20"/>
          <w:spacing w:val="-11"/>
          <w:w w:val="120"/>
          <w:sz w:val="17"/>
        </w:rPr>
        <w:t> </w:t>
      </w:r>
      <w:r>
        <w:rPr>
          <w:color w:val="231F20"/>
          <w:spacing w:val="-2"/>
          <w:w w:val="120"/>
          <w:sz w:val="17"/>
        </w:rPr>
        <w:t>temps</w:t>
      </w:r>
      <w:r>
        <w:rPr>
          <w:color w:val="231F20"/>
          <w:spacing w:val="-10"/>
          <w:w w:val="120"/>
          <w:sz w:val="17"/>
        </w:rPr>
        <w:t> </w:t>
      </w:r>
      <w:r>
        <w:rPr>
          <w:color w:val="231F20"/>
          <w:spacing w:val="-2"/>
          <w:w w:val="120"/>
          <w:sz w:val="17"/>
        </w:rPr>
        <w:t>et</w:t>
      </w:r>
      <w:r>
        <w:rPr>
          <w:color w:val="231F20"/>
          <w:spacing w:val="-11"/>
          <w:w w:val="120"/>
          <w:sz w:val="17"/>
        </w:rPr>
        <w:t> </w:t>
      </w:r>
      <w:r>
        <w:rPr>
          <w:color w:val="231F20"/>
          <w:spacing w:val="-2"/>
          <w:w w:val="120"/>
          <w:sz w:val="17"/>
        </w:rPr>
        <w:t>le</w:t>
      </w:r>
      <w:r>
        <w:rPr>
          <w:color w:val="231F20"/>
          <w:spacing w:val="-11"/>
          <w:w w:val="120"/>
          <w:sz w:val="17"/>
        </w:rPr>
        <w:t> </w:t>
      </w:r>
      <w:r>
        <w:rPr>
          <w:color w:val="231F20"/>
          <w:spacing w:val="-2"/>
          <w:w w:val="120"/>
          <w:sz w:val="17"/>
        </w:rPr>
        <w:t>transfert</w:t>
      </w:r>
      <w:r>
        <w:rPr>
          <w:color w:val="231F20"/>
          <w:spacing w:val="-11"/>
          <w:w w:val="120"/>
          <w:sz w:val="17"/>
        </w:rPr>
        <w:t> </w:t>
      </w:r>
      <w:r>
        <w:rPr>
          <w:color w:val="231F20"/>
          <w:spacing w:val="-2"/>
          <w:w w:val="120"/>
          <w:sz w:val="17"/>
        </w:rPr>
        <w:t>de</w:t>
      </w:r>
      <w:r>
        <w:rPr>
          <w:color w:val="231F20"/>
          <w:spacing w:val="-10"/>
          <w:w w:val="120"/>
          <w:sz w:val="17"/>
        </w:rPr>
        <w:t> </w:t>
      </w:r>
      <w:r>
        <w:rPr>
          <w:color w:val="231F20"/>
          <w:spacing w:val="-2"/>
          <w:w w:val="120"/>
          <w:sz w:val="17"/>
        </w:rPr>
        <w:t>l’énergie de</w:t>
      </w:r>
      <w:r>
        <w:rPr>
          <w:color w:val="231F20"/>
          <w:spacing w:val="-8"/>
          <w:w w:val="120"/>
          <w:sz w:val="17"/>
        </w:rPr>
        <w:t> </w:t>
      </w:r>
      <w:r>
        <w:rPr>
          <w:color w:val="231F20"/>
          <w:spacing w:val="-2"/>
          <w:w w:val="120"/>
          <w:sz w:val="17"/>
        </w:rPr>
        <w:t>l’individu</w:t>
      </w:r>
      <w:r>
        <w:rPr>
          <w:color w:val="231F20"/>
          <w:spacing w:val="-8"/>
          <w:w w:val="120"/>
          <w:sz w:val="17"/>
        </w:rPr>
        <w:t> </w:t>
      </w:r>
      <w:r>
        <w:rPr>
          <w:color w:val="231F20"/>
          <w:spacing w:val="-2"/>
          <w:w w:val="120"/>
          <w:sz w:val="17"/>
        </w:rPr>
        <w:t>là</w:t>
      </w:r>
      <w:r>
        <w:rPr>
          <w:color w:val="231F20"/>
          <w:spacing w:val="-8"/>
          <w:w w:val="120"/>
          <w:sz w:val="17"/>
        </w:rPr>
        <w:t> </w:t>
      </w:r>
      <w:r>
        <w:rPr>
          <w:color w:val="231F20"/>
          <w:spacing w:val="-2"/>
          <w:w w:val="120"/>
          <w:sz w:val="17"/>
        </w:rPr>
        <w:t>où</w:t>
      </w:r>
      <w:r>
        <w:rPr>
          <w:color w:val="231F20"/>
          <w:spacing w:val="-8"/>
          <w:w w:val="120"/>
          <w:sz w:val="17"/>
        </w:rPr>
        <w:t> </w:t>
      </w:r>
      <w:r>
        <w:rPr>
          <w:color w:val="231F20"/>
          <w:spacing w:val="-2"/>
          <w:w w:val="120"/>
          <w:sz w:val="17"/>
        </w:rPr>
        <w:t>il</w:t>
      </w:r>
      <w:r>
        <w:rPr>
          <w:color w:val="231F20"/>
          <w:spacing w:val="-8"/>
          <w:w w:val="120"/>
          <w:sz w:val="17"/>
        </w:rPr>
        <w:t> </w:t>
      </w:r>
      <w:r>
        <w:rPr>
          <w:color w:val="231F20"/>
          <w:spacing w:val="-2"/>
          <w:w w:val="120"/>
          <w:sz w:val="17"/>
        </w:rPr>
        <w:t>la</w:t>
      </w:r>
      <w:r>
        <w:rPr>
          <w:color w:val="231F20"/>
          <w:spacing w:val="-8"/>
          <w:w w:val="120"/>
          <w:sz w:val="17"/>
        </w:rPr>
        <w:t> </w:t>
      </w:r>
      <w:r>
        <w:rPr>
          <w:color w:val="231F20"/>
          <w:spacing w:val="-2"/>
          <w:w w:val="120"/>
          <w:sz w:val="17"/>
        </w:rPr>
        <w:t>projette.</w:t>
      </w:r>
      <w:r>
        <w:rPr>
          <w:color w:val="231F20"/>
          <w:spacing w:val="-8"/>
          <w:w w:val="120"/>
          <w:sz w:val="17"/>
        </w:rPr>
        <w:t> </w:t>
      </w:r>
      <w:r>
        <w:rPr>
          <w:color w:val="231F20"/>
          <w:spacing w:val="-2"/>
          <w:w w:val="120"/>
          <w:sz w:val="17"/>
        </w:rPr>
        <w:t>Il</w:t>
      </w:r>
      <w:r>
        <w:rPr>
          <w:color w:val="231F20"/>
          <w:spacing w:val="-8"/>
          <w:w w:val="120"/>
          <w:sz w:val="17"/>
        </w:rPr>
        <w:t> </w:t>
      </w:r>
      <w:r>
        <w:rPr>
          <w:color w:val="231F20"/>
          <w:spacing w:val="-2"/>
          <w:w w:val="120"/>
          <w:sz w:val="17"/>
        </w:rPr>
        <w:t>faut</w:t>
      </w:r>
      <w:r>
        <w:rPr>
          <w:color w:val="231F20"/>
          <w:spacing w:val="-8"/>
          <w:w w:val="120"/>
          <w:sz w:val="17"/>
        </w:rPr>
        <w:t> </w:t>
      </w:r>
      <w:r>
        <w:rPr>
          <w:color w:val="231F20"/>
          <w:spacing w:val="-2"/>
          <w:w w:val="120"/>
          <w:sz w:val="17"/>
        </w:rPr>
        <w:t>se</w:t>
      </w:r>
      <w:r>
        <w:rPr>
          <w:color w:val="231F20"/>
          <w:spacing w:val="-8"/>
          <w:w w:val="120"/>
          <w:sz w:val="17"/>
        </w:rPr>
        <w:t> </w:t>
      </w:r>
      <w:r>
        <w:rPr>
          <w:color w:val="231F20"/>
          <w:spacing w:val="-2"/>
          <w:w w:val="120"/>
          <w:sz w:val="17"/>
        </w:rPr>
        <w:t>débarrasser</w:t>
      </w:r>
      <w:r>
        <w:rPr>
          <w:color w:val="231F20"/>
          <w:spacing w:val="-8"/>
          <w:w w:val="120"/>
          <w:sz w:val="17"/>
        </w:rPr>
        <w:t> </w:t>
      </w:r>
      <w:r>
        <w:rPr>
          <w:color w:val="231F20"/>
          <w:spacing w:val="-2"/>
          <w:w w:val="120"/>
          <w:sz w:val="17"/>
        </w:rPr>
        <w:t>de</w:t>
      </w:r>
      <w:r>
        <w:rPr>
          <w:color w:val="231F20"/>
          <w:spacing w:val="-8"/>
          <w:w w:val="120"/>
          <w:sz w:val="17"/>
        </w:rPr>
        <w:t> </w:t>
      </w:r>
      <w:r>
        <w:rPr>
          <w:color w:val="231F20"/>
          <w:spacing w:val="-2"/>
          <w:w w:val="120"/>
          <w:sz w:val="17"/>
        </w:rPr>
        <w:t>la</w:t>
      </w:r>
      <w:r>
        <w:rPr>
          <w:color w:val="231F20"/>
          <w:spacing w:val="-8"/>
          <w:w w:val="120"/>
          <w:sz w:val="17"/>
        </w:rPr>
        <w:t> </w:t>
      </w:r>
      <w:r>
        <w:rPr>
          <w:color w:val="231F20"/>
          <w:spacing w:val="-2"/>
          <w:w w:val="120"/>
          <w:sz w:val="17"/>
        </w:rPr>
        <w:t>peur</w:t>
      </w:r>
      <w:r>
        <w:rPr>
          <w:color w:val="231F20"/>
          <w:spacing w:val="-8"/>
          <w:w w:val="120"/>
          <w:sz w:val="17"/>
        </w:rPr>
        <w:t> </w:t>
      </w:r>
      <w:r>
        <w:rPr>
          <w:color w:val="231F20"/>
          <w:spacing w:val="-2"/>
          <w:w w:val="120"/>
          <w:sz w:val="17"/>
        </w:rPr>
        <w:t>de</w:t>
      </w:r>
      <w:r>
        <w:rPr>
          <w:color w:val="231F20"/>
          <w:spacing w:val="-2"/>
          <w:w w:val="120"/>
          <w:sz w:val="17"/>
        </w:rPr>
        <w:t> </w:t>
      </w:r>
      <w:r>
        <w:rPr>
          <w:color w:val="231F20"/>
          <w:w w:val="115"/>
          <w:sz w:val="17"/>
        </w:rPr>
        <w:t>l’échec</w:t>
      </w:r>
      <w:r>
        <w:rPr>
          <w:color w:val="231F20"/>
          <w:spacing w:val="-10"/>
          <w:w w:val="115"/>
          <w:sz w:val="17"/>
        </w:rPr>
        <w:t> </w:t>
      </w:r>
      <w:r>
        <w:rPr>
          <w:color w:val="231F20"/>
          <w:w w:val="115"/>
          <w:sz w:val="17"/>
        </w:rPr>
        <w:t>comme</w:t>
      </w:r>
      <w:r>
        <w:rPr>
          <w:color w:val="231F20"/>
          <w:spacing w:val="-10"/>
          <w:w w:val="115"/>
          <w:sz w:val="17"/>
        </w:rPr>
        <w:t> </w:t>
      </w:r>
      <w:r>
        <w:rPr>
          <w:color w:val="231F20"/>
          <w:w w:val="115"/>
          <w:sz w:val="17"/>
        </w:rPr>
        <w:t>de</w:t>
      </w:r>
      <w:r>
        <w:rPr>
          <w:color w:val="231F20"/>
          <w:spacing w:val="-10"/>
          <w:w w:val="115"/>
          <w:sz w:val="17"/>
        </w:rPr>
        <w:t> </w:t>
      </w:r>
      <w:r>
        <w:rPr>
          <w:color w:val="231F20"/>
          <w:w w:val="115"/>
          <w:sz w:val="17"/>
        </w:rPr>
        <w:t>la</w:t>
      </w:r>
      <w:r>
        <w:rPr>
          <w:color w:val="231F20"/>
          <w:spacing w:val="-10"/>
          <w:w w:val="115"/>
          <w:sz w:val="17"/>
        </w:rPr>
        <w:t> </w:t>
      </w:r>
      <w:r>
        <w:rPr>
          <w:color w:val="231F20"/>
          <w:w w:val="115"/>
          <w:sz w:val="17"/>
        </w:rPr>
        <w:t>peur</w:t>
      </w:r>
      <w:r>
        <w:rPr>
          <w:color w:val="231F20"/>
          <w:spacing w:val="-10"/>
          <w:w w:val="115"/>
          <w:sz w:val="17"/>
        </w:rPr>
        <w:t> </w:t>
      </w:r>
      <w:r>
        <w:rPr>
          <w:color w:val="231F20"/>
          <w:w w:val="115"/>
          <w:sz w:val="17"/>
        </w:rPr>
        <w:t>de</w:t>
      </w:r>
      <w:r>
        <w:rPr>
          <w:color w:val="231F20"/>
          <w:spacing w:val="-10"/>
          <w:w w:val="115"/>
          <w:sz w:val="17"/>
        </w:rPr>
        <w:t> </w:t>
      </w:r>
      <w:r>
        <w:rPr>
          <w:color w:val="231F20"/>
          <w:w w:val="115"/>
          <w:sz w:val="17"/>
        </w:rPr>
        <w:t>la</w:t>
      </w:r>
      <w:r>
        <w:rPr>
          <w:color w:val="231F20"/>
          <w:spacing w:val="-10"/>
          <w:w w:val="115"/>
          <w:sz w:val="17"/>
        </w:rPr>
        <w:t> </w:t>
      </w:r>
      <w:r>
        <w:rPr>
          <w:color w:val="231F20"/>
          <w:w w:val="115"/>
          <w:sz w:val="17"/>
        </w:rPr>
        <w:t>réussite.</w:t>
      </w:r>
      <w:r>
        <w:rPr>
          <w:color w:val="231F20"/>
          <w:spacing w:val="-10"/>
          <w:w w:val="115"/>
          <w:sz w:val="17"/>
        </w:rPr>
        <w:t> </w:t>
      </w:r>
      <w:r>
        <w:rPr>
          <w:color w:val="231F20"/>
          <w:w w:val="115"/>
          <w:sz w:val="17"/>
        </w:rPr>
        <w:t>Comme</w:t>
      </w:r>
      <w:r>
        <w:rPr>
          <w:color w:val="231F20"/>
          <w:spacing w:val="-10"/>
          <w:w w:val="115"/>
          <w:sz w:val="17"/>
        </w:rPr>
        <w:t> </w:t>
      </w:r>
      <w:r>
        <w:rPr>
          <w:color w:val="231F20"/>
          <w:w w:val="115"/>
          <w:sz w:val="17"/>
        </w:rPr>
        <w:t>le</w:t>
      </w:r>
      <w:r>
        <w:rPr>
          <w:color w:val="231F20"/>
          <w:spacing w:val="-10"/>
          <w:w w:val="115"/>
          <w:sz w:val="17"/>
        </w:rPr>
        <w:t> </w:t>
      </w:r>
      <w:r>
        <w:rPr>
          <w:color w:val="231F20"/>
          <w:w w:val="115"/>
          <w:sz w:val="17"/>
        </w:rPr>
        <w:t>dit</w:t>
      </w:r>
      <w:r>
        <w:rPr>
          <w:color w:val="231F20"/>
          <w:spacing w:val="-10"/>
          <w:w w:val="115"/>
          <w:sz w:val="17"/>
        </w:rPr>
        <w:t> </w:t>
      </w:r>
      <w:r>
        <w:rPr>
          <w:color w:val="231F20"/>
          <w:w w:val="115"/>
          <w:sz w:val="17"/>
        </w:rPr>
        <w:t>Brian</w:t>
      </w:r>
      <w:r>
        <w:rPr>
          <w:color w:val="231F20"/>
          <w:spacing w:val="-10"/>
          <w:w w:val="115"/>
          <w:sz w:val="17"/>
        </w:rPr>
        <w:t> </w:t>
      </w:r>
      <w:r>
        <w:rPr>
          <w:color w:val="231F20"/>
          <w:w w:val="115"/>
          <w:sz w:val="17"/>
        </w:rPr>
        <w:t>Bacon:</w:t>
      </w:r>
    </w:p>
    <w:p>
      <w:pPr>
        <w:pStyle w:val="BodyText"/>
        <w:spacing w:line="195" w:lineRule="exact"/>
        <w:ind w:left="1720"/>
        <w:jc w:val="both"/>
      </w:pPr>
      <w:r>
        <w:rPr>
          <w:color w:val="231F20"/>
          <w:w w:val="115"/>
        </w:rPr>
        <w:t>«</w:t>
      </w:r>
      <w:r>
        <w:rPr>
          <w:color w:val="231F20"/>
          <w:spacing w:val="-33"/>
          <w:w w:val="115"/>
        </w:rPr>
        <w:t> </w:t>
      </w:r>
      <w:r>
        <w:rPr>
          <w:color w:val="231F20"/>
          <w:w w:val="115"/>
        </w:rPr>
        <w:t>Là</w:t>
      </w:r>
      <w:r>
        <w:rPr>
          <w:color w:val="231F20"/>
          <w:spacing w:val="-7"/>
          <w:w w:val="115"/>
        </w:rPr>
        <w:t> </w:t>
      </w:r>
      <w:r>
        <w:rPr>
          <w:color w:val="231F20"/>
          <w:w w:val="115"/>
        </w:rPr>
        <w:t>où</w:t>
      </w:r>
      <w:r>
        <w:rPr>
          <w:color w:val="231F20"/>
          <w:spacing w:val="-8"/>
          <w:w w:val="115"/>
        </w:rPr>
        <w:t> </w:t>
      </w:r>
      <w:r>
        <w:rPr>
          <w:color w:val="231F20"/>
          <w:w w:val="115"/>
        </w:rPr>
        <w:t>va</w:t>
      </w:r>
      <w:r>
        <w:rPr>
          <w:color w:val="231F20"/>
          <w:spacing w:val="-7"/>
          <w:w w:val="115"/>
        </w:rPr>
        <w:t> </w:t>
      </w:r>
      <w:r>
        <w:rPr>
          <w:color w:val="231F20"/>
          <w:w w:val="115"/>
        </w:rPr>
        <w:t>l’attention,</w:t>
      </w:r>
      <w:r>
        <w:rPr>
          <w:color w:val="231F20"/>
          <w:spacing w:val="-8"/>
          <w:w w:val="115"/>
        </w:rPr>
        <w:t> </w:t>
      </w:r>
      <w:r>
        <w:rPr>
          <w:color w:val="231F20"/>
          <w:w w:val="115"/>
        </w:rPr>
        <w:t>la</w:t>
      </w:r>
      <w:r>
        <w:rPr>
          <w:color w:val="231F20"/>
          <w:spacing w:val="-7"/>
          <w:w w:val="115"/>
        </w:rPr>
        <w:t> </w:t>
      </w:r>
      <w:r>
        <w:rPr>
          <w:color w:val="231F20"/>
          <w:w w:val="115"/>
        </w:rPr>
        <w:t>vie</w:t>
      </w:r>
      <w:r>
        <w:rPr>
          <w:color w:val="231F20"/>
          <w:spacing w:val="-8"/>
          <w:w w:val="115"/>
        </w:rPr>
        <w:t> </w:t>
      </w:r>
      <w:r>
        <w:rPr>
          <w:color w:val="231F20"/>
          <w:w w:val="115"/>
        </w:rPr>
        <w:t>s’écoule</w:t>
      </w:r>
      <w:r>
        <w:rPr>
          <w:color w:val="231F20"/>
          <w:spacing w:val="-7"/>
          <w:w w:val="115"/>
        </w:rPr>
        <w:t> </w:t>
      </w:r>
      <w:r>
        <w:rPr>
          <w:color w:val="231F20"/>
          <w:spacing w:val="-2"/>
          <w:w w:val="115"/>
        </w:rPr>
        <w:t>aussi.»</w:t>
      </w:r>
    </w:p>
    <w:p>
      <w:pPr>
        <w:pStyle w:val="ListParagraph"/>
        <w:numPr>
          <w:ilvl w:val="0"/>
          <w:numId w:val="70"/>
        </w:numPr>
        <w:tabs>
          <w:tab w:pos="1721" w:val="left" w:leader="none"/>
        </w:tabs>
        <w:spacing w:line="307" w:lineRule="auto" w:before="134" w:after="0"/>
        <w:ind w:left="1720" w:right="103" w:hanging="251"/>
        <w:jc w:val="both"/>
        <w:rPr>
          <w:sz w:val="17"/>
        </w:rPr>
      </w:pPr>
      <w:r>
        <w:rPr>
          <w:i/>
          <w:color w:val="231F20"/>
          <w:w w:val="115"/>
          <w:sz w:val="17"/>
        </w:rPr>
        <w:t>Profiter des occasions d’apprentissages</w:t>
      </w:r>
      <w:r>
        <w:rPr>
          <w:color w:val="231F20"/>
          <w:w w:val="115"/>
          <w:sz w:val="17"/>
        </w:rPr>
        <w:t>. On peut tout apprendre</w:t>
      </w:r>
      <w:r>
        <w:rPr>
          <w:color w:val="231F20"/>
          <w:spacing w:val="40"/>
          <w:w w:val="120"/>
          <w:sz w:val="17"/>
        </w:rPr>
        <w:t> </w:t>
      </w:r>
      <w:r>
        <w:rPr>
          <w:color w:val="231F20"/>
          <w:w w:val="120"/>
          <w:sz w:val="17"/>
        </w:rPr>
        <w:t>de tout le monde. L’important n’est pas tant de savoir, mais de connaître quelqu’un qui sait.</w:t>
      </w:r>
    </w:p>
    <w:p>
      <w:pPr>
        <w:pStyle w:val="BodyText"/>
        <w:rPr>
          <w:sz w:val="20"/>
        </w:rPr>
      </w:pPr>
    </w:p>
    <w:p>
      <w:pPr>
        <w:pStyle w:val="BodyText"/>
        <w:rPr>
          <w:sz w:val="20"/>
        </w:rPr>
      </w:pPr>
    </w:p>
    <w:p>
      <w:pPr>
        <w:pStyle w:val="BodyText"/>
        <w:rPr>
          <w:sz w:val="20"/>
        </w:rPr>
      </w:pPr>
    </w:p>
    <w:p>
      <w:pPr>
        <w:pStyle w:val="BodyText"/>
        <w:spacing w:before="7"/>
        <w:rPr>
          <w:sz w:val="10"/>
        </w:rPr>
      </w:pPr>
      <w:r>
        <w:rPr/>
        <w:pict>
          <v:shape style="position:absolute;margin-left:82pt;margin-top:7.327789pt;width:287.5pt;height:.1pt;mso-position-horizontal-relative:page;mso-position-vertical-relative:paragraph;z-index:-15643648;mso-wrap-distance-left:0;mso-wrap-distance-right:0" id="docshape962" coordorigin="1640,147" coordsize="5750,0" path="m1640,147l7390,147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i/>
          <w:sz w:val="12"/>
        </w:rPr>
      </w:pPr>
      <w:r>
        <w:rPr>
          <w:rFonts w:ascii="Arial"/>
          <w:color w:val="231F20"/>
          <w:sz w:val="12"/>
        </w:rPr>
        <w:t>Kohlberg</w:t>
      </w:r>
      <w:r>
        <w:rPr>
          <w:rFonts w:ascii="Arial"/>
          <w:color w:val="231F20"/>
          <w:spacing w:val="5"/>
          <w:sz w:val="12"/>
        </w:rPr>
        <w:t> </w:t>
      </w:r>
      <w:r>
        <w:rPr>
          <w:rFonts w:ascii="Arial"/>
          <w:color w:val="231F20"/>
          <w:sz w:val="12"/>
        </w:rPr>
        <w:t>(1984).</w:t>
      </w:r>
      <w:r>
        <w:rPr>
          <w:rFonts w:ascii="Arial"/>
          <w:color w:val="231F20"/>
          <w:spacing w:val="5"/>
          <w:sz w:val="12"/>
        </w:rPr>
        <w:t> </w:t>
      </w:r>
      <w:r>
        <w:rPr>
          <w:rFonts w:ascii="Arial"/>
          <w:i/>
          <w:color w:val="231F20"/>
          <w:spacing w:val="-2"/>
          <w:sz w:val="12"/>
        </w:rPr>
        <w:t>Ibid.</w:t>
      </w:r>
    </w:p>
    <w:p>
      <w:pPr>
        <w:spacing w:after="0" w:line="240" w:lineRule="auto"/>
        <w:jc w:val="left"/>
        <w:rPr>
          <w:rFonts w:ascii="Arial"/>
          <w:sz w:val="12"/>
        </w:rPr>
        <w:sectPr>
          <w:footerReference w:type="default" r:id="rId26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70"/>
        </w:numPr>
        <w:tabs>
          <w:tab w:pos="1331" w:val="left" w:leader="none"/>
        </w:tabs>
        <w:spacing w:line="307" w:lineRule="auto" w:before="116" w:after="0"/>
        <w:ind w:left="1330" w:right="495" w:hanging="251"/>
        <w:jc w:val="both"/>
        <w:rPr>
          <w:sz w:val="17"/>
        </w:rPr>
      </w:pPr>
      <w:r>
        <w:rPr>
          <w:i/>
          <w:color w:val="231F20"/>
          <w:w w:val="115"/>
          <w:sz w:val="17"/>
        </w:rPr>
        <w:t>Savourer</w:t>
      </w:r>
      <w:r>
        <w:rPr>
          <w:i/>
          <w:color w:val="231F20"/>
          <w:spacing w:val="-10"/>
          <w:w w:val="115"/>
          <w:sz w:val="17"/>
        </w:rPr>
        <w:t> </w:t>
      </w:r>
      <w:r>
        <w:rPr>
          <w:i/>
          <w:color w:val="231F20"/>
          <w:w w:val="115"/>
          <w:sz w:val="17"/>
        </w:rPr>
        <w:t>à</w:t>
      </w:r>
      <w:r>
        <w:rPr>
          <w:i/>
          <w:color w:val="231F20"/>
          <w:spacing w:val="-10"/>
          <w:w w:val="115"/>
          <w:sz w:val="17"/>
        </w:rPr>
        <w:t> </w:t>
      </w:r>
      <w:r>
        <w:rPr>
          <w:i/>
          <w:color w:val="231F20"/>
          <w:w w:val="115"/>
          <w:sz w:val="17"/>
        </w:rPr>
        <w:t>chaque</w:t>
      </w:r>
      <w:r>
        <w:rPr>
          <w:i/>
          <w:color w:val="231F20"/>
          <w:spacing w:val="-10"/>
          <w:w w:val="115"/>
          <w:sz w:val="17"/>
        </w:rPr>
        <w:t> </w:t>
      </w:r>
      <w:r>
        <w:rPr>
          <w:i/>
          <w:color w:val="231F20"/>
          <w:w w:val="115"/>
          <w:sz w:val="17"/>
        </w:rPr>
        <w:t>instant</w:t>
      </w:r>
      <w:r>
        <w:rPr>
          <w:i/>
          <w:color w:val="231F20"/>
          <w:spacing w:val="-10"/>
          <w:w w:val="115"/>
          <w:sz w:val="17"/>
        </w:rPr>
        <w:t> </w:t>
      </w:r>
      <w:r>
        <w:rPr>
          <w:i/>
          <w:color w:val="231F20"/>
          <w:w w:val="115"/>
          <w:sz w:val="17"/>
        </w:rPr>
        <w:t>tout</w:t>
      </w:r>
      <w:r>
        <w:rPr>
          <w:i/>
          <w:color w:val="231F20"/>
          <w:spacing w:val="-10"/>
          <w:w w:val="115"/>
          <w:sz w:val="17"/>
        </w:rPr>
        <w:t> </w:t>
      </w:r>
      <w:r>
        <w:rPr>
          <w:i/>
          <w:color w:val="231F20"/>
          <w:w w:val="115"/>
          <w:sz w:val="17"/>
        </w:rPr>
        <w:t>ce</w:t>
      </w:r>
      <w:r>
        <w:rPr>
          <w:i/>
          <w:color w:val="231F20"/>
          <w:spacing w:val="-10"/>
          <w:w w:val="115"/>
          <w:sz w:val="17"/>
        </w:rPr>
        <w:t> </w:t>
      </w:r>
      <w:r>
        <w:rPr>
          <w:i/>
          <w:color w:val="231F20"/>
          <w:w w:val="115"/>
          <w:sz w:val="17"/>
        </w:rPr>
        <w:t>qu’offre</w:t>
      </w:r>
      <w:r>
        <w:rPr>
          <w:i/>
          <w:color w:val="231F20"/>
          <w:spacing w:val="-10"/>
          <w:w w:val="115"/>
          <w:sz w:val="17"/>
        </w:rPr>
        <w:t> </w:t>
      </w:r>
      <w:r>
        <w:rPr>
          <w:i/>
          <w:color w:val="231F20"/>
          <w:w w:val="115"/>
          <w:sz w:val="17"/>
        </w:rPr>
        <w:t>la</w:t>
      </w:r>
      <w:r>
        <w:rPr>
          <w:i/>
          <w:color w:val="231F20"/>
          <w:spacing w:val="-10"/>
          <w:w w:val="115"/>
          <w:sz w:val="17"/>
        </w:rPr>
        <w:t> </w:t>
      </w:r>
      <w:r>
        <w:rPr>
          <w:i/>
          <w:color w:val="231F20"/>
          <w:w w:val="115"/>
          <w:sz w:val="17"/>
        </w:rPr>
        <w:t>vie</w:t>
      </w:r>
      <w:r>
        <w:rPr>
          <w:color w:val="231F20"/>
          <w:w w:val="115"/>
          <w:sz w:val="17"/>
        </w:rPr>
        <w:t>.</w:t>
      </w:r>
      <w:r>
        <w:rPr>
          <w:color w:val="231F20"/>
          <w:spacing w:val="-10"/>
          <w:w w:val="115"/>
          <w:sz w:val="17"/>
        </w:rPr>
        <w:t> </w:t>
      </w:r>
      <w:r>
        <w:rPr>
          <w:color w:val="231F20"/>
          <w:w w:val="115"/>
          <w:sz w:val="17"/>
        </w:rPr>
        <w:t>Il</w:t>
      </w:r>
      <w:r>
        <w:rPr>
          <w:color w:val="231F20"/>
          <w:spacing w:val="-10"/>
          <w:w w:val="115"/>
          <w:sz w:val="17"/>
        </w:rPr>
        <w:t> </w:t>
      </w:r>
      <w:r>
        <w:rPr>
          <w:color w:val="231F20"/>
          <w:w w:val="115"/>
          <w:sz w:val="17"/>
        </w:rPr>
        <w:t>faut</w:t>
      </w:r>
      <w:r>
        <w:rPr>
          <w:color w:val="231F20"/>
          <w:spacing w:val="-10"/>
          <w:w w:val="115"/>
          <w:sz w:val="17"/>
        </w:rPr>
        <w:t> </w:t>
      </w:r>
      <w:r>
        <w:rPr>
          <w:color w:val="231F20"/>
          <w:w w:val="115"/>
          <w:sz w:val="17"/>
        </w:rPr>
        <w:t>apprendre</w:t>
      </w:r>
      <w:r>
        <w:rPr>
          <w:color w:val="231F20"/>
          <w:spacing w:val="-10"/>
          <w:w w:val="115"/>
          <w:sz w:val="17"/>
        </w:rPr>
        <w:t> </w:t>
      </w:r>
      <w:r>
        <w:rPr>
          <w:color w:val="231F20"/>
          <w:w w:val="115"/>
          <w:sz w:val="17"/>
        </w:rPr>
        <w:t>à </w:t>
      </w:r>
      <w:r>
        <w:rPr>
          <w:color w:val="231F20"/>
          <w:w w:val="120"/>
          <w:sz w:val="17"/>
        </w:rPr>
        <w:t>apprécier</w:t>
      </w:r>
      <w:r>
        <w:rPr>
          <w:color w:val="231F20"/>
          <w:spacing w:val="-13"/>
          <w:w w:val="120"/>
          <w:sz w:val="17"/>
        </w:rPr>
        <w:t> </w:t>
      </w:r>
      <w:r>
        <w:rPr>
          <w:color w:val="231F20"/>
          <w:w w:val="120"/>
          <w:sz w:val="17"/>
        </w:rPr>
        <w:t>le</w:t>
      </w:r>
      <w:r>
        <w:rPr>
          <w:color w:val="231F20"/>
          <w:spacing w:val="-13"/>
          <w:w w:val="120"/>
          <w:sz w:val="17"/>
        </w:rPr>
        <w:t> </w:t>
      </w:r>
      <w:r>
        <w:rPr>
          <w:color w:val="231F20"/>
          <w:w w:val="120"/>
          <w:sz w:val="17"/>
        </w:rPr>
        <w:t>ici</w:t>
      </w:r>
      <w:r>
        <w:rPr>
          <w:color w:val="231F20"/>
          <w:spacing w:val="-13"/>
          <w:w w:val="120"/>
          <w:sz w:val="17"/>
        </w:rPr>
        <w:t> </w:t>
      </w:r>
      <w:r>
        <w:rPr>
          <w:color w:val="231F20"/>
          <w:w w:val="120"/>
          <w:sz w:val="17"/>
        </w:rPr>
        <w:t>et</w:t>
      </w:r>
      <w:r>
        <w:rPr>
          <w:color w:val="231F20"/>
          <w:spacing w:val="-12"/>
          <w:w w:val="120"/>
          <w:sz w:val="17"/>
        </w:rPr>
        <w:t> </w:t>
      </w:r>
      <w:r>
        <w:rPr>
          <w:color w:val="231F20"/>
          <w:w w:val="120"/>
          <w:sz w:val="17"/>
        </w:rPr>
        <w:t>le</w:t>
      </w:r>
      <w:r>
        <w:rPr>
          <w:color w:val="231F20"/>
          <w:spacing w:val="-13"/>
          <w:w w:val="120"/>
          <w:sz w:val="17"/>
        </w:rPr>
        <w:t> </w:t>
      </w:r>
      <w:r>
        <w:rPr>
          <w:color w:val="231F20"/>
          <w:w w:val="120"/>
          <w:sz w:val="17"/>
        </w:rPr>
        <w:t>maintenant.</w:t>
      </w:r>
      <w:r>
        <w:rPr>
          <w:color w:val="231F20"/>
          <w:spacing w:val="-13"/>
          <w:w w:val="120"/>
          <w:sz w:val="17"/>
        </w:rPr>
        <w:t> </w:t>
      </w:r>
      <w:r>
        <w:rPr>
          <w:color w:val="231F20"/>
          <w:w w:val="120"/>
          <w:sz w:val="17"/>
        </w:rPr>
        <w:t>Nous</w:t>
      </w:r>
      <w:r>
        <w:rPr>
          <w:color w:val="231F20"/>
          <w:spacing w:val="-13"/>
          <w:w w:val="120"/>
          <w:sz w:val="17"/>
        </w:rPr>
        <w:t> </w:t>
      </w:r>
      <w:r>
        <w:rPr>
          <w:color w:val="231F20"/>
          <w:w w:val="120"/>
          <w:sz w:val="17"/>
        </w:rPr>
        <w:t>manquons</w:t>
      </w:r>
      <w:r>
        <w:rPr>
          <w:color w:val="231F20"/>
          <w:spacing w:val="-12"/>
          <w:w w:val="120"/>
          <w:sz w:val="17"/>
        </w:rPr>
        <w:t> </w:t>
      </w:r>
      <w:r>
        <w:rPr>
          <w:color w:val="231F20"/>
          <w:w w:val="120"/>
          <w:sz w:val="17"/>
        </w:rPr>
        <w:t>tous</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merveil- leux</w:t>
      </w:r>
      <w:r>
        <w:rPr>
          <w:color w:val="231F20"/>
          <w:spacing w:val="-8"/>
          <w:w w:val="120"/>
          <w:sz w:val="17"/>
        </w:rPr>
        <w:t> </w:t>
      </w:r>
      <w:r>
        <w:rPr>
          <w:color w:val="231F20"/>
          <w:w w:val="120"/>
          <w:sz w:val="17"/>
        </w:rPr>
        <w:t>moments,</w:t>
      </w:r>
      <w:r>
        <w:rPr>
          <w:color w:val="231F20"/>
          <w:spacing w:val="-8"/>
          <w:w w:val="120"/>
          <w:sz w:val="17"/>
        </w:rPr>
        <w:t> </w:t>
      </w:r>
      <w:r>
        <w:rPr>
          <w:color w:val="231F20"/>
          <w:w w:val="120"/>
          <w:sz w:val="17"/>
        </w:rPr>
        <w:t>car</w:t>
      </w:r>
      <w:r>
        <w:rPr>
          <w:color w:val="231F20"/>
          <w:spacing w:val="-8"/>
          <w:w w:val="120"/>
          <w:sz w:val="17"/>
        </w:rPr>
        <w:t> </w:t>
      </w:r>
      <w:r>
        <w:rPr>
          <w:color w:val="231F20"/>
          <w:w w:val="120"/>
          <w:sz w:val="17"/>
        </w:rPr>
        <w:t>nous</w:t>
      </w:r>
      <w:r>
        <w:rPr>
          <w:color w:val="231F20"/>
          <w:spacing w:val="-8"/>
          <w:w w:val="120"/>
          <w:sz w:val="17"/>
        </w:rPr>
        <w:t> </w:t>
      </w:r>
      <w:r>
        <w:rPr>
          <w:color w:val="231F20"/>
          <w:w w:val="120"/>
          <w:sz w:val="17"/>
        </w:rPr>
        <w:t>ruminons</w:t>
      </w:r>
      <w:r>
        <w:rPr>
          <w:color w:val="231F20"/>
          <w:spacing w:val="-8"/>
          <w:w w:val="120"/>
          <w:sz w:val="17"/>
        </w:rPr>
        <w:t> </w:t>
      </w:r>
      <w:r>
        <w:rPr>
          <w:color w:val="231F20"/>
          <w:w w:val="120"/>
          <w:sz w:val="17"/>
        </w:rPr>
        <w:t>le</w:t>
      </w:r>
      <w:r>
        <w:rPr>
          <w:color w:val="231F20"/>
          <w:spacing w:val="-8"/>
          <w:w w:val="120"/>
          <w:sz w:val="17"/>
        </w:rPr>
        <w:t> </w:t>
      </w:r>
      <w:r>
        <w:rPr>
          <w:color w:val="231F20"/>
          <w:w w:val="120"/>
          <w:sz w:val="17"/>
        </w:rPr>
        <w:t>passé</w:t>
      </w:r>
      <w:r>
        <w:rPr>
          <w:color w:val="231F20"/>
          <w:spacing w:val="-8"/>
          <w:w w:val="120"/>
          <w:sz w:val="17"/>
        </w:rPr>
        <w:t> </w:t>
      </w:r>
      <w:r>
        <w:rPr>
          <w:color w:val="231F20"/>
          <w:w w:val="120"/>
          <w:sz w:val="17"/>
        </w:rPr>
        <w:t>ou</w:t>
      </w:r>
      <w:r>
        <w:rPr>
          <w:color w:val="231F20"/>
          <w:spacing w:val="-8"/>
          <w:w w:val="120"/>
          <w:sz w:val="17"/>
        </w:rPr>
        <w:t> </w:t>
      </w:r>
      <w:r>
        <w:rPr>
          <w:color w:val="231F20"/>
          <w:w w:val="120"/>
          <w:sz w:val="17"/>
        </w:rPr>
        <w:t>anticipons</w:t>
      </w:r>
      <w:r>
        <w:rPr>
          <w:color w:val="231F20"/>
          <w:spacing w:val="-8"/>
          <w:w w:val="120"/>
          <w:sz w:val="17"/>
        </w:rPr>
        <w:t> </w:t>
      </w:r>
      <w:r>
        <w:rPr>
          <w:color w:val="231F20"/>
          <w:w w:val="120"/>
          <w:sz w:val="17"/>
        </w:rPr>
        <w:t>le</w:t>
      </w:r>
      <w:r>
        <w:rPr>
          <w:color w:val="231F20"/>
          <w:spacing w:val="-8"/>
          <w:w w:val="120"/>
          <w:sz w:val="17"/>
        </w:rPr>
        <w:t> </w:t>
      </w:r>
      <w:r>
        <w:rPr>
          <w:color w:val="231F20"/>
          <w:w w:val="120"/>
          <w:sz w:val="17"/>
        </w:rPr>
        <w:t>futur. C’est</w:t>
      </w:r>
      <w:r>
        <w:rPr>
          <w:color w:val="231F20"/>
          <w:spacing w:val="-8"/>
          <w:w w:val="120"/>
          <w:sz w:val="17"/>
        </w:rPr>
        <w:t> </w:t>
      </w:r>
      <w:r>
        <w:rPr>
          <w:color w:val="231F20"/>
          <w:w w:val="120"/>
          <w:sz w:val="17"/>
        </w:rPr>
        <w:t>le</w:t>
      </w:r>
      <w:r>
        <w:rPr>
          <w:color w:val="231F20"/>
          <w:spacing w:val="-8"/>
          <w:w w:val="120"/>
          <w:sz w:val="17"/>
        </w:rPr>
        <w:t> </w:t>
      </w:r>
      <w:r>
        <w:rPr>
          <w:color w:val="231F20"/>
          <w:w w:val="120"/>
          <w:sz w:val="17"/>
        </w:rPr>
        <w:t>présent</w:t>
      </w:r>
      <w:r>
        <w:rPr>
          <w:color w:val="231F20"/>
          <w:spacing w:val="-8"/>
          <w:w w:val="120"/>
          <w:sz w:val="17"/>
        </w:rPr>
        <w:t> </w:t>
      </w:r>
      <w:r>
        <w:rPr>
          <w:color w:val="231F20"/>
          <w:w w:val="120"/>
          <w:sz w:val="17"/>
        </w:rPr>
        <w:t>qui</w:t>
      </w:r>
      <w:r>
        <w:rPr>
          <w:color w:val="231F20"/>
          <w:spacing w:val="-8"/>
          <w:w w:val="120"/>
          <w:sz w:val="17"/>
        </w:rPr>
        <w:t> </w:t>
      </w:r>
      <w:r>
        <w:rPr>
          <w:color w:val="231F20"/>
          <w:w w:val="120"/>
          <w:sz w:val="17"/>
        </w:rPr>
        <w:t>permet</w:t>
      </w:r>
      <w:r>
        <w:rPr>
          <w:color w:val="231F20"/>
          <w:spacing w:val="-8"/>
          <w:w w:val="120"/>
          <w:sz w:val="17"/>
        </w:rPr>
        <w:t> </w:t>
      </w:r>
      <w:r>
        <w:rPr>
          <w:color w:val="231F20"/>
          <w:w w:val="120"/>
          <w:sz w:val="17"/>
        </w:rPr>
        <w:t>de</w:t>
      </w:r>
      <w:r>
        <w:rPr>
          <w:color w:val="231F20"/>
          <w:spacing w:val="-8"/>
          <w:w w:val="120"/>
          <w:sz w:val="17"/>
        </w:rPr>
        <w:t> </w:t>
      </w:r>
      <w:r>
        <w:rPr>
          <w:color w:val="231F20"/>
          <w:w w:val="120"/>
          <w:sz w:val="17"/>
        </w:rPr>
        <w:t>nourrir</w:t>
      </w:r>
      <w:r>
        <w:rPr>
          <w:color w:val="231F20"/>
          <w:spacing w:val="-8"/>
          <w:w w:val="120"/>
          <w:sz w:val="17"/>
        </w:rPr>
        <w:t> </w:t>
      </w:r>
      <w:r>
        <w:rPr>
          <w:color w:val="231F20"/>
          <w:w w:val="120"/>
          <w:sz w:val="17"/>
        </w:rPr>
        <w:t>ou</w:t>
      </w:r>
      <w:r>
        <w:rPr>
          <w:color w:val="231F20"/>
          <w:spacing w:val="-8"/>
          <w:w w:val="120"/>
          <w:sz w:val="17"/>
        </w:rPr>
        <w:t> </w:t>
      </w:r>
      <w:r>
        <w:rPr>
          <w:color w:val="231F20"/>
          <w:w w:val="120"/>
          <w:sz w:val="17"/>
        </w:rPr>
        <w:t>de</w:t>
      </w:r>
      <w:r>
        <w:rPr>
          <w:color w:val="231F20"/>
          <w:spacing w:val="-8"/>
          <w:w w:val="120"/>
          <w:sz w:val="17"/>
        </w:rPr>
        <w:t> </w:t>
      </w:r>
      <w:r>
        <w:rPr>
          <w:color w:val="231F20"/>
          <w:w w:val="120"/>
          <w:sz w:val="17"/>
        </w:rPr>
        <w:t>reconstruire</w:t>
      </w:r>
      <w:r>
        <w:rPr>
          <w:color w:val="231F20"/>
          <w:spacing w:val="-8"/>
          <w:w w:val="120"/>
          <w:sz w:val="17"/>
        </w:rPr>
        <w:t> </w:t>
      </w:r>
      <w:r>
        <w:rPr>
          <w:color w:val="231F20"/>
          <w:w w:val="120"/>
          <w:sz w:val="17"/>
        </w:rPr>
        <w:t>l’estime de</w:t>
      </w:r>
      <w:r>
        <w:rPr>
          <w:color w:val="231F20"/>
          <w:spacing w:val="-13"/>
          <w:w w:val="120"/>
          <w:sz w:val="17"/>
        </w:rPr>
        <w:t> </w:t>
      </w:r>
      <w:r>
        <w:rPr>
          <w:color w:val="231F20"/>
          <w:w w:val="120"/>
          <w:sz w:val="17"/>
        </w:rPr>
        <w:t>soi.</w:t>
      </w:r>
    </w:p>
    <w:p>
      <w:pPr>
        <w:pStyle w:val="ListParagraph"/>
        <w:numPr>
          <w:ilvl w:val="0"/>
          <w:numId w:val="70"/>
        </w:numPr>
        <w:tabs>
          <w:tab w:pos="1331" w:val="left" w:leader="none"/>
        </w:tabs>
        <w:spacing w:line="307" w:lineRule="auto" w:before="79" w:after="0"/>
        <w:ind w:left="1330" w:right="495" w:hanging="251"/>
        <w:jc w:val="both"/>
        <w:rPr>
          <w:sz w:val="17"/>
        </w:rPr>
      </w:pPr>
      <w:r>
        <w:rPr>
          <w:i/>
          <w:color w:val="231F20"/>
          <w:w w:val="115"/>
          <w:sz w:val="17"/>
        </w:rPr>
        <w:t>Accepter son propre corps et son image de soi</w:t>
      </w:r>
      <w:r>
        <w:rPr>
          <w:color w:val="231F20"/>
          <w:w w:val="115"/>
          <w:sz w:val="17"/>
        </w:rPr>
        <w:t>. Le corps manifeste </w:t>
      </w:r>
      <w:r>
        <w:rPr>
          <w:color w:val="231F20"/>
          <w:w w:val="120"/>
          <w:sz w:val="17"/>
        </w:rPr>
        <w:t>l’</w:t>
      </w:r>
      <w:r>
        <w:rPr>
          <w:i/>
          <w:color w:val="231F20"/>
          <w:w w:val="120"/>
          <w:sz w:val="17"/>
        </w:rPr>
        <w:t>ego</w:t>
      </w:r>
      <w:r>
        <w:rPr>
          <w:i/>
          <w:color w:val="231F20"/>
          <w:spacing w:val="-9"/>
          <w:w w:val="120"/>
          <w:sz w:val="17"/>
        </w:rPr>
        <w:t> </w:t>
      </w:r>
      <w:r>
        <w:rPr>
          <w:color w:val="231F20"/>
          <w:w w:val="120"/>
          <w:sz w:val="17"/>
        </w:rPr>
        <w:t>à</w:t>
      </w:r>
      <w:r>
        <w:rPr>
          <w:color w:val="231F20"/>
          <w:spacing w:val="-9"/>
          <w:w w:val="120"/>
          <w:sz w:val="17"/>
        </w:rPr>
        <w:t> </w:t>
      </w:r>
      <w:r>
        <w:rPr>
          <w:color w:val="231F20"/>
          <w:w w:val="120"/>
          <w:sz w:val="17"/>
        </w:rPr>
        <w:t>la</w:t>
      </w:r>
      <w:r>
        <w:rPr>
          <w:color w:val="231F20"/>
          <w:spacing w:val="-9"/>
          <w:w w:val="120"/>
          <w:sz w:val="17"/>
        </w:rPr>
        <w:t> </w:t>
      </w:r>
      <w:r>
        <w:rPr>
          <w:color w:val="231F20"/>
          <w:w w:val="120"/>
          <w:sz w:val="17"/>
        </w:rPr>
        <w:t>face</w:t>
      </w:r>
      <w:r>
        <w:rPr>
          <w:color w:val="231F20"/>
          <w:spacing w:val="-9"/>
          <w:w w:val="120"/>
          <w:sz w:val="17"/>
        </w:rPr>
        <w:t> </w:t>
      </w:r>
      <w:r>
        <w:rPr>
          <w:color w:val="231F20"/>
          <w:w w:val="120"/>
          <w:sz w:val="17"/>
        </w:rPr>
        <w:t>du</w:t>
      </w:r>
      <w:r>
        <w:rPr>
          <w:color w:val="231F20"/>
          <w:spacing w:val="-9"/>
          <w:w w:val="120"/>
          <w:sz w:val="17"/>
        </w:rPr>
        <w:t> </w:t>
      </w:r>
      <w:r>
        <w:rPr>
          <w:color w:val="231F20"/>
          <w:w w:val="120"/>
          <w:sz w:val="17"/>
        </w:rPr>
        <w:t>monde.</w:t>
      </w:r>
      <w:r>
        <w:rPr>
          <w:color w:val="231F20"/>
          <w:spacing w:val="-9"/>
          <w:w w:val="120"/>
          <w:sz w:val="17"/>
        </w:rPr>
        <w:t> </w:t>
      </w:r>
      <w:r>
        <w:rPr>
          <w:color w:val="231F20"/>
          <w:w w:val="120"/>
          <w:sz w:val="17"/>
        </w:rPr>
        <w:t>Par</w:t>
      </w:r>
      <w:r>
        <w:rPr>
          <w:color w:val="231F20"/>
          <w:spacing w:val="-9"/>
          <w:w w:val="120"/>
          <w:sz w:val="17"/>
        </w:rPr>
        <w:t> </w:t>
      </w:r>
      <w:r>
        <w:rPr>
          <w:color w:val="231F20"/>
          <w:w w:val="120"/>
          <w:sz w:val="17"/>
        </w:rPr>
        <w:t>exemple,</w:t>
      </w:r>
      <w:r>
        <w:rPr>
          <w:color w:val="231F20"/>
          <w:spacing w:val="-9"/>
          <w:w w:val="120"/>
          <w:sz w:val="17"/>
        </w:rPr>
        <w:t> </w:t>
      </w:r>
      <w:r>
        <w:rPr>
          <w:color w:val="231F20"/>
          <w:w w:val="120"/>
          <w:sz w:val="17"/>
        </w:rPr>
        <w:t>l’un</w:t>
      </w:r>
      <w:r>
        <w:rPr>
          <w:color w:val="231F20"/>
          <w:spacing w:val="-9"/>
          <w:w w:val="120"/>
          <w:sz w:val="17"/>
        </w:rPr>
        <w:t> </w:t>
      </w:r>
      <w:r>
        <w:rPr>
          <w:color w:val="231F20"/>
          <w:w w:val="120"/>
          <w:sz w:val="17"/>
        </w:rPr>
        <w:t>des</w:t>
      </w:r>
      <w:r>
        <w:rPr>
          <w:color w:val="231F20"/>
          <w:spacing w:val="-9"/>
          <w:w w:val="120"/>
          <w:sz w:val="17"/>
        </w:rPr>
        <w:t> </w:t>
      </w:r>
      <w:r>
        <w:rPr>
          <w:color w:val="231F20"/>
          <w:w w:val="120"/>
          <w:sz w:val="17"/>
        </w:rPr>
        <w:t>meilleurs</w:t>
      </w:r>
      <w:r>
        <w:rPr>
          <w:color w:val="231F20"/>
          <w:spacing w:val="-9"/>
          <w:w w:val="120"/>
          <w:sz w:val="17"/>
        </w:rPr>
        <w:t> </w:t>
      </w:r>
      <w:r>
        <w:rPr>
          <w:color w:val="231F20"/>
          <w:w w:val="120"/>
          <w:sz w:val="17"/>
        </w:rPr>
        <w:t>indica- teurs</w:t>
      </w:r>
      <w:r>
        <w:rPr>
          <w:color w:val="231F20"/>
          <w:spacing w:val="-8"/>
          <w:w w:val="120"/>
          <w:sz w:val="17"/>
        </w:rPr>
        <w:t> </w:t>
      </w:r>
      <w:r>
        <w:rPr>
          <w:color w:val="231F20"/>
          <w:w w:val="120"/>
          <w:sz w:val="17"/>
        </w:rPr>
        <w:t>de</w:t>
      </w:r>
      <w:r>
        <w:rPr>
          <w:color w:val="231F20"/>
          <w:spacing w:val="-8"/>
          <w:w w:val="120"/>
          <w:sz w:val="17"/>
        </w:rPr>
        <w:t> </w:t>
      </w:r>
      <w:r>
        <w:rPr>
          <w:color w:val="231F20"/>
          <w:w w:val="120"/>
          <w:sz w:val="17"/>
        </w:rPr>
        <w:t>l’estime</w:t>
      </w:r>
      <w:r>
        <w:rPr>
          <w:color w:val="231F20"/>
          <w:spacing w:val="-8"/>
          <w:w w:val="120"/>
          <w:sz w:val="17"/>
        </w:rPr>
        <w:t> </w:t>
      </w:r>
      <w:r>
        <w:rPr>
          <w:color w:val="231F20"/>
          <w:w w:val="120"/>
          <w:sz w:val="17"/>
        </w:rPr>
        <w:t>de</w:t>
      </w:r>
      <w:r>
        <w:rPr>
          <w:color w:val="231F20"/>
          <w:spacing w:val="-8"/>
          <w:w w:val="120"/>
          <w:sz w:val="17"/>
        </w:rPr>
        <w:t> </w:t>
      </w:r>
      <w:r>
        <w:rPr>
          <w:color w:val="231F20"/>
          <w:w w:val="120"/>
          <w:sz w:val="17"/>
        </w:rPr>
        <w:t>soi</w:t>
      </w:r>
      <w:r>
        <w:rPr>
          <w:color w:val="231F20"/>
          <w:spacing w:val="-8"/>
          <w:w w:val="120"/>
          <w:sz w:val="17"/>
        </w:rPr>
        <w:t> </w:t>
      </w:r>
      <w:r>
        <w:rPr>
          <w:color w:val="231F20"/>
          <w:w w:val="120"/>
          <w:sz w:val="17"/>
        </w:rPr>
        <w:t>et</w:t>
      </w:r>
      <w:r>
        <w:rPr>
          <w:color w:val="231F20"/>
          <w:spacing w:val="-8"/>
          <w:w w:val="120"/>
          <w:sz w:val="17"/>
        </w:rPr>
        <w:t> </w:t>
      </w:r>
      <w:r>
        <w:rPr>
          <w:color w:val="231F20"/>
          <w:w w:val="120"/>
          <w:sz w:val="17"/>
        </w:rPr>
        <w:t>de</w:t>
      </w:r>
      <w:r>
        <w:rPr>
          <w:color w:val="231F20"/>
          <w:spacing w:val="-8"/>
          <w:w w:val="120"/>
          <w:sz w:val="17"/>
        </w:rPr>
        <w:t> </w:t>
      </w:r>
      <w:r>
        <w:rPr>
          <w:color w:val="231F20"/>
          <w:w w:val="120"/>
          <w:sz w:val="17"/>
        </w:rPr>
        <w:t>la</w:t>
      </w:r>
      <w:r>
        <w:rPr>
          <w:color w:val="231F20"/>
          <w:spacing w:val="-8"/>
          <w:w w:val="120"/>
          <w:sz w:val="17"/>
        </w:rPr>
        <w:t> </w:t>
      </w:r>
      <w:r>
        <w:rPr>
          <w:color w:val="231F20"/>
          <w:w w:val="120"/>
          <w:sz w:val="17"/>
        </w:rPr>
        <w:t>santé</w:t>
      </w:r>
      <w:r>
        <w:rPr>
          <w:color w:val="231F20"/>
          <w:spacing w:val="-8"/>
          <w:w w:val="120"/>
          <w:sz w:val="17"/>
        </w:rPr>
        <w:t> </w:t>
      </w:r>
      <w:r>
        <w:rPr>
          <w:color w:val="231F20"/>
          <w:w w:val="120"/>
          <w:sz w:val="17"/>
        </w:rPr>
        <w:t>psychologique</w:t>
      </w:r>
      <w:r>
        <w:rPr>
          <w:color w:val="231F20"/>
          <w:spacing w:val="-8"/>
          <w:w w:val="120"/>
          <w:sz w:val="17"/>
        </w:rPr>
        <w:t> </w:t>
      </w:r>
      <w:r>
        <w:rPr>
          <w:color w:val="231F20"/>
          <w:w w:val="120"/>
          <w:sz w:val="17"/>
        </w:rPr>
        <w:t>est</w:t>
      </w:r>
      <w:r>
        <w:rPr>
          <w:color w:val="231F20"/>
          <w:spacing w:val="-8"/>
          <w:w w:val="120"/>
          <w:sz w:val="17"/>
        </w:rPr>
        <w:t> </w:t>
      </w:r>
      <w:r>
        <w:rPr>
          <w:color w:val="231F20"/>
          <w:w w:val="120"/>
          <w:sz w:val="17"/>
        </w:rPr>
        <w:t>la</w:t>
      </w:r>
      <w:r>
        <w:rPr>
          <w:color w:val="231F20"/>
          <w:spacing w:val="-8"/>
          <w:w w:val="120"/>
          <w:sz w:val="17"/>
        </w:rPr>
        <w:t> </w:t>
      </w:r>
      <w:r>
        <w:rPr>
          <w:color w:val="231F20"/>
          <w:w w:val="120"/>
          <w:sz w:val="17"/>
        </w:rPr>
        <w:t>simple </w:t>
      </w:r>
      <w:r>
        <w:rPr>
          <w:color w:val="231F20"/>
          <w:spacing w:val="-2"/>
          <w:w w:val="120"/>
          <w:sz w:val="17"/>
        </w:rPr>
        <w:t>acceptation</w:t>
      </w:r>
      <w:r>
        <w:rPr>
          <w:color w:val="231F20"/>
          <w:spacing w:val="-16"/>
          <w:w w:val="120"/>
          <w:sz w:val="17"/>
        </w:rPr>
        <w:t> </w:t>
      </w:r>
      <w:r>
        <w:rPr>
          <w:color w:val="231F20"/>
          <w:spacing w:val="-2"/>
          <w:w w:val="120"/>
          <w:sz w:val="17"/>
        </w:rPr>
        <w:t>des</w:t>
      </w:r>
      <w:r>
        <w:rPr>
          <w:color w:val="231F20"/>
          <w:spacing w:val="-16"/>
          <w:w w:val="120"/>
          <w:sz w:val="17"/>
        </w:rPr>
        <w:t> </w:t>
      </w:r>
      <w:r>
        <w:rPr>
          <w:color w:val="231F20"/>
          <w:spacing w:val="-2"/>
          <w:w w:val="120"/>
          <w:sz w:val="17"/>
        </w:rPr>
        <w:t>quelques</w:t>
      </w:r>
      <w:r>
        <w:rPr>
          <w:color w:val="231F20"/>
          <w:spacing w:val="-16"/>
          <w:w w:val="120"/>
          <w:sz w:val="17"/>
        </w:rPr>
        <w:t> </w:t>
      </w:r>
      <w:r>
        <w:rPr>
          <w:color w:val="231F20"/>
          <w:spacing w:val="-2"/>
          <w:w w:val="120"/>
          <w:sz w:val="17"/>
        </w:rPr>
        <w:t>kilos</w:t>
      </w:r>
      <w:r>
        <w:rPr>
          <w:color w:val="231F20"/>
          <w:spacing w:val="-16"/>
          <w:w w:val="120"/>
          <w:sz w:val="17"/>
        </w:rPr>
        <w:t> </w:t>
      </w:r>
      <w:r>
        <w:rPr>
          <w:color w:val="231F20"/>
          <w:spacing w:val="-2"/>
          <w:w w:val="120"/>
          <w:sz w:val="17"/>
        </w:rPr>
        <w:t>ou</w:t>
      </w:r>
      <w:r>
        <w:rPr>
          <w:color w:val="231F20"/>
          <w:spacing w:val="-16"/>
          <w:w w:val="120"/>
          <w:sz w:val="17"/>
        </w:rPr>
        <w:t> </w:t>
      </w:r>
      <w:r>
        <w:rPr>
          <w:color w:val="231F20"/>
          <w:spacing w:val="-2"/>
          <w:w w:val="120"/>
          <w:sz w:val="17"/>
        </w:rPr>
        <w:t>quelques</w:t>
      </w:r>
      <w:r>
        <w:rPr>
          <w:color w:val="231F20"/>
          <w:spacing w:val="-16"/>
          <w:w w:val="120"/>
          <w:sz w:val="17"/>
        </w:rPr>
        <w:t> </w:t>
      </w:r>
      <w:r>
        <w:rPr>
          <w:color w:val="231F20"/>
          <w:spacing w:val="-2"/>
          <w:w w:val="120"/>
          <w:sz w:val="17"/>
        </w:rPr>
        <w:t>rides</w:t>
      </w:r>
      <w:r>
        <w:rPr>
          <w:color w:val="231F20"/>
          <w:spacing w:val="-16"/>
          <w:w w:val="120"/>
          <w:sz w:val="17"/>
        </w:rPr>
        <w:t> </w:t>
      </w:r>
      <w:r>
        <w:rPr>
          <w:color w:val="231F20"/>
          <w:spacing w:val="-2"/>
          <w:w w:val="120"/>
          <w:sz w:val="17"/>
        </w:rPr>
        <w:t>que</w:t>
      </w:r>
      <w:r>
        <w:rPr>
          <w:color w:val="231F20"/>
          <w:spacing w:val="-16"/>
          <w:w w:val="120"/>
          <w:sz w:val="17"/>
        </w:rPr>
        <w:t> </w:t>
      </w:r>
      <w:r>
        <w:rPr>
          <w:color w:val="231F20"/>
          <w:spacing w:val="-2"/>
          <w:w w:val="120"/>
          <w:sz w:val="17"/>
        </w:rPr>
        <w:t>l’on</w:t>
      </w:r>
      <w:r>
        <w:rPr>
          <w:color w:val="231F20"/>
          <w:spacing w:val="-16"/>
          <w:w w:val="120"/>
          <w:sz w:val="17"/>
        </w:rPr>
        <w:t> </w:t>
      </w:r>
      <w:r>
        <w:rPr>
          <w:color w:val="231F20"/>
          <w:spacing w:val="-2"/>
          <w:w w:val="120"/>
          <w:sz w:val="17"/>
        </w:rPr>
        <w:t>a</w:t>
      </w:r>
      <w:r>
        <w:rPr>
          <w:color w:val="231F20"/>
          <w:spacing w:val="-16"/>
          <w:w w:val="120"/>
          <w:sz w:val="17"/>
        </w:rPr>
        <w:t> </w:t>
      </w:r>
      <w:r>
        <w:rPr>
          <w:color w:val="231F20"/>
          <w:spacing w:val="-2"/>
          <w:w w:val="120"/>
          <w:sz w:val="17"/>
        </w:rPr>
        <w:t>en</w:t>
      </w:r>
      <w:r>
        <w:rPr>
          <w:color w:val="231F20"/>
          <w:spacing w:val="-16"/>
          <w:w w:val="120"/>
          <w:sz w:val="17"/>
        </w:rPr>
        <w:t> </w:t>
      </w:r>
      <w:r>
        <w:rPr>
          <w:color w:val="231F20"/>
          <w:spacing w:val="-2"/>
          <w:w w:val="120"/>
          <w:sz w:val="17"/>
        </w:rPr>
        <w:t>trop.</w:t>
      </w:r>
    </w:p>
    <w:p>
      <w:pPr>
        <w:pStyle w:val="BodyText"/>
        <w:spacing w:before="7"/>
        <w:rPr>
          <w:sz w:val="21"/>
        </w:rPr>
      </w:pPr>
    </w:p>
    <w:p>
      <w:pPr>
        <w:pStyle w:val="BodyText"/>
        <w:spacing w:line="307" w:lineRule="auto" w:before="1"/>
        <w:ind w:left="830" w:right="495"/>
        <w:jc w:val="both"/>
      </w:pPr>
      <w:r>
        <w:rPr>
          <w:b/>
          <w:color w:val="231F20"/>
          <w:w w:val="115"/>
        </w:rPr>
        <w:t>Osez</w:t>
      </w:r>
      <w:r>
        <w:rPr>
          <w:b/>
          <w:color w:val="231F20"/>
          <w:spacing w:val="-4"/>
          <w:w w:val="115"/>
        </w:rPr>
        <w:t> </w:t>
      </w:r>
      <w:r>
        <w:rPr>
          <w:b/>
          <w:color w:val="231F20"/>
          <w:w w:val="115"/>
        </w:rPr>
        <w:t>avoir</w:t>
      </w:r>
      <w:r>
        <w:rPr>
          <w:b/>
          <w:color w:val="231F20"/>
          <w:spacing w:val="-4"/>
          <w:w w:val="115"/>
        </w:rPr>
        <w:t> </w:t>
      </w:r>
      <w:r>
        <w:rPr>
          <w:b/>
          <w:color w:val="231F20"/>
          <w:w w:val="115"/>
        </w:rPr>
        <w:t>confiance. </w:t>
      </w:r>
      <w:r>
        <w:rPr>
          <w:color w:val="231F20"/>
          <w:w w:val="115"/>
        </w:rPr>
        <w:t>Nous devons avoir confiance en nous-même et en </w:t>
      </w:r>
      <w:r>
        <w:rPr>
          <w:color w:val="231F20"/>
          <w:spacing w:val="-2"/>
          <w:w w:val="120"/>
        </w:rPr>
        <w:t>notre</w:t>
      </w:r>
      <w:r>
        <w:rPr>
          <w:color w:val="231F20"/>
          <w:spacing w:val="-10"/>
          <w:w w:val="120"/>
        </w:rPr>
        <w:t> </w:t>
      </w:r>
      <w:r>
        <w:rPr>
          <w:color w:val="231F20"/>
          <w:spacing w:val="-2"/>
          <w:w w:val="120"/>
        </w:rPr>
        <w:t>potentiel;</w:t>
      </w:r>
      <w:r>
        <w:rPr>
          <w:color w:val="231F20"/>
          <w:spacing w:val="-10"/>
          <w:w w:val="120"/>
        </w:rPr>
        <w:t> </w:t>
      </w:r>
      <w:r>
        <w:rPr>
          <w:color w:val="231F20"/>
          <w:spacing w:val="-2"/>
          <w:w w:val="120"/>
        </w:rPr>
        <w:t>au</w:t>
      </w:r>
      <w:r>
        <w:rPr>
          <w:color w:val="231F20"/>
          <w:spacing w:val="-10"/>
          <w:w w:val="120"/>
        </w:rPr>
        <w:t> </w:t>
      </w:r>
      <w:r>
        <w:rPr>
          <w:color w:val="231F20"/>
          <w:spacing w:val="-2"/>
          <w:w w:val="120"/>
        </w:rPr>
        <w:t>bon</w:t>
      </w:r>
      <w:r>
        <w:rPr>
          <w:color w:val="231F20"/>
          <w:spacing w:val="-10"/>
          <w:w w:val="120"/>
        </w:rPr>
        <w:t> </w:t>
      </w:r>
      <w:r>
        <w:rPr>
          <w:color w:val="231F20"/>
          <w:spacing w:val="-2"/>
          <w:w w:val="120"/>
        </w:rPr>
        <w:t>fonctionnement</w:t>
      </w:r>
      <w:r>
        <w:rPr>
          <w:color w:val="231F20"/>
          <w:spacing w:val="-10"/>
          <w:w w:val="120"/>
        </w:rPr>
        <w:t> </w:t>
      </w:r>
      <w:r>
        <w:rPr>
          <w:color w:val="231F20"/>
          <w:spacing w:val="-2"/>
          <w:w w:val="120"/>
        </w:rPr>
        <w:t>de</w:t>
      </w:r>
      <w:r>
        <w:rPr>
          <w:color w:val="231F20"/>
          <w:spacing w:val="-10"/>
          <w:w w:val="120"/>
        </w:rPr>
        <w:t> </w:t>
      </w:r>
      <w:r>
        <w:rPr>
          <w:color w:val="231F20"/>
          <w:spacing w:val="-2"/>
          <w:w w:val="120"/>
        </w:rPr>
        <w:t>nos</w:t>
      </w:r>
      <w:r>
        <w:rPr>
          <w:color w:val="231F20"/>
          <w:spacing w:val="-10"/>
          <w:w w:val="120"/>
        </w:rPr>
        <w:t> </w:t>
      </w:r>
      <w:r>
        <w:rPr>
          <w:color w:val="231F20"/>
          <w:spacing w:val="-2"/>
          <w:w w:val="120"/>
        </w:rPr>
        <w:t>processus</w:t>
      </w:r>
      <w:r>
        <w:rPr>
          <w:color w:val="231F20"/>
          <w:spacing w:val="-10"/>
          <w:w w:val="120"/>
        </w:rPr>
        <w:t> </w:t>
      </w:r>
      <w:r>
        <w:rPr>
          <w:color w:val="231F20"/>
          <w:spacing w:val="-2"/>
          <w:w w:val="120"/>
        </w:rPr>
        <w:t>psychologiques </w:t>
      </w:r>
      <w:r>
        <w:rPr>
          <w:color w:val="231F20"/>
          <w:w w:val="120"/>
        </w:rPr>
        <w:t>(analyse,</w:t>
      </w:r>
      <w:r>
        <w:rPr>
          <w:color w:val="231F20"/>
          <w:spacing w:val="-10"/>
          <w:w w:val="120"/>
        </w:rPr>
        <w:t> </w:t>
      </w:r>
      <w:r>
        <w:rPr>
          <w:color w:val="231F20"/>
          <w:w w:val="120"/>
        </w:rPr>
        <w:t>compréhension, jugement, choix, décision)</w:t>
      </w:r>
      <w:r>
        <w:rPr>
          <w:color w:val="231F20"/>
          <w:spacing w:val="-13"/>
          <w:w w:val="120"/>
        </w:rPr>
        <w:t> </w:t>
      </w:r>
      <w:r>
        <w:rPr>
          <w:color w:val="231F20"/>
          <w:w w:val="120"/>
        </w:rPr>
        <w:t>; en notre propre </w:t>
      </w:r>
      <w:r>
        <w:rPr>
          <w:color w:val="231F20"/>
          <w:w w:val="115"/>
        </w:rPr>
        <w:t>capacité</w:t>
      </w:r>
      <w:r>
        <w:rPr>
          <w:color w:val="231F20"/>
          <w:spacing w:val="-2"/>
          <w:w w:val="115"/>
        </w:rPr>
        <w:t> </w:t>
      </w:r>
      <w:r>
        <w:rPr>
          <w:color w:val="231F20"/>
          <w:w w:val="115"/>
        </w:rPr>
        <w:t>d’observer</w:t>
      </w:r>
      <w:r>
        <w:rPr>
          <w:color w:val="231F20"/>
          <w:spacing w:val="-2"/>
          <w:w w:val="115"/>
        </w:rPr>
        <w:t> </w:t>
      </w:r>
      <w:r>
        <w:rPr>
          <w:color w:val="231F20"/>
          <w:w w:val="115"/>
        </w:rPr>
        <w:t>objectivement</w:t>
      </w:r>
      <w:r>
        <w:rPr>
          <w:color w:val="231F20"/>
          <w:spacing w:val="-2"/>
          <w:w w:val="115"/>
        </w:rPr>
        <w:t> </w:t>
      </w:r>
      <w:r>
        <w:rPr>
          <w:color w:val="231F20"/>
          <w:w w:val="115"/>
        </w:rPr>
        <w:t>les</w:t>
      </w:r>
      <w:r>
        <w:rPr>
          <w:color w:val="231F20"/>
          <w:spacing w:val="-2"/>
          <w:w w:val="115"/>
        </w:rPr>
        <w:t> </w:t>
      </w:r>
      <w:r>
        <w:rPr>
          <w:color w:val="231F20"/>
          <w:w w:val="115"/>
        </w:rPr>
        <w:t>faits;</w:t>
      </w:r>
      <w:r>
        <w:rPr>
          <w:color w:val="231F20"/>
          <w:spacing w:val="-2"/>
          <w:w w:val="115"/>
        </w:rPr>
        <w:t> </w:t>
      </w:r>
      <w:r>
        <w:rPr>
          <w:color w:val="231F20"/>
          <w:w w:val="115"/>
        </w:rPr>
        <w:t>enfin,</w:t>
      </w:r>
      <w:r>
        <w:rPr>
          <w:color w:val="231F20"/>
          <w:spacing w:val="-2"/>
          <w:w w:val="115"/>
        </w:rPr>
        <w:t> </w:t>
      </w:r>
      <w:r>
        <w:rPr>
          <w:color w:val="231F20"/>
          <w:w w:val="115"/>
        </w:rPr>
        <w:t>en</w:t>
      </w:r>
      <w:r>
        <w:rPr>
          <w:color w:val="231F20"/>
          <w:spacing w:val="-2"/>
          <w:w w:val="115"/>
        </w:rPr>
        <w:t> </w:t>
      </w:r>
      <w:r>
        <w:rPr>
          <w:color w:val="231F20"/>
          <w:w w:val="115"/>
        </w:rPr>
        <w:t>nos</w:t>
      </w:r>
      <w:r>
        <w:rPr>
          <w:color w:val="231F20"/>
          <w:spacing w:val="-2"/>
          <w:w w:val="115"/>
        </w:rPr>
        <w:t> </w:t>
      </w:r>
      <w:r>
        <w:rPr>
          <w:color w:val="231F20"/>
          <w:w w:val="115"/>
        </w:rPr>
        <w:t>propres</w:t>
      </w:r>
      <w:r>
        <w:rPr>
          <w:color w:val="231F20"/>
          <w:spacing w:val="-2"/>
          <w:w w:val="115"/>
        </w:rPr>
        <w:t> </w:t>
      </w:r>
      <w:r>
        <w:rPr>
          <w:color w:val="231F20"/>
          <w:w w:val="115"/>
        </w:rPr>
        <w:t>facultés </w:t>
      </w:r>
      <w:r>
        <w:rPr>
          <w:color w:val="231F20"/>
          <w:w w:val="120"/>
        </w:rPr>
        <w:t>d’intuition et au caractère éthique de nos actions. Nous devons avoir confiance</w:t>
      </w:r>
      <w:r>
        <w:rPr>
          <w:color w:val="231F20"/>
          <w:spacing w:val="-8"/>
          <w:w w:val="120"/>
        </w:rPr>
        <w:t> </w:t>
      </w:r>
      <w:r>
        <w:rPr>
          <w:color w:val="231F20"/>
          <w:w w:val="120"/>
        </w:rPr>
        <w:t>en</w:t>
      </w:r>
      <w:r>
        <w:rPr>
          <w:color w:val="231F20"/>
          <w:spacing w:val="-8"/>
          <w:w w:val="120"/>
        </w:rPr>
        <w:t> </w:t>
      </w:r>
      <w:r>
        <w:rPr>
          <w:color w:val="231F20"/>
          <w:w w:val="120"/>
        </w:rPr>
        <w:t>la</w:t>
      </w:r>
      <w:r>
        <w:rPr>
          <w:color w:val="231F20"/>
          <w:spacing w:val="-8"/>
          <w:w w:val="120"/>
        </w:rPr>
        <w:t> </w:t>
      </w:r>
      <w:r>
        <w:rPr>
          <w:color w:val="231F20"/>
          <w:w w:val="120"/>
        </w:rPr>
        <w:t>vie</w:t>
      </w:r>
      <w:r>
        <w:rPr>
          <w:color w:val="231F20"/>
          <w:spacing w:val="-8"/>
          <w:w w:val="120"/>
        </w:rPr>
        <w:t> </w:t>
      </w:r>
      <w:r>
        <w:rPr>
          <w:color w:val="231F20"/>
          <w:w w:val="120"/>
        </w:rPr>
        <w:t>et</w:t>
      </w:r>
      <w:r>
        <w:rPr>
          <w:color w:val="231F20"/>
          <w:spacing w:val="-8"/>
          <w:w w:val="120"/>
        </w:rPr>
        <w:t> </w:t>
      </w:r>
      <w:r>
        <w:rPr>
          <w:color w:val="231F20"/>
          <w:w w:val="120"/>
        </w:rPr>
        <w:t>nous</w:t>
      </w:r>
      <w:r>
        <w:rPr>
          <w:color w:val="231F20"/>
          <w:spacing w:val="-8"/>
          <w:w w:val="120"/>
        </w:rPr>
        <w:t> </w:t>
      </w:r>
      <w:r>
        <w:rPr>
          <w:color w:val="231F20"/>
          <w:w w:val="120"/>
        </w:rPr>
        <w:t>dire</w:t>
      </w:r>
      <w:r>
        <w:rPr>
          <w:color w:val="231F20"/>
          <w:spacing w:val="-8"/>
          <w:w w:val="120"/>
        </w:rPr>
        <w:t> </w:t>
      </w:r>
      <w:r>
        <w:rPr>
          <w:color w:val="231F20"/>
          <w:w w:val="120"/>
        </w:rPr>
        <w:t>que</w:t>
      </w:r>
      <w:r>
        <w:rPr>
          <w:color w:val="231F20"/>
          <w:spacing w:val="-8"/>
          <w:w w:val="120"/>
        </w:rPr>
        <w:t> </w:t>
      </w:r>
      <w:r>
        <w:rPr>
          <w:color w:val="231F20"/>
          <w:w w:val="120"/>
        </w:rPr>
        <w:t>la</w:t>
      </w:r>
      <w:r>
        <w:rPr>
          <w:color w:val="231F20"/>
          <w:spacing w:val="-8"/>
          <w:w w:val="120"/>
        </w:rPr>
        <w:t> </w:t>
      </w:r>
      <w:r>
        <w:rPr>
          <w:color w:val="231F20"/>
          <w:w w:val="120"/>
        </w:rPr>
        <w:t>beauté</w:t>
      </w:r>
      <w:r>
        <w:rPr>
          <w:color w:val="231F20"/>
          <w:spacing w:val="-8"/>
          <w:w w:val="120"/>
        </w:rPr>
        <w:t> </w:t>
      </w:r>
      <w:r>
        <w:rPr>
          <w:color w:val="231F20"/>
          <w:w w:val="120"/>
        </w:rPr>
        <w:t>et</w:t>
      </w:r>
      <w:r>
        <w:rPr>
          <w:color w:val="231F20"/>
          <w:spacing w:val="-8"/>
          <w:w w:val="120"/>
        </w:rPr>
        <w:t> </w:t>
      </w:r>
      <w:r>
        <w:rPr>
          <w:color w:val="231F20"/>
          <w:w w:val="120"/>
        </w:rPr>
        <w:t>la</w:t>
      </w:r>
      <w:r>
        <w:rPr>
          <w:color w:val="231F20"/>
          <w:spacing w:val="-8"/>
          <w:w w:val="120"/>
        </w:rPr>
        <w:t> </w:t>
      </w:r>
      <w:r>
        <w:rPr>
          <w:color w:val="231F20"/>
          <w:w w:val="120"/>
        </w:rPr>
        <w:t>vérité</w:t>
      </w:r>
      <w:r>
        <w:rPr>
          <w:color w:val="231F20"/>
          <w:spacing w:val="-8"/>
          <w:w w:val="120"/>
        </w:rPr>
        <w:t> </w:t>
      </w:r>
      <w:r>
        <w:rPr>
          <w:color w:val="231F20"/>
          <w:w w:val="120"/>
        </w:rPr>
        <w:t>sont</w:t>
      </w:r>
      <w:r>
        <w:rPr>
          <w:color w:val="231F20"/>
          <w:spacing w:val="-8"/>
          <w:w w:val="120"/>
        </w:rPr>
        <w:t> </w:t>
      </w:r>
      <w:r>
        <w:rPr>
          <w:color w:val="231F20"/>
          <w:w w:val="120"/>
        </w:rPr>
        <w:t>possibles. Nous</w:t>
      </w:r>
      <w:r>
        <w:rPr>
          <w:color w:val="231F20"/>
          <w:spacing w:val="-13"/>
          <w:w w:val="120"/>
        </w:rPr>
        <w:t> </w:t>
      </w:r>
      <w:r>
        <w:rPr>
          <w:color w:val="231F20"/>
          <w:w w:val="120"/>
        </w:rPr>
        <w:t>devons</w:t>
      </w:r>
      <w:r>
        <w:rPr>
          <w:color w:val="231F20"/>
          <w:spacing w:val="-13"/>
          <w:w w:val="120"/>
        </w:rPr>
        <w:t> </w:t>
      </w:r>
      <w:r>
        <w:rPr>
          <w:color w:val="231F20"/>
          <w:w w:val="120"/>
        </w:rPr>
        <w:t>avoir</w:t>
      </w:r>
      <w:r>
        <w:rPr>
          <w:color w:val="231F20"/>
          <w:spacing w:val="-13"/>
          <w:w w:val="120"/>
        </w:rPr>
        <w:t> </w:t>
      </w:r>
      <w:r>
        <w:rPr>
          <w:color w:val="231F20"/>
          <w:w w:val="120"/>
        </w:rPr>
        <w:t>confiance</w:t>
      </w:r>
      <w:r>
        <w:rPr>
          <w:color w:val="231F20"/>
          <w:spacing w:val="-12"/>
          <w:w w:val="120"/>
        </w:rPr>
        <w:t> </w:t>
      </w:r>
      <w:r>
        <w:rPr>
          <w:color w:val="231F20"/>
          <w:w w:val="120"/>
        </w:rPr>
        <w:t>que</w:t>
      </w:r>
      <w:r>
        <w:rPr>
          <w:color w:val="231F20"/>
          <w:spacing w:val="-13"/>
          <w:w w:val="120"/>
        </w:rPr>
        <w:t> </w:t>
      </w:r>
      <w:r>
        <w:rPr>
          <w:color w:val="231F20"/>
          <w:w w:val="120"/>
        </w:rPr>
        <w:t>les</w:t>
      </w:r>
      <w:r>
        <w:rPr>
          <w:color w:val="231F20"/>
          <w:spacing w:val="-13"/>
          <w:w w:val="120"/>
        </w:rPr>
        <w:t> </w:t>
      </w:r>
      <w:r>
        <w:rPr>
          <w:color w:val="231F20"/>
          <w:w w:val="120"/>
        </w:rPr>
        <w:t>autres</w:t>
      </w:r>
      <w:r>
        <w:rPr>
          <w:color w:val="231F20"/>
          <w:spacing w:val="-13"/>
          <w:w w:val="120"/>
        </w:rPr>
        <w:t> </w:t>
      </w:r>
      <w:r>
        <w:rPr>
          <w:color w:val="231F20"/>
          <w:w w:val="120"/>
        </w:rPr>
        <w:t>nous</w:t>
      </w:r>
      <w:r>
        <w:rPr>
          <w:color w:val="231F20"/>
          <w:spacing w:val="-12"/>
          <w:w w:val="120"/>
        </w:rPr>
        <w:t> </w:t>
      </w:r>
      <w:r>
        <w:rPr>
          <w:color w:val="231F20"/>
          <w:w w:val="120"/>
        </w:rPr>
        <w:t>aideront</w:t>
      </w:r>
      <w:r>
        <w:rPr>
          <w:color w:val="231F20"/>
          <w:spacing w:val="-13"/>
          <w:w w:val="120"/>
        </w:rPr>
        <w:t> </w:t>
      </w:r>
      <w:r>
        <w:rPr>
          <w:color w:val="231F20"/>
          <w:w w:val="120"/>
        </w:rPr>
        <w:t>à</w:t>
      </w:r>
      <w:r>
        <w:rPr>
          <w:color w:val="231F20"/>
          <w:spacing w:val="-13"/>
          <w:w w:val="120"/>
        </w:rPr>
        <w:t> </w:t>
      </w:r>
      <w:r>
        <w:rPr>
          <w:color w:val="231F20"/>
          <w:w w:val="120"/>
        </w:rPr>
        <w:t>atteindre</w:t>
      </w:r>
      <w:r>
        <w:rPr>
          <w:color w:val="231F20"/>
          <w:spacing w:val="-13"/>
          <w:w w:val="120"/>
        </w:rPr>
        <w:t> </w:t>
      </w:r>
      <w:r>
        <w:rPr>
          <w:color w:val="231F20"/>
          <w:w w:val="120"/>
        </w:rPr>
        <w:t>les buts que nous nous sommes fixés avec honnêteté et intégrité.</w:t>
      </w:r>
    </w:p>
    <w:p>
      <w:pPr>
        <w:pStyle w:val="BodyText"/>
        <w:spacing w:before="4"/>
        <w:rPr>
          <w:sz w:val="23"/>
        </w:rPr>
      </w:pPr>
    </w:p>
    <w:p>
      <w:pPr>
        <w:pStyle w:val="BodyText"/>
        <w:spacing w:line="307" w:lineRule="auto"/>
        <w:ind w:left="830" w:right="496"/>
        <w:jc w:val="both"/>
      </w:pPr>
      <w:r>
        <w:rPr>
          <w:b/>
          <w:color w:val="231F20"/>
          <w:w w:val="115"/>
        </w:rPr>
        <w:t>Faites</w:t>
      </w:r>
      <w:r>
        <w:rPr>
          <w:b/>
          <w:color w:val="231F20"/>
          <w:spacing w:val="-7"/>
          <w:w w:val="115"/>
        </w:rPr>
        <w:t> </w:t>
      </w:r>
      <w:r>
        <w:rPr>
          <w:b/>
          <w:color w:val="231F20"/>
          <w:w w:val="115"/>
        </w:rPr>
        <w:t>de</w:t>
      </w:r>
      <w:r>
        <w:rPr>
          <w:b/>
          <w:color w:val="231F20"/>
          <w:spacing w:val="-7"/>
          <w:w w:val="115"/>
        </w:rPr>
        <w:t> </w:t>
      </w:r>
      <w:r>
        <w:rPr>
          <w:b/>
          <w:color w:val="231F20"/>
          <w:w w:val="115"/>
        </w:rPr>
        <w:t>bonnes</w:t>
      </w:r>
      <w:r>
        <w:rPr>
          <w:b/>
          <w:color w:val="231F20"/>
          <w:spacing w:val="-7"/>
          <w:w w:val="115"/>
        </w:rPr>
        <w:t> </w:t>
      </w:r>
      <w:r>
        <w:rPr>
          <w:b/>
          <w:color w:val="231F20"/>
          <w:w w:val="115"/>
        </w:rPr>
        <w:t>comparaisons.</w:t>
      </w:r>
      <w:r>
        <w:rPr>
          <w:b/>
          <w:color w:val="231F20"/>
          <w:spacing w:val="-3"/>
          <w:w w:val="115"/>
        </w:rPr>
        <w:t> </w:t>
      </w:r>
      <w:r>
        <w:rPr>
          <w:color w:val="231F20"/>
          <w:w w:val="115"/>
        </w:rPr>
        <w:t>La</w:t>
      </w:r>
      <w:r>
        <w:rPr>
          <w:color w:val="231F20"/>
          <w:spacing w:val="-3"/>
          <w:w w:val="115"/>
        </w:rPr>
        <w:t> </w:t>
      </w:r>
      <w:r>
        <w:rPr>
          <w:color w:val="231F20"/>
          <w:w w:val="115"/>
        </w:rPr>
        <w:t>satisfaction,</w:t>
      </w:r>
      <w:r>
        <w:rPr>
          <w:color w:val="231F20"/>
          <w:spacing w:val="-3"/>
          <w:w w:val="115"/>
        </w:rPr>
        <w:t> </w:t>
      </w:r>
      <w:r>
        <w:rPr>
          <w:color w:val="231F20"/>
          <w:w w:val="115"/>
        </w:rPr>
        <w:t>qu’elle</w:t>
      </w:r>
      <w:r>
        <w:rPr>
          <w:color w:val="231F20"/>
          <w:spacing w:val="-3"/>
          <w:w w:val="115"/>
        </w:rPr>
        <w:t> </w:t>
      </w:r>
      <w:r>
        <w:rPr>
          <w:color w:val="231F20"/>
          <w:w w:val="115"/>
        </w:rPr>
        <w:t>soit</w:t>
      </w:r>
      <w:r>
        <w:rPr>
          <w:color w:val="231F20"/>
          <w:spacing w:val="-3"/>
          <w:w w:val="115"/>
        </w:rPr>
        <w:t> </w:t>
      </w:r>
      <w:r>
        <w:rPr>
          <w:color w:val="231F20"/>
          <w:w w:val="115"/>
        </w:rPr>
        <w:t>personnelle </w:t>
      </w:r>
      <w:r>
        <w:rPr>
          <w:color w:val="231F20"/>
          <w:w w:val="120"/>
        </w:rPr>
        <w:t>ou</w:t>
      </w:r>
      <w:r>
        <w:rPr>
          <w:color w:val="231F20"/>
          <w:spacing w:val="-3"/>
          <w:w w:val="120"/>
        </w:rPr>
        <w:t> </w:t>
      </w:r>
      <w:r>
        <w:rPr>
          <w:color w:val="231F20"/>
          <w:w w:val="120"/>
        </w:rPr>
        <w:t>professionnelle,</w:t>
      </w:r>
      <w:r>
        <w:rPr>
          <w:color w:val="231F20"/>
          <w:spacing w:val="-3"/>
          <w:w w:val="120"/>
        </w:rPr>
        <w:t> </w:t>
      </w:r>
      <w:r>
        <w:rPr>
          <w:color w:val="231F20"/>
          <w:w w:val="120"/>
        </w:rPr>
        <w:t>est</w:t>
      </w:r>
      <w:r>
        <w:rPr>
          <w:color w:val="231F20"/>
          <w:spacing w:val="-3"/>
          <w:w w:val="120"/>
        </w:rPr>
        <w:t> </w:t>
      </w:r>
      <w:r>
        <w:rPr>
          <w:color w:val="231F20"/>
          <w:w w:val="120"/>
        </w:rPr>
        <w:t>un</w:t>
      </w:r>
      <w:r>
        <w:rPr>
          <w:color w:val="231F20"/>
          <w:spacing w:val="-3"/>
          <w:w w:val="120"/>
        </w:rPr>
        <w:t> </w:t>
      </w:r>
      <w:r>
        <w:rPr>
          <w:color w:val="231F20"/>
          <w:w w:val="120"/>
        </w:rPr>
        <w:t>sentiment</w:t>
      </w:r>
      <w:r>
        <w:rPr>
          <w:color w:val="231F20"/>
          <w:spacing w:val="-3"/>
          <w:w w:val="120"/>
        </w:rPr>
        <w:t> </w:t>
      </w:r>
      <w:r>
        <w:rPr>
          <w:color w:val="231F20"/>
          <w:w w:val="120"/>
        </w:rPr>
        <w:t>subjectif</w:t>
      </w:r>
      <w:r>
        <w:rPr>
          <w:color w:val="231F20"/>
          <w:spacing w:val="-3"/>
          <w:w w:val="120"/>
        </w:rPr>
        <w:t> </w:t>
      </w:r>
      <w:r>
        <w:rPr>
          <w:color w:val="231F20"/>
          <w:w w:val="120"/>
        </w:rPr>
        <w:t>qui</w:t>
      </w:r>
      <w:r>
        <w:rPr>
          <w:color w:val="231F20"/>
          <w:spacing w:val="-3"/>
          <w:w w:val="120"/>
        </w:rPr>
        <w:t> </w:t>
      </w:r>
      <w:r>
        <w:rPr>
          <w:color w:val="231F20"/>
          <w:w w:val="120"/>
        </w:rPr>
        <w:t>dépend,</w:t>
      </w:r>
      <w:r>
        <w:rPr>
          <w:color w:val="231F20"/>
          <w:spacing w:val="-3"/>
          <w:w w:val="120"/>
        </w:rPr>
        <w:t> </w:t>
      </w:r>
      <w:r>
        <w:rPr>
          <w:color w:val="231F20"/>
          <w:w w:val="120"/>
        </w:rPr>
        <w:t>entre</w:t>
      </w:r>
      <w:r>
        <w:rPr>
          <w:color w:val="231F20"/>
          <w:spacing w:val="-3"/>
          <w:w w:val="120"/>
        </w:rPr>
        <w:t> </w:t>
      </w:r>
      <w:r>
        <w:rPr>
          <w:color w:val="231F20"/>
          <w:w w:val="120"/>
        </w:rPr>
        <w:t>autres, </w:t>
      </w:r>
      <w:r>
        <w:rPr>
          <w:color w:val="231F20"/>
          <w:w w:val="115"/>
        </w:rPr>
        <w:t>des</w:t>
      </w:r>
      <w:r>
        <w:rPr>
          <w:color w:val="231F20"/>
          <w:spacing w:val="-1"/>
          <w:w w:val="115"/>
        </w:rPr>
        <w:t> </w:t>
      </w:r>
      <w:r>
        <w:rPr>
          <w:color w:val="231F20"/>
          <w:w w:val="115"/>
        </w:rPr>
        <w:t>comparaisons</w:t>
      </w:r>
      <w:r>
        <w:rPr>
          <w:color w:val="231F20"/>
          <w:spacing w:val="-1"/>
          <w:w w:val="115"/>
        </w:rPr>
        <w:t> </w:t>
      </w:r>
      <w:r>
        <w:rPr>
          <w:color w:val="231F20"/>
          <w:w w:val="115"/>
        </w:rPr>
        <w:t>que</w:t>
      </w:r>
      <w:r>
        <w:rPr>
          <w:color w:val="231F20"/>
          <w:spacing w:val="-1"/>
          <w:w w:val="115"/>
        </w:rPr>
        <w:t> </w:t>
      </w:r>
      <w:r>
        <w:rPr>
          <w:color w:val="231F20"/>
          <w:w w:val="115"/>
        </w:rPr>
        <w:t>l’on</w:t>
      </w:r>
      <w:r>
        <w:rPr>
          <w:color w:val="231F20"/>
          <w:spacing w:val="-1"/>
          <w:w w:val="115"/>
        </w:rPr>
        <w:t> </w:t>
      </w:r>
      <w:r>
        <w:rPr>
          <w:color w:val="231F20"/>
          <w:w w:val="115"/>
        </w:rPr>
        <w:t>fait</w:t>
      </w:r>
      <w:r>
        <w:rPr>
          <w:color w:val="231F20"/>
          <w:spacing w:val="-1"/>
          <w:w w:val="115"/>
        </w:rPr>
        <w:t> </w:t>
      </w:r>
      <w:r>
        <w:rPr>
          <w:color w:val="231F20"/>
          <w:w w:val="115"/>
        </w:rPr>
        <w:t>avec</w:t>
      </w:r>
      <w:r>
        <w:rPr>
          <w:color w:val="231F20"/>
          <w:spacing w:val="-1"/>
          <w:w w:val="115"/>
        </w:rPr>
        <w:t> </w:t>
      </w:r>
      <w:r>
        <w:rPr>
          <w:color w:val="231F20"/>
          <w:w w:val="115"/>
        </w:rPr>
        <w:t>ses</w:t>
      </w:r>
      <w:r>
        <w:rPr>
          <w:color w:val="231F20"/>
          <w:spacing w:val="-1"/>
          <w:w w:val="115"/>
        </w:rPr>
        <w:t> </w:t>
      </w:r>
      <w:r>
        <w:rPr>
          <w:color w:val="231F20"/>
          <w:w w:val="115"/>
        </w:rPr>
        <w:t>propres</w:t>
      </w:r>
      <w:r>
        <w:rPr>
          <w:color w:val="231F20"/>
          <w:spacing w:val="-1"/>
          <w:w w:val="115"/>
        </w:rPr>
        <w:t> </w:t>
      </w:r>
      <w:r>
        <w:rPr>
          <w:color w:val="231F20"/>
          <w:w w:val="115"/>
        </w:rPr>
        <w:t>références</w:t>
      </w:r>
      <w:r>
        <w:rPr>
          <w:color w:val="231F20"/>
          <w:spacing w:val="-1"/>
          <w:w w:val="115"/>
        </w:rPr>
        <w:t> </w:t>
      </w:r>
      <w:r>
        <w:rPr>
          <w:color w:val="231F20"/>
          <w:w w:val="115"/>
        </w:rPr>
        <w:t>et</w:t>
      </w:r>
      <w:r>
        <w:rPr>
          <w:color w:val="231F20"/>
          <w:spacing w:val="-1"/>
          <w:w w:val="115"/>
        </w:rPr>
        <w:t> </w:t>
      </w:r>
      <w:r>
        <w:rPr>
          <w:color w:val="231F20"/>
          <w:w w:val="115"/>
        </w:rPr>
        <w:t>celles</w:t>
      </w:r>
      <w:r>
        <w:rPr>
          <w:color w:val="231F20"/>
          <w:spacing w:val="-1"/>
          <w:w w:val="115"/>
        </w:rPr>
        <w:t> </w:t>
      </w:r>
      <w:r>
        <w:rPr>
          <w:color w:val="231F20"/>
          <w:w w:val="115"/>
        </w:rPr>
        <w:t>d’au- trui,</w:t>
      </w:r>
      <w:r>
        <w:rPr>
          <w:color w:val="231F20"/>
          <w:spacing w:val="-13"/>
          <w:w w:val="115"/>
        </w:rPr>
        <w:t> </w:t>
      </w:r>
      <w:r>
        <w:rPr>
          <w:color w:val="231F20"/>
          <w:w w:val="115"/>
        </w:rPr>
        <w:t>selon</w:t>
      </w:r>
      <w:r>
        <w:rPr>
          <w:color w:val="231F20"/>
          <w:spacing w:val="-12"/>
          <w:w w:val="115"/>
        </w:rPr>
        <w:t> </w:t>
      </w:r>
      <w:r>
        <w:rPr>
          <w:color w:val="231F20"/>
          <w:w w:val="115"/>
        </w:rPr>
        <w:t>qu’elles</w:t>
      </w:r>
      <w:r>
        <w:rPr>
          <w:color w:val="231F20"/>
          <w:spacing w:val="-12"/>
          <w:w w:val="115"/>
        </w:rPr>
        <w:t> </w:t>
      </w:r>
      <w:r>
        <w:rPr>
          <w:color w:val="231F20"/>
          <w:w w:val="115"/>
        </w:rPr>
        <w:t>relèvent</w:t>
      </w:r>
      <w:r>
        <w:rPr>
          <w:color w:val="231F20"/>
          <w:spacing w:val="-12"/>
          <w:w w:val="115"/>
        </w:rPr>
        <w:t> </w:t>
      </w:r>
      <w:r>
        <w:rPr>
          <w:color w:val="231F20"/>
          <w:w w:val="115"/>
        </w:rPr>
        <w:t>du</w:t>
      </w:r>
      <w:r>
        <w:rPr>
          <w:color w:val="231F20"/>
          <w:spacing w:val="-13"/>
          <w:w w:val="115"/>
        </w:rPr>
        <w:t> </w:t>
      </w:r>
      <w:r>
        <w:rPr>
          <w:color w:val="231F20"/>
          <w:w w:val="115"/>
        </w:rPr>
        <w:t>passé,</w:t>
      </w:r>
      <w:r>
        <w:rPr>
          <w:color w:val="231F20"/>
          <w:spacing w:val="-12"/>
          <w:w w:val="115"/>
        </w:rPr>
        <w:t> </w:t>
      </w:r>
      <w:r>
        <w:rPr>
          <w:color w:val="231F20"/>
          <w:w w:val="115"/>
        </w:rPr>
        <w:t>du</w:t>
      </w:r>
      <w:r>
        <w:rPr>
          <w:color w:val="231F20"/>
          <w:spacing w:val="-12"/>
          <w:w w:val="115"/>
        </w:rPr>
        <w:t> </w:t>
      </w:r>
      <w:r>
        <w:rPr>
          <w:color w:val="231F20"/>
          <w:w w:val="115"/>
        </w:rPr>
        <w:t>présent</w:t>
      </w:r>
      <w:r>
        <w:rPr>
          <w:color w:val="231F20"/>
          <w:spacing w:val="-12"/>
          <w:w w:val="115"/>
        </w:rPr>
        <w:t> </w:t>
      </w:r>
      <w:r>
        <w:rPr>
          <w:color w:val="231F20"/>
          <w:w w:val="115"/>
        </w:rPr>
        <w:t>ou</w:t>
      </w:r>
      <w:r>
        <w:rPr>
          <w:color w:val="231F20"/>
          <w:spacing w:val="-12"/>
          <w:w w:val="115"/>
        </w:rPr>
        <w:t> </w:t>
      </w:r>
      <w:r>
        <w:rPr>
          <w:color w:val="231F20"/>
          <w:w w:val="115"/>
        </w:rPr>
        <w:t>de</w:t>
      </w:r>
      <w:r>
        <w:rPr>
          <w:color w:val="231F20"/>
          <w:spacing w:val="-13"/>
          <w:w w:val="115"/>
        </w:rPr>
        <w:t> </w:t>
      </w:r>
      <w:r>
        <w:rPr>
          <w:color w:val="231F20"/>
          <w:w w:val="115"/>
        </w:rPr>
        <w:t>l’avenir:</w:t>
      </w:r>
      <w:r>
        <w:rPr>
          <w:color w:val="231F20"/>
          <w:spacing w:val="-12"/>
          <w:w w:val="115"/>
        </w:rPr>
        <w:t> </w:t>
      </w:r>
      <w:r>
        <w:rPr>
          <w:color w:val="231F20"/>
          <w:w w:val="115"/>
        </w:rPr>
        <w:t>«</w:t>
      </w:r>
      <w:r>
        <w:rPr>
          <w:color w:val="231F20"/>
          <w:spacing w:val="-12"/>
          <w:w w:val="115"/>
        </w:rPr>
        <w:t> </w:t>
      </w:r>
      <w:r>
        <w:rPr>
          <w:i/>
          <w:color w:val="231F20"/>
          <w:w w:val="115"/>
        </w:rPr>
        <w:t>Comment va</w:t>
      </w:r>
      <w:r>
        <w:rPr>
          <w:i/>
          <w:color w:val="231F20"/>
          <w:spacing w:val="-13"/>
          <w:w w:val="115"/>
        </w:rPr>
        <w:t> </w:t>
      </w:r>
      <w:r>
        <w:rPr>
          <w:i/>
          <w:color w:val="231F20"/>
          <w:w w:val="115"/>
        </w:rPr>
        <w:t>ton mari? – Par rapport à qui?</w:t>
      </w:r>
      <w:r>
        <w:rPr>
          <w:i/>
          <w:color w:val="231F20"/>
          <w:spacing w:val="-13"/>
          <w:w w:val="115"/>
        </w:rPr>
        <w:t> </w:t>
      </w:r>
      <w:r>
        <w:rPr>
          <w:color w:val="231F20"/>
          <w:w w:val="115"/>
        </w:rPr>
        <w:t>», répondit une dame à l’estime de soi </w:t>
      </w:r>
      <w:r>
        <w:rPr>
          <w:color w:val="231F20"/>
          <w:w w:val="120"/>
        </w:rPr>
        <w:t>bien</w:t>
      </w:r>
      <w:r>
        <w:rPr>
          <w:color w:val="231F20"/>
          <w:spacing w:val="-13"/>
          <w:w w:val="120"/>
        </w:rPr>
        <w:t> </w:t>
      </w:r>
      <w:r>
        <w:rPr>
          <w:color w:val="231F20"/>
          <w:w w:val="120"/>
        </w:rPr>
        <w:t>avisée.</w:t>
      </w:r>
    </w:p>
    <w:p>
      <w:pPr>
        <w:pStyle w:val="BodyText"/>
        <w:spacing w:before="4"/>
        <w:rPr>
          <w:sz w:val="23"/>
        </w:rPr>
      </w:pPr>
    </w:p>
    <w:p>
      <w:pPr>
        <w:pStyle w:val="BodyText"/>
        <w:spacing w:line="307" w:lineRule="auto"/>
        <w:ind w:left="830" w:right="497"/>
        <w:jc w:val="both"/>
      </w:pPr>
      <w:r>
        <w:rPr>
          <w:b/>
          <w:color w:val="231F20"/>
          <w:w w:val="115"/>
        </w:rPr>
        <w:t>Développez</w:t>
      </w:r>
      <w:r>
        <w:rPr>
          <w:b/>
          <w:color w:val="231F20"/>
          <w:spacing w:val="-8"/>
          <w:w w:val="115"/>
        </w:rPr>
        <w:t> </w:t>
      </w:r>
      <w:r>
        <w:rPr>
          <w:b/>
          <w:color w:val="231F20"/>
          <w:w w:val="115"/>
        </w:rPr>
        <w:t>la</w:t>
      </w:r>
      <w:r>
        <w:rPr>
          <w:b/>
          <w:color w:val="231F20"/>
          <w:spacing w:val="-8"/>
          <w:w w:val="115"/>
        </w:rPr>
        <w:t> </w:t>
      </w:r>
      <w:r>
        <w:rPr>
          <w:b/>
          <w:color w:val="231F20"/>
          <w:w w:val="115"/>
        </w:rPr>
        <w:t>fierté</w:t>
      </w:r>
      <w:r>
        <w:rPr>
          <w:b/>
          <w:color w:val="231F20"/>
          <w:spacing w:val="-8"/>
          <w:w w:val="115"/>
        </w:rPr>
        <w:t> </w:t>
      </w:r>
      <w:r>
        <w:rPr>
          <w:b/>
          <w:color w:val="231F20"/>
          <w:w w:val="115"/>
        </w:rPr>
        <w:t>de</w:t>
      </w:r>
      <w:r>
        <w:rPr>
          <w:b/>
          <w:color w:val="231F20"/>
          <w:spacing w:val="-8"/>
          <w:w w:val="115"/>
        </w:rPr>
        <w:t> </w:t>
      </w:r>
      <w:r>
        <w:rPr>
          <w:b/>
          <w:color w:val="231F20"/>
          <w:w w:val="115"/>
        </w:rPr>
        <w:t>votre</w:t>
      </w:r>
      <w:r>
        <w:rPr>
          <w:b/>
          <w:color w:val="231F20"/>
          <w:spacing w:val="-8"/>
          <w:w w:val="115"/>
        </w:rPr>
        <w:t> </w:t>
      </w:r>
      <w:r>
        <w:rPr>
          <w:b/>
          <w:color w:val="231F20"/>
          <w:w w:val="115"/>
        </w:rPr>
        <w:t>appartenance.</w:t>
      </w:r>
      <w:r>
        <w:rPr>
          <w:b/>
          <w:color w:val="231F20"/>
          <w:spacing w:val="-4"/>
          <w:w w:val="115"/>
        </w:rPr>
        <w:t> </w:t>
      </w:r>
      <w:r>
        <w:rPr>
          <w:color w:val="231F20"/>
          <w:w w:val="115"/>
        </w:rPr>
        <w:t>Nous</w:t>
      </w:r>
      <w:r>
        <w:rPr>
          <w:color w:val="231F20"/>
          <w:spacing w:val="-4"/>
          <w:w w:val="115"/>
        </w:rPr>
        <w:t> </w:t>
      </w:r>
      <w:r>
        <w:rPr>
          <w:color w:val="231F20"/>
          <w:w w:val="115"/>
        </w:rPr>
        <w:t>devons</w:t>
      </w:r>
      <w:r>
        <w:rPr>
          <w:color w:val="231F20"/>
          <w:spacing w:val="-4"/>
          <w:w w:val="115"/>
        </w:rPr>
        <w:t> </w:t>
      </w:r>
      <w:r>
        <w:rPr>
          <w:color w:val="231F20"/>
          <w:w w:val="115"/>
        </w:rPr>
        <w:t>aimer</w:t>
      </w:r>
      <w:r>
        <w:rPr>
          <w:color w:val="231F20"/>
          <w:spacing w:val="-4"/>
          <w:w w:val="115"/>
        </w:rPr>
        <w:t> </w:t>
      </w:r>
      <w:r>
        <w:rPr>
          <w:color w:val="231F20"/>
          <w:w w:val="115"/>
        </w:rPr>
        <w:t>le</w:t>
      </w:r>
      <w:r>
        <w:rPr>
          <w:color w:val="231F20"/>
          <w:spacing w:val="-4"/>
          <w:w w:val="115"/>
        </w:rPr>
        <w:t> </w:t>
      </w:r>
      <w:r>
        <w:rPr>
          <w:color w:val="231F20"/>
          <w:w w:val="115"/>
        </w:rPr>
        <w:t>pays </w:t>
      </w:r>
      <w:r>
        <w:rPr>
          <w:color w:val="231F20"/>
          <w:w w:val="120"/>
        </w:rPr>
        <w:t>qui</w:t>
      </w:r>
      <w:r>
        <w:rPr>
          <w:color w:val="231F20"/>
          <w:spacing w:val="-13"/>
          <w:w w:val="120"/>
        </w:rPr>
        <w:t> </w:t>
      </w:r>
      <w:r>
        <w:rPr>
          <w:color w:val="231F20"/>
          <w:w w:val="120"/>
        </w:rPr>
        <w:t>nous</w:t>
      </w:r>
      <w:r>
        <w:rPr>
          <w:color w:val="231F20"/>
          <w:spacing w:val="-13"/>
          <w:w w:val="120"/>
        </w:rPr>
        <w:t> </w:t>
      </w:r>
      <w:r>
        <w:rPr>
          <w:color w:val="231F20"/>
          <w:w w:val="120"/>
        </w:rPr>
        <w:t>a</w:t>
      </w:r>
      <w:r>
        <w:rPr>
          <w:color w:val="231F20"/>
          <w:spacing w:val="-13"/>
          <w:w w:val="120"/>
        </w:rPr>
        <w:t> </w:t>
      </w:r>
      <w:r>
        <w:rPr>
          <w:color w:val="231F20"/>
          <w:w w:val="120"/>
        </w:rPr>
        <w:t>vus</w:t>
      </w:r>
      <w:r>
        <w:rPr>
          <w:color w:val="231F20"/>
          <w:spacing w:val="-12"/>
          <w:w w:val="120"/>
        </w:rPr>
        <w:t> </w:t>
      </w:r>
      <w:r>
        <w:rPr>
          <w:color w:val="231F20"/>
          <w:w w:val="120"/>
        </w:rPr>
        <w:t>naître</w:t>
      </w:r>
      <w:r>
        <w:rPr>
          <w:color w:val="231F20"/>
          <w:spacing w:val="-13"/>
          <w:w w:val="120"/>
        </w:rPr>
        <w:t> </w:t>
      </w:r>
      <w:r>
        <w:rPr>
          <w:color w:val="231F20"/>
          <w:w w:val="120"/>
        </w:rPr>
        <w:t>et</w:t>
      </w:r>
      <w:r>
        <w:rPr>
          <w:color w:val="231F20"/>
          <w:spacing w:val="-13"/>
          <w:w w:val="120"/>
        </w:rPr>
        <w:t> </w:t>
      </w:r>
      <w:r>
        <w:rPr>
          <w:color w:val="231F20"/>
          <w:w w:val="120"/>
        </w:rPr>
        <w:t>l’organisation</w:t>
      </w:r>
      <w:r>
        <w:rPr>
          <w:color w:val="231F20"/>
          <w:spacing w:val="-13"/>
          <w:w w:val="120"/>
        </w:rPr>
        <w:t> </w:t>
      </w:r>
      <w:r>
        <w:rPr>
          <w:color w:val="231F20"/>
          <w:w w:val="120"/>
        </w:rPr>
        <w:t>qui</w:t>
      </w:r>
      <w:r>
        <w:rPr>
          <w:color w:val="231F20"/>
          <w:spacing w:val="-12"/>
          <w:w w:val="120"/>
        </w:rPr>
        <w:t> </w:t>
      </w:r>
      <w:r>
        <w:rPr>
          <w:color w:val="231F20"/>
          <w:w w:val="120"/>
        </w:rPr>
        <w:t>nous</w:t>
      </w:r>
      <w:r>
        <w:rPr>
          <w:color w:val="231F20"/>
          <w:spacing w:val="-13"/>
          <w:w w:val="120"/>
        </w:rPr>
        <w:t> </w:t>
      </w:r>
      <w:r>
        <w:rPr>
          <w:color w:val="231F20"/>
          <w:w w:val="120"/>
        </w:rPr>
        <w:t>emploie.</w:t>
      </w:r>
      <w:r>
        <w:rPr>
          <w:color w:val="231F20"/>
          <w:spacing w:val="-13"/>
          <w:w w:val="120"/>
        </w:rPr>
        <w:t> </w:t>
      </w:r>
      <w:r>
        <w:rPr>
          <w:color w:val="231F20"/>
          <w:w w:val="120"/>
        </w:rPr>
        <w:t>Nos</w:t>
      </w:r>
      <w:r>
        <w:rPr>
          <w:color w:val="231F20"/>
          <w:spacing w:val="-13"/>
          <w:w w:val="120"/>
        </w:rPr>
        <w:t> </w:t>
      </w:r>
      <w:r>
        <w:rPr>
          <w:color w:val="231F20"/>
          <w:w w:val="120"/>
        </w:rPr>
        <w:t>origines</w:t>
      </w:r>
      <w:r>
        <w:rPr>
          <w:color w:val="231F20"/>
          <w:spacing w:val="-12"/>
          <w:w w:val="120"/>
        </w:rPr>
        <w:t> </w:t>
      </w:r>
      <w:r>
        <w:rPr>
          <w:color w:val="231F20"/>
          <w:w w:val="120"/>
        </w:rPr>
        <w:t>et notre</w:t>
      </w:r>
      <w:r>
        <w:rPr>
          <w:color w:val="231F20"/>
          <w:spacing w:val="-13"/>
          <w:w w:val="120"/>
        </w:rPr>
        <w:t> </w:t>
      </w:r>
      <w:r>
        <w:rPr>
          <w:color w:val="231F20"/>
          <w:w w:val="120"/>
        </w:rPr>
        <w:t>travail</w:t>
      </w:r>
      <w:r>
        <w:rPr>
          <w:color w:val="231F20"/>
          <w:spacing w:val="-13"/>
          <w:w w:val="120"/>
        </w:rPr>
        <w:t> </w:t>
      </w:r>
      <w:r>
        <w:rPr>
          <w:color w:val="231F20"/>
          <w:w w:val="120"/>
        </w:rPr>
        <w:t>doivent</w:t>
      </w:r>
      <w:r>
        <w:rPr>
          <w:color w:val="231F20"/>
          <w:spacing w:val="-13"/>
          <w:w w:val="120"/>
        </w:rPr>
        <w:t> </w:t>
      </w:r>
      <w:r>
        <w:rPr>
          <w:color w:val="231F20"/>
          <w:w w:val="120"/>
        </w:rPr>
        <w:t>être</w:t>
      </w:r>
      <w:r>
        <w:rPr>
          <w:color w:val="231F20"/>
          <w:spacing w:val="-12"/>
          <w:w w:val="120"/>
        </w:rPr>
        <w:t> </w:t>
      </w:r>
      <w:r>
        <w:rPr>
          <w:color w:val="231F20"/>
          <w:w w:val="120"/>
        </w:rPr>
        <w:t>considérés,</w:t>
      </w:r>
      <w:r>
        <w:rPr>
          <w:color w:val="231F20"/>
          <w:spacing w:val="-13"/>
          <w:w w:val="120"/>
        </w:rPr>
        <w:t> </w:t>
      </w:r>
      <w:r>
        <w:rPr>
          <w:color w:val="231F20"/>
          <w:w w:val="120"/>
        </w:rPr>
        <w:t>non</w:t>
      </w:r>
      <w:r>
        <w:rPr>
          <w:color w:val="231F20"/>
          <w:spacing w:val="-13"/>
          <w:w w:val="120"/>
        </w:rPr>
        <w:t> </w:t>
      </w:r>
      <w:r>
        <w:rPr>
          <w:color w:val="231F20"/>
          <w:w w:val="120"/>
        </w:rPr>
        <w:t>pas</w:t>
      </w:r>
      <w:r>
        <w:rPr>
          <w:color w:val="231F20"/>
          <w:spacing w:val="-13"/>
          <w:w w:val="120"/>
        </w:rPr>
        <w:t> </w:t>
      </w:r>
      <w:r>
        <w:rPr>
          <w:color w:val="231F20"/>
          <w:w w:val="120"/>
        </w:rPr>
        <w:t>comme</w:t>
      </w:r>
      <w:r>
        <w:rPr>
          <w:color w:val="231F20"/>
          <w:spacing w:val="-12"/>
          <w:w w:val="120"/>
        </w:rPr>
        <w:t> </w:t>
      </w:r>
      <w:r>
        <w:rPr>
          <w:color w:val="231F20"/>
          <w:w w:val="120"/>
        </w:rPr>
        <w:t>une</w:t>
      </w:r>
      <w:r>
        <w:rPr>
          <w:color w:val="231F20"/>
          <w:spacing w:val="-13"/>
          <w:w w:val="120"/>
        </w:rPr>
        <w:t> </w:t>
      </w:r>
      <w:r>
        <w:rPr>
          <w:color w:val="231F20"/>
          <w:w w:val="120"/>
        </w:rPr>
        <w:t>source</w:t>
      </w:r>
      <w:r>
        <w:rPr>
          <w:color w:val="231F20"/>
          <w:spacing w:val="-13"/>
          <w:w w:val="120"/>
        </w:rPr>
        <w:t> </w:t>
      </w:r>
      <w:r>
        <w:rPr>
          <w:color w:val="231F20"/>
          <w:w w:val="120"/>
        </w:rPr>
        <w:t>d’arro- gance</w:t>
      </w:r>
      <w:r>
        <w:rPr>
          <w:color w:val="231F20"/>
          <w:spacing w:val="-13"/>
          <w:w w:val="120"/>
        </w:rPr>
        <w:t> </w:t>
      </w:r>
      <w:r>
        <w:rPr>
          <w:color w:val="231F20"/>
          <w:w w:val="120"/>
        </w:rPr>
        <w:t>identitaire,</w:t>
      </w:r>
      <w:r>
        <w:rPr>
          <w:color w:val="231F20"/>
          <w:spacing w:val="-13"/>
          <w:w w:val="120"/>
        </w:rPr>
        <w:t> </w:t>
      </w:r>
      <w:r>
        <w:rPr>
          <w:color w:val="231F20"/>
          <w:w w:val="120"/>
        </w:rPr>
        <w:t>mais</w:t>
      </w:r>
      <w:r>
        <w:rPr>
          <w:color w:val="231F20"/>
          <w:spacing w:val="-13"/>
          <w:w w:val="120"/>
        </w:rPr>
        <w:t> </w:t>
      </w:r>
      <w:r>
        <w:rPr>
          <w:color w:val="231F20"/>
          <w:w w:val="120"/>
        </w:rPr>
        <w:t>comme</w:t>
      </w:r>
      <w:r>
        <w:rPr>
          <w:color w:val="231F20"/>
          <w:spacing w:val="-12"/>
          <w:w w:val="120"/>
        </w:rPr>
        <w:t> </w:t>
      </w:r>
      <w:r>
        <w:rPr>
          <w:color w:val="231F20"/>
          <w:w w:val="120"/>
        </w:rPr>
        <w:t>des</w:t>
      </w:r>
      <w:r>
        <w:rPr>
          <w:color w:val="231F20"/>
          <w:spacing w:val="-13"/>
          <w:w w:val="120"/>
        </w:rPr>
        <w:t> </w:t>
      </w:r>
      <w:r>
        <w:rPr>
          <w:color w:val="231F20"/>
          <w:w w:val="120"/>
        </w:rPr>
        <w:t>racines</w:t>
      </w:r>
      <w:r>
        <w:rPr>
          <w:color w:val="231F20"/>
          <w:spacing w:val="-13"/>
          <w:w w:val="120"/>
        </w:rPr>
        <w:t> </w:t>
      </w:r>
      <w:r>
        <w:rPr>
          <w:color w:val="231F20"/>
          <w:w w:val="120"/>
        </w:rPr>
        <w:t>précieuses</w:t>
      </w:r>
      <w:r>
        <w:rPr>
          <w:color w:val="231F20"/>
          <w:spacing w:val="-13"/>
          <w:w w:val="120"/>
        </w:rPr>
        <w:t> </w:t>
      </w:r>
      <w:r>
        <w:rPr>
          <w:color w:val="231F20"/>
          <w:w w:val="120"/>
        </w:rPr>
        <w:t>et</w:t>
      </w:r>
      <w:r>
        <w:rPr>
          <w:color w:val="231F20"/>
          <w:spacing w:val="-12"/>
          <w:w w:val="120"/>
        </w:rPr>
        <w:t> </w:t>
      </w:r>
      <w:r>
        <w:rPr>
          <w:color w:val="231F20"/>
          <w:w w:val="120"/>
        </w:rPr>
        <w:t>la</w:t>
      </w:r>
      <w:r>
        <w:rPr>
          <w:color w:val="231F20"/>
          <w:spacing w:val="-13"/>
          <w:w w:val="120"/>
        </w:rPr>
        <w:t> </w:t>
      </w:r>
      <w:r>
        <w:rPr>
          <w:color w:val="231F20"/>
          <w:w w:val="120"/>
        </w:rPr>
        <w:t>source</w:t>
      </w:r>
      <w:r>
        <w:rPr>
          <w:color w:val="231F20"/>
          <w:spacing w:val="-13"/>
          <w:w w:val="120"/>
        </w:rPr>
        <w:t> </w:t>
      </w:r>
      <w:r>
        <w:rPr>
          <w:color w:val="231F20"/>
          <w:w w:val="120"/>
        </w:rPr>
        <w:t>d’une fierté légitime et d’une culture différenciée. Nous devons essayer de concrétiser cette fierté.</w:t>
      </w:r>
    </w:p>
    <w:p>
      <w:pPr>
        <w:pStyle w:val="BodyText"/>
        <w:spacing w:before="5"/>
        <w:rPr>
          <w:sz w:val="23"/>
        </w:rPr>
      </w:pPr>
    </w:p>
    <w:p>
      <w:pPr>
        <w:pStyle w:val="BodyText"/>
        <w:spacing w:line="307" w:lineRule="auto"/>
        <w:ind w:left="830" w:right="496"/>
        <w:jc w:val="both"/>
      </w:pPr>
      <w:r>
        <w:rPr>
          <w:b/>
          <w:color w:val="231F20"/>
          <w:w w:val="120"/>
        </w:rPr>
        <w:t>Décidez</w:t>
      </w:r>
      <w:r>
        <w:rPr>
          <w:b/>
          <w:color w:val="231F20"/>
          <w:spacing w:val="-13"/>
          <w:w w:val="120"/>
        </w:rPr>
        <w:t> </w:t>
      </w:r>
      <w:r>
        <w:rPr>
          <w:b/>
          <w:color w:val="231F20"/>
          <w:w w:val="120"/>
        </w:rPr>
        <w:t>de</w:t>
      </w:r>
      <w:r>
        <w:rPr>
          <w:b/>
          <w:color w:val="231F20"/>
          <w:spacing w:val="-13"/>
          <w:w w:val="120"/>
        </w:rPr>
        <w:t> </w:t>
      </w:r>
      <w:r>
        <w:rPr>
          <w:b/>
          <w:color w:val="231F20"/>
          <w:w w:val="120"/>
        </w:rPr>
        <w:t>prendre</w:t>
      </w:r>
      <w:r>
        <w:rPr>
          <w:b/>
          <w:color w:val="231F20"/>
          <w:spacing w:val="-13"/>
          <w:w w:val="120"/>
        </w:rPr>
        <w:t> </w:t>
      </w:r>
      <w:r>
        <w:rPr>
          <w:b/>
          <w:color w:val="231F20"/>
          <w:w w:val="120"/>
        </w:rPr>
        <w:t>le</w:t>
      </w:r>
      <w:r>
        <w:rPr>
          <w:b/>
          <w:color w:val="231F20"/>
          <w:spacing w:val="-12"/>
          <w:w w:val="120"/>
        </w:rPr>
        <w:t> </w:t>
      </w:r>
      <w:r>
        <w:rPr>
          <w:b/>
          <w:color w:val="231F20"/>
          <w:w w:val="120"/>
        </w:rPr>
        <w:t>temps.</w:t>
      </w:r>
      <w:r>
        <w:rPr>
          <w:b/>
          <w:color w:val="231F20"/>
          <w:spacing w:val="-13"/>
          <w:w w:val="120"/>
        </w:rPr>
        <w:t> </w:t>
      </w:r>
      <w:r>
        <w:rPr>
          <w:color w:val="231F20"/>
          <w:w w:val="120"/>
        </w:rPr>
        <w:t>Pour</w:t>
      </w:r>
      <w:r>
        <w:rPr>
          <w:color w:val="231F20"/>
          <w:spacing w:val="-10"/>
          <w:w w:val="120"/>
        </w:rPr>
        <w:t> </w:t>
      </w:r>
      <w:r>
        <w:rPr>
          <w:color w:val="231F20"/>
          <w:w w:val="120"/>
        </w:rPr>
        <w:t>humaniser</w:t>
      </w:r>
      <w:r>
        <w:rPr>
          <w:color w:val="231F20"/>
          <w:spacing w:val="-10"/>
          <w:w w:val="120"/>
        </w:rPr>
        <w:t> </w:t>
      </w:r>
      <w:r>
        <w:rPr>
          <w:color w:val="231F20"/>
          <w:w w:val="120"/>
        </w:rPr>
        <w:t>sa</w:t>
      </w:r>
      <w:r>
        <w:rPr>
          <w:color w:val="231F20"/>
          <w:spacing w:val="-10"/>
          <w:w w:val="120"/>
        </w:rPr>
        <w:t> </w:t>
      </w:r>
      <w:r>
        <w:rPr>
          <w:color w:val="231F20"/>
          <w:w w:val="120"/>
        </w:rPr>
        <w:t>vie,</w:t>
      </w:r>
      <w:r>
        <w:rPr>
          <w:color w:val="231F20"/>
          <w:spacing w:val="-10"/>
          <w:w w:val="120"/>
        </w:rPr>
        <w:t> </w:t>
      </w:r>
      <w:r>
        <w:rPr>
          <w:color w:val="231F20"/>
          <w:w w:val="120"/>
        </w:rPr>
        <w:t>il</w:t>
      </w:r>
      <w:r>
        <w:rPr>
          <w:color w:val="231F20"/>
          <w:spacing w:val="-10"/>
          <w:w w:val="120"/>
        </w:rPr>
        <w:t> </w:t>
      </w:r>
      <w:r>
        <w:rPr>
          <w:color w:val="231F20"/>
          <w:w w:val="120"/>
        </w:rPr>
        <w:t>faut</w:t>
      </w:r>
      <w:r>
        <w:rPr>
          <w:color w:val="231F20"/>
          <w:spacing w:val="-10"/>
          <w:w w:val="120"/>
        </w:rPr>
        <w:t> </w:t>
      </w:r>
      <w:r>
        <w:rPr>
          <w:color w:val="231F20"/>
          <w:w w:val="120"/>
        </w:rPr>
        <w:t>décider</w:t>
      </w:r>
      <w:r>
        <w:rPr>
          <w:color w:val="231F20"/>
          <w:spacing w:val="-10"/>
          <w:w w:val="120"/>
        </w:rPr>
        <w:t> </w:t>
      </w:r>
      <w:r>
        <w:rPr>
          <w:color w:val="231F20"/>
          <w:w w:val="120"/>
        </w:rPr>
        <w:t>de consacrer</w:t>
      </w:r>
      <w:r>
        <w:rPr>
          <w:color w:val="231F20"/>
          <w:spacing w:val="-15"/>
          <w:w w:val="120"/>
        </w:rPr>
        <w:t> </w:t>
      </w:r>
      <w:r>
        <w:rPr>
          <w:color w:val="231F20"/>
          <w:w w:val="120"/>
        </w:rPr>
        <w:t>du</w:t>
      </w:r>
      <w:r>
        <w:rPr>
          <w:color w:val="231F20"/>
          <w:spacing w:val="-13"/>
          <w:w w:val="120"/>
        </w:rPr>
        <w:t> </w:t>
      </w:r>
      <w:r>
        <w:rPr>
          <w:color w:val="231F20"/>
          <w:w w:val="120"/>
        </w:rPr>
        <w:t>temps</w:t>
      </w:r>
      <w:r>
        <w:rPr>
          <w:color w:val="231F20"/>
          <w:spacing w:val="-13"/>
          <w:w w:val="120"/>
        </w:rPr>
        <w:t> </w:t>
      </w:r>
      <w:r>
        <w:rPr>
          <w:color w:val="231F20"/>
          <w:w w:val="120"/>
        </w:rPr>
        <w:t>aux</w:t>
      </w:r>
      <w:r>
        <w:rPr>
          <w:color w:val="231F20"/>
          <w:spacing w:val="-12"/>
          <w:w w:val="120"/>
        </w:rPr>
        <w:t> </w:t>
      </w:r>
      <w:r>
        <w:rPr>
          <w:color w:val="231F20"/>
          <w:w w:val="120"/>
        </w:rPr>
        <w:t>tâches</w:t>
      </w:r>
      <w:r>
        <w:rPr>
          <w:color w:val="231F20"/>
          <w:spacing w:val="-13"/>
          <w:w w:val="120"/>
        </w:rPr>
        <w:t> </w:t>
      </w:r>
      <w:r>
        <w:rPr>
          <w:color w:val="231F20"/>
          <w:w w:val="120"/>
        </w:rPr>
        <w:t>essentielles</w:t>
      </w:r>
      <w:r>
        <w:rPr>
          <w:color w:val="231F20"/>
          <w:spacing w:val="-13"/>
          <w:w w:val="120"/>
        </w:rPr>
        <w:t> </w:t>
      </w:r>
      <w:r>
        <w:rPr>
          <w:color w:val="231F20"/>
          <w:w w:val="120"/>
        </w:rPr>
        <w:t>telles</w:t>
      </w:r>
      <w:r>
        <w:rPr>
          <w:color w:val="231F20"/>
          <w:spacing w:val="-13"/>
          <w:w w:val="120"/>
        </w:rPr>
        <w:t> </w:t>
      </w:r>
      <w:r>
        <w:rPr>
          <w:color w:val="231F20"/>
          <w:w w:val="120"/>
        </w:rPr>
        <w:t>que</w:t>
      </w:r>
      <w:r>
        <w:rPr>
          <w:color w:val="231F20"/>
          <w:spacing w:val="-12"/>
          <w:w w:val="120"/>
        </w:rPr>
        <w:t> </w:t>
      </w:r>
      <w:r>
        <w:rPr>
          <w:color w:val="231F20"/>
          <w:w w:val="120"/>
        </w:rPr>
        <w:t>le</w:t>
      </w:r>
      <w:r>
        <w:rPr>
          <w:color w:val="231F20"/>
          <w:spacing w:val="-13"/>
          <w:w w:val="120"/>
        </w:rPr>
        <w:t> </w:t>
      </w:r>
      <w:r>
        <w:rPr>
          <w:color w:val="231F20"/>
          <w:w w:val="120"/>
        </w:rPr>
        <w:t>jeu,</w:t>
      </w:r>
      <w:r>
        <w:rPr>
          <w:color w:val="231F20"/>
          <w:spacing w:val="-13"/>
          <w:w w:val="120"/>
        </w:rPr>
        <w:t> </w:t>
      </w:r>
      <w:r>
        <w:rPr>
          <w:color w:val="231F20"/>
          <w:w w:val="120"/>
        </w:rPr>
        <w:t>la</w:t>
      </w:r>
      <w:r>
        <w:rPr>
          <w:color w:val="231F20"/>
          <w:spacing w:val="-13"/>
          <w:w w:val="120"/>
        </w:rPr>
        <w:t> </w:t>
      </w:r>
      <w:r>
        <w:rPr>
          <w:color w:val="231F20"/>
          <w:w w:val="120"/>
        </w:rPr>
        <w:t>lecture,</w:t>
      </w:r>
      <w:r>
        <w:rPr>
          <w:color w:val="231F20"/>
          <w:spacing w:val="-12"/>
          <w:w w:val="120"/>
        </w:rPr>
        <w:t> </w:t>
      </w:r>
      <w:r>
        <w:rPr>
          <w:color w:val="231F20"/>
          <w:w w:val="120"/>
        </w:rPr>
        <w:t>la réflexion,</w:t>
      </w:r>
      <w:r>
        <w:rPr>
          <w:color w:val="231F20"/>
          <w:spacing w:val="-4"/>
          <w:w w:val="120"/>
        </w:rPr>
        <w:t> </w:t>
      </w:r>
      <w:r>
        <w:rPr>
          <w:color w:val="231F20"/>
          <w:w w:val="120"/>
        </w:rPr>
        <w:t>et</w:t>
      </w:r>
      <w:r>
        <w:rPr>
          <w:color w:val="231F20"/>
          <w:spacing w:val="-4"/>
          <w:w w:val="120"/>
        </w:rPr>
        <w:t> </w:t>
      </w:r>
      <w:r>
        <w:rPr>
          <w:color w:val="231F20"/>
          <w:w w:val="120"/>
        </w:rPr>
        <w:t>prendre</w:t>
      </w:r>
      <w:r>
        <w:rPr>
          <w:color w:val="231F20"/>
          <w:spacing w:val="-4"/>
          <w:w w:val="120"/>
        </w:rPr>
        <w:t> </w:t>
      </w:r>
      <w:r>
        <w:rPr>
          <w:color w:val="231F20"/>
          <w:w w:val="120"/>
        </w:rPr>
        <w:t>le</w:t>
      </w:r>
      <w:r>
        <w:rPr>
          <w:color w:val="231F20"/>
          <w:spacing w:val="-4"/>
          <w:w w:val="120"/>
        </w:rPr>
        <w:t> </w:t>
      </w:r>
      <w:r>
        <w:rPr>
          <w:color w:val="231F20"/>
          <w:w w:val="120"/>
        </w:rPr>
        <w:t>temps</w:t>
      </w:r>
      <w:r>
        <w:rPr>
          <w:color w:val="231F20"/>
          <w:spacing w:val="-4"/>
          <w:w w:val="120"/>
        </w:rPr>
        <w:t> </w:t>
      </w:r>
      <w:r>
        <w:rPr>
          <w:color w:val="231F20"/>
          <w:w w:val="120"/>
        </w:rPr>
        <w:t>de</w:t>
      </w:r>
      <w:r>
        <w:rPr>
          <w:color w:val="231F20"/>
          <w:spacing w:val="-4"/>
          <w:w w:val="120"/>
        </w:rPr>
        <w:t> </w:t>
      </w:r>
      <w:r>
        <w:rPr>
          <w:color w:val="231F20"/>
          <w:w w:val="120"/>
        </w:rPr>
        <w:t>tout</w:t>
      </w:r>
      <w:r>
        <w:rPr>
          <w:color w:val="231F20"/>
          <w:spacing w:val="-4"/>
          <w:w w:val="120"/>
        </w:rPr>
        <w:t> </w:t>
      </w:r>
      <w:r>
        <w:rPr>
          <w:color w:val="231F20"/>
          <w:w w:val="120"/>
        </w:rPr>
        <w:t>simplement</w:t>
      </w:r>
      <w:r>
        <w:rPr>
          <w:color w:val="231F20"/>
          <w:spacing w:val="-4"/>
          <w:w w:val="120"/>
        </w:rPr>
        <w:t> </w:t>
      </w:r>
      <w:r>
        <w:rPr>
          <w:color w:val="231F20"/>
          <w:w w:val="120"/>
        </w:rPr>
        <w:t>vivre.</w:t>
      </w:r>
      <w:r>
        <w:rPr>
          <w:color w:val="231F20"/>
          <w:spacing w:val="-4"/>
          <w:w w:val="120"/>
        </w:rPr>
        <w:t> </w:t>
      </w:r>
      <w:r>
        <w:rPr>
          <w:color w:val="231F20"/>
          <w:w w:val="120"/>
        </w:rPr>
        <w:t>Cette</w:t>
      </w:r>
      <w:r>
        <w:rPr>
          <w:color w:val="231F20"/>
          <w:spacing w:val="-4"/>
          <w:w w:val="120"/>
        </w:rPr>
        <w:t> </w:t>
      </w:r>
      <w:r>
        <w:rPr>
          <w:color w:val="231F20"/>
          <w:w w:val="120"/>
        </w:rPr>
        <w:t>décision doit</w:t>
      </w:r>
      <w:r>
        <w:rPr>
          <w:color w:val="231F20"/>
          <w:spacing w:val="-11"/>
          <w:w w:val="120"/>
        </w:rPr>
        <w:t> </w:t>
      </w:r>
      <w:r>
        <w:rPr>
          <w:color w:val="231F20"/>
          <w:w w:val="120"/>
        </w:rPr>
        <w:t>être</w:t>
      </w:r>
      <w:r>
        <w:rPr>
          <w:color w:val="231F20"/>
          <w:spacing w:val="-11"/>
          <w:w w:val="120"/>
        </w:rPr>
        <w:t> </w:t>
      </w:r>
      <w:r>
        <w:rPr>
          <w:color w:val="231F20"/>
          <w:w w:val="120"/>
        </w:rPr>
        <w:t>légitimée</w:t>
      </w:r>
      <w:r>
        <w:rPr>
          <w:color w:val="231F20"/>
          <w:spacing w:val="-11"/>
          <w:w w:val="120"/>
        </w:rPr>
        <w:t> </w:t>
      </w:r>
      <w:r>
        <w:rPr>
          <w:color w:val="231F20"/>
          <w:w w:val="120"/>
        </w:rPr>
        <w:t>et</w:t>
      </w:r>
      <w:r>
        <w:rPr>
          <w:color w:val="231F20"/>
          <w:spacing w:val="-11"/>
          <w:w w:val="120"/>
        </w:rPr>
        <w:t> </w:t>
      </w:r>
      <w:r>
        <w:rPr>
          <w:color w:val="231F20"/>
          <w:w w:val="120"/>
        </w:rPr>
        <w:t>mise</w:t>
      </w:r>
      <w:r>
        <w:rPr>
          <w:color w:val="231F20"/>
          <w:spacing w:val="-11"/>
          <w:w w:val="120"/>
        </w:rPr>
        <w:t> </w:t>
      </w:r>
      <w:r>
        <w:rPr>
          <w:color w:val="231F20"/>
          <w:w w:val="120"/>
        </w:rPr>
        <w:t>en</w:t>
      </w:r>
      <w:r>
        <w:rPr>
          <w:color w:val="231F20"/>
          <w:spacing w:val="-11"/>
          <w:w w:val="120"/>
        </w:rPr>
        <w:t> </w:t>
      </w:r>
      <w:r>
        <w:rPr>
          <w:color w:val="231F20"/>
          <w:w w:val="120"/>
        </w:rPr>
        <w:t>pratique</w:t>
      </w:r>
      <w:r>
        <w:rPr>
          <w:color w:val="231F20"/>
          <w:spacing w:val="-11"/>
          <w:w w:val="120"/>
        </w:rPr>
        <w:t> </w:t>
      </w:r>
      <w:r>
        <w:rPr>
          <w:color w:val="231F20"/>
          <w:w w:val="120"/>
        </w:rPr>
        <w:t>dans</w:t>
      </w:r>
      <w:r>
        <w:rPr>
          <w:color w:val="231F20"/>
          <w:spacing w:val="-11"/>
          <w:w w:val="120"/>
        </w:rPr>
        <w:t> </w:t>
      </w:r>
      <w:r>
        <w:rPr>
          <w:color w:val="231F20"/>
          <w:w w:val="120"/>
        </w:rPr>
        <w:t>toutes</w:t>
      </w:r>
      <w:r>
        <w:rPr>
          <w:color w:val="231F20"/>
          <w:spacing w:val="-11"/>
          <w:w w:val="120"/>
        </w:rPr>
        <w:t> </w:t>
      </w:r>
      <w:r>
        <w:rPr>
          <w:color w:val="231F20"/>
          <w:w w:val="120"/>
        </w:rPr>
        <w:t>les</w:t>
      </w:r>
      <w:r>
        <w:rPr>
          <w:color w:val="231F20"/>
          <w:spacing w:val="-11"/>
          <w:w w:val="120"/>
        </w:rPr>
        <w:t> </w:t>
      </w:r>
      <w:r>
        <w:rPr>
          <w:color w:val="231F20"/>
          <w:w w:val="120"/>
        </w:rPr>
        <w:t>strates</w:t>
      </w:r>
      <w:r>
        <w:rPr>
          <w:color w:val="231F20"/>
          <w:spacing w:val="-11"/>
          <w:w w:val="120"/>
        </w:rPr>
        <w:t> </w:t>
      </w:r>
      <w:r>
        <w:rPr>
          <w:color w:val="231F20"/>
          <w:w w:val="120"/>
        </w:rPr>
        <w:t>du</w:t>
      </w:r>
      <w:r>
        <w:rPr>
          <w:color w:val="231F20"/>
          <w:spacing w:val="-11"/>
          <w:w w:val="120"/>
        </w:rPr>
        <w:t> </w:t>
      </w:r>
      <w:r>
        <w:rPr>
          <w:color w:val="231F20"/>
          <w:w w:val="120"/>
        </w:rPr>
        <w:t>pouvoir et</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gestion</w:t>
      </w:r>
      <w:r>
        <w:rPr>
          <w:color w:val="231F20"/>
          <w:spacing w:val="-11"/>
          <w:w w:val="120"/>
        </w:rPr>
        <w:t> </w:t>
      </w:r>
      <w:r>
        <w:rPr>
          <w:color w:val="231F20"/>
          <w:w w:val="120"/>
        </w:rPr>
        <w:t>dont</w:t>
      </w:r>
      <w:r>
        <w:rPr>
          <w:color w:val="231F20"/>
          <w:spacing w:val="-11"/>
          <w:w w:val="120"/>
        </w:rPr>
        <w:t> </w:t>
      </w:r>
      <w:r>
        <w:rPr>
          <w:color w:val="231F20"/>
          <w:w w:val="120"/>
        </w:rPr>
        <w:t>chacun</w:t>
      </w:r>
      <w:r>
        <w:rPr>
          <w:color w:val="231F20"/>
          <w:spacing w:val="-11"/>
          <w:w w:val="120"/>
        </w:rPr>
        <w:t> </w:t>
      </w:r>
      <w:r>
        <w:rPr>
          <w:color w:val="231F20"/>
          <w:w w:val="120"/>
        </w:rPr>
        <w:t>dispose</w:t>
      </w:r>
      <w:r>
        <w:rPr>
          <w:color w:val="231F20"/>
          <w:spacing w:val="-11"/>
          <w:w w:val="120"/>
        </w:rPr>
        <w:t> </w:t>
      </w:r>
      <w:r>
        <w:rPr>
          <w:color w:val="231F20"/>
          <w:w w:val="120"/>
        </w:rPr>
        <w:t>sur</w:t>
      </w:r>
      <w:r>
        <w:rPr>
          <w:color w:val="231F20"/>
          <w:spacing w:val="-11"/>
          <w:w w:val="120"/>
        </w:rPr>
        <w:t> </w:t>
      </w:r>
      <w:r>
        <w:rPr>
          <w:color w:val="231F20"/>
          <w:w w:val="120"/>
        </w:rPr>
        <w:t>sa</w:t>
      </w:r>
      <w:r>
        <w:rPr>
          <w:color w:val="231F20"/>
          <w:spacing w:val="-11"/>
          <w:w w:val="120"/>
        </w:rPr>
        <w:t> </w:t>
      </w:r>
      <w:r>
        <w:rPr>
          <w:color w:val="231F20"/>
          <w:w w:val="120"/>
        </w:rPr>
        <w:t>propre</w:t>
      </w:r>
      <w:r>
        <w:rPr>
          <w:color w:val="231F20"/>
          <w:spacing w:val="-11"/>
          <w:w w:val="120"/>
        </w:rPr>
        <w:t> </w:t>
      </w:r>
      <w:r>
        <w:rPr>
          <w:color w:val="231F20"/>
          <w:w w:val="120"/>
        </w:rPr>
        <w:t>vie.</w:t>
      </w:r>
      <w:r>
        <w:rPr>
          <w:color w:val="231F20"/>
          <w:spacing w:val="-11"/>
          <w:w w:val="120"/>
        </w:rPr>
        <w:t> </w:t>
      </w:r>
      <w:r>
        <w:rPr>
          <w:color w:val="231F20"/>
          <w:w w:val="120"/>
        </w:rPr>
        <w:t>Plus</w:t>
      </w:r>
      <w:r>
        <w:rPr>
          <w:color w:val="231F20"/>
          <w:spacing w:val="-11"/>
          <w:w w:val="120"/>
        </w:rPr>
        <w:t> </w:t>
      </w:r>
      <w:r>
        <w:rPr>
          <w:color w:val="231F20"/>
          <w:w w:val="120"/>
        </w:rPr>
        <w:t>particulière- ment,</w:t>
      </w:r>
      <w:r>
        <w:rPr>
          <w:color w:val="231F20"/>
          <w:spacing w:val="-15"/>
          <w:w w:val="120"/>
        </w:rPr>
        <w:t> </w:t>
      </w:r>
      <w:r>
        <w:rPr>
          <w:color w:val="231F20"/>
          <w:w w:val="120"/>
        </w:rPr>
        <w:t>il</w:t>
      </w:r>
      <w:r>
        <w:rPr>
          <w:color w:val="231F20"/>
          <w:spacing w:val="-15"/>
          <w:w w:val="120"/>
        </w:rPr>
        <w:t> </w:t>
      </w:r>
      <w:r>
        <w:rPr>
          <w:color w:val="231F20"/>
          <w:w w:val="120"/>
        </w:rPr>
        <w:t>nous</w:t>
      </w:r>
      <w:r>
        <w:rPr>
          <w:color w:val="231F20"/>
          <w:spacing w:val="-15"/>
          <w:w w:val="120"/>
        </w:rPr>
        <w:t> </w:t>
      </w:r>
      <w:r>
        <w:rPr>
          <w:color w:val="231F20"/>
          <w:w w:val="120"/>
        </w:rPr>
        <w:t>faut</w:t>
      </w:r>
      <w:r>
        <w:rPr>
          <w:color w:val="231F20"/>
          <w:spacing w:val="-15"/>
          <w:w w:val="120"/>
        </w:rPr>
        <w:t> </w:t>
      </w:r>
      <w:r>
        <w:rPr>
          <w:color w:val="231F20"/>
          <w:w w:val="120"/>
        </w:rPr>
        <w:t>savoir</w:t>
      </w:r>
      <w:r>
        <w:rPr>
          <w:color w:val="231F20"/>
          <w:spacing w:val="-15"/>
          <w:w w:val="120"/>
        </w:rPr>
        <w:t> </w:t>
      </w:r>
      <w:r>
        <w:rPr>
          <w:color w:val="231F20"/>
          <w:w w:val="120"/>
        </w:rPr>
        <w:t>que</w:t>
      </w:r>
      <w:r>
        <w:rPr>
          <w:color w:val="231F20"/>
          <w:spacing w:val="-14"/>
          <w:w w:val="120"/>
        </w:rPr>
        <w:t> </w:t>
      </w:r>
      <w:r>
        <w:rPr>
          <w:color w:val="231F20"/>
          <w:w w:val="120"/>
        </w:rPr>
        <w:t>personne</w:t>
      </w:r>
      <w:r>
        <w:rPr>
          <w:color w:val="231F20"/>
          <w:spacing w:val="-15"/>
          <w:w w:val="120"/>
        </w:rPr>
        <w:t> </w:t>
      </w:r>
      <w:r>
        <w:rPr>
          <w:color w:val="231F20"/>
          <w:w w:val="120"/>
        </w:rPr>
        <w:t>n’apparaîtra</w:t>
      </w:r>
      <w:r>
        <w:rPr>
          <w:color w:val="231F20"/>
          <w:spacing w:val="-15"/>
          <w:w w:val="120"/>
        </w:rPr>
        <w:t> </w:t>
      </w:r>
      <w:r>
        <w:rPr>
          <w:color w:val="231F20"/>
          <w:w w:val="120"/>
        </w:rPr>
        <w:t>par</w:t>
      </w:r>
      <w:r>
        <w:rPr>
          <w:color w:val="231F20"/>
          <w:spacing w:val="-15"/>
          <w:w w:val="120"/>
        </w:rPr>
        <w:t> </w:t>
      </w:r>
      <w:r>
        <w:rPr>
          <w:color w:val="231F20"/>
          <w:w w:val="120"/>
        </w:rPr>
        <w:t>magie</w:t>
      </w:r>
      <w:r>
        <w:rPr>
          <w:color w:val="231F20"/>
          <w:spacing w:val="-15"/>
          <w:w w:val="120"/>
        </w:rPr>
        <w:t> </w:t>
      </w:r>
      <w:r>
        <w:rPr>
          <w:color w:val="231F20"/>
          <w:w w:val="120"/>
        </w:rPr>
        <w:t>pour</w:t>
      </w:r>
      <w:r>
        <w:rPr>
          <w:color w:val="231F20"/>
          <w:spacing w:val="-14"/>
          <w:w w:val="120"/>
        </w:rPr>
        <w:t> </w:t>
      </w:r>
      <w:r>
        <w:rPr>
          <w:color w:val="231F20"/>
          <w:spacing w:val="-4"/>
          <w:w w:val="120"/>
        </w:rPr>
        <w:t>nous</w:t>
      </w:r>
    </w:p>
    <w:p>
      <w:pPr>
        <w:spacing w:after="0" w:line="307" w:lineRule="auto"/>
        <w:jc w:val="both"/>
        <w:sectPr>
          <w:footerReference w:type="default" r:id="rId263"/>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4"/>
        <w:jc w:val="both"/>
      </w:pPr>
      <w:r>
        <w:rPr>
          <w:color w:val="231F20"/>
          <w:w w:val="120"/>
        </w:rPr>
        <w:t>rendre</w:t>
      </w:r>
      <w:r>
        <w:rPr>
          <w:color w:val="231F20"/>
          <w:spacing w:val="-5"/>
          <w:w w:val="120"/>
        </w:rPr>
        <w:t> </w:t>
      </w:r>
      <w:r>
        <w:rPr>
          <w:color w:val="231F20"/>
          <w:w w:val="120"/>
        </w:rPr>
        <w:t>heureux</w:t>
      </w:r>
      <w:r>
        <w:rPr>
          <w:color w:val="231F20"/>
          <w:spacing w:val="-5"/>
          <w:w w:val="120"/>
        </w:rPr>
        <w:t> </w:t>
      </w:r>
      <w:r>
        <w:rPr>
          <w:color w:val="231F20"/>
          <w:w w:val="120"/>
        </w:rPr>
        <w:t>et</w:t>
      </w:r>
      <w:r>
        <w:rPr>
          <w:color w:val="231F20"/>
          <w:spacing w:val="-5"/>
          <w:w w:val="120"/>
        </w:rPr>
        <w:t> </w:t>
      </w:r>
      <w:r>
        <w:rPr>
          <w:color w:val="231F20"/>
          <w:w w:val="120"/>
        </w:rPr>
        <w:t>nous</w:t>
      </w:r>
      <w:r>
        <w:rPr>
          <w:color w:val="231F20"/>
          <w:spacing w:val="-5"/>
          <w:w w:val="120"/>
        </w:rPr>
        <w:t> </w:t>
      </w:r>
      <w:r>
        <w:rPr>
          <w:color w:val="231F20"/>
          <w:w w:val="120"/>
        </w:rPr>
        <w:t>rescaper</w:t>
      </w:r>
      <w:r>
        <w:rPr>
          <w:color w:val="231F20"/>
          <w:spacing w:val="-5"/>
          <w:w w:val="120"/>
        </w:rPr>
        <w:t> </w:t>
      </w:r>
      <w:r>
        <w:rPr>
          <w:color w:val="231F20"/>
          <w:w w:val="120"/>
        </w:rPr>
        <w:t>de</w:t>
      </w:r>
      <w:r>
        <w:rPr>
          <w:color w:val="231F20"/>
          <w:spacing w:val="-5"/>
          <w:w w:val="120"/>
        </w:rPr>
        <w:t> </w:t>
      </w:r>
      <w:r>
        <w:rPr>
          <w:color w:val="231F20"/>
          <w:w w:val="120"/>
        </w:rPr>
        <w:t>notre</w:t>
      </w:r>
      <w:r>
        <w:rPr>
          <w:color w:val="231F20"/>
          <w:spacing w:val="-5"/>
          <w:w w:val="120"/>
        </w:rPr>
        <w:t> </w:t>
      </w:r>
      <w:r>
        <w:rPr>
          <w:color w:val="231F20"/>
          <w:w w:val="120"/>
        </w:rPr>
        <w:t>vide</w:t>
      </w:r>
      <w:r>
        <w:rPr>
          <w:color w:val="231F20"/>
          <w:spacing w:val="-5"/>
          <w:w w:val="120"/>
        </w:rPr>
        <w:t> </w:t>
      </w:r>
      <w:r>
        <w:rPr>
          <w:color w:val="231F20"/>
          <w:w w:val="120"/>
        </w:rPr>
        <w:t>existentiel.</w:t>
      </w:r>
      <w:r>
        <w:rPr>
          <w:color w:val="231F20"/>
          <w:spacing w:val="-5"/>
          <w:w w:val="120"/>
        </w:rPr>
        <w:t> </w:t>
      </w:r>
      <w:r>
        <w:rPr>
          <w:color w:val="231F20"/>
          <w:w w:val="120"/>
        </w:rPr>
        <w:t>Nous</w:t>
      </w:r>
      <w:r>
        <w:rPr>
          <w:color w:val="231F20"/>
          <w:spacing w:val="-5"/>
          <w:w w:val="120"/>
        </w:rPr>
        <w:t> </w:t>
      </w:r>
      <w:r>
        <w:rPr>
          <w:color w:val="231F20"/>
          <w:w w:val="120"/>
        </w:rPr>
        <w:t>devons décider</w:t>
      </w:r>
      <w:r>
        <w:rPr>
          <w:color w:val="231F20"/>
          <w:spacing w:val="-1"/>
          <w:w w:val="120"/>
        </w:rPr>
        <w:t> </w:t>
      </w:r>
      <w:r>
        <w:rPr>
          <w:color w:val="231F20"/>
          <w:w w:val="120"/>
        </w:rPr>
        <w:t>nous-même</w:t>
      </w:r>
      <w:r>
        <w:rPr>
          <w:color w:val="231F20"/>
          <w:spacing w:val="-1"/>
          <w:w w:val="120"/>
        </w:rPr>
        <w:t> </w:t>
      </w:r>
      <w:r>
        <w:rPr>
          <w:color w:val="231F20"/>
          <w:w w:val="120"/>
        </w:rPr>
        <w:t>de</w:t>
      </w:r>
      <w:r>
        <w:rPr>
          <w:color w:val="231F20"/>
          <w:spacing w:val="-1"/>
          <w:w w:val="120"/>
        </w:rPr>
        <w:t> </w:t>
      </w:r>
      <w:r>
        <w:rPr>
          <w:color w:val="231F20"/>
          <w:w w:val="120"/>
        </w:rPr>
        <w:t>donner</w:t>
      </w:r>
      <w:r>
        <w:rPr>
          <w:color w:val="231F20"/>
          <w:spacing w:val="-1"/>
          <w:w w:val="120"/>
        </w:rPr>
        <w:t> </w:t>
      </w:r>
      <w:r>
        <w:rPr>
          <w:color w:val="231F20"/>
          <w:w w:val="120"/>
        </w:rPr>
        <w:t>un</w:t>
      </w:r>
      <w:r>
        <w:rPr>
          <w:color w:val="231F20"/>
          <w:spacing w:val="-1"/>
          <w:w w:val="120"/>
        </w:rPr>
        <w:t> </w:t>
      </w:r>
      <w:r>
        <w:rPr>
          <w:color w:val="231F20"/>
          <w:w w:val="120"/>
        </w:rPr>
        <w:t>but</w:t>
      </w:r>
      <w:r>
        <w:rPr>
          <w:color w:val="231F20"/>
          <w:spacing w:val="-1"/>
          <w:w w:val="120"/>
        </w:rPr>
        <w:t> </w:t>
      </w:r>
      <w:r>
        <w:rPr>
          <w:color w:val="231F20"/>
          <w:w w:val="120"/>
        </w:rPr>
        <w:t>à</w:t>
      </w:r>
      <w:r>
        <w:rPr>
          <w:color w:val="231F20"/>
          <w:spacing w:val="-1"/>
          <w:w w:val="120"/>
        </w:rPr>
        <w:t> </w:t>
      </w:r>
      <w:r>
        <w:rPr>
          <w:color w:val="231F20"/>
          <w:w w:val="120"/>
        </w:rPr>
        <w:t>notre</w:t>
      </w:r>
      <w:r>
        <w:rPr>
          <w:color w:val="231F20"/>
          <w:spacing w:val="-1"/>
          <w:w w:val="120"/>
        </w:rPr>
        <w:t> </w:t>
      </w:r>
      <w:r>
        <w:rPr>
          <w:color w:val="231F20"/>
          <w:w w:val="120"/>
        </w:rPr>
        <w:t>vie</w:t>
      </w:r>
      <w:r>
        <w:rPr>
          <w:color w:val="231F20"/>
          <w:spacing w:val="-1"/>
          <w:w w:val="120"/>
        </w:rPr>
        <w:t> </w:t>
      </w:r>
      <w:r>
        <w:rPr>
          <w:color w:val="231F20"/>
          <w:w w:val="120"/>
        </w:rPr>
        <w:t>et</w:t>
      </w:r>
      <w:r>
        <w:rPr>
          <w:color w:val="231F20"/>
          <w:spacing w:val="-1"/>
          <w:w w:val="120"/>
        </w:rPr>
        <w:t> </w:t>
      </w:r>
      <w:r>
        <w:rPr>
          <w:color w:val="231F20"/>
          <w:w w:val="120"/>
        </w:rPr>
        <w:t>d’être</w:t>
      </w:r>
      <w:r>
        <w:rPr>
          <w:color w:val="231F20"/>
          <w:spacing w:val="-1"/>
          <w:w w:val="120"/>
        </w:rPr>
        <w:t> </w:t>
      </w:r>
      <w:r>
        <w:rPr>
          <w:color w:val="231F20"/>
          <w:w w:val="120"/>
        </w:rPr>
        <w:t>nous-même, avec toutes les conséquences qui s’y rattachent.</w:t>
      </w:r>
    </w:p>
    <w:p>
      <w:pPr>
        <w:pStyle w:val="BodyText"/>
        <w:rPr>
          <w:sz w:val="24"/>
        </w:rPr>
      </w:pPr>
    </w:p>
    <w:p>
      <w:pPr>
        <w:pStyle w:val="Heading6"/>
        <w:spacing w:before="178"/>
        <w:ind w:left="1470"/>
      </w:pPr>
      <w:r>
        <w:rPr/>
        <w:pict>
          <v:group style="position:absolute;margin-left:82pt;margin-top:-1.8836pt;width:287.5pt;height:464.25pt;mso-position-horizontal-relative:page;mso-position-vertical-relative:paragraph;z-index:-20923904" id="docshapegroup965" coordorigin="1640,-38" coordsize="5750,9285">
            <v:rect style="position:absolute;left:1640;top:-38;width:5750;height:705" id="docshape966" filled="true" fillcolor="#e2e3e4" stroked="false">
              <v:fill type="solid"/>
            </v:rect>
            <v:line style="position:absolute" from="1890,510" to="7140,510" stroked="true" strokeweight=".25pt" strokecolor="#231f20">
              <v:stroke dashstyle="shortdot"/>
            </v:line>
            <v:shape style="position:absolute;left:1640;top:587;width:5750;height:8660" id="docshape967" coordorigin="1640,587" coordsize="5750,8660" path="m7390,587l1640,587,1640,3287,1640,3587,1640,9247,7390,9247,7390,3287,7390,587xe" filled="true" fillcolor="#e2e3e4" stroked="false">
              <v:path arrowok="t"/>
              <v:fill type="solid"/>
            </v:shape>
            <w10:wrap type="none"/>
          </v:group>
        </w:pict>
      </w:r>
      <w:r>
        <w:rPr>
          <w:b w:val="0"/>
          <w:color w:val="231F20"/>
          <w:w w:val="95"/>
        </w:rPr>
        <w:t>à</w:t>
      </w:r>
      <w:r>
        <w:rPr>
          <w:b w:val="0"/>
          <w:color w:val="231F20"/>
          <w:spacing w:val="-2"/>
          <w:w w:val="95"/>
        </w:rPr>
        <w:t> </w:t>
      </w:r>
      <w:r>
        <w:rPr>
          <w:b w:val="0"/>
          <w:color w:val="231F20"/>
          <w:w w:val="95"/>
        </w:rPr>
        <w:t>la</w:t>
      </w:r>
      <w:r>
        <w:rPr>
          <w:b w:val="0"/>
          <w:color w:val="231F20"/>
          <w:spacing w:val="-1"/>
          <w:w w:val="95"/>
        </w:rPr>
        <w:t> </w:t>
      </w:r>
      <w:r>
        <w:rPr>
          <w:b w:val="0"/>
          <w:color w:val="231F20"/>
          <w:w w:val="95"/>
        </w:rPr>
        <w:t>une</w:t>
      </w:r>
      <w:r>
        <w:rPr>
          <w:b w:val="0"/>
          <w:color w:val="231F20"/>
          <w:spacing w:val="-13"/>
          <w:w w:val="95"/>
        </w:rPr>
        <w:t> </w:t>
      </w:r>
      <w:r>
        <w:rPr>
          <w:b w:val="0"/>
          <w:i/>
          <w:color w:val="231F20"/>
          <w:w w:val="95"/>
        </w:rPr>
        <w:t>/</w:t>
      </w:r>
      <w:r>
        <w:rPr>
          <w:b w:val="0"/>
          <w:i/>
          <w:color w:val="231F20"/>
          <w:spacing w:val="40"/>
        </w:rPr>
        <w:t> </w:t>
      </w:r>
      <w:r>
        <w:rPr>
          <w:color w:val="231F20"/>
          <w:w w:val="95"/>
        </w:rPr>
        <w:t>Les</w:t>
      </w:r>
      <w:r>
        <w:rPr>
          <w:color w:val="231F20"/>
          <w:spacing w:val="-6"/>
          <w:w w:val="95"/>
        </w:rPr>
        <w:t> </w:t>
      </w:r>
      <w:r>
        <w:rPr>
          <w:color w:val="231F20"/>
          <w:w w:val="95"/>
        </w:rPr>
        <w:t>cinq</w:t>
      </w:r>
      <w:r>
        <w:rPr>
          <w:color w:val="231F20"/>
          <w:spacing w:val="-6"/>
          <w:w w:val="95"/>
        </w:rPr>
        <w:t> </w:t>
      </w:r>
      <w:r>
        <w:rPr>
          <w:color w:val="231F20"/>
          <w:w w:val="95"/>
        </w:rPr>
        <w:t>clés</w:t>
      </w:r>
      <w:r>
        <w:rPr>
          <w:color w:val="231F20"/>
          <w:spacing w:val="-7"/>
          <w:w w:val="95"/>
        </w:rPr>
        <w:t> </w:t>
      </w:r>
      <w:r>
        <w:rPr>
          <w:color w:val="231F20"/>
          <w:w w:val="95"/>
        </w:rPr>
        <w:t>de</w:t>
      </w:r>
      <w:r>
        <w:rPr>
          <w:color w:val="231F20"/>
          <w:spacing w:val="-6"/>
          <w:w w:val="95"/>
        </w:rPr>
        <w:t> </w:t>
      </w:r>
      <w:r>
        <w:rPr>
          <w:color w:val="231F20"/>
          <w:w w:val="95"/>
        </w:rPr>
        <w:t>la</w:t>
      </w:r>
      <w:r>
        <w:rPr>
          <w:color w:val="231F20"/>
          <w:spacing w:val="-7"/>
          <w:w w:val="95"/>
        </w:rPr>
        <w:t> </w:t>
      </w:r>
      <w:r>
        <w:rPr>
          <w:color w:val="231F20"/>
          <w:w w:val="95"/>
        </w:rPr>
        <w:t>confiance</w:t>
      </w:r>
      <w:r>
        <w:rPr>
          <w:color w:val="231F20"/>
          <w:spacing w:val="-6"/>
          <w:w w:val="95"/>
        </w:rPr>
        <w:t> </w:t>
      </w:r>
      <w:r>
        <w:rPr>
          <w:color w:val="231F20"/>
          <w:w w:val="95"/>
        </w:rPr>
        <w:t>en</w:t>
      </w:r>
      <w:r>
        <w:rPr>
          <w:color w:val="231F20"/>
          <w:spacing w:val="-6"/>
          <w:w w:val="95"/>
        </w:rPr>
        <w:t> </w:t>
      </w:r>
      <w:r>
        <w:rPr>
          <w:color w:val="231F20"/>
          <w:w w:val="95"/>
        </w:rPr>
        <w:t>soi</w:t>
      </w:r>
      <w:r>
        <w:rPr>
          <w:color w:val="231F20"/>
          <w:spacing w:val="-7"/>
          <w:w w:val="95"/>
        </w:rPr>
        <w:t> </w:t>
      </w:r>
      <w:r>
        <w:rPr>
          <w:color w:val="231F20"/>
          <w:w w:val="95"/>
        </w:rPr>
        <w:t>au</w:t>
      </w:r>
      <w:r>
        <w:rPr>
          <w:color w:val="231F20"/>
          <w:spacing w:val="-6"/>
          <w:w w:val="95"/>
        </w:rPr>
        <w:t> </w:t>
      </w:r>
      <w:r>
        <w:rPr>
          <w:color w:val="231F20"/>
          <w:spacing w:val="-2"/>
          <w:w w:val="95"/>
        </w:rPr>
        <w:t>travail</w:t>
      </w:r>
    </w:p>
    <w:p>
      <w:pPr>
        <w:pStyle w:val="BodyText"/>
        <w:spacing w:before="5"/>
        <w:rPr>
          <w:rFonts w:ascii="Arial"/>
          <w:b/>
          <w:sz w:val="26"/>
        </w:rPr>
      </w:pPr>
    </w:p>
    <w:p>
      <w:pPr>
        <w:pStyle w:val="BodyText"/>
        <w:spacing w:line="307" w:lineRule="auto"/>
        <w:ind w:left="1470" w:right="355"/>
        <w:jc w:val="both"/>
        <w:rPr>
          <w:rFonts w:ascii="Arial" w:hAnsi="Arial"/>
        </w:rPr>
      </w:pPr>
      <w:r>
        <w:rPr>
          <w:rFonts w:ascii="Arial" w:hAnsi="Arial"/>
          <w:color w:val="231F20"/>
          <w:w w:val="95"/>
        </w:rPr>
        <w:t>«</w:t>
      </w:r>
      <w:r>
        <w:rPr>
          <w:rFonts w:ascii="Arial" w:hAnsi="Arial"/>
          <w:color w:val="231F20"/>
          <w:spacing w:val="-10"/>
          <w:w w:val="95"/>
        </w:rPr>
        <w:t> </w:t>
      </w:r>
      <w:r>
        <w:rPr>
          <w:rFonts w:ascii="Arial" w:hAnsi="Arial"/>
          <w:i/>
          <w:color w:val="231F20"/>
          <w:w w:val="95"/>
        </w:rPr>
        <w:t>Soyons</w:t>
      </w:r>
      <w:r>
        <w:rPr>
          <w:rFonts w:ascii="Arial" w:hAnsi="Arial"/>
          <w:i/>
          <w:color w:val="231F20"/>
          <w:spacing w:val="-9"/>
          <w:w w:val="95"/>
        </w:rPr>
        <w:t> </w:t>
      </w:r>
      <w:r>
        <w:rPr>
          <w:rFonts w:ascii="Arial" w:hAnsi="Arial"/>
          <w:i/>
          <w:color w:val="231F20"/>
          <w:w w:val="95"/>
        </w:rPr>
        <w:t>lucides,</w:t>
      </w:r>
      <w:r>
        <w:rPr>
          <w:rFonts w:ascii="Arial" w:hAnsi="Arial"/>
          <w:i/>
          <w:color w:val="231F20"/>
          <w:spacing w:val="-10"/>
          <w:w w:val="95"/>
        </w:rPr>
        <w:t> </w:t>
      </w:r>
      <w:r>
        <w:rPr>
          <w:rFonts w:ascii="Arial" w:hAnsi="Arial"/>
          <w:i/>
          <w:color w:val="231F20"/>
          <w:w w:val="95"/>
        </w:rPr>
        <w:t>je</w:t>
      </w:r>
      <w:r>
        <w:rPr>
          <w:rFonts w:ascii="Arial" w:hAnsi="Arial"/>
          <w:i/>
          <w:color w:val="231F20"/>
          <w:spacing w:val="-9"/>
          <w:w w:val="95"/>
        </w:rPr>
        <w:t> </w:t>
      </w:r>
      <w:r>
        <w:rPr>
          <w:rFonts w:ascii="Arial" w:hAnsi="Arial"/>
          <w:i/>
          <w:color w:val="231F20"/>
          <w:w w:val="95"/>
        </w:rPr>
        <w:t>ne</w:t>
      </w:r>
      <w:r>
        <w:rPr>
          <w:rFonts w:ascii="Arial" w:hAnsi="Arial"/>
          <w:i/>
          <w:color w:val="231F20"/>
          <w:spacing w:val="-10"/>
          <w:w w:val="95"/>
        </w:rPr>
        <w:t> </w:t>
      </w:r>
      <w:r>
        <w:rPr>
          <w:rFonts w:ascii="Arial" w:hAnsi="Arial"/>
          <w:i/>
          <w:color w:val="231F20"/>
          <w:w w:val="95"/>
        </w:rPr>
        <w:t>suis</w:t>
      </w:r>
      <w:r>
        <w:rPr>
          <w:rFonts w:ascii="Arial" w:hAnsi="Arial"/>
          <w:i/>
          <w:color w:val="231F20"/>
          <w:spacing w:val="-9"/>
          <w:w w:val="95"/>
        </w:rPr>
        <w:t> </w:t>
      </w:r>
      <w:r>
        <w:rPr>
          <w:rFonts w:ascii="Arial" w:hAnsi="Arial"/>
          <w:i/>
          <w:color w:val="231F20"/>
          <w:w w:val="95"/>
        </w:rPr>
        <w:t>pas</w:t>
      </w:r>
      <w:r>
        <w:rPr>
          <w:rFonts w:ascii="Arial" w:hAnsi="Arial"/>
          <w:i/>
          <w:color w:val="231F20"/>
          <w:spacing w:val="-10"/>
          <w:w w:val="95"/>
        </w:rPr>
        <w:t> </w:t>
      </w:r>
      <w:r>
        <w:rPr>
          <w:rFonts w:ascii="Arial" w:hAnsi="Arial"/>
          <w:i/>
          <w:color w:val="231F20"/>
          <w:w w:val="95"/>
        </w:rPr>
        <w:t>au</w:t>
      </w:r>
      <w:r>
        <w:rPr>
          <w:rFonts w:ascii="Arial" w:hAnsi="Arial"/>
          <w:i/>
          <w:color w:val="231F20"/>
          <w:spacing w:val="-9"/>
          <w:w w:val="95"/>
        </w:rPr>
        <w:t> </w:t>
      </w:r>
      <w:r>
        <w:rPr>
          <w:rFonts w:ascii="Arial" w:hAnsi="Arial"/>
          <w:i/>
          <w:color w:val="231F20"/>
          <w:w w:val="95"/>
        </w:rPr>
        <w:t>niveau.</w:t>
      </w:r>
      <w:r>
        <w:rPr>
          <w:rFonts w:ascii="Arial" w:hAnsi="Arial"/>
          <w:i/>
          <w:color w:val="231F20"/>
          <w:spacing w:val="-10"/>
          <w:w w:val="95"/>
        </w:rPr>
        <w:t> </w:t>
      </w:r>
      <w:r>
        <w:rPr>
          <w:rFonts w:ascii="Arial" w:hAnsi="Arial"/>
          <w:i/>
          <w:color w:val="231F20"/>
          <w:w w:val="95"/>
        </w:rPr>
        <w:t>Et</w:t>
      </w:r>
      <w:r>
        <w:rPr>
          <w:rFonts w:ascii="Arial" w:hAnsi="Arial"/>
          <w:i/>
          <w:color w:val="231F20"/>
          <w:spacing w:val="-9"/>
          <w:w w:val="95"/>
        </w:rPr>
        <w:t> </w:t>
      </w:r>
      <w:r>
        <w:rPr>
          <w:rFonts w:ascii="Arial" w:hAnsi="Arial"/>
          <w:i/>
          <w:color w:val="231F20"/>
          <w:w w:val="95"/>
        </w:rPr>
        <w:t>je</w:t>
      </w:r>
      <w:r>
        <w:rPr>
          <w:rFonts w:ascii="Arial" w:hAnsi="Arial"/>
          <w:i/>
          <w:color w:val="231F20"/>
          <w:spacing w:val="-9"/>
          <w:w w:val="95"/>
        </w:rPr>
        <w:t> </w:t>
      </w:r>
      <w:r>
        <w:rPr>
          <w:rFonts w:ascii="Arial" w:hAnsi="Arial"/>
          <w:i/>
          <w:color w:val="231F20"/>
          <w:w w:val="95"/>
        </w:rPr>
        <w:t>me</w:t>
      </w:r>
      <w:r>
        <w:rPr>
          <w:rFonts w:ascii="Arial" w:hAnsi="Arial"/>
          <w:i/>
          <w:color w:val="231F20"/>
          <w:spacing w:val="-10"/>
          <w:w w:val="95"/>
        </w:rPr>
        <w:t> </w:t>
      </w:r>
      <w:r>
        <w:rPr>
          <w:rFonts w:ascii="Arial" w:hAnsi="Arial"/>
          <w:i/>
          <w:color w:val="231F20"/>
          <w:w w:val="95"/>
        </w:rPr>
        <w:t>suis</w:t>
      </w:r>
      <w:r>
        <w:rPr>
          <w:rFonts w:ascii="Arial" w:hAnsi="Arial"/>
          <w:i/>
          <w:color w:val="231F20"/>
          <w:spacing w:val="-9"/>
          <w:w w:val="95"/>
        </w:rPr>
        <w:t> </w:t>
      </w:r>
      <w:r>
        <w:rPr>
          <w:rFonts w:ascii="Arial" w:hAnsi="Arial"/>
          <w:i/>
          <w:color w:val="231F20"/>
          <w:w w:val="95"/>
        </w:rPr>
        <w:t>mis</w:t>
      </w:r>
      <w:r>
        <w:rPr>
          <w:rFonts w:ascii="Arial" w:hAnsi="Arial"/>
          <w:i/>
          <w:color w:val="231F20"/>
          <w:spacing w:val="-10"/>
          <w:w w:val="95"/>
        </w:rPr>
        <w:t> </w:t>
      </w:r>
      <w:r>
        <w:rPr>
          <w:rFonts w:ascii="Arial" w:hAnsi="Arial"/>
          <w:i/>
          <w:color w:val="231F20"/>
          <w:w w:val="95"/>
        </w:rPr>
        <w:t>toute</w:t>
      </w:r>
      <w:r>
        <w:rPr>
          <w:rFonts w:ascii="Arial" w:hAnsi="Arial"/>
          <w:i/>
          <w:color w:val="231F20"/>
          <w:spacing w:val="-9"/>
          <w:w w:val="95"/>
        </w:rPr>
        <w:t> </w:t>
      </w:r>
      <w:r>
        <w:rPr>
          <w:rFonts w:ascii="Arial" w:hAnsi="Arial"/>
          <w:i/>
          <w:color w:val="231F20"/>
          <w:w w:val="95"/>
        </w:rPr>
        <w:t>l’équipe </w:t>
      </w:r>
      <w:r>
        <w:rPr>
          <w:rFonts w:ascii="Arial" w:hAnsi="Arial"/>
          <w:i/>
          <w:color w:val="231F20"/>
        </w:rPr>
        <w:t>à</w:t>
      </w:r>
      <w:r>
        <w:rPr>
          <w:rFonts w:ascii="Arial" w:hAnsi="Arial"/>
          <w:i/>
          <w:color w:val="231F20"/>
          <w:spacing w:val="-12"/>
        </w:rPr>
        <w:t> </w:t>
      </w:r>
      <w:r>
        <w:rPr>
          <w:rFonts w:ascii="Arial" w:hAnsi="Arial"/>
          <w:i/>
          <w:color w:val="231F20"/>
        </w:rPr>
        <w:t>dos.</w:t>
      </w:r>
      <w:r>
        <w:rPr>
          <w:rFonts w:ascii="Arial" w:hAnsi="Arial"/>
          <w:i/>
          <w:color w:val="231F20"/>
          <w:spacing w:val="-12"/>
        </w:rPr>
        <w:t> </w:t>
      </w:r>
      <w:r>
        <w:rPr>
          <w:rFonts w:ascii="Arial" w:hAnsi="Arial"/>
          <w:color w:val="231F20"/>
        </w:rPr>
        <w:t>»</w:t>
      </w:r>
      <w:r>
        <w:rPr>
          <w:rFonts w:ascii="Arial" w:hAnsi="Arial"/>
          <w:color w:val="231F20"/>
          <w:spacing w:val="-11"/>
        </w:rPr>
        <w:t> </w:t>
      </w:r>
      <w:r>
        <w:rPr>
          <w:rFonts w:ascii="Arial" w:hAnsi="Arial"/>
          <w:color w:val="231F20"/>
        </w:rPr>
        <w:t>Julie,</w:t>
      </w:r>
      <w:r>
        <w:rPr>
          <w:rFonts w:ascii="Arial" w:hAnsi="Arial"/>
          <w:color w:val="231F20"/>
          <w:spacing w:val="-2"/>
        </w:rPr>
        <w:t> </w:t>
      </w:r>
      <w:r>
        <w:rPr>
          <w:rFonts w:ascii="Arial" w:hAnsi="Arial"/>
          <w:color w:val="231F20"/>
        </w:rPr>
        <w:t>brillante</w:t>
      </w:r>
      <w:r>
        <w:rPr>
          <w:rFonts w:ascii="Arial" w:hAnsi="Arial"/>
          <w:color w:val="231F20"/>
          <w:spacing w:val="-2"/>
        </w:rPr>
        <w:t> </w:t>
      </w:r>
      <w:r>
        <w:rPr>
          <w:rFonts w:ascii="Arial" w:hAnsi="Arial"/>
          <w:color w:val="231F20"/>
        </w:rPr>
        <w:t>polytechnicienne</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35</w:t>
      </w:r>
      <w:r>
        <w:rPr>
          <w:rFonts w:ascii="Arial" w:hAnsi="Arial"/>
          <w:color w:val="231F20"/>
          <w:spacing w:val="-2"/>
        </w:rPr>
        <w:t> </w:t>
      </w:r>
      <w:r>
        <w:rPr>
          <w:rFonts w:ascii="Arial" w:hAnsi="Arial"/>
          <w:color w:val="231F20"/>
        </w:rPr>
        <w:t>ans,</w:t>
      </w:r>
      <w:r>
        <w:rPr>
          <w:rFonts w:ascii="Arial" w:hAnsi="Arial"/>
          <w:color w:val="231F20"/>
          <w:spacing w:val="-2"/>
        </w:rPr>
        <w:t> </w:t>
      </w:r>
      <w:r>
        <w:rPr>
          <w:rFonts w:ascii="Arial" w:hAnsi="Arial"/>
          <w:color w:val="231F20"/>
        </w:rPr>
        <w:t>se</w:t>
      </w:r>
      <w:r>
        <w:rPr>
          <w:rFonts w:ascii="Arial" w:hAnsi="Arial"/>
          <w:color w:val="231F20"/>
          <w:spacing w:val="-2"/>
        </w:rPr>
        <w:t> </w:t>
      </w:r>
      <w:r>
        <w:rPr>
          <w:rFonts w:ascii="Arial" w:hAnsi="Arial"/>
          <w:color w:val="231F20"/>
        </w:rPr>
        <w:t>souvient</w:t>
      </w:r>
      <w:r>
        <w:rPr>
          <w:rFonts w:ascii="Arial" w:hAnsi="Arial"/>
          <w:color w:val="231F20"/>
          <w:spacing w:val="-2"/>
        </w:rPr>
        <w:t> </w:t>
      </w:r>
      <w:r>
        <w:rPr>
          <w:rFonts w:ascii="Arial" w:hAnsi="Arial"/>
          <w:color w:val="231F20"/>
        </w:rPr>
        <w:t>à</w:t>
      </w:r>
      <w:r>
        <w:rPr>
          <w:rFonts w:ascii="Arial" w:hAnsi="Arial"/>
          <w:color w:val="231F20"/>
          <w:spacing w:val="-2"/>
        </w:rPr>
        <w:t> </w:t>
      </w:r>
      <w:r>
        <w:rPr>
          <w:rFonts w:ascii="Arial" w:hAnsi="Arial"/>
          <w:color w:val="231F20"/>
        </w:rPr>
        <w:t>quel </w:t>
      </w:r>
      <w:r>
        <w:rPr>
          <w:rFonts w:ascii="Arial" w:hAnsi="Arial"/>
          <w:color w:val="231F20"/>
          <w:w w:val="105"/>
        </w:rPr>
        <w:t>point</w:t>
      </w:r>
      <w:r>
        <w:rPr>
          <w:rFonts w:ascii="Arial" w:hAnsi="Arial"/>
          <w:color w:val="231F20"/>
          <w:spacing w:val="-13"/>
          <w:w w:val="105"/>
        </w:rPr>
        <w:t> </w:t>
      </w:r>
      <w:r>
        <w:rPr>
          <w:rFonts w:ascii="Arial" w:hAnsi="Arial"/>
          <w:color w:val="231F20"/>
          <w:w w:val="105"/>
        </w:rPr>
        <w:t>elle</w:t>
      </w:r>
      <w:r>
        <w:rPr>
          <w:rFonts w:ascii="Arial" w:hAnsi="Arial"/>
          <w:color w:val="231F20"/>
          <w:spacing w:val="-12"/>
          <w:w w:val="105"/>
        </w:rPr>
        <w:t> </w:t>
      </w:r>
      <w:r>
        <w:rPr>
          <w:rFonts w:ascii="Arial" w:hAnsi="Arial"/>
          <w:color w:val="231F20"/>
          <w:w w:val="105"/>
        </w:rPr>
        <w:t>s’était</w:t>
      </w:r>
      <w:r>
        <w:rPr>
          <w:rFonts w:ascii="Arial" w:hAnsi="Arial"/>
          <w:color w:val="231F20"/>
          <w:spacing w:val="-13"/>
          <w:w w:val="105"/>
        </w:rPr>
        <w:t> </w:t>
      </w:r>
      <w:r>
        <w:rPr>
          <w:rFonts w:ascii="Arial" w:hAnsi="Arial"/>
          <w:color w:val="231F20"/>
          <w:w w:val="105"/>
        </w:rPr>
        <w:t>fustigée</w:t>
      </w:r>
      <w:r>
        <w:rPr>
          <w:rFonts w:ascii="Arial" w:hAnsi="Arial"/>
          <w:color w:val="231F20"/>
          <w:spacing w:val="-12"/>
          <w:w w:val="105"/>
        </w:rPr>
        <w:t> </w:t>
      </w:r>
      <w:r>
        <w:rPr>
          <w:rFonts w:ascii="Arial" w:hAnsi="Arial"/>
          <w:color w:val="231F20"/>
          <w:w w:val="105"/>
        </w:rPr>
        <w:t>après</w:t>
      </w:r>
      <w:r>
        <w:rPr>
          <w:rFonts w:ascii="Arial" w:hAnsi="Arial"/>
          <w:color w:val="231F20"/>
          <w:spacing w:val="-12"/>
          <w:w w:val="105"/>
        </w:rPr>
        <w:t> </w:t>
      </w:r>
      <w:r>
        <w:rPr>
          <w:rFonts w:ascii="Arial" w:hAnsi="Arial"/>
          <w:color w:val="231F20"/>
          <w:w w:val="105"/>
        </w:rPr>
        <w:t>une</w:t>
      </w:r>
      <w:r>
        <w:rPr>
          <w:rFonts w:ascii="Arial" w:hAnsi="Arial"/>
          <w:color w:val="231F20"/>
          <w:spacing w:val="-13"/>
          <w:w w:val="105"/>
        </w:rPr>
        <w:t> </w:t>
      </w:r>
      <w:r>
        <w:rPr>
          <w:rFonts w:ascii="Arial" w:hAnsi="Arial"/>
          <w:color w:val="231F20"/>
          <w:w w:val="105"/>
        </w:rPr>
        <w:t>présentation</w:t>
      </w:r>
      <w:r>
        <w:rPr>
          <w:rFonts w:ascii="Arial" w:hAnsi="Arial"/>
          <w:color w:val="231F20"/>
          <w:spacing w:val="-12"/>
          <w:w w:val="105"/>
        </w:rPr>
        <w:t> </w:t>
      </w:r>
      <w:r>
        <w:rPr>
          <w:rFonts w:ascii="Arial" w:hAnsi="Arial"/>
          <w:color w:val="231F20"/>
          <w:w w:val="105"/>
        </w:rPr>
        <w:t>ratée</w:t>
      </w:r>
      <w:r>
        <w:rPr>
          <w:rFonts w:ascii="Arial" w:hAnsi="Arial"/>
          <w:color w:val="231F20"/>
          <w:spacing w:val="-13"/>
          <w:w w:val="105"/>
        </w:rPr>
        <w:t> </w:t>
      </w:r>
      <w:r>
        <w:rPr>
          <w:rFonts w:ascii="Arial" w:hAnsi="Arial"/>
          <w:color w:val="231F20"/>
          <w:w w:val="105"/>
        </w:rPr>
        <w:t>devant</w:t>
      </w:r>
      <w:r>
        <w:rPr>
          <w:rFonts w:ascii="Arial" w:hAnsi="Arial"/>
          <w:color w:val="231F20"/>
          <w:spacing w:val="-12"/>
          <w:w w:val="105"/>
        </w:rPr>
        <w:t> </w:t>
      </w:r>
      <w:r>
        <w:rPr>
          <w:rFonts w:ascii="Arial" w:hAnsi="Arial"/>
          <w:color w:val="231F20"/>
          <w:w w:val="105"/>
        </w:rPr>
        <w:t>un</w:t>
      </w:r>
      <w:r>
        <w:rPr>
          <w:rFonts w:ascii="Arial" w:hAnsi="Arial"/>
          <w:color w:val="231F20"/>
          <w:spacing w:val="-12"/>
          <w:w w:val="105"/>
        </w:rPr>
        <w:t> </w:t>
      </w:r>
      <w:r>
        <w:rPr>
          <w:rFonts w:ascii="Arial" w:hAnsi="Arial"/>
          <w:i/>
          <w:color w:val="231F20"/>
          <w:w w:val="105"/>
        </w:rPr>
        <w:t>big </w:t>
      </w:r>
      <w:r>
        <w:rPr>
          <w:rFonts w:ascii="Arial" w:hAnsi="Arial"/>
          <w:i/>
          <w:color w:val="231F20"/>
          <w:w w:val="95"/>
        </w:rPr>
        <w:t>boss</w:t>
      </w:r>
      <w:r>
        <w:rPr>
          <w:rFonts w:ascii="Arial" w:hAnsi="Arial"/>
          <w:color w:val="231F20"/>
          <w:w w:val="95"/>
        </w:rPr>
        <w:t>. Alors cadre supérieure dans une grosse banque, elle vivait ce que </w:t>
      </w:r>
      <w:r>
        <w:rPr>
          <w:rFonts w:ascii="Arial" w:hAnsi="Arial"/>
          <w:color w:val="231F20"/>
          <w:spacing w:val="-2"/>
        </w:rPr>
        <w:t>les</w:t>
      </w:r>
      <w:r>
        <w:rPr>
          <w:rFonts w:ascii="Arial" w:hAnsi="Arial"/>
          <w:color w:val="231F20"/>
          <w:spacing w:val="-10"/>
        </w:rPr>
        <w:t> </w:t>
      </w:r>
      <w:r>
        <w:rPr>
          <w:rFonts w:ascii="Arial" w:hAnsi="Arial"/>
          <w:color w:val="231F20"/>
          <w:spacing w:val="-2"/>
        </w:rPr>
        <w:t>psys</w:t>
      </w:r>
      <w:r>
        <w:rPr>
          <w:rFonts w:ascii="Arial" w:hAnsi="Arial"/>
          <w:color w:val="231F20"/>
          <w:spacing w:val="-10"/>
        </w:rPr>
        <w:t> </w:t>
      </w:r>
      <w:r>
        <w:rPr>
          <w:rFonts w:ascii="Arial" w:hAnsi="Arial"/>
          <w:color w:val="231F20"/>
          <w:spacing w:val="-2"/>
        </w:rPr>
        <w:t>appellent</w:t>
      </w:r>
      <w:r>
        <w:rPr>
          <w:rFonts w:ascii="Arial" w:hAnsi="Arial"/>
          <w:color w:val="231F20"/>
          <w:spacing w:val="-7"/>
        </w:rPr>
        <w:t> </w:t>
      </w:r>
      <w:r>
        <w:rPr>
          <w:rFonts w:ascii="Arial" w:hAnsi="Arial"/>
          <w:color w:val="231F20"/>
          <w:spacing w:val="-2"/>
        </w:rPr>
        <w:t>le «</w:t>
      </w:r>
      <w:r>
        <w:rPr>
          <w:rFonts w:ascii="Arial" w:hAnsi="Arial"/>
          <w:color w:val="231F20"/>
          <w:spacing w:val="-10"/>
        </w:rPr>
        <w:t> </w:t>
      </w:r>
      <w:r>
        <w:rPr>
          <w:rFonts w:ascii="Arial" w:hAnsi="Arial"/>
          <w:color w:val="231F20"/>
          <w:spacing w:val="-2"/>
        </w:rPr>
        <w:t>syndrome de l’imposteur</w:t>
      </w:r>
      <w:r>
        <w:rPr>
          <w:rFonts w:ascii="Arial" w:hAnsi="Arial"/>
          <w:color w:val="231F20"/>
          <w:spacing w:val="-10"/>
        </w:rPr>
        <w:t> </w:t>
      </w:r>
      <w:r>
        <w:rPr>
          <w:rFonts w:ascii="Arial" w:hAnsi="Arial"/>
          <w:color w:val="231F20"/>
          <w:spacing w:val="-2"/>
        </w:rPr>
        <w:t>», persuadée d’usurper </w:t>
      </w:r>
      <w:r>
        <w:rPr>
          <w:rFonts w:ascii="Arial" w:hAnsi="Arial"/>
          <w:color w:val="231F20"/>
          <w:w w:val="105"/>
        </w:rPr>
        <w:t>la</w:t>
      </w:r>
      <w:r>
        <w:rPr>
          <w:rFonts w:ascii="Arial" w:hAnsi="Arial"/>
          <w:color w:val="231F20"/>
          <w:spacing w:val="-8"/>
          <w:w w:val="105"/>
        </w:rPr>
        <w:t> </w:t>
      </w:r>
      <w:r>
        <w:rPr>
          <w:rFonts w:ascii="Arial" w:hAnsi="Arial"/>
          <w:color w:val="231F20"/>
          <w:w w:val="105"/>
        </w:rPr>
        <w:t>place</w:t>
      </w:r>
      <w:r>
        <w:rPr>
          <w:rFonts w:ascii="Arial" w:hAnsi="Arial"/>
          <w:color w:val="231F20"/>
          <w:spacing w:val="-8"/>
          <w:w w:val="105"/>
        </w:rPr>
        <w:t> </w:t>
      </w:r>
      <w:r>
        <w:rPr>
          <w:rFonts w:ascii="Arial" w:hAnsi="Arial"/>
          <w:color w:val="231F20"/>
          <w:w w:val="105"/>
        </w:rPr>
        <w:t>de</w:t>
      </w:r>
      <w:r>
        <w:rPr>
          <w:rFonts w:ascii="Arial" w:hAnsi="Arial"/>
          <w:color w:val="231F20"/>
          <w:spacing w:val="-8"/>
          <w:w w:val="105"/>
        </w:rPr>
        <w:t> </w:t>
      </w:r>
      <w:r>
        <w:rPr>
          <w:rFonts w:ascii="Arial" w:hAnsi="Arial"/>
          <w:color w:val="231F20"/>
          <w:w w:val="105"/>
        </w:rPr>
        <w:t>quelqu’un</w:t>
      </w:r>
      <w:r>
        <w:rPr>
          <w:rFonts w:ascii="Arial" w:hAnsi="Arial"/>
          <w:color w:val="231F20"/>
          <w:spacing w:val="-8"/>
          <w:w w:val="105"/>
        </w:rPr>
        <w:t> </w:t>
      </w:r>
      <w:r>
        <w:rPr>
          <w:rFonts w:ascii="Arial" w:hAnsi="Arial"/>
          <w:color w:val="231F20"/>
          <w:w w:val="105"/>
        </w:rPr>
        <w:t>d’autre,</w:t>
      </w:r>
      <w:r>
        <w:rPr>
          <w:rFonts w:ascii="Arial" w:hAnsi="Arial"/>
          <w:color w:val="231F20"/>
          <w:spacing w:val="-8"/>
          <w:w w:val="105"/>
        </w:rPr>
        <w:t> </w:t>
      </w:r>
      <w:r>
        <w:rPr>
          <w:rFonts w:ascii="Arial" w:hAnsi="Arial"/>
          <w:color w:val="231F20"/>
          <w:w w:val="105"/>
        </w:rPr>
        <w:t>qui</w:t>
      </w:r>
      <w:r>
        <w:rPr>
          <w:rFonts w:ascii="Arial" w:hAnsi="Arial"/>
          <w:color w:val="231F20"/>
          <w:spacing w:val="-8"/>
          <w:w w:val="105"/>
        </w:rPr>
        <w:t> </w:t>
      </w:r>
      <w:r>
        <w:rPr>
          <w:rFonts w:ascii="Arial" w:hAnsi="Arial"/>
          <w:color w:val="231F20"/>
          <w:w w:val="105"/>
        </w:rPr>
        <w:t>aurait</w:t>
      </w:r>
      <w:r>
        <w:rPr>
          <w:rFonts w:ascii="Arial" w:hAnsi="Arial"/>
          <w:color w:val="231F20"/>
          <w:spacing w:val="-8"/>
          <w:w w:val="105"/>
        </w:rPr>
        <w:t> </w:t>
      </w:r>
      <w:r>
        <w:rPr>
          <w:rFonts w:ascii="Arial" w:hAnsi="Arial"/>
          <w:color w:val="231F20"/>
          <w:w w:val="105"/>
        </w:rPr>
        <w:t>été</w:t>
      </w:r>
      <w:r>
        <w:rPr>
          <w:rFonts w:ascii="Arial" w:hAnsi="Arial"/>
          <w:color w:val="231F20"/>
          <w:spacing w:val="-8"/>
          <w:w w:val="105"/>
        </w:rPr>
        <w:t> </w:t>
      </w:r>
      <w:r>
        <w:rPr>
          <w:rFonts w:ascii="Arial" w:hAnsi="Arial"/>
          <w:color w:val="231F20"/>
          <w:w w:val="105"/>
        </w:rPr>
        <w:t>plus</w:t>
      </w:r>
      <w:r>
        <w:rPr>
          <w:rFonts w:ascii="Arial" w:hAnsi="Arial"/>
          <w:color w:val="231F20"/>
          <w:spacing w:val="-8"/>
          <w:w w:val="105"/>
        </w:rPr>
        <w:t> </w:t>
      </w:r>
      <w:r>
        <w:rPr>
          <w:rFonts w:ascii="Arial" w:hAnsi="Arial"/>
          <w:color w:val="231F20"/>
          <w:w w:val="105"/>
        </w:rPr>
        <w:t>compétent</w:t>
      </w:r>
      <w:r>
        <w:rPr>
          <w:rFonts w:ascii="Arial" w:hAnsi="Arial"/>
          <w:color w:val="231F20"/>
          <w:spacing w:val="-8"/>
          <w:w w:val="105"/>
        </w:rPr>
        <w:t> </w:t>
      </w:r>
      <w:r>
        <w:rPr>
          <w:rFonts w:ascii="Arial" w:hAnsi="Arial"/>
          <w:color w:val="231F20"/>
          <w:w w:val="105"/>
        </w:rPr>
        <w:t>qu’elle. </w:t>
      </w:r>
      <w:r>
        <w:rPr>
          <w:rFonts w:ascii="Arial" w:hAnsi="Arial"/>
          <w:color w:val="231F20"/>
        </w:rPr>
        <w:t>À l’inverse, sa sœur Marie, artiste peintre, s’épanouissait dans son atelier,</w:t>
      </w:r>
      <w:r>
        <w:rPr>
          <w:rFonts w:ascii="Arial" w:hAnsi="Arial"/>
          <w:color w:val="231F20"/>
          <w:spacing w:val="-2"/>
        </w:rPr>
        <w:t> </w:t>
      </w:r>
      <w:r>
        <w:rPr>
          <w:rFonts w:ascii="Arial" w:hAnsi="Arial"/>
          <w:color w:val="231F20"/>
        </w:rPr>
        <w:t>sûre</w:t>
      </w:r>
      <w:r>
        <w:rPr>
          <w:rFonts w:ascii="Arial" w:hAnsi="Arial"/>
          <w:color w:val="231F20"/>
          <w:spacing w:val="-2"/>
        </w:rPr>
        <w:t> </w:t>
      </w:r>
      <w:r>
        <w:rPr>
          <w:rFonts w:ascii="Arial" w:hAnsi="Arial"/>
          <w:color w:val="231F20"/>
        </w:rPr>
        <w:t>d’elle</w:t>
      </w:r>
      <w:r>
        <w:rPr>
          <w:rFonts w:ascii="Arial" w:hAnsi="Arial"/>
          <w:color w:val="231F20"/>
          <w:spacing w:val="-2"/>
        </w:rPr>
        <w:t> </w:t>
      </w:r>
      <w:r>
        <w:rPr>
          <w:rFonts w:ascii="Arial" w:hAnsi="Arial"/>
          <w:color w:val="231F20"/>
        </w:rPr>
        <w:t>et</w:t>
      </w:r>
      <w:r>
        <w:rPr>
          <w:rFonts w:ascii="Arial" w:hAnsi="Arial"/>
          <w:color w:val="231F20"/>
          <w:spacing w:val="-2"/>
        </w:rPr>
        <w:t> </w:t>
      </w:r>
      <w:r>
        <w:rPr>
          <w:rFonts w:ascii="Arial" w:hAnsi="Arial"/>
          <w:color w:val="231F20"/>
        </w:rPr>
        <w:t>de</w:t>
      </w:r>
      <w:r>
        <w:rPr>
          <w:rFonts w:ascii="Arial" w:hAnsi="Arial"/>
          <w:color w:val="231F20"/>
          <w:spacing w:val="-2"/>
        </w:rPr>
        <w:t> </w:t>
      </w:r>
      <w:r>
        <w:rPr>
          <w:rFonts w:ascii="Arial" w:hAnsi="Arial"/>
          <w:color w:val="231F20"/>
        </w:rPr>
        <w:t>son</w:t>
      </w:r>
      <w:r>
        <w:rPr>
          <w:rFonts w:ascii="Arial" w:hAnsi="Arial"/>
          <w:color w:val="231F20"/>
          <w:spacing w:val="-2"/>
        </w:rPr>
        <w:t> </w:t>
      </w:r>
      <w:r>
        <w:rPr>
          <w:rFonts w:ascii="Arial" w:hAnsi="Arial"/>
          <w:color w:val="231F20"/>
        </w:rPr>
        <w:t>avenir.</w:t>
      </w:r>
      <w:r>
        <w:rPr>
          <w:rFonts w:ascii="Arial" w:hAnsi="Arial"/>
          <w:color w:val="231F20"/>
          <w:spacing w:val="-2"/>
        </w:rPr>
        <w:t> </w:t>
      </w:r>
      <w:r>
        <w:rPr>
          <w:rFonts w:ascii="Arial" w:hAnsi="Arial"/>
          <w:color w:val="231F20"/>
        </w:rPr>
        <w:t>Bien</w:t>
      </w:r>
      <w:r>
        <w:rPr>
          <w:rFonts w:ascii="Arial" w:hAnsi="Arial"/>
          <w:color w:val="231F20"/>
          <w:spacing w:val="-2"/>
        </w:rPr>
        <w:t> </w:t>
      </w:r>
      <w:r>
        <w:rPr>
          <w:rFonts w:ascii="Arial" w:hAnsi="Arial"/>
          <w:color w:val="231F20"/>
        </w:rPr>
        <w:t>que</w:t>
      </w:r>
      <w:r>
        <w:rPr>
          <w:rFonts w:ascii="Arial" w:hAnsi="Arial"/>
          <w:color w:val="231F20"/>
          <w:spacing w:val="-2"/>
        </w:rPr>
        <w:t> </w:t>
      </w:r>
      <w:r>
        <w:rPr>
          <w:rFonts w:ascii="Arial" w:hAnsi="Arial"/>
          <w:color w:val="231F20"/>
        </w:rPr>
        <w:t>les</w:t>
      </w:r>
      <w:r>
        <w:rPr>
          <w:rFonts w:ascii="Arial" w:hAnsi="Arial"/>
          <w:color w:val="231F20"/>
          <w:spacing w:val="-2"/>
        </w:rPr>
        <w:t> </w:t>
      </w:r>
      <w:r>
        <w:rPr>
          <w:rFonts w:ascii="Arial" w:hAnsi="Arial"/>
          <w:color w:val="231F20"/>
        </w:rPr>
        <w:t>deux</w:t>
      </w:r>
      <w:r>
        <w:rPr>
          <w:rFonts w:ascii="Arial" w:hAnsi="Arial"/>
          <w:color w:val="231F20"/>
          <w:spacing w:val="-2"/>
        </w:rPr>
        <w:t> </w:t>
      </w:r>
      <w:r>
        <w:rPr>
          <w:rFonts w:ascii="Arial" w:hAnsi="Arial"/>
          <w:color w:val="231F20"/>
        </w:rPr>
        <w:t>jeunes</w:t>
      </w:r>
      <w:r>
        <w:rPr>
          <w:rFonts w:ascii="Arial" w:hAnsi="Arial"/>
          <w:color w:val="231F20"/>
          <w:spacing w:val="-2"/>
        </w:rPr>
        <w:t> </w:t>
      </w:r>
      <w:r>
        <w:rPr>
          <w:rFonts w:ascii="Arial" w:hAnsi="Arial"/>
          <w:color w:val="231F20"/>
        </w:rPr>
        <w:t>femmes aient</w:t>
      </w:r>
      <w:r>
        <w:rPr>
          <w:rFonts w:ascii="Arial" w:hAnsi="Arial"/>
          <w:color w:val="231F20"/>
          <w:spacing w:val="-11"/>
        </w:rPr>
        <w:t> </w:t>
      </w:r>
      <w:r>
        <w:rPr>
          <w:rFonts w:ascii="Arial" w:hAnsi="Arial"/>
          <w:color w:val="231F20"/>
        </w:rPr>
        <w:t>reçu</w:t>
      </w:r>
      <w:r>
        <w:rPr>
          <w:rFonts w:ascii="Arial" w:hAnsi="Arial"/>
          <w:color w:val="231F20"/>
          <w:spacing w:val="-11"/>
        </w:rPr>
        <w:t> </w:t>
      </w:r>
      <w:r>
        <w:rPr>
          <w:rFonts w:ascii="Arial" w:hAnsi="Arial"/>
          <w:color w:val="231F20"/>
        </w:rPr>
        <w:t>la</w:t>
      </w:r>
      <w:r>
        <w:rPr>
          <w:rFonts w:ascii="Arial" w:hAnsi="Arial"/>
          <w:color w:val="231F20"/>
          <w:spacing w:val="-11"/>
        </w:rPr>
        <w:t> </w:t>
      </w:r>
      <w:r>
        <w:rPr>
          <w:rFonts w:ascii="Arial" w:hAnsi="Arial"/>
          <w:color w:val="231F20"/>
        </w:rPr>
        <w:t>même</w:t>
      </w:r>
      <w:r>
        <w:rPr>
          <w:rFonts w:ascii="Arial" w:hAnsi="Arial"/>
          <w:color w:val="231F20"/>
          <w:spacing w:val="-11"/>
        </w:rPr>
        <w:t> </w:t>
      </w:r>
      <w:r>
        <w:rPr>
          <w:rFonts w:ascii="Arial" w:hAnsi="Arial"/>
          <w:color w:val="231F20"/>
        </w:rPr>
        <w:t>éducation,</w:t>
      </w:r>
      <w:r>
        <w:rPr>
          <w:rFonts w:ascii="Arial" w:hAnsi="Arial"/>
          <w:color w:val="231F20"/>
          <w:spacing w:val="-11"/>
        </w:rPr>
        <w:t> </w:t>
      </w:r>
      <w:r>
        <w:rPr>
          <w:rFonts w:ascii="Arial" w:hAnsi="Arial"/>
          <w:color w:val="231F20"/>
        </w:rPr>
        <w:t>l’une</w:t>
      </w:r>
      <w:r>
        <w:rPr>
          <w:rFonts w:ascii="Arial" w:hAnsi="Arial"/>
          <w:color w:val="231F20"/>
          <w:spacing w:val="-11"/>
        </w:rPr>
        <w:t> </w:t>
      </w:r>
      <w:r>
        <w:rPr>
          <w:rFonts w:ascii="Arial" w:hAnsi="Arial"/>
          <w:color w:val="231F20"/>
        </w:rPr>
        <w:t>était</w:t>
      </w:r>
      <w:r>
        <w:rPr>
          <w:rFonts w:ascii="Arial" w:hAnsi="Arial"/>
          <w:color w:val="231F20"/>
          <w:spacing w:val="-11"/>
        </w:rPr>
        <w:t> </w:t>
      </w:r>
      <w:r>
        <w:rPr>
          <w:rFonts w:ascii="Arial" w:hAnsi="Arial"/>
          <w:color w:val="231F20"/>
        </w:rPr>
        <w:t>en</w:t>
      </w:r>
      <w:r>
        <w:rPr>
          <w:rFonts w:ascii="Arial" w:hAnsi="Arial"/>
          <w:color w:val="231F20"/>
          <w:spacing w:val="-11"/>
        </w:rPr>
        <w:t> </w:t>
      </w:r>
      <w:r>
        <w:rPr>
          <w:rFonts w:ascii="Arial" w:hAnsi="Arial"/>
          <w:color w:val="231F20"/>
        </w:rPr>
        <w:t>proie</w:t>
      </w:r>
      <w:r>
        <w:rPr>
          <w:rFonts w:ascii="Arial" w:hAnsi="Arial"/>
          <w:color w:val="231F20"/>
          <w:spacing w:val="-11"/>
        </w:rPr>
        <w:t> </w:t>
      </w:r>
      <w:r>
        <w:rPr>
          <w:rFonts w:ascii="Arial" w:hAnsi="Arial"/>
          <w:color w:val="231F20"/>
        </w:rPr>
        <w:t>au</w:t>
      </w:r>
      <w:r>
        <w:rPr>
          <w:rFonts w:ascii="Arial" w:hAnsi="Arial"/>
          <w:color w:val="231F20"/>
          <w:spacing w:val="-11"/>
        </w:rPr>
        <w:t> </w:t>
      </w:r>
      <w:r>
        <w:rPr>
          <w:rFonts w:ascii="Arial" w:hAnsi="Arial"/>
          <w:color w:val="231F20"/>
        </w:rPr>
        <w:t>doute</w:t>
      </w:r>
      <w:r>
        <w:rPr>
          <w:rFonts w:ascii="Arial" w:hAnsi="Arial"/>
          <w:color w:val="231F20"/>
          <w:spacing w:val="-11"/>
        </w:rPr>
        <w:t> </w:t>
      </w:r>
      <w:r>
        <w:rPr>
          <w:rFonts w:ascii="Arial" w:hAnsi="Arial"/>
          <w:color w:val="231F20"/>
        </w:rPr>
        <w:t>permanent, tandis que l’autre avançait avec confiance. Comment expliquer une </w:t>
      </w:r>
      <w:r>
        <w:rPr>
          <w:rFonts w:ascii="Arial" w:hAnsi="Arial"/>
          <w:color w:val="231F20"/>
          <w:w w:val="105"/>
        </w:rPr>
        <w:t>telle</w:t>
      </w:r>
      <w:r>
        <w:rPr>
          <w:rFonts w:ascii="Arial" w:hAnsi="Arial"/>
          <w:color w:val="231F20"/>
          <w:spacing w:val="-6"/>
          <w:w w:val="105"/>
        </w:rPr>
        <w:t> </w:t>
      </w:r>
      <w:r>
        <w:rPr>
          <w:rFonts w:ascii="Arial" w:hAnsi="Arial"/>
          <w:color w:val="231F20"/>
          <w:w w:val="105"/>
        </w:rPr>
        <w:t>différence?</w:t>
      </w:r>
    </w:p>
    <w:p>
      <w:pPr>
        <w:pStyle w:val="BodyText"/>
        <w:spacing w:line="307" w:lineRule="auto" w:before="79"/>
        <w:ind w:left="1470" w:right="352"/>
        <w:jc w:val="both"/>
        <w:rPr>
          <w:rFonts w:ascii="Arial" w:hAnsi="Arial"/>
        </w:rPr>
      </w:pPr>
      <w:r>
        <w:rPr>
          <w:rFonts w:ascii="Arial" w:hAnsi="Arial"/>
          <w:color w:val="231F20"/>
        </w:rPr>
        <w:t>Selon l’Institut de médecine environnementale (IME), la clé de nos </w:t>
      </w:r>
      <w:r>
        <w:rPr>
          <w:rFonts w:ascii="Arial" w:hAnsi="Arial"/>
          <w:color w:val="231F20"/>
          <w:spacing w:val="-2"/>
        </w:rPr>
        <w:t>comportements</w:t>
      </w:r>
      <w:r>
        <w:rPr>
          <w:rFonts w:ascii="Arial" w:hAnsi="Arial"/>
          <w:color w:val="231F20"/>
          <w:spacing w:val="-6"/>
        </w:rPr>
        <w:t> </w:t>
      </w:r>
      <w:r>
        <w:rPr>
          <w:rFonts w:ascii="Arial" w:hAnsi="Arial"/>
          <w:color w:val="231F20"/>
          <w:spacing w:val="-2"/>
        </w:rPr>
        <w:t>réside</w:t>
      </w:r>
      <w:r>
        <w:rPr>
          <w:rFonts w:ascii="Arial" w:hAnsi="Arial"/>
          <w:color w:val="231F20"/>
          <w:spacing w:val="-6"/>
        </w:rPr>
        <w:t> </w:t>
      </w:r>
      <w:r>
        <w:rPr>
          <w:rFonts w:ascii="Arial" w:hAnsi="Arial"/>
          <w:color w:val="231F20"/>
          <w:spacing w:val="-2"/>
        </w:rPr>
        <w:t>dans</w:t>
      </w:r>
      <w:r>
        <w:rPr>
          <w:rFonts w:ascii="Arial" w:hAnsi="Arial"/>
          <w:color w:val="231F20"/>
          <w:spacing w:val="-6"/>
        </w:rPr>
        <w:t> </w:t>
      </w:r>
      <w:r>
        <w:rPr>
          <w:rFonts w:ascii="Arial" w:hAnsi="Arial"/>
          <w:color w:val="231F20"/>
          <w:spacing w:val="-2"/>
        </w:rPr>
        <w:t>l’estime</w:t>
      </w:r>
      <w:r>
        <w:rPr>
          <w:rFonts w:ascii="Arial" w:hAnsi="Arial"/>
          <w:color w:val="231F20"/>
          <w:spacing w:val="-6"/>
        </w:rPr>
        <w:t> </w:t>
      </w:r>
      <w:r>
        <w:rPr>
          <w:rFonts w:ascii="Arial" w:hAnsi="Arial"/>
          <w:color w:val="231F20"/>
          <w:spacing w:val="-2"/>
        </w:rPr>
        <w:t>de</w:t>
      </w:r>
      <w:r>
        <w:rPr>
          <w:rFonts w:ascii="Arial" w:hAnsi="Arial"/>
          <w:color w:val="231F20"/>
          <w:spacing w:val="-6"/>
        </w:rPr>
        <w:t> </w:t>
      </w:r>
      <w:r>
        <w:rPr>
          <w:rFonts w:ascii="Arial" w:hAnsi="Arial"/>
          <w:color w:val="231F20"/>
          <w:spacing w:val="-2"/>
        </w:rPr>
        <w:t>soi,</w:t>
      </w:r>
      <w:r>
        <w:rPr>
          <w:rFonts w:ascii="Arial" w:hAnsi="Arial"/>
          <w:color w:val="231F20"/>
          <w:spacing w:val="-6"/>
        </w:rPr>
        <w:t> </w:t>
      </w:r>
      <w:r>
        <w:rPr>
          <w:rFonts w:ascii="Arial" w:hAnsi="Arial"/>
          <w:color w:val="231F20"/>
          <w:spacing w:val="-2"/>
        </w:rPr>
        <w:t>laquelle</w:t>
      </w:r>
      <w:r>
        <w:rPr>
          <w:rFonts w:ascii="Arial" w:hAnsi="Arial"/>
          <w:color w:val="231F20"/>
          <w:spacing w:val="-6"/>
        </w:rPr>
        <w:t> </w:t>
      </w:r>
      <w:r>
        <w:rPr>
          <w:rFonts w:ascii="Arial" w:hAnsi="Arial"/>
          <w:color w:val="231F20"/>
          <w:spacing w:val="-2"/>
        </w:rPr>
        <w:t>est</w:t>
      </w:r>
      <w:r>
        <w:rPr>
          <w:rFonts w:ascii="Arial" w:hAnsi="Arial"/>
          <w:color w:val="231F20"/>
          <w:spacing w:val="-6"/>
        </w:rPr>
        <w:t> </w:t>
      </w:r>
      <w:r>
        <w:rPr>
          <w:rFonts w:ascii="Arial" w:hAnsi="Arial"/>
          <w:color w:val="231F20"/>
          <w:spacing w:val="-2"/>
        </w:rPr>
        <w:t>fondée</w:t>
      </w:r>
      <w:r>
        <w:rPr>
          <w:rFonts w:ascii="Arial" w:hAnsi="Arial"/>
          <w:color w:val="231F20"/>
          <w:spacing w:val="-6"/>
        </w:rPr>
        <w:t> </w:t>
      </w:r>
      <w:r>
        <w:rPr>
          <w:rFonts w:ascii="Arial" w:hAnsi="Arial"/>
          <w:color w:val="231F20"/>
          <w:spacing w:val="-2"/>
        </w:rPr>
        <w:t>sur</w:t>
      </w:r>
      <w:r>
        <w:rPr>
          <w:rFonts w:ascii="Arial" w:hAnsi="Arial"/>
          <w:color w:val="231F20"/>
          <w:spacing w:val="-6"/>
        </w:rPr>
        <w:t> </w:t>
      </w:r>
      <w:r>
        <w:rPr>
          <w:rFonts w:ascii="Arial" w:hAnsi="Arial"/>
          <w:color w:val="231F20"/>
          <w:spacing w:val="-2"/>
        </w:rPr>
        <w:t>trois </w:t>
      </w:r>
      <w:r>
        <w:rPr>
          <w:rFonts w:ascii="Arial" w:hAnsi="Arial"/>
          <w:color w:val="231F20"/>
        </w:rPr>
        <w:t>piliers.</w:t>
      </w:r>
      <w:r>
        <w:rPr>
          <w:rFonts w:ascii="Arial" w:hAnsi="Arial"/>
          <w:color w:val="231F20"/>
          <w:spacing w:val="-3"/>
        </w:rPr>
        <w:t> </w:t>
      </w:r>
      <w:r>
        <w:rPr>
          <w:rFonts w:ascii="Arial" w:hAnsi="Arial"/>
          <w:color w:val="231F20"/>
        </w:rPr>
        <w:t>Le</w:t>
      </w:r>
      <w:r>
        <w:rPr>
          <w:rFonts w:ascii="Arial" w:hAnsi="Arial"/>
          <w:color w:val="231F20"/>
          <w:spacing w:val="-3"/>
        </w:rPr>
        <w:t> </w:t>
      </w:r>
      <w:r>
        <w:rPr>
          <w:rFonts w:ascii="Arial" w:hAnsi="Arial"/>
          <w:color w:val="231F20"/>
        </w:rPr>
        <w:t>tempérament,</w:t>
      </w:r>
      <w:r>
        <w:rPr>
          <w:rFonts w:ascii="Arial" w:hAnsi="Arial"/>
          <w:color w:val="231F20"/>
          <w:spacing w:val="-3"/>
        </w:rPr>
        <w:t> </w:t>
      </w:r>
      <w:r>
        <w:rPr>
          <w:rFonts w:ascii="Arial" w:hAnsi="Arial"/>
          <w:color w:val="231F20"/>
        </w:rPr>
        <w:t>constitué</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motivations</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préférences profondes,</w:t>
      </w:r>
      <w:r>
        <w:rPr>
          <w:rFonts w:ascii="Arial" w:hAnsi="Arial"/>
          <w:color w:val="231F20"/>
          <w:spacing w:val="-12"/>
        </w:rPr>
        <w:t> </w:t>
      </w:r>
      <w:r>
        <w:rPr>
          <w:rFonts w:ascii="Arial" w:hAnsi="Arial"/>
          <w:color w:val="231F20"/>
        </w:rPr>
        <w:t>se</w:t>
      </w:r>
      <w:r>
        <w:rPr>
          <w:rFonts w:ascii="Arial" w:hAnsi="Arial"/>
          <w:color w:val="231F20"/>
          <w:spacing w:val="-12"/>
        </w:rPr>
        <w:t> </w:t>
      </w:r>
      <w:r>
        <w:rPr>
          <w:rFonts w:ascii="Arial" w:hAnsi="Arial"/>
          <w:color w:val="231F20"/>
        </w:rPr>
        <w:t>forge</w:t>
      </w:r>
      <w:r>
        <w:rPr>
          <w:rFonts w:ascii="Arial" w:hAnsi="Arial"/>
          <w:color w:val="231F20"/>
          <w:spacing w:val="-11"/>
        </w:rPr>
        <w:t> </w:t>
      </w:r>
      <w:r>
        <w:rPr>
          <w:rFonts w:ascii="Arial" w:hAnsi="Arial"/>
          <w:color w:val="231F20"/>
        </w:rPr>
        <w:t>de</w:t>
      </w:r>
      <w:r>
        <w:rPr>
          <w:rFonts w:ascii="Arial" w:hAnsi="Arial"/>
          <w:color w:val="231F20"/>
          <w:spacing w:val="-5"/>
        </w:rPr>
        <w:t> </w:t>
      </w:r>
      <w:r>
        <w:rPr>
          <w:rFonts w:ascii="Arial" w:hAnsi="Arial"/>
          <w:color w:val="231F20"/>
        </w:rPr>
        <w:t>0</w:t>
      </w:r>
      <w:r>
        <w:rPr>
          <w:rFonts w:ascii="Arial" w:hAnsi="Arial"/>
          <w:color w:val="231F20"/>
          <w:spacing w:val="-6"/>
        </w:rPr>
        <w:t> </w:t>
      </w:r>
      <w:r>
        <w:rPr>
          <w:rFonts w:ascii="Arial" w:hAnsi="Arial"/>
          <w:color w:val="231F20"/>
        </w:rPr>
        <w:t>à</w:t>
      </w:r>
      <w:r>
        <w:rPr>
          <w:rFonts w:ascii="Arial" w:hAnsi="Arial"/>
          <w:color w:val="231F20"/>
          <w:spacing w:val="-6"/>
        </w:rPr>
        <w:t> </w:t>
      </w:r>
      <w:r>
        <w:rPr>
          <w:rFonts w:ascii="Arial" w:hAnsi="Arial"/>
          <w:color w:val="231F20"/>
        </w:rPr>
        <w:t>6</w:t>
      </w:r>
      <w:r>
        <w:rPr>
          <w:rFonts w:ascii="Arial" w:hAnsi="Arial"/>
          <w:color w:val="231F20"/>
          <w:spacing w:val="-6"/>
        </w:rPr>
        <w:t> </w:t>
      </w:r>
      <w:r>
        <w:rPr>
          <w:rFonts w:ascii="Arial" w:hAnsi="Arial"/>
          <w:color w:val="231F20"/>
        </w:rPr>
        <w:t>mois</w:t>
      </w:r>
      <w:r>
        <w:rPr>
          <w:rFonts w:ascii="Arial" w:hAnsi="Arial"/>
          <w:color w:val="231F20"/>
          <w:spacing w:val="-12"/>
        </w:rPr>
        <w:t> </w:t>
      </w:r>
      <w:r>
        <w:rPr>
          <w:rFonts w:ascii="Arial" w:hAnsi="Arial"/>
          <w:color w:val="231F20"/>
        </w:rPr>
        <w:t>:</w:t>
      </w:r>
      <w:r>
        <w:rPr>
          <w:rFonts w:ascii="Arial" w:hAnsi="Arial"/>
          <w:color w:val="231F20"/>
          <w:spacing w:val="-5"/>
        </w:rPr>
        <w:t> </w:t>
      </w:r>
      <w:r>
        <w:rPr>
          <w:rFonts w:ascii="Arial" w:hAnsi="Arial"/>
          <w:color w:val="231F20"/>
        </w:rPr>
        <w:t>c’est</w:t>
      </w:r>
      <w:r>
        <w:rPr>
          <w:rFonts w:ascii="Arial" w:hAnsi="Arial"/>
          <w:color w:val="231F20"/>
          <w:spacing w:val="-6"/>
        </w:rPr>
        <w:t> </w:t>
      </w:r>
      <w:r>
        <w:rPr>
          <w:rFonts w:ascii="Arial" w:hAnsi="Arial"/>
          <w:color w:val="231F20"/>
        </w:rPr>
        <w:t>le</w:t>
      </w:r>
      <w:r>
        <w:rPr>
          <w:rFonts w:ascii="Arial" w:hAnsi="Arial"/>
          <w:color w:val="231F20"/>
          <w:spacing w:val="-6"/>
        </w:rPr>
        <w:t> </w:t>
      </w:r>
      <w:r>
        <w:rPr>
          <w:rFonts w:ascii="Arial" w:hAnsi="Arial"/>
          <w:color w:val="231F20"/>
        </w:rPr>
        <w:t>socle</w:t>
      </w:r>
      <w:r>
        <w:rPr>
          <w:rFonts w:ascii="Arial" w:hAnsi="Arial"/>
          <w:color w:val="231F20"/>
          <w:spacing w:val="-6"/>
        </w:rPr>
        <w:t> </w:t>
      </w:r>
      <w:r>
        <w:rPr>
          <w:rFonts w:ascii="Arial" w:hAnsi="Arial"/>
          <w:color w:val="231F20"/>
        </w:rPr>
        <w:t>de</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personnalité.</w:t>
      </w:r>
      <w:r>
        <w:rPr>
          <w:rFonts w:ascii="Arial" w:hAnsi="Arial"/>
          <w:color w:val="231F20"/>
          <w:spacing w:val="-6"/>
        </w:rPr>
        <w:t> </w:t>
      </w:r>
      <w:r>
        <w:rPr>
          <w:rFonts w:ascii="Arial" w:hAnsi="Arial"/>
          <w:color w:val="231F20"/>
        </w:rPr>
        <w:t>La confiance</w:t>
      </w:r>
      <w:r>
        <w:rPr>
          <w:rFonts w:ascii="Arial" w:hAnsi="Arial"/>
          <w:color w:val="231F20"/>
          <w:spacing w:val="-11"/>
        </w:rPr>
        <w:t> </w:t>
      </w:r>
      <w:r>
        <w:rPr>
          <w:rFonts w:ascii="Arial" w:hAnsi="Arial"/>
          <w:color w:val="231F20"/>
        </w:rPr>
        <w:t>en</w:t>
      </w:r>
      <w:r>
        <w:rPr>
          <w:rFonts w:ascii="Arial" w:hAnsi="Arial"/>
          <w:color w:val="231F20"/>
          <w:spacing w:val="-11"/>
        </w:rPr>
        <w:t> </w:t>
      </w:r>
      <w:r>
        <w:rPr>
          <w:rFonts w:ascii="Arial" w:hAnsi="Arial"/>
          <w:color w:val="231F20"/>
        </w:rPr>
        <w:t>soi</w:t>
      </w:r>
      <w:r>
        <w:rPr>
          <w:rFonts w:ascii="Arial" w:hAnsi="Arial"/>
          <w:color w:val="231F20"/>
          <w:spacing w:val="-11"/>
        </w:rPr>
        <w:t> </w:t>
      </w:r>
      <w:r>
        <w:rPr>
          <w:rFonts w:ascii="Arial" w:hAnsi="Arial"/>
          <w:color w:val="231F20"/>
        </w:rPr>
        <w:t>dite</w:t>
      </w:r>
      <w:r>
        <w:rPr>
          <w:rFonts w:ascii="Arial" w:hAnsi="Arial"/>
          <w:color w:val="231F20"/>
          <w:spacing w:val="-11"/>
        </w:rPr>
        <w:t> </w:t>
      </w:r>
      <w:r>
        <w:rPr>
          <w:rFonts w:ascii="Arial" w:hAnsi="Arial"/>
          <w:color w:val="231F20"/>
        </w:rPr>
        <w:t>spontanée</w:t>
      </w:r>
      <w:r>
        <w:rPr>
          <w:rFonts w:ascii="Arial" w:hAnsi="Arial"/>
          <w:color w:val="231F20"/>
          <w:spacing w:val="-11"/>
        </w:rPr>
        <w:t> </w:t>
      </w:r>
      <w:r>
        <w:rPr>
          <w:rFonts w:ascii="Arial" w:hAnsi="Arial"/>
          <w:color w:val="231F20"/>
        </w:rPr>
        <w:t>s’affirme</w:t>
      </w:r>
      <w:r>
        <w:rPr>
          <w:rFonts w:ascii="Arial" w:hAnsi="Arial"/>
          <w:color w:val="231F20"/>
          <w:spacing w:val="-11"/>
        </w:rPr>
        <w:t> </w:t>
      </w:r>
      <w:r>
        <w:rPr>
          <w:rFonts w:ascii="Arial" w:hAnsi="Arial"/>
          <w:color w:val="231F20"/>
        </w:rPr>
        <w:t>à</w:t>
      </w:r>
      <w:r>
        <w:rPr>
          <w:rFonts w:ascii="Arial" w:hAnsi="Arial"/>
          <w:color w:val="231F20"/>
          <w:spacing w:val="-11"/>
        </w:rPr>
        <w:t> </w:t>
      </w:r>
      <w:r>
        <w:rPr>
          <w:rFonts w:ascii="Arial" w:hAnsi="Arial"/>
          <w:color w:val="231F20"/>
        </w:rPr>
        <w:t>l’âge</w:t>
      </w:r>
      <w:r>
        <w:rPr>
          <w:rFonts w:ascii="Arial" w:hAnsi="Arial"/>
          <w:color w:val="231F20"/>
          <w:spacing w:val="-11"/>
        </w:rPr>
        <w:t> </w:t>
      </w:r>
      <w:r>
        <w:rPr>
          <w:rFonts w:ascii="Arial" w:hAnsi="Arial"/>
          <w:color w:val="231F20"/>
        </w:rPr>
        <w:t>de</w:t>
      </w:r>
      <w:r>
        <w:rPr>
          <w:rFonts w:ascii="Arial" w:hAnsi="Arial"/>
          <w:color w:val="231F20"/>
          <w:spacing w:val="-11"/>
        </w:rPr>
        <w:t> </w:t>
      </w:r>
      <w:r>
        <w:rPr>
          <w:rFonts w:ascii="Arial" w:hAnsi="Arial"/>
          <w:color w:val="231F20"/>
        </w:rPr>
        <w:t>3</w:t>
      </w:r>
      <w:r>
        <w:rPr>
          <w:rFonts w:ascii="Arial" w:hAnsi="Arial"/>
          <w:color w:val="231F20"/>
          <w:spacing w:val="-11"/>
        </w:rPr>
        <w:t> </w:t>
      </w:r>
      <w:r>
        <w:rPr>
          <w:rFonts w:ascii="Arial" w:hAnsi="Arial"/>
          <w:color w:val="231F20"/>
        </w:rPr>
        <w:t>ans,</w:t>
      </w:r>
      <w:r>
        <w:rPr>
          <w:rFonts w:ascii="Arial" w:hAnsi="Arial"/>
          <w:color w:val="231F20"/>
          <w:spacing w:val="-11"/>
        </w:rPr>
        <w:t> </w:t>
      </w:r>
      <w:r>
        <w:rPr>
          <w:rFonts w:ascii="Arial" w:hAnsi="Arial"/>
          <w:color w:val="231F20"/>
        </w:rPr>
        <w:t>lorsque</w:t>
      </w:r>
      <w:r>
        <w:rPr>
          <w:rFonts w:ascii="Arial" w:hAnsi="Arial"/>
          <w:color w:val="231F20"/>
          <w:spacing w:val="-11"/>
        </w:rPr>
        <w:t> </w:t>
      </w:r>
      <w:r>
        <w:rPr>
          <w:rFonts w:ascii="Arial" w:hAnsi="Arial"/>
          <w:color w:val="231F20"/>
        </w:rPr>
        <w:t>l’en- </w:t>
      </w:r>
      <w:r>
        <w:rPr>
          <w:rFonts w:ascii="Arial" w:hAnsi="Arial"/>
          <w:color w:val="231F20"/>
          <w:spacing w:val="-2"/>
        </w:rPr>
        <w:t>fant</w:t>
      </w:r>
      <w:r>
        <w:rPr>
          <w:rFonts w:ascii="Arial" w:hAnsi="Arial"/>
          <w:color w:val="231F20"/>
          <w:spacing w:val="-10"/>
        </w:rPr>
        <w:t> </w:t>
      </w:r>
      <w:r>
        <w:rPr>
          <w:rFonts w:ascii="Arial" w:hAnsi="Arial"/>
          <w:color w:val="231F20"/>
          <w:spacing w:val="-2"/>
        </w:rPr>
        <w:t>se</w:t>
      </w:r>
      <w:r>
        <w:rPr>
          <w:rFonts w:ascii="Arial" w:hAnsi="Arial"/>
          <w:color w:val="231F20"/>
          <w:spacing w:val="-10"/>
        </w:rPr>
        <w:t> </w:t>
      </w:r>
      <w:r>
        <w:rPr>
          <w:rFonts w:ascii="Arial" w:hAnsi="Arial"/>
          <w:color w:val="231F20"/>
          <w:spacing w:val="-2"/>
        </w:rPr>
        <w:t>met</w:t>
      </w:r>
      <w:r>
        <w:rPr>
          <w:rFonts w:ascii="Arial" w:hAnsi="Arial"/>
          <w:color w:val="231F20"/>
          <w:spacing w:val="-10"/>
        </w:rPr>
        <w:t> </w:t>
      </w:r>
      <w:r>
        <w:rPr>
          <w:rFonts w:ascii="Arial" w:hAnsi="Arial"/>
          <w:color w:val="231F20"/>
          <w:spacing w:val="-2"/>
        </w:rPr>
        <w:t>à</w:t>
      </w:r>
      <w:r>
        <w:rPr>
          <w:rFonts w:ascii="Arial" w:hAnsi="Arial"/>
          <w:color w:val="231F20"/>
          <w:spacing w:val="-10"/>
        </w:rPr>
        <w:t> </w:t>
      </w:r>
      <w:r>
        <w:rPr>
          <w:rFonts w:ascii="Arial" w:hAnsi="Arial"/>
          <w:color w:val="231F20"/>
          <w:spacing w:val="-2"/>
        </w:rPr>
        <w:t>dire</w:t>
      </w:r>
      <w:r>
        <w:rPr>
          <w:rFonts w:ascii="Arial" w:hAnsi="Arial"/>
          <w:color w:val="231F20"/>
          <w:spacing w:val="-10"/>
        </w:rPr>
        <w:t> </w:t>
      </w:r>
      <w:r>
        <w:rPr>
          <w:rFonts w:ascii="Arial" w:hAnsi="Arial"/>
          <w:color w:val="231F20"/>
          <w:spacing w:val="-2"/>
        </w:rPr>
        <w:t>«</w:t>
      </w:r>
      <w:r>
        <w:rPr>
          <w:rFonts w:ascii="Arial" w:hAnsi="Arial"/>
          <w:color w:val="231F20"/>
          <w:spacing w:val="-9"/>
        </w:rPr>
        <w:t> </w:t>
      </w:r>
      <w:r>
        <w:rPr>
          <w:rFonts w:ascii="Arial" w:hAnsi="Arial"/>
          <w:color w:val="231F20"/>
          <w:spacing w:val="-2"/>
        </w:rPr>
        <w:t>non</w:t>
      </w:r>
      <w:r>
        <w:rPr>
          <w:rFonts w:ascii="Arial" w:hAnsi="Arial"/>
          <w:color w:val="231F20"/>
          <w:spacing w:val="-10"/>
        </w:rPr>
        <w:t> </w:t>
      </w:r>
      <w:r>
        <w:rPr>
          <w:rFonts w:ascii="Arial" w:hAnsi="Arial"/>
          <w:color w:val="231F20"/>
          <w:spacing w:val="-2"/>
        </w:rPr>
        <w:t>»,</w:t>
      </w:r>
      <w:r>
        <w:rPr>
          <w:rFonts w:ascii="Arial" w:hAnsi="Arial"/>
          <w:color w:val="231F20"/>
          <w:spacing w:val="-10"/>
        </w:rPr>
        <w:t> </w:t>
      </w:r>
      <w:r>
        <w:rPr>
          <w:rFonts w:ascii="Arial" w:hAnsi="Arial"/>
          <w:color w:val="231F20"/>
          <w:spacing w:val="-2"/>
        </w:rPr>
        <w:t>et</w:t>
      </w:r>
      <w:r>
        <w:rPr>
          <w:rFonts w:ascii="Arial" w:hAnsi="Arial"/>
          <w:color w:val="231F20"/>
          <w:spacing w:val="-10"/>
        </w:rPr>
        <w:t> </w:t>
      </w:r>
      <w:r>
        <w:rPr>
          <w:rFonts w:ascii="Arial" w:hAnsi="Arial"/>
          <w:color w:val="231F20"/>
          <w:spacing w:val="-2"/>
        </w:rPr>
        <w:t>se</w:t>
      </w:r>
      <w:r>
        <w:rPr>
          <w:rFonts w:ascii="Arial" w:hAnsi="Arial"/>
          <w:color w:val="231F20"/>
          <w:spacing w:val="-10"/>
        </w:rPr>
        <w:t> </w:t>
      </w:r>
      <w:r>
        <w:rPr>
          <w:rFonts w:ascii="Arial" w:hAnsi="Arial"/>
          <w:color w:val="231F20"/>
          <w:spacing w:val="-2"/>
        </w:rPr>
        <w:t>renforce</w:t>
      </w:r>
      <w:r>
        <w:rPr>
          <w:rFonts w:ascii="Arial" w:hAnsi="Arial"/>
          <w:color w:val="231F20"/>
          <w:spacing w:val="-9"/>
        </w:rPr>
        <w:t> </w:t>
      </w:r>
      <w:r>
        <w:rPr>
          <w:rFonts w:ascii="Arial" w:hAnsi="Arial"/>
          <w:color w:val="231F20"/>
          <w:spacing w:val="-2"/>
        </w:rPr>
        <w:t>à</w:t>
      </w:r>
      <w:r>
        <w:rPr>
          <w:rFonts w:ascii="Arial" w:hAnsi="Arial"/>
          <w:color w:val="231F20"/>
          <w:spacing w:val="-7"/>
        </w:rPr>
        <w:t> </w:t>
      </w:r>
      <w:r>
        <w:rPr>
          <w:rFonts w:ascii="Arial" w:hAnsi="Arial"/>
          <w:color w:val="231F20"/>
          <w:spacing w:val="-2"/>
        </w:rPr>
        <w:t>la</w:t>
      </w:r>
      <w:r>
        <w:rPr>
          <w:rFonts w:ascii="Arial" w:hAnsi="Arial"/>
          <w:color w:val="231F20"/>
          <w:spacing w:val="-5"/>
        </w:rPr>
        <w:t> </w:t>
      </w:r>
      <w:r>
        <w:rPr>
          <w:rFonts w:ascii="Arial" w:hAnsi="Arial"/>
          <w:color w:val="231F20"/>
          <w:spacing w:val="-2"/>
        </w:rPr>
        <w:t>puberté.</w:t>
      </w:r>
      <w:r>
        <w:rPr>
          <w:rFonts w:ascii="Arial" w:hAnsi="Arial"/>
          <w:color w:val="231F20"/>
          <w:spacing w:val="-5"/>
        </w:rPr>
        <w:t> </w:t>
      </w:r>
      <w:r>
        <w:rPr>
          <w:rFonts w:ascii="Arial" w:hAnsi="Arial"/>
          <w:color w:val="231F20"/>
          <w:spacing w:val="-2"/>
        </w:rPr>
        <w:t>Enfin,</w:t>
      </w:r>
      <w:r>
        <w:rPr>
          <w:rFonts w:ascii="Arial" w:hAnsi="Arial"/>
          <w:color w:val="231F20"/>
          <w:spacing w:val="-5"/>
        </w:rPr>
        <w:t> </w:t>
      </w:r>
      <w:r>
        <w:rPr>
          <w:rFonts w:ascii="Arial" w:hAnsi="Arial"/>
          <w:color w:val="231F20"/>
          <w:spacing w:val="-2"/>
        </w:rPr>
        <w:t>le</w:t>
      </w:r>
      <w:r>
        <w:rPr>
          <w:rFonts w:ascii="Arial" w:hAnsi="Arial"/>
          <w:color w:val="231F20"/>
          <w:spacing w:val="-5"/>
        </w:rPr>
        <w:t> </w:t>
      </w:r>
      <w:r>
        <w:rPr>
          <w:rFonts w:ascii="Arial" w:hAnsi="Arial"/>
          <w:color w:val="231F20"/>
          <w:spacing w:val="-2"/>
        </w:rPr>
        <w:t>caractère </w:t>
      </w:r>
      <w:r>
        <w:rPr>
          <w:rFonts w:ascii="Arial" w:hAnsi="Arial"/>
          <w:color w:val="231F20"/>
        </w:rPr>
        <w:t>se construit à chaque étape du développement et des expériences vécues</w:t>
      </w:r>
      <w:r>
        <w:rPr>
          <w:rFonts w:ascii="Arial" w:hAnsi="Arial"/>
          <w:color w:val="231F20"/>
          <w:spacing w:val="-8"/>
        </w:rPr>
        <w:t> </w:t>
      </w:r>
      <w:r>
        <w:rPr>
          <w:rFonts w:ascii="Arial" w:hAnsi="Arial"/>
          <w:color w:val="231F20"/>
        </w:rPr>
        <w:t>par</w:t>
      </w:r>
      <w:r>
        <w:rPr>
          <w:rFonts w:ascii="Arial" w:hAnsi="Arial"/>
          <w:color w:val="231F20"/>
          <w:spacing w:val="-8"/>
        </w:rPr>
        <w:t> </w:t>
      </w:r>
      <w:r>
        <w:rPr>
          <w:rFonts w:ascii="Arial" w:hAnsi="Arial"/>
          <w:color w:val="231F20"/>
        </w:rPr>
        <w:t>l’individu.</w:t>
      </w:r>
      <w:r>
        <w:rPr>
          <w:rFonts w:ascii="Arial" w:hAnsi="Arial"/>
          <w:color w:val="231F20"/>
          <w:spacing w:val="-8"/>
        </w:rPr>
        <w:t> </w:t>
      </w:r>
      <w:r>
        <w:rPr>
          <w:rFonts w:ascii="Arial" w:hAnsi="Arial"/>
          <w:color w:val="231F20"/>
        </w:rPr>
        <w:t>Or</w:t>
      </w:r>
      <w:r>
        <w:rPr>
          <w:rFonts w:ascii="Arial" w:hAnsi="Arial"/>
          <w:color w:val="231F20"/>
          <w:spacing w:val="-8"/>
        </w:rPr>
        <w:t> </w:t>
      </w:r>
      <w:r>
        <w:rPr>
          <w:rFonts w:ascii="Arial" w:hAnsi="Arial"/>
          <w:color w:val="231F20"/>
        </w:rPr>
        <w:t>il</w:t>
      </w:r>
      <w:r>
        <w:rPr>
          <w:rFonts w:ascii="Arial" w:hAnsi="Arial"/>
          <w:color w:val="231F20"/>
          <w:spacing w:val="-8"/>
        </w:rPr>
        <w:t> </w:t>
      </w:r>
      <w:r>
        <w:rPr>
          <w:rFonts w:ascii="Arial" w:hAnsi="Arial"/>
          <w:color w:val="231F20"/>
        </w:rPr>
        <w:t>suffit</w:t>
      </w:r>
      <w:r>
        <w:rPr>
          <w:rFonts w:ascii="Arial" w:hAnsi="Arial"/>
          <w:color w:val="231F20"/>
          <w:spacing w:val="-8"/>
        </w:rPr>
        <w:t> </w:t>
      </w:r>
      <w:r>
        <w:rPr>
          <w:rFonts w:ascii="Arial" w:hAnsi="Arial"/>
          <w:color w:val="231F20"/>
        </w:rPr>
        <w:t>d’un</w:t>
      </w:r>
      <w:r>
        <w:rPr>
          <w:rFonts w:ascii="Arial" w:hAnsi="Arial"/>
          <w:color w:val="231F20"/>
          <w:spacing w:val="-8"/>
        </w:rPr>
        <w:t> </w:t>
      </w:r>
      <w:r>
        <w:rPr>
          <w:rFonts w:ascii="Arial" w:hAnsi="Arial"/>
          <w:color w:val="231F20"/>
        </w:rPr>
        <w:t>manque,</w:t>
      </w:r>
      <w:r>
        <w:rPr>
          <w:rFonts w:ascii="Arial" w:hAnsi="Arial"/>
          <w:color w:val="231F20"/>
          <w:spacing w:val="-8"/>
        </w:rPr>
        <w:t> </w:t>
      </w:r>
      <w:r>
        <w:rPr>
          <w:rFonts w:ascii="Arial" w:hAnsi="Arial"/>
          <w:color w:val="231F20"/>
        </w:rPr>
        <w:t>d’une</w:t>
      </w:r>
      <w:r>
        <w:rPr>
          <w:rFonts w:ascii="Arial" w:hAnsi="Arial"/>
          <w:color w:val="231F20"/>
          <w:spacing w:val="-8"/>
        </w:rPr>
        <w:t> </w:t>
      </w:r>
      <w:r>
        <w:rPr>
          <w:rFonts w:ascii="Arial" w:hAnsi="Arial"/>
          <w:color w:val="231F20"/>
        </w:rPr>
        <w:t>défaillance</w:t>
      </w:r>
      <w:r>
        <w:rPr>
          <w:rFonts w:ascii="Arial" w:hAnsi="Arial"/>
          <w:color w:val="231F20"/>
          <w:spacing w:val="-8"/>
        </w:rPr>
        <w:t> </w:t>
      </w:r>
      <w:r>
        <w:rPr>
          <w:rFonts w:ascii="Arial" w:hAnsi="Arial"/>
          <w:color w:val="231F20"/>
        </w:rPr>
        <w:t>lors</w:t>
      </w:r>
      <w:r>
        <w:rPr>
          <w:rFonts w:ascii="Arial" w:hAnsi="Arial"/>
          <w:color w:val="231F20"/>
          <w:spacing w:val="-8"/>
        </w:rPr>
        <w:t> </w:t>
      </w:r>
      <w:r>
        <w:rPr>
          <w:rFonts w:ascii="Arial" w:hAnsi="Arial"/>
          <w:color w:val="231F20"/>
        </w:rPr>
        <w:t>de notre développement pour que l’estime de soi soit fragilisée. Adulte, </w:t>
      </w:r>
      <w:r>
        <w:rPr>
          <w:rFonts w:ascii="Arial" w:hAnsi="Arial"/>
          <w:color w:val="231F20"/>
          <w:spacing w:val="-4"/>
        </w:rPr>
        <w:t>des situations précises – devoir s’adresser à une figure d’autorité comme </w:t>
      </w:r>
      <w:r>
        <w:rPr>
          <w:rFonts w:ascii="Arial" w:hAnsi="Arial"/>
          <w:color w:val="231F20"/>
        </w:rPr>
        <w:t>un</w:t>
      </w:r>
      <w:r>
        <w:rPr>
          <w:rFonts w:ascii="Arial" w:hAnsi="Arial"/>
          <w:color w:val="231F20"/>
          <w:spacing w:val="-4"/>
        </w:rPr>
        <w:t> </w:t>
      </w:r>
      <w:r>
        <w:rPr>
          <w:rFonts w:ascii="Arial" w:hAnsi="Arial"/>
          <w:color w:val="231F20"/>
        </w:rPr>
        <w:t>PDG,</w:t>
      </w:r>
      <w:r>
        <w:rPr>
          <w:rFonts w:ascii="Arial" w:hAnsi="Arial"/>
          <w:color w:val="231F20"/>
          <w:spacing w:val="-4"/>
        </w:rPr>
        <w:t> </w:t>
      </w:r>
      <w:r>
        <w:rPr>
          <w:rFonts w:ascii="Arial" w:hAnsi="Arial"/>
          <w:color w:val="231F20"/>
        </w:rPr>
        <w:t>prendre</w:t>
      </w:r>
      <w:r>
        <w:rPr>
          <w:rFonts w:ascii="Arial" w:hAnsi="Arial"/>
          <w:color w:val="231F20"/>
          <w:spacing w:val="-4"/>
        </w:rPr>
        <w:t> </w:t>
      </w:r>
      <w:r>
        <w:rPr>
          <w:rFonts w:ascii="Arial" w:hAnsi="Arial"/>
          <w:color w:val="231F20"/>
        </w:rPr>
        <w:t>du</w:t>
      </w:r>
      <w:r>
        <w:rPr>
          <w:rFonts w:ascii="Arial" w:hAnsi="Arial"/>
          <w:color w:val="231F20"/>
          <w:spacing w:val="-4"/>
        </w:rPr>
        <w:t> </w:t>
      </w:r>
      <w:r>
        <w:rPr>
          <w:rFonts w:ascii="Arial" w:hAnsi="Arial"/>
          <w:color w:val="231F20"/>
        </w:rPr>
        <w:t>galon,</w:t>
      </w:r>
      <w:r>
        <w:rPr>
          <w:rFonts w:ascii="Arial" w:hAnsi="Arial"/>
          <w:color w:val="231F20"/>
          <w:spacing w:val="-4"/>
        </w:rPr>
        <w:t> </w:t>
      </w:r>
      <w:r>
        <w:rPr>
          <w:rFonts w:ascii="Arial" w:hAnsi="Arial"/>
          <w:color w:val="231F20"/>
        </w:rPr>
        <w:t>négocier</w:t>
      </w:r>
      <w:r>
        <w:rPr>
          <w:rFonts w:ascii="Arial" w:hAnsi="Arial"/>
          <w:color w:val="231F20"/>
          <w:spacing w:val="-4"/>
        </w:rPr>
        <w:t> </w:t>
      </w:r>
      <w:r>
        <w:rPr>
          <w:rFonts w:ascii="Arial" w:hAnsi="Arial"/>
          <w:color w:val="231F20"/>
        </w:rPr>
        <w:t>un</w:t>
      </w:r>
      <w:r>
        <w:rPr>
          <w:rFonts w:ascii="Arial" w:hAnsi="Arial"/>
          <w:color w:val="231F20"/>
          <w:spacing w:val="-4"/>
        </w:rPr>
        <w:t> </w:t>
      </w:r>
      <w:r>
        <w:rPr>
          <w:rFonts w:ascii="Arial" w:hAnsi="Arial"/>
          <w:color w:val="231F20"/>
        </w:rPr>
        <w:t>gros</w:t>
      </w:r>
      <w:r>
        <w:rPr>
          <w:rFonts w:ascii="Arial" w:hAnsi="Arial"/>
          <w:color w:val="231F20"/>
          <w:spacing w:val="-4"/>
        </w:rPr>
        <w:t> </w:t>
      </w:r>
      <w:r>
        <w:rPr>
          <w:rFonts w:ascii="Arial" w:hAnsi="Arial"/>
          <w:color w:val="231F20"/>
        </w:rPr>
        <w:t>contrat…</w:t>
      </w:r>
      <w:r>
        <w:rPr>
          <w:rFonts w:ascii="Arial" w:hAnsi="Arial"/>
          <w:color w:val="231F20"/>
          <w:spacing w:val="-4"/>
        </w:rPr>
        <w:t> </w:t>
      </w:r>
      <w:r>
        <w:rPr>
          <w:rFonts w:ascii="Arial" w:hAnsi="Arial"/>
          <w:color w:val="231F20"/>
        </w:rPr>
        <w:t>–</w:t>
      </w:r>
      <w:r>
        <w:rPr>
          <w:rFonts w:ascii="Arial" w:hAnsi="Arial"/>
          <w:color w:val="231F20"/>
          <w:spacing w:val="-4"/>
        </w:rPr>
        <w:t> </w:t>
      </w:r>
      <w:r>
        <w:rPr>
          <w:rFonts w:ascii="Arial" w:hAnsi="Arial"/>
          <w:color w:val="231F20"/>
        </w:rPr>
        <w:t>peuvent</w:t>
      </w:r>
      <w:r>
        <w:rPr>
          <w:rFonts w:ascii="Arial" w:hAnsi="Arial"/>
          <w:color w:val="231F20"/>
          <w:spacing w:val="-4"/>
        </w:rPr>
        <w:t> </w:t>
      </w:r>
      <w:r>
        <w:rPr>
          <w:rFonts w:ascii="Arial" w:hAnsi="Arial"/>
          <w:color w:val="231F20"/>
        </w:rPr>
        <w:t>faire ressurgir cette vulnérabilité. Mais l’estime de soi n’est pas comme la couleur</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vos</w:t>
      </w:r>
      <w:r>
        <w:rPr>
          <w:rFonts w:ascii="Arial" w:hAnsi="Arial"/>
          <w:color w:val="231F20"/>
          <w:spacing w:val="-12"/>
        </w:rPr>
        <w:t> </w:t>
      </w:r>
      <w:r>
        <w:rPr>
          <w:rFonts w:ascii="Arial" w:hAnsi="Arial"/>
          <w:color w:val="231F20"/>
        </w:rPr>
        <w:t>yeux</w:t>
      </w:r>
      <w:r>
        <w:rPr>
          <w:rFonts w:ascii="Arial" w:hAnsi="Arial"/>
          <w:color w:val="231F20"/>
          <w:spacing w:val="-12"/>
        </w:rPr>
        <w:t> </w:t>
      </w:r>
      <w:r>
        <w:rPr>
          <w:rFonts w:ascii="Arial" w:hAnsi="Arial"/>
          <w:color w:val="231F20"/>
        </w:rPr>
        <w:t>:</w:t>
      </w:r>
      <w:r>
        <w:rPr>
          <w:rFonts w:ascii="Arial" w:hAnsi="Arial"/>
          <w:color w:val="231F20"/>
          <w:spacing w:val="-12"/>
        </w:rPr>
        <w:t> </w:t>
      </w:r>
      <w:r>
        <w:rPr>
          <w:rFonts w:ascii="Arial" w:hAnsi="Arial"/>
          <w:color w:val="231F20"/>
        </w:rPr>
        <w:t>vous</w:t>
      </w:r>
      <w:r>
        <w:rPr>
          <w:rFonts w:ascii="Arial" w:hAnsi="Arial"/>
          <w:color w:val="231F20"/>
          <w:spacing w:val="-11"/>
        </w:rPr>
        <w:t> </w:t>
      </w:r>
      <w:r>
        <w:rPr>
          <w:rFonts w:ascii="Arial" w:hAnsi="Arial"/>
          <w:color w:val="231F20"/>
        </w:rPr>
        <w:t>pouvez</w:t>
      </w:r>
      <w:r>
        <w:rPr>
          <w:rFonts w:ascii="Arial" w:hAnsi="Arial"/>
          <w:color w:val="231F20"/>
          <w:spacing w:val="-11"/>
        </w:rPr>
        <w:t> </w:t>
      </w:r>
      <w:r>
        <w:rPr>
          <w:rFonts w:ascii="Arial" w:hAnsi="Arial"/>
          <w:color w:val="231F20"/>
        </w:rPr>
        <w:t>la</w:t>
      </w:r>
      <w:r>
        <w:rPr>
          <w:rFonts w:ascii="Arial" w:hAnsi="Arial"/>
          <w:color w:val="231F20"/>
          <w:spacing w:val="-8"/>
        </w:rPr>
        <w:t> </w:t>
      </w:r>
      <w:r>
        <w:rPr>
          <w:rFonts w:ascii="Arial" w:hAnsi="Arial"/>
          <w:color w:val="231F20"/>
        </w:rPr>
        <w:t>faire</w:t>
      </w:r>
      <w:r>
        <w:rPr>
          <w:rFonts w:ascii="Arial" w:hAnsi="Arial"/>
          <w:color w:val="231F20"/>
          <w:spacing w:val="-9"/>
        </w:rPr>
        <w:t> </w:t>
      </w:r>
      <w:r>
        <w:rPr>
          <w:rFonts w:ascii="Arial" w:hAnsi="Arial"/>
          <w:color w:val="231F20"/>
        </w:rPr>
        <w:t>évoluer.</w:t>
      </w:r>
      <w:r>
        <w:rPr>
          <w:rFonts w:ascii="Arial" w:hAnsi="Arial"/>
          <w:color w:val="231F20"/>
          <w:spacing w:val="-9"/>
        </w:rPr>
        <w:t> </w:t>
      </w:r>
      <w:r>
        <w:rPr>
          <w:rFonts w:ascii="Arial" w:hAnsi="Arial"/>
          <w:color w:val="231F20"/>
        </w:rPr>
        <w:t>Cinq</w:t>
      </w:r>
      <w:r>
        <w:rPr>
          <w:rFonts w:ascii="Arial" w:hAnsi="Arial"/>
          <w:color w:val="231F20"/>
          <w:spacing w:val="-9"/>
        </w:rPr>
        <w:t> </w:t>
      </w:r>
      <w:r>
        <w:rPr>
          <w:rFonts w:ascii="Arial" w:hAnsi="Arial"/>
          <w:color w:val="231F20"/>
        </w:rPr>
        <w:t>pistes</w:t>
      </w:r>
      <w:r>
        <w:rPr>
          <w:rFonts w:ascii="Arial" w:hAnsi="Arial"/>
          <w:color w:val="231F20"/>
          <w:spacing w:val="-9"/>
        </w:rPr>
        <w:t> </w:t>
      </w:r>
      <w:r>
        <w:rPr>
          <w:rFonts w:ascii="Arial" w:hAnsi="Arial"/>
          <w:color w:val="231F20"/>
        </w:rPr>
        <w:t>à</w:t>
      </w:r>
      <w:r>
        <w:rPr>
          <w:rFonts w:ascii="Arial" w:hAnsi="Arial"/>
          <w:color w:val="231F20"/>
          <w:spacing w:val="-9"/>
        </w:rPr>
        <w:t> </w:t>
      </w:r>
      <w:r>
        <w:rPr>
          <w:rFonts w:ascii="Arial" w:hAnsi="Arial"/>
          <w:color w:val="231F20"/>
        </w:rPr>
        <w:t>suivre pour y parvenir.</w:t>
      </w:r>
    </w:p>
    <w:p>
      <w:pPr>
        <w:pStyle w:val="BodyText"/>
        <w:spacing w:before="6"/>
        <w:rPr>
          <w:rFonts w:ascii="Arial"/>
          <w:sz w:val="21"/>
        </w:rPr>
      </w:pPr>
    </w:p>
    <w:p>
      <w:pPr>
        <w:pStyle w:val="Heading6"/>
        <w:numPr>
          <w:ilvl w:val="1"/>
          <w:numId w:val="70"/>
        </w:numPr>
        <w:tabs>
          <w:tab w:pos="1627" w:val="left" w:leader="none"/>
        </w:tabs>
        <w:spacing w:line="240" w:lineRule="auto" w:before="0" w:after="0"/>
        <w:ind w:left="1626" w:right="0" w:hanging="157"/>
        <w:jc w:val="left"/>
      </w:pPr>
      <w:r>
        <w:rPr>
          <w:color w:val="231F20"/>
          <w:w w:val="90"/>
        </w:rPr>
        <w:t>Prenez</w:t>
      </w:r>
      <w:r>
        <w:rPr>
          <w:color w:val="231F20"/>
          <w:spacing w:val="4"/>
        </w:rPr>
        <w:t> </w:t>
      </w:r>
      <w:r>
        <w:rPr>
          <w:color w:val="231F20"/>
          <w:w w:val="90"/>
        </w:rPr>
        <w:t>appui</w:t>
      </w:r>
      <w:r>
        <w:rPr>
          <w:color w:val="231F20"/>
          <w:spacing w:val="5"/>
        </w:rPr>
        <w:t> </w:t>
      </w:r>
      <w:r>
        <w:rPr>
          <w:color w:val="231F20"/>
          <w:w w:val="90"/>
        </w:rPr>
        <w:t>sur</w:t>
      </w:r>
      <w:r>
        <w:rPr>
          <w:color w:val="231F20"/>
          <w:spacing w:val="4"/>
        </w:rPr>
        <w:t> </w:t>
      </w:r>
      <w:r>
        <w:rPr>
          <w:color w:val="231F20"/>
          <w:w w:val="90"/>
        </w:rPr>
        <w:t>vos</w:t>
      </w:r>
      <w:r>
        <w:rPr>
          <w:color w:val="231F20"/>
          <w:spacing w:val="5"/>
        </w:rPr>
        <w:t> </w:t>
      </w:r>
      <w:r>
        <w:rPr>
          <w:color w:val="231F20"/>
          <w:w w:val="90"/>
        </w:rPr>
        <w:t>dispositions</w:t>
      </w:r>
      <w:r>
        <w:rPr>
          <w:color w:val="231F20"/>
          <w:spacing w:val="4"/>
        </w:rPr>
        <w:t> </w:t>
      </w:r>
      <w:r>
        <w:rPr>
          <w:color w:val="231F20"/>
          <w:spacing w:val="-2"/>
          <w:w w:val="90"/>
        </w:rPr>
        <w:t>naturelles</w:t>
      </w:r>
    </w:p>
    <w:p>
      <w:pPr>
        <w:spacing w:line="307" w:lineRule="auto" w:before="134"/>
        <w:ind w:left="1470" w:right="352" w:firstLine="0"/>
        <w:jc w:val="both"/>
        <w:rPr>
          <w:rFonts w:ascii="Arial" w:hAnsi="Arial"/>
          <w:sz w:val="17"/>
        </w:rPr>
      </w:pPr>
      <w:r>
        <w:rPr>
          <w:rFonts w:ascii="Arial" w:hAnsi="Arial"/>
          <w:color w:val="231F20"/>
          <w:sz w:val="17"/>
        </w:rPr>
        <w:t>«</w:t>
      </w:r>
      <w:r>
        <w:rPr>
          <w:rFonts w:ascii="Arial" w:hAnsi="Arial"/>
          <w:color w:val="231F20"/>
          <w:spacing w:val="-12"/>
          <w:sz w:val="17"/>
        </w:rPr>
        <w:t> </w:t>
      </w:r>
      <w:r>
        <w:rPr>
          <w:rFonts w:ascii="Arial" w:hAnsi="Arial"/>
          <w:i/>
          <w:color w:val="231F20"/>
          <w:sz w:val="17"/>
        </w:rPr>
        <w:t>J’avais</w:t>
      </w:r>
      <w:r>
        <w:rPr>
          <w:rFonts w:ascii="Arial" w:hAnsi="Arial"/>
          <w:i/>
          <w:color w:val="231F20"/>
          <w:spacing w:val="-12"/>
          <w:sz w:val="17"/>
        </w:rPr>
        <w:t> </w:t>
      </w:r>
      <w:r>
        <w:rPr>
          <w:rFonts w:ascii="Arial" w:hAnsi="Arial"/>
          <w:i/>
          <w:color w:val="231F20"/>
          <w:sz w:val="17"/>
        </w:rPr>
        <w:t>envie</w:t>
      </w:r>
      <w:r>
        <w:rPr>
          <w:rFonts w:ascii="Arial" w:hAnsi="Arial"/>
          <w:i/>
          <w:color w:val="231F20"/>
          <w:spacing w:val="-12"/>
          <w:sz w:val="17"/>
        </w:rPr>
        <w:t> </w:t>
      </w:r>
      <w:r>
        <w:rPr>
          <w:rFonts w:ascii="Arial" w:hAnsi="Arial"/>
          <w:i/>
          <w:color w:val="231F20"/>
          <w:sz w:val="17"/>
        </w:rPr>
        <w:t>d’être</w:t>
      </w:r>
      <w:r>
        <w:rPr>
          <w:rFonts w:ascii="Arial" w:hAnsi="Arial"/>
          <w:i/>
          <w:color w:val="231F20"/>
          <w:spacing w:val="-12"/>
          <w:sz w:val="17"/>
        </w:rPr>
        <w:t> </w:t>
      </w:r>
      <w:r>
        <w:rPr>
          <w:rFonts w:ascii="Arial" w:hAnsi="Arial"/>
          <w:i/>
          <w:color w:val="231F20"/>
          <w:sz w:val="17"/>
        </w:rPr>
        <w:t>laborantine.</w:t>
      </w:r>
      <w:r>
        <w:rPr>
          <w:rFonts w:ascii="Arial" w:hAnsi="Arial"/>
          <w:i/>
          <w:color w:val="231F20"/>
          <w:spacing w:val="-12"/>
          <w:sz w:val="17"/>
        </w:rPr>
        <w:t> </w:t>
      </w:r>
      <w:r>
        <w:rPr>
          <w:rFonts w:ascii="Arial" w:hAnsi="Arial"/>
          <w:i/>
          <w:color w:val="231F20"/>
          <w:sz w:val="17"/>
        </w:rPr>
        <w:t>Mais</w:t>
      </w:r>
      <w:r>
        <w:rPr>
          <w:rFonts w:ascii="Arial" w:hAnsi="Arial"/>
          <w:i/>
          <w:color w:val="231F20"/>
          <w:spacing w:val="-8"/>
          <w:sz w:val="17"/>
        </w:rPr>
        <w:t> </w:t>
      </w:r>
      <w:r>
        <w:rPr>
          <w:rFonts w:ascii="Arial" w:hAnsi="Arial"/>
          <w:i/>
          <w:color w:val="231F20"/>
          <w:sz w:val="17"/>
        </w:rPr>
        <w:t>en</w:t>
      </w:r>
      <w:r>
        <w:rPr>
          <w:rFonts w:ascii="Arial" w:hAnsi="Arial"/>
          <w:i/>
          <w:color w:val="231F20"/>
          <w:spacing w:val="-7"/>
          <w:sz w:val="17"/>
        </w:rPr>
        <w:t> </w:t>
      </w:r>
      <w:r>
        <w:rPr>
          <w:rFonts w:ascii="Arial" w:hAnsi="Arial"/>
          <w:i/>
          <w:color w:val="231F20"/>
          <w:sz w:val="17"/>
        </w:rPr>
        <w:t>fac</w:t>
      </w:r>
      <w:r>
        <w:rPr>
          <w:rFonts w:ascii="Arial" w:hAnsi="Arial"/>
          <w:i/>
          <w:color w:val="231F20"/>
          <w:spacing w:val="-7"/>
          <w:sz w:val="17"/>
        </w:rPr>
        <w:t> </w:t>
      </w:r>
      <w:r>
        <w:rPr>
          <w:rFonts w:ascii="Arial" w:hAnsi="Arial"/>
          <w:i/>
          <w:color w:val="231F20"/>
          <w:sz w:val="17"/>
        </w:rPr>
        <w:t>de</w:t>
      </w:r>
      <w:r>
        <w:rPr>
          <w:rFonts w:ascii="Arial" w:hAnsi="Arial"/>
          <w:i/>
          <w:color w:val="231F20"/>
          <w:spacing w:val="-7"/>
          <w:sz w:val="17"/>
        </w:rPr>
        <w:t> </w:t>
      </w:r>
      <w:r>
        <w:rPr>
          <w:rFonts w:ascii="Arial" w:hAnsi="Arial"/>
          <w:i/>
          <w:color w:val="231F20"/>
          <w:sz w:val="17"/>
        </w:rPr>
        <w:t>biologie,</w:t>
      </w:r>
      <w:r>
        <w:rPr>
          <w:rFonts w:ascii="Arial" w:hAnsi="Arial"/>
          <w:i/>
          <w:color w:val="231F20"/>
          <w:spacing w:val="-7"/>
          <w:sz w:val="17"/>
        </w:rPr>
        <w:t> </w:t>
      </w:r>
      <w:r>
        <w:rPr>
          <w:rFonts w:ascii="Arial" w:hAnsi="Arial"/>
          <w:i/>
          <w:color w:val="231F20"/>
          <w:sz w:val="17"/>
        </w:rPr>
        <w:t>j’ai</w:t>
      </w:r>
      <w:r>
        <w:rPr>
          <w:rFonts w:ascii="Arial" w:hAnsi="Arial"/>
          <w:i/>
          <w:color w:val="231F20"/>
          <w:spacing w:val="-7"/>
          <w:sz w:val="17"/>
        </w:rPr>
        <w:t> </w:t>
      </w:r>
      <w:r>
        <w:rPr>
          <w:rFonts w:ascii="Arial" w:hAnsi="Arial"/>
          <w:i/>
          <w:color w:val="231F20"/>
          <w:sz w:val="17"/>
        </w:rPr>
        <w:t>déprimé. Et le jour où j’ai dû disséquer une grenouille, j’ai décampé.</w:t>
      </w:r>
      <w:r>
        <w:rPr>
          <w:rFonts w:ascii="Arial" w:hAnsi="Arial"/>
          <w:i/>
          <w:color w:val="231F20"/>
          <w:spacing w:val="-12"/>
          <w:sz w:val="17"/>
        </w:rPr>
        <w:t> </w:t>
      </w:r>
      <w:r>
        <w:rPr>
          <w:rFonts w:ascii="Arial" w:hAnsi="Arial"/>
          <w:color w:val="231F20"/>
          <w:sz w:val="17"/>
        </w:rPr>
        <w:t>» Céline Chaubard,</w:t>
      </w:r>
      <w:r>
        <w:rPr>
          <w:rFonts w:ascii="Arial" w:hAnsi="Arial"/>
          <w:color w:val="231F20"/>
          <w:spacing w:val="-1"/>
          <w:sz w:val="17"/>
        </w:rPr>
        <w:t> </w:t>
      </w:r>
      <w:r>
        <w:rPr>
          <w:rFonts w:ascii="Arial" w:hAnsi="Arial"/>
          <w:color w:val="231F20"/>
          <w:sz w:val="17"/>
        </w:rPr>
        <w:t>manager</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Companeo</w:t>
      </w:r>
      <w:r>
        <w:rPr>
          <w:rFonts w:ascii="Arial" w:hAnsi="Arial"/>
          <w:color w:val="231F20"/>
          <w:spacing w:val="-1"/>
          <w:sz w:val="17"/>
        </w:rPr>
        <w:t> </w:t>
      </w:r>
      <w:r>
        <w:rPr>
          <w:rFonts w:ascii="Arial" w:hAnsi="Arial"/>
          <w:color w:val="231F20"/>
          <w:sz w:val="17"/>
        </w:rPr>
        <w:t>(conseil</w:t>
      </w:r>
      <w:r>
        <w:rPr>
          <w:rFonts w:ascii="Arial" w:hAnsi="Arial"/>
          <w:color w:val="231F20"/>
          <w:spacing w:val="-1"/>
          <w:sz w:val="17"/>
        </w:rPr>
        <w:t> </w:t>
      </w:r>
      <w:r>
        <w:rPr>
          <w:rFonts w:ascii="Arial" w:hAnsi="Arial"/>
          <w:color w:val="231F20"/>
          <w:sz w:val="17"/>
        </w:rPr>
        <w:t>aux</w:t>
      </w:r>
      <w:r>
        <w:rPr>
          <w:rFonts w:ascii="Arial" w:hAnsi="Arial"/>
          <w:color w:val="231F20"/>
          <w:spacing w:val="-1"/>
          <w:sz w:val="17"/>
        </w:rPr>
        <w:t> </w:t>
      </w:r>
      <w:r>
        <w:rPr>
          <w:rFonts w:ascii="Arial" w:hAnsi="Arial"/>
          <w:color w:val="231F20"/>
          <w:sz w:val="17"/>
        </w:rPr>
        <w:t>PME),</w:t>
      </w:r>
      <w:r>
        <w:rPr>
          <w:rFonts w:ascii="Arial" w:hAnsi="Arial"/>
          <w:color w:val="231F20"/>
          <w:spacing w:val="-1"/>
          <w:sz w:val="17"/>
        </w:rPr>
        <w:t> </w:t>
      </w:r>
      <w:r>
        <w:rPr>
          <w:rFonts w:ascii="Arial" w:hAnsi="Arial"/>
          <w:color w:val="231F20"/>
          <w:sz w:val="17"/>
        </w:rPr>
        <w:t>a</w:t>
      </w:r>
      <w:r>
        <w:rPr>
          <w:rFonts w:ascii="Arial" w:hAnsi="Arial"/>
          <w:color w:val="231F20"/>
          <w:spacing w:val="-1"/>
          <w:sz w:val="17"/>
        </w:rPr>
        <w:t> </w:t>
      </w:r>
      <w:r>
        <w:rPr>
          <w:rFonts w:ascii="Arial" w:hAnsi="Arial"/>
          <w:color w:val="231F20"/>
          <w:sz w:val="17"/>
        </w:rPr>
        <w:t>alors</w:t>
      </w:r>
      <w:r>
        <w:rPr>
          <w:rFonts w:ascii="Arial" w:hAnsi="Arial"/>
          <w:color w:val="231F20"/>
          <w:spacing w:val="-1"/>
          <w:sz w:val="17"/>
        </w:rPr>
        <w:t> </w:t>
      </w:r>
      <w:r>
        <w:rPr>
          <w:rFonts w:ascii="Arial" w:hAnsi="Arial"/>
          <w:color w:val="231F20"/>
          <w:sz w:val="17"/>
        </w:rPr>
        <w:t>bifurqué vers une tout autre filière, la vente, où elle poursuit une belle carrière.</w:t>
      </w:r>
    </w:p>
    <w:p>
      <w:pPr>
        <w:spacing w:line="307" w:lineRule="auto" w:before="0"/>
        <w:ind w:left="1470" w:right="352" w:firstLine="0"/>
        <w:jc w:val="both"/>
        <w:rPr>
          <w:rFonts w:ascii="Arial" w:hAnsi="Arial"/>
          <w:i/>
          <w:sz w:val="17"/>
        </w:rPr>
      </w:pPr>
      <w:r>
        <w:rPr>
          <w:rFonts w:ascii="Arial" w:hAnsi="Arial"/>
          <w:color w:val="231F20"/>
          <w:sz w:val="17"/>
        </w:rPr>
        <w:t>«</w:t>
      </w:r>
      <w:r>
        <w:rPr>
          <w:rFonts w:ascii="Arial" w:hAnsi="Arial"/>
          <w:color w:val="231F20"/>
          <w:spacing w:val="-12"/>
          <w:sz w:val="17"/>
        </w:rPr>
        <w:t> </w:t>
      </w:r>
      <w:r>
        <w:rPr>
          <w:rFonts w:ascii="Arial" w:hAnsi="Arial"/>
          <w:i/>
          <w:color w:val="231F20"/>
          <w:sz w:val="17"/>
        </w:rPr>
        <w:t>Aujourd’hui,</w:t>
      </w:r>
      <w:r>
        <w:rPr>
          <w:rFonts w:ascii="Arial" w:hAnsi="Arial"/>
          <w:i/>
          <w:color w:val="231F20"/>
          <w:spacing w:val="-12"/>
          <w:sz w:val="17"/>
        </w:rPr>
        <w:t> </w:t>
      </w:r>
      <w:r>
        <w:rPr>
          <w:rFonts w:ascii="Arial" w:hAnsi="Arial"/>
          <w:i/>
          <w:color w:val="231F20"/>
          <w:sz w:val="17"/>
        </w:rPr>
        <w:t>raconte-t-elle,</w:t>
      </w:r>
      <w:r>
        <w:rPr>
          <w:rFonts w:ascii="Arial" w:hAnsi="Arial"/>
          <w:i/>
          <w:color w:val="231F20"/>
          <w:spacing w:val="-12"/>
          <w:sz w:val="17"/>
        </w:rPr>
        <w:t> </w:t>
      </w:r>
      <w:r>
        <w:rPr>
          <w:rFonts w:ascii="Arial" w:hAnsi="Arial"/>
          <w:i/>
          <w:color w:val="231F20"/>
          <w:sz w:val="17"/>
        </w:rPr>
        <w:t>je</w:t>
      </w:r>
      <w:r>
        <w:rPr>
          <w:rFonts w:ascii="Arial" w:hAnsi="Arial"/>
          <w:i/>
          <w:color w:val="231F20"/>
          <w:spacing w:val="-2"/>
          <w:sz w:val="17"/>
        </w:rPr>
        <w:t> </w:t>
      </w:r>
      <w:r>
        <w:rPr>
          <w:rFonts w:ascii="Arial" w:hAnsi="Arial"/>
          <w:i/>
          <w:color w:val="231F20"/>
          <w:sz w:val="17"/>
        </w:rPr>
        <w:t>suis</w:t>
      </w:r>
      <w:r>
        <w:rPr>
          <w:rFonts w:ascii="Arial" w:hAnsi="Arial"/>
          <w:i/>
          <w:color w:val="231F20"/>
          <w:spacing w:val="-2"/>
          <w:sz w:val="17"/>
        </w:rPr>
        <w:t> </w:t>
      </w:r>
      <w:r>
        <w:rPr>
          <w:rFonts w:ascii="Arial" w:hAnsi="Arial"/>
          <w:i/>
          <w:color w:val="231F20"/>
          <w:sz w:val="17"/>
        </w:rPr>
        <w:t>responsable</w:t>
      </w:r>
      <w:r>
        <w:rPr>
          <w:rFonts w:ascii="Arial" w:hAnsi="Arial"/>
          <w:i/>
          <w:color w:val="231F20"/>
          <w:spacing w:val="-2"/>
          <w:sz w:val="17"/>
        </w:rPr>
        <w:t> </w:t>
      </w:r>
      <w:r>
        <w:rPr>
          <w:rFonts w:ascii="Arial" w:hAnsi="Arial"/>
          <w:i/>
          <w:color w:val="231F20"/>
          <w:sz w:val="17"/>
        </w:rPr>
        <w:t>d’une</w:t>
      </w:r>
      <w:r>
        <w:rPr>
          <w:rFonts w:ascii="Arial" w:hAnsi="Arial"/>
          <w:i/>
          <w:color w:val="231F20"/>
          <w:spacing w:val="-2"/>
          <w:sz w:val="17"/>
        </w:rPr>
        <w:t> </w:t>
      </w:r>
      <w:r>
        <w:rPr>
          <w:rFonts w:ascii="Arial" w:hAnsi="Arial"/>
          <w:i/>
          <w:color w:val="231F20"/>
          <w:sz w:val="17"/>
        </w:rPr>
        <w:t>équipe</w:t>
      </w:r>
      <w:r>
        <w:rPr>
          <w:rFonts w:ascii="Arial" w:hAnsi="Arial"/>
          <w:i/>
          <w:color w:val="231F20"/>
          <w:spacing w:val="-2"/>
          <w:sz w:val="17"/>
        </w:rPr>
        <w:t> </w:t>
      </w:r>
      <w:r>
        <w:rPr>
          <w:rFonts w:ascii="Arial" w:hAnsi="Arial"/>
          <w:i/>
          <w:color w:val="231F20"/>
          <w:sz w:val="17"/>
        </w:rPr>
        <w:t>de</w:t>
      </w:r>
      <w:r>
        <w:rPr>
          <w:rFonts w:ascii="Arial" w:hAnsi="Arial"/>
          <w:i/>
          <w:color w:val="231F20"/>
          <w:spacing w:val="-2"/>
          <w:sz w:val="17"/>
        </w:rPr>
        <w:t> </w:t>
      </w:r>
      <w:r>
        <w:rPr>
          <w:rFonts w:ascii="Arial" w:hAnsi="Arial"/>
          <w:i/>
          <w:color w:val="231F20"/>
          <w:sz w:val="17"/>
        </w:rPr>
        <w:t>télé- vendeurs.</w:t>
      </w:r>
      <w:r>
        <w:rPr>
          <w:rFonts w:ascii="Arial" w:hAnsi="Arial"/>
          <w:i/>
          <w:color w:val="231F20"/>
          <w:spacing w:val="2"/>
          <w:sz w:val="17"/>
        </w:rPr>
        <w:t> </w:t>
      </w:r>
      <w:r>
        <w:rPr>
          <w:rFonts w:ascii="Arial" w:hAnsi="Arial"/>
          <w:i/>
          <w:color w:val="231F20"/>
          <w:sz w:val="17"/>
        </w:rPr>
        <w:t>Cela</w:t>
      </w:r>
      <w:r>
        <w:rPr>
          <w:rFonts w:ascii="Arial" w:hAnsi="Arial"/>
          <w:i/>
          <w:color w:val="231F20"/>
          <w:spacing w:val="3"/>
          <w:sz w:val="17"/>
        </w:rPr>
        <w:t> </w:t>
      </w:r>
      <w:r>
        <w:rPr>
          <w:rFonts w:ascii="Arial" w:hAnsi="Arial"/>
          <w:i/>
          <w:color w:val="231F20"/>
          <w:sz w:val="17"/>
        </w:rPr>
        <w:t>aurait</w:t>
      </w:r>
      <w:r>
        <w:rPr>
          <w:rFonts w:ascii="Arial" w:hAnsi="Arial"/>
          <w:i/>
          <w:color w:val="231F20"/>
          <w:spacing w:val="3"/>
          <w:sz w:val="17"/>
        </w:rPr>
        <w:t> </w:t>
      </w:r>
      <w:r>
        <w:rPr>
          <w:rFonts w:ascii="Arial" w:hAnsi="Arial"/>
          <w:i/>
          <w:color w:val="231F20"/>
          <w:sz w:val="17"/>
        </w:rPr>
        <w:t>été</w:t>
      </w:r>
      <w:r>
        <w:rPr>
          <w:rFonts w:ascii="Arial" w:hAnsi="Arial"/>
          <w:i/>
          <w:color w:val="231F20"/>
          <w:spacing w:val="3"/>
          <w:sz w:val="17"/>
        </w:rPr>
        <w:t> </w:t>
      </w:r>
      <w:r>
        <w:rPr>
          <w:rFonts w:ascii="Arial" w:hAnsi="Arial"/>
          <w:i/>
          <w:color w:val="231F20"/>
          <w:sz w:val="17"/>
        </w:rPr>
        <w:t>une</w:t>
      </w:r>
      <w:r>
        <w:rPr>
          <w:rFonts w:ascii="Arial" w:hAnsi="Arial"/>
          <w:i/>
          <w:color w:val="231F20"/>
          <w:spacing w:val="3"/>
          <w:sz w:val="17"/>
        </w:rPr>
        <w:t> </w:t>
      </w:r>
      <w:r>
        <w:rPr>
          <w:rFonts w:ascii="Arial" w:hAnsi="Arial"/>
          <w:i/>
          <w:color w:val="231F20"/>
          <w:sz w:val="17"/>
        </w:rPr>
        <w:t>erreur</w:t>
      </w:r>
      <w:r>
        <w:rPr>
          <w:rFonts w:ascii="Arial" w:hAnsi="Arial"/>
          <w:i/>
          <w:color w:val="231F20"/>
          <w:spacing w:val="2"/>
          <w:sz w:val="17"/>
        </w:rPr>
        <w:t> </w:t>
      </w:r>
      <w:r>
        <w:rPr>
          <w:rFonts w:ascii="Arial" w:hAnsi="Arial"/>
          <w:i/>
          <w:color w:val="231F20"/>
          <w:sz w:val="17"/>
        </w:rPr>
        <w:t>de</w:t>
      </w:r>
      <w:r>
        <w:rPr>
          <w:rFonts w:ascii="Arial" w:hAnsi="Arial"/>
          <w:i/>
          <w:color w:val="231F20"/>
          <w:spacing w:val="3"/>
          <w:sz w:val="17"/>
        </w:rPr>
        <w:t> </w:t>
      </w:r>
      <w:r>
        <w:rPr>
          <w:rFonts w:ascii="Arial" w:hAnsi="Arial"/>
          <w:i/>
          <w:color w:val="231F20"/>
          <w:sz w:val="17"/>
        </w:rPr>
        <w:t>m’obstiner</w:t>
      </w:r>
      <w:r>
        <w:rPr>
          <w:rFonts w:ascii="Arial" w:hAnsi="Arial"/>
          <w:i/>
          <w:color w:val="231F20"/>
          <w:spacing w:val="3"/>
          <w:sz w:val="17"/>
        </w:rPr>
        <w:t> </w:t>
      </w:r>
      <w:r>
        <w:rPr>
          <w:rFonts w:ascii="Arial" w:hAnsi="Arial"/>
          <w:i/>
          <w:color w:val="231F20"/>
          <w:sz w:val="17"/>
        </w:rPr>
        <w:t>dans</w:t>
      </w:r>
      <w:r>
        <w:rPr>
          <w:rFonts w:ascii="Arial" w:hAnsi="Arial"/>
          <w:i/>
          <w:color w:val="231F20"/>
          <w:spacing w:val="3"/>
          <w:sz w:val="17"/>
        </w:rPr>
        <w:t> </w:t>
      </w:r>
      <w:r>
        <w:rPr>
          <w:rFonts w:ascii="Arial" w:hAnsi="Arial"/>
          <w:i/>
          <w:color w:val="231F20"/>
          <w:sz w:val="17"/>
        </w:rPr>
        <w:t>la</w:t>
      </w:r>
      <w:r>
        <w:rPr>
          <w:rFonts w:ascii="Arial" w:hAnsi="Arial"/>
          <w:i/>
          <w:color w:val="231F20"/>
          <w:spacing w:val="3"/>
          <w:sz w:val="17"/>
        </w:rPr>
        <w:t> </w:t>
      </w:r>
      <w:r>
        <w:rPr>
          <w:rFonts w:ascii="Arial" w:hAnsi="Arial"/>
          <w:i/>
          <w:color w:val="231F20"/>
          <w:spacing w:val="-2"/>
          <w:sz w:val="17"/>
        </w:rPr>
        <w:t>recherche</w:t>
      </w:r>
    </w:p>
    <w:p>
      <w:pPr>
        <w:spacing w:after="0" w:line="307" w:lineRule="auto"/>
        <w:jc w:val="both"/>
        <w:rPr>
          <w:rFonts w:ascii="Arial" w:hAnsi="Arial"/>
          <w:sz w:val="17"/>
        </w:rPr>
        <w:sectPr>
          <w:footerReference w:type="default" r:id="rId264"/>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spacing w:line="307" w:lineRule="auto" w:before="139"/>
        <w:ind w:left="1080" w:right="748" w:firstLine="0"/>
        <w:jc w:val="both"/>
        <w:rPr>
          <w:rFonts w:ascii="Arial" w:hAnsi="Arial"/>
          <w:sz w:val="17"/>
        </w:rPr>
      </w:pPr>
      <w:r>
        <w:rPr/>
        <w:pict>
          <v:shape style="position:absolute;margin-left:62.500004pt;margin-top:2.422873pt;width:287.5pt;height:516pt;mso-position-horizontal-relative:page;mso-position-vertical-relative:paragraph;z-index:-20923392" id="docshape969" coordorigin="1250,48" coordsize="5750,10320" path="m7000,48l1250,48,1250,748,1250,1048,1250,10368,7000,10368,7000,748,7000,48xe" filled="true" fillcolor="#e2e3e4" stroked="false">
            <v:path arrowok="t"/>
            <v:fill type="solid"/>
            <w10:wrap type="none"/>
          </v:shape>
        </w:pict>
      </w:r>
      <w:r>
        <w:rPr>
          <w:rFonts w:ascii="Arial" w:hAnsi="Arial"/>
          <w:i/>
          <w:color w:val="231F20"/>
          <w:sz w:val="17"/>
        </w:rPr>
        <w:t>alors</w:t>
      </w:r>
      <w:r>
        <w:rPr>
          <w:rFonts w:ascii="Arial" w:hAnsi="Arial"/>
          <w:i/>
          <w:color w:val="231F20"/>
          <w:spacing w:val="-12"/>
          <w:sz w:val="17"/>
        </w:rPr>
        <w:t> </w:t>
      </w:r>
      <w:r>
        <w:rPr>
          <w:rFonts w:ascii="Arial" w:hAnsi="Arial"/>
          <w:i/>
          <w:color w:val="231F20"/>
          <w:sz w:val="17"/>
        </w:rPr>
        <w:t>que</w:t>
      </w:r>
      <w:r>
        <w:rPr>
          <w:rFonts w:ascii="Arial" w:hAnsi="Arial"/>
          <w:i/>
          <w:color w:val="231F20"/>
          <w:spacing w:val="-12"/>
          <w:sz w:val="17"/>
        </w:rPr>
        <w:t> </w:t>
      </w:r>
      <w:r>
        <w:rPr>
          <w:rFonts w:ascii="Arial" w:hAnsi="Arial"/>
          <w:i/>
          <w:color w:val="231F20"/>
          <w:sz w:val="17"/>
        </w:rPr>
        <w:t>j’ai</w:t>
      </w:r>
      <w:r>
        <w:rPr>
          <w:rFonts w:ascii="Arial" w:hAnsi="Arial"/>
          <w:i/>
          <w:color w:val="231F20"/>
          <w:spacing w:val="-12"/>
          <w:sz w:val="17"/>
        </w:rPr>
        <w:t> </w:t>
      </w:r>
      <w:r>
        <w:rPr>
          <w:rFonts w:ascii="Arial" w:hAnsi="Arial"/>
          <w:i/>
          <w:color w:val="231F20"/>
          <w:sz w:val="17"/>
        </w:rPr>
        <w:t>la</w:t>
      </w:r>
      <w:r>
        <w:rPr>
          <w:rFonts w:ascii="Arial" w:hAnsi="Arial"/>
          <w:i/>
          <w:color w:val="231F20"/>
          <w:spacing w:val="-12"/>
          <w:sz w:val="17"/>
        </w:rPr>
        <w:t> </w:t>
      </w:r>
      <w:r>
        <w:rPr>
          <w:rFonts w:ascii="Arial" w:hAnsi="Arial"/>
          <w:i/>
          <w:color w:val="231F20"/>
          <w:sz w:val="17"/>
        </w:rPr>
        <w:t>fibre</w:t>
      </w:r>
      <w:r>
        <w:rPr>
          <w:rFonts w:ascii="Arial" w:hAnsi="Arial"/>
          <w:i/>
          <w:color w:val="231F20"/>
          <w:spacing w:val="-12"/>
          <w:sz w:val="17"/>
        </w:rPr>
        <w:t> </w:t>
      </w:r>
      <w:r>
        <w:rPr>
          <w:rFonts w:ascii="Arial" w:hAnsi="Arial"/>
          <w:i/>
          <w:color w:val="231F20"/>
          <w:sz w:val="17"/>
        </w:rPr>
        <w:t>relationnelle</w:t>
      </w:r>
      <w:r>
        <w:rPr>
          <w:rFonts w:ascii="Arial" w:hAnsi="Arial"/>
          <w:i/>
          <w:color w:val="231F20"/>
          <w:spacing w:val="-11"/>
          <w:sz w:val="17"/>
        </w:rPr>
        <w:t> </w:t>
      </w:r>
      <w:r>
        <w:rPr>
          <w:rFonts w:ascii="Arial" w:hAnsi="Arial"/>
          <w:i/>
          <w:color w:val="231F20"/>
          <w:sz w:val="17"/>
        </w:rPr>
        <w:t>et</w:t>
      </w:r>
      <w:r>
        <w:rPr>
          <w:rFonts w:ascii="Arial" w:hAnsi="Arial"/>
          <w:i/>
          <w:color w:val="231F20"/>
          <w:spacing w:val="-12"/>
          <w:sz w:val="17"/>
        </w:rPr>
        <w:t> </w:t>
      </w:r>
      <w:r>
        <w:rPr>
          <w:rFonts w:ascii="Arial" w:hAnsi="Arial"/>
          <w:i/>
          <w:color w:val="231F20"/>
          <w:sz w:val="17"/>
        </w:rPr>
        <w:t>le</w:t>
      </w:r>
      <w:r>
        <w:rPr>
          <w:rFonts w:ascii="Arial" w:hAnsi="Arial"/>
          <w:i/>
          <w:color w:val="231F20"/>
          <w:spacing w:val="-12"/>
          <w:sz w:val="17"/>
        </w:rPr>
        <w:t> </w:t>
      </w:r>
      <w:r>
        <w:rPr>
          <w:rFonts w:ascii="Arial" w:hAnsi="Arial"/>
          <w:i/>
          <w:color w:val="231F20"/>
          <w:sz w:val="17"/>
        </w:rPr>
        <w:t>goût</w:t>
      </w:r>
      <w:r>
        <w:rPr>
          <w:rFonts w:ascii="Arial" w:hAnsi="Arial"/>
          <w:i/>
          <w:color w:val="231F20"/>
          <w:spacing w:val="-8"/>
          <w:sz w:val="17"/>
        </w:rPr>
        <w:t> </w:t>
      </w:r>
      <w:r>
        <w:rPr>
          <w:rFonts w:ascii="Arial" w:hAnsi="Arial"/>
          <w:i/>
          <w:color w:val="231F20"/>
          <w:sz w:val="17"/>
        </w:rPr>
        <w:t>du</w:t>
      </w:r>
      <w:r>
        <w:rPr>
          <w:rFonts w:ascii="Arial" w:hAnsi="Arial"/>
          <w:i/>
          <w:color w:val="231F20"/>
          <w:spacing w:val="-7"/>
          <w:sz w:val="17"/>
        </w:rPr>
        <w:t> </w:t>
      </w:r>
      <w:r>
        <w:rPr>
          <w:rFonts w:ascii="Arial" w:hAnsi="Arial"/>
          <w:i/>
          <w:color w:val="231F20"/>
          <w:sz w:val="17"/>
        </w:rPr>
        <w:t>challenge.</w:t>
      </w:r>
      <w:r>
        <w:rPr>
          <w:rFonts w:ascii="Arial" w:hAnsi="Arial"/>
          <w:i/>
          <w:color w:val="231F20"/>
          <w:spacing w:val="-12"/>
          <w:sz w:val="17"/>
        </w:rPr>
        <w:t> </w:t>
      </w:r>
      <w:r>
        <w:rPr>
          <w:rFonts w:ascii="Arial" w:hAnsi="Arial"/>
          <w:color w:val="231F20"/>
          <w:sz w:val="17"/>
        </w:rPr>
        <w:t>»</w:t>
      </w:r>
      <w:r>
        <w:rPr>
          <w:rFonts w:ascii="Arial" w:hAnsi="Arial"/>
          <w:color w:val="231F20"/>
          <w:spacing w:val="-7"/>
          <w:sz w:val="17"/>
        </w:rPr>
        <w:t> </w:t>
      </w:r>
      <w:r>
        <w:rPr>
          <w:rFonts w:ascii="Arial" w:hAnsi="Arial"/>
          <w:color w:val="231F20"/>
          <w:sz w:val="17"/>
        </w:rPr>
        <w:t>«</w:t>
      </w:r>
      <w:r>
        <w:rPr>
          <w:rFonts w:ascii="Arial" w:hAnsi="Arial"/>
          <w:color w:val="231F20"/>
          <w:spacing w:val="-12"/>
          <w:sz w:val="17"/>
        </w:rPr>
        <w:t> </w:t>
      </w:r>
      <w:r>
        <w:rPr>
          <w:rFonts w:ascii="Arial" w:hAnsi="Arial"/>
          <w:i/>
          <w:color w:val="231F20"/>
          <w:sz w:val="17"/>
        </w:rPr>
        <w:t>Quand</w:t>
      </w:r>
      <w:r>
        <w:rPr>
          <w:rFonts w:ascii="Arial" w:hAnsi="Arial"/>
          <w:i/>
          <w:color w:val="231F20"/>
          <w:spacing w:val="-7"/>
          <w:sz w:val="17"/>
        </w:rPr>
        <w:t> </w:t>
      </w:r>
      <w:r>
        <w:rPr>
          <w:rFonts w:ascii="Arial" w:hAnsi="Arial"/>
          <w:i/>
          <w:color w:val="231F20"/>
          <w:sz w:val="17"/>
        </w:rPr>
        <w:t>on </w:t>
      </w:r>
      <w:r>
        <w:rPr>
          <w:rFonts w:ascii="Arial" w:hAnsi="Arial"/>
          <w:i/>
          <w:color w:val="231F20"/>
          <w:spacing w:val="-2"/>
          <w:w w:val="95"/>
          <w:sz w:val="17"/>
        </w:rPr>
        <w:t>va</w:t>
      </w:r>
      <w:r>
        <w:rPr>
          <w:rFonts w:ascii="Arial" w:hAnsi="Arial"/>
          <w:i/>
          <w:color w:val="231F20"/>
          <w:spacing w:val="-8"/>
          <w:w w:val="95"/>
          <w:sz w:val="17"/>
        </w:rPr>
        <w:t> </w:t>
      </w:r>
      <w:r>
        <w:rPr>
          <w:rFonts w:ascii="Arial" w:hAnsi="Arial"/>
          <w:i/>
          <w:color w:val="231F20"/>
          <w:spacing w:val="-2"/>
          <w:w w:val="95"/>
          <w:sz w:val="17"/>
        </w:rPr>
        <w:t>vers</w:t>
      </w:r>
      <w:r>
        <w:rPr>
          <w:rFonts w:ascii="Arial" w:hAnsi="Arial"/>
          <w:i/>
          <w:color w:val="231F20"/>
          <w:spacing w:val="-7"/>
          <w:w w:val="95"/>
          <w:sz w:val="17"/>
        </w:rPr>
        <w:t> </w:t>
      </w:r>
      <w:r>
        <w:rPr>
          <w:rFonts w:ascii="Arial" w:hAnsi="Arial"/>
          <w:i/>
          <w:color w:val="231F20"/>
          <w:spacing w:val="-2"/>
          <w:w w:val="95"/>
          <w:sz w:val="17"/>
        </w:rPr>
        <w:t>ses prédispositions naturelles, on risque peu d’échouer</w:t>
      </w:r>
      <w:r>
        <w:rPr>
          <w:rFonts w:ascii="Arial" w:hAnsi="Arial"/>
          <w:i/>
          <w:color w:val="231F20"/>
          <w:spacing w:val="-8"/>
          <w:w w:val="95"/>
          <w:sz w:val="17"/>
        </w:rPr>
        <w:t> </w:t>
      </w:r>
      <w:r>
        <w:rPr>
          <w:rFonts w:ascii="Arial" w:hAnsi="Arial"/>
          <w:color w:val="231F20"/>
          <w:spacing w:val="-2"/>
          <w:w w:val="95"/>
          <w:sz w:val="17"/>
        </w:rPr>
        <w:t>», confirme </w:t>
      </w:r>
      <w:r>
        <w:rPr>
          <w:rFonts w:ascii="Arial" w:hAnsi="Arial"/>
          <w:color w:val="231F20"/>
          <w:w w:val="95"/>
          <w:sz w:val="17"/>
        </w:rPr>
        <w:t>Pascal</w:t>
      </w:r>
      <w:r>
        <w:rPr>
          <w:rFonts w:ascii="Arial" w:hAnsi="Arial"/>
          <w:color w:val="231F20"/>
          <w:spacing w:val="5"/>
          <w:sz w:val="17"/>
        </w:rPr>
        <w:t> </w:t>
      </w:r>
      <w:r>
        <w:rPr>
          <w:rFonts w:ascii="Arial" w:hAnsi="Arial"/>
          <w:color w:val="231F20"/>
          <w:w w:val="95"/>
          <w:sz w:val="17"/>
        </w:rPr>
        <w:t>Vancutsem,</w:t>
      </w:r>
      <w:r>
        <w:rPr>
          <w:rFonts w:ascii="Arial" w:hAnsi="Arial"/>
          <w:color w:val="231F20"/>
          <w:spacing w:val="6"/>
          <w:sz w:val="17"/>
        </w:rPr>
        <w:t> </w:t>
      </w:r>
      <w:r>
        <w:rPr>
          <w:rFonts w:ascii="Arial" w:hAnsi="Arial"/>
          <w:color w:val="231F20"/>
          <w:w w:val="95"/>
          <w:sz w:val="17"/>
        </w:rPr>
        <w:t>coach</w:t>
      </w:r>
      <w:r>
        <w:rPr>
          <w:rFonts w:ascii="Arial" w:hAnsi="Arial"/>
          <w:color w:val="231F20"/>
          <w:spacing w:val="5"/>
          <w:sz w:val="17"/>
        </w:rPr>
        <w:t> </w:t>
      </w:r>
      <w:r>
        <w:rPr>
          <w:rFonts w:ascii="Arial" w:hAnsi="Arial"/>
          <w:color w:val="231F20"/>
          <w:w w:val="95"/>
          <w:sz w:val="17"/>
        </w:rPr>
        <w:t>de</w:t>
      </w:r>
      <w:r>
        <w:rPr>
          <w:rFonts w:ascii="Arial" w:hAnsi="Arial"/>
          <w:color w:val="231F20"/>
          <w:spacing w:val="6"/>
          <w:sz w:val="17"/>
        </w:rPr>
        <w:t> </w:t>
      </w:r>
      <w:r>
        <w:rPr>
          <w:rFonts w:ascii="Arial" w:hAnsi="Arial"/>
          <w:color w:val="231F20"/>
          <w:w w:val="95"/>
          <w:sz w:val="17"/>
        </w:rPr>
        <w:t>dirigeants</w:t>
      </w:r>
      <w:r>
        <w:rPr>
          <w:rFonts w:ascii="Arial" w:hAnsi="Arial"/>
          <w:color w:val="231F20"/>
          <w:spacing w:val="5"/>
          <w:sz w:val="17"/>
        </w:rPr>
        <w:t> </w:t>
      </w:r>
      <w:r>
        <w:rPr>
          <w:rFonts w:ascii="Arial" w:hAnsi="Arial"/>
          <w:color w:val="231F20"/>
          <w:w w:val="95"/>
          <w:sz w:val="17"/>
        </w:rPr>
        <w:t>chez</w:t>
      </w:r>
      <w:r>
        <w:rPr>
          <w:rFonts w:ascii="Arial" w:hAnsi="Arial"/>
          <w:color w:val="231F20"/>
          <w:spacing w:val="6"/>
          <w:sz w:val="17"/>
        </w:rPr>
        <w:t> </w:t>
      </w:r>
      <w:r>
        <w:rPr>
          <w:rFonts w:ascii="Arial" w:hAnsi="Arial"/>
          <w:color w:val="231F20"/>
          <w:w w:val="95"/>
          <w:sz w:val="17"/>
        </w:rPr>
        <w:t>Coaching</w:t>
      </w:r>
      <w:r>
        <w:rPr>
          <w:rFonts w:ascii="Arial" w:hAnsi="Arial"/>
          <w:color w:val="231F20"/>
          <w:spacing w:val="6"/>
          <w:sz w:val="17"/>
        </w:rPr>
        <w:t> </w:t>
      </w:r>
      <w:r>
        <w:rPr>
          <w:rFonts w:ascii="Arial" w:hAnsi="Arial"/>
          <w:color w:val="231F20"/>
          <w:w w:val="95"/>
          <w:sz w:val="17"/>
        </w:rPr>
        <w:t>&amp;</w:t>
      </w:r>
      <w:r>
        <w:rPr>
          <w:rFonts w:ascii="Arial" w:hAnsi="Arial"/>
          <w:color w:val="231F20"/>
          <w:spacing w:val="5"/>
          <w:sz w:val="17"/>
        </w:rPr>
        <w:t> </w:t>
      </w:r>
      <w:r>
        <w:rPr>
          <w:rFonts w:ascii="Arial" w:hAnsi="Arial"/>
          <w:color w:val="231F20"/>
          <w:spacing w:val="-2"/>
          <w:w w:val="95"/>
          <w:sz w:val="17"/>
        </w:rPr>
        <w:t>Performance.</w:t>
      </w:r>
    </w:p>
    <w:p>
      <w:pPr>
        <w:pStyle w:val="BodyText"/>
        <w:spacing w:line="307" w:lineRule="auto" w:before="80"/>
        <w:ind w:left="1080" w:right="743"/>
        <w:jc w:val="both"/>
        <w:rPr>
          <w:rFonts w:ascii="Arial" w:hAnsi="Arial"/>
        </w:rPr>
      </w:pPr>
      <w:r>
        <w:rPr>
          <w:rFonts w:ascii="Arial" w:hAnsi="Arial"/>
          <w:color w:val="231F20"/>
        </w:rPr>
        <w:t>Pour [trouver] les vôtres, soyez attentif à vos émotions. Dans quel domaine</w:t>
      </w:r>
      <w:r>
        <w:rPr>
          <w:rFonts w:ascii="Arial" w:hAnsi="Arial"/>
          <w:color w:val="231F20"/>
          <w:spacing w:val="-12"/>
        </w:rPr>
        <w:t> </w:t>
      </w:r>
      <w:r>
        <w:rPr>
          <w:rFonts w:ascii="Arial" w:hAnsi="Arial"/>
          <w:color w:val="231F20"/>
        </w:rPr>
        <w:t>avez-vous</w:t>
      </w:r>
      <w:r>
        <w:rPr>
          <w:rFonts w:ascii="Arial" w:hAnsi="Arial"/>
          <w:color w:val="231F20"/>
          <w:spacing w:val="-12"/>
        </w:rPr>
        <w:t> </w:t>
      </w:r>
      <w:r>
        <w:rPr>
          <w:rFonts w:ascii="Arial" w:hAnsi="Arial"/>
          <w:color w:val="231F20"/>
        </w:rPr>
        <w:t>l’impression</w:t>
      </w:r>
      <w:r>
        <w:rPr>
          <w:rFonts w:ascii="Arial" w:hAnsi="Arial"/>
          <w:color w:val="231F20"/>
          <w:spacing w:val="-12"/>
        </w:rPr>
        <w:t> </w:t>
      </w:r>
      <w:r>
        <w:rPr>
          <w:rFonts w:ascii="Arial" w:hAnsi="Arial"/>
          <w:color w:val="231F20"/>
        </w:rPr>
        <w:t>d’agir</w:t>
      </w:r>
      <w:r>
        <w:rPr>
          <w:rFonts w:ascii="Arial" w:hAnsi="Arial"/>
          <w:color w:val="231F20"/>
          <w:spacing w:val="-12"/>
        </w:rPr>
        <w:t> </w:t>
      </w:r>
      <w:r>
        <w:rPr>
          <w:rFonts w:ascii="Arial" w:hAnsi="Arial"/>
          <w:color w:val="231F20"/>
        </w:rPr>
        <w:t>avec</w:t>
      </w:r>
      <w:r>
        <w:rPr>
          <w:rFonts w:ascii="Arial" w:hAnsi="Arial"/>
          <w:color w:val="231F20"/>
          <w:spacing w:val="-12"/>
        </w:rPr>
        <w:t> </w:t>
      </w:r>
      <w:r>
        <w:rPr>
          <w:rFonts w:ascii="Arial" w:hAnsi="Arial"/>
          <w:color w:val="231F20"/>
        </w:rPr>
        <w:t>aisance</w:t>
      </w:r>
      <w:r>
        <w:rPr>
          <w:rFonts w:ascii="Arial" w:hAnsi="Arial"/>
          <w:color w:val="231F20"/>
          <w:spacing w:val="-11"/>
        </w:rPr>
        <w:t> </w:t>
      </w:r>
      <w:r>
        <w:rPr>
          <w:rFonts w:ascii="Arial" w:hAnsi="Arial"/>
          <w:color w:val="231F20"/>
        </w:rPr>
        <w:t>et</w:t>
      </w:r>
      <w:r>
        <w:rPr>
          <w:rFonts w:ascii="Arial" w:hAnsi="Arial"/>
          <w:color w:val="231F20"/>
          <w:spacing w:val="-12"/>
        </w:rPr>
        <w:t> </w:t>
      </w:r>
      <w:r>
        <w:rPr>
          <w:rFonts w:ascii="Arial" w:hAnsi="Arial"/>
          <w:color w:val="231F20"/>
        </w:rPr>
        <w:t>plaisir</w:t>
      </w:r>
      <w:r>
        <w:rPr>
          <w:rFonts w:ascii="Arial" w:hAnsi="Arial"/>
          <w:color w:val="231F20"/>
          <w:spacing w:val="-12"/>
        </w:rPr>
        <w:t> </w:t>
      </w:r>
      <w:r>
        <w:rPr>
          <w:rFonts w:ascii="Arial" w:hAnsi="Arial"/>
          <w:color w:val="231F20"/>
        </w:rPr>
        <w:t>?</w:t>
      </w:r>
      <w:r>
        <w:rPr>
          <w:rFonts w:ascii="Arial" w:hAnsi="Arial"/>
          <w:color w:val="231F20"/>
          <w:spacing w:val="-12"/>
        </w:rPr>
        <w:t> </w:t>
      </w:r>
      <w:r>
        <w:rPr>
          <w:rFonts w:ascii="Arial" w:hAnsi="Arial"/>
          <w:color w:val="231F20"/>
        </w:rPr>
        <w:t>Si</w:t>
      </w:r>
      <w:r>
        <w:rPr>
          <w:rFonts w:ascii="Arial" w:hAnsi="Arial"/>
          <w:color w:val="231F20"/>
          <w:spacing w:val="-12"/>
        </w:rPr>
        <w:t> </w:t>
      </w:r>
      <w:r>
        <w:rPr>
          <w:rFonts w:ascii="Arial" w:hAnsi="Arial"/>
          <w:color w:val="231F20"/>
        </w:rPr>
        <w:t>vous éprouvez un fort sentiment de sécurité intérieure, c’est que vous êtes en phase avec votre nature profonde. </w:t>
      </w:r>
      <w:r>
        <w:rPr>
          <w:rFonts w:ascii="Arial" w:hAnsi="Arial"/>
          <w:i/>
          <w:color w:val="231F20"/>
        </w:rPr>
        <w:t>A contrario</w:t>
      </w:r>
      <w:r>
        <w:rPr>
          <w:rFonts w:ascii="Arial" w:hAnsi="Arial"/>
          <w:color w:val="231F20"/>
        </w:rPr>
        <w:t>, suivre une voie qui n’est</w:t>
      </w:r>
      <w:r>
        <w:rPr>
          <w:rFonts w:ascii="Arial" w:hAnsi="Arial"/>
          <w:color w:val="231F20"/>
          <w:spacing w:val="-6"/>
        </w:rPr>
        <w:t> </w:t>
      </w:r>
      <w:r>
        <w:rPr>
          <w:rFonts w:ascii="Arial" w:hAnsi="Arial"/>
          <w:color w:val="231F20"/>
        </w:rPr>
        <w:t>pas</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sienne</w:t>
      </w:r>
      <w:r>
        <w:rPr>
          <w:rFonts w:ascii="Arial" w:hAnsi="Arial"/>
          <w:color w:val="231F20"/>
          <w:spacing w:val="-6"/>
        </w:rPr>
        <w:t> </w:t>
      </w:r>
      <w:r>
        <w:rPr>
          <w:rFonts w:ascii="Arial" w:hAnsi="Arial"/>
          <w:color w:val="231F20"/>
        </w:rPr>
        <w:t>fragilise.</w:t>
      </w:r>
      <w:r>
        <w:rPr>
          <w:rFonts w:ascii="Arial" w:hAnsi="Arial"/>
          <w:color w:val="231F20"/>
          <w:spacing w:val="-6"/>
        </w:rPr>
        <w:t> </w:t>
      </w:r>
      <w:r>
        <w:rPr>
          <w:rFonts w:ascii="Arial" w:hAnsi="Arial"/>
          <w:color w:val="231F20"/>
        </w:rPr>
        <w:t>C’est</w:t>
      </w:r>
      <w:r>
        <w:rPr>
          <w:rFonts w:ascii="Arial" w:hAnsi="Arial"/>
          <w:color w:val="231F20"/>
          <w:spacing w:val="-6"/>
        </w:rPr>
        <w:t> </w:t>
      </w:r>
      <w:r>
        <w:rPr>
          <w:rFonts w:ascii="Arial" w:hAnsi="Arial"/>
          <w:color w:val="231F20"/>
        </w:rPr>
        <w:t>ce</w:t>
      </w:r>
      <w:r>
        <w:rPr>
          <w:rFonts w:ascii="Arial" w:hAnsi="Arial"/>
          <w:color w:val="231F20"/>
          <w:spacing w:val="-6"/>
        </w:rPr>
        <w:t> </w:t>
      </w:r>
      <w:r>
        <w:rPr>
          <w:rFonts w:ascii="Arial" w:hAnsi="Arial"/>
          <w:color w:val="231F20"/>
        </w:rPr>
        <w:t>qui</w:t>
      </w:r>
      <w:r>
        <w:rPr>
          <w:rFonts w:ascii="Arial" w:hAnsi="Arial"/>
          <w:color w:val="231F20"/>
          <w:spacing w:val="-6"/>
        </w:rPr>
        <w:t> </w:t>
      </w:r>
      <w:r>
        <w:rPr>
          <w:rFonts w:ascii="Arial" w:hAnsi="Arial"/>
          <w:color w:val="231F20"/>
        </w:rPr>
        <w:t>s’est</w:t>
      </w:r>
      <w:r>
        <w:rPr>
          <w:rFonts w:ascii="Arial" w:hAnsi="Arial"/>
          <w:color w:val="231F20"/>
          <w:spacing w:val="-6"/>
        </w:rPr>
        <w:t> </w:t>
      </w:r>
      <w:r>
        <w:rPr>
          <w:rFonts w:ascii="Arial" w:hAnsi="Arial"/>
          <w:color w:val="231F20"/>
        </w:rPr>
        <w:t>produit</w:t>
      </w:r>
      <w:r>
        <w:rPr>
          <w:rFonts w:ascii="Arial" w:hAnsi="Arial"/>
          <w:color w:val="231F20"/>
          <w:spacing w:val="-6"/>
        </w:rPr>
        <w:t> </w:t>
      </w:r>
      <w:r>
        <w:rPr>
          <w:rFonts w:ascii="Arial" w:hAnsi="Arial"/>
          <w:color w:val="231F20"/>
        </w:rPr>
        <w:t>pour</w:t>
      </w:r>
      <w:r>
        <w:rPr>
          <w:rFonts w:ascii="Arial" w:hAnsi="Arial"/>
          <w:color w:val="231F20"/>
          <w:spacing w:val="-6"/>
        </w:rPr>
        <w:t> </w:t>
      </w:r>
      <w:r>
        <w:rPr>
          <w:rFonts w:ascii="Arial" w:hAnsi="Arial"/>
          <w:color w:val="231F20"/>
        </w:rPr>
        <w:t>Julie:</w:t>
      </w:r>
      <w:r>
        <w:rPr>
          <w:rFonts w:ascii="Arial" w:hAnsi="Arial"/>
          <w:color w:val="231F20"/>
          <w:spacing w:val="-6"/>
        </w:rPr>
        <w:t> </w:t>
      </w:r>
      <w:r>
        <w:rPr>
          <w:rFonts w:ascii="Arial" w:hAnsi="Arial"/>
          <w:color w:val="231F20"/>
        </w:rPr>
        <w:t>en</w:t>
      </w:r>
      <w:r>
        <w:rPr>
          <w:rFonts w:ascii="Arial" w:hAnsi="Arial"/>
          <w:color w:val="231F20"/>
          <w:spacing w:val="-6"/>
        </w:rPr>
        <w:t> </w:t>
      </w:r>
      <w:r>
        <w:rPr>
          <w:rFonts w:ascii="Arial" w:hAnsi="Arial"/>
          <w:color w:val="231F20"/>
        </w:rPr>
        <w:t>se conformant au schéma parental d’une carrière élitiste, elle a contrarié son goût pour l’expertise financière et altéré son estime d’elle-même. Et quand elle a accédé à une fonction de top management, la belle construction s’est fissurée. Alors qu’en suivant sa vocation artistique, sa sœur a puisé dans ses motivations profondes.</w:t>
      </w:r>
    </w:p>
    <w:p>
      <w:pPr>
        <w:pStyle w:val="BodyText"/>
        <w:spacing w:line="307" w:lineRule="auto" w:before="78"/>
        <w:ind w:left="1080" w:right="747"/>
        <w:jc w:val="both"/>
        <w:rPr>
          <w:rFonts w:ascii="Arial" w:hAnsi="Arial"/>
        </w:rPr>
      </w:pPr>
      <w:r>
        <w:rPr>
          <w:rFonts w:ascii="Arial" w:hAnsi="Arial"/>
          <w:color w:val="231F20"/>
          <w:w w:val="105"/>
        </w:rPr>
        <w:t>Appuyez-vous,</w:t>
      </w:r>
      <w:r>
        <w:rPr>
          <w:rFonts w:ascii="Arial" w:hAnsi="Arial"/>
          <w:color w:val="231F20"/>
          <w:spacing w:val="-2"/>
          <w:w w:val="105"/>
        </w:rPr>
        <w:t> </w:t>
      </w:r>
      <w:r>
        <w:rPr>
          <w:rFonts w:ascii="Arial" w:hAnsi="Arial"/>
          <w:color w:val="231F20"/>
          <w:w w:val="105"/>
        </w:rPr>
        <w:t>vous</w:t>
      </w:r>
      <w:r>
        <w:rPr>
          <w:rFonts w:ascii="Arial" w:hAnsi="Arial"/>
          <w:color w:val="231F20"/>
          <w:spacing w:val="-2"/>
          <w:w w:val="105"/>
        </w:rPr>
        <w:t> </w:t>
      </w:r>
      <w:r>
        <w:rPr>
          <w:rFonts w:ascii="Arial" w:hAnsi="Arial"/>
          <w:color w:val="231F20"/>
          <w:w w:val="105"/>
        </w:rPr>
        <w:t>aussi,</w:t>
      </w:r>
      <w:r>
        <w:rPr>
          <w:rFonts w:ascii="Arial" w:hAnsi="Arial"/>
          <w:color w:val="231F20"/>
          <w:spacing w:val="-2"/>
          <w:w w:val="105"/>
        </w:rPr>
        <w:t> </w:t>
      </w:r>
      <w:r>
        <w:rPr>
          <w:rFonts w:ascii="Arial" w:hAnsi="Arial"/>
          <w:color w:val="231F20"/>
          <w:w w:val="105"/>
        </w:rPr>
        <w:t>sur</w:t>
      </w:r>
      <w:r>
        <w:rPr>
          <w:rFonts w:ascii="Arial" w:hAnsi="Arial"/>
          <w:color w:val="231F20"/>
          <w:spacing w:val="-2"/>
          <w:w w:val="105"/>
        </w:rPr>
        <w:t> </w:t>
      </w:r>
      <w:r>
        <w:rPr>
          <w:rFonts w:ascii="Arial" w:hAnsi="Arial"/>
          <w:color w:val="231F20"/>
          <w:w w:val="105"/>
        </w:rPr>
        <w:t>vos</w:t>
      </w:r>
      <w:r>
        <w:rPr>
          <w:rFonts w:ascii="Arial" w:hAnsi="Arial"/>
          <w:color w:val="231F20"/>
          <w:spacing w:val="-2"/>
          <w:w w:val="105"/>
        </w:rPr>
        <w:t> </w:t>
      </w:r>
      <w:r>
        <w:rPr>
          <w:rFonts w:ascii="Arial" w:hAnsi="Arial"/>
          <w:color w:val="231F20"/>
          <w:w w:val="105"/>
        </w:rPr>
        <w:t>talents</w:t>
      </w:r>
      <w:r>
        <w:rPr>
          <w:rFonts w:ascii="Arial" w:hAnsi="Arial"/>
          <w:color w:val="231F20"/>
          <w:spacing w:val="-2"/>
          <w:w w:val="105"/>
        </w:rPr>
        <w:t> </w:t>
      </w:r>
      <w:r>
        <w:rPr>
          <w:rFonts w:ascii="Arial" w:hAnsi="Arial"/>
          <w:color w:val="231F20"/>
          <w:w w:val="105"/>
        </w:rPr>
        <w:t>et</w:t>
      </w:r>
      <w:r>
        <w:rPr>
          <w:rFonts w:ascii="Arial" w:hAnsi="Arial"/>
          <w:color w:val="231F20"/>
          <w:spacing w:val="-2"/>
          <w:w w:val="105"/>
        </w:rPr>
        <w:t> </w:t>
      </w:r>
      <w:r>
        <w:rPr>
          <w:rFonts w:ascii="Arial" w:hAnsi="Arial"/>
          <w:color w:val="231F20"/>
          <w:w w:val="105"/>
        </w:rPr>
        <w:t>vos</w:t>
      </w:r>
      <w:r>
        <w:rPr>
          <w:rFonts w:ascii="Arial" w:hAnsi="Arial"/>
          <w:color w:val="231F20"/>
          <w:spacing w:val="-2"/>
          <w:w w:val="105"/>
        </w:rPr>
        <w:t> </w:t>
      </w:r>
      <w:r>
        <w:rPr>
          <w:rFonts w:ascii="Arial" w:hAnsi="Arial"/>
          <w:color w:val="231F20"/>
          <w:w w:val="105"/>
        </w:rPr>
        <w:t>facilités</w:t>
      </w:r>
      <w:r>
        <w:rPr>
          <w:rFonts w:ascii="Arial" w:hAnsi="Arial"/>
          <w:color w:val="231F20"/>
          <w:spacing w:val="-2"/>
          <w:w w:val="105"/>
        </w:rPr>
        <w:t> </w:t>
      </w:r>
      <w:r>
        <w:rPr>
          <w:rFonts w:ascii="Arial" w:hAnsi="Arial"/>
          <w:color w:val="231F20"/>
          <w:w w:val="105"/>
        </w:rPr>
        <w:t>naturels, </w:t>
      </w:r>
      <w:r>
        <w:rPr>
          <w:rFonts w:ascii="Arial" w:hAnsi="Arial"/>
          <w:color w:val="231F20"/>
        </w:rPr>
        <w:t>quelles</w:t>
      </w:r>
      <w:r>
        <w:rPr>
          <w:rFonts w:ascii="Arial" w:hAnsi="Arial"/>
          <w:color w:val="231F20"/>
          <w:spacing w:val="-10"/>
        </w:rPr>
        <w:t> </w:t>
      </w:r>
      <w:r>
        <w:rPr>
          <w:rFonts w:ascii="Arial" w:hAnsi="Arial"/>
          <w:color w:val="231F20"/>
        </w:rPr>
        <w:t>que</w:t>
      </w:r>
      <w:r>
        <w:rPr>
          <w:rFonts w:ascii="Arial" w:hAnsi="Arial"/>
          <w:color w:val="231F20"/>
          <w:spacing w:val="-10"/>
        </w:rPr>
        <w:t> </w:t>
      </w:r>
      <w:r>
        <w:rPr>
          <w:rFonts w:ascii="Arial" w:hAnsi="Arial"/>
          <w:color w:val="231F20"/>
        </w:rPr>
        <w:t>soient</w:t>
      </w:r>
      <w:r>
        <w:rPr>
          <w:rFonts w:ascii="Arial" w:hAnsi="Arial"/>
          <w:color w:val="231F20"/>
          <w:spacing w:val="-10"/>
        </w:rPr>
        <w:t> </w:t>
      </w:r>
      <w:r>
        <w:rPr>
          <w:rFonts w:ascii="Arial" w:hAnsi="Arial"/>
          <w:color w:val="231F20"/>
        </w:rPr>
        <w:t>les</w:t>
      </w:r>
      <w:r>
        <w:rPr>
          <w:rFonts w:ascii="Arial" w:hAnsi="Arial"/>
          <w:color w:val="231F20"/>
          <w:spacing w:val="-10"/>
        </w:rPr>
        <w:t> </w:t>
      </w:r>
      <w:r>
        <w:rPr>
          <w:rFonts w:ascii="Arial" w:hAnsi="Arial"/>
          <w:color w:val="231F20"/>
        </w:rPr>
        <w:t>directives</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votre</w:t>
      </w:r>
      <w:r>
        <w:rPr>
          <w:rFonts w:ascii="Arial" w:hAnsi="Arial"/>
          <w:color w:val="231F20"/>
          <w:spacing w:val="-10"/>
        </w:rPr>
        <w:t> </w:t>
      </w:r>
      <w:r>
        <w:rPr>
          <w:rFonts w:ascii="Arial" w:hAnsi="Arial"/>
          <w:color w:val="231F20"/>
        </w:rPr>
        <w:t>fiche</w:t>
      </w:r>
      <w:r>
        <w:rPr>
          <w:rFonts w:ascii="Arial" w:hAnsi="Arial"/>
          <w:color w:val="231F20"/>
          <w:spacing w:val="-10"/>
        </w:rPr>
        <w:t> </w:t>
      </w:r>
      <w:r>
        <w:rPr>
          <w:rFonts w:ascii="Arial" w:hAnsi="Arial"/>
          <w:color w:val="231F20"/>
        </w:rPr>
        <w:t>de</w:t>
      </w:r>
      <w:r>
        <w:rPr>
          <w:rFonts w:ascii="Arial" w:hAnsi="Arial"/>
          <w:color w:val="231F20"/>
          <w:spacing w:val="-10"/>
        </w:rPr>
        <w:t> </w:t>
      </w:r>
      <w:r>
        <w:rPr>
          <w:rFonts w:ascii="Arial" w:hAnsi="Arial"/>
          <w:color w:val="231F20"/>
        </w:rPr>
        <w:t>poste.</w:t>
      </w:r>
      <w:r>
        <w:rPr>
          <w:rFonts w:ascii="Arial" w:hAnsi="Arial"/>
          <w:color w:val="231F20"/>
          <w:spacing w:val="-10"/>
        </w:rPr>
        <w:t> </w:t>
      </w:r>
      <w:r>
        <w:rPr>
          <w:rFonts w:ascii="Arial" w:hAnsi="Arial"/>
          <w:color w:val="231F20"/>
        </w:rPr>
        <w:t>Vous</w:t>
      </w:r>
      <w:r>
        <w:rPr>
          <w:rFonts w:ascii="Arial" w:hAnsi="Arial"/>
          <w:color w:val="231F20"/>
          <w:spacing w:val="-10"/>
        </w:rPr>
        <w:t> </w:t>
      </w:r>
      <w:r>
        <w:rPr>
          <w:rFonts w:ascii="Arial" w:hAnsi="Arial"/>
          <w:color w:val="231F20"/>
        </w:rPr>
        <w:t>aimez</w:t>
      </w:r>
      <w:r>
        <w:rPr>
          <w:rFonts w:ascii="Arial" w:hAnsi="Arial"/>
          <w:color w:val="231F20"/>
          <w:spacing w:val="-10"/>
        </w:rPr>
        <w:t> </w:t>
      </w:r>
      <w:r>
        <w:rPr>
          <w:rFonts w:ascii="Arial" w:hAnsi="Arial"/>
          <w:color w:val="231F20"/>
        </w:rPr>
        <w:t>le contact? Servez-vous-en pour créer du lien entre vos collaborateurs, </w:t>
      </w:r>
      <w:r>
        <w:rPr>
          <w:rFonts w:ascii="Arial" w:hAnsi="Arial"/>
          <w:color w:val="231F20"/>
          <w:w w:val="95"/>
        </w:rPr>
        <w:t>par</w:t>
      </w:r>
      <w:r>
        <w:rPr>
          <w:rFonts w:ascii="Arial" w:hAnsi="Arial"/>
          <w:color w:val="231F20"/>
          <w:spacing w:val="-10"/>
          <w:w w:val="95"/>
        </w:rPr>
        <w:t> </w:t>
      </w:r>
      <w:r>
        <w:rPr>
          <w:rFonts w:ascii="Arial" w:hAnsi="Arial"/>
          <w:color w:val="231F20"/>
          <w:w w:val="95"/>
        </w:rPr>
        <w:t>exemple.</w:t>
      </w:r>
      <w:r>
        <w:rPr>
          <w:rFonts w:ascii="Arial" w:hAnsi="Arial"/>
          <w:color w:val="231F20"/>
          <w:spacing w:val="-9"/>
          <w:w w:val="95"/>
        </w:rPr>
        <w:t> </w:t>
      </w:r>
      <w:r>
        <w:rPr>
          <w:rFonts w:ascii="Arial" w:hAnsi="Arial"/>
          <w:color w:val="231F20"/>
          <w:w w:val="95"/>
        </w:rPr>
        <w:t>Vous</w:t>
      </w:r>
      <w:r>
        <w:rPr>
          <w:rFonts w:ascii="Arial" w:hAnsi="Arial"/>
          <w:color w:val="231F20"/>
          <w:spacing w:val="-10"/>
          <w:w w:val="95"/>
        </w:rPr>
        <w:t> </w:t>
      </w:r>
      <w:r>
        <w:rPr>
          <w:rFonts w:ascii="Arial" w:hAnsi="Arial"/>
          <w:color w:val="231F20"/>
          <w:w w:val="95"/>
        </w:rPr>
        <w:t>êtes</w:t>
      </w:r>
      <w:r>
        <w:rPr>
          <w:rFonts w:ascii="Arial" w:hAnsi="Arial"/>
          <w:color w:val="231F20"/>
          <w:spacing w:val="-5"/>
          <w:w w:val="95"/>
        </w:rPr>
        <w:t> </w:t>
      </w:r>
      <w:r>
        <w:rPr>
          <w:rFonts w:ascii="Arial" w:hAnsi="Arial"/>
          <w:color w:val="231F20"/>
          <w:w w:val="95"/>
        </w:rPr>
        <w:t>enclin</w:t>
      </w:r>
      <w:r>
        <w:rPr>
          <w:rFonts w:ascii="Arial" w:hAnsi="Arial"/>
          <w:color w:val="231F20"/>
          <w:spacing w:val="-4"/>
          <w:w w:val="95"/>
        </w:rPr>
        <w:t> </w:t>
      </w:r>
      <w:r>
        <w:rPr>
          <w:rFonts w:ascii="Arial" w:hAnsi="Arial"/>
          <w:color w:val="231F20"/>
          <w:w w:val="95"/>
        </w:rPr>
        <w:t>à</w:t>
      </w:r>
      <w:r>
        <w:rPr>
          <w:rFonts w:ascii="Arial" w:hAnsi="Arial"/>
          <w:color w:val="231F20"/>
          <w:spacing w:val="-4"/>
          <w:w w:val="95"/>
        </w:rPr>
        <w:t> </w:t>
      </w:r>
      <w:r>
        <w:rPr>
          <w:rFonts w:ascii="Arial" w:hAnsi="Arial"/>
          <w:color w:val="231F20"/>
          <w:w w:val="95"/>
        </w:rPr>
        <w:t>la</w:t>
      </w:r>
      <w:r>
        <w:rPr>
          <w:rFonts w:ascii="Arial" w:hAnsi="Arial"/>
          <w:color w:val="231F20"/>
          <w:spacing w:val="-4"/>
          <w:w w:val="95"/>
        </w:rPr>
        <w:t> </w:t>
      </w:r>
      <w:r>
        <w:rPr>
          <w:rFonts w:ascii="Arial" w:hAnsi="Arial"/>
          <w:color w:val="231F20"/>
          <w:w w:val="95"/>
        </w:rPr>
        <w:t>discrétion</w:t>
      </w:r>
      <w:r>
        <w:rPr>
          <w:rFonts w:ascii="Arial" w:hAnsi="Arial"/>
          <w:color w:val="231F20"/>
          <w:spacing w:val="-4"/>
          <w:w w:val="95"/>
        </w:rPr>
        <w:t> </w:t>
      </w:r>
      <w:r>
        <w:rPr>
          <w:rFonts w:ascii="Arial" w:hAnsi="Arial"/>
          <w:color w:val="231F20"/>
          <w:w w:val="95"/>
        </w:rPr>
        <w:t>mais</w:t>
      </w:r>
      <w:r>
        <w:rPr>
          <w:rFonts w:ascii="Arial" w:hAnsi="Arial"/>
          <w:color w:val="231F20"/>
          <w:spacing w:val="-4"/>
          <w:w w:val="95"/>
        </w:rPr>
        <w:t> </w:t>
      </w:r>
      <w:r>
        <w:rPr>
          <w:rFonts w:ascii="Arial" w:hAnsi="Arial"/>
          <w:color w:val="231F20"/>
          <w:w w:val="95"/>
        </w:rPr>
        <w:t>aimez</w:t>
      </w:r>
      <w:r>
        <w:rPr>
          <w:rFonts w:ascii="Arial" w:hAnsi="Arial"/>
          <w:color w:val="231F20"/>
          <w:spacing w:val="-4"/>
          <w:w w:val="95"/>
        </w:rPr>
        <w:t> </w:t>
      </w:r>
      <w:r>
        <w:rPr>
          <w:rFonts w:ascii="Arial" w:hAnsi="Arial"/>
          <w:color w:val="231F20"/>
          <w:w w:val="95"/>
        </w:rPr>
        <w:t>épauler</w:t>
      </w:r>
      <w:r>
        <w:rPr>
          <w:rFonts w:ascii="Arial" w:hAnsi="Arial"/>
          <w:color w:val="231F20"/>
          <w:spacing w:val="-10"/>
          <w:w w:val="95"/>
        </w:rPr>
        <w:t> </w:t>
      </w:r>
      <w:r>
        <w:rPr>
          <w:rFonts w:ascii="Arial" w:hAnsi="Arial"/>
          <w:color w:val="231F20"/>
          <w:w w:val="95"/>
        </w:rPr>
        <w:t>?</w:t>
      </w:r>
      <w:r>
        <w:rPr>
          <w:rFonts w:ascii="Arial" w:hAnsi="Arial"/>
          <w:color w:val="231F20"/>
          <w:spacing w:val="-3"/>
          <w:w w:val="95"/>
        </w:rPr>
        <w:t> </w:t>
      </w:r>
      <w:r>
        <w:rPr>
          <w:rFonts w:ascii="Arial" w:hAnsi="Arial"/>
          <w:color w:val="231F20"/>
          <w:w w:val="95"/>
        </w:rPr>
        <w:t>Soyez </w:t>
      </w:r>
      <w:r>
        <w:rPr>
          <w:rFonts w:ascii="Arial" w:hAnsi="Arial"/>
          <w:color w:val="231F20"/>
          <w:w w:val="105"/>
        </w:rPr>
        <w:t>présent en cas de difficulté.</w:t>
      </w:r>
    </w:p>
    <w:p>
      <w:pPr>
        <w:pStyle w:val="BodyText"/>
        <w:spacing w:before="8"/>
        <w:rPr>
          <w:rFonts w:ascii="Arial"/>
          <w:sz w:val="21"/>
        </w:rPr>
      </w:pPr>
    </w:p>
    <w:p>
      <w:pPr>
        <w:pStyle w:val="Heading6"/>
        <w:numPr>
          <w:ilvl w:val="1"/>
          <w:numId w:val="70"/>
        </w:numPr>
        <w:tabs>
          <w:tab w:pos="1258" w:val="left" w:leader="none"/>
        </w:tabs>
        <w:spacing w:line="240" w:lineRule="auto" w:before="0" w:after="0"/>
        <w:ind w:left="1257" w:right="0" w:hanging="178"/>
        <w:jc w:val="left"/>
      </w:pPr>
      <w:r>
        <w:rPr>
          <w:color w:val="231F20"/>
          <w:w w:val="90"/>
        </w:rPr>
        <w:t>Évacuez</w:t>
      </w:r>
      <w:r>
        <w:rPr>
          <w:color w:val="231F20"/>
          <w:spacing w:val="2"/>
        </w:rPr>
        <w:t> </w:t>
      </w:r>
      <w:r>
        <w:rPr>
          <w:color w:val="231F20"/>
          <w:w w:val="90"/>
        </w:rPr>
        <w:t>les</w:t>
      </w:r>
      <w:r>
        <w:rPr>
          <w:color w:val="231F20"/>
          <w:spacing w:val="3"/>
        </w:rPr>
        <w:t> </w:t>
      </w:r>
      <w:r>
        <w:rPr>
          <w:color w:val="231F20"/>
          <w:w w:val="90"/>
        </w:rPr>
        <w:t>pensées</w:t>
      </w:r>
      <w:r>
        <w:rPr>
          <w:color w:val="231F20"/>
          <w:spacing w:val="3"/>
        </w:rPr>
        <w:t> </w:t>
      </w:r>
      <w:r>
        <w:rPr>
          <w:color w:val="231F20"/>
          <w:w w:val="90"/>
        </w:rPr>
        <w:t>néfastes</w:t>
      </w:r>
      <w:r>
        <w:rPr>
          <w:color w:val="231F20"/>
          <w:spacing w:val="2"/>
        </w:rPr>
        <w:t> </w:t>
      </w:r>
      <w:r>
        <w:rPr>
          <w:color w:val="231F20"/>
          <w:w w:val="90"/>
        </w:rPr>
        <w:t>et</w:t>
      </w:r>
      <w:r>
        <w:rPr>
          <w:color w:val="231F20"/>
          <w:spacing w:val="3"/>
        </w:rPr>
        <w:t> </w:t>
      </w:r>
      <w:r>
        <w:rPr>
          <w:color w:val="231F20"/>
          <w:w w:val="90"/>
        </w:rPr>
        <w:t>les</w:t>
      </w:r>
      <w:r>
        <w:rPr>
          <w:color w:val="231F20"/>
          <w:spacing w:val="3"/>
        </w:rPr>
        <w:t> </w:t>
      </w:r>
      <w:r>
        <w:rPr>
          <w:color w:val="231F20"/>
          <w:w w:val="90"/>
        </w:rPr>
        <w:t>croyances</w:t>
      </w:r>
      <w:r>
        <w:rPr>
          <w:color w:val="231F20"/>
          <w:spacing w:val="3"/>
        </w:rPr>
        <w:t> </w:t>
      </w:r>
      <w:r>
        <w:rPr>
          <w:color w:val="231F20"/>
          <w:spacing w:val="-2"/>
          <w:w w:val="90"/>
        </w:rPr>
        <w:t>limitantes</w:t>
      </w:r>
    </w:p>
    <w:p>
      <w:pPr>
        <w:pStyle w:val="BodyText"/>
        <w:spacing w:line="307" w:lineRule="auto" w:before="134"/>
        <w:ind w:left="1080" w:right="747"/>
        <w:jc w:val="both"/>
        <w:rPr>
          <w:rFonts w:ascii="Arial" w:hAnsi="Arial"/>
        </w:rPr>
      </w:pPr>
      <w:r>
        <w:rPr>
          <w:rFonts w:ascii="Arial" w:hAnsi="Arial"/>
          <w:color w:val="231F20"/>
          <w:spacing w:val="-2"/>
        </w:rPr>
        <w:t>Dès</w:t>
      </w:r>
      <w:r>
        <w:rPr>
          <w:rFonts w:ascii="Arial" w:hAnsi="Arial"/>
          <w:color w:val="231F20"/>
          <w:spacing w:val="-9"/>
        </w:rPr>
        <w:t> </w:t>
      </w:r>
      <w:r>
        <w:rPr>
          <w:rFonts w:ascii="Arial" w:hAnsi="Arial"/>
          <w:color w:val="231F20"/>
          <w:spacing w:val="-2"/>
        </w:rPr>
        <w:t>que</w:t>
      </w:r>
      <w:r>
        <w:rPr>
          <w:rFonts w:ascii="Arial" w:hAnsi="Arial"/>
          <w:color w:val="231F20"/>
          <w:spacing w:val="-9"/>
        </w:rPr>
        <w:t> </w:t>
      </w:r>
      <w:r>
        <w:rPr>
          <w:rFonts w:ascii="Arial" w:hAnsi="Arial"/>
          <w:color w:val="231F20"/>
          <w:spacing w:val="-2"/>
        </w:rPr>
        <w:t>notre</w:t>
      </w:r>
      <w:r>
        <w:rPr>
          <w:rFonts w:ascii="Arial" w:hAnsi="Arial"/>
          <w:color w:val="231F20"/>
          <w:spacing w:val="-9"/>
        </w:rPr>
        <w:t> </w:t>
      </w:r>
      <w:r>
        <w:rPr>
          <w:rFonts w:ascii="Arial" w:hAnsi="Arial"/>
          <w:color w:val="231F20"/>
          <w:spacing w:val="-2"/>
        </w:rPr>
        <w:t>ego</w:t>
      </w:r>
      <w:r>
        <w:rPr>
          <w:rFonts w:ascii="Arial" w:hAnsi="Arial"/>
          <w:color w:val="231F20"/>
          <w:spacing w:val="-9"/>
        </w:rPr>
        <w:t> </w:t>
      </w:r>
      <w:r>
        <w:rPr>
          <w:rFonts w:ascii="Arial" w:hAnsi="Arial"/>
          <w:color w:val="231F20"/>
          <w:spacing w:val="-2"/>
        </w:rPr>
        <w:t>est</w:t>
      </w:r>
      <w:r>
        <w:rPr>
          <w:rFonts w:ascii="Arial" w:hAnsi="Arial"/>
          <w:color w:val="231F20"/>
          <w:spacing w:val="-9"/>
        </w:rPr>
        <w:t> </w:t>
      </w:r>
      <w:r>
        <w:rPr>
          <w:rFonts w:ascii="Arial" w:hAnsi="Arial"/>
          <w:color w:val="231F20"/>
          <w:spacing w:val="-2"/>
        </w:rPr>
        <w:t>touché,</w:t>
      </w:r>
      <w:r>
        <w:rPr>
          <w:rFonts w:ascii="Arial" w:hAnsi="Arial"/>
          <w:color w:val="231F20"/>
          <w:spacing w:val="-9"/>
        </w:rPr>
        <w:t> </w:t>
      </w:r>
      <w:r>
        <w:rPr>
          <w:rFonts w:ascii="Arial" w:hAnsi="Arial"/>
          <w:color w:val="231F20"/>
          <w:spacing w:val="-2"/>
        </w:rPr>
        <w:t>nous</w:t>
      </w:r>
      <w:r>
        <w:rPr>
          <w:rFonts w:ascii="Arial" w:hAnsi="Arial"/>
          <w:color w:val="231F20"/>
          <w:spacing w:val="-9"/>
        </w:rPr>
        <w:t> </w:t>
      </w:r>
      <w:r>
        <w:rPr>
          <w:rFonts w:ascii="Arial" w:hAnsi="Arial"/>
          <w:color w:val="231F20"/>
          <w:spacing w:val="-2"/>
        </w:rPr>
        <w:t>avons</w:t>
      </w:r>
      <w:r>
        <w:rPr>
          <w:rFonts w:ascii="Arial" w:hAnsi="Arial"/>
          <w:color w:val="231F20"/>
          <w:spacing w:val="-9"/>
        </w:rPr>
        <w:t> </w:t>
      </w:r>
      <w:r>
        <w:rPr>
          <w:rFonts w:ascii="Arial" w:hAnsi="Arial"/>
          <w:color w:val="231F20"/>
          <w:spacing w:val="-2"/>
        </w:rPr>
        <w:t>tendance</w:t>
      </w:r>
      <w:r>
        <w:rPr>
          <w:rFonts w:ascii="Arial" w:hAnsi="Arial"/>
          <w:color w:val="231F20"/>
          <w:spacing w:val="-9"/>
        </w:rPr>
        <w:t> </w:t>
      </w:r>
      <w:r>
        <w:rPr>
          <w:rFonts w:ascii="Arial" w:hAnsi="Arial"/>
          <w:color w:val="231F20"/>
          <w:spacing w:val="-2"/>
        </w:rPr>
        <w:t>à</w:t>
      </w:r>
      <w:r>
        <w:rPr>
          <w:rFonts w:ascii="Arial" w:hAnsi="Arial"/>
          <w:color w:val="231F20"/>
          <w:spacing w:val="-9"/>
        </w:rPr>
        <w:t> </w:t>
      </w:r>
      <w:r>
        <w:rPr>
          <w:rFonts w:ascii="Arial" w:hAnsi="Arial"/>
          <w:color w:val="231F20"/>
          <w:spacing w:val="-2"/>
        </w:rPr>
        <w:t>nous</w:t>
      </w:r>
      <w:r>
        <w:rPr>
          <w:rFonts w:ascii="Arial" w:hAnsi="Arial"/>
          <w:color w:val="231F20"/>
          <w:spacing w:val="-9"/>
        </w:rPr>
        <w:t> </w:t>
      </w:r>
      <w:r>
        <w:rPr>
          <w:rFonts w:ascii="Arial" w:hAnsi="Arial"/>
          <w:color w:val="231F20"/>
          <w:spacing w:val="-2"/>
        </w:rPr>
        <w:t>dévaloriser. </w:t>
      </w:r>
      <w:r>
        <w:rPr>
          <w:rFonts w:ascii="Arial" w:hAnsi="Arial"/>
          <w:color w:val="231F20"/>
        </w:rPr>
        <w:t>Il</w:t>
      </w:r>
      <w:r>
        <w:rPr>
          <w:rFonts w:ascii="Arial" w:hAnsi="Arial"/>
          <w:color w:val="231F20"/>
          <w:spacing w:val="-2"/>
        </w:rPr>
        <w:t> </w:t>
      </w:r>
      <w:r>
        <w:rPr>
          <w:rFonts w:ascii="Arial" w:hAnsi="Arial"/>
          <w:color w:val="231F20"/>
        </w:rPr>
        <w:t>faut</w:t>
      </w:r>
      <w:r>
        <w:rPr>
          <w:rFonts w:ascii="Arial" w:hAnsi="Arial"/>
          <w:color w:val="231F20"/>
          <w:spacing w:val="-1"/>
        </w:rPr>
        <w:t> </w:t>
      </w:r>
      <w:r>
        <w:rPr>
          <w:rFonts w:ascii="Arial" w:hAnsi="Arial"/>
          <w:color w:val="231F20"/>
        </w:rPr>
        <w:t>faire</w:t>
      </w:r>
      <w:r>
        <w:rPr>
          <w:rFonts w:ascii="Arial" w:hAnsi="Arial"/>
          <w:color w:val="231F20"/>
          <w:spacing w:val="-1"/>
        </w:rPr>
        <w:t> </w:t>
      </w:r>
      <w:r>
        <w:rPr>
          <w:rFonts w:ascii="Arial" w:hAnsi="Arial"/>
          <w:color w:val="231F20"/>
        </w:rPr>
        <w:t>taire</w:t>
      </w:r>
      <w:r>
        <w:rPr>
          <w:rFonts w:ascii="Arial" w:hAnsi="Arial"/>
          <w:color w:val="231F20"/>
          <w:spacing w:val="-2"/>
        </w:rPr>
        <w:t> </w:t>
      </w:r>
      <w:r>
        <w:rPr>
          <w:rFonts w:ascii="Arial" w:hAnsi="Arial"/>
          <w:color w:val="231F20"/>
        </w:rPr>
        <w:t>cette</w:t>
      </w:r>
      <w:r>
        <w:rPr>
          <w:rFonts w:ascii="Arial" w:hAnsi="Arial"/>
          <w:color w:val="231F20"/>
          <w:spacing w:val="-1"/>
        </w:rPr>
        <w:t> </w:t>
      </w:r>
      <w:r>
        <w:rPr>
          <w:rFonts w:ascii="Arial" w:hAnsi="Arial"/>
          <w:color w:val="231F20"/>
        </w:rPr>
        <w:t>petite</w:t>
      </w:r>
      <w:r>
        <w:rPr>
          <w:rFonts w:ascii="Arial" w:hAnsi="Arial"/>
          <w:color w:val="231F20"/>
          <w:spacing w:val="-1"/>
        </w:rPr>
        <w:t> </w:t>
      </w:r>
      <w:r>
        <w:rPr>
          <w:rFonts w:ascii="Arial" w:hAnsi="Arial"/>
          <w:color w:val="231F20"/>
        </w:rPr>
        <w:t>voix</w:t>
      </w:r>
      <w:r>
        <w:rPr>
          <w:rFonts w:ascii="Arial" w:hAnsi="Arial"/>
          <w:color w:val="231F20"/>
          <w:spacing w:val="-2"/>
        </w:rPr>
        <w:t> </w:t>
      </w:r>
      <w:r>
        <w:rPr>
          <w:rFonts w:ascii="Arial" w:hAnsi="Arial"/>
          <w:color w:val="231F20"/>
        </w:rPr>
        <w:t>intérieure</w:t>
      </w:r>
      <w:r>
        <w:rPr>
          <w:rFonts w:ascii="Arial" w:hAnsi="Arial"/>
          <w:color w:val="231F20"/>
          <w:spacing w:val="-1"/>
        </w:rPr>
        <w:t> </w:t>
      </w:r>
      <w:r>
        <w:rPr>
          <w:rFonts w:ascii="Arial" w:hAnsi="Arial"/>
          <w:color w:val="231F20"/>
        </w:rPr>
        <w:t>qui</w:t>
      </w:r>
      <w:r>
        <w:rPr>
          <w:rFonts w:ascii="Arial" w:hAnsi="Arial"/>
          <w:color w:val="231F20"/>
          <w:spacing w:val="-1"/>
        </w:rPr>
        <w:t> </w:t>
      </w:r>
      <w:r>
        <w:rPr>
          <w:rFonts w:ascii="Arial" w:hAnsi="Arial"/>
          <w:color w:val="231F20"/>
        </w:rPr>
        <w:t>nous</w:t>
      </w:r>
      <w:r>
        <w:rPr>
          <w:rFonts w:ascii="Arial" w:hAnsi="Arial"/>
          <w:color w:val="231F20"/>
          <w:spacing w:val="-2"/>
        </w:rPr>
        <w:t> </w:t>
      </w:r>
      <w:r>
        <w:rPr>
          <w:rFonts w:ascii="Arial" w:hAnsi="Arial"/>
          <w:color w:val="231F20"/>
        </w:rPr>
        <w:t>juge</w:t>
      </w:r>
      <w:r>
        <w:rPr>
          <w:rFonts w:ascii="Arial" w:hAnsi="Arial"/>
          <w:color w:val="231F20"/>
          <w:spacing w:val="-1"/>
        </w:rPr>
        <w:t> </w:t>
      </w:r>
      <w:r>
        <w:rPr>
          <w:rFonts w:ascii="Arial" w:hAnsi="Arial"/>
          <w:color w:val="231F20"/>
        </w:rPr>
        <w:t>sévèrement</w:t>
      </w:r>
      <w:r>
        <w:rPr>
          <w:rFonts w:ascii="Arial" w:hAnsi="Arial"/>
          <w:color w:val="231F20"/>
          <w:spacing w:val="-30"/>
        </w:rPr>
        <w:t> </w:t>
      </w:r>
      <w:r>
        <w:rPr>
          <w:rFonts w:ascii="Arial" w:hAnsi="Arial"/>
          <w:color w:val="231F20"/>
          <w:spacing w:val="-10"/>
        </w:rPr>
        <w:t>:</w:t>
      </w:r>
    </w:p>
    <w:p>
      <w:pPr>
        <w:pStyle w:val="BodyText"/>
        <w:spacing w:line="307" w:lineRule="auto"/>
        <w:ind w:left="1080" w:right="745"/>
        <w:jc w:val="both"/>
        <w:rPr>
          <w:rFonts w:ascii="Arial" w:hAnsi="Arial"/>
        </w:rPr>
      </w:pPr>
      <w:r>
        <w:rPr>
          <w:rFonts w:ascii="Arial" w:hAnsi="Arial"/>
          <w:color w:val="231F20"/>
          <w:w w:val="95"/>
        </w:rPr>
        <w:t>«</w:t>
      </w:r>
      <w:r>
        <w:rPr>
          <w:rFonts w:ascii="Arial" w:hAnsi="Arial"/>
          <w:color w:val="231F20"/>
          <w:spacing w:val="-10"/>
          <w:w w:val="95"/>
        </w:rPr>
        <w:t> </w:t>
      </w:r>
      <w:r>
        <w:rPr>
          <w:rFonts w:ascii="Arial" w:hAnsi="Arial"/>
          <w:i/>
          <w:color w:val="231F20"/>
          <w:w w:val="95"/>
        </w:rPr>
        <w:t>Je</w:t>
      </w:r>
      <w:r>
        <w:rPr>
          <w:rFonts w:ascii="Arial" w:hAnsi="Arial"/>
          <w:i/>
          <w:color w:val="231F20"/>
          <w:spacing w:val="-9"/>
          <w:w w:val="95"/>
        </w:rPr>
        <w:t> </w:t>
      </w:r>
      <w:r>
        <w:rPr>
          <w:rFonts w:ascii="Arial" w:hAnsi="Arial"/>
          <w:i/>
          <w:color w:val="231F20"/>
          <w:w w:val="95"/>
        </w:rPr>
        <w:t>ne</w:t>
      </w:r>
      <w:r>
        <w:rPr>
          <w:rFonts w:ascii="Arial" w:hAnsi="Arial"/>
          <w:i/>
          <w:color w:val="231F20"/>
          <w:spacing w:val="-10"/>
          <w:w w:val="95"/>
        </w:rPr>
        <w:t> </w:t>
      </w:r>
      <w:r>
        <w:rPr>
          <w:rFonts w:ascii="Arial" w:hAnsi="Arial"/>
          <w:i/>
          <w:color w:val="231F20"/>
          <w:w w:val="95"/>
        </w:rPr>
        <w:t>suis</w:t>
      </w:r>
      <w:r>
        <w:rPr>
          <w:rFonts w:ascii="Arial" w:hAnsi="Arial"/>
          <w:i/>
          <w:color w:val="231F20"/>
          <w:spacing w:val="-9"/>
          <w:w w:val="95"/>
        </w:rPr>
        <w:t> </w:t>
      </w:r>
      <w:r>
        <w:rPr>
          <w:rFonts w:ascii="Arial" w:hAnsi="Arial"/>
          <w:i/>
          <w:color w:val="231F20"/>
          <w:w w:val="95"/>
        </w:rPr>
        <w:t>pas</w:t>
      </w:r>
      <w:r>
        <w:rPr>
          <w:rFonts w:ascii="Arial" w:hAnsi="Arial"/>
          <w:i/>
          <w:color w:val="231F20"/>
          <w:spacing w:val="-10"/>
          <w:w w:val="95"/>
        </w:rPr>
        <w:t> </w:t>
      </w:r>
      <w:r>
        <w:rPr>
          <w:rFonts w:ascii="Arial" w:hAnsi="Arial"/>
          <w:i/>
          <w:color w:val="231F20"/>
          <w:w w:val="95"/>
        </w:rPr>
        <w:t>à la hauteur</w:t>
      </w:r>
      <w:r>
        <w:rPr>
          <w:rFonts w:ascii="Arial" w:hAnsi="Arial"/>
          <w:i/>
          <w:color w:val="231F20"/>
          <w:spacing w:val="-10"/>
          <w:w w:val="95"/>
        </w:rPr>
        <w:t> </w:t>
      </w:r>
      <w:r>
        <w:rPr>
          <w:rFonts w:ascii="Arial" w:hAnsi="Arial"/>
          <w:color w:val="231F20"/>
          <w:w w:val="95"/>
        </w:rPr>
        <w:t>», «</w:t>
      </w:r>
      <w:r>
        <w:rPr>
          <w:rFonts w:ascii="Arial" w:hAnsi="Arial"/>
          <w:color w:val="231F20"/>
          <w:spacing w:val="-10"/>
          <w:w w:val="95"/>
        </w:rPr>
        <w:t> </w:t>
      </w:r>
      <w:r>
        <w:rPr>
          <w:rFonts w:ascii="Arial" w:hAnsi="Arial"/>
          <w:i/>
          <w:color w:val="231F20"/>
          <w:w w:val="95"/>
        </w:rPr>
        <w:t>De toute façon, je n’y arriverai pas…</w:t>
      </w:r>
      <w:r>
        <w:rPr>
          <w:rFonts w:ascii="Arial" w:hAnsi="Arial"/>
          <w:i/>
          <w:color w:val="231F20"/>
          <w:spacing w:val="-10"/>
          <w:w w:val="95"/>
        </w:rPr>
        <w:t> </w:t>
      </w:r>
      <w:r>
        <w:rPr>
          <w:rFonts w:ascii="Arial" w:hAnsi="Arial"/>
          <w:color w:val="231F20"/>
          <w:w w:val="95"/>
        </w:rPr>
        <w:t>». Ces</w:t>
      </w:r>
      <w:r>
        <w:rPr>
          <w:rFonts w:ascii="Arial" w:hAnsi="Arial"/>
          <w:color w:val="231F20"/>
          <w:spacing w:val="-5"/>
          <w:w w:val="95"/>
        </w:rPr>
        <w:t> </w:t>
      </w:r>
      <w:r>
        <w:rPr>
          <w:rFonts w:ascii="Arial" w:hAnsi="Arial"/>
          <w:color w:val="231F20"/>
          <w:w w:val="95"/>
        </w:rPr>
        <w:t>croyances</w:t>
      </w:r>
      <w:r>
        <w:rPr>
          <w:rFonts w:ascii="Arial" w:hAnsi="Arial"/>
          <w:color w:val="231F20"/>
          <w:spacing w:val="-5"/>
          <w:w w:val="95"/>
        </w:rPr>
        <w:t> </w:t>
      </w:r>
      <w:r>
        <w:rPr>
          <w:rFonts w:ascii="Arial" w:hAnsi="Arial"/>
          <w:color w:val="231F20"/>
          <w:w w:val="95"/>
        </w:rPr>
        <w:t>limitantes</w:t>
      </w:r>
      <w:r>
        <w:rPr>
          <w:rFonts w:ascii="Arial" w:hAnsi="Arial"/>
          <w:color w:val="231F20"/>
          <w:spacing w:val="-5"/>
          <w:w w:val="95"/>
        </w:rPr>
        <w:t> </w:t>
      </w:r>
      <w:r>
        <w:rPr>
          <w:rFonts w:ascii="Arial" w:hAnsi="Arial"/>
          <w:color w:val="231F20"/>
          <w:w w:val="95"/>
        </w:rPr>
        <w:t>nous</w:t>
      </w:r>
      <w:r>
        <w:rPr>
          <w:rFonts w:ascii="Arial" w:hAnsi="Arial"/>
          <w:color w:val="231F20"/>
          <w:spacing w:val="-5"/>
          <w:w w:val="95"/>
        </w:rPr>
        <w:t> </w:t>
      </w:r>
      <w:r>
        <w:rPr>
          <w:rFonts w:ascii="Arial" w:hAnsi="Arial"/>
          <w:color w:val="231F20"/>
          <w:w w:val="95"/>
        </w:rPr>
        <w:t>paralysent,</w:t>
      </w:r>
      <w:r>
        <w:rPr>
          <w:rFonts w:ascii="Arial" w:hAnsi="Arial"/>
          <w:color w:val="231F20"/>
          <w:spacing w:val="-5"/>
          <w:w w:val="95"/>
        </w:rPr>
        <w:t> </w:t>
      </w:r>
      <w:r>
        <w:rPr>
          <w:rFonts w:ascii="Arial" w:hAnsi="Arial"/>
          <w:color w:val="231F20"/>
          <w:w w:val="95"/>
        </w:rPr>
        <w:t>observe</w:t>
      </w:r>
      <w:r>
        <w:rPr>
          <w:rFonts w:ascii="Arial" w:hAnsi="Arial"/>
          <w:color w:val="231F20"/>
          <w:spacing w:val="-5"/>
          <w:w w:val="95"/>
        </w:rPr>
        <w:t> </w:t>
      </w:r>
      <w:r>
        <w:rPr>
          <w:rFonts w:ascii="Arial" w:hAnsi="Arial"/>
          <w:color w:val="231F20"/>
          <w:w w:val="95"/>
        </w:rPr>
        <w:t>Nicolas</w:t>
      </w:r>
      <w:r>
        <w:rPr>
          <w:rFonts w:ascii="Arial" w:hAnsi="Arial"/>
          <w:color w:val="231F20"/>
          <w:spacing w:val="-5"/>
          <w:w w:val="95"/>
        </w:rPr>
        <w:t> </w:t>
      </w:r>
      <w:r>
        <w:rPr>
          <w:rFonts w:ascii="Arial" w:hAnsi="Arial"/>
          <w:color w:val="231F20"/>
          <w:w w:val="95"/>
        </w:rPr>
        <w:t>Dugay,</w:t>
      </w:r>
      <w:r>
        <w:rPr>
          <w:rFonts w:ascii="Arial" w:hAnsi="Arial"/>
          <w:color w:val="231F20"/>
          <w:spacing w:val="-5"/>
          <w:w w:val="95"/>
        </w:rPr>
        <w:t> </w:t>
      </w:r>
      <w:r>
        <w:rPr>
          <w:rFonts w:ascii="Arial" w:hAnsi="Arial"/>
          <w:color w:val="231F20"/>
          <w:w w:val="95"/>
        </w:rPr>
        <w:t>coach </w:t>
      </w:r>
      <w:r>
        <w:rPr>
          <w:rFonts w:ascii="Arial" w:hAnsi="Arial"/>
          <w:color w:val="231F20"/>
          <w:spacing w:val="-2"/>
        </w:rPr>
        <w:t>et</w:t>
      </w:r>
      <w:r>
        <w:rPr>
          <w:rFonts w:ascii="Arial" w:hAnsi="Arial"/>
          <w:color w:val="231F20"/>
          <w:spacing w:val="-6"/>
        </w:rPr>
        <w:t> </w:t>
      </w:r>
      <w:r>
        <w:rPr>
          <w:rFonts w:ascii="Arial" w:hAnsi="Arial"/>
          <w:color w:val="231F20"/>
          <w:spacing w:val="-2"/>
        </w:rPr>
        <w:t>directeur</w:t>
      </w:r>
      <w:r>
        <w:rPr>
          <w:rFonts w:ascii="Arial" w:hAnsi="Arial"/>
          <w:color w:val="231F20"/>
          <w:spacing w:val="-6"/>
        </w:rPr>
        <w:t> </w:t>
      </w:r>
      <w:r>
        <w:rPr>
          <w:rFonts w:ascii="Arial" w:hAnsi="Arial"/>
          <w:color w:val="231F20"/>
          <w:spacing w:val="-2"/>
        </w:rPr>
        <w:t>associé</w:t>
      </w:r>
      <w:r>
        <w:rPr>
          <w:rFonts w:ascii="Arial" w:hAnsi="Arial"/>
          <w:color w:val="231F20"/>
          <w:spacing w:val="-6"/>
        </w:rPr>
        <w:t> </w:t>
      </w:r>
      <w:r>
        <w:rPr>
          <w:rFonts w:ascii="Arial" w:hAnsi="Arial"/>
          <w:color w:val="231F20"/>
          <w:spacing w:val="-2"/>
        </w:rPr>
        <w:t>de</w:t>
      </w:r>
      <w:r>
        <w:rPr>
          <w:rFonts w:ascii="Arial" w:hAnsi="Arial"/>
          <w:color w:val="231F20"/>
          <w:spacing w:val="-6"/>
        </w:rPr>
        <w:t> </w:t>
      </w:r>
      <w:r>
        <w:rPr>
          <w:rFonts w:ascii="Arial" w:hAnsi="Arial"/>
          <w:color w:val="231F20"/>
          <w:spacing w:val="-2"/>
        </w:rPr>
        <w:t>CAA.</w:t>
      </w:r>
      <w:r>
        <w:rPr>
          <w:rFonts w:ascii="Arial" w:hAnsi="Arial"/>
          <w:color w:val="231F20"/>
          <w:spacing w:val="-6"/>
        </w:rPr>
        <w:t> </w:t>
      </w:r>
      <w:r>
        <w:rPr>
          <w:rFonts w:ascii="Arial" w:hAnsi="Arial"/>
          <w:color w:val="231F20"/>
          <w:spacing w:val="-2"/>
        </w:rPr>
        <w:t>Car</w:t>
      </w:r>
      <w:r>
        <w:rPr>
          <w:rFonts w:ascii="Arial" w:hAnsi="Arial"/>
          <w:color w:val="231F20"/>
          <w:spacing w:val="-6"/>
        </w:rPr>
        <w:t> </w:t>
      </w:r>
      <w:r>
        <w:rPr>
          <w:rFonts w:ascii="Arial" w:hAnsi="Arial"/>
          <w:color w:val="231F20"/>
          <w:spacing w:val="-2"/>
        </w:rPr>
        <w:t>même</w:t>
      </w:r>
      <w:r>
        <w:rPr>
          <w:rFonts w:ascii="Arial" w:hAnsi="Arial"/>
          <w:color w:val="231F20"/>
          <w:spacing w:val="-6"/>
        </w:rPr>
        <w:t> </w:t>
      </w:r>
      <w:r>
        <w:rPr>
          <w:rFonts w:ascii="Arial" w:hAnsi="Arial"/>
          <w:color w:val="231F20"/>
          <w:spacing w:val="-2"/>
        </w:rPr>
        <w:t>si</w:t>
      </w:r>
      <w:r>
        <w:rPr>
          <w:rFonts w:ascii="Arial" w:hAnsi="Arial"/>
          <w:color w:val="231F20"/>
          <w:spacing w:val="-6"/>
        </w:rPr>
        <w:t> </w:t>
      </w:r>
      <w:r>
        <w:rPr>
          <w:rFonts w:ascii="Arial" w:hAnsi="Arial"/>
          <w:color w:val="231F20"/>
          <w:spacing w:val="-2"/>
        </w:rPr>
        <w:t>elles</w:t>
      </w:r>
      <w:r>
        <w:rPr>
          <w:rFonts w:ascii="Arial" w:hAnsi="Arial"/>
          <w:color w:val="231F20"/>
          <w:spacing w:val="-6"/>
        </w:rPr>
        <w:t> </w:t>
      </w:r>
      <w:r>
        <w:rPr>
          <w:rFonts w:ascii="Arial" w:hAnsi="Arial"/>
          <w:color w:val="231F20"/>
          <w:spacing w:val="-2"/>
        </w:rPr>
        <w:t>sont</w:t>
      </w:r>
      <w:r>
        <w:rPr>
          <w:rFonts w:ascii="Arial" w:hAnsi="Arial"/>
          <w:color w:val="231F20"/>
          <w:spacing w:val="-6"/>
        </w:rPr>
        <w:t> </w:t>
      </w:r>
      <w:r>
        <w:rPr>
          <w:rFonts w:ascii="Arial" w:hAnsi="Arial"/>
          <w:color w:val="231F20"/>
          <w:spacing w:val="-2"/>
        </w:rPr>
        <w:t>fausses</w:t>
      </w:r>
      <w:r>
        <w:rPr>
          <w:rFonts w:ascii="Arial" w:hAnsi="Arial"/>
          <w:color w:val="231F20"/>
          <w:spacing w:val="-6"/>
        </w:rPr>
        <w:t> </w:t>
      </w:r>
      <w:r>
        <w:rPr>
          <w:rFonts w:ascii="Arial" w:hAnsi="Arial"/>
          <w:color w:val="231F20"/>
          <w:spacing w:val="-2"/>
        </w:rPr>
        <w:t>ou</w:t>
      </w:r>
      <w:r>
        <w:rPr>
          <w:rFonts w:ascii="Arial" w:hAnsi="Arial"/>
          <w:color w:val="231F20"/>
          <w:spacing w:val="-6"/>
        </w:rPr>
        <w:t> </w:t>
      </w:r>
      <w:r>
        <w:rPr>
          <w:rFonts w:ascii="Arial" w:hAnsi="Arial"/>
          <w:color w:val="231F20"/>
          <w:spacing w:val="-2"/>
        </w:rPr>
        <w:t>simple- </w:t>
      </w:r>
      <w:r>
        <w:rPr>
          <w:rFonts w:ascii="Arial" w:hAnsi="Arial"/>
          <w:color w:val="231F20"/>
        </w:rPr>
        <w:t>ment</w:t>
      </w:r>
      <w:r>
        <w:rPr>
          <w:rFonts w:ascii="Arial" w:hAnsi="Arial"/>
          <w:color w:val="231F20"/>
          <w:spacing w:val="-9"/>
        </w:rPr>
        <w:t> </w:t>
      </w:r>
      <w:r>
        <w:rPr>
          <w:rFonts w:ascii="Arial" w:hAnsi="Arial"/>
          <w:color w:val="231F20"/>
        </w:rPr>
        <w:t>exagérées,</w:t>
      </w:r>
      <w:r>
        <w:rPr>
          <w:rFonts w:ascii="Arial" w:hAnsi="Arial"/>
          <w:color w:val="231F20"/>
          <w:spacing w:val="-9"/>
        </w:rPr>
        <w:t> </w:t>
      </w:r>
      <w:r>
        <w:rPr>
          <w:rFonts w:ascii="Arial" w:hAnsi="Arial"/>
          <w:color w:val="231F20"/>
        </w:rPr>
        <w:t>le</w:t>
      </w:r>
      <w:r>
        <w:rPr>
          <w:rFonts w:ascii="Arial" w:hAnsi="Arial"/>
          <w:color w:val="231F20"/>
          <w:spacing w:val="-9"/>
        </w:rPr>
        <w:t> </w:t>
      </w:r>
      <w:r>
        <w:rPr>
          <w:rFonts w:ascii="Arial" w:hAnsi="Arial"/>
          <w:color w:val="231F20"/>
        </w:rPr>
        <w:t>cerveau</w:t>
      </w:r>
      <w:r>
        <w:rPr>
          <w:rFonts w:ascii="Arial" w:hAnsi="Arial"/>
          <w:color w:val="231F20"/>
          <w:spacing w:val="-9"/>
        </w:rPr>
        <w:t> </w:t>
      </w:r>
      <w:r>
        <w:rPr>
          <w:rFonts w:ascii="Arial" w:hAnsi="Arial"/>
          <w:color w:val="231F20"/>
        </w:rPr>
        <w:t>les</w:t>
      </w:r>
      <w:r>
        <w:rPr>
          <w:rFonts w:ascii="Arial" w:hAnsi="Arial"/>
          <w:color w:val="231F20"/>
          <w:spacing w:val="-9"/>
        </w:rPr>
        <w:t> </w:t>
      </w:r>
      <w:r>
        <w:rPr>
          <w:rFonts w:ascii="Arial" w:hAnsi="Arial"/>
          <w:color w:val="231F20"/>
        </w:rPr>
        <w:t>considère</w:t>
      </w:r>
      <w:r>
        <w:rPr>
          <w:rFonts w:ascii="Arial" w:hAnsi="Arial"/>
          <w:color w:val="231F20"/>
          <w:spacing w:val="-9"/>
        </w:rPr>
        <w:t> </w:t>
      </w:r>
      <w:r>
        <w:rPr>
          <w:rFonts w:ascii="Arial" w:hAnsi="Arial"/>
          <w:color w:val="231F20"/>
        </w:rPr>
        <w:t>comme</w:t>
      </w:r>
      <w:r>
        <w:rPr>
          <w:rFonts w:ascii="Arial" w:hAnsi="Arial"/>
          <w:color w:val="231F20"/>
          <w:spacing w:val="-9"/>
        </w:rPr>
        <w:t> </w:t>
      </w:r>
      <w:r>
        <w:rPr>
          <w:rFonts w:ascii="Arial" w:hAnsi="Arial"/>
          <w:color w:val="231F20"/>
        </w:rPr>
        <w:t>vraies.</w:t>
      </w:r>
      <w:r>
        <w:rPr>
          <w:rFonts w:ascii="Arial" w:hAnsi="Arial"/>
          <w:color w:val="231F20"/>
          <w:spacing w:val="-9"/>
        </w:rPr>
        <w:t> </w:t>
      </w:r>
      <w:r>
        <w:rPr>
          <w:rFonts w:ascii="Arial" w:hAnsi="Arial"/>
          <w:color w:val="231F20"/>
        </w:rPr>
        <w:t>À</w:t>
      </w:r>
      <w:r>
        <w:rPr>
          <w:rFonts w:ascii="Arial" w:hAnsi="Arial"/>
          <w:color w:val="231F20"/>
          <w:spacing w:val="-9"/>
        </w:rPr>
        <w:t> </w:t>
      </w:r>
      <w:r>
        <w:rPr>
          <w:rFonts w:ascii="Arial" w:hAnsi="Arial"/>
          <w:color w:val="231F20"/>
        </w:rPr>
        <w:t>la</w:t>
      </w:r>
      <w:r>
        <w:rPr>
          <w:rFonts w:ascii="Arial" w:hAnsi="Arial"/>
          <w:color w:val="231F20"/>
          <w:spacing w:val="-9"/>
        </w:rPr>
        <w:t> </w:t>
      </w:r>
      <w:r>
        <w:rPr>
          <w:rFonts w:ascii="Arial" w:hAnsi="Arial"/>
          <w:color w:val="231F20"/>
        </w:rPr>
        <w:t>moindre situation de stress ou d’incertitude, il les réactivera automatiquement. Il</w:t>
      </w:r>
      <w:r>
        <w:rPr>
          <w:rFonts w:ascii="Arial" w:hAnsi="Arial"/>
          <w:color w:val="231F20"/>
          <w:spacing w:val="-12"/>
        </w:rPr>
        <w:t> </w:t>
      </w:r>
      <w:r>
        <w:rPr>
          <w:rFonts w:ascii="Arial" w:hAnsi="Arial"/>
          <w:color w:val="231F20"/>
        </w:rPr>
        <w:t>faut</w:t>
      </w:r>
      <w:r>
        <w:rPr>
          <w:rFonts w:ascii="Arial" w:hAnsi="Arial"/>
          <w:color w:val="231F20"/>
          <w:spacing w:val="-12"/>
        </w:rPr>
        <w:t> </w:t>
      </w:r>
      <w:r>
        <w:rPr>
          <w:rFonts w:ascii="Arial" w:hAnsi="Arial"/>
          <w:color w:val="231F20"/>
        </w:rPr>
        <w:t>les «</w:t>
      </w:r>
      <w:r>
        <w:rPr>
          <w:rFonts w:ascii="Arial" w:hAnsi="Arial"/>
          <w:color w:val="231F20"/>
          <w:spacing w:val="-12"/>
        </w:rPr>
        <w:t> </w:t>
      </w:r>
      <w:r>
        <w:rPr>
          <w:rFonts w:ascii="Arial" w:hAnsi="Arial"/>
          <w:color w:val="231F20"/>
        </w:rPr>
        <w:t>déraciner</w:t>
      </w:r>
      <w:r>
        <w:rPr>
          <w:rFonts w:ascii="Arial" w:hAnsi="Arial"/>
          <w:color w:val="231F20"/>
          <w:spacing w:val="-12"/>
        </w:rPr>
        <w:t> </w:t>
      </w:r>
      <w:r>
        <w:rPr>
          <w:rFonts w:ascii="Arial" w:hAnsi="Arial"/>
          <w:color w:val="231F20"/>
        </w:rPr>
        <w:t>» pour les remplacer par des pensées construc- </w:t>
      </w:r>
      <w:r>
        <w:rPr>
          <w:rFonts w:ascii="Arial" w:hAnsi="Arial"/>
          <w:color w:val="231F20"/>
          <w:w w:val="95"/>
        </w:rPr>
        <w:t>tives.</w:t>
      </w:r>
      <w:r>
        <w:rPr>
          <w:rFonts w:ascii="Arial" w:hAnsi="Arial"/>
          <w:color w:val="231F20"/>
          <w:spacing w:val="-10"/>
          <w:w w:val="95"/>
        </w:rPr>
        <w:t> </w:t>
      </w:r>
      <w:r>
        <w:rPr>
          <w:rFonts w:ascii="Arial" w:hAnsi="Arial"/>
          <w:color w:val="231F20"/>
          <w:w w:val="95"/>
        </w:rPr>
        <w:t>Ne</w:t>
      </w:r>
      <w:r>
        <w:rPr>
          <w:rFonts w:ascii="Arial" w:hAnsi="Arial"/>
          <w:color w:val="231F20"/>
          <w:spacing w:val="-9"/>
          <w:w w:val="95"/>
        </w:rPr>
        <w:t> </w:t>
      </w:r>
      <w:r>
        <w:rPr>
          <w:rFonts w:ascii="Arial" w:hAnsi="Arial"/>
          <w:color w:val="231F20"/>
          <w:w w:val="95"/>
        </w:rPr>
        <w:t>croyez</w:t>
      </w:r>
      <w:r>
        <w:rPr>
          <w:rFonts w:ascii="Arial" w:hAnsi="Arial"/>
          <w:color w:val="231F20"/>
          <w:spacing w:val="-10"/>
          <w:w w:val="95"/>
        </w:rPr>
        <w:t> </w:t>
      </w:r>
      <w:r>
        <w:rPr>
          <w:rFonts w:ascii="Arial" w:hAnsi="Arial"/>
          <w:color w:val="231F20"/>
          <w:w w:val="95"/>
        </w:rPr>
        <w:t>pas</w:t>
      </w:r>
      <w:r>
        <w:rPr>
          <w:rFonts w:ascii="Arial" w:hAnsi="Arial"/>
          <w:color w:val="231F20"/>
          <w:spacing w:val="-9"/>
          <w:w w:val="95"/>
        </w:rPr>
        <w:t> </w:t>
      </w:r>
      <w:r>
        <w:rPr>
          <w:rFonts w:ascii="Arial" w:hAnsi="Arial"/>
          <w:color w:val="231F20"/>
          <w:w w:val="95"/>
        </w:rPr>
        <w:t>qu’un</w:t>
      </w:r>
      <w:r>
        <w:rPr>
          <w:rFonts w:ascii="Arial" w:hAnsi="Arial"/>
          <w:color w:val="231F20"/>
          <w:spacing w:val="-7"/>
          <w:w w:val="95"/>
        </w:rPr>
        <w:t> </w:t>
      </w:r>
      <w:r>
        <w:rPr>
          <w:rFonts w:ascii="Arial" w:hAnsi="Arial"/>
          <w:color w:val="231F20"/>
          <w:w w:val="95"/>
        </w:rPr>
        <w:t>simple</w:t>
      </w:r>
      <w:r>
        <w:rPr>
          <w:rFonts w:ascii="Arial" w:hAnsi="Arial"/>
          <w:color w:val="231F20"/>
          <w:spacing w:val="-1"/>
          <w:w w:val="95"/>
        </w:rPr>
        <w:t> </w:t>
      </w:r>
      <w:r>
        <w:rPr>
          <w:rFonts w:ascii="Arial" w:hAnsi="Arial"/>
          <w:color w:val="231F20"/>
          <w:w w:val="95"/>
        </w:rPr>
        <w:t>«</w:t>
      </w:r>
      <w:r>
        <w:rPr>
          <w:rFonts w:ascii="Arial" w:hAnsi="Arial"/>
          <w:color w:val="231F20"/>
          <w:spacing w:val="-10"/>
          <w:w w:val="95"/>
        </w:rPr>
        <w:t> </w:t>
      </w:r>
      <w:r>
        <w:rPr>
          <w:rFonts w:ascii="Arial" w:hAnsi="Arial"/>
          <w:i/>
          <w:color w:val="231F20"/>
          <w:w w:val="95"/>
        </w:rPr>
        <w:t>mais</w:t>
      </w:r>
      <w:r>
        <w:rPr>
          <w:rFonts w:ascii="Arial" w:hAnsi="Arial"/>
          <w:i/>
          <w:color w:val="231F20"/>
          <w:spacing w:val="-1"/>
          <w:w w:val="95"/>
        </w:rPr>
        <w:t> </w:t>
      </w:r>
      <w:r>
        <w:rPr>
          <w:rFonts w:ascii="Arial" w:hAnsi="Arial"/>
          <w:i/>
          <w:color w:val="231F20"/>
          <w:w w:val="95"/>
        </w:rPr>
        <w:t>si,</w:t>
      </w:r>
      <w:r>
        <w:rPr>
          <w:rFonts w:ascii="Arial" w:hAnsi="Arial"/>
          <w:i/>
          <w:color w:val="231F20"/>
          <w:spacing w:val="-2"/>
          <w:w w:val="95"/>
        </w:rPr>
        <w:t> </w:t>
      </w:r>
      <w:r>
        <w:rPr>
          <w:rFonts w:ascii="Arial" w:hAnsi="Arial"/>
          <w:i/>
          <w:color w:val="231F20"/>
          <w:w w:val="95"/>
        </w:rPr>
        <w:t>tu</w:t>
      </w:r>
      <w:r>
        <w:rPr>
          <w:rFonts w:ascii="Arial" w:hAnsi="Arial"/>
          <w:i/>
          <w:color w:val="231F20"/>
          <w:spacing w:val="-2"/>
          <w:w w:val="95"/>
        </w:rPr>
        <w:t> </w:t>
      </w:r>
      <w:r>
        <w:rPr>
          <w:rFonts w:ascii="Arial" w:hAnsi="Arial"/>
          <w:i/>
          <w:color w:val="231F20"/>
          <w:w w:val="95"/>
        </w:rPr>
        <w:t>vas</w:t>
      </w:r>
      <w:r>
        <w:rPr>
          <w:rFonts w:ascii="Arial" w:hAnsi="Arial"/>
          <w:i/>
          <w:color w:val="231F20"/>
          <w:spacing w:val="-2"/>
          <w:w w:val="95"/>
        </w:rPr>
        <w:t> </w:t>
      </w:r>
      <w:r>
        <w:rPr>
          <w:rFonts w:ascii="Arial" w:hAnsi="Arial"/>
          <w:i/>
          <w:color w:val="231F20"/>
          <w:w w:val="95"/>
        </w:rPr>
        <w:t>y</w:t>
      </w:r>
      <w:r>
        <w:rPr>
          <w:rFonts w:ascii="Arial" w:hAnsi="Arial"/>
          <w:i/>
          <w:color w:val="231F20"/>
          <w:spacing w:val="-2"/>
          <w:w w:val="95"/>
        </w:rPr>
        <w:t> </w:t>
      </w:r>
      <w:r>
        <w:rPr>
          <w:rFonts w:ascii="Arial" w:hAnsi="Arial"/>
          <w:i/>
          <w:color w:val="231F20"/>
          <w:w w:val="95"/>
        </w:rPr>
        <w:t>arriver</w:t>
      </w:r>
      <w:r>
        <w:rPr>
          <w:rFonts w:ascii="Arial" w:hAnsi="Arial"/>
          <w:i/>
          <w:color w:val="231F20"/>
          <w:spacing w:val="-10"/>
          <w:w w:val="95"/>
        </w:rPr>
        <w:t> </w:t>
      </w:r>
      <w:r>
        <w:rPr>
          <w:rFonts w:ascii="Arial" w:hAnsi="Arial"/>
          <w:color w:val="231F20"/>
          <w:w w:val="95"/>
        </w:rPr>
        <w:t>»</w:t>
      </w:r>
      <w:r>
        <w:rPr>
          <w:rFonts w:ascii="Arial" w:hAnsi="Arial"/>
          <w:color w:val="231F20"/>
          <w:spacing w:val="-1"/>
          <w:w w:val="95"/>
        </w:rPr>
        <w:t> </w:t>
      </w:r>
      <w:r>
        <w:rPr>
          <w:rFonts w:ascii="Arial" w:hAnsi="Arial"/>
          <w:color w:val="231F20"/>
          <w:w w:val="95"/>
        </w:rPr>
        <w:t>suffira.</w:t>
      </w:r>
      <w:r>
        <w:rPr>
          <w:rFonts w:ascii="Arial" w:hAnsi="Arial"/>
          <w:color w:val="231F20"/>
          <w:spacing w:val="-2"/>
          <w:w w:val="95"/>
        </w:rPr>
        <w:t> </w:t>
      </w:r>
      <w:r>
        <w:rPr>
          <w:rFonts w:ascii="Arial" w:hAnsi="Arial"/>
          <w:color w:val="231F20"/>
          <w:w w:val="95"/>
        </w:rPr>
        <w:t>Pour </w:t>
      </w:r>
      <w:r>
        <w:rPr>
          <w:rFonts w:ascii="Arial" w:hAnsi="Arial"/>
          <w:color w:val="231F20"/>
        </w:rPr>
        <w:t>se</w:t>
      </w:r>
      <w:r>
        <w:rPr>
          <w:rFonts w:ascii="Arial" w:hAnsi="Arial"/>
          <w:color w:val="231F20"/>
          <w:spacing w:val="-11"/>
        </w:rPr>
        <w:t> </w:t>
      </w:r>
      <w:r>
        <w:rPr>
          <w:rFonts w:ascii="Arial" w:hAnsi="Arial"/>
          <w:color w:val="231F20"/>
        </w:rPr>
        <w:t>persuader</w:t>
      </w:r>
      <w:r>
        <w:rPr>
          <w:rFonts w:ascii="Arial" w:hAnsi="Arial"/>
          <w:color w:val="231F20"/>
          <w:spacing w:val="-11"/>
        </w:rPr>
        <w:t> </w:t>
      </w:r>
      <w:r>
        <w:rPr>
          <w:rFonts w:ascii="Arial" w:hAnsi="Arial"/>
          <w:color w:val="231F20"/>
        </w:rPr>
        <w:t>qu’on</w:t>
      </w:r>
      <w:r>
        <w:rPr>
          <w:rFonts w:ascii="Arial" w:hAnsi="Arial"/>
          <w:color w:val="231F20"/>
          <w:spacing w:val="-11"/>
        </w:rPr>
        <w:t> </w:t>
      </w:r>
      <w:r>
        <w:rPr>
          <w:rFonts w:ascii="Arial" w:hAnsi="Arial"/>
          <w:color w:val="231F20"/>
        </w:rPr>
        <w:t>est</w:t>
      </w:r>
      <w:r>
        <w:rPr>
          <w:rFonts w:ascii="Arial" w:hAnsi="Arial"/>
          <w:color w:val="231F20"/>
          <w:spacing w:val="-11"/>
        </w:rPr>
        <w:t> </w:t>
      </w:r>
      <w:r>
        <w:rPr>
          <w:rFonts w:ascii="Arial" w:hAnsi="Arial"/>
          <w:color w:val="231F20"/>
        </w:rPr>
        <w:t>à</w:t>
      </w:r>
      <w:r>
        <w:rPr>
          <w:rFonts w:ascii="Arial" w:hAnsi="Arial"/>
          <w:color w:val="231F20"/>
          <w:spacing w:val="-11"/>
        </w:rPr>
        <w:t> </w:t>
      </w:r>
      <w:r>
        <w:rPr>
          <w:rFonts w:ascii="Arial" w:hAnsi="Arial"/>
          <w:color w:val="231F20"/>
        </w:rPr>
        <w:t>la</w:t>
      </w:r>
      <w:r>
        <w:rPr>
          <w:rFonts w:ascii="Arial" w:hAnsi="Arial"/>
          <w:color w:val="231F20"/>
          <w:spacing w:val="-11"/>
        </w:rPr>
        <w:t> </w:t>
      </w:r>
      <w:r>
        <w:rPr>
          <w:rFonts w:ascii="Arial" w:hAnsi="Arial"/>
          <w:color w:val="231F20"/>
        </w:rPr>
        <w:t>hauteur</w:t>
      </w:r>
      <w:r>
        <w:rPr>
          <w:rFonts w:ascii="Arial" w:hAnsi="Arial"/>
          <w:color w:val="231F20"/>
          <w:spacing w:val="-11"/>
        </w:rPr>
        <w:t> </w:t>
      </w:r>
      <w:r>
        <w:rPr>
          <w:rFonts w:ascii="Arial" w:hAnsi="Arial"/>
          <w:color w:val="231F20"/>
        </w:rPr>
        <w:t>de</w:t>
      </w:r>
      <w:r>
        <w:rPr>
          <w:rFonts w:ascii="Arial" w:hAnsi="Arial"/>
          <w:color w:val="231F20"/>
          <w:spacing w:val="-11"/>
        </w:rPr>
        <w:t> </w:t>
      </w:r>
      <w:r>
        <w:rPr>
          <w:rFonts w:ascii="Arial" w:hAnsi="Arial"/>
          <w:color w:val="231F20"/>
        </w:rPr>
        <w:t>la</w:t>
      </w:r>
      <w:r>
        <w:rPr>
          <w:rFonts w:ascii="Arial" w:hAnsi="Arial"/>
          <w:color w:val="231F20"/>
          <w:spacing w:val="-11"/>
        </w:rPr>
        <w:t> </w:t>
      </w:r>
      <w:r>
        <w:rPr>
          <w:rFonts w:ascii="Arial" w:hAnsi="Arial"/>
          <w:color w:val="231F20"/>
        </w:rPr>
        <w:t>situation,</w:t>
      </w:r>
      <w:r>
        <w:rPr>
          <w:rFonts w:ascii="Arial" w:hAnsi="Arial"/>
          <w:color w:val="231F20"/>
          <w:spacing w:val="-11"/>
        </w:rPr>
        <w:t> </w:t>
      </w:r>
      <w:r>
        <w:rPr>
          <w:rFonts w:ascii="Arial" w:hAnsi="Arial"/>
          <w:color w:val="231F20"/>
        </w:rPr>
        <w:t>il</w:t>
      </w:r>
      <w:r>
        <w:rPr>
          <w:rFonts w:ascii="Arial" w:hAnsi="Arial"/>
          <w:color w:val="231F20"/>
          <w:spacing w:val="-11"/>
        </w:rPr>
        <w:t> </w:t>
      </w:r>
      <w:r>
        <w:rPr>
          <w:rFonts w:ascii="Arial" w:hAnsi="Arial"/>
          <w:color w:val="231F20"/>
        </w:rPr>
        <w:t>faut</w:t>
      </w:r>
      <w:r>
        <w:rPr>
          <w:rFonts w:ascii="Arial" w:hAnsi="Arial"/>
          <w:color w:val="231F20"/>
          <w:spacing w:val="-11"/>
        </w:rPr>
        <w:t> </w:t>
      </w:r>
      <w:r>
        <w:rPr>
          <w:rFonts w:ascii="Arial" w:hAnsi="Arial"/>
          <w:color w:val="231F20"/>
        </w:rPr>
        <w:t>recourir</w:t>
      </w:r>
      <w:r>
        <w:rPr>
          <w:rFonts w:ascii="Arial" w:hAnsi="Arial"/>
          <w:color w:val="231F20"/>
          <w:spacing w:val="-11"/>
        </w:rPr>
        <w:t> </w:t>
      </w:r>
      <w:r>
        <w:rPr>
          <w:rFonts w:ascii="Arial" w:hAnsi="Arial"/>
          <w:color w:val="231F20"/>
        </w:rPr>
        <w:t>à</w:t>
      </w:r>
      <w:r>
        <w:rPr>
          <w:rFonts w:ascii="Arial" w:hAnsi="Arial"/>
          <w:color w:val="231F20"/>
          <w:spacing w:val="-11"/>
        </w:rPr>
        <w:t> </w:t>
      </w:r>
      <w:r>
        <w:rPr>
          <w:rFonts w:ascii="Arial" w:hAnsi="Arial"/>
          <w:color w:val="231F20"/>
        </w:rPr>
        <w:t>des contre-exemples «</w:t>
      </w:r>
      <w:r>
        <w:rPr>
          <w:rFonts w:ascii="Arial" w:hAnsi="Arial"/>
          <w:color w:val="231F20"/>
          <w:spacing w:val="-26"/>
        </w:rPr>
        <w:t> </w:t>
      </w:r>
      <w:r>
        <w:rPr>
          <w:rFonts w:ascii="Arial" w:hAnsi="Arial"/>
          <w:color w:val="231F20"/>
        </w:rPr>
        <w:t>antidotes</w:t>
      </w:r>
      <w:r>
        <w:rPr>
          <w:rFonts w:ascii="Arial" w:hAnsi="Arial"/>
          <w:color w:val="231F20"/>
          <w:spacing w:val="-26"/>
        </w:rPr>
        <w:t> </w:t>
      </w:r>
      <w:r>
        <w:rPr>
          <w:rFonts w:ascii="Arial" w:hAnsi="Arial"/>
          <w:color w:val="231F20"/>
        </w:rPr>
        <w:t>».</w:t>
      </w:r>
    </w:p>
    <w:p>
      <w:pPr>
        <w:spacing w:line="307" w:lineRule="auto" w:before="79"/>
        <w:ind w:left="1080" w:right="746" w:firstLine="0"/>
        <w:jc w:val="both"/>
        <w:rPr>
          <w:rFonts w:ascii="Arial" w:hAnsi="Arial"/>
          <w:sz w:val="17"/>
        </w:rPr>
      </w:pPr>
      <w:r>
        <w:rPr>
          <w:rFonts w:ascii="Arial" w:hAnsi="Arial"/>
          <w:color w:val="231F20"/>
          <w:spacing w:val="-2"/>
          <w:sz w:val="17"/>
        </w:rPr>
        <w:t>Pour</w:t>
      </w:r>
      <w:r>
        <w:rPr>
          <w:rFonts w:ascii="Arial" w:hAnsi="Arial"/>
          <w:color w:val="231F20"/>
          <w:spacing w:val="-7"/>
          <w:sz w:val="17"/>
        </w:rPr>
        <w:t> </w:t>
      </w:r>
      <w:r>
        <w:rPr>
          <w:rFonts w:ascii="Arial" w:hAnsi="Arial"/>
          <w:color w:val="231F20"/>
          <w:spacing w:val="-2"/>
          <w:sz w:val="17"/>
        </w:rPr>
        <w:t>cela,</w:t>
      </w:r>
      <w:r>
        <w:rPr>
          <w:rFonts w:ascii="Arial" w:hAnsi="Arial"/>
          <w:color w:val="231F20"/>
          <w:spacing w:val="-7"/>
          <w:sz w:val="17"/>
        </w:rPr>
        <w:t> </w:t>
      </w:r>
      <w:r>
        <w:rPr>
          <w:rFonts w:ascii="Arial" w:hAnsi="Arial"/>
          <w:color w:val="231F20"/>
          <w:spacing w:val="-2"/>
          <w:sz w:val="17"/>
        </w:rPr>
        <w:t>dialoguez</w:t>
      </w:r>
      <w:r>
        <w:rPr>
          <w:rFonts w:ascii="Arial" w:hAnsi="Arial"/>
          <w:color w:val="231F20"/>
          <w:spacing w:val="-7"/>
          <w:sz w:val="17"/>
        </w:rPr>
        <w:t> </w:t>
      </w:r>
      <w:r>
        <w:rPr>
          <w:rFonts w:ascii="Arial" w:hAnsi="Arial"/>
          <w:color w:val="231F20"/>
          <w:spacing w:val="-2"/>
          <w:sz w:val="17"/>
        </w:rPr>
        <w:t>sous</w:t>
      </w:r>
      <w:r>
        <w:rPr>
          <w:rFonts w:ascii="Arial" w:hAnsi="Arial"/>
          <w:color w:val="231F20"/>
          <w:spacing w:val="-7"/>
          <w:sz w:val="17"/>
        </w:rPr>
        <w:t> </w:t>
      </w:r>
      <w:r>
        <w:rPr>
          <w:rFonts w:ascii="Arial" w:hAnsi="Arial"/>
          <w:color w:val="231F20"/>
          <w:spacing w:val="-2"/>
          <w:sz w:val="17"/>
        </w:rPr>
        <w:t>forme</w:t>
      </w:r>
      <w:r>
        <w:rPr>
          <w:rFonts w:ascii="Arial" w:hAnsi="Arial"/>
          <w:color w:val="231F20"/>
          <w:spacing w:val="-7"/>
          <w:sz w:val="17"/>
        </w:rPr>
        <w:t> </w:t>
      </w:r>
      <w:r>
        <w:rPr>
          <w:rFonts w:ascii="Arial" w:hAnsi="Arial"/>
          <w:color w:val="231F20"/>
          <w:spacing w:val="-2"/>
          <w:sz w:val="17"/>
        </w:rPr>
        <w:t>de</w:t>
      </w:r>
      <w:r>
        <w:rPr>
          <w:rFonts w:ascii="Arial" w:hAnsi="Arial"/>
          <w:color w:val="231F20"/>
          <w:spacing w:val="-7"/>
          <w:sz w:val="17"/>
        </w:rPr>
        <w:t> </w:t>
      </w:r>
      <w:r>
        <w:rPr>
          <w:rFonts w:ascii="Arial" w:hAnsi="Arial"/>
          <w:color w:val="231F20"/>
          <w:spacing w:val="-2"/>
          <w:sz w:val="17"/>
        </w:rPr>
        <w:t>questions-réponses</w:t>
      </w:r>
      <w:r>
        <w:rPr>
          <w:rFonts w:ascii="Arial" w:hAnsi="Arial"/>
          <w:color w:val="231F20"/>
          <w:spacing w:val="-7"/>
          <w:sz w:val="17"/>
        </w:rPr>
        <w:t> </w:t>
      </w:r>
      <w:r>
        <w:rPr>
          <w:rFonts w:ascii="Arial" w:hAnsi="Arial"/>
          <w:color w:val="231F20"/>
          <w:spacing w:val="-2"/>
          <w:sz w:val="17"/>
        </w:rPr>
        <w:t>avec</w:t>
      </w:r>
      <w:r>
        <w:rPr>
          <w:rFonts w:ascii="Arial" w:hAnsi="Arial"/>
          <w:color w:val="231F20"/>
          <w:spacing w:val="-7"/>
          <w:sz w:val="17"/>
        </w:rPr>
        <w:t> </w:t>
      </w:r>
      <w:r>
        <w:rPr>
          <w:rFonts w:ascii="Arial" w:hAnsi="Arial"/>
          <w:color w:val="231F20"/>
          <w:spacing w:val="-2"/>
          <w:sz w:val="17"/>
        </w:rPr>
        <w:t>quelqu’un </w:t>
      </w:r>
      <w:r>
        <w:rPr>
          <w:rFonts w:ascii="Arial" w:hAnsi="Arial"/>
          <w:color w:val="231F20"/>
          <w:w w:val="95"/>
          <w:sz w:val="17"/>
        </w:rPr>
        <w:t>qui</w:t>
      </w:r>
      <w:r>
        <w:rPr>
          <w:rFonts w:ascii="Arial" w:hAnsi="Arial"/>
          <w:color w:val="231F20"/>
          <w:spacing w:val="-10"/>
          <w:w w:val="95"/>
          <w:sz w:val="17"/>
        </w:rPr>
        <w:t> </w:t>
      </w:r>
      <w:r>
        <w:rPr>
          <w:rFonts w:ascii="Arial" w:hAnsi="Arial"/>
          <w:color w:val="231F20"/>
          <w:w w:val="95"/>
          <w:sz w:val="17"/>
        </w:rPr>
        <w:t>vous</w:t>
      </w:r>
      <w:r>
        <w:rPr>
          <w:rFonts w:ascii="Arial" w:hAnsi="Arial"/>
          <w:color w:val="231F20"/>
          <w:spacing w:val="-9"/>
          <w:w w:val="95"/>
          <w:sz w:val="17"/>
        </w:rPr>
        <w:t> </w:t>
      </w:r>
      <w:r>
        <w:rPr>
          <w:rFonts w:ascii="Arial" w:hAnsi="Arial"/>
          <w:color w:val="231F20"/>
          <w:w w:val="95"/>
          <w:sz w:val="17"/>
        </w:rPr>
        <w:t>connaît bien. Par exemple</w:t>
      </w:r>
      <w:r>
        <w:rPr>
          <w:rFonts w:ascii="Arial" w:hAnsi="Arial"/>
          <w:color w:val="231F20"/>
          <w:spacing w:val="-10"/>
          <w:w w:val="95"/>
          <w:sz w:val="17"/>
        </w:rPr>
        <w:t> </w:t>
      </w:r>
      <w:r>
        <w:rPr>
          <w:rFonts w:ascii="Arial" w:hAnsi="Arial"/>
          <w:color w:val="231F20"/>
          <w:w w:val="95"/>
          <w:sz w:val="17"/>
        </w:rPr>
        <w:t>: «</w:t>
      </w:r>
      <w:r>
        <w:rPr>
          <w:rFonts w:ascii="Arial" w:hAnsi="Arial"/>
          <w:color w:val="231F20"/>
          <w:spacing w:val="-10"/>
          <w:w w:val="95"/>
          <w:sz w:val="17"/>
        </w:rPr>
        <w:t> </w:t>
      </w:r>
      <w:r>
        <w:rPr>
          <w:rFonts w:ascii="Arial" w:hAnsi="Arial"/>
          <w:i/>
          <w:color w:val="231F20"/>
          <w:w w:val="95"/>
          <w:sz w:val="17"/>
        </w:rPr>
        <w:t>Je n’arrive pas à parler spontané- ment</w:t>
      </w:r>
      <w:r>
        <w:rPr>
          <w:rFonts w:ascii="Arial" w:hAnsi="Arial"/>
          <w:i/>
          <w:color w:val="231F20"/>
          <w:sz w:val="17"/>
        </w:rPr>
        <w:t> </w:t>
      </w:r>
      <w:r>
        <w:rPr>
          <w:rFonts w:ascii="Arial" w:hAnsi="Arial"/>
          <w:i/>
          <w:color w:val="231F20"/>
          <w:w w:val="95"/>
          <w:sz w:val="17"/>
        </w:rPr>
        <w:t>à</w:t>
      </w:r>
      <w:r>
        <w:rPr>
          <w:rFonts w:ascii="Arial" w:hAnsi="Arial"/>
          <w:i/>
          <w:color w:val="231F20"/>
          <w:spacing w:val="1"/>
          <w:sz w:val="17"/>
        </w:rPr>
        <w:t> </w:t>
      </w:r>
      <w:r>
        <w:rPr>
          <w:rFonts w:ascii="Arial" w:hAnsi="Arial"/>
          <w:i/>
          <w:color w:val="231F20"/>
          <w:w w:val="95"/>
          <w:sz w:val="17"/>
        </w:rPr>
        <w:t>mon</w:t>
      </w:r>
      <w:r>
        <w:rPr>
          <w:rFonts w:ascii="Arial" w:hAnsi="Arial"/>
          <w:i/>
          <w:color w:val="231F20"/>
          <w:spacing w:val="1"/>
          <w:sz w:val="17"/>
        </w:rPr>
        <w:t> </w:t>
      </w:r>
      <w:r>
        <w:rPr>
          <w:rFonts w:ascii="Arial" w:hAnsi="Arial"/>
          <w:i/>
          <w:color w:val="231F20"/>
          <w:w w:val="95"/>
          <w:sz w:val="17"/>
        </w:rPr>
        <w:t>chef</w:t>
      </w:r>
      <w:r>
        <w:rPr>
          <w:rFonts w:ascii="Arial" w:hAnsi="Arial"/>
          <w:i/>
          <w:color w:val="231F20"/>
          <w:spacing w:val="1"/>
          <w:sz w:val="17"/>
        </w:rPr>
        <w:t> </w:t>
      </w:r>
      <w:r>
        <w:rPr>
          <w:rFonts w:ascii="Arial" w:hAnsi="Arial"/>
          <w:i/>
          <w:color w:val="231F20"/>
          <w:w w:val="95"/>
          <w:sz w:val="17"/>
        </w:rPr>
        <w:t>de</w:t>
      </w:r>
      <w:r>
        <w:rPr>
          <w:rFonts w:ascii="Arial" w:hAnsi="Arial"/>
          <w:i/>
          <w:color w:val="231F20"/>
          <w:sz w:val="17"/>
        </w:rPr>
        <w:t> </w:t>
      </w:r>
      <w:r>
        <w:rPr>
          <w:rFonts w:ascii="Arial" w:hAnsi="Arial"/>
          <w:i/>
          <w:color w:val="231F20"/>
          <w:w w:val="95"/>
          <w:sz w:val="17"/>
        </w:rPr>
        <w:t>mes</w:t>
      </w:r>
      <w:r>
        <w:rPr>
          <w:rFonts w:ascii="Arial" w:hAnsi="Arial"/>
          <w:i/>
          <w:color w:val="231F20"/>
          <w:spacing w:val="1"/>
          <w:sz w:val="17"/>
        </w:rPr>
        <w:t> </w:t>
      </w:r>
      <w:r>
        <w:rPr>
          <w:rFonts w:ascii="Arial" w:hAnsi="Arial"/>
          <w:i/>
          <w:color w:val="231F20"/>
          <w:w w:val="95"/>
          <w:sz w:val="17"/>
        </w:rPr>
        <w:t>idées.</w:t>
      </w:r>
      <w:r>
        <w:rPr>
          <w:rFonts w:ascii="Arial" w:hAnsi="Arial"/>
          <w:i/>
          <w:color w:val="231F20"/>
          <w:spacing w:val="-27"/>
          <w:w w:val="95"/>
          <w:sz w:val="17"/>
        </w:rPr>
        <w:t> </w:t>
      </w:r>
      <w:r>
        <w:rPr>
          <w:rFonts w:ascii="Arial" w:hAnsi="Arial"/>
          <w:color w:val="231F20"/>
          <w:w w:val="95"/>
          <w:sz w:val="17"/>
        </w:rPr>
        <w:t>»</w:t>
      </w:r>
      <w:r>
        <w:rPr>
          <w:rFonts w:ascii="Arial" w:hAnsi="Arial"/>
          <w:color w:val="231F20"/>
          <w:spacing w:val="1"/>
          <w:sz w:val="17"/>
        </w:rPr>
        <w:t> </w:t>
      </w:r>
      <w:r>
        <w:rPr>
          <w:rFonts w:ascii="Arial" w:hAnsi="Arial"/>
          <w:color w:val="231F20"/>
          <w:w w:val="95"/>
          <w:sz w:val="17"/>
        </w:rPr>
        <w:t>«</w:t>
      </w:r>
      <w:r>
        <w:rPr>
          <w:rFonts w:ascii="Arial" w:hAnsi="Arial"/>
          <w:color w:val="231F20"/>
          <w:spacing w:val="-27"/>
          <w:w w:val="95"/>
          <w:sz w:val="17"/>
        </w:rPr>
        <w:t> </w:t>
      </w:r>
      <w:r>
        <w:rPr>
          <w:rFonts w:ascii="Arial" w:hAnsi="Arial"/>
          <w:i/>
          <w:color w:val="231F20"/>
          <w:w w:val="95"/>
          <w:sz w:val="17"/>
        </w:rPr>
        <w:t>As-tu</w:t>
      </w:r>
      <w:r>
        <w:rPr>
          <w:rFonts w:ascii="Arial" w:hAnsi="Arial"/>
          <w:i/>
          <w:color w:val="231F20"/>
          <w:spacing w:val="1"/>
          <w:sz w:val="17"/>
        </w:rPr>
        <w:t> </w:t>
      </w:r>
      <w:r>
        <w:rPr>
          <w:rFonts w:ascii="Arial" w:hAnsi="Arial"/>
          <w:i/>
          <w:color w:val="231F20"/>
          <w:w w:val="95"/>
          <w:sz w:val="17"/>
        </w:rPr>
        <w:t>déjà</w:t>
      </w:r>
      <w:r>
        <w:rPr>
          <w:rFonts w:ascii="Arial" w:hAnsi="Arial"/>
          <w:i/>
          <w:color w:val="231F20"/>
          <w:sz w:val="17"/>
        </w:rPr>
        <w:t> </w:t>
      </w:r>
      <w:r>
        <w:rPr>
          <w:rFonts w:ascii="Arial" w:hAnsi="Arial"/>
          <w:i/>
          <w:color w:val="231F20"/>
          <w:w w:val="95"/>
          <w:sz w:val="17"/>
        </w:rPr>
        <w:t>eu</w:t>
      </w:r>
      <w:r>
        <w:rPr>
          <w:rFonts w:ascii="Arial" w:hAnsi="Arial"/>
          <w:i/>
          <w:color w:val="231F20"/>
          <w:spacing w:val="1"/>
          <w:sz w:val="17"/>
        </w:rPr>
        <w:t> </w:t>
      </w:r>
      <w:r>
        <w:rPr>
          <w:rFonts w:ascii="Arial" w:hAnsi="Arial"/>
          <w:i/>
          <w:color w:val="231F20"/>
          <w:w w:val="95"/>
          <w:sz w:val="17"/>
        </w:rPr>
        <w:t>l’occasion</w:t>
      </w:r>
      <w:r>
        <w:rPr>
          <w:rFonts w:ascii="Arial" w:hAnsi="Arial"/>
          <w:i/>
          <w:color w:val="231F20"/>
          <w:spacing w:val="1"/>
          <w:sz w:val="17"/>
        </w:rPr>
        <w:t> </w:t>
      </w:r>
      <w:r>
        <w:rPr>
          <w:rFonts w:ascii="Arial" w:hAnsi="Arial"/>
          <w:i/>
          <w:color w:val="231F20"/>
          <w:w w:val="95"/>
          <w:sz w:val="17"/>
        </w:rPr>
        <w:t>de</w:t>
      </w:r>
      <w:r>
        <w:rPr>
          <w:rFonts w:ascii="Arial" w:hAnsi="Arial"/>
          <w:i/>
          <w:color w:val="231F20"/>
          <w:spacing w:val="1"/>
          <w:sz w:val="17"/>
        </w:rPr>
        <w:t> </w:t>
      </w:r>
      <w:r>
        <w:rPr>
          <w:rFonts w:ascii="Arial" w:hAnsi="Arial"/>
          <w:i/>
          <w:color w:val="231F20"/>
          <w:w w:val="95"/>
          <w:sz w:val="17"/>
        </w:rPr>
        <w:t>le</w:t>
      </w:r>
      <w:r>
        <w:rPr>
          <w:rFonts w:ascii="Arial" w:hAnsi="Arial"/>
          <w:i/>
          <w:color w:val="231F20"/>
          <w:spacing w:val="1"/>
          <w:sz w:val="17"/>
        </w:rPr>
        <w:t> </w:t>
      </w:r>
      <w:r>
        <w:rPr>
          <w:rFonts w:ascii="Arial" w:hAnsi="Arial"/>
          <w:i/>
          <w:color w:val="231F20"/>
          <w:w w:val="95"/>
          <w:sz w:val="17"/>
        </w:rPr>
        <w:t>faire?</w:t>
      </w:r>
      <w:r>
        <w:rPr>
          <w:rFonts w:ascii="Arial" w:hAnsi="Arial"/>
          <w:i/>
          <w:color w:val="231F20"/>
          <w:spacing w:val="-28"/>
          <w:w w:val="95"/>
          <w:sz w:val="17"/>
        </w:rPr>
        <w:t> </w:t>
      </w:r>
      <w:r>
        <w:rPr>
          <w:rFonts w:ascii="Arial" w:hAnsi="Arial"/>
          <w:color w:val="231F20"/>
          <w:spacing w:val="-10"/>
          <w:w w:val="95"/>
          <w:sz w:val="17"/>
        </w:rPr>
        <w:t>»</w:t>
      </w:r>
    </w:p>
    <w:p>
      <w:pPr>
        <w:spacing w:line="307" w:lineRule="auto" w:before="0"/>
        <w:ind w:left="1080" w:right="746" w:firstLine="0"/>
        <w:jc w:val="both"/>
        <w:rPr>
          <w:rFonts w:ascii="Arial" w:hAnsi="Arial"/>
          <w:i/>
          <w:sz w:val="17"/>
        </w:rPr>
      </w:pPr>
      <w:r>
        <w:rPr>
          <w:rFonts w:ascii="Arial" w:hAnsi="Arial"/>
          <w:color w:val="231F20"/>
          <w:w w:val="95"/>
          <w:sz w:val="17"/>
        </w:rPr>
        <w:t>«</w:t>
      </w:r>
      <w:r>
        <w:rPr>
          <w:rFonts w:ascii="Arial" w:hAnsi="Arial"/>
          <w:color w:val="231F20"/>
          <w:spacing w:val="-10"/>
          <w:w w:val="95"/>
          <w:sz w:val="17"/>
        </w:rPr>
        <w:t> </w:t>
      </w:r>
      <w:r>
        <w:rPr>
          <w:rFonts w:ascii="Arial" w:hAnsi="Arial"/>
          <w:i/>
          <w:color w:val="231F20"/>
          <w:w w:val="95"/>
          <w:sz w:val="17"/>
        </w:rPr>
        <w:t>Oui.</w:t>
      </w:r>
      <w:r>
        <w:rPr>
          <w:rFonts w:ascii="Arial" w:hAnsi="Arial"/>
          <w:i/>
          <w:color w:val="231F20"/>
          <w:spacing w:val="-9"/>
          <w:w w:val="95"/>
          <w:sz w:val="17"/>
        </w:rPr>
        <w:t> </w:t>
      </w:r>
      <w:r>
        <w:rPr>
          <w:rFonts w:ascii="Arial" w:hAnsi="Arial"/>
          <w:color w:val="231F20"/>
          <w:w w:val="95"/>
          <w:sz w:val="17"/>
        </w:rPr>
        <w:t>»</w:t>
      </w:r>
      <w:r>
        <w:rPr>
          <w:rFonts w:ascii="Arial" w:hAnsi="Arial"/>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i/>
          <w:color w:val="231F20"/>
          <w:w w:val="95"/>
          <w:sz w:val="17"/>
        </w:rPr>
        <w:t>Sur</w:t>
      </w:r>
      <w:r>
        <w:rPr>
          <w:rFonts w:ascii="Arial" w:hAnsi="Arial"/>
          <w:i/>
          <w:color w:val="231F20"/>
          <w:spacing w:val="-10"/>
          <w:w w:val="95"/>
          <w:sz w:val="17"/>
        </w:rPr>
        <w:t> </w:t>
      </w:r>
      <w:r>
        <w:rPr>
          <w:rFonts w:ascii="Arial" w:hAnsi="Arial"/>
          <w:i/>
          <w:color w:val="231F20"/>
          <w:w w:val="95"/>
          <w:sz w:val="17"/>
        </w:rPr>
        <w:t>des</w:t>
      </w:r>
      <w:r>
        <w:rPr>
          <w:rFonts w:ascii="Arial" w:hAnsi="Arial"/>
          <w:i/>
          <w:color w:val="231F20"/>
          <w:spacing w:val="-9"/>
          <w:w w:val="95"/>
          <w:sz w:val="17"/>
        </w:rPr>
        <w:t> </w:t>
      </w:r>
      <w:r>
        <w:rPr>
          <w:rFonts w:ascii="Arial" w:hAnsi="Arial"/>
          <w:i/>
          <w:color w:val="231F20"/>
          <w:w w:val="95"/>
          <w:sz w:val="17"/>
        </w:rPr>
        <w:t>sujets</w:t>
      </w:r>
      <w:r>
        <w:rPr>
          <w:rFonts w:ascii="Arial" w:hAnsi="Arial"/>
          <w:i/>
          <w:color w:val="231F20"/>
          <w:spacing w:val="-10"/>
          <w:w w:val="95"/>
          <w:sz w:val="17"/>
        </w:rPr>
        <w:t> </w:t>
      </w:r>
      <w:r>
        <w:rPr>
          <w:rFonts w:ascii="Arial" w:hAnsi="Arial"/>
          <w:i/>
          <w:color w:val="231F20"/>
          <w:w w:val="95"/>
          <w:sz w:val="17"/>
        </w:rPr>
        <w:t>importants?</w:t>
      </w:r>
      <w:r>
        <w:rPr>
          <w:rFonts w:ascii="Arial" w:hAnsi="Arial"/>
          <w:i/>
          <w:color w:val="231F20"/>
          <w:spacing w:val="-9"/>
          <w:w w:val="95"/>
          <w:sz w:val="17"/>
        </w:rPr>
        <w:t> </w:t>
      </w:r>
      <w:r>
        <w:rPr>
          <w:rFonts w:ascii="Arial" w:hAnsi="Arial"/>
          <w:color w:val="231F20"/>
          <w:w w:val="95"/>
          <w:sz w:val="17"/>
        </w:rPr>
        <w:t>»</w:t>
      </w:r>
      <w:r>
        <w:rPr>
          <w:rFonts w:ascii="Arial" w:hAnsi="Arial"/>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i/>
          <w:color w:val="231F20"/>
          <w:w w:val="95"/>
          <w:sz w:val="17"/>
        </w:rPr>
        <w:t>Oui.</w:t>
      </w:r>
      <w:r>
        <w:rPr>
          <w:rFonts w:ascii="Arial" w:hAnsi="Arial"/>
          <w:i/>
          <w:color w:val="231F20"/>
          <w:spacing w:val="-9"/>
          <w:w w:val="95"/>
          <w:sz w:val="17"/>
        </w:rPr>
        <w:t> </w:t>
      </w:r>
      <w:r>
        <w:rPr>
          <w:rFonts w:ascii="Arial" w:hAnsi="Arial"/>
          <w:color w:val="231F20"/>
          <w:w w:val="95"/>
          <w:sz w:val="17"/>
        </w:rPr>
        <w:t>»</w:t>
      </w:r>
      <w:r>
        <w:rPr>
          <w:rFonts w:ascii="Arial" w:hAnsi="Arial"/>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i/>
          <w:color w:val="231F20"/>
          <w:w w:val="95"/>
          <w:sz w:val="17"/>
        </w:rPr>
        <w:t>Pourquoi</w:t>
      </w:r>
      <w:r>
        <w:rPr>
          <w:rFonts w:ascii="Arial" w:hAnsi="Arial"/>
          <w:i/>
          <w:color w:val="231F20"/>
          <w:spacing w:val="-8"/>
          <w:w w:val="95"/>
          <w:sz w:val="17"/>
        </w:rPr>
        <w:t> </w:t>
      </w:r>
      <w:r>
        <w:rPr>
          <w:rFonts w:ascii="Arial" w:hAnsi="Arial"/>
          <w:i/>
          <w:color w:val="231F20"/>
          <w:w w:val="95"/>
          <w:sz w:val="17"/>
        </w:rPr>
        <w:t>cela</w:t>
      </w:r>
      <w:r>
        <w:rPr>
          <w:rFonts w:ascii="Arial" w:hAnsi="Arial"/>
          <w:i/>
          <w:color w:val="231F20"/>
          <w:spacing w:val="3"/>
          <w:sz w:val="17"/>
        </w:rPr>
        <w:t> </w:t>
      </w:r>
      <w:r>
        <w:rPr>
          <w:rFonts w:ascii="Arial" w:hAnsi="Arial"/>
          <w:i/>
          <w:color w:val="231F20"/>
          <w:w w:val="95"/>
          <w:sz w:val="17"/>
        </w:rPr>
        <w:t>a-t-il</w:t>
      </w:r>
      <w:r>
        <w:rPr>
          <w:rFonts w:ascii="Arial" w:hAnsi="Arial"/>
          <w:i/>
          <w:color w:val="231F20"/>
          <w:spacing w:val="3"/>
          <w:sz w:val="17"/>
        </w:rPr>
        <w:t> </w:t>
      </w:r>
      <w:r>
        <w:rPr>
          <w:rFonts w:ascii="Arial" w:hAnsi="Arial"/>
          <w:i/>
          <w:color w:val="231F20"/>
          <w:w w:val="95"/>
          <w:sz w:val="17"/>
        </w:rPr>
        <w:t>fonc- tionné?</w:t>
      </w:r>
      <w:r>
        <w:rPr>
          <w:rFonts w:ascii="Arial" w:hAnsi="Arial"/>
          <w:i/>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color w:val="231F20"/>
          <w:w w:val="95"/>
          <w:sz w:val="17"/>
        </w:rPr>
        <w:t>«</w:t>
      </w:r>
      <w:r>
        <w:rPr>
          <w:rFonts w:ascii="Arial" w:hAnsi="Arial"/>
          <w:color w:val="231F20"/>
          <w:spacing w:val="-10"/>
          <w:w w:val="95"/>
          <w:sz w:val="17"/>
        </w:rPr>
        <w:t> </w:t>
      </w:r>
      <w:r>
        <w:rPr>
          <w:rFonts w:ascii="Arial" w:hAnsi="Arial"/>
          <w:i/>
          <w:color w:val="231F20"/>
          <w:w w:val="95"/>
          <w:sz w:val="17"/>
        </w:rPr>
        <w:t>J’avais</w:t>
      </w:r>
      <w:r>
        <w:rPr>
          <w:rFonts w:ascii="Arial" w:hAnsi="Arial"/>
          <w:i/>
          <w:color w:val="231F20"/>
          <w:spacing w:val="-9"/>
          <w:w w:val="95"/>
          <w:sz w:val="17"/>
        </w:rPr>
        <w:t> </w:t>
      </w:r>
      <w:r>
        <w:rPr>
          <w:rFonts w:ascii="Arial" w:hAnsi="Arial"/>
          <w:i/>
          <w:color w:val="231F20"/>
          <w:w w:val="95"/>
          <w:sz w:val="17"/>
        </w:rPr>
        <w:t>élaboré un plan d’action sur un projet.</w:t>
      </w:r>
      <w:r>
        <w:rPr>
          <w:rFonts w:ascii="Arial" w:hAnsi="Arial"/>
          <w:i/>
          <w:color w:val="231F20"/>
          <w:spacing w:val="-10"/>
          <w:w w:val="95"/>
          <w:sz w:val="17"/>
        </w:rPr>
        <w:t> </w:t>
      </w:r>
      <w:r>
        <w:rPr>
          <w:rFonts w:ascii="Arial" w:hAnsi="Arial"/>
          <w:color w:val="231F20"/>
          <w:w w:val="95"/>
          <w:sz w:val="17"/>
        </w:rPr>
        <w:t>» «</w:t>
      </w:r>
      <w:r>
        <w:rPr>
          <w:rFonts w:ascii="Arial" w:hAnsi="Arial"/>
          <w:color w:val="231F20"/>
          <w:spacing w:val="-10"/>
          <w:w w:val="95"/>
          <w:sz w:val="17"/>
        </w:rPr>
        <w:t> </w:t>
      </w:r>
      <w:r>
        <w:rPr>
          <w:rFonts w:ascii="Arial" w:hAnsi="Arial"/>
          <w:i/>
          <w:color w:val="231F20"/>
          <w:w w:val="95"/>
          <w:sz w:val="17"/>
        </w:rPr>
        <w:t>Qu’en a-t-il pensé</w:t>
      </w:r>
      <w:r>
        <w:rPr>
          <w:rFonts w:ascii="Arial" w:hAnsi="Arial"/>
          <w:i/>
          <w:color w:val="231F20"/>
          <w:spacing w:val="-10"/>
          <w:w w:val="95"/>
          <w:sz w:val="17"/>
        </w:rPr>
        <w:t> </w:t>
      </w:r>
      <w:r>
        <w:rPr>
          <w:rFonts w:ascii="Arial" w:hAnsi="Arial"/>
          <w:i/>
          <w:color w:val="231F20"/>
          <w:w w:val="95"/>
          <w:sz w:val="17"/>
        </w:rPr>
        <w:t>?</w:t>
      </w:r>
      <w:r>
        <w:rPr>
          <w:rFonts w:ascii="Arial" w:hAnsi="Arial"/>
          <w:i/>
          <w:color w:val="231F20"/>
          <w:spacing w:val="-9"/>
          <w:w w:val="95"/>
          <w:sz w:val="17"/>
        </w:rPr>
        <w:t> </w:t>
      </w:r>
      <w:r>
        <w:rPr>
          <w:rFonts w:ascii="Arial" w:hAnsi="Arial"/>
          <w:color w:val="231F20"/>
          <w:w w:val="95"/>
          <w:sz w:val="17"/>
        </w:rPr>
        <w:t>»</w:t>
      </w:r>
      <w:r>
        <w:rPr>
          <w:rFonts w:ascii="Arial" w:hAnsi="Arial"/>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i/>
          <w:color w:val="231F20"/>
          <w:w w:val="95"/>
          <w:sz w:val="17"/>
        </w:rPr>
        <w:t>Il</w:t>
      </w:r>
      <w:r>
        <w:rPr>
          <w:rFonts w:ascii="Arial" w:hAnsi="Arial"/>
          <w:i/>
          <w:color w:val="231F20"/>
          <w:spacing w:val="-10"/>
          <w:w w:val="95"/>
          <w:sz w:val="17"/>
        </w:rPr>
        <w:t> </w:t>
      </w:r>
      <w:r>
        <w:rPr>
          <w:rFonts w:ascii="Arial" w:hAnsi="Arial"/>
          <w:i/>
          <w:color w:val="231F20"/>
          <w:w w:val="95"/>
          <w:sz w:val="17"/>
        </w:rPr>
        <w:t>m’a</w:t>
      </w:r>
      <w:r>
        <w:rPr>
          <w:rFonts w:ascii="Arial" w:hAnsi="Arial"/>
          <w:i/>
          <w:color w:val="231F20"/>
          <w:spacing w:val="-9"/>
          <w:w w:val="95"/>
          <w:sz w:val="17"/>
        </w:rPr>
        <w:t> </w:t>
      </w:r>
      <w:r>
        <w:rPr>
          <w:rFonts w:ascii="Arial" w:hAnsi="Arial"/>
          <w:i/>
          <w:color w:val="231F20"/>
          <w:w w:val="95"/>
          <w:sz w:val="17"/>
        </w:rPr>
        <w:t>félicité</w:t>
      </w:r>
      <w:r>
        <w:rPr>
          <w:rFonts w:ascii="Arial" w:hAnsi="Arial"/>
          <w:i/>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color w:val="231F20"/>
          <w:w w:val="95"/>
          <w:sz w:val="17"/>
        </w:rPr>
        <w:t>C’est</w:t>
      </w:r>
      <w:r>
        <w:rPr>
          <w:rFonts w:ascii="Arial" w:hAnsi="Arial"/>
          <w:color w:val="231F20"/>
          <w:spacing w:val="-10"/>
          <w:w w:val="95"/>
          <w:sz w:val="17"/>
        </w:rPr>
        <w:t> </w:t>
      </w:r>
      <w:r>
        <w:rPr>
          <w:rFonts w:ascii="Arial" w:hAnsi="Arial"/>
          <w:color w:val="231F20"/>
          <w:w w:val="95"/>
          <w:sz w:val="17"/>
        </w:rPr>
        <w:t>efficace</w:t>
      </w:r>
      <w:r>
        <w:rPr>
          <w:rFonts w:ascii="Arial" w:hAnsi="Arial"/>
          <w:color w:val="231F20"/>
          <w:spacing w:val="-9"/>
          <w:w w:val="95"/>
          <w:sz w:val="17"/>
        </w:rPr>
        <w:t> </w:t>
      </w:r>
      <w:r>
        <w:rPr>
          <w:rFonts w:ascii="Arial" w:hAnsi="Arial"/>
          <w:color w:val="231F20"/>
          <w:w w:val="95"/>
          <w:sz w:val="17"/>
        </w:rPr>
        <w:t>pour</w:t>
      </w:r>
      <w:r>
        <w:rPr>
          <w:rFonts w:ascii="Arial" w:hAnsi="Arial"/>
          <w:color w:val="231F20"/>
          <w:spacing w:val="-9"/>
          <w:w w:val="95"/>
          <w:sz w:val="17"/>
        </w:rPr>
        <w:t> </w:t>
      </w:r>
      <w:r>
        <w:rPr>
          <w:rFonts w:ascii="Arial" w:hAnsi="Arial"/>
          <w:color w:val="231F20"/>
          <w:w w:val="95"/>
          <w:sz w:val="17"/>
        </w:rPr>
        <w:t>se</w:t>
      </w:r>
      <w:r>
        <w:rPr>
          <w:rFonts w:ascii="Arial" w:hAnsi="Arial"/>
          <w:color w:val="231F20"/>
          <w:spacing w:val="-10"/>
          <w:w w:val="95"/>
          <w:sz w:val="17"/>
        </w:rPr>
        <w:t> </w:t>
      </w:r>
      <w:r>
        <w:rPr>
          <w:rFonts w:ascii="Arial" w:hAnsi="Arial"/>
          <w:color w:val="231F20"/>
          <w:w w:val="95"/>
          <w:sz w:val="17"/>
        </w:rPr>
        <w:t>rassurer.</w:t>
      </w:r>
      <w:r>
        <w:rPr>
          <w:rFonts w:ascii="Arial" w:hAnsi="Arial"/>
          <w:color w:val="231F20"/>
          <w:spacing w:val="-4"/>
          <w:w w:val="95"/>
          <w:sz w:val="17"/>
        </w:rPr>
        <w:t> </w:t>
      </w:r>
      <w:r>
        <w:rPr>
          <w:rFonts w:ascii="Arial" w:hAnsi="Arial"/>
          <w:color w:val="231F20"/>
          <w:w w:val="95"/>
          <w:sz w:val="17"/>
        </w:rPr>
        <w:t>Autre</w:t>
      </w:r>
      <w:r>
        <w:rPr>
          <w:rFonts w:ascii="Arial" w:hAnsi="Arial"/>
          <w:color w:val="231F20"/>
          <w:spacing w:val="-1"/>
          <w:w w:val="95"/>
          <w:sz w:val="17"/>
        </w:rPr>
        <w:t> </w:t>
      </w:r>
      <w:r>
        <w:rPr>
          <w:rFonts w:ascii="Arial" w:hAnsi="Arial"/>
          <w:color w:val="231F20"/>
          <w:w w:val="95"/>
          <w:sz w:val="17"/>
        </w:rPr>
        <w:t>parade </w:t>
      </w:r>
      <w:r>
        <w:rPr>
          <w:rFonts w:ascii="Arial" w:hAnsi="Arial"/>
          <w:color w:val="231F20"/>
          <w:sz w:val="17"/>
        </w:rPr>
        <w:t>possible,</w:t>
      </w:r>
      <w:r>
        <w:rPr>
          <w:rFonts w:ascii="Arial" w:hAnsi="Arial"/>
          <w:color w:val="231F20"/>
          <w:spacing w:val="-12"/>
          <w:sz w:val="17"/>
        </w:rPr>
        <w:t> </w:t>
      </w:r>
      <w:r>
        <w:rPr>
          <w:rFonts w:ascii="Arial" w:hAnsi="Arial"/>
          <w:color w:val="231F20"/>
          <w:sz w:val="17"/>
        </w:rPr>
        <w:t>plus</w:t>
      </w:r>
      <w:r>
        <w:rPr>
          <w:rFonts w:ascii="Arial" w:hAnsi="Arial"/>
          <w:color w:val="231F20"/>
          <w:spacing w:val="-7"/>
          <w:sz w:val="17"/>
        </w:rPr>
        <w:t> </w:t>
      </w:r>
      <w:r>
        <w:rPr>
          <w:rFonts w:ascii="Arial" w:hAnsi="Arial"/>
          <w:color w:val="231F20"/>
          <w:sz w:val="17"/>
        </w:rPr>
        <w:t>utilisée</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l’étranger</w:t>
      </w:r>
      <w:r>
        <w:rPr>
          <w:rFonts w:ascii="Arial" w:hAnsi="Arial"/>
          <w:color w:val="231F20"/>
          <w:spacing w:val="-1"/>
          <w:sz w:val="17"/>
        </w:rPr>
        <w:t> </w:t>
      </w:r>
      <w:r>
        <w:rPr>
          <w:rFonts w:ascii="Arial" w:hAnsi="Arial"/>
          <w:color w:val="231F20"/>
          <w:sz w:val="17"/>
        </w:rPr>
        <w:t>qu’en</w:t>
      </w:r>
      <w:r>
        <w:rPr>
          <w:rFonts w:ascii="Arial" w:hAnsi="Arial"/>
          <w:color w:val="231F20"/>
          <w:spacing w:val="-1"/>
          <w:sz w:val="17"/>
        </w:rPr>
        <w:t> </w:t>
      </w:r>
      <w:r>
        <w:rPr>
          <w:rFonts w:ascii="Arial" w:hAnsi="Arial"/>
          <w:color w:val="231F20"/>
          <w:sz w:val="17"/>
        </w:rPr>
        <w:t>France</w:t>
      </w:r>
      <w:r>
        <w:rPr>
          <w:rFonts w:ascii="Arial" w:hAnsi="Arial"/>
          <w:color w:val="231F20"/>
          <w:spacing w:val="-12"/>
          <w:sz w:val="17"/>
        </w:rPr>
        <w:t> </w:t>
      </w:r>
      <w:r>
        <w:rPr>
          <w:rFonts w:ascii="Arial" w:hAnsi="Arial"/>
          <w:color w:val="231F20"/>
          <w:sz w:val="17"/>
        </w:rPr>
        <w:t>: pratiquer</w:t>
      </w:r>
      <w:r>
        <w:rPr>
          <w:rFonts w:ascii="Arial" w:hAnsi="Arial"/>
          <w:color w:val="231F20"/>
          <w:spacing w:val="-1"/>
          <w:sz w:val="17"/>
        </w:rPr>
        <w:t> </w:t>
      </w:r>
      <w:r>
        <w:rPr>
          <w:rFonts w:ascii="Arial" w:hAnsi="Arial"/>
          <w:color w:val="231F20"/>
          <w:sz w:val="17"/>
        </w:rPr>
        <w:t>la</w:t>
      </w:r>
      <w:r>
        <w:rPr>
          <w:rFonts w:ascii="Arial" w:hAnsi="Arial"/>
          <w:color w:val="231F20"/>
          <w:spacing w:val="-1"/>
          <w:sz w:val="17"/>
        </w:rPr>
        <w:t> </w:t>
      </w:r>
      <w:r>
        <w:rPr>
          <w:rFonts w:ascii="Arial" w:hAnsi="Arial"/>
          <w:color w:val="231F20"/>
          <w:sz w:val="17"/>
        </w:rPr>
        <w:t>méthode </w:t>
      </w:r>
      <w:r>
        <w:rPr>
          <w:rFonts w:ascii="Arial" w:hAnsi="Arial"/>
          <w:color w:val="231F20"/>
          <w:w w:val="95"/>
          <w:sz w:val="17"/>
        </w:rPr>
        <w:t>Coué,</w:t>
      </w:r>
      <w:r>
        <w:rPr>
          <w:rFonts w:ascii="Arial" w:hAnsi="Arial"/>
          <w:color w:val="231F20"/>
          <w:spacing w:val="-3"/>
          <w:sz w:val="17"/>
        </w:rPr>
        <w:t> </w:t>
      </w:r>
      <w:r>
        <w:rPr>
          <w:rFonts w:ascii="Arial" w:hAnsi="Arial"/>
          <w:color w:val="231F20"/>
          <w:w w:val="95"/>
          <w:sz w:val="17"/>
        </w:rPr>
        <w:t>par</w:t>
      </w:r>
      <w:r>
        <w:rPr>
          <w:rFonts w:ascii="Arial" w:hAnsi="Arial"/>
          <w:color w:val="231F20"/>
          <w:spacing w:val="-2"/>
          <w:sz w:val="17"/>
        </w:rPr>
        <w:t> </w:t>
      </w:r>
      <w:r>
        <w:rPr>
          <w:rFonts w:ascii="Arial" w:hAnsi="Arial"/>
          <w:color w:val="231F20"/>
          <w:w w:val="95"/>
          <w:sz w:val="17"/>
        </w:rPr>
        <w:t>le</w:t>
      </w:r>
      <w:r>
        <w:rPr>
          <w:rFonts w:ascii="Arial" w:hAnsi="Arial"/>
          <w:color w:val="231F20"/>
          <w:spacing w:val="-2"/>
          <w:sz w:val="17"/>
        </w:rPr>
        <w:t> </w:t>
      </w:r>
      <w:r>
        <w:rPr>
          <w:rFonts w:ascii="Arial" w:hAnsi="Arial"/>
          <w:color w:val="231F20"/>
          <w:w w:val="95"/>
          <w:sz w:val="17"/>
        </w:rPr>
        <w:t>biais</w:t>
      </w:r>
      <w:r>
        <w:rPr>
          <w:rFonts w:ascii="Arial" w:hAnsi="Arial"/>
          <w:color w:val="231F20"/>
          <w:spacing w:val="-2"/>
          <w:sz w:val="17"/>
        </w:rPr>
        <w:t> </w:t>
      </w:r>
      <w:r>
        <w:rPr>
          <w:rFonts w:ascii="Arial" w:hAnsi="Arial"/>
          <w:color w:val="231F20"/>
          <w:w w:val="95"/>
          <w:sz w:val="17"/>
        </w:rPr>
        <w:t>d’affirmations</w:t>
      </w:r>
      <w:r>
        <w:rPr>
          <w:rFonts w:ascii="Arial" w:hAnsi="Arial"/>
          <w:color w:val="231F20"/>
          <w:spacing w:val="-2"/>
          <w:sz w:val="17"/>
        </w:rPr>
        <w:t> </w:t>
      </w:r>
      <w:r>
        <w:rPr>
          <w:rFonts w:ascii="Arial" w:hAnsi="Arial"/>
          <w:color w:val="231F20"/>
          <w:w w:val="95"/>
          <w:sz w:val="17"/>
        </w:rPr>
        <w:t>positives.</w:t>
      </w:r>
      <w:r>
        <w:rPr>
          <w:rFonts w:ascii="Arial" w:hAnsi="Arial"/>
          <w:color w:val="231F20"/>
          <w:spacing w:val="-3"/>
          <w:sz w:val="17"/>
        </w:rPr>
        <w:t> </w:t>
      </w:r>
      <w:r>
        <w:rPr>
          <w:rFonts w:ascii="Arial" w:hAnsi="Arial"/>
          <w:color w:val="231F20"/>
          <w:w w:val="95"/>
          <w:sz w:val="17"/>
        </w:rPr>
        <w:t>«</w:t>
      </w:r>
      <w:r>
        <w:rPr>
          <w:rFonts w:ascii="Arial" w:hAnsi="Arial"/>
          <w:color w:val="231F20"/>
          <w:spacing w:val="-29"/>
          <w:w w:val="95"/>
          <w:sz w:val="17"/>
        </w:rPr>
        <w:t> </w:t>
      </w:r>
      <w:r>
        <w:rPr>
          <w:rFonts w:ascii="Arial" w:hAnsi="Arial"/>
          <w:i/>
          <w:color w:val="231F20"/>
          <w:w w:val="95"/>
          <w:sz w:val="17"/>
        </w:rPr>
        <w:t>Plus</w:t>
      </w:r>
      <w:r>
        <w:rPr>
          <w:rFonts w:ascii="Arial" w:hAnsi="Arial"/>
          <w:i/>
          <w:color w:val="231F20"/>
          <w:spacing w:val="-2"/>
          <w:sz w:val="17"/>
        </w:rPr>
        <w:t> </w:t>
      </w:r>
      <w:r>
        <w:rPr>
          <w:rFonts w:ascii="Arial" w:hAnsi="Arial"/>
          <w:i/>
          <w:color w:val="231F20"/>
          <w:w w:val="95"/>
          <w:sz w:val="17"/>
        </w:rPr>
        <w:t>celles-ci</w:t>
      </w:r>
      <w:r>
        <w:rPr>
          <w:rFonts w:ascii="Arial" w:hAnsi="Arial"/>
          <w:i/>
          <w:color w:val="231F20"/>
          <w:spacing w:val="-2"/>
          <w:sz w:val="17"/>
        </w:rPr>
        <w:t> </w:t>
      </w:r>
      <w:r>
        <w:rPr>
          <w:rFonts w:ascii="Arial" w:hAnsi="Arial"/>
          <w:i/>
          <w:color w:val="231F20"/>
          <w:w w:val="95"/>
          <w:sz w:val="17"/>
        </w:rPr>
        <w:t>seront</w:t>
      </w:r>
      <w:r>
        <w:rPr>
          <w:rFonts w:ascii="Arial" w:hAnsi="Arial"/>
          <w:i/>
          <w:color w:val="231F20"/>
          <w:spacing w:val="-2"/>
          <w:sz w:val="17"/>
        </w:rPr>
        <w:t> </w:t>
      </w:r>
      <w:r>
        <w:rPr>
          <w:rFonts w:ascii="Arial" w:hAnsi="Arial"/>
          <w:i/>
          <w:color w:val="231F20"/>
          <w:spacing w:val="-2"/>
          <w:w w:val="95"/>
          <w:sz w:val="17"/>
        </w:rPr>
        <w:t>courtes,</w:t>
      </w:r>
    </w:p>
    <w:p>
      <w:pPr>
        <w:spacing w:after="0" w:line="307" w:lineRule="auto"/>
        <w:jc w:val="both"/>
        <w:rPr>
          <w:rFonts w:ascii="Arial" w:hAnsi="Arial"/>
          <w:sz w:val="17"/>
        </w:rPr>
        <w:sectPr>
          <w:footerReference w:type="default" r:id="rId265"/>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spacing w:before="5"/>
        <w:rPr>
          <w:rFonts w:ascii="Arial"/>
          <w:sz w:val="18"/>
        </w:rPr>
      </w:pPr>
    </w:p>
    <w:p>
      <w:pPr>
        <w:spacing w:line="307" w:lineRule="auto" w:before="139"/>
        <w:ind w:left="1470" w:right="355" w:firstLine="0"/>
        <w:jc w:val="both"/>
        <w:rPr>
          <w:rFonts w:ascii="Arial" w:hAnsi="Arial"/>
          <w:sz w:val="17"/>
        </w:rPr>
      </w:pPr>
      <w:r>
        <w:rPr/>
        <w:pict>
          <v:shape style="position:absolute;margin-left:82.000008pt;margin-top:-4.077127pt;width:287.5pt;height:531pt;mso-position-horizontal-relative:page;mso-position-vertical-relative:paragraph;z-index:-20922880" id="docshape971" coordorigin="1640,-82" coordsize="5750,10620" path="m7390,-82l1640,-82,1640,1923,1640,2048,1640,10538,7390,10538,7390,1923,7390,-82xe" filled="true" fillcolor="#e2e3e4" stroked="false">
            <v:path arrowok="t"/>
            <v:fill type="solid"/>
            <w10:wrap type="none"/>
          </v:shape>
        </w:pict>
      </w:r>
      <w:r>
        <w:rPr>
          <w:rFonts w:ascii="Arial" w:hAnsi="Arial"/>
          <w:i/>
          <w:color w:val="231F20"/>
          <w:sz w:val="17"/>
        </w:rPr>
        <w:t>spécifiques et formulées au présent, mieux elles neutraliseront vos croyances limitantes</w:t>
      </w:r>
      <w:r>
        <w:rPr>
          <w:rFonts w:ascii="Arial" w:hAnsi="Arial"/>
          <w:i/>
          <w:color w:val="231F20"/>
          <w:spacing w:val="-12"/>
          <w:sz w:val="17"/>
        </w:rPr>
        <w:t> </w:t>
      </w:r>
      <w:r>
        <w:rPr>
          <w:rFonts w:ascii="Arial" w:hAnsi="Arial"/>
          <w:color w:val="231F20"/>
          <w:sz w:val="17"/>
        </w:rPr>
        <w:t>», expliquent Rosette Poletti et Barbara Dobbs, </w:t>
      </w:r>
      <w:r>
        <w:rPr>
          <w:rFonts w:ascii="Arial" w:hAnsi="Arial"/>
          <w:color w:val="231F20"/>
          <w:w w:val="95"/>
          <w:sz w:val="17"/>
        </w:rPr>
        <w:t>des professionnelles de santé, dans</w:t>
      </w:r>
      <w:r>
        <w:rPr>
          <w:rFonts w:ascii="Arial" w:hAnsi="Arial"/>
          <w:color w:val="231F20"/>
          <w:spacing w:val="-1"/>
          <w:w w:val="95"/>
          <w:sz w:val="17"/>
        </w:rPr>
        <w:t> </w:t>
      </w:r>
      <w:r>
        <w:rPr>
          <w:rFonts w:ascii="Arial" w:hAnsi="Arial"/>
          <w:i/>
          <w:color w:val="231F20"/>
          <w:w w:val="95"/>
          <w:sz w:val="17"/>
        </w:rPr>
        <w:t>L’estime de soi </w:t>
      </w:r>
      <w:r>
        <w:rPr>
          <w:rFonts w:ascii="Arial" w:hAnsi="Arial"/>
          <w:color w:val="231F20"/>
          <w:w w:val="95"/>
          <w:sz w:val="17"/>
        </w:rPr>
        <w:t>(Éditions Jouvence). </w:t>
      </w:r>
      <w:r>
        <w:rPr>
          <w:rFonts w:ascii="Arial" w:hAnsi="Arial"/>
          <w:color w:val="231F20"/>
          <w:sz w:val="17"/>
        </w:rPr>
        <w:t>Depuis sa prise de poste en tant que manager, Céline Chaubard a adopté</w:t>
      </w:r>
      <w:r>
        <w:rPr>
          <w:rFonts w:ascii="Arial" w:hAnsi="Arial"/>
          <w:color w:val="231F20"/>
          <w:spacing w:val="-12"/>
          <w:sz w:val="17"/>
        </w:rPr>
        <w:t> </w:t>
      </w:r>
      <w:r>
        <w:rPr>
          <w:rFonts w:ascii="Arial" w:hAnsi="Arial"/>
          <w:color w:val="231F20"/>
          <w:sz w:val="17"/>
        </w:rPr>
        <w:t>une</w:t>
      </w:r>
      <w:r>
        <w:rPr>
          <w:rFonts w:ascii="Arial" w:hAnsi="Arial"/>
          <w:color w:val="231F20"/>
          <w:spacing w:val="-12"/>
          <w:sz w:val="17"/>
        </w:rPr>
        <w:t> </w:t>
      </w:r>
      <w:r>
        <w:rPr>
          <w:rFonts w:ascii="Arial" w:hAnsi="Arial"/>
          <w:color w:val="231F20"/>
          <w:sz w:val="17"/>
        </w:rPr>
        <w:t>autre</w:t>
      </w:r>
      <w:r>
        <w:rPr>
          <w:rFonts w:ascii="Arial" w:hAnsi="Arial"/>
          <w:color w:val="231F20"/>
          <w:spacing w:val="-12"/>
          <w:sz w:val="17"/>
        </w:rPr>
        <w:t> </w:t>
      </w:r>
      <w:r>
        <w:rPr>
          <w:rFonts w:ascii="Arial" w:hAnsi="Arial"/>
          <w:color w:val="231F20"/>
          <w:sz w:val="17"/>
        </w:rPr>
        <w:t>technique.</w:t>
      </w:r>
      <w:r>
        <w:rPr>
          <w:rFonts w:ascii="Arial" w:hAnsi="Arial"/>
          <w:color w:val="231F20"/>
          <w:spacing w:val="-12"/>
          <w:sz w:val="17"/>
        </w:rPr>
        <w:t> </w:t>
      </w:r>
      <w:r>
        <w:rPr>
          <w:rFonts w:ascii="Arial" w:hAnsi="Arial"/>
          <w:color w:val="231F20"/>
          <w:sz w:val="17"/>
        </w:rPr>
        <w:t>Chaque</w:t>
      </w:r>
      <w:r>
        <w:rPr>
          <w:rFonts w:ascii="Arial" w:hAnsi="Arial"/>
          <w:color w:val="231F20"/>
          <w:spacing w:val="-12"/>
          <w:sz w:val="17"/>
        </w:rPr>
        <w:t> </w:t>
      </w:r>
      <w:r>
        <w:rPr>
          <w:rFonts w:ascii="Arial" w:hAnsi="Arial"/>
          <w:color w:val="231F20"/>
          <w:sz w:val="17"/>
        </w:rPr>
        <w:t>soir,</w:t>
      </w:r>
      <w:r>
        <w:rPr>
          <w:rFonts w:ascii="Arial" w:hAnsi="Arial"/>
          <w:color w:val="231F20"/>
          <w:spacing w:val="-11"/>
          <w:sz w:val="17"/>
        </w:rPr>
        <w:t> </w:t>
      </w:r>
      <w:r>
        <w:rPr>
          <w:rFonts w:ascii="Arial" w:hAnsi="Arial"/>
          <w:color w:val="231F20"/>
          <w:sz w:val="17"/>
        </w:rPr>
        <w:t>elle</w:t>
      </w:r>
      <w:r>
        <w:rPr>
          <w:rFonts w:ascii="Arial" w:hAnsi="Arial"/>
          <w:color w:val="231F20"/>
          <w:spacing w:val="-12"/>
          <w:sz w:val="17"/>
        </w:rPr>
        <w:t> </w:t>
      </w:r>
      <w:r>
        <w:rPr>
          <w:rFonts w:ascii="Arial" w:hAnsi="Arial"/>
          <w:color w:val="231F20"/>
          <w:sz w:val="17"/>
        </w:rPr>
        <w:t>liste</w:t>
      </w:r>
      <w:r>
        <w:rPr>
          <w:rFonts w:ascii="Arial" w:hAnsi="Arial"/>
          <w:color w:val="231F20"/>
          <w:spacing w:val="-12"/>
          <w:sz w:val="17"/>
        </w:rPr>
        <w:t> </w:t>
      </w:r>
      <w:r>
        <w:rPr>
          <w:rFonts w:ascii="Arial" w:hAnsi="Arial"/>
          <w:color w:val="231F20"/>
          <w:sz w:val="17"/>
        </w:rPr>
        <w:t>ce</w:t>
      </w:r>
      <w:r>
        <w:rPr>
          <w:rFonts w:ascii="Arial" w:hAnsi="Arial"/>
          <w:color w:val="231F20"/>
          <w:spacing w:val="-12"/>
          <w:sz w:val="17"/>
        </w:rPr>
        <w:t> </w:t>
      </w:r>
      <w:r>
        <w:rPr>
          <w:rFonts w:ascii="Arial" w:hAnsi="Arial"/>
          <w:color w:val="231F20"/>
          <w:sz w:val="17"/>
        </w:rPr>
        <w:t>qu’elle</w:t>
      </w:r>
      <w:r>
        <w:rPr>
          <w:rFonts w:ascii="Arial" w:hAnsi="Arial"/>
          <w:color w:val="231F20"/>
          <w:spacing w:val="-12"/>
          <w:sz w:val="17"/>
        </w:rPr>
        <w:t> </w:t>
      </w:r>
      <w:r>
        <w:rPr>
          <w:rFonts w:ascii="Arial" w:hAnsi="Arial"/>
          <w:color w:val="231F20"/>
          <w:sz w:val="17"/>
        </w:rPr>
        <w:t>a</w:t>
      </w:r>
      <w:r>
        <w:rPr>
          <w:rFonts w:ascii="Arial" w:hAnsi="Arial"/>
          <w:color w:val="231F20"/>
          <w:spacing w:val="-11"/>
          <w:sz w:val="17"/>
        </w:rPr>
        <w:t> </w:t>
      </w:r>
      <w:r>
        <w:rPr>
          <w:rFonts w:ascii="Arial" w:hAnsi="Arial"/>
          <w:color w:val="231F20"/>
          <w:sz w:val="17"/>
        </w:rPr>
        <w:t>effectué de positif dans la journée et les résultats qu’elle compte obtenir le lendemain. «</w:t>
      </w:r>
      <w:r>
        <w:rPr>
          <w:rFonts w:ascii="Arial" w:hAnsi="Arial"/>
          <w:color w:val="231F20"/>
          <w:spacing w:val="-24"/>
          <w:sz w:val="17"/>
        </w:rPr>
        <w:t> </w:t>
      </w:r>
      <w:r>
        <w:rPr>
          <w:rFonts w:ascii="Arial" w:hAnsi="Arial"/>
          <w:i/>
          <w:color w:val="231F20"/>
          <w:sz w:val="17"/>
        </w:rPr>
        <w:t>Imparable, dit-elle, pour garder un mental d’acier.</w:t>
      </w:r>
      <w:r>
        <w:rPr>
          <w:rFonts w:ascii="Arial" w:hAnsi="Arial"/>
          <w:i/>
          <w:color w:val="231F20"/>
          <w:spacing w:val="-24"/>
          <w:sz w:val="17"/>
        </w:rPr>
        <w:t> </w:t>
      </w:r>
      <w:r>
        <w:rPr>
          <w:rFonts w:ascii="Arial" w:hAnsi="Arial"/>
          <w:color w:val="231F20"/>
          <w:sz w:val="17"/>
        </w:rPr>
        <w:t>»</w:t>
      </w:r>
    </w:p>
    <w:p>
      <w:pPr>
        <w:pStyle w:val="BodyText"/>
        <w:spacing w:before="8"/>
        <w:rPr>
          <w:rFonts w:ascii="Arial"/>
          <w:sz w:val="21"/>
        </w:rPr>
      </w:pPr>
    </w:p>
    <w:p>
      <w:pPr>
        <w:pStyle w:val="Heading6"/>
        <w:numPr>
          <w:ilvl w:val="1"/>
          <w:numId w:val="70"/>
        </w:numPr>
        <w:tabs>
          <w:tab w:pos="1646" w:val="left" w:leader="none"/>
        </w:tabs>
        <w:spacing w:line="240" w:lineRule="auto" w:before="0" w:after="0"/>
        <w:ind w:left="1645" w:right="0" w:hanging="176"/>
        <w:jc w:val="left"/>
      </w:pPr>
      <w:r>
        <w:rPr>
          <w:color w:val="231F20"/>
          <w:w w:val="95"/>
        </w:rPr>
        <w:t>Donnez-vous</w:t>
      </w:r>
      <w:r>
        <w:rPr>
          <w:color w:val="231F20"/>
          <w:spacing w:val="-9"/>
          <w:w w:val="95"/>
        </w:rPr>
        <w:t> </w:t>
      </w:r>
      <w:r>
        <w:rPr>
          <w:color w:val="231F20"/>
          <w:w w:val="95"/>
        </w:rPr>
        <w:t>le</w:t>
      </w:r>
      <w:r>
        <w:rPr>
          <w:color w:val="231F20"/>
          <w:spacing w:val="-9"/>
          <w:w w:val="95"/>
        </w:rPr>
        <w:t> </w:t>
      </w:r>
      <w:r>
        <w:rPr>
          <w:color w:val="231F20"/>
          <w:w w:val="95"/>
        </w:rPr>
        <w:t>droit</w:t>
      </w:r>
      <w:r>
        <w:rPr>
          <w:color w:val="231F20"/>
          <w:spacing w:val="-8"/>
          <w:w w:val="95"/>
        </w:rPr>
        <w:t> </w:t>
      </w:r>
      <w:r>
        <w:rPr>
          <w:color w:val="231F20"/>
          <w:w w:val="95"/>
        </w:rPr>
        <w:t>d’échouer</w:t>
      </w:r>
      <w:r>
        <w:rPr>
          <w:color w:val="231F20"/>
          <w:spacing w:val="-9"/>
          <w:w w:val="95"/>
        </w:rPr>
        <w:t> </w:t>
      </w:r>
      <w:r>
        <w:rPr>
          <w:color w:val="231F20"/>
          <w:w w:val="95"/>
        </w:rPr>
        <w:t>pour</w:t>
      </w:r>
      <w:r>
        <w:rPr>
          <w:color w:val="231F20"/>
          <w:spacing w:val="-9"/>
          <w:w w:val="95"/>
        </w:rPr>
        <w:t> </w:t>
      </w:r>
      <w:r>
        <w:rPr>
          <w:color w:val="231F20"/>
          <w:w w:val="95"/>
        </w:rPr>
        <w:t>ne</w:t>
      </w:r>
      <w:r>
        <w:rPr>
          <w:color w:val="231F20"/>
          <w:spacing w:val="-8"/>
          <w:w w:val="95"/>
        </w:rPr>
        <w:t> </w:t>
      </w:r>
      <w:r>
        <w:rPr>
          <w:color w:val="231F20"/>
          <w:w w:val="95"/>
        </w:rPr>
        <w:t>plus</w:t>
      </w:r>
      <w:r>
        <w:rPr>
          <w:color w:val="231F20"/>
          <w:spacing w:val="-9"/>
          <w:w w:val="95"/>
        </w:rPr>
        <w:t> </w:t>
      </w:r>
      <w:r>
        <w:rPr>
          <w:color w:val="231F20"/>
          <w:w w:val="95"/>
        </w:rPr>
        <w:t>craindre</w:t>
      </w:r>
      <w:r>
        <w:rPr>
          <w:color w:val="231F20"/>
          <w:spacing w:val="-9"/>
          <w:w w:val="95"/>
        </w:rPr>
        <w:t> </w:t>
      </w:r>
      <w:r>
        <w:rPr>
          <w:color w:val="231F20"/>
          <w:w w:val="95"/>
        </w:rPr>
        <w:t>la</w:t>
      </w:r>
      <w:r>
        <w:rPr>
          <w:color w:val="231F20"/>
          <w:spacing w:val="-8"/>
          <w:w w:val="95"/>
        </w:rPr>
        <w:t> </w:t>
      </w:r>
      <w:r>
        <w:rPr>
          <w:color w:val="231F20"/>
          <w:spacing w:val="-4"/>
          <w:w w:val="95"/>
        </w:rPr>
        <w:t>chute</w:t>
      </w:r>
    </w:p>
    <w:p>
      <w:pPr>
        <w:spacing w:line="307" w:lineRule="auto" w:before="134"/>
        <w:ind w:left="1470" w:right="355" w:firstLine="0"/>
        <w:jc w:val="both"/>
        <w:rPr>
          <w:rFonts w:ascii="Arial" w:hAnsi="Arial"/>
          <w:sz w:val="17"/>
        </w:rPr>
      </w:pPr>
      <w:r>
        <w:rPr>
          <w:rFonts w:ascii="Arial" w:hAnsi="Arial"/>
          <w:color w:val="231F20"/>
          <w:spacing w:val="-2"/>
          <w:sz w:val="17"/>
        </w:rPr>
        <w:t>Une</w:t>
      </w:r>
      <w:r>
        <w:rPr>
          <w:rFonts w:ascii="Arial" w:hAnsi="Arial"/>
          <w:color w:val="231F20"/>
          <w:spacing w:val="-10"/>
          <w:sz w:val="17"/>
        </w:rPr>
        <w:t> </w:t>
      </w:r>
      <w:r>
        <w:rPr>
          <w:rFonts w:ascii="Arial" w:hAnsi="Arial"/>
          <w:color w:val="231F20"/>
          <w:spacing w:val="-2"/>
          <w:sz w:val="17"/>
        </w:rPr>
        <w:t>autre</w:t>
      </w:r>
      <w:r>
        <w:rPr>
          <w:rFonts w:ascii="Arial" w:hAnsi="Arial"/>
          <w:color w:val="231F20"/>
          <w:spacing w:val="-10"/>
          <w:sz w:val="17"/>
        </w:rPr>
        <w:t> </w:t>
      </w:r>
      <w:r>
        <w:rPr>
          <w:rFonts w:ascii="Arial" w:hAnsi="Arial"/>
          <w:color w:val="231F20"/>
          <w:spacing w:val="-2"/>
          <w:sz w:val="17"/>
        </w:rPr>
        <w:t>croyance</w:t>
      </w:r>
      <w:r>
        <w:rPr>
          <w:rFonts w:ascii="Arial" w:hAnsi="Arial"/>
          <w:color w:val="231F20"/>
          <w:spacing w:val="-10"/>
          <w:sz w:val="17"/>
        </w:rPr>
        <w:t> </w:t>
      </w:r>
      <w:r>
        <w:rPr>
          <w:rFonts w:ascii="Arial" w:hAnsi="Arial"/>
          <w:color w:val="231F20"/>
          <w:spacing w:val="-2"/>
          <w:sz w:val="17"/>
        </w:rPr>
        <w:t>se</w:t>
      </w:r>
      <w:r>
        <w:rPr>
          <w:rFonts w:ascii="Arial" w:hAnsi="Arial"/>
          <w:color w:val="231F20"/>
          <w:spacing w:val="-10"/>
          <w:sz w:val="17"/>
        </w:rPr>
        <w:t> </w:t>
      </w:r>
      <w:r>
        <w:rPr>
          <w:rFonts w:ascii="Arial" w:hAnsi="Arial"/>
          <w:color w:val="231F20"/>
          <w:spacing w:val="-2"/>
          <w:sz w:val="17"/>
        </w:rPr>
        <w:t>révèle</w:t>
      </w:r>
      <w:r>
        <w:rPr>
          <w:rFonts w:ascii="Arial" w:hAnsi="Arial"/>
          <w:color w:val="231F20"/>
          <w:spacing w:val="-10"/>
          <w:sz w:val="17"/>
        </w:rPr>
        <w:t> </w:t>
      </w:r>
      <w:r>
        <w:rPr>
          <w:rFonts w:ascii="Arial" w:hAnsi="Arial"/>
          <w:color w:val="231F20"/>
          <w:spacing w:val="-2"/>
          <w:sz w:val="17"/>
        </w:rPr>
        <w:t>particulièrement</w:t>
      </w:r>
      <w:r>
        <w:rPr>
          <w:rFonts w:ascii="Arial" w:hAnsi="Arial"/>
          <w:color w:val="231F20"/>
          <w:spacing w:val="-9"/>
          <w:sz w:val="17"/>
        </w:rPr>
        <w:t> </w:t>
      </w:r>
      <w:r>
        <w:rPr>
          <w:rFonts w:ascii="Arial" w:hAnsi="Arial"/>
          <w:color w:val="231F20"/>
          <w:spacing w:val="-2"/>
          <w:sz w:val="17"/>
        </w:rPr>
        <w:t>ravageuse</w:t>
      </w:r>
      <w:r>
        <w:rPr>
          <w:rFonts w:ascii="Arial" w:hAnsi="Arial"/>
          <w:color w:val="231F20"/>
          <w:spacing w:val="-10"/>
          <w:sz w:val="17"/>
        </w:rPr>
        <w:t> </w:t>
      </w:r>
      <w:r>
        <w:rPr>
          <w:rFonts w:ascii="Arial" w:hAnsi="Arial"/>
          <w:color w:val="231F20"/>
          <w:spacing w:val="-2"/>
          <w:sz w:val="17"/>
        </w:rPr>
        <w:t>:</w:t>
      </w:r>
      <w:r>
        <w:rPr>
          <w:rFonts w:ascii="Arial" w:hAnsi="Arial"/>
          <w:color w:val="231F20"/>
          <w:spacing w:val="-10"/>
          <w:sz w:val="17"/>
        </w:rPr>
        <w:t> </w:t>
      </w:r>
      <w:r>
        <w:rPr>
          <w:rFonts w:ascii="Arial" w:hAnsi="Arial"/>
          <w:color w:val="231F20"/>
          <w:spacing w:val="-2"/>
          <w:sz w:val="17"/>
        </w:rPr>
        <w:t>se</w:t>
      </w:r>
      <w:r>
        <w:rPr>
          <w:rFonts w:ascii="Arial" w:hAnsi="Arial"/>
          <w:color w:val="231F20"/>
          <w:spacing w:val="-10"/>
          <w:sz w:val="17"/>
        </w:rPr>
        <w:t> </w:t>
      </w:r>
      <w:r>
        <w:rPr>
          <w:rFonts w:ascii="Arial" w:hAnsi="Arial"/>
          <w:color w:val="231F20"/>
          <w:spacing w:val="-2"/>
          <w:sz w:val="17"/>
        </w:rPr>
        <w:t>dire</w:t>
      </w:r>
      <w:r>
        <w:rPr>
          <w:rFonts w:ascii="Arial" w:hAnsi="Arial"/>
          <w:color w:val="231F20"/>
          <w:spacing w:val="-8"/>
          <w:sz w:val="17"/>
        </w:rPr>
        <w:t> </w:t>
      </w:r>
      <w:r>
        <w:rPr>
          <w:rFonts w:ascii="Arial" w:hAnsi="Arial"/>
          <w:color w:val="231F20"/>
          <w:spacing w:val="-2"/>
          <w:sz w:val="17"/>
        </w:rPr>
        <w:t>qu’on </w:t>
      </w:r>
      <w:r>
        <w:rPr>
          <w:rFonts w:ascii="Arial" w:hAnsi="Arial"/>
          <w:color w:val="231F20"/>
          <w:sz w:val="17"/>
        </w:rPr>
        <w:t>n’a</w:t>
      </w:r>
      <w:r>
        <w:rPr>
          <w:rFonts w:ascii="Arial" w:hAnsi="Arial"/>
          <w:color w:val="231F20"/>
          <w:spacing w:val="-12"/>
          <w:sz w:val="17"/>
        </w:rPr>
        <w:t> </w:t>
      </w:r>
      <w:r>
        <w:rPr>
          <w:rFonts w:ascii="Arial" w:hAnsi="Arial"/>
          <w:color w:val="231F20"/>
          <w:sz w:val="17"/>
        </w:rPr>
        <w:t>pas</w:t>
      </w:r>
      <w:r>
        <w:rPr>
          <w:rFonts w:ascii="Arial" w:hAnsi="Arial"/>
          <w:color w:val="231F20"/>
          <w:spacing w:val="-12"/>
          <w:sz w:val="17"/>
        </w:rPr>
        <w:t> </w:t>
      </w:r>
      <w:r>
        <w:rPr>
          <w:rFonts w:ascii="Arial" w:hAnsi="Arial"/>
          <w:color w:val="231F20"/>
          <w:sz w:val="17"/>
        </w:rPr>
        <w:t>le</w:t>
      </w:r>
      <w:r>
        <w:rPr>
          <w:rFonts w:ascii="Arial" w:hAnsi="Arial"/>
          <w:color w:val="231F20"/>
          <w:spacing w:val="-12"/>
          <w:sz w:val="17"/>
        </w:rPr>
        <w:t> </w:t>
      </w:r>
      <w:r>
        <w:rPr>
          <w:rFonts w:ascii="Arial" w:hAnsi="Arial"/>
          <w:color w:val="231F20"/>
          <w:sz w:val="17"/>
        </w:rPr>
        <w:t>droit</w:t>
      </w:r>
      <w:r>
        <w:rPr>
          <w:rFonts w:ascii="Arial" w:hAnsi="Arial"/>
          <w:color w:val="231F20"/>
          <w:spacing w:val="-12"/>
          <w:sz w:val="17"/>
        </w:rPr>
        <w:t> </w:t>
      </w:r>
      <w:r>
        <w:rPr>
          <w:rFonts w:ascii="Arial" w:hAnsi="Arial"/>
          <w:color w:val="231F20"/>
          <w:sz w:val="17"/>
        </w:rPr>
        <w:t>de</w:t>
      </w:r>
      <w:r>
        <w:rPr>
          <w:rFonts w:ascii="Arial" w:hAnsi="Arial"/>
          <w:color w:val="231F20"/>
          <w:spacing w:val="-12"/>
          <w:sz w:val="17"/>
        </w:rPr>
        <w:t> </w:t>
      </w:r>
      <w:r>
        <w:rPr>
          <w:rFonts w:ascii="Arial" w:hAnsi="Arial"/>
          <w:color w:val="231F20"/>
          <w:sz w:val="17"/>
        </w:rPr>
        <w:t>se</w:t>
      </w:r>
      <w:r>
        <w:rPr>
          <w:rFonts w:ascii="Arial" w:hAnsi="Arial"/>
          <w:color w:val="231F20"/>
          <w:spacing w:val="-11"/>
          <w:sz w:val="17"/>
        </w:rPr>
        <w:t> </w:t>
      </w:r>
      <w:r>
        <w:rPr>
          <w:rFonts w:ascii="Arial" w:hAnsi="Arial"/>
          <w:color w:val="231F20"/>
          <w:sz w:val="17"/>
        </w:rPr>
        <w:t>louper.</w:t>
      </w:r>
      <w:r>
        <w:rPr>
          <w:rFonts w:ascii="Arial" w:hAnsi="Arial"/>
          <w:color w:val="231F20"/>
          <w:spacing w:val="-12"/>
          <w:sz w:val="17"/>
        </w:rPr>
        <w:t> </w:t>
      </w:r>
      <w:r>
        <w:rPr>
          <w:rFonts w:ascii="Arial" w:hAnsi="Arial"/>
          <w:color w:val="231F20"/>
          <w:sz w:val="17"/>
        </w:rPr>
        <w:t>Elle</w:t>
      </w:r>
      <w:r>
        <w:rPr>
          <w:rFonts w:ascii="Arial" w:hAnsi="Arial"/>
          <w:color w:val="231F20"/>
          <w:spacing w:val="-12"/>
          <w:sz w:val="17"/>
        </w:rPr>
        <w:t> </w:t>
      </w:r>
      <w:r>
        <w:rPr>
          <w:rFonts w:ascii="Arial" w:hAnsi="Arial"/>
          <w:color w:val="231F20"/>
          <w:sz w:val="17"/>
        </w:rPr>
        <w:t>sévit</w:t>
      </w:r>
      <w:r>
        <w:rPr>
          <w:rFonts w:ascii="Arial" w:hAnsi="Arial"/>
          <w:color w:val="231F20"/>
          <w:spacing w:val="-12"/>
          <w:sz w:val="17"/>
        </w:rPr>
        <w:t> </w:t>
      </w:r>
      <w:r>
        <w:rPr>
          <w:rFonts w:ascii="Arial" w:hAnsi="Arial"/>
          <w:color w:val="231F20"/>
          <w:sz w:val="17"/>
        </w:rPr>
        <w:t>particulièrement</w:t>
      </w:r>
      <w:r>
        <w:rPr>
          <w:rFonts w:ascii="Arial" w:hAnsi="Arial"/>
          <w:color w:val="231F20"/>
          <w:spacing w:val="-12"/>
          <w:sz w:val="17"/>
        </w:rPr>
        <w:t> </w:t>
      </w:r>
      <w:r>
        <w:rPr>
          <w:rFonts w:ascii="Arial" w:hAnsi="Arial"/>
          <w:color w:val="231F20"/>
          <w:sz w:val="17"/>
        </w:rPr>
        <w:t>chez</w:t>
      </w:r>
      <w:r>
        <w:rPr>
          <w:rFonts w:ascii="Arial" w:hAnsi="Arial"/>
          <w:color w:val="231F20"/>
          <w:spacing w:val="-11"/>
          <w:sz w:val="17"/>
        </w:rPr>
        <w:t> </w:t>
      </w:r>
      <w:r>
        <w:rPr>
          <w:rFonts w:ascii="Arial" w:hAnsi="Arial"/>
          <w:color w:val="231F20"/>
          <w:sz w:val="17"/>
        </w:rPr>
        <w:t>les</w:t>
      </w:r>
      <w:r>
        <w:rPr>
          <w:rFonts w:ascii="Arial" w:hAnsi="Arial"/>
          <w:color w:val="231F20"/>
          <w:spacing w:val="-12"/>
          <w:sz w:val="17"/>
        </w:rPr>
        <w:t> </w:t>
      </w:r>
      <w:r>
        <w:rPr>
          <w:rFonts w:ascii="Arial" w:hAnsi="Arial"/>
          <w:color w:val="231F20"/>
          <w:sz w:val="17"/>
        </w:rPr>
        <w:t>sportifs de</w:t>
      </w:r>
      <w:r>
        <w:rPr>
          <w:rFonts w:ascii="Arial" w:hAnsi="Arial"/>
          <w:color w:val="231F20"/>
          <w:spacing w:val="-6"/>
          <w:sz w:val="17"/>
        </w:rPr>
        <w:t> </w:t>
      </w:r>
      <w:r>
        <w:rPr>
          <w:rFonts w:ascii="Arial" w:hAnsi="Arial"/>
          <w:color w:val="231F20"/>
          <w:sz w:val="17"/>
        </w:rPr>
        <w:t>haut</w:t>
      </w:r>
      <w:r>
        <w:rPr>
          <w:rFonts w:ascii="Arial" w:hAnsi="Arial"/>
          <w:color w:val="231F20"/>
          <w:spacing w:val="-6"/>
          <w:sz w:val="17"/>
        </w:rPr>
        <w:t> </w:t>
      </w:r>
      <w:r>
        <w:rPr>
          <w:rFonts w:ascii="Arial" w:hAnsi="Arial"/>
          <w:color w:val="231F20"/>
          <w:sz w:val="17"/>
        </w:rPr>
        <w:t>niveau.</w:t>
      </w:r>
      <w:r>
        <w:rPr>
          <w:rFonts w:ascii="Arial" w:hAnsi="Arial"/>
          <w:color w:val="231F20"/>
          <w:spacing w:val="-6"/>
          <w:sz w:val="17"/>
        </w:rPr>
        <w:t> </w:t>
      </w:r>
      <w:r>
        <w:rPr>
          <w:rFonts w:ascii="Arial" w:hAnsi="Arial"/>
          <w:color w:val="231F20"/>
          <w:sz w:val="17"/>
        </w:rPr>
        <w:t>L’erreur</w:t>
      </w:r>
      <w:r>
        <w:rPr>
          <w:rFonts w:ascii="Arial" w:hAnsi="Arial"/>
          <w:color w:val="231F20"/>
          <w:spacing w:val="-6"/>
          <w:sz w:val="17"/>
        </w:rPr>
        <w:t> </w:t>
      </w:r>
      <w:r>
        <w:rPr>
          <w:rFonts w:ascii="Arial" w:hAnsi="Arial"/>
          <w:color w:val="231F20"/>
          <w:sz w:val="17"/>
        </w:rPr>
        <w:t>est</w:t>
      </w:r>
      <w:r>
        <w:rPr>
          <w:rFonts w:ascii="Arial" w:hAnsi="Arial"/>
          <w:color w:val="231F20"/>
          <w:spacing w:val="-6"/>
          <w:sz w:val="17"/>
        </w:rPr>
        <w:t> </w:t>
      </w:r>
      <w:r>
        <w:rPr>
          <w:rFonts w:ascii="Arial" w:hAnsi="Arial"/>
          <w:color w:val="231F20"/>
          <w:sz w:val="17"/>
        </w:rPr>
        <w:t>de</w:t>
      </w:r>
      <w:r>
        <w:rPr>
          <w:rFonts w:ascii="Arial" w:hAnsi="Arial"/>
          <w:color w:val="231F20"/>
          <w:spacing w:val="-6"/>
          <w:sz w:val="17"/>
        </w:rPr>
        <w:t> </w:t>
      </w:r>
      <w:r>
        <w:rPr>
          <w:rFonts w:ascii="Arial" w:hAnsi="Arial"/>
          <w:color w:val="231F20"/>
          <w:sz w:val="17"/>
        </w:rPr>
        <w:t>faire</w:t>
      </w:r>
      <w:r>
        <w:rPr>
          <w:rFonts w:ascii="Arial" w:hAnsi="Arial"/>
          <w:color w:val="231F20"/>
          <w:spacing w:val="-6"/>
          <w:sz w:val="17"/>
        </w:rPr>
        <w:t> </w:t>
      </w:r>
      <w:r>
        <w:rPr>
          <w:rFonts w:ascii="Arial" w:hAnsi="Arial"/>
          <w:color w:val="231F20"/>
          <w:sz w:val="17"/>
        </w:rPr>
        <w:t>dépendre</w:t>
      </w:r>
      <w:r>
        <w:rPr>
          <w:rFonts w:ascii="Arial" w:hAnsi="Arial"/>
          <w:color w:val="231F20"/>
          <w:spacing w:val="-6"/>
          <w:sz w:val="17"/>
        </w:rPr>
        <w:t> </w:t>
      </w:r>
      <w:r>
        <w:rPr>
          <w:rFonts w:ascii="Arial" w:hAnsi="Arial"/>
          <w:color w:val="231F20"/>
          <w:sz w:val="17"/>
        </w:rPr>
        <w:t>son</w:t>
      </w:r>
      <w:r>
        <w:rPr>
          <w:rFonts w:ascii="Arial" w:hAnsi="Arial"/>
          <w:color w:val="231F20"/>
          <w:spacing w:val="-6"/>
          <w:sz w:val="17"/>
        </w:rPr>
        <w:t> </w:t>
      </w:r>
      <w:r>
        <w:rPr>
          <w:rFonts w:ascii="Arial" w:hAnsi="Arial"/>
          <w:color w:val="231F20"/>
          <w:sz w:val="17"/>
        </w:rPr>
        <w:t>estime</w:t>
      </w:r>
      <w:r>
        <w:rPr>
          <w:rFonts w:ascii="Arial" w:hAnsi="Arial"/>
          <w:color w:val="231F20"/>
          <w:spacing w:val="-6"/>
          <w:sz w:val="17"/>
        </w:rPr>
        <w:t> </w:t>
      </w:r>
      <w:r>
        <w:rPr>
          <w:rFonts w:ascii="Arial" w:hAnsi="Arial"/>
          <w:color w:val="231F20"/>
          <w:sz w:val="17"/>
        </w:rPr>
        <w:t>de</w:t>
      </w:r>
      <w:r>
        <w:rPr>
          <w:rFonts w:ascii="Arial" w:hAnsi="Arial"/>
          <w:color w:val="231F20"/>
          <w:spacing w:val="-6"/>
          <w:sz w:val="17"/>
        </w:rPr>
        <w:t> </w:t>
      </w:r>
      <w:r>
        <w:rPr>
          <w:rFonts w:ascii="Arial" w:hAnsi="Arial"/>
          <w:color w:val="231F20"/>
          <w:sz w:val="17"/>
        </w:rPr>
        <w:t>soi</w:t>
      </w:r>
      <w:r>
        <w:rPr>
          <w:rFonts w:ascii="Arial" w:hAnsi="Arial"/>
          <w:color w:val="231F20"/>
          <w:spacing w:val="-6"/>
          <w:sz w:val="17"/>
        </w:rPr>
        <w:t> </w:t>
      </w:r>
      <w:r>
        <w:rPr>
          <w:rFonts w:ascii="Arial" w:hAnsi="Arial"/>
          <w:color w:val="231F20"/>
          <w:sz w:val="17"/>
        </w:rPr>
        <w:t>d’une seule performance ou de ses performances dans un seul domaine, indique Juliette Tournand, coach de dirigeants et de grands naviga- teurs,</w:t>
      </w:r>
      <w:r>
        <w:rPr>
          <w:rFonts w:ascii="Arial" w:hAnsi="Arial"/>
          <w:color w:val="231F20"/>
          <w:spacing w:val="-12"/>
          <w:sz w:val="17"/>
        </w:rPr>
        <w:t> </w:t>
      </w:r>
      <w:r>
        <w:rPr>
          <w:rFonts w:ascii="Arial" w:hAnsi="Arial"/>
          <w:color w:val="231F20"/>
          <w:sz w:val="17"/>
        </w:rPr>
        <w:t>auteure de </w:t>
      </w:r>
      <w:r>
        <w:rPr>
          <w:rFonts w:ascii="Arial" w:hAnsi="Arial"/>
          <w:i/>
          <w:color w:val="231F20"/>
          <w:sz w:val="17"/>
        </w:rPr>
        <w:t>Secrets du mental </w:t>
      </w:r>
      <w:r>
        <w:rPr>
          <w:rFonts w:ascii="Arial" w:hAnsi="Arial"/>
          <w:color w:val="231F20"/>
          <w:sz w:val="17"/>
        </w:rPr>
        <w:t>(InterÉditions). «</w:t>
      </w:r>
      <w:r>
        <w:rPr>
          <w:rFonts w:ascii="Arial" w:hAnsi="Arial"/>
          <w:color w:val="231F20"/>
          <w:spacing w:val="-12"/>
          <w:sz w:val="17"/>
        </w:rPr>
        <w:t> </w:t>
      </w:r>
      <w:r>
        <w:rPr>
          <w:rFonts w:ascii="Arial" w:hAnsi="Arial"/>
          <w:i/>
          <w:color w:val="231F20"/>
          <w:sz w:val="17"/>
        </w:rPr>
        <w:t>Car au moindre accroc, tout s’effondre.</w:t>
      </w:r>
      <w:r>
        <w:rPr>
          <w:rFonts w:ascii="Arial" w:hAnsi="Arial"/>
          <w:i/>
          <w:color w:val="231F20"/>
          <w:spacing w:val="-12"/>
          <w:sz w:val="17"/>
        </w:rPr>
        <w:t> </w:t>
      </w:r>
      <w:r>
        <w:rPr>
          <w:rFonts w:ascii="Arial" w:hAnsi="Arial"/>
          <w:color w:val="231F20"/>
          <w:sz w:val="17"/>
        </w:rPr>
        <w:t>» Face à cette menace, surtout si vous vous </w:t>
      </w:r>
      <w:r>
        <w:rPr>
          <w:rFonts w:ascii="Arial" w:hAnsi="Arial"/>
          <w:color w:val="231F20"/>
          <w:spacing w:val="-2"/>
          <w:sz w:val="17"/>
        </w:rPr>
        <w:t>investissez</w:t>
      </w:r>
      <w:r>
        <w:rPr>
          <w:rFonts w:ascii="Arial" w:hAnsi="Arial"/>
          <w:color w:val="231F20"/>
          <w:spacing w:val="-10"/>
          <w:sz w:val="17"/>
        </w:rPr>
        <w:t> </w:t>
      </w:r>
      <w:r>
        <w:rPr>
          <w:rFonts w:ascii="Arial" w:hAnsi="Arial"/>
          <w:color w:val="231F20"/>
          <w:spacing w:val="-2"/>
          <w:sz w:val="17"/>
        </w:rPr>
        <w:t>trop</w:t>
      </w:r>
      <w:r>
        <w:rPr>
          <w:rFonts w:ascii="Arial" w:hAnsi="Arial"/>
          <w:color w:val="231F20"/>
          <w:spacing w:val="-10"/>
          <w:sz w:val="17"/>
        </w:rPr>
        <w:t> </w:t>
      </w:r>
      <w:r>
        <w:rPr>
          <w:rFonts w:ascii="Arial" w:hAnsi="Arial"/>
          <w:color w:val="231F20"/>
          <w:spacing w:val="-2"/>
          <w:sz w:val="17"/>
        </w:rPr>
        <w:t>dans votre boulot, elle préconise deux remèdes. «</w:t>
      </w:r>
      <w:r>
        <w:rPr>
          <w:rFonts w:ascii="Arial" w:hAnsi="Arial"/>
          <w:color w:val="231F20"/>
          <w:spacing w:val="-10"/>
          <w:sz w:val="17"/>
        </w:rPr>
        <w:t> </w:t>
      </w:r>
      <w:r>
        <w:rPr>
          <w:rFonts w:ascii="Arial" w:hAnsi="Arial"/>
          <w:i/>
          <w:color w:val="231F20"/>
          <w:spacing w:val="-2"/>
          <w:sz w:val="17"/>
        </w:rPr>
        <w:t>Tout d’abord,</w:t>
      </w:r>
      <w:r>
        <w:rPr>
          <w:rFonts w:ascii="Arial" w:hAnsi="Arial"/>
          <w:i/>
          <w:color w:val="231F20"/>
          <w:spacing w:val="-7"/>
          <w:sz w:val="17"/>
        </w:rPr>
        <w:t> </w:t>
      </w:r>
      <w:r>
        <w:rPr>
          <w:rFonts w:ascii="Arial" w:hAnsi="Arial"/>
          <w:i/>
          <w:color w:val="231F20"/>
          <w:spacing w:val="-2"/>
          <w:sz w:val="17"/>
        </w:rPr>
        <w:t>identifiez</w:t>
      </w:r>
      <w:r>
        <w:rPr>
          <w:rFonts w:ascii="Arial" w:hAnsi="Arial"/>
          <w:i/>
          <w:color w:val="231F20"/>
          <w:spacing w:val="-7"/>
          <w:sz w:val="17"/>
        </w:rPr>
        <w:t> </w:t>
      </w:r>
      <w:r>
        <w:rPr>
          <w:rFonts w:ascii="Arial" w:hAnsi="Arial"/>
          <w:i/>
          <w:color w:val="231F20"/>
          <w:spacing w:val="-2"/>
          <w:sz w:val="17"/>
        </w:rPr>
        <w:t>au</w:t>
      </w:r>
      <w:r>
        <w:rPr>
          <w:rFonts w:ascii="Arial" w:hAnsi="Arial"/>
          <w:i/>
          <w:color w:val="231F20"/>
          <w:spacing w:val="-7"/>
          <w:sz w:val="17"/>
        </w:rPr>
        <w:t> </w:t>
      </w:r>
      <w:r>
        <w:rPr>
          <w:rFonts w:ascii="Arial" w:hAnsi="Arial"/>
          <w:i/>
          <w:color w:val="231F20"/>
          <w:spacing w:val="-2"/>
          <w:sz w:val="17"/>
        </w:rPr>
        <w:t>moins</w:t>
      </w:r>
      <w:r>
        <w:rPr>
          <w:rFonts w:ascii="Arial" w:hAnsi="Arial"/>
          <w:i/>
          <w:color w:val="231F20"/>
          <w:spacing w:val="-7"/>
          <w:sz w:val="17"/>
        </w:rPr>
        <w:t> </w:t>
      </w:r>
      <w:r>
        <w:rPr>
          <w:rFonts w:ascii="Arial" w:hAnsi="Arial"/>
          <w:i/>
          <w:color w:val="231F20"/>
          <w:spacing w:val="-2"/>
          <w:sz w:val="17"/>
        </w:rPr>
        <w:t>trois</w:t>
      </w:r>
      <w:r>
        <w:rPr>
          <w:rFonts w:ascii="Arial" w:hAnsi="Arial"/>
          <w:i/>
          <w:color w:val="231F20"/>
          <w:spacing w:val="-7"/>
          <w:sz w:val="17"/>
        </w:rPr>
        <w:t> </w:t>
      </w:r>
      <w:r>
        <w:rPr>
          <w:rFonts w:ascii="Arial" w:hAnsi="Arial"/>
          <w:i/>
          <w:color w:val="231F20"/>
          <w:spacing w:val="-2"/>
          <w:sz w:val="17"/>
        </w:rPr>
        <w:t>grandes</w:t>
      </w:r>
      <w:r>
        <w:rPr>
          <w:rFonts w:ascii="Arial" w:hAnsi="Arial"/>
          <w:i/>
          <w:color w:val="231F20"/>
          <w:spacing w:val="-7"/>
          <w:sz w:val="17"/>
        </w:rPr>
        <w:t> </w:t>
      </w:r>
      <w:r>
        <w:rPr>
          <w:rFonts w:ascii="Arial" w:hAnsi="Arial"/>
          <w:i/>
          <w:color w:val="231F20"/>
          <w:spacing w:val="-2"/>
          <w:sz w:val="17"/>
        </w:rPr>
        <w:t>sources</w:t>
      </w:r>
      <w:r>
        <w:rPr>
          <w:rFonts w:ascii="Arial" w:hAnsi="Arial"/>
          <w:i/>
          <w:color w:val="231F20"/>
          <w:spacing w:val="-7"/>
          <w:sz w:val="17"/>
        </w:rPr>
        <w:t> </w:t>
      </w:r>
      <w:r>
        <w:rPr>
          <w:rFonts w:ascii="Arial" w:hAnsi="Arial"/>
          <w:i/>
          <w:color w:val="231F20"/>
          <w:spacing w:val="-2"/>
          <w:sz w:val="17"/>
        </w:rPr>
        <w:t>d’équilibre</w:t>
      </w:r>
      <w:r>
        <w:rPr>
          <w:rFonts w:ascii="Arial" w:hAnsi="Arial"/>
          <w:i/>
          <w:color w:val="231F20"/>
          <w:spacing w:val="-7"/>
          <w:sz w:val="17"/>
        </w:rPr>
        <w:t> </w:t>
      </w:r>
      <w:r>
        <w:rPr>
          <w:rFonts w:ascii="Arial" w:hAnsi="Arial"/>
          <w:i/>
          <w:color w:val="231F20"/>
          <w:spacing w:val="-2"/>
          <w:sz w:val="17"/>
        </w:rPr>
        <w:t>dans</w:t>
      </w:r>
      <w:r>
        <w:rPr>
          <w:rFonts w:ascii="Arial" w:hAnsi="Arial"/>
          <w:i/>
          <w:color w:val="231F20"/>
          <w:spacing w:val="-7"/>
          <w:sz w:val="17"/>
        </w:rPr>
        <w:t> </w:t>
      </w:r>
      <w:r>
        <w:rPr>
          <w:rFonts w:ascii="Arial" w:hAnsi="Arial"/>
          <w:i/>
          <w:color w:val="231F20"/>
          <w:spacing w:val="-2"/>
          <w:sz w:val="17"/>
        </w:rPr>
        <w:t>votre vie</w:t>
      </w:r>
      <w:r>
        <w:rPr>
          <w:rFonts w:ascii="Arial" w:hAnsi="Arial"/>
          <w:i/>
          <w:color w:val="231F20"/>
          <w:spacing w:val="-10"/>
          <w:sz w:val="17"/>
        </w:rPr>
        <w:t> </w:t>
      </w:r>
      <w:r>
        <w:rPr>
          <w:rFonts w:ascii="Arial" w:hAnsi="Arial"/>
          <w:i/>
          <w:color w:val="231F20"/>
          <w:spacing w:val="-2"/>
          <w:sz w:val="17"/>
        </w:rPr>
        <w:t>:</w:t>
      </w:r>
      <w:r>
        <w:rPr>
          <w:rFonts w:ascii="Arial" w:hAnsi="Arial"/>
          <w:i/>
          <w:color w:val="231F20"/>
          <w:spacing w:val="-10"/>
          <w:sz w:val="17"/>
        </w:rPr>
        <w:t> </w:t>
      </w:r>
      <w:r>
        <w:rPr>
          <w:rFonts w:ascii="Arial" w:hAnsi="Arial"/>
          <w:i/>
          <w:color w:val="231F20"/>
          <w:spacing w:val="-2"/>
          <w:sz w:val="17"/>
        </w:rPr>
        <w:t>votre</w:t>
      </w:r>
      <w:r>
        <w:rPr>
          <w:rFonts w:ascii="Arial" w:hAnsi="Arial"/>
          <w:i/>
          <w:color w:val="231F20"/>
          <w:spacing w:val="-10"/>
          <w:sz w:val="17"/>
        </w:rPr>
        <w:t> </w:t>
      </w:r>
      <w:r>
        <w:rPr>
          <w:rFonts w:ascii="Arial" w:hAnsi="Arial"/>
          <w:i/>
          <w:color w:val="231F20"/>
          <w:spacing w:val="-2"/>
          <w:sz w:val="17"/>
        </w:rPr>
        <w:t>situation</w:t>
      </w:r>
      <w:r>
        <w:rPr>
          <w:rFonts w:ascii="Arial" w:hAnsi="Arial"/>
          <w:i/>
          <w:color w:val="231F20"/>
          <w:spacing w:val="-10"/>
          <w:sz w:val="17"/>
        </w:rPr>
        <w:t> </w:t>
      </w:r>
      <w:r>
        <w:rPr>
          <w:rFonts w:ascii="Arial" w:hAnsi="Arial"/>
          <w:i/>
          <w:color w:val="231F20"/>
          <w:spacing w:val="-2"/>
          <w:sz w:val="17"/>
        </w:rPr>
        <w:t>familiale,</w:t>
      </w:r>
      <w:r>
        <w:rPr>
          <w:rFonts w:ascii="Arial" w:hAnsi="Arial"/>
          <w:i/>
          <w:color w:val="231F20"/>
          <w:spacing w:val="-10"/>
          <w:sz w:val="17"/>
        </w:rPr>
        <w:t> </w:t>
      </w:r>
      <w:r>
        <w:rPr>
          <w:rFonts w:ascii="Arial" w:hAnsi="Arial"/>
          <w:i/>
          <w:color w:val="231F20"/>
          <w:spacing w:val="-2"/>
          <w:sz w:val="17"/>
        </w:rPr>
        <w:t>vos</w:t>
      </w:r>
      <w:r>
        <w:rPr>
          <w:rFonts w:ascii="Arial" w:hAnsi="Arial"/>
          <w:i/>
          <w:color w:val="231F20"/>
          <w:spacing w:val="-9"/>
          <w:sz w:val="17"/>
        </w:rPr>
        <w:t> </w:t>
      </w:r>
      <w:r>
        <w:rPr>
          <w:rFonts w:ascii="Arial" w:hAnsi="Arial"/>
          <w:i/>
          <w:color w:val="231F20"/>
          <w:spacing w:val="-2"/>
          <w:sz w:val="17"/>
        </w:rPr>
        <w:t>relations</w:t>
      </w:r>
      <w:r>
        <w:rPr>
          <w:rFonts w:ascii="Arial" w:hAnsi="Arial"/>
          <w:i/>
          <w:color w:val="231F20"/>
          <w:spacing w:val="-6"/>
          <w:sz w:val="17"/>
        </w:rPr>
        <w:t> </w:t>
      </w:r>
      <w:r>
        <w:rPr>
          <w:rFonts w:ascii="Arial" w:hAnsi="Arial"/>
          <w:i/>
          <w:color w:val="231F20"/>
          <w:spacing w:val="-2"/>
          <w:sz w:val="17"/>
        </w:rPr>
        <w:t>amicales</w:t>
      </w:r>
      <w:r>
        <w:rPr>
          <w:rFonts w:ascii="Arial" w:hAnsi="Arial"/>
          <w:i/>
          <w:color w:val="231F20"/>
          <w:spacing w:val="-6"/>
          <w:sz w:val="17"/>
        </w:rPr>
        <w:t> </w:t>
      </w:r>
      <w:r>
        <w:rPr>
          <w:rFonts w:ascii="Arial" w:hAnsi="Arial"/>
          <w:i/>
          <w:color w:val="231F20"/>
          <w:spacing w:val="-2"/>
          <w:sz w:val="17"/>
        </w:rPr>
        <w:t>et</w:t>
      </w:r>
      <w:r>
        <w:rPr>
          <w:rFonts w:ascii="Arial" w:hAnsi="Arial"/>
          <w:i/>
          <w:color w:val="231F20"/>
          <w:spacing w:val="-6"/>
          <w:sz w:val="17"/>
        </w:rPr>
        <w:t> </w:t>
      </w:r>
      <w:r>
        <w:rPr>
          <w:rFonts w:ascii="Arial" w:hAnsi="Arial"/>
          <w:i/>
          <w:color w:val="231F20"/>
          <w:spacing w:val="-2"/>
          <w:sz w:val="17"/>
        </w:rPr>
        <w:t>un</w:t>
      </w:r>
      <w:r>
        <w:rPr>
          <w:rFonts w:ascii="Arial" w:hAnsi="Arial"/>
          <w:i/>
          <w:color w:val="231F20"/>
          <w:spacing w:val="-6"/>
          <w:sz w:val="17"/>
        </w:rPr>
        <w:t> </w:t>
      </w:r>
      <w:r>
        <w:rPr>
          <w:rFonts w:ascii="Arial" w:hAnsi="Arial"/>
          <w:i/>
          <w:color w:val="231F20"/>
          <w:spacing w:val="-2"/>
          <w:sz w:val="17"/>
        </w:rPr>
        <w:t>hobby</w:t>
      </w:r>
      <w:r>
        <w:rPr>
          <w:rFonts w:ascii="Arial" w:hAnsi="Arial"/>
          <w:i/>
          <w:color w:val="231F20"/>
          <w:spacing w:val="-6"/>
          <w:sz w:val="17"/>
        </w:rPr>
        <w:t> </w:t>
      </w:r>
      <w:r>
        <w:rPr>
          <w:rFonts w:ascii="Arial" w:hAnsi="Arial"/>
          <w:i/>
          <w:color w:val="231F20"/>
          <w:spacing w:val="-2"/>
          <w:sz w:val="17"/>
        </w:rPr>
        <w:t>où</w:t>
      </w:r>
      <w:r>
        <w:rPr>
          <w:rFonts w:ascii="Arial" w:hAnsi="Arial"/>
          <w:i/>
          <w:color w:val="231F20"/>
          <w:spacing w:val="-6"/>
          <w:sz w:val="17"/>
        </w:rPr>
        <w:t> </w:t>
      </w:r>
      <w:r>
        <w:rPr>
          <w:rFonts w:ascii="Arial" w:hAnsi="Arial"/>
          <w:i/>
          <w:color w:val="231F20"/>
          <w:spacing w:val="-2"/>
          <w:sz w:val="17"/>
        </w:rPr>
        <w:t>vous </w:t>
      </w:r>
      <w:r>
        <w:rPr>
          <w:rFonts w:ascii="Arial" w:hAnsi="Arial"/>
          <w:i/>
          <w:color w:val="231F20"/>
          <w:w w:val="95"/>
          <w:sz w:val="17"/>
        </w:rPr>
        <w:t>excellez,</w:t>
      </w:r>
      <w:r>
        <w:rPr>
          <w:rFonts w:ascii="Arial" w:hAnsi="Arial"/>
          <w:i/>
          <w:color w:val="231F20"/>
          <w:spacing w:val="-8"/>
          <w:w w:val="95"/>
          <w:sz w:val="17"/>
        </w:rPr>
        <w:t> </w:t>
      </w:r>
      <w:r>
        <w:rPr>
          <w:rFonts w:ascii="Arial" w:hAnsi="Arial"/>
          <w:i/>
          <w:color w:val="231F20"/>
          <w:w w:val="95"/>
          <w:sz w:val="17"/>
        </w:rPr>
        <w:t>par</w:t>
      </w:r>
      <w:r>
        <w:rPr>
          <w:rFonts w:ascii="Arial" w:hAnsi="Arial"/>
          <w:i/>
          <w:color w:val="231F20"/>
          <w:spacing w:val="-8"/>
          <w:w w:val="95"/>
          <w:sz w:val="17"/>
        </w:rPr>
        <w:t> </w:t>
      </w:r>
      <w:r>
        <w:rPr>
          <w:rFonts w:ascii="Arial" w:hAnsi="Arial"/>
          <w:i/>
          <w:color w:val="231F20"/>
          <w:w w:val="95"/>
          <w:sz w:val="17"/>
        </w:rPr>
        <w:t>exemple.</w:t>
      </w:r>
      <w:r>
        <w:rPr>
          <w:rFonts w:ascii="Arial" w:hAnsi="Arial"/>
          <w:i/>
          <w:color w:val="231F20"/>
          <w:spacing w:val="-8"/>
          <w:w w:val="95"/>
          <w:sz w:val="17"/>
        </w:rPr>
        <w:t> </w:t>
      </w:r>
      <w:r>
        <w:rPr>
          <w:rFonts w:ascii="Arial" w:hAnsi="Arial"/>
          <w:i/>
          <w:color w:val="231F20"/>
          <w:w w:val="95"/>
          <w:sz w:val="17"/>
        </w:rPr>
        <w:t>Ainsi,</w:t>
      </w:r>
      <w:r>
        <w:rPr>
          <w:rFonts w:ascii="Arial" w:hAnsi="Arial"/>
          <w:i/>
          <w:color w:val="231F20"/>
          <w:spacing w:val="-8"/>
          <w:w w:val="95"/>
          <w:sz w:val="17"/>
        </w:rPr>
        <w:t> </w:t>
      </w:r>
      <w:r>
        <w:rPr>
          <w:rFonts w:ascii="Arial" w:hAnsi="Arial"/>
          <w:i/>
          <w:color w:val="231F20"/>
          <w:w w:val="95"/>
          <w:sz w:val="17"/>
        </w:rPr>
        <w:t>si</w:t>
      </w:r>
      <w:r>
        <w:rPr>
          <w:rFonts w:ascii="Arial" w:hAnsi="Arial"/>
          <w:i/>
          <w:color w:val="231F20"/>
          <w:spacing w:val="-8"/>
          <w:w w:val="95"/>
          <w:sz w:val="17"/>
        </w:rPr>
        <w:t> </w:t>
      </w:r>
      <w:r>
        <w:rPr>
          <w:rFonts w:ascii="Arial" w:hAnsi="Arial"/>
          <w:i/>
          <w:color w:val="231F20"/>
          <w:w w:val="95"/>
          <w:sz w:val="17"/>
        </w:rPr>
        <w:t>vous</w:t>
      </w:r>
      <w:r>
        <w:rPr>
          <w:rFonts w:ascii="Arial" w:hAnsi="Arial"/>
          <w:i/>
          <w:color w:val="231F20"/>
          <w:spacing w:val="-8"/>
          <w:w w:val="95"/>
          <w:sz w:val="17"/>
        </w:rPr>
        <w:t> </w:t>
      </w:r>
      <w:r>
        <w:rPr>
          <w:rFonts w:ascii="Arial" w:hAnsi="Arial"/>
          <w:i/>
          <w:color w:val="231F20"/>
          <w:w w:val="95"/>
          <w:sz w:val="17"/>
        </w:rPr>
        <w:t>subissez</w:t>
      </w:r>
      <w:r>
        <w:rPr>
          <w:rFonts w:ascii="Arial" w:hAnsi="Arial"/>
          <w:i/>
          <w:color w:val="231F20"/>
          <w:spacing w:val="-8"/>
          <w:w w:val="95"/>
          <w:sz w:val="17"/>
        </w:rPr>
        <w:t> </w:t>
      </w:r>
      <w:r>
        <w:rPr>
          <w:rFonts w:ascii="Arial" w:hAnsi="Arial"/>
          <w:i/>
          <w:color w:val="231F20"/>
          <w:w w:val="95"/>
          <w:sz w:val="17"/>
        </w:rPr>
        <w:t>un</w:t>
      </w:r>
      <w:r>
        <w:rPr>
          <w:rFonts w:ascii="Arial" w:hAnsi="Arial"/>
          <w:i/>
          <w:color w:val="231F20"/>
          <w:spacing w:val="-8"/>
          <w:w w:val="95"/>
          <w:sz w:val="17"/>
        </w:rPr>
        <w:t> </w:t>
      </w:r>
      <w:r>
        <w:rPr>
          <w:rFonts w:ascii="Arial" w:hAnsi="Arial"/>
          <w:i/>
          <w:color w:val="231F20"/>
          <w:w w:val="95"/>
          <w:sz w:val="17"/>
        </w:rPr>
        <w:t>revers</w:t>
      </w:r>
      <w:r>
        <w:rPr>
          <w:rFonts w:ascii="Arial" w:hAnsi="Arial"/>
          <w:i/>
          <w:color w:val="231F20"/>
          <w:spacing w:val="-8"/>
          <w:w w:val="95"/>
          <w:sz w:val="17"/>
        </w:rPr>
        <w:t> </w:t>
      </w:r>
      <w:r>
        <w:rPr>
          <w:rFonts w:ascii="Arial" w:hAnsi="Arial"/>
          <w:i/>
          <w:color w:val="231F20"/>
          <w:w w:val="95"/>
          <w:sz w:val="17"/>
        </w:rPr>
        <w:t>professionnel,</w:t>
      </w:r>
      <w:r>
        <w:rPr>
          <w:rFonts w:ascii="Arial" w:hAnsi="Arial"/>
          <w:i/>
          <w:color w:val="231F20"/>
          <w:spacing w:val="-8"/>
          <w:w w:val="95"/>
          <w:sz w:val="17"/>
        </w:rPr>
        <w:t> </w:t>
      </w:r>
      <w:r>
        <w:rPr>
          <w:rFonts w:ascii="Arial" w:hAnsi="Arial"/>
          <w:i/>
          <w:color w:val="231F20"/>
          <w:w w:val="95"/>
          <w:sz w:val="17"/>
        </w:rPr>
        <w:t>les </w:t>
      </w:r>
      <w:r>
        <w:rPr>
          <w:rFonts w:ascii="Arial" w:hAnsi="Arial"/>
          <w:i/>
          <w:color w:val="231F20"/>
          <w:sz w:val="17"/>
        </w:rPr>
        <w:t>autres</w:t>
      </w:r>
      <w:r>
        <w:rPr>
          <w:rFonts w:ascii="Arial" w:hAnsi="Arial"/>
          <w:i/>
          <w:color w:val="231F20"/>
          <w:spacing w:val="-1"/>
          <w:sz w:val="17"/>
        </w:rPr>
        <w:t> </w:t>
      </w:r>
      <w:r>
        <w:rPr>
          <w:rFonts w:ascii="Arial" w:hAnsi="Arial"/>
          <w:i/>
          <w:color w:val="231F20"/>
          <w:sz w:val="17"/>
        </w:rPr>
        <w:t>aspects</w:t>
      </w:r>
      <w:r>
        <w:rPr>
          <w:rFonts w:ascii="Arial" w:hAnsi="Arial"/>
          <w:i/>
          <w:color w:val="231F20"/>
          <w:spacing w:val="-1"/>
          <w:sz w:val="17"/>
        </w:rPr>
        <w:t> </w:t>
      </w:r>
      <w:r>
        <w:rPr>
          <w:rFonts w:ascii="Arial" w:hAnsi="Arial"/>
          <w:i/>
          <w:color w:val="231F20"/>
          <w:sz w:val="17"/>
        </w:rPr>
        <w:t>vous</w:t>
      </w:r>
      <w:r>
        <w:rPr>
          <w:rFonts w:ascii="Arial" w:hAnsi="Arial"/>
          <w:i/>
          <w:color w:val="231F20"/>
          <w:spacing w:val="-1"/>
          <w:sz w:val="17"/>
        </w:rPr>
        <w:t> </w:t>
      </w:r>
      <w:r>
        <w:rPr>
          <w:rFonts w:ascii="Arial" w:hAnsi="Arial"/>
          <w:i/>
          <w:color w:val="231F20"/>
          <w:sz w:val="17"/>
        </w:rPr>
        <w:t>aideront</w:t>
      </w:r>
      <w:r>
        <w:rPr>
          <w:rFonts w:ascii="Arial" w:hAnsi="Arial"/>
          <w:i/>
          <w:color w:val="231F20"/>
          <w:spacing w:val="-1"/>
          <w:sz w:val="17"/>
        </w:rPr>
        <w:t> </w:t>
      </w:r>
      <w:r>
        <w:rPr>
          <w:rFonts w:ascii="Arial" w:hAnsi="Arial"/>
          <w:i/>
          <w:color w:val="231F20"/>
          <w:sz w:val="17"/>
        </w:rPr>
        <w:t>à</w:t>
      </w:r>
      <w:r>
        <w:rPr>
          <w:rFonts w:ascii="Arial" w:hAnsi="Arial"/>
          <w:i/>
          <w:color w:val="231F20"/>
          <w:spacing w:val="-1"/>
          <w:sz w:val="17"/>
        </w:rPr>
        <w:t> </w:t>
      </w:r>
      <w:r>
        <w:rPr>
          <w:rFonts w:ascii="Arial" w:hAnsi="Arial"/>
          <w:i/>
          <w:color w:val="231F20"/>
          <w:sz w:val="17"/>
        </w:rPr>
        <w:t>préserver</w:t>
      </w:r>
      <w:r>
        <w:rPr>
          <w:rFonts w:ascii="Arial" w:hAnsi="Arial"/>
          <w:i/>
          <w:color w:val="231F20"/>
          <w:spacing w:val="-1"/>
          <w:sz w:val="17"/>
        </w:rPr>
        <w:t> </w:t>
      </w:r>
      <w:r>
        <w:rPr>
          <w:rFonts w:ascii="Arial" w:hAnsi="Arial"/>
          <w:i/>
          <w:color w:val="231F20"/>
          <w:sz w:val="17"/>
        </w:rPr>
        <w:t>votre</w:t>
      </w:r>
      <w:r>
        <w:rPr>
          <w:rFonts w:ascii="Arial" w:hAnsi="Arial"/>
          <w:i/>
          <w:color w:val="231F20"/>
          <w:spacing w:val="-1"/>
          <w:sz w:val="17"/>
        </w:rPr>
        <w:t> </w:t>
      </w:r>
      <w:r>
        <w:rPr>
          <w:rFonts w:ascii="Arial" w:hAnsi="Arial"/>
          <w:i/>
          <w:color w:val="231F20"/>
          <w:sz w:val="17"/>
        </w:rPr>
        <w:t>énergie,</w:t>
      </w:r>
      <w:r>
        <w:rPr>
          <w:rFonts w:ascii="Arial" w:hAnsi="Arial"/>
          <w:i/>
          <w:color w:val="231F20"/>
          <w:spacing w:val="-1"/>
          <w:sz w:val="17"/>
        </w:rPr>
        <w:t> </w:t>
      </w:r>
      <w:r>
        <w:rPr>
          <w:rFonts w:ascii="Arial" w:hAnsi="Arial"/>
          <w:i/>
          <w:color w:val="231F20"/>
          <w:sz w:val="17"/>
        </w:rPr>
        <w:t>vos</w:t>
      </w:r>
      <w:r>
        <w:rPr>
          <w:rFonts w:ascii="Arial" w:hAnsi="Arial"/>
          <w:i/>
          <w:color w:val="231F20"/>
          <w:spacing w:val="-1"/>
          <w:sz w:val="17"/>
        </w:rPr>
        <w:t> </w:t>
      </w:r>
      <w:r>
        <w:rPr>
          <w:rFonts w:ascii="Arial" w:hAnsi="Arial"/>
          <w:i/>
          <w:color w:val="231F20"/>
          <w:sz w:val="17"/>
        </w:rPr>
        <w:t>émotions positives et votre estime de vous.</w:t>
      </w:r>
      <w:r>
        <w:rPr>
          <w:rFonts w:ascii="Arial" w:hAnsi="Arial"/>
          <w:i/>
          <w:color w:val="231F20"/>
          <w:spacing w:val="-25"/>
          <w:sz w:val="17"/>
        </w:rPr>
        <w:t> </w:t>
      </w:r>
      <w:r>
        <w:rPr>
          <w:rFonts w:ascii="Arial" w:hAnsi="Arial"/>
          <w:color w:val="231F20"/>
          <w:sz w:val="17"/>
        </w:rPr>
        <w:t>»</w:t>
      </w:r>
    </w:p>
    <w:p>
      <w:pPr>
        <w:spacing w:line="307" w:lineRule="auto" w:before="78"/>
        <w:ind w:left="1470" w:right="354" w:firstLine="0"/>
        <w:jc w:val="both"/>
        <w:rPr>
          <w:rFonts w:ascii="Arial" w:hAnsi="Arial"/>
          <w:sz w:val="17"/>
        </w:rPr>
      </w:pPr>
      <w:r>
        <w:rPr>
          <w:rFonts w:ascii="Arial" w:hAnsi="Arial"/>
          <w:color w:val="231F20"/>
          <w:w w:val="95"/>
          <w:sz w:val="17"/>
        </w:rPr>
        <w:t>C’est</w:t>
      </w:r>
      <w:r>
        <w:rPr>
          <w:rFonts w:ascii="Arial" w:hAnsi="Arial"/>
          <w:color w:val="231F20"/>
          <w:spacing w:val="-1"/>
          <w:w w:val="95"/>
          <w:sz w:val="17"/>
        </w:rPr>
        <w:t> </w:t>
      </w:r>
      <w:r>
        <w:rPr>
          <w:rFonts w:ascii="Arial" w:hAnsi="Arial"/>
          <w:color w:val="231F20"/>
          <w:w w:val="95"/>
          <w:sz w:val="17"/>
        </w:rPr>
        <w:t>ainsi</w:t>
      </w:r>
      <w:r>
        <w:rPr>
          <w:rFonts w:ascii="Arial" w:hAnsi="Arial"/>
          <w:color w:val="231F20"/>
          <w:spacing w:val="-1"/>
          <w:w w:val="95"/>
          <w:sz w:val="17"/>
        </w:rPr>
        <w:t> </w:t>
      </w:r>
      <w:r>
        <w:rPr>
          <w:rFonts w:ascii="Arial" w:hAnsi="Arial"/>
          <w:color w:val="231F20"/>
          <w:w w:val="95"/>
          <w:sz w:val="17"/>
        </w:rPr>
        <w:t>que</w:t>
      </w:r>
      <w:r>
        <w:rPr>
          <w:rFonts w:ascii="Arial" w:hAnsi="Arial"/>
          <w:color w:val="231F20"/>
          <w:spacing w:val="-1"/>
          <w:w w:val="95"/>
          <w:sz w:val="17"/>
        </w:rPr>
        <w:t> </w:t>
      </w:r>
      <w:r>
        <w:rPr>
          <w:rFonts w:ascii="Arial" w:hAnsi="Arial"/>
          <w:color w:val="231F20"/>
          <w:w w:val="95"/>
          <w:sz w:val="17"/>
        </w:rPr>
        <w:t>procède</w:t>
      </w:r>
      <w:r>
        <w:rPr>
          <w:rFonts w:ascii="Arial" w:hAnsi="Arial"/>
          <w:color w:val="231F20"/>
          <w:spacing w:val="-1"/>
          <w:w w:val="95"/>
          <w:sz w:val="17"/>
        </w:rPr>
        <w:t> </w:t>
      </w:r>
      <w:r>
        <w:rPr>
          <w:rFonts w:ascii="Arial" w:hAnsi="Arial"/>
          <w:color w:val="231F20"/>
          <w:w w:val="95"/>
          <w:sz w:val="17"/>
        </w:rPr>
        <w:t>le</w:t>
      </w:r>
      <w:r>
        <w:rPr>
          <w:rFonts w:ascii="Arial" w:hAnsi="Arial"/>
          <w:color w:val="231F20"/>
          <w:spacing w:val="-1"/>
          <w:w w:val="95"/>
          <w:sz w:val="17"/>
        </w:rPr>
        <w:t> </w:t>
      </w:r>
      <w:r>
        <w:rPr>
          <w:rFonts w:ascii="Arial" w:hAnsi="Arial"/>
          <w:color w:val="231F20"/>
          <w:w w:val="95"/>
          <w:sz w:val="17"/>
        </w:rPr>
        <w:t>skippeur</w:t>
      </w:r>
      <w:r>
        <w:rPr>
          <w:rFonts w:ascii="Arial" w:hAnsi="Arial"/>
          <w:color w:val="231F20"/>
          <w:spacing w:val="-1"/>
          <w:w w:val="95"/>
          <w:sz w:val="17"/>
        </w:rPr>
        <w:t> </w:t>
      </w:r>
      <w:r>
        <w:rPr>
          <w:rFonts w:ascii="Arial" w:hAnsi="Arial"/>
          <w:color w:val="231F20"/>
          <w:w w:val="95"/>
          <w:sz w:val="17"/>
        </w:rPr>
        <w:t>Jean</w:t>
      </w:r>
      <w:r>
        <w:rPr>
          <w:rFonts w:ascii="Arial" w:hAnsi="Arial"/>
          <w:color w:val="231F20"/>
          <w:spacing w:val="-1"/>
          <w:w w:val="95"/>
          <w:sz w:val="17"/>
        </w:rPr>
        <w:t> </w:t>
      </w:r>
      <w:r>
        <w:rPr>
          <w:rFonts w:ascii="Arial" w:hAnsi="Arial"/>
          <w:color w:val="231F20"/>
          <w:w w:val="95"/>
          <w:sz w:val="17"/>
        </w:rPr>
        <w:t>Le</w:t>
      </w:r>
      <w:r>
        <w:rPr>
          <w:rFonts w:ascii="Arial" w:hAnsi="Arial"/>
          <w:color w:val="231F20"/>
          <w:spacing w:val="-1"/>
          <w:w w:val="95"/>
          <w:sz w:val="17"/>
        </w:rPr>
        <w:t> </w:t>
      </w:r>
      <w:r>
        <w:rPr>
          <w:rFonts w:ascii="Arial" w:hAnsi="Arial"/>
          <w:color w:val="231F20"/>
          <w:w w:val="95"/>
          <w:sz w:val="17"/>
        </w:rPr>
        <w:t>Cam,</w:t>
      </w:r>
      <w:r>
        <w:rPr>
          <w:rFonts w:ascii="Arial" w:hAnsi="Arial"/>
          <w:color w:val="231F20"/>
          <w:spacing w:val="-1"/>
          <w:w w:val="95"/>
          <w:sz w:val="17"/>
        </w:rPr>
        <w:t> </w:t>
      </w:r>
      <w:r>
        <w:rPr>
          <w:rFonts w:ascii="Arial" w:hAnsi="Arial"/>
          <w:color w:val="231F20"/>
          <w:w w:val="95"/>
          <w:sz w:val="17"/>
        </w:rPr>
        <w:t>qui</w:t>
      </w:r>
      <w:r>
        <w:rPr>
          <w:rFonts w:ascii="Arial" w:hAnsi="Arial"/>
          <w:color w:val="231F20"/>
          <w:spacing w:val="-1"/>
          <w:w w:val="95"/>
          <w:sz w:val="17"/>
        </w:rPr>
        <w:t> </w:t>
      </w:r>
      <w:r>
        <w:rPr>
          <w:rFonts w:ascii="Arial" w:hAnsi="Arial"/>
          <w:color w:val="231F20"/>
          <w:w w:val="95"/>
          <w:sz w:val="17"/>
        </w:rPr>
        <w:t>dispute</w:t>
      </w:r>
      <w:r>
        <w:rPr>
          <w:rFonts w:ascii="Arial" w:hAnsi="Arial"/>
          <w:color w:val="231F20"/>
          <w:spacing w:val="-1"/>
          <w:w w:val="95"/>
          <w:sz w:val="17"/>
        </w:rPr>
        <w:t> </w:t>
      </w:r>
      <w:r>
        <w:rPr>
          <w:rFonts w:ascii="Arial" w:hAnsi="Arial"/>
          <w:color w:val="231F20"/>
          <w:w w:val="95"/>
          <w:sz w:val="17"/>
        </w:rPr>
        <w:t>depuis</w:t>
      </w:r>
      <w:r>
        <w:rPr>
          <w:rFonts w:ascii="Arial" w:hAnsi="Arial"/>
          <w:color w:val="231F20"/>
          <w:spacing w:val="-1"/>
          <w:w w:val="95"/>
          <w:sz w:val="17"/>
        </w:rPr>
        <w:t> </w:t>
      </w:r>
      <w:r>
        <w:rPr>
          <w:rFonts w:ascii="Arial" w:hAnsi="Arial"/>
          <w:color w:val="231F20"/>
          <w:w w:val="95"/>
          <w:sz w:val="17"/>
        </w:rPr>
        <w:t>des </w:t>
      </w:r>
      <w:r>
        <w:rPr>
          <w:rFonts w:ascii="Arial" w:hAnsi="Arial"/>
          <w:color w:val="231F20"/>
          <w:sz w:val="17"/>
        </w:rPr>
        <w:t>années</w:t>
      </w:r>
      <w:r>
        <w:rPr>
          <w:rFonts w:ascii="Arial" w:hAnsi="Arial"/>
          <w:color w:val="231F20"/>
          <w:spacing w:val="-8"/>
          <w:sz w:val="17"/>
        </w:rPr>
        <w:t> </w:t>
      </w:r>
      <w:r>
        <w:rPr>
          <w:rFonts w:ascii="Arial" w:hAnsi="Arial"/>
          <w:color w:val="231F20"/>
          <w:sz w:val="17"/>
        </w:rPr>
        <w:t>le</w:t>
      </w:r>
      <w:r>
        <w:rPr>
          <w:rFonts w:ascii="Arial" w:hAnsi="Arial"/>
          <w:color w:val="231F20"/>
          <w:spacing w:val="-8"/>
          <w:sz w:val="17"/>
        </w:rPr>
        <w:t> </w:t>
      </w:r>
      <w:r>
        <w:rPr>
          <w:rFonts w:ascii="Arial" w:hAnsi="Arial"/>
          <w:color w:val="231F20"/>
          <w:sz w:val="17"/>
        </w:rPr>
        <w:t>Vendée</w:t>
      </w:r>
      <w:r>
        <w:rPr>
          <w:rFonts w:ascii="Arial" w:hAnsi="Arial"/>
          <w:color w:val="231F20"/>
          <w:spacing w:val="-8"/>
          <w:sz w:val="17"/>
        </w:rPr>
        <w:t> </w:t>
      </w:r>
      <w:r>
        <w:rPr>
          <w:rFonts w:ascii="Arial" w:hAnsi="Arial"/>
          <w:color w:val="231F20"/>
          <w:sz w:val="17"/>
        </w:rPr>
        <w:t>Globe.</w:t>
      </w:r>
      <w:r>
        <w:rPr>
          <w:rFonts w:ascii="Arial" w:hAnsi="Arial"/>
          <w:color w:val="231F20"/>
          <w:spacing w:val="-8"/>
          <w:sz w:val="17"/>
        </w:rPr>
        <w:t> </w:t>
      </w:r>
      <w:r>
        <w:rPr>
          <w:rFonts w:ascii="Arial" w:hAnsi="Arial"/>
          <w:color w:val="231F20"/>
          <w:sz w:val="17"/>
        </w:rPr>
        <w:t>Avant</w:t>
      </w:r>
      <w:r>
        <w:rPr>
          <w:rFonts w:ascii="Arial" w:hAnsi="Arial"/>
          <w:color w:val="231F20"/>
          <w:spacing w:val="-8"/>
          <w:sz w:val="17"/>
        </w:rPr>
        <w:t> </w:t>
      </w:r>
      <w:r>
        <w:rPr>
          <w:rFonts w:ascii="Arial" w:hAnsi="Arial"/>
          <w:color w:val="231F20"/>
          <w:sz w:val="17"/>
        </w:rPr>
        <w:t>et</w:t>
      </w:r>
      <w:r>
        <w:rPr>
          <w:rFonts w:ascii="Arial" w:hAnsi="Arial"/>
          <w:color w:val="231F20"/>
          <w:spacing w:val="-8"/>
          <w:sz w:val="17"/>
        </w:rPr>
        <w:t> </w:t>
      </w:r>
      <w:r>
        <w:rPr>
          <w:rFonts w:ascii="Arial" w:hAnsi="Arial"/>
          <w:color w:val="231F20"/>
          <w:sz w:val="17"/>
        </w:rPr>
        <w:t>pendant</w:t>
      </w:r>
      <w:r>
        <w:rPr>
          <w:rFonts w:ascii="Arial" w:hAnsi="Arial"/>
          <w:color w:val="231F20"/>
          <w:spacing w:val="-8"/>
          <w:sz w:val="17"/>
        </w:rPr>
        <w:t> </w:t>
      </w:r>
      <w:r>
        <w:rPr>
          <w:rFonts w:ascii="Arial" w:hAnsi="Arial"/>
          <w:color w:val="231F20"/>
          <w:sz w:val="17"/>
        </w:rPr>
        <w:t>l’épreuve,</w:t>
      </w:r>
      <w:r>
        <w:rPr>
          <w:rFonts w:ascii="Arial" w:hAnsi="Arial"/>
          <w:color w:val="231F20"/>
          <w:spacing w:val="-8"/>
          <w:sz w:val="17"/>
        </w:rPr>
        <w:t> </w:t>
      </w:r>
      <w:r>
        <w:rPr>
          <w:rFonts w:ascii="Arial" w:hAnsi="Arial"/>
          <w:color w:val="231F20"/>
          <w:sz w:val="17"/>
        </w:rPr>
        <w:t>il</w:t>
      </w:r>
      <w:r>
        <w:rPr>
          <w:rFonts w:ascii="Arial" w:hAnsi="Arial"/>
          <w:color w:val="231F20"/>
          <w:spacing w:val="-8"/>
          <w:sz w:val="17"/>
        </w:rPr>
        <w:t> </w:t>
      </w:r>
      <w:r>
        <w:rPr>
          <w:rFonts w:ascii="Arial" w:hAnsi="Arial"/>
          <w:color w:val="231F20"/>
          <w:sz w:val="17"/>
        </w:rPr>
        <w:t>garde</w:t>
      </w:r>
      <w:r>
        <w:rPr>
          <w:rFonts w:ascii="Arial" w:hAnsi="Arial"/>
          <w:color w:val="231F20"/>
          <w:spacing w:val="-8"/>
          <w:sz w:val="17"/>
        </w:rPr>
        <w:t> </w:t>
      </w:r>
      <w:r>
        <w:rPr>
          <w:rFonts w:ascii="Arial" w:hAnsi="Arial"/>
          <w:color w:val="231F20"/>
          <w:sz w:val="17"/>
        </w:rPr>
        <w:t>toujours en tête l’enjeu de la course, mais il n’oublie jamais qu’il ne s’agit que d’un</w:t>
      </w:r>
      <w:r>
        <w:rPr>
          <w:rFonts w:ascii="Arial" w:hAnsi="Arial"/>
          <w:color w:val="231F20"/>
          <w:spacing w:val="-8"/>
          <w:sz w:val="17"/>
        </w:rPr>
        <w:t> </w:t>
      </w:r>
      <w:r>
        <w:rPr>
          <w:rFonts w:ascii="Arial" w:hAnsi="Arial"/>
          <w:color w:val="231F20"/>
          <w:sz w:val="17"/>
        </w:rPr>
        <w:t>pan</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son</w:t>
      </w:r>
      <w:r>
        <w:rPr>
          <w:rFonts w:ascii="Arial" w:hAnsi="Arial"/>
          <w:color w:val="231F20"/>
          <w:spacing w:val="-8"/>
          <w:sz w:val="17"/>
        </w:rPr>
        <w:t> </w:t>
      </w:r>
      <w:r>
        <w:rPr>
          <w:rFonts w:ascii="Arial" w:hAnsi="Arial"/>
          <w:color w:val="231F20"/>
          <w:sz w:val="17"/>
        </w:rPr>
        <w:t>existence.</w:t>
      </w:r>
      <w:r>
        <w:rPr>
          <w:rFonts w:ascii="Arial" w:hAnsi="Arial"/>
          <w:color w:val="231F20"/>
          <w:spacing w:val="-8"/>
          <w:sz w:val="17"/>
        </w:rPr>
        <w:t> </w:t>
      </w:r>
      <w:r>
        <w:rPr>
          <w:rFonts w:ascii="Arial" w:hAnsi="Arial"/>
          <w:color w:val="231F20"/>
          <w:sz w:val="17"/>
        </w:rPr>
        <w:t>Résultat,</w:t>
      </w:r>
      <w:r>
        <w:rPr>
          <w:rFonts w:ascii="Arial" w:hAnsi="Arial"/>
          <w:color w:val="231F20"/>
          <w:spacing w:val="-8"/>
          <w:sz w:val="17"/>
        </w:rPr>
        <w:t> </w:t>
      </w:r>
      <w:r>
        <w:rPr>
          <w:rFonts w:ascii="Arial" w:hAnsi="Arial"/>
          <w:color w:val="231F20"/>
          <w:sz w:val="17"/>
        </w:rPr>
        <w:t>en</w:t>
      </w:r>
      <w:r>
        <w:rPr>
          <w:rFonts w:ascii="Arial" w:hAnsi="Arial"/>
          <w:color w:val="231F20"/>
          <w:spacing w:val="-8"/>
          <w:sz w:val="17"/>
        </w:rPr>
        <w:t> </w:t>
      </w:r>
      <w:r>
        <w:rPr>
          <w:rFonts w:ascii="Arial" w:hAnsi="Arial"/>
          <w:color w:val="231F20"/>
          <w:sz w:val="17"/>
        </w:rPr>
        <w:t>cas</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contre-performance</w:t>
      </w:r>
      <w:r>
        <w:rPr>
          <w:rFonts w:ascii="Arial" w:hAnsi="Arial"/>
          <w:color w:val="231F20"/>
          <w:spacing w:val="-8"/>
          <w:sz w:val="17"/>
        </w:rPr>
        <w:t> </w:t>
      </w:r>
      <w:r>
        <w:rPr>
          <w:rFonts w:ascii="Arial" w:hAnsi="Arial"/>
          <w:color w:val="231F20"/>
          <w:sz w:val="17"/>
        </w:rPr>
        <w:t>en mer,</w:t>
      </w:r>
      <w:r>
        <w:rPr>
          <w:rFonts w:ascii="Arial" w:hAnsi="Arial"/>
          <w:color w:val="231F20"/>
          <w:spacing w:val="-12"/>
          <w:sz w:val="17"/>
        </w:rPr>
        <w:t> </w:t>
      </w:r>
      <w:r>
        <w:rPr>
          <w:rFonts w:ascii="Arial" w:hAnsi="Arial"/>
          <w:color w:val="231F20"/>
          <w:sz w:val="17"/>
        </w:rPr>
        <w:t>il</w:t>
      </w:r>
      <w:r>
        <w:rPr>
          <w:rFonts w:ascii="Arial" w:hAnsi="Arial"/>
          <w:color w:val="231F20"/>
          <w:spacing w:val="-12"/>
          <w:sz w:val="17"/>
        </w:rPr>
        <w:t> </w:t>
      </w:r>
      <w:r>
        <w:rPr>
          <w:rFonts w:ascii="Arial" w:hAnsi="Arial"/>
          <w:color w:val="231F20"/>
          <w:sz w:val="17"/>
        </w:rPr>
        <w:t>s’appuie</w:t>
      </w:r>
      <w:r>
        <w:rPr>
          <w:rFonts w:ascii="Arial" w:hAnsi="Arial"/>
          <w:color w:val="231F20"/>
          <w:spacing w:val="-6"/>
          <w:sz w:val="17"/>
        </w:rPr>
        <w:t> </w:t>
      </w:r>
      <w:r>
        <w:rPr>
          <w:rFonts w:ascii="Arial" w:hAnsi="Arial"/>
          <w:color w:val="231F20"/>
          <w:sz w:val="17"/>
        </w:rPr>
        <w:t>sur ses deux autres «</w:t>
      </w:r>
      <w:r>
        <w:rPr>
          <w:rFonts w:ascii="Arial" w:hAnsi="Arial"/>
          <w:color w:val="231F20"/>
          <w:spacing w:val="-12"/>
          <w:sz w:val="17"/>
        </w:rPr>
        <w:t> </w:t>
      </w:r>
      <w:r>
        <w:rPr>
          <w:rFonts w:ascii="Arial" w:hAnsi="Arial"/>
          <w:color w:val="231F20"/>
          <w:sz w:val="17"/>
        </w:rPr>
        <w:t>raisons d’être</w:t>
      </w:r>
      <w:r>
        <w:rPr>
          <w:rFonts w:ascii="Arial" w:hAnsi="Arial"/>
          <w:color w:val="231F20"/>
          <w:spacing w:val="-12"/>
          <w:sz w:val="17"/>
        </w:rPr>
        <w:t> </w:t>
      </w:r>
      <w:r>
        <w:rPr>
          <w:rFonts w:ascii="Arial" w:hAnsi="Arial"/>
          <w:color w:val="231F20"/>
          <w:sz w:val="17"/>
        </w:rPr>
        <w:t>», sa famille et sa passion</w:t>
      </w:r>
      <w:r>
        <w:rPr>
          <w:rFonts w:ascii="Arial" w:hAnsi="Arial"/>
          <w:color w:val="231F20"/>
          <w:spacing w:val="-12"/>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la technologie, pour se remotiver. «</w:t>
      </w:r>
      <w:r>
        <w:rPr>
          <w:rFonts w:ascii="Arial" w:hAnsi="Arial"/>
          <w:color w:val="231F20"/>
          <w:spacing w:val="-12"/>
          <w:sz w:val="17"/>
        </w:rPr>
        <w:t> </w:t>
      </w:r>
      <w:r>
        <w:rPr>
          <w:rFonts w:ascii="Arial" w:hAnsi="Arial"/>
          <w:i/>
          <w:color w:val="231F20"/>
          <w:sz w:val="17"/>
        </w:rPr>
        <w:t>La seconde technique </w:t>
      </w:r>
      <w:r>
        <w:rPr>
          <w:rFonts w:ascii="Arial" w:hAnsi="Arial"/>
          <w:i/>
          <w:color w:val="231F20"/>
          <w:w w:val="95"/>
          <w:sz w:val="17"/>
        </w:rPr>
        <w:t>est de concentrer ses efforts sur ce qu’on peut maîtriser, poursuit Juliette </w:t>
      </w:r>
      <w:r>
        <w:rPr>
          <w:rFonts w:ascii="Arial" w:hAnsi="Arial"/>
          <w:i/>
          <w:color w:val="231F20"/>
          <w:spacing w:val="-2"/>
          <w:sz w:val="17"/>
        </w:rPr>
        <w:t>Tournand.</w:t>
      </w:r>
      <w:r>
        <w:rPr>
          <w:rFonts w:ascii="Arial" w:hAnsi="Arial"/>
          <w:i/>
          <w:color w:val="231F20"/>
          <w:spacing w:val="-9"/>
          <w:sz w:val="17"/>
        </w:rPr>
        <w:t> </w:t>
      </w:r>
      <w:r>
        <w:rPr>
          <w:rFonts w:ascii="Arial" w:hAnsi="Arial"/>
          <w:i/>
          <w:color w:val="231F20"/>
          <w:spacing w:val="-2"/>
          <w:sz w:val="17"/>
        </w:rPr>
        <w:t>Boucler</w:t>
      </w:r>
      <w:r>
        <w:rPr>
          <w:rFonts w:ascii="Arial" w:hAnsi="Arial"/>
          <w:i/>
          <w:color w:val="231F20"/>
          <w:spacing w:val="-9"/>
          <w:sz w:val="17"/>
        </w:rPr>
        <w:t> </w:t>
      </w:r>
      <w:r>
        <w:rPr>
          <w:rFonts w:ascii="Arial" w:hAnsi="Arial"/>
          <w:i/>
          <w:color w:val="231F20"/>
          <w:spacing w:val="-2"/>
          <w:sz w:val="17"/>
        </w:rPr>
        <w:t>un</w:t>
      </w:r>
      <w:r>
        <w:rPr>
          <w:rFonts w:ascii="Arial" w:hAnsi="Arial"/>
          <w:i/>
          <w:color w:val="231F20"/>
          <w:spacing w:val="-9"/>
          <w:sz w:val="17"/>
        </w:rPr>
        <w:t> </w:t>
      </w:r>
      <w:r>
        <w:rPr>
          <w:rFonts w:ascii="Arial" w:hAnsi="Arial"/>
          <w:i/>
          <w:color w:val="231F20"/>
          <w:spacing w:val="-2"/>
          <w:sz w:val="17"/>
        </w:rPr>
        <w:t>dossier,</w:t>
      </w:r>
      <w:r>
        <w:rPr>
          <w:rFonts w:ascii="Arial" w:hAnsi="Arial"/>
          <w:i/>
          <w:color w:val="231F20"/>
          <w:spacing w:val="-9"/>
          <w:sz w:val="17"/>
        </w:rPr>
        <w:t> </w:t>
      </w:r>
      <w:r>
        <w:rPr>
          <w:rFonts w:ascii="Arial" w:hAnsi="Arial"/>
          <w:i/>
          <w:color w:val="231F20"/>
          <w:spacing w:val="-2"/>
          <w:sz w:val="17"/>
        </w:rPr>
        <w:t>bétonner</w:t>
      </w:r>
      <w:r>
        <w:rPr>
          <w:rFonts w:ascii="Arial" w:hAnsi="Arial"/>
          <w:i/>
          <w:color w:val="231F20"/>
          <w:spacing w:val="-9"/>
          <w:sz w:val="17"/>
        </w:rPr>
        <w:t> </w:t>
      </w:r>
      <w:r>
        <w:rPr>
          <w:rFonts w:ascii="Arial" w:hAnsi="Arial"/>
          <w:i/>
          <w:color w:val="231F20"/>
          <w:spacing w:val="-2"/>
          <w:sz w:val="17"/>
        </w:rPr>
        <w:t>un</w:t>
      </w:r>
      <w:r>
        <w:rPr>
          <w:rFonts w:ascii="Arial" w:hAnsi="Arial"/>
          <w:i/>
          <w:color w:val="231F20"/>
          <w:spacing w:val="-9"/>
          <w:sz w:val="17"/>
        </w:rPr>
        <w:t> </w:t>
      </w:r>
      <w:r>
        <w:rPr>
          <w:rFonts w:ascii="Arial" w:hAnsi="Arial"/>
          <w:i/>
          <w:color w:val="231F20"/>
          <w:spacing w:val="-2"/>
          <w:sz w:val="17"/>
        </w:rPr>
        <w:t>argumentaire,</w:t>
      </w:r>
      <w:r>
        <w:rPr>
          <w:rFonts w:ascii="Arial" w:hAnsi="Arial"/>
          <w:i/>
          <w:color w:val="231F20"/>
          <w:spacing w:val="-9"/>
          <w:sz w:val="17"/>
        </w:rPr>
        <w:t> </w:t>
      </w:r>
      <w:r>
        <w:rPr>
          <w:rFonts w:ascii="Arial" w:hAnsi="Arial"/>
          <w:i/>
          <w:color w:val="231F20"/>
          <w:spacing w:val="-2"/>
          <w:sz w:val="17"/>
        </w:rPr>
        <w:t>piloter</w:t>
      </w:r>
      <w:r>
        <w:rPr>
          <w:rFonts w:ascii="Arial" w:hAnsi="Arial"/>
          <w:i/>
          <w:color w:val="231F20"/>
          <w:spacing w:val="-9"/>
          <w:sz w:val="17"/>
        </w:rPr>
        <w:t> </w:t>
      </w:r>
      <w:r>
        <w:rPr>
          <w:rFonts w:ascii="Arial" w:hAnsi="Arial"/>
          <w:i/>
          <w:color w:val="231F20"/>
          <w:spacing w:val="-2"/>
          <w:sz w:val="17"/>
        </w:rPr>
        <w:t>tel</w:t>
      </w:r>
      <w:r>
        <w:rPr>
          <w:rFonts w:ascii="Arial" w:hAnsi="Arial"/>
          <w:i/>
          <w:color w:val="231F20"/>
          <w:spacing w:val="-9"/>
          <w:sz w:val="17"/>
        </w:rPr>
        <w:t> </w:t>
      </w:r>
      <w:r>
        <w:rPr>
          <w:rFonts w:ascii="Arial" w:hAnsi="Arial"/>
          <w:i/>
          <w:color w:val="231F20"/>
          <w:spacing w:val="-2"/>
          <w:sz w:val="17"/>
        </w:rPr>
        <w:t>pro- </w:t>
      </w:r>
      <w:r>
        <w:rPr>
          <w:rFonts w:ascii="Arial" w:hAnsi="Arial"/>
          <w:i/>
          <w:color w:val="231F20"/>
          <w:w w:val="95"/>
          <w:sz w:val="17"/>
        </w:rPr>
        <w:t>jet…</w:t>
      </w:r>
      <w:r>
        <w:rPr>
          <w:rFonts w:ascii="Arial" w:hAnsi="Arial"/>
          <w:i/>
          <w:color w:val="231F20"/>
          <w:spacing w:val="-7"/>
          <w:w w:val="95"/>
          <w:sz w:val="17"/>
        </w:rPr>
        <w:t> </w:t>
      </w:r>
      <w:r>
        <w:rPr>
          <w:rFonts w:ascii="Arial" w:hAnsi="Arial"/>
          <w:i/>
          <w:color w:val="231F20"/>
          <w:w w:val="95"/>
          <w:sz w:val="17"/>
        </w:rPr>
        <w:t>Inutile</w:t>
      </w:r>
      <w:r>
        <w:rPr>
          <w:rFonts w:ascii="Arial" w:hAnsi="Arial"/>
          <w:i/>
          <w:color w:val="231F20"/>
          <w:spacing w:val="-7"/>
          <w:w w:val="95"/>
          <w:sz w:val="17"/>
        </w:rPr>
        <w:t> </w:t>
      </w:r>
      <w:r>
        <w:rPr>
          <w:rFonts w:ascii="Arial" w:hAnsi="Arial"/>
          <w:i/>
          <w:color w:val="231F20"/>
          <w:w w:val="95"/>
          <w:sz w:val="17"/>
        </w:rPr>
        <w:t>de</w:t>
      </w:r>
      <w:r>
        <w:rPr>
          <w:rFonts w:ascii="Arial" w:hAnsi="Arial"/>
          <w:i/>
          <w:color w:val="231F20"/>
          <w:spacing w:val="-7"/>
          <w:w w:val="95"/>
          <w:sz w:val="17"/>
        </w:rPr>
        <w:t> </w:t>
      </w:r>
      <w:r>
        <w:rPr>
          <w:rFonts w:ascii="Arial" w:hAnsi="Arial"/>
          <w:i/>
          <w:color w:val="231F20"/>
          <w:w w:val="95"/>
          <w:sz w:val="17"/>
        </w:rPr>
        <w:t>dépenser</w:t>
      </w:r>
      <w:r>
        <w:rPr>
          <w:rFonts w:ascii="Arial" w:hAnsi="Arial"/>
          <w:i/>
          <w:color w:val="231F20"/>
          <w:spacing w:val="-7"/>
          <w:w w:val="95"/>
          <w:sz w:val="17"/>
        </w:rPr>
        <w:t> </w:t>
      </w:r>
      <w:r>
        <w:rPr>
          <w:rFonts w:ascii="Arial" w:hAnsi="Arial"/>
          <w:i/>
          <w:color w:val="231F20"/>
          <w:w w:val="95"/>
          <w:sz w:val="17"/>
        </w:rPr>
        <w:t>son</w:t>
      </w:r>
      <w:r>
        <w:rPr>
          <w:rFonts w:ascii="Arial" w:hAnsi="Arial"/>
          <w:i/>
          <w:color w:val="231F20"/>
          <w:spacing w:val="-7"/>
          <w:w w:val="95"/>
          <w:sz w:val="17"/>
        </w:rPr>
        <w:t> </w:t>
      </w:r>
      <w:r>
        <w:rPr>
          <w:rFonts w:ascii="Arial" w:hAnsi="Arial"/>
          <w:i/>
          <w:color w:val="231F20"/>
          <w:w w:val="95"/>
          <w:sz w:val="17"/>
        </w:rPr>
        <w:t>énergie</w:t>
      </w:r>
      <w:r>
        <w:rPr>
          <w:rFonts w:ascii="Arial" w:hAnsi="Arial"/>
          <w:i/>
          <w:color w:val="231F20"/>
          <w:spacing w:val="-7"/>
          <w:w w:val="95"/>
          <w:sz w:val="17"/>
        </w:rPr>
        <w:t> </w:t>
      </w:r>
      <w:r>
        <w:rPr>
          <w:rFonts w:ascii="Arial" w:hAnsi="Arial"/>
          <w:i/>
          <w:color w:val="231F20"/>
          <w:w w:val="95"/>
          <w:sz w:val="17"/>
        </w:rPr>
        <w:t>à</w:t>
      </w:r>
      <w:r>
        <w:rPr>
          <w:rFonts w:ascii="Arial" w:hAnsi="Arial"/>
          <w:i/>
          <w:color w:val="231F20"/>
          <w:spacing w:val="-7"/>
          <w:w w:val="95"/>
          <w:sz w:val="17"/>
        </w:rPr>
        <w:t> </w:t>
      </w:r>
      <w:r>
        <w:rPr>
          <w:rFonts w:ascii="Arial" w:hAnsi="Arial"/>
          <w:i/>
          <w:color w:val="231F20"/>
          <w:w w:val="95"/>
          <w:sz w:val="17"/>
        </w:rPr>
        <w:t>s’inquiéter</w:t>
      </w:r>
      <w:r>
        <w:rPr>
          <w:rFonts w:ascii="Arial" w:hAnsi="Arial"/>
          <w:i/>
          <w:color w:val="231F20"/>
          <w:spacing w:val="-7"/>
          <w:w w:val="95"/>
          <w:sz w:val="17"/>
        </w:rPr>
        <w:t> </w:t>
      </w:r>
      <w:r>
        <w:rPr>
          <w:rFonts w:ascii="Arial" w:hAnsi="Arial"/>
          <w:i/>
          <w:color w:val="231F20"/>
          <w:w w:val="95"/>
          <w:sz w:val="17"/>
        </w:rPr>
        <w:t>pour</w:t>
      </w:r>
      <w:r>
        <w:rPr>
          <w:rFonts w:ascii="Arial" w:hAnsi="Arial"/>
          <w:i/>
          <w:color w:val="231F20"/>
          <w:spacing w:val="-7"/>
          <w:w w:val="95"/>
          <w:sz w:val="17"/>
        </w:rPr>
        <w:t> </w:t>
      </w:r>
      <w:r>
        <w:rPr>
          <w:rFonts w:ascii="Arial" w:hAnsi="Arial"/>
          <w:i/>
          <w:color w:val="231F20"/>
          <w:w w:val="95"/>
          <w:sz w:val="17"/>
        </w:rPr>
        <w:t>des</w:t>
      </w:r>
      <w:r>
        <w:rPr>
          <w:rFonts w:ascii="Arial" w:hAnsi="Arial"/>
          <w:i/>
          <w:color w:val="231F20"/>
          <w:spacing w:val="-7"/>
          <w:w w:val="95"/>
          <w:sz w:val="17"/>
        </w:rPr>
        <w:t> </w:t>
      </w:r>
      <w:r>
        <w:rPr>
          <w:rFonts w:ascii="Arial" w:hAnsi="Arial"/>
          <w:i/>
          <w:color w:val="231F20"/>
          <w:w w:val="95"/>
          <w:sz w:val="17"/>
        </w:rPr>
        <w:t>éléments</w:t>
      </w:r>
      <w:r>
        <w:rPr>
          <w:rFonts w:ascii="Arial" w:hAnsi="Arial"/>
          <w:i/>
          <w:color w:val="231F20"/>
          <w:spacing w:val="-7"/>
          <w:w w:val="95"/>
          <w:sz w:val="17"/>
        </w:rPr>
        <w:t> </w:t>
      </w:r>
      <w:r>
        <w:rPr>
          <w:rFonts w:ascii="Arial" w:hAnsi="Arial"/>
          <w:i/>
          <w:color w:val="231F20"/>
          <w:w w:val="95"/>
          <w:sz w:val="17"/>
        </w:rPr>
        <w:t>hors </w:t>
      </w:r>
      <w:r>
        <w:rPr>
          <w:rFonts w:ascii="Arial" w:hAnsi="Arial"/>
          <w:i/>
          <w:color w:val="231F20"/>
          <w:sz w:val="17"/>
        </w:rPr>
        <w:t>de notre contrôle.</w:t>
      </w:r>
      <w:r>
        <w:rPr>
          <w:rFonts w:ascii="Arial" w:hAnsi="Arial"/>
          <w:i/>
          <w:color w:val="231F20"/>
          <w:spacing w:val="-23"/>
          <w:sz w:val="17"/>
        </w:rPr>
        <w:t> </w:t>
      </w:r>
      <w:r>
        <w:rPr>
          <w:rFonts w:ascii="Arial" w:hAnsi="Arial"/>
          <w:color w:val="231F20"/>
          <w:sz w:val="17"/>
        </w:rPr>
        <w:t>»</w:t>
      </w:r>
    </w:p>
    <w:p>
      <w:pPr>
        <w:pStyle w:val="BodyText"/>
        <w:spacing w:before="7"/>
        <w:rPr>
          <w:rFonts w:ascii="Arial"/>
          <w:sz w:val="21"/>
        </w:rPr>
      </w:pPr>
    </w:p>
    <w:p>
      <w:pPr>
        <w:pStyle w:val="Heading6"/>
        <w:numPr>
          <w:ilvl w:val="1"/>
          <w:numId w:val="70"/>
        </w:numPr>
        <w:tabs>
          <w:tab w:pos="1660" w:val="left" w:leader="none"/>
        </w:tabs>
        <w:spacing w:line="240" w:lineRule="auto" w:before="0" w:after="0"/>
        <w:ind w:left="1659" w:right="0" w:hanging="190"/>
        <w:jc w:val="left"/>
      </w:pPr>
      <w:r>
        <w:rPr>
          <w:color w:val="231F20"/>
          <w:w w:val="95"/>
        </w:rPr>
        <w:t>Affranchissez-vous</w:t>
      </w:r>
      <w:r>
        <w:rPr>
          <w:color w:val="231F20"/>
          <w:spacing w:val="-10"/>
          <w:w w:val="95"/>
        </w:rPr>
        <w:t> </w:t>
      </w:r>
      <w:r>
        <w:rPr>
          <w:color w:val="231F20"/>
          <w:w w:val="95"/>
        </w:rPr>
        <w:t>du</w:t>
      </w:r>
      <w:r>
        <w:rPr>
          <w:color w:val="231F20"/>
          <w:spacing w:val="-9"/>
          <w:w w:val="95"/>
        </w:rPr>
        <w:t> </w:t>
      </w:r>
      <w:r>
        <w:rPr>
          <w:color w:val="231F20"/>
          <w:w w:val="95"/>
        </w:rPr>
        <w:t>regard</w:t>
      </w:r>
      <w:r>
        <w:rPr>
          <w:color w:val="231F20"/>
          <w:spacing w:val="-9"/>
          <w:w w:val="95"/>
        </w:rPr>
        <w:t> </w:t>
      </w:r>
      <w:r>
        <w:rPr>
          <w:color w:val="231F20"/>
          <w:w w:val="95"/>
        </w:rPr>
        <w:t>que</w:t>
      </w:r>
      <w:r>
        <w:rPr>
          <w:color w:val="231F20"/>
          <w:spacing w:val="-9"/>
          <w:w w:val="95"/>
        </w:rPr>
        <w:t> </w:t>
      </w:r>
      <w:r>
        <w:rPr>
          <w:color w:val="231F20"/>
          <w:w w:val="95"/>
        </w:rPr>
        <w:t>les</w:t>
      </w:r>
      <w:r>
        <w:rPr>
          <w:color w:val="231F20"/>
          <w:spacing w:val="-9"/>
          <w:w w:val="95"/>
        </w:rPr>
        <w:t> </w:t>
      </w:r>
      <w:r>
        <w:rPr>
          <w:color w:val="231F20"/>
          <w:w w:val="95"/>
        </w:rPr>
        <w:t>autres</w:t>
      </w:r>
      <w:r>
        <w:rPr>
          <w:color w:val="231F20"/>
          <w:spacing w:val="-9"/>
          <w:w w:val="95"/>
        </w:rPr>
        <w:t> </w:t>
      </w:r>
      <w:r>
        <w:rPr>
          <w:color w:val="231F20"/>
          <w:w w:val="95"/>
        </w:rPr>
        <w:t>portent</w:t>
      </w:r>
      <w:r>
        <w:rPr>
          <w:color w:val="231F20"/>
          <w:spacing w:val="-9"/>
          <w:w w:val="95"/>
        </w:rPr>
        <w:t> </w:t>
      </w:r>
      <w:r>
        <w:rPr>
          <w:color w:val="231F20"/>
          <w:w w:val="95"/>
        </w:rPr>
        <w:t>sur</w:t>
      </w:r>
      <w:r>
        <w:rPr>
          <w:color w:val="231F20"/>
          <w:spacing w:val="-10"/>
          <w:w w:val="95"/>
        </w:rPr>
        <w:t> </w:t>
      </w:r>
      <w:r>
        <w:rPr>
          <w:color w:val="231F20"/>
          <w:spacing w:val="-4"/>
          <w:w w:val="95"/>
        </w:rPr>
        <w:t>vous</w:t>
      </w:r>
    </w:p>
    <w:p>
      <w:pPr>
        <w:spacing w:line="307" w:lineRule="auto" w:before="135"/>
        <w:ind w:left="1470" w:right="353" w:firstLine="0"/>
        <w:jc w:val="both"/>
        <w:rPr>
          <w:rFonts w:ascii="Arial" w:hAnsi="Arial"/>
          <w:sz w:val="17"/>
        </w:rPr>
      </w:pPr>
      <w:r>
        <w:rPr>
          <w:rFonts w:ascii="Arial" w:hAnsi="Arial"/>
          <w:color w:val="231F20"/>
          <w:w w:val="95"/>
          <w:sz w:val="17"/>
        </w:rPr>
        <w:t>«</w:t>
      </w:r>
      <w:r>
        <w:rPr>
          <w:rFonts w:ascii="Arial" w:hAnsi="Arial"/>
          <w:color w:val="231F20"/>
          <w:spacing w:val="-10"/>
          <w:w w:val="95"/>
          <w:sz w:val="17"/>
        </w:rPr>
        <w:t> </w:t>
      </w:r>
      <w:r>
        <w:rPr>
          <w:rFonts w:ascii="Arial" w:hAnsi="Arial"/>
          <w:i/>
          <w:color w:val="231F20"/>
          <w:w w:val="95"/>
          <w:sz w:val="17"/>
        </w:rPr>
        <w:t>Tout</w:t>
      </w:r>
      <w:r>
        <w:rPr>
          <w:rFonts w:ascii="Arial" w:hAnsi="Arial"/>
          <w:i/>
          <w:color w:val="231F20"/>
          <w:spacing w:val="-9"/>
          <w:w w:val="95"/>
          <w:sz w:val="17"/>
        </w:rPr>
        <w:t> </w:t>
      </w:r>
      <w:r>
        <w:rPr>
          <w:rFonts w:ascii="Arial" w:hAnsi="Arial"/>
          <w:i/>
          <w:color w:val="231F20"/>
          <w:w w:val="95"/>
          <w:sz w:val="17"/>
        </w:rPr>
        <w:t>le</w:t>
      </w:r>
      <w:r>
        <w:rPr>
          <w:rFonts w:ascii="Arial" w:hAnsi="Arial"/>
          <w:i/>
          <w:color w:val="231F20"/>
          <w:spacing w:val="-10"/>
          <w:w w:val="95"/>
          <w:sz w:val="17"/>
        </w:rPr>
        <w:t> </w:t>
      </w:r>
      <w:r>
        <w:rPr>
          <w:rFonts w:ascii="Arial" w:hAnsi="Arial"/>
          <w:i/>
          <w:color w:val="231F20"/>
          <w:w w:val="95"/>
          <w:sz w:val="17"/>
        </w:rPr>
        <w:t>monde</w:t>
      </w:r>
      <w:r>
        <w:rPr>
          <w:rFonts w:ascii="Arial" w:hAnsi="Arial"/>
          <w:i/>
          <w:color w:val="231F20"/>
          <w:spacing w:val="-9"/>
          <w:w w:val="95"/>
          <w:sz w:val="17"/>
        </w:rPr>
        <w:t> </w:t>
      </w:r>
      <w:r>
        <w:rPr>
          <w:rFonts w:ascii="Arial" w:hAnsi="Arial"/>
          <w:i/>
          <w:color w:val="231F20"/>
          <w:w w:val="95"/>
          <w:sz w:val="17"/>
        </w:rPr>
        <w:t>se</w:t>
      </w:r>
      <w:r>
        <w:rPr>
          <w:rFonts w:ascii="Arial" w:hAnsi="Arial"/>
          <w:i/>
          <w:color w:val="231F20"/>
          <w:spacing w:val="-10"/>
          <w:w w:val="95"/>
          <w:sz w:val="17"/>
        </w:rPr>
        <w:t> </w:t>
      </w:r>
      <w:r>
        <w:rPr>
          <w:rFonts w:ascii="Arial" w:hAnsi="Arial"/>
          <w:i/>
          <w:color w:val="231F20"/>
          <w:w w:val="95"/>
          <w:sz w:val="17"/>
        </w:rPr>
        <w:t>fichait</w:t>
      </w:r>
      <w:r>
        <w:rPr>
          <w:rFonts w:ascii="Arial" w:hAnsi="Arial"/>
          <w:i/>
          <w:color w:val="231F20"/>
          <w:spacing w:val="-9"/>
          <w:w w:val="95"/>
          <w:sz w:val="17"/>
        </w:rPr>
        <w:t> </w:t>
      </w:r>
      <w:r>
        <w:rPr>
          <w:rFonts w:ascii="Arial" w:hAnsi="Arial"/>
          <w:i/>
          <w:color w:val="231F20"/>
          <w:w w:val="95"/>
          <w:sz w:val="17"/>
        </w:rPr>
        <w:t>de</w:t>
      </w:r>
      <w:r>
        <w:rPr>
          <w:rFonts w:ascii="Arial" w:hAnsi="Arial"/>
          <w:i/>
          <w:color w:val="231F20"/>
          <w:spacing w:val="-10"/>
          <w:w w:val="95"/>
          <w:sz w:val="17"/>
        </w:rPr>
        <w:t> </w:t>
      </w:r>
      <w:r>
        <w:rPr>
          <w:rFonts w:ascii="Arial" w:hAnsi="Arial"/>
          <w:i/>
          <w:color w:val="231F20"/>
          <w:w w:val="95"/>
          <w:sz w:val="17"/>
        </w:rPr>
        <w:t>moi,</w:t>
      </w:r>
      <w:r>
        <w:rPr>
          <w:rFonts w:ascii="Arial" w:hAnsi="Arial"/>
          <w:i/>
          <w:color w:val="231F20"/>
          <w:spacing w:val="-9"/>
          <w:w w:val="95"/>
          <w:sz w:val="17"/>
        </w:rPr>
        <w:t> </w:t>
      </w:r>
      <w:r>
        <w:rPr>
          <w:rFonts w:ascii="Arial" w:hAnsi="Arial"/>
          <w:i/>
          <w:color w:val="231F20"/>
          <w:w w:val="95"/>
          <w:sz w:val="17"/>
        </w:rPr>
        <w:t>même</w:t>
      </w:r>
      <w:r>
        <w:rPr>
          <w:rFonts w:ascii="Arial" w:hAnsi="Arial"/>
          <w:i/>
          <w:color w:val="231F20"/>
          <w:spacing w:val="-10"/>
          <w:w w:val="95"/>
          <w:sz w:val="17"/>
        </w:rPr>
        <w:t> </w:t>
      </w:r>
      <w:r>
        <w:rPr>
          <w:rFonts w:ascii="Arial" w:hAnsi="Arial"/>
          <w:i/>
          <w:color w:val="231F20"/>
          <w:w w:val="95"/>
          <w:sz w:val="17"/>
        </w:rPr>
        <w:t>mon</w:t>
      </w:r>
      <w:r>
        <w:rPr>
          <w:rFonts w:ascii="Arial" w:hAnsi="Arial"/>
          <w:i/>
          <w:color w:val="231F20"/>
          <w:spacing w:val="-9"/>
          <w:w w:val="95"/>
          <w:sz w:val="17"/>
        </w:rPr>
        <w:t> </w:t>
      </w:r>
      <w:r>
        <w:rPr>
          <w:rFonts w:ascii="Arial" w:hAnsi="Arial"/>
          <w:i/>
          <w:color w:val="231F20"/>
          <w:w w:val="95"/>
          <w:sz w:val="17"/>
        </w:rPr>
        <w:t>banquier,</w:t>
      </w:r>
      <w:r>
        <w:rPr>
          <w:rFonts w:ascii="Arial" w:hAnsi="Arial"/>
          <w:i/>
          <w:color w:val="231F20"/>
          <w:spacing w:val="-9"/>
          <w:w w:val="95"/>
          <w:sz w:val="17"/>
        </w:rPr>
        <w:t> </w:t>
      </w:r>
      <w:r>
        <w:rPr>
          <w:rFonts w:ascii="Arial" w:hAnsi="Arial"/>
          <w:i/>
          <w:color w:val="231F20"/>
          <w:w w:val="95"/>
          <w:sz w:val="17"/>
        </w:rPr>
        <w:t>raconte</w:t>
      </w:r>
      <w:r>
        <w:rPr>
          <w:rFonts w:ascii="Arial" w:hAnsi="Arial"/>
          <w:i/>
          <w:color w:val="231F20"/>
          <w:spacing w:val="-10"/>
          <w:w w:val="95"/>
          <w:sz w:val="17"/>
        </w:rPr>
        <w:t> </w:t>
      </w:r>
      <w:r>
        <w:rPr>
          <w:rFonts w:ascii="Arial" w:hAnsi="Arial"/>
          <w:i/>
          <w:color w:val="231F20"/>
          <w:w w:val="95"/>
          <w:sz w:val="17"/>
        </w:rPr>
        <w:t>Guillaume Gibault,</w:t>
      </w:r>
      <w:r>
        <w:rPr>
          <w:rFonts w:ascii="Arial" w:hAnsi="Arial"/>
          <w:i/>
          <w:color w:val="231F20"/>
          <w:spacing w:val="-1"/>
          <w:w w:val="95"/>
          <w:sz w:val="17"/>
        </w:rPr>
        <w:t> </w:t>
      </w:r>
      <w:r>
        <w:rPr>
          <w:rFonts w:ascii="Arial" w:hAnsi="Arial"/>
          <w:i/>
          <w:color w:val="231F20"/>
          <w:w w:val="95"/>
          <w:sz w:val="17"/>
        </w:rPr>
        <w:t>qui</w:t>
      </w:r>
      <w:r>
        <w:rPr>
          <w:rFonts w:ascii="Arial" w:hAnsi="Arial"/>
          <w:i/>
          <w:color w:val="231F20"/>
          <w:spacing w:val="-1"/>
          <w:w w:val="95"/>
          <w:sz w:val="17"/>
        </w:rPr>
        <w:t> </w:t>
      </w:r>
      <w:r>
        <w:rPr>
          <w:rFonts w:ascii="Arial" w:hAnsi="Arial"/>
          <w:i/>
          <w:color w:val="231F20"/>
          <w:w w:val="95"/>
          <w:sz w:val="17"/>
        </w:rPr>
        <w:t>a</w:t>
      </w:r>
      <w:r>
        <w:rPr>
          <w:rFonts w:ascii="Arial" w:hAnsi="Arial"/>
          <w:i/>
          <w:color w:val="231F20"/>
          <w:spacing w:val="-1"/>
          <w:w w:val="95"/>
          <w:sz w:val="17"/>
        </w:rPr>
        <w:t> </w:t>
      </w:r>
      <w:r>
        <w:rPr>
          <w:rFonts w:ascii="Arial" w:hAnsi="Arial"/>
          <w:i/>
          <w:color w:val="231F20"/>
          <w:w w:val="95"/>
          <w:sz w:val="17"/>
        </w:rPr>
        <w:t>créé</w:t>
      </w:r>
      <w:r>
        <w:rPr>
          <w:rFonts w:ascii="Arial" w:hAnsi="Arial"/>
          <w:i/>
          <w:color w:val="231F20"/>
          <w:spacing w:val="-1"/>
          <w:w w:val="95"/>
          <w:sz w:val="17"/>
        </w:rPr>
        <w:t> </w:t>
      </w:r>
      <w:r>
        <w:rPr>
          <w:rFonts w:ascii="Arial" w:hAnsi="Arial"/>
          <w:i/>
          <w:color w:val="231F20"/>
          <w:w w:val="95"/>
          <w:sz w:val="17"/>
        </w:rPr>
        <w:t>Le</w:t>
      </w:r>
      <w:r>
        <w:rPr>
          <w:rFonts w:ascii="Arial" w:hAnsi="Arial"/>
          <w:i/>
          <w:color w:val="231F20"/>
          <w:spacing w:val="-1"/>
          <w:w w:val="95"/>
          <w:sz w:val="17"/>
        </w:rPr>
        <w:t> </w:t>
      </w:r>
      <w:r>
        <w:rPr>
          <w:rFonts w:ascii="Arial" w:hAnsi="Arial"/>
          <w:i/>
          <w:color w:val="231F20"/>
          <w:w w:val="95"/>
          <w:sz w:val="17"/>
        </w:rPr>
        <w:t>Slip</w:t>
      </w:r>
      <w:r>
        <w:rPr>
          <w:rFonts w:ascii="Arial" w:hAnsi="Arial"/>
          <w:i/>
          <w:color w:val="231F20"/>
          <w:spacing w:val="-1"/>
          <w:w w:val="95"/>
          <w:sz w:val="17"/>
        </w:rPr>
        <w:t> </w:t>
      </w:r>
      <w:r>
        <w:rPr>
          <w:rFonts w:ascii="Arial" w:hAnsi="Arial"/>
          <w:i/>
          <w:color w:val="231F20"/>
          <w:w w:val="95"/>
          <w:sz w:val="17"/>
        </w:rPr>
        <w:t>français</w:t>
      </w:r>
      <w:r>
        <w:rPr>
          <w:rFonts w:ascii="Arial" w:hAnsi="Arial"/>
          <w:i/>
          <w:color w:val="231F20"/>
          <w:spacing w:val="-1"/>
          <w:w w:val="95"/>
          <w:sz w:val="17"/>
        </w:rPr>
        <w:t> </w:t>
      </w:r>
      <w:r>
        <w:rPr>
          <w:rFonts w:ascii="Arial" w:hAnsi="Arial"/>
          <w:i/>
          <w:color w:val="231F20"/>
          <w:w w:val="95"/>
          <w:sz w:val="17"/>
        </w:rPr>
        <w:t>en</w:t>
      </w:r>
      <w:r>
        <w:rPr>
          <w:rFonts w:ascii="Arial" w:hAnsi="Arial"/>
          <w:i/>
          <w:color w:val="231F20"/>
          <w:spacing w:val="-1"/>
          <w:w w:val="95"/>
          <w:sz w:val="17"/>
        </w:rPr>
        <w:t> </w:t>
      </w:r>
      <w:r>
        <w:rPr>
          <w:rFonts w:ascii="Arial" w:hAnsi="Arial"/>
          <w:i/>
          <w:color w:val="231F20"/>
          <w:w w:val="95"/>
          <w:sz w:val="17"/>
        </w:rPr>
        <w:t>2011.</w:t>
      </w:r>
      <w:r>
        <w:rPr>
          <w:rFonts w:ascii="Arial" w:hAnsi="Arial"/>
          <w:i/>
          <w:color w:val="231F20"/>
          <w:spacing w:val="-1"/>
          <w:w w:val="95"/>
          <w:sz w:val="17"/>
        </w:rPr>
        <w:t> </w:t>
      </w:r>
      <w:r>
        <w:rPr>
          <w:rFonts w:ascii="Arial" w:hAnsi="Arial"/>
          <w:i/>
          <w:color w:val="231F20"/>
          <w:w w:val="95"/>
          <w:sz w:val="17"/>
        </w:rPr>
        <w:t>J’ai</w:t>
      </w:r>
      <w:r>
        <w:rPr>
          <w:rFonts w:ascii="Arial" w:hAnsi="Arial"/>
          <w:i/>
          <w:color w:val="231F20"/>
          <w:spacing w:val="-1"/>
          <w:w w:val="95"/>
          <w:sz w:val="17"/>
        </w:rPr>
        <w:t> </w:t>
      </w:r>
      <w:r>
        <w:rPr>
          <w:rFonts w:ascii="Arial" w:hAnsi="Arial"/>
          <w:i/>
          <w:color w:val="231F20"/>
          <w:w w:val="95"/>
          <w:sz w:val="17"/>
        </w:rPr>
        <w:t>quand</w:t>
      </w:r>
      <w:r>
        <w:rPr>
          <w:rFonts w:ascii="Arial" w:hAnsi="Arial"/>
          <w:i/>
          <w:color w:val="231F20"/>
          <w:spacing w:val="-1"/>
          <w:w w:val="95"/>
          <w:sz w:val="17"/>
        </w:rPr>
        <w:t> </w:t>
      </w:r>
      <w:r>
        <w:rPr>
          <w:rFonts w:ascii="Arial" w:hAnsi="Arial"/>
          <w:i/>
          <w:color w:val="231F20"/>
          <w:w w:val="95"/>
          <w:sz w:val="17"/>
        </w:rPr>
        <w:t>même</w:t>
      </w:r>
      <w:r>
        <w:rPr>
          <w:rFonts w:ascii="Arial" w:hAnsi="Arial"/>
          <w:i/>
          <w:color w:val="231F20"/>
          <w:spacing w:val="-1"/>
          <w:w w:val="95"/>
          <w:sz w:val="17"/>
        </w:rPr>
        <w:t> </w:t>
      </w:r>
      <w:r>
        <w:rPr>
          <w:rFonts w:ascii="Arial" w:hAnsi="Arial"/>
          <w:i/>
          <w:color w:val="231F20"/>
          <w:w w:val="95"/>
          <w:sz w:val="17"/>
        </w:rPr>
        <w:t>réussi</w:t>
      </w:r>
      <w:r>
        <w:rPr>
          <w:rFonts w:ascii="Arial" w:hAnsi="Arial"/>
          <w:i/>
          <w:color w:val="231F20"/>
          <w:spacing w:val="-1"/>
          <w:w w:val="95"/>
          <w:sz w:val="17"/>
        </w:rPr>
        <w:t> </w:t>
      </w:r>
      <w:r>
        <w:rPr>
          <w:rFonts w:ascii="Arial" w:hAnsi="Arial"/>
          <w:i/>
          <w:color w:val="231F20"/>
          <w:w w:val="95"/>
          <w:sz w:val="17"/>
        </w:rPr>
        <w:t>à</w:t>
      </w:r>
      <w:r>
        <w:rPr>
          <w:rFonts w:ascii="Arial" w:hAnsi="Arial"/>
          <w:i/>
          <w:color w:val="231F20"/>
          <w:spacing w:val="-1"/>
          <w:w w:val="95"/>
          <w:sz w:val="17"/>
        </w:rPr>
        <w:t> </w:t>
      </w:r>
      <w:r>
        <w:rPr>
          <w:rFonts w:ascii="Arial" w:hAnsi="Arial"/>
          <w:i/>
          <w:color w:val="231F20"/>
          <w:w w:val="95"/>
          <w:sz w:val="17"/>
        </w:rPr>
        <w:t>lui </w:t>
      </w:r>
      <w:r>
        <w:rPr>
          <w:rFonts w:ascii="Arial" w:hAnsi="Arial"/>
          <w:i/>
          <w:color w:val="231F20"/>
          <w:sz w:val="17"/>
        </w:rPr>
        <w:t>emprunter 10 000 euros pour un projet qu’il estimait complètement ringard.</w:t>
      </w:r>
      <w:r>
        <w:rPr>
          <w:rFonts w:ascii="Arial" w:hAnsi="Arial"/>
          <w:i/>
          <w:color w:val="231F20"/>
          <w:spacing w:val="-12"/>
          <w:sz w:val="17"/>
        </w:rPr>
        <w:t> </w:t>
      </w:r>
      <w:r>
        <w:rPr>
          <w:rFonts w:ascii="Arial" w:hAnsi="Arial"/>
          <w:color w:val="231F20"/>
          <w:sz w:val="17"/>
        </w:rPr>
        <w:t>»</w:t>
      </w:r>
      <w:r>
        <w:rPr>
          <w:rFonts w:ascii="Arial" w:hAnsi="Arial"/>
          <w:color w:val="231F20"/>
          <w:spacing w:val="-12"/>
          <w:sz w:val="17"/>
        </w:rPr>
        <w:t> </w:t>
      </w:r>
      <w:r>
        <w:rPr>
          <w:rFonts w:ascii="Arial" w:hAnsi="Arial"/>
          <w:color w:val="231F20"/>
          <w:sz w:val="17"/>
        </w:rPr>
        <w:t>Ce patron de 27 ans ne s’est pas laissé déstabiliser par les moqueries.</w:t>
      </w:r>
      <w:r>
        <w:rPr>
          <w:rFonts w:ascii="Arial" w:hAnsi="Arial"/>
          <w:color w:val="231F20"/>
          <w:spacing w:val="-12"/>
          <w:sz w:val="17"/>
        </w:rPr>
        <w:t> </w:t>
      </w:r>
      <w:r>
        <w:rPr>
          <w:rFonts w:ascii="Arial" w:hAnsi="Arial"/>
          <w:color w:val="231F20"/>
          <w:sz w:val="17"/>
        </w:rPr>
        <w:t>Bien lui en a pris</w:t>
      </w:r>
      <w:r>
        <w:rPr>
          <w:rFonts w:ascii="Arial" w:hAnsi="Arial"/>
          <w:color w:val="231F20"/>
          <w:spacing w:val="-12"/>
          <w:sz w:val="17"/>
        </w:rPr>
        <w:t> </w:t>
      </w:r>
      <w:r>
        <w:rPr>
          <w:rFonts w:ascii="Arial" w:hAnsi="Arial"/>
          <w:color w:val="231F20"/>
          <w:sz w:val="17"/>
        </w:rPr>
        <w:t>: surfant sur le très en vogue «</w:t>
      </w:r>
      <w:r>
        <w:rPr>
          <w:rFonts w:ascii="Arial" w:hAnsi="Arial"/>
          <w:color w:val="231F20"/>
          <w:spacing w:val="-12"/>
          <w:sz w:val="17"/>
        </w:rPr>
        <w:t> </w:t>
      </w:r>
      <w:r>
        <w:rPr>
          <w:rFonts w:ascii="Arial" w:hAnsi="Arial"/>
          <w:color w:val="231F20"/>
          <w:sz w:val="17"/>
        </w:rPr>
        <w:t>made in France</w:t>
      </w:r>
      <w:r>
        <w:rPr>
          <w:rFonts w:ascii="Arial" w:hAnsi="Arial"/>
          <w:color w:val="231F20"/>
          <w:spacing w:val="-25"/>
          <w:sz w:val="17"/>
        </w:rPr>
        <w:t> </w:t>
      </w:r>
      <w:r>
        <w:rPr>
          <w:rFonts w:ascii="Arial" w:hAnsi="Arial"/>
          <w:color w:val="231F20"/>
          <w:sz w:val="17"/>
        </w:rPr>
        <w:t>», sa PME sacrément culottée réalise déjà 300 000 euros de</w:t>
      </w:r>
    </w:p>
    <w:p>
      <w:pPr>
        <w:spacing w:after="0" w:line="307" w:lineRule="auto"/>
        <w:jc w:val="both"/>
        <w:rPr>
          <w:rFonts w:ascii="Arial" w:hAnsi="Arial"/>
          <w:sz w:val="17"/>
        </w:rPr>
        <w:sectPr>
          <w:footerReference w:type="default" r:id="rId266"/>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18"/>
        </w:rPr>
      </w:pPr>
    </w:p>
    <w:p>
      <w:pPr>
        <w:spacing w:line="307" w:lineRule="auto" w:before="139"/>
        <w:ind w:left="1080" w:right="744" w:firstLine="0"/>
        <w:jc w:val="both"/>
        <w:rPr>
          <w:rFonts w:ascii="Arial" w:hAnsi="Arial"/>
          <w:sz w:val="17"/>
        </w:rPr>
      </w:pPr>
      <w:r>
        <w:rPr/>
        <w:pict>
          <v:shape style="position:absolute;margin-left:62.500004pt;margin-top:2.422873pt;width:287.5pt;height:516pt;mso-position-horizontal-relative:page;mso-position-vertical-relative:paragraph;z-index:-20922368" id="docshape973" coordorigin="1250,48" coordsize="5750,10320" path="m7000,48l1250,48,1250,1498,1250,1798,1250,10368,7000,10368,7000,1498,7000,48xe" filled="true" fillcolor="#e2e3e4" stroked="false">
            <v:path arrowok="t"/>
            <v:fill type="solid"/>
            <w10:wrap type="none"/>
          </v:shape>
        </w:pict>
      </w:r>
      <w:r>
        <w:rPr>
          <w:rFonts w:ascii="Arial" w:hAnsi="Arial"/>
          <w:color w:val="231F20"/>
          <w:sz w:val="17"/>
        </w:rPr>
        <w:t>chiffre</w:t>
      </w:r>
      <w:r>
        <w:rPr>
          <w:rFonts w:ascii="Arial" w:hAnsi="Arial"/>
          <w:color w:val="231F20"/>
          <w:spacing w:val="-8"/>
          <w:sz w:val="17"/>
        </w:rPr>
        <w:t> </w:t>
      </w:r>
      <w:r>
        <w:rPr>
          <w:rFonts w:ascii="Arial" w:hAnsi="Arial"/>
          <w:color w:val="231F20"/>
          <w:sz w:val="17"/>
        </w:rPr>
        <w:t>d’affaires.</w:t>
      </w:r>
      <w:r>
        <w:rPr>
          <w:rFonts w:ascii="Arial" w:hAnsi="Arial"/>
          <w:color w:val="231F20"/>
          <w:spacing w:val="-8"/>
          <w:sz w:val="17"/>
        </w:rPr>
        <w:t> </w:t>
      </w:r>
      <w:r>
        <w:rPr>
          <w:rFonts w:ascii="Arial" w:hAnsi="Arial"/>
          <w:color w:val="231F20"/>
          <w:sz w:val="17"/>
        </w:rPr>
        <w:t>Pourtant,</w:t>
      </w:r>
      <w:r>
        <w:rPr>
          <w:rFonts w:ascii="Arial" w:hAnsi="Arial"/>
          <w:color w:val="231F20"/>
          <w:spacing w:val="-8"/>
          <w:sz w:val="17"/>
        </w:rPr>
        <w:t> </w:t>
      </w:r>
      <w:r>
        <w:rPr>
          <w:rFonts w:ascii="Arial" w:hAnsi="Arial"/>
          <w:color w:val="231F20"/>
          <w:sz w:val="17"/>
        </w:rPr>
        <w:t>le</w:t>
      </w:r>
      <w:r>
        <w:rPr>
          <w:rFonts w:ascii="Arial" w:hAnsi="Arial"/>
          <w:color w:val="231F20"/>
          <w:spacing w:val="-8"/>
          <w:sz w:val="17"/>
        </w:rPr>
        <w:t> </w:t>
      </w:r>
      <w:r>
        <w:rPr>
          <w:rFonts w:ascii="Arial" w:hAnsi="Arial"/>
          <w:color w:val="231F20"/>
          <w:sz w:val="17"/>
        </w:rPr>
        <w:t>regard</w:t>
      </w:r>
      <w:r>
        <w:rPr>
          <w:rFonts w:ascii="Arial" w:hAnsi="Arial"/>
          <w:color w:val="231F20"/>
          <w:spacing w:val="-8"/>
          <w:sz w:val="17"/>
        </w:rPr>
        <w:t> </w:t>
      </w:r>
      <w:r>
        <w:rPr>
          <w:rFonts w:ascii="Arial" w:hAnsi="Arial"/>
          <w:color w:val="231F20"/>
          <w:sz w:val="17"/>
        </w:rPr>
        <w:t>des</w:t>
      </w:r>
      <w:r>
        <w:rPr>
          <w:rFonts w:ascii="Arial" w:hAnsi="Arial"/>
          <w:color w:val="231F20"/>
          <w:spacing w:val="-8"/>
          <w:sz w:val="17"/>
        </w:rPr>
        <w:t> </w:t>
      </w:r>
      <w:r>
        <w:rPr>
          <w:rFonts w:ascii="Arial" w:hAnsi="Arial"/>
          <w:color w:val="231F20"/>
          <w:sz w:val="17"/>
        </w:rPr>
        <w:t>autres</w:t>
      </w:r>
      <w:r>
        <w:rPr>
          <w:rFonts w:ascii="Arial" w:hAnsi="Arial"/>
          <w:color w:val="231F20"/>
          <w:spacing w:val="-8"/>
          <w:sz w:val="17"/>
        </w:rPr>
        <w:t> </w:t>
      </w:r>
      <w:r>
        <w:rPr>
          <w:rFonts w:ascii="Arial" w:hAnsi="Arial"/>
          <w:color w:val="231F20"/>
          <w:sz w:val="17"/>
        </w:rPr>
        <w:t>peut</w:t>
      </w:r>
      <w:r>
        <w:rPr>
          <w:rFonts w:ascii="Arial" w:hAnsi="Arial"/>
          <w:color w:val="231F20"/>
          <w:spacing w:val="-8"/>
          <w:sz w:val="17"/>
        </w:rPr>
        <w:t> </w:t>
      </w:r>
      <w:r>
        <w:rPr>
          <w:rFonts w:ascii="Arial" w:hAnsi="Arial"/>
          <w:color w:val="231F20"/>
          <w:sz w:val="17"/>
        </w:rPr>
        <w:t>facilement</w:t>
      </w:r>
      <w:r>
        <w:rPr>
          <w:rFonts w:ascii="Arial" w:hAnsi="Arial"/>
          <w:color w:val="231F20"/>
          <w:spacing w:val="-8"/>
          <w:sz w:val="17"/>
        </w:rPr>
        <w:t> </w:t>
      </w:r>
      <w:r>
        <w:rPr>
          <w:rFonts w:ascii="Arial" w:hAnsi="Arial"/>
          <w:color w:val="231F20"/>
          <w:sz w:val="17"/>
        </w:rPr>
        <w:t>ébran- ler</w:t>
      </w:r>
      <w:r>
        <w:rPr>
          <w:rFonts w:ascii="Arial" w:hAnsi="Arial"/>
          <w:color w:val="231F20"/>
          <w:spacing w:val="-12"/>
          <w:sz w:val="17"/>
        </w:rPr>
        <w:t> </w:t>
      </w:r>
      <w:r>
        <w:rPr>
          <w:rFonts w:ascii="Arial" w:hAnsi="Arial"/>
          <w:color w:val="231F20"/>
          <w:sz w:val="17"/>
        </w:rPr>
        <w:t>une</w:t>
      </w:r>
      <w:r>
        <w:rPr>
          <w:rFonts w:ascii="Arial" w:hAnsi="Arial"/>
          <w:color w:val="231F20"/>
          <w:spacing w:val="-12"/>
          <w:sz w:val="17"/>
        </w:rPr>
        <w:t> </w:t>
      </w:r>
      <w:r>
        <w:rPr>
          <w:rFonts w:ascii="Arial" w:hAnsi="Arial"/>
          <w:color w:val="231F20"/>
          <w:sz w:val="17"/>
        </w:rPr>
        <w:t>estime</w:t>
      </w:r>
      <w:r>
        <w:rPr>
          <w:rFonts w:ascii="Arial" w:hAnsi="Arial"/>
          <w:color w:val="231F20"/>
          <w:spacing w:val="-12"/>
          <w:sz w:val="17"/>
        </w:rPr>
        <w:t> </w:t>
      </w:r>
      <w:r>
        <w:rPr>
          <w:rFonts w:ascii="Arial" w:hAnsi="Arial"/>
          <w:color w:val="231F20"/>
          <w:sz w:val="17"/>
        </w:rPr>
        <w:t>de</w:t>
      </w:r>
      <w:r>
        <w:rPr>
          <w:rFonts w:ascii="Arial" w:hAnsi="Arial"/>
          <w:color w:val="231F20"/>
          <w:spacing w:val="-12"/>
          <w:sz w:val="17"/>
        </w:rPr>
        <w:t> </w:t>
      </w:r>
      <w:r>
        <w:rPr>
          <w:rFonts w:ascii="Arial" w:hAnsi="Arial"/>
          <w:color w:val="231F20"/>
          <w:sz w:val="17"/>
        </w:rPr>
        <w:t>soi</w:t>
      </w:r>
      <w:r>
        <w:rPr>
          <w:rFonts w:ascii="Arial" w:hAnsi="Arial"/>
          <w:color w:val="231F20"/>
          <w:spacing w:val="-12"/>
          <w:sz w:val="17"/>
        </w:rPr>
        <w:t> </w:t>
      </w:r>
      <w:r>
        <w:rPr>
          <w:rFonts w:ascii="Arial" w:hAnsi="Arial"/>
          <w:color w:val="231F20"/>
          <w:sz w:val="17"/>
        </w:rPr>
        <w:t>vacillante.</w:t>
      </w:r>
      <w:r>
        <w:rPr>
          <w:rFonts w:ascii="Arial" w:hAnsi="Arial"/>
          <w:color w:val="231F20"/>
          <w:spacing w:val="-11"/>
          <w:sz w:val="17"/>
        </w:rPr>
        <w:t> </w:t>
      </w:r>
      <w:r>
        <w:rPr>
          <w:rFonts w:ascii="Arial" w:hAnsi="Arial"/>
          <w:color w:val="231F20"/>
          <w:sz w:val="17"/>
        </w:rPr>
        <w:t>«</w:t>
      </w:r>
      <w:r>
        <w:rPr>
          <w:rFonts w:ascii="Arial" w:hAnsi="Arial"/>
          <w:color w:val="231F20"/>
          <w:spacing w:val="-12"/>
          <w:sz w:val="17"/>
        </w:rPr>
        <w:t> </w:t>
      </w:r>
      <w:r>
        <w:rPr>
          <w:rFonts w:ascii="Arial" w:hAnsi="Arial"/>
          <w:i/>
          <w:color w:val="231F20"/>
          <w:sz w:val="17"/>
        </w:rPr>
        <w:t>On</w:t>
      </w:r>
      <w:r>
        <w:rPr>
          <w:rFonts w:ascii="Arial" w:hAnsi="Arial"/>
          <w:i/>
          <w:color w:val="231F20"/>
          <w:spacing w:val="-12"/>
          <w:sz w:val="17"/>
        </w:rPr>
        <w:t> </w:t>
      </w:r>
      <w:r>
        <w:rPr>
          <w:rFonts w:ascii="Arial" w:hAnsi="Arial"/>
          <w:i/>
          <w:color w:val="231F20"/>
          <w:sz w:val="17"/>
        </w:rPr>
        <w:t>entre</w:t>
      </w:r>
      <w:r>
        <w:rPr>
          <w:rFonts w:ascii="Arial" w:hAnsi="Arial"/>
          <w:i/>
          <w:color w:val="231F20"/>
          <w:spacing w:val="-11"/>
          <w:sz w:val="17"/>
        </w:rPr>
        <w:t> </w:t>
      </w:r>
      <w:r>
        <w:rPr>
          <w:rFonts w:ascii="Arial" w:hAnsi="Arial"/>
          <w:i/>
          <w:color w:val="231F20"/>
          <w:sz w:val="17"/>
        </w:rPr>
        <w:t>alors</w:t>
      </w:r>
      <w:r>
        <w:rPr>
          <w:rFonts w:ascii="Arial" w:hAnsi="Arial"/>
          <w:i/>
          <w:color w:val="231F20"/>
          <w:spacing w:val="-9"/>
          <w:sz w:val="17"/>
        </w:rPr>
        <w:t> </w:t>
      </w:r>
      <w:r>
        <w:rPr>
          <w:rFonts w:ascii="Arial" w:hAnsi="Arial"/>
          <w:i/>
          <w:color w:val="231F20"/>
          <w:sz w:val="17"/>
        </w:rPr>
        <w:t>dans</w:t>
      </w:r>
      <w:r>
        <w:rPr>
          <w:rFonts w:ascii="Arial" w:hAnsi="Arial"/>
          <w:i/>
          <w:color w:val="231F20"/>
          <w:spacing w:val="-10"/>
          <w:sz w:val="17"/>
        </w:rPr>
        <w:t> </w:t>
      </w:r>
      <w:r>
        <w:rPr>
          <w:rFonts w:ascii="Arial" w:hAnsi="Arial"/>
          <w:i/>
          <w:color w:val="231F20"/>
          <w:sz w:val="17"/>
        </w:rPr>
        <w:t>un</w:t>
      </w:r>
      <w:r>
        <w:rPr>
          <w:rFonts w:ascii="Arial" w:hAnsi="Arial"/>
          <w:i/>
          <w:color w:val="231F20"/>
          <w:spacing w:val="-9"/>
          <w:sz w:val="17"/>
        </w:rPr>
        <w:t> </w:t>
      </w:r>
      <w:r>
        <w:rPr>
          <w:rFonts w:ascii="Arial" w:hAnsi="Arial"/>
          <w:i/>
          <w:color w:val="231F20"/>
          <w:sz w:val="17"/>
        </w:rPr>
        <w:t>cercle</w:t>
      </w:r>
      <w:r>
        <w:rPr>
          <w:rFonts w:ascii="Arial" w:hAnsi="Arial"/>
          <w:i/>
          <w:color w:val="231F20"/>
          <w:spacing w:val="-10"/>
          <w:sz w:val="17"/>
        </w:rPr>
        <w:t> </w:t>
      </w:r>
      <w:r>
        <w:rPr>
          <w:rFonts w:ascii="Arial" w:hAnsi="Arial"/>
          <w:i/>
          <w:color w:val="231F20"/>
          <w:sz w:val="17"/>
        </w:rPr>
        <w:t>vicieux qui</w:t>
      </w:r>
      <w:r>
        <w:rPr>
          <w:rFonts w:ascii="Arial" w:hAnsi="Arial"/>
          <w:i/>
          <w:color w:val="231F20"/>
          <w:spacing w:val="23"/>
          <w:sz w:val="17"/>
        </w:rPr>
        <w:t> </w:t>
      </w:r>
      <w:r>
        <w:rPr>
          <w:rFonts w:ascii="Arial" w:hAnsi="Arial"/>
          <w:i/>
          <w:color w:val="231F20"/>
          <w:sz w:val="17"/>
        </w:rPr>
        <w:t>consiste</w:t>
      </w:r>
      <w:r>
        <w:rPr>
          <w:rFonts w:ascii="Arial" w:hAnsi="Arial"/>
          <w:i/>
          <w:color w:val="231F20"/>
          <w:spacing w:val="27"/>
          <w:sz w:val="17"/>
        </w:rPr>
        <w:t> </w:t>
      </w:r>
      <w:r>
        <w:rPr>
          <w:rFonts w:ascii="Arial" w:hAnsi="Arial"/>
          <w:i/>
          <w:color w:val="231F20"/>
          <w:sz w:val="17"/>
        </w:rPr>
        <w:t>à</w:t>
      </w:r>
      <w:r>
        <w:rPr>
          <w:rFonts w:ascii="Arial" w:hAnsi="Arial"/>
          <w:i/>
          <w:color w:val="231F20"/>
          <w:spacing w:val="27"/>
          <w:sz w:val="17"/>
        </w:rPr>
        <w:t> </w:t>
      </w:r>
      <w:r>
        <w:rPr>
          <w:rFonts w:ascii="Arial" w:hAnsi="Arial"/>
          <w:i/>
          <w:color w:val="231F20"/>
          <w:sz w:val="17"/>
        </w:rPr>
        <w:t>toujours</w:t>
      </w:r>
      <w:r>
        <w:rPr>
          <w:rFonts w:ascii="Arial" w:hAnsi="Arial"/>
          <w:i/>
          <w:color w:val="231F20"/>
          <w:spacing w:val="27"/>
          <w:sz w:val="17"/>
        </w:rPr>
        <w:t> </w:t>
      </w:r>
      <w:r>
        <w:rPr>
          <w:rFonts w:ascii="Arial" w:hAnsi="Arial"/>
          <w:i/>
          <w:color w:val="231F20"/>
          <w:sz w:val="17"/>
        </w:rPr>
        <w:t>chercher</w:t>
      </w:r>
      <w:r>
        <w:rPr>
          <w:rFonts w:ascii="Arial" w:hAnsi="Arial"/>
          <w:i/>
          <w:color w:val="231F20"/>
          <w:spacing w:val="27"/>
          <w:sz w:val="17"/>
        </w:rPr>
        <w:t> </w:t>
      </w:r>
      <w:r>
        <w:rPr>
          <w:rFonts w:ascii="Arial" w:hAnsi="Arial"/>
          <w:i/>
          <w:color w:val="231F20"/>
          <w:sz w:val="17"/>
        </w:rPr>
        <w:t>l’approbation</w:t>
      </w:r>
      <w:r>
        <w:rPr>
          <w:rFonts w:ascii="Arial" w:hAnsi="Arial"/>
          <w:i/>
          <w:color w:val="231F20"/>
          <w:spacing w:val="27"/>
          <w:sz w:val="17"/>
        </w:rPr>
        <w:t> </w:t>
      </w:r>
      <w:r>
        <w:rPr>
          <w:rFonts w:ascii="Arial" w:hAnsi="Arial"/>
          <w:i/>
          <w:color w:val="231F20"/>
          <w:sz w:val="17"/>
        </w:rPr>
        <w:t>de</w:t>
      </w:r>
      <w:r>
        <w:rPr>
          <w:rFonts w:ascii="Arial" w:hAnsi="Arial"/>
          <w:i/>
          <w:color w:val="231F20"/>
          <w:spacing w:val="27"/>
          <w:sz w:val="17"/>
        </w:rPr>
        <w:t> </w:t>
      </w:r>
      <w:r>
        <w:rPr>
          <w:rFonts w:ascii="Arial" w:hAnsi="Arial"/>
          <w:i/>
          <w:color w:val="231F20"/>
          <w:sz w:val="17"/>
        </w:rPr>
        <w:t>l’autre</w:t>
      </w:r>
      <w:r>
        <w:rPr>
          <w:rFonts w:ascii="Arial" w:hAnsi="Arial"/>
          <w:i/>
          <w:color w:val="231F20"/>
          <w:spacing w:val="-12"/>
          <w:sz w:val="17"/>
        </w:rPr>
        <w:t> </w:t>
      </w:r>
      <w:r>
        <w:rPr>
          <w:rFonts w:ascii="Arial" w:hAnsi="Arial"/>
          <w:color w:val="231F20"/>
          <w:sz w:val="17"/>
        </w:rPr>
        <w:t>»,</w:t>
      </w:r>
      <w:r>
        <w:rPr>
          <w:rFonts w:ascii="Arial" w:hAnsi="Arial"/>
          <w:color w:val="231F20"/>
          <w:spacing w:val="28"/>
          <w:sz w:val="17"/>
        </w:rPr>
        <w:t> </w:t>
      </w:r>
      <w:r>
        <w:rPr>
          <w:rFonts w:ascii="Arial" w:hAnsi="Arial"/>
          <w:color w:val="231F20"/>
          <w:sz w:val="17"/>
        </w:rPr>
        <w:t>observe le psychothérapeute Frédéric Fanget, auteur d’</w:t>
      </w:r>
      <w:r>
        <w:rPr>
          <w:rFonts w:ascii="Arial" w:hAnsi="Arial"/>
          <w:i/>
          <w:color w:val="231F20"/>
          <w:sz w:val="17"/>
        </w:rPr>
        <w:t>Oser, thérapie de la confiance en soi </w:t>
      </w:r>
      <w:r>
        <w:rPr>
          <w:rFonts w:ascii="Arial" w:hAnsi="Arial"/>
          <w:color w:val="231F20"/>
          <w:sz w:val="17"/>
        </w:rPr>
        <w:t>(Odile Jacob). Pour croire en soi, il faut d’abord se sentir</w:t>
      </w:r>
      <w:r>
        <w:rPr>
          <w:rFonts w:ascii="Arial" w:hAnsi="Arial"/>
          <w:color w:val="231F20"/>
          <w:spacing w:val="-3"/>
          <w:sz w:val="17"/>
        </w:rPr>
        <w:t> </w:t>
      </w:r>
      <w:r>
        <w:rPr>
          <w:rFonts w:ascii="Arial" w:hAnsi="Arial"/>
          <w:color w:val="231F20"/>
          <w:sz w:val="17"/>
        </w:rPr>
        <w:t>libre.</w:t>
      </w:r>
    </w:p>
    <w:p>
      <w:pPr>
        <w:spacing w:line="307" w:lineRule="auto" w:before="79"/>
        <w:ind w:left="1080" w:right="744" w:firstLine="0"/>
        <w:jc w:val="both"/>
        <w:rPr>
          <w:rFonts w:ascii="Arial" w:hAnsi="Arial"/>
          <w:sz w:val="17"/>
        </w:rPr>
      </w:pPr>
      <w:r>
        <w:rPr>
          <w:rFonts w:ascii="Arial" w:hAnsi="Arial"/>
          <w:color w:val="231F20"/>
          <w:sz w:val="17"/>
        </w:rPr>
        <w:t>Ne donnez pas aux autres le pouvoir de vous juger, permettez-leur seulement</w:t>
      </w:r>
      <w:r>
        <w:rPr>
          <w:rFonts w:ascii="Arial" w:hAnsi="Arial"/>
          <w:color w:val="231F20"/>
          <w:spacing w:val="-6"/>
          <w:sz w:val="17"/>
        </w:rPr>
        <w:t> </w:t>
      </w:r>
      <w:r>
        <w:rPr>
          <w:rFonts w:ascii="Arial" w:hAnsi="Arial"/>
          <w:color w:val="231F20"/>
          <w:sz w:val="17"/>
        </w:rPr>
        <w:t>d’exprimer</w:t>
      </w:r>
      <w:r>
        <w:rPr>
          <w:rFonts w:ascii="Arial" w:hAnsi="Arial"/>
          <w:color w:val="231F20"/>
          <w:spacing w:val="-6"/>
          <w:sz w:val="17"/>
        </w:rPr>
        <w:t> </w:t>
      </w:r>
      <w:r>
        <w:rPr>
          <w:rFonts w:ascii="Arial" w:hAnsi="Arial"/>
          <w:color w:val="231F20"/>
          <w:sz w:val="17"/>
        </w:rPr>
        <w:t>leur</w:t>
      </w:r>
      <w:r>
        <w:rPr>
          <w:rFonts w:ascii="Arial" w:hAnsi="Arial"/>
          <w:color w:val="231F20"/>
          <w:spacing w:val="-6"/>
          <w:sz w:val="17"/>
        </w:rPr>
        <w:t> </w:t>
      </w:r>
      <w:r>
        <w:rPr>
          <w:rFonts w:ascii="Arial" w:hAnsi="Arial"/>
          <w:color w:val="231F20"/>
          <w:sz w:val="17"/>
        </w:rPr>
        <w:t>opinion.</w:t>
      </w:r>
      <w:r>
        <w:rPr>
          <w:rFonts w:ascii="Arial" w:hAnsi="Arial"/>
          <w:color w:val="231F20"/>
          <w:spacing w:val="-6"/>
          <w:sz w:val="17"/>
        </w:rPr>
        <w:t> </w:t>
      </w:r>
      <w:r>
        <w:rPr>
          <w:rFonts w:ascii="Arial" w:hAnsi="Arial"/>
          <w:color w:val="231F20"/>
          <w:sz w:val="17"/>
        </w:rPr>
        <w:t>Et</w:t>
      </w:r>
      <w:r>
        <w:rPr>
          <w:rFonts w:ascii="Arial" w:hAnsi="Arial"/>
          <w:color w:val="231F20"/>
          <w:spacing w:val="-6"/>
          <w:sz w:val="17"/>
        </w:rPr>
        <w:t> </w:t>
      </w:r>
      <w:r>
        <w:rPr>
          <w:rFonts w:ascii="Arial" w:hAnsi="Arial"/>
          <w:color w:val="231F20"/>
          <w:sz w:val="17"/>
        </w:rPr>
        <w:t>si</w:t>
      </w:r>
      <w:r>
        <w:rPr>
          <w:rFonts w:ascii="Arial" w:hAnsi="Arial"/>
          <w:color w:val="231F20"/>
          <w:spacing w:val="-6"/>
          <w:sz w:val="17"/>
        </w:rPr>
        <w:t> </w:t>
      </w:r>
      <w:r>
        <w:rPr>
          <w:rFonts w:ascii="Arial" w:hAnsi="Arial"/>
          <w:color w:val="231F20"/>
          <w:sz w:val="17"/>
        </w:rPr>
        <w:t>le</w:t>
      </w:r>
      <w:r>
        <w:rPr>
          <w:rFonts w:ascii="Arial" w:hAnsi="Arial"/>
          <w:color w:val="231F20"/>
          <w:spacing w:val="-6"/>
          <w:sz w:val="17"/>
        </w:rPr>
        <w:t> </w:t>
      </w:r>
      <w:r>
        <w:rPr>
          <w:rFonts w:ascii="Arial" w:hAnsi="Arial"/>
          <w:color w:val="231F20"/>
          <w:sz w:val="17"/>
        </w:rPr>
        <w:t>doute</w:t>
      </w:r>
      <w:r>
        <w:rPr>
          <w:rFonts w:ascii="Arial" w:hAnsi="Arial"/>
          <w:color w:val="231F20"/>
          <w:spacing w:val="-6"/>
          <w:sz w:val="17"/>
        </w:rPr>
        <w:t> </w:t>
      </w:r>
      <w:r>
        <w:rPr>
          <w:rFonts w:ascii="Arial" w:hAnsi="Arial"/>
          <w:color w:val="231F20"/>
          <w:sz w:val="17"/>
        </w:rPr>
        <w:t>est</w:t>
      </w:r>
      <w:r>
        <w:rPr>
          <w:rFonts w:ascii="Arial" w:hAnsi="Arial"/>
          <w:color w:val="231F20"/>
          <w:spacing w:val="-6"/>
          <w:sz w:val="17"/>
        </w:rPr>
        <w:t> </w:t>
      </w:r>
      <w:r>
        <w:rPr>
          <w:rFonts w:ascii="Arial" w:hAnsi="Arial"/>
          <w:color w:val="231F20"/>
          <w:sz w:val="17"/>
        </w:rPr>
        <w:t>exprimé</w:t>
      </w:r>
      <w:r>
        <w:rPr>
          <w:rFonts w:ascii="Arial" w:hAnsi="Arial"/>
          <w:color w:val="231F20"/>
          <w:spacing w:val="-6"/>
          <w:sz w:val="17"/>
        </w:rPr>
        <w:t> </w:t>
      </w:r>
      <w:r>
        <w:rPr>
          <w:rFonts w:ascii="Arial" w:hAnsi="Arial"/>
          <w:color w:val="231F20"/>
          <w:sz w:val="17"/>
        </w:rPr>
        <w:t>par</w:t>
      </w:r>
      <w:r>
        <w:rPr>
          <w:rFonts w:ascii="Arial" w:hAnsi="Arial"/>
          <w:color w:val="231F20"/>
          <w:spacing w:val="-6"/>
          <w:sz w:val="17"/>
        </w:rPr>
        <w:t> </w:t>
      </w:r>
      <w:r>
        <w:rPr>
          <w:rFonts w:ascii="Arial" w:hAnsi="Arial"/>
          <w:color w:val="231F20"/>
          <w:sz w:val="17"/>
        </w:rPr>
        <w:t>votre chef</w:t>
      </w:r>
      <w:r>
        <w:rPr>
          <w:rFonts w:ascii="Arial" w:hAnsi="Arial"/>
          <w:color w:val="231F20"/>
          <w:spacing w:val="-12"/>
          <w:sz w:val="17"/>
        </w:rPr>
        <w:t> </w:t>
      </w:r>
      <w:r>
        <w:rPr>
          <w:rFonts w:ascii="Arial" w:hAnsi="Arial"/>
          <w:color w:val="231F20"/>
          <w:sz w:val="17"/>
        </w:rPr>
        <w:t>? Minimisez, [dans la mesure du] possible, la portée, comme a appris</w:t>
      </w:r>
      <w:r>
        <w:rPr>
          <w:rFonts w:ascii="Arial" w:hAnsi="Arial"/>
          <w:color w:val="231F20"/>
          <w:spacing w:val="-9"/>
          <w:sz w:val="17"/>
        </w:rPr>
        <w:t> </w:t>
      </w:r>
      <w:r>
        <w:rPr>
          <w:rFonts w:ascii="Arial" w:hAnsi="Arial"/>
          <w:color w:val="231F20"/>
          <w:sz w:val="17"/>
        </w:rPr>
        <w:t>à</w:t>
      </w:r>
      <w:r>
        <w:rPr>
          <w:rFonts w:ascii="Arial" w:hAnsi="Arial"/>
          <w:color w:val="231F20"/>
          <w:spacing w:val="-9"/>
          <w:sz w:val="17"/>
        </w:rPr>
        <w:t> </w:t>
      </w:r>
      <w:r>
        <w:rPr>
          <w:rFonts w:ascii="Arial" w:hAnsi="Arial"/>
          <w:color w:val="231F20"/>
          <w:sz w:val="17"/>
        </w:rPr>
        <w:t>le</w:t>
      </w:r>
      <w:r>
        <w:rPr>
          <w:rFonts w:ascii="Arial" w:hAnsi="Arial"/>
          <w:color w:val="231F20"/>
          <w:spacing w:val="-9"/>
          <w:sz w:val="17"/>
        </w:rPr>
        <w:t> </w:t>
      </w:r>
      <w:r>
        <w:rPr>
          <w:rFonts w:ascii="Arial" w:hAnsi="Arial"/>
          <w:color w:val="231F20"/>
          <w:sz w:val="17"/>
        </w:rPr>
        <w:t>faire</w:t>
      </w:r>
      <w:r>
        <w:rPr>
          <w:rFonts w:ascii="Arial" w:hAnsi="Arial"/>
          <w:color w:val="231F20"/>
          <w:spacing w:val="-9"/>
          <w:sz w:val="17"/>
        </w:rPr>
        <w:t> </w:t>
      </w:r>
      <w:r>
        <w:rPr>
          <w:rFonts w:ascii="Arial" w:hAnsi="Arial"/>
          <w:color w:val="231F20"/>
          <w:sz w:val="17"/>
        </w:rPr>
        <w:t>Virginie</w:t>
      </w:r>
      <w:r>
        <w:rPr>
          <w:rFonts w:ascii="Arial" w:hAnsi="Arial"/>
          <w:color w:val="231F20"/>
          <w:spacing w:val="-9"/>
          <w:sz w:val="17"/>
        </w:rPr>
        <w:t> </w:t>
      </w:r>
      <w:r>
        <w:rPr>
          <w:rFonts w:ascii="Arial" w:hAnsi="Arial"/>
          <w:color w:val="231F20"/>
          <w:sz w:val="17"/>
        </w:rPr>
        <w:t>David-Cosme,</w:t>
      </w:r>
      <w:r>
        <w:rPr>
          <w:rFonts w:ascii="Arial" w:hAnsi="Arial"/>
          <w:color w:val="231F20"/>
          <w:spacing w:val="-9"/>
          <w:sz w:val="17"/>
        </w:rPr>
        <w:t> </w:t>
      </w:r>
      <w:r>
        <w:rPr>
          <w:rFonts w:ascii="Arial" w:hAnsi="Arial"/>
          <w:color w:val="231F20"/>
          <w:sz w:val="17"/>
        </w:rPr>
        <w:t>lorsqu’elle</w:t>
      </w:r>
      <w:r>
        <w:rPr>
          <w:rFonts w:ascii="Arial" w:hAnsi="Arial"/>
          <w:color w:val="231F20"/>
          <w:spacing w:val="-9"/>
          <w:sz w:val="17"/>
        </w:rPr>
        <w:t> </w:t>
      </w:r>
      <w:r>
        <w:rPr>
          <w:rFonts w:ascii="Arial" w:hAnsi="Arial"/>
          <w:color w:val="231F20"/>
          <w:sz w:val="17"/>
        </w:rPr>
        <w:t>était</w:t>
      </w:r>
      <w:r>
        <w:rPr>
          <w:rFonts w:ascii="Arial" w:hAnsi="Arial"/>
          <w:color w:val="231F20"/>
          <w:spacing w:val="-9"/>
          <w:sz w:val="17"/>
        </w:rPr>
        <w:t> </w:t>
      </w:r>
      <w:r>
        <w:rPr>
          <w:rFonts w:ascii="Arial" w:hAnsi="Arial"/>
          <w:color w:val="231F20"/>
          <w:sz w:val="17"/>
        </w:rPr>
        <w:t>formatrice</w:t>
      </w:r>
      <w:r>
        <w:rPr>
          <w:rFonts w:ascii="Arial" w:hAnsi="Arial"/>
          <w:color w:val="231F20"/>
          <w:spacing w:val="-9"/>
          <w:sz w:val="17"/>
        </w:rPr>
        <w:t> </w:t>
      </w:r>
      <w:r>
        <w:rPr>
          <w:rFonts w:ascii="Arial" w:hAnsi="Arial"/>
          <w:color w:val="231F20"/>
          <w:sz w:val="17"/>
        </w:rPr>
        <w:t>chez </w:t>
      </w:r>
      <w:r>
        <w:rPr>
          <w:rFonts w:ascii="Arial" w:hAnsi="Arial"/>
          <w:color w:val="231F20"/>
          <w:w w:val="95"/>
          <w:sz w:val="17"/>
        </w:rPr>
        <w:t>Air</w:t>
      </w:r>
      <w:r>
        <w:rPr>
          <w:rFonts w:ascii="Arial" w:hAnsi="Arial"/>
          <w:color w:val="231F20"/>
          <w:spacing w:val="-9"/>
          <w:w w:val="95"/>
          <w:sz w:val="17"/>
        </w:rPr>
        <w:t> </w:t>
      </w:r>
      <w:r>
        <w:rPr>
          <w:rFonts w:ascii="Arial" w:hAnsi="Arial"/>
          <w:color w:val="231F20"/>
          <w:w w:val="95"/>
          <w:sz w:val="17"/>
        </w:rPr>
        <w:t>France. «</w:t>
      </w:r>
      <w:r>
        <w:rPr>
          <w:rFonts w:ascii="Arial" w:hAnsi="Arial"/>
          <w:color w:val="231F20"/>
          <w:spacing w:val="-10"/>
          <w:w w:val="95"/>
          <w:sz w:val="17"/>
        </w:rPr>
        <w:t> </w:t>
      </w:r>
      <w:r>
        <w:rPr>
          <w:rFonts w:ascii="Arial" w:hAnsi="Arial"/>
          <w:i/>
          <w:color w:val="231F20"/>
          <w:w w:val="95"/>
          <w:sz w:val="17"/>
        </w:rPr>
        <w:t>J’avais demandé à mes supérieurs si je pouvais passer du </w:t>
      </w:r>
      <w:r>
        <w:rPr>
          <w:rFonts w:ascii="Arial" w:hAnsi="Arial"/>
          <w:i/>
          <w:color w:val="231F20"/>
          <w:sz w:val="17"/>
        </w:rPr>
        <w:t>statut d’agent de maîtrise à celui de cadre. C’était légitime, mais ma</w:t>
      </w:r>
      <w:r>
        <w:rPr>
          <w:rFonts w:ascii="Arial" w:hAnsi="Arial"/>
          <w:i/>
          <w:color w:val="231F20"/>
          <w:spacing w:val="80"/>
          <w:sz w:val="17"/>
        </w:rPr>
        <w:t> </w:t>
      </w:r>
      <w:r>
        <w:rPr>
          <w:rFonts w:ascii="Arial" w:hAnsi="Arial"/>
          <w:color w:val="231F20"/>
          <w:w w:val="95"/>
          <w:sz w:val="17"/>
        </w:rPr>
        <w:t>n</w:t>
      </w:r>
      <w:r>
        <w:rPr>
          <w:rFonts w:ascii="Arial" w:hAnsi="Arial"/>
          <w:color w:val="231F20"/>
          <w:spacing w:val="-10"/>
          <w:w w:val="95"/>
          <w:sz w:val="17"/>
        </w:rPr>
        <w:t> </w:t>
      </w:r>
      <w:r>
        <w:rPr>
          <w:rFonts w:ascii="Arial" w:hAnsi="Arial"/>
          <w:color w:val="231F20"/>
          <w:w w:val="95"/>
          <w:sz w:val="17"/>
        </w:rPr>
        <w:t>+</w:t>
      </w:r>
      <w:r>
        <w:rPr>
          <w:rFonts w:ascii="Arial" w:hAnsi="Arial"/>
          <w:color w:val="231F20"/>
          <w:spacing w:val="-9"/>
          <w:w w:val="95"/>
          <w:sz w:val="17"/>
        </w:rPr>
        <w:t> </w:t>
      </w:r>
      <w:r>
        <w:rPr>
          <w:rFonts w:ascii="Arial" w:hAnsi="Arial"/>
          <w:color w:val="231F20"/>
          <w:w w:val="95"/>
          <w:sz w:val="17"/>
        </w:rPr>
        <w:t>2</w:t>
      </w:r>
      <w:r>
        <w:rPr>
          <w:rFonts w:ascii="Arial" w:hAnsi="Arial"/>
          <w:color w:val="231F20"/>
          <w:spacing w:val="-7"/>
          <w:w w:val="95"/>
          <w:sz w:val="17"/>
        </w:rPr>
        <w:t> </w:t>
      </w:r>
      <w:r>
        <w:rPr>
          <w:rFonts w:ascii="Arial" w:hAnsi="Arial"/>
          <w:i/>
          <w:color w:val="231F20"/>
          <w:w w:val="95"/>
          <w:sz w:val="17"/>
        </w:rPr>
        <w:t>m’a</w:t>
      </w:r>
      <w:r>
        <w:rPr>
          <w:rFonts w:ascii="Arial" w:hAnsi="Arial"/>
          <w:i/>
          <w:color w:val="231F20"/>
          <w:spacing w:val="-3"/>
          <w:w w:val="95"/>
          <w:sz w:val="17"/>
        </w:rPr>
        <w:t> </w:t>
      </w:r>
      <w:r>
        <w:rPr>
          <w:rFonts w:ascii="Arial" w:hAnsi="Arial"/>
          <w:i/>
          <w:color w:val="231F20"/>
          <w:w w:val="95"/>
          <w:sz w:val="17"/>
        </w:rPr>
        <w:t>rétorqué</w:t>
      </w:r>
      <w:r>
        <w:rPr>
          <w:rFonts w:ascii="Arial" w:hAnsi="Arial"/>
          <w:i/>
          <w:color w:val="231F20"/>
          <w:spacing w:val="-10"/>
          <w:w w:val="95"/>
          <w:sz w:val="17"/>
        </w:rPr>
        <w:t> </w:t>
      </w:r>
      <w:r>
        <w:rPr>
          <w:rFonts w:ascii="Arial" w:hAnsi="Arial"/>
          <w:i/>
          <w:color w:val="231F20"/>
          <w:w w:val="95"/>
          <w:sz w:val="17"/>
        </w:rPr>
        <w:t>:</w:t>
      </w:r>
      <w:r>
        <w:rPr>
          <w:rFonts w:ascii="Arial" w:hAnsi="Arial"/>
          <w:i/>
          <w:color w:val="231F20"/>
          <w:spacing w:val="-2"/>
          <w:w w:val="95"/>
          <w:sz w:val="17"/>
        </w:rPr>
        <w:t> </w:t>
      </w:r>
      <w:r>
        <w:rPr>
          <w:rFonts w:ascii="Arial" w:hAnsi="Arial"/>
          <w:i/>
          <w:color w:val="231F20"/>
          <w:w w:val="95"/>
          <w:sz w:val="17"/>
        </w:rPr>
        <w:t>“Je</w:t>
      </w:r>
      <w:r>
        <w:rPr>
          <w:rFonts w:ascii="Arial" w:hAnsi="Arial"/>
          <w:i/>
          <w:color w:val="231F20"/>
          <w:spacing w:val="-3"/>
          <w:w w:val="95"/>
          <w:sz w:val="17"/>
        </w:rPr>
        <w:t> </w:t>
      </w:r>
      <w:r>
        <w:rPr>
          <w:rFonts w:ascii="Arial" w:hAnsi="Arial"/>
          <w:i/>
          <w:color w:val="231F20"/>
          <w:w w:val="95"/>
          <w:sz w:val="17"/>
        </w:rPr>
        <w:t>ne</w:t>
      </w:r>
      <w:r>
        <w:rPr>
          <w:rFonts w:ascii="Arial" w:hAnsi="Arial"/>
          <w:i/>
          <w:color w:val="231F20"/>
          <w:spacing w:val="-3"/>
          <w:w w:val="95"/>
          <w:sz w:val="17"/>
        </w:rPr>
        <w:t> </w:t>
      </w:r>
      <w:r>
        <w:rPr>
          <w:rFonts w:ascii="Arial" w:hAnsi="Arial"/>
          <w:i/>
          <w:color w:val="231F20"/>
          <w:w w:val="95"/>
          <w:sz w:val="17"/>
        </w:rPr>
        <w:t>suis</w:t>
      </w:r>
      <w:r>
        <w:rPr>
          <w:rFonts w:ascii="Arial" w:hAnsi="Arial"/>
          <w:i/>
          <w:color w:val="231F20"/>
          <w:spacing w:val="-3"/>
          <w:w w:val="95"/>
          <w:sz w:val="17"/>
        </w:rPr>
        <w:t> </w:t>
      </w:r>
      <w:r>
        <w:rPr>
          <w:rFonts w:ascii="Arial" w:hAnsi="Arial"/>
          <w:i/>
          <w:color w:val="231F20"/>
          <w:w w:val="95"/>
          <w:sz w:val="17"/>
        </w:rPr>
        <w:t>pas</w:t>
      </w:r>
      <w:r>
        <w:rPr>
          <w:rFonts w:ascii="Arial" w:hAnsi="Arial"/>
          <w:i/>
          <w:color w:val="231F20"/>
          <w:spacing w:val="-3"/>
          <w:w w:val="95"/>
          <w:sz w:val="17"/>
        </w:rPr>
        <w:t> </w:t>
      </w:r>
      <w:r>
        <w:rPr>
          <w:rFonts w:ascii="Arial" w:hAnsi="Arial"/>
          <w:i/>
          <w:color w:val="231F20"/>
          <w:w w:val="95"/>
          <w:sz w:val="17"/>
        </w:rPr>
        <w:t>sûre</w:t>
      </w:r>
      <w:r>
        <w:rPr>
          <w:rFonts w:ascii="Arial" w:hAnsi="Arial"/>
          <w:i/>
          <w:color w:val="231F20"/>
          <w:spacing w:val="-3"/>
          <w:w w:val="95"/>
          <w:sz w:val="17"/>
        </w:rPr>
        <w:t> </w:t>
      </w:r>
      <w:r>
        <w:rPr>
          <w:rFonts w:ascii="Arial" w:hAnsi="Arial"/>
          <w:i/>
          <w:color w:val="231F20"/>
          <w:w w:val="95"/>
          <w:sz w:val="17"/>
        </w:rPr>
        <w:t>de</w:t>
      </w:r>
      <w:r>
        <w:rPr>
          <w:rFonts w:ascii="Arial" w:hAnsi="Arial"/>
          <w:i/>
          <w:color w:val="231F20"/>
          <w:spacing w:val="-3"/>
          <w:w w:val="95"/>
          <w:sz w:val="17"/>
        </w:rPr>
        <w:t> </w:t>
      </w:r>
      <w:r>
        <w:rPr>
          <w:rFonts w:ascii="Arial" w:hAnsi="Arial"/>
          <w:i/>
          <w:color w:val="231F20"/>
          <w:w w:val="95"/>
          <w:sz w:val="17"/>
        </w:rPr>
        <w:t>pouvoir</w:t>
      </w:r>
      <w:r>
        <w:rPr>
          <w:rFonts w:ascii="Arial" w:hAnsi="Arial"/>
          <w:i/>
          <w:color w:val="231F20"/>
          <w:spacing w:val="-3"/>
          <w:w w:val="95"/>
          <w:sz w:val="17"/>
        </w:rPr>
        <w:t> </w:t>
      </w:r>
      <w:r>
        <w:rPr>
          <w:rFonts w:ascii="Arial" w:hAnsi="Arial"/>
          <w:i/>
          <w:color w:val="231F20"/>
          <w:w w:val="95"/>
          <w:sz w:val="17"/>
        </w:rPr>
        <w:t>vous</w:t>
      </w:r>
      <w:r>
        <w:rPr>
          <w:rFonts w:ascii="Arial" w:hAnsi="Arial"/>
          <w:i/>
          <w:color w:val="231F20"/>
          <w:spacing w:val="-3"/>
          <w:w w:val="95"/>
          <w:sz w:val="17"/>
        </w:rPr>
        <w:t> </w:t>
      </w:r>
      <w:r>
        <w:rPr>
          <w:rFonts w:ascii="Arial" w:hAnsi="Arial"/>
          <w:i/>
          <w:color w:val="231F20"/>
          <w:w w:val="95"/>
          <w:sz w:val="17"/>
        </w:rPr>
        <w:t>faire</w:t>
      </w:r>
      <w:r>
        <w:rPr>
          <w:rFonts w:ascii="Arial" w:hAnsi="Arial"/>
          <w:i/>
          <w:color w:val="231F20"/>
          <w:spacing w:val="-3"/>
          <w:w w:val="95"/>
          <w:sz w:val="17"/>
        </w:rPr>
        <w:t> </w:t>
      </w:r>
      <w:r>
        <w:rPr>
          <w:rFonts w:ascii="Arial" w:hAnsi="Arial"/>
          <w:i/>
          <w:color w:val="231F20"/>
          <w:w w:val="95"/>
          <w:sz w:val="17"/>
        </w:rPr>
        <w:t>confiance.” </w:t>
      </w:r>
      <w:r>
        <w:rPr>
          <w:rFonts w:ascii="Arial" w:hAnsi="Arial"/>
          <w:i/>
          <w:color w:val="231F20"/>
          <w:sz w:val="17"/>
        </w:rPr>
        <w:t>J’ai</w:t>
      </w:r>
      <w:r>
        <w:rPr>
          <w:rFonts w:ascii="Arial" w:hAnsi="Arial"/>
          <w:i/>
          <w:color w:val="231F20"/>
          <w:spacing w:val="-6"/>
          <w:sz w:val="17"/>
        </w:rPr>
        <w:t> </w:t>
      </w:r>
      <w:r>
        <w:rPr>
          <w:rFonts w:ascii="Arial" w:hAnsi="Arial"/>
          <w:i/>
          <w:color w:val="231F20"/>
          <w:sz w:val="17"/>
        </w:rPr>
        <w:t>été</w:t>
      </w:r>
      <w:r>
        <w:rPr>
          <w:rFonts w:ascii="Arial" w:hAnsi="Arial"/>
          <w:i/>
          <w:color w:val="231F20"/>
          <w:spacing w:val="-6"/>
          <w:sz w:val="17"/>
        </w:rPr>
        <w:t> </w:t>
      </w:r>
      <w:r>
        <w:rPr>
          <w:rFonts w:ascii="Arial" w:hAnsi="Arial"/>
          <w:i/>
          <w:color w:val="231F20"/>
          <w:sz w:val="17"/>
        </w:rPr>
        <w:t>tellement</w:t>
      </w:r>
      <w:r>
        <w:rPr>
          <w:rFonts w:ascii="Arial" w:hAnsi="Arial"/>
          <w:i/>
          <w:color w:val="231F20"/>
          <w:spacing w:val="-6"/>
          <w:sz w:val="17"/>
        </w:rPr>
        <w:t> </w:t>
      </w:r>
      <w:r>
        <w:rPr>
          <w:rFonts w:ascii="Arial" w:hAnsi="Arial"/>
          <w:i/>
          <w:color w:val="231F20"/>
          <w:sz w:val="17"/>
        </w:rPr>
        <w:t>choquée</w:t>
      </w:r>
      <w:r>
        <w:rPr>
          <w:rFonts w:ascii="Arial" w:hAnsi="Arial"/>
          <w:i/>
          <w:color w:val="231F20"/>
          <w:spacing w:val="-6"/>
          <w:sz w:val="17"/>
        </w:rPr>
        <w:t> </w:t>
      </w:r>
      <w:r>
        <w:rPr>
          <w:rFonts w:ascii="Arial" w:hAnsi="Arial"/>
          <w:i/>
          <w:color w:val="231F20"/>
          <w:sz w:val="17"/>
        </w:rPr>
        <w:t>que</w:t>
      </w:r>
      <w:r>
        <w:rPr>
          <w:rFonts w:ascii="Arial" w:hAnsi="Arial"/>
          <w:i/>
          <w:color w:val="231F20"/>
          <w:spacing w:val="-6"/>
          <w:sz w:val="17"/>
        </w:rPr>
        <w:t> </w:t>
      </w:r>
      <w:r>
        <w:rPr>
          <w:rFonts w:ascii="Arial" w:hAnsi="Arial"/>
          <w:i/>
          <w:color w:val="231F20"/>
          <w:sz w:val="17"/>
        </w:rPr>
        <w:t>j’en</w:t>
      </w:r>
      <w:r>
        <w:rPr>
          <w:rFonts w:ascii="Arial" w:hAnsi="Arial"/>
          <w:i/>
          <w:color w:val="231F20"/>
          <w:spacing w:val="-6"/>
          <w:sz w:val="17"/>
        </w:rPr>
        <w:t> </w:t>
      </w:r>
      <w:r>
        <w:rPr>
          <w:rFonts w:ascii="Arial" w:hAnsi="Arial"/>
          <w:i/>
          <w:color w:val="231F20"/>
          <w:sz w:val="17"/>
        </w:rPr>
        <w:t>ai</w:t>
      </w:r>
      <w:r>
        <w:rPr>
          <w:rFonts w:ascii="Arial" w:hAnsi="Arial"/>
          <w:i/>
          <w:color w:val="231F20"/>
          <w:spacing w:val="-6"/>
          <w:sz w:val="17"/>
        </w:rPr>
        <w:t> </w:t>
      </w:r>
      <w:r>
        <w:rPr>
          <w:rFonts w:ascii="Arial" w:hAnsi="Arial"/>
          <w:i/>
          <w:color w:val="231F20"/>
          <w:sz w:val="17"/>
        </w:rPr>
        <w:t>développé</w:t>
      </w:r>
      <w:r>
        <w:rPr>
          <w:rFonts w:ascii="Arial" w:hAnsi="Arial"/>
          <w:i/>
          <w:color w:val="231F20"/>
          <w:spacing w:val="-6"/>
          <w:sz w:val="17"/>
        </w:rPr>
        <w:t> </w:t>
      </w:r>
      <w:r>
        <w:rPr>
          <w:rFonts w:ascii="Arial" w:hAnsi="Arial"/>
          <w:i/>
          <w:color w:val="231F20"/>
          <w:sz w:val="17"/>
        </w:rPr>
        <w:t>une</w:t>
      </w:r>
      <w:r>
        <w:rPr>
          <w:rFonts w:ascii="Arial" w:hAnsi="Arial"/>
          <w:i/>
          <w:color w:val="231F20"/>
          <w:spacing w:val="-6"/>
          <w:sz w:val="17"/>
        </w:rPr>
        <w:t> </w:t>
      </w:r>
      <w:r>
        <w:rPr>
          <w:rFonts w:ascii="Arial" w:hAnsi="Arial"/>
          <w:i/>
          <w:color w:val="231F20"/>
          <w:sz w:val="17"/>
        </w:rPr>
        <w:t>cervicalgie</w:t>
      </w:r>
      <w:r>
        <w:rPr>
          <w:rFonts w:ascii="Arial" w:hAnsi="Arial"/>
          <w:i/>
          <w:color w:val="231F20"/>
          <w:spacing w:val="-6"/>
          <w:sz w:val="17"/>
        </w:rPr>
        <w:t> </w:t>
      </w:r>
      <w:r>
        <w:rPr>
          <w:rFonts w:ascii="Arial" w:hAnsi="Arial"/>
          <w:i/>
          <w:color w:val="231F20"/>
          <w:sz w:val="17"/>
        </w:rPr>
        <w:t>aiguë qui</w:t>
      </w:r>
      <w:r>
        <w:rPr>
          <w:rFonts w:ascii="Arial" w:hAnsi="Arial"/>
          <w:i/>
          <w:color w:val="231F20"/>
          <w:spacing w:val="-12"/>
          <w:sz w:val="17"/>
        </w:rPr>
        <w:t> </w:t>
      </w:r>
      <w:r>
        <w:rPr>
          <w:rFonts w:ascii="Arial" w:hAnsi="Arial"/>
          <w:i/>
          <w:color w:val="231F20"/>
          <w:sz w:val="17"/>
        </w:rPr>
        <w:t>m’a</w:t>
      </w:r>
      <w:r>
        <w:rPr>
          <w:rFonts w:ascii="Arial" w:hAnsi="Arial"/>
          <w:i/>
          <w:color w:val="231F20"/>
          <w:spacing w:val="-12"/>
          <w:sz w:val="17"/>
        </w:rPr>
        <w:t> </w:t>
      </w:r>
      <w:r>
        <w:rPr>
          <w:rFonts w:ascii="Arial" w:hAnsi="Arial"/>
          <w:i/>
          <w:color w:val="231F20"/>
          <w:sz w:val="17"/>
        </w:rPr>
        <w:t>forcée</w:t>
      </w:r>
      <w:r>
        <w:rPr>
          <w:rFonts w:ascii="Arial" w:hAnsi="Arial"/>
          <w:i/>
          <w:color w:val="231F20"/>
          <w:spacing w:val="-12"/>
          <w:sz w:val="17"/>
        </w:rPr>
        <w:t> </w:t>
      </w:r>
      <w:r>
        <w:rPr>
          <w:rFonts w:ascii="Arial" w:hAnsi="Arial"/>
          <w:i/>
          <w:color w:val="231F20"/>
          <w:sz w:val="17"/>
        </w:rPr>
        <w:t>à</w:t>
      </w:r>
      <w:r>
        <w:rPr>
          <w:rFonts w:ascii="Arial" w:hAnsi="Arial"/>
          <w:i/>
          <w:color w:val="231F20"/>
          <w:spacing w:val="-12"/>
          <w:sz w:val="17"/>
        </w:rPr>
        <w:t> </w:t>
      </w:r>
      <w:r>
        <w:rPr>
          <w:rFonts w:ascii="Arial" w:hAnsi="Arial"/>
          <w:i/>
          <w:color w:val="231F20"/>
          <w:sz w:val="17"/>
        </w:rPr>
        <w:t>prendre</w:t>
      </w:r>
      <w:r>
        <w:rPr>
          <w:rFonts w:ascii="Arial" w:hAnsi="Arial"/>
          <w:i/>
          <w:color w:val="231F20"/>
          <w:spacing w:val="-7"/>
          <w:sz w:val="17"/>
        </w:rPr>
        <w:t> </w:t>
      </w:r>
      <w:r>
        <w:rPr>
          <w:rFonts w:ascii="Arial" w:hAnsi="Arial"/>
          <w:i/>
          <w:color w:val="231F20"/>
          <w:sz w:val="17"/>
        </w:rPr>
        <w:t>du</w:t>
      </w:r>
      <w:r>
        <w:rPr>
          <w:rFonts w:ascii="Arial" w:hAnsi="Arial"/>
          <w:i/>
          <w:color w:val="231F20"/>
          <w:spacing w:val="-7"/>
          <w:sz w:val="17"/>
        </w:rPr>
        <w:t> </w:t>
      </w:r>
      <w:r>
        <w:rPr>
          <w:rFonts w:ascii="Arial" w:hAnsi="Arial"/>
          <w:i/>
          <w:color w:val="231F20"/>
          <w:sz w:val="17"/>
        </w:rPr>
        <w:t>recul</w:t>
      </w:r>
      <w:r>
        <w:rPr>
          <w:rFonts w:ascii="Arial" w:hAnsi="Arial"/>
          <w:i/>
          <w:color w:val="231F20"/>
          <w:spacing w:val="-7"/>
          <w:sz w:val="17"/>
        </w:rPr>
        <w:t> </w:t>
      </w:r>
      <w:r>
        <w:rPr>
          <w:rFonts w:ascii="Arial" w:hAnsi="Arial"/>
          <w:i/>
          <w:color w:val="231F20"/>
          <w:sz w:val="17"/>
        </w:rPr>
        <w:t>vis-à-vis</w:t>
      </w:r>
      <w:r>
        <w:rPr>
          <w:rFonts w:ascii="Arial" w:hAnsi="Arial"/>
          <w:i/>
          <w:color w:val="231F20"/>
          <w:spacing w:val="-7"/>
          <w:sz w:val="17"/>
        </w:rPr>
        <w:t> </w:t>
      </w:r>
      <w:r>
        <w:rPr>
          <w:rFonts w:ascii="Arial" w:hAnsi="Arial"/>
          <w:i/>
          <w:color w:val="231F20"/>
          <w:sz w:val="17"/>
        </w:rPr>
        <w:t>de</w:t>
      </w:r>
      <w:r>
        <w:rPr>
          <w:rFonts w:ascii="Arial" w:hAnsi="Arial"/>
          <w:i/>
          <w:color w:val="231F20"/>
          <w:spacing w:val="-7"/>
          <w:sz w:val="17"/>
        </w:rPr>
        <w:t> </w:t>
      </w:r>
      <w:r>
        <w:rPr>
          <w:rFonts w:ascii="Arial" w:hAnsi="Arial"/>
          <w:i/>
          <w:color w:val="231F20"/>
          <w:sz w:val="17"/>
        </w:rPr>
        <w:t>mon</w:t>
      </w:r>
      <w:r>
        <w:rPr>
          <w:rFonts w:ascii="Arial" w:hAnsi="Arial"/>
          <w:i/>
          <w:color w:val="231F20"/>
          <w:spacing w:val="-7"/>
          <w:sz w:val="17"/>
        </w:rPr>
        <w:t> </w:t>
      </w:r>
      <w:r>
        <w:rPr>
          <w:rFonts w:ascii="Arial" w:hAnsi="Arial"/>
          <w:i/>
          <w:color w:val="231F20"/>
          <w:sz w:val="17"/>
        </w:rPr>
        <w:t>travail.</w:t>
      </w:r>
      <w:r>
        <w:rPr>
          <w:rFonts w:ascii="Arial" w:hAnsi="Arial"/>
          <w:i/>
          <w:color w:val="231F20"/>
          <w:spacing w:val="-12"/>
          <w:sz w:val="17"/>
        </w:rPr>
        <w:t> </w:t>
      </w:r>
      <w:r>
        <w:rPr>
          <w:rFonts w:ascii="Arial" w:hAnsi="Arial"/>
          <w:color w:val="231F20"/>
          <w:sz w:val="17"/>
        </w:rPr>
        <w:t>»</w:t>
      </w:r>
      <w:r>
        <w:rPr>
          <w:rFonts w:ascii="Arial" w:hAnsi="Arial"/>
          <w:color w:val="231F20"/>
          <w:spacing w:val="-7"/>
          <w:sz w:val="17"/>
        </w:rPr>
        <w:t> </w:t>
      </w:r>
      <w:r>
        <w:rPr>
          <w:rFonts w:ascii="Arial" w:hAnsi="Arial"/>
          <w:color w:val="231F20"/>
          <w:sz w:val="17"/>
        </w:rPr>
        <w:t>Cette</w:t>
      </w:r>
      <w:r>
        <w:rPr>
          <w:rFonts w:ascii="Arial" w:hAnsi="Arial"/>
          <w:color w:val="231F20"/>
          <w:spacing w:val="-7"/>
          <w:sz w:val="17"/>
        </w:rPr>
        <w:t> </w:t>
      </w:r>
      <w:r>
        <w:rPr>
          <w:rFonts w:ascii="Arial" w:hAnsi="Arial"/>
          <w:color w:val="231F20"/>
          <w:sz w:val="17"/>
        </w:rPr>
        <w:t>mise </w:t>
      </w:r>
      <w:r>
        <w:rPr>
          <w:rFonts w:ascii="Arial" w:hAnsi="Arial"/>
          <w:color w:val="231F20"/>
          <w:spacing w:val="-2"/>
          <w:sz w:val="17"/>
        </w:rPr>
        <w:t>à</w:t>
      </w:r>
      <w:r>
        <w:rPr>
          <w:rFonts w:ascii="Arial" w:hAnsi="Arial"/>
          <w:color w:val="231F20"/>
          <w:spacing w:val="-10"/>
          <w:sz w:val="17"/>
        </w:rPr>
        <w:t> </w:t>
      </w:r>
      <w:r>
        <w:rPr>
          <w:rFonts w:ascii="Arial" w:hAnsi="Arial"/>
          <w:color w:val="231F20"/>
          <w:spacing w:val="-2"/>
          <w:sz w:val="17"/>
        </w:rPr>
        <w:t>distance</w:t>
      </w:r>
      <w:r>
        <w:rPr>
          <w:rFonts w:ascii="Arial" w:hAnsi="Arial"/>
          <w:color w:val="231F20"/>
          <w:spacing w:val="-10"/>
          <w:sz w:val="17"/>
        </w:rPr>
        <w:t> </w:t>
      </w:r>
      <w:r>
        <w:rPr>
          <w:rFonts w:ascii="Arial" w:hAnsi="Arial"/>
          <w:color w:val="231F20"/>
          <w:spacing w:val="-2"/>
          <w:sz w:val="17"/>
        </w:rPr>
        <w:t>lui</w:t>
      </w:r>
      <w:r>
        <w:rPr>
          <w:rFonts w:ascii="Arial" w:hAnsi="Arial"/>
          <w:color w:val="231F20"/>
          <w:spacing w:val="-10"/>
          <w:sz w:val="17"/>
        </w:rPr>
        <w:t> </w:t>
      </w:r>
      <w:r>
        <w:rPr>
          <w:rFonts w:ascii="Arial" w:hAnsi="Arial"/>
          <w:color w:val="231F20"/>
          <w:spacing w:val="-2"/>
          <w:sz w:val="17"/>
        </w:rPr>
        <w:t>a</w:t>
      </w:r>
      <w:r>
        <w:rPr>
          <w:rFonts w:ascii="Arial" w:hAnsi="Arial"/>
          <w:color w:val="231F20"/>
          <w:spacing w:val="-10"/>
          <w:sz w:val="17"/>
        </w:rPr>
        <w:t> </w:t>
      </w:r>
      <w:r>
        <w:rPr>
          <w:rFonts w:ascii="Arial" w:hAnsi="Arial"/>
          <w:color w:val="231F20"/>
          <w:spacing w:val="-2"/>
          <w:sz w:val="17"/>
        </w:rPr>
        <w:t>permis</w:t>
      </w:r>
      <w:r>
        <w:rPr>
          <w:rFonts w:ascii="Arial" w:hAnsi="Arial"/>
          <w:color w:val="231F20"/>
          <w:spacing w:val="-5"/>
          <w:sz w:val="17"/>
        </w:rPr>
        <w:t> </w:t>
      </w:r>
      <w:r>
        <w:rPr>
          <w:rFonts w:ascii="Arial" w:hAnsi="Arial"/>
          <w:color w:val="231F20"/>
          <w:spacing w:val="-2"/>
          <w:sz w:val="17"/>
        </w:rPr>
        <w:t>de</w:t>
      </w:r>
      <w:r>
        <w:rPr>
          <w:rFonts w:ascii="Arial" w:hAnsi="Arial"/>
          <w:color w:val="231F20"/>
          <w:spacing w:val="-5"/>
          <w:sz w:val="17"/>
        </w:rPr>
        <w:t> </w:t>
      </w:r>
      <w:r>
        <w:rPr>
          <w:rFonts w:ascii="Arial" w:hAnsi="Arial"/>
          <w:color w:val="231F20"/>
          <w:spacing w:val="-2"/>
          <w:sz w:val="17"/>
        </w:rPr>
        <w:t>puiser</w:t>
      </w:r>
      <w:r>
        <w:rPr>
          <w:rFonts w:ascii="Arial" w:hAnsi="Arial"/>
          <w:color w:val="231F20"/>
          <w:spacing w:val="-5"/>
          <w:sz w:val="17"/>
        </w:rPr>
        <w:t> </w:t>
      </w:r>
      <w:r>
        <w:rPr>
          <w:rFonts w:ascii="Arial" w:hAnsi="Arial"/>
          <w:color w:val="231F20"/>
          <w:spacing w:val="-2"/>
          <w:sz w:val="17"/>
        </w:rPr>
        <w:t>dans</w:t>
      </w:r>
      <w:r>
        <w:rPr>
          <w:rFonts w:ascii="Arial" w:hAnsi="Arial"/>
          <w:color w:val="231F20"/>
          <w:spacing w:val="-5"/>
          <w:sz w:val="17"/>
        </w:rPr>
        <w:t> </w:t>
      </w:r>
      <w:r>
        <w:rPr>
          <w:rFonts w:ascii="Arial" w:hAnsi="Arial"/>
          <w:color w:val="231F20"/>
          <w:spacing w:val="-2"/>
          <w:sz w:val="17"/>
        </w:rPr>
        <w:t>ses</w:t>
      </w:r>
      <w:r>
        <w:rPr>
          <w:rFonts w:ascii="Arial" w:hAnsi="Arial"/>
          <w:color w:val="231F20"/>
          <w:spacing w:val="-5"/>
          <w:sz w:val="17"/>
        </w:rPr>
        <w:t> </w:t>
      </w:r>
      <w:r>
        <w:rPr>
          <w:rFonts w:ascii="Arial" w:hAnsi="Arial"/>
          <w:color w:val="231F20"/>
          <w:spacing w:val="-2"/>
          <w:sz w:val="17"/>
        </w:rPr>
        <w:t>ressources</w:t>
      </w:r>
      <w:r>
        <w:rPr>
          <w:rFonts w:ascii="Arial" w:hAnsi="Arial"/>
          <w:color w:val="231F20"/>
          <w:spacing w:val="-10"/>
          <w:sz w:val="17"/>
        </w:rPr>
        <w:t> </w:t>
      </w:r>
      <w:r>
        <w:rPr>
          <w:rFonts w:ascii="Arial" w:hAnsi="Arial"/>
          <w:color w:val="231F20"/>
          <w:spacing w:val="-2"/>
          <w:sz w:val="17"/>
        </w:rPr>
        <w:t>:</w:t>
      </w:r>
      <w:r>
        <w:rPr>
          <w:rFonts w:ascii="Arial" w:hAnsi="Arial"/>
          <w:color w:val="231F20"/>
          <w:spacing w:val="-5"/>
          <w:sz w:val="17"/>
        </w:rPr>
        <w:t> </w:t>
      </w:r>
      <w:r>
        <w:rPr>
          <w:rFonts w:ascii="Arial" w:hAnsi="Arial"/>
          <w:color w:val="231F20"/>
          <w:spacing w:val="-2"/>
          <w:sz w:val="17"/>
        </w:rPr>
        <w:t>elle</w:t>
      </w:r>
      <w:r>
        <w:rPr>
          <w:rFonts w:ascii="Arial" w:hAnsi="Arial"/>
          <w:color w:val="231F20"/>
          <w:spacing w:val="-5"/>
          <w:sz w:val="17"/>
        </w:rPr>
        <w:t> </w:t>
      </w:r>
      <w:r>
        <w:rPr>
          <w:rFonts w:ascii="Arial" w:hAnsi="Arial"/>
          <w:color w:val="231F20"/>
          <w:spacing w:val="-2"/>
          <w:sz w:val="17"/>
        </w:rPr>
        <w:t>a</w:t>
      </w:r>
      <w:r>
        <w:rPr>
          <w:rFonts w:ascii="Arial" w:hAnsi="Arial"/>
          <w:color w:val="231F20"/>
          <w:spacing w:val="-5"/>
          <w:sz w:val="17"/>
        </w:rPr>
        <w:t> </w:t>
      </w:r>
      <w:r>
        <w:rPr>
          <w:rFonts w:ascii="Arial" w:hAnsi="Arial"/>
          <w:color w:val="231F20"/>
          <w:spacing w:val="-2"/>
          <w:sz w:val="17"/>
        </w:rPr>
        <w:t>finalement </w:t>
      </w:r>
      <w:r>
        <w:rPr>
          <w:rFonts w:ascii="Arial" w:hAnsi="Arial"/>
          <w:color w:val="231F20"/>
          <w:sz w:val="17"/>
        </w:rPr>
        <w:t>décroché une formation, puis un poste de cadre à la DRH.</w:t>
      </w:r>
    </w:p>
    <w:p>
      <w:pPr>
        <w:pStyle w:val="BodyText"/>
        <w:spacing w:before="7"/>
        <w:rPr>
          <w:rFonts w:ascii="Arial"/>
          <w:sz w:val="21"/>
        </w:rPr>
      </w:pPr>
    </w:p>
    <w:p>
      <w:pPr>
        <w:pStyle w:val="Heading6"/>
        <w:numPr>
          <w:ilvl w:val="1"/>
          <w:numId w:val="70"/>
        </w:numPr>
        <w:tabs>
          <w:tab w:pos="1255" w:val="left" w:leader="none"/>
        </w:tabs>
        <w:spacing w:line="240" w:lineRule="auto" w:before="0" w:after="0"/>
        <w:ind w:left="1254" w:right="0" w:hanging="175"/>
        <w:jc w:val="left"/>
      </w:pPr>
      <w:r>
        <w:rPr>
          <w:color w:val="231F20"/>
          <w:w w:val="95"/>
        </w:rPr>
        <w:t>Visualisez-vous</w:t>
      </w:r>
      <w:r>
        <w:rPr>
          <w:color w:val="231F20"/>
          <w:spacing w:val="-8"/>
          <w:w w:val="95"/>
        </w:rPr>
        <w:t> </w:t>
      </w:r>
      <w:r>
        <w:rPr>
          <w:color w:val="231F20"/>
          <w:w w:val="95"/>
        </w:rPr>
        <w:t>en</w:t>
      </w:r>
      <w:r>
        <w:rPr>
          <w:color w:val="231F20"/>
          <w:spacing w:val="-7"/>
          <w:w w:val="95"/>
        </w:rPr>
        <w:t> </w:t>
      </w:r>
      <w:r>
        <w:rPr>
          <w:color w:val="231F20"/>
          <w:w w:val="95"/>
        </w:rPr>
        <w:t>train</w:t>
      </w:r>
      <w:r>
        <w:rPr>
          <w:color w:val="231F20"/>
          <w:spacing w:val="-7"/>
          <w:w w:val="95"/>
        </w:rPr>
        <w:t> </w:t>
      </w:r>
      <w:r>
        <w:rPr>
          <w:color w:val="231F20"/>
          <w:w w:val="95"/>
        </w:rPr>
        <w:t>de</w:t>
      </w:r>
      <w:r>
        <w:rPr>
          <w:color w:val="231F20"/>
          <w:spacing w:val="-7"/>
          <w:w w:val="95"/>
        </w:rPr>
        <w:t> </w:t>
      </w:r>
      <w:r>
        <w:rPr>
          <w:color w:val="231F20"/>
          <w:w w:val="95"/>
        </w:rPr>
        <w:t>triompher</w:t>
      </w:r>
      <w:r>
        <w:rPr>
          <w:color w:val="231F20"/>
          <w:spacing w:val="-7"/>
          <w:w w:val="95"/>
        </w:rPr>
        <w:t> </w:t>
      </w:r>
      <w:r>
        <w:rPr>
          <w:color w:val="231F20"/>
          <w:w w:val="95"/>
        </w:rPr>
        <w:t>des</w:t>
      </w:r>
      <w:r>
        <w:rPr>
          <w:color w:val="231F20"/>
          <w:spacing w:val="-8"/>
          <w:w w:val="95"/>
        </w:rPr>
        <w:t> </w:t>
      </w:r>
      <w:r>
        <w:rPr>
          <w:color w:val="231F20"/>
          <w:spacing w:val="-2"/>
          <w:w w:val="95"/>
        </w:rPr>
        <w:t>obstacles</w:t>
      </w:r>
    </w:p>
    <w:p>
      <w:pPr>
        <w:pStyle w:val="BodyText"/>
        <w:spacing w:line="307" w:lineRule="auto" w:before="135"/>
        <w:ind w:left="1080" w:right="743"/>
        <w:jc w:val="both"/>
        <w:rPr>
          <w:rFonts w:ascii="Arial" w:hAnsi="Arial"/>
        </w:rPr>
      </w:pPr>
      <w:r>
        <w:rPr>
          <w:rFonts w:ascii="Arial" w:hAnsi="Arial"/>
          <w:color w:val="231F20"/>
        </w:rPr>
        <w:t>Et si vous deveniez le metteur en scène d’un film où tout se déroule </w:t>
      </w:r>
      <w:r>
        <w:rPr>
          <w:rFonts w:ascii="Arial" w:hAnsi="Arial"/>
          <w:color w:val="231F20"/>
          <w:spacing w:val="-2"/>
        </w:rPr>
        <w:t>parfaitement</w:t>
      </w:r>
      <w:r>
        <w:rPr>
          <w:rFonts w:ascii="Arial" w:hAnsi="Arial"/>
          <w:color w:val="231F20"/>
          <w:spacing w:val="-10"/>
        </w:rPr>
        <w:t> </w:t>
      </w:r>
      <w:r>
        <w:rPr>
          <w:rFonts w:ascii="Arial" w:hAnsi="Arial"/>
          <w:color w:val="231F20"/>
          <w:spacing w:val="-2"/>
        </w:rPr>
        <w:t>?</w:t>
      </w:r>
      <w:r>
        <w:rPr>
          <w:rFonts w:ascii="Arial" w:hAnsi="Arial"/>
          <w:color w:val="231F20"/>
          <w:spacing w:val="-10"/>
        </w:rPr>
        <w:t> </w:t>
      </w:r>
      <w:r>
        <w:rPr>
          <w:rFonts w:ascii="Arial" w:hAnsi="Arial"/>
          <w:color w:val="231F20"/>
          <w:spacing w:val="-2"/>
        </w:rPr>
        <w:t>Vous</w:t>
      </w:r>
      <w:r>
        <w:rPr>
          <w:rFonts w:ascii="Arial" w:hAnsi="Arial"/>
          <w:color w:val="231F20"/>
          <w:spacing w:val="-10"/>
        </w:rPr>
        <w:t> </w:t>
      </w:r>
      <w:r>
        <w:rPr>
          <w:rFonts w:ascii="Arial" w:hAnsi="Arial"/>
          <w:color w:val="231F20"/>
          <w:spacing w:val="-2"/>
        </w:rPr>
        <w:t>avez</w:t>
      </w:r>
      <w:r>
        <w:rPr>
          <w:rFonts w:ascii="Arial" w:hAnsi="Arial"/>
          <w:color w:val="231F20"/>
          <w:spacing w:val="-10"/>
        </w:rPr>
        <w:t> </w:t>
      </w:r>
      <w:r>
        <w:rPr>
          <w:rFonts w:ascii="Arial" w:hAnsi="Arial"/>
          <w:color w:val="231F20"/>
          <w:spacing w:val="-2"/>
        </w:rPr>
        <w:t>le</w:t>
      </w:r>
      <w:r>
        <w:rPr>
          <w:rFonts w:ascii="Arial" w:hAnsi="Arial"/>
          <w:color w:val="231F20"/>
          <w:spacing w:val="-10"/>
        </w:rPr>
        <w:t> </w:t>
      </w:r>
      <w:r>
        <w:rPr>
          <w:rFonts w:ascii="Arial" w:hAnsi="Arial"/>
          <w:color w:val="231F20"/>
          <w:spacing w:val="-2"/>
        </w:rPr>
        <w:t>meilleur</w:t>
      </w:r>
      <w:r>
        <w:rPr>
          <w:rFonts w:ascii="Arial" w:hAnsi="Arial"/>
          <w:color w:val="231F20"/>
          <w:spacing w:val="-9"/>
        </w:rPr>
        <w:t> </w:t>
      </w:r>
      <w:r>
        <w:rPr>
          <w:rFonts w:ascii="Arial" w:hAnsi="Arial"/>
          <w:color w:val="231F20"/>
          <w:spacing w:val="-2"/>
        </w:rPr>
        <w:t>rôle,</w:t>
      </w:r>
      <w:r>
        <w:rPr>
          <w:rFonts w:ascii="Arial" w:hAnsi="Arial"/>
          <w:color w:val="231F20"/>
          <w:spacing w:val="-10"/>
        </w:rPr>
        <w:t> </w:t>
      </w:r>
      <w:r>
        <w:rPr>
          <w:rFonts w:ascii="Arial" w:hAnsi="Arial"/>
          <w:color w:val="231F20"/>
          <w:spacing w:val="-2"/>
        </w:rPr>
        <w:t>vous</w:t>
      </w:r>
      <w:r>
        <w:rPr>
          <w:rFonts w:ascii="Arial" w:hAnsi="Arial"/>
          <w:color w:val="231F20"/>
          <w:spacing w:val="-10"/>
        </w:rPr>
        <w:t> </w:t>
      </w:r>
      <w:r>
        <w:rPr>
          <w:rFonts w:ascii="Arial" w:hAnsi="Arial"/>
          <w:color w:val="231F20"/>
          <w:spacing w:val="-2"/>
        </w:rPr>
        <w:t>réussissez</w:t>
      </w:r>
      <w:r>
        <w:rPr>
          <w:rFonts w:ascii="Arial" w:hAnsi="Arial"/>
          <w:color w:val="231F20"/>
          <w:spacing w:val="-10"/>
        </w:rPr>
        <w:t> </w:t>
      </w:r>
      <w:r>
        <w:rPr>
          <w:rFonts w:ascii="Arial" w:hAnsi="Arial"/>
          <w:color w:val="231F20"/>
          <w:spacing w:val="-2"/>
        </w:rPr>
        <w:t>avec</w:t>
      </w:r>
      <w:r>
        <w:rPr>
          <w:rFonts w:ascii="Arial" w:hAnsi="Arial"/>
          <w:color w:val="231F20"/>
          <w:spacing w:val="-10"/>
        </w:rPr>
        <w:t> </w:t>
      </w:r>
      <w:r>
        <w:rPr>
          <w:rFonts w:ascii="Arial" w:hAnsi="Arial"/>
          <w:color w:val="231F20"/>
          <w:spacing w:val="-2"/>
        </w:rPr>
        <w:t>brio</w:t>
      </w:r>
      <w:r>
        <w:rPr>
          <w:rFonts w:ascii="Arial" w:hAnsi="Arial"/>
          <w:color w:val="231F20"/>
          <w:spacing w:val="-9"/>
        </w:rPr>
        <w:t> </w:t>
      </w:r>
      <w:r>
        <w:rPr>
          <w:rFonts w:ascii="Arial" w:hAnsi="Arial"/>
          <w:color w:val="231F20"/>
          <w:spacing w:val="-2"/>
        </w:rPr>
        <w:t>tout </w:t>
      </w:r>
      <w:r>
        <w:rPr>
          <w:rFonts w:ascii="Arial" w:hAnsi="Arial"/>
          <w:color w:val="231F20"/>
        </w:rPr>
        <w:t>ce</w:t>
      </w:r>
      <w:r>
        <w:rPr>
          <w:rFonts w:ascii="Arial" w:hAnsi="Arial"/>
          <w:color w:val="231F20"/>
          <w:spacing w:val="-10"/>
        </w:rPr>
        <w:t> </w:t>
      </w:r>
      <w:r>
        <w:rPr>
          <w:rFonts w:ascii="Arial" w:hAnsi="Arial"/>
          <w:color w:val="231F20"/>
        </w:rPr>
        <w:t>que</w:t>
      </w:r>
      <w:r>
        <w:rPr>
          <w:rFonts w:ascii="Arial" w:hAnsi="Arial"/>
          <w:color w:val="231F20"/>
          <w:spacing w:val="-10"/>
        </w:rPr>
        <w:t> </w:t>
      </w:r>
      <w:r>
        <w:rPr>
          <w:rFonts w:ascii="Arial" w:hAnsi="Arial"/>
          <w:color w:val="231F20"/>
        </w:rPr>
        <w:t>vous</w:t>
      </w:r>
      <w:r>
        <w:rPr>
          <w:rFonts w:ascii="Arial" w:hAnsi="Arial"/>
          <w:color w:val="231F20"/>
          <w:spacing w:val="-10"/>
        </w:rPr>
        <w:t> </w:t>
      </w:r>
      <w:r>
        <w:rPr>
          <w:rFonts w:ascii="Arial" w:hAnsi="Arial"/>
          <w:color w:val="231F20"/>
        </w:rPr>
        <w:t>entreprenez,</w:t>
      </w:r>
      <w:r>
        <w:rPr>
          <w:rFonts w:ascii="Arial" w:hAnsi="Arial"/>
          <w:color w:val="231F20"/>
          <w:spacing w:val="-10"/>
        </w:rPr>
        <w:t> </w:t>
      </w:r>
      <w:r>
        <w:rPr>
          <w:rFonts w:ascii="Arial" w:hAnsi="Arial"/>
          <w:color w:val="231F20"/>
        </w:rPr>
        <w:t>vous</w:t>
      </w:r>
      <w:r>
        <w:rPr>
          <w:rFonts w:ascii="Arial" w:hAnsi="Arial"/>
          <w:color w:val="231F20"/>
          <w:spacing w:val="-10"/>
        </w:rPr>
        <w:t> </w:t>
      </w:r>
      <w:r>
        <w:rPr>
          <w:rFonts w:ascii="Arial" w:hAnsi="Arial"/>
          <w:color w:val="231F20"/>
        </w:rPr>
        <w:t>vous</w:t>
      </w:r>
      <w:r>
        <w:rPr>
          <w:rFonts w:ascii="Arial" w:hAnsi="Arial"/>
          <w:color w:val="231F20"/>
          <w:spacing w:val="-10"/>
        </w:rPr>
        <w:t> </w:t>
      </w:r>
      <w:r>
        <w:rPr>
          <w:rFonts w:ascii="Arial" w:hAnsi="Arial"/>
          <w:color w:val="231F20"/>
        </w:rPr>
        <w:t>sortez</w:t>
      </w:r>
      <w:r>
        <w:rPr>
          <w:rFonts w:ascii="Arial" w:hAnsi="Arial"/>
          <w:color w:val="231F20"/>
          <w:spacing w:val="-10"/>
        </w:rPr>
        <w:t> </w:t>
      </w:r>
      <w:r>
        <w:rPr>
          <w:rFonts w:ascii="Arial" w:hAnsi="Arial"/>
          <w:color w:val="231F20"/>
        </w:rPr>
        <w:t>des</w:t>
      </w:r>
      <w:r>
        <w:rPr>
          <w:rFonts w:ascii="Arial" w:hAnsi="Arial"/>
          <w:color w:val="231F20"/>
          <w:spacing w:val="-10"/>
        </w:rPr>
        <w:t> </w:t>
      </w:r>
      <w:r>
        <w:rPr>
          <w:rFonts w:ascii="Arial" w:hAnsi="Arial"/>
          <w:color w:val="231F20"/>
        </w:rPr>
        <w:t>situations</w:t>
      </w:r>
      <w:r>
        <w:rPr>
          <w:rFonts w:ascii="Arial" w:hAnsi="Arial"/>
          <w:color w:val="231F20"/>
          <w:spacing w:val="-10"/>
        </w:rPr>
        <w:t> </w:t>
      </w:r>
      <w:r>
        <w:rPr>
          <w:rFonts w:ascii="Arial" w:hAnsi="Arial"/>
          <w:color w:val="231F20"/>
        </w:rPr>
        <w:t>les</w:t>
      </w:r>
      <w:r>
        <w:rPr>
          <w:rFonts w:ascii="Arial" w:hAnsi="Arial"/>
          <w:color w:val="231F20"/>
          <w:spacing w:val="-10"/>
        </w:rPr>
        <w:t> </w:t>
      </w:r>
      <w:r>
        <w:rPr>
          <w:rFonts w:ascii="Arial" w:hAnsi="Arial"/>
          <w:color w:val="231F20"/>
        </w:rPr>
        <w:t>plus</w:t>
      </w:r>
      <w:r>
        <w:rPr>
          <w:rFonts w:ascii="Arial" w:hAnsi="Arial"/>
          <w:color w:val="231F20"/>
          <w:spacing w:val="-10"/>
        </w:rPr>
        <w:t> </w:t>
      </w:r>
      <w:r>
        <w:rPr>
          <w:rFonts w:ascii="Arial" w:hAnsi="Arial"/>
          <w:color w:val="231F20"/>
        </w:rPr>
        <w:t>déli- </w:t>
      </w:r>
      <w:r>
        <w:rPr>
          <w:rFonts w:ascii="Arial" w:hAnsi="Arial"/>
          <w:color w:val="231F20"/>
          <w:w w:val="95"/>
        </w:rPr>
        <w:t>cates.</w:t>
      </w:r>
      <w:r>
        <w:rPr>
          <w:rFonts w:ascii="Arial" w:hAnsi="Arial"/>
          <w:color w:val="231F20"/>
          <w:spacing w:val="-10"/>
          <w:w w:val="95"/>
        </w:rPr>
        <w:t> </w:t>
      </w:r>
      <w:r>
        <w:rPr>
          <w:rFonts w:ascii="Arial" w:hAnsi="Arial"/>
          <w:color w:val="231F20"/>
          <w:w w:val="95"/>
        </w:rPr>
        <w:t>C’est</w:t>
      </w:r>
      <w:r>
        <w:rPr>
          <w:rFonts w:ascii="Arial" w:hAnsi="Arial"/>
          <w:color w:val="231F20"/>
          <w:spacing w:val="-9"/>
          <w:w w:val="95"/>
        </w:rPr>
        <w:t> </w:t>
      </w:r>
      <w:r>
        <w:rPr>
          <w:rFonts w:ascii="Arial" w:hAnsi="Arial"/>
          <w:color w:val="231F20"/>
          <w:w w:val="95"/>
        </w:rPr>
        <w:t>ce</w:t>
      </w:r>
      <w:r>
        <w:rPr>
          <w:rFonts w:ascii="Arial" w:hAnsi="Arial"/>
          <w:color w:val="231F20"/>
          <w:spacing w:val="-9"/>
          <w:w w:val="95"/>
        </w:rPr>
        <w:t> </w:t>
      </w:r>
      <w:r>
        <w:rPr>
          <w:rFonts w:ascii="Arial" w:hAnsi="Arial"/>
          <w:color w:val="231F20"/>
          <w:w w:val="95"/>
        </w:rPr>
        <w:t>que les coachs sportifs appellent la «</w:t>
      </w:r>
      <w:r>
        <w:rPr>
          <w:rFonts w:ascii="Arial" w:hAnsi="Arial"/>
          <w:color w:val="231F20"/>
          <w:spacing w:val="-10"/>
          <w:w w:val="95"/>
        </w:rPr>
        <w:t> </w:t>
      </w:r>
      <w:r>
        <w:rPr>
          <w:rFonts w:ascii="Arial" w:hAnsi="Arial"/>
          <w:color w:val="231F20"/>
          <w:w w:val="95"/>
        </w:rPr>
        <w:t>visualisation</w:t>
      </w:r>
      <w:r>
        <w:rPr>
          <w:rFonts w:ascii="Arial" w:hAnsi="Arial"/>
          <w:color w:val="231F20"/>
          <w:spacing w:val="-9"/>
          <w:w w:val="95"/>
        </w:rPr>
        <w:t> </w:t>
      </w:r>
      <w:r>
        <w:rPr>
          <w:rFonts w:ascii="Arial" w:hAnsi="Arial"/>
          <w:color w:val="231F20"/>
          <w:w w:val="95"/>
        </w:rPr>
        <w:t>»: vous suscitez</w:t>
      </w:r>
      <w:r>
        <w:rPr>
          <w:rFonts w:ascii="Arial" w:hAnsi="Arial"/>
          <w:color w:val="231F20"/>
          <w:spacing w:val="-1"/>
          <w:w w:val="95"/>
        </w:rPr>
        <w:t> </w:t>
      </w:r>
      <w:r>
        <w:rPr>
          <w:rFonts w:ascii="Arial" w:hAnsi="Arial"/>
          <w:color w:val="231F20"/>
          <w:w w:val="95"/>
        </w:rPr>
        <w:t>une</w:t>
      </w:r>
      <w:r>
        <w:rPr>
          <w:rFonts w:ascii="Arial" w:hAnsi="Arial"/>
          <w:color w:val="231F20"/>
          <w:spacing w:val="-1"/>
          <w:w w:val="95"/>
        </w:rPr>
        <w:t> </w:t>
      </w:r>
      <w:r>
        <w:rPr>
          <w:rFonts w:ascii="Arial" w:hAnsi="Arial"/>
          <w:color w:val="231F20"/>
          <w:w w:val="95"/>
        </w:rPr>
        <w:t>succession</w:t>
      </w:r>
      <w:r>
        <w:rPr>
          <w:rFonts w:ascii="Arial" w:hAnsi="Arial"/>
          <w:color w:val="231F20"/>
          <w:spacing w:val="-1"/>
          <w:w w:val="95"/>
        </w:rPr>
        <w:t> </w:t>
      </w:r>
      <w:r>
        <w:rPr>
          <w:rFonts w:ascii="Arial" w:hAnsi="Arial"/>
          <w:color w:val="231F20"/>
          <w:w w:val="95"/>
        </w:rPr>
        <w:t>d’images</w:t>
      </w:r>
      <w:r>
        <w:rPr>
          <w:rFonts w:ascii="Arial" w:hAnsi="Arial"/>
          <w:color w:val="231F20"/>
          <w:spacing w:val="-1"/>
          <w:w w:val="95"/>
        </w:rPr>
        <w:t> </w:t>
      </w:r>
      <w:r>
        <w:rPr>
          <w:rFonts w:ascii="Arial" w:hAnsi="Arial"/>
          <w:color w:val="231F20"/>
          <w:w w:val="95"/>
        </w:rPr>
        <w:t>mentales</w:t>
      </w:r>
      <w:r>
        <w:rPr>
          <w:rFonts w:ascii="Arial" w:hAnsi="Arial"/>
          <w:color w:val="231F20"/>
          <w:spacing w:val="-1"/>
          <w:w w:val="95"/>
        </w:rPr>
        <w:t> </w:t>
      </w:r>
      <w:r>
        <w:rPr>
          <w:rFonts w:ascii="Arial" w:hAnsi="Arial"/>
          <w:color w:val="231F20"/>
          <w:w w:val="95"/>
        </w:rPr>
        <w:t>où</w:t>
      </w:r>
      <w:r>
        <w:rPr>
          <w:rFonts w:ascii="Arial" w:hAnsi="Arial"/>
          <w:color w:val="231F20"/>
          <w:spacing w:val="-1"/>
          <w:w w:val="95"/>
        </w:rPr>
        <w:t> </w:t>
      </w:r>
      <w:r>
        <w:rPr>
          <w:rFonts w:ascii="Arial" w:hAnsi="Arial"/>
          <w:color w:val="231F20"/>
          <w:w w:val="95"/>
        </w:rPr>
        <w:t>vous</w:t>
      </w:r>
      <w:r>
        <w:rPr>
          <w:rFonts w:ascii="Arial" w:hAnsi="Arial"/>
          <w:color w:val="231F20"/>
          <w:spacing w:val="-1"/>
          <w:w w:val="95"/>
        </w:rPr>
        <w:t> </w:t>
      </w:r>
      <w:r>
        <w:rPr>
          <w:rFonts w:ascii="Arial" w:hAnsi="Arial"/>
          <w:color w:val="231F20"/>
          <w:w w:val="95"/>
        </w:rPr>
        <w:t>atteignez</w:t>
      </w:r>
      <w:r>
        <w:rPr>
          <w:rFonts w:ascii="Arial" w:hAnsi="Arial"/>
          <w:color w:val="231F20"/>
          <w:spacing w:val="-1"/>
          <w:w w:val="95"/>
        </w:rPr>
        <w:t> </w:t>
      </w:r>
      <w:r>
        <w:rPr>
          <w:rFonts w:ascii="Arial" w:hAnsi="Arial"/>
          <w:color w:val="231F20"/>
          <w:w w:val="95"/>
        </w:rPr>
        <w:t>vos</w:t>
      </w:r>
      <w:r>
        <w:rPr>
          <w:rFonts w:ascii="Arial" w:hAnsi="Arial"/>
          <w:color w:val="231F20"/>
          <w:spacing w:val="-1"/>
          <w:w w:val="95"/>
        </w:rPr>
        <w:t> </w:t>
      </w:r>
      <w:r>
        <w:rPr>
          <w:rFonts w:ascii="Arial" w:hAnsi="Arial"/>
          <w:color w:val="231F20"/>
          <w:w w:val="95"/>
        </w:rPr>
        <w:t>objec- </w:t>
      </w:r>
      <w:r>
        <w:rPr>
          <w:rFonts w:ascii="Arial" w:hAnsi="Arial"/>
          <w:color w:val="231F20"/>
        </w:rPr>
        <w:t>tifs.</w:t>
      </w:r>
      <w:r>
        <w:rPr>
          <w:rFonts w:ascii="Arial" w:hAnsi="Arial"/>
          <w:color w:val="231F20"/>
          <w:spacing w:val="-3"/>
        </w:rPr>
        <w:t> </w:t>
      </w:r>
      <w:r>
        <w:rPr>
          <w:rFonts w:ascii="Arial" w:hAnsi="Arial"/>
          <w:color w:val="231F20"/>
        </w:rPr>
        <w:t>Jack</w:t>
      </w:r>
      <w:r>
        <w:rPr>
          <w:rFonts w:ascii="Arial" w:hAnsi="Arial"/>
          <w:color w:val="231F20"/>
          <w:spacing w:val="-3"/>
        </w:rPr>
        <w:t> </w:t>
      </w:r>
      <w:r>
        <w:rPr>
          <w:rFonts w:ascii="Arial" w:hAnsi="Arial"/>
          <w:color w:val="231F20"/>
        </w:rPr>
        <w:t>Nicklaus,</w:t>
      </w:r>
      <w:r>
        <w:rPr>
          <w:rFonts w:ascii="Arial" w:hAnsi="Arial"/>
          <w:color w:val="231F20"/>
          <w:spacing w:val="-3"/>
        </w:rPr>
        <w:t> </w:t>
      </w:r>
      <w:r>
        <w:rPr>
          <w:rFonts w:ascii="Arial" w:hAnsi="Arial"/>
          <w:color w:val="231F20"/>
        </w:rPr>
        <w:t>l’un</w:t>
      </w:r>
      <w:r>
        <w:rPr>
          <w:rFonts w:ascii="Arial" w:hAnsi="Arial"/>
          <w:color w:val="231F20"/>
          <w:spacing w:val="-3"/>
        </w:rPr>
        <w:t> </w:t>
      </w:r>
      <w:r>
        <w:rPr>
          <w:rFonts w:ascii="Arial" w:hAnsi="Arial"/>
          <w:color w:val="231F20"/>
        </w:rPr>
        <w:t>des</w:t>
      </w:r>
      <w:r>
        <w:rPr>
          <w:rFonts w:ascii="Arial" w:hAnsi="Arial"/>
          <w:color w:val="231F20"/>
          <w:spacing w:val="-3"/>
        </w:rPr>
        <w:t> </w:t>
      </w:r>
      <w:r>
        <w:rPr>
          <w:rFonts w:ascii="Arial" w:hAnsi="Arial"/>
          <w:color w:val="231F20"/>
        </w:rPr>
        <w:t>meilleurs</w:t>
      </w:r>
      <w:r>
        <w:rPr>
          <w:rFonts w:ascii="Arial" w:hAnsi="Arial"/>
          <w:color w:val="231F20"/>
          <w:spacing w:val="-3"/>
        </w:rPr>
        <w:t> </w:t>
      </w:r>
      <w:r>
        <w:rPr>
          <w:rFonts w:ascii="Arial" w:hAnsi="Arial"/>
          <w:color w:val="231F20"/>
        </w:rPr>
        <w:t>golfeurs</w:t>
      </w:r>
      <w:r>
        <w:rPr>
          <w:rFonts w:ascii="Arial" w:hAnsi="Arial"/>
          <w:color w:val="231F20"/>
          <w:spacing w:val="-3"/>
        </w:rPr>
        <w:t> </w:t>
      </w:r>
      <w:r>
        <w:rPr>
          <w:rFonts w:ascii="Arial" w:hAnsi="Arial"/>
          <w:color w:val="231F20"/>
        </w:rPr>
        <w:t>de</w:t>
      </w:r>
      <w:r>
        <w:rPr>
          <w:rFonts w:ascii="Arial" w:hAnsi="Arial"/>
          <w:color w:val="231F20"/>
          <w:spacing w:val="-3"/>
        </w:rPr>
        <w:t> </w:t>
      </w:r>
      <w:r>
        <w:rPr>
          <w:rFonts w:ascii="Arial" w:hAnsi="Arial"/>
          <w:color w:val="231F20"/>
        </w:rPr>
        <w:t>tous</w:t>
      </w:r>
      <w:r>
        <w:rPr>
          <w:rFonts w:ascii="Arial" w:hAnsi="Arial"/>
          <w:color w:val="231F20"/>
          <w:spacing w:val="-3"/>
        </w:rPr>
        <w:t> </w:t>
      </w:r>
      <w:r>
        <w:rPr>
          <w:rFonts w:ascii="Arial" w:hAnsi="Arial"/>
          <w:color w:val="231F20"/>
        </w:rPr>
        <w:t>les</w:t>
      </w:r>
      <w:r>
        <w:rPr>
          <w:rFonts w:ascii="Arial" w:hAnsi="Arial"/>
          <w:color w:val="231F20"/>
          <w:spacing w:val="-3"/>
        </w:rPr>
        <w:t> </w:t>
      </w:r>
      <w:r>
        <w:rPr>
          <w:rFonts w:ascii="Arial" w:hAnsi="Arial"/>
          <w:color w:val="231F20"/>
        </w:rPr>
        <w:t>temps,</w:t>
      </w:r>
      <w:r>
        <w:rPr>
          <w:rFonts w:ascii="Arial" w:hAnsi="Arial"/>
          <w:color w:val="231F20"/>
          <w:spacing w:val="-3"/>
        </w:rPr>
        <w:t> </w:t>
      </w:r>
      <w:r>
        <w:rPr>
          <w:rFonts w:ascii="Arial" w:hAnsi="Arial"/>
          <w:color w:val="231F20"/>
        </w:rPr>
        <w:t>avait ainsi l’habitude d’attribuer 10</w:t>
      </w:r>
      <w:r>
        <w:rPr>
          <w:rFonts w:ascii="Arial" w:hAnsi="Arial"/>
          <w:color w:val="231F20"/>
          <w:spacing w:val="-12"/>
        </w:rPr>
        <w:t> </w:t>
      </w:r>
      <w:r>
        <w:rPr>
          <w:rFonts w:ascii="Arial" w:hAnsi="Arial"/>
          <w:color w:val="231F20"/>
        </w:rPr>
        <w:t>% de sa réussite à sa forme physique, 40</w:t>
      </w:r>
      <w:r>
        <w:rPr>
          <w:rFonts w:ascii="Arial" w:hAnsi="Arial"/>
          <w:color w:val="231F20"/>
          <w:spacing w:val="-12"/>
        </w:rPr>
        <w:t> </w:t>
      </w:r>
      <w:r>
        <w:rPr>
          <w:rFonts w:ascii="Arial" w:hAnsi="Arial"/>
          <w:color w:val="231F20"/>
        </w:rPr>
        <w:t>%</w:t>
      </w:r>
      <w:r>
        <w:rPr>
          <w:rFonts w:ascii="Arial" w:hAnsi="Arial"/>
          <w:color w:val="231F20"/>
          <w:spacing w:val="-12"/>
        </w:rPr>
        <w:t> </w:t>
      </w:r>
      <w:r>
        <w:rPr>
          <w:rFonts w:ascii="Arial" w:hAnsi="Arial"/>
          <w:color w:val="231F20"/>
        </w:rPr>
        <w:t>à sa technique et 50</w:t>
      </w:r>
      <w:r>
        <w:rPr>
          <w:rFonts w:ascii="Arial" w:hAnsi="Arial"/>
          <w:color w:val="231F20"/>
          <w:spacing w:val="-12"/>
        </w:rPr>
        <w:t> </w:t>
      </w:r>
      <w:r>
        <w:rPr>
          <w:rFonts w:ascii="Arial" w:hAnsi="Arial"/>
          <w:color w:val="231F20"/>
        </w:rPr>
        <w:t>% à la visualisation mentale de ses coups (trajectoire, réception, rebond de la balle…). Si cette technique se révèle</w:t>
      </w:r>
      <w:r>
        <w:rPr>
          <w:rFonts w:ascii="Arial" w:hAnsi="Arial"/>
          <w:color w:val="231F20"/>
          <w:spacing w:val="-6"/>
        </w:rPr>
        <w:t> </w:t>
      </w:r>
      <w:r>
        <w:rPr>
          <w:rFonts w:ascii="Arial" w:hAnsi="Arial"/>
          <w:color w:val="231F20"/>
        </w:rPr>
        <w:t>tellement efficace, c’est parce qu’elle leurre le cerveau. «</w:t>
      </w:r>
      <w:r>
        <w:rPr>
          <w:rFonts w:ascii="Arial" w:hAnsi="Arial"/>
          <w:color w:val="231F20"/>
          <w:spacing w:val="-12"/>
        </w:rPr>
        <w:t> </w:t>
      </w:r>
      <w:r>
        <w:rPr>
          <w:rFonts w:ascii="Arial" w:hAnsi="Arial"/>
          <w:i/>
          <w:color w:val="231F20"/>
        </w:rPr>
        <w:t>Que l’individu visualise un geste ou qu’il l’exécute réellement, pour notre cortex,</w:t>
      </w:r>
      <w:r>
        <w:rPr>
          <w:rFonts w:ascii="Arial" w:hAnsi="Arial"/>
          <w:i/>
          <w:color w:val="231F20"/>
          <w:spacing w:val="-12"/>
        </w:rPr>
        <w:t> </w:t>
      </w:r>
      <w:r>
        <w:rPr>
          <w:rFonts w:ascii="Arial" w:hAnsi="Arial"/>
          <w:i/>
          <w:color w:val="231F20"/>
        </w:rPr>
        <w:t>c’est pareil</w:t>
      </w:r>
      <w:r>
        <w:rPr>
          <w:rFonts w:ascii="Arial" w:hAnsi="Arial"/>
          <w:i/>
          <w:color w:val="231F20"/>
          <w:spacing w:val="-12"/>
        </w:rPr>
        <w:t> </w:t>
      </w:r>
      <w:r>
        <w:rPr>
          <w:rFonts w:ascii="Arial" w:hAnsi="Arial"/>
          <w:i/>
          <w:color w:val="231F20"/>
        </w:rPr>
        <w:t>: les connexions neurologiques sont les mêmes</w:t>
      </w:r>
      <w:r>
        <w:rPr>
          <w:rFonts w:ascii="Arial" w:hAnsi="Arial"/>
          <w:i/>
          <w:color w:val="231F20"/>
          <w:spacing w:val="-12"/>
        </w:rPr>
        <w:t> </w:t>
      </w:r>
      <w:r>
        <w:rPr>
          <w:rFonts w:ascii="Arial" w:hAnsi="Arial"/>
          <w:color w:val="231F20"/>
        </w:rPr>
        <w:t>», explique Nicolas Dugay.</w:t>
      </w:r>
    </w:p>
    <w:p>
      <w:pPr>
        <w:pStyle w:val="BodyText"/>
        <w:spacing w:before="78"/>
        <w:ind w:left="1080"/>
        <w:jc w:val="both"/>
        <w:rPr>
          <w:rFonts w:ascii="Arial" w:hAnsi="Arial"/>
        </w:rPr>
      </w:pPr>
      <w:r>
        <w:rPr>
          <w:rFonts w:ascii="Arial" w:hAnsi="Arial"/>
          <w:color w:val="231F20"/>
        </w:rPr>
        <w:t>Détendez-vous</w:t>
      </w:r>
      <w:r>
        <w:rPr>
          <w:rFonts w:ascii="Arial" w:hAnsi="Arial"/>
          <w:color w:val="231F20"/>
          <w:spacing w:val="-3"/>
        </w:rPr>
        <w:t> </w:t>
      </w:r>
      <w:r>
        <w:rPr>
          <w:rFonts w:ascii="Arial" w:hAnsi="Arial"/>
          <w:color w:val="231F20"/>
        </w:rPr>
        <w:t>et</w:t>
      </w:r>
      <w:r>
        <w:rPr>
          <w:rFonts w:ascii="Arial" w:hAnsi="Arial"/>
          <w:color w:val="231F20"/>
          <w:spacing w:val="-3"/>
        </w:rPr>
        <w:t> </w:t>
      </w:r>
      <w:r>
        <w:rPr>
          <w:rFonts w:ascii="Arial" w:hAnsi="Arial"/>
          <w:color w:val="231F20"/>
        </w:rPr>
        <w:t>laissez</w:t>
      </w:r>
      <w:r>
        <w:rPr>
          <w:rFonts w:ascii="Arial" w:hAnsi="Arial"/>
          <w:color w:val="231F20"/>
          <w:spacing w:val="-2"/>
        </w:rPr>
        <w:t> </w:t>
      </w:r>
      <w:r>
        <w:rPr>
          <w:rFonts w:ascii="Arial" w:hAnsi="Arial"/>
          <w:color w:val="231F20"/>
        </w:rPr>
        <w:t>libre</w:t>
      </w:r>
      <w:r>
        <w:rPr>
          <w:rFonts w:ascii="Arial" w:hAnsi="Arial"/>
          <w:color w:val="231F20"/>
          <w:spacing w:val="-3"/>
        </w:rPr>
        <w:t> </w:t>
      </w:r>
      <w:r>
        <w:rPr>
          <w:rFonts w:ascii="Arial" w:hAnsi="Arial"/>
          <w:color w:val="231F20"/>
        </w:rPr>
        <w:t>cours</w:t>
      </w:r>
      <w:r>
        <w:rPr>
          <w:rFonts w:ascii="Arial" w:hAnsi="Arial"/>
          <w:color w:val="231F20"/>
          <w:spacing w:val="-2"/>
        </w:rPr>
        <w:t> </w:t>
      </w:r>
      <w:r>
        <w:rPr>
          <w:rFonts w:ascii="Arial" w:hAnsi="Arial"/>
          <w:color w:val="231F20"/>
        </w:rPr>
        <w:t>à</w:t>
      </w:r>
      <w:r>
        <w:rPr>
          <w:rFonts w:ascii="Arial" w:hAnsi="Arial"/>
          <w:color w:val="231F20"/>
          <w:spacing w:val="-3"/>
        </w:rPr>
        <w:t> </w:t>
      </w:r>
      <w:r>
        <w:rPr>
          <w:rFonts w:ascii="Arial" w:hAnsi="Arial"/>
          <w:color w:val="231F20"/>
        </w:rPr>
        <w:t>votre</w:t>
      </w:r>
      <w:r>
        <w:rPr>
          <w:rFonts w:ascii="Arial" w:hAnsi="Arial"/>
          <w:color w:val="231F20"/>
          <w:spacing w:val="-3"/>
        </w:rPr>
        <w:t> </w:t>
      </w:r>
      <w:r>
        <w:rPr>
          <w:rFonts w:ascii="Arial" w:hAnsi="Arial"/>
          <w:color w:val="231F20"/>
          <w:spacing w:val="-2"/>
        </w:rPr>
        <w:t>imagination.</w:t>
      </w:r>
    </w:p>
    <w:p>
      <w:pPr>
        <w:spacing w:line="307" w:lineRule="auto" w:before="134"/>
        <w:ind w:left="1080" w:right="745" w:firstLine="0"/>
        <w:jc w:val="both"/>
        <w:rPr>
          <w:rFonts w:ascii="Arial" w:hAnsi="Arial"/>
          <w:sz w:val="17"/>
        </w:rPr>
      </w:pPr>
      <w:r>
        <w:rPr>
          <w:rFonts w:ascii="Arial" w:hAnsi="Arial"/>
          <w:color w:val="231F20"/>
          <w:spacing w:val="-2"/>
          <w:w w:val="95"/>
          <w:sz w:val="17"/>
        </w:rPr>
        <w:t>«</w:t>
      </w:r>
      <w:r>
        <w:rPr>
          <w:rFonts w:ascii="Arial" w:hAnsi="Arial"/>
          <w:color w:val="231F20"/>
          <w:spacing w:val="-8"/>
          <w:w w:val="95"/>
          <w:sz w:val="17"/>
        </w:rPr>
        <w:t> </w:t>
      </w:r>
      <w:r>
        <w:rPr>
          <w:rFonts w:ascii="Arial" w:hAnsi="Arial"/>
          <w:i/>
          <w:color w:val="231F20"/>
          <w:spacing w:val="-2"/>
          <w:w w:val="95"/>
          <w:sz w:val="17"/>
        </w:rPr>
        <w:t>Visualisez</w:t>
      </w:r>
      <w:r>
        <w:rPr>
          <w:rFonts w:ascii="Arial" w:hAnsi="Arial"/>
          <w:i/>
          <w:color w:val="231F20"/>
          <w:spacing w:val="-7"/>
          <w:w w:val="95"/>
          <w:sz w:val="17"/>
        </w:rPr>
        <w:t> </w:t>
      </w:r>
      <w:r>
        <w:rPr>
          <w:rFonts w:ascii="Arial" w:hAnsi="Arial"/>
          <w:i/>
          <w:color w:val="231F20"/>
          <w:spacing w:val="-2"/>
          <w:w w:val="95"/>
          <w:sz w:val="17"/>
        </w:rPr>
        <w:t>une</w:t>
      </w:r>
      <w:r>
        <w:rPr>
          <w:rFonts w:ascii="Arial" w:hAnsi="Arial"/>
          <w:i/>
          <w:color w:val="231F20"/>
          <w:spacing w:val="-8"/>
          <w:w w:val="95"/>
          <w:sz w:val="17"/>
        </w:rPr>
        <w:t> </w:t>
      </w:r>
      <w:r>
        <w:rPr>
          <w:rFonts w:ascii="Arial" w:hAnsi="Arial"/>
          <w:i/>
          <w:color w:val="231F20"/>
          <w:spacing w:val="-2"/>
          <w:w w:val="95"/>
          <w:sz w:val="17"/>
        </w:rPr>
        <w:t>fin heureuse qui couronne un parcours sans faute accom- </w:t>
      </w:r>
      <w:r>
        <w:rPr>
          <w:rFonts w:ascii="Arial" w:hAnsi="Arial"/>
          <w:i/>
          <w:color w:val="231F20"/>
          <w:spacing w:val="-2"/>
          <w:sz w:val="17"/>
        </w:rPr>
        <w:t>pagné</w:t>
      </w:r>
      <w:r>
        <w:rPr>
          <w:rFonts w:ascii="Arial" w:hAnsi="Arial"/>
          <w:i/>
          <w:color w:val="231F20"/>
          <w:spacing w:val="-10"/>
          <w:sz w:val="17"/>
        </w:rPr>
        <w:t> </w:t>
      </w:r>
      <w:r>
        <w:rPr>
          <w:rFonts w:ascii="Arial" w:hAnsi="Arial"/>
          <w:i/>
          <w:color w:val="231F20"/>
          <w:spacing w:val="-2"/>
          <w:sz w:val="17"/>
        </w:rPr>
        <w:t>d’un</w:t>
      </w:r>
      <w:r>
        <w:rPr>
          <w:rFonts w:ascii="Arial" w:hAnsi="Arial"/>
          <w:i/>
          <w:color w:val="231F20"/>
          <w:spacing w:val="-10"/>
          <w:sz w:val="17"/>
        </w:rPr>
        <w:t> </w:t>
      </w:r>
      <w:r>
        <w:rPr>
          <w:rFonts w:ascii="Arial" w:hAnsi="Arial"/>
          <w:i/>
          <w:color w:val="231F20"/>
          <w:spacing w:val="-2"/>
          <w:sz w:val="17"/>
        </w:rPr>
        <w:t>sentiment</w:t>
      </w:r>
      <w:r>
        <w:rPr>
          <w:rFonts w:ascii="Arial" w:hAnsi="Arial"/>
          <w:i/>
          <w:color w:val="231F20"/>
          <w:spacing w:val="-10"/>
          <w:sz w:val="17"/>
        </w:rPr>
        <w:t> </w:t>
      </w:r>
      <w:r>
        <w:rPr>
          <w:rFonts w:ascii="Arial" w:hAnsi="Arial"/>
          <w:i/>
          <w:color w:val="231F20"/>
          <w:spacing w:val="-2"/>
          <w:sz w:val="17"/>
        </w:rPr>
        <w:t>de</w:t>
      </w:r>
      <w:r>
        <w:rPr>
          <w:rFonts w:ascii="Arial" w:hAnsi="Arial"/>
          <w:i/>
          <w:color w:val="231F20"/>
          <w:spacing w:val="-5"/>
          <w:sz w:val="17"/>
        </w:rPr>
        <w:t> </w:t>
      </w:r>
      <w:r>
        <w:rPr>
          <w:rFonts w:ascii="Arial" w:hAnsi="Arial"/>
          <w:i/>
          <w:color w:val="231F20"/>
          <w:spacing w:val="-2"/>
          <w:sz w:val="17"/>
        </w:rPr>
        <w:t>satisfaction</w:t>
      </w:r>
      <w:r>
        <w:rPr>
          <w:rFonts w:ascii="Arial" w:hAnsi="Arial"/>
          <w:i/>
          <w:color w:val="231F20"/>
          <w:spacing w:val="-4"/>
          <w:sz w:val="17"/>
        </w:rPr>
        <w:t> </w:t>
      </w:r>
      <w:r>
        <w:rPr>
          <w:rFonts w:ascii="Arial" w:hAnsi="Arial"/>
          <w:i/>
          <w:color w:val="231F20"/>
          <w:spacing w:val="-2"/>
          <w:sz w:val="17"/>
        </w:rPr>
        <w:t>intense</w:t>
      </w:r>
      <w:r>
        <w:rPr>
          <w:rFonts w:ascii="Arial" w:hAnsi="Arial"/>
          <w:i/>
          <w:color w:val="231F20"/>
          <w:spacing w:val="-10"/>
          <w:sz w:val="17"/>
        </w:rPr>
        <w:t> </w:t>
      </w:r>
      <w:r>
        <w:rPr>
          <w:rFonts w:ascii="Arial" w:hAnsi="Arial"/>
          <w:color w:val="231F20"/>
          <w:spacing w:val="-2"/>
          <w:sz w:val="17"/>
        </w:rPr>
        <w:t>»,</w:t>
      </w:r>
      <w:r>
        <w:rPr>
          <w:rFonts w:ascii="Arial" w:hAnsi="Arial"/>
          <w:color w:val="231F20"/>
          <w:spacing w:val="-4"/>
          <w:sz w:val="17"/>
        </w:rPr>
        <w:t> </w:t>
      </w:r>
      <w:r>
        <w:rPr>
          <w:rFonts w:ascii="Arial" w:hAnsi="Arial"/>
          <w:color w:val="231F20"/>
          <w:spacing w:val="-2"/>
          <w:sz w:val="17"/>
        </w:rPr>
        <w:t>suggère</w:t>
      </w:r>
      <w:r>
        <w:rPr>
          <w:rFonts w:ascii="Arial" w:hAnsi="Arial"/>
          <w:color w:val="231F20"/>
          <w:spacing w:val="-4"/>
          <w:sz w:val="17"/>
        </w:rPr>
        <w:t> </w:t>
      </w:r>
      <w:r>
        <w:rPr>
          <w:rFonts w:ascii="Arial" w:hAnsi="Arial"/>
          <w:color w:val="231F20"/>
          <w:spacing w:val="-2"/>
          <w:sz w:val="17"/>
        </w:rPr>
        <w:t>Edith</w:t>
      </w:r>
      <w:r>
        <w:rPr>
          <w:rFonts w:ascii="Arial" w:hAnsi="Arial"/>
          <w:color w:val="231F20"/>
          <w:spacing w:val="-4"/>
          <w:sz w:val="17"/>
        </w:rPr>
        <w:t> </w:t>
      </w:r>
      <w:r>
        <w:rPr>
          <w:rFonts w:ascii="Arial" w:hAnsi="Arial"/>
          <w:color w:val="231F20"/>
          <w:spacing w:val="-2"/>
          <w:sz w:val="17"/>
        </w:rPr>
        <w:t>Perreaut- </w:t>
      </w:r>
      <w:r>
        <w:rPr>
          <w:rFonts w:ascii="Arial" w:hAnsi="Arial"/>
          <w:color w:val="231F20"/>
          <w:sz w:val="17"/>
        </w:rPr>
        <w:t>Pierre, ancienne médecin militaire et coach, auteure des </w:t>
      </w:r>
      <w:r>
        <w:rPr>
          <w:rFonts w:ascii="Arial" w:hAnsi="Arial"/>
          <w:i/>
          <w:color w:val="231F20"/>
          <w:sz w:val="17"/>
        </w:rPr>
        <w:t>Techniques </w:t>
      </w:r>
      <w:r>
        <w:rPr>
          <w:rFonts w:ascii="Arial" w:hAnsi="Arial"/>
          <w:i/>
          <w:color w:val="231F20"/>
          <w:spacing w:val="-2"/>
          <w:sz w:val="17"/>
        </w:rPr>
        <w:t>d’optimisation</w:t>
      </w:r>
      <w:r>
        <w:rPr>
          <w:rFonts w:ascii="Arial" w:hAnsi="Arial"/>
          <w:i/>
          <w:color w:val="231F20"/>
          <w:spacing w:val="-3"/>
          <w:sz w:val="17"/>
        </w:rPr>
        <w:t> </w:t>
      </w:r>
      <w:r>
        <w:rPr>
          <w:rFonts w:ascii="Arial" w:hAnsi="Arial"/>
          <w:i/>
          <w:color w:val="231F20"/>
          <w:spacing w:val="-2"/>
          <w:sz w:val="17"/>
        </w:rPr>
        <w:t>du</w:t>
      </w:r>
      <w:r>
        <w:rPr>
          <w:rFonts w:ascii="Arial" w:hAnsi="Arial"/>
          <w:i/>
          <w:color w:val="231F20"/>
          <w:spacing w:val="-3"/>
          <w:sz w:val="17"/>
        </w:rPr>
        <w:t> </w:t>
      </w:r>
      <w:r>
        <w:rPr>
          <w:rFonts w:ascii="Arial" w:hAnsi="Arial"/>
          <w:i/>
          <w:color w:val="231F20"/>
          <w:spacing w:val="-2"/>
          <w:sz w:val="17"/>
        </w:rPr>
        <w:t>potentiel</w:t>
      </w:r>
      <w:r>
        <w:rPr>
          <w:rFonts w:ascii="Arial" w:hAnsi="Arial"/>
          <w:i/>
          <w:color w:val="231F20"/>
          <w:spacing w:val="-3"/>
          <w:sz w:val="17"/>
        </w:rPr>
        <w:t> </w:t>
      </w:r>
      <w:r>
        <w:rPr>
          <w:rFonts w:ascii="Arial" w:hAnsi="Arial"/>
          <w:color w:val="231F20"/>
          <w:spacing w:val="-2"/>
          <w:sz w:val="17"/>
        </w:rPr>
        <w:t>(InterÉditions).</w:t>
      </w:r>
      <w:r>
        <w:rPr>
          <w:rFonts w:ascii="Arial" w:hAnsi="Arial"/>
          <w:color w:val="231F20"/>
          <w:spacing w:val="-3"/>
          <w:sz w:val="17"/>
        </w:rPr>
        <w:t> </w:t>
      </w:r>
      <w:r>
        <w:rPr>
          <w:rFonts w:ascii="Arial" w:hAnsi="Arial"/>
          <w:color w:val="231F20"/>
          <w:spacing w:val="-2"/>
          <w:sz w:val="17"/>
        </w:rPr>
        <w:t>Ensuite,</w:t>
      </w:r>
      <w:r>
        <w:rPr>
          <w:rFonts w:ascii="Arial" w:hAnsi="Arial"/>
          <w:color w:val="231F20"/>
          <w:spacing w:val="-3"/>
          <w:sz w:val="17"/>
        </w:rPr>
        <w:t> </w:t>
      </w:r>
      <w:r>
        <w:rPr>
          <w:rFonts w:ascii="Arial" w:hAnsi="Arial"/>
          <w:color w:val="231F20"/>
          <w:spacing w:val="-2"/>
          <w:sz w:val="17"/>
        </w:rPr>
        <w:t>reprenez</w:t>
      </w:r>
      <w:r>
        <w:rPr>
          <w:rFonts w:ascii="Arial" w:hAnsi="Arial"/>
          <w:color w:val="231F20"/>
          <w:spacing w:val="-3"/>
          <w:sz w:val="17"/>
        </w:rPr>
        <w:t> </w:t>
      </w:r>
      <w:r>
        <w:rPr>
          <w:rFonts w:ascii="Arial" w:hAnsi="Arial"/>
          <w:color w:val="231F20"/>
          <w:spacing w:val="-2"/>
          <w:sz w:val="17"/>
        </w:rPr>
        <w:t>le</w:t>
      </w:r>
      <w:r>
        <w:rPr>
          <w:rFonts w:ascii="Arial" w:hAnsi="Arial"/>
          <w:color w:val="231F20"/>
          <w:spacing w:val="-3"/>
          <w:sz w:val="17"/>
        </w:rPr>
        <w:t> </w:t>
      </w:r>
      <w:r>
        <w:rPr>
          <w:rFonts w:ascii="Arial" w:hAnsi="Arial"/>
          <w:color w:val="231F20"/>
          <w:spacing w:val="-2"/>
          <w:sz w:val="17"/>
        </w:rPr>
        <w:t>scénario </w:t>
      </w:r>
      <w:r>
        <w:rPr>
          <w:rFonts w:ascii="Arial" w:hAnsi="Arial"/>
          <w:color w:val="231F20"/>
          <w:sz w:val="17"/>
        </w:rPr>
        <w:t>depuis le début, en imaginant cette fois que vous franchissez un à un </w:t>
      </w:r>
      <w:r>
        <w:rPr>
          <w:rFonts w:ascii="Arial" w:hAnsi="Arial"/>
          <w:color w:val="231F20"/>
          <w:w w:val="105"/>
          <w:sz w:val="17"/>
        </w:rPr>
        <w:t>tous les obstacles rencontrés.</w:t>
      </w:r>
    </w:p>
    <w:p>
      <w:pPr>
        <w:spacing w:after="0" w:line="307" w:lineRule="auto"/>
        <w:jc w:val="both"/>
        <w:rPr>
          <w:rFonts w:ascii="Arial" w:hAnsi="Arial"/>
          <w:sz w:val="17"/>
        </w:rPr>
        <w:sectPr>
          <w:footerReference w:type="default" r:id="rId267"/>
          <w:pgSz w:w="8640" w:h="12960"/>
          <w:pgMar w:footer="424" w:header="0" w:top="520" w:bottom="620" w:left="420" w:right="1140"/>
        </w:sectPr>
      </w:pPr>
    </w:p>
    <w:p>
      <w:pPr>
        <w:spacing w:before="118"/>
        <w:ind w:left="1940" w:right="0" w:firstLine="0"/>
        <w:jc w:val="left"/>
        <w:rPr>
          <w:rFonts w:ascii="Arial" w:hAnsi="Arial"/>
          <w:sz w:val="14"/>
        </w:rPr>
      </w:pPr>
      <w:bookmarkStart w:name=" 4.8 / Estime de soi organisationnelle" w:id="155"/>
      <w:bookmarkEnd w:id="155"/>
      <w:r>
        <w:rPr/>
      </w:r>
      <w:bookmarkStart w:name="_bookmark68" w:id="156"/>
      <w:bookmarkEnd w:id="156"/>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spacing w:before="3"/>
        <w:rPr>
          <w:rFonts w:ascii="Arial"/>
          <w:sz w:val="29"/>
        </w:rPr>
      </w:pPr>
      <w:r>
        <w:rPr/>
        <w:pict>
          <v:group style="position:absolute;margin-left:82pt;margin-top:18.051661pt;width:287.5pt;height:286pt;mso-position-horizontal-relative:page;mso-position-vertical-relative:paragraph;z-index:-15641088;mso-wrap-distance-left:0;mso-wrap-distance-right:0" id="docshapegroup975" coordorigin="1640,361" coordsize="5750,5720">
            <v:shape style="position:absolute;left:1640;top:361;width:5750;height:5720" id="docshape976" coordorigin="1640,361" coordsize="5750,5720" path="m7390,361l1640,361,1640,2191,1640,2491,1640,5241,1640,5321,1640,6081,7390,6081,7390,5321,7390,5241,7390,2491,7390,2191,7390,361xe" filled="true" fillcolor="#e2e3e4" stroked="false">
              <v:path arrowok="t"/>
              <v:fill type="solid"/>
            </v:shape>
            <v:line style="position:absolute" from="1890,5239" to="7140,5239" stroked="true" strokeweight=".25pt" strokecolor="#231f20">
              <v:stroke dashstyle="shortdot"/>
            </v:line>
            <v:shape style="position:absolute;left:1640;top:361;width:5750;height:5720" type="#_x0000_t202" id="docshape977" filled="false" stroked="false">
              <v:textbox inset="0,0,0,0">
                <w:txbxContent>
                  <w:p>
                    <w:pPr>
                      <w:spacing w:line="240" w:lineRule="auto" w:before="2"/>
                      <w:rPr>
                        <w:rFonts w:ascii="Arial"/>
                        <w:sz w:val="19"/>
                      </w:rPr>
                    </w:pPr>
                  </w:p>
                  <w:p>
                    <w:pPr>
                      <w:spacing w:line="307" w:lineRule="auto" w:before="0"/>
                      <w:ind w:left="250" w:right="243" w:firstLine="0"/>
                      <w:jc w:val="both"/>
                      <w:rPr>
                        <w:rFonts w:ascii="Arial" w:hAnsi="Arial"/>
                        <w:sz w:val="17"/>
                      </w:rPr>
                    </w:pPr>
                    <w:r>
                      <w:rPr>
                        <w:rFonts w:ascii="Arial" w:hAnsi="Arial"/>
                        <w:color w:val="231F20"/>
                        <w:sz w:val="17"/>
                      </w:rPr>
                      <w:t>Ainsi, ce directeur informatique, déstabilisé à l’idée de présenter son projet</w:t>
                    </w:r>
                    <w:r>
                      <w:rPr>
                        <w:rFonts w:ascii="Arial" w:hAnsi="Arial"/>
                        <w:color w:val="231F20"/>
                        <w:spacing w:val="-5"/>
                        <w:sz w:val="17"/>
                      </w:rPr>
                      <w:t> </w:t>
                    </w:r>
                    <w:r>
                      <w:rPr>
                        <w:rFonts w:ascii="Arial" w:hAnsi="Arial"/>
                        <w:color w:val="231F20"/>
                        <w:sz w:val="17"/>
                      </w:rPr>
                      <w:t>en</w:t>
                    </w:r>
                    <w:r>
                      <w:rPr>
                        <w:rFonts w:ascii="Arial" w:hAnsi="Arial"/>
                        <w:color w:val="231F20"/>
                        <w:spacing w:val="-5"/>
                        <w:sz w:val="17"/>
                      </w:rPr>
                      <w:t> </w:t>
                    </w:r>
                    <w:r>
                      <w:rPr>
                        <w:rFonts w:ascii="Arial" w:hAnsi="Arial"/>
                        <w:color w:val="231F20"/>
                        <w:sz w:val="17"/>
                      </w:rPr>
                      <w:t>public,</w:t>
                    </w:r>
                    <w:r>
                      <w:rPr>
                        <w:rFonts w:ascii="Arial" w:hAnsi="Arial"/>
                        <w:color w:val="231F20"/>
                        <w:spacing w:val="-5"/>
                        <w:sz w:val="17"/>
                      </w:rPr>
                      <w:t> </w:t>
                    </w:r>
                    <w:r>
                      <w:rPr>
                        <w:rFonts w:ascii="Arial" w:hAnsi="Arial"/>
                        <w:color w:val="231F20"/>
                        <w:sz w:val="17"/>
                      </w:rPr>
                      <w:t>a</w:t>
                    </w:r>
                    <w:r>
                      <w:rPr>
                        <w:rFonts w:ascii="Arial" w:hAnsi="Arial"/>
                        <w:color w:val="231F20"/>
                        <w:spacing w:val="-5"/>
                        <w:sz w:val="17"/>
                      </w:rPr>
                      <w:t> </w:t>
                    </w:r>
                    <w:r>
                      <w:rPr>
                        <w:rFonts w:ascii="Arial" w:hAnsi="Arial"/>
                        <w:color w:val="231F20"/>
                        <w:sz w:val="17"/>
                      </w:rPr>
                      <w:t>d’abord</w:t>
                    </w:r>
                    <w:r>
                      <w:rPr>
                        <w:rFonts w:ascii="Arial" w:hAnsi="Arial"/>
                        <w:color w:val="231F20"/>
                        <w:spacing w:val="-5"/>
                        <w:sz w:val="17"/>
                      </w:rPr>
                      <w:t> </w:t>
                    </w:r>
                    <w:r>
                      <w:rPr>
                        <w:rFonts w:ascii="Arial" w:hAnsi="Arial"/>
                        <w:color w:val="231F20"/>
                        <w:sz w:val="17"/>
                      </w:rPr>
                      <w:t>visualisé</w:t>
                    </w:r>
                    <w:r>
                      <w:rPr>
                        <w:rFonts w:ascii="Arial" w:hAnsi="Arial"/>
                        <w:color w:val="231F20"/>
                        <w:spacing w:val="-5"/>
                        <w:sz w:val="17"/>
                      </w:rPr>
                      <w:t> </w:t>
                    </w:r>
                    <w:r>
                      <w:rPr>
                        <w:rFonts w:ascii="Arial" w:hAnsi="Arial"/>
                        <w:color w:val="231F20"/>
                        <w:sz w:val="17"/>
                      </w:rPr>
                      <w:t>la</w:t>
                    </w:r>
                    <w:r>
                      <w:rPr>
                        <w:rFonts w:ascii="Arial" w:hAnsi="Arial"/>
                        <w:color w:val="231F20"/>
                        <w:spacing w:val="-5"/>
                        <w:sz w:val="17"/>
                      </w:rPr>
                      <w:t> </w:t>
                    </w:r>
                    <w:r>
                      <w:rPr>
                        <w:rFonts w:ascii="Arial" w:hAnsi="Arial"/>
                        <w:color w:val="231F20"/>
                        <w:sz w:val="17"/>
                      </w:rPr>
                      <w:t>fin</w:t>
                    </w:r>
                    <w:r>
                      <w:rPr>
                        <w:rFonts w:ascii="Arial" w:hAnsi="Arial"/>
                        <w:color w:val="231F20"/>
                        <w:spacing w:val="-5"/>
                        <w:sz w:val="17"/>
                      </w:rPr>
                      <w:t> </w:t>
                    </w:r>
                    <w:r>
                      <w:rPr>
                        <w:rFonts w:ascii="Arial" w:hAnsi="Arial"/>
                        <w:color w:val="231F20"/>
                        <w:sz w:val="17"/>
                      </w:rPr>
                      <w:t>de</w:t>
                    </w:r>
                    <w:r>
                      <w:rPr>
                        <w:rFonts w:ascii="Arial" w:hAnsi="Arial"/>
                        <w:color w:val="231F20"/>
                        <w:spacing w:val="-5"/>
                        <w:sz w:val="17"/>
                      </w:rPr>
                      <w:t> </w:t>
                    </w:r>
                    <w:r>
                      <w:rPr>
                        <w:rFonts w:ascii="Arial" w:hAnsi="Arial"/>
                        <w:color w:val="231F20"/>
                        <w:sz w:val="17"/>
                      </w:rPr>
                      <w:t>sa</w:t>
                    </w:r>
                    <w:r>
                      <w:rPr>
                        <w:rFonts w:ascii="Arial" w:hAnsi="Arial"/>
                        <w:color w:val="231F20"/>
                        <w:spacing w:val="-5"/>
                        <w:sz w:val="17"/>
                      </w:rPr>
                      <w:t> </w:t>
                    </w:r>
                    <w:r>
                      <w:rPr>
                        <w:rFonts w:ascii="Arial" w:hAnsi="Arial"/>
                        <w:color w:val="231F20"/>
                        <w:sz w:val="17"/>
                      </w:rPr>
                      <w:t>conférence</w:t>
                    </w:r>
                    <w:r>
                      <w:rPr>
                        <w:rFonts w:ascii="Arial" w:hAnsi="Arial"/>
                        <w:color w:val="231F20"/>
                        <w:spacing w:val="-5"/>
                        <w:sz w:val="17"/>
                      </w:rPr>
                      <w:t> </w:t>
                    </w:r>
                    <w:r>
                      <w:rPr>
                        <w:rFonts w:ascii="Arial" w:hAnsi="Arial"/>
                        <w:color w:val="231F20"/>
                        <w:sz w:val="17"/>
                      </w:rPr>
                      <w:t>couronnée d’applaudissements.</w:t>
                    </w:r>
                    <w:r>
                      <w:rPr>
                        <w:rFonts w:ascii="Arial" w:hAnsi="Arial"/>
                        <w:color w:val="231F20"/>
                        <w:spacing w:val="-6"/>
                        <w:sz w:val="17"/>
                      </w:rPr>
                      <w:t> </w:t>
                    </w:r>
                    <w:r>
                      <w:rPr>
                        <w:rFonts w:ascii="Arial" w:hAnsi="Arial"/>
                        <w:color w:val="231F20"/>
                        <w:sz w:val="17"/>
                      </w:rPr>
                      <w:t>Ensuite,</w:t>
                    </w:r>
                    <w:r>
                      <w:rPr>
                        <w:rFonts w:ascii="Arial" w:hAnsi="Arial"/>
                        <w:color w:val="231F20"/>
                        <w:spacing w:val="-6"/>
                        <w:sz w:val="17"/>
                      </w:rPr>
                      <w:t> </w:t>
                    </w:r>
                    <w:r>
                      <w:rPr>
                        <w:rFonts w:ascii="Arial" w:hAnsi="Arial"/>
                        <w:color w:val="231F20"/>
                        <w:sz w:val="17"/>
                      </w:rPr>
                      <w:t>il</w:t>
                    </w:r>
                    <w:r>
                      <w:rPr>
                        <w:rFonts w:ascii="Arial" w:hAnsi="Arial"/>
                        <w:color w:val="231F20"/>
                        <w:spacing w:val="-6"/>
                        <w:sz w:val="17"/>
                      </w:rPr>
                      <w:t> </w:t>
                    </w:r>
                    <w:r>
                      <w:rPr>
                        <w:rFonts w:ascii="Arial" w:hAnsi="Arial"/>
                        <w:color w:val="231F20"/>
                        <w:sz w:val="17"/>
                      </w:rPr>
                      <w:t>a</w:t>
                    </w:r>
                    <w:r>
                      <w:rPr>
                        <w:rFonts w:ascii="Arial" w:hAnsi="Arial"/>
                        <w:color w:val="231F20"/>
                        <w:spacing w:val="-6"/>
                        <w:sz w:val="17"/>
                      </w:rPr>
                      <w:t> </w:t>
                    </w:r>
                    <w:r>
                      <w:rPr>
                        <w:rFonts w:ascii="Arial" w:hAnsi="Arial"/>
                        <w:color w:val="231F20"/>
                        <w:sz w:val="17"/>
                      </w:rPr>
                      <w:t>mentalement</w:t>
                    </w:r>
                    <w:r>
                      <w:rPr>
                        <w:rFonts w:ascii="Arial" w:hAnsi="Arial"/>
                        <w:color w:val="231F20"/>
                        <w:spacing w:val="-6"/>
                        <w:sz w:val="17"/>
                      </w:rPr>
                      <w:t> </w:t>
                    </w:r>
                    <w:r>
                      <w:rPr>
                        <w:rFonts w:ascii="Arial" w:hAnsi="Arial"/>
                        <w:color w:val="231F20"/>
                        <w:sz w:val="17"/>
                      </w:rPr>
                      <w:t>revécu</w:t>
                    </w:r>
                    <w:r>
                      <w:rPr>
                        <w:rFonts w:ascii="Arial" w:hAnsi="Arial"/>
                        <w:color w:val="231F20"/>
                        <w:spacing w:val="-6"/>
                        <w:sz w:val="17"/>
                      </w:rPr>
                      <w:t> </w:t>
                    </w:r>
                    <w:r>
                      <w:rPr>
                        <w:rFonts w:ascii="Arial" w:hAnsi="Arial"/>
                        <w:color w:val="231F20"/>
                        <w:sz w:val="17"/>
                      </w:rPr>
                      <w:t>l’expérience</w:t>
                    </w:r>
                    <w:r>
                      <w:rPr>
                        <w:rFonts w:ascii="Arial" w:hAnsi="Arial"/>
                        <w:color w:val="231F20"/>
                        <w:spacing w:val="-6"/>
                        <w:sz w:val="17"/>
                      </w:rPr>
                      <w:t> </w:t>
                    </w:r>
                    <w:r>
                      <w:rPr>
                        <w:rFonts w:ascii="Arial" w:hAnsi="Arial"/>
                        <w:color w:val="231F20"/>
                        <w:sz w:val="17"/>
                      </w:rPr>
                      <w:t>en se représentant en train de bredouiller, d’avoir des trous de mémoire, puis</w:t>
                    </w:r>
                    <w:r>
                      <w:rPr>
                        <w:rFonts w:ascii="Arial" w:hAnsi="Arial"/>
                        <w:color w:val="231F20"/>
                        <w:spacing w:val="-12"/>
                        <w:sz w:val="17"/>
                      </w:rPr>
                      <w:t> </w:t>
                    </w:r>
                    <w:r>
                      <w:rPr>
                        <w:rFonts w:ascii="Arial" w:hAnsi="Arial"/>
                        <w:color w:val="231F20"/>
                        <w:sz w:val="17"/>
                      </w:rPr>
                      <w:t>en</w:t>
                    </w:r>
                    <w:r>
                      <w:rPr>
                        <w:rFonts w:ascii="Arial" w:hAnsi="Arial"/>
                        <w:color w:val="231F20"/>
                        <w:spacing w:val="-5"/>
                        <w:sz w:val="17"/>
                      </w:rPr>
                      <w:t> </w:t>
                    </w:r>
                    <w:r>
                      <w:rPr>
                        <w:rFonts w:ascii="Arial" w:hAnsi="Arial"/>
                        <w:color w:val="231F20"/>
                        <w:sz w:val="17"/>
                      </w:rPr>
                      <w:t>se voyant retomber sur ses pieds. «</w:t>
                    </w:r>
                    <w:r>
                      <w:rPr>
                        <w:rFonts w:ascii="Arial" w:hAnsi="Arial"/>
                        <w:color w:val="231F20"/>
                        <w:spacing w:val="-12"/>
                        <w:sz w:val="17"/>
                      </w:rPr>
                      <w:t> </w:t>
                    </w:r>
                    <w:r>
                      <w:rPr>
                        <w:rFonts w:ascii="Arial" w:hAnsi="Arial"/>
                        <w:i/>
                        <w:color w:val="231F20"/>
                        <w:sz w:val="17"/>
                      </w:rPr>
                      <w:t>On peut aussi rechercher </w:t>
                    </w:r>
                    <w:r>
                      <w:rPr>
                        <w:rFonts w:ascii="Arial" w:hAnsi="Arial"/>
                        <w:i/>
                        <w:color w:val="231F20"/>
                        <w:w w:val="95"/>
                        <w:sz w:val="17"/>
                      </w:rPr>
                      <w:t>dans</w:t>
                    </w:r>
                    <w:r>
                      <w:rPr>
                        <w:rFonts w:ascii="Arial" w:hAnsi="Arial"/>
                        <w:i/>
                        <w:color w:val="231F20"/>
                        <w:spacing w:val="-10"/>
                        <w:w w:val="95"/>
                        <w:sz w:val="17"/>
                      </w:rPr>
                      <w:t> </w:t>
                    </w:r>
                    <w:r>
                      <w:rPr>
                        <w:rFonts w:ascii="Arial" w:hAnsi="Arial"/>
                        <w:i/>
                        <w:color w:val="231F20"/>
                        <w:w w:val="95"/>
                        <w:sz w:val="17"/>
                      </w:rPr>
                      <w:t>son</w:t>
                    </w:r>
                    <w:r>
                      <w:rPr>
                        <w:rFonts w:ascii="Arial" w:hAnsi="Arial"/>
                        <w:i/>
                        <w:color w:val="231F20"/>
                        <w:spacing w:val="-9"/>
                        <w:w w:val="95"/>
                        <w:sz w:val="17"/>
                      </w:rPr>
                      <w:t> </w:t>
                    </w:r>
                    <w:r>
                      <w:rPr>
                        <w:rFonts w:ascii="Arial" w:hAnsi="Arial"/>
                        <w:i/>
                        <w:color w:val="231F20"/>
                        <w:w w:val="95"/>
                        <w:sz w:val="17"/>
                      </w:rPr>
                      <w:t>passé</w:t>
                    </w:r>
                    <w:r>
                      <w:rPr>
                        <w:rFonts w:ascii="Arial" w:hAnsi="Arial"/>
                        <w:i/>
                        <w:color w:val="231F20"/>
                        <w:spacing w:val="-10"/>
                        <w:w w:val="95"/>
                        <w:sz w:val="17"/>
                      </w:rPr>
                      <w:t> </w:t>
                    </w:r>
                    <w:r>
                      <w:rPr>
                        <w:rFonts w:ascii="Arial" w:hAnsi="Arial"/>
                        <w:i/>
                        <w:color w:val="231F20"/>
                        <w:w w:val="95"/>
                        <w:sz w:val="17"/>
                      </w:rPr>
                      <w:t>des</w:t>
                    </w:r>
                    <w:r>
                      <w:rPr>
                        <w:rFonts w:ascii="Arial" w:hAnsi="Arial"/>
                        <w:i/>
                        <w:color w:val="231F20"/>
                        <w:spacing w:val="-9"/>
                        <w:w w:val="95"/>
                        <w:sz w:val="17"/>
                      </w:rPr>
                      <w:t> </w:t>
                    </w:r>
                    <w:r>
                      <w:rPr>
                        <w:rFonts w:ascii="Arial" w:hAnsi="Arial"/>
                        <w:i/>
                        <w:color w:val="231F20"/>
                        <w:w w:val="95"/>
                        <w:sz w:val="17"/>
                      </w:rPr>
                      <w:t>réussites</w:t>
                    </w:r>
                    <w:r>
                      <w:rPr>
                        <w:rFonts w:ascii="Arial" w:hAnsi="Arial"/>
                        <w:i/>
                        <w:color w:val="231F20"/>
                        <w:spacing w:val="-10"/>
                        <w:w w:val="95"/>
                        <w:sz w:val="17"/>
                      </w:rPr>
                      <w:t> </w:t>
                    </w:r>
                    <w:r>
                      <w:rPr>
                        <w:rFonts w:ascii="Arial" w:hAnsi="Arial"/>
                        <w:i/>
                        <w:color w:val="231F20"/>
                        <w:w w:val="95"/>
                        <w:sz w:val="17"/>
                      </w:rPr>
                      <w:t>similaires</w:t>
                    </w:r>
                    <w:r>
                      <w:rPr>
                        <w:rFonts w:ascii="Arial" w:hAnsi="Arial"/>
                        <w:i/>
                        <w:color w:val="231F20"/>
                        <w:spacing w:val="-9"/>
                        <w:w w:val="95"/>
                        <w:sz w:val="17"/>
                      </w:rPr>
                      <w:t> </w:t>
                    </w:r>
                    <w:r>
                      <w:rPr>
                        <w:rFonts w:ascii="Arial" w:hAnsi="Arial"/>
                        <w:i/>
                        <w:color w:val="231F20"/>
                        <w:w w:val="95"/>
                        <w:sz w:val="17"/>
                      </w:rPr>
                      <w:t>à</w:t>
                    </w:r>
                    <w:r>
                      <w:rPr>
                        <w:rFonts w:ascii="Arial" w:hAnsi="Arial"/>
                        <w:i/>
                        <w:color w:val="231F20"/>
                        <w:spacing w:val="-10"/>
                        <w:w w:val="95"/>
                        <w:sz w:val="17"/>
                      </w:rPr>
                      <w:t> </w:t>
                    </w:r>
                    <w:r>
                      <w:rPr>
                        <w:rFonts w:ascii="Arial" w:hAnsi="Arial"/>
                        <w:i/>
                        <w:color w:val="231F20"/>
                        <w:w w:val="95"/>
                        <w:sz w:val="17"/>
                      </w:rPr>
                      <w:t>celle</w:t>
                    </w:r>
                    <w:r>
                      <w:rPr>
                        <w:rFonts w:ascii="Arial" w:hAnsi="Arial"/>
                        <w:i/>
                        <w:color w:val="231F20"/>
                        <w:spacing w:val="-8"/>
                        <w:w w:val="95"/>
                        <w:sz w:val="17"/>
                      </w:rPr>
                      <w:t> </w:t>
                    </w:r>
                    <w:r>
                      <w:rPr>
                        <w:rFonts w:ascii="Arial" w:hAnsi="Arial"/>
                        <w:i/>
                        <w:color w:val="231F20"/>
                        <w:w w:val="95"/>
                        <w:sz w:val="17"/>
                      </w:rPr>
                      <w:t>qu’on</w:t>
                    </w:r>
                    <w:r>
                      <w:rPr>
                        <w:rFonts w:ascii="Arial" w:hAnsi="Arial"/>
                        <w:i/>
                        <w:color w:val="231F20"/>
                        <w:spacing w:val="-7"/>
                        <w:w w:val="95"/>
                        <w:sz w:val="17"/>
                      </w:rPr>
                      <w:t> </w:t>
                    </w:r>
                    <w:r>
                      <w:rPr>
                        <w:rFonts w:ascii="Arial" w:hAnsi="Arial"/>
                        <w:i/>
                        <w:color w:val="231F20"/>
                        <w:w w:val="95"/>
                        <w:sz w:val="17"/>
                      </w:rPr>
                      <w:t>voudrait</w:t>
                    </w:r>
                    <w:r>
                      <w:rPr>
                        <w:rFonts w:ascii="Arial" w:hAnsi="Arial"/>
                        <w:i/>
                        <w:color w:val="231F20"/>
                        <w:spacing w:val="-7"/>
                        <w:w w:val="95"/>
                        <w:sz w:val="17"/>
                      </w:rPr>
                      <w:t> </w:t>
                    </w:r>
                    <w:r>
                      <w:rPr>
                        <w:rFonts w:ascii="Arial" w:hAnsi="Arial"/>
                        <w:i/>
                        <w:color w:val="231F20"/>
                        <w:w w:val="95"/>
                        <w:sz w:val="17"/>
                      </w:rPr>
                      <w:t>connaître</w:t>
                    </w:r>
                    <w:r>
                      <w:rPr>
                        <w:rFonts w:ascii="Arial" w:hAnsi="Arial"/>
                        <w:i/>
                        <w:color w:val="231F20"/>
                        <w:spacing w:val="-10"/>
                        <w:w w:val="95"/>
                        <w:sz w:val="17"/>
                      </w:rPr>
                      <w:t> </w:t>
                    </w:r>
                    <w:r>
                      <w:rPr>
                        <w:rFonts w:ascii="Arial" w:hAnsi="Arial"/>
                        <w:color w:val="231F20"/>
                        <w:w w:val="95"/>
                        <w:sz w:val="17"/>
                      </w:rPr>
                      <w:t>», </w:t>
                    </w:r>
                    <w:r>
                      <w:rPr>
                        <w:rFonts w:ascii="Arial" w:hAnsi="Arial"/>
                        <w:color w:val="231F20"/>
                        <w:sz w:val="17"/>
                      </w:rPr>
                      <w:t>souligne la sophrologue Nathalie Bergeron-Duval.</w:t>
                    </w:r>
                  </w:p>
                  <w:p>
                    <w:pPr>
                      <w:spacing w:line="307" w:lineRule="auto" w:before="79"/>
                      <w:ind w:left="250" w:right="238" w:firstLine="0"/>
                      <w:jc w:val="both"/>
                      <w:rPr>
                        <w:rFonts w:ascii="Arial" w:hAnsi="Arial"/>
                        <w:sz w:val="17"/>
                      </w:rPr>
                    </w:pPr>
                    <w:r>
                      <w:rPr>
                        <w:rFonts w:ascii="Arial" w:hAnsi="Arial"/>
                        <w:color w:val="231F20"/>
                        <w:spacing w:val="-2"/>
                        <w:sz w:val="17"/>
                      </w:rPr>
                      <w:t>L’intérêt</w:t>
                    </w:r>
                    <w:r>
                      <w:rPr>
                        <w:rFonts w:ascii="Arial" w:hAnsi="Arial"/>
                        <w:color w:val="231F20"/>
                        <w:spacing w:val="-10"/>
                        <w:sz w:val="17"/>
                      </w:rPr>
                      <w:t> </w:t>
                    </w:r>
                    <w:r>
                      <w:rPr>
                        <w:rFonts w:ascii="Arial" w:hAnsi="Arial"/>
                        <w:color w:val="231F20"/>
                        <w:spacing w:val="-2"/>
                        <w:sz w:val="17"/>
                      </w:rPr>
                      <w:t>de</w:t>
                    </w:r>
                    <w:r>
                      <w:rPr>
                        <w:rFonts w:ascii="Arial" w:hAnsi="Arial"/>
                        <w:color w:val="231F20"/>
                        <w:spacing w:val="-10"/>
                        <w:sz w:val="17"/>
                      </w:rPr>
                      <w:t> </w:t>
                    </w:r>
                    <w:r>
                      <w:rPr>
                        <w:rFonts w:ascii="Arial" w:hAnsi="Arial"/>
                        <w:color w:val="231F20"/>
                        <w:spacing w:val="-2"/>
                        <w:sz w:val="17"/>
                      </w:rPr>
                      <w:t>la</w:t>
                    </w:r>
                    <w:r>
                      <w:rPr>
                        <w:rFonts w:ascii="Arial" w:hAnsi="Arial"/>
                        <w:color w:val="231F20"/>
                        <w:spacing w:val="-6"/>
                        <w:sz w:val="17"/>
                      </w:rPr>
                      <w:t> </w:t>
                    </w:r>
                    <w:r>
                      <w:rPr>
                        <w:rFonts w:ascii="Arial" w:hAnsi="Arial"/>
                        <w:color w:val="231F20"/>
                        <w:spacing w:val="-2"/>
                        <w:sz w:val="17"/>
                      </w:rPr>
                      <w:t>visualisation</w:t>
                    </w:r>
                    <w:r>
                      <w:rPr>
                        <w:rFonts w:ascii="Arial" w:hAnsi="Arial"/>
                        <w:color w:val="231F20"/>
                        <w:spacing w:val="-10"/>
                        <w:sz w:val="17"/>
                      </w:rPr>
                      <w:t> </w:t>
                    </w:r>
                    <w:r>
                      <w:rPr>
                        <w:rFonts w:ascii="Arial" w:hAnsi="Arial"/>
                        <w:color w:val="231F20"/>
                        <w:spacing w:val="-2"/>
                        <w:sz w:val="17"/>
                      </w:rPr>
                      <w:t>? Elle mobilise nos cinq sens. Luc a entendu </w:t>
                    </w:r>
                    <w:r>
                      <w:rPr>
                        <w:rFonts w:ascii="Arial" w:hAnsi="Arial"/>
                        <w:color w:val="231F20"/>
                        <w:sz w:val="17"/>
                      </w:rPr>
                      <w:t>les bravos, connu la satisfaction d’être écouté, éprouvé la peur de perdre</w:t>
                    </w:r>
                    <w:r>
                      <w:rPr>
                        <w:rFonts w:ascii="Arial" w:hAnsi="Arial"/>
                        <w:color w:val="231F20"/>
                        <w:spacing w:val="-12"/>
                        <w:sz w:val="17"/>
                      </w:rPr>
                      <w:t> </w:t>
                    </w:r>
                    <w:r>
                      <w:rPr>
                        <w:rFonts w:ascii="Arial" w:hAnsi="Arial"/>
                        <w:color w:val="231F20"/>
                        <w:sz w:val="17"/>
                      </w:rPr>
                      <w:t>le</w:t>
                    </w:r>
                    <w:r>
                      <w:rPr>
                        <w:rFonts w:ascii="Arial" w:hAnsi="Arial"/>
                        <w:color w:val="231F20"/>
                        <w:spacing w:val="-12"/>
                        <w:sz w:val="17"/>
                      </w:rPr>
                      <w:t> </w:t>
                    </w:r>
                    <w:r>
                      <w:rPr>
                        <w:rFonts w:ascii="Arial" w:hAnsi="Arial"/>
                        <w:color w:val="231F20"/>
                        <w:sz w:val="17"/>
                      </w:rPr>
                      <w:t>fil</w:t>
                    </w:r>
                    <w:r>
                      <w:rPr>
                        <w:rFonts w:ascii="Arial" w:hAnsi="Arial"/>
                        <w:color w:val="231F20"/>
                        <w:spacing w:val="-12"/>
                        <w:sz w:val="17"/>
                      </w:rPr>
                      <w:t> </w:t>
                    </w:r>
                    <w:r>
                      <w:rPr>
                        <w:rFonts w:ascii="Arial" w:hAnsi="Arial"/>
                        <w:color w:val="231F20"/>
                        <w:sz w:val="17"/>
                      </w:rPr>
                      <w:t>de</w:t>
                    </w:r>
                    <w:r>
                      <w:rPr>
                        <w:rFonts w:ascii="Arial" w:hAnsi="Arial"/>
                        <w:color w:val="231F20"/>
                        <w:spacing w:val="-12"/>
                        <w:sz w:val="17"/>
                      </w:rPr>
                      <w:t> </w:t>
                    </w:r>
                    <w:r>
                      <w:rPr>
                        <w:rFonts w:ascii="Arial" w:hAnsi="Arial"/>
                        <w:color w:val="231F20"/>
                        <w:sz w:val="17"/>
                      </w:rPr>
                      <w:t>ses</w:t>
                    </w:r>
                    <w:r>
                      <w:rPr>
                        <w:rFonts w:ascii="Arial" w:hAnsi="Arial"/>
                        <w:color w:val="231F20"/>
                        <w:spacing w:val="-12"/>
                        <w:sz w:val="17"/>
                      </w:rPr>
                      <w:t> </w:t>
                    </w:r>
                    <w:r>
                      <w:rPr>
                        <w:rFonts w:ascii="Arial" w:hAnsi="Arial"/>
                        <w:color w:val="231F20"/>
                        <w:sz w:val="17"/>
                      </w:rPr>
                      <w:t>pensées,</w:t>
                    </w:r>
                    <w:r>
                      <w:rPr>
                        <w:rFonts w:ascii="Arial" w:hAnsi="Arial"/>
                        <w:color w:val="231F20"/>
                        <w:spacing w:val="-11"/>
                        <w:sz w:val="17"/>
                      </w:rPr>
                      <w:t> </w:t>
                    </w:r>
                    <w:r>
                      <w:rPr>
                        <w:rFonts w:ascii="Arial" w:hAnsi="Arial"/>
                        <w:color w:val="231F20"/>
                        <w:sz w:val="17"/>
                      </w:rPr>
                      <w:t>senti</w:t>
                    </w:r>
                    <w:r>
                      <w:rPr>
                        <w:rFonts w:ascii="Arial" w:hAnsi="Arial"/>
                        <w:color w:val="231F20"/>
                        <w:spacing w:val="-11"/>
                        <w:sz w:val="17"/>
                      </w:rPr>
                      <w:t> </w:t>
                    </w:r>
                    <w:r>
                      <w:rPr>
                        <w:rFonts w:ascii="Arial" w:hAnsi="Arial"/>
                        <w:color w:val="231F20"/>
                        <w:sz w:val="17"/>
                      </w:rPr>
                      <w:t>sa</w:t>
                    </w:r>
                    <w:r>
                      <w:rPr>
                        <w:rFonts w:ascii="Arial" w:hAnsi="Arial"/>
                        <w:color w:val="231F20"/>
                        <w:spacing w:val="-9"/>
                        <w:sz w:val="17"/>
                      </w:rPr>
                      <w:t> </w:t>
                    </w:r>
                    <w:r>
                      <w:rPr>
                        <w:rFonts w:ascii="Arial" w:hAnsi="Arial"/>
                        <w:color w:val="231F20"/>
                        <w:sz w:val="17"/>
                      </w:rPr>
                      <w:t>gorge</w:t>
                    </w:r>
                    <w:r>
                      <w:rPr>
                        <w:rFonts w:ascii="Arial" w:hAnsi="Arial"/>
                        <w:color w:val="231F20"/>
                        <w:spacing w:val="-9"/>
                        <w:sz w:val="17"/>
                      </w:rPr>
                      <w:t> </w:t>
                    </w:r>
                    <w:r>
                      <w:rPr>
                        <w:rFonts w:ascii="Arial" w:hAnsi="Arial"/>
                        <w:color w:val="231F20"/>
                        <w:sz w:val="17"/>
                      </w:rPr>
                      <w:t>devenir</w:t>
                    </w:r>
                    <w:r>
                      <w:rPr>
                        <w:rFonts w:ascii="Arial" w:hAnsi="Arial"/>
                        <w:color w:val="231F20"/>
                        <w:spacing w:val="-9"/>
                        <w:sz w:val="17"/>
                      </w:rPr>
                      <w:t> </w:t>
                    </w:r>
                    <w:r>
                      <w:rPr>
                        <w:rFonts w:ascii="Arial" w:hAnsi="Arial"/>
                        <w:color w:val="231F20"/>
                        <w:sz w:val="17"/>
                      </w:rPr>
                      <w:t>sèche</w:t>
                    </w:r>
                    <w:r>
                      <w:rPr>
                        <w:rFonts w:ascii="Arial" w:hAnsi="Arial"/>
                        <w:color w:val="231F20"/>
                        <w:spacing w:val="-12"/>
                        <w:sz w:val="17"/>
                      </w:rPr>
                      <w:t> </w:t>
                    </w:r>
                    <w:r>
                      <w:rPr>
                        <w:rFonts w:ascii="Arial" w:hAnsi="Arial"/>
                        <w:color w:val="231F20"/>
                        <w:sz w:val="17"/>
                      </w:rPr>
                      <w:t>:</w:t>
                    </w:r>
                    <w:r>
                      <w:rPr>
                        <w:rFonts w:ascii="Arial" w:hAnsi="Arial"/>
                        <w:color w:val="231F20"/>
                        <w:spacing w:val="-9"/>
                        <w:sz w:val="17"/>
                      </w:rPr>
                      <w:t> </w:t>
                    </w:r>
                    <w:r>
                      <w:rPr>
                        <w:rFonts w:ascii="Arial" w:hAnsi="Arial"/>
                        <w:color w:val="231F20"/>
                        <w:sz w:val="17"/>
                      </w:rPr>
                      <w:t>des</w:t>
                    </w:r>
                    <w:r>
                      <w:rPr>
                        <w:rFonts w:ascii="Arial" w:hAnsi="Arial"/>
                        <w:color w:val="231F20"/>
                        <w:spacing w:val="-9"/>
                        <w:sz w:val="17"/>
                      </w:rPr>
                      <w:t> </w:t>
                    </w:r>
                    <w:r>
                      <w:rPr>
                        <w:rFonts w:ascii="Arial" w:hAnsi="Arial"/>
                        <w:color w:val="231F20"/>
                        <w:sz w:val="17"/>
                      </w:rPr>
                      <w:t>images qu’il</w:t>
                    </w:r>
                    <w:r>
                      <w:rPr>
                        <w:rFonts w:ascii="Arial" w:hAnsi="Arial"/>
                        <w:color w:val="231F20"/>
                        <w:spacing w:val="-9"/>
                        <w:sz w:val="17"/>
                      </w:rPr>
                      <w:t> </w:t>
                    </w:r>
                    <w:r>
                      <w:rPr>
                        <w:rFonts w:ascii="Arial" w:hAnsi="Arial"/>
                        <w:color w:val="231F20"/>
                        <w:sz w:val="17"/>
                      </w:rPr>
                      <w:t>a</w:t>
                    </w:r>
                    <w:r>
                      <w:rPr>
                        <w:rFonts w:ascii="Arial" w:hAnsi="Arial"/>
                        <w:color w:val="231F20"/>
                        <w:spacing w:val="-9"/>
                        <w:sz w:val="17"/>
                      </w:rPr>
                      <w:t> </w:t>
                    </w:r>
                    <w:r>
                      <w:rPr>
                        <w:rFonts w:ascii="Arial" w:hAnsi="Arial"/>
                        <w:color w:val="231F20"/>
                        <w:sz w:val="17"/>
                      </w:rPr>
                      <w:t>rectifiées</w:t>
                    </w:r>
                    <w:r>
                      <w:rPr>
                        <w:rFonts w:ascii="Arial" w:hAnsi="Arial"/>
                        <w:color w:val="231F20"/>
                        <w:spacing w:val="-9"/>
                        <w:sz w:val="17"/>
                      </w:rPr>
                      <w:t> </w:t>
                    </w:r>
                    <w:r>
                      <w:rPr>
                        <w:rFonts w:ascii="Arial" w:hAnsi="Arial"/>
                        <w:color w:val="231F20"/>
                        <w:sz w:val="17"/>
                      </w:rPr>
                      <w:t>en</w:t>
                    </w:r>
                    <w:r>
                      <w:rPr>
                        <w:rFonts w:ascii="Arial" w:hAnsi="Arial"/>
                        <w:color w:val="231F20"/>
                        <w:spacing w:val="-9"/>
                        <w:sz w:val="17"/>
                      </w:rPr>
                      <w:t> </w:t>
                    </w:r>
                    <w:r>
                      <w:rPr>
                        <w:rFonts w:ascii="Arial" w:hAnsi="Arial"/>
                        <w:color w:val="231F20"/>
                        <w:sz w:val="17"/>
                      </w:rPr>
                      <w:t>s’imaginant</w:t>
                    </w:r>
                    <w:r>
                      <w:rPr>
                        <w:rFonts w:ascii="Arial" w:hAnsi="Arial"/>
                        <w:color w:val="231F20"/>
                        <w:spacing w:val="-9"/>
                        <w:sz w:val="17"/>
                      </w:rPr>
                      <w:t> </w:t>
                    </w:r>
                    <w:r>
                      <w:rPr>
                        <w:rFonts w:ascii="Arial" w:hAnsi="Arial"/>
                        <w:color w:val="231F20"/>
                        <w:sz w:val="17"/>
                      </w:rPr>
                      <w:t>reprendre</w:t>
                    </w:r>
                    <w:r>
                      <w:rPr>
                        <w:rFonts w:ascii="Arial" w:hAnsi="Arial"/>
                        <w:color w:val="231F20"/>
                        <w:spacing w:val="-9"/>
                        <w:sz w:val="17"/>
                      </w:rPr>
                      <w:t> </w:t>
                    </w:r>
                    <w:r>
                      <w:rPr>
                        <w:rFonts w:ascii="Arial" w:hAnsi="Arial"/>
                        <w:color w:val="231F20"/>
                        <w:sz w:val="17"/>
                      </w:rPr>
                      <w:t>sa</w:t>
                    </w:r>
                    <w:r>
                      <w:rPr>
                        <w:rFonts w:ascii="Arial" w:hAnsi="Arial"/>
                        <w:color w:val="231F20"/>
                        <w:spacing w:val="-9"/>
                        <w:sz w:val="17"/>
                      </w:rPr>
                      <w:t> </w:t>
                    </w:r>
                    <w:r>
                      <w:rPr>
                        <w:rFonts w:ascii="Arial" w:hAnsi="Arial"/>
                        <w:color w:val="231F20"/>
                        <w:sz w:val="17"/>
                      </w:rPr>
                      <w:t>respiration,</w:t>
                    </w:r>
                    <w:r>
                      <w:rPr>
                        <w:rFonts w:ascii="Arial" w:hAnsi="Arial"/>
                        <w:color w:val="231F20"/>
                        <w:spacing w:val="-9"/>
                        <w:sz w:val="17"/>
                      </w:rPr>
                      <w:t> </w:t>
                    </w:r>
                    <w:r>
                      <w:rPr>
                        <w:rFonts w:ascii="Arial" w:hAnsi="Arial"/>
                        <w:color w:val="231F20"/>
                        <w:sz w:val="17"/>
                      </w:rPr>
                      <w:t>boire</w:t>
                    </w:r>
                    <w:r>
                      <w:rPr>
                        <w:rFonts w:ascii="Arial" w:hAnsi="Arial"/>
                        <w:color w:val="231F20"/>
                        <w:spacing w:val="-9"/>
                        <w:sz w:val="17"/>
                      </w:rPr>
                      <w:t> </w:t>
                    </w:r>
                    <w:r>
                      <w:rPr>
                        <w:rFonts w:ascii="Arial" w:hAnsi="Arial"/>
                        <w:color w:val="231F20"/>
                        <w:sz w:val="17"/>
                      </w:rPr>
                      <w:t>un</w:t>
                    </w:r>
                    <w:r>
                      <w:rPr>
                        <w:rFonts w:ascii="Arial" w:hAnsi="Arial"/>
                        <w:color w:val="231F20"/>
                        <w:spacing w:val="-9"/>
                        <w:sz w:val="17"/>
                      </w:rPr>
                      <w:t> </w:t>
                    </w:r>
                    <w:r>
                      <w:rPr>
                        <w:rFonts w:ascii="Arial" w:hAnsi="Arial"/>
                        <w:color w:val="231F20"/>
                        <w:sz w:val="17"/>
                      </w:rPr>
                      <w:t>verre d’eau, consulter ses notes… Il faut répéter ce processus au moins quinze à vingt fois pour ancrer en soi de nouveaux réflexes «</w:t>
                    </w:r>
                    <w:r>
                      <w:rPr>
                        <w:rFonts w:ascii="Arial" w:hAnsi="Arial"/>
                        <w:color w:val="231F20"/>
                        <w:spacing w:val="-12"/>
                        <w:sz w:val="17"/>
                      </w:rPr>
                      <w:t> </w:t>
                    </w:r>
                    <w:r>
                      <w:rPr>
                        <w:rFonts w:ascii="Arial" w:hAnsi="Arial"/>
                        <w:color w:val="231F20"/>
                        <w:sz w:val="17"/>
                      </w:rPr>
                      <w:t>pavlo- viens</w:t>
                    </w:r>
                    <w:r>
                      <w:rPr>
                        <w:rFonts w:ascii="Arial" w:hAnsi="Arial"/>
                        <w:color w:val="231F20"/>
                        <w:spacing w:val="-12"/>
                        <w:sz w:val="17"/>
                      </w:rPr>
                      <w:t> </w:t>
                    </w:r>
                    <w:r>
                      <w:rPr>
                        <w:rFonts w:ascii="Arial" w:hAnsi="Arial"/>
                        <w:color w:val="231F20"/>
                        <w:sz w:val="17"/>
                      </w:rPr>
                      <w:t>».</w:t>
                    </w:r>
                    <w:r>
                      <w:rPr>
                        <w:rFonts w:ascii="Arial" w:hAnsi="Arial"/>
                        <w:color w:val="231F20"/>
                        <w:spacing w:val="-12"/>
                        <w:sz w:val="17"/>
                      </w:rPr>
                      <w:t> </w:t>
                    </w:r>
                    <w:r>
                      <w:rPr>
                        <w:rFonts w:ascii="Arial" w:hAnsi="Arial"/>
                        <w:color w:val="231F20"/>
                        <w:sz w:val="17"/>
                      </w:rPr>
                      <w:t>L’idéal</w:t>
                    </w:r>
                    <w:r>
                      <w:rPr>
                        <w:rFonts w:ascii="Arial" w:hAnsi="Arial"/>
                        <w:color w:val="231F20"/>
                        <w:spacing w:val="-12"/>
                        <w:sz w:val="17"/>
                      </w:rPr>
                      <w:t> </w:t>
                    </w:r>
                    <w:r>
                      <w:rPr>
                        <w:rFonts w:ascii="Arial" w:hAnsi="Arial"/>
                        <w:color w:val="231F20"/>
                        <w:sz w:val="17"/>
                      </w:rPr>
                      <w:t>est</w:t>
                    </w:r>
                    <w:r>
                      <w:rPr>
                        <w:rFonts w:ascii="Arial" w:hAnsi="Arial"/>
                        <w:color w:val="231F20"/>
                        <w:spacing w:val="-4"/>
                        <w:sz w:val="17"/>
                      </w:rPr>
                      <w:t> </w:t>
                    </w:r>
                    <w:r>
                      <w:rPr>
                        <w:rFonts w:ascii="Arial" w:hAnsi="Arial"/>
                        <w:color w:val="231F20"/>
                        <w:sz w:val="17"/>
                      </w:rPr>
                      <w:t>même</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repérer,</w:t>
                    </w:r>
                    <w:r>
                      <w:rPr>
                        <w:rFonts w:ascii="Arial" w:hAnsi="Arial"/>
                        <w:color w:val="231F20"/>
                        <w:spacing w:val="-3"/>
                        <w:sz w:val="17"/>
                      </w:rPr>
                      <w:t> </w:t>
                    </w:r>
                    <w:r>
                      <w:rPr>
                        <w:rFonts w:ascii="Arial" w:hAnsi="Arial"/>
                        <w:color w:val="231F20"/>
                        <w:sz w:val="17"/>
                      </w:rPr>
                      <w:t>au</w:t>
                    </w:r>
                    <w:r>
                      <w:rPr>
                        <w:rFonts w:ascii="Arial" w:hAnsi="Arial"/>
                        <w:color w:val="231F20"/>
                        <w:spacing w:val="-3"/>
                        <w:sz w:val="17"/>
                      </w:rPr>
                      <w:t> </w:t>
                    </w:r>
                    <w:r>
                      <w:rPr>
                        <w:rFonts w:ascii="Arial" w:hAnsi="Arial"/>
                        <w:color w:val="231F20"/>
                        <w:sz w:val="17"/>
                      </w:rPr>
                      <w:t>cours</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cette</w:t>
                    </w:r>
                    <w:r>
                      <w:rPr>
                        <w:rFonts w:ascii="Arial" w:hAnsi="Arial"/>
                        <w:color w:val="231F20"/>
                        <w:spacing w:val="-3"/>
                        <w:sz w:val="17"/>
                      </w:rPr>
                      <w:t> </w:t>
                    </w:r>
                    <w:r>
                      <w:rPr>
                        <w:rFonts w:ascii="Arial" w:hAnsi="Arial"/>
                        <w:color w:val="231F20"/>
                        <w:sz w:val="17"/>
                      </w:rPr>
                      <w:t>session</w:t>
                    </w:r>
                    <w:r>
                      <w:rPr>
                        <w:rFonts w:ascii="Arial" w:hAnsi="Arial"/>
                        <w:color w:val="231F20"/>
                        <w:spacing w:val="-3"/>
                        <w:sz w:val="17"/>
                      </w:rPr>
                      <w:t> </w:t>
                    </w:r>
                    <w:r>
                      <w:rPr>
                        <w:rFonts w:ascii="Arial" w:hAnsi="Arial"/>
                        <w:color w:val="231F20"/>
                        <w:sz w:val="17"/>
                      </w:rPr>
                      <w:t>d’ima- gerie mentale, un stimulus qui vous aidera à trouver une énergie positive avant l’épreuve. Pour Zinedine Zidane, c’était, avant chaque match,</w:t>
                    </w:r>
                    <w:r>
                      <w:rPr>
                        <w:rFonts w:ascii="Arial" w:hAnsi="Arial"/>
                        <w:color w:val="231F20"/>
                        <w:spacing w:val="79"/>
                        <w:sz w:val="17"/>
                      </w:rPr>
                      <w:t> </w:t>
                    </w:r>
                    <w:r>
                      <w:rPr>
                        <w:rFonts w:ascii="Arial" w:hAnsi="Arial"/>
                        <w:color w:val="231F20"/>
                        <w:sz w:val="17"/>
                      </w:rPr>
                      <w:t>d’enfiler</w:t>
                    </w:r>
                    <w:r>
                      <w:rPr>
                        <w:rFonts w:ascii="Arial" w:hAnsi="Arial"/>
                        <w:color w:val="231F20"/>
                        <w:spacing w:val="79"/>
                        <w:sz w:val="17"/>
                      </w:rPr>
                      <w:t> </w:t>
                    </w:r>
                    <w:r>
                      <w:rPr>
                        <w:rFonts w:ascii="Arial" w:hAnsi="Arial"/>
                        <w:color w:val="231F20"/>
                        <w:sz w:val="17"/>
                      </w:rPr>
                      <w:t>systématiquement</w:t>
                    </w:r>
                    <w:r>
                      <w:rPr>
                        <w:rFonts w:ascii="Arial" w:hAnsi="Arial"/>
                        <w:color w:val="231F20"/>
                        <w:spacing w:val="79"/>
                        <w:sz w:val="17"/>
                      </w:rPr>
                      <w:t> </w:t>
                    </w:r>
                    <w:r>
                      <w:rPr>
                        <w:rFonts w:ascii="Arial" w:hAnsi="Arial"/>
                        <w:color w:val="231F20"/>
                        <w:sz w:val="17"/>
                      </w:rPr>
                      <w:t>sa</w:t>
                    </w:r>
                    <w:r>
                      <w:rPr>
                        <w:rFonts w:ascii="Arial" w:hAnsi="Arial"/>
                        <w:color w:val="231F20"/>
                        <w:spacing w:val="79"/>
                        <w:sz w:val="17"/>
                      </w:rPr>
                      <w:t> </w:t>
                    </w:r>
                    <w:r>
                      <w:rPr>
                        <w:rFonts w:ascii="Arial" w:hAnsi="Arial"/>
                        <w:color w:val="231F20"/>
                        <w:sz w:val="17"/>
                      </w:rPr>
                      <w:t>chaussette</w:t>
                    </w:r>
                    <w:r>
                      <w:rPr>
                        <w:rFonts w:ascii="Arial" w:hAnsi="Arial"/>
                        <w:color w:val="231F20"/>
                        <w:spacing w:val="79"/>
                        <w:sz w:val="17"/>
                      </w:rPr>
                      <w:t> </w:t>
                    </w:r>
                    <w:r>
                      <w:rPr>
                        <w:rFonts w:ascii="Arial" w:hAnsi="Arial"/>
                        <w:color w:val="231F20"/>
                        <w:sz w:val="17"/>
                      </w:rPr>
                      <w:t>gauche</w:t>
                    </w:r>
                    <w:r>
                      <w:rPr>
                        <w:rFonts w:ascii="Arial" w:hAnsi="Arial"/>
                        <w:color w:val="231F20"/>
                        <w:spacing w:val="79"/>
                        <w:sz w:val="17"/>
                      </w:rPr>
                      <w:t> </w:t>
                    </w:r>
                    <w:r>
                      <w:rPr>
                        <w:rFonts w:ascii="Arial" w:hAnsi="Arial"/>
                        <w:color w:val="231F20"/>
                        <w:sz w:val="17"/>
                      </w:rPr>
                      <w:t>avant la</w:t>
                    </w:r>
                    <w:r>
                      <w:rPr>
                        <w:rFonts w:ascii="Arial" w:hAnsi="Arial"/>
                        <w:color w:val="231F20"/>
                        <w:spacing w:val="-3"/>
                        <w:sz w:val="17"/>
                      </w:rPr>
                      <w:t> </w:t>
                    </w:r>
                    <w:r>
                      <w:rPr>
                        <w:rFonts w:ascii="Arial" w:hAnsi="Arial"/>
                        <w:color w:val="231F20"/>
                        <w:sz w:val="17"/>
                      </w:rPr>
                      <w:t>droite.</w:t>
                    </w:r>
                  </w:p>
                  <w:p>
                    <w:pPr>
                      <w:spacing w:line="295" w:lineRule="auto" w:before="214"/>
                      <w:ind w:left="250" w:right="247"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Sève,</w:t>
                    </w:r>
                    <w:r>
                      <w:rPr>
                        <w:rFonts w:ascii="Arial" w:hAnsi="Arial"/>
                        <w:color w:val="231F20"/>
                        <w:spacing w:val="-7"/>
                        <w:sz w:val="12"/>
                      </w:rPr>
                      <w:t> </w:t>
                    </w:r>
                    <w:r>
                      <w:rPr>
                        <w:rFonts w:ascii="Arial" w:hAnsi="Arial"/>
                        <w:color w:val="231F20"/>
                        <w:sz w:val="12"/>
                      </w:rPr>
                      <w:t>M.-M.</w:t>
                    </w:r>
                    <w:r>
                      <w:rPr>
                        <w:rFonts w:ascii="Arial" w:hAnsi="Arial"/>
                        <w:color w:val="231F20"/>
                        <w:spacing w:val="-1"/>
                        <w:sz w:val="12"/>
                      </w:rPr>
                      <w:t> </w:t>
                    </w:r>
                    <w:r>
                      <w:rPr>
                        <w:rFonts w:ascii="Arial" w:hAnsi="Arial"/>
                        <w:color w:val="231F20"/>
                        <w:sz w:val="12"/>
                      </w:rPr>
                      <w:t>(2013).</w:t>
                    </w:r>
                    <w:r>
                      <w:rPr>
                        <w:rFonts w:ascii="Arial" w:hAnsi="Arial"/>
                        <w:color w:val="231F20"/>
                        <w:spacing w:val="-1"/>
                        <w:sz w:val="12"/>
                      </w:rPr>
                      <w:t> </w:t>
                    </w:r>
                    <w:r>
                      <w:rPr>
                        <w:rFonts w:ascii="Arial" w:hAnsi="Arial"/>
                        <w:color w:val="231F20"/>
                        <w:sz w:val="12"/>
                      </w:rPr>
                      <w:t>Les</w:t>
                    </w:r>
                    <w:r>
                      <w:rPr>
                        <w:rFonts w:ascii="Arial" w:hAnsi="Arial"/>
                        <w:color w:val="231F20"/>
                        <w:spacing w:val="-1"/>
                        <w:sz w:val="12"/>
                      </w:rPr>
                      <w:t> </w:t>
                    </w:r>
                    <w:r>
                      <w:rPr>
                        <w:rFonts w:ascii="Arial" w:hAnsi="Arial"/>
                        <w:color w:val="231F20"/>
                        <w:sz w:val="12"/>
                      </w:rPr>
                      <w:t>cinq</w:t>
                    </w:r>
                    <w:r>
                      <w:rPr>
                        <w:rFonts w:ascii="Arial" w:hAnsi="Arial"/>
                        <w:color w:val="231F20"/>
                        <w:spacing w:val="-1"/>
                        <w:sz w:val="12"/>
                      </w:rPr>
                      <w:t> </w:t>
                    </w:r>
                    <w:r>
                      <w:rPr>
                        <w:rFonts w:ascii="Arial" w:hAnsi="Arial"/>
                        <w:color w:val="231F20"/>
                        <w:sz w:val="12"/>
                      </w:rPr>
                      <w:t>clés</w:t>
                    </w:r>
                    <w:r>
                      <w:rPr>
                        <w:rFonts w:ascii="Arial" w:hAnsi="Arial"/>
                        <w:color w:val="231F20"/>
                        <w:spacing w:val="-1"/>
                        <w:sz w:val="12"/>
                      </w:rPr>
                      <w:t> </w:t>
                    </w:r>
                    <w:r>
                      <w:rPr>
                        <w:rFonts w:ascii="Arial" w:hAnsi="Arial"/>
                        <w:color w:val="231F20"/>
                        <w:sz w:val="12"/>
                      </w:rPr>
                      <w:t>de</w:t>
                    </w:r>
                    <w:r>
                      <w:rPr>
                        <w:rFonts w:ascii="Arial" w:hAnsi="Arial"/>
                        <w:color w:val="231F20"/>
                        <w:spacing w:val="-1"/>
                        <w:sz w:val="12"/>
                      </w:rPr>
                      <w:t> </w:t>
                    </w:r>
                    <w:r>
                      <w:rPr>
                        <w:rFonts w:ascii="Arial" w:hAnsi="Arial"/>
                        <w:color w:val="231F20"/>
                        <w:sz w:val="12"/>
                      </w:rPr>
                      <w:t>la</w:t>
                    </w:r>
                    <w:r>
                      <w:rPr>
                        <w:rFonts w:ascii="Arial" w:hAnsi="Arial"/>
                        <w:color w:val="231F20"/>
                        <w:spacing w:val="-1"/>
                        <w:sz w:val="12"/>
                      </w:rPr>
                      <w:t> </w:t>
                    </w:r>
                    <w:r>
                      <w:rPr>
                        <w:rFonts w:ascii="Arial" w:hAnsi="Arial"/>
                        <w:color w:val="231F20"/>
                        <w:sz w:val="12"/>
                      </w:rPr>
                      <w:t>confiance</w:t>
                    </w:r>
                    <w:r>
                      <w:rPr>
                        <w:rFonts w:ascii="Arial" w:hAnsi="Arial"/>
                        <w:color w:val="231F20"/>
                        <w:spacing w:val="-1"/>
                        <w:sz w:val="12"/>
                      </w:rPr>
                      <w:t> </w:t>
                    </w:r>
                    <w:r>
                      <w:rPr>
                        <w:rFonts w:ascii="Arial" w:hAnsi="Arial"/>
                        <w:color w:val="231F20"/>
                        <w:sz w:val="12"/>
                      </w:rPr>
                      <w:t>en</w:t>
                    </w:r>
                    <w:r>
                      <w:rPr>
                        <w:rFonts w:ascii="Arial" w:hAnsi="Arial"/>
                        <w:color w:val="231F20"/>
                        <w:spacing w:val="-1"/>
                        <w:sz w:val="12"/>
                      </w:rPr>
                      <w:t> </w:t>
                    </w:r>
                    <w:r>
                      <w:rPr>
                        <w:rFonts w:ascii="Arial" w:hAnsi="Arial"/>
                        <w:color w:val="231F20"/>
                        <w:sz w:val="12"/>
                      </w:rPr>
                      <w:t>soi</w:t>
                    </w:r>
                    <w:r>
                      <w:rPr>
                        <w:rFonts w:ascii="Arial" w:hAnsi="Arial"/>
                        <w:color w:val="231F20"/>
                        <w:spacing w:val="-1"/>
                        <w:sz w:val="12"/>
                      </w:rPr>
                      <w:t> </w:t>
                    </w:r>
                    <w:r>
                      <w:rPr>
                        <w:rFonts w:ascii="Arial" w:hAnsi="Arial"/>
                        <w:color w:val="231F20"/>
                        <w:sz w:val="12"/>
                      </w:rPr>
                      <w:t>au</w:t>
                    </w:r>
                    <w:r>
                      <w:rPr>
                        <w:rFonts w:ascii="Arial" w:hAnsi="Arial"/>
                        <w:color w:val="231F20"/>
                        <w:spacing w:val="-1"/>
                        <w:sz w:val="12"/>
                      </w:rPr>
                      <w:t> </w:t>
                    </w:r>
                    <w:r>
                      <w:rPr>
                        <w:rFonts w:ascii="Arial" w:hAnsi="Arial"/>
                        <w:color w:val="231F20"/>
                        <w:sz w:val="12"/>
                      </w:rPr>
                      <w:t>travail,</w:t>
                    </w:r>
                    <w:r>
                      <w:rPr>
                        <w:rFonts w:ascii="Arial" w:hAnsi="Arial"/>
                        <w:color w:val="231F20"/>
                        <w:spacing w:val="-1"/>
                        <w:sz w:val="12"/>
                      </w:rPr>
                      <w:t> </w:t>
                    </w:r>
                    <w:r>
                      <w:rPr>
                        <w:rFonts w:ascii="Arial" w:hAnsi="Arial"/>
                        <w:i/>
                        <w:color w:val="231F20"/>
                        <w:sz w:val="12"/>
                      </w:rPr>
                      <w:t>Management</w:t>
                    </w:r>
                    <w:r>
                      <w:rPr>
                        <w:rFonts w:ascii="Arial" w:hAnsi="Arial"/>
                        <w:color w:val="231F20"/>
                        <w:sz w:val="12"/>
                      </w:rPr>
                      <w:t>,</w:t>
                    </w:r>
                    <w:r>
                      <w:rPr>
                        <w:rFonts w:ascii="Arial" w:hAnsi="Arial"/>
                        <w:color w:val="231F20"/>
                        <w:spacing w:val="-1"/>
                        <w:sz w:val="12"/>
                      </w:rPr>
                      <w:t> </w:t>
                    </w:r>
                    <w:r>
                      <w:rPr>
                        <w:rFonts w:ascii="Arial" w:hAnsi="Arial"/>
                        <w:color w:val="231F20"/>
                        <w:sz w:val="12"/>
                      </w:rPr>
                      <w:t>&lt;https://</w:t>
                    </w:r>
                    <w:r>
                      <w:rPr>
                        <w:rFonts w:ascii="Arial" w:hAnsi="Arial"/>
                        <w:color w:val="231F20"/>
                        <w:spacing w:val="40"/>
                        <w:w w:val="105"/>
                        <w:sz w:val="12"/>
                      </w:rPr>
                      <w:t> </w:t>
                    </w:r>
                    <w:hyperlink r:id="rId269">
                      <w:r>
                        <w:rPr>
                          <w:rFonts w:ascii="Arial" w:hAnsi="Arial"/>
                          <w:color w:val="231F20"/>
                          <w:w w:val="105"/>
                          <w:sz w:val="12"/>
                        </w:rPr>
                        <w:t>www.capital.fr/votre-carriere/les-cinq-cles-de-la-confiance-en-soi-au-travail-815280&gt;,</w:t>
                      </w:r>
                      <w:r>
                        <w:rPr>
                          <w:rFonts w:ascii="Arial" w:hAnsi="Arial"/>
                          <w:color w:val="231F20"/>
                          <w:spacing w:val="-9"/>
                          <w:w w:val="105"/>
                          <w:sz w:val="12"/>
                        </w:rPr>
                        <w:t> </w:t>
                      </w:r>
                    </w:hyperlink>
                    <w:r>
                      <w:rPr>
                        <w:rFonts w:ascii="Arial" w:hAnsi="Arial"/>
                        <w:color w:val="231F20"/>
                        <w:w w:val="105"/>
                        <w:sz w:val="12"/>
                      </w:rPr>
                      <w:t>consulté</w:t>
                    </w:r>
                    <w:r>
                      <w:rPr>
                        <w:rFonts w:ascii="Arial" w:hAnsi="Arial"/>
                        <w:color w:val="231F20"/>
                        <w:spacing w:val="40"/>
                        <w:w w:val="105"/>
                        <w:sz w:val="12"/>
                      </w:rPr>
                      <w:t> </w:t>
                    </w:r>
                    <w:r>
                      <w:rPr>
                        <w:rFonts w:ascii="Arial" w:hAnsi="Arial"/>
                        <w:color w:val="231F20"/>
                        <w:w w:val="105"/>
                        <w:sz w:val="12"/>
                      </w:rPr>
                      <w:t>le 22 octobre 2021.</w:t>
                    </w:r>
                  </w:p>
                </w:txbxContent>
              </v:textbox>
              <w10:wrap type="none"/>
            </v:shape>
            <w10:wrap type="topAndBottom"/>
          </v:group>
        </w:pict>
      </w:r>
    </w:p>
    <w:p>
      <w:pPr>
        <w:pStyle w:val="BodyText"/>
        <w:rPr>
          <w:rFonts w:ascii="Arial"/>
          <w:sz w:val="20"/>
        </w:rPr>
      </w:pPr>
    </w:p>
    <w:p>
      <w:pPr>
        <w:pStyle w:val="BodyText"/>
        <w:spacing w:before="1"/>
        <w:rPr>
          <w:rFonts w:ascii="Arial"/>
          <w:sz w:val="28"/>
        </w:rPr>
      </w:pPr>
    </w:p>
    <w:p>
      <w:pPr>
        <w:pStyle w:val="Heading2"/>
        <w:numPr>
          <w:ilvl w:val="1"/>
          <w:numId w:val="62"/>
        </w:numPr>
        <w:tabs>
          <w:tab w:pos="911" w:val="left" w:leader="none"/>
          <w:tab w:pos="1219" w:val="left" w:leader="none"/>
        </w:tabs>
        <w:spacing w:line="240" w:lineRule="auto" w:before="0" w:after="0"/>
        <w:ind w:left="910" w:right="0" w:hanging="329"/>
        <w:jc w:val="left"/>
      </w:pPr>
      <w:r>
        <w:rPr>
          <w:b w:val="0"/>
          <w:i/>
          <w:color w:val="231F20"/>
          <w:spacing w:val="-10"/>
        </w:rPr>
        <w:t>/</w:t>
      </w:r>
      <w:r>
        <w:rPr>
          <w:b w:val="0"/>
          <w:i/>
          <w:color w:val="231F20"/>
        </w:rPr>
        <w:tab/>
      </w:r>
      <w:r>
        <w:rPr>
          <w:color w:val="231F20"/>
          <w:w w:val="90"/>
        </w:rPr>
        <w:t>Estime</w:t>
      </w:r>
      <w:r>
        <w:rPr>
          <w:color w:val="231F20"/>
          <w:spacing w:val="3"/>
        </w:rPr>
        <w:t> </w:t>
      </w:r>
      <w:r>
        <w:rPr>
          <w:color w:val="231F20"/>
          <w:w w:val="90"/>
        </w:rPr>
        <w:t>de</w:t>
      </w:r>
      <w:r>
        <w:rPr>
          <w:color w:val="231F20"/>
          <w:spacing w:val="3"/>
        </w:rPr>
        <w:t> </w:t>
      </w:r>
      <w:r>
        <w:rPr>
          <w:color w:val="231F20"/>
          <w:w w:val="90"/>
        </w:rPr>
        <w:t>soi</w:t>
      </w:r>
      <w:r>
        <w:rPr>
          <w:color w:val="231F20"/>
          <w:spacing w:val="3"/>
        </w:rPr>
        <w:t> </w:t>
      </w:r>
      <w:r>
        <w:rPr>
          <w:color w:val="231F20"/>
          <w:spacing w:val="-2"/>
          <w:w w:val="90"/>
        </w:rPr>
        <w:t>organisationnelle</w:t>
      </w:r>
    </w:p>
    <w:p>
      <w:pPr>
        <w:pStyle w:val="BodyText"/>
        <w:spacing w:before="9"/>
        <w:rPr>
          <w:rFonts w:ascii="Arial"/>
          <w:b/>
          <w:sz w:val="25"/>
        </w:rPr>
      </w:pPr>
    </w:p>
    <w:p>
      <w:pPr>
        <w:pStyle w:val="BodyText"/>
        <w:spacing w:line="307" w:lineRule="auto"/>
        <w:ind w:left="1220" w:right="103"/>
        <w:jc w:val="both"/>
      </w:pPr>
      <w:r>
        <w:rPr>
          <w:color w:val="231F20"/>
          <w:spacing w:val="-2"/>
          <w:w w:val="120"/>
        </w:rPr>
        <w:t>L’estime</w:t>
      </w:r>
      <w:r>
        <w:rPr>
          <w:color w:val="231F20"/>
          <w:spacing w:val="-7"/>
          <w:w w:val="120"/>
        </w:rPr>
        <w:t> </w:t>
      </w:r>
      <w:r>
        <w:rPr>
          <w:color w:val="231F20"/>
          <w:spacing w:val="-2"/>
          <w:w w:val="120"/>
        </w:rPr>
        <w:t>de</w:t>
      </w:r>
      <w:r>
        <w:rPr>
          <w:color w:val="231F20"/>
          <w:spacing w:val="-7"/>
          <w:w w:val="120"/>
        </w:rPr>
        <w:t> </w:t>
      </w:r>
      <w:r>
        <w:rPr>
          <w:color w:val="231F20"/>
          <w:spacing w:val="-2"/>
          <w:w w:val="120"/>
        </w:rPr>
        <w:t>soi</w:t>
      </w:r>
      <w:r>
        <w:rPr>
          <w:color w:val="231F20"/>
          <w:spacing w:val="-7"/>
          <w:w w:val="120"/>
        </w:rPr>
        <w:t> </w:t>
      </w:r>
      <w:r>
        <w:rPr>
          <w:color w:val="231F20"/>
          <w:spacing w:val="-2"/>
          <w:w w:val="120"/>
        </w:rPr>
        <w:t>organisationnelle</w:t>
      </w:r>
      <w:r>
        <w:rPr>
          <w:color w:val="231F20"/>
          <w:spacing w:val="-7"/>
          <w:w w:val="120"/>
        </w:rPr>
        <w:t> </w:t>
      </w:r>
      <w:r>
        <w:rPr>
          <w:color w:val="231F20"/>
          <w:spacing w:val="-2"/>
          <w:w w:val="120"/>
        </w:rPr>
        <w:t>est</w:t>
      </w:r>
      <w:r>
        <w:rPr>
          <w:color w:val="231F20"/>
          <w:spacing w:val="-7"/>
          <w:w w:val="120"/>
        </w:rPr>
        <w:t> </w:t>
      </w:r>
      <w:r>
        <w:rPr>
          <w:color w:val="231F20"/>
          <w:spacing w:val="-2"/>
          <w:w w:val="120"/>
        </w:rPr>
        <w:t>un</w:t>
      </w:r>
      <w:r>
        <w:rPr>
          <w:color w:val="231F20"/>
          <w:spacing w:val="-7"/>
          <w:w w:val="120"/>
        </w:rPr>
        <w:t> </w:t>
      </w:r>
      <w:r>
        <w:rPr>
          <w:color w:val="231F20"/>
          <w:spacing w:val="-2"/>
          <w:w w:val="120"/>
        </w:rPr>
        <w:t>concept</w:t>
      </w:r>
      <w:r>
        <w:rPr>
          <w:color w:val="231F20"/>
          <w:spacing w:val="-7"/>
          <w:w w:val="120"/>
        </w:rPr>
        <w:t> </w:t>
      </w:r>
      <w:r>
        <w:rPr>
          <w:color w:val="231F20"/>
          <w:spacing w:val="-2"/>
          <w:w w:val="120"/>
        </w:rPr>
        <w:t>méconnu</w:t>
      </w:r>
      <w:r>
        <w:rPr>
          <w:color w:val="231F20"/>
          <w:spacing w:val="-7"/>
          <w:w w:val="120"/>
        </w:rPr>
        <w:t> </w:t>
      </w:r>
      <w:r>
        <w:rPr>
          <w:color w:val="231F20"/>
          <w:spacing w:val="-2"/>
          <w:w w:val="120"/>
        </w:rPr>
        <w:t>qui</w:t>
      </w:r>
      <w:r>
        <w:rPr>
          <w:color w:val="231F20"/>
          <w:spacing w:val="-7"/>
          <w:w w:val="120"/>
        </w:rPr>
        <w:t> </w:t>
      </w:r>
      <w:r>
        <w:rPr>
          <w:color w:val="231F20"/>
          <w:spacing w:val="-2"/>
          <w:w w:val="120"/>
        </w:rPr>
        <w:t>se</w:t>
      </w:r>
      <w:r>
        <w:rPr>
          <w:color w:val="231F20"/>
          <w:spacing w:val="-7"/>
          <w:w w:val="120"/>
        </w:rPr>
        <w:t> </w:t>
      </w:r>
      <w:r>
        <w:rPr>
          <w:color w:val="231F20"/>
          <w:spacing w:val="-2"/>
          <w:w w:val="120"/>
        </w:rPr>
        <w:t>décline </w:t>
      </w:r>
      <w:r>
        <w:rPr>
          <w:color w:val="231F20"/>
          <w:w w:val="120"/>
        </w:rPr>
        <w:t>en</w:t>
      </w:r>
      <w:r>
        <w:rPr>
          <w:color w:val="231F20"/>
          <w:spacing w:val="-5"/>
          <w:w w:val="120"/>
        </w:rPr>
        <w:t> </w:t>
      </w:r>
      <w:r>
        <w:rPr>
          <w:color w:val="231F20"/>
          <w:w w:val="120"/>
        </w:rPr>
        <w:t>deux</w:t>
      </w:r>
      <w:r>
        <w:rPr>
          <w:color w:val="231F20"/>
          <w:spacing w:val="-5"/>
          <w:w w:val="120"/>
        </w:rPr>
        <w:t> </w:t>
      </w:r>
      <w:r>
        <w:rPr>
          <w:color w:val="231F20"/>
          <w:w w:val="120"/>
        </w:rPr>
        <w:t>perspectives.</w:t>
      </w:r>
      <w:r>
        <w:rPr>
          <w:color w:val="231F20"/>
          <w:spacing w:val="-5"/>
          <w:w w:val="120"/>
        </w:rPr>
        <w:t> </w:t>
      </w:r>
      <w:r>
        <w:rPr>
          <w:color w:val="231F20"/>
          <w:w w:val="120"/>
        </w:rPr>
        <w:t>D’un</w:t>
      </w:r>
      <w:r>
        <w:rPr>
          <w:color w:val="231F20"/>
          <w:spacing w:val="-5"/>
          <w:w w:val="120"/>
        </w:rPr>
        <w:t> </w:t>
      </w:r>
      <w:r>
        <w:rPr>
          <w:color w:val="231F20"/>
          <w:w w:val="120"/>
        </w:rPr>
        <w:t>côté,</w:t>
      </w:r>
      <w:r>
        <w:rPr>
          <w:color w:val="231F20"/>
          <w:spacing w:val="-5"/>
          <w:w w:val="120"/>
        </w:rPr>
        <w:t> </w:t>
      </w:r>
      <w:r>
        <w:rPr>
          <w:color w:val="231F20"/>
          <w:w w:val="120"/>
        </w:rPr>
        <w:t>l’estime</w:t>
      </w:r>
      <w:r>
        <w:rPr>
          <w:color w:val="231F20"/>
          <w:spacing w:val="-5"/>
          <w:w w:val="120"/>
        </w:rPr>
        <w:t> </w:t>
      </w:r>
      <w:r>
        <w:rPr>
          <w:color w:val="231F20"/>
          <w:w w:val="120"/>
        </w:rPr>
        <w:t>de</w:t>
      </w:r>
      <w:r>
        <w:rPr>
          <w:color w:val="231F20"/>
          <w:spacing w:val="-5"/>
          <w:w w:val="120"/>
        </w:rPr>
        <w:t> </w:t>
      </w:r>
      <w:r>
        <w:rPr>
          <w:color w:val="231F20"/>
          <w:w w:val="120"/>
        </w:rPr>
        <w:t>soi</w:t>
      </w:r>
      <w:r>
        <w:rPr>
          <w:color w:val="231F20"/>
          <w:spacing w:val="-5"/>
          <w:w w:val="120"/>
        </w:rPr>
        <w:t> </w:t>
      </w:r>
      <w:r>
        <w:rPr>
          <w:color w:val="231F20"/>
          <w:w w:val="120"/>
        </w:rPr>
        <w:t>organisationnelle</w:t>
      </w:r>
      <w:r>
        <w:rPr>
          <w:color w:val="231F20"/>
          <w:spacing w:val="-5"/>
          <w:w w:val="120"/>
        </w:rPr>
        <w:t> </w:t>
      </w:r>
      <w:r>
        <w:rPr>
          <w:color w:val="231F20"/>
          <w:w w:val="120"/>
        </w:rPr>
        <w:t>peut </w:t>
      </w:r>
      <w:r>
        <w:rPr>
          <w:color w:val="231F20"/>
          <w:w w:val="115"/>
        </w:rPr>
        <w:t>être associée à la perception de la valeur qu’une personne a d’elle-même </w:t>
      </w:r>
      <w:r>
        <w:rPr>
          <w:color w:val="231F20"/>
          <w:spacing w:val="-2"/>
          <w:w w:val="115"/>
        </w:rPr>
        <w:t>au</w:t>
      </w:r>
      <w:r>
        <w:rPr>
          <w:color w:val="231F20"/>
          <w:spacing w:val="-3"/>
          <w:w w:val="115"/>
        </w:rPr>
        <w:t> </w:t>
      </w:r>
      <w:r>
        <w:rPr>
          <w:color w:val="231F20"/>
          <w:spacing w:val="-2"/>
          <w:w w:val="115"/>
        </w:rPr>
        <w:t>sein</w:t>
      </w:r>
      <w:r>
        <w:rPr>
          <w:color w:val="231F20"/>
          <w:spacing w:val="-3"/>
          <w:w w:val="115"/>
        </w:rPr>
        <w:t> </w:t>
      </w:r>
      <w:r>
        <w:rPr>
          <w:color w:val="231F20"/>
          <w:spacing w:val="-2"/>
          <w:w w:val="115"/>
        </w:rPr>
        <w:t>de</w:t>
      </w:r>
      <w:r>
        <w:rPr>
          <w:color w:val="231F20"/>
          <w:spacing w:val="-3"/>
          <w:w w:val="115"/>
        </w:rPr>
        <w:t> </w:t>
      </w:r>
      <w:r>
        <w:rPr>
          <w:color w:val="231F20"/>
          <w:spacing w:val="-2"/>
          <w:w w:val="115"/>
        </w:rPr>
        <w:t>son</w:t>
      </w:r>
      <w:r>
        <w:rPr>
          <w:color w:val="231F20"/>
          <w:spacing w:val="-3"/>
          <w:w w:val="115"/>
        </w:rPr>
        <w:t> </w:t>
      </w:r>
      <w:r>
        <w:rPr>
          <w:color w:val="231F20"/>
          <w:spacing w:val="-2"/>
          <w:w w:val="115"/>
        </w:rPr>
        <w:t>organisation37.</w:t>
      </w:r>
      <w:r>
        <w:rPr>
          <w:color w:val="231F20"/>
          <w:spacing w:val="-3"/>
          <w:w w:val="115"/>
        </w:rPr>
        <w:t> </w:t>
      </w:r>
      <w:r>
        <w:rPr>
          <w:color w:val="231F20"/>
          <w:spacing w:val="-2"/>
          <w:w w:val="115"/>
        </w:rPr>
        <w:t>De</w:t>
      </w:r>
      <w:r>
        <w:rPr>
          <w:color w:val="231F20"/>
          <w:spacing w:val="-3"/>
          <w:w w:val="115"/>
        </w:rPr>
        <w:t> </w:t>
      </w:r>
      <w:r>
        <w:rPr>
          <w:color w:val="231F20"/>
          <w:spacing w:val="-2"/>
          <w:w w:val="115"/>
        </w:rPr>
        <w:t>l’autre,</w:t>
      </w:r>
      <w:r>
        <w:rPr>
          <w:color w:val="231F20"/>
          <w:spacing w:val="-3"/>
          <w:w w:val="115"/>
        </w:rPr>
        <w:t> </w:t>
      </w:r>
      <w:r>
        <w:rPr>
          <w:color w:val="231F20"/>
          <w:spacing w:val="-2"/>
          <w:w w:val="115"/>
        </w:rPr>
        <w:t>elle</w:t>
      </w:r>
      <w:r>
        <w:rPr>
          <w:color w:val="231F20"/>
          <w:spacing w:val="-3"/>
          <w:w w:val="115"/>
        </w:rPr>
        <w:t> </w:t>
      </w:r>
      <w:r>
        <w:rPr>
          <w:color w:val="231F20"/>
          <w:spacing w:val="-2"/>
          <w:w w:val="115"/>
        </w:rPr>
        <w:t>peut</w:t>
      </w:r>
      <w:r>
        <w:rPr>
          <w:color w:val="231F20"/>
          <w:spacing w:val="-3"/>
          <w:w w:val="115"/>
        </w:rPr>
        <w:t> </w:t>
      </w:r>
      <w:r>
        <w:rPr>
          <w:color w:val="231F20"/>
          <w:spacing w:val="-2"/>
          <w:w w:val="115"/>
        </w:rPr>
        <w:t>représenter</w:t>
      </w:r>
      <w:r>
        <w:rPr>
          <w:color w:val="231F20"/>
          <w:spacing w:val="-3"/>
          <w:w w:val="115"/>
        </w:rPr>
        <w:t> </w:t>
      </w:r>
      <w:r>
        <w:rPr>
          <w:color w:val="231F20"/>
          <w:spacing w:val="-2"/>
          <w:w w:val="115"/>
        </w:rPr>
        <w:t>l’agrégation </w:t>
      </w:r>
      <w:r>
        <w:rPr>
          <w:color w:val="231F20"/>
          <w:w w:val="120"/>
        </w:rPr>
        <w:t>de</w:t>
      </w:r>
      <w:r>
        <w:rPr>
          <w:color w:val="231F20"/>
          <w:spacing w:val="-2"/>
          <w:w w:val="120"/>
        </w:rPr>
        <w:t> </w:t>
      </w:r>
      <w:r>
        <w:rPr>
          <w:color w:val="231F20"/>
          <w:w w:val="120"/>
        </w:rPr>
        <w:t>l’estime</w:t>
      </w:r>
      <w:r>
        <w:rPr>
          <w:color w:val="231F20"/>
          <w:spacing w:val="-2"/>
          <w:w w:val="120"/>
        </w:rPr>
        <w:t> </w:t>
      </w:r>
      <w:r>
        <w:rPr>
          <w:color w:val="231F20"/>
          <w:w w:val="120"/>
        </w:rPr>
        <w:t>de</w:t>
      </w:r>
      <w:r>
        <w:rPr>
          <w:color w:val="231F20"/>
          <w:spacing w:val="-2"/>
          <w:w w:val="120"/>
        </w:rPr>
        <w:t> </w:t>
      </w:r>
      <w:r>
        <w:rPr>
          <w:color w:val="231F20"/>
          <w:w w:val="120"/>
        </w:rPr>
        <w:t>soi</w:t>
      </w:r>
      <w:r>
        <w:rPr>
          <w:color w:val="231F20"/>
          <w:spacing w:val="-2"/>
          <w:w w:val="120"/>
        </w:rPr>
        <w:t> </w:t>
      </w:r>
      <w:r>
        <w:rPr>
          <w:color w:val="231F20"/>
          <w:w w:val="120"/>
        </w:rPr>
        <w:t>de</w:t>
      </w:r>
      <w:r>
        <w:rPr>
          <w:color w:val="231F20"/>
          <w:spacing w:val="-2"/>
          <w:w w:val="120"/>
        </w:rPr>
        <w:t> </w:t>
      </w:r>
      <w:r>
        <w:rPr>
          <w:color w:val="231F20"/>
          <w:w w:val="120"/>
        </w:rPr>
        <w:t>l’ensemble</w:t>
      </w:r>
      <w:r>
        <w:rPr>
          <w:color w:val="231F20"/>
          <w:spacing w:val="-2"/>
          <w:w w:val="120"/>
        </w:rPr>
        <w:t> </w:t>
      </w:r>
      <w:r>
        <w:rPr>
          <w:color w:val="231F20"/>
          <w:w w:val="120"/>
        </w:rPr>
        <w:t>des</w:t>
      </w:r>
      <w:r>
        <w:rPr>
          <w:color w:val="231F20"/>
          <w:spacing w:val="-2"/>
          <w:w w:val="120"/>
        </w:rPr>
        <w:t> </w:t>
      </w:r>
      <w:r>
        <w:rPr>
          <w:color w:val="231F20"/>
          <w:w w:val="120"/>
        </w:rPr>
        <w:t>membres</w:t>
      </w:r>
      <w:r>
        <w:rPr>
          <w:color w:val="231F20"/>
          <w:spacing w:val="-2"/>
          <w:w w:val="120"/>
        </w:rPr>
        <w:t> </w:t>
      </w:r>
      <w:r>
        <w:rPr>
          <w:color w:val="231F20"/>
          <w:w w:val="120"/>
        </w:rPr>
        <w:t>de</w:t>
      </w:r>
      <w:r>
        <w:rPr>
          <w:color w:val="231F20"/>
          <w:spacing w:val="-2"/>
          <w:w w:val="120"/>
        </w:rPr>
        <w:t> </w:t>
      </w:r>
      <w:r>
        <w:rPr>
          <w:color w:val="231F20"/>
          <w:w w:val="120"/>
        </w:rPr>
        <w:t>l’organisation.</w:t>
      </w:r>
      <w:r>
        <w:rPr>
          <w:color w:val="231F20"/>
          <w:spacing w:val="-2"/>
          <w:w w:val="120"/>
        </w:rPr>
        <w:t> </w:t>
      </w:r>
      <w:r>
        <w:rPr>
          <w:color w:val="231F20"/>
          <w:w w:val="120"/>
        </w:rPr>
        <w:t>En</w:t>
      </w:r>
      <w:r>
        <w:rPr>
          <w:color w:val="231F20"/>
          <w:spacing w:val="-2"/>
          <w:w w:val="120"/>
        </w:rPr>
        <w:t> </w:t>
      </w:r>
      <w:r>
        <w:rPr>
          <w:color w:val="231F20"/>
          <w:w w:val="120"/>
        </w:rPr>
        <w:t>ce sens,</w:t>
      </w:r>
      <w:r>
        <w:rPr>
          <w:color w:val="231F20"/>
          <w:spacing w:val="-15"/>
          <w:w w:val="120"/>
        </w:rPr>
        <w:t> </w:t>
      </w:r>
      <w:r>
        <w:rPr>
          <w:color w:val="231F20"/>
          <w:w w:val="120"/>
        </w:rPr>
        <w:t>elle</w:t>
      </w:r>
      <w:r>
        <w:rPr>
          <w:color w:val="231F20"/>
          <w:spacing w:val="-13"/>
          <w:w w:val="120"/>
        </w:rPr>
        <w:t> </w:t>
      </w:r>
      <w:r>
        <w:rPr>
          <w:color w:val="231F20"/>
          <w:w w:val="120"/>
        </w:rPr>
        <w:t>est</w:t>
      </w:r>
      <w:r>
        <w:rPr>
          <w:color w:val="231F20"/>
          <w:spacing w:val="-13"/>
          <w:w w:val="120"/>
        </w:rPr>
        <w:t> </w:t>
      </w:r>
      <w:r>
        <w:rPr>
          <w:color w:val="231F20"/>
          <w:w w:val="120"/>
        </w:rPr>
        <w:t>étroitement</w:t>
      </w:r>
      <w:r>
        <w:rPr>
          <w:color w:val="231F20"/>
          <w:spacing w:val="-12"/>
          <w:w w:val="120"/>
        </w:rPr>
        <w:t> </w:t>
      </w:r>
      <w:r>
        <w:rPr>
          <w:color w:val="231F20"/>
          <w:w w:val="120"/>
        </w:rPr>
        <w:t>associée</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culture</w:t>
      </w:r>
      <w:r>
        <w:rPr>
          <w:color w:val="231F20"/>
          <w:spacing w:val="-12"/>
          <w:w w:val="120"/>
        </w:rPr>
        <w:t> </w:t>
      </w:r>
      <w:r>
        <w:rPr>
          <w:color w:val="231F20"/>
          <w:w w:val="120"/>
        </w:rPr>
        <w:t>et</w:t>
      </w:r>
      <w:r>
        <w:rPr>
          <w:color w:val="231F20"/>
          <w:spacing w:val="-13"/>
          <w:w w:val="120"/>
        </w:rPr>
        <w:t> </w:t>
      </w:r>
      <w:r>
        <w:rPr>
          <w:color w:val="231F20"/>
          <w:w w:val="120"/>
        </w:rPr>
        <w:t>aux</w:t>
      </w:r>
      <w:r>
        <w:rPr>
          <w:color w:val="231F20"/>
          <w:spacing w:val="-13"/>
          <w:w w:val="120"/>
        </w:rPr>
        <w:t> </w:t>
      </w:r>
      <w:r>
        <w:rPr>
          <w:color w:val="231F20"/>
          <w:w w:val="120"/>
        </w:rPr>
        <w:t>valeurs</w:t>
      </w:r>
      <w:r>
        <w:rPr>
          <w:color w:val="231F20"/>
          <w:spacing w:val="-13"/>
          <w:w w:val="120"/>
        </w:rPr>
        <w:t> </w:t>
      </w:r>
      <w:r>
        <w:rPr>
          <w:color w:val="231F20"/>
          <w:w w:val="120"/>
        </w:rPr>
        <w:t>de</w:t>
      </w:r>
      <w:r>
        <w:rPr>
          <w:color w:val="231F20"/>
          <w:spacing w:val="-12"/>
          <w:w w:val="120"/>
        </w:rPr>
        <w:t> </w:t>
      </w:r>
      <w:r>
        <w:rPr>
          <w:color w:val="231F20"/>
          <w:w w:val="120"/>
        </w:rPr>
        <w:t>l’organi- sation.</w:t>
      </w:r>
      <w:r>
        <w:rPr>
          <w:color w:val="231F20"/>
          <w:spacing w:val="-13"/>
          <w:w w:val="120"/>
        </w:rPr>
        <w:t> </w:t>
      </w:r>
      <w:r>
        <w:rPr>
          <w:color w:val="231F20"/>
          <w:w w:val="120"/>
        </w:rPr>
        <w:t>Bien</w:t>
      </w:r>
      <w:r>
        <w:rPr>
          <w:color w:val="231F20"/>
          <w:spacing w:val="-13"/>
          <w:w w:val="120"/>
        </w:rPr>
        <w:t> </w:t>
      </w:r>
      <w:r>
        <w:rPr>
          <w:color w:val="231F20"/>
          <w:w w:val="120"/>
        </w:rPr>
        <w:t>entendu,</w:t>
      </w:r>
      <w:r>
        <w:rPr>
          <w:color w:val="231F20"/>
          <w:spacing w:val="-13"/>
          <w:w w:val="120"/>
        </w:rPr>
        <w:t> </w:t>
      </w:r>
      <w:r>
        <w:rPr>
          <w:color w:val="231F20"/>
          <w:w w:val="120"/>
        </w:rPr>
        <w:t>l’estime</w:t>
      </w:r>
      <w:r>
        <w:rPr>
          <w:color w:val="231F20"/>
          <w:spacing w:val="-12"/>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d’une</w:t>
      </w:r>
      <w:r>
        <w:rPr>
          <w:color w:val="231F20"/>
          <w:spacing w:val="-13"/>
          <w:w w:val="120"/>
        </w:rPr>
        <w:t> </w:t>
      </w:r>
      <w:r>
        <w:rPr>
          <w:color w:val="231F20"/>
          <w:w w:val="120"/>
        </w:rPr>
        <w:t>organisation</w:t>
      </w:r>
      <w:r>
        <w:rPr>
          <w:color w:val="231F20"/>
          <w:spacing w:val="-12"/>
          <w:w w:val="120"/>
        </w:rPr>
        <w:t> </w:t>
      </w:r>
      <w:r>
        <w:rPr>
          <w:color w:val="231F20"/>
          <w:w w:val="120"/>
        </w:rPr>
        <w:t>dépend</w:t>
      </w:r>
      <w:r>
        <w:rPr>
          <w:color w:val="231F20"/>
          <w:spacing w:val="-13"/>
          <w:w w:val="120"/>
        </w:rPr>
        <w:t> </w:t>
      </w:r>
      <w:r>
        <w:rPr>
          <w:color w:val="231F20"/>
          <w:w w:val="120"/>
        </w:rPr>
        <w:t>de</w:t>
      </w:r>
      <w:r>
        <w:rPr>
          <w:color w:val="231F20"/>
          <w:spacing w:val="-13"/>
          <w:w w:val="120"/>
        </w:rPr>
        <w:t> </w:t>
      </w:r>
      <w:r>
        <w:rPr>
          <w:color w:val="231F20"/>
          <w:w w:val="120"/>
        </w:rPr>
        <w:t>celle des personnes qui la composent. Les valeurs économiques, sociales et émotionnelles,</w:t>
      </w:r>
      <w:r>
        <w:rPr>
          <w:color w:val="231F20"/>
          <w:spacing w:val="-4"/>
          <w:w w:val="120"/>
        </w:rPr>
        <w:t> </w:t>
      </w:r>
      <w:r>
        <w:rPr>
          <w:color w:val="231F20"/>
          <w:w w:val="120"/>
        </w:rPr>
        <w:t>entre</w:t>
      </w:r>
      <w:r>
        <w:rPr>
          <w:color w:val="231F20"/>
          <w:spacing w:val="-4"/>
          <w:w w:val="120"/>
        </w:rPr>
        <w:t> </w:t>
      </w:r>
      <w:r>
        <w:rPr>
          <w:color w:val="231F20"/>
          <w:w w:val="120"/>
        </w:rPr>
        <w:t>autres,</w:t>
      </w:r>
      <w:r>
        <w:rPr>
          <w:color w:val="231F20"/>
          <w:spacing w:val="-4"/>
          <w:w w:val="120"/>
        </w:rPr>
        <w:t> </w:t>
      </w:r>
      <w:r>
        <w:rPr>
          <w:color w:val="231F20"/>
          <w:w w:val="120"/>
        </w:rPr>
        <w:t>en</w:t>
      </w:r>
      <w:r>
        <w:rPr>
          <w:color w:val="231F20"/>
          <w:spacing w:val="-4"/>
          <w:w w:val="120"/>
        </w:rPr>
        <w:t> </w:t>
      </w:r>
      <w:r>
        <w:rPr>
          <w:color w:val="231F20"/>
          <w:w w:val="120"/>
        </w:rPr>
        <w:t>font</w:t>
      </w:r>
      <w:r>
        <w:rPr>
          <w:color w:val="231F20"/>
          <w:spacing w:val="-4"/>
          <w:w w:val="120"/>
        </w:rPr>
        <w:t> </w:t>
      </w:r>
      <w:r>
        <w:rPr>
          <w:color w:val="231F20"/>
          <w:w w:val="120"/>
        </w:rPr>
        <w:t>partie.</w:t>
      </w:r>
      <w:r>
        <w:rPr>
          <w:color w:val="231F20"/>
          <w:spacing w:val="-4"/>
          <w:w w:val="120"/>
        </w:rPr>
        <w:t> </w:t>
      </w:r>
      <w:r>
        <w:rPr>
          <w:color w:val="231F20"/>
          <w:w w:val="120"/>
        </w:rPr>
        <w:t>Mais</w:t>
      </w:r>
      <w:r>
        <w:rPr>
          <w:color w:val="231F20"/>
          <w:spacing w:val="-4"/>
          <w:w w:val="120"/>
        </w:rPr>
        <w:t> </w:t>
      </w:r>
      <w:r>
        <w:rPr>
          <w:color w:val="231F20"/>
          <w:w w:val="120"/>
        </w:rPr>
        <w:t>d’un</w:t>
      </w:r>
      <w:r>
        <w:rPr>
          <w:color w:val="231F20"/>
          <w:spacing w:val="-4"/>
          <w:w w:val="120"/>
        </w:rPr>
        <w:t> </w:t>
      </w:r>
      <w:r>
        <w:rPr>
          <w:color w:val="231F20"/>
          <w:w w:val="120"/>
        </w:rPr>
        <w:t>point</w:t>
      </w:r>
      <w:r>
        <w:rPr>
          <w:color w:val="231F20"/>
          <w:spacing w:val="-4"/>
          <w:w w:val="120"/>
        </w:rPr>
        <w:t> </w:t>
      </w:r>
      <w:r>
        <w:rPr>
          <w:color w:val="231F20"/>
          <w:w w:val="120"/>
        </w:rPr>
        <w:t>de</w:t>
      </w:r>
      <w:r>
        <w:rPr>
          <w:color w:val="231F20"/>
          <w:spacing w:val="-4"/>
          <w:w w:val="120"/>
        </w:rPr>
        <w:t> </w:t>
      </w:r>
      <w:r>
        <w:rPr>
          <w:color w:val="231F20"/>
          <w:w w:val="120"/>
        </w:rPr>
        <w:t>vue</w:t>
      </w:r>
      <w:r>
        <w:rPr>
          <w:color w:val="231F20"/>
          <w:spacing w:val="-4"/>
          <w:w w:val="120"/>
        </w:rPr>
        <w:t> </w:t>
      </w:r>
      <w:r>
        <w:rPr>
          <w:color w:val="231F20"/>
          <w:w w:val="120"/>
        </w:rPr>
        <w:t>sys- témique,</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2"/>
          <w:w w:val="120"/>
        </w:rPr>
        <w:t> </w:t>
      </w:r>
      <w:r>
        <w:rPr>
          <w:color w:val="231F20"/>
          <w:w w:val="120"/>
        </w:rPr>
        <w:t>d’une</w:t>
      </w:r>
      <w:r>
        <w:rPr>
          <w:color w:val="231F20"/>
          <w:spacing w:val="-13"/>
          <w:w w:val="120"/>
        </w:rPr>
        <w:t> </w:t>
      </w:r>
      <w:r>
        <w:rPr>
          <w:color w:val="231F20"/>
          <w:w w:val="120"/>
        </w:rPr>
        <w:t>société</w:t>
      </w:r>
      <w:r>
        <w:rPr>
          <w:color w:val="231F20"/>
          <w:spacing w:val="-13"/>
          <w:w w:val="120"/>
        </w:rPr>
        <w:t> </w:t>
      </w:r>
      <w:r>
        <w:rPr>
          <w:color w:val="231F20"/>
          <w:w w:val="120"/>
        </w:rPr>
        <w:t>dépend</w:t>
      </w:r>
      <w:r>
        <w:rPr>
          <w:color w:val="231F20"/>
          <w:spacing w:val="-13"/>
          <w:w w:val="120"/>
        </w:rPr>
        <w:t> </w:t>
      </w:r>
      <w:r>
        <w:rPr>
          <w:color w:val="231F20"/>
          <w:w w:val="120"/>
        </w:rPr>
        <w:t>de</w:t>
      </w:r>
      <w:r>
        <w:rPr>
          <w:color w:val="231F20"/>
          <w:spacing w:val="-12"/>
          <w:w w:val="120"/>
        </w:rPr>
        <w:t> </w:t>
      </w:r>
      <w:r>
        <w:rPr>
          <w:color w:val="231F20"/>
          <w:w w:val="120"/>
        </w:rPr>
        <w:t>celle</w:t>
      </w:r>
      <w:r>
        <w:rPr>
          <w:color w:val="231F20"/>
          <w:spacing w:val="-13"/>
          <w:w w:val="120"/>
        </w:rPr>
        <w:t> </w:t>
      </w:r>
      <w:r>
        <w:rPr>
          <w:color w:val="231F20"/>
          <w:w w:val="120"/>
        </w:rPr>
        <w:t>des</w:t>
      </w:r>
      <w:r>
        <w:rPr>
          <w:color w:val="231F20"/>
          <w:spacing w:val="-13"/>
          <w:w w:val="120"/>
        </w:rPr>
        <w:t> </w:t>
      </w:r>
      <w:r>
        <w:rPr>
          <w:color w:val="231F20"/>
          <w:w w:val="120"/>
        </w:rPr>
        <w:t>organisations qui la composent et des membres de ces organisations (figure 4.5).</w:t>
      </w:r>
    </w:p>
    <w:p>
      <w:pPr>
        <w:pStyle w:val="BodyText"/>
        <w:rPr>
          <w:sz w:val="20"/>
        </w:rPr>
      </w:pPr>
    </w:p>
    <w:p>
      <w:pPr>
        <w:pStyle w:val="BodyText"/>
        <w:spacing w:before="4"/>
        <w:rPr>
          <w:sz w:val="12"/>
        </w:rPr>
      </w:pPr>
      <w:r>
        <w:rPr/>
        <w:pict>
          <v:shape style="position:absolute;margin-left:82pt;margin-top:8.335254pt;width:287.5pt;height:.1pt;mso-position-horizontal-relative:page;mso-position-vertical-relative:paragraph;z-index:-15640576;mso-wrap-distance-left:0;mso-wrap-distance-right:0" id="docshape978" coordorigin="1640,167" coordsize="5750,0" path="m1640,167l7390,167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95" w:lineRule="auto" w:before="135" w:after="0"/>
        <w:ind w:left="1219" w:right="108" w:hanging="406"/>
        <w:jc w:val="left"/>
        <w:rPr>
          <w:rFonts w:ascii="Arial"/>
          <w:sz w:val="12"/>
        </w:rPr>
      </w:pPr>
      <w:r>
        <w:rPr>
          <w:rFonts w:ascii="Arial"/>
          <w:color w:val="231F20"/>
          <w:sz w:val="12"/>
        </w:rPr>
        <w:t>Pierce, J. L. et Gardner, D. G. (2004). Self-esteem within the work and organizational context: A review of</w:t>
      </w:r>
      <w:r>
        <w:rPr>
          <w:rFonts w:ascii="Arial"/>
          <w:color w:val="231F20"/>
          <w:spacing w:val="40"/>
          <w:sz w:val="12"/>
        </w:rPr>
        <w:t> </w:t>
      </w:r>
      <w:r>
        <w:rPr>
          <w:rFonts w:ascii="Arial"/>
          <w:color w:val="231F20"/>
          <w:sz w:val="12"/>
        </w:rPr>
        <w:t>the organization-based self-esteem literature, </w:t>
      </w:r>
      <w:r>
        <w:rPr>
          <w:rFonts w:ascii="Arial"/>
          <w:i/>
          <w:color w:val="231F20"/>
          <w:sz w:val="12"/>
        </w:rPr>
        <w:t>Journal of Management</w:t>
      </w:r>
      <w:r>
        <w:rPr>
          <w:rFonts w:ascii="Arial"/>
          <w:color w:val="231F20"/>
          <w:sz w:val="12"/>
        </w:rPr>
        <w:t>, </w:t>
      </w:r>
      <w:r>
        <w:rPr>
          <w:rFonts w:ascii="Arial"/>
          <w:i/>
          <w:color w:val="231F20"/>
          <w:sz w:val="12"/>
        </w:rPr>
        <w:t>30</w:t>
      </w:r>
      <w:r>
        <w:rPr>
          <w:rFonts w:ascii="Arial"/>
          <w:color w:val="231F20"/>
          <w:sz w:val="12"/>
        </w:rPr>
        <w:t>, 591-622.</w:t>
      </w:r>
    </w:p>
    <w:p>
      <w:pPr>
        <w:spacing w:after="0" w:line="295" w:lineRule="auto"/>
        <w:jc w:val="left"/>
        <w:rPr>
          <w:rFonts w:ascii="Arial"/>
          <w:sz w:val="12"/>
        </w:rPr>
        <w:sectPr>
          <w:footerReference w:type="default" r:id="rId268"/>
          <w:pgSz w:w="8640" w:h="12960"/>
          <w:pgMar w:footer="424" w:header="0" w:top="500" w:bottom="620" w:left="420" w:right="1140"/>
        </w:sectPr>
      </w:pPr>
    </w:p>
    <w:p>
      <w:pPr>
        <w:spacing w:before="103"/>
        <w:ind w:left="1028" w:right="698" w:firstLine="0"/>
        <w:jc w:val="center"/>
        <w:rPr>
          <w:rFonts w:ascii="Arial" w:hAnsi="Arial"/>
          <w:sz w:val="14"/>
        </w:rPr>
      </w:pPr>
      <w:bookmarkStart w:name="Figure 4.5 / Vision systémique de l’esti" w:id="157"/>
      <w:bookmarkEnd w:id="157"/>
      <w:r>
        <w:rPr/>
      </w:r>
      <w:bookmarkStart w:name="_bookmark69" w:id="158"/>
      <w:bookmarkEnd w:id="158"/>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3"/>
        <w:rPr>
          <w:rFonts w:ascii="Arial"/>
          <w:sz w:val="29"/>
        </w:rPr>
      </w:pPr>
      <w:r>
        <w:rPr/>
        <w:pict>
          <v:group style="position:absolute;margin-left:62.5pt;margin-top:18.051661pt;width:287.5pt;height:174.8pt;mso-position-horizontal-relative:page;mso-position-vertical-relative:paragraph;z-index:-15640064;mso-wrap-distance-left:0;mso-wrap-distance-right:0" id="docshapegroup980" coordorigin="1250,361" coordsize="5750,3496">
            <v:shape style="position:absolute;left:1250;top:361;width:5750;height:3496" id="docshape981" coordorigin="1250,361" coordsize="5750,3496" path="m7000,361l1250,361,1250,906,1250,1066,1250,3856,7000,3856,7000,1066,7000,906,7000,361xe" filled="true" fillcolor="#e2e3e4" stroked="false">
              <v:path arrowok="t"/>
              <v:fill type="solid"/>
            </v:shape>
            <v:shape style="position:absolute;left:3038;top:998;width:2173;height:2571" id="docshape982" coordorigin="3039,999" coordsize="2173,2571" path="m4125,999l4056,1001,3989,1009,3922,1021,3858,1038,3794,1060,3732,1085,3672,1115,3614,1150,3558,1187,3504,1229,3453,1274,3404,1323,3357,1375,3313,1431,3272,1489,3233,1550,3198,1614,3166,1680,3137,1749,3112,1820,3090,1893,3072,1968,3058,2044,3047,2123,3041,2203,3039,2284,3041,2365,3047,2445,3058,2524,3072,2600,3090,2675,3112,2749,3137,2819,3166,2888,3198,2954,3233,3018,3272,3079,3313,3138,3357,3193,3404,3245,3453,3294,3504,3339,3558,3381,3614,3419,3672,3453,3732,3483,3794,3508,3858,3530,3922,3547,3989,3559,4056,3567,4125,3569,4194,3567,4261,3559,4328,3547,4392,3530,4456,3508,4518,3483,4578,3453,4636,3419,4692,3381,4746,3339,4797,3294,4846,3245,4893,3193,4937,3138,4978,3079,5017,3018,5052,2954,5084,2888,5113,2819,5138,2749,5160,2675,5178,2600,5192,2524,5203,2445,5209,2365,5211,2284,5209,2203,5203,2123,5192,2044,5178,1968,5160,1893,5138,1820,5113,1749,5084,1680,5052,1614,5017,1550,4978,1489,4937,1431,4893,1375,4846,1323,4797,1274,4746,1229,4692,1187,4636,1150,4578,1115,4518,1085,4456,1060,4392,1038,4328,1021,4261,1009,4194,1001,4125,999xe" filled="true" fillcolor="#c7c8ca" stroked="false">
              <v:path arrowok="t"/>
              <v:fill type="solid"/>
            </v:shape>
            <v:shape style="position:absolute;left:3225;top:1722;width:1800;height:1691" id="docshape983" coordorigin="3225,1722" coordsize="1800,1691" path="m4125,1722l4047,1726,3972,1735,3898,1750,3827,1770,3758,1796,3692,1827,3630,1862,3571,1902,3515,1946,3464,1995,3417,2047,3374,2102,3336,2161,3304,2223,3276,2287,3254,2354,3239,2424,3229,2495,3225,2568,3229,2641,3239,2712,3254,2781,3276,2848,3304,2913,3336,2975,3374,3033,3417,3089,3464,3141,3515,3189,3571,3234,3630,3274,3692,3309,3758,3340,3827,3366,3898,3386,3972,3401,4047,3410,4125,3413,4203,3410,4278,3401,4352,3386,4423,3366,4492,3340,4558,3309,4620,3274,4679,3234,4735,3189,4786,3141,4833,3089,4876,3033,4914,2975,4946,2913,4974,2848,4996,2781,5011,2712,5021,2641,5025,2568,5021,2495,5011,2424,4996,2354,4974,2287,4946,2223,4914,2161,4876,2102,4833,2047,4786,1995,4735,1946,4679,1902,4620,1862,4558,1827,4492,1796,4423,1770,4352,1750,4278,1735,4203,1726,4125,1722xe" filled="true" fillcolor="#939598" stroked="false">
              <v:path arrowok="t"/>
              <v:fill type="solid"/>
            </v:shape>
            <v:shape style="position:absolute;left:3456;top:2416;width:1338;height:830" id="docshape984" coordorigin="3456,2417" coordsize="1338,830" path="m4125,2417l4034,2420,3947,2431,3865,2449,3787,2473,3716,2503,3652,2538,3596,2578,3547,2622,3509,2670,3462,2775,3456,2831,3462,2888,3509,2993,3547,3041,3596,3085,3652,3125,3716,3160,3787,3190,3865,3214,3947,3232,4034,3243,4125,3246,4216,3243,4303,3232,4385,3214,4463,3190,4534,3160,4598,3125,4654,3085,4703,3041,4741,2993,4788,2888,4794,2831,4788,2775,4741,2670,4703,2622,4654,2578,4598,2538,4534,2503,4463,2473,4385,2449,4303,2431,4216,2420,4125,2417xe" filled="true" fillcolor="#636466" stroked="false">
              <v:path arrowok="t"/>
              <v:fill type="solid"/>
            </v:shape>
            <v:shape style="position:absolute;left:4045;top:1601;width:160;height:241" type="#_x0000_t75" id="docshape985" stroked="false">
              <v:imagedata r:id="rId271" o:title=""/>
            </v:shape>
            <v:shape style="position:absolute;left:4045;top:2296;width:160;height:241" type="#_x0000_t75" id="docshape986" stroked="false">
              <v:imagedata r:id="rId271" o:title=""/>
            </v:shape>
            <v:shape style="position:absolute;left:1250;top:361;width:5750;height:3496" type="#_x0000_t202" id="docshape987" filled="false" stroked="false">
              <v:textbox inset="0,0,0,0">
                <w:txbxContent>
                  <w:p>
                    <w:pPr>
                      <w:spacing w:before="215"/>
                      <w:ind w:left="25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4.5</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9"/>
                        <w:sz w:val="17"/>
                      </w:rPr>
                      <w:t> </w:t>
                    </w:r>
                    <w:r>
                      <w:rPr>
                        <w:rFonts w:ascii="Arial" w:hAnsi="Arial"/>
                        <w:b/>
                        <w:color w:val="231F20"/>
                        <w:w w:val="95"/>
                        <w:sz w:val="17"/>
                      </w:rPr>
                      <w:t>Vision</w:t>
                    </w:r>
                    <w:r>
                      <w:rPr>
                        <w:rFonts w:ascii="Arial" w:hAnsi="Arial"/>
                        <w:b/>
                        <w:color w:val="231F20"/>
                        <w:spacing w:val="-2"/>
                        <w:w w:val="95"/>
                        <w:sz w:val="17"/>
                      </w:rPr>
                      <w:t> </w:t>
                    </w:r>
                    <w:r>
                      <w:rPr>
                        <w:rFonts w:ascii="Arial" w:hAnsi="Arial"/>
                        <w:b/>
                        <w:color w:val="231F20"/>
                        <w:w w:val="95"/>
                        <w:sz w:val="17"/>
                      </w:rPr>
                      <w:t>systémique</w:t>
                    </w:r>
                    <w:r>
                      <w:rPr>
                        <w:rFonts w:ascii="Arial" w:hAnsi="Arial"/>
                        <w:b/>
                        <w:color w:val="231F20"/>
                        <w:spacing w:val="-2"/>
                        <w:w w:val="95"/>
                        <w:sz w:val="17"/>
                      </w:rPr>
                      <w:t> </w:t>
                    </w:r>
                    <w:r>
                      <w:rPr>
                        <w:rFonts w:ascii="Arial" w:hAnsi="Arial"/>
                        <w:b/>
                        <w:color w:val="231F20"/>
                        <w:w w:val="95"/>
                        <w:sz w:val="17"/>
                      </w:rPr>
                      <w:t>de</w:t>
                    </w:r>
                    <w:r>
                      <w:rPr>
                        <w:rFonts w:ascii="Arial" w:hAnsi="Arial"/>
                        <w:b/>
                        <w:color w:val="231F20"/>
                        <w:spacing w:val="-3"/>
                        <w:w w:val="95"/>
                        <w:sz w:val="17"/>
                      </w:rPr>
                      <w:t> </w:t>
                    </w:r>
                    <w:r>
                      <w:rPr>
                        <w:rFonts w:ascii="Arial" w:hAnsi="Arial"/>
                        <w:b/>
                        <w:color w:val="231F20"/>
                        <w:w w:val="95"/>
                        <w:sz w:val="17"/>
                      </w:rPr>
                      <w:t>l’estime</w:t>
                    </w:r>
                    <w:r>
                      <w:rPr>
                        <w:rFonts w:ascii="Arial" w:hAnsi="Arial"/>
                        <w:b/>
                        <w:color w:val="231F20"/>
                        <w:spacing w:val="-2"/>
                        <w:w w:val="95"/>
                        <w:sz w:val="17"/>
                      </w:rPr>
                      <w:t> </w:t>
                    </w:r>
                    <w:r>
                      <w:rPr>
                        <w:rFonts w:ascii="Arial" w:hAnsi="Arial"/>
                        <w:b/>
                        <w:color w:val="231F20"/>
                        <w:w w:val="95"/>
                        <w:sz w:val="17"/>
                      </w:rPr>
                      <w:t>de</w:t>
                    </w:r>
                    <w:r>
                      <w:rPr>
                        <w:rFonts w:ascii="Arial" w:hAnsi="Arial"/>
                        <w:b/>
                        <w:color w:val="231F20"/>
                        <w:spacing w:val="-2"/>
                        <w:w w:val="95"/>
                        <w:sz w:val="17"/>
                      </w:rPr>
                      <w:t> </w:t>
                    </w:r>
                    <w:r>
                      <w:rPr>
                        <w:rFonts w:ascii="Arial" w:hAnsi="Arial"/>
                        <w:b/>
                        <w:color w:val="231F20"/>
                        <w:spacing w:val="-5"/>
                        <w:w w:val="95"/>
                        <w:sz w:val="17"/>
                      </w:rPr>
                      <w:t>soi</w:t>
                    </w:r>
                  </w:p>
                  <w:p>
                    <w:pPr>
                      <w:spacing w:line="240" w:lineRule="auto" w:before="0"/>
                      <w:rPr>
                        <w:rFonts w:ascii="Arial"/>
                        <w:b/>
                        <w:sz w:val="24"/>
                      </w:rPr>
                    </w:pPr>
                  </w:p>
                  <w:p>
                    <w:pPr>
                      <w:spacing w:line="249" w:lineRule="auto" w:before="152"/>
                      <w:ind w:left="2470" w:right="2468" w:firstLine="0"/>
                      <w:jc w:val="center"/>
                      <w:rPr>
                        <w:rFonts w:ascii="Arial"/>
                        <w:sz w:val="15"/>
                      </w:rPr>
                    </w:pPr>
                    <w:r>
                      <w:rPr>
                        <w:rFonts w:ascii="Arial"/>
                        <w:color w:val="231F20"/>
                        <w:w w:val="90"/>
                        <w:sz w:val="15"/>
                      </w:rPr>
                      <w:t>Estime</w:t>
                    </w:r>
                    <w:r>
                      <w:rPr>
                        <w:rFonts w:ascii="Arial"/>
                        <w:color w:val="231F20"/>
                        <w:spacing w:val="-9"/>
                        <w:w w:val="90"/>
                        <w:sz w:val="15"/>
                      </w:rPr>
                      <w:t> </w:t>
                    </w:r>
                    <w:r>
                      <w:rPr>
                        <w:rFonts w:ascii="Arial"/>
                        <w:color w:val="231F20"/>
                        <w:w w:val="90"/>
                        <w:sz w:val="15"/>
                      </w:rPr>
                      <w:t>de</w:t>
                    </w:r>
                    <w:r>
                      <w:rPr>
                        <w:rFonts w:ascii="Arial"/>
                        <w:color w:val="231F20"/>
                        <w:spacing w:val="-9"/>
                        <w:w w:val="90"/>
                        <w:sz w:val="15"/>
                      </w:rPr>
                      <w:t> </w:t>
                    </w:r>
                    <w:r>
                      <w:rPr>
                        <w:rFonts w:ascii="Arial"/>
                        <w:color w:val="231F20"/>
                        <w:w w:val="90"/>
                        <w:sz w:val="15"/>
                      </w:rPr>
                      <w:t>soi</w:t>
                    </w:r>
                    <w:r>
                      <w:rPr>
                        <w:rFonts w:ascii="Arial"/>
                        <w:color w:val="231F20"/>
                        <w:sz w:val="15"/>
                      </w:rPr>
                      <w:t> </w:t>
                    </w:r>
                    <w:r>
                      <w:rPr>
                        <w:rFonts w:ascii="Arial"/>
                        <w:color w:val="231F20"/>
                        <w:spacing w:val="-2"/>
                        <w:sz w:val="15"/>
                      </w:rPr>
                      <w:t>sociale</w:t>
                    </w:r>
                  </w:p>
                  <w:p>
                    <w:pPr>
                      <w:spacing w:line="240" w:lineRule="auto" w:before="0"/>
                      <w:rPr>
                        <w:rFonts w:ascii="Arial"/>
                        <w:sz w:val="18"/>
                      </w:rPr>
                    </w:pPr>
                  </w:p>
                  <w:p>
                    <w:pPr>
                      <w:spacing w:line="249" w:lineRule="auto" w:before="131"/>
                      <w:ind w:left="2344" w:right="2343" w:hanging="1"/>
                      <w:jc w:val="center"/>
                      <w:rPr>
                        <w:rFonts w:ascii="Arial"/>
                        <w:sz w:val="15"/>
                      </w:rPr>
                    </w:pPr>
                    <w:r>
                      <w:rPr>
                        <w:rFonts w:ascii="Arial"/>
                        <w:color w:val="231F20"/>
                        <w:sz w:val="15"/>
                      </w:rPr>
                      <w:t>Estime</w:t>
                    </w:r>
                    <w:r>
                      <w:rPr>
                        <w:rFonts w:ascii="Arial"/>
                        <w:color w:val="231F20"/>
                        <w:spacing w:val="-5"/>
                        <w:sz w:val="15"/>
                      </w:rPr>
                      <w:t> </w:t>
                    </w:r>
                    <w:r>
                      <w:rPr>
                        <w:rFonts w:ascii="Arial"/>
                        <w:color w:val="231F20"/>
                        <w:sz w:val="15"/>
                      </w:rPr>
                      <w:t>de</w:t>
                    </w:r>
                    <w:r>
                      <w:rPr>
                        <w:rFonts w:ascii="Arial"/>
                        <w:color w:val="231F20"/>
                        <w:spacing w:val="-5"/>
                        <w:sz w:val="15"/>
                      </w:rPr>
                      <w:t> </w:t>
                    </w:r>
                    <w:r>
                      <w:rPr>
                        <w:rFonts w:ascii="Arial"/>
                        <w:color w:val="231F20"/>
                        <w:sz w:val="15"/>
                      </w:rPr>
                      <w:t>soi </w:t>
                    </w:r>
                    <w:r>
                      <w:rPr>
                        <w:rFonts w:ascii="Arial"/>
                        <w:color w:val="231F20"/>
                        <w:spacing w:val="-2"/>
                        <w:w w:val="90"/>
                        <w:sz w:val="15"/>
                      </w:rPr>
                      <w:t>organisationnelle</w:t>
                    </w:r>
                  </w:p>
                  <w:p>
                    <w:pPr>
                      <w:spacing w:line="240" w:lineRule="auto" w:before="0"/>
                      <w:rPr>
                        <w:rFonts w:ascii="Arial"/>
                        <w:sz w:val="18"/>
                      </w:rPr>
                    </w:pPr>
                  </w:p>
                  <w:p>
                    <w:pPr>
                      <w:spacing w:line="240" w:lineRule="auto" w:before="9"/>
                      <w:rPr>
                        <w:rFonts w:ascii="Arial"/>
                        <w:sz w:val="16"/>
                      </w:rPr>
                    </w:pPr>
                  </w:p>
                  <w:p>
                    <w:pPr>
                      <w:spacing w:line="249" w:lineRule="auto" w:before="0"/>
                      <w:ind w:left="2470" w:right="2468" w:firstLine="0"/>
                      <w:jc w:val="center"/>
                      <w:rPr>
                        <w:rFonts w:ascii="Arial"/>
                        <w:sz w:val="15"/>
                      </w:rPr>
                    </w:pPr>
                    <w:r>
                      <w:rPr>
                        <w:rFonts w:ascii="Arial"/>
                        <w:color w:val="FFFFFF"/>
                        <w:w w:val="90"/>
                        <w:sz w:val="15"/>
                      </w:rPr>
                      <w:t>Estime</w:t>
                    </w:r>
                    <w:r>
                      <w:rPr>
                        <w:rFonts w:ascii="Arial"/>
                        <w:color w:val="FFFFFF"/>
                        <w:spacing w:val="-9"/>
                        <w:w w:val="90"/>
                        <w:sz w:val="15"/>
                      </w:rPr>
                      <w:t> </w:t>
                    </w:r>
                    <w:r>
                      <w:rPr>
                        <w:rFonts w:ascii="Arial"/>
                        <w:color w:val="FFFFFF"/>
                        <w:w w:val="90"/>
                        <w:sz w:val="15"/>
                      </w:rPr>
                      <w:t>de</w:t>
                    </w:r>
                    <w:r>
                      <w:rPr>
                        <w:rFonts w:ascii="Arial"/>
                        <w:color w:val="FFFFFF"/>
                        <w:spacing w:val="-9"/>
                        <w:w w:val="90"/>
                        <w:sz w:val="15"/>
                      </w:rPr>
                      <w:t> </w:t>
                    </w:r>
                    <w:r>
                      <w:rPr>
                        <w:rFonts w:ascii="Arial"/>
                        <w:color w:val="FFFFFF"/>
                        <w:w w:val="90"/>
                        <w:sz w:val="15"/>
                      </w:rPr>
                      <w:t>soi</w:t>
                    </w:r>
                    <w:r>
                      <w:rPr>
                        <w:rFonts w:ascii="Arial"/>
                        <w:color w:val="FFFFFF"/>
                        <w:sz w:val="15"/>
                      </w:rPr>
                      <w:t> </w:t>
                    </w:r>
                    <w:r>
                      <w:rPr>
                        <w:rFonts w:ascii="Arial"/>
                        <w:color w:val="FFFFFF"/>
                        <w:spacing w:val="-2"/>
                        <w:sz w:val="15"/>
                      </w:rPr>
                      <w:t>personnelle</w:t>
                    </w:r>
                  </w:p>
                </w:txbxContent>
              </v:textbox>
              <w10:wrap type="none"/>
            </v:shape>
            <w10:wrap type="topAndBottom"/>
          </v:group>
        </w:pict>
      </w:r>
    </w:p>
    <w:p>
      <w:pPr>
        <w:pStyle w:val="BodyText"/>
        <w:spacing w:before="5"/>
        <w:rPr>
          <w:rFonts w:ascii="Arial"/>
          <w:sz w:val="14"/>
        </w:rPr>
      </w:pPr>
    </w:p>
    <w:p>
      <w:pPr>
        <w:pStyle w:val="BodyText"/>
        <w:spacing w:line="307" w:lineRule="auto" w:before="145"/>
        <w:ind w:left="830" w:right="494"/>
        <w:jc w:val="both"/>
      </w:pPr>
      <w:r>
        <w:rPr>
          <w:color w:val="231F20"/>
          <w:w w:val="115"/>
        </w:rPr>
        <w:t>Après</w:t>
      </w:r>
      <w:r>
        <w:rPr>
          <w:color w:val="231F20"/>
          <w:spacing w:val="-1"/>
          <w:w w:val="115"/>
        </w:rPr>
        <w:t> </w:t>
      </w:r>
      <w:r>
        <w:rPr>
          <w:color w:val="231F20"/>
          <w:w w:val="115"/>
        </w:rPr>
        <w:t>des</w:t>
      </w:r>
      <w:r>
        <w:rPr>
          <w:color w:val="231F20"/>
          <w:spacing w:val="-1"/>
          <w:w w:val="115"/>
        </w:rPr>
        <w:t> </w:t>
      </w:r>
      <w:r>
        <w:rPr>
          <w:color w:val="231F20"/>
          <w:w w:val="115"/>
        </w:rPr>
        <w:t>décennies</w:t>
      </w:r>
      <w:r>
        <w:rPr>
          <w:color w:val="231F20"/>
          <w:spacing w:val="-1"/>
          <w:w w:val="115"/>
        </w:rPr>
        <w:t> </w:t>
      </w:r>
      <w:r>
        <w:rPr>
          <w:color w:val="231F20"/>
          <w:w w:val="115"/>
        </w:rPr>
        <w:t>d’efforts</w:t>
      </w:r>
      <w:r>
        <w:rPr>
          <w:color w:val="231F20"/>
          <w:spacing w:val="-1"/>
          <w:w w:val="115"/>
        </w:rPr>
        <w:t> </w:t>
      </w:r>
      <w:r>
        <w:rPr>
          <w:color w:val="231F20"/>
          <w:w w:val="115"/>
        </w:rPr>
        <w:t>pour</w:t>
      </w:r>
      <w:r>
        <w:rPr>
          <w:color w:val="231F20"/>
          <w:spacing w:val="-1"/>
          <w:w w:val="115"/>
        </w:rPr>
        <w:t> </w:t>
      </w:r>
      <w:r>
        <w:rPr>
          <w:color w:val="231F20"/>
          <w:w w:val="115"/>
        </w:rPr>
        <w:t>assurer</w:t>
      </w:r>
      <w:r>
        <w:rPr>
          <w:color w:val="231F20"/>
          <w:spacing w:val="-1"/>
          <w:w w:val="115"/>
        </w:rPr>
        <w:t> </w:t>
      </w:r>
      <w:r>
        <w:rPr>
          <w:color w:val="231F20"/>
          <w:w w:val="115"/>
        </w:rPr>
        <w:t>l’efficience</w:t>
      </w:r>
      <w:r>
        <w:rPr>
          <w:color w:val="231F20"/>
          <w:spacing w:val="-1"/>
          <w:w w:val="115"/>
        </w:rPr>
        <w:t> </w:t>
      </w:r>
      <w:r>
        <w:rPr>
          <w:color w:val="231F20"/>
          <w:w w:val="115"/>
        </w:rPr>
        <w:t>des</w:t>
      </w:r>
      <w:r>
        <w:rPr>
          <w:color w:val="231F20"/>
          <w:spacing w:val="-1"/>
          <w:w w:val="115"/>
        </w:rPr>
        <w:t> </w:t>
      </w:r>
      <w:r>
        <w:rPr>
          <w:color w:val="231F20"/>
          <w:w w:val="115"/>
        </w:rPr>
        <w:t>organisations, </w:t>
      </w:r>
      <w:r>
        <w:rPr>
          <w:color w:val="231F20"/>
          <w:w w:val="120"/>
        </w:rPr>
        <w:t>nous</w:t>
      </w:r>
      <w:r>
        <w:rPr>
          <w:color w:val="231F20"/>
          <w:spacing w:val="-13"/>
          <w:w w:val="120"/>
        </w:rPr>
        <w:t> </w:t>
      </w:r>
      <w:r>
        <w:rPr>
          <w:color w:val="231F20"/>
          <w:w w:val="120"/>
        </w:rPr>
        <w:t>avons</w:t>
      </w:r>
      <w:r>
        <w:rPr>
          <w:color w:val="231F20"/>
          <w:spacing w:val="-13"/>
          <w:w w:val="120"/>
        </w:rPr>
        <w:t> </w:t>
      </w:r>
      <w:r>
        <w:rPr>
          <w:color w:val="231F20"/>
          <w:w w:val="120"/>
        </w:rPr>
        <w:t>atteint</w:t>
      </w:r>
      <w:r>
        <w:rPr>
          <w:color w:val="231F20"/>
          <w:spacing w:val="-13"/>
          <w:w w:val="120"/>
        </w:rPr>
        <w:t> </w:t>
      </w:r>
      <w:r>
        <w:rPr>
          <w:color w:val="231F20"/>
          <w:w w:val="120"/>
        </w:rPr>
        <w:t>le</w:t>
      </w:r>
      <w:r>
        <w:rPr>
          <w:color w:val="231F20"/>
          <w:spacing w:val="-12"/>
          <w:w w:val="120"/>
        </w:rPr>
        <w:t> </w:t>
      </w:r>
      <w:r>
        <w:rPr>
          <w:color w:val="231F20"/>
          <w:w w:val="120"/>
        </w:rPr>
        <w:t>stade</w:t>
      </w:r>
      <w:r>
        <w:rPr>
          <w:color w:val="231F20"/>
          <w:spacing w:val="-13"/>
          <w:w w:val="120"/>
        </w:rPr>
        <w:t> </w:t>
      </w:r>
      <w:r>
        <w:rPr>
          <w:color w:val="231F20"/>
          <w:w w:val="120"/>
        </w:rPr>
        <w:t>où</w:t>
      </w:r>
      <w:r>
        <w:rPr>
          <w:color w:val="231F20"/>
          <w:spacing w:val="-13"/>
          <w:w w:val="120"/>
        </w:rPr>
        <w:t> </w:t>
      </w:r>
      <w:r>
        <w:rPr>
          <w:color w:val="231F20"/>
          <w:w w:val="120"/>
        </w:rPr>
        <w:t>il</w:t>
      </w:r>
      <w:r>
        <w:rPr>
          <w:color w:val="231F20"/>
          <w:spacing w:val="-13"/>
          <w:w w:val="120"/>
        </w:rPr>
        <w:t> </w:t>
      </w:r>
      <w:r>
        <w:rPr>
          <w:color w:val="231F20"/>
          <w:w w:val="120"/>
        </w:rPr>
        <w:t>nous</w:t>
      </w:r>
      <w:r>
        <w:rPr>
          <w:color w:val="231F20"/>
          <w:spacing w:val="-12"/>
          <w:w w:val="120"/>
        </w:rPr>
        <w:t> </w:t>
      </w:r>
      <w:r>
        <w:rPr>
          <w:color w:val="231F20"/>
          <w:w w:val="120"/>
        </w:rPr>
        <w:t>faut</w:t>
      </w:r>
      <w:r>
        <w:rPr>
          <w:color w:val="231F20"/>
          <w:spacing w:val="-13"/>
          <w:w w:val="120"/>
        </w:rPr>
        <w:t> </w:t>
      </w:r>
      <w:r>
        <w:rPr>
          <w:color w:val="231F20"/>
          <w:w w:val="120"/>
        </w:rPr>
        <w:t>avouer</w:t>
      </w:r>
      <w:r>
        <w:rPr>
          <w:color w:val="231F20"/>
          <w:spacing w:val="-13"/>
          <w:w w:val="120"/>
        </w:rPr>
        <w:t> </w:t>
      </w:r>
      <w:r>
        <w:rPr>
          <w:color w:val="231F20"/>
          <w:w w:val="120"/>
        </w:rPr>
        <w:t>que</w:t>
      </w:r>
      <w:r>
        <w:rPr>
          <w:color w:val="231F20"/>
          <w:spacing w:val="-13"/>
          <w:w w:val="120"/>
        </w:rPr>
        <w:t> </w:t>
      </w:r>
      <w:r>
        <w:rPr>
          <w:color w:val="231F20"/>
          <w:w w:val="120"/>
        </w:rPr>
        <w:t>cette</w:t>
      </w:r>
      <w:r>
        <w:rPr>
          <w:color w:val="231F20"/>
          <w:spacing w:val="-12"/>
          <w:w w:val="120"/>
        </w:rPr>
        <w:t> </w:t>
      </w:r>
      <w:r>
        <w:rPr>
          <w:color w:val="231F20"/>
          <w:w w:val="120"/>
        </w:rPr>
        <w:t>tâche</w:t>
      </w:r>
      <w:r>
        <w:rPr>
          <w:color w:val="231F20"/>
          <w:spacing w:val="-13"/>
          <w:w w:val="120"/>
        </w:rPr>
        <w:t> </w:t>
      </w:r>
      <w:r>
        <w:rPr>
          <w:color w:val="231F20"/>
          <w:w w:val="120"/>
        </w:rPr>
        <w:t>n’a</w:t>
      </w:r>
      <w:r>
        <w:rPr>
          <w:color w:val="231F20"/>
          <w:spacing w:val="-13"/>
          <w:w w:val="120"/>
        </w:rPr>
        <w:t> </w:t>
      </w:r>
      <w:r>
        <w:rPr>
          <w:color w:val="231F20"/>
          <w:w w:val="120"/>
        </w:rPr>
        <w:t>rien de facile. Mais avant d’admettre la futilité des efforts consentis par le </w:t>
      </w:r>
      <w:r>
        <w:rPr>
          <w:color w:val="231F20"/>
          <w:spacing w:val="-2"/>
          <w:w w:val="120"/>
        </w:rPr>
        <w:t>passé,</w:t>
      </w:r>
      <w:r>
        <w:rPr>
          <w:color w:val="231F20"/>
          <w:spacing w:val="-6"/>
          <w:w w:val="120"/>
        </w:rPr>
        <w:t> </w:t>
      </w:r>
      <w:r>
        <w:rPr>
          <w:color w:val="231F20"/>
          <w:spacing w:val="-2"/>
          <w:w w:val="120"/>
        </w:rPr>
        <w:t>nous</w:t>
      </w:r>
      <w:r>
        <w:rPr>
          <w:color w:val="231F20"/>
          <w:spacing w:val="-6"/>
          <w:w w:val="120"/>
        </w:rPr>
        <w:t> </w:t>
      </w:r>
      <w:r>
        <w:rPr>
          <w:color w:val="231F20"/>
          <w:spacing w:val="-2"/>
          <w:w w:val="120"/>
        </w:rPr>
        <w:t>devons</w:t>
      </w:r>
      <w:r>
        <w:rPr>
          <w:color w:val="231F20"/>
          <w:spacing w:val="-6"/>
          <w:w w:val="120"/>
        </w:rPr>
        <w:t> </w:t>
      </w:r>
      <w:r>
        <w:rPr>
          <w:color w:val="231F20"/>
          <w:spacing w:val="-2"/>
          <w:w w:val="120"/>
        </w:rPr>
        <w:t>examiner</w:t>
      </w:r>
      <w:r>
        <w:rPr>
          <w:color w:val="231F20"/>
          <w:spacing w:val="-6"/>
          <w:w w:val="120"/>
        </w:rPr>
        <w:t> </w:t>
      </w:r>
      <w:r>
        <w:rPr>
          <w:color w:val="231F20"/>
          <w:spacing w:val="-2"/>
          <w:w w:val="120"/>
        </w:rPr>
        <w:t>les</w:t>
      </w:r>
      <w:r>
        <w:rPr>
          <w:color w:val="231F20"/>
          <w:spacing w:val="-6"/>
          <w:w w:val="120"/>
        </w:rPr>
        <w:t> </w:t>
      </w:r>
      <w:r>
        <w:rPr>
          <w:color w:val="231F20"/>
          <w:spacing w:val="-2"/>
          <w:w w:val="120"/>
        </w:rPr>
        <w:t>paradigmes</w:t>
      </w:r>
      <w:r>
        <w:rPr>
          <w:color w:val="231F20"/>
          <w:spacing w:val="-6"/>
          <w:w w:val="120"/>
        </w:rPr>
        <w:t> </w:t>
      </w:r>
      <w:r>
        <w:rPr>
          <w:color w:val="231F20"/>
          <w:spacing w:val="-2"/>
          <w:w w:val="120"/>
        </w:rPr>
        <w:t>et</w:t>
      </w:r>
      <w:r>
        <w:rPr>
          <w:color w:val="231F20"/>
          <w:spacing w:val="-6"/>
          <w:w w:val="120"/>
        </w:rPr>
        <w:t> </w:t>
      </w:r>
      <w:r>
        <w:rPr>
          <w:color w:val="231F20"/>
          <w:spacing w:val="-2"/>
          <w:w w:val="120"/>
        </w:rPr>
        <w:t>les</w:t>
      </w:r>
      <w:r>
        <w:rPr>
          <w:color w:val="231F20"/>
          <w:spacing w:val="-6"/>
          <w:w w:val="120"/>
        </w:rPr>
        <w:t> </w:t>
      </w:r>
      <w:r>
        <w:rPr>
          <w:color w:val="231F20"/>
          <w:spacing w:val="-2"/>
          <w:w w:val="120"/>
        </w:rPr>
        <w:t>outils</w:t>
      </w:r>
      <w:r>
        <w:rPr>
          <w:color w:val="231F20"/>
          <w:spacing w:val="-6"/>
          <w:w w:val="120"/>
        </w:rPr>
        <w:t> </w:t>
      </w:r>
      <w:r>
        <w:rPr>
          <w:color w:val="231F20"/>
          <w:spacing w:val="-2"/>
          <w:w w:val="120"/>
        </w:rPr>
        <w:t>qui</w:t>
      </w:r>
      <w:r>
        <w:rPr>
          <w:color w:val="231F20"/>
          <w:spacing w:val="-6"/>
          <w:w w:val="120"/>
        </w:rPr>
        <w:t> </w:t>
      </w:r>
      <w:r>
        <w:rPr>
          <w:color w:val="231F20"/>
          <w:spacing w:val="-2"/>
          <w:w w:val="120"/>
        </w:rPr>
        <w:t>ont</w:t>
      </w:r>
      <w:r>
        <w:rPr>
          <w:color w:val="231F20"/>
          <w:spacing w:val="-6"/>
          <w:w w:val="120"/>
        </w:rPr>
        <w:t> </w:t>
      </w:r>
      <w:r>
        <w:rPr>
          <w:color w:val="231F20"/>
          <w:spacing w:val="-2"/>
          <w:w w:val="120"/>
        </w:rPr>
        <w:t>aidé</w:t>
      </w:r>
      <w:r>
        <w:rPr>
          <w:color w:val="231F20"/>
          <w:spacing w:val="-6"/>
          <w:w w:val="120"/>
        </w:rPr>
        <w:t> </w:t>
      </w:r>
      <w:r>
        <w:rPr>
          <w:color w:val="231F20"/>
          <w:spacing w:val="-2"/>
          <w:w w:val="120"/>
        </w:rPr>
        <w:t>les chercheurs</w:t>
      </w:r>
      <w:r>
        <w:rPr>
          <w:color w:val="231F20"/>
          <w:spacing w:val="-3"/>
          <w:w w:val="120"/>
        </w:rPr>
        <w:t> </w:t>
      </w:r>
      <w:r>
        <w:rPr>
          <w:color w:val="231F20"/>
          <w:spacing w:val="-2"/>
          <w:w w:val="120"/>
        </w:rPr>
        <w:t>à</w:t>
      </w:r>
      <w:r>
        <w:rPr>
          <w:color w:val="231F20"/>
          <w:spacing w:val="-3"/>
          <w:w w:val="120"/>
        </w:rPr>
        <w:t> </w:t>
      </w:r>
      <w:r>
        <w:rPr>
          <w:color w:val="231F20"/>
          <w:spacing w:val="-2"/>
          <w:w w:val="120"/>
        </w:rPr>
        <w:t>comprendre</w:t>
      </w:r>
      <w:r>
        <w:rPr>
          <w:color w:val="231F20"/>
          <w:spacing w:val="-3"/>
          <w:w w:val="120"/>
        </w:rPr>
        <w:t> </w:t>
      </w:r>
      <w:r>
        <w:rPr>
          <w:color w:val="231F20"/>
          <w:spacing w:val="-2"/>
          <w:w w:val="120"/>
        </w:rPr>
        <w:t>jusqu’à</w:t>
      </w:r>
      <w:r>
        <w:rPr>
          <w:color w:val="231F20"/>
          <w:spacing w:val="-3"/>
          <w:w w:val="120"/>
        </w:rPr>
        <w:t> </w:t>
      </w:r>
      <w:r>
        <w:rPr>
          <w:color w:val="231F20"/>
          <w:spacing w:val="-2"/>
          <w:w w:val="120"/>
        </w:rPr>
        <w:t>maintenant</w:t>
      </w:r>
      <w:r>
        <w:rPr>
          <w:color w:val="231F20"/>
          <w:spacing w:val="-3"/>
          <w:w w:val="120"/>
        </w:rPr>
        <w:t> </w:t>
      </w:r>
      <w:r>
        <w:rPr>
          <w:color w:val="231F20"/>
          <w:spacing w:val="-2"/>
          <w:w w:val="120"/>
        </w:rPr>
        <w:t>les</w:t>
      </w:r>
      <w:r>
        <w:rPr>
          <w:color w:val="231F20"/>
          <w:spacing w:val="-3"/>
          <w:w w:val="120"/>
        </w:rPr>
        <w:t> </w:t>
      </w:r>
      <w:r>
        <w:rPr>
          <w:color w:val="231F20"/>
          <w:spacing w:val="-2"/>
          <w:w w:val="120"/>
        </w:rPr>
        <w:t>organisations.</w:t>
      </w:r>
      <w:r>
        <w:rPr>
          <w:color w:val="231F20"/>
          <w:spacing w:val="-3"/>
          <w:w w:val="120"/>
        </w:rPr>
        <w:t> </w:t>
      </w:r>
      <w:r>
        <w:rPr>
          <w:color w:val="231F20"/>
          <w:spacing w:val="-2"/>
          <w:w w:val="120"/>
        </w:rPr>
        <w:t>Cet</w:t>
      </w:r>
      <w:r>
        <w:rPr>
          <w:color w:val="231F20"/>
          <w:spacing w:val="-3"/>
          <w:w w:val="120"/>
        </w:rPr>
        <w:t> </w:t>
      </w:r>
      <w:r>
        <w:rPr>
          <w:color w:val="231F20"/>
          <w:spacing w:val="-2"/>
          <w:w w:val="120"/>
        </w:rPr>
        <w:t>exa- </w:t>
      </w:r>
      <w:r>
        <w:rPr>
          <w:color w:val="231F20"/>
          <w:w w:val="120"/>
        </w:rPr>
        <w:t>men nous permet notamment de conclure que si nous continuons de souscrire sans réserve aux théories actuelles du management, nous </w:t>
      </w:r>
      <w:r>
        <w:rPr>
          <w:color w:val="231F20"/>
          <w:w w:val="115"/>
        </w:rPr>
        <w:t>devons accepter qu’aucun progrès significatif ne nous a permis jusqu’ici </w:t>
      </w:r>
      <w:r>
        <w:rPr>
          <w:color w:val="231F20"/>
          <w:w w:val="120"/>
        </w:rPr>
        <w:t>de</w:t>
      </w:r>
      <w:r>
        <w:rPr>
          <w:color w:val="231F20"/>
          <w:spacing w:val="-10"/>
          <w:w w:val="120"/>
        </w:rPr>
        <w:t> </w:t>
      </w:r>
      <w:r>
        <w:rPr>
          <w:color w:val="231F20"/>
          <w:w w:val="120"/>
        </w:rPr>
        <w:t>comprendre</w:t>
      </w:r>
      <w:r>
        <w:rPr>
          <w:color w:val="231F20"/>
          <w:spacing w:val="-10"/>
          <w:w w:val="120"/>
        </w:rPr>
        <w:t> </w:t>
      </w:r>
      <w:r>
        <w:rPr>
          <w:color w:val="231F20"/>
          <w:w w:val="120"/>
        </w:rPr>
        <w:t>en</w:t>
      </w:r>
      <w:r>
        <w:rPr>
          <w:color w:val="231F20"/>
          <w:spacing w:val="-10"/>
          <w:w w:val="120"/>
        </w:rPr>
        <w:t> </w:t>
      </w:r>
      <w:r>
        <w:rPr>
          <w:color w:val="231F20"/>
          <w:w w:val="120"/>
        </w:rPr>
        <w:t>détail</w:t>
      </w:r>
      <w:r>
        <w:rPr>
          <w:color w:val="231F20"/>
          <w:spacing w:val="-10"/>
          <w:w w:val="120"/>
        </w:rPr>
        <w:t> </w:t>
      </w:r>
      <w:r>
        <w:rPr>
          <w:color w:val="231F20"/>
          <w:w w:val="120"/>
        </w:rPr>
        <w:t>quelles</w:t>
      </w:r>
      <w:r>
        <w:rPr>
          <w:color w:val="231F20"/>
          <w:spacing w:val="-10"/>
          <w:w w:val="120"/>
        </w:rPr>
        <w:t> </w:t>
      </w:r>
      <w:r>
        <w:rPr>
          <w:color w:val="231F20"/>
          <w:w w:val="120"/>
        </w:rPr>
        <w:t>organisations</w:t>
      </w:r>
      <w:r>
        <w:rPr>
          <w:color w:val="231F20"/>
          <w:spacing w:val="-10"/>
          <w:w w:val="120"/>
        </w:rPr>
        <w:t> </w:t>
      </w:r>
      <w:r>
        <w:rPr>
          <w:color w:val="231F20"/>
          <w:w w:val="120"/>
        </w:rPr>
        <w:t>sont</w:t>
      </w:r>
      <w:r>
        <w:rPr>
          <w:color w:val="231F20"/>
          <w:spacing w:val="-10"/>
          <w:w w:val="120"/>
        </w:rPr>
        <w:t> </w:t>
      </w:r>
      <w:r>
        <w:rPr>
          <w:color w:val="231F20"/>
          <w:w w:val="120"/>
        </w:rPr>
        <w:t>appelées</w:t>
      </w:r>
      <w:r>
        <w:rPr>
          <w:color w:val="231F20"/>
          <w:spacing w:val="-10"/>
          <w:w w:val="120"/>
        </w:rPr>
        <w:t> </w:t>
      </w:r>
      <w:r>
        <w:rPr>
          <w:color w:val="231F20"/>
          <w:w w:val="120"/>
        </w:rPr>
        <w:t>à</w:t>
      </w:r>
      <w:r>
        <w:rPr>
          <w:color w:val="231F20"/>
          <w:spacing w:val="-10"/>
          <w:w w:val="120"/>
        </w:rPr>
        <w:t> </w:t>
      </w:r>
      <w:r>
        <w:rPr>
          <w:color w:val="231F20"/>
          <w:w w:val="120"/>
        </w:rPr>
        <w:t>réussir</w:t>
      </w:r>
      <w:r>
        <w:rPr>
          <w:color w:val="231F20"/>
          <w:spacing w:val="-10"/>
          <w:w w:val="120"/>
        </w:rPr>
        <w:t> </w:t>
      </w:r>
      <w:r>
        <w:rPr>
          <w:color w:val="231F20"/>
          <w:w w:val="120"/>
        </w:rPr>
        <w:t>et </w:t>
      </w:r>
      <w:r>
        <w:rPr>
          <w:color w:val="231F20"/>
          <w:spacing w:val="-2"/>
          <w:w w:val="120"/>
        </w:rPr>
        <w:t>pourquoi.</w:t>
      </w:r>
      <w:r>
        <w:rPr>
          <w:color w:val="231F20"/>
          <w:spacing w:val="-6"/>
          <w:w w:val="120"/>
        </w:rPr>
        <w:t> </w:t>
      </w:r>
      <w:r>
        <w:rPr>
          <w:color w:val="231F20"/>
          <w:spacing w:val="-2"/>
          <w:w w:val="120"/>
        </w:rPr>
        <w:t>Mais</w:t>
      </w:r>
      <w:r>
        <w:rPr>
          <w:color w:val="231F20"/>
          <w:spacing w:val="-6"/>
          <w:w w:val="120"/>
        </w:rPr>
        <w:t> </w:t>
      </w:r>
      <w:r>
        <w:rPr>
          <w:color w:val="231F20"/>
          <w:spacing w:val="-2"/>
          <w:w w:val="120"/>
        </w:rPr>
        <w:t>si</w:t>
      </w:r>
      <w:r>
        <w:rPr>
          <w:color w:val="231F20"/>
          <w:spacing w:val="-6"/>
          <w:w w:val="120"/>
        </w:rPr>
        <w:t> </w:t>
      </w:r>
      <w:r>
        <w:rPr>
          <w:color w:val="231F20"/>
          <w:spacing w:val="-2"/>
          <w:w w:val="120"/>
        </w:rPr>
        <w:t>nous</w:t>
      </w:r>
      <w:r>
        <w:rPr>
          <w:color w:val="231F20"/>
          <w:spacing w:val="-6"/>
          <w:w w:val="120"/>
        </w:rPr>
        <w:t> </w:t>
      </w:r>
      <w:r>
        <w:rPr>
          <w:color w:val="231F20"/>
          <w:spacing w:val="-2"/>
          <w:w w:val="120"/>
        </w:rPr>
        <w:t>changeons</w:t>
      </w:r>
      <w:r>
        <w:rPr>
          <w:color w:val="231F20"/>
          <w:spacing w:val="-6"/>
          <w:w w:val="120"/>
        </w:rPr>
        <w:t> </w:t>
      </w:r>
      <w:r>
        <w:rPr>
          <w:color w:val="231F20"/>
          <w:spacing w:val="-2"/>
          <w:w w:val="120"/>
        </w:rPr>
        <w:t>de</w:t>
      </w:r>
      <w:r>
        <w:rPr>
          <w:color w:val="231F20"/>
          <w:spacing w:val="-6"/>
          <w:w w:val="120"/>
        </w:rPr>
        <w:t> </w:t>
      </w:r>
      <w:r>
        <w:rPr>
          <w:color w:val="231F20"/>
          <w:spacing w:val="-2"/>
          <w:w w:val="120"/>
        </w:rPr>
        <w:t>mentalité</w:t>
      </w:r>
      <w:r>
        <w:rPr>
          <w:color w:val="231F20"/>
          <w:spacing w:val="-6"/>
          <w:w w:val="120"/>
        </w:rPr>
        <w:t> </w:t>
      </w:r>
      <w:r>
        <w:rPr>
          <w:color w:val="231F20"/>
          <w:spacing w:val="-2"/>
          <w:w w:val="120"/>
        </w:rPr>
        <w:t>et</w:t>
      </w:r>
      <w:r>
        <w:rPr>
          <w:color w:val="231F20"/>
          <w:spacing w:val="-6"/>
          <w:w w:val="120"/>
        </w:rPr>
        <w:t> </w:t>
      </w:r>
      <w:r>
        <w:rPr>
          <w:color w:val="231F20"/>
          <w:spacing w:val="-2"/>
          <w:w w:val="120"/>
        </w:rPr>
        <w:t>que</w:t>
      </w:r>
      <w:r>
        <w:rPr>
          <w:color w:val="231F20"/>
          <w:spacing w:val="-6"/>
          <w:w w:val="120"/>
        </w:rPr>
        <w:t> </w:t>
      </w:r>
      <w:r>
        <w:rPr>
          <w:color w:val="231F20"/>
          <w:spacing w:val="-2"/>
          <w:w w:val="120"/>
        </w:rPr>
        <w:t>nous</w:t>
      </w:r>
      <w:r>
        <w:rPr>
          <w:color w:val="231F20"/>
          <w:spacing w:val="-6"/>
          <w:w w:val="120"/>
        </w:rPr>
        <w:t> </w:t>
      </w:r>
      <w:r>
        <w:rPr>
          <w:color w:val="231F20"/>
          <w:spacing w:val="-2"/>
          <w:w w:val="120"/>
        </w:rPr>
        <w:t>observons</w:t>
      </w:r>
      <w:r>
        <w:rPr>
          <w:color w:val="231F20"/>
          <w:spacing w:val="-6"/>
          <w:w w:val="120"/>
        </w:rPr>
        <w:t> </w:t>
      </w:r>
      <w:r>
        <w:rPr>
          <w:color w:val="231F20"/>
          <w:spacing w:val="-2"/>
          <w:w w:val="120"/>
        </w:rPr>
        <w:t>la </w:t>
      </w:r>
      <w:r>
        <w:rPr>
          <w:color w:val="231F20"/>
          <w:w w:val="120"/>
        </w:rPr>
        <w:t>réalité</w:t>
      </w:r>
      <w:r>
        <w:rPr>
          <w:color w:val="231F20"/>
          <w:spacing w:val="-2"/>
          <w:w w:val="120"/>
        </w:rPr>
        <w:t> </w:t>
      </w:r>
      <w:r>
        <w:rPr>
          <w:color w:val="231F20"/>
          <w:w w:val="120"/>
        </w:rPr>
        <w:t>organisationnelle</w:t>
      </w:r>
      <w:r>
        <w:rPr>
          <w:color w:val="231F20"/>
          <w:spacing w:val="-2"/>
          <w:w w:val="120"/>
        </w:rPr>
        <w:t> </w:t>
      </w:r>
      <w:r>
        <w:rPr>
          <w:color w:val="231F20"/>
          <w:w w:val="120"/>
        </w:rPr>
        <w:t>à</w:t>
      </w:r>
      <w:r>
        <w:rPr>
          <w:color w:val="231F20"/>
          <w:spacing w:val="-2"/>
          <w:w w:val="120"/>
        </w:rPr>
        <w:t> </w:t>
      </w:r>
      <w:r>
        <w:rPr>
          <w:color w:val="231F20"/>
          <w:w w:val="120"/>
        </w:rPr>
        <w:t>travers</w:t>
      </w:r>
      <w:r>
        <w:rPr>
          <w:color w:val="231F20"/>
          <w:spacing w:val="-2"/>
          <w:w w:val="120"/>
        </w:rPr>
        <w:t> </w:t>
      </w:r>
      <w:r>
        <w:rPr>
          <w:color w:val="231F20"/>
          <w:w w:val="120"/>
        </w:rPr>
        <w:t>un</w:t>
      </w:r>
      <w:r>
        <w:rPr>
          <w:color w:val="231F20"/>
          <w:spacing w:val="-2"/>
          <w:w w:val="120"/>
        </w:rPr>
        <w:t> </w:t>
      </w:r>
      <w:r>
        <w:rPr>
          <w:color w:val="231F20"/>
          <w:w w:val="120"/>
        </w:rPr>
        <w:t>nouveau</w:t>
      </w:r>
      <w:r>
        <w:rPr>
          <w:color w:val="231F20"/>
          <w:spacing w:val="-2"/>
          <w:w w:val="120"/>
        </w:rPr>
        <w:t> </w:t>
      </w:r>
      <w:r>
        <w:rPr>
          <w:color w:val="231F20"/>
          <w:w w:val="120"/>
        </w:rPr>
        <w:t>prisme,</w:t>
      </w:r>
      <w:r>
        <w:rPr>
          <w:color w:val="231F20"/>
          <w:spacing w:val="-2"/>
          <w:w w:val="120"/>
        </w:rPr>
        <w:t> </w:t>
      </w:r>
      <w:r>
        <w:rPr>
          <w:color w:val="231F20"/>
          <w:w w:val="120"/>
        </w:rPr>
        <w:t>nous</w:t>
      </w:r>
      <w:r>
        <w:rPr>
          <w:color w:val="231F20"/>
          <w:spacing w:val="-2"/>
          <w:w w:val="120"/>
        </w:rPr>
        <w:t> </w:t>
      </w:r>
      <w:r>
        <w:rPr>
          <w:color w:val="231F20"/>
          <w:w w:val="120"/>
        </w:rPr>
        <w:t>trouverons peut-être des réponses.</w:t>
      </w:r>
    </w:p>
    <w:p>
      <w:pPr>
        <w:pStyle w:val="BodyText"/>
        <w:spacing w:line="307" w:lineRule="auto" w:before="78"/>
        <w:ind w:left="830" w:right="498" w:firstLine="250"/>
        <w:jc w:val="both"/>
      </w:pPr>
      <w:r>
        <w:rPr>
          <w:color w:val="231F20"/>
          <w:w w:val="120"/>
        </w:rPr>
        <w:t>Dans les visions traditionnelles des organisations (et du monde en général),</w:t>
      </w:r>
      <w:r>
        <w:rPr>
          <w:color w:val="231F20"/>
          <w:spacing w:val="-11"/>
          <w:w w:val="120"/>
        </w:rPr>
        <w:t> </w:t>
      </w:r>
      <w:r>
        <w:rPr>
          <w:color w:val="231F20"/>
          <w:w w:val="120"/>
        </w:rPr>
        <w:t>on</w:t>
      </w:r>
      <w:r>
        <w:rPr>
          <w:color w:val="231F20"/>
          <w:spacing w:val="-11"/>
          <w:w w:val="120"/>
        </w:rPr>
        <w:t> </w:t>
      </w:r>
      <w:r>
        <w:rPr>
          <w:color w:val="231F20"/>
          <w:w w:val="120"/>
        </w:rPr>
        <w:t>a</w:t>
      </w:r>
      <w:r>
        <w:rPr>
          <w:color w:val="231F20"/>
          <w:spacing w:val="-11"/>
          <w:w w:val="120"/>
        </w:rPr>
        <w:t> </w:t>
      </w:r>
      <w:r>
        <w:rPr>
          <w:color w:val="231F20"/>
          <w:w w:val="120"/>
        </w:rPr>
        <w:t>toujours</w:t>
      </w:r>
      <w:r>
        <w:rPr>
          <w:color w:val="231F20"/>
          <w:spacing w:val="-11"/>
          <w:w w:val="120"/>
        </w:rPr>
        <w:t> </w:t>
      </w:r>
      <w:r>
        <w:rPr>
          <w:color w:val="231F20"/>
          <w:w w:val="120"/>
        </w:rPr>
        <w:t>cherché</w:t>
      </w:r>
      <w:r>
        <w:rPr>
          <w:color w:val="231F20"/>
          <w:spacing w:val="-11"/>
          <w:w w:val="120"/>
        </w:rPr>
        <w:t> </w:t>
      </w:r>
      <w:r>
        <w:rPr>
          <w:color w:val="231F20"/>
          <w:w w:val="120"/>
        </w:rPr>
        <w:t>la</w:t>
      </w:r>
      <w:r>
        <w:rPr>
          <w:color w:val="231F20"/>
          <w:spacing w:val="-11"/>
          <w:w w:val="120"/>
        </w:rPr>
        <w:t> </w:t>
      </w:r>
      <w:r>
        <w:rPr>
          <w:color w:val="231F20"/>
          <w:w w:val="120"/>
        </w:rPr>
        <w:t>façon</w:t>
      </w:r>
      <w:r>
        <w:rPr>
          <w:color w:val="231F20"/>
          <w:spacing w:val="-11"/>
          <w:w w:val="120"/>
        </w:rPr>
        <w:t> </w:t>
      </w:r>
      <w:r>
        <w:rPr>
          <w:color w:val="231F20"/>
          <w:w w:val="120"/>
        </w:rPr>
        <w:t>la</w:t>
      </w:r>
      <w:r>
        <w:rPr>
          <w:color w:val="231F20"/>
          <w:spacing w:val="-11"/>
          <w:w w:val="120"/>
        </w:rPr>
        <w:t> </w:t>
      </w:r>
      <w:r>
        <w:rPr>
          <w:color w:val="231F20"/>
          <w:w w:val="120"/>
        </w:rPr>
        <w:t>plus</w:t>
      </w:r>
      <w:r>
        <w:rPr>
          <w:color w:val="231F20"/>
          <w:spacing w:val="-11"/>
          <w:w w:val="120"/>
        </w:rPr>
        <w:t> </w:t>
      </w:r>
      <w:r>
        <w:rPr>
          <w:color w:val="231F20"/>
          <w:w w:val="120"/>
        </w:rPr>
        <w:t>simple</w:t>
      </w:r>
      <w:r>
        <w:rPr>
          <w:color w:val="231F20"/>
          <w:spacing w:val="-11"/>
          <w:w w:val="120"/>
        </w:rPr>
        <w:t> </w:t>
      </w:r>
      <w:r>
        <w:rPr>
          <w:color w:val="231F20"/>
          <w:w w:val="120"/>
        </w:rPr>
        <w:t>d’expliquer</w:t>
      </w:r>
      <w:r>
        <w:rPr>
          <w:color w:val="231F20"/>
          <w:spacing w:val="-11"/>
          <w:w w:val="120"/>
        </w:rPr>
        <w:t> </w:t>
      </w:r>
      <w:r>
        <w:rPr>
          <w:color w:val="231F20"/>
          <w:w w:val="120"/>
        </w:rPr>
        <w:t>et</w:t>
      </w:r>
      <w:r>
        <w:rPr>
          <w:color w:val="231F20"/>
          <w:spacing w:val="-11"/>
          <w:w w:val="120"/>
        </w:rPr>
        <w:t> </w:t>
      </w:r>
      <w:r>
        <w:rPr>
          <w:color w:val="231F20"/>
          <w:w w:val="120"/>
        </w:rPr>
        <w:t>de prévoir</w:t>
      </w:r>
      <w:r>
        <w:rPr>
          <w:color w:val="231F20"/>
          <w:spacing w:val="40"/>
          <w:w w:val="120"/>
        </w:rPr>
        <w:t> </w:t>
      </w:r>
      <w:r>
        <w:rPr>
          <w:color w:val="231F20"/>
          <w:w w:val="120"/>
        </w:rPr>
        <w:t>les</w:t>
      </w:r>
      <w:r>
        <w:rPr>
          <w:color w:val="231F20"/>
          <w:spacing w:val="40"/>
          <w:w w:val="120"/>
        </w:rPr>
        <w:t> </w:t>
      </w:r>
      <w:r>
        <w:rPr>
          <w:color w:val="231F20"/>
          <w:w w:val="120"/>
        </w:rPr>
        <w:t>phénomènes</w:t>
      </w:r>
      <w:r>
        <w:rPr>
          <w:color w:val="231F20"/>
          <w:spacing w:val="40"/>
          <w:w w:val="120"/>
        </w:rPr>
        <w:t> </w:t>
      </w:r>
      <w:r>
        <w:rPr>
          <w:color w:val="231F20"/>
          <w:w w:val="120"/>
        </w:rPr>
        <w:t>naturels.</w:t>
      </w:r>
      <w:r>
        <w:rPr>
          <w:color w:val="231F20"/>
          <w:spacing w:val="40"/>
          <w:w w:val="120"/>
        </w:rPr>
        <w:t> </w:t>
      </w:r>
      <w:r>
        <w:rPr>
          <w:color w:val="231F20"/>
          <w:w w:val="120"/>
        </w:rPr>
        <w:t>Dans</w:t>
      </w:r>
      <w:r>
        <w:rPr>
          <w:color w:val="231F20"/>
          <w:spacing w:val="40"/>
          <w:w w:val="120"/>
        </w:rPr>
        <w:t> </w:t>
      </w:r>
      <w:r>
        <w:rPr>
          <w:color w:val="231F20"/>
          <w:w w:val="120"/>
        </w:rPr>
        <w:t>cette</w:t>
      </w:r>
      <w:r>
        <w:rPr>
          <w:color w:val="231F20"/>
          <w:spacing w:val="40"/>
          <w:w w:val="120"/>
        </w:rPr>
        <w:t> </w:t>
      </w:r>
      <w:r>
        <w:rPr>
          <w:color w:val="231F20"/>
          <w:w w:val="120"/>
        </w:rPr>
        <w:t>recherche,</w:t>
      </w:r>
      <w:r>
        <w:rPr>
          <w:color w:val="231F20"/>
          <w:spacing w:val="40"/>
          <w:w w:val="120"/>
        </w:rPr>
        <w:t> </w:t>
      </w:r>
      <w:r>
        <w:rPr>
          <w:color w:val="231F20"/>
          <w:w w:val="120"/>
        </w:rPr>
        <w:t>on</w:t>
      </w:r>
      <w:r>
        <w:rPr>
          <w:color w:val="231F20"/>
          <w:spacing w:val="40"/>
          <w:w w:val="120"/>
        </w:rPr>
        <w:t> </w:t>
      </w:r>
      <w:r>
        <w:rPr>
          <w:color w:val="231F20"/>
          <w:w w:val="120"/>
        </w:rPr>
        <w:t>a</w:t>
      </w:r>
      <w:r>
        <w:rPr>
          <w:color w:val="231F20"/>
          <w:spacing w:val="40"/>
          <w:w w:val="120"/>
        </w:rPr>
        <w:t> </w:t>
      </w:r>
      <w:r>
        <w:rPr>
          <w:color w:val="231F20"/>
          <w:w w:val="120"/>
        </w:rPr>
        <w:t>tenté </w:t>
      </w:r>
      <w:r>
        <w:rPr>
          <w:color w:val="231F20"/>
          <w:w w:val="115"/>
        </w:rPr>
        <w:t>de</w:t>
      </w:r>
      <w:r>
        <w:rPr>
          <w:color w:val="231F20"/>
          <w:spacing w:val="-9"/>
          <w:w w:val="115"/>
        </w:rPr>
        <w:t> </w:t>
      </w:r>
      <w:r>
        <w:rPr>
          <w:color w:val="231F20"/>
          <w:w w:val="115"/>
        </w:rPr>
        <w:t>comprendre</w:t>
      </w:r>
      <w:r>
        <w:rPr>
          <w:color w:val="231F20"/>
          <w:spacing w:val="-9"/>
          <w:w w:val="115"/>
        </w:rPr>
        <w:t> </w:t>
      </w:r>
      <w:r>
        <w:rPr>
          <w:color w:val="231F20"/>
          <w:w w:val="115"/>
        </w:rPr>
        <w:t>l’univers</w:t>
      </w:r>
      <w:r>
        <w:rPr>
          <w:color w:val="231F20"/>
          <w:spacing w:val="-9"/>
          <w:w w:val="115"/>
        </w:rPr>
        <w:t> </w:t>
      </w:r>
      <w:r>
        <w:rPr>
          <w:color w:val="231F20"/>
          <w:w w:val="115"/>
        </w:rPr>
        <w:t>par</w:t>
      </w:r>
      <w:r>
        <w:rPr>
          <w:color w:val="231F20"/>
          <w:spacing w:val="-9"/>
          <w:w w:val="115"/>
        </w:rPr>
        <w:t> </w:t>
      </w:r>
      <w:r>
        <w:rPr>
          <w:color w:val="231F20"/>
          <w:w w:val="115"/>
        </w:rPr>
        <w:t>l’examen</w:t>
      </w:r>
      <w:r>
        <w:rPr>
          <w:color w:val="231F20"/>
          <w:spacing w:val="-9"/>
          <w:w w:val="115"/>
        </w:rPr>
        <w:t> </w:t>
      </w:r>
      <w:r>
        <w:rPr>
          <w:color w:val="231F20"/>
          <w:w w:val="115"/>
        </w:rPr>
        <w:t>et</w:t>
      </w:r>
      <w:r>
        <w:rPr>
          <w:color w:val="231F20"/>
          <w:spacing w:val="-9"/>
          <w:w w:val="115"/>
        </w:rPr>
        <w:t> </w:t>
      </w:r>
      <w:r>
        <w:rPr>
          <w:color w:val="231F20"/>
          <w:w w:val="115"/>
        </w:rPr>
        <w:t>l’explication</w:t>
      </w:r>
      <w:r>
        <w:rPr>
          <w:color w:val="231F20"/>
          <w:spacing w:val="-9"/>
          <w:w w:val="115"/>
        </w:rPr>
        <w:t> </w:t>
      </w:r>
      <w:r>
        <w:rPr>
          <w:color w:val="231F20"/>
          <w:w w:val="115"/>
        </w:rPr>
        <w:t>de</w:t>
      </w:r>
      <w:r>
        <w:rPr>
          <w:color w:val="231F20"/>
          <w:spacing w:val="-9"/>
          <w:w w:val="115"/>
        </w:rPr>
        <w:t> </w:t>
      </w:r>
      <w:r>
        <w:rPr>
          <w:color w:val="231F20"/>
          <w:w w:val="115"/>
        </w:rPr>
        <w:t>ses</w:t>
      </w:r>
      <w:r>
        <w:rPr>
          <w:color w:val="231F20"/>
          <w:spacing w:val="-9"/>
          <w:w w:val="115"/>
        </w:rPr>
        <w:t> </w:t>
      </w:r>
      <w:r>
        <w:rPr>
          <w:color w:val="231F20"/>
          <w:w w:val="115"/>
        </w:rPr>
        <w:t>composantes </w:t>
      </w:r>
      <w:r>
        <w:rPr>
          <w:color w:val="231F20"/>
          <w:w w:val="120"/>
        </w:rPr>
        <w:t>distinctes, c’est-à-dire que nous avons utilisé une approche très struc- turaliste</w:t>
      </w:r>
      <w:r>
        <w:rPr>
          <w:color w:val="231F20"/>
          <w:spacing w:val="-7"/>
          <w:w w:val="120"/>
        </w:rPr>
        <w:t> </w:t>
      </w:r>
      <w:r>
        <w:rPr>
          <w:color w:val="231F20"/>
          <w:w w:val="120"/>
        </w:rPr>
        <w:t>se</w:t>
      </w:r>
      <w:r>
        <w:rPr>
          <w:color w:val="231F20"/>
          <w:spacing w:val="-6"/>
          <w:w w:val="120"/>
        </w:rPr>
        <w:t> </w:t>
      </w:r>
      <w:r>
        <w:rPr>
          <w:color w:val="231F20"/>
          <w:w w:val="120"/>
        </w:rPr>
        <w:t>limitant</w:t>
      </w:r>
      <w:r>
        <w:rPr>
          <w:color w:val="231F20"/>
          <w:spacing w:val="-6"/>
          <w:w w:val="120"/>
        </w:rPr>
        <w:t> </w:t>
      </w:r>
      <w:r>
        <w:rPr>
          <w:color w:val="231F20"/>
          <w:w w:val="120"/>
        </w:rPr>
        <w:t>à</w:t>
      </w:r>
      <w:r>
        <w:rPr>
          <w:color w:val="231F20"/>
          <w:spacing w:val="-6"/>
          <w:w w:val="120"/>
        </w:rPr>
        <w:t> </w:t>
      </w:r>
      <w:r>
        <w:rPr>
          <w:color w:val="231F20"/>
          <w:w w:val="120"/>
        </w:rPr>
        <w:t>décrire</w:t>
      </w:r>
      <w:r>
        <w:rPr>
          <w:color w:val="231F20"/>
          <w:spacing w:val="-6"/>
          <w:w w:val="120"/>
        </w:rPr>
        <w:t> </w:t>
      </w:r>
      <w:r>
        <w:rPr>
          <w:color w:val="231F20"/>
          <w:w w:val="120"/>
        </w:rPr>
        <w:t>les</w:t>
      </w:r>
      <w:r>
        <w:rPr>
          <w:color w:val="231F20"/>
          <w:spacing w:val="-6"/>
          <w:w w:val="120"/>
        </w:rPr>
        <w:t> </w:t>
      </w:r>
      <w:r>
        <w:rPr>
          <w:color w:val="231F20"/>
          <w:w w:val="120"/>
        </w:rPr>
        <w:t>diverses</w:t>
      </w:r>
      <w:r>
        <w:rPr>
          <w:color w:val="231F20"/>
          <w:spacing w:val="-6"/>
          <w:w w:val="120"/>
        </w:rPr>
        <w:t> </w:t>
      </w:r>
      <w:r>
        <w:rPr>
          <w:color w:val="231F20"/>
          <w:w w:val="120"/>
        </w:rPr>
        <w:t>dimensions</w:t>
      </w:r>
      <w:r>
        <w:rPr>
          <w:color w:val="231F20"/>
          <w:spacing w:val="-7"/>
          <w:w w:val="120"/>
        </w:rPr>
        <w:t> </w:t>
      </w:r>
      <w:r>
        <w:rPr>
          <w:color w:val="231F20"/>
          <w:w w:val="120"/>
        </w:rPr>
        <w:t>des</w:t>
      </w:r>
      <w:r>
        <w:rPr>
          <w:color w:val="231F20"/>
          <w:spacing w:val="-6"/>
          <w:w w:val="120"/>
        </w:rPr>
        <w:t> </w:t>
      </w:r>
      <w:r>
        <w:rPr>
          <w:color w:val="231F20"/>
          <w:spacing w:val="-2"/>
          <w:w w:val="120"/>
        </w:rPr>
        <w:t>phénomènes.</w:t>
      </w:r>
    </w:p>
    <w:p>
      <w:pPr>
        <w:pStyle w:val="BodyText"/>
        <w:spacing w:line="307" w:lineRule="auto" w:before="79"/>
        <w:ind w:left="830" w:right="493" w:firstLine="250"/>
        <w:jc w:val="both"/>
      </w:pPr>
      <w:r>
        <w:rPr>
          <w:color w:val="231F20"/>
          <w:w w:val="120"/>
        </w:rPr>
        <w:t>Or, on en conviendra, une analyse partielle plutôt que globale ne donne</w:t>
      </w:r>
      <w:r>
        <w:rPr>
          <w:color w:val="231F20"/>
          <w:spacing w:val="-12"/>
          <w:w w:val="120"/>
        </w:rPr>
        <w:t> </w:t>
      </w:r>
      <w:r>
        <w:rPr>
          <w:color w:val="231F20"/>
          <w:w w:val="120"/>
        </w:rPr>
        <w:t>que</w:t>
      </w:r>
      <w:r>
        <w:rPr>
          <w:color w:val="231F20"/>
          <w:spacing w:val="-12"/>
          <w:w w:val="120"/>
        </w:rPr>
        <w:t> </w:t>
      </w:r>
      <w:r>
        <w:rPr>
          <w:color w:val="231F20"/>
          <w:w w:val="120"/>
        </w:rPr>
        <w:t>des</w:t>
      </w:r>
      <w:r>
        <w:rPr>
          <w:color w:val="231F20"/>
          <w:spacing w:val="-12"/>
          <w:w w:val="120"/>
        </w:rPr>
        <w:t> </w:t>
      </w:r>
      <w:r>
        <w:rPr>
          <w:color w:val="231F20"/>
          <w:w w:val="120"/>
        </w:rPr>
        <w:t>solutions</w:t>
      </w:r>
      <w:r>
        <w:rPr>
          <w:color w:val="231F20"/>
          <w:spacing w:val="-12"/>
          <w:w w:val="120"/>
        </w:rPr>
        <w:t> </w:t>
      </w:r>
      <w:r>
        <w:rPr>
          <w:color w:val="231F20"/>
          <w:w w:val="120"/>
        </w:rPr>
        <w:t>partielles38.</w:t>
      </w:r>
      <w:r>
        <w:rPr>
          <w:color w:val="231F20"/>
          <w:spacing w:val="-12"/>
          <w:w w:val="120"/>
        </w:rPr>
        <w:t> </w:t>
      </w:r>
      <w:r>
        <w:rPr>
          <w:color w:val="231F20"/>
          <w:w w:val="120"/>
        </w:rPr>
        <w:t>L’histoire</w:t>
      </w:r>
      <w:r>
        <w:rPr>
          <w:color w:val="231F20"/>
          <w:spacing w:val="-12"/>
          <w:w w:val="120"/>
        </w:rPr>
        <w:t> </w:t>
      </w:r>
      <w:r>
        <w:rPr>
          <w:color w:val="231F20"/>
          <w:w w:val="120"/>
        </w:rPr>
        <w:t>des</w:t>
      </w:r>
      <w:r>
        <w:rPr>
          <w:color w:val="231F20"/>
          <w:spacing w:val="-12"/>
          <w:w w:val="120"/>
        </w:rPr>
        <w:t> </w:t>
      </w:r>
      <w:r>
        <w:rPr>
          <w:color w:val="231F20"/>
          <w:w w:val="120"/>
        </w:rPr>
        <w:t>quatre</w:t>
      </w:r>
      <w:r>
        <w:rPr>
          <w:color w:val="231F20"/>
          <w:spacing w:val="-12"/>
          <w:w w:val="120"/>
        </w:rPr>
        <w:t> </w:t>
      </w:r>
      <w:r>
        <w:rPr>
          <w:color w:val="231F20"/>
          <w:w w:val="120"/>
        </w:rPr>
        <w:t>non-voyants qui</w:t>
      </w:r>
      <w:r>
        <w:rPr>
          <w:color w:val="231F20"/>
          <w:spacing w:val="-3"/>
          <w:w w:val="120"/>
        </w:rPr>
        <w:t> </w:t>
      </w:r>
      <w:r>
        <w:rPr>
          <w:color w:val="231F20"/>
          <w:w w:val="120"/>
        </w:rPr>
        <w:t>rencontrent</w:t>
      </w:r>
      <w:r>
        <w:rPr>
          <w:color w:val="231F20"/>
          <w:spacing w:val="-3"/>
          <w:w w:val="120"/>
        </w:rPr>
        <w:t> </w:t>
      </w:r>
      <w:r>
        <w:rPr>
          <w:color w:val="231F20"/>
          <w:w w:val="120"/>
        </w:rPr>
        <w:t>un</w:t>
      </w:r>
      <w:r>
        <w:rPr>
          <w:color w:val="231F20"/>
          <w:spacing w:val="-3"/>
          <w:w w:val="120"/>
        </w:rPr>
        <w:t> </w:t>
      </w:r>
      <w:r>
        <w:rPr>
          <w:color w:val="231F20"/>
          <w:w w:val="120"/>
        </w:rPr>
        <w:t>éléphant</w:t>
      </w:r>
      <w:r>
        <w:rPr>
          <w:color w:val="231F20"/>
          <w:spacing w:val="-3"/>
          <w:w w:val="120"/>
        </w:rPr>
        <w:t> </w:t>
      </w:r>
      <w:r>
        <w:rPr>
          <w:color w:val="231F20"/>
          <w:w w:val="120"/>
        </w:rPr>
        <w:t>pour</w:t>
      </w:r>
      <w:r>
        <w:rPr>
          <w:color w:val="231F20"/>
          <w:spacing w:val="-3"/>
          <w:w w:val="120"/>
        </w:rPr>
        <w:t> </w:t>
      </w:r>
      <w:r>
        <w:rPr>
          <w:color w:val="231F20"/>
          <w:w w:val="120"/>
        </w:rPr>
        <w:t>la</w:t>
      </w:r>
      <w:r>
        <w:rPr>
          <w:color w:val="231F20"/>
          <w:spacing w:val="-3"/>
          <w:w w:val="120"/>
        </w:rPr>
        <w:t> </w:t>
      </w:r>
      <w:r>
        <w:rPr>
          <w:color w:val="231F20"/>
          <w:w w:val="120"/>
        </w:rPr>
        <w:t>première</w:t>
      </w:r>
      <w:r>
        <w:rPr>
          <w:color w:val="231F20"/>
          <w:spacing w:val="-3"/>
          <w:w w:val="120"/>
        </w:rPr>
        <w:t> </w:t>
      </w:r>
      <w:r>
        <w:rPr>
          <w:color w:val="231F20"/>
          <w:w w:val="120"/>
        </w:rPr>
        <w:t>fois</w:t>
      </w:r>
      <w:r>
        <w:rPr>
          <w:color w:val="231F20"/>
          <w:spacing w:val="-3"/>
          <w:w w:val="120"/>
        </w:rPr>
        <w:t> </w:t>
      </w:r>
      <w:r>
        <w:rPr>
          <w:color w:val="231F20"/>
          <w:w w:val="120"/>
        </w:rPr>
        <w:t>illustre</w:t>
      </w:r>
      <w:r>
        <w:rPr>
          <w:color w:val="231F20"/>
          <w:spacing w:val="-3"/>
          <w:w w:val="120"/>
        </w:rPr>
        <w:t> </w:t>
      </w:r>
      <w:r>
        <w:rPr>
          <w:color w:val="231F20"/>
          <w:w w:val="120"/>
        </w:rPr>
        <w:t>bien</w:t>
      </w:r>
      <w:r>
        <w:rPr>
          <w:color w:val="231F20"/>
          <w:spacing w:val="-3"/>
          <w:w w:val="120"/>
        </w:rPr>
        <w:t> </w:t>
      </w:r>
      <w:r>
        <w:rPr>
          <w:color w:val="231F20"/>
          <w:w w:val="120"/>
        </w:rPr>
        <w:t>l’impor- tance</w:t>
      </w:r>
      <w:r>
        <w:rPr>
          <w:color w:val="231F20"/>
          <w:spacing w:val="-5"/>
          <w:w w:val="120"/>
        </w:rPr>
        <w:t> </w:t>
      </w:r>
      <w:r>
        <w:rPr>
          <w:color w:val="231F20"/>
          <w:w w:val="120"/>
        </w:rPr>
        <w:t>d’une</w:t>
      </w:r>
      <w:r>
        <w:rPr>
          <w:color w:val="231F20"/>
          <w:spacing w:val="-4"/>
          <w:w w:val="120"/>
        </w:rPr>
        <w:t> </w:t>
      </w:r>
      <w:r>
        <w:rPr>
          <w:color w:val="231F20"/>
          <w:w w:val="120"/>
        </w:rPr>
        <w:t>perception</w:t>
      </w:r>
      <w:r>
        <w:rPr>
          <w:color w:val="231F20"/>
          <w:spacing w:val="-4"/>
          <w:w w:val="120"/>
        </w:rPr>
        <w:t> </w:t>
      </w:r>
      <w:r>
        <w:rPr>
          <w:color w:val="231F20"/>
          <w:w w:val="120"/>
        </w:rPr>
        <w:t>globale.</w:t>
      </w:r>
      <w:r>
        <w:rPr>
          <w:color w:val="231F20"/>
          <w:spacing w:val="-4"/>
          <w:w w:val="120"/>
        </w:rPr>
        <w:t> </w:t>
      </w:r>
      <w:r>
        <w:rPr>
          <w:color w:val="231F20"/>
          <w:w w:val="120"/>
        </w:rPr>
        <w:t>Chacun</w:t>
      </w:r>
      <w:r>
        <w:rPr>
          <w:color w:val="231F20"/>
          <w:spacing w:val="-5"/>
          <w:w w:val="120"/>
        </w:rPr>
        <w:t> </w:t>
      </w:r>
      <w:r>
        <w:rPr>
          <w:color w:val="231F20"/>
          <w:w w:val="120"/>
        </w:rPr>
        <w:t>décrivant</w:t>
      </w:r>
      <w:r>
        <w:rPr>
          <w:color w:val="231F20"/>
          <w:spacing w:val="-5"/>
          <w:w w:val="120"/>
        </w:rPr>
        <w:t> </w:t>
      </w:r>
      <w:r>
        <w:rPr>
          <w:color w:val="231F20"/>
          <w:w w:val="120"/>
        </w:rPr>
        <w:t>l’animal</w:t>
      </w:r>
      <w:r>
        <w:rPr>
          <w:color w:val="231F20"/>
          <w:spacing w:val="-5"/>
          <w:w w:val="120"/>
        </w:rPr>
        <w:t> </w:t>
      </w:r>
      <w:r>
        <w:rPr>
          <w:color w:val="231F20"/>
          <w:w w:val="120"/>
        </w:rPr>
        <w:t>en</w:t>
      </w:r>
      <w:r>
        <w:rPr>
          <w:color w:val="231F20"/>
          <w:spacing w:val="-4"/>
          <w:w w:val="120"/>
        </w:rPr>
        <w:t> </w:t>
      </w:r>
      <w:r>
        <w:rPr>
          <w:color w:val="231F20"/>
          <w:w w:val="120"/>
        </w:rPr>
        <w:t>fonction </w:t>
      </w:r>
      <w:r>
        <w:rPr>
          <w:color w:val="231F20"/>
          <w:spacing w:val="-2"/>
          <w:w w:val="120"/>
        </w:rPr>
        <w:t>de</w:t>
      </w:r>
      <w:r>
        <w:rPr>
          <w:color w:val="231F20"/>
          <w:spacing w:val="-15"/>
          <w:w w:val="120"/>
        </w:rPr>
        <w:t> </w:t>
      </w:r>
      <w:r>
        <w:rPr>
          <w:color w:val="231F20"/>
          <w:spacing w:val="-2"/>
          <w:w w:val="120"/>
        </w:rPr>
        <w:t>la</w:t>
      </w:r>
      <w:r>
        <w:rPr>
          <w:color w:val="231F20"/>
          <w:spacing w:val="-15"/>
          <w:w w:val="120"/>
        </w:rPr>
        <w:t> </w:t>
      </w:r>
      <w:r>
        <w:rPr>
          <w:color w:val="231F20"/>
          <w:spacing w:val="-2"/>
          <w:w w:val="120"/>
        </w:rPr>
        <w:t>partie</w:t>
      </w:r>
      <w:r>
        <w:rPr>
          <w:color w:val="231F20"/>
          <w:spacing w:val="-15"/>
          <w:w w:val="120"/>
        </w:rPr>
        <w:t> </w:t>
      </w:r>
      <w:r>
        <w:rPr>
          <w:color w:val="231F20"/>
          <w:spacing w:val="-2"/>
          <w:w w:val="120"/>
        </w:rPr>
        <w:t>qu’il</w:t>
      </w:r>
      <w:r>
        <w:rPr>
          <w:color w:val="231F20"/>
          <w:spacing w:val="-15"/>
          <w:w w:val="120"/>
        </w:rPr>
        <w:t> </w:t>
      </w:r>
      <w:r>
        <w:rPr>
          <w:color w:val="231F20"/>
          <w:spacing w:val="-2"/>
          <w:w w:val="120"/>
        </w:rPr>
        <w:t>s’est</w:t>
      </w:r>
      <w:r>
        <w:rPr>
          <w:color w:val="231F20"/>
          <w:spacing w:val="-15"/>
          <w:w w:val="120"/>
        </w:rPr>
        <w:t> </w:t>
      </w:r>
      <w:r>
        <w:rPr>
          <w:color w:val="231F20"/>
          <w:spacing w:val="-2"/>
          <w:w w:val="120"/>
        </w:rPr>
        <w:t>adonné</w:t>
      </w:r>
      <w:r>
        <w:rPr>
          <w:color w:val="231F20"/>
          <w:spacing w:val="-15"/>
          <w:w w:val="120"/>
        </w:rPr>
        <w:t> </w:t>
      </w:r>
      <w:r>
        <w:rPr>
          <w:color w:val="231F20"/>
          <w:spacing w:val="-2"/>
          <w:w w:val="120"/>
        </w:rPr>
        <w:t>à</w:t>
      </w:r>
      <w:r>
        <w:rPr>
          <w:color w:val="231F20"/>
          <w:spacing w:val="-14"/>
          <w:w w:val="120"/>
        </w:rPr>
        <w:t> </w:t>
      </w:r>
      <w:r>
        <w:rPr>
          <w:color w:val="231F20"/>
          <w:spacing w:val="-2"/>
          <w:w w:val="120"/>
        </w:rPr>
        <w:t>toucher,</w:t>
      </w:r>
      <w:r>
        <w:rPr>
          <w:color w:val="231F20"/>
          <w:spacing w:val="-15"/>
          <w:w w:val="120"/>
        </w:rPr>
        <w:t> </w:t>
      </w:r>
      <w:r>
        <w:rPr>
          <w:color w:val="231F20"/>
          <w:spacing w:val="-2"/>
          <w:w w:val="120"/>
        </w:rPr>
        <w:t>on</w:t>
      </w:r>
      <w:r>
        <w:rPr>
          <w:color w:val="231F20"/>
          <w:spacing w:val="-15"/>
          <w:w w:val="120"/>
        </w:rPr>
        <w:t> </w:t>
      </w:r>
      <w:r>
        <w:rPr>
          <w:color w:val="231F20"/>
          <w:spacing w:val="-2"/>
          <w:w w:val="120"/>
        </w:rPr>
        <w:t>obtient</w:t>
      </w:r>
      <w:r>
        <w:rPr>
          <w:color w:val="231F20"/>
          <w:spacing w:val="-15"/>
          <w:w w:val="120"/>
        </w:rPr>
        <w:t> </w:t>
      </w:r>
      <w:r>
        <w:rPr>
          <w:color w:val="231F20"/>
          <w:spacing w:val="-2"/>
          <w:w w:val="120"/>
        </w:rPr>
        <w:t>quatre</w:t>
      </w:r>
      <w:r>
        <w:rPr>
          <w:color w:val="231F20"/>
          <w:spacing w:val="-15"/>
          <w:w w:val="120"/>
        </w:rPr>
        <w:t> </w:t>
      </w:r>
      <w:r>
        <w:rPr>
          <w:color w:val="231F20"/>
          <w:spacing w:val="-2"/>
          <w:w w:val="120"/>
        </w:rPr>
        <w:t>théories</w:t>
      </w:r>
      <w:r>
        <w:rPr>
          <w:color w:val="231F20"/>
          <w:spacing w:val="-15"/>
          <w:w w:val="120"/>
        </w:rPr>
        <w:t> </w:t>
      </w:r>
      <w:r>
        <w:rPr>
          <w:color w:val="231F20"/>
          <w:spacing w:val="-2"/>
          <w:w w:val="120"/>
        </w:rPr>
        <w:t>isolées</w:t>
      </w:r>
    </w:p>
    <w:p>
      <w:pPr>
        <w:pStyle w:val="BodyText"/>
        <w:spacing w:before="5"/>
        <w:rPr>
          <w:sz w:val="18"/>
        </w:rPr>
      </w:pPr>
      <w:r>
        <w:rPr/>
        <w:pict>
          <v:shape style="position:absolute;margin-left:62.5pt;margin-top:11.839021pt;width:287.5pt;height:.1pt;mso-position-horizontal-relative:page;mso-position-vertical-relative:paragraph;z-index:-15639552;mso-wrap-distance-left:0;mso-wrap-distance-right:0" id="docshape988" coordorigin="1250,237" coordsize="5750,0" path="m1250,237l7000,237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40" w:lineRule="auto" w:before="135" w:after="0"/>
        <w:ind w:left="829" w:right="0" w:hanging="406"/>
        <w:jc w:val="left"/>
        <w:rPr>
          <w:rFonts w:ascii="Arial"/>
          <w:sz w:val="12"/>
        </w:rPr>
      </w:pPr>
      <w:r>
        <w:rPr>
          <w:rFonts w:ascii="Arial"/>
          <w:color w:val="231F20"/>
          <w:sz w:val="12"/>
        </w:rPr>
        <w:t>Dolan,</w:t>
      </w:r>
      <w:r>
        <w:rPr>
          <w:rFonts w:ascii="Arial"/>
          <w:color w:val="231F20"/>
          <w:spacing w:val="21"/>
          <w:sz w:val="12"/>
        </w:rPr>
        <w:t> </w:t>
      </w:r>
      <w:r>
        <w:rPr>
          <w:rFonts w:ascii="Arial"/>
          <w:color w:val="231F20"/>
          <w:sz w:val="12"/>
        </w:rPr>
        <w:t>S.</w:t>
      </w:r>
      <w:r>
        <w:rPr>
          <w:rFonts w:ascii="Arial"/>
          <w:color w:val="231F20"/>
          <w:spacing w:val="21"/>
          <w:sz w:val="12"/>
        </w:rPr>
        <w:t> </w:t>
      </w:r>
      <w:r>
        <w:rPr>
          <w:rFonts w:ascii="Arial"/>
          <w:color w:val="231F20"/>
          <w:sz w:val="12"/>
        </w:rPr>
        <w:t>L.,</w:t>
      </w:r>
      <w:r>
        <w:rPr>
          <w:rFonts w:ascii="Arial"/>
          <w:color w:val="231F20"/>
          <w:spacing w:val="21"/>
          <w:sz w:val="12"/>
        </w:rPr>
        <w:t> </w:t>
      </w:r>
      <w:r>
        <w:rPr>
          <w:rFonts w:ascii="Arial"/>
          <w:color w:val="231F20"/>
          <w:sz w:val="12"/>
        </w:rPr>
        <w:t>Garcia,</w:t>
      </w:r>
      <w:r>
        <w:rPr>
          <w:rFonts w:ascii="Arial"/>
          <w:color w:val="231F20"/>
          <w:spacing w:val="21"/>
          <w:sz w:val="12"/>
        </w:rPr>
        <w:t> </w:t>
      </w:r>
      <w:r>
        <w:rPr>
          <w:rFonts w:ascii="Arial"/>
          <w:color w:val="231F20"/>
          <w:sz w:val="12"/>
        </w:rPr>
        <w:t>S.</w:t>
      </w:r>
      <w:r>
        <w:rPr>
          <w:rFonts w:ascii="Arial"/>
          <w:color w:val="231F20"/>
          <w:spacing w:val="21"/>
          <w:sz w:val="12"/>
        </w:rPr>
        <w:t> </w:t>
      </w:r>
      <w:r>
        <w:rPr>
          <w:rFonts w:ascii="Arial"/>
          <w:color w:val="231F20"/>
          <w:sz w:val="12"/>
        </w:rPr>
        <w:t>et</w:t>
      </w:r>
      <w:r>
        <w:rPr>
          <w:rFonts w:ascii="Arial"/>
          <w:color w:val="231F20"/>
          <w:spacing w:val="21"/>
          <w:sz w:val="12"/>
        </w:rPr>
        <w:t> </w:t>
      </w:r>
      <w:r>
        <w:rPr>
          <w:rFonts w:ascii="Arial"/>
          <w:color w:val="231F20"/>
          <w:sz w:val="12"/>
        </w:rPr>
        <w:t>Auerbach,</w:t>
      </w:r>
      <w:r>
        <w:rPr>
          <w:rFonts w:ascii="Arial"/>
          <w:color w:val="231F20"/>
          <w:spacing w:val="21"/>
          <w:sz w:val="12"/>
        </w:rPr>
        <w:t> </w:t>
      </w:r>
      <w:r>
        <w:rPr>
          <w:rFonts w:ascii="Arial"/>
          <w:color w:val="231F20"/>
          <w:sz w:val="12"/>
        </w:rPr>
        <w:t>A.</w:t>
      </w:r>
      <w:r>
        <w:rPr>
          <w:rFonts w:ascii="Arial"/>
          <w:color w:val="231F20"/>
          <w:spacing w:val="22"/>
          <w:sz w:val="12"/>
        </w:rPr>
        <w:t> </w:t>
      </w:r>
      <w:r>
        <w:rPr>
          <w:rFonts w:ascii="Arial"/>
          <w:color w:val="231F20"/>
          <w:sz w:val="12"/>
        </w:rPr>
        <w:t>(2003).</w:t>
      </w:r>
      <w:r>
        <w:rPr>
          <w:rFonts w:ascii="Arial"/>
          <w:color w:val="231F20"/>
          <w:spacing w:val="21"/>
          <w:sz w:val="12"/>
        </w:rPr>
        <w:t> </w:t>
      </w:r>
      <w:r>
        <w:rPr>
          <w:rFonts w:ascii="Arial"/>
          <w:color w:val="231F20"/>
          <w:sz w:val="12"/>
        </w:rPr>
        <w:t>Understanding</w:t>
      </w:r>
      <w:r>
        <w:rPr>
          <w:rFonts w:ascii="Arial"/>
          <w:color w:val="231F20"/>
          <w:spacing w:val="21"/>
          <w:sz w:val="12"/>
        </w:rPr>
        <w:t> </w:t>
      </w:r>
      <w:r>
        <w:rPr>
          <w:rFonts w:ascii="Arial"/>
          <w:color w:val="231F20"/>
          <w:sz w:val="12"/>
        </w:rPr>
        <w:t>and</w:t>
      </w:r>
      <w:r>
        <w:rPr>
          <w:rFonts w:ascii="Arial"/>
          <w:color w:val="231F20"/>
          <w:spacing w:val="21"/>
          <w:sz w:val="12"/>
        </w:rPr>
        <w:t> </w:t>
      </w:r>
      <w:r>
        <w:rPr>
          <w:rFonts w:ascii="Arial"/>
          <w:color w:val="231F20"/>
          <w:sz w:val="12"/>
        </w:rPr>
        <w:t>managing</w:t>
      </w:r>
      <w:r>
        <w:rPr>
          <w:rFonts w:ascii="Arial"/>
          <w:color w:val="231F20"/>
          <w:spacing w:val="21"/>
          <w:sz w:val="12"/>
        </w:rPr>
        <w:t> </w:t>
      </w:r>
      <w:r>
        <w:rPr>
          <w:rFonts w:ascii="Arial"/>
          <w:color w:val="231F20"/>
          <w:sz w:val="12"/>
        </w:rPr>
        <w:t>chaos</w:t>
      </w:r>
      <w:r>
        <w:rPr>
          <w:rFonts w:ascii="Arial"/>
          <w:color w:val="231F20"/>
          <w:spacing w:val="21"/>
          <w:sz w:val="12"/>
        </w:rPr>
        <w:t> </w:t>
      </w:r>
      <w:r>
        <w:rPr>
          <w:rFonts w:ascii="Arial"/>
          <w:color w:val="231F20"/>
          <w:sz w:val="12"/>
        </w:rPr>
        <w:t>in</w:t>
      </w:r>
      <w:r>
        <w:rPr>
          <w:rFonts w:ascii="Arial"/>
          <w:color w:val="231F20"/>
          <w:spacing w:val="21"/>
          <w:sz w:val="12"/>
        </w:rPr>
        <w:t> </w:t>
      </w:r>
      <w:r>
        <w:rPr>
          <w:rFonts w:ascii="Arial"/>
          <w:color w:val="231F20"/>
          <w:spacing w:val="-2"/>
          <w:sz w:val="12"/>
        </w:rPr>
        <w:t>organizations,</w:t>
      </w:r>
    </w:p>
    <w:p>
      <w:pPr>
        <w:spacing w:before="32"/>
        <w:ind w:left="829" w:right="0" w:firstLine="0"/>
        <w:jc w:val="left"/>
        <w:rPr>
          <w:rFonts w:ascii="Arial"/>
          <w:sz w:val="12"/>
        </w:rPr>
      </w:pPr>
      <w:r>
        <w:rPr>
          <w:rFonts w:ascii="Arial"/>
          <w:i/>
          <w:color w:val="231F20"/>
          <w:sz w:val="12"/>
        </w:rPr>
        <w:t>International</w:t>
      </w:r>
      <w:r>
        <w:rPr>
          <w:rFonts w:ascii="Arial"/>
          <w:i/>
          <w:color w:val="231F20"/>
          <w:spacing w:val="2"/>
          <w:sz w:val="12"/>
        </w:rPr>
        <w:t> </w:t>
      </w:r>
      <w:r>
        <w:rPr>
          <w:rFonts w:ascii="Arial"/>
          <w:i/>
          <w:color w:val="231F20"/>
          <w:sz w:val="12"/>
        </w:rPr>
        <w:t>Journal</w:t>
      </w:r>
      <w:r>
        <w:rPr>
          <w:rFonts w:ascii="Arial"/>
          <w:i/>
          <w:color w:val="231F20"/>
          <w:spacing w:val="3"/>
          <w:sz w:val="12"/>
        </w:rPr>
        <w:t> </w:t>
      </w:r>
      <w:r>
        <w:rPr>
          <w:rFonts w:ascii="Arial"/>
          <w:i/>
          <w:color w:val="231F20"/>
          <w:sz w:val="12"/>
        </w:rPr>
        <w:t>of</w:t>
      </w:r>
      <w:r>
        <w:rPr>
          <w:rFonts w:ascii="Arial"/>
          <w:i/>
          <w:color w:val="231F20"/>
          <w:spacing w:val="3"/>
          <w:sz w:val="12"/>
        </w:rPr>
        <w:t> </w:t>
      </w:r>
      <w:r>
        <w:rPr>
          <w:rFonts w:ascii="Arial"/>
          <w:i/>
          <w:color w:val="231F20"/>
          <w:sz w:val="12"/>
        </w:rPr>
        <w:t>Management</w:t>
      </w:r>
      <w:r>
        <w:rPr>
          <w:rFonts w:ascii="Arial"/>
          <w:color w:val="231F20"/>
          <w:sz w:val="12"/>
        </w:rPr>
        <w:t>,</w:t>
      </w:r>
      <w:r>
        <w:rPr>
          <w:rFonts w:ascii="Arial"/>
          <w:color w:val="231F20"/>
          <w:spacing w:val="3"/>
          <w:sz w:val="12"/>
        </w:rPr>
        <w:t> </w:t>
      </w:r>
      <w:r>
        <w:rPr>
          <w:rFonts w:ascii="Arial"/>
          <w:i/>
          <w:color w:val="231F20"/>
          <w:sz w:val="12"/>
        </w:rPr>
        <w:t>20</w:t>
      </w:r>
      <w:r>
        <w:rPr>
          <w:rFonts w:ascii="Arial"/>
          <w:color w:val="231F20"/>
          <w:sz w:val="12"/>
        </w:rPr>
        <w:t>,</w:t>
      </w:r>
      <w:r>
        <w:rPr>
          <w:rFonts w:ascii="Arial"/>
          <w:color w:val="231F20"/>
          <w:spacing w:val="3"/>
          <w:sz w:val="12"/>
        </w:rPr>
        <w:t> </w:t>
      </w:r>
      <w:r>
        <w:rPr>
          <w:rFonts w:ascii="Arial"/>
          <w:color w:val="231F20"/>
          <w:sz w:val="12"/>
        </w:rPr>
        <w:t>23-</w:t>
      </w:r>
      <w:r>
        <w:rPr>
          <w:rFonts w:ascii="Arial"/>
          <w:color w:val="231F20"/>
          <w:spacing w:val="-5"/>
          <w:sz w:val="12"/>
        </w:rPr>
        <w:t>36.</w:t>
      </w:r>
    </w:p>
    <w:p>
      <w:pPr>
        <w:spacing w:after="0"/>
        <w:jc w:val="left"/>
        <w:rPr>
          <w:rFonts w:ascii="Arial"/>
          <w:sz w:val="12"/>
        </w:rPr>
        <w:sectPr>
          <w:footerReference w:type="default" r:id="rId270"/>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1"/>
        <w:jc w:val="both"/>
      </w:pPr>
      <w:r>
        <w:rPr>
          <w:color w:val="231F20"/>
          <w:w w:val="120"/>
        </w:rPr>
        <w:t>sur la nature du pachyderme. La même vision partielle et limitée de la réalité globale s’applique aux théories organisationnelles du passé. Malheureusement,</w:t>
      </w:r>
      <w:r>
        <w:rPr>
          <w:color w:val="231F20"/>
          <w:spacing w:val="-13"/>
          <w:w w:val="120"/>
        </w:rPr>
        <w:t> </w:t>
      </w:r>
      <w:r>
        <w:rPr>
          <w:color w:val="231F20"/>
          <w:w w:val="120"/>
        </w:rPr>
        <w:t>la</w:t>
      </w:r>
      <w:r>
        <w:rPr>
          <w:color w:val="231F20"/>
          <w:spacing w:val="-13"/>
          <w:w w:val="120"/>
        </w:rPr>
        <w:t> </w:t>
      </w:r>
      <w:r>
        <w:rPr>
          <w:color w:val="231F20"/>
          <w:w w:val="120"/>
        </w:rPr>
        <w:t>réalité</w:t>
      </w:r>
      <w:r>
        <w:rPr>
          <w:color w:val="231F20"/>
          <w:spacing w:val="-13"/>
          <w:w w:val="120"/>
        </w:rPr>
        <w:t> </w:t>
      </w:r>
      <w:r>
        <w:rPr>
          <w:color w:val="231F20"/>
          <w:w w:val="120"/>
        </w:rPr>
        <w:t>n’est</w:t>
      </w:r>
      <w:r>
        <w:rPr>
          <w:color w:val="231F20"/>
          <w:spacing w:val="-12"/>
          <w:w w:val="120"/>
        </w:rPr>
        <w:t> </w:t>
      </w:r>
      <w:r>
        <w:rPr>
          <w:color w:val="231F20"/>
          <w:w w:val="120"/>
        </w:rPr>
        <w:t>pas</w:t>
      </w:r>
      <w:r>
        <w:rPr>
          <w:color w:val="231F20"/>
          <w:spacing w:val="-13"/>
          <w:w w:val="120"/>
        </w:rPr>
        <w:t> </w:t>
      </w:r>
      <w:r>
        <w:rPr>
          <w:color w:val="231F20"/>
          <w:w w:val="120"/>
        </w:rPr>
        <w:t>aussi</w:t>
      </w:r>
      <w:r>
        <w:rPr>
          <w:color w:val="231F20"/>
          <w:spacing w:val="-13"/>
          <w:w w:val="120"/>
        </w:rPr>
        <w:t> </w:t>
      </w:r>
      <w:r>
        <w:rPr>
          <w:color w:val="231F20"/>
          <w:w w:val="120"/>
        </w:rPr>
        <w:t>simple</w:t>
      </w:r>
      <w:r>
        <w:rPr>
          <w:color w:val="231F20"/>
          <w:spacing w:val="-13"/>
          <w:w w:val="120"/>
        </w:rPr>
        <w:t> </w:t>
      </w:r>
      <w:r>
        <w:rPr>
          <w:color w:val="231F20"/>
          <w:w w:val="120"/>
        </w:rPr>
        <w:t>que</w:t>
      </w:r>
      <w:r>
        <w:rPr>
          <w:color w:val="231F20"/>
          <w:spacing w:val="-12"/>
          <w:w w:val="120"/>
        </w:rPr>
        <w:t> </w:t>
      </w:r>
      <w:r>
        <w:rPr>
          <w:color w:val="231F20"/>
          <w:w w:val="120"/>
        </w:rPr>
        <w:t>nous</w:t>
      </w:r>
      <w:r>
        <w:rPr>
          <w:color w:val="231F20"/>
          <w:spacing w:val="-13"/>
          <w:w w:val="120"/>
        </w:rPr>
        <w:t> </w:t>
      </w:r>
      <w:r>
        <w:rPr>
          <w:color w:val="231F20"/>
          <w:w w:val="120"/>
        </w:rPr>
        <w:t>le</w:t>
      </w:r>
      <w:r>
        <w:rPr>
          <w:color w:val="231F20"/>
          <w:spacing w:val="-13"/>
          <w:w w:val="120"/>
        </w:rPr>
        <w:t> </w:t>
      </w:r>
      <w:r>
        <w:rPr>
          <w:color w:val="231F20"/>
          <w:w w:val="120"/>
        </w:rPr>
        <w:t>souhaite- </w:t>
      </w:r>
      <w:r>
        <w:rPr>
          <w:color w:val="231F20"/>
          <w:w w:val="115"/>
        </w:rPr>
        <w:t>rions.</w:t>
      </w:r>
      <w:r>
        <w:rPr>
          <w:color w:val="231F20"/>
          <w:spacing w:val="-13"/>
          <w:w w:val="115"/>
        </w:rPr>
        <w:t> </w:t>
      </w:r>
      <w:r>
        <w:rPr>
          <w:color w:val="231F20"/>
          <w:w w:val="115"/>
        </w:rPr>
        <w:t>Elle</w:t>
      </w:r>
      <w:r>
        <w:rPr>
          <w:color w:val="231F20"/>
          <w:spacing w:val="-12"/>
          <w:w w:val="115"/>
        </w:rPr>
        <w:t> </w:t>
      </w:r>
      <w:r>
        <w:rPr>
          <w:color w:val="231F20"/>
          <w:w w:val="115"/>
        </w:rPr>
        <w:t>a</w:t>
      </w:r>
      <w:r>
        <w:rPr>
          <w:color w:val="231F20"/>
          <w:spacing w:val="-12"/>
          <w:w w:val="115"/>
        </w:rPr>
        <w:t> </w:t>
      </w:r>
      <w:r>
        <w:rPr>
          <w:color w:val="231F20"/>
          <w:w w:val="115"/>
        </w:rPr>
        <w:t>des</w:t>
      </w:r>
      <w:r>
        <w:rPr>
          <w:color w:val="231F20"/>
          <w:spacing w:val="-12"/>
          <w:w w:val="115"/>
        </w:rPr>
        <w:t> </w:t>
      </w:r>
      <w:r>
        <w:rPr>
          <w:color w:val="231F20"/>
          <w:w w:val="115"/>
        </w:rPr>
        <w:t>règles</w:t>
      </w:r>
      <w:r>
        <w:rPr>
          <w:color w:val="231F20"/>
          <w:spacing w:val="-13"/>
          <w:w w:val="115"/>
        </w:rPr>
        <w:t> </w:t>
      </w:r>
      <w:r>
        <w:rPr>
          <w:color w:val="231F20"/>
          <w:w w:val="115"/>
        </w:rPr>
        <w:t>complexes</w:t>
      </w:r>
      <w:r>
        <w:rPr>
          <w:color w:val="231F20"/>
          <w:spacing w:val="-12"/>
          <w:w w:val="115"/>
        </w:rPr>
        <w:t> </w:t>
      </w:r>
      <w:r>
        <w:rPr>
          <w:color w:val="231F20"/>
          <w:w w:val="115"/>
        </w:rPr>
        <w:t>que</w:t>
      </w:r>
      <w:r>
        <w:rPr>
          <w:color w:val="231F20"/>
          <w:spacing w:val="-12"/>
          <w:w w:val="115"/>
        </w:rPr>
        <w:t> </w:t>
      </w:r>
      <w:r>
        <w:rPr>
          <w:color w:val="231F20"/>
          <w:w w:val="115"/>
        </w:rPr>
        <w:t>l’étude</w:t>
      </w:r>
      <w:r>
        <w:rPr>
          <w:color w:val="231F20"/>
          <w:spacing w:val="-12"/>
          <w:w w:val="115"/>
        </w:rPr>
        <w:t> </w:t>
      </w:r>
      <w:r>
        <w:rPr>
          <w:color w:val="231F20"/>
          <w:w w:val="115"/>
        </w:rPr>
        <w:t>de</w:t>
      </w:r>
      <w:r>
        <w:rPr>
          <w:color w:val="231F20"/>
          <w:spacing w:val="-12"/>
          <w:w w:val="115"/>
        </w:rPr>
        <w:t> </w:t>
      </w:r>
      <w:r>
        <w:rPr>
          <w:color w:val="231F20"/>
          <w:w w:val="115"/>
        </w:rPr>
        <w:t>chacune</w:t>
      </w:r>
      <w:r>
        <w:rPr>
          <w:color w:val="231F20"/>
          <w:spacing w:val="-13"/>
          <w:w w:val="115"/>
        </w:rPr>
        <w:t> </w:t>
      </w:r>
      <w:r>
        <w:rPr>
          <w:color w:val="231F20"/>
          <w:w w:val="115"/>
        </w:rPr>
        <w:t>des</w:t>
      </w:r>
      <w:r>
        <w:rPr>
          <w:color w:val="231F20"/>
          <w:spacing w:val="-12"/>
          <w:w w:val="115"/>
        </w:rPr>
        <w:t> </w:t>
      </w:r>
      <w:r>
        <w:rPr>
          <w:color w:val="231F20"/>
          <w:w w:val="115"/>
        </w:rPr>
        <w:t>composantes </w:t>
      </w:r>
      <w:r>
        <w:rPr>
          <w:color w:val="231F20"/>
          <w:w w:val="120"/>
        </w:rPr>
        <w:t>ne permet pas toujours de comprendre.</w:t>
      </w:r>
    </w:p>
    <w:p>
      <w:pPr>
        <w:pStyle w:val="BodyText"/>
        <w:spacing w:line="307" w:lineRule="auto" w:before="79"/>
        <w:ind w:left="1220" w:right="106" w:firstLine="250"/>
        <w:jc w:val="right"/>
      </w:pPr>
      <w:r>
        <w:rPr>
          <w:color w:val="231F20"/>
          <w:spacing w:val="-2"/>
          <w:w w:val="120"/>
        </w:rPr>
        <w:t>Bon</w:t>
      </w:r>
      <w:r>
        <w:rPr>
          <w:color w:val="231F20"/>
          <w:spacing w:val="-12"/>
          <w:w w:val="120"/>
        </w:rPr>
        <w:t> </w:t>
      </w:r>
      <w:r>
        <w:rPr>
          <w:color w:val="231F20"/>
          <w:spacing w:val="-2"/>
          <w:w w:val="120"/>
        </w:rPr>
        <w:t>nombre</w:t>
      </w:r>
      <w:r>
        <w:rPr>
          <w:color w:val="231F20"/>
          <w:spacing w:val="-12"/>
          <w:w w:val="120"/>
        </w:rPr>
        <w:t> </w:t>
      </w:r>
      <w:r>
        <w:rPr>
          <w:color w:val="231F20"/>
          <w:spacing w:val="-2"/>
          <w:w w:val="120"/>
        </w:rPr>
        <w:t>d’articles</w:t>
      </w:r>
      <w:r>
        <w:rPr>
          <w:color w:val="231F20"/>
          <w:spacing w:val="-12"/>
          <w:w w:val="120"/>
        </w:rPr>
        <w:t> </w:t>
      </w:r>
      <w:r>
        <w:rPr>
          <w:color w:val="231F20"/>
          <w:spacing w:val="-2"/>
          <w:w w:val="120"/>
        </w:rPr>
        <w:t>publiés</w:t>
      </w:r>
      <w:r>
        <w:rPr>
          <w:color w:val="231F20"/>
          <w:spacing w:val="-12"/>
          <w:w w:val="120"/>
        </w:rPr>
        <w:t> </w:t>
      </w:r>
      <w:r>
        <w:rPr>
          <w:color w:val="231F20"/>
          <w:spacing w:val="-2"/>
          <w:w w:val="120"/>
        </w:rPr>
        <w:t>dans</w:t>
      </w:r>
      <w:r>
        <w:rPr>
          <w:color w:val="231F20"/>
          <w:spacing w:val="-12"/>
          <w:w w:val="120"/>
        </w:rPr>
        <w:t> </w:t>
      </w:r>
      <w:r>
        <w:rPr>
          <w:color w:val="231F20"/>
          <w:spacing w:val="-2"/>
          <w:w w:val="120"/>
        </w:rPr>
        <w:t>des</w:t>
      </w:r>
      <w:r>
        <w:rPr>
          <w:color w:val="231F20"/>
          <w:spacing w:val="-12"/>
          <w:w w:val="120"/>
        </w:rPr>
        <w:t> </w:t>
      </w:r>
      <w:r>
        <w:rPr>
          <w:color w:val="231F20"/>
          <w:spacing w:val="-2"/>
          <w:w w:val="120"/>
        </w:rPr>
        <w:t>revues</w:t>
      </w:r>
      <w:r>
        <w:rPr>
          <w:color w:val="231F20"/>
          <w:spacing w:val="-12"/>
          <w:w w:val="120"/>
        </w:rPr>
        <w:t> </w:t>
      </w:r>
      <w:r>
        <w:rPr>
          <w:color w:val="231F20"/>
          <w:spacing w:val="-2"/>
          <w:w w:val="120"/>
        </w:rPr>
        <w:t>scientifiques</w:t>
      </w:r>
      <w:r>
        <w:rPr>
          <w:color w:val="231F20"/>
          <w:spacing w:val="-12"/>
          <w:w w:val="120"/>
        </w:rPr>
        <w:t> </w:t>
      </w:r>
      <w:r>
        <w:rPr>
          <w:color w:val="231F20"/>
          <w:spacing w:val="-2"/>
          <w:w w:val="120"/>
        </w:rPr>
        <w:t>et</w:t>
      </w:r>
      <w:r>
        <w:rPr>
          <w:color w:val="231F20"/>
          <w:spacing w:val="-12"/>
          <w:w w:val="120"/>
        </w:rPr>
        <w:t> </w:t>
      </w:r>
      <w:r>
        <w:rPr>
          <w:color w:val="231F20"/>
          <w:spacing w:val="-2"/>
          <w:w w:val="120"/>
        </w:rPr>
        <w:t>de</w:t>
      </w:r>
      <w:r>
        <w:rPr>
          <w:color w:val="231F20"/>
          <w:spacing w:val="-12"/>
          <w:w w:val="120"/>
        </w:rPr>
        <w:t> </w:t>
      </w:r>
      <w:r>
        <w:rPr>
          <w:color w:val="231F20"/>
          <w:spacing w:val="-2"/>
          <w:w w:val="120"/>
        </w:rPr>
        <w:t>vul- </w:t>
      </w:r>
      <w:r>
        <w:rPr>
          <w:color w:val="231F20"/>
          <w:w w:val="120"/>
        </w:rPr>
        <w:t>garisation</w:t>
      </w:r>
      <w:r>
        <w:rPr>
          <w:color w:val="231F20"/>
          <w:spacing w:val="-12"/>
          <w:w w:val="120"/>
        </w:rPr>
        <w:t> </w:t>
      </w:r>
      <w:r>
        <w:rPr>
          <w:color w:val="231F20"/>
          <w:w w:val="120"/>
        </w:rPr>
        <w:t>mettent</w:t>
      </w:r>
      <w:r>
        <w:rPr>
          <w:color w:val="231F20"/>
          <w:spacing w:val="-11"/>
          <w:w w:val="120"/>
        </w:rPr>
        <w:t> </w:t>
      </w:r>
      <w:r>
        <w:rPr>
          <w:color w:val="231F20"/>
          <w:w w:val="120"/>
        </w:rPr>
        <w:t>de</w:t>
      </w:r>
      <w:r>
        <w:rPr>
          <w:color w:val="231F20"/>
          <w:spacing w:val="-11"/>
          <w:w w:val="120"/>
        </w:rPr>
        <w:t> </w:t>
      </w:r>
      <w:r>
        <w:rPr>
          <w:color w:val="231F20"/>
          <w:w w:val="120"/>
        </w:rPr>
        <w:t>l’avant</w:t>
      </w:r>
      <w:r>
        <w:rPr>
          <w:color w:val="231F20"/>
          <w:spacing w:val="-11"/>
          <w:w w:val="120"/>
        </w:rPr>
        <w:t> </w:t>
      </w:r>
      <w:r>
        <w:rPr>
          <w:color w:val="231F20"/>
          <w:w w:val="120"/>
        </w:rPr>
        <w:t>l’idée</w:t>
      </w:r>
      <w:r>
        <w:rPr>
          <w:color w:val="231F20"/>
          <w:spacing w:val="-11"/>
          <w:w w:val="120"/>
        </w:rPr>
        <w:t> </w:t>
      </w:r>
      <w:r>
        <w:rPr>
          <w:color w:val="231F20"/>
          <w:w w:val="120"/>
        </w:rPr>
        <w:t>que</w:t>
      </w:r>
      <w:r>
        <w:rPr>
          <w:color w:val="231F20"/>
          <w:spacing w:val="-11"/>
          <w:w w:val="120"/>
        </w:rPr>
        <w:t> </w:t>
      </w:r>
      <w:r>
        <w:rPr>
          <w:color w:val="231F20"/>
          <w:w w:val="120"/>
        </w:rPr>
        <w:t>la</w:t>
      </w:r>
      <w:r>
        <w:rPr>
          <w:color w:val="231F20"/>
          <w:spacing w:val="-11"/>
          <w:w w:val="120"/>
        </w:rPr>
        <w:t> </w:t>
      </w:r>
      <w:r>
        <w:rPr>
          <w:color w:val="231F20"/>
          <w:w w:val="120"/>
        </w:rPr>
        <w:t>nouvelle</w:t>
      </w:r>
      <w:r>
        <w:rPr>
          <w:color w:val="231F20"/>
          <w:spacing w:val="-11"/>
          <w:w w:val="120"/>
        </w:rPr>
        <w:t> </w:t>
      </w:r>
      <w:r>
        <w:rPr>
          <w:color w:val="231F20"/>
          <w:w w:val="120"/>
        </w:rPr>
        <w:t>économie</w:t>
      </w:r>
      <w:r>
        <w:rPr>
          <w:color w:val="231F20"/>
          <w:spacing w:val="-11"/>
          <w:w w:val="120"/>
        </w:rPr>
        <w:t> </w:t>
      </w:r>
      <w:r>
        <w:rPr>
          <w:color w:val="231F20"/>
          <w:spacing w:val="-2"/>
          <w:w w:val="120"/>
        </w:rPr>
        <w:t>mondiale</w:t>
      </w:r>
    </w:p>
    <w:p>
      <w:pPr>
        <w:pStyle w:val="BodyText"/>
        <w:spacing w:line="194" w:lineRule="exact"/>
        <w:ind w:left="732" w:right="107"/>
        <w:jc w:val="right"/>
      </w:pPr>
      <w:r>
        <w:rPr>
          <w:color w:val="231F20"/>
          <w:w w:val="115"/>
        </w:rPr>
        <w:t>du</w:t>
      </w:r>
      <w:r>
        <w:rPr>
          <w:color w:val="231F20"/>
          <w:spacing w:val="-13"/>
          <w:w w:val="115"/>
        </w:rPr>
        <w:t> </w:t>
      </w:r>
      <w:r>
        <w:rPr>
          <w:color w:val="231F20"/>
          <w:w w:val="115"/>
        </w:rPr>
        <w:t>XXI</w:t>
      </w:r>
      <w:r>
        <w:rPr>
          <w:color w:val="231F20"/>
          <w:w w:val="115"/>
          <w:position w:val="6"/>
          <w:sz w:val="10"/>
        </w:rPr>
        <w:t>e</w:t>
      </w:r>
      <w:r>
        <w:rPr>
          <w:color w:val="231F20"/>
          <w:spacing w:val="8"/>
          <w:w w:val="115"/>
          <w:position w:val="6"/>
          <w:sz w:val="10"/>
        </w:rPr>
        <w:t> </w:t>
      </w:r>
      <w:r>
        <w:rPr>
          <w:color w:val="231F20"/>
          <w:w w:val="115"/>
        </w:rPr>
        <w:t>siècle</w:t>
      </w:r>
      <w:r>
        <w:rPr>
          <w:color w:val="231F20"/>
          <w:spacing w:val="-13"/>
          <w:w w:val="115"/>
        </w:rPr>
        <w:t> </w:t>
      </w:r>
      <w:r>
        <w:rPr>
          <w:color w:val="231F20"/>
          <w:w w:val="115"/>
        </w:rPr>
        <w:t>force</w:t>
      </w:r>
      <w:r>
        <w:rPr>
          <w:color w:val="231F20"/>
          <w:spacing w:val="-13"/>
          <w:w w:val="115"/>
        </w:rPr>
        <w:t> </w:t>
      </w:r>
      <w:r>
        <w:rPr>
          <w:color w:val="231F20"/>
          <w:w w:val="115"/>
        </w:rPr>
        <w:t>la</w:t>
      </w:r>
      <w:r>
        <w:rPr>
          <w:color w:val="231F20"/>
          <w:spacing w:val="-12"/>
          <w:w w:val="115"/>
        </w:rPr>
        <w:t> </w:t>
      </w:r>
      <w:r>
        <w:rPr>
          <w:color w:val="231F20"/>
          <w:w w:val="115"/>
        </w:rPr>
        <w:t>plupart</w:t>
      </w:r>
      <w:r>
        <w:rPr>
          <w:color w:val="231F20"/>
          <w:spacing w:val="-13"/>
          <w:w w:val="115"/>
        </w:rPr>
        <w:t> </w:t>
      </w:r>
      <w:r>
        <w:rPr>
          <w:color w:val="231F20"/>
          <w:w w:val="115"/>
        </w:rPr>
        <w:t>des</w:t>
      </w:r>
      <w:r>
        <w:rPr>
          <w:color w:val="231F20"/>
          <w:spacing w:val="-13"/>
          <w:w w:val="115"/>
        </w:rPr>
        <w:t> </w:t>
      </w:r>
      <w:r>
        <w:rPr>
          <w:color w:val="231F20"/>
          <w:spacing w:val="-2"/>
          <w:w w:val="115"/>
        </w:rPr>
        <w:t>organisations</w:t>
      </w:r>
    </w:p>
    <w:p>
      <w:pPr>
        <w:spacing w:after="0" w:line="194" w:lineRule="exact"/>
        <w:jc w:val="right"/>
        <w:sectPr>
          <w:footerReference w:type="default" r:id="rId272"/>
          <w:pgSz w:w="8640" w:h="12960"/>
          <w:pgMar w:footer="424" w:header="0" w:top="500" w:bottom="620" w:left="420" w:right="1140"/>
        </w:sectPr>
      </w:pPr>
    </w:p>
    <w:p>
      <w:pPr>
        <w:spacing w:line="268" w:lineRule="auto" w:before="33"/>
        <w:ind w:left="1227" w:right="0" w:firstLine="276"/>
        <w:jc w:val="right"/>
        <w:rPr>
          <w:rFonts w:ascii="Arial" w:hAnsi="Arial"/>
          <w:sz w:val="14"/>
        </w:rPr>
      </w:pPr>
      <w:r>
        <w:rPr>
          <w:rFonts w:ascii="Arial" w:hAnsi="Arial"/>
          <w:color w:val="231F20"/>
          <w:sz w:val="14"/>
        </w:rPr>
        <w:t>L’humilité</w:t>
      </w:r>
      <w:r>
        <w:rPr>
          <w:rFonts w:ascii="Arial" w:hAnsi="Arial"/>
          <w:color w:val="231F20"/>
          <w:spacing w:val="-1"/>
          <w:sz w:val="14"/>
        </w:rPr>
        <w:t> </w:t>
      </w:r>
      <w:r>
        <w:rPr>
          <w:rFonts w:ascii="Arial" w:hAnsi="Arial"/>
          <w:color w:val="231F20"/>
          <w:sz w:val="14"/>
        </w:rPr>
        <w:t>est</w:t>
      </w:r>
      <w:r>
        <w:rPr>
          <w:rFonts w:ascii="Arial" w:hAnsi="Arial"/>
          <w:color w:val="231F20"/>
          <w:spacing w:val="-1"/>
          <w:sz w:val="14"/>
        </w:rPr>
        <w:t> </w:t>
      </w:r>
      <w:r>
        <w:rPr>
          <w:rFonts w:ascii="Arial" w:hAnsi="Arial"/>
          <w:color w:val="231F20"/>
          <w:sz w:val="14"/>
        </w:rPr>
        <w:t>une</w:t>
      </w:r>
      <w:r>
        <w:rPr>
          <w:rFonts w:ascii="Arial" w:hAnsi="Arial"/>
          <w:color w:val="231F20"/>
          <w:spacing w:val="-1"/>
          <w:sz w:val="14"/>
        </w:rPr>
        <w:t> </w:t>
      </w:r>
      <w:r>
        <w:rPr>
          <w:rFonts w:ascii="Arial" w:hAnsi="Arial"/>
          <w:color w:val="231F20"/>
          <w:sz w:val="14"/>
        </w:rPr>
        <w:t>vertu</w:t>
      </w:r>
      <w:r>
        <w:rPr>
          <w:rFonts w:ascii="Arial" w:hAnsi="Arial"/>
          <w:color w:val="231F20"/>
          <w:spacing w:val="40"/>
          <w:sz w:val="14"/>
        </w:rPr>
        <w:t> </w:t>
      </w:r>
      <w:r>
        <w:rPr>
          <w:rFonts w:ascii="Arial" w:hAnsi="Arial"/>
          <w:color w:val="231F20"/>
          <w:sz w:val="14"/>
        </w:rPr>
        <w:t>qu’une organisation a tout</w:t>
      </w:r>
      <w:r>
        <w:rPr>
          <w:rFonts w:ascii="Arial" w:hAnsi="Arial"/>
          <w:color w:val="231F20"/>
          <w:spacing w:val="40"/>
          <w:sz w:val="14"/>
        </w:rPr>
        <w:t> </w:t>
      </w:r>
      <w:r>
        <w:rPr>
          <w:rFonts w:ascii="Arial" w:hAnsi="Arial"/>
          <w:color w:val="231F20"/>
          <w:sz w:val="14"/>
        </w:rPr>
        <w:t>intérêt à valoriser si elle</w:t>
      </w:r>
      <w:r>
        <w:rPr>
          <w:rFonts w:ascii="Arial" w:hAnsi="Arial"/>
          <w:color w:val="231F20"/>
          <w:spacing w:val="40"/>
          <w:sz w:val="14"/>
        </w:rPr>
        <w:t> </w:t>
      </w:r>
      <w:r>
        <w:rPr>
          <w:rFonts w:ascii="Arial" w:hAnsi="Arial"/>
          <w:color w:val="231F20"/>
          <w:sz w:val="14"/>
        </w:rPr>
        <w:t>cherche</w:t>
      </w:r>
      <w:r>
        <w:rPr>
          <w:rFonts w:ascii="Arial" w:hAnsi="Arial"/>
          <w:color w:val="231F20"/>
          <w:spacing w:val="-10"/>
          <w:sz w:val="14"/>
        </w:rPr>
        <w:t> </w:t>
      </w:r>
      <w:r>
        <w:rPr>
          <w:rFonts w:ascii="Arial" w:hAnsi="Arial"/>
          <w:color w:val="231F20"/>
          <w:sz w:val="14"/>
        </w:rPr>
        <w:t>à</w:t>
      </w:r>
      <w:r>
        <w:rPr>
          <w:rFonts w:ascii="Arial" w:hAnsi="Arial"/>
          <w:color w:val="231F20"/>
          <w:spacing w:val="-10"/>
          <w:sz w:val="14"/>
        </w:rPr>
        <w:t> </w:t>
      </w:r>
      <w:r>
        <w:rPr>
          <w:rFonts w:ascii="Arial" w:hAnsi="Arial"/>
          <w:color w:val="231F20"/>
          <w:sz w:val="14"/>
        </w:rPr>
        <w:t>créer</w:t>
      </w:r>
      <w:r>
        <w:rPr>
          <w:rFonts w:ascii="Arial" w:hAnsi="Arial"/>
          <w:color w:val="231F20"/>
          <w:spacing w:val="-10"/>
          <w:sz w:val="14"/>
        </w:rPr>
        <w:t> </w:t>
      </w:r>
      <w:r>
        <w:rPr>
          <w:rFonts w:ascii="Arial" w:hAnsi="Arial"/>
          <w:color w:val="231F20"/>
          <w:sz w:val="14"/>
        </w:rPr>
        <w:t>un</w:t>
      </w:r>
      <w:r>
        <w:rPr>
          <w:rFonts w:ascii="Arial" w:hAnsi="Arial"/>
          <w:color w:val="231F20"/>
          <w:spacing w:val="-9"/>
          <w:sz w:val="14"/>
        </w:rPr>
        <w:t> </w:t>
      </w:r>
      <w:r>
        <w:rPr>
          <w:rFonts w:ascii="Arial" w:hAnsi="Arial"/>
          <w:color w:val="231F20"/>
          <w:sz w:val="14"/>
        </w:rPr>
        <w:t>climat</w:t>
      </w:r>
      <w:r>
        <w:rPr>
          <w:rFonts w:ascii="Arial" w:hAnsi="Arial"/>
          <w:color w:val="231F20"/>
          <w:spacing w:val="-10"/>
          <w:sz w:val="14"/>
        </w:rPr>
        <w:t> </w:t>
      </w:r>
      <w:r>
        <w:rPr>
          <w:rFonts w:ascii="Arial" w:hAnsi="Arial"/>
          <w:color w:val="231F20"/>
          <w:sz w:val="14"/>
        </w:rPr>
        <w:t>de</w:t>
      </w:r>
      <w:r>
        <w:rPr>
          <w:rFonts w:ascii="Arial" w:hAnsi="Arial"/>
          <w:color w:val="231F20"/>
          <w:spacing w:val="40"/>
          <w:sz w:val="14"/>
        </w:rPr>
        <w:t> </w:t>
      </w:r>
      <w:r>
        <w:rPr>
          <w:rFonts w:ascii="Arial" w:hAnsi="Arial"/>
          <w:color w:val="231F20"/>
          <w:sz w:val="14"/>
        </w:rPr>
        <w:t>travail de bienveillance</w:t>
      </w:r>
    </w:p>
    <w:p>
      <w:pPr>
        <w:spacing w:line="268" w:lineRule="auto" w:before="0"/>
        <w:ind w:left="1262" w:right="0" w:firstLine="454"/>
        <w:jc w:val="right"/>
        <w:rPr>
          <w:rFonts w:ascii="Arial" w:hAnsi="Arial"/>
          <w:sz w:val="14"/>
        </w:rPr>
      </w:pPr>
      <w:r>
        <w:rPr>
          <w:rFonts w:ascii="Arial" w:hAnsi="Arial"/>
          <w:color w:val="231F20"/>
          <w:sz w:val="14"/>
        </w:rPr>
        <w:t>et</w:t>
      </w:r>
      <w:r>
        <w:rPr>
          <w:rFonts w:ascii="Arial" w:hAnsi="Arial"/>
          <w:color w:val="231F20"/>
          <w:spacing w:val="-1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confiance,</w:t>
      </w:r>
      <w:r>
        <w:rPr>
          <w:rFonts w:ascii="Arial" w:hAnsi="Arial"/>
          <w:color w:val="231F20"/>
          <w:spacing w:val="-10"/>
          <w:sz w:val="14"/>
        </w:rPr>
        <w:t> </w:t>
      </w:r>
      <w:r>
        <w:rPr>
          <w:rFonts w:ascii="Arial" w:hAnsi="Arial"/>
          <w:color w:val="231F20"/>
          <w:sz w:val="14"/>
        </w:rPr>
        <w:t>non</w:t>
      </w:r>
      <w:r>
        <w:rPr>
          <w:rFonts w:ascii="Arial" w:hAnsi="Arial"/>
          <w:color w:val="231F20"/>
          <w:spacing w:val="40"/>
          <w:sz w:val="14"/>
        </w:rPr>
        <w:t> </w:t>
      </w:r>
      <w:r>
        <w:rPr>
          <w:rFonts w:ascii="Arial" w:hAnsi="Arial"/>
          <w:color w:val="231F20"/>
          <w:sz w:val="14"/>
        </w:rPr>
        <w:t>seulement avec ses</w:t>
      </w:r>
      <w:r>
        <w:rPr>
          <w:rFonts w:ascii="Arial" w:hAnsi="Arial"/>
          <w:color w:val="231F20"/>
          <w:spacing w:val="40"/>
          <w:sz w:val="14"/>
        </w:rPr>
        <w:t> </w:t>
      </w:r>
      <w:r>
        <w:rPr>
          <w:rFonts w:ascii="Arial" w:hAnsi="Arial"/>
          <w:color w:val="231F20"/>
          <w:sz w:val="14"/>
        </w:rPr>
        <w:t>employés, mais aussi avec</w:t>
      </w:r>
      <w:r>
        <w:rPr>
          <w:rFonts w:ascii="Arial" w:hAnsi="Arial"/>
          <w:color w:val="231F20"/>
          <w:spacing w:val="40"/>
          <w:sz w:val="14"/>
        </w:rPr>
        <w:t> </w:t>
      </w:r>
      <w:r>
        <w:rPr>
          <w:rFonts w:ascii="Arial" w:hAnsi="Arial"/>
          <w:color w:val="231F20"/>
          <w:spacing w:val="-2"/>
          <w:sz w:val="14"/>
        </w:rPr>
        <w:t>ses</w:t>
      </w:r>
      <w:r>
        <w:rPr>
          <w:rFonts w:ascii="Arial" w:hAnsi="Arial"/>
          <w:color w:val="231F20"/>
          <w:spacing w:val="-7"/>
          <w:sz w:val="14"/>
        </w:rPr>
        <w:t> </w:t>
      </w:r>
      <w:r>
        <w:rPr>
          <w:rFonts w:ascii="Arial" w:hAnsi="Arial"/>
          <w:color w:val="231F20"/>
          <w:spacing w:val="-2"/>
          <w:sz w:val="14"/>
        </w:rPr>
        <w:t>clients,</w:t>
      </w:r>
      <w:r>
        <w:rPr>
          <w:rFonts w:ascii="Arial" w:hAnsi="Arial"/>
          <w:color w:val="231F20"/>
          <w:spacing w:val="-7"/>
          <w:sz w:val="14"/>
        </w:rPr>
        <w:t> </w:t>
      </w:r>
      <w:r>
        <w:rPr>
          <w:rFonts w:ascii="Arial" w:hAnsi="Arial"/>
          <w:color w:val="231F20"/>
          <w:spacing w:val="-2"/>
          <w:sz w:val="14"/>
        </w:rPr>
        <w:t>ses</w:t>
      </w:r>
      <w:r>
        <w:rPr>
          <w:rFonts w:ascii="Arial" w:hAnsi="Arial"/>
          <w:color w:val="231F20"/>
          <w:spacing w:val="-7"/>
          <w:sz w:val="14"/>
        </w:rPr>
        <w:t> </w:t>
      </w:r>
      <w:r>
        <w:rPr>
          <w:rFonts w:ascii="Arial" w:hAnsi="Arial"/>
          <w:color w:val="231F20"/>
          <w:spacing w:val="-2"/>
          <w:sz w:val="14"/>
        </w:rPr>
        <w:t>fournisseurs</w:t>
      </w:r>
      <w:r>
        <w:rPr>
          <w:rFonts w:ascii="Arial" w:hAnsi="Arial"/>
          <w:color w:val="231F20"/>
          <w:spacing w:val="40"/>
          <w:sz w:val="14"/>
        </w:rPr>
        <w:t> </w:t>
      </w:r>
      <w:r>
        <w:rPr>
          <w:rFonts w:ascii="Arial" w:hAnsi="Arial"/>
          <w:color w:val="231F20"/>
          <w:sz w:val="14"/>
        </w:rPr>
        <w:t>et l’ensemble des acteurs</w:t>
      </w:r>
    </w:p>
    <w:p>
      <w:pPr>
        <w:spacing w:line="160" w:lineRule="exact" w:before="0"/>
        <w:ind w:left="0" w:right="0" w:firstLine="0"/>
        <w:jc w:val="right"/>
        <w:rPr>
          <w:rFonts w:ascii="Arial" w:hAnsi="Arial"/>
          <w:sz w:val="14"/>
        </w:rPr>
      </w:pP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4"/>
          <w:sz w:val="14"/>
        </w:rPr>
        <w:t> </w:t>
      </w:r>
      <w:r>
        <w:rPr>
          <w:rFonts w:ascii="Arial" w:hAnsi="Arial"/>
          <w:color w:val="231F20"/>
          <w:spacing w:val="-2"/>
          <w:sz w:val="14"/>
        </w:rPr>
        <w:t>société.</w:t>
      </w:r>
    </w:p>
    <w:p>
      <w:pPr>
        <w:pStyle w:val="BodyText"/>
        <w:spacing w:line="307" w:lineRule="auto" w:before="55"/>
        <w:ind w:left="200" w:right="101"/>
        <w:jc w:val="both"/>
      </w:pPr>
      <w:r>
        <w:rPr/>
        <w:br w:type="column"/>
      </w:r>
      <w:r>
        <w:rPr>
          <w:color w:val="231F20"/>
          <w:w w:val="120"/>
        </w:rPr>
        <w:t>à</w:t>
      </w:r>
      <w:r>
        <w:rPr>
          <w:color w:val="231F20"/>
          <w:spacing w:val="-8"/>
          <w:w w:val="120"/>
        </w:rPr>
        <w:t> </w:t>
      </w:r>
      <w:r>
        <w:rPr>
          <w:color w:val="231F20"/>
          <w:w w:val="120"/>
        </w:rPr>
        <w:t>mener</w:t>
      </w:r>
      <w:r>
        <w:rPr>
          <w:color w:val="231F20"/>
          <w:spacing w:val="-8"/>
          <w:w w:val="120"/>
        </w:rPr>
        <w:t> </w:t>
      </w:r>
      <w:r>
        <w:rPr>
          <w:color w:val="231F20"/>
          <w:w w:val="120"/>
        </w:rPr>
        <w:t>leurs</w:t>
      </w:r>
      <w:r>
        <w:rPr>
          <w:color w:val="231F20"/>
          <w:spacing w:val="-8"/>
          <w:w w:val="120"/>
        </w:rPr>
        <w:t> </w:t>
      </w:r>
      <w:r>
        <w:rPr>
          <w:color w:val="231F20"/>
          <w:w w:val="120"/>
        </w:rPr>
        <w:t>opérations</w:t>
      </w:r>
      <w:r>
        <w:rPr>
          <w:color w:val="231F20"/>
          <w:spacing w:val="-8"/>
          <w:w w:val="120"/>
        </w:rPr>
        <w:t> </w:t>
      </w:r>
      <w:r>
        <w:rPr>
          <w:color w:val="231F20"/>
          <w:w w:val="120"/>
        </w:rPr>
        <w:t>dans</w:t>
      </w:r>
      <w:r>
        <w:rPr>
          <w:color w:val="231F20"/>
          <w:spacing w:val="-8"/>
          <w:w w:val="120"/>
        </w:rPr>
        <w:t> </w:t>
      </w:r>
      <w:r>
        <w:rPr>
          <w:color w:val="231F20"/>
          <w:w w:val="120"/>
        </w:rPr>
        <w:t>des</w:t>
      </w:r>
      <w:r>
        <w:rPr>
          <w:color w:val="231F20"/>
          <w:spacing w:val="-8"/>
          <w:w w:val="120"/>
        </w:rPr>
        <w:t> </w:t>
      </w:r>
      <w:r>
        <w:rPr>
          <w:color w:val="231F20"/>
          <w:w w:val="120"/>
        </w:rPr>
        <w:t>milieux</w:t>
      </w:r>
      <w:r>
        <w:rPr>
          <w:color w:val="231F20"/>
          <w:spacing w:val="-8"/>
          <w:w w:val="120"/>
        </w:rPr>
        <w:t> </w:t>
      </w:r>
      <w:r>
        <w:rPr>
          <w:color w:val="231F20"/>
          <w:w w:val="120"/>
        </w:rPr>
        <w:t>tur- </w:t>
      </w:r>
      <w:r>
        <w:rPr>
          <w:color w:val="231F20"/>
          <w:w w:val="115"/>
        </w:rPr>
        <w:t>bulents39.</w:t>
      </w:r>
      <w:r>
        <w:rPr>
          <w:color w:val="231F20"/>
          <w:spacing w:val="-11"/>
          <w:w w:val="115"/>
        </w:rPr>
        <w:t> </w:t>
      </w:r>
      <w:r>
        <w:rPr>
          <w:color w:val="231F20"/>
          <w:w w:val="115"/>
        </w:rPr>
        <w:t>En</w:t>
      </w:r>
      <w:r>
        <w:rPr>
          <w:color w:val="231F20"/>
          <w:spacing w:val="-11"/>
          <w:w w:val="115"/>
        </w:rPr>
        <w:t> </w:t>
      </w:r>
      <w:r>
        <w:rPr>
          <w:color w:val="231F20"/>
          <w:w w:val="115"/>
        </w:rPr>
        <w:t>physique,</w:t>
      </w:r>
      <w:r>
        <w:rPr>
          <w:color w:val="231F20"/>
          <w:spacing w:val="-11"/>
          <w:w w:val="115"/>
        </w:rPr>
        <w:t> </w:t>
      </w:r>
      <w:r>
        <w:rPr>
          <w:color w:val="231F20"/>
          <w:w w:val="115"/>
        </w:rPr>
        <w:t>les</w:t>
      </w:r>
      <w:r>
        <w:rPr>
          <w:color w:val="231F20"/>
          <w:spacing w:val="-11"/>
          <w:w w:val="115"/>
        </w:rPr>
        <w:t> </w:t>
      </w:r>
      <w:r>
        <w:rPr>
          <w:color w:val="231F20"/>
          <w:w w:val="115"/>
        </w:rPr>
        <w:t>turbulences</w:t>
      </w:r>
      <w:r>
        <w:rPr>
          <w:color w:val="231F20"/>
          <w:spacing w:val="-11"/>
          <w:w w:val="115"/>
        </w:rPr>
        <w:t> </w:t>
      </w:r>
      <w:r>
        <w:rPr>
          <w:color w:val="231F20"/>
          <w:w w:val="115"/>
        </w:rPr>
        <w:t>sont</w:t>
      </w:r>
      <w:r>
        <w:rPr>
          <w:color w:val="231F20"/>
          <w:spacing w:val="-11"/>
          <w:w w:val="115"/>
        </w:rPr>
        <w:t> </w:t>
      </w:r>
      <w:r>
        <w:rPr>
          <w:color w:val="231F20"/>
          <w:w w:val="115"/>
        </w:rPr>
        <w:t>des </w:t>
      </w:r>
      <w:r>
        <w:rPr>
          <w:color w:val="231F20"/>
          <w:w w:val="120"/>
        </w:rPr>
        <w:t>mouvements de forte intensité observés dans les</w:t>
      </w:r>
      <w:r>
        <w:rPr>
          <w:color w:val="231F20"/>
          <w:spacing w:val="-13"/>
          <w:w w:val="120"/>
        </w:rPr>
        <w:t> </w:t>
      </w:r>
      <w:r>
        <w:rPr>
          <w:color w:val="231F20"/>
          <w:w w:val="120"/>
        </w:rPr>
        <w:t>fluides</w:t>
      </w:r>
      <w:r>
        <w:rPr>
          <w:color w:val="231F20"/>
          <w:spacing w:val="-13"/>
          <w:w w:val="120"/>
        </w:rPr>
        <w:t> </w:t>
      </w:r>
      <w:r>
        <w:rPr>
          <w:color w:val="231F20"/>
          <w:w w:val="120"/>
        </w:rPr>
        <w:t>dont</w:t>
      </w:r>
      <w:r>
        <w:rPr>
          <w:color w:val="231F20"/>
          <w:spacing w:val="-13"/>
          <w:w w:val="120"/>
        </w:rPr>
        <w:t> </w:t>
      </w:r>
      <w:r>
        <w:rPr>
          <w:color w:val="231F20"/>
          <w:w w:val="120"/>
        </w:rPr>
        <w:t>le</w:t>
      </w:r>
      <w:r>
        <w:rPr>
          <w:color w:val="231F20"/>
          <w:spacing w:val="-12"/>
          <w:w w:val="120"/>
        </w:rPr>
        <w:t> </w:t>
      </w:r>
      <w:r>
        <w:rPr>
          <w:color w:val="231F20"/>
          <w:w w:val="120"/>
        </w:rPr>
        <w:t>débit</w:t>
      </w:r>
      <w:r>
        <w:rPr>
          <w:color w:val="231F20"/>
          <w:spacing w:val="-13"/>
          <w:w w:val="120"/>
        </w:rPr>
        <w:t> </w:t>
      </w:r>
      <w:r>
        <w:rPr>
          <w:color w:val="231F20"/>
          <w:w w:val="120"/>
        </w:rPr>
        <w:t>présente</w:t>
      </w:r>
      <w:r>
        <w:rPr>
          <w:color w:val="231F20"/>
          <w:spacing w:val="-13"/>
          <w:w w:val="120"/>
        </w:rPr>
        <w:t> </w:t>
      </w:r>
      <w:r>
        <w:rPr>
          <w:color w:val="231F20"/>
          <w:w w:val="120"/>
        </w:rPr>
        <w:t>des</w:t>
      </w:r>
      <w:r>
        <w:rPr>
          <w:color w:val="231F20"/>
          <w:spacing w:val="-13"/>
          <w:w w:val="120"/>
        </w:rPr>
        <w:t> </w:t>
      </w:r>
      <w:r>
        <w:rPr>
          <w:color w:val="231F20"/>
          <w:w w:val="120"/>
        </w:rPr>
        <w:t>variations </w:t>
      </w:r>
      <w:r>
        <w:rPr>
          <w:color w:val="231F20"/>
          <w:spacing w:val="-4"/>
          <w:w w:val="120"/>
        </w:rPr>
        <w:t>aléatoires dans le temps et l’espace. Cette méta- </w:t>
      </w:r>
      <w:r>
        <w:rPr>
          <w:color w:val="231F20"/>
          <w:spacing w:val="-2"/>
          <w:w w:val="120"/>
        </w:rPr>
        <w:t>phore</w:t>
      </w:r>
      <w:r>
        <w:rPr>
          <w:color w:val="231F20"/>
          <w:spacing w:val="-10"/>
          <w:w w:val="120"/>
        </w:rPr>
        <w:t> </w:t>
      </w:r>
      <w:r>
        <w:rPr>
          <w:color w:val="231F20"/>
          <w:spacing w:val="-2"/>
          <w:w w:val="120"/>
        </w:rPr>
        <w:t>illustre</w:t>
      </w:r>
      <w:r>
        <w:rPr>
          <w:color w:val="231F20"/>
          <w:spacing w:val="-10"/>
          <w:w w:val="120"/>
        </w:rPr>
        <w:t> </w:t>
      </w:r>
      <w:r>
        <w:rPr>
          <w:color w:val="231F20"/>
          <w:spacing w:val="-2"/>
          <w:w w:val="120"/>
        </w:rPr>
        <w:t>bien</w:t>
      </w:r>
      <w:r>
        <w:rPr>
          <w:color w:val="231F20"/>
          <w:spacing w:val="-10"/>
          <w:w w:val="120"/>
        </w:rPr>
        <w:t> </w:t>
      </w:r>
      <w:r>
        <w:rPr>
          <w:color w:val="231F20"/>
          <w:spacing w:val="-2"/>
          <w:w w:val="120"/>
        </w:rPr>
        <w:t>l’instabilité</w:t>
      </w:r>
      <w:r>
        <w:rPr>
          <w:color w:val="231F20"/>
          <w:spacing w:val="-10"/>
          <w:w w:val="120"/>
        </w:rPr>
        <w:t> </w:t>
      </w:r>
      <w:r>
        <w:rPr>
          <w:color w:val="231F20"/>
          <w:spacing w:val="-2"/>
          <w:w w:val="120"/>
        </w:rPr>
        <w:t>des</w:t>
      </w:r>
      <w:r>
        <w:rPr>
          <w:color w:val="231F20"/>
          <w:spacing w:val="-10"/>
          <w:w w:val="120"/>
        </w:rPr>
        <w:t> </w:t>
      </w:r>
      <w:r>
        <w:rPr>
          <w:color w:val="231F20"/>
          <w:spacing w:val="-2"/>
          <w:w w:val="120"/>
        </w:rPr>
        <w:t>milieux</w:t>
      </w:r>
      <w:r>
        <w:rPr>
          <w:color w:val="231F20"/>
          <w:spacing w:val="-10"/>
          <w:w w:val="120"/>
        </w:rPr>
        <w:t> </w:t>
      </w:r>
      <w:r>
        <w:rPr>
          <w:color w:val="231F20"/>
          <w:spacing w:val="-2"/>
          <w:w w:val="120"/>
        </w:rPr>
        <w:t>éco- </w:t>
      </w:r>
      <w:r>
        <w:rPr>
          <w:color w:val="231F20"/>
          <w:w w:val="120"/>
        </w:rPr>
        <w:t>nomiques, politiques et socioculturels dans lesquels les organisations doivent maintenant croître, prospérer et évoluer.</w:t>
      </w:r>
    </w:p>
    <w:p>
      <w:pPr>
        <w:spacing w:after="0" w:line="307" w:lineRule="auto"/>
        <w:jc w:val="both"/>
        <w:sectPr>
          <w:type w:val="continuous"/>
          <w:pgSz w:w="8640" w:h="12960"/>
          <w:pgMar w:header="0" w:footer="424" w:top="1220" w:bottom="280" w:left="420" w:right="1140"/>
          <w:cols w:num="2" w:equalWidth="0">
            <w:col w:w="2981" w:space="40"/>
            <w:col w:w="4059"/>
          </w:cols>
        </w:sectPr>
      </w:pPr>
    </w:p>
    <w:p>
      <w:pPr>
        <w:pStyle w:val="BodyText"/>
        <w:spacing w:line="307" w:lineRule="auto" w:before="79"/>
        <w:ind w:left="1219" w:right="105" w:firstLine="250"/>
        <w:jc w:val="both"/>
      </w:pPr>
      <w:r>
        <w:rPr>
          <w:color w:val="231F20"/>
          <w:w w:val="120"/>
        </w:rPr>
        <w:t>Dans</w:t>
      </w:r>
      <w:r>
        <w:rPr>
          <w:color w:val="231F20"/>
          <w:spacing w:val="-4"/>
          <w:w w:val="120"/>
        </w:rPr>
        <w:t> </w:t>
      </w:r>
      <w:r>
        <w:rPr>
          <w:color w:val="231F20"/>
          <w:w w:val="120"/>
        </w:rPr>
        <w:t>le</w:t>
      </w:r>
      <w:r>
        <w:rPr>
          <w:color w:val="231F20"/>
          <w:spacing w:val="-4"/>
          <w:w w:val="120"/>
        </w:rPr>
        <w:t> </w:t>
      </w:r>
      <w:r>
        <w:rPr>
          <w:color w:val="231F20"/>
          <w:w w:val="120"/>
        </w:rPr>
        <w:t>monde</w:t>
      </w:r>
      <w:r>
        <w:rPr>
          <w:color w:val="231F20"/>
          <w:spacing w:val="-4"/>
          <w:w w:val="120"/>
        </w:rPr>
        <w:t> </w:t>
      </w:r>
      <w:r>
        <w:rPr>
          <w:color w:val="231F20"/>
          <w:w w:val="120"/>
        </w:rPr>
        <w:t>d’aujourd’hui,</w:t>
      </w:r>
      <w:r>
        <w:rPr>
          <w:color w:val="231F20"/>
          <w:spacing w:val="-4"/>
          <w:w w:val="120"/>
        </w:rPr>
        <w:t> </w:t>
      </w:r>
      <w:r>
        <w:rPr>
          <w:color w:val="231F20"/>
          <w:w w:val="120"/>
        </w:rPr>
        <w:t>on</w:t>
      </w:r>
      <w:r>
        <w:rPr>
          <w:color w:val="231F20"/>
          <w:spacing w:val="-4"/>
          <w:w w:val="120"/>
        </w:rPr>
        <w:t> </w:t>
      </w:r>
      <w:r>
        <w:rPr>
          <w:color w:val="231F20"/>
          <w:w w:val="120"/>
        </w:rPr>
        <w:t>reconnaît</w:t>
      </w:r>
      <w:r>
        <w:rPr>
          <w:color w:val="231F20"/>
          <w:spacing w:val="-4"/>
          <w:w w:val="120"/>
        </w:rPr>
        <w:t> </w:t>
      </w:r>
      <w:r>
        <w:rPr>
          <w:color w:val="231F20"/>
          <w:w w:val="120"/>
        </w:rPr>
        <w:t>les</w:t>
      </w:r>
      <w:r>
        <w:rPr>
          <w:color w:val="231F20"/>
          <w:spacing w:val="-4"/>
          <w:w w:val="120"/>
        </w:rPr>
        <w:t> </w:t>
      </w:r>
      <w:r>
        <w:rPr>
          <w:color w:val="231F20"/>
          <w:w w:val="120"/>
        </w:rPr>
        <w:t>turbulences</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pré- sence de divers facteurs</w:t>
      </w:r>
      <w:r>
        <w:rPr>
          <w:color w:val="231F20"/>
          <w:spacing w:val="-13"/>
          <w:w w:val="120"/>
        </w:rPr>
        <w:t> </w:t>
      </w:r>
      <w:r>
        <w:rPr>
          <w:color w:val="231F20"/>
          <w:w w:val="120"/>
        </w:rPr>
        <w:t>: les changements imprévus, l’incertitude, le manque de contrôle, les décisions complexes, l’interdépendance des groupes,</w:t>
      </w:r>
      <w:r>
        <w:rPr>
          <w:color w:val="231F20"/>
          <w:spacing w:val="-9"/>
          <w:w w:val="120"/>
        </w:rPr>
        <w:t> </w:t>
      </w:r>
      <w:r>
        <w:rPr>
          <w:color w:val="231F20"/>
          <w:w w:val="120"/>
        </w:rPr>
        <w:t>les</w:t>
      </w:r>
      <w:r>
        <w:rPr>
          <w:color w:val="231F20"/>
          <w:spacing w:val="-9"/>
          <w:w w:val="120"/>
        </w:rPr>
        <w:t> </w:t>
      </w:r>
      <w:r>
        <w:rPr>
          <w:color w:val="231F20"/>
          <w:w w:val="120"/>
        </w:rPr>
        <w:t>exigences</w:t>
      </w:r>
      <w:r>
        <w:rPr>
          <w:color w:val="231F20"/>
          <w:spacing w:val="-9"/>
          <w:w w:val="120"/>
        </w:rPr>
        <w:t> </w:t>
      </w:r>
      <w:r>
        <w:rPr>
          <w:color w:val="231F20"/>
          <w:w w:val="120"/>
        </w:rPr>
        <w:t>de</w:t>
      </w:r>
      <w:r>
        <w:rPr>
          <w:color w:val="231F20"/>
          <w:spacing w:val="-9"/>
          <w:w w:val="120"/>
        </w:rPr>
        <w:t> </w:t>
      </w:r>
      <w:r>
        <w:rPr>
          <w:color w:val="231F20"/>
          <w:w w:val="120"/>
        </w:rPr>
        <w:t>rendement,</w:t>
      </w:r>
      <w:r>
        <w:rPr>
          <w:color w:val="231F20"/>
          <w:spacing w:val="-9"/>
          <w:w w:val="120"/>
        </w:rPr>
        <w:t> </w:t>
      </w:r>
      <w:r>
        <w:rPr>
          <w:color w:val="231F20"/>
          <w:w w:val="120"/>
        </w:rPr>
        <w:t>la</w:t>
      </w:r>
      <w:r>
        <w:rPr>
          <w:color w:val="231F20"/>
          <w:spacing w:val="-9"/>
          <w:w w:val="120"/>
        </w:rPr>
        <w:t> </w:t>
      </w:r>
      <w:r>
        <w:rPr>
          <w:color w:val="231F20"/>
          <w:w w:val="120"/>
        </w:rPr>
        <w:t>confusion,</w:t>
      </w:r>
      <w:r>
        <w:rPr>
          <w:color w:val="231F20"/>
          <w:spacing w:val="-9"/>
          <w:w w:val="120"/>
        </w:rPr>
        <w:t> </w:t>
      </w:r>
      <w:r>
        <w:rPr>
          <w:color w:val="231F20"/>
          <w:w w:val="120"/>
        </w:rPr>
        <w:t>la</w:t>
      </w:r>
      <w:r>
        <w:rPr>
          <w:color w:val="231F20"/>
          <w:spacing w:val="-9"/>
          <w:w w:val="120"/>
        </w:rPr>
        <w:t> </w:t>
      </w:r>
      <w:r>
        <w:rPr>
          <w:color w:val="231F20"/>
          <w:w w:val="120"/>
        </w:rPr>
        <w:t>désintégration,</w:t>
      </w:r>
      <w:r>
        <w:rPr>
          <w:color w:val="231F20"/>
          <w:spacing w:val="-9"/>
          <w:w w:val="120"/>
        </w:rPr>
        <w:t> </w:t>
      </w:r>
      <w:r>
        <w:rPr>
          <w:color w:val="231F20"/>
          <w:w w:val="120"/>
        </w:rPr>
        <w:t>la déshumanisation,</w:t>
      </w:r>
      <w:r>
        <w:rPr>
          <w:color w:val="231F20"/>
          <w:spacing w:val="-9"/>
          <w:w w:val="120"/>
        </w:rPr>
        <w:t> </w:t>
      </w:r>
      <w:r>
        <w:rPr>
          <w:color w:val="231F20"/>
          <w:w w:val="120"/>
        </w:rPr>
        <w:t>les</w:t>
      </w:r>
      <w:r>
        <w:rPr>
          <w:color w:val="231F20"/>
          <w:spacing w:val="-9"/>
          <w:w w:val="120"/>
        </w:rPr>
        <w:t> </w:t>
      </w:r>
      <w:r>
        <w:rPr>
          <w:color w:val="231F20"/>
          <w:w w:val="120"/>
        </w:rPr>
        <w:t>organisations</w:t>
      </w:r>
      <w:r>
        <w:rPr>
          <w:color w:val="231F20"/>
          <w:spacing w:val="-9"/>
          <w:w w:val="120"/>
        </w:rPr>
        <w:t> </w:t>
      </w:r>
      <w:r>
        <w:rPr>
          <w:color w:val="231F20"/>
          <w:w w:val="120"/>
        </w:rPr>
        <w:t>névrotiques.</w:t>
      </w:r>
      <w:r>
        <w:rPr>
          <w:color w:val="231F20"/>
          <w:spacing w:val="-9"/>
          <w:w w:val="120"/>
        </w:rPr>
        <w:t> </w:t>
      </w:r>
      <w:r>
        <w:rPr>
          <w:color w:val="231F20"/>
          <w:w w:val="120"/>
        </w:rPr>
        <w:t>Les</w:t>
      </w:r>
      <w:r>
        <w:rPr>
          <w:color w:val="231F20"/>
          <w:spacing w:val="-9"/>
          <w:w w:val="120"/>
        </w:rPr>
        <w:t> </w:t>
      </w:r>
      <w:r>
        <w:rPr>
          <w:color w:val="231F20"/>
          <w:w w:val="120"/>
        </w:rPr>
        <w:t>organisations</w:t>
      </w:r>
      <w:r>
        <w:rPr>
          <w:color w:val="231F20"/>
          <w:spacing w:val="-9"/>
          <w:w w:val="120"/>
        </w:rPr>
        <w:t> </w:t>
      </w:r>
      <w:r>
        <w:rPr>
          <w:color w:val="231F20"/>
          <w:w w:val="120"/>
        </w:rPr>
        <w:t>sont </w:t>
      </w:r>
      <w:r>
        <w:rPr>
          <w:color w:val="231F20"/>
          <w:spacing w:val="-4"/>
          <w:w w:val="120"/>
        </w:rPr>
        <w:t>des systèmes vivants. Par une analogie anthropomorphique, comme l’ont </w:t>
      </w:r>
      <w:r>
        <w:rPr>
          <w:color w:val="231F20"/>
          <w:spacing w:val="-2"/>
          <w:w w:val="120"/>
        </w:rPr>
        <w:t>fait</w:t>
      </w:r>
      <w:r>
        <w:rPr>
          <w:color w:val="231F20"/>
          <w:spacing w:val="-11"/>
          <w:w w:val="120"/>
        </w:rPr>
        <w:t> </w:t>
      </w:r>
      <w:r>
        <w:rPr>
          <w:color w:val="231F20"/>
          <w:spacing w:val="-2"/>
          <w:w w:val="120"/>
        </w:rPr>
        <w:t>d’autres</w:t>
      </w:r>
      <w:r>
        <w:rPr>
          <w:color w:val="231F20"/>
          <w:spacing w:val="-10"/>
          <w:w w:val="120"/>
        </w:rPr>
        <w:t> </w:t>
      </w:r>
      <w:r>
        <w:rPr>
          <w:color w:val="231F20"/>
          <w:spacing w:val="-2"/>
          <w:w w:val="120"/>
        </w:rPr>
        <w:t>auteurs</w:t>
      </w:r>
      <w:r>
        <w:rPr>
          <w:color w:val="231F20"/>
          <w:spacing w:val="-11"/>
          <w:w w:val="120"/>
        </w:rPr>
        <w:t> </w:t>
      </w:r>
      <w:r>
        <w:rPr>
          <w:color w:val="231F20"/>
          <w:spacing w:val="-2"/>
          <w:w w:val="120"/>
        </w:rPr>
        <w:t>auparavant,</w:t>
      </w:r>
      <w:r>
        <w:rPr>
          <w:color w:val="231F20"/>
          <w:spacing w:val="-10"/>
          <w:w w:val="120"/>
        </w:rPr>
        <w:t> </w:t>
      </w:r>
      <w:r>
        <w:rPr>
          <w:color w:val="231F20"/>
          <w:spacing w:val="-2"/>
          <w:w w:val="120"/>
        </w:rPr>
        <w:t>on</w:t>
      </w:r>
      <w:r>
        <w:rPr>
          <w:color w:val="231F20"/>
          <w:spacing w:val="-11"/>
          <w:w w:val="120"/>
        </w:rPr>
        <w:t> </w:t>
      </w:r>
      <w:r>
        <w:rPr>
          <w:color w:val="231F20"/>
          <w:spacing w:val="-2"/>
          <w:w w:val="120"/>
        </w:rPr>
        <w:t>peut</w:t>
      </w:r>
      <w:r>
        <w:rPr>
          <w:color w:val="231F20"/>
          <w:spacing w:val="-10"/>
          <w:w w:val="120"/>
        </w:rPr>
        <w:t> </w:t>
      </w:r>
      <w:r>
        <w:rPr>
          <w:color w:val="231F20"/>
          <w:spacing w:val="-2"/>
          <w:w w:val="120"/>
        </w:rPr>
        <w:t>considérer</w:t>
      </w:r>
      <w:r>
        <w:rPr>
          <w:color w:val="231F20"/>
          <w:spacing w:val="-11"/>
          <w:w w:val="120"/>
        </w:rPr>
        <w:t> </w:t>
      </w:r>
      <w:r>
        <w:rPr>
          <w:color w:val="231F20"/>
          <w:spacing w:val="-2"/>
          <w:w w:val="120"/>
        </w:rPr>
        <w:t>que</w:t>
      </w:r>
      <w:r>
        <w:rPr>
          <w:color w:val="231F20"/>
          <w:spacing w:val="-10"/>
          <w:w w:val="120"/>
        </w:rPr>
        <w:t> </w:t>
      </w:r>
      <w:r>
        <w:rPr>
          <w:color w:val="231F20"/>
          <w:spacing w:val="-2"/>
          <w:w w:val="120"/>
        </w:rPr>
        <w:t>les</w:t>
      </w:r>
      <w:r>
        <w:rPr>
          <w:color w:val="231F20"/>
          <w:spacing w:val="-11"/>
          <w:w w:val="120"/>
        </w:rPr>
        <w:t> </w:t>
      </w:r>
      <w:r>
        <w:rPr>
          <w:color w:val="231F20"/>
          <w:spacing w:val="-2"/>
          <w:w w:val="120"/>
        </w:rPr>
        <w:t>organisations </w:t>
      </w:r>
      <w:r>
        <w:rPr>
          <w:color w:val="231F20"/>
          <w:w w:val="120"/>
        </w:rPr>
        <w:t>ont</w:t>
      </w:r>
      <w:r>
        <w:rPr>
          <w:color w:val="231F20"/>
          <w:spacing w:val="-10"/>
          <w:w w:val="120"/>
        </w:rPr>
        <w:t> </w:t>
      </w:r>
      <w:r>
        <w:rPr>
          <w:color w:val="231F20"/>
          <w:w w:val="120"/>
        </w:rPr>
        <w:t>une</w:t>
      </w:r>
      <w:r>
        <w:rPr>
          <w:color w:val="231F20"/>
          <w:spacing w:val="-10"/>
          <w:w w:val="120"/>
        </w:rPr>
        <w:t> </w:t>
      </w:r>
      <w:r>
        <w:rPr>
          <w:color w:val="231F20"/>
          <w:w w:val="120"/>
        </w:rPr>
        <w:t>estime</w:t>
      </w:r>
      <w:r>
        <w:rPr>
          <w:color w:val="231F20"/>
          <w:spacing w:val="-10"/>
          <w:w w:val="120"/>
        </w:rPr>
        <w:t> </w:t>
      </w:r>
      <w:r>
        <w:rPr>
          <w:color w:val="231F20"/>
          <w:w w:val="120"/>
        </w:rPr>
        <w:t>de</w:t>
      </w:r>
      <w:r>
        <w:rPr>
          <w:color w:val="231F20"/>
          <w:spacing w:val="-10"/>
          <w:w w:val="120"/>
        </w:rPr>
        <w:t> </w:t>
      </w:r>
      <w:r>
        <w:rPr>
          <w:color w:val="231F20"/>
          <w:w w:val="120"/>
        </w:rPr>
        <w:t>soi</w:t>
      </w:r>
      <w:r>
        <w:rPr>
          <w:color w:val="231F20"/>
          <w:spacing w:val="-10"/>
          <w:w w:val="120"/>
        </w:rPr>
        <w:t> </w:t>
      </w:r>
      <w:r>
        <w:rPr>
          <w:color w:val="231F20"/>
          <w:w w:val="120"/>
        </w:rPr>
        <w:t>ou</w:t>
      </w:r>
      <w:r>
        <w:rPr>
          <w:color w:val="231F20"/>
          <w:spacing w:val="-10"/>
          <w:w w:val="120"/>
        </w:rPr>
        <w:t> </w:t>
      </w:r>
      <w:r>
        <w:rPr>
          <w:color w:val="231F20"/>
          <w:w w:val="120"/>
        </w:rPr>
        <w:t>une</w:t>
      </w:r>
      <w:r>
        <w:rPr>
          <w:color w:val="231F20"/>
          <w:spacing w:val="-10"/>
          <w:w w:val="120"/>
        </w:rPr>
        <w:t> </w:t>
      </w:r>
      <w:r>
        <w:rPr>
          <w:color w:val="231F20"/>
          <w:w w:val="120"/>
        </w:rPr>
        <w:t>appréciation</w:t>
      </w:r>
      <w:r>
        <w:rPr>
          <w:color w:val="231F20"/>
          <w:spacing w:val="-10"/>
          <w:w w:val="120"/>
        </w:rPr>
        <w:t> </w:t>
      </w:r>
      <w:r>
        <w:rPr>
          <w:color w:val="231F20"/>
          <w:w w:val="120"/>
        </w:rPr>
        <w:t>d’elles-mêmes</w:t>
      </w:r>
      <w:r>
        <w:rPr>
          <w:color w:val="231F20"/>
          <w:spacing w:val="-10"/>
          <w:w w:val="120"/>
        </w:rPr>
        <w:t> </w:t>
      </w:r>
      <w:r>
        <w:rPr>
          <w:color w:val="231F20"/>
          <w:w w:val="120"/>
        </w:rPr>
        <w:t>plus</w:t>
      </w:r>
      <w:r>
        <w:rPr>
          <w:color w:val="231F20"/>
          <w:spacing w:val="-10"/>
          <w:w w:val="120"/>
        </w:rPr>
        <w:t> </w:t>
      </w:r>
      <w:r>
        <w:rPr>
          <w:color w:val="231F20"/>
          <w:w w:val="120"/>
        </w:rPr>
        <w:t>ou</w:t>
      </w:r>
      <w:r>
        <w:rPr>
          <w:color w:val="231F20"/>
          <w:spacing w:val="-10"/>
          <w:w w:val="120"/>
        </w:rPr>
        <w:t> </w:t>
      </w:r>
      <w:r>
        <w:rPr>
          <w:color w:val="231F20"/>
          <w:w w:val="120"/>
        </w:rPr>
        <w:t>moins élevée, tout comme les individus.</w:t>
      </w:r>
    </w:p>
    <w:p>
      <w:pPr>
        <w:pStyle w:val="BodyText"/>
        <w:spacing w:line="307" w:lineRule="auto" w:before="78"/>
        <w:ind w:left="1219" w:right="106" w:firstLine="250"/>
        <w:jc w:val="both"/>
      </w:pPr>
      <w:r>
        <w:rPr>
          <w:color w:val="231F20"/>
          <w:w w:val="120"/>
        </w:rPr>
        <w:t>Pour</w:t>
      </w:r>
      <w:r>
        <w:rPr>
          <w:color w:val="231F20"/>
          <w:spacing w:val="-12"/>
          <w:w w:val="120"/>
        </w:rPr>
        <w:t> </w:t>
      </w:r>
      <w:r>
        <w:rPr>
          <w:color w:val="231F20"/>
          <w:w w:val="120"/>
        </w:rPr>
        <w:t>prospérer</w:t>
      </w:r>
      <w:r>
        <w:rPr>
          <w:color w:val="231F20"/>
          <w:spacing w:val="-12"/>
          <w:w w:val="120"/>
        </w:rPr>
        <w:t> </w:t>
      </w:r>
      <w:r>
        <w:rPr>
          <w:color w:val="231F20"/>
          <w:w w:val="120"/>
        </w:rPr>
        <w:t>dans</w:t>
      </w:r>
      <w:r>
        <w:rPr>
          <w:color w:val="231F20"/>
          <w:spacing w:val="-12"/>
          <w:w w:val="120"/>
        </w:rPr>
        <w:t> </w:t>
      </w:r>
      <w:r>
        <w:rPr>
          <w:color w:val="231F20"/>
          <w:w w:val="120"/>
        </w:rPr>
        <w:t>ces</w:t>
      </w:r>
      <w:r>
        <w:rPr>
          <w:color w:val="231F20"/>
          <w:spacing w:val="-12"/>
          <w:w w:val="120"/>
        </w:rPr>
        <w:t> </w:t>
      </w:r>
      <w:r>
        <w:rPr>
          <w:color w:val="231F20"/>
          <w:w w:val="120"/>
        </w:rPr>
        <w:t>milieux</w:t>
      </w:r>
      <w:r>
        <w:rPr>
          <w:color w:val="231F20"/>
          <w:spacing w:val="-12"/>
          <w:w w:val="120"/>
        </w:rPr>
        <w:t> </w:t>
      </w:r>
      <w:r>
        <w:rPr>
          <w:color w:val="231F20"/>
          <w:w w:val="120"/>
        </w:rPr>
        <w:t>turbulents,</w:t>
      </w:r>
      <w:r>
        <w:rPr>
          <w:color w:val="231F20"/>
          <w:spacing w:val="-12"/>
          <w:w w:val="120"/>
        </w:rPr>
        <w:t> </w:t>
      </w:r>
      <w:r>
        <w:rPr>
          <w:color w:val="231F20"/>
          <w:w w:val="120"/>
        </w:rPr>
        <w:t>l’organisation</w:t>
      </w:r>
      <w:r>
        <w:rPr>
          <w:color w:val="231F20"/>
          <w:spacing w:val="-12"/>
          <w:w w:val="120"/>
        </w:rPr>
        <w:t> </w:t>
      </w:r>
      <w:r>
        <w:rPr>
          <w:color w:val="231F20"/>
          <w:w w:val="120"/>
        </w:rPr>
        <w:t>saine</w:t>
      </w:r>
      <w:r>
        <w:rPr>
          <w:color w:val="231F20"/>
          <w:spacing w:val="-12"/>
          <w:w w:val="120"/>
        </w:rPr>
        <w:t> </w:t>
      </w:r>
      <w:r>
        <w:rPr>
          <w:color w:val="231F20"/>
          <w:w w:val="120"/>
        </w:rPr>
        <w:t>doit avoir</w:t>
      </w:r>
      <w:r>
        <w:rPr>
          <w:color w:val="231F20"/>
          <w:spacing w:val="-13"/>
          <w:w w:val="120"/>
        </w:rPr>
        <w:t> </w:t>
      </w:r>
      <w:r>
        <w:rPr>
          <w:color w:val="231F20"/>
          <w:w w:val="120"/>
        </w:rPr>
        <w:t>une</w:t>
      </w:r>
      <w:r>
        <w:rPr>
          <w:color w:val="231F20"/>
          <w:spacing w:val="-13"/>
          <w:w w:val="120"/>
        </w:rPr>
        <w:t> </w:t>
      </w:r>
      <w:r>
        <w:rPr>
          <w:color w:val="231F20"/>
          <w:w w:val="120"/>
        </w:rPr>
        <w:t>bonne</w:t>
      </w:r>
      <w:r>
        <w:rPr>
          <w:color w:val="231F20"/>
          <w:spacing w:val="-13"/>
          <w:w w:val="120"/>
        </w:rPr>
        <w:t> </w:t>
      </w:r>
      <w:r>
        <w:rPr>
          <w:color w:val="231F20"/>
          <w:w w:val="120"/>
        </w:rPr>
        <w:t>estime</w:t>
      </w:r>
      <w:r>
        <w:rPr>
          <w:color w:val="231F20"/>
          <w:spacing w:val="-12"/>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sans</w:t>
      </w:r>
      <w:r>
        <w:rPr>
          <w:color w:val="231F20"/>
          <w:spacing w:val="-13"/>
          <w:w w:val="120"/>
        </w:rPr>
        <w:t> </w:t>
      </w:r>
      <w:r>
        <w:rPr>
          <w:color w:val="231F20"/>
          <w:w w:val="120"/>
        </w:rPr>
        <w:t>toutefois</w:t>
      </w:r>
      <w:r>
        <w:rPr>
          <w:color w:val="231F20"/>
          <w:spacing w:val="-12"/>
          <w:w w:val="120"/>
        </w:rPr>
        <w:t> </w:t>
      </w:r>
      <w:r>
        <w:rPr>
          <w:color w:val="231F20"/>
          <w:w w:val="120"/>
        </w:rPr>
        <w:t>tomber</w:t>
      </w:r>
      <w:r>
        <w:rPr>
          <w:color w:val="231F20"/>
          <w:spacing w:val="-13"/>
          <w:w w:val="120"/>
        </w:rPr>
        <w:t> </w:t>
      </w:r>
      <w:r>
        <w:rPr>
          <w:color w:val="231F20"/>
          <w:w w:val="120"/>
        </w:rPr>
        <w:t>dans</w:t>
      </w:r>
      <w:r>
        <w:rPr>
          <w:color w:val="231F20"/>
          <w:spacing w:val="-13"/>
          <w:w w:val="120"/>
        </w:rPr>
        <w:t> </w:t>
      </w:r>
      <w:r>
        <w:rPr>
          <w:color w:val="231F20"/>
          <w:w w:val="120"/>
        </w:rPr>
        <w:t>l’arrogance</w:t>
      </w:r>
      <w:r>
        <w:rPr>
          <w:color w:val="231F20"/>
          <w:spacing w:val="-13"/>
          <w:w w:val="120"/>
        </w:rPr>
        <w:t> </w:t>
      </w:r>
      <w:r>
        <w:rPr>
          <w:color w:val="231F20"/>
          <w:w w:val="120"/>
        </w:rPr>
        <w:t>et l’excès de confiance. Le comble de la vanité, pour une </w:t>
      </w:r>
      <w:r>
        <w:rPr>
          <w:color w:val="231F20"/>
          <w:w w:val="120"/>
        </w:rPr>
        <w:t>organisation, </w:t>
      </w:r>
      <w:r>
        <w:rPr>
          <w:color w:val="231F20"/>
          <w:spacing w:val="-2"/>
          <w:w w:val="120"/>
        </w:rPr>
        <w:t>consiste</w:t>
      </w:r>
      <w:r>
        <w:rPr>
          <w:color w:val="231F20"/>
          <w:spacing w:val="-6"/>
          <w:w w:val="120"/>
        </w:rPr>
        <w:t> </w:t>
      </w:r>
      <w:r>
        <w:rPr>
          <w:color w:val="231F20"/>
          <w:spacing w:val="-2"/>
          <w:w w:val="120"/>
        </w:rPr>
        <w:t>à</w:t>
      </w:r>
      <w:r>
        <w:rPr>
          <w:color w:val="231F20"/>
          <w:spacing w:val="-6"/>
          <w:w w:val="120"/>
        </w:rPr>
        <w:t> </w:t>
      </w:r>
      <w:r>
        <w:rPr>
          <w:color w:val="231F20"/>
          <w:spacing w:val="-2"/>
          <w:w w:val="120"/>
        </w:rPr>
        <w:t>se</w:t>
      </w:r>
      <w:r>
        <w:rPr>
          <w:color w:val="231F20"/>
          <w:spacing w:val="-6"/>
          <w:w w:val="120"/>
        </w:rPr>
        <w:t> </w:t>
      </w:r>
      <w:r>
        <w:rPr>
          <w:color w:val="231F20"/>
          <w:spacing w:val="-2"/>
          <w:w w:val="120"/>
        </w:rPr>
        <w:t>croire</w:t>
      </w:r>
      <w:r>
        <w:rPr>
          <w:color w:val="231F20"/>
          <w:spacing w:val="-6"/>
          <w:w w:val="120"/>
        </w:rPr>
        <w:t> </w:t>
      </w:r>
      <w:r>
        <w:rPr>
          <w:color w:val="231F20"/>
          <w:spacing w:val="-2"/>
          <w:w w:val="120"/>
        </w:rPr>
        <w:t>supérieure</w:t>
      </w:r>
      <w:r>
        <w:rPr>
          <w:color w:val="231F20"/>
          <w:spacing w:val="-6"/>
          <w:w w:val="120"/>
        </w:rPr>
        <w:t> </w:t>
      </w:r>
      <w:r>
        <w:rPr>
          <w:color w:val="231F20"/>
          <w:spacing w:val="-2"/>
          <w:w w:val="120"/>
        </w:rPr>
        <w:t>à</w:t>
      </w:r>
      <w:r>
        <w:rPr>
          <w:color w:val="231F20"/>
          <w:spacing w:val="-6"/>
          <w:w w:val="120"/>
        </w:rPr>
        <w:t> </w:t>
      </w:r>
      <w:r>
        <w:rPr>
          <w:color w:val="231F20"/>
          <w:spacing w:val="-2"/>
          <w:w w:val="120"/>
        </w:rPr>
        <w:t>ses</w:t>
      </w:r>
      <w:r>
        <w:rPr>
          <w:color w:val="231F20"/>
          <w:spacing w:val="-6"/>
          <w:w w:val="120"/>
        </w:rPr>
        <w:t> </w:t>
      </w:r>
      <w:r>
        <w:rPr>
          <w:color w:val="231F20"/>
          <w:spacing w:val="-2"/>
          <w:w w:val="120"/>
        </w:rPr>
        <w:t>membres,</w:t>
      </w:r>
      <w:r>
        <w:rPr>
          <w:color w:val="231F20"/>
          <w:spacing w:val="-6"/>
          <w:w w:val="120"/>
        </w:rPr>
        <w:t> </w:t>
      </w:r>
      <w:r>
        <w:rPr>
          <w:color w:val="231F20"/>
          <w:spacing w:val="-2"/>
          <w:w w:val="120"/>
        </w:rPr>
        <w:t>ce</w:t>
      </w:r>
      <w:r>
        <w:rPr>
          <w:color w:val="231F20"/>
          <w:spacing w:val="-6"/>
          <w:w w:val="120"/>
        </w:rPr>
        <w:t> </w:t>
      </w:r>
      <w:r>
        <w:rPr>
          <w:color w:val="231F20"/>
          <w:spacing w:val="-2"/>
          <w:w w:val="120"/>
        </w:rPr>
        <w:t>qui</w:t>
      </w:r>
      <w:r>
        <w:rPr>
          <w:color w:val="231F20"/>
          <w:spacing w:val="-6"/>
          <w:w w:val="120"/>
        </w:rPr>
        <w:t> </w:t>
      </w:r>
      <w:r>
        <w:rPr>
          <w:color w:val="231F20"/>
          <w:spacing w:val="-2"/>
          <w:w w:val="120"/>
        </w:rPr>
        <w:t>laisse</w:t>
      </w:r>
      <w:r>
        <w:rPr>
          <w:color w:val="231F20"/>
          <w:spacing w:val="-6"/>
          <w:w w:val="120"/>
        </w:rPr>
        <w:t> </w:t>
      </w:r>
      <w:r>
        <w:rPr>
          <w:color w:val="231F20"/>
          <w:spacing w:val="-2"/>
          <w:w w:val="120"/>
        </w:rPr>
        <w:t>supposer</w:t>
      </w:r>
      <w:r>
        <w:rPr>
          <w:color w:val="231F20"/>
          <w:spacing w:val="-6"/>
          <w:w w:val="120"/>
        </w:rPr>
        <w:t> </w:t>
      </w:r>
      <w:r>
        <w:rPr>
          <w:color w:val="231F20"/>
          <w:spacing w:val="-2"/>
          <w:w w:val="120"/>
        </w:rPr>
        <w:t>une forte</w:t>
      </w:r>
      <w:r>
        <w:rPr>
          <w:color w:val="231F20"/>
          <w:spacing w:val="-7"/>
          <w:w w:val="120"/>
        </w:rPr>
        <w:t> </w:t>
      </w:r>
      <w:r>
        <w:rPr>
          <w:color w:val="231F20"/>
          <w:spacing w:val="-2"/>
          <w:w w:val="120"/>
        </w:rPr>
        <w:t>dose</w:t>
      </w:r>
      <w:r>
        <w:rPr>
          <w:color w:val="231F20"/>
          <w:spacing w:val="-7"/>
          <w:w w:val="120"/>
        </w:rPr>
        <w:t> </w:t>
      </w:r>
      <w:r>
        <w:rPr>
          <w:color w:val="231F20"/>
          <w:spacing w:val="-2"/>
          <w:w w:val="120"/>
        </w:rPr>
        <w:t>d’insécurité</w:t>
      </w:r>
      <w:r>
        <w:rPr>
          <w:color w:val="231F20"/>
          <w:spacing w:val="-7"/>
          <w:w w:val="120"/>
        </w:rPr>
        <w:t> </w:t>
      </w:r>
      <w:r>
        <w:rPr>
          <w:color w:val="231F20"/>
          <w:spacing w:val="-2"/>
          <w:w w:val="120"/>
        </w:rPr>
        <w:t>bien</w:t>
      </w:r>
      <w:r>
        <w:rPr>
          <w:color w:val="231F20"/>
          <w:spacing w:val="-7"/>
          <w:w w:val="120"/>
        </w:rPr>
        <w:t> </w:t>
      </w:r>
      <w:r>
        <w:rPr>
          <w:color w:val="231F20"/>
          <w:spacing w:val="-2"/>
          <w:w w:val="120"/>
        </w:rPr>
        <w:t>ancrée.</w:t>
      </w:r>
      <w:r>
        <w:rPr>
          <w:color w:val="231F20"/>
          <w:spacing w:val="-7"/>
          <w:w w:val="120"/>
        </w:rPr>
        <w:t> </w:t>
      </w:r>
      <w:r>
        <w:rPr>
          <w:color w:val="231F20"/>
          <w:spacing w:val="-2"/>
          <w:w w:val="120"/>
        </w:rPr>
        <w:t>Il</w:t>
      </w:r>
      <w:r>
        <w:rPr>
          <w:color w:val="231F20"/>
          <w:spacing w:val="-7"/>
          <w:w w:val="120"/>
        </w:rPr>
        <w:t> </w:t>
      </w:r>
      <w:r>
        <w:rPr>
          <w:color w:val="231F20"/>
          <w:spacing w:val="-2"/>
          <w:w w:val="120"/>
        </w:rPr>
        <w:t>arrive</w:t>
      </w:r>
      <w:r>
        <w:rPr>
          <w:color w:val="231F20"/>
          <w:spacing w:val="-7"/>
          <w:w w:val="120"/>
        </w:rPr>
        <w:t> </w:t>
      </w:r>
      <w:r>
        <w:rPr>
          <w:color w:val="231F20"/>
          <w:spacing w:val="-2"/>
          <w:w w:val="120"/>
        </w:rPr>
        <w:t>souvent</w:t>
      </w:r>
      <w:r>
        <w:rPr>
          <w:color w:val="231F20"/>
          <w:spacing w:val="-7"/>
          <w:w w:val="120"/>
        </w:rPr>
        <w:t> </w:t>
      </w:r>
      <w:r>
        <w:rPr>
          <w:color w:val="231F20"/>
          <w:spacing w:val="-2"/>
          <w:w w:val="120"/>
        </w:rPr>
        <w:t>qu’une</w:t>
      </w:r>
      <w:r>
        <w:rPr>
          <w:color w:val="231F20"/>
          <w:spacing w:val="-7"/>
          <w:w w:val="120"/>
        </w:rPr>
        <w:t> </w:t>
      </w:r>
      <w:r>
        <w:rPr>
          <w:color w:val="231F20"/>
          <w:spacing w:val="-2"/>
          <w:w w:val="120"/>
        </w:rPr>
        <w:t>telle</w:t>
      </w:r>
      <w:r>
        <w:rPr>
          <w:color w:val="231F20"/>
          <w:spacing w:val="-7"/>
          <w:w w:val="120"/>
        </w:rPr>
        <w:t> </w:t>
      </w:r>
      <w:r>
        <w:rPr>
          <w:color w:val="231F20"/>
          <w:spacing w:val="-2"/>
          <w:w w:val="120"/>
        </w:rPr>
        <w:t>organi- </w:t>
      </w:r>
      <w:r>
        <w:rPr>
          <w:color w:val="231F20"/>
          <w:w w:val="120"/>
        </w:rPr>
        <w:t>sation</w:t>
      </w:r>
      <w:r>
        <w:rPr>
          <w:color w:val="231F20"/>
          <w:spacing w:val="-13"/>
          <w:w w:val="120"/>
        </w:rPr>
        <w:t> </w:t>
      </w:r>
      <w:r>
        <w:rPr>
          <w:color w:val="231F20"/>
          <w:w w:val="120"/>
        </w:rPr>
        <w:t>se</w:t>
      </w:r>
      <w:r>
        <w:rPr>
          <w:color w:val="231F20"/>
          <w:spacing w:val="-13"/>
          <w:w w:val="120"/>
        </w:rPr>
        <w:t> </w:t>
      </w:r>
      <w:r>
        <w:rPr>
          <w:color w:val="231F20"/>
          <w:w w:val="120"/>
        </w:rPr>
        <w:t>croie</w:t>
      </w:r>
      <w:r>
        <w:rPr>
          <w:color w:val="231F20"/>
          <w:spacing w:val="-13"/>
          <w:w w:val="120"/>
        </w:rPr>
        <w:t> </w:t>
      </w:r>
      <w:r>
        <w:rPr>
          <w:color w:val="231F20"/>
          <w:w w:val="120"/>
        </w:rPr>
        <w:t>aussi</w:t>
      </w:r>
      <w:r>
        <w:rPr>
          <w:color w:val="231F20"/>
          <w:spacing w:val="-12"/>
          <w:w w:val="120"/>
        </w:rPr>
        <w:t> </w:t>
      </w:r>
      <w:r>
        <w:rPr>
          <w:color w:val="231F20"/>
          <w:w w:val="120"/>
        </w:rPr>
        <w:t>supérieure</w:t>
      </w:r>
      <w:r>
        <w:rPr>
          <w:color w:val="231F20"/>
          <w:spacing w:val="-13"/>
          <w:w w:val="120"/>
        </w:rPr>
        <w:t> </w:t>
      </w:r>
      <w:r>
        <w:rPr>
          <w:color w:val="231F20"/>
          <w:w w:val="120"/>
        </w:rPr>
        <w:t>à</w:t>
      </w:r>
      <w:r>
        <w:rPr>
          <w:color w:val="231F20"/>
          <w:spacing w:val="-13"/>
          <w:w w:val="120"/>
        </w:rPr>
        <w:t> </w:t>
      </w:r>
      <w:r>
        <w:rPr>
          <w:color w:val="231F20"/>
          <w:w w:val="120"/>
        </w:rPr>
        <w:t>ses</w:t>
      </w:r>
      <w:r>
        <w:rPr>
          <w:color w:val="231F20"/>
          <w:spacing w:val="-13"/>
          <w:w w:val="120"/>
        </w:rPr>
        <w:t> </w:t>
      </w:r>
      <w:r>
        <w:rPr>
          <w:color w:val="231F20"/>
          <w:w w:val="120"/>
        </w:rPr>
        <w:t>clients</w:t>
      </w:r>
      <w:r>
        <w:rPr>
          <w:color w:val="231F20"/>
          <w:spacing w:val="-12"/>
          <w:w w:val="120"/>
        </w:rPr>
        <w:t> </w:t>
      </w:r>
      <w:r>
        <w:rPr>
          <w:color w:val="231F20"/>
          <w:w w:val="120"/>
        </w:rPr>
        <w:t>ou</w:t>
      </w:r>
      <w:r>
        <w:rPr>
          <w:color w:val="231F20"/>
          <w:spacing w:val="-13"/>
          <w:w w:val="120"/>
        </w:rPr>
        <w:t> </w:t>
      </w:r>
      <w:r>
        <w:rPr>
          <w:color w:val="231F20"/>
          <w:w w:val="120"/>
        </w:rPr>
        <w:t>à</w:t>
      </w:r>
      <w:r>
        <w:rPr>
          <w:color w:val="231F20"/>
          <w:spacing w:val="-13"/>
          <w:w w:val="120"/>
        </w:rPr>
        <w:t> </w:t>
      </w:r>
      <w:r>
        <w:rPr>
          <w:color w:val="231F20"/>
          <w:w w:val="120"/>
        </w:rPr>
        <w:t>ses</w:t>
      </w:r>
      <w:r>
        <w:rPr>
          <w:color w:val="231F20"/>
          <w:spacing w:val="-13"/>
          <w:w w:val="120"/>
        </w:rPr>
        <w:t> </w:t>
      </w:r>
      <w:r>
        <w:rPr>
          <w:color w:val="231F20"/>
          <w:w w:val="120"/>
        </w:rPr>
        <w:t>fournisseurs,</w:t>
      </w:r>
      <w:r>
        <w:rPr>
          <w:color w:val="231F20"/>
          <w:spacing w:val="-12"/>
          <w:w w:val="120"/>
        </w:rPr>
        <w:t> </w:t>
      </w:r>
      <w:r>
        <w:rPr>
          <w:color w:val="231F20"/>
          <w:w w:val="120"/>
        </w:rPr>
        <w:t>ce</w:t>
      </w:r>
      <w:r>
        <w:rPr>
          <w:color w:val="231F20"/>
          <w:spacing w:val="-13"/>
          <w:w w:val="120"/>
        </w:rPr>
        <w:t> </w:t>
      </w:r>
      <w:r>
        <w:rPr>
          <w:color w:val="231F20"/>
          <w:w w:val="120"/>
        </w:rPr>
        <w:t>qui ne peut que l’éloigner de ses actionnaires. En revanche, les personnes qui ont une grande estime de soi cherchent à travailler dans des orga- nisations qui sont des chefs de file de leur secteur, sont sûres d’elles- mêmes,</w:t>
      </w:r>
      <w:r>
        <w:rPr>
          <w:color w:val="231F20"/>
          <w:spacing w:val="-16"/>
          <w:w w:val="120"/>
        </w:rPr>
        <w:t> </w:t>
      </w:r>
      <w:r>
        <w:rPr>
          <w:color w:val="231F20"/>
          <w:w w:val="120"/>
        </w:rPr>
        <w:t>se</w:t>
      </w:r>
      <w:r>
        <w:rPr>
          <w:color w:val="231F20"/>
          <w:spacing w:val="-16"/>
          <w:w w:val="120"/>
        </w:rPr>
        <w:t> </w:t>
      </w:r>
      <w:r>
        <w:rPr>
          <w:color w:val="231F20"/>
          <w:w w:val="120"/>
        </w:rPr>
        <w:t>distinguent</w:t>
      </w:r>
      <w:r>
        <w:rPr>
          <w:color w:val="231F20"/>
          <w:spacing w:val="-16"/>
          <w:w w:val="120"/>
        </w:rPr>
        <w:t> </w:t>
      </w:r>
      <w:r>
        <w:rPr>
          <w:color w:val="231F20"/>
          <w:w w:val="120"/>
        </w:rPr>
        <w:t>des</w:t>
      </w:r>
      <w:r>
        <w:rPr>
          <w:color w:val="231F20"/>
          <w:spacing w:val="-16"/>
          <w:w w:val="120"/>
        </w:rPr>
        <w:t> </w:t>
      </w:r>
      <w:r>
        <w:rPr>
          <w:color w:val="231F20"/>
          <w:w w:val="120"/>
        </w:rPr>
        <w:t>autres</w:t>
      </w:r>
      <w:r>
        <w:rPr>
          <w:color w:val="231F20"/>
          <w:spacing w:val="-16"/>
          <w:w w:val="120"/>
        </w:rPr>
        <w:t> </w:t>
      </w:r>
      <w:r>
        <w:rPr>
          <w:color w:val="231F20"/>
          <w:w w:val="120"/>
        </w:rPr>
        <w:t>non</w:t>
      </w:r>
      <w:r>
        <w:rPr>
          <w:color w:val="231F20"/>
          <w:spacing w:val="-16"/>
          <w:w w:val="120"/>
        </w:rPr>
        <w:t> </w:t>
      </w:r>
      <w:r>
        <w:rPr>
          <w:color w:val="231F20"/>
          <w:w w:val="120"/>
        </w:rPr>
        <w:t>seulement</w:t>
      </w:r>
      <w:r>
        <w:rPr>
          <w:color w:val="231F20"/>
          <w:spacing w:val="-16"/>
          <w:w w:val="120"/>
        </w:rPr>
        <w:t> </w:t>
      </w:r>
      <w:r>
        <w:rPr>
          <w:color w:val="231F20"/>
          <w:w w:val="120"/>
        </w:rPr>
        <w:t>par</w:t>
      </w:r>
      <w:r>
        <w:rPr>
          <w:color w:val="231F20"/>
          <w:spacing w:val="-16"/>
          <w:w w:val="120"/>
        </w:rPr>
        <w:t> </w:t>
      </w:r>
      <w:r>
        <w:rPr>
          <w:color w:val="231F20"/>
          <w:w w:val="120"/>
        </w:rPr>
        <w:t>leurs</w:t>
      </w:r>
      <w:r>
        <w:rPr>
          <w:color w:val="231F20"/>
          <w:spacing w:val="-16"/>
          <w:w w:val="120"/>
        </w:rPr>
        <w:t> </w:t>
      </w:r>
      <w:r>
        <w:rPr>
          <w:color w:val="231F20"/>
          <w:w w:val="120"/>
        </w:rPr>
        <w:t>produits,</w:t>
      </w:r>
      <w:r>
        <w:rPr>
          <w:color w:val="231F20"/>
          <w:spacing w:val="-16"/>
          <w:w w:val="120"/>
        </w:rPr>
        <w:t> </w:t>
      </w:r>
      <w:r>
        <w:rPr>
          <w:color w:val="231F20"/>
          <w:w w:val="120"/>
        </w:rPr>
        <w:t>mais</w:t>
      </w:r>
    </w:p>
    <w:p>
      <w:pPr>
        <w:pStyle w:val="BodyText"/>
        <w:rPr>
          <w:sz w:val="20"/>
        </w:rPr>
      </w:pPr>
    </w:p>
    <w:p>
      <w:pPr>
        <w:pStyle w:val="BodyText"/>
        <w:rPr>
          <w:sz w:val="20"/>
        </w:rPr>
      </w:pPr>
    </w:p>
    <w:p>
      <w:pPr>
        <w:pStyle w:val="BodyText"/>
        <w:spacing w:before="9"/>
        <w:rPr>
          <w:sz w:val="15"/>
        </w:rPr>
      </w:pPr>
      <w:r>
        <w:rPr/>
        <w:pict>
          <v:shape style="position:absolute;margin-left:82pt;margin-top:10.304494pt;width:287.5pt;height:.1pt;mso-position-horizontal-relative:page;mso-position-vertical-relative:paragraph;z-index:-15639040;mso-wrap-distance-left:0;mso-wrap-distance-right:0" id="docshape990" coordorigin="1640,206" coordsize="5750,0" path="m1640,206l7390,206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sz w:val="12"/>
        </w:rPr>
      </w:pPr>
      <w:r>
        <w:rPr>
          <w:rFonts w:ascii="Arial"/>
          <w:color w:val="231F20"/>
          <w:w w:val="95"/>
          <w:sz w:val="12"/>
        </w:rPr>
        <w:t>Raich,</w:t>
      </w:r>
      <w:r>
        <w:rPr>
          <w:rFonts w:ascii="Arial"/>
          <w:color w:val="231F20"/>
          <w:spacing w:val="-3"/>
          <w:w w:val="95"/>
          <w:sz w:val="12"/>
        </w:rPr>
        <w:t> </w:t>
      </w:r>
      <w:r>
        <w:rPr>
          <w:rFonts w:ascii="Arial"/>
          <w:color w:val="231F20"/>
          <w:w w:val="95"/>
          <w:sz w:val="12"/>
        </w:rPr>
        <w:t>M.</w:t>
      </w:r>
      <w:r>
        <w:rPr>
          <w:rFonts w:ascii="Arial"/>
          <w:color w:val="231F20"/>
          <w:spacing w:val="-2"/>
          <w:w w:val="95"/>
          <w:sz w:val="12"/>
        </w:rPr>
        <w:t> </w:t>
      </w:r>
      <w:r>
        <w:rPr>
          <w:rFonts w:ascii="Arial"/>
          <w:color w:val="231F20"/>
          <w:w w:val="95"/>
          <w:sz w:val="12"/>
        </w:rPr>
        <w:t>et</w:t>
      </w:r>
      <w:r>
        <w:rPr>
          <w:rFonts w:ascii="Arial"/>
          <w:color w:val="231F20"/>
          <w:spacing w:val="-2"/>
          <w:w w:val="95"/>
          <w:sz w:val="12"/>
        </w:rPr>
        <w:t> </w:t>
      </w:r>
      <w:r>
        <w:rPr>
          <w:rFonts w:ascii="Arial"/>
          <w:color w:val="231F20"/>
          <w:w w:val="95"/>
          <w:sz w:val="12"/>
        </w:rPr>
        <w:t>Dolan,</w:t>
      </w:r>
      <w:r>
        <w:rPr>
          <w:rFonts w:ascii="Arial"/>
          <w:color w:val="231F20"/>
          <w:spacing w:val="-2"/>
          <w:w w:val="95"/>
          <w:sz w:val="12"/>
        </w:rPr>
        <w:t> </w:t>
      </w:r>
      <w:r>
        <w:rPr>
          <w:rFonts w:ascii="Arial"/>
          <w:color w:val="231F20"/>
          <w:w w:val="95"/>
          <w:sz w:val="12"/>
        </w:rPr>
        <w:t>S.</w:t>
      </w:r>
      <w:r>
        <w:rPr>
          <w:rFonts w:ascii="Arial"/>
          <w:color w:val="231F20"/>
          <w:spacing w:val="-2"/>
          <w:w w:val="95"/>
          <w:sz w:val="12"/>
        </w:rPr>
        <w:t> </w:t>
      </w:r>
      <w:r>
        <w:rPr>
          <w:rFonts w:ascii="Arial"/>
          <w:color w:val="231F20"/>
          <w:w w:val="95"/>
          <w:sz w:val="12"/>
        </w:rPr>
        <w:t>L.</w:t>
      </w:r>
      <w:r>
        <w:rPr>
          <w:rFonts w:ascii="Arial"/>
          <w:color w:val="231F20"/>
          <w:spacing w:val="-2"/>
          <w:w w:val="95"/>
          <w:sz w:val="12"/>
        </w:rPr>
        <w:t> </w:t>
      </w:r>
      <w:r>
        <w:rPr>
          <w:rFonts w:ascii="Arial"/>
          <w:color w:val="231F20"/>
          <w:w w:val="95"/>
          <w:sz w:val="12"/>
        </w:rPr>
        <w:t>(2008).</w:t>
      </w:r>
      <w:r>
        <w:rPr>
          <w:rFonts w:ascii="Arial"/>
          <w:color w:val="231F20"/>
          <w:spacing w:val="-2"/>
          <w:w w:val="95"/>
          <w:sz w:val="12"/>
        </w:rPr>
        <w:t> </w:t>
      </w:r>
      <w:r>
        <w:rPr>
          <w:rFonts w:ascii="Arial"/>
          <w:i/>
          <w:color w:val="231F20"/>
          <w:w w:val="95"/>
          <w:sz w:val="12"/>
        </w:rPr>
        <w:t>Beyond</w:t>
      </w:r>
      <w:r>
        <w:rPr>
          <w:rFonts w:ascii="Arial"/>
          <w:i/>
          <w:color w:val="231F20"/>
          <w:spacing w:val="-20"/>
          <w:w w:val="95"/>
          <w:sz w:val="12"/>
        </w:rPr>
        <w:t> </w:t>
      </w:r>
      <w:r>
        <w:rPr>
          <w:rFonts w:ascii="Arial"/>
          <w:i/>
          <w:color w:val="231F20"/>
          <w:w w:val="95"/>
          <w:sz w:val="12"/>
        </w:rPr>
        <w:t>:</w:t>
      </w:r>
      <w:r>
        <w:rPr>
          <w:rFonts w:ascii="Arial"/>
          <w:i/>
          <w:color w:val="231F20"/>
          <w:spacing w:val="-2"/>
          <w:w w:val="95"/>
          <w:sz w:val="12"/>
        </w:rPr>
        <w:t> </w:t>
      </w:r>
      <w:r>
        <w:rPr>
          <w:rFonts w:ascii="Arial"/>
          <w:i/>
          <w:color w:val="231F20"/>
          <w:w w:val="95"/>
          <w:sz w:val="12"/>
        </w:rPr>
        <w:t>Business</w:t>
      </w:r>
      <w:r>
        <w:rPr>
          <w:rFonts w:ascii="Arial"/>
          <w:i/>
          <w:color w:val="231F20"/>
          <w:spacing w:val="-3"/>
          <w:w w:val="95"/>
          <w:sz w:val="12"/>
        </w:rPr>
        <w:t> </w:t>
      </w:r>
      <w:r>
        <w:rPr>
          <w:rFonts w:ascii="Arial"/>
          <w:i/>
          <w:color w:val="231F20"/>
          <w:w w:val="95"/>
          <w:sz w:val="12"/>
        </w:rPr>
        <w:t>and</w:t>
      </w:r>
      <w:r>
        <w:rPr>
          <w:rFonts w:ascii="Arial"/>
          <w:i/>
          <w:color w:val="231F20"/>
          <w:spacing w:val="-2"/>
          <w:w w:val="95"/>
          <w:sz w:val="12"/>
        </w:rPr>
        <w:t> </w:t>
      </w:r>
      <w:r>
        <w:rPr>
          <w:rFonts w:ascii="Arial"/>
          <w:i/>
          <w:color w:val="231F20"/>
          <w:w w:val="95"/>
          <w:sz w:val="12"/>
        </w:rPr>
        <w:t>Society</w:t>
      </w:r>
      <w:r>
        <w:rPr>
          <w:rFonts w:ascii="Arial"/>
          <w:i/>
          <w:color w:val="231F20"/>
          <w:spacing w:val="-2"/>
          <w:w w:val="95"/>
          <w:sz w:val="12"/>
        </w:rPr>
        <w:t> </w:t>
      </w:r>
      <w:r>
        <w:rPr>
          <w:rFonts w:ascii="Arial"/>
          <w:i/>
          <w:color w:val="231F20"/>
          <w:w w:val="95"/>
          <w:sz w:val="12"/>
        </w:rPr>
        <w:t>in</w:t>
      </w:r>
      <w:r>
        <w:rPr>
          <w:rFonts w:ascii="Arial"/>
          <w:i/>
          <w:color w:val="231F20"/>
          <w:spacing w:val="-2"/>
          <w:w w:val="95"/>
          <w:sz w:val="12"/>
        </w:rPr>
        <w:t> </w:t>
      </w:r>
      <w:r>
        <w:rPr>
          <w:rFonts w:ascii="Arial"/>
          <w:i/>
          <w:color w:val="231F20"/>
          <w:w w:val="95"/>
          <w:sz w:val="12"/>
        </w:rPr>
        <w:t>Transformation</w:t>
      </w:r>
      <w:r>
        <w:rPr>
          <w:rFonts w:ascii="Arial"/>
          <w:color w:val="231F20"/>
          <w:w w:val="95"/>
          <w:sz w:val="12"/>
        </w:rPr>
        <w:t>,</w:t>
      </w:r>
      <w:r>
        <w:rPr>
          <w:rFonts w:ascii="Arial"/>
          <w:color w:val="231F20"/>
          <w:spacing w:val="-2"/>
          <w:w w:val="95"/>
          <w:sz w:val="12"/>
        </w:rPr>
        <w:t> </w:t>
      </w:r>
      <w:r>
        <w:rPr>
          <w:rFonts w:ascii="Arial"/>
          <w:color w:val="231F20"/>
          <w:w w:val="95"/>
          <w:sz w:val="12"/>
        </w:rPr>
        <w:t>Londres,</w:t>
      </w:r>
      <w:r>
        <w:rPr>
          <w:rFonts w:ascii="Arial"/>
          <w:color w:val="231F20"/>
          <w:spacing w:val="-2"/>
          <w:w w:val="95"/>
          <w:sz w:val="12"/>
        </w:rPr>
        <w:t> </w:t>
      </w:r>
      <w:r>
        <w:rPr>
          <w:rFonts w:ascii="Arial"/>
          <w:color w:val="231F20"/>
          <w:w w:val="95"/>
          <w:sz w:val="12"/>
        </w:rPr>
        <w:t>Palgrave</w:t>
      </w:r>
      <w:r>
        <w:rPr>
          <w:rFonts w:ascii="Arial"/>
          <w:color w:val="231F20"/>
          <w:spacing w:val="-2"/>
          <w:w w:val="95"/>
          <w:sz w:val="12"/>
        </w:rPr>
        <w:t> Macmillan.</w:t>
      </w:r>
    </w:p>
    <w:p>
      <w:pPr>
        <w:spacing w:after="0" w:line="240" w:lineRule="auto"/>
        <w:jc w:val="left"/>
        <w:rPr>
          <w:rFonts w:ascii="Arial"/>
          <w:sz w:val="12"/>
        </w:rPr>
        <w:sectPr>
          <w:type w:val="continuous"/>
          <w:pgSz w:w="8640" w:h="12960"/>
          <w:pgMar w:header="0" w:footer="424"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15"/>
        </w:rPr>
        <w:t>par</w:t>
      </w:r>
      <w:r>
        <w:rPr>
          <w:color w:val="231F20"/>
          <w:spacing w:val="-11"/>
          <w:w w:val="115"/>
        </w:rPr>
        <w:t> </w:t>
      </w:r>
      <w:r>
        <w:rPr>
          <w:color w:val="231F20"/>
          <w:w w:val="115"/>
        </w:rPr>
        <w:t>leur</w:t>
      </w:r>
      <w:r>
        <w:rPr>
          <w:color w:val="231F20"/>
          <w:spacing w:val="-11"/>
          <w:w w:val="115"/>
        </w:rPr>
        <w:t> </w:t>
      </w:r>
      <w:r>
        <w:rPr>
          <w:color w:val="231F20"/>
          <w:w w:val="115"/>
        </w:rPr>
        <w:t>leadership,</w:t>
      </w:r>
      <w:r>
        <w:rPr>
          <w:color w:val="231F20"/>
          <w:spacing w:val="-11"/>
          <w:w w:val="115"/>
        </w:rPr>
        <w:t> </w:t>
      </w:r>
      <w:r>
        <w:rPr>
          <w:color w:val="231F20"/>
          <w:w w:val="115"/>
        </w:rPr>
        <w:t>leur</w:t>
      </w:r>
      <w:r>
        <w:rPr>
          <w:color w:val="231F20"/>
          <w:spacing w:val="-11"/>
          <w:w w:val="115"/>
        </w:rPr>
        <w:t> </w:t>
      </w:r>
      <w:r>
        <w:rPr>
          <w:color w:val="231F20"/>
          <w:w w:val="115"/>
        </w:rPr>
        <w:t>culture</w:t>
      </w:r>
      <w:r>
        <w:rPr>
          <w:color w:val="231F20"/>
          <w:spacing w:val="-11"/>
          <w:w w:val="115"/>
        </w:rPr>
        <w:t> </w:t>
      </w:r>
      <w:r>
        <w:rPr>
          <w:color w:val="231F20"/>
          <w:w w:val="115"/>
        </w:rPr>
        <w:t>et</w:t>
      </w:r>
      <w:r>
        <w:rPr>
          <w:color w:val="231F20"/>
          <w:spacing w:val="-11"/>
          <w:w w:val="115"/>
        </w:rPr>
        <w:t> </w:t>
      </w:r>
      <w:r>
        <w:rPr>
          <w:color w:val="231F20"/>
          <w:w w:val="115"/>
        </w:rPr>
        <w:t>leur</w:t>
      </w:r>
      <w:r>
        <w:rPr>
          <w:color w:val="231F20"/>
          <w:spacing w:val="-11"/>
          <w:w w:val="115"/>
        </w:rPr>
        <w:t> </w:t>
      </w:r>
      <w:r>
        <w:rPr>
          <w:color w:val="231F20"/>
          <w:w w:val="115"/>
        </w:rPr>
        <w:t>façon</w:t>
      </w:r>
      <w:r>
        <w:rPr>
          <w:color w:val="231F20"/>
          <w:spacing w:val="-11"/>
          <w:w w:val="115"/>
        </w:rPr>
        <w:t> </w:t>
      </w:r>
      <w:r>
        <w:rPr>
          <w:color w:val="231F20"/>
          <w:w w:val="115"/>
        </w:rPr>
        <w:t>de</w:t>
      </w:r>
      <w:r>
        <w:rPr>
          <w:color w:val="231F20"/>
          <w:spacing w:val="-11"/>
          <w:w w:val="115"/>
        </w:rPr>
        <w:t> </w:t>
      </w:r>
      <w:r>
        <w:rPr>
          <w:color w:val="231F20"/>
          <w:w w:val="115"/>
        </w:rPr>
        <w:t>faire.</w:t>
      </w:r>
      <w:r>
        <w:rPr>
          <w:color w:val="231F20"/>
          <w:spacing w:val="-11"/>
          <w:w w:val="115"/>
        </w:rPr>
        <w:t> </w:t>
      </w:r>
      <w:r>
        <w:rPr>
          <w:color w:val="231F20"/>
          <w:w w:val="115"/>
        </w:rPr>
        <w:t>En</w:t>
      </w:r>
      <w:r>
        <w:rPr>
          <w:color w:val="231F20"/>
          <w:spacing w:val="-11"/>
          <w:w w:val="115"/>
        </w:rPr>
        <w:t> </w:t>
      </w:r>
      <w:r>
        <w:rPr>
          <w:color w:val="231F20"/>
          <w:w w:val="115"/>
        </w:rPr>
        <w:t>fait,</w:t>
      </w:r>
      <w:r>
        <w:rPr>
          <w:color w:val="231F20"/>
          <w:spacing w:val="-11"/>
          <w:w w:val="115"/>
        </w:rPr>
        <w:t> </w:t>
      </w:r>
      <w:r>
        <w:rPr>
          <w:color w:val="231F20"/>
          <w:w w:val="115"/>
        </w:rPr>
        <w:t>les</w:t>
      </w:r>
      <w:r>
        <w:rPr>
          <w:color w:val="231F20"/>
          <w:spacing w:val="-11"/>
          <w:w w:val="115"/>
        </w:rPr>
        <w:t> </w:t>
      </w:r>
      <w:r>
        <w:rPr>
          <w:color w:val="231F20"/>
          <w:w w:val="115"/>
        </w:rPr>
        <w:t>employés </w:t>
      </w:r>
      <w:r>
        <w:rPr>
          <w:color w:val="231F20"/>
          <w:spacing w:val="-2"/>
          <w:w w:val="120"/>
        </w:rPr>
        <w:t>recherchent</w:t>
      </w:r>
      <w:r>
        <w:rPr>
          <w:color w:val="231F20"/>
          <w:spacing w:val="-7"/>
          <w:w w:val="120"/>
        </w:rPr>
        <w:t> </w:t>
      </w:r>
      <w:r>
        <w:rPr>
          <w:color w:val="231F20"/>
          <w:spacing w:val="-2"/>
          <w:w w:val="120"/>
        </w:rPr>
        <w:t>des</w:t>
      </w:r>
      <w:r>
        <w:rPr>
          <w:color w:val="231F20"/>
          <w:spacing w:val="-7"/>
          <w:w w:val="120"/>
        </w:rPr>
        <w:t> </w:t>
      </w:r>
      <w:r>
        <w:rPr>
          <w:color w:val="231F20"/>
          <w:spacing w:val="-2"/>
          <w:w w:val="120"/>
        </w:rPr>
        <w:t>organisations</w:t>
      </w:r>
      <w:r>
        <w:rPr>
          <w:color w:val="231F20"/>
          <w:spacing w:val="-7"/>
          <w:w w:val="120"/>
        </w:rPr>
        <w:t> </w:t>
      </w:r>
      <w:r>
        <w:rPr>
          <w:color w:val="231F20"/>
          <w:spacing w:val="-2"/>
          <w:w w:val="120"/>
        </w:rPr>
        <w:t>qui</w:t>
      </w:r>
      <w:r>
        <w:rPr>
          <w:color w:val="231F20"/>
          <w:spacing w:val="-7"/>
          <w:w w:val="120"/>
        </w:rPr>
        <w:t> </w:t>
      </w:r>
      <w:r>
        <w:rPr>
          <w:color w:val="231F20"/>
          <w:spacing w:val="-2"/>
          <w:w w:val="120"/>
        </w:rPr>
        <w:t>projettent</w:t>
      </w:r>
      <w:r>
        <w:rPr>
          <w:color w:val="231F20"/>
          <w:spacing w:val="-7"/>
          <w:w w:val="120"/>
        </w:rPr>
        <w:t> </w:t>
      </w:r>
      <w:r>
        <w:rPr>
          <w:color w:val="231F20"/>
          <w:spacing w:val="-2"/>
          <w:w w:val="120"/>
        </w:rPr>
        <w:t>une</w:t>
      </w:r>
      <w:r>
        <w:rPr>
          <w:color w:val="231F20"/>
          <w:spacing w:val="-7"/>
          <w:w w:val="120"/>
        </w:rPr>
        <w:t> </w:t>
      </w:r>
      <w:r>
        <w:rPr>
          <w:color w:val="231F20"/>
          <w:spacing w:val="-2"/>
          <w:w w:val="120"/>
        </w:rPr>
        <w:t>bonne</w:t>
      </w:r>
      <w:r>
        <w:rPr>
          <w:color w:val="231F20"/>
          <w:spacing w:val="-7"/>
          <w:w w:val="120"/>
        </w:rPr>
        <w:t> </w:t>
      </w:r>
      <w:r>
        <w:rPr>
          <w:color w:val="231F20"/>
          <w:spacing w:val="-2"/>
          <w:w w:val="120"/>
        </w:rPr>
        <w:t>image</w:t>
      </w:r>
      <w:r>
        <w:rPr>
          <w:color w:val="231F20"/>
          <w:spacing w:val="-7"/>
          <w:w w:val="120"/>
        </w:rPr>
        <w:t> </w:t>
      </w:r>
      <w:r>
        <w:rPr>
          <w:color w:val="231F20"/>
          <w:spacing w:val="-2"/>
          <w:w w:val="120"/>
        </w:rPr>
        <w:t>de</w:t>
      </w:r>
      <w:r>
        <w:rPr>
          <w:color w:val="231F20"/>
          <w:spacing w:val="-7"/>
          <w:w w:val="120"/>
        </w:rPr>
        <w:t> </w:t>
      </w:r>
      <w:r>
        <w:rPr>
          <w:color w:val="231F20"/>
          <w:spacing w:val="-2"/>
          <w:w w:val="120"/>
        </w:rPr>
        <w:t>l’entre- prise,</w:t>
      </w:r>
      <w:r>
        <w:rPr>
          <w:color w:val="231F20"/>
          <w:spacing w:val="-16"/>
          <w:w w:val="120"/>
        </w:rPr>
        <w:t> </w:t>
      </w:r>
      <w:r>
        <w:rPr>
          <w:color w:val="231F20"/>
          <w:spacing w:val="-2"/>
          <w:w w:val="120"/>
        </w:rPr>
        <w:t>en</w:t>
      </w:r>
      <w:r>
        <w:rPr>
          <w:color w:val="231F20"/>
          <w:spacing w:val="-15"/>
          <w:w w:val="120"/>
        </w:rPr>
        <w:t> </w:t>
      </w:r>
      <w:r>
        <w:rPr>
          <w:color w:val="231F20"/>
          <w:spacing w:val="-2"/>
          <w:w w:val="120"/>
        </w:rPr>
        <w:t>fonction</w:t>
      </w:r>
      <w:r>
        <w:rPr>
          <w:color w:val="231F20"/>
          <w:spacing w:val="-15"/>
          <w:w w:val="120"/>
        </w:rPr>
        <w:t> </w:t>
      </w:r>
      <w:r>
        <w:rPr>
          <w:color w:val="231F20"/>
          <w:spacing w:val="-2"/>
          <w:w w:val="120"/>
        </w:rPr>
        <w:t>du</w:t>
      </w:r>
      <w:r>
        <w:rPr>
          <w:color w:val="231F20"/>
          <w:spacing w:val="-15"/>
          <w:w w:val="120"/>
        </w:rPr>
        <w:t> </w:t>
      </w:r>
      <w:r>
        <w:rPr>
          <w:color w:val="231F20"/>
          <w:spacing w:val="-2"/>
          <w:w w:val="120"/>
        </w:rPr>
        <w:t>respect</w:t>
      </w:r>
      <w:r>
        <w:rPr>
          <w:color w:val="231F20"/>
          <w:spacing w:val="-15"/>
          <w:w w:val="120"/>
        </w:rPr>
        <w:t> </w:t>
      </w:r>
      <w:r>
        <w:rPr>
          <w:color w:val="231F20"/>
          <w:spacing w:val="-2"/>
          <w:w w:val="120"/>
        </w:rPr>
        <w:t>de</w:t>
      </w:r>
      <w:r>
        <w:rPr>
          <w:color w:val="231F20"/>
          <w:spacing w:val="-15"/>
          <w:w w:val="120"/>
        </w:rPr>
        <w:t> </w:t>
      </w:r>
      <w:r>
        <w:rPr>
          <w:color w:val="231F20"/>
          <w:spacing w:val="-2"/>
          <w:w w:val="120"/>
        </w:rPr>
        <w:t>ses</w:t>
      </w:r>
      <w:r>
        <w:rPr>
          <w:color w:val="231F20"/>
          <w:spacing w:val="-15"/>
          <w:w w:val="120"/>
        </w:rPr>
        <w:t> </w:t>
      </w:r>
      <w:r>
        <w:rPr>
          <w:color w:val="231F20"/>
          <w:spacing w:val="-2"/>
          <w:w w:val="120"/>
        </w:rPr>
        <w:t>responsabilités</w:t>
      </w:r>
      <w:r>
        <w:rPr>
          <w:color w:val="231F20"/>
          <w:spacing w:val="-15"/>
          <w:w w:val="120"/>
        </w:rPr>
        <w:t> </w:t>
      </w:r>
      <w:r>
        <w:rPr>
          <w:color w:val="231F20"/>
          <w:spacing w:val="-2"/>
          <w:w w:val="120"/>
        </w:rPr>
        <w:t>sociales</w:t>
      </w:r>
      <w:r>
        <w:rPr>
          <w:color w:val="231F20"/>
          <w:spacing w:val="-16"/>
          <w:w w:val="120"/>
        </w:rPr>
        <w:t> </w:t>
      </w:r>
      <w:r>
        <w:rPr>
          <w:color w:val="231F20"/>
          <w:spacing w:val="-2"/>
          <w:w w:val="120"/>
        </w:rPr>
        <w:t>et</w:t>
      </w:r>
      <w:r>
        <w:rPr>
          <w:color w:val="231F20"/>
          <w:spacing w:val="-15"/>
          <w:w w:val="120"/>
        </w:rPr>
        <w:t> </w:t>
      </w:r>
      <w:r>
        <w:rPr>
          <w:color w:val="231F20"/>
          <w:spacing w:val="-2"/>
          <w:w w:val="120"/>
        </w:rPr>
        <w:t>citoyennes.</w:t>
      </w:r>
    </w:p>
    <w:p>
      <w:pPr>
        <w:pStyle w:val="BodyText"/>
        <w:spacing w:line="307" w:lineRule="auto" w:before="80"/>
        <w:ind w:left="829" w:right="496" w:firstLine="250"/>
        <w:jc w:val="both"/>
      </w:pPr>
      <w:r>
        <w:rPr>
          <w:color w:val="231F20"/>
          <w:w w:val="115"/>
        </w:rPr>
        <w:t>L’estime de soi organisationnelle devient une variable incontournable </w:t>
      </w:r>
      <w:r>
        <w:rPr>
          <w:color w:val="231F20"/>
          <w:spacing w:val="-2"/>
          <w:w w:val="120"/>
        </w:rPr>
        <w:t>pour</w:t>
      </w:r>
      <w:r>
        <w:rPr>
          <w:color w:val="231F20"/>
          <w:spacing w:val="-9"/>
          <w:w w:val="120"/>
        </w:rPr>
        <w:t> </w:t>
      </w:r>
      <w:r>
        <w:rPr>
          <w:color w:val="231F20"/>
          <w:spacing w:val="-2"/>
          <w:w w:val="120"/>
        </w:rPr>
        <w:t>assurer</w:t>
      </w:r>
      <w:r>
        <w:rPr>
          <w:color w:val="231F20"/>
          <w:spacing w:val="-9"/>
          <w:w w:val="120"/>
        </w:rPr>
        <w:t> </w:t>
      </w:r>
      <w:r>
        <w:rPr>
          <w:color w:val="231F20"/>
          <w:spacing w:val="-2"/>
          <w:w w:val="120"/>
        </w:rPr>
        <w:t>la</w:t>
      </w:r>
      <w:r>
        <w:rPr>
          <w:color w:val="231F20"/>
          <w:spacing w:val="-9"/>
          <w:w w:val="120"/>
        </w:rPr>
        <w:t> </w:t>
      </w:r>
      <w:r>
        <w:rPr>
          <w:color w:val="231F20"/>
          <w:spacing w:val="-2"/>
          <w:w w:val="120"/>
        </w:rPr>
        <w:t>prospérité</w:t>
      </w:r>
      <w:r>
        <w:rPr>
          <w:color w:val="231F20"/>
          <w:spacing w:val="-9"/>
          <w:w w:val="120"/>
        </w:rPr>
        <w:t> </w:t>
      </w:r>
      <w:r>
        <w:rPr>
          <w:color w:val="231F20"/>
          <w:spacing w:val="-2"/>
          <w:w w:val="120"/>
        </w:rPr>
        <w:t>de</w:t>
      </w:r>
      <w:r>
        <w:rPr>
          <w:color w:val="231F20"/>
          <w:spacing w:val="-9"/>
          <w:w w:val="120"/>
        </w:rPr>
        <w:t> </w:t>
      </w:r>
      <w:r>
        <w:rPr>
          <w:color w:val="231F20"/>
          <w:spacing w:val="-2"/>
          <w:w w:val="120"/>
        </w:rPr>
        <w:t>l’entreprise</w:t>
      </w:r>
      <w:r>
        <w:rPr>
          <w:color w:val="231F20"/>
          <w:spacing w:val="-9"/>
          <w:w w:val="120"/>
        </w:rPr>
        <w:t> </w:t>
      </w:r>
      <w:r>
        <w:rPr>
          <w:color w:val="231F20"/>
          <w:spacing w:val="-2"/>
          <w:w w:val="120"/>
        </w:rPr>
        <w:t>en</w:t>
      </w:r>
      <w:r>
        <w:rPr>
          <w:color w:val="231F20"/>
          <w:spacing w:val="-9"/>
          <w:w w:val="120"/>
        </w:rPr>
        <w:t> </w:t>
      </w:r>
      <w:r>
        <w:rPr>
          <w:color w:val="231F20"/>
          <w:spacing w:val="-2"/>
          <w:w w:val="120"/>
        </w:rPr>
        <w:t>fonction,</w:t>
      </w:r>
      <w:r>
        <w:rPr>
          <w:color w:val="231F20"/>
          <w:spacing w:val="-9"/>
          <w:w w:val="120"/>
        </w:rPr>
        <w:t> </w:t>
      </w:r>
      <w:r>
        <w:rPr>
          <w:color w:val="231F20"/>
          <w:spacing w:val="-2"/>
          <w:w w:val="120"/>
        </w:rPr>
        <w:t>entre</w:t>
      </w:r>
      <w:r>
        <w:rPr>
          <w:color w:val="231F20"/>
          <w:spacing w:val="-9"/>
          <w:w w:val="120"/>
        </w:rPr>
        <w:t> </w:t>
      </w:r>
      <w:r>
        <w:rPr>
          <w:color w:val="231F20"/>
          <w:spacing w:val="-2"/>
          <w:w w:val="120"/>
        </w:rPr>
        <w:t>autres,</w:t>
      </w:r>
      <w:r>
        <w:rPr>
          <w:color w:val="231F20"/>
          <w:spacing w:val="-9"/>
          <w:w w:val="120"/>
        </w:rPr>
        <w:t> </w:t>
      </w:r>
      <w:r>
        <w:rPr>
          <w:color w:val="231F20"/>
          <w:spacing w:val="-2"/>
          <w:w w:val="120"/>
        </w:rPr>
        <w:t>de</w:t>
      </w:r>
      <w:r>
        <w:rPr>
          <w:color w:val="231F20"/>
          <w:spacing w:val="-9"/>
          <w:w w:val="120"/>
        </w:rPr>
        <w:t> </w:t>
      </w:r>
      <w:r>
        <w:rPr>
          <w:color w:val="231F20"/>
          <w:spacing w:val="-2"/>
          <w:w w:val="120"/>
        </w:rPr>
        <w:t>son </w:t>
      </w:r>
      <w:r>
        <w:rPr>
          <w:color w:val="231F20"/>
          <w:w w:val="115"/>
        </w:rPr>
        <w:t>rôle modérateur sur divers indicateurs psychologiques40 dont la satisfac- </w:t>
      </w:r>
      <w:r>
        <w:rPr>
          <w:color w:val="231F20"/>
          <w:spacing w:val="-2"/>
          <w:w w:val="120"/>
        </w:rPr>
        <w:t>tion</w:t>
      </w:r>
      <w:r>
        <w:rPr>
          <w:color w:val="231F20"/>
          <w:spacing w:val="-13"/>
          <w:w w:val="120"/>
        </w:rPr>
        <w:t> </w:t>
      </w:r>
      <w:r>
        <w:rPr>
          <w:color w:val="231F20"/>
          <w:spacing w:val="-2"/>
          <w:w w:val="120"/>
        </w:rPr>
        <w:t>au</w:t>
      </w:r>
      <w:r>
        <w:rPr>
          <w:color w:val="231F20"/>
          <w:spacing w:val="-11"/>
          <w:w w:val="120"/>
        </w:rPr>
        <w:t> </w:t>
      </w:r>
      <w:r>
        <w:rPr>
          <w:color w:val="231F20"/>
          <w:spacing w:val="-2"/>
          <w:w w:val="120"/>
        </w:rPr>
        <w:t>travail,</w:t>
      </w:r>
      <w:r>
        <w:rPr>
          <w:color w:val="231F20"/>
          <w:spacing w:val="-11"/>
          <w:w w:val="120"/>
        </w:rPr>
        <w:t> </w:t>
      </w:r>
      <w:r>
        <w:rPr>
          <w:color w:val="231F20"/>
          <w:spacing w:val="-2"/>
          <w:w w:val="120"/>
        </w:rPr>
        <w:t>les</w:t>
      </w:r>
      <w:r>
        <w:rPr>
          <w:color w:val="231F20"/>
          <w:spacing w:val="-10"/>
          <w:w w:val="120"/>
        </w:rPr>
        <w:t> </w:t>
      </w:r>
      <w:r>
        <w:rPr>
          <w:color w:val="231F20"/>
          <w:spacing w:val="-2"/>
          <w:w w:val="120"/>
        </w:rPr>
        <w:t>comportements</w:t>
      </w:r>
      <w:r>
        <w:rPr>
          <w:color w:val="231F20"/>
          <w:spacing w:val="-11"/>
          <w:w w:val="120"/>
        </w:rPr>
        <w:t> </w:t>
      </w:r>
      <w:r>
        <w:rPr>
          <w:color w:val="231F20"/>
          <w:spacing w:val="-2"/>
          <w:w w:val="120"/>
        </w:rPr>
        <w:t>de</w:t>
      </w:r>
      <w:r>
        <w:rPr>
          <w:color w:val="231F20"/>
          <w:spacing w:val="-11"/>
          <w:w w:val="120"/>
        </w:rPr>
        <w:t> </w:t>
      </w:r>
      <w:r>
        <w:rPr>
          <w:color w:val="231F20"/>
          <w:spacing w:val="-2"/>
          <w:w w:val="120"/>
        </w:rPr>
        <w:t>citoyenneté</w:t>
      </w:r>
      <w:r>
        <w:rPr>
          <w:color w:val="231F20"/>
          <w:spacing w:val="-11"/>
          <w:w w:val="120"/>
        </w:rPr>
        <w:t> </w:t>
      </w:r>
      <w:r>
        <w:rPr>
          <w:color w:val="231F20"/>
          <w:spacing w:val="-2"/>
          <w:w w:val="120"/>
        </w:rPr>
        <w:t>organisationnelle,</w:t>
      </w:r>
      <w:r>
        <w:rPr>
          <w:color w:val="231F20"/>
          <w:spacing w:val="-10"/>
          <w:w w:val="120"/>
        </w:rPr>
        <w:t> </w:t>
      </w:r>
      <w:r>
        <w:rPr>
          <w:color w:val="231F20"/>
          <w:spacing w:val="-2"/>
          <w:w w:val="120"/>
        </w:rPr>
        <w:t>l’en- </w:t>
      </w:r>
      <w:r>
        <w:rPr>
          <w:color w:val="231F20"/>
          <w:w w:val="115"/>
        </w:rPr>
        <w:t>gagement</w:t>
      </w:r>
      <w:r>
        <w:rPr>
          <w:color w:val="231F20"/>
          <w:spacing w:val="-6"/>
          <w:w w:val="115"/>
        </w:rPr>
        <w:t> </w:t>
      </w:r>
      <w:r>
        <w:rPr>
          <w:color w:val="231F20"/>
          <w:w w:val="115"/>
        </w:rPr>
        <w:t>organisationnel41</w:t>
      </w:r>
      <w:r>
        <w:rPr>
          <w:color w:val="231F20"/>
          <w:spacing w:val="-6"/>
          <w:w w:val="115"/>
        </w:rPr>
        <w:t> </w:t>
      </w:r>
      <w:r>
        <w:rPr>
          <w:color w:val="231F20"/>
          <w:w w:val="115"/>
        </w:rPr>
        <w:t>ou</w:t>
      </w:r>
      <w:r>
        <w:rPr>
          <w:color w:val="231F20"/>
          <w:spacing w:val="-6"/>
          <w:w w:val="115"/>
        </w:rPr>
        <w:t> </w:t>
      </w:r>
      <w:r>
        <w:rPr>
          <w:color w:val="231F20"/>
          <w:w w:val="115"/>
        </w:rPr>
        <w:t>la</w:t>
      </w:r>
      <w:r>
        <w:rPr>
          <w:color w:val="231F20"/>
          <w:spacing w:val="-6"/>
          <w:w w:val="115"/>
        </w:rPr>
        <w:t> </w:t>
      </w:r>
      <w:r>
        <w:rPr>
          <w:color w:val="231F20"/>
          <w:w w:val="115"/>
        </w:rPr>
        <w:t>santé</w:t>
      </w:r>
      <w:r>
        <w:rPr>
          <w:color w:val="231F20"/>
          <w:spacing w:val="-6"/>
          <w:w w:val="115"/>
        </w:rPr>
        <w:t> </w:t>
      </w:r>
      <w:r>
        <w:rPr>
          <w:color w:val="231F20"/>
          <w:w w:val="115"/>
        </w:rPr>
        <w:t>psychologique42.</w:t>
      </w:r>
      <w:r>
        <w:rPr>
          <w:color w:val="231F20"/>
          <w:spacing w:val="-6"/>
          <w:w w:val="115"/>
        </w:rPr>
        <w:t> </w:t>
      </w:r>
      <w:r>
        <w:rPr>
          <w:color w:val="231F20"/>
          <w:w w:val="115"/>
        </w:rPr>
        <w:t>Cette</w:t>
      </w:r>
      <w:r>
        <w:rPr>
          <w:color w:val="231F20"/>
          <w:spacing w:val="-6"/>
          <w:w w:val="115"/>
        </w:rPr>
        <w:t> </w:t>
      </w:r>
      <w:r>
        <w:rPr>
          <w:color w:val="231F20"/>
          <w:w w:val="115"/>
        </w:rPr>
        <w:t>estime</w:t>
      </w:r>
      <w:r>
        <w:rPr>
          <w:color w:val="231F20"/>
          <w:spacing w:val="-6"/>
          <w:w w:val="115"/>
        </w:rPr>
        <w:t> </w:t>
      </w:r>
      <w:r>
        <w:rPr>
          <w:color w:val="231F20"/>
          <w:w w:val="115"/>
        </w:rPr>
        <w:t>se </w:t>
      </w:r>
      <w:r>
        <w:rPr>
          <w:color w:val="231F20"/>
          <w:w w:val="120"/>
        </w:rPr>
        <w:t>développe en fonction de divers paramètres:</w:t>
      </w:r>
    </w:p>
    <w:p>
      <w:pPr>
        <w:pStyle w:val="ListParagraph"/>
        <w:numPr>
          <w:ilvl w:val="0"/>
          <w:numId w:val="71"/>
        </w:numPr>
        <w:tabs>
          <w:tab w:pos="1331" w:val="left" w:leader="none"/>
        </w:tabs>
        <w:spacing w:line="307" w:lineRule="auto" w:before="78" w:after="0"/>
        <w:ind w:left="1330" w:right="496" w:hanging="251"/>
        <w:jc w:val="both"/>
        <w:rPr>
          <w:sz w:val="17"/>
        </w:rPr>
      </w:pPr>
      <w:r>
        <w:rPr>
          <w:color w:val="231F20"/>
          <w:w w:val="115"/>
          <w:sz w:val="17"/>
        </w:rPr>
        <w:t>L’existence</w:t>
      </w:r>
      <w:r>
        <w:rPr>
          <w:color w:val="231F20"/>
          <w:spacing w:val="-13"/>
          <w:w w:val="115"/>
          <w:sz w:val="17"/>
        </w:rPr>
        <w:t> </w:t>
      </w:r>
      <w:r>
        <w:rPr>
          <w:color w:val="231F20"/>
          <w:w w:val="115"/>
          <w:sz w:val="17"/>
        </w:rPr>
        <w:t>d’un</w:t>
      </w:r>
      <w:r>
        <w:rPr>
          <w:color w:val="231F20"/>
          <w:spacing w:val="-12"/>
          <w:w w:val="115"/>
          <w:sz w:val="17"/>
        </w:rPr>
        <w:t> </w:t>
      </w:r>
      <w:r>
        <w:rPr>
          <w:color w:val="231F20"/>
          <w:w w:val="115"/>
          <w:sz w:val="17"/>
        </w:rPr>
        <w:t>solide</w:t>
      </w:r>
      <w:r>
        <w:rPr>
          <w:color w:val="231F20"/>
          <w:spacing w:val="-12"/>
          <w:w w:val="115"/>
          <w:sz w:val="17"/>
        </w:rPr>
        <w:t> </w:t>
      </w:r>
      <w:r>
        <w:rPr>
          <w:color w:val="231F20"/>
          <w:w w:val="115"/>
          <w:sz w:val="17"/>
        </w:rPr>
        <w:t>leadership,</w:t>
      </w:r>
      <w:r>
        <w:rPr>
          <w:color w:val="231F20"/>
          <w:spacing w:val="-12"/>
          <w:w w:val="115"/>
          <w:sz w:val="17"/>
        </w:rPr>
        <w:t> </w:t>
      </w:r>
      <w:r>
        <w:rPr>
          <w:color w:val="231F20"/>
          <w:w w:val="115"/>
          <w:sz w:val="17"/>
        </w:rPr>
        <w:t>capable</w:t>
      </w:r>
      <w:r>
        <w:rPr>
          <w:color w:val="231F20"/>
          <w:spacing w:val="-13"/>
          <w:w w:val="115"/>
          <w:sz w:val="17"/>
        </w:rPr>
        <w:t> </w:t>
      </w:r>
      <w:r>
        <w:rPr>
          <w:color w:val="231F20"/>
          <w:w w:val="115"/>
          <w:sz w:val="17"/>
        </w:rPr>
        <w:t>d’harmoniser</w:t>
      </w:r>
      <w:r>
        <w:rPr>
          <w:color w:val="231F20"/>
          <w:spacing w:val="-12"/>
          <w:w w:val="115"/>
          <w:sz w:val="17"/>
        </w:rPr>
        <w:t> </w:t>
      </w:r>
      <w:r>
        <w:rPr>
          <w:color w:val="231F20"/>
          <w:w w:val="115"/>
          <w:sz w:val="17"/>
        </w:rPr>
        <w:t>les</w:t>
      </w:r>
      <w:r>
        <w:rPr>
          <w:color w:val="231F20"/>
          <w:spacing w:val="-12"/>
          <w:w w:val="115"/>
          <w:sz w:val="17"/>
        </w:rPr>
        <w:t> </w:t>
      </w:r>
      <w:r>
        <w:rPr>
          <w:color w:val="231F20"/>
          <w:w w:val="115"/>
          <w:sz w:val="17"/>
        </w:rPr>
        <w:t>idéaux </w:t>
      </w:r>
      <w:r>
        <w:rPr>
          <w:color w:val="231F20"/>
          <w:spacing w:val="-2"/>
          <w:w w:val="120"/>
          <w:sz w:val="17"/>
        </w:rPr>
        <w:t>des</w:t>
      </w:r>
      <w:r>
        <w:rPr>
          <w:color w:val="231F20"/>
          <w:spacing w:val="-8"/>
          <w:w w:val="120"/>
          <w:sz w:val="17"/>
        </w:rPr>
        <w:t> </w:t>
      </w:r>
      <w:r>
        <w:rPr>
          <w:color w:val="231F20"/>
          <w:spacing w:val="-2"/>
          <w:w w:val="120"/>
          <w:sz w:val="17"/>
        </w:rPr>
        <w:t>travailleurs</w:t>
      </w:r>
      <w:r>
        <w:rPr>
          <w:color w:val="231F20"/>
          <w:spacing w:val="-8"/>
          <w:w w:val="120"/>
          <w:sz w:val="17"/>
        </w:rPr>
        <w:t> </w:t>
      </w:r>
      <w:r>
        <w:rPr>
          <w:color w:val="231F20"/>
          <w:spacing w:val="-2"/>
          <w:w w:val="120"/>
          <w:sz w:val="17"/>
        </w:rPr>
        <w:t>avec</w:t>
      </w:r>
      <w:r>
        <w:rPr>
          <w:color w:val="231F20"/>
          <w:spacing w:val="-8"/>
          <w:w w:val="120"/>
          <w:sz w:val="17"/>
        </w:rPr>
        <w:t> </w:t>
      </w:r>
      <w:r>
        <w:rPr>
          <w:color w:val="231F20"/>
          <w:spacing w:val="-2"/>
          <w:w w:val="120"/>
          <w:sz w:val="17"/>
        </w:rPr>
        <w:t>le</w:t>
      </w:r>
      <w:r>
        <w:rPr>
          <w:color w:val="231F20"/>
          <w:spacing w:val="-8"/>
          <w:w w:val="120"/>
          <w:sz w:val="17"/>
        </w:rPr>
        <w:t> </w:t>
      </w:r>
      <w:r>
        <w:rPr>
          <w:color w:val="231F20"/>
          <w:spacing w:val="-2"/>
          <w:w w:val="120"/>
          <w:sz w:val="17"/>
        </w:rPr>
        <w:t>réalisme</w:t>
      </w:r>
      <w:r>
        <w:rPr>
          <w:color w:val="231F20"/>
          <w:spacing w:val="-8"/>
          <w:w w:val="120"/>
          <w:sz w:val="17"/>
        </w:rPr>
        <w:t> </w:t>
      </w:r>
      <w:r>
        <w:rPr>
          <w:color w:val="231F20"/>
          <w:spacing w:val="-2"/>
          <w:w w:val="120"/>
          <w:sz w:val="17"/>
        </w:rPr>
        <w:t>pragmatique</w:t>
      </w:r>
      <w:r>
        <w:rPr>
          <w:color w:val="231F20"/>
          <w:spacing w:val="-8"/>
          <w:w w:val="120"/>
          <w:sz w:val="17"/>
        </w:rPr>
        <w:t> </w:t>
      </w:r>
      <w:r>
        <w:rPr>
          <w:color w:val="231F20"/>
          <w:spacing w:val="-2"/>
          <w:w w:val="120"/>
          <w:sz w:val="17"/>
        </w:rPr>
        <w:t>de</w:t>
      </w:r>
      <w:r>
        <w:rPr>
          <w:color w:val="231F20"/>
          <w:spacing w:val="-8"/>
          <w:w w:val="120"/>
          <w:sz w:val="17"/>
        </w:rPr>
        <w:t> </w:t>
      </w:r>
      <w:r>
        <w:rPr>
          <w:color w:val="231F20"/>
          <w:spacing w:val="-2"/>
          <w:w w:val="120"/>
          <w:sz w:val="17"/>
        </w:rPr>
        <w:t>la</w:t>
      </w:r>
      <w:r>
        <w:rPr>
          <w:color w:val="231F20"/>
          <w:spacing w:val="-8"/>
          <w:w w:val="120"/>
          <w:sz w:val="17"/>
        </w:rPr>
        <w:t> </w:t>
      </w:r>
      <w:r>
        <w:rPr>
          <w:color w:val="231F20"/>
          <w:spacing w:val="-2"/>
          <w:w w:val="120"/>
          <w:sz w:val="17"/>
        </w:rPr>
        <w:t>recherche</w:t>
      </w:r>
      <w:r>
        <w:rPr>
          <w:color w:val="231F20"/>
          <w:spacing w:val="-8"/>
          <w:w w:val="120"/>
          <w:sz w:val="17"/>
        </w:rPr>
        <w:t> </w:t>
      </w:r>
      <w:r>
        <w:rPr>
          <w:color w:val="231F20"/>
          <w:spacing w:val="-2"/>
          <w:w w:val="120"/>
          <w:sz w:val="17"/>
        </w:rPr>
        <w:t>de</w:t>
      </w:r>
      <w:r>
        <w:rPr>
          <w:color w:val="231F20"/>
          <w:spacing w:val="-8"/>
          <w:w w:val="120"/>
          <w:sz w:val="17"/>
        </w:rPr>
        <w:t> </w:t>
      </w:r>
      <w:r>
        <w:rPr>
          <w:color w:val="231F20"/>
          <w:spacing w:val="-2"/>
          <w:w w:val="120"/>
          <w:sz w:val="17"/>
        </w:rPr>
        <w:t>la</w:t>
      </w:r>
      <w:r>
        <w:rPr>
          <w:color w:val="231F20"/>
          <w:spacing w:val="-2"/>
          <w:w w:val="120"/>
          <w:sz w:val="17"/>
        </w:rPr>
        <w:t> </w:t>
      </w:r>
      <w:r>
        <w:rPr>
          <w:color w:val="231F20"/>
          <w:w w:val="120"/>
          <w:sz w:val="17"/>
        </w:rPr>
        <w:t>productivité et de l’efficience;</w:t>
      </w:r>
    </w:p>
    <w:p>
      <w:pPr>
        <w:pStyle w:val="ListParagraph"/>
        <w:numPr>
          <w:ilvl w:val="0"/>
          <w:numId w:val="71"/>
        </w:numPr>
        <w:tabs>
          <w:tab w:pos="1331" w:val="left" w:leader="none"/>
        </w:tabs>
        <w:spacing w:line="307" w:lineRule="auto" w:before="78" w:after="0"/>
        <w:ind w:left="1330" w:right="494" w:hanging="251"/>
        <w:jc w:val="both"/>
        <w:rPr>
          <w:sz w:val="17"/>
        </w:rPr>
      </w:pPr>
      <w:r>
        <w:rPr>
          <w:color w:val="231F20"/>
          <w:w w:val="120"/>
          <w:sz w:val="17"/>
        </w:rPr>
        <w:t>Un équilibre synergique entre les enjeux économiques, éthiques et psychologiques de l’organisation;</w:t>
      </w:r>
    </w:p>
    <w:p>
      <w:pPr>
        <w:pStyle w:val="ListParagraph"/>
        <w:numPr>
          <w:ilvl w:val="0"/>
          <w:numId w:val="71"/>
        </w:numPr>
        <w:tabs>
          <w:tab w:pos="1331" w:val="left" w:leader="none"/>
        </w:tabs>
        <w:spacing w:line="307" w:lineRule="auto" w:before="79" w:after="0"/>
        <w:ind w:left="1330" w:right="497" w:hanging="251"/>
        <w:jc w:val="both"/>
        <w:rPr>
          <w:sz w:val="17"/>
        </w:rPr>
      </w:pPr>
      <w:r>
        <w:rPr>
          <w:color w:val="231F20"/>
          <w:w w:val="115"/>
          <w:sz w:val="17"/>
        </w:rPr>
        <w:t>La fixation d’objectifs clairs, réalistes et atteignables en favorisant </w:t>
      </w:r>
      <w:r>
        <w:rPr>
          <w:color w:val="231F20"/>
          <w:w w:val="120"/>
          <w:sz w:val="17"/>
        </w:rPr>
        <w:t>la participation des travailleurs;</w:t>
      </w:r>
    </w:p>
    <w:p>
      <w:pPr>
        <w:pStyle w:val="ListParagraph"/>
        <w:numPr>
          <w:ilvl w:val="0"/>
          <w:numId w:val="71"/>
        </w:numPr>
        <w:tabs>
          <w:tab w:pos="1331" w:val="left" w:leader="none"/>
        </w:tabs>
        <w:spacing w:line="307" w:lineRule="auto" w:before="79" w:after="0"/>
        <w:ind w:left="1330" w:right="497" w:hanging="251"/>
        <w:jc w:val="both"/>
        <w:rPr>
          <w:sz w:val="17"/>
        </w:rPr>
      </w:pPr>
      <w:r>
        <w:rPr>
          <w:color w:val="231F20"/>
          <w:w w:val="120"/>
          <w:sz w:val="17"/>
        </w:rPr>
        <w:t>L’atteinte créative des buts de la collectivité, des groupes et des </w:t>
      </w:r>
      <w:r>
        <w:rPr>
          <w:color w:val="231F20"/>
          <w:spacing w:val="-2"/>
          <w:w w:val="120"/>
          <w:sz w:val="17"/>
        </w:rPr>
        <w:t>individus;</w:t>
      </w:r>
    </w:p>
    <w:p>
      <w:pPr>
        <w:pStyle w:val="ListParagraph"/>
        <w:numPr>
          <w:ilvl w:val="0"/>
          <w:numId w:val="71"/>
        </w:numPr>
        <w:tabs>
          <w:tab w:pos="1331" w:val="left" w:leader="none"/>
        </w:tabs>
        <w:spacing w:line="307" w:lineRule="auto" w:before="79" w:after="0"/>
        <w:ind w:left="1330" w:right="492" w:hanging="251"/>
        <w:jc w:val="both"/>
        <w:rPr>
          <w:sz w:val="17"/>
        </w:rPr>
      </w:pPr>
      <w:r>
        <w:rPr>
          <w:color w:val="231F20"/>
          <w:w w:val="120"/>
          <w:sz w:val="17"/>
        </w:rPr>
        <w:t>L’établissement, dès le départ, de liens de confiance mutuelle authentique</w:t>
      </w:r>
      <w:r>
        <w:rPr>
          <w:color w:val="231F20"/>
          <w:w w:val="120"/>
          <w:sz w:val="17"/>
        </w:rPr>
        <w:t> entre</w:t>
      </w:r>
      <w:r>
        <w:rPr>
          <w:color w:val="231F20"/>
          <w:w w:val="120"/>
          <w:sz w:val="17"/>
        </w:rPr>
        <w:t> les</w:t>
      </w:r>
      <w:r>
        <w:rPr>
          <w:color w:val="231F20"/>
          <w:w w:val="120"/>
          <w:sz w:val="17"/>
        </w:rPr>
        <w:t> propriétaires</w:t>
      </w:r>
      <w:r>
        <w:rPr>
          <w:color w:val="231F20"/>
          <w:w w:val="120"/>
          <w:sz w:val="17"/>
        </w:rPr>
        <w:t> de</w:t>
      </w:r>
      <w:r>
        <w:rPr>
          <w:color w:val="231F20"/>
          <w:w w:val="120"/>
          <w:sz w:val="17"/>
        </w:rPr>
        <w:t> l’organisation</w:t>
      </w:r>
      <w:r>
        <w:rPr>
          <w:color w:val="231F20"/>
          <w:w w:val="120"/>
          <w:sz w:val="17"/>
        </w:rPr>
        <w:t> et</w:t>
      </w:r>
      <w:r>
        <w:rPr>
          <w:color w:val="231F20"/>
          <w:w w:val="120"/>
          <w:sz w:val="17"/>
        </w:rPr>
        <w:t> tous</w:t>
      </w:r>
      <w:r>
        <w:rPr>
          <w:color w:val="231F20"/>
          <w:spacing w:val="80"/>
          <w:w w:val="120"/>
          <w:sz w:val="17"/>
        </w:rPr>
        <w:t> </w:t>
      </w:r>
      <w:r>
        <w:rPr>
          <w:color w:val="231F20"/>
          <w:w w:val="120"/>
          <w:sz w:val="17"/>
        </w:rPr>
        <w:t>leurs agents, de la haute direction aux fournisseurs et clients, et particulièrement avec l’ensemble des employés;</w:t>
      </w:r>
    </w:p>
    <w:p>
      <w:pPr>
        <w:pStyle w:val="ListParagraph"/>
        <w:numPr>
          <w:ilvl w:val="0"/>
          <w:numId w:val="71"/>
        </w:numPr>
        <w:tabs>
          <w:tab w:pos="1331" w:val="left" w:leader="none"/>
        </w:tabs>
        <w:spacing w:line="307" w:lineRule="auto" w:before="79" w:after="0"/>
        <w:ind w:left="1330" w:right="496" w:hanging="251"/>
        <w:jc w:val="both"/>
        <w:rPr>
          <w:sz w:val="17"/>
        </w:rPr>
      </w:pPr>
      <w:r>
        <w:rPr>
          <w:color w:val="231F20"/>
          <w:w w:val="120"/>
          <w:sz w:val="17"/>
        </w:rPr>
        <w:t>La cohésion entre les valeurs déclarées de l’organisation et ses actions</w:t>
      </w:r>
      <w:r>
        <w:rPr>
          <w:color w:val="231F20"/>
          <w:spacing w:val="-13"/>
          <w:w w:val="120"/>
          <w:sz w:val="17"/>
        </w:rPr>
        <w:t> </w:t>
      </w:r>
      <w:r>
        <w:rPr>
          <w:color w:val="231F20"/>
          <w:w w:val="120"/>
          <w:sz w:val="17"/>
        </w:rPr>
        <w:t>quotidiennes;</w:t>
      </w:r>
    </w:p>
    <w:p>
      <w:pPr>
        <w:pStyle w:val="ListParagraph"/>
        <w:numPr>
          <w:ilvl w:val="0"/>
          <w:numId w:val="71"/>
        </w:numPr>
        <w:tabs>
          <w:tab w:pos="1331" w:val="left" w:leader="none"/>
        </w:tabs>
        <w:spacing w:line="307" w:lineRule="auto" w:before="78" w:after="0"/>
        <w:ind w:left="1330" w:right="495" w:hanging="251"/>
        <w:jc w:val="both"/>
        <w:rPr>
          <w:sz w:val="17"/>
        </w:rPr>
      </w:pPr>
      <w:r>
        <w:rPr>
          <w:color w:val="231F20"/>
          <w:w w:val="120"/>
          <w:sz w:val="17"/>
        </w:rPr>
        <w:t>La</w:t>
      </w:r>
      <w:r>
        <w:rPr>
          <w:color w:val="231F20"/>
          <w:spacing w:val="-13"/>
          <w:w w:val="120"/>
          <w:sz w:val="17"/>
        </w:rPr>
        <w:t> </w:t>
      </w:r>
      <w:r>
        <w:rPr>
          <w:color w:val="231F20"/>
          <w:w w:val="120"/>
          <w:sz w:val="17"/>
        </w:rPr>
        <w:t>formulation</w:t>
      </w:r>
      <w:r>
        <w:rPr>
          <w:color w:val="231F20"/>
          <w:spacing w:val="-13"/>
          <w:w w:val="120"/>
          <w:sz w:val="17"/>
        </w:rPr>
        <w:t> </w:t>
      </w:r>
      <w:r>
        <w:rPr>
          <w:color w:val="231F20"/>
          <w:w w:val="120"/>
          <w:sz w:val="17"/>
        </w:rPr>
        <w:t>d’un</w:t>
      </w:r>
      <w:r>
        <w:rPr>
          <w:color w:val="231F20"/>
          <w:spacing w:val="-13"/>
          <w:w w:val="120"/>
          <w:sz w:val="17"/>
        </w:rPr>
        <w:t> </w:t>
      </w:r>
      <w:r>
        <w:rPr>
          <w:color w:val="231F20"/>
          <w:w w:val="120"/>
          <w:sz w:val="17"/>
        </w:rPr>
        <w:t>énoncé</w:t>
      </w:r>
      <w:r>
        <w:rPr>
          <w:color w:val="231F20"/>
          <w:spacing w:val="-12"/>
          <w:w w:val="120"/>
          <w:sz w:val="17"/>
        </w:rPr>
        <w:t> </w:t>
      </w:r>
      <w:r>
        <w:rPr>
          <w:color w:val="231F20"/>
          <w:w w:val="120"/>
          <w:sz w:val="17"/>
        </w:rPr>
        <w:t>de</w:t>
      </w:r>
      <w:r>
        <w:rPr>
          <w:color w:val="231F20"/>
          <w:spacing w:val="-7"/>
          <w:w w:val="120"/>
          <w:sz w:val="17"/>
        </w:rPr>
        <w:t> </w:t>
      </w:r>
      <w:r>
        <w:rPr>
          <w:color w:val="231F20"/>
          <w:w w:val="120"/>
          <w:sz w:val="17"/>
        </w:rPr>
        <w:t>mission</w:t>
      </w:r>
      <w:r>
        <w:rPr>
          <w:color w:val="231F20"/>
          <w:spacing w:val="-8"/>
          <w:w w:val="120"/>
          <w:sz w:val="17"/>
        </w:rPr>
        <w:t> </w:t>
      </w:r>
      <w:r>
        <w:rPr>
          <w:color w:val="231F20"/>
          <w:w w:val="120"/>
          <w:sz w:val="17"/>
        </w:rPr>
        <w:t>ou</w:t>
      </w:r>
      <w:r>
        <w:rPr>
          <w:color w:val="231F20"/>
          <w:spacing w:val="-8"/>
          <w:w w:val="120"/>
          <w:sz w:val="17"/>
        </w:rPr>
        <w:t> </w:t>
      </w:r>
      <w:r>
        <w:rPr>
          <w:color w:val="231F20"/>
          <w:w w:val="120"/>
          <w:sz w:val="17"/>
        </w:rPr>
        <w:t>d’une</w:t>
      </w:r>
      <w:r>
        <w:rPr>
          <w:color w:val="231F20"/>
          <w:spacing w:val="-8"/>
          <w:w w:val="120"/>
          <w:sz w:val="17"/>
        </w:rPr>
        <w:t> </w:t>
      </w:r>
      <w:r>
        <w:rPr>
          <w:color w:val="231F20"/>
          <w:w w:val="120"/>
          <w:sz w:val="17"/>
        </w:rPr>
        <w:t>«</w:t>
      </w:r>
      <w:r>
        <w:rPr>
          <w:color w:val="231F20"/>
          <w:spacing w:val="-13"/>
          <w:w w:val="120"/>
          <w:sz w:val="17"/>
        </w:rPr>
        <w:t> </w:t>
      </w:r>
      <w:r>
        <w:rPr>
          <w:color w:val="231F20"/>
          <w:w w:val="120"/>
          <w:sz w:val="17"/>
        </w:rPr>
        <w:t>raison</w:t>
      </w:r>
      <w:r>
        <w:rPr>
          <w:color w:val="231F20"/>
          <w:spacing w:val="-7"/>
          <w:w w:val="120"/>
          <w:sz w:val="17"/>
        </w:rPr>
        <w:t> </w:t>
      </w:r>
      <w:r>
        <w:rPr>
          <w:color w:val="231F20"/>
          <w:w w:val="120"/>
          <w:sz w:val="17"/>
        </w:rPr>
        <w:t>d’être» comprenant</w:t>
      </w:r>
      <w:r>
        <w:rPr>
          <w:color w:val="231F20"/>
          <w:spacing w:val="-9"/>
          <w:w w:val="120"/>
          <w:sz w:val="17"/>
        </w:rPr>
        <w:t> </w:t>
      </w:r>
      <w:r>
        <w:rPr>
          <w:color w:val="231F20"/>
          <w:w w:val="120"/>
          <w:sz w:val="17"/>
        </w:rPr>
        <w:t>évidemment</w:t>
      </w:r>
      <w:r>
        <w:rPr>
          <w:color w:val="231F20"/>
          <w:spacing w:val="-9"/>
          <w:w w:val="120"/>
          <w:sz w:val="17"/>
        </w:rPr>
        <w:t> </w:t>
      </w:r>
      <w:r>
        <w:rPr>
          <w:color w:val="231F20"/>
          <w:w w:val="120"/>
          <w:sz w:val="17"/>
        </w:rPr>
        <w:t>le</w:t>
      </w:r>
      <w:r>
        <w:rPr>
          <w:color w:val="231F20"/>
          <w:spacing w:val="-9"/>
          <w:w w:val="120"/>
          <w:sz w:val="17"/>
        </w:rPr>
        <w:t> </w:t>
      </w:r>
      <w:r>
        <w:rPr>
          <w:color w:val="231F20"/>
          <w:w w:val="120"/>
          <w:sz w:val="17"/>
        </w:rPr>
        <w:t>bénéfice</w:t>
      </w:r>
      <w:r>
        <w:rPr>
          <w:color w:val="231F20"/>
          <w:spacing w:val="-9"/>
          <w:w w:val="120"/>
          <w:sz w:val="17"/>
        </w:rPr>
        <w:t> </w:t>
      </w:r>
      <w:r>
        <w:rPr>
          <w:color w:val="231F20"/>
          <w:w w:val="120"/>
          <w:sz w:val="17"/>
        </w:rPr>
        <w:t>économique</w:t>
      </w:r>
      <w:r>
        <w:rPr>
          <w:color w:val="231F20"/>
          <w:spacing w:val="-9"/>
          <w:w w:val="120"/>
          <w:sz w:val="17"/>
        </w:rPr>
        <w:t> </w:t>
      </w:r>
      <w:r>
        <w:rPr>
          <w:color w:val="231F20"/>
          <w:w w:val="120"/>
          <w:sz w:val="17"/>
        </w:rPr>
        <w:t>et/ou</w:t>
      </w:r>
      <w:r>
        <w:rPr>
          <w:color w:val="231F20"/>
          <w:spacing w:val="-9"/>
          <w:w w:val="120"/>
          <w:sz w:val="17"/>
        </w:rPr>
        <w:t> </w:t>
      </w:r>
      <w:r>
        <w:rPr>
          <w:color w:val="231F20"/>
          <w:w w:val="120"/>
          <w:sz w:val="17"/>
        </w:rPr>
        <w:t>la</w:t>
      </w:r>
      <w:r>
        <w:rPr>
          <w:color w:val="231F20"/>
          <w:spacing w:val="-9"/>
          <w:w w:val="120"/>
          <w:sz w:val="17"/>
        </w:rPr>
        <w:t> </w:t>
      </w:r>
      <w:r>
        <w:rPr>
          <w:color w:val="231F20"/>
          <w:w w:val="120"/>
          <w:sz w:val="17"/>
        </w:rPr>
        <w:t>qualité des</w:t>
      </w:r>
      <w:r>
        <w:rPr>
          <w:color w:val="231F20"/>
          <w:spacing w:val="-4"/>
          <w:w w:val="120"/>
          <w:sz w:val="17"/>
        </w:rPr>
        <w:t> </w:t>
      </w:r>
      <w:r>
        <w:rPr>
          <w:color w:val="231F20"/>
          <w:w w:val="120"/>
          <w:sz w:val="17"/>
        </w:rPr>
        <w:t>services,</w:t>
      </w:r>
      <w:r>
        <w:rPr>
          <w:color w:val="231F20"/>
          <w:spacing w:val="-4"/>
          <w:w w:val="120"/>
          <w:sz w:val="17"/>
        </w:rPr>
        <w:t> </w:t>
      </w:r>
      <w:r>
        <w:rPr>
          <w:color w:val="231F20"/>
          <w:w w:val="120"/>
          <w:sz w:val="17"/>
        </w:rPr>
        <w:t>mais</w:t>
      </w:r>
      <w:r>
        <w:rPr>
          <w:color w:val="231F20"/>
          <w:spacing w:val="-4"/>
          <w:w w:val="120"/>
          <w:sz w:val="17"/>
        </w:rPr>
        <w:t> </w:t>
      </w:r>
      <w:r>
        <w:rPr>
          <w:color w:val="231F20"/>
          <w:w w:val="120"/>
          <w:sz w:val="17"/>
        </w:rPr>
        <w:t>qui</w:t>
      </w:r>
      <w:r>
        <w:rPr>
          <w:color w:val="231F20"/>
          <w:spacing w:val="-4"/>
          <w:w w:val="120"/>
          <w:sz w:val="17"/>
        </w:rPr>
        <w:t> </w:t>
      </w:r>
      <w:r>
        <w:rPr>
          <w:color w:val="231F20"/>
          <w:w w:val="120"/>
          <w:sz w:val="17"/>
        </w:rPr>
        <w:t>considère</w:t>
      </w:r>
      <w:r>
        <w:rPr>
          <w:color w:val="231F20"/>
          <w:spacing w:val="-4"/>
          <w:w w:val="120"/>
          <w:sz w:val="17"/>
        </w:rPr>
        <w:t> </w:t>
      </w:r>
      <w:r>
        <w:rPr>
          <w:color w:val="231F20"/>
          <w:w w:val="120"/>
          <w:sz w:val="17"/>
        </w:rPr>
        <w:t>que</w:t>
      </w:r>
      <w:r>
        <w:rPr>
          <w:color w:val="231F20"/>
          <w:spacing w:val="-4"/>
          <w:w w:val="120"/>
          <w:sz w:val="17"/>
        </w:rPr>
        <w:t> </w:t>
      </w:r>
      <w:r>
        <w:rPr>
          <w:color w:val="231F20"/>
          <w:w w:val="120"/>
          <w:sz w:val="17"/>
        </w:rPr>
        <w:t>ce</w:t>
      </w:r>
      <w:r>
        <w:rPr>
          <w:color w:val="231F20"/>
          <w:spacing w:val="-4"/>
          <w:w w:val="120"/>
          <w:sz w:val="17"/>
        </w:rPr>
        <w:t> </w:t>
      </w:r>
      <w:r>
        <w:rPr>
          <w:color w:val="231F20"/>
          <w:w w:val="120"/>
          <w:sz w:val="17"/>
        </w:rPr>
        <w:t>ne</w:t>
      </w:r>
      <w:r>
        <w:rPr>
          <w:color w:val="231F20"/>
          <w:spacing w:val="-4"/>
          <w:w w:val="120"/>
          <w:sz w:val="17"/>
        </w:rPr>
        <w:t> </w:t>
      </w:r>
      <w:r>
        <w:rPr>
          <w:color w:val="231F20"/>
          <w:w w:val="120"/>
          <w:sz w:val="17"/>
        </w:rPr>
        <w:t>sont</w:t>
      </w:r>
      <w:r>
        <w:rPr>
          <w:color w:val="231F20"/>
          <w:spacing w:val="-4"/>
          <w:w w:val="120"/>
          <w:sz w:val="17"/>
        </w:rPr>
        <w:t> </w:t>
      </w:r>
      <w:r>
        <w:rPr>
          <w:color w:val="231F20"/>
          <w:w w:val="120"/>
          <w:sz w:val="17"/>
        </w:rPr>
        <w:t>pas</w:t>
      </w:r>
      <w:r>
        <w:rPr>
          <w:color w:val="231F20"/>
          <w:spacing w:val="-4"/>
          <w:w w:val="120"/>
          <w:sz w:val="17"/>
        </w:rPr>
        <w:t> </w:t>
      </w:r>
      <w:r>
        <w:rPr>
          <w:color w:val="231F20"/>
          <w:w w:val="120"/>
          <w:sz w:val="17"/>
        </w:rPr>
        <w:t>là</w:t>
      </w:r>
      <w:r>
        <w:rPr>
          <w:color w:val="231F20"/>
          <w:spacing w:val="-4"/>
          <w:w w:val="120"/>
          <w:sz w:val="17"/>
        </w:rPr>
        <w:t> </w:t>
      </w:r>
      <w:r>
        <w:rPr>
          <w:color w:val="231F20"/>
          <w:w w:val="120"/>
          <w:sz w:val="17"/>
        </w:rPr>
        <w:t>les</w:t>
      </w:r>
      <w:r>
        <w:rPr>
          <w:color w:val="231F20"/>
          <w:spacing w:val="-4"/>
          <w:w w:val="120"/>
          <w:sz w:val="17"/>
        </w:rPr>
        <w:t> </w:t>
      </w:r>
      <w:r>
        <w:rPr>
          <w:color w:val="231F20"/>
          <w:w w:val="120"/>
          <w:sz w:val="17"/>
        </w:rPr>
        <w:t>valeurs finales</w:t>
      </w:r>
      <w:r>
        <w:rPr>
          <w:color w:val="231F20"/>
          <w:spacing w:val="-9"/>
          <w:w w:val="120"/>
          <w:sz w:val="17"/>
        </w:rPr>
        <w:t> </w:t>
      </w:r>
      <w:r>
        <w:rPr>
          <w:color w:val="231F20"/>
          <w:w w:val="120"/>
          <w:sz w:val="17"/>
        </w:rPr>
        <w:t>exclusives</w:t>
      </w:r>
      <w:r>
        <w:rPr>
          <w:color w:val="231F20"/>
          <w:spacing w:val="-9"/>
          <w:w w:val="120"/>
          <w:sz w:val="17"/>
        </w:rPr>
        <w:t> </w:t>
      </w:r>
      <w:r>
        <w:rPr>
          <w:color w:val="231F20"/>
          <w:w w:val="120"/>
          <w:sz w:val="17"/>
        </w:rPr>
        <w:t>à</w:t>
      </w:r>
      <w:r>
        <w:rPr>
          <w:color w:val="231F20"/>
          <w:spacing w:val="-9"/>
          <w:w w:val="120"/>
          <w:sz w:val="17"/>
        </w:rPr>
        <w:t> </w:t>
      </w:r>
      <w:r>
        <w:rPr>
          <w:color w:val="231F20"/>
          <w:w w:val="120"/>
          <w:sz w:val="17"/>
        </w:rPr>
        <w:t>concrétiser</w:t>
      </w:r>
      <w:r>
        <w:rPr>
          <w:color w:val="231F20"/>
          <w:spacing w:val="-9"/>
          <w:w w:val="120"/>
          <w:sz w:val="17"/>
        </w:rPr>
        <w:t> </w:t>
      </w:r>
      <w:r>
        <w:rPr>
          <w:color w:val="231F20"/>
          <w:w w:val="120"/>
          <w:sz w:val="17"/>
        </w:rPr>
        <w:t>à</w:t>
      </w:r>
      <w:r>
        <w:rPr>
          <w:color w:val="231F20"/>
          <w:spacing w:val="-9"/>
          <w:w w:val="120"/>
          <w:sz w:val="17"/>
        </w:rPr>
        <w:t> </w:t>
      </w:r>
      <w:r>
        <w:rPr>
          <w:color w:val="231F20"/>
          <w:w w:val="120"/>
          <w:sz w:val="17"/>
        </w:rPr>
        <w:t>tout</w:t>
      </w:r>
      <w:r>
        <w:rPr>
          <w:color w:val="231F20"/>
          <w:spacing w:val="-9"/>
          <w:w w:val="120"/>
          <w:sz w:val="17"/>
        </w:rPr>
        <w:t> </w:t>
      </w:r>
      <w:r>
        <w:rPr>
          <w:color w:val="231F20"/>
          <w:w w:val="120"/>
          <w:sz w:val="17"/>
        </w:rPr>
        <w:t>prix,</w:t>
      </w:r>
      <w:r>
        <w:rPr>
          <w:color w:val="231F20"/>
          <w:spacing w:val="-9"/>
          <w:w w:val="120"/>
          <w:sz w:val="17"/>
        </w:rPr>
        <w:t> </w:t>
      </w:r>
      <w:r>
        <w:rPr>
          <w:color w:val="231F20"/>
          <w:w w:val="120"/>
          <w:sz w:val="17"/>
        </w:rPr>
        <w:t>mais</w:t>
      </w:r>
      <w:r>
        <w:rPr>
          <w:color w:val="231F20"/>
          <w:spacing w:val="-9"/>
          <w:w w:val="120"/>
          <w:sz w:val="17"/>
        </w:rPr>
        <w:t> </w:t>
      </w:r>
      <w:r>
        <w:rPr>
          <w:color w:val="231F20"/>
          <w:w w:val="120"/>
          <w:sz w:val="17"/>
        </w:rPr>
        <w:t>plutôt</w:t>
      </w:r>
      <w:r>
        <w:rPr>
          <w:color w:val="231F20"/>
          <w:spacing w:val="-9"/>
          <w:w w:val="120"/>
          <w:sz w:val="17"/>
        </w:rPr>
        <w:t> </w:t>
      </w:r>
      <w:r>
        <w:rPr>
          <w:color w:val="231F20"/>
          <w:w w:val="120"/>
          <w:sz w:val="17"/>
        </w:rPr>
        <w:t>un</w:t>
      </w:r>
      <w:r>
        <w:rPr>
          <w:color w:val="231F20"/>
          <w:spacing w:val="-9"/>
          <w:w w:val="120"/>
          <w:sz w:val="17"/>
        </w:rPr>
        <w:t> </w:t>
      </w:r>
      <w:r>
        <w:rPr>
          <w:color w:val="231F20"/>
          <w:w w:val="120"/>
          <w:sz w:val="17"/>
        </w:rPr>
        <w:t>moyen pour</w:t>
      </w:r>
      <w:r>
        <w:rPr>
          <w:color w:val="231F20"/>
          <w:spacing w:val="-8"/>
          <w:w w:val="120"/>
          <w:sz w:val="17"/>
        </w:rPr>
        <w:t> </w:t>
      </w:r>
      <w:r>
        <w:rPr>
          <w:color w:val="231F20"/>
          <w:w w:val="120"/>
          <w:sz w:val="17"/>
        </w:rPr>
        <w:t>l’organisation</w:t>
      </w:r>
      <w:r>
        <w:rPr>
          <w:color w:val="231F20"/>
          <w:spacing w:val="-8"/>
          <w:w w:val="120"/>
          <w:sz w:val="17"/>
        </w:rPr>
        <w:t> </w:t>
      </w:r>
      <w:r>
        <w:rPr>
          <w:color w:val="231F20"/>
          <w:w w:val="120"/>
          <w:sz w:val="17"/>
        </w:rPr>
        <w:t>d’assurer</w:t>
      </w:r>
      <w:r>
        <w:rPr>
          <w:color w:val="231F20"/>
          <w:spacing w:val="-8"/>
          <w:w w:val="120"/>
          <w:sz w:val="17"/>
        </w:rPr>
        <w:t> </w:t>
      </w:r>
      <w:r>
        <w:rPr>
          <w:color w:val="231F20"/>
          <w:w w:val="120"/>
          <w:sz w:val="17"/>
        </w:rPr>
        <w:t>sa</w:t>
      </w:r>
      <w:r>
        <w:rPr>
          <w:color w:val="231F20"/>
          <w:spacing w:val="-8"/>
          <w:w w:val="120"/>
          <w:sz w:val="17"/>
        </w:rPr>
        <w:t> </w:t>
      </w:r>
      <w:r>
        <w:rPr>
          <w:color w:val="231F20"/>
          <w:w w:val="120"/>
          <w:sz w:val="17"/>
        </w:rPr>
        <w:t>pérennité,</w:t>
      </w:r>
      <w:r>
        <w:rPr>
          <w:color w:val="231F20"/>
          <w:spacing w:val="-8"/>
          <w:w w:val="120"/>
          <w:sz w:val="17"/>
        </w:rPr>
        <w:t> </w:t>
      </w:r>
      <w:r>
        <w:rPr>
          <w:color w:val="231F20"/>
          <w:w w:val="120"/>
          <w:sz w:val="17"/>
        </w:rPr>
        <w:t>son</w:t>
      </w:r>
      <w:r>
        <w:rPr>
          <w:color w:val="231F20"/>
          <w:spacing w:val="-8"/>
          <w:w w:val="120"/>
          <w:sz w:val="17"/>
        </w:rPr>
        <w:t> </w:t>
      </w:r>
      <w:r>
        <w:rPr>
          <w:color w:val="231F20"/>
          <w:w w:val="120"/>
          <w:sz w:val="17"/>
        </w:rPr>
        <w:t>développement</w:t>
      </w:r>
      <w:r>
        <w:rPr>
          <w:color w:val="231F20"/>
          <w:spacing w:val="-8"/>
          <w:w w:val="120"/>
          <w:sz w:val="17"/>
        </w:rPr>
        <w:t> </w:t>
      </w:r>
      <w:r>
        <w:rPr>
          <w:color w:val="231F20"/>
          <w:w w:val="120"/>
          <w:sz w:val="17"/>
        </w:rPr>
        <w:t>et le bien-être de ses membres;</w:t>
      </w:r>
    </w:p>
    <w:p>
      <w:pPr>
        <w:pStyle w:val="BodyText"/>
        <w:rPr>
          <w:sz w:val="20"/>
        </w:rPr>
      </w:pPr>
    </w:p>
    <w:p>
      <w:pPr>
        <w:pStyle w:val="BodyText"/>
        <w:rPr>
          <w:sz w:val="20"/>
        </w:rPr>
      </w:pPr>
    </w:p>
    <w:p>
      <w:pPr>
        <w:pStyle w:val="BodyText"/>
        <w:spacing w:before="10"/>
        <w:rPr>
          <w:sz w:val="22"/>
        </w:rPr>
      </w:pPr>
      <w:r>
        <w:rPr/>
        <w:pict>
          <v:shape style="position:absolute;margin-left:62.5pt;margin-top:14.365767pt;width:287.5pt;height:.1pt;mso-position-horizontal-relative:page;mso-position-vertical-relative:paragraph;z-index:-15638528;mso-wrap-distance-left:0;mso-wrap-distance-right:0" id="docshape992" coordorigin="1250,287" coordsize="5750,0" path="m1250,287l7000,287e" filled="false" stroked="true" strokeweight=".25pt" strokecolor="#231f20">
            <v:path arrowok="t"/>
            <v:stroke dashstyle="shortdot"/>
            <w10:wrap type="topAndBottom"/>
          </v:shape>
        </w:pict>
      </w:r>
    </w:p>
    <w:p>
      <w:pPr>
        <w:pStyle w:val="ListParagraph"/>
        <w:numPr>
          <w:ilvl w:val="0"/>
          <w:numId w:val="65"/>
        </w:numPr>
        <w:tabs>
          <w:tab w:pos="830" w:val="left" w:leader="none"/>
        </w:tabs>
        <w:spacing w:line="295" w:lineRule="auto" w:before="135" w:after="0"/>
        <w:ind w:left="829" w:right="497" w:hanging="406"/>
        <w:jc w:val="both"/>
        <w:rPr>
          <w:rFonts w:ascii="Arial" w:hAnsi="Arial"/>
          <w:sz w:val="12"/>
        </w:rPr>
      </w:pPr>
      <w:r>
        <w:rPr>
          <w:rFonts w:ascii="Arial" w:hAnsi="Arial"/>
          <w:color w:val="231F20"/>
          <w:sz w:val="12"/>
        </w:rPr>
        <w:t>Ben</w:t>
      </w:r>
      <w:r>
        <w:rPr>
          <w:rFonts w:ascii="Arial" w:hAnsi="Arial"/>
          <w:color w:val="231F20"/>
          <w:spacing w:val="-7"/>
          <w:sz w:val="12"/>
        </w:rPr>
        <w:t> </w:t>
      </w:r>
      <w:r>
        <w:rPr>
          <w:rFonts w:ascii="Arial" w:hAnsi="Arial"/>
          <w:color w:val="231F20"/>
          <w:sz w:val="12"/>
        </w:rPr>
        <w:t>Ayed,</w:t>
      </w:r>
      <w:r>
        <w:rPr>
          <w:rFonts w:ascii="Arial" w:hAnsi="Arial"/>
          <w:color w:val="231F20"/>
          <w:spacing w:val="-7"/>
          <w:sz w:val="12"/>
        </w:rPr>
        <w:t> </w:t>
      </w:r>
      <w:r>
        <w:rPr>
          <w:rFonts w:ascii="Arial" w:hAnsi="Arial"/>
          <w:color w:val="231F20"/>
          <w:sz w:val="12"/>
        </w:rPr>
        <w:t>A.</w:t>
      </w:r>
      <w:r>
        <w:rPr>
          <w:rFonts w:ascii="Arial" w:hAnsi="Arial"/>
          <w:color w:val="231F20"/>
          <w:spacing w:val="-7"/>
          <w:sz w:val="12"/>
        </w:rPr>
        <w:t> </w:t>
      </w:r>
      <w:r>
        <w:rPr>
          <w:rFonts w:ascii="Arial" w:hAnsi="Arial"/>
          <w:color w:val="231F20"/>
          <w:sz w:val="12"/>
        </w:rPr>
        <w:t>K.</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Vanderberghe,</w:t>
      </w:r>
      <w:r>
        <w:rPr>
          <w:rFonts w:ascii="Arial" w:hAnsi="Arial"/>
          <w:color w:val="231F20"/>
          <w:spacing w:val="-7"/>
          <w:sz w:val="12"/>
        </w:rPr>
        <w:t> </w:t>
      </w:r>
      <w:r>
        <w:rPr>
          <w:rFonts w:ascii="Arial" w:hAnsi="Arial"/>
          <w:color w:val="231F20"/>
          <w:sz w:val="12"/>
        </w:rPr>
        <w:t>C.</w:t>
      </w:r>
      <w:r>
        <w:rPr>
          <w:rFonts w:ascii="Arial" w:hAnsi="Arial"/>
          <w:color w:val="231F20"/>
          <w:spacing w:val="-7"/>
          <w:sz w:val="12"/>
        </w:rPr>
        <w:t> </w:t>
      </w:r>
      <w:r>
        <w:rPr>
          <w:rFonts w:ascii="Arial" w:hAnsi="Arial"/>
          <w:color w:val="231F20"/>
          <w:sz w:val="12"/>
        </w:rPr>
        <w:t>(2018).</w:t>
      </w:r>
      <w:r>
        <w:rPr>
          <w:rFonts w:ascii="Arial" w:hAnsi="Arial"/>
          <w:color w:val="231F20"/>
          <w:spacing w:val="-7"/>
          <w:sz w:val="12"/>
        </w:rPr>
        <w:t> </w:t>
      </w:r>
      <w:r>
        <w:rPr>
          <w:rFonts w:ascii="Arial" w:hAnsi="Arial"/>
          <w:color w:val="231F20"/>
          <w:sz w:val="12"/>
        </w:rPr>
        <w:t>Engagement</w:t>
      </w:r>
      <w:r>
        <w:rPr>
          <w:rFonts w:ascii="Arial" w:hAnsi="Arial"/>
          <w:color w:val="231F20"/>
          <w:spacing w:val="-7"/>
          <w:sz w:val="12"/>
        </w:rPr>
        <w:t> </w:t>
      </w:r>
      <w:r>
        <w:rPr>
          <w:rFonts w:ascii="Arial" w:hAnsi="Arial"/>
          <w:color w:val="231F20"/>
          <w:sz w:val="12"/>
        </w:rPr>
        <w:t>au</w:t>
      </w:r>
      <w:r>
        <w:rPr>
          <w:rFonts w:ascii="Arial" w:hAnsi="Arial"/>
          <w:color w:val="231F20"/>
          <w:spacing w:val="-7"/>
          <w:sz w:val="12"/>
        </w:rPr>
        <w:t> </w:t>
      </w:r>
      <w:r>
        <w:rPr>
          <w:rFonts w:ascii="Arial" w:hAnsi="Arial"/>
          <w:color w:val="231F20"/>
          <w:sz w:val="12"/>
        </w:rPr>
        <w:t>travail,</w:t>
      </w:r>
      <w:r>
        <w:rPr>
          <w:rFonts w:ascii="Arial" w:hAnsi="Arial"/>
          <w:color w:val="231F20"/>
          <w:spacing w:val="-7"/>
          <w:sz w:val="12"/>
        </w:rPr>
        <w:t> </w:t>
      </w:r>
      <w:r>
        <w:rPr>
          <w:rFonts w:ascii="Arial" w:hAnsi="Arial"/>
          <w:color w:val="231F20"/>
          <w:sz w:val="12"/>
        </w:rPr>
        <w:t>estime</w:t>
      </w:r>
      <w:r>
        <w:rPr>
          <w:rFonts w:ascii="Arial" w:hAnsi="Arial"/>
          <w:color w:val="231F20"/>
          <w:spacing w:val="-7"/>
          <w:sz w:val="12"/>
        </w:rPr>
        <w:t> </w:t>
      </w:r>
      <w:r>
        <w:rPr>
          <w:rFonts w:ascii="Arial" w:hAnsi="Arial"/>
          <w:color w:val="231F20"/>
          <w:sz w:val="12"/>
        </w:rPr>
        <w:t>de</w:t>
      </w:r>
      <w:r>
        <w:rPr>
          <w:rFonts w:ascii="Arial" w:hAnsi="Arial"/>
          <w:color w:val="231F20"/>
          <w:spacing w:val="-7"/>
          <w:sz w:val="12"/>
        </w:rPr>
        <w:t> </w:t>
      </w:r>
      <w:r>
        <w:rPr>
          <w:rFonts w:ascii="Arial" w:hAnsi="Arial"/>
          <w:color w:val="231F20"/>
          <w:sz w:val="12"/>
        </w:rPr>
        <w:t>soi</w:t>
      </w:r>
      <w:r>
        <w:rPr>
          <w:rFonts w:ascii="Arial" w:hAnsi="Arial"/>
          <w:color w:val="231F20"/>
          <w:spacing w:val="-7"/>
          <w:sz w:val="12"/>
        </w:rPr>
        <w:t> </w:t>
      </w:r>
      <w:r>
        <w:rPr>
          <w:rFonts w:ascii="Arial" w:hAnsi="Arial"/>
          <w:color w:val="231F20"/>
          <w:sz w:val="12"/>
        </w:rPr>
        <w:t>organisationnelle,</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satis-</w:t>
      </w:r>
      <w:r>
        <w:rPr>
          <w:rFonts w:ascii="Arial" w:hAnsi="Arial"/>
          <w:color w:val="231F20"/>
          <w:spacing w:val="40"/>
          <w:sz w:val="12"/>
        </w:rPr>
        <w:t> </w:t>
      </w:r>
      <w:r>
        <w:rPr>
          <w:rFonts w:ascii="Arial" w:hAnsi="Arial"/>
          <w:color w:val="231F20"/>
          <w:sz w:val="12"/>
        </w:rPr>
        <w:t>faction envers la carrière</w:t>
      </w:r>
      <w:r>
        <w:rPr>
          <w:rFonts w:ascii="Arial" w:hAnsi="Arial"/>
          <w:color w:val="231F20"/>
          <w:spacing w:val="-22"/>
          <w:sz w:val="12"/>
        </w:rPr>
        <w:t> </w:t>
      </w:r>
      <w:r>
        <w:rPr>
          <w:rFonts w:ascii="Arial" w:hAnsi="Arial"/>
          <w:color w:val="231F20"/>
          <w:sz w:val="12"/>
        </w:rPr>
        <w:t>: une étude prospective, </w:t>
      </w:r>
      <w:r>
        <w:rPr>
          <w:rFonts w:ascii="Arial" w:hAnsi="Arial"/>
          <w:i/>
          <w:color w:val="231F20"/>
          <w:sz w:val="12"/>
        </w:rPr>
        <w:t>Psychologie du travail et des organisations</w:t>
      </w:r>
      <w:r>
        <w:rPr>
          <w:rFonts w:ascii="Arial" w:hAnsi="Arial"/>
          <w:color w:val="231F20"/>
          <w:sz w:val="12"/>
        </w:rPr>
        <w:t>, </w:t>
      </w:r>
      <w:r>
        <w:rPr>
          <w:rFonts w:ascii="Arial" w:hAnsi="Arial"/>
          <w:i/>
          <w:color w:val="231F20"/>
          <w:sz w:val="12"/>
        </w:rPr>
        <w:t>24</w:t>
      </w:r>
      <w:r>
        <w:rPr>
          <w:rFonts w:ascii="Arial" w:hAnsi="Arial"/>
          <w:color w:val="231F20"/>
          <w:sz w:val="12"/>
        </w:rPr>
        <w:t>, 203-218.</w:t>
      </w:r>
    </w:p>
    <w:p>
      <w:pPr>
        <w:pStyle w:val="ListParagraph"/>
        <w:numPr>
          <w:ilvl w:val="0"/>
          <w:numId w:val="65"/>
        </w:numPr>
        <w:tabs>
          <w:tab w:pos="830" w:val="left" w:leader="none"/>
        </w:tabs>
        <w:spacing w:line="295" w:lineRule="auto" w:before="0" w:after="0"/>
        <w:ind w:left="829" w:right="498" w:hanging="406"/>
        <w:jc w:val="both"/>
        <w:rPr>
          <w:rFonts w:ascii="Arial" w:hAnsi="Arial"/>
          <w:sz w:val="12"/>
        </w:rPr>
      </w:pPr>
      <w:r>
        <w:rPr>
          <w:rFonts w:ascii="Arial" w:hAnsi="Arial"/>
          <w:color w:val="231F20"/>
          <w:sz w:val="12"/>
        </w:rPr>
        <w:t>Minibas-Poussard, J. et Le Roy, J. (2013). Perceptions de justice et engagement organisationnel</w:t>
      </w:r>
      <w:r>
        <w:rPr>
          <w:rFonts w:ascii="Arial" w:hAnsi="Arial"/>
          <w:color w:val="231F20"/>
          <w:spacing w:val="-9"/>
          <w:sz w:val="12"/>
        </w:rPr>
        <w:t> </w:t>
      </w:r>
      <w:r>
        <w:rPr>
          <w:rFonts w:ascii="Arial" w:hAnsi="Arial"/>
          <w:color w:val="231F20"/>
          <w:sz w:val="12"/>
        </w:rPr>
        <w:t>: le rôle</w:t>
      </w:r>
      <w:r>
        <w:rPr>
          <w:rFonts w:ascii="Arial" w:hAnsi="Arial"/>
          <w:color w:val="231F20"/>
          <w:spacing w:val="40"/>
          <w:sz w:val="12"/>
        </w:rPr>
        <w:t> </w:t>
      </w:r>
      <w:r>
        <w:rPr>
          <w:rFonts w:ascii="Arial" w:hAnsi="Arial"/>
          <w:color w:val="231F20"/>
          <w:sz w:val="12"/>
        </w:rPr>
        <w:t>modérateur de l’estime de soi organisationnelle, Post-Print hal-01615639, HAL.</w:t>
      </w:r>
    </w:p>
    <w:p>
      <w:pPr>
        <w:pStyle w:val="ListParagraph"/>
        <w:numPr>
          <w:ilvl w:val="0"/>
          <w:numId w:val="65"/>
        </w:numPr>
        <w:tabs>
          <w:tab w:pos="830" w:val="left" w:leader="none"/>
        </w:tabs>
        <w:spacing w:line="295" w:lineRule="auto" w:before="1" w:after="0"/>
        <w:ind w:left="829" w:right="494" w:hanging="406"/>
        <w:jc w:val="both"/>
        <w:rPr>
          <w:rFonts w:ascii="Arial" w:hAnsi="Arial"/>
          <w:sz w:val="12"/>
        </w:rPr>
      </w:pPr>
      <w:r>
        <w:rPr>
          <w:rFonts w:ascii="Arial" w:hAnsi="Arial"/>
          <w:color w:val="231F20"/>
          <w:spacing w:val="-2"/>
          <w:sz w:val="12"/>
        </w:rPr>
        <w:t>Bourgeois, C. (2019). </w:t>
      </w:r>
      <w:r>
        <w:rPr>
          <w:rFonts w:ascii="Arial" w:hAnsi="Arial"/>
          <w:i/>
          <w:color w:val="231F20"/>
          <w:spacing w:val="-2"/>
          <w:sz w:val="12"/>
        </w:rPr>
        <w:t>Le rôle modérateur de l’estime de soi organisationnelle dans la relation entre l’ajustement</w:t>
      </w:r>
      <w:r>
        <w:rPr>
          <w:rFonts w:ascii="Arial" w:hAnsi="Arial"/>
          <w:i/>
          <w:color w:val="231F20"/>
          <w:spacing w:val="40"/>
          <w:sz w:val="12"/>
        </w:rPr>
        <w:t> </w:t>
      </w:r>
      <w:r>
        <w:rPr>
          <w:rFonts w:ascii="Arial" w:hAnsi="Arial"/>
          <w:i/>
          <w:color w:val="231F20"/>
          <w:sz w:val="12"/>
        </w:rPr>
        <w:t>cognitif au travail et les comportements de citoyenneté organisationnelle</w:t>
      </w:r>
      <w:r>
        <w:rPr>
          <w:rFonts w:ascii="Arial" w:hAnsi="Arial"/>
          <w:color w:val="231F20"/>
          <w:sz w:val="12"/>
        </w:rPr>
        <w:t>, Mémoire doctoral, Sherbrooke,</w:t>
      </w:r>
      <w:r>
        <w:rPr>
          <w:rFonts w:ascii="Arial" w:hAnsi="Arial"/>
          <w:color w:val="231F20"/>
          <w:spacing w:val="40"/>
          <w:sz w:val="12"/>
        </w:rPr>
        <w:t> </w:t>
      </w:r>
      <w:r>
        <w:rPr>
          <w:rFonts w:ascii="Arial" w:hAnsi="Arial"/>
          <w:color w:val="231F20"/>
          <w:sz w:val="12"/>
        </w:rPr>
        <w:t>Département de psychologie, Université de Sherbrooke.</w:t>
      </w:r>
    </w:p>
    <w:p>
      <w:pPr>
        <w:spacing w:after="0" w:line="295" w:lineRule="auto"/>
        <w:jc w:val="both"/>
        <w:rPr>
          <w:rFonts w:ascii="Arial" w:hAnsi="Arial"/>
          <w:sz w:val="12"/>
        </w:rPr>
        <w:sectPr>
          <w:footerReference w:type="default" r:id="rId273"/>
          <w:pgSz w:w="8640" w:h="12960"/>
          <w:pgMar w:footer="424" w:header="0" w:top="520" w:bottom="620" w:left="420" w:right="1140"/>
        </w:sectPr>
      </w:pPr>
    </w:p>
    <w:p>
      <w:pPr>
        <w:spacing w:before="118"/>
        <w:ind w:left="1940" w:right="0" w:firstLine="0"/>
        <w:jc w:val="left"/>
        <w:rPr>
          <w:rFonts w:ascii="Arial" w:hAnsi="Arial"/>
          <w:sz w:val="14"/>
        </w:rPr>
      </w:pPr>
      <w:bookmarkStart w:name=" 4.8.1 / Gestion et estime de soi organi" w:id="159"/>
      <w:bookmarkEnd w:id="159"/>
      <w:r>
        <w:rPr/>
      </w:r>
      <w:bookmarkStart w:name="_bookmark70" w:id="160"/>
      <w:bookmarkEnd w:id="160"/>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72"/>
        </w:numPr>
        <w:tabs>
          <w:tab w:pos="1721" w:val="left" w:leader="none"/>
        </w:tabs>
        <w:spacing w:line="307" w:lineRule="auto" w:before="121" w:after="0"/>
        <w:ind w:left="1720" w:right="101" w:hanging="251"/>
        <w:jc w:val="both"/>
        <w:rPr>
          <w:sz w:val="17"/>
        </w:rPr>
      </w:pPr>
      <w:r>
        <w:rPr>
          <w:color w:val="231F20"/>
          <w:w w:val="120"/>
          <w:sz w:val="17"/>
        </w:rPr>
        <w:t>La réputation de l’organisation, c’est-à-dire l’image sociale de l’entreprise</w:t>
      </w:r>
      <w:r>
        <w:rPr>
          <w:color w:val="231F20"/>
          <w:spacing w:val="-10"/>
          <w:w w:val="120"/>
          <w:sz w:val="17"/>
        </w:rPr>
        <w:t> </w:t>
      </w:r>
      <w:r>
        <w:rPr>
          <w:color w:val="231F20"/>
          <w:w w:val="120"/>
          <w:sz w:val="17"/>
        </w:rPr>
        <w:t>et</w:t>
      </w:r>
      <w:r>
        <w:rPr>
          <w:color w:val="231F20"/>
          <w:spacing w:val="-10"/>
          <w:w w:val="120"/>
          <w:sz w:val="17"/>
        </w:rPr>
        <w:t> </w:t>
      </w:r>
      <w:r>
        <w:rPr>
          <w:color w:val="231F20"/>
          <w:w w:val="120"/>
          <w:sz w:val="17"/>
        </w:rPr>
        <w:t>les</w:t>
      </w:r>
      <w:r>
        <w:rPr>
          <w:color w:val="231F20"/>
          <w:spacing w:val="-10"/>
          <w:w w:val="120"/>
          <w:sz w:val="17"/>
        </w:rPr>
        <w:t> </w:t>
      </w:r>
      <w:r>
        <w:rPr>
          <w:color w:val="231F20"/>
          <w:w w:val="120"/>
          <w:sz w:val="17"/>
        </w:rPr>
        <w:t>moyens</w:t>
      </w:r>
      <w:r>
        <w:rPr>
          <w:color w:val="231F20"/>
          <w:spacing w:val="-10"/>
          <w:w w:val="120"/>
          <w:sz w:val="17"/>
        </w:rPr>
        <w:t> </w:t>
      </w:r>
      <w:r>
        <w:rPr>
          <w:color w:val="231F20"/>
          <w:w w:val="120"/>
          <w:sz w:val="17"/>
        </w:rPr>
        <w:t>mis</w:t>
      </w:r>
      <w:r>
        <w:rPr>
          <w:color w:val="231F20"/>
          <w:spacing w:val="-10"/>
          <w:w w:val="120"/>
          <w:sz w:val="17"/>
        </w:rPr>
        <w:t> </w:t>
      </w:r>
      <w:r>
        <w:rPr>
          <w:color w:val="231F20"/>
          <w:w w:val="120"/>
          <w:sz w:val="17"/>
        </w:rPr>
        <w:t>en</w:t>
      </w:r>
      <w:r>
        <w:rPr>
          <w:color w:val="231F20"/>
          <w:spacing w:val="-10"/>
          <w:w w:val="120"/>
          <w:sz w:val="17"/>
        </w:rPr>
        <w:t> </w:t>
      </w:r>
      <w:r>
        <w:rPr>
          <w:color w:val="231F20"/>
          <w:w w:val="120"/>
          <w:sz w:val="17"/>
        </w:rPr>
        <w:t>place</w:t>
      </w:r>
      <w:r>
        <w:rPr>
          <w:color w:val="231F20"/>
          <w:spacing w:val="-10"/>
          <w:w w:val="120"/>
          <w:sz w:val="17"/>
        </w:rPr>
        <w:t> </w:t>
      </w:r>
      <w:r>
        <w:rPr>
          <w:color w:val="231F20"/>
          <w:w w:val="120"/>
          <w:sz w:val="17"/>
        </w:rPr>
        <w:t>afin</w:t>
      </w:r>
      <w:r>
        <w:rPr>
          <w:color w:val="231F20"/>
          <w:spacing w:val="-10"/>
          <w:w w:val="120"/>
          <w:sz w:val="17"/>
        </w:rPr>
        <w:t> </w:t>
      </w:r>
      <w:r>
        <w:rPr>
          <w:color w:val="231F20"/>
          <w:w w:val="120"/>
          <w:sz w:val="17"/>
        </w:rPr>
        <w:t>d’assurer</w:t>
      </w:r>
      <w:r>
        <w:rPr>
          <w:color w:val="231F20"/>
          <w:spacing w:val="-10"/>
          <w:w w:val="120"/>
          <w:sz w:val="17"/>
        </w:rPr>
        <w:t> </w:t>
      </w:r>
      <w:r>
        <w:rPr>
          <w:color w:val="231F20"/>
          <w:w w:val="120"/>
          <w:sz w:val="17"/>
        </w:rPr>
        <w:t>le</w:t>
      </w:r>
      <w:r>
        <w:rPr>
          <w:color w:val="231F20"/>
          <w:spacing w:val="-10"/>
          <w:w w:val="120"/>
          <w:sz w:val="17"/>
        </w:rPr>
        <w:t> </w:t>
      </w:r>
      <w:r>
        <w:rPr>
          <w:color w:val="231F20"/>
          <w:w w:val="120"/>
          <w:sz w:val="17"/>
        </w:rPr>
        <w:t>caractère éthique</w:t>
      </w:r>
      <w:r>
        <w:rPr>
          <w:color w:val="231F20"/>
          <w:spacing w:val="-4"/>
          <w:w w:val="120"/>
          <w:sz w:val="17"/>
        </w:rPr>
        <w:t> </w:t>
      </w:r>
      <w:r>
        <w:rPr>
          <w:color w:val="231F20"/>
          <w:w w:val="120"/>
          <w:sz w:val="17"/>
        </w:rPr>
        <w:t>de</w:t>
      </w:r>
      <w:r>
        <w:rPr>
          <w:color w:val="231F20"/>
          <w:spacing w:val="-4"/>
          <w:w w:val="120"/>
          <w:sz w:val="17"/>
        </w:rPr>
        <w:t> </w:t>
      </w:r>
      <w:r>
        <w:rPr>
          <w:color w:val="231F20"/>
          <w:w w:val="120"/>
          <w:sz w:val="17"/>
        </w:rPr>
        <w:t>ses</w:t>
      </w:r>
      <w:r>
        <w:rPr>
          <w:color w:val="231F20"/>
          <w:spacing w:val="-4"/>
          <w:w w:val="120"/>
          <w:sz w:val="17"/>
        </w:rPr>
        <w:t> </w:t>
      </w:r>
      <w:r>
        <w:rPr>
          <w:color w:val="231F20"/>
          <w:w w:val="120"/>
          <w:sz w:val="17"/>
        </w:rPr>
        <w:t>décisions,</w:t>
      </w:r>
      <w:r>
        <w:rPr>
          <w:color w:val="231F20"/>
          <w:spacing w:val="-4"/>
          <w:w w:val="120"/>
          <w:sz w:val="17"/>
        </w:rPr>
        <w:t> </w:t>
      </w:r>
      <w:r>
        <w:rPr>
          <w:color w:val="231F20"/>
          <w:w w:val="120"/>
          <w:sz w:val="17"/>
        </w:rPr>
        <w:t>de</w:t>
      </w:r>
      <w:r>
        <w:rPr>
          <w:color w:val="231F20"/>
          <w:spacing w:val="-4"/>
          <w:w w:val="120"/>
          <w:sz w:val="17"/>
        </w:rPr>
        <w:t> </w:t>
      </w:r>
      <w:r>
        <w:rPr>
          <w:color w:val="231F20"/>
          <w:w w:val="120"/>
          <w:sz w:val="17"/>
        </w:rPr>
        <w:t>ses</w:t>
      </w:r>
      <w:r>
        <w:rPr>
          <w:color w:val="231F20"/>
          <w:spacing w:val="-4"/>
          <w:w w:val="120"/>
          <w:sz w:val="17"/>
        </w:rPr>
        <w:t> </w:t>
      </w:r>
      <w:r>
        <w:rPr>
          <w:color w:val="231F20"/>
          <w:w w:val="120"/>
          <w:sz w:val="17"/>
        </w:rPr>
        <w:t>actions</w:t>
      </w:r>
      <w:r>
        <w:rPr>
          <w:color w:val="231F20"/>
          <w:spacing w:val="-4"/>
          <w:w w:val="120"/>
          <w:sz w:val="17"/>
        </w:rPr>
        <w:t> </w:t>
      </w:r>
      <w:r>
        <w:rPr>
          <w:color w:val="231F20"/>
          <w:w w:val="120"/>
          <w:sz w:val="17"/>
        </w:rPr>
        <w:t>et</w:t>
      </w:r>
      <w:r>
        <w:rPr>
          <w:color w:val="231F20"/>
          <w:spacing w:val="-4"/>
          <w:w w:val="120"/>
          <w:sz w:val="17"/>
        </w:rPr>
        <w:t> </w:t>
      </w:r>
      <w:r>
        <w:rPr>
          <w:color w:val="231F20"/>
          <w:w w:val="120"/>
          <w:sz w:val="17"/>
        </w:rPr>
        <w:t>des</w:t>
      </w:r>
      <w:r>
        <w:rPr>
          <w:color w:val="231F20"/>
          <w:spacing w:val="-4"/>
          <w:w w:val="120"/>
          <w:sz w:val="17"/>
        </w:rPr>
        <w:t> </w:t>
      </w:r>
      <w:r>
        <w:rPr>
          <w:color w:val="231F20"/>
          <w:w w:val="120"/>
          <w:sz w:val="17"/>
        </w:rPr>
        <w:t>comportements</w:t>
      </w:r>
      <w:r>
        <w:rPr>
          <w:color w:val="231F20"/>
          <w:spacing w:val="-4"/>
          <w:w w:val="120"/>
          <w:sz w:val="17"/>
        </w:rPr>
        <w:t> </w:t>
      </w:r>
      <w:r>
        <w:rPr>
          <w:color w:val="231F20"/>
          <w:w w:val="120"/>
          <w:sz w:val="17"/>
        </w:rPr>
        <w:t>de ses</w:t>
      </w:r>
      <w:r>
        <w:rPr>
          <w:color w:val="231F20"/>
          <w:spacing w:val="-13"/>
          <w:w w:val="120"/>
          <w:sz w:val="17"/>
        </w:rPr>
        <w:t> </w:t>
      </w:r>
      <w:r>
        <w:rPr>
          <w:color w:val="231F20"/>
          <w:w w:val="120"/>
          <w:sz w:val="17"/>
        </w:rPr>
        <w:t>membres;</w:t>
      </w:r>
    </w:p>
    <w:p>
      <w:pPr>
        <w:pStyle w:val="ListParagraph"/>
        <w:numPr>
          <w:ilvl w:val="0"/>
          <w:numId w:val="72"/>
        </w:numPr>
        <w:tabs>
          <w:tab w:pos="1721" w:val="left" w:leader="none"/>
        </w:tabs>
        <w:spacing w:line="240" w:lineRule="auto" w:before="79" w:after="0"/>
        <w:ind w:left="1720" w:right="0" w:hanging="251"/>
        <w:jc w:val="both"/>
        <w:rPr>
          <w:sz w:val="17"/>
        </w:rPr>
      </w:pPr>
      <w:r>
        <w:rPr>
          <w:color w:val="231F20"/>
          <w:w w:val="115"/>
          <w:sz w:val="17"/>
        </w:rPr>
        <w:t>L’engagement</w:t>
      </w:r>
      <w:r>
        <w:rPr>
          <w:color w:val="231F20"/>
          <w:spacing w:val="-6"/>
          <w:w w:val="115"/>
          <w:sz w:val="17"/>
        </w:rPr>
        <w:t> </w:t>
      </w:r>
      <w:r>
        <w:rPr>
          <w:color w:val="231F20"/>
          <w:w w:val="115"/>
          <w:sz w:val="17"/>
        </w:rPr>
        <w:t>et</w:t>
      </w:r>
      <w:r>
        <w:rPr>
          <w:color w:val="231F20"/>
          <w:spacing w:val="-5"/>
          <w:w w:val="115"/>
          <w:sz w:val="17"/>
        </w:rPr>
        <w:t> </w:t>
      </w:r>
      <w:r>
        <w:rPr>
          <w:color w:val="231F20"/>
          <w:w w:val="115"/>
          <w:sz w:val="17"/>
        </w:rPr>
        <w:t>le</w:t>
      </w:r>
      <w:r>
        <w:rPr>
          <w:color w:val="231F20"/>
          <w:spacing w:val="-6"/>
          <w:w w:val="115"/>
          <w:sz w:val="17"/>
        </w:rPr>
        <w:t> </w:t>
      </w:r>
      <w:r>
        <w:rPr>
          <w:color w:val="231F20"/>
          <w:w w:val="115"/>
          <w:sz w:val="17"/>
        </w:rPr>
        <w:t>respect</w:t>
      </w:r>
      <w:r>
        <w:rPr>
          <w:color w:val="231F20"/>
          <w:spacing w:val="-5"/>
          <w:w w:val="115"/>
          <w:sz w:val="17"/>
        </w:rPr>
        <w:t> </w:t>
      </w:r>
      <w:r>
        <w:rPr>
          <w:color w:val="231F20"/>
          <w:w w:val="115"/>
          <w:sz w:val="17"/>
        </w:rPr>
        <w:t>à</w:t>
      </w:r>
      <w:r>
        <w:rPr>
          <w:color w:val="231F20"/>
          <w:spacing w:val="-6"/>
          <w:w w:val="115"/>
          <w:sz w:val="17"/>
        </w:rPr>
        <w:t> </w:t>
      </w:r>
      <w:r>
        <w:rPr>
          <w:color w:val="231F20"/>
          <w:w w:val="115"/>
          <w:sz w:val="17"/>
        </w:rPr>
        <w:t>l’égard</w:t>
      </w:r>
      <w:r>
        <w:rPr>
          <w:color w:val="231F20"/>
          <w:spacing w:val="-5"/>
          <w:w w:val="115"/>
          <w:sz w:val="17"/>
        </w:rPr>
        <w:t> </w:t>
      </w:r>
      <w:r>
        <w:rPr>
          <w:color w:val="231F20"/>
          <w:w w:val="115"/>
          <w:sz w:val="17"/>
        </w:rPr>
        <w:t>de</w:t>
      </w:r>
      <w:r>
        <w:rPr>
          <w:color w:val="231F20"/>
          <w:spacing w:val="-6"/>
          <w:w w:val="115"/>
          <w:sz w:val="17"/>
        </w:rPr>
        <w:t> </w:t>
      </w:r>
      <w:r>
        <w:rPr>
          <w:color w:val="231F20"/>
          <w:spacing w:val="-2"/>
          <w:w w:val="115"/>
          <w:sz w:val="17"/>
        </w:rPr>
        <w:t>l’environnement;</w:t>
      </w:r>
    </w:p>
    <w:p>
      <w:pPr>
        <w:pStyle w:val="ListParagraph"/>
        <w:numPr>
          <w:ilvl w:val="0"/>
          <w:numId w:val="72"/>
        </w:numPr>
        <w:tabs>
          <w:tab w:pos="1721" w:val="left" w:leader="none"/>
        </w:tabs>
        <w:spacing w:line="307" w:lineRule="auto" w:before="134" w:after="0"/>
        <w:ind w:left="1720" w:right="101" w:hanging="251"/>
        <w:jc w:val="both"/>
        <w:rPr>
          <w:sz w:val="17"/>
        </w:rPr>
      </w:pPr>
      <w:r>
        <w:rPr>
          <w:color w:val="231F20"/>
          <w:w w:val="120"/>
          <w:sz w:val="17"/>
        </w:rPr>
        <w:t>Le</w:t>
      </w:r>
      <w:r>
        <w:rPr>
          <w:color w:val="231F20"/>
          <w:spacing w:val="29"/>
          <w:w w:val="120"/>
          <w:sz w:val="17"/>
        </w:rPr>
        <w:t> </w:t>
      </w:r>
      <w:r>
        <w:rPr>
          <w:color w:val="231F20"/>
          <w:w w:val="120"/>
          <w:sz w:val="17"/>
        </w:rPr>
        <w:t>respect</w:t>
      </w:r>
      <w:r>
        <w:rPr>
          <w:color w:val="231F20"/>
          <w:spacing w:val="29"/>
          <w:w w:val="120"/>
          <w:sz w:val="17"/>
        </w:rPr>
        <w:t> </w:t>
      </w:r>
      <w:r>
        <w:rPr>
          <w:color w:val="231F20"/>
          <w:w w:val="120"/>
          <w:sz w:val="17"/>
        </w:rPr>
        <w:t>de</w:t>
      </w:r>
      <w:r>
        <w:rPr>
          <w:color w:val="231F20"/>
          <w:spacing w:val="29"/>
          <w:w w:val="120"/>
          <w:sz w:val="17"/>
        </w:rPr>
        <w:t> </w:t>
      </w:r>
      <w:r>
        <w:rPr>
          <w:color w:val="231F20"/>
          <w:w w:val="120"/>
          <w:sz w:val="17"/>
        </w:rPr>
        <w:t>tous</w:t>
      </w:r>
      <w:r>
        <w:rPr>
          <w:color w:val="231F20"/>
          <w:spacing w:val="29"/>
          <w:w w:val="120"/>
          <w:sz w:val="17"/>
        </w:rPr>
        <w:t> </w:t>
      </w:r>
      <w:r>
        <w:rPr>
          <w:color w:val="231F20"/>
          <w:w w:val="120"/>
          <w:sz w:val="17"/>
        </w:rPr>
        <w:t>ses</w:t>
      </w:r>
      <w:r>
        <w:rPr>
          <w:color w:val="231F20"/>
          <w:spacing w:val="29"/>
          <w:w w:val="120"/>
          <w:sz w:val="17"/>
        </w:rPr>
        <w:t> </w:t>
      </w:r>
      <w:r>
        <w:rPr>
          <w:color w:val="231F20"/>
          <w:w w:val="120"/>
          <w:sz w:val="17"/>
        </w:rPr>
        <w:t>membres</w:t>
      </w:r>
      <w:r>
        <w:rPr>
          <w:color w:val="231F20"/>
          <w:spacing w:val="29"/>
          <w:w w:val="120"/>
          <w:sz w:val="17"/>
        </w:rPr>
        <w:t> </w:t>
      </w:r>
      <w:r>
        <w:rPr>
          <w:color w:val="231F20"/>
          <w:w w:val="120"/>
          <w:sz w:val="17"/>
        </w:rPr>
        <w:t>et</w:t>
      </w:r>
      <w:r>
        <w:rPr>
          <w:color w:val="231F20"/>
          <w:spacing w:val="29"/>
          <w:w w:val="120"/>
          <w:sz w:val="17"/>
        </w:rPr>
        <w:t> </w:t>
      </w:r>
      <w:r>
        <w:rPr>
          <w:color w:val="231F20"/>
          <w:w w:val="120"/>
          <w:sz w:val="17"/>
        </w:rPr>
        <w:t>l’engagement</w:t>
      </w:r>
      <w:r>
        <w:rPr>
          <w:color w:val="231F20"/>
          <w:spacing w:val="29"/>
          <w:w w:val="120"/>
          <w:sz w:val="17"/>
        </w:rPr>
        <w:t> </w:t>
      </w:r>
      <w:r>
        <w:rPr>
          <w:color w:val="231F20"/>
          <w:w w:val="120"/>
          <w:sz w:val="17"/>
        </w:rPr>
        <w:t>de</w:t>
      </w:r>
      <w:r>
        <w:rPr>
          <w:color w:val="231F20"/>
          <w:spacing w:val="29"/>
          <w:w w:val="120"/>
          <w:sz w:val="17"/>
        </w:rPr>
        <w:t> </w:t>
      </w:r>
      <w:r>
        <w:rPr>
          <w:color w:val="231F20"/>
          <w:w w:val="120"/>
          <w:sz w:val="17"/>
        </w:rPr>
        <w:t>favoriser le développement de leur plein potentiel et d’assurer un juste équilibre entre le travail et les autres sphères de la vie.</w:t>
      </w:r>
    </w:p>
    <w:p>
      <w:pPr>
        <w:pStyle w:val="BodyText"/>
        <w:spacing w:before="10"/>
        <w:rPr>
          <w:sz w:val="26"/>
        </w:rPr>
      </w:pPr>
    </w:p>
    <w:p>
      <w:pPr>
        <w:pStyle w:val="Heading4"/>
        <w:numPr>
          <w:ilvl w:val="2"/>
          <w:numId w:val="73"/>
        </w:numPr>
        <w:tabs>
          <w:tab w:pos="919" w:val="left" w:leader="none"/>
          <w:tab w:pos="1219" w:val="left" w:leader="none"/>
        </w:tabs>
        <w:spacing w:line="240" w:lineRule="auto" w:before="0" w:after="0"/>
        <w:ind w:left="918" w:right="0" w:hanging="400"/>
        <w:jc w:val="left"/>
      </w:pPr>
      <w:r>
        <w:rPr>
          <w:b w:val="0"/>
          <w:i/>
          <w:color w:val="231F20"/>
          <w:spacing w:val="-10"/>
        </w:rPr>
        <w:t>/</w:t>
      </w:r>
      <w:r>
        <w:rPr>
          <w:b w:val="0"/>
          <w:i/>
          <w:color w:val="231F20"/>
        </w:rPr>
        <w:tab/>
      </w:r>
      <w:r>
        <w:rPr>
          <w:color w:val="231F20"/>
          <w:w w:val="95"/>
        </w:rPr>
        <w:t>Gestion</w:t>
      </w:r>
      <w:r>
        <w:rPr>
          <w:color w:val="231F20"/>
          <w:spacing w:val="-9"/>
          <w:w w:val="95"/>
        </w:rPr>
        <w:t> </w:t>
      </w:r>
      <w:r>
        <w:rPr>
          <w:color w:val="231F20"/>
          <w:w w:val="95"/>
        </w:rPr>
        <w:t>et</w:t>
      </w:r>
      <w:r>
        <w:rPr>
          <w:color w:val="231F20"/>
          <w:spacing w:val="-9"/>
          <w:w w:val="95"/>
        </w:rPr>
        <w:t> </w:t>
      </w:r>
      <w:r>
        <w:rPr>
          <w:color w:val="231F20"/>
          <w:w w:val="95"/>
        </w:rPr>
        <w:t>estime</w:t>
      </w:r>
      <w:r>
        <w:rPr>
          <w:color w:val="231F20"/>
          <w:spacing w:val="-9"/>
          <w:w w:val="95"/>
        </w:rPr>
        <w:t> </w:t>
      </w:r>
      <w:r>
        <w:rPr>
          <w:color w:val="231F20"/>
          <w:w w:val="95"/>
        </w:rPr>
        <w:t>de</w:t>
      </w:r>
      <w:r>
        <w:rPr>
          <w:color w:val="231F20"/>
          <w:spacing w:val="-8"/>
          <w:w w:val="95"/>
        </w:rPr>
        <w:t> </w:t>
      </w:r>
      <w:r>
        <w:rPr>
          <w:color w:val="231F20"/>
          <w:w w:val="95"/>
        </w:rPr>
        <w:t>soi</w:t>
      </w:r>
      <w:r>
        <w:rPr>
          <w:color w:val="231F20"/>
          <w:spacing w:val="-9"/>
          <w:w w:val="95"/>
        </w:rPr>
        <w:t> </w:t>
      </w:r>
      <w:r>
        <w:rPr>
          <w:color w:val="231F20"/>
          <w:spacing w:val="-2"/>
          <w:w w:val="95"/>
        </w:rPr>
        <w:t>organisationnelle</w:t>
      </w:r>
    </w:p>
    <w:p>
      <w:pPr>
        <w:pStyle w:val="BodyText"/>
        <w:spacing w:line="307" w:lineRule="auto" w:before="233"/>
        <w:ind w:left="1220" w:right="105"/>
        <w:jc w:val="both"/>
      </w:pPr>
      <w:r>
        <w:rPr>
          <w:color w:val="231F20"/>
          <w:w w:val="120"/>
        </w:rPr>
        <w:t>Les</w:t>
      </w:r>
      <w:r>
        <w:rPr>
          <w:color w:val="231F20"/>
          <w:spacing w:val="-1"/>
          <w:w w:val="120"/>
        </w:rPr>
        <w:t> </w:t>
      </w:r>
      <w:r>
        <w:rPr>
          <w:color w:val="231F20"/>
          <w:w w:val="120"/>
        </w:rPr>
        <w:t>gestionnaires</w:t>
      </w:r>
      <w:r>
        <w:rPr>
          <w:color w:val="231F20"/>
          <w:spacing w:val="-1"/>
          <w:w w:val="120"/>
        </w:rPr>
        <w:t> </w:t>
      </w:r>
      <w:r>
        <w:rPr>
          <w:color w:val="231F20"/>
          <w:w w:val="120"/>
        </w:rPr>
        <w:t>affligés</w:t>
      </w:r>
      <w:r>
        <w:rPr>
          <w:color w:val="231F20"/>
          <w:spacing w:val="-1"/>
          <w:w w:val="120"/>
        </w:rPr>
        <w:t> </w:t>
      </w:r>
      <w:r>
        <w:rPr>
          <w:color w:val="231F20"/>
          <w:w w:val="120"/>
        </w:rPr>
        <w:t>d’une</w:t>
      </w:r>
      <w:r>
        <w:rPr>
          <w:color w:val="231F20"/>
          <w:spacing w:val="-1"/>
          <w:w w:val="120"/>
        </w:rPr>
        <w:t> </w:t>
      </w:r>
      <w:r>
        <w:rPr>
          <w:color w:val="231F20"/>
          <w:w w:val="120"/>
        </w:rPr>
        <w:t>faible</w:t>
      </w:r>
      <w:r>
        <w:rPr>
          <w:color w:val="231F20"/>
          <w:spacing w:val="-1"/>
          <w:w w:val="120"/>
        </w:rPr>
        <w:t> </w:t>
      </w:r>
      <w:r>
        <w:rPr>
          <w:color w:val="231F20"/>
          <w:w w:val="120"/>
        </w:rPr>
        <w:t>estime</w:t>
      </w:r>
      <w:r>
        <w:rPr>
          <w:color w:val="231F20"/>
          <w:spacing w:val="-1"/>
          <w:w w:val="120"/>
        </w:rPr>
        <w:t> </w:t>
      </w:r>
      <w:r>
        <w:rPr>
          <w:color w:val="231F20"/>
          <w:w w:val="120"/>
        </w:rPr>
        <w:t>de</w:t>
      </w:r>
      <w:r>
        <w:rPr>
          <w:color w:val="231F20"/>
          <w:spacing w:val="-1"/>
          <w:w w:val="120"/>
        </w:rPr>
        <w:t> </w:t>
      </w:r>
      <w:r>
        <w:rPr>
          <w:color w:val="231F20"/>
          <w:w w:val="120"/>
        </w:rPr>
        <w:t>soi,</w:t>
      </w:r>
      <w:r>
        <w:rPr>
          <w:color w:val="231F20"/>
          <w:spacing w:val="-1"/>
          <w:w w:val="120"/>
        </w:rPr>
        <w:t> </w:t>
      </w:r>
      <w:r>
        <w:rPr>
          <w:color w:val="231F20"/>
          <w:w w:val="120"/>
        </w:rPr>
        <w:t>isolés,</w:t>
      </w:r>
      <w:r>
        <w:rPr>
          <w:color w:val="231F20"/>
          <w:spacing w:val="-1"/>
          <w:w w:val="120"/>
        </w:rPr>
        <w:t> </w:t>
      </w:r>
      <w:r>
        <w:rPr>
          <w:color w:val="231F20"/>
          <w:w w:val="120"/>
        </w:rPr>
        <w:t>stressés</w:t>
      </w:r>
      <w:r>
        <w:rPr>
          <w:color w:val="231F20"/>
          <w:spacing w:val="-1"/>
          <w:w w:val="120"/>
        </w:rPr>
        <w:t> </w:t>
      </w:r>
      <w:r>
        <w:rPr>
          <w:color w:val="231F20"/>
          <w:w w:val="120"/>
        </w:rPr>
        <w:t>et stressants</w:t>
      </w:r>
      <w:r>
        <w:rPr>
          <w:color w:val="231F20"/>
          <w:spacing w:val="-6"/>
          <w:w w:val="120"/>
        </w:rPr>
        <w:t> </w:t>
      </w:r>
      <w:r>
        <w:rPr>
          <w:color w:val="231F20"/>
          <w:w w:val="120"/>
        </w:rPr>
        <w:t>à</w:t>
      </w:r>
      <w:r>
        <w:rPr>
          <w:color w:val="231F20"/>
          <w:spacing w:val="-6"/>
          <w:w w:val="120"/>
        </w:rPr>
        <w:t> </w:t>
      </w:r>
      <w:r>
        <w:rPr>
          <w:color w:val="231F20"/>
          <w:w w:val="120"/>
        </w:rPr>
        <w:t>côtoyer,</w:t>
      </w:r>
      <w:r>
        <w:rPr>
          <w:color w:val="231F20"/>
          <w:spacing w:val="-6"/>
          <w:w w:val="120"/>
        </w:rPr>
        <w:t> </w:t>
      </w:r>
      <w:r>
        <w:rPr>
          <w:color w:val="231F20"/>
          <w:w w:val="120"/>
        </w:rPr>
        <w:t>qui</w:t>
      </w:r>
      <w:r>
        <w:rPr>
          <w:color w:val="231F20"/>
          <w:spacing w:val="-6"/>
          <w:w w:val="120"/>
        </w:rPr>
        <w:t> </w:t>
      </w:r>
      <w:r>
        <w:rPr>
          <w:color w:val="231F20"/>
          <w:w w:val="120"/>
        </w:rPr>
        <w:t>n’ont</w:t>
      </w:r>
      <w:r>
        <w:rPr>
          <w:color w:val="231F20"/>
          <w:spacing w:val="-6"/>
          <w:w w:val="120"/>
        </w:rPr>
        <w:t> </w:t>
      </w:r>
      <w:r>
        <w:rPr>
          <w:color w:val="231F20"/>
          <w:w w:val="120"/>
        </w:rPr>
        <w:t>pas</w:t>
      </w:r>
      <w:r>
        <w:rPr>
          <w:color w:val="231F20"/>
          <w:spacing w:val="-6"/>
          <w:w w:val="120"/>
        </w:rPr>
        <w:t> </w:t>
      </w:r>
      <w:r>
        <w:rPr>
          <w:color w:val="231F20"/>
          <w:w w:val="120"/>
        </w:rPr>
        <w:t>le</w:t>
      </w:r>
      <w:r>
        <w:rPr>
          <w:color w:val="231F20"/>
          <w:spacing w:val="-6"/>
          <w:w w:val="120"/>
        </w:rPr>
        <w:t> </w:t>
      </w:r>
      <w:r>
        <w:rPr>
          <w:color w:val="231F20"/>
          <w:w w:val="120"/>
        </w:rPr>
        <w:t>temps</w:t>
      </w:r>
      <w:r>
        <w:rPr>
          <w:color w:val="231F20"/>
          <w:spacing w:val="-6"/>
          <w:w w:val="120"/>
        </w:rPr>
        <w:t> </w:t>
      </w:r>
      <w:r>
        <w:rPr>
          <w:color w:val="231F20"/>
          <w:w w:val="120"/>
        </w:rPr>
        <w:t>de</w:t>
      </w:r>
      <w:r>
        <w:rPr>
          <w:color w:val="231F20"/>
          <w:spacing w:val="-6"/>
          <w:w w:val="120"/>
        </w:rPr>
        <w:t> </w:t>
      </w:r>
      <w:r>
        <w:rPr>
          <w:color w:val="231F20"/>
          <w:w w:val="120"/>
        </w:rPr>
        <w:t>penser</w:t>
      </w:r>
      <w:r>
        <w:rPr>
          <w:color w:val="231F20"/>
          <w:spacing w:val="-6"/>
          <w:w w:val="120"/>
        </w:rPr>
        <w:t> </w:t>
      </w:r>
      <w:r>
        <w:rPr>
          <w:color w:val="231F20"/>
          <w:w w:val="120"/>
        </w:rPr>
        <w:t>ou</w:t>
      </w:r>
      <w:r>
        <w:rPr>
          <w:color w:val="231F20"/>
          <w:spacing w:val="-6"/>
          <w:w w:val="120"/>
        </w:rPr>
        <w:t> </w:t>
      </w:r>
      <w:r>
        <w:rPr>
          <w:color w:val="231F20"/>
          <w:w w:val="120"/>
        </w:rPr>
        <w:t>de</w:t>
      </w:r>
      <w:r>
        <w:rPr>
          <w:color w:val="231F20"/>
          <w:spacing w:val="-6"/>
          <w:w w:val="120"/>
        </w:rPr>
        <w:t> </w:t>
      </w:r>
      <w:r>
        <w:rPr>
          <w:color w:val="231F20"/>
          <w:w w:val="120"/>
        </w:rPr>
        <w:t>vivre</w:t>
      </w:r>
      <w:r>
        <w:rPr>
          <w:color w:val="231F20"/>
          <w:spacing w:val="-6"/>
          <w:w w:val="120"/>
        </w:rPr>
        <w:t> </w:t>
      </w:r>
      <w:r>
        <w:rPr>
          <w:color w:val="231F20"/>
          <w:w w:val="120"/>
        </w:rPr>
        <w:t>et</w:t>
      </w:r>
      <w:r>
        <w:rPr>
          <w:color w:val="231F20"/>
          <w:spacing w:val="-6"/>
          <w:w w:val="120"/>
        </w:rPr>
        <w:t> </w:t>
      </w:r>
      <w:r>
        <w:rPr>
          <w:color w:val="231F20"/>
          <w:w w:val="120"/>
        </w:rPr>
        <w:t>qui manquent de soutien social, se fatiguent autant qu’ils fatiguent leur entourage. Peu sensibles aux enseignements des connaissances en psychologie,</w:t>
      </w:r>
      <w:r>
        <w:rPr>
          <w:color w:val="231F20"/>
          <w:spacing w:val="-2"/>
          <w:w w:val="120"/>
        </w:rPr>
        <w:t> </w:t>
      </w:r>
      <w:r>
        <w:rPr>
          <w:color w:val="231F20"/>
          <w:w w:val="120"/>
        </w:rPr>
        <w:t>ils</w:t>
      </w:r>
      <w:r>
        <w:rPr>
          <w:color w:val="231F20"/>
          <w:spacing w:val="-2"/>
          <w:w w:val="120"/>
        </w:rPr>
        <w:t> </w:t>
      </w:r>
      <w:r>
        <w:rPr>
          <w:color w:val="231F20"/>
          <w:w w:val="120"/>
        </w:rPr>
        <w:t>ont</w:t>
      </w:r>
      <w:r>
        <w:rPr>
          <w:color w:val="231F20"/>
          <w:spacing w:val="-2"/>
          <w:w w:val="120"/>
        </w:rPr>
        <w:t> </w:t>
      </w:r>
      <w:r>
        <w:rPr>
          <w:color w:val="231F20"/>
          <w:w w:val="120"/>
        </w:rPr>
        <w:t>tendance</w:t>
      </w:r>
      <w:r>
        <w:rPr>
          <w:color w:val="231F20"/>
          <w:spacing w:val="-2"/>
          <w:w w:val="120"/>
        </w:rPr>
        <w:t> </w:t>
      </w:r>
      <w:r>
        <w:rPr>
          <w:color w:val="231F20"/>
          <w:w w:val="120"/>
        </w:rPr>
        <w:t>à</w:t>
      </w:r>
      <w:r>
        <w:rPr>
          <w:color w:val="231F20"/>
          <w:spacing w:val="-2"/>
          <w:w w:val="120"/>
        </w:rPr>
        <w:t> </w:t>
      </w:r>
      <w:r>
        <w:rPr>
          <w:color w:val="231F20"/>
          <w:w w:val="120"/>
        </w:rPr>
        <w:t>tout</w:t>
      </w:r>
      <w:r>
        <w:rPr>
          <w:color w:val="231F20"/>
          <w:spacing w:val="-2"/>
          <w:w w:val="120"/>
        </w:rPr>
        <w:t> </w:t>
      </w:r>
      <w:r>
        <w:rPr>
          <w:color w:val="231F20"/>
          <w:w w:val="120"/>
        </w:rPr>
        <w:t>vouloir</w:t>
      </w:r>
      <w:r>
        <w:rPr>
          <w:color w:val="231F20"/>
          <w:spacing w:val="-2"/>
          <w:w w:val="120"/>
        </w:rPr>
        <w:t> </w:t>
      </w:r>
      <w:r>
        <w:rPr>
          <w:color w:val="231F20"/>
          <w:w w:val="120"/>
        </w:rPr>
        <w:t>contrôler</w:t>
      </w:r>
      <w:r>
        <w:rPr>
          <w:color w:val="231F20"/>
          <w:spacing w:val="-2"/>
          <w:w w:val="120"/>
        </w:rPr>
        <w:t> </w:t>
      </w:r>
      <w:r>
        <w:rPr>
          <w:color w:val="231F20"/>
          <w:w w:val="120"/>
        </w:rPr>
        <w:t>et</w:t>
      </w:r>
      <w:r>
        <w:rPr>
          <w:color w:val="231F20"/>
          <w:spacing w:val="-2"/>
          <w:w w:val="120"/>
        </w:rPr>
        <w:t> </w:t>
      </w:r>
      <w:r>
        <w:rPr>
          <w:color w:val="231F20"/>
          <w:w w:val="120"/>
        </w:rPr>
        <w:t>à</w:t>
      </w:r>
      <w:r>
        <w:rPr>
          <w:color w:val="231F20"/>
          <w:spacing w:val="-2"/>
          <w:w w:val="120"/>
        </w:rPr>
        <w:t> </w:t>
      </w:r>
      <w:r>
        <w:rPr>
          <w:color w:val="231F20"/>
          <w:w w:val="120"/>
        </w:rPr>
        <w:t>vivre</w:t>
      </w:r>
      <w:r>
        <w:rPr>
          <w:color w:val="231F20"/>
          <w:spacing w:val="-2"/>
          <w:w w:val="120"/>
        </w:rPr>
        <w:t> </w:t>
      </w:r>
      <w:r>
        <w:rPr>
          <w:color w:val="231F20"/>
          <w:w w:val="120"/>
        </w:rPr>
        <w:t>dans</w:t>
      </w:r>
      <w:r>
        <w:rPr>
          <w:color w:val="231F20"/>
          <w:spacing w:val="-2"/>
          <w:w w:val="120"/>
        </w:rPr>
        <w:t> </w:t>
      </w:r>
      <w:r>
        <w:rPr>
          <w:color w:val="231F20"/>
          <w:w w:val="120"/>
        </w:rPr>
        <w:t>la contrariété émotionnelle, sans solidarité sociale ou presque.</w:t>
      </w:r>
    </w:p>
    <w:p>
      <w:pPr>
        <w:pStyle w:val="BodyText"/>
        <w:spacing w:line="307" w:lineRule="auto" w:before="79"/>
        <w:ind w:left="1220" w:right="106" w:firstLine="250"/>
        <w:jc w:val="right"/>
      </w:pPr>
      <w:r>
        <w:rPr>
          <w:color w:val="231F20"/>
          <w:spacing w:val="-2"/>
          <w:w w:val="120"/>
        </w:rPr>
        <w:t>L’individu</w:t>
      </w:r>
      <w:r>
        <w:rPr>
          <w:color w:val="231F20"/>
          <w:spacing w:val="-9"/>
          <w:w w:val="120"/>
        </w:rPr>
        <w:t> </w:t>
      </w:r>
      <w:r>
        <w:rPr>
          <w:color w:val="231F20"/>
          <w:spacing w:val="-2"/>
          <w:w w:val="120"/>
        </w:rPr>
        <w:t>qui</w:t>
      </w:r>
      <w:r>
        <w:rPr>
          <w:color w:val="231F20"/>
          <w:spacing w:val="-9"/>
          <w:w w:val="120"/>
        </w:rPr>
        <w:t> </w:t>
      </w:r>
      <w:r>
        <w:rPr>
          <w:color w:val="231F20"/>
          <w:spacing w:val="-2"/>
          <w:w w:val="120"/>
        </w:rPr>
        <w:t>manifeste</w:t>
      </w:r>
      <w:r>
        <w:rPr>
          <w:color w:val="231F20"/>
          <w:spacing w:val="-9"/>
          <w:w w:val="120"/>
        </w:rPr>
        <w:t> </w:t>
      </w:r>
      <w:r>
        <w:rPr>
          <w:color w:val="231F20"/>
          <w:spacing w:val="-2"/>
          <w:w w:val="120"/>
        </w:rPr>
        <w:t>une</w:t>
      </w:r>
      <w:r>
        <w:rPr>
          <w:color w:val="231F20"/>
          <w:spacing w:val="-9"/>
          <w:w w:val="120"/>
        </w:rPr>
        <w:t> </w:t>
      </w:r>
      <w:r>
        <w:rPr>
          <w:color w:val="231F20"/>
          <w:spacing w:val="-2"/>
          <w:w w:val="120"/>
        </w:rPr>
        <w:t>volonté</w:t>
      </w:r>
      <w:r>
        <w:rPr>
          <w:color w:val="231F20"/>
          <w:spacing w:val="-9"/>
          <w:w w:val="120"/>
        </w:rPr>
        <w:t> </w:t>
      </w:r>
      <w:r>
        <w:rPr>
          <w:color w:val="231F20"/>
          <w:spacing w:val="-2"/>
          <w:w w:val="120"/>
        </w:rPr>
        <w:t>de</w:t>
      </w:r>
      <w:r>
        <w:rPr>
          <w:color w:val="231F20"/>
          <w:spacing w:val="-9"/>
          <w:w w:val="120"/>
        </w:rPr>
        <w:t> </w:t>
      </w:r>
      <w:r>
        <w:rPr>
          <w:color w:val="231F20"/>
          <w:spacing w:val="-2"/>
          <w:w w:val="120"/>
        </w:rPr>
        <w:t>prestige</w:t>
      </w:r>
      <w:r>
        <w:rPr>
          <w:color w:val="231F20"/>
          <w:spacing w:val="-9"/>
          <w:w w:val="120"/>
        </w:rPr>
        <w:t> </w:t>
      </w:r>
      <w:r>
        <w:rPr>
          <w:color w:val="231F20"/>
          <w:spacing w:val="-2"/>
          <w:w w:val="120"/>
        </w:rPr>
        <w:t>et</w:t>
      </w:r>
      <w:r>
        <w:rPr>
          <w:color w:val="231F20"/>
          <w:spacing w:val="-9"/>
          <w:w w:val="120"/>
        </w:rPr>
        <w:t> </w:t>
      </w:r>
      <w:r>
        <w:rPr>
          <w:color w:val="231F20"/>
          <w:spacing w:val="-2"/>
          <w:w w:val="120"/>
        </w:rPr>
        <w:t>d’influence</w:t>
      </w:r>
      <w:r>
        <w:rPr>
          <w:color w:val="231F20"/>
          <w:spacing w:val="-9"/>
          <w:w w:val="120"/>
        </w:rPr>
        <w:t> </w:t>
      </w:r>
      <w:r>
        <w:rPr>
          <w:color w:val="231F20"/>
          <w:spacing w:val="-2"/>
          <w:w w:val="120"/>
        </w:rPr>
        <w:t>a</w:t>
      </w:r>
      <w:r>
        <w:rPr>
          <w:color w:val="231F20"/>
          <w:spacing w:val="-9"/>
          <w:w w:val="120"/>
        </w:rPr>
        <w:t> </w:t>
      </w:r>
      <w:r>
        <w:rPr>
          <w:color w:val="231F20"/>
          <w:spacing w:val="-2"/>
          <w:w w:val="120"/>
        </w:rPr>
        <w:t>ten- </w:t>
      </w:r>
      <w:r>
        <w:rPr>
          <w:color w:val="231F20"/>
          <w:w w:val="120"/>
        </w:rPr>
        <w:t>dance</w:t>
      </w:r>
      <w:r>
        <w:rPr>
          <w:color w:val="231F20"/>
          <w:spacing w:val="-4"/>
          <w:w w:val="120"/>
        </w:rPr>
        <w:t> </w:t>
      </w:r>
      <w:r>
        <w:rPr>
          <w:color w:val="231F20"/>
          <w:w w:val="120"/>
        </w:rPr>
        <w:t>à</w:t>
      </w:r>
      <w:r>
        <w:rPr>
          <w:color w:val="231F20"/>
          <w:spacing w:val="-4"/>
          <w:w w:val="120"/>
        </w:rPr>
        <w:t> </w:t>
      </w:r>
      <w:r>
        <w:rPr>
          <w:color w:val="231F20"/>
          <w:w w:val="120"/>
        </w:rPr>
        <w:t>négliger</w:t>
      </w:r>
      <w:r>
        <w:rPr>
          <w:color w:val="231F20"/>
          <w:spacing w:val="-4"/>
          <w:w w:val="120"/>
        </w:rPr>
        <w:t> </w:t>
      </w:r>
      <w:r>
        <w:rPr>
          <w:color w:val="231F20"/>
          <w:w w:val="120"/>
        </w:rPr>
        <w:t>son</w:t>
      </w:r>
      <w:r>
        <w:rPr>
          <w:color w:val="231F20"/>
          <w:spacing w:val="-4"/>
          <w:w w:val="120"/>
        </w:rPr>
        <w:t> </w:t>
      </w:r>
      <w:r>
        <w:rPr>
          <w:color w:val="231F20"/>
          <w:w w:val="120"/>
        </w:rPr>
        <w:t>propre</w:t>
      </w:r>
      <w:r>
        <w:rPr>
          <w:color w:val="231F20"/>
          <w:spacing w:val="-4"/>
          <w:w w:val="120"/>
        </w:rPr>
        <w:t> </w:t>
      </w:r>
      <w:r>
        <w:rPr>
          <w:color w:val="231F20"/>
          <w:w w:val="120"/>
        </w:rPr>
        <w:t>besoin</w:t>
      </w:r>
      <w:r>
        <w:rPr>
          <w:color w:val="231F20"/>
          <w:spacing w:val="-4"/>
          <w:w w:val="120"/>
        </w:rPr>
        <w:t> </w:t>
      </w:r>
      <w:r>
        <w:rPr>
          <w:color w:val="231F20"/>
          <w:w w:val="120"/>
        </w:rPr>
        <w:t>d’établir</w:t>
      </w:r>
      <w:r>
        <w:rPr>
          <w:color w:val="231F20"/>
          <w:spacing w:val="-4"/>
          <w:w w:val="120"/>
        </w:rPr>
        <w:t> </w:t>
      </w:r>
      <w:r>
        <w:rPr>
          <w:color w:val="231F20"/>
          <w:w w:val="120"/>
        </w:rPr>
        <w:t>des</w:t>
      </w:r>
      <w:r>
        <w:rPr>
          <w:color w:val="231F20"/>
          <w:spacing w:val="-4"/>
          <w:w w:val="120"/>
        </w:rPr>
        <w:t> </w:t>
      </w:r>
      <w:r>
        <w:rPr>
          <w:color w:val="231F20"/>
          <w:w w:val="120"/>
        </w:rPr>
        <w:t>relations</w:t>
      </w:r>
      <w:r>
        <w:rPr>
          <w:color w:val="231F20"/>
          <w:spacing w:val="-4"/>
          <w:w w:val="120"/>
        </w:rPr>
        <w:t> </w:t>
      </w:r>
      <w:r>
        <w:rPr>
          <w:color w:val="231F20"/>
          <w:w w:val="120"/>
        </w:rPr>
        <w:t>de</w:t>
      </w:r>
      <w:r>
        <w:rPr>
          <w:color w:val="231F20"/>
          <w:spacing w:val="-4"/>
          <w:w w:val="120"/>
        </w:rPr>
        <w:t> </w:t>
      </w:r>
      <w:r>
        <w:rPr>
          <w:color w:val="231F20"/>
          <w:spacing w:val="-2"/>
          <w:w w:val="120"/>
        </w:rPr>
        <w:t>confiance</w:t>
      </w:r>
    </w:p>
    <w:p>
      <w:pPr>
        <w:pStyle w:val="BodyText"/>
        <w:spacing w:line="194" w:lineRule="exact"/>
        <w:ind w:left="732" w:right="109"/>
        <w:jc w:val="right"/>
      </w:pPr>
      <w:r>
        <w:rPr>
          <w:color w:val="231F20"/>
          <w:w w:val="120"/>
        </w:rPr>
        <w:t>significatives</w:t>
      </w:r>
      <w:r>
        <w:rPr>
          <w:color w:val="231F20"/>
          <w:spacing w:val="-9"/>
          <w:w w:val="120"/>
        </w:rPr>
        <w:t> </w:t>
      </w:r>
      <w:r>
        <w:rPr>
          <w:color w:val="231F20"/>
          <w:w w:val="120"/>
        </w:rPr>
        <w:t>avec</w:t>
      </w:r>
      <w:r>
        <w:rPr>
          <w:color w:val="231F20"/>
          <w:spacing w:val="-9"/>
          <w:w w:val="120"/>
        </w:rPr>
        <w:t> </w:t>
      </w:r>
      <w:r>
        <w:rPr>
          <w:color w:val="231F20"/>
          <w:w w:val="120"/>
        </w:rPr>
        <w:t>les</w:t>
      </w:r>
      <w:r>
        <w:rPr>
          <w:color w:val="231F20"/>
          <w:spacing w:val="-9"/>
          <w:w w:val="120"/>
        </w:rPr>
        <w:t> </w:t>
      </w:r>
      <w:r>
        <w:rPr>
          <w:color w:val="231F20"/>
          <w:w w:val="120"/>
        </w:rPr>
        <w:t>autres,</w:t>
      </w:r>
      <w:r>
        <w:rPr>
          <w:color w:val="231F20"/>
          <w:spacing w:val="-9"/>
          <w:w w:val="120"/>
        </w:rPr>
        <w:t> </w:t>
      </w:r>
      <w:r>
        <w:rPr>
          <w:color w:val="231F20"/>
          <w:w w:val="120"/>
        </w:rPr>
        <w:t>d’aimer</w:t>
      </w:r>
      <w:r>
        <w:rPr>
          <w:color w:val="231F20"/>
          <w:spacing w:val="-9"/>
          <w:w w:val="120"/>
        </w:rPr>
        <w:t> </w:t>
      </w:r>
      <w:r>
        <w:rPr>
          <w:color w:val="231F20"/>
          <w:w w:val="120"/>
        </w:rPr>
        <w:t>et</w:t>
      </w:r>
      <w:r>
        <w:rPr>
          <w:color w:val="231F20"/>
          <w:spacing w:val="-9"/>
          <w:w w:val="120"/>
        </w:rPr>
        <w:t> </w:t>
      </w:r>
      <w:r>
        <w:rPr>
          <w:color w:val="231F20"/>
          <w:spacing w:val="-2"/>
          <w:w w:val="120"/>
        </w:rPr>
        <w:t>d’être</w:t>
      </w:r>
    </w:p>
    <w:p>
      <w:pPr>
        <w:spacing w:after="0" w:line="194" w:lineRule="exact"/>
        <w:jc w:val="right"/>
        <w:sectPr>
          <w:footerReference w:type="default" r:id="rId274"/>
          <w:pgSz w:w="8640" w:h="12960"/>
          <w:pgMar w:footer="424" w:header="0" w:top="500" w:bottom="620" w:left="420" w:right="1140"/>
        </w:sectPr>
      </w:pPr>
    </w:p>
    <w:p>
      <w:pPr>
        <w:spacing w:line="268" w:lineRule="auto" w:before="32"/>
        <w:ind w:left="1223" w:right="0" w:firstLine="567"/>
        <w:jc w:val="right"/>
        <w:rPr>
          <w:rFonts w:ascii="Arial" w:hAnsi="Arial"/>
          <w:sz w:val="14"/>
        </w:rPr>
      </w:pPr>
      <w:r>
        <w:rPr>
          <w:rFonts w:ascii="Arial" w:hAnsi="Arial"/>
          <w:color w:val="231F20"/>
          <w:spacing w:val="-2"/>
          <w:sz w:val="14"/>
        </w:rPr>
        <w:t>L’une</w:t>
      </w:r>
      <w:r>
        <w:rPr>
          <w:rFonts w:ascii="Arial" w:hAnsi="Arial"/>
          <w:color w:val="231F20"/>
          <w:spacing w:val="-8"/>
          <w:sz w:val="14"/>
        </w:rPr>
        <w:t> </w:t>
      </w:r>
      <w:r>
        <w:rPr>
          <w:rFonts w:ascii="Arial" w:hAnsi="Arial"/>
          <w:color w:val="231F20"/>
          <w:spacing w:val="-2"/>
          <w:sz w:val="14"/>
        </w:rPr>
        <w:t>des</w:t>
      </w:r>
      <w:r>
        <w:rPr>
          <w:rFonts w:ascii="Arial" w:hAnsi="Arial"/>
          <w:color w:val="231F20"/>
          <w:spacing w:val="-8"/>
          <w:sz w:val="14"/>
        </w:rPr>
        <w:t> </w:t>
      </w:r>
      <w:r>
        <w:rPr>
          <w:rFonts w:ascii="Arial" w:hAnsi="Arial"/>
          <w:color w:val="231F20"/>
          <w:spacing w:val="-2"/>
          <w:sz w:val="14"/>
        </w:rPr>
        <w:t>décisions</w:t>
      </w:r>
      <w:r>
        <w:rPr>
          <w:rFonts w:ascii="Arial" w:hAnsi="Arial"/>
          <w:color w:val="231F20"/>
          <w:spacing w:val="40"/>
          <w:sz w:val="14"/>
        </w:rPr>
        <w:t> </w:t>
      </w:r>
      <w:r>
        <w:rPr>
          <w:rFonts w:ascii="Arial" w:hAnsi="Arial"/>
          <w:color w:val="231F20"/>
          <w:sz w:val="14"/>
        </w:rPr>
        <w:t>stratégiques les plus</w:t>
      </w:r>
      <w:r>
        <w:rPr>
          <w:rFonts w:ascii="Arial" w:hAnsi="Arial"/>
          <w:color w:val="231F20"/>
          <w:spacing w:val="40"/>
          <w:sz w:val="14"/>
        </w:rPr>
        <w:t> </w:t>
      </w:r>
      <w:r>
        <w:rPr>
          <w:rFonts w:ascii="Arial" w:hAnsi="Arial"/>
          <w:color w:val="231F20"/>
          <w:sz w:val="14"/>
        </w:rPr>
        <w:t>importantes et les plus</w:t>
      </w:r>
      <w:r>
        <w:rPr>
          <w:rFonts w:ascii="Arial" w:hAnsi="Arial"/>
          <w:color w:val="231F20"/>
          <w:spacing w:val="40"/>
          <w:sz w:val="14"/>
        </w:rPr>
        <w:t> </w:t>
      </w:r>
      <w:r>
        <w:rPr>
          <w:rFonts w:ascii="Arial" w:hAnsi="Arial"/>
          <w:color w:val="231F20"/>
          <w:sz w:val="14"/>
        </w:rPr>
        <w:t>difficiles à prendre consiste</w:t>
      </w:r>
      <w:r>
        <w:rPr>
          <w:rFonts w:ascii="Arial" w:hAnsi="Arial"/>
          <w:color w:val="231F20"/>
          <w:spacing w:val="40"/>
          <w:sz w:val="14"/>
        </w:rPr>
        <w:t> </w:t>
      </w:r>
      <w:r>
        <w:rPr>
          <w:rFonts w:ascii="Arial" w:hAnsi="Arial"/>
          <w:color w:val="231F20"/>
          <w:sz w:val="14"/>
        </w:rPr>
        <w:t>à renoncer à des excès de</w:t>
      </w:r>
      <w:r>
        <w:rPr>
          <w:rFonts w:ascii="Arial" w:hAnsi="Arial"/>
          <w:color w:val="231F20"/>
          <w:spacing w:val="40"/>
          <w:sz w:val="14"/>
        </w:rPr>
        <w:t> </w:t>
      </w:r>
      <w:r>
        <w:rPr>
          <w:rFonts w:ascii="Arial" w:hAnsi="Arial"/>
          <w:color w:val="231F20"/>
          <w:sz w:val="14"/>
        </w:rPr>
        <w:t>croissance afin de ne pas</w:t>
      </w:r>
      <w:r>
        <w:rPr>
          <w:rFonts w:ascii="Arial" w:hAnsi="Arial"/>
          <w:color w:val="231F20"/>
          <w:spacing w:val="40"/>
          <w:sz w:val="14"/>
        </w:rPr>
        <w:t> </w:t>
      </w:r>
      <w:r>
        <w:rPr>
          <w:rFonts w:ascii="Arial" w:hAnsi="Arial"/>
          <w:color w:val="231F20"/>
          <w:sz w:val="14"/>
        </w:rPr>
        <w:t>mettre en péril la qualité de</w:t>
      </w:r>
      <w:r>
        <w:rPr>
          <w:rFonts w:ascii="Arial" w:hAnsi="Arial"/>
          <w:color w:val="231F20"/>
          <w:spacing w:val="40"/>
          <w:sz w:val="14"/>
        </w:rPr>
        <w:t> </w:t>
      </w:r>
      <w:r>
        <w:rPr>
          <w:rFonts w:ascii="Arial" w:hAnsi="Arial"/>
          <w:color w:val="231F20"/>
          <w:sz w:val="14"/>
        </w:rPr>
        <w:t>vie</w:t>
      </w:r>
      <w:r>
        <w:rPr>
          <w:rFonts w:ascii="Arial" w:hAnsi="Arial"/>
          <w:color w:val="231F20"/>
          <w:spacing w:val="-7"/>
          <w:sz w:val="14"/>
        </w:rPr>
        <w:t> </w:t>
      </w:r>
      <w:r>
        <w:rPr>
          <w:rFonts w:ascii="Arial" w:hAnsi="Arial"/>
          <w:color w:val="231F20"/>
          <w:sz w:val="14"/>
        </w:rPr>
        <w:t>au</w:t>
      </w:r>
      <w:r>
        <w:rPr>
          <w:rFonts w:ascii="Arial" w:hAnsi="Arial"/>
          <w:color w:val="231F20"/>
          <w:spacing w:val="-7"/>
          <w:sz w:val="14"/>
        </w:rPr>
        <w:t> </w:t>
      </w:r>
      <w:r>
        <w:rPr>
          <w:rFonts w:ascii="Arial" w:hAnsi="Arial"/>
          <w:color w:val="231F20"/>
          <w:sz w:val="14"/>
        </w:rPr>
        <w:t>travail,</w:t>
      </w:r>
      <w:r>
        <w:rPr>
          <w:rFonts w:ascii="Arial" w:hAnsi="Arial"/>
          <w:color w:val="231F20"/>
          <w:spacing w:val="-7"/>
          <w:sz w:val="14"/>
        </w:rPr>
        <w:t> </w:t>
      </w:r>
      <w:r>
        <w:rPr>
          <w:rFonts w:ascii="Arial" w:hAnsi="Arial"/>
          <w:color w:val="231F20"/>
          <w:sz w:val="14"/>
        </w:rPr>
        <w:t>l’estime</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soi</w:t>
      </w:r>
      <w:r>
        <w:rPr>
          <w:rFonts w:ascii="Arial" w:hAnsi="Arial"/>
          <w:color w:val="231F20"/>
          <w:spacing w:val="40"/>
          <w:sz w:val="14"/>
        </w:rPr>
        <w:t> </w:t>
      </w:r>
      <w:r>
        <w:rPr>
          <w:rFonts w:ascii="Arial" w:hAnsi="Arial"/>
          <w:color w:val="231F20"/>
          <w:sz w:val="14"/>
        </w:rPr>
        <w:t>organisationnelle</w:t>
      </w:r>
      <w:r>
        <w:rPr>
          <w:rFonts w:ascii="Arial" w:hAnsi="Arial"/>
          <w:color w:val="231F20"/>
          <w:spacing w:val="-10"/>
          <w:sz w:val="14"/>
        </w:rPr>
        <w:t> </w:t>
      </w:r>
      <w:r>
        <w:rPr>
          <w:rFonts w:ascii="Arial" w:hAnsi="Arial"/>
          <w:color w:val="231F20"/>
          <w:sz w:val="14"/>
        </w:rPr>
        <w:t>ou</w:t>
      </w:r>
    </w:p>
    <w:p>
      <w:pPr>
        <w:spacing w:line="268" w:lineRule="auto" w:before="0"/>
        <w:ind w:left="2087" w:right="0" w:hanging="245"/>
        <w:jc w:val="right"/>
        <w:rPr>
          <w:rFonts w:ascii="Arial" w:hAnsi="Arial"/>
          <w:sz w:val="14"/>
        </w:rPr>
      </w:pPr>
      <w:r>
        <w:rPr>
          <w:rFonts w:ascii="Arial" w:hAnsi="Arial"/>
          <w:color w:val="231F20"/>
          <w:sz w:val="14"/>
        </w:rPr>
        <w:t>le</w:t>
      </w:r>
      <w:r>
        <w:rPr>
          <w:rFonts w:ascii="Arial" w:hAnsi="Arial"/>
          <w:color w:val="231F20"/>
          <w:spacing w:val="-10"/>
          <w:sz w:val="14"/>
        </w:rPr>
        <w:t> </w:t>
      </w:r>
      <w:r>
        <w:rPr>
          <w:rFonts w:ascii="Arial" w:hAnsi="Arial"/>
          <w:color w:val="231F20"/>
          <w:sz w:val="14"/>
        </w:rPr>
        <w:t>développement</w:t>
      </w:r>
      <w:r>
        <w:rPr>
          <w:rFonts w:ascii="Arial" w:hAnsi="Arial"/>
          <w:color w:val="231F20"/>
          <w:spacing w:val="40"/>
          <w:sz w:val="14"/>
        </w:rPr>
        <w:t> </w:t>
      </w:r>
      <w:r>
        <w:rPr>
          <w:rFonts w:ascii="Arial" w:hAnsi="Arial"/>
          <w:color w:val="231F20"/>
          <w:w w:val="95"/>
          <w:sz w:val="14"/>
        </w:rPr>
        <w:t>des</w:t>
      </w:r>
      <w:r>
        <w:rPr>
          <w:rFonts w:ascii="Arial" w:hAnsi="Arial"/>
          <w:color w:val="231F20"/>
          <w:spacing w:val="-2"/>
          <w:sz w:val="14"/>
        </w:rPr>
        <w:t> </w:t>
      </w:r>
      <w:r>
        <w:rPr>
          <w:rFonts w:ascii="Arial" w:hAnsi="Arial"/>
          <w:color w:val="231F20"/>
          <w:spacing w:val="-2"/>
          <w:sz w:val="14"/>
        </w:rPr>
        <w:t>employés.</w:t>
      </w:r>
    </w:p>
    <w:p>
      <w:pPr>
        <w:pStyle w:val="BodyText"/>
        <w:spacing w:line="307" w:lineRule="auto" w:before="55"/>
        <w:ind w:left="200" w:right="106"/>
        <w:jc w:val="both"/>
      </w:pPr>
      <w:r>
        <w:rPr/>
        <w:br w:type="column"/>
      </w:r>
      <w:r>
        <w:rPr>
          <w:color w:val="231F20"/>
          <w:w w:val="120"/>
        </w:rPr>
        <w:t>aimé. Ce type d’individu tend à être relative- ment</w:t>
      </w:r>
      <w:r>
        <w:rPr>
          <w:color w:val="231F20"/>
          <w:spacing w:val="-3"/>
          <w:w w:val="120"/>
        </w:rPr>
        <w:t> </w:t>
      </w:r>
      <w:r>
        <w:rPr>
          <w:color w:val="231F20"/>
          <w:w w:val="120"/>
        </w:rPr>
        <w:t>sensible</w:t>
      </w:r>
      <w:r>
        <w:rPr>
          <w:color w:val="231F20"/>
          <w:spacing w:val="-3"/>
          <w:w w:val="120"/>
        </w:rPr>
        <w:t> </w:t>
      </w:r>
      <w:r>
        <w:rPr>
          <w:color w:val="231F20"/>
          <w:w w:val="120"/>
        </w:rPr>
        <w:t>à</w:t>
      </w:r>
      <w:r>
        <w:rPr>
          <w:color w:val="231F20"/>
          <w:spacing w:val="-3"/>
          <w:w w:val="120"/>
        </w:rPr>
        <w:t> </w:t>
      </w:r>
      <w:r>
        <w:rPr>
          <w:color w:val="231F20"/>
          <w:w w:val="120"/>
        </w:rPr>
        <w:t>la</w:t>
      </w:r>
      <w:r>
        <w:rPr>
          <w:color w:val="231F20"/>
          <w:spacing w:val="-3"/>
          <w:w w:val="120"/>
        </w:rPr>
        <w:t> </w:t>
      </w:r>
      <w:r>
        <w:rPr>
          <w:color w:val="231F20"/>
          <w:w w:val="120"/>
        </w:rPr>
        <w:t>moindre</w:t>
      </w:r>
      <w:r>
        <w:rPr>
          <w:color w:val="231F20"/>
          <w:spacing w:val="-3"/>
          <w:w w:val="120"/>
        </w:rPr>
        <w:t> </w:t>
      </w:r>
      <w:r>
        <w:rPr>
          <w:color w:val="231F20"/>
          <w:w w:val="120"/>
        </w:rPr>
        <w:t>perte</w:t>
      </w:r>
      <w:r>
        <w:rPr>
          <w:color w:val="231F20"/>
          <w:spacing w:val="-3"/>
          <w:w w:val="120"/>
        </w:rPr>
        <w:t> </w:t>
      </w:r>
      <w:r>
        <w:rPr>
          <w:color w:val="231F20"/>
          <w:w w:val="120"/>
        </w:rPr>
        <w:t>de</w:t>
      </w:r>
      <w:r>
        <w:rPr>
          <w:color w:val="231F20"/>
          <w:spacing w:val="-3"/>
          <w:w w:val="120"/>
        </w:rPr>
        <w:t> </w:t>
      </w:r>
      <w:r>
        <w:rPr>
          <w:color w:val="231F20"/>
          <w:w w:val="120"/>
        </w:rPr>
        <w:t>confiance en</w:t>
      </w:r>
      <w:r>
        <w:rPr>
          <w:color w:val="231F20"/>
          <w:spacing w:val="-7"/>
          <w:w w:val="120"/>
        </w:rPr>
        <w:t> </w:t>
      </w:r>
      <w:r>
        <w:rPr>
          <w:color w:val="231F20"/>
          <w:w w:val="120"/>
        </w:rPr>
        <w:t>lui</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part</w:t>
      </w:r>
      <w:r>
        <w:rPr>
          <w:color w:val="231F20"/>
          <w:spacing w:val="-7"/>
          <w:w w:val="120"/>
        </w:rPr>
        <w:t> </w:t>
      </w:r>
      <w:r>
        <w:rPr>
          <w:color w:val="231F20"/>
          <w:w w:val="120"/>
        </w:rPr>
        <w:t>de</w:t>
      </w:r>
      <w:r>
        <w:rPr>
          <w:color w:val="231F20"/>
          <w:spacing w:val="-7"/>
          <w:w w:val="120"/>
        </w:rPr>
        <w:t> </w:t>
      </w:r>
      <w:r>
        <w:rPr>
          <w:color w:val="231F20"/>
          <w:w w:val="120"/>
        </w:rPr>
        <w:t>ses</w:t>
      </w:r>
      <w:r>
        <w:rPr>
          <w:color w:val="231F20"/>
          <w:spacing w:val="-7"/>
          <w:w w:val="120"/>
        </w:rPr>
        <w:t> </w:t>
      </w:r>
      <w:r>
        <w:rPr>
          <w:color w:val="231F20"/>
          <w:w w:val="120"/>
        </w:rPr>
        <w:t>supérieurs;</w:t>
      </w:r>
      <w:r>
        <w:rPr>
          <w:color w:val="231F20"/>
          <w:spacing w:val="-7"/>
          <w:w w:val="120"/>
        </w:rPr>
        <w:t> </w:t>
      </w:r>
      <w:r>
        <w:rPr>
          <w:color w:val="231F20"/>
          <w:w w:val="120"/>
        </w:rPr>
        <w:t>de</w:t>
      </w:r>
      <w:r>
        <w:rPr>
          <w:color w:val="231F20"/>
          <w:spacing w:val="-7"/>
          <w:w w:val="120"/>
        </w:rPr>
        <w:t> </w:t>
      </w:r>
      <w:r>
        <w:rPr>
          <w:color w:val="231F20"/>
          <w:w w:val="120"/>
        </w:rPr>
        <w:t>son</w:t>
      </w:r>
      <w:r>
        <w:rPr>
          <w:color w:val="231F20"/>
          <w:spacing w:val="-7"/>
          <w:w w:val="120"/>
        </w:rPr>
        <w:t> </w:t>
      </w:r>
      <w:r>
        <w:rPr>
          <w:color w:val="231F20"/>
          <w:w w:val="120"/>
        </w:rPr>
        <w:t>côté, </w:t>
      </w:r>
      <w:r>
        <w:rPr>
          <w:color w:val="231F20"/>
          <w:w w:val="115"/>
        </w:rPr>
        <w:t>il</w:t>
      </w:r>
      <w:r>
        <w:rPr>
          <w:color w:val="231F20"/>
          <w:spacing w:val="-8"/>
          <w:w w:val="115"/>
        </w:rPr>
        <w:t> </w:t>
      </w:r>
      <w:r>
        <w:rPr>
          <w:color w:val="231F20"/>
          <w:w w:val="115"/>
        </w:rPr>
        <w:t>a</w:t>
      </w:r>
      <w:r>
        <w:rPr>
          <w:color w:val="231F20"/>
          <w:spacing w:val="-8"/>
          <w:w w:val="115"/>
        </w:rPr>
        <w:t> </w:t>
      </w:r>
      <w:r>
        <w:rPr>
          <w:color w:val="231F20"/>
          <w:w w:val="115"/>
        </w:rPr>
        <w:t>du</w:t>
      </w:r>
      <w:r>
        <w:rPr>
          <w:color w:val="231F20"/>
          <w:spacing w:val="-8"/>
          <w:w w:val="115"/>
        </w:rPr>
        <w:t> </w:t>
      </w:r>
      <w:r>
        <w:rPr>
          <w:color w:val="231F20"/>
          <w:w w:val="115"/>
        </w:rPr>
        <w:t>mal</w:t>
      </w:r>
      <w:r>
        <w:rPr>
          <w:color w:val="231F20"/>
          <w:spacing w:val="-8"/>
          <w:w w:val="115"/>
        </w:rPr>
        <w:t> </w:t>
      </w:r>
      <w:r>
        <w:rPr>
          <w:color w:val="231F20"/>
          <w:w w:val="115"/>
        </w:rPr>
        <w:t>à</w:t>
      </w:r>
      <w:r>
        <w:rPr>
          <w:color w:val="231F20"/>
          <w:spacing w:val="-8"/>
          <w:w w:val="115"/>
        </w:rPr>
        <w:t> </w:t>
      </w:r>
      <w:r>
        <w:rPr>
          <w:color w:val="231F20"/>
          <w:w w:val="115"/>
        </w:rPr>
        <w:t>faire</w:t>
      </w:r>
      <w:r>
        <w:rPr>
          <w:color w:val="231F20"/>
          <w:spacing w:val="-8"/>
          <w:w w:val="115"/>
        </w:rPr>
        <w:t> </w:t>
      </w:r>
      <w:r>
        <w:rPr>
          <w:color w:val="231F20"/>
          <w:w w:val="115"/>
        </w:rPr>
        <w:t>confiance</w:t>
      </w:r>
      <w:r>
        <w:rPr>
          <w:color w:val="231F20"/>
          <w:spacing w:val="-8"/>
          <w:w w:val="115"/>
        </w:rPr>
        <w:t> </w:t>
      </w:r>
      <w:r>
        <w:rPr>
          <w:color w:val="231F20"/>
          <w:w w:val="115"/>
        </w:rPr>
        <w:t>à</w:t>
      </w:r>
      <w:r>
        <w:rPr>
          <w:color w:val="231F20"/>
          <w:spacing w:val="-8"/>
          <w:w w:val="115"/>
        </w:rPr>
        <w:t> </w:t>
      </w:r>
      <w:r>
        <w:rPr>
          <w:color w:val="231F20"/>
          <w:w w:val="115"/>
        </w:rPr>
        <w:t>ses</w:t>
      </w:r>
      <w:r>
        <w:rPr>
          <w:color w:val="231F20"/>
          <w:spacing w:val="-8"/>
          <w:w w:val="115"/>
        </w:rPr>
        <w:t> </w:t>
      </w:r>
      <w:r>
        <w:rPr>
          <w:color w:val="231F20"/>
          <w:w w:val="115"/>
        </w:rPr>
        <w:t>propres</w:t>
      </w:r>
      <w:r>
        <w:rPr>
          <w:color w:val="231F20"/>
          <w:spacing w:val="-8"/>
          <w:w w:val="115"/>
        </w:rPr>
        <w:t> </w:t>
      </w:r>
      <w:r>
        <w:rPr>
          <w:color w:val="231F20"/>
          <w:w w:val="115"/>
        </w:rPr>
        <w:t>subor- </w:t>
      </w:r>
      <w:r>
        <w:rPr>
          <w:color w:val="231F20"/>
          <w:w w:val="120"/>
        </w:rPr>
        <w:t>donnés et à les convaincre de s’en remettre entièrement à lui.</w:t>
      </w:r>
    </w:p>
    <w:p>
      <w:pPr>
        <w:pStyle w:val="BodyText"/>
        <w:spacing w:line="307" w:lineRule="auto" w:before="74"/>
        <w:ind w:left="200" w:right="107" w:firstLine="250"/>
        <w:jc w:val="both"/>
      </w:pPr>
      <w:r>
        <w:rPr>
          <w:color w:val="231F20"/>
          <w:spacing w:val="12"/>
          <w:w w:val="120"/>
        </w:rPr>
        <w:t>Les</w:t>
      </w:r>
      <w:r>
        <w:rPr>
          <w:color w:val="231F20"/>
          <w:spacing w:val="12"/>
          <w:w w:val="120"/>
        </w:rPr>
        <w:t> </w:t>
      </w:r>
      <w:r>
        <w:rPr>
          <w:color w:val="231F20"/>
          <w:spacing w:val="16"/>
          <w:w w:val="120"/>
        </w:rPr>
        <w:t>fluctuations</w:t>
      </w:r>
      <w:r>
        <w:rPr>
          <w:color w:val="231F20"/>
          <w:spacing w:val="16"/>
          <w:w w:val="120"/>
        </w:rPr>
        <w:t> </w:t>
      </w:r>
      <w:r>
        <w:rPr>
          <w:color w:val="231F20"/>
          <w:w w:val="120"/>
        </w:rPr>
        <w:t>de</w:t>
      </w:r>
      <w:r>
        <w:rPr>
          <w:color w:val="231F20"/>
          <w:w w:val="120"/>
        </w:rPr>
        <w:t> </w:t>
      </w:r>
      <w:r>
        <w:rPr>
          <w:color w:val="231F20"/>
          <w:spacing w:val="14"/>
          <w:w w:val="120"/>
        </w:rPr>
        <w:t>l’économie</w:t>
      </w:r>
      <w:r>
        <w:rPr>
          <w:color w:val="231F20"/>
          <w:spacing w:val="14"/>
          <w:w w:val="120"/>
        </w:rPr>
        <w:t> </w:t>
      </w:r>
      <w:r>
        <w:rPr>
          <w:color w:val="231F20"/>
          <w:spacing w:val="12"/>
          <w:w w:val="120"/>
        </w:rPr>
        <w:t>qui </w:t>
      </w:r>
      <w:r>
        <w:rPr>
          <w:color w:val="231F20"/>
          <w:w w:val="120"/>
        </w:rPr>
        <w:t>s’observent</w:t>
      </w:r>
      <w:r>
        <w:rPr>
          <w:color w:val="231F20"/>
          <w:spacing w:val="-9"/>
          <w:w w:val="120"/>
        </w:rPr>
        <w:t> </w:t>
      </w:r>
      <w:r>
        <w:rPr>
          <w:color w:val="231F20"/>
          <w:w w:val="120"/>
        </w:rPr>
        <w:t>depuis</w:t>
      </w:r>
      <w:r>
        <w:rPr>
          <w:color w:val="231F20"/>
          <w:spacing w:val="-9"/>
          <w:w w:val="120"/>
        </w:rPr>
        <w:t> </w:t>
      </w:r>
      <w:r>
        <w:rPr>
          <w:color w:val="231F20"/>
          <w:w w:val="120"/>
        </w:rPr>
        <w:t>quelques</w:t>
      </w:r>
      <w:r>
        <w:rPr>
          <w:color w:val="231F20"/>
          <w:spacing w:val="-9"/>
          <w:w w:val="120"/>
        </w:rPr>
        <w:t> </w:t>
      </w:r>
      <w:r>
        <w:rPr>
          <w:color w:val="231F20"/>
          <w:w w:val="120"/>
        </w:rPr>
        <w:t>années</w:t>
      </w:r>
      <w:r>
        <w:rPr>
          <w:color w:val="231F20"/>
          <w:spacing w:val="-9"/>
          <w:w w:val="120"/>
        </w:rPr>
        <w:t> </w:t>
      </w:r>
      <w:r>
        <w:rPr>
          <w:color w:val="231F20"/>
          <w:w w:val="120"/>
        </w:rPr>
        <w:t>n’ont</w:t>
      </w:r>
      <w:r>
        <w:rPr>
          <w:color w:val="231F20"/>
          <w:spacing w:val="-9"/>
          <w:w w:val="120"/>
        </w:rPr>
        <w:t> </w:t>
      </w:r>
      <w:r>
        <w:rPr>
          <w:color w:val="231F20"/>
          <w:w w:val="120"/>
        </w:rPr>
        <w:t>rien de</w:t>
      </w:r>
      <w:r>
        <w:rPr>
          <w:color w:val="231F20"/>
          <w:spacing w:val="-3"/>
          <w:w w:val="120"/>
        </w:rPr>
        <w:t> </w:t>
      </w:r>
      <w:r>
        <w:rPr>
          <w:color w:val="231F20"/>
          <w:w w:val="120"/>
        </w:rPr>
        <w:t>rassurantes,</w:t>
      </w:r>
      <w:r>
        <w:rPr>
          <w:color w:val="231F20"/>
          <w:spacing w:val="-2"/>
          <w:w w:val="120"/>
        </w:rPr>
        <w:t> </w:t>
      </w:r>
      <w:r>
        <w:rPr>
          <w:color w:val="231F20"/>
          <w:w w:val="120"/>
        </w:rPr>
        <w:t>mais</w:t>
      </w:r>
      <w:r>
        <w:rPr>
          <w:color w:val="231F20"/>
          <w:spacing w:val="-2"/>
          <w:w w:val="120"/>
        </w:rPr>
        <w:t> </w:t>
      </w:r>
      <w:r>
        <w:rPr>
          <w:color w:val="231F20"/>
          <w:w w:val="120"/>
        </w:rPr>
        <w:t>à</w:t>
      </w:r>
      <w:r>
        <w:rPr>
          <w:color w:val="231F20"/>
          <w:spacing w:val="-3"/>
          <w:w w:val="120"/>
        </w:rPr>
        <w:t> </w:t>
      </w:r>
      <w:r>
        <w:rPr>
          <w:color w:val="231F20"/>
          <w:w w:val="120"/>
        </w:rPr>
        <w:t>quelque</w:t>
      </w:r>
      <w:r>
        <w:rPr>
          <w:color w:val="231F20"/>
          <w:spacing w:val="-2"/>
          <w:w w:val="120"/>
        </w:rPr>
        <w:t> </w:t>
      </w:r>
      <w:r>
        <w:rPr>
          <w:color w:val="231F20"/>
          <w:w w:val="120"/>
        </w:rPr>
        <w:t>chose</w:t>
      </w:r>
      <w:r>
        <w:rPr>
          <w:color w:val="231F20"/>
          <w:spacing w:val="-2"/>
          <w:w w:val="120"/>
        </w:rPr>
        <w:t> malheur</w:t>
      </w:r>
    </w:p>
    <w:p>
      <w:pPr>
        <w:spacing w:after="0" w:line="307" w:lineRule="auto"/>
        <w:jc w:val="both"/>
        <w:sectPr>
          <w:type w:val="continuous"/>
          <w:pgSz w:w="8640" w:h="12960"/>
          <w:pgMar w:header="0" w:footer="424" w:top="1220" w:bottom="280" w:left="420" w:right="1140"/>
          <w:cols w:num="2" w:equalWidth="0">
            <w:col w:w="2981" w:space="40"/>
            <w:col w:w="4059"/>
          </w:cols>
        </w:sectPr>
      </w:pPr>
    </w:p>
    <w:p>
      <w:pPr>
        <w:pStyle w:val="BodyText"/>
        <w:spacing w:line="307" w:lineRule="auto" w:before="5"/>
        <w:ind w:left="1220" w:right="102"/>
        <w:jc w:val="both"/>
      </w:pPr>
      <w:r>
        <w:rPr>
          <w:color w:val="231F20"/>
          <w:w w:val="115"/>
        </w:rPr>
        <w:t>est</w:t>
      </w:r>
      <w:r>
        <w:rPr>
          <w:color w:val="231F20"/>
          <w:spacing w:val="-13"/>
          <w:w w:val="115"/>
        </w:rPr>
        <w:t> </w:t>
      </w:r>
      <w:r>
        <w:rPr>
          <w:color w:val="231F20"/>
          <w:w w:val="115"/>
        </w:rPr>
        <w:t>bon</w:t>
      </w:r>
      <w:r>
        <w:rPr>
          <w:color w:val="231F20"/>
          <w:spacing w:val="-12"/>
          <w:w w:val="115"/>
        </w:rPr>
        <w:t> </w:t>
      </w:r>
      <w:r>
        <w:rPr>
          <w:color w:val="231F20"/>
          <w:w w:val="115"/>
        </w:rPr>
        <w:t>:</w:t>
      </w:r>
      <w:r>
        <w:rPr>
          <w:color w:val="231F20"/>
          <w:spacing w:val="-8"/>
          <w:w w:val="115"/>
        </w:rPr>
        <w:t> </w:t>
      </w:r>
      <w:r>
        <w:rPr>
          <w:color w:val="231F20"/>
          <w:w w:val="115"/>
        </w:rPr>
        <w:t>l’arrogance</w:t>
      </w:r>
      <w:r>
        <w:rPr>
          <w:color w:val="231F20"/>
          <w:spacing w:val="-2"/>
          <w:w w:val="115"/>
        </w:rPr>
        <w:t> </w:t>
      </w:r>
      <w:r>
        <w:rPr>
          <w:color w:val="231F20"/>
          <w:w w:val="115"/>
        </w:rPr>
        <w:t>est</w:t>
      </w:r>
      <w:r>
        <w:rPr>
          <w:color w:val="231F20"/>
          <w:spacing w:val="-2"/>
          <w:w w:val="115"/>
        </w:rPr>
        <w:t> </w:t>
      </w:r>
      <w:r>
        <w:rPr>
          <w:color w:val="231F20"/>
          <w:w w:val="115"/>
        </w:rPr>
        <w:t>désormais</w:t>
      </w:r>
      <w:r>
        <w:rPr>
          <w:color w:val="231F20"/>
          <w:spacing w:val="-2"/>
          <w:w w:val="115"/>
        </w:rPr>
        <w:t> </w:t>
      </w:r>
      <w:r>
        <w:rPr>
          <w:color w:val="231F20"/>
          <w:w w:val="115"/>
        </w:rPr>
        <w:t>considérée</w:t>
      </w:r>
      <w:r>
        <w:rPr>
          <w:color w:val="231F20"/>
          <w:spacing w:val="-2"/>
          <w:w w:val="115"/>
        </w:rPr>
        <w:t> </w:t>
      </w:r>
      <w:r>
        <w:rPr>
          <w:color w:val="231F20"/>
          <w:w w:val="115"/>
        </w:rPr>
        <w:t>comme</w:t>
      </w:r>
      <w:r>
        <w:rPr>
          <w:color w:val="231F20"/>
          <w:spacing w:val="-2"/>
          <w:w w:val="115"/>
        </w:rPr>
        <w:t> </w:t>
      </w:r>
      <w:r>
        <w:rPr>
          <w:color w:val="231F20"/>
          <w:w w:val="115"/>
        </w:rPr>
        <w:t>l’une</w:t>
      </w:r>
      <w:r>
        <w:rPr>
          <w:color w:val="231F20"/>
          <w:spacing w:val="-2"/>
          <w:w w:val="115"/>
        </w:rPr>
        <w:t> </w:t>
      </w:r>
      <w:r>
        <w:rPr>
          <w:color w:val="231F20"/>
          <w:w w:val="115"/>
        </w:rPr>
        <w:t>des</w:t>
      </w:r>
      <w:r>
        <w:rPr>
          <w:color w:val="231F20"/>
          <w:spacing w:val="-2"/>
          <w:w w:val="115"/>
        </w:rPr>
        <w:t> </w:t>
      </w:r>
      <w:r>
        <w:rPr>
          <w:color w:val="231F20"/>
          <w:w w:val="115"/>
        </w:rPr>
        <w:t>fautes</w:t>
      </w:r>
      <w:r>
        <w:rPr>
          <w:color w:val="231F20"/>
          <w:spacing w:val="-2"/>
          <w:w w:val="115"/>
        </w:rPr>
        <w:t> </w:t>
      </w:r>
      <w:r>
        <w:rPr>
          <w:color w:val="231F20"/>
          <w:w w:val="115"/>
        </w:rPr>
        <w:t>les </w:t>
      </w:r>
      <w:r>
        <w:rPr>
          <w:color w:val="231F20"/>
          <w:w w:val="120"/>
        </w:rPr>
        <w:t>plus importantes de gestion. Cela a aussi été fortement renforcé par la pandémie</w:t>
      </w:r>
      <w:r>
        <w:rPr>
          <w:color w:val="231F20"/>
          <w:spacing w:val="-10"/>
          <w:w w:val="120"/>
        </w:rPr>
        <w:t> </w:t>
      </w:r>
      <w:r>
        <w:rPr>
          <w:color w:val="231F20"/>
          <w:w w:val="120"/>
        </w:rPr>
        <w:t>mondiale</w:t>
      </w:r>
      <w:r>
        <w:rPr>
          <w:color w:val="231F20"/>
          <w:spacing w:val="-10"/>
          <w:w w:val="120"/>
        </w:rPr>
        <w:t> </w:t>
      </w:r>
      <w:r>
        <w:rPr>
          <w:color w:val="231F20"/>
          <w:w w:val="120"/>
        </w:rPr>
        <w:t>que</w:t>
      </w:r>
      <w:r>
        <w:rPr>
          <w:color w:val="231F20"/>
          <w:spacing w:val="-10"/>
          <w:w w:val="120"/>
        </w:rPr>
        <w:t> </w:t>
      </w:r>
      <w:r>
        <w:rPr>
          <w:color w:val="231F20"/>
          <w:w w:val="120"/>
        </w:rPr>
        <w:t>nous</w:t>
      </w:r>
      <w:r>
        <w:rPr>
          <w:color w:val="231F20"/>
          <w:spacing w:val="-10"/>
          <w:w w:val="120"/>
        </w:rPr>
        <w:t> </w:t>
      </w:r>
      <w:r>
        <w:rPr>
          <w:color w:val="231F20"/>
          <w:w w:val="120"/>
        </w:rPr>
        <w:t>avons</w:t>
      </w:r>
      <w:r>
        <w:rPr>
          <w:color w:val="231F20"/>
          <w:spacing w:val="-10"/>
          <w:w w:val="120"/>
        </w:rPr>
        <w:t> </w:t>
      </w:r>
      <w:r>
        <w:rPr>
          <w:color w:val="231F20"/>
          <w:w w:val="120"/>
        </w:rPr>
        <w:t>vécue,</w:t>
      </w:r>
      <w:r>
        <w:rPr>
          <w:color w:val="231F20"/>
          <w:spacing w:val="-10"/>
          <w:w w:val="120"/>
        </w:rPr>
        <w:t> </w:t>
      </w:r>
      <w:r>
        <w:rPr>
          <w:color w:val="231F20"/>
          <w:w w:val="120"/>
        </w:rPr>
        <w:t>mettant</w:t>
      </w:r>
      <w:r>
        <w:rPr>
          <w:color w:val="231F20"/>
          <w:spacing w:val="-10"/>
          <w:w w:val="120"/>
        </w:rPr>
        <w:t> </w:t>
      </w:r>
      <w:r>
        <w:rPr>
          <w:color w:val="231F20"/>
          <w:w w:val="120"/>
        </w:rPr>
        <w:t>en</w:t>
      </w:r>
      <w:r>
        <w:rPr>
          <w:color w:val="231F20"/>
          <w:spacing w:val="-10"/>
          <w:w w:val="120"/>
        </w:rPr>
        <w:t> </w:t>
      </w:r>
      <w:r>
        <w:rPr>
          <w:color w:val="231F20"/>
          <w:w w:val="120"/>
        </w:rPr>
        <w:t>lumière</w:t>
      </w:r>
      <w:r>
        <w:rPr>
          <w:color w:val="231F20"/>
          <w:spacing w:val="-10"/>
          <w:w w:val="120"/>
        </w:rPr>
        <w:t> </w:t>
      </w:r>
      <w:r>
        <w:rPr>
          <w:color w:val="231F20"/>
          <w:w w:val="120"/>
        </w:rPr>
        <w:t>l’impor- tance de l’humanisme et de la compassion des dirigeants et des déci- </w:t>
      </w:r>
      <w:r>
        <w:rPr>
          <w:color w:val="231F20"/>
          <w:spacing w:val="-4"/>
          <w:w w:val="120"/>
        </w:rPr>
        <w:t>deurs.</w:t>
      </w:r>
      <w:r>
        <w:rPr>
          <w:color w:val="231F20"/>
          <w:spacing w:val="-5"/>
          <w:w w:val="120"/>
        </w:rPr>
        <w:t> </w:t>
      </w:r>
      <w:r>
        <w:rPr>
          <w:color w:val="231F20"/>
          <w:spacing w:val="-4"/>
          <w:w w:val="120"/>
        </w:rPr>
        <w:t>Les</w:t>
      </w:r>
      <w:r>
        <w:rPr>
          <w:color w:val="231F20"/>
          <w:spacing w:val="-5"/>
          <w:w w:val="120"/>
        </w:rPr>
        <w:t> </w:t>
      </w:r>
      <w:r>
        <w:rPr>
          <w:color w:val="231F20"/>
          <w:spacing w:val="-4"/>
          <w:w w:val="120"/>
        </w:rPr>
        <w:t>gestionnaires</w:t>
      </w:r>
      <w:r>
        <w:rPr>
          <w:color w:val="231F20"/>
          <w:spacing w:val="-5"/>
          <w:w w:val="120"/>
        </w:rPr>
        <w:t> </w:t>
      </w:r>
      <w:r>
        <w:rPr>
          <w:color w:val="231F20"/>
          <w:spacing w:val="-4"/>
          <w:w w:val="120"/>
        </w:rPr>
        <w:t>à</w:t>
      </w:r>
      <w:r>
        <w:rPr>
          <w:color w:val="231F20"/>
          <w:spacing w:val="-5"/>
          <w:w w:val="120"/>
        </w:rPr>
        <w:t> </w:t>
      </w:r>
      <w:r>
        <w:rPr>
          <w:color w:val="231F20"/>
          <w:spacing w:val="-4"/>
          <w:w w:val="120"/>
        </w:rPr>
        <w:t>l’ego</w:t>
      </w:r>
      <w:r>
        <w:rPr>
          <w:color w:val="231F20"/>
          <w:spacing w:val="-5"/>
          <w:w w:val="120"/>
        </w:rPr>
        <w:t> </w:t>
      </w:r>
      <w:r>
        <w:rPr>
          <w:color w:val="231F20"/>
          <w:spacing w:val="-4"/>
          <w:w w:val="120"/>
        </w:rPr>
        <w:t>surdimensionné</w:t>
      </w:r>
      <w:r>
        <w:rPr>
          <w:color w:val="231F20"/>
          <w:spacing w:val="-5"/>
          <w:w w:val="120"/>
        </w:rPr>
        <w:t> </w:t>
      </w:r>
      <w:r>
        <w:rPr>
          <w:color w:val="231F20"/>
          <w:spacing w:val="-4"/>
          <w:w w:val="120"/>
        </w:rPr>
        <w:t>sont</w:t>
      </w:r>
      <w:r>
        <w:rPr>
          <w:color w:val="231F20"/>
          <w:spacing w:val="-5"/>
          <w:w w:val="120"/>
        </w:rPr>
        <w:t> </w:t>
      </w:r>
      <w:r>
        <w:rPr>
          <w:color w:val="231F20"/>
          <w:spacing w:val="-4"/>
          <w:w w:val="120"/>
        </w:rPr>
        <w:t>maintenant</w:t>
      </w:r>
      <w:r>
        <w:rPr>
          <w:color w:val="231F20"/>
          <w:spacing w:val="-5"/>
          <w:w w:val="120"/>
        </w:rPr>
        <w:t> </w:t>
      </w:r>
      <w:r>
        <w:rPr>
          <w:color w:val="231F20"/>
          <w:spacing w:val="-4"/>
          <w:w w:val="120"/>
        </w:rPr>
        <w:t>regardés </w:t>
      </w:r>
      <w:r>
        <w:rPr>
          <w:color w:val="231F20"/>
          <w:w w:val="120"/>
        </w:rPr>
        <w:t>de façon suspicieuse, et on condamne les entreprises qui affichent un orgueil démesuré, ces mêmes entreprises qu’on vénérait, il n’y a que quelques</w:t>
      </w:r>
      <w:r>
        <w:rPr>
          <w:color w:val="231F20"/>
          <w:spacing w:val="-13"/>
          <w:w w:val="120"/>
        </w:rPr>
        <w:t> </w:t>
      </w:r>
      <w:r>
        <w:rPr>
          <w:color w:val="231F20"/>
          <w:w w:val="120"/>
        </w:rPr>
        <w:t>années.</w:t>
      </w:r>
    </w:p>
    <w:p>
      <w:pPr>
        <w:spacing w:after="0" w:line="307" w:lineRule="auto"/>
        <w:jc w:val="both"/>
        <w:sectPr>
          <w:type w:val="continuous"/>
          <w:pgSz w:w="8640" w:h="12960"/>
          <w:pgMar w:header="0" w:footer="424"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6" w:firstLine="250"/>
        <w:jc w:val="both"/>
      </w:pPr>
      <w:r>
        <w:rPr>
          <w:color w:val="231F20"/>
          <w:spacing w:val="-2"/>
          <w:w w:val="120"/>
        </w:rPr>
        <w:t>Le</w:t>
      </w:r>
      <w:r>
        <w:rPr>
          <w:color w:val="231F20"/>
          <w:spacing w:val="-10"/>
          <w:w w:val="120"/>
        </w:rPr>
        <w:t> </w:t>
      </w:r>
      <w:r>
        <w:rPr>
          <w:color w:val="231F20"/>
          <w:spacing w:val="-2"/>
          <w:w w:val="120"/>
        </w:rPr>
        <w:t>dirigeant</w:t>
      </w:r>
      <w:r>
        <w:rPr>
          <w:color w:val="231F20"/>
          <w:spacing w:val="-10"/>
          <w:w w:val="120"/>
        </w:rPr>
        <w:t> </w:t>
      </w:r>
      <w:r>
        <w:rPr>
          <w:color w:val="231F20"/>
          <w:spacing w:val="-2"/>
          <w:w w:val="120"/>
        </w:rPr>
        <w:t>narcissique</w:t>
      </w:r>
      <w:r>
        <w:rPr>
          <w:color w:val="231F20"/>
          <w:spacing w:val="-10"/>
          <w:w w:val="120"/>
        </w:rPr>
        <w:t> </w:t>
      </w:r>
      <w:r>
        <w:rPr>
          <w:color w:val="231F20"/>
          <w:spacing w:val="-2"/>
          <w:w w:val="120"/>
        </w:rPr>
        <w:t>et</w:t>
      </w:r>
      <w:r>
        <w:rPr>
          <w:color w:val="231F20"/>
          <w:spacing w:val="-10"/>
          <w:w w:val="120"/>
        </w:rPr>
        <w:t> </w:t>
      </w:r>
      <w:r>
        <w:rPr>
          <w:color w:val="231F20"/>
          <w:spacing w:val="-2"/>
          <w:w w:val="120"/>
        </w:rPr>
        <w:t>arrogant</w:t>
      </w:r>
      <w:r>
        <w:rPr>
          <w:color w:val="231F20"/>
          <w:spacing w:val="-10"/>
          <w:w w:val="120"/>
        </w:rPr>
        <w:t> </w:t>
      </w:r>
      <w:r>
        <w:rPr>
          <w:color w:val="231F20"/>
          <w:spacing w:val="-2"/>
          <w:w w:val="120"/>
        </w:rPr>
        <w:t>a</w:t>
      </w:r>
      <w:r>
        <w:rPr>
          <w:color w:val="231F20"/>
          <w:spacing w:val="-10"/>
          <w:w w:val="120"/>
        </w:rPr>
        <w:t> </w:t>
      </w:r>
      <w:r>
        <w:rPr>
          <w:color w:val="231F20"/>
          <w:spacing w:val="-2"/>
          <w:w w:val="120"/>
        </w:rPr>
        <w:t>une</w:t>
      </w:r>
      <w:r>
        <w:rPr>
          <w:color w:val="231F20"/>
          <w:spacing w:val="-10"/>
          <w:w w:val="120"/>
        </w:rPr>
        <w:t> </w:t>
      </w:r>
      <w:r>
        <w:rPr>
          <w:color w:val="231F20"/>
          <w:spacing w:val="-2"/>
          <w:w w:val="120"/>
        </w:rPr>
        <w:t>propension</w:t>
      </w:r>
      <w:r>
        <w:rPr>
          <w:color w:val="231F20"/>
          <w:spacing w:val="-10"/>
          <w:w w:val="120"/>
        </w:rPr>
        <w:t> </w:t>
      </w:r>
      <w:r>
        <w:rPr>
          <w:color w:val="231F20"/>
          <w:spacing w:val="-2"/>
          <w:w w:val="120"/>
        </w:rPr>
        <w:t>à</w:t>
      </w:r>
      <w:r>
        <w:rPr>
          <w:color w:val="231F20"/>
          <w:spacing w:val="-10"/>
          <w:w w:val="120"/>
        </w:rPr>
        <w:t> </w:t>
      </w:r>
      <w:r>
        <w:rPr>
          <w:color w:val="231F20"/>
          <w:spacing w:val="-2"/>
          <w:w w:val="120"/>
        </w:rPr>
        <w:t>surestimer</w:t>
      </w:r>
      <w:r>
        <w:rPr>
          <w:color w:val="231F20"/>
          <w:spacing w:val="-10"/>
          <w:w w:val="120"/>
        </w:rPr>
        <w:t> </w:t>
      </w:r>
      <w:r>
        <w:rPr>
          <w:color w:val="231F20"/>
          <w:spacing w:val="-2"/>
          <w:w w:val="120"/>
        </w:rPr>
        <w:t>ses </w:t>
      </w:r>
      <w:r>
        <w:rPr>
          <w:color w:val="231F20"/>
          <w:w w:val="120"/>
        </w:rPr>
        <w:t>compétences</w:t>
      </w:r>
      <w:r>
        <w:rPr>
          <w:color w:val="231F20"/>
          <w:spacing w:val="-13"/>
          <w:w w:val="120"/>
        </w:rPr>
        <w:t> </w:t>
      </w:r>
      <w:r>
        <w:rPr>
          <w:color w:val="231F20"/>
          <w:w w:val="120"/>
        </w:rPr>
        <w:t>; il obtient donc des résultats mitigés quand il s’agit de soupeser</w:t>
      </w:r>
      <w:r>
        <w:rPr>
          <w:color w:val="231F20"/>
          <w:spacing w:val="-6"/>
          <w:w w:val="120"/>
        </w:rPr>
        <w:t> </w:t>
      </w:r>
      <w:r>
        <w:rPr>
          <w:color w:val="231F20"/>
          <w:w w:val="120"/>
        </w:rPr>
        <w:t>les</w:t>
      </w:r>
      <w:r>
        <w:rPr>
          <w:color w:val="231F20"/>
          <w:spacing w:val="-6"/>
          <w:w w:val="120"/>
        </w:rPr>
        <w:t> </w:t>
      </w:r>
      <w:r>
        <w:rPr>
          <w:color w:val="231F20"/>
          <w:w w:val="120"/>
        </w:rPr>
        <w:t>exigences</w:t>
      </w:r>
      <w:r>
        <w:rPr>
          <w:color w:val="231F20"/>
          <w:spacing w:val="-6"/>
          <w:w w:val="120"/>
        </w:rPr>
        <w:t> </w:t>
      </w:r>
      <w:r>
        <w:rPr>
          <w:color w:val="231F20"/>
          <w:w w:val="120"/>
        </w:rPr>
        <w:t>concurrentielles,</w:t>
      </w:r>
      <w:r>
        <w:rPr>
          <w:color w:val="231F20"/>
          <w:spacing w:val="-6"/>
          <w:w w:val="120"/>
        </w:rPr>
        <w:t> </w:t>
      </w:r>
      <w:r>
        <w:rPr>
          <w:color w:val="231F20"/>
          <w:w w:val="120"/>
        </w:rPr>
        <w:t>et</w:t>
      </w:r>
      <w:r>
        <w:rPr>
          <w:color w:val="231F20"/>
          <w:spacing w:val="-6"/>
          <w:w w:val="120"/>
        </w:rPr>
        <w:t> </w:t>
      </w:r>
      <w:r>
        <w:rPr>
          <w:color w:val="231F20"/>
          <w:w w:val="120"/>
        </w:rPr>
        <w:t>il</w:t>
      </w:r>
      <w:r>
        <w:rPr>
          <w:color w:val="231F20"/>
          <w:spacing w:val="-6"/>
          <w:w w:val="120"/>
        </w:rPr>
        <w:t> </w:t>
      </w:r>
      <w:r>
        <w:rPr>
          <w:color w:val="231F20"/>
          <w:w w:val="120"/>
        </w:rPr>
        <w:t>prend</w:t>
      </w:r>
      <w:r>
        <w:rPr>
          <w:color w:val="231F20"/>
          <w:spacing w:val="-6"/>
          <w:w w:val="120"/>
        </w:rPr>
        <w:t> </w:t>
      </w:r>
      <w:r>
        <w:rPr>
          <w:color w:val="231F20"/>
          <w:w w:val="120"/>
        </w:rPr>
        <w:t>souvent</w:t>
      </w:r>
      <w:r>
        <w:rPr>
          <w:color w:val="231F20"/>
          <w:spacing w:val="-6"/>
          <w:w w:val="120"/>
        </w:rPr>
        <w:t> </w:t>
      </w:r>
      <w:r>
        <w:rPr>
          <w:color w:val="231F20"/>
          <w:w w:val="120"/>
        </w:rPr>
        <w:t>des</w:t>
      </w:r>
      <w:r>
        <w:rPr>
          <w:color w:val="231F20"/>
          <w:spacing w:val="-6"/>
          <w:w w:val="120"/>
        </w:rPr>
        <w:t> </w:t>
      </w:r>
      <w:r>
        <w:rPr>
          <w:color w:val="231F20"/>
          <w:w w:val="120"/>
        </w:rPr>
        <w:t>risques déraisonnables.</w:t>
      </w:r>
      <w:r>
        <w:rPr>
          <w:color w:val="231F20"/>
          <w:spacing w:val="-12"/>
          <w:w w:val="120"/>
        </w:rPr>
        <w:t> </w:t>
      </w:r>
      <w:r>
        <w:rPr>
          <w:color w:val="231F20"/>
          <w:w w:val="120"/>
        </w:rPr>
        <w:t>Il</w:t>
      </w:r>
      <w:r>
        <w:rPr>
          <w:color w:val="231F20"/>
          <w:spacing w:val="-12"/>
          <w:w w:val="120"/>
        </w:rPr>
        <w:t> </w:t>
      </w:r>
      <w:r>
        <w:rPr>
          <w:color w:val="231F20"/>
          <w:w w:val="120"/>
        </w:rPr>
        <w:t>tend</w:t>
      </w:r>
      <w:r>
        <w:rPr>
          <w:color w:val="231F20"/>
          <w:spacing w:val="-12"/>
          <w:w w:val="120"/>
        </w:rPr>
        <w:t> </w:t>
      </w:r>
      <w:r>
        <w:rPr>
          <w:color w:val="231F20"/>
          <w:w w:val="120"/>
        </w:rPr>
        <w:t>également</w:t>
      </w:r>
      <w:r>
        <w:rPr>
          <w:color w:val="231F20"/>
          <w:spacing w:val="-12"/>
          <w:w w:val="120"/>
        </w:rPr>
        <w:t> </w:t>
      </w:r>
      <w:r>
        <w:rPr>
          <w:color w:val="231F20"/>
          <w:w w:val="120"/>
        </w:rPr>
        <w:t>à</w:t>
      </w:r>
      <w:r>
        <w:rPr>
          <w:color w:val="231F20"/>
          <w:spacing w:val="-12"/>
          <w:w w:val="120"/>
        </w:rPr>
        <w:t> </w:t>
      </w:r>
      <w:r>
        <w:rPr>
          <w:color w:val="231F20"/>
          <w:w w:val="120"/>
        </w:rPr>
        <w:t>être</w:t>
      </w:r>
      <w:r>
        <w:rPr>
          <w:color w:val="231F20"/>
          <w:spacing w:val="-12"/>
          <w:w w:val="120"/>
        </w:rPr>
        <w:t> </w:t>
      </w:r>
      <w:r>
        <w:rPr>
          <w:color w:val="231F20"/>
          <w:w w:val="120"/>
        </w:rPr>
        <w:t>inapte</w:t>
      </w:r>
      <w:r>
        <w:rPr>
          <w:color w:val="231F20"/>
          <w:spacing w:val="-12"/>
          <w:w w:val="120"/>
        </w:rPr>
        <w:t> </w:t>
      </w:r>
      <w:r>
        <w:rPr>
          <w:color w:val="231F20"/>
          <w:w w:val="120"/>
        </w:rPr>
        <w:t>à</w:t>
      </w:r>
      <w:r>
        <w:rPr>
          <w:color w:val="231F20"/>
          <w:spacing w:val="-12"/>
          <w:w w:val="120"/>
        </w:rPr>
        <w:t> </w:t>
      </w:r>
      <w:r>
        <w:rPr>
          <w:color w:val="231F20"/>
          <w:w w:val="120"/>
        </w:rPr>
        <w:t>contenter</w:t>
      </w:r>
      <w:r>
        <w:rPr>
          <w:color w:val="231F20"/>
          <w:spacing w:val="-12"/>
          <w:w w:val="120"/>
        </w:rPr>
        <w:t> </w:t>
      </w:r>
      <w:r>
        <w:rPr>
          <w:color w:val="231F20"/>
          <w:w w:val="120"/>
        </w:rPr>
        <w:t>une</w:t>
      </w:r>
      <w:r>
        <w:rPr>
          <w:color w:val="231F20"/>
          <w:spacing w:val="-12"/>
          <w:w w:val="120"/>
        </w:rPr>
        <w:t> </w:t>
      </w:r>
      <w:r>
        <w:rPr>
          <w:color w:val="231F20"/>
          <w:w w:val="120"/>
        </w:rPr>
        <w:t>diversité de commettants. Surestimant ses réalisations, il tient pour acquis </w:t>
      </w:r>
      <w:r>
        <w:rPr>
          <w:color w:val="231F20"/>
          <w:w w:val="120"/>
        </w:rPr>
        <w:t>que </w:t>
      </w:r>
      <w:r>
        <w:rPr>
          <w:color w:val="231F20"/>
          <w:spacing w:val="-2"/>
          <w:w w:val="120"/>
        </w:rPr>
        <w:t>tout</w:t>
      </w:r>
      <w:r>
        <w:rPr>
          <w:color w:val="231F20"/>
          <w:spacing w:val="-13"/>
          <w:w w:val="120"/>
        </w:rPr>
        <w:t> </w:t>
      </w:r>
      <w:r>
        <w:rPr>
          <w:color w:val="231F20"/>
          <w:spacing w:val="-2"/>
          <w:w w:val="120"/>
        </w:rPr>
        <w:t>le</w:t>
      </w:r>
      <w:r>
        <w:rPr>
          <w:color w:val="231F20"/>
          <w:spacing w:val="-11"/>
          <w:w w:val="120"/>
        </w:rPr>
        <w:t> </w:t>
      </w:r>
      <w:r>
        <w:rPr>
          <w:color w:val="231F20"/>
          <w:spacing w:val="-2"/>
          <w:w w:val="120"/>
        </w:rPr>
        <w:t>monde</w:t>
      </w:r>
      <w:r>
        <w:rPr>
          <w:color w:val="231F20"/>
          <w:spacing w:val="-11"/>
          <w:w w:val="120"/>
        </w:rPr>
        <w:t> </w:t>
      </w:r>
      <w:r>
        <w:rPr>
          <w:color w:val="231F20"/>
          <w:spacing w:val="-2"/>
          <w:w w:val="120"/>
        </w:rPr>
        <w:t>l’admire</w:t>
      </w:r>
      <w:r>
        <w:rPr>
          <w:color w:val="231F20"/>
          <w:spacing w:val="-10"/>
          <w:w w:val="120"/>
        </w:rPr>
        <w:t> </w:t>
      </w:r>
      <w:r>
        <w:rPr>
          <w:color w:val="231F20"/>
          <w:spacing w:val="-2"/>
          <w:w w:val="120"/>
        </w:rPr>
        <w:t>et</w:t>
      </w:r>
      <w:r>
        <w:rPr>
          <w:color w:val="231F20"/>
          <w:spacing w:val="-11"/>
          <w:w w:val="120"/>
        </w:rPr>
        <w:t> </w:t>
      </w:r>
      <w:r>
        <w:rPr>
          <w:color w:val="231F20"/>
          <w:spacing w:val="-2"/>
          <w:w w:val="120"/>
        </w:rPr>
        <w:t>qu’il</w:t>
      </w:r>
      <w:r>
        <w:rPr>
          <w:color w:val="231F20"/>
          <w:spacing w:val="-11"/>
          <w:w w:val="120"/>
        </w:rPr>
        <w:t> </w:t>
      </w:r>
      <w:r>
        <w:rPr>
          <w:color w:val="231F20"/>
          <w:spacing w:val="-2"/>
          <w:w w:val="120"/>
        </w:rPr>
        <w:t>n’aura</w:t>
      </w:r>
      <w:r>
        <w:rPr>
          <w:color w:val="231F20"/>
          <w:spacing w:val="-11"/>
          <w:w w:val="120"/>
        </w:rPr>
        <w:t> </w:t>
      </w:r>
      <w:r>
        <w:rPr>
          <w:color w:val="231F20"/>
          <w:spacing w:val="-2"/>
          <w:w w:val="120"/>
        </w:rPr>
        <w:t>aucun</w:t>
      </w:r>
      <w:r>
        <w:rPr>
          <w:color w:val="231F20"/>
          <w:spacing w:val="-10"/>
          <w:w w:val="120"/>
        </w:rPr>
        <w:t> </w:t>
      </w:r>
      <w:r>
        <w:rPr>
          <w:color w:val="231F20"/>
          <w:spacing w:val="-2"/>
          <w:w w:val="120"/>
        </w:rPr>
        <w:t>mal</w:t>
      </w:r>
      <w:r>
        <w:rPr>
          <w:color w:val="231F20"/>
          <w:spacing w:val="-11"/>
          <w:w w:val="120"/>
        </w:rPr>
        <w:t> </w:t>
      </w:r>
      <w:r>
        <w:rPr>
          <w:color w:val="231F20"/>
          <w:spacing w:val="-2"/>
          <w:w w:val="120"/>
        </w:rPr>
        <w:t>à</w:t>
      </w:r>
      <w:r>
        <w:rPr>
          <w:color w:val="231F20"/>
          <w:spacing w:val="-11"/>
          <w:w w:val="120"/>
        </w:rPr>
        <w:t> </w:t>
      </w:r>
      <w:r>
        <w:rPr>
          <w:color w:val="231F20"/>
          <w:spacing w:val="-2"/>
          <w:w w:val="120"/>
        </w:rPr>
        <w:t>défaire</w:t>
      </w:r>
      <w:r>
        <w:rPr>
          <w:color w:val="231F20"/>
          <w:spacing w:val="-11"/>
          <w:w w:val="120"/>
        </w:rPr>
        <w:t> </w:t>
      </w:r>
      <w:r>
        <w:rPr>
          <w:color w:val="231F20"/>
          <w:spacing w:val="-2"/>
          <w:w w:val="120"/>
        </w:rPr>
        <w:t>ses</w:t>
      </w:r>
      <w:r>
        <w:rPr>
          <w:color w:val="231F20"/>
          <w:spacing w:val="-10"/>
          <w:w w:val="120"/>
        </w:rPr>
        <w:t> </w:t>
      </w:r>
      <w:r>
        <w:rPr>
          <w:color w:val="231F20"/>
          <w:spacing w:val="-2"/>
          <w:w w:val="120"/>
        </w:rPr>
        <w:t>détracteurs </w:t>
      </w:r>
      <w:r>
        <w:rPr>
          <w:color w:val="231F20"/>
          <w:w w:val="115"/>
        </w:rPr>
        <w:t>ou</w:t>
      </w:r>
      <w:r>
        <w:rPr>
          <w:color w:val="231F20"/>
          <w:spacing w:val="-7"/>
          <w:w w:val="115"/>
        </w:rPr>
        <w:t> </w:t>
      </w:r>
      <w:r>
        <w:rPr>
          <w:color w:val="231F20"/>
          <w:w w:val="115"/>
        </w:rPr>
        <w:t>à</w:t>
      </w:r>
      <w:r>
        <w:rPr>
          <w:color w:val="231F20"/>
          <w:spacing w:val="-7"/>
          <w:w w:val="115"/>
        </w:rPr>
        <w:t> </w:t>
      </w:r>
      <w:r>
        <w:rPr>
          <w:color w:val="231F20"/>
          <w:w w:val="115"/>
        </w:rPr>
        <w:t>les</w:t>
      </w:r>
      <w:r>
        <w:rPr>
          <w:color w:val="231F20"/>
          <w:spacing w:val="-7"/>
          <w:w w:val="115"/>
        </w:rPr>
        <w:t> </w:t>
      </w:r>
      <w:r>
        <w:rPr>
          <w:color w:val="231F20"/>
          <w:w w:val="115"/>
        </w:rPr>
        <w:t>persuader</w:t>
      </w:r>
      <w:r>
        <w:rPr>
          <w:color w:val="231F20"/>
          <w:spacing w:val="-7"/>
          <w:w w:val="115"/>
        </w:rPr>
        <w:t> </w:t>
      </w:r>
      <w:r>
        <w:rPr>
          <w:color w:val="231F20"/>
          <w:w w:val="115"/>
        </w:rPr>
        <w:t>de</w:t>
      </w:r>
      <w:r>
        <w:rPr>
          <w:color w:val="231F20"/>
          <w:spacing w:val="-7"/>
          <w:w w:val="115"/>
        </w:rPr>
        <w:t> </w:t>
      </w:r>
      <w:r>
        <w:rPr>
          <w:color w:val="231F20"/>
          <w:w w:val="115"/>
        </w:rPr>
        <w:t>se</w:t>
      </w:r>
      <w:r>
        <w:rPr>
          <w:color w:val="231F20"/>
          <w:spacing w:val="-7"/>
          <w:w w:val="115"/>
        </w:rPr>
        <w:t> </w:t>
      </w:r>
      <w:r>
        <w:rPr>
          <w:color w:val="231F20"/>
          <w:w w:val="115"/>
        </w:rPr>
        <w:t>ranger</w:t>
      </w:r>
      <w:r>
        <w:rPr>
          <w:color w:val="231F20"/>
          <w:spacing w:val="-7"/>
          <w:w w:val="115"/>
        </w:rPr>
        <w:t> </w:t>
      </w:r>
      <w:r>
        <w:rPr>
          <w:color w:val="231F20"/>
          <w:w w:val="115"/>
        </w:rPr>
        <w:t>de</w:t>
      </w:r>
      <w:r>
        <w:rPr>
          <w:color w:val="231F20"/>
          <w:spacing w:val="-7"/>
          <w:w w:val="115"/>
        </w:rPr>
        <w:t> </w:t>
      </w:r>
      <w:r>
        <w:rPr>
          <w:color w:val="231F20"/>
          <w:w w:val="115"/>
        </w:rPr>
        <w:t>son</w:t>
      </w:r>
      <w:r>
        <w:rPr>
          <w:color w:val="231F20"/>
          <w:spacing w:val="-7"/>
          <w:w w:val="115"/>
        </w:rPr>
        <w:t> </w:t>
      </w:r>
      <w:r>
        <w:rPr>
          <w:color w:val="231F20"/>
          <w:w w:val="115"/>
        </w:rPr>
        <w:t>côté.</w:t>
      </w:r>
      <w:r>
        <w:rPr>
          <w:color w:val="231F20"/>
          <w:spacing w:val="-7"/>
          <w:w w:val="115"/>
        </w:rPr>
        <w:t> </w:t>
      </w:r>
      <w:r>
        <w:rPr>
          <w:color w:val="231F20"/>
          <w:w w:val="115"/>
        </w:rPr>
        <w:t>Et</w:t>
      </w:r>
      <w:r>
        <w:rPr>
          <w:color w:val="231F20"/>
          <w:spacing w:val="-7"/>
          <w:w w:val="115"/>
        </w:rPr>
        <w:t> </w:t>
      </w:r>
      <w:r>
        <w:rPr>
          <w:color w:val="231F20"/>
          <w:w w:val="115"/>
        </w:rPr>
        <w:t>il</w:t>
      </w:r>
      <w:r>
        <w:rPr>
          <w:color w:val="231F20"/>
          <w:spacing w:val="-7"/>
          <w:w w:val="115"/>
        </w:rPr>
        <w:t> </w:t>
      </w:r>
      <w:r>
        <w:rPr>
          <w:color w:val="231F20"/>
          <w:w w:val="115"/>
        </w:rPr>
        <w:t>ne</w:t>
      </w:r>
      <w:r>
        <w:rPr>
          <w:color w:val="231F20"/>
          <w:spacing w:val="-7"/>
          <w:w w:val="115"/>
        </w:rPr>
        <w:t> </w:t>
      </w:r>
      <w:r>
        <w:rPr>
          <w:color w:val="231F20"/>
          <w:w w:val="115"/>
        </w:rPr>
        <w:t>réalise</w:t>
      </w:r>
      <w:r>
        <w:rPr>
          <w:color w:val="231F20"/>
          <w:spacing w:val="-7"/>
          <w:w w:val="115"/>
        </w:rPr>
        <w:t> </w:t>
      </w:r>
      <w:r>
        <w:rPr>
          <w:color w:val="231F20"/>
          <w:w w:val="115"/>
        </w:rPr>
        <w:t>pas</w:t>
      </w:r>
      <w:r>
        <w:rPr>
          <w:color w:val="231F20"/>
          <w:spacing w:val="-7"/>
          <w:w w:val="115"/>
        </w:rPr>
        <w:t> </w:t>
      </w:r>
      <w:r>
        <w:rPr>
          <w:color w:val="231F20"/>
          <w:w w:val="115"/>
        </w:rPr>
        <w:t>à</w:t>
      </w:r>
      <w:r>
        <w:rPr>
          <w:color w:val="231F20"/>
          <w:spacing w:val="-7"/>
          <w:w w:val="115"/>
        </w:rPr>
        <w:t> </w:t>
      </w:r>
      <w:r>
        <w:rPr>
          <w:color w:val="231F20"/>
          <w:w w:val="115"/>
        </w:rPr>
        <w:t>quel</w:t>
      </w:r>
      <w:r>
        <w:rPr>
          <w:color w:val="231F20"/>
          <w:spacing w:val="-7"/>
          <w:w w:val="115"/>
        </w:rPr>
        <w:t> </w:t>
      </w:r>
      <w:r>
        <w:rPr>
          <w:color w:val="231F20"/>
          <w:w w:val="115"/>
        </w:rPr>
        <w:t>point </w:t>
      </w:r>
      <w:r>
        <w:rPr>
          <w:color w:val="231F20"/>
          <w:w w:val="120"/>
        </w:rPr>
        <w:t>ses</w:t>
      </w:r>
      <w:r>
        <w:rPr>
          <w:color w:val="231F20"/>
          <w:spacing w:val="-13"/>
          <w:w w:val="120"/>
        </w:rPr>
        <w:t> </w:t>
      </w:r>
      <w:r>
        <w:rPr>
          <w:color w:val="231F20"/>
          <w:w w:val="120"/>
        </w:rPr>
        <w:t>attitudes</w:t>
      </w:r>
      <w:r>
        <w:rPr>
          <w:color w:val="231F20"/>
          <w:spacing w:val="-13"/>
          <w:w w:val="120"/>
        </w:rPr>
        <w:t> </w:t>
      </w:r>
      <w:r>
        <w:rPr>
          <w:color w:val="231F20"/>
          <w:w w:val="120"/>
        </w:rPr>
        <w:t>pompeuses</w:t>
      </w:r>
      <w:r>
        <w:rPr>
          <w:color w:val="231F20"/>
          <w:spacing w:val="-13"/>
          <w:w w:val="120"/>
        </w:rPr>
        <w:t> </w:t>
      </w:r>
      <w:r>
        <w:rPr>
          <w:color w:val="231F20"/>
          <w:w w:val="120"/>
        </w:rPr>
        <w:t>déplaisent</w:t>
      </w:r>
      <w:r>
        <w:rPr>
          <w:color w:val="231F20"/>
          <w:spacing w:val="-12"/>
          <w:w w:val="120"/>
        </w:rPr>
        <w:t> </w:t>
      </w:r>
      <w:r>
        <w:rPr>
          <w:color w:val="231F20"/>
          <w:w w:val="120"/>
        </w:rPr>
        <w:t>souvent</w:t>
      </w:r>
      <w:r>
        <w:rPr>
          <w:color w:val="231F20"/>
          <w:spacing w:val="-13"/>
          <w:w w:val="120"/>
        </w:rPr>
        <w:t> </w:t>
      </w:r>
      <w:r>
        <w:rPr>
          <w:color w:val="231F20"/>
          <w:w w:val="120"/>
        </w:rPr>
        <w:t>à</w:t>
      </w:r>
      <w:r>
        <w:rPr>
          <w:color w:val="231F20"/>
          <w:spacing w:val="-13"/>
          <w:w w:val="120"/>
        </w:rPr>
        <w:t> </w:t>
      </w:r>
      <w:r>
        <w:rPr>
          <w:color w:val="231F20"/>
          <w:w w:val="120"/>
        </w:rPr>
        <w:t>son</w:t>
      </w:r>
      <w:r>
        <w:rPr>
          <w:color w:val="231F20"/>
          <w:spacing w:val="-13"/>
          <w:w w:val="120"/>
        </w:rPr>
        <w:t> </w:t>
      </w:r>
      <w:r>
        <w:rPr>
          <w:color w:val="231F20"/>
          <w:w w:val="120"/>
        </w:rPr>
        <w:t>entourage</w:t>
      </w:r>
      <w:r>
        <w:rPr>
          <w:color w:val="231F20"/>
          <w:spacing w:val="-12"/>
          <w:w w:val="120"/>
        </w:rPr>
        <w:t> </w:t>
      </w:r>
      <w:r>
        <w:rPr>
          <w:color w:val="231F20"/>
          <w:w w:val="120"/>
        </w:rPr>
        <w:t>et</w:t>
      </w:r>
      <w:r>
        <w:rPr>
          <w:color w:val="231F20"/>
          <w:spacing w:val="-13"/>
          <w:w w:val="120"/>
        </w:rPr>
        <w:t> </w:t>
      </w:r>
      <w:r>
        <w:rPr>
          <w:color w:val="231F20"/>
          <w:w w:val="120"/>
        </w:rPr>
        <w:t>créent</w:t>
      </w:r>
      <w:r>
        <w:rPr>
          <w:color w:val="231F20"/>
          <w:spacing w:val="-13"/>
          <w:w w:val="120"/>
        </w:rPr>
        <w:t> </w:t>
      </w:r>
      <w:r>
        <w:rPr>
          <w:color w:val="231F20"/>
          <w:w w:val="120"/>
        </w:rPr>
        <w:t>du stress</w:t>
      </w:r>
      <w:r>
        <w:rPr>
          <w:color w:val="231F20"/>
          <w:spacing w:val="-11"/>
          <w:w w:val="120"/>
        </w:rPr>
        <w:t> </w:t>
      </w:r>
      <w:r>
        <w:rPr>
          <w:color w:val="231F20"/>
          <w:w w:val="120"/>
        </w:rPr>
        <w:t>auprès</w:t>
      </w:r>
      <w:r>
        <w:rPr>
          <w:color w:val="231F20"/>
          <w:spacing w:val="-11"/>
          <w:w w:val="120"/>
        </w:rPr>
        <w:t> </w:t>
      </w:r>
      <w:r>
        <w:rPr>
          <w:color w:val="231F20"/>
          <w:w w:val="120"/>
        </w:rPr>
        <w:t>de</w:t>
      </w:r>
      <w:r>
        <w:rPr>
          <w:color w:val="231F20"/>
          <w:spacing w:val="-11"/>
          <w:w w:val="120"/>
        </w:rPr>
        <w:t> </w:t>
      </w:r>
      <w:r>
        <w:rPr>
          <w:color w:val="231F20"/>
          <w:w w:val="120"/>
        </w:rPr>
        <w:t>ses</w:t>
      </w:r>
      <w:r>
        <w:rPr>
          <w:color w:val="231F20"/>
          <w:spacing w:val="-11"/>
          <w:w w:val="120"/>
        </w:rPr>
        <w:t> </w:t>
      </w:r>
      <w:r>
        <w:rPr>
          <w:color w:val="231F20"/>
          <w:w w:val="120"/>
        </w:rPr>
        <w:t>collaborateurs.</w:t>
      </w:r>
      <w:r>
        <w:rPr>
          <w:color w:val="231F20"/>
          <w:spacing w:val="-11"/>
          <w:w w:val="120"/>
        </w:rPr>
        <w:t> </w:t>
      </w:r>
      <w:r>
        <w:rPr>
          <w:color w:val="231F20"/>
          <w:w w:val="120"/>
        </w:rPr>
        <w:t>Cependant,</w:t>
      </w:r>
      <w:r>
        <w:rPr>
          <w:color w:val="231F20"/>
          <w:spacing w:val="-11"/>
          <w:w w:val="120"/>
        </w:rPr>
        <w:t> </w:t>
      </w:r>
      <w:r>
        <w:rPr>
          <w:color w:val="231F20"/>
          <w:w w:val="120"/>
        </w:rPr>
        <w:t>cette</w:t>
      </w:r>
      <w:r>
        <w:rPr>
          <w:color w:val="231F20"/>
          <w:spacing w:val="-11"/>
          <w:w w:val="120"/>
        </w:rPr>
        <w:t> </w:t>
      </w:r>
      <w:r>
        <w:rPr>
          <w:color w:val="231F20"/>
          <w:w w:val="120"/>
        </w:rPr>
        <w:t>fierté</w:t>
      </w:r>
      <w:r>
        <w:rPr>
          <w:color w:val="231F20"/>
          <w:spacing w:val="-11"/>
          <w:w w:val="120"/>
        </w:rPr>
        <w:t> </w:t>
      </w:r>
      <w:r>
        <w:rPr>
          <w:color w:val="231F20"/>
          <w:w w:val="120"/>
        </w:rPr>
        <w:t>têtue</w:t>
      </w:r>
      <w:r>
        <w:rPr>
          <w:color w:val="231F20"/>
          <w:spacing w:val="-11"/>
          <w:w w:val="120"/>
        </w:rPr>
        <w:t> </w:t>
      </w:r>
      <w:r>
        <w:rPr>
          <w:color w:val="231F20"/>
          <w:w w:val="120"/>
        </w:rPr>
        <w:t>du</w:t>
      </w:r>
      <w:r>
        <w:rPr>
          <w:color w:val="231F20"/>
          <w:spacing w:val="-11"/>
          <w:w w:val="120"/>
        </w:rPr>
        <w:t> </w:t>
      </w:r>
      <w:r>
        <w:rPr>
          <w:color w:val="231F20"/>
          <w:w w:val="120"/>
        </w:rPr>
        <w:t>ges- tionnaire</w:t>
      </w:r>
      <w:r>
        <w:rPr>
          <w:color w:val="231F20"/>
          <w:spacing w:val="-12"/>
          <w:w w:val="120"/>
        </w:rPr>
        <w:t> </w:t>
      </w:r>
      <w:r>
        <w:rPr>
          <w:color w:val="231F20"/>
          <w:w w:val="120"/>
        </w:rPr>
        <w:t>le</w:t>
      </w:r>
      <w:r>
        <w:rPr>
          <w:color w:val="231F20"/>
          <w:spacing w:val="-12"/>
          <w:w w:val="120"/>
        </w:rPr>
        <w:t> </w:t>
      </w:r>
      <w:r>
        <w:rPr>
          <w:color w:val="231F20"/>
          <w:w w:val="120"/>
        </w:rPr>
        <w:t>rend</w:t>
      </w:r>
      <w:r>
        <w:rPr>
          <w:color w:val="231F20"/>
          <w:spacing w:val="-12"/>
          <w:w w:val="120"/>
        </w:rPr>
        <w:t> </w:t>
      </w:r>
      <w:r>
        <w:rPr>
          <w:color w:val="231F20"/>
          <w:w w:val="120"/>
        </w:rPr>
        <w:t>parfois</w:t>
      </w:r>
      <w:r>
        <w:rPr>
          <w:color w:val="231F20"/>
          <w:spacing w:val="-12"/>
          <w:w w:val="120"/>
        </w:rPr>
        <w:t> </w:t>
      </w:r>
      <w:r>
        <w:rPr>
          <w:color w:val="231F20"/>
          <w:w w:val="120"/>
        </w:rPr>
        <w:t>très</w:t>
      </w:r>
      <w:r>
        <w:rPr>
          <w:color w:val="231F20"/>
          <w:spacing w:val="-12"/>
          <w:w w:val="120"/>
        </w:rPr>
        <w:t> </w:t>
      </w:r>
      <w:r>
        <w:rPr>
          <w:color w:val="231F20"/>
          <w:w w:val="120"/>
        </w:rPr>
        <w:t>novateur</w:t>
      </w:r>
      <w:r>
        <w:rPr>
          <w:color w:val="231F20"/>
          <w:spacing w:val="-12"/>
          <w:w w:val="120"/>
        </w:rPr>
        <w:t> </w:t>
      </w:r>
      <w:r>
        <w:rPr>
          <w:color w:val="231F20"/>
          <w:w w:val="120"/>
        </w:rPr>
        <w:t>en</w:t>
      </w:r>
      <w:r>
        <w:rPr>
          <w:color w:val="231F20"/>
          <w:spacing w:val="-12"/>
          <w:w w:val="120"/>
        </w:rPr>
        <w:t> </w:t>
      </w:r>
      <w:r>
        <w:rPr>
          <w:color w:val="231F20"/>
          <w:w w:val="120"/>
        </w:rPr>
        <w:t>raison</w:t>
      </w:r>
      <w:r>
        <w:rPr>
          <w:color w:val="231F20"/>
          <w:spacing w:val="-12"/>
          <w:w w:val="120"/>
        </w:rPr>
        <w:t> </w:t>
      </w:r>
      <w:r>
        <w:rPr>
          <w:color w:val="231F20"/>
          <w:w w:val="120"/>
        </w:rPr>
        <w:t>de</w:t>
      </w:r>
      <w:r>
        <w:rPr>
          <w:color w:val="231F20"/>
          <w:spacing w:val="-12"/>
          <w:w w:val="120"/>
        </w:rPr>
        <w:t> </w:t>
      </w:r>
      <w:r>
        <w:rPr>
          <w:color w:val="231F20"/>
          <w:w w:val="120"/>
        </w:rPr>
        <w:t>l’insensibilité</w:t>
      </w:r>
      <w:r>
        <w:rPr>
          <w:color w:val="231F20"/>
          <w:spacing w:val="-12"/>
          <w:w w:val="120"/>
        </w:rPr>
        <w:t> </w:t>
      </w:r>
      <w:r>
        <w:rPr>
          <w:color w:val="231F20"/>
          <w:w w:val="120"/>
        </w:rPr>
        <w:t>qu’il</w:t>
      </w:r>
      <w:r>
        <w:rPr>
          <w:color w:val="231F20"/>
          <w:spacing w:val="-12"/>
          <w:w w:val="120"/>
        </w:rPr>
        <w:t> </w:t>
      </w:r>
      <w:r>
        <w:rPr>
          <w:color w:val="231F20"/>
          <w:w w:val="120"/>
        </w:rPr>
        <w:t>a de</w:t>
      </w:r>
      <w:r>
        <w:rPr>
          <w:color w:val="231F20"/>
          <w:spacing w:val="-13"/>
          <w:w w:val="120"/>
        </w:rPr>
        <w:t> </w:t>
      </w:r>
      <w:r>
        <w:rPr>
          <w:color w:val="231F20"/>
          <w:w w:val="120"/>
        </w:rPr>
        <w:t>l’opinion</w:t>
      </w:r>
      <w:r>
        <w:rPr>
          <w:color w:val="231F20"/>
          <w:spacing w:val="-13"/>
          <w:w w:val="120"/>
        </w:rPr>
        <w:t> </w:t>
      </w:r>
      <w:r>
        <w:rPr>
          <w:color w:val="231F20"/>
          <w:w w:val="120"/>
        </w:rPr>
        <w:t>d’autrui,</w:t>
      </w:r>
      <w:r>
        <w:rPr>
          <w:color w:val="231F20"/>
          <w:spacing w:val="-13"/>
          <w:w w:val="120"/>
        </w:rPr>
        <w:t> </w:t>
      </w:r>
      <w:r>
        <w:rPr>
          <w:color w:val="231F20"/>
          <w:w w:val="120"/>
        </w:rPr>
        <w:t>et</w:t>
      </w:r>
      <w:r>
        <w:rPr>
          <w:color w:val="231F20"/>
          <w:spacing w:val="-12"/>
          <w:w w:val="120"/>
        </w:rPr>
        <w:t> </w:t>
      </w:r>
      <w:r>
        <w:rPr>
          <w:color w:val="231F20"/>
          <w:w w:val="120"/>
        </w:rPr>
        <w:t>cela</w:t>
      </w:r>
      <w:r>
        <w:rPr>
          <w:color w:val="231F20"/>
          <w:spacing w:val="-13"/>
          <w:w w:val="120"/>
        </w:rPr>
        <w:t> </w:t>
      </w:r>
      <w:r>
        <w:rPr>
          <w:color w:val="231F20"/>
          <w:w w:val="120"/>
        </w:rPr>
        <w:t>l’aide</w:t>
      </w:r>
      <w:r>
        <w:rPr>
          <w:color w:val="231F20"/>
          <w:spacing w:val="-13"/>
          <w:w w:val="120"/>
        </w:rPr>
        <w:t> </w:t>
      </w:r>
      <w:r>
        <w:rPr>
          <w:color w:val="231F20"/>
          <w:w w:val="120"/>
        </w:rPr>
        <w:t>à</w:t>
      </w:r>
      <w:r>
        <w:rPr>
          <w:color w:val="231F20"/>
          <w:spacing w:val="-13"/>
          <w:w w:val="120"/>
        </w:rPr>
        <w:t> </w:t>
      </w:r>
      <w:r>
        <w:rPr>
          <w:color w:val="231F20"/>
          <w:w w:val="120"/>
        </w:rPr>
        <w:t>concrétiser</w:t>
      </w:r>
      <w:r>
        <w:rPr>
          <w:color w:val="231F20"/>
          <w:spacing w:val="-12"/>
          <w:w w:val="120"/>
        </w:rPr>
        <w:t> </w:t>
      </w:r>
      <w:r>
        <w:rPr>
          <w:color w:val="231F20"/>
          <w:w w:val="120"/>
        </w:rPr>
        <w:t>de</w:t>
      </w:r>
      <w:r>
        <w:rPr>
          <w:color w:val="231F20"/>
          <w:spacing w:val="-13"/>
          <w:w w:val="120"/>
        </w:rPr>
        <w:t> </w:t>
      </w:r>
      <w:r>
        <w:rPr>
          <w:color w:val="231F20"/>
          <w:w w:val="120"/>
        </w:rPr>
        <w:t>nouvelles</w:t>
      </w:r>
      <w:r>
        <w:rPr>
          <w:color w:val="231F20"/>
          <w:spacing w:val="-13"/>
          <w:w w:val="120"/>
        </w:rPr>
        <w:t> </w:t>
      </w:r>
      <w:r>
        <w:rPr>
          <w:color w:val="231F20"/>
          <w:w w:val="120"/>
        </w:rPr>
        <w:t>idées</w:t>
      </w:r>
      <w:r>
        <w:rPr>
          <w:color w:val="231F20"/>
          <w:spacing w:val="-13"/>
          <w:w w:val="120"/>
        </w:rPr>
        <w:t> </w:t>
      </w:r>
      <w:r>
        <w:rPr>
          <w:color w:val="231F20"/>
          <w:w w:val="120"/>
        </w:rPr>
        <w:t>hors des sentiers battus, surtout si elles sont risquées et impopulaires.</w:t>
      </w:r>
    </w:p>
    <w:p>
      <w:pPr>
        <w:pStyle w:val="BodyText"/>
        <w:spacing w:line="307" w:lineRule="auto" w:before="78"/>
        <w:ind w:left="829" w:right="492" w:firstLine="250"/>
        <w:jc w:val="both"/>
      </w:pPr>
      <w:r>
        <w:rPr>
          <w:color w:val="231F20"/>
          <w:w w:val="120"/>
        </w:rPr>
        <w:t>Ce que commandent les organisations modernes, ce sont des entre- preneurs et des dirigeants déployant des valeurs profondes, chez qui</w:t>
      </w:r>
      <w:r>
        <w:rPr>
          <w:color w:val="231F20"/>
          <w:spacing w:val="80"/>
          <w:w w:val="120"/>
        </w:rPr>
        <w:t> </w:t>
      </w:r>
      <w:r>
        <w:rPr>
          <w:color w:val="231F20"/>
          <w:w w:val="120"/>
        </w:rPr>
        <w:t>le besoin d’accomplissement matériel s’harmonise à un grand besoin d’accomplissement éthique et émotionnel, produisant ainsi une solide 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3"/>
          <w:w w:val="120"/>
        </w:rPr>
        <w:t> </w:t>
      </w:r>
      <w:r>
        <w:rPr>
          <w:color w:val="231F20"/>
          <w:w w:val="120"/>
        </w:rPr>
        <w:t>et</w:t>
      </w:r>
      <w:r>
        <w:rPr>
          <w:color w:val="231F20"/>
          <w:spacing w:val="-12"/>
          <w:w w:val="120"/>
        </w:rPr>
        <w:t> </w:t>
      </w:r>
      <w:r>
        <w:rPr>
          <w:color w:val="231F20"/>
          <w:w w:val="120"/>
        </w:rPr>
        <w:t>un</w:t>
      </w:r>
      <w:r>
        <w:rPr>
          <w:color w:val="231F20"/>
          <w:spacing w:val="-13"/>
          <w:w w:val="120"/>
        </w:rPr>
        <w:t> </w:t>
      </w:r>
      <w:r>
        <w:rPr>
          <w:color w:val="231F20"/>
          <w:w w:val="120"/>
        </w:rPr>
        <w:t>sens</w:t>
      </w:r>
      <w:r>
        <w:rPr>
          <w:color w:val="231F20"/>
          <w:spacing w:val="-13"/>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w:t>
      </w:r>
      <w:r>
        <w:rPr>
          <w:color w:val="231F20"/>
          <w:spacing w:val="-13"/>
          <w:w w:val="120"/>
        </w:rPr>
        <w:t> </w:t>
      </w:r>
      <w:r>
        <w:rPr>
          <w:color w:val="231F20"/>
          <w:w w:val="120"/>
        </w:rPr>
        <w:t>réussite</w:t>
      </w:r>
      <w:r>
        <w:rPr>
          <w:color w:val="231F20"/>
          <w:spacing w:val="-9"/>
          <w:w w:val="120"/>
        </w:rPr>
        <w:t> </w:t>
      </w:r>
      <w:r>
        <w:rPr>
          <w:color w:val="231F20"/>
          <w:w w:val="120"/>
        </w:rPr>
        <w:t>dans</w:t>
      </w:r>
      <w:r>
        <w:rPr>
          <w:color w:val="231F20"/>
          <w:spacing w:val="-10"/>
          <w:w w:val="120"/>
        </w:rPr>
        <w:t> </w:t>
      </w:r>
      <w:r>
        <w:rPr>
          <w:color w:val="231F20"/>
          <w:w w:val="120"/>
        </w:rPr>
        <w:t>la</w:t>
      </w:r>
      <w:r>
        <w:rPr>
          <w:color w:val="231F20"/>
          <w:spacing w:val="-10"/>
          <w:w w:val="120"/>
        </w:rPr>
        <w:t> </w:t>
      </w:r>
      <w:r>
        <w:rPr>
          <w:color w:val="231F20"/>
          <w:w w:val="120"/>
        </w:rPr>
        <w:t>vie».</w:t>
      </w:r>
      <w:r>
        <w:rPr>
          <w:color w:val="231F20"/>
          <w:spacing w:val="-10"/>
          <w:w w:val="120"/>
        </w:rPr>
        <w:t> </w:t>
      </w:r>
      <w:r>
        <w:rPr>
          <w:color w:val="231F20"/>
          <w:w w:val="120"/>
        </w:rPr>
        <w:t>Si</w:t>
      </w:r>
      <w:r>
        <w:rPr>
          <w:color w:val="231F20"/>
          <w:spacing w:val="-10"/>
          <w:w w:val="120"/>
        </w:rPr>
        <w:t> </w:t>
      </w:r>
      <w:r>
        <w:rPr>
          <w:color w:val="231F20"/>
          <w:w w:val="120"/>
        </w:rPr>
        <w:t>les</w:t>
      </w:r>
      <w:r>
        <w:rPr>
          <w:color w:val="231F20"/>
          <w:spacing w:val="-10"/>
          <w:w w:val="120"/>
        </w:rPr>
        <w:t> </w:t>
      </w:r>
      <w:r>
        <w:rPr>
          <w:color w:val="231F20"/>
          <w:w w:val="120"/>
        </w:rPr>
        <w:t>changements adaptatifs cherchent l’optimisation ou la rationalisation, les change- ments transformatifs ont pour objet de réinventer le système, de le re- créer et de le réformer en instaurant de nouvelles convictions et en </w:t>
      </w:r>
      <w:r>
        <w:rPr>
          <w:color w:val="231F20"/>
          <w:spacing w:val="-2"/>
          <w:w w:val="120"/>
        </w:rPr>
        <w:t>légitimant</w:t>
      </w:r>
      <w:r>
        <w:rPr>
          <w:color w:val="231F20"/>
          <w:spacing w:val="-11"/>
          <w:w w:val="120"/>
        </w:rPr>
        <w:t> </w:t>
      </w:r>
      <w:r>
        <w:rPr>
          <w:color w:val="231F20"/>
          <w:spacing w:val="-2"/>
          <w:w w:val="120"/>
        </w:rPr>
        <w:t>la</w:t>
      </w:r>
      <w:r>
        <w:rPr>
          <w:color w:val="231F20"/>
          <w:spacing w:val="-11"/>
          <w:w w:val="120"/>
        </w:rPr>
        <w:t> </w:t>
      </w:r>
      <w:r>
        <w:rPr>
          <w:color w:val="231F20"/>
          <w:spacing w:val="-2"/>
          <w:w w:val="120"/>
        </w:rPr>
        <w:t>valeur</w:t>
      </w:r>
      <w:r>
        <w:rPr>
          <w:color w:val="231F20"/>
          <w:spacing w:val="-11"/>
          <w:w w:val="120"/>
        </w:rPr>
        <w:t> </w:t>
      </w:r>
      <w:r>
        <w:rPr>
          <w:color w:val="231F20"/>
          <w:spacing w:val="-2"/>
          <w:w w:val="120"/>
        </w:rPr>
        <w:t>du</w:t>
      </w:r>
      <w:r>
        <w:rPr>
          <w:color w:val="231F20"/>
          <w:spacing w:val="-10"/>
          <w:w w:val="120"/>
        </w:rPr>
        <w:t> </w:t>
      </w:r>
      <w:r>
        <w:rPr>
          <w:color w:val="231F20"/>
          <w:spacing w:val="-2"/>
          <w:w w:val="120"/>
        </w:rPr>
        <w:t>potentiel</w:t>
      </w:r>
      <w:r>
        <w:rPr>
          <w:color w:val="231F20"/>
          <w:spacing w:val="-11"/>
          <w:w w:val="120"/>
        </w:rPr>
        <w:t> </w:t>
      </w:r>
      <w:r>
        <w:rPr>
          <w:color w:val="231F20"/>
          <w:spacing w:val="-2"/>
          <w:w w:val="120"/>
        </w:rPr>
        <w:t>d’action</w:t>
      </w:r>
      <w:r>
        <w:rPr>
          <w:color w:val="231F20"/>
          <w:spacing w:val="-11"/>
          <w:w w:val="120"/>
        </w:rPr>
        <w:t> </w:t>
      </w:r>
      <w:r>
        <w:rPr>
          <w:color w:val="231F20"/>
          <w:spacing w:val="-2"/>
          <w:w w:val="120"/>
        </w:rPr>
        <w:t>émergent.</w:t>
      </w:r>
      <w:r>
        <w:rPr>
          <w:color w:val="231F20"/>
          <w:spacing w:val="-11"/>
          <w:w w:val="120"/>
        </w:rPr>
        <w:t> </w:t>
      </w:r>
      <w:r>
        <w:rPr>
          <w:color w:val="231F20"/>
          <w:spacing w:val="-2"/>
          <w:w w:val="120"/>
        </w:rPr>
        <w:t>Si,</w:t>
      </w:r>
      <w:r>
        <w:rPr>
          <w:color w:val="231F20"/>
          <w:spacing w:val="-10"/>
          <w:w w:val="120"/>
        </w:rPr>
        <w:t> </w:t>
      </w:r>
      <w:r>
        <w:rPr>
          <w:color w:val="231F20"/>
          <w:spacing w:val="-2"/>
          <w:w w:val="120"/>
        </w:rPr>
        <w:t>pour</w:t>
      </w:r>
      <w:r>
        <w:rPr>
          <w:color w:val="231F20"/>
          <w:spacing w:val="-11"/>
          <w:w w:val="120"/>
        </w:rPr>
        <w:t> </w:t>
      </w:r>
      <w:r>
        <w:rPr>
          <w:color w:val="231F20"/>
          <w:spacing w:val="-2"/>
          <w:w w:val="120"/>
        </w:rPr>
        <w:t>effectuer</w:t>
      </w:r>
      <w:r>
        <w:rPr>
          <w:color w:val="231F20"/>
          <w:spacing w:val="-11"/>
          <w:w w:val="120"/>
        </w:rPr>
        <w:t> </w:t>
      </w:r>
      <w:r>
        <w:rPr>
          <w:color w:val="231F20"/>
          <w:spacing w:val="-2"/>
          <w:w w:val="120"/>
        </w:rPr>
        <w:t>des </w:t>
      </w:r>
      <w:r>
        <w:rPr>
          <w:color w:val="231F20"/>
          <w:w w:val="120"/>
        </w:rPr>
        <w:t>changements</w:t>
      </w:r>
      <w:r>
        <w:rPr>
          <w:color w:val="231F20"/>
          <w:spacing w:val="-13"/>
          <w:w w:val="120"/>
        </w:rPr>
        <w:t> </w:t>
      </w:r>
      <w:r>
        <w:rPr>
          <w:color w:val="231F20"/>
          <w:w w:val="120"/>
        </w:rPr>
        <w:t>adaptatifs,</w:t>
      </w:r>
      <w:r>
        <w:rPr>
          <w:color w:val="231F20"/>
          <w:spacing w:val="-13"/>
          <w:w w:val="120"/>
        </w:rPr>
        <w:t> </w:t>
      </w:r>
      <w:r>
        <w:rPr>
          <w:color w:val="231F20"/>
          <w:w w:val="120"/>
        </w:rPr>
        <w:t>il</w:t>
      </w:r>
      <w:r>
        <w:rPr>
          <w:color w:val="231F20"/>
          <w:spacing w:val="-13"/>
          <w:w w:val="120"/>
        </w:rPr>
        <w:t> </w:t>
      </w:r>
      <w:r>
        <w:rPr>
          <w:color w:val="231F20"/>
          <w:w w:val="120"/>
        </w:rPr>
        <w:t>faut</w:t>
      </w:r>
      <w:r>
        <w:rPr>
          <w:color w:val="231F20"/>
          <w:spacing w:val="-12"/>
          <w:w w:val="120"/>
        </w:rPr>
        <w:t> </w:t>
      </w:r>
      <w:r>
        <w:rPr>
          <w:color w:val="231F20"/>
          <w:w w:val="120"/>
        </w:rPr>
        <w:t>des</w:t>
      </w:r>
      <w:r>
        <w:rPr>
          <w:color w:val="231F20"/>
          <w:spacing w:val="-13"/>
          <w:w w:val="120"/>
        </w:rPr>
        <w:t> </w:t>
      </w:r>
      <w:r>
        <w:rPr>
          <w:color w:val="231F20"/>
          <w:w w:val="120"/>
        </w:rPr>
        <w:t>gestionnaires</w:t>
      </w:r>
      <w:r>
        <w:rPr>
          <w:color w:val="231F20"/>
          <w:spacing w:val="-13"/>
          <w:w w:val="120"/>
        </w:rPr>
        <w:t> </w:t>
      </w:r>
      <w:r>
        <w:rPr>
          <w:color w:val="231F20"/>
          <w:w w:val="120"/>
        </w:rPr>
        <w:t>capables</w:t>
      </w:r>
      <w:r>
        <w:rPr>
          <w:color w:val="231F20"/>
          <w:spacing w:val="-13"/>
          <w:w w:val="120"/>
        </w:rPr>
        <w:t> </w:t>
      </w:r>
      <w:r>
        <w:rPr>
          <w:color w:val="231F20"/>
          <w:w w:val="120"/>
        </w:rPr>
        <w:t>de</w:t>
      </w:r>
      <w:r>
        <w:rPr>
          <w:color w:val="231F20"/>
          <w:spacing w:val="-12"/>
          <w:w w:val="120"/>
        </w:rPr>
        <w:t> </w:t>
      </w:r>
      <w:r>
        <w:rPr>
          <w:color w:val="231F20"/>
          <w:w w:val="120"/>
        </w:rPr>
        <w:t>manier</w:t>
      </w:r>
      <w:r>
        <w:rPr>
          <w:color w:val="231F20"/>
          <w:spacing w:val="-13"/>
          <w:w w:val="120"/>
        </w:rPr>
        <w:t> </w:t>
      </w:r>
      <w:r>
        <w:rPr>
          <w:color w:val="231F20"/>
          <w:w w:val="120"/>
        </w:rPr>
        <w:t>les chiffres, les changements transformatifs exigent plutôt des dirigeants </w:t>
      </w:r>
      <w:r>
        <w:rPr>
          <w:color w:val="231F20"/>
          <w:spacing w:val="-2"/>
          <w:w w:val="120"/>
        </w:rPr>
        <w:t>aptes</w:t>
      </w:r>
      <w:r>
        <w:rPr>
          <w:color w:val="231F20"/>
          <w:spacing w:val="-7"/>
          <w:w w:val="120"/>
        </w:rPr>
        <w:t> </w:t>
      </w:r>
      <w:r>
        <w:rPr>
          <w:color w:val="231F20"/>
          <w:spacing w:val="-2"/>
          <w:w w:val="120"/>
        </w:rPr>
        <w:t>à</w:t>
      </w:r>
      <w:r>
        <w:rPr>
          <w:color w:val="231F20"/>
          <w:spacing w:val="-7"/>
          <w:w w:val="120"/>
        </w:rPr>
        <w:t> </w:t>
      </w:r>
      <w:r>
        <w:rPr>
          <w:color w:val="231F20"/>
          <w:spacing w:val="-2"/>
          <w:w w:val="120"/>
        </w:rPr>
        <w:t>légitimer</w:t>
      </w:r>
      <w:r>
        <w:rPr>
          <w:color w:val="231F20"/>
          <w:spacing w:val="-7"/>
          <w:w w:val="120"/>
        </w:rPr>
        <w:t> </w:t>
      </w:r>
      <w:r>
        <w:rPr>
          <w:color w:val="231F20"/>
          <w:spacing w:val="-2"/>
          <w:w w:val="120"/>
        </w:rPr>
        <w:t>de</w:t>
      </w:r>
      <w:r>
        <w:rPr>
          <w:color w:val="231F20"/>
          <w:spacing w:val="-7"/>
          <w:w w:val="120"/>
        </w:rPr>
        <w:t> </w:t>
      </w:r>
      <w:r>
        <w:rPr>
          <w:color w:val="231F20"/>
          <w:spacing w:val="-2"/>
          <w:w w:val="120"/>
        </w:rPr>
        <w:t>nouvelles</w:t>
      </w:r>
      <w:r>
        <w:rPr>
          <w:color w:val="231F20"/>
          <w:spacing w:val="-7"/>
          <w:w w:val="120"/>
        </w:rPr>
        <w:t> </w:t>
      </w:r>
      <w:r>
        <w:rPr>
          <w:color w:val="231F20"/>
          <w:spacing w:val="-2"/>
          <w:w w:val="120"/>
        </w:rPr>
        <w:t>valeurs</w:t>
      </w:r>
      <w:r>
        <w:rPr>
          <w:color w:val="231F20"/>
          <w:spacing w:val="-7"/>
          <w:w w:val="120"/>
        </w:rPr>
        <w:t> </w:t>
      </w:r>
      <w:r>
        <w:rPr>
          <w:color w:val="231F20"/>
          <w:spacing w:val="-2"/>
          <w:w w:val="120"/>
        </w:rPr>
        <w:t>et</w:t>
      </w:r>
      <w:r>
        <w:rPr>
          <w:color w:val="231F20"/>
          <w:spacing w:val="-7"/>
          <w:w w:val="120"/>
        </w:rPr>
        <w:t> </w:t>
      </w:r>
      <w:r>
        <w:rPr>
          <w:color w:val="231F20"/>
          <w:spacing w:val="-2"/>
          <w:w w:val="120"/>
        </w:rPr>
        <w:t>à</w:t>
      </w:r>
      <w:r>
        <w:rPr>
          <w:color w:val="231F20"/>
          <w:spacing w:val="-7"/>
          <w:w w:val="120"/>
        </w:rPr>
        <w:t> </w:t>
      </w:r>
      <w:r>
        <w:rPr>
          <w:color w:val="231F20"/>
          <w:spacing w:val="-2"/>
          <w:w w:val="120"/>
        </w:rPr>
        <w:t>en</w:t>
      </w:r>
      <w:r>
        <w:rPr>
          <w:color w:val="231F20"/>
          <w:spacing w:val="-7"/>
          <w:w w:val="120"/>
        </w:rPr>
        <w:t> </w:t>
      </w:r>
      <w:r>
        <w:rPr>
          <w:color w:val="231F20"/>
          <w:spacing w:val="-2"/>
          <w:w w:val="120"/>
        </w:rPr>
        <w:t>amorcer</w:t>
      </w:r>
      <w:r>
        <w:rPr>
          <w:color w:val="231F20"/>
          <w:spacing w:val="-7"/>
          <w:w w:val="120"/>
        </w:rPr>
        <w:t> </w:t>
      </w:r>
      <w:r>
        <w:rPr>
          <w:color w:val="231F20"/>
          <w:spacing w:val="-2"/>
          <w:w w:val="120"/>
        </w:rPr>
        <w:t>la</w:t>
      </w:r>
      <w:r>
        <w:rPr>
          <w:color w:val="231F20"/>
          <w:spacing w:val="-7"/>
          <w:w w:val="120"/>
        </w:rPr>
        <w:t> </w:t>
      </w:r>
      <w:r>
        <w:rPr>
          <w:color w:val="231F20"/>
          <w:spacing w:val="-2"/>
          <w:w w:val="120"/>
        </w:rPr>
        <w:t>construction,</w:t>
      </w:r>
      <w:r>
        <w:rPr>
          <w:color w:val="231F20"/>
          <w:spacing w:val="-7"/>
          <w:w w:val="120"/>
        </w:rPr>
        <w:t> </w:t>
      </w:r>
      <w:r>
        <w:rPr>
          <w:color w:val="231F20"/>
          <w:spacing w:val="-2"/>
          <w:w w:val="120"/>
        </w:rPr>
        <w:t>en </w:t>
      </w:r>
      <w:r>
        <w:rPr>
          <w:color w:val="231F20"/>
          <w:w w:val="120"/>
        </w:rPr>
        <w:t>commençant par eux-mêmes, bien sûr.</w:t>
      </w:r>
    </w:p>
    <w:p>
      <w:pPr>
        <w:pStyle w:val="BodyText"/>
        <w:spacing w:line="307" w:lineRule="auto" w:before="78"/>
        <w:ind w:left="829" w:right="496" w:firstLine="250"/>
        <w:jc w:val="both"/>
      </w:pPr>
      <w:r>
        <w:rPr>
          <w:color w:val="231F20"/>
          <w:spacing w:val="-2"/>
          <w:w w:val="120"/>
        </w:rPr>
        <w:t>Aujourd’hui,</w:t>
      </w:r>
      <w:r>
        <w:rPr>
          <w:color w:val="231F20"/>
          <w:spacing w:val="-6"/>
          <w:w w:val="120"/>
        </w:rPr>
        <w:t> </w:t>
      </w:r>
      <w:r>
        <w:rPr>
          <w:color w:val="231F20"/>
          <w:spacing w:val="-2"/>
          <w:w w:val="120"/>
        </w:rPr>
        <w:t>la</w:t>
      </w:r>
      <w:r>
        <w:rPr>
          <w:color w:val="231F20"/>
          <w:spacing w:val="-6"/>
          <w:w w:val="120"/>
        </w:rPr>
        <w:t> </w:t>
      </w:r>
      <w:r>
        <w:rPr>
          <w:color w:val="231F20"/>
          <w:spacing w:val="-2"/>
          <w:w w:val="120"/>
        </w:rPr>
        <w:t>plupart</w:t>
      </w:r>
      <w:r>
        <w:rPr>
          <w:color w:val="231F20"/>
          <w:spacing w:val="-6"/>
          <w:w w:val="120"/>
        </w:rPr>
        <w:t> </w:t>
      </w:r>
      <w:r>
        <w:rPr>
          <w:color w:val="231F20"/>
          <w:spacing w:val="-2"/>
          <w:w w:val="120"/>
        </w:rPr>
        <w:t>des</w:t>
      </w:r>
      <w:r>
        <w:rPr>
          <w:color w:val="231F20"/>
          <w:spacing w:val="-6"/>
          <w:w w:val="120"/>
        </w:rPr>
        <w:t> </w:t>
      </w:r>
      <w:r>
        <w:rPr>
          <w:color w:val="231F20"/>
          <w:spacing w:val="-2"/>
          <w:w w:val="120"/>
        </w:rPr>
        <w:t>entreprises</w:t>
      </w:r>
      <w:r>
        <w:rPr>
          <w:color w:val="231F20"/>
          <w:spacing w:val="-6"/>
          <w:w w:val="120"/>
        </w:rPr>
        <w:t> </w:t>
      </w:r>
      <w:r>
        <w:rPr>
          <w:color w:val="231F20"/>
          <w:spacing w:val="-2"/>
          <w:w w:val="120"/>
        </w:rPr>
        <w:t>ont</w:t>
      </w:r>
      <w:r>
        <w:rPr>
          <w:color w:val="231F20"/>
          <w:spacing w:val="-6"/>
          <w:w w:val="120"/>
        </w:rPr>
        <w:t> </w:t>
      </w:r>
      <w:r>
        <w:rPr>
          <w:color w:val="231F20"/>
          <w:spacing w:val="-2"/>
          <w:w w:val="120"/>
        </w:rPr>
        <w:t>des</w:t>
      </w:r>
      <w:r>
        <w:rPr>
          <w:color w:val="231F20"/>
          <w:spacing w:val="-6"/>
          <w:w w:val="120"/>
        </w:rPr>
        <w:t> </w:t>
      </w:r>
      <w:r>
        <w:rPr>
          <w:color w:val="231F20"/>
          <w:spacing w:val="-2"/>
          <w:w w:val="120"/>
        </w:rPr>
        <w:t>gestionnaires</w:t>
      </w:r>
      <w:r>
        <w:rPr>
          <w:color w:val="231F20"/>
          <w:spacing w:val="-6"/>
          <w:w w:val="120"/>
        </w:rPr>
        <w:t> </w:t>
      </w:r>
      <w:r>
        <w:rPr>
          <w:color w:val="231F20"/>
          <w:spacing w:val="-2"/>
          <w:w w:val="120"/>
        </w:rPr>
        <w:t>relative- </w:t>
      </w:r>
      <w:r>
        <w:rPr>
          <w:color w:val="231F20"/>
          <w:w w:val="120"/>
        </w:rPr>
        <w:t>ment</w:t>
      </w:r>
      <w:r>
        <w:rPr>
          <w:color w:val="231F20"/>
          <w:spacing w:val="-8"/>
          <w:w w:val="120"/>
        </w:rPr>
        <w:t> </w:t>
      </w:r>
      <w:r>
        <w:rPr>
          <w:color w:val="231F20"/>
          <w:w w:val="120"/>
        </w:rPr>
        <w:t>doués</w:t>
      </w:r>
      <w:r>
        <w:rPr>
          <w:color w:val="231F20"/>
          <w:spacing w:val="-8"/>
          <w:w w:val="120"/>
        </w:rPr>
        <w:t> </w:t>
      </w:r>
      <w:r>
        <w:rPr>
          <w:color w:val="231F20"/>
          <w:w w:val="120"/>
        </w:rPr>
        <w:t>pour</w:t>
      </w:r>
      <w:r>
        <w:rPr>
          <w:color w:val="231F20"/>
          <w:spacing w:val="-8"/>
          <w:w w:val="120"/>
        </w:rPr>
        <w:t> </w:t>
      </w:r>
      <w:r>
        <w:rPr>
          <w:color w:val="231F20"/>
          <w:w w:val="120"/>
        </w:rPr>
        <w:t>gérer</w:t>
      </w:r>
      <w:r>
        <w:rPr>
          <w:color w:val="231F20"/>
          <w:spacing w:val="-8"/>
          <w:w w:val="120"/>
        </w:rPr>
        <w:t> </w:t>
      </w:r>
      <w:r>
        <w:rPr>
          <w:color w:val="231F20"/>
          <w:w w:val="120"/>
        </w:rPr>
        <w:t>le</w:t>
      </w:r>
      <w:r>
        <w:rPr>
          <w:color w:val="231F20"/>
          <w:spacing w:val="-8"/>
          <w:w w:val="120"/>
        </w:rPr>
        <w:t> </w:t>
      </w:r>
      <w:r>
        <w:rPr>
          <w:i/>
          <w:color w:val="231F20"/>
          <w:w w:val="120"/>
        </w:rPr>
        <w:t>statu</w:t>
      </w:r>
      <w:r>
        <w:rPr>
          <w:i/>
          <w:color w:val="231F20"/>
          <w:spacing w:val="-8"/>
          <w:w w:val="120"/>
        </w:rPr>
        <w:t> </w:t>
      </w:r>
      <w:r>
        <w:rPr>
          <w:i/>
          <w:color w:val="231F20"/>
          <w:w w:val="120"/>
        </w:rPr>
        <w:t>quo</w:t>
      </w:r>
      <w:r>
        <w:rPr>
          <w:i/>
          <w:color w:val="231F20"/>
          <w:spacing w:val="-8"/>
          <w:w w:val="120"/>
        </w:rPr>
        <w:t> </w:t>
      </w:r>
      <w:r>
        <w:rPr>
          <w:color w:val="231F20"/>
          <w:w w:val="120"/>
        </w:rPr>
        <w:t>et</w:t>
      </w:r>
      <w:r>
        <w:rPr>
          <w:color w:val="231F20"/>
          <w:spacing w:val="-8"/>
          <w:w w:val="120"/>
        </w:rPr>
        <w:t> </w:t>
      </w:r>
      <w:r>
        <w:rPr>
          <w:color w:val="231F20"/>
          <w:w w:val="120"/>
        </w:rPr>
        <w:t>qui</w:t>
      </w:r>
      <w:r>
        <w:rPr>
          <w:color w:val="231F20"/>
          <w:spacing w:val="-8"/>
          <w:w w:val="120"/>
        </w:rPr>
        <w:t> </w:t>
      </w:r>
      <w:r>
        <w:rPr>
          <w:color w:val="231F20"/>
          <w:w w:val="120"/>
        </w:rPr>
        <w:t>réussissent</w:t>
      </w:r>
      <w:r>
        <w:rPr>
          <w:color w:val="231F20"/>
          <w:spacing w:val="-8"/>
          <w:w w:val="120"/>
        </w:rPr>
        <w:t> </w:t>
      </w:r>
      <w:r>
        <w:rPr>
          <w:color w:val="231F20"/>
          <w:w w:val="120"/>
        </w:rPr>
        <w:t>ainsi</w:t>
      </w:r>
      <w:r>
        <w:rPr>
          <w:color w:val="231F20"/>
          <w:spacing w:val="-8"/>
          <w:w w:val="120"/>
        </w:rPr>
        <w:t> </w:t>
      </w:r>
      <w:r>
        <w:rPr>
          <w:color w:val="231F20"/>
          <w:w w:val="120"/>
        </w:rPr>
        <w:t>à</w:t>
      </w:r>
      <w:r>
        <w:rPr>
          <w:color w:val="231F20"/>
          <w:spacing w:val="-8"/>
          <w:w w:val="120"/>
        </w:rPr>
        <w:t> </w:t>
      </w:r>
      <w:r>
        <w:rPr>
          <w:color w:val="231F20"/>
          <w:w w:val="120"/>
        </w:rPr>
        <w:t>accroître</w:t>
      </w:r>
      <w:r>
        <w:rPr>
          <w:color w:val="231F20"/>
          <w:spacing w:val="-8"/>
          <w:w w:val="120"/>
        </w:rPr>
        <w:t> </w:t>
      </w:r>
      <w:r>
        <w:rPr>
          <w:color w:val="231F20"/>
          <w:w w:val="120"/>
        </w:rPr>
        <w:t>le </w:t>
      </w:r>
      <w:r>
        <w:rPr>
          <w:color w:val="231F20"/>
          <w:w w:val="115"/>
        </w:rPr>
        <w:t>niveau</w:t>
      </w:r>
      <w:r>
        <w:rPr>
          <w:color w:val="231F20"/>
          <w:spacing w:val="-2"/>
          <w:w w:val="115"/>
        </w:rPr>
        <w:t> </w:t>
      </w:r>
      <w:r>
        <w:rPr>
          <w:color w:val="231F20"/>
          <w:w w:val="115"/>
        </w:rPr>
        <w:t>d’efficacité</w:t>
      </w:r>
      <w:r>
        <w:rPr>
          <w:color w:val="231F20"/>
          <w:spacing w:val="-2"/>
          <w:w w:val="115"/>
        </w:rPr>
        <w:t> </w:t>
      </w:r>
      <w:r>
        <w:rPr>
          <w:color w:val="231F20"/>
          <w:w w:val="115"/>
        </w:rPr>
        <w:t>du</w:t>
      </w:r>
      <w:r>
        <w:rPr>
          <w:color w:val="231F20"/>
          <w:spacing w:val="-2"/>
          <w:w w:val="115"/>
        </w:rPr>
        <w:t> </w:t>
      </w:r>
      <w:r>
        <w:rPr>
          <w:color w:val="231F20"/>
          <w:w w:val="115"/>
        </w:rPr>
        <w:t>système.</w:t>
      </w:r>
      <w:r>
        <w:rPr>
          <w:color w:val="231F20"/>
          <w:spacing w:val="-2"/>
          <w:w w:val="115"/>
        </w:rPr>
        <w:t> </w:t>
      </w:r>
      <w:r>
        <w:rPr>
          <w:color w:val="231F20"/>
          <w:w w:val="115"/>
        </w:rPr>
        <w:t>Ce</w:t>
      </w:r>
      <w:r>
        <w:rPr>
          <w:color w:val="231F20"/>
          <w:spacing w:val="-2"/>
          <w:w w:val="115"/>
        </w:rPr>
        <w:t> </w:t>
      </w:r>
      <w:r>
        <w:rPr>
          <w:color w:val="231F20"/>
          <w:w w:val="115"/>
        </w:rPr>
        <w:t>qui</w:t>
      </w:r>
      <w:r>
        <w:rPr>
          <w:color w:val="231F20"/>
          <w:spacing w:val="-2"/>
          <w:w w:val="115"/>
        </w:rPr>
        <w:t> </w:t>
      </w:r>
      <w:r>
        <w:rPr>
          <w:color w:val="231F20"/>
          <w:w w:val="115"/>
        </w:rPr>
        <w:t>manque</w:t>
      </w:r>
      <w:r>
        <w:rPr>
          <w:color w:val="231F20"/>
          <w:spacing w:val="-2"/>
          <w:w w:val="115"/>
        </w:rPr>
        <w:t> </w:t>
      </w:r>
      <w:r>
        <w:rPr>
          <w:color w:val="231F20"/>
          <w:w w:val="115"/>
        </w:rPr>
        <w:t>le</w:t>
      </w:r>
      <w:r>
        <w:rPr>
          <w:color w:val="231F20"/>
          <w:spacing w:val="-2"/>
          <w:w w:val="115"/>
        </w:rPr>
        <w:t> </w:t>
      </w:r>
      <w:r>
        <w:rPr>
          <w:color w:val="231F20"/>
          <w:w w:val="115"/>
        </w:rPr>
        <w:t>plus</w:t>
      </w:r>
      <w:r>
        <w:rPr>
          <w:color w:val="231F20"/>
          <w:spacing w:val="-2"/>
          <w:w w:val="115"/>
        </w:rPr>
        <w:t> </w:t>
      </w:r>
      <w:r>
        <w:rPr>
          <w:color w:val="231F20"/>
          <w:w w:val="115"/>
        </w:rPr>
        <w:t>aux</w:t>
      </w:r>
      <w:r>
        <w:rPr>
          <w:color w:val="231F20"/>
          <w:spacing w:val="-2"/>
          <w:w w:val="115"/>
        </w:rPr>
        <w:t> </w:t>
      </w:r>
      <w:r>
        <w:rPr>
          <w:color w:val="231F20"/>
          <w:w w:val="115"/>
        </w:rPr>
        <w:t>entreprises,</w:t>
      </w:r>
      <w:r>
        <w:rPr>
          <w:color w:val="231F20"/>
          <w:spacing w:val="-2"/>
          <w:w w:val="115"/>
        </w:rPr>
        <w:t> </w:t>
      </w:r>
      <w:r>
        <w:rPr>
          <w:color w:val="231F20"/>
          <w:w w:val="115"/>
        </w:rPr>
        <w:t>ce sont</w:t>
      </w:r>
      <w:r>
        <w:rPr>
          <w:color w:val="231F20"/>
          <w:spacing w:val="-13"/>
          <w:w w:val="115"/>
        </w:rPr>
        <w:t> </w:t>
      </w:r>
      <w:r>
        <w:rPr>
          <w:color w:val="231F20"/>
          <w:w w:val="115"/>
        </w:rPr>
        <w:t>des</w:t>
      </w:r>
      <w:r>
        <w:rPr>
          <w:color w:val="231F20"/>
          <w:spacing w:val="-12"/>
          <w:w w:val="115"/>
        </w:rPr>
        <w:t> </w:t>
      </w:r>
      <w:r>
        <w:rPr>
          <w:color w:val="231F20"/>
          <w:w w:val="115"/>
        </w:rPr>
        <w:t>dirigeants</w:t>
      </w:r>
      <w:r>
        <w:rPr>
          <w:color w:val="231F20"/>
          <w:spacing w:val="-3"/>
          <w:w w:val="115"/>
        </w:rPr>
        <w:t> </w:t>
      </w:r>
      <w:r>
        <w:rPr>
          <w:color w:val="231F20"/>
          <w:w w:val="115"/>
        </w:rPr>
        <w:t>capables de se demander: «</w:t>
      </w:r>
      <w:r>
        <w:rPr>
          <w:color w:val="231F20"/>
          <w:spacing w:val="-13"/>
          <w:w w:val="115"/>
        </w:rPr>
        <w:t> </w:t>
      </w:r>
      <w:r>
        <w:rPr>
          <w:i/>
          <w:color w:val="231F20"/>
          <w:w w:val="115"/>
        </w:rPr>
        <w:t>À quel coût?</w:t>
      </w:r>
      <w:r>
        <w:rPr>
          <w:i/>
          <w:color w:val="231F20"/>
          <w:spacing w:val="-13"/>
          <w:w w:val="115"/>
        </w:rPr>
        <w:t> </w:t>
      </w:r>
      <w:r>
        <w:rPr>
          <w:color w:val="231F20"/>
          <w:w w:val="115"/>
        </w:rPr>
        <w:t>» Il se trouve </w:t>
      </w:r>
      <w:r>
        <w:rPr>
          <w:color w:val="231F20"/>
          <w:w w:val="120"/>
        </w:rPr>
        <w:t>aussi</w:t>
      </w:r>
      <w:r>
        <w:rPr>
          <w:color w:val="231F20"/>
          <w:spacing w:val="-13"/>
          <w:w w:val="120"/>
        </w:rPr>
        <w:t> </w:t>
      </w:r>
      <w:r>
        <w:rPr>
          <w:color w:val="231F20"/>
          <w:w w:val="120"/>
        </w:rPr>
        <w:t>une</w:t>
      </w:r>
      <w:r>
        <w:rPr>
          <w:color w:val="231F20"/>
          <w:spacing w:val="-13"/>
          <w:w w:val="120"/>
        </w:rPr>
        <w:t> </w:t>
      </w:r>
      <w:r>
        <w:rPr>
          <w:color w:val="231F20"/>
          <w:w w:val="120"/>
        </w:rPr>
        <w:t>bonne</w:t>
      </w:r>
      <w:r>
        <w:rPr>
          <w:color w:val="231F20"/>
          <w:spacing w:val="-13"/>
          <w:w w:val="120"/>
        </w:rPr>
        <w:t> </w:t>
      </w:r>
      <w:r>
        <w:rPr>
          <w:color w:val="231F20"/>
          <w:w w:val="120"/>
        </w:rPr>
        <w:t>part</w:t>
      </w:r>
      <w:r>
        <w:rPr>
          <w:color w:val="231F20"/>
          <w:spacing w:val="-12"/>
          <w:w w:val="120"/>
        </w:rPr>
        <w:t> </w:t>
      </w:r>
      <w:r>
        <w:rPr>
          <w:color w:val="231F20"/>
          <w:w w:val="120"/>
        </w:rPr>
        <w:t>de</w:t>
      </w:r>
      <w:r>
        <w:rPr>
          <w:color w:val="231F20"/>
          <w:spacing w:val="-13"/>
          <w:w w:val="120"/>
        </w:rPr>
        <w:t> </w:t>
      </w:r>
      <w:r>
        <w:rPr>
          <w:color w:val="231F20"/>
          <w:w w:val="120"/>
        </w:rPr>
        <w:t>cadres</w:t>
      </w:r>
      <w:r>
        <w:rPr>
          <w:color w:val="231F20"/>
          <w:spacing w:val="-8"/>
          <w:w w:val="120"/>
        </w:rPr>
        <w:t> </w:t>
      </w:r>
      <w:r>
        <w:rPr>
          <w:color w:val="231F20"/>
          <w:w w:val="120"/>
        </w:rPr>
        <w:t>dirigeants</w:t>
      </w:r>
      <w:r>
        <w:rPr>
          <w:color w:val="231F20"/>
          <w:spacing w:val="-9"/>
          <w:w w:val="120"/>
        </w:rPr>
        <w:t> </w:t>
      </w:r>
      <w:r>
        <w:rPr>
          <w:color w:val="231F20"/>
          <w:w w:val="120"/>
        </w:rPr>
        <w:t>«</w:t>
      </w:r>
      <w:r>
        <w:rPr>
          <w:color w:val="231F20"/>
          <w:spacing w:val="-13"/>
          <w:w w:val="120"/>
        </w:rPr>
        <w:t> </w:t>
      </w:r>
      <w:r>
        <w:rPr>
          <w:color w:val="231F20"/>
          <w:w w:val="120"/>
        </w:rPr>
        <w:t>dystopiques»</w:t>
      </w:r>
      <w:r>
        <w:rPr>
          <w:color w:val="231F20"/>
          <w:spacing w:val="-8"/>
          <w:w w:val="120"/>
        </w:rPr>
        <w:t> </w:t>
      </w:r>
      <w:r>
        <w:rPr>
          <w:color w:val="231F20"/>
          <w:w w:val="120"/>
        </w:rPr>
        <w:t>qui,</w:t>
      </w:r>
      <w:r>
        <w:rPr>
          <w:color w:val="231F20"/>
          <w:spacing w:val="-9"/>
          <w:w w:val="120"/>
        </w:rPr>
        <w:t> </w:t>
      </w:r>
      <w:r>
        <w:rPr>
          <w:color w:val="231F20"/>
          <w:w w:val="120"/>
        </w:rPr>
        <w:t>à</w:t>
      </w:r>
      <w:r>
        <w:rPr>
          <w:color w:val="231F20"/>
          <w:spacing w:val="-9"/>
          <w:w w:val="120"/>
        </w:rPr>
        <w:t> </w:t>
      </w:r>
      <w:r>
        <w:rPr>
          <w:color w:val="231F20"/>
          <w:w w:val="120"/>
        </w:rPr>
        <w:t>force</w:t>
      </w:r>
      <w:r>
        <w:rPr>
          <w:color w:val="231F20"/>
          <w:spacing w:val="-9"/>
          <w:w w:val="120"/>
        </w:rPr>
        <w:t> </w:t>
      </w:r>
      <w:r>
        <w:rPr>
          <w:color w:val="231F20"/>
          <w:w w:val="120"/>
        </w:rPr>
        <w:t>de rabaisser</w:t>
      </w:r>
      <w:r>
        <w:rPr>
          <w:color w:val="231F20"/>
          <w:spacing w:val="-13"/>
          <w:w w:val="120"/>
        </w:rPr>
        <w:t> </w:t>
      </w:r>
      <w:r>
        <w:rPr>
          <w:color w:val="231F20"/>
          <w:w w:val="120"/>
        </w:rPr>
        <w:t>leur</w:t>
      </w:r>
      <w:r>
        <w:rPr>
          <w:color w:val="231F20"/>
          <w:spacing w:val="-13"/>
          <w:w w:val="120"/>
        </w:rPr>
        <w:t> </w:t>
      </w:r>
      <w:r>
        <w:rPr>
          <w:color w:val="231F20"/>
          <w:w w:val="120"/>
        </w:rPr>
        <w:t>entourage,</w:t>
      </w:r>
      <w:r>
        <w:rPr>
          <w:color w:val="231F20"/>
          <w:spacing w:val="-13"/>
          <w:w w:val="120"/>
        </w:rPr>
        <w:t> </w:t>
      </w:r>
      <w:r>
        <w:rPr>
          <w:color w:val="231F20"/>
          <w:w w:val="120"/>
        </w:rPr>
        <w:t>lui</w:t>
      </w:r>
      <w:r>
        <w:rPr>
          <w:color w:val="231F20"/>
          <w:spacing w:val="-12"/>
          <w:w w:val="120"/>
        </w:rPr>
        <w:t> </w:t>
      </w:r>
      <w:r>
        <w:rPr>
          <w:color w:val="231F20"/>
          <w:w w:val="120"/>
        </w:rPr>
        <w:t>donnent</w:t>
      </w:r>
      <w:r>
        <w:rPr>
          <w:color w:val="231F20"/>
          <w:spacing w:val="-13"/>
          <w:w w:val="120"/>
        </w:rPr>
        <w:t> </w:t>
      </w:r>
      <w:r>
        <w:rPr>
          <w:color w:val="231F20"/>
          <w:w w:val="120"/>
        </w:rPr>
        <w:t>le</w:t>
      </w:r>
      <w:r>
        <w:rPr>
          <w:color w:val="231F20"/>
          <w:spacing w:val="-13"/>
          <w:w w:val="120"/>
        </w:rPr>
        <w:t> </w:t>
      </w:r>
      <w:r>
        <w:rPr>
          <w:color w:val="231F20"/>
          <w:w w:val="120"/>
        </w:rPr>
        <w:t>sentiment</w:t>
      </w:r>
      <w:r>
        <w:rPr>
          <w:color w:val="231F20"/>
          <w:spacing w:val="-13"/>
          <w:w w:val="120"/>
        </w:rPr>
        <w:t> </w:t>
      </w:r>
      <w:r>
        <w:rPr>
          <w:color w:val="231F20"/>
          <w:w w:val="120"/>
        </w:rPr>
        <w:t>d’avoir</w:t>
      </w:r>
      <w:r>
        <w:rPr>
          <w:color w:val="231F20"/>
          <w:spacing w:val="-12"/>
          <w:w w:val="120"/>
        </w:rPr>
        <w:t> </w:t>
      </w:r>
      <w:r>
        <w:rPr>
          <w:color w:val="231F20"/>
          <w:w w:val="120"/>
        </w:rPr>
        <w:t>atteint</w:t>
      </w:r>
      <w:r>
        <w:rPr>
          <w:color w:val="231F20"/>
          <w:spacing w:val="-13"/>
          <w:w w:val="120"/>
        </w:rPr>
        <w:t> </w:t>
      </w:r>
      <w:r>
        <w:rPr>
          <w:color w:val="231F20"/>
          <w:w w:val="120"/>
        </w:rPr>
        <w:t>un</w:t>
      </w:r>
      <w:r>
        <w:rPr>
          <w:color w:val="231F20"/>
          <w:spacing w:val="-13"/>
          <w:w w:val="120"/>
        </w:rPr>
        <w:t> </w:t>
      </w:r>
      <w:r>
        <w:rPr>
          <w:color w:val="231F20"/>
          <w:w w:val="120"/>
        </w:rPr>
        <w:t>cul- </w:t>
      </w:r>
      <w:r>
        <w:rPr>
          <w:color w:val="231F20"/>
          <w:spacing w:val="-4"/>
          <w:w w:val="120"/>
        </w:rPr>
        <w:t>de-sac,</w:t>
      </w:r>
      <w:r>
        <w:rPr>
          <w:color w:val="231F20"/>
          <w:spacing w:val="-7"/>
          <w:w w:val="120"/>
        </w:rPr>
        <w:t> </w:t>
      </w:r>
      <w:r>
        <w:rPr>
          <w:color w:val="231F20"/>
          <w:spacing w:val="-4"/>
          <w:w w:val="120"/>
        </w:rPr>
        <w:t>provoquant</w:t>
      </w:r>
      <w:r>
        <w:rPr>
          <w:color w:val="231F20"/>
          <w:spacing w:val="-7"/>
          <w:w w:val="120"/>
        </w:rPr>
        <w:t> </w:t>
      </w:r>
      <w:r>
        <w:rPr>
          <w:color w:val="231F20"/>
          <w:spacing w:val="-4"/>
          <w:w w:val="120"/>
        </w:rPr>
        <w:t>ainsi</w:t>
      </w:r>
      <w:r>
        <w:rPr>
          <w:color w:val="231F20"/>
          <w:spacing w:val="-7"/>
          <w:w w:val="120"/>
        </w:rPr>
        <w:t> </w:t>
      </w:r>
      <w:r>
        <w:rPr>
          <w:color w:val="231F20"/>
          <w:spacing w:val="-4"/>
          <w:w w:val="120"/>
        </w:rPr>
        <w:t>une</w:t>
      </w:r>
      <w:r>
        <w:rPr>
          <w:color w:val="231F20"/>
          <w:spacing w:val="-7"/>
          <w:w w:val="120"/>
        </w:rPr>
        <w:t> </w:t>
      </w:r>
      <w:r>
        <w:rPr>
          <w:color w:val="231F20"/>
          <w:spacing w:val="-4"/>
          <w:w w:val="120"/>
        </w:rPr>
        <w:t>perte</w:t>
      </w:r>
      <w:r>
        <w:rPr>
          <w:color w:val="231F20"/>
          <w:spacing w:val="-7"/>
          <w:w w:val="120"/>
        </w:rPr>
        <w:t> </w:t>
      </w:r>
      <w:r>
        <w:rPr>
          <w:color w:val="231F20"/>
          <w:spacing w:val="-4"/>
          <w:w w:val="120"/>
        </w:rPr>
        <w:t>d’estime</w:t>
      </w:r>
      <w:r>
        <w:rPr>
          <w:color w:val="231F20"/>
          <w:spacing w:val="-7"/>
          <w:w w:val="120"/>
        </w:rPr>
        <w:t> </w:t>
      </w:r>
      <w:r>
        <w:rPr>
          <w:color w:val="231F20"/>
          <w:spacing w:val="-4"/>
          <w:w w:val="120"/>
        </w:rPr>
        <w:t>de</w:t>
      </w:r>
      <w:r>
        <w:rPr>
          <w:color w:val="231F20"/>
          <w:spacing w:val="-7"/>
          <w:w w:val="120"/>
        </w:rPr>
        <w:t> </w:t>
      </w:r>
      <w:r>
        <w:rPr>
          <w:color w:val="231F20"/>
          <w:spacing w:val="-4"/>
          <w:w w:val="120"/>
        </w:rPr>
        <w:t>soi</w:t>
      </w:r>
      <w:r>
        <w:rPr>
          <w:color w:val="231F20"/>
          <w:spacing w:val="-7"/>
          <w:w w:val="120"/>
        </w:rPr>
        <w:t> </w:t>
      </w:r>
      <w:r>
        <w:rPr>
          <w:color w:val="231F20"/>
          <w:spacing w:val="-4"/>
          <w:w w:val="120"/>
        </w:rPr>
        <w:t>dont</w:t>
      </w:r>
      <w:r>
        <w:rPr>
          <w:color w:val="231F20"/>
          <w:spacing w:val="-7"/>
          <w:w w:val="120"/>
        </w:rPr>
        <w:t> </w:t>
      </w:r>
      <w:r>
        <w:rPr>
          <w:color w:val="231F20"/>
          <w:spacing w:val="-4"/>
          <w:w w:val="120"/>
        </w:rPr>
        <w:t>les</w:t>
      </w:r>
      <w:r>
        <w:rPr>
          <w:color w:val="231F20"/>
          <w:spacing w:val="-7"/>
          <w:w w:val="120"/>
        </w:rPr>
        <w:t> </w:t>
      </w:r>
      <w:r>
        <w:rPr>
          <w:color w:val="231F20"/>
          <w:spacing w:val="-4"/>
          <w:w w:val="120"/>
        </w:rPr>
        <w:t>effets</w:t>
      </w:r>
      <w:r>
        <w:rPr>
          <w:color w:val="231F20"/>
          <w:spacing w:val="-7"/>
          <w:w w:val="120"/>
        </w:rPr>
        <w:t> </w:t>
      </w:r>
      <w:r>
        <w:rPr>
          <w:color w:val="231F20"/>
          <w:spacing w:val="-4"/>
          <w:w w:val="120"/>
        </w:rPr>
        <w:t>délétères </w:t>
      </w:r>
      <w:r>
        <w:rPr>
          <w:color w:val="231F20"/>
          <w:w w:val="120"/>
        </w:rPr>
        <w:t>sur la santé ont une ampleur encore méconnue43.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w:pict>
          <v:shape style="position:absolute;margin-left:62.5pt;margin-top:8.797459pt;width:287.5pt;height:.1pt;mso-position-horizontal-relative:page;mso-position-vertical-relative:paragraph;z-index:-15638016;mso-wrap-distance-left:0;mso-wrap-distance-right:0" id="docshape995" coordorigin="1250,176" coordsize="5750,0" path="m1250,176l7000,176e" filled="false" stroked="true" strokeweight=".25pt" strokecolor="#231f20">
            <v:path arrowok="t"/>
            <v:stroke dashstyle="shortdot"/>
            <w10:wrap type="topAndBottom"/>
          </v:shape>
        </w:pict>
      </w:r>
    </w:p>
    <w:p>
      <w:pPr>
        <w:pStyle w:val="ListParagraph"/>
        <w:numPr>
          <w:ilvl w:val="0"/>
          <w:numId w:val="65"/>
        </w:numPr>
        <w:tabs>
          <w:tab w:pos="829" w:val="left" w:leader="none"/>
          <w:tab w:pos="830" w:val="left" w:leader="none"/>
        </w:tabs>
        <w:spacing w:line="295" w:lineRule="auto" w:before="135" w:after="0"/>
        <w:ind w:left="829" w:right="497" w:hanging="406"/>
        <w:jc w:val="left"/>
        <w:rPr>
          <w:rFonts w:ascii="Arial" w:hAnsi="Arial"/>
          <w:sz w:val="12"/>
        </w:rPr>
      </w:pPr>
      <w:r>
        <w:rPr>
          <w:rFonts w:ascii="Arial" w:hAnsi="Arial"/>
          <w:color w:val="231F20"/>
          <w:spacing w:val="-2"/>
          <w:sz w:val="12"/>
        </w:rPr>
        <w:t>García-Sanchez, G. J. et Bayés de Luna, A. (1990). Psychological stress and sudden death. Dans A. Bayés de</w:t>
      </w:r>
      <w:r>
        <w:rPr>
          <w:rFonts w:ascii="Arial" w:hAnsi="Arial"/>
          <w:color w:val="231F20"/>
          <w:spacing w:val="40"/>
          <w:sz w:val="12"/>
        </w:rPr>
        <w:t> </w:t>
      </w:r>
      <w:r>
        <w:rPr>
          <w:rFonts w:ascii="Arial" w:hAnsi="Arial"/>
          <w:color w:val="231F20"/>
          <w:sz w:val="12"/>
        </w:rPr>
        <w:t>Luna </w:t>
      </w:r>
      <w:r>
        <w:rPr>
          <w:rFonts w:ascii="Arial" w:hAnsi="Arial"/>
          <w:i/>
          <w:color w:val="231F20"/>
          <w:sz w:val="12"/>
        </w:rPr>
        <w:t>et al</w:t>
      </w:r>
      <w:r>
        <w:rPr>
          <w:rFonts w:ascii="Arial" w:hAnsi="Arial"/>
          <w:color w:val="231F20"/>
          <w:sz w:val="12"/>
        </w:rPr>
        <w:t>. (dir.), </w:t>
      </w:r>
      <w:r>
        <w:rPr>
          <w:rFonts w:ascii="Arial" w:hAnsi="Arial"/>
          <w:i/>
          <w:color w:val="231F20"/>
          <w:sz w:val="12"/>
        </w:rPr>
        <w:t>Sudden Cardiac Death</w:t>
      </w:r>
      <w:r>
        <w:rPr>
          <w:rFonts w:ascii="Arial" w:hAnsi="Arial"/>
          <w:color w:val="231F20"/>
          <w:sz w:val="12"/>
        </w:rPr>
        <w:t>, Dordrecht, Kluwer Academic.</w:t>
      </w:r>
    </w:p>
    <w:p>
      <w:pPr>
        <w:spacing w:after="0" w:line="295" w:lineRule="auto"/>
        <w:jc w:val="left"/>
        <w:rPr>
          <w:rFonts w:ascii="Arial" w:hAnsi="Arial"/>
          <w:sz w:val="12"/>
        </w:rPr>
        <w:sectPr>
          <w:footerReference w:type="default" r:id="rId275"/>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19" w:right="106" w:firstLine="250"/>
        <w:jc w:val="both"/>
      </w:pPr>
      <w:r>
        <w:rPr>
          <w:color w:val="231F20"/>
          <w:w w:val="120"/>
        </w:rPr>
        <w:t>Sans</w:t>
      </w:r>
      <w:r>
        <w:rPr>
          <w:color w:val="231F20"/>
          <w:spacing w:val="-6"/>
          <w:w w:val="120"/>
        </w:rPr>
        <w:t> </w:t>
      </w:r>
      <w:r>
        <w:rPr>
          <w:color w:val="231F20"/>
          <w:w w:val="120"/>
        </w:rPr>
        <w:t>passer</w:t>
      </w:r>
      <w:r>
        <w:rPr>
          <w:color w:val="231F20"/>
          <w:spacing w:val="-6"/>
          <w:w w:val="120"/>
        </w:rPr>
        <w:t> </w:t>
      </w:r>
      <w:r>
        <w:rPr>
          <w:color w:val="231F20"/>
          <w:w w:val="120"/>
        </w:rPr>
        <w:t>sous</w:t>
      </w:r>
      <w:r>
        <w:rPr>
          <w:color w:val="231F20"/>
          <w:spacing w:val="-6"/>
          <w:w w:val="120"/>
        </w:rPr>
        <w:t> </w:t>
      </w:r>
      <w:r>
        <w:rPr>
          <w:color w:val="231F20"/>
          <w:w w:val="120"/>
        </w:rPr>
        <w:t>silence</w:t>
      </w:r>
      <w:r>
        <w:rPr>
          <w:color w:val="231F20"/>
          <w:spacing w:val="-6"/>
          <w:w w:val="120"/>
        </w:rPr>
        <w:t> </w:t>
      </w:r>
      <w:r>
        <w:rPr>
          <w:color w:val="231F20"/>
          <w:w w:val="120"/>
        </w:rPr>
        <w:t>l’existence</w:t>
      </w:r>
      <w:r>
        <w:rPr>
          <w:color w:val="231F20"/>
          <w:spacing w:val="-6"/>
          <w:w w:val="120"/>
        </w:rPr>
        <w:t> </w:t>
      </w:r>
      <w:r>
        <w:rPr>
          <w:color w:val="231F20"/>
          <w:w w:val="120"/>
        </w:rPr>
        <w:t>de</w:t>
      </w:r>
      <w:r>
        <w:rPr>
          <w:color w:val="231F20"/>
          <w:spacing w:val="-6"/>
          <w:w w:val="120"/>
        </w:rPr>
        <w:t> </w:t>
      </w:r>
      <w:r>
        <w:rPr>
          <w:color w:val="231F20"/>
          <w:w w:val="120"/>
        </w:rPr>
        <w:t>circonstances</w:t>
      </w:r>
      <w:r>
        <w:rPr>
          <w:color w:val="231F20"/>
          <w:spacing w:val="-6"/>
          <w:w w:val="120"/>
        </w:rPr>
        <w:t> </w:t>
      </w:r>
      <w:r>
        <w:rPr>
          <w:color w:val="231F20"/>
          <w:w w:val="120"/>
        </w:rPr>
        <w:t>d’ordre</w:t>
      </w:r>
      <w:r>
        <w:rPr>
          <w:color w:val="231F20"/>
          <w:spacing w:val="-6"/>
          <w:w w:val="120"/>
        </w:rPr>
        <w:t> </w:t>
      </w:r>
      <w:r>
        <w:rPr>
          <w:color w:val="231F20"/>
          <w:w w:val="120"/>
        </w:rPr>
        <w:t>socio- </w:t>
      </w:r>
      <w:r>
        <w:rPr>
          <w:color w:val="231F20"/>
          <w:spacing w:val="-2"/>
          <w:w w:val="120"/>
        </w:rPr>
        <w:t>économique,</w:t>
      </w:r>
      <w:r>
        <w:rPr>
          <w:color w:val="231F20"/>
          <w:spacing w:val="-4"/>
          <w:w w:val="120"/>
        </w:rPr>
        <w:t> </w:t>
      </w:r>
      <w:r>
        <w:rPr>
          <w:color w:val="231F20"/>
          <w:spacing w:val="-2"/>
          <w:w w:val="120"/>
        </w:rPr>
        <w:t>nous</w:t>
      </w:r>
      <w:r>
        <w:rPr>
          <w:color w:val="231F20"/>
          <w:spacing w:val="-4"/>
          <w:w w:val="120"/>
        </w:rPr>
        <w:t> </w:t>
      </w:r>
      <w:r>
        <w:rPr>
          <w:color w:val="231F20"/>
          <w:spacing w:val="-2"/>
          <w:w w:val="120"/>
        </w:rPr>
        <w:t>devrions</w:t>
      </w:r>
      <w:r>
        <w:rPr>
          <w:color w:val="231F20"/>
          <w:spacing w:val="-4"/>
          <w:w w:val="120"/>
        </w:rPr>
        <w:t> </w:t>
      </w:r>
      <w:r>
        <w:rPr>
          <w:color w:val="231F20"/>
          <w:spacing w:val="-2"/>
          <w:w w:val="120"/>
        </w:rPr>
        <w:t>envisager</w:t>
      </w:r>
      <w:r>
        <w:rPr>
          <w:color w:val="231F20"/>
          <w:spacing w:val="-4"/>
          <w:w w:val="120"/>
        </w:rPr>
        <w:t> </w:t>
      </w:r>
      <w:r>
        <w:rPr>
          <w:color w:val="231F20"/>
          <w:spacing w:val="-2"/>
          <w:w w:val="120"/>
        </w:rPr>
        <w:t>la</w:t>
      </w:r>
      <w:r>
        <w:rPr>
          <w:color w:val="231F20"/>
          <w:spacing w:val="-4"/>
          <w:w w:val="120"/>
        </w:rPr>
        <w:t> </w:t>
      </w:r>
      <w:r>
        <w:rPr>
          <w:color w:val="231F20"/>
          <w:spacing w:val="-2"/>
          <w:w w:val="120"/>
        </w:rPr>
        <w:t>nécessité</w:t>
      </w:r>
      <w:r>
        <w:rPr>
          <w:color w:val="231F20"/>
          <w:spacing w:val="-4"/>
          <w:w w:val="120"/>
        </w:rPr>
        <w:t> </w:t>
      </w:r>
      <w:r>
        <w:rPr>
          <w:color w:val="231F20"/>
          <w:spacing w:val="-2"/>
          <w:w w:val="120"/>
        </w:rPr>
        <w:t>de</w:t>
      </w:r>
      <w:r>
        <w:rPr>
          <w:color w:val="231F20"/>
          <w:spacing w:val="-4"/>
          <w:w w:val="120"/>
        </w:rPr>
        <w:t> </w:t>
      </w:r>
      <w:r>
        <w:rPr>
          <w:color w:val="231F20"/>
          <w:spacing w:val="-2"/>
          <w:w w:val="120"/>
        </w:rPr>
        <w:t>faire</w:t>
      </w:r>
      <w:r>
        <w:rPr>
          <w:color w:val="231F20"/>
          <w:spacing w:val="-4"/>
          <w:w w:val="120"/>
        </w:rPr>
        <w:t> </w:t>
      </w:r>
      <w:r>
        <w:rPr>
          <w:color w:val="231F20"/>
          <w:spacing w:val="-2"/>
          <w:w w:val="120"/>
        </w:rPr>
        <w:t>contrepoids</w:t>
      </w:r>
      <w:r>
        <w:rPr>
          <w:color w:val="231F20"/>
          <w:spacing w:val="-4"/>
          <w:w w:val="120"/>
        </w:rPr>
        <w:t> </w:t>
      </w:r>
      <w:r>
        <w:rPr>
          <w:color w:val="231F20"/>
          <w:spacing w:val="-2"/>
          <w:w w:val="120"/>
        </w:rPr>
        <w:t>à </w:t>
      </w:r>
      <w:r>
        <w:rPr>
          <w:color w:val="231F20"/>
          <w:w w:val="120"/>
        </w:rPr>
        <w:t>la</w:t>
      </w:r>
      <w:r>
        <w:rPr>
          <w:color w:val="231F20"/>
          <w:spacing w:val="-13"/>
          <w:w w:val="120"/>
        </w:rPr>
        <w:t> </w:t>
      </w:r>
      <w:r>
        <w:rPr>
          <w:color w:val="231F20"/>
          <w:w w:val="120"/>
        </w:rPr>
        <w:t>«</w:t>
      </w:r>
      <w:r>
        <w:rPr>
          <w:color w:val="231F20"/>
          <w:spacing w:val="-13"/>
          <w:w w:val="120"/>
        </w:rPr>
        <w:t> </w:t>
      </w:r>
      <w:r>
        <w:rPr>
          <w:color w:val="231F20"/>
          <w:w w:val="120"/>
        </w:rPr>
        <w:t>tyrannie»</w:t>
      </w:r>
      <w:r>
        <w:rPr>
          <w:color w:val="231F20"/>
          <w:spacing w:val="-13"/>
          <w:w w:val="120"/>
        </w:rPr>
        <w:t> </w:t>
      </w:r>
      <w:r>
        <w:rPr>
          <w:color w:val="231F20"/>
          <w:w w:val="120"/>
        </w:rPr>
        <w:t>de</w:t>
      </w:r>
      <w:r>
        <w:rPr>
          <w:color w:val="231F20"/>
          <w:spacing w:val="-12"/>
          <w:w w:val="120"/>
        </w:rPr>
        <w:t> </w:t>
      </w:r>
      <w:r>
        <w:rPr>
          <w:color w:val="231F20"/>
          <w:w w:val="120"/>
        </w:rPr>
        <w:t>toutes</w:t>
      </w:r>
      <w:r>
        <w:rPr>
          <w:color w:val="231F20"/>
          <w:spacing w:val="-13"/>
          <w:w w:val="120"/>
        </w:rPr>
        <w:t> </w:t>
      </w:r>
      <w:r>
        <w:rPr>
          <w:color w:val="231F20"/>
          <w:w w:val="120"/>
        </w:rPr>
        <w:t>ces</w:t>
      </w:r>
      <w:r>
        <w:rPr>
          <w:color w:val="231F20"/>
          <w:spacing w:val="-12"/>
          <w:w w:val="120"/>
        </w:rPr>
        <w:t> </w:t>
      </w:r>
      <w:r>
        <w:rPr>
          <w:color w:val="231F20"/>
          <w:w w:val="120"/>
        </w:rPr>
        <w:t>affirmations</w:t>
      </w:r>
      <w:r>
        <w:rPr>
          <w:color w:val="231F20"/>
          <w:spacing w:val="-8"/>
          <w:w w:val="120"/>
        </w:rPr>
        <w:t> </w:t>
      </w:r>
      <w:r>
        <w:rPr>
          <w:color w:val="231F20"/>
          <w:w w:val="120"/>
        </w:rPr>
        <w:t>d’autorité</w:t>
      </w:r>
      <w:r>
        <w:rPr>
          <w:color w:val="231F20"/>
          <w:spacing w:val="-9"/>
          <w:w w:val="120"/>
        </w:rPr>
        <w:t> </w:t>
      </w:r>
      <w:r>
        <w:rPr>
          <w:color w:val="231F20"/>
          <w:w w:val="120"/>
        </w:rPr>
        <w:t>sur</w:t>
      </w:r>
      <w:r>
        <w:rPr>
          <w:color w:val="231F20"/>
          <w:spacing w:val="-9"/>
          <w:w w:val="120"/>
        </w:rPr>
        <w:t> </w:t>
      </w:r>
      <w:r>
        <w:rPr>
          <w:color w:val="231F20"/>
          <w:w w:val="120"/>
        </w:rPr>
        <w:t>l’importance</w:t>
      </w:r>
      <w:r>
        <w:rPr>
          <w:color w:val="231F20"/>
          <w:spacing w:val="-9"/>
          <w:w w:val="120"/>
        </w:rPr>
        <w:t> </w:t>
      </w:r>
      <w:r>
        <w:rPr>
          <w:color w:val="231F20"/>
          <w:w w:val="120"/>
        </w:rPr>
        <w:t>des contextes,</w:t>
      </w:r>
      <w:r>
        <w:rPr>
          <w:color w:val="231F20"/>
          <w:spacing w:val="-8"/>
          <w:w w:val="120"/>
        </w:rPr>
        <w:t> </w:t>
      </w:r>
      <w:r>
        <w:rPr>
          <w:color w:val="231F20"/>
          <w:w w:val="120"/>
        </w:rPr>
        <w:t>du</w:t>
      </w:r>
      <w:r>
        <w:rPr>
          <w:color w:val="231F20"/>
          <w:spacing w:val="-8"/>
          <w:w w:val="120"/>
        </w:rPr>
        <w:t> </w:t>
      </w:r>
      <w:r>
        <w:rPr>
          <w:color w:val="231F20"/>
          <w:w w:val="120"/>
        </w:rPr>
        <w:t>marché</w:t>
      </w:r>
      <w:r>
        <w:rPr>
          <w:color w:val="231F20"/>
          <w:spacing w:val="-8"/>
          <w:w w:val="120"/>
        </w:rPr>
        <w:t> </w:t>
      </w:r>
      <w:r>
        <w:rPr>
          <w:color w:val="231F20"/>
          <w:w w:val="120"/>
        </w:rPr>
        <w:t>mondial,</w:t>
      </w:r>
      <w:r>
        <w:rPr>
          <w:color w:val="231F20"/>
          <w:spacing w:val="-8"/>
          <w:w w:val="120"/>
        </w:rPr>
        <w:t> </w:t>
      </w:r>
      <w:r>
        <w:rPr>
          <w:color w:val="231F20"/>
          <w:w w:val="120"/>
        </w:rPr>
        <w:t>de</w:t>
      </w:r>
      <w:r>
        <w:rPr>
          <w:color w:val="231F20"/>
          <w:spacing w:val="-8"/>
          <w:w w:val="120"/>
        </w:rPr>
        <w:t> </w:t>
      </w:r>
      <w:r>
        <w:rPr>
          <w:color w:val="231F20"/>
          <w:w w:val="120"/>
        </w:rPr>
        <w:t>la</w:t>
      </w:r>
      <w:r>
        <w:rPr>
          <w:color w:val="231F20"/>
          <w:spacing w:val="-8"/>
          <w:w w:val="120"/>
        </w:rPr>
        <w:t> </w:t>
      </w:r>
      <w:r>
        <w:rPr>
          <w:color w:val="231F20"/>
          <w:w w:val="120"/>
        </w:rPr>
        <w:t>turbulence</w:t>
      </w:r>
      <w:r>
        <w:rPr>
          <w:color w:val="231F20"/>
          <w:spacing w:val="-8"/>
          <w:w w:val="120"/>
        </w:rPr>
        <w:t> </w:t>
      </w:r>
      <w:r>
        <w:rPr>
          <w:color w:val="231F20"/>
          <w:w w:val="120"/>
        </w:rPr>
        <w:t>des</w:t>
      </w:r>
      <w:r>
        <w:rPr>
          <w:color w:val="231F20"/>
          <w:spacing w:val="-8"/>
          <w:w w:val="120"/>
        </w:rPr>
        <w:t> </w:t>
      </w:r>
      <w:r>
        <w:rPr>
          <w:color w:val="231F20"/>
          <w:w w:val="120"/>
        </w:rPr>
        <w:t>environnements</w:t>
      </w:r>
      <w:r>
        <w:rPr>
          <w:color w:val="231F20"/>
          <w:spacing w:val="-8"/>
          <w:w w:val="120"/>
        </w:rPr>
        <w:t> </w:t>
      </w:r>
      <w:r>
        <w:rPr>
          <w:color w:val="231F20"/>
          <w:w w:val="120"/>
        </w:rPr>
        <w:t>ou sur</w:t>
      </w:r>
      <w:r>
        <w:rPr>
          <w:color w:val="231F20"/>
          <w:spacing w:val="-15"/>
          <w:w w:val="120"/>
        </w:rPr>
        <w:t> </w:t>
      </w:r>
      <w:r>
        <w:rPr>
          <w:color w:val="231F20"/>
          <w:w w:val="120"/>
        </w:rPr>
        <w:t>les</w:t>
      </w:r>
      <w:r>
        <w:rPr>
          <w:color w:val="231F20"/>
          <w:spacing w:val="-13"/>
          <w:w w:val="120"/>
        </w:rPr>
        <w:t> </w:t>
      </w:r>
      <w:r>
        <w:rPr>
          <w:color w:val="231F20"/>
          <w:w w:val="120"/>
        </w:rPr>
        <w:t>travers</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nature</w:t>
      </w:r>
      <w:r>
        <w:rPr>
          <w:color w:val="231F20"/>
          <w:spacing w:val="-13"/>
          <w:w w:val="120"/>
        </w:rPr>
        <w:t> </w:t>
      </w:r>
      <w:r>
        <w:rPr>
          <w:color w:val="231F20"/>
          <w:w w:val="120"/>
        </w:rPr>
        <w:t>humaine,</w:t>
      </w:r>
      <w:r>
        <w:rPr>
          <w:color w:val="231F20"/>
          <w:spacing w:val="-13"/>
          <w:w w:val="120"/>
        </w:rPr>
        <w:t> </w:t>
      </w:r>
      <w:r>
        <w:rPr>
          <w:color w:val="231F20"/>
          <w:w w:val="120"/>
        </w:rPr>
        <w:t>discours</w:t>
      </w:r>
      <w:r>
        <w:rPr>
          <w:color w:val="231F20"/>
          <w:spacing w:val="-12"/>
          <w:w w:val="120"/>
        </w:rPr>
        <w:t> </w:t>
      </w:r>
      <w:r>
        <w:rPr>
          <w:color w:val="231F20"/>
          <w:w w:val="120"/>
        </w:rPr>
        <w:t>qui</w:t>
      </w:r>
      <w:r>
        <w:rPr>
          <w:color w:val="231F20"/>
          <w:spacing w:val="-13"/>
          <w:w w:val="120"/>
        </w:rPr>
        <w:t> </w:t>
      </w:r>
      <w:r>
        <w:rPr>
          <w:color w:val="231F20"/>
          <w:w w:val="120"/>
        </w:rPr>
        <w:t>génère</w:t>
      </w:r>
      <w:r>
        <w:rPr>
          <w:color w:val="231F20"/>
          <w:spacing w:val="-13"/>
          <w:w w:val="120"/>
        </w:rPr>
        <w:t> </w:t>
      </w:r>
      <w:r>
        <w:rPr>
          <w:color w:val="231F20"/>
          <w:w w:val="120"/>
        </w:rPr>
        <w:t>une</w:t>
      </w:r>
      <w:r>
        <w:rPr>
          <w:color w:val="231F20"/>
          <w:spacing w:val="-13"/>
          <w:w w:val="120"/>
        </w:rPr>
        <w:t> </w:t>
      </w:r>
      <w:r>
        <w:rPr>
          <w:color w:val="231F20"/>
          <w:w w:val="120"/>
        </w:rPr>
        <w:t>peur</w:t>
      </w:r>
      <w:r>
        <w:rPr>
          <w:color w:val="231F20"/>
          <w:spacing w:val="-12"/>
          <w:w w:val="120"/>
        </w:rPr>
        <w:t> </w:t>
      </w:r>
      <w:r>
        <w:rPr>
          <w:color w:val="231F20"/>
          <w:w w:val="120"/>
        </w:rPr>
        <w:t>mana- gériale</w:t>
      </w:r>
      <w:r>
        <w:rPr>
          <w:color w:val="231F20"/>
          <w:spacing w:val="-3"/>
          <w:w w:val="120"/>
        </w:rPr>
        <w:t> </w:t>
      </w:r>
      <w:r>
        <w:rPr>
          <w:color w:val="231F20"/>
          <w:w w:val="120"/>
        </w:rPr>
        <w:t>soutenant</w:t>
      </w:r>
      <w:r>
        <w:rPr>
          <w:color w:val="231F20"/>
          <w:spacing w:val="-3"/>
          <w:w w:val="120"/>
        </w:rPr>
        <w:t> </w:t>
      </w:r>
      <w:r>
        <w:rPr>
          <w:color w:val="231F20"/>
          <w:w w:val="120"/>
        </w:rPr>
        <w:t>la</w:t>
      </w:r>
      <w:r>
        <w:rPr>
          <w:color w:val="231F20"/>
          <w:spacing w:val="-3"/>
          <w:w w:val="120"/>
        </w:rPr>
        <w:t> </w:t>
      </w:r>
      <w:r>
        <w:rPr>
          <w:color w:val="231F20"/>
          <w:w w:val="120"/>
        </w:rPr>
        <w:t>reproduction</w:t>
      </w:r>
      <w:r>
        <w:rPr>
          <w:color w:val="231F20"/>
          <w:spacing w:val="-3"/>
          <w:w w:val="120"/>
        </w:rPr>
        <w:t> </w:t>
      </w:r>
      <w:r>
        <w:rPr>
          <w:color w:val="231F20"/>
          <w:w w:val="120"/>
        </w:rPr>
        <w:t>des</w:t>
      </w:r>
      <w:r>
        <w:rPr>
          <w:color w:val="231F20"/>
          <w:spacing w:val="-3"/>
          <w:w w:val="120"/>
        </w:rPr>
        <w:t> </w:t>
      </w:r>
      <w:r>
        <w:rPr>
          <w:color w:val="231F20"/>
          <w:w w:val="120"/>
        </w:rPr>
        <w:t>modèles</w:t>
      </w:r>
      <w:r>
        <w:rPr>
          <w:color w:val="231F20"/>
          <w:spacing w:val="-3"/>
          <w:w w:val="120"/>
        </w:rPr>
        <w:t> </w:t>
      </w:r>
      <w:r>
        <w:rPr>
          <w:color w:val="231F20"/>
          <w:w w:val="120"/>
        </w:rPr>
        <w:t>traditionnels</w:t>
      </w:r>
      <w:r>
        <w:rPr>
          <w:color w:val="231F20"/>
          <w:spacing w:val="-3"/>
          <w:w w:val="120"/>
        </w:rPr>
        <w:t> </w:t>
      </w:r>
      <w:r>
        <w:rPr>
          <w:color w:val="231F20"/>
          <w:w w:val="120"/>
        </w:rPr>
        <w:t>de</w:t>
      </w:r>
      <w:r>
        <w:rPr>
          <w:color w:val="231F20"/>
          <w:spacing w:val="-3"/>
          <w:w w:val="120"/>
        </w:rPr>
        <w:t> </w:t>
      </w:r>
      <w:r>
        <w:rPr>
          <w:color w:val="231F20"/>
          <w:spacing w:val="-2"/>
          <w:w w:val="120"/>
        </w:rPr>
        <w:t>gestion.</w:t>
      </w:r>
    </w:p>
    <w:p>
      <w:pPr>
        <w:pStyle w:val="BodyText"/>
        <w:rPr>
          <w:sz w:val="24"/>
        </w:rPr>
      </w:pPr>
    </w:p>
    <w:p>
      <w:pPr>
        <w:pStyle w:val="BodyText"/>
        <w:spacing w:before="182"/>
        <w:ind w:left="1219"/>
        <w:jc w:val="both"/>
        <w:rPr>
          <w:rFonts w:ascii="Arial" w:hAnsi="Arial"/>
        </w:rPr>
      </w:pPr>
      <w:r>
        <w:rPr/>
        <w:pict>
          <v:shape style="position:absolute;margin-left:82pt;margin-top:21.184412pt;width:287.5pt;height:.1pt;mso-position-horizontal-relative:page;mso-position-vertical-relative:paragraph;z-index:-15637504;mso-wrap-distance-left:0;mso-wrap-distance-right:0" id="docshape997" coordorigin="1640,424" coordsize="5750,0" path="m1640,424l7390,424e" filled="false" stroked="true" strokeweight=".25pt" strokecolor="#231f20">
            <v:path arrowok="t"/>
            <v:stroke dashstyle="shortdot"/>
            <w10:wrap type="topAndBottom"/>
          </v:shape>
        </w:pict>
      </w:r>
      <w:r>
        <w:rPr>
          <w:rFonts w:ascii="Arial" w:hAnsi="Arial"/>
          <w:color w:val="231F20"/>
          <w:w w:val="110"/>
        </w:rPr>
        <w:t>Matière</w:t>
      </w:r>
      <w:r>
        <w:rPr>
          <w:rFonts w:ascii="Arial" w:hAnsi="Arial"/>
          <w:color w:val="231F20"/>
          <w:spacing w:val="-1"/>
          <w:w w:val="110"/>
        </w:rPr>
        <w:t> </w:t>
      </w:r>
      <w:r>
        <w:rPr>
          <w:rFonts w:ascii="Arial" w:hAnsi="Arial"/>
          <w:color w:val="231F20"/>
          <w:w w:val="110"/>
        </w:rPr>
        <w:t>à</w:t>
      </w:r>
      <w:r>
        <w:rPr>
          <w:rFonts w:ascii="Arial" w:hAnsi="Arial"/>
          <w:color w:val="231F20"/>
          <w:spacing w:val="-1"/>
          <w:w w:val="110"/>
        </w:rPr>
        <w:t> </w:t>
      </w:r>
      <w:r>
        <w:rPr>
          <w:rFonts w:ascii="Arial" w:hAnsi="Arial"/>
          <w:color w:val="231F20"/>
          <w:spacing w:val="-2"/>
          <w:w w:val="110"/>
        </w:rPr>
        <w:t>réFlexion</w:t>
      </w:r>
    </w:p>
    <w:p>
      <w:pPr>
        <w:pStyle w:val="BodyText"/>
        <w:spacing w:before="2"/>
        <w:rPr>
          <w:rFonts w:ascii="Arial"/>
          <w:sz w:val="22"/>
        </w:rPr>
      </w:pPr>
    </w:p>
    <w:p>
      <w:pPr>
        <w:pStyle w:val="BodyText"/>
        <w:spacing w:line="307" w:lineRule="auto" w:before="1"/>
        <w:ind w:left="1219" w:right="353"/>
        <w:jc w:val="both"/>
        <w:rPr>
          <w:rFonts w:ascii="Arial" w:hAnsi="Arial"/>
        </w:rPr>
      </w:pPr>
      <w:r>
        <w:rPr>
          <w:rFonts w:ascii="Arial" w:hAnsi="Arial"/>
          <w:color w:val="231F20"/>
        </w:rPr>
        <w:t>La reconnaissance au travail peut favoriser le sentiment de fierté, ce qui </w:t>
      </w:r>
      <w:r>
        <w:rPr>
          <w:rFonts w:ascii="Arial" w:hAnsi="Arial"/>
          <w:color w:val="231F20"/>
          <w:w w:val="105"/>
        </w:rPr>
        <w:t>a</w:t>
      </w:r>
      <w:r>
        <w:rPr>
          <w:rFonts w:ascii="Arial" w:hAnsi="Arial"/>
          <w:color w:val="231F20"/>
          <w:spacing w:val="-9"/>
          <w:w w:val="105"/>
        </w:rPr>
        <w:t> </w:t>
      </w:r>
      <w:r>
        <w:rPr>
          <w:rFonts w:ascii="Arial" w:hAnsi="Arial"/>
          <w:color w:val="231F20"/>
          <w:w w:val="105"/>
        </w:rPr>
        <w:t>pour</w:t>
      </w:r>
      <w:r>
        <w:rPr>
          <w:rFonts w:ascii="Arial" w:hAnsi="Arial"/>
          <w:color w:val="231F20"/>
          <w:spacing w:val="-9"/>
          <w:w w:val="105"/>
        </w:rPr>
        <w:t> </w:t>
      </w:r>
      <w:r>
        <w:rPr>
          <w:rFonts w:ascii="Arial" w:hAnsi="Arial"/>
          <w:color w:val="231F20"/>
          <w:w w:val="105"/>
        </w:rPr>
        <w:t>effet</w:t>
      </w:r>
      <w:r>
        <w:rPr>
          <w:rFonts w:ascii="Arial" w:hAnsi="Arial"/>
          <w:color w:val="231F20"/>
          <w:spacing w:val="-9"/>
          <w:w w:val="105"/>
        </w:rPr>
        <w:t> </w:t>
      </w:r>
      <w:r>
        <w:rPr>
          <w:rFonts w:ascii="Arial" w:hAnsi="Arial"/>
          <w:color w:val="231F20"/>
          <w:w w:val="105"/>
        </w:rPr>
        <w:t>d’augmenter</w:t>
      </w:r>
      <w:r>
        <w:rPr>
          <w:rFonts w:ascii="Arial" w:hAnsi="Arial"/>
          <w:color w:val="231F20"/>
          <w:spacing w:val="-9"/>
          <w:w w:val="105"/>
        </w:rPr>
        <w:t> </w:t>
      </w:r>
      <w:r>
        <w:rPr>
          <w:rFonts w:ascii="Arial" w:hAnsi="Arial"/>
          <w:color w:val="231F20"/>
          <w:w w:val="105"/>
        </w:rPr>
        <w:t>la</w:t>
      </w:r>
      <w:r>
        <w:rPr>
          <w:rFonts w:ascii="Arial" w:hAnsi="Arial"/>
          <w:color w:val="231F20"/>
          <w:spacing w:val="-9"/>
          <w:w w:val="105"/>
        </w:rPr>
        <w:t> </w:t>
      </w:r>
      <w:r>
        <w:rPr>
          <w:rFonts w:ascii="Arial" w:hAnsi="Arial"/>
          <w:color w:val="231F20"/>
          <w:w w:val="105"/>
        </w:rPr>
        <w:t>confiance</w:t>
      </w:r>
      <w:r>
        <w:rPr>
          <w:rFonts w:ascii="Arial" w:hAnsi="Arial"/>
          <w:color w:val="231F20"/>
          <w:spacing w:val="-9"/>
          <w:w w:val="105"/>
        </w:rPr>
        <w:t> </w:t>
      </w:r>
      <w:r>
        <w:rPr>
          <w:rFonts w:ascii="Arial" w:hAnsi="Arial"/>
          <w:color w:val="231F20"/>
          <w:w w:val="105"/>
        </w:rPr>
        <w:t>en</w:t>
      </w:r>
      <w:r>
        <w:rPr>
          <w:rFonts w:ascii="Arial" w:hAnsi="Arial"/>
          <w:color w:val="231F20"/>
          <w:spacing w:val="-9"/>
          <w:w w:val="105"/>
        </w:rPr>
        <w:t> </w:t>
      </w:r>
      <w:r>
        <w:rPr>
          <w:rFonts w:ascii="Arial" w:hAnsi="Arial"/>
          <w:color w:val="231F20"/>
          <w:w w:val="105"/>
        </w:rPr>
        <w:t>soi,</w:t>
      </w:r>
      <w:r>
        <w:rPr>
          <w:rFonts w:ascii="Arial" w:hAnsi="Arial"/>
          <w:color w:val="231F20"/>
          <w:spacing w:val="-9"/>
          <w:w w:val="105"/>
        </w:rPr>
        <w:t> </w:t>
      </w:r>
      <w:r>
        <w:rPr>
          <w:rFonts w:ascii="Arial" w:hAnsi="Arial"/>
          <w:color w:val="231F20"/>
          <w:w w:val="105"/>
        </w:rPr>
        <w:t>permettant</w:t>
      </w:r>
      <w:r>
        <w:rPr>
          <w:rFonts w:ascii="Arial" w:hAnsi="Arial"/>
          <w:color w:val="231F20"/>
          <w:spacing w:val="-9"/>
          <w:w w:val="105"/>
        </w:rPr>
        <w:t> </w:t>
      </w:r>
      <w:r>
        <w:rPr>
          <w:rFonts w:ascii="Arial" w:hAnsi="Arial"/>
          <w:color w:val="231F20"/>
          <w:w w:val="105"/>
        </w:rPr>
        <w:t>à</w:t>
      </w:r>
      <w:r>
        <w:rPr>
          <w:rFonts w:ascii="Arial" w:hAnsi="Arial"/>
          <w:color w:val="231F20"/>
          <w:spacing w:val="-9"/>
          <w:w w:val="105"/>
        </w:rPr>
        <w:t> </w:t>
      </w:r>
      <w:r>
        <w:rPr>
          <w:rFonts w:ascii="Arial" w:hAnsi="Arial"/>
          <w:color w:val="231F20"/>
          <w:w w:val="105"/>
        </w:rPr>
        <w:t>la</w:t>
      </w:r>
      <w:r>
        <w:rPr>
          <w:rFonts w:ascii="Arial" w:hAnsi="Arial"/>
          <w:color w:val="231F20"/>
          <w:spacing w:val="-9"/>
          <w:w w:val="105"/>
        </w:rPr>
        <w:t> </w:t>
      </w:r>
      <w:r>
        <w:rPr>
          <w:rFonts w:ascii="Arial" w:hAnsi="Arial"/>
          <w:color w:val="231F20"/>
          <w:w w:val="105"/>
        </w:rPr>
        <w:t>personne </w:t>
      </w:r>
      <w:r>
        <w:rPr>
          <w:rFonts w:ascii="Arial" w:hAnsi="Arial"/>
          <w:color w:val="231F20"/>
          <w:spacing w:val="-2"/>
        </w:rPr>
        <w:t>d’être</w:t>
      </w:r>
      <w:r>
        <w:rPr>
          <w:rFonts w:ascii="Arial" w:hAnsi="Arial"/>
          <w:color w:val="231F20"/>
          <w:spacing w:val="-7"/>
        </w:rPr>
        <w:t> </w:t>
      </w:r>
      <w:r>
        <w:rPr>
          <w:rFonts w:ascii="Arial" w:hAnsi="Arial"/>
          <w:color w:val="231F20"/>
          <w:spacing w:val="-2"/>
        </w:rPr>
        <w:t>plus</w:t>
      </w:r>
      <w:r>
        <w:rPr>
          <w:rFonts w:ascii="Arial" w:hAnsi="Arial"/>
          <w:color w:val="231F20"/>
          <w:spacing w:val="-7"/>
        </w:rPr>
        <w:t> </w:t>
      </w:r>
      <w:r>
        <w:rPr>
          <w:rFonts w:ascii="Arial" w:hAnsi="Arial"/>
          <w:color w:val="231F20"/>
          <w:spacing w:val="-2"/>
        </w:rPr>
        <w:t>efficace</w:t>
      </w:r>
      <w:r>
        <w:rPr>
          <w:rFonts w:ascii="Arial" w:hAnsi="Arial"/>
          <w:color w:val="231F20"/>
          <w:spacing w:val="-7"/>
        </w:rPr>
        <w:t> </w:t>
      </w:r>
      <w:r>
        <w:rPr>
          <w:rFonts w:ascii="Arial" w:hAnsi="Arial"/>
          <w:color w:val="231F20"/>
          <w:spacing w:val="-2"/>
        </w:rPr>
        <w:t>et</w:t>
      </w:r>
      <w:r>
        <w:rPr>
          <w:rFonts w:ascii="Arial" w:hAnsi="Arial"/>
          <w:color w:val="231F20"/>
          <w:spacing w:val="-7"/>
        </w:rPr>
        <w:t> </w:t>
      </w:r>
      <w:r>
        <w:rPr>
          <w:rFonts w:ascii="Arial" w:hAnsi="Arial"/>
          <w:color w:val="231F20"/>
          <w:spacing w:val="-2"/>
        </w:rPr>
        <w:t>plus</w:t>
      </w:r>
      <w:r>
        <w:rPr>
          <w:rFonts w:ascii="Arial" w:hAnsi="Arial"/>
          <w:color w:val="231F20"/>
          <w:spacing w:val="-7"/>
        </w:rPr>
        <w:t> </w:t>
      </w:r>
      <w:r>
        <w:rPr>
          <w:rFonts w:ascii="Arial" w:hAnsi="Arial"/>
          <w:color w:val="231F20"/>
          <w:spacing w:val="-2"/>
        </w:rPr>
        <w:t>heureuse</w:t>
      </w:r>
      <w:r>
        <w:rPr>
          <w:rFonts w:ascii="Arial" w:hAnsi="Arial"/>
          <w:color w:val="231F20"/>
          <w:spacing w:val="-7"/>
        </w:rPr>
        <w:t> </w:t>
      </w:r>
      <w:r>
        <w:rPr>
          <w:rFonts w:ascii="Arial" w:hAnsi="Arial"/>
          <w:color w:val="231F20"/>
          <w:spacing w:val="-2"/>
        </w:rPr>
        <w:t>au</w:t>
      </w:r>
      <w:r>
        <w:rPr>
          <w:rFonts w:ascii="Arial" w:hAnsi="Arial"/>
          <w:color w:val="231F20"/>
          <w:spacing w:val="-7"/>
        </w:rPr>
        <w:t> </w:t>
      </w:r>
      <w:r>
        <w:rPr>
          <w:rFonts w:ascii="Arial" w:hAnsi="Arial"/>
          <w:color w:val="231F20"/>
          <w:spacing w:val="-2"/>
        </w:rPr>
        <w:t>travail.</w:t>
      </w:r>
      <w:r>
        <w:rPr>
          <w:rFonts w:ascii="Arial" w:hAnsi="Arial"/>
          <w:color w:val="231F20"/>
          <w:spacing w:val="-7"/>
        </w:rPr>
        <w:t> </w:t>
      </w:r>
      <w:r>
        <w:rPr>
          <w:rFonts w:ascii="Arial" w:hAnsi="Arial"/>
          <w:color w:val="231F20"/>
          <w:spacing w:val="-2"/>
        </w:rPr>
        <w:t>L’inverse</w:t>
      </w:r>
      <w:r>
        <w:rPr>
          <w:rFonts w:ascii="Arial" w:hAnsi="Arial"/>
          <w:color w:val="231F20"/>
          <w:spacing w:val="-7"/>
        </w:rPr>
        <w:t> </w:t>
      </w:r>
      <w:r>
        <w:rPr>
          <w:rFonts w:ascii="Arial" w:hAnsi="Arial"/>
          <w:color w:val="231F20"/>
          <w:spacing w:val="-2"/>
        </w:rPr>
        <w:t>est</w:t>
      </w:r>
      <w:r>
        <w:rPr>
          <w:rFonts w:ascii="Arial" w:hAnsi="Arial"/>
          <w:color w:val="231F20"/>
          <w:spacing w:val="-7"/>
        </w:rPr>
        <w:t> </w:t>
      </w:r>
      <w:r>
        <w:rPr>
          <w:rFonts w:ascii="Arial" w:hAnsi="Arial"/>
          <w:color w:val="231F20"/>
          <w:spacing w:val="-2"/>
        </w:rPr>
        <w:t>aussi</w:t>
      </w:r>
      <w:r>
        <w:rPr>
          <w:rFonts w:ascii="Arial" w:hAnsi="Arial"/>
          <w:color w:val="231F20"/>
          <w:spacing w:val="-7"/>
        </w:rPr>
        <w:t> </w:t>
      </w:r>
      <w:r>
        <w:rPr>
          <w:rFonts w:ascii="Arial" w:hAnsi="Arial"/>
          <w:color w:val="231F20"/>
          <w:spacing w:val="-2"/>
        </w:rPr>
        <w:t>vrai.</w:t>
      </w:r>
      <w:r>
        <w:rPr>
          <w:rFonts w:ascii="Arial" w:hAnsi="Arial"/>
          <w:color w:val="231F20"/>
          <w:spacing w:val="-7"/>
        </w:rPr>
        <w:t> </w:t>
      </w:r>
      <w:r>
        <w:rPr>
          <w:rFonts w:ascii="Arial" w:hAnsi="Arial"/>
          <w:color w:val="231F20"/>
          <w:spacing w:val="-2"/>
        </w:rPr>
        <w:t>Une </w:t>
      </w:r>
      <w:r>
        <w:rPr>
          <w:rFonts w:ascii="Arial" w:hAnsi="Arial"/>
          <w:color w:val="231F20"/>
        </w:rPr>
        <w:t>personne</w:t>
      </w:r>
      <w:r>
        <w:rPr>
          <w:rFonts w:ascii="Arial" w:hAnsi="Arial"/>
          <w:color w:val="231F20"/>
          <w:spacing w:val="-6"/>
        </w:rPr>
        <w:t> </w:t>
      </w:r>
      <w:r>
        <w:rPr>
          <w:rFonts w:ascii="Arial" w:hAnsi="Arial"/>
          <w:color w:val="231F20"/>
        </w:rPr>
        <w:t>qui</w:t>
      </w:r>
      <w:r>
        <w:rPr>
          <w:rFonts w:ascii="Arial" w:hAnsi="Arial"/>
          <w:color w:val="231F20"/>
          <w:spacing w:val="-6"/>
        </w:rPr>
        <w:t> </w:t>
      </w:r>
      <w:r>
        <w:rPr>
          <w:rFonts w:ascii="Arial" w:hAnsi="Arial"/>
          <w:color w:val="231F20"/>
        </w:rPr>
        <w:t>se</w:t>
      </w:r>
      <w:r>
        <w:rPr>
          <w:rFonts w:ascii="Arial" w:hAnsi="Arial"/>
          <w:color w:val="231F20"/>
          <w:spacing w:val="-6"/>
        </w:rPr>
        <w:t> </w:t>
      </w:r>
      <w:r>
        <w:rPr>
          <w:rFonts w:ascii="Arial" w:hAnsi="Arial"/>
          <w:color w:val="231F20"/>
        </w:rPr>
        <w:t>fait</w:t>
      </w:r>
      <w:r>
        <w:rPr>
          <w:rFonts w:ascii="Arial" w:hAnsi="Arial"/>
          <w:color w:val="231F20"/>
          <w:spacing w:val="-6"/>
        </w:rPr>
        <w:t> </w:t>
      </w:r>
      <w:r>
        <w:rPr>
          <w:rFonts w:ascii="Arial" w:hAnsi="Arial"/>
          <w:color w:val="231F20"/>
        </w:rPr>
        <w:t>continuellement</w:t>
      </w:r>
      <w:r>
        <w:rPr>
          <w:rFonts w:ascii="Arial" w:hAnsi="Arial"/>
          <w:color w:val="231F20"/>
          <w:spacing w:val="-6"/>
        </w:rPr>
        <w:t> </w:t>
      </w:r>
      <w:r>
        <w:rPr>
          <w:rFonts w:ascii="Arial" w:hAnsi="Arial"/>
          <w:color w:val="231F20"/>
        </w:rPr>
        <w:t>critiquer</w:t>
      </w:r>
      <w:r>
        <w:rPr>
          <w:rFonts w:ascii="Arial" w:hAnsi="Arial"/>
          <w:color w:val="231F20"/>
          <w:spacing w:val="-6"/>
        </w:rPr>
        <w:t> </w:t>
      </w:r>
      <w:r>
        <w:rPr>
          <w:rFonts w:ascii="Arial" w:hAnsi="Arial"/>
          <w:color w:val="231F20"/>
        </w:rPr>
        <w:t>et</w:t>
      </w:r>
      <w:r>
        <w:rPr>
          <w:rFonts w:ascii="Arial" w:hAnsi="Arial"/>
          <w:color w:val="231F20"/>
          <w:spacing w:val="-6"/>
        </w:rPr>
        <w:t> </w:t>
      </w:r>
      <w:r>
        <w:rPr>
          <w:rFonts w:ascii="Arial" w:hAnsi="Arial"/>
          <w:color w:val="231F20"/>
        </w:rPr>
        <w:t>qui</w:t>
      </w:r>
      <w:r>
        <w:rPr>
          <w:rFonts w:ascii="Arial" w:hAnsi="Arial"/>
          <w:color w:val="231F20"/>
          <w:spacing w:val="-6"/>
        </w:rPr>
        <w:t> </w:t>
      </w:r>
      <w:r>
        <w:rPr>
          <w:rFonts w:ascii="Arial" w:hAnsi="Arial"/>
          <w:color w:val="231F20"/>
        </w:rPr>
        <w:t>ne</w:t>
      </w:r>
      <w:r>
        <w:rPr>
          <w:rFonts w:ascii="Arial" w:hAnsi="Arial"/>
          <w:color w:val="231F20"/>
          <w:spacing w:val="-6"/>
        </w:rPr>
        <w:t> </w:t>
      </w:r>
      <w:r>
        <w:rPr>
          <w:rFonts w:ascii="Arial" w:hAnsi="Arial"/>
          <w:color w:val="231F20"/>
        </w:rPr>
        <w:t>se</w:t>
      </w:r>
      <w:r>
        <w:rPr>
          <w:rFonts w:ascii="Arial" w:hAnsi="Arial"/>
          <w:color w:val="231F20"/>
          <w:spacing w:val="-6"/>
        </w:rPr>
        <w:t> </w:t>
      </w:r>
      <w:r>
        <w:rPr>
          <w:rFonts w:ascii="Arial" w:hAnsi="Arial"/>
          <w:color w:val="231F20"/>
        </w:rPr>
        <w:t>sent</w:t>
      </w:r>
      <w:r>
        <w:rPr>
          <w:rFonts w:ascii="Arial" w:hAnsi="Arial"/>
          <w:color w:val="231F20"/>
          <w:spacing w:val="-6"/>
        </w:rPr>
        <w:t> </w:t>
      </w:r>
      <w:r>
        <w:rPr>
          <w:rFonts w:ascii="Arial" w:hAnsi="Arial"/>
          <w:color w:val="231F20"/>
        </w:rPr>
        <w:t>pas</w:t>
      </w:r>
      <w:r>
        <w:rPr>
          <w:rFonts w:ascii="Arial" w:hAnsi="Arial"/>
          <w:color w:val="231F20"/>
          <w:spacing w:val="-6"/>
        </w:rPr>
        <w:t> </w:t>
      </w:r>
      <w:r>
        <w:rPr>
          <w:rFonts w:ascii="Arial" w:hAnsi="Arial"/>
          <w:color w:val="231F20"/>
        </w:rPr>
        <w:t>appré- ciée</w:t>
      </w:r>
      <w:r>
        <w:rPr>
          <w:rFonts w:ascii="Arial" w:hAnsi="Arial"/>
          <w:color w:val="231F20"/>
          <w:spacing w:val="11"/>
        </w:rPr>
        <w:t> </w:t>
      </w:r>
      <w:r>
        <w:rPr>
          <w:rFonts w:ascii="Arial" w:hAnsi="Arial"/>
          <w:color w:val="231F20"/>
        </w:rPr>
        <w:t>finira</w:t>
      </w:r>
      <w:r>
        <w:rPr>
          <w:rFonts w:ascii="Arial" w:hAnsi="Arial"/>
          <w:color w:val="231F20"/>
          <w:spacing w:val="11"/>
        </w:rPr>
        <w:t> </w:t>
      </w:r>
      <w:r>
        <w:rPr>
          <w:rFonts w:ascii="Arial" w:hAnsi="Arial"/>
          <w:color w:val="231F20"/>
        </w:rPr>
        <w:t>par</w:t>
      </w:r>
      <w:r>
        <w:rPr>
          <w:rFonts w:ascii="Arial" w:hAnsi="Arial"/>
          <w:color w:val="231F20"/>
          <w:spacing w:val="11"/>
        </w:rPr>
        <w:t> </w:t>
      </w:r>
      <w:r>
        <w:rPr>
          <w:rFonts w:ascii="Arial" w:hAnsi="Arial"/>
          <w:color w:val="231F20"/>
        </w:rPr>
        <w:t>manquer</w:t>
      </w:r>
      <w:r>
        <w:rPr>
          <w:rFonts w:ascii="Arial" w:hAnsi="Arial"/>
          <w:color w:val="231F20"/>
          <w:spacing w:val="11"/>
        </w:rPr>
        <w:t> </w:t>
      </w:r>
      <w:r>
        <w:rPr>
          <w:rFonts w:ascii="Arial" w:hAnsi="Arial"/>
          <w:color w:val="231F20"/>
        </w:rPr>
        <w:t>de</w:t>
      </w:r>
      <w:r>
        <w:rPr>
          <w:rFonts w:ascii="Arial" w:hAnsi="Arial"/>
          <w:color w:val="231F20"/>
          <w:spacing w:val="12"/>
        </w:rPr>
        <w:t> </w:t>
      </w:r>
      <w:r>
        <w:rPr>
          <w:rFonts w:ascii="Arial" w:hAnsi="Arial"/>
          <w:color w:val="231F20"/>
        </w:rPr>
        <w:t>confiance,</w:t>
      </w:r>
      <w:r>
        <w:rPr>
          <w:rFonts w:ascii="Arial" w:hAnsi="Arial"/>
          <w:color w:val="231F20"/>
          <w:spacing w:val="11"/>
        </w:rPr>
        <w:t> </w:t>
      </w:r>
      <w:r>
        <w:rPr>
          <w:rFonts w:ascii="Arial" w:hAnsi="Arial"/>
          <w:color w:val="231F20"/>
        </w:rPr>
        <w:t>augmentera</w:t>
      </w:r>
      <w:r>
        <w:rPr>
          <w:rFonts w:ascii="Arial" w:hAnsi="Arial"/>
          <w:color w:val="231F20"/>
          <w:spacing w:val="11"/>
        </w:rPr>
        <w:t> </w:t>
      </w:r>
      <w:r>
        <w:rPr>
          <w:rFonts w:ascii="Arial" w:hAnsi="Arial"/>
          <w:color w:val="231F20"/>
        </w:rPr>
        <w:t>son</w:t>
      </w:r>
      <w:r>
        <w:rPr>
          <w:rFonts w:ascii="Arial" w:hAnsi="Arial"/>
          <w:color w:val="231F20"/>
          <w:spacing w:val="11"/>
        </w:rPr>
        <w:t> </w:t>
      </w:r>
      <w:r>
        <w:rPr>
          <w:rFonts w:ascii="Arial" w:hAnsi="Arial"/>
          <w:color w:val="231F20"/>
        </w:rPr>
        <w:t>niveau</w:t>
      </w:r>
      <w:r>
        <w:rPr>
          <w:rFonts w:ascii="Arial" w:hAnsi="Arial"/>
          <w:color w:val="231F20"/>
          <w:spacing w:val="12"/>
        </w:rPr>
        <w:t> </w:t>
      </w:r>
      <w:r>
        <w:rPr>
          <w:rFonts w:ascii="Arial" w:hAnsi="Arial"/>
          <w:color w:val="231F20"/>
        </w:rPr>
        <w:t>de</w:t>
      </w:r>
      <w:r>
        <w:rPr>
          <w:rFonts w:ascii="Arial" w:hAnsi="Arial"/>
          <w:color w:val="231F20"/>
          <w:spacing w:val="11"/>
        </w:rPr>
        <w:t> </w:t>
      </w:r>
      <w:r>
        <w:rPr>
          <w:rFonts w:ascii="Arial" w:hAnsi="Arial"/>
          <w:color w:val="231F20"/>
          <w:spacing w:val="-2"/>
        </w:rPr>
        <w:t>stress</w:t>
      </w:r>
    </w:p>
    <w:p>
      <w:pPr>
        <w:pStyle w:val="BodyText"/>
        <w:spacing w:line="195" w:lineRule="exact"/>
        <w:ind w:left="1219"/>
        <w:jc w:val="both"/>
        <w:rPr>
          <w:rFonts w:ascii="Arial" w:hAnsi="Arial"/>
        </w:rPr>
      </w:pPr>
      <w:r>
        <w:rPr>
          <w:rFonts w:ascii="Arial" w:hAnsi="Arial"/>
          <w:color w:val="231F20"/>
        </w:rPr>
        <w:t>«</w:t>
      </w:r>
      <w:r>
        <w:rPr>
          <w:rFonts w:ascii="Arial" w:hAnsi="Arial"/>
          <w:color w:val="231F20"/>
          <w:spacing w:val="-31"/>
        </w:rPr>
        <w:t> </w:t>
      </w:r>
      <w:r>
        <w:rPr>
          <w:rFonts w:ascii="Arial" w:hAnsi="Arial"/>
          <w:color w:val="231F20"/>
        </w:rPr>
        <w:t>négatif»</w:t>
      </w:r>
      <w:r>
        <w:rPr>
          <w:rFonts w:ascii="Arial" w:hAnsi="Arial"/>
          <w:color w:val="231F20"/>
          <w:spacing w:val="-2"/>
        </w:rPr>
        <w:t> </w:t>
      </w:r>
      <w:r>
        <w:rPr>
          <w:rFonts w:ascii="Arial" w:hAnsi="Arial"/>
          <w:color w:val="231F20"/>
        </w:rPr>
        <w:t>et</w:t>
      </w:r>
      <w:r>
        <w:rPr>
          <w:rFonts w:ascii="Arial" w:hAnsi="Arial"/>
          <w:color w:val="231F20"/>
          <w:spacing w:val="-2"/>
        </w:rPr>
        <w:t> </w:t>
      </w:r>
      <w:r>
        <w:rPr>
          <w:rFonts w:ascii="Arial" w:hAnsi="Arial"/>
          <w:color w:val="231F20"/>
        </w:rPr>
        <w:t>deviendra</w:t>
      </w:r>
      <w:r>
        <w:rPr>
          <w:rFonts w:ascii="Arial" w:hAnsi="Arial"/>
          <w:color w:val="231F20"/>
          <w:spacing w:val="-2"/>
        </w:rPr>
        <w:t> </w:t>
      </w:r>
      <w:r>
        <w:rPr>
          <w:rFonts w:ascii="Arial" w:hAnsi="Arial"/>
          <w:color w:val="231F20"/>
        </w:rPr>
        <w:t>moins</w:t>
      </w:r>
      <w:r>
        <w:rPr>
          <w:rFonts w:ascii="Arial" w:hAnsi="Arial"/>
          <w:color w:val="231F20"/>
          <w:spacing w:val="-2"/>
        </w:rPr>
        <w:t> </w:t>
      </w:r>
      <w:r>
        <w:rPr>
          <w:rFonts w:ascii="Arial" w:hAnsi="Arial"/>
          <w:color w:val="231F20"/>
        </w:rPr>
        <w:t>efficace</w:t>
      </w:r>
      <w:r>
        <w:rPr>
          <w:rFonts w:ascii="Arial" w:hAnsi="Arial"/>
          <w:color w:val="231F20"/>
          <w:spacing w:val="-3"/>
        </w:rPr>
        <w:t> </w:t>
      </w:r>
      <w:r>
        <w:rPr>
          <w:rFonts w:ascii="Arial" w:hAnsi="Arial"/>
          <w:color w:val="231F20"/>
        </w:rPr>
        <w:t>et</w:t>
      </w:r>
      <w:r>
        <w:rPr>
          <w:rFonts w:ascii="Arial" w:hAnsi="Arial"/>
          <w:color w:val="231F20"/>
          <w:spacing w:val="-2"/>
        </w:rPr>
        <w:t> </w:t>
      </w:r>
      <w:r>
        <w:rPr>
          <w:rFonts w:ascii="Arial" w:hAnsi="Arial"/>
          <w:color w:val="231F20"/>
        </w:rPr>
        <w:t>malheureuse</w:t>
      </w:r>
      <w:r>
        <w:rPr>
          <w:rFonts w:ascii="Arial" w:hAnsi="Arial"/>
          <w:color w:val="231F20"/>
          <w:spacing w:val="-2"/>
        </w:rPr>
        <w:t> </w:t>
      </w:r>
      <w:r>
        <w:rPr>
          <w:rFonts w:ascii="Arial" w:hAnsi="Arial"/>
          <w:color w:val="231F20"/>
        </w:rPr>
        <w:t>au</w:t>
      </w:r>
      <w:r>
        <w:rPr>
          <w:rFonts w:ascii="Arial" w:hAnsi="Arial"/>
          <w:color w:val="231F20"/>
          <w:spacing w:val="-2"/>
        </w:rPr>
        <w:t> travail.</w:t>
      </w:r>
    </w:p>
    <w:p>
      <w:pPr>
        <w:pStyle w:val="BodyText"/>
        <w:spacing w:before="3"/>
        <w:rPr>
          <w:rFonts w:ascii="Arial"/>
          <w:sz w:val="9"/>
        </w:rPr>
      </w:pPr>
      <w:r>
        <w:rPr/>
        <w:pict>
          <v:shape style="position:absolute;margin-left:82pt;margin-top:6.534387pt;width:287.5pt;height:.1pt;mso-position-horizontal-relative:page;mso-position-vertical-relative:paragraph;z-index:-15636992;mso-wrap-distance-left:0;mso-wrap-distance-right:0" id="docshape998" coordorigin="1640,131" coordsize="5750,0" path="m1640,131l7390,131e" filled="false" stroked="true" strokeweight=".25pt" strokecolor="#231f20">
            <v:path arrowok="t"/>
            <v:stroke dashstyle="shortdot"/>
            <w10:wrap type="topAndBottom"/>
          </v:shape>
        </w:pict>
      </w:r>
    </w:p>
    <w:p>
      <w:pPr>
        <w:spacing w:line="295" w:lineRule="auto" w:before="137"/>
        <w:ind w:left="1220" w:right="354" w:firstLine="0"/>
        <w:jc w:val="both"/>
        <w:rPr>
          <w:rFonts w:ascii="Arial" w:hAnsi="Arial"/>
          <w:sz w:val="12"/>
        </w:rPr>
      </w:pPr>
      <w:r>
        <w:rPr>
          <w:rFonts w:ascii="Arial" w:hAnsi="Arial"/>
          <w:color w:val="231F20"/>
          <w:sz w:val="12"/>
        </w:rPr>
        <w:t>Source</w:t>
      </w:r>
      <w:r>
        <w:rPr>
          <w:rFonts w:ascii="Arial" w:hAnsi="Arial"/>
          <w:color w:val="231F20"/>
          <w:spacing w:val="-5"/>
          <w:sz w:val="12"/>
        </w:rPr>
        <w:t> </w:t>
      </w:r>
      <w:r>
        <w:rPr>
          <w:rFonts w:ascii="Arial" w:hAnsi="Arial"/>
          <w:color w:val="231F20"/>
          <w:sz w:val="12"/>
        </w:rPr>
        <w:t>: E. Plouffe (s. a.), &lt;https://action-emploi.ca/reconnaissance-et-estime-de-soi-au-travail/&gt;,</w:t>
      </w:r>
      <w:r>
        <w:rPr>
          <w:rFonts w:ascii="Arial" w:hAnsi="Arial"/>
          <w:color w:val="231F20"/>
          <w:spacing w:val="40"/>
          <w:sz w:val="12"/>
        </w:rPr>
        <w:t> </w:t>
      </w:r>
      <w:r>
        <w:rPr>
          <w:rFonts w:ascii="Arial" w:hAnsi="Arial"/>
          <w:color w:val="231F20"/>
          <w:sz w:val="12"/>
        </w:rPr>
        <w:t>consulté le 12 janvier 2022.</w:t>
      </w:r>
    </w:p>
    <w:p>
      <w:pPr>
        <w:pStyle w:val="BodyText"/>
        <w:rPr>
          <w:rFonts w:ascii="Arial"/>
          <w:sz w:val="16"/>
        </w:rPr>
      </w:pPr>
    </w:p>
    <w:p>
      <w:pPr>
        <w:pStyle w:val="BodyText"/>
        <w:spacing w:line="307" w:lineRule="auto" w:before="101"/>
        <w:ind w:left="1220" w:right="101"/>
        <w:jc w:val="both"/>
      </w:pPr>
      <w:r>
        <w:rPr>
          <w:color w:val="231F20"/>
          <w:w w:val="120"/>
        </w:rPr>
        <w:t>Dans un important ouvrage publié initialement en 196044, Douglas McGregor</w:t>
      </w:r>
      <w:r>
        <w:rPr>
          <w:color w:val="231F20"/>
          <w:spacing w:val="-12"/>
          <w:w w:val="120"/>
        </w:rPr>
        <w:t> </w:t>
      </w:r>
      <w:r>
        <w:rPr>
          <w:color w:val="231F20"/>
          <w:w w:val="120"/>
        </w:rPr>
        <w:t>avait déjà donné une définition du directeur humaniste</w:t>
      </w:r>
      <w:r>
        <w:rPr>
          <w:color w:val="231F20"/>
          <w:spacing w:val="-13"/>
          <w:w w:val="120"/>
        </w:rPr>
        <w:t> </w:t>
      </w:r>
      <w:r>
        <w:rPr>
          <w:color w:val="231F20"/>
          <w:w w:val="120"/>
        </w:rPr>
        <w:t>: un professionnel qui, dans le but de gérer des personnes et d’obtenir des </w:t>
      </w:r>
      <w:r>
        <w:rPr>
          <w:color w:val="231F20"/>
          <w:w w:val="115"/>
        </w:rPr>
        <w:t>résultats commerciaux, applique des connaissances dérivées des sciences humaines</w:t>
      </w:r>
      <w:r>
        <w:rPr>
          <w:color w:val="231F20"/>
          <w:spacing w:val="-1"/>
          <w:w w:val="115"/>
        </w:rPr>
        <w:t> </w:t>
      </w:r>
      <w:r>
        <w:rPr>
          <w:color w:val="231F20"/>
          <w:w w:val="115"/>
        </w:rPr>
        <w:t>telles</w:t>
      </w:r>
      <w:r>
        <w:rPr>
          <w:color w:val="231F20"/>
          <w:spacing w:val="-1"/>
          <w:w w:val="115"/>
        </w:rPr>
        <w:t> </w:t>
      </w:r>
      <w:r>
        <w:rPr>
          <w:color w:val="231F20"/>
          <w:w w:val="115"/>
        </w:rPr>
        <w:t>la</w:t>
      </w:r>
      <w:r>
        <w:rPr>
          <w:color w:val="231F20"/>
          <w:spacing w:val="-1"/>
          <w:w w:val="115"/>
        </w:rPr>
        <w:t> </w:t>
      </w:r>
      <w:r>
        <w:rPr>
          <w:color w:val="231F20"/>
          <w:w w:val="115"/>
        </w:rPr>
        <w:t>psychologie</w:t>
      </w:r>
      <w:r>
        <w:rPr>
          <w:color w:val="231F20"/>
          <w:spacing w:val="-1"/>
          <w:w w:val="115"/>
        </w:rPr>
        <w:t> </w:t>
      </w:r>
      <w:r>
        <w:rPr>
          <w:color w:val="231F20"/>
          <w:w w:val="115"/>
        </w:rPr>
        <w:t>sociale,</w:t>
      </w:r>
      <w:r>
        <w:rPr>
          <w:color w:val="231F20"/>
          <w:spacing w:val="-1"/>
          <w:w w:val="115"/>
        </w:rPr>
        <w:t> </w:t>
      </w:r>
      <w:r>
        <w:rPr>
          <w:color w:val="231F20"/>
          <w:w w:val="115"/>
        </w:rPr>
        <w:t>l’anthropologie,</w:t>
      </w:r>
      <w:r>
        <w:rPr>
          <w:color w:val="231F20"/>
          <w:spacing w:val="-1"/>
          <w:w w:val="115"/>
        </w:rPr>
        <w:t> </w:t>
      </w:r>
      <w:r>
        <w:rPr>
          <w:color w:val="231F20"/>
          <w:w w:val="115"/>
        </w:rPr>
        <w:t>les</w:t>
      </w:r>
      <w:r>
        <w:rPr>
          <w:color w:val="231F20"/>
          <w:spacing w:val="-1"/>
          <w:w w:val="115"/>
        </w:rPr>
        <w:t> </w:t>
      </w:r>
      <w:r>
        <w:rPr>
          <w:color w:val="231F20"/>
          <w:w w:val="115"/>
        </w:rPr>
        <w:t>sciences</w:t>
      </w:r>
      <w:r>
        <w:rPr>
          <w:color w:val="231F20"/>
          <w:spacing w:val="-1"/>
          <w:w w:val="115"/>
        </w:rPr>
        <w:t> </w:t>
      </w:r>
      <w:r>
        <w:rPr>
          <w:color w:val="231F20"/>
          <w:w w:val="115"/>
        </w:rPr>
        <w:t>poli- tiques et la philosophie. Il est clair que les connaissances en économie ne suffisent</w:t>
      </w:r>
      <w:r>
        <w:rPr>
          <w:color w:val="231F20"/>
          <w:spacing w:val="-1"/>
          <w:w w:val="115"/>
        </w:rPr>
        <w:t> </w:t>
      </w:r>
      <w:r>
        <w:rPr>
          <w:color w:val="231F20"/>
          <w:w w:val="115"/>
        </w:rPr>
        <w:t>pas</w:t>
      </w:r>
      <w:r>
        <w:rPr>
          <w:color w:val="231F20"/>
          <w:spacing w:val="-1"/>
          <w:w w:val="115"/>
        </w:rPr>
        <w:t> </w:t>
      </w:r>
      <w:r>
        <w:rPr>
          <w:color w:val="231F20"/>
          <w:w w:val="115"/>
        </w:rPr>
        <w:t>quand</w:t>
      </w:r>
      <w:r>
        <w:rPr>
          <w:color w:val="231F20"/>
          <w:spacing w:val="-1"/>
          <w:w w:val="115"/>
        </w:rPr>
        <w:t> </w:t>
      </w:r>
      <w:r>
        <w:rPr>
          <w:color w:val="231F20"/>
          <w:w w:val="115"/>
        </w:rPr>
        <w:t>il</w:t>
      </w:r>
      <w:r>
        <w:rPr>
          <w:color w:val="231F20"/>
          <w:spacing w:val="-1"/>
          <w:w w:val="115"/>
        </w:rPr>
        <w:t> </w:t>
      </w:r>
      <w:r>
        <w:rPr>
          <w:color w:val="231F20"/>
          <w:w w:val="115"/>
        </w:rPr>
        <w:t>s’agit</w:t>
      </w:r>
      <w:r>
        <w:rPr>
          <w:color w:val="231F20"/>
          <w:spacing w:val="-1"/>
          <w:w w:val="115"/>
        </w:rPr>
        <w:t> </w:t>
      </w:r>
      <w:r>
        <w:rPr>
          <w:color w:val="231F20"/>
          <w:w w:val="115"/>
        </w:rPr>
        <w:t>de</w:t>
      </w:r>
      <w:r>
        <w:rPr>
          <w:color w:val="231F20"/>
          <w:spacing w:val="-1"/>
          <w:w w:val="115"/>
        </w:rPr>
        <w:t> </w:t>
      </w:r>
      <w:r>
        <w:rPr>
          <w:color w:val="231F20"/>
          <w:w w:val="115"/>
        </w:rPr>
        <w:t>gérer</w:t>
      </w:r>
      <w:r>
        <w:rPr>
          <w:color w:val="231F20"/>
          <w:spacing w:val="-1"/>
          <w:w w:val="115"/>
        </w:rPr>
        <w:t> </w:t>
      </w:r>
      <w:r>
        <w:rPr>
          <w:color w:val="231F20"/>
          <w:w w:val="115"/>
        </w:rPr>
        <w:t>des</w:t>
      </w:r>
      <w:r>
        <w:rPr>
          <w:color w:val="231F20"/>
          <w:spacing w:val="-1"/>
          <w:w w:val="115"/>
        </w:rPr>
        <w:t> </w:t>
      </w:r>
      <w:r>
        <w:rPr>
          <w:color w:val="231F20"/>
          <w:w w:val="115"/>
        </w:rPr>
        <w:t>gens</w:t>
      </w:r>
      <w:r>
        <w:rPr>
          <w:color w:val="231F20"/>
          <w:spacing w:val="-1"/>
          <w:w w:val="115"/>
        </w:rPr>
        <w:t> </w:t>
      </w:r>
      <w:r>
        <w:rPr>
          <w:color w:val="231F20"/>
          <w:w w:val="115"/>
        </w:rPr>
        <w:t>et</w:t>
      </w:r>
      <w:r>
        <w:rPr>
          <w:color w:val="231F20"/>
          <w:spacing w:val="-1"/>
          <w:w w:val="115"/>
        </w:rPr>
        <w:t> </w:t>
      </w:r>
      <w:r>
        <w:rPr>
          <w:color w:val="231F20"/>
          <w:w w:val="115"/>
        </w:rPr>
        <w:t>des</w:t>
      </w:r>
      <w:r>
        <w:rPr>
          <w:color w:val="231F20"/>
          <w:spacing w:val="-1"/>
          <w:w w:val="115"/>
        </w:rPr>
        <w:t> </w:t>
      </w:r>
      <w:r>
        <w:rPr>
          <w:color w:val="231F20"/>
          <w:w w:val="115"/>
        </w:rPr>
        <w:t>projets.</w:t>
      </w:r>
      <w:r>
        <w:rPr>
          <w:color w:val="231F20"/>
          <w:spacing w:val="-1"/>
          <w:w w:val="115"/>
        </w:rPr>
        <w:t> </w:t>
      </w:r>
      <w:r>
        <w:rPr>
          <w:color w:val="231F20"/>
          <w:w w:val="115"/>
        </w:rPr>
        <w:t>Le</w:t>
      </w:r>
      <w:r>
        <w:rPr>
          <w:color w:val="231F20"/>
          <w:spacing w:val="-1"/>
          <w:w w:val="115"/>
        </w:rPr>
        <w:t> </w:t>
      </w:r>
      <w:r>
        <w:rPr>
          <w:color w:val="231F20"/>
          <w:w w:val="115"/>
        </w:rPr>
        <w:t>génie,</w:t>
      </w:r>
      <w:r>
        <w:rPr>
          <w:color w:val="231F20"/>
          <w:spacing w:val="-1"/>
          <w:w w:val="115"/>
        </w:rPr>
        <w:t> </w:t>
      </w:r>
      <w:r>
        <w:rPr>
          <w:color w:val="231F20"/>
          <w:w w:val="115"/>
        </w:rPr>
        <w:t>les </w:t>
      </w:r>
      <w:r>
        <w:rPr>
          <w:color w:val="231F20"/>
          <w:w w:val="120"/>
        </w:rPr>
        <w:t>lettres et les sciences humaines sont mutuellement nécessaires.</w:t>
      </w:r>
    </w:p>
    <w:p>
      <w:pPr>
        <w:pStyle w:val="BodyText"/>
        <w:spacing w:line="307" w:lineRule="auto" w:before="78"/>
        <w:ind w:left="1220" w:right="102" w:firstLine="250"/>
        <w:jc w:val="both"/>
      </w:pPr>
      <w:r>
        <w:rPr>
          <w:color w:val="231F20"/>
          <w:w w:val="120"/>
        </w:rPr>
        <w:t>Malheureusement, et c’est bien dommage, il y a encore très peu de dirigeants</w:t>
      </w:r>
      <w:r>
        <w:rPr>
          <w:color w:val="231F20"/>
          <w:spacing w:val="-4"/>
          <w:w w:val="120"/>
        </w:rPr>
        <w:t> </w:t>
      </w:r>
      <w:r>
        <w:rPr>
          <w:color w:val="231F20"/>
          <w:w w:val="120"/>
        </w:rPr>
        <w:t>humanistes</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barre</w:t>
      </w:r>
      <w:r>
        <w:rPr>
          <w:color w:val="231F20"/>
          <w:spacing w:val="-4"/>
          <w:w w:val="120"/>
        </w:rPr>
        <w:t> </w:t>
      </w:r>
      <w:r>
        <w:rPr>
          <w:color w:val="231F20"/>
          <w:w w:val="120"/>
        </w:rPr>
        <w:t>des</w:t>
      </w:r>
      <w:r>
        <w:rPr>
          <w:color w:val="231F20"/>
          <w:spacing w:val="-4"/>
          <w:w w:val="120"/>
        </w:rPr>
        <w:t> </w:t>
      </w:r>
      <w:r>
        <w:rPr>
          <w:color w:val="231F20"/>
          <w:w w:val="120"/>
        </w:rPr>
        <w:t>entreprises.</w:t>
      </w:r>
      <w:r>
        <w:rPr>
          <w:color w:val="231F20"/>
          <w:spacing w:val="-4"/>
          <w:w w:val="120"/>
        </w:rPr>
        <w:t> </w:t>
      </w:r>
      <w:r>
        <w:rPr>
          <w:color w:val="231F20"/>
          <w:w w:val="120"/>
        </w:rPr>
        <w:t>La</w:t>
      </w:r>
      <w:r>
        <w:rPr>
          <w:color w:val="231F20"/>
          <w:spacing w:val="-4"/>
          <w:w w:val="120"/>
        </w:rPr>
        <w:t> </w:t>
      </w:r>
      <w:r>
        <w:rPr>
          <w:color w:val="231F20"/>
          <w:w w:val="120"/>
        </w:rPr>
        <w:t>plupart</w:t>
      </w:r>
      <w:r>
        <w:rPr>
          <w:color w:val="231F20"/>
          <w:spacing w:val="-4"/>
          <w:w w:val="120"/>
        </w:rPr>
        <w:t> </w:t>
      </w:r>
      <w:r>
        <w:rPr>
          <w:color w:val="231F20"/>
          <w:w w:val="120"/>
        </w:rPr>
        <w:t>des</w:t>
      </w:r>
      <w:r>
        <w:rPr>
          <w:color w:val="231F20"/>
          <w:spacing w:val="-4"/>
          <w:w w:val="120"/>
        </w:rPr>
        <w:t> </w:t>
      </w:r>
      <w:r>
        <w:rPr>
          <w:color w:val="231F20"/>
          <w:w w:val="120"/>
        </w:rPr>
        <w:t>organi- sations sont dirigées par des gestionnaires rationalistes pour qui les valeurs dominantes sont l’efficacité à court terme et le contournement des problèmes. On pourrait dire, des gestionnaires d’une autre époque pour des organisations faisant face à des défis nouveaux. Nous avons besoin</w:t>
      </w:r>
      <w:r>
        <w:rPr>
          <w:color w:val="231F20"/>
          <w:spacing w:val="-13"/>
          <w:w w:val="120"/>
        </w:rPr>
        <w:t> </w:t>
      </w:r>
      <w:r>
        <w:rPr>
          <w:color w:val="231F20"/>
          <w:w w:val="120"/>
        </w:rPr>
        <w:t>de</w:t>
      </w:r>
      <w:r>
        <w:rPr>
          <w:color w:val="231F20"/>
          <w:spacing w:val="-13"/>
          <w:w w:val="120"/>
        </w:rPr>
        <w:t> </w:t>
      </w:r>
      <w:r>
        <w:rPr>
          <w:color w:val="231F20"/>
          <w:w w:val="120"/>
        </w:rPr>
        <w:t>gestionnaires</w:t>
      </w:r>
      <w:r>
        <w:rPr>
          <w:color w:val="231F20"/>
          <w:spacing w:val="-13"/>
          <w:w w:val="120"/>
        </w:rPr>
        <w:t> </w:t>
      </w:r>
      <w:r>
        <w:rPr>
          <w:color w:val="231F20"/>
          <w:w w:val="120"/>
        </w:rPr>
        <w:t>plus</w:t>
      </w:r>
      <w:r>
        <w:rPr>
          <w:color w:val="231F20"/>
          <w:spacing w:val="-12"/>
          <w:w w:val="120"/>
        </w:rPr>
        <w:t> </w:t>
      </w:r>
      <w:r>
        <w:rPr>
          <w:color w:val="231F20"/>
          <w:w w:val="120"/>
        </w:rPr>
        <w:t>soucieux</w:t>
      </w:r>
      <w:r>
        <w:rPr>
          <w:color w:val="231F20"/>
          <w:spacing w:val="-13"/>
          <w:w w:val="120"/>
        </w:rPr>
        <w:t> </w:t>
      </w:r>
      <w:r>
        <w:rPr>
          <w:color w:val="231F20"/>
          <w:w w:val="120"/>
        </w:rPr>
        <w:t>du</w:t>
      </w:r>
      <w:r>
        <w:rPr>
          <w:color w:val="231F20"/>
          <w:spacing w:val="-13"/>
          <w:w w:val="120"/>
        </w:rPr>
        <w:t> </w:t>
      </w:r>
      <w:r>
        <w:rPr>
          <w:color w:val="231F20"/>
          <w:w w:val="120"/>
        </w:rPr>
        <w:t>bien-être</w:t>
      </w:r>
      <w:r>
        <w:rPr>
          <w:color w:val="231F20"/>
          <w:spacing w:val="-13"/>
          <w:w w:val="120"/>
        </w:rPr>
        <w:t> </w:t>
      </w:r>
      <w:r>
        <w:rPr>
          <w:color w:val="231F20"/>
          <w:w w:val="120"/>
        </w:rPr>
        <w:t>des</w:t>
      </w:r>
      <w:r>
        <w:rPr>
          <w:color w:val="231F20"/>
          <w:spacing w:val="-12"/>
          <w:w w:val="120"/>
        </w:rPr>
        <w:t> </w:t>
      </w:r>
      <w:r>
        <w:rPr>
          <w:color w:val="231F20"/>
          <w:w w:val="120"/>
        </w:rPr>
        <w:t>employés</w:t>
      </w:r>
      <w:r>
        <w:rPr>
          <w:color w:val="231F20"/>
          <w:spacing w:val="-13"/>
          <w:w w:val="120"/>
        </w:rPr>
        <w:t> </w:t>
      </w:r>
      <w:r>
        <w:rPr>
          <w:color w:val="231F20"/>
          <w:w w:val="120"/>
        </w:rPr>
        <w:t>afin</w:t>
      </w:r>
      <w:r>
        <w:rPr>
          <w:color w:val="231F20"/>
          <w:spacing w:val="-13"/>
          <w:w w:val="120"/>
        </w:rPr>
        <w:t> </w:t>
      </w:r>
      <w:r>
        <w:rPr>
          <w:color w:val="231F20"/>
          <w:w w:val="120"/>
        </w:rPr>
        <w:t>de </w:t>
      </w:r>
      <w:r>
        <w:rPr>
          <w:color w:val="231F20"/>
          <w:spacing w:val="-2"/>
          <w:w w:val="120"/>
        </w:rPr>
        <w:t>puiser</w:t>
      </w:r>
      <w:r>
        <w:rPr>
          <w:color w:val="231F20"/>
          <w:spacing w:val="-9"/>
          <w:w w:val="120"/>
        </w:rPr>
        <w:t> </w:t>
      </w:r>
      <w:r>
        <w:rPr>
          <w:color w:val="231F20"/>
          <w:spacing w:val="-2"/>
          <w:w w:val="120"/>
        </w:rPr>
        <w:t>directement</w:t>
      </w:r>
      <w:r>
        <w:rPr>
          <w:color w:val="231F20"/>
          <w:spacing w:val="-9"/>
          <w:w w:val="120"/>
        </w:rPr>
        <w:t> </w:t>
      </w:r>
      <w:r>
        <w:rPr>
          <w:color w:val="231F20"/>
          <w:spacing w:val="-2"/>
          <w:w w:val="120"/>
        </w:rPr>
        <w:t>à</w:t>
      </w:r>
      <w:r>
        <w:rPr>
          <w:color w:val="231F20"/>
          <w:spacing w:val="-9"/>
          <w:w w:val="120"/>
        </w:rPr>
        <w:t> </w:t>
      </w:r>
      <w:r>
        <w:rPr>
          <w:color w:val="231F20"/>
          <w:spacing w:val="-2"/>
          <w:w w:val="120"/>
        </w:rPr>
        <w:t>la</w:t>
      </w:r>
      <w:r>
        <w:rPr>
          <w:color w:val="231F20"/>
          <w:spacing w:val="-9"/>
          <w:w w:val="120"/>
        </w:rPr>
        <w:t> </w:t>
      </w:r>
      <w:r>
        <w:rPr>
          <w:color w:val="231F20"/>
          <w:spacing w:val="-2"/>
          <w:w w:val="120"/>
        </w:rPr>
        <w:t>source</w:t>
      </w:r>
      <w:r>
        <w:rPr>
          <w:color w:val="231F20"/>
          <w:spacing w:val="-9"/>
          <w:w w:val="120"/>
        </w:rPr>
        <w:t> </w:t>
      </w:r>
      <w:r>
        <w:rPr>
          <w:color w:val="231F20"/>
          <w:spacing w:val="-2"/>
          <w:w w:val="120"/>
        </w:rPr>
        <w:t>la</w:t>
      </w:r>
      <w:r>
        <w:rPr>
          <w:color w:val="231F20"/>
          <w:spacing w:val="-9"/>
          <w:w w:val="120"/>
        </w:rPr>
        <w:t> </w:t>
      </w:r>
      <w:r>
        <w:rPr>
          <w:color w:val="231F20"/>
          <w:spacing w:val="-2"/>
          <w:w w:val="120"/>
        </w:rPr>
        <w:t>motivation</w:t>
      </w:r>
      <w:r>
        <w:rPr>
          <w:color w:val="231F20"/>
          <w:spacing w:val="-9"/>
          <w:w w:val="120"/>
        </w:rPr>
        <w:t> </w:t>
      </w:r>
      <w:r>
        <w:rPr>
          <w:color w:val="231F20"/>
          <w:spacing w:val="-2"/>
          <w:w w:val="120"/>
        </w:rPr>
        <w:t>nécessaire</w:t>
      </w:r>
      <w:r>
        <w:rPr>
          <w:color w:val="231F20"/>
          <w:spacing w:val="-9"/>
          <w:w w:val="120"/>
        </w:rPr>
        <w:t> </w:t>
      </w:r>
      <w:r>
        <w:rPr>
          <w:color w:val="231F20"/>
          <w:spacing w:val="-2"/>
          <w:w w:val="120"/>
        </w:rPr>
        <w:t>pour</w:t>
      </w:r>
      <w:r>
        <w:rPr>
          <w:color w:val="231F20"/>
          <w:spacing w:val="-9"/>
          <w:w w:val="120"/>
        </w:rPr>
        <w:t> </w:t>
      </w:r>
      <w:r>
        <w:rPr>
          <w:color w:val="231F20"/>
          <w:spacing w:val="-2"/>
          <w:w w:val="120"/>
        </w:rPr>
        <w:t>façonner</w:t>
      </w:r>
      <w:r>
        <w:rPr>
          <w:color w:val="231F20"/>
          <w:spacing w:val="-9"/>
          <w:w w:val="120"/>
        </w:rPr>
        <w:t> </w:t>
      </w:r>
      <w:r>
        <w:rPr>
          <w:color w:val="231F20"/>
          <w:spacing w:val="-2"/>
          <w:w w:val="120"/>
        </w:rPr>
        <w:t>les </w:t>
      </w:r>
      <w:r>
        <w:rPr>
          <w:color w:val="231F20"/>
          <w:w w:val="120"/>
        </w:rPr>
        <w:t>entreprises à l’image de ses ressources humaines, et non l’inverse.</w:t>
      </w:r>
    </w:p>
    <w:p>
      <w:pPr>
        <w:pStyle w:val="BodyText"/>
        <w:rPr>
          <w:sz w:val="20"/>
        </w:rPr>
      </w:pPr>
    </w:p>
    <w:p>
      <w:pPr>
        <w:pStyle w:val="BodyText"/>
        <w:rPr>
          <w:sz w:val="20"/>
        </w:rPr>
      </w:pPr>
    </w:p>
    <w:p>
      <w:pPr>
        <w:pStyle w:val="BodyText"/>
        <w:spacing w:before="5"/>
        <w:rPr>
          <w:sz w:val="25"/>
        </w:rPr>
      </w:pPr>
      <w:r>
        <w:rPr/>
        <w:pict>
          <v:shape style="position:absolute;margin-left:82pt;margin-top:15.844238pt;width:287.5pt;height:.1pt;mso-position-horizontal-relative:page;mso-position-vertical-relative:paragraph;z-index:-15636480;mso-wrap-distance-left:0;mso-wrap-distance-right:0" id="docshape999" coordorigin="1640,317" coordsize="5750,0" path="m1640,317l7390,317e" filled="false" stroked="true" strokeweight=".25pt" strokecolor="#231f20">
            <v:path arrowok="t"/>
            <v:stroke dashstyle="shortdot"/>
            <w10:wrap type="topAndBottom"/>
          </v:shape>
        </w:pict>
      </w:r>
    </w:p>
    <w:p>
      <w:pPr>
        <w:pStyle w:val="ListParagraph"/>
        <w:numPr>
          <w:ilvl w:val="0"/>
          <w:numId w:val="65"/>
        </w:numPr>
        <w:tabs>
          <w:tab w:pos="1219" w:val="left" w:leader="none"/>
          <w:tab w:pos="1220" w:val="left" w:leader="none"/>
        </w:tabs>
        <w:spacing w:line="240" w:lineRule="auto" w:before="135" w:after="0"/>
        <w:ind w:left="1219" w:right="0" w:hanging="406"/>
        <w:jc w:val="left"/>
        <w:rPr>
          <w:rFonts w:ascii="Arial" w:hAnsi="Arial"/>
          <w:sz w:val="12"/>
        </w:rPr>
      </w:pPr>
      <w:r>
        <w:rPr>
          <w:rFonts w:ascii="Arial" w:hAnsi="Arial"/>
          <w:color w:val="231F20"/>
          <w:w w:val="95"/>
          <w:sz w:val="12"/>
        </w:rPr>
        <w:t>McGregor,</w:t>
      </w:r>
      <w:r>
        <w:rPr>
          <w:rFonts w:ascii="Arial" w:hAnsi="Arial"/>
          <w:color w:val="231F20"/>
          <w:spacing w:val="7"/>
          <w:sz w:val="12"/>
        </w:rPr>
        <w:t> </w:t>
      </w:r>
      <w:r>
        <w:rPr>
          <w:rFonts w:ascii="Arial" w:hAnsi="Arial"/>
          <w:color w:val="231F20"/>
          <w:w w:val="95"/>
          <w:sz w:val="12"/>
        </w:rPr>
        <w:t>D.</w:t>
      </w:r>
      <w:r>
        <w:rPr>
          <w:rFonts w:ascii="Arial" w:hAnsi="Arial"/>
          <w:color w:val="231F20"/>
          <w:spacing w:val="7"/>
          <w:sz w:val="12"/>
        </w:rPr>
        <w:t> </w:t>
      </w:r>
      <w:r>
        <w:rPr>
          <w:rFonts w:ascii="Arial" w:hAnsi="Arial"/>
          <w:color w:val="231F20"/>
          <w:w w:val="95"/>
          <w:sz w:val="12"/>
        </w:rPr>
        <w:t>(1970).</w:t>
      </w:r>
      <w:r>
        <w:rPr>
          <w:rFonts w:ascii="Arial" w:hAnsi="Arial"/>
          <w:color w:val="231F20"/>
          <w:spacing w:val="8"/>
          <w:sz w:val="12"/>
        </w:rPr>
        <w:t> </w:t>
      </w:r>
      <w:r>
        <w:rPr>
          <w:rFonts w:ascii="Arial" w:hAnsi="Arial"/>
          <w:i/>
          <w:color w:val="231F20"/>
          <w:w w:val="95"/>
          <w:sz w:val="12"/>
        </w:rPr>
        <w:t>La</w:t>
      </w:r>
      <w:r>
        <w:rPr>
          <w:rFonts w:ascii="Arial" w:hAnsi="Arial"/>
          <w:i/>
          <w:color w:val="231F20"/>
          <w:spacing w:val="7"/>
          <w:sz w:val="12"/>
        </w:rPr>
        <w:t> </w:t>
      </w:r>
      <w:r>
        <w:rPr>
          <w:rFonts w:ascii="Arial" w:hAnsi="Arial"/>
          <w:i/>
          <w:color w:val="231F20"/>
          <w:w w:val="95"/>
          <w:sz w:val="12"/>
        </w:rPr>
        <w:t>dimension</w:t>
      </w:r>
      <w:r>
        <w:rPr>
          <w:rFonts w:ascii="Arial" w:hAnsi="Arial"/>
          <w:i/>
          <w:color w:val="231F20"/>
          <w:spacing w:val="7"/>
          <w:sz w:val="12"/>
        </w:rPr>
        <w:t> </w:t>
      </w:r>
      <w:r>
        <w:rPr>
          <w:rFonts w:ascii="Arial" w:hAnsi="Arial"/>
          <w:i/>
          <w:color w:val="231F20"/>
          <w:w w:val="95"/>
          <w:sz w:val="12"/>
        </w:rPr>
        <w:t>humaine</w:t>
      </w:r>
      <w:r>
        <w:rPr>
          <w:rFonts w:ascii="Arial" w:hAnsi="Arial"/>
          <w:i/>
          <w:color w:val="231F20"/>
          <w:spacing w:val="8"/>
          <w:sz w:val="12"/>
        </w:rPr>
        <w:t> </w:t>
      </w:r>
      <w:r>
        <w:rPr>
          <w:rFonts w:ascii="Arial" w:hAnsi="Arial"/>
          <w:i/>
          <w:color w:val="231F20"/>
          <w:w w:val="95"/>
          <w:sz w:val="12"/>
        </w:rPr>
        <w:t>de</w:t>
      </w:r>
      <w:r>
        <w:rPr>
          <w:rFonts w:ascii="Arial" w:hAnsi="Arial"/>
          <w:i/>
          <w:color w:val="231F20"/>
          <w:spacing w:val="7"/>
          <w:sz w:val="12"/>
        </w:rPr>
        <w:t> </w:t>
      </w:r>
      <w:r>
        <w:rPr>
          <w:rFonts w:ascii="Arial" w:hAnsi="Arial"/>
          <w:i/>
          <w:color w:val="231F20"/>
          <w:w w:val="95"/>
          <w:sz w:val="12"/>
        </w:rPr>
        <w:t>l’entreprise</w:t>
      </w:r>
      <w:r>
        <w:rPr>
          <w:rFonts w:ascii="Arial" w:hAnsi="Arial"/>
          <w:color w:val="231F20"/>
          <w:w w:val="95"/>
          <w:sz w:val="12"/>
        </w:rPr>
        <w:t>,</w:t>
      </w:r>
      <w:r>
        <w:rPr>
          <w:rFonts w:ascii="Arial" w:hAnsi="Arial"/>
          <w:color w:val="231F20"/>
          <w:spacing w:val="7"/>
          <w:sz w:val="12"/>
        </w:rPr>
        <w:t> </w:t>
      </w:r>
      <w:r>
        <w:rPr>
          <w:rFonts w:ascii="Arial" w:hAnsi="Arial"/>
          <w:color w:val="231F20"/>
          <w:w w:val="95"/>
          <w:sz w:val="12"/>
        </w:rPr>
        <w:t>Paris,</w:t>
      </w:r>
      <w:r>
        <w:rPr>
          <w:rFonts w:ascii="Arial" w:hAnsi="Arial"/>
          <w:color w:val="231F20"/>
          <w:spacing w:val="8"/>
          <w:sz w:val="12"/>
        </w:rPr>
        <w:t> </w:t>
      </w:r>
      <w:r>
        <w:rPr>
          <w:rFonts w:ascii="Arial" w:hAnsi="Arial"/>
          <w:color w:val="231F20"/>
          <w:w w:val="95"/>
          <w:sz w:val="12"/>
        </w:rPr>
        <w:t>Gauthier-</w:t>
      </w:r>
      <w:r>
        <w:rPr>
          <w:rFonts w:ascii="Arial" w:hAnsi="Arial"/>
          <w:color w:val="231F20"/>
          <w:spacing w:val="-2"/>
          <w:w w:val="95"/>
          <w:sz w:val="12"/>
        </w:rPr>
        <w:t>Villars.</w:t>
      </w:r>
    </w:p>
    <w:p>
      <w:pPr>
        <w:spacing w:after="0" w:line="240" w:lineRule="auto"/>
        <w:jc w:val="left"/>
        <w:rPr>
          <w:rFonts w:ascii="Arial" w:hAnsi="Arial"/>
          <w:sz w:val="12"/>
        </w:rPr>
        <w:sectPr>
          <w:footerReference w:type="default" r:id="rId276"/>
          <w:pgSz w:w="8640" w:h="12960"/>
          <w:pgMar w:footer="424" w:header="0" w:top="500" w:bottom="620" w:left="420" w:right="1140"/>
        </w:sectPr>
      </w:pPr>
    </w:p>
    <w:p>
      <w:pPr>
        <w:spacing w:before="103"/>
        <w:ind w:left="1028" w:right="698" w:firstLine="0"/>
        <w:jc w:val="center"/>
        <w:rPr>
          <w:rFonts w:ascii="Arial" w:hAnsi="Arial"/>
          <w:sz w:val="14"/>
        </w:rPr>
      </w:pPr>
      <w:bookmarkStart w:name=" 4.8.2 / Vers un gestionnaire nouveau" w:id="161"/>
      <w:bookmarkEnd w:id="161"/>
      <w:r>
        <w:rPr/>
      </w:r>
      <w:bookmarkStart w:name="_bookmark71" w:id="162"/>
      <w:bookmarkEnd w:id="162"/>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3"/>
        <w:rPr>
          <w:rFonts w:ascii="Arial"/>
          <w:sz w:val="29"/>
        </w:rPr>
      </w:pPr>
    </w:p>
    <w:p>
      <w:pPr>
        <w:pStyle w:val="Heading4"/>
        <w:numPr>
          <w:ilvl w:val="2"/>
          <w:numId w:val="73"/>
        </w:numPr>
        <w:tabs>
          <w:tab w:pos="529" w:val="left" w:leader="none"/>
          <w:tab w:pos="829" w:val="left" w:leader="none"/>
        </w:tabs>
        <w:spacing w:line="240" w:lineRule="auto" w:before="0" w:after="0"/>
        <w:ind w:left="528" w:right="0" w:hanging="420"/>
        <w:jc w:val="left"/>
      </w:pPr>
      <w:r>
        <w:rPr>
          <w:b w:val="0"/>
          <w:i/>
          <w:color w:val="231F20"/>
          <w:spacing w:val="-10"/>
        </w:rPr>
        <w:t>/</w:t>
      </w:r>
      <w:r>
        <w:rPr>
          <w:b w:val="0"/>
          <w:i/>
          <w:color w:val="231F20"/>
        </w:rPr>
        <w:tab/>
      </w:r>
      <w:r>
        <w:rPr>
          <w:color w:val="231F20"/>
          <w:spacing w:val="-2"/>
          <w:w w:val="95"/>
        </w:rPr>
        <w:t>Vers</w:t>
      </w:r>
      <w:r>
        <w:rPr>
          <w:color w:val="231F20"/>
          <w:spacing w:val="-4"/>
        </w:rPr>
        <w:t> </w:t>
      </w:r>
      <w:r>
        <w:rPr>
          <w:color w:val="231F20"/>
          <w:spacing w:val="-2"/>
          <w:w w:val="95"/>
        </w:rPr>
        <w:t>un</w:t>
      </w:r>
      <w:r>
        <w:rPr>
          <w:color w:val="231F20"/>
          <w:spacing w:val="-4"/>
        </w:rPr>
        <w:t> </w:t>
      </w:r>
      <w:r>
        <w:rPr>
          <w:color w:val="231F20"/>
          <w:spacing w:val="-2"/>
          <w:w w:val="95"/>
        </w:rPr>
        <w:t>gestionnaire</w:t>
      </w:r>
      <w:r>
        <w:rPr>
          <w:color w:val="231F20"/>
          <w:spacing w:val="-4"/>
        </w:rPr>
        <w:t> </w:t>
      </w:r>
      <w:r>
        <w:rPr>
          <w:color w:val="231F20"/>
          <w:spacing w:val="-2"/>
          <w:w w:val="95"/>
        </w:rPr>
        <w:t>nouveau</w:t>
      </w:r>
    </w:p>
    <w:p>
      <w:pPr>
        <w:pStyle w:val="BodyText"/>
        <w:spacing w:line="307" w:lineRule="auto" w:before="234"/>
        <w:ind w:left="830" w:right="492"/>
        <w:jc w:val="both"/>
      </w:pPr>
      <w:r>
        <w:rPr>
          <w:color w:val="231F20"/>
          <w:w w:val="120"/>
        </w:rPr>
        <w:t>Habituellement, plus un dirigeant gravit les échelons hiérarchiques de </w:t>
      </w:r>
      <w:r>
        <w:rPr>
          <w:color w:val="231F20"/>
          <w:spacing w:val="-2"/>
          <w:w w:val="120"/>
        </w:rPr>
        <w:t>l’entreprise,</w:t>
      </w:r>
      <w:r>
        <w:rPr>
          <w:color w:val="231F20"/>
          <w:spacing w:val="-11"/>
          <w:w w:val="120"/>
        </w:rPr>
        <w:t> </w:t>
      </w:r>
      <w:r>
        <w:rPr>
          <w:color w:val="231F20"/>
          <w:spacing w:val="-2"/>
          <w:w w:val="120"/>
        </w:rPr>
        <w:t>moins</w:t>
      </w:r>
      <w:r>
        <w:rPr>
          <w:color w:val="231F20"/>
          <w:spacing w:val="-11"/>
          <w:w w:val="120"/>
        </w:rPr>
        <w:t> </w:t>
      </w:r>
      <w:r>
        <w:rPr>
          <w:color w:val="231F20"/>
          <w:spacing w:val="-2"/>
          <w:w w:val="120"/>
        </w:rPr>
        <w:t>il</w:t>
      </w:r>
      <w:r>
        <w:rPr>
          <w:color w:val="231F20"/>
          <w:spacing w:val="-10"/>
          <w:w w:val="120"/>
        </w:rPr>
        <w:t> </w:t>
      </w:r>
      <w:r>
        <w:rPr>
          <w:color w:val="231F20"/>
          <w:spacing w:val="-2"/>
          <w:w w:val="120"/>
        </w:rPr>
        <w:t>a</w:t>
      </w:r>
      <w:r>
        <w:rPr>
          <w:color w:val="231F20"/>
          <w:spacing w:val="-11"/>
          <w:w w:val="120"/>
        </w:rPr>
        <w:t> </w:t>
      </w:r>
      <w:r>
        <w:rPr>
          <w:color w:val="231F20"/>
          <w:spacing w:val="-2"/>
          <w:w w:val="120"/>
        </w:rPr>
        <w:t>le</w:t>
      </w:r>
      <w:r>
        <w:rPr>
          <w:color w:val="231F20"/>
          <w:spacing w:val="-11"/>
          <w:w w:val="120"/>
        </w:rPr>
        <w:t> </w:t>
      </w:r>
      <w:r>
        <w:rPr>
          <w:color w:val="231F20"/>
          <w:spacing w:val="-2"/>
          <w:w w:val="120"/>
        </w:rPr>
        <w:t>temps</w:t>
      </w:r>
      <w:r>
        <w:rPr>
          <w:color w:val="231F20"/>
          <w:spacing w:val="-10"/>
          <w:w w:val="120"/>
        </w:rPr>
        <w:t> </w:t>
      </w:r>
      <w:r>
        <w:rPr>
          <w:color w:val="231F20"/>
          <w:spacing w:val="-2"/>
          <w:w w:val="120"/>
        </w:rPr>
        <w:t>d’analyser</w:t>
      </w:r>
      <w:r>
        <w:rPr>
          <w:color w:val="231F20"/>
          <w:spacing w:val="-11"/>
          <w:w w:val="120"/>
        </w:rPr>
        <w:t> </w:t>
      </w:r>
      <w:r>
        <w:rPr>
          <w:color w:val="231F20"/>
          <w:spacing w:val="-2"/>
          <w:w w:val="120"/>
        </w:rPr>
        <w:t>les</w:t>
      </w:r>
      <w:r>
        <w:rPr>
          <w:color w:val="231F20"/>
          <w:spacing w:val="-11"/>
          <w:w w:val="120"/>
        </w:rPr>
        <w:t> </w:t>
      </w:r>
      <w:r>
        <w:rPr>
          <w:color w:val="231F20"/>
          <w:spacing w:val="-2"/>
          <w:w w:val="120"/>
        </w:rPr>
        <w:t>situations,</w:t>
      </w:r>
      <w:r>
        <w:rPr>
          <w:color w:val="231F20"/>
          <w:spacing w:val="-10"/>
          <w:w w:val="120"/>
        </w:rPr>
        <w:t> </w:t>
      </w:r>
      <w:r>
        <w:rPr>
          <w:color w:val="231F20"/>
          <w:spacing w:val="-2"/>
          <w:w w:val="120"/>
        </w:rPr>
        <w:t>de</w:t>
      </w:r>
      <w:r>
        <w:rPr>
          <w:color w:val="231F20"/>
          <w:spacing w:val="-11"/>
          <w:w w:val="120"/>
        </w:rPr>
        <w:t> </w:t>
      </w:r>
      <w:r>
        <w:rPr>
          <w:color w:val="231F20"/>
          <w:spacing w:val="-2"/>
          <w:w w:val="120"/>
        </w:rPr>
        <w:t>réfléchir</w:t>
      </w:r>
      <w:r>
        <w:rPr>
          <w:color w:val="231F20"/>
          <w:spacing w:val="-11"/>
          <w:w w:val="120"/>
        </w:rPr>
        <w:t> </w:t>
      </w:r>
      <w:r>
        <w:rPr>
          <w:color w:val="231F20"/>
          <w:spacing w:val="-2"/>
          <w:w w:val="120"/>
        </w:rPr>
        <w:t>aux </w:t>
      </w:r>
      <w:r>
        <w:rPr>
          <w:color w:val="231F20"/>
          <w:w w:val="120"/>
        </w:rPr>
        <w:t>enjeux,</w:t>
      </w:r>
      <w:r>
        <w:rPr>
          <w:color w:val="231F20"/>
          <w:spacing w:val="-7"/>
          <w:w w:val="120"/>
        </w:rPr>
        <w:t> </w:t>
      </w:r>
      <w:r>
        <w:rPr>
          <w:color w:val="231F20"/>
          <w:w w:val="120"/>
        </w:rPr>
        <w:t>de</w:t>
      </w:r>
      <w:r>
        <w:rPr>
          <w:color w:val="231F20"/>
          <w:spacing w:val="-7"/>
          <w:w w:val="120"/>
        </w:rPr>
        <w:t> </w:t>
      </w:r>
      <w:r>
        <w:rPr>
          <w:color w:val="231F20"/>
          <w:w w:val="120"/>
        </w:rPr>
        <w:t>chercher</w:t>
      </w:r>
      <w:r>
        <w:rPr>
          <w:color w:val="231F20"/>
          <w:spacing w:val="-8"/>
          <w:w w:val="120"/>
        </w:rPr>
        <w:t> </w:t>
      </w:r>
      <w:r>
        <w:rPr>
          <w:color w:val="231F20"/>
          <w:w w:val="120"/>
        </w:rPr>
        <w:t>à</w:t>
      </w:r>
      <w:r>
        <w:rPr>
          <w:color w:val="231F20"/>
          <w:spacing w:val="-7"/>
          <w:w w:val="120"/>
        </w:rPr>
        <w:t> </w:t>
      </w:r>
      <w:r>
        <w:rPr>
          <w:color w:val="231F20"/>
          <w:w w:val="120"/>
        </w:rPr>
        <w:t>comprendre,</w:t>
      </w:r>
      <w:r>
        <w:rPr>
          <w:color w:val="231F20"/>
          <w:spacing w:val="-7"/>
          <w:w w:val="120"/>
        </w:rPr>
        <w:t> </w:t>
      </w:r>
      <w:r>
        <w:rPr>
          <w:color w:val="231F20"/>
          <w:w w:val="120"/>
        </w:rPr>
        <w:t>de</w:t>
      </w:r>
      <w:r>
        <w:rPr>
          <w:color w:val="231F20"/>
          <w:spacing w:val="-7"/>
          <w:w w:val="120"/>
        </w:rPr>
        <w:t> </w:t>
      </w:r>
      <w:r>
        <w:rPr>
          <w:color w:val="231F20"/>
          <w:w w:val="120"/>
        </w:rPr>
        <w:t>se</w:t>
      </w:r>
      <w:r>
        <w:rPr>
          <w:color w:val="231F20"/>
          <w:spacing w:val="-7"/>
          <w:w w:val="120"/>
        </w:rPr>
        <w:t> </w:t>
      </w:r>
      <w:r>
        <w:rPr>
          <w:color w:val="231F20"/>
          <w:w w:val="120"/>
        </w:rPr>
        <w:t>documenter,</w:t>
      </w:r>
      <w:r>
        <w:rPr>
          <w:color w:val="231F20"/>
          <w:spacing w:val="-7"/>
          <w:w w:val="120"/>
        </w:rPr>
        <w:t> </w:t>
      </w:r>
      <w:r>
        <w:rPr>
          <w:color w:val="231F20"/>
          <w:w w:val="120"/>
        </w:rPr>
        <w:t>de</w:t>
      </w:r>
      <w:r>
        <w:rPr>
          <w:color w:val="231F20"/>
          <w:spacing w:val="-7"/>
          <w:w w:val="120"/>
        </w:rPr>
        <w:t> </w:t>
      </w:r>
      <w:r>
        <w:rPr>
          <w:color w:val="231F20"/>
          <w:w w:val="120"/>
        </w:rPr>
        <w:t>laisser</w:t>
      </w:r>
      <w:r>
        <w:rPr>
          <w:color w:val="231F20"/>
          <w:spacing w:val="-7"/>
          <w:w w:val="120"/>
        </w:rPr>
        <w:t> </w:t>
      </w:r>
      <w:r>
        <w:rPr>
          <w:color w:val="231F20"/>
          <w:w w:val="120"/>
        </w:rPr>
        <w:t>cours</w:t>
      </w:r>
      <w:r>
        <w:rPr>
          <w:color w:val="231F20"/>
          <w:spacing w:val="-7"/>
          <w:w w:val="120"/>
        </w:rPr>
        <w:t> </w:t>
      </w:r>
      <w:r>
        <w:rPr>
          <w:color w:val="231F20"/>
          <w:w w:val="120"/>
        </w:rPr>
        <w:t>à </w:t>
      </w:r>
      <w:r>
        <w:rPr>
          <w:color w:val="231F20"/>
          <w:w w:val="115"/>
        </w:rPr>
        <w:t>ses</w:t>
      </w:r>
      <w:r>
        <w:rPr>
          <w:color w:val="231F20"/>
          <w:spacing w:val="-7"/>
          <w:w w:val="115"/>
        </w:rPr>
        <w:t> </w:t>
      </w:r>
      <w:r>
        <w:rPr>
          <w:color w:val="231F20"/>
          <w:w w:val="115"/>
        </w:rPr>
        <w:t>passions</w:t>
      </w:r>
      <w:r>
        <w:rPr>
          <w:color w:val="231F20"/>
          <w:spacing w:val="-7"/>
          <w:w w:val="115"/>
        </w:rPr>
        <w:t> </w:t>
      </w:r>
      <w:r>
        <w:rPr>
          <w:color w:val="231F20"/>
          <w:w w:val="115"/>
        </w:rPr>
        <w:t>et</w:t>
      </w:r>
      <w:r>
        <w:rPr>
          <w:color w:val="231F20"/>
          <w:spacing w:val="-7"/>
          <w:w w:val="115"/>
        </w:rPr>
        <w:t> </w:t>
      </w:r>
      <w:r>
        <w:rPr>
          <w:color w:val="231F20"/>
          <w:w w:val="115"/>
        </w:rPr>
        <w:t>plus</w:t>
      </w:r>
      <w:r>
        <w:rPr>
          <w:color w:val="231F20"/>
          <w:spacing w:val="-7"/>
          <w:w w:val="115"/>
        </w:rPr>
        <w:t> </w:t>
      </w:r>
      <w:r>
        <w:rPr>
          <w:color w:val="231F20"/>
          <w:w w:val="115"/>
        </w:rPr>
        <w:t>largement,</w:t>
      </w:r>
      <w:r>
        <w:rPr>
          <w:color w:val="231F20"/>
          <w:spacing w:val="-7"/>
          <w:w w:val="115"/>
        </w:rPr>
        <w:t> </w:t>
      </w:r>
      <w:r>
        <w:rPr>
          <w:color w:val="231F20"/>
          <w:w w:val="115"/>
        </w:rPr>
        <w:t>de</w:t>
      </w:r>
      <w:r>
        <w:rPr>
          <w:color w:val="231F20"/>
          <w:spacing w:val="-7"/>
          <w:w w:val="115"/>
        </w:rPr>
        <w:t> </w:t>
      </w:r>
      <w:r>
        <w:rPr>
          <w:color w:val="231F20"/>
          <w:w w:val="115"/>
        </w:rPr>
        <w:t>simplement</w:t>
      </w:r>
      <w:r>
        <w:rPr>
          <w:color w:val="231F20"/>
          <w:spacing w:val="-7"/>
          <w:w w:val="115"/>
        </w:rPr>
        <w:t> </w:t>
      </w:r>
      <w:r>
        <w:rPr>
          <w:color w:val="231F20"/>
          <w:w w:val="115"/>
        </w:rPr>
        <w:t>s’aérer</w:t>
      </w:r>
      <w:r>
        <w:rPr>
          <w:color w:val="231F20"/>
          <w:spacing w:val="-7"/>
          <w:w w:val="115"/>
        </w:rPr>
        <w:t> </w:t>
      </w:r>
      <w:r>
        <w:rPr>
          <w:color w:val="231F20"/>
          <w:w w:val="115"/>
        </w:rPr>
        <w:t>l’esprit.</w:t>
      </w:r>
      <w:r>
        <w:rPr>
          <w:color w:val="231F20"/>
          <w:spacing w:val="-7"/>
          <w:w w:val="115"/>
        </w:rPr>
        <w:t> </w:t>
      </w:r>
      <w:r>
        <w:rPr>
          <w:color w:val="231F20"/>
          <w:w w:val="115"/>
        </w:rPr>
        <w:t>Les</w:t>
      </w:r>
      <w:r>
        <w:rPr>
          <w:color w:val="231F20"/>
          <w:spacing w:val="-7"/>
          <w:w w:val="115"/>
        </w:rPr>
        <w:t> </w:t>
      </w:r>
      <w:r>
        <w:rPr>
          <w:color w:val="231F20"/>
          <w:w w:val="115"/>
        </w:rPr>
        <w:t>respon- </w:t>
      </w:r>
      <w:r>
        <w:rPr>
          <w:color w:val="231F20"/>
          <w:spacing w:val="-2"/>
          <w:w w:val="120"/>
        </w:rPr>
        <w:t>sabilités</w:t>
      </w:r>
      <w:r>
        <w:rPr>
          <w:color w:val="231F20"/>
          <w:spacing w:val="-11"/>
          <w:w w:val="120"/>
        </w:rPr>
        <w:t> </w:t>
      </w:r>
      <w:r>
        <w:rPr>
          <w:color w:val="231F20"/>
          <w:spacing w:val="-2"/>
          <w:w w:val="120"/>
        </w:rPr>
        <w:t>qui</w:t>
      </w:r>
      <w:r>
        <w:rPr>
          <w:color w:val="231F20"/>
          <w:spacing w:val="-11"/>
          <w:w w:val="120"/>
        </w:rPr>
        <w:t> </w:t>
      </w:r>
      <w:r>
        <w:rPr>
          <w:color w:val="231F20"/>
          <w:spacing w:val="-2"/>
          <w:w w:val="120"/>
        </w:rPr>
        <w:t>incombent</w:t>
      </w:r>
      <w:r>
        <w:rPr>
          <w:color w:val="231F20"/>
          <w:spacing w:val="-11"/>
          <w:w w:val="120"/>
        </w:rPr>
        <w:t> </w:t>
      </w:r>
      <w:r>
        <w:rPr>
          <w:color w:val="231F20"/>
          <w:spacing w:val="-2"/>
          <w:w w:val="120"/>
        </w:rPr>
        <w:t>aux</w:t>
      </w:r>
      <w:r>
        <w:rPr>
          <w:color w:val="231F20"/>
          <w:spacing w:val="-10"/>
          <w:w w:val="120"/>
        </w:rPr>
        <w:t> </w:t>
      </w:r>
      <w:r>
        <w:rPr>
          <w:color w:val="231F20"/>
          <w:spacing w:val="-2"/>
          <w:w w:val="120"/>
        </w:rPr>
        <w:t>dirigeants</w:t>
      </w:r>
      <w:r>
        <w:rPr>
          <w:color w:val="231F20"/>
          <w:spacing w:val="-11"/>
          <w:w w:val="120"/>
        </w:rPr>
        <w:t> </w:t>
      </w:r>
      <w:r>
        <w:rPr>
          <w:color w:val="231F20"/>
          <w:spacing w:val="-2"/>
          <w:w w:val="120"/>
        </w:rPr>
        <w:t>sont</w:t>
      </w:r>
      <w:r>
        <w:rPr>
          <w:color w:val="231F20"/>
          <w:spacing w:val="-11"/>
          <w:w w:val="120"/>
        </w:rPr>
        <w:t> </w:t>
      </w:r>
      <w:r>
        <w:rPr>
          <w:color w:val="231F20"/>
          <w:spacing w:val="-2"/>
          <w:w w:val="120"/>
        </w:rPr>
        <w:t>telles</w:t>
      </w:r>
      <w:r>
        <w:rPr>
          <w:color w:val="231F20"/>
          <w:spacing w:val="-11"/>
          <w:w w:val="120"/>
        </w:rPr>
        <w:t> </w:t>
      </w:r>
      <w:r>
        <w:rPr>
          <w:color w:val="231F20"/>
          <w:spacing w:val="-2"/>
          <w:w w:val="120"/>
        </w:rPr>
        <w:t>aujourd’hui</w:t>
      </w:r>
      <w:r>
        <w:rPr>
          <w:color w:val="231F20"/>
          <w:spacing w:val="-10"/>
          <w:w w:val="120"/>
        </w:rPr>
        <w:t> </w:t>
      </w:r>
      <w:r>
        <w:rPr>
          <w:color w:val="231F20"/>
          <w:spacing w:val="-2"/>
          <w:w w:val="120"/>
        </w:rPr>
        <w:t>que</w:t>
      </w:r>
      <w:r>
        <w:rPr>
          <w:color w:val="231F20"/>
          <w:spacing w:val="-11"/>
          <w:w w:val="120"/>
        </w:rPr>
        <w:t> </w:t>
      </w:r>
      <w:r>
        <w:rPr>
          <w:color w:val="231F20"/>
          <w:spacing w:val="-2"/>
          <w:w w:val="120"/>
        </w:rPr>
        <w:t>la</w:t>
      </w:r>
      <w:r>
        <w:rPr>
          <w:color w:val="231F20"/>
          <w:spacing w:val="-11"/>
          <w:w w:val="120"/>
        </w:rPr>
        <w:t> </w:t>
      </w:r>
      <w:r>
        <w:rPr>
          <w:color w:val="231F20"/>
          <w:spacing w:val="-2"/>
          <w:w w:val="120"/>
        </w:rPr>
        <w:t>seule </w:t>
      </w:r>
      <w:r>
        <w:rPr>
          <w:color w:val="231F20"/>
          <w:w w:val="120"/>
        </w:rPr>
        <w:t>tâche</w:t>
      </w:r>
      <w:r>
        <w:rPr>
          <w:color w:val="231F20"/>
          <w:spacing w:val="-10"/>
          <w:w w:val="120"/>
        </w:rPr>
        <w:t> </w:t>
      </w:r>
      <w:r>
        <w:rPr>
          <w:color w:val="231F20"/>
          <w:w w:val="120"/>
        </w:rPr>
        <w:t>de</w:t>
      </w:r>
      <w:r>
        <w:rPr>
          <w:color w:val="231F20"/>
          <w:spacing w:val="-10"/>
          <w:w w:val="120"/>
        </w:rPr>
        <w:t> </w:t>
      </w:r>
      <w:r>
        <w:rPr>
          <w:color w:val="231F20"/>
          <w:w w:val="120"/>
        </w:rPr>
        <w:t>gérer</w:t>
      </w:r>
      <w:r>
        <w:rPr>
          <w:color w:val="231F20"/>
          <w:spacing w:val="-10"/>
          <w:w w:val="120"/>
        </w:rPr>
        <w:t> </w:t>
      </w:r>
      <w:r>
        <w:rPr>
          <w:color w:val="231F20"/>
          <w:w w:val="120"/>
        </w:rPr>
        <w:t>les</w:t>
      </w:r>
      <w:r>
        <w:rPr>
          <w:color w:val="231F20"/>
          <w:spacing w:val="-10"/>
          <w:w w:val="120"/>
        </w:rPr>
        <w:t> </w:t>
      </w:r>
      <w:r>
        <w:rPr>
          <w:color w:val="231F20"/>
          <w:w w:val="120"/>
        </w:rPr>
        <w:t>problèmes</w:t>
      </w:r>
      <w:r>
        <w:rPr>
          <w:color w:val="231F20"/>
          <w:spacing w:val="-10"/>
          <w:w w:val="120"/>
        </w:rPr>
        <w:t> </w:t>
      </w:r>
      <w:r>
        <w:rPr>
          <w:color w:val="231F20"/>
          <w:w w:val="120"/>
        </w:rPr>
        <w:t>quotidiens</w:t>
      </w:r>
      <w:r>
        <w:rPr>
          <w:color w:val="231F20"/>
          <w:spacing w:val="-10"/>
          <w:w w:val="120"/>
        </w:rPr>
        <w:t> </w:t>
      </w:r>
      <w:r>
        <w:rPr>
          <w:color w:val="231F20"/>
          <w:w w:val="120"/>
        </w:rPr>
        <w:t>les</w:t>
      </w:r>
      <w:r>
        <w:rPr>
          <w:color w:val="231F20"/>
          <w:spacing w:val="-10"/>
          <w:w w:val="120"/>
        </w:rPr>
        <w:t> </w:t>
      </w:r>
      <w:r>
        <w:rPr>
          <w:color w:val="231F20"/>
          <w:w w:val="120"/>
        </w:rPr>
        <w:t>empêche</w:t>
      </w:r>
      <w:r>
        <w:rPr>
          <w:color w:val="231F20"/>
          <w:spacing w:val="-10"/>
          <w:w w:val="120"/>
        </w:rPr>
        <w:t> </w:t>
      </w:r>
      <w:r>
        <w:rPr>
          <w:color w:val="231F20"/>
          <w:w w:val="120"/>
        </w:rPr>
        <w:t>de</w:t>
      </w:r>
      <w:r>
        <w:rPr>
          <w:color w:val="231F20"/>
          <w:spacing w:val="-10"/>
          <w:w w:val="120"/>
        </w:rPr>
        <w:t> </w:t>
      </w:r>
      <w:r>
        <w:rPr>
          <w:color w:val="231F20"/>
          <w:w w:val="120"/>
        </w:rPr>
        <w:t>mettre</w:t>
      </w:r>
      <w:r>
        <w:rPr>
          <w:color w:val="231F20"/>
          <w:spacing w:val="-10"/>
          <w:w w:val="120"/>
        </w:rPr>
        <w:t> </w:t>
      </w:r>
      <w:r>
        <w:rPr>
          <w:color w:val="231F20"/>
          <w:w w:val="120"/>
        </w:rPr>
        <w:t>en</w:t>
      </w:r>
      <w:r>
        <w:rPr>
          <w:color w:val="231F20"/>
          <w:spacing w:val="-10"/>
          <w:w w:val="120"/>
        </w:rPr>
        <w:t> </w:t>
      </w:r>
      <w:r>
        <w:rPr>
          <w:color w:val="231F20"/>
          <w:w w:val="120"/>
        </w:rPr>
        <w:t>place </w:t>
      </w:r>
      <w:r>
        <w:rPr>
          <w:color w:val="231F20"/>
          <w:w w:val="115"/>
        </w:rPr>
        <w:t>une</w:t>
      </w:r>
      <w:r>
        <w:rPr>
          <w:color w:val="231F20"/>
          <w:spacing w:val="-11"/>
          <w:w w:val="115"/>
        </w:rPr>
        <w:t> </w:t>
      </w:r>
      <w:r>
        <w:rPr>
          <w:color w:val="231F20"/>
          <w:w w:val="115"/>
        </w:rPr>
        <w:t>vision,</w:t>
      </w:r>
      <w:r>
        <w:rPr>
          <w:color w:val="231F20"/>
          <w:spacing w:val="-9"/>
          <w:w w:val="115"/>
        </w:rPr>
        <w:t> </w:t>
      </w:r>
      <w:r>
        <w:rPr>
          <w:color w:val="231F20"/>
          <w:w w:val="115"/>
        </w:rPr>
        <w:t>une</w:t>
      </w:r>
      <w:r>
        <w:rPr>
          <w:color w:val="231F20"/>
          <w:spacing w:val="-9"/>
          <w:w w:val="115"/>
        </w:rPr>
        <w:t> </w:t>
      </w:r>
      <w:r>
        <w:rPr>
          <w:color w:val="231F20"/>
          <w:w w:val="115"/>
        </w:rPr>
        <w:t>stratégie,</w:t>
      </w:r>
      <w:r>
        <w:rPr>
          <w:color w:val="231F20"/>
          <w:spacing w:val="-11"/>
          <w:w w:val="115"/>
        </w:rPr>
        <w:t> </w:t>
      </w:r>
      <w:r>
        <w:rPr>
          <w:color w:val="231F20"/>
          <w:w w:val="115"/>
        </w:rPr>
        <w:t>des</w:t>
      </w:r>
      <w:r>
        <w:rPr>
          <w:color w:val="231F20"/>
          <w:spacing w:val="-9"/>
          <w:w w:val="115"/>
        </w:rPr>
        <w:t> </w:t>
      </w:r>
      <w:r>
        <w:rPr>
          <w:color w:val="231F20"/>
          <w:w w:val="115"/>
        </w:rPr>
        <w:t>objectifs</w:t>
      </w:r>
      <w:r>
        <w:rPr>
          <w:color w:val="231F20"/>
          <w:spacing w:val="-9"/>
          <w:w w:val="115"/>
        </w:rPr>
        <w:t> </w:t>
      </w:r>
      <w:r>
        <w:rPr>
          <w:color w:val="231F20"/>
          <w:w w:val="115"/>
        </w:rPr>
        <w:t>organisationnels.</w:t>
      </w:r>
      <w:r>
        <w:rPr>
          <w:color w:val="231F20"/>
          <w:spacing w:val="-9"/>
          <w:w w:val="115"/>
        </w:rPr>
        <w:t> </w:t>
      </w:r>
      <w:r>
        <w:rPr>
          <w:color w:val="231F20"/>
          <w:w w:val="115"/>
        </w:rPr>
        <w:t>Ils</w:t>
      </w:r>
      <w:r>
        <w:rPr>
          <w:color w:val="231F20"/>
          <w:spacing w:val="-9"/>
          <w:w w:val="115"/>
        </w:rPr>
        <w:t> </w:t>
      </w:r>
      <w:r>
        <w:rPr>
          <w:color w:val="231F20"/>
          <w:w w:val="115"/>
        </w:rPr>
        <w:t>sont</w:t>
      </w:r>
      <w:r>
        <w:rPr>
          <w:color w:val="231F20"/>
          <w:spacing w:val="-9"/>
          <w:w w:val="115"/>
        </w:rPr>
        <w:t> </w:t>
      </w:r>
      <w:r>
        <w:rPr>
          <w:color w:val="231F20"/>
          <w:w w:val="115"/>
        </w:rPr>
        <w:t>contraints </w:t>
      </w:r>
      <w:r>
        <w:rPr>
          <w:color w:val="231F20"/>
          <w:w w:val="120"/>
        </w:rPr>
        <w:t>de</w:t>
      </w:r>
      <w:r>
        <w:rPr>
          <w:color w:val="231F20"/>
          <w:spacing w:val="-9"/>
          <w:w w:val="120"/>
        </w:rPr>
        <w:t> </w:t>
      </w:r>
      <w:r>
        <w:rPr>
          <w:color w:val="231F20"/>
          <w:w w:val="120"/>
        </w:rPr>
        <w:t>réagir</w:t>
      </w:r>
      <w:r>
        <w:rPr>
          <w:color w:val="231F20"/>
          <w:spacing w:val="-9"/>
          <w:w w:val="120"/>
        </w:rPr>
        <w:t> </w:t>
      </w:r>
      <w:r>
        <w:rPr>
          <w:color w:val="231F20"/>
          <w:w w:val="120"/>
        </w:rPr>
        <w:t>plutôt</w:t>
      </w:r>
      <w:r>
        <w:rPr>
          <w:color w:val="231F20"/>
          <w:spacing w:val="-9"/>
          <w:w w:val="120"/>
        </w:rPr>
        <w:t> </w:t>
      </w:r>
      <w:r>
        <w:rPr>
          <w:color w:val="231F20"/>
          <w:w w:val="120"/>
        </w:rPr>
        <w:t>que</w:t>
      </w:r>
      <w:r>
        <w:rPr>
          <w:color w:val="231F20"/>
          <w:spacing w:val="-9"/>
          <w:w w:val="120"/>
        </w:rPr>
        <w:t> </w:t>
      </w:r>
      <w:r>
        <w:rPr>
          <w:color w:val="231F20"/>
          <w:w w:val="120"/>
        </w:rPr>
        <w:t>de</w:t>
      </w:r>
      <w:r>
        <w:rPr>
          <w:color w:val="231F20"/>
          <w:spacing w:val="-9"/>
          <w:w w:val="120"/>
        </w:rPr>
        <w:t> </w:t>
      </w:r>
      <w:r>
        <w:rPr>
          <w:color w:val="231F20"/>
          <w:w w:val="120"/>
        </w:rPr>
        <w:t>proagir.</w:t>
      </w:r>
      <w:r>
        <w:rPr>
          <w:color w:val="231F20"/>
          <w:spacing w:val="-9"/>
          <w:w w:val="120"/>
        </w:rPr>
        <w:t> </w:t>
      </w:r>
      <w:r>
        <w:rPr>
          <w:color w:val="231F20"/>
          <w:w w:val="120"/>
        </w:rPr>
        <w:t>Ce</w:t>
      </w:r>
      <w:r>
        <w:rPr>
          <w:color w:val="231F20"/>
          <w:spacing w:val="-9"/>
          <w:w w:val="120"/>
        </w:rPr>
        <w:t> </w:t>
      </w:r>
      <w:r>
        <w:rPr>
          <w:color w:val="231F20"/>
          <w:w w:val="120"/>
        </w:rPr>
        <w:t>stress</w:t>
      </w:r>
      <w:r>
        <w:rPr>
          <w:color w:val="231F20"/>
          <w:spacing w:val="-9"/>
          <w:w w:val="120"/>
        </w:rPr>
        <w:t> </w:t>
      </w:r>
      <w:r>
        <w:rPr>
          <w:color w:val="231F20"/>
          <w:w w:val="120"/>
        </w:rPr>
        <w:t>a</w:t>
      </w:r>
      <w:r>
        <w:rPr>
          <w:color w:val="231F20"/>
          <w:spacing w:val="-9"/>
          <w:w w:val="120"/>
        </w:rPr>
        <w:t> </w:t>
      </w:r>
      <w:r>
        <w:rPr>
          <w:color w:val="231F20"/>
          <w:w w:val="120"/>
        </w:rPr>
        <w:t>d’importantes</w:t>
      </w:r>
      <w:r>
        <w:rPr>
          <w:color w:val="231F20"/>
          <w:spacing w:val="-9"/>
          <w:w w:val="120"/>
        </w:rPr>
        <w:t> </w:t>
      </w:r>
      <w:r>
        <w:rPr>
          <w:color w:val="231F20"/>
          <w:w w:val="120"/>
        </w:rPr>
        <w:t>conséquences négatives sur les plans émotionnel, économique et social.</w:t>
      </w:r>
    </w:p>
    <w:p>
      <w:pPr>
        <w:pStyle w:val="BodyText"/>
        <w:spacing w:line="307" w:lineRule="auto" w:before="78"/>
        <w:ind w:left="830" w:right="492" w:firstLine="250"/>
        <w:jc w:val="both"/>
      </w:pPr>
      <w:r>
        <w:rPr>
          <w:color w:val="231F20"/>
          <w:w w:val="120"/>
        </w:rPr>
        <w:t>De</w:t>
      </w:r>
      <w:r>
        <w:rPr>
          <w:color w:val="231F20"/>
          <w:spacing w:val="-15"/>
          <w:w w:val="120"/>
        </w:rPr>
        <w:t> </w:t>
      </w:r>
      <w:r>
        <w:rPr>
          <w:color w:val="231F20"/>
          <w:w w:val="120"/>
        </w:rPr>
        <w:t>nombreux</w:t>
      </w:r>
      <w:r>
        <w:rPr>
          <w:color w:val="231F20"/>
          <w:spacing w:val="-13"/>
          <w:w w:val="120"/>
        </w:rPr>
        <w:t> </w:t>
      </w:r>
      <w:r>
        <w:rPr>
          <w:color w:val="231F20"/>
          <w:w w:val="120"/>
        </w:rPr>
        <w:t>dirigeants,</w:t>
      </w:r>
      <w:r>
        <w:rPr>
          <w:color w:val="231F20"/>
          <w:spacing w:val="-13"/>
          <w:w w:val="120"/>
        </w:rPr>
        <w:t> </w:t>
      </w:r>
      <w:r>
        <w:rPr>
          <w:color w:val="231F20"/>
          <w:w w:val="120"/>
        </w:rPr>
        <w:t>au</w:t>
      </w:r>
      <w:r>
        <w:rPr>
          <w:color w:val="231F20"/>
          <w:spacing w:val="-12"/>
          <w:w w:val="120"/>
        </w:rPr>
        <w:t> </w:t>
      </w:r>
      <w:r>
        <w:rPr>
          <w:color w:val="231F20"/>
          <w:w w:val="120"/>
        </w:rPr>
        <w:t>sens</w:t>
      </w:r>
      <w:r>
        <w:rPr>
          <w:color w:val="231F20"/>
          <w:spacing w:val="-13"/>
          <w:w w:val="120"/>
        </w:rPr>
        <w:t> </w:t>
      </w:r>
      <w:r>
        <w:rPr>
          <w:color w:val="231F20"/>
          <w:w w:val="120"/>
        </w:rPr>
        <w:t>conventionnel</w:t>
      </w:r>
      <w:r>
        <w:rPr>
          <w:color w:val="231F20"/>
          <w:spacing w:val="-13"/>
          <w:w w:val="120"/>
        </w:rPr>
        <w:t> </w:t>
      </w:r>
      <w:r>
        <w:rPr>
          <w:color w:val="231F20"/>
          <w:w w:val="120"/>
        </w:rPr>
        <w:t>du</w:t>
      </w:r>
      <w:r>
        <w:rPr>
          <w:color w:val="231F20"/>
          <w:spacing w:val="-13"/>
          <w:w w:val="120"/>
        </w:rPr>
        <w:t> </w:t>
      </w:r>
      <w:r>
        <w:rPr>
          <w:color w:val="231F20"/>
          <w:w w:val="120"/>
        </w:rPr>
        <w:t>terme,</w:t>
      </w:r>
      <w:r>
        <w:rPr>
          <w:color w:val="231F20"/>
          <w:spacing w:val="-12"/>
          <w:w w:val="120"/>
        </w:rPr>
        <w:t> </w:t>
      </w:r>
      <w:r>
        <w:rPr>
          <w:color w:val="231F20"/>
          <w:w w:val="120"/>
        </w:rPr>
        <w:t>travaillent très dur, presque toujours trop, à administrer des hiérarchies, des res- sources et des chiffres. Pour eux, rien ne distingue les «</w:t>
      </w:r>
      <w:r>
        <w:rPr>
          <w:color w:val="231F20"/>
          <w:spacing w:val="-13"/>
          <w:w w:val="120"/>
        </w:rPr>
        <w:t> </w:t>
      </w:r>
      <w:r>
        <w:rPr>
          <w:color w:val="231F20"/>
          <w:w w:val="120"/>
        </w:rPr>
        <w:t>ressources humaines»</w:t>
      </w:r>
      <w:r>
        <w:rPr>
          <w:color w:val="231F20"/>
          <w:spacing w:val="-13"/>
          <w:w w:val="120"/>
        </w:rPr>
        <w:t> </w:t>
      </w:r>
      <w:r>
        <w:rPr>
          <w:color w:val="231F20"/>
          <w:w w:val="120"/>
        </w:rPr>
        <w:t>des</w:t>
      </w:r>
      <w:r>
        <w:rPr>
          <w:color w:val="231F20"/>
          <w:spacing w:val="-13"/>
          <w:w w:val="120"/>
        </w:rPr>
        <w:t> </w:t>
      </w:r>
      <w:r>
        <w:rPr>
          <w:color w:val="231F20"/>
          <w:w w:val="120"/>
        </w:rPr>
        <w:t>autres</w:t>
      </w:r>
      <w:r>
        <w:rPr>
          <w:color w:val="231F20"/>
          <w:spacing w:val="-13"/>
          <w:w w:val="120"/>
        </w:rPr>
        <w:t> </w:t>
      </w:r>
      <w:r>
        <w:rPr>
          <w:color w:val="231F20"/>
          <w:w w:val="120"/>
        </w:rPr>
        <w:t>types</w:t>
      </w:r>
      <w:r>
        <w:rPr>
          <w:color w:val="231F20"/>
          <w:spacing w:val="-12"/>
          <w:w w:val="120"/>
        </w:rPr>
        <w:t> </w:t>
      </w:r>
      <w:r>
        <w:rPr>
          <w:color w:val="231F20"/>
          <w:w w:val="120"/>
        </w:rPr>
        <w:t>de</w:t>
      </w:r>
      <w:r>
        <w:rPr>
          <w:color w:val="231F20"/>
          <w:spacing w:val="-13"/>
          <w:w w:val="120"/>
        </w:rPr>
        <w:t> </w:t>
      </w:r>
      <w:r>
        <w:rPr>
          <w:color w:val="231F20"/>
          <w:w w:val="120"/>
        </w:rPr>
        <w:t>ressources</w:t>
      </w:r>
      <w:r>
        <w:rPr>
          <w:color w:val="231F20"/>
          <w:spacing w:val="-13"/>
          <w:w w:val="120"/>
        </w:rPr>
        <w:t> </w:t>
      </w:r>
      <w:r>
        <w:rPr>
          <w:color w:val="231F20"/>
          <w:w w:val="120"/>
        </w:rPr>
        <w:t>de</w:t>
      </w:r>
      <w:r>
        <w:rPr>
          <w:color w:val="231F20"/>
          <w:spacing w:val="-13"/>
          <w:w w:val="120"/>
        </w:rPr>
        <w:t> </w:t>
      </w:r>
      <w:r>
        <w:rPr>
          <w:color w:val="231F20"/>
          <w:w w:val="120"/>
        </w:rPr>
        <w:t>l’organisation.</w:t>
      </w:r>
      <w:r>
        <w:rPr>
          <w:color w:val="231F20"/>
          <w:spacing w:val="-12"/>
          <w:w w:val="120"/>
        </w:rPr>
        <w:t> </w:t>
      </w:r>
      <w:r>
        <w:rPr>
          <w:color w:val="231F20"/>
          <w:w w:val="120"/>
        </w:rPr>
        <w:t>Par</w:t>
      </w:r>
      <w:r>
        <w:rPr>
          <w:color w:val="231F20"/>
          <w:spacing w:val="-13"/>
          <w:w w:val="120"/>
        </w:rPr>
        <w:t> </w:t>
      </w:r>
      <w:r>
        <w:rPr>
          <w:color w:val="231F20"/>
          <w:w w:val="120"/>
        </w:rPr>
        <w:t>compa- raison,</w:t>
      </w:r>
      <w:r>
        <w:rPr>
          <w:color w:val="231F20"/>
          <w:spacing w:val="-7"/>
          <w:w w:val="120"/>
        </w:rPr>
        <w:t> </w:t>
      </w:r>
      <w:r>
        <w:rPr>
          <w:color w:val="231F20"/>
          <w:w w:val="120"/>
        </w:rPr>
        <w:t>les</w:t>
      </w:r>
      <w:r>
        <w:rPr>
          <w:color w:val="231F20"/>
          <w:spacing w:val="-7"/>
          <w:w w:val="120"/>
        </w:rPr>
        <w:t> </w:t>
      </w:r>
      <w:r>
        <w:rPr>
          <w:color w:val="231F20"/>
          <w:w w:val="120"/>
        </w:rPr>
        <w:t>rares</w:t>
      </w:r>
      <w:r>
        <w:rPr>
          <w:color w:val="231F20"/>
          <w:spacing w:val="-7"/>
          <w:w w:val="120"/>
        </w:rPr>
        <w:t> </w:t>
      </w:r>
      <w:r>
        <w:rPr>
          <w:color w:val="231F20"/>
          <w:w w:val="120"/>
        </w:rPr>
        <w:t>dirigeants</w:t>
      </w:r>
      <w:r>
        <w:rPr>
          <w:color w:val="231F20"/>
          <w:spacing w:val="-7"/>
          <w:w w:val="120"/>
        </w:rPr>
        <w:t> </w:t>
      </w:r>
      <w:r>
        <w:rPr>
          <w:color w:val="231F20"/>
          <w:w w:val="120"/>
        </w:rPr>
        <w:t>du</w:t>
      </w:r>
      <w:r>
        <w:rPr>
          <w:color w:val="231F20"/>
          <w:spacing w:val="-7"/>
          <w:w w:val="120"/>
        </w:rPr>
        <w:t> </w:t>
      </w:r>
      <w:r>
        <w:rPr>
          <w:color w:val="231F20"/>
          <w:w w:val="120"/>
        </w:rPr>
        <w:t>nouveau</w:t>
      </w:r>
      <w:r>
        <w:rPr>
          <w:color w:val="231F20"/>
          <w:spacing w:val="-7"/>
          <w:w w:val="120"/>
        </w:rPr>
        <w:t> </w:t>
      </w:r>
      <w:r>
        <w:rPr>
          <w:color w:val="231F20"/>
          <w:w w:val="120"/>
        </w:rPr>
        <w:t>type</w:t>
      </w:r>
      <w:r>
        <w:rPr>
          <w:color w:val="231F20"/>
          <w:spacing w:val="-7"/>
          <w:w w:val="120"/>
        </w:rPr>
        <w:t> </w:t>
      </w:r>
      <w:r>
        <w:rPr>
          <w:color w:val="231F20"/>
          <w:w w:val="120"/>
        </w:rPr>
        <w:t>possèdent</w:t>
      </w:r>
      <w:r>
        <w:rPr>
          <w:color w:val="231F20"/>
          <w:spacing w:val="-7"/>
          <w:w w:val="120"/>
        </w:rPr>
        <w:t> </w:t>
      </w:r>
      <w:r>
        <w:rPr>
          <w:color w:val="231F20"/>
          <w:w w:val="120"/>
        </w:rPr>
        <w:t>une</w:t>
      </w:r>
      <w:r>
        <w:rPr>
          <w:color w:val="231F20"/>
          <w:spacing w:val="-7"/>
          <w:w w:val="120"/>
        </w:rPr>
        <w:t> </w:t>
      </w:r>
      <w:r>
        <w:rPr>
          <w:color w:val="231F20"/>
          <w:w w:val="120"/>
        </w:rPr>
        <w:t>valeur</w:t>
      </w:r>
      <w:r>
        <w:rPr>
          <w:color w:val="231F20"/>
          <w:spacing w:val="-7"/>
          <w:w w:val="120"/>
        </w:rPr>
        <w:t> </w:t>
      </w:r>
      <w:r>
        <w:rPr>
          <w:color w:val="231F20"/>
          <w:w w:val="120"/>
        </w:rPr>
        <w:t>parti- </w:t>
      </w:r>
      <w:r>
        <w:rPr>
          <w:color w:val="231F20"/>
          <w:spacing w:val="-2"/>
          <w:w w:val="120"/>
        </w:rPr>
        <w:t>culière</w:t>
      </w:r>
      <w:r>
        <w:rPr>
          <w:color w:val="231F20"/>
          <w:spacing w:val="-11"/>
          <w:w w:val="120"/>
        </w:rPr>
        <w:t> </w:t>
      </w:r>
      <w:r>
        <w:rPr>
          <w:color w:val="231F20"/>
          <w:spacing w:val="-2"/>
          <w:w w:val="120"/>
        </w:rPr>
        <w:t>:</w:t>
      </w:r>
      <w:r>
        <w:rPr>
          <w:color w:val="231F20"/>
          <w:spacing w:val="-11"/>
          <w:w w:val="120"/>
        </w:rPr>
        <w:t> </w:t>
      </w:r>
      <w:r>
        <w:rPr>
          <w:color w:val="231F20"/>
          <w:spacing w:val="-2"/>
          <w:w w:val="120"/>
        </w:rPr>
        <w:t>la</w:t>
      </w:r>
      <w:r>
        <w:rPr>
          <w:color w:val="231F20"/>
          <w:spacing w:val="-11"/>
          <w:w w:val="120"/>
        </w:rPr>
        <w:t> </w:t>
      </w:r>
      <w:r>
        <w:rPr>
          <w:color w:val="231F20"/>
          <w:spacing w:val="-2"/>
          <w:w w:val="120"/>
        </w:rPr>
        <w:t>capacité</w:t>
      </w:r>
      <w:r>
        <w:rPr>
          <w:color w:val="231F20"/>
          <w:spacing w:val="-10"/>
          <w:w w:val="120"/>
        </w:rPr>
        <w:t> </w:t>
      </w:r>
      <w:r>
        <w:rPr>
          <w:color w:val="231F20"/>
          <w:spacing w:val="-2"/>
          <w:w w:val="120"/>
        </w:rPr>
        <w:t>de</w:t>
      </w:r>
      <w:r>
        <w:rPr>
          <w:color w:val="231F20"/>
          <w:spacing w:val="-11"/>
          <w:w w:val="120"/>
        </w:rPr>
        <w:t> </w:t>
      </w:r>
      <w:r>
        <w:rPr>
          <w:color w:val="231F20"/>
          <w:spacing w:val="-2"/>
          <w:w w:val="120"/>
        </w:rPr>
        <w:t>penser</w:t>
      </w:r>
      <w:r>
        <w:rPr>
          <w:color w:val="231F20"/>
          <w:spacing w:val="-11"/>
          <w:w w:val="120"/>
        </w:rPr>
        <w:t> </w:t>
      </w:r>
      <w:r>
        <w:rPr>
          <w:color w:val="231F20"/>
          <w:spacing w:val="-2"/>
          <w:w w:val="120"/>
        </w:rPr>
        <w:t>différemment,</w:t>
      </w:r>
      <w:r>
        <w:rPr>
          <w:color w:val="231F20"/>
          <w:spacing w:val="-6"/>
          <w:w w:val="120"/>
        </w:rPr>
        <w:t> </w:t>
      </w:r>
      <w:r>
        <w:rPr>
          <w:color w:val="231F20"/>
          <w:spacing w:val="-2"/>
          <w:w w:val="120"/>
        </w:rPr>
        <w:t>de</w:t>
      </w:r>
      <w:r>
        <w:rPr>
          <w:color w:val="231F20"/>
          <w:spacing w:val="-6"/>
          <w:w w:val="120"/>
        </w:rPr>
        <w:t> </w:t>
      </w:r>
      <w:r>
        <w:rPr>
          <w:color w:val="231F20"/>
          <w:spacing w:val="-2"/>
          <w:w w:val="120"/>
        </w:rPr>
        <w:t>décider</w:t>
      </w:r>
      <w:r>
        <w:rPr>
          <w:color w:val="231F20"/>
          <w:spacing w:val="-6"/>
          <w:w w:val="120"/>
        </w:rPr>
        <w:t> </w:t>
      </w:r>
      <w:r>
        <w:rPr>
          <w:color w:val="231F20"/>
          <w:spacing w:val="-2"/>
          <w:w w:val="120"/>
        </w:rPr>
        <w:t>de</w:t>
      </w:r>
      <w:r>
        <w:rPr>
          <w:color w:val="231F20"/>
          <w:spacing w:val="-6"/>
          <w:w w:val="120"/>
        </w:rPr>
        <w:t> </w:t>
      </w:r>
      <w:r>
        <w:rPr>
          <w:color w:val="231F20"/>
          <w:spacing w:val="-2"/>
          <w:w w:val="120"/>
        </w:rPr>
        <w:t>se</w:t>
      </w:r>
      <w:r>
        <w:rPr>
          <w:color w:val="231F20"/>
          <w:spacing w:val="-6"/>
          <w:w w:val="120"/>
        </w:rPr>
        <w:t> </w:t>
      </w:r>
      <w:r>
        <w:rPr>
          <w:color w:val="231F20"/>
          <w:spacing w:val="-2"/>
          <w:w w:val="120"/>
        </w:rPr>
        <w:t>développer </w:t>
      </w:r>
      <w:r>
        <w:rPr>
          <w:color w:val="231F20"/>
          <w:w w:val="120"/>
        </w:rPr>
        <w:t>eux-mêmes</w:t>
      </w:r>
      <w:r>
        <w:rPr>
          <w:color w:val="231F20"/>
          <w:spacing w:val="-13"/>
          <w:w w:val="120"/>
        </w:rPr>
        <w:t> </w:t>
      </w:r>
      <w:r>
        <w:rPr>
          <w:color w:val="231F20"/>
          <w:w w:val="120"/>
        </w:rPr>
        <w:t>en</w:t>
      </w:r>
      <w:r>
        <w:rPr>
          <w:color w:val="231F20"/>
          <w:spacing w:val="-13"/>
          <w:w w:val="120"/>
        </w:rPr>
        <w:t> </w:t>
      </w:r>
      <w:r>
        <w:rPr>
          <w:color w:val="231F20"/>
          <w:w w:val="120"/>
        </w:rPr>
        <w:t>tant</w:t>
      </w:r>
      <w:r>
        <w:rPr>
          <w:color w:val="231F20"/>
          <w:spacing w:val="-13"/>
          <w:w w:val="120"/>
        </w:rPr>
        <w:t> </w:t>
      </w:r>
      <w:r>
        <w:rPr>
          <w:color w:val="231F20"/>
          <w:w w:val="120"/>
        </w:rPr>
        <w:t>que</w:t>
      </w:r>
      <w:r>
        <w:rPr>
          <w:color w:val="231F20"/>
          <w:spacing w:val="-12"/>
          <w:w w:val="120"/>
        </w:rPr>
        <w:t> </w:t>
      </w:r>
      <w:r>
        <w:rPr>
          <w:color w:val="231F20"/>
          <w:w w:val="120"/>
        </w:rPr>
        <w:t>personnes,</w:t>
      </w:r>
      <w:r>
        <w:rPr>
          <w:color w:val="231F20"/>
          <w:spacing w:val="-13"/>
          <w:w w:val="120"/>
        </w:rPr>
        <w:t> </w:t>
      </w:r>
      <w:r>
        <w:rPr>
          <w:color w:val="231F20"/>
          <w:w w:val="120"/>
        </w:rPr>
        <w:t>de</w:t>
      </w:r>
      <w:r>
        <w:rPr>
          <w:color w:val="231F20"/>
          <w:spacing w:val="-13"/>
          <w:w w:val="120"/>
        </w:rPr>
        <w:t> </w:t>
      </w:r>
      <w:r>
        <w:rPr>
          <w:color w:val="231F20"/>
          <w:w w:val="120"/>
        </w:rPr>
        <w:t>libérer</w:t>
      </w:r>
      <w:r>
        <w:rPr>
          <w:color w:val="231F20"/>
          <w:spacing w:val="-13"/>
          <w:w w:val="120"/>
        </w:rPr>
        <w:t> </w:t>
      </w:r>
      <w:r>
        <w:rPr>
          <w:color w:val="231F20"/>
          <w:w w:val="120"/>
        </w:rPr>
        <w:t>l’énergie</w:t>
      </w:r>
      <w:r>
        <w:rPr>
          <w:color w:val="231F20"/>
          <w:spacing w:val="-12"/>
          <w:w w:val="120"/>
        </w:rPr>
        <w:t> </w:t>
      </w:r>
      <w:r>
        <w:rPr>
          <w:color w:val="231F20"/>
          <w:w w:val="120"/>
        </w:rPr>
        <w:t>créatrice</w:t>
      </w:r>
      <w:r>
        <w:rPr>
          <w:color w:val="231F20"/>
          <w:spacing w:val="-13"/>
          <w:w w:val="120"/>
        </w:rPr>
        <w:t> </w:t>
      </w:r>
      <w:r>
        <w:rPr>
          <w:color w:val="231F20"/>
          <w:w w:val="120"/>
        </w:rPr>
        <w:t>de</w:t>
      </w:r>
      <w:r>
        <w:rPr>
          <w:color w:val="231F20"/>
          <w:spacing w:val="-13"/>
          <w:w w:val="120"/>
        </w:rPr>
        <w:t> </w:t>
      </w:r>
      <w:r>
        <w:rPr>
          <w:color w:val="231F20"/>
          <w:w w:val="120"/>
        </w:rPr>
        <w:t>leurs collègues,</w:t>
      </w:r>
      <w:r>
        <w:rPr>
          <w:color w:val="231F20"/>
          <w:spacing w:val="-2"/>
          <w:w w:val="120"/>
        </w:rPr>
        <w:t> </w:t>
      </w:r>
      <w:r>
        <w:rPr>
          <w:color w:val="231F20"/>
          <w:w w:val="120"/>
        </w:rPr>
        <w:t>de</w:t>
      </w:r>
      <w:r>
        <w:rPr>
          <w:color w:val="231F20"/>
          <w:spacing w:val="-2"/>
          <w:w w:val="120"/>
        </w:rPr>
        <w:t> </w:t>
      </w:r>
      <w:r>
        <w:rPr>
          <w:color w:val="231F20"/>
          <w:w w:val="120"/>
        </w:rPr>
        <w:t>contribuer</w:t>
      </w:r>
      <w:r>
        <w:rPr>
          <w:color w:val="231F20"/>
          <w:spacing w:val="-2"/>
          <w:w w:val="120"/>
        </w:rPr>
        <w:t> </w:t>
      </w:r>
      <w:r>
        <w:rPr>
          <w:color w:val="231F20"/>
          <w:w w:val="120"/>
        </w:rPr>
        <w:t>à</w:t>
      </w:r>
      <w:r>
        <w:rPr>
          <w:color w:val="231F20"/>
          <w:spacing w:val="-2"/>
          <w:w w:val="120"/>
        </w:rPr>
        <w:t> </w:t>
      </w:r>
      <w:r>
        <w:rPr>
          <w:color w:val="231F20"/>
          <w:w w:val="120"/>
        </w:rPr>
        <w:t>la</w:t>
      </w:r>
      <w:r>
        <w:rPr>
          <w:color w:val="231F20"/>
          <w:spacing w:val="-2"/>
          <w:w w:val="120"/>
        </w:rPr>
        <w:t> </w:t>
      </w:r>
      <w:r>
        <w:rPr>
          <w:color w:val="231F20"/>
          <w:w w:val="120"/>
        </w:rPr>
        <w:t>création</w:t>
      </w:r>
      <w:r>
        <w:rPr>
          <w:color w:val="231F20"/>
          <w:spacing w:val="-2"/>
          <w:w w:val="120"/>
        </w:rPr>
        <w:t> </w:t>
      </w:r>
      <w:r>
        <w:rPr>
          <w:color w:val="231F20"/>
          <w:w w:val="120"/>
        </w:rPr>
        <w:t>d’organisations</w:t>
      </w:r>
      <w:r>
        <w:rPr>
          <w:color w:val="231F20"/>
          <w:spacing w:val="-2"/>
          <w:w w:val="120"/>
        </w:rPr>
        <w:t> </w:t>
      </w:r>
      <w:r>
        <w:rPr>
          <w:color w:val="231F20"/>
          <w:w w:val="120"/>
        </w:rPr>
        <w:t>plus</w:t>
      </w:r>
      <w:r>
        <w:rPr>
          <w:color w:val="231F20"/>
          <w:spacing w:val="-2"/>
          <w:w w:val="120"/>
        </w:rPr>
        <w:t> </w:t>
      </w:r>
      <w:r>
        <w:rPr>
          <w:color w:val="231F20"/>
          <w:w w:val="120"/>
        </w:rPr>
        <w:t>solidaires</w:t>
      </w:r>
      <w:r>
        <w:rPr>
          <w:color w:val="231F20"/>
          <w:spacing w:val="-2"/>
          <w:w w:val="120"/>
        </w:rPr>
        <w:t> </w:t>
      </w:r>
      <w:r>
        <w:rPr>
          <w:color w:val="231F20"/>
          <w:w w:val="120"/>
        </w:rPr>
        <w:t>et </w:t>
      </w:r>
      <w:r>
        <w:rPr>
          <w:color w:val="231F20"/>
          <w:w w:val="115"/>
        </w:rPr>
        <w:t>d’établir</w:t>
      </w:r>
      <w:r>
        <w:rPr>
          <w:color w:val="231F20"/>
          <w:spacing w:val="-2"/>
          <w:w w:val="115"/>
        </w:rPr>
        <w:t> </w:t>
      </w:r>
      <w:r>
        <w:rPr>
          <w:color w:val="231F20"/>
          <w:w w:val="115"/>
        </w:rPr>
        <w:t>des</w:t>
      </w:r>
      <w:r>
        <w:rPr>
          <w:color w:val="231F20"/>
          <w:spacing w:val="-2"/>
          <w:w w:val="115"/>
        </w:rPr>
        <w:t> </w:t>
      </w:r>
      <w:r>
        <w:rPr>
          <w:color w:val="231F20"/>
          <w:w w:val="115"/>
        </w:rPr>
        <w:t>espaces</w:t>
      </w:r>
      <w:r>
        <w:rPr>
          <w:color w:val="231F20"/>
          <w:spacing w:val="-2"/>
          <w:w w:val="115"/>
        </w:rPr>
        <w:t> </w:t>
      </w:r>
      <w:r>
        <w:rPr>
          <w:color w:val="231F20"/>
          <w:w w:val="115"/>
        </w:rPr>
        <w:t>de</w:t>
      </w:r>
      <w:r>
        <w:rPr>
          <w:color w:val="231F20"/>
          <w:spacing w:val="-2"/>
          <w:w w:val="115"/>
        </w:rPr>
        <w:t> </w:t>
      </w:r>
      <w:r>
        <w:rPr>
          <w:color w:val="231F20"/>
          <w:w w:val="115"/>
        </w:rPr>
        <w:t>dialogue</w:t>
      </w:r>
      <w:r>
        <w:rPr>
          <w:color w:val="231F20"/>
          <w:spacing w:val="-2"/>
          <w:w w:val="115"/>
        </w:rPr>
        <w:t> </w:t>
      </w:r>
      <w:r>
        <w:rPr>
          <w:color w:val="231F20"/>
          <w:w w:val="115"/>
        </w:rPr>
        <w:t>pour</w:t>
      </w:r>
      <w:r>
        <w:rPr>
          <w:color w:val="231F20"/>
          <w:spacing w:val="-2"/>
          <w:w w:val="115"/>
        </w:rPr>
        <w:t> </w:t>
      </w:r>
      <w:r>
        <w:rPr>
          <w:color w:val="231F20"/>
          <w:w w:val="115"/>
        </w:rPr>
        <w:t>la</w:t>
      </w:r>
      <w:r>
        <w:rPr>
          <w:color w:val="231F20"/>
          <w:spacing w:val="-2"/>
          <w:w w:val="115"/>
        </w:rPr>
        <w:t> </w:t>
      </w:r>
      <w:r>
        <w:rPr>
          <w:color w:val="231F20"/>
          <w:w w:val="115"/>
        </w:rPr>
        <w:t>co-construction</w:t>
      </w:r>
      <w:r>
        <w:rPr>
          <w:color w:val="231F20"/>
          <w:spacing w:val="-2"/>
          <w:w w:val="115"/>
        </w:rPr>
        <w:t> </w:t>
      </w:r>
      <w:r>
        <w:rPr>
          <w:color w:val="231F20"/>
          <w:w w:val="115"/>
        </w:rPr>
        <w:t>de</w:t>
      </w:r>
      <w:r>
        <w:rPr>
          <w:color w:val="231F20"/>
          <w:spacing w:val="-2"/>
          <w:w w:val="115"/>
        </w:rPr>
        <w:t> </w:t>
      </w:r>
      <w:r>
        <w:rPr>
          <w:color w:val="231F20"/>
          <w:w w:val="115"/>
        </w:rPr>
        <w:t>valeurs</w:t>
      </w:r>
      <w:r>
        <w:rPr>
          <w:color w:val="231F20"/>
          <w:spacing w:val="-2"/>
          <w:w w:val="115"/>
        </w:rPr>
        <w:t> </w:t>
      </w:r>
      <w:r>
        <w:rPr>
          <w:color w:val="231F20"/>
          <w:w w:val="115"/>
        </w:rPr>
        <w:t>com- </w:t>
      </w:r>
      <w:r>
        <w:rPr>
          <w:color w:val="231F20"/>
          <w:spacing w:val="-2"/>
          <w:w w:val="120"/>
        </w:rPr>
        <w:t>munes.</w:t>
      </w:r>
      <w:r>
        <w:rPr>
          <w:color w:val="231F20"/>
          <w:spacing w:val="-6"/>
          <w:w w:val="120"/>
        </w:rPr>
        <w:t> </w:t>
      </w:r>
      <w:r>
        <w:rPr>
          <w:color w:val="231F20"/>
          <w:spacing w:val="-2"/>
          <w:w w:val="120"/>
        </w:rPr>
        <w:t>Leur</w:t>
      </w:r>
      <w:r>
        <w:rPr>
          <w:color w:val="231F20"/>
          <w:spacing w:val="-6"/>
          <w:w w:val="120"/>
        </w:rPr>
        <w:t> </w:t>
      </w:r>
      <w:r>
        <w:rPr>
          <w:color w:val="231F20"/>
          <w:spacing w:val="-2"/>
          <w:w w:val="120"/>
        </w:rPr>
        <w:t>principale</w:t>
      </w:r>
      <w:r>
        <w:rPr>
          <w:color w:val="231F20"/>
          <w:spacing w:val="-6"/>
          <w:w w:val="120"/>
        </w:rPr>
        <w:t> </w:t>
      </w:r>
      <w:r>
        <w:rPr>
          <w:color w:val="231F20"/>
          <w:spacing w:val="-2"/>
          <w:w w:val="120"/>
        </w:rPr>
        <w:t>qualité</w:t>
      </w:r>
      <w:r>
        <w:rPr>
          <w:color w:val="231F20"/>
          <w:spacing w:val="-6"/>
          <w:w w:val="120"/>
        </w:rPr>
        <w:t> </w:t>
      </w:r>
      <w:r>
        <w:rPr>
          <w:color w:val="231F20"/>
          <w:spacing w:val="-2"/>
          <w:w w:val="120"/>
        </w:rPr>
        <w:t>se</w:t>
      </w:r>
      <w:r>
        <w:rPr>
          <w:color w:val="231F20"/>
          <w:spacing w:val="-6"/>
          <w:w w:val="120"/>
        </w:rPr>
        <w:t> </w:t>
      </w:r>
      <w:r>
        <w:rPr>
          <w:color w:val="231F20"/>
          <w:spacing w:val="-2"/>
          <w:w w:val="120"/>
        </w:rPr>
        <w:t>trouve</w:t>
      </w:r>
      <w:r>
        <w:rPr>
          <w:color w:val="231F20"/>
          <w:spacing w:val="-6"/>
          <w:w w:val="120"/>
        </w:rPr>
        <w:t> </w:t>
      </w:r>
      <w:r>
        <w:rPr>
          <w:color w:val="231F20"/>
          <w:spacing w:val="-2"/>
          <w:w w:val="120"/>
        </w:rPr>
        <w:t>dans</w:t>
      </w:r>
      <w:r>
        <w:rPr>
          <w:color w:val="231F20"/>
          <w:spacing w:val="-6"/>
          <w:w w:val="120"/>
        </w:rPr>
        <w:t> </w:t>
      </w:r>
      <w:r>
        <w:rPr>
          <w:color w:val="231F20"/>
          <w:spacing w:val="-2"/>
          <w:w w:val="120"/>
        </w:rPr>
        <w:t>la</w:t>
      </w:r>
      <w:r>
        <w:rPr>
          <w:color w:val="231F20"/>
          <w:spacing w:val="-6"/>
          <w:w w:val="120"/>
        </w:rPr>
        <w:t> </w:t>
      </w:r>
      <w:r>
        <w:rPr>
          <w:color w:val="231F20"/>
          <w:spacing w:val="-2"/>
          <w:w w:val="120"/>
        </w:rPr>
        <w:t>gestion</w:t>
      </w:r>
      <w:r>
        <w:rPr>
          <w:color w:val="231F20"/>
          <w:spacing w:val="-6"/>
          <w:w w:val="120"/>
        </w:rPr>
        <w:t> </w:t>
      </w:r>
      <w:r>
        <w:rPr>
          <w:color w:val="231F20"/>
          <w:spacing w:val="-2"/>
          <w:w w:val="120"/>
        </w:rPr>
        <w:t>de</w:t>
      </w:r>
      <w:r>
        <w:rPr>
          <w:color w:val="231F20"/>
          <w:spacing w:val="-6"/>
          <w:w w:val="120"/>
        </w:rPr>
        <w:t> </w:t>
      </w:r>
      <w:r>
        <w:rPr>
          <w:color w:val="231F20"/>
          <w:spacing w:val="-2"/>
          <w:w w:val="120"/>
        </w:rPr>
        <w:t>leurs</w:t>
      </w:r>
      <w:r>
        <w:rPr>
          <w:color w:val="231F20"/>
          <w:spacing w:val="-6"/>
          <w:w w:val="120"/>
        </w:rPr>
        <w:t> </w:t>
      </w:r>
      <w:r>
        <w:rPr>
          <w:color w:val="231F20"/>
          <w:spacing w:val="-2"/>
          <w:w w:val="120"/>
        </w:rPr>
        <w:t>propres </w:t>
      </w:r>
      <w:r>
        <w:rPr>
          <w:color w:val="231F20"/>
          <w:w w:val="120"/>
        </w:rPr>
        <w:t>craintes et de celles des autres.</w:t>
      </w:r>
    </w:p>
    <w:p>
      <w:pPr>
        <w:pStyle w:val="BodyText"/>
        <w:spacing w:line="307" w:lineRule="auto" w:before="78"/>
        <w:ind w:left="830" w:right="492" w:firstLine="250"/>
        <w:jc w:val="both"/>
      </w:pPr>
      <w:r>
        <w:rPr>
          <w:color w:val="231F20"/>
          <w:w w:val="115"/>
        </w:rPr>
        <w:t>Horace disait</w:t>
      </w:r>
      <w:r>
        <w:rPr>
          <w:color w:val="231F20"/>
          <w:spacing w:val="-13"/>
          <w:w w:val="115"/>
        </w:rPr>
        <w:t> </w:t>
      </w:r>
      <w:r>
        <w:rPr>
          <w:color w:val="231F20"/>
          <w:w w:val="115"/>
        </w:rPr>
        <w:t>: </w:t>
      </w:r>
      <w:r>
        <w:rPr>
          <w:i/>
          <w:color w:val="231F20"/>
          <w:w w:val="115"/>
        </w:rPr>
        <w:t>Qui metuens vivet, liber mihi non erit umquam </w:t>
      </w:r>
      <w:r>
        <w:rPr>
          <w:color w:val="231F20"/>
          <w:w w:val="115"/>
        </w:rPr>
        <w:t>(celui </w:t>
      </w:r>
      <w:r>
        <w:rPr>
          <w:color w:val="231F20"/>
          <w:w w:val="120"/>
        </w:rPr>
        <w:t>qui</w:t>
      </w:r>
      <w:r>
        <w:rPr>
          <w:color w:val="231F20"/>
          <w:spacing w:val="-5"/>
          <w:w w:val="120"/>
        </w:rPr>
        <w:t> </w:t>
      </w:r>
      <w:r>
        <w:rPr>
          <w:color w:val="231F20"/>
          <w:w w:val="120"/>
        </w:rPr>
        <w:t>vit</w:t>
      </w:r>
      <w:r>
        <w:rPr>
          <w:color w:val="231F20"/>
          <w:spacing w:val="-5"/>
          <w:w w:val="120"/>
        </w:rPr>
        <w:t> </w:t>
      </w:r>
      <w:r>
        <w:rPr>
          <w:color w:val="231F20"/>
          <w:w w:val="120"/>
        </w:rPr>
        <w:t>dans</w:t>
      </w:r>
      <w:r>
        <w:rPr>
          <w:color w:val="231F20"/>
          <w:spacing w:val="-5"/>
          <w:w w:val="120"/>
        </w:rPr>
        <w:t> </w:t>
      </w:r>
      <w:r>
        <w:rPr>
          <w:color w:val="231F20"/>
          <w:w w:val="120"/>
        </w:rPr>
        <w:t>la</w:t>
      </w:r>
      <w:r>
        <w:rPr>
          <w:color w:val="231F20"/>
          <w:spacing w:val="-5"/>
          <w:w w:val="120"/>
        </w:rPr>
        <w:t> </w:t>
      </w:r>
      <w:r>
        <w:rPr>
          <w:color w:val="231F20"/>
          <w:w w:val="120"/>
        </w:rPr>
        <w:t>crainte</w:t>
      </w:r>
      <w:r>
        <w:rPr>
          <w:color w:val="231F20"/>
          <w:spacing w:val="-5"/>
          <w:w w:val="120"/>
        </w:rPr>
        <w:t> </w:t>
      </w:r>
      <w:r>
        <w:rPr>
          <w:color w:val="231F20"/>
          <w:w w:val="120"/>
        </w:rPr>
        <w:t>ne</w:t>
      </w:r>
      <w:r>
        <w:rPr>
          <w:color w:val="231F20"/>
          <w:spacing w:val="-5"/>
          <w:w w:val="120"/>
        </w:rPr>
        <w:t> </w:t>
      </w:r>
      <w:r>
        <w:rPr>
          <w:color w:val="231F20"/>
          <w:w w:val="120"/>
        </w:rPr>
        <w:t>sera</w:t>
      </w:r>
      <w:r>
        <w:rPr>
          <w:color w:val="231F20"/>
          <w:spacing w:val="-5"/>
          <w:w w:val="120"/>
        </w:rPr>
        <w:t> </w:t>
      </w:r>
      <w:r>
        <w:rPr>
          <w:color w:val="231F20"/>
          <w:w w:val="120"/>
        </w:rPr>
        <w:t>jamais</w:t>
      </w:r>
      <w:r>
        <w:rPr>
          <w:color w:val="231F20"/>
          <w:spacing w:val="-5"/>
          <w:w w:val="120"/>
        </w:rPr>
        <w:t> </w:t>
      </w:r>
      <w:r>
        <w:rPr>
          <w:color w:val="231F20"/>
          <w:w w:val="120"/>
        </w:rPr>
        <w:t>libre</w:t>
      </w:r>
      <w:r>
        <w:rPr>
          <w:color w:val="231F20"/>
          <w:spacing w:val="-5"/>
          <w:w w:val="120"/>
        </w:rPr>
        <w:t> </w:t>
      </w:r>
      <w:r>
        <w:rPr>
          <w:color w:val="231F20"/>
          <w:w w:val="120"/>
        </w:rPr>
        <w:t>à</w:t>
      </w:r>
      <w:r>
        <w:rPr>
          <w:color w:val="231F20"/>
          <w:spacing w:val="-5"/>
          <w:w w:val="120"/>
        </w:rPr>
        <w:t> </w:t>
      </w:r>
      <w:r>
        <w:rPr>
          <w:color w:val="231F20"/>
          <w:w w:val="120"/>
        </w:rPr>
        <w:t>mes</w:t>
      </w:r>
      <w:r>
        <w:rPr>
          <w:color w:val="231F20"/>
          <w:spacing w:val="-5"/>
          <w:w w:val="120"/>
        </w:rPr>
        <w:t> </w:t>
      </w:r>
      <w:r>
        <w:rPr>
          <w:color w:val="231F20"/>
          <w:w w:val="120"/>
        </w:rPr>
        <w:t>yeux).</w:t>
      </w:r>
      <w:r>
        <w:rPr>
          <w:color w:val="231F20"/>
          <w:spacing w:val="-5"/>
          <w:w w:val="120"/>
        </w:rPr>
        <w:t> </w:t>
      </w:r>
      <w:r>
        <w:rPr>
          <w:color w:val="231F20"/>
          <w:w w:val="120"/>
        </w:rPr>
        <w:t>Dans</w:t>
      </w:r>
      <w:r>
        <w:rPr>
          <w:color w:val="231F20"/>
          <w:spacing w:val="-5"/>
          <w:w w:val="120"/>
        </w:rPr>
        <w:t> </w:t>
      </w:r>
      <w:r>
        <w:rPr>
          <w:color w:val="231F20"/>
          <w:w w:val="120"/>
        </w:rPr>
        <w:t>le</w:t>
      </w:r>
      <w:r>
        <w:rPr>
          <w:color w:val="231F20"/>
          <w:spacing w:val="-5"/>
          <w:w w:val="120"/>
        </w:rPr>
        <w:t> </w:t>
      </w:r>
      <w:r>
        <w:rPr>
          <w:color w:val="231F20"/>
          <w:w w:val="120"/>
        </w:rPr>
        <w:t>présent </w:t>
      </w:r>
      <w:r>
        <w:rPr>
          <w:color w:val="231F20"/>
          <w:w w:val="115"/>
        </w:rPr>
        <w:t>contexte,</w:t>
      </w:r>
      <w:r>
        <w:rPr>
          <w:color w:val="231F20"/>
          <w:spacing w:val="-13"/>
          <w:w w:val="115"/>
        </w:rPr>
        <w:t> </w:t>
      </w:r>
      <w:r>
        <w:rPr>
          <w:color w:val="231F20"/>
          <w:w w:val="115"/>
        </w:rPr>
        <w:t>nous</w:t>
      </w:r>
      <w:r>
        <w:rPr>
          <w:color w:val="231F20"/>
          <w:spacing w:val="-4"/>
          <w:w w:val="115"/>
        </w:rPr>
        <w:t> </w:t>
      </w:r>
      <w:r>
        <w:rPr>
          <w:color w:val="231F20"/>
          <w:w w:val="115"/>
        </w:rPr>
        <w:t>proposons</w:t>
      </w:r>
      <w:r>
        <w:rPr>
          <w:color w:val="231F20"/>
          <w:spacing w:val="-1"/>
          <w:w w:val="115"/>
        </w:rPr>
        <w:t> </w:t>
      </w:r>
      <w:r>
        <w:rPr>
          <w:color w:val="231F20"/>
          <w:w w:val="115"/>
        </w:rPr>
        <w:t>une</w:t>
      </w:r>
      <w:r>
        <w:rPr>
          <w:color w:val="231F20"/>
          <w:spacing w:val="-1"/>
          <w:w w:val="115"/>
        </w:rPr>
        <w:t> </w:t>
      </w:r>
      <w:r>
        <w:rPr>
          <w:color w:val="231F20"/>
          <w:w w:val="115"/>
        </w:rPr>
        <w:t>variante</w:t>
      </w:r>
      <w:r>
        <w:rPr>
          <w:color w:val="231F20"/>
          <w:spacing w:val="-13"/>
          <w:w w:val="115"/>
        </w:rPr>
        <w:t> </w:t>
      </w:r>
      <w:r>
        <w:rPr>
          <w:color w:val="231F20"/>
          <w:w w:val="115"/>
        </w:rPr>
        <w:t>: </w:t>
      </w:r>
      <w:r>
        <w:rPr>
          <w:i/>
          <w:color w:val="231F20"/>
          <w:w w:val="115"/>
        </w:rPr>
        <w:t>Qui</w:t>
      </w:r>
      <w:r>
        <w:rPr>
          <w:i/>
          <w:color w:val="231F20"/>
          <w:spacing w:val="-1"/>
          <w:w w:val="115"/>
        </w:rPr>
        <w:t> </w:t>
      </w:r>
      <w:r>
        <w:rPr>
          <w:i/>
          <w:color w:val="231F20"/>
          <w:w w:val="115"/>
        </w:rPr>
        <w:t>metuens</w:t>
      </w:r>
      <w:r>
        <w:rPr>
          <w:i/>
          <w:color w:val="231F20"/>
          <w:spacing w:val="-1"/>
          <w:w w:val="115"/>
        </w:rPr>
        <w:t> </w:t>
      </w:r>
      <w:r>
        <w:rPr>
          <w:i/>
          <w:color w:val="231F20"/>
          <w:w w:val="115"/>
        </w:rPr>
        <w:t>vivet,</w:t>
      </w:r>
      <w:r>
        <w:rPr>
          <w:i/>
          <w:color w:val="231F20"/>
          <w:spacing w:val="-1"/>
          <w:w w:val="115"/>
        </w:rPr>
        <w:t> </w:t>
      </w:r>
      <w:r>
        <w:rPr>
          <w:i/>
          <w:color w:val="231F20"/>
          <w:w w:val="115"/>
        </w:rPr>
        <w:t>lider</w:t>
      </w:r>
      <w:r>
        <w:rPr>
          <w:i/>
          <w:color w:val="231F20"/>
          <w:spacing w:val="-1"/>
          <w:w w:val="115"/>
        </w:rPr>
        <w:t> </w:t>
      </w:r>
      <w:r>
        <w:rPr>
          <w:i/>
          <w:color w:val="231F20"/>
          <w:w w:val="115"/>
        </w:rPr>
        <w:t>mihi</w:t>
      </w:r>
      <w:r>
        <w:rPr>
          <w:i/>
          <w:color w:val="231F20"/>
          <w:spacing w:val="-1"/>
          <w:w w:val="115"/>
        </w:rPr>
        <w:t> </w:t>
      </w:r>
      <w:r>
        <w:rPr>
          <w:i/>
          <w:color w:val="231F20"/>
          <w:w w:val="115"/>
        </w:rPr>
        <w:t>non </w:t>
      </w:r>
      <w:r>
        <w:rPr>
          <w:i/>
          <w:color w:val="231F20"/>
          <w:w w:val="120"/>
        </w:rPr>
        <w:t>erit</w:t>
      </w:r>
      <w:r>
        <w:rPr>
          <w:i/>
          <w:color w:val="231F20"/>
          <w:spacing w:val="-13"/>
          <w:w w:val="120"/>
        </w:rPr>
        <w:t> </w:t>
      </w:r>
      <w:r>
        <w:rPr>
          <w:i/>
          <w:color w:val="231F20"/>
          <w:w w:val="120"/>
        </w:rPr>
        <w:t>umquam</w:t>
      </w:r>
      <w:r>
        <w:rPr>
          <w:i/>
          <w:color w:val="231F20"/>
          <w:spacing w:val="-13"/>
          <w:w w:val="120"/>
        </w:rPr>
        <w:t> </w:t>
      </w:r>
      <w:r>
        <w:rPr>
          <w:color w:val="231F20"/>
          <w:w w:val="120"/>
        </w:rPr>
        <w:t>(celui</w:t>
      </w:r>
      <w:r>
        <w:rPr>
          <w:color w:val="231F20"/>
          <w:spacing w:val="-12"/>
          <w:w w:val="120"/>
        </w:rPr>
        <w:t> </w:t>
      </w:r>
      <w:r>
        <w:rPr>
          <w:color w:val="231F20"/>
          <w:w w:val="120"/>
        </w:rPr>
        <w:t>qui</w:t>
      </w:r>
      <w:r>
        <w:rPr>
          <w:color w:val="231F20"/>
          <w:spacing w:val="-13"/>
          <w:w w:val="120"/>
        </w:rPr>
        <w:t> </w:t>
      </w:r>
      <w:r>
        <w:rPr>
          <w:color w:val="231F20"/>
          <w:w w:val="120"/>
        </w:rPr>
        <w:t>vit</w:t>
      </w:r>
      <w:r>
        <w:rPr>
          <w:color w:val="231F20"/>
          <w:spacing w:val="-13"/>
          <w:w w:val="120"/>
        </w:rPr>
        <w:t> </w:t>
      </w:r>
      <w:r>
        <w:rPr>
          <w:color w:val="231F20"/>
          <w:w w:val="120"/>
        </w:rPr>
        <w:t>dans</w:t>
      </w:r>
      <w:r>
        <w:rPr>
          <w:color w:val="231F20"/>
          <w:spacing w:val="-12"/>
          <w:w w:val="120"/>
        </w:rPr>
        <w:t> </w:t>
      </w:r>
      <w:r>
        <w:rPr>
          <w:color w:val="231F20"/>
          <w:w w:val="120"/>
        </w:rPr>
        <w:t>la</w:t>
      </w:r>
      <w:r>
        <w:rPr>
          <w:color w:val="231F20"/>
          <w:spacing w:val="-13"/>
          <w:w w:val="120"/>
        </w:rPr>
        <w:t> </w:t>
      </w:r>
      <w:r>
        <w:rPr>
          <w:color w:val="231F20"/>
          <w:w w:val="120"/>
        </w:rPr>
        <w:t>crainte</w:t>
      </w:r>
      <w:r>
        <w:rPr>
          <w:color w:val="231F20"/>
          <w:spacing w:val="-13"/>
          <w:w w:val="120"/>
        </w:rPr>
        <w:t> </w:t>
      </w:r>
      <w:r>
        <w:rPr>
          <w:color w:val="231F20"/>
          <w:w w:val="120"/>
        </w:rPr>
        <w:t>ne</w:t>
      </w:r>
      <w:r>
        <w:rPr>
          <w:color w:val="231F20"/>
          <w:spacing w:val="-12"/>
          <w:w w:val="120"/>
        </w:rPr>
        <w:t> </w:t>
      </w:r>
      <w:r>
        <w:rPr>
          <w:color w:val="231F20"/>
          <w:w w:val="120"/>
        </w:rPr>
        <w:t>sera</w:t>
      </w:r>
      <w:r>
        <w:rPr>
          <w:color w:val="231F20"/>
          <w:spacing w:val="-13"/>
          <w:w w:val="120"/>
        </w:rPr>
        <w:t> </w:t>
      </w:r>
      <w:r>
        <w:rPr>
          <w:color w:val="231F20"/>
          <w:w w:val="120"/>
        </w:rPr>
        <w:t>jamais</w:t>
      </w:r>
      <w:r>
        <w:rPr>
          <w:color w:val="231F20"/>
          <w:spacing w:val="-13"/>
          <w:w w:val="120"/>
        </w:rPr>
        <w:t> </w:t>
      </w:r>
      <w:r>
        <w:rPr>
          <w:color w:val="231F20"/>
          <w:w w:val="120"/>
        </w:rPr>
        <w:t>un</w:t>
      </w:r>
      <w:r>
        <w:rPr>
          <w:color w:val="231F20"/>
          <w:spacing w:val="-12"/>
          <w:w w:val="120"/>
        </w:rPr>
        <w:t> </w:t>
      </w:r>
      <w:r>
        <w:rPr>
          <w:color w:val="231F20"/>
          <w:w w:val="120"/>
        </w:rPr>
        <w:t>leader</w:t>
      </w:r>
      <w:r>
        <w:rPr>
          <w:color w:val="231F20"/>
          <w:spacing w:val="-13"/>
          <w:w w:val="120"/>
        </w:rPr>
        <w:t> </w:t>
      </w:r>
      <w:r>
        <w:rPr>
          <w:color w:val="231F20"/>
          <w:w w:val="120"/>
        </w:rPr>
        <w:t>à</w:t>
      </w:r>
      <w:r>
        <w:rPr>
          <w:color w:val="231F20"/>
          <w:spacing w:val="-13"/>
          <w:w w:val="120"/>
        </w:rPr>
        <w:t> </w:t>
      </w:r>
      <w:r>
        <w:rPr>
          <w:color w:val="231F20"/>
          <w:w w:val="120"/>
        </w:rPr>
        <w:t>mes yeux). En vérité, nous avons besoin de leaders de ce type nouveau, </w:t>
      </w:r>
      <w:r>
        <w:rPr>
          <w:color w:val="231F20"/>
          <w:w w:val="115"/>
        </w:rPr>
        <w:t>capables</w:t>
      </w:r>
      <w:r>
        <w:rPr>
          <w:color w:val="231F20"/>
          <w:spacing w:val="-6"/>
          <w:w w:val="115"/>
        </w:rPr>
        <w:t> </w:t>
      </w:r>
      <w:r>
        <w:rPr>
          <w:color w:val="231F20"/>
          <w:w w:val="115"/>
        </w:rPr>
        <w:t>d’activer</w:t>
      </w:r>
      <w:r>
        <w:rPr>
          <w:color w:val="231F20"/>
          <w:spacing w:val="-6"/>
          <w:w w:val="115"/>
        </w:rPr>
        <w:t> </w:t>
      </w:r>
      <w:r>
        <w:rPr>
          <w:color w:val="231F20"/>
          <w:w w:val="115"/>
        </w:rPr>
        <w:t>le</w:t>
      </w:r>
      <w:r>
        <w:rPr>
          <w:color w:val="231F20"/>
          <w:spacing w:val="-6"/>
          <w:w w:val="115"/>
        </w:rPr>
        <w:t> </w:t>
      </w:r>
      <w:r>
        <w:rPr>
          <w:color w:val="231F20"/>
          <w:w w:val="115"/>
        </w:rPr>
        <w:t>flux</w:t>
      </w:r>
      <w:r>
        <w:rPr>
          <w:color w:val="231F20"/>
          <w:spacing w:val="-6"/>
          <w:w w:val="115"/>
        </w:rPr>
        <w:t> </w:t>
      </w:r>
      <w:r>
        <w:rPr>
          <w:color w:val="231F20"/>
          <w:w w:val="115"/>
        </w:rPr>
        <w:t>créatif</w:t>
      </w:r>
      <w:r>
        <w:rPr>
          <w:color w:val="231F20"/>
          <w:spacing w:val="-6"/>
          <w:w w:val="115"/>
        </w:rPr>
        <w:t> </w:t>
      </w:r>
      <w:r>
        <w:rPr>
          <w:color w:val="231F20"/>
          <w:w w:val="115"/>
        </w:rPr>
        <w:t>entre</w:t>
      </w:r>
      <w:r>
        <w:rPr>
          <w:color w:val="231F20"/>
          <w:spacing w:val="-6"/>
          <w:w w:val="115"/>
        </w:rPr>
        <w:t> </w:t>
      </w:r>
      <w:r>
        <w:rPr>
          <w:color w:val="231F20"/>
          <w:w w:val="115"/>
        </w:rPr>
        <w:t>le</w:t>
      </w:r>
      <w:r>
        <w:rPr>
          <w:color w:val="231F20"/>
          <w:spacing w:val="-6"/>
          <w:w w:val="115"/>
        </w:rPr>
        <w:t> </w:t>
      </w:r>
      <w:r>
        <w:rPr>
          <w:color w:val="231F20"/>
          <w:w w:val="115"/>
        </w:rPr>
        <w:t>réalisme</w:t>
      </w:r>
      <w:r>
        <w:rPr>
          <w:color w:val="231F20"/>
          <w:spacing w:val="-6"/>
          <w:w w:val="115"/>
        </w:rPr>
        <w:t> </w:t>
      </w:r>
      <w:r>
        <w:rPr>
          <w:color w:val="231F20"/>
          <w:w w:val="115"/>
        </w:rPr>
        <w:t>et</w:t>
      </w:r>
      <w:r>
        <w:rPr>
          <w:color w:val="231F20"/>
          <w:spacing w:val="-6"/>
          <w:w w:val="115"/>
        </w:rPr>
        <w:t> </w:t>
      </w:r>
      <w:r>
        <w:rPr>
          <w:color w:val="231F20"/>
          <w:w w:val="115"/>
        </w:rPr>
        <w:t>les</w:t>
      </w:r>
      <w:r>
        <w:rPr>
          <w:color w:val="231F20"/>
          <w:spacing w:val="-6"/>
          <w:w w:val="115"/>
        </w:rPr>
        <w:t> </w:t>
      </w:r>
      <w:r>
        <w:rPr>
          <w:color w:val="231F20"/>
          <w:w w:val="115"/>
        </w:rPr>
        <w:t>idéaux.</w:t>
      </w:r>
      <w:r>
        <w:rPr>
          <w:color w:val="231F20"/>
          <w:spacing w:val="-6"/>
          <w:w w:val="115"/>
        </w:rPr>
        <w:t> </w:t>
      </w:r>
      <w:r>
        <w:rPr>
          <w:color w:val="231F20"/>
          <w:w w:val="115"/>
        </w:rPr>
        <w:t>Mais</w:t>
      </w:r>
      <w:r>
        <w:rPr>
          <w:color w:val="231F20"/>
          <w:spacing w:val="-6"/>
          <w:w w:val="115"/>
        </w:rPr>
        <w:t> </w:t>
      </w:r>
      <w:r>
        <w:rPr>
          <w:color w:val="231F20"/>
          <w:w w:val="115"/>
        </w:rPr>
        <w:t>pour </w:t>
      </w:r>
      <w:r>
        <w:rPr>
          <w:color w:val="231F20"/>
          <w:w w:val="120"/>
        </w:rPr>
        <w:t>assumer</w:t>
      </w:r>
      <w:r>
        <w:rPr>
          <w:color w:val="231F20"/>
          <w:spacing w:val="-8"/>
          <w:w w:val="120"/>
        </w:rPr>
        <w:t> </w:t>
      </w:r>
      <w:r>
        <w:rPr>
          <w:color w:val="231F20"/>
          <w:w w:val="120"/>
        </w:rPr>
        <w:t>ce</w:t>
      </w:r>
      <w:r>
        <w:rPr>
          <w:color w:val="231F20"/>
          <w:spacing w:val="-8"/>
          <w:w w:val="120"/>
        </w:rPr>
        <w:t> </w:t>
      </w:r>
      <w:r>
        <w:rPr>
          <w:color w:val="231F20"/>
          <w:w w:val="120"/>
        </w:rPr>
        <w:t>rôle,</w:t>
      </w:r>
      <w:r>
        <w:rPr>
          <w:color w:val="231F20"/>
          <w:spacing w:val="-8"/>
          <w:w w:val="120"/>
        </w:rPr>
        <w:t> </w:t>
      </w:r>
      <w:r>
        <w:rPr>
          <w:color w:val="231F20"/>
          <w:w w:val="120"/>
        </w:rPr>
        <w:t>les</w:t>
      </w:r>
      <w:r>
        <w:rPr>
          <w:color w:val="231F20"/>
          <w:spacing w:val="-8"/>
          <w:w w:val="120"/>
        </w:rPr>
        <w:t> </w:t>
      </w:r>
      <w:r>
        <w:rPr>
          <w:color w:val="231F20"/>
          <w:w w:val="120"/>
        </w:rPr>
        <w:t>dirigeants</w:t>
      </w:r>
      <w:r>
        <w:rPr>
          <w:color w:val="231F20"/>
          <w:spacing w:val="-8"/>
          <w:w w:val="120"/>
        </w:rPr>
        <w:t> </w:t>
      </w:r>
      <w:r>
        <w:rPr>
          <w:color w:val="231F20"/>
          <w:w w:val="120"/>
        </w:rPr>
        <w:t>et</w:t>
      </w:r>
      <w:r>
        <w:rPr>
          <w:color w:val="231F20"/>
          <w:spacing w:val="-8"/>
          <w:w w:val="120"/>
        </w:rPr>
        <w:t> </w:t>
      </w:r>
      <w:r>
        <w:rPr>
          <w:color w:val="231F20"/>
          <w:w w:val="120"/>
        </w:rPr>
        <w:t>les</w:t>
      </w:r>
      <w:r>
        <w:rPr>
          <w:color w:val="231F20"/>
          <w:spacing w:val="-8"/>
          <w:w w:val="120"/>
        </w:rPr>
        <w:t> </w:t>
      </w:r>
      <w:r>
        <w:rPr>
          <w:color w:val="231F20"/>
          <w:w w:val="120"/>
        </w:rPr>
        <w:t>gestionnaires</w:t>
      </w:r>
      <w:r>
        <w:rPr>
          <w:color w:val="231F20"/>
          <w:spacing w:val="-8"/>
          <w:w w:val="120"/>
        </w:rPr>
        <w:t> </w:t>
      </w:r>
      <w:r>
        <w:rPr>
          <w:color w:val="231F20"/>
          <w:w w:val="120"/>
        </w:rPr>
        <w:t>doivent</w:t>
      </w:r>
      <w:r>
        <w:rPr>
          <w:color w:val="231F20"/>
          <w:spacing w:val="-8"/>
          <w:w w:val="120"/>
        </w:rPr>
        <w:t> </w:t>
      </w:r>
      <w:r>
        <w:rPr>
          <w:color w:val="231F20"/>
          <w:w w:val="120"/>
        </w:rPr>
        <w:t>avoir</w:t>
      </w:r>
      <w:r>
        <w:rPr>
          <w:color w:val="231F20"/>
          <w:spacing w:val="-8"/>
          <w:w w:val="120"/>
        </w:rPr>
        <w:t> </w:t>
      </w:r>
      <w:r>
        <w:rPr>
          <w:color w:val="231F20"/>
          <w:w w:val="120"/>
        </w:rPr>
        <w:t>le</w:t>
      </w:r>
      <w:r>
        <w:rPr>
          <w:color w:val="231F20"/>
          <w:spacing w:val="-8"/>
          <w:w w:val="120"/>
        </w:rPr>
        <w:t> </w:t>
      </w:r>
      <w:r>
        <w:rPr>
          <w:color w:val="231F20"/>
          <w:w w:val="120"/>
        </w:rPr>
        <w:t>cou- </w:t>
      </w:r>
      <w:r>
        <w:rPr>
          <w:color w:val="231F20"/>
          <w:w w:val="115"/>
        </w:rPr>
        <w:t>rage</w:t>
      </w:r>
      <w:r>
        <w:rPr>
          <w:color w:val="231F20"/>
          <w:spacing w:val="-3"/>
          <w:w w:val="115"/>
        </w:rPr>
        <w:t> </w:t>
      </w:r>
      <w:r>
        <w:rPr>
          <w:color w:val="231F20"/>
          <w:w w:val="115"/>
        </w:rPr>
        <w:t>de</w:t>
      </w:r>
      <w:r>
        <w:rPr>
          <w:color w:val="231F20"/>
          <w:spacing w:val="-3"/>
          <w:w w:val="115"/>
        </w:rPr>
        <w:t> </w:t>
      </w:r>
      <w:r>
        <w:rPr>
          <w:color w:val="231F20"/>
          <w:w w:val="115"/>
        </w:rPr>
        <w:t>vaincre</w:t>
      </w:r>
      <w:r>
        <w:rPr>
          <w:color w:val="231F20"/>
          <w:spacing w:val="-3"/>
          <w:w w:val="115"/>
        </w:rPr>
        <w:t> </w:t>
      </w:r>
      <w:r>
        <w:rPr>
          <w:color w:val="231F20"/>
          <w:w w:val="115"/>
        </w:rPr>
        <w:t>leur</w:t>
      </w:r>
      <w:r>
        <w:rPr>
          <w:color w:val="231F20"/>
          <w:spacing w:val="-3"/>
          <w:w w:val="115"/>
        </w:rPr>
        <w:t> </w:t>
      </w:r>
      <w:r>
        <w:rPr>
          <w:color w:val="231F20"/>
          <w:w w:val="115"/>
        </w:rPr>
        <w:t>peur,</w:t>
      </w:r>
      <w:r>
        <w:rPr>
          <w:color w:val="231F20"/>
          <w:spacing w:val="-3"/>
          <w:w w:val="115"/>
        </w:rPr>
        <w:t> </w:t>
      </w:r>
      <w:r>
        <w:rPr>
          <w:color w:val="231F20"/>
          <w:w w:val="115"/>
        </w:rPr>
        <w:t>de</w:t>
      </w:r>
      <w:r>
        <w:rPr>
          <w:color w:val="231F20"/>
          <w:spacing w:val="-3"/>
          <w:w w:val="115"/>
        </w:rPr>
        <w:t> </w:t>
      </w:r>
      <w:r>
        <w:rPr>
          <w:color w:val="231F20"/>
          <w:w w:val="115"/>
        </w:rPr>
        <w:t>rêver,</w:t>
      </w:r>
      <w:r>
        <w:rPr>
          <w:color w:val="231F20"/>
          <w:spacing w:val="-3"/>
          <w:w w:val="115"/>
        </w:rPr>
        <w:t> </w:t>
      </w:r>
      <w:r>
        <w:rPr>
          <w:color w:val="231F20"/>
          <w:w w:val="115"/>
        </w:rPr>
        <w:t>d’exprimer</w:t>
      </w:r>
      <w:r>
        <w:rPr>
          <w:color w:val="231F20"/>
          <w:spacing w:val="-3"/>
          <w:w w:val="115"/>
        </w:rPr>
        <w:t> </w:t>
      </w:r>
      <w:r>
        <w:rPr>
          <w:color w:val="231F20"/>
          <w:w w:val="115"/>
        </w:rPr>
        <w:t>ce</w:t>
      </w:r>
      <w:r>
        <w:rPr>
          <w:color w:val="231F20"/>
          <w:spacing w:val="-3"/>
          <w:w w:val="115"/>
        </w:rPr>
        <w:t> </w:t>
      </w:r>
      <w:r>
        <w:rPr>
          <w:color w:val="231F20"/>
          <w:w w:val="115"/>
        </w:rPr>
        <w:t>qu’ils</w:t>
      </w:r>
      <w:r>
        <w:rPr>
          <w:color w:val="231F20"/>
          <w:spacing w:val="-3"/>
          <w:w w:val="115"/>
        </w:rPr>
        <w:t> </w:t>
      </w:r>
      <w:r>
        <w:rPr>
          <w:color w:val="231F20"/>
          <w:w w:val="115"/>
        </w:rPr>
        <w:t>pensent</w:t>
      </w:r>
      <w:r>
        <w:rPr>
          <w:color w:val="231F20"/>
          <w:spacing w:val="-3"/>
          <w:w w:val="115"/>
        </w:rPr>
        <w:t> </w:t>
      </w:r>
      <w:r>
        <w:rPr>
          <w:color w:val="231F20"/>
          <w:w w:val="115"/>
        </w:rPr>
        <w:t>vraiment </w:t>
      </w:r>
      <w:r>
        <w:rPr>
          <w:color w:val="231F20"/>
          <w:w w:val="120"/>
        </w:rPr>
        <w:t>de</w:t>
      </w:r>
      <w:r>
        <w:rPr>
          <w:color w:val="231F20"/>
          <w:spacing w:val="-5"/>
          <w:w w:val="120"/>
        </w:rPr>
        <w:t> </w:t>
      </w:r>
      <w:r>
        <w:rPr>
          <w:color w:val="231F20"/>
          <w:w w:val="120"/>
        </w:rPr>
        <w:t>leurs</w:t>
      </w:r>
      <w:r>
        <w:rPr>
          <w:color w:val="231F20"/>
          <w:spacing w:val="-5"/>
          <w:w w:val="120"/>
        </w:rPr>
        <w:t> </w:t>
      </w:r>
      <w:r>
        <w:rPr>
          <w:color w:val="231F20"/>
          <w:w w:val="120"/>
        </w:rPr>
        <w:t>collègues</w:t>
      </w:r>
      <w:r>
        <w:rPr>
          <w:color w:val="231F20"/>
          <w:spacing w:val="-5"/>
          <w:w w:val="120"/>
        </w:rPr>
        <w:t> </w:t>
      </w:r>
      <w:r>
        <w:rPr>
          <w:color w:val="231F20"/>
          <w:w w:val="120"/>
        </w:rPr>
        <w:t>et</w:t>
      </w:r>
      <w:r>
        <w:rPr>
          <w:color w:val="231F20"/>
          <w:spacing w:val="-5"/>
          <w:w w:val="120"/>
        </w:rPr>
        <w:t> </w:t>
      </w:r>
      <w:r>
        <w:rPr>
          <w:color w:val="231F20"/>
          <w:w w:val="120"/>
        </w:rPr>
        <w:t>de</w:t>
      </w:r>
      <w:r>
        <w:rPr>
          <w:color w:val="231F20"/>
          <w:spacing w:val="-5"/>
          <w:w w:val="120"/>
        </w:rPr>
        <w:t> </w:t>
      </w:r>
      <w:r>
        <w:rPr>
          <w:color w:val="231F20"/>
          <w:w w:val="120"/>
        </w:rPr>
        <w:t>leur</w:t>
      </w:r>
      <w:r>
        <w:rPr>
          <w:color w:val="231F20"/>
          <w:spacing w:val="-5"/>
          <w:w w:val="120"/>
        </w:rPr>
        <w:t> </w:t>
      </w:r>
      <w:r>
        <w:rPr>
          <w:color w:val="231F20"/>
          <w:w w:val="120"/>
        </w:rPr>
        <w:t>entreprise;</w:t>
      </w:r>
      <w:r>
        <w:rPr>
          <w:color w:val="231F20"/>
          <w:spacing w:val="-5"/>
          <w:w w:val="120"/>
        </w:rPr>
        <w:t> </w:t>
      </w:r>
      <w:r>
        <w:rPr>
          <w:color w:val="231F20"/>
          <w:w w:val="120"/>
        </w:rPr>
        <w:t>ils</w:t>
      </w:r>
      <w:r>
        <w:rPr>
          <w:color w:val="231F20"/>
          <w:spacing w:val="-5"/>
          <w:w w:val="120"/>
        </w:rPr>
        <w:t> </w:t>
      </w:r>
      <w:r>
        <w:rPr>
          <w:color w:val="231F20"/>
          <w:w w:val="120"/>
        </w:rPr>
        <w:t>doivent</w:t>
      </w:r>
      <w:r>
        <w:rPr>
          <w:color w:val="231F20"/>
          <w:spacing w:val="-5"/>
          <w:w w:val="120"/>
        </w:rPr>
        <w:t> </w:t>
      </w:r>
      <w:r>
        <w:rPr>
          <w:color w:val="231F20"/>
          <w:w w:val="120"/>
        </w:rPr>
        <w:t>vaincre</w:t>
      </w:r>
      <w:r>
        <w:rPr>
          <w:color w:val="231F20"/>
          <w:spacing w:val="-5"/>
          <w:w w:val="120"/>
        </w:rPr>
        <w:t> </w:t>
      </w:r>
      <w:r>
        <w:rPr>
          <w:color w:val="231F20"/>
          <w:w w:val="120"/>
        </w:rPr>
        <w:t>leur</w:t>
      </w:r>
      <w:r>
        <w:rPr>
          <w:color w:val="231F20"/>
          <w:spacing w:val="-5"/>
          <w:w w:val="120"/>
        </w:rPr>
        <w:t> </w:t>
      </w:r>
      <w:r>
        <w:rPr>
          <w:color w:val="231F20"/>
          <w:w w:val="120"/>
        </w:rPr>
        <w:t>peur</w:t>
      </w:r>
      <w:r>
        <w:rPr>
          <w:color w:val="231F20"/>
          <w:spacing w:val="-5"/>
          <w:w w:val="120"/>
        </w:rPr>
        <w:t> </w:t>
      </w:r>
      <w:r>
        <w:rPr>
          <w:color w:val="231F20"/>
          <w:w w:val="120"/>
        </w:rPr>
        <w:t>de changer,</w:t>
      </w:r>
      <w:r>
        <w:rPr>
          <w:color w:val="231F20"/>
          <w:spacing w:val="-5"/>
          <w:w w:val="120"/>
        </w:rPr>
        <w:t> </w:t>
      </w:r>
      <w:r>
        <w:rPr>
          <w:color w:val="231F20"/>
          <w:w w:val="120"/>
        </w:rPr>
        <w:t>de</w:t>
      </w:r>
      <w:r>
        <w:rPr>
          <w:color w:val="231F20"/>
          <w:spacing w:val="-5"/>
          <w:w w:val="120"/>
        </w:rPr>
        <w:t> </w:t>
      </w:r>
      <w:r>
        <w:rPr>
          <w:color w:val="231F20"/>
          <w:w w:val="120"/>
        </w:rPr>
        <w:t>partager,</w:t>
      </w:r>
      <w:r>
        <w:rPr>
          <w:color w:val="231F20"/>
          <w:spacing w:val="-5"/>
          <w:w w:val="120"/>
        </w:rPr>
        <w:t> </w:t>
      </w:r>
      <w:r>
        <w:rPr>
          <w:color w:val="231F20"/>
          <w:w w:val="120"/>
        </w:rPr>
        <w:t>de</w:t>
      </w:r>
      <w:r>
        <w:rPr>
          <w:color w:val="231F20"/>
          <w:spacing w:val="-5"/>
          <w:w w:val="120"/>
        </w:rPr>
        <w:t> </w:t>
      </w:r>
      <w:r>
        <w:rPr>
          <w:color w:val="231F20"/>
          <w:w w:val="120"/>
        </w:rPr>
        <w:t>vivre,</w:t>
      </w:r>
      <w:r>
        <w:rPr>
          <w:color w:val="231F20"/>
          <w:spacing w:val="-5"/>
          <w:w w:val="120"/>
        </w:rPr>
        <w:t> </w:t>
      </w:r>
      <w:r>
        <w:rPr>
          <w:color w:val="231F20"/>
          <w:w w:val="120"/>
        </w:rPr>
        <w:t>d’en</w:t>
      </w:r>
      <w:r>
        <w:rPr>
          <w:color w:val="231F20"/>
          <w:spacing w:val="-5"/>
          <w:w w:val="120"/>
        </w:rPr>
        <w:t> </w:t>
      </w:r>
      <w:r>
        <w:rPr>
          <w:color w:val="231F20"/>
          <w:w w:val="120"/>
        </w:rPr>
        <w:t>profiter</w:t>
      </w:r>
      <w:r>
        <w:rPr>
          <w:color w:val="231F20"/>
          <w:spacing w:val="-5"/>
          <w:w w:val="120"/>
        </w:rPr>
        <w:t> </w:t>
      </w:r>
      <w:r>
        <w:rPr>
          <w:color w:val="231F20"/>
          <w:w w:val="120"/>
        </w:rPr>
        <w:t>et</w:t>
      </w:r>
      <w:r>
        <w:rPr>
          <w:color w:val="231F20"/>
          <w:spacing w:val="-5"/>
          <w:w w:val="120"/>
        </w:rPr>
        <w:t> </w:t>
      </w:r>
      <w:r>
        <w:rPr>
          <w:color w:val="231F20"/>
          <w:w w:val="120"/>
        </w:rPr>
        <w:t>d’être45.</w:t>
      </w:r>
    </w:p>
    <w:p>
      <w:pPr>
        <w:pStyle w:val="BodyText"/>
        <w:spacing w:line="307" w:lineRule="auto" w:before="79"/>
        <w:ind w:left="830" w:right="490" w:firstLine="250"/>
        <w:jc w:val="both"/>
      </w:pPr>
      <w:r>
        <w:rPr>
          <w:color w:val="231F20"/>
          <w:w w:val="120"/>
        </w:rPr>
        <w:t>Essentiellement, ce qu’on attend des nouveaux dirigeants, c’est la capacité</w:t>
      </w:r>
      <w:r>
        <w:rPr>
          <w:color w:val="231F20"/>
          <w:spacing w:val="-5"/>
          <w:w w:val="120"/>
        </w:rPr>
        <w:t> </w:t>
      </w:r>
      <w:r>
        <w:rPr>
          <w:color w:val="231F20"/>
          <w:w w:val="120"/>
        </w:rPr>
        <w:t>de</w:t>
      </w:r>
      <w:r>
        <w:rPr>
          <w:color w:val="231F20"/>
          <w:spacing w:val="-5"/>
          <w:w w:val="120"/>
        </w:rPr>
        <w:t> </w:t>
      </w:r>
      <w:r>
        <w:rPr>
          <w:color w:val="231F20"/>
          <w:w w:val="120"/>
        </w:rPr>
        <w:t>consolider</w:t>
      </w:r>
      <w:r>
        <w:rPr>
          <w:color w:val="231F20"/>
          <w:spacing w:val="-5"/>
          <w:w w:val="120"/>
        </w:rPr>
        <w:t> </w:t>
      </w:r>
      <w:r>
        <w:rPr>
          <w:color w:val="231F20"/>
          <w:w w:val="120"/>
        </w:rPr>
        <w:t>la</w:t>
      </w:r>
      <w:r>
        <w:rPr>
          <w:color w:val="231F20"/>
          <w:spacing w:val="-5"/>
          <w:w w:val="120"/>
        </w:rPr>
        <w:t> </w:t>
      </w:r>
      <w:r>
        <w:rPr>
          <w:color w:val="231F20"/>
          <w:w w:val="120"/>
        </w:rPr>
        <w:t>confiance</w:t>
      </w:r>
      <w:r>
        <w:rPr>
          <w:color w:val="231F20"/>
          <w:spacing w:val="-5"/>
          <w:w w:val="120"/>
        </w:rPr>
        <w:t> </w:t>
      </w:r>
      <w:r>
        <w:rPr>
          <w:color w:val="231F20"/>
          <w:w w:val="120"/>
        </w:rPr>
        <w:t>et</w:t>
      </w:r>
      <w:r>
        <w:rPr>
          <w:color w:val="231F20"/>
          <w:spacing w:val="-5"/>
          <w:w w:val="120"/>
        </w:rPr>
        <w:t> </w:t>
      </w:r>
      <w:r>
        <w:rPr>
          <w:color w:val="231F20"/>
          <w:w w:val="120"/>
        </w:rPr>
        <w:t>de</w:t>
      </w:r>
      <w:r>
        <w:rPr>
          <w:color w:val="231F20"/>
          <w:spacing w:val="-5"/>
          <w:w w:val="120"/>
        </w:rPr>
        <w:t> </w:t>
      </w:r>
      <w:r>
        <w:rPr>
          <w:color w:val="231F20"/>
          <w:w w:val="120"/>
        </w:rPr>
        <w:t>vaincre</w:t>
      </w:r>
      <w:r>
        <w:rPr>
          <w:color w:val="231F20"/>
          <w:spacing w:val="-5"/>
          <w:w w:val="120"/>
        </w:rPr>
        <w:t> </w:t>
      </w:r>
      <w:r>
        <w:rPr>
          <w:color w:val="231F20"/>
          <w:w w:val="120"/>
        </w:rPr>
        <w:t>la</w:t>
      </w:r>
      <w:r>
        <w:rPr>
          <w:color w:val="231F20"/>
          <w:spacing w:val="-5"/>
          <w:w w:val="120"/>
        </w:rPr>
        <w:t> </w:t>
      </w:r>
      <w:r>
        <w:rPr>
          <w:color w:val="231F20"/>
          <w:w w:val="120"/>
        </w:rPr>
        <w:t>peur.</w:t>
      </w:r>
      <w:r>
        <w:rPr>
          <w:color w:val="231F20"/>
          <w:spacing w:val="-5"/>
          <w:w w:val="120"/>
        </w:rPr>
        <w:t> </w:t>
      </w:r>
      <w:r>
        <w:rPr>
          <w:color w:val="231F20"/>
          <w:w w:val="120"/>
        </w:rPr>
        <w:t>La</w:t>
      </w:r>
      <w:r>
        <w:rPr>
          <w:color w:val="231F20"/>
          <w:spacing w:val="-5"/>
          <w:w w:val="120"/>
        </w:rPr>
        <w:t> </w:t>
      </w:r>
      <w:r>
        <w:rPr>
          <w:color w:val="231F20"/>
          <w:w w:val="120"/>
        </w:rPr>
        <w:t>confiance, c’est la croyance en quelque chose ou quelqu’un, à commencer par soi-même.</w:t>
      </w:r>
      <w:r>
        <w:rPr>
          <w:color w:val="231F20"/>
          <w:spacing w:val="-8"/>
          <w:w w:val="120"/>
        </w:rPr>
        <w:t> </w:t>
      </w:r>
      <w:r>
        <w:rPr>
          <w:color w:val="231F20"/>
          <w:w w:val="120"/>
        </w:rPr>
        <w:t>La</w:t>
      </w:r>
      <w:r>
        <w:rPr>
          <w:color w:val="231F20"/>
          <w:spacing w:val="-8"/>
          <w:w w:val="120"/>
        </w:rPr>
        <w:t> </w:t>
      </w:r>
      <w:r>
        <w:rPr>
          <w:color w:val="231F20"/>
          <w:w w:val="120"/>
        </w:rPr>
        <w:t>peur</w:t>
      </w:r>
      <w:r>
        <w:rPr>
          <w:color w:val="231F20"/>
          <w:spacing w:val="-8"/>
          <w:w w:val="120"/>
        </w:rPr>
        <w:t> </w:t>
      </w:r>
      <w:r>
        <w:rPr>
          <w:color w:val="231F20"/>
          <w:w w:val="120"/>
        </w:rPr>
        <w:t>est</w:t>
      </w:r>
      <w:r>
        <w:rPr>
          <w:color w:val="231F20"/>
          <w:spacing w:val="-8"/>
          <w:w w:val="120"/>
        </w:rPr>
        <w:t> </w:t>
      </w:r>
      <w:r>
        <w:rPr>
          <w:color w:val="231F20"/>
          <w:w w:val="120"/>
        </w:rPr>
        <w:t>le</w:t>
      </w:r>
      <w:r>
        <w:rPr>
          <w:color w:val="231F20"/>
          <w:spacing w:val="-7"/>
          <w:w w:val="120"/>
        </w:rPr>
        <w:t> </w:t>
      </w:r>
      <w:r>
        <w:rPr>
          <w:color w:val="231F20"/>
          <w:w w:val="120"/>
        </w:rPr>
        <w:t>sentiment</w:t>
      </w:r>
      <w:r>
        <w:rPr>
          <w:color w:val="231F20"/>
          <w:spacing w:val="-8"/>
          <w:w w:val="120"/>
        </w:rPr>
        <w:t> </w:t>
      </w:r>
      <w:r>
        <w:rPr>
          <w:color w:val="231F20"/>
          <w:w w:val="120"/>
        </w:rPr>
        <w:t>de</w:t>
      </w:r>
      <w:r>
        <w:rPr>
          <w:color w:val="231F20"/>
          <w:spacing w:val="-8"/>
          <w:w w:val="120"/>
        </w:rPr>
        <w:t> </w:t>
      </w:r>
      <w:r>
        <w:rPr>
          <w:color w:val="231F20"/>
          <w:w w:val="120"/>
        </w:rPr>
        <w:t>vulnérabilité</w:t>
      </w:r>
      <w:r>
        <w:rPr>
          <w:color w:val="231F20"/>
          <w:spacing w:val="-8"/>
          <w:w w:val="120"/>
        </w:rPr>
        <w:t> </w:t>
      </w:r>
      <w:r>
        <w:rPr>
          <w:color w:val="231F20"/>
          <w:w w:val="120"/>
        </w:rPr>
        <w:t>qu’on</w:t>
      </w:r>
      <w:r>
        <w:rPr>
          <w:color w:val="231F20"/>
          <w:spacing w:val="-8"/>
          <w:w w:val="120"/>
        </w:rPr>
        <w:t> </w:t>
      </w:r>
      <w:r>
        <w:rPr>
          <w:color w:val="231F20"/>
          <w:w w:val="120"/>
        </w:rPr>
        <w:t>éprouve</w:t>
      </w:r>
      <w:r>
        <w:rPr>
          <w:color w:val="231F20"/>
          <w:spacing w:val="-7"/>
          <w:w w:val="120"/>
        </w:rPr>
        <w:t> </w:t>
      </w:r>
      <w:r>
        <w:rPr>
          <w:color w:val="231F20"/>
          <w:spacing w:val="-4"/>
          <w:w w:val="120"/>
        </w:rPr>
        <w:t>face</w:t>
      </w:r>
    </w:p>
    <w:p>
      <w:pPr>
        <w:pStyle w:val="BodyText"/>
        <w:rPr>
          <w:sz w:val="20"/>
        </w:rPr>
      </w:pPr>
    </w:p>
    <w:p>
      <w:pPr>
        <w:pStyle w:val="BodyText"/>
        <w:spacing w:before="4"/>
        <w:rPr>
          <w:sz w:val="12"/>
        </w:rPr>
      </w:pPr>
      <w:r>
        <w:rPr/>
        <w:pict>
          <v:shape style="position:absolute;margin-left:62.5pt;margin-top:8.308933pt;width:287.5pt;height:.1pt;mso-position-horizontal-relative:page;mso-position-vertical-relative:paragraph;z-index:-15635968;mso-wrap-distance-left:0;mso-wrap-distance-right:0" id="docshape1001" coordorigin="1250,166" coordsize="5750,0" path="m1250,166l7000,166e" filled="false" stroked="true" strokeweight=".25pt" strokecolor="#231f20">
            <v:path arrowok="t"/>
            <v:stroke dashstyle="shortdot"/>
            <w10:wrap type="topAndBottom"/>
          </v:shape>
        </w:pict>
      </w:r>
    </w:p>
    <w:p>
      <w:pPr>
        <w:pStyle w:val="ListParagraph"/>
        <w:numPr>
          <w:ilvl w:val="0"/>
          <w:numId w:val="65"/>
        </w:numPr>
        <w:tabs>
          <w:tab w:pos="830" w:val="left" w:leader="none"/>
        </w:tabs>
        <w:spacing w:line="295" w:lineRule="auto" w:before="135" w:after="0"/>
        <w:ind w:left="829" w:right="498" w:hanging="406"/>
        <w:jc w:val="both"/>
        <w:rPr>
          <w:rFonts w:ascii="Arial" w:hAnsi="Arial"/>
          <w:sz w:val="12"/>
        </w:rPr>
      </w:pPr>
      <w:r>
        <w:rPr>
          <w:rFonts w:ascii="Arial" w:hAnsi="Arial"/>
          <w:color w:val="231F20"/>
          <w:sz w:val="12"/>
        </w:rPr>
        <w:t>Ce</w:t>
      </w:r>
      <w:r>
        <w:rPr>
          <w:rFonts w:ascii="Arial" w:hAnsi="Arial"/>
          <w:color w:val="231F20"/>
          <w:spacing w:val="-8"/>
          <w:sz w:val="12"/>
        </w:rPr>
        <w:t> </w:t>
      </w:r>
      <w:r>
        <w:rPr>
          <w:rFonts w:ascii="Arial" w:hAnsi="Arial"/>
          <w:color w:val="231F20"/>
          <w:sz w:val="12"/>
        </w:rPr>
        <w:t>concept</w:t>
      </w:r>
      <w:r>
        <w:rPr>
          <w:rFonts w:ascii="Arial" w:hAnsi="Arial"/>
          <w:color w:val="231F20"/>
          <w:spacing w:val="-8"/>
          <w:sz w:val="12"/>
        </w:rPr>
        <w:t> </w:t>
      </w:r>
      <w:r>
        <w:rPr>
          <w:rFonts w:ascii="Arial" w:hAnsi="Arial"/>
          <w:color w:val="231F20"/>
          <w:sz w:val="12"/>
        </w:rPr>
        <w:t>est</w:t>
      </w:r>
      <w:r>
        <w:rPr>
          <w:rFonts w:ascii="Arial" w:hAnsi="Arial"/>
          <w:color w:val="231F20"/>
          <w:spacing w:val="-8"/>
          <w:sz w:val="12"/>
        </w:rPr>
        <w:t> </w:t>
      </w:r>
      <w:r>
        <w:rPr>
          <w:rFonts w:ascii="Arial" w:hAnsi="Arial"/>
          <w:color w:val="231F20"/>
          <w:sz w:val="12"/>
        </w:rPr>
        <w:t>au</w:t>
      </w:r>
      <w:r>
        <w:rPr>
          <w:rFonts w:ascii="Arial" w:hAnsi="Arial"/>
          <w:color w:val="231F20"/>
          <w:spacing w:val="-8"/>
          <w:sz w:val="12"/>
        </w:rPr>
        <w:t> </w:t>
      </w:r>
      <w:r>
        <w:rPr>
          <w:rFonts w:ascii="Arial" w:hAnsi="Arial"/>
          <w:color w:val="231F20"/>
          <w:sz w:val="12"/>
        </w:rPr>
        <w:t>cœur</w:t>
      </w:r>
      <w:r>
        <w:rPr>
          <w:rFonts w:ascii="Arial" w:hAnsi="Arial"/>
          <w:color w:val="231F20"/>
          <w:spacing w:val="-8"/>
          <w:sz w:val="12"/>
        </w:rPr>
        <w:t> </w:t>
      </w:r>
      <w:r>
        <w:rPr>
          <w:rFonts w:ascii="Arial" w:hAnsi="Arial"/>
          <w:color w:val="231F20"/>
          <w:sz w:val="12"/>
        </w:rPr>
        <w:t>même</w:t>
      </w:r>
      <w:r>
        <w:rPr>
          <w:rFonts w:ascii="Arial" w:hAnsi="Arial"/>
          <w:color w:val="231F20"/>
          <w:spacing w:val="-8"/>
          <w:sz w:val="12"/>
        </w:rPr>
        <w:t> </w:t>
      </w:r>
      <w:r>
        <w:rPr>
          <w:rFonts w:ascii="Arial" w:hAnsi="Arial"/>
          <w:color w:val="231F20"/>
          <w:sz w:val="12"/>
        </w:rPr>
        <w:t>de</w:t>
      </w:r>
      <w:r>
        <w:rPr>
          <w:rFonts w:ascii="Arial" w:hAnsi="Arial"/>
          <w:color w:val="231F20"/>
          <w:spacing w:val="-8"/>
          <w:sz w:val="12"/>
        </w:rPr>
        <w:t> </w:t>
      </w:r>
      <w:r>
        <w:rPr>
          <w:rFonts w:ascii="Arial" w:hAnsi="Arial"/>
          <w:color w:val="231F20"/>
          <w:sz w:val="12"/>
        </w:rPr>
        <w:t>la</w:t>
      </w:r>
      <w:r>
        <w:rPr>
          <w:rFonts w:ascii="Arial" w:hAnsi="Arial"/>
          <w:color w:val="231F20"/>
          <w:spacing w:val="-8"/>
          <w:sz w:val="12"/>
        </w:rPr>
        <w:t> </w:t>
      </w:r>
      <w:r>
        <w:rPr>
          <w:rFonts w:ascii="Arial" w:hAnsi="Arial"/>
          <w:color w:val="231F20"/>
          <w:sz w:val="12"/>
        </w:rPr>
        <w:t>gestion</w:t>
      </w:r>
      <w:r>
        <w:rPr>
          <w:rFonts w:ascii="Arial" w:hAnsi="Arial"/>
          <w:color w:val="231F20"/>
          <w:spacing w:val="-8"/>
          <w:sz w:val="12"/>
        </w:rPr>
        <w:t> </w:t>
      </w:r>
      <w:r>
        <w:rPr>
          <w:rFonts w:ascii="Arial" w:hAnsi="Arial"/>
          <w:color w:val="231F20"/>
          <w:sz w:val="12"/>
        </w:rPr>
        <w:t>axée</w:t>
      </w:r>
      <w:r>
        <w:rPr>
          <w:rFonts w:ascii="Arial" w:hAnsi="Arial"/>
          <w:color w:val="231F20"/>
          <w:spacing w:val="-8"/>
          <w:sz w:val="12"/>
        </w:rPr>
        <w:t> </w:t>
      </w:r>
      <w:r>
        <w:rPr>
          <w:rFonts w:ascii="Arial" w:hAnsi="Arial"/>
          <w:color w:val="231F20"/>
          <w:sz w:val="12"/>
        </w:rPr>
        <w:t>sur</w:t>
      </w:r>
      <w:r>
        <w:rPr>
          <w:rFonts w:ascii="Arial" w:hAnsi="Arial"/>
          <w:color w:val="231F20"/>
          <w:spacing w:val="-8"/>
          <w:sz w:val="12"/>
        </w:rPr>
        <w:t> </w:t>
      </w:r>
      <w:r>
        <w:rPr>
          <w:rFonts w:ascii="Arial" w:hAnsi="Arial"/>
          <w:color w:val="231F20"/>
          <w:sz w:val="12"/>
        </w:rPr>
        <w:t>les</w:t>
      </w:r>
      <w:r>
        <w:rPr>
          <w:rFonts w:ascii="Arial" w:hAnsi="Arial"/>
          <w:color w:val="231F20"/>
          <w:spacing w:val="-8"/>
          <w:sz w:val="12"/>
        </w:rPr>
        <w:t> </w:t>
      </w:r>
      <w:r>
        <w:rPr>
          <w:rFonts w:ascii="Arial" w:hAnsi="Arial"/>
          <w:color w:val="231F20"/>
          <w:sz w:val="12"/>
        </w:rPr>
        <w:t>valeurs</w:t>
      </w:r>
      <w:r>
        <w:rPr>
          <w:rFonts w:ascii="Arial" w:hAnsi="Arial"/>
          <w:color w:val="231F20"/>
          <w:spacing w:val="-8"/>
          <w:sz w:val="12"/>
        </w:rPr>
        <w:t> </w:t>
      </w:r>
      <w:r>
        <w:rPr>
          <w:rFonts w:ascii="Arial" w:hAnsi="Arial"/>
          <w:color w:val="231F20"/>
          <w:sz w:val="12"/>
        </w:rPr>
        <w:t>telle</w:t>
      </w:r>
      <w:r>
        <w:rPr>
          <w:rFonts w:ascii="Arial" w:hAnsi="Arial"/>
          <w:color w:val="231F20"/>
          <w:spacing w:val="-8"/>
          <w:sz w:val="12"/>
        </w:rPr>
        <w:t> </w:t>
      </w:r>
      <w:r>
        <w:rPr>
          <w:rFonts w:ascii="Arial" w:hAnsi="Arial"/>
          <w:color w:val="231F20"/>
          <w:sz w:val="12"/>
        </w:rPr>
        <w:t>qu’exposée</w:t>
      </w:r>
      <w:r>
        <w:rPr>
          <w:rFonts w:ascii="Arial" w:hAnsi="Arial"/>
          <w:color w:val="231F20"/>
          <w:spacing w:val="-8"/>
          <w:sz w:val="12"/>
        </w:rPr>
        <w:t> </w:t>
      </w:r>
      <w:r>
        <w:rPr>
          <w:rFonts w:ascii="Arial" w:hAnsi="Arial"/>
          <w:color w:val="231F20"/>
          <w:sz w:val="12"/>
        </w:rPr>
        <w:t>dans</w:t>
      </w:r>
      <w:r>
        <w:rPr>
          <w:rFonts w:ascii="Arial" w:hAnsi="Arial"/>
          <w:color w:val="231F20"/>
          <w:spacing w:val="-8"/>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Dolan,</w:t>
      </w:r>
      <w:r>
        <w:rPr>
          <w:rFonts w:ascii="Arial" w:hAnsi="Arial"/>
          <w:color w:val="231F20"/>
          <w:spacing w:val="-8"/>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García</w:t>
      </w:r>
      <w:r>
        <w:rPr>
          <w:rFonts w:ascii="Arial" w:hAnsi="Arial"/>
          <w:color w:val="231F20"/>
          <w:spacing w:val="40"/>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B.</w:t>
      </w:r>
      <w:r>
        <w:rPr>
          <w:rFonts w:ascii="Arial" w:hAnsi="Arial"/>
          <w:color w:val="231F20"/>
          <w:spacing w:val="-8"/>
          <w:sz w:val="12"/>
        </w:rPr>
        <w:t> </w:t>
      </w:r>
      <w:r>
        <w:rPr>
          <w:rFonts w:ascii="Arial" w:hAnsi="Arial"/>
          <w:color w:val="231F20"/>
          <w:sz w:val="12"/>
        </w:rPr>
        <w:t>Richley</w:t>
      </w:r>
      <w:r>
        <w:rPr>
          <w:rFonts w:ascii="Arial" w:hAnsi="Arial"/>
          <w:color w:val="231F20"/>
          <w:spacing w:val="-8"/>
          <w:sz w:val="12"/>
        </w:rPr>
        <w:t> </w:t>
      </w:r>
      <w:r>
        <w:rPr>
          <w:rFonts w:ascii="Arial" w:hAnsi="Arial"/>
          <w:color w:val="231F20"/>
          <w:sz w:val="12"/>
        </w:rPr>
        <w:t>(2006).</w:t>
      </w:r>
      <w:r>
        <w:rPr>
          <w:rFonts w:ascii="Arial" w:hAnsi="Arial"/>
          <w:color w:val="231F20"/>
          <w:spacing w:val="-8"/>
          <w:sz w:val="12"/>
        </w:rPr>
        <w:t> </w:t>
      </w:r>
      <w:r>
        <w:rPr>
          <w:rFonts w:ascii="Arial" w:hAnsi="Arial"/>
          <w:i/>
          <w:color w:val="231F20"/>
          <w:sz w:val="12"/>
        </w:rPr>
        <w:t>Managing</w:t>
      </w:r>
      <w:r>
        <w:rPr>
          <w:rFonts w:ascii="Arial" w:hAnsi="Arial"/>
          <w:i/>
          <w:color w:val="231F20"/>
          <w:spacing w:val="-8"/>
          <w:sz w:val="12"/>
        </w:rPr>
        <w:t> </w:t>
      </w:r>
      <w:r>
        <w:rPr>
          <w:rFonts w:ascii="Arial" w:hAnsi="Arial"/>
          <w:i/>
          <w:color w:val="231F20"/>
          <w:sz w:val="12"/>
        </w:rPr>
        <w:t>by</w:t>
      </w:r>
      <w:r>
        <w:rPr>
          <w:rFonts w:ascii="Arial" w:hAnsi="Arial"/>
          <w:i/>
          <w:color w:val="231F20"/>
          <w:spacing w:val="-8"/>
          <w:sz w:val="12"/>
        </w:rPr>
        <w:t> </w:t>
      </w:r>
      <w:r>
        <w:rPr>
          <w:rFonts w:ascii="Arial" w:hAnsi="Arial"/>
          <w:i/>
          <w:color w:val="231F20"/>
          <w:sz w:val="12"/>
        </w:rPr>
        <w:t>Values:</w:t>
      </w:r>
      <w:r>
        <w:rPr>
          <w:rFonts w:ascii="Arial" w:hAnsi="Arial"/>
          <w:i/>
          <w:color w:val="231F20"/>
          <w:spacing w:val="-8"/>
          <w:sz w:val="12"/>
        </w:rPr>
        <w:t> </w:t>
      </w:r>
      <w:r>
        <w:rPr>
          <w:rFonts w:ascii="Arial" w:hAnsi="Arial"/>
          <w:i/>
          <w:color w:val="231F20"/>
          <w:sz w:val="12"/>
        </w:rPr>
        <w:t>A</w:t>
      </w:r>
      <w:r>
        <w:rPr>
          <w:rFonts w:ascii="Arial" w:hAnsi="Arial"/>
          <w:i/>
          <w:color w:val="231F20"/>
          <w:spacing w:val="-8"/>
          <w:sz w:val="12"/>
        </w:rPr>
        <w:t> </w:t>
      </w:r>
      <w:r>
        <w:rPr>
          <w:rFonts w:ascii="Arial" w:hAnsi="Arial"/>
          <w:i/>
          <w:color w:val="231F20"/>
          <w:sz w:val="12"/>
        </w:rPr>
        <w:t>Corporate</w:t>
      </w:r>
      <w:r>
        <w:rPr>
          <w:rFonts w:ascii="Arial" w:hAnsi="Arial"/>
          <w:i/>
          <w:color w:val="231F20"/>
          <w:spacing w:val="-8"/>
          <w:sz w:val="12"/>
        </w:rPr>
        <w:t> </w:t>
      </w:r>
      <w:r>
        <w:rPr>
          <w:rFonts w:ascii="Arial" w:hAnsi="Arial"/>
          <w:i/>
          <w:color w:val="231F20"/>
          <w:sz w:val="12"/>
        </w:rPr>
        <w:t>Guide</w:t>
      </w:r>
      <w:r>
        <w:rPr>
          <w:rFonts w:ascii="Arial" w:hAnsi="Arial"/>
          <w:i/>
          <w:color w:val="231F20"/>
          <w:spacing w:val="-8"/>
          <w:sz w:val="12"/>
        </w:rPr>
        <w:t> </w:t>
      </w:r>
      <w:r>
        <w:rPr>
          <w:rFonts w:ascii="Arial" w:hAnsi="Arial"/>
          <w:i/>
          <w:color w:val="231F20"/>
          <w:sz w:val="12"/>
        </w:rPr>
        <w:t>to</w:t>
      </w:r>
      <w:r>
        <w:rPr>
          <w:rFonts w:ascii="Arial" w:hAnsi="Arial"/>
          <w:i/>
          <w:color w:val="231F20"/>
          <w:spacing w:val="-8"/>
          <w:sz w:val="12"/>
        </w:rPr>
        <w:t> </w:t>
      </w:r>
      <w:r>
        <w:rPr>
          <w:rFonts w:ascii="Arial" w:hAnsi="Arial"/>
          <w:i/>
          <w:color w:val="231F20"/>
          <w:sz w:val="12"/>
        </w:rPr>
        <w:t>Living,</w:t>
      </w:r>
      <w:r>
        <w:rPr>
          <w:rFonts w:ascii="Arial" w:hAnsi="Arial"/>
          <w:i/>
          <w:color w:val="231F20"/>
          <w:spacing w:val="-8"/>
          <w:sz w:val="12"/>
        </w:rPr>
        <w:t> </w:t>
      </w:r>
      <w:r>
        <w:rPr>
          <w:rFonts w:ascii="Arial" w:hAnsi="Arial"/>
          <w:i/>
          <w:color w:val="231F20"/>
          <w:sz w:val="12"/>
        </w:rPr>
        <w:t>Being</w:t>
      </w:r>
      <w:r>
        <w:rPr>
          <w:rFonts w:ascii="Arial" w:hAnsi="Arial"/>
          <w:i/>
          <w:color w:val="231F20"/>
          <w:spacing w:val="-8"/>
          <w:sz w:val="12"/>
        </w:rPr>
        <w:t> </w:t>
      </w:r>
      <w:r>
        <w:rPr>
          <w:rFonts w:ascii="Arial" w:hAnsi="Arial"/>
          <w:i/>
          <w:color w:val="231F20"/>
          <w:sz w:val="12"/>
        </w:rPr>
        <w:t>Alive</w:t>
      </w:r>
      <w:r>
        <w:rPr>
          <w:rFonts w:ascii="Arial" w:hAnsi="Arial"/>
          <w:i/>
          <w:color w:val="231F20"/>
          <w:spacing w:val="-8"/>
          <w:sz w:val="12"/>
        </w:rPr>
        <w:t> </w:t>
      </w:r>
      <w:r>
        <w:rPr>
          <w:rFonts w:ascii="Arial" w:hAnsi="Arial"/>
          <w:i/>
          <w:color w:val="231F20"/>
          <w:sz w:val="12"/>
        </w:rPr>
        <w:t>and</w:t>
      </w:r>
      <w:r>
        <w:rPr>
          <w:rFonts w:ascii="Arial" w:hAnsi="Arial"/>
          <w:i/>
          <w:color w:val="231F20"/>
          <w:spacing w:val="-8"/>
          <w:sz w:val="12"/>
        </w:rPr>
        <w:t> </w:t>
      </w:r>
      <w:r>
        <w:rPr>
          <w:rFonts w:ascii="Arial" w:hAnsi="Arial"/>
          <w:i/>
          <w:color w:val="231F20"/>
          <w:sz w:val="12"/>
        </w:rPr>
        <w:t>Making</w:t>
      </w:r>
      <w:r>
        <w:rPr>
          <w:rFonts w:ascii="Arial" w:hAnsi="Arial"/>
          <w:i/>
          <w:color w:val="231F20"/>
          <w:spacing w:val="-8"/>
          <w:sz w:val="12"/>
        </w:rPr>
        <w:t> </w:t>
      </w:r>
      <w:r>
        <w:rPr>
          <w:rFonts w:ascii="Arial" w:hAnsi="Arial"/>
          <w:i/>
          <w:color w:val="231F20"/>
          <w:sz w:val="12"/>
        </w:rPr>
        <w:t>a</w:t>
      </w:r>
      <w:r>
        <w:rPr>
          <w:rFonts w:ascii="Arial" w:hAnsi="Arial"/>
          <w:i/>
          <w:color w:val="231F20"/>
          <w:spacing w:val="-8"/>
          <w:sz w:val="12"/>
        </w:rPr>
        <w:t> </w:t>
      </w:r>
      <w:r>
        <w:rPr>
          <w:rFonts w:ascii="Arial" w:hAnsi="Arial"/>
          <w:i/>
          <w:color w:val="231F20"/>
          <w:sz w:val="12"/>
        </w:rPr>
        <w:t>Living</w:t>
      </w:r>
      <w:r>
        <w:rPr>
          <w:rFonts w:ascii="Arial" w:hAnsi="Arial"/>
          <w:i/>
          <w:color w:val="231F20"/>
          <w:spacing w:val="-8"/>
          <w:sz w:val="12"/>
        </w:rPr>
        <w:t> </w:t>
      </w:r>
      <w:r>
        <w:rPr>
          <w:rFonts w:ascii="Arial" w:hAnsi="Arial"/>
          <w:i/>
          <w:color w:val="231F20"/>
          <w:sz w:val="12"/>
        </w:rPr>
        <w:t>in</w:t>
      </w:r>
      <w:r>
        <w:rPr>
          <w:rFonts w:ascii="Arial" w:hAnsi="Arial"/>
          <w:i/>
          <w:color w:val="231F20"/>
          <w:spacing w:val="-8"/>
          <w:sz w:val="12"/>
        </w:rPr>
        <w:t> </w:t>
      </w:r>
      <w:r>
        <w:rPr>
          <w:rFonts w:ascii="Arial" w:hAnsi="Arial"/>
          <w:i/>
          <w:color w:val="231F20"/>
          <w:sz w:val="12"/>
        </w:rPr>
        <w:t>the</w:t>
      </w:r>
      <w:r>
        <w:rPr>
          <w:rFonts w:ascii="Arial" w:hAnsi="Arial"/>
          <w:i/>
          <w:color w:val="231F20"/>
          <w:spacing w:val="40"/>
          <w:sz w:val="12"/>
        </w:rPr>
        <w:t> </w:t>
      </w:r>
      <w:r>
        <w:rPr>
          <w:rFonts w:ascii="Arial" w:hAnsi="Arial"/>
          <w:i/>
          <w:color w:val="231F20"/>
          <w:sz w:val="12"/>
        </w:rPr>
        <w:t>21st Century</w:t>
      </w:r>
      <w:r>
        <w:rPr>
          <w:rFonts w:ascii="Arial" w:hAnsi="Arial"/>
          <w:color w:val="231F20"/>
          <w:sz w:val="12"/>
        </w:rPr>
        <w:t>, Londres, Palgrave Macmillan.</w:t>
      </w:r>
    </w:p>
    <w:p>
      <w:pPr>
        <w:spacing w:after="0" w:line="295" w:lineRule="auto"/>
        <w:jc w:val="both"/>
        <w:rPr>
          <w:rFonts w:ascii="Arial" w:hAnsi="Arial"/>
          <w:sz w:val="12"/>
        </w:rPr>
        <w:sectPr>
          <w:footerReference w:type="default" r:id="rId277"/>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color w:val="231F20"/>
          <w:w w:val="120"/>
        </w:rPr>
        <w:t>au</w:t>
      </w:r>
      <w:r>
        <w:rPr>
          <w:color w:val="231F20"/>
          <w:spacing w:val="-11"/>
          <w:w w:val="120"/>
        </w:rPr>
        <w:t> </w:t>
      </w:r>
      <w:r>
        <w:rPr>
          <w:color w:val="231F20"/>
          <w:w w:val="120"/>
        </w:rPr>
        <w:t>manque</w:t>
      </w:r>
      <w:r>
        <w:rPr>
          <w:color w:val="231F20"/>
          <w:spacing w:val="-11"/>
          <w:w w:val="120"/>
        </w:rPr>
        <w:t> </w:t>
      </w:r>
      <w:r>
        <w:rPr>
          <w:color w:val="231F20"/>
          <w:w w:val="120"/>
        </w:rPr>
        <w:t>de</w:t>
      </w:r>
      <w:r>
        <w:rPr>
          <w:color w:val="231F20"/>
          <w:spacing w:val="-11"/>
          <w:w w:val="120"/>
        </w:rPr>
        <w:t> </w:t>
      </w:r>
      <w:r>
        <w:rPr>
          <w:color w:val="231F20"/>
          <w:w w:val="120"/>
        </w:rPr>
        <w:t>contrôle</w:t>
      </w:r>
      <w:r>
        <w:rPr>
          <w:color w:val="231F20"/>
          <w:spacing w:val="-11"/>
          <w:w w:val="120"/>
        </w:rPr>
        <w:t> </w:t>
      </w:r>
      <w:r>
        <w:rPr>
          <w:color w:val="231F20"/>
          <w:w w:val="120"/>
        </w:rPr>
        <w:t>ou</w:t>
      </w:r>
      <w:r>
        <w:rPr>
          <w:color w:val="231F20"/>
          <w:spacing w:val="-11"/>
          <w:w w:val="120"/>
        </w:rPr>
        <w:t> </w:t>
      </w:r>
      <w:r>
        <w:rPr>
          <w:color w:val="231F20"/>
          <w:w w:val="120"/>
        </w:rPr>
        <w:t>au</w:t>
      </w:r>
      <w:r>
        <w:rPr>
          <w:color w:val="231F20"/>
          <w:spacing w:val="-11"/>
          <w:w w:val="120"/>
        </w:rPr>
        <w:t> </w:t>
      </w:r>
      <w:r>
        <w:rPr>
          <w:color w:val="231F20"/>
          <w:w w:val="120"/>
        </w:rPr>
        <w:t>stress.</w:t>
      </w:r>
      <w:r>
        <w:rPr>
          <w:color w:val="231F20"/>
          <w:spacing w:val="-11"/>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c’est</w:t>
      </w:r>
      <w:r>
        <w:rPr>
          <w:color w:val="231F20"/>
          <w:spacing w:val="-11"/>
          <w:w w:val="120"/>
        </w:rPr>
        <w:t> </w:t>
      </w:r>
      <w:r>
        <w:rPr>
          <w:color w:val="231F20"/>
          <w:w w:val="120"/>
        </w:rPr>
        <w:t>l’incontrôlabilité,</w:t>
      </w:r>
      <w:r>
        <w:rPr>
          <w:color w:val="231F20"/>
          <w:spacing w:val="-11"/>
          <w:w w:val="120"/>
        </w:rPr>
        <w:t> </w:t>
      </w:r>
      <w:r>
        <w:rPr>
          <w:color w:val="231F20"/>
          <w:w w:val="120"/>
        </w:rPr>
        <w:t>la peur, la méfiance, l’hostilité, l’inhibition, l’évitement, le déplaisir et</w:t>
      </w:r>
      <w:r>
        <w:rPr>
          <w:color w:val="231F20"/>
          <w:spacing w:val="80"/>
          <w:w w:val="120"/>
        </w:rPr>
        <w:t> </w:t>
      </w:r>
      <w:r>
        <w:rPr>
          <w:color w:val="231F20"/>
          <w:w w:val="120"/>
        </w:rPr>
        <w:t>la</w:t>
      </w:r>
      <w:r>
        <w:rPr>
          <w:color w:val="231F20"/>
          <w:spacing w:val="-13"/>
          <w:w w:val="120"/>
        </w:rPr>
        <w:t> </w:t>
      </w:r>
      <w:r>
        <w:rPr>
          <w:color w:val="231F20"/>
          <w:w w:val="120"/>
        </w:rPr>
        <w:t>soumission.</w:t>
      </w:r>
    </w:p>
    <w:p>
      <w:pPr>
        <w:pStyle w:val="BodyText"/>
        <w:spacing w:line="307" w:lineRule="auto" w:before="80"/>
        <w:ind w:left="1220" w:right="103" w:firstLine="250"/>
        <w:jc w:val="both"/>
      </w:pPr>
      <w:r>
        <w:rPr>
          <w:color w:val="231F20"/>
          <w:w w:val="115"/>
        </w:rPr>
        <w:t>En grec ancien, </w:t>
      </w:r>
      <w:r>
        <w:rPr>
          <w:i/>
          <w:color w:val="231F20"/>
          <w:w w:val="115"/>
        </w:rPr>
        <w:t>confiance </w:t>
      </w:r>
      <w:r>
        <w:rPr>
          <w:color w:val="231F20"/>
          <w:w w:val="115"/>
        </w:rPr>
        <w:t>se dit </w:t>
      </w:r>
      <w:r>
        <w:rPr>
          <w:i/>
          <w:color w:val="231F20"/>
          <w:w w:val="115"/>
        </w:rPr>
        <w:t>empistosini</w:t>
      </w:r>
      <w:r>
        <w:rPr>
          <w:color w:val="231F20"/>
          <w:w w:val="115"/>
        </w:rPr>
        <w:t>46, «</w:t>
      </w:r>
      <w:r>
        <w:rPr>
          <w:color w:val="231F20"/>
          <w:spacing w:val="-13"/>
          <w:w w:val="115"/>
        </w:rPr>
        <w:t> </w:t>
      </w:r>
      <w:r>
        <w:rPr>
          <w:color w:val="231F20"/>
          <w:w w:val="115"/>
        </w:rPr>
        <w:t>croire en [quelque chose</w:t>
      </w:r>
      <w:r>
        <w:rPr>
          <w:color w:val="231F20"/>
          <w:spacing w:val="-13"/>
          <w:w w:val="115"/>
        </w:rPr>
        <w:t> </w:t>
      </w:r>
      <w:r>
        <w:rPr>
          <w:color w:val="231F20"/>
          <w:w w:val="115"/>
        </w:rPr>
        <w:t>ou</w:t>
      </w:r>
      <w:r>
        <w:rPr>
          <w:color w:val="231F20"/>
          <w:spacing w:val="-12"/>
          <w:w w:val="115"/>
        </w:rPr>
        <w:t> </w:t>
      </w:r>
      <w:r>
        <w:rPr>
          <w:color w:val="231F20"/>
          <w:w w:val="115"/>
        </w:rPr>
        <w:t>quelqu’un]</w:t>
      </w:r>
      <w:r>
        <w:rPr>
          <w:color w:val="231F20"/>
          <w:spacing w:val="-12"/>
          <w:w w:val="115"/>
        </w:rPr>
        <w:t> </w:t>
      </w:r>
      <w:r>
        <w:rPr>
          <w:color w:val="231F20"/>
          <w:w w:val="115"/>
        </w:rPr>
        <w:t>».</w:t>
      </w:r>
      <w:r>
        <w:rPr>
          <w:color w:val="231F20"/>
          <w:spacing w:val="-12"/>
          <w:w w:val="115"/>
        </w:rPr>
        <w:t> </w:t>
      </w:r>
      <w:r>
        <w:rPr>
          <w:color w:val="231F20"/>
          <w:w w:val="115"/>
        </w:rPr>
        <w:t>La</w:t>
      </w:r>
      <w:r>
        <w:rPr>
          <w:color w:val="231F20"/>
          <w:spacing w:val="-13"/>
          <w:w w:val="115"/>
        </w:rPr>
        <w:t> </w:t>
      </w:r>
      <w:r>
        <w:rPr>
          <w:color w:val="231F20"/>
          <w:w w:val="115"/>
        </w:rPr>
        <w:t>confiance</w:t>
      </w:r>
      <w:r>
        <w:rPr>
          <w:color w:val="231F20"/>
          <w:spacing w:val="-7"/>
          <w:w w:val="115"/>
        </w:rPr>
        <w:t> </w:t>
      </w:r>
      <w:r>
        <w:rPr>
          <w:color w:val="231F20"/>
          <w:w w:val="115"/>
        </w:rPr>
        <w:t>devient</w:t>
      </w:r>
      <w:r>
        <w:rPr>
          <w:color w:val="231F20"/>
          <w:spacing w:val="-8"/>
          <w:w w:val="115"/>
        </w:rPr>
        <w:t> </w:t>
      </w:r>
      <w:r>
        <w:rPr>
          <w:color w:val="231F20"/>
          <w:w w:val="115"/>
        </w:rPr>
        <w:t>nécessaire</w:t>
      </w:r>
      <w:r>
        <w:rPr>
          <w:color w:val="231F20"/>
          <w:spacing w:val="-8"/>
          <w:w w:val="115"/>
        </w:rPr>
        <w:t> </w:t>
      </w:r>
      <w:r>
        <w:rPr>
          <w:color w:val="231F20"/>
          <w:w w:val="115"/>
        </w:rPr>
        <w:t>lorsque</w:t>
      </w:r>
      <w:r>
        <w:rPr>
          <w:color w:val="231F20"/>
          <w:spacing w:val="-8"/>
          <w:w w:val="115"/>
        </w:rPr>
        <w:t> </w:t>
      </w:r>
      <w:r>
        <w:rPr>
          <w:color w:val="231F20"/>
          <w:w w:val="115"/>
        </w:rPr>
        <w:t>nous</w:t>
      </w:r>
      <w:r>
        <w:rPr>
          <w:color w:val="231F20"/>
          <w:spacing w:val="-8"/>
          <w:w w:val="115"/>
        </w:rPr>
        <w:t> </w:t>
      </w:r>
      <w:r>
        <w:rPr>
          <w:color w:val="231F20"/>
          <w:w w:val="115"/>
        </w:rPr>
        <w:t>déci- </w:t>
      </w:r>
      <w:r>
        <w:rPr>
          <w:color w:val="231F20"/>
          <w:w w:val="120"/>
        </w:rPr>
        <w:t>dons</w:t>
      </w:r>
      <w:r>
        <w:rPr>
          <w:color w:val="231F20"/>
          <w:spacing w:val="-13"/>
          <w:w w:val="120"/>
        </w:rPr>
        <w:t> </w:t>
      </w:r>
      <w:r>
        <w:rPr>
          <w:color w:val="231F20"/>
          <w:w w:val="120"/>
        </w:rPr>
        <w:t>de</w:t>
      </w:r>
      <w:r>
        <w:rPr>
          <w:color w:val="231F20"/>
          <w:spacing w:val="-13"/>
          <w:w w:val="120"/>
        </w:rPr>
        <w:t> </w:t>
      </w:r>
      <w:r>
        <w:rPr>
          <w:color w:val="231F20"/>
          <w:w w:val="120"/>
        </w:rPr>
        <w:t>courir</w:t>
      </w:r>
      <w:r>
        <w:rPr>
          <w:color w:val="231F20"/>
          <w:spacing w:val="-13"/>
          <w:w w:val="120"/>
        </w:rPr>
        <w:t> </w:t>
      </w:r>
      <w:r>
        <w:rPr>
          <w:color w:val="231F20"/>
          <w:w w:val="120"/>
        </w:rPr>
        <w:t>un</w:t>
      </w:r>
      <w:r>
        <w:rPr>
          <w:color w:val="231F20"/>
          <w:spacing w:val="-12"/>
          <w:w w:val="120"/>
        </w:rPr>
        <w:t> </w:t>
      </w:r>
      <w:r>
        <w:rPr>
          <w:color w:val="231F20"/>
          <w:w w:val="120"/>
        </w:rPr>
        <w:t>risque</w:t>
      </w:r>
      <w:r>
        <w:rPr>
          <w:color w:val="231F20"/>
          <w:spacing w:val="-13"/>
          <w:w w:val="120"/>
        </w:rPr>
        <w:t> </w:t>
      </w:r>
      <w:r>
        <w:rPr>
          <w:color w:val="231F20"/>
          <w:w w:val="120"/>
        </w:rPr>
        <w:t>et</w:t>
      </w:r>
      <w:r>
        <w:rPr>
          <w:color w:val="231F20"/>
          <w:spacing w:val="-13"/>
          <w:w w:val="120"/>
        </w:rPr>
        <w:t> </w:t>
      </w:r>
      <w:r>
        <w:rPr>
          <w:color w:val="231F20"/>
          <w:w w:val="120"/>
        </w:rPr>
        <w:t>que</w:t>
      </w:r>
      <w:r>
        <w:rPr>
          <w:color w:val="231F20"/>
          <w:spacing w:val="-13"/>
          <w:w w:val="120"/>
        </w:rPr>
        <w:t> </w:t>
      </w:r>
      <w:r>
        <w:rPr>
          <w:color w:val="231F20"/>
          <w:w w:val="120"/>
        </w:rPr>
        <w:t>cette</w:t>
      </w:r>
      <w:r>
        <w:rPr>
          <w:color w:val="231F20"/>
          <w:spacing w:val="-12"/>
          <w:w w:val="120"/>
        </w:rPr>
        <w:t> </w:t>
      </w:r>
      <w:r>
        <w:rPr>
          <w:color w:val="231F20"/>
          <w:w w:val="120"/>
        </w:rPr>
        <w:t>décision</w:t>
      </w:r>
      <w:r>
        <w:rPr>
          <w:color w:val="231F20"/>
          <w:spacing w:val="-13"/>
          <w:w w:val="120"/>
        </w:rPr>
        <w:t> </w:t>
      </w:r>
      <w:r>
        <w:rPr>
          <w:color w:val="231F20"/>
          <w:w w:val="120"/>
        </w:rPr>
        <w:t>nous</w:t>
      </w:r>
      <w:r>
        <w:rPr>
          <w:color w:val="231F20"/>
          <w:spacing w:val="-13"/>
          <w:w w:val="120"/>
        </w:rPr>
        <w:t> </w:t>
      </w:r>
      <w:r>
        <w:rPr>
          <w:color w:val="231F20"/>
          <w:w w:val="120"/>
        </w:rPr>
        <w:t>rend</w:t>
      </w:r>
      <w:r>
        <w:rPr>
          <w:color w:val="231F20"/>
          <w:spacing w:val="-13"/>
          <w:w w:val="120"/>
        </w:rPr>
        <w:t> </w:t>
      </w:r>
      <w:r>
        <w:rPr>
          <w:color w:val="231F20"/>
          <w:w w:val="120"/>
        </w:rPr>
        <w:t>vulnérables</w:t>
      </w:r>
      <w:r>
        <w:rPr>
          <w:color w:val="231F20"/>
          <w:spacing w:val="-12"/>
          <w:w w:val="120"/>
        </w:rPr>
        <w:t> </w:t>
      </w:r>
      <w:r>
        <w:rPr>
          <w:color w:val="231F20"/>
          <w:w w:val="120"/>
        </w:rPr>
        <w:t>aux </w:t>
      </w:r>
      <w:r>
        <w:rPr>
          <w:color w:val="231F20"/>
          <w:spacing w:val="-2"/>
          <w:w w:val="120"/>
        </w:rPr>
        <w:t>conséquences</w:t>
      </w:r>
      <w:r>
        <w:rPr>
          <w:color w:val="231F20"/>
          <w:spacing w:val="-11"/>
          <w:w w:val="120"/>
        </w:rPr>
        <w:t> </w:t>
      </w:r>
      <w:r>
        <w:rPr>
          <w:color w:val="231F20"/>
          <w:spacing w:val="-2"/>
          <w:w w:val="120"/>
        </w:rPr>
        <w:t>de</w:t>
      </w:r>
      <w:r>
        <w:rPr>
          <w:color w:val="231F20"/>
          <w:spacing w:val="-11"/>
          <w:w w:val="120"/>
        </w:rPr>
        <w:t> </w:t>
      </w:r>
      <w:r>
        <w:rPr>
          <w:color w:val="231F20"/>
          <w:spacing w:val="-2"/>
          <w:w w:val="120"/>
        </w:rPr>
        <w:t>notre</w:t>
      </w:r>
      <w:r>
        <w:rPr>
          <w:color w:val="231F20"/>
          <w:spacing w:val="-11"/>
          <w:w w:val="120"/>
        </w:rPr>
        <w:t> </w:t>
      </w:r>
      <w:r>
        <w:rPr>
          <w:color w:val="231F20"/>
          <w:spacing w:val="-2"/>
          <w:w w:val="120"/>
        </w:rPr>
        <w:t>propre</w:t>
      </w:r>
      <w:r>
        <w:rPr>
          <w:color w:val="231F20"/>
          <w:spacing w:val="-10"/>
          <w:w w:val="120"/>
        </w:rPr>
        <w:t> </w:t>
      </w:r>
      <w:r>
        <w:rPr>
          <w:color w:val="231F20"/>
          <w:spacing w:val="-2"/>
          <w:w w:val="120"/>
        </w:rPr>
        <w:t>conduite</w:t>
      </w:r>
      <w:r>
        <w:rPr>
          <w:color w:val="231F20"/>
          <w:spacing w:val="-11"/>
          <w:w w:val="120"/>
        </w:rPr>
        <w:t> </w:t>
      </w:r>
      <w:r>
        <w:rPr>
          <w:color w:val="231F20"/>
          <w:spacing w:val="-2"/>
          <w:w w:val="120"/>
        </w:rPr>
        <w:t>ou</w:t>
      </w:r>
      <w:r>
        <w:rPr>
          <w:color w:val="231F20"/>
          <w:spacing w:val="-11"/>
          <w:w w:val="120"/>
        </w:rPr>
        <w:t> </w:t>
      </w:r>
      <w:r>
        <w:rPr>
          <w:color w:val="231F20"/>
          <w:spacing w:val="-2"/>
          <w:w w:val="120"/>
        </w:rPr>
        <w:t>de</w:t>
      </w:r>
      <w:r>
        <w:rPr>
          <w:color w:val="231F20"/>
          <w:spacing w:val="-11"/>
          <w:w w:val="120"/>
        </w:rPr>
        <w:t> </w:t>
      </w:r>
      <w:r>
        <w:rPr>
          <w:color w:val="231F20"/>
          <w:spacing w:val="-2"/>
          <w:w w:val="120"/>
        </w:rPr>
        <w:t>celle</w:t>
      </w:r>
      <w:r>
        <w:rPr>
          <w:color w:val="231F20"/>
          <w:spacing w:val="-10"/>
          <w:w w:val="120"/>
        </w:rPr>
        <w:t> </w:t>
      </w:r>
      <w:r>
        <w:rPr>
          <w:color w:val="231F20"/>
          <w:spacing w:val="-2"/>
          <w:w w:val="120"/>
        </w:rPr>
        <w:t>d’autrui.</w:t>
      </w:r>
      <w:r>
        <w:rPr>
          <w:color w:val="231F20"/>
          <w:spacing w:val="-11"/>
          <w:w w:val="120"/>
        </w:rPr>
        <w:t> </w:t>
      </w:r>
      <w:r>
        <w:rPr>
          <w:color w:val="231F20"/>
          <w:spacing w:val="-2"/>
          <w:w w:val="120"/>
        </w:rPr>
        <w:t>La</w:t>
      </w:r>
      <w:r>
        <w:rPr>
          <w:color w:val="231F20"/>
          <w:spacing w:val="-11"/>
          <w:w w:val="120"/>
        </w:rPr>
        <w:t> </w:t>
      </w:r>
      <w:r>
        <w:rPr>
          <w:color w:val="231F20"/>
          <w:spacing w:val="-2"/>
          <w:w w:val="120"/>
        </w:rPr>
        <w:t>confiance </w:t>
      </w:r>
      <w:r>
        <w:rPr>
          <w:color w:val="231F20"/>
          <w:w w:val="120"/>
        </w:rPr>
        <w:t>est la clé de voûte de toute organisation humaine durable, fluide, heu- reuse et efficace. Sans elle, toute la structure s’écroule, et il faut alors l’étayer</w:t>
      </w:r>
      <w:r>
        <w:rPr>
          <w:color w:val="231F20"/>
          <w:spacing w:val="-13"/>
          <w:w w:val="120"/>
        </w:rPr>
        <w:t> </w:t>
      </w:r>
      <w:r>
        <w:rPr>
          <w:color w:val="231F20"/>
          <w:w w:val="120"/>
        </w:rPr>
        <w:t>au</w:t>
      </w:r>
      <w:r>
        <w:rPr>
          <w:color w:val="231F20"/>
          <w:spacing w:val="-12"/>
          <w:w w:val="120"/>
        </w:rPr>
        <w:t> </w:t>
      </w:r>
      <w:r>
        <w:rPr>
          <w:color w:val="231F20"/>
          <w:w w:val="120"/>
        </w:rPr>
        <w:t>moyen</w:t>
      </w:r>
      <w:r>
        <w:rPr>
          <w:color w:val="231F20"/>
          <w:spacing w:val="-13"/>
          <w:w w:val="120"/>
        </w:rPr>
        <w:t> </w:t>
      </w:r>
      <w:r>
        <w:rPr>
          <w:color w:val="231F20"/>
          <w:w w:val="120"/>
        </w:rPr>
        <w:t>de</w:t>
      </w:r>
      <w:r>
        <w:rPr>
          <w:color w:val="231F20"/>
          <w:spacing w:val="-12"/>
          <w:w w:val="120"/>
        </w:rPr>
        <w:t> </w:t>
      </w:r>
      <w:r>
        <w:rPr>
          <w:color w:val="231F20"/>
          <w:w w:val="120"/>
        </w:rPr>
        <w:t>structures</w:t>
      </w:r>
      <w:r>
        <w:rPr>
          <w:color w:val="231F20"/>
          <w:spacing w:val="-13"/>
          <w:w w:val="120"/>
        </w:rPr>
        <w:t> </w:t>
      </w:r>
      <w:r>
        <w:rPr>
          <w:color w:val="231F20"/>
          <w:w w:val="120"/>
        </w:rPr>
        <w:t>de</w:t>
      </w:r>
      <w:r>
        <w:rPr>
          <w:color w:val="231F20"/>
          <w:spacing w:val="-12"/>
          <w:w w:val="120"/>
        </w:rPr>
        <w:t> </w:t>
      </w:r>
      <w:r>
        <w:rPr>
          <w:color w:val="231F20"/>
          <w:w w:val="120"/>
        </w:rPr>
        <w:t>soutien,</w:t>
      </w:r>
      <w:r>
        <w:rPr>
          <w:color w:val="231F20"/>
          <w:spacing w:val="-13"/>
          <w:w w:val="120"/>
        </w:rPr>
        <w:t> </w:t>
      </w:r>
      <w:r>
        <w:rPr>
          <w:color w:val="231F20"/>
          <w:w w:val="120"/>
        </w:rPr>
        <w:t>à</w:t>
      </w:r>
      <w:r>
        <w:rPr>
          <w:color w:val="231F20"/>
          <w:spacing w:val="-12"/>
          <w:w w:val="120"/>
        </w:rPr>
        <w:t> </w:t>
      </w:r>
      <w:r>
        <w:rPr>
          <w:color w:val="231F20"/>
          <w:w w:val="120"/>
        </w:rPr>
        <w:t>un</w:t>
      </w:r>
      <w:r>
        <w:rPr>
          <w:color w:val="231F20"/>
          <w:spacing w:val="-13"/>
          <w:w w:val="120"/>
        </w:rPr>
        <w:t> </w:t>
      </w:r>
      <w:r>
        <w:rPr>
          <w:color w:val="231F20"/>
          <w:w w:val="120"/>
        </w:rPr>
        <w:t>coût</w:t>
      </w:r>
      <w:r>
        <w:rPr>
          <w:color w:val="231F20"/>
          <w:spacing w:val="-12"/>
          <w:w w:val="120"/>
        </w:rPr>
        <w:t> </w:t>
      </w:r>
      <w:r>
        <w:rPr>
          <w:color w:val="231F20"/>
          <w:w w:val="120"/>
        </w:rPr>
        <w:t>émotionnel</w:t>
      </w:r>
      <w:r>
        <w:rPr>
          <w:color w:val="231F20"/>
          <w:spacing w:val="-13"/>
          <w:w w:val="120"/>
        </w:rPr>
        <w:t> </w:t>
      </w:r>
      <w:r>
        <w:rPr>
          <w:color w:val="231F20"/>
          <w:w w:val="120"/>
        </w:rPr>
        <w:t>et</w:t>
      </w:r>
      <w:r>
        <w:rPr>
          <w:color w:val="231F20"/>
          <w:spacing w:val="-12"/>
          <w:w w:val="120"/>
        </w:rPr>
        <w:t> </w:t>
      </w:r>
      <w:r>
        <w:rPr>
          <w:color w:val="231F20"/>
          <w:w w:val="120"/>
        </w:rPr>
        <w:t>éco- nomique élevé. Sur le plan individuel, le manque de confiance en soi inhibe</w:t>
      </w:r>
      <w:r>
        <w:rPr>
          <w:color w:val="231F20"/>
          <w:spacing w:val="-5"/>
          <w:w w:val="120"/>
        </w:rPr>
        <w:t> </w:t>
      </w:r>
      <w:r>
        <w:rPr>
          <w:color w:val="231F20"/>
          <w:w w:val="120"/>
        </w:rPr>
        <w:t>la</w:t>
      </w:r>
      <w:r>
        <w:rPr>
          <w:color w:val="231F20"/>
          <w:spacing w:val="-5"/>
          <w:w w:val="120"/>
        </w:rPr>
        <w:t> </w:t>
      </w:r>
      <w:r>
        <w:rPr>
          <w:color w:val="231F20"/>
          <w:w w:val="120"/>
        </w:rPr>
        <w:t>volonté</w:t>
      </w:r>
      <w:r>
        <w:rPr>
          <w:color w:val="231F20"/>
          <w:spacing w:val="-5"/>
          <w:w w:val="120"/>
        </w:rPr>
        <w:t> </w:t>
      </w:r>
      <w:r>
        <w:rPr>
          <w:color w:val="231F20"/>
          <w:w w:val="120"/>
        </w:rPr>
        <w:t>de</w:t>
      </w:r>
      <w:r>
        <w:rPr>
          <w:color w:val="231F20"/>
          <w:spacing w:val="-5"/>
          <w:w w:val="120"/>
        </w:rPr>
        <w:t> </w:t>
      </w:r>
      <w:r>
        <w:rPr>
          <w:color w:val="231F20"/>
          <w:w w:val="120"/>
        </w:rPr>
        <w:t>prendre</w:t>
      </w:r>
      <w:r>
        <w:rPr>
          <w:color w:val="231F20"/>
          <w:spacing w:val="-5"/>
          <w:w w:val="120"/>
        </w:rPr>
        <w:t> </w:t>
      </w:r>
      <w:r>
        <w:rPr>
          <w:color w:val="231F20"/>
          <w:w w:val="120"/>
        </w:rPr>
        <w:t>le</w:t>
      </w:r>
      <w:r>
        <w:rPr>
          <w:color w:val="231F20"/>
          <w:spacing w:val="-5"/>
          <w:w w:val="120"/>
        </w:rPr>
        <w:t> </w:t>
      </w:r>
      <w:r>
        <w:rPr>
          <w:color w:val="231F20"/>
          <w:w w:val="120"/>
        </w:rPr>
        <w:t>risque</w:t>
      </w:r>
      <w:r>
        <w:rPr>
          <w:color w:val="231F20"/>
          <w:spacing w:val="-5"/>
          <w:w w:val="120"/>
        </w:rPr>
        <w:t> </w:t>
      </w:r>
      <w:r>
        <w:rPr>
          <w:color w:val="231F20"/>
          <w:w w:val="120"/>
        </w:rPr>
        <w:t>d’entreprendre</w:t>
      </w:r>
      <w:r>
        <w:rPr>
          <w:color w:val="231F20"/>
          <w:spacing w:val="-5"/>
          <w:w w:val="120"/>
        </w:rPr>
        <w:t> </w:t>
      </w:r>
      <w:r>
        <w:rPr>
          <w:color w:val="231F20"/>
          <w:w w:val="120"/>
        </w:rPr>
        <w:t>de</w:t>
      </w:r>
      <w:r>
        <w:rPr>
          <w:color w:val="231F20"/>
          <w:spacing w:val="-5"/>
          <w:w w:val="120"/>
        </w:rPr>
        <w:t> </w:t>
      </w:r>
      <w:r>
        <w:rPr>
          <w:color w:val="231F20"/>
          <w:w w:val="120"/>
        </w:rPr>
        <w:t>nouveaux</w:t>
      </w:r>
      <w:r>
        <w:rPr>
          <w:color w:val="231F20"/>
          <w:spacing w:val="-5"/>
          <w:w w:val="120"/>
        </w:rPr>
        <w:t> </w:t>
      </w:r>
      <w:r>
        <w:rPr>
          <w:color w:val="231F20"/>
          <w:w w:val="120"/>
        </w:rPr>
        <w:t>pro- </w:t>
      </w:r>
      <w:r>
        <w:rPr>
          <w:color w:val="231F20"/>
          <w:spacing w:val="-2"/>
          <w:w w:val="120"/>
        </w:rPr>
        <w:t>jets,</w:t>
      </w:r>
      <w:r>
        <w:rPr>
          <w:color w:val="231F20"/>
          <w:spacing w:val="-11"/>
          <w:w w:val="120"/>
        </w:rPr>
        <w:t> </w:t>
      </w:r>
      <w:r>
        <w:rPr>
          <w:color w:val="231F20"/>
          <w:spacing w:val="-2"/>
          <w:w w:val="120"/>
        </w:rPr>
        <w:t>de</w:t>
      </w:r>
      <w:r>
        <w:rPr>
          <w:color w:val="231F20"/>
          <w:spacing w:val="-11"/>
          <w:w w:val="120"/>
        </w:rPr>
        <w:t> </w:t>
      </w:r>
      <w:r>
        <w:rPr>
          <w:color w:val="231F20"/>
          <w:spacing w:val="-2"/>
          <w:w w:val="120"/>
        </w:rPr>
        <w:t>faire</w:t>
      </w:r>
      <w:r>
        <w:rPr>
          <w:color w:val="231F20"/>
          <w:spacing w:val="-11"/>
          <w:w w:val="120"/>
        </w:rPr>
        <w:t> </w:t>
      </w:r>
      <w:r>
        <w:rPr>
          <w:color w:val="231F20"/>
          <w:spacing w:val="-2"/>
          <w:w w:val="120"/>
        </w:rPr>
        <w:t>face</w:t>
      </w:r>
      <w:r>
        <w:rPr>
          <w:color w:val="231F20"/>
          <w:spacing w:val="-10"/>
          <w:w w:val="120"/>
        </w:rPr>
        <w:t> </w:t>
      </w:r>
      <w:r>
        <w:rPr>
          <w:color w:val="231F20"/>
          <w:spacing w:val="-2"/>
          <w:w w:val="120"/>
        </w:rPr>
        <w:t>au</w:t>
      </w:r>
      <w:r>
        <w:rPr>
          <w:color w:val="231F20"/>
          <w:spacing w:val="-11"/>
          <w:w w:val="120"/>
        </w:rPr>
        <w:t> </w:t>
      </w:r>
      <w:r>
        <w:rPr>
          <w:color w:val="231F20"/>
          <w:spacing w:val="-2"/>
          <w:w w:val="120"/>
        </w:rPr>
        <w:t>changement</w:t>
      </w:r>
      <w:r>
        <w:rPr>
          <w:color w:val="231F20"/>
          <w:spacing w:val="-11"/>
          <w:w w:val="120"/>
        </w:rPr>
        <w:t> </w:t>
      </w:r>
      <w:r>
        <w:rPr>
          <w:color w:val="231F20"/>
          <w:spacing w:val="-2"/>
          <w:w w:val="120"/>
        </w:rPr>
        <w:t>ou</w:t>
      </w:r>
      <w:r>
        <w:rPr>
          <w:color w:val="231F20"/>
          <w:spacing w:val="-11"/>
          <w:w w:val="120"/>
        </w:rPr>
        <w:t> </w:t>
      </w:r>
      <w:r>
        <w:rPr>
          <w:color w:val="231F20"/>
          <w:spacing w:val="-2"/>
          <w:w w:val="120"/>
        </w:rPr>
        <w:t>simplement</w:t>
      </w:r>
      <w:r>
        <w:rPr>
          <w:color w:val="231F20"/>
          <w:spacing w:val="-10"/>
          <w:w w:val="120"/>
        </w:rPr>
        <w:t> </w:t>
      </w:r>
      <w:r>
        <w:rPr>
          <w:color w:val="231F20"/>
          <w:spacing w:val="-2"/>
          <w:w w:val="120"/>
        </w:rPr>
        <w:t>de</w:t>
      </w:r>
      <w:r>
        <w:rPr>
          <w:color w:val="231F20"/>
          <w:spacing w:val="-11"/>
          <w:w w:val="120"/>
        </w:rPr>
        <w:t> </w:t>
      </w:r>
      <w:r>
        <w:rPr>
          <w:color w:val="231F20"/>
          <w:spacing w:val="-2"/>
          <w:w w:val="120"/>
        </w:rPr>
        <w:t>réapprendre</w:t>
      </w:r>
      <w:r>
        <w:rPr>
          <w:color w:val="231F20"/>
          <w:spacing w:val="-11"/>
          <w:w w:val="120"/>
        </w:rPr>
        <w:t> </w:t>
      </w:r>
      <w:r>
        <w:rPr>
          <w:color w:val="231F20"/>
          <w:spacing w:val="-2"/>
          <w:w w:val="120"/>
        </w:rPr>
        <w:t>et</w:t>
      </w:r>
      <w:r>
        <w:rPr>
          <w:color w:val="231F20"/>
          <w:spacing w:val="-11"/>
          <w:w w:val="120"/>
        </w:rPr>
        <w:t> </w:t>
      </w:r>
      <w:r>
        <w:rPr>
          <w:color w:val="231F20"/>
          <w:spacing w:val="-2"/>
          <w:w w:val="120"/>
        </w:rPr>
        <w:t>d’évo- </w:t>
      </w:r>
      <w:r>
        <w:rPr>
          <w:color w:val="231F20"/>
          <w:w w:val="120"/>
        </w:rPr>
        <w:t>luer.</w:t>
      </w:r>
      <w:r>
        <w:rPr>
          <w:color w:val="231F20"/>
          <w:spacing w:val="-12"/>
          <w:w w:val="120"/>
        </w:rPr>
        <w:t> </w:t>
      </w:r>
      <w:r>
        <w:rPr>
          <w:color w:val="231F20"/>
          <w:w w:val="120"/>
        </w:rPr>
        <w:t>La</w:t>
      </w:r>
      <w:r>
        <w:rPr>
          <w:color w:val="231F20"/>
          <w:spacing w:val="-12"/>
          <w:w w:val="120"/>
        </w:rPr>
        <w:t> </w:t>
      </w:r>
      <w:r>
        <w:rPr>
          <w:color w:val="231F20"/>
          <w:w w:val="120"/>
        </w:rPr>
        <w:t>confiance</w:t>
      </w:r>
      <w:r>
        <w:rPr>
          <w:color w:val="231F20"/>
          <w:spacing w:val="-12"/>
          <w:w w:val="120"/>
        </w:rPr>
        <w:t> </w:t>
      </w:r>
      <w:r>
        <w:rPr>
          <w:color w:val="231F20"/>
          <w:w w:val="120"/>
        </w:rPr>
        <w:t>est</w:t>
      </w:r>
      <w:r>
        <w:rPr>
          <w:color w:val="231F20"/>
          <w:spacing w:val="-12"/>
          <w:w w:val="120"/>
        </w:rPr>
        <w:t> </w:t>
      </w:r>
      <w:r>
        <w:rPr>
          <w:color w:val="231F20"/>
          <w:w w:val="120"/>
        </w:rPr>
        <w:t>l’antidote</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peur</w:t>
      </w:r>
      <w:r>
        <w:rPr>
          <w:color w:val="231F20"/>
          <w:spacing w:val="-12"/>
          <w:w w:val="120"/>
        </w:rPr>
        <w:t> </w:t>
      </w:r>
      <w:r>
        <w:rPr>
          <w:color w:val="231F20"/>
          <w:w w:val="120"/>
        </w:rPr>
        <w:t>et</w:t>
      </w:r>
      <w:r>
        <w:rPr>
          <w:color w:val="231F20"/>
          <w:spacing w:val="-12"/>
          <w:w w:val="120"/>
        </w:rPr>
        <w:t> </w:t>
      </w:r>
      <w:r>
        <w:rPr>
          <w:color w:val="231F20"/>
          <w:w w:val="120"/>
        </w:rPr>
        <w:t>la</w:t>
      </w:r>
      <w:r>
        <w:rPr>
          <w:color w:val="231F20"/>
          <w:spacing w:val="-12"/>
          <w:w w:val="120"/>
        </w:rPr>
        <w:t> </w:t>
      </w:r>
      <w:r>
        <w:rPr>
          <w:color w:val="231F20"/>
          <w:w w:val="120"/>
        </w:rPr>
        <w:t>principale</w:t>
      </w:r>
      <w:r>
        <w:rPr>
          <w:color w:val="231F20"/>
          <w:spacing w:val="-12"/>
          <w:w w:val="120"/>
        </w:rPr>
        <w:t> </w:t>
      </w:r>
      <w:r>
        <w:rPr>
          <w:color w:val="231F20"/>
          <w:w w:val="120"/>
        </w:rPr>
        <w:t>caractéristique </w:t>
      </w:r>
      <w:r>
        <w:rPr>
          <w:color w:val="231F20"/>
          <w:w w:val="115"/>
        </w:rPr>
        <w:t>du</w:t>
      </w:r>
      <w:r>
        <w:rPr>
          <w:color w:val="231F20"/>
          <w:spacing w:val="-10"/>
          <w:w w:val="115"/>
        </w:rPr>
        <w:t> </w:t>
      </w:r>
      <w:r>
        <w:rPr>
          <w:color w:val="231F20"/>
          <w:w w:val="115"/>
        </w:rPr>
        <w:t>dirigeant</w:t>
      </w:r>
      <w:r>
        <w:rPr>
          <w:color w:val="231F20"/>
          <w:spacing w:val="-10"/>
          <w:w w:val="115"/>
        </w:rPr>
        <w:t> </w:t>
      </w:r>
      <w:r>
        <w:rPr>
          <w:color w:val="231F20"/>
          <w:w w:val="115"/>
        </w:rPr>
        <w:t>qui</w:t>
      </w:r>
      <w:r>
        <w:rPr>
          <w:color w:val="231F20"/>
          <w:spacing w:val="-10"/>
          <w:w w:val="115"/>
        </w:rPr>
        <w:t> </w:t>
      </w:r>
      <w:r>
        <w:rPr>
          <w:color w:val="231F20"/>
          <w:w w:val="115"/>
        </w:rPr>
        <w:t>croit</w:t>
      </w:r>
      <w:r>
        <w:rPr>
          <w:color w:val="231F20"/>
          <w:spacing w:val="-10"/>
          <w:w w:val="115"/>
        </w:rPr>
        <w:t> </w:t>
      </w:r>
      <w:r>
        <w:rPr>
          <w:color w:val="231F20"/>
          <w:w w:val="115"/>
        </w:rPr>
        <w:t>en</w:t>
      </w:r>
      <w:r>
        <w:rPr>
          <w:color w:val="231F20"/>
          <w:spacing w:val="-10"/>
          <w:w w:val="115"/>
        </w:rPr>
        <w:t> </w:t>
      </w:r>
      <w:r>
        <w:rPr>
          <w:color w:val="231F20"/>
          <w:w w:val="115"/>
        </w:rPr>
        <w:t>lui-même,</w:t>
      </w:r>
      <w:r>
        <w:rPr>
          <w:color w:val="231F20"/>
          <w:spacing w:val="-10"/>
          <w:w w:val="115"/>
        </w:rPr>
        <w:t> </w:t>
      </w:r>
      <w:r>
        <w:rPr>
          <w:color w:val="231F20"/>
          <w:w w:val="115"/>
        </w:rPr>
        <w:t>en</w:t>
      </w:r>
      <w:r>
        <w:rPr>
          <w:color w:val="231F20"/>
          <w:spacing w:val="-10"/>
          <w:w w:val="115"/>
        </w:rPr>
        <w:t> </w:t>
      </w:r>
      <w:r>
        <w:rPr>
          <w:color w:val="231F20"/>
          <w:w w:val="115"/>
        </w:rPr>
        <w:t>ses</w:t>
      </w:r>
      <w:r>
        <w:rPr>
          <w:color w:val="231F20"/>
          <w:spacing w:val="-10"/>
          <w:w w:val="115"/>
        </w:rPr>
        <w:t> </w:t>
      </w:r>
      <w:r>
        <w:rPr>
          <w:color w:val="231F20"/>
          <w:w w:val="115"/>
        </w:rPr>
        <w:t>collègues</w:t>
      </w:r>
      <w:r>
        <w:rPr>
          <w:color w:val="231F20"/>
          <w:spacing w:val="-10"/>
          <w:w w:val="115"/>
        </w:rPr>
        <w:t> </w:t>
      </w:r>
      <w:r>
        <w:rPr>
          <w:color w:val="231F20"/>
          <w:w w:val="115"/>
        </w:rPr>
        <w:t>et</w:t>
      </w:r>
      <w:r>
        <w:rPr>
          <w:color w:val="231F20"/>
          <w:spacing w:val="-10"/>
          <w:w w:val="115"/>
        </w:rPr>
        <w:t> </w:t>
      </w:r>
      <w:r>
        <w:rPr>
          <w:color w:val="231F20"/>
          <w:w w:val="115"/>
        </w:rPr>
        <w:t>au</w:t>
      </w:r>
      <w:r>
        <w:rPr>
          <w:color w:val="231F20"/>
          <w:spacing w:val="-10"/>
          <w:w w:val="115"/>
        </w:rPr>
        <w:t> </w:t>
      </w:r>
      <w:r>
        <w:rPr>
          <w:color w:val="231F20"/>
          <w:w w:val="115"/>
        </w:rPr>
        <w:t>sens</w:t>
      </w:r>
      <w:r>
        <w:rPr>
          <w:color w:val="231F20"/>
          <w:spacing w:val="-10"/>
          <w:w w:val="115"/>
        </w:rPr>
        <w:t> </w:t>
      </w:r>
      <w:r>
        <w:rPr>
          <w:color w:val="231F20"/>
          <w:w w:val="115"/>
        </w:rPr>
        <w:t>de</w:t>
      </w:r>
      <w:r>
        <w:rPr>
          <w:color w:val="231F20"/>
          <w:spacing w:val="-10"/>
          <w:w w:val="115"/>
        </w:rPr>
        <w:t> </w:t>
      </w:r>
      <w:r>
        <w:rPr>
          <w:color w:val="231F20"/>
          <w:w w:val="115"/>
        </w:rPr>
        <w:t>ses</w:t>
      </w:r>
      <w:r>
        <w:rPr>
          <w:color w:val="231F20"/>
          <w:spacing w:val="-10"/>
          <w:w w:val="115"/>
        </w:rPr>
        <w:t> </w:t>
      </w:r>
      <w:r>
        <w:rPr>
          <w:color w:val="231F20"/>
          <w:w w:val="115"/>
        </w:rPr>
        <w:t>actes. </w:t>
      </w:r>
      <w:r>
        <w:rPr>
          <w:color w:val="231F20"/>
          <w:spacing w:val="-2"/>
          <w:w w:val="120"/>
        </w:rPr>
        <w:t>Le</w:t>
      </w:r>
      <w:r>
        <w:rPr>
          <w:color w:val="231F20"/>
          <w:spacing w:val="-6"/>
          <w:w w:val="120"/>
        </w:rPr>
        <w:t> </w:t>
      </w:r>
      <w:r>
        <w:rPr>
          <w:color w:val="231F20"/>
          <w:spacing w:val="-2"/>
          <w:w w:val="120"/>
        </w:rPr>
        <w:t>fait</w:t>
      </w:r>
      <w:r>
        <w:rPr>
          <w:color w:val="231F20"/>
          <w:spacing w:val="-6"/>
          <w:w w:val="120"/>
        </w:rPr>
        <w:t> </w:t>
      </w:r>
      <w:r>
        <w:rPr>
          <w:color w:val="231F20"/>
          <w:spacing w:val="-2"/>
          <w:w w:val="120"/>
        </w:rPr>
        <w:t>de</w:t>
      </w:r>
      <w:r>
        <w:rPr>
          <w:color w:val="231F20"/>
          <w:spacing w:val="-6"/>
          <w:w w:val="120"/>
        </w:rPr>
        <w:t> </w:t>
      </w:r>
      <w:r>
        <w:rPr>
          <w:color w:val="231F20"/>
          <w:spacing w:val="-2"/>
          <w:w w:val="120"/>
        </w:rPr>
        <w:t>susciter</w:t>
      </w:r>
      <w:r>
        <w:rPr>
          <w:color w:val="231F20"/>
          <w:spacing w:val="-6"/>
          <w:w w:val="120"/>
        </w:rPr>
        <w:t> </w:t>
      </w:r>
      <w:r>
        <w:rPr>
          <w:color w:val="231F20"/>
          <w:spacing w:val="-2"/>
          <w:w w:val="120"/>
        </w:rPr>
        <w:t>la</w:t>
      </w:r>
      <w:r>
        <w:rPr>
          <w:color w:val="231F20"/>
          <w:spacing w:val="-6"/>
          <w:w w:val="120"/>
        </w:rPr>
        <w:t> </w:t>
      </w:r>
      <w:r>
        <w:rPr>
          <w:color w:val="231F20"/>
          <w:spacing w:val="-2"/>
          <w:w w:val="120"/>
        </w:rPr>
        <w:t>confiance</w:t>
      </w:r>
      <w:r>
        <w:rPr>
          <w:color w:val="231F20"/>
          <w:spacing w:val="-6"/>
          <w:w w:val="120"/>
        </w:rPr>
        <w:t> </w:t>
      </w:r>
      <w:r>
        <w:rPr>
          <w:color w:val="231F20"/>
          <w:spacing w:val="-2"/>
          <w:w w:val="120"/>
        </w:rPr>
        <w:t>autour</w:t>
      </w:r>
      <w:r>
        <w:rPr>
          <w:color w:val="231F20"/>
          <w:spacing w:val="-6"/>
          <w:w w:val="120"/>
        </w:rPr>
        <w:t> </w:t>
      </w:r>
      <w:r>
        <w:rPr>
          <w:color w:val="231F20"/>
          <w:spacing w:val="-2"/>
          <w:w w:val="120"/>
        </w:rPr>
        <w:t>de</w:t>
      </w:r>
      <w:r>
        <w:rPr>
          <w:color w:val="231F20"/>
          <w:spacing w:val="-6"/>
          <w:w w:val="120"/>
        </w:rPr>
        <w:t> </w:t>
      </w:r>
      <w:r>
        <w:rPr>
          <w:color w:val="231F20"/>
          <w:spacing w:val="-2"/>
          <w:w w:val="120"/>
        </w:rPr>
        <w:t>soi</w:t>
      </w:r>
      <w:r>
        <w:rPr>
          <w:color w:val="231F20"/>
          <w:spacing w:val="-6"/>
          <w:w w:val="120"/>
        </w:rPr>
        <w:t> </w:t>
      </w:r>
      <w:r>
        <w:rPr>
          <w:color w:val="231F20"/>
          <w:spacing w:val="-2"/>
          <w:w w:val="120"/>
        </w:rPr>
        <w:t>et</w:t>
      </w:r>
      <w:r>
        <w:rPr>
          <w:color w:val="231F20"/>
          <w:spacing w:val="-6"/>
          <w:w w:val="120"/>
        </w:rPr>
        <w:t> </w:t>
      </w:r>
      <w:r>
        <w:rPr>
          <w:color w:val="231F20"/>
          <w:spacing w:val="-2"/>
          <w:w w:val="120"/>
        </w:rPr>
        <w:t>d’éviter</w:t>
      </w:r>
      <w:r>
        <w:rPr>
          <w:color w:val="231F20"/>
          <w:spacing w:val="-6"/>
          <w:w w:val="120"/>
        </w:rPr>
        <w:t> </w:t>
      </w:r>
      <w:r>
        <w:rPr>
          <w:color w:val="231F20"/>
          <w:spacing w:val="-2"/>
          <w:w w:val="120"/>
        </w:rPr>
        <w:t>d’abuser</w:t>
      </w:r>
      <w:r>
        <w:rPr>
          <w:color w:val="231F20"/>
          <w:spacing w:val="-6"/>
          <w:w w:val="120"/>
        </w:rPr>
        <w:t> </w:t>
      </w:r>
      <w:r>
        <w:rPr>
          <w:color w:val="231F20"/>
          <w:spacing w:val="-2"/>
          <w:w w:val="120"/>
        </w:rPr>
        <w:t>de</w:t>
      </w:r>
      <w:r>
        <w:rPr>
          <w:color w:val="231F20"/>
          <w:spacing w:val="-6"/>
          <w:w w:val="120"/>
        </w:rPr>
        <w:t> </w:t>
      </w:r>
      <w:r>
        <w:rPr>
          <w:color w:val="231F20"/>
          <w:spacing w:val="-2"/>
          <w:w w:val="120"/>
        </w:rPr>
        <w:t>cette confiance</w:t>
      </w:r>
      <w:r>
        <w:rPr>
          <w:color w:val="231F20"/>
          <w:spacing w:val="-7"/>
          <w:w w:val="120"/>
        </w:rPr>
        <w:t> </w:t>
      </w:r>
      <w:r>
        <w:rPr>
          <w:color w:val="231F20"/>
          <w:spacing w:val="-2"/>
          <w:w w:val="120"/>
        </w:rPr>
        <w:t>est</w:t>
      </w:r>
      <w:r>
        <w:rPr>
          <w:color w:val="231F20"/>
          <w:spacing w:val="-7"/>
          <w:w w:val="120"/>
        </w:rPr>
        <w:t> </w:t>
      </w:r>
      <w:r>
        <w:rPr>
          <w:color w:val="231F20"/>
          <w:spacing w:val="-2"/>
          <w:w w:val="120"/>
        </w:rPr>
        <w:t>un</w:t>
      </w:r>
      <w:r>
        <w:rPr>
          <w:color w:val="231F20"/>
          <w:spacing w:val="-7"/>
          <w:w w:val="120"/>
        </w:rPr>
        <w:t> </w:t>
      </w:r>
      <w:r>
        <w:rPr>
          <w:color w:val="231F20"/>
          <w:spacing w:val="-2"/>
          <w:w w:val="120"/>
        </w:rPr>
        <w:t>pilier</w:t>
      </w:r>
      <w:r>
        <w:rPr>
          <w:color w:val="231F20"/>
          <w:spacing w:val="-7"/>
          <w:w w:val="120"/>
        </w:rPr>
        <w:t> </w:t>
      </w:r>
      <w:r>
        <w:rPr>
          <w:color w:val="231F20"/>
          <w:spacing w:val="-2"/>
          <w:w w:val="120"/>
        </w:rPr>
        <w:t>de</w:t>
      </w:r>
      <w:r>
        <w:rPr>
          <w:color w:val="231F20"/>
          <w:spacing w:val="-7"/>
          <w:w w:val="120"/>
        </w:rPr>
        <w:t> </w:t>
      </w:r>
      <w:r>
        <w:rPr>
          <w:color w:val="231F20"/>
          <w:spacing w:val="-2"/>
          <w:w w:val="120"/>
        </w:rPr>
        <w:t>la</w:t>
      </w:r>
      <w:r>
        <w:rPr>
          <w:color w:val="231F20"/>
          <w:spacing w:val="-7"/>
          <w:w w:val="120"/>
        </w:rPr>
        <w:t> </w:t>
      </w:r>
      <w:r>
        <w:rPr>
          <w:color w:val="231F20"/>
          <w:spacing w:val="-2"/>
          <w:w w:val="120"/>
        </w:rPr>
        <w:t>conduite</w:t>
      </w:r>
      <w:r>
        <w:rPr>
          <w:color w:val="231F20"/>
          <w:spacing w:val="-7"/>
          <w:w w:val="120"/>
        </w:rPr>
        <w:t> </w:t>
      </w:r>
      <w:r>
        <w:rPr>
          <w:color w:val="231F20"/>
          <w:spacing w:val="-2"/>
          <w:w w:val="120"/>
        </w:rPr>
        <w:t>marquée</w:t>
      </w:r>
      <w:r>
        <w:rPr>
          <w:color w:val="231F20"/>
          <w:spacing w:val="-7"/>
          <w:w w:val="120"/>
        </w:rPr>
        <w:t> </w:t>
      </w:r>
      <w:r>
        <w:rPr>
          <w:color w:val="231F20"/>
          <w:spacing w:val="-2"/>
          <w:w w:val="120"/>
        </w:rPr>
        <w:t>par</w:t>
      </w:r>
      <w:r>
        <w:rPr>
          <w:color w:val="231F20"/>
          <w:spacing w:val="-7"/>
          <w:w w:val="120"/>
        </w:rPr>
        <w:t> </w:t>
      </w:r>
      <w:r>
        <w:rPr>
          <w:color w:val="231F20"/>
          <w:spacing w:val="-2"/>
          <w:w w:val="120"/>
        </w:rPr>
        <w:t>une</w:t>
      </w:r>
      <w:r>
        <w:rPr>
          <w:color w:val="231F20"/>
          <w:spacing w:val="-7"/>
          <w:w w:val="120"/>
        </w:rPr>
        <w:t> </w:t>
      </w:r>
      <w:r>
        <w:rPr>
          <w:color w:val="231F20"/>
          <w:spacing w:val="-2"/>
          <w:w w:val="120"/>
        </w:rPr>
        <w:t>démarche</w:t>
      </w:r>
      <w:r>
        <w:rPr>
          <w:color w:val="231F20"/>
          <w:spacing w:val="-7"/>
          <w:w w:val="120"/>
        </w:rPr>
        <w:t> </w:t>
      </w:r>
      <w:r>
        <w:rPr>
          <w:color w:val="231F20"/>
          <w:spacing w:val="-2"/>
          <w:w w:val="120"/>
        </w:rPr>
        <w:t>éthique </w:t>
      </w:r>
      <w:r>
        <w:rPr>
          <w:color w:val="231F20"/>
          <w:w w:val="120"/>
        </w:rPr>
        <w:t>claire.</w:t>
      </w:r>
      <w:r>
        <w:rPr>
          <w:color w:val="231F20"/>
          <w:spacing w:val="-9"/>
          <w:w w:val="120"/>
        </w:rPr>
        <w:t> </w:t>
      </w:r>
      <w:r>
        <w:rPr>
          <w:color w:val="231F20"/>
          <w:w w:val="120"/>
        </w:rPr>
        <w:t>On</w:t>
      </w:r>
      <w:r>
        <w:rPr>
          <w:color w:val="231F20"/>
          <w:spacing w:val="-9"/>
          <w:w w:val="120"/>
        </w:rPr>
        <w:t> </w:t>
      </w:r>
      <w:r>
        <w:rPr>
          <w:color w:val="231F20"/>
          <w:w w:val="120"/>
        </w:rPr>
        <w:t>peut</w:t>
      </w:r>
      <w:r>
        <w:rPr>
          <w:color w:val="231F20"/>
          <w:spacing w:val="-9"/>
          <w:w w:val="120"/>
        </w:rPr>
        <w:t> </w:t>
      </w:r>
      <w:r>
        <w:rPr>
          <w:color w:val="231F20"/>
          <w:w w:val="120"/>
        </w:rPr>
        <w:t>ainsi</w:t>
      </w:r>
      <w:r>
        <w:rPr>
          <w:color w:val="231F20"/>
          <w:spacing w:val="-9"/>
          <w:w w:val="120"/>
        </w:rPr>
        <w:t> </w:t>
      </w:r>
      <w:r>
        <w:rPr>
          <w:color w:val="231F20"/>
          <w:w w:val="120"/>
        </w:rPr>
        <w:t>considérer</w:t>
      </w:r>
      <w:r>
        <w:rPr>
          <w:color w:val="231F20"/>
          <w:spacing w:val="-9"/>
          <w:w w:val="120"/>
        </w:rPr>
        <w:t> </w:t>
      </w:r>
      <w:r>
        <w:rPr>
          <w:color w:val="231F20"/>
          <w:w w:val="120"/>
        </w:rPr>
        <w:t>qu’un</w:t>
      </w:r>
      <w:r>
        <w:rPr>
          <w:color w:val="231F20"/>
          <w:spacing w:val="-9"/>
          <w:w w:val="120"/>
        </w:rPr>
        <w:t> </w:t>
      </w:r>
      <w:r>
        <w:rPr>
          <w:color w:val="231F20"/>
          <w:w w:val="120"/>
        </w:rPr>
        <w:t>gestionnaire</w:t>
      </w:r>
      <w:r>
        <w:rPr>
          <w:color w:val="231F20"/>
          <w:spacing w:val="-9"/>
          <w:w w:val="120"/>
        </w:rPr>
        <w:t> </w:t>
      </w:r>
      <w:r>
        <w:rPr>
          <w:color w:val="231F20"/>
          <w:w w:val="120"/>
        </w:rPr>
        <w:t>affichant</w:t>
      </w:r>
      <w:r>
        <w:rPr>
          <w:color w:val="231F20"/>
          <w:spacing w:val="-9"/>
          <w:w w:val="120"/>
        </w:rPr>
        <w:t> </w:t>
      </w:r>
      <w:r>
        <w:rPr>
          <w:color w:val="231F20"/>
          <w:w w:val="120"/>
        </w:rPr>
        <w:t>une</w:t>
      </w:r>
      <w:r>
        <w:rPr>
          <w:color w:val="231F20"/>
          <w:spacing w:val="-9"/>
          <w:w w:val="120"/>
        </w:rPr>
        <w:t> </w:t>
      </w:r>
      <w:r>
        <w:rPr>
          <w:color w:val="231F20"/>
          <w:w w:val="120"/>
        </w:rPr>
        <w:t>bonne </w:t>
      </w:r>
      <w:r>
        <w:rPr>
          <w:color w:val="231F20"/>
          <w:spacing w:val="-2"/>
          <w:w w:val="120"/>
        </w:rPr>
        <w:t>estime</w:t>
      </w:r>
      <w:r>
        <w:rPr>
          <w:color w:val="231F20"/>
          <w:spacing w:val="-19"/>
          <w:w w:val="120"/>
        </w:rPr>
        <w:t> </w:t>
      </w:r>
      <w:r>
        <w:rPr>
          <w:color w:val="231F20"/>
          <w:spacing w:val="-2"/>
          <w:w w:val="120"/>
        </w:rPr>
        <w:t>de</w:t>
      </w:r>
      <w:r>
        <w:rPr>
          <w:color w:val="231F20"/>
          <w:spacing w:val="-18"/>
          <w:w w:val="120"/>
        </w:rPr>
        <w:t> </w:t>
      </w:r>
      <w:r>
        <w:rPr>
          <w:color w:val="231F20"/>
          <w:spacing w:val="-2"/>
          <w:w w:val="120"/>
        </w:rPr>
        <w:t>soi</w:t>
      </w:r>
      <w:r>
        <w:rPr>
          <w:color w:val="231F20"/>
          <w:spacing w:val="-19"/>
          <w:w w:val="120"/>
        </w:rPr>
        <w:t> </w:t>
      </w:r>
      <w:r>
        <w:rPr>
          <w:color w:val="231F20"/>
          <w:spacing w:val="-2"/>
          <w:w w:val="120"/>
        </w:rPr>
        <w:t>sera</w:t>
      </w:r>
      <w:r>
        <w:rPr>
          <w:color w:val="231F20"/>
          <w:spacing w:val="-18"/>
          <w:w w:val="120"/>
        </w:rPr>
        <w:t> </w:t>
      </w:r>
      <w:r>
        <w:rPr>
          <w:color w:val="231F20"/>
          <w:spacing w:val="-2"/>
          <w:w w:val="120"/>
        </w:rPr>
        <w:t>un</w:t>
      </w:r>
      <w:r>
        <w:rPr>
          <w:color w:val="231F20"/>
          <w:spacing w:val="-19"/>
          <w:w w:val="120"/>
        </w:rPr>
        <w:t> </w:t>
      </w:r>
      <w:r>
        <w:rPr>
          <w:color w:val="231F20"/>
          <w:spacing w:val="-2"/>
          <w:w w:val="120"/>
        </w:rPr>
        <w:t>leader</w:t>
      </w:r>
      <w:r>
        <w:rPr>
          <w:color w:val="231F20"/>
          <w:spacing w:val="-18"/>
          <w:w w:val="120"/>
        </w:rPr>
        <w:t> </w:t>
      </w:r>
      <w:r>
        <w:rPr>
          <w:color w:val="231F20"/>
          <w:spacing w:val="-2"/>
          <w:w w:val="120"/>
        </w:rPr>
        <w:t>plus</w:t>
      </w:r>
      <w:r>
        <w:rPr>
          <w:color w:val="231F20"/>
          <w:spacing w:val="-19"/>
          <w:w w:val="120"/>
        </w:rPr>
        <w:t> </w:t>
      </w:r>
      <w:r>
        <w:rPr>
          <w:color w:val="231F20"/>
          <w:spacing w:val="-2"/>
          <w:w w:val="120"/>
        </w:rPr>
        <w:t>efficace</w:t>
      </w:r>
      <w:r>
        <w:rPr>
          <w:color w:val="231F20"/>
          <w:spacing w:val="-18"/>
          <w:w w:val="120"/>
        </w:rPr>
        <w:t> </w:t>
      </w:r>
      <w:r>
        <w:rPr>
          <w:color w:val="231F20"/>
          <w:spacing w:val="-2"/>
          <w:w w:val="120"/>
        </w:rPr>
        <w:t>dans</w:t>
      </w:r>
      <w:r>
        <w:rPr>
          <w:color w:val="231F20"/>
          <w:spacing w:val="-19"/>
          <w:w w:val="120"/>
        </w:rPr>
        <w:t> </w:t>
      </w:r>
      <w:r>
        <w:rPr>
          <w:color w:val="231F20"/>
          <w:spacing w:val="-2"/>
          <w:w w:val="120"/>
        </w:rPr>
        <w:t>les</w:t>
      </w:r>
      <w:r>
        <w:rPr>
          <w:color w:val="231F20"/>
          <w:spacing w:val="-18"/>
          <w:w w:val="120"/>
        </w:rPr>
        <w:t> </w:t>
      </w:r>
      <w:r>
        <w:rPr>
          <w:color w:val="231F20"/>
          <w:spacing w:val="-2"/>
          <w:w w:val="120"/>
        </w:rPr>
        <w:t>situations</w:t>
      </w:r>
      <w:r>
        <w:rPr>
          <w:color w:val="231F20"/>
          <w:spacing w:val="-19"/>
          <w:w w:val="120"/>
        </w:rPr>
        <w:t> </w:t>
      </w:r>
      <w:r>
        <w:rPr>
          <w:color w:val="231F20"/>
          <w:spacing w:val="-2"/>
          <w:w w:val="120"/>
        </w:rPr>
        <w:t>complexes47.</w:t>
      </w:r>
    </w:p>
    <w:p>
      <w:pPr>
        <w:pStyle w:val="BodyText"/>
        <w:spacing w:line="307" w:lineRule="auto" w:before="77"/>
        <w:ind w:left="1220" w:right="104" w:firstLine="250"/>
        <w:jc w:val="both"/>
      </w:pPr>
      <w:r>
        <w:rPr>
          <w:color w:val="231F20"/>
          <w:spacing w:val="-2"/>
          <w:w w:val="120"/>
        </w:rPr>
        <w:t>L’employé</w:t>
      </w:r>
      <w:r>
        <w:rPr>
          <w:color w:val="231F20"/>
          <w:spacing w:val="-9"/>
          <w:w w:val="120"/>
        </w:rPr>
        <w:t> </w:t>
      </w:r>
      <w:r>
        <w:rPr>
          <w:color w:val="231F20"/>
          <w:spacing w:val="-2"/>
          <w:w w:val="120"/>
        </w:rPr>
        <w:t>est</w:t>
      </w:r>
      <w:r>
        <w:rPr>
          <w:color w:val="231F20"/>
          <w:spacing w:val="-9"/>
          <w:w w:val="120"/>
        </w:rPr>
        <w:t> </w:t>
      </w:r>
      <w:r>
        <w:rPr>
          <w:color w:val="231F20"/>
          <w:spacing w:val="-2"/>
          <w:w w:val="120"/>
        </w:rPr>
        <w:t>un</w:t>
      </w:r>
      <w:r>
        <w:rPr>
          <w:color w:val="231F20"/>
          <w:spacing w:val="-9"/>
          <w:w w:val="120"/>
        </w:rPr>
        <w:t> </w:t>
      </w:r>
      <w:r>
        <w:rPr>
          <w:color w:val="231F20"/>
          <w:spacing w:val="-2"/>
          <w:w w:val="120"/>
        </w:rPr>
        <w:t>être</w:t>
      </w:r>
      <w:r>
        <w:rPr>
          <w:color w:val="231F20"/>
          <w:spacing w:val="-9"/>
          <w:w w:val="120"/>
        </w:rPr>
        <w:t> </w:t>
      </w:r>
      <w:r>
        <w:rPr>
          <w:color w:val="231F20"/>
          <w:spacing w:val="-2"/>
          <w:w w:val="120"/>
        </w:rPr>
        <w:t>plus</w:t>
      </w:r>
      <w:r>
        <w:rPr>
          <w:color w:val="231F20"/>
          <w:spacing w:val="-9"/>
          <w:w w:val="120"/>
        </w:rPr>
        <w:t> </w:t>
      </w:r>
      <w:r>
        <w:rPr>
          <w:color w:val="231F20"/>
          <w:spacing w:val="-2"/>
          <w:w w:val="120"/>
        </w:rPr>
        <w:t>craintif</w:t>
      </w:r>
      <w:r>
        <w:rPr>
          <w:color w:val="231F20"/>
          <w:spacing w:val="-9"/>
          <w:w w:val="120"/>
        </w:rPr>
        <w:t> </w:t>
      </w:r>
      <w:r>
        <w:rPr>
          <w:color w:val="231F20"/>
          <w:spacing w:val="-2"/>
          <w:w w:val="120"/>
        </w:rPr>
        <w:t>qu’on</w:t>
      </w:r>
      <w:r>
        <w:rPr>
          <w:color w:val="231F20"/>
          <w:spacing w:val="-9"/>
          <w:w w:val="120"/>
        </w:rPr>
        <w:t> </w:t>
      </w:r>
      <w:r>
        <w:rPr>
          <w:color w:val="231F20"/>
          <w:spacing w:val="-2"/>
          <w:w w:val="120"/>
        </w:rPr>
        <w:t>pourrait</w:t>
      </w:r>
      <w:r>
        <w:rPr>
          <w:color w:val="231F20"/>
          <w:spacing w:val="-9"/>
          <w:w w:val="120"/>
        </w:rPr>
        <w:t> </w:t>
      </w:r>
      <w:r>
        <w:rPr>
          <w:color w:val="231F20"/>
          <w:spacing w:val="-2"/>
          <w:w w:val="120"/>
        </w:rPr>
        <w:t>le</w:t>
      </w:r>
      <w:r>
        <w:rPr>
          <w:color w:val="231F20"/>
          <w:spacing w:val="-9"/>
          <w:w w:val="120"/>
        </w:rPr>
        <w:t> </w:t>
      </w:r>
      <w:r>
        <w:rPr>
          <w:color w:val="231F20"/>
          <w:spacing w:val="-2"/>
          <w:w w:val="120"/>
        </w:rPr>
        <w:t>croire</w:t>
      </w:r>
      <w:r>
        <w:rPr>
          <w:color w:val="231F20"/>
          <w:spacing w:val="-9"/>
          <w:w w:val="120"/>
        </w:rPr>
        <w:t> </w:t>
      </w:r>
      <w:r>
        <w:rPr>
          <w:color w:val="231F20"/>
          <w:spacing w:val="-2"/>
          <w:w w:val="120"/>
        </w:rPr>
        <w:t>à</w:t>
      </w:r>
      <w:r>
        <w:rPr>
          <w:color w:val="231F20"/>
          <w:spacing w:val="-9"/>
          <w:w w:val="120"/>
        </w:rPr>
        <w:t> </w:t>
      </w:r>
      <w:r>
        <w:rPr>
          <w:color w:val="231F20"/>
          <w:spacing w:val="-2"/>
          <w:w w:val="120"/>
        </w:rPr>
        <w:t>première </w:t>
      </w:r>
      <w:r>
        <w:rPr>
          <w:color w:val="231F20"/>
          <w:w w:val="120"/>
        </w:rPr>
        <w:t>vue. Il craint d’exprimer ce qu’il pense de son patron, de contester le système</w:t>
      </w:r>
      <w:r>
        <w:rPr>
          <w:color w:val="231F20"/>
          <w:spacing w:val="-13"/>
          <w:w w:val="120"/>
        </w:rPr>
        <w:t> </w:t>
      </w:r>
      <w:r>
        <w:rPr>
          <w:color w:val="231F20"/>
          <w:w w:val="120"/>
        </w:rPr>
        <w:t>;</w:t>
      </w:r>
      <w:r>
        <w:rPr>
          <w:color w:val="231F20"/>
          <w:spacing w:val="-4"/>
          <w:w w:val="120"/>
        </w:rPr>
        <w:t> </w:t>
      </w:r>
      <w:r>
        <w:rPr>
          <w:color w:val="231F20"/>
          <w:w w:val="120"/>
        </w:rPr>
        <w:t>il a peur du congédiement, de la mesure disciplinaire ou du traitement inéquitable qui pourraient survenir à tout moment. Il craint d’être lui-même, d’utiliser son libre arbitre, et d’exprimer sa propre volonté.</w:t>
      </w:r>
      <w:r>
        <w:rPr>
          <w:color w:val="231F20"/>
          <w:spacing w:val="-13"/>
          <w:w w:val="120"/>
        </w:rPr>
        <w:t> </w:t>
      </w:r>
      <w:r>
        <w:rPr>
          <w:color w:val="231F20"/>
          <w:w w:val="120"/>
        </w:rPr>
        <w:t>Pourtant,</w:t>
      </w:r>
      <w:r>
        <w:rPr>
          <w:color w:val="231F20"/>
          <w:spacing w:val="-13"/>
          <w:w w:val="120"/>
        </w:rPr>
        <w:t> </w:t>
      </w:r>
      <w:r>
        <w:rPr>
          <w:color w:val="231F20"/>
          <w:w w:val="120"/>
        </w:rPr>
        <w:t>selon</w:t>
      </w:r>
      <w:r>
        <w:rPr>
          <w:color w:val="231F20"/>
          <w:spacing w:val="-13"/>
          <w:w w:val="120"/>
        </w:rPr>
        <w:t> </w:t>
      </w:r>
      <w:r>
        <w:rPr>
          <w:color w:val="231F20"/>
          <w:w w:val="120"/>
        </w:rPr>
        <w:t>certaines</w:t>
      </w:r>
      <w:r>
        <w:rPr>
          <w:color w:val="231F20"/>
          <w:spacing w:val="-12"/>
          <w:w w:val="120"/>
        </w:rPr>
        <w:t> </w:t>
      </w:r>
      <w:r>
        <w:rPr>
          <w:color w:val="231F20"/>
          <w:w w:val="120"/>
        </w:rPr>
        <w:t>estimations,</w:t>
      </w:r>
      <w:r>
        <w:rPr>
          <w:color w:val="231F20"/>
          <w:spacing w:val="-13"/>
          <w:w w:val="120"/>
        </w:rPr>
        <w:t> </w:t>
      </w:r>
      <w:r>
        <w:rPr>
          <w:color w:val="231F20"/>
          <w:w w:val="120"/>
        </w:rPr>
        <w:t>un</w:t>
      </w:r>
      <w:r>
        <w:rPr>
          <w:color w:val="231F20"/>
          <w:spacing w:val="-13"/>
          <w:w w:val="120"/>
        </w:rPr>
        <w:t> </w:t>
      </w:r>
      <w:r>
        <w:rPr>
          <w:color w:val="231F20"/>
          <w:w w:val="120"/>
        </w:rPr>
        <w:t>travailleur</w:t>
      </w:r>
      <w:r>
        <w:rPr>
          <w:color w:val="231F20"/>
          <w:spacing w:val="-13"/>
          <w:w w:val="120"/>
        </w:rPr>
        <w:t> </w:t>
      </w:r>
      <w:r>
        <w:rPr>
          <w:color w:val="231F20"/>
          <w:w w:val="120"/>
        </w:rPr>
        <w:t>passe</w:t>
      </w:r>
      <w:r>
        <w:rPr>
          <w:color w:val="231F20"/>
          <w:spacing w:val="-12"/>
          <w:w w:val="120"/>
        </w:rPr>
        <w:t> </w:t>
      </w:r>
      <w:r>
        <w:rPr>
          <w:color w:val="231F20"/>
          <w:w w:val="120"/>
        </w:rPr>
        <w:t>entre 70 000 et 75 000 heures, soit environ le tiers de sa vie, au travail!</w:t>
      </w:r>
    </w:p>
    <w:p>
      <w:pPr>
        <w:pStyle w:val="BodyText"/>
        <w:spacing w:line="307" w:lineRule="auto" w:before="79"/>
        <w:ind w:left="1220" w:right="105" w:firstLine="250"/>
        <w:jc w:val="both"/>
      </w:pPr>
      <w:r>
        <w:rPr>
          <w:color w:val="231F20"/>
          <w:spacing w:val="-2"/>
          <w:w w:val="120"/>
        </w:rPr>
        <w:t>Il</w:t>
      </w:r>
      <w:r>
        <w:rPr>
          <w:color w:val="231F20"/>
          <w:spacing w:val="-9"/>
          <w:w w:val="120"/>
        </w:rPr>
        <w:t> </w:t>
      </w:r>
      <w:r>
        <w:rPr>
          <w:color w:val="231F20"/>
          <w:spacing w:val="-2"/>
          <w:w w:val="120"/>
        </w:rPr>
        <w:t>faut</w:t>
      </w:r>
      <w:r>
        <w:rPr>
          <w:color w:val="231F20"/>
          <w:spacing w:val="-9"/>
          <w:w w:val="120"/>
        </w:rPr>
        <w:t> </w:t>
      </w:r>
      <w:r>
        <w:rPr>
          <w:color w:val="231F20"/>
          <w:spacing w:val="-2"/>
          <w:w w:val="120"/>
        </w:rPr>
        <w:t>commencer</w:t>
      </w:r>
      <w:r>
        <w:rPr>
          <w:color w:val="231F20"/>
          <w:spacing w:val="-9"/>
          <w:w w:val="120"/>
        </w:rPr>
        <w:t> </w:t>
      </w:r>
      <w:r>
        <w:rPr>
          <w:color w:val="231F20"/>
          <w:spacing w:val="-2"/>
          <w:w w:val="120"/>
        </w:rPr>
        <w:t>à</w:t>
      </w:r>
      <w:r>
        <w:rPr>
          <w:color w:val="231F20"/>
          <w:spacing w:val="-9"/>
          <w:w w:val="120"/>
        </w:rPr>
        <w:t> </w:t>
      </w:r>
      <w:r>
        <w:rPr>
          <w:color w:val="231F20"/>
          <w:spacing w:val="-2"/>
          <w:w w:val="120"/>
        </w:rPr>
        <w:t>réfléchir</w:t>
      </w:r>
      <w:r>
        <w:rPr>
          <w:color w:val="231F20"/>
          <w:spacing w:val="-9"/>
          <w:w w:val="120"/>
        </w:rPr>
        <w:t> </w:t>
      </w:r>
      <w:r>
        <w:rPr>
          <w:color w:val="231F20"/>
          <w:spacing w:val="-2"/>
          <w:w w:val="120"/>
        </w:rPr>
        <w:t>sérieusement</w:t>
      </w:r>
      <w:r>
        <w:rPr>
          <w:color w:val="231F20"/>
          <w:spacing w:val="-9"/>
          <w:w w:val="120"/>
        </w:rPr>
        <w:t> </w:t>
      </w:r>
      <w:r>
        <w:rPr>
          <w:color w:val="231F20"/>
          <w:spacing w:val="-2"/>
          <w:w w:val="120"/>
        </w:rPr>
        <w:t>à</w:t>
      </w:r>
      <w:r>
        <w:rPr>
          <w:color w:val="231F20"/>
          <w:spacing w:val="-9"/>
          <w:w w:val="120"/>
        </w:rPr>
        <w:t> </w:t>
      </w:r>
      <w:r>
        <w:rPr>
          <w:color w:val="231F20"/>
          <w:spacing w:val="-2"/>
          <w:w w:val="120"/>
        </w:rPr>
        <w:t>de</w:t>
      </w:r>
      <w:r>
        <w:rPr>
          <w:color w:val="231F20"/>
          <w:spacing w:val="-9"/>
          <w:w w:val="120"/>
        </w:rPr>
        <w:t> </w:t>
      </w:r>
      <w:r>
        <w:rPr>
          <w:color w:val="231F20"/>
          <w:spacing w:val="-2"/>
          <w:w w:val="120"/>
        </w:rPr>
        <w:t>nouveaux</w:t>
      </w:r>
      <w:r>
        <w:rPr>
          <w:color w:val="231F20"/>
          <w:spacing w:val="-9"/>
          <w:w w:val="120"/>
        </w:rPr>
        <w:t> </w:t>
      </w:r>
      <w:r>
        <w:rPr>
          <w:color w:val="231F20"/>
          <w:spacing w:val="-2"/>
          <w:w w:val="120"/>
        </w:rPr>
        <w:t>contrats</w:t>
      </w:r>
      <w:r>
        <w:rPr>
          <w:color w:val="231F20"/>
          <w:spacing w:val="-9"/>
          <w:w w:val="120"/>
        </w:rPr>
        <w:t> </w:t>
      </w:r>
      <w:r>
        <w:rPr>
          <w:color w:val="231F20"/>
          <w:spacing w:val="-2"/>
          <w:w w:val="120"/>
        </w:rPr>
        <w:t>de </w:t>
      </w:r>
      <w:r>
        <w:rPr>
          <w:color w:val="231F20"/>
          <w:spacing w:val="-2"/>
          <w:w w:val="115"/>
        </w:rPr>
        <w:t>travail</w:t>
      </w:r>
      <w:r>
        <w:rPr>
          <w:color w:val="231F20"/>
          <w:spacing w:val="-11"/>
          <w:w w:val="115"/>
        </w:rPr>
        <w:t> </w:t>
      </w:r>
      <w:r>
        <w:rPr>
          <w:color w:val="231F20"/>
          <w:spacing w:val="-2"/>
          <w:w w:val="115"/>
        </w:rPr>
        <w:t>«</w:t>
      </w:r>
      <w:r>
        <w:rPr>
          <w:color w:val="231F20"/>
          <w:spacing w:val="-10"/>
          <w:w w:val="115"/>
        </w:rPr>
        <w:t> </w:t>
      </w:r>
      <w:r>
        <w:rPr>
          <w:color w:val="231F20"/>
          <w:spacing w:val="-2"/>
          <w:w w:val="115"/>
        </w:rPr>
        <w:t>sensibles</w:t>
      </w:r>
      <w:r>
        <w:rPr>
          <w:color w:val="231F20"/>
          <w:spacing w:val="-10"/>
          <w:w w:val="115"/>
        </w:rPr>
        <w:t> </w:t>
      </w:r>
      <w:r>
        <w:rPr>
          <w:color w:val="231F20"/>
          <w:spacing w:val="-2"/>
          <w:w w:val="115"/>
        </w:rPr>
        <w:t>»</w:t>
      </w:r>
      <w:r>
        <w:rPr>
          <w:color w:val="231F20"/>
          <w:spacing w:val="-10"/>
          <w:w w:val="115"/>
        </w:rPr>
        <w:t> </w:t>
      </w:r>
      <w:r>
        <w:rPr>
          <w:color w:val="231F20"/>
          <w:spacing w:val="-2"/>
          <w:w w:val="115"/>
        </w:rPr>
        <w:t>pour</w:t>
      </w:r>
      <w:r>
        <w:rPr>
          <w:color w:val="231F20"/>
          <w:spacing w:val="-11"/>
          <w:w w:val="115"/>
        </w:rPr>
        <w:t> </w:t>
      </w:r>
      <w:r>
        <w:rPr>
          <w:color w:val="231F20"/>
          <w:spacing w:val="-2"/>
          <w:w w:val="115"/>
        </w:rPr>
        <w:t>remplacer</w:t>
      </w:r>
      <w:r>
        <w:rPr>
          <w:color w:val="231F20"/>
          <w:spacing w:val="-10"/>
          <w:w w:val="115"/>
        </w:rPr>
        <w:t> </w:t>
      </w:r>
      <w:r>
        <w:rPr>
          <w:color w:val="231F20"/>
          <w:spacing w:val="-2"/>
          <w:w w:val="115"/>
        </w:rPr>
        <w:t>les</w:t>
      </w:r>
      <w:r>
        <w:rPr>
          <w:color w:val="231F20"/>
          <w:spacing w:val="-10"/>
          <w:w w:val="115"/>
        </w:rPr>
        <w:t> </w:t>
      </w:r>
      <w:r>
        <w:rPr>
          <w:color w:val="231F20"/>
          <w:spacing w:val="-2"/>
          <w:w w:val="115"/>
        </w:rPr>
        <w:t>contrats</w:t>
      </w:r>
      <w:r>
        <w:rPr>
          <w:color w:val="231F20"/>
          <w:w w:val="115"/>
        </w:rPr>
        <w:t> </w:t>
      </w:r>
      <w:r>
        <w:rPr>
          <w:color w:val="231F20"/>
          <w:spacing w:val="-2"/>
          <w:w w:val="115"/>
        </w:rPr>
        <w:t>«</w:t>
      </w:r>
      <w:r>
        <w:rPr>
          <w:color w:val="231F20"/>
          <w:spacing w:val="-11"/>
          <w:w w:val="115"/>
        </w:rPr>
        <w:t> </w:t>
      </w:r>
      <w:r>
        <w:rPr>
          <w:color w:val="231F20"/>
          <w:spacing w:val="-2"/>
          <w:w w:val="115"/>
        </w:rPr>
        <w:t>flexibles</w:t>
      </w:r>
      <w:r>
        <w:rPr>
          <w:color w:val="231F20"/>
          <w:spacing w:val="-10"/>
          <w:w w:val="115"/>
        </w:rPr>
        <w:t> </w:t>
      </w:r>
      <w:r>
        <w:rPr>
          <w:color w:val="231F20"/>
          <w:spacing w:val="-2"/>
          <w:w w:val="115"/>
        </w:rPr>
        <w:t>»,</w:t>
      </w:r>
      <w:r>
        <w:rPr>
          <w:color w:val="231F20"/>
          <w:spacing w:val="3"/>
          <w:w w:val="115"/>
        </w:rPr>
        <w:t> </w:t>
      </w:r>
      <w:r>
        <w:rPr>
          <w:color w:val="231F20"/>
          <w:spacing w:val="-2"/>
          <w:w w:val="115"/>
        </w:rPr>
        <w:t>où</w:t>
      </w:r>
      <w:r>
        <w:rPr>
          <w:color w:val="231F20"/>
          <w:spacing w:val="2"/>
          <w:w w:val="115"/>
        </w:rPr>
        <w:t> </w:t>
      </w:r>
      <w:r>
        <w:rPr>
          <w:color w:val="231F20"/>
          <w:spacing w:val="-2"/>
          <w:w w:val="115"/>
        </w:rPr>
        <w:t>l’employa- </w:t>
      </w:r>
      <w:r>
        <w:rPr>
          <w:color w:val="231F20"/>
          <w:w w:val="120"/>
        </w:rPr>
        <w:t>bilité</w:t>
      </w:r>
      <w:r>
        <w:rPr>
          <w:color w:val="231F20"/>
          <w:spacing w:val="-11"/>
          <w:w w:val="120"/>
        </w:rPr>
        <w:t> </w:t>
      </w:r>
      <w:r>
        <w:rPr>
          <w:color w:val="231F20"/>
          <w:w w:val="120"/>
        </w:rPr>
        <w:t>et</w:t>
      </w:r>
      <w:r>
        <w:rPr>
          <w:color w:val="231F20"/>
          <w:spacing w:val="-11"/>
          <w:w w:val="120"/>
        </w:rPr>
        <w:t> </w:t>
      </w:r>
      <w:r>
        <w:rPr>
          <w:color w:val="231F20"/>
          <w:w w:val="120"/>
        </w:rPr>
        <w:t>l’évaluation</w:t>
      </w:r>
      <w:r>
        <w:rPr>
          <w:color w:val="231F20"/>
          <w:spacing w:val="-11"/>
          <w:w w:val="120"/>
        </w:rPr>
        <w:t> </w:t>
      </w:r>
      <w:r>
        <w:rPr>
          <w:color w:val="231F20"/>
          <w:w w:val="120"/>
        </w:rPr>
        <w:t>du</w:t>
      </w:r>
      <w:r>
        <w:rPr>
          <w:color w:val="231F20"/>
          <w:spacing w:val="-11"/>
          <w:w w:val="120"/>
        </w:rPr>
        <w:t> </w:t>
      </w:r>
      <w:r>
        <w:rPr>
          <w:color w:val="231F20"/>
          <w:w w:val="120"/>
        </w:rPr>
        <w:t>rendement</w:t>
      </w:r>
      <w:r>
        <w:rPr>
          <w:color w:val="231F20"/>
          <w:spacing w:val="-11"/>
          <w:w w:val="120"/>
        </w:rPr>
        <w:t> </w:t>
      </w:r>
      <w:r>
        <w:rPr>
          <w:color w:val="231F20"/>
          <w:w w:val="120"/>
        </w:rPr>
        <w:t>déterminent</w:t>
      </w:r>
      <w:r>
        <w:rPr>
          <w:color w:val="231F20"/>
          <w:spacing w:val="-11"/>
          <w:w w:val="120"/>
        </w:rPr>
        <w:t> </w:t>
      </w:r>
      <w:r>
        <w:rPr>
          <w:color w:val="231F20"/>
          <w:w w:val="120"/>
        </w:rPr>
        <w:t>le</w:t>
      </w:r>
      <w:r>
        <w:rPr>
          <w:color w:val="231F20"/>
          <w:spacing w:val="-11"/>
          <w:w w:val="120"/>
        </w:rPr>
        <w:t> </w:t>
      </w:r>
      <w:r>
        <w:rPr>
          <w:color w:val="231F20"/>
          <w:w w:val="120"/>
        </w:rPr>
        <w:t>degré</w:t>
      </w:r>
      <w:r>
        <w:rPr>
          <w:color w:val="231F20"/>
          <w:spacing w:val="-11"/>
          <w:w w:val="120"/>
        </w:rPr>
        <w:t> </w:t>
      </w:r>
      <w:r>
        <w:rPr>
          <w:color w:val="231F20"/>
          <w:w w:val="120"/>
        </w:rPr>
        <w:t>de</w:t>
      </w:r>
      <w:r>
        <w:rPr>
          <w:color w:val="231F20"/>
          <w:spacing w:val="-11"/>
          <w:w w:val="120"/>
        </w:rPr>
        <w:t> </w:t>
      </w:r>
      <w:r>
        <w:rPr>
          <w:color w:val="231F20"/>
          <w:w w:val="120"/>
        </w:rPr>
        <w:t>liberté</w:t>
      </w:r>
      <w:r>
        <w:rPr>
          <w:color w:val="231F20"/>
          <w:spacing w:val="-11"/>
          <w:w w:val="120"/>
        </w:rPr>
        <w:t> </w:t>
      </w:r>
      <w:r>
        <w:rPr>
          <w:color w:val="231F20"/>
          <w:w w:val="120"/>
        </w:rPr>
        <w:t>asso- cié</w:t>
      </w:r>
      <w:r>
        <w:rPr>
          <w:color w:val="231F20"/>
          <w:spacing w:val="-11"/>
          <w:w w:val="120"/>
        </w:rPr>
        <w:t> </w:t>
      </w:r>
      <w:r>
        <w:rPr>
          <w:color w:val="231F20"/>
          <w:w w:val="120"/>
        </w:rPr>
        <w:t>aux</w:t>
      </w:r>
      <w:r>
        <w:rPr>
          <w:color w:val="231F20"/>
          <w:spacing w:val="-11"/>
          <w:w w:val="120"/>
        </w:rPr>
        <w:t> </w:t>
      </w:r>
      <w:r>
        <w:rPr>
          <w:color w:val="231F20"/>
          <w:w w:val="120"/>
        </w:rPr>
        <w:t>fonctions,</w:t>
      </w:r>
      <w:r>
        <w:rPr>
          <w:color w:val="231F20"/>
          <w:spacing w:val="-11"/>
          <w:w w:val="120"/>
        </w:rPr>
        <w:t> </w:t>
      </w:r>
      <w:r>
        <w:rPr>
          <w:color w:val="231F20"/>
          <w:w w:val="120"/>
        </w:rPr>
        <w:t>afin</w:t>
      </w:r>
      <w:r>
        <w:rPr>
          <w:color w:val="231F20"/>
          <w:spacing w:val="-11"/>
          <w:w w:val="120"/>
        </w:rPr>
        <w:t> </w:t>
      </w:r>
      <w:r>
        <w:rPr>
          <w:color w:val="231F20"/>
          <w:w w:val="120"/>
        </w:rPr>
        <w:t>d’améliorer</w:t>
      </w:r>
      <w:r>
        <w:rPr>
          <w:color w:val="231F20"/>
          <w:spacing w:val="-11"/>
          <w:w w:val="120"/>
        </w:rPr>
        <w:t> </w:t>
      </w:r>
      <w:r>
        <w:rPr>
          <w:color w:val="231F20"/>
          <w:w w:val="120"/>
        </w:rPr>
        <w:t>la</w:t>
      </w:r>
      <w:r>
        <w:rPr>
          <w:color w:val="231F20"/>
          <w:spacing w:val="-11"/>
          <w:w w:val="120"/>
        </w:rPr>
        <w:t> </w:t>
      </w:r>
      <w:r>
        <w:rPr>
          <w:color w:val="231F20"/>
          <w:w w:val="120"/>
        </w:rPr>
        <w:t>rétention</w:t>
      </w:r>
      <w:r>
        <w:rPr>
          <w:color w:val="231F20"/>
          <w:spacing w:val="-11"/>
          <w:w w:val="120"/>
        </w:rPr>
        <w:t> </w:t>
      </w:r>
      <w:r>
        <w:rPr>
          <w:color w:val="231F20"/>
          <w:w w:val="120"/>
        </w:rPr>
        <w:t>du</w:t>
      </w:r>
      <w:r>
        <w:rPr>
          <w:color w:val="231F20"/>
          <w:spacing w:val="-11"/>
          <w:w w:val="120"/>
        </w:rPr>
        <w:t> </w:t>
      </w:r>
      <w:r>
        <w:rPr>
          <w:color w:val="231F20"/>
          <w:w w:val="120"/>
        </w:rPr>
        <w:t>personnel</w:t>
      </w:r>
      <w:r>
        <w:rPr>
          <w:color w:val="231F20"/>
          <w:spacing w:val="-11"/>
          <w:w w:val="120"/>
        </w:rPr>
        <w:t> </w:t>
      </w:r>
      <w:r>
        <w:rPr>
          <w:color w:val="231F20"/>
          <w:w w:val="120"/>
        </w:rPr>
        <w:t>en</w:t>
      </w:r>
      <w:r>
        <w:rPr>
          <w:color w:val="231F20"/>
          <w:spacing w:val="-11"/>
          <w:w w:val="120"/>
        </w:rPr>
        <w:t> </w:t>
      </w:r>
      <w:r>
        <w:rPr>
          <w:color w:val="231F20"/>
          <w:w w:val="120"/>
        </w:rPr>
        <w:t>limitant l’intention de quitter l’organisation en raison de l’insatisfaction, de la démotivation</w:t>
      </w:r>
      <w:r>
        <w:rPr>
          <w:color w:val="231F20"/>
          <w:spacing w:val="-13"/>
          <w:w w:val="120"/>
        </w:rPr>
        <w:t> </w:t>
      </w:r>
      <w:r>
        <w:rPr>
          <w:color w:val="231F20"/>
          <w:w w:val="120"/>
        </w:rPr>
        <w:t>ou</w:t>
      </w:r>
      <w:r>
        <w:rPr>
          <w:color w:val="231F20"/>
          <w:spacing w:val="-13"/>
          <w:w w:val="120"/>
        </w:rPr>
        <w:t> </w:t>
      </w:r>
      <w:r>
        <w:rPr>
          <w:color w:val="231F20"/>
          <w:w w:val="120"/>
        </w:rPr>
        <w:t>du</w:t>
      </w:r>
      <w:r>
        <w:rPr>
          <w:color w:val="231F20"/>
          <w:spacing w:val="-13"/>
          <w:w w:val="120"/>
        </w:rPr>
        <w:t> </w:t>
      </w:r>
      <w:r>
        <w:rPr>
          <w:color w:val="231F20"/>
          <w:w w:val="120"/>
        </w:rPr>
        <w:t>désengagement.</w:t>
      </w:r>
      <w:r>
        <w:rPr>
          <w:color w:val="231F20"/>
          <w:spacing w:val="-12"/>
          <w:w w:val="120"/>
        </w:rPr>
        <w:t> </w:t>
      </w:r>
      <w:r>
        <w:rPr>
          <w:color w:val="231F20"/>
          <w:w w:val="120"/>
        </w:rPr>
        <w:t>Il</w:t>
      </w:r>
      <w:r>
        <w:rPr>
          <w:color w:val="231F20"/>
          <w:spacing w:val="-13"/>
          <w:w w:val="120"/>
        </w:rPr>
        <w:t> </w:t>
      </w:r>
      <w:r>
        <w:rPr>
          <w:color w:val="231F20"/>
          <w:w w:val="120"/>
        </w:rPr>
        <w:t>faut</w:t>
      </w:r>
      <w:r>
        <w:rPr>
          <w:color w:val="231F20"/>
          <w:spacing w:val="-13"/>
          <w:w w:val="120"/>
        </w:rPr>
        <w:t> </w:t>
      </w:r>
      <w:r>
        <w:rPr>
          <w:color w:val="231F20"/>
          <w:w w:val="120"/>
        </w:rPr>
        <w:t>établir</w:t>
      </w:r>
      <w:r>
        <w:rPr>
          <w:color w:val="231F20"/>
          <w:spacing w:val="-13"/>
          <w:w w:val="120"/>
        </w:rPr>
        <w:t> </w:t>
      </w:r>
      <w:r>
        <w:rPr>
          <w:color w:val="231F20"/>
          <w:w w:val="120"/>
        </w:rPr>
        <w:t>de</w:t>
      </w:r>
      <w:r>
        <w:rPr>
          <w:color w:val="231F20"/>
          <w:spacing w:val="-12"/>
          <w:w w:val="120"/>
        </w:rPr>
        <w:t> </w:t>
      </w:r>
      <w:r>
        <w:rPr>
          <w:color w:val="231F20"/>
          <w:w w:val="120"/>
        </w:rPr>
        <w:t>nouveaux</w:t>
      </w:r>
      <w:r>
        <w:rPr>
          <w:color w:val="231F20"/>
          <w:spacing w:val="-13"/>
          <w:w w:val="120"/>
        </w:rPr>
        <w:t> </w:t>
      </w:r>
      <w:r>
        <w:rPr>
          <w:color w:val="231F20"/>
          <w:w w:val="120"/>
        </w:rPr>
        <w:t>contrats </w:t>
      </w:r>
      <w:r>
        <w:rPr>
          <w:color w:val="231F20"/>
          <w:spacing w:val="-4"/>
          <w:w w:val="120"/>
        </w:rPr>
        <w:t>de travail qui reposent moins sur le contrôle et davantage sur la confiance </w:t>
      </w:r>
      <w:r>
        <w:rPr>
          <w:color w:val="231F20"/>
          <w:w w:val="120"/>
        </w:rPr>
        <w:t>mutuelle, la liberté et l’initiative des travailleurs.</w:t>
      </w:r>
    </w:p>
    <w:p>
      <w:pPr>
        <w:pStyle w:val="BodyText"/>
        <w:rPr>
          <w:sz w:val="20"/>
        </w:rPr>
      </w:pPr>
    </w:p>
    <w:p>
      <w:pPr>
        <w:pStyle w:val="BodyText"/>
        <w:spacing w:before="1"/>
        <w:rPr>
          <w:sz w:val="20"/>
        </w:rPr>
      </w:pPr>
      <w:r>
        <w:rPr/>
        <w:pict>
          <v:shape style="position:absolute;margin-left:82pt;margin-top:12.782715pt;width:287.5pt;height:.1pt;mso-position-horizontal-relative:page;mso-position-vertical-relative:paragraph;z-index:-15635456;mso-wrap-distance-left:0;mso-wrap-distance-right:0" id="docshape1003" coordorigin="1640,256" coordsize="5750,0" path="m1640,256l7390,256e" filled="false" stroked="true" strokeweight=".25pt" strokecolor="#231f20">
            <v:path arrowok="t"/>
            <v:stroke dashstyle="shortdot"/>
            <w10:wrap type="topAndBottom"/>
          </v:shape>
        </w:pict>
      </w:r>
    </w:p>
    <w:p>
      <w:pPr>
        <w:pStyle w:val="ListParagraph"/>
        <w:numPr>
          <w:ilvl w:val="0"/>
          <w:numId w:val="65"/>
        </w:numPr>
        <w:tabs>
          <w:tab w:pos="1220" w:val="left" w:leader="none"/>
        </w:tabs>
        <w:spacing w:line="295" w:lineRule="auto" w:before="135" w:after="0"/>
        <w:ind w:left="1219" w:right="108" w:hanging="406"/>
        <w:jc w:val="both"/>
        <w:rPr>
          <w:rFonts w:ascii="Arial" w:hAnsi="Arial"/>
          <w:sz w:val="12"/>
        </w:rPr>
      </w:pPr>
      <w:r>
        <w:rPr>
          <w:rFonts w:ascii="Arial" w:hAnsi="Arial"/>
          <w:color w:val="231F20"/>
          <w:sz w:val="12"/>
        </w:rPr>
        <w:t>Tomará,</w:t>
      </w:r>
      <w:r>
        <w:rPr>
          <w:rFonts w:ascii="Arial" w:hAnsi="Arial"/>
          <w:color w:val="231F20"/>
          <w:spacing w:val="-9"/>
          <w:sz w:val="12"/>
        </w:rPr>
        <w:t> </w:t>
      </w:r>
      <w:r>
        <w:rPr>
          <w:rFonts w:ascii="Arial" w:hAnsi="Arial"/>
          <w:color w:val="231F20"/>
          <w:sz w:val="12"/>
        </w:rPr>
        <w:t>N.</w:t>
      </w:r>
      <w:r>
        <w:rPr>
          <w:rFonts w:ascii="Arial" w:hAnsi="Arial"/>
          <w:color w:val="231F20"/>
          <w:spacing w:val="-5"/>
          <w:sz w:val="12"/>
        </w:rPr>
        <w:t> </w:t>
      </w:r>
      <w:r>
        <w:rPr>
          <w:rFonts w:ascii="Arial" w:hAnsi="Arial"/>
          <w:color w:val="231F20"/>
          <w:sz w:val="12"/>
        </w:rPr>
        <w:t>et García, S. (2000). El conocimiento helénico a través de las palabras</w:t>
      </w:r>
      <w:r>
        <w:rPr>
          <w:rFonts w:ascii="Arial" w:hAnsi="Arial"/>
          <w:color w:val="231F20"/>
          <w:spacing w:val="-9"/>
          <w:sz w:val="12"/>
        </w:rPr>
        <w:t> </w:t>
      </w:r>
      <w:r>
        <w:rPr>
          <w:rFonts w:ascii="Arial" w:hAnsi="Arial"/>
          <w:color w:val="231F20"/>
          <w:sz w:val="12"/>
        </w:rPr>
        <w:t>: apuntes para directivos</w:t>
      </w:r>
      <w:r>
        <w:rPr>
          <w:rFonts w:ascii="Arial" w:hAnsi="Arial"/>
          <w:color w:val="231F20"/>
          <w:spacing w:val="40"/>
          <w:w w:val="105"/>
          <w:sz w:val="12"/>
        </w:rPr>
        <w:t> </w:t>
      </w:r>
      <w:r>
        <w:rPr>
          <w:rFonts w:ascii="Arial" w:hAnsi="Arial"/>
          <w:color w:val="231F20"/>
          <w:w w:val="105"/>
          <w:sz w:val="12"/>
        </w:rPr>
        <w:t>humanistas,</w:t>
      </w:r>
      <w:r>
        <w:rPr>
          <w:rFonts w:ascii="Arial" w:hAnsi="Arial"/>
          <w:color w:val="231F20"/>
          <w:spacing w:val="-9"/>
          <w:w w:val="105"/>
          <w:sz w:val="12"/>
        </w:rPr>
        <w:t> </w:t>
      </w:r>
      <w:r>
        <w:rPr>
          <w:rFonts w:ascii="Arial" w:hAnsi="Arial"/>
          <w:i/>
          <w:color w:val="231F20"/>
          <w:w w:val="105"/>
          <w:sz w:val="12"/>
        </w:rPr>
        <w:t>Perspectivas</w:t>
      </w:r>
      <w:r>
        <w:rPr>
          <w:rFonts w:ascii="Arial" w:hAnsi="Arial"/>
          <w:i/>
          <w:color w:val="231F20"/>
          <w:spacing w:val="-9"/>
          <w:w w:val="105"/>
          <w:sz w:val="12"/>
        </w:rPr>
        <w:t> </w:t>
      </w:r>
      <w:r>
        <w:rPr>
          <w:rFonts w:ascii="Arial" w:hAnsi="Arial"/>
          <w:i/>
          <w:color w:val="231F20"/>
          <w:w w:val="105"/>
          <w:sz w:val="12"/>
        </w:rPr>
        <w:t>de</w:t>
      </w:r>
      <w:r>
        <w:rPr>
          <w:rFonts w:ascii="Arial" w:hAnsi="Arial"/>
          <w:i/>
          <w:color w:val="231F20"/>
          <w:spacing w:val="-9"/>
          <w:w w:val="105"/>
          <w:sz w:val="12"/>
        </w:rPr>
        <w:t> </w:t>
      </w:r>
      <w:r>
        <w:rPr>
          <w:rFonts w:ascii="Arial" w:hAnsi="Arial"/>
          <w:i/>
          <w:color w:val="231F20"/>
          <w:w w:val="105"/>
          <w:sz w:val="12"/>
        </w:rPr>
        <w:t>gestión</w:t>
      </w:r>
      <w:r>
        <w:rPr>
          <w:rFonts w:ascii="Arial" w:hAnsi="Arial"/>
          <w:color w:val="231F20"/>
          <w:w w:val="105"/>
          <w:sz w:val="12"/>
        </w:rPr>
        <w:t>,</w:t>
      </w:r>
      <w:r>
        <w:rPr>
          <w:rFonts w:ascii="Arial" w:hAnsi="Arial"/>
          <w:color w:val="231F20"/>
          <w:spacing w:val="-8"/>
          <w:w w:val="105"/>
          <w:sz w:val="12"/>
        </w:rPr>
        <w:t> </w:t>
      </w:r>
      <w:r>
        <w:rPr>
          <w:rFonts w:ascii="Arial" w:hAnsi="Arial"/>
          <w:i/>
          <w:color w:val="231F20"/>
          <w:w w:val="105"/>
          <w:sz w:val="12"/>
        </w:rPr>
        <w:t>2</w:t>
      </w:r>
      <w:r>
        <w:rPr>
          <w:rFonts w:ascii="Arial" w:hAnsi="Arial"/>
          <w:color w:val="231F20"/>
          <w:w w:val="105"/>
          <w:sz w:val="12"/>
        </w:rPr>
        <w:t>,</w:t>
      </w:r>
      <w:r>
        <w:rPr>
          <w:rFonts w:ascii="Arial" w:hAnsi="Arial"/>
          <w:color w:val="231F20"/>
          <w:spacing w:val="-9"/>
          <w:w w:val="105"/>
          <w:sz w:val="12"/>
        </w:rPr>
        <w:t> </w:t>
      </w:r>
      <w:r>
        <w:rPr>
          <w:rFonts w:ascii="Arial" w:hAnsi="Arial"/>
          <w:color w:val="231F20"/>
          <w:w w:val="105"/>
          <w:sz w:val="12"/>
        </w:rPr>
        <w:t>46-59.</w:t>
      </w:r>
    </w:p>
    <w:p>
      <w:pPr>
        <w:pStyle w:val="ListParagraph"/>
        <w:numPr>
          <w:ilvl w:val="0"/>
          <w:numId w:val="65"/>
        </w:numPr>
        <w:tabs>
          <w:tab w:pos="1220" w:val="left" w:leader="none"/>
        </w:tabs>
        <w:spacing w:line="295" w:lineRule="auto" w:before="0" w:after="0"/>
        <w:ind w:left="1219" w:right="110" w:hanging="406"/>
        <w:jc w:val="both"/>
        <w:rPr>
          <w:rFonts w:ascii="Arial" w:hAnsi="Arial"/>
          <w:sz w:val="12"/>
        </w:rPr>
      </w:pPr>
      <w:r>
        <w:rPr>
          <w:rFonts w:ascii="Arial" w:hAnsi="Arial"/>
          <w:color w:val="231F20"/>
          <w:sz w:val="12"/>
        </w:rPr>
        <w:t>Tramèr, L., Becker, C., Schumacher, C., Beck, K., Tschan, F., Semmer, N. K., Hochstrasser, S., Marsch, S.</w:t>
      </w:r>
      <w:r>
        <w:rPr>
          <w:rFonts w:ascii="Arial" w:hAnsi="Arial"/>
          <w:color w:val="231F20"/>
          <w:spacing w:val="40"/>
          <w:sz w:val="12"/>
        </w:rPr>
        <w:t> </w:t>
      </w:r>
      <w:r>
        <w:rPr>
          <w:rFonts w:ascii="Arial" w:hAnsi="Arial"/>
          <w:color w:val="231F20"/>
          <w:sz w:val="12"/>
        </w:rPr>
        <w:t>et Hunziker, S. (2020). Association of self-esteem, personality, stress and gender with performance of a</w:t>
      </w:r>
      <w:r>
        <w:rPr>
          <w:rFonts w:ascii="Arial" w:hAnsi="Arial"/>
          <w:color w:val="231F20"/>
          <w:spacing w:val="40"/>
          <w:sz w:val="12"/>
        </w:rPr>
        <w:t> </w:t>
      </w:r>
      <w:r>
        <w:rPr>
          <w:rFonts w:ascii="Arial" w:hAnsi="Arial"/>
          <w:color w:val="231F20"/>
          <w:sz w:val="12"/>
        </w:rPr>
        <w:t>resuscitation team</w:t>
      </w:r>
      <w:r>
        <w:rPr>
          <w:rFonts w:ascii="Arial" w:hAnsi="Arial"/>
          <w:color w:val="231F20"/>
          <w:spacing w:val="-19"/>
          <w:sz w:val="12"/>
        </w:rPr>
        <w:t> </w:t>
      </w:r>
      <w:r>
        <w:rPr>
          <w:rFonts w:ascii="Arial" w:hAnsi="Arial"/>
          <w:color w:val="231F20"/>
          <w:sz w:val="12"/>
        </w:rPr>
        <w:t>: A simulation-based study, </w:t>
      </w:r>
      <w:r>
        <w:rPr>
          <w:rFonts w:ascii="Arial" w:hAnsi="Arial"/>
          <w:i/>
          <w:color w:val="231F20"/>
          <w:sz w:val="12"/>
        </w:rPr>
        <w:t>Plos One</w:t>
      </w:r>
      <w:r>
        <w:rPr>
          <w:rFonts w:ascii="Arial" w:hAnsi="Arial"/>
          <w:color w:val="231F20"/>
          <w:sz w:val="12"/>
        </w:rPr>
        <w:t>, </w:t>
      </w:r>
      <w:r>
        <w:rPr>
          <w:rFonts w:ascii="Arial" w:hAnsi="Arial"/>
          <w:i/>
          <w:color w:val="231F20"/>
          <w:sz w:val="12"/>
        </w:rPr>
        <w:t>15</w:t>
      </w:r>
      <w:r>
        <w:rPr>
          <w:rFonts w:ascii="Arial" w:hAnsi="Arial"/>
          <w:color w:val="231F20"/>
          <w:sz w:val="12"/>
        </w:rPr>
        <w:t>(5).</w:t>
      </w:r>
    </w:p>
    <w:p>
      <w:pPr>
        <w:spacing w:after="0" w:line="295" w:lineRule="auto"/>
        <w:jc w:val="both"/>
        <w:rPr>
          <w:rFonts w:ascii="Arial" w:hAnsi="Arial"/>
          <w:sz w:val="12"/>
        </w:rPr>
        <w:sectPr>
          <w:footerReference w:type="default" r:id="rId278"/>
          <w:pgSz w:w="8640" w:h="12960"/>
          <w:pgMar w:footer="424" w:header="0" w:top="500" w:bottom="620" w:left="420" w:right="1140"/>
        </w:sectPr>
      </w:pPr>
    </w:p>
    <w:p>
      <w:pPr>
        <w:spacing w:before="103"/>
        <w:ind w:left="1028" w:right="698" w:firstLine="0"/>
        <w:jc w:val="center"/>
        <w:rPr>
          <w:rFonts w:ascii="Arial" w:hAnsi="Arial"/>
          <w:sz w:val="14"/>
        </w:rPr>
      </w:pPr>
      <w:bookmarkStart w:name=" 4.9 / Post-scriptum" w:id="163"/>
      <w:bookmarkEnd w:id="163"/>
      <w:r>
        <w:rPr/>
      </w:r>
      <w:bookmarkStart w:name="_bookmark72" w:id="164"/>
      <w:bookmarkEnd w:id="16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5" w:firstLine="250"/>
        <w:jc w:val="both"/>
      </w:pPr>
      <w:r>
        <w:rPr>
          <w:color w:val="231F20"/>
          <w:w w:val="120"/>
        </w:rPr>
        <w:t>Nous</w:t>
      </w:r>
      <w:r>
        <w:rPr>
          <w:color w:val="231F20"/>
          <w:spacing w:val="-10"/>
          <w:w w:val="120"/>
        </w:rPr>
        <w:t> </w:t>
      </w:r>
      <w:r>
        <w:rPr>
          <w:color w:val="231F20"/>
          <w:w w:val="120"/>
        </w:rPr>
        <w:t>avons</w:t>
      </w:r>
      <w:r>
        <w:rPr>
          <w:color w:val="231F20"/>
          <w:spacing w:val="-10"/>
          <w:w w:val="120"/>
        </w:rPr>
        <w:t> </w:t>
      </w:r>
      <w:r>
        <w:rPr>
          <w:color w:val="231F20"/>
          <w:w w:val="120"/>
        </w:rPr>
        <w:t>un</w:t>
      </w:r>
      <w:r>
        <w:rPr>
          <w:color w:val="231F20"/>
          <w:spacing w:val="-10"/>
          <w:w w:val="120"/>
        </w:rPr>
        <w:t> </w:t>
      </w:r>
      <w:r>
        <w:rPr>
          <w:color w:val="231F20"/>
          <w:w w:val="120"/>
        </w:rPr>
        <w:t>urgent</w:t>
      </w:r>
      <w:r>
        <w:rPr>
          <w:color w:val="231F20"/>
          <w:spacing w:val="-10"/>
          <w:w w:val="120"/>
        </w:rPr>
        <w:t> </w:t>
      </w:r>
      <w:r>
        <w:rPr>
          <w:color w:val="231F20"/>
          <w:w w:val="120"/>
        </w:rPr>
        <w:t>besoin</w:t>
      </w:r>
      <w:r>
        <w:rPr>
          <w:color w:val="231F20"/>
          <w:spacing w:val="-10"/>
          <w:w w:val="120"/>
        </w:rPr>
        <w:t> </w:t>
      </w:r>
      <w:r>
        <w:rPr>
          <w:color w:val="231F20"/>
          <w:w w:val="120"/>
        </w:rPr>
        <w:t>de</w:t>
      </w:r>
      <w:r>
        <w:rPr>
          <w:color w:val="231F20"/>
          <w:spacing w:val="-10"/>
          <w:w w:val="120"/>
        </w:rPr>
        <w:t> </w:t>
      </w:r>
      <w:r>
        <w:rPr>
          <w:color w:val="231F20"/>
          <w:w w:val="120"/>
        </w:rPr>
        <w:t>chefs</w:t>
      </w:r>
      <w:r>
        <w:rPr>
          <w:color w:val="231F20"/>
          <w:spacing w:val="-10"/>
          <w:w w:val="120"/>
        </w:rPr>
        <w:t> </w:t>
      </w:r>
      <w:r>
        <w:rPr>
          <w:color w:val="231F20"/>
          <w:w w:val="120"/>
        </w:rPr>
        <w:t>d’entreprise,</w:t>
      </w:r>
      <w:r>
        <w:rPr>
          <w:color w:val="231F20"/>
          <w:spacing w:val="-10"/>
          <w:w w:val="120"/>
        </w:rPr>
        <w:t> </w:t>
      </w:r>
      <w:r>
        <w:rPr>
          <w:color w:val="231F20"/>
          <w:w w:val="120"/>
        </w:rPr>
        <w:t>de</w:t>
      </w:r>
      <w:r>
        <w:rPr>
          <w:color w:val="231F20"/>
          <w:spacing w:val="-10"/>
          <w:w w:val="120"/>
        </w:rPr>
        <w:t> </w:t>
      </w:r>
      <w:r>
        <w:rPr>
          <w:color w:val="231F20"/>
          <w:w w:val="120"/>
        </w:rPr>
        <w:t>dirigeants,</w:t>
      </w:r>
      <w:r>
        <w:rPr>
          <w:color w:val="231F20"/>
          <w:spacing w:val="-10"/>
          <w:w w:val="120"/>
        </w:rPr>
        <w:t> </w:t>
      </w:r>
      <w:r>
        <w:rPr>
          <w:color w:val="231F20"/>
          <w:w w:val="120"/>
        </w:rPr>
        <w:t>de gestionnaires</w:t>
      </w:r>
      <w:r>
        <w:rPr>
          <w:color w:val="231F20"/>
          <w:spacing w:val="-2"/>
          <w:w w:val="120"/>
        </w:rPr>
        <w:t> </w:t>
      </w:r>
      <w:r>
        <w:rPr>
          <w:color w:val="231F20"/>
          <w:w w:val="120"/>
        </w:rPr>
        <w:t>aptes</w:t>
      </w:r>
      <w:r>
        <w:rPr>
          <w:color w:val="231F20"/>
          <w:spacing w:val="-2"/>
          <w:w w:val="120"/>
        </w:rPr>
        <w:t> </w:t>
      </w:r>
      <w:r>
        <w:rPr>
          <w:color w:val="231F20"/>
          <w:w w:val="120"/>
        </w:rPr>
        <w:t>à</w:t>
      </w:r>
      <w:r>
        <w:rPr>
          <w:color w:val="231F20"/>
          <w:spacing w:val="-2"/>
          <w:w w:val="120"/>
        </w:rPr>
        <w:t> </w:t>
      </w:r>
      <w:r>
        <w:rPr>
          <w:color w:val="231F20"/>
          <w:w w:val="120"/>
        </w:rPr>
        <w:t>devenir</w:t>
      </w:r>
      <w:r>
        <w:rPr>
          <w:color w:val="231F20"/>
          <w:spacing w:val="-2"/>
          <w:w w:val="120"/>
        </w:rPr>
        <w:t> </w:t>
      </w:r>
      <w:r>
        <w:rPr>
          <w:color w:val="231F20"/>
          <w:w w:val="120"/>
        </w:rPr>
        <w:t>des</w:t>
      </w:r>
      <w:r>
        <w:rPr>
          <w:color w:val="231F20"/>
          <w:spacing w:val="-2"/>
          <w:w w:val="120"/>
        </w:rPr>
        <w:t> </w:t>
      </w:r>
      <w:r>
        <w:rPr>
          <w:color w:val="231F20"/>
          <w:w w:val="120"/>
        </w:rPr>
        <w:t>moteurs</w:t>
      </w:r>
      <w:r>
        <w:rPr>
          <w:color w:val="231F20"/>
          <w:spacing w:val="-2"/>
          <w:w w:val="120"/>
        </w:rPr>
        <w:t> </w:t>
      </w:r>
      <w:r>
        <w:rPr>
          <w:color w:val="231F20"/>
          <w:w w:val="120"/>
        </w:rPr>
        <w:t>d’émancipation</w:t>
      </w:r>
      <w:r>
        <w:rPr>
          <w:color w:val="231F20"/>
          <w:spacing w:val="-2"/>
          <w:w w:val="120"/>
        </w:rPr>
        <w:t> </w:t>
      </w:r>
      <w:r>
        <w:rPr>
          <w:color w:val="231F20"/>
          <w:w w:val="120"/>
        </w:rPr>
        <w:t>individuelle et</w:t>
      </w:r>
      <w:r>
        <w:rPr>
          <w:color w:val="231F20"/>
          <w:spacing w:val="-15"/>
          <w:w w:val="120"/>
        </w:rPr>
        <w:t> </w:t>
      </w:r>
      <w:r>
        <w:rPr>
          <w:color w:val="231F20"/>
          <w:w w:val="120"/>
        </w:rPr>
        <w:t>de</w:t>
      </w:r>
      <w:r>
        <w:rPr>
          <w:color w:val="231F20"/>
          <w:spacing w:val="-13"/>
          <w:w w:val="120"/>
        </w:rPr>
        <w:t> </w:t>
      </w:r>
      <w:r>
        <w:rPr>
          <w:color w:val="231F20"/>
          <w:w w:val="120"/>
        </w:rPr>
        <w:t>transformation</w:t>
      </w:r>
      <w:r>
        <w:rPr>
          <w:color w:val="231F20"/>
          <w:spacing w:val="-13"/>
          <w:w w:val="120"/>
        </w:rPr>
        <w:t> </w:t>
      </w:r>
      <w:r>
        <w:rPr>
          <w:color w:val="231F20"/>
          <w:w w:val="120"/>
        </w:rPr>
        <w:t>organisationnelle.</w:t>
      </w:r>
      <w:r>
        <w:rPr>
          <w:color w:val="231F20"/>
          <w:spacing w:val="-12"/>
          <w:w w:val="120"/>
        </w:rPr>
        <w:t> </w:t>
      </w:r>
      <w:r>
        <w:rPr>
          <w:color w:val="231F20"/>
          <w:w w:val="120"/>
        </w:rPr>
        <w:t>Nous</w:t>
      </w:r>
      <w:r>
        <w:rPr>
          <w:color w:val="231F20"/>
          <w:spacing w:val="-13"/>
          <w:w w:val="120"/>
        </w:rPr>
        <w:t> </w:t>
      </w:r>
      <w:r>
        <w:rPr>
          <w:color w:val="231F20"/>
          <w:w w:val="120"/>
        </w:rPr>
        <w:t>avons</w:t>
      </w:r>
      <w:r>
        <w:rPr>
          <w:color w:val="231F20"/>
          <w:spacing w:val="-13"/>
          <w:w w:val="120"/>
        </w:rPr>
        <w:t> </w:t>
      </w:r>
      <w:r>
        <w:rPr>
          <w:color w:val="231F20"/>
          <w:w w:val="120"/>
        </w:rPr>
        <w:t>besoin</w:t>
      </w:r>
      <w:r>
        <w:rPr>
          <w:color w:val="231F20"/>
          <w:spacing w:val="-13"/>
          <w:w w:val="120"/>
        </w:rPr>
        <w:t> </w:t>
      </w:r>
      <w:r>
        <w:rPr>
          <w:color w:val="231F20"/>
          <w:w w:val="120"/>
        </w:rPr>
        <w:t>de</w:t>
      </w:r>
      <w:r>
        <w:rPr>
          <w:color w:val="231F20"/>
          <w:spacing w:val="-12"/>
          <w:w w:val="120"/>
        </w:rPr>
        <w:t> </w:t>
      </w:r>
      <w:r>
        <w:rPr>
          <w:color w:val="231F20"/>
          <w:w w:val="120"/>
        </w:rPr>
        <w:t>décideurs visionnaires,</w:t>
      </w:r>
      <w:r>
        <w:rPr>
          <w:color w:val="231F20"/>
          <w:spacing w:val="-13"/>
          <w:w w:val="120"/>
        </w:rPr>
        <w:t> </w:t>
      </w:r>
      <w:r>
        <w:rPr>
          <w:color w:val="231F20"/>
          <w:w w:val="120"/>
        </w:rPr>
        <w:t>capables</w:t>
      </w:r>
      <w:r>
        <w:rPr>
          <w:color w:val="231F20"/>
          <w:spacing w:val="-13"/>
          <w:w w:val="120"/>
        </w:rPr>
        <w:t> </w:t>
      </w:r>
      <w:r>
        <w:rPr>
          <w:color w:val="231F20"/>
          <w:w w:val="120"/>
        </w:rPr>
        <w:t>de</w:t>
      </w:r>
      <w:r>
        <w:rPr>
          <w:color w:val="231F20"/>
          <w:spacing w:val="-13"/>
          <w:w w:val="120"/>
        </w:rPr>
        <w:t> </w:t>
      </w:r>
      <w:r>
        <w:rPr>
          <w:color w:val="231F20"/>
          <w:w w:val="120"/>
        </w:rPr>
        <w:t>sortir</w:t>
      </w:r>
      <w:r>
        <w:rPr>
          <w:color w:val="231F20"/>
          <w:spacing w:val="-12"/>
          <w:w w:val="120"/>
        </w:rPr>
        <w:t> </w:t>
      </w:r>
      <w:r>
        <w:rPr>
          <w:color w:val="231F20"/>
          <w:w w:val="120"/>
        </w:rPr>
        <w:t>du</w:t>
      </w:r>
      <w:r>
        <w:rPr>
          <w:color w:val="231F20"/>
          <w:spacing w:val="-13"/>
          <w:w w:val="120"/>
        </w:rPr>
        <w:t> </w:t>
      </w:r>
      <w:r>
        <w:rPr>
          <w:color w:val="231F20"/>
          <w:w w:val="120"/>
        </w:rPr>
        <w:t>carcan</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2"/>
          <w:w w:val="120"/>
        </w:rPr>
        <w:t> </w:t>
      </w:r>
      <w:r>
        <w:rPr>
          <w:color w:val="231F20"/>
          <w:w w:val="120"/>
        </w:rPr>
        <w:t>gestion</w:t>
      </w:r>
      <w:r>
        <w:rPr>
          <w:color w:val="231F20"/>
          <w:spacing w:val="-13"/>
          <w:w w:val="120"/>
        </w:rPr>
        <w:t> </w:t>
      </w:r>
      <w:r>
        <w:rPr>
          <w:color w:val="231F20"/>
          <w:w w:val="120"/>
        </w:rPr>
        <w:t>conventionnelle, afin</w:t>
      </w:r>
      <w:r>
        <w:rPr>
          <w:color w:val="231F20"/>
          <w:spacing w:val="-13"/>
          <w:w w:val="120"/>
        </w:rPr>
        <w:t> </w:t>
      </w:r>
      <w:r>
        <w:rPr>
          <w:color w:val="231F20"/>
          <w:w w:val="120"/>
        </w:rPr>
        <w:t>d’entrevoir</w:t>
      </w:r>
      <w:r>
        <w:rPr>
          <w:color w:val="231F20"/>
          <w:spacing w:val="-13"/>
          <w:w w:val="120"/>
        </w:rPr>
        <w:t> </w:t>
      </w:r>
      <w:r>
        <w:rPr>
          <w:color w:val="231F20"/>
          <w:w w:val="120"/>
        </w:rPr>
        <w:t>des</w:t>
      </w:r>
      <w:r>
        <w:rPr>
          <w:color w:val="231F20"/>
          <w:spacing w:val="-13"/>
          <w:w w:val="120"/>
        </w:rPr>
        <w:t> </w:t>
      </w:r>
      <w:r>
        <w:rPr>
          <w:color w:val="231F20"/>
          <w:w w:val="120"/>
        </w:rPr>
        <w:t>entreprises</w:t>
      </w:r>
      <w:r>
        <w:rPr>
          <w:color w:val="231F20"/>
          <w:spacing w:val="-12"/>
          <w:w w:val="120"/>
        </w:rPr>
        <w:t> </w:t>
      </w:r>
      <w:r>
        <w:rPr>
          <w:color w:val="231F20"/>
          <w:w w:val="120"/>
        </w:rPr>
        <w:t>permettant</w:t>
      </w:r>
      <w:r>
        <w:rPr>
          <w:color w:val="231F20"/>
          <w:spacing w:val="-13"/>
          <w:w w:val="120"/>
        </w:rPr>
        <w:t> </w:t>
      </w:r>
      <w:r>
        <w:rPr>
          <w:color w:val="231F20"/>
          <w:w w:val="120"/>
        </w:rPr>
        <w:t>à</w:t>
      </w:r>
      <w:r>
        <w:rPr>
          <w:color w:val="231F20"/>
          <w:spacing w:val="-13"/>
          <w:w w:val="120"/>
        </w:rPr>
        <w:t> </w:t>
      </w:r>
      <w:r>
        <w:rPr>
          <w:color w:val="231F20"/>
          <w:w w:val="120"/>
        </w:rPr>
        <w:t>tous</w:t>
      </w:r>
      <w:r>
        <w:rPr>
          <w:color w:val="231F20"/>
          <w:spacing w:val="-13"/>
          <w:w w:val="120"/>
        </w:rPr>
        <w:t> </w:t>
      </w:r>
      <w:r>
        <w:rPr>
          <w:color w:val="231F20"/>
          <w:w w:val="120"/>
        </w:rPr>
        <w:t>de</w:t>
      </w:r>
      <w:r>
        <w:rPr>
          <w:color w:val="231F20"/>
          <w:spacing w:val="-12"/>
          <w:w w:val="120"/>
        </w:rPr>
        <w:t> </w:t>
      </w:r>
      <w:r>
        <w:rPr>
          <w:color w:val="231F20"/>
          <w:w w:val="120"/>
        </w:rPr>
        <w:t>s’émanciper,</w:t>
      </w:r>
      <w:r>
        <w:rPr>
          <w:color w:val="231F20"/>
          <w:spacing w:val="-13"/>
          <w:w w:val="120"/>
        </w:rPr>
        <w:t> </w:t>
      </w:r>
      <w:r>
        <w:rPr>
          <w:color w:val="231F20"/>
          <w:w w:val="120"/>
        </w:rPr>
        <w:t>plutôt que</w:t>
      </w:r>
      <w:r>
        <w:rPr>
          <w:color w:val="231F20"/>
          <w:spacing w:val="-10"/>
          <w:w w:val="120"/>
        </w:rPr>
        <w:t> </w:t>
      </w:r>
      <w:r>
        <w:rPr>
          <w:color w:val="231F20"/>
          <w:w w:val="120"/>
        </w:rPr>
        <w:t>de</w:t>
      </w:r>
      <w:r>
        <w:rPr>
          <w:color w:val="231F20"/>
          <w:spacing w:val="-10"/>
          <w:w w:val="120"/>
        </w:rPr>
        <w:t> </w:t>
      </w:r>
      <w:r>
        <w:rPr>
          <w:color w:val="231F20"/>
          <w:w w:val="120"/>
        </w:rPr>
        <w:t>s’épuiser.</w:t>
      </w:r>
      <w:r>
        <w:rPr>
          <w:color w:val="231F20"/>
          <w:spacing w:val="-10"/>
          <w:w w:val="120"/>
        </w:rPr>
        <w:t> </w:t>
      </w:r>
      <w:r>
        <w:rPr>
          <w:color w:val="231F20"/>
          <w:w w:val="120"/>
        </w:rPr>
        <w:t>Ce</w:t>
      </w:r>
      <w:r>
        <w:rPr>
          <w:color w:val="231F20"/>
          <w:spacing w:val="-10"/>
          <w:w w:val="120"/>
        </w:rPr>
        <w:t> </w:t>
      </w:r>
      <w:r>
        <w:rPr>
          <w:color w:val="231F20"/>
          <w:w w:val="120"/>
        </w:rPr>
        <w:t>type</w:t>
      </w:r>
      <w:r>
        <w:rPr>
          <w:color w:val="231F20"/>
          <w:spacing w:val="-10"/>
          <w:w w:val="120"/>
        </w:rPr>
        <w:t> </w:t>
      </w:r>
      <w:r>
        <w:rPr>
          <w:color w:val="231F20"/>
          <w:w w:val="120"/>
        </w:rPr>
        <w:t>d’organisation</w:t>
      </w:r>
      <w:r>
        <w:rPr>
          <w:color w:val="231F20"/>
          <w:spacing w:val="-10"/>
          <w:w w:val="120"/>
        </w:rPr>
        <w:t> </w:t>
      </w:r>
      <w:r>
        <w:rPr>
          <w:color w:val="231F20"/>
          <w:w w:val="120"/>
        </w:rPr>
        <w:t>peut</w:t>
      </w:r>
      <w:r>
        <w:rPr>
          <w:color w:val="231F20"/>
          <w:spacing w:val="-10"/>
          <w:w w:val="120"/>
        </w:rPr>
        <w:t> </w:t>
      </w:r>
      <w:r>
        <w:rPr>
          <w:color w:val="231F20"/>
          <w:w w:val="120"/>
        </w:rPr>
        <w:t>exister,</w:t>
      </w:r>
      <w:r>
        <w:rPr>
          <w:color w:val="231F20"/>
          <w:spacing w:val="-10"/>
          <w:w w:val="120"/>
        </w:rPr>
        <w:t> </w:t>
      </w:r>
      <w:r>
        <w:rPr>
          <w:color w:val="231F20"/>
          <w:w w:val="120"/>
        </w:rPr>
        <w:t>il</w:t>
      </w:r>
      <w:r>
        <w:rPr>
          <w:color w:val="231F20"/>
          <w:spacing w:val="-10"/>
          <w:w w:val="120"/>
        </w:rPr>
        <w:t> </w:t>
      </w:r>
      <w:r>
        <w:rPr>
          <w:color w:val="231F20"/>
          <w:w w:val="120"/>
        </w:rPr>
        <w:t>suffit</w:t>
      </w:r>
      <w:r>
        <w:rPr>
          <w:color w:val="231F20"/>
          <w:spacing w:val="-10"/>
          <w:w w:val="120"/>
        </w:rPr>
        <w:t> </w:t>
      </w:r>
      <w:r>
        <w:rPr>
          <w:color w:val="231F20"/>
          <w:w w:val="120"/>
        </w:rPr>
        <w:t>d’avoir</w:t>
      </w:r>
      <w:r>
        <w:rPr>
          <w:color w:val="231F20"/>
          <w:spacing w:val="-10"/>
          <w:w w:val="120"/>
        </w:rPr>
        <w:t> </w:t>
      </w:r>
      <w:r>
        <w:rPr>
          <w:color w:val="231F20"/>
          <w:w w:val="120"/>
        </w:rPr>
        <w:t>le courage de les inventer et de les promouvoir.</w:t>
      </w:r>
    </w:p>
    <w:p>
      <w:pPr>
        <w:pStyle w:val="BodyText"/>
        <w:rPr>
          <w:sz w:val="24"/>
        </w:rPr>
      </w:pPr>
    </w:p>
    <w:p>
      <w:pPr>
        <w:pStyle w:val="Heading2"/>
        <w:numPr>
          <w:ilvl w:val="1"/>
          <w:numId w:val="62"/>
        </w:numPr>
        <w:tabs>
          <w:tab w:pos="521" w:val="left" w:leader="none"/>
          <w:tab w:pos="829" w:val="left" w:leader="none"/>
        </w:tabs>
        <w:spacing w:line="240" w:lineRule="auto" w:before="184" w:after="0"/>
        <w:ind w:left="520" w:right="0" w:hanging="328"/>
        <w:jc w:val="left"/>
      </w:pPr>
      <w:r>
        <w:rPr>
          <w:b w:val="0"/>
          <w:i/>
          <w:color w:val="231F20"/>
          <w:spacing w:val="-10"/>
        </w:rPr>
        <w:t>/</w:t>
      </w:r>
      <w:r>
        <w:rPr>
          <w:b w:val="0"/>
          <w:i/>
          <w:color w:val="231F20"/>
        </w:rPr>
        <w:tab/>
      </w:r>
      <w:r>
        <w:rPr>
          <w:color w:val="231F20"/>
          <w:spacing w:val="-2"/>
          <w:w w:val="95"/>
        </w:rPr>
        <w:t>Post-</w:t>
      </w:r>
      <w:r>
        <w:rPr>
          <w:color w:val="231F20"/>
          <w:spacing w:val="-2"/>
        </w:rPr>
        <w:t>scriptum</w:t>
      </w:r>
    </w:p>
    <w:p>
      <w:pPr>
        <w:pStyle w:val="BodyText"/>
        <w:spacing w:before="9"/>
        <w:rPr>
          <w:rFonts w:ascii="Arial"/>
          <w:b/>
          <w:sz w:val="25"/>
        </w:rPr>
      </w:pPr>
    </w:p>
    <w:p>
      <w:pPr>
        <w:pStyle w:val="BodyText"/>
        <w:spacing w:line="307" w:lineRule="auto" w:before="1"/>
        <w:ind w:left="830" w:right="494"/>
        <w:jc w:val="both"/>
      </w:pPr>
      <w:r>
        <w:rPr>
          <w:color w:val="231F20"/>
          <w:w w:val="115"/>
        </w:rPr>
        <w:t>Le stress psychologique est la réponse biochimique à la perception d’une quelconque menace. Ainsi, les perceptions et les cognitions de l’individu </w:t>
      </w:r>
      <w:r>
        <w:rPr>
          <w:color w:val="231F20"/>
          <w:w w:val="120"/>
        </w:rPr>
        <w:t>sont très impliquées dans l’interprétation de l’environnement et dans</w:t>
      </w:r>
      <w:r>
        <w:rPr>
          <w:color w:val="231F20"/>
          <w:spacing w:val="40"/>
          <w:w w:val="120"/>
        </w:rPr>
        <w:t> </w:t>
      </w:r>
      <w:r>
        <w:rPr>
          <w:color w:val="231F20"/>
          <w:w w:val="120"/>
        </w:rPr>
        <w:t>la détermination d’un besoin de s’adapter. Si nous considérons qu’un </w:t>
      </w:r>
      <w:r>
        <w:rPr>
          <w:color w:val="231F20"/>
          <w:w w:val="125"/>
        </w:rPr>
        <w:t>événement de la vie ou du travail est menaçant, cette réponse bio- </w:t>
      </w:r>
      <w:r>
        <w:rPr>
          <w:color w:val="231F20"/>
          <w:w w:val="120"/>
        </w:rPr>
        <w:t>chimique interne se déclenche automatiquement. L’estime de soi est </w:t>
      </w:r>
      <w:r>
        <w:rPr>
          <w:color w:val="231F20"/>
          <w:w w:val="125"/>
        </w:rPr>
        <w:t>un</w:t>
      </w:r>
      <w:r>
        <w:rPr>
          <w:color w:val="231F20"/>
          <w:spacing w:val="-5"/>
          <w:w w:val="125"/>
        </w:rPr>
        <w:t> </w:t>
      </w:r>
      <w:r>
        <w:rPr>
          <w:color w:val="231F20"/>
          <w:w w:val="125"/>
        </w:rPr>
        <w:t>facteur</w:t>
      </w:r>
      <w:r>
        <w:rPr>
          <w:color w:val="231F20"/>
          <w:spacing w:val="-5"/>
          <w:w w:val="125"/>
        </w:rPr>
        <w:t> </w:t>
      </w:r>
      <w:r>
        <w:rPr>
          <w:color w:val="231F20"/>
          <w:w w:val="125"/>
        </w:rPr>
        <w:t>de</w:t>
      </w:r>
      <w:r>
        <w:rPr>
          <w:color w:val="231F20"/>
          <w:spacing w:val="-5"/>
          <w:w w:val="125"/>
        </w:rPr>
        <w:t> </w:t>
      </w:r>
      <w:r>
        <w:rPr>
          <w:color w:val="231F20"/>
          <w:w w:val="125"/>
        </w:rPr>
        <w:t>l’équation</w:t>
      </w:r>
      <w:r>
        <w:rPr>
          <w:color w:val="231F20"/>
          <w:spacing w:val="-5"/>
          <w:w w:val="125"/>
        </w:rPr>
        <w:t> </w:t>
      </w:r>
      <w:r>
        <w:rPr>
          <w:color w:val="231F20"/>
          <w:w w:val="125"/>
        </w:rPr>
        <w:t>de</w:t>
      </w:r>
      <w:r>
        <w:rPr>
          <w:color w:val="231F20"/>
          <w:spacing w:val="-5"/>
          <w:w w:val="125"/>
        </w:rPr>
        <w:t> </w:t>
      </w:r>
      <w:r>
        <w:rPr>
          <w:color w:val="231F20"/>
          <w:w w:val="125"/>
        </w:rPr>
        <w:t>la</w:t>
      </w:r>
      <w:r>
        <w:rPr>
          <w:color w:val="231F20"/>
          <w:spacing w:val="-5"/>
          <w:w w:val="125"/>
        </w:rPr>
        <w:t> </w:t>
      </w:r>
      <w:r>
        <w:rPr>
          <w:color w:val="231F20"/>
          <w:w w:val="125"/>
        </w:rPr>
        <w:t>perception</w:t>
      </w:r>
      <w:r>
        <w:rPr>
          <w:color w:val="231F20"/>
          <w:spacing w:val="-5"/>
          <w:w w:val="125"/>
        </w:rPr>
        <w:t> </w:t>
      </w:r>
      <w:r>
        <w:rPr>
          <w:color w:val="231F20"/>
          <w:w w:val="125"/>
        </w:rPr>
        <w:t>de</w:t>
      </w:r>
      <w:r>
        <w:rPr>
          <w:color w:val="231F20"/>
          <w:spacing w:val="-5"/>
          <w:w w:val="125"/>
        </w:rPr>
        <w:t> </w:t>
      </w:r>
      <w:r>
        <w:rPr>
          <w:color w:val="231F20"/>
          <w:w w:val="125"/>
        </w:rPr>
        <w:t>notre</w:t>
      </w:r>
      <w:r>
        <w:rPr>
          <w:color w:val="231F20"/>
          <w:spacing w:val="-5"/>
          <w:w w:val="125"/>
        </w:rPr>
        <w:t> </w:t>
      </w:r>
      <w:r>
        <w:rPr>
          <w:color w:val="231F20"/>
          <w:w w:val="125"/>
        </w:rPr>
        <w:t>environnement,</w:t>
      </w:r>
      <w:r>
        <w:rPr>
          <w:color w:val="231F20"/>
          <w:spacing w:val="-5"/>
          <w:w w:val="125"/>
        </w:rPr>
        <w:t> </w:t>
      </w:r>
      <w:r>
        <w:rPr>
          <w:color w:val="231F20"/>
          <w:w w:val="125"/>
        </w:rPr>
        <w:t>et donc un inhibiteur ou un facilitateur de stress48. La personne qui a </w:t>
      </w:r>
      <w:r>
        <w:rPr>
          <w:color w:val="231F20"/>
          <w:w w:val="115"/>
        </w:rPr>
        <w:t>une</w:t>
      </w:r>
      <w:r>
        <w:rPr>
          <w:color w:val="231F20"/>
          <w:spacing w:val="-6"/>
          <w:w w:val="115"/>
        </w:rPr>
        <w:t> </w:t>
      </w:r>
      <w:r>
        <w:rPr>
          <w:color w:val="231F20"/>
          <w:w w:val="115"/>
        </w:rPr>
        <w:t>estime</w:t>
      </w:r>
      <w:r>
        <w:rPr>
          <w:color w:val="231F20"/>
          <w:spacing w:val="-6"/>
          <w:w w:val="115"/>
        </w:rPr>
        <w:t> </w:t>
      </w:r>
      <w:r>
        <w:rPr>
          <w:color w:val="231F20"/>
          <w:w w:val="115"/>
        </w:rPr>
        <w:t>de</w:t>
      </w:r>
      <w:r>
        <w:rPr>
          <w:color w:val="231F20"/>
          <w:spacing w:val="-6"/>
          <w:w w:val="115"/>
        </w:rPr>
        <w:t> </w:t>
      </w:r>
      <w:r>
        <w:rPr>
          <w:color w:val="231F20"/>
          <w:w w:val="115"/>
        </w:rPr>
        <w:t>soi</w:t>
      </w:r>
      <w:r>
        <w:rPr>
          <w:color w:val="231F20"/>
          <w:spacing w:val="-6"/>
          <w:w w:val="115"/>
        </w:rPr>
        <w:t> </w:t>
      </w:r>
      <w:r>
        <w:rPr>
          <w:color w:val="231F20"/>
          <w:w w:val="115"/>
        </w:rPr>
        <w:t>fragile</w:t>
      </w:r>
      <w:r>
        <w:rPr>
          <w:color w:val="231F20"/>
          <w:spacing w:val="-6"/>
          <w:w w:val="115"/>
        </w:rPr>
        <w:t> </w:t>
      </w:r>
      <w:r>
        <w:rPr>
          <w:color w:val="231F20"/>
          <w:w w:val="115"/>
        </w:rPr>
        <w:t>est</w:t>
      </w:r>
      <w:r>
        <w:rPr>
          <w:color w:val="231F20"/>
          <w:spacing w:val="-6"/>
          <w:w w:val="115"/>
        </w:rPr>
        <w:t> </w:t>
      </w:r>
      <w:r>
        <w:rPr>
          <w:color w:val="231F20"/>
          <w:w w:val="115"/>
        </w:rPr>
        <w:t>plus</w:t>
      </w:r>
      <w:r>
        <w:rPr>
          <w:color w:val="231F20"/>
          <w:spacing w:val="-6"/>
          <w:w w:val="115"/>
        </w:rPr>
        <w:t> </w:t>
      </w:r>
      <w:r>
        <w:rPr>
          <w:color w:val="231F20"/>
          <w:w w:val="115"/>
        </w:rPr>
        <w:t>susceptible</w:t>
      </w:r>
      <w:r>
        <w:rPr>
          <w:color w:val="231F20"/>
          <w:spacing w:val="-6"/>
          <w:w w:val="115"/>
        </w:rPr>
        <w:t> </w:t>
      </w:r>
      <w:r>
        <w:rPr>
          <w:color w:val="231F20"/>
          <w:w w:val="115"/>
        </w:rPr>
        <w:t>que</w:t>
      </w:r>
      <w:r>
        <w:rPr>
          <w:color w:val="231F20"/>
          <w:spacing w:val="-6"/>
          <w:w w:val="115"/>
        </w:rPr>
        <w:t> </w:t>
      </w:r>
      <w:r>
        <w:rPr>
          <w:color w:val="231F20"/>
          <w:w w:val="115"/>
        </w:rPr>
        <w:t>la</w:t>
      </w:r>
      <w:r>
        <w:rPr>
          <w:color w:val="231F20"/>
          <w:spacing w:val="-6"/>
          <w:w w:val="115"/>
        </w:rPr>
        <w:t> </w:t>
      </w:r>
      <w:r>
        <w:rPr>
          <w:color w:val="231F20"/>
          <w:w w:val="115"/>
        </w:rPr>
        <w:t>moyenne</w:t>
      </w:r>
      <w:r>
        <w:rPr>
          <w:color w:val="231F20"/>
          <w:spacing w:val="-6"/>
          <w:w w:val="115"/>
        </w:rPr>
        <w:t> </w:t>
      </w:r>
      <w:r>
        <w:rPr>
          <w:color w:val="231F20"/>
          <w:w w:val="115"/>
        </w:rPr>
        <w:t>de</w:t>
      </w:r>
      <w:r>
        <w:rPr>
          <w:color w:val="231F20"/>
          <w:spacing w:val="-6"/>
          <w:w w:val="115"/>
        </w:rPr>
        <w:t> </w:t>
      </w:r>
      <w:r>
        <w:rPr>
          <w:color w:val="231F20"/>
          <w:w w:val="115"/>
        </w:rPr>
        <w:t>percevoir </w:t>
      </w:r>
      <w:r>
        <w:rPr>
          <w:color w:val="231F20"/>
          <w:w w:val="120"/>
        </w:rPr>
        <w:t>les</w:t>
      </w:r>
      <w:r>
        <w:rPr>
          <w:color w:val="231F20"/>
          <w:spacing w:val="-1"/>
          <w:w w:val="120"/>
        </w:rPr>
        <w:t> </w:t>
      </w:r>
      <w:r>
        <w:rPr>
          <w:color w:val="231F20"/>
          <w:w w:val="120"/>
        </w:rPr>
        <w:t>événements de</w:t>
      </w:r>
      <w:r>
        <w:rPr>
          <w:color w:val="231F20"/>
          <w:spacing w:val="-1"/>
          <w:w w:val="120"/>
        </w:rPr>
        <w:t> </w:t>
      </w:r>
      <w:r>
        <w:rPr>
          <w:color w:val="231F20"/>
          <w:w w:val="120"/>
        </w:rPr>
        <w:t>sa vie comme</w:t>
      </w:r>
      <w:r>
        <w:rPr>
          <w:color w:val="231F20"/>
          <w:spacing w:val="-1"/>
          <w:w w:val="120"/>
        </w:rPr>
        <w:t> </w:t>
      </w:r>
      <w:r>
        <w:rPr>
          <w:color w:val="231F20"/>
          <w:w w:val="120"/>
        </w:rPr>
        <w:t>des sources</w:t>
      </w:r>
      <w:r>
        <w:rPr>
          <w:color w:val="231F20"/>
          <w:spacing w:val="-1"/>
          <w:w w:val="120"/>
        </w:rPr>
        <w:t> </w:t>
      </w:r>
      <w:r>
        <w:rPr>
          <w:color w:val="231F20"/>
          <w:w w:val="120"/>
        </w:rPr>
        <w:t>de stress. Pour</w:t>
      </w:r>
      <w:r>
        <w:rPr>
          <w:color w:val="231F20"/>
          <w:spacing w:val="-1"/>
          <w:w w:val="120"/>
        </w:rPr>
        <w:t> </w:t>
      </w:r>
      <w:r>
        <w:rPr>
          <w:color w:val="231F20"/>
          <w:w w:val="120"/>
        </w:rPr>
        <w:t>réduire </w:t>
      </w:r>
      <w:r>
        <w:rPr>
          <w:color w:val="231F20"/>
          <w:spacing w:val="-5"/>
          <w:w w:val="120"/>
        </w:rPr>
        <w:t>le</w:t>
      </w:r>
    </w:p>
    <w:p>
      <w:pPr>
        <w:pStyle w:val="BodyText"/>
        <w:spacing w:line="173" w:lineRule="exact"/>
        <w:ind w:left="2830"/>
        <w:jc w:val="both"/>
      </w:pPr>
      <w:r>
        <w:rPr>
          <w:color w:val="231F20"/>
          <w:w w:val="120"/>
        </w:rPr>
        <w:t>stress,</w:t>
      </w:r>
      <w:r>
        <w:rPr>
          <w:color w:val="231F20"/>
          <w:spacing w:val="24"/>
          <w:w w:val="120"/>
        </w:rPr>
        <w:t> </w:t>
      </w:r>
      <w:r>
        <w:rPr>
          <w:color w:val="231F20"/>
          <w:w w:val="120"/>
        </w:rPr>
        <w:t>nous</w:t>
      </w:r>
      <w:r>
        <w:rPr>
          <w:color w:val="231F20"/>
          <w:spacing w:val="24"/>
          <w:w w:val="120"/>
        </w:rPr>
        <w:t> </w:t>
      </w:r>
      <w:r>
        <w:rPr>
          <w:color w:val="231F20"/>
          <w:w w:val="120"/>
        </w:rPr>
        <w:t>devons</w:t>
      </w:r>
      <w:r>
        <w:rPr>
          <w:color w:val="231F20"/>
          <w:spacing w:val="24"/>
          <w:w w:val="120"/>
        </w:rPr>
        <w:t> </w:t>
      </w:r>
      <w:r>
        <w:rPr>
          <w:color w:val="231F20"/>
          <w:w w:val="120"/>
        </w:rPr>
        <w:t>donc</w:t>
      </w:r>
      <w:r>
        <w:rPr>
          <w:color w:val="231F20"/>
          <w:spacing w:val="25"/>
          <w:w w:val="120"/>
        </w:rPr>
        <w:t> </w:t>
      </w:r>
      <w:r>
        <w:rPr>
          <w:color w:val="231F20"/>
          <w:w w:val="120"/>
        </w:rPr>
        <w:t>(en</w:t>
      </w:r>
      <w:r>
        <w:rPr>
          <w:color w:val="231F20"/>
          <w:spacing w:val="24"/>
          <w:w w:val="120"/>
        </w:rPr>
        <w:t> </w:t>
      </w:r>
      <w:r>
        <w:rPr>
          <w:color w:val="231F20"/>
          <w:w w:val="120"/>
        </w:rPr>
        <w:t>partie)</w:t>
      </w:r>
      <w:r>
        <w:rPr>
          <w:color w:val="231F20"/>
          <w:spacing w:val="24"/>
          <w:w w:val="120"/>
        </w:rPr>
        <w:t> </w:t>
      </w:r>
      <w:r>
        <w:rPr>
          <w:color w:val="231F20"/>
          <w:spacing w:val="-2"/>
          <w:w w:val="120"/>
        </w:rPr>
        <w:t>tonifier</w:t>
      </w:r>
    </w:p>
    <w:p>
      <w:pPr>
        <w:spacing w:after="0" w:line="173" w:lineRule="exact"/>
        <w:jc w:val="both"/>
        <w:sectPr>
          <w:footerReference w:type="default" r:id="rId279"/>
          <w:pgSz w:w="8640" w:h="12960"/>
          <w:pgMar w:footer="424" w:header="0" w:top="520" w:bottom="620" w:left="420" w:right="1140"/>
        </w:sectPr>
      </w:pPr>
    </w:p>
    <w:p>
      <w:pPr>
        <w:spacing w:line="268" w:lineRule="auto" w:before="32"/>
        <w:ind w:left="1161" w:right="0" w:hanging="58"/>
        <w:jc w:val="both"/>
        <w:rPr>
          <w:rFonts w:ascii="Arial" w:hAnsi="Arial"/>
          <w:sz w:val="14"/>
        </w:rPr>
      </w:pPr>
      <w:r>
        <w:rPr>
          <w:rFonts w:ascii="Arial" w:hAnsi="Arial"/>
          <w:color w:val="231F20"/>
          <w:spacing w:val="-2"/>
          <w:sz w:val="14"/>
        </w:rPr>
        <w:t>Le</w:t>
      </w:r>
      <w:r>
        <w:rPr>
          <w:rFonts w:ascii="Arial" w:hAnsi="Arial"/>
          <w:color w:val="231F20"/>
          <w:spacing w:val="-8"/>
          <w:sz w:val="14"/>
        </w:rPr>
        <w:t> </w:t>
      </w:r>
      <w:r>
        <w:rPr>
          <w:rFonts w:ascii="Arial" w:hAnsi="Arial"/>
          <w:color w:val="231F20"/>
          <w:spacing w:val="-2"/>
          <w:sz w:val="14"/>
        </w:rPr>
        <w:t>stress</w:t>
      </w:r>
      <w:r>
        <w:rPr>
          <w:rFonts w:ascii="Arial" w:hAnsi="Arial"/>
          <w:color w:val="231F20"/>
          <w:spacing w:val="-8"/>
          <w:sz w:val="14"/>
        </w:rPr>
        <w:t> </w:t>
      </w:r>
      <w:r>
        <w:rPr>
          <w:rFonts w:ascii="Arial" w:hAnsi="Arial"/>
          <w:color w:val="231F20"/>
          <w:spacing w:val="-2"/>
          <w:sz w:val="14"/>
        </w:rPr>
        <w:t>combiné</w:t>
      </w:r>
      <w:r>
        <w:rPr>
          <w:rFonts w:ascii="Arial" w:hAnsi="Arial"/>
          <w:color w:val="231F20"/>
          <w:spacing w:val="-8"/>
          <w:sz w:val="14"/>
        </w:rPr>
        <w:t> </w:t>
      </w:r>
      <w:r>
        <w:rPr>
          <w:rFonts w:ascii="Arial" w:hAnsi="Arial"/>
          <w:color w:val="231F20"/>
          <w:spacing w:val="-2"/>
          <w:sz w:val="14"/>
        </w:rPr>
        <w:t>à</w:t>
      </w:r>
      <w:r>
        <w:rPr>
          <w:rFonts w:ascii="Arial" w:hAnsi="Arial"/>
          <w:color w:val="231F20"/>
          <w:spacing w:val="-7"/>
          <w:sz w:val="14"/>
        </w:rPr>
        <w:t> </w:t>
      </w:r>
      <w:r>
        <w:rPr>
          <w:rFonts w:ascii="Arial" w:hAnsi="Arial"/>
          <w:color w:val="231F20"/>
          <w:spacing w:val="-2"/>
          <w:sz w:val="14"/>
        </w:rPr>
        <w:t>une</w:t>
      </w:r>
      <w:r>
        <w:rPr>
          <w:rFonts w:ascii="Arial" w:hAnsi="Arial"/>
          <w:color w:val="231F20"/>
          <w:spacing w:val="40"/>
          <w:sz w:val="14"/>
        </w:rPr>
        <w:t> </w:t>
      </w:r>
      <w:r>
        <w:rPr>
          <w:rFonts w:ascii="Arial" w:hAnsi="Arial"/>
          <w:color w:val="231F20"/>
          <w:sz w:val="14"/>
        </w:rPr>
        <w:t>faible</w:t>
      </w:r>
      <w:r>
        <w:rPr>
          <w:rFonts w:ascii="Arial" w:hAnsi="Arial"/>
          <w:color w:val="231F20"/>
          <w:spacing w:val="-9"/>
          <w:sz w:val="14"/>
        </w:rPr>
        <w:t> </w:t>
      </w:r>
      <w:r>
        <w:rPr>
          <w:rFonts w:ascii="Arial" w:hAnsi="Arial"/>
          <w:color w:val="231F20"/>
          <w:sz w:val="14"/>
        </w:rPr>
        <w:t>estime</w:t>
      </w:r>
      <w:r>
        <w:rPr>
          <w:rFonts w:ascii="Arial" w:hAnsi="Arial"/>
          <w:color w:val="231F20"/>
          <w:spacing w:val="-9"/>
          <w:sz w:val="14"/>
        </w:rPr>
        <w:t> </w:t>
      </w:r>
      <w:r>
        <w:rPr>
          <w:rFonts w:ascii="Arial" w:hAnsi="Arial"/>
          <w:color w:val="231F20"/>
          <w:sz w:val="14"/>
        </w:rPr>
        <w:t>de</w:t>
      </w:r>
      <w:r>
        <w:rPr>
          <w:rFonts w:ascii="Arial" w:hAnsi="Arial"/>
          <w:color w:val="231F20"/>
          <w:spacing w:val="-9"/>
          <w:sz w:val="14"/>
        </w:rPr>
        <w:t> </w:t>
      </w:r>
      <w:r>
        <w:rPr>
          <w:rFonts w:ascii="Arial" w:hAnsi="Arial"/>
          <w:color w:val="231F20"/>
          <w:sz w:val="14"/>
        </w:rPr>
        <w:t>soi</w:t>
      </w:r>
      <w:r>
        <w:rPr>
          <w:rFonts w:ascii="Arial" w:hAnsi="Arial"/>
          <w:color w:val="231F20"/>
          <w:spacing w:val="-9"/>
          <w:sz w:val="14"/>
        </w:rPr>
        <w:t> </w:t>
      </w:r>
      <w:r>
        <w:rPr>
          <w:rFonts w:ascii="Arial" w:hAnsi="Arial"/>
          <w:color w:val="231F20"/>
          <w:sz w:val="14"/>
        </w:rPr>
        <w:t>est</w:t>
      </w:r>
      <w:r>
        <w:rPr>
          <w:rFonts w:ascii="Arial" w:hAnsi="Arial"/>
          <w:color w:val="231F20"/>
          <w:spacing w:val="40"/>
          <w:sz w:val="14"/>
        </w:rPr>
        <w:t> </w:t>
      </w:r>
      <w:r>
        <w:rPr>
          <w:rFonts w:ascii="Arial" w:hAnsi="Arial"/>
          <w:color w:val="231F20"/>
          <w:sz w:val="14"/>
        </w:rPr>
        <w:t>un dangereux cocktail</w:t>
      </w:r>
    </w:p>
    <w:p>
      <w:pPr>
        <w:spacing w:line="160" w:lineRule="exact" w:before="0"/>
        <w:ind w:left="1644" w:right="0" w:firstLine="0"/>
        <w:jc w:val="left"/>
        <w:rPr>
          <w:rFonts w:ascii="Arial"/>
          <w:sz w:val="14"/>
        </w:rPr>
      </w:pPr>
      <w:r>
        <w:rPr>
          <w:rFonts w:ascii="Arial"/>
          <w:color w:val="231F20"/>
          <w:spacing w:val="-2"/>
          <w:sz w:val="14"/>
        </w:rPr>
        <w:t>psychologique.</w:t>
      </w:r>
    </w:p>
    <w:p>
      <w:pPr>
        <w:pStyle w:val="BodyText"/>
        <w:spacing w:line="307" w:lineRule="auto" w:before="75"/>
        <w:ind w:left="200" w:right="326"/>
      </w:pPr>
      <w:r>
        <w:rPr/>
        <w:br w:type="column"/>
      </w:r>
      <w:r>
        <w:rPr>
          <w:color w:val="231F20"/>
          <w:w w:val="120"/>
        </w:rPr>
        <w:t>notre estime de soi afin de façonner la teneur des pensées qu’elle alimente.</w:t>
      </w:r>
    </w:p>
    <w:p>
      <w:pPr>
        <w:pStyle w:val="BodyText"/>
        <w:spacing w:line="307" w:lineRule="auto" w:before="75"/>
        <w:ind w:left="200" w:right="326" w:firstLine="250"/>
      </w:pPr>
      <w:r>
        <w:rPr>
          <w:color w:val="231F20"/>
          <w:w w:val="120"/>
        </w:rPr>
        <w:t>Des études ont permis de constater qu’en accroissant</w:t>
      </w:r>
      <w:r>
        <w:rPr>
          <w:color w:val="231F20"/>
          <w:spacing w:val="-7"/>
          <w:w w:val="120"/>
        </w:rPr>
        <w:t> </w:t>
      </w:r>
      <w:r>
        <w:rPr>
          <w:color w:val="231F20"/>
          <w:w w:val="120"/>
        </w:rPr>
        <w:t>l’estime</w:t>
      </w:r>
      <w:r>
        <w:rPr>
          <w:color w:val="231F20"/>
          <w:spacing w:val="-6"/>
          <w:w w:val="120"/>
        </w:rPr>
        <w:t> </w:t>
      </w:r>
      <w:r>
        <w:rPr>
          <w:color w:val="231F20"/>
          <w:w w:val="120"/>
        </w:rPr>
        <w:t>de</w:t>
      </w:r>
      <w:r>
        <w:rPr>
          <w:color w:val="231F20"/>
          <w:spacing w:val="-6"/>
          <w:w w:val="120"/>
        </w:rPr>
        <w:t> </w:t>
      </w:r>
      <w:r>
        <w:rPr>
          <w:color w:val="231F20"/>
          <w:w w:val="120"/>
        </w:rPr>
        <w:t>soi</w:t>
      </w:r>
      <w:r>
        <w:rPr>
          <w:color w:val="231F20"/>
          <w:spacing w:val="-6"/>
          <w:w w:val="120"/>
        </w:rPr>
        <w:t> </w:t>
      </w:r>
      <w:r>
        <w:rPr>
          <w:color w:val="231F20"/>
          <w:w w:val="120"/>
        </w:rPr>
        <w:t>d’une</w:t>
      </w:r>
      <w:r>
        <w:rPr>
          <w:color w:val="231F20"/>
          <w:spacing w:val="-6"/>
          <w:w w:val="120"/>
        </w:rPr>
        <w:t> </w:t>
      </w:r>
      <w:r>
        <w:rPr>
          <w:color w:val="231F20"/>
          <w:w w:val="120"/>
        </w:rPr>
        <w:t>personne,</w:t>
      </w:r>
      <w:r>
        <w:rPr>
          <w:color w:val="231F20"/>
          <w:spacing w:val="-6"/>
          <w:w w:val="120"/>
        </w:rPr>
        <w:t> </w:t>
      </w:r>
      <w:r>
        <w:rPr>
          <w:color w:val="231F20"/>
          <w:spacing w:val="-5"/>
          <w:w w:val="120"/>
        </w:rPr>
        <w:t>on</w:t>
      </w:r>
    </w:p>
    <w:p>
      <w:pPr>
        <w:spacing w:after="0" w:line="307" w:lineRule="auto"/>
        <w:sectPr>
          <w:type w:val="continuous"/>
          <w:pgSz w:w="8640" w:h="12960"/>
          <w:pgMar w:header="0" w:footer="424" w:top="1220" w:bottom="280" w:left="420" w:right="1140"/>
          <w:cols w:num="2" w:equalWidth="0">
            <w:col w:w="2591" w:space="40"/>
            <w:col w:w="4449"/>
          </w:cols>
        </w:sectPr>
      </w:pPr>
    </w:p>
    <w:p>
      <w:pPr>
        <w:pStyle w:val="BodyText"/>
        <w:spacing w:line="307" w:lineRule="auto" w:before="5"/>
        <w:ind w:left="830" w:right="491"/>
        <w:jc w:val="both"/>
      </w:pPr>
      <w:r>
        <w:rPr>
          <w:color w:val="231F20"/>
          <w:spacing w:val="-2"/>
          <w:w w:val="120"/>
        </w:rPr>
        <w:t>réduit</w:t>
      </w:r>
      <w:r>
        <w:rPr>
          <w:color w:val="231F20"/>
          <w:spacing w:val="-6"/>
          <w:w w:val="120"/>
        </w:rPr>
        <w:t> </w:t>
      </w:r>
      <w:r>
        <w:rPr>
          <w:color w:val="231F20"/>
          <w:spacing w:val="-2"/>
          <w:w w:val="120"/>
        </w:rPr>
        <w:t>la</w:t>
      </w:r>
      <w:r>
        <w:rPr>
          <w:color w:val="231F20"/>
          <w:spacing w:val="-6"/>
          <w:w w:val="120"/>
        </w:rPr>
        <w:t> </w:t>
      </w:r>
      <w:r>
        <w:rPr>
          <w:color w:val="231F20"/>
          <w:spacing w:val="-2"/>
          <w:w w:val="120"/>
        </w:rPr>
        <w:t>quantité</w:t>
      </w:r>
      <w:r>
        <w:rPr>
          <w:color w:val="231F20"/>
          <w:spacing w:val="-6"/>
          <w:w w:val="120"/>
        </w:rPr>
        <w:t> </w:t>
      </w:r>
      <w:r>
        <w:rPr>
          <w:color w:val="231F20"/>
          <w:spacing w:val="-2"/>
          <w:w w:val="120"/>
        </w:rPr>
        <w:t>relative</w:t>
      </w:r>
      <w:r>
        <w:rPr>
          <w:color w:val="231F20"/>
          <w:spacing w:val="-6"/>
          <w:w w:val="120"/>
        </w:rPr>
        <w:t> </w:t>
      </w:r>
      <w:r>
        <w:rPr>
          <w:color w:val="231F20"/>
          <w:spacing w:val="-2"/>
          <w:w w:val="120"/>
        </w:rPr>
        <w:t>de</w:t>
      </w:r>
      <w:r>
        <w:rPr>
          <w:color w:val="231F20"/>
          <w:spacing w:val="-6"/>
          <w:w w:val="120"/>
        </w:rPr>
        <w:t> </w:t>
      </w:r>
      <w:r>
        <w:rPr>
          <w:color w:val="231F20"/>
          <w:spacing w:val="-2"/>
          <w:w w:val="120"/>
        </w:rPr>
        <w:t>stress</w:t>
      </w:r>
      <w:r>
        <w:rPr>
          <w:color w:val="231F20"/>
          <w:spacing w:val="-6"/>
          <w:w w:val="120"/>
        </w:rPr>
        <w:t> </w:t>
      </w:r>
      <w:r>
        <w:rPr>
          <w:color w:val="231F20"/>
          <w:spacing w:val="-2"/>
          <w:w w:val="120"/>
        </w:rPr>
        <w:t>qu’elle</w:t>
      </w:r>
      <w:r>
        <w:rPr>
          <w:color w:val="231F20"/>
          <w:spacing w:val="-6"/>
          <w:w w:val="120"/>
        </w:rPr>
        <w:t> </w:t>
      </w:r>
      <w:r>
        <w:rPr>
          <w:color w:val="231F20"/>
          <w:spacing w:val="-2"/>
          <w:w w:val="120"/>
        </w:rPr>
        <w:t>vit,</w:t>
      </w:r>
      <w:r>
        <w:rPr>
          <w:color w:val="231F20"/>
          <w:spacing w:val="-6"/>
          <w:w w:val="120"/>
        </w:rPr>
        <w:t> </w:t>
      </w:r>
      <w:r>
        <w:rPr>
          <w:color w:val="231F20"/>
          <w:spacing w:val="-2"/>
          <w:w w:val="120"/>
        </w:rPr>
        <w:t>en</w:t>
      </w:r>
      <w:r>
        <w:rPr>
          <w:color w:val="231F20"/>
          <w:spacing w:val="-6"/>
          <w:w w:val="120"/>
        </w:rPr>
        <w:t> </w:t>
      </w:r>
      <w:r>
        <w:rPr>
          <w:color w:val="231F20"/>
          <w:spacing w:val="-2"/>
          <w:w w:val="120"/>
        </w:rPr>
        <w:t>particulier</w:t>
      </w:r>
      <w:r>
        <w:rPr>
          <w:color w:val="231F20"/>
          <w:spacing w:val="-6"/>
          <w:w w:val="120"/>
        </w:rPr>
        <w:t> </w:t>
      </w:r>
      <w:r>
        <w:rPr>
          <w:color w:val="231F20"/>
          <w:spacing w:val="-2"/>
          <w:w w:val="120"/>
        </w:rPr>
        <w:t>en</w:t>
      </w:r>
      <w:r>
        <w:rPr>
          <w:color w:val="231F20"/>
          <w:spacing w:val="-6"/>
          <w:w w:val="120"/>
        </w:rPr>
        <w:t> </w:t>
      </w:r>
      <w:r>
        <w:rPr>
          <w:color w:val="231F20"/>
          <w:spacing w:val="-2"/>
          <w:w w:val="120"/>
        </w:rPr>
        <w:t>milieu</w:t>
      </w:r>
      <w:r>
        <w:rPr>
          <w:color w:val="231F20"/>
          <w:spacing w:val="-6"/>
          <w:w w:val="120"/>
        </w:rPr>
        <w:t> </w:t>
      </w:r>
      <w:r>
        <w:rPr>
          <w:color w:val="231F20"/>
          <w:spacing w:val="-2"/>
          <w:w w:val="120"/>
        </w:rPr>
        <w:t>de </w:t>
      </w:r>
      <w:r>
        <w:rPr>
          <w:color w:val="231F20"/>
          <w:w w:val="120"/>
        </w:rPr>
        <w:t>travail. Toutefois, la relation inverse, c’est-à-dire l’incidence du stress chronique</w:t>
      </w:r>
      <w:r>
        <w:rPr>
          <w:color w:val="231F20"/>
          <w:w w:val="120"/>
        </w:rPr>
        <w:t> d’un</w:t>
      </w:r>
      <w:r>
        <w:rPr>
          <w:color w:val="231F20"/>
          <w:w w:val="120"/>
        </w:rPr>
        <w:t> travailleur</w:t>
      </w:r>
      <w:r>
        <w:rPr>
          <w:color w:val="231F20"/>
          <w:w w:val="120"/>
        </w:rPr>
        <w:t> sur</w:t>
      </w:r>
      <w:r>
        <w:rPr>
          <w:color w:val="231F20"/>
          <w:w w:val="120"/>
        </w:rPr>
        <w:t> l’estime</w:t>
      </w:r>
      <w:r>
        <w:rPr>
          <w:color w:val="231F20"/>
          <w:w w:val="120"/>
        </w:rPr>
        <w:t> de</w:t>
      </w:r>
      <w:r>
        <w:rPr>
          <w:color w:val="231F20"/>
          <w:w w:val="120"/>
        </w:rPr>
        <w:t> soi,</w:t>
      </w:r>
      <w:r>
        <w:rPr>
          <w:color w:val="231F20"/>
          <w:w w:val="120"/>
        </w:rPr>
        <w:t> est</w:t>
      </w:r>
      <w:r>
        <w:rPr>
          <w:color w:val="231F20"/>
          <w:w w:val="120"/>
        </w:rPr>
        <w:t> plus</w:t>
      </w:r>
      <w:r>
        <w:rPr>
          <w:color w:val="231F20"/>
          <w:w w:val="120"/>
        </w:rPr>
        <w:t> </w:t>
      </w:r>
      <w:r>
        <w:rPr>
          <w:color w:val="231F20"/>
          <w:w w:val="120"/>
        </w:rPr>
        <w:t>ambiguë. </w:t>
      </w:r>
      <w:r>
        <w:rPr>
          <w:color w:val="231F20"/>
          <w:spacing w:val="-2"/>
          <w:w w:val="120"/>
        </w:rPr>
        <w:t>Cependant,</w:t>
      </w:r>
      <w:r>
        <w:rPr>
          <w:color w:val="231F20"/>
          <w:spacing w:val="-10"/>
          <w:w w:val="120"/>
        </w:rPr>
        <w:t> </w:t>
      </w:r>
      <w:r>
        <w:rPr>
          <w:color w:val="231F20"/>
          <w:spacing w:val="-2"/>
          <w:w w:val="120"/>
        </w:rPr>
        <w:t>il</w:t>
      </w:r>
      <w:r>
        <w:rPr>
          <w:color w:val="231F20"/>
          <w:spacing w:val="-10"/>
          <w:w w:val="120"/>
        </w:rPr>
        <w:t> </w:t>
      </w:r>
      <w:r>
        <w:rPr>
          <w:color w:val="231F20"/>
          <w:spacing w:val="-2"/>
          <w:w w:val="120"/>
        </w:rPr>
        <w:t>est</w:t>
      </w:r>
      <w:r>
        <w:rPr>
          <w:color w:val="231F20"/>
          <w:spacing w:val="-10"/>
          <w:w w:val="120"/>
        </w:rPr>
        <w:t> </w:t>
      </w:r>
      <w:r>
        <w:rPr>
          <w:color w:val="231F20"/>
          <w:spacing w:val="-2"/>
          <w:w w:val="120"/>
        </w:rPr>
        <w:t>sensé</w:t>
      </w:r>
      <w:r>
        <w:rPr>
          <w:color w:val="231F20"/>
          <w:spacing w:val="-10"/>
          <w:w w:val="120"/>
        </w:rPr>
        <w:t> </w:t>
      </w:r>
      <w:r>
        <w:rPr>
          <w:color w:val="231F20"/>
          <w:spacing w:val="-2"/>
          <w:w w:val="120"/>
        </w:rPr>
        <w:t>de</w:t>
      </w:r>
      <w:r>
        <w:rPr>
          <w:color w:val="231F20"/>
          <w:spacing w:val="-10"/>
          <w:w w:val="120"/>
        </w:rPr>
        <w:t> </w:t>
      </w:r>
      <w:r>
        <w:rPr>
          <w:color w:val="231F20"/>
          <w:spacing w:val="-2"/>
          <w:w w:val="120"/>
        </w:rPr>
        <w:t>considérer</w:t>
      </w:r>
      <w:r>
        <w:rPr>
          <w:color w:val="231F20"/>
          <w:spacing w:val="-10"/>
          <w:w w:val="120"/>
        </w:rPr>
        <w:t> </w:t>
      </w:r>
      <w:r>
        <w:rPr>
          <w:color w:val="231F20"/>
          <w:spacing w:val="-2"/>
          <w:w w:val="120"/>
        </w:rPr>
        <w:t>que</w:t>
      </w:r>
      <w:r>
        <w:rPr>
          <w:color w:val="231F20"/>
          <w:spacing w:val="-10"/>
          <w:w w:val="120"/>
        </w:rPr>
        <w:t> </w:t>
      </w:r>
      <w:r>
        <w:rPr>
          <w:color w:val="231F20"/>
          <w:spacing w:val="-2"/>
          <w:w w:val="120"/>
        </w:rPr>
        <w:t>si</w:t>
      </w:r>
      <w:r>
        <w:rPr>
          <w:color w:val="231F20"/>
          <w:spacing w:val="-10"/>
          <w:w w:val="120"/>
        </w:rPr>
        <w:t> </w:t>
      </w:r>
      <w:r>
        <w:rPr>
          <w:color w:val="231F20"/>
          <w:spacing w:val="-2"/>
          <w:w w:val="120"/>
        </w:rPr>
        <w:t>une</w:t>
      </w:r>
      <w:r>
        <w:rPr>
          <w:color w:val="231F20"/>
          <w:spacing w:val="-10"/>
          <w:w w:val="120"/>
        </w:rPr>
        <w:t> </w:t>
      </w:r>
      <w:r>
        <w:rPr>
          <w:color w:val="231F20"/>
          <w:spacing w:val="-2"/>
          <w:w w:val="120"/>
        </w:rPr>
        <w:t>personne</w:t>
      </w:r>
      <w:r>
        <w:rPr>
          <w:color w:val="231F20"/>
          <w:spacing w:val="-10"/>
          <w:w w:val="120"/>
        </w:rPr>
        <w:t> </w:t>
      </w:r>
      <w:r>
        <w:rPr>
          <w:color w:val="231F20"/>
          <w:spacing w:val="-2"/>
          <w:w w:val="120"/>
        </w:rPr>
        <w:t>a</w:t>
      </w:r>
      <w:r>
        <w:rPr>
          <w:color w:val="231F20"/>
          <w:spacing w:val="-10"/>
          <w:w w:val="120"/>
        </w:rPr>
        <w:t> </w:t>
      </w:r>
      <w:r>
        <w:rPr>
          <w:color w:val="231F20"/>
          <w:spacing w:val="-2"/>
          <w:w w:val="120"/>
        </w:rPr>
        <w:t>au</w:t>
      </w:r>
      <w:r>
        <w:rPr>
          <w:color w:val="231F20"/>
          <w:spacing w:val="-10"/>
          <w:w w:val="120"/>
        </w:rPr>
        <w:t> </w:t>
      </w:r>
      <w:r>
        <w:rPr>
          <w:color w:val="231F20"/>
          <w:spacing w:val="-2"/>
          <w:w w:val="120"/>
        </w:rPr>
        <w:t>départ</w:t>
      </w:r>
      <w:r>
        <w:rPr>
          <w:color w:val="231F20"/>
          <w:spacing w:val="-10"/>
          <w:w w:val="120"/>
        </w:rPr>
        <w:t> </w:t>
      </w:r>
      <w:r>
        <w:rPr>
          <w:color w:val="231F20"/>
          <w:spacing w:val="-2"/>
          <w:w w:val="120"/>
        </w:rPr>
        <w:t>une </w:t>
      </w:r>
      <w:r>
        <w:rPr>
          <w:color w:val="231F20"/>
          <w:w w:val="120"/>
        </w:rPr>
        <w:t>bonne</w:t>
      </w:r>
      <w:r>
        <w:rPr>
          <w:color w:val="231F20"/>
          <w:spacing w:val="-9"/>
          <w:w w:val="120"/>
        </w:rPr>
        <w:t> </w:t>
      </w:r>
      <w:r>
        <w:rPr>
          <w:color w:val="231F20"/>
          <w:w w:val="120"/>
        </w:rPr>
        <w:t>estime</w:t>
      </w:r>
      <w:r>
        <w:rPr>
          <w:color w:val="231F20"/>
          <w:spacing w:val="-9"/>
          <w:w w:val="120"/>
        </w:rPr>
        <w:t> </w:t>
      </w:r>
      <w:r>
        <w:rPr>
          <w:color w:val="231F20"/>
          <w:w w:val="120"/>
        </w:rPr>
        <w:t>de</w:t>
      </w:r>
      <w:r>
        <w:rPr>
          <w:color w:val="231F20"/>
          <w:spacing w:val="-9"/>
          <w:w w:val="120"/>
        </w:rPr>
        <w:t> </w:t>
      </w:r>
      <w:r>
        <w:rPr>
          <w:color w:val="231F20"/>
          <w:w w:val="120"/>
        </w:rPr>
        <w:t>soi,</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devrait</w:t>
      </w:r>
      <w:r>
        <w:rPr>
          <w:color w:val="231F20"/>
          <w:spacing w:val="-9"/>
          <w:w w:val="120"/>
        </w:rPr>
        <w:t> </w:t>
      </w:r>
      <w:r>
        <w:rPr>
          <w:color w:val="231F20"/>
          <w:w w:val="120"/>
        </w:rPr>
        <w:t>avoir</w:t>
      </w:r>
      <w:r>
        <w:rPr>
          <w:color w:val="231F20"/>
          <w:spacing w:val="-9"/>
          <w:w w:val="120"/>
        </w:rPr>
        <w:t> </w:t>
      </w:r>
      <w:r>
        <w:rPr>
          <w:color w:val="231F20"/>
          <w:w w:val="120"/>
        </w:rPr>
        <w:t>moins</w:t>
      </w:r>
      <w:r>
        <w:rPr>
          <w:color w:val="231F20"/>
          <w:spacing w:val="-9"/>
          <w:w w:val="120"/>
        </w:rPr>
        <w:t> </w:t>
      </w:r>
      <w:r>
        <w:rPr>
          <w:color w:val="231F20"/>
          <w:w w:val="120"/>
        </w:rPr>
        <w:t>d’emprise</w:t>
      </w:r>
      <w:r>
        <w:rPr>
          <w:color w:val="231F20"/>
          <w:spacing w:val="-9"/>
          <w:w w:val="120"/>
        </w:rPr>
        <w:t> </w:t>
      </w:r>
      <w:r>
        <w:rPr>
          <w:color w:val="231F20"/>
          <w:w w:val="120"/>
        </w:rPr>
        <w:t>sur</w:t>
      </w:r>
      <w:r>
        <w:rPr>
          <w:color w:val="231F20"/>
          <w:spacing w:val="-9"/>
          <w:w w:val="120"/>
        </w:rPr>
        <w:t> </w:t>
      </w:r>
      <w:r>
        <w:rPr>
          <w:color w:val="231F20"/>
          <w:w w:val="120"/>
        </w:rPr>
        <w:t>elle;</w:t>
      </w:r>
      <w:r>
        <w:rPr>
          <w:color w:val="231F20"/>
          <w:spacing w:val="-9"/>
          <w:w w:val="120"/>
        </w:rPr>
        <w:t> </w:t>
      </w:r>
      <w:r>
        <w:rPr>
          <w:color w:val="231F20"/>
          <w:w w:val="120"/>
        </w:rPr>
        <w:t>en revanche,</w:t>
      </w:r>
      <w:r>
        <w:rPr>
          <w:color w:val="231F20"/>
          <w:spacing w:val="-6"/>
          <w:w w:val="120"/>
        </w:rPr>
        <w:t> </w:t>
      </w:r>
      <w:r>
        <w:rPr>
          <w:color w:val="231F20"/>
          <w:w w:val="120"/>
        </w:rPr>
        <w:t>pour</w:t>
      </w:r>
      <w:r>
        <w:rPr>
          <w:color w:val="231F20"/>
          <w:spacing w:val="-6"/>
          <w:w w:val="120"/>
        </w:rPr>
        <w:t> </w:t>
      </w:r>
      <w:r>
        <w:rPr>
          <w:color w:val="231F20"/>
          <w:w w:val="120"/>
        </w:rPr>
        <w:t>la</w:t>
      </w:r>
      <w:r>
        <w:rPr>
          <w:color w:val="231F20"/>
          <w:spacing w:val="-6"/>
          <w:w w:val="120"/>
        </w:rPr>
        <w:t> </w:t>
      </w:r>
      <w:r>
        <w:rPr>
          <w:color w:val="231F20"/>
          <w:w w:val="120"/>
        </w:rPr>
        <w:t>personne</w:t>
      </w:r>
      <w:r>
        <w:rPr>
          <w:color w:val="231F20"/>
          <w:spacing w:val="-6"/>
          <w:w w:val="120"/>
        </w:rPr>
        <w:t> </w:t>
      </w:r>
      <w:r>
        <w:rPr>
          <w:color w:val="231F20"/>
          <w:w w:val="120"/>
        </w:rPr>
        <w:t>ayant</w:t>
      </w:r>
      <w:r>
        <w:rPr>
          <w:color w:val="231F20"/>
          <w:spacing w:val="-6"/>
          <w:w w:val="120"/>
        </w:rPr>
        <w:t> </w:t>
      </w:r>
      <w:r>
        <w:rPr>
          <w:color w:val="231F20"/>
          <w:w w:val="120"/>
        </w:rPr>
        <w:t>déjà</w:t>
      </w:r>
      <w:r>
        <w:rPr>
          <w:color w:val="231F20"/>
          <w:spacing w:val="-6"/>
          <w:w w:val="120"/>
        </w:rPr>
        <w:t> </w:t>
      </w:r>
      <w:r>
        <w:rPr>
          <w:color w:val="231F20"/>
          <w:w w:val="120"/>
        </w:rPr>
        <w:t>un</w:t>
      </w:r>
      <w:r>
        <w:rPr>
          <w:color w:val="231F20"/>
          <w:spacing w:val="-6"/>
          <w:w w:val="120"/>
        </w:rPr>
        <w:t> </w:t>
      </w:r>
      <w:r>
        <w:rPr>
          <w:color w:val="231F20"/>
          <w:w w:val="120"/>
        </w:rPr>
        <w:t>faible</w:t>
      </w:r>
      <w:r>
        <w:rPr>
          <w:color w:val="231F20"/>
          <w:spacing w:val="-6"/>
          <w:w w:val="120"/>
        </w:rPr>
        <w:t> </w:t>
      </w:r>
      <w:r>
        <w:rPr>
          <w:color w:val="231F20"/>
          <w:w w:val="120"/>
        </w:rPr>
        <w:t>niveau</w:t>
      </w:r>
      <w:r>
        <w:rPr>
          <w:color w:val="231F20"/>
          <w:spacing w:val="-6"/>
          <w:w w:val="120"/>
        </w:rPr>
        <w:t> </w:t>
      </w:r>
      <w:r>
        <w:rPr>
          <w:color w:val="231F20"/>
          <w:w w:val="120"/>
        </w:rPr>
        <w:t>d’estime</w:t>
      </w:r>
      <w:r>
        <w:rPr>
          <w:color w:val="231F20"/>
          <w:spacing w:val="-6"/>
          <w:w w:val="120"/>
        </w:rPr>
        <w:t> </w:t>
      </w:r>
      <w:r>
        <w:rPr>
          <w:color w:val="231F20"/>
          <w:w w:val="120"/>
        </w:rPr>
        <w:t>de</w:t>
      </w:r>
      <w:r>
        <w:rPr>
          <w:color w:val="231F20"/>
          <w:spacing w:val="-6"/>
          <w:w w:val="120"/>
        </w:rPr>
        <w:t> </w:t>
      </w:r>
      <w:r>
        <w:rPr>
          <w:color w:val="231F20"/>
          <w:w w:val="120"/>
        </w:rPr>
        <w:t>soi, le stress contribuera souvent à l’abaisser encore davantage.</w:t>
      </w:r>
    </w:p>
    <w:p>
      <w:pPr>
        <w:pStyle w:val="BodyText"/>
        <w:spacing w:line="307" w:lineRule="auto" w:before="78"/>
        <w:ind w:left="830" w:right="493" w:firstLine="250"/>
        <w:jc w:val="both"/>
      </w:pPr>
      <w:r>
        <w:rPr>
          <w:color w:val="231F20"/>
          <w:w w:val="115"/>
        </w:rPr>
        <w:t>Une question se pose donc</w:t>
      </w:r>
      <w:r>
        <w:rPr>
          <w:color w:val="231F20"/>
          <w:spacing w:val="-13"/>
          <w:w w:val="115"/>
        </w:rPr>
        <w:t> </w:t>
      </w:r>
      <w:r>
        <w:rPr>
          <w:color w:val="231F20"/>
          <w:w w:val="115"/>
        </w:rPr>
        <w:t>: si nous savons que la solidification de notre estime de soi nous aide à gérer notre stress, que faut-il faire pour l’augmenter</w:t>
      </w:r>
      <w:r>
        <w:rPr>
          <w:color w:val="231F20"/>
          <w:spacing w:val="-10"/>
          <w:w w:val="115"/>
        </w:rPr>
        <w:t> </w:t>
      </w:r>
      <w:r>
        <w:rPr>
          <w:color w:val="231F20"/>
          <w:w w:val="115"/>
        </w:rPr>
        <w:t>?</w:t>
      </w:r>
      <w:r>
        <w:rPr>
          <w:color w:val="231F20"/>
          <w:spacing w:val="43"/>
          <w:w w:val="115"/>
        </w:rPr>
        <w:t> </w:t>
      </w:r>
      <w:r>
        <w:rPr>
          <w:color w:val="231F20"/>
          <w:w w:val="115"/>
        </w:rPr>
        <w:t>Comment</w:t>
      </w:r>
      <w:r>
        <w:rPr>
          <w:color w:val="231F20"/>
          <w:spacing w:val="44"/>
          <w:w w:val="115"/>
        </w:rPr>
        <w:t> </w:t>
      </w:r>
      <w:r>
        <w:rPr>
          <w:color w:val="231F20"/>
          <w:w w:val="115"/>
        </w:rPr>
        <w:t>consolider</w:t>
      </w:r>
      <w:r>
        <w:rPr>
          <w:color w:val="231F20"/>
          <w:spacing w:val="43"/>
          <w:w w:val="115"/>
        </w:rPr>
        <w:t> </w:t>
      </w:r>
      <w:r>
        <w:rPr>
          <w:color w:val="231F20"/>
          <w:w w:val="115"/>
        </w:rPr>
        <w:t>notre</w:t>
      </w:r>
      <w:r>
        <w:rPr>
          <w:color w:val="231F20"/>
          <w:spacing w:val="44"/>
          <w:w w:val="115"/>
        </w:rPr>
        <w:t> </w:t>
      </w:r>
      <w:r>
        <w:rPr>
          <w:color w:val="231F20"/>
          <w:w w:val="115"/>
        </w:rPr>
        <w:t>estime</w:t>
      </w:r>
      <w:r>
        <w:rPr>
          <w:color w:val="231F20"/>
          <w:spacing w:val="43"/>
          <w:w w:val="115"/>
        </w:rPr>
        <w:t> </w:t>
      </w:r>
      <w:r>
        <w:rPr>
          <w:color w:val="231F20"/>
          <w:w w:val="115"/>
        </w:rPr>
        <w:t>de</w:t>
      </w:r>
      <w:r>
        <w:rPr>
          <w:color w:val="231F20"/>
          <w:spacing w:val="44"/>
          <w:w w:val="115"/>
        </w:rPr>
        <w:t> </w:t>
      </w:r>
      <w:r>
        <w:rPr>
          <w:color w:val="231F20"/>
          <w:w w:val="115"/>
        </w:rPr>
        <w:t>soi</w:t>
      </w:r>
      <w:r>
        <w:rPr>
          <w:color w:val="231F20"/>
          <w:spacing w:val="44"/>
          <w:w w:val="115"/>
        </w:rPr>
        <w:t> </w:t>
      </w:r>
      <w:r>
        <w:rPr>
          <w:color w:val="231F20"/>
          <w:w w:val="115"/>
        </w:rPr>
        <w:t>jusqu’à</w:t>
      </w:r>
      <w:r>
        <w:rPr>
          <w:color w:val="231F20"/>
          <w:spacing w:val="43"/>
          <w:w w:val="115"/>
        </w:rPr>
        <w:t> </w:t>
      </w:r>
      <w:r>
        <w:rPr>
          <w:color w:val="231F20"/>
          <w:spacing w:val="-2"/>
          <w:w w:val="115"/>
        </w:rPr>
        <w:t>l’état</w:t>
      </w:r>
    </w:p>
    <w:p>
      <w:pPr>
        <w:pStyle w:val="BodyText"/>
        <w:rPr>
          <w:sz w:val="20"/>
        </w:rPr>
      </w:pPr>
    </w:p>
    <w:p>
      <w:pPr>
        <w:pStyle w:val="BodyText"/>
        <w:spacing w:before="4"/>
        <w:rPr>
          <w:sz w:val="13"/>
        </w:rPr>
      </w:pPr>
      <w:r>
        <w:rPr/>
        <w:pict>
          <v:shape style="position:absolute;margin-left:62.5pt;margin-top:8.875673pt;width:287.5pt;height:.1pt;mso-position-horizontal-relative:page;mso-position-vertical-relative:paragraph;z-index:-15634944;mso-wrap-distance-left:0;mso-wrap-distance-right:0" id="docshape1005" coordorigin="1250,178" coordsize="5750,0" path="m1250,178l7000,178e" filled="false" stroked="true" strokeweight=".25pt" strokecolor="#231f20">
            <v:path arrowok="t"/>
            <v:stroke dashstyle="shortdot"/>
            <w10:wrap type="topAndBottom"/>
          </v:shape>
        </w:pict>
      </w:r>
    </w:p>
    <w:p>
      <w:pPr>
        <w:pStyle w:val="ListParagraph"/>
        <w:numPr>
          <w:ilvl w:val="0"/>
          <w:numId w:val="65"/>
        </w:numPr>
        <w:tabs>
          <w:tab w:pos="830" w:val="left" w:leader="none"/>
        </w:tabs>
        <w:spacing w:line="295" w:lineRule="auto" w:before="135" w:after="0"/>
        <w:ind w:left="829" w:right="495" w:hanging="406"/>
        <w:jc w:val="both"/>
        <w:rPr>
          <w:rFonts w:ascii="Arial"/>
          <w:sz w:val="12"/>
        </w:rPr>
      </w:pPr>
      <w:r>
        <w:rPr>
          <w:rFonts w:ascii="Arial"/>
          <w:color w:val="231F20"/>
          <w:sz w:val="12"/>
        </w:rPr>
        <w:t>Johnson,</w:t>
      </w:r>
      <w:r>
        <w:rPr>
          <w:rFonts w:ascii="Arial"/>
          <w:color w:val="231F20"/>
          <w:spacing w:val="-2"/>
          <w:sz w:val="12"/>
        </w:rPr>
        <w:t> </w:t>
      </w:r>
      <w:r>
        <w:rPr>
          <w:rFonts w:ascii="Arial"/>
          <w:color w:val="231F20"/>
          <w:sz w:val="12"/>
        </w:rPr>
        <w:t>A.</w:t>
      </w:r>
      <w:r>
        <w:rPr>
          <w:rFonts w:ascii="Arial"/>
          <w:color w:val="231F20"/>
          <w:spacing w:val="-2"/>
          <w:sz w:val="12"/>
        </w:rPr>
        <w:t> </w:t>
      </w:r>
      <w:r>
        <w:rPr>
          <w:rFonts w:ascii="Arial"/>
          <w:color w:val="231F20"/>
          <w:sz w:val="12"/>
        </w:rPr>
        <w:t>R.,</w:t>
      </w:r>
      <w:r>
        <w:rPr>
          <w:rFonts w:ascii="Arial"/>
          <w:color w:val="231F20"/>
          <w:spacing w:val="-2"/>
          <w:sz w:val="12"/>
        </w:rPr>
        <w:t> </w:t>
      </w:r>
      <w:r>
        <w:rPr>
          <w:rFonts w:ascii="Arial"/>
          <w:color w:val="231F20"/>
          <w:sz w:val="12"/>
        </w:rPr>
        <w:t>Jayappa,</w:t>
      </w:r>
      <w:r>
        <w:rPr>
          <w:rFonts w:ascii="Arial"/>
          <w:color w:val="231F20"/>
          <w:spacing w:val="-2"/>
          <w:sz w:val="12"/>
        </w:rPr>
        <w:t> </w:t>
      </w:r>
      <w:r>
        <w:rPr>
          <w:rFonts w:ascii="Arial"/>
          <w:color w:val="231F20"/>
          <w:sz w:val="12"/>
        </w:rPr>
        <w:t>R.,</w:t>
      </w:r>
      <w:r>
        <w:rPr>
          <w:rFonts w:ascii="Arial"/>
          <w:color w:val="231F20"/>
          <w:spacing w:val="-2"/>
          <w:sz w:val="12"/>
        </w:rPr>
        <w:t> </w:t>
      </w:r>
      <w:r>
        <w:rPr>
          <w:rFonts w:ascii="Arial"/>
          <w:color w:val="231F20"/>
          <w:sz w:val="12"/>
        </w:rPr>
        <w:t>James,</w:t>
      </w:r>
      <w:r>
        <w:rPr>
          <w:rFonts w:ascii="Arial"/>
          <w:color w:val="231F20"/>
          <w:spacing w:val="-2"/>
          <w:sz w:val="12"/>
        </w:rPr>
        <w:t> </w:t>
      </w:r>
      <w:r>
        <w:rPr>
          <w:rFonts w:ascii="Arial"/>
          <w:color w:val="231F20"/>
          <w:sz w:val="12"/>
        </w:rPr>
        <w:t>M.,</w:t>
      </w:r>
      <w:r>
        <w:rPr>
          <w:rFonts w:ascii="Arial"/>
          <w:color w:val="231F20"/>
          <w:spacing w:val="-2"/>
          <w:sz w:val="12"/>
        </w:rPr>
        <w:t> </w:t>
      </w:r>
      <w:r>
        <w:rPr>
          <w:rFonts w:ascii="Arial"/>
          <w:color w:val="231F20"/>
          <w:sz w:val="12"/>
        </w:rPr>
        <w:t>Kulnu,</w:t>
      </w:r>
      <w:r>
        <w:rPr>
          <w:rFonts w:ascii="Arial"/>
          <w:color w:val="231F20"/>
          <w:spacing w:val="-2"/>
          <w:sz w:val="12"/>
        </w:rPr>
        <w:t> </w:t>
      </w:r>
      <w:r>
        <w:rPr>
          <w:rFonts w:ascii="Arial"/>
          <w:color w:val="231F20"/>
          <w:sz w:val="12"/>
        </w:rPr>
        <w:t>A.,</w:t>
      </w:r>
      <w:r>
        <w:rPr>
          <w:rFonts w:ascii="Arial"/>
          <w:color w:val="231F20"/>
          <w:spacing w:val="-2"/>
          <w:sz w:val="12"/>
        </w:rPr>
        <w:t> </w:t>
      </w:r>
      <w:r>
        <w:rPr>
          <w:rFonts w:ascii="Arial"/>
          <w:color w:val="231F20"/>
          <w:sz w:val="12"/>
        </w:rPr>
        <w:t>Kovayil,</w:t>
      </w:r>
      <w:r>
        <w:rPr>
          <w:rFonts w:ascii="Arial"/>
          <w:color w:val="231F20"/>
          <w:spacing w:val="-2"/>
          <w:sz w:val="12"/>
        </w:rPr>
        <w:t> </w:t>
      </w:r>
      <w:r>
        <w:rPr>
          <w:rFonts w:ascii="Arial"/>
          <w:color w:val="231F20"/>
          <w:sz w:val="12"/>
        </w:rPr>
        <w:t>R.</w:t>
      </w:r>
      <w:r>
        <w:rPr>
          <w:rFonts w:ascii="Arial"/>
          <w:color w:val="231F20"/>
          <w:spacing w:val="-2"/>
          <w:sz w:val="12"/>
        </w:rPr>
        <w:t> </w:t>
      </w:r>
      <w:r>
        <w:rPr>
          <w:rFonts w:ascii="Arial"/>
          <w:color w:val="231F20"/>
          <w:sz w:val="12"/>
        </w:rPr>
        <w:t>et</w:t>
      </w:r>
      <w:r>
        <w:rPr>
          <w:rFonts w:ascii="Arial"/>
          <w:color w:val="231F20"/>
          <w:spacing w:val="-2"/>
          <w:sz w:val="12"/>
        </w:rPr>
        <w:t> </w:t>
      </w:r>
      <w:r>
        <w:rPr>
          <w:rFonts w:ascii="Arial"/>
          <w:color w:val="231F20"/>
          <w:sz w:val="12"/>
        </w:rPr>
        <w:t>Joseph,</w:t>
      </w:r>
      <w:r>
        <w:rPr>
          <w:rFonts w:ascii="Arial"/>
          <w:color w:val="231F20"/>
          <w:spacing w:val="-2"/>
          <w:sz w:val="12"/>
        </w:rPr>
        <w:t> </w:t>
      </w:r>
      <w:r>
        <w:rPr>
          <w:rFonts w:ascii="Arial"/>
          <w:color w:val="231F20"/>
          <w:sz w:val="12"/>
        </w:rPr>
        <w:t>B.</w:t>
      </w:r>
      <w:r>
        <w:rPr>
          <w:rFonts w:ascii="Arial"/>
          <w:color w:val="231F20"/>
          <w:spacing w:val="-2"/>
          <w:sz w:val="12"/>
        </w:rPr>
        <w:t> </w:t>
      </w:r>
      <w:r>
        <w:rPr>
          <w:rFonts w:ascii="Arial"/>
          <w:color w:val="231F20"/>
          <w:sz w:val="12"/>
        </w:rPr>
        <w:t>(2020).</w:t>
      </w:r>
      <w:r>
        <w:rPr>
          <w:rFonts w:ascii="Arial"/>
          <w:color w:val="231F20"/>
          <w:spacing w:val="-2"/>
          <w:sz w:val="12"/>
        </w:rPr>
        <w:t> </w:t>
      </w:r>
      <w:r>
        <w:rPr>
          <w:rFonts w:ascii="Arial"/>
          <w:color w:val="231F20"/>
          <w:sz w:val="12"/>
        </w:rPr>
        <w:t>Do</w:t>
      </w:r>
      <w:r>
        <w:rPr>
          <w:rFonts w:ascii="Arial"/>
          <w:color w:val="231F20"/>
          <w:spacing w:val="-2"/>
          <w:sz w:val="12"/>
        </w:rPr>
        <w:t> </w:t>
      </w:r>
      <w:r>
        <w:rPr>
          <w:rFonts w:ascii="Arial"/>
          <w:color w:val="231F20"/>
          <w:sz w:val="12"/>
        </w:rPr>
        <w:t>low</w:t>
      </w:r>
      <w:r>
        <w:rPr>
          <w:rFonts w:ascii="Arial"/>
          <w:color w:val="231F20"/>
          <w:spacing w:val="-2"/>
          <w:sz w:val="12"/>
        </w:rPr>
        <w:t> </w:t>
      </w:r>
      <w:r>
        <w:rPr>
          <w:rFonts w:ascii="Arial"/>
          <w:color w:val="231F20"/>
          <w:sz w:val="12"/>
        </w:rPr>
        <w:t>self-esteem</w:t>
      </w:r>
      <w:r>
        <w:rPr>
          <w:rFonts w:ascii="Arial"/>
          <w:color w:val="231F20"/>
          <w:spacing w:val="-2"/>
          <w:sz w:val="12"/>
        </w:rPr>
        <w:t> </w:t>
      </w:r>
      <w:r>
        <w:rPr>
          <w:rFonts w:ascii="Arial"/>
          <w:color w:val="231F20"/>
          <w:sz w:val="12"/>
        </w:rPr>
        <w:t>and</w:t>
      </w:r>
      <w:r>
        <w:rPr>
          <w:rFonts w:ascii="Arial"/>
          <w:color w:val="231F20"/>
          <w:spacing w:val="40"/>
          <w:sz w:val="12"/>
        </w:rPr>
        <w:t> </w:t>
      </w:r>
      <w:r>
        <w:rPr>
          <w:rFonts w:ascii="Arial"/>
          <w:color w:val="231F20"/>
          <w:sz w:val="12"/>
        </w:rPr>
        <w:t>high</w:t>
      </w:r>
      <w:r>
        <w:rPr>
          <w:rFonts w:ascii="Arial"/>
          <w:color w:val="231F20"/>
          <w:spacing w:val="-9"/>
          <w:sz w:val="12"/>
        </w:rPr>
        <w:t> </w:t>
      </w:r>
      <w:r>
        <w:rPr>
          <w:rFonts w:ascii="Arial"/>
          <w:color w:val="231F20"/>
          <w:sz w:val="12"/>
        </w:rPr>
        <w:t>stress</w:t>
      </w:r>
      <w:r>
        <w:rPr>
          <w:rFonts w:ascii="Arial"/>
          <w:color w:val="231F20"/>
          <w:spacing w:val="-8"/>
          <w:sz w:val="12"/>
        </w:rPr>
        <w:t> </w:t>
      </w:r>
      <w:r>
        <w:rPr>
          <w:rFonts w:ascii="Arial"/>
          <w:color w:val="231F20"/>
          <w:sz w:val="12"/>
        </w:rPr>
        <w:t>lead</w:t>
      </w:r>
      <w:r>
        <w:rPr>
          <w:rFonts w:ascii="Arial"/>
          <w:color w:val="231F20"/>
          <w:spacing w:val="-8"/>
          <w:sz w:val="12"/>
        </w:rPr>
        <w:t> </w:t>
      </w:r>
      <w:r>
        <w:rPr>
          <w:rFonts w:ascii="Arial"/>
          <w:color w:val="231F20"/>
          <w:sz w:val="12"/>
        </w:rPr>
        <w:t>to</w:t>
      </w:r>
      <w:r>
        <w:rPr>
          <w:rFonts w:ascii="Arial"/>
          <w:color w:val="231F20"/>
          <w:spacing w:val="-9"/>
          <w:sz w:val="12"/>
        </w:rPr>
        <w:t> </w:t>
      </w:r>
      <w:r>
        <w:rPr>
          <w:rFonts w:ascii="Arial"/>
          <w:color w:val="231F20"/>
          <w:sz w:val="12"/>
        </w:rPr>
        <w:t>burnout</w:t>
      </w:r>
      <w:r>
        <w:rPr>
          <w:rFonts w:ascii="Arial"/>
          <w:color w:val="231F20"/>
          <w:spacing w:val="-6"/>
          <w:sz w:val="12"/>
        </w:rPr>
        <w:t> </w:t>
      </w:r>
      <w:r>
        <w:rPr>
          <w:rFonts w:ascii="Arial"/>
          <w:color w:val="231F20"/>
          <w:sz w:val="12"/>
        </w:rPr>
        <w:t>among</w:t>
      </w:r>
      <w:r>
        <w:rPr>
          <w:rFonts w:ascii="Arial"/>
          <w:color w:val="231F20"/>
          <w:spacing w:val="-6"/>
          <w:sz w:val="12"/>
        </w:rPr>
        <w:t> </w:t>
      </w:r>
      <w:r>
        <w:rPr>
          <w:rFonts w:ascii="Arial"/>
          <w:color w:val="231F20"/>
          <w:sz w:val="12"/>
        </w:rPr>
        <w:t>health-care</w:t>
      </w:r>
      <w:r>
        <w:rPr>
          <w:rFonts w:ascii="Arial"/>
          <w:color w:val="231F20"/>
          <w:spacing w:val="-6"/>
          <w:sz w:val="12"/>
        </w:rPr>
        <w:t> </w:t>
      </w:r>
      <w:r>
        <w:rPr>
          <w:rFonts w:ascii="Arial"/>
          <w:color w:val="231F20"/>
          <w:sz w:val="12"/>
        </w:rPr>
        <w:t>workers</w:t>
      </w:r>
      <w:r>
        <w:rPr>
          <w:rFonts w:ascii="Arial"/>
          <w:color w:val="231F20"/>
          <w:spacing w:val="-9"/>
          <w:sz w:val="12"/>
        </w:rPr>
        <w:t> </w:t>
      </w:r>
      <w:r>
        <w:rPr>
          <w:rFonts w:ascii="Arial"/>
          <w:color w:val="231F20"/>
          <w:sz w:val="12"/>
        </w:rPr>
        <w:t>?</w:t>
      </w:r>
      <w:r>
        <w:rPr>
          <w:rFonts w:ascii="Arial"/>
          <w:color w:val="231F20"/>
          <w:spacing w:val="-5"/>
          <w:sz w:val="12"/>
        </w:rPr>
        <w:t> </w:t>
      </w:r>
      <w:r>
        <w:rPr>
          <w:rFonts w:ascii="Arial"/>
          <w:color w:val="231F20"/>
          <w:sz w:val="12"/>
        </w:rPr>
        <w:t>Evidence</w:t>
      </w:r>
      <w:r>
        <w:rPr>
          <w:rFonts w:ascii="Arial"/>
          <w:color w:val="231F20"/>
          <w:spacing w:val="-6"/>
          <w:sz w:val="12"/>
        </w:rPr>
        <w:t> </w:t>
      </w:r>
      <w:r>
        <w:rPr>
          <w:rFonts w:ascii="Arial"/>
          <w:color w:val="231F20"/>
          <w:sz w:val="12"/>
        </w:rPr>
        <w:t>from</w:t>
      </w:r>
      <w:r>
        <w:rPr>
          <w:rFonts w:ascii="Arial"/>
          <w:color w:val="231F20"/>
          <w:spacing w:val="-6"/>
          <w:sz w:val="12"/>
        </w:rPr>
        <w:t> </w:t>
      </w:r>
      <w:r>
        <w:rPr>
          <w:rFonts w:ascii="Arial"/>
          <w:color w:val="231F20"/>
          <w:sz w:val="12"/>
        </w:rPr>
        <w:t>a</w:t>
      </w:r>
      <w:r>
        <w:rPr>
          <w:rFonts w:ascii="Arial"/>
          <w:color w:val="231F20"/>
          <w:spacing w:val="-6"/>
          <w:sz w:val="12"/>
        </w:rPr>
        <w:t> </w:t>
      </w:r>
      <w:r>
        <w:rPr>
          <w:rFonts w:ascii="Arial"/>
          <w:color w:val="231F20"/>
          <w:sz w:val="12"/>
        </w:rPr>
        <w:t>tertiary</w:t>
      </w:r>
      <w:r>
        <w:rPr>
          <w:rFonts w:ascii="Arial"/>
          <w:color w:val="231F20"/>
          <w:spacing w:val="-6"/>
          <w:sz w:val="12"/>
        </w:rPr>
        <w:t> </w:t>
      </w:r>
      <w:r>
        <w:rPr>
          <w:rFonts w:ascii="Arial"/>
          <w:color w:val="231F20"/>
          <w:sz w:val="12"/>
        </w:rPr>
        <w:t>hospital</w:t>
      </w:r>
      <w:r>
        <w:rPr>
          <w:rFonts w:ascii="Arial"/>
          <w:color w:val="231F20"/>
          <w:spacing w:val="-6"/>
          <w:sz w:val="12"/>
        </w:rPr>
        <w:t> </w:t>
      </w:r>
      <w:r>
        <w:rPr>
          <w:rFonts w:ascii="Arial"/>
          <w:color w:val="231F20"/>
          <w:sz w:val="12"/>
        </w:rPr>
        <w:t>in</w:t>
      </w:r>
      <w:r>
        <w:rPr>
          <w:rFonts w:ascii="Arial"/>
          <w:color w:val="231F20"/>
          <w:spacing w:val="-6"/>
          <w:sz w:val="12"/>
        </w:rPr>
        <w:t> </w:t>
      </w:r>
      <w:r>
        <w:rPr>
          <w:rFonts w:ascii="Arial"/>
          <w:color w:val="231F20"/>
          <w:sz w:val="12"/>
        </w:rPr>
        <w:t>Bangalore,</w:t>
      </w:r>
      <w:r>
        <w:rPr>
          <w:rFonts w:ascii="Arial"/>
          <w:color w:val="231F20"/>
          <w:spacing w:val="-6"/>
          <w:sz w:val="12"/>
        </w:rPr>
        <w:t> </w:t>
      </w:r>
      <w:r>
        <w:rPr>
          <w:rFonts w:ascii="Arial"/>
          <w:color w:val="231F20"/>
          <w:sz w:val="12"/>
        </w:rPr>
        <w:t>India,</w:t>
      </w:r>
      <w:r>
        <w:rPr>
          <w:rFonts w:ascii="Arial"/>
          <w:color w:val="231F20"/>
          <w:spacing w:val="40"/>
          <w:sz w:val="12"/>
        </w:rPr>
        <w:t> </w:t>
      </w:r>
      <w:r>
        <w:rPr>
          <w:rFonts w:ascii="Arial"/>
          <w:i/>
          <w:color w:val="231F20"/>
          <w:sz w:val="12"/>
        </w:rPr>
        <w:t>Safety and Health at Work</w:t>
      </w:r>
      <w:r>
        <w:rPr>
          <w:rFonts w:ascii="Arial"/>
          <w:color w:val="231F20"/>
          <w:sz w:val="12"/>
        </w:rPr>
        <w:t>, </w:t>
      </w:r>
      <w:r>
        <w:rPr>
          <w:rFonts w:ascii="Arial"/>
          <w:i/>
          <w:color w:val="231F20"/>
          <w:sz w:val="12"/>
        </w:rPr>
        <w:t>11</w:t>
      </w:r>
      <w:r>
        <w:rPr>
          <w:rFonts w:ascii="Arial"/>
          <w:color w:val="231F20"/>
          <w:sz w:val="12"/>
        </w:rPr>
        <w:t>, 347-352.</w:t>
      </w:r>
    </w:p>
    <w:p>
      <w:pPr>
        <w:spacing w:after="0" w:line="295" w:lineRule="auto"/>
        <w:jc w:val="both"/>
        <w:rPr>
          <w:rFonts w:ascii="Arial"/>
          <w:sz w:val="12"/>
        </w:rPr>
        <w:sectPr>
          <w:type w:val="continuous"/>
          <w:pgSz w:w="8640" w:h="12960"/>
          <w:pgMar w:header="0" w:footer="424" w:top="1220" w:bottom="280" w:left="420" w:right="1140"/>
        </w:sectPr>
      </w:pPr>
    </w:p>
    <w:p>
      <w:pPr>
        <w:spacing w:before="118"/>
        <w:ind w:left="1940" w:right="0" w:firstLine="0"/>
        <w:jc w:val="left"/>
        <w:rPr>
          <w:rFonts w:ascii="Arial" w:hAnsi="Arial"/>
          <w:sz w:val="14"/>
        </w:rPr>
      </w:pPr>
      <w:bookmarkStart w:name="Exercice 4.1 / Évaluez votre estime de s" w:id="165"/>
      <w:bookmarkEnd w:id="165"/>
      <w:r>
        <w:rPr/>
      </w:r>
      <w:bookmarkStart w:name="_bookmark73" w:id="166"/>
      <w:bookmarkEnd w:id="166"/>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color w:val="231F20"/>
          <w:w w:val="120"/>
        </w:rPr>
        <w:t>optimal qui nous permettra de gérer tous les agents stressants associés </w:t>
      </w:r>
      <w:r>
        <w:rPr>
          <w:color w:val="231F20"/>
          <w:w w:val="115"/>
        </w:rPr>
        <w:t>au</w:t>
      </w:r>
      <w:r>
        <w:rPr>
          <w:color w:val="231F20"/>
          <w:spacing w:val="-13"/>
          <w:w w:val="115"/>
        </w:rPr>
        <w:t> </w:t>
      </w:r>
      <w:r>
        <w:rPr>
          <w:color w:val="231F20"/>
          <w:w w:val="115"/>
        </w:rPr>
        <w:t>travail</w:t>
      </w:r>
      <w:r>
        <w:rPr>
          <w:color w:val="231F20"/>
          <w:spacing w:val="-12"/>
          <w:w w:val="115"/>
        </w:rPr>
        <w:t> </w:t>
      </w:r>
      <w:r>
        <w:rPr>
          <w:color w:val="231F20"/>
          <w:w w:val="115"/>
        </w:rPr>
        <w:t>avant</w:t>
      </w:r>
      <w:r>
        <w:rPr>
          <w:color w:val="231F20"/>
          <w:spacing w:val="-12"/>
          <w:w w:val="115"/>
        </w:rPr>
        <w:t> </w:t>
      </w:r>
      <w:r>
        <w:rPr>
          <w:color w:val="231F20"/>
          <w:w w:val="115"/>
        </w:rPr>
        <w:t>qu’ils</w:t>
      </w:r>
      <w:r>
        <w:rPr>
          <w:color w:val="231F20"/>
          <w:spacing w:val="-12"/>
          <w:w w:val="115"/>
        </w:rPr>
        <w:t> </w:t>
      </w:r>
      <w:r>
        <w:rPr>
          <w:color w:val="231F20"/>
          <w:w w:val="115"/>
        </w:rPr>
        <w:t>n’affectent</w:t>
      </w:r>
      <w:r>
        <w:rPr>
          <w:color w:val="231F20"/>
          <w:spacing w:val="-9"/>
          <w:w w:val="115"/>
        </w:rPr>
        <w:t> </w:t>
      </w:r>
      <w:r>
        <w:rPr>
          <w:color w:val="231F20"/>
          <w:w w:val="115"/>
        </w:rPr>
        <w:t>notre</w:t>
      </w:r>
      <w:r>
        <w:rPr>
          <w:color w:val="231F20"/>
          <w:spacing w:val="-8"/>
          <w:w w:val="115"/>
        </w:rPr>
        <w:t> </w:t>
      </w:r>
      <w:r>
        <w:rPr>
          <w:color w:val="231F20"/>
          <w:w w:val="115"/>
        </w:rPr>
        <w:t>santé</w:t>
      </w:r>
      <w:r>
        <w:rPr>
          <w:color w:val="231F20"/>
          <w:spacing w:val="-13"/>
          <w:w w:val="115"/>
        </w:rPr>
        <w:t> </w:t>
      </w:r>
      <w:r>
        <w:rPr>
          <w:color w:val="231F20"/>
          <w:w w:val="115"/>
        </w:rPr>
        <w:t>?</w:t>
      </w:r>
      <w:r>
        <w:rPr>
          <w:color w:val="231F20"/>
          <w:spacing w:val="-7"/>
          <w:w w:val="115"/>
        </w:rPr>
        <w:t> </w:t>
      </w:r>
      <w:r>
        <w:rPr>
          <w:color w:val="231F20"/>
          <w:w w:val="115"/>
        </w:rPr>
        <w:t>Comme</w:t>
      </w:r>
      <w:r>
        <w:rPr>
          <w:color w:val="231F20"/>
          <w:spacing w:val="-8"/>
          <w:w w:val="115"/>
        </w:rPr>
        <w:t> </w:t>
      </w:r>
      <w:r>
        <w:rPr>
          <w:color w:val="231F20"/>
          <w:w w:val="115"/>
        </w:rPr>
        <w:t>c’est</w:t>
      </w:r>
      <w:r>
        <w:rPr>
          <w:color w:val="231F20"/>
          <w:spacing w:val="-8"/>
          <w:w w:val="115"/>
        </w:rPr>
        <w:t> </w:t>
      </w:r>
      <w:r>
        <w:rPr>
          <w:color w:val="231F20"/>
          <w:w w:val="115"/>
        </w:rPr>
        <w:t>un</w:t>
      </w:r>
      <w:r>
        <w:rPr>
          <w:color w:val="231F20"/>
          <w:spacing w:val="-8"/>
          <w:w w:val="115"/>
        </w:rPr>
        <w:t> </w:t>
      </w:r>
      <w:r>
        <w:rPr>
          <w:color w:val="231F20"/>
          <w:w w:val="115"/>
        </w:rPr>
        <w:t>sujet</w:t>
      </w:r>
      <w:r>
        <w:rPr>
          <w:color w:val="231F20"/>
          <w:spacing w:val="-8"/>
          <w:w w:val="115"/>
        </w:rPr>
        <w:t> </w:t>
      </w:r>
      <w:r>
        <w:rPr>
          <w:color w:val="231F20"/>
          <w:w w:val="115"/>
        </w:rPr>
        <w:t>com- </w:t>
      </w:r>
      <w:r>
        <w:rPr>
          <w:color w:val="231F20"/>
          <w:spacing w:val="-2"/>
          <w:w w:val="120"/>
        </w:rPr>
        <w:t>plexe,</w:t>
      </w:r>
      <w:r>
        <w:rPr>
          <w:color w:val="231F20"/>
          <w:spacing w:val="-11"/>
          <w:w w:val="120"/>
        </w:rPr>
        <w:t> </w:t>
      </w:r>
      <w:r>
        <w:rPr>
          <w:color w:val="231F20"/>
          <w:spacing w:val="-2"/>
          <w:w w:val="120"/>
        </w:rPr>
        <w:t>plusieurs</w:t>
      </w:r>
      <w:r>
        <w:rPr>
          <w:color w:val="231F20"/>
          <w:spacing w:val="-11"/>
          <w:w w:val="120"/>
        </w:rPr>
        <w:t> </w:t>
      </w:r>
      <w:r>
        <w:rPr>
          <w:color w:val="231F20"/>
          <w:spacing w:val="-2"/>
          <w:w w:val="120"/>
        </w:rPr>
        <w:t>conceptions</w:t>
      </w:r>
      <w:r>
        <w:rPr>
          <w:color w:val="231F20"/>
          <w:spacing w:val="-11"/>
          <w:w w:val="120"/>
        </w:rPr>
        <w:t> </w:t>
      </w:r>
      <w:r>
        <w:rPr>
          <w:color w:val="231F20"/>
          <w:spacing w:val="-2"/>
          <w:w w:val="120"/>
        </w:rPr>
        <w:t>ont</w:t>
      </w:r>
      <w:r>
        <w:rPr>
          <w:color w:val="231F20"/>
          <w:spacing w:val="-10"/>
          <w:w w:val="120"/>
        </w:rPr>
        <w:t> </w:t>
      </w:r>
      <w:r>
        <w:rPr>
          <w:color w:val="231F20"/>
          <w:spacing w:val="-2"/>
          <w:w w:val="120"/>
        </w:rPr>
        <w:t>été</w:t>
      </w:r>
      <w:r>
        <w:rPr>
          <w:color w:val="231F20"/>
          <w:spacing w:val="-11"/>
          <w:w w:val="120"/>
        </w:rPr>
        <w:t> </w:t>
      </w:r>
      <w:r>
        <w:rPr>
          <w:color w:val="231F20"/>
          <w:spacing w:val="-2"/>
          <w:w w:val="120"/>
        </w:rPr>
        <w:t>mises</w:t>
      </w:r>
      <w:r>
        <w:rPr>
          <w:color w:val="231F20"/>
          <w:spacing w:val="-11"/>
          <w:w w:val="120"/>
        </w:rPr>
        <w:t> </w:t>
      </w:r>
      <w:r>
        <w:rPr>
          <w:color w:val="231F20"/>
          <w:spacing w:val="-2"/>
          <w:w w:val="120"/>
        </w:rPr>
        <w:t>de</w:t>
      </w:r>
      <w:r>
        <w:rPr>
          <w:color w:val="231F20"/>
          <w:spacing w:val="-11"/>
          <w:w w:val="120"/>
        </w:rPr>
        <w:t> </w:t>
      </w:r>
      <w:r>
        <w:rPr>
          <w:color w:val="231F20"/>
          <w:spacing w:val="-2"/>
          <w:w w:val="120"/>
        </w:rPr>
        <w:t>l’avant,</w:t>
      </w:r>
      <w:r>
        <w:rPr>
          <w:color w:val="231F20"/>
          <w:spacing w:val="-10"/>
          <w:w w:val="120"/>
        </w:rPr>
        <w:t> </w:t>
      </w:r>
      <w:r>
        <w:rPr>
          <w:color w:val="231F20"/>
          <w:spacing w:val="-2"/>
          <w:w w:val="120"/>
        </w:rPr>
        <w:t>dont</w:t>
      </w:r>
      <w:r>
        <w:rPr>
          <w:color w:val="231F20"/>
          <w:spacing w:val="-11"/>
          <w:w w:val="120"/>
        </w:rPr>
        <w:t> </w:t>
      </w:r>
      <w:r>
        <w:rPr>
          <w:color w:val="231F20"/>
          <w:spacing w:val="-2"/>
          <w:w w:val="120"/>
        </w:rPr>
        <w:t>quelques-unes </w:t>
      </w:r>
      <w:r>
        <w:rPr>
          <w:color w:val="231F20"/>
          <w:w w:val="120"/>
        </w:rPr>
        <w:t>présentées</w:t>
      </w:r>
      <w:r>
        <w:rPr>
          <w:color w:val="231F20"/>
          <w:spacing w:val="-3"/>
          <w:w w:val="120"/>
        </w:rPr>
        <w:t> </w:t>
      </w:r>
      <w:r>
        <w:rPr>
          <w:color w:val="231F20"/>
          <w:w w:val="120"/>
        </w:rPr>
        <w:t>dans le présent chapitre</w:t>
      </w:r>
      <w:r>
        <w:rPr>
          <w:color w:val="231F20"/>
          <w:spacing w:val="-13"/>
          <w:w w:val="120"/>
        </w:rPr>
        <w:t> </w:t>
      </w:r>
      <w:r>
        <w:rPr>
          <w:color w:val="231F20"/>
          <w:w w:val="120"/>
        </w:rPr>
        <w:t>; certaines peuvent d’ailleurs vous interpeler</w:t>
      </w:r>
      <w:r>
        <w:rPr>
          <w:color w:val="231F20"/>
          <w:spacing w:val="-6"/>
          <w:w w:val="120"/>
        </w:rPr>
        <w:t> </w:t>
      </w:r>
      <w:r>
        <w:rPr>
          <w:color w:val="231F20"/>
          <w:w w:val="120"/>
        </w:rPr>
        <w:t>plus</w:t>
      </w:r>
      <w:r>
        <w:rPr>
          <w:color w:val="231F20"/>
          <w:spacing w:val="-6"/>
          <w:w w:val="120"/>
        </w:rPr>
        <w:t> </w:t>
      </w:r>
      <w:r>
        <w:rPr>
          <w:color w:val="231F20"/>
          <w:w w:val="120"/>
        </w:rPr>
        <w:t>que</w:t>
      </w:r>
      <w:r>
        <w:rPr>
          <w:color w:val="231F20"/>
          <w:spacing w:val="-6"/>
          <w:w w:val="120"/>
        </w:rPr>
        <w:t> </w:t>
      </w:r>
      <w:r>
        <w:rPr>
          <w:color w:val="231F20"/>
          <w:w w:val="120"/>
        </w:rPr>
        <w:t>d’autres.</w:t>
      </w:r>
      <w:r>
        <w:rPr>
          <w:color w:val="231F20"/>
          <w:spacing w:val="-6"/>
          <w:w w:val="120"/>
        </w:rPr>
        <w:t> </w:t>
      </w:r>
      <w:r>
        <w:rPr>
          <w:color w:val="231F20"/>
          <w:w w:val="120"/>
        </w:rPr>
        <w:t>Quoi</w:t>
      </w:r>
      <w:r>
        <w:rPr>
          <w:color w:val="231F20"/>
          <w:spacing w:val="-6"/>
          <w:w w:val="120"/>
        </w:rPr>
        <w:t> </w:t>
      </w:r>
      <w:r>
        <w:rPr>
          <w:color w:val="231F20"/>
          <w:w w:val="120"/>
        </w:rPr>
        <w:t>qu’il</w:t>
      </w:r>
      <w:r>
        <w:rPr>
          <w:color w:val="231F20"/>
          <w:spacing w:val="-6"/>
          <w:w w:val="120"/>
        </w:rPr>
        <w:t> </w:t>
      </w:r>
      <w:r>
        <w:rPr>
          <w:color w:val="231F20"/>
          <w:w w:val="120"/>
        </w:rPr>
        <w:t>en</w:t>
      </w:r>
      <w:r>
        <w:rPr>
          <w:color w:val="231F20"/>
          <w:spacing w:val="-6"/>
          <w:w w:val="120"/>
        </w:rPr>
        <w:t> </w:t>
      </w:r>
      <w:r>
        <w:rPr>
          <w:color w:val="231F20"/>
          <w:w w:val="120"/>
        </w:rPr>
        <w:t>soit,</w:t>
      </w:r>
      <w:r>
        <w:rPr>
          <w:color w:val="231F20"/>
          <w:spacing w:val="-6"/>
          <w:w w:val="120"/>
        </w:rPr>
        <w:t> </w:t>
      </w:r>
      <w:r>
        <w:rPr>
          <w:color w:val="231F20"/>
          <w:w w:val="120"/>
        </w:rPr>
        <w:t>force</w:t>
      </w:r>
      <w:r>
        <w:rPr>
          <w:color w:val="231F20"/>
          <w:spacing w:val="-6"/>
          <w:w w:val="120"/>
        </w:rPr>
        <w:t> </w:t>
      </w:r>
      <w:r>
        <w:rPr>
          <w:color w:val="231F20"/>
          <w:w w:val="120"/>
        </w:rPr>
        <w:t>est</w:t>
      </w:r>
      <w:r>
        <w:rPr>
          <w:color w:val="231F20"/>
          <w:spacing w:val="-6"/>
          <w:w w:val="120"/>
        </w:rPr>
        <w:t> </w:t>
      </w:r>
      <w:r>
        <w:rPr>
          <w:color w:val="231F20"/>
          <w:w w:val="120"/>
        </w:rPr>
        <w:t>de</w:t>
      </w:r>
      <w:r>
        <w:rPr>
          <w:color w:val="231F20"/>
          <w:spacing w:val="-6"/>
          <w:w w:val="120"/>
        </w:rPr>
        <w:t> </w:t>
      </w:r>
      <w:r>
        <w:rPr>
          <w:color w:val="231F20"/>
          <w:w w:val="120"/>
        </w:rPr>
        <w:t>reconnaître qu’en cette matière, aucune recette miracle n’existe.</w:t>
      </w:r>
    </w:p>
    <w:p>
      <w:pPr>
        <w:pStyle w:val="BodyText"/>
        <w:spacing w:line="307" w:lineRule="auto" w:before="79"/>
        <w:ind w:left="1220" w:right="100" w:firstLine="250"/>
        <w:jc w:val="both"/>
      </w:pPr>
      <w:r>
        <w:rPr>
          <w:color w:val="231F20"/>
          <w:spacing w:val="-2"/>
          <w:w w:val="120"/>
        </w:rPr>
        <w:t>Pour</w:t>
      </w:r>
      <w:r>
        <w:rPr>
          <w:color w:val="231F20"/>
          <w:spacing w:val="-9"/>
          <w:w w:val="120"/>
        </w:rPr>
        <w:t> </w:t>
      </w:r>
      <w:r>
        <w:rPr>
          <w:color w:val="231F20"/>
          <w:spacing w:val="-2"/>
          <w:w w:val="120"/>
        </w:rPr>
        <w:t>terminer,</w:t>
      </w:r>
      <w:r>
        <w:rPr>
          <w:color w:val="231F20"/>
          <w:spacing w:val="-9"/>
          <w:w w:val="120"/>
        </w:rPr>
        <w:t> </w:t>
      </w:r>
      <w:r>
        <w:rPr>
          <w:color w:val="231F20"/>
          <w:spacing w:val="-2"/>
          <w:w w:val="120"/>
        </w:rPr>
        <w:t>nous</w:t>
      </w:r>
      <w:r>
        <w:rPr>
          <w:color w:val="231F20"/>
          <w:spacing w:val="-9"/>
          <w:w w:val="120"/>
        </w:rPr>
        <w:t> </w:t>
      </w:r>
      <w:r>
        <w:rPr>
          <w:color w:val="231F20"/>
          <w:spacing w:val="-2"/>
          <w:w w:val="120"/>
        </w:rPr>
        <w:t>devons</w:t>
      </w:r>
      <w:r>
        <w:rPr>
          <w:color w:val="231F20"/>
          <w:spacing w:val="-9"/>
          <w:w w:val="120"/>
        </w:rPr>
        <w:t> </w:t>
      </w:r>
      <w:r>
        <w:rPr>
          <w:color w:val="231F20"/>
          <w:spacing w:val="-2"/>
          <w:w w:val="120"/>
        </w:rPr>
        <w:t>garder</w:t>
      </w:r>
      <w:r>
        <w:rPr>
          <w:color w:val="231F20"/>
          <w:spacing w:val="-9"/>
          <w:w w:val="120"/>
        </w:rPr>
        <w:t> </w:t>
      </w:r>
      <w:r>
        <w:rPr>
          <w:color w:val="231F20"/>
          <w:spacing w:val="-2"/>
          <w:w w:val="120"/>
        </w:rPr>
        <w:t>à</w:t>
      </w:r>
      <w:r>
        <w:rPr>
          <w:color w:val="231F20"/>
          <w:spacing w:val="-9"/>
          <w:w w:val="120"/>
        </w:rPr>
        <w:t> </w:t>
      </w:r>
      <w:r>
        <w:rPr>
          <w:color w:val="231F20"/>
          <w:spacing w:val="-2"/>
          <w:w w:val="120"/>
        </w:rPr>
        <w:t>l’esprit</w:t>
      </w:r>
      <w:r>
        <w:rPr>
          <w:color w:val="231F20"/>
          <w:spacing w:val="-9"/>
          <w:w w:val="120"/>
        </w:rPr>
        <w:t> </w:t>
      </w:r>
      <w:r>
        <w:rPr>
          <w:color w:val="231F20"/>
          <w:spacing w:val="-2"/>
          <w:w w:val="120"/>
        </w:rPr>
        <w:t>que</w:t>
      </w:r>
      <w:r>
        <w:rPr>
          <w:color w:val="231F20"/>
          <w:spacing w:val="-9"/>
          <w:w w:val="120"/>
        </w:rPr>
        <w:t> </w:t>
      </w:r>
      <w:r>
        <w:rPr>
          <w:color w:val="231F20"/>
          <w:spacing w:val="-2"/>
          <w:w w:val="120"/>
        </w:rPr>
        <w:t>pour</w:t>
      </w:r>
      <w:r>
        <w:rPr>
          <w:color w:val="231F20"/>
          <w:spacing w:val="-9"/>
          <w:w w:val="120"/>
        </w:rPr>
        <w:t> </w:t>
      </w:r>
      <w:r>
        <w:rPr>
          <w:color w:val="231F20"/>
          <w:spacing w:val="-2"/>
          <w:w w:val="120"/>
        </w:rPr>
        <w:t>jauger</w:t>
      </w:r>
      <w:r>
        <w:rPr>
          <w:color w:val="231F20"/>
          <w:spacing w:val="-9"/>
          <w:w w:val="120"/>
        </w:rPr>
        <w:t> </w:t>
      </w:r>
      <w:r>
        <w:rPr>
          <w:color w:val="231F20"/>
          <w:spacing w:val="-2"/>
          <w:w w:val="120"/>
        </w:rPr>
        <w:t>la</w:t>
      </w:r>
      <w:r>
        <w:rPr>
          <w:color w:val="231F20"/>
          <w:spacing w:val="-9"/>
          <w:w w:val="120"/>
        </w:rPr>
        <w:t> </w:t>
      </w:r>
      <w:r>
        <w:rPr>
          <w:color w:val="231F20"/>
          <w:spacing w:val="-2"/>
          <w:w w:val="120"/>
        </w:rPr>
        <w:t>valeur </w:t>
      </w:r>
      <w:r>
        <w:rPr>
          <w:color w:val="231F20"/>
          <w:w w:val="120"/>
        </w:rPr>
        <w:t>de</w:t>
      </w:r>
      <w:r>
        <w:rPr>
          <w:color w:val="231F20"/>
          <w:spacing w:val="-6"/>
          <w:w w:val="120"/>
        </w:rPr>
        <w:t> </w:t>
      </w:r>
      <w:r>
        <w:rPr>
          <w:color w:val="231F20"/>
          <w:w w:val="120"/>
        </w:rPr>
        <w:t>l’estime</w:t>
      </w:r>
      <w:r>
        <w:rPr>
          <w:color w:val="231F20"/>
          <w:spacing w:val="-6"/>
          <w:w w:val="120"/>
        </w:rPr>
        <w:t> </w:t>
      </w:r>
      <w:r>
        <w:rPr>
          <w:color w:val="231F20"/>
          <w:w w:val="120"/>
        </w:rPr>
        <w:t>de</w:t>
      </w:r>
      <w:r>
        <w:rPr>
          <w:color w:val="231F20"/>
          <w:spacing w:val="-6"/>
          <w:w w:val="120"/>
        </w:rPr>
        <w:t> </w:t>
      </w:r>
      <w:r>
        <w:rPr>
          <w:color w:val="231F20"/>
          <w:w w:val="120"/>
        </w:rPr>
        <w:t>soi,</w:t>
      </w:r>
      <w:r>
        <w:rPr>
          <w:color w:val="231F20"/>
          <w:spacing w:val="-6"/>
          <w:w w:val="120"/>
        </w:rPr>
        <w:t> </w:t>
      </w:r>
      <w:r>
        <w:rPr>
          <w:color w:val="231F20"/>
          <w:w w:val="120"/>
        </w:rPr>
        <w:t>il</w:t>
      </w:r>
      <w:r>
        <w:rPr>
          <w:color w:val="231F20"/>
          <w:spacing w:val="-6"/>
          <w:w w:val="120"/>
        </w:rPr>
        <w:t> </w:t>
      </w:r>
      <w:r>
        <w:rPr>
          <w:color w:val="231F20"/>
          <w:w w:val="120"/>
        </w:rPr>
        <w:t>faut</w:t>
      </w:r>
      <w:r>
        <w:rPr>
          <w:color w:val="231F20"/>
          <w:spacing w:val="-6"/>
          <w:w w:val="120"/>
        </w:rPr>
        <w:t> </w:t>
      </w:r>
      <w:r>
        <w:rPr>
          <w:color w:val="231F20"/>
          <w:w w:val="120"/>
        </w:rPr>
        <w:t>tout</w:t>
      </w:r>
      <w:r>
        <w:rPr>
          <w:color w:val="231F20"/>
          <w:spacing w:val="-6"/>
          <w:w w:val="120"/>
        </w:rPr>
        <w:t> </w:t>
      </w:r>
      <w:r>
        <w:rPr>
          <w:color w:val="231F20"/>
          <w:w w:val="120"/>
        </w:rPr>
        <w:t>d’abord</w:t>
      </w:r>
      <w:r>
        <w:rPr>
          <w:color w:val="231F20"/>
          <w:spacing w:val="-6"/>
          <w:w w:val="120"/>
        </w:rPr>
        <w:t> </w:t>
      </w:r>
      <w:r>
        <w:rPr>
          <w:color w:val="231F20"/>
          <w:w w:val="120"/>
        </w:rPr>
        <w:t>disposer</w:t>
      </w:r>
      <w:r>
        <w:rPr>
          <w:color w:val="231F20"/>
          <w:spacing w:val="-6"/>
          <w:w w:val="120"/>
        </w:rPr>
        <w:t> </w:t>
      </w:r>
      <w:r>
        <w:rPr>
          <w:color w:val="231F20"/>
          <w:w w:val="120"/>
        </w:rPr>
        <w:t>d’un</w:t>
      </w:r>
      <w:r>
        <w:rPr>
          <w:color w:val="231F20"/>
          <w:spacing w:val="-6"/>
          <w:w w:val="120"/>
        </w:rPr>
        <w:t> </w:t>
      </w:r>
      <w:r>
        <w:rPr>
          <w:color w:val="231F20"/>
          <w:w w:val="120"/>
        </w:rPr>
        <w:t>moyen</w:t>
      </w:r>
      <w:r>
        <w:rPr>
          <w:color w:val="231F20"/>
          <w:spacing w:val="-6"/>
          <w:w w:val="120"/>
        </w:rPr>
        <w:t> </w:t>
      </w:r>
      <w:r>
        <w:rPr>
          <w:color w:val="231F20"/>
          <w:w w:val="120"/>
        </w:rPr>
        <w:t>fiable</w:t>
      </w:r>
      <w:r>
        <w:rPr>
          <w:color w:val="231F20"/>
          <w:spacing w:val="-6"/>
          <w:w w:val="120"/>
        </w:rPr>
        <w:t> </w:t>
      </w:r>
      <w:r>
        <w:rPr>
          <w:color w:val="231F20"/>
          <w:w w:val="120"/>
        </w:rPr>
        <w:t>de</w:t>
      </w:r>
      <w:r>
        <w:rPr>
          <w:color w:val="231F20"/>
          <w:spacing w:val="-6"/>
          <w:w w:val="120"/>
        </w:rPr>
        <w:t> </w:t>
      </w:r>
      <w:r>
        <w:rPr>
          <w:color w:val="231F20"/>
          <w:w w:val="120"/>
        </w:rPr>
        <w:t>la mesurer. La plupart des chercheurs se contentent de demander à leurs sujets</w:t>
      </w:r>
      <w:r>
        <w:rPr>
          <w:color w:val="231F20"/>
          <w:spacing w:val="-11"/>
          <w:w w:val="120"/>
        </w:rPr>
        <w:t> </w:t>
      </w:r>
      <w:r>
        <w:rPr>
          <w:color w:val="231F20"/>
          <w:w w:val="120"/>
        </w:rPr>
        <w:t>ce</w:t>
      </w:r>
      <w:r>
        <w:rPr>
          <w:color w:val="231F20"/>
          <w:spacing w:val="-11"/>
          <w:w w:val="120"/>
        </w:rPr>
        <w:t> </w:t>
      </w:r>
      <w:r>
        <w:rPr>
          <w:color w:val="231F20"/>
          <w:w w:val="120"/>
        </w:rPr>
        <w:t>qu’ils</w:t>
      </w:r>
      <w:r>
        <w:rPr>
          <w:color w:val="231F20"/>
          <w:spacing w:val="-11"/>
          <w:w w:val="120"/>
        </w:rPr>
        <w:t> </w:t>
      </w:r>
      <w:r>
        <w:rPr>
          <w:color w:val="231F20"/>
          <w:w w:val="120"/>
        </w:rPr>
        <w:t>pensent</w:t>
      </w:r>
      <w:r>
        <w:rPr>
          <w:color w:val="231F20"/>
          <w:spacing w:val="-11"/>
          <w:w w:val="120"/>
        </w:rPr>
        <w:t> </w:t>
      </w:r>
      <w:r>
        <w:rPr>
          <w:color w:val="231F20"/>
          <w:w w:val="120"/>
        </w:rPr>
        <w:t>d’eux-mêmes.</w:t>
      </w:r>
      <w:r>
        <w:rPr>
          <w:color w:val="231F20"/>
          <w:spacing w:val="-11"/>
          <w:w w:val="120"/>
        </w:rPr>
        <w:t> </w:t>
      </w:r>
      <w:r>
        <w:rPr>
          <w:color w:val="231F20"/>
          <w:w w:val="120"/>
        </w:rPr>
        <w:t>Naturellement,</w:t>
      </w:r>
      <w:r>
        <w:rPr>
          <w:color w:val="231F20"/>
          <w:spacing w:val="-11"/>
          <w:w w:val="120"/>
        </w:rPr>
        <w:t> </w:t>
      </w:r>
      <w:r>
        <w:rPr>
          <w:color w:val="231F20"/>
          <w:w w:val="120"/>
        </w:rPr>
        <w:t>les</w:t>
      </w:r>
      <w:r>
        <w:rPr>
          <w:color w:val="231F20"/>
          <w:spacing w:val="-11"/>
          <w:w w:val="120"/>
        </w:rPr>
        <w:t> </w:t>
      </w:r>
      <w:r>
        <w:rPr>
          <w:color w:val="231F20"/>
          <w:w w:val="120"/>
        </w:rPr>
        <w:t>réponses</w:t>
      </w:r>
      <w:r>
        <w:rPr>
          <w:color w:val="231F20"/>
          <w:spacing w:val="-11"/>
          <w:w w:val="120"/>
        </w:rPr>
        <w:t> </w:t>
      </w:r>
      <w:r>
        <w:rPr>
          <w:color w:val="231F20"/>
          <w:w w:val="120"/>
        </w:rPr>
        <w:t>sont souvent</w:t>
      </w:r>
      <w:r>
        <w:rPr>
          <w:color w:val="231F20"/>
          <w:w w:val="120"/>
        </w:rPr>
        <w:t> biaisées</w:t>
      </w:r>
      <w:r>
        <w:rPr>
          <w:color w:val="231F20"/>
          <w:w w:val="120"/>
        </w:rPr>
        <w:t> par</w:t>
      </w:r>
      <w:r>
        <w:rPr>
          <w:color w:val="231F20"/>
          <w:w w:val="120"/>
        </w:rPr>
        <w:t> la</w:t>
      </w:r>
      <w:r>
        <w:rPr>
          <w:color w:val="231F20"/>
          <w:w w:val="120"/>
        </w:rPr>
        <w:t> tendance</w:t>
      </w:r>
      <w:r>
        <w:rPr>
          <w:color w:val="231F20"/>
          <w:w w:val="120"/>
        </w:rPr>
        <w:t> courante</w:t>
      </w:r>
      <w:r>
        <w:rPr>
          <w:color w:val="231F20"/>
          <w:w w:val="120"/>
        </w:rPr>
        <w:t> à</w:t>
      </w:r>
      <w:r>
        <w:rPr>
          <w:color w:val="231F20"/>
          <w:w w:val="120"/>
        </w:rPr>
        <w:t> vouloir</w:t>
      </w:r>
      <w:r>
        <w:rPr>
          <w:color w:val="231F20"/>
          <w:w w:val="120"/>
        </w:rPr>
        <w:t> bien</w:t>
      </w:r>
      <w:r>
        <w:rPr>
          <w:color w:val="231F20"/>
          <w:w w:val="120"/>
        </w:rPr>
        <w:t> paraître. Malheureusement, les psychologues n’ont pas de meilleure méthode, </w:t>
      </w:r>
      <w:r>
        <w:rPr>
          <w:color w:val="231F20"/>
          <w:w w:val="115"/>
        </w:rPr>
        <w:t>pour</w:t>
      </w:r>
      <w:r>
        <w:rPr>
          <w:color w:val="231F20"/>
          <w:spacing w:val="5"/>
          <w:w w:val="115"/>
        </w:rPr>
        <w:t> </w:t>
      </w:r>
      <w:r>
        <w:rPr>
          <w:color w:val="231F20"/>
          <w:w w:val="115"/>
        </w:rPr>
        <w:t>l’instant,</w:t>
      </w:r>
      <w:r>
        <w:rPr>
          <w:color w:val="231F20"/>
          <w:spacing w:val="6"/>
          <w:w w:val="115"/>
        </w:rPr>
        <w:t> </w:t>
      </w:r>
      <w:r>
        <w:rPr>
          <w:color w:val="231F20"/>
          <w:w w:val="115"/>
        </w:rPr>
        <w:t>afin</w:t>
      </w:r>
      <w:r>
        <w:rPr>
          <w:color w:val="231F20"/>
          <w:spacing w:val="6"/>
          <w:w w:val="115"/>
        </w:rPr>
        <w:t> </w:t>
      </w:r>
      <w:r>
        <w:rPr>
          <w:color w:val="231F20"/>
          <w:w w:val="115"/>
        </w:rPr>
        <w:t>d’évaluer</w:t>
      </w:r>
      <w:r>
        <w:rPr>
          <w:color w:val="231F20"/>
          <w:spacing w:val="6"/>
          <w:w w:val="115"/>
        </w:rPr>
        <w:t> </w:t>
      </w:r>
      <w:r>
        <w:rPr>
          <w:color w:val="231F20"/>
          <w:w w:val="115"/>
        </w:rPr>
        <w:t>le</w:t>
      </w:r>
      <w:r>
        <w:rPr>
          <w:color w:val="231F20"/>
          <w:spacing w:val="6"/>
          <w:w w:val="115"/>
        </w:rPr>
        <w:t> </w:t>
      </w:r>
      <w:r>
        <w:rPr>
          <w:color w:val="231F20"/>
          <w:w w:val="115"/>
        </w:rPr>
        <w:t>phénomène</w:t>
      </w:r>
      <w:r>
        <w:rPr>
          <w:color w:val="231F20"/>
          <w:spacing w:val="6"/>
          <w:w w:val="115"/>
        </w:rPr>
        <w:t> </w:t>
      </w:r>
      <w:r>
        <w:rPr>
          <w:color w:val="231F20"/>
          <w:w w:val="115"/>
        </w:rPr>
        <w:t>complexe</w:t>
      </w:r>
      <w:r>
        <w:rPr>
          <w:color w:val="231F20"/>
          <w:spacing w:val="6"/>
          <w:w w:val="115"/>
        </w:rPr>
        <w:t> </w:t>
      </w:r>
      <w:r>
        <w:rPr>
          <w:color w:val="231F20"/>
          <w:w w:val="115"/>
        </w:rPr>
        <w:t>de</w:t>
      </w:r>
      <w:r>
        <w:rPr>
          <w:color w:val="231F20"/>
          <w:spacing w:val="6"/>
          <w:w w:val="115"/>
        </w:rPr>
        <w:t> </w:t>
      </w:r>
      <w:r>
        <w:rPr>
          <w:color w:val="231F20"/>
          <w:w w:val="115"/>
        </w:rPr>
        <w:t>l’estime</w:t>
      </w:r>
      <w:r>
        <w:rPr>
          <w:color w:val="231F20"/>
          <w:spacing w:val="6"/>
          <w:w w:val="115"/>
        </w:rPr>
        <w:t> </w:t>
      </w:r>
      <w:r>
        <w:rPr>
          <w:color w:val="231F20"/>
          <w:w w:val="115"/>
        </w:rPr>
        <w:t>de</w:t>
      </w:r>
      <w:r>
        <w:rPr>
          <w:color w:val="231F20"/>
          <w:spacing w:val="5"/>
          <w:w w:val="115"/>
        </w:rPr>
        <w:t> </w:t>
      </w:r>
      <w:r>
        <w:rPr>
          <w:color w:val="231F20"/>
          <w:spacing w:val="-4"/>
          <w:w w:val="115"/>
        </w:rPr>
        <w:t>soi.</w:t>
      </w:r>
    </w:p>
    <w:p>
      <w:pPr>
        <w:pStyle w:val="BodyText"/>
        <w:rPr>
          <w:sz w:val="24"/>
        </w:rPr>
      </w:pPr>
    </w:p>
    <w:p>
      <w:pPr>
        <w:spacing w:before="184"/>
        <w:ind w:left="1220" w:right="0" w:firstLine="0"/>
        <w:jc w:val="both"/>
        <w:rPr>
          <w:rFonts w:ascii="Arial"/>
          <w:i/>
          <w:sz w:val="21"/>
        </w:rPr>
      </w:pPr>
      <w:r>
        <w:rPr>
          <w:rFonts w:ascii="Arial"/>
          <w:color w:val="231F20"/>
          <w:w w:val="95"/>
          <w:sz w:val="21"/>
        </w:rPr>
        <w:t>exerCiCe</w:t>
      </w:r>
      <w:r>
        <w:rPr>
          <w:rFonts w:ascii="Arial"/>
          <w:color w:val="231F20"/>
          <w:spacing w:val="-1"/>
          <w:w w:val="95"/>
          <w:sz w:val="21"/>
        </w:rPr>
        <w:t> </w:t>
      </w:r>
      <w:r>
        <w:rPr>
          <w:rFonts w:ascii="Arial"/>
          <w:color w:val="231F20"/>
          <w:w w:val="95"/>
          <w:sz w:val="21"/>
        </w:rPr>
        <w:t>4.1</w:t>
      </w:r>
      <w:r>
        <w:rPr>
          <w:rFonts w:ascii="Arial"/>
          <w:color w:val="231F20"/>
          <w:spacing w:val="-15"/>
          <w:w w:val="95"/>
          <w:sz w:val="21"/>
        </w:rPr>
        <w:t> </w:t>
      </w:r>
      <w:r>
        <w:rPr>
          <w:rFonts w:ascii="Arial"/>
          <w:i/>
          <w:color w:val="231F20"/>
          <w:spacing w:val="-10"/>
          <w:w w:val="95"/>
          <w:sz w:val="21"/>
        </w:rPr>
        <w:t>/</w:t>
      </w:r>
    </w:p>
    <w:p>
      <w:pPr>
        <w:pStyle w:val="Heading2"/>
        <w:spacing w:before="8"/>
        <w:ind w:left="1220"/>
        <w:jc w:val="both"/>
      </w:pPr>
      <w:r>
        <w:rPr>
          <w:color w:val="231F20"/>
          <w:w w:val="95"/>
        </w:rPr>
        <w:t>Évaluez</w:t>
      </w:r>
      <w:r>
        <w:rPr>
          <w:color w:val="231F20"/>
          <w:spacing w:val="-4"/>
          <w:w w:val="95"/>
        </w:rPr>
        <w:t> </w:t>
      </w:r>
      <w:r>
        <w:rPr>
          <w:color w:val="231F20"/>
          <w:w w:val="95"/>
        </w:rPr>
        <w:t>votre</w:t>
      </w:r>
      <w:r>
        <w:rPr>
          <w:color w:val="231F20"/>
          <w:spacing w:val="-3"/>
          <w:w w:val="95"/>
        </w:rPr>
        <w:t> </w:t>
      </w:r>
      <w:r>
        <w:rPr>
          <w:color w:val="231F20"/>
          <w:w w:val="95"/>
        </w:rPr>
        <w:t>estime</w:t>
      </w:r>
      <w:r>
        <w:rPr>
          <w:color w:val="231F20"/>
          <w:spacing w:val="-3"/>
          <w:w w:val="95"/>
        </w:rPr>
        <w:t> </w:t>
      </w:r>
      <w:r>
        <w:rPr>
          <w:color w:val="231F20"/>
          <w:w w:val="95"/>
        </w:rPr>
        <w:t>de</w:t>
      </w:r>
      <w:r>
        <w:rPr>
          <w:color w:val="231F20"/>
          <w:spacing w:val="-3"/>
          <w:w w:val="95"/>
        </w:rPr>
        <w:t> </w:t>
      </w:r>
      <w:r>
        <w:rPr>
          <w:color w:val="231F20"/>
          <w:spacing w:val="-5"/>
          <w:w w:val="95"/>
        </w:rPr>
        <w:t>soi</w:t>
      </w:r>
    </w:p>
    <w:p>
      <w:pPr>
        <w:pStyle w:val="BodyText"/>
        <w:spacing w:before="10"/>
        <w:rPr>
          <w:rFonts w:ascii="Arial"/>
          <w:b/>
          <w:sz w:val="25"/>
        </w:rPr>
      </w:pPr>
    </w:p>
    <w:p>
      <w:pPr>
        <w:pStyle w:val="Heading6"/>
        <w:ind w:left="1220"/>
        <w:jc w:val="left"/>
        <w:rPr>
          <w:rFonts w:ascii="Times New Roman"/>
        </w:rPr>
      </w:pPr>
      <w:r>
        <w:rPr>
          <w:rFonts w:ascii="Times New Roman"/>
          <w:color w:val="231F20"/>
          <w:spacing w:val="-2"/>
          <w:w w:val="115"/>
        </w:rPr>
        <w:t>Consignes</w:t>
      </w:r>
    </w:p>
    <w:p>
      <w:pPr>
        <w:pStyle w:val="BodyText"/>
        <w:spacing w:before="134"/>
        <w:ind w:left="1220"/>
      </w:pPr>
      <w:r>
        <w:rPr>
          <w:color w:val="231F20"/>
          <w:w w:val="120"/>
        </w:rPr>
        <w:t>Donnez</w:t>
      </w:r>
      <w:r>
        <w:rPr>
          <w:color w:val="231F20"/>
          <w:spacing w:val="-10"/>
          <w:w w:val="120"/>
        </w:rPr>
        <w:t> </w:t>
      </w:r>
      <w:r>
        <w:rPr>
          <w:color w:val="231F20"/>
          <w:w w:val="120"/>
        </w:rPr>
        <w:t>une</w:t>
      </w:r>
      <w:r>
        <w:rPr>
          <w:color w:val="231F20"/>
          <w:spacing w:val="-9"/>
          <w:w w:val="120"/>
        </w:rPr>
        <w:t> </w:t>
      </w:r>
      <w:r>
        <w:rPr>
          <w:color w:val="231F20"/>
          <w:w w:val="120"/>
        </w:rPr>
        <w:t>valeur</w:t>
      </w:r>
      <w:r>
        <w:rPr>
          <w:color w:val="231F20"/>
          <w:spacing w:val="-9"/>
          <w:w w:val="120"/>
        </w:rPr>
        <w:t> </w:t>
      </w:r>
      <w:r>
        <w:rPr>
          <w:color w:val="231F20"/>
          <w:w w:val="120"/>
        </w:rPr>
        <w:t>numérique</w:t>
      </w:r>
      <w:r>
        <w:rPr>
          <w:color w:val="231F20"/>
          <w:spacing w:val="-10"/>
          <w:w w:val="120"/>
        </w:rPr>
        <w:t> </w:t>
      </w:r>
      <w:r>
        <w:rPr>
          <w:color w:val="231F20"/>
          <w:w w:val="120"/>
        </w:rPr>
        <w:t>aux</w:t>
      </w:r>
      <w:r>
        <w:rPr>
          <w:color w:val="231F20"/>
          <w:spacing w:val="-9"/>
          <w:w w:val="120"/>
        </w:rPr>
        <w:t> </w:t>
      </w:r>
      <w:r>
        <w:rPr>
          <w:color w:val="231F20"/>
          <w:w w:val="120"/>
        </w:rPr>
        <w:t>énoncés</w:t>
      </w:r>
      <w:r>
        <w:rPr>
          <w:color w:val="231F20"/>
          <w:spacing w:val="-9"/>
          <w:w w:val="120"/>
        </w:rPr>
        <w:t> </w:t>
      </w:r>
      <w:r>
        <w:rPr>
          <w:color w:val="231F20"/>
          <w:spacing w:val="-2"/>
          <w:w w:val="120"/>
        </w:rPr>
        <w:t>suivants:</w:t>
      </w:r>
    </w:p>
    <w:p>
      <w:pPr>
        <w:pStyle w:val="BodyText"/>
        <w:spacing w:before="5"/>
        <w:rPr>
          <w:sz w:val="14"/>
        </w:rPr>
      </w:pPr>
    </w:p>
    <w:tbl>
      <w:tblPr>
        <w:tblW w:w="0" w:type="auto"/>
        <w:jc w:val="left"/>
        <w:tblInd w:w="1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3"/>
        <w:gridCol w:w="1489"/>
        <w:gridCol w:w="1896"/>
        <w:gridCol w:w="1134"/>
      </w:tblGrid>
      <w:tr>
        <w:trPr>
          <w:trHeight w:val="372" w:hRule="atLeast"/>
        </w:trPr>
        <w:tc>
          <w:tcPr>
            <w:tcW w:w="1233" w:type="dxa"/>
            <w:tcBorders>
              <w:top w:val="single" w:sz="2" w:space="0" w:color="231F20"/>
              <w:left w:val="single" w:sz="2" w:space="0" w:color="231F20"/>
            </w:tcBorders>
          </w:tcPr>
          <w:p>
            <w:pPr>
              <w:pStyle w:val="TableParagraph"/>
              <w:spacing w:before="10"/>
              <w:rPr>
                <w:rFonts w:ascii="Times New Roman"/>
                <w:sz w:val="18"/>
              </w:rPr>
            </w:pPr>
          </w:p>
          <w:p>
            <w:pPr>
              <w:pStyle w:val="TableParagraph"/>
              <w:spacing w:line="135" w:lineRule="exact"/>
              <w:ind w:left="240"/>
              <w:rPr>
                <w:b/>
                <w:sz w:val="14"/>
              </w:rPr>
            </w:pPr>
            <w:r>
              <w:rPr>
                <w:b/>
                <w:color w:val="231F20"/>
                <w:spacing w:val="-2"/>
                <w:sz w:val="14"/>
              </w:rPr>
              <w:t>Jamais</w:t>
            </w:r>
          </w:p>
        </w:tc>
        <w:tc>
          <w:tcPr>
            <w:tcW w:w="1489" w:type="dxa"/>
            <w:tcBorders>
              <w:top w:val="single" w:sz="2" w:space="0" w:color="231F20"/>
            </w:tcBorders>
          </w:tcPr>
          <w:p>
            <w:pPr>
              <w:pStyle w:val="TableParagraph"/>
              <w:spacing w:before="10"/>
              <w:rPr>
                <w:rFonts w:ascii="Times New Roman"/>
                <w:sz w:val="18"/>
              </w:rPr>
            </w:pPr>
          </w:p>
          <w:p>
            <w:pPr>
              <w:pStyle w:val="TableParagraph"/>
              <w:spacing w:line="135" w:lineRule="exact"/>
              <w:ind w:left="538" w:right="449"/>
              <w:jc w:val="center"/>
              <w:rPr>
                <w:b/>
                <w:sz w:val="14"/>
              </w:rPr>
            </w:pPr>
            <w:r>
              <w:rPr>
                <w:b/>
                <w:color w:val="231F20"/>
                <w:spacing w:val="-2"/>
                <w:sz w:val="14"/>
              </w:rPr>
              <w:t>Parfois</w:t>
            </w:r>
          </w:p>
        </w:tc>
        <w:tc>
          <w:tcPr>
            <w:tcW w:w="1896" w:type="dxa"/>
            <w:tcBorders>
              <w:top w:val="single" w:sz="2" w:space="0" w:color="231F20"/>
            </w:tcBorders>
          </w:tcPr>
          <w:p>
            <w:pPr>
              <w:pStyle w:val="TableParagraph"/>
              <w:spacing w:before="10"/>
              <w:rPr>
                <w:rFonts w:ascii="Times New Roman"/>
                <w:sz w:val="18"/>
              </w:rPr>
            </w:pPr>
          </w:p>
          <w:p>
            <w:pPr>
              <w:pStyle w:val="TableParagraph"/>
              <w:spacing w:line="135" w:lineRule="exact"/>
              <w:ind w:left="456" w:right="311"/>
              <w:jc w:val="center"/>
              <w:rPr>
                <w:b/>
                <w:sz w:val="14"/>
              </w:rPr>
            </w:pPr>
            <w:r>
              <w:rPr>
                <w:b/>
                <w:color w:val="231F20"/>
                <w:w w:val="90"/>
                <w:sz w:val="14"/>
              </w:rPr>
              <w:t>Presque</w:t>
            </w:r>
            <w:r>
              <w:rPr>
                <w:b/>
                <w:color w:val="231F20"/>
                <w:spacing w:val="8"/>
                <w:sz w:val="14"/>
              </w:rPr>
              <w:t> </w:t>
            </w:r>
            <w:r>
              <w:rPr>
                <w:b/>
                <w:color w:val="231F20"/>
                <w:spacing w:val="-2"/>
                <w:sz w:val="14"/>
              </w:rPr>
              <w:t>toujours</w:t>
            </w:r>
          </w:p>
        </w:tc>
        <w:tc>
          <w:tcPr>
            <w:tcW w:w="1134" w:type="dxa"/>
            <w:tcBorders>
              <w:top w:val="single" w:sz="2" w:space="0" w:color="231F20"/>
              <w:right w:val="single" w:sz="2" w:space="0" w:color="231F20"/>
            </w:tcBorders>
          </w:tcPr>
          <w:p>
            <w:pPr>
              <w:pStyle w:val="TableParagraph"/>
              <w:spacing w:before="10"/>
              <w:rPr>
                <w:rFonts w:ascii="Times New Roman"/>
                <w:sz w:val="18"/>
              </w:rPr>
            </w:pPr>
          </w:p>
          <w:p>
            <w:pPr>
              <w:pStyle w:val="TableParagraph"/>
              <w:spacing w:line="135" w:lineRule="exact"/>
              <w:ind w:right="235"/>
              <w:jc w:val="right"/>
              <w:rPr>
                <w:b/>
                <w:sz w:val="14"/>
              </w:rPr>
            </w:pPr>
            <w:r>
              <w:rPr>
                <w:b/>
                <w:color w:val="231F20"/>
                <w:spacing w:val="-2"/>
                <w:sz w:val="14"/>
              </w:rPr>
              <w:t>Toujours</w:t>
            </w:r>
          </w:p>
        </w:tc>
      </w:tr>
      <w:tr>
        <w:trPr>
          <w:trHeight w:val="393" w:hRule="atLeast"/>
        </w:trPr>
        <w:tc>
          <w:tcPr>
            <w:tcW w:w="1233" w:type="dxa"/>
            <w:tcBorders>
              <w:left w:val="single" w:sz="2" w:space="0" w:color="231F20"/>
              <w:bottom w:val="single" w:sz="2" w:space="0" w:color="231F20"/>
            </w:tcBorders>
          </w:tcPr>
          <w:p>
            <w:pPr>
              <w:pStyle w:val="TableParagraph"/>
              <w:spacing w:before="25"/>
              <w:ind w:left="240"/>
              <w:rPr>
                <w:b/>
                <w:sz w:val="14"/>
              </w:rPr>
            </w:pPr>
            <w:r>
              <w:rPr>
                <w:b/>
                <w:color w:val="231F20"/>
                <w:w w:val="116"/>
                <w:sz w:val="14"/>
              </w:rPr>
              <w:t>1</w:t>
            </w:r>
          </w:p>
        </w:tc>
        <w:tc>
          <w:tcPr>
            <w:tcW w:w="1489" w:type="dxa"/>
            <w:tcBorders>
              <w:bottom w:val="single" w:sz="2" w:space="0" w:color="231F20"/>
            </w:tcBorders>
          </w:tcPr>
          <w:p>
            <w:pPr>
              <w:pStyle w:val="TableParagraph"/>
              <w:spacing w:before="25"/>
              <w:ind w:left="73"/>
              <w:jc w:val="center"/>
              <w:rPr>
                <w:b/>
                <w:sz w:val="14"/>
              </w:rPr>
            </w:pPr>
            <w:r>
              <w:rPr>
                <w:b/>
                <w:color w:val="231F20"/>
                <w:w w:val="116"/>
                <w:sz w:val="14"/>
              </w:rPr>
              <w:t>2</w:t>
            </w:r>
          </w:p>
        </w:tc>
        <w:tc>
          <w:tcPr>
            <w:tcW w:w="1896" w:type="dxa"/>
            <w:tcBorders>
              <w:bottom w:val="single" w:sz="2" w:space="0" w:color="231F20"/>
            </w:tcBorders>
          </w:tcPr>
          <w:p>
            <w:pPr>
              <w:pStyle w:val="TableParagraph"/>
              <w:spacing w:before="25"/>
              <w:ind w:left="141"/>
              <w:jc w:val="center"/>
              <w:rPr>
                <w:b/>
                <w:sz w:val="14"/>
              </w:rPr>
            </w:pPr>
            <w:r>
              <w:rPr>
                <w:b/>
                <w:color w:val="231F20"/>
                <w:w w:val="116"/>
                <w:sz w:val="14"/>
              </w:rPr>
              <w:t>3</w:t>
            </w:r>
          </w:p>
        </w:tc>
        <w:tc>
          <w:tcPr>
            <w:tcW w:w="1134" w:type="dxa"/>
            <w:tcBorders>
              <w:bottom w:val="single" w:sz="2" w:space="0" w:color="231F20"/>
              <w:right w:val="single" w:sz="2" w:space="0" w:color="231F20"/>
            </w:tcBorders>
          </w:tcPr>
          <w:p>
            <w:pPr>
              <w:pStyle w:val="TableParagraph"/>
              <w:spacing w:before="25"/>
              <w:ind w:right="234"/>
              <w:jc w:val="right"/>
              <w:rPr>
                <w:b/>
                <w:sz w:val="14"/>
              </w:rPr>
            </w:pPr>
            <w:r>
              <w:rPr>
                <w:b/>
                <w:color w:val="231F20"/>
                <w:w w:val="116"/>
                <w:sz w:val="14"/>
              </w:rPr>
              <w:t>4</w:t>
            </w:r>
          </w:p>
        </w:tc>
      </w:tr>
    </w:tbl>
    <w:p>
      <w:pPr>
        <w:pStyle w:val="BodyText"/>
        <w:spacing w:before="170"/>
        <w:ind w:left="1220"/>
      </w:pPr>
      <w:r>
        <w:rPr>
          <w:color w:val="231F20"/>
          <w:spacing w:val="-2"/>
          <w:w w:val="115"/>
        </w:rPr>
        <w:t>L’échelle</w:t>
      </w:r>
      <w:r>
        <w:rPr>
          <w:color w:val="231F20"/>
          <w:spacing w:val="-7"/>
          <w:w w:val="115"/>
        </w:rPr>
        <w:t> </w:t>
      </w:r>
      <w:r>
        <w:rPr>
          <w:color w:val="231F20"/>
          <w:spacing w:val="-2"/>
          <w:w w:val="115"/>
        </w:rPr>
        <w:t>doit</w:t>
      </w:r>
      <w:r>
        <w:rPr>
          <w:color w:val="231F20"/>
          <w:spacing w:val="-7"/>
          <w:w w:val="115"/>
        </w:rPr>
        <w:t> </w:t>
      </w:r>
      <w:r>
        <w:rPr>
          <w:color w:val="231F20"/>
          <w:spacing w:val="-2"/>
          <w:w w:val="115"/>
        </w:rPr>
        <w:t>être</w:t>
      </w:r>
      <w:r>
        <w:rPr>
          <w:color w:val="231F20"/>
          <w:spacing w:val="-6"/>
          <w:w w:val="115"/>
        </w:rPr>
        <w:t> </w:t>
      </w:r>
      <w:r>
        <w:rPr>
          <w:color w:val="231F20"/>
          <w:spacing w:val="-2"/>
          <w:w w:val="115"/>
        </w:rPr>
        <w:t>inversée</w:t>
      </w:r>
      <w:r>
        <w:rPr>
          <w:color w:val="231F20"/>
          <w:spacing w:val="-7"/>
          <w:w w:val="115"/>
        </w:rPr>
        <w:t> </w:t>
      </w:r>
      <w:r>
        <w:rPr>
          <w:color w:val="231F20"/>
          <w:spacing w:val="-2"/>
          <w:w w:val="115"/>
        </w:rPr>
        <w:t>pour</w:t>
      </w:r>
      <w:r>
        <w:rPr>
          <w:color w:val="231F20"/>
          <w:spacing w:val="-7"/>
          <w:w w:val="115"/>
        </w:rPr>
        <w:t> </w:t>
      </w:r>
      <w:r>
        <w:rPr>
          <w:color w:val="231F20"/>
          <w:spacing w:val="-2"/>
          <w:w w:val="115"/>
        </w:rPr>
        <w:t>les</w:t>
      </w:r>
      <w:r>
        <w:rPr>
          <w:color w:val="231F20"/>
          <w:spacing w:val="-6"/>
          <w:w w:val="115"/>
        </w:rPr>
        <w:t> </w:t>
      </w:r>
      <w:r>
        <w:rPr>
          <w:color w:val="231F20"/>
          <w:spacing w:val="-2"/>
          <w:w w:val="115"/>
        </w:rPr>
        <w:t>questions</w:t>
      </w:r>
      <w:r>
        <w:rPr>
          <w:color w:val="231F20"/>
          <w:spacing w:val="-7"/>
          <w:w w:val="115"/>
        </w:rPr>
        <w:t> </w:t>
      </w:r>
      <w:r>
        <w:rPr>
          <w:color w:val="231F20"/>
          <w:spacing w:val="-2"/>
          <w:w w:val="115"/>
        </w:rPr>
        <w:t>2,</w:t>
      </w:r>
      <w:r>
        <w:rPr>
          <w:color w:val="231F20"/>
          <w:spacing w:val="-7"/>
          <w:w w:val="115"/>
        </w:rPr>
        <w:t> </w:t>
      </w:r>
      <w:r>
        <w:rPr>
          <w:color w:val="231F20"/>
          <w:spacing w:val="-2"/>
          <w:w w:val="115"/>
        </w:rPr>
        <w:t>3,</w:t>
      </w:r>
      <w:r>
        <w:rPr>
          <w:color w:val="231F20"/>
          <w:spacing w:val="-6"/>
          <w:w w:val="115"/>
        </w:rPr>
        <w:t> </w:t>
      </w:r>
      <w:r>
        <w:rPr>
          <w:color w:val="231F20"/>
          <w:spacing w:val="-2"/>
          <w:w w:val="115"/>
        </w:rPr>
        <w:t>5,</w:t>
      </w:r>
      <w:r>
        <w:rPr>
          <w:color w:val="231F20"/>
          <w:spacing w:val="-7"/>
          <w:w w:val="115"/>
        </w:rPr>
        <w:t> </w:t>
      </w:r>
      <w:r>
        <w:rPr>
          <w:color w:val="231F20"/>
          <w:spacing w:val="-2"/>
          <w:w w:val="115"/>
        </w:rPr>
        <w:t>11,</w:t>
      </w:r>
      <w:r>
        <w:rPr>
          <w:color w:val="231F20"/>
          <w:spacing w:val="-7"/>
          <w:w w:val="115"/>
        </w:rPr>
        <w:t> </w:t>
      </w:r>
      <w:r>
        <w:rPr>
          <w:color w:val="231F20"/>
          <w:spacing w:val="-2"/>
          <w:w w:val="115"/>
        </w:rPr>
        <w:t>13,</w:t>
      </w:r>
      <w:r>
        <w:rPr>
          <w:color w:val="231F20"/>
          <w:spacing w:val="-6"/>
          <w:w w:val="115"/>
        </w:rPr>
        <w:t> </w:t>
      </w:r>
      <w:r>
        <w:rPr>
          <w:color w:val="231F20"/>
          <w:spacing w:val="-2"/>
          <w:w w:val="115"/>
        </w:rPr>
        <w:t>14,</w:t>
      </w:r>
      <w:r>
        <w:rPr>
          <w:color w:val="231F20"/>
          <w:spacing w:val="-7"/>
          <w:w w:val="115"/>
        </w:rPr>
        <w:t> </w:t>
      </w:r>
      <w:r>
        <w:rPr>
          <w:color w:val="231F20"/>
          <w:spacing w:val="-2"/>
          <w:w w:val="115"/>
        </w:rPr>
        <w:t>16,</w:t>
      </w:r>
      <w:r>
        <w:rPr>
          <w:color w:val="231F20"/>
          <w:spacing w:val="-6"/>
          <w:w w:val="115"/>
        </w:rPr>
        <w:t> </w:t>
      </w:r>
      <w:r>
        <w:rPr>
          <w:color w:val="231F20"/>
          <w:spacing w:val="-2"/>
          <w:w w:val="115"/>
        </w:rPr>
        <w:t>17,</w:t>
      </w:r>
      <w:r>
        <w:rPr>
          <w:color w:val="231F20"/>
          <w:spacing w:val="-7"/>
          <w:w w:val="115"/>
        </w:rPr>
        <w:t> </w:t>
      </w:r>
      <w:r>
        <w:rPr>
          <w:color w:val="231F20"/>
          <w:spacing w:val="-5"/>
          <w:w w:val="115"/>
        </w:rPr>
        <w:t>24,</w:t>
      </w:r>
    </w:p>
    <w:p>
      <w:pPr>
        <w:pStyle w:val="BodyText"/>
        <w:spacing w:before="55"/>
        <w:ind w:left="1220"/>
      </w:pPr>
      <w:r>
        <w:rPr>
          <w:color w:val="231F20"/>
          <w:w w:val="110"/>
        </w:rPr>
        <w:t>27,</w:t>
      </w:r>
      <w:r>
        <w:rPr>
          <w:color w:val="231F20"/>
          <w:spacing w:val="-4"/>
          <w:w w:val="110"/>
        </w:rPr>
        <w:t> </w:t>
      </w:r>
      <w:r>
        <w:rPr>
          <w:color w:val="231F20"/>
          <w:w w:val="110"/>
        </w:rPr>
        <w:t>30,</w:t>
      </w:r>
      <w:r>
        <w:rPr>
          <w:color w:val="231F20"/>
          <w:spacing w:val="-3"/>
          <w:w w:val="110"/>
        </w:rPr>
        <w:t> </w:t>
      </w:r>
      <w:r>
        <w:rPr>
          <w:color w:val="231F20"/>
          <w:w w:val="110"/>
        </w:rPr>
        <w:t>31,</w:t>
      </w:r>
      <w:r>
        <w:rPr>
          <w:color w:val="231F20"/>
          <w:spacing w:val="-3"/>
          <w:w w:val="110"/>
        </w:rPr>
        <w:t> </w:t>
      </w:r>
      <w:r>
        <w:rPr>
          <w:color w:val="231F20"/>
          <w:w w:val="110"/>
        </w:rPr>
        <w:t>32,</w:t>
      </w:r>
      <w:r>
        <w:rPr>
          <w:color w:val="231F20"/>
          <w:spacing w:val="-3"/>
          <w:w w:val="110"/>
        </w:rPr>
        <w:t> </w:t>
      </w:r>
      <w:r>
        <w:rPr>
          <w:color w:val="231F20"/>
          <w:w w:val="110"/>
        </w:rPr>
        <w:t>34.</w:t>
      </w:r>
      <w:r>
        <w:rPr>
          <w:color w:val="231F20"/>
          <w:spacing w:val="-4"/>
          <w:w w:val="110"/>
        </w:rPr>
        <w:t> </w:t>
      </w:r>
      <w:r>
        <w:rPr>
          <w:color w:val="231F20"/>
          <w:w w:val="110"/>
        </w:rPr>
        <w:t>Les</w:t>
      </w:r>
      <w:r>
        <w:rPr>
          <w:color w:val="231F20"/>
          <w:spacing w:val="-3"/>
          <w:w w:val="110"/>
        </w:rPr>
        <w:t> </w:t>
      </w:r>
      <w:r>
        <w:rPr>
          <w:color w:val="231F20"/>
          <w:w w:val="110"/>
        </w:rPr>
        <w:t>règles</w:t>
      </w:r>
      <w:r>
        <w:rPr>
          <w:color w:val="231F20"/>
          <w:spacing w:val="-3"/>
          <w:w w:val="110"/>
        </w:rPr>
        <w:t> </w:t>
      </w:r>
      <w:r>
        <w:rPr>
          <w:color w:val="231F20"/>
          <w:w w:val="110"/>
        </w:rPr>
        <w:t>de</w:t>
      </w:r>
      <w:r>
        <w:rPr>
          <w:color w:val="231F20"/>
          <w:spacing w:val="-3"/>
          <w:w w:val="110"/>
        </w:rPr>
        <w:t> </w:t>
      </w:r>
      <w:r>
        <w:rPr>
          <w:color w:val="231F20"/>
          <w:w w:val="110"/>
        </w:rPr>
        <w:t>l’inversion</w:t>
      </w:r>
      <w:r>
        <w:rPr>
          <w:color w:val="231F20"/>
          <w:spacing w:val="-3"/>
          <w:w w:val="110"/>
        </w:rPr>
        <w:t> </w:t>
      </w:r>
      <w:r>
        <w:rPr>
          <w:color w:val="231F20"/>
          <w:w w:val="110"/>
        </w:rPr>
        <w:t>sont:</w:t>
      </w:r>
      <w:r>
        <w:rPr>
          <w:color w:val="231F20"/>
          <w:spacing w:val="-4"/>
          <w:w w:val="110"/>
        </w:rPr>
        <w:t> </w:t>
      </w:r>
      <w:r>
        <w:rPr>
          <w:color w:val="231F20"/>
          <w:w w:val="110"/>
        </w:rPr>
        <w:t>4</w:t>
      </w:r>
      <w:r>
        <w:rPr>
          <w:color w:val="231F20"/>
          <w:spacing w:val="-3"/>
          <w:w w:val="110"/>
        </w:rPr>
        <w:t> </w:t>
      </w:r>
      <w:r>
        <w:rPr>
          <w:color w:val="231F20"/>
          <w:w w:val="110"/>
        </w:rPr>
        <w:t>=</w:t>
      </w:r>
      <w:r>
        <w:rPr>
          <w:color w:val="231F20"/>
          <w:spacing w:val="-3"/>
          <w:w w:val="110"/>
        </w:rPr>
        <w:t> </w:t>
      </w:r>
      <w:r>
        <w:rPr>
          <w:color w:val="231F20"/>
          <w:w w:val="110"/>
        </w:rPr>
        <w:t>1</w:t>
      </w:r>
      <w:r>
        <w:rPr>
          <w:color w:val="231F20"/>
          <w:spacing w:val="-29"/>
          <w:w w:val="110"/>
        </w:rPr>
        <w:t> </w:t>
      </w:r>
      <w:r>
        <w:rPr>
          <w:color w:val="231F20"/>
          <w:w w:val="110"/>
        </w:rPr>
        <w:t>;</w:t>
      </w:r>
      <w:r>
        <w:rPr>
          <w:color w:val="231F20"/>
          <w:spacing w:val="-3"/>
          <w:w w:val="110"/>
        </w:rPr>
        <w:t> </w:t>
      </w:r>
      <w:r>
        <w:rPr>
          <w:color w:val="231F20"/>
          <w:w w:val="110"/>
        </w:rPr>
        <w:t>3</w:t>
      </w:r>
      <w:r>
        <w:rPr>
          <w:color w:val="231F20"/>
          <w:spacing w:val="-4"/>
          <w:w w:val="110"/>
        </w:rPr>
        <w:t> </w:t>
      </w:r>
      <w:r>
        <w:rPr>
          <w:color w:val="231F20"/>
          <w:w w:val="110"/>
        </w:rPr>
        <w:t>=</w:t>
      </w:r>
      <w:r>
        <w:rPr>
          <w:color w:val="231F20"/>
          <w:spacing w:val="-3"/>
          <w:w w:val="110"/>
        </w:rPr>
        <w:t> </w:t>
      </w:r>
      <w:r>
        <w:rPr>
          <w:color w:val="231F20"/>
          <w:w w:val="110"/>
        </w:rPr>
        <w:t>2</w:t>
      </w:r>
      <w:r>
        <w:rPr>
          <w:color w:val="231F20"/>
          <w:spacing w:val="-29"/>
          <w:w w:val="110"/>
        </w:rPr>
        <w:t> </w:t>
      </w:r>
      <w:r>
        <w:rPr>
          <w:color w:val="231F20"/>
          <w:w w:val="110"/>
        </w:rPr>
        <w:t>;</w:t>
      </w:r>
      <w:r>
        <w:rPr>
          <w:color w:val="231F20"/>
          <w:spacing w:val="-3"/>
          <w:w w:val="110"/>
        </w:rPr>
        <w:t> </w:t>
      </w:r>
      <w:r>
        <w:rPr>
          <w:color w:val="231F20"/>
          <w:w w:val="110"/>
        </w:rPr>
        <w:t>2</w:t>
      </w:r>
      <w:r>
        <w:rPr>
          <w:color w:val="231F20"/>
          <w:spacing w:val="-4"/>
          <w:w w:val="110"/>
        </w:rPr>
        <w:t> </w:t>
      </w:r>
      <w:r>
        <w:rPr>
          <w:color w:val="231F20"/>
          <w:w w:val="110"/>
        </w:rPr>
        <w:t>=1</w:t>
      </w:r>
      <w:r>
        <w:rPr>
          <w:color w:val="231F20"/>
          <w:spacing w:val="-29"/>
          <w:w w:val="110"/>
        </w:rPr>
        <w:t> </w:t>
      </w:r>
      <w:r>
        <w:rPr>
          <w:color w:val="231F20"/>
          <w:w w:val="110"/>
        </w:rPr>
        <w:t>;</w:t>
      </w:r>
      <w:r>
        <w:rPr>
          <w:color w:val="231F20"/>
          <w:spacing w:val="-3"/>
          <w:w w:val="110"/>
        </w:rPr>
        <w:t> </w:t>
      </w:r>
      <w:r>
        <w:rPr>
          <w:color w:val="231F20"/>
          <w:w w:val="110"/>
        </w:rPr>
        <w:t>1</w:t>
      </w:r>
      <w:r>
        <w:rPr>
          <w:color w:val="231F20"/>
          <w:spacing w:val="-3"/>
          <w:w w:val="110"/>
        </w:rPr>
        <w:t> </w:t>
      </w:r>
      <w:r>
        <w:rPr>
          <w:color w:val="231F20"/>
          <w:w w:val="110"/>
        </w:rPr>
        <w:t>=</w:t>
      </w:r>
      <w:r>
        <w:rPr>
          <w:color w:val="231F20"/>
          <w:spacing w:val="-3"/>
          <w:w w:val="110"/>
        </w:rPr>
        <w:t> </w:t>
      </w:r>
      <w:r>
        <w:rPr>
          <w:color w:val="231F20"/>
          <w:spacing w:val="-5"/>
          <w:w w:val="110"/>
        </w:rPr>
        <w:t>0.</w:t>
      </w:r>
    </w:p>
    <w:p>
      <w:pPr>
        <w:pStyle w:val="BodyText"/>
        <w:spacing w:before="11"/>
        <w:rPr>
          <w:sz w:val="13"/>
        </w:rPr>
      </w:pPr>
    </w:p>
    <w:tbl>
      <w:tblPr>
        <w:tblW w:w="0" w:type="auto"/>
        <w:jc w:val="left"/>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5278"/>
        <w:gridCol w:w="480"/>
      </w:tblGrid>
      <w:tr>
        <w:trPr>
          <w:trHeight w:val="264" w:hRule="atLeast"/>
        </w:trPr>
        <w:tc>
          <w:tcPr>
            <w:tcW w:w="5278" w:type="dxa"/>
            <w:tcBorders>
              <w:left w:val="nil"/>
              <w:bottom w:val="single" w:sz="4" w:space="0" w:color="E2E3E4"/>
              <w:right w:val="single" w:sz="4" w:space="0" w:color="FFFFFF"/>
            </w:tcBorders>
          </w:tcPr>
          <w:p>
            <w:pPr>
              <w:pStyle w:val="TableParagraph"/>
              <w:spacing w:before="57"/>
              <w:ind w:left="185"/>
              <w:rPr>
                <w:sz w:val="14"/>
              </w:rPr>
            </w:pPr>
            <w:r>
              <w:rPr>
                <w:b/>
                <w:color w:val="231F20"/>
                <w:sz w:val="14"/>
              </w:rPr>
              <w:t>1.</w:t>
            </w:r>
            <w:r>
              <w:rPr>
                <w:b/>
                <w:color w:val="231F20"/>
                <w:spacing w:val="34"/>
                <w:sz w:val="14"/>
              </w:rPr>
              <w:t>  </w:t>
            </w:r>
            <w:r>
              <w:rPr>
                <w:color w:val="231F20"/>
                <w:sz w:val="14"/>
              </w:rPr>
              <w:t>Je</w:t>
            </w:r>
            <w:r>
              <w:rPr>
                <w:color w:val="231F20"/>
                <w:spacing w:val="-6"/>
                <w:sz w:val="14"/>
              </w:rPr>
              <w:t> </w:t>
            </w:r>
            <w:r>
              <w:rPr>
                <w:color w:val="231F20"/>
                <w:sz w:val="14"/>
              </w:rPr>
              <w:t>me</w:t>
            </w:r>
            <w:r>
              <w:rPr>
                <w:color w:val="231F20"/>
                <w:spacing w:val="-7"/>
                <w:sz w:val="14"/>
              </w:rPr>
              <w:t> </w:t>
            </w:r>
            <w:r>
              <w:rPr>
                <w:color w:val="231F20"/>
                <w:sz w:val="14"/>
              </w:rPr>
              <w:t>sens</w:t>
            </w:r>
            <w:r>
              <w:rPr>
                <w:color w:val="231F20"/>
                <w:spacing w:val="-7"/>
                <w:sz w:val="14"/>
              </w:rPr>
              <w:t> </w:t>
            </w:r>
            <w:r>
              <w:rPr>
                <w:color w:val="231F20"/>
                <w:spacing w:val="-2"/>
                <w:sz w:val="14"/>
              </w:rPr>
              <w:t>heureux.</w:t>
            </w: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nil"/>
              <w:left w:val="nil"/>
              <w:bottom w:val="single" w:sz="4" w:space="0" w:color="FFFFFF"/>
              <w:right w:val="single" w:sz="4" w:space="0" w:color="FFFFFF"/>
            </w:tcBorders>
            <w:shd w:val="clear" w:color="auto" w:fill="E2E3E4"/>
          </w:tcPr>
          <w:p>
            <w:pPr>
              <w:pStyle w:val="TableParagraph"/>
              <w:spacing w:before="55"/>
              <w:ind w:left="185"/>
              <w:rPr>
                <w:sz w:val="14"/>
              </w:rPr>
            </w:pPr>
            <w:r>
              <w:rPr>
                <w:b/>
                <w:color w:val="231F20"/>
                <w:sz w:val="14"/>
              </w:rPr>
              <w:t>2.</w:t>
            </w:r>
            <w:r>
              <w:rPr>
                <w:b/>
                <w:color w:val="231F20"/>
                <w:spacing w:val="75"/>
                <w:w w:val="150"/>
                <w:sz w:val="14"/>
              </w:rPr>
              <w:t> </w:t>
            </w:r>
            <w:r>
              <w:rPr>
                <w:color w:val="231F20"/>
                <w:sz w:val="14"/>
              </w:rPr>
              <w:t>Je</w:t>
            </w:r>
            <w:r>
              <w:rPr>
                <w:color w:val="231F20"/>
                <w:spacing w:val="-9"/>
                <w:sz w:val="14"/>
              </w:rPr>
              <w:t> </w:t>
            </w:r>
            <w:r>
              <w:rPr>
                <w:color w:val="231F20"/>
                <w:sz w:val="14"/>
              </w:rPr>
              <w:t>ne</w:t>
            </w:r>
            <w:r>
              <w:rPr>
                <w:color w:val="231F20"/>
                <w:spacing w:val="-10"/>
                <w:sz w:val="14"/>
              </w:rPr>
              <w:t> </w:t>
            </w:r>
            <w:r>
              <w:rPr>
                <w:color w:val="231F20"/>
                <w:sz w:val="14"/>
              </w:rPr>
              <w:t>suis</w:t>
            </w:r>
            <w:r>
              <w:rPr>
                <w:color w:val="231F20"/>
                <w:spacing w:val="-9"/>
                <w:sz w:val="14"/>
              </w:rPr>
              <w:t> </w:t>
            </w:r>
            <w:r>
              <w:rPr>
                <w:color w:val="231F20"/>
                <w:sz w:val="14"/>
              </w:rPr>
              <w:t>pas</w:t>
            </w:r>
            <w:r>
              <w:rPr>
                <w:color w:val="231F20"/>
                <w:spacing w:val="-10"/>
                <w:sz w:val="14"/>
              </w:rPr>
              <w:t> </w:t>
            </w:r>
            <w:r>
              <w:rPr>
                <w:color w:val="231F20"/>
                <w:sz w:val="14"/>
              </w:rPr>
              <w:t>à</w:t>
            </w:r>
            <w:r>
              <w:rPr>
                <w:color w:val="231F20"/>
                <w:spacing w:val="-9"/>
                <w:sz w:val="14"/>
              </w:rPr>
              <w:t> </w:t>
            </w:r>
            <w:r>
              <w:rPr>
                <w:color w:val="231F20"/>
                <w:sz w:val="14"/>
              </w:rPr>
              <w:t>l’aise</w:t>
            </w:r>
            <w:r>
              <w:rPr>
                <w:color w:val="231F20"/>
                <w:spacing w:val="-10"/>
                <w:sz w:val="14"/>
              </w:rPr>
              <w:t> </w:t>
            </w:r>
            <w:r>
              <w:rPr>
                <w:color w:val="231F20"/>
                <w:sz w:val="14"/>
              </w:rPr>
              <w:t>avec</w:t>
            </w:r>
            <w:r>
              <w:rPr>
                <w:color w:val="231F20"/>
                <w:spacing w:val="-9"/>
                <w:sz w:val="14"/>
              </w:rPr>
              <w:t> </w:t>
            </w:r>
            <w:r>
              <w:rPr>
                <w:color w:val="231F20"/>
                <w:sz w:val="14"/>
              </w:rPr>
              <w:t>les</w:t>
            </w:r>
            <w:r>
              <w:rPr>
                <w:color w:val="231F20"/>
                <w:spacing w:val="-10"/>
                <w:sz w:val="14"/>
              </w:rPr>
              <w:t> </w:t>
            </w:r>
            <w:r>
              <w:rPr>
                <w:color w:val="231F20"/>
                <w:sz w:val="14"/>
              </w:rPr>
              <w:t>gens</w:t>
            </w:r>
            <w:r>
              <w:rPr>
                <w:color w:val="231F20"/>
                <w:spacing w:val="-10"/>
                <w:sz w:val="14"/>
              </w:rPr>
              <w:t> </w:t>
            </w:r>
            <w:r>
              <w:rPr>
                <w:color w:val="231F20"/>
                <w:sz w:val="14"/>
              </w:rPr>
              <w:t>que</w:t>
            </w:r>
            <w:r>
              <w:rPr>
                <w:color w:val="231F20"/>
                <w:spacing w:val="-9"/>
                <w:sz w:val="14"/>
              </w:rPr>
              <w:t> </w:t>
            </w:r>
            <w:r>
              <w:rPr>
                <w:color w:val="231F20"/>
                <w:sz w:val="14"/>
              </w:rPr>
              <w:t>je</w:t>
            </w:r>
            <w:r>
              <w:rPr>
                <w:color w:val="231F20"/>
                <w:spacing w:val="-10"/>
                <w:sz w:val="14"/>
              </w:rPr>
              <w:t> </w:t>
            </w:r>
            <w:r>
              <w:rPr>
                <w:color w:val="231F20"/>
                <w:sz w:val="14"/>
              </w:rPr>
              <w:t>ne</w:t>
            </w:r>
            <w:r>
              <w:rPr>
                <w:color w:val="231F20"/>
                <w:spacing w:val="-9"/>
                <w:sz w:val="14"/>
              </w:rPr>
              <w:t> </w:t>
            </w:r>
            <w:r>
              <w:rPr>
                <w:color w:val="231F20"/>
                <w:sz w:val="14"/>
              </w:rPr>
              <w:t>connais</w:t>
            </w:r>
            <w:r>
              <w:rPr>
                <w:color w:val="231F20"/>
                <w:spacing w:val="-10"/>
                <w:sz w:val="14"/>
              </w:rPr>
              <w:t> </w:t>
            </w:r>
            <w:r>
              <w:rPr>
                <w:color w:val="231F20"/>
                <w:spacing w:val="-4"/>
                <w:sz w:val="14"/>
              </w:rPr>
              <w:t>pas.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single" w:sz="4" w:space="0" w:color="FFFFFF"/>
              <w:left w:val="nil"/>
              <w:bottom w:val="nil"/>
              <w:right w:val="single" w:sz="4" w:space="0" w:color="FFFFFF"/>
            </w:tcBorders>
            <w:shd w:val="clear" w:color="auto" w:fill="E2E3E4"/>
          </w:tcPr>
          <w:p>
            <w:pPr>
              <w:pStyle w:val="TableParagraph"/>
              <w:spacing w:before="55"/>
              <w:ind w:left="185"/>
              <w:rPr>
                <w:sz w:val="14"/>
              </w:rPr>
            </w:pPr>
            <w:r>
              <w:rPr>
                <w:b/>
                <w:color w:val="231F20"/>
                <w:sz w:val="14"/>
              </w:rPr>
              <w:t>3.</w:t>
            </w:r>
            <w:r>
              <w:rPr>
                <w:b/>
                <w:color w:val="231F20"/>
                <w:spacing w:val="75"/>
                <w:w w:val="150"/>
                <w:sz w:val="14"/>
              </w:rPr>
              <w:t> </w:t>
            </w:r>
            <w:r>
              <w:rPr>
                <w:color w:val="231F20"/>
                <w:sz w:val="14"/>
              </w:rPr>
              <w:t>Je</w:t>
            </w:r>
            <w:r>
              <w:rPr>
                <w:color w:val="231F20"/>
                <w:spacing w:val="-9"/>
                <w:sz w:val="14"/>
              </w:rPr>
              <w:t> </w:t>
            </w:r>
            <w:r>
              <w:rPr>
                <w:color w:val="231F20"/>
                <w:sz w:val="14"/>
              </w:rPr>
              <w:t>ressens</w:t>
            </w:r>
            <w:r>
              <w:rPr>
                <w:color w:val="231F20"/>
                <w:spacing w:val="-10"/>
                <w:sz w:val="14"/>
              </w:rPr>
              <w:t> </w:t>
            </w:r>
            <w:r>
              <w:rPr>
                <w:color w:val="231F20"/>
                <w:sz w:val="14"/>
              </w:rPr>
              <w:t>une</w:t>
            </w:r>
            <w:r>
              <w:rPr>
                <w:color w:val="231F20"/>
                <w:spacing w:val="-9"/>
                <w:sz w:val="14"/>
              </w:rPr>
              <w:t> </w:t>
            </w:r>
            <w:r>
              <w:rPr>
                <w:color w:val="231F20"/>
                <w:sz w:val="14"/>
              </w:rPr>
              <w:t>dépendance</w:t>
            </w:r>
            <w:r>
              <w:rPr>
                <w:color w:val="231F20"/>
                <w:spacing w:val="-9"/>
                <w:sz w:val="14"/>
              </w:rPr>
              <w:t> </w:t>
            </w:r>
            <w:r>
              <w:rPr>
                <w:color w:val="231F20"/>
                <w:sz w:val="14"/>
              </w:rPr>
              <w:t>face</w:t>
            </w:r>
            <w:r>
              <w:rPr>
                <w:color w:val="231F20"/>
                <w:spacing w:val="-10"/>
                <w:sz w:val="14"/>
              </w:rPr>
              <w:t> </w:t>
            </w:r>
            <w:r>
              <w:rPr>
                <w:color w:val="231F20"/>
                <w:sz w:val="14"/>
              </w:rPr>
              <w:t>aux</w:t>
            </w:r>
            <w:r>
              <w:rPr>
                <w:color w:val="231F20"/>
                <w:spacing w:val="-9"/>
                <w:sz w:val="14"/>
              </w:rPr>
              <w:t> </w:t>
            </w:r>
            <w:r>
              <w:rPr>
                <w:color w:val="231F20"/>
                <w:spacing w:val="-2"/>
                <w:sz w:val="14"/>
              </w:rPr>
              <w:t>autres.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nil"/>
              <w:left w:val="nil"/>
              <w:bottom w:val="single" w:sz="4" w:space="0" w:color="E2E3E4"/>
              <w:right w:val="single" w:sz="4" w:space="0" w:color="FFFFFF"/>
            </w:tcBorders>
          </w:tcPr>
          <w:p>
            <w:pPr>
              <w:pStyle w:val="TableParagraph"/>
              <w:spacing w:before="55"/>
              <w:ind w:left="185"/>
              <w:rPr>
                <w:sz w:val="14"/>
              </w:rPr>
            </w:pPr>
            <w:r>
              <w:rPr>
                <w:b/>
                <w:color w:val="231F20"/>
                <w:sz w:val="14"/>
              </w:rPr>
              <w:t>4.</w:t>
            </w:r>
            <w:r>
              <w:rPr>
                <w:b/>
                <w:color w:val="231F20"/>
                <w:spacing w:val="37"/>
                <w:sz w:val="14"/>
              </w:rPr>
              <w:t>  </w:t>
            </w:r>
            <w:r>
              <w:rPr>
                <w:color w:val="231F20"/>
                <w:sz w:val="14"/>
              </w:rPr>
              <w:t>Les</w:t>
            </w:r>
            <w:r>
              <w:rPr>
                <w:color w:val="231F20"/>
                <w:spacing w:val="-4"/>
                <w:sz w:val="14"/>
              </w:rPr>
              <w:t> </w:t>
            </w:r>
            <w:r>
              <w:rPr>
                <w:color w:val="231F20"/>
                <w:sz w:val="14"/>
              </w:rPr>
              <w:t>défis</w:t>
            </w:r>
            <w:r>
              <w:rPr>
                <w:color w:val="231F20"/>
                <w:spacing w:val="-5"/>
                <w:sz w:val="14"/>
              </w:rPr>
              <w:t> </w:t>
            </w:r>
            <w:r>
              <w:rPr>
                <w:color w:val="231F20"/>
                <w:sz w:val="14"/>
              </w:rPr>
              <w:t>sont</w:t>
            </w:r>
            <w:r>
              <w:rPr>
                <w:color w:val="231F20"/>
                <w:spacing w:val="-5"/>
                <w:sz w:val="14"/>
              </w:rPr>
              <w:t> </w:t>
            </w:r>
            <w:r>
              <w:rPr>
                <w:color w:val="231F20"/>
                <w:sz w:val="14"/>
              </w:rPr>
              <w:t>une</w:t>
            </w:r>
            <w:r>
              <w:rPr>
                <w:color w:val="231F20"/>
                <w:spacing w:val="-6"/>
                <w:sz w:val="14"/>
              </w:rPr>
              <w:t> </w:t>
            </w:r>
            <w:r>
              <w:rPr>
                <w:color w:val="231F20"/>
                <w:sz w:val="14"/>
              </w:rPr>
              <w:t>menace</w:t>
            </w:r>
            <w:r>
              <w:rPr>
                <w:color w:val="231F20"/>
                <w:spacing w:val="-5"/>
                <w:sz w:val="14"/>
              </w:rPr>
              <w:t> </w:t>
            </w:r>
            <w:r>
              <w:rPr>
                <w:color w:val="231F20"/>
                <w:sz w:val="14"/>
              </w:rPr>
              <w:t>pour</w:t>
            </w:r>
            <w:r>
              <w:rPr>
                <w:color w:val="231F20"/>
                <w:spacing w:val="-5"/>
                <w:sz w:val="14"/>
              </w:rPr>
              <w:t> </w:t>
            </w:r>
            <w:r>
              <w:rPr>
                <w:color w:val="231F20"/>
                <w:spacing w:val="-4"/>
                <w:sz w:val="14"/>
              </w:rPr>
              <w:t>moi.</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nil"/>
              <w:left w:val="nil"/>
              <w:bottom w:val="nil"/>
              <w:right w:val="single" w:sz="4" w:space="0" w:color="FFFFFF"/>
            </w:tcBorders>
            <w:shd w:val="clear" w:color="auto" w:fill="E2E3E4"/>
          </w:tcPr>
          <w:p>
            <w:pPr>
              <w:pStyle w:val="TableParagraph"/>
              <w:spacing w:before="55"/>
              <w:ind w:left="185"/>
              <w:rPr>
                <w:sz w:val="14"/>
              </w:rPr>
            </w:pPr>
            <w:r>
              <w:rPr>
                <w:b/>
                <w:color w:val="231F20"/>
                <w:sz w:val="14"/>
              </w:rPr>
              <w:t>5.</w:t>
            </w:r>
            <w:r>
              <w:rPr>
                <w:b/>
                <w:color w:val="231F20"/>
                <w:spacing w:val="34"/>
                <w:sz w:val="14"/>
              </w:rPr>
              <w:t>  </w:t>
            </w:r>
            <w:r>
              <w:rPr>
                <w:color w:val="231F20"/>
                <w:sz w:val="14"/>
              </w:rPr>
              <w:t>Je</w:t>
            </w:r>
            <w:r>
              <w:rPr>
                <w:color w:val="231F20"/>
                <w:spacing w:val="-6"/>
                <w:sz w:val="14"/>
              </w:rPr>
              <w:t> </w:t>
            </w:r>
            <w:r>
              <w:rPr>
                <w:color w:val="231F20"/>
                <w:sz w:val="14"/>
              </w:rPr>
              <w:t>me</w:t>
            </w:r>
            <w:r>
              <w:rPr>
                <w:color w:val="231F20"/>
                <w:spacing w:val="-7"/>
                <w:sz w:val="14"/>
              </w:rPr>
              <w:t> </w:t>
            </w:r>
            <w:r>
              <w:rPr>
                <w:color w:val="231F20"/>
                <w:sz w:val="14"/>
              </w:rPr>
              <w:t>sens</w:t>
            </w:r>
            <w:r>
              <w:rPr>
                <w:color w:val="231F20"/>
                <w:spacing w:val="-7"/>
                <w:sz w:val="14"/>
              </w:rPr>
              <w:t> </w:t>
            </w:r>
            <w:r>
              <w:rPr>
                <w:color w:val="231F20"/>
                <w:spacing w:val="-2"/>
                <w:sz w:val="14"/>
              </w:rPr>
              <w:t>triste.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nil"/>
              <w:left w:val="nil"/>
              <w:bottom w:val="single" w:sz="4" w:space="0" w:color="E2E3E4"/>
              <w:right w:val="single" w:sz="4" w:space="0" w:color="FFFFFF"/>
            </w:tcBorders>
          </w:tcPr>
          <w:p>
            <w:pPr>
              <w:pStyle w:val="TableParagraph"/>
              <w:spacing w:before="55"/>
              <w:ind w:left="185"/>
              <w:rPr>
                <w:sz w:val="14"/>
              </w:rPr>
            </w:pPr>
            <w:r>
              <w:rPr>
                <w:b/>
                <w:color w:val="231F20"/>
                <w:sz w:val="14"/>
              </w:rPr>
              <w:t>6.</w:t>
            </w:r>
            <w:r>
              <w:rPr>
                <w:b/>
                <w:color w:val="231F20"/>
                <w:spacing w:val="77"/>
                <w:w w:val="150"/>
                <w:sz w:val="14"/>
              </w:rPr>
              <w:t> </w:t>
            </w:r>
            <w:r>
              <w:rPr>
                <w:color w:val="231F20"/>
                <w:sz w:val="14"/>
              </w:rPr>
              <w:t>Je</w:t>
            </w:r>
            <w:r>
              <w:rPr>
                <w:color w:val="231F20"/>
                <w:spacing w:val="-9"/>
                <w:sz w:val="14"/>
              </w:rPr>
              <w:t> </w:t>
            </w:r>
            <w:r>
              <w:rPr>
                <w:color w:val="231F20"/>
                <w:sz w:val="14"/>
              </w:rPr>
              <w:t>suis</w:t>
            </w:r>
            <w:r>
              <w:rPr>
                <w:color w:val="231F20"/>
                <w:spacing w:val="-10"/>
                <w:sz w:val="14"/>
              </w:rPr>
              <w:t> </w:t>
            </w:r>
            <w:r>
              <w:rPr>
                <w:color w:val="231F20"/>
                <w:sz w:val="14"/>
              </w:rPr>
              <w:t>à</w:t>
            </w:r>
            <w:r>
              <w:rPr>
                <w:color w:val="231F20"/>
                <w:spacing w:val="-9"/>
                <w:sz w:val="14"/>
              </w:rPr>
              <w:t> </w:t>
            </w:r>
            <w:r>
              <w:rPr>
                <w:color w:val="231F20"/>
                <w:sz w:val="14"/>
              </w:rPr>
              <w:t>l’aise</w:t>
            </w:r>
            <w:r>
              <w:rPr>
                <w:color w:val="231F20"/>
                <w:spacing w:val="-9"/>
                <w:sz w:val="14"/>
              </w:rPr>
              <w:t> </w:t>
            </w:r>
            <w:r>
              <w:rPr>
                <w:color w:val="231F20"/>
                <w:sz w:val="14"/>
              </w:rPr>
              <w:t>avec</w:t>
            </w:r>
            <w:r>
              <w:rPr>
                <w:color w:val="231F20"/>
                <w:spacing w:val="-9"/>
                <w:sz w:val="14"/>
              </w:rPr>
              <w:t> </w:t>
            </w:r>
            <w:r>
              <w:rPr>
                <w:color w:val="231F20"/>
                <w:sz w:val="14"/>
              </w:rPr>
              <w:t>les</w:t>
            </w:r>
            <w:r>
              <w:rPr>
                <w:color w:val="231F20"/>
                <w:spacing w:val="-9"/>
                <w:sz w:val="14"/>
              </w:rPr>
              <w:t> </w:t>
            </w:r>
            <w:r>
              <w:rPr>
                <w:color w:val="231F20"/>
                <w:sz w:val="14"/>
              </w:rPr>
              <w:t>gens</w:t>
            </w:r>
            <w:r>
              <w:rPr>
                <w:color w:val="231F20"/>
                <w:spacing w:val="-9"/>
                <w:sz w:val="14"/>
              </w:rPr>
              <w:t> </w:t>
            </w:r>
            <w:r>
              <w:rPr>
                <w:color w:val="231F20"/>
                <w:sz w:val="14"/>
              </w:rPr>
              <w:t>que</w:t>
            </w:r>
            <w:r>
              <w:rPr>
                <w:color w:val="231F20"/>
                <w:spacing w:val="-9"/>
                <w:sz w:val="14"/>
              </w:rPr>
              <w:t> </w:t>
            </w:r>
            <w:r>
              <w:rPr>
                <w:color w:val="231F20"/>
                <w:sz w:val="14"/>
              </w:rPr>
              <w:t>je</w:t>
            </w:r>
            <w:r>
              <w:rPr>
                <w:color w:val="231F20"/>
                <w:spacing w:val="-10"/>
                <w:sz w:val="14"/>
              </w:rPr>
              <w:t> </w:t>
            </w:r>
            <w:r>
              <w:rPr>
                <w:color w:val="231F20"/>
                <w:sz w:val="14"/>
              </w:rPr>
              <w:t>ne</w:t>
            </w:r>
            <w:r>
              <w:rPr>
                <w:color w:val="231F20"/>
                <w:spacing w:val="-9"/>
                <w:sz w:val="14"/>
              </w:rPr>
              <w:t> </w:t>
            </w:r>
            <w:r>
              <w:rPr>
                <w:color w:val="231F20"/>
                <w:sz w:val="14"/>
              </w:rPr>
              <w:t>connais</w:t>
            </w:r>
            <w:r>
              <w:rPr>
                <w:color w:val="231F20"/>
                <w:spacing w:val="-9"/>
                <w:sz w:val="14"/>
              </w:rPr>
              <w:t> </w:t>
            </w:r>
            <w:r>
              <w:rPr>
                <w:color w:val="231F20"/>
                <w:spacing w:val="-4"/>
                <w:sz w:val="14"/>
              </w:rPr>
              <w:t>pas.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sz w:val="14"/>
              </w:rPr>
              <w:t>7.</w:t>
            </w:r>
            <w:r>
              <w:rPr>
                <w:b/>
                <w:color w:val="231F20"/>
                <w:spacing w:val="35"/>
                <w:sz w:val="14"/>
              </w:rPr>
              <w:t>  </w:t>
            </w:r>
            <w:r>
              <w:rPr>
                <w:color w:val="231F20"/>
                <w:sz w:val="14"/>
              </w:rPr>
              <w:t>Quand</w:t>
            </w:r>
            <w:r>
              <w:rPr>
                <w:color w:val="231F20"/>
                <w:spacing w:val="-6"/>
                <w:sz w:val="14"/>
              </w:rPr>
              <w:t> </w:t>
            </w:r>
            <w:r>
              <w:rPr>
                <w:color w:val="231F20"/>
                <w:sz w:val="14"/>
              </w:rPr>
              <w:t>ça</w:t>
            </w:r>
            <w:r>
              <w:rPr>
                <w:color w:val="231F20"/>
                <w:spacing w:val="-6"/>
                <w:sz w:val="14"/>
              </w:rPr>
              <w:t> </w:t>
            </w:r>
            <w:r>
              <w:rPr>
                <w:color w:val="231F20"/>
                <w:sz w:val="14"/>
              </w:rPr>
              <w:t>va</w:t>
            </w:r>
            <w:r>
              <w:rPr>
                <w:color w:val="231F20"/>
                <w:spacing w:val="-7"/>
                <w:sz w:val="14"/>
              </w:rPr>
              <w:t> </w:t>
            </w:r>
            <w:r>
              <w:rPr>
                <w:color w:val="231F20"/>
                <w:sz w:val="14"/>
              </w:rPr>
              <w:t>mal,</w:t>
            </w:r>
            <w:r>
              <w:rPr>
                <w:color w:val="231F20"/>
                <w:spacing w:val="-6"/>
                <w:sz w:val="14"/>
              </w:rPr>
              <w:t> </w:t>
            </w:r>
            <w:r>
              <w:rPr>
                <w:color w:val="231F20"/>
                <w:sz w:val="14"/>
              </w:rPr>
              <w:t>c’est</w:t>
            </w:r>
            <w:r>
              <w:rPr>
                <w:color w:val="231F20"/>
                <w:spacing w:val="-6"/>
                <w:sz w:val="14"/>
              </w:rPr>
              <w:t> </w:t>
            </w:r>
            <w:r>
              <w:rPr>
                <w:color w:val="231F20"/>
                <w:sz w:val="14"/>
              </w:rPr>
              <w:t>ma</w:t>
            </w:r>
            <w:r>
              <w:rPr>
                <w:color w:val="231F20"/>
                <w:spacing w:val="-7"/>
                <w:sz w:val="14"/>
              </w:rPr>
              <w:t> </w:t>
            </w:r>
            <w:r>
              <w:rPr>
                <w:color w:val="231F20"/>
                <w:spacing w:val="-2"/>
                <w:sz w:val="14"/>
              </w:rPr>
              <w:t>faute.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sz w:val="14"/>
              </w:rPr>
              <w:t>8.</w:t>
            </w:r>
            <w:r>
              <w:rPr>
                <w:b/>
                <w:color w:val="231F20"/>
                <w:spacing w:val="34"/>
                <w:sz w:val="14"/>
              </w:rPr>
              <w:t>  </w:t>
            </w:r>
            <w:r>
              <w:rPr>
                <w:color w:val="231F20"/>
                <w:sz w:val="14"/>
              </w:rPr>
              <w:t>Je</w:t>
            </w:r>
            <w:r>
              <w:rPr>
                <w:color w:val="231F20"/>
                <w:spacing w:val="-6"/>
                <w:sz w:val="14"/>
              </w:rPr>
              <w:t> </w:t>
            </w:r>
            <w:r>
              <w:rPr>
                <w:color w:val="231F20"/>
                <w:sz w:val="14"/>
              </w:rPr>
              <w:t>crois</w:t>
            </w:r>
            <w:r>
              <w:rPr>
                <w:color w:val="231F20"/>
                <w:spacing w:val="-6"/>
                <w:sz w:val="14"/>
              </w:rPr>
              <w:t> </w:t>
            </w:r>
            <w:r>
              <w:rPr>
                <w:color w:val="231F20"/>
                <w:sz w:val="14"/>
              </w:rPr>
              <w:t>que</w:t>
            </w:r>
            <w:r>
              <w:rPr>
                <w:color w:val="231F20"/>
                <w:spacing w:val="-7"/>
                <w:sz w:val="14"/>
              </w:rPr>
              <w:t> </w:t>
            </w:r>
            <w:r>
              <w:rPr>
                <w:color w:val="231F20"/>
                <w:sz w:val="14"/>
              </w:rPr>
              <w:t>je</w:t>
            </w:r>
            <w:r>
              <w:rPr>
                <w:color w:val="231F20"/>
                <w:spacing w:val="-7"/>
                <w:sz w:val="14"/>
              </w:rPr>
              <w:t> </w:t>
            </w:r>
            <w:r>
              <w:rPr>
                <w:color w:val="231F20"/>
                <w:sz w:val="14"/>
              </w:rPr>
              <w:t>suis</w:t>
            </w:r>
            <w:r>
              <w:rPr>
                <w:color w:val="231F20"/>
                <w:spacing w:val="-6"/>
                <w:sz w:val="14"/>
              </w:rPr>
              <w:t> </w:t>
            </w:r>
            <w:r>
              <w:rPr>
                <w:color w:val="231F20"/>
                <w:sz w:val="14"/>
              </w:rPr>
              <w:t>une</w:t>
            </w:r>
            <w:r>
              <w:rPr>
                <w:color w:val="231F20"/>
                <w:spacing w:val="-7"/>
                <w:sz w:val="14"/>
              </w:rPr>
              <w:t> </w:t>
            </w:r>
            <w:r>
              <w:rPr>
                <w:color w:val="231F20"/>
                <w:sz w:val="14"/>
              </w:rPr>
              <w:t>personne</w:t>
            </w:r>
            <w:r>
              <w:rPr>
                <w:color w:val="231F20"/>
                <w:spacing w:val="-6"/>
                <w:sz w:val="14"/>
              </w:rPr>
              <w:t> </w:t>
            </w:r>
            <w:r>
              <w:rPr>
                <w:color w:val="231F20"/>
                <w:spacing w:val="-2"/>
                <w:sz w:val="14"/>
              </w:rPr>
              <w:t>aimable.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5278"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w w:val="105"/>
                <w:sz w:val="14"/>
              </w:rPr>
              <w:t>9.</w:t>
            </w:r>
            <w:r>
              <w:rPr>
                <w:b/>
                <w:color w:val="231F20"/>
                <w:spacing w:val="30"/>
                <w:w w:val="105"/>
                <w:sz w:val="14"/>
              </w:rPr>
              <w:t>  </w:t>
            </w:r>
            <w:r>
              <w:rPr>
                <w:color w:val="231F20"/>
                <w:w w:val="105"/>
                <w:sz w:val="14"/>
              </w:rPr>
              <w:t>Il</w:t>
            </w:r>
            <w:r>
              <w:rPr>
                <w:color w:val="231F20"/>
                <w:spacing w:val="-9"/>
                <w:w w:val="105"/>
                <w:sz w:val="14"/>
              </w:rPr>
              <w:t> </w:t>
            </w:r>
            <w:r>
              <w:rPr>
                <w:color w:val="231F20"/>
                <w:w w:val="105"/>
                <w:sz w:val="14"/>
              </w:rPr>
              <w:t>est</w:t>
            </w:r>
            <w:r>
              <w:rPr>
                <w:color w:val="231F20"/>
                <w:spacing w:val="-10"/>
                <w:w w:val="105"/>
                <w:sz w:val="14"/>
              </w:rPr>
              <w:t> </w:t>
            </w:r>
            <w:r>
              <w:rPr>
                <w:color w:val="231F20"/>
                <w:w w:val="105"/>
                <w:sz w:val="14"/>
              </w:rPr>
              <w:t>bon</w:t>
            </w:r>
            <w:r>
              <w:rPr>
                <w:color w:val="231F20"/>
                <w:spacing w:val="-10"/>
                <w:w w:val="105"/>
                <w:sz w:val="14"/>
              </w:rPr>
              <w:t> </w:t>
            </w:r>
            <w:r>
              <w:rPr>
                <w:color w:val="231F20"/>
                <w:w w:val="105"/>
                <w:sz w:val="14"/>
              </w:rPr>
              <w:t>de</w:t>
            </w:r>
            <w:r>
              <w:rPr>
                <w:color w:val="231F20"/>
                <w:spacing w:val="-9"/>
                <w:w w:val="105"/>
                <w:sz w:val="14"/>
              </w:rPr>
              <w:t> </w:t>
            </w:r>
            <w:r>
              <w:rPr>
                <w:color w:val="231F20"/>
                <w:w w:val="105"/>
                <w:sz w:val="14"/>
              </w:rPr>
              <w:t>faire</w:t>
            </w:r>
            <w:r>
              <w:rPr>
                <w:color w:val="231F20"/>
                <w:spacing w:val="-10"/>
                <w:w w:val="105"/>
                <w:sz w:val="14"/>
              </w:rPr>
              <w:t> </w:t>
            </w:r>
            <w:r>
              <w:rPr>
                <w:color w:val="231F20"/>
                <w:w w:val="105"/>
                <w:sz w:val="14"/>
              </w:rPr>
              <w:t>des</w:t>
            </w:r>
            <w:r>
              <w:rPr>
                <w:color w:val="231F20"/>
                <w:spacing w:val="-9"/>
                <w:w w:val="105"/>
                <w:sz w:val="14"/>
              </w:rPr>
              <w:t> </w:t>
            </w:r>
            <w:r>
              <w:rPr>
                <w:color w:val="231F20"/>
                <w:spacing w:val="-2"/>
                <w:w w:val="105"/>
                <w:sz w:val="14"/>
              </w:rPr>
              <w:t>erreurs.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bl>
    <w:p>
      <w:pPr>
        <w:spacing w:after="0"/>
        <w:rPr>
          <w:rFonts w:ascii="Times New Roman"/>
          <w:sz w:val="16"/>
        </w:rPr>
        <w:sectPr>
          <w:footerReference w:type="default" r:id="rId280"/>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23"/>
        </w:rPr>
      </w:pPr>
    </w:p>
    <w:p>
      <w:pPr>
        <w:pStyle w:val="ListParagraph"/>
        <w:numPr>
          <w:ilvl w:val="0"/>
          <w:numId w:val="74"/>
        </w:numPr>
        <w:tabs>
          <w:tab w:pos="1311" w:val="left" w:leader="none"/>
        </w:tabs>
        <w:spacing w:line="240" w:lineRule="auto" w:before="1" w:after="0"/>
        <w:ind w:left="1310" w:right="0" w:hanging="382"/>
        <w:jc w:val="left"/>
        <w:rPr>
          <w:rFonts w:ascii="Arial" w:hAnsi="Arial"/>
          <w:sz w:val="14"/>
        </w:rPr>
      </w:pPr>
      <w:r>
        <w:rPr/>
        <w:pict>
          <v:group style="position:absolute;margin-left:62.5pt;margin-top:-3.213062pt;width:287.9pt;height:434.95pt;mso-position-horizontal-relative:page;mso-position-vertical-relative:paragraph;z-index:-20915200" id="docshapegroup1008" coordorigin="1250,-64" coordsize="5758,8699">
            <v:shape style="position:absolute;left:1250;top:-60;width:5758;height:8691" id="docshape1009" coordorigin="1250,-59" coordsize="5758,8691" path="m7008,-59l6528,-59,6528,212,1650,212,1250,212,1250,484,1650,484,6528,484,6528,755,1650,755,1250,755,1250,1299,1650,1299,6528,1299,6528,1570,1650,1570,1250,1570,1250,2113,1650,2113,6528,2113,6528,3743,1650,3743,1250,3743,1250,4014,1650,4014,6528,4014,6528,4558,1650,4558,1250,4558,1250,4829,1650,4829,6528,4829,6528,5372,1650,5372,1250,5372,1250,6187,1650,6187,6528,6187,6528,6459,1650,6459,1250,6459,1250,6730,1650,6730,6528,6730,6528,8631,7008,8631,7008,484,7008,-59xe" filled="true" fillcolor="#e2e3e4" stroked="false">
              <v:path arrowok="t"/>
              <v:fill type="solid"/>
            </v:shape>
            <v:line style="position:absolute" from="6528,207" to="6528,-54" stroked="true" strokeweight=".5pt" strokecolor="#ffffff">
              <v:stroke dashstyle="solid"/>
            </v:line>
            <v:line style="position:absolute" from="6528,479" to="6528,217" stroked="true" strokeweight=".5pt" strokecolor="#ffffff">
              <v:stroke dashstyle="solid"/>
            </v:line>
            <v:line style="position:absolute" from="6528,750" to="6528,489" stroked="true" strokeweight=".5pt" strokecolor="#ffffff">
              <v:stroke dashstyle="solid"/>
            </v:line>
            <v:line style="position:absolute" from="6528,1022" to="6528,760" stroked="true" strokeweight=".5pt" strokecolor="#ffffff">
              <v:stroke dashstyle="solid"/>
            </v:line>
            <v:line style="position:absolute" from="6528,1294" to="6528,1032" stroked="true" strokeweight=".5pt" strokecolor="#ffffff">
              <v:stroke dashstyle="solid"/>
            </v:line>
            <v:line style="position:absolute" from="6528,1565" to="6528,1304" stroked="true" strokeweight=".5pt" strokecolor="#ffffff">
              <v:stroke dashstyle="solid"/>
            </v:line>
            <v:line style="position:absolute" from="6528,2118" to="6528,8629" stroked="true" strokeweight=".5pt" strokecolor="#ffffff">
              <v:stroke dashstyle="longdash"/>
            </v:line>
            <v:line style="position:absolute" from="1250,-59" to="1650,-59" stroked="true" strokeweight=".5pt" strokecolor="#e2e3e4">
              <v:stroke dashstyle="solid"/>
            </v:line>
            <v:line style="position:absolute" from="1650,-59" to="6523,-59" stroked="true" strokeweight=".5pt" strokecolor="#e2e3e4">
              <v:stroke dashstyle="solid"/>
            </v:line>
            <v:line style="position:absolute" from="1250,212" to="1650,212" stroked="true" strokeweight=".5pt" strokecolor="#e2e3e4">
              <v:stroke dashstyle="solid"/>
            </v:line>
            <v:line style="position:absolute" from="1650,212" to="6523,212" stroked="true" strokeweight=".5pt" strokecolor="#e2e3e4">
              <v:stroke dashstyle="solid"/>
            </v:line>
            <v:line style="position:absolute" from="1250,484" to="1650,484" stroked="true" strokeweight=".5pt" strokecolor="#e2e3e4">
              <v:stroke dashstyle="solid"/>
            </v:line>
            <v:line style="position:absolute" from="1650,484" to="6523,484" stroked="true" strokeweight=".5pt" strokecolor="#e2e3e4">
              <v:stroke dashstyle="solid"/>
            </v:line>
            <v:line style="position:absolute" from="1250,755" to="1650,755" stroked="true" strokeweight=".5pt" strokecolor="#e2e3e4">
              <v:stroke dashstyle="solid"/>
            </v:line>
            <v:line style="position:absolute" from="1650,755" to="6523,755" stroked="true" strokeweight=".5pt" strokecolor="#e2e3e4">
              <v:stroke dashstyle="solid"/>
            </v:line>
            <v:line style="position:absolute" from="1250,1299" to="1650,1299" stroked="true" strokeweight=".5pt" strokecolor="#e2e3e4">
              <v:stroke dashstyle="solid"/>
            </v:line>
            <v:line style="position:absolute" from="1650,1299" to="6523,1299" stroked="true" strokeweight=".5pt" strokecolor="#e2e3e4">
              <v:stroke dashstyle="solid"/>
            </v:line>
            <v:line style="position:absolute" from="1250,2385" to="1650,2385" stroked="true" strokeweight=".5pt" strokecolor="#e2e3e4">
              <v:stroke dashstyle="solid"/>
            </v:line>
            <v:line style="position:absolute" from="1650,2385" to="6523,2385" stroked="true" strokeweight=".5pt" strokecolor="#e2e3e4">
              <v:stroke dashstyle="solid"/>
            </v:line>
            <v:line style="position:absolute" from="1250,2657" to="1650,2657" stroked="true" strokeweight=".5pt" strokecolor="#e2e3e4">
              <v:stroke dashstyle="solid"/>
            </v:line>
            <v:line style="position:absolute" from="1650,2657" to="6523,2657" stroked="true" strokeweight=".5pt" strokecolor="#e2e3e4">
              <v:stroke dashstyle="solid"/>
            </v:line>
            <v:line style="position:absolute" from="1250,2928" to="1650,2928" stroked="true" strokeweight=".5pt" strokecolor="#e2e3e4">
              <v:stroke dashstyle="solid"/>
            </v:line>
            <v:line style="position:absolute" from="1650,2928" to="6523,2928" stroked="true" strokeweight=".5pt" strokecolor="#e2e3e4">
              <v:stroke dashstyle="solid"/>
            </v:line>
            <v:line style="position:absolute" from="1250,3200" to="1650,3200" stroked="true" strokeweight=".5pt" strokecolor="#e2e3e4">
              <v:stroke dashstyle="solid"/>
            </v:line>
            <v:line style="position:absolute" from="1650,3200" to="6523,3200" stroked="true" strokeweight=".5pt" strokecolor="#e2e3e4">
              <v:stroke dashstyle="solid"/>
            </v:line>
            <v:line style="position:absolute" from="1250,3471" to="1650,3471" stroked="true" strokeweight=".5pt" strokecolor="#e2e3e4">
              <v:stroke dashstyle="solid"/>
            </v:line>
            <v:line style="position:absolute" from="1650,3471" to="6523,3471" stroked="true" strokeweight=".5pt" strokecolor="#e2e3e4">
              <v:stroke dashstyle="solid"/>
            </v:line>
            <v:line style="position:absolute" from="1250,3743" to="1650,3743" stroked="true" strokeweight=".5pt" strokecolor="#e2e3e4">
              <v:stroke dashstyle="solid"/>
            </v:line>
            <v:line style="position:absolute" from="1650,3743" to="6523,3743" stroked="true" strokeweight=".5pt" strokecolor="#e2e3e4">
              <v:stroke dashstyle="solid"/>
            </v:line>
            <v:line style="position:absolute" from="1250,4014" to="1650,4014" stroked="true" strokeweight=".5pt" strokecolor="#e2e3e4">
              <v:stroke dashstyle="solid"/>
            </v:line>
            <v:line style="position:absolute" from="1650,4014" to="6523,4014" stroked="true" strokeweight=".5pt" strokecolor="#e2e3e4">
              <v:stroke dashstyle="solid"/>
            </v:line>
            <v:line style="position:absolute" from="1250,4286" to="1650,4286" stroked="true" strokeweight=".5pt" strokecolor="#e2e3e4">
              <v:stroke dashstyle="solid"/>
            </v:line>
            <v:line style="position:absolute" from="1650,4286" to="6523,4286" stroked="true" strokeweight=".5pt" strokecolor="#e2e3e4">
              <v:stroke dashstyle="solid"/>
            </v:line>
            <v:line style="position:absolute" from="1250,4558" to="1650,4558" stroked="true" strokeweight=".5pt" strokecolor="#e2e3e4">
              <v:stroke dashstyle="solid"/>
            </v:line>
            <v:line style="position:absolute" from="1650,4558" to="6523,4558" stroked="true" strokeweight=".5pt" strokecolor="#e2e3e4">
              <v:stroke dashstyle="solid"/>
            </v:line>
            <v:line style="position:absolute" from="1250,4829" to="1650,4829" stroked="true" strokeweight=".5pt" strokecolor="#e2e3e4">
              <v:stroke dashstyle="solid"/>
            </v:line>
            <v:line style="position:absolute" from="1650,4829" to="6523,4829" stroked="true" strokeweight=".5pt" strokecolor="#e2e3e4">
              <v:stroke dashstyle="solid"/>
            </v:line>
            <v:line style="position:absolute" from="1250,5101" to="1650,5101" stroked="true" strokeweight=".5pt" strokecolor="#e2e3e4">
              <v:stroke dashstyle="solid"/>
            </v:line>
            <v:line style="position:absolute" from="1650,5101" to="6523,5101" stroked="true" strokeweight=".5pt" strokecolor="#e2e3e4">
              <v:stroke dashstyle="solid"/>
            </v:line>
            <v:line style="position:absolute" from="1250,5372" to="1650,5372" stroked="true" strokeweight=".5pt" strokecolor="#e2e3e4">
              <v:stroke dashstyle="solid"/>
            </v:line>
            <v:line style="position:absolute" from="1650,5372" to="6523,5372" stroked="true" strokeweight=".5pt" strokecolor="#e2e3e4">
              <v:stroke dashstyle="solid"/>
            </v:line>
            <v:line style="position:absolute" from="1250,6187" to="1650,6187" stroked="true" strokeweight=".5pt" strokecolor="#e2e3e4">
              <v:stroke dashstyle="solid"/>
            </v:line>
            <v:line style="position:absolute" from="1650,6187" to="6523,6187" stroked="true" strokeweight=".5pt" strokecolor="#e2e3e4">
              <v:stroke dashstyle="solid"/>
            </v:line>
            <v:line style="position:absolute" from="1250,6459" to="1650,6459" stroked="true" strokeweight=".5pt" strokecolor="#e2e3e4">
              <v:stroke dashstyle="solid"/>
            </v:line>
            <v:line style="position:absolute" from="1650,6459" to="6523,6459" stroked="true" strokeweight=".5pt" strokecolor="#e2e3e4">
              <v:stroke dashstyle="solid"/>
            </v:line>
            <v:line style="position:absolute" from="1250,6730" to="1650,6730" stroked="true" strokeweight=".5pt" strokecolor="#e2e3e4">
              <v:stroke dashstyle="solid"/>
            </v:line>
            <v:line style="position:absolute" from="1650,6730" to="6523,6730" stroked="true" strokeweight=".5pt" strokecolor="#e2e3e4">
              <v:stroke dashstyle="solid"/>
            </v:line>
            <v:line style="position:absolute" from="1250,7002" to="1650,7002" stroked="true" strokeweight=".5pt" strokecolor="#e2e3e4">
              <v:stroke dashstyle="solid"/>
            </v:line>
            <v:line style="position:absolute" from="1650,7002" to="6523,7002" stroked="true" strokeweight=".5pt" strokecolor="#e2e3e4">
              <v:stroke dashstyle="solid"/>
            </v:line>
            <v:line style="position:absolute" from="1250,7273" to="1650,7273" stroked="true" strokeweight=".5pt" strokecolor="#e2e3e4">
              <v:stroke dashstyle="solid"/>
            </v:line>
            <v:line style="position:absolute" from="1650,7273" to="6523,7273" stroked="true" strokeweight=".5pt" strokecolor="#e2e3e4">
              <v:stroke dashstyle="solid"/>
            </v:line>
            <v:line style="position:absolute" from="1250,7545" to="1650,7545" stroked="true" strokeweight=".5pt" strokecolor="#e2e3e4">
              <v:stroke dashstyle="solid"/>
            </v:line>
            <v:line style="position:absolute" from="1650,7545" to="6523,7545" stroked="true" strokeweight=".5pt" strokecolor="#e2e3e4">
              <v:stroke dashstyle="solid"/>
            </v:line>
            <v:line style="position:absolute" from="1250,7817" to="1650,7817" stroked="true" strokeweight=".5pt" strokecolor="#e2e3e4">
              <v:stroke dashstyle="solid"/>
            </v:line>
            <v:line style="position:absolute" from="1650,7817" to="6523,7817" stroked="true" strokeweight=".5pt" strokecolor="#e2e3e4">
              <v:stroke dashstyle="solid"/>
            </v:line>
            <v:line style="position:absolute" from="1250,8088" to="1650,8088" stroked="true" strokeweight=".5pt" strokecolor="#e2e3e4">
              <v:stroke dashstyle="solid"/>
            </v:line>
            <v:line style="position:absolute" from="1650,8088" to="6523,8088" stroked="true" strokeweight=".5pt" strokecolor="#e2e3e4">
              <v:stroke dashstyle="solid"/>
            </v:line>
            <v:line style="position:absolute" from="1250,8360" to="1650,8360" stroked="true" strokeweight=".25pt" strokecolor="#231f20">
              <v:stroke dashstyle="solid"/>
            </v:line>
            <v:line style="position:absolute" from="1650,8360" to="6528,8360" stroked="true" strokeweight=".25pt" strokecolor="#231f20">
              <v:stroke dashstyle="solid"/>
            </v:line>
            <v:line style="position:absolute" from="6528,8360" to="7008,8360" stroked="true" strokeweight=".25pt" strokecolor="#231f20">
              <v:stroke dashstyle="solid"/>
            </v:line>
            <v:line style="position:absolute" from="1250,8631" to="1650,8631" stroked="true" strokeweight=".25pt" strokecolor="#231f20">
              <v:stroke dashstyle="solid"/>
            </v:line>
            <v:line style="position:absolute" from="1650,8631" to="6528,8631" stroked="true" strokeweight=".25pt" strokecolor="#231f20">
              <v:stroke dashstyle="solid"/>
            </v:line>
            <v:line style="position:absolute" from="6528,8631" to="7008,8631" stroked="true" strokeweight=".25pt" strokecolor="#231f20">
              <v:stroke dashstyle="solid"/>
            </v:line>
            <v:line style="position:absolute" from="1250,1027" to="1650,1027" stroked="true" strokeweight=".5pt" strokecolor="#ffffff">
              <v:stroke dashstyle="solid"/>
            </v:line>
            <v:line style="position:absolute" from="1650,1027" to="6528,1027" stroked="true" strokeweight=".5pt" strokecolor="#ffffff">
              <v:stroke dashstyle="solid"/>
            </v:line>
            <v:line style="position:absolute" from="1250,1570" to="1650,1570" stroked="true" strokeweight=".5pt" strokecolor="#ffffff">
              <v:stroke dashstyle="solid"/>
            </v:line>
            <v:line style="position:absolute" from="1650,1570" to="6528,1570" stroked="true" strokeweight=".5pt" strokecolor="#ffffff">
              <v:stroke dashstyle="solid"/>
            </v:line>
            <v:line style="position:absolute" from="6528,1837" to="6528,1575" stroked="true" strokeweight=".5pt" strokecolor="#ffffff">
              <v:stroke dashstyle="solid"/>
            </v:line>
            <v:line style="position:absolute" from="6528,2108" to="6528,1847" stroked="true" strokeweight=".5pt" strokecolor="#ffffff">
              <v:stroke dashstyle="solid"/>
            </v:line>
            <v:line style="position:absolute" from="1250,2113" to="1650,2113" stroked="true" strokeweight=".5pt" strokecolor="#ffffff">
              <v:stroke dashstyle="solid"/>
            </v:line>
            <v:line style="position:absolute" from="1650,2113" to="6528,2113" stroked="true" strokeweight=".5pt" strokecolor="#ffffff">
              <v:stroke dashstyle="solid"/>
            </v:line>
            <v:line style="position:absolute" from="1250,5644" to="1650,5644" stroked="true" strokeweight=".5pt" strokecolor="#ffffff">
              <v:stroke dashstyle="solid"/>
            </v:line>
            <v:line style="position:absolute" from="1650,5644" to="6528,5644" stroked="true" strokeweight=".5pt" strokecolor="#ffffff">
              <v:stroke dashstyle="solid"/>
            </v:line>
            <v:line style="position:absolute" from="1250,5915" to="1650,5915" stroked="true" strokeweight=".5pt" strokecolor="#ffffff">
              <v:stroke dashstyle="solid"/>
            </v:line>
            <v:line style="position:absolute" from="1650,5915" to="6528,5915" stroked="true" strokeweight=".5pt" strokecolor="#ffffff">
              <v:stroke dashstyle="solid"/>
            </v:line>
            <v:line style="position:absolute" from="6523,-59" to="7008,-59" stroked="true" strokeweight=".5pt" strokecolor="#ffffff">
              <v:stroke dashstyle="solid"/>
            </v:line>
            <v:line style="position:absolute" from="6523,212" to="7008,212" stroked="true" strokeweight=".5pt" strokecolor="#ffffff">
              <v:stroke dashstyle="solid"/>
            </v:line>
            <v:line style="position:absolute" from="6523,484" to="7008,484" stroked="true" strokeweight=".5pt" strokecolor="#ffffff">
              <v:stroke dashstyle="solid"/>
            </v:line>
            <v:line style="position:absolute" from="6523,755" to="7008,755" stroked="true" strokeweight=".5pt" strokecolor="#ffffff">
              <v:stroke dashstyle="solid"/>
            </v:line>
            <v:line style="position:absolute" from="6528,1027" to="7008,1027" stroked="true" strokeweight=".5pt" strokecolor="#ffffff">
              <v:stroke dashstyle="solid"/>
            </v:line>
            <v:line style="position:absolute" from="6523,1299" to="7008,1299" stroked="true" strokeweight=".5pt" strokecolor="#ffffff">
              <v:stroke dashstyle="solid"/>
            </v:line>
            <v:line style="position:absolute" from="6528,1570" to="7008,1570" stroked="true" strokeweight=".5pt" strokecolor="#ffffff">
              <v:stroke dashstyle="solid"/>
            </v:line>
            <v:line style="position:absolute" from="6528,1842" to="7008,1842" stroked="true" strokeweight=".5pt" strokecolor="#ffffff">
              <v:stroke dashstyle="solid"/>
            </v:line>
            <v:line style="position:absolute" from="6528,2113" to="7008,2113" stroked="true" strokeweight=".5pt" strokecolor="#ffffff">
              <v:stroke dashstyle="solid"/>
            </v:line>
            <v:line style="position:absolute" from="6523,2385" to="7008,2385" stroked="true" strokeweight=".5pt" strokecolor="#ffffff">
              <v:stroke dashstyle="solid"/>
            </v:line>
            <v:line style="position:absolute" from="6523,2657" to="7008,2657" stroked="true" strokeweight=".5pt" strokecolor="#ffffff">
              <v:stroke dashstyle="solid"/>
            </v:line>
            <v:line style="position:absolute" from="6523,2928" to="7008,2928" stroked="true" strokeweight=".5pt" strokecolor="#ffffff">
              <v:stroke dashstyle="solid"/>
            </v:line>
            <v:line style="position:absolute" from="6523,3200" to="7008,3200" stroked="true" strokeweight=".5pt" strokecolor="#ffffff">
              <v:stroke dashstyle="solid"/>
            </v:line>
            <v:line style="position:absolute" from="6523,3471" to="7008,3471" stroked="true" strokeweight=".5pt" strokecolor="#ffffff">
              <v:stroke dashstyle="solid"/>
            </v:line>
            <v:line style="position:absolute" from="6523,3743" to="7008,3743" stroked="true" strokeweight=".5pt" strokecolor="#ffffff">
              <v:stroke dashstyle="solid"/>
            </v:line>
            <v:line style="position:absolute" from="6523,4014" to="7008,4014" stroked="true" strokeweight=".5pt" strokecolor="#ffffff">
              <v:stroke dashstyle="solid"/>
            </v:line>
            <v:line style="position:absolute" from="6523,4286" to="7008,4286" stroked="true" strokeweight=".5pt" strokecolor="#ffffff">
              <v:stroke dashstyle="solid"/>
            </v:line>
            <v:line style="position:absolute" from="6523,4558" to="7008,4558" stroked="true" strokeweight=".5pt" strokecolor="#ffffff">
              <v:stroke dashstyle="solid"/>
            </v:line>
            <v:line style="position:absolute" from="6523,4829" to="7008,4829" stroked="true" strokeweight=".5pt" strokecolor="#ffffff">
              <v:stroke dashstyle="solid"/>
            </v:line>
            <v:line style="position:absolute" from="6523,5101" to="7008,5101" stroked="true" strokeweight=".5pt" strokecolor="#ffffff">
              <v:stroke dashstyle="solid"/>
            </v:line>
            <v:line style="position:absolute" from="6523,5372" to="7008,5372" stroked="true" strokeweight=".5pt" strokecolor="#ffffff">
              <v:stroke dashstyle="solid"/>
            </v:line>
            <v:line style="position:absolute" from="6528,5644" to="7008,5644" stroked="true" strokeweight=".5pt" strokecolor="#ffffff">
              <v:stroke dashstyle="solid"/>
            </v:line>
            <v:line style="position:absolute" from="6528,5915" to="7008,5915" stroked="true" strokeweight=".5pt" strokecolor="#ffffff">
              <v:stroke dashstyle="solid"/>
            </v:line>
            <v:line style="position:absolute" from="6523,6187" to="7008,6187" stroked="true" strokeweight=".5pt" strokecolor="#ffffff">
              <v:stroke dashstyle="solid"/>
            </v:line>
            <v:line style="position:absolute" from="6523,6459" to="7008,6459" stroked="true" strokeweight=".5pt" strokecolor="#ffffff">
              <v:stroke dashstyle="solid"/>
            </v:line>
            <v:line style="position:absolute" from="6523,6730" to="7008,6730" stroked="true" strokeweight=".5pt" strokecolor="#ffffff">
              <v:stroke dashstyle="solid"/>
            </v:line>
            <v:line style="position:absolute" from="6523,7002" to="7008,7002" stroked="true" strokeweight=".5pt" strokecolor="#ffffff">
              <v:stroke dashstyle="solid"/>
            </v:line>
            <v:line style="position:absolute" from="6523,7273" to="7008,7273" stroked="true" strokeweight=".5pt" strokecolor="#ffffff">
              <v:stroke dashstyle="solid"/>
            </v:line>
            <v:line style="position:absolute" from="6523,7545" to="7008,7545" stroked="true" strokeweight=".5pt" strokecolor="#ffffff">
              <v:stroke dashstyle="solid"/>
            </v:line>
            <v:line style="position:absolute" from="6523,7817" to="7008,7817" stroked="true" strokeweight=".5pt" strokecolor="#ffffff">
              <v:stroke dashstyle="solid"/>
            </v:line>
            <v:line style="position:absolute" from="6523,8088" to="7008,8088" stroked="true" strokeweight=".5pt" strokecolor="#ffffff">
              <v:stroke dashstyle="solid"/>
            </v:line>
            <v:line style="position:absolute" from="1250,1842" to="1650,1842" stroked="true" strokeweight=".5pt" strokecolor="#ffffff">
              <v:stroke dashstyle="solid"/>
            </v:line>
            <v:line style="position:absolute" from="1650,1842" to="6528,1842" stroked="true" strokeweight=".5pt" strokecolor="#ffffff">
              <v:stroke dashstyle="solid"/>
            </v:line>
            <w10:wrap type="none"/>
          </v:group>
        </w:pict>
      </w:r>
      <w:r>
        <w:rPr>
          <w:rFonts w:ascii="Arial" w:hAnsi="Arial"/>
          <w:color w:val="231F20"/>
          <w:w w:val="95"/>
          <w:sz w:val="14"/>
        </w:rPr>
        <w:t>Quand</w:t>
      </w:r>
      <w:r>
        <w:rPr>
          <w:rFonts w:ascii="Arial" w:hAnsi="Arial"/>
          <w:color w:val="231F20"/>
          <w:sz w:val="14"/>
        </w:rPr>
        <w:t> </w:t>
      </w:r>
      <w:r>
        <w:rPr>
          <w:rFonts w:ascii="Arial" w:hAnsi="Arial"/>
          <w:color w:val="231F20"/>
          <w:w w:val="95"/>
          <w:sz w:val="14"/>
        </w:rPr>
        <w:t>ça</w:t>
      </w:r>
      <w:r>
        <w:rPr>
          <w:rFonts w:ascii="Arial" w:hAnsi="Arial"/>
          <w:color w:val="231F20"/>
          <w:sz w:val="14"/>
        </w:rPr>
        <w:t> </w:t>
      </w:r>
      <w:r>
        <w:rPr>
          <w:rFonts w:ascii="Arial" w:hAnsi="Arial"/>
          <w:color w:val="231F20"/>
          <w:w w:val="95"/>
          <w:sz w:val="14"/>
        </w:rPr>
        <w:t>va</w:t>
      </w:r>
      <w:r>
        <w:rPr>
          <w:rFonts w:ascii="Arial" w:hAnsi="Arial"/>
          <w:color w:val="231F20"/>
          <w:sz w:val="14"/>
        </w:rPr>
        <w:t> </w:t>
      </w:r>
      <w:r>
        <w:rPr>
          <w:rFonts w:ascii="Arial" w:hAnsi="Arial"/>
          <w:color w:val="231F20"/>
          <w:w w:val="95"/>
          <w:sz w:val="14"/>
        </w:rPr>
        <w:t>bien,</w:t>
      </w:r>
      <w:r>
        <w:rPr>
          <w:rFonts w:ascii="Arial" w:hAnsi="Arial"/>
          <w:color w:val="231F20"/>
          <w:spacing w:val="1"/>
          <w:sz w:val="14"/>
        </w:rPr>
        <w:t> </w:t>
      </w:r>
      <w:r>
        <w:rPr>
          <w:rFonts w:ascii="Arial" w:hAnsi="Arial"/>
          <w:color w:val="231F20"/>
          <w:w w:val="95"/>
          <w:sz w:val="14"/>
        </w:rPr>
        <w:t>c’est</w:t>
      </w:r>
      <w:r>
        <w:rPr>
          <w:rFonts w:ascii="Arial" w:hAnsi="Arial"/>
          <w:color w:val="231F20"/>
          <w:sz w:val="14"/>
        </w:rPr>
        <w:t> </w:t>
      </w:r>
      <w:r>
        <w:rPr>
          <w:rFonts w:ascii="Arial" w:hAnsi="Arial"/>
          <w:color w:val="231F20"/>
          <w:w w:val="95"/>
          <w:sz w:val="14"/>
        </w:rPr>
        <w:t>grâce</w:t>
      </w:r>
      <w:r>
        <w:rPr>
          <w:rFonts w:ascii="Arial" w:hAnsi="Arial"/>
          <w:color w:val="231F20"/>
          <w:sz w:val="14"/>
        </w:rPr>
        <w:t> </w:t>
      </w:r>
      <w:r>
        <w:rPr>
          <w:rFonts w:ascii="Arial" w:hAnsi="Arial"/>
          <w:color w:val="231F20"/>
          <w:w w:val="95"/>
          <w:sz w:val="14"/>
        </w:rPr>
        <w:t>à</w:t>
      </w:r>
      <w:r>
        <w:rPr>
          <w:rFonts w:ascii="Arial" w:hAnsi="Arial"/>
          <w:color w:val="231F20"/>
          <w:sz w:val="14"/>
        </w:rPr>
        <w:t> </w:t>
      </w:r>
      <w:r>
        <w:rPr>
          <w:rFonts w:ascii="Arial" w:hAnsi="Arial"/>
          <w:color w:val="231F20"/>
          <w:w w:val="95"/>
          <w:sz w:val="14"/>
        </w:rPr>
        <w:t>mes</w:t>
      </w:r>
      <w:r>
        <w:rPr>
          <w:rFonts w:ascii="Arial" w:hAnsi="Arial"/>
          <w:color w:val="231F20"/>
          <w:sz w:val="14"/>
        </w:rPr>
        <w:t> </w:t>
      </w:r>
      <w:r>
        <w:rPr>
          <w:rFonts w:ascii="Arial" w:hAnsi="Arial"/>
          <w:color w:val="231F20"/>
          <w:spacing w:val="-2"/>
          <w:w w:val="95"/>
          <w:sz w:val="14"/>
        </w:rPr>
        <w:t>efforts.</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Les</w:t>
      </w:r>
      <w:r>
        <w:rPr>
          <w:rFonts w:ascii="Arial" w:hAnsi="Arial"/>
          <w:color w:val="231F20"/>
          <w:spacing w:val="-8"/>
          <w:sz w:val="14"/>
        </w:rPr>
        <w:t> </w:t>
      </w:r>
      <w:r>
        <w:rPr>
          <w:rFonts w:ascii="Arial" w:hAnsi="Arial"/>
          <w:color w:val="231F20"/>
          <w:sz w:val="14"/>
        </w:rPr>
        <w:t>autres</w:t>
      </w:r>
      <w:r>
        <w:rPr>
          <w:rFonts w:ascii="Arial" w:hAnsi="Arial"/>
          <w:color w:val="231F20"/>
          <w:spacing w:val="-8"/>
          <w:sz w:val="14"/>
        </w:rPr>
        <w:t> </w:t>
      </w:r>
      <w:r>
        <w:rPr>
          <w:rFonts w:ascii="Arial" w:hAnsi="Arial"/>
          <w:color w:val="231F20"/>
          <w:sz w:val="14"/>
        </w:rPr>
        <w:t>ne</w:t>
      </w:r>
      <w:r>
        <w:rPr>
          <w:rFonts w:ascii="Arial" w:hAnsi="Arial"/>
          <w:color w:val="231F20"/>
          <w:spacing w:val="-8"/>
          <w:sz w:val="14"/>
        </w:rPr>
        <w:t> </w:t>
      </w:r>
      <w:r>
        <w:rPr>
          <w:rFonts w:ascii="Arial" w:hAnsi="Arial"/>
          <w:color w:val="231F20"/>
          <w:sz w:val="14"/>
        </w:rPr>
        <w:t>m’aiment</w:t>
      </w:r>
      <w:r>
        <w:rPr>
          <w:rFonts w:ascii="Arial" w:hAnsi="Arial"/>
          <w:color w:val="231F20"/>
          <w:spacing w:val="-8"/>
          <w:sz w:val="14"/>
        </w:rPr>
        <w:t> </w:t>
      </w:r>
      <w:r>
        <w:rPr>
          <w:rFonts w:ascii="Arial" w:hAnsi="Arial"/>
          <w:color w:val="231F20"/>
          <w:spacing w:val="-4"/>
          <w:sz w:val="14"/>
        </w:rPr>
        <w:t>pas.</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w w:val="95"/>
          <w:sz w:val="14"/>
        </w:rPr>
        <w:t>Le</w:t>
      </w:r>
      <w:r>
        <w:rPr>
          <w:rFonts w:ascii="Arial" w:hAnsi="Arial"/>
          <w:color w:val="231F20"/>
          <w:spacing w:val="4"/>
          <w:sz w:val="14"/>
        </w:rPr>
        <w:t> </w:t>
      </w:r>
      <w:r>
        <w:rPr>
          <w:rFonts w:ascii="Arial" w:hAnsi="Arial"/>
          <w:color w:val="231F20"/>
          <w:w w:val="95"/>
          <w:sz w:val="14"/>
        </w:rPr>
        <w:t>sage</w:t>
      </w:r>
      <w:r>
        <w:rPr>
          <w:rFonts w:ascii="Arial" w:hAnsi="Arial"/>
          <w:color w:val="231F20"/>
          <w:spacing w:val="5"/>
          <w:sz w:val="14"/>
        </w:rPr>
        <w:t> </w:t>
      </w:r>
      <w:r>
        <w:rPr>
          <w:rFonts w:ascii="Arial" w:hAnsi="Arial"/>
          <w:color w:val="231F20"/>
          <w:w w:val="95"/>
          <w:sz w:val="14"/>
        </w:rPr>
        <w:t>se</w:t>
      </w:r>
      <w:r>
        <w:rPr>
          <w:rFonts w:ascii="Arial" w:hAnsi="Arial"/>
          <w:color w:val="231F20"/>
          <w:spacing w:val="5"/>
          <w:sz w:val="14"/>
        </w:rPr>
        <w:t> </w:t>
      </w:r>
      <w:r>
        <w:rPr>
          <w:rFonts w:ascii="Arial" w:hAnsi="Arial"/>
          <w:color w:val="231F20"/>
          <w:w w:val="95"/>
          <w:sz w:val="14"/>
        </w:rPr>
        <w:t>corrige</w:t>
      </w:r>
      <w:r>
        <w:rPr>
          <w:rFonts w:ascii="Arial" w:hAnsi="Arial"/>
          <w:color w:val="231F20"/>
          <w:spacing w:val="5"/>
          <w:sz w:val="14"/>
        </w:rPr>
        <w:t> </w:t>
      </w:r>
      <w:r>
        <w:rPr>
          <w:rFonts w:ascii="Arial" w:hAnsi="Arial"/>
          <w:color w:val="231F20"/>
          <w:w w:val="95"/>
          <w:sz w:val="14"/>
        </w:rPr>
        <w:t>lui-</w:t>
      </w:r>
      <w:r>
        <w:rPr>
          <w:rFonts w:ascii="Arial" w:hAnsi="Arial"/>
          <w:color w:val="231F20"/>
          <w:spacing w:val="-2"/>
          <w:w w:val="95"/>
          <w:sz w:val="14"/>
        </w:rPr>
        <w:t>même.</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J’ai</w:t>
      </w:r>
      <w:r>
        <w:rPr>
          <w:rFonts w:ascii="Arial" w:hAnsi="Arial"/>
          <w:color w:val="231F20"/>
          <w:spacing w:val="-1"/>
          <w:sz w:val="14"/>
        </w:rPr>
        <w:t> </w:t>
      </w:r>
      <w:r>
        <w:rPr>
          <w:rFonts w:ascii="Arial" w:hAnsi="Arial"/>
          <w:color w:val="231F20"/>
          <w:sz w:val="14"/>
        </w:rPr>
        <w:t>l’impression</w:t>
      </w:r>
      <w:r>
        <w:rPr>
          <w:rFonts w:ascii="Arial" w:hAnsi="Arial"/>
          <w:color w:val="231F20"/>
          <w:spacing w:val="-1"/>
          <w:sz w:val="14"/>
        </w:rPr>
        <w:t> </w:t>
      </w:r>
      <w:r>
        <w:rPr>
          <w:rFonts w:ascii="Arial" w:hAnsi="Arial"/>
          <w:color w:val="231F20"/>
          <w:sz w:val="14"/>
        </w:rPr>
        <w:t>d’être la</w:t>
      </w:r>
      <w:r>
        <w:rPr>
          <w:rFonts w:ascii="Arial" w:hAnsi="Arial"/>
          <w:color w:val="231F20"/>
          <w:spacing w:val="-1"/>
          <w:sz w:val="14"/>
        </w:rPr>
        <w:t> </w:t>
      </w:r>
      <w:r>
        <w:rPr>
          <w:rFonts w:ascii="Arial" w:hAnsi="Arial"/>
          <w:color w:val="231F20"/>
          <w:sz w:val="14"/>
        </w:rPr>
        <w:t>personne la</w:t>
      </w:r>
      <w:r>
        <w:rPr>
          <w:rFonts w:ascii="Arial" w:hAnsi="Arial"/>
          <w:color w:val="231F20"/>
          <w:spacing w:val="-1"/>
          <w:sz w:val="14"/>
        </w:rPr>
        <w:t> </w:t>
      </w:r>
      <w:r>
        <w:rPr>
          <w:rFonts w:ascii="Arial" w:hAnsi="Arial"/>
          <w:color w:val="231F20"/>
          <w:sz w:val="14"/>
        </w:rPr>
        <w:t>moins</w:t>
      </w:r>
      <w:r>
        <w:rPr>
          <w:rFonts w:ascii="Arial" w:hAnsi="Arial"/>
          <w:color w:val="231F20"/>
          <w:spacing w:val="-1"/>
          <w:sz w:val="14"/>
        </w:rPr>
        <w:t> </w:t>
      </w:r>
      <w:r>
        <w:rPr>
          <w:rFonts w:ascii="Arial" w:hAnsi="Arial"/>
          <w:color w:val="231F20"/>
          <w:sz w:val="14"/>
        </w:rPr>
        <w:t>importante au</w:t>
      </w:r>
      <w:r>
        <w:rPr>
          <w:rFonts w:ascii="Arial" w:hAnsi="Arial"/>
          <w:color w:val="231F20"/>
          <w:spacing w:val="-1"/>
          <w:sz w:val="14"/>
        </w:rPr>
        <w:t> </w:t>
      </w:r>
      <w:r>
        <w:rPr>
          <w:rFonts w:ascii="Arial" w:hAnsi="Arial"/>
          <w:color w:val="231F20"/>
          <w:spacing w:val="-2"/>
          <w:sz w:val="14"/>
        </w:rPr>
        <w:t>monde.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Il</w:t>
      </w:r>
      <w:r>
        <w:rPr>
          <w:rFonts w:ascii="Arial" w:hAnsi="Arial"/>
          <w:color w:val="231F20"/>
          <w:spacing w:val="-1"/>
          <w:sz w:val="14"/>
        </w:rPr>
        <w:t> </w:t>
      </w:r>
      <w:r>
        <w:rPr>
          <w:rFonts w:ascii="Arial" w:hAnsi="Arial"/>
          <w:color w:val="231F20"/>
          <w:sz w:val="14"/>
        </w:rPr>
        <w:t>faut</w:t>
      </w:r>
      <w:r>
        <w:rPr>
          <w:rFonts w:ascii="Arial" w:hAnsi="Arial"/>
          <w:color w:val="231F20"/>
          <w:spacing w:val="-1"/>
          <w:sz w:val="14"/>
        </w:rPr>
        <w:t> </w:t>
      </w:r>
      <w:r>
        <w:rPr>
          <w:rFonts w:ascii="Arial" w:hAnsi="Arial"/>
          <w:color w:val="231F20"/>
          <w:sz w:val="14"/>
        </w:rPr>
        <w:t>que</w:t>
      </w:r>
      <w:r>
        <w:rPr>
          <w:rFonts w:ascii="Arial" w:hAnsi="Arial"/>
          <w:color w:val="231F20"/>
          <w:spacing w:val="-1"/>
          <w:sz w:val="14"/>
        </w:rPr>
        <w:t> </w:t>
      </w:r>
      <w:r>
        <w:rPr>
          <w:rFonts w:ascii="Arial" w:hAnsi="Arial"/>
          <w:color w:val="231F20"/>
          <w:sz w:val="14"/>
        </w:rPr>
        <w:t>je</w:t>
      </w:r>
      <w:r>
        <w:rPr>
          <w:rFonts w:ascii="Arial" w:hAnsi="Arial"/>
          <w:color w:val="231F20"/>
          <w:spacing w:val="-1"/>
          <w:sz w:val="14"/>
        </w:rPr>
        <w:t> </w:t>
      </w:r>
      <w:r>
        <w:rPr>
          <w:rFonts w:ascii="Arial" w:hAnsi="Arial"/>
          <w:color w:val="231F20"/>
          <w:sz w:val="14"/>
        </w:rPr>
        <w:t>fasse</w:t>
      </w:r>
      <w:r>
        <w:rPr>
          <w:rFonts w:ascii="Arial" w:hAnsi="Arial"/>
          <w:color w:val="231F20"/>
          <w:spacing w:val="-1"/>
          <w:sz w:val="14"/>
        </w:rPr>
        <w:t> </w:t>
      </w:r>
      <w:r>
        <w:rPr>
          <w:rFonts w:ascii="Arial" w:hAnsi="Arial"/>
          <w:color w:val="231F20"/>
          <w:sz w:val="14"/>
        </w:rPr>
        <w:t>ce que</w:t>
      </w:r>
      <w:r>
        <w:rPr>
          <w:rFonts w:ascii="Arial" w:hAnsi="Arial"/>
          <w:color w:val="231F20"/>
          <w:spacing w:val="-1"/>
          <w:sz w:val="14"/>
        </w:rPr>
        <w:t> </w:t>
      </w:r>
      <w:r>
        <w:rPr>
          <w:rFonts w:ascii="Arial" w:hAnsi="Arial"/>
          <w:color w:val="231F20"/>
          <w:sz w:val="14"/>
        </w:rPr>
        <w:t>les</w:t>
      </w:r>
      <w:r>
        <w:rPr>
          <w:rFonts w:ascii="Arial" w:hAnsi="Arial"/>
          <w:color w:val="231F20"/>
          <w:spacing w:val="-1"/>
          <w:sz w:val="14"/>
        </w:rPr>
        <w:t> </w:t>
      </w:r>
      <w:r>
        <w:rPr>
          <w:rFonts w:ascii="Arial" w:hAnsi="Arial"/>
          <w:color w:val="231F20"/>
          <w:sz w:val="14"/>
        </w:rPr>
        <w:t>autres</w:t>
      </w:r>
      <w:r>
        <w:rPr>
          <w:rFonts w:ascii="Arial" w:hAnsi="Arial"/>
          <w:color w:val="231F20"/>
          <w:spacing w:val="-1"/>
          <w:sz w:val="14"/>
        </w:rPr>
        <w:t> </w:t>
      </w:r>
      <w:r>
        <w:rPr>
          <w:rFonts w:ascii="Arial" w:hAnsi="Arial"/>
          <w:color w:val="231F20"/>
          <w:sz w:val="14"/>
        </w:rPr>
        <w:t>veulent</w:t>
      </w:r>
      <w:r>
        <w:rPr>
          <w:rFonts w:ascii="Arial" w:hAnsi="Arial"/>
          <w:color w:val="231F20"/>
          <w:spacing w:val="-1"/>
          <w:sz w:val="14"/>
        </w:rPr>
        <w:t> </w:t>
      </w:r>
      <w:r>
        <w:rPr>
          <w:rFonts w:ascii="Arial" w:hAnsi="Arial"/>
          <w:color w:val="231F20"/>
          <w:sz w:val="14"/>
        </w:rPr>
        <w:t>pour sentir</w:t>
      </w:r>
      <w:r>
        <w:rPr>
          <w:rFonts w:ascii="Arial" w:hAnsi="Arial"/>
          <w:color w:val="231F20"/>
          <w:spacing w:val="-1"/>
          <w:sz w:val="14"/>
        </w:rPr>
        <w:t> </w:t>
      </w:r>
      <w:r>
        <w:rPr>
          <w:rFonts w:ascii="Arial" w:hAnsi="Arial"/>
          <w:color w:val="231F20"/>
          <w:sz w:val="14"/>
        </w:rPr>
        <w:t>qu’ils</w:t>
      </w:r>
      <w:r>
        <w:rPr>
          <w:rFonts w:ascii="Arial" w:hAnsi="Arial"/>
          <w:color w:val="231F20"/>
          <w:spacing w:val="-1"/>
          <w:sz w:val="14"/>
        </w:rPr>
        <w:t> </w:t>
      </w:r>
      <w:r>
        <w:rPr>
          <w:rFonts w:ascii="Arial" w:hAnsi="Arial"/>
          <w:color w:val="231F20"/>
          <w:spacing w:val="-2"/>
          <w:sz w:val="14"/>
        </w:rPr>
        <w:t>m’acceptent.</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J’ai l’impression d’être</w:t>
      </w:r>
      <w:r>
        <w:rPr>
          <w:rFonts w:ascii="Arial" w:hAnsi="Arial"/>
          <w:color w:val="231F20"/>
          <w:spacing w:val="1"/>
          <w:sz w:val="14"/>
        </w:rPr>
        <w:t> </w:t>
      </w:r>
      <w:r>
        <w:rPr>
          <w:rFonts w:ascii="Arial" w:hAnsi="Arial"/>
          <w:color w:val="231F20"/>
          <w:sz w:val="14"/>
        </w:rPr>
        <w:t>la personne</w:t>
      </w:r>
      <w:r>
        <w:rPr>
          <w:rFonts w:ascii="Arial" w:hAnsi="Arial"/>
          <w:color w:val="231F20"/>
          <w:spacing w:val="1"/>
          <w:sz w:val="14"/>
        </w:rPr>
        <w:t> </w:t>
      </w:r>
      <w:r>
        <w:rPr>
          <w:rFonts w:ascii="Arial" w:hAnsi="Arial"/>
          <w:color w:val="231F20"/>
          <w:sz w:val="14"/>
        </w:rPr>
        <w:t>la plus importante</w:t>
      </w:r>
      <w:r>
        <w:rPr>
          <w:rFonts w:ascii="Arial" w:hAnsi="Arial"/>
          <w:color w:val="231F20"/>
          <w:spacing w:val="1"/>
          <w:sz w:val="14"/>
        </w:rPr>
        <w:t> </w:t>
      </w:r>
      <w:r>
        <w:rPr>
          <w:rFonts w:ascii="Arial" w:hAnsi="Arial"/>
          <w:color w:val="231F20"/>
          <w:sz w:val="14"/>
        </w:rPr>
        <w:t>au </w:t>
      </w:r>
      <w:r>
        <w:rPr>
          <w:rFonts w:ascii="Arial" w:hAnsi="Arial"/>
          <w:color w:val="231F20"/>
          <w:spacing w:val="-2"/>
          <w:sz w:val="14"/>
        </w:rPr>
        <w:t>monde.</w:t>
      </w:r>
    </w:p>
    <w:p>
      <w:pPr>
        <w:pStyle w:val="ListParagraph"/>
        <w:numPr>
          <w:ilvl w:val="0"/>
          <w:numId w:val="74"/>
        </w:numPr>
        <w:tabs>
          <w:tab w:pos="1311" w:val="left" w:leader="none"/>
        </w:tabs>
        <w:spacing w:line="240" w:lineRule="auto" w:before="110" w:after="0"/>
        <w:ind w:left="1310" w:right="0" w:hanging="382"/>
        <w:jc w:val="left"/>
        <w:rPr>
          <w:rFonts w:ascii="Arial"/>
          <w:sz w:val="14"/>
        </w:rPr>
      </w:pPr>
      <w:r>
        <w:rPr>
          <w:rFonts w:ascii="Arial"/>
          <w:color w:val="231F20"/>
          <w:sz w:val="14"/>
        </w:rPr>
        <w:t>Tout</w:t>
      </w:r>
      <w:r>
        <w:rPr>
          <w:rFonts w:ascii="Arial"/>
          <w:color w:val="231F20"/>
          <w:spacing w:val="-2"/>
          <w:sz w:val="14"/>
        </w:rPr>
        <w:t> </w:t>
      </w:r>
      <w:r>
        <w:rPr>
          <w:rFonts w:ascii="Arial"/>
          <w:color w:val="231F20"/>
          <w:sz w:val="14"/>
        </w:rPr>
        <w:t>ce</w:t>
      </w:r>
      <w:r>
        <w:rPr>
          <w:rFonts w:ascii="Arial"/>
          <w:color w:val="231F20"/>
          <w:spacing w:val="-1"/>
          <w:sz w:val="14"/>
        </w:rPr>
        <w:t> </w:t>
      </w:r>
      <w:r>
        <w:rPr>
          <w:rFonts w:ascii="Arial"/>
          <w:color w:val="231F20"/>
          <w:sz w:val="14"/>
        </w:rPr>
        <w:t>que</w:t>
      </w:r>
      <w:r>
        <w:rPr>
          <w:rFonts w:ascii="Arial"/>
          <w:color w:val="231F20"/>
          <w:spacing w:val="-1"/>
          <w:sz w:val="14"/>
        </w:rPr>
        <w:t> </w:t>
      </w:r>
      <w:r>
        <w:rPr>
          <w:rFonts w:ascii="Arial"/>
          <w:color w:val="231F20"/>
          <w:sz w:val="14"/>
        </w:rPr>
        <w:t>je</w:t>
      </w:r>
      <w:r>
        <w:rPr>
          <w:rFonts w:ascii="Arial"/>
          <w:color w:val="231F20"/>
          <w:spacing w:val="-1"/>
          <w:sz w:val="14"/>
        </w:rPr>
        <w:t> </w:t>
      </w:r>
      <w:r>
        <w:rPr>
          <w:rFonts w:ascii="Arial"/>
          <w:color w:val="231F20"/>
          <w:sz w:val="14"/>
        </w:rPr>
        <w:t>fais</w:t>
      </w:r>
      <w:r>
        <w:rPr>
          <w:rFonts w:ascii="Arial"/>
          <w:color w:val="231F20"/>
          <w:spacing w:val="-1"/>
          <w:sz w:val="14"/>
        </w:rPr>
        <w:t> </w:t>
      </w:r>
      <w:r>
        <w:rPr>
          <w:rFonts w:ascii="Arial"/>
          <w:color w:val="231F20"/>
          <w:sz w:val="14"/>
        </w:rPr>
        <w:t>finit</w:t>
      </w:r>
      <w:r>
        <w:rPr>
          <w:rFonts w:ascii="Arial"/>
          <w:color w:val="231F20"/>
          <w:spacing w:val="-1"/>
          <w:sz w:val="14"/>
        </w:rPr>
        <w:t> </w:t>
      </w:r>
      <w:r>
        <w:rPr>
          <w:rFonts w:ascii="Arial"/>
          <w:color w:val="231F20"/>
          <w:spacing w:val="-4"/>
          <w:sz w:val="14"/>
        </w:rPr>
        <w:t>mal.</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J’ai</w:t>
      </w:r>
      <w:r>
        <w:rPr>
          <w:rFonts w:ascii="Arial" w:hAnsi="Arial"/>
          <w:color w:val="231F20"/>
          <w:spacing w:val="-4"/>
          <w:sz w:val="14"/>
        </w:rPr>
        <w:t> </w:t>
      </w:r>
      <w:r>
        <w:rPr>
          <w:rFonts w:ascii="Arial" w:hAnsi="Arial"/>
          <w:color w:val="231F20"/>
          <w:sz w:val="14"/>
        </w:rPr>
        <w:t>l’impression</w:t>
      </w:r>
      <w:r>
        <w:rPr>
          <w:rFonts w:ascii="Arial" w:hAnsi="Arial"/>
          <w:color w:val="231F20"/>
          <w:spacing w:val="-4"/>
          <w:sz w:val="14"/>
        </w:rPr>
        <w:t> </w:t>
      </w:r>
      <w:r>
        <w:rPr>
          <w:rFonts w:ascii="Arial" w:hAnsi="Arial"/>
          <w:color w:val="231F20"/>
          <w:sz w:val="14"/>
        </w:rPr>
        <w:t>que</w:t>
      </w:r>
      <w:r>
        <w:rPr>
          <w:rFonts w:ascii="Arial" w:hAnsi="Arial"/>
          <w:color w:val="231F20"/>
          <w:spacing w:val="-3"/>
          <w:sz w:val="14"/>
        </w:rPr>
        <w:t> </w:t>
      </w:r>
      <w:r>
        <w:rPr>
          <w:rFonts w:ascii="Arial" w:hAnsi="Arial"/>
          <w:color w:val="231F20"/>
          <w:sz w:val="14"/>
        </w:rPr>
        <w:t>le</w:t>
      </w:r>
      <w:r>
        <w:rPr>
          <w:rFonts w:ascii="Arial" w:hAnsi="Arial"/>
          <w:color w:val="231F20"/>
          <w:spacing w:val="-4"/>
          <w:sz w:val="14"/>
        </w:rPr>
        <w:t> </w:t>
      </w:r>
      <w:r>
        <w:rPr>
          <w:rFonts w:ascii="Arial" w:hAnsi="Arial"/>
          <w:color w:val="231F20"/>
          <w:sz w:val="14"/>
        </w:rPr>
        <w:t>monde</w:t>
      </w:r>
      <w:r>
        <w:rPr>
          <w:rFonts w:ascii="Arial" w:hAnsi="Arial"/>
          <w:color w:val="231F20"/>
          <w:spacing w:val="-4"/>
          <w:sz w:val="14"/>
        </w:rPr>
        <w:t> </w:t>
      </w:r>
      <w:r>
        <w:rPr>
          <w:rFonts w:ascii="Arial" w:hAnsi="Arial"/>
          <w:color w:val="231F20"/>
          <w:sz w:val="14"/>
        </w:rPr>
        <w:t>entier</w:t>
      </w:r>
      <w:r>
        <w:rPr>
          <w:rFonts w:ascii="Arial" w:hAnsi="Arial"/>
          <w:color w:val="231F20"/>
          <w:spacing w:val="-3"/>
          <w:sz w:val="14"/>
        </w:rPr>
        <w:t> </w:t>
      </w:r>
      <w:r>
        <w:rPr>
          <w:rFonts w:ascii="Arial" w:hAnsi="Arial"/>
          <w:color w:val="231F20"/>
          <w:sz w:val="14"/>
        </w:rPr>
        <w:t>se</w:t>
      </w:r>
      <w:r>
        <w:rPr>
          <w:rFonts w:ascii="Arial" w:hAnsi="Arial"/>
          <w:color w:val="231F20"/>
          <w:spacing w:val="-4"/>
          <w:sz w:val="14"/>
        </w:rPr>
        <w:t> </w:t>
      </w:r>
      <w:r>
        <w:rPr>
          <w:rFonts w:ascii="Arial" w:hAnsi="Arial"/>
          <w:color w:val="231F20"/>
          <w:sz w:val="14"/>
        </w:rPr>
        <w:t>moque</w:t>
      </w:r>
      <w:r>
        <w:rPr>
          <w:rFonts w:ascii="Arial" w:hAnsi="Arial"/>
          <w:color w:val="231F20"/>
          <w:spacing w:val="-4"/>
          <w:sz w:val="14"/>
        </w:rPr>
        <w:t> </w:t>
      </w:r>
      <w:r>
        <w:rPr>
          <w:rFonts w:ascii="Arial" w:hAnsi="Arial"/>
          <w:color w:val="231F20"/>
          <w:sz w:val="14"/>
        </w:rPr>
        <w:t>de</w:t>
      </w:r>
      <w:r>
        <w:rPr>
          <w:rFonts w:ascii="Arial" w:hAnsi="Arial"/>
          <w:color w:val="231F20"/>
          <w:spacing w:val="-3"/>
          <w:sz w:val="14"/>
        </w:rPr>
        <w:t> </w:t>
      </w:r>
      <w:r>
        <w:rPr>
          <w:rFonts w:ascii="Arial" w:hAnsi="Arial"/>
          <w:color w:val="231F20"/>
          <w:spacing w:val="-4"/>
          <w:sz w:val="14"/>
        </w:rPr>
        <w:t>moi.</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Je</w:t>
      </w:r>
      <w:r>
        <w:rPr>
          <w:rFonts w:ascii="Arial" w:hAnsi="Arial"/>
          <w:color w:val="231F20"/>
          <w:spacing w:val="-7"/>
          <w:sz w:val="14"/>
        </w:rPr>
        <w:t> </w:t>
      </w:r>
      <w:r>
        <w:rPr>
          <w:rFonts w:ascii="Arial" w:hAnsi="Arial"/>
          <w:color w:val="231F20"/>
          <w:sz w:val="14"/>
        </w:rPr>
        <w:t>suis</w:t>
      </w:r>
      <w:r>
        <w:rPr>
          <w:rFonts w:ascii="Arial" w:hAnsi="Arial"/>
          <w:color w:val="231F20"/>
          <w:spacing w:val="-7"/>
          <w:sz w:val="14"/>
        </w:rPr>
        <w:t> </w:t>
      </w:r>
      <w:r>
        <w:rPr>
          <w:rFonts w:ascii="Arial" w:hAnsi="Arial"/>
          <w:color w:val="231F20"/>
          <w:sz w:val="14"/>
        </w:rPr>
        <w:t>capable</w:t>
      </w:r>
      <w:r>
        <w:rPr>
          <w:rFonts w:ascii="Arial" w:hAnsi="Arial"/>
          <w:color w:val="231F20"/>
          <w:spacing w:val="-7"/>
          <w:sz w:val="14"/>
        </w:rPr>
        <w:t> </w:t>
      </w:r>
      <w:r>
        <w:rPr>
          <w:rFonts w:ascii="Arial" w:hAnsi="Arial"/>
          <w:color w:val="231F20"/>
          <w:sz w:val="14"/>
        </w:rPr>
        <w:t>d’accepter</w:t>
      </w:r>
      <w:r>
        <w:rPr>
          <w:rFonts w:ascii="Arial" w:hAnsi="Arial"/>
          <w:color w:val="231F20"/>
          <w:spacing w:val="-7"/>
          <w:sz w:val="14"/>
        </w:rPr>
        <w:t> </w:t>
      </w:r>
      <w:r>
        <w:rPr>
          <w:rFonts w:ascii="Arial" w:hAnsi="Arial"/>
          <w:color w:val="231F20"/>
          <w:sz w:val="14"/>
        </w:rPr>
        <w:t>une</w:t>
      </w:r>
      <w:r>
        <w:rPr>
          <w:rFonts w:ascii="Arial" w:hAnsi="Arial"/>
          <w:color w:val="231F20"/>
          <w:spacing w:val="-6"/>
          <w:sz w:val="14"/>
        </w:rPr>
        <w:t> </w:t>
      </w:r>
      <w:r>
        <w:rPr>
          <w:rFonts w:ascii="Arial" w:hAnsi="Arial"/>
          <w:color w:val="231F20"/>
          <w:sz w:val="14"/>
        </w:rPr>
        <w:t>critique</w:t>
      </w:r>
      <w:r>
        <w:rPr>
          <w:rFonts w:ascii="Arial" w:hAnsi="Arial"/>
          <w:color w:val="231F20"/>
          <w:spacing w:val="-7"/>
          <w:sz w:val="14"/>
        </w:rPr>
        <w:t> </w:t>
      </w:r>
      <w:r>
        <w:rPr>
          <w:rFonts w:ascii="Arial" w:hAnsi="Arial"/>
          <w:color w:val="231F20"/>
          <w:spacing w:val="-2"/>
          <w:sz w:val="14"/>
        </w:rPr>
        <w:t>constructive.</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Je trouve</w:t>
      </w:r>
      <w:r>
        <w:rPr>
          <w:rFonts w:ascii="Arial"/>
          <w:color w:val="231F20"/>
          <w:spacing w:val="1"/>
          <w:sz w:val="14"/>
        </w:rPr>
        <w:t> </w:t>
      </w:r>
      <w:r>
        <w:rPr>
          <w:rFonts w:ascii="Arial"/>
          <w:color w:val="231F20"/>
          <w:sz w:val="14"/>
        </w:rPr>
        <w:t>amusant</w:t>
      </w:r>
      <w:r>
        <w:rPr>
          <w:rFonts w:ascii="Arial"/>
          <w:color w:val="231F20"/>
          <w:spacing w:val="1"/>
          <w:sz w:val="14"/>
        </w:rPr>
        <w:t> </w:t>
      </w:r>
      <w:r>
        <w:rPr>
          <w:rFonts w:ascii="Arial"/>
          <w:color w:val="231F20"/>
          <w:sz w:val="14"/>
        </w:rPr>
        <w:t>de</w:t>
      </w:r>
      <w:r>
        <w:rPr>
          <w:rFonts w:ascii="Arial"/>
          <w:color w:val="231F20"/>
          <w:spacing w:val="1"/>
          <w:sz w:val="14"/>
        </w:rPr>
        <w:t> </w:t>
      </w:r>
      <w:r>
        <w:rPr>
          <w:rFonts w:ascii="Arial"/>
          <w:color w:val="231F20"/>
          <w:sz w:val="14"/>
        </w:rPr>
        <w:t>me moquer</w:t>
      </w:r>
      <w:r>
        <w:rPr>
          <w:rFonts w:ascii="Arial"/>
          <w:color w:val="231F20"/>
          <w:spacing w:val="1"/>
          <w:sz w:val="14"/>
        </w:rPr>
        <w:t> </w:t>
      </w:r>
      <w:r>
        <w:rPr>
          <w:rFonts w:ascii="Arial"/>
          <w:color w:val="231F20"/>
          <w:sz w:val="14"/>
        </w:rPr>
        <w:t>de</w:t>
      </w:r>
      <w:r>
        <w:rPr>
          <w:rFonts w:ascii="Arial"/>
          <w:color w:val="231F20"/>
          <w:spacing w:val="1"/>
          <w:sz w:val="14"/>
        </w:rPr>
        <w:t> </w:t>
      </w:r>
      <w:r>
        <w:rPr>
          <w:rFonts w:ascii="Arial"/>
          <w:color w:val="231F20"/>
          <w:sz w:val="14"/>
        </w:rPr>
        <w:t>tout</w:t>
      </w:r>
      <w:r>
        <w:rPr>
          <w:rFonts w:ascii="Arial"/>
          <w:color w:val="231F20"/>
          <w:spacing w:val="1"/>
          <w:sz w:val="14"/>
        </w:rPr>
        <w:t> </w:t>
      </w:r>
      <w:r>
        <w:rPr>
          <w:rFonts w:ascii="Arial"/>
          <w:color w:val="231F20"/>
          <w:sz w:val="14"/>
        </w:rPr>
        <w:t>le </w:t>
      </w:r>
      <w:r>
        <w:rPr>
          <w:rFonts w:ascii="Arial"/>
          <w:color w:val="231F20"/>
          <w:spacing w:val="-2"/>
          <w:sz w:val="14"/>
        </w:rPr>
        <w:t>monde.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w w:val="95"/>
          <w:sz w:val="14"/>
        </w:rPr>
        <w:t>Rien</w:t>
      </w:r>
      <w:r>
        <w:rPr>
          <w:rFonts w:ascii="Arial" w:hAnsi="Arial"/>
          <w:color w:val="231F20"/>
          <w:sz w:val="14"/>
        </w:rPr>
        <w:t> </w:t>
      </w:r>
      <w:r>
        <w:rPr>
          <w:rFonts w:ascii="Arial" w:hAnsi="Arial"/>
          <w:color w:val="231F20"/>
          <w:w w:val="95"/>
          <w:sz w:val="14"/>
        </w:rPr>
        <w:t>ne</w:t>
      </w:r>
      <w:r>
        <w:rPr>
          <w:rFonts w:ascii="Arial" w:hAnsi="Arial"/>
          <w:color w:val="231F20"/>
          <w:sz w:val="14"/>
        </w:rPr>
        <w:t> </w:t>
      </w:r>
      <w:r>
        <w:rPr>
          <w:rFonts w:ascii="Arial" w:hAnsi="Arial"/>
          <w:color w:val="231F20"/>
          <w:w w:val="95"/>
          <w:sz w:val="14"/>
        </w:rPr>
        <w:t>me</w:t>
      </w:r>
      <w:r>
        <w:rPr>
          <w:rFonts w:ascii="Arial" w:hAnsi="Arial"/>
          <w:color w:val="231F20"/>
          <w:sz w:val="14"/>
        </w:rPr>
        <w:t> </w:t>
      </w:r>
      <w:r>
        <w:rPr>
          <w:rFonts w:ascii="Arial" w:hAnsi="Arial"/>
          <w:color w:val="231F20"/>
          <w:spacing w:val="-2"/>
          <w:w w:val="95"/>
          <w:sz w:val="14"/>
        </w:rPr>
        <w:t>dérange.</w:t>
      </w:r>
    </w:p>
    <w:p>
      <w:pPr>
        <w:pStyle w:val="ListParagraph"/>
        <w:numPr>
          <w:ilvl w:val="0"/>
          <w:numId w:val="74"/>
        </w:numPr>
        <w:tabs>
          <w:tab w:pos="1311" w:val="left" w:leader="none"/>
        </w:tabs>
        <w:spacing w:line="240" w:lineRule="auto" w:before="110" w:after="0"/>
        <w:ind w:left="1310" w:right="0" w:hanging="382"/>
        <w:jc w:val="left"/>
        <w:rPr>
          <w:rFonts w:ascii="Arial"/>
          <w:sz w:val="14"/>
        </w:rPr>
      </w:pPr>
      <w:r>
        <w:rPr>
          <w:rFonts w:ascii="Arial"/>
          <w:color w:val="231F20"/>
          <w:sz w:val="14"/>
        </w:rPr>
        <w:t>Ma</w:t>
      </w:r>
      <w:r>
        <w:rPr>
          <w:rFonts w:ascii="Arial"/>
          <w:color w:val="231F20"/>
          <w:spacing w:val="2"/>
          <w:sz w:val="14"/>
        </w:rPr>
        <w:t> </w:t>
      </w:r>
      <w:r>
        <w:rPr>
          <w:rFonts w:ascii="Arial"/>
          <w:color w:val="231F20"/>
          <w:sz w:val="14"/>
        </w:rPr>
        <w:t>taille</w:t>
      </w:r>
      <w:r>
        <w:rPr>
          <w:rFonts w:ascii="Arial"/>
          <w:color w:val="231F20"/>
          <w:spacing w:val="2"/>
          <w:sz w:val="14"/>
        </w:rPr>
        <w:t> </w:t>
      </w:r>
      <w:r>
        <w:rPr>
          <w:rFonts w:ascii="Arial"/>
          <w:color w:val="231F20"/>
          <w:sz w:val="14"/>
        </w:rPr>
        <w:t>me</w:t>
      </w:r>
      <w:r>
        <w:rPr>
          <w:rFonts w:ascii="Arial"/>
          <w:color w:val="231F20"/>
          <w:spacing w:val="3"/>
          <w:sz w:val="14"/>
        </w:rPr>
        <w:t> </w:t>
      </w:r>
      <w:r>
        <w:rPr>
          <w:rFonts w:ascii="Arial"/>
          <w:color w:val="231F20"/>
          <w:spacing w:val="-2"/>
          <w:sz w:val="14"/>
        </w:rPr>
        <w:t>satisfait.</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Tout</w:t>
      </w:r>
      <w:r>
        <w:rPr>
          <w:rFonts w:ascii="Arial"/>
          <w:color w:val="231F20"/>
          <w:spacing w:val="-2"/>
          <w:sz w:val="14"/>
        </w:rPr>
        <w:t> </w:t>
      </w:r>
      <w:r>
        <w:rPr>
          <w:rFonts w:ascii="Arial"/>
          <w:color w:val="231F20"/>
          <w:sz w:val="14"/>
        </w:rPr>
        <w:t>ce</w:t>
      </w:r>
      <w:r>
        <w:rPr>
          <w:rFonts w:ascii="Arial"/>
          <w:color w:val="231F20"/>
          <w:spacing w:val="-1"/>
          <w:sz w:val="14"/>
        </w:rPr>
        <w:t> </w:t>
      </w:r>
      <w:r>
        <w:rPr>
          <w:rFonts w:ascii="Arial"/>
          <w:color w:val="231F20"/>
          <w:sz w:val="14"/>
        </w:rPr>
        <w:t>que</w:t>
      </w:r>
      <w:r>
        <w:rPr>
          <w:rFonts w:ascii="Arial"/>
          <w:color w:val="231F20"/>
          <w:spacing w:val="-1"/>
          <w:sz w:val="14"/>
        </w:rPr>
        <w:t> </w:t>
      </w:r>
      <w:r>
        <w:rPr>
          <w:rFonts w:ascii="Arial"/>
          <w:color w:val="231F20"/>
          <w:sz w:val="14"/>
        </w:rPr>
        <w:t>je</w:t>
      </w:r>
      <w:r>
        <w:rPr>
          <w:rFonts w:ascii="Arial"/>
          <w:color w:val="231F20"/>
          <w:spacing w:val="-1"/>
          <w:sz w:val="14"/>
        </w:rPr>
        <w:t> </w:t>
      </w:r>
      <w:r>
        <w:rPr>
          <w:rFonts w:ascii="Arial"/>
          <w:color w:val="231F20"/>
          <w:sz w:val="14"/>
        </w:rPr>
        <w:t>fais</w:t>
      </w:r>
      <w:r>
        <w:rPr>
          <w:rFonts w:ascii="Arial"/>
          <w:color w:val="231F20"/>
          <w:spacing w:val="-1"/>
          <w:sz w:val="14"/>
        </w:rPr>
        <w:t> </w:t>
      </w:r>
      <w:r>
        <w:rPr>
          <w:rFonts w:ascii="Arial"/>
          <w:color w:val="231F20"/>
          <w:sz w:val="14"/>
        </w:rPr>
        <w:t>finit</w:t>
      </w:r>
      <w:r>
        <w:rPr>
          <w:rFonts w:ascii="Arial"/>
          <w:color w:val="231F20"/>
          <w:spacing w:val="-1"/>
          <w:sz w:val="14"/>
        </w:rPr>
        <w:t> </w:t>
      </w:r>
      <w:r>
        <w:rPr>
          <w:rFonts w:ascii="Arial"/>
          <w:color w:val="231F20"/>
          <w:spacing w:val="-2"/>
          <w:sz w:val="14"/>
        </w:rPr>
        <w:t>bien.</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Je</w:t>
      </w:r>
      <w:r>
        <w:rPr>
          <w:rFonts w:ascii="Arial"/>
          <w:color w:val="231F20"/>
          <w:spacing w:val="-5"/>
          <w:sz w:val="14"/>
        </w:rPr>
        <w:t> </w:t>
      </w:r>
      <w:r>
        <w:rPr>
          <w:rFonts w:ascii="Arial"/>
          <w:color w:val="231F20"/>
          <w:sz w:val="14"/>
        </w:rPr>
        <w:t>suis</w:t>
      </w:r>
      <w:r>
        <w:rPr>
          <w:rFonts w:ascii="Arial"/>
          <w:color w:val="231F20"/>
          <w:spacing w:val="-5"/>
          <w:sz w:val="14"/>
        </w:rPr>
        <w:t> </w:t>
      </w:r>
      <w:r>
        <w:rPr>
          <w:rFonts w:ascii="Arial"/>
          <w:color w:val="231F20"/>
          <w:sz w:val="14"/>
        </w:rPr>
        <w:t>capable</w:t>
      </w:r>
      <w:r>
        <w:rPr>
          <w:rFonts w:ascii="Arial"/>
          <w:color w:val="231F20"/>
          <w:spacing w:val="-5"/>
          <w:sz w:val="14"/>
        </w:rPr>
        <w:t> </w:t>
      </w:r>
      <w:r>
        <w:rPr>
          <w:rFonts w:ascii="Arial"/>
          <w:color w:val="231F20"/>
          <w:sz w:val="14"/>
        </w:rPr>
        <w:t>de</w:t>
      </w:r>
      <w:r>
        <w:rPr>
          <w:rFonts w:ascii="Arial"/>
          <w:color w:val="231F20"/>
          <w:spacing w:val="-5"/>
          <w:sz w:val="14"/>
        </w:rPr>
        <w:t> </w:t>
      </w:r>
      <w:r>
        <w:rPr>
          <w:rFonts w:ascii="Arial"/>
          <w:color w:val="231F20"/>
          <w:sz w:val="14"/>
        </w:rPr>
        <w:t>parler</w:t>
      </w:r>
      <w:r>
        <w:rPr>
          <w:rFonts w:ascii="Arial"/>
          <w:color w:val="231F20"/>
          <w:spacing w:val="-5"/>
          <w:sz w:val="14"/>
        </w:rPr>
        <w:t> </w:t>
      </w:r>
      <w:r>
        <w:rPr>
          <w:rFonts w:ascii="Arial"/>
          <w:color w:val="231F20"/>
          <w:sz w:val="14"/>
        </w:rPr>
        <w:t>ouvertement</w:t>
      </w:r>
      <w:r>
        <w:rPr>
          <w:rFonts w:ascii="Arial"/>
          <w:color w:val="231F20"/>
          <w:spacing w:val="-5"/>
          <w:sz w:val="14"/>
        </w:rPr>
        <w:t> </w:t>
      </w:r>
      <w:r>
        <w:rPr>
          <w:rFonts w:ascii="Arial"/>
          <w:color w:val="231F20"/>
          <w:sz w:val="14"/>
        </w:rPr>
        <w:t>de</w:t>
      </w:r>
      <w:r>
        <w:rPr>
          <w:rFonts w:ascii="Arial"/>
          <w:color w:val="231F20"/>
          <w:spacing w:val="-5"/>
          <w:sz w:val="14"/>
        </w:rPr>
        <w:t> </w:t>
      </w:r>
      <w:r>
        <w:rPr>
          <w:rFonts w:ascii="Arial"/>
          <w:color w:val="231F20"/>
          <w:sz w:val="14"/>
        </w:rPr>
        <w:t>mes</w:t>
      </w:r>
      <w:r>
        <w:rPr>
          <w:rFonts w:ascii="Arial"/>
          <w:color w:val="231F20"/>
          <w:spacing w:val="-4"/>
          <w:sz w:val="14"/>
        </w:rPr>
        <w:t> </w:t>
      </w:r>
      <w:r>
        <w:rPr>
          <w:rFonts w:ascii="Arial"/>
          <w:color w:val="231F20"/>
          <w:spacing w:val="-2"/>
          <w:sz w:val="14"/>
        </w:rPr>
        <w:t>sentiments.</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J’ai</w:t>
      </w:r>
      <w:r>
        <w:rPr>
          <w:rFonts w:ascii="Arial" w:hAnsi="Arial"/>
          <w:color w:val="231F20"/>
          <w:spacing w:val="-7"/>
          <w:sz w:val="14"/>
        </w:rPr>
        <w:t> </w:t>
      </w:r>
      <w:r>
        <w:rPr>
          <w:rFonts w:ascii="Arial" w:hAnsi="Arial"/>
          <w:color w:val="231F20"/>
          <w:sz w:val="14"/>
        </w:rPr>
        <w:t>l’impression</w:t>
      </w:r>
      <w:r>
        <w:rPr>
          <w:rFonts w:ascii="Arial" w:hAnsi="Arial"/>
          <w:color w:val="231F20"/>
          <w:spacing w:val="-6"/>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ne</w:t>
      </w:r>
      <w:r>
        <w:rPr>
          <w:rFonts w:ascii="Arial" w:hAnsi="Arial"/>
          <w:color w:val="231F20"/>
          <w:spacing w:val="-6"/>
          <w:sz w:val="14"/>
        </w:rPr>
        <w:t> </w:t>
      </w:r>
      <w:r>
        <w:rPr>
          <w:rFonts w:ascii="Arial" w:hAnsi="Arial"/>
          <w:color w:val="231F20"/>
          <w:sz w:val="14"/>
        </w:rPr>
        <w:t>pas</w:t>
      </w:r>
      <w:r>
        <w:rPr>
          <w:rFonts w:ascii="Arial" w:hAnsi="Arial"/>
          <w:color w:val="231F20"/>
          <w:spacing w:val="-7"/>
          <w:sz w:val="14"/>
        </w:rPr>
        <w:t> </w:t>
      </w:r>
      <w:r>
        <w:rPr>
          <w:rFonts w:ascii="Arial" w:hAnsi="Arial"/>
          <w:color w:val="231F20"/>
          <w:sz w:val="14"/>
        </w:rPr>
        <w:t>avoir</w:t>
      </w:r>
      <w:r>
        <w:rPr>
          <w:rFonts w:ascii="Arial" w:hAnsi="Arial"/>
          <w:color w:val="231F20"/>
          <w:spacing w:val="-6"/>
          <w:sz w:val="14"/>
        </w:rPr>
        <w:t> </w:t>
      </w:r>
      <w:r>
        <w:rPr>
          <w:rFonts w:ascii="Arial" w:hAnsi="Arial"/>
          <w:color w:val="231F20"/>
          <w:sz w:val="14"/>
        </w:rPr>
        <w:t>la</w:t>
      </w:r>
      <w:r>
        <w:rPr>
          <w:rFonts w:ascii="Arial" w:hAnsi="Arial"/>
          <w:color w:val="231F20"/>
          <w:spacing w:val="-7"/>
          <w:sz w:val="14"/>
        </w:rPr>
        <w:t> </w:t>
      </w:r>
      <w:r>
        <w:rPr>
          <w:rFonts w:ascii="Arial" w:hAnsi="Arial"/>
          <w:color w:val="231F20"/>
          <w:sz w:val="14"/>
        </w:rPr>
        <w:t>bonne</w:t>
      </w:r>
      <w:r>
        <w:rPr>
          <w:rFonts w:ascii="Arial" w:hAnsi="Arial"/>
          <w:color w:val="231F20"/>
          <w:spacing w:val="-6"/>
          <w:sz w:val="14"/>
        </w:rPr>
        <w:t> </w:t>
      </w:r>
      <w:r>
        <w:rPr>
          <w:rFonts w:ascii="Arial" w:hAnsi="Arial"/>
          <w:color w:val="231F20"/>
          <w:spacing w:val="-2"/>
          <w:sz w:val="14"/>
        </w:rPr>
        <w:t>taille.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pacing w:val="-2"/>
          <w:sz w:val="14"/>
        </w:rPr>
        <w:t>Je n’accepte que</w:t>
      </w:r>
      <w:r>
        <w:rPr>
          <w:rFonts w:ascii="Arial" w:hAnsi="Arial"/>
          <w:color w:val="231F20"/>
          <w:spacing w:val="-1"/>
          <w:sz w:val="14"/>
        </w:rPr>
        <w:t> </w:t>
      </w:r>
      <w:r>
        <w:rPr>
          <w:rFonts w:ascii="Arial" w:hAnsi="Arial"/>
          <w:color w:val="231F20"/>
          <w:spacing w:val="-2"/>
          <w:sz w:val="14"/>
        </w:rPr>
        <w:t>les compliments.</w:t>
      </w:r>
    </w:p>
    <w:p>
      <w:pPr>
        <w:pStyle w:val="ListParagraph"/>
        <w:numPr>
          <w:ilvl w:val="0"/>
          <w:numId w:val="74"/>
        </w:numPr>
        <w:tabs>
          <w:tab w:pos="1311" w:val="left" w:leader="none"/>
        </w:tabs>
        <w:spacing w:line="240" w:lineRule="auto" w:before="110" w:after="0"/>
        <w:ind w:left="1310" w:right="0" w:hanging="382"/>
        <w:jc w:val="left"/>
        <w:rPr>
          <w:rFonts w:ascii="Arial"/>
          <w:sz w:val="14"/>
        </w:rPr>
      </w:pPr>
      <w:r>
        <w:rPr>
          <w:rFonts w:ascii="Arial"/>
          <w:color w:val="231F20"/>
          <w:sz w:val="14"/>
        </w:rPr>
        <w:t>Je</w:t>
      </w:r>
      <w:r>
        <w:rPr>
          <w:rFonts w:ascii="Arial"/>
          <w:color w:val="231F20"/>
          <w:spacing w:val="-5"/>
          <w:sz w:val="14"/>
        </w:rPr>
        <w:t> </w:t>
      </w:r>
      <w:r>
        <w:rPr>
          <w:rFonts w:ascii="Arial"/>
          <w:color w:val="231F20"/>
          <w:sz w:val="14"/>
        </w:rPr>
        <w:t>trouve</w:t>
      </w:r>
      <w:r>
        <w:rPr>
          <w:rFonts w:ascii="Arial"/>
          <w:color w:val="231F20"/>
          <w:spacing w:val="-5"/>
          <w:sz w:val="14"/>
        </w:rPr>
        <w:t> </w:t>
      </w:r>
      <w:r>
        <w:rPr>
          <w:rFonts w:ascii="Arial"/>
          <w:color w:val="231F20"/>
          <w:sz w:val="14"/>
        </w:rPr>
        <w:t>amusant</w:t>
      </w:r>
      <w:r>
        <w:rPr>
          <w:rFonts w:ascii="Arial"/>
          <w:color w:val="231F20"/>
          <w:spacing w:val="-5"/>
          <w:sz w:val="14"/>
        </w:rPr>
        <w:t> </w:t>
      </w:r>
      <w:r>
        <w:rPr>
          <w:rFonts w:ascii="Arial"/>
          <w:color w:val="231F20"/>
          <w:sz w:val="14"/>
        </w:rPr>
        <w:t>de</w:t>
      </w:r>
      <w:r>
        <w:rPr>
          <w:rFonts w:ascii="Arial"/>
          <w:color w:val="231F20"/>
          <w:spacing w:val="-5"/>
          <w:sz w:val="14"/>
        </w:rPr>
        <w:t> </w:t>
      </w:r>
      <w:r>
        <w:rPr>
          <w:rFonts w:ascii="Arial"/>
          <w:color w:val="231F20"/>
          <w:sz w:val="14"/>
        </w:rPr>
        <w:t>me</w:t>
      </w:r>
      <w:r>
        <w:rPr>
          <w:rFonts w:ascii="Arial"/>
          <w:color w:val="231F20"/>
          <w:spacing w:val="-5"/>
          <w:sz w:val="14"/>
        </w:rPr>
        <w:t> </w:t>
      </w:r>
      <w:r>
        <w:rPr>
          <w:rFonts w:ascii="Arial"/>
          <w:color w:val="231F20"/>
          <w:sz w:val="14"/>
        </w:rPr>
        <w:t>moquer</w:t>
      </w:r>
      <w:r>
        <w:rPr>
          <w:rFonts w:ascii="Arial"/>
          <w:color w:val="231F20"/>
          <w:spacing w:val="-5"/>
          <w:sz w:val="14"/>
        </w:rPr>
        <w:t> </w:t>
      </w:r>
      <w:r>
        <w:rPr>
          <w:rFonts w:ascii="Arial"/>
          <w:color w:val="231F20"/>
          <w:sz w:val="14"/>
        </w:rPr>
        <w:t>de</w:t>
      </w:r>
      <w:r>
        <w:rPr>
          <w:rFonts w:ascii="Arial"/>
          <w:color w:val="231F20"/>
          <w:spacing w:val="-5"/>
          <w:sz w:val="14"/>
        </w:rPr>
        <w:t> </w:t>
      </w:r>
      <w:r>
        <w:rPr>
          <w:rFonts w:ascii="Arial"/>
          <w:color w:val="231F20"/>
          <w:sz w:val="14"/>
        </w:rPr>
        <w:t>mes</w:t>
      </w:r>
      <w:r>
        <w:rPr>
          <w:rFonts w:ascii="Arial"/>
          <w:color w:val="231F20"/>
          <w:spacing w:val="-5"/>
          <w:sz w:val="14"/>
        </w:rPr>
        <w:t> </w:t>
      </w:r>
      <w:r>
        <w:rPr>
          <w:rFonts w:ascii="Arial"/>
          <w:color w:val="231F20"/>
          <w:spacing w:val="-2"/>
          <w:sz w:val="14"/>
        </w:rPr>
        <w:t>erreurs.</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Je</w:t>
      </w:r>
      <w:r>
        <w:rPr>
          <w:rFonts w:ascii="Arial"/>
          <w:color w:val="231F20"/>
          <w:spacing w:val="-5"/>
          <w:sz w:val="14"/>
        </w:rPr>
        <w:t> </w:t>
      </w:r>
      <w:r>
        <w:rPr>
          <w:rFonts w:ascii="Arial"/>
          <w:color w:val="231F20"/>
          <w:sz w:val="14"/>
        </w:rPr>
        <w:t>garde</w:t>
      </w:r>
      <w:r>
        <w:rPr>
          <w:rFonts w:ascii="Arial"/>
          <w:color w:val="231F20"/>
          <w:spacing w:val="-5"/>
          <w:sz w:val="14"/>
        </w:rPr>
        <w:t> </w:t>
      </w:r>
      <w:r>
        <w:rPr>
          <w:rFonts w:ascii="Arial"/>
          <w:color w:val="231F20"/>
          <w:sz w:val="14"/>
        </w:rPr>
        <w:t>mes</w:t>
      </w:r>
      <w:r>
        <w:rPr>
          <w:rFonts w:ascii="Arial"/>
          <w:color w:val="231F20"/>
          <w:spacing w:val="-4"/>
          <w:sz w:val="14"/>
        </w:rPr>
        <w:t> </w:t>
      </w:r>
      <w:r>
        <w:rPr>
          <w:rFonts w:ascii="Arial"/>
          <w:color w:val="231F20"/>
          <w:sz w:val="14"/>
        </w:rPr>
        <w:t>sentiments</w:t>
      </w:r>
      <w:r>
        <w:rPr>
          <w:rFonts w:ascii="Arial"/>
          <w:color w:val="231F20"/>
          <w:spacing w:val="-5"/>
          <w:sz w:val="14"/>
        </w:rPr>
        <w:t> </w:t>
      </w:r>
      <w:r>
        <w:rPr>
          <w:rFonts w:ascii="Arial"/>
          <w:color w:val="231F20"/>
          <w:sz w:val="14"/>
        </w:rPr>
        <w:t>pour</w:t>
      </w:r>
      <w:r>
        <w:rPr>
          <w:rFonts w:ascii="Arial"/>
          <w:color w:val="231F20"/>
          <w:spacing w:val="-4"/>
          <w:sz w:val="14"/>
        </w:rPr>
        <w:t> moi.</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Je</w:t>
      </w:r>
      <w:r>
        <w:rPr>
          <w:rFonts w:ascii="Arial" w:hAnsi="Arial"/>
          <w:color w:val="231F20"/>
          <w:spacing w:val="-3"/>
          <w:sz w:val="14"/>
        </w:rPr>
        <w:t> </w:t>
      </w:r>
      <w:r>
        <w:rPr>
          <w:rFonts w:ascii="Arial" w:hAnsi="Arial"/>
          <w:color w:val="231F20"/>
          <w:sz w:val="14"/>
        </w:rPr>
        <w:t>suis</w:t>
      </w:r>
      <w:r>
        <w:rPr>
          <w:rFonts w:ascii="Arial" w:hAnsi="Arial"/>
          <w:color w:val="231F20"/>
          <w:spacing w:val="-2"/>
          <w:sz w:val="14"/>
        </w:rPr>
        <w:t> </w:t>
      </w:r>
      <w:r>
        <w:rPr>
          <w:rFonts w:ascii="Arial" w:hAnsi="Arial"/>
          <w:color w:val="231F20"/>
          <w:sz w:val="14"/>
        </w:rPr>
        <w:t>la</w:t>
      </w:r>
      <w:r>
        <w:rPr>
          <w:rFonts w:ascii="Arial" w:hAnsi="Arial"/>
          <w:color w:val="231F20"/>
          <w:spacing w:val="-2"/>
          <w:sz w:val="14"/>
        </w:rPr>
        <w:t> </w:t>
      </w:r>
      <w:r>
        <w:rPr>
          <w:rFonts w:ascii="Arial" w:hAnsi="Arial"/>
          <w:color w:val="231F20"/>
          <w:sz w:val="14"/>
        </w:rPr>
        <w:t>perfection</w:t>
      </w:r>
      <w:r>
        <w:rPr>
          <w:rFonts w:ascii="Arial" w:hAnsi="Arial"/>
          <w:color w:val="231F20"/>
          <w:spacing w:val="-3"/>
          <w:sz w:val="14"/>
        </w:rPr>
        <w:t> </w:t>
      </w:r>
      <w:r>
        <w:rPr>
          <w:rFonts w:ascii="Arial" w:hAnsi="Arial"/>
          <w:color w:val="231F20"/>
          <w:spacing w:val="-2"/>
          <w:sz w:val="14"/>
        </w:rPr>
        <w:t>même.</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L’échec</w:t>
      </w:r>
      <w:r>
        <w:rPr>
          <w:rFonts w:ascii="Arial" w:hAnsi="Arial"/>
          <w:color w:val="231F20"/>
          <w:spacing w:val="-3"/>
          <w:sz w:val="14"/>
        </w:rPr>
        <w:t> </w:t>
      </w:r>
      <w:r>
        <w:rPr>
          <w:rFonts w:ascii="Arial" w:hAnsi="Arial"/>
          <w:color w:val="231F20"/>
          <w:sz w:val="14"/>
        </w:rPr>
        <w:t>d’autrui</w:t>
      </w:r>
      <w:r>
        <w:rPr>
          <w:rFonts w:ascii="Arial" w:hAnsi="Arial"/>
          <w:color w:val="231F20"/>
          <w:spacing w:val="-2"/>
          <w:sz w:val="14"/>
        </w:rPr>
        <w:t> </w:t>
      </w:r>
      <w:r>
        <w:rPr>
          <w:rFonts w:ascii="Arial" w:hAnsi="Arial"/>
          <w:color w:val="231F20"/>
          <w:sz w:val="14"/>
        </w:rPr>
        <w:t>me</w:t>
      </w:r>
      <w:r>
        <w:rPr>
          <w:rFonts w:ascii="Arial" w:hAnsi="Arial"/>
          <w:color w:val="231F20"/>
          <w:spacing w:val="-3"/>
          <w:sz w:val="14"/>
        </w:rPr>
        <w:t> </w:t>
      </w:r>
      <w:r>
        <w:rPr>
          <w:rFonts w:ascii="Arial" w:hAnsi="Arial"/>
          <w:color w:val="231F20"/>
          <w:sz w:val="14"/>
        </w:rPr>
        <w:t>fait</w:t>
      </w:r>
      <w:r>
        <w:rPr>
          <w:rFonts w:ascii="Arial" w:hAnsi="Arial"/>
          <w:color w:val="231F20"/>
          <w:spacing w:val="-2"/>
          <w:sz w:val="14"/>
        </w:rPr>
        <w:t> rire.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w w:val="95"/>
          <w:sz w:val="14"/>
        </w:rPr>
        <w:t>J’aimerais</w:t>
      </w:r>
      <w:r>
        <w:rPr>
          <w:rFonts w:ascii="Arial" w:hAnsi="Arial"/>
          <w:color w:val="231F20"/>
          <w:spacing w:val="9"/>
          <w:sz w:val="14"/>
        </w:rPr>
        <w:t> </w:t>
      </w:r>
      <w:r>
        <w:rPr>
          <w:rFonts w:ascii="Arial" w:hAnsi="Arial"/>
          <w:color w:val="231F20"/>
          <w:w w:val="95"/>
          <w:sz w:val="14"/>
        </w:rPr>
        <w:t>changer</w:t>
      </w:r>
      <w:r>
        <w:rPr>
          <w:rFonts w:ascii="Arial" w:hAnsi="Arial"/>
          <w:color w:val="231F20"/>
          <w:spacing w:val="9"/>
          <w:sz w:val="14"/>
        </w:rPr>
        <w:t> </w:t>
      </w:r>
      <w:r>
        <w:rPr>
          <w:rFonts w:ascii="Arial" w:hAnsi="Arial"/>
          <w:color w:val="231F20"/>
          <w:spacing w:val="-2"/>
          <w:w w:val="95"/>
          <w:sz w:val="14"/>
        </w:rPr>
        <w:t>d’apparence.</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sz w:val="14"/>
        </w:rPr>
        <w:t>J’évite les nouvelles </w:t>
      </w:r>
      <w:r>
        <w:rPr>
          <w:rFonts w:ascii="Arial" w:hAnsi="Arial"/>
          <w:color w:val="231F20"/>
          <w:spacing w:val="-2"/>
          <w:sz w:val="14"/>
        </w:rPr>
        <w:t>expériences.</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Je</w:t>
      </w:r>
      <w:r>
        <w:rPr>
          <w:rFonts w:ascii="Arial"/>
          <w:color w:val="231F20"/>
          <w:spacing w:val="-8"/>
          <w:sz w:val="14"/>
        </w:rPr>
        <w:t> </w:t>
      </w:r>
      <w:r>
        <w:rPr>
          <w:rFonts w:ascii="Arial"/>
          <w:color w:val="231F20"/>
          <w:sz w:val="14"/>
        </w:rPr>
        <w:t>suis</w:t>
      </w:r>
      <w:r>
        <w:rPr>
          <w:rFonts w:ascii="Arial"/>
          <w:color w:val="231F20"/>
          <w:spacing w:val="-8"/>
          <w:sz w:val="14"/>
        </w:rPr>
        <w:t> </w:t>
      </w:r>
      <w:r>
        <w:rPr>
          <w:rFonts w:ascii="Arial"/>
          <w:color w:val="231F20"/>
          <w:sz w:val="14"/>
        </w:rPr>
        <w:t>vraiment</w:t>
      </w:r>
      <w:r>
        <w:rPr>
          <w:rFonts w:ascii="Arial"/>
          <w:color w:val="231F20"/>
          <w:spacing w:val="-8"/>
          <w:sz w:val="14"/>
        </w:rPr>
        <w:t> </w:t>
      </w:r>
      <w:r>
        <w:rPr>
          <w:rFonts w:ascii="Arial"/>
          <w:color w:val="231F20"/>
          <w:spacing w:val="-2"/>
          <w:sz w:val="14"/>
        </w:rPr>
        <w:t>timide.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w w:val="95"/>
          <w:sz w:val="14"/>
        </w:rPr>
        <w:t>J’accepte</w:t>
      </w:r>
      <w:r>
        <w:rPr>
          <w:rFonts w:ascii="Arial" w:hAnsi="Arial"/>
          <w:color w:val="231F20"/>
          <w:spacing w:val="3"/>
          <w:sz w:val="14"/>
        </w:rPr>
        <w:t> </w:t>
      </w:r>
      <w:r>
        <w:rPr>
          <w:rFonts w:ascii="Arial" w:hAnsi="Arial"/>
          <w:color w:val="231F20"/>
          <w:w w:val="95"/>
          <w:sz w:val="14"/>
        </w:rPr>
        <w:t>les</w:t>
      </w:r>
      <w:r>
        <w:rPr>
          <w:rFonts w:ascii="Arial" w:hAnsi="Arial"/>
          <w:color w:val="231F20"/>
          <w:spacing w:val="3"/>
          <w:sz w:val="14"/>
        </w:rPr>
        <w:t> </w:t>
      </w:r>
      <w:r>
        <w:rPr>
          <w:rFonts w:ascii="Arial" w:hAnsi="Arial"/>
          <w:color w:val="231F20"/>
          <w:w w:val="95"/>
          <w:sz w:val="14"/>
        </w:rPr>
        <w:t>défis</w:t>
      </w:r>
      <w:r>
        <w:rPr>
          <w:rFonts w:ascii="Arial" w:hAnsi="Arial"/>
          <w:color w:val="231F20"/>
          <w:spacing w:val="4"/>
          <w:sz w:val="14"/>
        </w:rPr>
        <w:t> </w:t>
      </w:r>
      <w:r>
        <w:rPr>
          <w:rFonts w:ascii="Arial" w:hAnsi="Arial"/>
          <w:color w:val="231F20"/>
          <w:w w:val="95"/>
          <w:sz w:val="14"/>
        </w:rPr>
        <w:t>sans</w:t>
      </w:r>
      <w:r>
        <w:rPr>
          <w:rFonts w:ascii="Arial" w:hAnsi="Arial"/>
          <w:color w:val="231F20"/>
          <w:spacing w:val="3"/>
          <w:sz w:val="14"/>
        </w:rPr>
        <w:t> </w:t>
      </w:r>
      <w:r>
        <w:rPr>
          <w:rFonts w:ascii="Arial" w:hAnsi="Arial"/>
          <w:color w:val="231F20"/>
          <w:spacing w:val="-2"/>
          <w:w w:val="95"/>
          <w:sz w:val="14"/>
        </w:rPr>
        <w:t>réfléchir.</w:t>
      </w:r>
    </w:p>
    <w:p>
      <w:pPr>
        <w:pStyle w:val="ListParagraph"/>
        <w:numPr>
          <w:ilvl w:val="0"/>
          <w:numId w:val="74"/>
        </w:numPr>
        <w:tabs>
          <w:tab w:pos="1311" w:val="left" w:leader="none"/>
        </w:tabs>
        <w:spacing w:line="240" w:lineRule="auto" w:before="110" w:after="0"/>
        <w:ind w:left="1310" w:right="0" w:hanging="382"/>
        <w:jc w:val="left"/>
        <w:rPr>
          <w:rFonts w:ascii="Arial"/>
          <w:sz w:val="14"/>
        </w:rPr>
      </w:pPr>
      <w:r>
        <w:rPr>
          <w:rFonts w:ascii="Arial"/>
          <w:color w:val="231F20"/>
          <w:sz w:val="14"/>
        </w:rPr>
        <w:t>Je</w:t>
      </w:r>
      <w:r>
        <w:rPr>
          <w:rFonts w:ascii="Arial"/>
          <w:color w:val="231F20"/>
          <w:spacing w:val="-10"/>
          <w:sz w:val="14"/>
        </w:rPr>
        <w:t> </w:t>
      </w:r>
      <w:r>
        <w:rPr>
          <w:rFonts w:ascii="Arial"/>
          <w:color w:val="231F20"/>
          <w:sz w:val="14"/>
        </w:rPr>
        <w:t>trouve</w:t>
      </w:r>
      <w:r>
        <w:rPr>
          <w:rFonts w:ascii="Arial"/>
          <w:color w:val="231F20"/>
          <w:spacing w:val="-9"/>
          <w:sz w:val="14"/>
        </w:rPr>
        <w:t> </w:t>
      </w:r>
      <w:r>
        <w:rPr>
          <w:rFonts w:ascii="Arial"/>
          <w:color w:val="231F20"/>
          <w:sz w:val="14"/>
        </w:rPr>
        <w:t>des</w:t>
      </w:r>
      <w:r>
        <w:rPr>
          <w:rFonts w:ascii="Arial"/>
          <w:color w:val="231F20"/>
          <w:spacing w:val="-10"/>
          <w:sz w:val="14"/>
        </w:rPr>
        <w:t> </w:t>
      </w:r>
      <w:r>
        <w:rPr>
          <w:rFonts w:ascii="Arial"/>
          <w:color w:val="231F20"/>
          <w:sz w:val="14"/>
        </w:rPr>
        <w:t>excuses</w:t>
      </w:r>
      <w:r>
        <w:rPr>
          <w:rFonts w:ascii="Arial"/>
          <w:color w:val="231F20"/>
          <w:spacing w:val="-9"/>
          <w:sz w:val="14"/>
        </w:rPr>
        <w:t> </w:t>
      </w:r>
      <w:r>
        <w:rPr>
          <w:rFonts w:ascii="Arial"/>
          <w:color w:val="231F20"/>
          <w:sz w:val="14"/>
        </w:rPr>
        <w:t>pour</w:t>
      </w:r>
      <w:r>
        <w:rPr>
          <w:rFonts w:ascii="Arial"/>
          <w:color w:val="231F20"/>
          <w:spacing w:val="-9"/>
          <w:sz w:val="14"/>
        </w:rPr>
        <w:t> </w:t>
      </w:r>
      <w:r>
        <w:rPr>
          <w:rFonts w:ascii="Arial"/>
          <w:color w:val="231F20"/>
          <w:sz w:val="14"/>
        </w:rPr>
        <w:t>ne</w:t>
      </w:r>
      <w:r>
        <w:rPr>
          <w:rFonts w:ascii="Arial"/>
          <w:color w:val="231F20"/>
          <w:spacing w:val="-10"/>
          <w:sz w:val="14"/>
        </w:rPr>
        <w:t> </w:t>
      </w:r>
      <w:r>
        <w:rPr>
          <w:rFonts w:ascii="Arial"/>
          <w:color w:val="231F20"/>
          <w:sz w:val="14"/>
        </w:rPr>
        <w:t>pas</w:t>
      </w:r>
      <w:r>
        <w:rPr>
          <w:rFonts w:ascii="Arial"/>
          <w:color w:val="231F20"/>
          <w:spacing w:val="-9"/>
          <w:sz w:val="14"/>
        </w:rPr>
        <w:t> </w:t>
      </w:r>
      <w:r>
        <w:rPr>
          <w:rFonts w:ascii="Arial"/>
          <w:color w:val="231F20"/>
          <w:sz w:val="14"/>
        </w:rPr>
        <w:t>accepter</w:t>
      </w:r>
      <w:r>
        <w:rPr>
          <w:rFonts w:ascii="Arial"/>
          <w:color w:val="231F20"/>
          <w:spacing w:val="-9"/>
          <w:sz w:val="14"/>
        </w:rPr>
        <w:t> </w:t>
      </w:r>
      <w:r>
        <w:rPr>
          <w:rFonts w:ascii="Arial"/>
          <w:color w:val="231F20"/>
          <w:sz w:val="14"/>
        </w:rPr>
        <w:t>les</w:t>
      </w:r>
      <w:r>
        <w:rPr>
          <w:rFonts w:ascii="Arial"/>
          <w:color w:val="231F20"/>
          <w:spacing w:val="-10"/>
          <w:sz w:val="14"/>
        </w:rPr>
        <w:t> </w:t>
      </w:r>
      <w:r>
        <w:rPr>
          <w:rFonts w:ascii="Arial"/>
          <w:color w:val="231F20"/>
          <w:spacing w:val="-2"/>
          <w:sz w:val="14"/>
        </w:rPr>
        <w:t>changements.</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J’ai</w:t>
      </w:r>
      <w:r>
        <w:rPr>
          <w:rFonts w:ascii="Arial" w:hAnsi="Arial"/>
          <w:color w:val="231F20"/>
          <w:spacing w:val="-4"/>
          <w:sz w:val="14"/>
        </w:rPr>
        <w:t> </w:t>
      </w:r>
      <w:r>
        <w:rPr>
          <w:rFonts w:ascii="Arial" w:hAnsi="Arial"/>
          <w:color w:val="231F20"/>
          <w:sz w:val="14"/>
        </w:rPr>
        <w:t>l’impression</w:t>
      </w:r>
      <w:r>
        <w:rPr>
          <w:rFonts w:ascii="Arial" w:hAnsi="Arial"/>
          <w:color w:val="231F20"/>
          <w:spacing w:val="-3"/>
          <w:sz w:val="14"/>
        </w:rPr>
        <w:t> </w:t>
      </w:r>
      <w:r>
        <w:rPr>
          <w:rFonts w:ascii="Arial" w:hAnsi="Arial"/>
          <w:color w:val="231F20"/>
          <w:sz w:val="14"/>
        </w:rPr>
        <w:t>que</w:t>
      </w:r>
      <w:r>
        <w:rPr>
          <w:rFonts w:ascii="Arial" w:hAnsi="Arial"/>
          <w:color w:val="231F20"/>
          <w:spacing w:val="-4"/>
          <w:sz w:val="14"/>
        </w:rPr>
        <w:t> </w:t>
      </w:r>
      <w:r>
        <w:rPr>
          <w:rFonts w:ascii="Arial" w:hAnsi="Arial"/>
          <w:color w:val="231F20"/>
          <w:sz w:val="14"/>
        </w:rPr>
        <w:t>les</w:t>
      </w:r>
      <w:r>
        <w:rPr>
          <w:rFonts w:ascii="Arial" w:hAnsi="Arial"/>
          <w:color w:val="231F20"/>
          <w:spacing w:val="-3"/>
          <w:sz w:val="14"/>
        </w:rPr>
        <w:t> </w:t>
      </w:r>
      <w:r>
        <w:rPr>
          <w:rFonts w:ascii="Arial" w:hAnsi="Arial"/>
          <w:color w:val="231F20"/>
          <w:sz w:val="14"/>
        </w:rPr>
        <w:t>autres</w:t>
      </w:r>
      <w:r>
        <w:rPr>
          <w:rFonts w:ascii="Arial" w:hAnsi="Arial"/>
          <w:color w:val="231F20"/>
          <w:spacing w:val="-4"/>
          <w:sz w:val="14"/>
        </w:rPr>
        <w:t> </w:t>
      </w:r>
      <w:r>
        <w:rPr>
          <w:rFonts w:ascii="Arial" w:hAnsi="Arial"/>
          <w:color w:val="231F20"/>
          <w:sz w:val="14"/>
        </w:rPr>
        <w:t>dépendent</w:t>
      </w:r>
      <w:r>
        <w:rPr>
          <w:rFonts w:ascii="Arial" w:hAnsi="Arial"/>
          <w:color w:val="231F20"/>
          <w:spacing w:val="-3"/>
          <w:sz w:val="14"/>
        </w:rPr>
        <w:t> </w:t>
      </w:r>
      <w:r>
        <w:rPr>
          <w:rFonts w:ascii="Arial" w:hAnsi="Arial"/>
          <w:color w:val="231F20"/>
          <w:sz w:val="14"/>
        </w:rPr>
        <w:t>de</w:t>
      </w:r>
      <w:r>
        <w:rPr>
          <w:rFonts w:ascii="Arial" w:hAnsi="Arial"/>
          <w:color w:val="231F20"/>
          <w:spacing w:val="-4"/>
          <w:sz w:val="14"/>
        </w:rPr>
        <w:t> moi.</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Les</w:t>
      </w:r>
      <w:r>
        <w:rPr>
          <w:rFonts w:ascii="Arial" w:hAnsi="Arial"/>
          <w:color w:val="231F20"/>
          <w:spacing w:val="-3"/>
          <w:sz w:val="14"/>
        </w:rPr>
        <w:t> </w:t>
      </w:r>
      <w:r>
        <w:rPr>
          <w:rFonts w:ascii="Arial" w:hAnsi="Arial"/>
          <w:color w:val="231F20"/>
          <w:sz w:val="14"/>
        </w:rPr>
        <w:t>autres</w:t>
      </w:r>
      <w:r>
        <w:rPr>
          <w:rFonts w:ascii="Arial" w:hAnsi="Arial"/>
          <w:color w:val="231F20"/>
          <w:spacing w:val="-3"/>
          <w:sz w:val="14"/>
        </w:rPr>
        <w:t> </w:t>
      </w:r>
      <w:r>
        <w:rPr>
          <w:rFonts w:ascii="Arial" w:hAnsi="Arial"/>
          <w:color w:val="231F20"/>
          <w:sz w:val="14"/>
        </w:rPr>
        <w:t>font</w:t>
      </w:r>
      <w:r>
        <w:rPr>
          <w:rFonts w:ascii="Arial" w:hAnsi="Arial"/>
          <w:color w:val="231F20"/>
          <w:spacing w:val="-3"/>
          <w:sz w:val="14"/>
        </w:rPr>
        <w:t> </w:t>
      </w:r>
      <w:r>
        <w:rPr>
          <w:rFonts w:ascii="Arial" w:hAnsi="Arial"/>
          <w:color w:val="231F20"/>
          <w:sz w:val="14"/>
        </w:rPr>
        <w:t>plus</w:t>
      </w:r>
      <w:r>
        <w:rPr>
          <w:rFonts w:ascii="Arial" w:hAnsi="Arial"/>
          <w:color w:val="231F20"/>
          <w:spacing w:val="-2"/>
          <w:sz w:val="14"/>
        </w:rPr>
        <w:t> </w:t>
      </w:r>
      <w:r>
        <w:rPr>
          <w:rFonts w:ascii="Arial" w:hAnsi="Arial"/>
          <w:color w:val="231F20"/>
          <w:sz w:val="14"/>
        </w:rPr>
        <w:t>d’erreurs</w:t>
      </w:r>
      <w:r>
        <w:rPr>
          <w:rFonts w:ascii="Arial" w:hAnsi="Arial"/>
          <w:color w:val="231F20"/>
          <w:spacing w:val="-3"/>
          <w:sz w:val="14"/>
        </w:rPr>
        <w:t> </w:t>
      </w:r>
      <w:r>
        <w:rPr>
          <w:rFonts w:ascii="Arial" w:hAnsi="Arial"/>
          <w:color w:val="231F20"/>
          <w:sz w:val="14"/>
        </w:rPr>
        <w:t>que</w:t>
      </w:r>
      <w:r>
        <w:rPr>
          <w:rFonts w:ascii="Arial" w:hAnsi="Arial"/>
          <w:color w:val="231F20"/>
          <w:spacing w:val="-3"/>
          <w:sz w:val="14"/>
        </w:rPr>
        <w:t> </w:t>
      </w:r>
      <w:r>
        <w:rPr>
          <w:rFonts w:ascii="Arial" w:hAnsi="Arial"/>
          <w:color w:val="231F20"/>
          <w:spacing w:val="-4"/>
          <w:sz w:val="14"/>
        </w:rPr>
        <w:t>moi.</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w w:val="95"/>
          <w:sz w:val="14"/>
        </w:rPr>
        <w:t>Je</w:t>
      </w:r>
      <w:r>
        <w:rPr>
          <w:rFonts w:ascii="Arial" w:hAnsi="Arial"/>
          <w:color w:val="231F20"/>
          <w:spacing w:val="8"/>
          <w:sz w:val="14"/>
        </w:rPr>
        <w:t> </w:t>
      </w:r>
      <w:r>
        <w:rPr>
          <w:rFonts w:ascii="Arial" w:hAnsi="Arial"/>
          <w:color w:val="231F20"/>
          <w:w w:val="95"/>
          <w:sz w:val="14"/>
        </w:rPr>
        <w:t>me</w:t>
      </w:r>
      <w:r>
        <w:rPr>
          <w:rFonts w:ascii="Arial" w:hAnsi="Arial"/>
          <w:color w:val="231F20"/>
          <w:spacing w:val="8"/>
          <w:sz w:val="14"/>
        </w:rPr>
        <w:t> </w:t>
      </w:r>
      <w:r>
        <w:rPr>
          <w:rFonts w:ascii="Arial" w:hAnsi="Arial"/>
          <w:color w:val="231F20"/>
          <w:w w:val="95"/>
          <w:sz w:val="14"/>
        </w:rPr>
        <w:t>considère</w:t>
      </w:r>
      <w:r>
        <w:rPr>
          <w:rFonts w:ascii="Arial" w:hAnsi="Arial"/>
          <w:color w:val="231F20"/>
          <w:spacing w:val="9"/>
          <w:sz w:val="14"/>
        </w:rPr>
        <w:t> </w:t>
      </w:r>
      <w:r>
        <w:rPr>
          <w:rFonts w:ascii="Arial" w:hAnsi="Arial"/>
          <w:color w:val="231F20"/>
          <w:w w:val="95"/>
          <w:sz w:val="14"/>
        </w:rPr>
        <w:t>comme</w:t>
      </w:r>
      <w:r>
        <w:rPr>
          <w:rFonts w:ascii="Arial" w:hAnsi="Arial"/>
          <w:color w:val="231F20"/>
          <w:spacing w:val="8"/>
          <w:sz w:val="14"/>
        </w:rPr>
        <w:t> </w:t>
      </w:r>
      <w:r>
        <w:rPr>
          <w:rFonts w:ascii="Arial" w:hAnsi="Arial"/>
          <w:color w:val="231F20"/>
          <w:w w:val="95"/>
          <w:sz w:val="14"/>
        </w:rPr>
        <w:t>une</w:t>
      </w:r>
      <w:r>
        <w:rPr>
          <w:rFonts w:ascii="Arial" w:hAnsi="Arial"/>
          <w:color w:val="231F20"/>
          <w:spacing w:val="8"/>
          <w:sz w:val="14"/>
        </w:rPr>
        <w:t> </w:t>
      </w:r>
      <w:r>
        <w:rPr>
          <w:rFonts w:ascii="Arial" w:hAnsi="Arial"/>
          <w:color w:val="231F20"/>
          <w:w w:val="95"/>
          <w:sz w:val="14"/>
        </w:rPr>
        <w:t>personne</w:t>
      </w:r>
      <w:r>
        <w:rPr>
          <w:rFonts w:ascii="Arial" w:hAnsi="Arial"/>
          <w:color w:val="231F20"/>
          <w:spacing w:val="9"/>
          <w:sz w:val="14"/>
        </w:rPr>
        <w:t> </w:t>
      </w:r>
      <w:r>
        <w:rPr>
          <w:rFonts w:ascii="Arial" w:hAnsi="Arial"/>
          <w:color w:val="231F20"/>
          <w:spacing w:val="-2"/>
          <w:w w:val="95"/>
          <w:sz w:val="14"/>
        </w:rPr>
        <w:t>agressive.</w:t>
      </w:r>
    </w:p>
    <w:p>
      <w:pPr>
        <w:pStyle w:val="ListParagraph"/>
        <w:numPr>
          <w:ilvl w:val="0"/>
          <w:numId w:val="74"/>
        </w:numPr>
        <w:tabs>
          <w:tab w:pos="1311" w:val="left" w:leader="none"/>
        </w:tabs>
        <w:spacing w:line="240" w:lineRule="auto" w:before="111" w:after="0"/>
        <w:ind w:left="1310" w:right="0" w:hanging="382"/>
        <w:jc w:val="left"/>
        <w:rPr>
          <w:rFonts w:ascii="Arial"/>
          <w:sz w:val="14"/>
        </w:rPr>
      </w:pPr>
      <w:r>
        <w:rPr>
          <w:rFonts w:ascii="Arial"/>
          <w:color w:val="231F20"/>
          <w:sz w:val="14"/>
        </w:rPr>
        <w:t>Le</w:t>
      </w:r>
      <w:r>
        <w:rPr>
          <w:rFonts w:ascii="Arial"/>
          <w:color w:val="231F20"/>
          <w:spacing w:val="-8"/>
          <w:sz w:val="14"/>
        </w:rPr>
        <w:t> </w:t>
      </w:r>
      <w:r>
        <w:rPr>
          <w:rFonts w:ascii="Arial"/>
          <w:color w:val="231F20"/>
          <w:sz w:val="14"/>
        </w:rPr>
        <w:t>changement</w:t>
      </w:r>
      <w:r>
        <w:rPr>
          <w:rFonts w:ascii="Arial"/>
          <w:color w:val="231F20"/>
          <w:spacing w:val="-8"/>
          <w:sz w:val="14"/>
        </w:rPr>
        <w:t> </w:t>
      </w:r>
      <w:r>
        <w:rPr>
          <w:rFonts w:ascii="Arial"/>
          <w:color w:val="231F20"/>
          <w:sz w:val="14"/>
        </w:rPr>
        <w:t>me</w:t>
      </w:r>
      <w:r>
        <w:rPr>
          <w:rFonts w:ascii="Arial"/>
          <w:color w:val="231F20"/>
          <w:spacing w:val="-8"/>
          <w:sz w:val="14"/>
        </w:rPr>
        <w:t> </w:t>
      </w:r>
      <w:r>
        <w:rPr>
          <w:rFonts w:ascii="Arial"/>
          <w:color w:val="231F20"/>
          <w:spacing w:val="-2"/>
          <w:sz w:val="14"/>
        </w:rPr>
        <w:t>terrifie.</w:t>
      </w:r>
    </w:p>
    <w:p>
      <w:pPr>
        <w:pStyle w:val="ListParagraph"/>
        <w:numPr>
          <w:ilvl w:val="0"/>
          <w:numId w:val="74"/>
        </w:numPr>
        <w:tabs>
          <w:tab w:pos="1311" w:val="left" w:leader="none"/>
        </w:tabs>
        <w:spacing w:line="240" w:lineRule="auto" w:before="110" w:after="0"/>
        <w:ind w:left="1310" w:right="0" w:hanging="382"/>
        <w:jc w:val="left"/>
        <w:rPr>
          <w:rFonts w:ascii="Arial" w:hAnsi="Arial"/>
          <w:sz w:val="14"/>
        </w:rPr>
      </w:pPr>
      <w:r>
        <w:rPr>
          <w:rFonts w:ascii="Arial" w:hAnsi="Arial"/>
          <w:color w:val="231F20"/>
          <w:w w:val="95"/>
          <w:sz w:val="14"/>
        </w:rPr>
        <w:t>J’aime</w:t>
      </w:r>
      <w:r>
        <w:rPr>
          <w:rFonts w:ascii="Arial" w:hAnsi="Arial"/>
          <w:color w:val="231F20"/>
          <w:spacing w:val="5"/>
          <w:sz w:val="14"/>
        </w:rPr>
        <w:t> </w:t>
      </w:r>
      <w:r>
        <w:rPr>
          <w:rFonts w:ascii="Arial" w:hAnsi="Arial"/>
          <w:color w:val="231F20"/>
          <w:spacing w:val="-2"/>
          <w:sz w:val="14"/>
        </w:rPr>
        <w:t>l’aventure.</w:t>
      </w:r>
    </w:p>
    <w:p>
      <w:pPr>
        <w:pStyle w:val="ListParagraph"/>
        <w:numPr>
          <w:ilvl w:val="0"/>
          <w:numId w:val="74"/>
        </w:numPr>
        <w:tabs>
          <w:tab w:pos="1311" w:val="left" w:leader="none"/>
        </w:tabs>
        <w:spacing w:line="240" w:lineRule="auto" w:before="111" w:after="0"/>
        <w:ind w:left="1310" w:right="0" w:hanging="382"/>
        <w:jc w:val="left"/>
        <w:rPr>
          <w:rFonts w:ascii="Arial" w:hAnsi="Arial"/>
          <w:sz w:val="14"/>
        </w:rPr>
      </w:pPr>
      <w:r>
        <w:rPr>
          <w:rFonts w:ascii="Arial" w:hAnsi="Arial"/>
          <w:color w:val="231F20"/>
          <w:sz w:val="14"/>
        </w:rPr>
        <w:t>La</w:t>
      </w:r>
      <w:r>
        <w:rPr>
          <w:rFonts w:ascii="Arial" w:hAnsi="Arial"/>
          <w:color w:val="231F20"/>
          <w:spacing w:val="-9"/>
          <w:sz w:val="14"/>
        </w:rPr>
        <w:t> </w:t>
      </w:r>
      <w:r>
        <w:rPr>
          <w:rFonts w:ascii="Arial" w:hAnsi="Arial"/>
          <w:color w:val="231F20"/>
          <w:sz w:val="14"/>
        </w:rPr>
        <w:t>réussite</w:t>
      </w:r>
      <w:r>
        <w:rPr>
          <w:rFonts w:ascii="Arial" w:hAnsi="Arial"/>
          <w:color w:val="231F20"/>
          <w:spacing w:val="-8"/>
          <w:sz w:val="14"/>
        </w:rPr>
        <w:t> </w:t>
      </w:r>
      <w:r>
        <w:rPr>
          <w:rFonts w:ascii="Arial" w:hAnsi="Arial"/>
          <w:color w:val="231F20"/>
          <w:sz w:val="14"/>
        </w:rPr>
        <w:t>des</w:t>
      </w:r>
      <w:r>
        <w:rPr>
          <w:rFonts w:ascii="Arial" w:hAnsi="Arial"/>
          <w:color w:val="231F20"/>
          <w:spacing w:val="-8"/>
          <w:sz w:val="14"/>
        </w:rPr>
        <w:t> </w:t>
      </w:r>
      <w:r>
        <w:rPr>
          <w:rFonts w:ascii="Arial" w:hAnsi="Arial"/>
          <w:color w:val="231F20"/>
          <w:sz w:val="14"/>
        </w:rPr>
        <w:t>autres</w:t>
      </w:r>
      <w:r>
        <w:rPr>
          <w:rFonts w:ascii="Arial" w:hAnsi="Arial"/>
          <w:color w:val="231F20"/>
          <w:spacing w:val="-9"/>
          <w:sz w:val="14"/>
        </w:rPr>
        <w:t> </w:t>
      </w:r>
      <w:r>
        <w:rPr>
          <w:rFonts w:ascii="Arial" w:hAnsi="Arial"/>
          <w:color w:val="231F20"/>
          <w:sz w:val="14"/>
        </w:rPr>
        <w:t>me</w:t>
      </w:r>
      <w:r>
        <w:rPr>
          <w:rFonts w:ascii="Arial" w:hAnsi="Arial"/>
          <w:color w:val="231F20"/>
          <w:spacing w:val="-8"/>
          <w:sz w:val="14"/>
        </w:rPr>
        <w:t> </w:t>
      </w:r>
      <w:r>
        <w:rPr>
          <w:rFonts w:ascii="Arial" w:hAnsi="Arial"/>
          <w:color w:val="231F20"/>
          <w:spacing w:val="-2"/>
          <w:sz w:val="14"/>
        </w:rPr>
        <w:t>réjouit.</w:t>
      </w:r>
    </w:p>
    <w:p>
      <w:pPr>
        <w:spacing w:before="111"/>
        <w:ind w:left="1311" w:right="0" w:firstLine="0"/>
        <w:jc w:val="left"/>
        <w:rPr>
          <w:rFonts w:ascii="Arial"/>
          <w:b/>
          <w:sz w:val="14"/>
        </w:rPr>
      </w:pPr>
      <w:r>
        <w:rPr>
          <w:rFonts w:ascii="Arial"/>
          <w:b/>
          <w:color w:val="231F20"/>
          <w:spacing w:val="-2"/>
          <w:sz w:val="14"/>
        </w:rPr>
        <w:t>TOTAL</w:t>
      </w:r>
    </w:p>
    <w:p>
      <w:pPr>
        <w:spacing w:after="0"/>
        <w:jc w:val="left"/>
        <w:rPr>
          <w:rFonts w:ascii="Arial"/>
          <w:sz w:val="14"/>
        </w:rPr>
        <w:sectPr>
          <w:footerReference w:type="default" r:id="rId281"/>
          <w:pgSz w:w="8640" w:h="12960"/>
          <w:pgMar w:footer="424" w:header="0" w:top="520" w:bottom="620" w:left="420" w:right="1140"/>
        </w:sectPr>
      </w:pPr>
    </w:p>
    <w:p>
      <w:pPr>
        <w:spacing w:before="118"/>
        <w:ind w:left="1940" w:right="0" w:firstLine="0"/>
        <w:jc w:val="left"/>
        <w:rPr>
          <w:rFonts w:ascii="Arial" w:hAnsi="Arial"/>
          <w:sz w:val="14"/>
        </w:rPr>
      </w:pPr>
      <w:bookmarkStart w:name="Exercice 4.2 / Évaluez l’estime de soi o" w:id="167"/>
      <w:bookmarkEnd w:id="167"/>
      <w:r>
        <w:rPr/>
      </w:r>
      <w:bookmarkStart w:name="_bookmark74" w:id="168"/>
      <w:bookmarkEnd w:id="168"/>
      <w:r>
        <w:rPr/>
      </w: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spacing w:before="8"/>
        <w:rPr>
          <w:rFonts w:ascii="Arial"/>
          <w:sz w:val="29"/>
        </w:rPr>
      </w:pPr>
    </w:p>
    <w:p>
      <w:pPr>
        <w:pStyle w:val="Heading5"/>
        <w:ind w:left="1220"/>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BodyText"/>
        <w:spacing w:line="307" w:lineRule="auto" w:before="134"/>
        <w:ind w:left="1220" w:right="108"/>
        <w:jc w:val="both"/>
      </w:pPr>
      <w:r>
        <w:rPr>
          <w:color w:val="231F20"/>
          <w:spacing w:val="-2"/>
          <w:w w:val="120"/>
        </w:rPr>
        <w:t>Additionnez</w:t>
      </w:r>
      <w:r>
        <w:rPr>
          <w:color w:val="231F20"/>
          <w:spacing w:val="-7"/>
          <w:w w:val="120"/>
        </w:rPr>
        <w:t> </w:t>
      </w:r>
      <w:r>
        <w:rPr>
          <w:color w:val="231F20"/>
          <w:spacing w:val="-2"/>
          <w:w w:val="120"/>
        </w:rPr>
        <w:t>les</w:t>
      </w:r>
      <w:r>
        <w:rPr>
          <w:color w:val="231F20"/>
          <w:spacing w:val="-7"/>
          <w:w w:val="120"/>
        </w:rPr>
        <w:t> </w:t>
      </w:r>
      <w:r>
        <w:rPr>
          <w:color w:val="231F20"/>
          <w:spacing w:val="-2"/>
          <w:w w:val="120"/>
        </w:rPr>
        <w:t>valeurs</w:t>
      </w:r>
      <w:r>
        <w:rPr>
          <w:color w:val="231F20"/>
          <w:spacing w:val="-7"/>
          <w:w w:val="120"/>
        </w:rPr>
        <w:t> </w:t>
      </w:r>
      <w:r>
        <w:rPr>
          <w:color w:val="231F20"/>
          <w:spacing w:val="-2"/>
          <w:w w:val="120"/>
        </w:rPr>
        <w:t>numériques</w:t>
      </w:r>
      <w:r>
        <w:rPr>
          <w:color w:val="231F20"/>
          <w:spacing w:val="-7"/>
          <w:w w:val="120"/>
        </w:rPr>
        <w:t> </w:t>
      </w:r>
      <w:r>
        <w:rPr>
          <w:color w:val="231F20"/>
          <w:spacing w:val="-2"/>
          <w:w w:val="120"/>
        </w:rPr>
        <w:t>accordées</w:t>
      </w:r>
      <w:r>
        <w:rPr>
          <w:color w:val="231F20"/>
          <w:spacing w:val="-7"/>
          <w:w w:val="120"/>
        </w:rPr>
        <w:t> </w:t>
      </w:r>
      <w:r>
        <w:rPr>
          <w:color w:val="231F20"/>
          <w:spacing w:val="-2"/>
          <w:w w:val="120"/>
        </w:rPr>
        <w:t>à</w:t>
      </w:r>
      <w:r>
        <w:rPr>
          <w:color w:val="231F20"/>
          <w:spacing w:val="-7"/>
          <w:w w:val="120"/>
        </w:rPr>
        <w:t> </w:t>
      </w:r>
      <w:r>
        <w:rPr>
          <w:color w:val="231F20"/>
          <w:spacing w:val="-2"/>
          <w:w w:val="120"/>
        </w:rPr>
        <w:t>chacun</w:t>
      </w:r>
      <w:r>
        <w:rPr>
          <w:color w:val="231F20"/>
          <w:spacing w:val="-7"/>
          <w:w w:val="120"/>
        </w:rPr>
        <w:t> </w:t>
      </w:r>
      <w:r>
        <w:rPr>
          <w:color w:val="231F20"/>
          <w:spacing w:val="-2"/>
          <w:w w:val="120"/>
        </w:rPr>
        <w:t>des</w:t>
      </w:r>
      <w:r>
        <w:rPr>
          <w:color w:val="231F20"/>
          <w:spacing w:val="-7"/>
          <w:w w:val="120"/>
        </w:rPr>
        <w:t> </w:t>
      </w:r>
      <w:r>
        <w:rPr>
          <w:color w:val="231F20"/>
          <w:spacing w:val="-2"/>
          <w:w w:val="120"/>
        </w:rPr>
        <w:t>40</w:t>
      </w:r>
      <w:r>
        <w:rPr>
          <w:color w:val="231F20"/>
          <w:spacing w:val="-7"/>
          <w:w w:val="120"/>
        </w:rPr>
        <w:t> </w:t>
      </w:r>
      <w:r>
        <w:rPr>
          <w:color w:val="231F20"/>
          <w:spacing w:val="-2"/>
          <w:w w:val="120"/>
        </w:rPr>
        <w:t>énoncés. </w:t>
      </w:r>
      <w:r>
        <w:rPr>
          <w:color w:val="231F20"/>
          <w:w w:val="120"/>
        </w:rPr>
        <w:t>Ensuite, comparez le total obtenu au barème suivant:</w:t>
      </w:r>
    </w:p>
    <w:p>
      <w:pPr>
        <w:spacing w:before="79"/>
        <w:ind w:left="1220" w:right="0" w:firstLine="0"/>
        <w:jc w:val="left"/>
        <w:rPr>
          <w:sz w:val="17"/>
        </w:rPr>
      </w:pPr>
      <w:r>
        <w:rPr>
          <w:i/>
          <w:color w:val="231F20"/>
          <w:w w:val="115"/>
          <w:sz w:val="17"/>
        </w:rPr>
        <w:t>De</w:t>
      </w:r>
      <w:r>
        <w:rPr>
          <w:i/>
          <w:color w:val="231F20"/>
          <w:spacing w:val="-9"/>
          <w:w w:val="115"/>
          <w:sz w:val="17"/>
        </w:rPr>
        <w:t> </w:t>
      </w:r>
      <w:r>
        <w:rPr>
          <w:i/>
          <w:color w:val="231F20"/>
          <w:w w:val="115"/>
          <w:sz w:val="17"/>
        </w:rPr>
        <w:t>104</w:t>
      </w:r>
      <w:r>
        <w:rPr>
          <w:i/>
          <w:color w:val="231F20"/>
          <w:spacing w:val="-8"/>
          <w:w w:val="115"/>
          <w:sz w:val="17"/>
        </w:rPr>
        <w:t> </w:t>
      </w:r>
      <w:r>
        <w:rPr>
          <w:i/>
          <w:color w:val="231F20"/>
          <w:w w:val="115"/>
          <w:sz w:val="17"/>
        </w:rPr>
        <w:t>à</w:t>
      </w:r>
      <w:r>
        <w:rPr>
          <w:i/>
          <w:color w:val="231F20"/>
          <w:spacing w:val="-8"/>
          <w:w w:val="115"/>
          <w:sz w:val="17"/>
        </w:rPr>
        <w:t> </w:t>
      </w:r>
      <w:r>
        <w:rPr>
          <w:i/>
          <w:color w:val="231F20"/>
          <w:w w:val="115"/>
          <w:sz w:val="17"/>
        </w:rPr>
        <w:t>160</w:t>
      </w:r>
      <w:r>
        <w:rPr>
          <w:i/>
          <w:color w:val="231F20"/>
          <w:spacing w:val="-8"/>
          <w:w w:val="115"/>
          <w:sz w:val="17"/>
        </w:rPr>
        <w:t> </w:t>
      </w:r>
      <w:r>
        <w:rPr>
          <w:color w:val="231F20"/>
          <w:w w:val="115"/>
          <w:sz w:val="17"/>
        </w:rPr>
        <w:t>–</w:t>
      </w:r>
      <w:r>
        <w:rPr>
          <w:color w:val="231F20"/>
          <w:spacing w:val="-8"/>
          <w:w w:val="115"/>
          <w:sz w:val="17"/>
        </w:rPr>
        <w:t> </w:t>
      </w:r>
      <w:r>
        <w:rPr>
          <w:color w:val="231F20"/>
          <w:w w:val="115"/>
          <w:sz w:val="17"/>
        </w:rPr>
        <w:t>Très</w:t>
      </w:r>
      <w:r>
        <w:rPr>
          <w:color w:val="231F20"/>
          <w:spacing w:val="-8"/>
          <w:w w:val="115"/>
          <w:sz w:val="17"/>
        </w:rPr>
        <w:t> </w:t>
      </w:r>
      <w:r>
        <w:rPr>
          <w:color w:val="231F20"/>
          <w:w w:val="115"/>
          <w:sz w:val="17"/>
        </w:rPr>
        <w:t>forte</w:t>
      </w:r>
      <w:r>
        <w:rPr>
          <w:color w:val="231F20"/>
          <w:spacing w:val="-8"/>
          <w:w w:val="115"/>
          <w:sz w:val="17"/>
        </w:rPr>
        <w:t> </w:t>
      </w:r>
      <w:r>
        <w:rPr>
          <w:color w:val="231F20"/>
          <w:w w:val="115"/>
          <w:sz w:val="17"/>
        </w:rPr>
        <w:t>estime</w:t>
      </w:r>
      <w:r>
        <w:rPr>
          <w:color w:val="231F20"/>
          <w:spacing w:val="-8"/>
          <w:w w:val="115"/>
          <w:sz w:val="17"/>
        </w:rPr>
        <w:t> </w:t>
      </w:r>
      <w:r>
        <w:rPr>
          <w:color w:val="231F20"/>
          <w:w w:val="115"/>
          <w:sz w:val="17"/>
        </w:rPr>
        <w:t>de</w:t>
      </w:r>
      <w:r>
        <w:rPr>
          <w:color w:val="231F20"/>
          <w:spacing w:val="-8"/>
          <w:w w:val="115"/>
          <w:sz w:val="17"/>
        </w:rPr>
        <w:t> </w:t>
      </w:r>
      <w:r>
        <w:rPr>
          <w:color w:val="231F20"/>
          <w:spacing w:val="-5"/>
          <w:w w:val="115"/>
          <w:sz w:val="17"/>
        </w:rPr>
        <w:t>soi</w:t>
      </w:r>
    </w:p>
    <w:p>
      <w:pPr>
        <w:spacing w:before="135"/>
        <w:ind w:left="1220" w:right="0" w:firstLine="0"/>
        <w:jc w:val="left"/>
        <w:rPr>
          <w:sz w:val="17"/>
        </w:rPr>
      </w:pPr>
      <w:r>
        <w:rPr>
          <w:i/>
          <w:color w:val="231F20"/>
          <w:w w:val="115"/>
          <w:sz w:val="17"/>
        </w:rPr>
        <w:t>De</w:t>
      </w:r>
      <w:r>
        <w:rPr>
          <w:i/>
          <w:color w:val="231F20"/>
          <w:spacing w:val="-9"/>
          <w:w w:val="115"/>
          <w:sz w:val="17"/>
        </w:rPr>
        <w:t> </w:t>
      </w:r>
      <w:r>
        <w:rPr>
          <w:i/>
          <w:color w:val="231F20"/>
          <w:w w:val="115"/>
          <w:sz w:val="17"/>
        </w:rPr>
        <w:t>103</w:t>
      </w:r>
      <w:r>
        <w:rPr>
          <w:i/>
          <w:color w:val="231F20"/>
          <w:spacing w:val="-9"/>
          <w:w w:val="115"/>
          <w:sz w:val="17"/>
        </w:rPr>
        <w:t> </w:t>
      </w:r>
      <w:r>
        <w:rPr>
          <w:i/>
          <w:color w:val="231F20"/>
          <w:w w:val="115"/>
          <w:sz w:val="17"/>
        </w:rPr>
        <w:t>à</w:t>
      </w:r>
      <w:r>
        <w:rPr>
          <w:i/>
          <w:color w:val="231F20"/>
          <w:spacing w:val="-9"/>
          <w:w w:val="115"/>
          <w:sz w:val="17"/>
        </w:rPr>
        <w:t> </w:t>
      </w:r>
      <w:r>
        <w:rPr>
          <w:i/>
          <w:color w:val="231F20"/>
          <w:w w:val="115"/>
          <w:sz w:val="17"/>
        </w:rPr>
        <w:t>84</w:t>
      </w:r>
      <w:r>
        <w:rPr>
          <w:i/>
          <w:color w:val="231F20"/>
          <w:spacing w:val="-9"/>
          <w:w w:val="115"/>
          <w:sz w:val="17"/>
        </w:rPr>
        <w:t> </w:t>
      </w:r>
      <w:r>
        <w:rPr>
          <w:color w:val="231F20"/>
          <w:w w:val="115"/>
          <w:sz w:val="17"/>
        </w:rPr>
        <w:t>–</w:t>
      </w:r>
      <w:r>
        <w:rPr>
          <w:color w:val="231F20"/>
          <w:spacing w:val="-8"/>
          <w:w w:val="115"/>
          <w:sz w:val="17"/>
        </w:rPr>
        <w:t> </w:t>
      </w:r>
      <w:r>
        <w:rPr>
          <w:color w:val="231F20"/>
          <w:w w:val="115"/>
          <w:sz w:val="17"/>
        </w:rPr>
        <w:t>Forte</w:t>
      </w:r>
      <w:r>
        <w:rPr>
          <w:color w:val="231F20"/>
          <w:spacing w:val="-9"/>
          <w:w w:val="115"/>
          <w:sz w:val="17"/>
        </w:rPr>
        <w:t> </w:t>
      </w:r>
      <w:r>
        <w:rPr>
          <w:color w:val="231F20"/>
          <w:w w:val="115"/>
          <w:sz w:val="17"/>
        </w:rPr>
        <w:t>estime</w:t>
      </w:r>
      <w:r>
        <w:rPr>
          <w:color w:val="231F20"/>
          <w:spacing w:val="-9"/>
          <w:w w:val="115"/>
          <w:sz w:val="17"/>
        </w:rPr>
        <w:t> </w:t>
      </w:r>
      <w:r>
        <w:rPr>
          <w:color w:val="231F20"/>
          <w:w w:val="115"/>
          <w:sz w:val="17"/>
        </w:rPr>
        <w:t>de</w:t>
      </w:r>
      <w:r>
        <w:rPr>
          <w:color w:val="231F20"/>
          <w:spacing w:val="-9"/>
          <w:w w:val="115"/>
          <w:sz w:val="17"/>
        </w:rPr>
        <w:t> </w:t>
      </w:r>
      <w:r>
        <w:rPr>
          <w:color w:val="231F20"/>
          <w:spacing w:val="-5"/>
          <w:w w:val="115"/>
          <w:sz w:val="17"/>
        </w:rPr>
        <w:t>soi</w:t>
      </w:r>
    </w:p>
    <w:p>
      <w:pPr>
        <w:spacing w:before="134"/>
        <w:ind w:left="1220" w:right="0" w:firstLine="0"/>
        <w:jc w:val="left"/>
        <w:rPr>
          <w:sz w:val="17"/>
        </w:rPr>
      </w:pPr>
      <w:r>
        <w:rPr>
          <w:i/>
          <w:color w:val="231F20"/>
          <w:w w:val="115"/>
          <w:sz w:val="17"/>
        </w:rPr>
        <w:t>De</w:t>
      </w:r>
      <w:r>
        <w:rPr>
          <w:i/>
          <w:color w:val="231F20"/>
          <w:spacing w:val="-12"/>
          <w:w w:val="115"/>
          <w:sz w:val="17"/>
        </w:rPr>
        <w:t> </w:t>
      </w:r>
      <w:r>
        <w:rPr>
          <w:i/>
          <w:color w:val="231F20"/>
          <w:w w:val="115"/>
          <w:sz w:val="17"/>
        </w:rPr>
        <w:t>83</w:t>
      </w:r>
      <w:r>
        <w:rPr>
          <w:i/>
          <w:color w:val="231F20"/>
          <w:spacing w:val="-11"/>
          <w:w w:val="115"/>
          <w:sz w:val="17"/>
        </w:rPr>
        <w:t> </w:t>
      </w:r>
      <w:r>
        <w:rPr>
          <w:i/>
          <w:color w:val="231F20"/>
          <w:w w:val="115"/>
          <w:sz w:val="17"/>
        </w:rPr>
        <w:t>à</w:t>
      </w:r>
      <w:r>
        <w:rPr>
          <w:i/>
          <w:color w:val="231F20"/>
          <w:spacing w:val="-11"/>
          <w:w w:val="115"/>
          <w:sz w:val="17"/>
        </w:rPr>
        <w:t> </w:t>
      </w:r>
      <w:r>
        <w:rPr>
          <w:i/>
          <w:color w:val="231F20"/>
          <w:w w:val="115"/>
          <w:sz w:val="17"/>
        </w:rPr>
        <w:t>74</w:t>
      </w:r>
      <w:r>
        <w:rPr>
          <w:i/>
          <w:color w:val="231F20"/>
          <w:spacing w:val="-11"/>
          <w:w w:val="115"/>
          <w:sz w:val="17"/>
        </w:rPr>
        <w:t> </w:t>
      </w:r>
      <w:r>
        <w:rPr>
          <w:color w:val="231F20"/>
          <w:w w:val="115"/>
          <w:sz w:val="17"/>
        </w:rPr>
        <w:t>–</w:t>
      </w:r>
      <w:r>
        <w:rPr>
          <w:color w:val="231F20"/>
          <w:spacing w:val="-11"/>
          <w:w w:val="115"/>
          <w:sz w:val="17"/>
        </w:rPr>
        <w:t> </w:t>
      </w:r>
      <w:r>
        <w:rPr>
          <w:color w:val="231F20"/>
          <w:w w:val="115"/>
          <w:sz w:val="17"/>
        </w:rPr>
        <w:t>Faible</w:t>
      </w:r>
      <w:r>
        <w:rPr>
          <w:color w:val="231F20"/>
          <w:spacing w:val="-11"/>
          <w:w w:val="115"/>
          <w:sz w:val="17"/>
        </w:rPr>
        <w:t> </w:t>
      </w:r>
      <w:r>
        <w:rPr>
          <w:color w:val="231F20"/>
          <w:w w:val="115"/>
          <w:sz w:val="17"/>
        </w:rPr>
        <w:t>estime</w:t>
      </w:r>
      <w:r>
        <w:rPr>
          <w:color w:val="231F20"/>
          <w:spacing w:val="-11"/>
          <w:w w:val="115"/>
          <w:sz w:val="17"/>
        </w:rPr>
        <w:t> </w:t>
      </w:r>
      <w:r>
        <w:rPr>
          <w:color w:val="231F20"/>
          <w:w w:val="115"/>
          <w:sz w:val="17"/>
        </w:rPr>
        <w:t>de</w:t>
      </w:r>
      <w:r>
        <w:rPr>
          <w:color w:val="231F20"/>
          <w:spacing w:val="-12"/>
          <w:w w:val="115"/>
          <w:sz w:val="17"/>
        </w:rPr>
        <w:t> </w:t>
      </w:r>
      <w:r>
        <w:rPr>
          <w:color w:val="231F20"/>
          <w:spacing w:val="-5"/>
          <w:w w:val="115"/>
          <w:sz w:val="17"/>
        </w:rPr>
        <w:t>soi</w:t>
      </w:r>
    </w:p>
    <w:p>
      <w:pPr>
        <w:spacing w:before="135"/>
        <w:ind w:left="1220" w:right="0" w:firstLine="0"/>
        <w:jc w:val="left"/>
        <w:rPr>
          <w:sz w:val="17"/>
        </w:rPr>
      </w:pPr>
      <w:r>
        <w:rPr>
          <w:i/>
          <w:color w:val="231F20"/>
          <w:w w:val="115"/>
          <w:sz w:val="17"/>
        </w:rPr>
        <w:t>De</w:t>
      </w:r>
      <w:r>
        <w:rPr>
          <w:i/>
          <w:color w:val="231F20"/>
          <w:spacing w:val="-8"/>
          <w:w w:val="115"/>
          <w:sz w:val="17"/>
        </w:rPr>
        <w:t> </w:t>
      </w:r>
      <w:r>
        <w:rPr>
          <w:i/>
          <w:color w:val="231F20"/>
          <w:w w:val="115"/>
          <w:sz w:val="17"/>
        </w:rPr>
        <w:t>74</w:t>
      </w:r>
      <w:r>
        <w:rPr>
          <w:i/>
          <w:color w:val="231F20"/>
          <w:spacing w:val="-7"/>
          <w:w w:val="115"/>
          <w:sz w:val="17"/>
        </w:rPr>
        <w:t> </w:t>
      </w:r>
      <w:r>
        <w:rPr>
          <w:i/>
          <w:color w:val="231F20"/>
          <w:w w:val="115"/>
          <w:sz w:val="17"/>
        </w:rPr>
        <w:t>à</w:t>
      </w:r>
      <w:r>
        <w:rPr>
          <w:i/>
          <w:color w:val="231F20"/>
          <w:spacing w:val="-8"/>
          <w:w w:val="115"/>
          <w:sz w:val="17"/>
        </w:rPr>
        <w:t> </w:t>
      </w:r>
      <w:r>
        <w:rPr>
          <w:i/>
          <w:color w:val="231F20"/>
          <w:w w:val="115"/>
          <w:sz w:val="17"/>
        </w:rPr>
        <w:t>40</w:t>
      </w:r>
      <w:r>
        <w:rPr>
          <w:i/>
          <w:color w:val="231F20"/>
          <w:spacing w:val="-7"/>
          <w:w w:val="115"/>
          <w:sz w:val="17"/>
        </w:rPr>
        <w:t> </w:t>
      </w:r>
      <w:r>
        <w:rPr>
          <w:color w:val="231F20"/>
          <w:w w:val="115"/>
          <w:sz w:val="17"/>
        </w:rPr>
        <w:t>–</w:t>
      </w:r>
      <w:r>
        <w:rPr>
          <w:color w:val="231F20"/>
          <w:spacing w:val="-7"/>
          <w:w w:val="115"/>
          <w:sz w:val="17"/>
        </w:rPr>
        <w:t> </w:t>
      </w:r>
      <w:r>
        <w:rPr>
          <w:color w:val="231F20"/>
          <w:w w:val="115"/>
          <w:sz w:val="17"/>
        </w:rPr>
        <w:t>Très</w:t>
      </w:r>
      <w:r>
        <w:rPr>
          <w:color w:val="231F20"/>
          <w:spacing w:val="-8"/>
          <w:w w:val="115"/>
          <w:sz w:val="17"/>
        </w:rPr>
        <w:t> </w:t>
      </w:r>
      <w:r>
        <w:rPr>
          <w:color w:val="231F20"/>
          <w:w w:val="115"/>
          <w:sz w:val="17"/>
        </w:rPr>
        <w:t>faible</w:t>
      </w:r>
      <w:r>
        <w:rPr>
          <w:color w:val="231F20"/>
          <w:spacing w:val="-7"/>
          <w:w w:val="115"/>
          <w:sz w:val="17"/>
        </w:rPr>
        <w:t> </w:t>
      </w:r>
      <w:r>
        <w:rPr>
          <w:color w:val="231F20"/>
          <w:w w:val="115"/>
          <w:sz w:val="17"/>
        </w:rPr>
        <w:t>estime</w:t>
      </w:r>
      <w:r>
        <w:rPr>
          <w:color w:val="231F20"/>
          <w:spacing w:val="-8"/>
          <w:w w:val="115"/>
          <w:sz w:val="17"/>
        </w:rPr>
        <w:t> </w:t>
      </w:r>
      <w:r>
        <w:rPr>
          <w:color w:val="231F20"/>
          <w:w w:val="115"/>
          <w:sz w:val="17"/>
        </w:rPr>
        <w:t>de</w:t>
      </w:r>
      <w:r>
        <w:rPr>
          <w:color w:val="231F20"/>
          <w:spacing w:val="-7"/>
          <w:w w:val="115"/>
          <w:sz w:val="17"/>
        </w:rPr>
        <w:t> </w:t>
      </w:r>
      <w:r>
        <w:rPr>
          <w:color w:val="231F20"/>
          <w:spacing w:val="-5"/>
          <w:w w:val="115"/>
          <w:sz w:val="17"/>
        </w:rPr>
        <w:t>soi</w:t>
      </w:r>
    </w:p>
    <w:p>
      <w:pPr>
        <w:pStyle w:val="BodyText"/>
        <w:rPr>
          <w:sz w:val="24"/>
        </w:rPr>
      </w:pPr>
    </w:p>
    <w:p>
      <w:pPr>
        <w:pStyle w:val="BodyText"/>
        <w:spacing w:before="10"/>
        <w:rPr>
          <w:sz w:val="20"/>
        </w:rPr>
      </w:pPr>
    </w:p>
    <w:p>
      <w:pPr>
        <w:spacing w:before="0"/>
        <w:ind w:left="1220" w:right="0" w:firstLine="0"/>
        <w:jc w:val="left"/>
        <w:rPr>
          <w:rFonts w:ascii="Arial"/>
          <w:i/>
          <w:sz w:val="21"/>
        </w:rPr>
      </w:pPr>
      <w:r>
        <w:rPr>
          <w:rFonts w:ascii="Arial"/>
          <w:color w:val="231F20"/>
          <w:w w:val="95"/>
          <w:sz w:val="21"/>
        </w:rPr>
        <w:t>exerCiCe</w:t>
      </w:r>
      <w:r>
        <w:rPr>
          <w:rFonts w:ascii="Arial"/>
          <w:color w:val="231F20"/>
          <w:spacing w:val="10"/>
          <w:sz w:val="21"/>
        </w:rPr>
        <w:t> </w:t>
      </w:r>
      <w:r>
        <w:rPr>
          <w:rFonts w:ascii="Arial"/>
          <w:color w:val="231F20"/>
          <w:w w:val="95"/>
          <w:sz w:val="21"/>
        </w:rPr>
        <w:t>4.2</w:t>
      </w:r>
      <w:r>
        <w:rPr>
          <w:rFonts w:ascii="Arial"/>
          <w:color w:val="231F20"/>
          <w:spacing w:val="-5"/>
          <w:w w:val="95"/>
          <w:sz w:val="21"/>
        </w:rPr>
        <w:t> </w:t>
      </w:r>
      <w:r>
        <w:rPr>
          <w:rFonts w:ascii="Arial"/>
          <w:i/>
          <w:color w:val="231F20"/>
          <w:spacing w:val="-10"/>
          <w:w w:val="95"/>
          <w:sz w:val="21"/>
        </w:rPr>
        <w:t>/</w:t>
      </w:r>
    </w:p>
    <w:p>
      <w:pPr>
        <w:pStyle w:val="Heading2"/>
        <w:spacing w:before="8"/>
        <w:ind w:left="1220"/>
      </w:pPr>
      <w:r>
        <w:rPr>
          <w:color w:val="231F20"/>
          <w:spacing w:val="-2"/>
          <w:w w:val="95"/>
        </w:rPr>
        <w:t>Évaluez</w:t>
      </w:r>
      <w:r>
        <w:rPr>
          <w:color w:val="231F20"/>
          <w:spacing w:val="-8"/>
          <w:w w:val="95"/>
        </w:rPr>
        <w:t> </w:t>
      </w:r>
      <w:r>
        <w:rPr>
          <w:color w:val="231F20"/>
          <w:spacing w:val="-2"/>
          <w:w w:val="95"/>
        </w:rPr>
        <w:t>l’estime</w:t>
      </w:r>
      <w:r>
        <w:rPr>
          <w:color w:val="231F20"/>
          <w:spacing w:val="-7"/>
          <w:w w:val="95"/>
        </w:rPr>
        <w:t> </w:t>
      </w:r>
      <w:r>
        <w:rPr>
          <w:color w:val="231F20"/>
          <w:spacing w:val="-2"/>
          <w:w w:val="95"/>
        </w:rPr>
        <w:t>de</w:t>
      </w:r>
      <w:r>
        <w:rPr>
          <w:color w:val="231F20"/>
          <w:spacing w:val="-7"/>
          <w:w w:val="95"/>
        </w:rPr>
        <w:t> </w:t>
      </w:r>
      <w:r>
        <w:rPr>
          <w:color w:val="231F20"/>
          <w:spacing w:val="-2"/>
          <w:w w:val="95"/>
        </w:rPr>
        <w:t>soi</w:t>
      </w:r>
      <w:r>
        <w:rPr>
          <w:color w:val="231F20"/>
          <w:spacing w:val="-7"/>
          <w:w w:val="95"/>
        </w:rPr>
        <w:t> </w:t>
      </w:r>
      <w:r>
        <w:rPr>
          <w:color w:val="231F20"/>
          <w:spacing w:val="-2"/>
          <w:w w:val="95"/>
        </w:rPr>
        <w:t>organisationnelle</w:t>
      </w:r>
    </w:p>
    <w:p>
      <w:pPr>
        <w:pStyle w:val="BodyText"/>
        <w:spacing w:before="10"/>
        <w:rPr>
          <w:rFonts w:ascii="Arial"/>
          <w:b/>
          <w:sz w:val="25"/>
        </w:rPr>
      </w:pPr>
    </w:p>
    <w:p>
      <w:pPr>
        <w:pStyle w:val="Heading6"/>
        <w:ind w:left="1220"/>
        <w:jc w:val="left"/>
        <w:rPr>
          <w:rFonts w:ascii="Times New Roman"/>
        </w:rPr>
      </w:pPr>
      <w:r>
        <w:rPr>
          <w:rFonts w:ascii="Times New Roman"/>
          <w:color w:val="231F20"/>
          <w:spacing w:val="-2"/>
          <w:w w:val="115"/>
        </w:rPr>
        <w:t>Consignes</w:t>
      </w:r>
    </w:p>
    <w:p>
      <w:pPr>
        <w:pStyle w:val="BodyText"/>
        <w:spacing w:line="307" w:lineRule="auto" w:before="134"/>
        <w:ind w:left="1220" w:right="105"/>
        <w:jc w:val="both"/>
      </w:pPr>
      <w:r>
        <w:rPr>
          <w:color w:val="231F20"/>
          <w:w w:val="120"/>
        </w:rPr>
        <w:t>Lisez attentivement chaque énoncé et indiquez dans quelle mesure, </w:t>
      </w:r>
      <w:r>
        <w:rPr>
          <w:color w:val="231F20"/>
          <w:w w:val="120"/>
        </w:rPr>
        <w:t>à </w:t>
      </w:r>
      <w:r>
        <w:rPr>
          <w:color w:val="231F20"/>
          <w:w w:val="115"/>
        </w:rPr>
        <w:t>votre</w:t>
      </w:r>
      <w:r>
        <w:rPr>
          <w:color w:val="231F20"/>
          <w:spacing w:val="-11"/>
          <w:w w:val="115"/>
        </w:rPr>
        <w:t> </w:t>
      </w:r>
      <w:r>
        <w:rPr>
          <w:color w:val="231F20"/>
          <w:w w:val="115"/>
        </w:rPr>
        <w:t>avis,</w:t>
      </w:r>
      <w:r>
        <w:rPr>
          <w:color w:val="231F20"/>
          <w:spacing w:val="-11"/>
          <w:w w:val="115"/>
        </w:rPr>
        <w:t> </w:t>
      </w:r>
      <w:r>
        <w:rPr>
          <w:color w:val="231F20"/>
          <w:w w:val="115"/>
        </w:rPr>
        <w:t>il</w:t>
      </w:r>
      <w:r>
        <w:rPr>
          <w:color w:val="231F20"/>
          <w:spacing w:val="-11"/>
          <w:w w:val="115"/>
        </w:rPr>
        <w:t> </w:t>
      </w:r>
      <w:r>
        <w:rPr>
          <w:color w:val="231F20"/>
          <w:w w:val="115"/>
        </w:rPr>
        <w:t>s’applique</w:t>
      </w:r>
      <w:r>
        <w:rPr>
          <w:color w:val="231F20"/>
          <w:spacing w:val="-11"/>
          <w:w w:val="115"/>
        </w:rPr>
        <w:t> </w:t>
      </w:r>
      <w:r>
        <w:rPr>
          <w:color w:val="231F20"/>
          <w:w w:val="115"/>
        </w:rPr>
        <w:t>à</w:t>
      </w:r>
      <w:r>
        <w:rPr>
          <w:color w:val="231F20"/>
          <w:spacing w:val="-11"/>
          <w:w w:val="115"/>
        </w:rPr>
        <w:t> </w:t>
      </w:r>
      <w:r>
        <w:rPr>
          <w:color w:val="231F20"/>
          <w:w w:val="115"/>
        </w:rPr>
        <w:t>votre</w:t>
      </w:r>
      <w:r>
        <w:rPr>
          <w:color w:val="231F20"/>
          <w:spacing w:val="-11"/>
          <w:w w:val="115"/>
        </w:rPr>
        <w:t> </w:t>
      </w:r>
      <w:r>
        <w:rPr>
          <w:color w:val="231F20"/>
          <w:w w:val="115"/>
        </w:rPr>
        <w:t>entreprise</w:t>
      </w:r>
      <w:r>
        <w:rPr>
          <w:color w:val="231F20"/>
          <w:spacing w:val="-11"/>
          <w:w w:val="115"/>
        </w:rPr>
        <w:t> </w:t>
      </w:r>
      <w:r>
        <w:rPr>
          <w:color w:val="231F20"/>
          <w:w w:val="115"/>
        </w:rPr>
        <w:t>ou</w:t>
      </w:r>
      <w:r>
        <w:rPr>
          <w:color w:val="231F20"/>
          <w:spacing w:val="-11"/>
          <w:w w:val="115"/>
        </w:rPr>
        <w:t> </w:t>
      </w:r>
      <w:r>
        <w:rPr>
          <w:color w:val="231F20"/>
          <w:w w:val="115"/>
        </w:rPr>
        <w:t>à</w:t>
      </w:r>
      <w:r>
        <w:rPr>
          <w:color w:val="231F20"/>
          <w:spacing w:val="-11"/>
          <w:w w:val="115"/>
        </w:rPr>
        <w:t> </w:t>
      </w:r>
      <w:r>
        <w:rPr>
          <w:color w:val="231F20"/>
          <w:w w:val="115"/>
        </w:rPr>
        <w:t>la</w:t>
      </w:r>
      <w:r>
        <w:rPr>
          <w:color w:val="231F20"/>
          <w:spacing w:val="-11"/>
          <w:w w:val="115"/>
        </w:rPr>
        <w:t> </w:t>
      </w:r>
      <w:r>
        <w:rPr>
          <w:color w:val="231F20"/>
          <w:w w:val="115"/>
        </w:rPr>
        <w:t>majorité</w:t>
      </w:r>
      <w:r>
        <w:rPr>
          <w:color w:val="231F20"/>
          <w:spacing w:val="-11"/>
          <w:w w:val="115"/>
        </w:rPr>
        <w:t> </w:t>
      </w:r>
      <w:r>
        <w:rPr>
          <w:color w:val="231F20"/>
          <w:w w:val="115"/>
        </w:rPr>
        <w:t>de</w:t>
      </w:r>
      <w:r>
        <w:rPr>
          <w:color w:val="231F20"/>
          <w:spacing w:val="-11"/>
          <w:w w:val="115"/>
        </w:rPr>
        <w:t> </w:t>
      </w:r>
      <w:r>
        <w:rPr>
          <w:color w:val="231F20"/>
          <w:w w:val="115"/>
        </w:rPr>
        <w:t>ses</w:t>
      </w:r>
      <w:r>
        <w:rPr>
          <w:color w:val="231F20"/>
          <w:spacing w:val="-11"/>
          <w:w w:val="115"/>
        </w:rPr>
        <w:t> </w:t>
      </w:r>
      <w:r>
        <w:rPr>
          <w:color w:val="231F20"/>
          <w:w w:val="115"/>
        </w:rPr>
        <w:t>membres. </w:t>
      </w:r>
      <w:r>
        <w:rPr>
          <w:color w:val="231F20"/>
          <w:w w:val="120"/>
        </w:rPr>
        <w:t>Veuillez répondre à toutes les questions par un chiffre de 0 à 4, selon </w:t>
      </w:r>
      <w:r>
        <w:rPr>
          <w:color w:val="231F20"/>
          <w:w w:val="125"/>
        </w:rPr>
        <w:t>l’échelle</w:t>
      </w:r>
      <w:r>
        <w:rPr>
          <w:color w:val="231F20"/>
          <w:spacing w:val="-15"/>
          <w:w w:val="125"/>
        </w:rPr>
        <w:t> </w:t>
      </w:r>
      <w:r>
        <w:rPr>
          <w:color w:val="231F20"/>
          <w:w w:val="125"/>
        </w:rPr>
        <w:t>suivante:</w:t>
      </w:r>
    </w:p>
    <w:p>
      <w:pPr>
        <w:pStyle w:val="BodyText"/>
        <w:spacing w:before="7"/>
        <w:rPr>
          <w:sz w:val="9"/>
        </w:rPr>
      </w:pPr>
    </w:p>
    <w:tbl>
      <w:tblPr>
        <w:tblW w:w="0" w:type="auto"/>
        <w:jc w:val="left"/>
        <w:tblInd w:w="1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6"/>
        <w:gridCol w:w="1168"/>
        <w:gridCol w:w="1216"/>
        <w:gridCol w:w="1106"/>
        <w:gridCol w:w="1142"/>
      </w:tblGrid>
      <w:tr>
        <w:trPr>
          <w:trHeight w:val="361" w:hRule="atLeast"/>
        </w:trPr>
        <w:tc>
          <w:tcPr>
            <w:tcW w:w="5748" w:type="dxa"/>
            <w:gridSpan w:val="5"/>
            <w:tcBorders>
              <w:top w:val="single" w:sz="2" w:space="0" w:color="231F20"/>
              <w:left w:val="single" w:sz="2" w:space="0" w:color="231F20"/>
              <w:right w:val="single" w:sz="2" w:space="0" w:color="231F20"/>
            </w:tcBorders>
          </w:tcPr>
          <w:p>
            <w:pPr>
              <w:pStyle w:val="TableParagraph"/>
              <w:spacing w:before="10"/>
              <w:rPr>
                <w:rFonts w:ascii="Times New Roman"/>
                <w:sz w:val="18"/>
              </w:rPr>
            </w:pPr>
          </w:p>
          <w:p>
            <w:pPr>
              <w:pStyle w:val="TableParagraph"/>
              <w:tabs>
                <w:tab w:pos="4951" w:val="left" w:leader="none"/>
              </w:tabs>
              <w:spacing w:line="124" w:lineRule="exact"/>
              <w:ind w:left="240"/>
              <w:rPr>
                <w:b/>
                <w:sz w:val="14"/>
              </w:rPr>
            </w:pPr>
            <w:r>
              <w:rPr>
                <w:b/>
                <w:color w:val="231F20"/>
                <w:spacing w:val="-2"/>
                <w:sz w:val="14"/>
              </w:rPr>
              <w:t>Jamais</w:t>
            </w:r>
            <w:r>
              <w:rPr>
                <w:b/>
                <w:color w:val="231F20"/>
                <w:sz w:val="14"/>
              </w:rPr>
              <w:tab/>
            </w:r>
            <w:r>
              <w:rPr>
                <w:b/>
                <w:color w:val="231F20"/>
                <w:spacing w:val="-2"/>
                <w:sz w:val="14"/>
              </w:rPr>
              <w:t>Toujours</w:t>
            </w:r>
          </w:p>
        </w:tc>
      </w:tr>
      <w:tr>
        <w:trPr>
          <w:trHeight w:val="191" w:hRule="atLeast"/>
        </w:trPr>
        <w:tc>
          <w:tcPr>
            <w:tcW w:w="1116" w:type="dxa"/>
            <w:tcBorders>
              <w:left w:val="single" w:sz="2" w:space="0" w:color="231F20"/>
            </w:tcBorders>
          </w:tcPr>
          <w:p>
            <w:pPr>
              <w:pStyle w:val="TableParagraph"/>
              <w:spacing w:line="135" w:lineRule="exact" w:before="36"/>
              <w:ind w:left="240"/>
              <w:rPr>
                <w:b/>
                <w:sz w:val="14"/>
              </w:rPr>
            </w:pPr>
            <w:r>
              <w:rPr>
                <w:b/>
                <w:color w:val="231F20"/>
                <w:w w:val="90"/>
                <w:sz w:val="14"/>
              </w:rPr>
              <w:t>ou</w:t>
            </w:r>
            <w:r>
              <w:rPr>
                <w:b/>
                <w:color w:val="231F20"/>
                <w:spacing w:val="-3"/>
                <w:sz w:val="14"/>
              </w:rPr>
              <w:t> </w:t>
            </w:r>
            <w:r>
              <w:rPr>
                <w:b/>
                <w:color w:val="231F20"/>
                <w:spacing w:val="-2"/>
                <w:sz w:val="14"/>
              </w:rPr>
              <w:t>presque</w:t>
            </w:r>
          </w:p>
        </w:tc>
        <w:tc>
          <w:tcPr>
            <w:tcW w:w="1168" w:type="dxa"/>
          </w:tcPr>
          <w:p>
            <w:pPr>
              <w:pStyle w:val="TableParagraph"/>
              <w:spacing w:line="135" w:lineRule="exact" w:before="36"/>
              <w:ind w:left="153" w:right="345"/>
              <w:jc w:val="center"/>
              <w:rPr>
                <w:b/>
                <w:sz w:val="14"/>
              </w:rPr>
            </w:pPr>
            <w:r>
              <w:rPr>
                <w:b/>
                <w:color w:val="231F20"/>
                <w:spacing w:val="-2"/>
                <w:sz w:val="14"/>
              </w:rPr>
              <w:t>Rarement</w:t>
            </w:r>
          </w:p>
        </w:tc>
        <w:tc>
          <w:tcPr>
            <w:tcW w:w="1216" w:type="dxa"/>
          </w:tcPr>
          <w:p>
            <w:pPr>
              <w:pStyle w:val="TableParagraph"/>
              <w:spacing w:line="135" w:lineRule="exact" w:before="36"/>
              <w:ind w:left="349" w:right="365"/>
              <w:jc w:val="center"/>
              <w:rPr>
                <w:b/>
                <w:sz w:val="14"/>
              </w:rPr>
            </w:pPr>
            <w:r>
              <w:rPr>
                <w:b/>
                <w:color w:val="231F20"/>
                <w:spacing w:val="-2"/>
                <w:sz w:val="14"/>
              </w:rPr>
              <w:t>Parfois</w:t>
            </w:r>
          </w:p>
        </w:tc>
        <w:tc>
          <w:tcPr>
            <w:tcW w:w="1106" w:type="dxa"/>
          </w:tcPr>
          <w:p>
            <w:pPr>
              <w:pStyle w:val="TableParagraph"/>
              <w:spacing w:line="135" w:lineRule="exact" w:before="36"/>
              <w:ind w:left="373" w:right="154"/>
              <w:jc w:val="center"/>
              <w:rPr>
                <w:b/>
                <w:sz w:val="14"/>
              </w:rPr>
            </w:pPr>
            <w:r>
              <w:rPr>
                <w:b/>
                <w:color w:val="231F20"/>
                <w:spacing w:val="-2"/>
                <w:sz w:val="14"/>
              </w:rPr>
              <w:t>Souvent</w:t>
            </w:r>
          </w:p>
        </w:tc>
        <w:tc>
          <w:tcPr>
            <w:tcW w:w="1142" w:type="dxa"/>
            <w:tcBorders>
              <w:right w:val="single" w:sz="2" w:space="0" w:color="231F20"/>
            </w:tcBorders>
          </w:tcPr>
          <w:p>
            <w:pPr>
              <w:pStyle w:val="TableParagraph"/>
              <w:spacing w:line="135" w:lineRule="exact" w:before="36"/>
              <w:ind w:right="240"/>
              <w:jc w:val="right"/>
              <w:rPr>
                <w:b/>
                <w:sz w:val="14"/>
              </w:rPr>
            </w:pPr>
            <w:r>
              <w:rPr>
                <w:b/>
                <w:color w:val="231F20"/>
                <w:w w:val="90"/>
                <w:sz w:val="14"/>
              </w:rPr>
              <w:t>ou</w:t>
            </w:r>
            <w:r>
              <w:rPr>
                <w:b/>
                <w:color w:val="231F20"/>
                <w:spacing w:val="-3"/>
                <w:sz w:val="14"/>
              </w:rPr>
              <w:t> </w:t>
            </w:r>
            <w:r>
              <w:rPr>
                <w:b/>
                <w:color w:val="231F20"/>
                <w:spacing w:val="-2"/>
                <w:sz w:val="14"/>
              </w:rPr>
              <w:t>presque</w:t>
            </w:r>
          </w:p>
        </w:tc>
      </w:tr>
      <w:tr>
        <w:trPr>
          <w:trHeight w:val="393" w:hRule="atLeast"/>
        </w:trPr>
        <w:tc>
          <w:tcPr>
            <w:tcW w:w="1116" w:type="dxa"/>
            <w:tcBorders>
              <w:left w:val="single" w:sz="2" w:space="0" w:color="231F20"/>
              <w:bottom w:val="single" w:sz="2" w:space="0" w:color="231F20"/>
            </w:tcBorders>
          </w:tcPr>
          <w:p>
            <w:pPr>
              <w:pStyle w:val="TableParagraph"/>
              <w:spacing w:before="25"/>
              <w:ind w:left="240"/>
              <w:rPr>
                <w:b/>
                <w:sz w:val="14"/>
              </w:rPr>
            </w:pPr>
            <w:r>
              <w:rPr>
                <w:b/>
                <w:color w:val="231F20"/>
                <w:w w:val="116"/>
                <w:sz w:val="14"/>
              </w:rPr>
              <w:t>0</w:t>
            </w:r>
          </w:p>
        </w:tc>
        <w:tc>
          <w:tcPr>
            <w:tcW w:w="1168" w:type="dxa"/>
            <w:tcBorders>
              <w:bottom w:val="single" w:sz="2" w:space="0" w:color="231F20"/>
            </w:tcBorders>
          </w:tcPr>
          <w:p>
            <w:pPr>
              <w:pStyle w:val="TableParagraph"/>
              <w:spacing w:before="25"/>
              <w:ind w:right="232"/>
              <w:jc w:val="center"/>
              <w:rPr>
                <w:b/>
                <w:sz w:val="14"/>
              </w:rPr>
            </w:pPr>
            <w:r>
              <w:rPr>
                <w:b/>
                <w:color w:val="231F20"/>
                <w:w w:val="116"/>
                <w:sz w:val="14"/>
              </w:rPr>
              <w:t>1</w:t>
            </w:r>
          </w:p>
        </w:tc>
        <w:tc>
          <w:tcPr>
            <w:tcW w:w="1216" w:type="dxa"/>
            <w:tcBorders>
              <w:bottom w:val="single" w:sz="2" w:space="0" w:color="231F20"/>
            </w:tcBorders>
          </w:tcPr>
          <w:p>
            <w:pPr>
              <w:pStyle w:val="TableParagraph"/>
              <w:spacing w:before="25"/>
              <w:ind w:right="26"/>
              <w:jc w:val="center"/>
              <w:rPr>
                <w:b/>
                <w:sz w:val="14"/>
              </w:rPr>
            </w:pPr>
            <w:r>
              <w:rPr>
                <w:b/>
                <w:color w:val="231F20"/>
                <w:w w:val="116"/>
                <w:sz w:val="14"/>
              </w:rPr>
              <w:t>2</w:t>
            </w:r>
          </w:p>
        </w:tc>
        <w:tc>
          <w:tcPr>
            <w:tcW w:w="1106" w:type="dxa"/>
            <w:tcBorders>
              <w:bottom w:val="single" w:sz="2" w:space="0" w:color="231F20"/>
            </w:tcBorders>
          </w:tcPr>
          <w:p>
            <w:pPr>
              <w:pStyle w:val="TableParagraph"/>
              <w:spacing w:before="25"/>
              <w:ind w:left="238"/>
              <w:jc w:val="center"/>
              <w:rPr>
                <w:b/>
                <w:sz w:val="14"/>
              </w:rPr>
            </w:pPr>
            <w:r>
              <w:rPr>
                <w:b/>
                <w:color w:val="231F20"/>
                <w:w w:val="116"/>
                <w:sz w:val="14"/>
              </w:rPr>
              <w:t>3</w:t>
            </w:r>
          </w:p>
        </w:tc>
        <w:tc>
          <w:tcPr>
            <w:tcW w:w="1142" w:type="dxa"/>
            <w:tcBorders>
              <w:bottom w:val="single" w:sz="2" w:space="0" w:color="231F20"/>
              <w:right w:val="single" w:sz="2" w:space="0" w:color="231F20"/>
            </w:tcBorders>
          </w:tcPr>
          <w:p>
            <w:pPr>
              <w:pStyle w:val="TableParagraph"/>
              <w:spacing w:before="25"/>
              <w:ind w:right="230"/>
              <w:jc w:val="right"/>
              <w:rPr>
                <w:b/>
                <w:sz w:val="14"/>
              </w:rPr>
            </w:pPr>
            <w:r>
              <w:rPr>
                <w:b/>
                <w:color w:val="231F20"/>
                <w:w w:val="116"/>
                <w:sz w:val="14"/>
              </w:rPr>
              <w:t>4</w:t>
            </w:r>
          </w:p>
        </w:tc>
      </w:tr>
    </w:tbl>
    <w:p>
      <w:pPr>
        <w:pStyle w:val="BodyText"/>
        <w:rPr>
          <w:sz w:val="24"/>
        </w:rPr>
      </w:pPr>
    </w:p>
    <w:tbl>
      <w:tblPr>
        <w:tblW w:w="0" w:type="auto"/>
        <w:jc w:val="left"/>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5260"/>
        <w:gridCol w:w="480"/>
      </w:tblGrid>
      <w:tr>
        <w:trPr>
          <w:trHeight w:val="444" w:hRule="atLeast"/>
        </w:trPr>
        <w:tc>
          <w:tcPr>
            <w:tcW w:w="5260" w:type="dxa"/>
            <w:tcBorders>
              <w:left w:val="nil"/>
              <w:bottom w:val="single" w:sz="4" w:space="0" w:color="E2E3E4"/>
              <w:right w:val="single" w:sz="4" w:space="0" w:color="FFFFFF"/>
            </w:tcBorders>
          </w:tcPr>
          <w:p>
            <w:pPr>
              <w:pStyle w:val="TableParagraph"/>
              <w:spacing w:line="268" w:lineRule="auto" w:before="57"/>
              <w:ind w:left="475" w:right="334" w:hanging="290"/>
              <w:rPr>
                <w:sz w:val="14"/>
              </w:rPr>
            </w:pPr>
            <w:r>
              <w:rPr>
                <w:b/>
                <w:color w:val="231F20"/>
                <w:sz w:val="14"/>
              </w:rPr>
              <w:t>1.</w:t>
            </w:r>
            <w:r>
              <w:rPr>
                <w:b/>
                <w:color w:val="231F20"/>
                <w:spacing w:val="80"/>
                <w:w w:val="150"/>
                <w:sz w:val="14"/>
              </w:rPr>
              <w:t> </w:t>
            </w:r>
            <w:r>
              <w:rPr>
                <w:color w:val="231F20"/>
                <w:sz w:val="14"/>
              </w:rPr>
              <w:t>Lors des événements sociaux et de leurs apparitions en public, nos</w:t>
            </w:r>
            <w:r>
              <w:rPr>
                <w:color w:val="231F20"/>
                <w:spacing w:val="40"/>
                <w:sz w:val="14"/>
              </w:rPr>
              <w:t> </w:t>
            </w:r>
            <w:r>
              <w:rPr>
                <w:color w:val="231F20"/>
                <w:sz w:val="14"/>
              </w:rPr>
              <w:t>dirigeants ont quelque chose de stimulant à dire de notre </w:t>
            </w:r>
            <w:r>
              <w:rPr>
                <w:color w:val="231F20"/>
                <w:sz w:val="14"/>
              </w:rPr>
              <w:t>entreprise.</w:t>
            </w: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334" w:hanging="290"/>
              <w:rPr>
                <w:sz w:val="14"/>
              </w:rPr>
            </w:pPr>
            <w:r>
              <w:rPr>
                <w:b/>
                <w:color w:val="231F20"/>
                <w:sz w:val="14"/>
              </w:rPr>
              <w:t>2.</w:t>
            </w:r>
            <w:r>
              <w:rPr>
                <w:b/>
                <w:color w:val="231F20"/>
                <w:spacing w:val="80"/>
                <w:w w:val="150"/>
                <w:sz w:val="14"/>
              </w:rPr>
              <w:t> </w:t>
            </w:r>
            <w:r>
              <w:rPr>
                <w:color w:val="231F20"/>
                <w:sz w:val="14"/>
              </w:rPr>
              <w:t>La plupart des gens de notre entreprise semblent avoir davantage de</w:t>
            </w:r>
            <w:r>
              <w:rPr>
                <w:color w:val="231F20"/>
                <w:spacing w:val="40"/>
                <w:sz w:val="14"/>
              </w:rPr>
              <w:t> </w:t>
            </w:r>
            <w:r>
              <w:rPr>
                <w:color w:val="231F20"/>
                <w:sz w:val="14"/>
              </w:rPr>
              <w:t>compétences techniques que les autres travailleurs de notre </w:t>
            </w:r>
            <w:r>
              <w:rPr>
                <w:color w:val="231F20"/>
                <w:sz w:val="14"/>
              </w:rPr>
              <w:t>industrie.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334" w:hanging="290"/>
              <w:rPr>
                <w:sz w:val="14"/>
              </w:rPr>
            </w:pPr>
            <w:r>
              <w:rPr>
                <w:b/>
                <w:color w:val="231F20"/>
                <w:sz w:val="14"/>
              </w:rPr>
              <w:t>3.</w:t>
            </w:r>
            <w:r>
              <w:rPr>
                <w:b/>
                <w:color w:val="231F20"/>
                <w:spacing w:val="80"/>
                <w:w w:val="150"/>
                <w:sz w:val="14"/>
              </w:rPr>
              <w:t> </w:t>
            </w:r>
            <w:r>
              <w:rPr>
                <w:color w:val="231F20"/>
                <w:sz w:val="14"/>
              </w:rPr>
              <w:t>Notre</w:t>
            </w:r>
            <w:r>
              <w:rPr>
                <w:color w:val="231F20"/>
                <w:spacing w:val="-2"/>
                <w:sz w:val="14"/>
              </w:rPr>
              <w:t> </w:t>
            </w:r>
            <w:r>
              <w:rPr>
                <w:color w:val="231F20"/>
                <w:sz w:val="14"/>
              </w:rPr>
              <w:t>entreprise</w:t>
            </w:r>
            <w:r>
              <w:rPr>
                <w:color w:val="231F20"/>
                <w:spacing w:val="-2"/>
                <w:sz w:val="14"/>
              </w:rPr>
              <w:t> </w:t>
            </w:r>
            <w:r>
              <w:rPr>
                <w:color w:val="231F20"/>
                <w:sz w:val="14"/>
              </w:rPr>
              <w:t>aime</w:t>
            </w:r>
            <w:r>
              <w:rPr>
                <w:color w:val="231F20"/>
                <w:spacing w:val="-2"/>
                <w:sz w:val="14"/>
              </w:rPr>
              <w:t> </w:t>
            </w:r>
            <w:r>
              <w:rPr>
                <w:color w:val="231F20"/>
                <w:sz w:val="14"/>
              </w:rPr>
              <w:t>bien</w:t>
            </w:r>
            <w:r>
              <w:rPr>
                <w:color w:val="231F20"/>
                <w:spacing w:val="-2"/>
                <w:sz w:val="14"/>
              </w:rPr>
              <w:t> </w:t>
            </w:r>
            <w:r>
              <w:rPr>
                <w:color w:val="231F20"/>
                <w:sz w:val="14"/>
              </w:rPr>
              <w:t>son</w:t>
            </w:r>
            <w:r>
              <w:rPr>
                <w:color w:val="231F20"/>
                <w:spacing w:val="-2"/>
                <w:sz w:val="14"/>
              </w:rPr>
              <w:t> </w:t>
            </w:r>
            <w:r>
              <w:rPr>
                <w:color w:val="231F20"/>
                <w:sz w:val="14"/>
              </w:rPr>
              <w:t>image</w:t>
            </w:r>
            <w:r>
              <w:rPr>
                <w:color w:val="231F20"/>
                <w:spacing w:val="-25"/>
                <w:sz w:val="14"/>
              </w:rPr>
              <w:t> </w:t>
            </w:r>
            <w:r>
              <w:rPr>
                <w:color w:val="231F20"/>
                <w:sz w:val="14"/>
              </w:rPr>
              <w:t>;</w:t>
            </w:r>
            <w:r>
              <w:rPr>
                <w:color w:val="231F20"/>
                <w:spacing w:val="-2"/>
                <w:sz w:val="14"/>
              </w:rPr>
              <w:t> </w:t>
            </w:r>
            <w:r>
              <w:rPr>
                <w:color w:val="231F20"/>
                <w:sz w:val="14"/>
              </w:rPr>
              <w:t>c’est</w:t>
            </w:r>
            <w:r>
              <w:rPr>
                <w:color w:val="231F20"/>
                <w:spacing w:val="-2"/>
                <w:sz w:val="14"/>
              </w:rPr>
              <w:t> </w:t>
            </w:r>
            <w:r>
              <w:rPr>
                <w:color w:val="231F20"/>
                <w:sz w:val="14"/>
              </w:rPr>
              <w:t>pourquoi</w:t>
            </w:r>
            <w:r>
              <w:rPr>
                <w:color w:val="231F20"/>
                <w:spacing w:val="-2"/>
                <w:sz w:val="14"/>
              </w:rPr>
              <w:t> </w:t>
            </w:r>
            <w:r>
              <w:rPr>
                <w:color w:val="231F20"/>
                <w:sz w:val="14"/>
              </w:rPr>
              <w:t>elle</w:t>
            </w:r>
            <w:r>
              <w:rPr>
                <w:color w:val="231F20"/>
                <w:spacing w:val="-2"/>
                <w:sz w:val="14"/>
              </w:rPr>
              <w:t> </w:t>
            </w:r>
            <w:r>
              <w:rPr>
                <w:color w:val="231F20"/>
                <w:sz w:val="14"/>
              </w:rPr>
              <w:t>ne</w:t>
            </w:r>
            <w:r>
              <w:rPr>
                <w:color w:val="231F20"/>
                <w:spacing w:val="-2"/>
                <w:sz w:val="14"/>
              </w:rPr>
              <w:t> </w:t>
            </w:r>
            <w:r>
              <w:rPr>
                <w:color w:val="231F20"/>
                <w:sz w:val="14"/>
              </w:rPr>
              <w:t>fait</w:t>
            </w:r>
            <w:r>
              <w:rPr>
                <w:color w:val="231F20"/>
                <w:spacing w:val="-2"/>
                <w:sz w:val="14"/>
              </w:rPr>
              <w:t> </w:t>
            </w:r>
            <w:r>
              <w:rPr>
                <w:color w:val="231F20"/>
                <w:sz w:val="14"/>
              </w:rPr>
              <w:t>pas</w:t>
            </w:r>
            <w:r>
              <w:rPr>
                <w:color w:val="231F20"/>
                <w:spacing w:val="40"/>
                <w:sz w:val="14"/>
              </w:rPr>
              <w:t> </w:t>
            </w:r>
            <w:r>
              <w:rPr>
                <w:color w:val="231F20"/>
                <w:sz w:val="14"/>
              </w:rPr>
              <w:t>d’effort pour la modifier.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534" w:hanging="290"/>
              <w:rPr>
                <w:sz w:val="14"/>
              </w:rPr>
            </w:pPr>
            <w:r>
              <w:rPr>
                <w:b/>
                <w:color w:val="231F20"/>
                <w:sz w:val="14"/>
              </w:rPr>
              <w:t>4.</w:t>
            </w:r>
            <w:r>
              <w:rPr>
                <w:b/>
                <w:color w:val="231F20"/>
                <w:spacing w:val="80"/>
                <w:w w:val="150"/>
                <w:sz w:val="14"/>
              </w:rPr>
              <w:t> </w:t>
            </w:r>
            <w:r>
              <w:rPr>
                <w:color w:val="231F20"/>
                <w:sz w:val="14"/>
              </w:rPr>
              <w:t>Chaque</w:t>
            </w:r>
            <w:r>
              <w:rPr>
                <w:color w:val="231F20"/>
                <w:spacing w:val="-7"/>
                <w:sz w:val="14"/>
              </w:rPr>
              <w:t> </w:t>
            </w:r>
            <w:r>
              <w:rPr>
                <w:color w:val="231F20"/>
                <w:sz w:val="14"/>
              </w:rPr>
              <w:t>fois</w:t>
            </w:r>
            <w:r>
              <w:rPr>
                <w:color w:val="231F20"/>
                <w:spacing w:val="-7"/>
                <w:sz w:val="14"/>
              </w:rPr>
              <w:t> </w:t>
            </w:r>
            <w:r>
              <w:rPr>
                <w:color w:val="231F20"/>
                <w:sz w:val="14"/>
              </w:rPr>
              <w:t>que</w:t>
            </w:r>
            <w:r>
              <w:rPr>
                <w:color w:val="231F20"/>
                <w:spacing w:val="-7"/>
                <w:sz w:val="14"/>
              </w:rPr>
              <w:t> </w:t>
            </w:r>
            <w:r>
              <w:rPr>
                <w:color w:val="231F20"/>
                <w:sz w:val="14"/>
              </w:rPr>
              <w:t>nous</w:t>
            </w:r>
            <w:r>
              <w:rPr>
                <w:color w:val="231F20"/>
                <w:spacing w:val="-7"/>
                <w:sz w:val="14"/>
              </w:rPr>
              <w:t> </w:t>
            </w:r>
            <w:r>
              <w:rPr>
                <w:color w:val="231F20"/>
                <w:sz w:val="14"/>
              </w:rPr>
              <w:t>touchons</w:t>
            </w:r>
            <w:r>
              <w:rPr>
                <w:color w:val="231F20"/>
                <w:spacing w:val="-7"/>
                <w:sz w:val="14"/>
              </w:rPr>
              <w:t> </w:t>
            </w:r>
            <w:r>
              <w:rPr>
                <w:color w:val="231F20"/>
                <w:sz w:val="14"/>
              </w:rPr>
              <w:t>un</w:t>
            </w:r>
            <w:r>
              <w:rPr>
                <w:color w:val="231F20"/>
                <w:spacing w:val="-7"/>
                <w:sz w:val="14"/>
              </w:rPr>
              <w:t> </w:t>
            </w:r>
            <w:r>
              <w:rPr>
                <w:color w:val="231F20"/>
                <w:sz w:val="14"/>
              </w:rPr>
              <w:t>nouveau</w:t>
            </w:r>
            <w:r>
              <w:rPr>
                <w:color w:val="231F20"/>
                <w:spacing w:val="-7"/>
                <w:sz w:val="14"/>
              </w:rPr>
              <w:t> </w:t>
            </w:r>
            <w:r>
              <w:rPr>
                <w:color w:val="231F20"/>
                <w:sz w:val="14"/>
              </w:rPr>
              <w:t>domaine,</w:t>
            </w:r>
            <w:r>
              <w:rPr>
                <w:color w:val="231F20"/>
                <w:spacing w:val="-7"/>
                <w:sz w:val="14"/>
              </w:rPr>
              <w:t> </w:t>
            </w:r>
            <w:r>
              <w:rPr>
                <w:color w:val="231F20"/>
                <w:sz w:val="14"/>
              </w:rPr>
              <w:t>ça</w:t>
            </w:r>
            <w:r>
              <w:rPr>
                <w:color w:val="231F20"/>
                <w:spacing w:val="-7"/>
                <w:sz w:val="14"/>
              </w:rPr>
              <w:t> </w:t>
            </w:r>
            <w:r>
              <w:rPr>
                <w:color w:val="231F20"/>
                <w:sz w:val="14"/>
              </w:rPr>
              <w:t>se</w:t>
            </w:r>
            <w:r>
              <w:rPr>
                <w:color w:val="231F20"/>
                <w:spacing w:val="-7"/>
                <w:sz w:val="14"/>
              </w:rPr>
              <w:t> </w:t>
            </w:r>
            <w:r>
              <w:rPr>
                <w:color w:val="231F20"/>
                <w:sz w:val="14"/>
              </w:rPr>
              <w:t>termine</w:t>
            </w:r>
            <w:r>
              <w:rPr>
                <w:color w:val="231F20"/>
                <w:spacing w:val="40"/>
                <w:sz w:val="14"/>
              </w:rPr>
              <w:t> </w:t>
            </w:r>
            <w:r>
              <w:rPr>
                <w:color w:val="231F20"/>
                <w:sz w:val="14"/>
              </w:rPr>
              <w:t>par un gâchis.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334" w:hanging="290"/>
              <w:rPr>
                <w:sz w:val="14"/>
              </w:rPr>
            </w:pPr>
            <w:r>
              <w:rPr>
                <w:b/>
                <w:color w:val="231F20"/>
                <w:sz w:val="14"/>
              </w:rPr>
              <w:t>5.</w:t>
            </w:r>
            <w:r>
              <w:rPr>
                <w:b/>
                <w:color w:val="231F20"/>
                <w:spacing w:val="80"/>
                <w:w w:val="150"/>
                <w:sz w:val="14"/>
              </w:rPr>
              <w:t> </w:t>
            </w:r>
            <w:r>
              <w:rPr>
                <w:color w:val="231F20"/>
                <w:sz w:val="14"/>
              </w:rPr>
              <w:t>Notre</w:t>
            </w:r>
            <w:r>
              <w:rPr>
                <w:color w:val="231F20"/>
                <w:spacing w:val="-3"/>
                <w:sz w:val="14"/>
              </w:rPr>
              <w:t> </w:t>
            </w:r>
            <w:r>
              <w:rPr>
                <w:color w:val="231F20"/>
                <w:sz w:val="14"/>
              </w:rPr>
              <w:t>entreprise</w:t>
            </w:r>
            <w:r>
              <w:rPr>
                <w:color w:val="231F20"/>
                <w:spacing w:val="-3"/>
                <w:sz w:val="14"/>
              </w:rPr>
              <w:t> </w:t>
            </w:r>
            <w:r>
              <w:rPr>
                <w:color w:val="231F20"/>
                <w:sz w:val="14"/>
              </w:rPr>
              <w:t>sait</w:t>
            </w:r>
            <w:r>
              <w:rPr>
                <w:color w:val="231F20"/>
                <w:spacing w:val="-3"/>
                <w:sz w:val="14"/>
              </w:rPr>
              <w:t> </w:t>
            </w:r>
            <w:r>
              <w:rPr>
                <w:color w:val="231F20"/>
                <w:sz w:val="14"/>
              </w:rPr>
              <w:t>reconnaître</w:t>
            </w:r>
            <w:r>
              <w:rPr>
                <w:color w:val="231F20"/>
                <w:spacing w:val="-3"/>
                <w:sz w:val="14"/>
              </w:rPr>
              <w:t> </w:t>
            </w:r>
            <w:r>
              <w:rPr>
                <w:color w:val="231F20"/>
                <w:sz w:val="14"/>
              </w:rPr>
              <w:t>une</w:t>
            </w:r>
            <w:r>
              <w:rPr>
                <w:color w:val="231F20"/>
                <w:spacing w:val="-3"/>
                <w:sz w:val="14"/>
              </w:rPr>
              <w:t> </w:t>
            </w:r>
            <w:r>
              <w:rPr>
                <w:color w:val="231F20"/>
                <w:sz w:val="14"/>
              </w:rPr>
              <w:t>bonne</w:t>
            </w:r>
            <w:r>
              <w:rPr>
                <w:color w:val="231F20"/>
                <w:spacing w:val="-3"/>
                <w:sz w:val="14"/>
              </w:rPr>
              <w:t> </w:t>
            </w:r>
            <w:r>
              <w:rPr>
                <w:color w:val="231F20"/>
                <w:sz w:val="14"/>
              </w:rPr>
              <w:t>occasion</w:t>
            </w:r>
            <w:r>
              <w:rPr>
                <w:color w:val="231F20"/>
                <w:spacing w:val="-3"/>
                <w:sz w:val="14"/>
              </w:rPr>
              <w:t> </w:t>
            </w:r>
            <w:r>
              <w:rPr>
                <w:color w:val="231F20"/>
                <w:sz w:val="14"/>
              </w:rPr>
              <w:t>et</w:t>
            </w:r>
            <w:r>
              <w:rPr>
                <w:color w:val="231F20"/>
                <w:spacing w:val="-3"/>
                <w:sz w:val="14"/>
              </w:rPr>
              <w:t> </w:t>
            </w:r>
            <w:r>
              <w:rPr>
                <w:color w:val="231F20"/>
                <w:sz w:val="14"/>
              </w:rPr>
              <w:t>agir</w:t>
            </w:r>
            <w:r>
              <w:rPr>
                <w:color w:val="231F20"/>
                <w:spacing w:val="-3"/>
                <w:sz w:val="14"/>
              </w:rPr>
              <w:t> </w:t>
            </w:r>
            <w:r>
              <w:rPr>
                <w:color w:val="231F20"/>
                <w:sz w:val="14"/>
              </w:rPr>
              <w:t>en</w:t>
            </w:r>
            <w:r>
              <w:rPr>
                <w:color w:val="231F20"/>
                <w:spacing w:val="40"/>
                <w:sz w:val="14"/>
              </w:rPr>
              <w:t> </w:t>
            </w:r>
            <w:r>
              <w:rPr>
                <w:color w:val="231F20"/>
                <w:spacing w:val="-2"/>
                <w:sz w:val="14"/>
              </w:rPr>
              <w:t>conséquence.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534" w:hanging="290"/>
              <w:rPr>
                <w:sz w:val="14"/>
              </w:rPr>
            </w:pPr>
            <w:r>
              <w:rPr>
                <w:b/>
                <w:color w:val="231F20"/>
                <w:w w:val="105"/>
                <w:sz w:val="14"/>
              </w:rPr>
              <w:t>6.</w:t>
            </w:r>
            <w:r>
              <w:rPr>
                <w:b/>
                <w:color w:val="231F20"/>
                <w:spacing w:val="62"/>
                <w:w w:val="105"/>
                <w:sz w:val="14"/>
              </w:rPr>
              <w:t> </w:t>
            </w:r>
            <w:r>
              <w:rPr>
                <w:color w:val="231F20"/>
                <w:w w:val="105"/>
                <w:sz w:val="14"/>
              </w:rPr>
              <w:t>Les</w:t>
            </w:r>
            <w:r>
              <w:rPr>
                <w:color w:val="231F20"/>
                <w:spacing w:val="-10"/>
                <w:w w:val="105"/>
                <w:sz w:val="14"/>
              </w:rPr>
              <w:t> </w:t>
            </w:r>
            <w:r>
              <w:rPr>
                <w:color w:val="231F20"/>
                <w:w w:val="105"/>
                <w:sz w:val="14"/>
              </w:rPr>
              <w:t>dirigeants</w:t>
            </w:r>
            <w:r>
              <w:rPr>
                <w:color w:val="231F20"/>
                <w:spacing w:val="-10"/>
                <w:w w:val="105"/>
                <w:sz w:val="14"/>
              </w:rPr>
              <w:t> </w:t>
            </w:r>
            <w:r>
              <w:rPr>
                <w:color w:val="231F20"/>
                <w:w w:val="105"/>
                <w:sz w:val="14"/>
              </w:rPr>
              <w:t>de</w:t>
            </w:r>
            <w:r>
              <w:rPr>
                <w:color w:val="231F20"/>
                <w:spacing w:val="-11"/>
                <w:w w:val="105"/>
                <w:sz w:val="14"/>
              </w:rPr>
              <w:t> </w:t>
            </w:r>
            <w:r>
              <w:rPr>
                <w:color w:val="231F20"/>
                <w:w w:val="105"/>
                <w:sz w:val="14"/>
              </w:rPr>
              <w:t>notre</w:t>
            </w:r>
            <w:r>
              <w:rPr>
                <w:color w:val="231F20"/>
                <w:spacing w:val="-10"/>
                <w:w w:val="105"/>
                <w:sz w:val="14"/>
              </w:rPr>
              <w:t> </w:t>
            </w:r>
            <w:r>
              <w:rPr>
                <w:color w:val="231F20"/>
                <w:w w:val="105"/>
                <w:sz w:val="14"/>
              </w:rPr>
              <w:t>entreprise</w:t>
            </w:r>
            <w:r>
              <w:rPr>
                <w:color w:val="231F20"/>
                <w:spacing w:val="-10"/>
                <w:w w:val="105"/>
                <w:sz w:val="14"/>
              </w:rPr>
              <w:t> </w:t>
            </w:r>
            <w:r>
              <w:rPr>
                <w:color w:val="231F20"/>
                <w:w w:val="105"/>
                <w:sz w:val="14"/>
              </w:rPr>
              <w:t>respectent</w:t>
            </w:r>
            <w:r>
              <w:rPr>
                <w:color w:val="231F20"/>
                <w:spacing w:val="-10"/>
                <w:w w:val="105"/>
                <w:sz w:val="14"/>
              </w:rPr>
              <w:t> </w:t>
            </w:r>
            <w:r>
              <w:rPr>
                <w:color w:val="231F20"/>
                <w:w w:val="105"/>
                <w:sz w:val="14"/>
              </w:rPr>
              <w:t>et</w:t>
            </w:r>
            <w:r>
              <w:rPr>
                <w:color w:val="231F20"/>
                <w:spacing w:val="-11"/>
                <w:w w:val="105"/>
                <w:sz w:val="14"/>
              </w:rPr>
              <w:t> </w:t>
            </w:r>
            <w:r>
              <w:rPr>
                <w:color w:val="231F20"/>
                <w:w w:val="105"/>
                <w:sz w:val="14"/>
              </w:rPr>
              <w:t>aiment</w:t>
            </w:r>
            <w:r>
              <w:rPr>
                <w:color w:val="231F20"/>
                <w:spacing w:val="-10"/>
                <w:w w:val="105"/>
                <w:sz w:val="14"/>
              </w:rPr>
              <w:t> </w:t>
            </w:r>
            <w:r>
              <w:rPr>
                <w:color w:val="231F20"/>
                <w:w w:val="105"/>
                <w:sz w:val="14"/>
              </w:rPr>
              <w:t>uniquement</w:t>
            </w:r>
            <w:r>
              <w:rPr>
                <w:color w:val="231F20"/>
                <w:w w:val="105"/>
                <w:sz w:val="14"/>
              </w:rPr>
              <w:t> les personnes brillantes, spirituelles et douées.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334" w:hanging="290"/>
              <w:rPr>
                <w:sz w:val="14"/>
              </w:rPr>
            </w:pPr>
            <w:r>
              <w:rPr>
                <w:b/>
                <w:color w:val="231F20"/>
                <w:sz w:val="14"/>
              </w:rPr>
              <w:t>7.</w:t>
            </w:r>
            <w:r>
              <w:rPr>
                <w:b/>
                <w:color w:val="231F20"/>
                <w:spacing w:val="80"/>
                <w:w w:val="150"/>
                <w:sz w:val="14"/>
              </w:rPr>
              <w:t> </w:t>
            </w:r>
            <w:r>
              <w:rPr>
                <w:color w:val="231F20"/>
                <w:sz w:val="14"/>
              </w:rPr>
              <w:t>Pour</w:t>
            </w:r>
            <w:r>
              <w:rPr>
                <w:color w:val="231F20"/>
                <w:spacing w:val="-2"/>
                <w:sz w:val="14"/>
              </w:rPr>
              <w:t> </w:t>
            </w:r>
            <w:r>
              <w:rPr>
                <w:color w:val="231F20"/>
                <w:sz w:val="14"/>
              </w:rPr>
              <w:t>notre</w:t>
            </w:r>
            <w:r>
              <w:rPr>
                <w:color w:val="231F20"/>
                <w:spacing w:val="-2"/>
                <w:sz w:val="14"/>
              </w:rPr>
              <w:t> </w:t>
            </w:r>
            <w:r>
              <w:rPr>
                <w:color w:val="231F20"/>
                <w:sz w:val="14"/>
              </w:rPr>
              <w:t>entreprise,</w:t>
            </w:r>
            <w:r>
              <w:rPr>
                <w:color w:val="231F20"/>
                <w:spacing w:val="-2"/>
                <w:sz w:val="14"/>
              </w:rPr>
              <w:t> </w:t>
            </w:r>
            <w:r>
              <w:rPr>
                <w:color w:val="231F20"/>
                <w:sz w:val="14"/>
              </w:rPr>
              <w:t>la</w:t>
            </w:r>
            <w:r>
              <w:rPr>
                <w:color w:val="231F20"/>
                <w:spacing w:val="-2"/>
                <w:sz w:val="14"/>
              </w:rPr>
              <w:t> </w:t>
            </w:r>
            <w:r>
              <w:rPr>
                <w:color w:val="231F20"/>
                <w:sz w:val="14"/>
              </w:rPr>
              <w:t>réussite</w:t>
            </w:r>
            <w:r>
              <w:rPr>
                <w:color w:val="231F20"/>
                <w:spacing w:val="-2"/>
                <w:sz w:val="14"/>
              </w:rPr>
              <w:t> </w:t>
            </w:r>
            <w:r>
              <w:rPr>
                <w:color w:val="231F20"/>
                <w:sz w:val="14"/>
              </w:rPr>
              <w:t>n’est</w:t>
            </w:r>
            <w:r>
              <w:rPr>
                <w:color w:val="231F20"/>
                <w:spacing w:val="-2"/>
                <w:sz w:val="14"/>
              </w:rPr>
              <w:t> </w:t>
            </w:r>
            <w:r>
              <w:rPr>
                <w:color w:val="231F20"/>
                <w:sz w:val="14"/>
              </w:rPr>
              <w:t>pas</w:t>
            </w:r>
            <w:r>
              <w:rPr>
                <w:color w:val="231F20"/>
                <w:spacing w:val="-2"/>
                <w:sz w:val="14"/>
              </w:rPr>
              <w:t> </w:t>
            </w:r>
            <w:r>
              <w:rPr>
                <w:color w:val="231F20"/>
                <w:sz w:val="14"/>
              </w:rPr>
              <w:t>un</w:t>
            </w:r>
            <w:r>
              <w:rPr>
                <w:color w:val="231F20"/>
                <w:spacing w:val="-2"/>
                <w:sz w:val="14"/>
              </w:rPr>
              <w:t> </w:t>
            </w:r>
            <w:r>
              <w:rPr>
                <w:color w:val="231F20"/>
                <w:sz w:val="14"/>
              </w:rPr>
              <w:t>impératif.</w:t>
            </w:r>
            <w:r>
              <w:rPr>
                <w:color w:val="231F20"/>
                <w:spacing w:val="-2"/>
                <w:sz w:val="14"/>
              </w:rPr>
              <w:t> </w:t>
            </w:r>
            <w:r>
              <w:rPr>
                <w:color w:val="231F20"/>
                <w:sz w:val="14"/>
              </w:rPr>
              <w:t>Ce</w:t>
            </w:r>
            <w:r>
              <w:rPr>
                <w:color w:val="231F20"/>
                <w:spacing w:val="-2"/>
                <w:sz w:val="14"/>
              </w:rPr>
              <w:t> </w:t>
            </w:r>
            <w:r>
              <w:rPr>
                <w:color w:val="231F20"/>
                <w:sz w:val="14"/>
              </w:rPr>
              <w:t>qui</w:t>
            </w:r>
            <w:r>
              <w:rPr>
                <w:color w:val="231F20"/>
                <w:spacing w:val="-2"/>
                <w:sz w:val="14"/>
              </w:rPr>
              <w:t> </w:t>
            </w:r>
            <w:r>
              <w:rPr>
                <w:color w:val="231F20"/>
                <w:sz w:val="14"/>
              </w:rPr>
              <w:t>compte,</w:t>
            </w:r>
            <w:r>
              <w:rPr>
                <w:color w:val="231F20"/>
                <w:spacing w:val="40"/>
                <w:sz w:val="14"/>
              </w:rPr>
              <w:t> </w:t>
            </w:r>
            <w:r>
              <w:rPr>
                <w:color w:val="231F20"/>
                <w:sz w:val="14"/>
              </w:rPr>
              <w:t>c’est de faire de notre mieux.</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bl>
    <w:p>
      <w:pPr>
        <w:spacing w:after="0"/>
        <w:rPr>
          <w:rFonts w:ascii="Times New Roman"/>
          <w:sz w:val="14"/>
        </w:rPr>
        <w:sectPr>
          <w:footerReference w:type="default" r:id="rId28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rPr>
      </w:pPr>
    </w:p>
    <w:tbl>
      <w:tblPr>
        <w:tblW w:w="0" w:type="auto"/>
        <w:jc w:val="left"/>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top w:w="0" w:type="dxa"/>
          <w:left w:w="0" w:type="dxa"/>
          <w:bottom w:w="0" w:type="dxa"/>
          <w:right w:w="0" w:type="dxa"/>
        </w:tblCellMar>
        <w:tblLook w:val="01E0"/>
      </w:tblPr>
      <w:tblGrid>
        <w:gridCol w:w="5260"/>
        <w:gridCol w:w="480"/>
      </w:tblGrid>
      <w:tr>
        <w:trPr>
          <w:trHeight w:val="441" w:hRule="atLeast"/>
        </w:trPr>
        <w:tc>
          <w:tcPr>
            <w:tcW w:w="5260" w:type="dxa"/>
            <w:tcBorders>
              <w:left w:val="nil"/>
              <w:right w:val="single" w:sz="4" w:space="0" w:color="FFFFFF"/>
            </w:tcBorders>
          </w:tcPr>
          <w:p>
            <w:pPr>
              <w:pStyle w:val="TableParagraph"/>
              <w:spacing w:line="268" w:lineRule="auto" w:before="55"/>
              <w:ind w:left="475" w:right="396" w:hanging="290"/>
              <w:rPr>
                <w:sz w:val="14"/>
              </w:rPr>
            </w:pPr>
            <w:r>
              <w:rPr>
                <w:b/>
                <w:color w:val="231F20"/>
                <w:sz w:val="14"/>
              </w:rPr>
              <w:t>8.</w:t>
            </w:r>
            <w:r>
              <w:rPr>
                <w:b/>
                <w:color w:val="231F20"/>
                <w:spacing w:val="80"/>
                <w:w w:val="150"/>
                <w:sz w:val="14"/>
              </w:rPr>
              <w:t> </w:t>
            </w:r>
            <w:r>
              <w:rPr>
                <w:color w:val="231F20"/>
                <w:sz w:val="14"/>
              </w:rPr>
              <w:t>En</w:t>
            </w:r>
            <w:r>
              <w:rPr>
                <w:color w:val="231F20"/>
                <w:spacing w:val="-3"/>
                <w:sz w:val="14"/>
              </w:rPr>
              <w:t> </w:t>
            </w:r>
            <w:r>
              <w:rPr>
                <w:color w:val="231F20"/>
                <w:sz w:val="14"/>
              </w:rPr>
              <w:t>général,</w:t>
            </w:r>
            <w:r>
              <w:rPr>
                <w:color w:val="231F20"/>
                <w:spacing w:val="-3"/>
                <w:sz w:val="14"/>
              </w:rPr>
              <w:t> </w:t>
            </w:r>
            <w:r>
              <w:rPr>
                <w:color w:val="231F20"/>
                <w:sz w:val="14"/>
              </w:rPr>
              <w:t>les</w:t>
            </w:r>
            <w:r>
              <w:rPr>
                <w:color w:val="231F20"/>
                <w:spacing w:val="-3"/>
                <w:sz w:val="14"/>
              </w:rPr>
              <w:t> </w:t>
            </w:r>
            <w:r>
              <w:rPr>
                <w:color w:val="231F20"/>
                <w:sz w:val="14"/>
              </w:rPr>
              <w:t>actions</w:t>
            </w:r>
            <w:r>
              <w:rPr>
                <w:color w:val="231F20"/>
                <w:spacing w:val="-3"/>
                <w:sz w:val="14"/>
              </w:rPr>
              <w:t> </w:t>
            </w:r>
            <w:r>
              <w:rPr>
                <w:color w:val="231F20"/>
                <w:sz w:val="14"/>
              </w:rPr>
              <w:t>de</w:t>
            </w:r>
            <w:r>
              <w:rPr>
                <w:color w:val="231F20"/>
                <w:spacing w:val="-3"/>
                <w:sz w:val="14"/>
              </w:rPr>
              <w:t> </w:t>
            </w:r>
            <w:r>
              <w:rPr>
                <w:color w:val="231F20"/>
                <w:sz w:val="14"/>
              </w:rPr>
              <w:t>notre</w:t>
            </w:r>
            <w:r>
              <w:rPr>
                <w:color w:val="231F20"/>
                <w:spacing w:val="-3"/>
                <w:sz w:val="14"/>
              </w:rPr>
              <w:t> </w:t>
            </w:r>
            <w:r>
              <w:rPr>
                <w:color w:val="231F20"/>
                <w:sz w:val="14"/>
              </w:rPr>
              <w:t>entreprise</w:t>
            </w:r>
            <w:r>
              <w:rPr>
                <w:color w:val="231F20"/>
                <w:spacing w:val="-3"/>
                <w:sz w:val="14"/>
              </w:rPr>
              <w:t> </w:t>
            </w:r>
            <w:r>
              <w:rPr>
                <w:color w:val="231F20"/>
                <w:sz w:val="14"/>
              </w:rPr>
              <w:t>méritent</w:t>
            </w:r>
            <w:r>
              <w:rPr>
                <w:color w:val="231F20"/>
                <w:spacing w:val="-3"/>
                <w:sz w:val="14"/>
              </w:rPr>
              <w:t> </w:t>
            </w:r>
            <w:r>
              <w:rPr>
                <w:color w:val="231F20"/>
                <w:sz w:val="14"/>
              </w:rPr>
              <w:t>la</w:t>
            </w:r>
            <w:r>
              <w:rPr>
                <w:color w:val="231F20"/>
                <w:spacing w:val="-3"/>
                <w:sz w:val="14"/>
              </w:rPr>
              <w:t> </w:t>
            </w:r>
            <w:r>
              <w:rPr>
                <w:color w:val="231F20"/>
                <w:sz w:val="14"/>
              </w:rPr>
              <w:t>reconnaissance</w:t>
            </w:r>
            <w:r>
              <w:rPr>
                <w:color w:val="231F20"/>
                <w:w w:val="105"/>
                <w:sz w:val="14"/>
              </w:rPr>
              <w:t> et le respect.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right="334" w:hanging="290"/>
              <w:rPr>
                <w:sz w:val="14"/>
              </w:rPr>
            </w:pPr>
            <w:r>
              <w:rPr>
                <w:b/>
                <w:color w:val="231F20"/>
                <w:sz w:val="14"/>
              </w:rPr>
              <w:t>9.</w:t>
            </w:r>
            <w:r>
              <w:rPr>
                <w:b/>
                <w:color w:val="231F20"/>
                <w:spacing w:val="80"/>
                <w:w w:val="150"/>
                <w:sz w:val="14"/>
              </w:rPr>
              <w:t> </w:t>
            </w:r>
            <w:r>
              <w:rPr>
                <w:color w:val="231F20"/>
                <w:sz w:val="14"/>
              </w:rPr>
              <w:t>Nous devons fournir des efforts particuliers pour maintenir une </w:t>
            </w:r>
            <w:r>
              <w:rPr>
                <w:color w:val="231F20"/>
                <w:sz w:val="14"/>
              </w:rPr>
              <w:t>image</w:t>
            </w:r>
            <w:r>
              <w:rPr>
                <w:color w:val="231F20"/>
                <w:spacing w:val="40"/>
                <w:sz w:val="14"/>
              </w:rPr>
              <w:t> </w:t>
            </w:r>
            <w:r>
              <w:rPr>
                <w:color w:val="231F20"/>
                <w:sz w:val="14"/>
              </w:rPr>
              <w:t>positive au sein de l’industrie.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right="334" w:hanging="381"/>
              <w:rPr>
                <w:sz w:val="14"/>
              </w:rPr>
            </w:pPr>
            <w:r>
              <w:rPr>
                <w:b/>
                <w:color w:val="231F20"/>
                <w:sz w:val="14"/>
              </w:rPr>
              <w:t>10.</w:t>
            </w:r>
            <w:r>
              <w:rPr>
                <w:b/>
                <w:color w:val="231F20"/>
                <w:spacing w:val="80"/>
                <w:w w:val="150"/>
                <w:sz w:val="14"/>
              </w:rPr>
              <w:t> </w:t>
            </w:r>
            <w:r>
              <w:rPr>
                <w:color w:val="231F20"/>
                <w:sz w:val="14"/>
              </w:rPr>
              <w:t>Dans</w:t>
            </w:r>
            <w:r>
              <w:rPr>
                <w:color w:val="231F20"/>
                <w:spacing w:val="-1"/>
                <w:sz w:val="14"/>
              </w:rPr>
              <w:t> </w:t>
            </w:r>
            <w:r>
              <w:rPr>
                <w:color w:val="231F20"/>
                <w:sz w:val="14"/>
              </w:rPr>
              <w:t>la</w:t>
            </w:r>
            <w:r>
              <w:rPr>
                <w:color w:val="231F20"/>
                <w:spacing w:val="-1"/>
                <w:sz w:val="14"/>
              </w:rPr>
              <w:t> </w:t>
            </w:r>
            <w:r>
              <w:rPr>
                <w:color w:val="231F20"/>
                <w:sz w:val="14"/>
              </w:rPr>
              <w:t>culture</w:t>
            </w:r>
            <w:r>
              <w:rPr>
                <w:color w:val="231F20"/>
                <w:spacing w:val="-1"/>
                <w:sz w:val="14"/>
              </w:rPr>
              <w:t> </w:t>
            </w:r>
            <w:r>
              <w:rPr>
                <w:color w:val="231F20"/>
                <w:sz w:val="14"/>
              </w:rPr>
              <w:t>de</w:t>
            </w:r>
            <w:r>
              <w:rPr>
                <w:color w:val="231F20"/>
                <w:spacing w:val="-1"/>
                <w:sz w:val="14"/>
              </w:rPr>
              <w:t> </w:t>
            </w:r>
            <w:r>
              <w:rPr>
                <w:color w:val="231F20"/>
                <w:sz w:val="14"/>
              </w:rPr>
              <w:t>notre</w:t>
            </w:r>
            <w:r>
              <w:rPr>
                <w:color w:val="231F20"/>
                <w:spacing w:val="-1"/>
                <w:sz w:val="14"/>
              </w:rPr>
              <w:t> </w:t>
            </w:r>
            <w:r>
              <w:rPr>
                <w:color w:val="231F20"/>
                <w:sz w:val="14"/>
              </w:rPr>
              <w:t>entreprise,</w:t>
            </w:r>
            <w:r>
              <w:rPr>
                <w:color w:val="231F20"/>
                <w:spacing w:val="-1"/>
                <w:sz w:val="14"/>
              </w:rPr>
              <w:t> </w:t>
            </w:r>
            <w:r>
              <w:rPr>
                <w:color w:val="231F20"/>
                <w:sz w:val="14"/>
              </w:rPr>
              <w:t>la</w:t>
            </w:r>
            <w:r>
              <w:rPr>
                <w:color w:val="231F20"/>
                <w:spacing w:val="-1"/>
                <w:sz w:val="14"/>
              </w:rPr>
              <w:t> </w:t>
            </w:r>
            <w:r>
              <w:rPr>
                <w:color w:val="231F20"/>
                <w:sz w:val="14"/>
              </w:rPr>
              <w:t>croyance</w:t>
            </w:r>
            <w:r>
              <w:rPr>
                <w:color w:val="231F20"/>
                <w:spacing w:val="-1"/>
                <w:sz w:val="14"/>
              </w:rPr>
              <w:t> </w:t>
            </w:r>
            <w:r>
              <w:rPr>
                <w:color w:val="231F20"/>
                <w:sz w:val="14"/>
              </w:rPr>
              <w:t>qui</w:t>
            </w:r>
            <w:r>
              <w:rPr>
                <w:color w:val="231F20"/>
                <w:spacing w:val="-1"/>
                <w:sz w:val="14"/>
              </w:rPr>
              <w:t> </w:t>
            </w:r>
            <w:r>
              <w:rPr>
                <w:color w:val="231F20"/>
                <w:sz w:val="14"/>
              </w:rPr>
              <w:t>prévaut</w:t>
            </w:r>
            <w:r>
              <w:rPr>
                <w:color w:val="231F20"/>
                <w:spacing w:val="-1"/>
                <w:sz w:val="14"/>
              </w:rPr>
              <w:t> </w:t>
            </w:r>
            <w:r>
              <w:rPr>
                <w:color w:val="231F20"/>
                <w:sz w:val="14"/>
              </w:rPr>
              <w:t>est</w:t>
            </w:r>
            <w:r>
              <w:rPr>
                <w:color w:val="231F20"/>
                <w:spacing w:val="-1"/>
                <w:sz w:val="14"/>
              </w:rPr>
              <w:t> </w:t>
            </w:r>
            <w:r>
              <w:rPr>
                <w:color w:val="231F20"/>
                <w:sz w:val="14"/>
              </w:rPr>
              <w:t>que</w:t>
            </w:r>
            <w:r>
              <w:rPr>
                <w:color w:val="231F20"/>
                <w:spacing w:val="40"/>
                <w:sz w:val="14"/>
              </w:rPr>
              <w:t> </w:t>
            </w:r>
            <w:r>
              <w:rPr>
                <w:color w:val="231F20"/>
                <w:sz w:val="14"/>
              </w:rPr>
              <w:t>l’honnêteté et la transparence mènent tout droit à l’échec.</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right="334" w:hanging="381"/>
              <w:rPr>
                <w:sz w:val="14"/>
              </w:rPr>
            </w:pPr>
            <w:r>
              <w:rPr>
                <w:b/>
                <w:color w:val="231F20"/>
                <w:w w:val="105"/>
                <w:sz w:val="14"/>
              </w:rPr>
              <w:t>11.</w:t>
            </w:r>
            <w:r>
              <w:rPr>
                <w:b/>
                <w:color w:val="231F20"/>
                <w:spacing w:val="62"/>
                <w:w w:val="105"/>
                <w:sz w:val="14"/>
              </w:rPr>
              <w:t> </w:t>
            </w:r>
            <w:r>
              <w:rPr>
                <w:color w:val="231F20"/>
                <w:w w:val="105"/>
                <w:sz w:val="14"/>
              </w:rPr>
              <w:t>Lorsque</w:t>
            </w:r>
            <w:r>
              <w:rPr>
                <w:color w:val="231F20"/>
                <w:spacing w:val="-10"/>
                <w:w w:val="105"/>
                <w:sz w:val="14"/>
              </w:rPr>
              <w:t> </w:t>
            </w:r>
            <w:r>
              <w:rPr>
                <w:color w:val="231F20"/>
                <w:w w:val="105"/>
                <w:sz w:val="14"/>
              </w:rPr>
              <w:t>les</w:t>
            </w:r>
            <w:r>
              <w:rPr>
                <w:color w:val="231F20"/>
                <w:spacing w:val="-10"/>
                <w:w w:val="105"/>
                <w:sz w:val="14"/>
              </w:rPr>
              <w:t> </w:t>
            </w:r>
            <w:r>
              <w:rPr>
                <w:color w:val="231F20"/>
                <w:w w:val="105"/>
                <w:sz w:val="14"/>
              </w:rPr>
              <w:t>choses</w:t>
            </w:r>
            <w:r>
              <w:rPr>
                <w:color w:val="231F20"/>
                <w:spacing w:val="-11"/>
                <w:w w:val="105"/>
                <w:sz w:val="14"/>
              </w:rPr>
              <w:t> </w:t>
            </w:r>
            <w:r>
              <w:rPr>
                <w:color w:val="231F20"/>
                <w:w w:val="105"/>
                <w:sz w:val="14"/>
              </w:rPr>
              <w:t>tournent</w:t>
            </w:r>
            <w:r>
              <w:rPr>
                <w:color w:val="231F20"/>
                <w:spacing w:val="-10"/>
                <w:w w:val="105"/>
                <w:sz w:val="14"/>
              </w:rPr>
              <w:t> </w:t>
            </w:r>
            <w:r>
              <w:rPr>
                <w:color w:val="231F20"/>
                <w:w w:val="105"/>
                <w:sz w:val="14"/>
              </w:rPr>
              <w:t>mal,</w:t>
            </w:r>
            <w:r>
              <w:rPr>
                <w:color w:val="231F20"/>
                <w:spacing w:val="-10"/>
                <w:w w:val="105"/>
                <w:sz w:val="14"/>
              </w:rPr>
              <w:t> </w:t>
            </w:r>
            <w:r>
              <w:rPr>
                <w:color w:val="231F20"/>
                <w:w w:val="105"/>
                <w:sz w:val="14"/>
              </w:rPr>
              <w:t>l’entreprise</w:t>
            </w:r>
            <w:r>
              <w:rPr>
                <w:color w:val="231F20"/>
                <w:spacing w:val="-10"/>
                <w:w w:val="105"/>
                <w:sz w:val="14"/>
              </w:rPr>
              <w:t> </w:t>
            </w:r>
            <w:r>
              <w:rPr>
                <w:color w:val="231F20"/>
                <w:w w:val="105"/>
                <w:sz w:val="14"/>
              </w:rPr>
              <w:t>trouve</w:t>
            </w:r>
            <w:r>
              <w:rPr>
                <w:color w:val="231F20"/>
                <w:spacing w:val="-11"/>
                <w:w w:val="105"/>
                <w:sz w:val="14"/>
              </w:rPr>
              <w:t> </w:t>
            </w:r>
            <w:r>
              <w:rPr>
                <w:color w:val="231F20"/>
                <w:w w:val="105"/>
                <w:sz w:val="14"/>
              </w:rPr>
              <w:t>tout</w:t>
            </w:r>
            <w:r>
              <w:rPr>
                <w:color w:val="231F20"/>
                <w:spacing w:val="-10"/>
                <w:w w:val="105"/>
                <w:sz w:val="14"/>
              </w:rPr>
              <w:t> </w:t>
            </w:r>
            <w:r>
              <w:rPr>
                <w:color w:val="231F20"/>
                <w:w w:val="105"/>
                <w:sz w:val="14"/>
              </w:rPr>
              <w:t>de</w:t>
            </w:r>
            <w:r>
              <w:rPr>
                <w:color w:val="231F20"/>
                <w:spacing w:val="-10"/>
                <w:w w:val="105"/>
                <w:sz w:val="14"/>
              </w:rPr>
              <w:t> </w:t>
            </w:r>
            <w:r>
              <w:rPr>
                <w:color w:val="231F20"/>
                <w:w w:val="105"/>
                <w:sz w:val="14"/>
              </w:rPr>
              <w:t>suite quelqu’un sur qui rejeter le blâme.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right="334" w:hanging="381"/>
              <w:rPr>
                <w:sz w:val="14"/>
              </w:rPr>
            </w:pPr>
            <w:r>
              <w:rPr>
                <w:b/>
                <w:color w:val="231F20"/>
                <w:sz w:val="14"/>
              </w:rPr>
              <w:t>12.</w:t>
            </w:r>
            <w:r>
              <w:rPr>
                <w:b/>
                <w:color w:val="231F20"/>
                <w:spacing w:val="80"/>
                <w:w w:val="150"/>
                <w:sz w:val="14"/>
              </w:rPr>
              <w:t> </w:t>
            </w:r>
            <w:r>
              <w:rPr>
                <w:color w:val="231F20"/>
                <w:sz w:val="14"/>
              </w:rPr>
              <w:t>Lorsque</w:t>
            </w:r>
            <w:r>
              <w:rPr>
                <w:color w:val="231F20"/>
                <w:spacing w:val="-5"/>
                <w:sz w:val="14"/>
              </w:rPr>
              <w:t> </w:t>
            </w:r>
            <w:r>
              <w:rPr>
                <w:color w:val="231F20"/>
                <w:sz w:val="14"/>
              </w:rPr>
              <w:t>les</w:t>
            </w:r>
            <w:r>
              <w:rPr>
                <w:color w:val="231F20"/>
                <w:spacing w:val="-5"/>
                <w:sz w:val="14"/>
              </w:rPr>
              <w:t> </w:t>
            </w:r>
            <w:r>
              <w:rPr>
                <w:color w:val="231F20"/>
                <w:sz w:val="14"/>
              </w:rPr>
              <w:t>choses</w:t>
            </w:r>
            <w:r>
              <w:rPr>
                <w:color w:val="231F20"/>
                <w:spacing w:val="-5"/>
                <w:sz w:val="14"/>
              </w:rPr>
              <w:t> </w:t>
            </w:r>
            <w:r>
              <w:rPr>
                <w:color w:val="231F20"/>
                <w:sz w:val="14"/>
              </w:rPr>
              <w:t>vont</w:t>
            </w:r>
            <w:r>
              <w:rPr>
                <w:color w:val="231F20"/>
                <w:spacing w:val="-5"/>
                <w:sz w:val="14"/>
              </w:rPr>
              <w:t> </w:t>
            </w:r>
            <w:r>
              <w:rPr>
                <w:color w:val="231F20"/>
                <w:sz w:val="14"/>
              </w:rPr>
              <w:t>bien,</w:t>
            </w:r>
            <w:r>
              <w:rPr>
                <w:color w:val="231F20"/>
                <w:spacing w:val="-5"/>
                <w:sz w:val="14"/>
              </w:rPr>
              <w:t> </w:t>
            </w:r>
            <w:r>
              <w:rPr>
                <w:color w:val="231F20"/>
                <w:sz w:val="14"/>
              </w:rPr>
              <w:t>l’entreprise</w:t>
            </w:r>
            <w:r>
              <w:rPr>
                <w:color w:val="231F20"/>
                <w:spacing w:val="-5"/>
                <w:sz w:val="14"/>
              </w:rPr>
              <w:t> </w:t>
            </w:r>
            <w:r>
              <w:rPr>
                <w:color w:val="231F20"/>
                <w:sz w:val="14"/>
              </w:rPr>
              <w:t>attribue</w:t>
            </w:r>
            <w:r>
              <w:rPr>
                <w:color w:val="231F20"/>
                <w:spacing w:val="-5"/>
                <w:sz w:val="14"/>
              </w:rPr>
              <w:t> </w:t>
            </w:r>
            <w:r>
              <w:rPr>
                <w:color w:val="231F20"/>
                <w:sz w:val="14"/>
              </w:rPr>
              <w:t>sa</w:t>
            </w:r>
            <w:r>
              <w:rPr>
                <w:color w:val="231F20"/>
                <w:spacing w:val="-5"/>
                <w:sz w:val="14"/>
              </w:rPr>
              <w:t> </w:t>
            </w:r>
            <w:r>
              <w:rPr>
                <w:color w:val="231F20"/>
                <w:sz w:val="14"/>
              </w:rPr>
              <w:t>réussite</w:t>
            </w:r>
            <w:r>
              <w:rPr>
                <w:color w:val="231F20"/>
                <w:spacing w:val="-5"/>
                <w:sz w:val="14"/>
              </w:rPr>
              <w:t> </w:t>
            </w:r>
            <w:r>
              <w:rPr>
                <w:color w:val="231F20"/>
                <w:sz w:val="14"/>
              </w:rPr>
              <w:t>à</w:t>
            </w:r>
            <w:r>
              <w:rPr>
                <w:color w:val="231F20"/>
                <w:spacing w:val="-5"/>
                <w:sz w:val="14"/>
              </w:rPr>
              <w:t> </w:t>
            </w:r>
            <w:r>
              <w:rPr>
                <w:color w:val="231F20"/>
                <w:sz w:val="14"/>
              </w:rPr>
              <w:t>ses</w:t>
            </w:r>
            <w:r>
              <w:rPr>
                <w:color w:val="231F20"/>
                <w:spacing w:val="40"/>
                <w:sz w:val="14"/>
              </w:rPr>
              <w:t> </w:t>
            </w:r>
            <w:r>
              <w:rPr>
                <w:color w:val="231F20"/>
                <w:sz w:val="14"/>
              </w:rPr>
              <w:t>dirigeants, qui deviennent des héros du jour au lendemain.</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60" w:type="dxa"/>
            <w:tcBorders>
              <w:left w:val="nil"/>
              <w:right w:val="single" w:sz="4" w:space="0" w:color="FFFFFF"/>
            </w:tcBorders>
          </w:tcPr>
          <w:p>
            <w:pPr>
              <w:pStyle w:val="TableParagraph"/>
              <w:spacing w:before="55"/>
              <w:ind w:left="94"/>
              <w:rPr>
                <w:sz w:val="14"/>
              </w:rPr>
            </w:pPr>
            <w:r>
              <w:rPr>
                <w:b/>
                <w:color w:val="231F20"/>
                <w:w w:val="105"/>
                <w:sz w:val="14"/>
              </w:rPr>
              <w:t>13.</w:t>
            </w:r>
            <w:r>
              <w:rPr>
                <w:b/>
                <w:color w:val="231F20"/>
                <w:spacing w:val="71"/>
                <w:w w:val="150"/>
                <w:sz w:val="14"/>
              </w:rPr>
              <w:t> </w:t>
            </w:r>
            <w:r>
              <w:rPr>
                <w:color w:val="231F20"/>
                <w:w w:val="105"/>
                <w:sz w:val="14"/>
              </w:rPr>
              <w:t>Notre</w:t>
            </w:r>
            <w:r>
              <w:rPr>
                <w:color w:val="231F20"/>
                <w:spacing w:val="-10"/>
                <w:w w:val="105"/>
                <w:sz w:val="14"/>
              </w:rPr>
              <w:t> </w:t>
            </w:r>
            <w:r>
              <w:rPr>
                <w:color w:val="231F20"/>
                <w:w w:val="105"/>
                <w:sz w:val="14"/>
              </w:rPr>
              <w:t>entreprise</w:t>
            </w:r>
            <w:r>
              <w:rPr>
                <w:color w:val="231F20"/>
                <w:spacing w:val="-10"/>
                <w:w w:val="105"/>
                <w:sz w:val="14"/>
              </w:rPr>
              <w:t> </w:t>
            </w:r>
            <w:r>
              <w:rPr>
                <w:color w:val="231F20"/>
                <w:w w:val="105"/>
                <w:sz w:val="14"/>
              </w:rPr>
              <w:t>est</w:t>
            </w:r>
            <w:r>
              <w:rPr>
                <w:color w:val="231F20"/>
                <w:spacing w:val="-11"/>
                <w:w w:val="105"/>
                <w:sz w:val="14"/>
              </w:rPr>
              <w:t> </w:t>
            </w:r>
            <w:r>
              <w:rPr>
                <w:color w:val="231F20"/>
                <w:w w:val="105"/>
                <w:sz w:val="14"/>
              </w:rPr>
              <w:t>incapable</w:t>
            </w:r>
            <w:r>
              <w:rPr>
                <w:color w:val="231F20"/>
                <w:spacing w:val="-10"/>
                <w:w w:val="105"/>
                <w:sz w:val="14"/>
              </w:rPr>
              <w:t> </w:t>
            </w:r>
            <w:r>
              <w:rPr>
                <w:color w:val="231F20"/>
                <w:w w:val="105"/>
                <w:sz w:val="14"/>
              </w:rPr>
              <w:t>de</w:t>
            </w:r>
            <w:r>
              <w:rPr>
                <w:color w:val="231F20"/>
                <w:spacing w:val="-10"/>
                <w:w w:val="105"/>
                <w:sz w:val="14"/>
              </w:rPr>
              <w:t> </w:t>
            </w:r>
            <w:r>
              <w:rPr>
                <w:color w:val="231F20"/>
                <w:w w:val="105"/>
                <w:sz w:val="14"/>
              </w:rPr>
              <w:t>tolérer</w:t>
            </w:r>
            <w:r>
              <w:rPr>
                <w:color w:val="231F20"/>
                <w:spacing w:val="-10"/>
                <w:w w:val="105"/>
                <w:sz w:val="14"/>
              </w:rPr>
              <w:t> </w:t>
            </w:r>
            <w:r>
              <w:rPr>
                <w:color w:val="231F20"/>
                <w:w w:val="105"/>
                <w:sz w:val="14"/>
              </w:rPr>
              <w:t>ou</w:t>
            </w:r>
            <w:r>
              <w:rPr>
                <w:color w:val="231F20"/>
                <w:spacing w:val="-10"/>
                <w:w w:val="105"/>
                <w:sz w:val="14"/>
              </w:rPr>
              <w:t> </w:t>
            </w:r>
            <w:r>
              <w:rPr>
                <w:color w:val="231F20"/>
                <w:w w:val="105"/>
                <w:sz w:val="14"/>
              </w:rPr>
              <w:t>d’affronter</w:t>
            </w:r>
            <w:r>
              <w:rPr>
                <w:color w:val="231F20"/>
                <w:spacing w:val="-11"/>
                <w:w w:val="105"/>
                <w:sz w:val="14"/>
              </w:rPr>
              <w:t> </w:t>
            </w:r>
            <w:r>
              <w:rPr>
                <w:color w:val="231F20"/>
                <w:w w:val="105"/>
                <w:sz w:val="14"/>
              </w:rPr>
              <w:t>un</w:t>
            </w:r>
            <w:r>
              <w:rPr>
                <w:color w:val="231F20"/>
                <w:spacing w:val="-10"/>
                <w:w w:val="105"/>
                <w:sz w:val="14"/>
              </w:rPr>
              <w:t> </w:t>
            </w:r>
            <w:r>
              <w:rPr>
                <w:color w:val="231F20"/>
                <w:spacing w:val="-2"/>
                <w:w w:val="105"/>
                <w:sz w:val="14"/>
              </w:rPr>
              <w:t>échec.</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right="334" w:hanging="381"/>
              <w:rPr>
                <w:sz w:val="14"/>
              </w:rPr>
            </w:pPr>
            <w:r>
              <w:rPr>
                <w:b/>
                <w:color w:val="231F20"/>
                <w:sz w:val="14"/>
              </w:rPr>
              <w:t>14.</w:t>
            </w:r>
            <w:r>
              <w:rPr>
                <w:b/>
                <w:color w:val="231F20"/>
                <w:spacing w:val="80"/>
                <w:w w:val="150"/>
                <w:sz w:val="14"/>
              </w:rPr>
              <w:t> </w:t>
            </w:r>
            <w:r>
              <w:rPr>
                <w:color w:val="231F20"/>
                <w:sz w:val="14"/>
              </w:rPr>
              <w:t>Si</w:t>
            </w:r>
            <w:r>
              <w:rPr>
                <w:color w:val="231F20"/>
                <w:spacing w:val="-7"/>
                <w:sz w:val="14"/>
              </w:rPr>
              <w:t> </w:t>
            </w:r>
            <w:r>
              <w:rPr>
                <w:color w:val="231F20"/>
                <w:sz w:val="14"/>
              </w:rPr>
              <w:t>nous</w:t>
            </w:r>
            <w:r>
              <w:rPr>
                <w:color w:val="231F20"/>
                <w:spacing w:val="-7"/>
                <w:sz w:val="14"/>
              </w:rPr>
              <w:t> </w:t>
            </w:r>
            <w:r>
              <w:rPr>
                <w:color w:val="231F20"/>
                <w:sz w:val="14"/>
              </w:rPr>
              <w:t>n’avons</w:t>
            </w:r>
            <w:r>
              <w:rPr>
                <w:color w:val="231F20"/>
                <w:spacing w:val="-7"/>
                <w:sz w:val="14"/>
              </w:rPr>
              <w:t> </w:t>
            </w:r>
            <w:r>
              <w:rPr>
                <w:color w:val="231F20"/>
                <w:sz w:val="14"/>
              </w:rPr>
              <w:t>pas</w:t>
            </w:r>
            <w:r>
              <w:rPr>
                <w:color w:val="231F20"/>
                <w:spacing w:val="-7"/>
                <w:sz w:val="14"/>
              </w:rPr>
              <w:t> </w:t>
            </w:r>
            <w:r>
              <w:rPr>
                <w:color w:val="231F20"/>
                <w:sz w:val="14"/>
              </w:rPr>
              <w:t>d’aussi</w:t>
            </w:r>
            <w:r>
              <w:rPr>
                <w:color w:val="231F20"/>
                <w:spacing w:val="-7"/>
                <w:sz w:val="14"/>
              </w:rPr>
              <w:t> </w:t>
            </w:r>
            <w:r>
              <w:rPr>
                <w:color w:val="231F20"/>
                <w:sz w:val="14"/>
              </w:rPr>
              <w:t>bons</w:t>
            </w:r>
            <w:r>
              <w:rPr>
                <w:color w:val="231F20"/>
                <w:spacing w:val="-7"/>
                <w:sz w:val="14"/>
              </w:rPr>
              <w:t> </w:t>
            </w:r>
            <w:r>
              <w:rPr>
                <w:color w:val="231F20"/>
                <w:sz w:val="14"/>
              </w:rPr>
              <w:t>résultats</w:t>
            </w:r>
            <w:r>
              <w:rPr>
                <w:color w:val="231F20"/>
                <w:spacing w:val="-7"/>
                <w:sz w:val="14"/>
              </w:rPr>
              <w:t> </w:t>
            </w:r>
            <w:r>
              <w:rPr>
                <w:color w:val="231F20"/>
                <w:sz w:val="14"/>
              </w:rPr>
              <w:t>que</w:t>
            </w:r>
            <w:r>
              <w:rPr>
                <w:color w:val="231F20"/>
                <w:spacing w:val="-7"/>
                <w:sz w:val="14"/>
              </w:rPr>
              <w:t> </w:t>
            </w:r>
            <w:r>
              <w:rPr>
                <w:color w:val="231F20"/>
                <w:sz w:val="14"/>
              </w:rPr>
              <w:t>les</w:t>
            </w:r>
            <w:r>
              <w:rPr>
                <w:color w:val="231F20"/>
                <w:spacing w:val="-7"/>
                <w:sz w:val="14"/>
              </w:rPr>
              <w:t> </w:t>
            </w:r>
            <w:r>
              <w:rPr>
                <w:color w:val="231F20"/>
                <w:sz w:val="14"/>
              </w:rPr>
              <w:t>autres</w:t>
            </w:r>
            <w:r>
              <w:rPr>
                <w:color w:val="231F20"/>
                <w:spacing w:val="-7"/>
                <w:sz w:val="14"/>
              </w:rPr>
              <w:t> </w:t>
            </w:r>
            <w:r>
              <w:rPr>
                <w:color w:val="231F20"/>
                <w:sz w:val="14"/>
              </w:rPr>
              <w:t>entreprises,</w:t>
            </w:r>
            <w:r>
              <w:rPr>
                <w:color w:val="231F20"/>
                <w:spacing w:val="40"/>
                <w:sz w:val="14"/>
              </w:rPr>
              <w:t> </w:t>
            </w:r>
            <w:r>
              <w:rPr>
                <w:color w:val="231F20"/>
                <w:sz w:val="14"/>
              </w:rPr>
              <w:t>cela veut dire que nous sommes inférieurs.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hanging="381"/>
              <w:rPr>
                <w:sz w:val="14"/>
              </w:rPr>
            </w:pPr>
            <w:r>
              <w:rPr>
                <w:b/>
                <w:color w:val="231F20"/>
                <w:sz w:val="14"/>
              </w:rPr>
              <w:t>15.</w:t>
            </w:r>
            <w:r>
              <w:rPr>
                <w:b/>
                <w:color w:val="231F20"/>
                <w:spacing w:val="80"/>
                <w:w w:val="150"/>
                <w:sz w:val="14"/>
              </w:rPr>
              <w:t> </w:t>
            </w:r>
            <w:r>
              <w:rPr>
                <w:color w:val="231F20"/>
                <w:sz w:val="14"/>
              </w:rPr>
              <w:t>Beaucoup</w:t>
            </w:r>
            <w:r>
              <w:rPr>
                <w:color w:val="231F20"/>
                <w:spacing w:val="-4"/>
                <w:sz w:val="14"/>
              </w:rPr>
              <w:t> </w:t>
            </w:r>
            <w:r>
              <w:rPr>
                <w:color w:val="231F20"/>
                <w:sz w:val="14"/>
              </w:rPr>
              <w:t>de</w:t>
            </w:r>
            <w:r>
              <w:rPr>
                <w:color w:val="231F20"/>
                <w:spacing w:val="-4"/>
                <w:sz w:val="14"/>
              </w:rPr>
              <w:t> </w:t>
            </w:r>
            <w:r>
              <w:rPr>
                <w:color w:val="231F20"/>
                <w:sz w:val="14"/>
              </w:rPr>
              <w:t>gens</w:t>
            </w:r>
            <w:r>
              <w:rPr>
                <w:color w:val="231F20"/>
                <w:spacing w:val="-4"/>
                <w:sz w:val="14"/>
              </w:rPr>
              <w:t> </w:t>
            </w:r>
            <w:r>
              <w:rPr>
                <w:color w:val="231F20"/>
                <w:sz w:val="14"/>
              </w:rPr>
              <w:t>de</w:t>
            </w:r>
            <w:r>
              <w:rPr>
                <w:color w:val="231F20"/>
                <w:spacing w:val="-4"/>
                <w:sz w:val="14"/>
              </w:rPr>
              <w:t> </w:t>
            </w:r>
            <w:r>
              <w:rPr>
                <w:color w:val="231F20"/>
                <w:sz w:val="14"/>
              </w:rPr>
              <w:t>notre</w:t>
            </w:r>
            <w:r>
              <w:rPr>
                <w:color w:val="231F20"/>
                <w:spacing w:val="-4"/>
                <w:sz w:val="14"/>
              </w:rPr>
              <w:t> </w:t>
            </w:r>
            <w:r>
              <w:rPr>
                <w:color w:val="231F20"/>
                <w:sz w:val="14"/>
              </w:rPr>
              <w:t>entreprise</w:t>
            </w:r>
            <w:r>
              <w:rPr>
                <w:color w:val="231F20"/>
                <w:spacing w:val="-4"/>
                <w:sz w:val="14"/>
              </w:rPr>
              <w:t> </w:t>
            </w:r>
            <w:r>
              <w:rPr>
                <w:color w:val="231F20"/>
                <w:sz w:val="14"/>
              </w:rPr>
              <w:t>pensent</w:t>
            </w:r>
            <w:r>
              <w:rPr>
                <w:color w:val="231F20"/>
                <w:spacing w:val="-4"/>
                <w:sz w:val="14"/>
              </w:rPr>
              <w:t> </w:t>
            </w:r>
            <w:r>
              <w:rPr>
                <w:color w:val="231F20"/>
                <w:sz w:val="14"/>
              </w:rPr>
              <w:t>que</w:t>
            </w:r>
            <w:r>
              <w:rPr>
                <w:color w:val="231F20"/>
                <w:spacing w:val="-4"/>
                <w:sz w:val="14"/>
              </w:rPr>
              <w:t> </w:t>
            </w:r>
            <w:r>
              <w:rPr>
                <w:color w:val="231F20"/>
                <w:sz w:val="14"/>
              </w:rPr>
              <w:t>si</w:t>
            </w:r>
            <w:r>
              <w:rPr>
                <w:color w:val="231F20"/>
                <w:spacing w:val="-4"/>
                <w:sz w:val="14"/>
              </w:rPr>
              <w:t> </w:t>
            </w:r>
            <w:r>
              <w:rPr>
                <w:color w:val="231F20"/>
                <w:sz w:val="14"/>
              </w:rPr>
              <w:t>elle</w:t>
            </w:r>
            <w:r>
              <w:rPr>
                <w:color w:val="231F20"/>
                <w:spacing w:val="-4"/>
                <w:sz w:val="14"/>
              </w:rPr>
              <w:t> </w:t>
            </w:r>
            <w:r>
              <w:rPr>
                <w:color w:val="231F20"/>
                <w:sz w:val="14"/>
              </w:rPr>
              <w:t>disparaissait</w:t>
            </w:r>
            <w:r>
              <w:rPr>
                <w:color w:val="231F20"/>
                <w:spacing w:val="40"/>
                <w:sz w:val="14"/>
              </w:rPr>
              <w:t> </w:t>
            </w:r>
            <w:r>
              <w:rPr>
                <w:color w:val="231F20"/>
                <w:sz w:val="14"/>
              </w:rPr>
              <w:t>aujourd’hui de la surface de la Terre, personne ne s’en apercevrait.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hanging="381"/>
              <w:rPr>
                <w:sz w:val="14"/>
              </w:rPr>
            </w:pPr>
            <w:r>
              <w:rPr>
                <w:b/>
                <w:color w:val="231F20"/>
                <w:sz w:val="14"/>
              </w:rPr>
              <w:t>16.</w:t>
            </w:r>
            <w:r>
              <w:rPr>
                <w:b/>
                <w:color w:val="231F20"/>
                <w:spacing w:val="80"/>
                <w:w w:val="150"/>
                <w:sz w:val="14"/>
              </w:rPr>
              <w:t> </w:t>
            </w:r>
            <w:r>
              <w:rPr>
                <w:color w:val="231F20"/>
                <w:sz w:val="14"/>
              </w:rPr>
              <w:t>Une</w:t>
            </w:r>
            <w:r>
              <w:rPr>
                <w:color w:val="231F20"/>
                <w:spacing w:val="-5"/>
                <w:sz w:val="14"/>
              </w:rPr>
              <w:t> </w:t>
            </w:r>
            <w:r>
              <w:rPr>
                <w:color w:val="231F20"/>
                <w:sz w:val="14"/>
              </w:rPr>
              <w:t>croyance</w:t>
            </w:r>
            <w:r>
              <w:rPr>
                <w:color w:val="231F20"/>
                <w:spacing w:val="-5"/>
                <w:sz w:val="14"/>
              </w:rPr>
              <w:t> </w:t>
            </w:r>
            <w:r>
              <w:rPr>
                <w:color w:val="231F20"/>
                <w:sz w:val="14"/>
              </w:rPr>
              <w:t>qui</w:t>
            </w:r>
            <w:r>
              <w:rPr>
                <w:color w:val="231F20"/>
                <w:spacing w:val="-5"/>
                <w:sz w:val="14"/>
              </w:rPr>
              <w:t> </w:t>
            </w:r>
            <w:r>
              <w:rPr>
                <w:color w:val="231F20"/>
                <w:sz w:val="14"/>
              </w:rPr>
              <w:t>a</w:t>
            </w:r>
            <w:r>
              <w:rPr>
                <w:color w:val="231F20"/>
                <w:spacing w:val="-5"/>
                <w:sz w:val="14"/>
              </w:rPr>
              <w:t> </w:t>
            </w:r>
            <w:r>
              <w:rPr>
                <w:color w:val="231F20"/>
                <w:sz w:val="14"/>
              </w:rPr>
              <w:t>cours</w:t>
            </w:r>
            <w:r>
              <w:rPr>
                <w:color w:val="231F20"/>
                <w:spacing w:val="-5"/>
                <w:sz w:val="14"/>
              </w:rPr>
              <w:t> </w:t>
            </w:r>
            <w:r>
              <w:rPr>
                <w:color w:val="231F20"/>
                <w:sz w:val="14"/>
              </w:rPr>
              <w:t>dans</w:t>
            </w:r>
            <w:r>
              <w:rPr>
                <w:color w:val="231F20"/>
                <w:spacing w:val="-5"/>
                <w:sz w:val="14"/>
              </w:rPr>
              <w:t> </w:t>
            </w:r>
            <w:r>
              <w:rPr>
                <w:color w:val="231F20"/>
                <w:sz w:val="14"/>
              </w:rPr>
              <w:t>l’entreprise</w:t>
            </w:r>
            <w:r>
              <w:rPr>
                <w:color w:val="231F20"/>
                <w:spacing w:val="-5"/>
                <w:sz w:val="14"/>
              </w:rPr>
              <w:t> </w:t>
            </w:r>
            <w:r>
              <w:rPr>
                <w:color w:val="231F20"/>
                <w:sz w:val="14"/>
              </w:rPr>
              <w:t>est</w:t>
            </w:r>
            <w:r>
              <w:rPr>
                <w:color w:val="231F20"/>
                <w:spacing w:val="-5"/>
                <w:sz w:val="14"/>
              </w:rPr>
              <w:t> </w:t>
            </w:r>
            <w:r>
              <w:rPr>
                <w:color w:val="231F20"/>
                <w:sz w:val="14"/>
              </w:rPr>
              <w:t>qu’un</w:t>
            </w:r>
            <w:r>
              <w:rPr>
                <w:color w:val="231F20"/>
                <w:spacing w:val="-5"/>
                <w:sz w:val="14"/>
              </w:rPr>
              <w:t> </w:t>
            </w:r>
            <w:r>
              <w:rPr>
                <w:color w:val="231F20"/>
                <w:sz w:val="14"/>
              </w:rPr>
              <w:t>échec</w:t>
            </w:r>
            <w:r>
              <w:rPr>
                <w:color w:val="231F20"/>
                <w:spacing w:val="-5"/>
                <w:sz w:val="14"/>
              </w:rPr>
              <w:t> </w:t>
            </w:r>
            <w:r>
              <w:rPr>
                <w:color w:val="231F20"/>
                <w:sz w:val="14"/>
              </w:rPr>
              <w:t>partiel</w:t>
            </w:r>
            <w:r>
              <w:rPr>
                <w:color w:val="231F20"/>
                <w:spacing w:val="-5"/>
                <w:sz w:val="14"/>
              </w:rPr>
              <w:t> </w:t>
            </w:r>
            <w:r>
              <w:rPr>
                <w:color w:val="231F20"/>
                <w:sz w:val="14"/>
              </w:rPr>
              <w:t>est</w:t>
            </w:r>
            <w:r>
              <w:rPr>
                <w:color w:val="231F20"/>
                <w:spacing w:val="-5"/>
                <w:sz w:val="14"/>
              </w:rPr>
              <w:t> </w:t>
            </w:r>
            <w:r>
              <w:rPr>
                <w:color w:val="231F20"/>
                <w:sz w:val="14"/>
              </w:rPr>
              <w:t>aussi</w:t>
            </w:r>
            <w:r>
              <w:rPr>
                <w:color w:val="231F20"/>
                <w:w w:val="105"/>
                <w:sz w:val="14"/>
              </w:rPr>
              <w:t> grave qu’un échec complet.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5"/>
              <w:ind w:left="475" w:hanging="381"/>
              <w:rPr>
                <w:sz w:val="14"/>
              </w:rPr>
            </w:pPr>
            <w:r>
              <w:rPr>
                <w:b/>
                <w:color w:val="231F20"/>
                <w:sz w:val="14"/>
              </w:rPr>
              <w:t>17.</w:t>
            </w:r>
            <w:r>
              <w:rPr>
                <w:b/>
                <w:color w:val="231F20"/>
                <w:spacing w:val="80"/>
                <w:w w:val="150"/>
                <w:sz w:val="14"/>
              </w:rPr>
              <w:t> </w:t>
            </w:r>
            <w:r>
              <w:rPr>
                <w:color w:val="231F20"/>
                <w:sz w:val="14"/>
              </w:rPr>
              <w:t>Une</w:t>
            </w:r>
            <w:r>
              <w:rPr>
                <w:color w:val="231F20"/>
                <w:spacing w:val="-5"/>
                <w:sz w:val="14"/>
              </w:rPr>
              <w:t> </w:t>
            </w:r>
            <w:r>
              <w:rPr>
                <w:color w:val="231F20"/>
                <w:sz w:val="14"/>
              </w:rPr>
              <w:t>croyance</w:t>
            </w:r>
            <w:r>
              <w:rPr>
                <w:color w:val="231F20"/>
                <w:spacing w:val="-5"/>
                <w:sz w:val="14"/>
              </w:rPr>
              <w:t> </w:t>
            </w:r>
            <w:r>
              <w:rPr>
                <w:color w:val="231F20"/>
                <w:sz w:val="14"/>
              </w:rPr>
              <w:t>qui</w:t>
            </w:r>
            <w:r>
              <w:rPr>
                <w:color w:val="231F20"/>
                <w:spacing w:val="-5"/>
                <w:sz w:val="14"/>
              </w:rPr>
              <w:t> </w:t>
            </w:r>
            <w:r>
              <w:rPr>
                <w:color w:val="231F20"/>
                <w:sz w:val="14"/>
              </w:rPr>
              <w:t>a</w:t>
            </w:r>
            <w:r>
              <w:rPr>
                <w:color w:val="231F20"/>
                <w:spacing w:val="-5"/>
                <w:sz w:val="14"/>
              </w:rPr>
              <w:t> </w:t>
            </w:r>
            <w:r>
              <w:rPr>
                <w:color w:val="231F20"/>
                <w:sz w:val="14"/>
              </w:rPr>
              <w:t>cours</w:t>
            </w:r>
            <w:r>
              <w:rPr>
                <w:color w:val="231F20"/>
                <w:spacing w:val="-5"/>
                <w:sz w:val="14"/>
              </w:rPr>
              <w:t> </w:t>
            </w:r>
            <w:r>
              <w:rPr>
                <w:color w:val="231F20"/>
                <w:sz w:val="14"/>
              </w:rPr>
              <w:t>dans</w:t>
            </w:r>
            <w:r>
              <w:rPr>
                <w:color w:val="231F20"/>
                <w:spacing w:val="-5"/>
                <w:sz w:val="14"/>
              </w:rPr>
              <w:t> </w:t>
            </w:r>
            <w:r>
              <w:rPr>
                <w:color w:val="231F20"/>
                <w:sz w:val="14"/>
              </w:rPr>
              <w:t>l’entreprise</w:t>
            </w:r>
            <w:r>
              <w:rPr>
                <w:color w:val="231F20"/>
                <w:spacing w:val="-5"/>
                <w:sz w:val="14"/>
              </w:rPr>
              <w:t> </w:t>
            </w:r>
            <w:r>
              <w:rPr>
                <w:color w:val="231F20"/>
                <w:sz w:val="14"/>
              </w:rPr>
              <w:t>est</w:t>
            </w:r>
            <w:r>
              <w:rPr>
                <w:color w:val="231F20"/>
                <w:spacing w:val="-5"/>
                <w:sz w:val="14"/>
              </w:rPr>
              <w:t> </w:t>
            </w:r>
            <w:r>
              <w:rPr>
                <w:color w:val="231F20"/>
                <w:sz w:val="14"/>
              </w:rPr>
              <w:t>que</w:t>
            </w:r>
            <w:r>
              <w:rPr>
                <w:color w:val="231F20"/>
                <w:spacing w:val="-5"/>
                <w:sz w:val="14"/>
              </w:rPr>
              <w:t> </w:t>
            </w:r>
            <w:r>
              <w:rPr>
                <w:color w:val="231F20"/>
                <w:sz w:val="14"/>
              </w:rPr>
              <w:t>si</w:t>
            </w:r>
            <w:r>
              <w:rPr>
                <w:color w:val="231F20"/>
                <w:spacing w:val="-5"/>
                <w:sz w:val="14"/>
              </w:rPr>
              <w:t> </w:t>
            </w:r>
            <w:r>
              <w:rPr>
                <w:color w:val="231F20"/>
                <w:sz w:val="14"/>
              </w:rPr>
              <w:t>une</w:t>
            </w:r>
            <w:r>
              <w:rPr>
                <w:color w:val="231F20"/>
                <w:spacing w:val="-5"/>
                <w:sz w:val="14"/>
              </w:rPr>
              <w:t> </w:t>
            </w:r>
            <w:r>
              <w:rPr>
                <w:color w:val="231F20"/>
                <w:sz w:val="14"/>
              </w:rPr>
              <w:t>personne</w:t>
            </w:r>
            <w:r>
              <w:rPr>
                <w:color w:val="231F20"/>
                <w:spacing w:val="-5"/>
                <w:sz w:val="14"/>
              </w:rPr>
              <w:t> </w:t>
            </w:r>
            <w:r>
              <w:rPr>
                <w:color w:val="231F20"/>
                <w:sz w:val="14"/>
              </w:rPr>
              <w:t>commet</w:t>
            </w:r>
            <w:r>
              <w:rPr>
                <w:color w:val="231F20"/>
                <w:spacing w:val="40"/>
                <w:sz w:val="14"/>
              </w:rPr>
              <w:t> </w:t>
            </w:r>
            <w:r>
              <w:rPr>
                <w:color w:val="231F20"/>
                <w:sz w:val="14"/>
              </w:rPr>
              <w:t>une erreur, elle perdra l’estime et le respect de ses collègues.</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60" w:type="dxa"/>
            <w:tcBorders>
              <w:left w:val="nil"/>
              <w:right w:val="single" w:sz="4" w:space="0" w:color="FFFFFF"/>
            </w:tcBorders>
          </w:tcPr>
          <w:p>
            <w:pPr>
              <w:pStyle w:val="TableParagraph"/>
              <w:spacing w:before="56"/>
              <w:ind w:left="94"/>
              <w:rPr>
                <w:sz w:val="14"/>
              </w:rPr>
            </w:pPr>
            <w:r>
              <w:rPr>
                <w:b/>
                <w:color w:val="231F20"/>
                <w:sz w:val="14"/>
              </w:rPr>
              <w:t>18.</w:t>
            </w:r>
            <w:r>
              <w:rPr>
                <w:b/>
                <w:color w:val="231F20"/>
                <w:spacing w:val="54"/>
                <w:sz w:val="14"/>
              </w:rPr>
              <w:t>  </w:t>
            </w:r>
            <w:r>
              <w:rPr>
                <w:color w:val="231F20"/>
                <w:sz w:val="14"/>
              </w:rPr>
              <w:t>Nous</w:t>
            </w:r>
            <w:r>
              <w:rPr>
                <w:color w:val="231F20"/>
                <w:spacing w:val="2"/>
                <w:sz w:val="14"/>
              </w:rPr>
              <w:t> </w:t>
            </w:r>
            <w:r>
              <w:rPr>
                <w:color w:val="231F20"/>
                <w:sz w:val="14"/>
              </w:rPr>
              <w:t>n’obtiendrons</w:t>
            </w:r>
            <w:r>
              <w:rPr>
                <w:color w:val="231F20"/>
                <w:spacing w:val="2"/>
                <w:sz w:val="14"/>
              </w:rPr>
              <w:t> </w:t>
            </w:r>
            <w:r>
              <w:rPr>
                <w:color w:val="231F20"/>
                <w:sz w:val="14"/>
              </w:rPr>
              <w:t>jamais</w:t>
            </w:r>
            <w:r>
              <w:rPr>
                <w:color w:val="231F20"/>
                <w:spacing w:val="2"/>
                <w:sz w:val="14"/>
              </w:rPr>
              <w:t> </w:t>
            </w:r>
            <w:r>
              <w:rPr>
                <w:color w:val="231F20"/>
                <w:sz w:val="14"/>
              </w:rPr>
              <w:t>de</w:t>
            </w:r>
            <w:r>
              <w:rPr>
                <w:color w:val="231F20"/>
                <w:spacing w:val="2"/>
                <w:sz w:val="14"/>
              </w:rPr>
              <w:t> </w:t>
            </w:r>
            <w:r>
              <w:rPr>
                <w:color w:val="231F20"/>
                <w:sz w:val="14"/>
              </w:rPr>
              <w:t>résultat</w:t>
            </w:r>
            <w:r>
              <w:rPr>
                <w:color w:val="231F20"/>
                <w:spacing w:val="2"/>
                <w:sz w:val="14"/>
              </w:rPr>
              <w:t> </w:t>
            </w:r>
            <w:r>
              <w:rPr>
                <w:color w:val="231F20"/>
                <w:sz w:val="14"/>
              </w:rPr>
              <w:t>significatif</w:t>
            </w:r>
            <w:r>
              <w:rPr>
                <w:color w:val="231F20"/>
                <w:spacing w:val="2"/>
                <w:sz w:val="14"/>
              </w:rPr>
              <w:t> </w:t>
            </w:r>
            <w:r>
              <w:rPr>
                <w:color w:val="231F20"/>
                <w:sz w:val="14"/>
              </w:rPr>
              <w:t>dans</w:t>
            </w:r>
            <w:r>
              <w:rPr>
                <w:color w:val="231F20"/>
                <w:spacing w:val="2"/>
                <w:sz w:val="14"/>
              </w:rPr>
              <w:t> </w:t>
            </w:r>
            <w:r>
              <w:rPr>
                <w:color w:val="231F20"/>
                <w:sz w:val="14"/>
              </w:rPr>
              <w:t>notre</w:t>
            </w:r>
            <w:r>
              <w:rPr>
                <w:color w:val="231F20"/>
                <w:spacing w:val="2"/>
                <w:sz w:val="14"/>
              </w:rPr>
              <w:t> </w:t>
            </w:r>
            <w:r>
              <w:rPr>
                <w:color w:val="231F20"/>
                <w:spacing w:val="-2"/>
                <w:sz w:val="14"/>
              </w:rPr>
              <w:t>industrie.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6"/>
              <w:ind w:left="475" w:hanging="381"/>
              <w:rPr>
                <w:sz w:val="14"/>
              </w:rPr>
            </w:pPr>
            <w:r>
              <w:rPr>
                <w:b/>
                <w:color w:val="231F20"/>
                <w:sz w:val="14"/>
              </w:rPr>
              <w:t>19.</w:t>
            </w:r>
            <w:r>
              <w:rPr>
                <w:b/>
                <w:color w:val="231F20"/>
                <w:spacing w:val="80"/>
                <w:w w:val="150"/>
                <w:sz w:val="14"/>
              </w:rPr>
              <w:t> </w:t>
            </w:r>
            <w:r>
              <w:rPr>
                <w:color w:val="231F20"/>
                <w:sz w:val="14"/>
              </w:rPr>
              <w:t>Nous</w:t>
            </w:r>
            <w:r>
              <w:rPr>
                <w:color w:val="231F20"/>
                <w:spacing w:val="-4"/>
                <w:sz w:val="14"/>
              </w:rPr>
              <w:t> </w:t>
            </w:r>
            <w:r>
              <w:rPr>
                <w:color w:val="231F20"/>
                <w:sz w:val="14"/>
              </w:rPr>
              <w:t>avons</w:t>
            </w:r>
            <w:r>
              <w:rPr>
                <w:color w:val="231F20"/>
                <w:spacing w:val="-4"/>
                <w:sz w:val="14"/>
              </w:rPr>
              <w:t> </w:t>
            </w:r>
            <w:r>
              <w:rPr>
                <w:color w:val="231F20"/>
                <w:sz w:val="14"/>
              </w:rPr>
              <w:t>ce</w:t>
            </w:r>
            <w:r>
              <w:rPr>
                <w:color w:val="231F20"/>
                <w:spacing w:val="-4"/>
                <w:sz w:val="14"/>
              </w:rPr>
              <w:t> </w:t>
            </w:r>
            <w:r>
              <w:rPr>
                <w:color w:val="231F20"/>
                <w:sz w:val="14"/>
              </w:rPr>
              <w:t>qu’il</w:t>
            </w:r>
            <w:r>
              <w:rPr>
                <w:color w:val="231F20"/>
                <w:spacing w:val="-4"/>
                <w:sz w:val="14"/>
              </w:rPr>
              <w:t> </w:t>
            </w:r>
            <w:r>
              <w:rPr>
                <w:color w:val="231F20"/>
                <w:sz w:val="14"/>
              </w:rPr>
              <w:t>faut</w:t>
            </w:r>
            <w:r>
              <w:rPr>
                <w:color w:val="231F20"/>
                <w:spacing w:val="-4"/>
                <w:sz w:val="14"/>
              </w:rPr>
              <w:t> </w:t>
            </w:r>
            <w:r>
              <w:rPr>
                <w:color w:val="231F20"/>
                <w:sz w:val="14"/>
              </w:rPr>
              <w:t>pour</w:t>
            </w:r>
            <w:r>
              <w:rPr>
                <w:color w:val="231F20"/>
                <w:spacing w:val="-4"/>
                <w:sz w:val="14"/>
              </w:rPr>
              <w:t> </w:t>
            </w:r>
            <w:r>
              <w:rPr>
                <w:color w:val="231F20"/>
                <w:sz w:val="14"/>
              </w:rPr>
              <w:t>réussir,</w:t>
            </w:r>
            <w:r>
              <w:rPr>
                <w:color w:val="231F20"/>
                <w:spacing w:val="-4"/>
                <w:sz w:val="14"/>
              </w:rPr>
              <w:t> </w:t>
            </w:r>
            <w:r>
              <w:rPr>
                <w:color w:val="231F20"/>
                <w:sz w:val="14"/>
              </w:rPr>
              <w:t>mais</w:t>
            </w:r>
            <w:r>
              <w:rPr>
                <w:color w:val="231F20"/>
                <w:spacing w:val="-4"/>
                <w:sz w:val="14"/>
              </w:rPr>
              <w:t> </w:t>
            </w:r>
            <w:r>
              <w:rPr>
                <w:color w:val="231F20"/>
                <w:sz w:val="14"/>
              </w:rPr>
              <w:t>nous</w:t>
            </w:r>
            <w:r>
              <w:rPr>
                <w:color w:val="231F20"/>
                <w:spacing w:val="-4"/>
                <w:sz w:val="14"/>
              </w:rPr>
              <w:t> </w:t>
            </w:r>
            <w:r>
              <w:rPr>
                <w:color w:val="231F20"/>
                <w:sz w:val="14"/>
              </w:rPr>
              <w:t>avons</w:t>
            </w:r>
            <w:r>
              <w:rPr>
                <w:color w:val="231F20"/>
                <w:spacing w:val="-4"/>
                <w:sz w:val="14"/>
              </w:rPr>
              <w:t> </w:t>
            </w:r>
            <w:r>
              <w:rPr>
                <w:color w:val="231F20"/>
                <w:sz w:val="14"/>
              </w:rPr>
              <w:t>tout</w:t>
            </w:r>
            <w:r>
              <w:rPr>
                <w:color w:val="231F20"/>
                <w:spacing w:val="-4"/>
                <w:sz w:val="14"/>
              </w:rPr>
              <w:t> </w:t>
            </w:r>
            <w:r>
              <w:rPr>
                <w:color w:val="231F20"/>
                <w:sz w:val="14"/>
              </w:rPr>
              <w:t>de</w:t>
            </w:r>
            <w:r>
              <w:rPr>
                <w:color w:val="231F20"/>
                <w:spacing w:val="-4"/>
                <w:sz w:val="14"/>
              </w:rPr>
              <w:t> </w:t>
            </w:r>
            <w:r>
              <w:rPr>
                <w:color w:val="231F20"/>
                <w:sz w:val="14"/>
              </w:rPr>
              <w:t>même</w:t>
            </w:r>
            <w:r>
              <w:rPr>
                <w:color w:val="231F20"/>
                <w:spacing w:val="-4"/>
                <w:sz w:val="14"/>
              </w:rPr>
              <w:t> </w:t>
            </w:r>
            <w:r>
              <w:rPr>
                <w:color w:val="231F20"/>
                <w:sz w:val="14"/>
              </w:rPr>
              <w:t>besoin</w:t>
            </w:r>
            <w:r>
              <w:rPr>
                <w:color w:val="231F20"/>
                <w:spacing w:val="40"/>
                <w:sz w:val="14"/>
              </w:rPr>
              <w:t> </w:t>
            </w:r>
            <w:r>
              <w:rPr>
                <w:color w:val="231F20"/>
                <w:sz w:val="14"/>
              </w:rPr>
              <w:t>d’une aide de l’extérieur.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60" w:type="dxa"/>
            <w:tcBorders>
              <w:left w:val="nil"/>
              <w:right w:val="single" w:sz="4" w:space="0" w:color="FFFFFF"/>
            </w:tcBorders>
          </w:tcPr>
          <w:p>
            <w:pPr>
              <w:pStyle w:val="TableParagraph"/>
              <w:spacing w:before="56"/>
              <w:ind w:left="94"/>
              <w:rPr>
                <w:sz w:val="14"/>
              </w:rPr>
            </w:pPr>
            <w:r>
              <w:rPr>
                <w:b/>
                <w:color w:val="231F20"/>
                <w:sz w:val="14"/>
              </w:rPr>
              <w:t>20.</w:t>
            </w:r>
            <w:r>
              <w:rPr>
                <w:b/>
                <w:color w:val="231F20"/>
                <w:spacing w:val="45"/>
                <w:sz w:val="14"/>
              </w:rPr>
              <w:t>  </w:t>
            </w:r>
            <w:r>
              <w:rPr>
                <w:color w:val="231F20"/>
                <w:sz w:val="14"/>
              </w:rPr>
              <w:t>Nous</w:t>
            </w:r>
            <w:r>
              <w:rPr>
                <w:color w:val="231F20"/>
                <w:spacing w:val="-1"/>
                <w:sz w:val="14"/>
              </w:rPr>
              <w:t> </w:t>
            </w:r>
            <w:r>
              <w:rPr>
                <w:color w:val="231F20"/>
                <w:sz w:val="14"/>
              </w:rPr>
              <w:t>pensons</w:t>
            </w:r>
            <w:r>
              <w:rPr>
                <w:color w:val="231F20"/>
                <w:spacing w:val="-2"/>
                <w:sz w:val="14"/>
              </w:rPr>
              <w:t> </w:t>
            </w:r>
            <w:r>
              <w:rPr>
                <w:color w:val="231F20"/>
                <w:sz w:val="14"/>
              </w:rPr>
              <w:t>que</w:t>
            </w:r>
            <w:r>
              <w:rPr>
                <w:color w:val="231F20"/>
                <w:spacing w:val="-2"/>
                <w:sz w:val="14"/>
              </w:rPr>
              <w:t> </w:t>
            </w:r>
            <w:r>
              <w:rPr>
                <w:color w:val="231F20"/>
                <w:sz w:val="14"/>
              </w:rPr>
              <w:t>notre</w:t>
            </w:r>
            <w:r>
              <w:rPr>
                <w:color w:val="231F20"/>
                <w:spacing w:val="-2"/>
                <w:sz w:val="14"/>
              </w:rPr>
              <w:t> </w:t>
            </w:r>
            <w:r>
              <w:rPr>
                <w:color w:val="231F20"/>
                <w:sz w:val="14"/>
              </w:rPr>
              <w:t>entreprise</w:t>
            </w:r>
            <w:r>
              <w:rPr>
                <w:color w:val="231F20"/>
                <w:spacing w:val="-2"/>
                <w:sz w:val="14"/>
              </w:rPr>
              <w:t> </w:t>
            </w:r>
            <w:r>
              <w:rPr>
                <w:color w:val="231F20"/>
                <w:sz w:val="14"/>
              </w:rPr>
              <w:t>est</w:t>
            </w:r>
            <w:r>
              <w:rPr>
                <w:color w:val="231F20"/>
                <w:spacing w:val="-1"/>
                <w:sz w:val="14"/>
              </w:rPr>
              <w:t> </w:t>
            </w:r>
            <w:r>
              <w:rPr>
                <w:color w:val="231F20"/>
                <w:sz w:val="14"/>
              </w:rPr>
              <w:t>une</w:t>
            </w:r>
            <w:r>
              <w:rPr>
                <w:color w:val="231F20"/>
                <w:spacing w:val="-2"/>
                <w:sz w:val="14"/>
              </w:rPr>
              <w:t> </w:t>
            </w:r>
            <w:r>
              <w:rPr>
                <w:color w:val="231F20"/>
                <w:sz w:val="14"/>
              </w:rPr>
              <w:t>réussite</w:t>
            </w:r>
            <w:r>
              <w:rPr>
                <w:color w:val="231F20"/>
                <w:spacing w:val="-2"/>
                <w:sz w:val="14"/>
              </w:rPr>
              <w:t> totale.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60" w:type="dxa"/>
            <w:tcBorders>
              <w:left w:val="nil"/>
              <w:right w:val="single" w:sz="4" w:space="0" w:color="FFFFFF"/>
            </w:tcBorders>
          </w:tcPr>
          <w:p>
            <w:pPr>
              <w:pStyle w:val="TableParagraph"/>
              <w:spacing w:before="56"/>
              <w:ind w:left="94"/>
              <w:rPr>
                <w:sz w:val="14"/>
              </w:rPr>
            </w:pPr>
            <w:r>
              <w:rPr>
                <w:b/>
                <w:color w:val="231F20"/>
                <w:sz w:val="14"/>
              </w:rPr>
              <w:t>21.</w:t>
            </w:r>
            <w:r>
              <w:rPr>
                <w:b/>
                <w:color w:val="231F20"/>
                <w:spacing w:val="45"/>
                <w:sz w:val="14"/>
              </w:rPr>
              <w:t>  </w:t>
            </w:r>
            <w:r>
              <w:rPr>
                <w:color w:val="231F20"/>
                <w:sz w:val="14"/>
              </w:rPr>
              <w:t>Notre</w:t>
            </w:r>
            <w:r>
              <w:rPr>
                <w:color w:val="231F20"/>
                <w:spacing w:val="-2"/>
                <w:sz w:val="14"/>
              </w:rPr>
              <w:t> </w:t>
            </w:r>
            <w:r>
              <w:rPr>
                <w:color w:val="231F20"/>
                <w:sz w:val="14"/>
              </w:rPr>
              <w:t>entreprise</w:t>
            </w:r>
            <w:r>
              <w:rPr>
                <w:color w:val="231F20"/>
                <w:spacing w:val="-2"/>
                <w:sz w:val="14"/>
              </w:rPr>
              <w:t> </w:t>
            </w:r>
            <w:r>
              <w:rPr>
                <w:color w:val="231F20"/>
                <w:sz w:val="14"/>
              </w:rPr>
              <w:t>n’aura</w:t>
            </w:r>
            <w:r>
              <w:rPr>
                <w:color w:val="231F20"/>
                <w:spacing w:val="-2"/>
                <w:sz w:val="14"/>
              </w:rPr>
              <w:t> </w:t>
            </w:r>
            <w:r>
              <w:rPr>
                <w:color w:val="231F20"/>
                <w:sz w:val="14"/>
              </w:rPr>
              <w:t>jamais</w:t>
            </w:r>
            <w:r>
              <w:rPr>
                <w:color w:val="231F20"/>
                <w:spacing w:val="-2"/>
                <w:sz w:val="14"/>
              </w:rPr>
              <w:t> </w:t>
            </w:r>
            <w:r>
              <w:rPr>
                <w:color w:val="231F20"/>
                <w:sz w:val="14"/>
              </w:rPr>
              <w:t>les</w:t>
            </w:r>
            <w:r>
              <w:rPr>
                <w:color w:val="231F20"/>
                <w:spacing w:val="-2"/>
                <w:sz w:val="14"/>
              </w:rPr>
              <w:t> </w:t>
            </w:r>
            <w:r>
              <w:rPr>
                <w:color w:val="231F20"/>
                <w:sz w:val="14"/>
              </w:rPr>
              <w:t>capacités</w:t>
            </w:r>
            <w:r>
              <w:rPr>
                <w:color w:val="231F20"/>
                <w:spacing w:val="-2"/>
                <w:sz w:val="14"/>
              </w:rPr>
              <w:t> </w:t>
            </w:r>
            <w:r>
              <w:rPr>
                <w:color w:val="231F20"/>
                <w:sz w:val="14"/>
              </w:rPr>
              <w:t>qu’elle</w:t>
            </w:r>
            <w:r>
              <w:rPr>
                <w:color w:val="231F20"/>
                <w:spacing w:val="-2"/>
                <w:sz w:val="14"/>
              </w:rPr>
              <w:t> </w:t>
            </w:r>
            <w:r>
              <w:rPr>
                <w:color w:val="231F20"/>
                <w:sz w:val="14"/>
              </w:rPr>
              <w:t>devrait</w:t>
            </w:r>
            <w:r>
              <w:rPr>
                <w:color w:val="231F20"/>
                <w:spacing w:val="-2"/>
                <w:sz w:val="14"/>
              </w:rPr>
              <w:t> avoir.</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6"/>
              <w:ind w:left="475" w:right="334" w:hanging="381"/>
              <w:rPr>
                <w:sz w:val="14"/>
              </w:rPr>
            </w:pPr>
            <w:r>
              <w:rPr>
                <w:b/>
                <w:color w:val="231F20"/>
                <w:sz w:val="14"/>
              </w:rPr>
              <w:t>22.</w:t>
            </w:r>
            <w:r>
              <w:rPr>
                <w:b/>
                <w:color w:val="231F20"/>
                <w:spacing w:val="80"/>
                <w:w w:val="150"/>
                <w:sz w:val="14"/>
              </w:rPr>
              <w:t> </w:t>
            </w:r>
            <w:r>
              <w:rPr>
                <w:color w:val="231F20"/>
                <w:sz w:val="14"/>
              </w:rPr>
              <w:t>On entend dire que l’arrogance est une attitude prévalente chez les</w:t>
            </w:r>
            <w:r>
              <w:rPr>
                <w:color w:val="231F20"/>
                <w:spacing w:val="40"/>
                <w:sz w:val="14"/>
              </w:rPr>
              <w:t> </w:t>
            </w:r>
            <w:r>
              <w:rPr>
                <w:color w:val="231F20"/>
                <w:sz w:val="14"/>
              </w:rPr>
              <w:t>dirigeants de notre entreprise.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60" w:type="dxa"/>
            <w:tcBorders>
              <w:left w:val="nil"/>
              <w:right w:val="single" w:sz="4" w:space="0" w:color="FFFFFF"/>
            </w:tcBorders>
          </w:tcPr>
          <w:p>
            <w:pPr>
              <w:pStyle w:val="TableParagraph"/>
              <w:spacing w:line="268" w:lineRule="auto" w:before="56"/>
              <w:ind w:left="475" w:right="77" w:hanging="381"/>
              <w:rPr>
                <w:sz w:val="14"/>
              </w:rPr>
            </w:pPr>
            <w:r>
              <w:rPr>
                <w:b/>
                <w:color w:val="231F20"/>
                <w:sz w:val="14"/>
              </w:rPr>
              <w:t>23.</w:t>
            </w:r>
            <w:r>
              <w:rPr>
                <w:b/>
                <w:color w:val="231F20"/>
                <w:spacing w:val="80"/>
                <w:w w:val="150"/>
                <w:sz w:val="14"/>
              </w:rPr>
              <w:t> </w:t>
            </w:r>
            <w:r>
              <w:rPr>
                <w:color w:val="231F20"/>
                <w:sz w:val="14"/>
              </w:rPr>
              <w:t>D’après ce qu’on dit généralement dans notre entreprise, nos résultats </w:t>
            </w:r>
            <w:r>
              <w:rPr>
                <w:color w:val="231F20"/>
                <w:sz w:val="14"/>
              </w:rPr>
              <w:t>sont</w:t>
            </w:r>
            <w:r>
              <w:rPr>
                <w:color w:val="231F20"/>
                <w:spacing w:val="40"/>
                <w:sz w:val="14"/>
              </w:rPr>
              <w:t> </w:t>
            </w:r>
            <w:r>
              <w:rPr>
                <w:color w:val="231F20"/>
                <w:sz w:val="14"/>
              </w:rPr>
              <w:t>si positifs que nous devons garder la même recette.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60" w:type="dxa"/>
            <w:tcBorders>
              <w:left w:val="nil"/>
              <w:right w:val="single" w:sz="4" w:space="0" w:color="FFFFFF"/>
            </w:tcBorders>
          </w:tcPr>
          <w:p>
            <w:pPr>
              <w:pStyle w:val="TableParagraph"/>
              <w:spacing w:before="56"/>
              <w:ind w:left="94"/>
              <w:rPr>
                <w:sz w:val="14"/>
              </w:rPr>
            </w:pPr>
            <w:r>
              <w:rPr>
                <w:b/>
                <w:color w:val="231F20"/>
                <w:sz w:val="14"/>
              </w:rPr>
              <w:t>24.</w:t>
            </w:r>
            <w:r>
              <w:rPr>
                <w:b/>
                <w:color w:val="231F20"/>
                <w:spacing w:val="51"/>
                <w:sz w:val="14"/>
              </w:rPr>
              <w:t>  </w:t>
            </w:r>
            <w:r>
              <w:rPr>
                <w:color w:val="231F20"/>
                <w:sz w:val="14"/>
              </w:rPr>
              <w:t>L’humilité est</w:t>
            </w:r>
            <w:r>
              <w:rPr>
                <w:color w:val="231F20"/>
                <w:spacing w:val="1"/>
                <w:sz w:val="14"/>
              </w:rPr>
              <w:t> </w:t>
            </w:r>
            <w:r>
              <w:rPr>
                <w:color w:val="231F20"/>
                <w:sz w:val="14"/>
              </w:rPr>
              <w:t>une valeur</w:t>
            </w:r>
            <w:r>
              <w:rPr>
                <w:color w:val="231F20"/>
                <w:spacing w:val="1"/>
                <w:sz w:val="14"/>
              </w:rPr>
              <w:t> </w:t>
            </w:r>
            <w:r>
              <w:rPr>
                <w:color w:val="231F20"/>
                <w:sz w:val="14"/>
              </w:rPr>
              <w:t>chère</w:t>
            </w:r>
            <w:r>
              <w:rPr>
                <w:color w:val="231F20"/>
                <w:spacing w:val="1"/>
                <w:sz w:val="14"/>
              </w:rPr>
              <w:t> </w:t>
            </w:r>
            <w:r>
              <w:rPr>
                <w:color w:val="231F20"/>
                <w:sz w:val="14"/>
              </w:rPr>
              <w:t>à notre</w:t>
            </w:r>
            <w:r>
              <w:rPr>
                <w:color w:val="231F20"/>
                <w:spacing w:val="1"/>
                <w:sz w:val="14"/>
              </w:rPr>
              <w:t> </w:t>
            </w:r>
            <w:r>
              <w:rPr>
                <w:color w:val="231F20"/>
                <w:spacing w:val="-2"/>
                <w:sz w:val="14"/>
              </w:rPr>
              <w:t>entreprise.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4" w:hRule="atLeast"/>
        </w:trPr>
        <w:tc>
          <w:tcPr>
            <w:tcW w:w="5260" w:type="dxa"/>
            <w:tcBorders>
              <w:left w:val="nil"/>
              <w:bottom w:val="single" w:sz="2" w:space="0" w:color="231F20"/>
              <w:right w:val="single" w:sz="4" w:space="0" w:color="FFFFFF"/>
            </w:tcBorders>
          </w:tcPr>
          <w:p>
            <w:pPr>
              <w:pStyle w:val="TableParagraph"/>
              <w:spacing w:line="268" w:lineRule="auto" w:before="56"/>
              <w:ind w:left="475" w:hanging="381"/>
              <w:rPr>
                <w:sz w:val="14"/>
              </w:rPr>
            </w:pPr>
            <w:r>
              <w:rPr>
                <w:b/>
                <w:color w:val="231F20"/>
                <w:sz w:val="14"/>
              </w:rPr>
              <w:t>25.</w:t>
            </w:r>
            <w:r>
              <w:rPr>
                <w:b/>
                <w:color w:val="231F20"/>
                <w:spacing w:val="80"/>
                <w:w w:val="150"/>
                <w:sz w:val="14"/>
              </w:rPr>
              <w:t> </w:t>
            </w:r>
            <w:r>
              <w:rPr>
                <w:color w:val="231F20"/>
                <w:sz w:val="14"/>
              </w:rPr>
              <w:t>L’opinion</w:t>
            </w:r>
            <w:r>
              <w:rPr>
                <w:color w:val="231F20"/>
                <w:spacing w:val="-3"/>
                <w:sz w:val="14"/>
              </w:rPr>
              <w:t> </w:t>
            </w:r>
            <w:r>
              <w:rPr>
                <w:color w:val="231F20"/>
                <w:sz w:val="14"/>
              </w:rPr>
              <w:t>générale</w:t>
            </w:r>
            <w:r>
              <w:rPr>
                <w:color w:val="231F20"/>
                <w:spacing w:val="-3"/>
                <w:sz w:val="14"/>
              </w:rPr>
              <w:t> </w:t>
            </w:r>
            <w:r>
              <w:rPr>
                <w:color w:val="231F20"/>
                <w:sz w:val="14"/>
              </w:rPr>
              <w:t>qui</w:t>
            </w:r>
            <w:r>
              <w:rPr>
                <w:color w:val="231F20"/>
                <w:spacing w:val="-3"/>
                <w:sz w:val="14"/>
              </w:rPr>
              <w:t> </w:t>
            </w:r>
            <w:r>
              <w:rPr>
                <w:color w:val="231F20"/>
                <w:sz w:val="14"/>
              </w:rPr>
              <w:t>prévaut</w:t>
            </w:r>
            <w:r>
              <w:rPr>
                <w:color w:val="231F20"/>
                <w:spacing w:val="-3"/>
                <w:sz w:val="14"/>
              </w:rPr>
              <w:t> </w:t>
            </w:r>
            <w:r>
              <w:rPr>
                <w:color w:val="231F20"/>
                <w:sz w:val="14"/>
              </w:rPr>
              <w:t>dans</w:t>
            </w:r>
            <w:r>
              <w:rPr>
                <w:color w:val="231F20"/>
                <w:spacing w:val="-3"/>
                <w:sz w:val="14"/>
              </w:rPr>
              <w:t> </w:t>
            </w:r>
            <w:r>
              <w:rPr>
                <w:color w:val="231F20"/>
                <w:sz w:val="14"/>
              </w:rPr>
              <w:t>notre</w:t>
            </w:r>
            <w:r>
              <w:rPr>
                <w:color w:val="231F20"/>
                <w:spacing w:val="-3"/>
                <w:sz w:val="14"/>
              </w:rPr>
              <w:t> </w:t>
            </w:r>
            <w:r>
              <w:rPr>
                <w:color w:val="231F20"/>
                <w:sz w:val="14"/>
              </w:rPr>
              <w:t>entreprise</w:t>
            </w:r>
            <w:r>
              <w:rPr>
                <w:color w:val="231F20"/>
                <w:spacing w:val="-3"/>
                <w:sz w:val="14"/>
              </w:rPr>
              <w:t> </w:t>
            </w:r>
            <w:r>
              <w:rPr>
                <w:color w:val="231F20"/>
                <w:sz w:val="14"/>
              </w:rPr>
              <w:t>est</w:t>
            </w:r>
            <w:r>
              <w:rPr>
                <w:color w:val="231F20"/>
                <w:spacing w:val="-3"/>
                <w:sz w:val="14"/>
              </w:rPr>
              <w:t> </w:t>
            </w:r>
            <w:r>
              <w:rPr>
                <w:color w:val="231F20"/>
                <w:sz w:val="14"/>
              </w:rPr>
              <w:t>que</w:t>
            </w:r>
            <w:r>
              <w:rPr>
                <w:color w:val="231F20"/>
                <w:spacing w:val="-3"/>
                <w:sz w:val="14"/>
              </w:rPr>
              <w:t> </w:t>
            </w:r>
            <w:r>
              <w:rPr>
                <w:color w:val="231F20"/>
                <w:sz w:val="14"/>
              </w:rPr>
              <w:t>nous</w:t>
            </w:r>
            <w:r>
              <w:rPr>
                <w:color w:val="231F20"/>
                <w:spacing w:val="-3"/>
                <w:sz w:val="14"/>
              </w:rPr>
              <w:t> </w:t>
            </w:r>
            <w:r>
              <w:rPr>
                <w:color w:val="231F20"/>
                <w:sz w:val="14"/>
              </w:rPr>
              <w:t>sommes</w:t>
            </w:r>
            <w:r>
              <w:rPr>
                <w:color w:val="231F20"/>
                <w:w w:val="105"/>
                <w:sz w:val="14"/>
              </w:rPr>
              <w:t> franchement les meilleurs.</w:t>
            </w:r>
          </w:p>
        </w:tc>
        <w:tc>
          <w:tcPr>
            <w:tcW w:w="480" w:type="dxa"/>
            <w:tcBorders>
              <w:top w:val="single" w:sz="4" w:space="0" w:color="FFFFFF"/>
              <w:left w:val="single" w:sz="4" w:space="0" w:color="FFFFFF"/>
              <w:bottom w:val="single" w:sz="2" w:space="0" w:color="231F20"/>
              <w:right w:val="nil"/>
            </w:tcBorders>
            <w:shd w:val="clear" w:color="auto" w:fill="E2E3E4"/>
          </w:tcPr>
          <w:p>
            <w:pPr>
              <w:pStyle w:val="TableParagraph"/>
              <w:rPr>
                <w:rFonts w:ascii="Times New Roman"/>
                <w:sz w:val="14"/>
              </w:rPr>
            </w:pPr>
          </w:p>
        </w:tc>
      </w:tr>
    </w:tbl>
    <w:p>
      <w:pPr>
        <w:pStyle w:val="BodyText"/>
        <w:spacing w:before="2"/>
        <w:rPr>
          <w:rFonts w:ascii="Arial"/>
        </w:rPr>
      </w:pPr>
    </w:p>
    <w:p>
      <w:pPr>
        <w:pStyle w:val="Heading5"/>
        <w:spacing w:before="143"/>
        <w:jc w:val="both"/>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BodyText"/>
        <w:spacing w:line="307" w:lineRule="auto" w:before="133"/>
        <w:ind w:left="830" w:right="497"/>
        <w:jc w:val="both"/>
      </w:pPr>
      <w:r>
        <w:rPr>
          <w:b/>
          <w:color w:val="231F20"/>
          <w:w w:val="115"/>
        </w:rPr>
        <w:t>Important</w:t>
      </w:r>
      <w:r>
        <w:rPr>
          <w:b/>
          <w:color w:val="231F20"/>
          <w:spacing w:val="-13"/>
          <w:w w:val="115"/>
        </w:rPr>
        <w:t> </w:t>
      </w:r>
      <w:r>
        <w:rPr>
          <w:b/>
          <w:color w:val="231F20"/>
          <w:w w:val="115"/>
        </w:rPr>
        <w:t>: </w:t>
      </w:r>
      <w:r>
        <w:rPr>
          <w:color w:val="231F20"/>
          <w:w w:val="115"/>
        </w:rPr>
        <w:t>Commencez par inverser le score des réponses aux ques- tions 4, 7, 9, 14, 15, 16, 17, 18, 21, 24 (autrement dit, pour ces réponses,</w:t>
      </w:r>
    </w:p>
    <w:p>
      <w:pPr>
        <w:pStyle w:val="BodyText"/>
        <w:spacing w:line="307" w:lineRule="auto"/>
        <w:ind w:left="830" w:right="498"/>
        <w:jc w:val="both"/>
      </w:pPr>
      <w:r>
        <w:rPr>
          <w:color w:val="231F20"/>
          <w:w w:val="115"/>
        </w:rPr>
        <w:t>0</w:t>
      </w:r>
      <w:r>
        <w:rPr>
          <w:color w:val="231F20"/>
          <w:spacing w:val="-9"/>
          <w:w w:val="115"/>
        </w:rPr>
        <w:t> </w:t>
      </w:r>
      <w:r>
        <w:rPr>
          <w:color w:val="231F20"/>
          <w:w w:val="115"/>
        </w:rPr>
        <w:t>devient</w:t>
      </w:r>
      <w:r>
        <w:rPr>
          <w:color w:val="231F20"/>
          <w:spacing w:val="-9"/>
          <w:w w:val="115"/>
        </w:rPr>
        <w:t> </w:t>
      </w:r>
      <w:r>
        <w:rPr>
          <w:color w:val="231F20"/>
          <w:w w:val="115"/>
        </w:rPr>
        <w:t>4,</w:t>
      </w:r>
      <w:r>
        <w:rPr>
          <w:color w:val="231F20"/>
          <w:spacing w:val="-10"/>
          <w:w w:val="115"/>
        </w:rPr>
        <w:t> </w:t>
      </w:r>
      <w:r>
        <w:rPr>
          <w:color w:val="231F20"/>
          <w:w w:val="115"/>
        </w:rPr>
        <w:t>1</w:t>
      </w:r>
      <w:r>
        <w:rPr>
          <w:color w:val="231F20"/>
          <w:spacing w:val="-9"/>
          <w:w w:val="115"/>
        </w:rPr>
        <w:t> </w:t>
      </w:r>
      <w:r>
        <w:rPr>
          <w:color w:val="231F20"/>
          <w:w w:val="115"/>
        </w:rPr>
        <w:t>devient</w:t>
      </w:r>
      <w:r>
        <w:rPr>
          <w:color w:val="231F20"/>
          <w:spacing w:val="-9"/>
          <w:w w:val="115"/>
        </w:rPr>
        <w:t> </w:t>
      </w:r>
      <w:r>
        <w:rPr>
          <w:color w:val="231F20"/>
          <w:w w:val="115"/>
        </w:rPr>
        <w:t>3,</w:t>
      </w:r>
      <w:r>
        <w:rPr>
          <w:color w:val="231F20"/>
          <w:spacing w:val="-10"/>
          <w:w w:val="115"/>
        </w:rPr>
        <w:t> </w:t>
      </w:r>
      <w:r>
        <w:rPr>
          <w:color w:val="231F20"/>
          <w:w w:val="115"/>
        </w:rPr>
        <w:t>3</w:t>
      </w:r>
      <w:r>
        <w:rPr>
          <w:color w:val="231F20"/>
          <w:spacing w:val="-9"/>
          <w:w w:val="115"/>
        </w:rPr>
        <w:t> </w:t>
      </w:r>
      <w:r>
        <w:rPr>
          <w:color w:val="231F20"/>
          <w:w w:val="115"/>
        </w:rPr>
        <w:t>devient</w:t>
      </w:r>
      <w:r>
        <w:rPr>
          <w:color w:val="231F20"/>
          <w:spacing w:val="-9"/>
          <w:w w:val="115"/>
        </w:rPr>
        <w:t> </w:t>
      </w:r>
      <w:r>
        <w:rPr>
          <w:color w:val="231F20"/>
          <w:w w:val="115"/>
        </w:rPr>
        <w:t>1</w:t>
      </w:r>
      <w:r>
        <w:rPr>
          <w:color w:val="231F20"/>
          <w:spacing w:val="-10"/>
          <w:w w:val="115"/>
        </w:rPr>
        <w:t> </w:t>
      </w:r>
      <w:r>
        <w:rPr>
          <w:color w:val="231F20"/>
          <w:w w:val="115"/>
        </w:rPr>
        <w:t>et</w:t>
      </w:r>
      <w:r>
        <w:rPr>
          <w:color w:val="231F20"/>
          <w:spacing w:val="-9"/>
          <w:w w:val="115"/>
        </w:rPr>
        <w:t> </w:t>
      </w:r>
      <w:r>
        <w:rPr>
          <w:color w:val="231F20"/>
          <w:w w:val="115"/>
        </w:rPr>
        <w:t>4</w:t>
      </w:r>
      <w:r>
        <w:rPr>
          <w:color w:val="231F20"/>
          <w:spacing w:val="-9"/>
          <w:w w:val="115"/>
        </w:rPr>
        <w:t> </w:t>
      </w:r>
      <w:r>
        <w:rPr>
          <w:color w:val="231F20"/>
          <w:w w:val="115"/>
        </w:rPr>
        <w:t>devient</w:t>
      </w:r>
      <w:r>
        <w:rPr>
          <w:color w:val="231F20"/>
          <w:spacing w:val="-10"/>
          <w:w w:val="115"/>
        </w:rPr>
        <w:t> </w:t>
      </w:r>
      <w:r>
        <w:rPr>
          <w:color w:val="231F20"/>
          <w:w w:val="115"/>
        </w:rPr>
        <w:t>0).</w:t>
      </w:r>
      <w:r>
        <w:rPr>
          <w:color w:val="231F20"/>
          <w:spacing w:val="-9"/>
          <w:w w:val="115"/>
        </w:rPr>
        <w:t> </w:t>
      </w:r>
      <w:r>
        <w:rPr>
          <w:color w:val="231F20"/>
          <w:w w:val="115"/>
        </w:rPr>
        <w:t>Ensuite,</w:t>
      </w:r>
      <w:r>
        <w:rPr>
          <w:color w:val="231F20"/>
          <w:spacing w:val="-9"/>
          <w:w w:val="115"/>
        </w:rPr>
        <w:t> </w:t>
      </w:r>
      <w:r>
        <w:rPr>
          <w:color w:val="231F20"/>
          <w:w w:val="115"/>
        </w:rPr>
        <w:t>calculez</w:t>
      </w:r>
      <w:r>
        <w:rPr>
          <w:color w:val="231F20"/>
          <w:spacing w:val="-10"/>
          <w:w w:val="115"/>
        </w:rPr>
        <w:t> </w:t>
      </w:r>
      <w:r>
        <w:rPr>
          <w:color w:val="231F20"/>
          <w:w w:val="115"/>
        </w:rPr>
        <w:t>votre score</w:t>
      </w:r>
      <w:r>
        <w:rPr>
          <w:color w:val="231F20"/>
          <w:spacing w:val="-13"/>
          <w:w w:val="115"/>
        </w:rPr>
        <w:t> </w:t>
      </w:r>
      <w:r>
        <w:rPr>
          <w:color w:val="231F20"/>
          <w:w w:val="115"/>
        </w:rPr>
        <w:t>total.</w:t>
      </w:r>
    </w:p>
    <w:p>
      <w:pPr>
        <w:pStyle w:val="BodyText"/>
        <w:spacing w:line="307" w:lineRule="auto" w:before="80"/>
        <w:ind w:left="830" w:right="494"/>
        <w:jc w:val="both"/>
      </w:pPr>
      <w:r>
        <w:rPr>
          <w:i/>
          <w:color w:val="231F20"/>
          <w:w w:val="120"/>
        </w:rPr>
        <w:t>De 0 à 20 </w:t>
      </w:r>
      <w:r>
        <w:rPr>
          <w:color w:val="231F20"/>
          <w:w w:val="120"/>
        </w:rPr>
        <w:t>– Votre organisation souffre d’une faible estime de soi qui peut parfois être une source de stress, car les employés, en tant que </w:t>
      </w:r>
      <w:r>
        <w:rPr>
          <w:color w:val="231F20"/>
          <w:w w:val="115"/>
        </w:rPr>
        <w:t>membres</w:t>
      </w:r>
      <w:r>
        <w:rPr>
          <w:color w:val="231F20"/>
          <w:spacing w:val="-8"/>
          <w:w w:val="115"/>
        </w:rPr>
        <w:t> </w:t>
      </w:r>
      <w:r>
        <w:rPr>
          <w:color w:val="231F20"/>
          <w:w w:val="115"/>
        </w:rPr>
        <w:t>de</w:t>
      </w:r>
      <w:r>
        <w:rPr>
          <w:color w:val="231F20"/>
          <w:spacing w:val="-8"/>
          <w:w w:val="115"/>
        </w:rPr>
        <w:t> </w:t>
      </w:r>
      <w:r>
        <w:rPr>
          <w:color w:val="231F20"/>
          <w:w w:val="115"/>
        </w:rPr>
        <w:t>l’organisation,</w:t>
      </w:r>
      <w:r>
        <w:rPr>
          <w:color w:val="231F20"/>
          <w:spacing w:val="-8"/>
          <w:w w:val="115"/>
        </w:rPr>
        <w:t> </w:t>
      </w:r>
      <w:r>
        <w:rPr>
          <w:color w:val="231F20"/>
          <w:w w:val="115"/>
        </w:rPr>
        <w:t>ne</w:t>
      </w:r>
      <w:r>
        <w:rPr>
          <w:color w:val="231F20"/>
          <w:spacing w:val="-8"/>
          <w:w w:val="115"/>
        </w:rPr>
        <w:t> </w:t>
      </w:r>
      <w:r>
        <w:rPr>
          <w:color w:val="231F20"/>
          <w:w w:val="115"/>
        </w:rPr>
        <w:t>s’identifient</w:t>
      </w:r>
      <w:r>
        <w:rPr>
          <w:color w:val="231F20"/>
          <w:spacing w:val="-8"/>
          <w:w w:val="115"/>
        </w:rPr>
        <w:t> </w:t>
      </w:r>
      <w:r>
        <w:rPr>
          <w:color w:val="231F20"/>
          <w:w w:val="115"/>
        </w:rPr>
        <w:t>pas</w:t>
      </w:r>
      <w:r>
        <w:rPr>
          <w:color w:val="231F20"/>
          <w:spacing w:val="-8"/>
          <w:w w:val="115"/>
        </w:rPr>
        <w:t> </w:t>
      </w:r>
      <w:r>
        <w:rPr>
          <w:color w:val="231F20"/>
          <w:w w:val="115"/>
        </w:rPr>
        <w:t>à</w:t>
      </w:r>
      <w:r>
        <w:rPr>
          <w:color w:val="231F20"/>
          <w:spacing w:val="-8"/>
          <w:w w:val="115"/>
        </w:rPr>
        <w:t> </w:t>
      </w:r>
      <w:r>
        <w:rPr>
          <w:color w:val="231F20"/>
          <w:w w:val="115"/>
        </w:rPr>
        <w:t>l’entreprise</w:t>
      </w:r>
      <w:r>
        <w:rPr>
          <w:color w:val="231F20"/>
          <w:spacing w:val="-8"/>
          <w:w w:val="115"/>
        </w:rPr>
        <w:t> </w:t>
      </w:r>
      <w:r>
        <w:rPr>
          <w:color w:val="231F20"/>
          <w:w w:val="115"/>
        </w:rPr>
        <w:t>et</w:t>
      </w:r>
      <w:r>
        <w:rPr>
          <w:color w:val="231F20"/>
          <w:spacing w:val="-8"/>
          <w:w w:val="115"/>
        </w:rPr>
        <w:t> </w:t>
      </w:r>
      <w:r>
        <w:rPr>
          <w:color w:val="231F20"/>
          <w:w w:val="115"/>
        </w:rPr>
        <w:t>n’en</w:t>
      </w:r>
      <w:r>
        <w:rPr>
          <w:color w:val="231F20"/>
          <w:spacing w:val="-8"/>
          <w:w w:val="115"/>
        </w:rPr>
        <w:t> </w:t>
      </w:r>
      <w:r>
        <w:rPr>
          <w:color w:val="231F20"/>
          <w:w w:val="115"/>
        </w:rPr>
        <w:t>tirent </w:t>
      </w:r>
      <w:r>
        <w:rPr>
          <w:color w:val="231F20"/>
          <w:w w:val="120"/>
        </w:rPr>
        <w:t>pas de fierté.</w:t>
      </w:r>
    </w:p>
    <w:p>
      <w:pPr>
        <w:spacing w:after="0" w:line="307" w:lineRule="auto"/>
        <w:jc w:val="both"/>
        <w:sectPr>
          <w:footerReference w:type="default" r:id="rId283"/>
          <w:pgSz w:w="8640" w:h="12960"/>
          <w:pgMar w:footer="424" w:header="0" w:top="520" w:bottom="620" w:left="420" w:right="1140"/>
        </w:sectPr>
      </w:pPr>
    </w:p>
    <w:p>
      <w:pPr>
        <w:spacing w:before="118"/>
        <w:ind w:left="1940" w:right="0" w:firstLine="0"/>
        <w:jc w:val="left"/>
        <w:rPr>
          <w:rFonts w:ascii="Arial" w:hAnsi="Arial"/>
          <w:sz w:val="14"/>
        </w:rPr>
      </w:pPr>
      <w:r>
        <w:rPr>
          <w:rFonts w:ascii="Arial" w:hAnsi="Arial"/>
          <w:color w:val="231F20"/>
          <w:sz w:val="14"/>
        </w:rPr>
        <w:t>Chapitre</w:t>
      </w:r>
      <w:r>
        <w:rPr>
          <w:rFonts w:ascii="Arial" w:hAnsi="Arial"/>
          <w:color w:val="231F20"/>
          <w:spacing w:val="-5"/>
          <w:sz w:val="14"/>
        </w:rPr>
        <w:t> </w:t>
      </w:r>
      <w:r>
        <w:rPr>
          <w:rFonts w:ascii="Arial" w:hAnsi="Arial"/>
          <w:color w:val="231F20"/>
          <w:sz w:val="14"/>
        </w:rPr>
        <w:t>4</w:t>
      </w:r>
      <w:r>
        <w:rPr>
          <w:rFonts w:ascii="Arial" w:hAnsi="Arial"/>
          <w:color w:val="231F20"/>
          <w:spacing w:val="-5"/>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Estime</w:t>
      </w:r>
      <w:r>
        <w:rPr>
          <w:rFonts w:ascii="Arial" w:hAnsi="Arial"/>
          <w:color w:val="231F20"/>
          <w:spacing w:val="-4"/>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soi</w:t>
      </w:r>
      <w:r>
        <w:rPr>
          <w:rFonts w:ascii="Arial" w:hAnsi="Arial"/>
          <w:color w:val="231F20"/>
          <w:spacing w:val="-26"/>
          <w:sz w:val="14"/>
        </w:rPr>
        <w:t> </w:t>
      </w:r>
      <w:r>
        <w:rPr>
          <w:rFonts w:ascii="Arial" w:hAnsi="Arial"/>
          <w:color w:val="231F20"/>
          <w:sz w:val="14"/>
        </w:rPr>
        <w:t>:</w:t>
      </w:r>
      <w:r>
        <w:rPr>
          <w:rFonts w:ascii="Arial" w:hAnsi="Arial"/>
          <w:color w:val="231F20"/>
          <w:spacing w:val="-4"/>
          <w:sz w:val="14"/>
        </w:rPr>
        <w:t> </w:t>
      </w:r>
      <w:r>
        <w:rPr>
          <w:rFonts w:ascii="Arial" w:hAnsi="Arial"/>
          <w:color w:val="231F20"/>
          <w:sz w:val="14"/>
        </w:rPr>
        <w:t>pierre</w:t>
      </w:r>
      <w:r>
        <w:rPr>
          <w:rFonts w:ascii="Arial" w:hAnsi="Arial"/>
          <w:color w:val="231F20"/>
          <w:spacing w:val="-5"/>
          <w:sz w:val="14"/>
        </w:rPr>
        <w:t> </w:t>
      </w:r>
      <w:r>
        <w:rPr>
          <w:rFonts w:ascii="Arial" w:hAnsi="Arial"/>
          <w:color w:val="231F20"/>
          <w:sz w:val="14"/>
        </w:rPr>
        <w:t>angulaire</w:t>
      </w:r>
      <w:r>
        <w:rPr>
          <w:rFonts w:ascii="Arial" w:hAnsi="Arial"/>
          <w:color w:val="231F20"/>
          <w:spacing w:val="-5"/>
          <w:sz w:val="14"/>
        </w:rPr>
        <w:t> </w:t>
      </w:r>
      <w:r>
        <w:rPr>
          <w:rFonts w:ascii="Arial" w:hAnsi="Arial"/>
          <w:color w:val="231F20"/>
          <w:sz w:val="14"/>
        </w:rPr>
        <w:t>de</w:t>
      </w:r>
      <w:r>
        <w:rPr>
          <w:rFonts w:ascii="Arial" w:hAnsi="Arial"/>
          <w:color w:val="231F20"/>
          <w:spacing w:val="-4"/>
          <w:sz w:val="14"/>
        </w:rPr>
        <w:t> </w:t>
      </w:r>
      <w:r>
        <w:rPr>
          <w:rFonts w:ascii="Arial" w:hAnsi="Arial"/>
          <w:color w:val="231F20"/>
          <w:sz w:val="14"/>
        </w:rPr>
        <w:t>la</w:t>
      </w:r>
      <w:r>
        <w:rPr>
          <w:rFonts w:ascii="Arial" w:hAnsi="Arial"/>
          <w:color w:val="231F20"/>
          <w:spacing w:val="-5"/>
          <w:sz w:val="14"/>
        </w:rPr>
        <w:t> </w:t>
      </w:r>
      <w:r>
        <w:rPr>
          <w:rFonts w:ascii="Arial" w:hAnsi="Arial"/>
          <w:color w:val="231F20"/>
          <w:sz w:val="14"/>
        </w:rPr>
        <w:t>santé</w:t>
      </w:r>
      <w:r>
        <w:rPr>
          <w:rFonts w:ascii="Arial" w:hAnsi="Arial"/>
          <w:color w:val="231F20"/>
          <w:spacing w:val="-4"/>
          <w:sz w:val="14"/>
        </w:rPr>
        <w:t> </w:t>
      </w:r>
      <w:r>
        <w:rPr>
          <w:rFonts w:ascii="Arial" w:hAnsi="Arial"/>
          <w:color w:val="231F20"/>
          <w:spacing w:val="-2"/>
          <w:sz w:val="14"/>
        </w:rPr>
        <w:t>psychologique</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pPr>
      <w:r>
        <w:rPr>
          <w:i/>
          <w:color w:val="231F20"/>
          <w:w w:val="115"/>
        </w:rPr>
        <w:t>De</w:t>
      </w:r>
      <w:r>
        <w:rPr>
          <w:i/>
          <w:color w:val="231F20"/>
          <w:spacing w:val="-11"/>
          <w:w w:val="115"/>
        </w:rPr>
        <w:t> </w:t>
      </w:r>
      <w:r>
        <w:rPr>
          <w:i/>
          <w:color w:val="231F20"/>
          <w:w w:val="115"/>
        </w:rPr>
        <w:t>21</w:t>
      </w:r>
      <w:r>
        <w:rPr>
          <w:i/>
          <w:color w:val="231F20"/>
          <w:spacing w:val="-11"/>
          <w:w w:val="115"/>
        </w:rPr>
        <w:t> </w:t>
      </w:r>
      <w:r>
        <w:rPr>
          <w:i/>
          <w:color w:val="231F20"/>
          <w:w w:val="115"/>
        </w:rPr>
        <w:t>à</w:t>
      </w:r>
      <w:r>
        <w:rPr>
          <w:i/>
          <w:color w:val="231F20"/>
          <w:spacing w:val="-11"/>
          <w:w w:val="115"/>
        </w:rPr>
        <w:t> </w:t>
      </w:r>
      <w:r>
        <w:rPr>
          <w:i/>
          <w:color w:val="231F20"/>
          <w:w w:val="115"/>
        </w:rPr>
        <w:t>60</w:t>
      </w:r>
      <w:r>
        <w:rPr>
          <w:i/>
          <w:color w:val="231F20"/>
          <w:spacing w:val="-11"/>
          <w:w w:val="115"/>
        </w:rPr>
        <w:t> </w:t>
      </w:r>
      <w:r>
        <w:rPr>
          <w:color w:val="231F20"/>
          <w:w w:val="115"/>
        </w:rPr>
        <w:t>–</w:t>
      </w:r>
      <w:r>
        <w:rPr>
          <w:color w:val="231F20"/>
          <w:spacing w:val="-11"/>
          <w:w w:val="115"/>
        </w:rPr>
        <w:t> </w:t>
      </w:r>
      <w:r>
        <w:rPr>
          <w:color w:val="231F20"/>
          <w:w w:val="115"/>
        </w:rPr>
        <w:t>Votre</w:t>
      </w:r>
      <w:r>
        <w:rPr>
          <w:color w:val="231F20"/>
          <w:spacing w:val="-11"/>
          <w:w w:val="115"/>
        </w:rPr>
        <w:t> </w:t>
      </w:r>
      <w:r>
        <w:rPr>
          <w:color w:val="231F20"/>
          <w:w w:val="115"/>
        </w:rPr>
        <w:t>organisation</w:t>
      </w:r>
      <w:r>
        <w:rPr>
          <w:color w:val="231F20"/>
          <w:spacing w:val="-11"/>
          <w:w w:val="115"/>
        </w:rPr>
        <w:t> </w:t>
      </w:r>
      <w:r>
        <w:rPr>
          <w:color w:val="231F20"/>
          <w:w w:val="115"/>
        </w:rPr>
        <w:t>a</w:t>
      </w:r>
      <w:r>
        <w:rPr>
          <w:color w:val="231F20"/>
          <w:spacing w:val="-11"/>
          <w:w w:val="115"/>
        </w:rPr>
        <w:t> </w:t>
      </w:r>
      <w:r>
        <w:rPr>
          <w:color w:val="231F20"/>
          <w:w w:val="115"/>
        </w:rPr>
        <w:t>un</w:t>
      </w:r>
      <w:r>
        <w:rPr>
          <w:color w:val="231F20"/>
          <w:spacing w:val="-11"/>
          <w:w w:val="115"/>
        </w:rPr>
        <w:t> </w:t>
      </w:r>
      <w:r>
        <w:rPr>
          <w:color w:val="231F20"/>
          <w:w w:val="115"/>
        </w:rPr>
        <w:t>niveau</w:t>
      </w:r>
      <w:r>
        <w:rPr>
          <w:color w:val="231F20"/>
          <w:spacing w:val="-11"/>
          <w:w w:val="115"/>
        </w:rPr>
        <w:t> </w:t>
      </w:r>
      <w:r>
        <w:rPr>
          <w:color w:val="231F20"/>
          <w:w w:val="115"/>
        </w:rPr>
        <w:t>d’estime</w:t>
      </w:r>
      <w:r>
        <w:rPr>
          <w:color w:val="231F20"/>
          <w:spacing w:val="-11"/>
          <w:w w:val="115"/>
        </w:rPr>
        <w:t> </w:t>
      </w:r>
      <w:r>
        <w:rPr>
          <w:color w:val="231F20"/>
          <w:w w:val="115"/>
        </w:rPr>
        <w:t>de</w:t>
      </w:r>
      <w:r>
        <w:rPr>
          <w:color w:val="231F20"/>
          <w:spacing w:val="-11"/>
          <w:w w:val="115"/>
        </w:rPr>
        <w:t> </w:t>
      </w:r>
      <w:r>
        <w:rPr>
          <w:color w:val="231F20"/>
          <w:w w:val="115"/>
        </w:rPr>
        <w:t>soi</w:t>
      </w:r>
      <w:r>
        <w:rPr>
          <w:color w:val="231F20"/>
          <w:spacing w:val="-11"/>
          <w:w w:val="115"/>
        </w:rPr>
        <w:t> </w:t>
      </w:r>
      <w:r>
        <w:rPr>
          <w:color w:val="231F20"/>
          <w:w w:val="115"/>
        </w:rPr>
        <w:t>normal,</w:t>
      </w:r>
      <w:r>
        <w:rPr>
          <w:color w:val="231F20"/>
          <w:spacing w:val="-11"/>
          <w:w w:val="115"/>
        </w:rPr>
        <w:t> </w:t>
      </w:r>
      <w:r>
        <w:rPr>
          <w:color w:val="231F20"/>
          <w:w w:val="115"/>
        </w:rPr>
        <w:t>ce</w:t>
      </w:r>
      <w:r>
        <w:rPr>
          <w:color w:val="231F20"/>
          <w:spacing w:val="-11"/>
          <w:w w:val="115"/>
        </w:rPr>
        <w:t> </w:t>
      </w:r>
      <w:r>
        <w:rPr>
          <w:color w:val="231F20"/>
          <w:w w:val="115"/>
        </w:rPr>
        <w:t>qui </w:t>
      </w:r>
      <w:r>
        <w:rPr>
          <w:color w:val="231F20"/>
          <w:w w:val="120"/>
        </w:rPr>
        <w:t>est rarement une source majeure de stress.</w:t>
      </w:r>
    </w:p>
    <w:p>
      <w:pPr>
        <w:pStyle w:val="BodyText"/>
        <w:spacing w:line="307" w:lineRule="auto" w:before="80"/>
        <w:ind w:left="1220"/>
      </w:pPr>
      <w:r>
        <w:rPr>
          <w:i/>
          <w:color w:val="231F20"/>
          <w:w w:val="115"/>
        </w:rPr>
        <w:t>De</w:t>
      </w:r>
      <w:r>
        <w:rPr>
          <w:i/>
          <w:color w:val="231F20"/>
          <w:spacing w:val="-2"/>
          <w:w w:val="115"/>
        </w:rPr>
        <w:t> </w:t>
      </w:r>
      <w:r>
        <w:rPr>
          <w:i/>
          <w:color w:val="231F20"/>
          <w:w w:val="115"/>
        </w:rPr>
        <w:t>61</w:t>
      </w:r>
      <w:r>
        <w:rPr>
          <w:i/>
          <w:color w:val="231F20"/>
          <w:spacing w:val="-2"/>
          <w:w w:val="115"/>
        </w:rPr>
        <w:t> </w:t>
      </w:r>
      <w:r>
        <w:rPr>
          <w:i/>
          <w:color w:val="231F20"/>
          <w:w w:val="115"/>
        </w:rPr>
        <w:t>à</w:t>
      </w:r>
      <w:r>
        <w:rPr>
          <w:i/>
          <w:color w:val="231F20"/>
          <w:spacing w:val="-2"/>
          <w:w w:val="115"/>
        </w:rPr>
        <w:t> </w:t>
      </w:r>
      <w:r>
        <w:rPr>
          <w:i/>
          <w:color w:val="231F20"/>
          <w:w w:val="115"/>
        </w:rPr>
        <w:t>80</w:t>
      </w:r>
      <w:r>
        <w:rPr>
          <w:i/>
          <w:color w:val="231F20"/>
          <w:spacing w:val="-2"/>
          <w:w w:val="115"/>
        </w:rPr>
        <w:t> </w:t>
      </w:r>
      <w:r>
        <w:rPr>
          <w:color w:val="231F20"/>
          <w:w w:val="115"/>
        </w:rPr>
        <w:t>–</w:t>
      </w:r>
      <w:r>
        <w:rPr>
          <w:color w:val="231F20"/>
          <w:spacing w:val="-2"/>
          <w:w w:val="115"/>
        </w:rPr>
        <w:t> </w:t>
      </w:r>
      <w:r>
        <w:rPr>
          <w:color w:val="231F20"/>
          <w:w w:val="115"/>
        </w:rPr>
        <w:t>Votre</w:t>
      </w:r>
      <w:r>
        <w:rPr>
          <w:color w:val="231F20"/>
          <w:spacing w:val="-2"/>
          <w:w w:val="115"/>
        </w:rPr>
        <w:t> </w:t>
      </w:r>
      <w:r>
        <w:rPr>
          <w:color w:val="231F20"/>
          <w:w w:val="115"/>
        </w:rPr>
        <w:t>organisation</w:t>
      </w:r>
      <w:r>
        <w:rPr>
          <w:color w:val="231F20"/>
          <w:spacing w:val="-2"/>
          <w:w w:val="115"/>
        </w:rPr>
        <w:t> </w:t>
      </w:r>
      <w:r>
        <w:rPr>
          <w:color w:val="231F20"/>
          <w:w w:val="115"/>
        </w:rPr>
        <w:t>a</w:t>
      </w:r>
      <w:r>
        <w:rPr>
          <w:color w:val="231F20"/>
          <w:spacing w:val="-2"/>
          <w:w w:val="115"/>
        </w:rPr>
        <w:t> </w:t>
      </w:r>
      <w:r>
        <w:rPr>
          <w:color w:val="231F20"/>
          <w:w w:val="115"/>
        </w:rPr>
        <w:t>un</w:t>
      </w:r>
      <w:r>
        <w:rPr>
          <w:color w:val="231F20"/>
          <w:spacing w:val="-2"/>
          <w:w w:val="115"/>
        </w:rPr>
        <w:t> </w:t>
      </w:r>
      <w:r>
        <w:rPr>
          <w:color w:val="231F20"/>
          <w:w w:val="115"/>
        </w:rPr>
        <w:t>niveau</w:t>
      </w:r>
      <w:r>
        <w:rPr>
          <w:color w:val="231F20"/>
          <w:spacing w:val="-2"/>
          <w:w w:val="115"/>
        </w:rPr>
        <w:t> </w:t>
      </w:r>
      <w:r>
        <w:rPr>
          <w:color w:val="231F20"/>
          <w:w w:val="115"/>
        </w:rPr>
        <w:t>d’estime</w:t>
      </w:r>
      <w:r>
        <w:rPr>
          <w:color w:val="231F20"/>
          <w:spacing w:val="-2"/>
          <w:w w:val="115"/>
        </w:rPr>
        <w:t> </w:t>
      </w:r>
      <w:r>
        <w:rPr>
          <w:color w:val="231F20"/>
          <w:w w:val="115"/>
        </w:rPr>
        <w:t>de</w:t>
      </w:r>
      <w:r>
        <w:rPr>
          <w:color w:val="231F20"/>
          <w:spacing w:val="-2"/>
          <w:w w:val="115"/>
        </w:rPr>
        <w:t> </w:t>
      </w:r>
      <w:r>
        <w:rPr>
          <w:color w:val="231F20"/>
          <w:w w:val="115"/>
        </w:rPr>
        <w:t>soi</w:t>
      </w:r>
      <w:r>
        <w:rPr>
          <w:color w:val="231F20"/>
          <w:spacing w:val="-2"/>
          <w:w w:val="115"/>
        </w:rPr>
        <w:t> </w:t>
      </w:r>
      <w:r>
        <w:rPr>
          <w:color w:val="231F20"/>
          <w:w w:val="115"/>
        </w:rPr>
        <w:t>élevé,</w:t>
      </w:r>
      <w:r>
        <w:rPr>
          <w:color w:val="231F20"/>
          <w:spacing w:val="-2"/>
          <w:w w:val="115"/>
        </w:rPr>
        <w:t> </w:t>
      </w:r>
      <w:r>
        <w:rPr>
          <w:color w:val="231F20"/>
          <w:w w:val="115"/>
        </w:rPr>
        <w:t>ce</w:t>
      </w:r>
      <w:r>
        <w:rPr>
          <w:color w:val="231F20"/>
          <w:spacing w:val="-2"/>
          <w:w w:val="115"/>
        </w:rPr>
        <w:t> </w:t>
      </w:r>
      <w:r>
        <w:rPr>
          <w:color w:val="231F20"/>
          <w:w w:val="115"/>
        </w:rPr>
        <w:t>qui </w:t>
      </w:r>
      <w:r>
        <w:rPr>
          <w:color w:val="231F20"/>
          <w:spacing w:val="-2"/>
          <w:w w:val="120"/>
        </w:rPr>
        <w:t>est</w:t>
      </w:r>
      <w:r>
        <w:rPr>
          <w:color w:val="231F20"/>
          <w:spacing w:val="-19"/>
          <w:w w:val="120"/>
        </w:rPr>
        <w:t> </w:t>
      </w:r>
      <w:r>
        <w:rPr>
          <w:color w:val="231F20"/>
          <w:spacing w:val="-2"/>
          <w:w w:val="120"/>
        </w:rPr>
        <w:t>probablement</w:t>
      </w:r>
      <w:r>
        <w:rPr>
          <w:color w:val="231F20"/>
          <w:spacing w:val="-19"/>
          <w:w w:val="120"/>
        </w:rPr>
        <w:t> </w:t>
      </w:r>
      <w:r>
        <w:rPr>
          <w:color w:val="231F20"/>
          <w:spacing w:val="-2"/>
          <w:w w:val="120"/>
        </w:rPr>
        <w:t>une</w:t>
      </w:r>
      <w:r>
        <w:rPr>
          <w:color w:val="231F20"/>
          <w:spacing w:val="-19"/>
          <w:w w:val="120"/>
        </w:rPr>
        <w:t> </w:t>
      </w:r>
      <w:r>
        <w:rPr>
          <w:color w:val="231F20"/>
          <w:spacing w:val="-2"/>
          <w:w w:val="120"/>
        </w:rPr>
        <w:t>source</w:t>
      </w:r>
      <w:r>
        <w:rPr>
          <w:color w:val="231F20"/>
          <w:spacing w:val="-18"/>
          <w:w w:val="120"/>
        </w:rPr>
        <w:t> </w:t>
      </w:r>
      <w:r>
        <w:rPr>
          <w:color w:val="231F20"/>
          <w:spacing w:val="-2"/>
          <w:w w:val="120"/>
        </w:rPr>
        <w:t>de</w:t>
      </w:r>
      <w:r>
        <w:rPr>
          <w:color w:val="231F20"/>
          <w:spacing w:val="-19"/>
          <w:w w:val="120"/>
        </w:rPr>
        <w:t> </w:t>
      </w:r>
      <w:r>
        <w:rPr>
          <w:color w:val="231F20"/>
          <w:spacing w:val="-2"/>
          <w:w w:val="120"/>
        </w:rPr>
        <w:t>satisfaction</w:t>
      </w:r>
      <w:r>
        <w:rPr>
          <w:color w:val="231F20"/>
          <w:spacing w:val="-19"/>
          <w:w w:val="120"/>
        </w:rPr>
        <w:t> </w:t>
      </w:r>
      <w:r>
        <w:rPr>
          <w:color w:val="231F20"/>
          <w:spacing w:val="-2"/>
          <w:w w:val="120"/>
        </w:rPr>
        <w:t>pour</w:t>
      </w:r>
      <w:r>
        <w:rPr>
          <w:color w:val="231F20"/>
          <w:spacing w:val="-18"/>
          <w:w w:val="120"/>
        </w:rPr>
        <w:t> </w:t>
      </w:r>
      <w:r>
        <w:rPr>
          <w:color w:val="231F20"/>
          <w:spacing w:val="-2"/>
          <w:w w:val="120"/>
        </w:rPr>
        <w:t>la</w:t>
      </w:r>
      <w:r>
        <w:rPr>
          <w:color w:val="231F20"/>
          <w:spacing w:val="-19"/>
          <w:w w:val="120"/>
        </w:rPr>
        <w:t> </w:t>
      </w:r>
      <w:r>
        <w:rPr>
          <w:color w:val="231F20"/>
          <w:spacing w:val="-2"/>
          <w:w w:val="120"/>
        </w:rPr>
        <w:t>plupart</w:t>
      </w:r>
      <w:r>
        <w:rPr>
          <w:color w:val="231F20"/>
          <w:spacing w:val="-19"/>
          <w:w w:val="120"/>
        </w:rPr>
        <w:t> </w:t>
      </w:r>
      <w:r>
        <w:rPr>
          <w:color w:val="231F20"/>
          <w:spacing w:val="-2"/>
          <w:w w:val="120"/>
        </w:rPr>
        <w:t>des</w:t>
      </w:r>
      <w:r>
        <w:rPr>
          <w:color w:val="231F20"/>
          <w:spacing w:val="-18"/>
          <w:w w:val="120"/>
        </w:rPr>
        <w:t> </w:t>
      </w:r>
      <w:r>
        <w:rPr>
          <w:color w:val="231F20"/>
          <w:spacing w:val="-2"/>
          <w:w w:val="120"/>
        </w:rPr>
        <w:t>employés.</w:t>
      </w:r>
    </w:p>
    <w:p>
      <w:pPr>
        <w:pStyle w:val="BodyText"/>
        <w:spacing w:line="307" w:lineRule="auto" w:before="79"/>
        <w:ind w:left="1220"/>
      </w:pPr>
      <w:r>
        <w:rPr>
          <w:i/>
          <w:color w:val="231F20"/>
          <w:spacing w:val="-2"/>
          <w:w w:val="120"/>
        </w:rPr>
        <w:t>81</w:t>
      </w:r>
      <w:r>
        <w:rPr>
          <w:i/>
          <w:color w:val="231F20"/>
          <w:spacing w:val="-8"/>
          <w:w w:val="120"/>
        </w:rPr>
        <w:t> </w:t>
      </w:r>
      <w:r>
        <w:rPr>
          <w:i/>
          <w:color w:val="231F20"/>
          <w:spacing w:val="-2"/>
          <w:w w:val="120"/>
        </w:rPr>
        <w:t>ou</w:t>
      </w:r>
      <w:r>
        <w:rPr>
          <w:i/>
          <w:color w:val="231F20"/>
          <w:spacing w:val="-8"/>
          <w:w w:val="120"/>
        </w:rPr>
        <w:t> </w:t>
      </w:r>
      <w:r>
        <w:rPr>
          <w:i/>
          <w:color w:val="231F20"/>
          <w:spacing w:val="-2"/>
          <w:w w:val="120"/>
        </w:rPr>
        <w:t>plus</w:t>
      </w:r>
      <w:r>
        <w:rPr>
          <w:i/>
          <w:color w:val="231F20"/>
          <w:spacing w:val="-8"/>
          <w:w w:val="120"/>
        </w:rPr>
        <w:t> </w:t>
      </w:r>
      <w:r>
        <w:rPr>
          <w:color w:val="231F20"/>
          <w:spacing w:val="-2"/>
          <w:w w:val="120"/>
        </w:rPr>
        <w:t>–</w:t>
      </w:r>
      <w:r>
        <w:rPr>
          <w:color w:val="231F20"/>
          <w:spacing w:val="-8"/>
          <w:w w:val="120"/>
        </w:rPr>
        <w:t> </w:t>
      </w:r>
      <w:r>
        <w:rPr>
          <w:color w:val="231F20"/>
          <w:spacing w:val="-2"/>
          <w:w w:val="120"/>
        </w:rPr>
        <w:t>Votre</w:t>
      </w:r>
      <w:r>
        <w:rPr>
          <w:color w:val="231F20"/>
          <w:spacing w:val="-8"/>
          <w:w w:val="120"/>
        </w:rPr>
        <w:t> </w:t>
      </w:r>
      <w:r>
        <w:rPr>
          <w:color w:val="231F20"/>
          <w:spacing w:val="-2"/>
          <w:w w:val="120"/>
        </w:rPr>
        <w:t>organisation</w:t>
      </w:r>
      <w:r>
        <w:rPr>
          <w:color w:val="231F20"/>
          <w:spacing w:val="-8"/>
          <w:w w:val="120"/>
        </w:rPr>
        <w:t> </w:t>
      </w:r>
      <w:r>
        <w:rPr>
          <w:color w:val="231F20"/>
          <w:spacing w:val="-2"/>
          <w:w w:val="120"/>
        </w:rPr>
        <w:t>est</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limite</w:t>
      </w:r>
      <w:r>
        <w:rPr>
          <w:color w:val="231F20"/>
          <w:spacing w:val="-8"/>
          <w:w w:val="120"/>
        </w:rPr>
        <w:t> </w:t>
      </w:r>
      <w:r>
        <w:rPr>
          <w:color w:val="231F20"/>
          <w:spacing w:val="-2"/>
          <w:w w:val="120"/>
        </w:rPr>
        <w:t>de</w:t>
      </w:r>
      <w:r>
        <w:rPr>
          <w:color w:val="231F20"/>
          <w:spacing w:val="-8"/>
          <w:w w:val="120"/>
        </w:rPr>
        <w:t> </w:t>
      </w:r>
      <w:r>
        <w:rPr>
          <w:color w:val="231F20"/>
          <w:spacing w:val="-2"/>
          <w:w w:val="120"/>
        </w:rPr>
        <w:t>l’arrogance,</w:t>
      </w:r>
      <w:r>
        <w:rPr>
          <w:color w:val="231F20"/>
          <w:spacing w:val="-8"/>
          <w:w w:val="120"/>
        </w:rPr>
        <w:t> </w:t>
      </w:r>
      <w:r>
        <w:rPr>
          <w:color w:val="231F20"/>
          <w:spacing w:val="-2"/>
          <w:w w:val="120"/>
        </w:rPr>
        <w:t>ce</w:t>
      </w:r>
      <w:r>
        <w:rPr>
          <w:color w:val="231F20"/>
          <w:spacing w:val="-8"/>
          <w:w w:val="120"/>
        </w:rPr>
        <w:t> </w:t>
      </w:r>
      <w:r>
        <w:rPr>
          <w:color w:val="231F20"/>
          <w:spacing w:val="-2"/>
          <w:w w:val="120"/>
        </w:rPr>
        <w:t>qui</w:t>
      </w:r>
      <w:r>
        <w:rPr>
          <w:color w:val="231F20"/>
          <w:spacing w:val="-8"/>
          <w:w w:val="120"/>
        </w:rPr>
        <w:t> </w:t>
      </w:r>
      <w:r>
        <w:rPr>
          <w:color w:val="231F20"/>
          <w:spacing w:val="-2"/>
          <w:w w:val="120"/>
        </w:rPr>
        <w:t>peut </w:t>
      </w:r>
      <w:r>
        <w:rPr>
          <w:color w:val="231F20"/>
          <w:w w:val="120"/>
        </w:rPr>
        <w:t>occasionner divers dysfonctionnements humains ou administratifs.</w:t>
      </w:r>
    </w:p>
    <w:p>
      <w:pPr>
        <w:spacing w:after="0" w:line="307" w:lineRule="auto"/>
        <w:sectPr>
          <w:footerReference w:type="default" r:id="rId284"/>
          <w:pgSz w:w="8640" w:h="12960"/>
          <w:pgMar w:footer="424" w:header="0" w:top="500" w:bottom="620" w:left="420" w:right="1140"/>
        </w:sectPr>
      </w:pPr>
    </w:p>
    <w:p>
      <w:pPr>
        <w:pStyle w:val="BodyText"/>
        <w:spacing w:before="4"/>
      </w:pPr>
    </w:p>
    <w:p>
      <w:pPr>
        <w:spacing w:after="0"/>
        <w:sectPr>
          <w:footerReference w:type="default" r:id="rId285"/>
          <w:pgSz w:w="8640" w:h="12960"/>
          <w:pgMar w:footer="0" w:header="0" w:top="1220" w:bottom="280" w:left="420" w:right="1140"/>
        </w:sectPr>
      </w:pPr>
    </w:p>
    <w:p>
      <w:pPr>
        <w:pStyle w:val="BodyText"/>
        <w:rPr>
          <w:sz w:val="18"/>
        </w:rPr>
      </w:pPr>
    </w:p>
    <w:p>
      <w:pPr>
        <w:pStyle w:val="Heading3"/>
        <w:rPr>
          <w:i/>
        </w:rPr>
      </w:pPr>
      <w:bookmarkStart w:name="Chapitre 5 /" w:id="169"/>
      <w:bookmarkEnd w:id="169"/>
      <w:r>
        <w:rPr/>
      </w:r>
      <w:bookmarkStart w:name="Stratégies de gestion du stress : de l’i" w:id="170"/>
      <w:bookmarkEnd w:id="170"/>
      <w:r>
        <w:rPr/>
      </w:r>
      <w:bookmarkStart w:name=" 5.1 / Gérer le stress pour mieux perfor" w:id="171"/>
      <w:bookmarkEnd w:id="171"/>
      <w:r>
        <w:rPr/>
      </w:r>
      <w:bookmarkStart w:name="_bookmark75" w:id="172"/>
      <w:bookmarkEnd w:id="172"/>
      <w:r>
        <w:rPr/>
      </w:r>
      <w:r>
        <w:rPr>
          <w:color w:val="231F20"/>
          <w:spacing w:val="12"/>
        </w:rPr>
        <w:t>Chapitre</w:t>
      </w:r>
      <w:r>
        <w:rPr>
          <w:color w:val="231F20"/>
          <w:spacing w:val="66"/>
        </w:rPr>
        <w:t> </w:t>
      </w:r>
      <w:r>
        <w:rPr>
          <w:color w:val="231F20"/>
        </w:rPr>
        <w:t>5</w:t>
      </w:r>
      <w:r>
        <w:rPr>
          <w:color w:val="231F20"/>
          <w:spacing w:val="46"/>
        </w:rPr>
        <w:t> </w:t>
      </w:r>
      <w:r>
        <w:rPr>
          <w:i/>
          <w:color w:val="231F20"/>
          <w:spacing w:val="-10"/>
        </w:rPr>
        <w:t>/</w:t>
      </w:r>
    </w:p>
    <w:p>
      <w:pPr>
        <w:pStyle w:val="BodyText"/>
        <w:rPr>
          <w:rFonts w:ascii="Arial"/>
          <w:i/>
          <w:sz w:val="26"/>
        </w:rPr>
      </w:pPr>
    </w:p>
    <w:p>
      <w:pPr>
        <w:pStyle w:val="BodyText"/>
        <w:spacing w:before="3"/>
        <w:rPr>
          <w:rFonts w:ascii="Arial"/>
          <w:i/>
          <w:sz w:val="31"/>
        </w:rPr>
      </w:pPr>
    </w:p>
    <w:p>
      <w:pPr>
        <w:pStyle w:val="Heading1"/>
        <w:spacing w:line="237" w:lineRule="auto"/>
        <w:ind w:right="698"/>
        <w:jc w:val="center"/>
      </w:pPr>
      <w:r>
        <w:rPr>
          <w:color w:val="231F20"/>
          <w:spacing w:val="-2"/>
          <w:w w:val="95"/>
        </w:rPr>
        <w:t>Stratégies</w:t>
      </w:r>
      <w:r>
        <w:rPr>
          <w:color w:val="231F20"/>
          <w:spacing w:val="-37"/>
          <w:w w:val="95"/>
        </w:rPr>
        <w:t> </w:t>
      </w:r>
      <w:r>
        <w:rPr>
          <w:color w:val="231F20"/>
          <w:spacing w:val="-2"/>
          <w:w w:val="95"/>
        </w:rPr>
        <w:t>de</w:t>
      </w:r>
      <w:r>
        <w:rPr>
          <w:color w:val="231F20"/>
          <w:spacing w:val="-36"/>
          <w:w w:val="95"/>
        </w:rPr>
        <w:t> </w:t>
      </w:r>
      <w:r>
        <w:rPr>
          <w:color w:val="231F20"/>
          <w:spacing w:val="-2"/>
          <w:w w:val="95"/>
        </w:rPr>
        <w:t>gestion</w:t>
      </w:r>
      <w:r>
        <w:rPr>
          <w:color w:val="231F20"/>
          <w:spacing w:val="-37"/>
          <w:w w:val="95"/>
        </w:rPr>
        <w:t> </w:t>
      </w:r>
      <w:r>
        <w:rPr>
          <w:color w:val="231F20"/>
          <w:spacing w:val="-2"/>
          <w:w w:val="95"/>
        </w:rPr>
        <w:t>du</w:t>
      </w:r>
      <w:r>
        <w:rPr>
          <w:color w:val="231F20"/>
          <w:spacing w:val="-36"/>
          <w:w w:val="95"/>
        </w:rPr>
        <w:t> </w:t>
      </w:r>
      <w:r>
        <w:rPr>
          <w:color w:val="231F20"/>
          <w:spacing w:val="-2"/>
          <w:w w:val="95"/>
        </w:rPr>
        <w:t>stress: </w:t>
      </w:r>
      <w:r>
        <w:rPr>
          <w:color w:val="231F20"/>
          <w:spacing w:val="-4"/>
        </w:rPr>
        <w:t>de</w:t>
      </w:r>
      <w:r>
        <w:rPr>
          <w:color w:val="231F20"/>
          <w:spacing w:val="-40"/>
        </w:rPr>
        <w:t> </w:t>
      </w:r>
      <w:r>
        <w:rPr>
          <w:color w:val="231F20"/>
          <w:spacing w:val="-4"/>
        </w:rPr>
        <w:t>l’individu</w:t>
      </w:r>
      <w:r>
        <w:rPr>
          <w:color w:val="231F20"/>
          <w:spacing w:val="-40"/>
        </w:rPr>
        <w:t> </w:t>
      </w:r>
      <w:r>
        <w:rPr>
          <w:color w:val="231F20"/>
          <w:spacing w:val="-4"/>
        </w:rPr>
        <w:t>à</w:t>
      </w:r>
      <w:r>
        <w:rPr>
          <w:color w:val="231F20"/>
          <w:spacing w:val="-40"/>
        </w:rPr>
        <w:t> </w:t>
      </w:r>
      <w:r>
        <w:rPr>
          <w:color w:val="231F20"/>
          <w:spacing w:val="-4"/>
        </w:rPr>
        <w:t>l’organisation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rPr>
          <w:rFonts w:ascii="Arial"/>
          <w:b/>
          <w:sz w:val="23"/>
        </w:rPr>
      </w:pPr>
    </w:p>
    <w:p>
      <w:pPr>
        <w:spacing w:line="312" w:lineRule="auto" w:before="0"/>
        <w:ind w:left="1220" w:right="2507" w:firstLine="0"/>
        <w:jc w:val="left"/>
        <w:rPr>
          <w:rFonts w:ascii="Arial" w:hAnsi="Arial"/>
          <w:sz w:val="14"/>
        </w:rPr>
      </w:pPr>
      <w:r>
        <w:rPr>
          <w:rFonts w:ascii="Arial" w:hAnsi="Arial"/>
          <w:color w:val="231F20"/>
          <w:sz w:val="14"/>
        </w:rPr>
        <w:t>Tout le monde savait que c’était impossible à faire.</w:t>
      </w:r>
      <w:r>
        <w:rPr>
          <w:rFonts w:ascii="Arial" w:hAnsi="Arial"/>
          <w:color w:val="231F20"/>
          <w:spacing w:val="40"/>
          <w:sz w:val="14"/>
        </w:rPr>
        <w:t> </w:t>
      </w:r>
      <w:r>
        <w:rPr>
          <w:rFonts w:ascii="Arial" w:hAnsi="Arial"/>
          <w:color w:val="231F20"/>
          <w:sz w:val="14"/>
        </w:rPr>
        <w:t>Puis</w:t>
      </w:r>
      <w:r>
        <w:rPr>
          <w:rFonts w:ascii="Arial" w:hAnsi="Arial"/>
          <w:color w:val="231F20"/>
          <w:spacing w:val="-6"/>
          <w:sz w:val="14"/>
        </w:rPr>
        <w:t> </w:t>
      </w:r>
      <w:r>
        <w:rPr>
          <w:rFonts w:ascii="Arial" w:hAnsi="Arial"/>
          <w:color w:val="231F20"/>
          <w:sz w:val="14"/>
        </w:rPr>
        <w:t>un</w:t>
      </w:r>
      <w:r>
        <w:rPr>
          <w:rFonts w:ascii="Arial" w:hAnsi="Arial"/>
          <w:color w:val="231F20"/>
          <w:spacing w:val="-6"/>
          <w:sz w:val="14"/>
        </w:rPr>
        <w:t> </w:t>
      </w:r>
      <w:r>
        <w:rPr>
          <w:rFonts w:ascii="Arial" w:hAnsi="Arial"/>
          <w:color w:val="231F20"/>
          <w:sz w:val="14"/>
        </w:rPr>
        <w:t>jour</w:t>
      </w:r>
      <w:r>
        <w:rPr>
          <w:rFonts w:ascii="Arial" w:hAnsi="Arial"/>
          <w:color w:val="231F20"/>
          <w:spacing w:val="-6"/>
          <w:sz w:val="14"/>
        </w:rPr>
        <w:t> </w:t>
      </w:r>
      <w:r>
        <w:rPr>
          <w:rFonts w:ascii="Arial" w:hAnsi="Arial"/>
          <w:color w:val="231F20"/>
          <w:sz w:val="14"/>
        </w:rPr>
        <w:t>quelqu’un</w:t>
      </w:r>
      <w:r>
        <w:rPr>
          <w:rFonts w:ascii="Arial" w:hAnsi="Arial"/>
          <w:color w:val="231F20"/>
          <w:spacing w:val="-6"/>
          <w:sz w:val="14"/>
        </w:rPr>
        <w:t> </w:t>
      </w:r>
      <w:r>
        <w:rPr>
          <w:rFonts w:ascii="Arial" w:hAnsi="Arial"/>
          <w:color w:val="231F20"/>
          <w:sz w:val="14"/>
        </w:rPr>
        <w:t>est</w:t>
      </w:r>
      <w:r>
        <w:rPr>
          <w:rFonts w:ascii="Arial" w:hAnsi="Arial"/>
          <w:color w:val="231F20"/>
          <w:spacing w:val="-6"/>
          <w:sz w:val="14"/>
        </w:rPr>
        <w:t> </w:t>
      </w:r>
      <w:r>
        <w:rPr>
          <w:rFonts w:ascii="Arial" w:hAnsi="Arial"/>
          <w:color w:val="231F20"/>
          <w:sz w:val="14"/>
        </w:rPr>
        <w:t>arrivé,</w:t>
      </w:r>
      <w:r>
        <w:rPr>
          <w:rFonts w:ascii="Arial" w:hAnsi="Arial"/>
          <w:color w:val="231F20"/>
          <w:spacing w:val="-6"/>
          <w:sz w:val="14"/>
        </w:rPr>
        <w:t> </w:t>
      </w:r>
      <w:r>
        <w:rPr>
          <w:rFonts w:ascii="Arial" w:hAnsi="Arial"/>
          <w:color w:val="231F20"/>
          <w:sz w:val="14"/>
        </w:rPr>
        <w:t>qui</w:t>
      </w:r>
      <w:r>
        <w:rPr>
          <w:rFonts w:ascii="Arial" w:hAnsi="Arial"/>
          <w:color w:val="231F20"/>
          <w:spacing w:val="-6"/>
          <w:sz w:val="14"/>
        </w:rPr>
        <w:t> </w:t>
      </w:r>
      <w:r>
        <w:rPr>
          <w:rFonts w:ascii="Arial" w:hAnsi="Arial"/>
          <w:color w:val="231F20"/>
          <w:sz w:val="14"/>
        </w:rPr>
        <w:t>ne</w:t>
      </w:r>
      <w:r>
        <w:rPr>
          <w:rFonts w:ascii="Arial" w:hAnsi="Arial"/>
          <w:color w:val="231F20"/>
          <w:spacing w:val="-6"/>
          <w:sz w:val="14"/>
        </w:rPr>
        <w:t> </w:t>
      </w:r>
      <w:r>
        <w:rPr>
          <w:rFonts w:ascii="Arial" w:hAnsi="Arial"/>
          <w:color w:val="231F20"/>
          <w:sz w:val="14"/>
        </w:rPr>
        <w:t>le</w:t>
      </w:r>
      <w:r>
        <w:rPr>
          <w:rFonts w:ascii="Arial" w:hAnsi="Arial"/>
          <w:color w:val="231F20"/>
          <w:spacing w:val="-6"/>
          <w:sz w:val="14"/>
        </w:rPr>
        <w:t> </w:t>
      </w:r>
      <w:r>
        <w:rPr>
          <w:rFonts w:ascii="Arial" w:hAnsi="Arial"/>
          <w:color w:val="231F20"/>
          <w:sz w:val="14"/>
        </w:rPr>
        <w:t>savait</w:t>
      </w:r>
      <w:r>
        <w:rPr>
          <w:rFonts w:ascii="Arial" w:hAnsi="Arial"/>
          <w:color w:val="231F20"/>
          <w:spacing w:val="-6"/>
          <w:sz w:val="14"/>
        </w:rPr>
        <w:t> </w:t>
      </w:r>
      <w:r>
        <w:rPr>
          <w:rFonts w:ascii="Arial" w:hAnsi="Arial"/>
          <w:color w:val="231F20"/>
          <w:sz w:val="14"/>
        </w:rPr>
        <w:t>pas,</w:t>
      </w:r>
      <w:r>
        <w:rPr>
          <w:rFonts w:ascii="Arial" w:hAnsi="Arial"/>
          <w:color w:val="231F20"/>
          <w:spacing w:val="40"/>
          <w:sz w:val="14"/>
        </w:rPr>
        <w:t> </w:t>
      </w:r>
      <w:r>
        <w:rPr>
          <w:rFonts w:ascii="Arial" w:hAnsi="Arial"/>
          <w:color w:val="231F20"/>
          <w:sz w:val="14"/>
        </w:rPr>
        <w:t>et il l’a fait.</w:t>
      </w:r>
    </w:p>
    <w:p>
      <w:pPr>
        <w:spacing w:before="162"/>
        <w:ind w:left="1220" w:right="0" w:firstLine="0"/>
        <w:jc w:val="left"/>
        <w:rPr>
          <w:rFonts w:ascii="Arial"/>
          <w:sz w:val="14"/>
        </w:rPr>
      </w:pPr>
      <w:r>
        <w:rPr>
          <w:rFonts w:ascii="Arial"/>
          <w:color w:val="231F20"/>
          <w:sz w:val="14"/>
        </w:rPr>
        <w:t>Mark</w:t>
      </w:r>
      <w:r>
        <w:rPr>
          <w:rFonts w:ascii="Arial"/>
          <w:color w:val="231F20"/>
          <w:spacing w:val="-4"/>
          <w:sz w:val="14"/>
        </w:rPr>
        <w:t> </w:t>
      </w:r>
      <w:r>
        <w:rPr>
          <w:rFonts w:ascii="Arial"/>
          <w:color w:val="231F20"/>
          <w:spacing w:val="-2"/>
          <w:sz w:val="14"/>
        </w:rPr>
        <w:t>TWAIN</w:t>
      </w:r>
    </w:p>
    <w:p>
      <w:pPr>
        <w:pStyle w:val="BodyText"/>
        <w:rPr>
          <w:rFonts w:ascii="Arial"/>
          <w:sz w:val="20"/>
        </w:rPr>
      </w:pPr>
    </w:p>
    <w:p>
      <w:pPr>
        <w:pStyle w:val="BodyText"/>
        <w:spacing w:before="7"/>
        <w:rPr>
          <w:rFonts w:ascii="Arial"/>
          <w:sz w:val="18"/>
        </w:rPr>
      </w:pPr>
      <w:r>
        <w:rPr/>
        <w:pict>
          <v:shape style="position:absolute;margin-left:82pt;margin-top:11.902613pt;width:87.5pt;height:.1pt;mso-position-horizontal-relative:page;mso-position-vertical-relative:paragraph;z-index:-15633920;mso-wrap-distance-left:0;mso-wrap-distance-right:0" id="docshape1013" coordorigin="1640,238" coordsize="1750,0" path="m1640,238l3390,238e" filled="false" stroked="true" strokeweight=".25pt" strokecolor="#231f20">
            <v:path arrowok="t"/>
            <v:stroke dashstyle="solid"/>
            <w10:wrap type="topAndBottom"/>
          </v:shape>
        </w:pict>
      </w:r>
    </w:p>
    <w:p>
      <w:pPr>
        <w:pStyle w:val="BodyText"/>
        <w:spacing w:before="4"/>
        <w:rPr>
          <w:rFonts w:ascii="Arial"/>
          <w:sz w:val="26"/>
        </w:rPr>
      </w:pPr>
    </w:p>
    <w:p>
      <w:pPr>
        <w:pStyle w:val="Heading2"/>
        <w:numPr>
          <w:ilvl w:val="1"/>
          <w:numId w:val="75"/>
        </w:numPr>
        <w:tabs>
          <w:tab w:pos="911" w:val="left" w:leader="none"/>
          <w:tab w:pos="1219" w:val="left" w:leader="none"/>
        </w:tabs>
        <w:spacing w:line="240" w:lineRule="auto" w:before="0" w:after="0"/>
        <w:ind w:left="910" w:right="0" w:hanging="278"/>
        <w:jc w:val="left"/>
      </w:pPr>
      <w:r>
        <w:rPr>
          <w:b w:val="0"/>
          <w:i/>
          <w:color w:val="231F20"/>
          <w:spacing w:val="-10"/>
        </w:rPr>
        <w:t>/</w:t>
      </w:r>
      <w:r>
        <w:rPr>
          <w:b w:val="0"/>
          <w:i/>
          <w:color w:val="231F20"/>
        </w:rPr>
        <w:tab/>
      </w:r>
      <w:r>
        <w:rPr>
          <w:color w:val="231F20"/>
          <w:w w:val="95"/>
        </w:rPr>
        <w:t>Gérer</w:t>
      </w:r>
      <w:r>
        <w:rPr>
          <w:color w:val="231F20"/>
          <w:spacing w:val="-7"/>
          <w:w w:val="95"/>
        </w:rPr>
        <w:t> </w:t>
      </w:r>
      <w:r>
        <w:rPr>
          <w:color w:val="231F20"/>
          <w:w w:val="95"/>
        </w:rPr>
        <w:t>le</w:t>
      </w:r>
      <w:r>
        <w:rPr>
          <w:color w:val="231F20"/>
          <w:spacing w:val="-7"/>
          <w:w w:val="95"/>
        </w:rPr>
        <w:t> </w:t>
      </w:r>
      <w:r>
        <w:rPr>
          <w:color w:val="231F20"/>
          <w:w w:val="95"/>
        </w:rPr>
        <w:t>stress</w:t>
      </w:r>
      <w:r>
        <w:rPr>
          <w:color w:val="231F20"/>
          <w:spacing w:val="-6"/>
          <w:w w:val="95"/>
        </w:rPr>
        <w:t> </w:t>
      </w:r>
      <w:r>
        <w:rPr>
          <w:color w:val="231F20"/>
          <w:w w:val="95"/>
        </w:rPr>
        <w:t>pour</w:t>
      </w:r>
      <w:r>
        <w:rPr>
          <w:color w:val="231F20"/>
          <w:spacing w:val="-7"/>
          <w:w w:val="95"/>
        </w:rPr>
        <w:t> </w:t>
      </w:r>
      <w:r>
        <w:rPr>
          <w:color w:val="231F20"/>
          <w:w w:val="95"/>
        </w:rPr>
        <w:t>mieux</w:t>
      </w:r>
      <w:r>
        <w:rPr>
          <w:color w:val="231F20"/>
          <w:spacing w:val="-7"/>
          <w:w w:val="95"/>
        </w:rPr>
        <w:t> </w:t>
      </w:r>
      <w:r>
        <w:rPr>
          <w:color w:val="231F20"/>
          <w:spacing w:val="-2"/>
          <w:w w:val="95"/>
        </w:rPr>
        <w:t>performer</w:t>
      </w:r>
    </w:p>
    <w:p>
      <w:pPr>
        <w:pStyle w:val="BodyText"/>
        <w:spacing w:before="9"/>
        <w:rPr>
          <w:rFonts w:ascii="Arial"/>
          <w:b/>
          <w:sz w:val="25"/>
        </w:rPr>
      </w:pPr>
    </w:p>
    <w:p>
      <w:pPr>
        <w:pStyle w:val="BodyText"/>
        <w:spacing w:line="307" w:lineRule="auto"/>
        <w:ind w:left="1220" w:right="104"/>
        <w:jc w:val="both"/>
      </w:pPr>
      <w:r>
        <w:rPr>
          <w:color w:val="231F20"/>
          <w:w w:val="120"/>
        </w:rPr>
        <w:t>Il</w:t>
      </w:r>
      <w:r>
        <w:rPr>
          <w:color w:val="231F20"/>
          <w:spacing w:val="-6"/>
          <w:w w:val="120"/>
        </w:rPr>
        <w:t> </w:t>
      </w:r>
      <w:r>
        <w:rPr>
          <w:color w:val="231F20"/>
          <w:w w:val="120"/>
        </w:rPr>
        <w:t>a</w:t>
      </w:r>
      <w:r>
        <w:rPr>
          <w:color w:val="231F20"/>
          <w:spacing w:val="-6"/>
          <w:w w:val="120"/>
        </w:rPr>
        <w:t> </w:t>
      </w:r>
      <w:r>
        <w:rPr>
          <w:color w:val="231F20"/>
          <w:w w:val="120"/>
        </w:rPr>
        <w:t>maintes</w:t>
      </w:r>
      <w:r>
        <w:rPr>
          <w:color w:val="231F20"/>
          <w:spacing w:val="-6"/>
          <w:w w:val="120"/>
        </w:rPr>
        <w:t> </w:t>
      </w:r>
      <w:r>
        <w:rPr>
          <w:color w:val="231F20"/>
          <w:w w:val="120"/>
        </w:rPr>
        <w:t>fois</w:t>
      </w:r>
      <w:r>
        <w:rPr>
          <w:color w:val="231F20"/>
          <w:spacing w:val="-6"/>
          <w:w w:val="120"/>
        </w:rPr>
        <w:t> </w:t>
      </w:r>
      <w:r>
        <w:rPr>
          <w:color w:val="231F20"/>
          <w:w w:val="120"/>
        </w:rPr>
        <w:t>été</w:t>
      </w:r>
      <w:r>
        <w:rPr>
          <w:color w:val="231F20"/>
          <w:spacing w:val="-6"/>
          <w:w w:val="120"/>
        </w:rPr>
        <w:t> </w:t>
      </w:r>
      <w:r>
        <w:rPr>
          <w:color w:val="231F20"/>
          <w:w w:val="120"/>
        </w:rPr>
        <w:t>démontré</w:t>
      </w:r>
      <w:r>
        <w:rPr>
          <w:color w:val="231F20"/>
          <w:spacing w:val="-6"/>
          <w:w w:val="120"/>
        </w:rPr>
        <w:t> </w:t>
      </w:r>
      <w:r>
        <w:rPr>
          <w:color w:val="231F20"/>
          <w:w w:val="120"/>
        </w:rPr>
        <w:t>que</w:t>
      </w:r>
      <w:r>
        <w:rPr>
          <w:color w:val="231F20"/>
          <w:spacing w:val="-6"/>
          <w:w w:val="120"/>
        </w:rPr>
        <w:t> </w:t>
      </w:r>
      <w:r>
        <w:rPr>
          <w:color w:val="231F20"/>
          <w:w w:val="120"/>
        </w:rPr>
        <w:t>le</w:t>
      </w:r>
      <w:r>
        <w:rPr>
          <w:color w:val="231F20"/>
          <w:spacing w:val="-6"/>
          <w:w w:val="120"/>
        </w:rPr>
        <w:t> </w:t>
      </w:r>
      <w:r>
        <w:rPr>
          <w:color w:val="231F20"/>
          <w:w w:val="120"/>
        </w:rPr>
        <w:t>stress</w:t>
      </w:r>
      <w:r>
        <w:rPr>
          <w:color w:val="231F20"/>
          <w:spacing w:val="-6"/>
          <w:w w:val="120"/>
        </w:rPr>
        <w:t> </w:t>
      </w:r>
      <w:r>
        <w:rPr>
          <w:color w:val="231F20"/>
          <w:w w:val="120"/>
        </w:rPr>
        <w:t>a</w:t>
      </w:r>
      <w:r>
        <w:rPr>
          <w:color w:val="231F20"/>
          <w:spacing w:val="-6"/>
          <w:w w:val="120"/>
        </w:rPr>
        <w:t> </w:t>
      </w:r>
      <w:r>
        <w:rPr>
          <w:color w:val="231F20"/>
          <w:w w:val="120"/>
        </w:rPr>
        <w:t>des</w:t>
      </w:r>
      <w:r>
        <w:rPr>
          <w:color w:val="231F20"/>
          <w:spacing w:val="-6"/>
          <w:w w:val="120"/>
        </w:rPr>
        <w:t> </w:t>
      </w:r>
      <w:r>
        <w:rPr>
          <w:color w:val="231F20"/>
          <w:w w:val="120"/>
        </w:rPr>
        <w:t>conséquences</w:t>
      </w:r>
      <w:r>
        <w:rPr>
          <w:color w:val="231F20"/>
          <w:spacing w:val="-6"/>
          <w:w w:val="120"/>
        </w:rPr>
        <w:t> </w:t>
      </w:r>
      <w:r>
        <w:rPr>
          <w:color w:val="231F20"/>
          <w:w w:val="120"/>
        </w:rPr>
        <w:t>nocives </w:t>
      </w:r>
      <w:r>
        <w:rPr>
          <w:color w:val="231F20"/>
          <w:spacing w:val="-2"/>
          <w:w w:val="120"/>
        </w:rPr>
        <w:t>pour</w:t>
      </w:r>
      <w:r>
        <w:rPr>
          <w:color w:val="231F20"/>
          <w:spacing w:val="-5"/>
          <w:w w:val="120"/>
        </w:rPr>
        <w:t> </w:t>
      </w:r>
      <w:r>
        <w:rPr>
          <w:color w:val="231F20"/>
          <w:spacing w:val="-2"/>
          <w:w w:val="120"/>
        </w:rPr>
        <w:t>l’individu</w:t>
      </w:r>
      <w:r>
        <w:rPr>
          <w:color w:val="231F20"/>
          <w:spacing w:val="-5"/>
          <w:w w:val="120"/>
        </w:rPr>
        <w:t> </w:t>
      </w:r>
      <w:r>
        <w:rPr>
          <w:color w:val="231F20"/>
          <w:spacing w:val="-2"/>
          <w:w w:val="120"/>
        </w:rPr>
        <w:t>comme</w:t>
      </w:r>
      <w:r>
        <w:rPr>
          <w:color w:val="231F20"/>
          <w:spacing w:val="-5"/>
          <w:w w:val="120"/>
        </w:rPr>
        <w:t> </w:t>
      </w:r>
      <w:r>
        <w:rPr>
          <w:color w:val="231F20"/>
          <w:spacing w:val="-2"/>
          <w:w w:val="120"/>
        </w:rPr>
        <w:t>pour</w:t>
      </w:r>
      <w:r>
        <w:rPr>
          <w:color w:val="231F20"/>
          <w:spacing w:val="-5"/>
          <w:w w:val="120"/>
        </w:rPr>
        <w:t> </w:t>
      </w:r>
      <w:r>
        <w:rPr>
          <w:color w:val="231F20"/>
          <w:spacing w:val="-2"/>
          <w:w w:val="120"/>
        </w:rPr>
        <w:t>l’organisation.</w:t>
      </w:r>
      <w:r>
        <w:rPr>
          <w:color w:val="231F20"/>
          <w:spacing w:val="-5"/>
          <w:w w:val="120"/>
        </w:rPr>
        <w:t> </w:t>
      </w:r>
      <w:r>
        <w:rPr>
          <w:color w:val="231F20"/>
          <w:spacing w:val="-2"/>
          <w:w w:val="120"/>
        </w:rPr>
        <w:t>C’est</w:t>
      </w:r>
      <w:r>
        <w:rPr>
          <w:color w:val="231F20"/>
          <w:spacing w:val="-5"/>
          <w:w w:val="120"/>
        </w:rPr>
        <w:t> </w:t>
      </w:r>
      <w:r>
        <w:rPr>
          <w:color w:val="231F20"/>
          <w:spacing w:val="-2"/>
          <w:w w:val="120"/>
        </w:rPr>
        <w:t>pourquoi</w:t>
      </w:r>
      <w:r>
        <w:rPr>
          <w:color w:val="231F20"/>
          <w:spacing w:val="-5"/>
          <w:w w:val="120"/>
        </w:rPr>
        <w:t> </w:t>
      </w:r>
      <w:r>
        <w:rPr>
          <w:color w:val="231F20"/>
          <w:spacing w:val="-2"/>
          <w:w w:val="120"/>
        </w:rPr>
        <w:t>nous</w:t>
      </w:r>
      <w:r>
        <w:rPr>
          <w:color w:val="231F20"/>
          <w:spacing w:val="-5"/>
          <w:w w:val="120"/>
        </w:rPr>
        <w:t> </w:t>
      </w:r>
      <w:r>
        <w:rPr>
          <w:color w:val="231F20"/>
          <w:spacing w:val="-2"/>
          <w:w w:val="120"/>
        </w:rPr>
        <w:t>devons </w:t>
      </w:r>
      <w:r>
        <w:rPr>
          <w:color w:val="231F20"/>
          <w:w w:val="120"/>
        </w:rPr>
        <w:t>apprendre</w:t>
      </w:r>
      <w:r>
        <w:rPr>
          <w:color w:val="231F20"/>
          <w:spacing w:val="-11"/>
          <w:w w:val="120"/>
        </w:rPr>
        <w:t> </w:t>
      </w:r>
      <w:r>
        <w:rPr>
          <w:color w:val="231F20"/>
          <w:w w:val="120"/>
        </w:rPr>
        <w:t>à</w:t>
      </w:r>
      <w:r>
        <w:rPr>
          <w:color w:val="231F20"/>
          <w:spacing w:val="-11"/>
          <w:w w:val="120"/>
        </w:rPr>
        <w:t> </w:t>
      </w:r>
      <w:r>
        <w:rPr>
          <w:color w:val="231F20"/>
          <w:w w:val="120"/>
        </w:rPr>
        <w:t>prévenir</w:t>
      </w:r>
      <w:r>
        <w:rPr>
          <w:color w:val="231F20"/>
          <w:spacing w:val="-11"/>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ou,</w:t>
      </w:r>
      <w:r>
        <w:rPr>
          <w:color w:val="231F20"/>
          <w:spacing w:val="-11"/>
          <w:w w:val="120"/>
        </w:rPr>
        <w:t> </w:t>
      </w:r>
      <w:r>
        <w:rPr>
          <w:color w:val="231F20"/>
          <w:w w:val="120"/>
        </w:rPr>
        <w:t>du</w:t>
      </w:r>
      <w:r>
        <w:rPr>
          <w:color w:val="231F20"/>
          <w:spacing w:val="-11"/>
          <w:w w:val="120"/>
        </w:rPr>
        <w:t> </w:t>
      </w:r>
      <w:r>
        <w:rPr>
          <w:color w:val="231F20"/>
          <w:w w:val="120"/>
        </w:rPr>
        <w:t>moins,</w:t>
      </w:r>
      <w:r>
        <w:rPr>
          <w:color w:val="231F20"/>
          <w:spacing w:val="-11"/>
          <w:w w:val="120"/>
        </w:rPr>
        <w:t> </w:t>
      </w:r>
      <w:r>
        <w:rPr>
          <w:color w:val="231F20"/>
          <w:w w:val="120"/>
        </w:rPr>
        <w:t>à</w:t>
      </w:r>
      <w:r>
        <w:rPr>
          <w:color w:val="231F20"/>
          <w:spacing w:val="-11"/>
          <w:w w:val="120"/>
        </w:rPr>
        <w:t> </w:t>
      </w:r>
      <w:r>
        <w:rPr>
          <w:color w:val="231F20"/>
          <w:w w:val="120"/>
        </w:rPr>
        <w:t>le</w:t>
      </w:r>
      <w:r>
        <w:rPr>
          <w:color w:val="231F20"/>
          <w:spacing w:val="-11"/>
          <w:w w:val="120"/>
        </w:rPr>
        <w:t> </w:t>
      </w:r>
      <w:r>
        <w:rPr>
          <w:color w:val="231F20"/>
          <w:w w:val="120"/>
        </w:rPr>
        <w:t>gérer</w:t>
      </w:r>
      <w:r>
        <w:rPr>
          <w:color w:val="231F20"/>
          <w:spacing w:val="-11"/>
          <w:w w:val="120"/>
        </w:rPr>
        <w:t> </w:t>
      </w:r>
      <w:r>
        <w:rPr>
          <w:color w:val="231F20"/>
          <w:w w:val="120"/>
        </w:rPr>
        <w:t>afin</w:t>
      </w:r>
      <w:r>
        <w:rPr>
          <w:color w:val="231F20"/>
          <w:spacing w:val="-11"/>
          <w:w w:val="120"/>
        </w:rPr>
        <w:t> </w:t>
      </w:r>
      <w:r>
        <w:rPr>
          <w:color w:val="231F20"/>
          <w:w w:val="120"/>
        </w:rPr>
        <w:t>d’en</w:t>
      </w:r>
      <w:r>
        <w:rPr>
          <w:color w:val="231F20"/>
          <w:spacing w:val="-11"/>
          <w:w w:val="120"/>
        </w:rPr>
        <w:t> </w:t>
      </w:r>
      <w:r>
        <w:rPr>
          <w:color w:val="231F20"/>
          <w:w w:val="120"/>
        </w:rPr>
        <w:t>atténuer les</w:t>
      </w:r>
      <w:r>
        <w:rPr>
          <w:color w:val="231F20"/>
          <w:spacing w:val="-8"/>
          <w:w w:val="120"/>
        </w:rPr>
        <w:t> </w:t>
      </w:r>
      <w:r>
        <w:rPr>
          <w:color w:val="231F20"/>
          <w:w w:val="120"/>
        </w:rPr>
        <w:t>conséquences.</w:t>
      </w:r>
      <w:r>
        <w:rPr>
          <w:color w:val="231F20"/>
          <w:spacing w:val="-8"/>
          <w:w w:val="120"/>
        </w:rPr>
        <w:t> </w:t>
      </w:r>
      <w:r>
        <w:rPr>
          <w:color w:val="231F20"/>
          <w:w w:val="120"/>
        </w:rPr>
        <w:t>Le</w:t>
      </w:r>
      <w:r>
        <w:rPr>
          <w:color w:val="231F20"/>
          <w:spacing w:val="-8"/>
          <w:w w:val="120"/>
        </w:rPr>
        <w:t> </w:t>
      </w:r>
      <w:r>
        <w:rPr>
          <w:color w:val="231F20"/>
          <w:w w:val="120"/>
        </w:rPr>
        <w:t>stress</w:t>
      </w:r>
      <w:r>
        <w:rPr>
          <w:color w:val="231F20"/>
          <w:spacing w:val="-8"/>
          <w:w w:val="120"/>
        </w:rPr>
        <w:t> </w:t>
      </w:r>
      <w:r>
        <w:rPr>
          <w:color w:val="231F20"/>
          <w:w w:val="120"/>
        </w:rPr>
        <w:t>n’est</w:t>
      </w:r>
      <w:r>
        <w:rPr>
          <w:color w:val="231F20"/>
          <w:spacing w:val="-8"/>
          <w:w w:val="120"/>
        </w:rPr>
        <w:t> </w:t>
      </w:r>
      <w:r>
        <w:rPr>
          <w:color w:val="231F20"/>
          <w:w w:val="120"/>
        </w:rPr>
        <w:t>pas</w:t>
      </w:r>
      <w:r>
        <w:rPr>
          <w:color w:val="231F20"/>
          <w:spacing w:val="-8"/>
          <w:w w:val="120"/>
        </w:rPr>
        <w:t> </w:t>
      </w:r>
      <w:r>
        <w:rPr>
          <w:color w:val="231F20"/>
          <w:w w:val="120"/>
        </w:rPr>
        <w:t>en</w:t>
      </w:r>
      <w:r>
        <w:rPr>
          <w:color w:val="231F20"/>
          <w:spacing w:val="-8"/>
          <w:w w:val="120"/>
        </w:rPr>
        <w:t> </w:t>
      </w:r>
      <w:r>
        <w:rPr>
          <w:color w:val="231F20"/>
          <w:w w:val="120"/>
        </w:rPr>
        <w:t>soi</w:t>
      </w:r>
      <w:r>
        <w:rPr>
          <w:color w:val="231F20"/>
          <w:spacing w:val="-8"/>
          <w:w w:val="120"/>
        </w:rPr>
        <w:t> </w:t>
      </w:r>
      <w:r>
        <w:rPr>
          <w:color w:val="231F20"/>
          <w:w w:val="120"/>
        </w:rPr>
        <w:t>une</w:t>
      </w:r>
      <w:r>
        <w:rPr>
          <w:color w:val="231F20"/>
          <w:spacing w:val="-8"/>
          <w:w w:val="120"/>
        </w:rPr>
        <w:t> </w:t>
      </w:r>
      <w:r>
        <w:rPr>
          <w:color w:val="231F20"/>
          <w:w w:val="120"/>
        </w:rPr>
        <w:t>maladie,</w:t>
      </w:r>
      <w:r>
        <w:rPr>
          <w:color w:val="231F20"/>
          <w:spacing w:val="-8"/>
          <w:w w:val="120"/>
        </w:rPr>
        <w:t> </w:t>
      </w:r>
      <w:r>
        <w:rPr>
          <w:color w:val="231F20"/>
          <w:w w:val="120"/>
        </w:rPr>
        <w:t>et</w:t>
      </w:r>
      <w:r>
        <w:rPr>
          <w:color w:val="231F20"/>
          <w:spacing w:val="-8"/>
          <w:w w:val="120"/>
        </w:rPr>
        <w:t> </w:t>
      </w:r>
      <w:r>
        <w:rPr>
          <w:color w:val="231F20"/>
          <w:w w:val="120"/>
        </w:rPr>
        <w:t>donc</w:t>
      </w:r>
      <w:r>
        <w:rPr>
          <w:color w:val="231F20"/>
          <w:spacing w:val="-8"/>
          <w:w w:val="120"/>
        </w:rPr>
        <w:t> </w:t>
      </w:r>
      <w:r>
        <w:rPr>
          <w:color w:val="231F20"/>
          <w:w w:val="120"/>
        </w:rPr>
        <w:t>aucun </w:t>
      </w:r>
      <w:r>
        <w:rPr>
          <w:color w:val="231F20"/>
          <w:spacing w:val="-2"/>
          <w:w w:val="120"/>
        </w:rPr>
        <w:t>remède</w:t>
      </w:r>
      <w:r>
        <w:rPr>
          <w:color w:val="231F20"/>
          <w:spacing w:val="-10"/>
          <w:w w:val="120"/>
        </w:rPr>
        <w:t> </w:t>
      </w:r>
      <w:r>
        <w:rPr>
          <w:color w:val="231F20"/>
          <w:spacing w:val="-2"/>
          <w:w w:val="120"/>
        </w:rPr>
        <w:t>miracle</w:t>
      </w:r>
      <w:r>
        <w:rPr>
          <w:color w:val="231F20"/>
          <w:spacing w:val="-10"/>
          <w:w w:val="120"/>
        </w:rPr>
        <w:t> </w:t>
      </w:r>
      <w:r>
        <w:rPr>
          <w:color w:val="231F20"/>
          <w:spacing w:val="-2"/>
          <w:w w:val="120"/>
        </w:rPr>
        <w:t>n’existe</w:t>
      </w:r>
      <w:r>
        <w:rPr>
          <w:color w:val="231F20"/>
          <w:spacing w:val="-10"/>
          <w:w w:val="120"/>
        </w:rPr>
        <w:t> </w:t>
      </w:r>
      <w:r>
        <w:rPr>
          <w:color w:val="231F20"/>
          <w:spacing w:val="-2"/>
          <w:w w:val="120"/>
        </w:rPr>
        <w:t>pour</w:t>
      </w:r>
      <w:r>
        <w:rPr>
          <w:color w:val="231F20"/>
          <w:spacing w:val="-10"/>
          <w:w w:val="120"/>
        </w:rPr>
        <w:t> </w:t>
      </w:r>
      <w:r>
        <w:rPr>
          <w:color w:val="231F20"/>
          <w:spacing w:val="-2"/>
          <w:w w:val="120"/>
        </w:rPr>
        <w:t>nous</w:t>
      </w:r>
      <w:r>
        <w:rPr>
          <w:color w:val="231F20"/>
          <w:spacing w:val="-10"/>
          <w:w w:val="120"/>
        </w:rPr>
        <w:t> </w:t>
      </w:r>
      <w:r>
        <w:rPr>
          <w:color w:val="231F20"/>
          <w:spacing w:val="-2"/>
          <w:w w:val="120"/>
        </w:rPr>
        <w:t>en</w:t>
      </w:r>
      <w:r>
        <w:rPr>
          <w:color w:val="231F20"/>
          <w:spacing w:val="-10"/>
          <w:w w:val="120"/>
        </w:rPr>
        <w:t> </w:t>
      </w:r>
      <w:r>
        <w:rPr>
          <w:color w:val="231F20"/>
          <w:spacing w:val="-2"/>
          <w:w w:val="120"/>
        </w:rPr>
        <w:t>immuniser.</w:t>
      </w:r>
      <w:r>
        <w:rPr>
          <w:color w:val="231F20"/>
          <w:spacing w:val="-10"/>
          <w:w w:val="120"/>
        </w:rPr>
        <w:t> </w:t>
      </w:r>
      <w:r>
        <w:rPr>
          <w:color w:val="231F20"/>
          <w:spacing w:val="-2"/>
          <w:w w:val="120"/>
        </w:rPr>
        <w:t>Il</w:t>
      </w:r>
      <w:r>
        <w:rPr>
          <w:color w:val="231F20"/>
          <w:spacing w:val="-10"/>
          <w:w w:val="120"/>
        </w:rPr>
        <w:t> </w:t>
      </w:r>
      <w:r>
        <w:rPr>
          <w:color w:val="231F20"/>
          <w:spacing w:val="-2"/>
          <w:w w:val="120"/>
        </w:rPr>
        <w:t>n’y</w:t>
      </w:r>
      <w:r>
        <w:rPr>
          <w:color w:val="231F20"/>
          <w:spacing w:val="-10"/>
          <w:w w:val="120"/>
        </w:rPr>
        <w:t> </w:t>
      </w:r>
      <w:r>
        <w:rPr>
          <w:color w:val="231F20"/>
          <w:spacing w:val="-2"/>
          <w:w w:val="120"/>
        </w:rPr>
        <w:t>a</w:t>
      </w:r>
      <w:r>
        <w:rPr>
          <w:color w:val="231F20"/>
          <w:spacing w:val="-10"/>
          <w:w w:val="120"/>
        </w:rPr>
        <w:t> </w:t>
      </w:r>
      <w:r>
        <w:rPr>
          <w:color w:val="231F20"/>
          <w:spacing w:val="-2"/>
          <w:w w:val="120"/>
        </w:rPr>
        <w:t>pas</w:t>
      </w:r>
      <w:r>
        <w:rPr>
          <w:color w:val="231F20"/>
          <w:spacing w:val="-10"/>
          <w:w w:val="120"/>
        </w:rPr>
        <w:t> </w:t>
      </w:r>
      <w:r>
        <w:rPr>
          <w:color w:val="231F20"/>
          <w:spacing w:val="-2"/>
          <w:w w:val="120"/>
        </w:rPr>
        <w:t>de</w:t>
      </w:r>
      <w:r>
        <w:rPr>
          <w:color w:val="231F20"/>
          <w:spacing w:val="-10"/>
          <w:w w:val="120"/>
        </w:rPr>
        <w:t> </w:t>
      </w:r>
      <w:r>
        <w:rPr>
          <w:color w:val="231F20"/>
          <w:spacing w:val="-2"/>
          <w:w w:val="120"/>
        </w:rPr>
        <w:t>panacée </w:t>
      </w:r>
      <w:r>
        <w:rPr>
          <w:color w:val="231F20"/>
          <w:w w:val="120"/>
        </w:rPr>
        <w:t>ou</w:t>
      </w:r>
      <w:r>
        <w:rPr>
          <w:color w:val="231F20"/>
          <w:spacing w:val="-8"/>
          <w:w w:val="120"/>
        </w:rPr>
        <w:t> </w:t>
      </w:r>
      <w:r>
        <w:rPr>
          <w:color w:val="231F20"/>
          <w:w w:val="120"/>
        </w:rPr>
        <w:t>de</w:t>
      </w:r>
      <w:r>
        <w:rPr>
          <w:color w:val="231F20"/>
          <w:spacing w:val="-8"/>
          <w:w w:val="120"/>
        </w:rPr>
        <w:t> </w:t>
      </w:r>
      <w:r>
        <w:rPr>
          <w:color w:val="231F20"/>
          <w:w w:val="120"/>
        </w:rPr>
        <w:t>formule</w:t>
      </w:r>
      <w:r>
        <w:rPr>
          <w:color w:val="231F20"/>
          <w:spacing w:val="-8"/>
          <w:w w:val="120"/>
        </w:rPr>
        <w:t> </w:t>
      </w:r>
      <w:r>
        <w:rPr>
          <w:color w:val="231F20"/>
          <w:w w:val="120"/>
        </w:rPr>
        <w:t>universelle</w:t>
      </w:r>
      <w:r>
        <w:rPr>
          <w:color w:val="231F20"/>
          <w:spacing w:val="-8"/>
          <w:w w:val="120"/>
        </w:rPr>
        <w:t> </w:t>
      </w:r>
      <w:r>
        <w:rPr>
          <w:color w:val="231F20"/>
          <w:w w:val="120"/>
        </w:rPr>
        <w:t>de</w:t>
      </w:r>
      <w:r>
        <w:rPr>
          <w:color w:val="231F20"/>
          <w:spacing w:val="-8"/>
          <w:w w:val="120"/>
        </w:rPr>
        <w:t> </w:t>
      </w:r>
      <w:r>
        <w:rPr>
          <w:color w:val="231F20"/>
          <w:w w:val="120"/>
        </w:rPr>
        <w:t>lutte</w:t>
      </w:r>
      <w:r>
        <w:rPr>
          <w:color w:val="231F20"/>
          <w:spacing w:val="-8"/>
          <w:w w:val="120"/>
        </w:rPr>
        <w:t> </w:t>
      </w:r>
      <w:r>
        <w:rPr>
          <w:color w:val="231F20"/>
          <w:w w:val="120"/>
        </w:rPr>
        <w:t>contre</w:t>
      </w:r>
      <w:r>
        <w:rPr>
          <w:color w:val="231F20"/>
          <w:spacing w:val="-8"/>
          <w:w w:val="120"/>
        </w:rPr>
        <w:t> </w:t>
      </w:r>
      <w:r>
        <w:rPr>
          <w:color w:val="231F20"/>
          <w:w w:val="120"/>
        </w:rPr>
        <w:t>le</w:t>
      </w:r>
      <w:r>
        <w:rPr>
          <w:color w:val="231F20"/>
          <w:spacing w:val="-8"/>
          <w:w w:val="120"/>
        </w:rPr>
        <w:t> </w:t>
      </w:r>
      <w:r>
        <w:rPr>
          <w:color w:val="231F20"/>
          <w:w w:val="120"/>
        </w:rPr>
        <w:t>stress.</w:t>
      </w:r>
      <w:r>
        <w:rPr>
          <w:color w:val="231F20"/>
          <w:spacing w:val="-8"/>
          <w:w w:val="120"/>
        </w:rPr>
        <w:t> </w:t>
      </w:r>
      <w:r>
        <w:rPr>
          <w:color w:val="231F20"/>
          <w:w w:val="120"/>
        </w:rPr>
        <w:t>Il</w:t>
      </w:r>
      <w:r>
        <w:rPr>
          <w:color w:val="231F20"/>
          <w:spacing w:val="-8"/>
          <w:w w:val="120"/>
        </w:rPr>
        <w:t> </w:t>
      </w:r>
      <w:r>
        <w:rPr>
          <w:color w:val="231F20"/>
          <w:w w:val="120"/>
        </w:rPr>
        <w:t>est</w:t>
      </w:r>
      <w:r>
        <w:rPr>
          <w:color w:val="231F20"/>
          <w:spacing w:val="-8"/>
          <w:w w:val="120"/>
        </w:rPr>
        <w:t> </w:t>
      </w:r>
      <w:r>
        <w:rPr>
          <w:color w:val="231F20"/>
          <w:w w:val="120"/>
        </w:rPr>
        <w:t>vrai</w:t>
      </w:r>
      <w:r>
        <w:rPr>
          <w:color w:val="231F20"/>
          <w:spacing w:val="-8"/>
          <w:w w:val="120"/>
        </w:rPr>
        <w:t> </w:t>
      </w:r>
      <w:r>
        <w:rPr>
          <w:color w:val="231F20"/>
          <w:w w:val="120"/>
        </w:rPr>
        <w:t>que</w:t>
      </w:r>
      <w:r>
        <w:rPr>
          <w:color w:val="231F20"/>
          <w:spacing w:val="-8"/>
          <w:w w:val="120"/>
        </w:rPr>
        <w:t> </w:t>
      </w:r>
      <w:r>
        <w:rPr>
          <w:color w:val="231F20"/>
          <w:w w:val="120"/>
        </w:rPr>
        <w:t>depuis </w:t>
      </w:r>
      <w:r>
        <w:rPr>
          <w:color w:val="231F20"/>
          <w:w w:val="115"/>
        </w:rPr>
        <w:t>que</w:t>
      </w:r>
      <w:r>
        <w:rPr>
          <w:color w:val="231F20"/>
          <w:spacing w:val="-5"/>
          <w:w w:val="115"/>
        </w:rPr>
        <w:t> </w:t>
      </w:r>
      <w:r>
        <w:rPr>
          <w:color w:val="231F20"/>
          <w:w w:val="115"/>
        </w:rPr>
        <w:t>Hans</w:t>
      </w:r>
      <w:r>
        <w:rPr>
          <w:color w:val="231F20"/>
          <w:spacing w:val="-5"/>
          <w:w w:val="115"/>
        </w:rPr>
        <w:t> </w:t>
      </w:r>
      <w:r>
        <w:rPr>
          <w:color w:val="231F20"/>
          <w:w w:val="115"/>
        </w:rPr>
        <w:t>Selye</w:t>
      </w:r>
      <w:r>
        <w:rPr>
          <w:color w:val="231F20"/>
          <w:spacing w:val="-5"/>
          <w:w w:val="115"/>
        </w:rPr>
        <w:t> </w:t>
      </w:r>
      <w:r>
        <w:rPr>
          <w:color w:val="231F20"/>
          <w:w w:val="115"/>
        </w:rPr>
        <w:t>a</w:t>
      </w:r>
      <w:r>
        <w:rPr>
          <w:color w:val="231F20"/>
          <w:spacing w:val="-5"/>
          <w:w w:val="115"/>
        </w:rPr>
        <w:t> </w:t>
      </w:r>
      <w:r>
        <w:rPr>
          <w:color w:val="231F20"/>
          <w:w w:val="115"/>
        </w:rPr>
        <w:t>mis</w:t>
      </w:r>
      <w:r>
        <w:rPr>
          <w:color w:val="231F20"/>
          <w:spacing w:val="-5"/>
          <w:w w:val="115"/>
        </w:rPr>
        <w:t> </w:t>
      </w:r>
      <w:r>
        <w:rPr>
          <w:color w:val="231F20"/>
          <w:w w:val="115"/>
        </w:rPr>
        <w:t>en</w:t>
      </w:r>
      <w:r>
        <w:rPr>
          <w:color w:val="231F20"/>
          <w:spacing w:val="-5"/>
          <w:w w:val="115"/>
        </w:rPr>
        <w:t> </w:t>
      </w:r>
      <w:r>
        <w:rPr>
          <w:color w:val="231F20"/>
          <w:w w:val="115"/>
        </w:rPr>
        <w:t>lumière</w:t>
      </w:r>
      <w:r>
        <w:rPr>
          <w:color w:val="231F20"/>
          <w:spacing w:val="-5"/>
          <w:w w:val="115"/>
        </w:rPr>
        <w:t> </w:t>
      </w:r>
      <w:r>
        <w:rPr>
          <w:color w:val="231F20"/>
          <w:w w:val="115"/>
        </w:rPr>
        <w:t>le</w:t>
      </w:r>
      <w:r>
        <w:rPr>
          <w:color w:val="231F20"/>
          <w:spacing w:val="-5"/>
          <w:w w:val="115"/>
        </w:rPr>
        <w:t> </w:t>
      </w:r>
      <w:r>
        <w:rPr>
          <w:color w:val="231F20"/>
          <w:w w:val="115"/>
        </w:rPr>
        <w:t>phénomène</w:t>
      </w:r>
      <w:r>
        <w:rPr>
          <w:color w:val="231F20"/>
          <w:spacing w:val="-5"/>
          <w:w w:val="115"/>
        </w:rPr>
        <w:t> </w:t>
      </w:r>
      <w:r>
        <w:rPr>
          <w:color w:val="231F20"/>
          <w:w w:val="115"/>
        </w:rPr>
        <w:t>du</w:t>
      </w:r>
      <w:r>
        <w:rPr>
          <w:color w:val="231F20"/>
          <w:spacing w:val="-5"/>
          <w:w w:val="115"/>
        </w:rPr>
        <w:t> </w:t>
      </w:r>
      <w:r>
        <w:rPr>
          <w:color w:val="231F20"/>
          <w:w w:val="115"/>
        </w:rPr>
        <w:t>stress</w:t>
      </w:r>
      <w:r>
        <w:rPr>
          <w:color w:val="231F20"/>
          <w:spacing w:val="-5"/>
          <w:w w:val="115"/>
        </w:rPr>
        <w:t> </w:t>
      </w:r>
      <w:r>
        <w:rPr>
          <w:color w:val="231F20"/>
          <w:w w:val="115"/>
        </w:rPr>
        <w:t>pour</w:t>
      </w:r>
      <w:r>
        <w:rPr>
          <w:color w:val="231F20"/>
          <w:spacing w:val="-5"/>
          <w:w w:val="115"/>
        </w:rPr>
        <w:t> </w:t>
      </w:r>
      <w:r>
        <w:rPr>
          <w:color w:val="231F20"/>
          <w:w w:val="115"/>
        </w:rPr>
        <w:t>la</w:t>
      </w:r>
      <w:r>
        <w:rPr>
          <w:color w:val="231F20"/>
          <w:spacing w:val="-5"/>
          <w:w w:val="115"/>
        </w:rPr>
        <w:t> </w:t>
      </w:r>
      <w:r>
        <w:rPr>
          <w:color w:val="231F20"/>
          <w:w w:val="115"/>
        </w:rPr>
        <w:t>première fois</w:t>
      </w:r>
      <w:r>
        <w:rPr>
          <w:color w:val="231F20"/>
          <w:spacing w:val="-13"/>
          <w:w w:val="115"/>
        </w:rPr>
        <w:t> </w:t>
      </w:r>
      <w:r>
        <w:rPr>
          <w:color w:val="231F20"/>
          <w:w w:val="115"/>
        </w:rPr>
        <w:t>en</w:t>
      </w:r>
      <w:r>
        <w:rPr>
          <w:color w:val="231F20"/>
          <w:spacing w:val="-12"/>
          <w:w w:val="115"/>
        </w:rPr>
        <w:t> </w:t>
      </w:r>
      <w:r>
        <w:rPr>
          <w:color w:val="231F20"/>
          <w:w w:val="115"/>
        </w:rPr>
        <w:t>19361,</w:t>
      </w:r>
      <w:r>
        <w:rPr>
          <w:color w:val="231F20"/>
          <w:spacing w:val="-12"/>
          <w:w w:val="115"/>
        </w:rPr>
        <w:t> </w:t>
      </w:r>
      <w:r>
        <w:rPr>
          <w:color w:val="231F20"/>
          <w:w w:val="115"/>
        </w:rPr>
        <w:t>nous</w:t>
      </w:r>
      <w:r>
        <w:rPr>
          <w:color w:val="231F20"/>
          <w:spacing w:val="-12"/>
          <w:w w:val="115"/>
        </w:rPr>
        <w:t> </w:t>
      </w:r>
      <w:r>
        <w:rPr>
          <w:color w:val="231F20"/>
          <w:w w:val="115"/>
        </w:rPr>
        <w:t>en</w:t>
      </w:r>
      <w:r>
        <w:rPr>
          <w:color w:val="231F20"/>
          <w:spacing w:val="-13"/>
          <w:w w:val="115"/>
        </w:rPr>
        <w:t> </w:t>
      </w:r>
      <w:r>
        <w:rPr>
          <w:color w:val="231F20"/>
          <w:w w:val="115"/>
        </w:rPr>
        <w:t>savons</w:t>
      </w:r>
      <w:r>
        <w:rPr>
          <w:color w:val="231F20"/>
          <w:spacing w:val="-12"/>
          <w:w w:val="115"/>
        </w:rPr>
        <w:t> </w:t>
      </w:r>
      <w:r>
        <w:rPr>
          <w:color w:val="231F20"/>
          <w:w w:val="115"/>
        </w:rPr>
        <w:t>beaucoup</w:t>
      </w:r>
      <w:r>
        <w:rPr>
          <w:color w:val="231F20"/>
          <w:spacing w:val="-12"/>
          <w:w w:val="115"/>
        </w:rPr>
        <w:t> </w:t>
      </w:r>
      <w:r>
        <w:rPr>
          <w:color w:val="231F20"/>
          <w:w w:val="115"/>
        </w:rPr>
        <w:t>plus</w:t>
      </w:r>
      <w:r>
        <w:rPr>
          <w:color w:val="231F20"/>
          <w:spacing w:val="-12"/>
          <w:w w:val="115"/>
        </w:rPr>
        <w:t> </w:t>
      </w:r>
      <w:r>
        <w:rPr>
          <w:color w:val="231F20"/>
          <w:w w:val="115"/>
        </w:rPr>
        <w:t>sur</w:t>
      </w:r>
      <w:r>
        <w:rPr>
          <w:color w:val="231F20"/>
          <w:spacing w:val="-12"/>
          <w:w w:val="115"/>
        </w:rPr>
        <w:t> </w:t>
      </w:r>
      <w:r>
        <w:rPr>
          <w:color w:val="231F20"/>
          <w:w w:val="115"/>
        </w:rPr>
        <w:t>ce</w:t>
      </w:r>
      <w:r>
        <w:rPr>
          <w:color w:val="231F20"/>
          <w:spacing w:val="-13"/>
          <w:w w:val="115"/>
        </w:rPr>
        <w:t> </w:t>
      </w:r>
      <w:r>
        <w:rPr>
          <w:color w:val="231F20"/>
          <w:w w:val="115"/>
        </w:rPr>
        <w:t>phénomène,</w:t>
      </w:r>
      <w:r>
        <w:rPr>
          <w:color w:val="231F20"/>
          <w:spacing w:val="-12"/>
          <w:w w:val="115"/>
        </w:rPr>
        <w:t> </w:t>
      </w:r>
      <w:r>
        <w:rPr>
          <w:color w:val="231F20"/>
          <w:w w:val="115"/>
        </w:rPr>
        <w:t>ses</w:t>
      </w:r>
      <w:r>
        <w:rPr>
          <w:color w:val="231F20"/>
          <w:spacing w:val="-12"/>
          <w:w w:val="115"/>
        </w:rPr>
        <w:t> </w:t>
      </w:r>
      <w:r>
        <w:rPr>
          <w:color w:val="231F20"/>
          <w:w w:val="115"/>
        </w:rPr>
        <w:t>causes </w:t>
      </w:r>
      <w:r>
        <w:rPr>
          <w:color w:val="231F20"/>
          <w:w w:val="120"/>
        </w:rPr>
        <w:t>et ses conséquences, mais les statistiques indiquent paradoxalement qu’un nombre toujours croissant de travailleurs sont affectés par des problèmes associés au stress.</w:t>
      </w:r>
    </w:p>
    <w:p>
      <w:pPr>
        <w:pStyle w:val="BodyText"/>
        <w:spacing w:line="307" w:lineRule="auto" w:before="78"/>
        <w:ind w:left="1220" w:right="103" w:firstLine="250"/>
        <w:jc w:val="both"/>
      </w:pPr>
      <w:r>
        <w:rPr>
          <w:color w:val="231F20"/>
          <w:w w:val="120"/>
        </w:rPr>
        <w:t>Au</w:t>
      </w:r>
      <w:r>
        <w:rPr>
          <w:color w:val="231F20"/>
          <w:spacing w:val="-5"/>
          <w:w w:val="120"/>
        </w:rPr>
        <w:t> </w:t>
      </w:r>
      <w:r>
        <w:rPr>
          <w:color w:val="231F20"/>
          <w:w w:val="120"/>
        </w:rPr>
        <w:t>cours</w:t>
      </w:r>
      <w:r>
        <w:rPr>
          <w:color w:val="231F20"/>
          <w:spacing w:val="-5"/>
          <w:w w:val="120"/>
        </w:rPr>
        <w:t> </w:t>
      </w:r>
      <w:r>
        <w:rPr>
          <w:color w:val="231F20"/>
          <w:w w:val="120"/>
        </w:rPr>
        <w:t>des</w:t>
      </w:r>
      <w:r>
        <w:rPr>
          <w:color w:val="231F20"/>
          <w:spacing w:val="-5"/>
          <w:w w:val="120"/>
        </w:rPr>
        <w:t> </w:t>
      </w:r>
      <w:r>
        <w:rPr>
          <w:color w:val="231F20"/>
          <w:w w:val="120"/>
        </w:rPr>
        <w:t>50</w:t>
      </w:r>
      <w:r>
        <w:rPr>
          <w:color w:val="231F20"/>
          <w:spacing w:val="-5"/>
          <w:w w:val="120"/>
        </w:rPr>
        <w:t> </w:t>
      </w:r>
      <w:r>
        <w:rPr>
          <w:color w:val="231F20"/>
          <w:w w:val="120"/>
        </w:rPr>
        <w:t>dernières</w:t>
      </w:r>
      <w:r>
        <w:rPr>
          <w:color w:val="231F20"/>
          <w:spacing w:val="-5"/>
          <w:w w:val="120"/>
        </w:rPr>
        <w:t> </w:t>
      </w:r>
      <w:r>
        <w:rPr>
          <w:color w:val="231F20"/>
          <w:w w:val="120"/>
        </w:rPr>
        <w:t>années,</w:t>
      </w:r>
      <w:r>
        <w:rPr>
          <w:color w:val="231F20"/>
          <w:spacing w:val="-5"/>
          <w:w w:val="120"/>
        </w:rPr>
        <w:t> </w:t>
      </w:r>
      <w:r>
        <w:rPr>
          <w:color w:val="231F20"/>
          <w:w w:val="120"/>
        </w:rPr>
        <w:t>la</w:t>
      </w:r>
      <w:r>
        <w:rPr>
          <w:color w:val="231F20"/>
          <w:spacing w:val="-5"/>
          <w:w w:val="120"/>
        </w:rPr>
        <w:t> </w:t>
      </w:r>
      <w:r>
        <w:rPr>
          <w:color w:val="231F20"/>
          <w:w w:val="120"/>
        </w:rPr>
        <w:t>progression</w:t>
      </w:r>
      <w:r>
        <w:rPr>
          <w:color w:val="231F20"/>
          <w:spacing w:val="-5"/>
          <w:w w:val="120"/>
        </w:rPr>
        <w:t> </w:t>
      </w:r>
      <w:r>
        <w:rPr>
          <w:color w:val="231F20"/>
          <w:w w:val="120"/>
        </w:rPr>
        <w:t>des</w:t>
      </w:r>
      <w:r>
        <w:rPr>
          <w:color w:val="231F20"/>
          <w:spacing w:val="-5"/>
          <w:w w:val="120"/>
        </w:rPr>
        <w:t> </w:t>
      </w:r>
      <w:r>
        <w:rPr>
          <w:color w:val="231F20"/>
          <w:w w:val="120"/>
        </w:rPr>
        <w:t>connaissances sur</w:t>
      </w:r>
      <w:r>
        <w:rPr>
          <w:color w:val="231F20"/>
          <w:spacing w:val="-6"/>
          <w:w w:val="120"/>
        </w:rPr>
        <w:t> </w:t>
      </w:r>
      <w:r>
        <w:rPr>
          <w:color w:val="231F20"/>
          <w:w w:val="120"/>
        </w:rPr>
        <w:t>les</w:t>
      </w:r>
      <w:r>
        <w:rPr>
          <w:color w:val="231F20"/>
          <w:spacing w:val="-6"/>
          <w:w w:val="120"/>
        </w:rPr>
        <w:t> </w:t>
      </w:r>
      <w:r>
        <w:rPr>
          <w:color w:val="231F20"/>
          <w:w w:val="120"/>
        </w:rPr>
        <w:t>origines</w:t>
      </w:r>
      <w:r>
        <w:rPr>
          <w:color w:val="231F20"/>
          <w:spacing w:val="-6"/>
          <w:w w:val="120"/>
        </w:rPr>
        <w:t> </w:t>
      </w:r>
      <w:r>
        <w:rPr>
          <w:color w:val="231F20"/>
          <w:w w:val="120"/>
        </w:rPr>
        <w:t>et</w:t>
      </w:r>
      <w:r>
        <w:rPr>
          <w:color w:val="231F20"/>
          <w:spacing w:val="-6"/>
          <w:w w:val="120"/>
        </w:rPr>
        <w:t> </w:t>
      </w:r>
      <w:r>
        <w:rPr>
          <w:color w:val="231F20"/>
          <w:w w:val="120"/>
        </w:rPr>
        <w:t>les</w:t>
      </w:r>
      <w:r>
        <w:rPr>
          <w:color w:val="231F20"/>
          <w:spacing w:val="-6"/>
          <w:w w:val="120"/>
        </w:rPr>
        <w:t> </w:t>
      </w:r>
      <w:r>
        <w:rPr>
          <w:color w:val="231F20"/>
          <w:w w:val="120"/>
        </w:rPr>
        <w:t>conséquences</w:t>
      </w:r>
      <w:r>
        <w:rPr>
          <w:color w:val="231F20"/>
          <w:spacing w:val="-6"/>
          <w:w w:val="120"/>
        </w:rPr>
        <w:t> </w:t>
      </w:r>
      <w:r>
        <w:rPr>
          <w:color w:val="231F20"/>
          <w:w w:val="120"/>
        </w:rPr>
        <w:t>du</w:t>
      </w:r>
      <w:r>
        <w:rPr>
          <w:color w:val="231F20"/>
          <w:spacing w:val="-6"/>
          <w:w w:val="120"/>
        </w:rPr>
        <w:t> </w:t>
      </w:r>
      <w:r>
        <w:rPr>
          <w:color w:val="231F20"/>
          <w:w w:val="120"/>
        </w:rPr>
        <w:t>stress</w:t>
      </w:r>
      <w:r>
        <w:rPr>
          <w:color w:val="231F20"/>
          <w:spacing w:val="-6"/>
          <w:w w:val="120"/>
        </w:rPr>
        <w:t> </w:t>
      </w:r>
      <w:r>
        <w:rPr>
          <w:color w:val="231F20"/>
          <w:w w:val="120"/>
        </w:rPr>
        <w:t>professionnel</w:t>
      </w:r>
      <w:r>
        <w:rPr>
          <w:color w:val="231F20"/>
          <w:spacing w:val="-6"/>
          <w:w w:val="120"/>
        </w:rPr>
        <w:t> </w:t>
      </w:r>
      <w:r>
        <w:rPr>
          <w:color w:val="231F20"/>
          <w:w w:val="120"/>
        </w:rPr>
        <w:t>a</w:t>
      </w:r>
      <w:r>
        <w:rPr>
          <w:color w:val="231F20"/>
          <w:spacing w:val="-6"/>
          <w:w w:val="120"/>
        </w:rPr>
        <w:t> </w:t>
      </w:r>
      <w:r>
        <w:rPr>
          <w:color w:val="231F20"/>
          <w:w w:val="120"/>
        </w:rPr>
        <w:t>été</w:t>
      </w:r>
      <w:r>
        <w:rPr>
          <w:color w:val="231F20"/>
          <w:spacing w:val="-6"/>
          <w:w w:val="120"/>
        </w:rPr>
        <w:t> </w:t>
      </w:r>
      <w:r>
        <w:rPr>
          <w:color w:val="231F20"/>
          <w:w w:val="120"/>
        </w:rPr>
        <w:t>fulgu- rante2.</w:t>
      </w:r>
      <w:r>
        <w:rPr>
          <w:color w:val="231F20"/>
          <w:spacing w:val="-3"/>
          <w:w w:val="120"/>
        </w:rPr>
        <w:t> </w:t>
      </w:r>
      <w:r>
        <w:rPr>
          <w:color w:val="231F20"/>
          <w:w w:val="120"/>
        </w:rPr>
        <w:t>Par</w:t>
      </w:r>
      <w:r>
        <w:rPr>
          <w:color w:val="231F20"/>
          <w:spacing w:val="-3"/>
          <w:w w:val="120"/>
        </w:rPr>
        <w:t> </w:t>
      </w:r>
      <w:r>
        <w:rPr>
          <w:color w:val="231F20"/>
          <w:w w:val="120"/>
        </w:rPr>
        <w:t>la</w:t>
      </w:r>
      <w:r>
        <w:rPr>
          <w:color w:val="231F20"/>
          <w:spacing w:val="-3"/>
          <w:w w:val="120"/>
        </w:rPr>
        <w:t> </w:t>
      </w:r>
      <w:r>
        <w:rPr>
          <w:color w:val="231F20"/>
          <w:w w:val="120"/>
        </w:rPr>
        <w:t>reconnaissance</w:t>
      </w:r>
      <w:r>
        <w:rPr>
          <w:color w:val="231F20"/>
          <w:spacing w:val="-3"/>
          <w:w w:val="120"/>
        </w:rPr>
        <w:t> </w:t>
      </w:r>
      <w:r>
        <w:rPr>
          <w:color w:val="231F20"/>
          <w:w w:val="120"/>
        </w:rPr>
        <w:t>de</w:t>
      </w:r>
      <w:r>
        <w:rPr>
          <w:color w:val="231F20"/>
          <w:spacing w:val="-3"/>
          <w:w w:val="120"/>
        </w:rPr>
        <w:t> </w:t>
      </w:r>
      <w:r>
        <w:rPr>
          <w:color w:val="231F20"/>
          <w:w w:val="120"/>
        </w:rPr>
        <w:t>l’incidence</w:t>
      </w:r>
      <w:r>
        <w:rPr>
          <w:color w:val="231F20"/>
          <w:spacing w:val="-3"/>
          <w:w w:val="120"/>
        </w:rPr>
        <w:t> </w:t>
      </w:r>
      <w:r>
        <w:rPr>
          <w:color w:val="231F20"/>
          <w:w w:val="120"/>
        </w:rPr>
        <w:t>déterminante</w:t>
      </w:r>
      <w:r>
        <w:rPr>
          <w:color w:val="231F20"/>
          <w:spacing w:val="-3"/>
          <w:w w:val="120"/>
        </w:rPr>
        <w:t> </w:t>
      </w:r>
      <w:r>
        <w:rPr>
          <w:color w:val="231F20"/>
          <w:w w:val="120"/>
        </w:rPr>
        <w:t>du</w:t>
      </w:r>
      <w:r>
        <w:rPr>
          <w:color w:val="231F20"/>
          <w:spacing w:val="-3"/>
          <w:w w:val="120"/>
        </w:rPr>
        <w:t> </w:t>
      </w:r>
      <w:r>
        <w:rPr>
          <w:color w:val="231F20"/>
          <w:w w:val="120"/>
        </w:rPr>
        <w:t>stress</w:t>
      </w:r>
      <w:r>
        <w:rPr>
          <w:color w:val="231F20"/>
          <w:spacing w:val="-3"/>
          <w:w w:val="120"/>
        </w:rPr>
        <w:t> </w:t>
      </w:r>
      <w:r>
        <w:rPr>
          <w:color w:val="231F20"/>
          <w:w w:val="120"/>
        </w:rPr>
        <w:t>sur </w:t>
      </w:r>
      <w:r>
        <w:rPr>
          <w:color w:val="231F20"/>
          <w:spacing w:val="-2"/>
          <w:w w:val="120"/>
        </w:rPr>
        <w:t>la</w:t>
      </w:r>
      <w:r>
        <w:rPr>
          <w:color w:val="231F20"/>
          <w:spacing w:val="-10"/>
          <w:w w:val="120"/>
        </w:rPr>
        <w:t> </w:t>
      </w:r>
      <w:r>
        <w:rPr>
          <w:color w:val="231F20"/>
          <w:spacing w:val="-2"/>
          <w:w w:val="120"/>
        </w:rPr>
        <w:t>santé</w:t>
      </w:r>
      <w:r>
        <w:rPr>
          <w:color w:val="231F20"/>
          <w:spacing w:val="-10"/>
          <w:w w:val="120"/>
        </w:rPr>
        <w:t> </w:t>
      </w:r>
      <w:r>
        <w:rPr>
          <w:color w:val="231F20"/>
          <w:spacing w:val="-2"/>
          <w:w w:val="120"/>
        </w:rPr>
        <w:t>des</w:t>
      </w:r>
      <w:r>
        <w:rPr>
          <w:color w:val="231F20"/>
          <w:spacing w:val="-10"/>
          <w:w w:val="120"/>
        </w:rPr>
        <w:t> </w:t>
      </w:r>
      <w:r>
        <w:rPr>
          <w:color w:val="231F20"/>
          <w:spacing w:val="-2"/>
          <w:w w:val="120"/>
        </w:rPr>
        <w:t>travailleurs,</w:t>
      </w:r>
      <w:r>
        <w:rPr>
          <w:color w:val="231F20"/>
          <w:spacing w:val="-10"/>
          <w:w w:val="120"/>
        </w:rPr>
        <w:t> </w:t>
      </w:r>
      <w:r>
        <w:rPr>
          <w:color w:val="231F20"/>
          <w:spacing w:val="-2"/>
          <w:w w:val="120"/>
        </w:rPr>
        <w:t>nombre</w:t>
      </w:r>
      <w:r>
        <w:rPr>
          <w:color w:val="231F20"/>
          <w:spacing w:val="-10"/>
          <w:w w:val="120"/>
        </w:rPr>
        <w:t> </w:t>
      </w:r>
      <w:r>
        <w:rPr>
          <w:color w:val="231F20"/>
          <w:spacing w:val="-2"/>
          <w:w w:val="120"/>
        </w:rPr>
        <w:t>d’universitaires</w:t>
      </w:r>
      <w:r>
        <w:rPr>
          <w:color w:val="231F20"/>
          <w:spacing w:val="-10"/>
          <w:w w:val="120"/>
        </w:rPr>
        <w:t> </w:t>
      </w:r>
      <w:r>
        <w:rPr>
          <w:color w:val="231F20"/>
          <w:spacing w:val="-2"/>
          <w:w w:val="120"/>
        </w:rPr>
        <w:t>et</w:t>
      </w:r>
      <w:r>
        <w:rPr>
          <w:color w:val="231F20"/>
          <w:spacing w:val="-10"/>
          <w:w w:val="120"/>
        </w:rPr>
        <w:t> </w:t>
      </w:r>
      <w:r>
        <w:rPr>
          <w:color w:val="231F20"/>
          <w:spacing w:val="-2"/>
          <w:w w:val="120"/>
        </w:rPr>
        <w:t>de</w:t>
      </w:r>
      <w:r>
        <w:rPr>
          <w:color w:val="231F20"/>
          <w:spacing w:val="-10"/>
          <w:w w:val="120"/>
        </w:rPr>
        <w:t> </w:t>
      </w:r>
      <w:r>
        <w:rPr>
          <w:color w:val="231F20"/>
          <w:spacing w:val="-2"/>
          <w:w w:val="120"/>
        </w:rPr>
        <w:t>chercheurs</w:t>
      </w:r>
      <w:r>
        <w:rPr>
          <w:color w:val="231F20"/>
          <w:spacing w:val="-10"/>
          <w:w w:val="120"/>
        </w:rPr>
        <w:t> </w:t>
      </w:r>
      <w:r>
        <w:rPr>
          <w:color w:val="231F20"/>
          <w:spacing w:val="-2"/>
          <w:w w:val="120"/>
        </w:rPr>
        <w:t>se</w:t>
      </w:r>
      <w:r>
        <w:rPr>
          <w:color w:val="231F20"/>
          <w:spacing w:val="-10"/>
          <w:w w:val="120"/>
        </w:rPr>
        <w:t> </w:t>
      </w:r>
      <w:r>
        <w:rPr>
          <w:color w:val="231F20"/>
          <w:spacing w:val="-2"/>
          <w:w w:val="120"/>
        </w:rPr>
        <w:t>sont</w:t>
      </w:r>
    </w:p>
    <w:p>
      <w:pPr>
        <w:pStyle w:val="BodyText"/>
        <w:rPr>
          <w:sz w:val="20"/>
        </w:rPr>
      </w:pPr>
    </w:p>
    <w:p>
      <w:pPr>
        <w:pStyle w:val="BodyText"/>
        <w:spacing w:before="9"/>
        <w:rPr>
          <w:sz w:val="16"/>
        </w:rPr>
      </w:pPr>
      <w:r>
        <w:rPr/>
        <w:pict>
          <v:shape style="position:absolute;margin-left:82pt;margin-top:10.890229pt;width:287.5pt;height:.1pt;mso-position-horizontal-relative:page;mso-position-vertical-relative:paragraph;z-index:-15633408;mso-wrap-distance-left:0;mso-wrap-distance-right:0" id="docshape1014" coordorigin="1640,218" coordsize="5750,0" path="m1640,218l7390,218e" filled="false" stroked="true" strokeweight=".25pt" strokecolor="#231f20">
            <v:path arrowok="t"/>
            <v:stroke dashstyle="shortdot"/>
            <w10:wrap type="topAndBottom"/>
          </v:shape>
        </w:pict>
      </w:r>
    </w:p>
    <w:p>
      <w:pPr>
        <w:pStyle w:val="ListParagraph"/>
        <w:numPr>
          <w:ilvl w:val="2"/>
          <w:numId w:val="75"/>
        </w:numPr>
        <w:tabs>
          <w:tab w:pos="1219" w:val="left" w:leader="none"/>
          <w:tab w:pos="1220" w:val="left" w:leader="none"/>
        </w:tabs>
        <w:spacing w:line="240" w:lineRule="auto" w:before="135" w:after="0"/>
        <w:ind w:left="1219" w:right="0" w:hanging="328"/>
        <w:jc w:val="left"/>
        <w:rPr>
          <w:rFonts w:ascii="Arial"/>
          <w:sz w:val="12"/>
        </w:rPr>
      </w:pPr>
      <w:r>
        <w:rPr>
          <w:rFonts w:ascii="Arial"/>
          <w:color w:val="231F20"/>
          <w:sz w:val="12"/>
        </w:rPr>
        <w:t>Selye,</w:t>
      </w:r>
      <w:r>
        <w:rPr>
          <w:rFonts w:ascii="Arial"/>
          <w:color w:val="231F20"/>
          <w:spacing w:val="-8"/>
          <w:sz w:val="12"/>
        </w:rPr>
        <w:t> </w:t>
      </w:r>
      <w:r>
        <w:rPr>
          <w:rFonts w:ascii="Arial"/>
          <w:color w:val="231F20"/>
          <w:sz w:val="12"/>
        </w:rPr>
        <w:t>H.</w:t>
      </w:r>
      <w:r>
        <w:rPr>
          <w:rFonts w:ascii="Arial"/>
          <w:color w:val="231F20"/>
          <w:spacing w:val="-8"/>
          <w:sz w:val="12"/>
        </w:rPr>
        <w:t> </w:t>
      </w:r>
      <w:r>
        <w:rPr>
          <w:rFonts w:ascii="Arial"/>
          <w:color w:val="231F20"/>
          <w:sz w:val="12"/>
        </w:rPr>
        <w:t>(1936).</w:t>
      </w:r>
      <w:r>
        <w:rPr>
          <w:rFonts w:ascii="Arial"/>
          <w:color w:val="231F20"/>
          <w:spacing w:val="-8"/>
          <w:sz w:val="12"/>
        </w:rPr>
        <w:t> </w:t>
      </w:r>
      <w:r>
        <w:rPr>
          <w:rFonts w:ascii="Arial"/>
          <w:color w:val="231F20"/>
          <w:sz w:val="12"/>
        </w:rPr>
        <w:t>A</w:t>
      </w:r>
      <w:r>
        <w:rPr>
          <w:rFonts w:ascii="Arial"/>
          <w:color w:val="231F20"/>
          <w:spacing w:val="-8"/>
          <w:sz w:val="12"/>
        </w:rPr>
        <w:t> </w:t>
      </w:r>
      <w:r>
        <w:rPr>
          <w:rFonts w:ascii="Arial"/>
          <w:color w:val="231F20"/>
          <w:sz w:val="12"/>
        </w:rPr>
        <w:t>syndrome</w:t>
      </w:r>
      <w:r>
        <w:rPr>
          <w:rFonts w:ascii="Arial"/>
          <w:color w:val="231F20"/>
          <w:spacing w:val="-8"/>
          <w:sz w:val="12"/>
        </w:rPr>
        <w:t> </w:t>
      </w:r>
      <w:r>
        <w:rPr>
          <w:rFonts w:ascii="Arial"/>
          <w:color w:val="231F20"/>
          <w:sz w:val="12"/>
        </w:rPr>
        <w:t>produced</w:t>
      </w:r>
      <w:r>
        <w:rPr>
          <w:rFonts w:ascii="Arial"/>
          <w:color w:val="231F20"/>
          <w:spacing w:val="-8"/>
          <w:sz w:val="12"/>
        </w:rPr>
        <w:t> </w:t>
      </w:r>
      <w:r>
        <w:rPr>
          <w:rFonts w:ascii="Arial"/>
          <w:color w:val="231F20"/>
          <w:sz w:val="12"/>
        </w:rPr>
        <w:t>by</w:t>
      </w:r>
      <w:r>
        <w:rPr>
          <w:rFonts w:ascii="Arial"/>
          <w:color w:val="231F20"/>
          <w:spacing w:val="-7"/>
          <w:sz w:val="12"/>
        </w:rPr>
        <w:t> </w:t>
      </w:r>
      <w:r>
        <w:rPr>
          <w:rFonts w:ascii="Arial"/>
          <w:color w:val="231F20"/>
          <w:sz w:val="12"/>
        </w:rPr>
        <w:t>diverse</w:t>
      </w:r>
      <w:r>
        <w:rPr>
          <w:rFonts w:ascii="Arial"/>
          <w:color w:val="231F20"/>
          <w:spacing w:val="-8"/>
          <w:sz w:val="12"/>
        </w:rPr>
        <w:t> </w:t>
      </w:r>
      <w:r>
        <w:rPr>
          <w:rFonts w:ascii="Arial"/>
          <w:color w:val="231F20"/>
          <w:sz w:val="12"/>
        </w:rPr>
        <w:t>nocuous</w:t>
      </w:r>
      <w:r>
        <w:rPr>
          <w:rFonts w:ascii="Arial"/>
          <w:color w:val="231F20"/>
          <w:spacing w:val="-8"/>
          <w:sz w:val="12"/>
        </w:rPr>
        <w:t> </w:t>
      </w:r>
      <w:r>
        <w:rPr>
          <w:rFonts w:ascii="Arial"/>
          <w:color w:val="231F20"/>
          <w:sz w:val="12"/>
        </w:rPr>
        <w:t>agents,</w:t>
      </w:r>
      <w:r>
        <w:rPr>
          <w:rFonts w:ascii="Arial"/>
          <w:color w:val="231F20"/>
          <w:spacing w:val="-8"/>
          <w:sz w:val="12"/>
        </w:rPr>
        <w:t> </w:t>
      </w:r>
      <w:r>
        <w:rPr>
          <w:rFonts w:ascii="Arial"/>
          <w:i/>
          <w:color w:val="231F20"/>
          <w:sz w:val="12"/>
        </w:rPr>
        <w:t>Nature</w:t>
      </w:r>
      <w:r>
        <w:rPr>
          <w:rFonts w:ascii="Arial"/>
          <w:color w:val="231F20"/>
          <w:sz w:val="12"/>
        </w:rPr>
        <w:t>,</w:t>
      </w:r>
      <w:r>
        <w:rPr>
          <w:rFonts w:ascii="Arial"/>
          <w:color w:val="231F20"/>
          <w:spacing w:val="-8"/>
          <w:sz w:val="12"/>
        </w:rPr>
        <w:t> </w:t>
      </w:r>
      <w:r>
        <w:rPr>
          <w:rFonts w:ascii="Arial"/>
          <w:i/>
          <w:color w:val="231F20"/>
          <w:sz w:val="12"/>
        </w:rPr>
        <w:t>138</w:t>
      </w:r>
      <w:r>
        <w:rPr>
          <w:rFonts w:ascii="Arial"/>
          <w:color w:val="231F20"/>
          <w:sz w:val="12"/>
        </w:rPr>
        <w:t>,</w:t>
      </w:r>
      <w:r>
        <w:rPr>
          <w:rFonts w:ascii="Arial"/>
          <w:color w:val="231F20"/>
          <w:spacing w:val="-8"/>
          <w:sz w:val="12"/>
        </w:rPr>
        <w:t> </w:t>
      </w:r>
      <w:r>
        <w:rPr>
          <w:rFonts w:ascii="Arial"/>
          <w:color w:val="231F20"/>
          <w:spacing w:val="-5"/>
          <w:sz w:val="12"/>
        </w:rPr>
        <w:t>32.</w:t>
      </w:r>
    </w:p>
    <w:p>
      <w:pPr>
        <w:pStyle w:val="ListParagraph"/>
        <w:numPr>
          <w:ilvl w:val="2"/>
          <w:numId w:val="75"/>
        </w:numPr>
        <w:tabs>
          <w:tab w:pos="1219" w:val="left" w:leader="none"/>
          <w:tab w:pos="1220" w:val="left" w:leader="none"/>
        </w:tabs>
        <w:spacing w:line="295" w:lineRule="auto" w:before="32" w:after="0"/>
        <w:ind w:left="1219" w:right="109" w:hanging="328"/>
        <w:jc w:val="left"/>
        <w:rPr>
          <w:rFonts w:ascii="Arial" w:hAnsi="Arial"/>
          <w:sz w:val="12"/>
        </w:rPr>
      </w:pPr>
      <w:r>
        <w:rPr>
          <w:rFonts w:ascii="Arial" w:hAnsi="Arial"/>
          <w:color w:val="231F20"/>
          <w:spacing w:val="-2"/>
          <w:sz w:val="12"/>
        </w:rPr>
        <w:t>Montano, D., Hoven, H. et Siegrist, J. (2014). Effects of organisational-level interventions at work on employees’</w:t>
      </w:r>
      <w:r>
        <w:rPr>
          <w:rFonts w:ascii="Arial" w:hAnsi="Arial"/>
          <w:color w:val="231F20"/>
          <w:spacing w:val="40"/>
          <w:sz w:val="12"/>
        </w:rPr>
        <w:t> </w:t>
      </w:r>
      <w:r>
        <w:rPr>
          <w:rFonts w:ascii="Arial" w:hAnsi="Arial"/>
          <w:color w:val="231F20"/>
          <w:sz w:val="12"/>
        </w:rPr>
        <w:t>health: A systematic review, </w:t>
      </w:r>
      <w:r>
        <w:rPr>
          <w:rFonts w:ascii="Arial" w:hAnsi="Arial"/>
          <w:i/>
          <w:color w:val="231F20"/>
          <w:sz w:val="12"/>
        </w:rPr>
        <w:t>Public Health</w:t>
      </w:r>
      <w:r>
        <w:rPr>
          <w:rFonts w:ascii="Arial" w:hAnsi="Arial"/>
          <w:color w:val="231F20"/>
          <w:sz w:val="12"/>
        </w:rPr>
        <w:t>, </w:t>
      </w:r>
      <w:r>
        <w:rPr>
          <w:rFonts w:ascii="Arial" w:hAnsi="Arial"/>
          <w:i/>
          <w:color w:val="231F20"/>
          <w:sz w:val="12"/>
        </w:rPr>
        <w:t>14</w:t>
      </w:r>
      <w:r>
        <w:rPr>
          <w:rFonts w:ascii="Arial" w:hAnsi="Arial"/>
          <w:color w:val="231F20"/>
          <w:sz w:val="12"/>
        </w:rPr>
        <w:t>, 135.</w:t>
      </w:r>
    </w:p>
    <w:p>
      <w:pPr>
        <w:spacing w:after="0" w:line="295" w:lineRule="auto"/>
        <w:jc w:val="left"/>
        <w:rPr>
          <w:rFonts w:ascii="Arial" w:hAnsi="Arial"/>
          <w:sz w:val="12"/>
        </w:rPr>
        <w:sectPr>
          <w:footerReference w:type="default" r:id="rId286"/>
          <w:pgSz w:w="8640" w:h="12960"/>
          <w:pgMar w:footer="0" w:header="0"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4"/>
        <w:jc w:val="both"/>
      </w:pPr>
      <w:r>
        <w:rPr>
          <w:color w:val="231F20"/>
          <w:w w:val="120"/>
        </w:rPr>
        <w:t>engagés</w:t>
      </w:r>
      <w:r>
        <w:rPr>
          <w:color w:val="231F20"/>
          <w:spacing w:val="-9"/>
          <w:w w:val="120"/>
        </w:rPr>
        <w:t> </w:t>
      </w:r>
      <w:r>
        <w:rPr>
          <w:color w:val="231F20"/>
          <w:w w:val="120"/>
        </w:rPr>
        <w:t>dans</w:t>
      </w:r>
      <w:r>
        <w:rPr>
          <w:color w:val="231F20"/>
          <w:spacing w:val="-9"/>
          <w:w w:val="120"/>
        </w:rPr>
        <w:t> </w:t>
      </w:r>
      <w:r>
        <w:rPr>
          <w:color w:val="231F20"/>
          <w:w w:val="120"/>
        </w:rPr>
        <w:t>la</w:t>
      </w:r>
      <w:r>
        <w:rPr>
          <w:color w:val="231F20"/>
          <w:spacing w:val="-9"/>
          <w:w w:val="120"/>
        </w:rPr>
        <w:t> </w:t>
      </w:r>
      <w:r>
        <w:rPr>
          <w:color w:val="231F20"/>
          <w:w w:val="120"/>
        </w:rPr>
        <w:t>voie</w:t>
      </w:r>
      <w:r>
        <w:rPr>
          <w:color w:val="231F20"/>
          <w:spacing w:val="-9"/>
          <w:w w:val="120"/>
        </w:rPr>
        <w:t> </w:t>
      </w:r>
      <w:r>
        <w:rPr>
          <w:color w:val="231F20"/>
          <w:w w:val="120"/>
        </w:rPr>
        <w:t>de</w:t>
      </w:r>
      <w:r>
        <w:rPr>
          <w:color w:val="231F20"/>
          <w:spacing w:val="-9"/>
          <w:w w:val="120"/>
        </w:rPr>
        <w:t> </w:t>
      </w:r>
      <w:r>
        <w:rPr>
          <w:color w:val="231F20"/>
          <w:w w:val="120"/>
        </w:rPr>
        <w:t>l’élucidation</w:t>
      </w:r>
      <w:r>
        <w:rPr>
          <w:color w:val="231F20"/>
          <w:spacing w:val="-9"/>
          <w:w w:val="120"/>
        </w:rPr>
        <w:t> </w:t>
      </w:r>
      <w:r>
        <w:rPr>
          <w:color w:val="231F20"/>
          <w:w w:val="120"/>
        </w:rPr>
        <w:t>des</w:t>
      </w:r>
      <w:r>
        <w:rPr>
          <w:color w:val="231F20"/>
          <w:spacing w:val="-9"/>
          <w:w w:val="120"/>
        </w:rPr>
        <w:t> </w:t>
      </w:r>
      <w:r>
        <w:rPr>
          <w:color w:val="231F20"/>
          <w:w w:val="120"/>
        </w:rPr>
        <w:t>fondements</w:t>
      </w:r>
      <w:r>
        <w:rPr>
          <w:color w:val="231F20"/>
          <w:spacing w:val="-9"/>
          <w:w w:val="120"/>
        </w:rPr>
        <w:t> </w:t>
      </w:r>
      <w:r>
        <w:rPr>
          <w:color w:val="231F20"/>
          <w:w w:val="120"/>
        </w:rPr>
        <w:t>de</w:t>
      </w:r>
      <w:r>
        <w:rPr>
          <w:color w:val="231F20"/>
          <w:spacing w:val="-9"/>
          <w:w w:val="120"/>
        </w:rPr>
        <w:t> </w:t>
      </w:r>
      <w:r>
        <w:rPr>
          <w:color w:val="231F20"/>
          <w:w w:val="120"/>
        </w:rPr>
        <w:t>ce</w:t>
      </w:r>
      <w:r>
        <w:rPr>
          <w:color w:val="231F20"/>
          <w:spacing w:val="-9"/>
          <w:w w:val="120"/>
        </w:rPr>
        <w:t> </w:t>
      </w:r>
      <w:r>
        <w:rPr>
          <w:color w:val="231F20"/>
          <w:w w:val="120"/>
        </w:rPr>
        <w:t>phénomène </w:t>
      </w:r>
      <w:r>
        <w:rPr>
          <w:color w:val="231F20"/>
          <w:w w:val="115"/>
        </w:rPr>
        <w:t>organisationnel. Et force est de reconnaître qu’ils ont été efficaces. Nous </w:t>
      </w:r>
      <w:r>
        <w:rPr>
          <w:color w:val="231F20"/>
          <w:w w:val="120"/>
        </w:rPr>
        <w:t>possédons actuellement un solide corpus d’explications des tenants et des</w:t>
      </w:r>
      <w:r>
        <w:rPr>
          <w:color w:val="231F20"/>
          <w:spacing w:val="-8"/>
          <w:w w:val="120"/>
        </w:rPr>
        <w:t> </w:t>
      </w:r>
      <w:r>
        <w:rPr>
          <w:color w:val="231F20"/>
          <w:w w:val="120"/>
        </w:rPr>
        <w:t>aboutissants</w:t>
      </w:r>
      <w:r>
        <w:rPr>
          <w:color w:val="231F20"/>
          <w:spacing w:val="-8"/>
          <w:w w:val="120"/>
        </w:rPr>
        <w:t> </w:t>
      </w:r>
      <w:r>
        <w:rPr>
          <w:color w:val="231F20"/>
          <w:w w:val="120"/>
        </w:rPr>
        <w:t>du</w:t>
      </w:r>
      <w:r>
        <w:rPr>
          <w:color w:val="231F20"/>
          <w:spacing w:val="-8"/>
          <w:w w:val="120"/>
        </w:rPr>
        <w:t> </w:t>
      </w:r>
      <w:r>
        <w:rPr>
          <w:color w:val="231F20"/>
          <w:w w:val="120"/>
        </w:rPr>
        <w:t>stress</w:t>
      </w:r>
      <w:r>
        <w:rPr>
          <w:color w:val="231F20"/>
          <w:spacing w:val="-8"/>
          <w:w w:val="120"/>
        </w:rPr>
        <w:t> </w:t>
      </w:r>
      <w:r>
        <w:rPr>
          <w:color w:val="231F20"/>
          <w:w w:val="120"/>
        </w:rPr>
        <w:t>au</w:t>
      </w:r>
      <w:r>
        <w:rPr>
          <w:color w:val="231F20"/>
          <w:spacing w:val="-8"/>
          <w:w w:val="120"/>
        </w:rPr>
        <w:t> </w:t>
      </w:r>
      <w:r>
        <w:rPr>
          <w:color w:val="231F20"/>
          <w:w w:val="120"/>
        </w:rPr>
        <w:t>travail.</w:t>
      </w:r>
      <w:r>
        <w:rPr>
          <w:color w:val="231F20"/>
          <w:spacing w:val="-8"/>
          <w:w w:val="120"/>
        </w:rPr>
        <w:t> </w:t>
      </w:r>
      <w:r>
        <w:rPr>
          <w:color w:val="231F20"/>
          <w:w w:val="120"/>
        </w:rPr>
        <w:t>Dans</w:t>
      </w:r>
      <w:r>
        <w:rPr>
          <w:color w:val="231F20"/>
          <w:spacing w:val="-8"/>
          <w:w w:val="120"/>
        </w:rPr>
        <w:t> </w:t>
      </w:r>
      <w:r>
        <w:rPr>
          <w:color w:val="231F20"/>
          <w:w w:val="120"/>
        </w:rPr>
        <w:t>les</w:t>
      </w:r>
      <w:r>
        <w:rPr>
          <w:color w:val="231F20"/>
          <w:spacing w:val="-8"/>
          <w:w w:val="120"/>
        </w:rPr>
        <w:t> </w:t>
      </w:r>
      <w:r>
        <w:rPr>
          <w:color w:val="231F20"/>
          <w:w w:val="120"/>
        </w:rPr>
        <w:t>faits,</w:t>
      </w:r>
      <w:r>
        <w:rPr>
          <w:color w:val="231F20"/>
          <w:spacing w:val="-8"/>
          <w:w w:val="120"/>
        </w:rPr>
        <w:t> </w:t>
      </w:r>
      <w:r>
        <w:rPr>
          <w:color w:val="231F20"/>
          <w:w w:val="120"/>
        </w:rPr>
        <w:t>bien</w:t>
      </w:r>
      <w:r>
        <w:rPr>
          <w:color w:val="231F20"/>
          <w:spacing w:val="-8"/>
          <w:w w:val="120"/>
        </w:rPr>
        <w:t> </w:t>
      </w:r>
      <w:r>
        <w:rPr>
          <w:color w:val="231F20"/>
          <w:w w:val="120"/>
        </w:rPr>
        <w:t>qu’encore</w:t>
      </w:r>
      <w:r>
        <w:rPr>
          <w:color w:val="231F20"/>
          <w:spacing w:val="-8"/>
          <w:w w:val="120"/>
        </w:rPr>
        <w:t> </w:t>
      </w:r>
      <w:r>
        <w:rPr>
          <w:color w:val="231F20"/>
          <w:w w:val="120"/>
        </w:rPr>
        <w:t>per- </w:t>
      </w:r>
      <w:r>
        <w:rPr>
          <w:color w:val="231F20"/>
          <w:w w:val="115"/>
        </w:rPr>
        <w:t>fectibles,</w:t>
      </w:r>
      <w:r>
        <w:rPr>
          <w:color w:val="231F20"/>
          <w:spacing w:val="-1"/>
          <w:w w:val="115"/>
        </w:rPr>
        <w:t> </w:t>
      </w:r>
      <w:r>
        <w:rPr>
          <w:color w:val="231F20"/>
          <w:w w:val="115"/>
        </w:rPr>
        <w:t>nos</w:t>
      </w:r>
      <w:r>
        <w:rPr>
          <w:color w:val="231F20"/>
          <w:spacing w:val="-1"/>
          <w:w w:val="115"/>
        </w:rPr>
        <w:t> </w:t>
      </w:r>
      <w:r>
        <w:rPr>
          <w:color w:val="231F20"/>
          <w:w w:val="115"/>
        </w:rPr>
        <w:t>savoirs</w:t>
      </w:r>
      <w:r>
        <w:rPr>
          <w:color w:val="231F20"/>
          <w:spacing w:val="-1"/>
          <w:w w:val="115"/>
        </w:rPr>
        <w:t> </w:t>
      </w:r>
      <w:r>
        <w:rPr>
          <w:color w:val="231F20"/>
          <w:w w:val="115"/>
        </w:rPr>
        <w:t>sur</w:t>
      </w:r>
      <w:r>
        <w:rPr>
          <w:color w:val="231F20"/>
          <w:spacing w:val="-1"/>
          <w:w w:val="115"/>
        </w:rPr>
        <w:t> </w:t>
      </w:r>
      <w:r>
        <w:rPr>
          <w:color w:val="231F20"/>
          <w:w w:val="115"/>
        </w:rPr>
        <w:t>le</w:t>
      </w:r>
      <w:r>
        <w:rPr>
          <w:color w:val="231F20"/>
          <w:spacing w:val="-1"/>
          <w:w w:val="115"/>
        </w:rPr>
        <w:t> </w:t>
      </w:r>
      <w:r>
        <w:rPr>
          <w:color w:val="231F20"/>
          <w:w w:val="115"/>
        </w:rPr>
        <w:t>stress</w:t>
      </w:r>
      <w:r>
        <w:rPr>
          <w:color w:val="231F20"/>
          <w:spacing w:val="-1"/>
          <w:w w:val="115"/>
        </w:rPr>
        <w:t> </w:t>
      </w:r>
      <w:r>
        <w:rPr>
          <w:color w:val="231F20"/>
          <w:w w:val="115"/>
        </w:rPr>
        <w:t>professionnel</w:t>
      </w:r>
      <w:r>
        <w:rPr>
          <w:color w:val="231F20"/>
          <w:spacing w:val="-1"/>
          <w:w w:val="115"/>
        </w:rPr>
        <w:t> </w:t>
      </w:r>
      <w:r>
        <w:rPr>
          <w:color w:val="231F20"/>
          <w:w w:val="115"/>
        </w:rPr>
        <w:t>et</w:t>
      </w:r>
      <w:r>
        <w:rPr>
          <w:color w:val="231F20"/>
          <w:spacing w:val="-1"/>
          <w:w w:val="115"/>
        </w:rPr>
        <w:t> </w:t>
      </w:r>
      <w:r>
        <w:rPr>
          <w:color w:val="231F20"/>
          <w:w w:val="115"/>
        </w:rPr>
        <w:t>la</w:t>
      </w:r>
      <w:r>
        <w:rPr>
          <w:color w:val="231F20"/>
          <w:spacing w:val="-1"/>
          <w:w w:val="115"/>
        </w:rPr>
        <w:t> </w:t>
      </w:r>
      <w:r>
        <w:rPr>
          <w:color w:val="231F20"/>
          <w:w w:val="115"/>
        </w:rPr>
        <w:t>santé</w:t>
      </w:r>
      <w:r>
        <w:rPr>
          <w:color w:val="231F20"/>
          <w:spacing w:val="-1"/>
          <w:w w:val="115"/>
        </w:rPr>
        <w:t> </w:t>
      </w:r>
      <w:r>
        <w:rPr>
          <w:color w:val="231F20"/>
          <w:w w:val="115"/>
        </w:rPr>
        <w:t>psychologique </w:t>
      </w:r>
      <w:r>
        <w:rPr>
          <w:color w:val="231F20"/>
          <w:w w:val="120"/>
        </w:rPr>
        <w:t>au travail n’ont jamais été aussi avancés qu’ils le sont maintenant.</w:t>
      </w:r>
    </w:p>
    <w:p>
      <w:pPr>
        <w:pStyle w:val="BodyText"/>
        <w:spacing w:line="307" w:lineRule="auto" w:before="79"/>
        <w:ind w:left="830" w:right="494" w:firstLine="250"/>
        <w:jc w:val="both"/>
      </w:pPr>
      <w:r>
        <w:rPr>
          <w:color w:val="231F20"/>
          <w:w w:val="120"/>
        </w:rPr>
        <w:t>Habituellement,</w:t>
      </w:r>
      <w:r>
        <w:rPr>
          <w:color w:val="231F20"/>
          <w:spacing w:val="-10"/>
          <w:w w:val="120"/>
        </w:rPr>
        <w:t> </w:t>
      </w:r>
      <w:r>
        <w:rPr>
          <w:color w:val="231F20"/>
          <w:w w:val="120"/>
        </w:rPr>
        <w:t>la</w:t>
      </w:r>
      <w:r>
        <w:rPr>
          <w:color w:val="231F20"/>
          <w:spacing w:val="-10"/>
          <w:w w:val="120"/>
        </w:rPr>
        <w:t> </w:t>
      </w:r>
      <w:r>
        <w:rPr>
          <w:color w:val="231F20"/>
          <w:w w:val="120"/>
        </w:rPr>
        <w:t>connaissance</w:t>
      </w:r>
      <w:r>
        <w:rPr>
          <w:color w:val="231F20"/>
          <w:spacing w:val="-10"/>
          <w:w w:val="120"/>
        </w:rPr>
        <w:t> </w:t>
      </w:r>
      <w:r>
        <w:rPr>
          <w:color w:val="231F20"/>
          <w:w w:val="120"/>
        </w:rPr>
        <w:t>est</w:t>
      </w:r>
      <w:r>
        <w:rPr>
          <w:color w:val="231F20"/>
          <w:spacing w:val="-10"/>
          <w:w w:val="120"/>
        </w:rPr>
        <w:t> </w:t>
      </w:r>
      <w:r>
        <w:rPr>
          <w:color w:val="231F20"/>
          <w:w w:val="120"/>
        </w:rPr>
        <w:t>un</w:t>
      </w:r>
      <w:r>
        <w:rPr>
          <w:color w:val="231F20"/>
          <w:spacing w:val="-10"/>
          <w:w w:val="120"/>
        </w:rPr>
        <w:t> </w:t>
      </w:r>
      <w:r>
        <w:rPr>
          <w:color w:val="231F20"/>
          <w:w w:val="120"/>
        </w:rPr>
        <w:t>gage</w:t>
      </w:r>
      <w:r>
        <w:rPr>
          <w:color w:val="231F20"/>
          <w:spacing w:val="-10"/>
          <w:w w:val="120"/>
        </w:rPr>
        <w:t> </w:t>
      </w:r>
      <w:r>
        <w:rPr>
          <w:color w:val="231F20"/>
          <w:w w:val="120"/>
        </w:rPr>
        <w:t>d’éradication</w:t>
      </w:r>
      <w:r>
        <w:rPr>
          <w:color w:val="231F20"/>
          <w:spacing w:val="-10"/>
          <w:w w:val="120"/>
        </w:rPr>
        <w:t> </w:t>
      </w:r>
      <w:r>
        <w:rPr>
          <w:color w:val="231F20"/>
          <w:w w:val="120"/>
        </w:rPr>
        <w:t>d’un</w:t>
      </w:r>
      <w:r>
        <w:rPr>
          <w:color w:val="231F20"/>
          <w:spacing w:val="-10"/>
          <w:w w:val="120"/>
        </w:rPr>
        <w:t> </w:t>
      </w:r>
      <w:r>
        <w:rPr>
          <w:color w:val="231F20"/>
          <w:w w:val="120"/>
        </w:rPr>
        <w:t>pro- blème.</w:t>
      </w:r>
      <w:r>
        <w:rPr>
          <w:color w:val="231F20"/>
          <w:spacing w:val="-11"/>
          <w:w w:val="120"/>
        </w:rPr>
        <w:t> </w:t>
      </w:r>
      <w:r>
        <w:rPr>
          <w:color w:val="231F20"/>
          <w:w w:val="120"/>
        </w:rPr>
        <w:t>Pour</w:t>
      </w:r>
      <w:r>
        <w:rPr>
          <w:color w:val="231F20"/>
          <w:spacing w:val="-11"/>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ce</w:t>
      </w:r>
      <w:r>
        <w:rPr>
          <w:color w:val="231F20"/>
          <w:spacing w:val="-11"/>
          <w:w w:val="120"/>
        </w:rPr>
        <w:t> </w:t>
      </w:r>
      <w:r>
        <w:rPr>
          <w:color w:val="231F20"/>
          <w:w w:val="120"/>
        </w:rPr>
        <w:t>n’est</w:t>
      </w:r>
      <w:r>
        <w:rPr>
          <w:color w:val="231F20"/>
          <w:spacing w:val="-11"/>
          <w:w w:val="120"/>
        </w:rPr>
        <w:t> </w:t>
      </w:r>
      <w:r>
        <w:rPr>
          <w:color w:val="231F20"/>
          <w:w w:val="120"/>
        </w:rPr>
        <w:t>certainement</w:t>
      </w:r>
      <w:r>
        <w:rPr>
          <w:color w:val="231F20"/>
          <w:spacing w:val="-11"/>
          <w:w w:val="120"/>
        </w:rPr>
        <w:t> </w:t>
      </w:r>
      <w:r>
        <w:rPr>
          <w:color w:val="231F20"/>
          <w:w w:val="120"/>
        </w:rPr>
        <w:t>pas</w:t>
      </w:r>
      <w:r>
        <w:rPr>
          <w:color w:val="231F20"/>
          <w:spacing w:val="-11"/>
          <w:w w:val="120"/>
        </w:rPr>
        <w:t> </w:t>
      </w:r>
      <w:r>
        <w:rPr>
          <w:color w:val="231F20"/>
          <w:w w:val="120"/>
        </w:rPr>
        <w:t>le</w:t>
      </w:r>
      <w:r>
        <w:rPr>
          <w:color w:val="231F20"/>
          <w:spacing w:val="-11"/>
          <w:w w:val="120"/>
        </w:rPr>
        <w:t> </w:t>
      </w:r>
      <w:r>
        <w:rPr>
          <w:color w:val="231F20"/>
          <w:w w:val="120"/>
        </w:rPr>
        <w:t>cas.</w:t>
      </w:r>
      <w:r>
        <w:rPr>
          <w:color w:val="231F20"/>
          <w:spacing w:val="-11"/>
          <w:w w:val="120"/>
        </w:rPr>
        <w:t> </w:t>
      </w:r>
      <w:r>
        <w:rPr>
          <w:color w:val="231F20"/>
          <w:w w:val="120"/>
        </w:rPr>
        <w:t>Paradoxalement, au</w:t>
      </w:r>
      <w:r>
        <w:rPr>
          <w:color w:val="231F20"/>
          <w:spacing w:val="7"/>
          <w:w w:val="120"/>
        </w:rPr>
        <w:t> </w:t>
      </w:r>
      <w:r>
        <w:rPr>
          <w:color w:val="231F20"/>
          <w:w w:val="120"/>
        </w:rPr>
        <w:t>cours</w:t>
      </w:r>
      <w:r>
        <w:rPr>
          <w:color w:val="231F20"/>
          <w:spacing w:val="8"/>
          <w:w w:val="120"/>
        </w:rPr>
        <w:t> </w:t>
      </w:r>
      <w:r>
        <w:rPr>
          <w:color w:val="231F20"/>
          <w:w w:val="120"/>
        </w:rPr>
        <w:t>des</w:t>
      </w:r>
      <w:r>
        <w:rPr>
          <w:color w:val="231F20"/>
          <w:spacing w:val="8"/>
          <w:w w:val="120"/>
        </w:rPr>
        <w:t> </w:t>
      </w:r>
      <w:r>
        <w:rPr>
          <w:color w:val="231F20"/>
          <w:w w:val="120"/>
        </w:rPr>
        <w:t>dernières</w:t>
      </w:r>
      <w:r>
        <w:rPr>
          <w:color w:val="231F20"/>
          <w:spacing w:val="8"/>
          <w:w w:val="120"/>
        </w:rPr>
        <w:t> </w:t>
      </w:r>
      <w:r>
        <w:rPr>
          <w:color w:val="231F20"/>
          <w:w w:val="120"/>
        </w:rPr>
        <w:t>années,</w:t>
      </w:r>
      <w:r>
        <w:rPr>
          <w:color w:val="231F20"/>
          <w:spacing w:val="8"/>
          <w:w w:val="120"/>
        </w:rPr>
        <w:t> </w:t>
      </w:r>
      <w:r>
        <w:rPr>
          <w:color w:val="231F20"/>
          <w:w w:val="120"/>
        </w:rPr>
        <w:t>nous</w:t>
      </w:r>
      <w:r>
        <w:rPr>
          <w:color w:val="231F20"/>
          <w:spacing w:val="8"/>
          <w:w w:val="120"/>
        </w:rPr>
        <w:t> </w:t>
      </w:r>
      <w:r>
        <w:rPr>
          <w:color w:val="231F20"/>
          <w:w w:val="120"/>
        </w:rPr>
        <w:t>avons</w:t>
      </w:r>
      <w:r>
        <w:rPr>
          <w:color w:val="231F20"/>
          <w:spacing w:val="8"/>
          <w:w w:val="120"/>
        </w:rPr>
        <w:t> </w:t>
      </w:r>
      <w:r>
        <w:rPr>
          <w:color w:val="231F20"/>
          <w:w w:val="120"/>
        </w:rPr>
        <w:t>assisté</w:t>
      </w:r>
      <w:r>
        <w:rPr>
          <w:color w:val="231F20"/>
          <w:spacing w:val="8"/>
          <w:w w:val="120"/>
        </w:rPr>
        <w:t> </w:t>
      </w:r>
      <w:r>
        <w:rPr>
          <w:color w:val="231F20"/>
          <w:w w:val="120"/>
        </w:rPr>
        <w:t>à</w:t>
      </w:r>
      <w:r>
        <w:rPr>
          <w:color w:val="231F20"/>
          <w:spacing w:val="8"/>
          <w:w w:val="120"/>
        </w:rPr>
        <w:t> </w:t>
      </w:r>
      <w:r>
        <w:rPr>
          <w:color w:val="231F20"/>
          <w:w w:val="120"/>
        </w:rPr>
        <w:t>un</w:t>
      </w:r>
      <w:r>
        <w:rPr>
          <w:color w:val="231F20"/>
          <w:spacing w:val="8"/>
          <w:w w:val="120"/>
        </w:rPr>
        <w:t> </w:t>
      </w:r>
      <w:r>
        <w:rPr>
          <w:color w:val="231F20"/>
          <w:spacing w:val="-2"/>
          <w:w w:val="120"/>
        </w:rPr>
        <w:t>accroissement</w:t>
      </w:r>
    </w:p>
    <w:p>
      <w:pPr>
        <w:pStyle w:val="BodyText"/>
        <w:spacing w:line="195" w:lineRule="exact"/>
        <w:ind w:left="2830"/>
        <w:jc w:val="both"/>
      </w:pPr>
      <w:r>
        <w:rPr>
          <w:color w:val="231F20"/>
          <w:spacing w:val="-2"/>
          <w:w w:val="120"/>
        </w:rPr>
        <w:t>constant</w:t>
      </w:r>
      <w:r>
        <w:rPr>
          <w:color w:val="231F20"/>
          <w:spacing w:val="-14"/>
          <w:w w:val="120"/>
        </w:rPr>
        <w:t> </w:t>
      </w:r>
      <w:r>
        <w:rPr>
          <w:color w:val="231F20"/>
          <w:spacing w:val="-2"/>
          <w:w w:val="120"/>
        </w:rPr>
        <w:t>des</w:t>
      </w:r>
      <w:r>
        <w:rPr>
          <w:color w:val="231F20"/>
          <w:spacing w:val="-13"/>
          <w:w w:val="120"/>
        </w:rPr>
        <w:t> </w:t>
      </w:r>
      <w:r>
        <w:rPr>
          <w:color w:val="231F20"/>
          <w:spacing w:val="-2"/>
          <w:w w:val="120"/>
        </w:rPr>
        <w:t>niveaux</w:t>
      </w:r>
      <w:r>
        <w:rPr>
          <w:color w:val="231F20"/>
          <w:spacing w:val="-14"/>
          <w:w w:val="120"/>
        </w:rPr>
        <w:t> </w:t>
      </w:r>
      <w:r>
        <w:rPr>
          <w:color w:val="231F20"/>
          <w:spacing w:val="-2"/>
          <w:w w:val="120"/>
        </w:rPr>
        <w:t>de</w:t>
      </w:r>
      <w:r>
        <w:rPr>
          <w:color w:val="231F20"/>
          <w:spacing w:val="-13"/>
          <w:w w:val="120"/>
        </w:rPr>
        <w:t> </w:t>
      </w:r>
      <w:r>
        <w:rPr>
          <w:color w:val="231F20"/>
          <w:spacing w:val="-2"/>
          <w:w w:val="120"/>
        </w:rPr>
        <w:t>stress</w:t>
      </w:r>
      <w:r>
        <w:rPr>
          <w:color w:val="231F20"/>
          <w:spacing w:val="-14"/>
          <w:w w:val="120"/>
        </w:rPr>
        <w:t> </w:t>
      </w:r>
      <w:r>
        <w:rPr>
          <w:color w:val="231F20"/>
          <w:spacing w:val="-2"/>
          <w:w w:val="120"/>
        </w:rPr>
        <w:t>au</w:t>
      </w:r>
      <w:r>
        <w:rPr>
          <w:color w:val="231F20"/>
          <w:spacing w:val="-13"/>
          <w:w w:val="120"/>
        </w:rPr>
        <w:t> </w:t>
      </w:r>
      <w:r>
        <w:rPr>
          <w:color w:val="231F20"/>
          <w:spacing w:val="-2"/>
          <w:w w:val="120"/>
        </w:rPr>
        <w:t>travail</w:t>
      </w:r>
      <w:r>
        <w:rPr>
          <w:color w:val="231F20"/>
          <w:spacing w:val="-14"/>
          <w:w w:val="120"/>
        </w:rPr>
        <w:t> </w:t>
      </w:r>
      <w:r>
        <w:rPr>
          <w:color w:val="231F20"/>
          <w:spacing w:val="-2"/>
          <w:w w:val="120"/>
        </w:rPr>
        <w:t>associé</w:t>
      </w:r>
    </w:p>
    <w:p>
      <w:pPr>
        <w:spacing w:after="0" w:line="195" w:lineRule="exact"/>
        <w:jc w:val="both"/>
        <w:sectPr>
          <w:footerReference w:type="default" r:id="rId287"/>
          <w:pgSz w:w="8640" w:h="12960"/>
          <w:pgMar w:footer="424" w:header="0" w:top="520" w:bottom="620" w:left="420" w:right="1140"/>
        </w:sectPr>
      </w:pPr>
    </w:p>
    <w:p>
      <w:pPr>
        <w:pStyle w:val="BodyText"/>
        <w:spacing w:before="7"/>
        <w:rPr>
          <w:sz w:val="16"/>
        </w:rPr>
      </w:pPr>
    </w:p>
    <w:p>
      <w:pPr>
        <w:spacing w:line="268" w:lineRule="auto" w:before="0"/>
        <w:ind w:left="831" w:right="0" w:firstLine="417"/>
        <w:jc w:val="right"/>
        <w:rPr>
          <w:rFonts w:ascii="Arial" w:hAnsi="Arial"/>
          <w:sz w:val="14"/>
        </w:rPr>
      </w:pPr>
      <w:r>
        <w:rPr>
          <w:rFonts w:ascii="Arial" w:hAnsi="Arial"/>
          <w:color w:val="231F20"/>
          <w:spacing w:val="-2"/>
          <w:sz w:val="14"/>
        </w:rPr>
        <w:t>«</w:t>
      </w:r>
      <w:r>
        <w:rPr>
          <w:rFonts w:ascii="Arial" w:hAnsi="Arial"/>
          <w:color w:val="231F20"/>
          <w:spacing w:val="-26"/>
          <w:sz w:val="14"/>
        </w:rPr>
        <w:t> </w:t>
      </w:r>
      <w:r>
        <w:rPr>
          <w:rFonts w:ascii="Arial" w:hAnsi="Arial"/>
          <w:color w:val="231F20"/>
          <w:spacing w:val="-2"/>
          <w:sz w:val="14"/>
        </w:rPr>
        <w:t>Il</w:t>
      </w:r>
      <w:r>
        <w:rPr>
          <w:rFonts w:ascii="Arial" w:hAnsi="Arial"/>
          <w:color w:val="231F20"/>
          <w:spacing w:val="-8"/>
          <w:sz w:val="14"/>
        </w:rPr>
        <w:t> </w:t>
      </w:r>
      <w:r>
        <w:rPr>
          <w:rFonts w:ascii="Arial" w:hAnsi="Arial"/>
          <w:color w:val="231F20"/>
          <w:spacing w:val="-2"/>
          <w:sz w:val="14"/>
        </w:rPr>
        <w:t>est</w:t>
      </w:r>
      <w:r>
        <w:rPr>
          <w:rFonts w:ascii="Arial" w:hAnsi="Arial"/>
          <w:color w:val="231F20"/>
          <w:spacing w:val="-8"/>
          <w:sz w:val="14"/>
        </w:rPr>
        <w:t> </w:t>
      </w:r>
      <w:r>
        <w:rPr>
          <w:rFonts w:ascii="Arial" w:hAnsi="Arial"/>
          <w:color w:val="231F20"/>
          <w:spacing w:val="-2"/>
          <w:sz w:val="14"/>
        </w:rPr>
        <w:t>nécessaire</w:t>
      </w:r>
      <w:r>
        <w:rPr>
          <w:rFonts w:ascii="Arial" w:hAnsi="Arial"/>
          <w:color w:val="231F20"/>
          <w:spacing w:val="-8"/>
          <w:sz w:val="14"/>
        </w:rPr>
        <w:t> </w:t>
      </w:r>
      <w:r>
        <w:rPr>
          <w:rFonts w:ascii="Arial" w:hAnsi="Arial"/>
          <w:color w:val="231F20"/>
          <w:spacing w:val="-2"/>
          <w:sz w:val="14"/>
        </w:rPr>
        <w:t>que</w:t>
      </w:r>
      <w:r>
        <w:rPr>
          <w:rFonts w:ascii="Arial" w:hAnsi="Arial"/>
          <w:color w:val="231F20"/>
          <w:spacing w:val="40"/>
          <w:sz w:val="14"/>
        </w:rPr>
        <w:t> </w:t>
      </w:r>
      <w:r>
        <w:rPr>
          <w:rFonts w:ascii="Arial" w:hAnsi="Arial"/>
          <w:color w:val="231F20"/>
          <w:sz w:val="14"/>
        </w:rPr>
        <w:t>toutes les parties</w:t>
      </w:r>
      <w:r>
        <w:rPr>
          <w:rFonts w:ascii="Arial" w:hAnsi="Arial"/>
          <w:color w:val="231F20"/>
          <w:spacing w:val="40"/>
          <w:sz w:val="14"/>
        </w:rPr>
        <w:t> </w:t>
      </w:r>
      <w:r>
        <w:rPr>
          <w:rFonts w:ascii="Arial" w:hAnsi="Arial"/>
          <w:color w:val="231F20"/>
          <w:sz w:val="14"/>
        </w:rPr>
        <w:t>intéressées</w:t>
      </w:r>
      <w:r>
        <w:rPr>
          <w:rFonts w:ascii="Arial" w:hAnsi="Arial"/>
          <w:color w:val="231F20"/>
          <w:spacing w:val="-10"/>
          <w:sz w:val="14"/>
        </w:rPr>
        <w:t> </w:t>
      </w:r>
      <w:r>
        <w:rPr>
          <w:rFonts w:ascii="Arial" w:hAnsi="Arial"/>
          <w:color w:val="231F20"/>
          <w:sz w:val="14"/>
        </w:rPr>
        <w:t>reconnaissent</w:t>
      </w:r>
      <w:r>
        <w:rPr>
          <w:rFonts w:ascii="Arial" w:hAnsi="Arial"/>
          <w:color w:val="231F20"/>
          <w:spacing w:val="40"/>
          <w:sz w:val="14"/>
        </w:rPr>
        <w:t> </w:t>
      </w:r>
      <w:r>
        <w:rPr>
          <w:rFonts w:ascii="Arial" w:hAnsi="Arial"/>
          <w:color w:val="231F20"/>
          <w:sz w:val="14"/>
        </w:rPr>
        <w:t>que le stress professionnel</w:t>
      </w:r>
      <w:r>
        <w:rPr>
          <w:rFonts w:ascii="Arial" w:hAnsi="Arial"/>
          <w:color w:val="231F20"/>
          <w:spacing w:val="40"/>
          <w:sz w:val="14"/>
        </w:rPr>
        <w:t> </w:t>
      </w:r>
      <w:r>
        <w:rPr>
          <w:rFonts w:ascii="Arial" w:hAnsi="Arial"/>
          <w:color w:val="231F20"/>
          <w:sz w:val="14"/>
        </w:rPr>
        <w:t>est un risque véritable et</w:t>
      </w:r>
      <w:r>
        <w:rPr>
          <w:rFonts w:ascii="Arial" w:hAnsi="Arial"/>
          <w:color w:val="231F20"/>
          <w:spacing w:val="40"/>
          <w:sz w:val="14"/>
        </w:rPr>
        <w:t> </w:t>
      </w:r>
      <w:r>
        <w:rPr>
          <w:rFonts w:ascii="Arial" w:hAnsi="Arial"/>
          <w:color w:val="231F20"/>
          <w:sz w:val="14"/>
        </w:rPr>
        <w:t>profondément</w:t>
      </w:r>
      <w:r>
        <w:rPr>
          <w:rFonts w:ascii="Arial" w:hAnsi="Arial"/>
          <w:color w:val="231F20"/>
          <w:spacing w:val="-8"/>
          <w:sz w:val="14"/>
        </w:rPr>
        <w:t> </w:t>
      </w:r>
      <w:r>
        <w:rPr>
          <w:rFonts w:ascii="Arial" w:hAnsi="Arial"/>
          <w:color w:val="231F20"/>
          <w:sz w:val="14"/>
        </w:rPr>
        <w:t>ancré</w:t>
      </w:r>
      <w:r>
        <w:rPr>
          <w:rFonts w:ascii="Arial" w:hAnsi="Arial"/>
          <w:color w:val="231F20"/>
          <w:spacing w:val="-8"/>
          <w:sz w:val="14"/>
        </w:rPr>
        <w:t> </w:t>
      </w:r>
      <w:r>
        <w:rPr>
          <w:rFonts w:ascii="Arial" w:hAnsi="Arial"/>
          <w:color w:val="231F20"/>
          <w:sz w:val="14"/>
        </w:rPr>
        <w:t>dans</w:t>
      </w:r>
      <w:r>
        <w:rPr>
          <w:rFonts w:ascii="Arial" w:hAnsi="Arial"/>
          <w:color w:val="231F20"/>
          <w:spacing w:val="-8"/>
          <w:sz w:val="14"/>
        </w:rPr>
        <w:t> </w:t>
      </w:r>
      <w:r>
        <w:rPr>
          <w:rFonts w:ascii="Arial" w:hAnsi="Arial"/>
          <w:color w:val="231F20"/>
          <w:sz w:val="14"/>
        </w:rPr>
        <w:t>le</w:t>
      </w:r>
      <w:r>
        <w:rPr>
          <w:rFonts w:ascii="Arial" w:hAnsi="Arial"/>
          <w:color w:val="231F20"/>
          <w:spacing w:val="40"/>
          <w:sz w:val="14"/>
        </w:rPr>
        <w:t> </w:t>
      </w:r>
      <w:r>
        <w:rPr>
          <w:rFonts w:ascii="Arial" w:hAnsi="Arial"/>
          <w:color w:val="231F20"/>
          <w:sz w:val="14"/>
        </w:rPr>
        <w:t>milieu de travail. Les</w:t>
      </w:r>
      <w:r>
        <w:rPr>
          <w:rFonts w:ascii="Arial" w:hAnsi="Arial"/>
          <w:color w:val="231F20"/>
          <w:spacing w:val="40"/>
          <w:sz w:val="14"/>
        </w:rPr>
        <w:t> </w:t>
      </w:r>
      <w:r>
        <w:rPr>
          <w:rFonts w:ascii="Arial" w:hAnsi="Arial"/>
          <w:color w:val="231F20"/>
          <w:sz w:val="14"/>
        </w:rPr>
        <w:t>industriels, les travailleurs</w:t>
      </w:r>
      <w:r>
        <w:rPr>
          <w:rFonts w:ascii="Arial" w:hAnsi="Arial"/>
          <w:color w:val="231F20"/>
          <w:spacing w:val="80"/>
          <w:sz w:val="14"/>
        </w:rPr>
        <w:t> </w:t>
      </w:r>
      <w:r>
        <w:rPr>
          <w:rFonts w:ascii="Arial" w:hAnsi="Arial"/>
          <w:color w:val="231F20"/>
          <w:sz w:val="14"/>
        </w:rPr>
        <w:t>et les gouvernements</w:t>
      </w:r>
      <w:r>
        <w:rPr>
          <w:rFonts w:ascii="Arial" w:hAnsi="Arial"/>
          <w:color w:val="231F20"/>
          <w:spacing w:val="40"/>
          <w:sz w:val="14"/>
        </w:rPr>
        <w:t> </w:t>
      </w:r>
      <w:r>
        <w:rPr>
          <w:rFonts w:ascii="Arial" w:hAnsi="Arial"/>
          <w:color w:val="231F20"/>
          <w:sz w:val="14"/>
        </w:rPr>
        <w:t>devront prendre des</w:t>
      </w:r>
      <w:r>
        <w:rPr>
          <w:rFonts w:ascii="Arial" w:hAnsi="Arial"/>
          <w:color w:val="231F20"/>
          <w:spacing w:val="40"/>
          <w:sz w:val="14"/>
        </w:rPr>
        <w:t> </w:t>
      </w:r>
      <w:r>
        <w:rPr>
          <w:rFonts w:ascii="Arial" w:hAnsi="Arial"/>
          <w:color w:val="231F20"/>
          <w:sz w:val="14"/>
        </w:rPr>
        <w:t>mesures préventives dans</w:t>
      </w:r>
      <w:r>
        <w:rPr>
          <w:rFonts w:ascii="Arial" w:hAnsi="Arial"/>
          <w:color w:val="231F20"/>
          <w:spacing w:val="40"/>
          <w:sz w:val="14"/>
        </w:rPr>
        <w:t> </w:t>
      </w:r>
      <w:r>
        <w:rPr>
          <w:rFonts w:ascii="Arial" w:hAnsi="Arial"/>
          <w:color w:val="231F20"/>
          <w:sz w:val="14"/>
        </w:rPr>
        <w:t>ce domaine. Il faut adopter</w:t>
      </w:r>
      <w:r>
        <w:rPr>
          <w:rFonts w:ascii="Arial" w:hAnsi="Arial"/>
          <w:color w:val="231F20"/>
          <w:spacing w:val="40"/>
          <w:sz w:val="14"/>
        </w:rPr>
        <w:t> </w:t>
      </w:r>
      <w:r>
        <w:rPr>
          <w:rFonts w:ascii="Arial" w:hAnsi="Arial"/>
          <w:color w:val="231F20"/>
          <w:sz w:val="14"/>
        </w:rPr>
        <w:t>de bonnes pratiques de</w:t>
      </w:r>
      <w:r>
        <w:rPr>
          <w:rFonts w:ascii="Arial" w:hAnsi="Arial"/>
          <w:color w:val="231F20"/>
          <w:spacing w:val="40"/>
          <w:sz w:val="14"/>
        </w:rPr>
        <w:t> </w:t>
      </w:r>
      <w:r>
        <w:rPr>
          <w:rFonts w:ascii="Arial" w:hAnsi="Arial"/>
          <w:color w:val="231F20"/>
          <w:sz w:val="14"/>
        </w:rPr>
        <w:t>gestion du stress en milieu</w:t>
      </w:r>
      <w:r>
        <w:rPr>
          <w:rFonts w:ascii="Arial" w:hAnsi="Arial"/>
          <w:color w:val="231F20"/>
          <w:spacing w:val="40"/>
          <w:sz w:val="14"/>
        </w:rPr>
        <w:t> </w:t>
      </w:r>
      <w:r>
        <w:rPr>
          <w:rFonts w:ascii="Arial" w:hAnsi="Arial"/>
          <w:color w:val="231F20"/>
          <w:sz w:val="14"/>
        </w:rPr>
        <w:t>de travail pour juguler</w:t>
      </w:r>
    </w:p>
    <w:p>
      <w:pPr>
        <w:spacing w:line="268" w:lineRule="auto" w:before="0"/>
        <w:ind w:left="992" w:right="0" w:firstLine="190"/>
        <w:jc w:val="right"/>
        <w:rPr>
          <w:rFonts w:ascii="Arial" w:hAnsi="Arial"/>
          <w:sz w:val="14"/>
        </w:rPr>
      </w:pPr>
      <w:r>
        <w:rPr>
          <w:rFonts w:ascii="Arial" w:hAnsi="Arial"/>
          <w:color w:val="231F20"/>
          <w:sz w:val="14"/>
        </w:rPr>
        <w:t>ce</w:t>
      </w:r>
      <w:r>
        <w:rPr>
          <w:rFonts w:ascii="Arial" w:hAnsi="Arial"/>
          <w:color w:val="231F20"/>
          <w:spacing w:val="-9"/>
          <w:sz w:val="14"/>
        </w:rPr>
        <w:t> </w:t>
      </w:r>
      <w:r>
        <w:rPr>
          <w:rFonts w:ascii="Arial" w:hAnsi="Arial"/>
          <w:color w:val="231F20"/>
          <w:sz w:val="14"/>
        </w:rPr>
        <w:t>problème</w:t>
      </w:r>
      <w:r>
        <w:rPr>
          <w:rFonts w:ascii="Arial" w:hAnsi="Arial"/>
          <w:color w:val="231F20"/>
          <w:spacing w:val="-9"/>
          <w:sz w:val="14"/>
        </w:rPr>
        <w:t> </w:t>
      </w:r>
      <w:r>
        <w:rPr>
          <w:rFonts w:ascii="Arial" w:hAnsi="Arial"/>
          <w:color w:val="231F20"/>
          <w:sz w:val="14"/>
        </w:rPr>
        <w:t>qui</w:t>
      </w:r>
      <w:r>
        <w:rPr>
          <w:rFonts w:ascii="Arial" w:hAnsi="Arial"/>
          <w:color w:val="231F20"/>
          <w:spacing w:val="-9"/>
          <w:sz w:val="14"/>
        </w:rPr>
        <w:t> </w:t>
      </w:r>
      <w:r>
        <w:rPr>
          <w:rFonts w:ascii="Arial" w:hAnsi="Arial"/>
          <w:color w:val="231F20"/>
          <w:sz w:val="14"/>
        </w:rPr>
        <w:t>prend</w:t>
      </w:r>
      <w:r>
        <w:rPr>
          <w:rFonts w:ascii="Arial" w:hAnsi="Arial"/>
          <w:color w:val="231F20"/>
          <w:spacing w:val="40"/>
          <w:sz w:val="14"/>
        </w:rPr>
        <w:t> </w:t>
      </w:r>
      <w:r>
        <w:rPr>
          <w:rFonts w:ascii="Arial" w:hAnsi="Arial"/>
          <w:color w:val="231F20"/>
          <w:sz w:val="14"/>
        </w:rPr>
        <w:t>toujours</w:t>
      </w:r>
      <w:r>
        <w:rPr>
          <w:rFonts w:ascii="Arial" w:hAnsi="Arial"/>
          <w:color w:val="231F20"/>
          <w:spacing w:val="6"/>
          <w:sz w:val="14"/>
        </w:rPr>
        <w:t> </w:t>
      </w:r>
      <w:r>
        <w:rPr>
          <w:rFonts w:ascii="Arial" w:hAnsi="Arial"/>
          <w:color w:val="231F20"/>
          <w:sz w:val="14"/>
        </w:rPr>
        <w:t>plus</w:t>
      </w:r>
      <w:r>
        <w:rPr>
          <w:rFonts w:ascii="Arial" w:hAnsi="Arial"/>
          <w:color w:val="231F20"/>
          <w:spacing w:val="7"/>
          <w:sz w:val="14"/>
        </w:rPr>
        <w:t> </w:t>
      </w:r>
      <w:r>
        <w:rPr>
          <w:rFonts w:ascii="Arial" w:hAnsi="Arial"/>
          <w:color w:val="231F20"/>
          <w:spacing w:val="-2"/>
          <w:sz w:val="14"/>
        </w:rPr>
        <w:t>d’ampleur.»</w:t>
      </w:r>
    </w:p>
    <w:p>
      <w:pPr>
        <w:spacing w:line="268" w:lineRule="auto" w:before="76"/>
        <w:ind w:left="965" w:right="0" w:firstLine="188"/>
        <w:jc w:val="right"/>
        <w:rPr>
          <w:rFonts w:ascii="Arial" w:hAnsi="Arial"/>
          <w:sz w:val="14"/>
        </w:rPr>
      </w:pPr>
      <w:r>
        <w:rPr>
          <w:rFonts w:ascii="Arial" w:hAnsi="Arial"/>
          <w:color w:val="231F20"/>
          <w:sz w:val="14"/>
        </w:rPr>
        <w:t>Anna</w:t>
      </w:r>
      <w:r>
        <w:rPr>
          <w:rFonts w:ascii="Arial" w:hAnsi="Arial"/>
          <w:color w:val="231F20"/>
          <w:spacing w:val="-10"/>
          <w:sz w:val="14"/>
        </w:rPr>
        <w:t> </w:t>
      </w:r>
      <w:r>
        <w:rPr>
          <w:rFonts w:ascii="Arial" w:hAnsi="Arial"/>
          <w:color w:val="231F20"/>
          <w:sz w:val="14"/>
        </w:rPr>
        <w:t>Diamantopoulou,</w:t>
      </w:r>
      <w:r>
        <w:rPr>
          <w:rFonts w:ascii="Arial" w:hAnsi="Arial"/>
          <w:color w:val="231F20"/>
          <w:spacing w:val="40"/>
          <w:sz w:val="14"/>
        </w:rPr>
        <w:t> </w:t>
      </w:r>
      <w:r>
        <w:rPr>
          <w:rFonts w:ascii="Arial" w:hAnsi="Arial"/>
          <w:color w:val="231F20"/>
          <w:sz w:val="14"/>
        </w:rPr>
        <w:t>membre</w:t>
      </w:r>
      <w:r>
        <w:rPr>
          <w:rFonts w:ascii="Arial" w:hAnsi="Arial"/>
          <w:color w:val="231F20"/>
          <w:spacing w:val="-10"/>
          <w:sz w:val="14"/>
        </w:rPr>
        <w:t> </w:t>
      </w:r>
      <w:r>
        <w:rPr>
          <w:rFonts w:ascii="Arial" w:hAnsi="Arial"/>
          <w:color w:val="231F20"/>
          <w:sz w:val="14"/>
        </w:rPr>
        <w:t>de</w:t>
      </w:r>
      <w:r>
        <w:rPr>
          <w:rFonts w:ascii="Arial" w:hAnsi="Arial"/>
          <w:color w:val="231F20"/>
          <w:spacing w:val="-10"/>
          <w:sz w:val="14"/>
        </w:rPr>
        <w:t> </w:t>
      </w:r>
      <w:r>
        <w:rPr>
          <w:rFonts w:ascii="Arial" w:hAnsi="Arial"/>
          <w:color w:val="231F20"/>
          <w:sz w:val="14"/>
        </w:rPr>
        <w:t>la</w:t>
      </w:r>
      <w:r>
        <w:rPr>
          <w:rFonts w:ascii="Arial" w:hAnsi="Arial"/>
          <w:color w:val="231F20"/>
          <w:spacing w:val="-10"/>
          <w:sz w:val="14"/>
        </w:rPr>
        <w:t> </w:t>
      </w:r>
      <w:r>
        <w:rPr>
          <w:rFonts w:ascii="Arial" w:hAnsi="Arial"/>
          <w:color w:val="231F20"/>
          <w:sz w:val="14"/>
        </w:rPr>
        <w:t>commission</w:t>
      </w:r>
      <w:r>
        <w:rPr>
          <w:rFonts w:ascii="Arial" w:hAnsi="Arial"/>
          <w:color w:val="231F20"/>
          <w:spacing w:val="40"/>
          <w:sz w:val="14"/>
        </w:rPr>
        <w:t> </w:t>
      </w:r>
      <w:r>
        <w:rPr>
          <w:rFonts w:ascii="Arial" w:hAnsi="Arial"/>
          <w:color w:val="231F20"/>
          <w:sz w:val="14"/>
        </w:rPr>
        <w:t>Emploi</w:t>
      </w:r>
      <w:r>
        <w:rPr>
          <w:rFonts w:ascii="Arial" w:hAnsi="Arial"/>
          <w:color w:val="231F20"/>
          <w:spacing w:val="-10"/>
          <w:sz w:val="14"/>
        </w:rPr>
        <w:t> </w:t>
      </w:r>
      <w:r>
        <w:rPr>
          <w:rFonts w:ascii="Arial" w:hAnsi="Arial"/>
          <w:color w:val="231F20"/>
          <w:sz w:val="14"/>
        </w:rPr>
        <w:t>et</w:t>
      </w:r>
      <w:r>
        <w:rPr>
          <w:rFonts w:ascii="Arial" w:hAnsi="Arial"/>
          <w:color w:val="231F20"/>
          <w:spacing w:val="-10"/>
          <w:sz w:val="14"/>
        </w:rPr>
        <w:t> </w:t>
      </w:r>
      <w:r>
        <w:rPr>
          <w:rFonts w:ascii="Arial" w:hAnsi="Arial"/>
          <w:color w:val="231F20"/>
          <w:sz w:val="14"/>
        </w:rPr>
        <w:t>affaires</w:t>
      </w:r>
      <w:r>
        <w:rPr>
          <w:rFonts w:ascii="Arial" w:hAnsi="Arial"/>
          <w:color w:val="231F20"/>
          <w:spacing w:val="-10"/>
          <w:sz w:val="14"/>
        </w:rPr>
        <w:t> </w:t>
      </w:r>
      <w:r>
        <w:rPr>
          <w:rFonts w:ascii="Arial" w:hAnsi="Arial"/>
          <w:color w:val="231F20"/>
          <w:sz w:val="14"/>
        </w:rPr>
        <w:t>sociales</w:t>
      </w:r>
      <w:r>
        <w:rPr>
          <w:rFonts w:ascii="Arial" w:hAnsi="Arial"/>
          <w:color w:val="231F20"/>
          <w:spacing w:val="40"/>
          <w:sz w:val="14"/>
        </w:rPr>
        <w:t> </w:t>
      </w:r>
      <w:r>
        <w:rPr>
          <w:rFonts w:ascii="Arial" w:hAnsi="Arial"/>
          <w:color w:val="231F20"/>
          <w:sz w:val="14"/>
        </w:rPr>
        <w:t>de l’Union européenne</w:t>
      </w:r>
    </w:p>
    <w:p>
      <w:pPr>
        <w:pStyle w:val="BodyText"/>
        <w:spacing w:line="307" w:lineRule="auto" w:before="55"/>
        <w:ind w:left="200" w:right="493"/>
        <w:jc w:val="both"/>
      </w:pPr>
      <w:r>
        <w:rPr/>
        <w:br w:type="column"/>
      </w:r>
      <w:r>
        <w:rPr>
          <w:color w:val="231F20"/>
          <w:w w:val="120"/>
        </w:rPr>
        <w:t>à une détérioration significative de l’état de </w:t>
      </w:r>
      <w:r>
        <w:rPr>
          <w:color w:val="231F20"/>
          <w:w w:val="115"/>
        </w:rPr>
        <w:t>santé</w:t>
      </w:r>
      <w:r>
        <w:rPr>
          <w:color w:val="231F20"/>
          <w:spacing w:val="-7"/>
          <w:w w:val="115"/>
        </w:rPr>
        <w:t> </w:t>
      </w:r>
      <w:r>
        <w:rPr>
          <w:color w:val="231F20"/>
          <w:w w:val="115"/>
        </w:rPr>
        <w:t>psychologique</w:t>
      </w:r>
      <w:r>
        <w:rPr>
          <w:color w:val="231F20"/>
          <w:spacing w:val="-7"/>
          <w:w w:val="115"/>
        </w:rPr>
        <w:t> </w:t>
      </w:r>
      <w:r>
        <w:rPr>
          <w:color w:val="231F20"/>
          <w:w w:val="115"/>
        </w:rPr>
        <w:t>des</w:t>
      </w:r>
      <w:r>
        <w:rPr>
          <w:color w:val="231F20"/>
          <w:spacing w:val="-7"/>
          <w:w w:val="115"/>
        </w:rPr>
        <w:t> </w:t>
      </w:r>
      <w:r>
        <w:rPr>
          <w:color w:val="231F20"/>
          <w:w w:val="115"/>
        </w:rPr>
        <w:t>employés.</w:t>
      </w:r>
      <w:r>
        <w:rPr>
          <w:color w:val="231F20"/>
          <w:spacing w:val="-7"/>
          <w:w w:val="115"/>
        </w:rPr>
        <w:t> </w:t>
      </w:r>
      <w:r>
        <w:rPr>
          <w:color w:val="231F20"/>
          <w:w w:val="115"/>
        </w:rPr>
        <w:t>En</w:t>
      </w:r>
      <w:r>
        <w:rPr>
          <w:color w:val="231F20"/>
          <w:spacing w:val="-7"/>
          <w:w w:val="115"/>
        </w:rPr>
        <w:t> </w:t>
      </w:r>
      <w:r>
        <w:rPr>
          <w:color w:val="231F20"/>
          <w:w w:val="115"/>
        </w:rPr>
        <w:t>fait,</w:t>
      </w:r>
      <w:r>
        <w:rPr>
          <w:color w:val="231F20"/>
          <w:spacing w:val="-7"/>
          <w:w w:val="115"/>
        </w:rPr>
        <w:t> </w:t>
      </w:r>
      <w:r>
        <w:rPr>
          <w:color w:val="231F20"/>
          <w:w w:val="115"/>
        </w:rPr>
        <w:t>son- </w:t>
      </w:r>
      <w:r>
        <w:rPr>
          <w:color w:val="231F20"/>
          <w:w w:val="120"/>
        </w:rPr>
        <w:t>dage après sondage, les études sont loin de démontrer une amélioration de la situation. Bien sûr, on peut observer des situations qui </w:t>
      </w:r>
      <w:r>
        <w:rPr>
          <w:color w:val="231F20"/>
          <w:w w:val="115"/>
        </w:rPr>
        <w:t>varient</w:t>
      </w:r>
      <w:r>
        <w:rPr>
          <w:color w:val="231F20"/>
          <w:spacing w:val="-8"/>
          <w:w w:val="115"/>
        </w:rPr>
        <w:t> </w:t>
      </w:r>
      <w:r>
        <w:rPr>
          <w:color w:val="231F20"/>
          <w:w w:val="115"/>
        </w:rPr>
        <w:t>d’une</w:t>
      </w:r>
      <w:r>
        <w:rPr>
          <w:color w:val="231F20"/>
          <w:spacing w:val="-8"/>
          <w:w w:val="115"/>
        </w:rPr>
        <w:t> </w:t>
      </w:r>
      <w:r>
        <w:rPr>
          <w:color w:val="231F20"/>
          <w:w w:val="115"/>
        </w:rPr>
        <w:t>organisation</w:t>
      </w:r>
      <w:r>
        <w:rPr>
          <w:color w:val="231F20"/>
          <w:spacing w:val="-8"/>
          <w:w w:val="115"/>
        </w:rPr>
        <w:t> </w:t>
      </w:r>
      <w:r>
        <w:rPr>
          <w:color w:val="231F20"/>
          <w:w w:val="115"/>
        </w:rPr>
        <w:t>à</w:t>
      </w:r>
      <w:r>
        <w:rPr>
          <w:color w:val="231F20"/>
          <w:spacing w:val="-8"/>
          <w:w w:val="115"/>
        </w:rPr>
        <w:t> </w:t>
      </w:r>
      <w:r>
        <w:rPr>
          <w:color w:val="231F20"/>
          <w:w w:val="115"/>
        </w:rPr>
        <w:t>l’autre,</w:t>
      </w:r>
      <w:r>
        <w:rPr>
          <w:color w:val="231F20"/>
          <w:spacing w:val="-8"/>
          <w:w w:val="115"/>
        </w:rPr>
        <w:t> </w:t>
      </w:r>
      <w:r>
        <w:rPr>
          <w:color w:val="231F20"/>
          <w:w w:val="115"/>
        </w:rPr>
        <w:t>mais</w:t>
      </w:r>
      <w:r>
        <w:rPr>
          <w:color w:val="231F20"/>
          <w:spacing w:val="-8"/>
          <w:w w:val="115"/>
        </w:rPr>
        <w:t> </w:t>
      </w:r>
      <w:r>
        <w:rPr>
          <w:color w:val="231F20"/>
          <w:w w:val="115"/>
        </w:rPr>
        <w:t>globa- </w:t>
      </w:r>
      <w:r>
        <w:rPr>
          <w:color w:val="231F20"/>
          <w:spacing w:val="-2"/>
          <w:w w:val="120"/>
        </w:rPr>
        <w:t>lement,</w:t>
      </w:r>
      <w:r>
        <w:rPr>
          <w:color w:val="231F20"/>
          <w:spacing w:val="-11"/>
          <w:w w:val="120"/>
        </w:rPr>
        <w:t> </w:t>
      </w:r>
      <w:r>
        <w:rPr>
          <w:color w:val="231F20"/>
          <w:spacing w:val="-2"/>
          <w:w w:val="120"/>
        </w:rPr>
        <w:t>le</w:t>
      </w:r>
      <w:r>
        <w:rPr>
          <w:color w:val="231F20"/>
          <w:spacing w:val="-11"/>
          <w:w w:val="120"/>
        </w:rPr>
        <w:t> </w:t>
      </w:r>
      <w:r>
        <w:rPr>
          <w:color w:val="231F20"/>
          <w:spacing w:val="-2"/>
          <w:w w:val="120"/>
        </w:rPr>
        <w:t>stress</w:t>
      </w:r>
      <w:r>
        <w:rPr>
          <w:color w:val="231F20"/>
          <w:spacing w:val="-11"/>
          <w:w w:val="120"/>
        </w:rPr>
        <w:t> </w:t>
      </w:r>
      <w:r>
        <w:rPr>
          <w:color w:val="231F20"/>
          <w:spacing w:val="-2"/>
          <w:w w:val="120"/>
        </w:rPr>
        <w:t>professionnel</w:t>
      </w:r>
      <w:r>
        <w:rPr>
          <w:color w:val="231F20"/>
          <w:spacing w:val="-10"/>
          <w:w w:val="120"/>
        </w:rPr>
        <w:t> </w:t>
      </w:r>
      <w:r>
        <w:rPr>
          <w:color w:val="231F20"/>
          <w:spacing w:val="-2"/>
          <w:w w:val="120"/>
        </w:rPr>
        <w:t>gagne</w:t>
      </w:r>
      <w:r>
        <w:rPr>
          <w:color w:val="231F20"/>
          <w:spacing w:val="-11"/>
          <w:w w:val="120"/>
        </w:rPr>
        <w:t> </w:t>
      </w:r>
      <w:r>
        <w:rPr>
          <w:color w:val="231F20"/>
          <w:spacing w:val="-2"/>
          <w:w w:val="120"/>
        </w:rPr>
        <w:t>du</w:t>
      </w:r>
      <w:r>
        <w:rPr>
          <w:color w:val="231F20"/>
          <w:spacing w:val="-11"/>
          <w:w w:val="120"/>
        </w:rPr>
        <w:t> </w:t>
      </w:r>
      <w:r>
        <w:rPr>
          <w:color w:val="231F20"/>
          <w:spacing w:val="-2"/>
          <w:w w:val="120"/>
        </w:rPr>
        <w:t>terrain. </w:t>
      </w:r>
      <w:r>
        <w:rPr>
          <w:color w:val="231F20"/>
          <w:w w:val="115"/>
        </w:rPr>
        <w:t>Comment expliquer cela? À quoi sert de mieux </w:t>
      </w:r>
      <w:r>
        <w:rPr>
          <w:color w:val="231F20"/>
          <w:spacing w:val="-2"/>
          <w:w w:val="120"/>
        </w:rPr>
        <w:t>comprendre</w:t>
      </w:r>
      <w:r>
        <w:rPr>
          <w:color w:val="231F20"/>
          <w:spacing w:val="-9"/>
          <w:w w:val="120"/>
        </w:rPr>
        <w:t> </w:t>
      </w:r>
      <w:r>
        <w:rPr>
          <w:color w:val="231F20"/>
          <w:spacing w:val="-2"/>
          <w:w w:val="120"/>
        </w:rPr>
        <w:t>le</w:t>
      </w:r>
      <w:r>
        <w:rPr>
          <w:color w:val="231F20"/>
          <w:spacing w:val="-9"/>
          <w:w w:val="120"/>
        </w:rPr>
        <w:t> </w:t>
      </w:r>
      <w:r>
        <w:rPr>
          <w:color w:val="231F20"/>
          <w:spacing w:val="-2"/>
          <w:w w:val="120"/>
        </w:rPr>
        <w:t>stress</w:t>
      </w:r>
      <w:r>
        <w:rPr>
          <w:color w:val="231F20"/>
          <w:spacing w:val="-9"/>
          <w:w w:val="120"/>
        </w:rPr>
        <w:t> </w:t>
      </w:r>
      <w:r>
        <w:rPr>
          <w:color w:val="231F20"/>
          <w:spacing w:val="-2"/>
          <w:w w:val="120"/>
        </w:rPr>
        <w:t>professionnel</w:t>
      </w:r>
      <w:r>
        <w:rPr>
          <w:color w:val="231F20"/>
          <w:spacing w:val="-9"/>
          <w:w w:val="120"/>
        </w:rPr>
        <w:t> </w:t>
      </w:r>
      <w:r>
        <w:rPr>
          <w:color w:val="231F20"/>
          <w:spacing w:val="-2"/>
          <w:w w:val="120"/>
        </w:rPr>
        <w:t>si</w:t>
      </w:r>
      <w:r>
        <w:rPr>
          <w:color w:val="231F20"/>
          <w:spacing w:val="-9"/>
          <w:w w:val="120"/>
        </w:rPr>
        <w:t> </w:t>
      </w:r>
      <w:r>
        <w:rPr>
          <w:color w:val="231F20"/>
          <w:spacing w:val="-2"/>
          <w:w w:val="120"/>
        </w:rPr>
        <w:t>cela</w:t>
      </w:r>
      <w:r>
        <w:rPr>
          <w:color w:val="231F20"/>
          <w:spacing w:val="-9"/>
          <w:w w:val="120"/>
        </w:rPr>
        <w:t> </w:t>
      </w:r>
      <w:r>
        <w:rPr>
          <w:color w:val="231F20"/>
          <w:spacing w:val="-2"/>
          <w:w w:val="120"/>
        </w:rPr>
        <w:t>ne</w:t>
      </w:r>
      <w:r>
        <w:rPr>
          <w:color w:val="231F20"/>
          <w:spacing w:val="-9"/>
          <w:w w:val="120"/>
        </w:rPr>
        <w:t> </w:t>
      </w:r>
      <w:r>
        <w:rPr>
          <w:color w:val="231F20"/>
          <w:spacing w:val="-2"/>
          <w:w w:val="120"/>
        </w:rPr>
        <w:t>se </w:t>
      </w:r>
      <w:r>
        <w:rPr>
          <w:color w:val="231F20"/>
          <w:w w:val="120"/>
        </w:rPr>
        <w:t>traduit pas par des changements sur le terrain des</w:t>
      </w:r>
      <w:r>
        <w:rPr>
          <w:color w:val="231F20"/>
          <w:spacing w:val="-13"/>
          <w:w w:val="120"/>
        </w:rPr>
        <w:t> </w:t>
      </w:r>
      <w:r>
        <w:rPr>
          <w:color w:val="231F20"/>
          <w:w w:val="120"/>
        </w:rPr>
        <w:t>entreprises?</w:t>
      </w:r>
    </w:p>
    <w:p>
      <w:pPr>
        <w:pStyle w:val="BodyText"/>
        <w:spacing w:line="307" w:lineRule="auto" w:before="73"/>
        <w:ind w:left="200" w:right="495" w:firstLine="250"/>
        <w:jc w:val="both"/>
      </w:pPr>
      <w:r>
        <w:rPr>
          <w:color w:val="231F20"/>
          <w:w w:val="120"/>
        </w:rPr>
        <w:t>La</w:t>
      </w:r>
      <w:r>
        <w:rPr>
          <w:color w:val="231F20"/>
          <w:spacing w:val="-4"/>
          <w:w w:val="120"/>
        </w:rPr>
        <w:t> </w:t>
      </w:r>
      <w:r>
        <w:rPr>
          <w:color w:val="231F20"/>
          <w:w w:val="120"/>
        </w:rPr>
        <w:t>communauté</w:t>
      </w:r>
      <w:r>
        <w:rPr>
          <w:color w:val="231F20"/>
          <w:spacing w:val="-4"/>
          <w:w w:val="120"/>
        </w:rPr>
        <w:t> </w:t>
      </w:r>
      <w:r>
        <w:rPr>
          <w:color w:val="231F20"/>
          <w:w w:val="120"/>
        </w:rPr>
        <w:t>scientifique</w:t>
      </w:r>
      <w:r>
        <w:rPr>
          <w:color w:val="231F20"/>
          <w:spacing w:val="-4"/>
          <w:w w:val="120"/>
        </w:rPr>
        <w:t> </w:t>
      </w:r>
      <w:r>
        <w:rPr>
          <w:color w:val="231F20"/>
          <w:w w:val="120"/>
        </w:rPr>
        <w:t>s’entend</w:t>
      </w:r>
      <w:r>
        <w:rPr>
          <w:color w:val="231F20"/>
          <w:spacing w:val="-4"/>
          <w:w w:val="120"/>
        </w:rPr>
        <w:t> </w:t>
      </w:r>
      <w:r>
        <w:rPr>
          <w:color w:val="231F20"/>
          <w:w w:val="120"/>
        </w:rPr>
        <w:t>una- </w:t>
      </w:r>
      <w:r>
        <w:rPr>
          <w:color w:val="231F20"/>
          <w:spacing w:val="-2"/>
          <w:w w:val="120"/>
        </w:rPr>
        <w:t>nimement</w:t>
      </w:r>
      <w:r>
        <w:rPr>
          <w:color w:val="231F20"/>
          <w:spacing w:val="-11"/>
          <w:w w:val="120"/>
        </w:rPr>
        <w:t> </w:t>
      </w:r>
      <w:r>
        <w:rPr>
          <w:color w:val="231F20"/>
          <w:spacing w:val="-2"/>
          <w:w w:val="120"/>
        </w:rPr>
        <w:t>pour</w:t>
      </w:r>
      <w:r>
        <w:rPr>
          <w:color w:val="231F20"/>
          <w:spacing w:val="-11"/>
          <w:w w:val="120"/>
        </w:rPr>
        <w:t> </w:t>
      </w:r>
      <w:r>
        <w:rPr>
          <w:color w:val="231F20"/>
          <w:spacing w:val="-2"/>
          <w:w w:val="120"/>
        </w:rPr>
        <w:t>dire</w:t>
      </w:r>
      <w:r>
        <w:rPr>
          <w:color w:val="231F20"/>
          <w:spacing w:val="-11"/>
          <w:w w:val="120"/>
        </w:rPr>
        <w:t> </w:t>
      </w:r>
      <w:r>
        <w:rPr>
          <w:color w:val="231F20"/>
          <w:spacing w:val="-2"/>
          <w:w w:val="120"/>
        </w:rPr>
        <w:t>que</w:t>
      </w:r>
      <w:r>
        <w:rPr>
          <w:color w:val="231F20"/>
          <w:spacing w:val="-10"/>
          <w:w w:val="120"/>
        </w:rPr>
        <w:t> </w:t>
      </w:r>
      <w:r>
        <w:rPr>
          <w:color w:val="231F20"/>
          <w:spacing w:val="-2"/>
          <w:w w:val="120"/>
        </w:rPr>
        <w:t>la</w:t>
      </w:r>
      <w:r>
        <w:rPr>
          <w:color w:val="231F20"/>
          <w:spacing w:val="-11"/>
          <w:w w:val="120"/>
        </w:rPr>
        <w:t> </w:t>
      </w:r>
      <w:r>
        <w:rPr>
          <w:color w:val="231F20"/>
          <w:spacing w:val="-2"/>
          <w:w w:val="120"/>
        </w:rPr>
        <w:t>santé</w:t>
      </w:r>
      <w:r>
        <w:rPr>
          <w:color w:val="231F20"/>
          <w:spacing w:val="-11"/>
          <w:w w:val="120"/>
        </w:rPr>
        <w:t> </w:t>
      </w:r>
      <w:r>
        <w:rPr>
          <w:color w:val="231F20"/>
          <w:spacing w:val="-2"/>
          <w:w w:val="120"/>
        </w:rPr>
        <w:t>psychologique </w:t>
      </w:r>
      <w:r>
        <w:rPr>
          <w:color w:val="231F20"/>
          <w:w w:val="120"/>
        </w:rPr>
        <w:t>au</w:t>
      </w:r>
      <w:r>
        <w:rPr>
          <w:color w:val="231F20"/>
          <w:spacing w:val="-13"/>
          <w:w w:val="120"/>
        </w:rPr>
        <w:t> </w:t>
      </w:r>
      <w:r>
        <w:rPr>
          <w:color w:val="231F20"/>
          <w:w w:val="120"/>
        </w:rPr>
        <w:t>travail,</w:t>
      </w:r>
      <w:r>
        <w:rPr>
          <w:color w:val="231F20"/>
          <w:spacing w:val="-13"/>
          <w:w w:val="120"/>
        </w:rPr>
        <w:t> </w:t>
      </w:r>
      <w:r>
        <w:rPr>
          <w:color w:val="231F20"/>
          <w:w w:val="120"/>
        </w:rPr>
        <w:t>et</w:t>
      </w:r>
      <w:r>
        <w:rPr>
          <w:color w:val="231F20"/>
          <w:spacing w:val="-13"/>
          <w:w w:val="120"/>
        </w:rPr>
        <w:t> </w:t>
      </w:r>
      <w:r>
        <w:rPr>
          <w:color w:val="231F20"/>
          <w:w w:val="120"/>
        </w:rPr>
        <w:t>donc</w:t>
      </w:r>
      <w:r>
        <w:rPr>
          <w:color w:val="231F20"/>
          <w:spacing w:val="-12"/>
          <w:w w:val="120"/>
        </w:rPr>
        <w:t> </w:t>
      </w:r>
      <w:r>
        <w:rPr>
          <w:color w:val="231F20"/>
          <w:w w:val="120"/>
        </w:rPr>
        <w:t>la</w:t>
      </w:r>
      <w:r>
        <w:rPr>
          <w:color w:val="231F20"/>
          <w:spacing w:val="-13"/>
          <w:w w:val="120"/>
        </w:rPr>
        <w:t> </w:t>
      </w:r>
      <w:r>
        <w:rPr>
          <w:color w:val="231F20"/>
          <w:w w:val="120"/>
        </w:rPr>
        <w:t>gestion</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2"/>
          <w:w w:val="120"/>
        </w:rPr>
        <w:t> </w:t>
      </w:r>
      <w:r>
        <w:rPr>
          <w:color w:val="231F20"/>
          <w:w w:val="120"/>
        </w:rPr>
        <w:t>est</w:t>
      </w:r>
      <w:r>
        <w:rPr>
          <w:color w:val="231F20"/>
          <w:spacing w:val="-13"/>
          <w:w w:val="120"/>
        </w:rPr>
        <w:t> </w:t>
      </w:r>
      <w:r>
        <w:rPr>
          <w:color w:val="231F20"/>
          <w:w w:val="120"/>
        </w:rPr>
        <w:t>indé- niablement</w:t>
      </w:r>
      <w:r>
        <w:rPr>
          <w:color w:val="231F20"/>
          <w:spacing w:val="-13"/>
          <w:w w:val="120"/>
        </w:rPr>
        <w:t> </w:t>
      </w:r>
      <w:r>
        <w:rPr>
          <w:color w:val="231F20"/>
          <w:w w:val="120"/>
        </w:rPr>
        <w:t>un</w:t>
      </w:r>
      <w:r>
        <w:rPr>
          <w:color w:val="231F20"/>
          <w:spacing w:val="-13"/>
          <w:w w:val="120"/>
        </w:rPr>
        <w:t> </w:t>
      </w:r>
      <w:r>
        <w:rPr>
          <w:color w:val="231F20"/>
          <w:w w:val="120"/>
        </w:rPr>
        <w:t>levier</w:t>
      </w:r>
      <w:r>
        <w:rPr>
          <w:color w:val="231F20"/>
          <w:spacing w:val="-13"/>
          <w:w w:val="120"/>
        </w:rPr>
        <w:t> </w:t>
      </w:r>
      <w:r>
        <w:rPr>
          <w:color w:val="231F20"/>
          <w:w w:val="120"/>
        </w:rPr>
        <w:t>central</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performance organisationnelle3.</w:t>
      </w:r>
      <w:r>
        <w:rPr>
          <w:color w:val="231F20"/>
          <w:spacing w:val="-13"/>
          <w:w w:val="120"/>
        </w:rPr>
        <w:t> </w:t>
      </w:r>
      <w:r>
        <w:rPr>
          <w:color w:val="231F20"/>
          <w:w w:val="120"/>
        </w:rPr>
        <w:t>Pourtant,</w:t>
      </w:r>
      <w:r>
        <w:rPr>
          <w:color w:val="231F20"/>
          <w:spacing w:val="-13"/>
          <w:w w:val="120"/>
        </w:rPr>
        <w:t> </w:t>
      </w:r>
      <w:r>
        <w:rPr>
          <w:color w:val="231F20"/>
          <w:w w:val="120"/>
        </w:rPr>
        <w:t>les</w:t>
      </w:r>
      <w:r>
        <w:rPr>
          <w:color w:val="231F20"/>
          <w:spacing w:val="-13"/>
          <w:w w:val="120"/>
        </w:rPr>
        <w:t> </w:t>
      </w:r>
      <w:r>
        <w:rPr>
          <w:color w:val="231F20"/>
          <w:w w:val="120"/>
        </w:rPr>
        <w:t>organisations demeurent</w:t>
      </w:r>
      <w:r>
        <w:rPr>
          <w:color w:val="231F20"/>
          <w:spacing w:val="-17"/>
          <w:w w:val="120"/>
        </w:rPr>
        <w:t> </w:t>
      </w:r>
      <w:r>
        <w:rPr>
          <w:color w:val="231F20"/>
          <w:w w:val="120"/>
        </w:rPr>
        <w:t>timides</w:t>
      </w:r>
      <w:r>
        <w:rPr>
          <w:color w:val="231F20"/>
          <w:spacing w:val="-16"/>
          <w:w w:val="120"/>
        </w:rPr>
        <w:t> </w:t>
      </w:r>
      <w:r>
        <w:rPr>
          <w:color w:val="231F20"/>
          <w:w w:val="120"/>
        </w:rPr>
        <w:t>à</w:t>
      </w:r>
      <w:r>
        <w:rPr>
          <w:color w:val="231F20"/>
          <w:spacing w:val="-16"/>
          <w:w w:val="120"/>
        </w:rPr>
        <w:t> </w:t>
      </w:r>
      <w:r>
        <w:rPr>
          <w:color w:val="231F20"/>
          <w:w w:val="120"/>
        </w:rPr>
        <w:t>mettre</w:t>
      </w:r>
      <w:r>
        <w:rPr>
          <w:color w:val="231F20"/>
          <w:spacing w:val="-16"/>
          <w:w w:val="120"/>
        </w:rPr>
        <w:t> </w:t>
      </w:r>
      <w:r>
        <w:rPr>
          <w:color w:val="231F20"/>
          <w:w w:val="120"/>
        </w:rPr>
        <w:t>en</w:t>
      </w:r>
      <w:r>
        <w:rPr>
          <w:color w:val="231F20"/>
          <w:spacing w:val="-16"/>
          <w:w w:val="120"/>
        </w:rPr>
        <w:t> </w:t>
      </w:r>
      <w:r>
        <w:rPr>
          <w:color w:val="231F20"/>
          <w:w w:val="120"/>
        </w:rPr>
        <w:t>œuvre</w:t>
      </w:r>
      <w:r>
        <w:rPr>
          <w:color w:val="231F20"/>
          <w:spacing w:val="-16"/>
          <w:w w:val="120"/>
        </w:rPr>
        <w:t> </w:t>
      </w:r>
      <w:r>
        <w:rPr>
          <w:color w:val="231F20"/>
          <w:w w:val="120"/>
        </w:rPr>
        <w:t>des</w:t>
      </w:r>
      <w:r>
        <w:rPr>
          <w:color w:val="231F20"/>
          <w:spacing w:val="-16"/>
          <w:w w:val="120"/>
        </w:rPr>
        <w:t> </w:t>
      </w:r>
      <w:r>
        <w:rPr>
          <w:color w:val="231F20"/>
          <w:spacing w:val="-2"/>
          <w:w w:val="120"/>
        </w:rPr>
        <w:t>inter-</w:t>
      </w:r>
    </w:p>
    <w:p>
      <w:pPr>
        <w:spacing w:after="0" w:line="307" w:lineRule="auto"/>
        <w:jc w:val="both"/>
        <w:sectPr>
          <w:type w:val="continuous"/>
          <w:pgSz w:w="8640" w:h="12960"/>
          <w:pgMar w:header="0" w:footer="424" w:top="1220" w:bottom="280" w:left="420" w:right="1140"/>
          <w:cols w:num="2" w:equalWidth="0">
            <w:col w:w="2591" w:space="40"/>
            <w:col w:w="4449"/>
          </w:cols>
        </w:sectPr>
      </w:pPr>
    </w:p>
    <w:p>
      <w:pPr>
        <w:pStyle w:val="BodyText"/>
        <w:spacing w:line="307" w:lineRule="auto" w:before="4"/>
        <w:ind w:left="830" w:right="491"/>
        <w:jc w:val="both"/>
      </w:pPr>
      <w:r>
        <w:rPr>
          <w:color w:val="231F20"/>
          <w:spacing w:val="-2"/>
          <w:w w:val="120"/>
        </w:rPr>
        <w:t>ventions</w:t>
      </w:r>
      <w:r>
        <w:rPr>
          <w:color w:val="231F20"/>
          <w:spacing w:val="-8"/>
          <w:w w:val="120"/>
        </w:rPr>
        <w:t> </w:t>
      </w:r>
      <w:r>
        <w:rPr>
          <w:color w:val="231F20"/>
          <w:spacing w:val="-2"/>
          <w:w w:val="120"/>
        </w:rPr>
        <w:t>concrètes</w:t>
      </w:r>
      <w:r>
        <w:rPr>
          <w:color w:val="231F20"/>
          <w:spacing w:val="-8"/>
          <w:w w:val="120"/>
        </w:rPr>
        <w:t> </w:t>
      </w:r>
      <w:r>
        <w:rPr>
          <w:color w:val="231F20"/>
          <w:spacing w:val="-2"/>
          <w:w w:val="120"/>
        </w:rPr>
        <w:t>visant</w:t>
      </w:r>
      <w:r>
        <w:rPr>
          <w:color w:val="231F20"/>
          <w:spacing w:val="-8"/>
          <w:w w:val="120"/>
        </w:rPr>
        <w:t> </w:t>
      </w:r>
      <w:r>
        <w:rPr>
          <w:color w:val="231F20"/>
          <w:spacing w:val="-2"/>
          <w:w w:val="120"/>
        </w:rPr>
        <w:t>à</w:t>
      </w:r>
      <w:r>
        <w:rPr>
          <w:color w:val="231F20"/>
          <w:spacing w:val="-8"/>
          <w:w w:val="120"/>
        </w:rPr>
        <w:t> </w:t>
      </w:r>
      <w:r>
        <w:rPr>
          <w:color w:val="231F20"/>
          <w:spacing w:val="-2"/>
          <w:w w:val="120"/>
        </w:rPr>
        <w:t>réduire</w:t>
      </w:r>
      <w:r>
        <w:rPr>
          <w:color w:val="231F20"/>
          <w:spacing w:val="-8"/>
          <w:w w:val="120"/>
        </w:rPr>
        <w:t> </w:t>
      </w:r>
      <w:r>
        <w:rPr>
          <w:color w:val="231F20"/>
          <w:spacing w:val="-2"/>
          <w:w w:val="120"/>
        </w:rPr>
        <w:t>le</w:t>
      </w:r>
      <w:r>
        <w:rPr>
          <w:color w:val="231F20"/>
          <w:spacing w:val="-8"/>
          <w:w w:val="120"/>
        </w:rPr>
        <w:t> </w:t>
      </w:r>
      <w:r>
        <w:rPr>
          <w:color w:val="231F20"/>
          <w:spacing w:val="-2"/>
          <w:w w:val="120"/>
        </w:rPr>
        <w:t>stress</w:t>
      </w:r>
      <w:r>
        <w:rPr>
          <w:color w:val="231F20"/>
          <w:spacing w:val="-8"/>
          <w:w w:val="120"/>
        </w:rPr>
        <w:t> </w:t>
      </w:r>
      <w:r>
        <w:rPr>
          <w:color w:val="231F20"/>
          <w:spacing w:val="-2"/>
          <w:w w:val="120"/>
        </w:rPr>
        <w:t>et</w:t>
      </w:r>
      <w:r>
        <w:rPr>
          <w:color w:val="231F20"/>
          <w:spacing w:val="-8"/>
          <w:w w:val="120"/>
        </w:rPr>
        <w:t> </w:t>
      </w:r>
      <w:r>
        <w:rPr>
          <w:color w:val="231F20"/>
          <w:spacing w:val="-2"/>
          <w:w w:val="120"/>
        </w:rPr>
        <w:t>à</w:t>
      </w:r>
      <w:r>
        <w:rPr>
          <w:color w:val="231F20"/>
          <w:spacing w:val="-8"/>
          <w:w w:val="120"/>
        </w:rPr>
        <w:t> </w:t>
      </w:r>
      <w:r>
        <w:rPr>
          <w:color w:val="231F20"/>
          <w:spacing w:val="-2"/>
          <w:w w:val="120"/>
        </w:rPr>
        <w:t>soutenir</w:t>
      </w:r>
      <w:r>
        <w:rPr>
          <w:color w:val="231F20"/>
          <w:spacing w:val="-8"/>
          <w:w w:val="120"/>
        </w:rPr>
        <w:t> </w:t>
      </w:r>
      <w:r>
        <w:rPr>
          <w:color w:val="231F20"/>
          <w:spacing w:val="-2"/>
          <w:w w:val="120"/>
        </w:rPr>
        <w:t>la</w:t>
      </w:r>
      <w:r>
        <w:rPr>
          <w:color w:val="231F20"/>
          <w:spacing w:val="-8"/>
          <w:w w:val="120"/>
        </w:rPr>
        <w:t> </w:t>
      </w:r>
      <w:r>
        <w:rPr>
          <w:color w:val="231F20"/>
          <w:spacing w:val="-2"/>
          <w:w w:val="120"/>
        </w:rPr>
        <w:t>santé</w:t>
      </w:r>
      <w:r>
        <w:rPr>
          <w:color w:val="231F20"/>
          <w:spacing w:val="-8"/>
          <w:w w:val="120"/>
        </w:rPr>
        <w:t> </w:t>
      </w:r>
      <w:r>
        <w:rPr>
          <w:color w:val="231F20"/>
          <w:spacing w:val="-2"/>
          <w:w w:val="120"/>
        </w:rPr>
        <w:t>psycho- </w:t>
      </w:r>
      <w:r>
        <w:rPr>
          <w:color w:val="231F20"/>
          <w:w w:val="120"/>
        </w:rPr>
        <w:t>logique de leurs travailleurs4. Il y a nettement une distance entre la connaissance et l’action. Malgré les savoirs actuels, plusieurs gestion- </w:t>
      </w:r>
      <w:r>
        <w:rPr>
          <w:color w:val="231F20"/>
          <w:spacing w:val="-2"/>
          <w:w w:val="120"/>
        </w:rPr>
        <w:t>naires</w:t>
      </w:r>
      <w:r>
        <w:rPr>
          <w:color w:val="231F20"/>
          <w:spacing w:val="-10"/>
          <w:w w:val="120"/>
        </w:rPr>
        <w:t> </w:t>
      </w:r>
      <w:r>
        <w:rPr>
          <w:color w:val="231F20"/>
          <w:spacing w:val="-2"/>
          <w:w w:val="120"/>
        </w:rPr>
        <w:t>demeurent</w:t>
      </w:r>
      <w:r>
        <w:rPr>
          <w:color w:val="231F20"/>
          <w:spacing w:val="-10"/>
          <w:w w:val="120"/>
        </w:rPr>
        <w:t> </w:t>
      </w:r>
      <w:r>
        <w:rPr>
          <w:color w:val="231F20"/>
          <w:spacing w:val="-2"/>
          <w:w w:val="120"/>
        </w:rPr>
        <w:t>suspicieux</w:t>
      </w:r>
      <w:r>
        <w:rPr>
          <w:color w:val="231F20"/>
          <w:spacing w:val="-10"/>
          <w:w w:val="120"/>
        </w:rPr>
        <w:t> </w:t>
      </w:r>
      <w:r>
        <w:rPr>
          <w:color w:val="231F20"/>
          <w:spacing w:val="-2"/>
          <w:w w:val="120"/>
        </w:rPr>
        <w:t>quant</w:t>
      </w:r>
      <w:r>
        <w:rPr>
          <w:color w:val="231F20"/>
          <w:spacing w:val="-10"/>
          <w:w w:val="120"/>
        </w:rPr>
        <w:t> </w:t>
      </w:r>
      <w:r>
        <w:rPr>
          <w:color w:val="231F20"/>
          <w:spacing w:val="-2"/>
          <w:w w:val="120"/>
        </w:rPr>
        <w:t>au</w:t>
      </w:r>
      <w:r>
        <w:rPr>
          <w:color w:val="231F20"/>
          <w:spacing w:val="-10"/>
          <w:w w:val="120"/>
        </w:rPr>
        <w:t> </w:t>
      </w:r>
      <w:r>
        <w:rPr>
          <w:color w:val="231F20"/>
          <w:spacing w:val="-2"/>
          <w:w w:val="120"/>
        </w:rPr>
        <w:t>réel</w:t>
      </w:r>
      <w:r>
        <w:rPr>
          <w:color w:val="231F20"/>
          <w:spacing w:val="-10"/>
          <w:w w:val="120"/>
        </w:rPr>
        <w:t> </w:t>
      </w:r>
      <w:r>
        <w:rPr>
          <w:color w:val="231F20"/>
          <w:spacing w:val="-2"/>
          <w:w w:val="120"/>
        </w:rPr>
        <w:t>effet</w:t>
      </w:r>
      <w:r>
        <w:rPr>
          <w:color w:val="231F20"/>
          <w:spacing w:val="-10"/>
          <w:w w:val="120"/>
        </w:rPr>
        <w:t> </w:t>
      </w:r>
      <w:r>
        <w:rPr>
          <w:color w:val="231F20"/>
          <w:spacing w:val="-2"/>
          <w:w w:val="120"/>
        </w:rPr>
        <w:t>d’une</w:t>
      </w:r>
      <w:r>
        <w:rPr>
          <w:color w:val="231F20"/>
          <w:spacing w:val="-10"/>
          <w:w w:val="120"/>
        </w:rPr>
        <w:t> </w:t>
      </w:r>
      <w:r>
        <w:rPr>
          <w:color w:val="231F20"/>
          <w:spacing w:val="-2"/>
          <w:w w:val="120"/>
        </w:rPr>
        <w:t>réduction</w:t>
      </w:r>
      <w:r>
        <w:rPr>
          <w:color w:val="231F20"/>
          <w:spacing w:val="-10"/>
          <w:w w:val="120"/>
        </w:rPr>
        <w:t> </w:t>
      </w:r>
      <w:r>
        <w:rPr>
          <w:color w:val="231F20"/>
          <w:spacing w:val="-2"/>
          <w:w w:val="120"/>
        </w:rPr>
        <w:t>du</w:t>
      </w:r>
      <w:r>
        <w:rPr>
          <w:color w:val="231F20"/>
          <w:spacing w:val="-10"/>
          <w:w w:val="120"/>
        </w:rPr>
        <w:t> </w:t>
      </w:r>
      <w:r>
        <w:rPr>
          <w:color w:val="231F20"/>
          <w:spacing w:val="-2"/>
          <w:w w:val="120"/>
        </w:rPr>
        <w:t>stress </w:t>
      </w:r>
      <w:r>
        <w:rPr>
          <w:color w:val="231F20"/>
          <w:w w:val="115"/>
        </w:rPr>
        <w:t>au</w:t>
      </w:r>
      <w:r>
        <w:rPr>
          <w:color w:val="231F20"/>
          <w:spacing w:val="-6"/>
          <w:w w:val="115"/>
        </w:rPr>
        <w:t> </w:t>
      </w:r>
      <w:r>
        <w:rPr>
          <w:color w:val="231F20"/>
          <w:w w:val="115"/>
        </w:rPr>
        <w:t>travail,</w:t>
      </w:r>
      <w:r>
        <w:rPr>
          <w:color w:val="231F20"/>
          <w:spacing w:val="-6"/>
          <w:w w:val="115"/>
        </w:rPr>
        <w:t> </w:t>
      </w:r>
      <w:r>
        <w:rPr>
          <w:color w:val="231F20"/>
          <w:w w:val="115"/>
        </w:rPr>
        <w:t>ou</w:t>
      </w:r>
      <w:r>
        <w:rPr>
          <w:color w:val="231F20"/>
          <w:spacing w:val="-6"/>
          <w:w w:val="115"/>
        </w:rPr>
        <w:t> </w:t>
      </w:r>
      <w:r>
        <w:rPr>
          <w:color w:val="231F20"/>
          <w:w w:val="115"/>
        </w:rPr>
        <w:t>d’une</w:t>
      </w:r>
      <w:r>
        <w:rPr>
          <w:color w:val="231F20"/>
          <w:spacing w:val="-6"/>
          <w:w w:val="115"/>
        </w:rPr>
        <w:t> </w:t>
      </w:r>
      <w:r>
        <w:rPr>
          <w:color w:val="231F20"/>
          <w:w w:val="115"/>
        </w:rPr>
        <w:t>amélioration</w:t>
      </w:r>
      <w:r>
        <w:rPr>
          <w:color w:val="231F20"/>
          <w:spacing w:val="-6"/>
          <w:w w:val="115"/>
        </w:rPr>
        <w:t> </w:t>
      </w:r>
      <w:r>
        <w:rPr>
          <w:color w:val="231F20"/>
          <w:w w:val="115"/>
        </w:rPr>
        <w:t>de</w:t>
      </w:r>
      <w:r>
        <w:rPr>
          <w:color w:val="231F20"/>
          <w:spacing w:val="-6"/>
          <w:w w:val="115"/>
        </w:rPr>
        <w:t> </w:t>
      </w:r>
      <w:r>
        <w:rPr>
          <w:color w:val="231F20"/>
          <w:w w:val="115"/>
        </w:rPr>
        <w:t>la</w:t>
      </w:r>
      <w:r>
        <w:rPr>
          <w:color w:val="231F20"/>
          <w:spacing w:val="-6"/>
          <w:w w:val="115"/>
        </w:rPr>
        <w:t> </w:t>
      </w:r>
      <w:r>
        <w:rPr>
          <w:color w:val="231F20"/>
          <w:w w:val="115"/>
        </w:rPr>
        <w:t>santé</w:t>
      </w:r>
      <w:r>
        <w:rPr>
          <w:color w:val="231F20"/>
          <w:spacing w:val="-6"/>
          <w:w w:val="115"/>
        </w:rPr>
        <w:t> </w:t>
      </w:r>
      <w:r>
        <w:rPr>
          <w:color w:val="231F20"/>
          <w:w w:val="115"/>
        </w:rPr>
        <w:t>psychologique.</w:t>
      </w:r>
      <w:r>
        <w:rPr>
          <w:color w:val="231F20"/>
          <w:spacing w:val="-6"/>
          <w:w w:val="115"/>
        </w:rPr>
        <w:t> </w:t>
      </w:r>
      <w:r>
        <w:rPr>
          <w:color w:val="231F20"/>
          <w:w w:val="115"/>
        </w:rPr>
        <w:t>Il</w:t>
      </w:r>
      <w:r>
        <w:rPr>
          <w:color w:val="231F20"/>
          <w:spacing w:val="-6"/>
          <w:w w:val="115"/>
        </w:rPr>
        <w:t> </w:t>
      </w:r>
      <w:r>
        <w:rPr>
          <w:color w:val="231F20"/>
          <w:w w:val="115"/>
        </w:rPr>
        <w:t>y</w:t>
      </w:r>
      <w:r>
        <w:rPr>
          <w:color w:val="231F20"/>
          <w:spacing w:val="-6"/>
          <w:w w:val="115"/>
        </w:rPr>
        <w:t> </w:t>
      </w:r>
      <w:r>
        <w:rPr>
          <w:color w:val="231F20"/>
          <w:w w:val="115"/>
        </w:rPr>
        <w:t>a</w:t>
      </w:r>
      <w:r>
        <w:rPr>
          <w:color w:val="231F20"/>
          <w:spacing w:val="-6"/>
          <w:w w:val="115"/>
        </w:rPr>
        <w:t> </w:t>
      </w:r>
      <w:r>
        <w:rPr>
          <w:color w:val="231F20"/>
          <w:w w:val="115"/>
        </w:rPr>
        <w:t>de</w:t>
      </w:r>
      <w:r>
        <w:rPr>
          <w:color w:val="231F20"/>
          <w:spacing w:val="-6"/>
          <w:w w:val="115"/>
        </w:rPr>
        <w:t> </w:t>
      </w:r>
      <w:r>
        <w:rPr>
          <w:color w:val="231F20"/>
          <w:w w:val="115"/>
        </w:rPr>
        <w:t>toute </w:t>
      </w:r>
      <w:r>
        <w:rPr>
          <w:color w:val="231F20"/>
          <w:spacing w:val="-2"/>
          <w:w w:val="120"/>
        </w:rPr>
        <w:t>évidence</w:t>
      </w:r>
      <w:r>
        <w:rPr>
          <w:color w:val="231F20"/>
          <w:spacing w:val="-5"/>
          <w:w w:val="120"/>
        </w:rPr>
        <w:t> </w:t>
      </w:r>
      <w:r>
        <w:rPr>
          <w:color w:val="231F20"/>
          <w:spacing w:val="-2"/>
          <w:w w:val="120"/>
        </w:rPr>
        <w:t>des</w:t>
      </w:r>
      <w:r>
        <w:rPr>
          <w:color w:val="231F20"/>
          <w:spacing w:val="-5"/>
          <w:w w:val="120"/>
        </w:rPr>
        <w:t> </w:t>
      </w:r>
      <w:r>
        <w:rPr>
          <w:color w:val="231F20"/>
          <w:spacing w:val="-2"/>
          <w:w w:val="120"/>
        </w:rPr>
        <w:t>obstacles</w:t>
      </w:r>
      <w:r>
        <w:rPr>
          <w:color w:val="231F20"/>
          <w:spacing w:val="-5"/>
          <w:w w:val="120"/>
        </w:rPr>
        <w:t> </w:t>
      </w:r>
      <w:r>
        <w:rPr>
          <w:color w:val="231F20"/>
          <w:spacing w:val="-2"/>
          <w:w w:val="120"/>
        </w:rPr>
        <w:t>dans</w:t>
      </w:r>
      <w:r>
        <w:rPr>
          <w:color w:val="231F20"/>
          <w:spacing w:val="-5"/>
          <w:w w:val="120"/>
        </w:rPr>
        <w:t> </w:t>
      </w:r>
      <w:r>
        <w:rPr>
          <w:color w:val="231F20"/>
          <w:spacing w:val="-2"/>
          <w:w w:val="120"/>
        </w:rPr>
        <w:t>le</w:t>
      </w:r>
      <w:r>
        <w:rPr>
          <w:color w:val="231F20"/>
          <w:spacing w:val="-5"/>
          <w:w w:val="120"/>
        </w:rPr>
        <w:t> </w:t>
      </w:r>
      <w:r>
        <w:rPr>
          <w:color w:val="231F20"/>
          <w:spacing w:val="-2"/>
          <w:w w:val="120"/>
        </w:rPr>
        <w:t>dialogue</w:t>
      </w:r>
      <w:r>
        <w:rPr>
          <w:color w:val="231F20"/>
          <w:spacing w:val="-5"/>
          <w:w w:val="120"/>
        </w:rPr>
        <w:t> </w:t>
      </w:r>
      <w:r>
        <w:rPr>
          <w:color w:val="231F20"/>
          <w:spacing w:val="-2"/>
          <w:w w:val="120"/>
        </w:rPr>
        <w:t>entre</w:t>
      </w:r>
      <w:r>
        <w:rPr>
          <w:color w:val="231F20"/>
          <w:spacing w:val="-5"/>
          <w:w w:val="120"/>
        </w:rPr>
        <w:t> </w:t>
      </w:r>
      <w:r>
        <w:rPr>
          <w:color w:val="231F20"/>
          <w:spacing w:val="-2"/>
          <w:w w:val="120"/>
        </w:rPr>
        <w:t>les</w:t>
      </w:r>
      <w:r>
        <w:rPr>
          <w:color w:val="231F20"/>
          <w:spacing w:val="-5"/>
          <w:w w:val="120"/>
        </w:rPr>
        <w:t> </w:t>
      </w:r>
      <w:r>
        <w:rPr>
          <w:color w:val="231F20"/>
          <w:spacing w:val="-2"/>
          <w:w w:val="120"/>
        </w:rPr>
        <w:t>scientifiques</w:t>
      </w:r>
      <w:r>
        <w:rPr>
          <w:color w:val="231F20"/>
          <w:spacing w:val="-5"/>
          <w:w w:val="120"/>
        </w:rPr>
        <w:t> </w:t>
      </w:r>
      <w:r>
        <w:rPr>
          <w:color w:val="231F20"/>
          <w:spacing w:val="-2"/>
          <w:w w:val="120"/>
        </w:rPr>
        <w:t>et</w:t>
      </w:r>
      <w:r>
        <w:rPr>
          <w:color w:val="231F20"/>
          <w:spacing w:val="-5"/>
          <w:w w:val="120"/>
        </w:rPr>
        <w:t> </w:t>
      </w:r>
      <w:r>
        <w:rPr>
          <w:color w:val="231F20"/>
          <w:spacing w:val="-2"/>
          <w:w w:val="120"/>
        </w:rPr>
        <w:t>les</w:t>
      </w:r>
      <w:r>
        <w:rPr>
          <w:color w:val="231F20"/>
          <w:spacing w:val="-5"/>
          <w:w w:val="120"/>
        </w:rPr>
        <w:t> </w:t>
      </w:r>
      <w:r>
        <w:rPr>
          <w:color w:val="231F20"/>
          <w:spacing w:val="-2"/>
          <w:w w:val="120"/>
        </w:rPr>
        <w:t>pra- </w:t>
      </w:r>
      <w:r>
        <w:rPr>
          <w:color w:val="231F20"/>
          <w:w w:val="120"/>
        </w:rPr>
        <w:t>ticiens. Les uns prêchent dans le désert, les autres demandent à être convaincus. Nous avons les outils et les techniques actuellement pour réduire</w:t>
      </w:r>
      <w:r>
        <w:rPr>
          <w:color w:val="231F20"/>
          <w:spacing w:val="39"/>
          <w:w w:val="120"/>
        </w:rPr>
        <w:t> </w:t>
      </w:r>
      <w:r>
        <w:rPr>
          <w:color w:val="231F20"/>
          <w:w w:val="120"/>
        </w:rPr>
        <w:t>significativement</w:t>
      </w:r>
      <w:r>
        <w:rPr>
          <w:color w:val="231F20"/>
          <w:spacing w:val="40"/>
          <w:w w:val="120"/>
        </w:rPr>
        <w:t> </w:t>
      </w:r>
      <w:r>
        <w:rPr>
          <w:color w:val="231F20"/>
          <w:w w:val="120"/>
        </w:rPr>
        <w:t>le</w:t>
      </w:r>
      <w:r>
        <w:rPr>
          <w:color w:val="231F20"/>
          <w:spacing w:val="39"/>
          <w:w w:val="120"/>
        </w:rPr>
        <w:t> </w:t>
      </w:r>
      <w:r>
        <w:rPr>
          <w:color w:val="231F20"/>
          <w:w w:val="120"/>
        </w:rPr>
        <w:t>niveau</w:t>
      </w:r>
      <w:r>
        <w:rPr>
          <w:color w:val="231F20"/>
          <w:spacing w:val="40"/>
          <w:w w:val="120"/>
        </w:rPr>
        <w:t> </w:t>
      </w:r>
      <w:r>
        <w:rPr>
          <w:color w:val="231F20"/>
          <w:w w:val="120"/>
        </w:rPr>
        <w:t>de</w:t>
      </w:r>
      <w:r>
        <w:rPr>
          <w:color w:val="231F20"/>
          <w:spacing w:val="39"/>
          <w:w w:val="120"/>
        </w:rPr>
        <w:t> </w:t>
      </w:r>
      <w:r>
        <w:rPr>
          <w:color w:val="231F20"/>
          <w:w w:val="120"/>
        </w:rPr>
        <w:t>stress</w:t>
      </w:r>
      <w:r>
        <w:rPr>
          <w:color w:val="231F20"/>
          <w:spacing w:val="40"/>
          <w:w w:val="120"/>
        </w:rPr>
        <w:t> </w:t>
      </w:r>
      <w:r>
        <w:rPr>
          <w:color w:val="231F20"/>
          <w:w w:val="120"/>
        </w:rPr>
        <w:t>professionnel</w:t>
      </w:r>
      <w:r>
        <w:rPr>
          <w:color w:val="231F20"/>
          <w:spacing w:val="39"/>
          <w:w w:val="120"/>
        </w:rPr>
        <w:t> </w:t>
      </w:r>
      <w:r>
        <w:rPr>
          <w:color w:val="231F20"/>
          <w:w w:val="120"/>
        </w:rPr>
        <w:t>et</w:t>
      </w:r>
      <w:r>
        <w:rPr>
          <w:color w:val="231F20"/>
          <w:spacing w:val="40"/>
          <w:w w:val="120"/>
        </w:rPr>
        <w:t> </w:t>
      </w:r>
      <w:r>
        <w:rPr>
          <w:color w:val="231F20"/>
          <w:spacing w:val="-2"/>
          <w:w w:val="120"/>
        </w:rPr>
        <w:t>ainsi</w:t>
      </w:r>
    </w:p>
    <w:p>
      <w:pPr>
        <w:pStyle w:val="BodyText"/>
        <w:spacing w:before="4"/>
        <w:rPr>
          <w:sz w:val="18"/>
        </w:rPr>
      </w:pPr>
      <w:r>
        <w:rPr/>
        <w:pict>
          <v:shape style="position:absolute;margin-left:62.5pt;margin-top:11.768745pt;width:287.5pt;height:.1pt;mso-position-horizontal-relative:page;mso-position-vertical-relative:paragraph;z-index:-15632896;mso-wrap-distance-left:0;mso-wrap-distance-right:0" id="docshape1016" coordorigin="1250,235" coordsize="5750,0" path="m1250,235l7000,235e" filled="false" stroked="true" strokeweight=".25pt" strokecolor="#231f20">
            <v:path arrowok="t"/>
            <v:stroke dashstyle="shortdot"/>
            <w10:wrap type="topAndBottom"/>
          </v:shape>
        </w:pict>
      </w:r>
    </w:p>
    <w:p>
      <w:pPr>
        <w:pStyle w:val="ListParagraph"/>
        <w:numPr>
          <w:ilvl w:val="2"/>
          <w:numId w:val="75"/>
        </w:numPr>
        <w:tabs>
          <w:tab w:pos="829" w:val="left" w:leader="none"/>
          <w:tab w:pos="830" w:val="left" w:leader="none"/>
        </w:tabs>
        <w:spacing w:line="295" w:lineRule="auto" w:before="135" w:after="0"/>
        <w:ind w:left="829" w:right="497" w:hanging="328"/>
        <w:jc w:val="left"/>
        <w:rPr>
          <w:rFonts w:ascii="Arial"/>
          <w:sz w:val="12"/>
        </w:rPr>
      </w:pPr>
      <w:r>
        <w:rPr>
          <w:rFonts w:ascii="Arial"/>
          <w:color w:val="231F20"/>
          <w:spacing w:val="-2"/>
          <w:sz w:val="12"/>
        </w:rPr>
        <w:t>Ipsen, C., Karanika-Murray, M. et Nardelli, G. (2020). Addressing mental health and organisational performance</w:t>
      </w:r>
      <w:r>
        <w:rPr>
          <w:rFonts w:ascii="Arial"/>
          <w:color w:val="231F20"/>
          <w:spacing w:val="40"/>
          <w:sz w:val="12"/>
        </w:rPr>
        <w:t> </w:t>
      </w:r>
      <w:r>
        <w:rPr>
          <w:rFonts w:ascii="Arial"/>
          <w:color w:val="231F20"/>
          <w:sz w:val="12"/>
        </w:rPr>
        <w:t>in tandem: A challenge and an opportunity for bringing together what belongs together, </w:t>
      </w:r>
      <w:r>
        <w:rPr>
          <w:rFonts w:ascii="Arial"/>
          <w:i/>
          <w:color w:val="231F20"/>
          <w:sz w:val="12"/>
        </w:rPr>
        <w:t>Work &amp; Stress</w:t>
      </w:r>
      <w:r>
        <w:rPr>
          <w:rFonts w:ascii="Arial"/>
          <w:color w:val="231F20"/>
          <w:sz w:val="12"/>
        </w:rPr>
        <w:t>, 34.</w:t>
      </w:r>
    </w:p>
    <w:p>
      <w:pPr>
        <w:pStyle w:val="ListParagraph"/>
        <w:numPr>
          <w:ilvl w:val="2"/>
          <w:numId w:val="75"/>
        </w:numPr>
        <w:tabs>
          <w:tab w:pos="829" w:val="left" w:leader="none"/>
          <w:tab w:pos="830" w:val="left" w:leader="none"/>
        </w:tabs>
        <w:spacing w:line="295" w:lineRule="auto" w:before="0" w:after="0"/>
        <w:ind w:left="829" w:right="495" w:hanging="328"/>
        <w:jc w:val="left"/>
        <w:rPr>
          <w:rFonts w:ascii="Arial"/>
          <w:sz w:val="12"/>
        </w:rPr>
      </w:pPr>
      <w:r>
        <w:rPr>
          <w:rFonts w:ascii="Arial"/>
          <w:color w:val="231F20"/>
          <w:sz w:val="12"/>
        </w:rPr>
        <w:t>Molek-Winiarska, D. et Molek-Kozakowska, K. (2020). Are organizations committed to stress management</w:t>
      </w:r>
      <w:r>
        <w:rPr>
          <w:rFonts w:ascii="Arial"/>
          <w:color w:val="231F20"/>
          <w:spacing w:val="40"/>
          <w:sz w:val="12"/>
        </w:rPr>
        <w:t> </w:t>
      </w:r>
      <w:r>
        <w:rPr>
          <w:rFonts w:ascii="Arial"/>
          <w:color w:val="231F20"/>
          <w:sz w:val="12"/>
        </w:rPr>
        <w:t>interventions?, </w:t>
      </w:r>
      <w:r>
        <w:rPr>
          <w:rFonts w:ascii="Arial"/>
          <w:i/>
          <w:color w:val="231F20"/>
          <w:sz w:val="12"/>
        </w:rPr>
        <w:t>Employe Relations</w:t>
      </w:r>
      <w:r>
        <w:rPr>
          <w:rFonts w:ascii="Arial"/>
          <w:color w:val="231F20"/>
          <w:sz w:val="12"/>
        </w:rPr>
        <w:t>, </w:t>
      </w:r>
      <w:r>
        <w:rPr>
          <w:rFonts w:ascii="Arial"/>
          <w:i/>
          <w:color w:val="231F20"/>
          <w:sz w:val="12"/>
        </w:rPr>
        <w:t>42</w:t>
      </w:r>
      <w:r>
        <w:rPr>
          <w:rFonts w:ascii="Arial"/>
          <w:color w:val="231F20"/>
          <w:sz w:val="12"/>
        </w:rPr>
        <w:t>, 1309-1325.</w:t>
      </w:r>
    </w:p>
    <w:p>
      <w:pPr>
        <w:spacing w:after="0" w:line="295" w:lineRule="auto"/>
        <w:jc w:val="left"/>
        <w:rPr>
          <w:rFonts w:ascii="Arial"/>
          <w:sz w:val="12"/>
        </w:rPr>
        <w:sectPr>
          <w:type w:val="continuous"/>
          <w:pgSz w:w="8640" w:h="12960"/>
          <w:pgMar w:header="0" w:footer="424" w:top="1220" w:bottom="280" w:left="420" w:right="1140"/>
        </w:sectPr>
      </w:pPr>
    </w:p>
    <w:p>
      <w:pPr>
        <w:spacing w:before="118"/>
        <w:ind w:left="1847" w:right="0" w:firstLine="0"/>
        <w:jc w:val="left"/>
        <w:rPr>
          <w:rFonts w:ascii="Arial" w:hAnsi="Arial"/>
          <w:sz w:val="14"/>
        </w:rPr>
      </w:pPr>
      <w:bookmarkStart w:name=" 5.2 / Stratégies individuelles" w:id="173"/>
      <w:bookmarkEnd w:id="173"/>
      <w:r>
        <w:rPr/>
      </w:r>
      <w:bookmarkStart w:name="_bookmark76" w:id="174"/>
      <w:bookmarkEnd w:id="174"/>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2"/>
        <w:jc w:val="both"/>
      </w:pPr>
      <w:r>
        <w:rPr>
          <w:color w:val="231F20"/>
          <w:w w:val="120"/>
        </w:rPr>
        <w:t>contribuer à une amélioration de l’efficacité et de la performance des organisations. Il faut seulement dialoguer… et c’est exactement un</w:t>
      </w:r>
      <w:r>
        <w:rPr>
          <w:color w:val="231F20"/>
          <w:spacing w:val="40"/>
          <w:w w:val="120"/>
        </w:rPr>
        <w:t> </w:t>
      </w:r>
      <w:r>
        <w:rPr>
          <w:color w:val="231F20"/>
          <w:w w:val="120"/>
        </w:rPr>
        <w:t>des objectifs de ce livre.</w:t>
      </w:r>
    </w:p>
    <w:p>
      <w:pPr>
        <w:pStyle w:val="BodyText"/>
        <w:spacing w:line="307" w:lineRule="auto" w:before="80"/>
        <w:ind w:left="1220" w:right="103" w:firstLine="250"/>
        <w:jc w:val="both"/>
      </w:pPr>
      <w:r>
        <w:rPr>
          <w:color w:val="231F20"/>
          <w:w w:val="120"/>
        </w:rPr>
        <w:t>Dans</w:t>
      </w:r>
      <w:r>
        <w:rPr>
          <w:color w:val="231F20"/>
          <w:spacing w:val="-4"/>
          <w:w w:val="120"/>
        </w:rPr>
        <w:t> </w:t>
      </w:r>
      <w:r>
        <w:rPr>
          <w:color w:val="231F20"/>
          <w:w w:val="120"/>
        </w:rPr>
        <w:t>la</w:t>
      </w:r>
      <w:r>
        <w:rPr>
          <w:color w:val="231F20"/>
          <w:spacing w:val="-4"/>
          <w:w w:val="120"/>
        </w:rPr>
        <w:t> </w:t>
      </w:r>
      <w:r>
        <w:rPr>
          <w:color w:val="231F20"/>
          <w:w w:val="120"/>
        </w:rPr>
        <w:t>première</w:t>
      </w:r>
      <w:r>
        <w:rPr>
          <w:color w:val="231F20"/>
          <w:spacing w:val="-4"/>
          <w:w w:val="120"/>
        </w:rPr>
        <w:t> </w:t>
      </w:r>
      <w:r>
        <w:rPr>
          <w:color w:val="231F20"/>
          <w:w w:val="120"/>
        </w:rPr>
        <w:t>section</w:t>
      </w:r>
      <w:r>
        <w:rPr>
          <w:color w:val="231F20"/>
          <w:spacing w:val="-4"/>
          <w:w w:val="120"/>
        </w:rPr>
        <w:t> </w:t>
      </w:r>
      <w:r>
        <w:rPr>
          <w:color w:val="231F20"/>
          <w:w w:val="120"/>
        </w:rPr>
        <w:t>de</w:t>
      </w:r>
      <w:r>
        <w:rPr>
          <w:color w:val="231F20"/>
          <w:spacing w:val="-4"/>
          <w:w w:val="120"/>
        </w:rPr>
        <w:t> </w:t>
      </w:r>
      <w:r>
        <w:rPr>
          <w:color w:val="231F20"/>
          <w:w w:val="120"/>
        </w:rPr>
        <w:t>ce</w:t>
      </w:r>
      <w:r>
        <w:rPr>
          <w:color w:val="231F20"/>
          <w:spacing w:val="-4"/>
          <w:w w:val="120"/>
        </w:rPr>
        <w:t> </w:t>
      </w:r>
      <w:r>
        <w:rPr>
          <w:color w:val="231F20"/>
          <w:w w:val="120"/>
        </w:rPr>
        <w:t>chapitre,</w:t>
      </w:r>
      <w:r>
        <w:rPr>
          <w:color w:val="231F20"/>
          <w:spacing w:val="-4"/>
          <w:w w:val="120"/>
        </w:rPr>
        <w:t> </w:t>
      </w:r>
      <w:r>
        <w:rPr>
          <w:color w:val="231F20"/>
          <w:w w:val="120"/>
        </w:rPr>
        <w:t>nous</w:t>
      </w:r>
      <w:r>
        <w:rPr>
          <w:color w:val="231F20"/>
          <w:spacing w:val="-4"/>
          <w:w w:val="120"/>
        </w:rPr>
        <w:t> </w:t>
      </w:r>
      <w:r>
        <w:rPr>
          <w:color w:val="231F20"/>
          <w:w w:val="120"/>
        </w:rPr>
        <w:t>aborderons</w:t>
      </w:r>
      <w:r>
        <w:rPr>
          <w:color w:val="231F20"/>
          <w:spacing w:val="-4"/>
          <w:w w:val="120"/>
        </w:rPr>
        <w:t> </w:t>
      </w:r>
      <w:r>
        <w:rPr>
          <w:color w:val="231F20"/>
          <w:w w:val="120"/>
        </w:rPr>
        <w:t>quelques- unes des stratégies individuelles les plus discutées de lutte contre le </w:t>
      </w:r>
      <w:r>
        <w:rPr>
          <w:color w:val="231F20"/>
          <w:spacing w:val="-2"/>
          <w:w w:val="120"/>
        </w:rPr>
        <w:t>stress.</w:t>
      </w:r>
      <w:r>
        <w:rPr>
          <w:color w:val="231F20"/>
          <w:spacing w:val="-9"/>
          <w:w w:val="120"/>
        </w:rPr>
        <w:t> </w:t>
      </w:r>
      <w:r>
        <w:rPr>
          <w:color w:val="231F20"/>
          <w:spacing w:val="-2"/>
          <w:w w:val="120"/>
        </w:rPr>
        <w:t>Toutefois,</w:t>
      </w:r>
      <w:r>
        <w:rPr>
          <w:color w:val="231F20"/>
          <w:spacing w:val="-9"/>
          <w:w w:val="120"/>
        </w:rPr>
        <w:t> </w:t>
      </w:r>
      <w:r>
        <w:rPr>
          <w:color w:val="231F20"/>
          <w:spacing w:val="-2"/>
          <w:w w:val="120"/>
        </w:rPr>
        <w:t>contrairement</w:t>
      </w:r>
      <w:r>
        <w:rPr>
          <w:color w:val="231F20"/>
          <w:spacing w:val="-9"/>
          <w:w w:val="120"/>
        </w:rPr>
        <w:t> </w:t>
      </w:r>
      <w:r>
        <w:rPr>
          <w:color w:val="231F20"/>
          <w:spacing w:val="-2"/>
          <w:w w:val="120"/>
        </w:rPr>
        <w:t>à</w:t>
      </w:r>
      <w:r>
        <w:rPr>
          <w:color w:val="231F20"/>
          <w:spacing w:val="-8"/>
          <w:w w:val="120"/>
        </w:rPr>
        <w:t> </w:t>
      </w:r>
      <w:r>
        <w:rPr>
          <w:color w:val="231F20"/>
          <w:spacing w:val="-2"/>
          <w:w w:val="120"/>
        </w:rPr>
        <w:t>l’idée</w:t>
      </w:r>
      <w:r>
        <w:rPr>
          <w:color w:val="231F20"/>
          <w:spacing w:val="-9"/>
          <w:w w:val="120"/>
        </w:rPr>
        <w:t> </w:t>
      </w:r>
      <w:r>
        <w:rPr>
          <w:color w:val="231F20"/>
          <w:spacing w:val="-2"/>
          <w:w w:val="120"/>
        </w:rPr>
        <w:t>reçue</w:t>
      </w:r>
      <w:r>
        <w:rPr>
          <w:color w:val="231F20"/>
          <w:spacing w:val="-9"/>
          <w:w w:val="120"/>
        </w:rPr>
        <w:t> </w:t>
      </w:r>
      <w:r>
        <w:rPr>
          <w:color w:val="231F20"/>
          <w:spacing w:val="-2"/>
          <w:w w:val="120"/>
        </w:rPr>
        <w:t>qui</w:t>
      </w:r>
      <w:r>
        <w:rPr>
          <w:color w:val="231F20"/>
          <w:spacing w:val="-9"/>
          <w:w w:val="120"/>
        </w:rPr>
        <w:t> </w:t>
      </w:r>
      <w:r>
        <w:rPr>
          <w:color w:val="231F20"/>
          <w:spacing w:val="-2"/>
          <w:w w:val="120"/>
        </w:rPr>
        <w:t>a</w:t>
      </w:r>
      <w:r>
        <w:rPr>
          <w:color w:val="231F20"/>
          <w:spacing w:val="-8"/>
          <w:w w:val="120"/>
        </w:rPr>
        <w:t> </w:t>
      </w:r>
      <w:r>
        <w:rPr>
          <w:color w:val="231F20"/>
          <w:spacing w:val="-2"/>
          <w:w w:val="120"/>
        </w:rPr>
        <w:t>cours</w:t>
      </w:r>
      <w:r>
        <w:rPr>
          <w:color w:val="231F20"/>
          <w:spacing w:val="-9"/>
          <w:w w:val="120"/>
        </w:rPr>
        <w:t> </w:t>
      </w:r>
      <w:r>
        <w:rPr>
          <w:color w:val="231F20"/>
          <w:spacing w:val="-2"/>
          <w:w w:val="120"/>
        </w:rPr>
        <w:t>depuis</w:t>
      </w:r>
      <w:r>
        <w:rPr>
          <w:color w:val="231F20"/>
          <w:spacing w:val="-9"/>
          <w:w w:val="120"/>
        </w:rPr>
        <w:t> </w:t>
      </w:r>
      <w:r>
        <w:rPr>
          <w:color w:val="231F20"/>
          <w:spacing w:val="-2"/>
          <w:w w:val="120"/>
        </w:rPr>
        <w:t>nombre </w:t>
      </w:r>
      <w:r>
        <w:rPr>
          <w:color w:val="231F20"/>
          <w:w w:val="120"/>
        </w:rPr>
        <w:t>d’années,</w:t>
      </w:r>
      <w:r>
        <w:rPr>
          <w:color w:val="231F20"/>
          <w:spacing w:val="-6"/>
          <w:w w:val="120"/>
        </w:rPr>
        <w:t> </w:t>
      </w:r>
      <w:r>
        <w:rPr>
          <w:color w:val="231F20"/>
          <w:w w:val="120"/>
        </w:rPr>
        <w:t>nous</w:t>
      </w:r>
      <w:r>
        <w:rPr>
          <w:color w:val="231F20"/>
          <w:spacing w:val="-6"/>
          <w:w w:val="120"/>
        </w:rPr>
        <w:t> </w:t>
      </w:r>
      <w:r>
        <w:rPr>
          <w:color w:val="231F20"/>
          <w:w w:val="120"/>
        </w:rPr>
        <w:t>considérons</w:t>
      </w:r>
      <w:r>
        <w:rPr>
          <w:color w:val="231F20"/>
          <w:spacing w:val="-6"/>
          <w:w w:val="120"/>
        </w:rPr>
        <w:t> </w:t>
      </w:r>
      <w:r>
        <w:rPr>
          <w:color w:val="231F20"/>
          <w:w w:val="120"/>
        </w:rPr>
        <w:t>que</w:t>
      </w:r>
      <w:r>
        <w:rPr>
          <w:color w:val="231F20"/>
          <w:spacing w:val="-6"/>
          <w:w w:val="120"/>
        </w:rPr>
        <w:t> </w:t>
      </w:r>
      <w:r>
        <w:rPr>
          <w:color w:val="231F20"/>
          <w:w w:val="120"/>
        </w:rPr>
        <w:t>ces</w:t>
      </w:r>
      <w:r>
        <w:rPr>
          <w:color w:val="231F20"/>
          <w:spacing w:val="-6"/>
          <w:w w:val="120"/>
        </w:rPr>
        <w:t> </w:t>
      </w:r>
      <w:r>
        <w:rPr>
          <w:color w:val="231F20"/>
          <w:w w:val="120"/>
        </w:rPr>
        <w:t>stratégies</w:t>
      </w:r>
      <w:r>
        <w:rPr>
          <w:color w:val="231F20"/>
          <w:spacing w:val="-6"/>
          <w:w w:val="120"/>
        </w:rPr>
        <w:t> </w:t>
      </w:r>
      <w:r>
        <w:rPr>
          <w:color w:val="231F20"/>
          <w:w w:val="120"/>
        </w:rPr>
        <w:t>ne</w:t>
      </w:r>
      <w:r>
        <w:rPr>
          <w:color w:val="231F20"/>
          <w:spacing w:val="-6"/>
          <w:w w:val="120"/>
        </w:rPr>
        <w:t> </w:t>
      </w:r>
      <w:r>
        <w:rPr>
          <w:color w:val="231F20"/>
          <w:w w:val="120"/>
        </w:rPr>
        <w:t>suffisent</w:t>
      </w:r>
      <w:r>
        <w:rPr>
          <w:color w:val="231F20"/>
          <w:spacing w:val="-6"/>
          <w:w w:val="120"/>
        </w:rPr>
        <w:t> </w:t>
      </w:r>
      <w:r>
        <w:rPr>
          <w:color w:val="231F20"/>
          <w:w w:val="120"/>
        </w:rPr>
        <w:t>pas.</w:t>
      </w:r>
      <w:r>
        <w:rPr>
          <w:color w:val="231F20"/>
          <w:spacing w:val="-6"/>
          <w:w w:val="120"/>
        </w:rPr>
        <w:t> </w:t>
      </w:r>
      <w:r>
        <w:rPr>
          <w:color w:val="231F20"/>
          <w:w w:val="120"/>
        </w:rPr>
        <w:t>De</w:t>
      </w:r>
      <w:r>
        <w:rPr>
          <w:color w:val="231F20"/>
          <w:spacing w:val="-6"/>
          <w:w w:val="120"/>
        </w:rPr>
        <w:t> </w:t>
      </w:r>
      <w:r>
        <w:rPr>
          <w:color w:val="231F20"/>
          <w:w w:val="120"/>
        </w:rPr>
        <w:t>plus en</w:t>
      </w:r>
      <w:r>
        <w:rPr>
          <w:color w:val="231F20"/>
          <w:spacing w:val="-13"/>
          <w:w w:val="120"/>
        </w:rPr>
        <w:t> </w:t>
      </w:r>
      <w:r>
        <w:rPr>
          <w:color w:val="231F20"/>
          <w:w w:val="120"/>
        </w:rPr>
        <w:t>plus</w:t>
      </w:r>
      <w:r>
        <w:rPr>
          <w:color w:val="231F20"/>
          <w:spacing w:val="-13"/>
          <w:w w:val="120"/>
        </w:rPr>
        <w:t> </w:t>
      </w:r>
      <w:r>
        <w:rPr>
          <w:color w:val="231F20"/>
          <w:w w:val="120"/>
        </w:rPr>
        <w:t>de</w:t>
      </w:r>
      <w:r>
        <w:rPr>
          <w:color w:val="231F20"/>
          <w:spacing w:val="-13"/>
          <w:w w:val="120"/>
        </w:rPr>
        <w:t> </w:t>
      </w:r>
      <w:r>
        <w:rPr>
          <w:color w:val="231F20"/>
          <w:w w:val="120"/>
        </w:rPr>
        <w:t>données</w:t>
      </w:r>
      <w:r>
        <w:rPr>
          <w:color w:val="231F20"/>
          <w:spacing w:val="-12"/>
          <w:w w:val="120"/>
        </w:rPr>
        <w:t> </w:t>
      </w:r>
      <w:r>
        <w:rPr>
          <w:color w:val="231F20"/>
          <w:w w:val="120"/>
        </w:rPr>
        <w:t>confirment</w:t>
      </w:r>
      <w:r>
        <w:rPr>
          <w:color w:val="231F20"/>
          <w:spacing w:val="-13"/>
          <w:w w:val="120"/>
        </w:rPr>
        <w:t> </w:t>
      </w:r>
      <w:r>
        <w:rPr>
          <w:color w:val="231F20"/>
          <w:w w:val="120"/>
        </w:rPr>
        <w:t>la</w:t>
      </w:r>
      <w:r>
        <w:rPr>
          <w:color w:val="231F20"/>
          <w:spacing w:val="-13"/>
          <w:w w:val="120"/>
        </w:rPr>
        <w:t> </w:t>
      </w:r>
      <w:r>
        <w:rPr>
          <w:color w:val="231F20"/>
          <w:w w:val="120"/>
        </w:rPr>
        <w:t>relation</w:t>
      </w:r>
      <w:r>
        <w:rPr>
          <w:color w:val="231F20"/>
          <w:spacing w:val="-13"/>
          <w:w w:val="120"/>
        </w:rPr>
        <w:t> </w:t>
      </w:r>
      <w:r>
        <w:rPr>
          <w:color w:val="231F20"/>
          <w:w w:val="120"/>
        </w:rPr>
        <w:t>directe</w:t>
      </w:r>
      <w:r>
        <w:rPr>
          <w:color w:val="231F20"/>
          <w:spacing w:val="-12"/>
          <w:w w:val="120"/>
        </w:rPr>
        <w:t> </w:t>
      </w:r>
      <w:r>
        <w:rPr>
          <w:color w:val="231F20"/>
          <w:w w:val="120"/>
        </w:rPr>
        <w:t>entre</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et</w:t>
      </w:r>
      <w:r>
        <w:rPr>
          <w:color w:val="231F20"/>
          <w:spacing w:val="-12"/>
          <w:w w:val="120"/>
        </w:rPr>
        <w:t> </w:t>
      </w:r>
      <w:r>
        <w:rPr>
          <w:color w:val="231F20"/>
          <w:w w:val="120"/>
        </w:rPr>
        <w:t>divers facteurs</w:t>
      </w:r>
      <w:r>
        <w:rPr>
          <w:color w:val="231F20"/>
          <w:spacing w:val="-9"/>
          <w:w w:val="120"/>
        </w:rPr>
        <w:t> </w:t>
      </w:r>
      <w:r>
        <w:rPr>
          <w:color w:val="231F20"/>
          <w:w w:val="120"/>
        </w:rPr>
        <w:t>organisationnels</w:t>
      </w:r>
      <w:r>
        <w:rPr>
          <w:color w:val="231F20"/>
          <w:spacing w:val="-9"/>
          <w:w w:val="120"/>
        </w:rPr>
        <w:t> </w:t>
      </w:r>
      <w:r>
        <w:rPr>
          <w:color w:val="231F20"/>
          <w:w w:val="120"/>
        </w:rPr>
        <w:t>et</w:t>
      </w:r>
      <w:r>
        <w:rPr>
          <w:color w:val="231F20"/>
          <w:spacing w:val="-9"/>
          <w:w w:val="120"/>
        </w:rPr>
        <w:t> </w:t>
      </w:r>
      <w:r>
        <w:rPr>
          <w:color w:val="231F20"/>
          <w:w w:val="120"/>
        </w:rPr>
        <w:t>professionnels,</w:t>
      </w:r>
      <w:r>
        <w:rPr>
          <w:color w:val="231F20"/>
          <w:spacing w:val="-9"/>
          <w:w w:val="120"/>
        </w:rPr>
        <w:t> </w:t>
      </w:r>
      <w:r>
        <w:rPr>
          <w:color w:val="231F20"/>
          <w:w w:val="120"/>
        </w:rPr>
        <w:t>notamment</w:t>
      </w:r>
      <w:r>
        <w:rPr>
          <w:color w:val="231F20"/>
          <w:spacing w:val="-9"/>
          <w:w w:val="120"/>
        </w:rPr>
        <w:t> </w:t>
      </w:r>
      <w:r>
        <w:rPr>
          <w:color w:val="231F20"/>
          <w:w w:val="120"/>
        </w:rPr>
        <w:t>la</w:t>
      </w:r>
      <w:r>
        <w:rPr>
          <w:color w:val="231F20"/>
          <w:spacing w:val="-9"/>
          <w:w w:val="120"/>
        </w:rPr>
        <w:t> </w:t>
      </w:r>
      <w:r>
        <w:rPr>
          <w:color w:val="231F20"/>
          <w:w w:val="120"/>
        </w:rPr>
        <w:t>culture</w:t>
      </w:r>
      <w:r>
        <w:rPr>
          <w:color w:val="231F20"/>
          <w:spacing w:val="-9"/>
          <w:w w:val="120"/>
        </w:rPr>
        <w:t> </w:t>
      </w:r>
      <w:r>
        <w:rPr>
          <w:color w:val="231F20"/>
          <w:w w:val="120"/>
        </w:rPr>
        <w:t>orga- nisationnelle, le type de structure adoptée par l’entreprise, le style de leadership</w:t>
      </w:r>
      <w:r>
        <w:rPr>
          <w:color w:val="231F20"/>
          <w:spacing w:val="-5"/>
          <w:w w:val="120"/>
        </w:rPr>
        <w:t> </w:t>
      </w:r>
      <w:r>
        <w:rPr>
          <w:color w:val="231F20"/>
          <w:w w:val="120"/>
        </w:rPr>
        <w:t>exercé</w:t>
      </w:r>
      <w:r>
        <w:rPr>
          <w:color w:val="231F20"/>
          <w:spacing w:val="-5"/>
          <w:w w:val="120"/>
        </w:rPr>
        <w:t> </w:t>
      </w:r>
      <w:r>
        <w:rPr>
          <w:color w:val="231F20"/>
          <w:w w:val="120"/>
        </w:rPr>
        <w:t>et</w:t>
      </w:r>
      <w:r>
        <w:rPr>
          <w:color w:val="231F20"/>
          <w:spacing w:val="-5"/>
          <w:w w:val="120"/>
        </w:rPr>
        <w:t> </w:t>
      </w:r>
      <w:r>
        <w:rPr>
          <w:color w:val="231F20"/>
          <w:w w:val="120"/>
        </w:rPr>
        <w:t>la</w:t>
      </w:r>
      <w:r>
        <w:rPr>
          <w:color w:val="231F20"/>
          <w:spacing w:val="-5"/>
          <w:w w:val="120"/>
        </w:rPr>
        <w:t> </w:t>
      </w:r>
      <w:r>
        <w:rPr>
          <w:color w:val="231F20"/>
          <w:w w:val="120"/>
        </w:rPr>
        <w:t>façon</w:t>
      </w:r>
      <w:r>
        <w:rPr>
          <w:color w:val="231F20"/>
          <w:spacing w:val="-5"/>
          <w:w w:val="120"/>
        </w:rPr>
        <w:t> </w:t>
      </w:r>
      <w:r>
        <w:rPr>
          <w:color w:val="231F20"/>
          <w:w w:val="120"/>
        </w:rPr>
        <w:t>de</w:t>
      </w:r>
      <w:r>
        <w:rPr>
          <w:color w:val="231F20"/>
          <w:spacing w:val="-5"/>
          <w:w w:val="120"/>
        </w:rPr>
        <w:t> </w:t>
      </w:r>
      <w:r>
        <w:rPr>
          <w:color w:val="231F20"/>
          <w:w w:val="120"/>
        </w:rPr>
        <w:t>concevoir</w:t>
      </w:r>
      <w:r>
        <w:rPr>
          <w:color w:val="231F20"/>
          <w:spacing w:val="-5"/>
          <w:w w:val="120"/>
        </w:rPr>
        <w:t> </w:t>
      </w:r>
      <w:r>
        <w:rPr>
          <w:color w:val="231F20"/>
          <w:w w:val="120"/>
        </w:rPr>
        <w:t>les</w:t>
      </w:r>
      <w:r>
        <w:rPr>
          <w:color w:val="231F20"/>
          <w:spacing w:val="-5"/>
          <w:w w:val="120"/>
        </w:rPr>
        <w:t> </w:t>
      </w:r>
      <w:r>
        <w:rPr>
          <w:color w:val="231F20"/>
          <w:w w:val="120"/>
        </w:rPr>
        <w:t>emplois.</w:t>
      </w:r>
      <w:r>
        <w:rPr>
          <w:color w:val="231F20"/>
          <w:spacing w:val="-5"/>
          <w:w w:val="120"/>
        </w:rPr>
        <w:t> </w:t>
      </w:r>
      <w:r>
        <w:rPr>
          <w:color w:val="231F20"/>
          <w:w w:val="120"/>
        </w:rPr>
        <w:t>Suffit-il</w:t>
      </w:r>
      <w:r>
        <w:rPr>
          <w:color w:val="231F20"/>
          <w:spacing w:val="-5"/>
          <w:w w:val="120"/>
        </w:rPr>
        <w:t> </w:t>
      </w:r>
      <w:r>
        <w:rPr>
          <w:color w:val="231F20"/>
          <w:w w:val="120"/>
        </w:rPr>
        <w:t>que</w:t>
      </w:r>
      <w:r>
        <w:rPr>
          <w:color w:val="231F20"/>
          <w:spacing w:val="-5"/>
          <w:w w:val="120"/>
        </w:rPr>
        <w:t> </w:t>
      </w:r>
      <w:r>
        <w:rPr>
          <w:color w:val="231F20"/>
          <w:w w:val="120"/>
        </w:rPr>
        <w:t>les travailleurs pratiquent des techniques de relaxation ou améliorent leur gestion</w:t>
      </w:r>
      <w:r>
        <w:rPr>
          <w:color w:val="231F20"/>
          <w:spacing w:val="-13"/>
          <w:w w:val="120"/>
        </w:rPr>
        <w:t> </w:t>
      </w:r>
      <w:r>
        <w:rPr>
          <w:color w:val="231F20"/>
          <w:w w:val="120"/>
        </w:rPr>
        <w:t>du</w:t>
      </w:r>
      <w:r>
        <w:rPr>
          <w:color w:val="231F20"/>
          <w:spacing w:val="-13"/>
          <w:w w:val="120"/>
        </w:rPr>
        <w:t> </w:t>
      </w:r>
      <w:r>
        <w:rPr>
          <w:color w:val="231F20"/>
          <w:w w:val="120"/>
        </w:rPr>
        <w:t>temps?</w:t>
      </w:r>
      <w:r>
        <w:rPr>
          <w:color w:val="231F20"/>
          <w:spacing w:val="-13"/>
          <w:w w:val="120"/>
        </w:rPr>
        <w:t> </w:t>
      </w:r>
      <w:r>
        <w:rPr>
          <w:color w:val="231F20"/>
          <w:w w:val="120"/>
        </w:rPr>
        <w:t>Nous</w:t>
      </w:r>
      <w:r>
        <w:rPr>
          <w:color w:val="231F20"/>
          <w:spacing w:val="-12"/>
          <w:w w:val="120"/>
        </w:rPr>
        <w:t> </w:t>
      </w:r>
      <w:r>
        <w:rPr>
          <w:color w:val="231F20"/>
          <w:w w:val="120"/>
        </w:rPr>
        <w:t>sommes</w:t>
      </w:r>
      <w:r>
        <w:rPr>
          <w:color w:val="231F20"/>
          <w:spacing w:val="-13"/>
          <w:w w:val="120"/>
        </w:rPr>
        <w:t> </w:t>
      </w:r>
      <w:r>
        <w:rPr>
          <w:color w:val="231F20"/>
          <w:w w:val="120"/>
        </w:rPr>
        <w:t>enclins</w:t>
      </w:r>
      <w:r>
        <w:rPr>
          <w:color w:val="231F20"/>
          <w:spacing w:val="-13"/>
          <w:w w:val="120"/>
        </w:rPr>
        <w:t> </w:t>
      </w:r>
      <w:r>
        <w:rPr>
          <w:color w:val="231F20"/>
          <w:w w:val="120"/>
        </w:rPr>
        <w:t>à</w:t>
      </w:r>
      <w:r>
        <w:rPr>
          <w:color w:val="231F20"/>
          <w:spacing w:val="-13"/>
          <w:w w:val="120"/>
        </w:rPr>
        <w:t> </w:t>
      </w:r>
      <w:r>
        <w:rPr>
          <w:color w:val="231F20"/>
          <w:w w:val="120"/>
        </w:rPr>
        <w:t>penser</w:t>
      </w:r>
      <w:r>
        <w:rPr>
          <w:color w:val="231F20"/>
          <w:spacing w:val="-12"/>
          <w:w w:val="120"/>
        </w:rPr>
        <w:t> </w:t>
      </w:r>
      <w:r>
        <w:rPr>
          <w:color w:val="231F20"/>
          <w:w w:val="120"/>
        </w:rPr>
        <w:t>que</w:t>
      </w:r>
      <w:r>
        <w:rPr>
          <w:color w:val="231F20"/>
          <w:spacing w:val="-13"/>
          <w:w w:val="120"/>
        </w:rPr>
        <w:t> </w:t>
      </w:r>
      <w:r>
        <w:rPr>
          <w:color w:val="231F20"/>
          <w:w w:val="120"/>
        </w:rPr>
        <w:t>ces</w:t>
      </w:r>
      <w:r>
        <w:rPr>
          <w:color w:val="231F20"/>
          <w:spacing w:val="-13"/>
          <w:w w:val="120"/>
        </w:rPr>
        <w:t> </w:t>
      </w:r>
      <w:r>
        <w:rPr>
          <w:color w:val="231F20"/>
          <w:w w:val="120"/>
        </w:rPr>
        <w:t>mesures,</w:t>
      </w:r>
      <w:r>
        <w:rPr>
          <w:color w:val="231F20"/>
          <w:spacing w:val="-13"/>
          <w:w w:val="120"/>
        </w:rPr>
        <w:t> </w:t>
      </w:r>
      <w:r>
        <w:rPr>
          <w:color w:val="231F20"/>
          <w:w w:val="120"/>
        </w:rPr>
        <w:t>bien </w:t>
      </w:r>
      <w:r>
        <w:rPr>
          <w:color w:val="231F20"/>
          <w:w w:val="115"/>
        </w:rPr>
        <w:t>que</w:t>
      </w:r>
      <w:r>
        <w:rPr>
          <w:color w:val="231F20"/>
          <w:spacing w:val="-7"/>
          <w:w w:val="115"/>
        </w:rPr>
        <w:t> </w:t>
      </w:r>
      <w:r>
        <w:rPr>
          <w:color w:val="231F20"/>
          <w:w w:val="115"/>
        </w:rPr>
        <w:t>nécessaires,</w:t>
      </w:r>
      <w:r>
        <w:rPr>
          <w:color w:val="231F20"/>
          <w:spacing w:val="-7"/>
          <w:w w:val="115"/>
        </w:rPr>
        <w:t> </w:t>
      </w:r>
      <w:r>
        <w:rPr>
          <w:color w:val="231F20"/>
          <w:w w:val="115"/>
        </w:rPr>
        <w:t>ne</w:t>
      </w:r>
      <w:r>
        <w:rPr>
          <w:color w:val="231F20"/>
          <w:spacing w:val="-7"/>
          <w:w w:val="115"/>
        </w:rPr>
        <w:t> </w:t>
      </w:r>
      <w:r>
        <w:rPr>
          <w:color w:val="231F20"/>
          <w:w w:val="115"/>
        </w:rPr>
        <w:t>sont</w:t>
      </w:r>
      <w:r>
        <w:rPr>
          <w:color w:val="231F20"/>
          <w:spacing w:val="-7"/>
          <w:w w:val="115"/>
        </w:rPr>
        <w:t> </w:t>
      </w:r>
      <w:r>
        <w:rPr>
          <w:color w:val="231F20"/>
          <w:w w:val="115"/>
        </w:rPr>
        <w:t>pas</w:t>
      </w:r>
      <w:r>
        <w:rPr>
          <w:color w:val="231F20"/>
          <w:spacing w:val="-7"/>
          <w:w w:val="115"/>
        </w:rPr>
        <w:t> </w:t>
      </w:r>
      <w:r>
        <w:rPr>
          <w:color w:val="231F20"/>
          <w:w w:val="115"/>
        </w:rPr>
        <w:t>suffisantes,</w:t>
      </w:r>
      <w:r>
        <w:rPr>
          <w:color w:val="231F20"/>
          <w:spacing w:val="-7"/>
          <w:w w:val="115"/>
        </w:rPr>
        <w:t> </w:t>
      </w:r>
      <w:r>
        <w:rPr>
          <w:color w:val="231F20"/>
          <w:w w:val="115"/>
        </w:rPr>
        <w:t>car</w:t>
      </w:r>
      <w:r>
        <w:rPr>
          <w:color w:val="231F20"/>
          <w:spacing w:val="-7"/>
          <w:w w:val="115"/>
        </w:rPr>
        <w:t> </w:t>
      </w:r>
      <w:r>
        <w:rPr>
          <w:color w:val="231F20"/>
          <w:w w:val="115"/>
        </w:rPr>
        <w:t>ces</w:t>
      </w:r>
      <w:r>
        <w:rPr>
          <w:color w:val="231F20"/>
          <w:spacing w:val="-7"/>
          <w:w w:val="115"/>
        </w:rPr>
        <w:t> </w:t>
      </w:r>
      <w:r>
        <w:rPr>
          <w:color w:val="231F20"/>
          <w:w w:val="115"/>
        </w:rPr>
        <w:t>types</w:t>
      </w:r>
      <w:r>
        <w:rPr>
          <w:color w:val="231F20"/>
          <w:spacing w:val="-7"/>
          <w:w w:val="115"/>
        </w:rPr>
        <w:t> </w:t>
      </w:r>
      <w:r>
        <w:rPr>
          <w:color w:val="231F20"/>
          <w:w w:val="115"/>
        </w:rPr>
        <w:t>d’actions</w:t>
      </w:r>
      <w:r>
        <w:rPr>
          <w:color w:val="231F20"/>
          <w:spacing w:val="-7"/>
          <w:w w:val="115"/>
        </w:rPr>
        <w:t> </w:t>
      </w:r>
      <w:r>
        <w:rPr>
          <w:color w:val="231F20"/>
          <w:w w:val="115"/>
        </w:rPr>
        <w:t>ne</w:t>
      </w:r>
      <w:r>
        <w:rPr>
          <w:color w:val="231F20"/>
          <w:spacing w:val="-7"/>
          <w:w w:val="115"/>
        </w:rPr>
        <w:t> </w:t>
      </w:r>
      <w:r>
        <w:rPr>
          <w:color w:val="231F20"/>
          <w:w w:val="115"/>
        </w:rPr>
        <w:t>mettent </w:t>
      </w:r>
      <w:r>
        <w:rPr>
          <w:color w:val="231F20"/>
          <w:w w:val="120"/>
        </w:rPr>
        <w:t>en cause que le niveau individuel, alors que le stress a également une dimension</w:t>
      </w:r>
      <w:r>
        <w:rPr>
          <w:color w:val="231F20"/>
          <w:spacing w:val="-2"/>
          <w:w w:val="120"/>
        </w:rPr>
        <w:t> </w:t>
      </w:r>
      <w:r>
        <w:rPr>
          <w:color w:val="231F20"/>
          <w:w w:val="120"/>
        </w:rPr>
        <w:t>organisationnelle.</w:t>
      </w:r>
      <w:r>
        <w:rPr>
          <w:color w:val="231F20"/>
          <w:spacing w:val="-2"/>
          <w:w w:val="120"/>
        </w:rPr>
        <w:t> </w:t>
      </w:r>
      <w:r>
        <w:rPr>
          <w:color w:val="231F20"/>
          <w:w w:val="120"/>
        </w:rPr>
        <w:t>C’est</w:t>
      </w:r>
      <w:r>
        <w:rPr>
          <w:color w:val="231F20"/>
          <w:spacing w:val="-2"/>
          <w:w w:val="120"/>
        </w:rPr>
        <w:t> </w:t>
      </w:r>
      <w:r>
        <w:rPr>
          <w:color w:val="231F20"/>
          <w:w w:val="120"/>
        </w:rPr>
        <w:t>pour</w:t>
      </w:r>
      <w:r>
        <w:rPr>
          <w:color w:val="231F20"/>
          <w:spacing w:val="-2"/>
          <w:w w:val="120"/>
        </w:rPr>
        <w:t> </w:t>
      </w:r>
      <w:r>
        <w:rPr>
          <w:color w:val="231F20"/>
          <w:w w:val="120"/>
        </w:rPr>
        <w:t>cette</w:t>
      </w:r>
      <w:r>
        <w:rPr>
          <w:color w:val="231F20"/>
          <w:spacing w:val="-2"/>
          <w:w w:val="120"/>
        </w:rPr>
        <w:t> </w:t>
      </w:r>
      <w:r>
        <w:rPr>
          <w:color w:val="231F20"/>
          <w:w w:val="120"/>
        </w:rPr>
        <w:t>raison</w:t>
      </w:r>
      <w:r>
        <w:rPr>
          <w:color w:val="231F20"/>
          <w:spacing w:val="-2"/>
          <w:w w:val="120"/>
        </w:rPr>
        <w:t> </w:t>
      </w:r>
      <w:r>
        <w:rPr>
          <w:color w:val="231F20"/>
          <w:w w:val="120"/>
        </w:rPr>
        <w:t>que</w:t>
      </w:r>
      <w:r>
        <w:rPr>
          <w:color w:val="231F20"/>
          <w:spacing w:val="-2"/>
          <w:w w:val="120"/>
        </w:rPr>
        <w:t> </w:t>
      </w:r>
      <w:r>
        <w:rPr>
          <w:color w:val="231F20"/>
          <w:w w:val="120"/>
        </w:rPr>
        <w:t>la</w:t>
      </w:r>
      <w:r>
        <w:rPr>
          <w:color w:val="231F20"/>
          <w:spacing w:val="-2"/>
          <w:w w:val="120"/>
        </w:rPr>
        <w:t> </w:t>
      </w:r>
      <w:r>
        <w:rPr>
          <w:color w:val="231F20"/>
          <w:w w:val="120"/>
        </w:rPr>
        <w:t>section</w:t>
      </w:r>
      <w:r>
        <w:rPr>
          <w:color w:val="231F20"/>
          <w:spacing w:val="-2"/>
          <w:w w:val="120"/>
        </w:rPr>
        <w:t> </w:t>
      </w:r>
      <w:r>
        <w:rPr>
          <w:color w:val="231F20"/>
          <w:w w:val="120"/>
        </w:rPr>
        <w:t>5.3 de ce chapitre sera consacrée à la présentation d’une liste d’interven- tions pouvant avoir lieu en contexte organisationnel. Le stress pro- fessionnel est autant un phénomène individuel qu’organisationnel et requiert</w:t>
      </w:r>
      <w:r>
        <w:rPr>
          <w:color w:val="231F20"/>
          <w:spacing w:val="-3"/>
          <w:w w:val="120"/>
        </w:rPr>
        <w:t> </w:t>
      </w:r>
      <w:r>
        <w:rPr>
          <w:color w:val="231F20"/>
          <w:w w:val="120"/>
        </w:rPr>
        <w:t>nécessairement,</w:t>
      </w:r>
      <w:r>
        <w:rPr>
          <w:color w:val="231F20"/>
          <w:spacing w:val="-2"/>
          <w:w w:val="120"/>
        </w:rPr>
        <w:t> </w:t>
      </w:r>
      <w:r>
        <w:rPr>
          <w:color w:val="231F20"/>
          <w:w w:val="120"/>
        </w:rPr>
        <w:t>selon</w:t>
      </w:r>
      <w:r>
        <w:rPr>
          <w:color w:val="231F20"/>
          <w:spacing w:val="-2"/>
          <w:w w:val="120"/>
        </w:rPr>
        <w:t> </w:t>
      </w:r>
      <w:r>
        <w:rPr>
          <w:color w:val="231F20"/>
          <w:w w:val="120"/>
        </w:rPr>
        <w:t>nous,</w:t>
      </w:r>
      <w:r>
        <w:rPr>
          <w:color w:val="231F20"/>
          <w:spacing w:val="-2"/>
          <w:w w:val="120"/>
        </w:rPr>
        <w:t> </w:t>
      </w:r>
      <w:r>
        <w:rPr>
          <w:color w:val="231F20"/>
          <w:w w:val="120"/>
        </w:rPr>
        <w:t>des</w:t>
      </w:r>
      <w:r>
        <w:rPr>
          <w:color w:val="231F20"/>
          <w:spacing w:val="-2"/>
          <w:w w:val="120"/>
        </w:rPr>
        <w:t> </w:t>
      </w:r>
      <w:r>
        <w:rPr>
          <w:color w:val="231F20"/>
          <w:w w:val="120"/>
        </w:rPr>
        <w:t>actions</w:t>
      </w:r>
      <w:r>
        <w:rPr>
          <w:color w:val="231F20"/>
          <w:spacing w:val="-2"/>
          <w:w w:val="120"/>
        </w:rPr>
        <w:t> </w:t>
      </w:r>
      <w:r>
        <w:rPr>
          <w:color w:val="231F20"/>
          <w:w w:val="120"/>
        </w:rPr>
        <w:t>précises</w:t>
      </w:r>
      <w:r>
        <w:rPr>
          <w:color w:val="231F20"/>
          <w:spacing w:val="-2"/>
          <w:w w:val="120"/>
        </w:rPr>
        <w:t> </w:t>
      </w:r>
      <w:r>
        <w:rPr>
          <w:color w:val="231F20"/>
          <w:w w:val="120"/>
        </w:rPr>
        <w:t>pour</w:t>
      </w:r>
      <w:r>
        <w:rPr>
          <w:color w:val="231F20"/>
          <w:spacing w:val="-2"/>
          <w:w w:val="120"/>
        </w:rPr>
        <w:t> chacun.</w:t>
      </w:r>
    </w:p>
    <w:p>
      <w:pPr>
        <w:pStyle w:val="BodyText"/>
        <w:rPr>
          <w:sz w:val="24"/>
        </w:rPr>
      </w:pPr>
    </w:p>
    <w:p>
      <w:pPr>
        <w:pStyle w:val="Heading2"/>
        <w:numPr>
          <w:ilvl w:val="1"/>
          <w:numId w:val="75"/>
        </w:numPr>
        <w:tabs>
          <w:tab w:pos="911" w:val="left" w:leader="none"/>
          <w:tab w:pos="1219" w:val="left" w:leader="none"/>
        </w:tabs>
        <w:spacing w:line="240" w:lineRule="auto" w:before="181" w:after="0"/>
        <w:ind w:left="910" w:right="0" w:hanging="301"/>
        <w:jc w:val="left"/>
      </w:pPr>
      <w:r>
        <w:rPr>
          <w:b w:val="0"/>
          <w:i/>
          <w:color w:val="231F20"/>
          <w:spacing w:val="-10"/>
        </w:rPr>
        <w:t>/</w:t>
      </w:r>
      <w:r>
        <w:rPr>
          <w:b w:val="0"/>
          <w:i/>
          <w:color w:val="231F20"/>
        </w:rPr>
        <w:tab/>
      </w:r>
      <w:r>
        <w:rPr>
          <w:color w:val="231F20"/>
          <w:w w:val="95"/>
        </w:rPr>
        <w:t>Stratégies</w:t>
      </w:r>
      <w:r>
        <w:rPr>
          <w:color w:val="231F20"/>
          <w:spacing w:val="2"/>
        </w:rPr>
        <w:t> </w:t>
      </w:r>
      <w:r>
        <w:rPr>
          <w:color w:val="231F20"/>
          <w:spacing w:val="-2"/>
        </w:rPr>
        <w:t>individuelles</w:t>
      </w:r>
    </w:p>
    <w:p>
      <w:pPr>
        <w:pStyle w:val="BodyText"/>
        <w:spacing w:before="10"/>
        <w:rPr>
          <w:rFonts w:ascii="Arial"/>
          <w:b/>
          <w:sz w:val="25"/>
        </w:rPr>
      </w:pPr>
    </w:p>
    <w:p>
      <w:pPr>
        <w:pStyle w:val="BodyText"/>
        <w:spacing w:line="307" w:lineRule="auto"/>
        <w:ind w:left="1220" w:right="104"/>
        <w:jc w:val="both"/>
      </w:pPr>
      <w:r>
        <w:rPr>
          <w:color w:val="231F20"/>
          <w:w w:val="120"/>
        </w:rPr>
        <w:t>Comme</w:t>
      </w:r>
      <w:r>
        <w:rPr>
          <w:color w:val="231F20"/>
          <w:spacing w:val="-7"/>
          <w:w w:val="120"/>
        </w:rPr>
        <w:t> </w:t>
      </w:r>
      <w:r>
        <w:rPr>
          <w:color w:val="231F20"/>
          <w:w w:val="120"/>
        </w:rPr>
        <w:t>nous</w:t>
      </w:r>
      <w:r>
        <w:rPr>
          <w:color w:val="231F20"/>
          <w:spacing w:val="-7"/>
          <w:w w:val="120"/>
        </w:rPr>
        <w:t> </w:t>
      </w:r>
      <w:r>
        <w:rPr>
          <w:color w:val="231F20"/>
          <w:w w:val="120"/>
        </w:rPr>
        <w:t>l’avons</w:t>
      </w:r>
      <w:r>
        <w:rPr>
          <w:color w:val="231F20"/>
          <w:spacing w:val="-7"/>
          <w:w w:val="120"/>
        </w:rPr>
        <w:t> </w:t>
      </w:r>
      <w:r>
        <w:rPr>
          <w:color w:val="231F20"/>
          <w:w w:val="120"/>
        </w:rPr>
        <w:t>abordé</w:t>
      </w:r>
      <w:r>
        <w:rPr>
          <w:color w:val="231F20"/>
          <w:spacing w:val="-7"/>
          <w:w w:val="120"/>
        </w:rPr>
        <w:t> </w:t>
      </w:r>
      <w:r>
        <w:rPr>
          <w:color w:val="231F20"/>
          <w:w w:val="120"/>
        </w:rPr>
        <w:t>dans</w:t>
      </w:r>
      <w:r>
        <w:rPr>
          <w:color w:val="231F20"/>
          <w:spacing w:val="-7"/>
          <w:w w:val="120"/>
        </w:rPr>
        <w:t> </w:t>
      </w:r>
      <w:r>
        <w:rPr>
          <w:color w:val="231F20"/>
          <w:w w:val="120"/>
        </w:rPr>
        <w:t>les</w:t>
      </w:r>
      <w:r>
        <w:rPr>
          <w:color w:val="231F20"/>
          <w:spacing w:val="-7"/>
          <w:w w:val="120"/>
        </w:rPr>
        <w:t> </w:t>
      </w:r>
      <w:r>
        <w:rPr>
          <w:color w:val="231F20"/>
          <w:w w:val="120"/>
        </w:rPr>
        <w:t>précédents</w:t>
      </w:r>
      <w:r>
        <w:rPr>
          <w:color w:val="231F20"/>
          <w:spacing w:val="-7"/>
          <w:w w:val="120"/>
        </w:rPr>
        <w:t> </w:t>
      </w:r>
      <w:r>
        <w:rPr>
          <w:color w:val="231F20"/>
          <w:w w:val="120"/>
        </w:rPr>
        <w:t>chapitres,</w:t>
      </w:r>
      <w:r>
        <w:rPr>
          <w:color w:val="231F20"/>
          <w:spacing w:val="-7"/>
          <w:w w:val="120"/>
        </w:rPr>
        <w:t> </w:t>
      </w:r>
      <w:r>
        <w:rPr>
          <w:color w:val="231F20"/>
          <w:w w:val="120"/>
        </w:rPr>
        <w:t>le</w:t>
      </w:r>
      <w:r>
        <w:rPr>
          <w:color w:val="231F20"/>
          <w:spacing w:val="-7"/>
          <w:w w:val="120"/>
        </w:rPr>
        <w:t> </w:t>
      </w:r>
      <w:r>
        <w:rPr>
          <w:color w:val="231F20"/>
          <w:w w:val="120"/>
        </w:rPr>
        <w:t>stress</w:t>
      </w:r>
      <w:r>
        <w:rPr>
          <w:color w:val="231F20"/>
          <w:spacing w:val="-7"/>
          <w:w w:val="120"/>
        </w:rPr>
        <w:t> </w:t>
      </w:r>
      <w:r>
        <w:rPr>
          <w:color w:val="231F20"/>
          <w:w w:val="120"/>
        </w:rPr>
        <w:t>est un</w:t>
      </w:r>
      <w:r>
        <w:rPr>
          <w:color w:val="231F20"/>
          <w:spacing w:val="-12"/>
          <w:w w:val="120"/>
        </w:rPr>
        <w:t> </w:t>
      </w:r>
      <w:r>
        <w:rPr>
          <w:color w:val="231F20"/>
          <w:w w:val="120"/>
        </w:rPr>
        <w:t>état</w:t>
      </w:r>
      <w:r>
        <w:rPr>
          <w:color w:val="231F20"/>
          <w:spacing w:val="-12"/>
          <w:w w:val="120"/>
        </w:rPr>
        <w:t> </w:t>
      </w:r>
      <w:r>
        <w:rPr>
          <w:color w:val="231F20"/>
          <w:w w:val="120"/>
        </w:rPr>
        <w:t>qui</w:t>
      </w:r>
      <w:r>
        <w:rPr>
          <w:color w:val="231F20"/>
          <w:spacing w:val="-12"/>
          <w:w w:val="120"/>
        </w:rPr>
        <w:t> </w:t>
      </w:r>
      <w:r>
        <w:rPr>
          <w:color w:val="231F20"/>
          <w:w w:val="120"/>
        </w:rPr>
        <w:t>est</w:t>
      </w:r>
      <w:r>
        <w:rPr>
          <w:color w:val="231F20"/>
          <w:spacing w:val="-12"/>
          <w:w w:val="120"/>
        </w:rPr>
        <w:t> </w:t>
      </w:r>
      <w:r>
        <w:rPr>
          <w:color w:val="231F20"/>
          <w:w w:val="120"/>
        </w:rPr>
        <w:t>dans</w:t>
      </w:r>
      <w:r>
        <w:rPr>
          <w:color w:val="231F20"/>
          <w:spacing w:val="-12"/>
          <w:w w:val="120"/>
        </w:rPr>
        <w:t> </w:t>
      </w:r>
      <w:r>
        <w:rPr>
          <w:color w:val="231F20"/>
          <w:w w:val="120"/>
        </w:rPr>
        <w:t>sa</w:t>
      </w:r>
      <w:r>
        <w:rPr>
          <w:color w:val="231F20"/>
          <w:spacing w:val="-12"/>
          <w:w w:val="120"/>
        </w:rPr>
        <w:t> </w:t>
      </w:r>
      <w:r>
        <w:rPr>
          <w:color w:val="231F20"/>
          <w:w w:val="120"/>
        </w:rPr>
        <w:t>nature</w:t>
      </w:r>
      <w:r>
        <w:rPr>
          <w:color w:val="231F20"/>
          <w:spacing w:val="-12"/>
          <w:w w:val="120"/>
        </w:rPr>
        <w:t> </w:t>
      </w:r>
      <w:r>
        <w:rPr>
          <w:color w:val="231F20"/>
          <w:w w:val="120"/>
        </w:rPr>
        <w:t>première</w:t>
      </w:r>
      <w:r>
        <w:rPr>
          <w:color w:val="231F20"/>
          <w:spacing w:val="-12"/>
          <w:w w:val="120"/>
        </w:rPr>
        <w:t> </w:t>
      </w:r>
      <w:r>
        <w:rPr>
          <w:color w:val="231F20"/>
          <w:w w:val="120"/>
        </w:rPr>
        <w:t>un</w:t>
      </w:r>
      <w:r>
        <w:rPr>
          <w:color w:val="231F20"/>
          <w:spacing w:val="-12"/>
          <w:w w:val="120"/>
        </w:rPr>
        <w:t> </w:t>
      </w:r>
      <w:r>
        <w:rPr>
          <w:color w:val="231F20"/>
          <w:w w:val="120"/>
        </w:rPr>
        <w:t>phénomène</w:t>
      </w:r>
      <w:r>
        <w:rPr>
          <w:color w:val="231F20"/>
          <w:spacing w:val="-12"/>
          <w:w w:val="120"/>
        </w:rPr>
        <w:t> </w:t>
      </w:r>
      <w:r>
        <w:rPr>
          <w:color w:val="231F20"/>
          <w:w w:val="120"/>
        </w:rPr>
        <w:t>individuel.</w:t>
      </w:r>
      <w:r>
        <w:rPr>
          <w:color w:val="231F20"/>
          <w:spacing w:val="-12"/>
          <w:w w:val="120"/>
        </w:rPr>
        <w:t> </w:t>
      </w:r>
      <w:r>
        <w:rPr>
          <w:color w:val="231F20"/>
          <w:w w:val="120"/>
        </w:rPr>
        <w:t>Ainsi, cet</w:t>
      </w:r>
      <w:r>
        <w:rPr>
          <w:color w:val="231F20"/>
          <w:spacing w:val="-10"/>
          <w:w w:val="120"/>
        </w:rPr>
        <w:t> </w:t>
      </w:r>
      <w:r>
        <w:rPr>
          <w:color w:val="231F20"/>
          <w:w w:val="120"/>
        </w:rPr>
        <w:t>état</w:t>
      </w:r>
      <w:r>
        <w:rPr>
          <w:color w:val="231F20"/>
          <w:spacing w:val="-10"/>
          <w:w w:val="120"/>
        </w:rPr>
        <w:t> </w:t>
      </w:r>
      <w:r>
        <w:rPr>
          <w:color w:val="231F20"/>
          <w:w w:val="120"/>
        </w:rPr>
        <w:t>qu’est</w:t>
      </w:r>
      <w:r>
        <w:rPr>
          <w:color w:val="231F20"/>
          <w:spacing w:val="-10"/>
          <w:w w:val="120"/>
        </w:rPr>
        <w:t> </w:t>
      </w:r>
      <w:r>
        <w:rPr>
          <w:color w:val="231F20"/>
          <w:w w:val="120"/>
        </w:rPr>
        <w:t>le</w:t>
      </w:r>
      <w:r>
        <w:rPr>
          <w:color w:val="231F20"/>
          <w:spacing w:val="-10"/>
          <w:w w:val="120"/>
        </w:rPr>
        <w:t> </w:t>
      </w:r>
      <w:r>
        <w:rPr>
          <w:color w:val="231F20"/>
          <w:w w:val="120"/>
        </w:rPr>
        <w:t>stress</w:t>
      </w:r>
      <w:r>
        <w:rPr>
          <w:color w:val="231F20"/>
          <w:spacing w:val="-10"/>
          <w:w w:val="120"/>
        </w:rPr>
        <w:t> </w:t>
      </w:r>
      <w:r>
        <w:rPr>
          <w:color w:val="231F20"/>
          <w:w w:val="120"/>
        </w:rPr>
        <w:t>relève</w:t>
      </w:r>
      <w:r>
        <w:rPr>
          <w:color w:val="231F20"/>
          <w:spacing w:val="-10"/>
          <w:w w:val="120"/>
        </w:rPr>
        <w:t> </w:t>
      </w:r>
      <w:r>
        <w:rPr>
          <w:color w:val="231F20"/>
          <w:w w:val="120"/>
        </w:rPr>
        <w:t>avant</w:t>
      </w:r>
      <w:r>
        <w:rPr>
          <w:color w:val="231F20"/>
          <w:spacing w:val="-10"/>
          <w:w w:val="120"/>
        </w:rPr>
        <w:t> </w:t>
      </w:r>
      <w:r>
        <w:rPr>
          <w:color w:val="231F20"/>
          <w:w w:val="120"/>
        </w:rPr>
        <w:t>tout</w:t>
      </w:r>
      <w:r>
        <w:rPr>
          <w:color w:val="231F20"/>
          <w:spacing w:val="-10"/>
          <w:w w:val="120"/>
        </w:rPr>
        <w:t> </w:t>
      </w:r>
      <w:r>
        <w:rPr>
          <w:color w:val="231F20"/>
          <w:w w:val="120"/>
        </w:rPr>
        <w:t>d’une</w:t>
      </w:r>
      <w:r>
        <w:rPr>
          <w:color w:val="231F20"/>
          <w:spacing w:val="-10"/>
          <w:w w:val="120"/>
        </w:rPr>
        <w:t> </w:t>
      </w:r>
      <w:r>
        <w:rPr>
          <w:color w:val="231F20"/>
          <w:w w:val="120"/>
        </w:rPr>
        <w:t>appréciation</w:t>
      </w:r>
      <w:r>
        <w:rPr>
          <w:color w:val="231F20"/>
          <w:spacing w:val="-10"/>
          <w:w w:val="120"/>
        </w:rPr>
        <w:t> </w:t>
      </w:r>
      <w:r>
        <w:rPr>
          <w:color w:val="231F20"/>
          <w:w w:val="120"/>
        </w:rPr>
        <w:t>personnelle en</w:t>
      </w:r>
      <w:r>
        <w:rPr>
          <w:color w:val="231F20"/>
          <w:spacing w:val="-7"/>
          <w:w w:val="120"/>
        </w:rPr>
        <w:t> </w:t>
      </w:r>
      <w:r>
        <w:rPr>
          <w:color w:val="231F20"/>
          <w:w w:val="120"/>
        </w:rPr>
        <w:t>fonction</w:t>
      </w:r>
      <w:r>
        <w:rPr>
          <w:color w:val="231F20"/>
          <w:spacing w:val="-7"/>
          <w:w w:val="120"/>
        </w:rPr>
        <w:t> </w:t>
      </w:r>
      <w:r>
        <w:rPr>
          <w:color w:val="231F20"/>
          <w:w w:val="120"/>
        </w:rPr>
        <w:t>de</w:t>
      </w:r>
      <w:r>
        <w:rPr>
          <w:color w:val="231F20"/>
          <w:spacing w:val="-7"/>
          <w:w w:val="120"/>
        </w:rPr>
        <w:t> </w:t>
      </w:r>
      <w:r>
        <w:rPr>
          <w:color w:val="231F20"/>
          <w:w w:val="120"/>
        </w:rPr>
        <w:t>l’estimation</w:t>
      </w:r>
      <w:r>
        <w:rPr>
          <w:color w:val="231F20"/>
          <w:spacing w:val="-7"/>
          <w:w w:val="120"/>
        </w:rPr>
        <w:t> </w:t>
      </w:r>
      <w:r>
        <w:rPr>
          <w:color w:val="231F20"/>
          <w:w w:val="120"/>
        </w:rPr>
        <w:t>de</w:t>
      </w:r>
      <w:r>
        <w:rPr>
          <w:color w:val="231F20"/>
          <w:spacing w:val="-7"/>
          <w:w w:val="120"/>
        </w:rPr>
        <w:t> </w:t>
      </w:r>
      <w:r>
        <w:rPr>
          <w:color w:val="231F20"/>
          <w:w w:val="120"/>
        </w:rPr>
        <w:t>la</w:t>
      </w:r>
      <w:r>
        <w:rPr>
          <w:color w:val="231F20"/>
          <w:spacing w:val="-7"/>
          <w:w w:val="120"/>
        </w:rPr>
        <w:t> </w:t>
      </w:r>
      <w:r>
        <w:rPr>
          <w:color w:val="231F20"/>
          <w:w w:val="120"/>
        </w:rPr>
        <w:t>demande</w:t>
      </w:r>
      <w:r>
        <w:rPr>
          <w:color w:val="231F20"/>
          <w:spacing w:val="-7"/>
          <w:w w:val="120"/>
        </w:rPr>
        <w:t> </w:t>
      </w:r>
      <w:r>
        <w:rPr>
          <w:color w:val="231F20"/>
          <w:w w:val="120"/>
        </w:rPr>
        <w:t>adaptative</w:t>
      </w:r>
      <w:r>
        <w:rPr>
          <w:color w:val="231F20"/>
          <w:spacing w:val="-7"/>
          <w:w w:val="120"/>
        </w:rPr>
        <w:t> </w:t>
      </w:r>
      <w:r>
        <w:rPr>
          <w:color w:val="231F20"/>
          <w:w w:val="120"/>
        </w:rPr>
        <w:t>générée</w:t>
      </w:r>
      <w:r>
        <w:rPr>
          <w:color w:val="231F20"/>
          <w:spacing w:val="-7"/>
          <w:w w:val="120"/>
        </w:rPr>
        <w:t> </w:t>
      </w:r>
      <w:r>
        <w:rPr>
          <w:color w:val="231F20"/>
          <w:w w:val="120"/>
        </w:rPr>
        <w:t>par</w:t>
      </w:r>
      <w:r>
        <w:rPr>
          <w:color w:val="231F20"/>
          <w:spacing w:val="-7"/>
          <w:w w:val="120"/>
        </w:rPr>
        <w:t> </w:t>
      </w:r>
      <w:r>
        <w:rPr>
          <w:color w:val="231F20"/>
          <w:w w:val="120"/>
        </w:rPr>
        <w:t>notre </w:t>
      </w:r>
      <w:r>
        <w:rPr>
          <w:color w:val="231F20"/>
          <w:w w:val="115"/>
        </w:rPr>
        <w:t>environnement.</w:t>
      </w:r>
      <w:r>
        <w:rPr>
          <w:color w:val="231F20"/>
          <w:spacing w:val="-5"/>
          <w:w w:val="115"/>
        </w:rPr>
        <w:t> </w:t>
      </w:r>
      <w:r>
        <w:rPr>
          <w:color w:val="231F20"/>
          <w:w w:val="115"/>
        </w:rPr>
        <w:t>En</w:t>
      </w:r>
      <w:r>
        <w:rPr>
          <w:color w:val="231F20"/>
          <w:spacing w:val="-5"/>
          <w:w w:val="115"/>
        </w:rPr>
        <w:t> </w:t>
      </w:r>
      <w:r>
        <w:rPr>
          <w:color w:val="231F20"/>
          <w:w w:val="115"/>
        </w:rPr>
        <w:t>fonction</w:t>
      </w:r>
      <w:r>
        <w:rPr>
          <w:color w:val="231F20"/>
          <w:spacing w:val="-5"/>
          <w:w w:val="115"/>
        </w:rPr>
        <w:t> </w:t>
      </w:r>
      <w:r>
        <w:rPr>
          <w:color w:val="231F20"/>
          <w:w w:val="115"/>
        </w:rPr>
        <w:t>de</w:t>
      </w:r>
      <w:r>
        <w:rPr>
          <w:color w:val="231F20"/>
          <w:spacing w:val="-5"/>
          <w:w w:val="115"/>
        </w:rPr>
        <w:t> </w:t>
      </w:r>
      <w:r>
        <w:rPr>
          <w:color w:val="231F20"/>
          <w:w w:val="115"/>
        </w:rPr>
        <w:t>cela,</w:t>
      </w:r>
      <w:r>
        <w:rPr>
          <w:color w:val="231F20"/>
          <w:spacing w:val="-5"/>
          <w:w w:val="115"/>
        </w:rPr>
        <w:t> </w:t>
      </w:r>
      <w:r>
        <w:rPr>
          <w:color w:val="231F20"/>
          <w:w w:val="115"/>
        </w:rPr>
        <w:t>nul</w:t>
      </w:r>
      <w:r>
        <w:rPr>
          <w:color w:val="231F20"/>
          <w:spacing w:val="-5"/>
          <w:w w:val="115"/>
        </w:rPr>
        <w:t> </w:t>
      </w:r>
      <w:r>
        <w:rPr>
          <w:color w:val="231F20"/>
          <w:w w:val="115"/>
        </w:rPr>
        <w:t>ne</w:t>
      </w:r>
      <w:r>
        <w:rPr>
          <w:color w:val="231F20"/>
          <w:spacing w:val="-5"/>
          <w:w w:val="115"/>
        </w:rPr>
        <w:t> </w:t>
      </w:r>
      <w:r>
        <w:rPr>
          <w:color w:val="231F20"/>
          <w:w w:val="115"/>
        </w:rPr>
        <w:t>peut</w:t>
      </w:r>
      <w:r>
        <w:rPr>
          <w:color w:val="231F20"/>
          <w:spacing w:val="-5"/>
          <w:w w:val="115"/>
        </w:rPr>
        <w:t> </w:t>
      </w:r>
      <w:r>
        <w:rPr>
          <w:color w:val="231F20"/>
          <w:w w:val="115"/>
        </w:rPr>
        <w:t>faire</w:t>
      </w:r>
      <w:r>
        <w:rPr>
          <w:color w:val="231F20"/>
          <w:spacing w:val="-5"/>
          <w:w w:val="115"/>
        </w:rPr>
        <w:t> </w:t>
      </w:r>
      <w:r>
        <w:rPr>
          <w:color w:val="231F20"/>
          <w:w w:val="115"/>
        </w:rPr>
        <w:t>l’économie</w:t>
      </w:r>
      <w:r>
        <w:rPr>
          <w:color w:val="231F20"/>
          <w:spacing w:val="-5"/>
          <w:w w:val="115"/>
        </w:rPr>
        <w:t> </w:t>
      </w:r>
      <w:r>
        <w:rPr>
          <w:color w:val="231F20"/>
          <w:w w:val="115"/>
        </w:rPr>
        <w:t>de</w:t>
      </w:r>
      <w:r>
        <w:rPr>
          <w:color w:val="231F20"/>
          <w:spacing w:val="-5"/>
          <w:w w:val="115"/>
        </w:rPr>
        <w:t> </w:t>
      </w:r>
      <w:r>
        <w:rPr>
          <w:color w:val="231F20"/>
          <w:w w:val="115"/>
        </w:rPr>
        <w:t>cher- </w:t>
      </w:r>
      <w:r>
        <w:rPr>
          <w:color w:val="231F20"/>
          <w:w w:val="120"/>
        </w:rPr>
        <w:t>cher</w:t>
      </w:r>
      <w:r>
        <w:rPr>
          <w:color w:val="231F20"/>
          <w:spacing w:val="-15"/>
          <w:w w:val="120"/>
        </w:rPr>
        <w:t> </w:t>
      </w:r>
      <w:r>
        <w:rPr>
          <w:color w:val="231F20"/>
          <w:w w:val="120"/>
        </w:rPr>
        <w:t>à</w:t>
      </w:r>
      <w:r>
        <w:rPr>
          <w:color w:val="231F20"/>
          <w:spacing w:val="-13"/>
          <w:w w:val="120"/>
        </w:rPr>
        <w:t> </w:t>
      </w:r>
      <w:r>
        <w:rPr>
          <w:color w:val="231F20"/>
          <w:w w:val="120"/>
        </w:rPr>
        <w:t>gérer</w:t>
      </w:r>
      <w:r>
        <w:rPr>
          <w:color w:val="231F20"/>
          <w:spacing w:val="-13"/>
          <w:w w:val="120"/>
        </w:rPr>
        <w:t> </w:t>
      </w:r>
      <w:r>
        <w:rPr>
          <w:color w:val="231F20"/>
          <w:w w:val="120"/>
        </w:rPr>
        <w:t>son</w:t>
      </w:r>
      <w:r>
        <w:rPr>
          <w:color w:val="231F20"/>
          <w:spacing w:val="-12"/>
          <w:w w:val="120"/>
        </w:rPr>
        <w:t> </w:t>
      </w:r>
      <w:r>
        <w:rPr>
          <w:color w:val="231F20"/>
          <w:w w:val="120"/>
        </w:rPr>
        <w:t>stress</w:t>
      </w:r>
      <w:r>
        <w:rPr>
          <w:color w:val="231F20"/>
          <w:spacing w:val="-13"/>
          <w:w w:val="120"/>
        </w:rPr>
        <w:t> </w:t>
      </w:r>
      <w:r>
        <w:rPr>
          <w:color w:val="231F20"/>
          <w:w w:val="120"/>
        </w:rPr>
        <w:t>par</w:t>
      </w:r>
      <w:r>
        <w:rPr>
          <w:color w:val="231F20"/>
          <w:spacing w:val="-13"/>
          <w:w w:val="120"/>
        </w:rPr>
        <w:t> </w:t>
      </w:r>
      <w:r>
        <w:rPr>
          <w:color w:val="231F20"/>
          <w:w w:val="120"/>
        </w:rPr>
        <w:t>le</w:t>
      </w:r>
      <w:r>
        <w:rPr>
          <w:color w:val="231F20"/>
          <w:spacing w:val="-13"/>
          <w:w w:val="120"/>
        </w:rPr>
        <w:t> </w:t>
      </w:r>
      <w:r>
        <w:rPr>
          <w:color w:val="231F20"/>
          <w:w w:val="120"/>
        </w:rPr>
        <w:t>déploiement</w:t>
      </w:r>
      <w:r>
        <w:rPr>
          <w:color w:val="231F20"/>
          <w:spacing w:val="-12"/>
          <w:w w:val="120"/>
        </w:rPr>
        <w:t> </w:t>
      </w:r>
      <w:r>
        <w:rPr>
          <w:color w:val="231F20"/>
          <w:w w:val="120"/>
        </w:rPr>
        <w:t>de</w:t>
      </w:r>
      <w:r>
        <w:rPr>
          <w:color w:val="231F20"/>
          <w:spacing w:val="-13"/>
          <w:w w:val="120"/>
        </w:rPr>
        <w:t> </w:t>
      </w:r>
      <w:r>
        <w:rPr>
          <w:color w:val="231F20"/>
          <w:w w:val="120"/>
        </w:rPr>
        <w:t>diverses</w:t>
      </w:r>
      <w:r>
        <w:rPr>
          <w:color w:val="231F20"/>
          <w:spacing w:val="-13"/>
          <w:w w:val="120"/>
        </w:rPr>
        <w:t> </w:t>
      </w:r>
      <w:r>
        <w:rPr>
          <w:color w:val="231F20"/>
          <w:w w:val="120"/>
        </w:rPr>
        <w:t>actions</w:t>
      </w:r>
      <w:r>
        <w:rPr>
          <w:color w:val="231F20"/>
          <w:spacing w:val="-13"/>
          <w:w w:val="120"/>
        </w:rPr>
        <w:t> </w:t>
      </w:r>
      <w:r>
        <w:rPr>
          <w:color w:val="231F20"/>
          <w:w w:val="120"/>
        </w:rPr>
        <w:t>qui</w:t>
      </w:r>
      <w:r>
        <w:rPr>
          <w:color w:val="231F20"/>
          <w:spacing w:val="-12"/>
          <w:w w:val="120"/>
        </w:rPr>
        <w:t> </w:t>
      </w:r>
      <w:r>
        <w:rPr>
          <w:color w:val="231F20"/>
          <w:w w:val="120"/>
        </w:rPr>
        <w:t>corres- pondent</w:t>
      </w:r>
      <w:r>
        <w:rPr>
          <w:color w:val="231F20"/>
          <w:spacing w:val="-12"/>
          <w:w w:val="120"/>
        </w:rPr>
        <w:t> </w:t>
      </w:r>
      <w:r>
        <w:rPr>
          <w:color w:val="231F20"/>
          <w:w w:val="120"/>
        </w:rPr>
        <w:t>davantage</w:t>
      </w:r>
      <w:r>
        <w:rPr>
          <w:color w:val="231F20"/>
          <w:spacing w:val="-12"/>
          <w:w w:val="120"/>
        </w:rPr>
        <w:t> </w:t>
      </w:r>
      <w:r>
        <w:rPr>
          <w:color w:val="231F20"/>
          <w:w w:val="120"/>
        </w:rPr>
        <w:t>aux</w:t>
      </w:r>
      <w:r>
        <w:rPr>
          <w:color w:val="231F20"/>
          <w:spacing w:val="-12"/>
          <w:w w:val="120"/>
        </w:rPr>
        <w:t> </w:t>
      </w:r>
      <w:r>
        <w:rPr>
          <w:color w:val="231F20"/>
          <w:w w:val="120"/>
        </w:rPr>
        <w:t>particularités</w:t>
      </w:r>
      <w:r>
        <w:rPr>
          <w:color w:val="231F20"/>
          <w:spacing w:val="-12"/>
          <w:w w:val="120"/>
        </w:rPr>
        <w:t> </w:t>
      </w:r>
      <w:r>
        <w:rPr>
          <w:color w:val="231F20"/>
          <w:w w:val="120"/>
        </w:rPr>
        <w:t>de</w:t>
      </w:r>
      <w:r>
        <w:rPr>
          <w:color w:val="231F20"/>
          <w:spacing w:val="-12"/>
          <w:w w:val="120"/>
        </w:rPr>
        <w:t> </w:t>
      </w:r>
      <w:r>
        <w:rPr>
          <w:color w:val="231F20"/>
          <w:w w:val="120"/>
        </w:rPr>
        <w:t>notre</w:t>
      </w:r>
      <w:r>
        <w:rPr>
          <w:color w:val="231F20"/>
          <w:spacing w:val="-12"/>
          <w:w w:val="120"/>
        </w:rPr>
        <w:t> </w:t>
      </w:r>
      <w:r>
        <w:rPr>
          <w:color w:val="231F20"/>
          <w:w w:val="120"/>
        </w:rPr>
        <w:t>personne.</w:t>
      </w:r>
      <w:r>
        <w:rPr>
          <w:color w:val="231F20"/>
          <w:spacing w:val="-12"/>
          <w:w w:val="120"/>
        </w:rPr>
        <w:t> </w:t>
      </w:r>
      <w:r>
        <w:rPr>
          <w:color w:val="231F20"/>
          <w:w w:val="120"/>
        </w:rPr>
        <w:t>Que</w:t>
      </w:r>
      <w:r>
        <w:rPr>
          <w:color w:val="231F20"/>
          <w:spacing w:val="-12"/>
          <w:w w:val="120"/>
        </w:rPr>
        <w:t> </w:t>
      </w:r>
      <w:r>
        <w:rPr>
          <w:color w:val="231F20"/>
          <w:w w:val="120"/>
        </w:rPr>
        <w:t>ce</w:t>
      </w:r>
      <w:r>
        <w:rPr>
          <w:color w:val="231F20"/>
          <w:spacing w:val="-12"/>
          <w:w w:val="120"/>
        </w:rPr>
        <w:t> </w:t>
      </w:r>
      <w:r>
        <w:rPr>
          <w:color w:val="231F20"/>
          <w:w w:val="120"/>
        </w:rPr>
        <w:t>soit</w:t>
      </w:r>
      <w:r>
        <w:rPr>
          <w:color w:val="231F20"/>
          <w:spacing w:val="-12"/>
          <w:w w:val="120"/>
        </w:rPr>
        <w:t> </w:t>
      </w:r>
      <w:r>
        <w:rPr>
          <w:color w:val="231F20"/>
          <w:w w:val="120"/>
        </w:rPr>
        <w:t>par le</w:t>
      </w:r>
      <w:r>
        <w:rPr>
          <w:color w:val="231F20"/>
          <w:spacing w:val="-9"/>
          <w:w w:val="120"/>
        </w:rPr>
        <w:t> </w:t>
      </w:r>
      <w:r>
        <w:rPr>
          <w:color w:val="231F20"/>
          <w:w w:val="120"/>
        </w:rPr>
        <w:t>façonnement</w:t>
      </w:r>
      <w:r>
        <w:rPr>
          <w:color w:val="231F20"/>
          <w:spacing w:val="-9"/>
          <w:w w:val="120"/>
        </w:rPr>
        <w:t> </w:t>
      </w:r>
      <w:r>
        <w:rPr>
          <w:color w:val="231F20"/>
          <w:w w:val="120"/>
        </w:rPr>
        <w:t>des</w:t>
      </w:r>
      <w:r>
        <w:rPr>
          <w:color w:val="231F20"/>
          <w:spacing w:val="-9"/>
          <w:w w:val="120"/>
        </w:rPr>
        <w:t> </w:t>
      </w:r>
      <w:r>
        <w:rPr>
          <w:color w:val="231F20"/>
          <w:w w:val="120"/>
        </w:rPr>
        <w:t>facteurs</w:t>
      </w:r>
      <w:r>
        <w:rPr>
          <w:color w:val="231F20"/>
          <w:spacing w:val="-9"/>
          <w:w w:val="120"/>
        </w:rPr>
        <w:t> </w:t>
      </w:r>
      <w:r>
        <w:rPr>
          <w:color w:val="231F20"/>
          <w:w w:val="120"/>
        </w:rPr>
        <w:t>d’assimilation</w:t>
      </w:r>
      <w:r>
        <w:rPr>
          <w:color w:val="231F20"/>
          <w:spacing w:val="-9"/>
          <w:w w:val="120"/>
        </w:rPr>
        <w:t> </w:t>
      </w:r>
      <w:r>
        <w:rPr>
          <w:color w:val="231F20"/>
          <w:w w:val="120"/>
        </w:rPr>
        <w:t>de</w:t>
      </w:r>
      <w:r>
        <w:rPr>
          <w:color w:val="231F20"/>
          <w:spacing w:val="-9"/>
          <w:w w:val="120"/>
        </w:rPr>
        <w:t> </w:t>
      </w:r>
      <w:r>
        <w:rPr>
          <w:color w:val="231F20"/>
          <w:w w:val="120"/>
        </w:rPr>
        <w:t>la</w:t>
      </w:r>
      <w:r>
        <w:rPr>
          <w:color w:val="231F20"/>
          <w:spacing w:val="-9"/>
          <w:w w:val="120"/>
        </w:rPr>
        <w:t> </w:t>
      </w:r>
      <w:r>
        <w:rPr>
          <w:color w:val="231F20"/>
          <w:w w:val="120"/>
        </w:rPr>
        <w:t>réalité</w:t>
      </w:r>
      <w:r>
        <w:rPr>
          <w:color w:val="231F20"/>
          <w:spacing w:val="-9"/>
          <w:w w:val="120"/>
        </w:rPr>
        <w:t> </w:t>
      </w:r>
      <w:r>
        <w:rPr>
          <w:color w:val="231F20"/>
          <w:w w:val="120"/>
        </w:rPr>
        <w:t>(évaluation</w:t>
      </w:r>
      <w:r>
        <w:rPr>
          <w:color w:val="231F20"/>
          <w:spacing w:val="-9"/>
          <w:w w:val="120"/>
        </w:rPr>
        <w:t> </w:t>
      </w:r>
      <w:r>
        <w:rPr>
          <w:color w:val="231F20"/>
          <w:w w:val="120"/>
        </w:rPr>
        <w:t>pri- maire)</w:t>
      </w:r>
      <w:r>
        <w:rPr>
          <w:color w:val="231F20"/>
          <w:spacing w:val="-3"/>
          <w:w w:val="120"/>
        </w:rPr>
        <w:t> </w:t>
      </w:r>
      <w:r>
        <w:rPr>
          <w:color w:val="231F20"/>
          <w:w w:val="120"/>
        </w:rPr>
        <w:t>ou</w:t>
      </w:r>
      <w:r>
        <w:rPr>
          <w:color w:val="231F20"/>
          <w:spacing w:val="-3"/>
          <w:w w:val="120"/>
        </w:rPr>
        <w:t> </w:t>
      </w:r>
      <w:r>
        <w:rPr>
          <w:color w:val="231F20"/>
          <w:w w:val="120"/>
        </w:rPr>
        <w:t>de</w:t>
      </w:r>
      <w:r>
        <w:rPr>
          <w:color w:val="231F20"/>
          <w:spacing w:val="-3"/>
          <w:w w:val="120"/>
        </w:rPr>
        <w:t> </w:t>
      </w:r>
      <w:r>
        <w:rPr>
          <w:color w:val="231F20"/>
          <w:w w:val="120"/>
        </w:rPr>
        <w:t>celui</w:t>
      </w:r>
      <w:r>
        <w:rPr>
          <w:color w:val="231F20"/>
          <w:spacing w:val="-3"/>
          <w:w w:val="120"/>
        </w:rPr>
        <w:t> </w:t>
      </w:r>
      <w:r>
        <w:rPr>
          <w:color w:val="231F20"/>
          <w:w w:val="120"/>
        </w:rPr>
        <w:t>des</w:t>
      </w:r>
      <w:r>
        <w:rPr>
          <w:color w:val="231F20"/>
          <w:spacing w:val="-3"/>
          <w:w w:val="120"/>
        </w:rPr>
        <w:t> </w:t>
      </w:r>
      <w:r>
        <w:rPr>
          <w:color w:val="231F20"/>
          <w:w w:val="120"/>
        </w:rPr>
        <w:t>facteurs</w:t>
      </w:r>
      <w:r>
        <w:rPr>
          <w:color w:val="231F20"/>
          <w:spacing w:val="-3"/>
          <w:w w:val="120"/>
        </w:rPr>
        <w:t> </w:t>
      </w:r>
      <w:r>
        <w:rPr>
          <w:color w:val="231F20"/>
          <w:w w:val="120"/>
        </w:rPr>
        <w:t>d’accommodation</w:t>
      </w:r>
      <w:r>
        <w:rPr>
          <w:color w:val="231F20"/>
          <w:spacing w:val="-3"/>
          <w:w w:val="120"/>
        </w:rPr>
        <w:t> </w:t>
      </w:r>
      <w:r>
        <w:rPr>
          <w:color w:val="231F20"/>
          <w:w w:val="120"/>
        </w:rPr>
        <w:t>au</w:t>
      </w:r>
      <w:r>
        <w:rPr>
          <w:color w:val="231F20"/>
          <w:spacing w:val="-3"/>
          <w:w w:val="120"/>
        </w:rPr>
        <w:t> </w:t>
      </w:r>
      <w:r>
        <w:rPr>
          <w:color w:val="231F20"/>
          <w:w w:val="120"/>
        </w:rPr>
        <w:t>stress</w:t>
      </w:r>
      <w:r>
        <w:rPr>
          <w:color w:val="231F20"/>
          <w:spacing w:val="-3"/>
          <w:w w:val="120"/>
        </w:rPr>
        <w:t> </w:t>
      </w:r>
      <w:r>
        <w:rPr>
          <w:color w:val="231F20"/>
          <w:w w:val="120"/>
        </w:rPr>
        <w:t>(évaluation secondaire),</w:t>
      </w:r>
      <w:r>
        <w:rPr>
          <w:color w:val="231F20"/>
          <w:spacing w:val="-2"/>
          <w:w w:val="120"/>
        </w:rPr>
        <w:t> </w:t>
      </w:r>
      <w:r>
        <w:rPr>
          <w:color w:val="231F20"/>
          <w:w w:val="120"/>
        </w:rPr>
        <w:t>l’individu</w:t>
      </w:r>
      <w:r>
        <w:rPr>
          <w:color w:val="231F20"/>
          <w:spacing w:val="-2"/>
          <w:w w:val="120"/>
        </w:rPr>
        <w:t> </w:t>
      </w:r>
      <w:r>
        <w:rPr>
          <w:color w:val="231F20"/>
          <w:w w:val="120"/>
        </w:rPr>
        <w:t>est</w:t>
      </w:r>
      <w:r>
        <w:rPr>
          <w:color w:val="231F20"/>
          <w:spacing w:val="-2"/>
          <w:w w:val="120"/>
        </w:rPr>
        <w:t> </w:t>
      </w:r>
      <w:r>
        <w:rPr>
          <w:color w:val="231F20"/>
          <w:w w:val="120"/>
        </w:rPr>
        <w:t>le</w:t>
      </w:r>
      <w:r>
        <w:rPr>
          <w:color w:val="231F20"/>
          <w:spacing w:val="-2"/>
          <w:w w:val="120"/>
        </w:rPr>
        <w:t> </w:t>
      </w:r>
      <w:r>
        <w:rPr>
          <w:color w:val="231F20"/>
          <w:w w:val="120"/>
        </w:rPr>
        <w:t>premier</w:t>
      </w:r>
      <w:r>
        <w:rPr>
          <w:color w:val="231F20"/>
          <w:spacing w:val="-2"/>
          <w:w w:val="120"/>
        </w:rPr>
        <w:t> </w:t>
      </w:r>
      <w:r>
        <w:rPr>
          <w:color w:val="231F20"/>
          <w:w w:val="120"/>
        </w:rPr>
        <w:t>artisan</w:t>
      </w:r>
      <w:r>
        <w:rPr>
          <w:color w:val="231F20"/>
          <w:spacing w:val="-2"/>
          <w:w w:val="120"/>
        </w:rPr>
        <w:t> </w:t>
      </w:r>
      <w:r>
        <w:rPr>
          <w:color w:val="231F20"/>
          <w:w w:val="120"/>
        </w:rPr>
        <w:t>de</w:t>
      </w:r>
      <w:r>
        <w:rPr>
          <w:color w:val="231F20"/>
          <w:spacing w:val="-2"/>
          <w:w w:val="120"/>
        </w:rPr>
        <w:t> </w:t>
      </w:r>
      <w:r>
        <w:rPr>
          <w:color w:val="231F20"/>
          <w:w w:val="120"/>
        </w:rPr>
        <w:t>ses</w:t>
      </w:r>
      <w:r>
        <w:rPr>
          <w:color w:val="231F20"/>
          <w:spacing w:val="-2"/>
          <w:w w:val="120"/>
        </w:rPr>
        <w:t> </w:t>
      </w:r>
      <w:r>
        <w:rPr>
          <w:color w:val="231F20"/>
          <w:w w:val="120"/>
        </w:rPr>
        <w:t>réactions</w:t>
      </w:r>
      <w:r>
        <w:rPr>
          <w:color w:val="231F20"/>
          <w:spacing w:val="-2"/>
          <w:w w:val="120"/>
        </w:rPr>
        <w:t> </w:t>
      </w:r>
      <w:r>
        <w:rPr>
          <w:color w:val="231F20"/>
          <w:w w:val="120"/>
        </w:rPr>
        <w:t>au</w:t>
      </w:r>
      <w:r>
        <w:rPr>
          <w:color w:val="231F20"/>
          <w:spacing w:val="-2"/>
          <w:w w:val="120"/>
        </w:rPr>
        <w:t> </w:t>
      </w:r>
      <w:r>
        <w:rPr>
          <w:color w:val="231F20"/>
          <w:w w:val="120"/>
        </w:rPr>
        <w:t>stress. </w:t>
      </w:r>
      <w:r>
        <w:rPr>
          <w:color w:val="231F20"/>
          <w:w w:val="115"/>
        </w:rPr>
        <w:t>Il</w:t>
      </w:r>
      <w:r>
        <w:rPr>
          <w:color w:val="231F20"/>
          <w:spacing w:val="-8"/>
          <w:w w:val="115"/>
        </w:rPr>
        <w:t> </w:t>
      </w:r>
      <w:r>
        <w:rPr>
          <w:color w:val="231F20"/>
          <w:w w:val="115"/>
        </w:rPr>
        <w:t>revient</w:t>
      </w:r>
      <w:r>
        <w:rPr>
          <w:color w:val="231F20"/>
          <w:spacing w:val="-8"/>
          <w:w w:val="115"/>
        </w:rPr>
        <w:t> </w:t>
      </w:r>
      <w:r>
        <w:rPr>
          <w:color w:val="231F20"/>
          <w:w w:val="115"/>
        </w:rPr>
        <w:t>avant</w:t>
      </w:r>
      <w:r>
        <w:rPr>
          <w:color w:val="231F20"/>
          <w:spacing w:val="-8"/>
          <w:w w:val="115"/>
        </w:rPr>
        <w:t> </w:t>
      </w:r>
      <w:r>
        <w:rPr>
          <w:color w:val="231F20"/>
          <w:w w:val="115"/>
        </w:rPr>
        <w:t>tout</w:t>
      </w:r>
      <w:r>
        <w:rPr>
          <w:color w:val="231F20"/>
          <w:spacing w:val="-8"/>
          <w:w w:val="115"/>
        </w:rPr>
        <w:t> </w:t>
      </w:r>
      <w:r>
        <w:rPr>
          <w:color w:val="231F20"/>
          <w:w w:val="115"/>
        </w:rPr>
        <w:t>à</w:t>
      </w:r>
      <w:r>
        <w:rPr>
          <w:color w:val="231F20"/>
          <w:spacing w:val="-8"/>
          <w:w w:val="115"/>
        </w:rPr>
        <w:t> </w:t>
      </w:r>
      <w:r>
        <w:rPr>
          <w:color w:val="231F20"/>
          <w:w w:val="115"/>
        </w:rPr>
        <w:t>l’individu</w:t>
      </w:r>
      <w:r>
        <w:rPr>
          <w:color w:val="231F20"/>
          <w:spacing w:val="-8"/>
          <w:w w:val="115"/>
        </w:rPr>
        <w:t> </w:t>
      </w:r>
      <w:r>
        <w:rPr>
          <w:color w:val="231F20"/>
          <w:w w:val="115"/>
        </w:rPr>
        <w:t>de</w:t>
      </w:r>
      <w:r>
        <w:rPr>
          <w:color w:val="231F20"/>
          <w:spacing w:val="-8"/>
          <w:w w:val="115"/>
        </w:rPr>
        <w:t> </w:t>
      </w:r>
      <w:r>
        <w:rPr>
          <w:color w:val="231F20"/>
          <w:w w:val="115"/>
        </w:rPr>
        <w:t>diagnostiquer</w:t>
      </w:r>
      <w:r>
        <w:rPr>
          <w:color w:val="231F20"/>
          <w:spacing w:val="-8"/>
          <w:w w:val="115"/>
        </w:rPr>
        <w:t> </w:t>
      </w:r>
      <w:r>
        <w:rPr>
          <w:color w:val="231F20"/>
          <w:w w:val="115"/>
        </w:rPr>
        <w:t>les</w:t>
      </w:r>
      <w:r>
        <w:rPr>
          <w:color w:val="231F20"/>
          <w:spacing w:val="-8"/>
          <w:w w:val="115"/>
        </w:rPr>
        <w:t> </w:t>
      </w:r>
      <w:r>
        <w:rPr>
          <w:color w:val="231F20"/>
          <w:w w:val="115"/>
        </w:rPr>
        <w:t>éléments</w:t>
      </w:r>
      <w:r>
        <w:rPr>
          <w:color w:val="231F20"/>
          <w:spacing w:val="-8"/>
          <w:w w:val="115"/>
        </w:rPr>
        <w:t> </w:t>
      </w:r>
      <w:r>
        <w:rPr>
          <w:color w:val="231F20"/>
          <w:w w:val="115"/>
        </w:rPr>
        <w:t>perceptuels l’amenant</w:t>
      </w:r>
      <w:r>
        <w:rPr>
          <w:color w:val="231F20"/>
          <w:spacing w:val="-3"/>
          <w:w w:val="115"/>
        </w:rPr>
        <w:t> </w:t>
      </w:r>
      <w:r>
        <w:rPr>
          <w:color w:val="231F20"/>
          <w:w w:val="115"/>
        </w:rPr>
        <w:t>à</w:t>
      </w:r>
      <w:r>
        <w:rPr>
          <w:color w:val="231F20"/>
          <w:spacing w:val="-3"/>
          <w:w w:val="115"/>
        </w:rPr>
        <w:t> </w:t>
      </w:r>
      <w:r>
        <w:rPr>
          <w:color w:val="231F20"/>
          <w:w w:val="115"/>
        </w:rPr>
        <w:t>ressentir</w:t>
      </w:r>
      <w:r>
        <w:rPr>
          <w:color w:val="231F20"/>
          <w:spacing w:val="-3"/>
          <w:w w:val="115"/>
        </w:rPr>
        <w:t> </w:t>
      </w:r>
      <w:r>
        <w:rPr>
          <w:color w:val="231F20"/>
          <w:w w:val="115"/>
        </w:rPr>
        <w:t>du</w:t>
      </w:r>
      <w:r>
        <w:rPr>
          <w:color w:val="231F20"/>
          <w:spacing w:val="-3"/>
          <w:w w:val="115"/>
        </w:rPr>
        <w:t> </w:t>
      </w:r>
      <w:r>
        <w:rPr>
          <w:color w:val="231F20"/>
          <w:w w:val="115"/>
        </w:rPr>
        <w:t>stress</w:t>
      </w:r>
      <w:r>
        <w:rPr>
          <w:color w:val="231F20"/>
          <w:spacing w:val="-3"/>
          <w:w w:val="115"/>
        </w:rPr>
        <w:t> </w:t>
      </w:r>
      <w:r>
        <w:rPr>
          <w:color w:val="231F20"/>
          <w:w w:val="115"/>
        </w:rPr>
        <w:t>ou</w:t>
      </w:r>
      <w:r>
        <w:rPr>
          <w:color w:val="231F20"/>
          <w:spacing w:val="-3"/>
          <w:w w:val="115"/>
        </w:rPr>
        <w:t> </w:t>
      </w:r>
      <w:r>
        <w:rPr>
          <w:color w:val="231F20"/>
          <w:w w:val="115"/>
        </w:rPr>
        <w:t>encore</w:t>
      </w:r>
      <w:r>
        <w:rPr>
          <w:color w:val="231F20"/>
          <w:spacing w:val="-3"/>
          <w:w w:val="115"/>
        </w:rPr>
        <w:t> </w:t>
      </w:r>
      <w:r>
        <w:rPr>
          <w:color w:val="231F20"/>
          <w:w w:val="115"/>
        </w:rPr>
        <w:t>à</w:t>
      </w:r>
      <w:r>
        <w:rPr>
          <w:color w:val="231F20"/>
          <w:spacing w:val="-3"/>
          <w:w w:val="115"/>
        </w:rPr>
        <w:t> </w:t>
      </w:r>
      <w:r>
        <w:rPr>
          <w:color w:val="231F20"/>
          <w:w w:val="115"/>
        </w:rPr>
        <w:t>évaluer</w:t>
      </w:r>
      <w:r>
        <w:rPr>
          <w:color w:val="231F20"/>
          <w:spacing w:val="-3"/>
          <w:w w:val="115"/>
        </w:rPr>
        <w:t> </w:t>
      </w:r>
      <w:r>
        <w:rPr>
          <w:color w:val="231F20"/>
          <w:w w:val="115"/>
        </w:rPr>
        <w:t>l’efficacité</w:t>
      </w:r>
      <w:r>
        <w:rPr>
          <w:color w:val="231F20"/>
          <w:spacing w:val="-3"/>
          <w:w w:val="115"/>
        </w:rPr>
        <w:t> </w:t>
      </w:r>
      <w:r>
        <w:rPr>
          <w:color w:val="231F20"/>
          <w:w w:val="115"/>
        </w:rPr>
        <w:t>de</w:t>
      </w:r>
      <w:r>
        <w:rPr>
          <w:color w:val="231F20"/>
          <w:spacing w:val="-3"/>
          <w:w w:val="115"/>
        </w:rPr>
        <w:t> </w:t>
      </w:r>
      <w:r>
        <w:rPr>
          <w:color w:val="231F20"/>
          <w:w w:val="115"/>
        </w:rPr>
        <w:t>ses</w:t>
      </w:r>
      <w:r>
        <w:rPr>
          <w:color w:val="231F20"/>
          <w:spacing w:val="-3"/>
          <w:w w:val="115"/>
        </w:rPr>
        <w:t> </w:t>
      </w:r>
      <w:r>
        <w:rPr>
          <w:color w:val="231F20"/>
          <w:w w:val="115"/>
        </w:rPr>
        <w:t>stra- </w:t>
      </w:r>
      <w:r>
        <w:rPr>
          <w:color w:val="231F20"/>
          <w:w w:val="120"/>
        </w:rPr>
        <w:t>tégies</w:t>
      </w:r>
      <w:r>
        <w:rPr>
          <w:color w:val="231F20"/>
          <w:spacing w:val="-4"/>
          <w:w w:val="120"/>
        </w:rPr>
        <w:t> </w:t>
      </w:r>
      <w:r>
        <w:rPr>
          <w:color w:val="231F20"/>
          <w:w w:val="120"/>
        </w:rPr>
        <w:t>de</w:t>
      </w:r>
      <w:r>
        <w:rPr>
          <w:color w:val="231F20"/>
          <w:spacing w:val="-4"/>
          <w:w w:val="120"/>
        </w:rPr>
        <w:t> </w:t>
      </w:r>
      <w:r>
        <w:rPr>
          <w:i/>
          <w:color w:val="231F20"/>
          <w:w w:val="120"/>
        </w:rPr>
        <w:t>coping</w:t>
      </w:r>
      <w:r>
        <w:rPr>
          <w:i/>
          <w:color w:val="231F20"/>
          <w:spacing w:val="-4"/>
          <w:w w:val="120"/>
        </w:rPr>
        <w:t> </w:t>
      </w:r>
      <w:r>
        <w:rPr>
          <w:color w:val="231F20"/>
          <w:w w:val="120"/>
        </w:rPr>
        <w:t>lui</w:t>
      </w:r>
      <w:r>
        <w:rPr>
          <w:color w:val="231F20"/>
          <w:spacing w:val="-4"/>
          <w:w w:val="120"/>
        </w:rPr>
        <w:t> </w:t>
      </w:r>
      <w:r>
        <w:rPr>
          <w:color w:val="231F20"/>
          <w:w w:val="120"/>
        </w:rPr>
        <w:t>permettant</w:t>
      </w:r>
      <w:r>
        <w:rPr>
          <w:color w:val="231F20"/>
          <w:spacing w:val="-4"/>
          <w:w w:val="120"/>
        </w:rPr>
        <w:t> </w:t>
      </w:r>
      <w:r>
        <w:rPr>
          <w:color w:val="231F20"/>
          <w:w w:val="120"/>
        </w:rPr>
        <w:t>de</w:t>
      </w:r>
      <w:r>
        <w:rPr>
          <w:color w:val="231F20"/>
          <w:spacing w:val="-4"/>
          <w:w w:val="120"/>
        </w:rPr>
        <w:t> </w:t>
      </w:r>
      <w:r>
        <w:rPr>
          <w:color w:val="231F20"/>
          <w:w w:val="120"/>
        </w:rPr>
        <w:t>s’acclimater</w:t>
      </w:r>
      <w:r>
        <w:rPr>
          <w:color w:val="231F20"/>
          <w:spacing w:val="-4"/>
          <w:w w:val="120"/>
        </w:rPr>
        <w:t> </w:t>
      </w:r>
      <w:r>
        <w:rPr>
          <w:color w:val="231F20"/>
          <w:w w:val="120"/>
        </w:rPr>
        <w:t>aux</w:t>
      </w:r>
      <w:r>
        <w:rPr>
          <w:color w:val="231F20"/>
          <w:spacing w:val="-5"/>
          <w:w w:val="120"/>
        </w:rPr>
        <w:t> </w:t>
      </w:r>
      <w:r>
        <w:rPr>
          <w:color w:val="231F20"/>
          <w:w w:val="120"/>
        </w:rPr>
        <w:t>conséquences</w:t>
      </w:r>
      <w:r>
        <w:rPr>
          <w:color w:val="231F20"/>
          <w:spacing w:val="-4"/>
          <w:w w:val="120"/>
        </w:rPr>
        <w:t> </w:t>
      </w:r>
      <w:r>
        <w:rPr>
          <w:color w:val="231F20"/>
          <w:w w:val="120"/>
        </w:rPr>
        <w:t>d’un stress ponctuel ou chronique.</w:t>
      </w:r>
    </w:p>
    <w:p>
      <w:pPr>
        <w:spacing w:after="0" w:line="307" w:lineRule="auto"/>
        <w:jc w:val="both"/>
        <w:sectPr>
          <w:footerReference w:type="default" r:id="rId288"/>
          <w:pgSz w:w="8640" w:h="12960"/>
          <w:pgMar w:footer="424" w:header="0" w:top="500" w:bottom="620" w:left="420" w:right="1140"/>
        </w:sectPr>
      </w:pPr>
    </w:p>
    <w:p>
      <w:pPr>
        <w:spacing w:before="103"/>
        <w:ind w:left="1028" w:right="698" w:firstLine="0"/>
        <w:jc w:val="center"/>
        <w:rPr>
          <w:rFonts w:ascii="Arial" w:hAnsi="Arial"/>
          <w:sz w:val="14"/>
        </w:rPr>
      </w:pPr>
      <w:bookmarkStart w:name=" 5.2.1 / Gestion des aspects physiologiq" w:id="175"/>
      <w:bookmarkEnd w:id="175"/>
      <w:r>
        <w:rPr/>
      </w:r>
      <w:bookmarkStart w:name="_bookmark77" w:id="176"/>
      <w:bookmarkEnd w:id="17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6" w:firstLine="250"/>
        <w:jc w:val="both"/>
      </w:pPr>
      <w:r>
        <w:rPr>
          <w:color w:val="231F20"/>
          <w:w w:val="120"/>
        </w:rPr>
        <w:t>Nous visiterons dans les prochaines pages diverses mesures per- mettant</w:t>
      </w:r>
      <w:r>
        <w:rPr>
          <w:color w:val="231F20"/>
          <w:spacing w:val="-7"/>
          <w:w w:val="120"/>
        </w:rPr>
        <w:t> </w:t>
      </w:r>
      <w:r>
        <w:rPr>
          <w:color w:val="231F20"/>
          <w:w w:val="120"/>
        </w:rPr>
        <w:t>à</w:t>
      </w:r>
      <w:r>
        <w:rPr>
          <w:color w:val="231F20"/>
          <w:spacing w:val="-7"/>
          <w:w w:val="120"/>
        </w:rPr>
        <w:t> </w:t>
      </w:r>
      <w:r>
        <w:rPr>
          <w:color w:val="231F20"/>
          <w:w w:val="120"/>
        </w:rPr>
        <w:t>l’individu</w:t>
      </w:r>
      <w:r>
        <w:rPr>
          <w:color w:val="231F20"/>
          <w:spacing w:val="-7"/>
          <w:w w:val="120"/>
        </w:rPr>
        <w:t> </w:t>
      </w:r>
      <w:r>
        <w:rPr>
          <w:color w:val="231F20"/>
          <w:w w:val="120"/>
        </w:rPr>
        <w:t>d’agir,</w:t>
      </w:r>
      <w:r>
        <w:rPr>
          <w:color w:val="231F20"/>
          <w:spacing w:val="-7"/>
          <w:w w:val="120"/>
        </w:rPr>
        <w:t> </w:t>
      </w:r>
      <w:r>
        <w:rPr>
          <w:color w:val="231F20"/>
          <w:w w:val="120"/>
        </w:rPr>
        <w:t>plutôt</w:t>
      </w:r>
      <w:r>
        <w:rPr>
          <w:color w:val="231F20"/>
          <w:spacing w:val="-7"/>
          <w:w w:val="120"/>
        </w:rPr>
        <w:t> </w:t>
      </w:r>
      <w:r>
        <w:rPr>
          <w:color w:val="231F20"/>
          <w:w w:val="120"/>
        </w:rPr>
        <w:t>que</w:t>
      </w:r>
      <w:r>
        <w:rPr>
          <w:color w:val="231F20"/>
          <w:spacing w:val="-7"/>
          <w:w w:val="120"/>
        </w:rPr>
        <w:t> </w:t>
      </w:r>
      <w:r>
        <w:rPr>
          <w:color w:val="231F20"/>
          <w:w w:val="120"/>
        </w:rPr>
        <w:t>de</w:t>
      </w:r>
      <w:r>
        <w:rPr>
          <w:color w:val="231F20"/>
          <w:spacing w:val="-7"/>
          <w:w w:val="120"/>
        </w:rPr>
        <w:t> </w:t>
      </w:r>
      <w:r>
        <w:rPr>
          <w:color w:val="231F20"/>
          <w:w w:val="120"/>
        </w:rPr>
        <w:t>simplement</w:t>
      </w:r>
      <w:r>
        <w:rPr>
          <w:color w:val="231F20"/>
          <w:spacing w:val="-7"/>
          <w:w w:val="120"/>
        </w:rPr>
        <w:t> </w:t>
      </w:r>
      <w:r>
        <w:rPr>
          <w:color w:val="231F20"/>
          <w:w w:val="120"/>
        </w:rPr>
        <w:t>subir</w:t>
      </w:r>
      <w:r>
        <w:rPr>
          <w:color w:val="231F20"/>
          <w:spacing w:val="-7"/>
          <w:w w:val="120"/>
        </w:rPr>
        <w:t> </w:t>
      </w:r>
      <w:r>
        <w:rPr>
          <w:color w:val="231F20"/>
          <w:w w:val="120"/>
        </w:rPr>
        <w:t>le</w:t>
      </w:r>
      <w:r>
        <w:rPr>
          <w:color w:val="231F20"/>
          <w:spacing w:val="-7"/>
          <w:w w:val="120"/>
        </w:rPr>
        <w:t> </w:t>
      </w:r>
      <w:r>
        <w:rPr>
          <w:color w:val="231F20"/>
          <w:w w:val="120"/>
        </w:rPr>
        <w:t>stress</w:t>
      </w:r>
      <w:r>
        <w:rPr>
          <w:color w:val="231F20"/>
          <w:spacing w:val="-7"/>
          <w:w w:val="120"/>
        </w:rPr>
        <w:t> </w:t>
      </w:r>
      <w:r>
        <w:rPr>
          <w:color w:val="231F20"/>
          <w:w w:val="120"/>
        </w:rPr>
        <w:t>qui l’assaille</w:t>
      </w:r>
      <w:r>
        <w:rPr>
          <w:color w:val="231F20"/>
          <w:spacing w:val="-13"/>
          <w:w w:val="120"/>
        </w:rPr>
        <w:t> </w:t>
      </w:r>
      <w:r>
        <w:rPr>
          <w:color w:val="231F20"/>
          <w:w w:val="120"/>
        </w:rPr>
        <w:t>régulièrement.</w:t>
      </w:r>
    </w:p>
    <w:p>
      <w:pPr>
        <w:pStyle w:val="BodyText"/>
        <w:spacing w:before="10"/>
        <w:rPr>
          <w:sz w:val="26"/>
        </w:rPr>
      </w:pPr>
    </w:p>
    <w:p>
      <w:pPr>
        <w:pStyle w:val="Heading4"/>
        <w:numPr>
          <w:ilvl w:val="2"/>
          <w:numId w:val="76"/>
        </w:numPr>
        <w:tabs>
          <w:tab w:pos="529" w:val="left" w:leader="none"/>
          <w:tab w:pos="829" w:val="left" w:leader="none"/>
        </w:tabs>
        <w:spacing w:line="240" w:lineRule="auto" w:before="0" w:after="0"/>
        <w:ind w:left="528" w:right="0" w:hanging="376"/>
        <w:jc w:val="left"/>
      </w:pPr>
      <w:r>
        <w:rPr>
          <w:b w:val="0"/>
          <w:i/>
          <w:color w:val="231F20"/>
          <w:spacing w:val="-10"/>
        </w:rPr>
        <w:t>/</w:t>
      </w:r>
      <w:r>
        <w:rPr>
          <w:b w:val="0"/>
          <w:i/>
          <w:color w:val="231F20"/>
        </w:rPr>
        <w:tab/>
      </w:r>
      <w:r>
        <w:rPr>
          <w:color w:val="231F20"/>
          <w:w w:val="90"/>
        </w:rPr>
        <w:t>Gestion</w:t>
      </w:r>
      <w:r>
        <w:rPr>
          <w:color w:val="231F20"/>
          <w:spacing w:val="1"/>
        </w:rPr>
        <w:t> </w:t>
      </w:r>
      <w:r>
        <w:rPr>
          <w:color w:val="231F20"/>
          <w:w w:val="90"/>
        </w:rPr>
        <w:t>des</w:t>
      </w:r>
      <w:r>
        <w:rPr>
          <w:color w:val="231F20"/>
          <w:spacing w:val="2"/>
        </w:rPr>
        <w:t> </w:t>
      </w:r>
      <w:r>
        <w:rPr>
          <w:color w:val="231F20"/>
          <w:w w:val="90"/>
        </w:rPr>
        <w:t>aspects</w:t>
      </w:r>
      <w:r>
        <w:rPr>
          <w:color w:val="231F20"/>
          <w:spacing w:val="2"/>
        </w:rPr>
        <w:t> </w:t>
      </w:r>
      <w:r>
        <w:rPr>
          <w:color w:val="231F20"/>
          <w:spacing w:val="-2"/>
          <w:w w:val="90"/>
        </w:rPr>
        <w:t>physiologiques</w:t>
      </w:r>
    </w:p>
    <w:p>
      <w:pPr>
        <w:pStyle w:val="BodyText"/>
        <w:spacing w:line="307" w:lineRule="auto" w:before="233"/>
        <w:ind w:left="830" w:right="495"/>
        <w:jc w:val="both"/>
      </w:pPr>
      <w:r>
        <w:rPr>
          <w:i/>
          <w:color w:val="231F20"/>
          <w:w w:val="110"/>
        </w:rPr>
        <w:t>Que</w:t>
      </w:r>
      <w:r>
        <w:rPr>
          <w:i/>
          <w:color w:val="231F20"/>
          <w:spacing w:val="-10"/>
          <w:w w:val="110"/>
        </w:rPr>
        <w:t> </w:t>
      </w:r>
      <w:r>
        <w:rPr>
          <w:i/>
          <w:color w:val="231F20"/>
          <w:w w:val="110"/>
        </w:rPr>
        <w:t>faire quand le stress a déjà commencé à se manifester</w:t>
      </w:r>
      <w:r>
        <w:rPr>
          <w:i/>
          <w:color w:val="231F20"/>
          <w:spacing w:val="-12"/>
          <w:w w:val="110"/>
        </w:rPr>
        <w:t> </w:t>
      </w:r>
      <w:r>
        <w:rPr>
          <w:i/>
          <w:color w:val="231F20"/>
          <w:w w:val="110"/>
        </w:rPr>
        <w:t>? </w:t>
      </w:r>
      <w:r>
        <w:rPr>
          <w:color w:val="231F20"/>
          <w:w w:val="110"/>
        </w:rPr>
        <w:t>Pour commen- </w:t>
      </w:r>
      <w:r>
        <w:rPr>
          <w:color w:val="231F20"/>
          <w:spacing w:val="-2"/>
          <w:w w:val="120"/>
        </w:rPr>
        <w:t>cer,</w:t>
      </w:r>
      <w:r>
        <w:rPr>
          <w:color w:val="231F20"/>
          <w:spacing w:val="-8"/>
          <w:w w:val="120"/>
        </w:rPr>
        <w:t> </w:t>
      </w:r>
      <w:r>
        <w:rPr>
          <w:color w:val="231F20"/>
          <w:spacing w:val="-2"/>
          <w:w w:val="120"/>
        </w:rPr>
        <w:t>on</w:t>
      </w:r>
      <w:r>
        <w:rPr>
          <w:color w:val="231F20"/>
          <w:spacing w:val="-8"/>
          <w:w w:val="120"/>
        </w:rPr>
        <w:t> </w:t>
      </w:r>
      <w:r>
        <w:rPr>
          <w:color w:val="231F20"/>
          <w:spacing w:val="-2"/>
          <w:w w:val="120"/>
        </w:rPr>
        <w:t>peut</w:t>
      </w:r>
      <w:r>
        <w:rPr>
          <w:color w:val="231F20"/>
          <w:spacing w:val="-8"/>
          <w:w w:val="120"/>
        </w:rPr>
        <w:t> </w:t>
      </w:r>
      <w:r>
        <w:rPr>
          <w:color w:val="231F20"/>
          <w:spacing w:val="-2"/>
          <w:w w:val="120"/>
        </w:rPr>
        <w:t>essayer</w:t>
      </w:r>
      <w:r>
        <w:rPr>
          <w:color w:val="231F20"/>
          <w:spacing w:val="-8"/>
          <w:w w:val="120"/>
        </w:rPr>
        <w:t> </w:t>
      </w:r>
      <w:r>
        <w:rPr>
          <w:color w:val="231F20"/>
          <w:spacing w:val="-2"/>
          <w:w w:val="120"/>
        </w:rPr>
        <w:t>de</w:t>
      </w:r>
      <w:r>
        <w:rPr>
          <w:color w:val="231F20"/>
          <w:spacing w:val="-8"/>
          <w:w w:val="120"/>
        </w:rPr>
        <w:t> </w:t>
      </w:r>
      <w:r>
        <w:rPr>
          <w:color w:val="231F20"/>
          <w:spacing w:val="-2"/>
          <w:w w:val="120"/>
        </w:rPr>
        <w:t>le</w:t>
      </w:r>
      <w:r>
        <w:rPr>
          <w:color w:val="231F20"/>
          <w:spacing w:val="-8"/>
          <w:w w:val="120"/>
        </w:rPr>
        <w:t> </w:t>
      </w:r>
      <w:r>
        <w:rPr>
          <w:color w:val="231F20"/>
          <w:spacing w:val="-2"/>
          <w:w w:val="120"/>
        </w:rPr>
        <w:t>maîtriser</w:t>
      </w:r>
      <w:r>
        <w:rPr>
          <w:color w:val="231F20"/>
          <w:spacing w:val="-8"/>
          <w:w w:val="120"/>
        </w:rPr>
        <w:t> </w:t>
      </w:r>
      <w:r>
        <w:rPr>
          <w:color w:val="231F20"/>
          <w:spacing w:val="-2"/>
          <w:w w:val="120"/>
        </w:rPr>
        <w:t>ou,</w:t>
      </w:r>
      <w:r>
        <w:rPr>
          <w:color w:val="231F20"/>
          <w:spacing w:val="-8"/>
          <w:w w:val="120"/>
        </w:rPr>
        <w:t> </w:t>
      </w:r>
      <w:r>
        <w:rPr>
          <w:color w:val="231F20"/>
          <w:spacing w:val="-2"/>
          <w:w w:val="120"/>
        </w:rPr>
        <w:t>à</w:t>
      </w:r>
      <w:r>
        <w:rPr>
          <w:color w:val="231F20"/>
          <w:spacing w:val="-8"/>
          <w:w w:val="120"/>
        </w:rPr>
        <w:t> </w:t>
      </w:r>
      <w:r>
        <w:rPr>
          <w:color w:val="231F20"/>
          <w:spacing w:val="-2"/>
          <w:w w:val="120"/>
        </w:rPr>
        <w:t>tout</w:t>
      </w:r>
      <w:r>
        <w:rPr>
          <w:color w:val="231F20"/>
          <w:spacing w:val="-8"/>
          <w:w w:val="120"/>
        </w:rPr>
        <w:t> </w:t>
      </w:r>
      <w:r>
        <w:rPr>
          <w:color w:val="231F20"/>
          <w:spacing w:val="-2"/>
          <w:w w:val="120"/>
        </w:rPr>
        <w:t>le</w:t>
      </w:r>
      <w:r>
        <w:rPr>
          <w:color w:val="231F20"/>
          <w:spacing w:val="-8"/>
          <w:w w:val="120"/>
        </w:rPr>
        <w:t> </w:t>
      </w:r>
      <w:r>
        <w:rPr>
          <w:color w:val="231F20"/>
          <w:spacing w:val="-2"/>
          <w:w w:val="120"/>
        </w:rPr>
        <w:t>moins,</w:t>
      </w:r>
      <w:r>
        <w:rPr>
          <w:color w:val="231F20"/>
          <w:spacing w:val="-8"/>
          <w:w w:val="120"/>
        </w:rPr>
        <w:t> </w:t>
      </w:r>
      <w:r>
        <w:rPr>
          <w:color w:val="231F20"/>
          <w:spacing w:val="-2"/>
          <w:w w:val="120"/>
        </w:rPr>
        <w:t>d’avoir</w:t>
      </w:r>
      <w:r>
        <w:rPr>
          <w:color w:val="231F20"/>
          <w:spacing w:val="-8"/>
          <w:w w:val="120"/>
        </w:rPr>
        <w:t> </w:t>
      </w:r>
      <w:r>
        <w:rPr>
          <w:color w:val="231F20"/>
          <w:spacing w:val="-2"/>
          <w:w w:val="120"/>
        </w:rPr>
        <w:t>la</w:t>
      </w:r>
      <w:r>
        <w:rPr>
          <w:color w:val="231F20"/>
          <w:spacing w:val="-8"/>
          <w:w w:val="120"/>
        </w:rPr>
        <w:t> </w:t>
      </w:r>
      <w:r>
        <w:rPr>
          <w:color w:val="231F20"/>
          <w:spacing w:val="-2"/>
          <w:w w:val="120"/>
        </w:rPr>
        <w:t>percep- tion</w:t>
      </w:r>
      <w:r>
        <w:rPr>
          <w:color w:val="231F20"/>
          <w:spacing w:val="-10"/>
          <w:w w:val="120"/>
        </w:rPr>
        <w:t> </w:t>
      </w:r>
      <w:r>
        <w:rPr>
          <w:color w:val="231F20"/>
          <w:spacing w:val="-2"/>
          <w:w w:val="120"/>
        </w:rPr>
        <w:t>de</w:t>
      </w:r>
      <w:r>
        <w:rPr>
          <w:color w:val="231F20"/>
          <w:spacing w:val="-10"/>
          <w:w w:val="120"/>
        </w:rPr>
        <w:t> </w:t>
      </w:r>
      <w:r>
        <w:rPr>
          <w:color w:val="231F20"/>
          <w:spacing w:val="-2"/>
          <w:w w:val="120"/>
        </w:rPr>
        <w:t>le</w:t>
      </w:r>
      <w:r>
        <w:rPr>
          <w:color w:val="231F20"/>
          <w:spacing w:val="-10"/>
          <w:w w:val="120"/>
        </w:rPr>
        <w:t> </w:t>
      </w:r>
      <w:r>
        <w:rPr>
          <w:color w:val="231F20"/>
          <w:spacing w:val="-2"/>
          <w:w w:val="120"/>
        </w:rPr>
        <w:t>contrôler.</w:t>
      </w:r>
      <w:r>
        <w:rPr>
          <w:color w:val="231F20"/>
          <w:spacing w:val="-10"/>
          <w:w w:val="120"/>
        </w:rPr>
        <w:t> </w:t>
      </w:r>
      <w:r>
        <w:rPr>
          <w:color w:val="231F20"/>
          <w:spacing w:val="-2"/>
          <w:w w:val="120"/>
        </w:rPr>
        <w:t>Être</w:t>
      </w:r>
      <w:r>
        <w:rPr>
          <w:color w:val="231F20"/>
          <w:spacing w:val="-10"/>
          <w:w w:val="120"/>
        </w:rPr>
        <w:t> </w:t>
      </w:r>
      <w:r>
        <w:rPr>
          <w:color w:val="231F20"/>
          <w:spacing w:val="-2"/>
          <w:w w:val="120"/>
        </w:rPr>
        <w:t>stressé,</w:t>
      </w:r>
      <w:r>
        <w:rPr>
          <w:color w:val="231F20"/>
          <w:spacing w:val="-10"/>
          <w:w w:val="120"/>
        </w:rPr>
        <w:t> </w:t>
      </w:r>
      <w:r>
        <w:rPr>
          <w:color w:val="231F20"/>
          <w:spacing w:val="-2"/>
          <w:w w:val="120"/>
        </w:rPr>
        <w:t>c’est</w:t>
      </w:r>
      <w:r>
        <w:rPr>
          <w:color w:val="231F20"/>
          <w:spacing w:val="-10"/>
          <w:w w:val="120"/>
        </w:rPr>
        <w:t> </w:t>
      </w:r>
      <w:r>
        <w:rPr>
          <w:color w:val="231F20"/>
          <w:spacing w:val="-2"/>
          <w:w w:val="120"/>
        </w:rPr>
        <w:t>percevoir</w:t>
      </w:r>
      <w:r>
        <w:rPr>
          <w:color w:val="231F20"/>
          <w:spacing w:val="-10"/>
          <w:w w:val="120"/>
        </w:rPr>
        <w:t> </w:t>
      </w:r>
      <w:r>
        <w:rPr>
          <w:color w:val="231F20"/>
          <w:spacing w:val="-2"/>
          <w:w w:val="120"/>
        </w:rPr>
        <w:t>qu’on</w:t>
      </w:r>
      <w:r>
        <w:rPr>
          <w:color w:val="231F20"/>
          <w:spacing w:val="-10"/>
          <w:w w:val="120"/>
        </w:rPr>
        <w:t> </w:t>
      </w:r>
      <w:r>
        <w:rPr>
          <w:color w:val="231F20"/>
          <w:spacing w:val="-2"/>
          <w:w w:val="120"/>
        </w:rPr>
        <w:t>n’a</w:t>
      </w:r>
      <w:r>
        <w:rPr>
          <w:color w:val="231F20"/>
          <w:spacing w:val="-10"/>
          <w:w w:val="120"/>
        </w:rPr>
        <w:t> </w:t>
      </w:r>
      <w:r>
        <w:rPr>
          <w:color w:val="231F20"/>
          <w:spacing w:val="-2"/>
          <w:w w:val="120"/>
        </w:rPr>
        <w:t>pas</w:t>
      </w:r>
      <w:r>
        <w:rPr>
          <w:color w:val="231F20"/>
          <w:spacing w:val="-10"/>
          <w:w w:val="120"/>
        </w:rPr>
        <w:t> </w:t>
      </w:r>
      <w:r>
        <w:rPr>
          <w:color w:val="231F20"/>
          <w:spacing w:val="-2"/>
          <w:w w:val="120"/>
        </w:rPr>
        <w:t>la</w:t>
      </w:r>
      <w:r>
        <w:rPr>
          <w:color w:val="231F20"/>
          <w:spacing w:val="-10"/>
          <w:w w:val="120"/>
        </w:rPr>
        <w:t> </w:t>
      </w:r>
      <w:r>
        <w:rPr>
          <w:color w:val="231F20"/>
          <w:spacing w:val="-2"/>
          <w:w w:val="120"/>
        </w:rPr>
        <w:t>maîtrise </w:t>
      </w:r>
      <w:r>
        <w:rPr>
          <w:color w:val="231F20"/>
          <w:w w:val="120"/>
        </w:rPr>
        <w:t>de</w:t>
      </w:r>
      <w:r>
        <w:rPr>
          <w:color w:val="231F20"/>
          <w:spacing w:val="-2"/>
          <w:w w:val="120"/>
        </w:rPr>
        <w:t> </w:t>
      </w:r>
      <w:r>
        <w:rPr>
          <w:color w:val="231F20"/>
          <w:w w:val="120"/>
        </w:rPr>
        <w:t>son</w:t>
      </w:r>
      <w:r>
        <w:rPr>
          <w:color w:val="231F20"/>
          <w:spacing w:val="-2"/>
          <w:w w:val="120"/>
        </w:rPr>
        <w:t> </w:t>
      </w:r>
      <w:r>
        <w:rPr>
          <w:color w:val="231F20"/>
          <w:w w:val="120"/>
        </w:rPr>
        <w:t>environnement,</w:t>
      </w:r>
      <w:r>
        <w:rPr>
          <w:color w:val="231F20"/>
          <w:spacing w:val="-2"/>
          <w:w w:val="120"/>
        </w:rPr>
        <w:t> </w:t>
      </w:r>
      <w:r>
        <w:rPr>
          <w:color w:val="231F20"/>
          <w:w w:val="120"/>
        </w:rPr>
        <w:t>ou</w:t>
      </w:r>
      <w:r>
        <w:rPr>
          <w:color w:val="231F20"/>
          <w:spacing w:val="-2"/>
          <w:w w:val="120"/>
        </w:rPr>
        <w:t> </w:t>
      </w:r>
      <w:r>
        <w:rPr>
          <w:color w:val="231F20"/>
          <w:w w:val="120"/>
        </w:rPr>
        <w:t>même</w:t>
      </w:r>
      <w:r>
        <w:rPr>
          <w:color w:val="231F20"/>
          <w:spacing w:val="-2"/>
          <w:w w:val="120"/>
        </w:rPr>
        <w:t> </w:t>
      </w:r>
      <w:r>
        <w:rPr>
          <w:color w:val="231F20"/>
          <w:w w:val="120"/>
        </w:rPr>
        <w:t>de</w:t>
      </w:r>
      <w:r>
        <w:rPr>
          <w:color w:val="231F20"/>
          <w:spacing w:val="-2"/>
          <w:w w:val="120"/>
        </w:rPr>
        <w:t> </w:t>
      </w:r>
      <w:r>
        <w:rPr>
          <w:color w:val="231F20"/>
          <w:w w:val="120"/>
        </w:rPr>
        <w:t>soi.</w:t>
      </w:r>
      <w:r>
        <w:rPr>
          <w:color w:val="231F20"/>
          <w:spacing w:val="-2"/>
          <w:w w:val="120"/>
        </w:rPr>
        <w:t> </w:t>
      </w:r>
      <w:r>
        <w:rPr>
          <w:color w:val="231F20"/>
          <w:w w:val="120"/>
        </w:rPr>
        <w:t>Lorsque</w:t>
      </w:r>
      <w:r>
        <w:rPr>
          <w:color w:val="231F20"/>
          <w:spacing w:val="-2"/>
          <w:w w:val="120"/>
        </w:rPr>
        <w:t> </w:t>
      </w:r>
      <w:r>
        <w:rPr>
          <w:color w:val="231F20"/>
          <w:w w:val="120"/>
        </w:rPr>
        <w:t>nous</w:t>
      </w:r>
      <w:r>
        <w:rPr>
          <w:color w:val="231F20"/>
          <w:spacing w:val="-2"/>
          <w:w w:val="120"/>
        </w:rPr>
        <w:t> </w:t>
      </w:r>
      <w:r>
        <w:rPr>
          <w:color w:val="231F20"/>
          <w:w w:val="120"/>
        </w:rPr>
        <w:t>vivons</w:t>
      </w:r>
      <w:r>
        <w:rPr>
          <w:color w:val="231F20"/>
          <w:spacing w:val="-2"/>
          <w:w w:val="120"/>
        </w:rPr>
        <w:t> </w:t>
      </w:r>
      <w:r>
        <w:rPr>
          <w:color w:val="231F20"/>
          <w:w w:val="120"/>
        </w:rPr>
        <w:t>une</w:t>
      </w:r>
      <w:r>
        <w:rPr>
          <w:color w:val="231F20"/>
          <w:spacing w:val="-2"/>
          <w:w w:val="120"/>
        </w:rPr>
        <w:t> </w:t>
      </w:r>
      <w:r>
        <w:rPr>
          <w:color w:val="231F20"/>
          <w:w w:val="120"/>
        </w:rPr>
        <w:t>sen- </w:t>
      </w:r>
      <w:r>
        <w:rPr>
          <w:color w:val="231F20"/>
          <w:spacing w:val="-2"/>
          <w:w w:val="120"/>
        </w:rPr>
        <w:t>sation</w:t>
      </w:r>
      <w:r>
        <w:rPr>
          <w:color w:val="231F20"/>
          <w:spacing w:val="-7"/>
          <w:w w:val="120"/>
        </w:rPr>
        <w:t> </w:t>
      </w:r>
      <w:r>
        <w:rPr>
          <w:color w:val="231F20"/>
          <w:spacing w:val="-2"/>
          <w:w w:val="120"/>
        </w:rPr>
        <w:t>de</w:t>
      </w:r>
      <w:r>
        <w:rPr>
          <w:color w:val="231F20"/>
          <w:spacing w:val="-7"/>
          <w:w w:val="120"/>
        </w:rPr>
        <w:t> </w:t>
      </w:r>
      <w:r>
        <w:rPr>
          <w:color w:val="231F20"/>
          <w:spacing w:val="-2"/>
          <w:w w:val="120"/>
        </w:rPr>
        <w:t>calme</w:t>
      </w:r>
      <w:r>
        <w:rPr>
          <w:color w:val="231F20"/>
          <w:spacing w:val="-7"/>
          <w:w w:val="120"/>
        </w:rPr>
        <w:t> </w:t>
      </w:r>
      <w:r>
        <w:rPr>
          <w:color w:val="231F20"/>
          <w:spacing w:val="-2"/>
          <w:w w:val="120"/>
        </w:rPr>
        <w:t>et</w:t>
      </w:r>
      <w:r>
        <w:rPr>
          <w:color w:val="231F20"/>
          <w:spacing w:val="-7"/>
          <w:w w:val="120"/>
        </w:rPr>
        <w:t> </w:t>
      </w:r>
      <w:r>
        <w:rPr>
          <w:color w:val="231F20"/>
          <w:spacing w:val="-2"/>
          <w:w w:val="120"/>
        </w:rPr>
        <w:t>de</w:t>
      </w:r>
      <w:r>
        <w:rPr>
          <w:color w:val="231F20"/>
          <w:spacing w:val="-7"/>
          <w:w w:val="120"/>
        </w:rPr>
        <w:t> </w:t>
      </w:r>
      <w:r>
        <w:rPr>
          <w:color w:val="231F20"/>
          <w:spacing w:val="-2"/>
          <w:w w:val="120"/>
        </w:rPr>
        <w:t>sérénité,</w:t>
      </w:r>
      <w:r>
        <w:rPr>
          <w:color w:val="231F20"/>
          <w:spacing w:val="-7"/>
          <w:w w:val="120"/>
        </w:rPr>
        <w:t> </w:t>
      </w:r>
      <w:r>
        <w:rPr>
          <w:color w:val="231F20"/>
          <w:spacing w:val="-2"/>
          <w:w w:val="120"/>
        </w:rPr>
        <w:t>nous</w:t>
      </w:r>
      <w:r>
        <w:rPr>
          <w:color w:val="231F20"/>
          <w:spacing w:val="-7"/>
          <w:w w:val="120"/>
        </w:rPr>
        <w:t> </w:t>
      </w:r>
      <w:r>
        <w:rPr>
          <w:color w:val="231F20"/>
          <w:spacing w:val="-2"/>
          <w:w w:val="120"/>
        </w:rPr>
        <w:t>avons</w:t>
      </w:r>
      <w:r>
        <w:rPr>
          <w:color w:val="231F20"/>
          <w:spacing w:val="-7"/>
          <w:w w:val="120"/>
        </w:rPr>
        <w:t> </w:t>
      </w:r>
      <w:r>
        <w:rPr>
          <w:color w:val="231F20"/>
          <w:spacing w:val="-2"/>
          <w:w w:val="120"/>
        </w:rPr>
        <w:t>l’impression</w:t>
      </w:r>
      <w:r>
        <w:rPr>
          <w:color w:val="231F20"/>
          <w:spacing w:val="-7"/>
          <w:w w:val="120"/>
        </w:rPr>
        <w:t> </w:t>
      </w:r>
      <w:r>
        <w:rPr>
          <w:color w:val="231F20"/>
          <w:spacing w:val="-2"/>
          <w:w w:val="120"/>
        </w:rPr>
        <w:t>d’exercer</w:t>
      </w:r>
      <w:r>
        <w:rPr>
          <w:color w:val="231F20"/>
          <w:spacing w:val="-7"/>
          <w:w w:val="120"/>
        </w:rPr>
        <w:t> </w:t>
      </w:r>
      <w:r>
        <w:rPr>
          <w:color w:val="231F20"/>
          <w:spacing w:val="-2"/>
          <w:w w:val="120"/>
        </w:rPr>
        <w:t>davan- </w:t>
      </w:r>
      <w:r>
        <w:rPr>
          <w:color w:val="231F20"/>
          <w:w w:val="115"/>
        </w:rPr>
        <w:t>tage</w:t>
      </w:r>
      <w:r>
        <w:rPr>
          <w:color w:val="231F20"/>
          <w:spacing w:val="-3"/>
          <w:w w:val="115"/>
        </w:rPr>
        <w:t> </w:t>
      </w:r>
      <w:r>
        <w:rPr>
          <w:color w:val="231F20"/>
          <w:w w:val="115"/>
        </w:rPr>
        <w:t>de</w:t>
      </w:r>
      <w:r>
        <w:rPr>
          <w:color w:val="231F20"/>
          <w:spacing w:val="-3"/>
          <w:w w:val="115"/>
        </w:rPr>
        <w:t> </w:t>
      </w:r>
      <w:r>
        <w:rPr>
          <w:color w:val="231F20"/>
          <w:w w:val="115"/>
        </w:rPr>
        <w:t>contrôle</w:t>
      </w:r>
      <w:r>
        <w:rPr>
          <w:color w:val="231F20"/>
          <w:spacing w:val="-3"/>
          <w:w w:val="115"/>
        </w:rPr>
        <w:t> </w:t>
      </w:r>
      <w:r>
        <w:rPr>
          <w:color w:val="231F20"/>
          <w:w w:val="115"/>
        </w:rPr>
        <w:t>sur</w:t>
      </w:r>
      <w:r>
        <w:rPr>
          <w:color w:val="231F20"/>
          <w:spacing w:val="-3"/>
          <w:w w:val="115"/>
        </w:rPr>
        <w:t> </w:t>
      </w:r>
      <w:r>
        <w:rPr>
          <w:color w:val="231F20"/>
          <w:w w:val="115"/>
        </w:rPr>
        <w:t>ce</w:t>
      </w:r>
      <w:r>
        <w:rPr>
          <w:color w:val="231F20"/>
          <w:spacing w:val="-3"/>
          <w:w w:val="115"/>
        </w:rPr>
        <w:t> </w:t>
      </w:r>
      <w:r>
        <w:rPr>
          <w:color w:val="231F20"/>
          <w:w w:val="115"/>
        </w:rPr>
        <w:t>qui</w:t>
      </w:r>
      <w:r>
        <w:rPr>
          <w:color w:val="231F20"/>
          <w:spacing w:val="-3"/>
          <w:w w:val="115"/>
        </w:rPr>
        <w:t> </w:t>
      </w:r>
      <w:r>
        <w:rPr>
          <w:color w:val="231F20"/>
          <w:w w:val="115"/>
        </w:rPr>
        <w:t>nous</w:t>
      </w:r>
      <w:r>
        <w:rPr>
          <w:color w:val="231F20"/>
          <w:spacing w:val="-3"/>
          <w:w w:val="115"/>
        </w:rPr>
        <w:t> </w:t>
      </w:r>
      <w:r>
        <w:rPr>
          <w:color w:val="231F20"/>
          <w:w w:val="115"/>
        </w:rPr>
        <w:t>entoure.</w:t>
      </w:r>
      <w:r>
        <w:rPr>
          <w:color w:val="231F20"/>
          <w:spacing w:val="-3"/>
          <w:w w:val="115"/>
        </w:rPr>
        <w:t> </w:t>
      </w:r>
      <w:r>
        <w:rPr>
          <w:color w:val="231F20"/>
          <w:w w:val="115"/>
        </w:rPr>
        <w:t>En</w:t>
      </w:r>
      <w:r>
        <w:rPr>
          <w:color w:val="231F20"/>
          <w:spacing w:val="-3"/>
          <w:w w:val="115"/>
        </w:rPr>
        <w:t> </w:t>
      </w:r>
      <w:r>
        <w:rPr>
          <w:color w:val="231F20"/>
          <w:w w:val="115"/>
        </w:rPr>
        <w:t>revanche,</w:t>
      </w:r>
      <w:r>
        <w:rPr>
          <w:color w:val="231F20"/>
          <w:spacing w:val="-3"/>
          <w:w w:val="115"/>
        </w:rPr>
        <w:t> </w:t>
      </w:r>
      <w:r>
        <w:rPr>
          <w:color w:val="231F20"/>
          <w:w w:val="115"/>
        </w:rPr>
        <w:t>le</w:t>
      </w:r>
      <w:r>
        <w:rPr>
          <w:color w:val="231F20"/>
          <w:spacing w:val="-3"/>
          <w:w w:val="115"/>
        </w:rPr>
        <w:t> </w:t>
      </w:r>
      <w:r>
        <w:rPr>
          <w:color w:val="231F20"/>
          <w:w w:val="115"/>
        </w:rPr>
        <w:t>fait</w:t>
      </w:r>
      <w:r>
        <w:rPr>
          <w:color w:val="231F20"/>
          <w:spacing w:val="-3"/>
          <w:w w:val="115"/>
        </w:rPr>
        <w:t> </w:t>
      </w:r>
      <w:r>
        <w:rPr>
          <w:color w:val="231F20"/>
          <w:w w:val="115"/>
        </w:rPr>
        <w:t>d’essayer</w:t>
      </w:r>
      <w:r>
        <w:rPr>
          <w:color w:val="231F20"/>
          <w:spacing w:val="-3"/>
          <w:w w:val="115"/>
        </w:rPr>
        <w:t> </w:t>
      </w:r>
      <w:r>
        <w:rPr>
          <w:color w:val="231F20"/>
          <w:w w:val="115"/>
        </w:rPr>
        <w:t>de </w:t>
      </w:r>
      <w:r>
        <w:rPr>
          <w:color w:val="231F20"/>
          <w:w w:val="120"/>
        </w:rPr>
        <w:t>toujours</w:t>
      </w:r>
      <w:r>
        <w:rPr>
          <w:color w:val="231F20"/>
          <w:spacing w:val="-13"/>
          <w:w w:val="120"/>
        </w:rPr>
        <w:t> </w:t>
      </w:r>
      <w:r>
        <w:rPr>
          <w:color w:val="231F20"/>
          <w:w w:val="120"/>
        </w:rPr>
        <w:t>tout</w:t>
      </w:r>
      <w:r>
        <w:rPr>
          <w:color w:val="231F20"/>
          <w:spacing w:val="-13"/>
          <w:w w:val="120"/>
        </w:rPr>
        <w:t> </w:t>
      </w:r>
      <w:r>
        <w:rPr>
          <w:color w:val="231F20"/>
          <w:w w:val="120"/>
        </w:rPr>
        <w:t>contrôler</w:t>
      </w:r>
      <w:r>
        <w:rPr>
          <w:color w:val="231F20"/>
          <w:spacing w:val="-13"/>
          <w:w w:val="120"/>
        </w:rPr>
        <w:t> </w:t>
      </w:r>
      <w:r>
        <w:rPr>
          <w:color w:val="231F20"/>
          <w:w w:val="120"/>
        </w:rPr>
        <w:t>est</w:t>
      </w:r>
      <w:r>
        <w:rPr>
          <w:color w:val="231F20"/>
          <w:spacing w:val="-12"/>
          <w:w w:val="120"/>
        </w:rPr>
        <w:t> </w:t>
      </w:r>
      <w:r>
        <w:rPr>
          <w:color w:val="231F20"/>
          <w:w w:val="120"/>
        </w:rPr>
        <w:t>parfois</w:t>
      </w:r>
      <w:r>
        <w:rPr>
          <w:color w:val="231F20"/>
          <w:spacing w:val="-13"/>
          <w:w w:val="120"/>
        </w:rPr>
        <w:t> </w:t>
      </w:r>
      <w:r>
        <w:rPr>
          <w:color w:val="231F20"/>
          <w:w w:val="120"/>
        </w:rPr>
        <w:t>un</w:t>
      </w:r>
      <w:r>
        <w:rPr>
          <w:color w:val="231F20"/>
          <w:spacing w:val="-13"/>
          <w:w w:val="120"/>
        </w:rPr>
        <w:t> </w:t>
      </w:r>
      <w:r>
        <w:rPr>
          <w:color w:val="231F20"/>
          <w:w w:val="120"/>
        </w:rPr>
        <w:t>mécanisme</w:t>
      </w:r>
      <w:r>
        <w:rPr>
          <w:color w:val="231F20"/>
          <w:spacing w:val="-13"/>
          <w:w w:val="120"/>
        </w:rPr>
        <w:t> </w:t>
      </w:r>
      <w:r>
        <w:rPr>
          <w:color w:val="231F20"/>
          <w:w w:val="120"/>
        </w:rPr>
        <w:t>d’autodéfense</w:t>
      </w:r>
      <w:r>
        <w:rPr>
          <w:color w:val="231F20"/>
          <w:spacing w:val="-12"/>
          <w:w w:val="120"/>
        </w:rPr>
        <w:t> </w:t>
      </w:r>
      <w:r>
        <w:rPr>
          <w:color w:val="231F20"/>
          <w:w w:val="120"/>
        </w:rPr>
        <w:t>qui</w:t>
      </w:r>
      <w:r>
        <w:rPr>
          <w:color w:val="231F20"/>
          <w:spacing w:val="-13"/>
          <w:w w:val="120"/>
        </w:rPr>
        <w:t> </w:t>
      </w:r>
      <w:r>
        <w:rPr>
          <w:color w:val="231F20"/>
          <w:w w:val="120"/>
        </w:rPr>
        <w:t>peut cacher un manque de confiance en soi.</w:t>
      </w:r>
    </w:p>
    <w:p>
      <w:pPr>
        <w:pStyle w:val="BodyText"/>
        <w:spacing w:line="307" w:lineRule="auto" w:before="79"/>
        <w:ind w:left="830" w:right="493" w:firstLine="250"/>
        <w:jc w:val="both"/>
      </w:pPr>
      <w:r>
        <w:rPr>
          <w:color w:val="231F20"/>
          <w:spacing w:val="-2"/>
          <w:w w:val="120"/>
        </w:rPr>
        <w:t>Certaines</w:t>
      </w:r>
      <w:r>
        <w:rPr>
          <w:color w:val="231F20"/>
          <w:spacing w:val="-3"/>
          <w:w w:val="120"/>
        </w:rPr>
        <w:t> </w:t>
      </w:r>
      <w:r>
        <w:rPr>
          <w:color w:val="231F20"/>
          <w:spacing w:val="-2"/>
          <w:w w:val="120"/>
        </w:rPr>
        <w:t>personnes,</w:t>
      </w:r>
      <w:r>
        <w:rPr>
          <w:color w:val="231F20"/>
          <w:spacing w:val="-3"/>
          <w:w w:val="120"/>
        </w:rPr>
        <w:t> </w:t>
      </w:r>
      <w:r>
        <w:rPr>
          <w:color w:val="231F20"/>
          <w:spacing w:val="-2"/>
          <w:w w:val="120"/>
        </w:rPr>
        <w:t>par</w:t>
      </w:r>
      <w:r>
        <w:rPr>
          <w:color w:val="231F20"/>
          <w:spacing w:val="-3"/>
          <w:w w:val="120"/>
        </w:rPr>
        <w:t> </w:t>
      </w:r>
      <w:r>
        <w:rPr>
          <w:color w:val="231F20"/>
          <w:spacing w:val="-2"/>
          <w:w w:val="120"/>
        </w:rPr>
        <w:t>leur</w:t>
      </w:r>
      <w:r>
        <w:rPr>
          <w:color w:val="231F20"/>
          <w:spacing w:val="-3"/>
          <w:w w:val="120"/>
        </w:rPr>
        <w:t> </w:t>
      </w:r>
      <w:r>
        <w:rPr>
          <w:color w:val="231F20"/>
          <w:spacing w:val="-2"/>
          <w:w w:val="120"/>
        </w:rPr>
        <w:t>profil</w:t>
      </w:r>
      <w:r>
        <w:rPr>
          <w:color w:val="231F20"/>
          <w:spacing w:val="-3"/>
          <w:w w:val="120"/>
        </w:rPr>
        <w:t> </w:t>
      </w:r>
      <w:r>
        <w:rPr>
          <w:color w:val="231F20"/>
          <w:spacing w:val="-2"/>
          <w:w w:val="120"/>
        </w:rPr>
        <w:t>de</w:t>
      </w:r>
      <w:r>
        <w:rPr>
          <w:color w:val="231F20"/>
          <w:spacing w:val="-3"/>
          <w:w w:val="120"/>
        </w:rPr>
        <w:t> </w:t>
      </w:r>
      <w:r>
        <w:rPr>
          <w:color w:val="231F20"/>
          <w:spacing w:val="-2"/>
          <w:w w:val="120"/>
        </w:rPr>
        <w:t>personnalité,</w:t>
      </w:r>
      <w:r>
        <w:rPr>
          <w:color w:val="231F20"/>
          <w:spacing w:val="-3"/>
          <w:w w:val="120"/>
        </w:rPr>
        <w:t> </w:t>
      </w:r>
      <w:r>
        <w:rPr>
          <w:color w:val="231F20"/>
          <w:spacing w:val="-2"/>
          <w:w w:val="120"/>
        </w:rPr>
        <w:t>aiment</w:t>
      </w:r>
      <w:r>
        <w:rPr>
          <w:color w:val="231F20"/>
          <w:spacing w:val="-3"/>
          <w:w w:val="120"/>
        </w:rPr>
        <w:t> </w:t>
      </w:r>
      <w:r>
        <w:rPr>
          <w:color w:val="231F20"/>
          <w:spacing w:val="-2"/>
          <w:w w:val="120"/>
        </w:rPr>
        <w:t>contrôler </w:t>
      </w:r>
      <w:r>
        <w:rPr>
          <w:color w:val="231F20"/>
          <w:w w:val="120"/>
        </w:rPr>
        <w:t>tous</w:t>
      </w:r>
      <w:r>
        <w:rPr>
          <w:color w:val="231F20"/>
          <w:spacing w:val="-13"/>
          <w:w w:val="120"/>
        </w:rPr>
        <w:t> </w:t>
      </w:r>
      <w:r>
        <w:rPr>
          <w:color w:val="231F20"/>
          <w:w w:val="120"/>
        </w:rPr>
        <w:t>les</w:t>
      </w:r>
      <w:r>
        <w:rPr>
          <w:color w:val="231F20"/>
          <w:spacing w:val="-13"/>
          <w:w w:val="120"/>
        </w:rPr>
        <w:t> </w:t>
      </w:r>
      <w:r>
        <w:rPr>
          <w:color w:val="231F20"/>
          <w:w w:val="120"/>
        </w:rPr>
        <w:t>intrants</w:t>
      </w:r>
      <w:r>
        <w:rPr>
          <w:color w:val="231F20"/>
          <w:spacing w:val="-13"/>
          <w:w w:val="120"/>
        </w:rPr>
        <w:t> </w:t>
      </w:r>
      <w:r>
        <w:rPr>
          <w:color w:val="231F20"/>
          <w:w w:val="120"/>
        </w:rPr>
        <w:t>qui</w:t>
      </w:r>
      <w:r>
        <w:rPr>
          <w:color w:val="231F20"/>
          <w:spacing w:val="-12"/>
          <w:w w:val="120"/>
        </w:rPr>
        <w:t> </w:t>
      </w:r>
      <w:r>
        <w:rPr>
          <w:color w:val="231F20"/>
          <w:w w:val="120"/>
        </w:rPr>
        <w:t>les</w:t>
      </w:r>
      <w:r>
        <w:rPr>
          <w:color w:val="231F20"/>
          <w:spacing w:val="-13"/>
          <w:w w:val="120"/>
        </w:rPr>
        <w:t> </w:t>
      </w:r>
      <w:r>
        <w:rPr>
          <w:color w:val="231F20"/>
          <w:w w:val="120"/>
        </w:rPr>
        <w:t>entourent</w:t>
      </w:r>
      <w:r>
        <w:rPr>
          <w:color w:val="231F20"/>
          <w:spacing w:val="-13"/>
          <w:w w:val="120"/>
        </w:rPr>
        <w:t> </w:t>
      </w:r>
      <w:r>
        <w:rPr>
          <w:color w:val="231F20"/>
          <w:w w:val="120"/>
        </w:rPr>
        <w:t>(la</w:t>
      </w:r>
      <w:r>
        <w:rPr>
          <w:color w:val="231F20"/>
          <w:spacing w:val="-13"/>
          <w:w w:val="120"/>
        </w:rPr>
        <w:t> </w:t>
      </w:r>
      <w:r>
        <w:rPr>
          <w:color w:val="231F20"/>
          <w:w w:val="120"/>
        </w:rPr>
        <w:t>clientèle,</w:t>
      </w:r>
      <w:r>
        <w:rPr>
          <w:color w:val="231F20"/>
          <w:spacing w:val="-12"/>
          <w:w w:val="120"/>
        </w:rPr>
        <w:t> </w:t>
      </w:r>
      <w:r>
        <w:rPr>
          <w:color w:val="231F20"/>
          <w:w w:val="120"/>
        </w:rPr>
        <w:t>les</w:t>
      </w:r>
      <w:r>
        <w:rPr>
          <w:color w:val="231F20"/>
          <w:spacing w:val="-13"/>
          <w:w w:val="120"/>
        </w:rPr>
        <w:t> </w:t>
      </w:r>
      <w:r>
        <w:rPr>
          <w:color w:val="231F20"/>
          <w:w w:val="120"/>
        </w:rPr>
        <w:t>patrons,</w:t>
      </w:r>
      <w:r>
        <w:rPr>
          <w:color w:val="231F20"/>
          <w:spacing w:val="-13"/>
          <w:w w:val="120"/>
        </w:rPr>
        <w:t> </w:t>
      </w:r>
      <w:r>
        <w:rPr>
          <w:color w:val="231F20"/>
          <w:w w:val="120"/>
        </w:rPr>
        <w:t>les</w:t>
      </w:r>
      <w:r>
        <w:rPr>
          <w:color w:val="231F20"/>
          <w:spacing w:val="-13"/>
          <w:w w:val="120"/>
        </w:rPr>
        <w:t> </w:t>
      </w:r>
      <w:r>
        <w:rPr>
          <w:color w:val="231F20"/>
          <w:w w:val="120"/>
        </w:rPr>
        <w:t>collègues, les enfants, le partenaire, les décisions, les vacances, etc.). En même temps,</w:t>
      </w:r>
      <w:r>
        <w:rPr>
          <w:color w:val="231F20"/>
          <w:spacing w:val="-6"/>
          <w:w w:val="120"/>
        </w:rPr>
        <w:t> </w:t>
      </w:r>
      <w:r>
        <w:rPr>
          <w:color w:val="231F20"/>
          <w:w w:val="120"/>
        </w:rPr>
        <w:t>il</w:t>
      </w:r>
      <w:r>
        <w:rPr>
          <w:color w:val="231F20"/>
          <w:spacing w:val="-6"/>
          <w:w w:val="120"/>
        </w:rPr>
        <w:t> </w:t>
      </w:r>
      <w:r>
        <w:rPr>
          <w:color w:val="231F20"/>
          <w:w w:val="120"/>
        </w:rPr>
        <w:t>leur</w:t>
      </w:r>
      <w:r>
        <w:rPr>
          <w:color w:val="231F20"/>
          <w:spacing w:val="-6"/>
          <w:w w:val="120"/>
        </w:rPr>
        <w:t> </w:t>
      </w:r>
      <w:r>
        <w:rPr>
          <w:color w:val="231F20"/>
          <w:w w:val="120"/>
        </w:rPr>
        <w:t>est</w:t>
      </w:r>
      <w:r>
        <w:rPr>
          <w:color w:val="231F20"/>
          <w:spacing w:val="-6"/>
          <w:w w:val="120"/>
        </w:rPr>
        <w:t> </w:t>
      </w:r>
      <w:r>
        <w:rPr>
          <w:color w:val="231F20"/>
          <w:w w:val="120"/>
        </w:rPr>
        <w:t>généralement</w:t>
      </w:r>
      <w:r>
        <w:rPr>
          <w:color w:val="231F20"/>
          <w:spacing w:val="-6"/>
          <w:w w:val="120"/>
        </w:rPr>
        <w:t> </w:t>
      </w:r>
      <w:r>
        <w:rPr>
          <w:color w:val="231F20"/>
          <w:w w:val="120"/>
        </w:rPr>
        <w:t>très</w:t>
      </w:r>
      <w:r>
        <w:rPr>
          <w:color w:val="231F20"/>
          <w:spacing w:val="-6"/>
          <w:w w:val="120"/>
        </w:rPr>
        <w:t> </w:t>
      </w:r>
      <w:r>
        <w:rPr>
          <w:color w:val="231F20"/>
          <w:w w:val="120"/>
        </w:rPr>
        <w:t>difficile</w:t>
      </w:r>
      <w:r>
        <w:rPr>
          <w:color w:val="231F20"/>
          <w:spacing w:val="-6"/>
          <w:w w:val="120"/>
        </w:rPr>
        <w:t> </w:t>
      </w:r>
      <w:r>
        <w:rPr>
          <w:color w:val="231F20"/>
          <w:w w:val="120"/>
        </w:rPr>
        <w:t>d’avoir</w:t>
      </w:r>
      <w:r>
        <w:rPr>
          <w:color w:val="231F20"/>
          <w:spacing w:val="-6"/>
          <w:w w:val="120"/>
        </w:rPr>
        <w:t> </w:t>
      </w:r>
      <w:r>
        <w:rPr>
          <w:color w:val="231F20"/>
          <w:w w:val="120"/>
        </w:rPr>
        <w:t>des</w:t>
      </w:r>
      <w:r>
        <w:rPr>
          <w:color w:val="231F20"/>
          <w:spacing w:val="-6"/>
          <w:w w:val="120"/>
        </w:rPr>
        <w:t> </w:t>
      </w:r>
      <w:r>
        <w:rPr>
          <w:color w:val="231F20"/>
          <w:w w:val="120"/>
        </w:rPr>
        <w:t>activités</w:t>
      </w:r>
      <w:r>
        <w:rPr>
          <w:color w:val="231F20"/>
          <w:spacing w:val="-6"/>
          <w:w w:val="120"/>
        </w:rPr>
        <w:t> </w:t>
      </w:r>
      <w:r>
        <w:rPr>
          <w:color w:val="231F20"/>
          <w:w w:val="120"/>
        </w:rPr>
        <w:t>quoti- diennes</w:t>
      </w:r>
      <w:r>
        <w:rPr>
          <w:color w:val="231F20"/>
          <w:spacing w:val="-13"/>
          <w:w w:val="120"/>
        </w:rPr>
        <w:t> </w:t>
      </w:r>
      <w:r>
        <w:rPr>
          <w:color w:val="231F20"/>
          <w:w w:val="120"/>
        </w:rPr>
        <w:t>déstressantes</w:t>
      </w:r>
      <w:r>
        <w:rPr>
          <w:color w:val="231F20"/>
          <w:spacing w:val="-13"/>
          <w:w w:val="120"/>
        </w:rPr>
        <w:t> </w:t>
      </w:r>
      <w:r>
        <w:rPr>
          <w:color w:val="231F20"/>
          <w:w w:val="120"/>
        </w:rPr>
        <w:t>telles</w:t>
      </w:r>
      <w:r>
        <w:rPr>
          <w:color w:val="231F20"/>
          <w:spacing w:val="-13"/>
          <w:w w:val="120"/>
        </w:rPr>
        <w:t> </w:t>
      </w:r>
      <w:r>
        <w:rPr>
          <w:color w:val="231F20"/>
          <w:w w:val="120"/>
        </w:rPr>
        <w:t>que</w:t>
      </w:r>
      <w:r>
        <w:rPr>
          <w:color w:val="231F20"/>
          <w:spacing w:val="-12"/>
          <w:w w:val="120"/>
        </w:rPr>
        <w:t> </w:t>
      </w:r>
      <w:r>
        <w:rPr>
          <w:color w:val="231F20"/>
          <w:w w:val="120"/>
        </w:rPr>
        <w:t>communiquer</w:t>
      </w:r>
      <w:r>
        <w:rPr>
          <w:color w:val="231F20"/>
          <w:spacing w:val="-13"/>
          <w:w w:val="120"/>
        </w:rPr>
        <w:t> </w:t>
      </w:r>
      <w:r>
        <w:rPr>
          <w:color w:val="231F20"/>
          <w:w w:val="120"/>
        </w:rPr>
        <w:t>avec</w:t>
      </w:r>
      <w:r>
        <w:rPr>
          <w:color w:val="231F20"/>
          <w:spacing w:val="-13"/>
          <w:w w:val="120"/>
        </w:rPr>
        <w:t> </w:t>
      </w:r>
      <w:r>
        <w:rPr>
          <w:color w:val="231F20"/>
          <w:w w:val="120"/>
        </w:rPr>
        <w:t>les</w:t>
      </w:r>
      <w:r>
        <w:rPr>
          <w:color w:val="231F20"/>
          <w:spacing w:val="-13"/>
          <w:w w:val="120"/>
        </w:rPr>
        <w:t> </w:t>
      </w:r>
      <w:r>
        <w:rPr>
          <w:color w:val="231F20"/>
          <w:w w:val="120"/>
        </w:rPr>
        <w:t>autres,</w:t>
      </w:r>
      <w:r>
        <w:rPr>
          <w:color w:val="231F20"/>
          <w:spacing w:val="-12"/>
          <w:w w:val="120"/>
        </w:rPr>
        <w:t> </w:t>
      </w:r>
      <w:r>
        <w:rPr>
          <w:color w:val="231F20"/>
          <w:w w:val="120"/>
        </w:rPr>
        <w:t>pratiquer un</w:t>
      </w:r>
      <w:r>
        <w:rPr>
          <w:color w:val="231F20"/>
          <w:spacing w:val="-13"/>
          <w:w w:val="120"/>
        </w:rPr>
        <w:t> </w:t>
      </w:r>
      <w:r>
        <w:rPr>
          <w:color w:val="231F20"/>
          <w:w w:val="120"/>
        </w:rPr>
        <w:t>sport</w:t>
      </w:r>
      <w:r>
        <w:rPr>
          <w:color w:val="231F20"/>
          <w:spacing w:val="-13"/>
          <w:w w:val="120"/>
        </w:rPr>
        <w:t> </w:t>
      </w:r>
      <w:r>
        <w:rPr>
          <w:color w:val="231F20"/>
          <w:w w:val="120"/>
        </w:rPr>
        <w:t>ou</w:t>
      </w:r>
      <w:r>
        <w:rPr>
          <w:color w:val="231F20"/>
          <w:spacing w:val="-13"/>
          <w:w w:val="120"/>
        </w:rPr>
        <w:t> </w:t>
      </w:r>
      <w:r>
        <w:rPr>
          <w:color w:val="231F20"/>
          <w:w w:val="120"/>
        </w:rPr>
        <w:t>fermer</w:t>
      </w:r>
      <w:r>
        <w:rPr>
          <w:color w:val="231F20"/>
          <w:spacing w:val="-12"/>
          <w:w w:val="120"/>
        </w:rPr>
        <w:t> </w:t>
      </w:r>
      <w:r>
        <w:rPr>
          <w:color w:val="231F20"/>
          <w:w w:val="120"/>
        </w:rPr>
        <w:t>leur</w:t>
      </w:r>
      <w:r>
        <w:rPr>
          <w:color w:val="231F20"/>
          <w:spacing w:val="-13"/>
          <w:w w:val="120"/>
        </w:rPr>
        <w:t> </w:t>
      </w:r>
      <w:r>
        <w:rPr>
          <w:color w:val="231F20"/>
          <w:w w:val="120"/>
        </w:rPr>
        <w:t>téléphone</w:t>
      </w:r>
      <w:r>
        <w:rPr>
          <w:color w:val="231F20"/>
          <w:spacing w:val="-13"/>
          <w:w w:val="120"/>
        </w:rPr>
        <w:t> </w:t>
      </w:r>
      <w:r>
        <w:rPr>
          <w:color w:val="231F20"/>
          <w:w w:val="120"/>
        </w:rPr>
        <w:t>cellulaire.</w:t>
      </w:r>
      <w:r>
        <w:rPr>
          <w:color w:val="231F20"/>
          <w:spacing w:val="-13"/>
          <w:w w:val="120"/>
        </w:rPr>
        <w:t> </w:t>
      </w:r>
      <w:r>
        <w:rPr>
          <w:color w:val="231F20"/>
          <w:w w:val="120"/>
        </w:rPr>
        <w:t>Il</w:t>
      </w:r>
      <w:r>
        <w:rPr>
          <w:color w:val="231F20"/>
          <w:spacing w:val="-12"/>
          <w:w w:val="120"/>
        </w:rPr>
        <w:t> </w:t>
      </w:r>
      <w:r>
        <w:rPr>
          <w:color w:val="231F20"/>
          <w:w w:val="120"/>
        </w:rPr>
        <w:t>existe</w:t>
      </w:r>
      <w:r>
        <w:rPr>
          <w:color w:val="231F20"/>
          <w:spacing w:val="-13"/>
          <w:w w:val="120"/>
        </w:rPr>
        <w:t> </w:t>
      </w:r>
      <w:r>
        <w:rPr>
          <w:color w:val="231F20"/>
          <w:w w:val="120"/>
        </w:rPr>
        <w:t>cependant</w:t>
      </w:r>
      <w:r>
        <w:rPr>
          <w:color w:val="231F20"/>
          <w:spacing w:val="-13"/>
          <w:w w:val="120"/>
        </w:rPr>
        <w:t> </w:t>
      </w:r>
      <w:r>
        <w:rPr>
          <w:color w:val="231F20"/>
          <w:w w:val="120"/>
        </w:rPr>
        <w:t>un</w:t>
      </w:r>
      <w:r>
        <w:rPr>
          <w:color w:val="231F20"/>
          <w:spacing w:val="-13"/>
          <w:w w:val="120"/>
        </w:rPr>
        <w:t> </w:t>
      </w:r>
      <w:r>
        <w:rPr>
          <w:color w:val="231F20"/>
          <w:w w:val="120"/>
        </w:rPr>
        <w:t>autre </w:t>
      </w:r>
      <w:r>
        <w:rPr>
          <w:color w:val="231F20"/>
          <w:spacing w:val="-2"/>
          <w:w w:val="120"/>
        </w:rPr>
        <w:t>profil</w:t>
      </w:r>
      <w:r>
        <w:rPr>
          <w:color w:val="231F20"/>
          <w:spacing w:val="-11"/>
          <w:w w:val="120"/>
        </w:rPr>
        <w:t> </w:t>
      </w:r>
      <w:r>
        <w:rPr>
          <w:color w:val="231F20"/>
          <w:spacing w:val="-2"/>
          <w:w w:val="120"/>
        </w:rPr>
        <w:t>de</w:t>
      </w:r>
      <w:r>
        <w:rPr>
          <w:color w:val="231F20"/>
          <w:spacing w:val="-11"/>
          <w:w w:val="120"/>
        </w:rPr>
        <w:t> </w:t>
      </w:r>
      <w:r>
        <w:rPr>
          <w:color w:val="231F20"/>
          <w:spacing w:val="-2"/>
          <w:w w:val="120"/>
        </w:rPr>
        <w:t>personnalité,</w:t>
      </w:r>
      <w:r>
        <w:rPr>
          <w:color w:val="231F20"/>
          <w:spacing w:val="-10"/>
          <w:w w:val="120"/>
        </w:rPr>
        <w:t> </w:t>
      </w:r>
      <w:r>
        <w:rPr>
          <w:color w:val="231F20"/>
          <w:spacing w:val="-2"/>
          <w:w w:val="120"/>
        </w:rPr>
        <w:t>par</w:t>
      </w:r>
      <w:r>
        <w:rPr>
          <w:color w:val="231F20"/>
          <w:spacing w:val="-11"/>
          <w:w w:val="120"/>
        </w:rPr>
        <w:t> </w:t>
      </w:r>
      <w:r>
        <w:rPr>
          <w:color w:val="231F20"/>
          <w:spacing w:val="-2"/>
          <w:w w:val="120"/>
        </w:rPr>
        <w:t>lequel</w:t>
      </w:r>
      <w:r>
        <w:rPr>
          <w:color w:val="231F20"/>
          <w:spacing w:val="-11"/>
          <w:w w:val="120"/>
        </w:rPr>
        <w:t> </w:t>
      </w:r>
      <w:r>
        <w:rPr>
          <w:color w:val="231F20"/>
          <w:spacing w:val="-2"/>
          <w:w w:val="120"/>
        </w:rPr>
        <w:t>la</w:t>
      </w:r>
      <w:r>
        <w:rPr>
          <w:color w:val="231F20"/>
          <w:spacing w:val="-10"/>
          <w:w w:val="120"/>
        </w:rPr>
        <w:t> </w:t>
      </w:r>
      <w:r>
        <w:rPr>
          <w:color w:val="231F20"/>
          <w:spacing w:val="-2"/>
          <w:w w:val="120"/>
        </w:rPr>
        <w:t>personne</w:t>
      </w:r>
      <w:r>
        <w:rPr>
          <w:color w:val="231F20"/>
          <w:spacing w:val="-11"/>
          <w:w w:val="120"/>
        </w:rPr>
        <w:t> </w:t>
      </w:r>
      <w:r>
        <w:rPr>
          <w:color w:val="231F20"/>
          <w:spacing w:val="-2"/>
          <w:w w:val="120"/>
        </w:rPr>
        <w:t>arrive</w:t>
      </w:r>
      <w:r>
        <w:rPr>
          <w:color w:val="231F20"/>
          <w:spacing w:val="-11"/>
          <w:w w:val="120"/>
        </w:rPr>
        <w:t> </w:t>
      </w:r>
      <w:r>
        <w:rPr>
          <w:color w:val="231F20"/>
          <w:spacing w:val="-2"/>
          <w:w w:val="120"/>
        </w:rPr>
        <w:t>à</w:t>
      </w:r>
      <w:r>
        <w:rPr>
          <w:color w:val="231F20"/>
          <w:spacing w:val="-10"/>
          <w:w w:val="120"/>
        </w:rPr>
        <w:t> </w:t>
      </w:r>
      <w:r>
        <w:rPr>
          <w:color w:val="231F20"/>
          <w:spacing w:val="-2"/>
          <w:w w:val="120"/>
        </w:rPr>
        <w:t>vivre</w:t>
      </w:r>
      <w:r>
        <w:rPr>
          <w:color w:val="231F20"/>
          <w:spacing w:val="-11"/>
          <w:w w:val="120"/>
        </w:rPr>
        <w:t> </w:t>
      </w:r>
      <w:r>
        <w:rPr>
          <w:color w:val="231F20"/>
          <w:spacing w:val="-2"/>
          <w:w w:val="120"/>
        </w:rPr>
        <w:t>heureuse</w:t>
      </w:r>
      <w:r>
        <w:rPr>
          <w:color w:val="231F20"/>
          <w:spacing w:val="-11"/>
          <w:w w:val="120"/>
        </w:rPr>
        <w:t> </w:t>
      </w:r>
      <w:r>
        <w:rPr>
          <w:color w:val="231F20"/>
          <w:spacing w:val="-2"/>
          <w:w w:val="120"/>
        </w:rPr>
        <w:t>sans </w:t>
      </w:r>
      <w:r>
        <w:rPr>
          <w:color w:val="231F20"/>
          <w:w w:val="120"/>
        </w:rPr>
        <w:t>chercher</w:t>
      </w:r>
      <w:r>
        <w:rPr>
          <w:color w:val="231F20"/>
          <w:spacing w:val="-8"/>
          <w:w w:val="120"/>
        </w:rPr>
        <w:t> </w:t>
      </w:r>
      <w:r>
        <w:rPr>
          <w:color w:val="231F20"/>
          <w:w w:val="120"/>
        </w:rPr>
        <w:t>à contrôler son environnement. Qui subira le plus de stress</w:t>
      </w:r>
      <w:r>
        <w:rPr>
          <w:color w:val="231F20"/>
          <w:spacing w:val="-13"/>
          <w:w w:val="120"/>
        </w:rPr>
        <w:t> </w:t>
      </w:r>
      <w:r>
        <w:rPr>
          <w:color w:val="231F20"/>
          <w:w w:val="120"/>
        </w:rPr>
        <w:t>? </w:t>
      </w:r>
      <w:r>
        <w:rPr>
          <w:color w:val="231F20"/>
          <w:w w:val="115"/>
        </w:rPr>
        <w:t>Selon</w:t>
      </w:r>
      <w:r>
        <w:rPr>
          <w:color w:val="231F20"/>
          <w:spacing w:val="-13"/>
          <w:w w:val="115"/>
        </w:rPr>
        <w:t> </w:t>
      </w:r>
      <w:r>
        <w:rPr>
          <w:color w:val="231F20"/>
          <w:w w:val="115"/>
        </w:rPr>
        <w:t>toute</w:t>
      </w:r>
      <w:r>
        <w:rPr>
          <w:color w:val="231F20"/>
          <w:spacing w:val="-12"/>
          <w:w w:val="115"/>
        </w:rPr>
        <w:t> </w:t>
      </w:r>
      <w:r>
        <w:rPr>
          <w:color w:val="231F20"/>
          <w:w w:val="115"/>
        </w:rPr>
        <w:t>probabilité,</w:t>
      </w:r>
      <w:r>
        <w:rPr>
          <w:color w:val="231F20"/>
          <w:spacing w:val="-12"/>
          <w:w w:val="115"/>
        </w:rPr>
        <w:t> </w:t>
      </w:r>
      <w:r>
        <w:rPr>
          <w:color w:val="231F20"/>
          <w:w w:val="115"/>
        </w:rPr>
        <w:t>c’est</w:t>
      </w:r>
      <w:r>
        <w:rPr>
          <w:color w:val="231F20"/>
          <w:spacing w:val="-12"/>
          <w:w w:val="115"/>
        </w:rPr>
        <w:t> </w:t>
      </w:r>
      <w:r>
        <w:rPr>
          <w:color w:val="231F20"/>
          <w:w w:val="115"/>
        </w:rPr>
        <w:t>la</w:t>
      </w:r>
      <w:r>
        <w:rPr>
          <w:color w:val="231F20"/>
          <w:spacing w:val="-13"/>
          <w:w w:val="115"/>
        </w:rPr>
        <w:t> </w:t>
      </w:r>
      <w:r>
        <w:rPr>
          <w:color w:val="231F20"/>
          <w:w w:val="115"/>
        </w:rPr>
        <w:t>personne</w:t>
      </w:r>
      <w:r>
        <w:rPr>
          <w:color w:val="231F20"/>
          <w:spacing w:val="-12"/>
          <w:w w:val="115"/>
        </w:rPr>
        <w:t> </w:t>
      </w:r>
      <w:r>
        <w:rPr>
          <w:color w:val="231F20"/>
          <w:w w:val="115"/>
        </w:rPr>
        <w:t>qui</w:t>
      </w:r>
      <w:r>
        <w:rPr>
          <w:color w:val="231F20"/>
          <w:spacing w:val="-12"/>
          <w:w w:val="115"/>
        </w:rPr>
        <w:t> </w:t>
      </w:r>
      <w:r>
        <w:rPr>
          <w:color w:val="231F20"/>
          <w:w w:val="115"/>
        </w:rPr>
        <w:t>correspond</w:t>
      </w:r>
      <w:r>
        <w:rPr>
          <w:color w:val="231F20"/>
          <w:spacing w:val="-12"/>
          <w:w w:val="115"/>
        </w:rPr>
        <w:t> </w:t>
      </w:r>
      <w:r>
        <w:rPr>
          <w:color w:val="231F20"/>
          <w:w w:val="115"/>
        </w:rPr>
        <w:t>le</w:t>
      </w:r>
      <w:r>
        <w:rPr>
          <w:color w:val="231F20"/>
          <w:spacing w:val="-12"/>
          <w:w w:val="115"/>
        </w:rPr>
        <w:t> </w:t>
      </w:r>
      <w:r>
        <w:rPr>
          <w:color w:val="231F20"/>
          <w:w w:val="115"/>
        </w:rPr>
        <w:t>plus</w:t>
      </w:r>
      <w:r>
        <w:rPr>
          <w:color w:val="231F20"/>
          <w:spacing w:val="-13"/>
          <w:w w:val="115"/>
        </w:rPr>
        <w:t> </w:t>
      </w:r>
      <w:r>
        <w:rPr>
          <w:color w:val="231F20"/>
          <w:w w:val="115"/>
        </w:rPr>
        <w:t>au</w:t>
      </w:r>
      <w:r>
        <w:rPr>
          <w:color w:val="231F20"/>
          <w:spacing w:val="-12"/>
          <w:w w:val="115"/>
        </w:rPr>
        <w:t> </w:t>
      </w:r>
      <w:r>
        <w:rPr>
          <w:color w:val="231F20"/>
          <w:w w:val="115"/>
        </w:rPr>
        <w:t>premier </w:t>
      </w:r>
      <w:r>
        <w:rPr>
          <w:color w:val="231F20"/>
          <w:w w:val="120"/>
        </w:rPr>
        <w:t>de ces deux profils.</w:t>
      </w:r>
    </w:p>
    <w:p>
      <w:pPr>
        <w:pStyle w:val="BodyText"/>
        <w:spacing w:line="307" w:lineRule="auto" w:before="79"/>
        <w:ind w:left="830" w:right="493" w:firstLine="250"/>
        <w:jc w:val="both"/>
      </w:pPr>
      <w:r>
        <w:rPr>
          <w:color w:val="231F20"/>
          <w:w w:val="120"/>
        </w:rPr>
        <w:t>Tout</w:t>
      </w:r>
      <w:r>
        <w:rPr>
          <w:color w:val="231F20"/>
          <w:spacing w:val="-15"/>
          <w:w w:val="120"/>
        </w:rPr>
        <w:t> </w:t>
      </w:r>
      <w:r>
        <w:rPr>
          <w:color w:val="231F20"/>
          <w:w w:val="120"/>
        </w:rPr>
        <w:t>le</w:t>
      </w:r>
      <w:r>
        <w:rPr>
          <w:color w:val="231F20"/>
          <w:spacing w:val="-13"/>
          <w:w w:val="120"/>
        </w:rPr>
        <w:t> </w:t>
      </w:r>
      <w:r>
        <w:rPr>
          <w:color w:val="231F20"/>
          <w:w w:val="120"/>
        </w:rPr>
        <w:t>monde</w:t>
      </w:r>
      <w:r>
        <w:rPr>
          <w:color w:val="231F20"/>
          <w:spacing w:val="-13"/>
          <w:w w:val="120"/>
        </w:rPr>
        <w:t> </w:t>
      </w:r>
      <w:r>
        <w:rPr>
          <w:color w:val="231F20"/>
          <w:w w:val="120"/>
        </w:rPr>
        <w:t>ne</w:t>
      </w:r>
      <w:r>
        <w:rPr>
          <w:color w:val="231F20"/>
          <w:spacing w:val="-12"/>
          <w:w w:val="120"/>
        </w:rPr>
        <w:t> </w:t>
      </w:r>
      <w:r>
        <w:rPr>
          <w:color w:val="231F20"/>
          <w:w w:val="120"/>
        </w:rPr>
        <w:t>ressent</w:t>
      </w:r>
      <w:r>
        <w:rPr>
          <w:color w:val="231F20"/>
          <w:spacing w:val="-13"/>
          <w:w w:val="120"/>
        </w:rPr>
        <w:t> </w:t>
      </w:r>
      <w:r>
        <w:rPr>
          <w:color w:val="231F20"/>
          <w:w w:val="120"/>
        </w:rPr>
        <w:t>pas</w:t>
      </w:r>
      <w:r>
        <w:rPr>
          <w:color w:val="231F20"/>
          <w:spacing w:val="-13"/>
          <w:w w:val="120"/>
        </w:rPr>
        <w:t> </w:t>
      </w:r>
      <w:r>
        <w:rPr>
          <w:color w:val="231F20"/>
          <w:w w:val="120"/>
        </w:rPr>
        <w:t>le</w:t>
      </w:r>
      <w:r>
        <w:rPr>
          <w:color w:val="231F20"/>
          <w:spacing w:val="-13"/>
          <w:w w:val="120"/>
        </w:rPr>
        <w:t> </w:t>
      </w:r>
      <w:r>
        <w:rPr>
          <w:color w:val="231F20"/>
          <w:w w:val="120"/>
        </w:rPr>
        <w:t>même</w:t>
      </w:r>
      <w:r>
        <w:rPr>
          <w:color w:val="231F20"/>
          <w:spacing w:val="-12"/>
          <w:w w:val="120"/>
        </w:rPr>
        <w:t> </w:t>
      </w:r>
      <w:r>
        <w:rPr>
          <w:color w:val="231F20"/>
          <w:w w:val="120"/>
        </w:rPr>
        <w:t>besoin</w:t>
      </w:r>
      <w:r>
        <w:rPr>
          <w:color w:val="231F20"/>
          <w:spacing w:val="-13"/>
          <w:w w:val="120"/>
        </w:rPr>
        <w:t> </w:t>
      </w:r>
      <w:r>
        <w:rPr>
          <w:color w:val="231F20"/>
          <w:w w:val="120"/>
        </w:rPr>
        <w:t>de</w:t>
      </w:r>
      <w:r>
        <w:rPr>
          <w:color w:val="231F20"/>
          <w:spacing w:val="-13"/>
          <w:w w:val="120"/>
        </w:rPr>
        <w:t> </w:t>
      </w:r>
      <w:r>
        <w:rPr>
          <w:color w:val="231F20"/>
          <w:w w:val="120"/>
        </w:rPr>
        <w:t>contrôler</w:t>
      </w:r>
      <w:r>
        <w:rPr>
          <w:color w:val="231F20"/>
          <w:spacing w:val="-13"/>
          <w:w w:val="120"/>
        </w:rPr>
        <w:t> </w:t>
      </w:r>
      <w:r>
        <w:rPr>
          <w:color w:val="231F20"/>
          <w:w w:val="120"/>
        </w:rPr>
        <w:t>son</w:t>
      </w:r>
      <w:r>
        <w:rPr>
          <w:color w:val="231F20"/>
          <w:spacing w:val="-12"/>
          <w:w w:val="120"/>
        </w:rPr>
        <w:t> </w:t>
      </w:r>
      <w:r>
        <w:rPr>
          <w:color w:val="231F20"/>
          <w:w w:val="120"/>
        </w:rPr>
        <w:t>entou- </w:t>
      </w:r>
      <w:r>
        <w:rPr>
          <w:color w:val="231F20"/>
          <w:w w:val="115"/>
        </w:rPr>
        <w:t>rage</w:t>
      </w:r>
      <w:r>
        <w:rPr>
          <w:color w:val="231F20"/>
          <w:spacing w:val="-8"/>
          <w:w w:val="115"/>
        </w:rPr>
        <w:t> </w:t>
      </w:r>
      <w:r>
        <w:rPr>
          <w:color w:val="231F20"/>
          <w:w w:val="115"/>
        </w:rPr>
        <w:t>et</w:t>
      </w:r>
      <w:r>
        <w:rPr>
          <w:color w:val="231F20"/>
          <w:spacing w:val="-8"/>
          <w:w w:val="115"/>
        </w:rPr>
        <w:t> </w:t>
      </w:r>
      <w:r>
        <w:rPr>
          <w:color w:val="231F20"/>
          <w:w w:val="115"/>
        </w:rPr>
        <w:t>de</w:t>
      </w:r>
      <w:r>
        <w:rPr>
          <w:color w:val="231F20"/>
          <w:spacing w:val="-8"/>
          <w:w w:val="115"/>
        </w:rPr>
        <w:t> </w:t>
      </w:r>
      <w:r>
        <w:rPr>
          <w:color w:val="231F20"/>
          <w:w w:val="115"/>
        </w:rPr>
        <w:t>se</w:t>
      </w:r>
      <w:r>
        <w:rPr>
          <w:color w:val="231F20"/>
          <w:spacing w:val="-8"/>
          <w:w w:val="115"/>
        </w:rPr>
        <w:t> </w:t>
      </w:r>
      <w:r>
        <w:rPr>
          <w:color w:val="231F20"/>
          <w:w w:val="115"/>
        </w:rPr>
        <w:t>contrôler</w:t>
      </w:r>
      <w:r>
        <w:rPr>
          <w:color w:val="231F20"/>
          <w:spacing w:val="-8"/>
          <w:w w:val="115"/>
        </w:rPr>
        <w:t> </w:t>
      </w:r>
      <w:r>
        <w:rPr>
          <w:color w:val="231F20"/>
          <w:w w:val="115"/>
        </w:rPr>
        <w:t>soi-même.</w:t>
      </w:r>
      <w:r>
        <w:rPr>
          <w:color w:val="231F20"/>
          <w:spacing w:val="-8"/>
          <w:w w:val="115"/>
        </w:rPr>
        <w:t> </w:t>
      </w:r>
      <w:r>
        <w:rPr>
          <w:color w:val="231F20"/>
          <w:w w:val="115"/>
        </w:rPr>
        <w:t>Rotter5</w:t>
      </w:r>
      <w:r>
        <w:rPr>
          <w:color w:val="231F20"/>
          <w:spacing w:val="-8"/>
          <w:w w:val="115"/>
        </w:rPr>
        <w:t> </w:t>
      </w:r>
      <w:r>
        <w:rPr>
          <w:color w:val="231F20"/>
          <w:w w:val="115"/>
        </w:rPr>
        <w:t>a</w:t>
      </w:r>
      <w:r>
        <w:rPr>
          <w:color w:val="231F20"/>
          <w:spacing w:val="-8"/>
          <w:w w:val="115"/>
        </w:rPr>
        <w:t> </w:t>
      </w:r>
      <w:r>
        <w:rPr>
          <w:color w:val="231F20"/>
          <w:w w:val="115"/>
        </w:rPr>
        <w:t>formulé</w:t>
      </w:r>
      <w:r>
        <w:rPr>
          <w:color w:val="231F20"/>
          <w:spacing w:val="-8"/>
          <w:w w:val="115"/>
        </w:rPr>
        <w:t> </w:t>
      </w:r>
      <w:r>
        <w:rPr>
          <w:color w:val="231F20"/>
          <w:w w:val="115"/>
        </w:rPr>
        <w:t>le</w:t>
      </w:r>
      <w:r>
        <w:rPr>
          <w:color w:val="231F20"/>
          <w:spacing w:val="-8"/>
          <w:w w:val="115"/>
        </w:rPr>
        <w:t> </w:t>
      </w:r>
      <w:r>
        <w:rPr>
          <w:color w:val="231F20"/>
          <w:w w:val="115"/>
        </w:rPr>
        <w:t>concept</w:t>
      </w:r>
      <w:r>
        <w:rPr>
          <w:color w:val="231F20"/>
          <w:spacing w:val="-8"/>
          <w:w w:val="115"/>
        </w:rPr>
        <w:t> </w:t>
      </w:r>
      <w:r>
        <w:rPr>
          <w:color w:val="231F20"/>
          <w:w w:val="115"/>
        </w:rPr>
        <w:t>de</w:t>
      </w:r>
      <w:r>
        <w:rPr>
          <w:color w:val="231F20"/>
          <w:spacing w:val="-8"/>
          <w:w w:val="115"/>
        </w:rPr>
        <w:t> </w:t>
      </w:r>
      <w:r>
        <w:rPr>
          <w:i/>
          <w:color w:val="231F20"/>
          <w:w w:val="115"/>
        </w:rPr>
        <w:t>locus</w:t>
      </w:r>
      <w:r>
        <w:rPr>
          <w:i/>
          <w:color w:val="231F20"/>
          <w:spacing w:val="-8"/>
          <w:w w:val="115"/>
        </w:rPr>
        <w:t> </w:t>
      </w:r>
      <w:r>
        <w:rPr>
          <w:i/>
          <w:color w:val="231F20"/>
          <w:w w:val="115"/>
        </w:rPr>
        <w:t>de </w:t>
      </w:r>
      <w:r>
        <w:rPr>
          <w:i/>
          <w:color w:val="231F20"/>
          <w:spacing w:val="-4"/>
          <w:w w:val="120"/>
        </w:rPr>
        <w:t>contrôle</w:t>
      </w:r>
      <w:r>
        <w:rPr>
          <w:i/>
          <w:color w:val="231F20"/>
          <w:spacing w:val="-6"/>
          <w:w w:val="120"/>
        </w:rPr>
        <w:t> </w:t>
      </w:r>
      <w:r>
        <w:rPr>
          <w:color w:val="231F20"/>
          <w:spacing w:val="-4"/>
          <w:w w:val="120"/>
        </w:rPr>
        <w:t>(interne</w:t>
      </w:r>
      <w:r>
        <w:rPr>
          <w:color w:val="231F20"/>
          <w:spacing w:val="-6"/>
          <w:w w:val="120"/>
        </w:rPr>
        <w:t> </w:t>
      </w:r>
      <w:r>
        <w:rPr>
          <w:i/>
          <w:color w:val="231F20"/>
          <w:spacing w:val="-4"/>
          <w:w w:val="120"/>
        </w:rPr>
        <w:t>vs</w:t>
      </w:r>
      <w:r>
        <w:rPr>
          <w:i/>
          <w:color w:val="231F20"/>
          <w:spacing w:val="-6"/>
          <w:w w:val="120"/>
        </w:rPr>
        <w:t> </w:t>
      </w:r>
      <w:r>
        <w:rPr>
          <w:color w:val="231F20"/>
          <w:spacing w:val="-4"/>
          <w:w w:val="120"/>
        </w:rPr>
        <w:t>externe),</w:t>
      </w:r>
      <w:r>
        <w:rPr>
          <w:color w:val="231F20"/>
          <w:spacing w:val="-6"/>
          <w:w w:val="120"/>
        </w:rPr>
        <w:t> </w:t>
      </w:r>
      <w:r>
        <w:rPr>
          <w:color w:val="231F20"/>
          <w:spacing w:val="-4"/>
          <w:w w:val="120"/>
        </w:rPr>
        <w:t>que</w:t>
      </w:r>
      <w:r>
        <w:rPr>
          <w:color w:val="231F20"/>
          <w:spacing w:val="-6"/>
          <w:w w:val="120"/>
        </w:rPr>
        <w:t> </w:t>
      </w:r>
      <w:r>
        <w:rPr>
          <w:color w:val="231F20"/>
          <w:spacing w:val="-4"/>
          <w:w w:val="120"/>
        </w:rPr>
        <w:t>nous</w:t>
      </w:r>
      <w:r>
        <w:rPr>
          <w:color w:val="231F20"/>
          <w:spacing w:val="-6"/>
          <w:w w:val="120"/>
        </w:rPr>
        <w:t> </w:t>
      </w:r>
      <w:r>
        <w:rPr>
          <w:color w:val="231F20"/>
          <w:spacing w:val="-4"/>
          <w:w w:val="120"/>
        </w:rPr>
        <w:t>avons</w:t>
      </w:r>
      <w:r>
        <w:rPr>
          <w:color w:val="231F20"/>
          <w:spacing w:val="-6"/>
          <w:w w:val="120"/>
        </w:rPr>
        <w:t> </w:t>
      </w:r>
      <w:r>
        <w:rPr>
          <w:color w:val="231F20"/>
          <w:spacing w:val="-4"/>
          <w:w w:val="120"/>
        </w:rPr>
        <w:t>discuté</w:t>
      </w:r>
      <w:r>
        <w:rPr>
          <w:color w:val="231F20"/>
          <w:spacing w:val="-6"/>
          <w:w w:val="120"/>
        </w:rPr>
        <w:t> </w:t>
      </w:r>
      <w:r>
        <w:rPr>
          <w:color w:val="231F20"/>
          <w:spacing w:val="-4"/>
          <w:w w:val="120"/>
        </w:rPr>
        <w:t>précédemment,</w:t>
      </w:r>
      <w:r>
        <w:rPr>
          <w:color w:val="231F20"/>
          <w:spacing w:val="-6"/>
          <w:w w:val="120"/>
        </w:rPr>
        <w:t> </w:t>
      </w:r>
      <w:r>
        <w:rPr>
          <w:color w:val="231F20"/>
          <w:spacing w:val="-4"/>
          <w:w w:val="120"/>
        </w:rPr>
        <w:t>pour </w:t>
      </w:r>
      <w:r>
        <w:rPr>
          <w:color w:val="231F20"/>
          <w:w w:val="120"/>
        </w:rPr>
        <w:t>décrire cette quête de contrôle. L’individu qui a un locus de contrôle </w:t>
      </w:r>
      <w:r>
        <w:rPr>
          <w:color w:val="231F20"/>
          <w:w w:val="115"/>
        </w:rPr>
        <w:t>interne</w:t>
      </w:r>
      <w:r>
        <w:rPr>
          <w:color w:val="231F20"/>
          <w:spacing w:val="-6"/>
          <w:w w:val="115"/>
        </w:rPr>
        <w:t> </w:t>
      </w:r>
      <w:r>
        <w:rPr>
          <w:color w:val="231F20"/>
          <w:w w:val="115"/>
        </w:rPr>
        <w:t>tend</w:t>
      </w:r>
      <w:r>
        <w:rPr>
          <w:color w:val="231F20"/>
          <w:spacing w:val="-6"/>
          <w:w w:val="115"/>
        </w:rPr>
        <w:t> </w:t>
      </w:r>
      <w:r>
        <w:rPr>
          <w:color w:val="231F20"/>
          <w:w w:val="115"/>
        </w:rPr>
        <w:t>à</w:t>
      </w:r>
      <w:r>
        <w:rPr>
          <w:color w:val="231F20"/>
          <w:spacing w:val="-6"/>
          <w:w w:val="115"/>
        </w:rPr>
        <w:t> </w:t>
      </w:r>
      <w:r>
        <w:rPr>
          <w:color w:val="231F20"/>
          <w:w w:val="115"/>
        </w:rPr>
        <w:t>toujours</w:t>
      </w:r>
      <w:r>
        <w:rPr>
          <w:color w:val="231F20"/>
          <w:spacing w:val="-6"/>
          <w:w w:val="115"/>
        </w:rPr>
        <w:t> </w:t>
      </w:r>
      <w:r>
        <w:rPr>
          <w:color w:val="231F20"/>
          <w:w w:val="115"/>
        </w:rPr>
        <w:t>vouloir</w:t>
      </w:r>
      <w:r>
        <w:rPr>
          <w:color w:val="231F20"/>
          <w:spacing w:val="-6"/>
          <w:w w:val="115"/>
        </w:rPr>
        <w:t> </w:t>
      </w:r>
      <w:r>
        <w:rPr>
          <w:color w:val="231F20"/>
          <w:w w:val="115"/>
        </w:rPr>
        <w:t>dominer</w:t>
      </w:r>
      <w:r>
        <w:rPr>
          <w:color w:val="231F20"/>
          <w:spacing w:val="-6"/>
          <w:w w:val="115"/>
        </w:rPr>
        <w:t> </w:t>
      </w:r>
      <w:r>
        <w:rPr>
          <w:color w:val="231F20"/>
          <w:w w:val="115"/>
        </w:rPr>
        <w:t>la</w:t>
      </w:r>
      <w:r>
        <w:rPr>
          <w:color w:val="231F20"/>
          <w:spacing w:val="-6"/>
          <w:w w:val="115"/>
        </w:rPr>
        <w:t> </w:t>
      </w:r>
      <w:r>
        <w:rPr>
          <w:color w:val="231F20"/>
          <w:w w:val="115"/>
        </w:rPr>
        <w:t>situation</w:t>
      </w:r>
      <w:r>
        <w:rPr>
          <w:color w:val="231F20"/>
          <w:spacing w:val="-6"/>
          <w:w w:val="115"/>
        </w:rPr>
        <w:t> </w:t>
      </w:r>
      <w:r>
        <w:rPr>
          <w:color w:val="231F20"/>
          <w:w w:val="115"/>
        </w:rPr>
        <w:t>qu’il</w:t>
      </w:r>
      <w:r>
        <w:rPr>
          <w:color w:val="231F20"/>
          <w:spacing w:val="-6"/>
          <w:w w:val="115"/>
        </w:rPr>
        <w:t> </w:t>
      </w:r>
      <w:r>
        <w:rPr>
          <w:color w:val="231F20"/>
          <w:w w:val="115"/>
        </w:rPr>
        <w:t>affronte</w:t>
      </w:r>
      <w:r>
        <w:rPr>
          <w:color w:val="231F20"/>
          <w:spacing w:val="-6"/>
          <w:w w:val="115"/>
        </w:rPr>
        <w:t> </w:t>
      </w:r>
      <w:r>
        <w:rPr>
          <w:color w:val="231F20"/>
          <w:w w:val="115"/>
        </w:rPr>
        <w:t>et</w:t>
      </w:r>
      <w:r>
        <w:rPr>
          <w:color w:val="231F20"/>
          <w:spacing w:val="-6"/>
          <w:w w:val="115"/>
        </w:rPr>
        <w:t> </w:t>
      </w:r>
      <w:r>
        <w:rPr>
          <w:color w:val="231F20"/>
          <w:w w:val="115"/>
        </w:rPr>
        <w:t>consi- </w:t>
      </w:r>
      <w:r>
        <w:rPr>
          <w:color w:val="231F20"/>
          <w:w w:val="120"/>
        </w:rPr>
        <w:t>dère</w:t>
      </w:r>
      <w:r>
        <w:rPr>
          <w:color w:val="231F20"/>
          <w:spacing w:val="-5"/>
          <w:w w:val="120"/>
        </w:rPr>
        <w:t> </w:t>
      </w:r>
      <w:r>
        <w:rPr>
          <w:color w:val="231F20"/>
          <w:w w:val="120"/>
        </w:rPr>
        <w:t>que</w:t>
      </w:r>
      <w:r>
        <w:rPr>
          <w:color w:val="231F20"/>
          <w:spacing w:val="-5"/>
          <w:w w:val="120"/>
        </w:rPr>
        <w:t> </w:t>
      </w:r>
      <w:r>
        <w:rPr>
          <w:color w:val="231F20"/>
          <w:w w:val="120"/>
        </w:rPr>
        <w:t>cette</w:t>
      </w:r>
      <w:r>
        <w:rPr>
          <w:color w:val="231F20"/>
          <w:spacing w:val="-5"/>
          <w:w w:val="120"/>
        </w:rPr>
        <w:t> </w:t>
      </w:r>
      <w:r>
        <w:rPr>
          <w:color w:val="231F20"/>
          <w:w w:val="120"/>
        </w:rPr>
        <w:t>situation</w:t>
      </w:r>
      <w:r>
        <w:rPr>
          <w:color w:val="231F20"/>
          <w:spacing w:val="-5"/>
          <w:w w:val="120"/>
        </w:rPr>
        <w:t> </w:t>
      </w:r>
      <w:r>
        <w:rPr>
          <w:color w:val="231F20"/>
          <w:w w:val="120"/>
        </w:rPr>
        <w:t>dépend</w:t>
      </w:r>
      <w:r>
        <w:rPr>
          <w:color w:val="231F20"/>
          <w:spacing w:val="-5"/>
          <w:w w:val="120"/>
        </w:rPr>
        <w:t> </w:t>
      </w:r>
      <w:r>
        <w:rPr>
          <w:color w:val="231F20"/>
          <w:w w:val="120"/>
        </w:rPr>
        <w:t>des</w:t>
      </w:r>
      <w:r>
        <w:rPr>
          <w:color w:val="231F20"/>
          <w:spacing w:val="-5"/>
          <w:w w:val="120"/>
        </w:rPr>
        <w:t> </w:t>
      </w:r>
      <w:r>
        <w:rPr>
          <w:color w:val="231F20"/>
          <w:w w:val="120"/>
        </w:rPr>
        <w:t>décisions,</w:t>
      </w:r>
      <w:r>
        <w:rPr>
          <w:color w:val="231F20"/>
          <w:spacing w:val="-5"/>
          <w:w w:val="120"/>
        </w:rPr>
        <w:t> </w:t>
      </w:r>
      <w:r>
        <w:rPr>
          <w:color w:val="231F20"/>
          <w:w w:val="120"/>
        </w:rPr>
        <w:t>des</w:t>
      </w:r>
      <w:r>
        <w:rPr>
          <w:color w:val="231F20"/>
          <w:spacing w:val="-5"/>
          <w:w w:val="120"/>
        </w:rPr>
        <w:t> </w:t>
      </w:r>
      <w:r>
        <w:rPr>
          <w:color w:val="231F20"/>
          <w:w w:val="120"/>
        </w:rPr>
        <w:t>attitudes</w:t>
      </w:r>
      <w:r>
        <w:rPr>
          <w:color w:val="231F20"/>
          <w:spacing w:val="-5"/>
          <w:w w:val="120"/>
        </w:rPr>
        <w:t> </w:t>
      </w:r>
      <w:r>
        <w:rPr>
          <w:color w:val="231F20"/>
          <w:w w:val="120"/>
        </w:rPr>
        <w:t>et</w:t>
      </w:r>
      <w:r>
        <w:rPr>
          <w:color w:val="231F20"/>
          <w:spacing w:val="-5"/>
          <w:w w:val="120"/>
        </w:rPr>
        <w:t> </w:t>
      </w:r>
      <w:r>
        <w:rPr>
          <w:color w:val="231F20"/>
          <w:w w:val="120"/>
        </w:rPr>
        <w:t>des</w:t>
      </w:r>
      <w:r>
        <w:rPr>
          <w:color w:val="231F20"/>
          <w:spacing w:val="-5"/>
          <w:w w:val="120"/>
        </w:rPr>
        <w:t> </w:t>
      </w:r>
      <w:r>
        <w:rPr>
          <w:color w:val="231F20"/>
          <w:w w:val="120"/>
        </w:rPr>
        <w:t>com- </w:t>
      </w:r>
      <w:r>
        <w:rPr>
          <w:color w:val="231F20"/>
          <w:spacing w:val="-2"/>
          <w:w w:val="120"/>
        </w:rPr>
        <w:t>portements</w:t>
      </w:r>
      <w:r>
        <w:rPr>
          <w:color w:val="231F20"/>
          <w:spacing w:val="-9"/>
          <w:w w:val="120"/>
        </w:rPr>
        <w:t> </w:t>
      </w:r>
      <w:r>
        <w:rPr>
          <w:color w:val="231F20"/>
          <w:spacing w:val="-2"/>
          <w:w w:val="120"/>
        </w:rPr>
        <w:t>qu’il</w:t>
      </w:r>
      <w:r>
        <w:rPr>
          <w:color w:val="231F20"/>
          <w:spacing w:val="-9"/>
          <w:w w:val="120"/>
        </w:rPr>
        <w:t> </w:t>
      </w:r>
      <w:r>
        <w:rPr>
          <w:color w:val="231F20"/>
          <w:spacing w:val="-2"/>
          <w:w w:val="120"/>
        </w:rPr>
        <w:t>adopte.</w:t>
      </w:r>
      <w:r>
        <w:rPr>
          <w:color w:val="231F20"/>
          <w:spacing w:val="-9"/>
          <w:w w:val="120"/>
        </w:rPr>
        <w:t> </w:t>
      </w:r>
      <w:r>
        <w:rPr>
          <w:color w:val="231F20"/>
          <w:spacing w:val="-2"/>
          <w:w w:val="120"/>
        </w:rPr>
        <w:t>En</w:t>
      </w:r>
      <w:r>
        <w:rPr>
          <w:color w:val="231F20"/>
          <w:spacing w:val="-9"/>
          <w:w w:val="120"/>
        </w:rPr>
        <w:t> </w:t>
      </w:r>
      <w:r>
        <w:rPr>
          <w:color w:val="231F20"/>
          <w:spacing w:val="-2"/>
          <w:w w:val="120"/>
        </w:rPr>
        <w:t>revanche,</w:t>
      </w:r>
      <w:r>
        <w:rPr>
          <w:color w:val="231F20"/>
          <w:spacing w:val="-9"/>
          <w:w w:val="120"/>
        </w:rPr>
        <w:t> </w:t>
      </w:r>
      <w:r>
        <w:rPr>
          <w:color w:val="231F20"/>
          <w:spacing w:val="-2"/>
          <w:w w:val="120"/>
        </w:rPr>
        <w:t>la</w:t>
      </w:r>
      <w:r>
        <w:rPr>
          <w:color w:val="231F20"/>
          <w:spacing w:val="-9"/>
          <w:w w:val="120"/>
        </w:rPr>
        <w:t> </w:t>
      </w:r>
      <w:r>
        <w:rPr>
          <w:color w:val="231F20"/>
          <w:spacing w:val="-2"/>
          <w:w w:val="120"/>
        </w:rPr>
        <w:t>personne</w:t>
      </w:r>
      <w:r>
        <w:rPr>
          <w:color w:val="231F20"/>
          <w:spacing w:val="-9"/>
          <w:w w:val="120"/>
        </w:rPr>
        <w:t> </w:t>
      </w:r>
      <w:r>
        <w:rPr>
          <w:color w:val="231F20"/>
          <w:spacing w:val="-2"/>
          <w:w w:val="120"/>
        </w:rPr>
        <w:t>qui</w:t>
      </w:r>
      <w:r>
        <w:rPr>
          <w:color w:val="231F20"/>
          <w:spacing w:val="-9"/>
          <w:w w:val="120"/>
        </w:rPr>
        <w:t> </w:t>
      </w:r>
      <w:r>
        <w:rPr>
          <w:color w:val="231F20"/>
          <w:spacing w:val="-2"/>
          <w:w w:val="120"/>
        </w:rPr>
        <w:t>a</w:t>
      </w:r>
      <w:r>
        <w:rPr>
          <w:color w:val="231F20"/>
          <w:spacing w:val="-9"/>
          <w:w w:val="120"/>
        </w:rPr>
        <w:t> </w:t>
      </w:r>
      <w:r>
        <w:rPr>
          <w:color w:val="231F20"/>
          <w:spacing w:val="-2"/>
          <w:w w:val="120"/>
        </w:rPr>
        <w:t>un</w:t>
      </w:r>
      <w:r>
        <w:rPr>
          <w:color w:val="231F20"/>
          <w:spacing w:val="-9"/>
          <w:w w:val="120"/>
        </w:rPr>
        <w:t> </w:t>
      </w:r>
      <w:r>
        <w:rPr>
          <w:color w:val="231F20"/>
          <w:spacing w:val="-2"/>
          <w:w w:val="120"/>
        </w:rPr>
        <w:t>locus</w:t>
      </w:r>
      <w:r>
        <w:rPr>
          <w:color w:val="231F20"/>
          <w:spacing w:val="-9"/>
          <w:w w:val="120"/>
        </w:rPr>
        <w:t> </w:t>
      </w:r>
      <w:r>
        <w:rPr>
          <w:color w:val="231F20"/>
          <w:spacing w:val="-2"/>
          <w:w w:val="120"/>
        </w:rPr>
        <w:t>externe </w:t>
      </w:r>
      <w:r>
        <w:rPr>
          <w:color w:val="231F20"/>
          <w:w w:val="120"/>
        </w:rPr>
        <w:t>croit</w:t>
      </w:r>
      <w:r>
        <w:rPr>
          <w:color w:val="231F20"/>
          <w:w w:val="120"/>
        </w:rPr>
        <w:t> à</w:t>
      </w:r>
      <w:r>
        <w:rPr>
          <w:color w:val="231F20"/>
          <w:w w:val="120"/>
        </w:rPr>
        <w:t> la</w:t>
      </w:r>
      <w:r>
        <w:rPr>
          <w:color w:val="231F20"/>
          <w:w w:val="120"/>
        </w:rPr>
        <w:t> chance,</w:t>
      </w:r>
      <w:r>
        <w:rPr>
          <w:color w:val="231F20"/>
          <w:w w:val="120"/>
        </w:rPr>
        <w:t> à</w:t>
      </w:r>
      <w:r>
        <w:rPr>
          <w:color w:val="231F20"/>
          <w:w w:val="120"/>
        </w:rPr>
        <w:t> la</w:t>
      </w:r>
      <w:r>
        <w:rPr>
          <w:color w:val="231F20"/>
          <w:w w:val="120"/>
        </w:rPr>
        <w:t> fatalité,</w:t>
      </w:r>
      <w:r>
        <w:rPr>
          <w:color w:val="231F20"/>
          <w:w w:val="120"/>
        </w:rPr>
        <w:t> au</w:t>
      </w:r>
      <w:r>
        <w:rPr>
          <w:color w:val="231F20"/>
          <w:w w:val="120"/>
        </w:rPr>
        <w:t> destin</w:t>
      </w:r>
      <w:r>
        <w:rPr>
          <w:color w:val="231F20"/>
          <w:w w:val="120"/>
        </w:rPr>
        <w:t> ou</w:t>
      </w:r>
      <w:r>
        <w:rPr>
          <w:color w:val="231F20"/>
          <w:w w:val="120"/>
        </w:rPr>
        <w:t> au</w:t>
      </w:r>
      <w:r>
        <w:rPr>
          <w:color w:val="231F20"/>
          <w:w w:val="120"/>
        </w:rPr>
        <w:t> pouvoir</w:t>
      </w:r>
      <w:r>
        <w:rPr>
          <w:color w:val="231F20"/>
          <w:w w:val="120"/>
        </w:rPr>
        <w:t> des</w:t>
      </w:r>
      <w:r>
        <w:rPr>
          <w:color w:val="231F20"/>
          <w:w w:val="120"/>
        </w:rPr>
        <w:t> autres. Imaginons comment une personne ayant un locus de contrôle interne </w:t>
      </w:r>
      <w:r>
        <w:rPr>
          <w:color w:val="231F20"/>
          <w:spacing w:val="-2"/>
          <w:w w:val="120"/>
        </w:rPr>
        <w:t>réagirait à une situation stressante. Que ferait-elle? Elle aurait probable- </w:t>
      </w:r>
      <w:r>
        <w:rPr>
          <w:color w:val="231F20"/>
          <w:w w:val="120"/>
        </w:rPr>
        <w:t>ment</w:t>
      </w:r>
      <w:r>
        <w:rPr>
          <w:color w:val="231F20"/>
          <w:spacing w:val="-9"/>
          <w:w w:val="120"/>
        </w:rPr>
        <w:t> </w:t>
      </w:r>
      <w:r>
        <w:rPr>
          <w:color w:val="231F20"/>
          <w:w w:val="120"/>
        </w:rPr>
        <w:t>tendance</w:t>
      </w:r>
      <w:r>
        <w:rPr>
          <w:color w:val="231F20"/>
          <w:spacing w:val="-9"/>
          <w:w w:val="120"/>
        </w:rPr>
        <w:t> </w:t>
      </w:r>
      <w:r>
        <w:rPr>
          <w:color w:val="231F20"/>
          <w:w w:val="120"/>
        </w:rPr>
        <w:t>à</w:t>
      </w:r>
      <w:r>
        <w:rPr>
          <w:color w:val="231F20"/>
          <w:spacing w:val="-9"/>
          <w:w w:val="120"/>
        </w:rPr>
        <w:t> </w:t>
      </w:r>
      <w:r>
        <w:rPr>
          <w:color w:val="231F20"/>
          <w:w w:val="120"/>
        </w:rPr>
        <w:t>se</w:t>
      </w:r>
      <w:r>
        <w:rPr>
          <w:color w:val="231F20"/>
          <w:spacing w:val="-9"/>
          <w:w w:val="120"/>
        </w:rPr>
        <w:t> </w:t>
      </w:r>
      <w:r>
        <w:rPr>
          <w:color w:val="231F20"/>
          <w:w w:val="120"/>
        </w:rPr>
        <w:t>suractiver</w:t>
      </w:r>
      <w:r>
        <w:rPr>
          <w:color w:val="231F20"/>
          <w:spacing w:val="-9"/>
          <w:w w:val="120"/>
        </w:rPr>
        <w:t> </w:t>
      </w:r>
      <w:r>
        <w:rPr>
          <w:color w:val="231F20"/>
          <w:w w:val="120"/>
        </w:rPr>
        <w:t>et</w:t>
      </w:r>
      <w:r>
        <w:rPr>
          <w:color w:val="231F20"/>
          <w:spacing w:val="-9"/>
          <w:w w:val="120"/>
        </w:rPr>
        <w:t> </w:t>
      </w:r>
      <w:r>
        <w:rPr>
          <w:color w:val="231F20"/>
          <w:w w:val="120"/>
        </w:rPr>
        <w:t>à</w:t>
      </w:r>
      <w:r>
        <w:rPr>
          <w:color w:val="231F20"/>
          <w:spacing w:val="-9"/>
          <w:w w:val="120"/>
        </w:rPr>
        <w:t> </w:t>
      </w:r>
      <w:r>
        <w:rPr>
          <w:color w:val="231F20"/>
          <w:w w:val="120"/>
        </w:rPr>
        <w:t>se</w:t>
      </w:r>
      <w:r>
        <w:rPr>
          <w:color w:val="231F20"/>
          <w:spacing w:val="-9"/>
          <w:w w:val="120"/>
        </w:rPr>
        <w:t> </w:t>
      </w:r>
      <w:r>
        <w:rPr>
          <w:color w:val="231F20"/>
          <w:w w:val="120"/>
        </w:rPr>
        <w:t>lancer</w:t>
      </w:r>
      <w:r>
        <w:rPr>
          <w:color w:val="231F20"/>
          <w:spacing w:val="-9"/>
          <w:w w:val="120"/>
        </w:rPr>
        <w:t> </w:t>
      </w:r>
      <w:r>
        <w:rPr>
          <w:color w:val="231F20"/>
          <w:w w:val="120"/>
        </w:rPr>
        <w:t>dans</w:t>
      </w:r>
      <w:r>
        <w:rPr>
          <w:color w:val="231F20"/>
          <w:spacing w:val="-9"/>
          <w:w w:val="120"/>
        </w:rPr>
        <w:t> </w:t>
      </w:r>
      <w:r>
        <w:rPr>
          <w:color w:val="231F20"/>
          <w:w w:val="120"/>
        </w:rPr>
        <w:t>plusieurs</w:t>
      </w:r>
      <w:r>
        <w:rPr>
          <w:color w:val="231F20"/>
          <w:spacing w:val="-9"/>
          <w:w w:val="120"/>
        </w:rPr>
        <w:t> </w:t>
      </w:r>
      <w:r>
        <w:rPr>
          <w:color w:val="231F20"/>
          <w:w w:val="120"/>
        </w:rPr>
        <w:t>activités</w:t>
      </w:r>
      <w:r>
        <w:rPr>
          <w:color w:val="231F20"/>
          <w:spacing w:val="-9"/>
          <w:w w:val="120"/>
        </w:rPr>
        <w:t> </w:t>
      </w:r>
      <w:r>
        <w:rPr>
          <w:color w:val="231F20"/>
          <w:w w:val="120"/>
        </w:rPr>
        <w:t>afin de remédier à la situation. De son côté, la personne ayant un locus de contrôle</w:t>
      </w:r>
      <w:r>
        <w:rPr>
          <w:color w:val="231F20"/>
          <w:spacing w:val="-17"/>
          <w:w w:val="120"/>
        </w:rPr>
        <w:t> </w:t>
      </w:r>
      <w:r>
        <w:rPr>
          <w:color w:val="231F20"/>
          <w:w w:val="120"/>
        </w:rPr>
        <w:t>plus</w:t>
      </w:r>
      <w:r>
        <w:rPr>
          <w:color w:val="231F20"/>
          <w:spacing w:val="-16"/>
          <w:w w:val="120"/>
        </w:rPr>
        <w:t> </w:t>
      </w:r>
      <w:r>
        <w:rPr>
          <w:color w:val="231F20"/>
          <w:w w:val="120"/>
        </w:rPr>
        <w:t>externe</w:t>
      </w:r>
      <w:r>
        <w:rPr>
          <w:color w:val="231F20"/>
          <w:spacing w:val="-17"/>
          <w:w w:val="120"/>
        </w:rPr>
        <w:t> </w:t>
      </w:r>
      <w:r>
        <w:rPr>
          <w:color w:val="231F20"/>
          <w:w w:val="120"/>
        </w:rPr>
        <w:t>risque</w:t>
      </w:r>
      <w:r>
        <w:rPr>
          <w:color w:val="231F20"/>
          <w:spacing w:val="-16"/>
          <w:w w:val="120"/>
        </w:rPr>
        <w:t> </w:t>
      </w:r>
      <w:r>
        <w:rPr>
          <w:color w:val="231F20"/>
          <w:w w:val="120"/>
        </w:rPr>
        <w:t>de</w:t>
      </w:r>
      <w:r>
        <w:rPr>
          <w:color w:val="231F20"/>
          <w:spacing w:val="-17"/>
          <w:w w:val="120"/>
        </w:rPr>
        <w:t> </w:t>
      </w:r>
      <w:r>
        <w:rPr>
          <w:color w:val="231F20"/>
          <w:w w:val="120"/>
        </w:rPr>
        <w:t>devenir</w:t>
      </w:r>
      <w:r>
        <w:rPr>
          <w:color w:val="231F20"/>
          <w:spacing w:val="-16"/>
          <w:w w:val="120"/>
        </w:rPr>
        <w:t> </w:t>
      </w:r>
      <w:r>
        <w:rPr>
          <w:color w:val="231F20"/>
          <w:w w:val="120"/>
        </w:rPr>
        <w:t>inhibée</w:t>
      </w:r>
      <w:r>
        <w:rPr>
          <w:color w:val="231F20"/>
          <w:spacing w:val="-17"/>
          <w:w w:val="120"/>
        </w:rPr>
        <w:t> </w:t>
      </w:r>
      <w:r>
        <w:rPr>
          <w:color w:val="231F20"/>
          <w:w w:val="120"/>
        </w:rPr>
        <w:t>et</w:t>
      </w:r>
      <w:r>
        <w:rPr>
          <w:color w:val="231F20"/>
          <w:spacing w:val="-16"/>
          <w:w w:val="120"/>
        </w:rPr>
        <w:t> </w:t>
      </w:r>
      <w:r>
        <w:rPr>
          <w:color w:val="231F20"/>
          <w:w w:val="120"/>
        </w:rPr>
        <w:t>d’éviter</w:t>
      </w:r>
      <w:r>
        <w:rPr>
          <w:color w:val="231F20"/>
          <w:spacing w:val="-17"/>
          <w:w w:val="120"/>
        </w:rPr>
        <w:t> </w:t>
      </w:r>
      <w:r>
        <w:rPr>
          <w:color w:val="231F20"/>
          <w:w w:val="120"/>
        </w:rPr>
        <w:t>la</w:t>
      </w:r>
      <w:r>
        <w:rPr>
          <w:color w:val="231F20"/>
          <w:spacing w:val="-16"/>
          <w:w w:val="120"/>
        </w:rPr>
        <w:t> </w:t>
      </w:r>
      <w:r>
        <w:rPr>
          <w:color w:val="231F20"/>
          <w:w w:val="120"/>
        </w:rPr>
        <w:t>situation</w:t>
      </w:r>
      <w:r>
        <w:rPr>
          <w:color w:val="231F20"/>
          <w:spacing w:val="-17"/>
          <w:w w:val="120"/>
        </w:rPr>
        <w:t> </w:t>
      </w:r>
      <w:r>
        <w:rPr>
          <w:color w:val="231F20"/>
          <w:w w:val="120"/>
        </w:rPr>
        <w:t>en</w:t>
      </w:r>
    </w:p>
    <w:p>
      <w:pPr>
        <w:pStyle w:val="BodyText"/>
        <w:spacing w:before="1"/>
        <w:rPr>
          <w:sz w:val="26"/>
        </w:rPr>
      </w:pPr>
      <w:r>
        <w:rPr/>
        <w:pict>
          <v:shape style="position:absolute;margin-left:62.5pt;margin-top:16.233887pt;width:287.5pt;height:.1pt;mso-position-horizontal-relative:page;mso-position-vertical-relative:paragraph;z-index:-15632384;mso-wrap-distance-left:0;mso-wrap-distance-right:0" id="docshape1019" coordorigin="1250,325" coordsize="5750,0" path="m1250,325l7000,325e" filled="false" stroked="true" strokeweight=".25pt" strokecolor="#231f20">
            <v:path arrowok="t"/>
            <v:stroke dashstyle="shortdot"/>
            <w10:wrap type="topAndBottom"/>
          </v:shape>
        </w:pict>
      </w:r>
    </w:p>
    <w:p>
      <w:pPr>
        <w:pStyle w:val="ListParagraph"/>
        <w:numPr>
          <w:ilvl w:val="0"/>
          <w:numId w:val="77"/>
        </w:numPr>
        <w:tabs>
          <w:tab w:pos="829" w:val="left" w:leader="none"/>
          <w:tab w:pos="830" w:val="left" w:leader="none"/>
        </w:tabs>
        <w:spacing w:line="240" w:lineRule="auto" w:before="135" w:after="0"/>
        <w:ind w:left="829" w:right="0" w:hanging="328"/>
        <w:jc w:val="left"/>
        <w:rPr>
          <w:rFonts w:ascii="Arial"/>
          <w:sz w:val="12"/>
        </w:rPr>
      </w:pPr>
      <w:r>
        <w:rPr>
          <w:rFonts w:ascii="Arial"/>
          <w:color w:val="231F20"/>
          <w:w w:val="105"/>
          <w:sz w:val="12"/>
        </w:rPr>
        <w:t>Rotter,</w:t>
      </w:r>
      <w:r>
        <w:rPr>
          <w:rFonts w:ascii="Arial"/>
          <w:color w:val="231F20"/>
          <w:spacing w:val="14"/>
          <w:w w:val="105"/>
          <w:sz w:val="12"/>
        </w:rPr>
        <w:t> </w:t>
      </w:r>
      <w:r>
        <w:rPr>
          <w:rFonts w:ascii="Arial"/>
          <w:color w:val="231F20"/>
          <w:w w:val="105"/>
          <w:sz w:val="12"/>
        </w:rPr>
        <w:t>J.</w:t>
      </w:r>
      <w:r>
        <w:rPr>
          <w:rFonts w:ascii="Arial"/>
          <w:color w:val="231F20"/>
          <w:spacing w:val="14"/>
          <w:w w:val="105"/>
          <w:sz w:val="12"/>
        </w:rPr>
        <w:t> </w:t>
      </w:r>
      <w:r>
        <w:rPr>
          <w:rFonts w:ascii="Arial"/>
          <w:color w:val="231F20"/>
          <w:w w:val="105"/>
          <w:sz w:val="12"/>
        </w:rPr>
        <w:t>B.</w:t>
      </w:r>
      <w:r>
        <w:rPr>
          <w:rFonts w:ascii="Arial"/>
          <w:color w:val="231F20"/>
          <w:spacing w:val="15"/>
          <w:w w:val="105"/>
          <w:sz w:val="12"/>
        </w:rPr>
        <w:t> </w:t>
      </w:r>
      <w:r>
        <w:rPr>
          <w:rFonts w:ascii="Arial"/>
          <w:color w:val="231F20"/>
          <w:w w:val="105"/>
          <w:sz w:val="12"/>
        </w:rPr>
        <w:t>(1966).</w:t>
      </w:r>
      <w:r>
        <w:rPr>
          <w:rFonts w:ascii="Arial"/>
          <w:color w:val="231F20"/>
          <w:spacing w:val="14"/>
          <w:w w:val="105"/>
          <w:sz w:val="12"/>
        </w:rPr>
        <w:t> </w:t>
      </w:r>
      <w:r>
        <w:rPr>
          <w:rFonts w:ascii="Arial"/>
          <w:color w:val="231F20"/>
          <w:w w:val="105"/>
          <w:sz w:val="12"/>
        </w:rPr>
        <w:t>Generalized</w:t>
      </w:r>
      <w:r>
        <w:rPr>
          <w:rFonts w:ascii="Arial"/>
          <w:color w:val="231F20"/>
          <w:spacing w:val="14"/>
          <w:w w:val="105"/>
          <w:sz w:val="12"/>
        </w:rPr>
        <w:t> </w:t>
      </w:r>
      <w:r>
        <w:rPr>
          <w:rFonts w:ascii="Arial"/>
          <w:color w:val="231F20"/>
          <w:w w:val="105"/>
          <w:sz w:val="12"/>
        </w:rPr>
        <w:t>expectancies</w:t>
      </w:r>
      <w:r>
        <w:rPr>
          <w:rFonts w:ascii="Arial"/>
          <w:color w:val="231F20"/>
          <w:spacing w:val="15"/>
          <w:w w:val="105"/>
          <w:sz w:val="12"/>
        </w:rPr>
        <w:t> </w:t>
      </w:r>
      <w:r>
        <w:rPr>
          <w:rFonts w:ascii="Arial"/>
          <w:color w:val="231F20"/>
          <w:w w:val="105"/>
          <w:sz w:val="12"/>
        </w:rPr>
        <w:t>for</w:t>
      </w:r>
      <w:r>
        <w:rPr>
          <w:rFonts w:ascii="Arial"/>
          <w:color w:val="231F20"/>
          <w:spacing w:val="14"/>
          <w:w w:val="105"/>
          <w:sz w:val="12"/>
        </w:rPr>
        <w:t> </w:t>
      </w:r>
      <w:r>
        <w:rPr>
          <w:rFonts w:ascii="Arial"/>
          <w:color w:val="231F20"/>
          <w:w w:val="105"/>
          <w:sz w:val="12"/>
        </w:rPr>
        <w:t>internal</w:t>
      </w:r>
      <w:r>
        <w:rPr>
          <w:rFonts w:ascii="Arial"/>
          <w:color w:val="231F20"/>
          <w:spacing w:val="14"/>
          <w:w w:val="105"/>
          <w:sz w:val="12"/>
        </w:rPr>
        <w:t> </w:t>
      </w:r>
      <w:r>
        <w:rPr>
          <w:rFonts w:ascii="Arial"/>
          <w:color w:val="231F20"/>
          <w:w w:val="105"/>
          <w:sz w:val="12"/>
        </w:rPr>
        <w:t>versus</w:t>
      </w:r>
      <w:r>
        <w:rPr>
          <w:rFonts w:ascii="Arial"/>
          <w:color w:val="231F20"/>
          <w:spacing w:val="15"/>
          <w:w w:val="105"/>
          <w:sz w:val="12"/>
        </w:rPr>
        <w:t> </w:t>
      </w:r>
      <w:r>
        <w:rPr>
          <w:rFonts w:ascii="Arial"/>
          <w:color w:val="231F20"/>
          <w:w w:val="105"/>
          <w:sz w:val="12"/>
        </w:rPr>
        <w:t>external</w:t>
      </w:r>
      <w:r>
        <w:rPr>
          <w:rFonts w:ascii="Arial"/>
          <w:color w:val="231F20"/>
          <w:spacing w:val="14"/>
          <w:w w:val="105"/>
          <w:sz w:val="12"/>
        </w:rPr>
        <w:t> </w:t>
      </w:r>
      <w:r>
        <w:rPr>
          <w:rFonts w:ascii="Arial"/>
          <w:color w:val="231F20"/>
          <w:w w:val="105"/>
          <w:sz w:val="12"/>
        </w:rPr>
        <w:t>control</w:t>
      </w:r>
      <w:r>
        <w:rPr>
          <w:rFonts w:ascii="Arial"/>
          <w:color w:val="231F20"/>
          <w:spacing w:val="15"/>
          <w:w w:val="105"/>
          <w:sz w:val="12"/>
        </w:rPr>
        <w:t> </w:t>
      </w:r>
      <w:r>
        <w:rPr>
          <w:rFonts w:ascii="Arial"/>
          <w:color w:val="231F20"/>
          <w:w w:val="105"/>
          <w:sz w:val="12"/>
        </w:rPr>
        <w:t>of</w:t>
      </w:r>
      <w:r>
        <w:rPr>
          <w:rFonts w:ascii="Arial"/>
          <w:color w:val="231F20"/>
          <w:spacing w:val="14"/>
          <w:w w:val="105"/>
          <w:sz w:val="12"/>
        </w:rPr>
        <w:t> </w:t>
      </w:r>
      <w:r>
        <w:rPr>
          <w:rFonts w:ascii="Arial"/>
          <w:color w:val="231F20"/>
          <w:spacing w:val="-2"/>
          <w:w w:val="105"/>
          <w:sz w:val="12"/>
        </w:rPr>
        <w:t>reinforcement,</w:t>
      </w:r>
    </w:p>
    <w:p>
      <w:pPr>
        <w:spacing w:before="32"/>
        <w:ind w:left="829" w:right="0" w:firstLine="0"/>
        <w:jc w:val="left"/>
        <w:rPr>
          <w:rFonts w:ascii="Arial"/>
          <w:sz w:val="12"/>
        </w:rPr>
      </w:pPr>
      <w:r>
        <w:rPr>
          <w:rFonts w:ascii="Arial"/>
          <w:i/>
          <w:color w:val="231F20"/>
          <w:w w:val="95"/>
          <w:sz w:val="12"/>
        </w:rPr>
        <w:t>Psychological</w:t>
      </w:r>
      <w:r>
        <w:rPr>
          <w:rFonts w:ascii="Arial"/>
          <w:i/>
          <w:color w:val="231F20"/>
          <w:spacing w:val="10"/>
          <w:sz w:val="12"/>
        </w:rPr>
        <w:t> </w:t>
      </w:r>
      <w:r>
        <w:rPr>
          <w:rFonts w:ascii="Arial"/>
          <w:i/>
          <w:color w:val="231F20"/>
          <w:w w:val="95"/>
          <w:sz w:val="12"/>
        </w:rPr>
        <w:t>Monographs:</w:t>
      </w:r>
      <w:r>
        <w:rPr>
          <w:rFonts w:ascii="Arial"/>
          <w:i/>
          <w:color w:val="231F20"/>
          <w:spacing w:val="11"/>
          <w:sz w:val="12"/>
        </w:rPr>
        <w:t> </w:t>
      </w:r>
      <w:r>
        <w:rPr>
          <w:rFonts w:ascii="Arial"/>
          <w:i/>
          <w:color w:val="231F20"/>
          <w:w w:val="95"/>
          <w:sz w:val="12"/>
        </w:rPr>
        <w:t>General</w:t>
      </w:r>
      <w:r>
        <w:rPr>
          <w:rFonts w:ascii="Arial"/>
          <w:i/>
          <w:color w:val="231F20"/>
          <w:spacing w:val="11"/>
          <w:sz w:val="12"/>
        </w:rPr>
        <w:t> </w:t>
      </w:r>
      <w:r>
        <w:rPr>
          <w:rFonts w:ascii="Arial"/>
          <w:i/>
          <w:color w:val="231F20"/>
          <w:w w:val="95"/>
          <w:sz w:val="12"/>
        </w:rPr>
        <w:t>and</w:t>
      </w:r>
      <w:r>
        <w:rPr>
          <w:rFonts w:ascii="Arial"/>
          <w:i/>
          <w:color w:val="231F20"/>
          <w:spacing w:val="11"/>
          <w:sz w:val="12"/>
        </w:rPr>
        <w:t> </w:t>
      </w:r>
      <w:r>
        <w:rPr>
          <w:rFonts w:ascii="Arial"/>
          <w:i/>
          <w:color w:val="231F20"/>
          <w:w w:val="95"/>
          <w:sz w:val="12"/>
        </w:rPr>
        <w:t>Applied</w:t>
      </w:r>
      <w:r>
        <w:rPr>
          <w:rFonts w:ascii="Arial"/>
          <w:color w:val="231F20"/>
          <w:w w:val="95"/>
          <w:sz w:val="12"/>
        </w:rPr>
        <w:t>,</w:t>
      </w:r>
      <w:r>
        <w:rPr>
          <w:rFonts w:ascii="Arial"/>
          <w:color w:val="231F20"/>
          <w:spacing w:val="11"/>
          <w:sz w:val="12"/>
        </w:rPr>
        <w:t> </w:t>
      </w:r>
      <w:r>
        <w:rPr>
          <w:rFonts w:ascii="Arial"/>
          <w:color w:val="231F20"/>
          <w:spacing w:val="-5"/>
          <w:w w:val="95"/>
          <w:sz w:val="12"/>
        </w:rPr>
        <w:t>80.</w:t>
      </w:r>
    </w:p>
    <w:p>
      <w:pPr>
        <w:spacing w:after="0"/>
        <w:jc w:val="left"/>
        <w:rPr>
          <w:rFonts w:ascii="Arial"/>
          <w:sz w:val="12"/>
        </w:rPr>
        <w:sectPr>
          <w:footerReference w:type="default" r:id="rId289"/>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3"/>
        <w:jc w:val="both"/>
      </w:pPr>
      <w:r>
        <w:rPr>
          <w:color w:val="231F20"/>
          <w:w w:val="110"/>
        </w:rPr>
        <w:t>se</w:t>
      </w:r>
      <w:r>
        <w:rPr>
          <w:color w:val="231F20"/>
          <w:spacing w:val="-12"/>
          <w:w w:val="110"/>
        </w:rPr>
        <w:t> </w:t>
      </w:r>
      <w:r>
        <w:rPr>
          <w:color w:val="231F20"/>
          <w:w w:val="110"/>
        </w:rPr>
        <w:t>disant</w:t>
      </w:r>
      <w:r>
        <w:rPr>
          <w:color w:val="231F20"/>
          <w:spacing w:val="-12"/>
          <w:w w:val="110"/>
        </w:rPr>
        <w:t> </w:t>
      </w:r>
      <w:r>
        <w:rPr>
          <w:color w:val="231F20"/>
          <w:w w:val="110"/>
        </w:rPr>
        <w:t>:</w:t>
      </w:r>
      <w:r>
        <w:rPr>
          <w:color w:val="231F20"/>
          <w:spacing w:val="-12"/>
          <w:w w:val="110"/>
        </w:rPr>
        <w:t> </w:t>
      </w:r>
      <w:r>
        <w:rPr>
          <w:color w:val="231F20"/>
          <w:w w:val="110"/>
        </w:rPr>
        <w:t>«</w:t>
      </w:r>
      <w:r>
        <w:rPr>
          <w:color w:val="231F20"/>
          <w:spacing w:val="-11"/>
          <w:w w:val="110"/>
        </w:rPr>
        <w:t> </w:t>
      </w:r>
      <w:r>
        <w:rPr>
          <w:i/>
          <w:color w:val="231F20"/>
          <w:w w:val="110"/>
        </w:rPr>
        <w:t>C’est</w:t>
      </w:r>
      <w:r>
        <w:rPr>
          <w:i/>
          <w:color w:val="231F20"/>
          <w:spacing w:val="-12"/>
          <w:w w:val="110"/>
        </w:rPr>
        <w:t> </w:t>
      </w:r>
      <w:r>
        <w:rPr>
          <w:i/>
          <w:color w:val="231F20"/>
          <w:w w:val="110"/>
        </w:rPr>
        <w:t>le</w:t>
      </w:r>
      <w:r>
        <w:rPr>
          <w:i/>
          <w:color w:val="231F20"/>
          <w:spacing w:val="-12"/>
          <w:w w:val="110"/>
        </w:rPr>
        <w:t> </w:t>
      </w:r>
      <w:r>
        <w:rPr>
          <w:i/>
          <w:color w:val="231F20"/>
          <w:w w:val="110"/>
        </w:rPr>
        <w:t>résultat</w:t>
      </w:r>
      <w:r>
        <w:rPr>
          <w:i/>
          <w:color w:val="231F20"/>
          <w:spacing w:val="-10"/>
          <w:w w:val="110"/>
        </w:rPr>
        <w:t> </w:t>
      </w:r>
      <w:r>
        <w:rPr>
          <w:i/>
          <w:color w:val="231F20"/>
          <w:w w:val="110"/>
        </w:rPr>
        <w:t>d’une malchance, du hasard</w:t>
      </w:r>
      <w:r>
        <w:rPr>
          <w:i/>
          <w:color w:val="231F20"/>
          <w:spacing w:val="-12"/>
          <w:w w:val="110"/>
        </w:rPr>
        <w:t> </w:t>
      </w:r>
      <w:r>
        <w:rPr>
          <w:i/>
          <w:color w:val="231F20"/>
          <w:w w:val="110"/>
        </w:rPr>
        <w:t>; je n’y peux rien.</w:t>
      </w:r>
      <w:r>
        <w:rPr>
          <w:i/>
          <w:color w:val="231F20"/>
          <w:spacing w:val="-12"/>
          <w:w w:val="110"/>
        </w:rPr>
        <w:t> </w:t>
      </w:r>
      <w:r>
        <w:rPr>
          <w:color w:val="231F20"/>
          <w:w w:val="110"/>
        </w:rPr>
        <w:t>» </w:t>
      </w:r>
      <w:r>
        <w:rPr>
          <w:color w:val="231F20"/>
          <w:w w:val="120"/>
        </w:rPr>
        <w:t>On observerait possiblement un état de stress chez les deux individus, chez</w:t>
      </w:r>
      <w:r>
        <w:rPr>
          <w:color w:val="231F20"/>
          <w:spacing w:val="-1"/>
          <w:w w:val="120"/>
        </w:rPr>
        <w:t> </w:t>
      </w:r>
      <w:r>
        <w:rPr>
          <w:color w:val="231F20"/>
          <w:w w:val="120"/>
        </w:rPr>
        <w:t>le</w:t>
      </w:r>
      <w:r>
        <w:rPr>
          <w:color w:val="231F20"/>
          <w:spacing w:val="-2"/>
          <w:w w:val="120"/>
        </w:rPr>
        <w:t> </w:t>
      </w:r>
      <w:r>
        <w:rPr>
          <w:color w:val="231F20"/>
          <w:w w:val="120"/>
        </w:rPr>
        <w:t>premier</w:t>
      </w:r>
      <w:r>
        <w:rPr>
          <w:color w:val="231F20"/>
          <w:spacing w:val="-1"/>
          <w:w w:val="120"/>
        </w:rPr>
        <w:t> </w:t>
      </w:r>
      <w:r>
        <w:rPr>
          <w:color w:val="231F20"/>
          <w:w w:val="120"/>
        </w:rPr>
        <w:t>en</w:t>
      </w:r>
      <w:r>
        <w:rPr>
          <w:color w:val="231F20"/>
          <w:spacing w:val="-2"/>
          <w:w w:val="120"/>
        </w:rPr>
        <w:t> </w:t>
      </w:r>
      <w:r>
        <w:rPr>
          <w:color w:val="231F20"/>
          <w:w w:val="120"/>
        </w:rPr>
        <w:t>raison</w:t>
      </w:r>
      <w:r>
        <w:rPr>
          <w:color w:val="231F20"/>
          <w:spacing w:val="-1"/>
          <w:w w:val="120"/>
        </w:rPr>
        <w:t> </w:t>
      </w:r>
      <w:r>
        <w:rPr>
          <w:color w:val="231F20"/>
          <w:w w:val="120"/>
        </w:rPr>
        <w:t>d’une</w:t>
      </w:r>
      <w:r>
        <w:rPr>
          <w:color w:val="231F20"/>
          <w:spacing w:val="-2"/>
          <w:w w:val="120"/>
        </w:rPr>
        <w:t> </w:t>
      </w:r>
      <w:r>
        <w:rPr>
          <w:color w:val="231F20"/>
          <w:w w:val="120"/>
        </w:rPr>
        <w:t>suractivation</w:t>
      </w:r>
      <w:r>
        <w:rPr>
          <w:color w:val="231F20"/>
          <w:spacing w:val="-1"/>
          <w:w w:val="120"/>
        </w:rPr>
        <w:t> </w:t>
      </w:r>
      <w:r>
        <w:rPr>
          <w:color w:val="231F20"/>
          <w:w w:val="120"/>
        </w:rPr>
        <w:t>effrénée</w:t>
      </w:r>
      <w:r>
        <w:rPr>
          <w:color w:val="231F20"/>
          <w:spacing w:val="-2"/>
          <w:w w:val="120"/>
        </w:rPr>
        <w:t> </w:t>
      </w:r>
      <w:r>
        <w:rPr>
          <w:color w:val="231F20"/>
          <w:w w:val="120"/>
        </w:rPr>
        <w:t>pour</w:t>
      </w:r>
      <w:r>
        <w:rPr>
          <w:color w:val="231F20"/>
          <w:spacing w:val="-1"/>
          <w:w w:val="120"/>
        </w:rPr>
        <w:t> </w:t>
      </w:r>
      <w:r>
        <w:rPr>
          <w:color w:val="231F20"/>
          <w:w w:val="120"/>
        </w:rPr>
        <w:t>rechercher </w:t>
      </w:r>
      <w:r>
        <w:rPr>
          <w:color w:val="231F20"/>
          <w:spacing w:val="-2"/>
          <w:w w:val="120"/>
        </w:rPr>
        <w:t>des</w:t>
      </w:r>
      <w:r>
        <w:rPr>
          <w:color w:val="231F20"/>
          <w:spacing w:val="-10"/>
          <w:w w:val="120"/>
        </w:rPr>
        <w:t> </w:t>
      </w:r>
      <w:r>
        <w:rPr>
          <w:color w:val="231F20"/>
          <w:spacing w:val="-2"/>
          <w:w w:val="120"/>
        </w:rPr>
        <w:t>solutions,</w:t>
      </w:r>
      <w:r>
        <w:rPr>
          <w:color w:val="231F20"/>
          <w:spacing w:val="-10"/>
          <w:w w:val="120"/>
        </w:rPr>
        <w:t> </w:t>
      </w:r>
      <w:r>
        <w:rPr>
          <w:color w:val="231F20"/>
          <w:spacing w:val="-2"/>
          <w:w w:val="120"/>
        </w:rPr>
        <w:t>chez</w:t>
      </w:r>
      <w:r>
        <w:rPr>
          <w:color w:val="231F20"/>
          <w:spacing w:val="-10"/>
          <w:w w:val="120"/>
        </w:rPr>
        <w:t> </w:t>
      </w:r>
      <w:r>
        <w:rPr>
          <w:color w:val="231F20"/>
          <w:spacing w:val="-2"/>
          <w:w w:val="120"/>
        </w:rPr>
        <w:t>le</w:t>
      </w:r>
      <w:r>
        <w:rPr>
          <w:color w:val="231F20"/>
          <w:spacing w:val="-10"/>
          <w:w w:val="120"/>
        </w:rPr>
        <w:t> </w:t>
      </w:r>
      <w:r>
        <w:rPr>
          <w:color w:val="231F20"/>
          <w:spacing w:val="-2"/>
          <w:w w:val="120"/>
        </w:rPr>
        <w:t>second</w:t>
      </w:r>
      <w:r>
        <w:rPr>
          <w:color w:val="231F20"/>
          <w:spacing w:val="-10"/>
          <w:w w:val="120"/>
        </w:rPr>
        <w:t> </w:t>
      </w:r>
      <w:r>
        <w:rPr>
          <w:color w:val="231F20"/>
          <w:spacing w:val="-2"/>
          <w:w w:val="120"/>
        </w:rPr>
        <w:t>en</w:t>
      </w:r>
      <w:r>
        <w:rPr>
          <w:color w:val="231F20"/>
          <w:spacing w:val="-10"/>
          <w:w w:val="120"/>
        </w:rPr>
        <w:t> </w:t>
      </w:r>
      <w:r>
        <w:rPr>
          <w:color w:val="231F20"/>
          <w:spacing w:val="-2"/>
          <w:w w:val="120"/>
        </w:rPr>
        <w:t>raison</w:t>
      </w:r>
      <w:r>
        <w:rPr>
          <w:color w:val="231F20"/>
          <w:spacing w:val="-10"/>
          <w:w w:val="120"/>
        </w:rPr>
        <w:t> </w:t>
      </w:r>
      <w:r>
        <w:rPr>
          <w:color w:val="231F20"/>
          <w:spacing w:val="-2"/>
          <w:w w:val="120"/>
        </w:rPr>
        <w:t>d’un</w:t>
      </w:r>
      <w:r>
        <w:rPr>
          <w:color w:val="231F20"/>
          <w:spacing w:val="-10"/>
          <w:w w:val="120"/>
        </w:rPr>
        <w:t> </w:t>
      </w:r>
      <w:r>
        <w:rPr>
          <w:color w:val="231F20"/>
          <w:spacing w:val="-2"/>
          <w:w w:val="120"/>
        </w:rPr>
        <w:t>attentisme</w:t>
      </w:r>
      <w:r>
        <w:rPr>
          <w:color w:val="231F20"/>
          <w:spacing w:val="-10"/>
          <w:w w:val="120"/>
        </w:rPr>
        <w:t> </w:t>
      </w:r>
      <w:r>
        <w:rPr>
          <w:color w:val="231F20"/>
          <w:spacing w:val="-2"/>
          <w:w w:val="120"/>
        </w:rPr>
        <w:t>lié</w:t>
      </w:r>
      <w:r>
        <w:rPr>
          <w:color w:val="231F20"/>
          <w:spacing w:val="-10"/>
          <w:w w:val="120"/>
        </w:rPr>
        <w:t> </w:t>
      </w:r>
      <w:r>
        <w:rPr>
          <w:color w:val="231F20"/>
          <w:spacing w:val="-2"/>
          <w:w w:val="120"/>
        </w:rPr>
        <w:t>à</w:t>
      </w:r>
      <w:r>
        <w:rPr>
          <w:color w:val="231F20"/>
          <w:spacing w:val="-10"/>
          <w:w w:val="120"/>
        </w:rPr>
        <w:t> </w:t>
      </w:r>
      <w:r>
        <w:rPr>
          <w:color w:val="231F20"/>
          <w:spacing w:val="-2"/>
          <w:w w:val="120"/>
        </w:rPr>
        <w:t>un</w:t>
      </w:r>
      <w:r>
        <w:rPr>
          <w:color w:val="231F20"/>
          <w:spacing w:val="-10"/>
          <w:w w:val="120"/>
        </w:rPr>
        <w:t> </w:t>
      </w:r>
      <w:r>
        <w:rPr>
          <w:color w:val="231F20"/>
          <w:spacing w:val="-2"/>
          <w:w w:val="120"/>
        </w:rPr>
        <w:t>sentiment </w:t>
      </w:r>
      <w:r>
        <w:rPr>
          <w:color w:val="231F20"/>
          <w:w w:val="115"/>
        </w:rPr>
        <w:t>d’impuissance. Cela laisse supposer que diverses caractéristiques indivi- </w:t>
      </w:r>
      <w:r>
        <w:rPr>
          <w:color w:val="231F20"/>
          <w:spacing w:val="-2"/>
          <w:w w:val="120"/>
        </w:rPr>
        <w:t>duelles</w:t>
      </w:r>
      <w:r>
        <w:rPr>
          <w:color w:val="231F20"/>
          <w:spacing w:val="-7"/>
          <w:w w:val="120"/>
        </w:rPr>
        <w:t> </w:t>
      </w:r>
      <w:r>
        <w:rPr>
          <w:color w:val="231F20"/>
          <w:spacing w:val="-2"/>
          <w:w w:val="120"/>
        </w:rPr>
        <w:t>peuvent</w:t>
      </w:r>
      <w:r>
        <w:rPr>
          <w:color w:val="231F20"/>
          <w:spacing w:val="-7"/>
          <w:w w:val="120"/>
        </w:rPr>
        <w:t> </w:t>
      </w:r>
      <w:r>
        <w:rPr>
          <w:color w:val="231F20"/>
          <w:spacing w:val="-2"/>
          <w:w w:val="120"/>
        </w:rPr>
        <w:t>représenter</w:t>
      </w:r>
      <w:r>
        <w:rPr>
          <w:color w:val="231F20"/>
          <w:spacing w:val="-7"/>
          <w:w w:val="120"/>
        </w:rPr>
        <w:t> </w:t>
      </w:r>
      <w:r>
        <w:rPr>
          <w:color w:val="231F20"/>
          <w:spacing w:val="-2"/>
          <w:w w:val="120"/>
        </w:rPr>
        <w:t>un</w:t>
      </w:r>
      <w:r>
        <w:rPr>
          <w:color w:val="231F20"/>
          <w:spacing w:val="-7"/>
          <w:w w:val="120"/>
        </w:rPr>
        <w:t> </w:t>
      </w:r>
      <w:r>
        <w:rPr>
          <w:color w:val="231F20"/>
          <w:spacing w:val="-2"/>
          <w:w w:val="120"/>
        </w:rPr>
        <w:t>couteau</w:t>
      </w:r>
      <w:r>
        <w:rPr>
          <w:color w:val="231F20"/>
          <w:spacing w:val="-7"/>
          <w:w w:val="120"/>
        </w:rPr>
        <w:t> </w:t>
      </w:r>
      <w:r>
        <w:rPr>
          <w:color w:val="231F20"/>
          <w:spacing w:val="-2"/>
          <w:w w:val="120"/>
        </w:rPr>
        <w:t>à</w:t>
      </w:r>
      <w:r>
        <w:rPr>
          <w:color w:val="231F20"/>
          <w:spacing w:val="-7"/>
          <w:w w:val="120"/>
        </w:rPr>
        <w:t> </w:t>
      </w:r>
      <w:r>
        <w:rPr>
          <w:color w:val="231F20"/>
          <w:spacing w:val="-2"/>
          <w:w w:val="120"/>
        </w:rPr>
        <w:t>double</w:t>
      </w:r>
      <w:r>
        <w:rPr>
          <w:color w:val="231F20"/>
          <w:spacing w:val="-7"/>
          <w:w w:val="120"/>
        </w:rPr>
        <w:t> </w:t>
      </w:r>
      <w:r>
        <w:rPr>
          <w:color w:val="231F20"/>
          <w:spacing w:val="-2"/>
          <w:w w:val="120"/>
        </w:rPr>
        <w:t>tranchant.</w:t>
      </w:r>
      <w:r>
        <w:rPr>
          <w:color w:val="231F20"/>
          <w:spacing w:val="-7"/>
          <w:w w:val="120"/>
        </w:rPr>
        <w:t> </w:t>
      </w:r>
      <w:r>
        <w:rPr>
          <w:color w:val="231F20"/>
          <w:spacing w:val="-2"/>
          <w:w w:val="120"/>
        </w:rPr>
        <w:t>Par</w:t>
      </w:r>
      <w:r>
        <w:rPr>
          <w:color w:val="231F20"/>
          <w:spacing w:val="-7"/>
          <w:w w:val="120"/>
        </w:rPr>
        <w:t> </w:t>
      </w:r>
      <w:r>
        <w:rPr>
          <w:color w:val="231F20"/>
          <w:spacing w:val="-2"/>
          <w:w w:val="120"/>
        </w:rPr>
        <w:t>exemple, </w:t>
      </w:r>
      <w:r>
        <w:rPr>
          <w:color w:val="231F20"/>
          <w:w w:val="120"/>
        </w:rPr>
        <w:t>l’engagement</w:t>
      </w:r>
      <w:r>
        <w:rPr>
          <w:color w:val="231F20"/>
          <w:spacing w:val="-2"/>
          <w:w w:val="120"/>
        </w:rPr>
        <w:t> </w:t>
      </w:r>
      <w:r>
        <w:rPr>
          <w:color w:val="231F20"/>
          <w:w w:val="120"/>
        </w:rPr>
        <w:t>organisationnel</w:t>
      </w:r>
      <w:r>
        <w:rPr>
          <w:color w:val="231F20"/>
          <w:spacing w:val="-2"/>
          <w:w w:val="120"/>
        </w:rPr>
        <w:t> </w:t>
      </w:r>
      <w:r>
        <w:rPr>
          <w:color w:val="231F20"/>
          <w:w w:val="120"/>
        </w:rPr>
        <w:t>peut</w:t>
      </w:r>
      <w:r>
        <w:rPr>
          <w:color w:val="231F20"/>
          <w:spacing w:val="-2"/>
          <w:w w:val="120"/>
        </w:rPr>
        <w:t> </w:t>
      </w:r>
      <w:r>
        <w:rPr>
          <w:color w:val="231F20"/>
          <w:w w:val="120"/>
        </w:rPr>
        <w:t>parfois</w:t>
      </w:r>
      <w:r>
        <w:rPr>
          <w:color w:val="231F20"/>
          <w:spacing w:val="-2"/>
          <w:w w:val="120"/>
        </w:rPr>
        <w:t> </w:t>
      </w:r>
      <w:r>
        <w:rPr>
          <w:color w:val="231F20"/>
          <w:w w:val="120"/>
        </w:rPr>
        <w:t>fragiliser</w:t>
      </w:r>
      <w:r>
        <w:rPr>
          <w:color w:val="231F20"/>
          <w:spacing w:val="-2"/>
          <w:w w:val="120"/>
        </w:rPr>
        <w:t> </w:t>
      </w:r>
      <w:r>
        <w:rPr>
          <w:color w:val="231F20"/>
          <w:w w:val="120"/>
        </w:rPr>
        <w:t>les</w:t>
      </w:r>
      <w:r>
        <w:rPr>
          <w:color w:val="231F20"/>
          <w:spacing w:val="-2"/>
          <w:w w:val="120"/>
        </w:rPr>
        <w:t> </w:t>
      </w:r>
      <w:r>
        <w:rPr>
          <w:color w:val="231F20"/>
          <w:w w:val="120"/>
        </w:rPr>
        <w:t>employés</w:t>
      </w:r>
      <w:r>
        <w:rPr>
          <w:color w:val="231F20"/>
          <w:spacing w:val="-2"/>
          <w:w w:val="120"/>
        </w:rPr>
        <w:t> </w:t>
      </w:r>
      <w:r>
        <w:rPr>
          <w:color w:val="231F20"/>
          <w:w w:val="120"/>
        </w:rPr>
        <w:t>face au stress professionnel. Un surengagement ou un sous-engagement peuvent,</w:t>
      </w:r>
      <w:r>
        <w:rPr>
          <w:color w:val="231F20"/>
          <w:spacing w:val="-9"/>
          <w:w w:val="120"/>
        </w:rPr>
        <w:t> </w:t>
      </w:r>
      <w:r>
        <w:rPr>
          <w:color w:val="231F20"/>
          <w:w w:val="120"/>
        </w:rPr>
        <w:t>tant</w:t>
      </w:r>
      <w:r>
        <w:rPr>
          <w:color w:val="231F20"/>
          <w:spacing w:val="-9"/>
          <w:w w:val="120"/>
        </w:rPr>
        <w:t> </w:t>
      </w:r>
      <w:r>
        <w:rPr>
          <w:color w:val="231F20"/>
          <w:w w:val="120"/>
        </w:rPr>
        <w:t>l’un</w:t>
      </w:r>
      <w:r>
        <w:rPr>
          <w:color w:val="231F20"/>
          <w:spacing w:val="-9"/>
          <w:w w:val="120"/>
        </w:rPr>
        <w:t> </w:t>
      </w:r>
      <w:r>
        <w:rPr>
          <w:color w:val="231F20"/>
          <w:w w:val="120"/>
        </w:rPr>
        <w:t>que</w:t>
      </w:r>
      <w:r>
        <w:rPr>
          <w:color w:val="231F20"/>
          <w:spacing w:val="-9"/>
          <w:w w:val="120"/>
        </w:rPr>
        <w:t> </w:t>
      </w:r>
      <w:r>
        <w:rPr>
          <w:color w:val="231F20"/>
          <w:w w:val="120"/>
        </w:rPr>
        <w:t>l’autre,</w:t>
      </w:r>
      <w:r>
        <w:rPr>
          <w:color w:val="231F20"/>
          <w:spacing w:val="-9"/>
          <w:w w:val="120"/>
        </w:rPr>
        <w:t> </w:t>
      </w:r>
      <w:r>
        <w:rPr>
          <w:color w:val="231F20"/>
          <w:w w:val="120"/>
        </w:rPr>
        <w:t>être</w:t>
      </w:r>
      <w:r>
        <w:rPr>
          <w:color w:val="231F20"/>
          <w:spacing w:val="-9"/>
          <w:w w:val="120"/>
        </w:rPr>
        <w:t> </w:t>
      </w:r>
      <w:r>
        <w:rPr>
          <w:color w:val="231F20"/>
          <w:w w:val="120"/>
        </w:rPr>
        <w:t>des</w:t>
      </w:r>
      <w:r>
        <w:rPr>
          <w:color w:val="231F20"/>
          <w:spacing w:val="-9"/>
          <w:w w:val="120"/>
        </w:rPr>
        <w:t> </w:t>
      </w:r>
      <w:r>
        <w:rPr>
          <w:color w:val="231F20"/>
          <w:w w:val="120"/>
        </w:rPr>
        <w:t>attitudes</w:t>
      </w:r>
      <w:r>
        <w:rPr>
          <w:color w:val="231F20"/>
          <w:spacing w:val="-9"/>
          <w:w w:val="120"/>
        </w:rPr>
        <w:t> </w:t>
      </w:r>
      <w:r>
        <w:rPr>
          <w:color w:val="231F20"/>
          <w:w w:val="120"/>
        </w:rPr>
        <w:t>prédisposant</w:t>
      </w:r>
      <w:r>
        <w:rPr>
          <w:color w:val="231F20"/>
          <w:spacing w:val="-9"/>
          <w:w w:val="120"/>
        </w:rPr>
        <w:t> </w:t>
      </w:r>
      <w:r>
        <w:rPr>
          <w:color w:val="231F20"/>
          <w:w w:val="120"/>
        </w:rPr>
        <w:t>à</w:t>
      </w:r>
      <w:r>
        <w:rPr>
          <w:color w:val="231F20"/>
          <w:spacing w:val="-9"/>
          <w:w w:val="120"/>
        </w:rPr>
        <w:t> </w:t>
      </w:r>
      <w:r>
        <w:rPr>
          <w:color w:val="231F20"/>
          <w:w w:val="120"/>
        </w:rPr>
        <w:t>ressentir un stress professionnel élevé. Ce n’est pas une règle générale, mais en </w:t>
      </w:r>
      <w:r>
        <w:rPr>
          <w:color w:val="231F20"/>
          <w:w w:val="115"/>
        </w:rPr>
        <w:t>matière</w:t>
      </w:r>
      <w:r>
        <w:rPr>
          <w:color w:val="231F20"/>
          <w:spacing w:val="-11"/>
          <w:w w:val="115"/>
        </w:rPr>
        <w:t> </w:t>
      </w:r>
      <w:r>
        <w:rPr>
          <w:color w:val="231F20"/>
          <w:w w:val="115"/>
        </w:rPr>
        <w:t>de gestion du stress professionnel, le vieil adage voulant que «</w:t>
      </w:r>
      <w:r>
        <w:rPr>
          <w:color w:val="231F20"/>
          <w:spacing w:val="-13"/>
          <w:w w:val="115"/>
        </w:rPr>
        <w:t> </w:t>
      </w:r>
      <w:r>
        <w:rPr>
          <w:i/>
          <w:color w:val="231F20"/>
          <w:w w:val="115"/>
        </w:rPr>
        <w:t>le </w:t>
      </w:r>
      <w:r>
        <w:rPr>
          <w:i/>
          <w:color w:val="231F20"/>
          <w:w w:val="120"/>
        </w:rPr>
        <w:t>mieux</w:t>
      </w:r>
      <w:r>
        <w:rPr>
          <w:i/>
          <w:color w:val="231F20"/>
          <w:spacing w:val="-5"/>
          <w:w w:val="120"/>
        </w:rPr>
        <w:t> </w:t>
      </w:r>
      <w:r>
        <w:rPr>
          <w:i/>
          <w:color w:val="231F20"/>
          <w:w w:val="120"/>
        </w:rPr>
        <w:t>est</w:t>
      </w:r>
      <w:r>
        <w:rPr>
          <w:i/>
          <w:color w:val="231F20"/>
          <w:spacing w:val="-5"/>
          <w:w w:val="120"/>
        </w:rPr>
        <w:t> </w:t>
      </w:r>
      <w:r>
        <w:rPr>
          <w:i/>
          <w:color w:val="231F20"/>
          <w:w w:val="120"/>
        </w:rPr>
        <w:t>l’ennemi</w:t>
      </w:r>
      <w:r>
        <w:rPr>
          <w:i/>
          <w:color w:val="231F20"/>
          <w:spacing w:val="-5"/>
          <w:w w:val="120"/>
        </w:rPr>
        <w:t> </w:t>
      </w:r>
      <w:r>
        <w:rPr>
          <w:i/>
          <w:color w:val="231F20"/>
          <w:w w:val="120"/>
        </w:rPr>
        <w:t>du</w:t>
      </w:r>
      <w:r>
        <w:rPr>
          <w:i/>
          <w:color w:val="231F20"/>
          <w:spacing w:val="-5"/>
          <w:w w:val="120"/>
        </w:rPr>
        <w:t> </w:t>
      </w:r>
      <w:r>
        <w:rPr>
          <w:i/>
          <w:color w:val="231F20"/>
          <w:w w:val="120"/>
        </w:rPr>
        <w:t>bien</w:t>
      </w:r>
      <w:r>
        <w:rPr>
          <w:i/>
          <w:color w:val="231F20"/>
          <w:spacing w:val="-33"/>
          <w:w w:val="120"/>
        </w:rPr>
        <w:t> </w:t>
      </w:r>
      <w:r>
        <w:rPr>
          <w:color w:val="231F20"/>
          <w:w w:val="120"/>
        </w:rPr>
        <w:t>»</w:t>
      </w:r>
      <w:r>
        <w:rPr>
          <w:color w:val="231F20"/>
          <w:spacing w:val="-5"/>
          <w:w w:val="120"/>
        </w:rPr>
        <w:t> </w:t>
      </w:r>
      <w:r>
        <w:rPr>
          <w:color w:val="231F20"/>
          <w:w w:val="120"/>
        </w:rPr>
        <w:t>se</w:t>
      </w:r>
      <w:r>
        <w:rPr>
          <w:color w:val="231F20"/>
          <w:spacing w:val="-5"/>
          <w:w w:val="120"/>
        </w:rPr>
        <w:t> </w:t>
      </w:r>
      <w:r>
        <w:rPr>
          <w:color w:val="231F20"/>
          <w:w w:val="120"/>
        </w:rPr>
        <w:t>voie</w:t>
      </w:r>
      <w:r>
        <w:rPr>
          <w:color w:val="231F20"/>
          <w:spacing w:val="-5"/>
          <w:w w:val="120"/>
        </w:rPr>
        <w:t> </w:t>
      </w:r>
      <w:r>
        <w:rPr>
          <w:color w:val="231F20"/>
          <w:w w:val="120"/>
        </w:rPr>
        <w:t>souvent</w:t>
      </w:r>
      <w:r>
        <w:rPr>
          <w:color w:val="231F20"/>
          <w:spacing w:val="-5"/>
          <w:w w:val="120"/>
        </w:rPr>
        <w:t> </w:t>
      </w:r>
      <w:r>
        <w:rPr>
          <w:color w:val="231F20"/>
          <w:w w:val="120"/>
        </w:rPr>
        <w:t>validé.</w:t>
      </w:r>
    </w:p>
    <w:p>
      <w:pPr>
        <w:pStyle w:val="BodyText"/>
        <w:spacing w:line="307" w:lineRule="auto" w:before="78"/>
        <w:ind w:left="1220" w:right="105" w:firstLine="250"/>
        <w:jc w:val="both"/>
      </w:pPr>
      <w:r>
        <w:rPr>
          <w:i/>
          <w:color w:val="231F20"/>
          <w:w w:val="115"/>
        </w:rPr>
        <w:t>Combien de journées stressantes une personne peut-elle supporter</w:t>
      </w:r>
      <w:r>
        <w:rPr>
          <w:i/>
          <w:color w:val="231F20"/>
          <w:spacing w:val="-13"/>
          <w:w w:val="115"/>
        </w:rPr>
        <w:t> </w:t>
      </w:r>
      <w:r>
        <w:rPr>
          <w:i/>
          <w:color w:val="231F20"/>
          <w:w w:val="115"/>
        </w:rPr>
        <w:t>? </w:t>
      </w:r>
      <w:r>
        <w:rPr>
          <w:color w:val="231F20"/>
          <w:w w:val="115"/>
        </w:rPr>
        <w:t>La</w:t>
      </w:r>
      <w:r>
        <w:rPr>
          <w:color w:val="231F20"/>
          <w:spacing w:val="-7"/>
          <w:w w:val="115"/>
        </w:rPr>
        <w:t> </w:t>
      </w:r>
      <w:r>
        <w:rPr>
          <w:color w:val="231F20"/>
          <w:w w:val="115"/>
        </w:rPr>
        <w:t>tolérance</w:t>
      </w:r>
      <w:r>
        <w:rPr>
          <w:color w:val="231F20"/>
          <w:spacing w:val="-7"/>
          <w:w w:val="115"/>
        </w:rPr>
        <w:t> </w:t>
      </w:r>
      <w:r>
        <w:rPr>
          <w:color w:val="231F20"/>
          <w:w w:val="115"/>
        </w:rPr>
        <w:t>au</w:t>
      </w:r>
      <w:r>
        <w:rPr>
          <w:color w:val="231F20"/>
          <w:spacing w:val="-7"/>
          <w:w w:val="115"/>
        </w:rPr>
        <w:t> </w:t>
      </w:r>
      <w:r>
        <w:rPr>
          <w:color w:val="231F20"/>
          <w:w w:val="115"/>
        </w:rPr>
        <w:t>stress</w:t>
      </w:r>
      <w:r>
        <w:rPr>
          <w:color w:val="231F20"/>
          <w:spacing w:val="-7"/>
          <w:w w:val="115"/>
        </w:rPr>
        <w:t> </w:t>
      </w:r>
      <w:r>
        <w:rPr>
          <w:color w:val="231F20"/>
          <w:w w:val="115"/>
        </w:rPr>
        <w:t>est</w:t>
      </w:r>
      <w:r>
        <w:rPr>
          <w:color w:val="231F20"/>
          <w:spacing w:val="-7"/>
          <w:w w:val="115"/>
        </w:rPr>
        <w:t> </w:t>
      </w:r>
      <w:r>
        <w:rPr>
          <w:color w:val="231F20"/>
          <w:w w:val="115"/>
        </w:rPr>
        <w:t>la</w:t>
      </w:r>
      <w:r>
        <w:rPr>
          <w:color w:val="231F20"/>
          <w:spacing w:val="-7"/>
          <w:w w:val="115"/>
        </w:rPr>
        <w:t> </w:t>
      </w:r>
      <w:r>
        <w:rPr>
          <w:color w:val="231F20"/>
          <w:w w:val="115"/>
        </w:rPr>
        <w:t>quantité</w:t>
      </w:r>
      <w:r>
        <w:rPr>
          <w:color w:val="231F20"/>
          <w:spacing w:val="-7"/>
          <w:w w:val="115"/>
        </w:rPr>
        <w:t> </w:t>
      </w:r>
      <w:r>
        <w:rPr>
          <w:color w:val="231F20"/>
          <w:w w:val="115"/>
        </w:rPr>
        <w:t>de</w:t>
      </w:r>
      <w:r>
        <w:rPr>
          <w:color w:val="231F20"/>
          <w:spacing w:val="-7"/>
          <w:w w:val="115"/>
        </w:rPr>
        <w:t> </w:t>
      </w:r>
      <w:r>
        <w:rPr>
          <w:color w:val="231F20"/>
          <w:w w:val="115"/>
        </w:rPr>
        <w:t>stress</w:t>
      </w:r>
      <w:r>
        <w:rPr>
          <w:color w:val="231F20"/>
          <w:spacing w:val="-7"/>
          <w:w w:val="115"/>
        </w:rPr>
        <w:t> </w:t>
      </w:r>
      <w:r>
        <w:rPr>
          <w:color w:val="231F20"/>
          <w:w w:val="115"/>
        </w:rPr>
        <w:t>qu’une</w:t>
      </w:r>
      <w:r>
        <w:rPr>
          <w:color w:val="231F20"/>
          <w:spacing w:val="-7"/>
          <w:w w:val="115"/>
        </w:rPr>
        <w:t> </w:t>
      </w:r>
      <w:r>
        <w:rPr>
          <w:color w:val="231F20"/>
          <w:w w:val="115"/>
        </w:rPr>
        <w:t>personne</w:t>
      </w:r>
      <w:r>
        <w:rPr>
          <w:color w:val="231F20"/>
          <w:spacing w:val="-7"/>
          <w:w w:val="115"/>
        </w:rPr>
        <w:t> </w:t>
      </w:r>
      <w:r>
        <w:rPr>
          <w:color w:val="231F20"/>
          <w:w w:val="115"/>
        </w:rPr>
        <w:t>est</w:t>
      </w:r>
      <w:r>
        <w:rPr>
          <w:color w:val="231F20"/>
          <w:spacing w:val="-7"/>
          <w:w w:val="115"/>
        </w:rPr>
        <w:t> </w:t>
      </w:r>
      <w:r>
        <w:rPr>
          <w:color w:val="231F20"/>
          <w:w w:val="115"/>
        </w:rPr>
        <w:t>capable </w:t>
      </w:r>
      <w:r>
        <w:rPr>
          <w:color w:val="231F20"/>
          <w:spacing w:val="-2"/>
          <w:w w:val="120"/>
        </w:rPr>
        <w:t>de</w:t>
      </w:r>
      <w:r>
        <w:rPr>
          <w:color w:val="231F20"/>
          <w:spacing w:val="-13"/>
          <w:w w:val="120"/>
        </w:rPr>
        <w:t> </w:t>
      </w:r>
      <w:r>
        <w:rPr>
          <w:color w:val="231F20"/>
          <w:spacing w:val="-2"/>
          <w:w w:val="120"/>
        </w:rPr>
        <w:t>supporter</w:t>
      </w:r>
      <w:r>
        <w:rPr>
          <w:color w:val="231F20"/>
          <w:spacing w:val="-11"/>
          <w:w w:val="120"/>
        </w:rPr>
        <w:t> </w:t>
      </w:r>
      <w:r>
        <w:rPr>
          <w:color w:val="231F20"/>
          <w:spacing w:val="-2"/>
          <w:w w:val="120"/>
        </w:rPr>
        <w:t>sans</w:t>
      </w:r>
      <w:r>
        <w:rPr>
          <w:color w:val="231F20"/>
          <w:spacing w:val="-11"/>
          <w:w w:val="120"/>
        </w:rPr>
        <w:t> </w:t>
      </w:r>
      <w:r>
        <w:rPr>
          <w:color w:val="231F20"/>
          <w:spacing w:val="-2"/>
          <w:w w:val="120"/>
        </w:rPr>
        <w:t>incidence</w:t>
      </w:r>
      <w:r>
        <w:rPr>
          <w:color w:val="231F20"/>
          <w:spacing w:val="-10"/>
          <w:w w:val="120"/>
        </w:rPr>
        <w:t> </w:t>
      </w:r>
      <w:r>
        <w:rPr>
          <w:color w:val="231F20"/>
          <w:spacing w:val="-2"/>
          <w:w w:val="120"/>
        </w:rPr>
        <w:t>significative</w:t>
      </w:r>
      <w:r>
        <w:rPr>
          <w:color w:val="231F20"/>
          <w:spacing w:val="-11"/>
          <w:w w:val="120"/>
        </w:rPr>
        <w:t> </w:t>
      </w:r>
      <w:r>
        <w:rPr>
          <w:color w:val="231F20"/>
          <w:spacing w:val="-2"/>
          <w:w w:val="120"/>
        </w:rPr>
        <w:t>sur</w:t>
      </w:r>
      <w:r>
        <w:rPr>
          <w:color w:val="231F20"/>
          <w:spacing w:val="-11"/>
          <w:w w:val="120"/>
        </w:rPr>
        <w:t> </w:t>
      </w:r>
      <w:r>
        <w:rPr>
          <w:color w:val="231F20"/>
          <w:spacing w:val="-2"/>
          <w:w w:val="120"/>
        </w:rPr>
        <w:t>son</w:t>
      </w:r>
      <w:r>
        <w:rPr>
          <w:color w:val="231F20"/>
          <w:spacing w:val="-11"/>
          <w:w w:val="120"/>
        </w:rPr>
        <w:t> </w:t>
      </w:r>
      <w:r>
        <w:rPr>
          <w:color w:val="231F20"/>
          <w:spacing w:val="-2"/>
          <w:w w:val="120"/>
        </w:rPr>
        <w:t>fonctionnement</w:t>
      </w:r>
      <w:r>
        <w:rPr>
          <w:color w:val="231F20"/>
          <w:spacing w:val="-10"/>
          <w:w w:val="120"/>
        </w:rPr>
        <w:t> </w:t>
      </w:r>
      <w:r>
        <w:rPr>
          <w:color w:val="231F20"/>
          <w:spacing w:val="-2"/>
          <w:w w:val="120"/>
        </w:rPr>
        <w:t>normal. </w:t>
      </w:r>
      <w:r>
        <w:rPr>
          <w:color w:val="231F20"/>
          <w:spacing w:val="-4"/>
          <w:w w:val="120"/>
        </w:rPr>
        <w:t>En général, la personne qui présente un haut niveau de tolérance au stress </w:t>
      </w:r>
      <w:r>
        <w:rPr>
          <w:color w:val="231F20"/>
          <w:w w:val="120"/>
        </w:rPr>
        <w:t>présente</w:t>
      </w:r>
      <w:r>
        <w:rPr>
          <w:color w:val="231F20"/>
          <w:spacing w:val="-7"/>
          <w:w w:val="120"/>
        </w:rPr>
        <w:t> </w:t>
      </w:r>
      <w:r>
        <w:rPr>
          <w:color w:val="231F20"/>
          <w:w w:val="120"/>
        </w:rPr>
        <w:t>des</w:t>
      </w:r>
      <w:r>
        <w:rPr>
          <w:color w:val="231F20"/>
          <w:spacing w:val="-7"/>
          <w:w w:val="120"/>
        </w:rPr>
        <w:t> </w:t>
      </w:r>
      <w:r>
        <w:rPr>
          <w:color w:val="231F20"/>
          <w:w w:val="120"/>
        </w:rPr>
        <w:t>symptômes</w:t>
      </w:r>
      <w:r>
        <w:rPr>
          <w:color w:val="231F20"/>
          <w:spacing w:val="-7"/>
          <w:w w:val="120"/>
        </w:rPr>
        <w:t> </w:t>
      </w:r>
      <w:r>
        <w:rPr>
          <w:color w:val="231F20"/>
          <w:w w:val="120"/>
        </w:rPr>
        <w:t>du</w:t>
      </w:r>
      <w:r>
        <w:rPr>
          <w:color w:val="231F20"/>
          <w:spacing w:val="-7"/>
          <w:w w:val="120"/>
        </w:rPr>
        <w:t> </w:t>
      </w:r>
      <w:r>
        <w:rPr>
          <w:color w:val="231F20"/>
          <w:w w:val="120"/>
        </w:rPr>
        <w:t>stress</w:t>
      </w:r>
      <w:r>
        <w:rPr>
          <w:color w:val="231F20"/>
          <w:spacing w:val="-7"/>
          <w:w w:val="120"/>
        </w:rPr>
        <w:t> </w:t>
      </w:r>
      <w:r>
        <w:rPr>
          <w:color w:val="231F20"/>
          <w:w w:val="120"/>
        </w:rPr>
        <w:t>beaucoup</w:t>
      </w:r>
      <w:r>
        <w:rPr>
          <w:color w:val="231F20"/>
          <w:spacing w:val="-7"/>
          <w:w w:val="120"/>
        </w:rPr>
        <w:t> </w:t>
      </w:r>
      <w:r>
        <w:rPr>
          <w:color w:val="231F20"/>
          <w:w w:val="120"/>
        </w:rPr>
        <w:t>plus</w:t>
      </w:r>
      <w:r>
        <w:rPr>
          <w:color w:val="231F20"/>
          <w:spacing w:val="-7"/>
          <w:w w:val="120"/>
        </w:rPr>
        <w:t> </w:t>
      </w:r>
      <w:r>
        <w:rPr>
          <w:color w:val="231F20"/>
          <w:w w:val="120"/>
        </w:rPr>
        <w:t>tardivement</w:t>
      </w:r>
      <w:r>
        <w:rPr>
          <w:color w:val="231F20"/>
          <w:spacing w:val="-7"/>
          <w:w w:val="120"/>
        </w:rPr>
        <w:t> </w:t>
      </w:r>
      <w:r>
        <w:rPr>
          <w:color w:val="231F20"/>
          <w:w w:val="120"/>
        </w:rPr>
        <w:t>que</w:t>
      </w:r>
      <w:r>
        <w:rPr>
          <w:color w:val="231F20"/>
          <w:spacing w:val="-7"/>
          <w:w w:val="120"/>
        </w:rPr>
        <w:t> </w:t>
      </w:r>
      <w:r>
        <w:rPr>
          <w:color w:val="231F20"/>
          <w:w w:val="120"/>
        </w:rPr>
        <w:t>celle dont le niveau de tolérance est bas. De quoi dépend ce niveau de tolé- rance?</w:t>
      </w:r>
      <w:r>
        <w:rPr>
          <w:color w:val="231F20"/>
          <w:spacing w:val="-5"/>
          <w:w w:val="120"/>
        </w:rPr>
        <w:t> </w:t>
      </w:r>
      <w:r>
        <w:rPr>
          <w:color w:val="231F20"/>
          <w:w w:val="120"/>
        </w:rPr>
        <w:t>Il</w:t>
      </w:r>
      <w:r>
        <w:rPr>
          <w:color w:val="231F20"/>
          <w:spacing w:val="-5"/>
          <w:w w:val="120"/>
        </w:rPr>
        <w:t> </w:t>
      </w:r>
      <w:r>
        <w:rPr>
          <w:color w:val="231F20"/>
          <w:w w:val="120"/>
        </w:rPr>
        <w:t>a</w:t>
      </w:r>
      <w:r>
        <w:rPr>
          <w:color w:val="231F20"/>
          <w:spacing w:val="-5"/>
          <w:w w:val="120"/>
        </w:rPr>
        <w:t> </w:t>
      </w:r>
      <w:r>
        <w:rPr>
          <w:color w:val="231F20"/>
          <w:w w:val="120"/>
        </w:rPr>
        <w:t>une</w:t>
      </w:r>
      <w:r>
        <w:rPr>
          <w:color w:val="231F20"/>
          <w:spacing w:val="-5"/>
          <w:w w:val="120"/>
        </w:rPr>
        <w:t> </w:t>
      </w:r>
      <w:r>
        <w:rPr>
          <w:color w:val="231F20"/>
          <w:w w:val="120"/>
        </w:rPr>
        <w:t>dimension</w:t>
      </w:r>
      <w:r>
        <w:rPr>
          <w:color w:val="231F20"/>
          <w:spacing w:val="-5"/>
          <w:w w:val="120"/>
        </w:rPr>
        <w:t> </w:t>
      </w:r>
      <w:r>
        <w:rPr>
          <w:color w:val="231F20"/>
          <w:w w:val="120"/>
        </w:rPr>
        <w:t>individuelle,</w:t>
      </w:r>
      <w:r>
        <w:rPr>
          <w:color w:val="231F20"/>
          <w:spacing w:val="-5"/>
          <w:w w:val="120"/>
        </w:rPr>
        <w:t> </w:t>
      </w:r>
      <w:r>
        <w:rPr>
          <w:color w:val="231F20"/>
          <w:w w:val="120"/>
        </w:rPr>
        <w:t>liée</w:t>
      </w:r>
      <w:r>
        <w:rPr>
          <w:color w:val="231F20"/>
          <w:spacing w:val="-5"/>
          <w:w w:val="120"/>
        </w:rPr>
        <w:t> </w:t>
      </w:r>
      <w:r>
        <w:rPr>
          <w:color w:val="231F20"/>
          <w:w w:val="120"/>
        </w:rPr>
        <w:t>entre</w:t>
      </w:r>
      <w:r>
        <w:rPr>
          <w:color w:val="231F20"/>
          <w:spacing w:val="-5"/>
          <w:w w:val="120"/>
        </w:rPr>
        <w:t> </w:t>
      </w:r>
      <w:r>
        <w:rPr>
          <w:color w:val="231F20"/>
          <w:w w:val="120"/>
        </w:rPr>
        <w:t>autres</w:t>
      </w:r>
      <w:r>
        <w:rPr>
          <w:color w:val="231F20"/>
          <w:spacing w:val="-5"/>
          <w:w w:val="120"/>
        </w:rPr>
        <w:t> </w:t>
      </w:r>
      <w:r>
        <w:rPr>
          <w:color w:val="231F20"/>
          <w:w w:val="120"/>
        </w:rPr>
        <w:t>aux</w:t>
      </w:r>
      <w:r>
        <w:rPr>
          <w:color w:val="231F20"/>
          <w:spacing w:val="-5"/>
          <w:w w:val="120"/>
        </w:rPr>
        <w:t> </w:t>
      </w:r>
      <w:r>
        <w:rPr>
          <w:color w:val="231F20"/>
          <w:w w:val="120"/>
        </w:rPr>
        <w:t>caractéris- tiques</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personnalité</w:t>
      </w:r>
      <w:r>
        <w:rPr>
          <w:color w:val="231F20"/>
          <w:spacing w:val="-12"/>
          <w:w w:val="120"/>
        </w:rPr>
        <w:t> </w:t>
      </w:r>
      <w:r>
        <w:rPr>
          <w:color w:val="231F20"/>
          <w:w w:val="120"/>
        </w:rPr>
        <w:t>(niveau</w:t>
      </w:r>
      <w:r>
        <w:rPr>
          <w:color w:val="231F20"/>
          <w:spacing w:val="-13"/>
          <w:w w:val="120"/>
        </w:rPr>
        <w:t> </w:t>
      </w:r>
      <w:r>
        <w:rPr>
          <w:color w:val="231F20"/>
          <w:w w:val="120"/>
        </w:rPr>
        <w:t>d’anxiété,</w:t>
      </w:r>
      <w:r>
        <w:rPr>
          <w:color w:val="231F20"/>
          <w:spacing w:val="-13"/>
          <w:w w:val="120"/>
        </w:rPr>
        <w:t> </w:t>
      </w:r>
      <w:r>
        <w:rPr>
          <w:color w:val="231F20"/>
          <w:w w:val="120"/>
        </w:rPr>
        <w:t>impulsivité,</w:t>
      </w:r>
      <w:r>
        <w:rPr>
          <w:color w:val="231F20"/>
          <w:spacing w:val="-13"/>
          <w:w w:val="120"/>
        </w:rPr>
        <w:t> </w:t>
      </w:r>
      <w:r>
        <w:rPr>
          <w:color w:val="231F20"/>
          <w:w w:val="120"/>
        </w:rPr>
        <w:t>réflexion,</w:t>
      </w:r>
      <w:r>
        <w:rPr>
          <w:color w:val="231F20"/>
          <w:spacing w:val="-12"/>
          <w:w w:val="120"/>
        </w:rPr>
        <w:t> </w:t>
      </w:r>
      <w:r>
        <w:rPr>
          <w:color w:val="231F20"/>
          <w:w w:val="120"/>
        </w:rPr>
        <w:t>etc.). </w:t>
      </w:r>
      <w:r>
        <w:rPr>
          <w:color w:val="231F20"/>
          <w:spacing w:val="-2"/>
          <w:w w:val="120"/>
        </w:rPr>
        <w:t>Cependant,</w:t>
      </w:r>
      <w:r>
        <w:rPr>
          <w:color w:val="231F20"/>
          <w:spacing w:val="-10"/>
          <w:w w:val="120"/>
        </w:rPr>
        <w:t> </w:t>
      </w:r>
      <w:r>
        <w:rPr>
          <w:color w:val="231F20"/>
          <w:spacing w:val="-2"/>
          <w:w w:val="120"/>
        </w:rPr>
        <w:t>comme</w:t>
      </w:r>
      <w:r>
        <w:rPr>
          <w:color w:val="231F20"/>
          <w:spacing w:val="-10"/>
          <w:w w:val="120"/>
        </w:rPr>
        <w:t> </w:t>
      </w:r>
      <w:r>
        <w:rPr>
          <w:color w:val="231F20"/>
          <w:spacing w:val="-2"/>
          <w:w w:val="120"/>
        </w:rPr>
        <w:t>nous</w:t>
      </w:r>
      <w:r>
        <w:rPr>
          <w:color w:val="231F20"/>
          <w:spacing w:val="-10"/>
          <w:w w:val="120"/>
        </w:rPr>
        <w:t> </w:t>
      </w:r>
      <w:r>
        <w:rPr>
          <w:color w:val="231F20"/>
          <w:spacing w:val="-2"/>
          <w:w w:val="120"/>
        </w:rPr>
        <w:t>le</w:t>
      </w:r>
      <w:r>
        <w:rPr>
          <w:color w:val="231F20"/>
          <w:spacing w:val="-10"/>
          <w:w w:val="120"/>
        </w:rPr>
        <w:t> </w:t>
      </w:r>
      <w:r>
        <w:rPr>
          <w:color w:val="231F20"/>
          <w:spacing w:val="-2"/>
          <w:w w:val="120"/>
        </w:rPr>
        <w:t>verrons</w:t>
      </w:r>
      <w:r>
        <w:rPr>
          <w:color w:val="231F20"/>
          <w:spacing w:val="-10"/>
          <w:w w:val="120"/>
        </w:rPr>
        <w:t> </w:t>
      </w:r>
      <w:r>
        <w:rPr>
          <w:color w:val="231F20"/>
          <w:spacing w:val="-2"/>
          <w:w w:val="120"/>
        </w:rPr>
        <w:t>plus</w:t>
      </w:r>
      <w:r>
        <w:rPr>
          <w:color w:val="231F20"/>
          <w:spacing w:val="-10"/>
          <w:w w:val="120"/>
        </w:rPr>
        <w:t> </w:t>
      </w:r>
      <w:r>
        <w:rPr>
          <w:color w:val="231F20"/>
          <w:spacing w:val="-2"/>
          <w:w w:val="120"/>
        </w:rPr>
        <w:t>loin,</w:t>
      </w:r>
      <w:r>
        <w:rPr>
          <w:color w:val="231F20"/>
          <w:spacing w:val="-10"/>
          <w:w w:val="120"/>
        </w:rPr>
        <w:t> </w:t>
      </w:r>
      <w:r>
        <w:rPr>
          <w:color w:val="231F20"/>
          <w:spacing w:val="-2"/>
          <w:w w:val="120"/>
        </w:rPr>
        <w:t>il</w:t>
      </w:r>
      <w:r>
        <w:rPr>
          <w:color w:val="231F20"/>
          <w:spacing w:val="-10"/>
          <w:w w:val="120"/>
        </w:rPr>
        <w:t> </w:t>
      </w:r>
      <w:r>
        <w:rPr>
          <w:color w:val="231F20"/>
          <w:spacing w:val="-2"/>
          <w:w w:val="120"/>
        </w:rPr>
        <w:t>a</w:t>
      </w:r>
      <w:r>
        <w:rPr>
          <w:color w:val="231F20"/>
          <w:spacing w:val="-10"/>
          <w:w w:val="120"/>
        </w:rPr>
        <w:t> </w:t>
      </w:r>
      <w:r>
        <w:rPr>
          <w:color w:val="231F20"/>
          <w:spacing w:val="-2"/>
          <w:w w:val="120"/>
        </w:rPr>
        <w:t>aussi</w:t>
      </w:r>
      <w:r>
        <w:rPr>
          <w:color w:val="231F20"/>
          <w:spacing w:val="-10"/>
          <w:w w:val="120"/>
        </w:rPr>
        <w:t> </w:t>
      </w:r>
      <w:r>
        <w:rPr>
          <w:color w:val="231F20"/>
          <w:spacing w:val="-2"/>
          <w:w w:val="120"/>
        </w:rPr>
        <w:t>des</w:t>
      </w:r>
      <w:r>
        <w:rPr>
          <w:color w:val="231F20"/>
          <w:spacing w:val="-10"/>
          <w:w w:val="120"/>
        </w:rPr>
        <w:t> </w:t>
      </w:r>
      <w:r>
        <w:rPr>
          <w:color w:val="231F20"/>
          <w:spacing w:val="-2"/>
          <w:w w:val="120"/>
        </w:rPr>
        <w:t>liens</w:t>
      </w:r>
      <w:r>
        <w:rPr>
          <w:color w:val="231F20"/>
          <w:spacing w:val="-10"/>
          <w:w w:val="120"/>
        </w:rPr>
        <w:t> </w:t>
      </w:r>
      <w:r>
        <w:rPr>
          <w:color w:val="231F20"/>
          <w:spacing w:val="-2"/>
          <w:w w:val="120"/>
        </w:rPr>
        <w:t>avec</w:t>
      </w:r>
      <w:r>
        <w:rPr>
          <w:color w:val="231F20"/>
          <w:spacing w:val="-10"/>
          <w:w w:val="120"/>
        </w:rPr>
        <w:t> </w:t>
      </w:r>
      <w:r>
        <w:rPr>
          <w:color w:val="231F20"/>
          <w:spacing w:val="-2"/>
          <w:w w:val="120"/>
        </w:rPr>
        <w:t>des </w:t>
      </w:r>
      <w:r>
        <w:rPr>
          <w:color w:val="231F20"/>
          <w:w w:val="120"/>
        </w:rPr>
        <w:t>facteurs socioculturels et organisationnels sur lesquels on peut aussi essayer</w:t>
      </w:r>
      <w:r>
        <w:rPr>
          <w:color w:val="231F20"/>
          <w:spacing w:val="-13"/>
          <w:w w:val="120"/>
        </w:rPr>
        <w:t> </w:t>
      </w:r>
      <w:r>
        <w:rPr>
          <w:color w:val="231F20"/>
          <w:w w:val="120"/>
        </w:rPr>
        <w:t>d’agir.</w:t>
      </w:r>
    </w:p>
    <w:p>
      <w:pPr>
        <w:pStyle w:val="BodyText"/>
        <w:spacing w:line="307" w:lineRule="auto" w:before="78"/>
        <w:ind w:left="1220" w:right="105" w:firstLine="250"/>
        <w:jc w:val="both"/>
      </w:pPr>
      <w:r>
        <w:rPr>
          <w:color w:val="231F20"/>
          <w:w w:val="120"/>
        </w:rPr>
        <w:t>Le</w:t>
      </w:r>
      <w:r>
        <w:rPr>
          <w:color w:val="231F20"/>
          <w:spacing w:val="-5"/>
          <w:w w:val="120"/>
        </w:rPr>
        <w:t> </w:t>
      </w:r>
      <w:r>
        <w:rPr>
          <w:color w:val="231F20"/>
          <w:w w:val="120"/>
        </w:rPr>
        <w:t>tableau</w:t>
      </w:r>
      <w:r>
        <w:rPr>
          <w:color w:val="231F20"/>
          <w:spacing w:val="-5"/>
          <w:w w:val="120"/>
        </w:rPr>
        <w:t> </w:t>
      </w:r>
      <w:r>
        <w:rPr>
          <w:color w:val="231F20"/>
          <w:w w:val="120"/>
        </w:rPr>
        <w:t>5.1</w:t>
      </w:r>
      <w:r>
        <w:rPr>
          <w:color w:val="231F20"/>
          <w:spacing w:val="-5"/>
          <w:w w:val="120"/>
        </w:rPr>
        <w:t> </w:t>
      </w:r>
      <w:r>
        <w:rPr>
          <w:color w:val="231F20"/>
          <w:w w:val="120"/>
        </w:rPr>
        <w:t>présente</w:t>
      </w:r>
      <w:r>
        <w:rPr>
          <w:color w:val="231F20"/>
          <w:spacing w:val="-5"/>
          <w:w w:val="120"/>
        </w:rPr>
        <w:t> </w:t>
      </w:r>
      <w:r>
        <w:rPr>
          <w:color w:val="231F20"/>
          <w:w w:val="120"/>
        </w:rPr>
        <w:t>quelques</w:t>
      </w:r>
      <w:r>
        <w:rPr>
          <w:color w:val="231F20"/>
          <w:spacing w:val="-5"/>
          <w:w w:val="120"/>
        </w:rPr>
        <w:t> </w:t>
      </w:r>
      <w:r>
        <w:rPr>
          <w:color w:val="231F20"/>
          <w:w w:val="120"/>
        </w:rPr>
        <w:t>stratégies</w:t>
      </w:r>
      <w:r>
        <w:rPr>
          <w:color w:val="231F20"/>
          <w:spacing w:val="-5"/>
          <w:w w:val="120"/>
        </w:rPr>
        <w:t> </w:t>
      </w:r>
      <w:r>
        <w:rPr>
          <w:color w:val="231F20"/>
          <w:w w:val="120"/>
        </w:rPr>
        <w:t>classiques</w:t>
      </w:r>
      <w:r>
        <w:rPr>
          <w:color w:val="231F20"/>
          <w:spacing w:val="-5"/>
          <w:w w:val="120"/>
        </w:rPr>
        <w:t> </w:t>
      </w:r>
      <w:r>
        <w:rPr>
          <w:color w:val="231F20"/>
          <w:w w:val="120"/>
        </w:rPr>
        <w:t>de</w:t>
      </w:r>
      <w:r>
        <w:rPr>
          <w:color w:val="231F20"/>
          <w:spacing w:val="-5"/>
          <w:w w:val="120"/>
        </w:rPr>
        <w:t> </w:t>
      </w:r>
      <w:r>
        <w:rPr>
          <w:color w:val="231F20"/>
          <w:w w:val="120"/>
        </w:rPr>
        <w:t>gestion</w:t>
      </w:r>
      <w:r>
        <w:rPr>
          <w:color w:val="231F20"/>
          <w:spacing w:val="-5"/>
          <w:w w:val="120"/>
        </w:rPr>
        <w:t> </w:t>
      </w:r>
      <w:r>
        <w:rPr>
          <w:color w:val="231F20"/>
          <w:w w:val="120"/>
        </w:rPr>
        <w:t>du stress proposées par des théoriciens de premier plan du domaine de la gestion du stress.</w:t>
      </w:r>
    </w:p>
    <w:p>
      <w:pPr>
        <w:pStyle w:val="BodyText"/>
        <w:spacing w:before="8"/>
        <w:rPr>
          <w:sz w:val="21"/>
        </w:rPr>
      </w:pPr>
    </w:p>
    <w:p>
      <w:pPr>
        <w:pStyle w:val="BodyText"/>
        <w:spacing w:line="307" w:lineRule="auto"/>
        <w:ind w:left="1220" w:right="99"/>
        <w:jc w:val="both"/>
      </w:pPr>
      <w:r>
        <w:rPr>
          <w:b/>
          <w:color w:val="231F20"/>
          <w:w w:val="115"/>
        </w:rPr>
        <w:t>Les</w:t>
      </w:r>
      <w:r>
        <w:rPr>
          <w:b/>
          <w:color w:val="231F20"/>
          <w:spacing w:val="-13"/>
          <w:w w:val="115"/>
        </w:rPr>
        <w:t> </w:t>
      </w:r>
      <w:r>
        <w:rPr>
          <w:b/>
          <w:color w:val="231F20"/>
          <w:w w:val="115"/>
        </w:rPr>
        <w:t>techniques</w:t>
      </w:r>
      <w:r>
        <w:rPr>
          <w:b/>
          <w:color w:val="231F20"/>
          <w:spacing w:val="-12"/>
          <w:w w:val="115"/>
        </w:rPr>
        <w:t> </w:t>
      </w:r>
      <w:r>
        <w:rPr>
          <w:b/>
          <w:color w:val="231F20"/>
          <w:w w:val="115"/>
        </w:rPr>
        <w:t>de</w:t>
      </w:r>
      <w:r>
        <w:rPr>
          <w:b/>
          <w:color w:val="231F20"/>
          <w:spacing w:val="-12"/>
          <w:w w:val="115"/>
        </w:rPr>
        <w:t> </w:t>
      </w:r>
      <w:r>
        <w:rPr>
          <w:b/>
          <w:color w:val="231F20"/>
          <w:w w:val="115"/>
        </w:rPr>
        <w:t>relaxation.</w:t>
      </w:r>
      <w:r>
        <w:rPr>
          <w:b/>
          <w:color w:val="231F20"/>
          <w:spacing w:val="-12"/>
          <w:w w:val="115"/>
        </w:rPr>
        <w:t> </w:t>
      </w:r>
      <w:r>
        <w:rPr>
          <w:color w:val="231F20"/>
          <w:w w:val="115"/>
        </w:rPr>
        <w:t>Les</w:t>
      </w:r>
      <w:r>
        <w:rPr>
          <w:color w:val="231F20"/>
          <w:spacing w:val="-13"/>
          <w:w w:val="115"/>
        </w:rPr>
        <w:t> </w:t>
      </w:r>
      <w:r>
        <w:rPr>
          <w:color w:val="231F20"/>
          <w:w w:val="115"/>
        </w:rPr>
        <w:t>techniques</w:t>
      </w:r>
      <w:r>
        <w:rPr>
          <w:color w:val="231F20"/>
          <w:spacing w:val="-12"/>
          <w:w w:val="115"/>
        </w:rPr>
        <w:t> </w:t>
      </w:r>
      <w:r>
        <w:rPr>
          <w:color w:val="231F20"/>
          <w:w w:val="115"/>
        </w:rPr>
        <w:t>de</w:t>
      </w:r>
      <w:r>
        <w:rPr>
          <w:color w:val="231F20"/>
          <w:spacing w:val="-12"/>
          <w:w w:val="115"/>
        </w:rPr>
        <w:t> </w:t>
      </w:r>
      <w:r>
        <w:rPr>
          <w:color w:val="231F20"/>
          <w:w w:val="115"/>
        </w:rPr>
        <w:t>relaxation</w:t>
      </w:r>
      <w:r>
        <w:rPr>
          <w:color w:val="231F20"/>
          <w:spacing w:val="-12"/>
          <w:w w:val="115"/>
        </w:rPr>
        <w:t> </w:t>
      </w:r>
      <w:r>
        <w:rPr>
          <w:color w:val="231F20"/>
          <w:w w:val="115"/>
        </w:rPr>
        <w:t>sont</w:t>
      </w:r>
      <w:r>
        <w:rPr>
          <w:color w:val="231F20"/>
          <w:spacing w:val="-12"/>
          <w:w w:val="115"/>
        </w:rPr>
        <w:t> </w:t>
      </w:r>
      <w:r>
        <w:rPr>
          <w:color w:val="231F20"/>
          <w:w w:val="115"/>
        </w:rPr>
        <w:t>des</w:t>
      </w:r>
      <w:r>
        <w:rPr>
          <w:color w:val="231F20"/>
          <w:spacing w:val="-13"/>
          <w:w w:val="115"/>
        </w:rPr>
        <w:t> </w:t>
      </w:r>
      <w:r>
        <w:rPr>
          <w:color w:val="231F20"/>
          <w:w w:val="115"/>
        </w:rPr>
        <w:t>outils </w:t>
      </w:r>
      <w:r>
        <w:rPr>
          <w:color w:val="231F20"/>
          <w:w w:val="120"/>
        </w:rPr>
        <w:t>très</w:t>
      </w:r>
      <w:r>
        <w:rPr>
          <w:color w:val="231F20"/>
          <w:spacing w:val="-10"/>
          <w:w w:val="120"/>
        </w:rPr>
        <w:t> </w:t>
      </w:r>
      <w:r>
        <w:rPr>
          <w:color w:val="231F20"/>
          <w:w w:val="120"/>
        </w:rPr>
        <w:t>prisés</w:t>
      </w:r>
      <w:r>
        <w:rPr>
          <w:color w:val="231F20"/>
          <w:spacing w:val="-10"/>
          <w:w w:val="120"/>
        </w:rPr>
        <w:t> </w:t>
      </w:r>
      <w:r>
        <w:rPr>
          <w:color w:val="231F20"/>
          <w:w w:val="120"/>
        </w:rPr>
        <w:t>dans</w:t>
      </w:r>
      <w:r>
        <w:rPr>
          <w:color w:val="231F20"/>
          <w:spacing w:val="-10"/>
          <w:w w:val="120"/>
        </w:rPr>
        <w:t> </w:t>
      </w:r>
      <w:r>
        <w:rPr>
          <w:color w:val="231F20"/>
          <w:w w:val="120"/>
        </w:rPr>
        <w:t>la</w:t>
      </w:r>
      <w:r>
        <w:rPr>
          <w:color w:val="231F20"/>
          <w:spacing w:val="-10"/>
          <w:w w:val="120"/>
        </w:rPr>
        <w:t> </w:t>
      </w:r>
      <w:r>
        <w:rPr>
          <w:color w:val="231F20"/>
          <w:w w:val="120"/>
        </w:rPr>
        <w:t>société</w:t>
      </w:r>
      <w:r>
        <w:rPr>
          <w:color w:val="231F20"/>
          <w:spacing w:val="-10"/>
          <w:w w:val="120"/>
        </w:rPr>
        <w:t> </w:t>
      </w:r>
      <w:r>
        <w:rPr>
          <w:color w:val="231F20"/>
          <w:w w:val="120"/>
        </w:rPr>
        <w:t>d’aujourd’hui,</w:t>
      </w:r>
      <w:r>
        <w:rPr>
          <w:color w:val="231F20"/>
          <w:spacing w:val="-10"/>
          <w:w w:val="120"/>
        </w:rPr>
        <w:t> </w:t>
      </w:r>
      <w:r>
        <w:rPr>
          <w:color w:val="231F20"/>
          <w:w w:val="120"/>
        </w:rPr>
        <w:t>où</w:t>
      </w:r>
      <w:r>
        <w:rPr>
          <w:color w:val="231F20"/>
          <w:spacing w:val="-10"/>
          <w:w w:val="120"/>
        </w:rPr>
        <w:t> </w:t>
      </w:r>
      <w:r>
        <w:rPr>
          <w:color w:val="231F20"/>
          <w:w w:val="120"/>
        </w:rPr>
        <w:t>le</w:t>
      </w:r>
      <w:r>
        <w:rPr>
          <w:color w:val="231F20"/>
          <w:spacing w:val="-10"/>
          <w:w w:val="120"/>
        </w:rPr>
        <w:t> </w:t>
      </w:r>
      <w:r>
        <w:rPr>
          <w:color w:val="231F20"/>
          <w:w w:val="120"/>
        </w:rPr>
        <w:t>stress</w:t>
      </w:r>
      <w:r>
        <w:rPr>
          <w:color w:val="231F20"/>
          <w:spacing w:val="-10"/>
          <w:w w:val="120"/>
        </w:rPr>
        <w:t> </w:t>
      </w:r>
      <w:r>
        <w:rPr>
          <w:color w:val="231F20"/>
          <w:w w:val="120"/>
        </w:rPr>
        <w:t>et</w:t>
      </w:r>
      <w:r>
        <w:rPr>
          <w:color w:val="231F20"/>
          <w:spacing w:val="-10"/>
          <w:w w:val="120"/>
        </w:rPr>
        <w:t> </w:t>
      </w:r>
      <w:r>
        <w:rPr>
          <w:color w:val="231F20"/>
          <w:w w:val="120"/>
        </w:rPr>
        <w:t>le</w:t>
      </w:r>
      <w:r>
        <w:rPr>
          <w:color w:val="231F20"/>
          <w:spacing w:val="-10"/>
          <w:w w:val="120"/>
        </w:rPr>
        <w:t> </w:t>
      </w:r>
      <w:r>
        <w:rPr>
          <w:color w:val="231F20"/>
          <w:w w:val="120"/>
        </w:rPr>
        <w:t>rythme</w:t>
      </w:r>
      <w:r>
        <w:rPr>
          <w:color w:val="231F20"/>
          <w:spacing w:val="-10"/>
          <w:w w:val="120"/>
        </w:rPr>
        <w:t> </w:t>
      </w:r>
      <w:r>
        <w:rPr>
          <w:color w:val="231F20"/>
          <w:w w:val="120"/>
        </w:rPr>
        <w:t>rapide de la vie moderne causent des problèmes psychologiques à grande échelle.</w:t>
      </w:r>
      <w:r>
        <w:rPr>
          <w:color w:val="231F20"/>
          <w:spacing w:val="-13"/>
          <w:w w:val="120"/>
        </w:rPr>
        <w:t> </w:t>
      </w:r>
      <w:r>
        <w:rPr>
          <w:color w:val="231F20"/>
          <w:w w:val="120"/>
        </w:rPr>
        <w:t>La</w:t>
      </w:r>
      <w:r>
        <w:rPr>
          <w:color w:val="231F20"/>
          <w:spacing w:val="-13"/>
          <w:w w:val="120"/>
        </w:rPr>
        <w:t> </w:t>
      </w:r>
      <w:r>
        <w:rPr>
          <w:color w:val="231F20"/>
          <w:w w:val="120"/>
        </w:rPr>
        <w:t>relaxation,</w:t>
      </w:r>
      <w:r>
        <w:rPr>
          <w:color w:val="231F20"/>
          <w:spacing w:val="-13"/>
          <w:w w:val="120"/>
        </w:rPr>
        <w:t> </w:t>
      </w:r>
      <w:r>
        <w:rPr>
          <w:color w:val="231F20"/>
          <w:w w:val="120"/>
        </w:rPr>
        <w:t>une</w:t>
      </w:r>
      <w:r>
        <w:rPr>
          <w:color w:val="231F20"/>
          <w:spacing w:val="-12"/>
          <w:w w:val="120"/>
        </w:rPr>
        <w:t> </w:t>
      </w:r>
      <w:r>
        <w:rPr>
          <w:color w:val="231F20"/>
          <w:w w:val="120"/>
        </w:rPr>
        <w:t>technique</w:t>
      </w:r>
      <w:r>
        <w:rPr>
          <w:color w:val="231F20"/>
          <w:spacing w:val="-13"/>
          <w:w w:val="120"/>
        </w:rPr>
        <w:t> </w:t>
      </w:r>
      <w:r>
        <w:rPr>
          <w:color w:val="231F20"/>
          <w:w w:val="120"/>
        </w:rPr>
        <w:t>classique</w:t>
      </w:r>
      <w:r>
        <w:rPr>
          <w:color w:val="231F20"/>
          <w:spacing w:val="-13"/>
          <w:w w:val="120"/>
        </w:rPr>
        <w:t> </w:t>
      </w:r>
      <w:r>
        <w:rPr>
          <w:color w:val="231F20"/>
          <w:w w:val="120"/>
        </w:rPr>
        <w:t>proposée</w:t>
      </w:r>
      <w:r>
        <w:rPr>
          <w:color w:val="231F20"/>
          <w:spacing w:val="-13"/>
          <w:w w:val="120"/>
        </w:rPr>
        <w:t> </w:t>
      </w:r>
      <w:r>
        <w:rPr>
          <w:color w:val="231F20"/>
          <w:w w:val="120"/>
        </w:rPr>
        <w:t>par</w:t>
      </w:r>
      <w:r>
        <w:rPr>
          <w:color w:val="231F20"/>
          <w:spacing w:val="-12"/>
          <w:w w:val="120"/>
        </w:rPr>
        <w:t> </w:t>
      </w:r>
      <w:r>
        <w:rPr>
          <w:color w:val="231F20"/>
          <w:w w:val="120"/>
        </w:rPr>
        <w:t>divers</w:t>
      </w:r>
      <w:r>
        <w:rPr>
          <w:color w:val="231F20"/>
          <w:spacing w:val="-13"/>
          <w:w w:val="120"/>
        </w:rPr>
        <w:t> </w:t>
      </w:r>
      <w:r>
        <w:rPr>
          <w:color w:val="231F20"/>
          <w:w w:val="120"/>
        </w:rPr>
        <w:t>cou- </w:t>
      </w:r>
      <w:r>
        <w:rPr>
          <w:color w:val="231F20"/>
          <w:spacing w:val="-2"/>
          <w:w w:val="120"/>
        </w:rPr>
        <w:t>rants</w:t>
      </w:r>
      <w:r>
        <w:rPr>
          <w:color w:val="231F20"/>
          <w:spacing w:val="-6"/>
          <w:w w:val="120"/>
        </w:rPr>
        <w:t> </w:t>
      </w:r>
      <w:r>
        <w:rPr>
          <w:color w:val="231F20"/>
          <w:spacing w:val="-2"/>
          <w:w w:val="120"/>
        </w:rPr>
        <w:t>en</w:t>
      </w:r>
      <w:r>
        <w:rPr>
          <w:color w:val="231F20"/>
          <w:spacing w:val="-6"/>
          <w:w w:val="120"/>
        </w:rPr>
        <w:t> </w:t>
      </w:r>
      <w:r>
        <w:rPr>
          <w:color w:val="231F20"/>
          <w:spacing w:val="-2"/>
          <w:w w:val="120"/>
        </w:rPr>
        <w:t>psychologie,</w:t>
      </w:r>
      <w:r>
        <w:rPr>
          <w:color w:val="231F20"/>
          <w:spacing w:val="-6"/>
          <w:w w:val="120"/>
        </w:rPr>
        <w:t> </w:t>
      </w:r>
      <w:r>
        <w:rPr>
          <w:color w:val="231F20"/>
          <w:spacing w:val="-2"/>
          <w:w w:val="120"/>
        </w:rPr>
        <w:t>demeure</w:t>
      </w:r>
      <w:r>
        <w:rPr>
          <w:color w:val="231F20"/>
          <w:spacing w:val="-6"/>
          <w:w w:val="120"/>
        </w:rPr>
        <w:t> </w:t>
      </w:r>
      <w:r>
        <w:rPr>
          <w:color w:val="231F20"/>
          <w:spacing w:val="-2"/>
          <w:w w:val="120"/>
        </w:rPr>
        <w:t>largement</w:t>
      </w:r>
      <w:r>
        <w:rPr>
          <w:color w:val="231F20"/>
          <w:spacing w:val="-6"/>
          <w:w w:val="120"/>
        </w:rPr>
        <w:t> </w:t>
      </w:r>
      <w:r>
        <w:rPr>
          <w:color w:val="231F20"/>
          <w:spacing w:val="-2"/>
          <w:w w:val="120"/>
        </w:rPr>
        <w:t>répandue</w:t>
      </w:r>
      <w:r>
        <w:rPr>
          <w:color w:val="231F20"/>
          <w:spacing w:val="-6"/>
          <w:w w:val="120"/>
        </w:rPr>
        <w:t> </w:t>
      </w:r>
      <w:r>
        <w:rPr>
          <w:color w:val="231F20"/>
          <w:spacing w:val="-2"/>
          <w:w w:val="120"/>
        </w:rPr>
        <w:t>en</w:t>
      </w:r>
      <w:r>
        <w:rPr>
          <w:color w:val="231F20"/>
          <w:spacing w:val="-6"/>
          <w:w w:val="120"/>
        </w:rPr>
        <w:t> </w:t>
      </w:r>
      <w:r>
        <w:rPr>
          <w:color w:val="231F20"/>
          <w:spacing w:val="-2"/>
          <w:w w:val="120"/>
        </w:rPr>
        <w:t>tant</w:t>
      </w:r>
      <w:r>
        <w:rPr>
          <w:color w:val="231F20"/>
          <w:spacing w:val="-6"/>
          <w:w w:val="120"/>
        </w:rPr>
        <w:t> </w:t>
      </w:r>
      <w:r>
        <w:rPr>
          <w:color w:val="231F20"/>
          <w:spacing w:val="-2"/>
          <w:w w:val="120"/>
        </w:rPr>
        <w:t>que</w:t>
      </w:r>
      <w:r>
        <w:rPr>
          <w:color w:val="231F20"/>
          <w:spacing w:val="-6"/>
          <w:w w:val="120"/>
        </w:rPr>
        <w:t> </w:t>
      </w:r>
      <w:r>
        <w:rPr>
          <w:color w:val="231F20"/>
          <w:spacing w:val="-2"/>
          <w:w w:val="120"/>
        </w:rPr>
        <w:t>fin</w:t>
      </w:r>
      <w:r>
        <w:rPr>
          <w:color w:val="231F20"/>
          <w:spacing w:val="-6"/>
          <w:w w:val="120"/>
        </w:rPr>
        <w:t> </w:t>
      </w:r>
      <w:r>
        <w:rPr>
          <w:color w:val="231F20"/>
          <w:spacing w:val="-2"/>
          <w:w w:val="120"/>
        </w:rPr>
        <w:t>en</w:t>
      </w:r>
      <w:r>
        <w:rPr>
          <w:color w:val="231F20"/>
          <w:spacing w:val="-6"/>
          <w:w w:val="120"/>
        </w:rPr>
        <w:t> </w:t>
      </w:r>
      <w:r>
        <w:rPr>
          <w:color w:val="231F20"/>
          <w:spacing w:val="-2"/>
          <w:w w:val="120"/>
        </w:rPr>
        <w:t>soi </w:t>
      </w:r>
      <w:r>
        <w:rPr>
          <w:color w:val="231F20"/>
          <w:w w:val="120"/>
        </w:rPr>
        <w:t>et</w:t>
      </w:r>
      <w:r>
        <w:rPr>
          <w:color w:val="231F20"/>
          <w:spacing w:val="-5"/>
          <w:w w:val="120"/>
        </w:rPr>
        <w:t> </w:t>
      </w:r>
      <w:r>
        <w:rPr>
          <w:color w:val="231F20"/>
          <w:w w:val="120"/>
        </w:rPr>
        <w:t>en</w:t>
      </w:r>
      <w:r>
        <w:rPr>
          <w:color w:val="231F20"/>
          <w:spacing w:val="-5"/>
          <w:w w:val="120"/>
        </w:rPr>
        <w:t> </w:t>
      </w:r>
      <w:r>
        <w:rPr>
          <w:color w:val="231F20"/>
          <w:w w:val="120"/>
        </w:rPr>
        <w:t>complément</w:t>
      </w:r>
      <w:r>
        <w:rPr>
          <w:color w:val="231F20"/>
          <w:spacing w:val="-5"/>
          <w:w w:val="120"/>
        </w:rPr>
        <w:t> </w:t>
      </w:r>
      <w:r>
        <w:rPr>
          <w:color w:val="231F20"/>
          <w:w w:val="120"/>
        </w:rPr>
        <w:t>à</w:t>
      </w:r>
      <w:r>
        <w:rPr>
          <w:color w:val="231F20"/>
          <w:spacing w:val="-5"/>
          <w:w w:val="120"/>
        </w:rPr>
        <w:t> </w:t>
      </w:r>
      <w:r>
        <w:rPr>
          <w:color w:val="231F20"/>
          <w:w w:val="120"/>
        </w:rPr>
        <w:t>d’autres</w:t>
      </w:r>
      <w:r>
        <w:rPr>
          <w:color w:val="231F20"/>
          <w:spacing w:val="-5"/>
          <w:w w:val="120"/>
        </w:rPr>
        <w:t> </w:t>
      </w:r>
      <w:r>
        <w:rPr>
          <w:color w:val="231F20"/>
          <w:w w:val="120"/>
        </w:rPr>
        <w:t>approches</w:t>
      </w:r>
      <w:r>
        <w:rPr>
          <w:color w:val="231F20"/>
          <w:spacing w:val="-5"/>
          <w:w w:val="120"/>
        </w:rPr>
        <w:t> </w:t>
      </w:r>
      <w:r>
        <w:rPr>
          <w:color w:val="231F20"/>
          <w:w w:val="120"/>
        </w:rPr>
        <w:t>thérapeutiques.</w:t>
      </w:r>
      <w:r>
        <w:rPr>
          <w:color w:val="231F20"/>
          <w:spacing w:val="-5"/>
          <w:w w:val="120"/>
        </w:rPr>
        <w:t> </w:t>
      </w:r>
      <w:r>
        <w:rPr>
          <w:color w:val="231F20"/>
          <w:w w:val="120"/>
        </w:rPr>
        <w:t>Des</w:t>
      </w:r>
      <w:r>
        <w:rPr>
          <w:color w:val="231F20"/>
          <w:spacing w:val="-5"/>
          <w:w w:val="120"/>
        </w:rPr>
        <w:t> </w:t>
      </w:r>
      <w:r>
        <w:rPr>
          <w:color w:val="231F20"/>
          <w:w w:val="120"/>
        </w:rPr>
        <w:t>recherches ont</w:t>
      </w:r>
      <w:r>
        <w:rPr>
          <w:color w:val="231F20"/>
          <w:spacing w:val="40"/>
          <w:w w:val="120"/>
        </w:rPr>
        <w:t> </w:t>
      </w:r>
      <w:r>
        <w:rPr>
          <w:color w:val="231F20"/>
          <w:w w:val="120"/>
        </w:rPr>
        <w:t>démontré</w:t>
      </w:r>
      <w:r>
        <w:rPr>
          <w:color w:val="231F20"/>
          <w:spacing w:val="40"/>
          <w:w w:val="120"/>
        </w:rPr>
        <w:t> </w:t>
      </w:r>
      <w:r>
        <w:rPr>
          <w:color w:val="231F20"/>
          <w:w w:val="120"/>
        </w:rPr>
        <w:t>l’efficacité</w:t>
      </w:r>
      <w:r>
        <w:rPr>
          <w:color w:val="231F20"/>
          <w:spacing w:val="40"/>
          <w:w w:val="120"/>
        </w:rPr>
        <w:t> </w:t>
      </w:r>
      <w:r>
        <w:rPr>
          <w:color w:val="231F20"/>
          <w:w w:val="120"/>
        </w:rPr>
        <w:t>des</w:t>
      </w:r>
      <w:r>
        <w:rPr>
          <w:color w:val="231F20"/>
          <w:spacing w:val="40"/>
          <w:w w:val="120"/>
        </w:rPr>
        <w:t> </w:t>
      </w:r>
      <w:r>
        <w:rPr>
          <w:color w:val="231F20"/>
          <w:w w:val="120"/>
        </w:rPr>
        <w:t>techniques</w:t>
      </w:r>
      <w:r>
        <w:rPr>
          <w:color w:val="231F20"/>
          <w:spacing w:val="40"/>
          <w:w w:val="120"/>
        </w:rPr>
        <w:t> </w:t>
      </w:r>
      <w:r>
        <w:rPr>
          <w:color w:val="231F20"/>
          <w:w w:val="120"/>
        </w:rPr>
        <w:t>de</w:t>
      </w:r>
      <w:r>
        <w:rPr>
          <w:color w:val="231F20"/>
          <w:spacing w:val="40"/>
          <w:w w:val="120"/>
        </w:rPr>
        <w:t> </w:t>
      </w:r>
      <w:r>
        <w:rPr>
          <w:color w:val="231F20"/>
          <w:w w:val="120"/>
        </w:rPr>
        <w:t>relaxation</w:t>
      </w:r>
      <w:r>
        <w:rPr>
          <w:color w:val="231F20"/>
          <w:spacing w:val="40"/>
          <w:w w:val="120"/>
        </w:rPr>
        <w:t> </w:t>
      </w:r>
      <w:r>
        <w:rPr>
          <w:color w:val="231F20"/>
          <w:w w:val="120"/>
        </w:rPr>
        <w:t>(notamment la relaxation musculaire progressive, la méditation pleine conscience, l’hypnose et l’entraînement autogène) pour de nombreux problèmes liés</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tension,</w:t>
      </w:r>
      <w:r>
        <w:rPr>
          <w:color w:val="231F20"/>
          <w:spacing w:val="-4"/>
          <w:w w:val="120"/>
        </w:rPr>
        <w:t> </w:t>
      </w:r>
      <w:r>
        <w:rPr>
          <w:color w:val="231F20"/>
          <w:w w:val="120"/>
        </w:rPr>
        <w:t>dont</w:t>
      </w:r>
      <w:r>
        <w:rPr>
          <w:color w:val="231F20"/>
          <w:spacing w:val="-4"/>
          <w:w w:val="120"/>
        </w:rPr>
        <w:t> </w:t>
      </w:r>
      <w:r>
        <w:rPr>
          <w:color w:val="231F20"/>
          <w:w w:val="120"/>
        </w:rPr>
        <w:t>l’insomnie,</w:t>
      </w:r>
      <w:r>
        <w:rPr>
          <w:color w:val="231F20"/>
          <w:spacing w:val="-4"/>
          <w:w w:val="120"/>
        </w:rPr>
        <w:t> </w:t>
      </w:r>
      <w:r>
        <w:rPr>
          <w:color w:val="231F20"/>
          <w:w w:val="120"/>
        </w:rPr>
        <w:t>l’hypertension,</w:t>
      </w:r>
      <w:r>
        <w:rPr>
          <w:color w:val="231F20"/>
          <w:spacing w:val="-4"/>
          <w:w w:val="120"/>
        </w:rPr>
        <w:t> </w:t>
      </w:r>
      <w:r>
        <w:rPr>
          <w:color w:val="231F20"/>
          <w:w w:val="120"/>
        </w:rPr>
        <w:t>l’asthme,</w:t>
      </w:r>
      <w:r>
        <w:rPr>
          <w:color w:val="231F20"/>
          <w:spacing w:val="-4"/>
          <w:w w:val="120"/>
        </w:rPr>
        <w:t> </w:t>
      </w:r>
      <w:r>
        <w:rPr>
          <w:color w:val="231F20"/>
          <w:w w:val="120"/>
        </w:rPr>
        <w:t>l’anxiété</w:t>
      </w:r>
      <w:r>
        <w:rPr>
          <w:color w:val="231F20"/>
          <w:spacing w:val="-4"/>
          <w:w w:val="120"/>
        </w:rPr>
        <w:t> </w:t>
      </w:r>
      <w:r>
        <w:rPr>
          <w:color w:val="231F20"/>
          <w:w w:val="120"/>
        </w:rPr>
        <w:t>et les maux de tête.</w:t>
      </w:r>
    </w:p>
    <w:p>
      <w:pPr>
        <w:spacing w:after="0" w:line="307" w:lineRule="auto"/>
        <w:jc w:val="both"/>
        <w:sectPr>
          <w:footerReference w:type="default" r:id="rId290"/>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spacing w:before="144"/>
        <w:ind w:left="1080" w:right="0" w:firstLine="0"/>
        <w:jc w:val="both"/>
        <w:rPr>
          <w:rFonts w:ascii="Arial" w:hAnsi="Arial"/>
          <w:b/>
          <w:sz w:val="17"/>
        </w:rPr>
      </w:pPr>
      <w:r>
        <w:rPr/>
        <w:pict>
          <v:group style="position:absolute;margin-left:62.5pt;margin-top:-3.5771pt;width:287.5pt;height:492.25pt;mso-position-horizontal-relative:page;mso-position-vertical-relative:paragraph;z-index:-20912640" id="docshapegroup1022" coordorigin="1250,-72" coordsize="5750,9845">
            <v:rect style="position:absolute;left:1250;top:-72;width:5750;height:705" id="docshape1023" filled="true" fillcolor="#e2e3e4" stroked="false">
              <v:fill type="solid"/>
            </v:rect>
            <v:line style="position:absolute" from="1500,476" to="6750,476" stroked="true" strokeweight=".25pt" strokecolor="#231f20">
              <v:stroke dashstyle="shortdot"/>
            </v:line>
            <v:shape style="position:absolute;left:1250;top:553;width:5750;height:9220" id="docshape1024" coordorigin="1250,553" coordsize="5750,9220" path="m7000,553l1250,553,1250,1883,1250,2053,1250,9773,7000,9773,7000,1883,7000,553xe" filled="true" fillcolor="#e2e3e4" stroked="false">
              <v:path arrowok="t"/>
              <v:fill type="solid"/>
            </v:shape>
            <w10:wrap type="none"/>
          </v:group>
        </w:pict>
      </w:r>
      <w:r>
        <w:rPr>
          <w:rFonts w:ascii="Arial" w:hAnsi="Arial"/>
          <w:color w:val="231F20"/>
          <w:sz w:val="17"/>
        </w:rPr>
        <w:t>Fait</w:t>
      </w:r>
      <w:r>
        <w:rPr>
          <w:rFonts w:ascii="Arial" w:hAnsi="Arial"/>
          <w:color w:val="231F20"/>
          <w:spacing w:val="-2"/>
          <w:sz w:val="17"/>
        </w:rPr>
        <w:t> </w:t>
      </w:r>
      <w:r>
        <w:rPr>
          <w:rFonts w:ascii="Arial" w:hAnsi="Arial"/>
          <w:color w:val="231F20"/>
          <w:sz w:val="17"/>
        </w:rPr>
        <w:t>intéressant</w:t>
      </w:r>
      <w:r>
        <w:rPr>
          <w:rFonts w:ascii="Arial" w:hAnsi="Arial"/>
          <w:color w:val="231F20"/>
          <w:spacing w:val="-13"/>
          <w:sz w:val="17"/>
        </w:rPr>
        <w:t> </w:t>
      </w:r>
      <w:r>
        <w:rPr>
          <w:rFonts w:ascii="Arial" w:hAnsi="Arial"/>
          <w:i/>
          <w:color w:val="231F20"/>
          <w:sz w:val="17"/>
        </w:rPr>
        <w:t>/</w:t>
      </w:r>
      <w:r>
        <w:rPr>
          <w:rFonts w:ascii="Arial" w:hAnsi="Arial"/>
          <w:i/>
          <w:color w:val="231F20"/>
          <w:spacing w:val="45"/>
          <w:sz w:val="17"/>
        </w:rPr>
        <w:t> </w:t>
      </w:r>
      <w:r>
        <w:rPr>
          <w:rFonts w:ascii="Arial" w:hAnsi="Arial"/>
          <w:b/>
          <w:color w:val="231F20"/>
          <w:sz w:val="17"/>
        </w:rPr>
        <w:t>Réduire</w:t>
      </w:r>
      <w:r>
        <w:rPr>
          <w:rFonts w:ascii="Arial" w:hAnsi="Arial"/>
          <w:b/>
          <w:color w:val="231F20"/>
          <w:spacing w:val="-7"/>
          <w:sz w:val="17"/>
        </w:rPr>
        <w:t> </w:t>
      </w:r>
      <w:r>
        <w:rPr>
          <w:rFonts w:ascii="Arial" w:hAnsi="Arial"/>
          <w:b/>
          <w:color w:val="231F20"/>
          <w:sz w:val="17"/>
        </w:rPr>
        <w:t>le</w:t>
      </w:r>
      <w:r>
        <w:rPr>
          <w:rFonts w:ascii="Arial" w:hAnsi="Arial"/>
          <w:b/>
          <w:color w:val="231F20"/>
          <w:spacing w:val="-7"/>
          <w:sz w:val="17"/>
        </w:rPr>
        <w:t> </w:t>
      </w:r>
      <w:r>
        <w:rPr>
          <w:rFonts w:ascii="Arial" w:hAnsi="Arial"/>
          <w:b/>
          <w:color w:val="231F20"/>
          <w:sz w:val="17"/>
        </w:rPr>
        <w:t>stress</w:t>
      </w:r>
      <w:r>
        <w:rPr>
          <w:rFonts w:ascii="Arial" w:hAnsi="Arial"/>
          <w:b/>
          <w:color w:val="231F20"/>
          <w:spacing w:val="-30"/>
          <w:sz w:val="17"/>
        </w:rPr>
        <w:t> </w:t>
      </w:r>
      <w:r>
        <w:rPr>
          <w:rFonts w:ascii="Arial" w:hAnsi="Arial"/>
          <w:b/>
          <w:color w:val="231F20"/>
          <w:sz w:val="17"/>
        </w:rPr>
        <w:t>:</w:t>
      </w:r>
      <w:r>
        <w:rPr>
          <w:rFonts w:ascii="Arial" w:hAnsi="Arial"/>
          <w:b/>
          <w:color w:val="231F20"/>
          <w:spacing w:val="-7"/>
          <w:sz w:val="17"/>
        </w:rPr>
        <w:t> </w:t>
      </w:r>
      <w:r>
        <w:rPr>
          <w:rFonts w:ascii="Arial" w:hAnsi="Arial"/>
          <w:b/>
          <w:color w:val="231F20"/>
          <w:sz w:val="17"/>
        </w:rPr>
        <w:t>10</w:t>
      </w:r>
      <w:r>
        <w:rPr>
          <w:rFonts w:ascii="Arial" w:hAnsi="Arial"/>
          <w:b/>
          <w:color w:val="231F20"/>
          <w:spacing w:val="-7"/>
          <w:sz w:val="17"/>
        </w:rPr>
        <w:t> </w:t>
      </w:r>
      <w:r>
        <w:rPr>
          <w:rFonts w:ascii="Arial" w:hAnsi="Arial"/>
          <w:b/>
          <w:color w:val="231F20"/>
          <w:sz w:val="17"/>
        </w:rPr>
        <w:t>conseils</w:t>
      </w:r>
      <w:r>
        <w:rPr>
          <w:rFonts w:ascii="Arial" w:hAnsi="Arial"/>
          <w:b/>
          <w:color w:val="231F20"/>
          <w:spacing w:val="-6"/>
          <w:sz w:val="17"/>
        </w:rPr>
        <w:t> </w:t>
      </w:r>
      <w:r>
        <w:rPr>
          <w:rFonts w:ascii="Arial" w:hAnsi="Arial"/>
          <w:b/>
          <w:color w:val="231F20"/>
          <w:spacing w:val="-2"/>
          <w:sz w:val="17"/>
        </w:rPr>
        <w:t>pratiques</w:t>
      </w:r>
    </w:p>
    <w:p>
      <w:pPr>
        <w:pStyle w:val="BodyText"/>
        <w:spacing w:before="5"/>
        <w:rPr>
          <w:rFonts w:ascii="Arial"/>
          <w:b/>
          <w:sz w:val="26"/>
        </w:rPr>
      </w:pPr>
    </w:p>
    <w:p>
      <w:pPr>
        <w:pStyle w:val="BodyText"/>
        <w:spacing w:line="307" w:lineRule="auto"/>
        <w:ind w:left="1080" w:right="746"/>
        <w:jc w:val="both"/>
        <w:rPr>
          <w:rFonts w:ascii="Arial" w:hAnsi="Arial"/>
        </w:rPr>
      </w:pPr>
      <w:r>
        <w:rPr>
          <w:rFonts w:ascii="Arial" w:hAnsi="Arial"/>
          <w:color w:val="231F20"/>
        </w:rPr>
        <w:t>Le</w:t>
      </w:r>
      <w:r>
        <w:rPr>
          <w:rFonts w:ascii="Arial" w:hAnsi="Arial"/>
          <w:color w:val="231F20"/>
          <w:spacing w:val="-12"/>
        </w:rPr>
        <w:t> </w:t>
      </w:r>
      <w:r>
        <w:rPr>
          <w:rFonts w:ascii="Arial" w:hAnsi="Arial"/>
          <w:color w:val="231F20"/>
        </w:rPr>
        <w:t>stress</w:t>
      </w:r>
      <w:r>
        <w:rPr>
          <w:rFonts w:ascii="Arial" w:hAnsi="Arial"/>
          <w:color w:val="231F20"/>
          <w:spacing w:val="-12"/>
        </w:rPr>
        <w:t> </w:t>
      </w:r>
      <w:r>
        <w:rPr>
          <w:rFonts w:ascii="Arial" w:hAnsi="Arial"/>
          <w:color w:val="231F20"/>
        </w:rPr>
        <w:t>a</w:t>
      </w:r>
      <w:r>
        <w:rPr>
          <w:rFonts w:ascii="Arial" w:hAnsi="Arial"/>
          <w:color w:val="231F20"/>
          <w:spacing w:val="-12"/>
        </w:rPr>
        <w:t> </w:t>
      </w:r>
      <w:r>
        <w:rPr>
          <w:rFonts w:ascii="Arial" w:hAnsi="Arial"/>
          <w:color w:val="231F20"/>
        </w:rPr>
        <w:t>des</w:t>
      </w:r>
      <w:r>
        <w:rPr>
          <w:rFonts w:ascii="Arial" w:hAnsi="Arial"/>
          <w:color w:val="231F20"/>
          <w:spacing w:val="-12"/>
        </w:rPr>
        <w:t> </w:t>
      </w:r>
      <w:r>
        <w:rPr>
          <w:rFonts w:ascii="Arial" w:hAnsi="Arial"/>
          <w:color w:val="231F20"/>
        </w:rPr>
        <w:t>répercussions</w:t>
      </w:r>
      <w:r>
        <w:rPr>
          <w:rFonts w:ascii="Arial" w:hAnsi="Arial"/>
          <w:color w:val="231F20"/>
          <w:spacing w:val="-12"/>
        </w:rPr>
        <w:t> </w:t>
      </w:r>
      <w:r>
        <w:rPr>
          <w:rFonts w:ascii="Arial" w:hAnsi="Arial"/>
          <w:color w:val="231F20"/>
        </w:rPr>
        <w:t>sur</w:t>
      </w:r>
      <w:r>
        <w:rPr>
          <w:rFonts w:ascii="Arial" w:hAnsi="Arial"/>
          <w:color w:val="231F20"/>
          <w:spacing w:val="-11"/>
        </w:rPr>
        <w:t> </w:t>
      </w:r>
      <w:r>
        <w:rPr>
          <w:rFonts w:ascii="Arial" w:hAnsi="Arial"/>
          <w:color w:val="231F20"/>
        </w:rPr>
        <w:t>notre</w:t>
      </w:r>
      <w:r>
        <w:rPr>
          <w:rFonts w:ascii="Arial" w:hAnsi="Arial"/>
          <w:color w:val="231F20"/>
          <w:spacing w:val="-12"/>
        </w:rPr>
        <w:t> </w:t>
      </w:r>
      <w:r>
        <w:rPr>
          <w:rFonts w:ascii="Arial" w:hAnsi="Arial"/>
          <w:color w:val="231F20"/>
        </w:rPr>
        <w:t>organisme.</w:t>
      </w:r>
      <w:r>
        <w:rPr>
          <w:rFonts w:ascii="Arial" w:hAnsi="Arial"/>
          <w:color w:val="231F20"/>
          <w:spacing w:val="-12"/>
        </w:rPr>
        <w:t> </w:t>
      </w:r>
      <w:r>
        <w:rPr>
          <w:rFonts w:ascii="Arial" w:hAnsi="Arial"/>
          <w:color w:val="231F20"/>
        </w:rPr>
        <w:t>Il</w:t>
      </w:r>
      <w:r>
        <w:rPr>
          <w:rFonts w:ascii="Arial" w:hAnsi="Arial"/>
          <w:color w:val="231F20"/>
          <w:spacing w:val="-12"/>
        </w:rPr>
        <w:t> </w:t>
      </w:r>
      <w:r>
        <w:rPr>
          <w:rFonts w:ascii="Arial" w:hAnsi="Arial"/>
          <w:color w:val="231F20"/>
        </w:rPr>
        <w:t>nous</w:t>
      </w:r>
      <w:r>
        <w:rPr>
          <w:rFonts w:ascii="Arial" w:hAnsi="Arial"/>
          <w:color w:val="231F20"/>
          <w:spacing w:val="-12"/>
        </w:rPr>
        <w:t> </w:t>
      </w:r>
      <w:r>
        <w:rPr>
          <w:rFonts w:ascii="Arial" w:hAnsi="Arial"/>
          <w:color w:val="231F20"/>
        </w:rPr>
        <w:t>affecte</w:t>
      </w:r>
      <w:r>
        <w:rPr>
          <w:rFonts w:ascii="Arial" w:hAnsi="Arial"/>
          <w:color w:val="231F20"/>
          <w:spacing w:val="-11"/>
        </w:rPr>
        <w:t> </w:t>
      </w:r>
      <w:r>
        <w:rPr>
          <w:rFonts w:ascii="Arial" w:hAnsi="Arial"/>
          <w:color w:val="231F20"/>
        </w:rPr>
        <w:t>phy- siquement, nous épuise émotionnellement et nous dépouille de notre capacité de concentration et de productivité. En fait, le stress empire ou cause la plupart des maladies. Voici dix conseils pour mieux gérer son stress et préserver sa santé</w:t>
      </w:r>
      <w:r>
        <w:rPr>
          <w:rFonts w:ascii="Arial" w:hAnsi="Arial"/>
          <w:color w:val="231F20"/>
          <w:spacing w:val="-23"/>
        </w:rPr>
        <w:t> </w:t>
      </w:r>
      <w:r>
        <w:rPr>
          <w:rFonts w:ascii="Arial" w:hAnsi="Arial"/>
          <w:color w:val="231F20"/>
        </w:rPr>
        <w:t>:</w:t>
      </w:r>
    </w:p>
    <w:p>
      <w:pPr>
        <w:pStyle w:val="ListParagraph"/>
        <w:numPr>
          <w:ilvl w:val="1"/>
          <w:numId w:val="77"/>
        </w:numPr>
        <w:tabs>
          <w:tab w:pos="1331" w:val="left" w:leader="none"/>
        </w:tabs>
        <w:spacing w:line="307" w:lineRule="auto" w:before="79" w:after="0"/>
        <w:ind w:left="1330" w:right="1298" w:hanging="251"/>
        <w:jc w:val="left"/>
        <w:rPr>
          <w:rFonts w:ascii="Arial" w:hAnsi="Arial"/>
          <w:sz w:val="17"/>
        </w:rPr>
      </w:pPr>
      <w:r>
        <w:rPr>
          <w:rFonts w:ascii="Arial" w:hAnsi="Arial"/>
          <w:color w:val="231F20"/>
          <w:sz w:val="17"/>
        </w:rPr>
        <w:t>Faites</w:t>
      </w:r>
      <w:r>
        <w:rPr>
          <w:rFonts w:ascii="Arial" w:hAnsi="Arial"/>
          <w:color w:val="231F20"/>
          <w:spacing w:val="-12"/>
          <w:sz w:val="17"/>
        </w:rPr>
        <w:t> </w:t>
      </w:r>
      <w:r>
        <w:rPr>
          <w:rFonts w:ascii="Arial" w:hAnsi="Arial"/>
          <w:color w:val="231F20"/>
          <w:sz w:val="17"/>
        </w:rPr>
        <w:t>des</w:t>
      </w:r>
      <w:r>
        <w:rPr>
          <w:rFonts w:ascii="Arial" w:hAnsi="Arial"/>
          <w:color w:val="231F20"/>
          <w:spacing w:val="-12"/>
          <w:sz w:val="17"/>
        </w:rPr>
        <w:t> </w:t>
      </w:r>
      <w:r>
        <w:rPr>
          <w:rFonts w:ascii="Arial" w:hAnsi="Arial"/>
          <w:color w:val="231F20"/>
          <w:sz w:val="17"/>
        </w:rPr>
        <w:t>changements.</w:t>
      </w:r>
      <w:r>
        <w:rPr>
          <w:rFonts w:ascii="Arial" w:hAnsi="Arial"/>
          <w:color w:val="231F20"/>
          <w:spacing w:val="-12"/>
          <w:sz w:val="17"/>
        </w:rPr>
        <w:t> </w:t>
      </w:r>
      <w:r>
        <w:rPr>
          <w:rFonts w:ascii="Arial" w:hAnsi="Arial"/>
          <w:color w:val="231F20"/>
          <w:sz w:val="17"/>
        </w:rPr>
        <w:t>Si</w:t>
      </w:r>
      <w:r>
        <w:rPr>
          <w:rFonts w:ascii="Arial" w:hAnsi="Arial"/>
          <w:color w:val="231F20"/>
          <w:spacing w:val="-12"/>
          <w:sz w:val="17"/>
        </w:rPr>
        <w:t> </w:t>
      </w:r>
      <w:r>
        <w:rPr>
          <w:rFonts w:ascii="Arial" w:hAnsi="Arial"/>
          <w:color w:val="231F20"/>
          <w:sz w:val="17"/>
        </w:rPr>
        <w:t>vous</w:t>
      </w:r>
      <w:r>
        <w:rPr>
          <w:rFonts w:ascii="Arial" w:hAnsi="Arial"/>
          <w:color w:val="231F20"/>
          <w:spacing w:val="-12"/>
          <w:sz w:val="17"/>
        </w:rPr>
        <w:t> </w:t>
      </w:r>
      <w:r>
        <w:rPr>
          <w:rFonts w:ascii="Arial" w:hAnsi="Arial"/>
          <w:color w:val="231F20"/>
          <w:sz w:val="17"/>
        </w:rPr>
        <w:t>ne</w:t>
      </w:r>
      <w:r>
        <w:rPr>
          <w:rFonts w:ascii="Arial" w:hAnsi="Arial"/>
          <w:color w:val="231F20"/>
          <w:spacing w:val="-11"/>
          <w:sz w:val="17"/>
        </w:rPr>
        <w:t> </w:t>
      </w:r>
      <w:r>
        <w:rPr>
          <w:rFonts w:ascii="Arial" w:hAnsi="Arial"/>
          <w:color w:val="231F20"/>
          <w:sz w:val="17"/>
        </w:rPr>
        <w:t>pouvez</w:t>
      </w:r>
      <w:r>
        <w:rPr>
          <w:rFonts w:ascii="Arial" w:hAnsi="Arial"/>
          <w:color w:val="231F20"/>
          <w:spacing w:val="-12"/>
          <w:sz w:val="17"/>
        </w:rPr>
        <w:t> </w:t>
      </w:r>
      <w:r>
        <w:rPr>
          <w:rFonts w:ascii="Arial" w:hAnsi="Arial"/>
          <w:color w:val="231F20"/>
          <w:sz w:val="17"/>
        </w:rPr>
        <w:t>pas</w:t>
      </w:r>
      <w:r>
        <w:rPr>
          <w:rFonts w:ascii="Arial" w:hAnsi="Arial"/>
          <w:color w:val="231F20"/>
          <w:spacing w:val="-12"/>
          <w:sz w:val="17"/>
        </w:rPr>
        <w:t> </w:t>
      </w:r>
      <w:r>
        <w:rPr>
          <w:rFonts w:ascii="Arial" w:hAnsi="Arial"/>
          <w:color w:val="231F20"/>
          <w:sz w:val="17"/>
        </w:rPr>
        <w:t>éliminer</w:t>
      </w:r>
      <w:r>
        <w:rPr>
          <w:rFonts w:ascii="Arial" w:hAnsi="Arial"/>
          <w:color w:val="231F20"/>
          <w:spacing w:val="-12"/>
          <w:sz w:val="17"/>
        </w:rPr>
        <w:t> </w:t>
      </w:r>
      <w:r>
        <w:rPr>
          <w:rFonts w:ascii="Arial" w:hAnsi="Arial"/>
          <w:color w:val="231F20"/>
          <w:sz w:val="17"/>
        </w:rPr>
        <w:t>un facteur de stress, changez votre façon d’y réagir.</w:t>
      </w:r>
    </w:p>
    <w:p>
      <w:pPr>
        <w:pStyle w:val="ListParagraph"/>
        <w:numPr>
          <w:ilvl w:val="1"/>
          <w:numId w:val="77"/>
        </w:numPr>
        <w:tabs>
          <w:tab w:pos="1331" w:val="left" w:leader="none"/>
        </w:tabs>
        <w:spacing w:line="307" w:lineRule="auto" w:before="80" w:after="0"/>
        <w:ind w:left="1330" w:right="1148" w:hanging="251"/>
        <w:jc w:val="left"/>
        <w:rPr>
          <w:rFonts w:ascii="Arial" w:hAnsi="Arial"/>
          <w:sz w:val="17"/>
        </w:rPr>
      </w:pPr>
      <w:r>
        <w:rPr>
          <w:rFonts w:ascii="Arial" w:hAnsi="Arial"/>
          <w:color w:val="231F20"/>
          <w:w w:val="105"/>
          <w:sz w:val="17"/>
        </w:rPr>
        <w:t>Prenez</w:t>
      </w:r>
      <w:r>
        <w:rPr>
          <w:rFonts w:ascii="Arial" w:hAnsi="Arial"/>
          <w:color w:val="231F20"/>
          <w:spacing w:val="-13"/>
          <w:w w:val="105"/>
          <w:sz w:val="17"/>
        </w:rPr>
        <w:t> </w:t>
      </w:r>
      <w:r>
        <w:rPr>
          <w:rFonts w:ascii="Arial" w:hAnsi="Arial"/>
          <w:color w:val="231F20"/>
          <w:w w:val="105"/>
          <w:sz w:val="17"/>
        </w:rPr>
        <w:t>soin</w:t>
      </w:r>
      <w:r>
        <w:rPr>
          <w:rFonts w:ascii="Arial" w:hAnsi="Arial"/>
          <w:color w:val="231F20"/>
          <w:spacing w:val="-12"/>
          <w:w w:val="105"/>
          <w:sz w:val="17"/>
        </w:rPr>
        <w:t> </w:t>
      </w:r>
      <w:r>
        <w:rPr>
          <w:rFonts w:ascii="Arial" w:hAnsi="Arial"/>
          <w:color w:val="231F20"/>
          <w:w w:val="105"/>
          <w:sz w:val="17"/>
        </w:rPr>
        <w:t>de</w:t>
      </w:r>
      <w:r>
        <w:rPr>
          <w:rFonts w:ascii="Arial" w:hAnsi="Arial"/>
          <w:color w:val="231F20"/>
          <w:spacing w:val="-13"/>
          <w:w w:val="105"/>
          <w:sz w:val="17"/>
        </w:rPr>
        <w:t> </w:t>
      </w:r>
      <w:r>
        <w:rPr>
          <w:rFonts w:ascii="Arial" w:hAnsi="Arial"/>
          <w:color w:val="231F20"/>
          <w:w w:val="105"/>
          <w:sz w:val="17"/>
        </w:rPr>
        <w:t>vous.</w:t>
      </w:r>
      <w:r>
        <w:rPr>
          <w:rFonts w:ascii="Arial" w:hAnsi="Arial"/>
          <w:color w:val="231F20"/>
          <w:spacing w:val="-12"/>
          <w:w w:val="105"/>
          <w:sz w:val="17"/>
        </w:rPr>
        <w:t> </w:t>
      </w:r>
      <w:r>
        <w:rPr>
          <w:rFonts w:ascii="Arial" w:hAnsi="Arial"/>
          <w:color w:val="231F20"/>
          <w:w w:val="105"/>
          <w:sz w:val="17"/>
        </w:rPr>
        <w:t>Lorsqu’on</w:t>
      </w:r>
      <w:r>
        <w:rPr>
          <w:rFonts w:ascii="Arial" w:hAnsi="Arial"/>
          <w:color w:val="231F20"/>
          <w:spacing w:val="-12"/>
          <w:w w:val="105"/>
          <w:sz w:val="17"/>
        </w:rPr>
        <w:t> </w:t>
      </w:r>
      <w:r>
        <w:rPr>
          <w:rFonts w:ascii="Arial" w:hAnsi="Arial"/>
          <w:color w:val="231F20"/>
          <w:w w:val="105"/>
          <w:sz w:val="17"/>
        </w:rPr>
        <w:t>est</w:t>
      </w:r>
      <w:r>
        <w:rPr>
          <w:rFonts w:ascii="Arial" w:hAnsi="Arial"/>
          <w:color w:val="231F20"/>
          <w:spacing w:val="-13"/>
          <w:w w:val="105"/>
          <w:sz w:val="17"/>
        </w:rPr>
        <w:t> </w:t>
      </w:r>
      <w:r>
        <w:rPr>
          <w:rFonts w:ascii="Arial" w:hAnsi="Arial"/>
          <w:color w:val="231F20"/>
          <w:w w:val="105"/>
          <w:sz w:val="17"/>
        </w:rPr>
        <w:t>stressé,</w:t>
      </w:r>
      <w:r>
        <w:rPr>
          <w:rFonts w:ascii="Arial" w:hAnsi="Arial"/>
          <w:color w:val="231F20"/>
          <w:spacing w:val="-12"/>
          <w:w w:val="105"/>
          <w:sz w:val="17"/>
        </w:rPr>
        <w:t> </w:t>
      </w:r>
      <w:r>
        <w:rPr>
          <w:rFonts w:ascii="Arial" w:hAnsi="Arial"/>
          <w:color w:val="231F20"/>
          <w:w w:val="105"/>
          <w:sz w:val="17"/>
        </w:rPr>
        <w:t>on</w:t>
      </w:r>
      <w:r>
        <w:rPr>
          <w:rFonts w:ascii="Arial" w:hAnsi="Arial"/>
          <w:color w:val="231F20"/>
          <w:spacing w:val="-13"/>
          <w:w w:val="105"/>
          <w:sz w:val="17"/>
        </w:rPr>
        <w:t> </w:t>
      </w:r>
      <w:r>
        <w:rPr>
          <w:rFonts w:ascii="Arial" w:hAnsi="Arial"/>
          <w:color w:val="231F20"/>
          <w:w w:val="105"/>
          <w:sz w:val="17"/>
        </w:rPr>
        <w:t>devrait </w:t>
      </w:r>
      <w:r>
        <w:rPr>
          <w:rFonts w:ascii="Arial" w:hAnsi="Arial"/>
          <w:color w:val="231F20"/>
          <w:sz w:val="17"/>
        </w:rPr>
        <w:t>s’occuper</w:t>
      </w:r>
      <w:r>
        <w:rPr>
          <w:rFonts w:ascii="Arial" w:hAnsi="Arial"/>
          <w:color w:val="231F20"/>
          <w:spacing w:val="-3"/>
          <w:sz w:val="17"/>
        </w:rPr>
        <w:t> </w:t>
      </w:r>
      <w:r>
        <w:rPr>
          <w:rFonts w:ascii="Arial" w:hAnsi="Arial"/>
          <w:color w:val="231F20"/>
          <w:sz w:val="17"/>
        </w:rPr>
        <w:t>davantage</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soi,</w:t>
      </w:r>
      <w:r>
        <w:rPr>
          <w:rFonts w:ascii="Arial" w:hAnsi="Arial"/>
          <w:color w:val="231F20"/>
          <w:spacing w:val="-3"/>
          <w:sz w:val="17"/>
        </w:rPr>
        <w:t> </w:t>
      </w:r>
      <w:r>
        <w:rPr>
          <w:rFonts w:ascii="Arial" w:hAnsi="Arial"/>
          <w:color w:val="231F20"/>
          <w:sz w:val="17"/>
        </w:rPr>
        <w:t>mais</w:t>
      </w:r>
      <w:r>
        <w:rPr>
          <w:rFonts w:ascii="Arial" w:hAnsi="Arial"/>
          <w:color w:val="231F20"/>
          <w:spacing w:val="-3"/>
          <w:sz w:val="17"/>
        </w:rPr>
        <w:t> </w:t>
      </w:r>
      <w:r>
        <w:rPr>
          <w:rFonts w:ascii="Arial" w:hAnsi="Arial"/>
          <w:color w:val="231F20"/>
          <w:sz w:val="17"/>
        </w:rPr>
        <w:t>la</w:t>
      </w:r>
      <w:r>
        <w:rPr>
          <w:rFonts w:ascii="Arial" w:hAnsi="Arial"/>
          <w:color w:val="231F20"/>
          <w:spacing w:val="-3"/>
          <w:sz w:val="17"/>
        </w:rPr>
        <w:t> </w:t>
      </w:r>
      <w:r>
        <w:rPr>
          <w:rFonts w:ascii="Arial" w:hAnsi="Arial"/>
          <w:color w:val="231F20"/>
          <w:sz w:val="17"/>
        </w:rPr>
        <w:t>plupart</w:t>
      </w:r>
      <w:r>
        <w:rPr>
          <w:rFonts w:ascii="Arial" w:hAnsi="Arial"/>
          <w:color w:val="231F20"/>
          <w:spacing w:val="-3"/>
          <w:sz w:val="17"/>
        </w:rPr>
        <w:t> </w:t>
      </w:r>
      <w:r>
        <w:rPr>
          <w:rFonts w:ascii="Arial" w:hAnsi="Arial"/>
          <w:color w:val="231F20"/>
          <w:sz w:val="17"/>
        </w:rPr>
        <w:t>d’entre</w:t>
      </w:r>
      <w:r>
        <w:rPr>
          <w:rFonts w:ascii="Arial" w:hAnsi="Arial"/>
          <w:color w:val="231F20"/>
          <w:spacing w:val="-3"/>
          <w:sz w:val="17"/>
        </w:rPr>
        <w:t> </w:t>
      </w:r>
      <w:r>
        <w:rPr>
          <w:rFonts w:ascii="Arial" w:hAnsi="Arial"/>
          <w:color w:val="231F20"/>
          <w:sz w:val="17"/>
        </w:rPr>
        <w:t>nous</w:t>
      </w:r>
      <w:r>
        <w:rPr>
          <w:rFonts w:ascii="Arial" w:hAnsi="Arial"/>
          <w:color w:val="231F20"/>
          <w:spacing w:val="-3"/>
          <w:sz w:val="17"/>
        </w:rPr>
        <w:t> </w:t>
      </w:r>
      <w:r>
        <w:rPr>
          <w:rFonts w:ascii="Arial" w:hAnsi="Arial"/>
          <w:color w:val="231F20"/>
          <w:sz w:val="17"/>
        </w:rPr>
        <w:t>font</w:t>
      </w:r>
      <w:r>
        <w:rPr>
          <w:rFonts w:ascii="Arial" w:hAnsi="Arial"/>
          <w:color w:val="231F20"/>
          <w:sz w:val="17"/>
        </w:rPr>
        <w:t> </w:t>
      </w:r>
      <w:r>
        <w:rPr>
          <w:rFonts w:ascii="Arial" w:hAnsi="Arial"/>
          <w:color w:val="231F20"/>
          <w:w w:val="105"/>
          <w:sz w:val="17"/>
        </w:rPr>
        <w:t>exactement</w:t>
      </w:r>
      <w:r>
        <w:rPr>
          <w:rFonts w:ascii="Arial" w:hAnsi="Arial"/>
          <w:color w:val="231F20"/>
          <w:spacing w:val="-6"/>
          <w:w w:val="105"/>
          <w:sz w:val="17"/>
        </w:rPr>
        <w:t> </w:t>
      </w:r>
      <w:r>
        <w:rPr>
          <w:rFonts w:ascii="Arial" w:hAnsi="Arial"/>
          <w:color w:val="231F20"/>
          <w:w w:val="105"/>
          <w:sz w:val="17"/>
        </w:rPr>
        <w:t>l’inverse.</w:t>
      </w:r>
    </w:p>
    <w:p>
      <w:pPr>
        <w:pStyle w:val="ListParagraph"/>
        <w:numPr>
          <w:ilvl w:val="1"/>
          <w:numId w:val="77"/>
        </w:numPr>
        <w:tabs>
          <w:tab w:pos="1331" w:val="left" w:leader="none"/>
        </w:tabs>
        <w:spacing w:line="307" w:lineRule="auto" w:before="80" w:after="0"/>
        <w:ind w:left="1330" w:right="750" w:hanging="251"/>
        <w:jc w:val="left"/>
        <w:rPr>
          <w:rFonts w:ascii="Arial" w:hAnsi="Arial"/>
          <w:sz w:val="17"/>
        </w:rPr>
      </w:pPr>
      <w:r>
        <w:rPr>
          <w:rFonts w:ascii="Arial" w:hAnsi="Arial"/>
          <w:color w:val="231F20"/>
          <w:sz w:val="17"/>
        </w:rPr>
        <w:t>Bougez.</w:t>
      </w:r>
      <w:r>
        <w:rPr>
          <w:rFonts w:ascii="Arial" w:hAnsi="Arial"/>
          <w:color w:val="231F20"/>
          <w:spacing w:val="-4"/>
          <w:sz w:val="17"/>
        </w:rPr>
        <w:t> </w:t>
      </w:r>
      <w:r>
        <w:rPr>
          <w:rFonts w:ascii="Arial" w:hAnsi="Arial"/>
          <w:color w:val="231F20"/>
          <w:sz w:val="17"/>
        </w:rPr>
        <w:t>L’exercice</w:t>
      </w:r>
      <w:r>
        <w:rPr>
          <w:rFonts w:ascii="Arial" w:hAnsi="Arial"/>
          <w:color w:val="231F20"/>
          <w:spacing w:val="-4"/>
          <w:sz w:val="17"/>
        </w:rPr>
        <w:t> </w:t>
      </w:r>
      <w:r>
        <w:rPr>
          <w:rFonts w:ascii="Arial" w:hAnsi="Arial"/>
          <w:color w:val="231F20"/>
          <w:sz w:val="17"/>
        </w:rPr>
        <w:t>favorise</w:t>
      </w:r>
      <w:r>
        <w:rPr>
          <w:rFonts w:ascii="Arial" w:hAnsi="Arial"/>
          <w:color w:val="231F20"/>
          <w:spacing w:val="-4"/>
          <w:sz w:val="17"/>
        </w:rPr>
        <w:t> </w:t>
      </w:r>
      <w:r>
        <w:rPr>
          <w:rFonts w:ascii="Arial" w:hAnsi="Arial"/>
          <w:color w:val="231F20"/>
          <w:sz w:val="17"/>
        </w:rPr>
        <w:t>la</w:t>
      </w:r>
      <w:r>
        <w:rPr>
          <w:rFonts w:ascii="Arial" w:hAnsi="Arial"/>
          <w:color w:val="231F20"/>
          <w:spacing w:val="-4"/>
          <w:sz w:val="17"/>
        </w:rPr>
        <w:t> </w:t>
      </w:r>
      <w:r>
        <w:rPr>
          <w:rFonts w:ascii="Arial" w:hAnsi="Arial"/>
          <w:color w:val="231F20"/>
          <w:sz w:val="17"/>
        </w:rPr>
        <w:t>production</w:t>
      </w:r>
      <w:r>
        <w:rPr>
          <w:rFonts w:ascii="Arial" w:hAnsi="Arial"/>
          <w:color w:val="231F20"/>
          <w:spacing w:val="-4"/>
          <w:sz w:val="17"/>
        </w:rPr>
        <w:t> </w:t>
      </w:r>
      <w:r>
        <w:rPr>
          <w:rFonts w:ascii="Arial" w:hAnsi="Arial"/>
          <w:color w:val="231F20"/>
          <w:sz w:val="17"/>
        </w:rPr>
        <w:t>d’endorphine</w:t>
      </w:r>
      <w:r>
        <w:rPr>
          <w:rFonts w:ascii="Arial" w:hAnsi="Arial"/>
          <w:color w:val="231F20"/>
          <w:spacing w:val="-4"/>
          <w:sz w:val="17"/>
        </w:rPr>
        <w:t> </w:t>
      </w:r>
      <w:r>
        <w:rPr>
          <w:rFonts w:ascii="Arial" w:hAnsi="Arial"/>
          <w:color w:val="231F20"/>
          <w:sz w:val="17"/>
        </w:rPr>
        <w:t>(l’hormone du bien-être) et constitue le meilleur remède antistress.</w:t>
      </w:r>
    </w:p>
    <w:p>
      <w:pPr>
        <w:pStyle w:val="ListParagraph"/>
        <w:numPr>
          <w:ilvl w:val="1"/>
          <w:numId w:val="77"/>
        </w:numPr>
        <w:tabs>
          <w:tab w:pos="1331" w:val="left" w:leader="none"/>
        </w:tabs>
        <w:spacing w:line="307" w:lineRule="auto" w:before="79" w:after="0"/>
        <w:ind w:left="1330" w:right="1265" w:hanging="251"/>
        <w:jc w:val="left"/>
        <w:rPr>
          <w:rFonts w:ascii="Arial" w:hAnsi="Arial"/>
          <w:sz w:val="17"/>
        </w:rPr>
      </w:pPr>
      <w:r>
        <w:rPr>
          <w:rFonts w:ascii="Arial" w:hAnsi="Arial"/>
          <w:color w:val="231F20"/>
          <w:sz w:val="17"/>
        </w:rPr>
        <w:t>Dormez</w:t>
      </w:r>
      <w:r>
        <w:rPr>
          <w:rFonts w:ascii="Arial" w:hAnsi="Arial"/>
          <w:color w:val="231F20"/>
          <w:spacing w:val="-12"/>
          <w:sz w:val="17"/>
        </w:rPr>
        <w:t> </w:t>
      </w:r>
      <w:r>
        <w:rPr>
          <w:rFonts w:ascii="Arial" w:hAnsi="Arial"/>
          <w:color w:val="231F20"/>
          <w:sz w:val="17"/>
        </w:rPr>
        <w:t>suffisamment.</w:t>
      </w:r>
      <w:r>
        <w:rPr>
          <w:rFonts w:ascii="Arial" w:hAnsi="Arial"/>
          <w:color w:val="231F20"/>
          <w:spacing w:val="-12"/>
          <w:sz w:val="17"/>
        </w:rPr>
        <w:t> </w:t>
      </w:r>
      <w:r>
        <w:rPr>
          <w:rFonts w:ascii="Arial" w:hAnsi="Arial"/>
          <w:color w:val="231F20"/>
          <w:sz w:val="17"/>
        </w:rPr>
        <w:t>C’est</w:t>
      </w:r>
      <w:r>
        <w:rPr>
          <w:rFonts w:ascii="Arial" w:hAnsi="Arial"/>
          <w:color w:val="231F20"/>
          <w:spacing w:val="-12"/>
          <w:sz w:val="17"/>
        </w:rPr>
        <w:t> </w:t>
      </w:r>
      <w:r>
        <w:rPr>
          <w:rFonts w:ascii="Arial" w:hAnsi="Arial"/>
          <w:color w:val="231F20"/>
          <w:sz w:val="17"/>
        </w:rPr>
        <w:t>la</w:t>
      </w:r>
      <w:r>
        <w:rPr>
          <w:rFonts w:ascii="Arial" w:hAnsi="Arial"/>
          <w:color w:val="231F20"/>
          <w:spacing w:val="-12"/>
          <w:sz w:val="17"/>
        </w:rPr>
        <w:t> </w:t>
      </w:r>
      <w:r>
        <w:rPr>
          <w:rFonts w:ascii="Arial" w:hAnsi="Arial"/>
          <w:color w:val="231F20"/>
          <w:sz w:val="17"/>
        </w:rPr>
        <w:t>première</w:t>
      </w:r>
      <w:r>
        <w:rPr>
          <w:rFonts w:ascii="Arial" w:hAnsi="Arial"/>
          <w:color w:val="231F20"/>
          <w:spacing w:val="-12"/>
          <w:sz w:val="17"/>
        </w:rPr>
        <w:t> </w:t>
      </w:r>
      <w:r>
        <w:rPr>
          <w:rFonts w:ascii="Arial" w:hAnsi="Arial"/>
          <w:color w:val="231F20"/>
          <w:sz w:val="17"/>
        </w:rPr>
        <w:t>chose</w:t>
      </w:r>
      <w:r>
        <w:rPr>
          <w:rFonts w:ascii="Arial" w:hAnsi="Arial"/>
          <w:color w:val="231F20"/>
          <w:spacing w:val="-11"/>
          <w:sz w:val="17"/>
        </w:rPr>
        <w:t> </w:t>
      </w:r>
      <w:r>
        <w:rPr>
          <w:rFonts w:ascii="Arial" w:hAnsi="Arial"/>
          <w:color w:val="231F20"/>
          <w:sz w:val="17"/>
        </w:rPr>
        <w:t>que</w:t>
      </w:r>
      <w:r>
        <w:rPr>
          <w:rFonts w:ascii="Arial" w:hAnsi="Arial"/>
          <w:color w:val="231F20"/>
          <w:spacing w:val="-12"/>
          <w:sz w:val="17"/>
        </w:rPr>
        <w:t> </w:t>
      </w:r>
      <w:r>
        <w:rPr>
          <w:rFonts w:ascii="Arial" w:hAnsi="Arial"/>
          <w:color w:val="231F20"/>
          <w:sz w:val="17"/>
        </w:rPr>
        <w:t>les</w:t>
      </w:r>
      <w:r>
        <w:rPr>
          <w:rFonts w:ascii="Arial" w:hAnsi="Arial"/>
          <w:color w:val="231F20"/>
          <w:spacing w:val="-12"/>
          <w:sz w:val="17"/>
        </w:rPr>
        <w:t> </w:t>
      </w:r>
      <w:r>
        <w:rPr>
          <w:rFonts w:ascii="Arial" w:hAnsi="Arial"/>
          <w:color w:val="231F20"/>
          <w:sz w:val="17"/>
        </w:rPr>
        <w:t>gens négligent lorsqu’ils sont stressés.</w:t>
      </w:r>
    </w:p>
    <w:p>
      <w:pPr>
        <w:pStyle w:val="ListParagraph"/>
        <w:numPr>
          <w:ilvl w:val="1"/>
          <w:numId w:val="77"/>
        </w:numPr>
        <w:tabs>
          <w:tab w:pos="1331" w:val="left" w:leader="none"/>
        </w:tabs>
        <w:spacing w:line="307" w:lineRule="auto" w:before="80" w:after="0"/>
        <w:ind w:left="1330" w:right="1023" w:hanging="251"/>
        <w:jc w:val="both"/>
        <w:rPr>
          <w:rFonts w:ascii="Arial" w:hAnsi="Arial"/>
          <w:sz w:val="17"/>
        </w:rPr>
      </w:pPr>
      <w:r>
        <w:rPr>
          <w:rFonts w:ascii="Arial" w:hAnsi="Arial"/>
          <w:color w:val="231F20"/>
          <w:sz w:val="17"/>
        </w:rPr>
        <w:t>Mangez sainement. Les aliments font office de carburant pour le corps et plus la qualité du carburant est élevée, mieux votre </w:t>
      </w:r>
      <w:r>
        <w:rPr>
          <w:rFonts w:ascii="Arial" w:hAnsi="Arial"/>
          <w:color w:val="231F20"/>
          <w:w w:val="105"/>
          <w:sz w:val="17"/>
        </w:rPr>
        <w:t>corps</w:t>
      </w:r>
      <w:r>
        <w:rPr>
          <w:rFonts w:ascii="Arial" w:hAnsi="Arial"/>
          <w:color w:val="231F20"/>
          <w:spacing w:val="-6"/>
          <w:w w:val="105"/>
          <w:sz w:val="17"/>
        </w:rPr>
        <w:t> </w:t>
      </w:r>
      <w:r>
        <w:rPr>
          <w:rFonts w:ascii="Arial" w:hAnsi="Arial"/>
          <w:color w:val="231F20"/>
          <w:w w:val="105"/>
          <w:sz w:val="17"/>
        </w:rPr>
        <w:t>fonctionnera.</w:t>
      </w:r>
    </w:p>
    <w:p>
      <w:pPr>
        <w:pStyle w:val="ListParagraph"/>
        <w:numPr>
          <w:ilvl w:val="1"/>
          <w:numId w:val="77"/>
        </w:numPr>
        <w:tabs>
          <w:tab w:pos="1331" w:val="left" w:leader="none"/>
        </w:tabs>
        <w:spacing w:line="240" w:lineRule="auto" w:before="79" w:after="0"/>
        <w:ind w:left="1330" w:right="0" w:hanging="251"/>
        <w:jc w:val="both"/>
        <w:rPr>
          <w:rFonts w:ascii="Arial" w:hAnsi="Arial"/>
          <w:sz w:val="17"/>
        </w:rPr>
      </w:pPr>
      <w:r>
        <w:rPr>
          <w:rFonts w:ascii="Arial" w:hAnsi="Arial"/>
          <w:color w:val="231F20"/>
          <w:sz w:val="17"/>
        </w:rPr>
        <w:t>Refaites</w:t>
      </w:r>
      <w:r>
        <w:rPr>
          <w:rFonts w:ascii="Arial" w:hAnsi="Arial"/>
          <w:color w:val="231F20"/>
          <w:spacing w:val="-9"/>
          <w:sz w:val="17"/>
        </w:rPr>
        <w:t> </w:t>
      </w:r>
      <w:r>
        <w:rPr>
          <w:rFonts w:ascii="Arial" w:hAnsi="Arial"/>
          <w:color w:val="231F20"/>
          <w:sz w:val="17"/>
        </w:rPr>
        <w:t>le</w:t>
      </w:r>
      <w:r>
        <w:rPr>
          <w:rFonts w:ascii="Arial" w:hAnsi="Arial"/>
          <w:color w:val="231F20"/>
          <w:spacing w:val="-9"/>
          <w:sz w:val="17"/>
        </w:rPr>
        <w:t> </w:t>
      </w:r>
      <w:r>
        <w:rPr>
          <w:rFonts w:ascii="Arial" w:hAnsi="Arial"/>
          <w:color w:val="231F20"/>
          <w:sz w:val="17"/>
        </w:rPr>
        <w:t>plein</w:t>
      </w:r>
      <w:r>
        <w:rPr>
          <w:rFonts w:ascii="Arial" w:hAnsi="Arial"/>
          <w:color w:val="231F20"/>
          <w:spacing w:val="-9"/>
          <w:sz w:val="17"/>
        </w:rPr>
        <w:t> </w:t>
      </w:r>
      <w:r>
        <w:rPr>
          <w:rFonts w:ascii="Arial" w:hAnsi="Arial"/>
          <w:color w:val="231F20"/>
          <w:sz w:val="17"/>
        </w:rPr>
        <w:t>d’énergie.</w:t>
      </w:r>
      <w:r>
        <w:rPr>
          <w:rFonts w:ascii="Arial" w:hAnsi="Arial"/>
          <w:color w:val="231F20"/>
          <w:spacing w:val="-9"/>
          <w:sz w:val="17"/>
        </w:rPr>
        <w:t> </w:t>
      </w:r>
      <w:r>
        <w:rPr>
          <w:rFonts w:ascii="Arial" w:hAnsi="Arial"/>
          <w:color w:val="231F20"/>
          <w:sz w:val="17"/>
        </w:rPr>
        <w:t>Prenez</w:t>
      </w:r>
      <w:r>
        <w:rPr>
          <w:rFonts w:ascii="Arial" w:hAnsi="Arial"/>
          <w:color w:val="231F20"/>
          <w:spacing w:val="-9"/>
          <w:sz w:val="17"/>
        </w:rPr>
        <w:t> </w:t>
      </w:r>
      <w:r>
        <w:rPr>
          <w:rFonts w:ascii="Arial" w:hAnsi="Arial"/>
          <w:color w:val="231F20"/>
          <w:sz w:val="17"/>
        </w:rPr>
        <w:t>des</w:t>
      </w:r>
      <w:r>
        <w:rPr>
          <w:rFonts w:ascii="Arial" w:hAnsi="Arial"/>
          <w:color w:val="231F20"/>
          <w:spacing w:val="-9"/>
          <w:sz w:val="17"/>
        </w:rPr>
        <w:t> </w:t>
      </w:r>
      <w:r>
        <w:rPr>
          <w:rFonts w:ascii="Arial" w:hAnsi="Arial"/>
          <w:color w:val="231F20"/>
          <w:sz w:val="17"/>
        </w:rPr>
        <w:t>petites</w:t>
      </w:r>
      <w:r>
        <w:rPr>
          <w:rFonts w:ascii="Arial" w:hAnsi="Arial"/>
          <w:color w:val="231F20"/>
          <w:spacing w:val="-9"/>
          <w:sz w:val="17"/>
        </w:rPr>
        <w:t> </w:t>
      </w:r>
      <w:r>
        <w:rPr>
          <w:rFonts w:ascii="Arial" w:hAnsi="Arial"/>
          <w:color w:val="231F20"/>
          <w:sz w:val="17"/>
        </w:rPr>
        <w:t>pauses</w:t>
      </w:r>
      <w:r>
        <w:rPr>
          <w:rFonts w:ascii="Arial" w:hAnsi="Arial"/>
          <w:color w:val="231F20"/>
          <w:spacing w:val="-9"/>
          <w:sz w:val="17"/>
        </w:rPr>
        <w:t> </w:t>
      </w:r>
      <w:r>
        <w:rPr>
          <w:rFonts w:ascii="Arial" w:hAnsi="Arial"/>
          <w:color w:val="231F20"/>
          <w:spacing w:val="-5"/>
          <w:sz w:val="17"/>
        </w:rPr>
        <w:t>de</w:t>
      </w:r>
    </w:p>
    <w:p>
      <w:pPr>
        <w:pStyle w:val="BodyText"/>
        <w:spacing w:line="307" w:lineRule="auto" w:before="55"/>
        <w:ind w:left="1330" w:right="782"/>
        <w:rPr>
          <w:rFonts w:ascii="Arial" w:hAnsi="Arial"/>
        </w:rPr>
      </w:pPr>
      <w:r>
        <w:rPr>
          <w:rFonts w:ascii="Arial" w:hAnsi="Arial"/>
          <w:color w:val="231F20"/>
          <w:spacing w:val="-2"/>
          <w:w w:val="105"/>
        </w:rPr>
        <w:t>10</w:t>
      </w:r>
      <w:r>
        <w:rPr>
          <w:rFonts w:ascii="Arial" w:hAnsi="Arial"/>
          <w:color w:val="231F20"/>
          <w:spacing w:val="-7"/>
          <w:w w:val="105"/>
        </w:rPr>
        <w:t> </w:t>
      </w:r>
      <w:r>
        <w:rPr>
          <w:rFonts w:ascii="Arial" w:hAnsi="Arial"/>
          <w:color w:val="231F20"/>
          <w:spacing w:val="-2"/>
          <w:w w:val="105"/>
        </w:rPr>
        <w:t>minutes</w:t>
      </w:r>
      <w:r>
        <w:rPr>
          <w:rFonts w:ascii="Arial" w:hAnsi="Arial"/>
          <w:color w:val="231F20"/>
          <w:spacing w:val="-7"/>
          <w:w w:val="105"/>
        </w:rPr>
        <w:t> </w:t>
      </w:r>
      <w:r>
        <w:rPr>
          <w:rFonts w:ascii="Arial" w:hAnsi="Arial"/>
          <w:color w:val="231F20"/>
          <w:spacing w:val="-2"/>
          <w:w w:val="105"/>
        </w:rPr>
        <w:t>dans</w:t>
      </w:r>
      <w:r>
        <w:rPr>
          <w:rFonts w:ascii="Arial" w:hAnsi="Arial"/>
          <w:color w:val="231F20"/>
          <w:spacing w:val="-7"/>
          <w:w w:val="105"/>
        </w:rPr>
        <w:t> </w:t>
      </w:r>
      <w:r>
        <w:rPr>
          <w:rFonts w:ascii="Arial" w:hAnsi="Arial"/>
          <w:color w:val="231F20"/>
          <w:spacing w:val="-2"/>
          <w:w w:val="105"/>
        </w:rPr>
        <w:t>la</w:t>
      </w:r>
      <w:r>
        <w:rPr>
          <w:rFonts w:ascii="Arial" w:hAnsi="Arial"/>
          <w:color w:val="231F20"/>
          <w:spacing w:val="-7"/>
          <w:w w:val="105"/>
        </w:rPr>
        <w:t> </w:t>
      </w:r>
      <w:r>
        <w:rPr>
          <w:rFonts w:ascii="Arial" w:hAnsi="Arial"/>
          <w:color w:val="231F20"/>
          <w:spacing w:val="-2"/>
          <w:w w:val="105"/>
        </w:rPr>
        <w:t>journée.</w:t>
      </w:r>
      <w:r>
        <w:rPr>
          <w:rFonts w:ascii="Arial" w:hAnsi="Arial"/>
          <w:color w:val="231F20"/>
          <w:spacing w:val="-7"/>
          <w:w w:val="105"/>
        </w:rPr>
        <w:t> </w:t>
      </w:r>
      <w:r>
        <w:rPr>
          <w:rFonts w:ascii="Arial" w:hAnsi="Arial"/>
          <w:color w:val="231F20"/>
          <w:spacing w:val="-2"/>
          <w:w w:val="105"/>
        </w:rPr>
        <w:t>Lorsque</w:t>
      </w:r>
      <w:r>
        <w:rPr>
          <w:rFonts w:ascii="Arial" w:hAnsi="Arial"/>
          <w:color w:val="231F20"/>
          <w:spacing w:val="-7"/>
          <w:w w:val="105"/>
        </w:rPr>
        <w:t> </w:t>
      </w:r>
      <w:r>
        <w:rPr>
          <w:rFonts w:ascii="Arial" w:hAnsi="Arial"/>
          <w:color w:val="231F20"/>
          <w:spacing w:val="-2"/>
          <w:w w:val="105"/>
        </w:rPr>
        <w:t>vous</w:t>
      </w:r>
      <w:r>
        <w:rPr>
          <w:rFonts w:ascii="Arial" w:hAnsi="Arial"/>
          <w:color w:val="231F20"/>
          <w:spacing w:val="-7"/>
          <w:w w:val="105"/>
        </w:rPr>
        <w:t> </w:t>
      </w:r>
      <w:r>
        <w:rPr>
          <w:rFonts w:ascii="Arial" w:hAnsi="Arial"/>
          <w:color w:val="231F20"/>
          <w:spacing w:val="-2"/>
          <w:w w:val="105"/>
        </w:rPr>
        <w:t>avez</w:t>
      </w:r>
      <w:r>
        <w:rPr>
          <w:rFonts w:ascii="Arial" w:hAnsi="Arial"/>
          <w:color w:val="231F20"/>
          <w:spacing w:val="-7"/>
          <w:w w:val="105"/>
        </w:rPr>
        <w:t> </w:t>
      </w:r>
      <w:r>
        <w:rPr>
          <w:rFonts w:ascii="Arial" w:hAnsi="Arial"/>
          <w:color w:val="231F20"/>
          <w:spacing w:val="-2"/>
          <w:w w:val="105"/>
        </w:rPr>
        <w:t>beaucoup</w:t>
      </w:r>
      <w:r>
        <w:rPr>
          <w:rFonts w:ascii="Arial" w:hAnsi="Arial"/>
          <w:color w:val="231F20"/>
          <w:spacing w:val="-7"/>
          <w:w w:val="105"/>
        </w:rPr>
        <w:t> </w:t>
      </w:r>
      <w:r>
        <w:rPr>
          <w:rFonts w:ascii="Arial" w:hAnsi="Arial"/>
          <w:color w:val="231F20"/>
          <w:spacing w:val="-2"/>
          <w:w w:val="105"/>
        </w:rPr>
        <w:t>de </w:t>
      </w:r>
      <w:r>
        <w:rPr>
          <w:rFonts w:ascii="Arial" w:hAnsi="Arial"/>
          <w:color w:val="231F20"/>
          <w:w w:val="105"/>
        </w:rPr>
        <w:t>travail, il peut être tentant de mettre les bouchées doubles. </w:t>
      </w:r>
      <w:r>
        <w:rPr>
          <w:rFonts w:ascii="Arial" w:hAnsi="Arial"/>
          <w:color w:val="231F20"/>
        </w:rPr>
        <w:t>Pourtant,</w:t>
      </w:r>
      <w:r>
        <w:rPr>
          <w:rFonts w:ascii="Arial" w:hAnsi="Arial"/>
          <w:color w:val="231F20"/>
          <w:spacing w:val="-1"/>
        </w:rPr>
        <w:t> </w:t>
      </w:r>
      <w:r>
        <w:rPr>
          <w:rFonts w:ascii="Arial" w:hAnsi="Arial"/>
          <w:color w:val="231F20"/>
        </w:rPr>
        <w:t>faire</w:t>
      </w:r>
      <w:r>
        <w:rPr>
          <w:rFonts w:ascii="Arial" w:hAnsi="Arial"/>
          <w:color w:val="231F20"/>
          <w:spacing w:val="-1"/>
        </w:rPr>
        <w:t> </w:t>
      </w:r>
      <w:r>
        <w:rPr>
          <w:rFonts w:ascii="Arial" w:hAnsi="Arial"/>
          <w:color w:val="231F20"/>
        </w:rPr>
        <w:t>de</w:t>
      </w:r>
      <w:r>
        <w:rPr>
          <w:rFonts w:ascii="Arial" w:hAnsi="Arial"/>
          <w:color w:val="231F20"/>
          <w:spacing w:val="-1"/>
        </w:rPr>
        <w:t> </w:t>
      </w:r>
      <w:r>
        <w:rPr>
          <w:rFonts w:ascii="Arial" w:hAnsi="Arial"/>
          <w:color w:val="231F20"/>
        </w:rPr>
        <w:t>courtes</w:t>
      </w:r>
      <w:r>
        <w:rPr>
          <w:rFonts w:ascii="Arial" w:hAnsi="Arial"/>
          <w:color w:val="231F20"/>
          <w:spacing w:val="-1"/>
        </w:rPr>
        <w:t> </w:t>
      </w:r>
      <w:r>
        <w:rPr>
          <w:rFonts w:ascii="Arial" w:hAnsi="Arial"/>
          <w:color w:val="231F20"/>
        </w:rPr>
        <w:t>pauses</w:t>
      </w:r>
      <w:r>
        <w:rPr>
          <w:rFonts w:ascii="Arial" w:hAnsi="Arial"/>
          <w:color w:val="231F20"/>
          <w:spacing w:val="-1"/>
        </w:rPr>
        <w:t> </w:t>
      </w:r>
      <w:r>
        <w:rPr>
          <w:rFonts w:ascii="Arial" w:hAnsi="Arial"/>
          <w:color w:val="231F20"/>
        </w:rPr>
        <w:t>à</w:t>
      </w:r>
      <w:r>
        <w:rPr>
          <w:rFonts w:ascii="Arial" w:hAnsi="Arial"/>
          <w:color w:val="231F20"/>
          <w:spacing w:val="-1"/>
        </w:rPr>
        <w:t> </w:t>
      </w:r>
      <w:r>
        <w:rPr>
          <w:rFonts w:ascii="Arial" w:hAnsi="Arial"/>
          <w:color w:val="231F20"/>
        </w:rPr>
        <w:t>intervalles</w:t>
      </w:r>
      <w:r>
        <w:rPr>
          <w:rFonts w:ascii="Arial" w:hAnsi="Arial"/>
          <w:color w:val="231F20"/>
          <w:spacing w:val="-1"/>
        </w:rPr>
        <w:t> </w:t>
      </w:r>
      <w:r>
        <w:rPr>
          <w:rFonts w:ascii="Arial" w:hAnsi="Arial"/>
          <w:color w:val="231F20"/>
        </w:rPr>
        <w:t>réguliers</w:t>
      </w:r>
      <w:r>
        <w:rPr>
          <w:rFonts w:ascii="Arial" w:hAnsi="Arial"/>
          <w:color w:val="231F20"/>
          <w:spacing w:val="-1"/>
        </w:rPr>
        <w:t> </w:t>
      </w:r>
      <w:r>
        <w:rPr>
          <w:rFonts w:ascii="Arial" w:hAnsi="Arial"/>
          <w:color w:val="231F20"/>
        </w:rPr>
        <w:t>améliore </w:t>
      </w:r>
      <w:r>
        <w:rPr>
          <w:rFonts w:ascii="Arial" w:hAnsi="Arial"/>
          <w:color w:val="231F20"/>
          <w:w w:val="105"/>
        </w:rPr>
        <w:t>la productivité en renforçant votre capacité d’attention et</w:t>
      </w:r>
    </w:p>
    <w:p>
      <w:pPr>
        <w:pStyle w:val="BodyText"/>
        <w:spacing w:line="195" w:lineRule="exact"/>
        <w:ind w:left="1330"/>
        <w:rPr>
          <w:rFonts w:ascii="Arial"/>
        </w:rPr>
      </w:pPr>
      <w:r>
        <w:rPr>
          <w:rFonts w:ascii="Arial"/>
          <w:color w:val="231F20"/>
        </w:rPr>
        <w:t>de</w:t>
      </w:r>
      <w:r>
        <w:rPr>
          <w:rFonts w:ascii="Arial"/>
          <w:color w:val="231F20"/>
          <w:spacing w:val="-7"/>
        </w:rPr>
        <w:t> </w:t>
      </w:r>
      <w:r>
        <w:rPr>
          <w:rFonts w:ascii="Arial"/>
          <w:color w:val="231F20"/>
          <w:spacing w:val="-2"/>
        </w:rPr>
        <w:t>concentration.</w:t>
      </w:r>
    </w:p>
    <w:p>
      <w:pPr>
        <w:pStyle w:val="ListParagraph"/>
        <w:numPr>
          <w:ilvl w:val="1"/>
          <w:numId w:val="77"/>
        </w:numPr>
        <w:tabs>
          <w:tab w:pos="1331" w:val="left" w:leader="none"/>
        </w:tabs>
        <w:spacing w:line="307" w:lineRule="auto" w:before="134" w:after="0"/>
        <w:ind w:left="1330" w:right="797" w:hanging="251"/>
        <w:jc w:val="left"/>
        <w:rPr>
          <w:rFonts w:ascii="Arial" w:hAnsi="Arial"/>
          <w:sz w:val="17"/>
        </w:rPr>
      </w:pPr>
      <w:r>
        <w:rPr>
          <w:rFonts w:ascii="Arial" w:hAnsi="Arial"/>
          <w:color w:val="231F20"/>
          <w:sz w:val="17"/>
        </w:rPr>
        <w:t>Établissez</w:t>
      </w:r>
      <w:r>
        <w:rPr>
          <w:rFonts w:ascii="Arial" w:hAnsi="Arial"/>
          <w:color w:val="231F20"/>
          <w:spacing w:val="-5"/>
          <w:sz w:val="17"/>
        </w:rPr>
        <w:t> </w:t>
      </w:r>
      <w:r>
        <w:rPr>
          <w:rFonts w:ascii="Arial" w:hAnsi="Arial"/>
          <w:color w:val="231F20"/>
          <w:sz w:val="17"/>
        </w:rPr>
        <w:t>des</w:t>
      </w:r>
      <w:r>
        <w:rPr>
          <w:rFonts w:ascii="Arial" w:hAnsi="Arial"/>
          <w:color w:val="231F20"/>
          <w:spacing w:val="-5"/>
          <w:sz w:val="17"/>
        </w:rPr>
        <w:t> </w:t>
      </w:r>
      <w:r>
        <w:rPr>
          <w:rFonts w:ascii="Arial" w:hAnsi="Arial"/>
          <w:color w:val="231F20"/>
          <w:sz w:val="17"/>
        </w:rPr>
        <w:t>objectifs</w:t>
      </w:r>
      <w:r>
        <w:rPr>
          <w:rFonts w:ascii="Arial" w:hAnsi="Arial"/>
          <w:color w:val="231F20"/>
          <w:spacing w:val="-5"/>
          <w:sz w:val="17"/>
        </w:rPr>
        <w:t> </w:t>
      </w:r>
      <w:r>
        <w:rPr>
          <w:rFonts w:ascii="Arial" w:hAnsi="Arial"/>
          <w:color w:val="231F20"/>
          <w:sz w:val="17"/>
        </w:rPr>
        <w:t>précis.</w:t>
      </w:r>
      <w:r>
        <w:rPr>
          <w:rFonts w:ascii="Arial" w:hAnsi="Arial"/>
          <w:color w:val="231F20"/>
          <w:spacing w:val="-5"/>
          <w:sz w:val="17"/>
        </w:rPr>
        <w:t> </w:t>
      </w:r>
      <w:r>
        <w:rPr>
          <w:rFonts w:ascii="Arial" w:hAnsi="Arial"/>
          <w:color w:val="231F20"/>
          <w:sz w:val="17"/>
        </w:rPr>
        <w:t>Au</w:t>
      </w:r>
      <w:r>
        <w:rPr>
          <w:rFonts w:ascii="Arial" w:hAnsi="Arial"/>
          <w:color w:val="231F20"/>
          <w:spacing w:val="-5"/>
          <w:sz w:val="17"/>
        </w:rPr>
        <w:t> </w:t>
      </w:r>
      <w:r>
        <w:rPr>
          <w:rFonts w:ascii="Arial" w:hAnsi="Arial"/>
          <w:color w:val="231F20"/>
          <w:sz w:val="17"/>
        </w:rPr>
        <w:t>lieu</w:t>
      </w:r>
      <w:r>
        <w:rPr>
          <w:rFonts w:ascii="Arial" w:hAnsi="Arial"/>
          <w:color w:val="231F20"/>
          <w:spacing w:val="-5"/>
          <w:sz w:val="17"/>
        </w:rPr>
        <w:t> </w:t>
      </w:r>
      <w:r>
        <w:rPr>
          <w:rFonts w:ascii="Arial" w:hAnsi="Arial"/>
          <w:color w:val="231F20"/>
          <w:sz w:val="17"/>
        </w:rPr>
        <w:t>de</w:t>
      </w:r>
      <w:r>
        <w:rPr>
          <w:rFonts w:ascii="Arial" w:hAnsi="Arial"/>
          <w:color w:val="231F20"/>
          <w:spacing w:val="-5"/>
          <w:sz w:val="17"/>
        </w:rPr>
        <w:t> </w:t>
      </w:r>
      <w:r>
        <w:rPr>
          <w:rFonts w:ascii="Arial" w:hAnsi="Arial"/>
          <w:color w:val="231F20"/>
          <w:sz w:val="17"/>
        </w:rPr>
        <w:t>dire</w:t>
      </w:r>
      <w:r>
        <w:rPr>
          <w:rFonts w:ascii="Arial" w:hAnsi="Arial"/>
          <w:color w:val="231F20"/>
          <w:spacing w:val="-5"/>
          <w:sz w:val="17"/>
        </w:rPr>
        <w:t> </w:t>
      </w:r>
      <w:r>
        <w:rPr>
          <w:rFonts w:ascii="Arial" w:hAnsi="Arial"/>
          <w:color w:val="231F20"/>
          <w:sz w:val="17"/>
        </w:rPr>
        <w:t>«</w:t>
      </w:r>
      <w:r>
        <w:rPr>
          <w:rFonts w:ascii="Arial" w:hAnsi="Arial"/>
          <w:color w:val="231F20"/>
          <w:spacing w:val="-32"/>
          <w:sz w:val="17"/>
        </w:rPr>
        <w:t> </w:t>
      </w:r>
      <w:r>
        <w:rPr>
          <w:rFonts w:ascii="Arial" w:hAnsi="Arial"/>
          <w:color w:val="231F20"/>
          <w:sz w:val="17"/>
        </w:rPr>
        <w:t>je</w:t>
      </w:r>
      <w:r>
        <w:rPr>
          <w:rFonts w:ascii="Arial" w:hAnsi="Arial"/>
          <w:color w:val="231F20"/>
          <w:spacing w:val="-5"/>
          <w:sz w:val="17"/>
        </w:rPr>
        <w:t> </w:t>
      </w:r>
      <w:r>
        <w:rPr>
          <w:rFonts w:ascii="Arial" w:hAnsi="Arial"/>
          <w:color w:val="231F20"/>
          <w:sz w:val="17"/>
        </w:rPr>
        <w:t>devrais</w:t>
      </w:r>
      <w:r>
        <w:rPr>
          <w:rFonts w:ascii="Arial" w:hAnsi="Arial"/>
          <w:color w:val="231F20"/>
          <w:spacing w:val="-5"/>
          <w:sz w:val="17"/>
        </w:rPr>
        <w:t> </w:t>
      </w:r>
      <w:r>
        <w:rPr>
          <w:rFonts w:ascii="Arial" w:hAnsi="Arial"/>
          <w:color w:val="231F20"/>
          <w:sz w:val="17"/>
        </w:rPr>
        <w:t>manger mieux», engagez-vous à apporter un repas santé au travail tous les</w:t>
      </w:r>
      <w:r>
        <w:rPr>
          <w:rFonts w:ascii="Arial" w:hAnsi="Arial"/>
          <w:color w:val="231F20"/>
          <w:spacing w:val="-4"/>
          <w:sz w:val="17"/>
        </w:rPr>
        <w:t> </w:t>
      </w:r>
      <w:r>
        <w:rPr>
          <w:rFonts w:ascii="Arial" w:hAnsi="Arial"/>
          <w:color w:val="231F20"/>
          <w:sz w:val="17"/>
        </w:rPr>
        <w:t>jours.</w:t>
      </w:r>
      <w:r>
        <w:rPr>
          <w:rFonts w:ascii="Arial" w:hAnsi="Arial"/>
          <w:color w:val="231F20"/>
          <w:spacing w:val="-4"/>
          <w:sz w:val="17"/>
        </w:rPr>
        <w:t> </w:t>
      </w:r>
      <w:r>
        <w:rPr>
          <w:rFonts w:ascii="Arial" w:hAnsi="Arial"/>
          <w:color w:val="231F20"/>
          <w:sz w:val="17"/>
        </w:rPr>
        <w:t>Plutôt</w:t>
      </w:r>
      <w:r>
        <w:rPr>
          <w:rFonts w:ascii="Arial" w:hAnsi="Arial"/>
          <w:color w:val="231F20"/>
          <w:spacing w:val="-4"/>
          <w:sz w:val="17"/>
        </w:rPr>
        <w:t> </w:t>
      </w:r>
      <w:r>
        <w:rPr>
          <w:rFonts w:ascii="Arial" w:hAnsi="Arial"/>
          <w:color w:val="231F20"/>
          <w:sz w:val="17"/>
        </w:rPr>
        <w:t>que</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vous</w:t>
      </w:r>
      <w:r>
        <w:rPr>
          <w:rFonts w:ascii="Arial" w:hAnsi="Arial"/>
          <w:color w:val="231F20"/>
          <w:spacing w:val="-4"/>
          <w:sz w:val="17"/>
        </w:rPr>
        <w:t> </w:t>
      </w:r>
      <w:r>
        <w:rPr>
          <w:rFonts w:ascii="Arial" w:hAnsi="Arial"/>
          <w:color w:val="231F20"/>
          <w:sz w:val="17"/>
        </w:rPr>
        <w:t>promettre</w:t>
      </w:r>
      <w:r>
        <w:rPr>
          <w:rFonts w:ascii="Arial" w:hAnsi="Arial"/>
          <w:color w:val="231F20"/>
          <w:spacing w:val="-4"/>
          <w:sz w:val="17"/>
        </w:rPr>
        <w:t> </w:t>
      </w:r>
      <w:r>
        <w:rPr>
          <w:rFonts w:ascii="Arial" w:hAnsi="Arial"/>
          <w:color w:val="231F20"/>
          <w:sz w:val="17"/>
        </w:rPr>
        <w:t>d’essayer</w:t>
      </w:r>
      <w:r>
        <w:rPr>
          <w:rFonts w:ascii="Arial" w:hAnsi="Arial"/>
          <w:color w:val="231F20"/>
          <w:spacing w:val="-4"/>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vous</w:t>
      </w:r>
      <w:r>
        <w:rPr>
          <w:rFonts w:ascii="Arial" w:hAnsi="Arial"/>
          <w:color w:val="231F20"/>
          <w:spacing w:val="-4"/>
          <w:sz w:val="17"/>
        </w:rPr>
        <w:t> </w:t>
      </w:r>
      <w:r>
        <w:rPr>
          <w:rFonts w:ascii="Arial" w:hAnsi="Arial"/>
          <w:color w:val="231F20"/>
          <w:sz w:val="17"/>
        </w:rPr>
        <w:t>reposer davantage, engagez-vous à éteindre la lumière à 23 heures au plus tard chaque soir.</w:t>
      </w:r>
    </w:p>
    <w:p>
      <w:pPr>
        <w:pStyle w:val="ListParagraph"/>
        <w:numPr>
          <w:ilvl w:val="1"/>
          <w:numId w:val="77"/>
        </w:numPr>
        <w:tabs>
          <w:tab w:pos="1331" w:val="left" w:leader="none"/>
        </w:tabs>
        <w:spacing w:line="307" w:lineRule="auto" w:before="79" w:after="0"/>
        <w:ind w:left="1330" w:right="882" w:hanging="251"/>
        <w:jc w:val="left"/>
        <w:rPr>
          <w:rFonts w:ascii="Arial" w:hAnsi="Arial"/>
          <w:sz w:val="17"/>
        </w:rPr>
      </w:pPr>
      <w:r>
        <w:rPr>
          <w:rFonts w:ascii="Arial" w:hAnsi="Arial"/>
          <w:color w:val="231F20"/>
          <w:sz w:val="17"/>
        </w:rPr>
        <w:t>Soyez reconnaissant. Le fait de témoigner activement de la gratitude permet d’avoir une attitude plus positive au </w:t>
      </w:r>
      <w:r>
        <w:rPr>
          <w:rFonts w:ascii="Arial" w:hAnsi="Arial"/>
          <w:color w:val="231F20"/>
          <w:sz w:val="17"/>
        </w:rPr>
        <w:t>quotidien.</w:t>
      </w:r>
    </w:p>
    <w:p>
      <w:pPr>
        <w:pStyle w:val="ListParagraph"/>
        <w:numPr>
          <w:ilvl w:val="1"/>
          <w:numId w:val="77"/>
        </w:numPr>
        <w:tabs>
          <w:tab w:pos="1331" w:val="left" w:leader="none"/>
        </w:tabs>
        <w:spacing w:line="307" w:lineRule="auto" w:before="80" w:after="0"/>
        <w:ind w:left="1330" w:right="839" w:hanging="251"/>
        <w:jc w:val="left"/>
        <w:rPr>
          <w:rFonts w:ascii="Arial" w:hAnsi="Arial"/>
          <w:sz w:val="17"/>
        </w:rPr>
      </w:pPr>
      <w:r>
        <w:rPr>
          <w:rFonts w:ascii="Arial" w:hAnsi="Arial"/>
          <w:color w:val="231F20"/>
          <w:sz w:val="17"/>
        </w:rPr>
        <w:t>Apprenez à dire non. Une surcharge de responsabilités ne fait qu’ajouter</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votre</w:t>
      </w:r>
      <w:r>
        <w:rPr>
          <w:rFonts w:ascii="Arial" w:hAnsi="Arial"/>
          <w:color w:val="231F20"/>
          <w:spacing w:val="-1"/>
          <w:sz w:val="17"/>
        </w:rPr>
        <w:t> </w:t>
      </w:r>
      <w:r>
        <w:rPr>
          <w:rFonts w:ascii="Arial" w:hAnsi="Arial"/>
          <w:color w:val="231F20"/>
          <w:sz w:val="17"/>
        </w:rPr>
        <w:t>stress.</w:t>
      </w:r>
      <w:r>
        <w:rPr>
          <w:rFonts w:ascii="Arial" w:hAnsi="Arial"/>
          <w:color w:val="231F20"/>
          <w:spacing w:val="-1"/>
          <w:sz w:val="17"/>
        </w:rPr>
        <w:t> </w:t>
      </w:r>
      <w:r>
        <w:rPr>
          <w:rFonts w:ascii="Arial" w:hAnsi="Arial"/>
          <w:color w:val="231F20"/>
          <w:sz w:val="17"/>
        </w:rPr>
        <w:t>Dire</w:t>
      </w:r>
      <w:r>
        <w:rPr>
          <w:rFonts w:ascii="Arial" w:hAnsi="Arial"/>
          <w:color w:val="231F20"/>
          <w:spacing w:val="-1"/>
          <w:sz w:val="17"/>
        </w:rPr>
        <w:t> </w:t>
      </w:r>
      <w:r>
        <w:rPr>
          <w:rFonts w:ascii="Arial" w:hAnsi="Arial"/>
          <w:color w:val="231F20"/>
          <w:sz w:val="17"/>
        </w:rPr>
        <w:t>oui</w:t>
      </w:r>
      <w:r>
        <w:rPr>
          <w:rFonts w:ascii="Arial" w:hAnsi="Arial"/>
          <w:color w:val="231F20"/>
          <w:spacing w:val="-1"/>
          <w:sz w:val="17"/>
        </w:rPr>
        <w:t> </w:t>
      </w:r>
      <w:r>
        <w:rPr>
          <w:rFonts w:ascii="Arial" w:hAnsi="Arial"/>
          <w:color w:val="231F20"/>
          <w:sz w:val="17"/>
        </w:rPr>
        <w:t>à</w:t>
      </w:r>
      <w:r>
        <w:rPr>
          <w:rFonts w:ascii="Arial" w:hAnsi="Arial"/>
          <w:color w:val="231F20"/>
          <w:spacing w:val="-1"/>
          <w:sz w:val="17"/>
        </w:rPr>
        <w:t> </w:t>
      </w:r>
      <w:r>
        <w:rPr>
          <w:rFonts w:ascii="Arial" w:hAnsi="Arial"/>
          <w:color w:val="231F20"/>
          <w:sz w:val="17"/>
        </w:rPr>
        <w:t>tout</w:t>
      </w:r>
      <w:r>
        <w:rPr>
          <w:rFonts w:ascii="Arial" w:hAnsi="Arial"/>
          <w:color w:val="231F20"/>
          <w:spacing w:val="-1"/>
          <w:sz w:val="17"/>
        </w:rPr>
        <w:t> </w:t>
      </w:r>
      <w:r>
        <w:rPr>
          <w:rFonts w:ascii="Arial" w:hAnsi="Arial"/>
          <w:color w:val="231F20"/>
          <w:sz w:val="17"/>
        </w:rPr>
        <w:t>le</w:t>
      </w:r>
      <w:r>
        <w:rPr>
          <w:rFonts w:ascii="Arial" w:hAnsi="Arial"/>
          <w:color w:val="231F20"/>
          <w:spacing w:val="-1"/>
          <w:sz w:val="17"/>
        </w:rPr>
        <w:t> </w:t>
      </w:r>
      <w:r>
        <w:rPr>
          <w:rFonts w:ascii="Arial" w:hAnsi="Arial"/>
          <w:color w:val="231F20"/>
          <w:sz w:val="17"/>
        </w:rPr>
        <w:t>monde,</w:t>
      </w:r>
      <w:r>
        <w:rPr>
          <w:rFonts w:ascii="Arial" w:hAnsi="Arial"/>
          <w:color w:val="231F20"/>
          <w:spacing w:val="-1"/>
          <w:sz w:val="17"/>
        </w:rPr>
        <w:t> </w:t>
      </w:r>
      <w:r>
        <w:rPr>
          <w:rFonts w:ascii="Arial" w:hAnsi="Arial"/>
          <w:color w:val="231F20"/>
          <w:sz w:val="17"/>
        </w:rPr>
        <w:t>c’est</w:t>
      </w:r>
      <w:r>
        <w:rPr>
          <w:rFonts w:ascii="Arial" w:hAnsi="Arial"/>
          <w:color w:val="231F20"/>
          <w:spacing w:val="-1"/>
          <w:sz w:val="17"/>
        </w:rPr>
        <w:t> </w:t>
      </w:r>
      <w:r>
        <w:rPr>
          <w:rFonts w:ascii="Arial" w:hAnsi="Arial"/>
          <w:color w:val="231F20"/>
          <w:sz w:val="17"/>
        </w:rPr>
        <w:t>renoncer à notre bien-être.</w:t>
      </w:r>
    </w:p>
    <w:p>
      <w:pPr>
        <w:spacing w:after="0" w:line="307" w:lineRule="auto"/>
        <w:jc w:val="left"/>
        <w:rPr>
          <w:rFonts w:ascii="Arial" w:hAnsi="Arial"/>
          <w:sz w:val="17"/>
        </w:rPr>
        <w:sectPr>
          <w:footerReference w:type="default" r:id="rId291"/>
          <w:pgSz w:w="8640" w:h="12960"/>
          <w:pgMar w:footer="424" w:header="0" w:top="520" w:bottom="620" w:left="420" w:right="1140"/>
        </w:sectPr>
      </w:pPr>
    </w:p>
    <w:p>
      <w:pPr>
        <w:spacing w:before="118"/>
        <w:ind w:left="1847" w:right="0" w:firstLine="0"/>
        <w:jc w:val="left"/>
        <w:rPr>
          <w:rFonts w:ascii="Arial" w:hAnsi="Arial"/>
          <w:sz w:val="14"/>
        </w:rPr>
      </w:pPr>
      <w:bookmarkStart w:name="Tableau 5.1 / Stratégies classiques de l" w:id="177"/>
      <w:bookmarkEnd w:id="177"/>
      <w:r>
        <w:rPr/>
      </w:r>
      <w:bookmarkStart w:name="_bookmark78" w:id="178"/>
      <w:bookmarkEnd w:id="178"/>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spacing w:before="3"/>
        <w:rPr>
          <w:rFonts w:ascii="Arial"/>
          <w:sz w:val="29"/>
        </w:rPr>
      </w:pPr>
      <w:r>
        <w:rPr/>
        <w:pict>
          <v:group style="position:absolute;margin-left:82pt;margin-top:18.051661pt;width:287.5pt;height:107pt;mso-position-horizontal-relative:page;mso-position-vertical-relative:paragraph;z-index:-15631360;mso-wrap-distance-left:0;mso-wrap-distance-right:0" id="docshapegroup1026" coordorigin="1640,361" coordsize="5750,2140">
            <v:shape style="position:absolute;left:1640;top:361;width:5750;height:2140" id="docshape1027" coordorigin="1640,361" coordsize="5750,2140" path="m7390,361l1640,361,1640,1661,1640,1741,1640,2501,7390,2501,7390,1741,7390,1661,7390,361xe" filled="true" fillcolor="#e2e3e4" stroked="false">
              <v:path arrowok="t"/>
              <v:fill type="solid"/>
            </v:shape>
            <v:line style="position:absolute" from="1890,1659" to="7140,1659" stroked="true" strokeweight=".25pt" strokecolor="#231f20">
              <v:stroke dashstyle="shortdot"/>
            </v:line>
            <v:shape style="position:absolute;left:1640;top:361;width:5750;height:2140" type="#_x0000_t202" id="docshape1028" filled="false" stroked="false">
              <v:textbox inset="0,0,0,0">
                <w:txbxContent>
                  <w:p>
                    <w:pPr>
                      <w:spacing w:line="240" w:lineRule="auto" w:before="2"/>
                      <w:rPr>
                        <w:rFonts w:ascii="Arial"/>
                        <w:sz w:val="19"/>
                      </w:rPr>
                    </w:pPr>
                  </w:p>
                  <w:p>
                    <w:pPr>
                      <w:spacing w:line="307" w:lineRule="auto" w:before="0"/>
                      <w:ind w:left="540" w:right="622" w:hanging="291"/>
                      <w:jc w:val="left"/>
                      <w:rPr>
                        <w:rFonts w:ascii="Arial" w:hAnsi="Arial"/>
                        <w:sz w:val="17"/>
                      </w:rPr>
                    </w:pPr>
                    <w:r>
                      <w:rPr>
                        <w:rFonts w:ascii="Arial" w:hAnsi="Arial"/>
                        <w:color w:val="231F20"/>
                        <w:sz w:val="17"/>
                      </w:rPr>
                      <w:t>10.</w:t>
                    </w:r>
                    <w:r>
                      <w:rPr>
                        <w:rFonts w:ascii="Arial" w:hAnsi="Arial"/>
                        <w:color w:val="231F20"/>
                        <w:spacing w:val="24"/>
                        <w:sz w:val="17"/>
                      </w:rPr>
                      <w:t> </w:t>
                    </w:r>
                    <w:r>
                      <w:rPr>
                        <w:rFonts w:ascii="Arial" w:hAnsi="Arial"/>
                        <w:color w:val="231F20"/>
                        <w:sz w:val="17"/>
                      </w:rPr>
                      <w:t>Concentrez votre attention. Notre cerveau passe beaucoup de</w:t>
                    </w:r>
                    <w:r>
                      <w:rPr>
                        <w:rFonts w:ascii="Arial" w:hAnsi="Arial"/>
                        <w:color w:val="231F20"/>
                        <w:spacing w:val="-11"/>
                        <w:sz w:val="17"/>
                      </w:rPr>
                      <w:t> </w:t>
                    </w:r>
                    <w:r>
                      <w:rPr>
                        <w:rFonts w:ascii="Arial" w:hAnsi="Arial"/>
                        <w:color w:val="231F20"/>
                        <w:sz w:val="17"/>
                      </w:rPr>
                      <w:t>temps</w:t>
                    </w:r>
                    <w:r>
                      <w:rPr>
                        <w:rFonts w:ascii="Arial" w:hAnsi="Arial"/>
                        <w:color w:val="231F20"/>
                        <w:spacing w:val="-11"/>
                        <w:sz w:val="17"/>
                      </w:rPr>
                      <w:t> </w:t>
                    </w:r>
                    <w:r>
                      <w:rPr>
                        <w:rFonts w:ascii="Arial" w:hAnsi="Arial"/>
                        <w:color w:val="231F20"/>
                        <w:sz w:val="17"/>
                      </w:rPr>
                      <w:t>à</w:t>
                    </w:r>
                    <w:r>
                      <w:rPr>
                        <w:rFonts w:ascii="Arial" w:hAnsi="Arial"/>
                        <w:color w:val="231F20"/>
                        <w:spacing w:val="-11"/>
                        <w:sz w:val="17"/>
                      </w:rPr>
                      <w:t> </w:t>
                    </w:r>
                    <w:r>
                      <w:rPr>
                        <w:rFonts w:ascii="Arial" w:hAnsi="Arial"/>
                        <w:color w:val="231F20"/>
                        <w:sz w:val="17"/>
                      </w:rPr>
                      <w:t>penser</w:t>
                    </w:r>
                    <w:r>
                      <w:rPr>
                        <w:rFonts w:ascii="Arial" w:hAnsi="Arial"/>
                        <w:color w:val="231F20"/>
                        <w:spacing w:val="-11"/>
                        <w:sz w:val="17"/>
                      </w:rPr>
                      <w:t> </w:t>
                    </w:r>
                    <w:r>
                      <w:rPr>
                        <w:rFonts w:ascii="Arial" w:hAnsi="Arial"/>
                        <w:color w:val="231F20"/>
                        <w:sz w:val="17"/>
                      </w:rPr>
                      <w:t>au</w:t>
                    </w:r>
                    <w:r>
                      <w:rPr>
                        <w:rFonts w:ascii="Arial" w:hAnsi="Arial"/>
                        <w:color w:val="231F20"/>
                        <w:spacing w:val="-11"/>
                        <w:sz w:val="17"/>
                      </w:rPr>
                      <w:t> </w:t>
                    </w:r>
                    <w:r>
                      <w:rPr>
                        <w:rFonts w:ascii="Arial" w:hAnsi="Arial"/>
                        <w:color w:val="231F20"/>
                        <w:sz w:val="17"/>
                      </w:rPr>
                      <w:t>passé</w:t>
                    </w:r>
                    <w:r>
                      <w:rPr>
                        <w:rFonts w:ascii="Arial" w:hAnsi="Arial"/>
                        <w:color w:val="231F20"/>
                        <w:spacing w:val="-11"/>
                        <w:sz w:val="17"/>
                      </w:rPr>
                      <w:t> </w:t>
                    </w:r>
                    <w:r>
                      <w:rPr>
                        <w:rFonts w:ascii="Arial" w:hAnsi="Arial"/>
                        <w:color w:val="231F20"/>
                        <w:sz w:val="17"/>
                      </w:rPr>
                      <w:t>ou</w:t>
                    </w:r>
                    <w:r>
                      <w:rPr>
                        <w:rFonts w:ascii="Arial" w:hAnsi="Arial"/>
                        <w:color w:val="231F20"/>
                        <w:spacing w:val="-11"/>
                        <w:sz w:val="17"/>
                      </w:rPr>
                      <w:t> </w:t>
                    </w:r>
                    <w:r>
                      <w:rPr>
                        <w:rFonts w:ascii="Arial" w:hAnsi="Arial"/>
                        <w:color w:val="231F20"/>
                        <w:sz w:val="17"/>
                      </w:rPr>
                      <w:t>à</w:t>
                    </w:r>
                    <w:r>
                      <w:rPr>
                        <w:rFonts w:ascii="Arial" w:hAnsi="Arial"/>
                        <w:color w:val="231F20"/>
                        <w:spacing w:val="-11"/>
                        <w:sz w:val="17"/>
                      </w:rPr>
                      <w:t> </w:t>
                    </w:r>
                    <w:r>
                      <w:rPr>
                        <w:rFonts w:ascii="Arial" w:hAnsi="Arial"/>
                        <w:color w:val="231F20"/>
                        <w:sz w:val="17"/>
                      </w:rPr>
                      <w:t>l’avenir.</w:t>
                    </w:r>
                    <w:r>
                      <w:rPr>
                        <w:rFonts w:ascii="Arial" w:hAnsi="Arial"/>
                        <w:color w:val="231F20"/>
                        <w:spacing w:val="-11"/>
                        <w:sz w:val="17"/>
                      </w:rPr>
                      <w:t> </w:t>
                    </w:r>
                    <w:r>
                      <w:rPr>
                        <w:rFonts w:ascii="Arial" w:hAnsi="Arial"/>
                        <w:color w:val="231F20"/>
                        <w:sz w:val="17"/>
                      </w:rPr>
                      <w:t>Mais</w:t>
                    </w:r>
                    <w:r>
                      <w:rPr>
                        <w:rFonts w:ascii="Arial" w:hAnsi="Arial"/>
                        <w:color w:val="231F20"/>
                        <w:spacing w:val="-11"/>
                        <w:sz w:val="17"/>
                      </w:rPr>
                      <w:t> </w:t>
                    </w:r>
                    <w:r>
                      <w:rPr>
                        <w:rFonts w:ascii="Arial" w:hAnsi="Arial"/>
                        <w:color w:val="231F20"/>
                        <w:sz w:val="17"/>
                      </w:rPr>
                      <w:t>il</w:t>
                    </w:r>
                    <w:r>
                      <w:rPr>
                        <w:rFonts w:ascii="Arial" w:hAnsi="Arial"/>
                        <w:color w:val="231F20"/>
                        <w:spacing w:val="-11"/>
                        <w:sz w:val="17"/>
                      </w:rPr>
                      <w:t> </w:t>
                    </w:r>
                    <w:r>
                      <w:rPr>
                        <w:rFonts w:ascii="Arial" w:hAnsi="Arial"/>
                        <w:color w:val="231F20"/>
                        <w:sz w:val="17"/>
                      </w:rPr>
                      <w:t>y</w:t>
                    </w:r>
                    <w:r>
                      <w:rPr>
                        <w:rFonts w:ascii="Arial" w:hAnsi="Arial"/>
                        <w:color w:val="231F20"/>
                        <w:spacing w:val="-11"/>
                        <w:sz w:val="17"/>
                      </w:rPr>
                      <w:t> </w:t>
                    </w:r>
                    <w:r>
                      <w:rPr>
                        <w:rFonts w:ascii="Arial" w:hAnsi="Arial"/>
                        <w:color w:val="231F20"/>
                        <w:sz w:val="17"/>
                      </w:rPr>
                      <w:t>a</w:t>
                    </w:r>
                    <w:r>
                      <w:rPr>
                        <w:rFonts w:ascii="Arial" w:hAnsi="Arial"/>
                        <w:color w:val="231F20"/>
                        <w:spacing w:val="-11"/>
                        <w:sz w:val="17"/>
                      </w:rPr>
                      <w:t> </w:t>
                    </w:r>
                    <w:r>
                      <w:rPr>
                        <w:rFonts w:ascii="Arial" w:hAnsi="Arial"/>
                        <w:color w:val="231F20"/>
                        <w:sz w:val="17"/>
                      </w:rPr>
                      <w:t>quelque chose d’incroyablement apaisant à simplement profiter</w:t>
                    </w:r>
                  </w:p>
                  <w:p>
                    <w:pPr>
                      <w:spacing w:line="195" w:lineRule="exact" w:before="0"/>
                      <w:ind w:left="540" w:right="0" w:firstLine="0"/>
                      <w:jc w:val="left"/>
                      <w:rPr>
                        <w:rFonts w:ascii="Arial" w:hAnsi="Arial"/>
                        <w:sz w:val="17"/>
                      </w:rPr>
                    </w:pPr>
                    <w:r>
                      <w:rPr>
                        <w:rFonts w:ascii="Arial" w:hAnsi="Arial"/>
                        <w:color w:val="231F20"/>
                        <w:sz w:val="17"/>
                      </w:rPr>
                      <w:t>du</w:t>
                    </w:r>
                    <w:r>
                      <w:rPr>
                        <w:rFonts w:ascii="Arial" w:hAnsi="Arial"/>
                        <w:color w:val="231F20"/>
                        <w:spacing w:val="6"/>
                        <w:sz w:val="17"/>
                      </w:rPr>
                      <w:t> </w:t>
                    </w:r>
                    <w:r>
                      <w:rPr>
                        <w:rFonts w:ascii="Arial" w:hAnsi="Arial"/>
                        <w:color w:val="231F20"/>
                        <w:sz w:val="17"/>
                      </w:rPr>
                      <w:t>moment</w:t>
                    </w:r>
                    <w:r>
                      <w:rPr>
                        <w:rFonts w:ascii="Arial" w:hAnsi="Arial"/>
                        <w:color w:val="231F20"/>
                        <w:spacing w:val="6"/>
                        <w:sz w:val="17"/>
                      </w:rPr>
                      <w:t> </w:t>
                    </w:r>
                    <w:r>
                      <w:rPr>
                        <w:rFonts w:ascii="Arial" w:hAnsi="Arial"/>
                        <w:color w:val="231F20"/>
                        <w:spacing w:val="-2"/>
                        <w:sz w:val="17"/>
                      </w:rPr>
                      <w:t>présent.</w:t>
                    </w:r>
                  </w:p>
                  <w:p>
                    <w:pPr>
                      <w:spacing w:line="240" w:lineRule="auto" w:before="6"/>
                      <w:rPr>
                        <w:rFonts w:ascii="Arial"/>
                        <w:sz w:val="23"/>
                      </w:rPr>
                    </w:pPr>
                  </w:p>
                  <w:p>
                    <w:pPr>
                      <w:spacing w:line="295" w:lineRule="auto" w:before="0"/>
                      <w:ind w:left="250" w:right="248" w:firstLine="0"/>
                      <w:jc w:val="both"/>
                      <w:rPr>
                        <w:rFonts w:ascii="Arial" w:hAnsi="Arial"/>
                        <w:sz w:val="12"/>
                      </w:rPr>
                    </w:pPr>
                    <w:r>
                      <w:rPr>
                        <w:rFonts w:ascii="Arial" w:hAnsi="Arial"/>
                        <w:color w:val="231F20"/>
                        <w:w w:val="105"/>
                        <w:sz w:val="12"/>
                      </w:rPr>
                      <w:t>Source</w:t>
                    </w:r>
                    <w:r>
                      <w:rPr>
                        <w:rFonts w:ascii="Arial" w:hAnsi="Arial"/>
                        <w:color w:val="231F20"/>
                        <w:spacing w:val="-9"/>
                        <w:w w:val="105"/>
                        <w:sz w:val="12"/>
                      </w:rPr>
                      <w:t> </w:t>
                    </w:r>
                    <w:r>
                      <w:rPr>
                        <w:rFonts w:ascii="Arial" w:hAnsi="Arial"/>
                        <w:color w:val="231F20"/>
                        <w:w w:val="105"/>
                        <w:sz w:val="12"/>
                      </w:rPr>
                      <w:t>: 10 stratégies pour gérer son stress, </w:t>
                    </w:r>
                    <w:r>
                      <w:rPr>
                        <w:rFonts w:ascii="Arial" w:hAnsi="Arial"/>
                        <w:i/>
                        <w:color w:val="231F20"/>
                        <w:w w:val="105"/>
                        <w:sz w:val="12"/>
                      </w:rPr>
                      <w:t>Manuvie</w:t>
                    </w:r>
                    <w:r>
                      <w:rPr>
                        <w:rFonts w:ascii="Arial" w:hAnsi="Arial"/>
                        <w:color w:val="231F20"/>
                        <w:w w:val="105"/>
                        <w:sz w:val="12"/>
                      </w:rPr>
                      <w:t>, &lt;https://</w:t>
                    </w:r>
                    <w:hyperlink r:id="rId293">
                      <w:r>
                        <w:rPr>
                          <w:rFonts w:ascii="Arial" w:hAnsi="Arial"/>
                          <w:color w:val="231F20"/>
                          <w:w w:val="105"/>
                          <w:sz w:val="12"/>
                        </w:rPr>
                        <w:t>www.manuvie.ca/particuliers/</w:t>
                      </w:r>
                    </w:hyperlink>
                    <w:r>
                      <w:rPr>
                        <w:rFonts w:ascii="Arial" w:hAnsi="Arial"/>
                        <w:color w:val="231F20"/>
                        <w:spacing w:val="40"/>
                        <w:w w:val="105"/>
                        <w:sz w:val="12"/>
                      </w:rPr>
                      <w:t> </w:t>
                    </w:r>
                    <w:r>
                      <w:rPr>
                        <w:rFonts w:ascii="Arial" w:hAnsi="Arial"/>
                        <w:color w:val="231F20"/>
                        <w:spacing w:val="-2"/>
                        <w:w w:val="105"/>
                        <w:sz w:val="12"/>
                      </w:rPr>
                      <w:t>planifier-et-apprendre/mode-de-vie-sain/bien-etre/reduire-le-stress-dix-conseils-pratiques.html&gt;,</w:t>
                    </w:r>
                    <w:r>
                      <w:rPr>
                        <w:rFonts w:ascii="Arial" w:hAnsi="Arial"/>
                        <w:color w:val="231F20"/>
                        <w:spacing w:val="40"/>
                        <w:w w:val="105"/>
                        <w:sz w:val="12"/>
                      </w:rPr>
                      <w:t> </w:t>
                    </w:r>
                    <w:r>
                      <w:rPr>
                        <w:rFonts w:ascii="Arial" w:hAnsi="Arial"/>
                        <w:color w:val="231F20"/>
                        <w:w w:val="105"/>
                        <w:sz w:val="12"/>
                      </w:rPr>
                      <w:t>consulté le 22 octobre 2021.</w:t>
                    </w:r>
                  </w:p>
                </w:txbxContent>
              </v:textbox>
              <w10:wrap type="none"/>
            </v:shape>
            <w10:wrap type="topAndBottom"/>
          </v:group>
        </w:pict>
      </w:r>
    </w:p>
    <w:p>
      <w:pPr>
        <w:pStyle w:val="BodyText"/>
        <w:spacing w:before="1"/>
        <w:rPr>
          <w:rFonts w:ascii="Arial"/>
        </w:rPr>
      </w:pPr>
    </w:p>
    <w:p>
      <w:pPr>
        <w:pStyle w:val="Heading6"/>
        <w:spacing w:before="144"/>
        <w:ind w:left="1220"/>
        <w:jc w:val="left"/>
      </w:pPr>
      <w:r>
        <w:rPr>
          <w:b w:val="0"/>
          <w:color w:val="231F20"/>
          <w:w w:val="95"/>
        </w:rPr>
        <w:t>tableau</w:t>
      </w:r>
      <w:r>
        <w:rPr>
          <w:b w:val="0"/>
          <w:color w:val="231F20"/>
          <w:spacing w:val="2"/>
        </w:rPr>
        <w:t> </w:t>
      </w:r>
      <w:r>
        <w:rPr>
          <w:b w:val="0"/>
          <w:color w:val="231F20"/>
          <w:w w:val="95"/>
        </w:rPr>
        <w:t>5.1</w:t>
      </w:r>
      <w:r>
        <w:rPr>
          <w:b w:val="0"/>
          <w:color w:val="231F20"/>
          <w:spacing w:val="-9"/>
          <w:w w:val="95"/>
        </w:rPr>
        <w:t> </w:t>
      </w:r>
      <w:r>
        <w:rPr>
          <w:b w:val="0"/>
          <w:i/>
          <w:color w:val="231F20"/>
          <w:w w:val="95"/>
        </w:rPr>
        <w:t>/</w:t>
      </w:r>
      <w:r>
        <w:rPr>
          <w:b w:val="0"/>
          <w:i/>
          <w:color w:val="231F20"/>
          <w:spacing w:val="52"/>
        </w:rPr>
        <w:t> </w:t>
      </w:r>
      <w:r>
        <w:rPr>
          <w:color w:val="231F20"/>
          <w:w w:val="95"/>
        </w:rPr>
        <w:t>Stratégies</w:t>
      </w:r>
      <w:r>
        <w:rPr>
          <w:color w:val="231F20"/>
          <w:spacing w:val="-2"/>
          <w:w w:val="95"/>
        </w:rPr>
        <w:t> </w:t>
      </w:r>
      <w:r>
        <w:rPr>
          <w:color w:val="231F20"/>
          <w:w w:val="95"/>
        </w:rPr>
        <w:t>classiques</w:t>
      </w:r>
      <w:r>
        <w:rPr>
          <w:color w:val="231F20"/>
          <w:spacing w:val="-1"/>
          <w:w w:val="95"/>
        </w:rPr>
        <w:t> </w:t>
      </w:r>
      <w:r>
        <w:rPr>
          <w:color w:val="231F20"/>
          <w:w w:val="95"/>
        </w:rPr>
        <w:t>de</w:t>
      </w:r>
      <w:r>
        <w:rPr>
          <w:color w:val="231F20"/>
          <w:spacing w:val="-1"/>
          <w:w w:val="95"/>
        </w:rPr>
        <w:t> </w:t>
      </w:r>
      <w:r>
        <w:rPr>
          <w:color w:val="231F20"/>
          <w:w w:val="95"/>
        </w:rPr>
        <w:t>lutte</w:t>
      </w:r>
      <w:r>
        <w:rPr>
          <w:color w:val="231F20"/>
          <w:spacing w:val="-2"/>
          <w:w w:val="95"/>
        </w:rPr>
        <w:t> </w:t>
      </w:r>
      <w:r>
        <w:rPr>
          <w:color w:val="231F20"/>
          <w:w w:val="95"/>
        </w:rPr>
        <w:t>contre</w:t>
      </w:r>
      <w:r>
        <w:rPr>
          <w:color w:val="231F20"/>
          <w:spacing w:val="-1"/>
          <w:w w:val="95"/>
        </w:rPr>
        <w:t> </w:t>
      </w:r>
      <w:r>
        <w:rPr>
          <w:color w:val="231F20"/>
          <w:w w:val="95"/>
        </w:rPr>
        <w:t>le</w:t>
      </w:r>
      <w:r>
        <w:rPr>
          <w:color w:val="231F20"/>
          <w:spacing w:val="-1"/>
          <w:w w:val="95"/>
        </w:rPr>
        <w:t> </w:t>
      </w:r>
      <w:r>
        <w:rPr>
          <w:color w:val="231F20"/>
          <w:w w:val="95"/>
        </w:rPr>
        <w:t>stress</w:t>
      </w:r>
      <w:r>
        <w:rPr>
          <w:color w:val="231F20"/>
          <w:spacing w:val="-1"/>
          <w:w w:val="95"/>
        </w:rPr>
        <w:t> </w:t>
      </w:r>
      <w:r>
        <w:rPr>
          <w:color w:val="231F20"/>
          <w:spacing w:val="-2"/>
          <w:w w:val="95"/>
        </w:rPr>
        <w:t>professionnel</w:t>
      </w:r>
    </w:p>
    <w:p>
      <w:pPr>
        <w:pStyle w:val="BodyText"/>
        <w:spacing w:before="3"/>
        <w:rPr>
          <w:rFonts w:ascii="Arial"/>
          <w:b/>
          <w:sz w:val="13"/>
        </w:rPr>
      </w:pPr>
      <w:r>
        <w:rPr/>
        <w:pict>
          <v:shape style="position:absolute;margin-left:82pt;margin-top:8.82666pt;width:287.5pt;height:.1pt;mso-position-horizontal-relative:page;mso-position-vertical-relative:paragraph;z-index:-15630848;mso-wrap-distance-left:0;mso-wrap-distance-right:0" id="docshape1029" coordorigin="1640,177" coordsize="5750,0" path="m1640,177l7390,177e" filled="false" stroked="true" strokeweight=".25pt" strokecolor="#231f20">
            <v:path arrowok="t"/>
            <v:stroke dashstyle="solid"/>
            <w10:wrap type="topAndBottom"/>
          </v:shape>
        </w:pict>
      </w:r>
    </w:p>
    <w:p>
      <w:pPr>
        <w:spacing w:before="37"/>
        <w:ind w:left="1220" w:right="0" w:firstLine="0"/>
        <w:jc w:val="left"/>
        <w:rPr>
          <w:rFonts w:ascii="Arial"/>
          <w:sz w:val="14"/>
        </w:rPr>
      </w:pPr>
      <w:r>
        <w:rPr>
          <w:rFonts w:ascii="Arial"/>
          <w:b/>
          <w:color w:val="231F20"/>
          <w:sz w:val="14"/>
        </w:rPr>
        <w:t>Burke</w:t>
      </w:r>
      <w:r>
        <w:rPr>
          <w:rFonts w:ascii="Arial"/>
          <w:color w:val="231F20"/>
          <w:position w:val="5"/>
          <w:sz w:val="8"/>
        </w:rPr>
        <w:t>1</w:t>
      </w:r>
      <w:r>
        <w:rPr>
          <w:rFonts w:ascii="Arial"/>
          <w:color w:val="231F20"/>
          <w:spacing w:val="12"/>
          <w:position w:val="5"/>
          <w:sz w:val="8"/>
        </w:rPr>
        <w:t> </w:t>
      </w:r>
      <w:r>
        <w:rPr>
          <w:rFonts w:ascii="Arial"/>
          <w:color w:val="231F20"/>
          <w:sz w:val="14"/>
        </w:rPr>
        <w:t>classe</w:t>
      </w:r>
      <w:r>
        <w:rPr>
          <w:rFonts w:ascii="Arial"/>
          <w:color w:val="231F20"/>
          <w:spacing w:val="-4"/>
          <w:sz w:val="14"/>
        </w:rPr>
        <w:t> </w:t>
      </w:r>
      <w:r>
        <w:rPr>
          <w:rFonts w:ascii="Arial"/>
          <w:color w:val="231F20"/>
          <w:sz w:val="14"/>
        </w:rPr>
        <w:t>les</w:t>
      </w:r>
      <w:r>
        <w:rPr>
          <w:rFonts w:ascii="Arial"/>
          <w:color w:val="231F20"/>
          <w:spacing w:val="-4"/>
          <w:sz w:val="14"/>
        </w:rPr>
        <w:t> </w:t>
      </w:r>
      <w:r>
        <w:rPr>
          <w:rFonts w:ascii="Arial"/>
          <w:color w:val="231F20"/>
          <w:sz w:val="14"/>
        </w:rPr>
        <w:t>comportements</w:t>
      </w:r>
      <w:r>
        <w:rPr>
          <w:rFonts w:ascii="Arial"/>
          <w:color w:val="231F20"/>
          <w:spacing w:val="-3"/>
          <w:sz w:val="14"/>
        </w:rPr>
        <w:t> </w:t>
      </w:r>
      <w:r>
        <w:rPr>
          <w:rFonts w:ascii="Arial"/>
          <w:color w:val="231F20"/>
          <w:sz w:val="14"/>
        </w:rPr>
        <w:t>de</w:t>
      </w:r>
      <w:r>
        <w:rPr>
          <w:rFonts w:ascii="Arial"/>
          <w:color w:val="231F20"/>
          <w:spacing w:val="-4"/>
          <w:sz w:val="14"/>
        </w:rPr>
        <w:t> </w:t>
      </w:r>
      <w:r>
        <w:rPr>
          <w:rFonts w:ascii="Arial"/>
          <w:color w:val="231F20"/>
          <w:sz w:val="14"/>
        </w:rPr>
        <w:t>lutte</w:t>
      </w:r>
      <w:r>
        <w:rPr>
          <w:rFonts w:ascii="Arial"/>
          <w:color w:val="231F20"/>
          <w:spacing w:val="-4"/>
          <w:sz w:val="14"/>
        </w:rPr>
        <w:t> </w:t>
      </w:r>
      <w:r>
        <w:rPr>
          <w:rFonts w:ascii="Arial"/>
          <w:color w:val="231F20"/>
          <w:sz w:val="14"/>
        </w:rPr>
        <w:t>contre</w:t>
      </w:r>
      <w:r>
        <w:rPr>
          <w:rFonts w:ascii="Arial"/>
          <w:color w:val="231F20"/>
          <w:spacing w:val="-4"/>
          <w:sz w:val="14"/>
        </w:rPr>
        <w:t> </w:t>
      </w:r>
      <w:r>
        <w:rPr>
          <w:rFonts w:ascii="Arial"/>
          <w:color w:val="231F20"/>
          <w:sz w:val="14"/>
        </w:rPr>
        <w:t>les</w:t>
      </w:r>
      <w:r>
        <w:rPr>
          <w:rFonts w:ascii="Arial"/>
          <w:color w:val="231F20"/>
          <w:spacing w:val="-3"/>
          <w:sz w:val="14"/>
        </w:rPr>
        <w:t> </w:t>
      </w:r>
      <w:r>
        <w:rPr>
          <w:rFonts w:ascii="Arial"/>
          <w:color w:val="231F20"/>
          <w:sz w:val="14"/>
        </w:rPr>
        <w:t>situations</w:t>
      </w:r>
      <w:r>
        <w:rPr>
          <w:rFonts w:ascii="Arial"/>
          <w:color w:val="231F20"/>
          <w:spacing w:val="-4"/>
          <w:sz w:val="14"/>
        </w:rPr>
        <w:t> </w:t>
      </w:r>
      <w:r>
        <w:rPr>
          <w:rFonts w:ascii="Arial"/>
          <w:color w:val="231F20"/>
          <w:sz w:val="14"/>
        </w:rPr>
        <w:t>stressantes</w:t>
      </w:r>
      <w:r>
        <w:rPr>
          <w:rFonts w:ascii="Arial"/>
          <w:color w:val="231F20"/>
          <w:spacing w:val="-4"/>
          <w:sz w:val="14"/>
        </w:rPr>
        <w:t> </w:t>
      </w:r>
      <w:r>
        <w:rPr>
          <w:rFonts w:ascii="Arial"/>
          <w:color w:val="231F20"/>
          <w:sz w:val="14"/>
        </w:rPr>
        <w:t>en</w:t>
      </w:r>
      <w:r>
        <w:rPr>
          <w:rFonts w:ascii="Arial"/>
          <w:color w:val="231F20"/>
          <w:spacing w:val="-3"/>
          <w:sz w:val="14"/>
        </w:rPr>
        <w:t> </w:t>
      </w:r>
      <w:r>
        <w:rPr>
          <w:rFonts w:ascii="Arial"/>
          <w:color w:val="231F20"/>
          <w:sz w:val="14"/>
        </w:rPr>
        <w:t>cinq</w:t>
      </w:r>
      <w:r>
        <w:rPr>
          <w:rFonts w:ascii="Arial"/>
          <w:color w:val="231F20"/>
          <w:spacing w:val="-4"/>
          <w:sz w:val="14"/>
        </w:rPr>
        <w:t> </w:t>
      </w:r>
      <w:r>
        <w:rPr>
          <w:rFonts w:ascii="Arial"/>
          <w:color w:val="231F20"/>
          <w:sz w:val="14"/>
        </w:rPr>
        <w:t>groupes</w:t>
      </w:r>
      <w:r>
        <w:rPr>
          <w:rFonts w:ascii="Arial"/>
          <w:color w:val="231F20"/>
          <w:spacing w:val="-26"/>
          <w:sz w:val="14"/>
        </w:rPr>
        <w:t> </w:t>
      </w:r>
      <w:r>
        <w:rPr>
          <w:rFonts w:ascii="Arial"/>
          <w:color w:val="231F20"/>
          <w:spacing w:val="-10"/>
          <w:sz w:val="14"/>
        </w:rPr>
        <w:t>:</w:t>
      </w:r>
    </w:p>
    <w:p>
      <w:pPr>
        <w:pStyle w:val="ListParagraph"/>
        <w:numPr>
          <w:ilvl w:val="2"/>
          <w:numId w:val="77"/>
        </w:numPr>
        <w:tabs>
          <w:tab w:pos="1401" w:val="left" w:leader="none"/>
        </w:tabs>
        <w:spacing w:line="240" w:lineRule="auto" w:before="99" w:after="0"/>
        <w:ind w:left="1400" w:right="0" w:hanging="181"/>
        <w:jc w:val="left"/>
        <w:rPr>
          <w:rFonts w:ascii="Arial"/>
          <w:sz w:val="14"/>
        </w:rPr>
      </w:pPr>
      <w:r>
        <w:rPr>
          <w:rFonts w:ascii="Arial"/>
          <w:color w:val="231F20"/>
          <w:spacing w:val="-2"/>
          <w:sz w:val="14"/>
        </w:rPr>
        <w:t>Parler</w:t>
      </w:r>
      <w:r>
        <w:rPr>
          <w:rFonts w:ascii="Arial"/>
          <w:color w:val="231F20"/>
          <w:spacing w:val="-1"/>
          <w:sz w:val="14"/>
        </w:rPr>
        <w:t> </w:t>
      </w:r>
      <w:r>
        <w:rPr>
          <w:rFonts w:ascii="Arial"/>
          <w:color w:val="231F20"/>
          <w:spacing w:val="-2"/>
          <w:sz w:val="14"/>
        </w:rPr>
        <w:t>aux</w:t>
      </w:r>
      <w:r>
        <w:rPr>
          <w:rFonts w:ascii="Arial"/>
          <w:color w:val="231F20"/>
          <w:spacing w:val="-1"/>
          <w:sz w:val="14"/>
        </w:rPr>
        <w:t> </w:t>
      </w:r>
      <w:r>
        <w:rPr>
          <w:rFonts w:ascii="Arial"/>
          <w:color w:val="231F20"/>
          <w:spacing w:val="-2"/>
          <w:sz w:val="14"/>
        </w:rPr>
        <w:t>autres.</w:t>
      </w:r>
    </w:p>
    <w:p>
      <w:pPr>
        <w:pStyle w:val="ListParagraph"/>
        <w:numPr>
          <w:ilvl w:val="2"/>
          <w:numId w:val="77"/>
        </w:numPr>
        <w:tabs>
          <w:tab w:pos="1401" w:val="left" w:leader="none"/>
        </w:tabs>
        <w:spacing w:line="240" w:lineRule="auto" w:before="20" w:after="0"/>
        <w:ind w:left="1400" w:right="0" w:hanging="181"/>
        <w:jc w:val="left"/>
        <w:rPr>
          <w:rFonts w:ascii="Arial"/>
          <w:sz w:val="14"/>
        </w:rPr>
      </w:pPr>
      <w:r>
        <w:rPr>
          <w:rFonts w:ascii="Arial"/>
          <w:color w:val="231F20"/>
          <w:w w:val="105"/>
          <w:sz w:val="14"/>
        </w:rPr>
        <w:t>Travailler</w:t>
      </w:r>
      <w:r>
        <w:rPr>
          <w:rFonts w:ascii="Arial"/>
          <w:color w:val="231F20"/>
          <w:spacing w:val="-10"/>
          <w:w w:val="105"/>
          <w:sz w:val="14"/>
        </w:rPr>
        <w:t> </w:t>
      </w:r>
      <w:r>
        <w:rPr>
          <w:rFonts w:ascii="Arial"/>
          <w:color w:val="231F20"/>
          <w:w w:val="105"/>
          <w:sz w:val="14"/>
        </w:rPr>
        <w:t>plus</w:t>
      </w:r>
      <w:r>
        <w:rPr>
          <w:rFonts w:ascii="Arial"/>
          <w:color w:val="231F20"/>
          <w:spacing w:val="-9"/>
          <w:w w:val="105"/>
          <w:sz w:val="14"/>
        </w:rPr>
        <w:t> </w:t>
      </w:r>
      <w:r>
        <w:rPr>
          <w:rFonts w:ascii="Arial"/>
          <w:color w:val="231F20"/>
          <w:w w:val="105"/>
          <w:sz w:val="14"/>
        </w:rPr>
        <w:t>fort</w:t>
      </w:r>
      <w:r>
        <w:rPr>
          <w:rFonts w:ascii="Arial"/>
          <w:color w:val="231F20"/>
          <w:spacing w:val="-10"/>
          <w:w w:val="105"/>
          <w:sz w:val="14"/>
        </w:rPr>
        <w:t> </w:t>
      </w:r>
      <w:r>
        <w:rPr>
          <w:rFonts w:ascii="Arial"/>
          <w:color w:val="231F20"/>
          <w:w w:val="105"/>
          <w:sz w:val="14"/>
        </w:rPr>
        <w:t>et</w:t>
      </w:r>
      <w:r>
        <w:rPr>
          <w:rFonts w:ascii="Arial"/>
          <w:color w:val="231F20"/>
          <w:spacing w:val="-9"/>
          <w:w w:val="105"/>
          <w:sz w:val="14"/>
        </w:rPr>
        <w:t> </w:t>
      </w:r>
      <w:r>
        <w:rPr>
          <w:rFonts w:ascii="Arial"/>
          <w:color w:val="231F20"/>
          <w:w w:val="105"/>
          <w:sz w:val="14"/>
        </w:rPr>
        <w:t>plus</w:t>
      </w:r>
      <w:r>
        <w:rPr>
          <w:rFonts w:ascii="Arial"/>
          <w:color w:val="231F20"/>
          <w:spacing w:val="-9"/>
          <w:w w:val="105"/>
          <w:sz w:val="14"/>
        </w:rPr>
        <w:t> </w:t>
      </w:r>
      <w:r>
        <w:rPr>
          <w:rFonts w:ascii="Arial"/>
          <w:color w:val="231F20"/>
          <w:spacing w:val="-2"/>
          <w:w w:val="105"/>
          <w:sz w:val="14"/>
        </w:rPr>
        <w:t>longtemps.</w:t>
      </w:r>
    </w:p>
    <w:p>
      <w:pPr>
        <w:pStyle w:val="ListParagraph"/>
        <w:numPr>
          <w:ilvl w:val="2"/>
          <w:numId w:val="77"/>
        </w:numPr>
        <w:tabs>
          <w:tab w:pos="1401" w:val="left" w:leader="none"/>
        </w:tabs>
        <w:spacing w:line="240" w:lineRule="auto" w:before="19" w:after="0"/>
        <w:ind w:left="1400" w:right="0" w:hanging="181"/>
        <w:jc w:val="left"/>
        <w:rPr>
          <w:rFonts w:ascii="Arial" w:hAnsi="Arial"/>
          <w:sz w:val="14"/>
        </w:rPr>
      </w:pPr>
      <w:r>
        <w:rPr>
          <w:rFonts w:ascii="Arial" w:hAnsi="Arial"/>
          <w:color w:val="231F20"/>
          <w:sz w:val="14"/>
        </w:rPr>
        <w:t>Passer</w:t>
      </w:r>
      <w:r>
        <w:rPr>
          <w:rFonts w:ascii="Arial" w:hAnsi="Arial"/>
          <w:color w:val="231F20"/>
          <w:spacing w:val="-10"/>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une</w:t>
      </w:r>
      <w:r>
        <w:rPr>
          <w:rFonts w:ascii="Arial" w:hAnsi="Arial"/>
          <w:color w:val="231F20"/>
          <w:spacing w:val="-9"/>
          <w:sz w:val="14"/>
        </w:rPr>
        <w:t> </w:t>
      </w:r>
      <w:r>
        <w:rPr>
          <w:rFonts w:ascii="Arial" w:hAnsi="Arial"/>
          <w:color w:val="231F20"/>
          <w:sz w:val="14"/>
        </w:rPr>
        <w:t>activité</w:t>
      </w:r>
      <w:r>
        <w:rPr>
          <w:rFonts w:ascii="Arial" w:hAnsi="Arial"/>
          <w:color w:val="231F20"/>
          <w:spacing w:val="-9"/>
          <w:sz w:val="14"/>
        </w:rPr>
        <w:t> </w:t>
      </w:r>
      <w:r>
        <w:rPr>
          <w:rFonts w:ascii="Arial" w:hAnsi="Arial"/>
          <w:color w:val="231F20"/>
          <w:sz w:val="14"/>
        </w:rPr>
        <w:t>de</w:t>
      </w:r>
      <w:r>
        <w:rPr>
          <w:rFonts w:ascii="Arial" w:hAnsi="Arial"/>
          <w:color w:val="231F20"/>
          <w:spacing w:val="-9"/>
          <w:sz w:val="14"/>
        </w:rPr>
        <w:t> </w:t>
      </w:r>
      <w:r>
        <w:rPr>
          <w:rFonts w:ascii="Arial" w:hAnsi="Arial"/>
          <w:color w:val="231F20"/>
          <w:spacing w:val="-2"/>
          <w:sz w:val="14"/>
        </w:rPr>
        <w:t>loisir.</w:t>
      </w:r>
    </w:p>
    <w:p>
      <w:pPr>
        <w:pStyle w:val="ListParagraph"/>
        <w:numPr>
          <w:ilvl w:val="2"/>
          <w:numId w:val="77"/>
        </w:numPr>
        <w:tabs>
          <w:tab w:pos="1401" w:val="left" w:leader="none"/>
        </w:tabs>
        <w:spacing w:line="240" w:lineRule="auto" w:before="19" w:after="0"/>
        <w:ind w:left="1400" w:right="0" w:hanging="181"/>
        <w:jc w:val="left"/>
        <w:rPr>
          <w:rFonts w:ascii="Arial" w:hAnsi="Arial"/>
          <w:sz w:val="14"/>
        </w:rPr>
      </w:pPr>
      <w:r>
        <w:rPr>
          <w:rFonts w:ascii="Arial" w:hAnsi="Arial"/>
          <w:color w:val="231F20"/>
          <w:sz w:val="14"/>
        </w:rPr>
        <w:t>Adopter</w:t>
      </w:r>
      <w:r>
        <w:rPr>
          <w:rFonts w:ascii="Arial" w:hAnsi="Arial"/>
          <w:color w:val="231F20"/>
          <w:spacing w:val="1"/>
          <w:sz w:val="14"/>
        </w:rPr>
        <w:t> </w:t>
      </w:r>
      <w:r>
        <w:rPr>
          <w:rFonts w:ascii="Arial" w:hAnsi="Arial"/>
          <w:color w:val="231F20"/>
          <w:sz w:val="14"/>
        </w:rPr>
        <w:t>une</w:t>
      </w:r>
      <w:r>
        <w:rPr>
          <w:rFonts w:ascii="Arial" w:hAnsi="Arial"/>
          <w:color w:val="231F20"/>
          <w:spacing w:val="1"/>
          <w:sz w:val="14"/>
        </w:rPr>
        <w:t> </w:t>
      </w:r>
      <w:r>
        <w:rPr>
          <w:rFonts w:ascii="Arial" w:hAnsi="Arial"/>
          <w:color w:val="231F20"/>
          <w:sz w:val="14"/>
        </w:rPr>
        <w:t>approche</w:t>
      </w:r>
      <w:r>
        <w:rPr>
          <w:rFonts w:ascii="Arial" w:hAnsi="Arial"/>
          <w:color w:val="231F20"/>
          <w:spacing w:val="1"/>
          <w:sz w:val="14"/>
        </w:rPr>
        <w:t> </w:t>
      </w:r>
      <w:r>
        <w:rPr>
          <w:rFonts w:ascii="Arial" w:hAnsi="Arial"/>
          <w:color w:val="231F20"/>
          <w:sz w:val="14"/>
        </w:rPr>
        <w:t>de</w:t>
      </w:r>
      <w:r>
        <w:rPr>
          <w:rFonts w:ascii="Arial" w:hAnsi="Arial"/>
          <w:color w:val="231F20"/>
          <w:spacing w:val="1"/>
          <w:sz w:val="14"/>
        </w:rPr>
        <w:t> </w:t>
      </w:r>
      <w:r>
        <w:rPr>
          <w:rFonts w:ascii="Arial" w:hAnsi="Arial"/>
          <w:color w:val="231F20"/>
          <w:sz w:val="14"/>
        </w:rPr>
        <w:t>résolution</w:t>
      </w:r>
      <w:r>
        <w:rPr>
          <w:rFonts w:ascii="Arial" w:hAnsi="Arial"/>
          <w:color w:val="231F20"/>
          <w:spacing w:val="2"/>
          <w:sz w:val="14"/>
        </w:rPr>
        <w:t> </w:t>
      </w:r>
      <w:r>
        <w:rPr>
          <w:rFonts w:ascii="Arial" w:hAnsi="Arial"/>
          <w:color w:val="231F20"/>
          <w:sz w:val="14"/>
        </w:rPr>
        <w:t>de</w:t>
      </w:r>
      <w:r>
        <w:rPr>
          <w:rFonts w:ascii="Arial" w:hAnsi="Arial"/>
          <w:color w:val="231F20"/>
          <w:spacing w:val="1"/>
          <w:sz w:val="14"/>
        </w:rPr>
        <w:t> </w:t>
      </w:r>
      <w:r>
        <w:rPr>
          <w:rFonts w:ascii="Arial" w:hAnsi="Arial"/>
          <w:color w:val="231F20"/>
          <w:spacing w:val="-2"/>
          <w:sz w:val="14"/>
        </w:rPr>
        <w:t>problème.</w:t>
      </w:r>
    </w:p>
    <w:p>
      <w:pPr>
        <w:pStyle w:val="ListParagraph"/>
        <w:numPr>
          <w:ilvl w:val="2"/>
          <w:numId w:val="77"/>
        </w:numPr>
        <w:tabs>
          <w:tab w:pos="1401" w:val="left" w:leader="none"/>
        </w:tabs>
        <w:spacing w:line="240" w:lineRule="auto" w:before="19" w:after="0"/>
        <w:ind w:left="1400" w:right="0" w:hanging="181"/>
        <w:jc w:val="left"/>
        <w:rPr>
          <w:rFonts w:ascii="Arial"/>
          <w:sz w:val="14"/>
        </w:rPr>
      </w:pPr>
      <w:r>
        <w:rPr/>
        <w:pict>
          <v:shape style="position:absolute;margin-left:82pt;margin-top:10.50892pt;width:287.5pt;height:.1pt;mso-position-horizontal-relative:page;mso-position-vertical-relative:paragraph;z-index:-15630336;mso-wrap-distance-left:0;mso-wrap-distance-right:0" id="docshape1030" coordorigin="1640,210" coordsize="5750,0" path="m1640,210l7390,210e" filled="false" stroked="true" strokeweight=".5pt" strokecolor="#e2e3e4">
            <v:path arrowok="t"/>
            <v:stroke dashstyle="solid"/>
            <w10:wrap type="topAndBottom"/>
          </v:shape>
        </w:pict>
      </w:r>
      <w:r>
        <w:rPr>
          <w:rFonts w:ascii="Arial"/>
          <w:color w:val="231F20"/>
          <w:sz w:val="14"/>
        </w:rPr>
        <w:t>Fuir</w:t>
      </w:r>
      <w:r>
        <w:rPr>
          <w:rFonts w:ascii="Arial"/>
          <w:color w:val="231F20"/>
          <w:spacing w:val="1"/>
          <w:sz w:val="14"/>
        </w:rPr>
        <w:t> </w:t>
      </w:r>
      <w:r>
        <w:rPr>
          <w:rFonts w:ascii="Arial"/>
          <w:color w:val="231F20"/>
          <w:sz w:val="14"/>
        </w:rPr>
        <w:t>la</w:t>
      </w:r>
      <w:r>
        <w:rPr>
          <w:rFonts w:ascii="Arial"/>
          <w:color w:val="231F20"/>
          <w:spacing w:val="1"/>
          <w:sz w:val="14"/>
        </w:rPr>
        <w:t> </w:t>
      </w:r>
      <w:r>
        <w:rPr>
          <w:rFonts w:ascii="Arial"/>
          <w:color w:val="231F20"/>
          <w:sz w:val="14"/>
        </w:rPr>
        <w:t>situation</w:t>
      </w:r>
      <w:r>
        <w:rPr>
          <w:rFonts w:ascii="Arial"/>
          <w:color w:val="231F20"/>
          <w:spacing w:val="1"/>
          <w:sz w:val="14"/>
        </w:rPr>
        <w:t> </w:t>
      </w:r>
      <w:r>
        <w:rPr>
          <w:rFonts w:ascii="Arial"/>
          <w:color w:val="231F20"/>
          <w:spacing w:val="-2"/>
          <w:sz w:val="14"/>
        </w:rPr>
        <w:t>stressante.</w:t>
      </w:r>
    </w:p>
    <w:p>
      <w:pPr>
        <w:spacing w:before="35"/>
        <w:ind w:left="1220" w:right="0" w:firstLine="0"/>
        <w:jc w:val="left"/>
        <w:rPr>
          <w:rFonts w:ascii="Arial" w:hAnsi="Arial"/>
          <w:sz w:val="14"/>
        </w:rPr>
      </w:pPr>
      <w:r>
        <w:rPr>
          <w:rFonts w:ascii="Arial" w:hAnsi="Arial"/>
          <w:b/>
          <w:color w:val="231F20"/>
          <w:sz w:val="14"/>
        </w:rPr>
        <w:t>Bruce</w:t>
      </w:r>
      <w:r>
        <w:rPr>
          <w:rFonts w:ascii="Arial" w:hAnsi="Arial"/>
          <w:b/>
          <w:color w:val="231F20"/>
          <w:spacing w:val="-10"/>
          <w:sz w:val="14"/>
        </w:rPr>
        <w:t> </w:t>
      </w:r>
      <w:r>
        <w:rPr>
          <w:rFonts w:ascii="Arial" w:hAnsi="Arial"/>
          <w:color w:val="231F20"/>
          <w:sz w:val="14"/>
        </w:rPr>
        <w:t>et</w:t>
      </w:r>
      <w:r>
        <w:rPr>
          <w:rFonts w:ascii="Arial" w:hAnsi="Arial"/>
          <w:color w:val="231F20"/>
          <w:spacing w:val="-8"/>
          <w:sz w:val="14"/>
        </w:rPr>
        <w:t> </w:t>
      </w:r>
      <w:r>
        <w:rPr>
          <w:rFonts w:ascii="Arial" w:hAnsi="Arial"/>
          <w:b/>
          <w:color w:val="231F20"/>
          <w:sz w:val="14"/>
        </w:rPr>
        <w:t>Joan</w:t>
      </w:r>
      <w:r>
        <w:rPr>
          <w:rFonts w:ascii="Arial" w:hAnsi="Arial"/>
          <w:b/>
          <w:color w:val="231F20"/>
          <w:spacing w:val="-9"/>
          <w:sz w:val="14"/>
        </w:rPr>
        <w:t> </w:t>
      </w:r>
      <w:r>
        <w:rPr>
          <w:rFonts w:ascii="Arial" w:hAnsi="Arial"/>
          <w:b/>
          <w:color w:val="231F20"/>
          <w:sz w:val="14"/>
        </w:rPr>
        <w:t>Dewe</w:t>
      </w:r>
      <w:r>
        <w:rPr>
          <w:rFonts w:ascii="Arial" w:hAnsi="Arial"/>
          <w:color w:val="231F20"/>
          <w:position w:val="5"/>
          <w:sz w:val="8"/>
        </w:rPr>
        <w:t>2</w:t>
      </w:r>
      <w:r>
        <w:rPr>
          <w:rFonts w:ascii="Arial" w:hAnsi="Arial"/>
          <w:color w:val="231F20"/>
          <w:spacing w:val="9"/>
          <w:position w:val="5"/>
          <w:sz w:val="8"/>
        </w:rPr>
        <w:t> </w:t>
      </w:r>
      <w:r>
        <w:rPr>
          <w:rFonts w:ascii="Arial" w:hAnsi="Arial"/>
          <w:color w:val="231F20"/>
          <w:sz w:val="14"/>
        </w:rPr>
        <w:t>proposent</w:t>
      </w:r>
      <w:r>
        <w:rPr>
          <w:rFonts w:ascii="Arial" w:hAnsi="Arial"/>
          <w:color w:val="231F20"/>
          <w:spacing w:val="-8"/>
          <w:sz w:val="14"/>
        </w:rPr>
        <w:t> </w:t>
      </w:r>
      <w:r>
        <w:rPr>
          <w:rFonts w:ascii="Arial" w:hAnsi="Arial"/>
          <w:color w:val="231F20"/>
          <w:sz w:val="14"/>
        </w:rPr>
        <w:t>quatre</w:t>
      </w:r>
      <w:r>
        <w:rPr>
          <w:rFonts w:ascii="Arial" w:hAnsi="Arial"/>
          <w:color w:val="231F20"/>
          <w:spacing w:val="-7"/>
          <w:sz w:val="14"/>
        </w:rPr>
        <w:t> </w:t>
      </w:r>
      <w:r>
        <w:rPr>
          <w:rFonts w:ascii="Arial" w:hAnsi="Arial"/>
          <w:color w:val="231F20"/>
          <w:sz w:val="14"/>
        </w:rPr>
        <w:t>types</w:t>
      </w:r>
      <w:r>
        <w:rPr>
          <w:rFonts w:ascii="Arial" w:hAnsi="Arial"/>
          <w:color w:val="231F20"/>
          <w:spacing w:val="-7"/>
          <w:sz w:val="14"/>
        </w:rPr>
        <w:t> </w:t>
      </w:r>
      <w:r>
        <w:rPr>
          <w:rFonts w:ascii="Arial" w:hAnsi="Arial"/>
          <w:color w:val="231F20"/>
          <w:sz w:val="14"/>
        </w:rPr>
        <w:t>de</w:t>
      </w:r>
      <w:r>
        <w:rPr>
          <w:rFonts w:ascii="Arial" w:hAnsi="Arial"/>
          <w:color w:val="231F20"/>
          <w:spacing w:val="-8"/>
          <w:sz w:val="14"/>
        </w:rPr>
        <w:t> </w:t>
      </w:r>
      <w:r>
        <w:rPr>
          <w:rFonts w:ascii="Arial" w:hAnsi="Arial"/>
          <w:color w:val="231F20"/>
          <w:sz w:val="14"/>
        </w:rPr>
        <w:t>stratégies</w:t>
      </w:r>
      <w:r>
        <w:rPr>
          <w:rFonts w:ascii="Arial" w:hAnsi="Arial"/>
          <w:color w:val="231F20"/>
          <w:spacing w:val="-26"/>
          <w:sz w:val="14"/>
        </w:rPr>
        <w:t> </w:t>
      </w:r>
      <w:r>
        <w:rPr>
          <w:rFonts w:ascii="Arial" w:hAnsi="Arial"/>
          <w:color w:val="231F20"/>
          <w:spacing w:val="-10"/>
          <w:sz w:val="14"/>
        </w:rPr>
        <w:t>:</w:t>
      </w:r>
    </w:p>
    <w:p>
      <w:pPr>
        <w:pStyle w:val="ListParagraph"/>
        <w:numPr>
          <w:ilvl w:val="0"/>
          <w:numId w:val="78"/>
        </w:numPr>
        <w:tabs>
          <w:tab w:pos="1401" w:val="left" w:leader="none"/>
        </w:tabs>
        <w:spacing w:line="240" w:lineRule="auto" w:before="99" w:after="0"/>
        <w:ind w:left="1400" w:right="0" w:hanging="182"/>
        <w:jc w:val="left"/>
        <w:rPr>
          <w:rFonts w:ascii="Arial"/>
          <w:sz w:val="14"/>
        </w:rPr>
      </w:pPr>
      <w:r>
        <w:rPr>
          <w:rFonts w:ascii="Arial"/>
          <w:color w:val="231F20"/>
          <w:sz w:val="14"/>
        </w:rPr>
        <w:t>Cibler</w:t>
      </w:r>
      <w:r>
        <w:rPr>
          <w:rFonts w:ascii="Arial"/>
          <w:color w:val="231F20"/>
          <w:spacing w:val="-6"/>
          <w:sz w:val="14"/>
        </w:rPr>
        <w:t> </w:t>
      </w:r>
      <w:r>
        <w:rPr>
          <w:rFonts w:ascii="Arial"/>
          <w:color w:val="231F20"/>
          <w:sz w:val="14"/>
        </w:rPr>
        <w:t>la</w:t>
      </w:r>
      <w:r>
        <w:rPr>
          <w:rFonts w:ascii="Arial"/>
          <w:color w:val="231F20"/>
          <w:spacing w:val="-6"/>
          <w:sz w:val="14"/>
        </w:rPr>
        <w:t> </w:t>
      </w:r>
      <w:r>
        <w:rPr>
          <w:rFonts w:ascii="Arial"/>
          <w:color w:val="231F20"/>
          <w:sz w:val="14"/>
        </w:rPr>
        <w:t>source</w:t>
      </w:r>
      <w:r>
        <w:rPr>
          <w:rFonts w:ascii="Arial"/>
          <w:color w:val="231F20"/>
          <w:spacing w:val="-6"/>
          <w:sz w:val="14"/>
        </w:rPr>
        <w:t> </w:t>
      </w:r>
      <w:r>
        <w:rPr>
          <w:rFonts w:ascii="Arial"/>
          <w:color w:val="231F20"/>
          <w:sz w:val="14"/>
        </w:rPr>
        <w:t>du</w:t>
      </w:r>
      <w:r>
        <w:rPr>
          <w:rFonts w:ascii="Arial"/>
          <w:color w:val="231F20"/>
          <w:spacing w:val="-6"/>
          <w:sz w:val="14"/>
        </w:rPr>
        <w:t> </w:t>
      </w:r>
      <w:r>
        <w:rPr>
          <w:rFonts w:ascii="Arial"/>
          <w:color w:val="231F20"/>
          <w:spacing w:val="-2"/>
          <w:sz w:val="14"/>
        </w:rPr>
        <w:t>stress.</w:t>
      </w:r>
    </w:p>
    <w:p>
      <w:pPr>
        <w:pStyle w:val="ListParagraph"/>
        <w:numPr>
          <w:ilvl w:val="0"/>
          <w:numId w:val="78"/>
        </w:numPr>
        <w:tabs>
          <w:tab w:pos="1401" w:val="left" w:leader="none"/>
        </w:tabs>
        <w:spacing w:line="240" w:lineRule="auto" w:before="19" w:after="0"/>
        <w:ind w:left="1400" w:right="0" w:hanging="182"/>
        <w:jc w:val="left"/>
        <w:rPr>
          <w:rFonts w:ascii="Arial"/>
          <w:sz w:val="14"/>
        </w:rPr>
      </w:pPr>
      <w:r>
        <w:rPr>
          <w:rFonts w:ascii="Arial"/>
          <w:color w:val="231F20"/>
          <w:sz w:val="14"/>
        </w:rPr>
        <w:t>Exprimer</w:t>
      </w:r>
      <w:r>
        <w:rPr>
          <w:rFonts w:ascii="Arial"/>
          <w:color w:val="231F20"/>
          <w:spacing w:val="-6"/>
          <w:sz w:val="14"/>
        </w:rPr>
        <w:t> </w:t>
      </w:r>
      <w:r>
        <w:rPr>
          <w:rFonts w:ascii="Arial"/>
          <w:color w:val="231F20"/>
          <w:sz w:val="14"/>
        </w:rPr>
        <w:t>ses</w:t>
      </w:r>
      <w:r>
        <w:rPr>
          <w:rFonts w:ascii="Arial"/>
          <w:color w:val="231F20"/>
          <w:spacing w:val="-6"/>
          <w:sz w:val="14"/>
        </w:rPr>
        <w:t> </w:t>
      </w:r>
      <w:r>
        <w:rPr>
          <w:rFonts w:ascii="Arial"/>
          <w:color w:val="231F20"/>
          <w:sz w:val="14"/>
        </w:rPr>
        <w:t>sentiments</w:t>
      </w:r>
      <w:r>
        <w:rPr>
          <w:rFonts w:ascii="Arial"/>
          <w:color w:val="231F20"/>
          <w:spacing w:val="-6"/>
          <w:sz w:val="14"/>
        </w:rPr>
        <w:t> </w:t>
      </w:r>
      <w:r>
        <w:rPr>
          <w:rFonts w:ascii="Arial"/>
          <w:color w:val="231F20"/>
          <w:sz w:val="14"/>
        </w:rPr>
        <w:t>et</w:t>
      </w:r>
      <w:r>
        <w:rPr>
          <w:rFonts w:ascii="Arial"/>
          <w:color w:val="231F20"/>
          <w:spacing w:val="-6"/>
          <w:sz w:val="14"/>
        </w:rPr>
        <w:t> </w:t>
      </w:r>
      <w:r>
        <w:rPr>
          <w:rFonts w:ascii="Arial"/>
          <w:color w:val="231F20"/>
          <w:sz w:val="14"/>
        </w:rPr>
        <w:t>chercher</w:t>
      </w:r>
      <w:r>
        <w:rPr>
          <w:rFonts w:ascii="Arial"/>
          <w:color w:val="231F20"/>
          <w:spacing w:val="-6"/>
          <w:sz w:val="14"/>
        </w:rPr>
        <w:t> </w:t>
      </w:r>
      <w:r>
        <w:rPr>
          <w:rFonts w:ascii="Arial"/>
          <w:color w:val="231F20"/>
          <w:sz w:val="14"/>
        </w:rPr>
        <w:t>des</w:t>
      </w:r>
      <w:r>
        <w:rPr>
          <w:rFonts w:ascii="Arial"/>
          <w:color w:val="231F20"/>
          <w:spacing w:val="-6"/>
          <w:sz w:val="14"/>
        </w:rPr>
        <w:t> </w:t>
      </w:r>
      <w:r>
        <w:rPr>
          <w:rFonts w:ascii="Arial"/>
          <w:color w:val="231F20"/>
          <w:spacing w:val="-2"/>
          <w:sz w:val="14"/>
        </w:rPr>
        <w:t>appuis.</w:t>
      </w:r>
    </w:p>
    <w:p>
      <w:pPr>
        <w:pStyle w:val="ListParagraph"/>
        <w:numPr>
          <w:ilvl w:val="0"/>
          <w:numId w:val="78"/>
        </w:numPr>
        <w:tabs>
          <w:tab w:pos="1401" w:val="left" w:leader="none"/>
        </w:tabs>
        <w:spacing w:line="240" w:lineRule="auto" w:before="19" w:after="0"/>
        <w:ind w:left="1400" w:right="0" w:hanging="182"/>
        <w:jc w:val="left"/>
        <w:rPr>
          <w:rFonts w:ascii="Arial" w:hAnsi="Arial"/>
          <w:sz w:val="14"/>
        </w:rPr>
      </w:pPr>
      <w:r>
        <w:rPr>
          <w:rFonts w:ascii="Arial" w:hAnsi="Arial"/>
          <w:color w:val="231F20"/>
          <w:sz w:val="14"/>
        </w:rPr>
        <w:t>Faire</w:t>
      </w:r>
      <w:r>
        <w:rPr>
          <w:rFonts w:ascii="Arial" w:hAnsi="Arial"/>
          <w:color w:val="231F20"/>
          <w:spacing w:val="-10"/>
          <w:sz w:val="14"/>
        </w:rPr>
        <w:t> </w:t>
      </w:r>
      <w:r>
        <w:rPr>
          <w:rFonts w:ascii="Arial" w:hAnsi="Arial"/>
          <w:color w:val="231F20"/>
          <w:sz w:val="14"/>
        </w:rPr>
        <w:t>des</w:t>
      </w:r>
      <w:r>
        <w:rPr>
          <w:rFonts w:ascii="Arial" w:hAnsi="Arial"/>
          <w:color w:val="231F20"/>
          <w:spacing w:val="-9"/>
          <w:sz w:val="14"/>
        </w:rPr>
        <w:t> </w:t>
      </w:r>
      <w:r>
        <w:rPr>
          <w:rFonts w:ascii="Arial" w:hAnsi="Arial"/>
          <w:color w:val="231F20"/>
          <w:sz w:val="14"/>
        </w:rPr>
        <w:t>activités</w:t>
      </w:r>
      <w:r>
        <w:rPr>
          <w:rFonts w:ascii="Arial" w:hAnsi="Arial"/>
          <w:color w:val="231F20"/>
          <w:spacing w:val="-10"/>
          <w:sz w:val="14"/>
        </w:rPr>
        <w:t> </w:t>
      </w:r>
      <w:r>
        <w:rPr>
          <w:rFonts w:ascii="Arial" w:hAnsi="Arial"/>
          <w:color w:val="231F20"/>
          <w:sz w:val="14"/>
        </w:rPr>
        <w:t>sans</w:t>
      </w:r>
      <w:r>
        <w:rPr>
          <w:rFonts w:ascii="Arial" w:hAnsi="Arial"/>
          <w:color w:val="231F20"/>
          <w:spacing w:val="-9"/>
          <w:sz w:val="14"/>
        </w:rPr>
        <w:t> </w:t>
      </w:r>
      <w:r>
        <w:rPr>
          <w:rFonts w:ascii="Arial" w:hAnsi="Arial"/>
          <w:color w:val="231F20"/>
          <w:sz w:val="14"/>
        </w:rPr>
        <w:t>lien</w:t>
      </w:r>
      <w:r>
        <w:rPr>
          <w:rFonts w:ascii="Arial" w:hAnsi="Arial"/>
          <w:color w:val="231F20"/>
          <w:spacing w:val="-10"/>
          <w:sz w:val="14"/>
        </w:rPr>
        <w:t> </w:t>
      </w:r>
      <w:r>
        <w:rPr>
          <w:rFonts w:ascii="Arial" w:hAnsi="Arial"/>
          <w:color w:val="231F20"/>
          <w:sz w:val="14"/>
        </w:rPr>
        <w:t>avec</w:t>
      </w:r>
      <w:r>
        <w:rPr>
          <w:rFonts w:ascii="Arial" w:hAnsi="Arial"/>
          <w:color w:val="231F20"/>
          <w:spacing w:val="-9"/>
          <w:sz w:val="14"/>
        </w:rPr>
        <w:t> </w:t>
      </w:r>
      <w:r>
        <w:rPr>
          <w:rFonts w:ascii="Arial" w:hAnsi="Arial"/>
          <w:color w:val="231F20"/>
          <w:sz w:val="14"/>
        </w:rPr>
        <w:t>le</w:t>
      </w:r>
      <w:r>
        <w:rPr>
          <w:rFonts w:ascii="Arial" w:hAnsi="Arial"/>
          <w:color w:val="231F20"/>
          <w:spacing w:val="-9"/>
          <w:sz w:val="14"/>
        </w:rPr>
        <w:t> </w:t>
      </w:r>
      <w:r>
        <w:rPr>
          <w:rFonts w:ascii="Arial" w:hAnsi="Arial"/>
          <w:color w:val="231F20"/>
          <w:spacing w:val="-2"/>
          <w:sz w:val="14"/>
        </w:rPr>
        <w:t>travail.</w:t>
      </w:r>
    </w:p>
    <w:p>
      <w:pPr>
        <w:pStyle w:val="ListParagraph"/>
        <w:numPr>
          <w:ilvl w:val="0"/>
          <w:numId w:val="78"/>
        </w:numPr>
        <w:tabs>
          <w:tab w:pos="1401" w:val="left" w:leader="none"/>
        </w:tabs>
        <w:spacing w:line="240" w:lineRule="auto" w:before="19" w:after="0"/>
        <w:ind w:left="1400" w:right="0" w:hanging="182"/>
        <w:jc w:val="left"/>
        <w:rPr>
          <w:rFonts w:ascii="Arial" w:hAnsi="Arial"/>
          <w:sz w:val="14"/>
        </w:rPr>
      </w:pPr>
      <w:r>
        <w:rPr/>
        <w:pict>
          <v:shape style="position:absolute;margin-left:82pt;margin-top:10.510923pt;width:287.5pt;height:.1pt;mso-position-horizontal-relative:page;mso-position-vertical-relative:paragraph;z-index:-15629824;mso-wrap-distance-left:0;mso-wrap-distance-right:0" id="docshape1031" coordorigin="1640,210" coordsize="5750,0" path="m1640,210l7390,210e" filled="false" stroked="true" strokeweight=".5pt" strokecolor="#e2e3e4">
            <v:path arrowok="t"/>
            <v:stroke dashstyle="solid"/>
            <w10:wrap type="topAndBottom"/>
          </v:shape>
        </w:pict>
      </w:r>
      <w:r>
        <w:rPr>
          <w:rFonts w:ascii="Arial" w:hAnsi="Arial"/>
          <w:color w:val="231F20"/>
          <w:sz w:val="14"/>
        </w:rPr>
        <w:t>Tenter</w:t>
      </w:r>
      <w:r>
        <w:rPr>
          <w:rFonts w:ascii="Arial" w:hAnsi="Arial"/>
          <w:color w:val="231F20"/>
          <w:spacing w:val="-4"/>
          <w:sz w:val="14"/>
        </w:rPr>
        <w:t> </w:t>
      </w:r>
      <w:r>
        <w:rPr>
          <w:rFonts w:ascii="Arial" w:hAnsi="Arial"/>
          <w:color w:val="231F20"/>
          <w:sz w:val="14"/>
        </w:rPr>
        <w:t>passivement</w:t>
      </w:r>
      <w:r>
        <w:rPr>
          <w:rFonts w:ascii="Arial" w:hAnsi="Arial"/>
          <w:color w:val="231F20"/>
          <w:spacing w:val="-4"/>
          <w:sz w:val="14"/>
        </w:rPr>
        <w:t> </w:t>
      </w:r>
      <w:r>
        <w:rPr>
          <w:rFonts w:ascii="Arial" w:hAnsi="Arial"/>
          <w:color w:val="231F20"/>
          <w:sz w:val="14"/>
        </w:rPr>
        <w:t>d’espérer</w:t>
      </w:r>
      <w:r>
        <w:rPr>
          <w:rFonts w:ascii="Arial" w:hAnsi="Arial"/>
          <w:color w:val="231F20"/>
          <w:spacing w:val="-4"/>
          <w:sz w:val="14"/>
        </w:rPr>
        <w:t> </w:t>
      </w:r>
      <w:r>
        <w:rPr>
          <w:rFonts w:ascii="Arial" w:hAnsi="Arial"/>
          <w:color w:val="231F20"/>
          <w:sz w:val="14"/>
        </w:rPr>
        <w:t>que</w:t>
      </w:r>
      <w:r>
        <w:rPr>
          <w:rFonts w:ascii="Arial" w:hAnsi="Arial"/>
          <w:color w:val="231F20"/>
          <w:spacing w:val="-4"/>
          <w:sz w:val="14"/>
        </w:rPr>
        <w:t> </w:t>
      </w:r>
      <w:r>
        <w:rPr>
          <w:rFonts w:ascii="Arial" w:hAnsi="Arial"/>
          <w:color w:val="231F20"/>
          <w:sz w:val="14"/>
        </w:rPr>
        <w:t>la</w:t>
      </w:r>
      <w:r>
        <w:rPr>
          <w:rFonts w:ascii="Arial" w:hAnsi="Arial"/>
          <w:color w:val="231F20"/>
          <w:spacing w:val="-4"/>
          <w:sz w:val="14"/>
        </w:rPr>
        <w:t> </w:t>
      </w:r>
      <w:r>
        <w:rPr>
          <w:rFonts w:ascii="Arial" w:hAnsi="Arial"/>
          <w:color w:val="231F20"/>
          <w:sz w:val="14"/>
        </w:rPr>
        <w:t>situation</w:t>
      </w:r>
      <w:r>
        <w:rPr>
          <w:rFonts w:ascii="Arial" w:hAnsi="Arial"/>
          <w:color w:val="231F20"/>
          <w:spacing w:val="-3"/>
          <w:sz w:val="14"/>
        </w:rPr>
        <w:t> </w:t>
      </w:r>
      <w:r>
        <w:rPr>
          <w:rFonts w:ascii="Arial" w:hAnsi="Arial"/>
          <w:color w:val="231F20"/>
          <w:spacing w:val="-2"/>
          <w:sz w:val="14"/>
        </w:rPr>
        <w:t>disparaîtra.</w:t>
      </w:r>
    </w:p>
    <w:p>
      <w:pPr>
        <w:spacing w:line="268" w:lineRule="auto" w:before="35"/>
        <w:ind w:left="1220" w:right="108" w:hanging="1"/>
        <w:jc w:val="left"/>
        <w:rPr>
          <w:rFonts w:ascii="Arial" w:hAnsi="Arial"/>
          <w:sz w:val="14"/>
        </w:rPr>
      </w:pPr>
      <w:r>
        <w:rPr>
          <w:rFonts w:ascii="Arial" w:hAnsi="Arial"/>
          <w:b/>
          <w:color w:val="231F20"/>
          <w:sz w:val="14"/>
        </w:rPr>
        <w:t>Parasuraman</w:t>
      </w:r>
      <w:r>
        <w:rPr>
          <w:rFonts w:ascii="Arial" w:hAnsi="Arial"/>
          <w:b/>
          <w:color w:val="231F20"/>
          <w:spacing w:val="-3"/>
          <w:sz w:val="14"/>
        </w:rPr>
        <w:t> </w:t>
      </w:r>
      <w:r>
        <w:rPr>
          <w:rFonts w:ascii="Arial" w:hAnsi="Arial"/>
          <w:color w:val="231F20"/>
          <w:sz w:val="14"/>
        </w:rPr>
        <w:t>et</w:t>
      </w:r>
      <w:r>
        <w:rPr>
          <w:rFonts w:ascii="Arial" w:hAnsi="Arial"/>
          <w:color w:val="231F20"/>
          <w:spacing w:val="-3"/>
          <w:sz w:val="14"/>
        </w:rPr>
        <w:t> </w:t>
      </w:r>
      <w:r>
        <w:rPr>
          <w:rFonts w:ascii="Arial" w:hAnsi="Arial"/>
          <w:b/>
          <w:color w:val="231F20"/>
          <w:sz w:val="14"/>
        </w:rPr>
        <w:t>Alutto</w:t>
      </w:r>
      <w:r>
        <w:rPr>
          <w:rFonts w:ascii="Arial" w:hAnsi="Arial"/>
          <w:color w:val="231F20"/>
          <w:position w:val="5"/>
          <w:sz w:val="8"/>
        </w:rPr>
        <w:t>3</w:t>
      </w:r>
      <w:r>
        <w:rPr>
          <w:rFonts w:ascii="Arial" w:hAnsi="Arial"/>
          <w:color w:val="231F20"/>
          <w:spacing w:val="14"/>
          <w:position w:val="5"/>
          <w:sz w:val="8"/>
        </w:rPr>
        <w:t> </w:t>
      </w:r>
      <w:r>
        <w:rPr>
          <w:rFonts w:ascii="Arial" w:hAnsi="Arial"/>
          <w:color w:val="231F20"/>
          <w:sz w:val="14"/>
        </w:rPr>
        <w:t>font</w:t>
      </w:r>
      <w:r>
        <w:rPr>
          <w:rFonts w:ascii="Arial" w:hAnsi="Arial"/>
          <w:color w:val="231F20"/>
          <w:spacing w:val="-3"/>
          <w:sz w:val="14"/>
        </w:rPr>
        <w:t> </w:t>
      </w:r>
      <w:r>
        <w:rPr>
          <w:rFonts w:ascii="Arial" w:hAnsi="Arial"/>
          <w:color w:val="231F20"/>
          <w:sz w:val="14"/>
        </w:rPr>
        <w:t>la</w:t>
      </w:r>
      <w:r>
        <w:rPr>
          <w:rFonts w:ascii="Arial" w:hAnsi="Arial"/>
          <w:color w:val="231F20"/>
          <w:spacing w:val="-3"/>
          <w:sz w:val="14"/>
        </w:rPr>
        <w:t> </w:t>
      </w:r>
      <w:r>
        <w:rPr>
          <w:rFonts w:ascii="Arial" w:hAnsi="Arial"/>
          <w:color w:val="231F20"/>
          <w:sz w:val="14"/>
        </w:rPr>
        <w:t>distinction</w:t>
      </w:r>
      <w:r>
        <w:rPr>
          <w:rFonts w:ascii="Arial" w:hAnsi="Arial"/>
          <w:color w:val="231F20"/>
          <w:spacing w:val="-3"/>
          <w:sz w:val="14"/>
        </w:rPr>
        <w:t> </w:t>
      </w:r>
      <w:r>
        <w:rPr>
          <w:rFonts w:ascii="Arial" w:hAnsi="Arial"/>
          <w:color w:val="231F20"/>
          <w:sz w:val="14"/>
        </w:rPr>
        <w:t>entre</w:t>
      </w:r>
      <w:r>
        <w:rPr>
          <w:rFonts w:ascii="Arial" w:hAnsi="Arial"/>
          <w:color w:val="231F20"/>
          <w:spacing w:val="-3"/>
          <w:sz w:val="14"/>
        </w:rPr>
        <w:t> </w:t>
      </w:r>
      <w:r>
        <w:rPr>
          <w:rFonts w:ascii="Arial" w:hAnsi="Arial"/>
          <w:color w:val="231F20"/>
          <w:sz w:val="14"/>
        </w:rPr>
        <w:t>les</w:t>
      </w:r>
      <w:r>
        <w:rPr>
          <w:rFonts w:ascii="Arial" w:hAnsi="Arial"/>
          <w:color w:val="231F20"/>
          <w:spacing w:val="-3"/>
          <w:sz w:val="14"/>
        </w:rPr>
        <w:t> </w:t>
      </w:r>
      <w:r>
        <w:rPr>
          <w:rFonts w:ascii="Arial" w:hAnsi="Arial"/>
          <w:color w:val="231F20"/>
          <w:sz w:val="14"/>
        </w:rPr>
        <w:t>réponses</w:t>
      </w:r>
      <w:r>
        <w:rPr>
          <w:rFonts w:ascii="Arial" w:hAnsi="Arial"/>
          <w:color w:val="231F20"/>
          <w:spacing w:val="-3"/>
          <w:sz w:val="14"/>
        </w:rPr>
        <w:t> </w:t>
      </w:r>
      <w:r>
        <w:rPr>
          <w:rFonts w:ascii="Arial" w:hAnsi="Arial"/>
          <w:color w:val="231F20"/>
          <w:sz w:val="14"/>
        </w:rPr>
        <w:t>adaptatives</w:t>
      </w:r>
      <w:r>
        <w:rPr>
          <w:rFonts w:ascii="Arial" w:hAnsi="Arial"/>
          <w:color w:val="231F20"/>
          <w:spacing w:val="-3"/>
          <w:sz w:val="14"/>
        </w:rPr>
        <w:t> </w:t>
      </w:r>
      <w:r>
        <w:rPr>
          <w:rFonts w:ascii="Arial" w:hAnsi="Arial"/>
          <w:color w:val="231F20"/>
          <w:sz w:val="14"/>
        </w:rPr>
        <w:t>et</w:t>
      </w:r>
      <w:r>
        <w:rPr>
          <w:rFonts w:ascii="Arial" w:hAnsi="Arial"/>
          <w:color w:val="231F20"/>
          <w:spacing w:val="-3"/>
          <w:sz w:val="14"/>
        </w:rPr>
        <w:t> </w:t>
      </w:r>
      <w:r>
        <w:rPr>
          <w:rFonts w:ascii="Arial" w:hAnsi="Arial"/>
          <w:color w:val="231F20"/>
          <w:sz w:val="14"/>
        </w:rPr>
        <w:t>non</w:t>
      </w:r>
      <w:r>
        <w:rPr>
          <w:rFonts w:ascii="Arial" w:hAnsi="Arial"/>
          <w:color w:val="231F20"/>
          <w:spacing w:val="-3"/>
          <w:sz w:val="14"/>
        </w:rPr>
        <w:t> </w:t>
      </w:r>
      <w:r>
        <w:rPr>
          <w:rFonts w:ascii="Arial" w:hAnsi="Arial"/>
          <w:color w:val="231F20"/>
          <w:sz w:val="14"/>
        </w:rPr>
        <w:t>adaptatives</w:t>
      </w:r>
      <w:r>
        <w:rPr>
          <w:rFonts w:ascii="Arial" w:hAnsi="Arial"/>
          <w:color w:val="231F20"/>
          <w:spacing w:val="40"/>
          <w:sz w:val="14"/>
        </w:rPr>
        <w:t> </w:t>
      </w:r>
      <w:r>
        <w:rPr>
          <w:rFonts w:ascii="Arial" w:hAnsi="Arial"/>
          <w:color w:val="231F20"/>
          <w:sz w:val="14"/>
        </w:rPr>
        <w:t>au stress</w:t>
      </w:r>
      <w:r>
        <w:rPr>
          <w:rFonts w:ascii="Arial" w:hAnsi="Arial"/>
          <w:color w:val="231F20"/>
          <w:spacing w:val="-24"/>
          <w:sz w:val="14"/>
        </w:rPr>
        <w:t> </w:t>
      </w:r>
      <w:r>
        <w:rPr>
          <w:rFonts w:ascii="Arial" w:hAnsi="Arial"/>
          <w:color w:val="231F20"/>
          <w:sz w:val="14"/>
        </w:rPr>
        <w:t>:</w:t>
      </w:r>
    </w:p>
    <w:p>
      <w:pPr>
        <w:pStyle w:val="ListParagraph"/>
        <w:numPr>
          <w:ilvl w:val="0"/>
          <w:numId w:val="79"/>
        </w:numPr>
        <w:tabs>
          <w:tab w:pos="1401" w:val="left" w:leader="none"/>
        </w:tabs>
        <w:spacing w:line="268" w:lineRule="auto" w:before="79" w:after="0"/>
        <w:ind w:left="1400" w:right="231" w:hanging="181"/>
        <w:jc w:val="left"/>
        <w:rPr>
          <w:rFonts w:ascii="Arial" w:hAnsi="Arial"/>
          <w:sz w:val="14"/>
        </w:rPr>
      </w:pPr>
      <w:r>
        <w:rPr>
          <w:rFonts w:ascii="Arial" w:hAnsi="Arial"/>
          <w:i/>
          <w:color w:val="231F20"/>
          <w:sz w:val="14"/>
        </w:rPr>
        <w:t>Réponses</w:t>
      </w:r>
      <w:r>
        <w:rPr>
          <w:rFonts w:ascii="Arial" w:hAnsi="Arial"/>
          <w:i/>
          <w:color w:val="231F20"/>
          <w:spacing w:val="-8"/>
          <w:sz w:val="14"/>
        </w:rPr>
        <w:t> </w:t>
      </w:r>
      <w:r>
        <w:rPr>
          <w:rFonts w:ascii="Arial" w:hAnsi="Arial"/>
          <w:i/>
          <w:color w:val="231F20"/>
          <w:sz w:val="14"/>
        </w:rPr>
        <w:t>adaptatives</w:t>
      </w:r>
      <w:r>
        <w:rPr>
          <w:rFonts w:ascii="Arial" w:hAnsi="Arial"/>
          <w:i/>
          <w:color w:val="231F20"/>
          <w:spacing w:val="-26"/>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la</w:t>
      </w:r>
      <w:r>
        <w:rPr>
          <w:rFonts w:ascii="Arial" w:hAnsi="Arial"/>
          <w:color w:val="231F20"/>
          <w:spacing w:val="-7"/>
          <w:sz w:val="14"/>
        </w:rPr>
        <w:t> </w:t>
      </w:r>
      <w:r>
        <w:rPr>
          <w:rFonts w:ascii="Arial" w:hAnsi="Arial"/>
          <w:color w:val="231F20"/>
          <w:sz w:val="14"/>
        </w:rPr>
        <w:t>planification,</w:t>
      </w:r>
      <w:r>
        <w:rPr>
          <w:rFonts w:ascii="Arial" w:hAnsi="Arial"/>
          <w:color w:val="231F20"/>
          <w:spacing w:val="-7"/>
          <w:sz w:val="14"/>
        </w:rPr>
        <w:t> </w:t>
      </w:r>
      <w:r>
        <w:rPr>
          <w:rFonts w:ascii="Arial" w:hAnsi="Arial"/>
          <w:color w:val="231F20"/>
          <w:sz w:val="14"/>
        </w:rPr>
        <w:t>l’organisation,</w:t>
      </w:r>
      <w:r>
        <w:rPr>
          <w:rFonts w:ascii="Arial" w:hAnsi="Arial"/>
          <w:color w:val="231F20"/>
          <w:spacing w:val="-7"/>
          <w:sz w:val="14"/>
        </w:rPr>
        <w:t> </w:t>
      </w:r>
      <w:r>
        <w:rPr>
          <w:rFonts w:ascii="Arial" w:hAnsi="Arial"/>
          <w:color w:val="231F20"/>
          <w:sz w:val="14"/>
        </w:rPr>
        <w:t>le</w:t>
      </w:r>
      <w:r>
        <w:rPr>
          <w:rFonts w:ascii="Arial" w:hAnsi="Arial"/>
          <w:color w:val="231F20"/>
          <w:spacing w:val="-7"/>
          <w:sz w:val="14"/>
        </w:rPr>
        <w:t> </w:t>
      </w:r>
      <w:r>
        <w:rPr>
          <w:rFonts w:ascii="Arial" w:hAnsi="Arial"/>
          <w:color w:val="231F20"/>
          <w:sz w:val="14"/>
        </w:rPr>
        <w:t>classement</w:t>
      </w:r>
      <w:r>
        <w:rPr>
          <w:rFonts w:ascii="Arial" w:hAnsi="Arial"/>
          <w:color w:val="231F20"/>
          <w:spacing w:val="-7"/>
          <w:sz w:val="14"/>
        </w:rPr>
        <w:t> </w:t>
      </w:r>
      <w:r>
        <w:rPr>
          <w:rFonts w:ascii="Arial" w:hAnsi="Arial"/>
          <w:color w:val="231F20"/>
          <w:sz w:val="14"/>
        </w:rPr>
        <w:t>des</w:t>
      </w:r>
      <w:r>
        <w:rPr>
          <w:rFonts w:ascii="Arial" w:hAnsi="Arial"/>
          <w:color w:val="231F20"/>
          <w:spacing w:val="-7"/>
          <w:sz w:val="14"/>
        </w:rPr>
        <w:t> </w:t>
      </w:r>
      <w:r>
        <w:rPr>
          <w:rFonts w:ascii="Arial" w:hAnsi="Arial"/>
          <w:color w:val="231F20"/>
          <w:sz w:val="14"/>
        </w:rPr>
        <w:t>tâches</w:t>
      </w:r>
      <w:r>
        <w:rPr>
          <w:rFonts w:ascii="Arial" w:hAnsi="Arial"/>
          <w:color w:val="231F20"/>
          <w:spacing w:val="-7"/>
          <w:sz w:val="14"/>
        </w:rPr>
        <w:t> </w:t>
      </w:r>
      <w:r>
        <w:rPr>
          <w:rFonts w:ascii="Arial" w:hAnsi="Arial"/>
          <w:color w:val="231F20"/>
          <w:sz w:val="14"/>
        </w:rPr>
        <w:t>en</w:t>
      </w:r>
      <w:r>
        <w:rPr>
          <w:rFonts w:ascii="Arial" w:hAnsi="Arial"/>
          <w:color w:val="231F20"/>
          <w:spacing w:val="-7"/>
          <w:sz w:val="14"/>
        </w:rPr>
        <w:t> </w:t>
      </w:r>
      <w:r>
        <w:rPr>
          <w:rFonts w:ascii="Arial" w:hAnsi="Arial"/>
          <w:color w:val="231F20"/>
          <w:sz w:val="14"/>
        </w:rPr>
        <w:t>ordre</w:t>
      </w:r>
      <w:r>
        <w:rPr>
          <w:rFonts w:ascii="Arial" w:hAnsi="Arial"/>
          <w:color w:val="231F20"/>
          <w:w w:val="105"/>
          <w:sz w:val="14"/>
        </w:rPr>
        <w:t> de</w:t>
      </w:r>
      <w:r>
        <w:rPr>
          <w:rFonts w:ascii="Arial" w:hAnsi="Arial"/>
          <w:color w:val="231F20"/>
          <w:spacing w:val="-3"/>
          <w:w w:val="105"/>
          <w:sz w:val="14"/>
        </w:rPr>
        <w:t> </w:t>
      </w:r>
      <w:r>
        <w:rPr>
          <w:rFonts w:ascii="Arial" w:hAnsi="Arial"/>
          <w:color w:val="231F20"/>
          <w:w w:val="105"/>
          <w:sz w:val="14"/>
        </w:rPr>
        <w:t>priorité</w:t>
      </w:r>
      <w:r>
        <w:rPr>
          <w:rFonts w:ascii="Arial" w:hAnsi="Arial"/>
          <w:color w:val="231F20"/>
          <w:spacing w:val="-3"/>
          <w:w w:val="105"/>
          <w:sz w:val="14"/>
        </w:rPr>
        <w:t> </w:t>
      </w:r>
      <w:r>
        <w:rPr>
          <w:rFonts w:ascii="Arial" w:hAnsi="Arial"/>
          <w:color w:val="231F20"/>
          <w:w w:val="105"/>
          <w:sz w:val="14"/>
        </w:rPr>
        <w:t>et</w:t>
      </w:r>
      <w:r>
        <w:rPr>
          <w:rFonts w:ascii="Arial" w:hAnsi="Arial"/>
          <w:color w:val="231F20"/>
          <w:spacing w:val="-3"/>
          <w:w w:val="105"/>
          <w:sz w:val="14"/>
        </w:rPr>
        <w:t> </w:t>
      </w:r>
      <w:r>
        <w:rPr>
          <w:rFonts w:ascii="Arial" w:hAnsi="Arial"/>
          <w:color w:val="231F20"/>
          <w:w w:val="105"/>
          <w:sz w:val="14"/>
        </w:rPr>
        <w:t>la</w:t>
      </w:r>
      <w:r>
        <w:rPr>
          <w:rFonts w:ascii="Arial" w:hAnsi="Arial"/>
          <w:color w:val="231F20"/>
          <w:spacing w:val="-3"/>
          <w:w w:val="105"/>
          <w:sz w:val="14"/>
        </w:rPr>
        <w:t> </w:t>
      </w:r>
      <w:r>
        <w:rPr>
          <w:rFonts w:ascii="Arial" w:hAnsi="Arial"/>
          <w:color w:val="231F20"/>
          <w:w w:val="105"/>
          <w:sz w:val="14"/>
        </w:rPr>
        <w:t>recherche</w:t>
      </w:r>
      <w:r>
        <w:rPr>
          <w:rFonts w:ascii="Arial" w:hAnsi="Arial"/>
          <w:color w:val="231F20"/>
          <w:spacing w:val="-3"/>
          <w:w w:val="105"/>
          <w:sz w:val="14"/>
        </w:rPr>
        <w:t> </w:t>
      </w:r>
      <w:r>
        <w:rPr>
          <w:rFonts w:ascii="Arial" w:hAnsi="Arial"/>
          <w:color w:val="231F20"/>
          <w:w w:val="105"/>
          <w:sz w:val="14"/>
        </w:rPr>
        <w:t>d’appuis</w:t>
      </w:r>
      <w:r>
        <w:rPr>
          <w:rFonts w:ascii="Arial" w:hAnsi="Arial"/>
          <w:color w:val="231F20"/>
          <w:spacing w:val="-3"/>
          <w:w w:val="105"/>
          <w:sz w:val="14"/>
        </w:rPr>
        <w:t> </w:t>
      </w:r>
      <w:r>
        <w:rPr>
          <w:rFonts w:ascii="Arial" w:hAnsi="Arial"/>
          <w:color w:val="231F20"/>
          <w:w w:val="105"/>
          <w:sz w:val="14"/>
        </w:rPr>
        <w:t>auprès</w:t>
      </w:r>
      <w:r>
        <w:rPr>
          <w:rFonts w:ascii="Arial" w:hAnsi="Arial"/>
          <w:color w:val="231F20"/>
          <w:spacing w:val="-3"/>
          <w:w w:val="105"/>
          <w:sz w:val="14"/>
        </w:rPr>
        <w:t> </w:t>
      </w:r>
      <w:r>
        <w:rPr>
          <w:rFonts w:ascii="Arial" w:hAnsi="Arial"/>
          <w:color w:val="231F20"/>
          <w:w w:val="105"/>
          <w:sz w:val="14"/>
        </w:rPr>
        <w:t>d’autrui.</w:t>
      </w:r>
    </w:p>
    <w:p>
      <w:pPr>
        <w:pStyle w:val="ListParagraph"/>
        <w:numPr>
          <w:ilvl w:val="0"/>
          <w:numId w:val="79"/>
        </w:numPr>
        <w:tabs>
          <w:tab w:pos="1401" w:val="left" w:leader="none"/>
        </w:tabs>
        <w:spacing w:line="268" w:lineRule="auto" w:before="0" w:after="0"/>
        <w:ind w:left="1400" w:right="482" w:hanging="181"/>
        <w:jc w:val="left"/>
        <w:rPr>
          <w:rFonts w:ascii="Arial" w:hAnsi="Arial"/>
          <w:sz w:val="14"/>
        </w:rPr>
      </w:pPr>
      <w:r>
        <w:rPr/>
        <w:pict>
          <v:shape style="position:absolute;margin-left:82pt;margin-top:18.560905pt;width:287.5pt;height:.1pt;mso-position-horizontal-relative:page;mso-position-vertical-relative:paragraph;z-index:-15629312;mso-wrap-distance-left:0;mso-wrap-distance-right:0" id="docshape1032" coordorigin="1640,371" coordsize="5750,0" path="m1640,371l7390,371e" filled="false" stroked="true" strokeweight=".5pt" strokecolor="#e2e3e4">
            <v:path arrowok="t"/>
            <v:stroke dashstyle="solid"/>
            <w10:wrap type="topAndBottom"/>
          </v:shape>
        </w:pict>
      </w:r>
      <w:r>
        <w:rPr>
          <w:rFonts w:ascii="Arial" w:hAnsi="Arial"/>
          <w:i/>
          <w:color w:val="231F20"/>
          <w:sz w:val="14"/>
        </w:rPr>
        <w:t>Réponses</w:t>
      </w:r>
      <w:r>
        <w:rPr>
          <w:rFonts w:ascii="Arial" w:hAnsi="Arial"/>
          <w:i/>
          <w:color w:val="231F20"/>
          <w:spacing w:val="-10"/>
          <w:sz w:val="14"/>
        </w:rPr>
        <w:t> </w:t>
      </w:r>
      <w:r>
        <w:rPr>
          <w:rFonts w:ascii="Arial" w:hAnsi="Arial"/>
          <w:i/>
          <w:color w:val="231F20"/>
          <w:sz w:val="14"/>
        </w:rPr>
        <w:t>non</w:t>
      </w:r>
      <w:r>
        <w:rPr>
          <w:rFonts w:ascii="Arial" w:hAnsi="Arial"/>
          <w:i/>
          <w:color w:val="231F20"/>
          <w:spacing w:val="-10"/>
          <w:sz w:val="14"/>
        </w:rPr>
        <w:t> </w:t>
      </w:r>
      <w:r>
        <w:rPr>
          <w:rFonts w:ascii="Arial" w:hAnsi="Arial"/>
          <w:i/>
          <w:color w:val="231F20"/>
          <w:sz w:val="14"/>
        </w:rPr>
        <w:t>adaptatives</w:t>
      </w:r>
      <w:r>
        <w:rPr>
          <w:rFonts w:ascii="Arial" w:hAnsi="Arial"/>
          <w:i/>
          <w:color w:val="231F20"/>
          <w:spacing w:val="-26"/>
          <w:sz w:val="14"/>
        </w:rPr>
        <w:t> </w:t>
      </w:r>
      <w:r>
        <w:rPr>
          <w:rFonts w:ascii="Arial" w:hAnsi="Arial"/>
          <w:b/>
          <w:color w:val="231F20"/>
          <w:sz w:val="14"/>
        </w:rPr>
        <w:t>:</w:t>
      </w:r>
      <w:r>
        <w:rPr>
          <w:rFonts w:ascii="Arial" w:hAnsi="Arial"/>
          <w:b/>
          <w:color w:val="231F20"/>
          <w:spacing w:val="-9"/>
          <w:sz w:val="14"/>
        </w:rPr>
        <w:t> </w:t>
      </w:r>
      <w:r>
        <w:rPr>
          <w:rFonts w:ascii="Arial" w:hAnsi="Arial"/>
          <w:color w:val="231F20"/>
          <w:sz w:val="14"/>
        </w:rPr>
        <w:t>travailler</w:t>
      </w:r>
      <w:r>
        <w:rPr>
          <w:rFonts w:ascii="Arial" w:hAnsi="Arial"/>
          <w:color w:val="231F20"/>
          <w:spacing w:val="-8"/>
          <w:sz w:val="14"/>
        </w:rPr>
        <w:t> </w:t>
      </w:r>
      <w:r>
        <w:rPr>
          <w:rFonts w:ascii="Arial" w:hAnsi="Arial"/>
          <w:color w:val="231F20"/>
          <w:sz w:val="14"/>
        </w:rPr>
        <w:t>plus</w:t>
      </w:r>
      <w:r>
        <w:rPr>
          <w:rFonts w:ascii="Arial" w:hAnsi="Arial"/>
          <w:color w:val="231F20"/>
          <w:spacing w:val="-8"/>
          <w:sz w:val="14"/>
        </w:rPr>
        <w:t> </w:t>
      </w:r>
      <w:r>
        <w:rPr>
          <w:rFonts w:ascii="Arial" w:hAnsi="Arial"/>
          <w:color w:val="231F20"/>
          <w:sz w:val="14"/>
        </w:rPr>
        <w:t>dur,</w:t>
      </w:r>
      <w:r>
        <w:rPr>
          <w:rFonts w:ascii="Arial" w:hAnsi="Arial"/>
          <w:color w:val="231F20"/>
          <w:spacing w:val="-8"/>
          <w:sz w:val="14"/>
        </w:rPr>
        <w:t> </w:t>
      </w:r>
      <w:r>
        <w:rPr>
          <w:rFonts w:ascii="Arial" w:hAnsi="Arial"/>
          <w:color w:val="231F20"/>
          <w:sz w:val="14"/>
        </w:rPr>
        <w:t>mais</w:t>
      </w:r>
      <w:r>
        <w:rPr>
          <w:rFonts w:ascii="Arial" w:hAnsi="Arial"/>
          <w:color w:val="231F20"/>
          <w:spacing w:val="-8"/>
          <w:sz w:val="14"/>
        </w:rPr>
        <w:t> </w:t>
      </w:r>
      <w:r>
        <w:rPr>
          <w:rFonts w:ascii="Arial" w:hAnsi="Arial"/>
          <w:color w:val="231F20"/>
          <w:sz w:val="14"/>
        </w:rPr>
        <w:t>commettre</w:t>
      </w:r>
      <w:r>
        <w:rPr>
          <w:rFonts w:ascii="Arial" w:hAnsi="Arial"/>
          <w:color w:val="231F20"/>
          <w:spacing w:val="-8"/>
          <w:sz w:val="14"/>
        </w:rPr>
        <w:t> </w:t>
      </w:r>
      <w:r>
        <w:rPr>
          <w:rFonts w:ascii="Arial" w:hAnsi="Arial"/>
          <w:color w:val="231F20"/>
          <w:sz w:val="14"/>
        </w:rPr>
        <w:t>davantage</w:t>
      </w:r>
      <w:r>
        <w:rPr>
          <w:rFonts w:ascii="Arial" w:hAnsi="Arial"/>
          <w:color w:val="231F20"/>
          <w:spacing w:val="-8"/>
          <w:sz w:val="14"/>
        </w:rPr>
        <w:t> </w:t>
      </w:r>
      <w:r>
        <w:rPr>
          <w:rFonts w:ascii="Arial" w:hAnsi="Arial"/>
          <w:color w:val="231F20"/>
          <w:sz w:val="14"/>
        </w:rPr>
        <w:t>d’erreurs</w:t>
      </w:r>
      <w:r>
        <w:rPr>
          <w:rFonts w:ascii="Arial" w:hAnsi="Arial"/>
          <w:color w:val="231F20"/>
          <w:spacing w:val="-26"/>
          <w:sz w:val="14"/>
        </w:rPr>
        <w:t> </w:t>
      </w:r>
      <w:r>
        <w:rPr>
          <w:rFonts w:ascii="Arial" w:hAnsi="Arial"/>
          <w:color w:val="231F20"/>
          <w:sz w:val="14"/>
        </w:rPr>
        <w:t>;</w:t>
      </w:r>
      <w:r>
        <w:rPr>
          <w:rFonts w:ascii="Arial" w:hAnsi="Arial"/>
          <w:color w:val="231F20"/>
          <w:spacing w:val="40"/>
          <w:sz w:val="14"/>
        </w:rPr>
        <w:t> </w:t>
      </w:r>
      <w:r>
        <w:rPr>
          <w:rFonts w:ascii="Arial" w:hAnsi="Arial"/>
          <w:color w:val="231F20"/>
          <w:sz w:val="14"/>
        </w:rPr>
        <w:t>faire des promesses irréalistes</w:t>
      </w:r>
      <w:r>
        <w:rPr>
          <w:rFonts w:ascii="Arial" w:hAnsi="Arial"/>
          <w:color w:val="231F20"/>
          <w:spacing w:val="-18"/>
          <w:sz w:val="14"/>
        </w:rPr>
        <w:t> </w:t>
      </w:r>
      <w:r>
        <w:rPr>
          <w:rFonts w:ascii="Arial" w:hAnsi="Arial"/>
          <w:color w:val="231F20"/>
          <w:sz w:val="14"/>
        </w:rPr>
        <w:t>; éviter la supervision.</w:t>
      </w:r>
    </w:p>
    <w:p>
      <w:pPr>
        <w:spacing w:line="268" w:lineRule="auto" w:before="35"/>
        <w:ind w:left="1220" w:right="0" w:firstLine="0"/>
        <w:jc w:val="left"/>
        <w:rPr>
          <w:rFonts w:ascii="Arial" w:hAnsi="Arial"/>
          <w:sz w:val="14"/>
        </w:rPr>
      </w:pPr>
      <w:r>
        <w:rPr>
          <w:rFonts w:ascii="Arial" w:hAnsi="Arial"/>
          <w:color w:val="231F20"/>
          <w:sz w:val="14"/>
        </w:rPr>
        <w:t>Le</w:t>
      </w:r>
      <w:r>
        <w:rPr>
          <w:rFonts w:ascii="Arial" w:hAnsi="Arial"/>
          <w:color w:val="231F20"/>
          <w:spacing w:val="-10"/>
          <w:sz w:val="14"/>
        </w:rPr>
        <w:t> </w:t>
      </w:r>
      <w:r>
        <w:rPr>
          <w:rFonts w:ascii="Arial" w:hAnsi="Arial"/>
          <w:color w:val="231F20"/>
          <w:sz w:val="14"/>
        </w:rPr>
        <w:t>type</w:t>
      </w:r>
      <w:r>
        <w:rPr>
          <w:rFonts w:ascii="Arial" w:hAnsi="Arial"/>
          <w:color w:val="231F20"/>
          <w:spacing w:val="-10"/>
          <w:sz w:val="14"/>
        </w:rPr>
        <w:t> </w:t>
      </w:r>
      <w:r>
        <w:rPr>
          <w:rFonts w:ascii="Arial" w:hAnsi="Arial"/>
          <w:color w:val="231F20"/>
          <w:sz w:val="14"/>
        </w:rPr>
        <w:t>d’approche</w:t>
      </w:r>
      <w:r>
        <w:rPr>
          <w:rFonts w:ascii="Arial" w:hAnsi="Arial"/>
          <w:color w:val="231F20"/>
          <w:spacing w:val="-10"/>
          <w:sz w:val="14"/>
        </w:rPr>
        <w:t> </w:t>
      </w:r>
      <w:r>
        <w:rPr>
          <w:rFonts w:ascii="Arial" w:hAnsi="Arial"/>
          <w:color w:val="231F20"/>
          <w:sz w:val="14"/>
        </w:rPr>
        <w:t>mis</w:t>
      </w:r>
      <w:r>
        <w:rPr>
          <w:rFonts w:ascii="Arial" w:hAnsi="Arial"/>
          <w:color w:val="231F20"/>
          <w:spacing w:val="-9"/>
          <w:sz w:val="14"/>
        </w:rPr>
        <w:t> </w:t>
      </w:r>
      <w:r>
        <w:rPr>
          <w:rFonts w:ascii="Arial" w:hAnsi="Arial"/>
          <w:color w:val="231F20"/>
          <w:sz w:val="14"/>
        </w:rPr>
        <w:t>au</w:t>
      </w:r>
      <w:r>
        <w:rPr>
          <w:rFonts w:ascii="Arial" w:hAnsi="Arial"/>
          <w:color w:val="231F20"/>
          <w:spacing w:val="-10"/>
          <w:sz w:val="14"/>
        </w:rPr>
        <w:t> </w:t>
      </w:r>
      <w:r>
        <w:rPr>
          <w:rFonts w:ascii="Arial" w:hAnsi="Arial"/>
          <w:color w:val="231F20"/>
          <w:sz w:val="14"/>
        </w:rPr>
        <w:t>point</w:t>
      </w:r>
      <w:r>
        <w:rPr>
          <w:rFonts w:ascii="Arial" w:hAnsi="Arial"/>
          <w:color w:val="231F20"/>
          <w:spacing w:val="-10"/>
          <w:sz w:val="14"/>
        </w:rPr>
        <w:t> </w:t>
      </w:r>
      <w:r>
        <w:rPr>
          <w:rFonts w:ascii="Arial" w:hAnsi="Arial"/>
          <w:color w:val="231F20"/>
          <w:sz w:val="14"/>
        </w:rPr>
        <w:t>par</w:t>
      </w:r>
      <w:r>
        <w:rPr>
          <w:rFonts w:ascii="Arial" w:hAnsi="Arial"/>
          <w:color w:val="231F20"/>
          <w:spacing w:val="-10"/>
          <w:sz w:val="14"/>
        </w:rPr>
        <w:t> </w:t>
      </w:r>
      <w:r>
        <w:rPr>
          <w:rFonts w:ascii="Arial" w:hAnsi="Arial"/>
          <w:b/>
          <w:color w:val="231F20"/>
          <w:sz w:val="14"/>
        </w:rPr>
        <w:t>Cooper</w:t>
      </w:r>
      <w:r>
        <w:rPr>
          <w:rFonts w:ascii="Arial" w:hAnsi="Arial"/>
          <w:b/>
          <w:color w:val="231F20"/>
          <w:spacing w:val="-9"/>
          <w:sz w:val="14"/>
        </w:rPr>
        <w:t> </w:t>
      </w:r>
      <w:r>
        <w:rPr>
          <w:rFonts w:ascii="Arial" w:hAnsi="Arial"/>
          <w:color w:val="231F20"/>
          <w:sz w:val="14"/>
        </w:rPr>
        <w:t>et</w:t>
      </w:r>
      <w:r>
        <w:rPr>
          <w:rFonts w:ascii="Arial" w:hAnsi="Arial"/>
          <w:color w:val="231F20"/>
          <w:spacing w:val="-10"/>
          <w:sz w:val="14"/>
        </w:rPr>
        <w:t> </w:t>
      </w:r>
      <w:r>
        <w:rPr>
          <w:rFonts w:ascii="Arial" w:hAnsi="Arial"/>
          <w:b/>
          <w:color w:val="231F20"/>
          <w:sz w:val="14"/>
        </w:rPr>
        <w:t>Payne</w:t>
      </w:r>
      <w:r>
        <w:rPr>
          <w:rFonts w:ascii="Arial" w:hAnsi="Arial"/>
          <w:b/>
          <w:color w:val="231F20"/>
          <w:spacing w:val="-10"/>
          <w:sz w:val="14"/>
        </w:rPr>
        <w:t> </w:t>
      </w:r>
      <w:r>
        <w:rPr>
          <w:rFonts w:ascii="Arial" w:hAnsi="Arial"/>
          <w:color w:val="231F20"/>
          <w:sz w:val="14"/>
        </w:rPr>
        <w:t>dans</w:t>
      </w:r>
      <w:r>
        <w:rPr>
          <w:rFonts w:ascii="Arial" w:hAnsi="Arial"/>
          <w:color w:val="231F20"/>
          <w:spacing w:val="-9"/>
          <w:sz w:val="14"/>
        </w:rPr>
        <w:t> </w:t>
      </w:r>
      <w:r>
        <w:rPr>
          <w:rFonts w:ascii="Arial" w:hAnsi="Arial"/>
          <w:color w:val="231F20"/>
          <w:sz w:val="14"/>
        </w:rPr>
        <w:t>l’</w:t>
      </w:r>
      <w:r>
        <w:rPr>
          <w:rFonts w:ascii="Arial" w:hAnsi="Arial"/>
          <w:i/>
          <w:color w:val="231F20"/>
          <w:sz w:val="14"/>
        </w:rPr>
        <w:t>Indicateur</w:t>
      </w:r>
      <w:r>
        <w:rPr>
          <w:rFonts w:ascii="Arial" w:hAnsi="Arial"/>
          <w:i/>
          <w:color w:val="231F20"/>
          <w:spacing w:val="-10"/>
          <w:sz w:val="14"/>
        </w:rPr>
        <w:t> </w:t>
      </w:r>
      <w:r>
        <w:rPr>
          <w:rFonts w:ascii="Arial" w:hAnsi="Arial"/>
          <w:i/>
          <w:color w:val="231F20"/>
          <w:sz w:val="14"/>
        </w:rPr>
        <w:t>de</w:t>
      </w:r>
      <w:r>
        <w:rPr>
          <w:rFonts w:ascii="Arial" w:hAnsi="Arial"/>
          <w:i/>
          <w:color w:val="231F20"/>
          <w:spacing w:val="-10"/>
          <w:sz w:val="14"/>
        </w:rPr>
        <w:t> </w:t>
      </w:r>
      <w:r>
        <w:rPr>
          <w:rFonts w:ascii="Arial" w:hAnsi="Arial"/>
          <w:i/>
          <w:color w:val="231F20"/>
          <w:sz w:val="14"/>
        </w:rPr>
        <w:t>stress</w:t>
      </w:r>
      <w:r>
        <w:rPr>
          <w:rFonts w:ascii="Arial" w:hAnsi="Arial"/>
          <w:i/>
          <w:color w:val="231F20"/>
          <w:spacing w:val="40"/>
          <w:sz w:val="14"/>
        </w:rPr>
        <w:t> </w:t>
      </w:r>
      <w:r>
        <w:rPr>
          <w:rFonts w:ascii="Arial" w:hAnsi="Arial"/>
          <w:i/>
          <w:color w:val="231F20"/>
          <w:sz w:val="14"/>
        </w:rPr>
        <w:t>organisationnel</w:t>
      </w:r>
      <w:r>
        <w:rPr>
          <w:rFonts w:ascii="Arial" w:hAnsi="Arial"/>
          <w:color w:val="231F20"/>
          <w:position w:val="5"/>
          <w:sz w:val="8"/>
        </w:rPr>
        <w:t>4</w:t>
      </w:r>
      <w:r>
        <w:rPr>
          <w:rFonts w:ascii="Arial" w:hAnsi="Arial"/>
          <w:color w:val="231F20"/>
          <w:spacing w:val="37"/>
          <w:position w:val="5"/>
          <w:sz w:val="8"/>
        </w:rPr>
        <w:t> </w:t>
      </w:r>
      <w:r>
        <w:rPr>
          <w:rFonts w:ascii="Arial" w:hAnsi="Arial"/>
          <w:color w:val="231F20"/>
          <w:sz w:val="14"/>
        </w:rPr>
        <w:t>distingue six types d’approches</w:t>
      </w:r>
      <w:r>
        <w:rPr>
          <w:rFonts w:ascii="Arial" w:hAnsi="Arial"/>
          <w:color w:val="231F20"/>
          <w:spacing w:val="-17"/>
          <w:sz w:val="14"/>
        </w:rPr>
        <w:t> </w:t>
      </w:r>
      <w:r>
        <w:rPr>
          <w:rFonts w:ascii="Arial" w:hAnsi="Arial"/>
          <w:color w:val="231F20"/>
          <w:sz w:val="14"/>
        </w:rPr>
        <w:t>:</w:t>
      </w:r>
    </w:p>
    <w:p>
      <w:pPr>
        <w:pStyle w:val="ListParagraph"/>
        <w:numPr>
          <w:ilvl w:val="0"/>
          <w:numId w:val="80"/>
        </w:numPr>
        <w:tabs>
          <w:tab w:pos="1401" w:val="left" w:leader="none"/>
        </w:tabs>
        <w:spacing w:line="240" w:lineRule="auto" w:before="79" w:after="0"/>
        <w:ind w:left="1400" w:right="0" w:hanging="181"/>
        <w:jc w:val="left"/>
        <w:rPr>
          <w:rFonts w:ascii="Arial"/>
          <w:sz w:val="14"/>
        </w:rPr>
      </w:pPr>
      <w:r>
        <w:rPr>
          <w:rFonts w:ascii="Arial"/>
          <w:color w:val="231F20"/>
          <w:sz w:val="14"/>
        </w:rPr>
        <w:t>Le</w:t>
      </w:r>
      <w:r>
        <w:rPr>
          <w:rFonts w:ascii="Arial"/>
          <w:color w:val="231F20"/>
          <w:spacing w:val="-5"/>
          <w:sz w:val="14"/>
        </w:rPr>
        <w:t> </w:t>
      </w:r>
      <w:r>
        <w:rPr>
          <w:rFonts w:ascii="Arial"/>
          <w:color w:val="231F20"/>
          <w:sz w:val="14"/>
        </w:rPr>
        <w:t>soutien</w:t>
      </w:r>
      <w:r>
        <w:rPr>
          <w:rFonts w:ascii="Arial"/>
          <w:color w:val="231F20"/>
          <w:spacing w:val="-4"/>
          <w:sz w:val="14"/>
        </w:rPr>
        <w:t> </w:t>
      </w:r>
      <w:r>
        <w:rPr>
          <w:rFonts w:ascii="Arial"/>
          <w:color w:val="231F20"/>
          <w:spacing w:val="-2"/>
          <w:sz w:val="14"/>
        </w:rPr>
        <w:t>social.</w:t>
      </w:r>
    </w:p>
    <w:p>
      <w:pPr>
        <w:pStyle w:val="ListParagraph"/>
        <w:numPr>
          <w:ilvl w:val="0"/>
          <w:numId w:val="80"/>
        </w:numPr>
        <w:tabs>
          <w:tab w:pos="1401" w:val="left" w:leader="none"/>
        </w:tabs>
        <w:spacing w:line="240" w:lineRule="auto" w:before="19" w:after="0"/>
        <w:ind w:left="1400" w:right="0" w:hanging="181"/>
        <w:jc w:val="left"/>
        <w:rPr>
          <w:rFonts w:ascii="Arial" w:hAnsi="Arial"/>
          <w:sz w:val="14"/>
        </w:rPr>
      </w:pPr>
      <w:r>
        <w:rPr>
          <w:rFonts w:ascii="Arial" w:hAnsi="Arial"/>
          <w:color w:val="231F20"/>
          <w:sz w:val="14"/>
        </w:rPr>
        <w:t>Les</w:t>
      </w:r>
      <w:r>
        <w:rPr>
          <w:rFonts w:ascii="Arial" w:hAnsi="Arial"/>
          <w:color w:val="231F20"/>
          <w:spacing w:val="-9"/>
          <w:sz w:val="14"/>
        </w:rPr>
        <w:t> </w:t>
      </w:r>
      <w:r>
        <w:rPr>
          <w:rFonts w:ascii="Arial" w:hAnsi="Arial"/>
          <w:color w:val="231F20"/>
          <w:sz w:val="14"/>
        </w:rPr>
        <w:t>stratégies</w:t>
      </w:r>
      <w:r>
        <w:rPr>
          <w:rFonts w:ascii="Arial" w:hAnsi="Arial"/>
          <w:color w:val="231F20"/>
          <w:spacing w:val="-8"/>
          <w:sz w:val="14"/>
        </w:rPr>
        <w:t> </w:t>
      </w:r>
      <w:r>
        <w:rPr>
          <w:rFonts w:ascii="Arial" w:hAnsi="Arial"/>
          <w:color w:val="231F20"/>
          <w:sz w:val="14"/>
        </w:rPr>
        <w:t>liées</w:t>
      </w:r>
      <w:r>
        <w:rPr>
          <w:rFonts w:ascii="Arial" w:hAnsi="Arial"/>
          <w:color w:val="231F20"/>
          <w:spacing w:val="-8"/>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la</w:t>
      </w:r>
      <w:r>
        <w:rPr>
          <w:rFonts w:ascii="Arial" w:hAnsi="Arial"/>
          <w:color w:val="231F20"/>
          <w:spacing w:val="-8"/>
          <w:sz w:val="14"/>
        </w:rPr>
        <w:t> </w:t>
      </w:r>
      <w:r>
        <w:rPr>
          <w:rFonts w:ascii="Arial" w:hAnsi="Arial"/>
          <w:color w:val="231F20"/>
          <w:spacing w:val="-2"/>
          <w:sz w:val="14"/>
        </w:rPr>
        <w:t>tâche.</w:t>
      </w:r>
    </w:p>
    <w:p>
      <w:pPr>
        <w:pStyle w:val="ListParagraph"/>
        <w:numPr>
          <w:ilvl w:val="0"/>
          <w:numId w:val="80"/>
        </w:numPr>
        <w:tabs>
          <w:tab w:pos="1401" w:val="left" w:leader="none"/>
        </w:tabs>
        <w:spacing w:line="240" w:lineRule="auto" w:before="19" w:after="0"/>
        <w:ind w:left="1400" w:right="0" w:hanging="181"/>
        <w:jc w:val="left"/>
        <w:rPr>
          <w:rFonts w:ascii="Arial"/>
          <w:sz w:val="14"/>
        </w:rPr>
      </w:pPr>
      <w:r>
        <w:rPr>
          <w:rFonts w:ascii="Arial"/>
          <w:color w:val="231F20"/>
          <w:w w:val="95"/>
          <w:sz w:val="14"/>
        </w:rPr>
        <w:t>La</w:t>
      </w:r>
      <w:r>
        <w:rPr>
          <w:rFonts w:ascii="Arial"/>
          <w:color w:val="231F20"/>
          <w:spacing w:val="-6"/>
          <w:w w:val="95"/>
          <w:sz w:val="14"/>
        </w:rPr>
        <w:t> </w:t>
      </w:r>
      <w:r>
        <w:rPr>
          <w:rFonts w:ascii="Arial"/>
          <w:color w:val="231F20"/>
          <w:spacing w:val="-2"/>
          <w:sz w:val="14"/>
        </w:rPr>
        <w:t>logique.</w:t>
      </w:r>
    </w:p>
    <w:p>
      <w:pPr>
        <w:pStyle w:val="ListParagraph"/>
        <w:numPr>
          <w:ilvl w:val="0"/>
          <w:numId w:val="80"/>
        </w:numPr>
        <w:tabs>
          <w:tab w:pos="1401" w:val="left" w:leader="none"/>
        </w:tabs>
        <w:spacing w:line="240" w:lineRule="auto" w:before="19" w:after="0"/>
        <w:ind w:left="1400" w:right="0" w:hanging="181"/>
        <w:jc w:val="left"/>
        <w:rPr>
          <w:rFonts w:ascii="Arial"/>
          <w:sz w:val="14"/>
        </w:rPr>
      </w:pPr>
      <w:r>
        <w:rPr>
          <w:rFonts w:ascii="Arial"/>
          <w:color w:val="231F20"/>
          <w:sz w:val="14"/>
        </w:rPr>
        <w:t>Les relations familiales</w:t>
      </w:r>
      <w:r>
        <w:rPr>
          <w:rFonts w:ascii="Arial"/>
          <w:color w:val="231F20"/>
          <w:spacing w:val="1"/>
          <w:sz w:val="14"/>
        </w:rPr>
        <w:t> </w:t>
      </w:r>
      <w:r>
        <w:rPr>
          <w:rFonts w:ascii="Arial"/>
          <w:color w:val="231F20"/>
          <w:sz w:val="14"/>
        </w:rPr>
        <w:t>et </w:t>
      </w:r>
      <w:r>
        <w:rPr>
          <w:rFonts w:ascii="Arial"/>
          <w:color w:val="231F20"/>
          <w:spacing w:val="-2"/>
          <w:sz w:val="14"/>
        </w:rPr>
        <w:t>professionnelles.</w:t>
      </w:r>
    </w:p>
    <w:p>
      <w:pPr>
        <w:pStyle w:val="ListParagraph"/>
        <w:numPr>
          <w:ilvl w:val="0"/>
          <w:numId w:val="80"/>
        </w:numPr>
        <w:tabs>
          <w:tab w:pos="1401" w:val="left" w:leader="none"/>
        </w:tabs>
        <w:spacing w:line="240" w:lineRule="auto" w:before="20" w:after="0"/>
        <w:ind w:left="1400" w:right="0" w:hanging="181"/>
        <w:jc w:val="left"/>
        <w:rPr>
          <w:rFonts w:ascii="Arial"/>
          <w:sz w:val="14"/>
        </w:rPr>
      </w:pPr>
      <w:r>
        <w:rPr>
          <w:rFonts w:ascii="Arial"/>
          <w:color w:val="231F20"/>
          <w:w w:val="95"/>
          <w:sz w:val="14"/>
        </w:rPr>
        <w:t>Le</w:t>
      </w:r>
      <w:r>
        <w:rPr>
          <w:rFonts w:ascii="Arial"/>
          <w:color w:val="231F20"/>
          <w:spacing w:val="-5"/>
          <w:w w:val="95"/>
          <w:sz w:val="14"/>
        </w:rPr>
        <w:t> </w:t>
      </w:r>
      <w:r>
        <w:rPr>
          <w:rFonts w:ascii="Arial"/>
          <w:color w:val="231F20"/>
          <w:spacing w:val="-2"/>
          <w:sz w:val="14"/>
        </w:rPr>
        <w:t>temps.</w:t>
      </w:r>
    </w:p>
    <w:p>
      <w:pPr>
        <w:pStyle w:val="ListParagraph"/>
        <w:numPr>
          <w:ilvl w:val="0"/>
          <w:numId w:val="80"/>
        </w:numPr>
        <w:tabs>
          <w:tab w:pos="1401" w:val="left" w:leader="none"/>
        </w:tabs>
        <w:spacing w:line="240" w:lineRule="auto" w:before="19" w:after="0"/>
        <w:ind w:left="1400" w:right="0" w:hanging="181"/>
        <w:jc w:val="left"/>
        <w:rPr>
          <w:rFonts w:ascii="Arial" w:hAnsi="Arial"/>
          <w:sz w:val="14"/>
        </w:rPr>
      </w:pPr>
      <w:r>
        <w:rPr/>
        <w:pict>
          <v:shape style="position:absolute;margin-left:82pt;margin-top:10.506912pt;width:287.5pt;height:.1pt;mso-position-horizontal-relative:page;mso-position-vertical-relative:paragraph;z-index:-15628800;mso-wrap-distance-left:0;mso-wrap-distance-right:0" id="docshape1033" coordorigin="1640,210" coordsize="5750,0" path="m1640,210l7390,210e" filled="false" stroked="true" strokeweight=".25pt" strokecolor="#231f20">
            <v:path arrowok="t"/>
            <v:stroke dashstyle="solid"/>
            <w10:wrap type="topAndBottom"/>
          </v:shape>
        </w:pict>
      </w:r>
      <w:r>
        <w:rPr>
          <w:rFonts w:ascii="Arial" w:hAnsi="Arial"/>
          <w:color w:val="231F20"/>
          <w:spacing w:val="-2"/>
          <w:sz w:val="14"/>
        </w:rPr>
        <w:t>L’engagement.</w:t>
      </w:r>
    </w:p>
    <w:p>
      <w:pPr>
        <w:spacing w:line="295" w:lineRule="auto" w:before="40"/>
        <w:ind w:left="1220" w:right="135" w:hanging="1"/>
        <w:jc w:val="left"/>
        <w:rPr>
          <w:rFonts w:ascii="Arial"/>
          <w:sz w:val="12"/>
        </w:rPr>
      </w:pPr>
      <w:r>
        <w:rPr>
          <w:rFonts w:ascii="Arial"/>
          <w:color w:val="231F20"/>
          <w:position w:val="4"/>
          <w:sz w:val="7"/>
        </w:rPr>
        <w:t>1</w:t>
      </w:r>
      <w:r>
        <w:rPr>
          <w:rFonts w:ascii="Arial"/>
          <w:color w:val="231F20"/>
          <w:spacing w:val="18"/>
          <w:position w:val="4"/>
          <w:sz w:val="7"/>
        </w:rPr>
        <w:t> </w:t>
      </w:r>
      <w:r>
        <w:rPr>
          <w:rFonts w:ascii="Arial"/>
          <w:color w:val="231F20"/>
          <w:sz w:val="12"/>
        </w:rPr>
        <w:t>Burke,</w:t>
      </w:r>
      <w:r>
        <w:rPr>
          <w:rFonts w:ascii="Arial"/>
          <w:color w:val="231F20"/>
          <w:spacing w:val="-8"/>
          <w:sz w:val="12"/>
        </w:rPr>
        <w:t> </w:t>
      </w:r>
      <w:r>
        <w:rPr>
          <w:rFonts w:ascii="Arial"/>
          <w:color w:val="231F20"/>
          <w:sz w:val="12"/>
        </w:rPr>
        <w:t>W.</w:t>
      </w:r>
      <w:r>
        <w:rPr>
          <w:rFonts w:ascii="Arial"/>
          <w:color w:val="231F20"/>
          <w:spacing w:val="-9"/>
          <w:sz w:val="12"/>
        </w:rPr>
        <w:t> </w:t>
      </w:r>
      <w:r>
        <w:rPr>
          <w:rFonts w:ascii="Arial"/>
          <w:color w:val="231F20"/>
          <w:sz w:val="12"/>
        </w:rPr>
        <w:t>W.</w:t>
      </w:r>
      <w:r>
        <w:rPr>
          <w:rFonts w:ascii="Arial"/>
          <w:color w:val="231F20"/>
          <w:spacing w:val="-8"/>
          <w:sz w:val="12"/>
        </w:rPr>
        <w:t> </w:t>
      </w:r>
      <w:r>
        <w:rPr>
          <w:rFonts w:ascii="Arial"/>
          <w:color w:val="231F20"/>
          <w:sz w:val="12"/>
        </w:rPr>
        <w:t>(1978).</w:t>
      </w:r>
      <w:r>
        <w:rPr>
          <w:rFonts w:ascii="Arial"/>
          <w:color w:val="231F20"/>
          <w:spacing w:val="-8"/>
          <w:sz w:val="12"/>
        </w:rPr>
        <w:t> </w:t>
      </w:r>
      <w:r>
        <w:rPr>
          <w:rFonts w:ascii="Arial"/>
          <w:color w:val="231F20"/>
          <w:sz w:val="12"/>
        </w:rPr>
        <w:t>Improving</w:t>
      </w:r>
      <w:r>
        <w:rPr>
          <w:rFonts w:ascii="Arial"/>
          <w:color w:val="231F20"/>
          <w:spacing w:val="-9"/>
          <w:sz w:val="12"/>
        </w:rPr>
        <w:t> </w:t>
      </w:r>
      <w:r>
        <w:rPr>
          <w:rFonts w:ascii="Arial"/>
          <w:color w:val="231F20"/>
          <w:sz w:val="12"/>
        </w:rPr>
        <w:t>stress</w:t>
      </w:r>
      <w:r>
        <w:rPr>
          <w:rFonts w:ascii="Arial"/>
          <w:color w:val="231F20"/>
          <w:spacing w:val="-8"/>
          <w:sz w:val="12"/>
        </w:rPr>
        <w:t> </w:t>
      </w:r>
      <w:r>
        <w:rPr>
          <w:rFonts w:ascii="Arial"/>
          <w:color w:val="231F20"/>
          <w:sz w:val="12"/>
        </w:rPr>
        <w:t>management.</w:t>
      </w:r>
      <w:r>
        <w:rPr>
          <w:rFonts w:ascii="Arial"/>
          <w:color w:val="231F20"/>
          <w:spacing w:val="-8"/>
          <w:sz w:val="12"/>
        </w:rPr>
        <w:t> </w:t>
      </w:r>
      <w:r>
        <w:rPr>
          <w:rFonts w:ascii="Arial"/>
          <w:color w:val="231F20"/>
          <w:sz w:val="12"/>
        </w:rPr>
        <w:t>Dans</w:t>
      </w:r>
      <w:r>
        <w:rPr>
          <w:rFonts w:ascii="Arial"/>
          <w:color w:val="231F20"/>
          <w:spacing w:val="-9"/>
          <w:sz w:val="12"/>
        </w:rPr>
        <w:t> </w:t>
      </w:r>
      <w:r>
        <w:rPr>
          <w:rFonts w:ascii="Arial"/>
          <w:color w:val="231F20"/>
          <w:sz w:val="12"/>
        </w:rPr>
        <w:t>W.</w:t>
      </w:r>
      <w:r>
        <w:rPr>
          <w:rFonts w:ascii="Arial"/>
          <w:color w:val="231F20"/>
          <w:spacing w:val="-8"/>
          <w:sz w:val="12"/>
        </w:rPr>
        <w:t> </w:t>
      </w:r>
      <w:r>
        <w:rPr>
          <w:rFonts w:ascii="Arial"/>
          <w:color w:val="231F20"/>
          <w:sz w:val="12"/>
        </w:rPr>
        <w:t>W.</w:t>
      </w:r>
      <w:r>
        <w:rPr>
          <w:rFonts w:ascii="Arial"/>
          <w:color w:val="231F20"/>
          <w:spacing w:val="-8"/>
          <w:sz w:val="12"/>
        </w:rPr>
        <w:t> </w:t>
      </w:r>
      <w:r>
        <w:rPr>
          <w:rFonts w:ascii="Arial"/>
          <w:color w:val="231F20"/>
          <w:sz w:val="12"/>
        </w:rPr>
        <w:t>Burke</w:t>
      </w:r>
      <w:r>
        <w:rPr>
          <w:rFonts w:ascii="Arial"/>
          <w:color w:val="231F20"/>
          <w:spacing w:val="-9"/>
          <w:sz w:val="12"/>
        </w:rPr>
        <w:t> </w:t>
      </w:r>
      <w:r>
        <w:rPr>
          <w:rFonts w:ascii="Arial"/>
          <w:color w:val="231F20"/>
          <w:sz w:val="12"/>
        </w:rPr>
        <w:t>(dir.),</w:t>
      </w:r>
      <w:r>
        <w:rPr>
          <w:rFonts w:ascii="Arial"/>
          <w:color w:val="231F20"/>
          <w:spacing w:val="-8"/>
          <w:sz w:val="12"/>
        </w:rPr>
        <w:t> </w:t>
      </w:r>
      <w:r>
        <w:rPr>
          <w:rFonts w:ascii="Arial"/>
          <w:i/>
          <w:color w:val="231F20"/>
          <w:sz w:val="12"/>
        </w:rPr>
        <w:t>The</w:t>
      </w:r>
      <w:r>
        <w:rPr>
          <w:rFonts w:ascii="Arial"/>
          <w:i/>
          <w:color w:val="231F20"/>
          <w:spacing w:val="-8"/>
          <w:sz w:val="12"/>
        </w:rPr>
        <w:t> </w:t>
      </w:r>
      <w:r>
        <w:rPr>
          <w:rFonts w:ascii="Arial"/>
          <w:i/>
          <w:color w:val="231F20"/>
          <w:sz w:val="12"/>
        </w:rPr>
        <w:t>Cutting</w:t>
      </w:r>
      <w:r>
        <w:rPr>
          <w:rFonts w:ascii="Arial"/>
          <w:i/>
          <w:color w:val="231F20"/>
          <w:spacing w:val="-9"/>
          <w:sz w:val="12"/>
        </w:rPr>
        <w:t> </w:t>
      </w:r>
      <w:r>
        <w:rPr>
          <w:rFonts w:ascii="Arial"/>
          <w:i/>
          <w:color w:val="231F20"/>
          <w:sz w:val="12"/>
        </w:rPr>
        <w:t>Edge</w:t>
      </w:r>
      <w:r>
        <w:rPr>
          <w:rFonts w:ascii="Arial"/>
          <w:color w:val="231F20"/>
          <w:sz w:val="12"/>
        </w:rPr>
        <w:t>,</w:t>
      </w:r>
      <w:r>
        <w:rPr>
          <w:rFonts w:ascii="Arial"/>
          <w:color w:val="231F20"/>
          <w:spacing w:val="-8"/>
          <w:sz w:val="12"/>
        </w:rPr>
        <w:t> </w:t>
      </w:r>
      <w:r>
        <w:rPr>
          <w:rFonts w:ascii="Arial"/>
          <w:color w:val="231F20"/>
          <w:sz w:val="12"/>
        </w:rPr>
        <w:t>San</w:t>
      </w:r>
      <w:r>
        <w:rPr>
          <w:rFonts w:ascii="Arial"/>
          <w:color w:val="231F20"/>
          <w:spacing w:val="-8"/>
          <w:sz w:val="12"/>
        </w:rPr>
        <w:t> </w:t>
      </w:r>
      <w:r>
        <w:rPr>
          <w:rFonts w:ascii="Arial"/>
          <w:color w:val="231F20"/>
          <w:sz w:val="12"/>
        </w:rPr>
        <w:t>Diego,</w:t>
      </w:r>
      <w:r>
        <w:rPr>
          <w:rFonts w:ascii="Arial"/>
          <w:color w:val="231F20"/>
          <w:spacing w:val="40"/>
          <w:sz w:val="12"/>
        </w:rPr>
        <w:t> </w:t>
      </w:r>
      <w:r>
        <w:rPr>
          <w:rFonts w:ascii="Arial"/>
          <w:color w:val="231F20"/>
          <w:sz w:val="12"/>
        </w:rPr>
        <w:t>University</w:t>
      </w:r>
      <w:r>
        <w:rPr>
          <w:rFonts w:ascii="Arial"/>
          <w:color w:val="231F20"/>
          <w:spacing w:val="-9"/>
          <w:sz w:val="12"/>
        </w:rPr>
        <w:t> </w:t>
      </w:r>
      <w:r>
        <w:rPr>
          <w:rFonts w:ascii="Arial"/>
          <w:color w:val="231F20"/>
          <w:sz w:val="12"/>
        </w:rPr>
        <w:t>Associates.</w:t>
      </w:r>
    </w:p>
    <w:p>
      <w:pPr>
        <w:spacing w:before="1"/>
        <w:ind w:left="1220" w:right="0" w:firstLine="0"/>
        <w:jc w:val="left"/>
        <w:rPr>
          <w:rFonts w:ascii="Arial" w:hAnsi="Arial"/>
          <w:sz w:val="12"/>
        </w:rPr>
      </w:pPr>
      <w:r>
        <w:rPr>
          <w:rFonts w:ascii="Arial" w:hAnsi="Arial"/>
          <w:color w:val="231F20"/>
          <w:position w:val="4"/>
          <w:sz w:val="7"/>
        </w:rPr>
        <w:t>2</w:t>
      </w:r>
      <w:r>
        <w:rPr>
          <w:rFonts w:ascii="Arial" w:hAnsi="Arial"/>
          <w:color w:val="231F20"/>
          <w:spacing w:val="36"/>
          <w:position w:val="4"/>
          <w:sz w:val="7"/>
        </w:rPr>
        <w:t> </w:t>
      </w:r>
      <w:r>
        <w:rPr>
          <w:rFonts w:ascii="Arial" w:hAnsi="Arial"/>
          <w:color w:val="231F20"/>
          <w:sz w:val="12"/>
        </w:rPr>
        <w:t>Dewe,</w:t>
      </w:r>
      <w:r>
        <w:rPr>
          <w:rFonts w:ascii="Arial" w:hAnsi="Arial"/>
          <w:color w:val="231F20"/>
          <w:spacing w:val="-5"/>
          <w:sz w:val="12"/>
        </w:rPr>
        <w:t> </w:t>
      </w:r>
      <w:r>
        <w:rPr>
          <w:rFonts w:ascii="Arial" w:hAnsi="Arial"/>
          <w:color w:val="231F20"/>
          <w:sz w:val="12"/>
        </w:rPr>
        <w:t>B.</w:t>
      </w:r>
      <w:r>
        <w:rPr>
          <w:rFonts w:ascii="Arial" w:hAnsi="Arial"/>
          <w:color w:val="231F20"/>
          <w:spacing w:val="-5"/>
          <w:sz w:val="12"/>
        </w:rPr>
        <w:t> </w:t>
      </w:r>
      <w:r>
        <w:rPr>
          <w:rFonts w:ascii="Arial" w:hAnsi="Arial"/>
          <w:color w:val="231F20"/>
          <w:sz w:val="12"/>
        </w:rPr>
        <w:t>et</w:t>
      </w:r>
      <w:r>
        <w:rPr>
          <w:rFonts w:ascii="Arial" w:hAnsi="Arial"/>
          <w:color w:val="231F20"/>
          <w:spacing w:val="-5"/>
          <w:sz w:val="12"/>
        </w:rPr>
        <w:t> </w:t>
      </w:r>
      <w:r>
        <w:rPr>
          <w:rFonts w:ascii="Arial" w:hAnsi="Arial"/>
          <w:color w:val="231F20"/>
          <w:sz w:val="12"/>
        </w:rPr>
        <w:t>Dewe,</w:t>
      </w:r>
      <w:r>
        <w:rPr>
          <w:rFonts w:ascii="Arial" w:hAnsi="Arial"/>
          <w:color w:val="231F20"/>
          <w:spacing w:val="-6"/>
          <w:sz w:val="12"/>
        </w:rPr>
        <w:t> </w:t>
      </w:r>
      <w:r>
        <w:rPr>
          <w:rFonts w:ascii="Arial" w:hAnsi="Arial"/>
          <w:color w:val="231F20"/>
          <w:sz w:val="12"/>
        </w:rPr>
        <w:t>J.</w:t>
      </w:r>
      <w:r>
        <w:rPr>
          <w:rFonts w:ascii="Arial" w:hAnsi="Arial"/>
          <w:color w:val="231F20"/>
          <w:spacing w:val="-5"/>
          <w:sz w:val="12"/>
        </w:rPr>
        <w:t> </w:t>
      </w:r>
      <w:r>
        <w:rPr>
          <w:rFonts w:ascii="Arial" w:hAnsi="Arial"/>
          <w:color w:val="231F20"/>
          <w:sz w:val="12"/>
        </w:rPr>
        <w:t>(1998).</w:t>
      </w:r>
      <w:r>
        <w:rPr>
          <w:rFonts w:ascii="Arial" w:hAnsi="Arial"/>
          <w:color w:val="231F20"/>
          <w:spacing w:val="-5"/>
          <w:sz w:val="12"/>
        </w:rPr>
        <w:t> </w:t>
      </w:r>
      <w:r>
        <w:rPr>
          <w:rFonts w:ascii="Arial" w:hAnsi="Arial"/>
          <w:i/>
          <w:color w:val="231F20"/>
          <w:sz w:val="12"/>
        </w:rPr>
        <w:t>Controlar</w:t>
      </w:r>
      <w:r>
        <w:rPr>
          <w:rFonts w:ascii="Arial" w:hAnsi="Arial"/>
          <w:i/>
          <w:color w:val="231F20"/>
          <w:spacing w:val="-5"/>
          <w:sz w:val="12"/>
        </w:rPr>
        <w:t> </w:t>
      </w:r>
      <w:r>
        <w:rPr>
          <w:rFonts w:ascii="Arial" w:hAnsi="Arial"/>
          <w:i/>
          <w:color w:val="231F20"/>
          <w:sz w:val="12"/>
        </w:rPr>
        <w:t>el</w:t>
      </w:r>
      <w:r>
        <w:rPr>
          <w:rFonts w:ascii="Arial" w:hAnsi="Arial"/>
          <w:i/>
          <w:color w:val="231F20"/>
          <w:spacing w:val="-5"/>
          <w:sz w:val="12"/>
        </w:rPr>
        <w:t> </w:t>
      </w:r>
      <w:r>
        <w:rPr>
          <w:rFonts w:ascii="Arial" w:hAnsi="Arial"/>
          <w:i/>
          <w:color w:val="231F20"/>
          <w:sz w:val="12"/>
        </w:rPr>
        <w:t>estrés</w:t>
      </w:r>
      <w:r>
        <w:rPr>
          <w:rFonts w:ascii="Arial" w:hAnsi="Arial"/>
          <w:i/>
          <w:color w:val="231F20"/>
          <w:spacing w:val="-5"/>
          <w:sz w:val="12"/>
        </w:rPr>
        <w:t> </w:t>
      </w:r>
      <w:r>
        <w:rPr>
          <w:rFonts w:ascii="Arial" w:hAnsi="Arial"/>
          <w:i/>
          <w:color w:val="231F20"/>
          <w:sz w:val="12"/>
        </w:rPr>
        <w:t>fácilmente</w:t>
      </w:r>
      <w:r>
        <w:rPr>
          <w:rFonts w:ascii="Arial" w:hAnsi="Arial"/>
          <w:color w:val="231F20"/>
          <w:sz w:val="12"/>
        </w:rPr>
        <w:t>,</w:t>
      </w:r>
      <w:r>
        <w:rPr>
          <w:rFonts w:ascii="Arial" w:hAnsi="Arial"/>
          <w:color w:val="231F20"/>
          <w:spacing w:val="-6"/>
          <w:sz w:val="12"/>
        </w:rPr>
        <w:t> </w:t>
      </w:r>
      <w:r>
        <w:rPr>
          <w:rFonts w:ascii="Arial" w:hAnsi="Arial"/>
          <w:color w:val="231F20"/>
          <w:sz w:val="12"/>
        </w:rPr>
        <w:t>Barcelone,</w:t>
      </w:r>
      <w:r>
        <w:rPr>
          <w:rFonts w:ascii="Arial" w:hAnsi="Arial"/>
          <w:color w:val="231F20"/>
          <w:spacing w:val="-5"/>
          <w:sz w:val="12"/>
        </w:rPr>
        <w:t> </w:t>
      </w:r>
      <w:r>
        <w:rPr>
          <w:rFonts w:ascii="Arial" w:hAnsi="Arial"/>
          <w:color w:val="231F20"/>
          <w:spacing w:val="-2"/>
          <w:sz w:val="12"/>
        </w:rPr>
        <w:t>Índigo.</w:t>
      </w:r>
    </w:p>
    <w:p>
      <w:pPr>
        <w:spacing w:line="295" w:lineRule="auto" w:before="32"/>
        <w:ind w:left="1220" w:right="161" w:hanging="1"/>
        <w:jc w:val="left"/>
        <w:rPr>
          <w:rFonts w:ascii="Arial"/>
          <w:sz w:val="12"/>
        </w:rPr>
      </w:pPr>
      <w:r>
        <w:rPr>
          <w:rFonts w:ascii="Arial"/>
          <w:color w:val="231F20"/>
          <w:position w:val="4"/>
          <w:sz w:val="7"/>
        </w:rPr>
        <w:t>3</w:t>
      </w:r>
      <w:r>
        <w:rPr>
          <w:rFonts w:ascii="Arial"/>
          <w:color w:val="231F20"/>
          <w:spacing w:val="38"/>
          <w:position w:val="4"/>
          <w:sz w:val="7"/>
        </w:rPr>
        <w:t> </w:t>
      </w:r>
      <w:r>
        <w:rPr>
          <w:rFonts w:ascii="Arial"/>
          <w:color w:val="231F20"/>
          <w:sz w:val="12"/>
        </w:rPr>
        <w:t>Parasuraman,</w:t>
      </w:r>
      <w:r>
        <w:rPr>
          <w:rFonts w:ascii="Arial"/>
          <w:color w:val="231F20"/>
          <w:spacing w:val="-5"/>
          <w:sz w:val="12"/>
        </w:rPr>
        <w:t> </w:t>
      </w:r>
      <w:r>
        <w:rPr>
          <w:rFonts w:ascii="Arial"/>
          <w:color w:val="231F20"/>
          <w:sz w:val="12"/>
        </w:rPr>
        <w:t>S.</w:t>
      </w:r>
      <w:r>
        <w:rPr>
          <w:rFonts w:ascii="Arial"/>
          <w:color w:val="231F20"/>
          <w:spacing w:val="-5"/>
          <w:sz w:val="12"/>
        </w:rPr>
        <w:t> </w:t>
      </w:r>
      <w:r>
        <w:rPr>
          <w:rFonts w:ascii="Arial"/>
          <w:color w:val="231F20"/>
          <w:sz w:val="12"/>
        </w:rPr>
        <w:t>et</w:t>
      </w:r>
      <w:r>
        <w:rPr>
          <w:rFonts w:ascii="Arial"/>
          <w:color w:val="231F20"/>
          <w:spacing w:val="-5"/>
          <w:sz w:val="12"/>
        </w:rPr>
        <w:t> </w:t>
      </w:r>
      <w:r>
        <w:rPr>
          <w:rFonts w:ascii="Arial"/>
          <w:color w:val="231F20"/>
          <w:sz w:val="12"/>
        </w:rPr>
        <w:t>Alutto,</w:t>
      </w:r>
      <w:r>
        <w:rPr>
          <w:rFonts w:ascii="Arial"/>
          <w:color w:val="231F20"/>
          <w:spacing w:val="-5"/>
          <w:sz w:val="12"/>
        </w:rPr>
        <w:t> </w:t>
      </w:r>
      <w:r>
        <w:rPr>
          <w:rFonts w:ascii="Arial"/>
          <w:color w:val="231F20"/>
          <w:sz w:val="12"/>
        </w:rPr>
        <w:t>J.</w:t>
      </w:r>
      <w:r>
        <w:rPr>
          <w:rFonts w:ascii="Arial"/>
          <w:color w:val="231F20"/>
          <w:spacing w:val="-5"/>
          <w:sz w:val="12"/>
        </w:rPr>
        <w:t> </w:t>
      </w:r>
      <w:r>
        <w:rPr>
          <w:rFonts w:ascii="Arial"/>
          <w:color w:val="231F20"/>
          <w:sz w:val="12"/>
        </w:rPr>
        <w:t>(1984).</w:t>
      </w:r>
      <w:r>
        <w:rPr>
          <w:rFonts w:ascii="Arial"/>
          <w:color w:val="231F20"/>
          <w:spacing w:val="-5"/>
          <w:sz w:val="12"/>
        </w:rPr>
        <w:t> </w:t>
      </w:r>
      <w:r>
        <w:rPr>
          <w:rFonts w:ascii="Arial"/>
          <w:color w:val="231F20"/>
          <w:sz w:val="12"/>
        </w:rPr>
        <w:t>Sources</w:t>
      </w:r>
      <w:r>
        <w:rPr>
          <w:rFonts w:ascii="Arial"/>
          <w:color w:val="231F20"/>
          <w:spacing w:val="-5"/>
          <w:sz w:val="12"/>
        </w:rPr>
        <w:t> </w:t>
      </w:r>
      <w:r>
        <w:rPr>
          <w:rFonts w:ascii="Arial"/>
          <w:color w:val="231F20"/>
          <w:sz w:val="12"/>
        </w:rPr>
        <w:t>and</w:t>
      </w:r>
      <w:r>
        <w:rPr>
          <w:rFonts w:ascii="Arial"/>
          <w:color w:val="231F20"/>
          <w:spacing w:val="-5"/>
          <w:sz w:val="12"/>
        </w:rPr>
        <w:t> </w:t>
      </w:r>
      <w:r>
        <w:rPr>
          <w:rFonts w:ascii="Arial"/>
          <w:color w:val="231F20"/>
          <w:sz w:val="12"/>
        </w:rPr>
        <w:t>outcomes</w:t>
      </w:r>
      <w:r>
        <w:rPr>
          <w:rFonts w:ascii="Arial"/>
          <w:color w:val="231F20"/>
          <w:spacing w:val="-5"/>
          <w:sz w:val="12"/>
        </w:rPr>
        <w:t> </w:t>
      </w:r>
      <w:r>
        <w:rPr>
          <w:rFonts w:ascii="Arial"/>
          <w:color w:val="231F20"/>
          <w:sz w:val="12"/>
        </w:rPr>
        <w:t>of</w:t>
      </w:r>
      <w:r>
        <w:rPr>
          <w:rFonts w:ascii="Arial"/>
          <w:color w:val="231F20"/>
          <w:spacing w:val="-5"/>
          <w:sz w:val="12"/>
        </w:rPr>
        <w:t> </w:t>
      </w:r>
      <w:r>
        <w:rPr>
          <w:rFonts w:ascii="Arial"/>
          <w:color w:val="231F20"/>
          <w:sz w:val="12"/>
        </w:rPr>
        <w:t>stress</w:t>
      </w:r>
      <w:r>
        <w:rPr>
          <w:rFonts w:ascii="Arial"/>
          <w:color w:val="231F20"/>
          <w:spacing w:val="-5"/>
          <w:sz w:val="12"/>
        </w:rPr>
        <w:t> </w:t>
      </w:r>
      <w:r>
        <w:rPr>
          <w:rFonts w:ascii="Arial"/>
          <w:color w:val="231F20"/>
          <w:sz w:val="12"/>
        </w:rPr>
        <w:t>in</w:t>
      </w:r>
      <w:r>
        <w:rPr>
          <w:rFonts w:ascii="Arial"/>
          <w:color w:val="231F20"/>
          <w:spacing w:val="-5"/>
          <w:sz w:val="12"/>
        </w:rPr>
        <w:t> </w:t>
      </w:r>
      <w:r>
        <w:rPr>
          <w:rFonts w:ascii="Arial"/>
          <w:color w:val="231F20"/>
          <w:sz w:val="12"/>
        </w:rPr>
        <w:t>organizational</w:t>
      </w:r>
      <w:r>
        <w:rPr>
          <w:rFonts w:ascii="Arial"/>
          <w:color w:val="231F20"/>
          <w:spacing w:val="-5"/>
          <w:sz w:val="12"/>
        </w:rPr>
        <w:t> </w:t>
      </w:r>
      <w:r>
        <w:rPr>
          <w:rFonts w:ascii="Arial"/>
          <w:color w:val="231F20"/>
          <w:sz w:val="12"/>
        </w:rPr>
        <w:t>settings</w:t>
      </w:r>
      <w:r>
        <w:rPr>
          <w:rFonts w:ascii="Arial"/>
          <w:color w:val="231F20"/>
          <w:spacing w:val="-23"/>
          <w:sz w:val="12"/>
        </w:rPr>
        <w:t> </w:t>
      </w:r>
      <w:r>
        <w:rPr>
          <w:rFonts w:ascii="Arial"/>
          <w:color w:val="231F20"/>
          <w:sz w:val="12"/>
        </w:rPr>
        <w:t>:</w:t>
      </w:r>
      <w:r>
        <w:rPr>
          <w:rFonts w:ascii="Arial"/>
          <w:color w:val="231F20"/>
          <w:spacing w:val="-5"/>
          <w:sz w:val="12"/>
        </w:rPr>
        <w:t> </w:t>
      </w:r>
      <w:r>
        <w:rPr>
          <w:rFonts w:ascii="Arial"/>
          <w:color w:val="231F20"/>
          <w:sz w:val="12"/>
        </w:rPr>
        <w:t>Toward</w:t>
      </w:r>
      <w:r>
        <w:rPr>
          <w:rFonts w:ascii="Arial"/>
          <w:color w:val="231F20"/>
          <w:spacing w:val="40"/>
          <w:sz w:val="12"/>
        </w:rPr>
        <w:t> </w:t>
      </w:r>
      <w:r>
        <w:rPr>
          <w:rFonts w:ascii="Arial"/>
          <w:color w:val="231F20"/>
          <w:sz w:val="12"/>
        </w:rPr>
        <w:t>the development of a structural model, </w:t>
      </w:r>
      <w:r>
        <w:rPr>
          <w:rFonts w:ascii="Arial"/>
          <w:i/>
          <w:color w:val="231F20"/>
          <w:sz w:val="12"/>
        </w:rPr>
        <w:t>Academy of Management Journal</w:t>
      </w:r>
      <w:r>
        <w:rPr>
          <w:rFonts w:ascii="Arial"/>
          <w:color w:val="231F20"/>
          <w:sz w:val="12"/>
        </w:rPr>
        <w:t>, </w:t>
      </w:r>
      <w:r>
        <w:rPr>
          <w:rFonts w:ascii="Arial"/>
          <w:i/>
          <w:color w:val="231F20"/>
          <w:sz w:val="12"/>
        </w:rPr>
        <w:t>27</w:t>
      </w:r>
      <w:r>
        <w:rPr>
          <w:rFonts w:ascii="Arial"/>
          <w:color w:val="231F20"/>
          <w:sz w:val="12"/>
        </w:rPr>
        <w:t>, 330-350.</w:t>
      </w:r>
    </w:p>
    <w:p>
      <w:pPr>
        <w:spacing w:before="0"/>
        <w:ind w:left="1220" w:right="0" w:firstLine="0"/>
        <w:jc w:val="left"/>
        <w:rPr>
          <w:rFonts w:ascii="Arial"/>
          <w:sz w:val="12"/>
        </w:rPr>
      </w:pPr>
      <w:r>
        <w:rPr>
          <w:rFonts w:ascii="Arial"/>
          <w:color w:val="231F20"/>
          <w:w w:val="95"/>
          <w:position w:val="4"/>
          <w:sz w:val="7"/>
        </w:rPr>
        <w:t>4</w:t>
      </w:r>
      <w:r>
        <w:rPr>
          <w:rFonts w:ascii="Arial"/>
          <w:color w:val="231F20"/>
          <w:spacing w:val="43"/>
          <w:position w:val="4"/>
          <w:sz w:val="7"/>
        </w:rPr>
        <w:t> </w:t>
      </w:r>
      <w:r>
        <w:rPr>
          <w:rFonts w:ascii="Arial"/>
          <w:color w:val="231F20"/>
          <w:w w:val="95"/>
          <w:sz w:val="12"/>
        </w:rPr>
        <w:t>Cooper,</w:t>
      </w:r>
      <w:r>
        <w:rPr>
          <w:rFonts w:ascii="Arial"/>
          <w:color w:val="231F20"/>
          <w:spacing w:val="-1"/>
          <w:w w:val="95"/>
          <w:sz w:val="12"/>
        </w:rPr>
        <w:t> </w:t>
      </w:r>
      <w:r>
        <w:rPr>
          <w:rFonts w:ascii="Arial"/>
          <w:color w:val="231F20"/>
          <w:w w:val="95"/>
          <w:sz w:val="12"/>
        </w:rPr>
        <w:t>C.</w:t>
      </w:r>
      <w:r>
        <w:rPr>
          <w:rFonts w:ascii="Arial"/>
          <w:color w:val="231F20"/>
          <w:spacing w:val="-2"/>
          <w:sz w:val="12"/>
        </w:rPr>
        <w:t> </w:t>
      </w:r>
      <w:r>
        <w:rPr>
          <w:rFonts w:ascii="Arial"/>
          <w:color w:val="231F20"/>
          <w:w w:val="95"/>
          <w:sz w:val="12"/>
        </w:rPr>
        <w:t>et</w:t>
      </w:r>
      <w:r>
        <w:rPr>
          <w:rFonts w:ascii="Arial"/>
          <w:color w:val="231F20"/>
          <w:spacing w:val="-2"/>
          <w:sz w:val="12"/>
        </w:rPr>
        <w:t> </w:t>
      </w:r>
      <w:r>
        <w:rPr>
          <w:rFonts w:ascii="Arial"/>
          <w:color w:val="231F20"/>
          <w:w w:val="95"/>
          <w:sz w:val="12"/>
        </w:rPr>
        <w:t>Payne,</w:t>
      </w:r>
      <w:r>
        <w:rPr>
          <w:rFonts w:ascii="Arial"/>
          <w:color w:val="231F20"/>
          <w:spacing w:val="-2"/>
          <w:sz w:val="12"/>
        </w:rPr>
        <w:t> </w:t>
      </w:r>
      <w:r>
        <w:rPr>
          <w:rFonts w:ascii="Arial"/>
          <w:color w:val="231F20"/>
          <w:w w:val="95"/>
          <w:sz w:val="12"/>
        </w:rPr>
        <w:t>R.</w:t>
      </w:r>
      <w:r>
        <w:rPr>
          <w:rFonts w:ascii="Arial"/>
          <w:color w:val="231F20"/>
          <w:spacing w:val="-2"/>
          <w:sz w:val="12"/>
        </w:rPr>
        <w:t> </w:t>
      </w:r>
      <w:r>
        <w:rPr>
          <w:rFonts w:ascii="Arial"/>
          <w:color w:val="231F20"/>
          <w:w w:val="95"/>
          <w:sz w:val="12"/>
        </w:rPr>
        <w:t>(1988).</w:t>
      </w:r>
      <w:r>
        <w:rPr>
          <w:rFonts w:ascii="Arial"/>
          <w:color w:val="231F20"/>
          <w:spacing w:val="-2"/>
          <w:sz w:val="12"/>
        </w:rPr>
        <w:t> </w:t>
      </w:r>
      <w:r>
        <w:rPr>
          <w:rFonts w:ascii="Arial"/>
          <w:i/>
          <w:color w:val="231F20"/>
          <w:w w:val="95"/>
          <w:sz w:val="12"/>
        </w:rPr>
        <w:t>Causes,</w:t>
      </w:r>
      <w:r>
        <w:rPr>
          <w:rFonts w:ascii="Arial"/>
          <w:i/>
          <w:color w:val="231F20"/>
          <w:spacing w:val="-1"/>
          <w:sz w:val="12"/>
        </w:rPr>
        <w:t> </w:t>
      </w:r>
      <w:r>
        <w:rPr>
          <w:rFonts w:ascii="Arial"/>
          <w:i/>
          <w:color w:val="231F20"/>
          <w:w w:val="95"/>
          <w:sz w:val="12"/>
        </w:rPr>
        <w:t>Coping</w:t>
      </w:r>
      <w:r>
        <w:rPr>
          <w:rFonts w:ascii="Arial"/>
          <w:i/>
          <w:color w:val="231F20"/>
          <w:spacing w:val="-1"/>
          <w:w w:val="95"/>
          <w:sz w:val="12"/>
        </w:rPr>
        <w:t> </w:t>
      </w:r>
      <w:r>
        <w:rPr>
          <w:rFonts w:ascii="Arial"/>
          <w:i/>
          <w:color w:val="231F20"/>
          <w:w w:val="95"/>
          <w:sz w:val="12"/>
        </w:rPr>
        <w:t>and</w:t>
      </w:r>
      <w:r>
        <w:rPr>
          <w:rFonts w:ascii="Arial"/>
          <w:i/>
          <w:color w:val="231F20"/>
          <w:spacing w:val="-2"/>
          <w:sz w:val="12"/>
        </w:rPr>
        <w:t> </w:t>
      </w:r>
      <w:r>
        <w:rPr>
          <w:rFonts w:ascii="Arial"/>
          <w:i/>
          <w:color w:val="231F20"/>
          <w:w w:val="95"/>
          <w:sz w:val="12"/>
        </w:rPr>
        <w:t>Consequences</w:t>
      </w:r>
      <w:r>
        <w:rPr>
          <w:rFonts w:ascii="Arial"/>
          <w:i/>
          <w:color w:val="231F20"/>
          <w:spacing w:val="-2"/>
          <w:sz w:val="12"/>
        </w:rPr>
        <w:t> </w:t>
      </w:r>
      <w:r>
        <w:rPr>
          <w:rFonts w:ascii="Arial"/>
          <w:i/>
          <w:color w:val="231F20"/>
          <w:w w:val="95"/>
          <w:sz w:val="12"/>
        </w:rPr>
        <w:t>of</w:t>
      </w:r>
      <w:r>
        <w:rPr>
          <w:rFonts w:ascii="Arial"/>
          <w:i/>
          <w:color w:val="231F20"/>
          <w:spacing w:val="-2"/>
          <w:sz w:val="12"/>
        </w:rPr>
        <w:t> </w:t>
      </w:r>
      <w:r>
        <w:rPr>
          <w:rFonts w:ascii="Arial"/>
          <w:i/>
          <w:color w:val="231F20"/>
          <w:w w:val="95"/>
          <w:sz w:val="12"/>
        </w:rPr>
        <w:t>Stress</w:t>
      </w:r>
      <w:r>
        <w:rPr>
          <w:rFonts w:ascii="Arial"/>
          <w:i/>
          <w:color w:val="231F20"/>
          <w:spacing w:val="-2"/>
          <w:sz w:val="12"/>
        </w:rPr>
        <w:t> </w:t>
      </w:r>
      <w:r>
        <w:rPr>
          <w:rFonts w:ascii="Arial"/>
          <w:i/>
          <w:color w:val="231F20"/>
          <w:w w:val="95"/>
          <w:sz w:val="12"/>
        </w:rPr>
        <w:t>at</w:t>
      </w:r>
      <w:r>
        <w:rPr>
          <w:rFonts w:ascii="Arial"/>
          <w:i/>
          <w:color w:val="231F20"/>
          <w:spacing w:val="-2"/>
          <w:sz w:val="12"/>
        </w:rPr>
        <w:t> </w:t>
      </w:r>
      <w:r>
        <w:rPr>
          <w:rFonts w:ascii="Arial"/>
          <w:i/>
          <w:color w:val="231F20"/>
          <w:w w:val="95"/>
          <w:sz w:val="12"/>
        </w:rPr>
        <w:t>Work</w:t>
      </w:r>
      <w:r>
        <w:rPr>
          <w:rFonts w:ascii="Arial"/>
          <w:color w:val="231F20"/>
          <w:w w:val="95"/>
          <w:sz w:val="12"/>
        </w:rPr>
        <w:t>,</w:t>
      </w:r>
      <w:r>
        <w:rPr>
          <w:rFonts w:ascii="Arial"/>
          <w:color w:val="231F20"/>
          <w:spacing w:val="-2"/>
          <w:sz w:val="12"/>
        </w:rPr>
        <w:t> </w:t>
      </w:r>
      <w:r>
        <w:rPr>
          <w:rFonts w:ascii="Arial"/>
          <w:color w:val="231F20"/>
          <w:w w:val="95"/>
          <w:sz w:val="12"/>
        </w:rPr>
        <w:t>New</w:t>
      </w:r>
      <w:r>
        <w:rPr>
          <w:rFonts w:ascii="Arial"/>
          <w:color w:val="231F20"/>
          <w:spacing w:val="-1"/>
          <w:sz w:val="12"/>
        </w:rPr>
        <w:t> </w:t>
      </w:r>
      <w:r>
        <w:rPr>
          <w:rFonts w:ascii="Arial"/>
          <w:color w:val="231F20"/>
          <w:w w:val="95"/>
          <w:sz w:val="12"/>
        </w:rPr>
        <w:t>York,</w:t>
      </w:r>
      <w:r>
        <w:rPr>
          <w:rFonts w:ascii="Arial"/>
          <w:color w:val="231F20"/>
          <w:spacing w:val="-1"/>
          <w:w w:val="95"/>
          <w:sz w:val="12"/>
        </w:rPr>
        <w:t> </w:t>
      </w:r>
      <w:r>
        <w:rPr>
          <w:rFonts w:ascii="Arial"/>
          <w:color w:val="231F20"/>
          <w:spacing w:val="-2"/>
          <w:w w:val="95"/>
          <w:sz w:val="12"/>
        </w:rPr>
        <w:t>Wiley.</w:t>
      </w:r>
    </w:p>
    <w:p>
      <w:pPr>
        <w:spacing w:after="0"/>
        <w:jc w:val="left"/>
        <w:rPr>
          <w:rFonts w:ascii="Arial"/>
          <w:sz w:val="12"/>
        </w:rPr>
        <w:sectPr>
          <w:footerReference w:type="default" r:id="rId292"/>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4"/>
        <w:jc w:val="both"/>
      </w:pPr>
      <w:r>
        <w:rPr>
          <w:color w:val="231F20"/>
          <w:w w:val="120"/>
        </w:rPr>
        <w:t>Les techniques de relaxation soulagent et atténuent les symptômes du </w:t>
      </w:r>
      <w:r>
        <w:rPr>
          <w:color w:val="231F20"/>
          <w:w w:val="115"/>
        </w:rPr>
        <w:t>stress,</w:t>
      </w:r>
      <w:r>
        <w:rPr>
          <w:color w:val="231F20"/>
          <w:spacing w:val="-7"/>
          <w:w w:val="115"/>
        </w:rPr>
        <w:t> </w:t>
      </w:r>
      <w:r>
        <w:rPr>
          <w:color w:val="231F20"/>
          <w:w w:val="115"/>
        </w:rPr>
        <w:t>mais</w:t>
      </w:r>
      <w:r>
        <w:rPr>
          <w:color w:val="231F20"/>
          <w:spacing w:val="-7"/>
          <w:w w:val="115"/>
        </w:rPr>
        <w:t> </w:t>
      </w:r>
      <w:r>
        <w:rPr>
          <w:color w:val="231F20"/>
          <w:w w:val="115"/>
        </w:rPr>
        <w:t>il</w:t>
      </w:r>
      <w:r>
        <w:rPr>
          <w:color w:val="231F20"/>
          <w:spacing w:val="-7"/>
          <w:w w:val="115"/>
        </w:rPr>
        <w:t> </w:t>
      </w:r>
      <w:r>
        <w:rPr>
          <w:color w:val="231F20"/>
          <w:w w:val="115"/>
        </w:rPr>
        <w:t>serait</w:t>
      </w:r>
      <w:r>
        <w:rPr>
          <w:color w:val="231F20"/>
          <w:spacing w:val="-7"/>
          <w:w w:val="115"/>
        </w:rPr>
        <w:t> </w:t>
      </w:r>
      <w:r>
        <w:rPr>
          <w:color w:val="231F20"/>
          <w:w w:val="115"/>
        </w:rPr>
        <w:t>illusoire</w:t>
      </w:r>
      <w:r>
        <w:rPr>
          <w:color w:val="231F20"/>
          <w:spacing w:val="-7"/>
          <w:w w:val="115"/>
        </w:rPr>
        <w:t> </w:t>
      </w:r>
      <w:r>
        <w:rPr>
          <w:color w:val="231F20"/>
          <w:w w:val="115"/>
        </w:rPr>
        <w:t>d’y</w:t>
      </w:r>
      <w:r>
        <w:rPr>
          <w:color w:val="231F20"/>
          <w:spacing w:val="-7"/>
          <w:w w:val="115"/>
        </w:rPr>
        <w:t> </w:t>
      </w:r>
      <w:r>
        <w:rPr>
          <w:color w:val="231F20"/>
          <w:w w:val="115"/>
        </w:rPr>
        <w:t>voir</w:t>
      </w:r>
      <w:r>
        <w:rPr>
          <w:color w:val="231F20"/>
          <w:spacing w:val="-7"/>
          <w:w w:val="115"/>
        </w:rPr>
        <w:t> </w:t>
      </w:r>
      <w:r>
        <w:rPr>
          <w:color w:val="231F20"/>
          <w:w w:val="115"/>
        </w:rPr>
        <w:t>un</w:t>
      </w:r>
      <w:r>
        <w:rPr>
          <w:color w:val="231F20"/>
          <w:spacing w:val="-7"/>
          <w:w w:val="115"/>
        </w:rPr>
        <w:t> </w:t>
      </w:r>
      <w:r>
        <w:rPr>
          <w:color w:val="231F20"/>
          <w:w w:val="115"/>
        </w:rPr>
        <w:t>réel</w:t>
      </w:r>
      <w:r>
        <w:rPr>
          <w:color w:val="231F20"/>
          <w:spacing w:val="-7"/>
          <w:w w:val="115"/>
        </w:rPr>
        <w:t> </w:t>
      </w:r>
      <w:r>
        <w:rPr>
          <w:color w:val="231F20"/>
          <w:w w:val="115"/>
        </w:rPr>
        <w:t>traitement</w:t>
      </w:r>
      <w:r>
        <w:rPr>
          <w:color w:val="231F20"/>
          <w:spacing w:val="-7"/>
          <w:w w:val="115"/>
        </w:rPr>
        <w:t> </w:t>
      </w:r>
      <w:r>
        <w:rPr>
          <w:color w:val="231F20"/>
          <w:w w:val="115"/>
        </w:rPr>
        <w:t>des</w:t>
      </w:r>
      <w:r>
        <w:rPr>
          <w:color w:val="231F20"/>
          <w:spacing w:val="-7"/>
          <w:w w:val="115"/>
        </w:rPr>
        <w:t> </w:t>
      </w:r>
      <w:r>
        <w:rPr>
          <w:color w:val="231F20"/>
          <w:w w:val="115"/>
        </w:rPr>
        <w:t>causes</w:t>
      </w:r>
      <w:r>
        <w:rPr>
          <w:color w:val="231F20"/>
          <w:spacing w:val="-7"/>
          <w:w w:val="115"/>
        </w:rPr>
        <w:t> </w:t>
      </w:r>
      <w:r>
        <w:rPr>
          <w:color w:val="231F20"/>
          <w:w w:val="115"/>
        </w:rPr>
        <w:t>mêmes </w:t>
      </w:r>
      <w:r>
        <w:rPr>
          <w:color w:val="231F20"/>
          <w:spacing w:val="-2"/>
          <w:w w:val="120"/>
        </w:rPr>
        <w:t>du</w:t>
      </w:r>
      <w:r>
        <w:rPr>
          <w:color w:val="231F20"/>
          <w:spacing w:val="-9"/>
          <w:w w:val="120"/>
        </w:rPr>
        <w:t> </w:t>
      </w:r>
      <w:r>
        <w:rPr>
          <w:color w:val="231F20"/>
          <w:spacing w:val="-2"/>
          <w:w w:val="120"/>
        </w:rPr>
        <w:t>stress.</w:t>
      </w:r>
      <w:r>
        <w:rPr>
          <w:color w:val="231F20"/>
          <w:spacing w:val="-9"/>
          <w:w w:val="120"/>
        </w:rPr>
        <w:t> </w:t>
      </w:r>
      <w:r>
        <w:rPr>
          <w:color w:val="231F20"/>
          <w:spacing w:val="-2"/>
          <w:w w:val="120"/>
        </w:rPr>
        <w:t>Si</w:t>
      </w:r>
      <w:r>
        <w:rPr>
          <w:color w:val="231F20"/>
          <w:spacing w:val="-9"/>
          <w:w w:val="120"/>
        </w:rPr>
        <w:t> </w:t>
      </w:r>
      <w:r>
        <w:rPr>
          <w:color w:val="231F20"/>
          <w:spacing w:val="-2"/>
          <w:w w:val="120"/>
        </w:rPr>
        <w:t>le</w:t>
      </w:r>
      <w:r>
        <w:rPr>
          <w:color w:val="231F20"/>
          <w:spacing w:val="-9"/>
          <w:w w:val="120"/>
        </w:rPr>
        <w:t> </w:t>
      </w:r>
      <w:r>
        <w:rPr>
          <w:color w:val="231F20"/>
          <w:spacing w:val="-2"/>
          <w:w w:val="120"/>
        </w:rPr>
        <w:t>stress</w:t>
      </w:r>
      <w:r>
        <w:rPr>
          <w:color w:val="231F20"/>
          <w:spacing w:val="-9"/>
          <w:w w:val="120"/>
        </w:rPr>
        <w:t> </w:t>
      </w:r>
      <w:r>
        <w:rPr>
          <w:color w:val="231F20"/>
          <w:spacing w:val="-2"/>
          <w:w w:val="120"/>
        </w:rPr>
        <w:t>découle</w:t>
      </w:r>
      <w:r>
        <w:rPr>
          <w:color w:val="231F20"/>
          <w:spacing w:val="-9"/>
          <w:w w:val="120"/>
        </w:rPr>
        <w:t> </w:t>
      </w:r>
      <w:r>
        <w:rPr>
          <w:color w:val="231F20"/>
          <w:spacing w:val="-2"/>
          <w:w w:val="120"/>
        </w:rPr>
        <w:t>d’une</w:t>
      </w:r>
      <w:r>
        <w:rPr>
          <w:color w:val="231F20"/>
          <w:spacing w:val="-9"/>
          <w:w w:val="120"/>
        </w:rPr>
        <w:t> </w:t>
      </w:r>
      <w:r>
        <w:rPr>
          <w:color w:val="231F20"/>
          <w:spacing w:val="-2"/>
          <w:w w:val="120"/>
        </w:rPr>
        <w:t>altération</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color w:val="231F20"/>
          <w:spacing w:val="-2"/>
          <w:w w:val="120"/>
        </w:rPr>
        <w:t>perception</w:t>
      </w:r>
      <w:r>
        <w:rPr>
          <w:color w:val="231F20"/>
          <w:spacing w:val="-9"/>
          <w:w w:val="120"/>
        </w:rPr>
        <w:t> </w:t>
      </w:r>
      <w:r>
        <w:rPr>
          <w:color w:val="231F20"/>
          <w:spacing w:val="-2"/>
          <w:w w:val="120"/>
        </w:rPr>
        <w:t>subjective </w:t>
      </w:r>
      <w:r>
        <w:rPr>
          <w:color w:val="231F20"/>
          <w:w w:val="115"/>
        </w:rPr>
        <w:t>qu’a l’individu de son travail, la solution consiste à agir sur cette percep- </w:t>
      </w:r>
      <w:r>
        <w:rPr>
          <w:color w:val="231F20"/>
          <w:w w:val="120"/>
        </w:rPr>
        <w:t>tion,</w:t>
      </w:r>
      <w:r>
        <w:rPr>
          <w:color w:val="231F20"/>
          <w:spacing w:val="-3"/>
          <w:w w:val="120"/>
        </w:rPr>
        <w:t> </w:t>
      </w:r>
      <w:r>
        <w:rPr>
          <w:color w:val="231F20"/>
          <w:w w:val="120"/>
        </w:rPr>
        <w:t>cette</w:t>
      </w:r>
      <w:r>
        <w:rPr>
          <w:color w:val="231F20"/>
          <w:spacing w:val="-3"/>
          <w:w w:val="120"/>
        </w:rPr>
        <w:t> </w:t>
      </w:r>
      <w:r>
        <w:rPr>
          <w:color w:val="231F20"/>
          <w:w w:val="120"/>
        </w:rPr>
        <w:t>idée.</w:t>
      </w:r>
      <w:r>
        <w:rPr>
          <w:color w:val="231F20"/>
          <w:spacing w:val="-3"/>
          <w:w w:val="120"/>
        </w:rPr>
        <w:t> </w:t>
      </w:r>
      <w:r>
        <w:rPr>
          <w:color w:val="231F20"/>
          <w:w w:val="120"/>
        </w:rPr>
        <w:t>Si,</w:t>
      </w:r>
      <w:r>
        <w:rPr>
          <w:color w:val="231F20"/>
          <w:spacing w:val="-3"/>
          <w:w w:val="120"/>
        </w:rPr>
        <w:t> </w:t>
      </w:r>
      <w:r>
        <w:rPr>
          <w:color w:val="231F20"/>
          <w:w w:val="120"/>
        </w:rPr>
        <w:t>au</w:t>
      </w:r>
      <w:r>
        <w:rPr>
          <w:color w:val="231F20"/>
          <w:spacing w:val="-3"/>
          <w:w w:val="120"/>
        </w:rPr>
        <w:t> </w:t>
      </w:r>
      <w:r>
        <w:rPr>
          <w:color w:val="231F20"/>
          <w:w w:val="120"/>
        </w:rPr>
        <w:t>contraire,</w:t>
      </w:r>
      <w:r>
        <w:rPr>
          <w:color w:val="231F20"/>
          <w:spacing w:val="-3"/>
          <w:w w:val="120"/>
        </w:rPr>
        <w:t> </w:t>
      </w:r>
      <w:r>
        <w:rPr>
          <w:color w:val="231F20"/>
          <w:w w:val="120"/>
        </w:rPr>
        <w:t>il</w:t>
      </w:r>
      <w:r>
        <w:rPr>
          <w:color w:val="231F20"/>
          <w:spacing w:val="-3"/>
          <w:w w:val="120"/>
        </w:rPr>
        <w:t> </w:t>
      </w:r>
      <w:r>
        <w:rPr>
          <w:color w:val="231F20"/>
          <w:w w:val="120"/>
        </w:rPr>
        <w:t>a</w:t>
      </w:r>
      <w:r>
        <w:rPr>
          <w:color w:val="231F20"/>
          <w:spacing w:val="-3"/>
          <w:w w:val="120"/>
        </w:rPr>
        <w:t> </w:t>
      </w:r>
      <w:r>
        <w:rPr>
          <w:color w:val="231F20"/>
          <w:w w:val="120"/>
        </w:rPr>
        <w:t>pour</w:t>
      </w:r>
      <w:r>
        <w:rPr>
          <w:color w:val="231F20"/>
          <w:spacing w:val="-3"/>
          <w:w w:val="120"/>
        </w:rPr>
        <w:t> </w:t>
      </w:r>
      <w:r>
        <w:rPr>
          <w:color w:val="231F20"/>
          <w:w w:val="120"/>
        </w:rPr>
        <w:t>cause</w:t>
      </w:r>
      <w:r>
        <w:rPr>
          <w:color w:val="231F20"/>
          <w:spacing w:val="-3"/>
          <w:w w:val="120"/>
        </w:rPr>
        <w:t> </w:t>
      </w:r>
      <w:r>
        <w:rPr>
          <w:color w:val="231F20"/>
          <w:w w:val="120"/>
        </w:rPr>
        <w:t>un</w:t>
      </w:r>
      <w:r>
        <w:rPr>
          <w:color w:val="231F20"/>
          <w:spacing w:val="-3"/>
          <w:w w:val="120"/>
        </w:rPr>
        <w:t> </w:t>
      </w:r>
      <w:r>
        <w:rPr>
          <w:color w:val="231F20"/>
          <w:w w:val="120"/>
        </w:rPr>
        <w:t>problème</w:t>
      </w:r>
      <w:r>
        <w:rPr>
          <w:color w:val="231F20"/>
          <w:spacing w:val="-3"/>
          <w:w w:val="120"/>
        </w:rPr>
        <w:t> </w:t>
      </w:r>
      <w:r>
        <w:rPr>
          <w:color w:val="231F20"/>
          <w:w w:val="120"/>
        </w:rPr>
        <w:t>réel</w:t>
      </w:r>
      <w:r>
        <w:rPr>
          <w:color w:val="231F20"/>
          <w:spacing w:val="-3"/>
          <w:w w:val="120"/>
        </w:rPr>
        <w:t> </w:t>
      </w:r>
      <w:r>
        <w:rPr>
          <w:color w:val="231F20"/>
          <w:w w:val="120"/>
        </w:rPr>
        <w:t>lié</w:t>
      </w:r>
      <w:r>
        <w:rPr>
          <w:color w:val="231F20"/>
          <w:spacing w:val="-3"/>
          <w:w w:val="120"/>
        </w:rPr>
        <w:t> </w:t>
      </w:r>
      <w:r>
        <w:rPr>
          <w:color w:val="231F20"/>
          <w:w w:val="120"/>
        </w:rPr>
        <w:t>au travail, le traitement individuel n’a guère d’effet sur la persistance des </w:t>
      </w:r>
      <w:r>
        <w:rPr>
          <w:color w:val="231F20"/>
          <w:w w:val="115"/>
        </w:rPr>
        <w:t>problèmes</w:t>
      </w:r>
      <w:r>
        <w:rPr>
          <w:color w:val="231F20"/>
          <w:spacing w:val="-10"/>
          <w:w w:val="115"/>
        </w:rPr>
        <w:t> </w:t>
      </w:r>
      <w:r>
        <w:rPr>
          <w:color w:val="231F20"/>
          <w:w w:val="115"/>
        </w:rPr>
        <w:t>d’adaptation;</w:t>
      </w:r>
      <w:r>
        <w:rPr>
          <w:color w:val="231F20"/>
          <w:spacing w:val="-10"/>
          <w:w w:val="115"/>
        </w:rPr>
        <w:t> </w:t>
      </w:r>
      <w:r>
        <w:rPr>
          <w:color w:val="231F20"/>
          <w:w w:val="115"/>
        </w:rPr>
        <w:t>dans</w:t>
      </w:r>
      <w:r>
        <w:rPr>
          <w:color w:val="231F20"/>
          <w:spacing w:val="-10"/>
          <w:w w:val="115"/>
        </w:rPr>
        <w:t> </w:t>
      </w:r>
      <w:r>
        <w:rPr>
          <w:color w:val="231F20"/>
          <w:w w:val="115"/>
        </w:rPr>
        <w:t>une</w:t>
      </w:r>
      <w:r>
        <w:rPr>
          <w:color w:val="231F20"/>
          <w:spacing w:val="-10"/>
          <w:w w:val="115"/>
        </w:rPr>
        <w:t> </w:t>
      </w:r>
      <w:r>
        <w:rPr>
          <w:color w:val="231F20"/>
          <w:w w:val="115"/>
        </w:rPr>
        <w:t>telle</w:t>
      </w:r>
      <w:r>
        <w:rPr>
          <w:color w:val="231F20"/>
          <w:spacing w:val="-10"/>
          <w:w w:val="115"/>
        </w:rPr>
        <w:t> </w:t>
      </w:r>
      <w:r>
        <w:rPr>
          <w:color w:val="231F20"/>
          <w:w w:val="115"/>
        </w:rPr>
        <w:t>situation,</w:t>
      </w:r>
      <w:r>
        <w:rPr>
          <w:color w:val="231F20"/>
          <w:spacing w:val="-10"/>
          <w:w w:val="115"/>
        </w:rPr>
        <w:t> </w:t>
      </w:r>
      <w:r>
        <w:rPr>
          <w:color w:val="231F20"/>
          <w:w w:val="115"/>
        </w:rPr>
        <w:t>il</w:t>
      </w:r>
      <w:r>
        <w:rPr>
          <w:color w:val="231F20"/>
          <w:spacing w:val="-10"/>
          <w:w w:val="115"/>
        </w:rPr>
        <w:t> </w:t>
      </w:r>
      <w:r>
        <w:rPr>
          <w:color w:val="231F20"/>
          <w:w w:val="115"/>
        </w:rPr>
        <w:t>s’agit</w:t>
      </w:r>
      <w:r>
        <w:rPr>
          <w:color w:val="231F20"/>
          <w:spacing w:val="-10"/>
          <w:w w:val="115"/>
        </w:rPr>
        <w:t> </w:t>
      </w:r>
      <w:r>
        <w:rPr>
          <w:color w:val="231F20"/>
          <w:w w:val="115"/>
        </w:rPr>
        <w:t>plutôt</w:t>
      </w:r>
      <w:r>
        <w:rPr>
          <w:color w:val="231F20"/>
          <w:spacing w:val="-10"/>
          <w:w w:val="115"/>
        </w:rPr>
        <w:t> </w:t>
      </w:r>
      <w:r>
        <w:rPr>
          <w:color w:val="231F20"/>
          <w:w w:val="115"/>
        </w:rPr>
        <w:t>d’analyser </w:t>
      </w:r>
      <w:r>
        <w:rPr>
          <w:color w:val="231F20"/>
          <w:w w:val="120"/>
        </w:rPr>
        <w:t>l’emploi, son contenu et son contexte.</w:t>
      </w:r>
    </w:p>
    <w:p>
      <w:pPr>
        <w:pStyle w:val="BodyText"/>
        <w:spacing w:line="307" w:lineRule="auto" w:before="79"/>
        <w:ind w:left="830" w:right="497" w:firstLine="250"/>
        <w:jc w:val="both"/>
      </w:pPr>
      <w:r>
        <w:rPr>
          <w:color w:val="231F20"/>
          <w:w w:val="120"/>
        </w:rPr>
        <w:t>Il existe plusieurs techniques de relaxation. Toutes ne conviennent pas</w:t>
      </w:r>
      <w:r>
        <w:rPr>
          <w:color w:val="231F20"/>
          <w:spacing w:val="-13"/>
          <w:w w:val="120"/>
        </w:rPr>
        <w:t> </w:t>
      </w:r>
      <w:r>
        <w:rPr>
          <w:color w:val="231F20"/>
          <w:w w:val="120"/>
        </w:rPr>
        <w:t>à</w:t>
      </w:r>
      <w:r>
        <w:rPr>
          <w:color w:val="231F20"/>
          <w:spacing w:val="-13"/>
          <w:w w:val="120"/>
        </w:rPr>
        <w:t> </w:t>
      </w:r>
      <w:r>
        <w:rPr>
          <w:color w:val="231F20"/>
          <w:w w:val="120"/>
        </w:rPr>
        <w:t>n’importe</w:t>
      </w:r>
      <w:r>
        <w:rPr>
          <w:color w:val="231F20"/>
          <w:spacing w:val="-13"/>
          <w:w w:val="120"/>
        </w:rPr>
        <w:t> </w:t>
      </w:r>
      <w:r>
        <w:rPr>
          <w:color w:val="231F20"/>
          <w:w w:val="120"/>
        </w:rPr>
        <w:t>qui.</w:t>
      </w:r>
      <w:r>
        <w:rPr>
          <w:color w:val="231F20"/>
          <w:spacing w:val="-12"/>
          <w:w w:val="120"/>
        </w:rPr>
        <w:t> </w:t>
      </w:r>
      <w:r>
        <w:rPr>
          <w:color w:val="231F20"/>
          <w:w w:val="120"/>
        </w:rPr>
        <w:t>Chaque</w:t>
      </w:r>
      <w:r>
        <w:rPr>
          <w:color w:val="231F20"/>
          <w:spacing w:val="-13"/>
          <w:w w:val="120"/>
        </w:rPr>
        <w:t> </w:t>
      </w:r>
      <w:r>
        <w:rPr>
          <w:color w:val="231F20"/>
          <w:w w:val="120"/>
        </w:rPr>
        <w:t>personne</w:t>
      </w:r>
      <w:r>
        <w:rPr>
          <w:color w:val="231F20"/>
          <w:spacing w:val="-13"/>
          <w:w w:val="120"/>
        </w:rPr>
        <w:t> </w:t>
      </w:r>
      <w:r>
        <w:rPr>
          <w:color w:val="231F20"/>
          <w:w w:val="120"/>
        </w:rPr>
        <w:t>doit</w:t>
      </w:r>
      <w:r>
        <w:rPr>
          <w:color w:val="231F20"/>
          <w:spacing w:val="-13"/>
          <w:w w:val="120"/>
        </w:rPr>
        <w:t> </w:t>
      </w:r>
      <w:r>
        <w:rPr>
          <w:color w:val="231F20"/>
          <w:w w:val="120"/>
        </w:rPr>
        <w:t>choisir</w:t>
      </w:r>
      <w:r>
        <w:rPr>
          <w:color w:val="231F20"/>
          <w:spacing w:val="-12"/>
          <w:w w:val="120"/>
        </w:rPr>
        <w:t> </w:t>
      </w:r>
      <w:r>
        <w:rPr>
          <w:color w:val="231F20"/>
          <w:w w:val="120"/>
        </w:rPr>
        <w:t>la</w:t>
      </w:r>
      <w:r>
        <w:rPr>
          <w:color w:val="231F20"/>
          <w:spacing w:val="-13"/>
          <w:w w:val="120"/>
        </w:rPr>
        <w:t> </w:t>
      </w:r>
      <w:r>
        <w:rPr>
          <w:color w:val="231F20"/>
          <w:w w:val="120"/>
        </w:rPr>
        <w:t>technique</w:t>
      </w:r>
      <w:r>
        <w:rPr>
          <w:color w:val="231F20"/>
          <w:spacing w:val="-13"/>
          <w:w w:val="120"/>
        </w:rPr>
        <w:t> </w:t>
      </w:r>
      <w:r>
        <w:rPr>
          <w:color w:val="231F20"/>
          <w:w w:val="120"/>
        </w:rPr>
        <w:t>la</w:t>
      </w:r>
      <w:r>
        <w:rPr>
          <w:color w:val="231F20"/>
          <w:spacing w:val="-13"/>
          <w:w w:val="120"/>
        </w:rPr>
        <w:t> </w:t>
      </w:r>
      <w:r>
        <w:rPr>
          <w:color w:val="231F20"/>
          <w:w w:val="120"/>
        </w:rPr>
        <w:t>mieux adaptée à sa réalité. Ainsi, les techniques de relaxation musculaire conviennent particulièrement aux personnes chez qui le stress occa- sionne</w:t>
      </w:r>
      <w:r>
        <w:rPr>
          <w:color w:val="231F20"/>
          <w:spacing w:val="-13"/>
          <w:w w:val="120"/>
        </w:rPr>
        <w:t> </w:t>
      </w:r>
      <w:r>
        <w:rPr>
          <w:color w:val="231F20"/>
          <w:w w:val="120"/>
        </w:rPr>
        <w:t>une</w:t>
      </w:r>
      <w:r>
        <w:rPr>
          <w:color w:val="231F20"/>
          <w:spacing w:val="-13"/>
          <w:w w:val="120"/>
        </w:rPr>
        <w:t> </w:t>
      </w:r>
      <w:r>
        <w:rPr>
          <w:color w:val="231F20"/>
          <w:w w:val="120"/>
        </w:rPr>
        <w:t>tension</w:t>
      </w:r>
      <w:r>
        <w:rPr>
          <w:color w:val="231F20"/>
          <w:spacing w:val="-13"/>
          <w:w w:val="120"/>
        </w:rPr>
        <w:t> </w:t>
      </w:r>
      <w:r>
        <w:rPr>
          <w:color w:val="231F20"/>
          <w:w w:val="120"/>
        </w:rPr>
        <w:t>musculaire</w:t>
      </w:r>
      <w:r>
        <w:rPr>
          <w:color w:val="231F20"/>
          <w:spacing w:val="-12"/>
          <w:w w:val="120"/>
        </w:rPr>
        <w:t> </w:t>
      </w:r>
      <w:r>
        <w:rPr>
          <w:color w:val="231F20"/>
          <w:w w:val="120"/>
        </w:rPr>
        <w:t>considérable.</w:t>
      </w:r>
      <w:r>
        <w:rPr>
          <w:color w:val="231F20"/>
          <w:spacing w:val="-13"/>
          <w:w w:val="120"/>
        </w:rPr>
        <w:t> </w:t>
      </w:r>
      <w:r>
        <w:rPr>
          <w:color w:val="231F20"/>
          <w:w w:val="120"/>
        </w:rPr>
        <w:t>La</w:t>
      </w:r>
      <w:r>
        <w:rPr>
          <w:color w:val="231F20"/>
          <w:spacing w:val="-13"/>
          <w:w w:val="120"/>
        </w:rPr>
        <w:t> </w:t>
      </w:r>
      <w:r>
        <w:rPr>
          <w:color w:val="231F20"/>
          <w:w w:val="120"/>
        </w:rPr>
        <w:t>technique</w:t>
      </w:r>
      <w:r>
        <w:rPr>
          <w:color w:val="231F20"/>
          <w:spacing w:val="-13"/>
          <w:w w:val="120"/>
        </w:rPr>
        <w:t> </w:t>
      </w:r>
      <w:r>
        <w:rPr>
          <w:color w:val="231F20"/>
          <w:w w:val="120"/>
        </w:rPr>
        <w:t>de</w:t>
      </w:r>
      <w:r>
        <w:rPr>
          <w:color w:val="231F20"/>
          <w:spacing w:val="-12"/>
          <w:w w:val="120"/>
        </w:rPr>
        <w:t> </w:t>
      </w:r>
      <w:r>
        <w:rPr>
          <w:color w:val="231F20"/>
          <w:w w:val="120"/>
        </w:rPr>
        <w:t>relaxation </w:t>
      </w:r>
      <w:r>
        <w:rPr>
          <w:color w:val="231F20"/>
          <w:spacing w:val="-2"/>
          <w:w w:val="120"/>
        </w:rPr>
        <w:t>progressive</w:t>
      </w:r>
      <w:r>
        <w:rPr>
          <w:color w:val="231F20"/>
          <w:spacing w:val="-10"/>
          <w:w w:val="120"/>
        </w:rPr>
        <w:t> </w:t>
      </w:r>
      <w:r>
        <w:rPr>
          <w:color w:val="231F20"/>
          <w:spacing w:val="-2"/>
          <w:w w:val="120"/>
        </w:rPr>
        <w:t>de</w:t>
      </w:r>
      <w:r>
        <w:rPr>
          <w:color w:val="231F20"/>
          <w:spacing w:val="-10"/>
          <w:w w:val="120"/>
        </w:rPr>
        <w:t> </w:t>
      </w:r>
      <w:r>
        <w:rPr>
          <w:color w:val="231F20"/>
          <w:spacing w:val="-2"/>
          <w:w w:val="120"/>
        </w:rPr>
        <w:t>Jacobson</w:t>
      </w:r>
      <w:r>
        <w:rPr>
          <w:color w:val="231F20"/>
          <w:spacing w:val="-10"/>
          <w:w w:val="120"/>
        </w:rPr>
        <w:t> </w:t>
      </w:r>
      <w:r>
        <w:rPr>
          <w:color w:val="231F20"/>
          <w:spacing w:val="-2"/>
          <w:w w:val="120"/>
        </w:rPr>
        <w:t>et</w:t>
      </w:r>
      <w:r>
        <w:rPr>
          <w:color w:val="231F20"/>
          <w:spacing w:val="-10"/>
          <w:w w:val="120"/>
        </w:rPr>
        <w:t> </w:t>
      </w:r>
      <w:r>
        <w:rPr>
          <w:color w:val="231F20"/>
          <w:spacing w:val="-2"/>
          <w:w w:val="120"/>
        </w:rPr>
        <w:t>le</w:t>
      </w:r>
      <w:r>
        <w:rPr>
          <w:color w:val="231F20"/>
          <w:spacing w:val="-10"/>
          <w:w w:val="120"/>
        </w:rPr>
        <w:t> </w:t>
      </w:r>
      <w:r>
        <w:rPr>
          <w:i/>
          <w:color w:val="231F20"/>
          <w:spacing w:val="-2"/>
          <w:w w:val="120"/>
        </w:rPr>
        <w:t>training</w:t>
      </w:r>
      <w:r>
        <w:rPr>
          <w:i/>
          <w:color w:val="231F20"/>
          <w:spacing w:val="-10"/>
          <w:w w:val="120"/>
        </w:rPr>
        <w:t> </w:t>
      </w:r>
      <w:r>
        <w:rPr>
          <w:color w:val="231F20"/>
          <w:spacing w:val="-2"/>
          <w:w w:val="120"/>
        </w:rPr>
        <w:t>autogène</w:t>
      </w:r>
      <w:r>
        <w:rPr>
          <w:color w:val="231F20"/>
          <w:spacing w:val="-10"/>
          <w:w w:val="120"/>
        </w:rPr>
        <w:t> </w:t>
      </w:r>
      <w:r>
        <w:rPr>
          <w:color w:val="231F20"/>
          <w:spacing w:val="-2"/>
          <w:w w:val="120"/>
        </w:rPr>
        <w:t>de</w:t>
      </w:r>
      <w:r>
        <w:rPr>
          <w:color w:val="231F20"/>
          <w:spacing w:val="-10"/>
          <w:w w:val="120"/>
        </w:rPr>
        <w:t> </w:t>
      </w:r>
      <w:r>
        <w:rPr>
          <w:color w:val="231F20"/>
          <w:spacing w:val="-2"/>
          <w:w w:val="120"/>
        </w:rPr>
        <w:t>Schultz</w:t>
      </w:r>
      <w:r>
        <w:rPr>
          <w:color w:val="231F20"/>
          <w:spacing w:val="-10"/>
          <w:w w:val="120"/>
        </w:rPr>
        <w:t> </w:t>
      </w:r>
      <w:r>
        <w:rPr>
          <w:color w:val="231F20"/>
          <w:spacing w:val="-2"/>
          <w:w w:val="120"/>
        </w:rPr>
        <w:t>sont</w:t>
      </w:r>
      <w:r>
        <w:rPr>
          <w:color w:val="231F20"/>
          <w:spacing w:val="-10"/>
          <w:w w:val="120"/>
        </w:rPr>
        <w:t> </w:t>
      </w:r>
      <w:r>
        <w:rPr>
          <w:color w:val="231F20"/>
          <w:spacing w:val="-2"/>
          <w:w w:val="120"/>
        </w:rPr>
        <w:t>deux</w:t>
      </w:r>
      <w:r>
        <w:rPr>
          <w:color w:val="231F20"/>
          <w:spacing w:val="-10"/>
          <w:w w:val="120"/>
        </w:rPr>
        <w:t> </w:t>
      </w:r>
      <w:r>
        <w:rPr>
          <w:color w:val="231F20"/>
          <w:spacing w:val="-2"/>
          <w:w w:val="120"/>
        </w:rPr>
        <w:t>des </w:t>
      </w:r>
      <w:r>
        <w:rPr>
          <w:color w:val="231F20"/>
          <w:w w:val="120"/>
        </w:rPr>
        <w:t>techniques de relaxation les plus communes.</w:t>
      </w:r>
    </w:p>
    <w:p>
      <w:pPr>
        <w:pStyle w:val="BodyText"/>
        <w:rPr>
          <w:sz w:val="19"/>
        </w:rPr>
      </w:pPr>
    </w:p>
    <w:p>
      <w:pPr>
        <w:pStyle w:val="BodyText"/>
        <w:spacing w:line="307" w:lineRule="auto"/>
        <w:ind w:left="830" w:right="496" w:hanging="1"/>
        <w:jc w:val="both"/>
      </w:pPr>
      <w:r>
        <w:rPr>
          <w:b/>
          <w:color w:val="231F20"/>
          <w:w w:val="110"/>
        </w:rPr>
        <w:t>Relaxation</w:t>
      </w:r>
      <w:r>
        <w:rPr>
          <w:b/>
          <w:color w:val="231F20"/>
          <w:spacing w:val="-1"/>
          <w:w w:val="110"/>
        </w:rPr>
        <w:t> </w:t>
      </w:r>
      <w:r>
        <w:rPr>
          <w:b/>
          <w:color w:val="231F20"/>
          <w:w w:val="110"/>
        </w:rPr>
        <w:t>progressive</w:t>
      </w:r>
      <w:r>
        <w:rPr>
          <w:b/>
          <w:color w:val="231F20"/>
          <w:spacing w:val="-1"/>
          <w:w w:val="110"/>
        </w:rPr>
        <w:t> </w:t>
      </w:r>
      <w:r>
        <w:rPr>
          <w:b/>
          <w:color w:val="231F20"/>
          <w:w w:val="110"/>
        </w:rPr>
        <w:t>(méthode</w:t>
      </w:r>
      <w:r>
        <w:rPr>
          <w:b/>
          <w:color w:val="231F20"/>
          <w:spacing w:val="-1"/>
          <w:w w:val="110"/>
        </w:rPr>
        <w:t> </w:t>
      </w:r>
      <w:r>
        <w:rPr>
          <w:b/>
          <w:color w:val="231F20"/>
          <w:w w:val="110"/>
        </w:rPr>
        <w:t>de</w:t>
      </w:r>
      <w:r>
        <w:rPr>
          <w:b/>
          <w:color w:val="231F20"/>
          <w:spacing w:val="-1"/>
          <w:w w:val="110"/>
        </w:rPr>
        <w:t> </w:t>
      </w:r>
      <w:r>
        <w:rPr>
          <w:b/>
          <w:color w:val="231F20"/>
          <w:w w:val="110"/>
        </w:rPr>
        <w:t>Jacobson)</w:t>
      </w:r>
      <w:r>
        <w:rPr>
          <w:color w:val="231F20"/>
          <w:w w:val="110"/>
        </w:rPr>
        <w:t>6</w:t>
      </w:r>
      <w:r>
        <w:rPr>
          <w:b/>
          <w:color w:val="231F20"/>
          <w:w w:val="110"/>
        </w:rPr>
        <w:t>. </w:t>
      </w:r>
      <w:r>
        <w:rPr>
          <w:color w:val="231F20"/>
          <w:w w:val="110"/>
        </w:rPr>
        <w:t>Au début du XX</w:t>
      </w:r>
      <w:r>
        <w:rPr>
          <w:color w:val="231F20"/>
          <w:w w:val="110"/>
          <w:position w:val="6"/>
          <w:sz w:val="10"/>
        </w:rPr>
        <w:t>e</w:t>
      </w:r>
      <w:r>
        <w:rPr>
          <w:color w:val="231F20"/>
          <w:spacing w:val="24"/>
          <w:w w:val="110"/>
          <w:position w:val="6"/>
          <w:sz w:val="10"/>
        </w:rPr>
        <w:t> </w:t>
      </w:r>
      <w:r>
        <w:rPr>
          <w:color w:val="231F20"/>
          <w:w w:val="110"/>
        </w:rPr>
        <w:t>siècle, </w:t>
      </w:r>
      <w:r>
        <w:rPr>
          <w:color w:val="231F20"/>
          <w:w w:val="120"/>
        </w:rPr>
        <w:t>Edmund</w:t>
      </w:r>
      <w:r>
        <w:rPr>
          <w:color w:val="231F20"/>
          <w:spacing w:val="-13"/>
          <w:w w:val="120"/>
        </w:rPr>
        <w:t> </w:t>
      </w:r>
      <w:r>
        <w:rPr>
          <w:color w:val="231F20"/>
          <w:w w:val="120"/>
        </w:rPr>
        <w:t>Jacobson</w:t>
      </w:r>
      <w:r>
        <w:rPr>
          <w:color w:val="231F20"/>
          <w:spacing w:val="-13"/>
          <w:w w:val="120"/>
        </w:rPr>
        <w:t> </w:t>
      </w:r>
      <w:r>
        <w:rPr>
          <w:color w:val="231F20"/>
          <w:w w:val="120"/>
        </w:rPr>
        <w:t>a</w:t>
      </w:r>
      <w:r>
        <w:rPr>
          <w:color w:val="231F20"/>
          <w:spacing w:val="-13"/>
          <w:w w:val="120"/>
        </w:rPr>
        <w:t> </w:t>
      </w:r>
      <w:r>
        <w:rPr>
          <w:color w:val="231F20"/>
          <w:w w:val="120"/>
        </w:rPr>
        <w:t>conçu</w:t>
      </w:r>
      <w:r>
        <w:rPr>
          <w:color w:val="231F20"/>
          <w:spacing w:val="-12"/>
          <w:w w:val="120"/>
        </w:rPr>
        <w:t> </w:t>
      </w:r>
      <w:r>
        <w:rPr>
          <w:color w:val="231F20"/>
          <w:w w:val="120"/>
        </w:rPr>
        <w:t>une</w:t>
      </w:r>
      <w:r>
        <w:rPr>
          <w:color w:val="231F20"/>
          <w:spacing w:val="-13"/>
          <w:w w:val="120"/>
        </w:rPr>
        <w:t> </w:t>
      </w:r>
      <w:r>
        <w:rPr>
          <w:color w:val="231F20"/>
          <w:w w:val="120"/>
        </w:rPr>
        <w:t>méthode</w:t>
      </w:r>
      <w:r>
        <w:rPr>
          <w:color w:val="231F20"/>
          <w:spacing w:val="-13"/>
          <w:w w:val="120"/>
        </w:rPr>
        <w:t> </w:t>
      </w:r>
      <w:r>
        <w:rPr>
          <w:color w:val="231F20"/>
          <w:w w:val="120"/>
        </w:rPr>
        <w:t>de</w:t>
      </w:r>
      <w:r>
        <w:rPr>
          <w:color w:val="231F20"/>
          <w:spacing w:val="-13"/>
          <w:w w:val="120"/>
        </w:rPr>
        <w:t> </w:t>
      </w:r>
      <w:r>
        <w:rPr>
          <w:color w:val="231F20"/>
          <w:w w:val="120"/>
        </w:rPr>
        <w:t>relaxation</w:t>
      </w:r>
      <w:r>
        <w:rPr>
          <w:color w:val="231F20"/>
          <w:spacing w:val="-12"/>
          <w:w w:val="120"/>
        </w:rPr>
        <w:t> </w:t>
      </w:r>
      <w:r>
        <w:rPr>
          <w:color w:val="231F20"/>
          <w:w w:val="120"/>
        </w:rPr>
        <w:t>qui</w:t>
      </w:r>
      <w:r>
        <w:rPr>
          <w:color w:val="231F20"/>
          <w:spacing w:val="-13"/>
          <w:w w:val="120"/>
        </w:rPr>
        <w:t> </w:t>
      </w:r>
      <w:r>
        <w:rPr>
          <w:color w:val="231F20"/>
          <w:w w:val="120"/>
        </w:rPr>
        <w:t>avait</w:t>
      </w:r>
      <w:r>
        <w:rPr>
          <w:color w:val="231F20"/>
          <w:spacing w:val="-13"/>
          <w:w w:val="120"/>
        </w:rPr>
        <w:t> </w:t>
      </w:r>
      <w:r>
        <w:rPr>
          <w:color w:val="231F20"/>
          <w:w w:val="120"/>
        </w:rPr>
        <w:t>pour</w:t>
      </w:r>
      <w:r>
        <w:rPr>
          <w:color w:val="231F20"/>
          <w:spacing w:val="-13"/>
          <w:w w:val="120"/>
        </w:rPr>
        <w:t> </w:t>
      </w:r>
      <w:r>
        <w:rPr>
          <w:color w:val="231F20"/>
          <w:w w:val="120"/>
        </w:rPr>
        <w:t>but d’induire</w:t>
      </w:r>
      <w:r>
        <w:rPr>
          <w:color w:val="231F20"/>
          <w:spacing w:val="-2"/>
          <w:w w:val="120"/>
        </w:rPr>
        <w:t> </w:t>
      </w:r>
      <w:r>
        <w:rPr>
          <w:color w:val="231F20"/>
          <w:w w:val="120"/>
        </w:rPr>
        <w:t>un</w:t>
      </w:r>
      <w:r>
        <w:rPr>
          <w:color w:val="231F20"/>
          <w:spacing w:val="-2"/>
          <w:w w:val="120"/>
        </w:rPr>
        <w:t> </w:t>
      </w:r>
      <w:r>
        <w:rPr>
          <w:color w:val="231F20"/>
          <w:w w:val="120"/>
        </w:rPr>
        <w:t>état</w:t>
      </w:r>
      <w:r>
        <w:rPr>
          <w:color w:val="231F20"/>
          <w:spacing w:val="-2"/>
          <w:w w:val="120"/>
        </w:rPr>
        <w:t> </w:t>
      </w:r>
      <w:r>
        <w:rPr>
          <w:color w:val="231F20"/>
          <w:w w:val="120"/>
        </w:rPr>
        <w:t>de</w:t>
      </w:r>
      <w:r>
        <w:rPr>
          <w:color w:val="231F20"/>
          <w:spacing w:val="-2"/>
          <w:w w:val="120"/>
        </w:rPr>
        <w:t> </w:t>
      </w:r>
      <w:r>
        <w:rPr>
          <w:color w:val="231F20"/>
          <w:w w:val="120"/>
        </w:rPr>
        <w:t>calme</w:t>
      </w:r>
      <w:r>
        <w:rPr>
          <w:color w:val="231F20"/>
          <w:spacing w:val="-2"/>
          <w:w w:val="120"/>
        </w:rPr>
        <w:t> </w:t>
      </w:r>
      <w:r>
        <w:rPr>
          <w:color w:val="231F20"/>
          <w:w w:val="120"/>
        </w:rPr>
        <w:t>par</w:t>
      </w:r>
      <w:r>
        <w:rPr>
          <w:color w:val="231F20"/>
          <w:spacing w:val="-2"/>
          <w:w w:val="120"/>
        </w:rPr>
        <w:t> </w:t>
      </w:r>
      <w:r>
        <w:rPr>
          <w:color w:val="231F20"/>
          <w:w w:val="120"/>
        </w:rPr>
        <w:t>la</w:t>
      </w:r>
      <w:r>
        <w:rPr>
          <w:color w:val="231F20"/>
          <w:spacing w:val="-2"/>
          <w:w w:val="120"/>
        </w:rPr>
        <w:t> </w:t>
      </w:r>
      <w:r>
        <w:rPr>
          <w:color w:val="231F20"/>
          <w:w w:val="120"/>
        </w:rPr>
        <w:t>suppression</w:t>
      </w:r>
      <w:r>
        <w:rPr>
          <w:color w:val="231F20"/>
          <w:spacing w:val="-2"/>
          <w:w w:val="120"/>
        </w:rPr>
        <w:t> </w:t>
      </w:r>
      <w:r>
        <w:rPr>
          <w:color w:val="231F20"/>
          <w:w w:val="120"/>
        </w:rPr>
        <w:t>progressive</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tension </w:t>
      </w:r>
      <w:r>
        <w:rPr>
          <w:color w:val="231F20"/>
          <w:w w:val="115"/>
        </w:rPr>
        <w:t>musculaire.</w:t>
      </w:r>
      <w:r>
        <w:rPr>
          <w:color w:val="231F20"/>
          <w:spacing w:val="-6"/>
          <w:w w:val="115"/>
        </w:rPr>
        <w:t> </w:t>
      </w:r>
      <w:r>
        <w:rPr>
          <w:color w:val="231F20"/>
          <w:w w:val="115"/>
        </w:rPr>
        <w:t>La</w:t>
      </w:r>
      <w:r>
        <w:rPr>
          <w:color w:val="231F20"/>
          <w:spacing w:val="-6"/>
          <w:w w:val="115"/>
        </w:rPr>
        <w:t> </w:t>
      </w:r>
      <w:r>
        <w:rPr>
          <w:color w:val="231F20"/>
          <w:w w:val="115"/>
        </w:rPr>
        <w:t>méthode</w:t>
      </w:r>
      <w:r>
        <w:rPr>
          <w:color w:val="231F20"/>
          <w:spacing w:val="-6"/>
          <w:w w:val="115"/>
        </w:rPr>
        <w:t> </w:t>
      </w:r>
      <w:r>
        <w:rPr>
          <w:color w:val="231F20"/>
          <w:w w:val="115"/>
        </w:rPr>
        <w:t>de</w:t>
      </w:r>
      <w:r>
        <w:rPr>
          <w:color w:val="231F20"/>
          <w:spacing w:val="-6"/>
          <w:w w:val="115"/>
        </w:rPr>
        <w:t> </w:t>
      </w:r>
      <w:r>
        <w:rPr>
          <w:color w:val="231F20"/>
          <w:w w:val="115"/>
        </w:rPr>
        <w:t>Jacobson</w:t>
      </w:r>
      <w:r>
        <w:rPr>
          <w:color w:val="231F20"/>
          <w:spacing w:val="-6"/>
          <w:w w:val="115"/>
        </w:rPr>
        <w:t> </w:t>
      </w:r>
      <w:r>
        <w:rPr>
          <w:color w:val="231F20"/>
          <w:w w:val="115"/>
        </w:rPr>
        <w:t>consiste</w:t>
      </w:r>
      <w:r>
        <w:rPr>
          <w:color w:val="231F20"/>
          <w:spacing w:val="-6"/>
          <w:w w:val="115"/>
        </w:rPr>
        <w:t> </w:t>
      </w:r>
      <w:r>
        <w:rPr>
          <w:color w:val="231F20"/>
          <w:w w:val="115"/>
        </w:rPr>
        <w:t>à</w:t>
      </w:r>
      <w:r>
        <w:rPr>
          <w:color w:val="231F20"/>
          <w:spacing w:val="-6"/>
          <w:w w:val="115"/>
        </w:rPr>
        <w:t> </w:t>
      </w:r>
      <w:r>
        <w:rPr>
          <w:color w:val="231F20"/>
          <w:w w:val="115"/>
        </w:rPr>
        <w:t>détendre</w:t>
      </w:r>
      <w:r>
        <w:rPr>
          <w:color w:val="231F20"/>
          <w:spacing w:val="-6"/>
          <w:w w:val="115"/>
        </w:rPr>
        <w:t> </w:t>
      </w:r>
      <w:r>
        <w:rPr>
          <w:color w:val="231F20"/>
          <w:w w:val="115"/>
        </w:rPr>
        <w:t>progressivement </w:t>
      </w:r>
      <w:r>
        <w:rPr>
          <w:color w:val="231F20"/>
          <w:w w:val="120"/>
        </w:rPr>
        <w:t>toutes</w:t>
      </w:r>
      <w:r>
        <w:rPr>
          <w:color w:val="231F20"/>
          <w:spacing w:val="-9"/>
          <w:w w:val="120"/>
        </w:rPr>
        <w:t> </w:t>
      </w:r>
      <w:r>
        <w:rPr>
          <w:color w:val="231F20"/>
          <w:w w:val="120"/>
        </w:rPr>
        <w:t>les</w:t>
      </w:r>
      <w:r>
        <w:rPr>
          <w:color w:val="231F20"/>
          <w:spacing w:val="-9"/>
          <w:w w:val="120"/>
        </w:rPr>
        <w:t> </w:t>
      </w:r>
      <w:r>
        <w:rPr>
          <w:color w:val="231F20"/>
          <w:w w:val="120"/>
        </w:rPr>
        <w:t>parties</w:t>
      </w:r>
      <w:r>
        <w:rPr>
          <w:color w:val="231F20"/>
          <w:spacing w:val="-9"/>
          <w:w w:val="120"/>
        </w:rPr>
        <w:t> </w:t>
      </w:r>
      <w:r>
        <w:rPr>
          <w:color w:val="231F20"/>
          <w:w w:val="120"/>
        </w:rPr>
        <w:t>du</w:t>
      </w:r>
      <w:r>
        <w:rPr>
          <w:color w:val="231F20"/>
          <w:spacing w:val="-9"/>
          <w:w w:val="120"/>
        </w:rPr>
        <w:t> </w:t>
      </w:r>
      <w:r>
        <w:rPr>
          <w:color w:val="231F20"/>
          <w:w w:val="120"/>
        </w:rPr>
        <w:t>corps.</w:t>
      </w:r>
      <w:r>
        <w:rPr>
          <w:color w:val="231F20"/>
          <w:spacing w:val="-9"/>
          <w:w w:val="120"/>
        </w:rPr>
        <w:t> </w:t>
      </w:r>
      <w:r>
        <w:rPr>
          <w:color w:val="231F20"/>
          <w:w w:val="120"/>
        </w:rPr>
        <w:t>Cependant,</w:t>
      </w:r>
      <w:r>
        <w:rPr>
          <w:color w:val="231F20"/>
          <w:spacing w:val="-9"/>
          <w:w w:val="120"/>
        </w:rPr>
        <w:t> </w:t>
      </w:r>
      <w:r>
        <w:rPr>
          <w:color w:val="231F20"/>
          <w:w w:val="120"/>
        </w:rPr>
        <w:t>la</w:t>
      </w:r>
      <w:r>
        <w:rPr>
          <w:color w:val="231F20"/>
          <w:spacing w:val="-9"/>
          <w:w w:val="120"/>
        </w:rPr>
        <w:t> </w:t>
      </w:r>
      <w:r>
        <w:rPr>
          <w:color w:val="231F20"/>
          <w:w w:val="120"/>
        </w:rPr>
        <w:t>temps</w:t>
      </w:r>
      <w:r>
        <w:rPr>
          <w:color w:val="231F20"/>
          <w:spacing w:val="-9"/>
          <w:w w:val="120"/>
        </w:rPr>
        <w:t> </w:t>
      </w:r>
      <w:r>
        <w:rPr>
          <w:color w:val="231F20"/>
          <w:w w:val="120"/>
        </w:rPr>
        <w:t>que</w:t>
      </w:r>
      <w:r>
        <w:rPr>
          <w:color w:val="231F20"/>
          <w:spacing w:val="-9"/>
          <w:w w:val="120"/>
        </w:rPr>
        <w:t> </w:t>
      </w:r>
      <w:r>
        <w:rPr>
          <w:color w:val="231F20"/>
          <w:w w:val="120"/>
        </w:rPr>
        <w:t>nécessite</w:t>
      </w:r>
      <w:r>
        <w:rPr>
          <w:color w:val="231F20"/>
          <w:spacing w:val="-9"/>
          <w:w w:val="120"/>
        </w:rPr>
        <w:t> </w:t>
      </w:r>
      <w:r>
        <w:rPr>
          <w:color w:val="231F20"/>
          <w:w w:val="120"/>
        </w:rPr>
        <w:t>l’appren- </w:t>
      </w:r>
      <w:r>
        <w:rPr>
          <w:color w:val="231F20"/>
          <w:w w:val="115"/>
        </w:rPr>
        <w:t>tissage</w:t>
      </w:r>
      <w:r>
        <w:rPr>
          <w:color w:val="231F20"/>
          <w:spacing w:val="-13"/>
          <w:w w:val="115"/>
        </w:rPr>
        <w:t> </w:t>
      </w:r>
      <w:r>
        <w:rPr>
          <w:color w:val="231F20"/>
          <w:w w:val="115"/>
        </w:rPr>
        <w:t>de</w:t>
      </w:r>
      <w:r>
        <w:rPr>
          <w:color w:val="231F20"/>
          <w:spacing w:val="-11"/>
          <w:w w:val="115"/>
        </w:rPr>
        <w:t> </w:t>
      </w:r>
      <w:r>
        <w:rPr>
          <w:color w:val="231F20"/>
          <w:w w:val="115"/>
        </w:rPr>
        <w:t>la</w:t>
      </w:r>
      <w:r>
        <w:rPr>
          <w:color w:val="231F20"/>
          <w:spacing w:val="-12"/>
          <w:w w:val="115"/>
        </w:rPr>
        <w:t> </w:t>
      </w:r>
      <w:r>
        <w:rPr>
          <w:color w:val="231F20"/>
          <w:w w:val="115"/>
        </w:rPr>
        <w:t>relaxation</w:t>
      </w:r>
      <w:r>
        <w:rPr>
          <w:color w:val="231F20"/>
          <w:spacing w:val="-12"/>
          <w:w w:val="115"/>
        </w:rPr>
        <w:t> </w:t>
      </w:r>
      <w:r>
        <w:rPr>
          <w:color w:val="231F20"/>
          <w:w w:val="115"/>
        </w:rPr>
        <w:t>progressive</w:t>
      </w:r>
      <w:r>
        <w:rPr>
          <w:color w:val="231F20"/>
          <w:spacing w:val="-12"/>
          <w:w w:val="115"/>
        </w:rPr>
        <w:t> </w:t>
      </w:r>
      <w:r>
        <w:rPr>
          <w:color w:val="231F20"/>
          <w:w w:val="115"/>
        </w:rPr>
        <w:t>est</w:t>
      </w:r>
      <w:r>
        <w:rPr>
          <w:color w:val="231F20"/>
          <w:spacing w:val="-12"/>
          <w:w w:val="115"/>
        </w:rPr>
        <w:t> </w:t>
      </w:r>
      <w:r>
        <w:rPr>
          <w:color w:val="231F20"/>
          <w:w w:val="115"/>
        </w:rPr>
        <w:t>une</w:t>
      </w:r>
      <w:r>
        <w:rPr>
          <w:color w:val="231F20"/>
          <w:spacing w:val="-12"/>
          <w:w w:val="115"/>
        </w:rPr>
        <w:t> </w:t>
      </w:r>
      <w:r>
        <w:rPr>
          <w:color w:val="231F20"/>
          <w:w w:val="115"/>
        </w:rPr>
        <w:t>fréquente</w:t>
      </w:r>
      <w:r>
        <w:rPr>
          <w:color w:val="231F20"/>
          <w:spacing w:val="-12"/>
          <w:w w:val="115"/>
        </w:rPr>
        <w:t> </w:t>
      </w:r>
      <w:r>
        <w:rPr>
          <w:color w:val="231F20"/>
          <w:w w:val="115"/>
        </w:rPr>
        <w:t>entrave</w:t>
      </w:r>
      <w:r>
        <w:rPr>
          <w:color w:val="231F20"/>
          <w:spacing w:val="-12"/>
          <w:w w:val="115"/>
        </w:rPr>
        <w:t> </w:t>
      </w:r>
      <w:r>
        <w:rPr>
          <w:color w:val="231F20"/>
          <w:w w:val="115"/>
        </w:rPr>
        <w:t>à</w:t>
      </w:r>
      <w:r>
        <w:rPr>
          <w:color w:val="231F20"/>
          <w:spacing w:val="-13"/>
          <w:w w:val="115"/>
        </w:rPr>
        <w:t> </w:t>
      </w:r>
      <w:r>
        <w:rPr>
          <w:color w:val="231F20"/>
          <w:w w:val="115"/>
        </w:rPr>
        <w:t>l’utilisation </w:t>
      </w:r>
      <w:r>
        <w:rPr>
          <w:color w:val="231F20"/>
          <w:w w:val="120"/>
        </w:rPr>
        <w:t>de cette technique.</w:t>
      </w:r>
    </w:p>
    <w:p>
      <w:pPr>
        <w:pStyle w:val="BodyText"/>
        <w:spacing w:before="8"/>
        <w:rPr>
          <w:sz w:val="20"/>
        </w:rPr>
      </w:pPr>
    </w:p>
    <w:p>
      <w:pPr>
        <w:pStyle w:val="BodyText"/>
        <w:spacing w:line="307" w:lineRule="auto"/>
        <w:ind w:left="1080" w:right="743"/>
        <w:jc w:val="both"/>
      </w:pPr>
      <w:r>
        <w:rPr>
          <w:color w:val="231F20"/>
          <w:w w:val="115"/>
        </w:rPr>
        <w:t>Jacobson […] a découvert que l’action de tendre et détendre systé- </w:t>
      </w:r>
      <w:r>
        <w:rPr>
          <w:color w:val="231F20"/>
          <w:w w:val="120"/>
        </w:rPr>
        <w:t>matiquement</w:t>
      </w:r>
      <w:r>
        <w:rPr>
          <w:color w:val="231F20"/>
          <w:spacing w:val="-6"/>
          <w:w w:val="120"/>
        </w:rPr>
        <w:t> </w:t>
      </w:r>
      <w:r>
        <w:rPr>
          <w:color w:val="231F20"/>
          <w:w w:val="120"/>
        </w:rPr>
        <w:t>plusieurs</w:t>
      </w:r>
      <w:r>
        <w:rPr>
          <w:color w:val="231F20"/>
          <w:spacing w:val="-6"/>
          <w:w w:val="120"/>
        </w:rPr>
        <w:t> </w:t>
      </w:r>
      <w:r>
        <w:rPr>
          <w:color w:val="231F20"/>
          <w:w w:val="120"/>
        </w:rPr>
        <w:t>groupes</w:t>
      </w:r>
      <w:r>
        <w:rPr>
          <w:color w:val="231F20"/>
          <w:spacing w:val="-6"/>
          <w:w w:val="120"/>
        </w:rPr>
        <w:t> </w:t>
      </w:r>
      <w:r>
        <w:rPr>
          <w:color w:val="231F20"/>
          <w:w w:val="120"/>
        </w:rPr>
        <w:t>de</w:t>
      </w:r>
      <w:r>
        <w:rPr>
          <w:color w:val="231F20"/>
          <w:spacing w:val="-6"/>
          <w:w w:val="120"/>
        </w:rPr>
        <w:t> </w:t>
      </w:r>
      <w:r>
        <w:rPr>
          <w:color w:val="231F20"/>
          <w:w w:val="120"/>
        </w:rPr>
        <w:t>muscles</w:t>
      </w:r>
      <w:r>
        <w:rPr>
          <w:color w:val="231F20"/>
          <w:spacing w:val="-6"/>
          <w:w w:val="120"/>
        </w:rPr>
        <w:t> </w:t>
      </w:r>
      <w:r>
        <w:rPr>
          <w:color w:val="231F20"/>
          <w:w w:val="120"/>
        </w:rPr>
        <w:t>et</w:t>
      </w:r>
      <w:r>
        <w:rPr>
          <w:color w:val="231F20"/>
          <w:spacing w:val="-6"/>
          <w:w w:val="120"/>
        </w:rPr>
        <w:t> </w:t>
      </w:r>
      <w:r>
        <w:rPr>
          <w:color w:val="231F20"/>
          <w:w w:val="120"/>
        </w:rPr>
        <w:t>le</w:t>
      </w:r>
      <w:r>
        <w:rPr>
          <w:color w:val="231F20"/>
          <w:spacing w:val="-6"/>
          <w:w w:val="120"/>
        </w:rPr>
        <w:t> </w:t>
      </w:r>
      <w:r>
        <w:rPr>
          <w:color w:val="231F20"/>
          <w:w w:val="120"/>
        </w:rPr>
        <w:t>fait</w:t>
      </w:r>
      <w:r>
        <w:rPr>
          <w:color w:val="231F20"/>
          <w:spacing w:val="-6"/>
          <w:w w:val="120"/>
        </w:rPr>
        <w:t> </w:t>
      </w:r>
      <w:r>
        <w:rPr>
          <w:color w:val="231F20"/>
          <w:w w:val="120"/>
        </w:rPr>
        <w:t>d’apprendre à noter et distinguer les sensations résultantes de tension et de relaxation</w:t>
      </w:r>
      <w:r>
        <w:rPr>
          <w:color w:val="231F20"/>
          <w:spacing w:val="-13"/>
          <w:w w:val="120"/>
        </w:rPr>
        <w:t> </w:t>
      </w:r>
      <w:r>
        <w:rPr>
          <w:color w:val="231F20"/>
          <w:w w:val="120"/>
        </w:rPr>
        <w:t>permettaient</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2"/>
          <w:w w:val="120"/>
        </w:rPr>
        <w:t> </w:t>
      </w:r>
      <w:r>
        <w:rPr>
          <w:color w:val="231F20"/>
          <w:w w:val="120"/>
        </w:rPr>
        <w:t>personne</w:t>
      </w:r>
      <w:r>
        <w:rPr>
          <w:color w:val="231F20"/>
          <w:spacing w:val="-13"/>
          <w:w w:val="120"/>
        </w:rPr>
        <w:t> </w:t>
      </w:r>
      <w:r>
        <w:rPr>
          <w:color w:val="231F20"/>
          <w:w w:val="120"/>
        </w:rPr>
        <w:t>d’éliminer</w:t>
      </w:r>
      <w:r>
        <w:rPr>
          <w:color w:val="231F20"/>
          <w:spacing w:val="-13"/>
          <w:w w:val="120"/>
        </w:rPr>
        <w:t> </w:t>
      </w:r>
      <w:r>
        <w:rPr>
          <w:color w:val="231F20"/>
          <w:w w:val="120"/>
        </w:rPr>
        <w:t>presque</w:t>
      </w:r>
      <w:r>
        <w:rPr>
          <w:color w:val="231F20"/>
          <w:spacing w:val="-13"/>
          <w:w w:val="120"/>
        </w:rPr>
        <w:t> </w:t>
      </w:r>
      <w:r>
        <w:rPr>
          <w:color w:val="231F20"/>
          <w:w w:val="120"/>
        </w:rPr>
        <w:t>complè- tement</w:t>
      </w:r>
      <w:r>
        <w:rPr>
          <w:color w:val="231F20"/>
          <w:spacing w:val="-4"/>
          <w:w w:val="120"/>
        </w:rPr>
        <w:t> </w:t>
      </w:r>
      <w:r>
        <w:rPr>
          <w:color w:val="231F20"/>
          <w:w w:val="120"/>
        </w:rPr>
        <w:t>les</w:t>
      </w:r>
      <w:r>
        <w:rPr>
          <w:color w:val="231F20"/>
          <w:spacing w:val="-4"/>
          <w:w w:val="120"/>
        </w:rPr>
        <w:t> </w:t>
      </w:r>
      <w:r>
        <w:rPr>
          <w:color w:val="231F20"/>
          <w:w w:val="120"/>
        </w:rPr>
        <w:t>contractions</w:t>
      </w:r>
      <w:r>
        <w:rPr>
          <w:color w:val="231F20"/>
          <w:spacing w:val="-4"/>
          <w:w w:val="120"/>
        </w:rPr>
        <w:t> </w:t>
      </w:r>
      <w:r>
        <w:rPr>
          <w:color w:val="231F20"/>
          <w:w w:val="120"/>
        </w:rPr>
        <w:t>musculaires</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ressentir</w:t>
      </w:r>
      <w:r>
        <w:rPr>
          <w:color w:val="231F20"/>
          <w:spacing w:val="-4"/>
          <w:w w:val="120"/>
        </w:rPr>
        <w:t> </w:t>
      </w:r>
      <w:r>
        <w:rPr>
          <w:color w:val="231F20"/>
          <w:w w:val="120"/>
        </w:rPr>
        <w:t>une</w:t>
      </w:r>
      <w:r>
        <w:rPr>
          <w:color w:val="231F20"/>
          <w:spacing w:val="-4"/>
          <w:w w:val="120"/>
        </w:rPr>
        <w:t> </w:t>
      </w:r>
      <w:r>
        <w:rPr>
          <w:color w:val="231F20"/>
          <w:w w:val="120"/>
        </w:rPr>
        <w:t>sensation de</w:t>
      </w:r>
      <w:r>
        <w:rPr>
          <w:color w:val="231F20"/>
          <w:spacing w:val="-13"/>
          <w:w w:val="120"/>
        </w:rPr>
        <w:t> </w:t>
      </w:r>
      <w:r>
        <w:rPr>
          <w:color w:val="231F20"/>
          <w:w w:val="120"/>
        </w:rPr>
        <w:t>relaxation</w:t>
      </w:r>
      <w:r>
        <w:rPr>
          <w:color w:val="231F20"/>
          <w:spacing w:val="-13"/>
          <w:w w:val="120"/>
        </w:rPr>
        <w:t> </w:t>
      </w:r>
      <w:r>
        <w:rPr>
          <w:color w:val="231F20"/>
          <w:w w:val="120"/>
        </w:rPr>
        <w:t>profonde.</w:t>
      </w:r>
      <w:r>
        <w:rPr>
          <w:color w:val="231F20"/>
          <w:spacing w:val="-13"/>
          <w:w w:val="120"/>
        </w:rPr>
        <w:t> </w:t>
      </w:r>
      <w:r>
        <w:rPr>
          <w:color w:val="231F20"/>
          <w:w w:val="120"/>
        </w:rPr>
        <w:t>Ces</w:t>
      </w:r>
      <w:r>
        <w:rPr>
          <w:color w:val="231F20"/>
          <w:spacing w:val="-12"/>
          <w:w w:val="120"/>
        </w:rPr>
        <w:t> </w:t>
      </w:r>
      <w:r>
        <w:rPr>
          <w:color w:val="231F20"/>
          <w:w w:val="120"/>
        </w:rPr>
        <w:t>recherches</w:t>
      </w:r>
      <w:r>
        <w:rPr>
          <w:color w:val="231F20"/>
          <w:spacing w:val="-13"/>
          <w:w w:val="120"/>
        </w:rPr>
        <w:t> </w:t>
      </w:r>
      <w:r>
        <w:rPr>
          <w:color w:val="231F20"/>
          <w:w w:val="120"/>
        </w:rPr>
        <w:t>ont</w:t>
      </w:r>
      <w:r>
        <w:rPr>
          <w:color w:val="231F20"/>
          <w:spacing w:val="-13"/>
          <w:w w:val="120"/>
        </w:rPr>
        <w:t> </w:t>
      </w:r>
      <w:r>
        <w:rPr>
          <w:color w:val="231F20"/>
          <w:w w:val="120"/>
        </w:rPr>
        <w:t>débouché</w:t>
      </w:r>
      <w:r>
        <w:rPr>
          <w:color w:val="231F20"/>
          <w:spacing w:val="-13"/>
          <w:w w:val="120"/>
        </w:rPr>
        <w:t> </w:t>
      </w:r>
      <w:r>
        <w:rPr>
          <w:color w:val="231F20"/>
          <w:w w:val="120"/>
        </w:rPr>
        <w:t>sur</w:t>
      </w:r>
      <w:r>
        <w:rPr>
          <w:color w:val="231F20"/>
          <w:spacing w:val="-12"/>
          <w:w w:val="120"/>
        </w:rPr>
        <w:t> </w:t>
      </w:r>
      <w:r>
        <w:rPr>
          <w:color w:val="231F20"/>
          <w:w w:val="120"/>
        </w:rPr>
        <w:t>la</w:t>
      </w:r>
      <w:r>
        <w:rPr>
          <w:color w:val="231F20"/>
          <w:spacing w:val="-13"/>
          <w:w w:val="120"/>
        </w:rPr>
        <w:t> </w:t>
      </w:r>
      <w:r>
        <w:rPr>
          <w:color w:val="231F20"/>
          <w:w w:val="120"/>
        </w:rPr>
        <w:t>publi- </w:t>
      </w:r>
      <w:r>
        <w:rPr>
          <w:color w:val="231F20"/>
          <w:spacing w:val="-2"/>
          <w:w w:val="115"/>
        </w:rPr>
        <w:t>cation</w:t>
      </w:r>
      <w:r>
        <w:rPr>
          <w:color w:val="231F20"/>
          <w:spacing w:val="-5"/>
          <w:w w:val="115"/>
        </w:rPr>
        <w:t> </w:t>
      </w:r>
      <w:r>
        <w:rPr>
          <w:color w:val="231F20"/>
          <w:spacing w:val="-2"/>
          <w:w w:val="115"/>
        </w:rPr>
        <w:t>de</w:t>
      </w:r>
      <w:r>
        <w:rPr>
          <w:color w:val="231F20"/>
          <w:spacing w:val="-5"/>
          <w:w w:val="115"/>
        </w:rPr>
        <w:t> </w:t>
      </w:r>
      <w:r>
        <w:rPr>
          <w:i/>
          <w:color w:val="231F20"/>
          <w:spacing w:val="-2"/>
          <w:w w:val="115"/>
        </w:rPr>
        <w:t>Progressive</w:t>
      </w:r>
      <w:r>
        <w:rPr>
          <w:i/>
          <w:color w:val="231F20"/>
          <w:spacing w:val="-5"/>
          <w:w w:val="115"/>
        </w:rPr>
        <w:t> </w:t>
      </w:r>
      <w:r>
        <w:rPr>
          <w:i/>
          <w:color w:val="231F20"/>
          <w:spacing w:val="-2"/>
          <w:w w:val="115"/>
        </w:rPr>
        <w:t>Relaxation</w:t>
      </w:r>
      <w:r>
        <w:rPr>
          <w:i/>
          <w:color w:val="231F20"/>
          <w:spacing w:val="-5"/>
          <w:w w:val="115"/>
        </w:rPr>
        <w:t> </w:t>
      </w:r>
      <w:r>
        <w:rPr>
          <w:color w:val="231F20"/>
          <w:spacing w:val="-2"/>
          <w:w w:val="115"/>
        </w:rPr>
        <w:t>(1938),</w:t>
      </w:r>
      <w:r>
        <w:rPr>
          <w:color w:val="231F20"/>
          <w:spacing w:val="-5"/>
          <w:w w:val="115"/>
        </w:rPr>
        <w:t> </w:t>
      </w:r>
      <w:r>
        <w:rPr>
          <w:color w:val="231F20"/>
          <w:spacing w:val="-2"/>
          <w:w w:val="115"/>
        </w:rPr>
        <w:t>où</w:t>
      </w:r>
      <w:r>
        <w:rPr>
          <w:color w:val="231F20"/>
          <w:spacing w:val="-5"/>
          <w:w w:val="115"/>
        </w:rPr>
        <w:t> </w:t>
      </w:r>
      <w:r>
        <w:rPr>
          <w:color w:val="231F20"/>
          <w:spacing w:val="-2"/>
          <w:w w:val="115"/>
        </w:rPr>
        <w:t>il</w:t>
      </w:r>
      <w:r>
        <w:rPr>
          <w:color w:val="231F20"/>
          <w:spacing w:val="-5"/>
          <w:w w:val="115"/>
        </w:rPr>
        <w:t> </w:t>
      </w:r>
      <w:r>
        <w:rPr>
          <w:color w:val="231F20"/>
          <w:spacing w:val="-2"/>
          <w:w w:val="115"/>
        </w:rPr>
        <w:t>décrit</w:t>
      </w:r>
      <w:r>
        <w:rPr>
          <w:color w:val="231F20"/>
          <w:spacing w:val="-5"/>
          <w:w w:val="115"/>
        </w:rPr>
        <w:t> </w:t>
      </w:r>
      <w:r>
        <w:rPr>
          <w:color w:val="231F20"/>
          <w:spacing w:val="-2"/>
          <w:w w:val="115"/>
        </w:rPr>
        <w:t>sa</w:t>
      </w:r>
      <w:r>
        <w:rPr>
          <w:color w:val="231F20"/>
          <w:spacing w:val="-5"/>
          <w:w w:val="115"/>
        </w:rPr>
        <w:t> </w:t>
      </w:r>
      <w:r>
        <w:rPr>
          <w:color w:val="231F20"/>
          <w:spacing w:val="-2"/>
          <w:w w:val="115"/>
        </w:rPr>
        <w:t>théorie</w:t>
      </w:r>
      <w:r>
        <w:rPr>
          <w:color w:val="231F20"/>
          <w:spacing w:val="-5"/>
          <w:w w:val="115"/>
        </w:rPr>
        <w:t> </w:t>
      </w:r>
      <w:r>
        <w:rPr>
          <w:color w:val="231F20"/>
          <w:spacing w:val="-2"/>
          <w:w w:val="115"/>
        </w:rPr>
        <w:t>et</w:t>
      </w:r>
      <w:r>
        <w:rPr>
          <w:color w:val="231F20"/>
          <w:spacing w:val="-5"/>
          <w:w w:val="115"/>
        </w:rPr>
        <w:t> </w:t>
      </w:r>
      <w:r>
        <w:rPr>
          <w:color w:val="231F20"/>
          <w:spacing w:val="-2"/>
          <w:w w:val="115"/>
        </w:rPr>
        <w:t>ses </w:t>
      </w:r>
      <w:r>
        <w:rPr>
          <w:color w:val="231F20"/>
          <w:w w:val="115"/>
        </w:rPr>
        <w:t>protocoles. De 1936 jusqu’aux années 1960, Jacobson a poursuivi ses</w:t>
      </w:r>
      <w:r>
        <w:rPr>
          <w:color w:val="231F20"/>
          <w:spacing w:val="-5"/>
          <w:w w:val="115"/>
        </w:rPr>
        <w:t> </w:t>
      </w:r>
      <w:r>
        <w:rPr>
          <w:color w:val="231F20"/>
          <w:w w:val="115"/>
        </w:rPr>
        <w:t>recherches</w:t>
      </w:r>
      <w:r>
        <w:rPr>
          <w:color w:val="231F20"/>
          <w:spacing w:val="-5"/>
          <w:w w:val="115"/>
        </w:rPr>
        <w:t> </w:t>
      </w:r>
      <w:r>
        <w:rPr>
          <w:color w:val="231F20"/>
          <w:w w:val="115"/>
        </w:rPr>
        <w:t>au</w:t>
      </w:r>
      <w:r>
        <w:rPr>
          <w:color w:val="231F20"/>
          <w:spacing w:val="-5"/>
          <w:w w:val="115"/>
        </w:rPr>
        <w:t> </w:t>
      </w:r>
      <w:r>
        <w:rPr>
          <w:color w:val="231F20"/>
          <w:w w:val="115"/>
        </w:rPr>
        <w:t>Laboratory</w:t>
      </w:r>
      <w:r>
        <w:rPr>
          <w:color w:val="231F20"/>
          <w:spacing w:val="-5"/>
          <w:w w:val="115"/>
        </w:rPr>
        <w:t> </w:t>
      </w:r>
      <w:r>
        <w:rPr>
          <w:color w:val="231F20"/>
          <w:w w:val="115"/>
        </w:rPr>
        <w:t>of</w:t>
      </w:r>
      <w:r>
        <w:rPr>
          <w:color w:val="231F20"/>
          <w:spacing w:val="-5"/>
          <w:w w:val="115"/>
        </w:rPr>
        <w:t> </w:t>
      </w:r>
      <w:r>
        <w:rPr>
          <w:color w:val="231F20"/>
          <w:w w:val="115"/>
        </w:rPr>
        <w:t>Clinical</w:t>
      </w:r>
      <w:r>
        <w:rPr>
          <w:color w:val="231F20"/>
          <w:spacing w:val="-5"/>
          <w:w w:val="115"/>
        </w:rPr>
        <w:t> </w:t>
      </w:r>
      <w:r>
        <w:rPr>
          <w:color w:val="231F20"/>
          <w:w w:val="115"/>
        </w:rPr>
        <w:t>Physiology</w:t>
      </w:r>
      <w:r>
        <w:rPr>
          <w:color w:val="231F20"/>
          <w:spacing w:val="-5"/>
          <w:w w:val="115"/>
        </w:rPr>
        <w:t> </w:t>
      </w:r>
      <w:r>
        <w:rPr>
          <w:color w:val="231F20"/>
          <w:w w:val="115"/>
        </w:rPr>
        <w:t>de</w:t>
      </w:r>
      <w:r>
        <w:rPr>
          <w:color w:val="231F20"/>
          <w:spacing w:val="-5"/>
          <w:w w:val="115"/>
        </w:rPr>
        <w:t> </w:t>
      </w:r>
      <w:r>
        <w:rPr>
          <w:color w:val="231F20"/>
          <w:w w:val="115"/>
        </w:rPr>
        <w:t>Chicago.</w:t>
      </w:r>
      <w:r>
        <w:rPr>
          <w:color w:val="231F20"/>
          <w:spacing w:val="-5"/>
          <w:w w:val="115"/>
        </w:rPr>
        <w:t> </w:t>
      </w:r>
      <w:r>
        <w:rPr>
          <w:color w:val="231F20"/>
          <w:w w:val="115"/>
        </w:rPr>
        <w:t>À partir</w:t>
      </w:r>
      <w:r>
        <w:rPr>
          <w:color w:val="231F20"/>
          <w:spacing w:val="-7"/>
          <w:w w:val="115"/>
        </w:rPr>
        <w:t> </w:t>
      </w:r>
      <w:r>
        <w:rPr>
          <w:color w:val="231F20"/>
          <w:w w:val="115"/>
        </w:rPr>
        <w:t>de</w:t>
      </w:r>
      <w:r>
        <w:rPr>
          <w:color w:val="231F20"/>
          <w:spacing w:val="-7"/>
          <w:w w:val="115"/>
        </w:rPr>
        <w:t> </w:t>
      </w:r>
      <w:r>
        <w:rPr>
          <w:color w:val="231F20"/>
          <w:w w:val="115"/>
        </w:rPr>
        <w:t>1962,</w:t>
      </w:r>
      <w:r>
        <w:rPr>
          <w:color w:val="231F20"/>
          <w:spacing w:val="-7"/>
          <w:w w:val="115"/>
        </w:rPr>
        <w:t> </w:t>
      </w:r>
      <w:r>
        <w:rPr>
          <w:color w:val="231F20"/>
          <w:w w:val="115"/>
        </w:rPr>
        <w:t>son</w:t>
      </w:r>
      <w:r>
        <w:rPr>
          <w:color w:val="231F20"/>
          <w:spacing w:val="-7"/>
          <w:w w:val="115"/>
        </w:rPr>
        <w:t> </w:t>
      </w:r>
      <w:r>
        <w:rPr>
          <w:color w:val="231F20"/>
          <w:w w:val="115"/>
        </w:rPr>
        <w:t>protocole</w:t>
      </w:r>
      <w:r>
        <w:rPr>
          <w:color w:val="231F20"/>
          <w:spacing w:val="-7"/>
          <w:w w:val="115"/>
        </w:rPr>
        <w:t> </w:t>
      </w:r>
      <w:r>
        <w:rPr>
          <w:color w:val="231F20"/>
          <w:w w:val="115"/>
        </w:rPr>
        <w:t>de</w:t>
      </w:r>
      <w:r>
        <w:rPr>
          <w:color w:val="231F20"/>
          <w:spacing w:val="-7"/>
          <w:w w:val="115"/>
        </w:rPr>
        <w:t> </w:t>
      </w:r>
      <w:r>
        <w:rPr>
          <w:color w:val="231F20"/>
          <w:w w:val="115"/>
        </w:rPr>
        <w:t>relaxation</w:t>
      </w:r>
      <w:r>
        <w:rPr>
          <w:color w:val="231F20"/>
          <w:spacing w:val="-7"/>
          <w:w w:val="115"/>
        </w:rPr>
        <w:t> </w:t>
      </w:r>
      <w:r>
        <w:rPr>
          <w:color w:val="231F20"/>
          <w:w w:val="115"/>
        </w:rPr>
        <w:t>fondamental</w:t>
      </w:r>
      <w:r>
        <w:rPr>
          <w:color w:val="231F20"/>
          <w:spacing w:val="-7"/>
          <w:w w:val="115"/>
        </w:rPr>
        <w:t> </w:t>
      </w:r>
      <w:r>
        <w:rPr>
          <w:color w:val="231F20"/>
          <w:w w:val="115"/>
        </w:rPr>
        <w:t>comprenait </w:t>
      </w:r>
      <w:r>
        <w:rPr>
          <w:color w:val="231F20"/>
          <w:w w:val="120"/>
        </w:rPr>
        <w:t>quinze</w:t>
      </w:r>
      <w:r>
        <w:rPr>
          <w:color w:val="231F20"/>
          <w:spacing w:val="-13"/>
          <w:w w:val="120"/>
        </w:rPr>
        <w:t> </w:t>
      </w:r>
      <w:r>
        <w:rPr>
          <w:color w:val="231F20"/>
          <w:w w:val="120"/>
        </w:rPr>
        <w:t>groupes</w:t>
      </w:r>
      <w:r>
        <w:rPr>
          <w:color w:val="231F20"/>
          <w:spacing w:val="-13"/>
          <w:w w:val="120"/>
        </w:rPr>
        <w:t> </w:t>
      </w:r>
      <w:r>
        <w:rPr>
          <w:color w:val="231F20"/>
          <w:w w:val="120"/>
        </w:rPr>
        <w:t>de</w:t>
      </w:r>
      <w:r>
        <w:rPr>
          <w:color w:val="231F20"/>
          <w:spacing w:val="-13"/>
          <w:w w:val="120"/>
        </w:rPr>
        <w:t> </w:t>
      </w:r>
      <w:r>
        <w:rPr>
          <w:color w:val="231F20"/>
          <w:w w:val="120"/>
        </w:rPr>
        <w:t>muscles.</w:t>
      </w:r>
      <w:r>
        <w:rPr>
          <w:color w:val="231F20"/>
          <w:spacing w:val="-12"/>
          <w:w w:val="120"/>
        </w:rPr>
        <w:t> </w:t>
      </w:r>
      <w:r>
        <w:rPr>
          <w:color w:val="231F20"/>
          <w:w w:val="120"/>
        </w:rPr>
        <w:t>Il</w:t>
      </w:r>
      <w:r>
        <w:rPr>
          <w:color w:val="231F20"/>
          <w:spacing w:val="-13"/>
          <w:w w:val="120"/>
        </w:rPr>
        <w:t> </w:t>
      </w:r>
      <w:r>
        <w:rPr>
          <w:color w:val="231F20"/>
          <w:w w:val="120"/>
        </w:rPr>
        <w:t>traitait</w:t>
      </w:r>
      <w:r>
        <w:rPr>
          <w:color w:val="231F20"/>
          <w:spacing w:val="-13"/>
          <w:w w:val="120"/>
        </w:rPr>
        <w:t> </w:t>
      </w:r>
      <w:r>
        <w:rPr>
          <w:color w:val="231F20"/>
          <w:w w:val="120"/>
        </w:rPr>
        <w:t>chaque</w:t>
      </w:r>
      <w:r>
        <w:rPr>
          <w:color w:val="231F20"/>
          <w:spacing w:val="-13"/>
          <w:w w:val="120"/>
        </w:rPr>
        <w:t> </w:t>
      </w:r>
      <w:r>
        <w:rPr>
          <w:color w:val="231F20"/>
          <w:w w:val="120"/>
        </w:rPr>
        <w:t>groupe</w:t>
      </w:r>
      <w:r>
        <w:rPr>
          <w:color w:val="231F20"/>
          <w:spacing w:val="-12"/>
          <w:w w:val="120"/>
        </w:rPr>
        <w:t> </w:t>
      </w:r>
      <w:r>
        <w:rPr>
          <w:color w:val="231F20"/>
          <w:w w:val="120"/>
        </w:rPr>
        <w:t>isolément</w:t>
      </w:r>
      <w:r>
        <w:rPr>
          <w:color w:val="231F20"/>
          <w:spacing w:val="-13"/>
          <w:w w:val="120"/>
        </w:rPr>
        <w:t> </w:t>
      </w:r>
      <w:r>
        <w:rPr>
          <w:color w:val="231F20"/>
          <w:w w:val="120"/>
        </w:rPr>
        <w:t>au cours de séances quotidiennes d’une durée d’une à neuf heures, avant</w:t>
      </w:r>
      <w:r>
        <w:rPr>
          <w:color w:val="231F20"/>
          <w:spacing w:val="-8"/>
          <w:w w:val="120"/>
        </w:rPr>
        <w:t> </w:t>
      </w:r>
      <w:r>
        <w:rPr>
          <w:color w:val="231F20"/>
          <w:w w:val="120"/>
        </w:rPr>
        <w:t>de</w:t>
      </w:r>
      <w:r>
        <w:rPr>
          <w:color w:val="231F20"/>
          <w:spacing w:val="-8"/>
          <w:w w:val="120"/>
        </w:rPr>
        <w:t> </w:t>
      </w:r>
      <w:r>
        <w:rPr>
          <w:color w:val="231F20"/>
          <w:w w:val="120"/>
        </w:rPr>
        <w:t>passer</w:t>
      </w:r>
      <w:r>
        <w:rPr>
          <w:color w:val="231F20"/>
          <w:spacing w:val="-8"/>
          <w:w w:val="120"/>
        </w:rPr>
        <w:t> </w:t>
      </w:r>
      <w:r>
        <w:rPr>
          <w:color w:val="231F20"/>
          <w:w w:val="120"/>
        </w:rPr>
        <w:t>au</w:t>
      </w:r>
      <w:r>
        <w:rPr>
          <w:color w:val="231F20"/>
          <w:spacing w:val="-8"/>
          <w:w w:val="120"/>
        </w:rPr>
        <w:t> </w:t>
      </w:r>
      <w:r>
        <w:rPr>
          <w:color w:val="231F20"/>
          <w:w w:val="120"/>
        </w:rPr>
        <w:t>groupe</w:t>
      </w:r>
      <w:r>
        <w:rPr>
          <w:color w:val="231F20"/>
          <w:spacing w:val="-8"/>
          <w:w w:val="120"/>
        </w:rPr>
        <w:t> </w:t>
      </w:r>
      <w:r>
        <w:rPr>
          <w:color w:val="231F20"/>
          <w:w w:val="120"/>
        </w:rPr>
        <w:t>suivant,</w:t>
      </w:r>
      <w:r>
        <w:rPr>
          <w:color w:val="231F20"/>
          <w:spacing w:val="-8"/>
          <w:w w:val="120"/>
        </w:rPr>
        <w:t> </w:t>
      </w:r>
      <w:r>
        <w:rPr>
          <w:color w:val="231F20"/>
          <w:w w:val="120"/>
        </w:rPr>
        <w:t>pour</w:t>
      </w:r>
      <w:r>
        <w:rPr>
          <w:color w:val="231F20"/>
          <w:spacing w:val="-8"/>
          <w:w w:val="120"/>
        </w:rPr>
        <w:t> </w:t>
      </w:r>
      <w:r>
        <w:rPr>
          <w:color w:val="231F20"/>
          <w:w w:val="120"/>
        </w:rPr>
        <w:t>un</w:t>
      </w:r>
      <w:r>
        <w:rPr>
          <w:color w:val="231F20"/>
          <w:spacing w:val="-8"/>
          <w:w w:val="120"/>
        </w:rPr>
        <w:t> </w:t>
      </w:r>
      <w:r>
        <w:rPr>
          <w:color w:val="231F20"/>
          <w:w w:val="120"/>
        </w:rPr>
        <w:t>total</w:t>
      </w:r>
      <w:r>
        <w:rPr>
          <w:color w:val="231F20"/>
          <w:spacing w:val="-8"/>
          <w:w w:val="120"/>
        </w:rPr>
        <w:t> </w:t>
      </w:r>
      <w:r>
        <w:rPr>
          <w:color w:val="231F20"/>
          <w:w w:val="120"/>
        </w:rPr>
        <w:t>de</w:t>
      </w:r>
      <w:r>
        <w:rPr>
          <w:color w:val="231F20"/>
          <w:spacing w:val="-8"/>
          <w:w w:val="120"/>
        </w:rPr>
        <w:t> </w:t>
      </w:r>
      <w:r>
        <w:rPr>
          <w:color w:val="231F20"/>
          <w:w w:val="120"/>
        </w:rPr>
        <w:t>56</w:t>
      </w:r>
      <w:r>
        <w:rPr>
          <w:color w:val="231F20"/>
          <w:spacing w:val="-8"/>
          <w:w w:val="120"/>
        </w:rPr>
        <w:t> </w:t>
      </w:r>
      <w:r>
        <w:rPr>
          <w:color w:val="231F20"/>
          <w:w w:val="120"/>
        </w:rPr>
        <w:t>séances</w:t>
      </w:r>
      <w:r>
        <w:rPr>
          <w:color w:val="231F20"/>
          <w:spacing w:val="-8"/>
          <w:w w:val="120"/>
        </w:rPr>
        <w:t> </w:t>
      </w:r>
      <w:r>
        <w:rPr>
          <w:color w:val="231F20"/>
          <w:w w:val="120"/>
        </w:rPr>
        <w:t>de formation</w:t>
      </w:r>
      <w:r>
        <w:rPr>
          <w:color w:val="231F20"/>
          <w:spacing w:val="-13"/>
          <w:w w:val="120"/>
        </w:rPr>
        <w:t> </w:t>
      </w:r>
      <w:r>
        <w:rPr>
          <w:color w:val="231F20"/>
          <w:w w:val="120"/>
        </w:rPr>
        <w:t>systématique7.</w:t>
      </w:r>
    </w:p>
    <w:p>
      <w:pPr>
        <w:pStyle w:val="BodyText"/>
        <w:spacing w:before="10"/>
        <w:rPr>
          <w:sz w:val="14"/>
        </w:rPr>
      </w:pPr>
      <w:r>
        <w:rPr/>
        <w:pict>
          <v:shape style="position:absolute;margin-left:62.5pt;margin-top:9.786768pt;width:287.5pt;height:.1pt;mso-position-horizontal-relative:page;mso-position-vertical-relative:paragraph;z-index:-15628288;mso-wrap-distance-left:0;mso-wrap-distance-right:0" id="docshape1035" coordorigin="1250,196" coordsize="5750,0" path="m1250,196l7000,196e" filled="false" stroked="true" strokeweight=".25pt" strokecolor="#231f20">
            <v:path arrowok="t"/>
            <v:stroke dashstyle="shortdot"/>
            <w10:wrap type="topAndBottom"/>
          </v:shape>
        </w:pict>
      </w:r>
    </w:p>
    <w:p>
      <w:pPr>
        <w:pStyle w:val="ListParagraph"/>
        <w:numPr>
          <w:ilvl w:val="0"/>
          <w:numId w:val="77"/>
        </w:numPr>
        <w:tabs>
          <w:tab w:pos="829" w:val="left" w:leader="none"/>
          <w:tab w:pos="830" w:val="left" w:leader="none"/>
        </w:tabs>
        <w:spacing w:line="240" w:lineRule="auto" w:before="135" w:after="0"/>
        <w:ind w:left="829" w:right="0" w:hanging="328"/>
        <w:jc w:val="left"/>
        <w:rPr>
          <w:rFonts w:ascii="Arial"/>
          <w:sz w:val="12"/>
        </w:rPr>
      </w:pPr>
      <w:r>
        <w:rPr>
          <w:rFonts w:ascii="Arial"/>
          <w:color w:val="231F20"/>
          <w:w w:val="95"/>
          <w:sz w:val="12"/>
        </w:rPr>
        <w:t>Jacobson,</w:t>
      </w:r>
      <w:r>
        <w:rPr>
          <w:rFonts w:ascii="Arial"/>
          <w:color w:val="231F20"/>
          <w:spacing w:val="5"/>
          <w:sz w:val="12"/>
        </w:rPr>
        <w:t> </w:t>
      </w:r>
      <w:r>
        <w:rPr>
          <w:rFonts w:ascii="Arial"/>
          <w:color w:val="231F20"/>
          <w:w w:val="95"/>
          <w:sz w:val="12"/>
        </w:rPr>
        <w:t>E.</w:t>
      </w:r>
      <w:r>
        <w:rPr>
          <w:rFonts w:ascii="Arial"/>
          <w:color w:val="231F20"/>
          <w:spacing w:val="6"/>
          <w:sz w:val="12"/>
        </w:rPr>
        <w:t> </w:t>
      </w:r>
      <w:r>
        <w:rPr>
          <w:rFonts w:ascii="Arial"/>
          <w:color w:val="231F20"/>
          <w:w w:val="95"/>
          <w:sz w:val="12"/>
        </w:rPr>
        <w:t>(1978).</w:t>
      </w:r>
      <w:r>
        <w:rPr>
          <w:rFonts w:ascii="Arial"/>
          <w:color w:val="231F20"/>
          <w:spacing w:val="6"/>
          <w:sz w:val="12"/>
        </w:rPr>
        <w:t> </w:t>
      </w:r>
      <w:r>
        <w:rPr>
          <w:rFonts w:ascii="Arial"/>
          <w:i/>
          <w:color w:val="231F20"/>
          <w:w w:val="95"/>
          <w:sz w:val="12"/>
        </w:rPr>
        <w:t>Progressive</w:t>
      </w:r>
      <w:r>
        <w:rPr>
          <w:rFonts w:ascii="Arial"/>
          <w:i/>
          <w:color w:val="231F20"/>
          <w:spacing w:val="6"/>
          <w:sz w:val="12"/>
        </w:rPr>
        <w:t> </w:t>
      </w:r>
      <w:r>
        <w:rPr>
          <w:rFonts w:ascii="Arial"/>
          <w:i/>
          <w:color w:val="231F20"/>
          <w:w w:val="95"/>
          <w:sz w:val="12"/>
        </w:rPr>
        <w:t>Relaxation</w:t>
      </w:r>
      <w:r>
        <w:rPr>
          <w:rFonts w:ascii="Arial"/>
          <w:color w:val="231F20"/>
          <w:w w:val="95"/>
          <w:sz w:val="12"/>
        </w:rPr>
        <w:t>,</w:t>
      </w:r>
      <w:r>
        <w:rPr>
          <w:rFonts w:ascii="Arial"/>
          <w:color w:val="231F20"/>
          <w:spacing w:val="6"/>
          <w:sz w:val="12"/>
        </w:rPr>
        <w:t> </w:t>
      </w:r>
      <w:r>
        <w:rPr>
          <w:rFonts w:ascii="Arial"/>
          <w:color w:val="231F20"/>
          <w:w w:val="95"/>
          <w:sz w:val="12"/>
        </w:rPr>
        <w:t>Chicago,</w:t>
      </w:r>
      <w:r>
        <w:rPr>
          <w:rFonts w:ascii="Arial"/>
          <w:color w:val="231F20"/>
          <w:spacing w:val="6"/>
          <w:sz w:val="12"/>
        </w:rPr>
        <w:t> </w:t>
      </w:r>
      <w:r>
        <w:rPr>
          <w:rFonts w:ascii="Arial"/>
          <w:color w:val="231F20"/>
          <w:w w:val="95"/>
          <w:sz w:val="12"/>
        </w:rPr>
        <w:t>University</w:t>
      </w:r>
      <w:r>
        <w:rPr>
          <w:rFonts w:ascii="Arial"/>
          <w:color w:val="231F20"/>
          <w:spacing w:val="6"/>
          <w:sz w:val="12"/>
        </w:rPr>
        <w:t> </w:t>
      </w:r>
      <w:r>
        <w:rPr>
          <w:rFonts w:ascii="Arial"/>
          <w:color w:val="231F20"/>
          <w:w w:val="95"/>
          <w:sz w:val="12"/>
        </w:rPr>
        <w:t>of</w:t>
      </w:r>
      <w:r>
        <w:rPr>
          <w:rFonts w:ascii="Arial"/>
          <w:color w:val="231F20"/>
          <w:spacing w:val="6"/>
          <w:sz w:val="12"/>
        </w:rPr>
        <w:t> </w:t>
      </w:r>
      <w:r>
        <w:rPr>
          <w:rFonts w:ascii="Arial"/>
          <w:color w:val="231F20"/>
          <w:w w:val="95"/>
          <w:sz w:val="12"/>
        </w:rPr>
        <w:t>Chicago</w:t>
      </w:r>
      <w:r>
        <w:rPr>
          <w:rFonts w:ascii="Arial"/>
          <w:color w:val="231F20"/>
          <w:spacing w:val="6"/>
          <w:sz w:val="12"/>
        </w:rPr>
        <w:t> </w:t>
      </w:r>
      <w:r>
        <w:rPr>
          <w:rFonts w:ascii="Arial"/>
          <w:color w:val="231F20"/>
          <w:spacing w:val="-2"/>
          <w:w w:val="95"/>
          <w:sz w:val="12"/>
        </w:rPr>
        <w:t>Press.</w:t>
      </w:r>
    </w:p>
    <w:p>
      <w:pPr>
        <w:pStyle w:val="ListParagraph"/>
        <w:numPr>
          <w:ilvl w:val="0"/>
          <w:numId w:val="77"/>
        </w:numPr>
        <w:tabs>
          <w:tab w:pos="829" w:val="left" w:leader="none"/>
          <w:tab w:pos="830" w:val="left" w:leader="none"/>
        </w:tabs>
        <w:spacing w:line="240" w:lineRule="auto" w:before="32" w:after="0"/>
        <w:ind w:left="829" w:right="0" w:hanging="328"/>
        <w:jc w:val="left"/>
        <w:rPr>
          <w:rFonts w:ascii="Arial" w:hAnsi="Arial"/>
          <w:sz w:val="12"/>
        </w:rPr>
      </w:pPr>
      <w:r>
        <w:rPr>
          <w:rFonts w:ascii="Arial" w:hAnsi="Arial"/>
          <w:color w:val="231F20"/>
          <w:w w:val="95"/>
          <w:sz w:val="12"/>
        </w:rPr>
        <w:t>Bernstein,</w:t>
      </w:r>
      <w:r>
        <w:rPr>
          <w:rFonts w:ascii="Arial" w:hAnsi="Arial"/>
          <w:color w:val="231F20"/>
          <w:spacing w:val="-2"/>
          <w:sz w:val="12"/>
        </w:rPr>
        <w:t> </w:t>
      </w:r>
      <w:r>
        <w:rPr>
          <w:rFonts w:ascii="Arial" w:hAnsi="Arial"/>
          <w:color w:val="231F20"/>
          <w:w w:val="95"/>
          <w:sz w:val="12"/>
        </w:rPr>
        <w:t>D.</w:t>
      </w:r>
      <w:r>
        <w:rPr>
          <w:rFonts w:ascii="Arial" w:hAnsi="Arial"/>
          <w:color w:val="231F20"/>
          <w:spacing w:val="-1"/>
          <w:sz w:val="12"/>
        </w:rPr>
        <w:t> </w:t>
      </w:r>
      <w:r>
        <w:rPr>
          <w:rFonts w:ascii="Arial" w:hAnsi="Arial"/>
          <w:color w:val="231F20"/>
          <w:w w:val="95"/>
          <w:sz w:val="12"/>
        </w:rPr>
        <w:t>A.</w:t>
      </w:r>
      <w:r>
        <w:rPr>
          <w:rFonts w:ascii="Arial" w:hAnsi="Arial"/>
          <w:color w:val="231F20"/>
          <w:spacing w:val="-1"/>
          <w:sz w:val="12"/>
        </w:rPr>
        <w:t> </w:t>
      </w:r>
      <w:r>
        <w:rPr>
          <w:rFonts w:ascii="Arial" w:hAnsi="Arial"/>
          <w:color w:val="231F20"/>
          <w:w w:val="95"/>
          <w:sz w:val="12"/>
        </w:rPr>
        <w:t>et</w:t>
      </w:r>
      <w:r>
        <w:rPr>
          <w:rFonts w:ascii="Arial" w:hAnsi="Arial"/>
          <w:color w:val="231F20"/>
          <w:spacing w:val="-2"/>
          <w:sz w:val="12"/>
        </w:rPr>
        <w:t> </w:t>
      </w:r>
      <w:r>
        <w:rPr>
          <w:rFonts w:ascii="Arial" w:hAnsi="Arial"/>
          <w:color w:val="231F20"/>
          <w:w w:val="95"/>
          <w:sz w:val="12"/>
        </w:rPr>
        <w:t>Brokovec,</w:t>
      </w:r>
      <w:r>
        <w:rPr>
          <w:rFonts w:ascii="Arial" w:hAnsi="Arial"/>
          <w:color w:val="231F20"/>
          <w:spacing w:val="-1"/>
          <w:sz w:val="12"/>
        </w:rPr>
        <w:t> </w:t>
      </w:r>
      <w:r>
        <w:rPr>
          <w:rFonts w:ascii="Arial" w:hAnsi="Arial"/>
          <w:color w:val="231F20"/>
          <w:w w:val="95"/>
          <w:sz w:val="12"/>
        </w:rPr>
        <w:t>T.</w:t>
      </w:r>
      <w:r>
        <w:rPr>
          <w:rFonts w:ascii="Arial" w:hAnsi="Arial"/>
          <w:color w:val="231F20"/>
          <w:spacing w:val="-1"/>
          <w:sz w:val="12"/>
        </w:rPr>
        <w:t> </w:t>
      </w:r>
      <w:r>
        <w:rPr>
          <w:rFonts w:ascii="Arial" w:hAnsi="Arial"/>
          <w:color w:val="231F20"/>
          <w:w w:val="95"/>
          <w:sz w:val="12"/>
        </w:rPr>
        <w:t>D.</w:t>
      </w:r>
      <w:r>
        <w:rPr>
          <w:rFonts w:ascii="Arial" w:hAnsi="Arial"/>
          <w:color w:val="231F20"/>
          <w:spacing w:val="-2"/>
          <w:sz w:val="12"/>
        </w:rPr>
        <w:t> </w:t>
      </w:r>
      <w:r>
        <w:rPr>
          <w:rFonts w:ascii="Arial" w:hAnsi="Arial"/>
          <w:color w:val="231F20"/>
          <w:w w:val="95"/>
          <w:sz w:val="12"/>
        </w:rPr>
        <w:t>(1983).</w:t>
      </w:r>
      <w:r>
        <w:rPr>
          <w:rFonts w:ascii="Arial" w:hAnsi="Arial"/>
          <w:color w:val="231F20"/>
          <w:spacing w:val="-1"/>
          <w:sz w:val="12"/>
        </w:rPr>
        <w:t> </w:t>
      </w:r>
      <w:r>
        <w:rPr>
          <w:rFonts w:ascii="Arial" w:hAnsi="Arial"/>
          <w:i/>
          <w:color w:val="231F20"/>
          <w:w w:val="95"/>
          <w:sz w:val="12"/>
        </w:rPr>
        <w:t>Enternamiento</w:t>
      </w:r>
      <w:r>
        <w:rPr>
          <w:rFonts w:ascii="Arial" w:hAnsi="Arial"/>
          <w:i/>
          <w:color w:val="231F20"/>
          <w:spacing w:val="-1"/>
          <w:sz w:val="12"/>
        </w:rPr>
        <w:t> </w:t>
      </w:r>
      <w:r>
        <w:rPr>
          <w:rFonts w:ascii="Arial" w:hAnsi="Arial"/>
          <w:i/>
          <w:color w:val="231F20"/>
          <w:w w:val="95"/>
          <w:sz w:val="12"/>
        </w:rPr>
        <w:t>en</w:t>
      </w:r>
      <w:r>
        <w:rPr>
          <w:rFonts w:ascii="Arial" w:hAnsi="Arial"/>
          <w:i/>
          <w:color w:val="231F20"/>
          <w:spacing w:val="-2"/>
          <w:sz w:val="12"/>
        </w:rPr>
        <w:t> </w:t>
      </w:r>
      <w:r>
        <w:rPr>
          <w:rFonts w:ascii="Arial" w:hAnsi="Arial"/>
          <w:i/>
          <w:color w:val="231F20"/>
          <w:w w:val="95"/>
          <w:sz w:val="12"/>
        </w:rPr>
        <w:t>relajación</w:t>
      </w:r>
      <w:r>
        <w:rPr>
          <w:rFonts w:ascii="Arial" w:hAnsi="Arial"/>
          <w:i/>
          <w:color w:val="231F20"/>
          <w:spacing w:val="-1"/>
          <w:sz w:val="12"/>
        </w:rPr>
        <w:t> </w:t>
      </w:r>
      <w:r>
        <w:rPr>
          <w:rFonts w:ascii="Arial" w:hAnsi="Arial"/>
          <w:i/>
          <w:color w:val="231F20"/>
          <w:w w:val="95"/>
          <w:sz w:val="12"/>
        </w:rPr>
        <w:t>progresiva</w:t>
      </w:r>
      <w:r>
        <w:rPr>
          <w:rFonts w:ascii="Arial" w:hAnsi="Arial"/>
          <w:color w:val="231F20"/>
          <w:w w:val="95"/>
          <w:sz w:val="12"/>
        </w:rPr>
        <w:t>,</w:t>
      </w:r>
      <w:r>
        <w:rPr>
          <w:rFonts w:ascii="Arial" w:hAnsi="Arial"/>
          <w:color w:val="231F20"/>
          <w:spacing w:val="-1"/>
          <w:sz w:val="12"/>
        </w:rPr>
        <w:t> </w:t>
      </w:r>
      <w:r>
        <w:rPr>
          <w:rFonts w:ascii="Arial" w:hAnsi="Arial"/>
          <w:color w:val="231F20"/>
          <w:w w:val="95"/>
          <w:sz w:val="12"/>
        </w:rPr>
        <w:t>Bilbao,</w:t>
      </w:r>
      <w:r>
        <w:rPr>
          <w:rFonts w:ascii="Arial" w:hAnsi="Arial"/>
          <w:color w:val="231F20"/>
          <w:spacing w:val="-2"/>
          <w:sz w:val="12"/>
        </w:rPr>
        <w:t> </w:t>
      </w:r>
      <w:r>
        <w:rPr>
          <w:rFonts w:ascii="Arial" w:hAnsi="Arial"/>
          <w:color w:val="231F20"/>
          <w:w w:val="95"/>
          <w:sz w:val="12"/>
        </w:rPr>
        <w:t>Desclée</w:t>
      </w:r>
      <w:r>
        <w:rPr>
          <w:rFonts w:ascii="Arial" w:hAnsi="Arial"/>
          <w:color w:val="231F20"/>
          <w:spacing w:val="-1"/>
          <w:sz w:val="12"/>
        </w:rPr>
        <w:t> </w:t>
      </w:r>
      <w:r>
        <w:rPr>
          <w:rFonts w:ascii="Arial" w:hAnsi="Arial"/>
          <w:color w:val="231F20"/>
          <w:w w:val="95"/>
          <w:sz w:val="12"/>
        </w:rPr>
        <w:t>de</w:t>
      </w:r>
      <w:r>
        <w:rPr>
          <w:rFonts w:ascii="Arial" w:hAnsi="Arial"/>
          <w:color w:val="231F20"/>
          <w:spacing w:val="-1"/>
          <w:sz w:val="12"/>
        </w:rPr>
        <w:t> </w:t>
      </w:r>
      <w:r>
        <w:rPr>
          <w:rFonts w:ascii="Arial" w:hAnsi="Arial"/>
          <w:color w:val="231F20"/>
          <w:spacing w:val="-2"/>
          <w:w w:val="95"/>
          <w:sz w:val="12"/>
        </w:rPr>
        <w:t>Brouwer.</w:t>
      </w:r>
    </w:p>
    <w:p>
      <w:pPr>
        <w:spacing w:after="0" w:line="240" w:lineRule="auto"/>
        <w:jc w:val="left"/>
        <w:rPr>
          <w:rFonts w:ascii="Arial" w:hAnsi="Arial"/>
          <w:sz w:val="12"/>
        </w:rPr>
        <w:sectPr>
          <w:footerReference w:type="default" r:id="rId294"/>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spacing w:line="307" w:lineRule="auto" w:before="122"/>
        <w:ind w:left="1220" w:right="102" w:firstLine="0"/>
        <w:jc w:val="both"/>
        <w:rPr>
          <w:sz w:val="17"/>
        </w:rPr>
      </w:pPr>
      <w:r>
        <w:rPr>
          <w:b/>
          <w:color w:val="231F20"/>
          <w:spacing w:val="-2"/>
          <w:w w:val="115"/>
          <w:sz w:val="17"/>
        </w:rPr>
        <w:t>Training</w:t>
      </w:r>
      <w:r>
        <w:rPr>
          <w:b/>
          <w:color w:val="231F20"/>
          <w:spacing w:val="-9"/>
          <w:w w:val="115"/>
          <w:sz w:val="17"/>
        </w:rPr>
        <w:t> </w:t>
      </w:r>
      <w:r>
        <w:rPr>
          <w:b/>
          <w:color w:val="231F20"/>
          <w:spacing w:val="-2"/>
          <w:w w:val="115"/>
          <w:sz w:val="17"/>
        </w:rPr>
        <w:t>autogène</w:t>
      </w:r>
      <w:r>
        <w:rPr>
          <w:b/>
          <w:color w:val="231F20"/>
          <w:spacing w:val="-9"/>
          <w:w w:val="115"/>
          <w:sz w:val="17"/>
        </w:rPr>
        <w:t> </w:t>
      </w:r>
      <w:r>
        <w:rPr>
          <w:b/>
          <w:color w:val="231F20"/>
          <w:spacing w:val="-2"/>
          <w:w w:val="115"/>
          <w:sz w:val="17"/>
        </w:rPr>
        <w:t>(méthode</w:t>
      </w:r>
      <w:r>
        <w:rPr>
          <w:b/>
          <w:color w:val="231F20"/>
          <w:spacing w:val="-9"/>
          <w:w w:val="115"/>
          <w:sz w:val="17"/>
        </w:rPr>
        <w:t> </w:t>
      </w:r>
      <w:r>
        <w:rPr>
          <w:b/>
          <w:color w:val="231F20"/>
          <w:spacing w:val="-2"/>
          <w:w w:val="115"/>
          <w:sz w:val="17"/>
        </w:rPr>
        <w:t>de</w:t>
      </w:r>
      <w:r>
        <w:rPr>
          <w:b/>
          <w:color w:val="231F20"/>
          <w:spacing w:val="-9"/>
          <w:w w:val="115"/>
          <w:sz w:val="17"/>
        </w:rPr>
        <w:t> </w:t>
      </w:r>
      <w:r>
        <w:rPr>
          <w:b/>
          <w:color w:val="231F20"/>
          <w:spacing w:val="-2"/>
          <w:w w:val="115"/>
          <w:sz w:val="17"/>
        </w:rPr>
        <w:t>Schultz).</w:t>
      </w:r>
      <w:r>
        <w:rPr>
          <w:b/>
          <w:color w:val="231F20"/>
          <w:spacing w:val="-6"/>
          <w:w w:val="115"/>
          <w:sz w:val="17"/>
        </w:rPr>
        <w:t> </w:t>
      </w:r>
      <w:r>
        <w:rPr>
          <w:color w:val="231F20"/>
          <w:spacing w:val="-2"/>
          <w:w w:val="115"/>
          <w:sz w:val="17"/>
        </w:rPr>
        <w:t>C’est</w:t>
      </w:r>
      <w:r>
        <w:rPr>
          <w:color w:val="231F20"/>
          <w:spacing w:val="-6"/>
          <w:w w:val="115"/>
          <w:sz w:val="17"/>
        </w:rPr>
        <w:t> </w:t>
      </w:r>
      <w:r>
        <w:rPr>
          <w:color w:val="231F20"/>
          <w:spacing w:val="-2"/>
          <w:w w:val="115"/>
          <w:sz w:val="17"/>
        </w:rPr>
        <w:t>en</w:t>
      </w:r>
      <w:r>
        <w:rPr>
          <w:color w:val="231F20"/>
          <w:spacing w:val="-6"/>
          <w:w w:val="115"/>
          <w:sz w:val="17"/>
        </w:rPr>
        <w:t> </w:t>
      </w:r>
      <w:r>
        <w:rPr>
          <w:color w:val="231F20"/>
          <w:spacing w:val="-2"/>
          <w:w w:val="115"/>
          <w:sz w:val="17"/>
        </w:rPr>
        <w:t>1912</w:t>
      </w:r>
      <w:r>
        <w:rPr>
          <w:color w:val="231F20"/>
          <w:spacing w:val="-6"/>
          <w:w w:val="115"/>
          <w:sz w:val="17"/>
        </w:rPr>
        <w:t> </w:t>
      </w:r>
      <w:r>
        <w:rPr>
          <w:color w:val="231F20"/>
          <w:spacing w:val="-2"/>
          <w:w w:val="115"/>
          <w:sz w:val="17"/>
        </w:rPr>
        <w:t>que</w:t>
      </w:r>
      <w:r>
        <w:rPr>
          <w:color w:val="231F20"/>
          <w:spacing w:val="-6"/>
          <w:w w:val="115"/>
          <w:sz w:val="17"/>
        </w:rPr>
        <w:t> </w:t>
      </w:r>
      <w:r>
        <w:rPr>
          <w:color w:val="231F20"/>
          <w:spacing w:val="-2"/>
          <w:w w:val="115"/>
          <w:sz w:val="17"/>
        </w:rPr>
        <w:t>J.</w:t>
      </w:r>
      <w:r>
        <w:rPr>
          <w:color w:val="231F20"/>
          <w:spacing w:val="-6"/>
          <w:w w:val="115"/>
          <w:sz w:val="17"/>
        </w:rPr>
        <w:t> </w:t>
      </w:r>
      <w:r>
        <w:rPr>
          <w:color w:val="231F20"/>
          <w:spacing w:val="-2"/>
          <w:w w:val="115"/>
          <w:sz w:val="17"/>
        </w:rPr>
        <w:t>H.</w:t>
      </w:r>
      <w:r>
        <w:rPr>
          <w:color w:val="231F20"/>
          <w:spacing w:val="-6"/>
          <w:w w:val="115"/>
          <w:sz w:val="17"/>
        </w:rPr>
        <w:t> </w:t>
      </w:r>
      <w:r>
        <w:rPr>
          <w:color w:val="231F20"/>
          <w:spacing w:val="-2"/>
          <w:w w:val="115"/>
          <w:sz w:val="17"/>
        </w:rPr>
        <w:t>Schultz </w:t>
      </w:r>
      <w:r>
        <w:rPr>
          <w:color w:val="231F20"/>
          <w:w w:val="120"/>
          <w:sz w:val="17"/>
        </w:rPr>
        <w:t>commença à étudier les principes du </w:t>
      </w:r>
      <w:r>
        <w:rPr>
          <w:i/>
          <w:color w:val="231F20"/>
          <w:w w:val="120"/>
          <w:sz w:val="17"/>
        </w:rPr>
        <w:t>training </w:t>
      </w:r>
      <w:r>
        <w:rPr>
          <w:color w:val="231F20"/>
          <w:w w:val="120"/>
          <w:sz w:val="17"/>
        </w:rPr>
        <w:t>autogène, à partir de ses </w:t>
      </w:r>
      <w:r>
        <w:rPr>
          <w:color w:val="231F20"/>
          <w:w w:val="115"/>
          <w:sz w:val="17"/>
        </w:rPr>
        <w:t>observations sur l’hypnose. Étymologiquement, le terme </w:t>
      </w:r>
      <w:r>
        <w:rPr>
          <w:i/>
          <w:color w:val="231F20"/>
          <w:w w:val="115"/>
          <w:sz w:val="17"/>
        </w:rPr>
        <w:t>autogène </w:t>
      </w:r>
      <w:r>
        <w:rPr>
          <w:color w:val="231F20"/>
          <w:w w:val="115"/>
          <w:sz w:val="17"/>
        </w:rPr>
        <w:t>vient des</w:t>
      </w:r>
      <w:r>
        <w:rPr>
          <w:color w:val="231F20"/>
          <w:spacing w:val="-13"/>
          <w:w w:val="115"/>
          <w:sz w:val="17"/>
        </w:rPr>
        <w:t> </w:t>
      </w:r>
      <w:r>
        <w:rPr>
          <w:color w:val="231F20"/>
          <w:w w:val="115"/>
          <w:sz w:val="17"/>
        </w:rPr>
        <w:t>mots</w:t>
      </w:r>
      <w:r>
        <w:rPr>
          <w:color w:val="231F20"/>
          <w:spacing w:val="-12"/>
          <w:w w:val="115"/>
          <w:sz w:val="17"/>
        </w:rPr>
        <w:t> </w:t>
      </w:r>
      <w:r>
        <w:rPr>
          <w:color w:val="231F20"/>
          <w:w w:val="115"/>
          <w:sz w:val="17"/>
        </w:rPr>
        <w:t>grecs</w:t>
      </w:r>
      <w:r>
        <w:rPr>
          <w:color w:val="231F20"/>
          <w:spacing w:val="-12"/>
          <w:w w:val="115"/>
          <w:sz w:val="17"/>
        </w:rPr>
        <w:t> </w:t>
      </w:r>
      <w:r>
        <w:rPr>
          <w:i/>
          <w:color w:val="231F20"/>
          <w:w w:val="115"/>
          <w:sz w:val="17"/>
        </w:rPr>
        <w:t>autos</w:t>
      </w:r>
      <w:r>
        <w:rPr>
          <w:i/>
          <w:color w:val="231F20"/>
          <w:spacing w:val="-11"/>
          <w:w w:val="115"/>
          <w:sz w:val="17"/>
        </w:rPr>
        <w:t> </w:t>
      </w:r>
      <w:r>
        <w:rPr>
          <w:color w:val="231F20"/>
          <w:w w:val="115"/>
          <w:sz w:val="17"/>
        </w:rPr>
        <w:t>(soi-même)</w:t>
      </w:r>
      <w:r>
        <w:rPr>
          <w:color w:val="231F20"/>
          <w:spacing w:val="-7"/>
          <w:w w:val="115"/>
          <w:sz w:val="17"/>
        </w:rPr>
        <w:t> </w:t>
      </w:r>
      <w:r>
        <w:rPr>
          <w:color w:val="231F20"/>
          <w:w w:val="115"/>
          <w:sz w:val="17"/>
        </w:rPr>
        <w:t>et</w:t>
      </w:r>
      <w:r>
        <w:rPr>
          <w:color w:val="231F20"/>
          <w:spacing w:val="-7"/>
          <w:w w:val="115"/>
          <w:sz w:val="17"/>
        </w:rPr>
        <w:t> </w:t>
      </w:r>
      <w:r>
        <w:rPr>
          <w:i/>
          <w:color w:val="231F20"/>
          <w:w w:val="115"/>
          <w:sz w:val="17"/>
        </w:rPr>
        <w:t>genos</w:t>
      </w:r>
      <w:r>
        <w:rPr>
          <w:i/>
          <w:color w:val="231F20"/>
          <w:spacing w:val="-9"/>
          <w:w w:val="115"/>
          <w:sz w:val="17"/>
        </w:rPr>
        <w:t> </w:t>
      </w:r>
      <w:r>
        <w:rPr>
          <w:color w:val="231F20"/>
          <w:w w:val="115"/>
          <w:sz w:val="17"/>
        </w:rPr>
        <w:t>(origine,</w:t>
      </w:r>
      <w:r>
        <w:rPr>
          <w:color w:val="231F20"/>
          <w:spacing w:val="-7"/>
          <w:w w:val="115"/>
          <w:sz w:val="17"/>
        </w:rPr>
        <w:t> </w:t>
      </w:r>
      <w:r>
        <w:rPr>
          <w:color w:val="231F20"/>
          <w:w w:val="115"/>
          <w:sz w:val="17"/>
        </w:rPr>
        <w:t>naissance)</w:t>
      </w:r>
      <w:r>
        <w:rPr>
          <w:color w:val="231F20"/>
          <w:spacing w:val="-13"/>
          <w:w w:val="115"/>
          <w:sz w:val="17"/>
        </w:rPr>
        <w:t> </w:t>
      </w:r>
      <w:r>
        <w:rPr>
          <w:color w:val="231F20"/>
          <w:w w:val="115"/>
          <w:sz w:val="17"/>
        </w:rPr>
        <w:t>;</w:t>
      </w:r>
      <w:r>
        <w:rPr>
          <w:color w:val="231F20"/>
          <w:spacing w:val="-7"/>
          <w:w w:val="115"/>
          <w:sz w:val="17"/>
        </w:rPr>
        <w:t> </w:t>
      </w:r>
      <w:r>
        <w:rPr>
          <w:color w:val="231F20"/>
          <w:w w:val="115"/>
          <w:sz w:val="17"/>
        </w:rPr>
        <w:t>le</w:t>
      </w:r>
      <w:r>
        <w:rPr>
          <w:color w:val="231F20"/>
          <w:spacing w:val="-7"/>
          <w:w w:val="115"/>
          <w:sz w:val="17"/>
        </w:rPr>
        <w:t> </w:t>
      </w:r>
      <w:r>
        <w:rPr>
          <w:i/>
          <w:color w:val="231F20"/>
          <w:w w:val="115"/>
          <w:sz w:val="17"/>
        </w:rPr>
        <w:t>training </w:t>
      </w:r>
      <w:r>
        <w:rPr>
          <w:color w:val="231F20"/>
          <w:w w:val="120"/>
          <w:sz w:val="17"/>
        </w:rPr>
        <w:t>autogène</w:t>
      </w:r>
      <w:r>
        <w:rPr>
          <w:color w:val="231F20"/>
          <w:spacing w:val="2"/>
          <w:w w:val="120"/>
          <w:sz w:val="17"/>
        </w:rPr>
        <w:t> </w:t>
      </w:r>
      <w:r>
        <w:rPr>
          <w:color w:val="231F20"/>
          <w:w w:val="120"/>
          <w:sz w:val="17"/>
        </w:rPr>
        <w:t>serait</w:t>
      </w:r>
      <w:r>
        <w:rPr>
          <w:color w:val="231F20"/>
          <w:spacing w:val="2"/>
          <w:w w:val="120"/>
          <w:sz w:val="17"/>
        </w:rPr>
        <w:t> </w:t>
      </w:r>
      <w:r>
        <w:rPr>
          <w:color w:val="231F20"/>
          <w:w w:val="120"/>
          <w:sz w:val="17"/>
        </w:rPr>
        <w:t>donc</w:t>
      </w:r>
      <w:r>
        <w:rPr>
          <w:color w:val="231F20"/>
          <w:spacing w:val="2"/>
          <w:w w:val="120"/>
          <w:sz w:val="17"/>
        </w:rPr>
        <w:t> </w:t>
      </w:r>
      <w:r>
        <w:rPr>
          <w:color w:val="231F20"/>
          <w:w w:val="120"/>
          <w:sz w:val="17"/>
        </w:rPr>
        <w:t>une</w:t>
      </w:r>
      <w:r>
        <w:rPr>
          <w:color w:val="231F20"/>
          <w:spacing w:val="2"/>
          <w:w w:val="120"/>
          <w:sz w:val="17"/>
        </w:rPr>
        <w:t> </w:t>
      </w:r>
      <w:r>
        <w:rPr>
          <w:color w:val="231F20"/>
          <w:w w:val="120"/>
          <w:sz w:val="17"/>
        </w:rPr>
        <w:t>formation</w:t>
      </w:r>
      <w:r>
        <w:rPr>
          <w:color w:val="231F20"/>
          <w:spacing w:val="3"/>
          <w:w w:val="120"/>
          <w:sz w:val="17"/>
        </w:rPr>
        <w:t> </w:t>
      </w:r>
      <w:r>
        <w:rPr>
          <w:color w:val="231F20"/>
          <w:w w:val="120"/>
          <w:sz w:val="17"/>
        </w:rPr>
        <w:t>ou</w:t>
      </w:r>
      <w:r>
        <w:rPr>
          <w:color w:val="231F20"/>
          <w:spacing w:val="2"/>
          <w:w w:val="120"/>
          <w:sz w:val="17"/>
        </w:rPr>
        <w:t> </w:t>
      </w:r>
      <w:r>
        <w:rPr>
          <w:color w:val="231F20"/>
          <w:w w:val="120"/>
          <w:sz w:val="17"/>
        </w:rPr>
        <w:t>un</w:t>
      </w:r>
      <w:r>
        <w:rPr>
          <w:color w:val="231F20"/>
          <w:spacing w:val="2"/>
          <w:w w:val="120"/>
          <w:sz w:val="17"/>
        </w:rPr>
        <w:t> </w:t>
      </w:r>
      <w:r>
        <w:rPr>
          <w:color w:val="231F20"/>
          <w:w w:val="120"/>
          <w:sz w:val="17"/>
        </w:rPr>
        <w:t>exercice</w:t>
      </w:r>
      <w:r>
        <w:rPr>
          <w:color w:val="231F20"/>
          <w:spacing w:val="2"/>
          <w:w w:val="120"/>
          <w:sz w:val="17"/>
        </w:rPr>
        <w:t> </w:t>
      </w:r>
      <w:r>
        <w:rPr>
          <w:color w:val="231F20"/>
          <w:w w:val="120"/>
          <w:sz w:val="17"/>
        </w:rPr>
        <w:t>élaboré</w:t>
      </w:r>
      <w:r>
        <w:rPr>
          <w:color w:val="231F20"/>
          <w:spacing w:val="2"/>
          <w:w w:val="120"/>
          <w:sz w:val="17"/>
        </w:rPr>
        <w:t> </w:t>
      </w:r>
      <w:r>
        <w:rPr>
          <w:color w:val="231F20"/>
          <w:w w:val="120"/>
          <w:sz w:val="17"/>
        </w:rPr>
        <w:t>à</w:t>
      </w:r>
      <w:r>
        <w:rPr>
          <w:color w:val="231F20"/>
          <w:spacing w:val="3"/>
          <w:w w:val="120"/>
          <w:sz w:val="17"/>
        </w:rPr>
        <w:t> </w:t>
      </w:r>
      <w:r>
        <w:rPr>
          <w:color w:val="231F20"/>
          <w:w w:val="120"/>
          <w:sz w:val="17"/>
        </w:rPr>
        <w:t>partir</w:t>
      </w:r>
      <w:r>
        <w:rPr>
          <w:color w:val="231F20"/>
          <w:spacing w:val="2"/>
          <w:w w:val="120"/>
          <w:sz w:val="17"/>
        </w:rPr>
        <w:t> </w:t>
      </w:r>
      <w:r>
        <w:rPr>
          <w:color w:val="231F20"/>
          <w:spacing w:val="-5"/>
          <w:w w:val="120"/>
          <w:sz w:val="17"/>
        </w:rPr>
        <w:t>du</w:t>
      </w:r>
    </w:p>
    <w:p>
      <w:pPr>
        <w:pStyle w:val="BodyText"/>
        <w:spacing w:line="195" w:lineRule="exact"/>
        <w:ind w:left="1220"/>
        <w:jc w:val="both"/>
      </w:pPr>
      <w:r>
        <w:rPr>
          <w:color w:val="231F20"/>
          <w:w w:val="115"/>
        </w:rPr>
        <w:t>«soi»</w:t>
      </w:r>
      <w:r>
        <w:rPr>
          <w:color w:val="231F20"/>
          <w:spacing w:val="-18"/>
          <w:w w:val="115"/>
        </w:rPr>
        <w:t> </w:t>
      </w:r>
      <w:r>
        <w:rPr>
          <w:color w:val="231F20"/>
          <w:w w:val="115"/>
        </w:rPr>
        <w:t>de</w:t>
      </w:r>
      <w:r>
        <w:rPr>
          <w:color w:val="231F20"/>
          <w:spacing w:val="-18"/>
          <w:w w:val="115"/>
        </w:rPr>
        <w:t> </w:t>
      </w:r>
      <w:r>
        <w:rPr>
          <w:color w:val="231F20"/>
          <w:w w:val="115"/>
        </w:rPr>
        <w:t>l’individu,</w:t>
      </w:r>
      <w:r>
        <w:rPr>
          <w:color w:val="231F20"/>
          <w:spacing w:val="-17"/>
          <w:w w:val="115"/>
        </w:rPr>
        <w:t> </w:t>
      </w:r>
      <w:r>
        <w:rPr>
          <w:color w:val="231F20"/>
          <w:w w:val="115"/>
        </w:rPr>
        <w:t>et</w:t>
      </w:r>
      <w:r>
        <w:rPr>
          <w:color w:val="231F20"/>
          <w:spacing w:val="-18"/>
          <w:w w:val="115"/>
        </w:rPr>
        <w:t> </w:t>
      </w:r>
      <w:r>
        <w:rPr>
          <w:color w:val="231F20"/>
          <w:w w:val="115"/>
        </w:rPr>
        <w:t>qui</w:t>
      </w:r>
      <w:r>
        <w:rPr>
          <w:color w:val="231F20"/>
          <w:spacing w:val="-18"/>
          <w:w w:val="115"/>
        </w:rPr>
        <w:t> </w:t>
      </w:r>
      <w:r>
        <w:rPr>
          <w:color w:val="231F20"/>
          <w:w w:val="115"/>
        </w:rPr>
        <w:t>donne</w:t>
      </w:r>
      <w:r>
        <w:rPr>
          <w:color w:val="231F20"/>
          <w:spacing w:val="-17"/>
          <w:w w:val="115"/>
        </w:rPr>
        <w:t> </w:t>
      </w:r>
      <w:r>
        <w:rPr>
          <w:color w:val="231F20"/>
          <w:w w:val="115"/>
        </w:rPr>
        <w:t>forme</w:t>
      </w:r>
      <w:r>
        <w:rPr>
          <w:color w:val="231F20"/>
          <w:spacing w:val="-18"/>
          <w:w w:val="115"/>
        </w:rPr>
        <w:t> </w:t>
      </w:r>
      <w:r>
        <w:rPr>
          <w:color w:val="231F20"/>
          <w:w w:val="115"/>
        </w:rPr>
        <w:t>à</w:t>
      </w:r>
      <w:r>
        <w:rPr>
          <w:color w:val="231F20"/>
          <w:spacing w:val="-18"/>
          <w:w w:val="115"/>
        </w:rPr>
        <w:t> </w:t>
      </w:r>
      <w:r>
        <w:rPr>
          <w:color w:val="231F20"/>
          <w:w w:val="115"/>
        </w:rPr>
        <w:t>ce</w:t>
      </w:r>
      <w:r>
        <w:rPr>
          <w:color w:val="231F20"/>
          <w:spacing w:val="-17"/>
          <w:w w:val="115"/>
        </w:rPr>
        <w:t> </w:t>
      </w:r>
      <w:r>
        <w:rPr>
          <w:color w:val="231F20"/>
          <w:w w:val="115"/>
        </w:rPr>
        <w:t>«soi».</w:t>
      </w:r>
      <w:r>
        <w:rPr>
          <w:color w:val="231F20"/>
          <w:spacing w:val="-18"/>
          <w:w w:val="115"/>
        </w:rPr>
        <w:t> </w:t>
      </w:r>
      <w:r>
        <w:rPr>
          <w:color w:val="231F20"/>
          <w:w w:val="115"/>
        </w:rPr>
        <w:t>En</w:t>
      </w:r>
      <w:r>
        <w:rPr>
          <w:color w:val="231F20"/>
          <w:spacing w:val="-17"/>
          <w:w w:val="115"/>
        </w:rPr>
        <w:t> </w:t>
      </w:r>
      <w:r>
        <w:rPr>
          <w:color w:val="231F20"/>
          <w:w w:val="115"/>
        </w:rPr>
        <w:t>ce</w:t>
      </w:r>
      <w:r>
        <w:rPr>
          <w:color w:val="231F20"/>
          <w:spacing w:val="-18"/>
          <w:w w:val="115"/>
        </w:rPr>
        <w:t> </w:t>
      </w:r>
      <w:r>
        <w:rPr>
          <w:color w:val="231F20"/>
          <w:w w:val="115"/>
        </w:rPr>
        <w:t>sens,</w:t>
      </w:r>
      <w:r>
        <w:rPr>
          <w:color w:val="231F20"/>
          <w:spacing w:val="-18"/>
          <w:w w:val="115"/>
        </w:rPr>
        <w:t> </w:t>
      </w:r>
      <w:r>
        <w:rPr>
          <w:color w:val="231F20"/>
          <w:w w:val="115"/>
        </w:rPr>
        <w:t>Schultz</w:t>
      </w:r>
      <w:r>
        <w:rPr>
          <w:color w:val="231F20"/>
          <w:spacing w:val="-17"/>
          <w:w w:val="115"/>
        </w:rPr>
        <w:t> </w:t>
      </w:r>
      <w:r>
        <w:rPr>
          <w:color w:val="231F20"/>
          <w:spacing w:val="-2"/>
          <w:w w:val="115"/>
        </w:rPr>
        <w:t>écrit:</w:t>
      </w:r>
    </w:p>
    <w:p>
      <w:pPr>
        <w:pStyle w:val="BodyText"/>
        <w:spacing w:before="5"/>
        <w:rPr>
          <w:sz w:val="26"/>
        </w:rPr>
      </w:pPr>
    </w:p>
    <w:p>
      <w:pPr>
        <w:pStyle w:val="BodyText"/>
        <w:spacing w:line="307" w:lineRule="auto" w:before="1"/>
        <w:ind w:left="1470" w:right="351"/>
        <w:jc w:val="both"/>
      </w:pPr>
      <w:r>
        <w:rPr>
          <w:color w:val="231F20"/>
          <w:w w:val="120"/>
        </w:rPr>
        <w:t>Le</w:t>
      </w:r>
      <w:r>
        <w:rPr>
          <w:color w:val="231F20"/>
          <w:spacing w:val="-3"/>
          <w:w w:val="120"/>
        </w:rPr>
        <w:t> </w:t>
      </w:r>
      <w:r>
        <w:rPr>
          <w:color w:val="231F20"/>
          <w:w w:val="120"/>
        </w:rPr>
        <w:t>principe</w:t>
      </w:r>
      <w:r>
        <w:rPr>
          <w:color w:val="231F20"/>
          <w:spacing w:val="-4"/>
          <w:w w:val="120"/>
        </w:rPr>
        <w:t> </w:t>
      </w:r>
      <w:r>
        <w:rPr>
          <w:color w:val="231F20"/>
          <w:w w:val="120"/>
        </w:rPr>
        <w:t>de</w:t>
      </w:r>
      <w:r>
        <w:rPr>
          <w:color w:val="231F20"/>
          <w:spacing w:val="-3"/>
          <w:w w:val="120"/>
        </w:rPr>
        <w:t> </w:t>
      </w:r>
      <w:r>
        <w:rPr>
          <w:color w:val="231F20"/>
          <w:w w:val="120"/>
        </w:rPr>
        <w:t>la</w:t>
      </w:r>
      <w:r>
        <w:rPr>
          <w:color w:val="231F20"/>
          <w:spacing w:val="-3"/>
          <w:w w:val="120"/>
        </w:rPr>
        <w:t> </w:t>
      </w:r>
      <w:r>
        <w:rPr>
          <w:color w:val="231F20"/>
          <w:w w:val="120"/>
        </w:rPr>
        <w:t>méthode</w:t>
      </w:r>
      <w:r>
        <w:rPr>
          <w:color w:val="231F20"/>
          <w:spacing w:val="-3"/>
          <w:w w:val="120"/>
        </w:rPr>
        <w:t> </w:t>
      </w:r>
      <w:r>
        <w:rPr>
          <w:color w:val="231F20"/>
          <w:w w:val="120"/>
        </w:rPr>
        <w:t>du</w:t>
      </w:r>
      <w:r>
        <w:rPr>
          <w:color w:val="231F20"/>
          <w:spacing w:val="-3"/>
          <w:w w:val="120"/>
        </w:rPr>
        <w:t> </w:t>
      </w:r>
      <w:r>
        <w:rPr>
          <w:color w:val="231F20"/>
          <w:w w:val="120"/>
        </w:rPr>
        <w:t>training</w:t>
      </w:r>
      <w:r>
        <w:rPr>
          <w:color w:val="231F20"/>
          <w:spacing w:val="-4"/>
          <w:w w:val="120"/>
        </w:rPr>
        <w:t> </w:t>
      </w:r>
      <w:r>
        <w:rPr>
          <w:color w:val="231F20"/>
          <w:w w:val="120"/>
        </w:rPr>
        <w:t>autogène</w:t>
      </w:r>
      <w:r>
        <w:rPr>
          <w:color w:val="231F20"/>
          <w:spacing w:val="-4"/>
          <w:w w:val="120"/>
        </w:rPr>
        <w:t> </w:t>
      </w:r>
      <w:r>
        <w:rPr>
          <w:color w:val="231F20"/>
          <w:w w:val="120"/>
        </w:rPr>
        <w:t>est</w:t>
      </w:r>
      <w:r>
        <w:rPr>
          <w:color w:val="231F20"/>
          <w:spacing w:val="-3"/>
          <w:w w:val="120"/>
        </w:rPr>
        <w:t> </w:t>
      </w:r>
      <w:r>
        <w:rPr>
          <w:color w:val="231F20"/>
          <w:w w:val="120"/>
        </w:rPr>
        <w:t>d’induire</w:t>
      </w:r>
      <w:r>
        <w:rPr>
          <w:color w:val="231F20"/>
          <w:spacing w:val="-3"/>
          <w:w w:val="120"/>
        </w:rPr>
        <w:t> </w:t>
      </w:r>
      <w:r>
        <w:rPr>
          <w:color w:val="231F20"/>
          <w:w w:val="120"/>
        </w:rPr>
        <w:t>par </w:t>
      </w:r>
      <w:r>
        <w:rPr>
          <w:color w:val="231F20"/>
          <w:spacing w:val="-4"/>
          <w:w w:val="120"/>
        </w:rPr>
        <w:t>des</w:t>
      </w:r>
      <w:r>
        <w:rPr>
          <w:color w:val="231F20"/>
          <w:spacing w:val="-6"/>
          <w:w w:val="120"/>
        </w:rPr>
        <w:t> </w:t>
      </w:r>
      <w:r>
        <w:rPr>
          <w:color w:val="231F20"/>
          <w:spacing w:val="-4"/>
          <w:w w:val="120"/>
        </w:rPr>
        <w:t>exercices</w:t>
      </w:r>
      <w:r>
        <w:rPr>
          <w:color w:val="231F20"/>
          <w:spacing w:val="-6"/>
          <w:w w:val="120"/>
        </w:rPr>
        <w:t> </w:t>
      </w:r>
      <w:r>
        <w:rPr>
          <w:color w:val="231F20"/>
          <w:spacing w:val="-4"/>
          <w:w w:val="120"/>
        </w:rPr>
        <w:t>physiologiques</w:t>
      </w:r>
      <w:r>
        <w:rPr>
          <w:color w:val="231F20"/>
          <w:spacing w:val="-6"/>
          <w:w w:val="120"/>
        </w:rPr>
        <w:t> </w:t>
      </w:r>
      <w:r>
        <w:rPr>
          <w:color w:val="231F20"/>
          <w:spacing w:val="-4"/>
          <w:w w:val="120"/>
        </w:rPr>
        <w:t>et</w:t>
      </w:r>
      <w:r>
        <w:rPr>
          <w:color w:val="231F20"/>
          <w:spacing w:val="-6"/>
          <w:w w:val="120"/>
        </w:rPr>
        <w:t> </w:t>
      </w:r>
      <w:r>
        <w:rPr>
          <w:color w:val="231F20"/>
          <w:spacing w:val="-4"/>
          <w:w w:val="120"/>
        </w:rPr>
        <w:t>rationnels</w:t>
      </w:r>
      <w:r>
        <w:rPr>
          <w:color w:val="231F20"/>
          <w:spacing w:val="-6"/>
          <w:w w:val="120"/>
        </w:rPr>
        <w:t> </w:t>
      </w:r>
      <w:r>
        <w:rPr>
          <w:color w:val="231F20"/>
          <w:spacing w:val="-4"/>
          <w:w w:val="120"/>
        </w:rPr>
        <w:t>déterminés</w:t>
      </w:r>
      <w:r>
        <w:rPr>
          <w:color w:val="231F20"/>
          <w:spacing w:val="-6"/>
          <w:w w:val="120"/>
        </w:rPr>
        <w:t> </w:t>
      </w:r>
      <w:r>
        <w:rPr>
          <w:color w:val="231F20"/>
          <w:spacing w:val="-4"/>
          <w:w w:val="120"/>
        </w:rPr>
        <w:t>[l’expérience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pesanteur,</w:t>
      </w:r>
      <w:r>
        <w:rPr>
          <w:color w:val="231F20"/>
          <w:spacing w:val="-13"/>
          <w:w w:val="120"/>
        </w:rPr>
        <w:t> </w:t>
      </w:r>
      <w:r>
        <w:rPr>
          <w:color w:val="231F20"/>
          <w:w w:val="120"/>
        </w:rPr>
        <w:t>l’expérience</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chaleur,</w:t>
      </w:r>
      <w:r>
        <w:rPr>
          <w:color w:val="231F20"/>
          <w:spacing w:val="-13"/>
          <w:w w:val="120"/>
        </w:rPr>
        <w:t> </w:t>
      </w:r>
      <w:r>
        <w:rPr>
          <w:color w:val="231F20"/>
          <w:w w:val="120"/>
        </w:rPr>
        <w:t>le</w:t>
      </w:r>
      <w:r>
        <w:rPr>
          <w:color w:val="231F20"/>
          <w:spacing w:val="-12"/>
          <w:w w:val="120"/>
        </w:rPr>
        <w:t> </w:t>
      </w:r>
      <w:r>
        <w:rPr>
          <w:color w:val="231F20"/>
          <w:w w:val="120"/>
        </w:rPr>
        <w:t>contrôle</w:t>
      </w:r>
      <w:r>
        <w:rPr>
          <w:color w:val="231F20"/>
          <w:spacing w:val="-13"/>
          <w:w w:val="120"/>
        </w:rPr>
        <w:t> </w:t>
      </w:r>
      <w:r>
        <w:rPr>
          <w:color w:val="231F20"/>
          <w:w w:val="120"/>
        </w:rPr>
        <w:t>du</w:t>
      </w:r>
      <w:r>
        <w:rPr>
          <w:color w:val="231F20"/>
          <w:spacing w:val="-13"/>
          <w:w w:val="120"/>
        </w:rPr>
        <w:t> </w:t>
      </w:r>
      <w:r>
        <w:rPr>
          <w:color w:val="231F20"/>
          <w:w w:val="120"/>
        </w:rPr>
        <w:t>cœur,</w:t>
      </w:r>
      <w:r>
        <w:rPr>
          <w:color w:val="231F20"/>
          <w:spacing w:val="-13"/>
          <w:w w:val="120"/>
        </w:rPr>
        <w:t> </w:t>
      </w:r>
      <w:r>
        <w:rPr>
          <w:color w:val="231F20"/>
          <w:w w:val="120"/>
        </w:rPr>
        <w:t>le contrôle</w:t>
      </w:r>
      <w:r>
        <w:rPr>
          <w:color w:val="231F20"/>
          <w:spacing w:val="-12"/>
          <w:w w:val="120"/>
        </w:rPr>
        <w:t> </w:t>
      </w:r>
      <w:r>
        <w:rPr>
          <w:color w:val="231F20"/>
          <w:w w:val="120"/>
        </w:rPr>
        <w:t>respiratoire,</w:t>
      </w:r>
      <w:r>
        <w:rPr>
          <w:color w:val="231F20"/>
          <w:spacing w:val="-12"/>
          <w:w w:val="120"/>
        </w:rPr>
        <w:t> </w:t>
      </w:r>
      <w:r>
        <w:rPr>
          <w:color w:val="231F20"/>
          <w:w w:val="120"/>
        </w:rPr>
        <w:t>la</w:t>
      </w:r>
      <w:r>
        <w:rPr>
          <w:color w:val="231F20"/>
          <w:spacing w:val="-12"/>
          <w:w w:val="120"/>
        </w:rPr>
        <w:t> </w:t>
      </w:r>
      <w:r>
        <w:rPr>
          <w:color w:val="231F20"/>
          <w:w w:val="120"/>
        </w:rPr>
        <w:t>régulation</w:t>
      </w:r>
      <w:r>
        <w:rPr>
          <w:color w:val="231F20"/>
          <w:spacing w:val="-12"/>
          <w:w w:val="120"/>
        </w:rPr>
        <w:t> </w:t>
      </w:r>
      <w:r>
        <w:rPr>
          <w:color w:val="231F20"/>
          <w:w w:val="120"/>
        </w:rPr>
        <w:t>abdominale]</w:t>
      </w:r>
      <w:r>
        <w:rPr>
          <w:color w:val="231F20"/>
          <w:spacing w:val="-12"/>
          <w:w w:val="120"/>
        </w:rPr>
        <w:t> </w:t>
      </w:r>
      <w:r>
        <w:rPr>
          <w:color w:val="231F20"/>
          <w:w w:val="120"/>
        </w:rPr>
        <w:t>une</w:t>
      </w:r>
      <w:r>
        <w:rPr>
          <w:color w:val="231F20"/>
          <w:spacing w:val="-12"/>
          <w:w w:val="120"/>
        </w:rPr>
        <w:t> </w:t>
      </w:r>
      <w:r>
        <w:rPr>
          <w:color w:val="231F20"/>
          <w:w w:val="120"/>
        </w:rPr>
        <w:t>déconnexion </w:t>
      </w:r>
      <w:r>
        <w:rPr>
          <w:color w:val="231F20"/>
          <w:w w:val="115"/>
        </w:rPr>
        <w:t>générale de l’organisme qui, par analogie avec les anciens travaux </w:t>
      </w:r>
      <w:r>
        <w:rPr>
          <w:color w:val="231F20"/>
          <w:w w:val="125"/>
        </w:rPr>
        <w:t>sur l’hypnose, permet toutes les réalisations propres aux états authentiquement</w:t>
      </w:r>
      <w:r>
        <w:rPr>
          <w:color w:val="231F20"/>
          <w:spacing w:val="-15"/>
          <w:w w:val="125"/>
        </w:rPr>
        <w:t> </w:t>
      </w:r>
      <w:r>
        <w:rPr>
          <w:color w:val="231F20"/>
          <w:w w:val="125"/>
        </w:rPr>
        <w:t>suggestifs8.</w:t>
      </w:r>
    </w:p>
    <w:p>
      <w:pPr>
        <w:pStyle w:val="BodyText"/>
        <w:spacing w:before="7"/>
        <w:rPr>
          <w:sz w:val="21"/>
        </w:rPr>
      </w:pPr>
    </w:p>
    <w:p>
      <w:pPr>
        <w:pStyle w:val="BodyText"/>
        <w:spacing w:line="307" w:lineRule="auto"/>
        <w:ind w:left="1220" w:right="106"/>
        <w:jc w:val="both"/>
      </w:pPr>
      <w:r>
        <w:rPr>
          <w:b/>
          <w:color w:val="231F20"/>
          <w:w w:val="115"/>
        </w:rPr>
        <w:t>Le</w:t>
      </w:r>
      <w:r>
        <w:rPr>
          <w:b/>
          <w:color w:val="231F20"/>
          <w:spacing w:val="-2"/>
          <w:w w:val="115"/>
        </w:rPr>
        <w:t> </w:t>
      </w:r>
      <w:r>
        <w:rPr>
          <w:b/>
          <w:color w:val="231F20"/>
          <w:w w:val="115"/>
        </w:rPr>
        <w:t>yoga</w:t>
      </w:r>
      <w:r>
        <w:rPr>
          <w:b/>
          <w:color w:val="231F20"/>
          <w:spacing w:val="-2"/>
          <w:w w:val="115"/>
        </w:rPr>
        <w:t> </w:t>
      </w:r>
      <w:r>
        <w:rPr>
          <w:b/>
          <w:color w:val="231F20"/>
          <w:w w:val="115"/>
        </w:rPr>
        <w:t>et</w:t>
      </w:r>
      <w:r>
        <w:rPr>
          <w:b/>
          <w:color w:val="231F20"/>
          <w:spacing w:val="-2"/>
          <w:w w:val="115"/>
        </w:rPr>
        <w:t> </w:t>
      </w:r>
      <w:r>
        <w:rPr>
          <w:b/>
          <w:color w:val="231F20"/>
          <w:w w:val="115"/>
        </w:rPr>
        <w:t>la</w:t>
      </w:r>
      <w:r>
        <w:rPr>
          <w:b/>
          <w:color w:val="231F20"/>
          <w:spacing w:val="-2"/>
          <w:w w:val="115"/>
        </w:rPr>
        <w:t> </w:t>
      </w:r>
      <w:r>
        <w:rPr>
          <w:b/>
          <w:color w:val="231F20"/>
          <w:w w:val="115"/>
        </w:rPr>
        <w:t>méditation. </w:t>
      </w:r>
      <w:r>
        <w:rPr>
          <w:color w:val="231F20"/>
          <w:w w:val="115"/>
        </w:rPr>
        <w:t>Le terme générique </w:t>
      </w:r>
      <w:r>
        <w:rPr>
          <w:i/>
          <w:color w:val="231F20"/>
          <w:w w:val="115"/>
        </w:rPr>
        <w:t>yoga </w:t>
      </w:r>
      <w:r>
        <w:rPr>
          <w:color w:val="231F20"/>
          <w:w w:val="115"/>
        </w:rPr>
        <w:t>englobe une série de </w:t>
      </w:r>
      <w:r>
        <w:rPr>
          <w:color w:val="231F20"/>
          <w:w w:val="120"/>
        </w:rPr>
        <w:t>pratiques</w:t>
      </w:r>
      <w:r>
        <w:rPr>
          <w:color w:val="231F20"/>
          <w:spacing w:val="-1"/>
          <w:w w:val="120"/>
        </w:rPr>
        <w:t> </w:t>
      </w:r>
      <w:r>
        <w:rPr>
          <w:color w:val="231F20"/>
          <w:w w:val="120"/>
        </w:rPr>
        <w:t>élaborées</w:t>
      </w:r>
      <w:r>
        <w:rPr>
          <w:color w:val="231F20"/>
          <w:spacing w:val="-1"/>
          <w:w w:val="120"/>
        </w:rPr>
        <w:t> </w:t>
      </w:r>
      <w:r>
        <w:rPr>
          <w:color w:val="231F20"/>
          <w:w w:val="120"/>
        </w:rPr>
        <w:t>sur</w:t>
      </w:r>
      <w:r>
        <w:rPr>
          <w:color w:val="231F20"/>
          <w:spacing w:val="-1"/>
          <w:w w:val="120"/>
        </w:rPr>
        <w:t> </w:t>
      </w:r>
      <w:r>
        <w:rPr>
          <w:color w:val="231F20"/>
          <w:w w:val="120"/>
        </w:rPr>
        <w:t>plusieurs</w:t>
      </w:r>
      <w:r>
        <w:rPr>
          <w:color w:val="231F20"/>
          <w:spacing w:val="-1"/>
          <w:w w:val="120"/>
        </w:rPr>
        <w:t> </w:t>
      </w:r>
      <w:r>
        <w:rPr>
          <w:color w:val="231F20"/>
          <w:w w:val="120"/>
        </w:rPr>
        <w:t>millénaires</w:t>
      </w:r>
      <w:r>
        <w:rPr>
          <w:color w:val="231F20"/>
          <w:spacing w:val="-1"/>
          <w:w w:val="120"/>
        </w:rPr>
        <w:t> </w:t>
      </w:r>
      <w:r>
        <w:rPr>
          <w:color w:val="231F20"/>
          <w:w w:val="120"/>
        </w:rPr>
        <w:t>pour</w:t>
      </w:r>
      <w:r>
        <w:rPr>
          <w:color w:val="231F20"/>
          <w:spacing w:val="-1"/>
          <w:w w:val="120"/>
        </w:rPr>
        <w:t> </w:t>
      </w:r>
      <w:r>
        <w:rPr>
          <w:color w:val="231F20"/>
          <w:w w:val="120"/>
        </w:rPr>
        <w:t>amener</w:t>
      </w:r>
      <w:r>
        <w:rPr>
          <w:color w:val="231F20"/>
          <w:spacing w:val="-1"/>
          <w:w w:val="120"/>
        </w:rPr>
        <w:t> </w:t>
      </w:r>
      <w:r>
        <w:rPr>
          <w:color w:val="231F20"/>
          <w:w w:val="120"/>
        </w:rPr>
        <w:t>le</w:t>
      </w:r>
      <w:r>
        <w:rPr>
          <w:color w:val="231F20"/>
          <w:spacing w:val="-1"/>
          <w:w w:val="120"/>
        </w:rPr>
        <w:t> </w:t>
      </w:r>
      <w:r>
        <w:rPr>
          <w:color w:val="231F20"/>
          <w:w w:val="120"/>
        </w:rPr>
        <w:t>sujet</w:t>
      </w:r>
      <w:r>
        <w:rPr>
          <w:color w:val="231F20"/>
          <w:spacing w:val="-1"/>
          <w:w w:val="120"/>
        </w:rPr>
        <w:t> </w:t>
      </w:r>
      <w:r>
        <w:rPr>
          <w:color w:val="231F20"/>
          <w:w w:val="120"/>
        </w:rPr>
        <w:t>à</w:t>
      </w:r>
      <w:r>
        <w:rPr>
          <w:color w:val="231F20"/>
          <w:spacing w:val="-1"/>
          <w:w w:val="120"/>
        </w:rPr>
        <w:t> </w:t>
      </w:r>
      <w:r>
        <w:rPr>
          <w:color w:val="231F20"/>
          <w:w w:val="120"/>
        </w:rPr>
        <w:t>un </w:t>
      </w:r>
      <w:r>
        <w:rPr>
          <w:color w:val="231F20"/>
          <w:w w:val="115"/>
        </w:rPr>
        <w:t>état</w:t>
      </w:r>
      <w:r>
        <w:rPr>
          <w:color w:val="231F20"/>
          <w:spacing w:val="-13"/>
          <w:w w:val="115"/>
        </w:rPr>
        <w:t> </w:t>
      </w:r>
      <w:r>
        <w:rPr>
          <w:color w:val="231F20"/>
          <w:w w:val="115"/>
        </w:rPr>
        <w:t>de</w:t>
      </w:r>
      <w:r>
        <w:rPr>
          <w:color w:val="231F20"/>
          <w:spacing w:val="-12"/>
          <w:w w:val="115"/>
        </w:rPr>
        <w:t> </w:t>
      </w:r>
      <w:r>
        <w:rPr>
          <w:color w:val="231F20"/>
          <w:w w:val="115"/>
        </w:rPr>
        <w:t>sérénité</w:t>
      </w:r>
      <w:r>
        <w:rPr>
          <w:color w:val="231F20"/>
          <w:spacing w:val="-12"/>
          <w:w w:val="115"/>
        </w:rPr>
        <w:t> </w:t>
      </w:r>
      <w:r>
        <w:rPr>
          <w:color w:val="231F20"/>
          <w:w w:val="115"/>
        </w:rPr>
        <w:t>et</w:t>
      </w:r>
      <w:r>
        <w:rPr>
          <w:color w:val="231F20"/>
          <w:spacing w:val="-12"/>
          <w:w w:val="115"/>
        </w:rPr>
        <w:t> </w:t>
      </w:r>
      <w:r>
        <w:rPr>
          <w:color w:val="231F20"/>
          <w:w w:val="115"/>
        </w:rPr>
        <w:t>de</w:t>
      </w:r>
      <w:r>
        <w:rPr>
          <w:color w:val="231F20"/>
          <w:spacing w:val="-13"/>
          <w:w w:val="115"/>
        </w:rPr>
        <w:t> </w:t>
      </w:r>
      <w:r>
        <w:rPr>
          <w:color w:val="231F20"/>
          <w:w w:val="115"/>
        </w:rPr>
        <w:t>plénitude.</w:t>
      </w:r>
      <w:r>
        <w:rPr>
          <w:color w:val="231F20"/>
          <w:spacing w:val="-10"/>
          <w:w w:val="115"/>
        </w:rPr>
        <w:t> </w:t>
      </w:r>
      <w:r>
        <w:rPr>
          <w:color w:val="231F20"/>
          <w:w w:val="115"/>
        </w:rPr>
        <w:t>En</w:t>
      </w:r>
      <w:r>
        <w:rPr>
          <w:color w:val="231F20"/>
          <w:spacing w:val="-6"/>
          <w:w w:val="115"/>
        </w:rPr>
        <w:t> </w:t>
      </w:r>
      <w:r>
        <w:rPr>
          <w:color w:val="231F20"/>
          <w:w w:val="115"/>
        </w:rPr>
        <w:t>sanskrit,</w:t>
      </w:r>
      <w:r>
        <w:rPr>
          <w:color w:val="231F20"/>
          <w:spacing w:val="-6"/>
          <w:w w:val="115"/>
        </w:rPr>
        <w:t> </w:t>
      </w:r>
      <w:r>
        <w:rPr>
          <w:i/>
          <w:color w:val="231F20"/>
          <w:w w:val="115"/>
        </w:rPr>
        <w:t>yoga</w:t>
      </w:r>
      <w:r>
        <w:rPr>
          <w:i/>
          <w:color w:val="231F20"/>
          <w:spacing w:val="-8"/>
          <w:w w:val="115"/>
        </w:rPr>
        <w:t> </w:t>
      </w:r>
      <w:r>
        <w:rPr>
          <w:color w:val="231F20"/>
          <w:w w:val="115"/>
        </w:rPr>
        <w:t>signifie</w:t>
      </w:r>
      <w:r>
        <w:rPr>
          <w:color w:val="231F20"/>
          <w:spacing w:val="-6"/>
          <w:w w:val="115"/>
        </w:rPr>
        <w:t> </w:t>
      </w:r>
      <w:r>
        <w:rPr>
          <w:color w:val="231F20"/>
          <w:w w:val="115"/>
        </w:rPr>
        <w:t>«</w:t>
      </w:r>
      <w:r>
        <w:rPr>
          <w:color w:val="231F20"/>
          <w:spacing w:val="-13"/>
          <w:w w:val="115"/>
        </w:rPr>
        <w:t> </w:t>
      </w:r>
      <w:r>
        <w:rPr>
          <w:color w:val="231F20"/>
          <w:w w:val="115"/>
        </w:rPr>
        <w:t>unir</w:t>
      </w:r>
      <w:r>
        <w:rPr>
          <w:color w:val="231F20"/>
          <w:spacing w:val="-12"/>
          <w:w w:val="115"/>
        </w:rPr>
        <w:t> </w:t>
      </w:r>
      <w:r>
        <w:rPr>
          <w:color w:val="231F20"/>
          <w:w w:val="115"/>
        </w:rPr>
        <w:t>».</w:t>
      </w:r>
      <w:r>
        <w:rPr>
          <w:color w:val="231F20"/>
          <w:spacing w:val="-6"/>
          <w:w w:val="115"/>
        </w:rPr>
        <w:t> </w:t>
      </w:r>
      <w:r>
        <w:rPr>
          <w:color w:val="231F20"/>
          <w:w w:val="115"/>
        </w:rPr>
        <w:t>Le</w:t>
      </w:r>
      <w:r>
        <w:rPr>
          <w:color w:val="231F20"/>
          <w:spacing w:val="-6"/>
          <w:w w:val="115"/>
        </w:rPr>
        <w:t> </w:t>
      </w:r>
      <w:r>
        <w:rPr>
          <w:color w:val="231F20"/>
          <w:w w:val="115"/>
        </w:rPr>
        <w:t>yoga </w:t>
      </w:r>
      <w:r>
        <w:rPr>
          <w:color w:val="231F20"/>
          <w:w w:val="120"/>
        </w:rPr>
        <w:t>a de nombreuses ramifications qui comprennent des techniques de concentration,</w:t>
      </w:r>
      <w:r>
        <w:rPr>
          <w:color w:val="231F20"/>
          <w:spacing w:val="-2"/>
          <w:w w:val="120"/>
        </w:rPr>
        <w:t> </w:t>
      </w:r>
      <w:r>
        <w:rPr>
          <w:color w:val="231F20"/>
          <w:w w:val="120"/>
        </w:rPr>
        <w:t>des</w:t>
      </w:r>
      <w:r>
        <w:rPr>
          <w:color w:val="231F20"/>
          <w:spacing w:val="-2"/>
          <w:w w:val="120"/>
        </w:rPr>
        <w:t> </w:t>
      </w:r>
      <w:r>
        <w:rPr>
          <w:color w:val="231F20"/>
          <w:w w:val="120"/>
        </w:rPr>
        <w:t>exercices</w:t>
      </w:r>
      <w:r>
        <w:rPr>
          <w:color w:val="231F20"/>
          <w:spacing w:val="-2"/>
          <w:w w:val="120"/>
        </w:rPr>
        <w:t> </w:t>
      </w:r>
      <w:r>
        <w:rPr>
          <w:color w:val="231F20"/>
          <w:w w:val="120"/>
        </w:rPr>
        <w:t>de</w:t>
      </w:r>
      <w:r>
        <w:rPr>
          <w:color w:val="231F20"/>
          <w:spacing w:val="-2"/>
          <w:w w:val="120"/>
        </w:rPr>
        <w:t> </w:t>
      </w:r>
      <w:r>
        <w:rPr>
          <w:color w:val="231F20"/>
          <w:w w:val="120"/>
        </w:rPr>
        <w:t>respiration,</w:t>
      </w:r>
      <w:r>
        <w:rPr>
          <w:color w:val="231F20"/>
          <w:spacing w:val="-2"/>
          <w:w w:val="120"/>
        </w:rPr>
        <w:t> </w:t>
      </w:r>
      <w:r>
        <w:rPr>
          <w:color w:val="231F20"/>
          <w:w w:val="120"/>
        </w:rPr>
        <w:t>des</w:t>
      </w:r>
      <w:r>
        <w:rPr>
          <w:color w:val="231F20"/>
          <w:spacing w:val="-2"/>
          <w:w w:val="120"/>
        </w:rPr>
        <w:t> </w:t>
      </w:r>
      <w:r>
        <w:rPr>
          <w:color w:val="231F20"/>
          <w:w w:val="120"/>
        </w:rPr>
        <w:t>directives</w:t>
      </w:r>
      <w:r>
        <w:rPr>
          <w:color w:val="231F20"/>
          <w:spacing w:val="-2"/>
          <w:w w:val="120"/>
        </w:rPr>
        <w:t> </w:t>
      </w:r>
      <w:r>
        <w:rPr>
          <w:color w:val="231F20"/>
          <w:w w:val="120"/>
        </w:rPr>
        <w:t>alimentaires et</w:t>
      </w:r>
      <w:r>
        <w:rPr>
          <w:color w:val="231F20"/>
          <w:spacing w:val="-13"/>
          <w:w w:val="120"/>
        </w:rPr>
        <w:t> </w:t>
      </w:r>
      <w:r>
        <w:rPr>
          <w:color w:val="231F20"/>
          <w:w w:val="120"/>
        </w:rPr>
        <w:t>une</w:t>
      </w:r>
      <w:r>
        <w:rPr>
          <w:color w:val="231F20"/>
          <w:spacing w:val="-13"/>
          <w:w w:val="120"/>
        </w:rPr>
        <w:t> </w:t>
      </w:r>
      <w:r>
        <w:rPr>
          <w:color w:val="231F20"/>
          <w:w w:val="120"/>
        </w:rPr>
        <w:t>série</w:t>
      </w:r>
      <w:r>
        <w:rPr>
          <w:color w:val="231F20"/>
          <w:spacing w:val="-13"/>
          <w:w w:val="120"/>
        </w:rPr>
        <w:t> </w:t>
      </w:r>
      <w:r>
        <w:rPr>
          <w:color w:val="231F20"/>
          <w:w w:val="120"/>
        </w:rPr>
        <w:t>de</w:t>
      </w:r>
      <w:r>
        <w:rPr>
          <w:color w:val="231F20"/>
          <w:spacing w:val="-12"/>
          <w:w w:val="120"/>
        </w:rPr>
        <w:t> </w:t>
      </w:r>
      <w:r>
        <w:rPr>
          <w:color w:val="231F20"/>
          <w:w w:val="120"/>
        </w:rPr>
        <w:t>postures</w:t>
      </w:r>
      <w:r>
        <w:rPr>
          <w:color w:val="231F20"/>
          <w:spacing w:val="-13"/>
          <w:w w:val="120"/>
        </w:rPr>
        <w:t> </w:t>
      </w:r>
      <w:r>
        <w:rPr>
          <w:color w:val="231F20"/>
          <w:w w:val="120"/>
        </w:rPr>
        <w:t>ou</w:t>
      </w:r>
      <w:r>
        <w:rPr>
          <w:color w:val="231F20"/>
          <w:spacing w:val="-13"/>
          <w:w w:val="120"/>
        </w:rPr>
        <w:t> </w:t>
      </w:r>
      <w:r>
        <w:rPr>
          <w:color w:val="231F20"/>
          <w:w w:val="120"/>
        </w:rPr>
        <w:t>de</w:t>
      </w:r>
      <w:r>
        <w:rPr>
          <w:color w:val="231F20"/>
          <w:spacing w:val="-13"/>
          <w:w w:val="120"/>
        </w:rPr>
        <w:t> </w:t>
      </w:r>
      <w:r>
        <w:rPr>
          <w:color w:val="231F20"/>
          <w:w w:val="120"/>
        </w:rPr>
        <w:t>mouvements,</w:t>
      </w:r>
      <w:r>
        <w:rPr>
          <w:color w:val="231F20"/>
          <w:spacing w:val="-12"/>
          <w:w w:val="120"/>
        </w:rPr>
        <w:t> </w:t>
      </w:r>
      <w:r>
        <w:rPr>
          <w:color w:val="231F20"/>
          <w:w w:val="120"/>
        </w:rPr>
        <w:t>les</w:t>
      </w:r>
      <w:r>
        <w:rPr>
          <w:color w:val="231F20"/>
          <w:spacing w:val="-13"/>
          <w:w w:val="120"/>
        </w:rPr>
        <w:t> </w:t>
      </w:r>
      <w:r>
        <w:rPr>
          <w:i/>
          <w:color w:val="231F20"/>
          <w:w w:val="120"/>
        </w:rPr>
        <w:t>âsanas</w:t>
      </w:r>
      <w:r>
        <w:rPr>
          <w:color w:val="231F20"/>
          <w:w w:val="120"/>
        </w:rPr>
        <w:t>.</w:t>
      </w:r>
      <w:r>
        <w:rPr>
          <w:color w:val="231F20"/>
          <w:spacing w:val="-13"/>
          <w:w w:val="120"/>
        </w:rPr>
        <w:t> </w:t>
      </w:r>
      <w:r>
        <w:rPr>
          <w:color w:val="231F20"/>
          <w:w w:val="120"/>
        </w:rPr>
        <w:t>C’est</w:t>
      </w:r>
      <w:r>
        <w:rPr>
          <w:color w:val="231F20"/>
          <w:spacing w:val="-13"/>
          <w:w w:val="120"/>
        </w:rPr>
        <w:t> </w:t>
      </w:r>
      <w:r>
        <w:rPr>
          <w:color w:val="231F20"/>
          <w:w w:val="120"/>
        </w:rPr>
        <w:t>à</w:t>
      </w:r>
      <w:r>
        <w:rPr>
          <w:color w:val="231F20"/>
          <w:spacing w:val="-12"/>
          <w:w w:val="120"/>
        </w:rPr>
        <w:t> </w:t>
      </w:r>
      <w:r>
        <w:rPr>
          <w:color w:val="231F20"/>
          <w:w w:val="120"/>
        </w:rPr>
        <w:t>ces</w:t>
      </w:r>
      <w:r>
        <w:rPr>
          <w:color w:val="231F20"/>
          <w:spacing w:val="-13"/>
          <w:w w:val="120"/>
        </w:rPr>
        <w:t> </w:t>
      </w:r>
      <w:r>
        <w:rPr>
          <w:color w:val="231F20"/>
          <w:w w:val="120"/>
        </w:rPr>
        <w:t>mou- </w:t>
      </w:r>
      <w:r>
        <w:rPr>
          <w:color w:val="231F20"/>
          <w:spacing w:val="-2"/>
          <w:w w:val="120"/>
        </w:rPr>
        <w:t>vements</w:t>
      </w:r>
      <w:r>
        <w:rPr>
          <w:color w:val="231F20"/>
          <w:spacing w:val="-11"/>
          <w:w w:val="120"/>
        </w:rPr>
        <w:t> </w:t>
      </w:r>
      <w:r>
        <w:rPr>
          <w:color w:val="231F20"/>
          <w:spacing w:val="-2"/>
          <w:w w:val="120"/>
        </w:rPr>
        <w:t>du</w:t>
      </w:r>
      <w:r>
        <w:rPr>
          <w:color w:val="231F20"/>
          <w:spacing w:val="-11"/>
          <w:w w:val="120"/>
        </w:rPr>
        <w:t> </w:t>
      </w:r>
      <w:r>
        <w:rPr>
          <w:color w:val="231F20"/>
          <w:spacing w:val="-2"/>
          <w:w w:val="120"/>
        </w:rPr>
        <w:t>corps</w:t>
      </w:r>
      <w:r>
        <w:rPr>
          <w:color w:val="231F20"/>
          <w:spacing w:val="-10"/>
          <w:w w:val="120"/>
        </w:rPr>
        <w:t> </w:t>
      </w:r>
      <w:r>
        <w:rPr>
          <w:color w:val="231F20"/>
          <w:spacing w:val="-2"/>
          <w:w w:val="120"/>
        </w:rPr>
        <w:t>que</w:t>
      </w:r>
      <w:r>
        <w:rPr>
          <w:color w:val="231F20"/>
          <w:spacing w:val="-11"/>
          <w:w w:val="120"/>
        </w:rPr>
        <w:t> </w:t>
      </w:r>
      <w:r>
        <w:rPr>
          <w:color w:val="231F20"/>
          <w:spacing w:val="-2"/>
          <w:w w:val="120"/>
        </w:rPr>
        <w:t>le</w:t>
      </w:r>
      <w:r>
        <w:rPr>
          <w:color w:val="231F20"/>
          <w:spacing w:val="-10"/>
          <w:w w:val="120"/>
        </w:rPr>
        <w:t> </w:t>
      </w:r>
      <w:r>
        <w:rPr>
          <w:color w:val="231F20"/>
          <w:spacing w:val="-2"/>
          <w:w w:val="120"/>
        </w:rPr>
        <w:t>terme</w:t>
      </w:r>
      <w:r>
        <w:rPr>
          <w:color w:val="231F20"/>
          <w:spacing w:val="-11"/>
          <w:w w:val="120"/>
        </w:rPr>
        <w:t> </w:t>
      </w:r>
      <w:r>
        <w:rPr>
          <w:i/>
          <w:color w:val="231F20"/>
          <w:spacing w:val="-2"/>
          <w:w w:val="120"/>
        </w:rPr>
        <w:t>yoga</w:t>
      </w:r>
      <w:r>
        <w:rPr>
          <w:i/>
          <w:color w:val="231F20"/>
          <w:spacing w:val="-10"/>
          <w:w w:val="120"/>
        </w:rPr>
        <w:t> </w:t>
      </w:r>
      <w:r>
        <w:rPr>
          <w:color w:val="231F20"/>
          <w:spacing w:val="-2"/>
          <w:w w:val="120"/>
        </w:rPr>
        <w:t>renvoie</w:t>
      </w:r>
      <w:r>
        <w:rPr>
          <w:color w:val="231F20"/>
          <w:spacing w:val="-11"/>
          <w:w w:val="120"/>
        </w:rPr>
        <w:t> </w:t>
      </w:r>
      <w:r>
        <w:rPr>
          <w:color w:val="231F20"/>
          <w:spacing w:val="-2"/>
          <w:w w:val="120"/>
        </w:rPr>
        <w:t>le</w:t>
      </w:r>
      <w:r>
        <w:rPr>
          <w:color w:val="231F20"/>
          <w:spacing w:val="-11"/>
          <w:w w:val="120"/>
        </w:rPr>
        <w:t> </w:t>
      </w:r>
      <w:r>
        <w:rPr>
          <w:color w:val="231F20"/>
          <w:spacing w:val="-2"/>
          <w:w w:val="120"/>
        </w:rPr>
        <w:t>plus</w:t>
      </w:r>
      <w:r>
        <w:rPr>
          <w:color w:val="231F20"/>
          <w:spacing w:val="-10"/>
          <w:w w:val="120"/>
        </w:rPr>
        <w:t> </w:t>
      </w:r>
      <w:r>
        <w:rPr>
          <w:color w:val="231F20"/>
          <w:spacing w:val="-2"/>
          <w:w w:val="120"/>
        </w:rPr>
        <w:t>souvent</w:t>
      </w:r>
      <w:r>
        <w:rPr>
          <w:color w:val="231F20"/>
          <w:spacing w:val="-11"/>
          <w:w w:val="120"/>
        </w:rPr>
        <w:t> </w:t>
      </w:r>
      <w:r>
        <w:rPr>
          <w:color w:val="231F20"/>
          <w:spacing w:val="-2"/>
          <w:w w:val="120"/>
        </w:rPr>
        <w:t>aujourd’hui.</w:t>
      </w:r>
    </w:p>
    <w:p>
      <w:pPr>
        <w:pStyle w:val="BodyText"/>
        <w:spacing w:line="307" w:lineRule="auto" w:before="79"/>
        <w:ind w:left="1220" w:right="104" w:firstLine="250"/>
        <w:jc w:val="both"/>
      </w:pPr>
      <w:r>
        <w:rPr>
          <w:color w:val="231F20"/>
          <w:w w:val="115"/>
        </w:rPr>
        <w:t>Les postures yogiques équilibrent les divers systèmes de l’organisme, </w:t>
      </w:r>
      <w:r>
        <w:rPr>
          <w:color w:val="231F20"/>
          <w:w w:val="120"/>
        </w:rPr>
        <w:t>notamment le système nerveux central et les appareils endocrinien et </w:t>
      </w:r>
      <w:r>
        <w:rPr>
          <w:color w:val="231F20"/>
          <w:w w:val="115"/>
        </w:rPr>
        <w:t>digestif.</w:t>
      </w:r>
      <w:r>
        <w:rPr>
          <w:color w:val="231F20"/>
          <w:spacing w:val="-4"/>
          <w:w w:val="115"/>
        </w:rPr>
        <w:t> </w:t>
      </w:r>
      <w:r>
        <w:rPr>
          <w:color w:val="231F20"/>
          <w:w w:val="115"/>
        </w:rPr>
        <w:t>C’est</w:t>
      </w:r>
      <w:r>
        <w:rPr>
          <w:color w:val="231F20"/>
          <w:spacing w:val="-4"/>
          <w:w w:val="115"/>
        </w:rPr>
        <w:t> </w:t>
      </w:r>
      <w:r>
        <w:rPr>
          <w:color w:val="231F20"/>
          <w:w w:val="115"/>
        </w:rPr>
        <w:t>par</w:t>
      </w:r>
      <w:r>
        <w:rPr>
          <w:color w:val="231F20"/>
          <w:spacing w:val="-4"/>
          <w:w w:val="115"/>
        </w:rPr>
        <w:t> </w:t>
      </w:r>
      <w:r>
        <w:rPr>
          <w:color w:val="231F20"/>
          <w:w w:val="115"/>
        </w:rPr>
        <w:t>le</w:t>
      </w:r>
      <w:r>
        <w:rPr>
          <w:color w:val="231F20"/>
          <w:spacing w:val="-4"/>
          <w:w w:val="115"/>
        </w:rPr>
        <w:t> </w:t>
      </w:r>
      <w:r>
        <w:rPr>
          <w:color w:val="231F20"/>
          <w:w w:val="115"/>
        </w:rPr>
        <w:t>ralentissement</w:t>
      </w:r>
      <w:r>
        <w:rPr>
          <w:color w:val="231F20"/>
          <w:spacing w:val="-4"/>
          <w:w w:val="115"/>
        </w:rPr>
        <w:t> </w:t>
      </w:r>
      <w:r>
        <w:rPr>
          <w:color w:val="231F20"/>
          <w:w w:val="115"/>
        </w:rPr>
        <w:t>de</w:t>
      </w:r>
      <w:r>
        <w:rPr>
          <w:color w:val="231F20"/>
          <w:spacing w:val="-4"/>
          <w:w w:val="115"/>
        </w:rPr>
        <w:t> </w:t>
      </w:r>
      <w:r>
        <w:rPr>
          <w:color w:val="231F20"/>
          <w:w w:val="115"/>
        </w:rPr>
        <w:t>l’activité</w:t>
      </w:r>
      <w:r>
        <w:rPr>
          <w:color w:val="231F20"/>
          <w:spacing w:val="-4"/>
          <w:w w:val="115"/>
        </w:rPr>
        <w:t> </w:t>
      </w:r>
      <w:r>
        <w:rPr>
          <w:color w:val="231F20"/>
          <w:w w:val="115"/>
        </w:rPr>
        <w:t>mentale,</w:t>
      </w:r>
      <w:r>
        <w:rPr>
          <w:color w:val="231F20"/>
          <w:spacing w:val="-4"/>
          <w:w w:val="115"/>
        </w:rPr>
        <w:t> </w:t>
      </w:r>
      <w:r>
        <w:rPr>
          <w:color w:val="231F20"/>
          <w:w w:val="115"/>
        </w:rPr>
        <w:t>l’étirement</w:t>
      </w:r>
      <w:r>
        <w:rPr>
          <w:color w:val="231F20"/>
          <w:spacing w:val="-4"/>
          <w:w w:val="115"/>
        </w:rPr>
        <w:t> </w:t>
      </w:r>
      <w:r>
        <w:rPr>
          <w:color w:val="231F20"/>
          <w:w w:val="115"/>
        </w:rPr>
        <w:t>sans </w:t>
      </w:r>
      <w:r>
        <w:rPr>
          <w:color w:val="231F20"/>
          <w:spacing w:val="-2"/>
          <w:w w:val="120"/>
        </w:rPr>
        <w:t>contrainte</w:t>
      </w:r>
      <w:r>
        <w:rPr>
          <w:color w:val="231F20"/>
          <w:spacing w:val="-13"/>
          <w:w w:val="120"/>
        </w:rPr>
        <w:t> </w:t>
      </w:r>
      <w:r>
        <w:rPr>
          <w:color w:val="231F20"/>
          <w:spacing w:val="-2"/>
          <w:w w:val="120"/>
        </w:rPr>
        <w:t>du</w:t>
      </w:r>
      <w:r>
        <w:rPr>
          <w:color w:val="231F20"/>
          <w:spacing w:val="-11"/>
          <w:w w:val="120"/>
        </w:rPr>
        <w:t> </w:t>
      </w:r>
      <w:r>
        <w:rPr>
          <w:color w:val="231F20"/>
          <w:spacing w:val="-2"/>
          <w:w w:val="120"/>
        </w:rPr>
        <w:t>corps</w:t>
      </w:r>
      <w:r>
        <w:rPr>
          <w:color w:val="231F20"/>
          <w:spacing w:val="-11"/>
          <w:w w:val="120"/>
        </w:rPr>
        <w:t> </w:t>
      </w:r>
      <w:r>
        <w:rPr>
          <w:color w:val="231F20"/>
          <w:spacing w:val="-2"/>
          <w:w w:val="120"/>
        </w:rPr>
        <w:t>et</w:t>
      </w:r>
      <w:r>
        <w:rPr>
          <w:color w:val="231F20"/>
          <w:spacing w:val="-10"/>
          <w:w w:val="120"/>
        </w:rPr>
        <w:t> </w:t>
      </w:r>
      <w:r>
        <w:rPr>
          <w:color w:val="231F20"/>
          <w:spacing w:val="-2"/>
          <w:w w:val="120"/>
        </w:rPr>
        <w:t>le</w:t>
      </w:r>
      <w:r>
        <w:rPr>
          <w:color w:val="231F20"/>
          <w:spacing w:val="-11"/>
          <w:w w:val="120"/>
        </w:rPr>
        <w:t> </w:t>
      </w:r>
      <w:r>
        <w:rPr>
          <w:color w:val="231F20"/>
          <w:spacing w:val="-2"/>
          <w:w w:val="120"/>
        </w:rPr>
        <w:t>massage</w:t>
      </w:r>
      <w:r>
        <w:rPr>
          <w:color w:val="231F20"/>
          <w:spacing w:val="-11"/>
          <w:w w:val="120"/>
        </w:rPr>
        <w:t> </w:t>
      </w:r>
      <w:r>
        <w:rPr>
          <w:color w:val="231F20"/>
          <w:spacing w:val="-2"/>
          <w:w w:val="120"/>
        </w:rPr>
        <w:t>des</w:t>
      </w:r>
      <w:r>
        <w:rPr>
          <w:color w:val="231F20"/>
          <w:spacing w:val="-11"/>
          <w:w w:val="120"/>
        </w:rPr>
        <w:t> </w:t>
      </w:r>
      <w:r>
        <w:rPr>
          <w:color w:val="231F20"/>
          <w:spacing w:val="-2"/>
          <w:w w:val="120"/>
        </w:rPr>
        <w:t>organes</w:t>
      </w:r>
      <w:r>
        <w:rPr>
          <w:color w:val="231F20"/>
          <w:spacing w:val="-10"/>
          <w:w w:val="120"/>
        </w:rPr>
        <w:t> </w:t>
      </w:r>
      <w:r>
        <w:rPr>
          <w:color w:val="231F20"/>
          <w:spacing w:val="-2"/>
          <w:w w:val="120"/>
        </w:rPr>
        <w:t>internes</w:t>
      </w:r>
      <w:r>
        <w:rPr>
          <w:color w:val="231F20"/>
          <w:spacing w:val="-11"/>
          <w:w w:val="120"/>
        </w:rPr>
        <w:t> </w:t>
      </w:r>
      <w:r>
        <w:rPr>
          <w:color w:val="231F20"/>
          <w:spacing w:val="-2"/>
          <w:w w:val="120"/>
        </w:rPr>
        <w:t>que</w:t>
      </w:r>
      <w:r>
        <w:rPr>
          <w:color w:val="231F20"/>
          <w:spacing w:val="-11"/>
          <w:w w:val="120"/>
        </w:rPr>
        <w:t> </w:t>
      </w:r>
      <w:r>
        <w:rPr>
          <w:color w:val="231F20"/>
          <w:spacing w:val="-2"/>
          <w:w w:val="120"/>
        </w:rPr>
        <w:t>le</w:t>
      </w:r>
      <w:r>
        <w:rPr>
          <w:color w:val="231F20"/>
          <w:spacing w:val="-11"/>
          <w:w w:val="120"/>
        </w:rPr>
        <w:t> </w:t>
      </w:r>
      <w:r>
        <w:rPr>
          <w:color w:val="231F20"/>
          <w:spacing w:val="-2"/>
          <w:w w:val="120"/>
        </w:rPr>
        <w:t>yoga</w:t>
      </w:r>
      <w:r>
        <w:rPr>
          <w:color w:val="231F20"/>
          <w:spacing w:val="-10"/>
          <w:w w:val="120"/>
        </w:rPr>
        <w:t> </w:t>
      </w:r>
      <w:r>
        <w:rPr>
          <w:color w:val="231F20"/>
          <w:spacing w:val="-2"/>
          <w:w w:val="120"/>
        </w:rPr>
        <w:t>génère un</w:t>
      </w:r>
      <w:r>
        <w:rPr>
          <w:color w:val="231F20"/>
          <w:spacing w:val="-11"/>
          <w:w w:val="120"/>
        </w:rPr>
        <w:t> </w:t>
      </w:r>
      <w:r>
        <w:rPr>
          <w:color w:val="231F20"/>
          <w:spacing w:val="-2"/>
          <w:w w:val="120"/>
        </w:rPr>
        <w:t>état</w:t>
      </w:r>
      <w:r>
        <w:rPr>
          <w:color w:val="231F20"/>
          <w:spacing w:val="-11"/>
          <w:w w:val="120"/>
        </w:rPr>
        <w:t> </w:t>
      </w:r>
      <w:r>
        <w:rPr>
          <w:color w:val="231F20"/>
          <w:spacing w:val="-2"/>
          <w:w w:val="120"/>
        </w:rPr>
        <w:t>de</w:t>
      </w:r>
      <w:r>
        <w:rPr>
          <w:color w:val="231F20"/>
          <w:spacing w:val="-11"/>
          <w:w w:val="120"/>
        </w:rPr>
        <w:t> </w:t>
      </w:r>
      <w:r>
        <w:rPr>
          <w:color w:val="231F20"/>
          <w:spacing w:val="-2"/>
          <w:w w:val="120"/>
        </w:rPr>
        <w:t>paix</w:t>
      </w:r>
      <w:r>
        <w:rPr>
          <w:color w:val="231F20"/>
          <w:spacing w:val="-10"/>
          <w:w w:val="120"/>
        </w:rPr>
        <w:t> </w:t>
      </w:r>
      <w:r>
        <w:rPr>
          <w:color w:val="231F20"/>
          <w:spacing w:val="-2"/>
          <w:w w:val="120"/>
        </w:rPr>
        <w:t>dynamique</w:t>
      </w:r>
      <w:r>
        <w:rPr>
          <w:color w:val="231F20"/>
          <w:spacing w:val="-11"/>
          <w:w w:val="120"/>
        </w:rPr>
        <w:t> </w:t>
      </w:r>
      <w:r>
        <w:rPr>
          <w:color w:val="231F20"/>
          <w:spacing w:val="-2"/>
          <w:w w:val="120"/>
        </w:rPr>
        <w:t>à</w:t>
      </w:r>
      <w:r>
        <w:rPr>
          <w:color w:val="231F20"/>
          <w:spacing w:val="-11"/>
          <w:w w:val="120"/>
        </w:rPr>
        <w:t> </w:t>
      </w:r>
      <w:r>
        <w:rPr>
          <w:color w:val="231F20"/>
          <w:spacing w:val="-2"/>
          <w:w w:val="120"/>
        </w:rPr>
        <w:t>l’intérieur</w:t>
      </w:r>
      <w:r>
        <w:rPr>
          <w:color w:val="231F20"/>
          <w:spacing w:val="-11"/>
          <w:w w:val="120"/>
        </w:rPr>
        <w:t> </w:t>
      </w:r>
      <w:r>
        <w:rPr>
          <w:color w:val="231F20"/>
          <w:spacing w:val="-2"/>
          <w:w w:val="120"/>
        </w:rPr>
        <w:t>de</w:t>
      </w:r>
      <w:r>
        <w:rPr>
          <w:color w:val="231F20"/>
          <w:spacing w:val="-10"/>
          <w:w w:val="120"/>
        </w:rPr>
        <w:t> </w:t>
      </w:r>
      <w:r>
        <w:rPr>
          <w:color w:val="231F20"/>
          <w:spacing w:val="-2"/>
          <w:w w:val="120"/>
        </w:rPr>
        <w:t>soi.</w:t>
      </w:r>
      <w:r>
        <w:rPr>
          <w:color w:val="231F20"/>
          <w:spacing w:val="-11"/>
          <w:w w:val="120"/>
        </w:rPr>
        <w:t> </w:t>
      </w:r>
      <w:r>
        <w:rPr>
          <w:color w:val="231F20"/>
          <w:spacing w:val="-2"/>
          <w:w w:val="120"/>
        </w:rPr>
        <w:t>Cette</w:t>
      </w:r>
      <w:r>
        <w:rPr>
          <w:color w:val="231F20"/>
          <w:spacing w:val="-10"/>
          <w:w w:val="120"/>
        </w:rPr>
        <w:t> </w:t>
      </w:r>
      <w:r>
        <w:rPr>
          <w:color w:val="231F20"/>
          <w:spacing w:val="-2"/>
          <w:w w:val="120"/>
        </w:rPr>
        <w:t>expérience</w:t>
      </w:r>
      <w:r>
        <w:rPr>
          <w:color w:val="231F20"/>
          <w:spacing w:val="-11"/>
          <w:w w:val="120"/>
        </w:rPr>
        <w:t> </w:t>
      </w:r>
      <w:r>
        <w:rPr>
          <w:color w:val="231F20"/>
          <w:spacing w:val="-2"/>
          <w:w w:val="120"/>
        </w:rPr>
        <w:t>relaxante et</w:t>
      </w:r>
      <w:r>
        <w:rPr>
          <w:color w:val="231F20"/>
          <w:spacing w:val="-11"/>
          <w:w w:val="120"/>
        </w:rPr>
        <w:t> </w:t>
      </w:r>
      <w:r>
        <w:rPr>
          <w:color w:val="231F20"/>
          <w:spacing w:val="-2"/>
          <w:w w:val="120"/>
        </w:rPr>
        <w:t>vivifiante</w:t>
      </w:r>
      <w:r>
        <w:rPr>
          <w:color w:val="231F20"/>
          <w:spacing w:val="-11"/>
          <w:w w:val="120"/>
        </w:rPr>
        <w:t> </w:t>
      </w:r>
      <w:r>
        <w:rPr>
          <w:color w:val="231F20"/>
          <w:spacing w:val="-2"/>
          <w:w w:val="120"/>
        </w:rPr>
        <w:t>isole</w:t>
      </w:r>
      <w:r>
        <w:rPr>
          <w:color w:val="231F20"/>
          <w:spacing w:val="-11"/>
          <w:w w:val="120"/>
        </w:rPr>
        <w:t> </w:t>
      </w:r>
      <w:r>
        <w:rPr>
          <w:color w:val="231F20"/>
          <w:spacing w:val="-2"/>
          <w:w w:val="120"/>
        </w:rPr>
        <w:t>momentanément</w:t>
      </w:r>
      <w:r>
        <w:rPr>
          <w:color w:val="231F20"/>
          <w:spacing w:val="-10"/>
          <w:w w:val="120"/>
        </w:rPr>
        <w:t> </w:t>
      </w:r>
      <w:r>
        <w:rPr>
          <w:color w:val="231F20"/>
          <w:spacing w:val="-2"/>
          <w:w w:val="120"/>
        </w:rPr>
        <w:t>le</w:t>
      </w:r>
      <w:r>
        <w:rPr>
          <w:color w:val="231F20"/>
          <w:spacing w:val="-11"/>
          <w:w w:val="120"/>
        </w:rPr>
        <w:t> </w:t>
      </w:r>
      <w:r>
        <w:rPr>
          <w:color w:val="231F20"/>
          <w:spacing w:val="-2"/>
          <w:w w:val="120"/>
        </w:rPr>
        <w:t>sujet</w:t>
      </w:r>
      <w:r>
        <w:rPr>
          <w:color w:val="231F20"/>
          <w:spacing w:val="-11"/>
          <w:w w:val="120"/>
        </w:rPr>
        <w:t> </w:t>
      </w:r>
      <w:r>
        <w:rPr>
          <w:color w:val="231F20"/>
          <w:spacing w:val="-2"/>
          <w:w w:val="120"/>
        </w:rPr>
        <w:t>de</w:t>
      </w:r>
      <w:r>
        <w:rPr>
          <w:color w:val="231F20"/>
          <w:spacing w:val="-11"/>
          <w:w w:val="120"/>
        </w:rPr>
        <w:t> </w:t>
      </w:r>
      <w:r>
        <w:rPr>
          <w:color w:val="231F20"/>
          <w:spacing w:val="-2"/>
          <w:w w:val="120"/>
        </w:rPr>
        <w:t>tout</w:t>
      </w:r>
      <w:r>
        <w:rPr>
          <w:color w:val="231F20"/>
          <w:spacing w:val="-10"/>
          <w:w w:val="120"/>
        </w:rPr>
        <w:t> </w:t>
      </w:r>
      <w:r>
        <w:rPr>
          <w:color w:val="231F20"/>
          <w:spacing w:val="-2"/>
          <w:w w:val="120"/>
        </w:rPr>
        <w:t>contact</w:t>
      </w:r>
      <w:r>
        <w:rPr>
          <w:color w:val="231F20"/>
          <w:spacing w:val="-11"/>
          <w:w w:val="120"/>
        </w:rPr>
        <w:t> </w:t>
      </w:r>
      <w:r>
        <w:rPr>
          <w:color w:val="231F20"/>
          <w:spacing w:val="-2"/>
          <w:w w:val="120"/>
        </w:rPr>
        <w:t>avec</w:t>
      </w:r>
      <w:r>
        <w:rPr>
          <w:color w:val="231F20"/>
          <w:spacing w:val="-11"/>
          <w:w w:val="120"/>
        </w:rPr>
        <w:t> </w:t>
      </w:r>
      <w:r>
        <w:rPr>
          <w:color w:val="231F20"/>
          <w:spacing w:val="-2"/>
          <w:w w:val="120"/>
        </w:rPr>
        <w:t>les</w:t>
      </w:r>
      <w:r>
        <w:rPr>
          <w:color w:val="231F20"/>
          <w:spacing w:val="-11"/>
          <w:w w:val="120"/>
        </w:rPr>
        <w:t> </w:t>
      </w:r>
      <w:r>
        <w:rPr>
          <w:color w:val="231F20"/>
          <w:spacing w:val="-2"/>
          <w:w w:val="120"/>
        </w:rPr>
        <w:t>agents </w:t>
      </w:r>
      <w:r>
        <w:rPr>
          <w:color w:val="231F20"/>
          <w:w w:val="120"/>
        </w:rPr>
        <w:t>stressants</w:t>
      </w:r>
      <w:r>
        <w:rPr>
          <w:color w:val="231F20"/>
          <w:spacing w:val="-2"/>
          <w:w w:val="120"/>
        </w:rPr>
        <w:t> </w:t>
      </w:r>
      <w:r>
        <w:rPr>
          <w:color w:val="231F20"/>
          <w:w w:val="120"/>
        </w:rPr>
        <w:t>de</w:t>
      </w:r>
      <w:r>
        <w:rPr>
          <w:color w:val="231F20"/>
          <w:spacing w:val="-2"/>
          <w:w w:val="120"/>
        </w:rPr>
        <w:t> </w:t>
      </w:r>
      <w:r>
        <w:rPr>
          <w:color w:val="231F20"/>
          <w:w w:val="120"/>
        </w:rPr>
        <w:t>sa</w:t>
      </w:r>
      <w:r>
        <w:rPr>
          <w:color w:val="231F20"/>
          <w:spacing w:val="-2"/>
          <w:w w:val="120"/>
        </w:rPr>
        <w:t> </w:t>
      </w:r>
      <w:r>
        <w:rPr>
          <w:color w:val="231F20"/>
          <w:w w:val="120"/>
        </w:rPr>
        <w:t>vie:</w:t>
      </w:r>
      <w:r>
        <w:rPr>
          <w:color w:val="231F20"/>
          <w:spacing w:val="-2"/>
          <w:w w:val="120"/>
        </w:rPr>
        <w:t> </w:t>
      </w:r>
      <w:r>
        <w:rPr>
          <w:color w:val="231F20"/>
          <w:w w:val="120"/>
        </w:rPr>
        <w:t>les</w:t>
      </w:r>
      <w:r>
        <w:rPr>
          <w:color w:val="231F20"/>
          <w:spacing w:val="-2"/>
          <w:w w:val="120"/>
        </w:rPr>
        <w:t> </w:t>
      </w:r>
      <w:r>
        <w:rPr>
          <w:color w:val="231F20"/>
          <w:w w:val="120"/>
        </w:rPr>
        <w:t>listes</w:t>
      </w:r>
      <w:r>
        <w:rPr>
          <w:color w:val="231F20"/>
          <w:spacing w:val="-2"/>
          <w:w w:val="120"/>
        </w:rPr>
        <w:t> </w:t>
      </w:r>
      <w:r>
        <w:rPr>
          <w:color w:val="231F20"/>
          <w:w w:val="120"/>
        </w:rPr>
        <w:t>de</w:t>
      </w:r>
      <w:r>
        <w:rPr>
          <w:color w:val="231F20"/>
          <w:spacing w:val="-2"/>
          <w:w w:val="120"/>
        </w:rPr>
        <w:t> </w:t>
      </w:r>
      <w:r>
        <w:rPr>
          <w:color w:val="231F20"/>
          <w:w w:val="120"/>
        </w:rPr>
        <w:t>choses</w:t>
      </w:r>
      <w:r>
        <w:rPr>
          <w:color w:val="231F20"/>
          <w:spacing w:val="-2"/>
          <w:w w:val="120"/>
        </w:rPr>
        <w:t> </w:t>
      </w:r>
      <w:r>
        <w:rPr>
          <w:color w:val="231F20"/>
          <w:w w:val="120"/>
        </w:rPr>
        <w:t>à</w:t>
      </w:r>
      <w:r>
        <w:rPr>
          <w:color w:val="231F20"/>
          <w:spacing w:val="-2"/>
          <w:w w:val="120"/>
        </w:rPr>
        <w:t> </w:t>
      </w:r>
      <w:r>
        <w:rPr>
          <w:color w:val="231F20"/>
          <w:w w:val="120"/>
        </w:rPr>
        <w:t>faire,</w:t>
      </w:r>
      <w:r>
        <w:rPr>
          <w:color w:val="231F20"/>
          <w:spacing w:val="-2"/>
          <w:w w:val="120"/>
        </w:rPr>
        <w:t> </w:t>
      </w:r>
      <w:r>
        <w:rPr>
          <w:color w:val="231F20"/>
          <w:w w:val="120"/>
        </w:rPr>
        <w:t>les</w:t>
      </w:r>
      <w:r>
        <w:rPr>
          <w:color w:val="231F20"/>
          <w:spacing w:val="-2"/>
          <w:w w:val="120"/>
        </w:rPr>
        <w:t> </w:t>
      </w:r>
      <w:r>
        <w:rPr>
          <w:color w:val="231F20"/>
          <w:w w:val="120"/>
        </w:rPr>
        <w:t>problèmes</w:t>
      </w:r>
      <w:r>
        <w:rPr>
          <w:color w:val="231F20"/>
          <w:spacing w:val="-2"/>
          <w:w w:val="120"/>
        </w:rPr>
        <w:t> </w:t>
      </w:r>
      <w:r>
        <w:rPr>
          <w:color w:val="231F20"/>
          <w:w w:val="120"/>
        </w:rPr>
        <w:t>irrésolus du</w:t>
      </w:r>
      <w:r>
        <w:rPr>
          <w:color w:val="231F20"/>
          <w:spacing w:val="-4"/>
          <w:w w:val="120"/>
        </w:rPr>
        <w:t> </w:t>
      </w:r>
      <w:r>
        <w:rPr>
          <w:color w:val="231F20"/>
          <w:w w:val="120"/>
        </w:rPr>
        <w:t>passé,</w:t>
      </w:r>
      <w:r>
        <w:rPr>
          <w:color w:val="231F20"/>
          <w:spacing w:val="-4"/>
          <w:w w:val="120"/>
        </w:rPr>
        <w:t> </w:t>
      </w:r>
      <w:r>
        <w:rPr>
          <w:color w:val="231F20"/>
          <w:w w:val="120"/>
        </w:rPr>
        <w:t>les</w:t>
      </w:r>
      <w:r>
        <w:rPr>
          <w:color w:val="231F20"/>
          <w:spacing w:val="-4"/>
          <w:w w:val="120"/>
        </w:rPr>
        <w:t> </w:t>
      </w:r>
      <w:r>
        <w:rPr>
          <w:color w:val="231F20"/>
          <w:w w:val="120"/>
        </w:rPr>
        <w:t>inquiétudes</w:t>
      </w:r>
      <w:r>
        <w:rPr>
          <w:color w:val="231F20"/>
          <w:spacing w:val="-4"/>
          <w:w w:val="120"/>
        </w:rPr>
        <w:t> </w:t>
      </w:r>
      <w:r>
        <w:rPr>
          <w:color w:val="231F20"/>
          <w:w w:val="120"/>
        </w:rPr>
        <w:t>face</w:t>
      </w:r>
      <w:r>
        <w:rPr>
          <w:color w:val="231F20"/>
          <w:spacing w:val="-4"/>
          <w:w w:val="120"/>
        </w:rPr>
        <w:t> </w:t>
      </w:r>
      <w:r>
        <w:rPr>
          <w:color w:val="231F20"/>
          <w:w w:val="120"/>
        </w:rPr>
        <w:t>à</w:t>
      </w:r>
      <w:r>
        <w:rPr>
          <w:color w:val="231F20"/>
          <w:spacing w:val="-4"/>
          <w:w w:val="120"/>
        </w:rPr>
        <w:t> </w:t>
      </w:r>
      <w:r>
        <w:rPr>
          <w:color w:val="231F20"/>
          <w:w w:val="120"/>
        </w:rPr>
        <w:t>l’avenir.</w:t>
      </w:r>
      <w:r>
        <w:rPr>
          <w:color w:val="231F20"/>
          <w:spacing w:val="-4"/>
          <w:w w:val="120"/>
        </w:rPr>
        <w:t> </w:t>
      </w:r>
      <w:r>
        <w:rPr>
          <w:color w:val="231F20"/>
          <w:w w:val="120"/>
        </w:rPr>
        <w:t>La</w:t>
      </w:r>
      <w:r>
        <w:rPr>
          <w:color w:val="231F20"/>
          <w:spacing w:val="-4"/>
          <w:w w:val="120"/>
        </w:rPr>
        <w:t> </w:t>
      </w:r>
      <w:r>
        <w:rPr>
          <w:color w:val="231F20"/>
          <w:w w:val="120"/>
        </w:rPr>
        <w:t>pratique</w:t>
      </w:r>
      <w:r>
        <w:rPr>
          <w:color w:val="231F20"/>
          <w:spacing w:val="-4"/>
          <w:w w:val="120"/>
        </w:rPr>
        <w:t> </w:t>
      </w:r>
      <w:r>
        <w:rPr>
          <w:color w:val="231F20"/>
          <w:w w:val="120"/>
        </w:rPr>
        <w:t>régulière</w:t>
      </w:r>
      <w:r>
        <w:rPr>
          <w:color w:val="231F20"/>
          <w:spacing w:val="-4"/>
          <w:w w:val="120"/>
        </w:rPr>
        <w:t> </w:t>
      </w:r>
      <w:r>
        <w:rPr>
          <w:color w:val="231F20"/>
          <w:w w:val="120"/>
        </w:rPr>
        <w:t>du</w:t>
      </w:r>
      <w:r>
        <w:rPr>
          <w:color w:val="231F20"/>
          <w:spacing w:val="-4"/>
          <w:w w:val="120"/>
        </w:rPr>
        <w:t> </w:t>
      </w:r>
      <w:r>
        <w:rPr>
          <w:color w:val="231F20"/>
          <w:w w:val="120"/>
        </w:rPr>
        <w:t>yoga permet</w:t>
      </w:r>
      <w:r>
        <w:rPr>
          <w:color w:val="231F20"/>
          <w:spacing w:val="-6"/>
          <w:w w:val="120"/>
        </w:rPr>
        <w:t> </w:t>
      </w:r>
      <w:r>
        <w:rPr>
          <w:color w:val="231F20"/>
          <w:w w:val="120"/>
        </w:rPr>
        <w:t>à</w:t>
      </w:r>
      <w:r>
        <w:rPr>
          <w:color w:val="231F20"/>
          <w:spacing w:val="-6"/>
          <w:w w:val="120"/>
        </w:rPr>
        <w:t> </w:t>
      </w:r>
      <w:r>
        <w:rPr>
          <w:color w:val="231F20"/>
          <w:w w:val="120"/>
        </w:rPr>
        <w:t>la</w:t>
      </w:r>
      <w:r>
        <w:rPr>
          <w:color w:val="231F20"/>
          <w:spacing w:val="-6"/>
          <w:w w:val="120"/>
        </w:rPr>
        <w:t> </w:t>
      </w:r>
      <w:r>
        <w:rPr>
          <w:color w:val="231F20"/>
          <w:w w:val="120"/>
        </w:rPr>
        <w:t>personne</w:t>
      </w:r>
      <w:r>
        <w:rPr>
          <w:color w:val="231F20"/>
          <w:spacing w:val="-6"/>
          <w:w w:val="120"/>
        </w:rPr>
        <w:t> </w:t>
      </w:r>
      <w:r>
        <w:rPr>
          <w:color w:val="231F20"/>
          <w:w w:val="120"/>
        </w:rPr>
        <w:t>de</w:t>
      </w:r>
      <w:r>
        <w:rPr>
          <w:color w:val="231F20"/>
          <w:spacing w:val="-6"/>
          <w:w w:val="120"/>
        </w:rPr>
        <w:t> </w:t>
      </w:r>
      <w:r>
        <w:rPr>
          <w:color w:val="231F20"/>
          <w:w w:val="120"/>
        </w:rPr>
        <w:t>mettre</w:t>
      </w:r>
      <w:r>
        <w:rPr>
          <w:color w:val="231F20"/>
          <w:spacing w:val="-6"/>
          <w:w w:val="120"/>
        </w:rPr>
        <w:t> </w:t>
      </w:r>
      <w:r>
        <w:rPr>
          <w:color w:val="231F20"/>
          <w:w w:val="120"/>
        </w:rPr>
        <w:t>en</w:t>
      </w:r>
      <w:r>
        <w:rPr>
          <w:color w:val="231F20"/>
          <w:spacing w:val="-6"/>
          <w:w w:val="120"/>
        </w:rPr>
        <w:t> </w:t>
      </w:r>
      <w:r>
        <w:rPr>
          <w:color w:val="231F20"/>
          <w:w w:val="120"/>
        </w:rPr>
        <w:t>place</w:t>
      </w:r>
      <w:r>
        <w:rPr>
          <w:color w:val="231F20"/>
          <w:spacing w:val="-6"/>
          <w:w w:val="120"/>
        </w:rPr>
        <w:t> </w:t>
      </w:r>
      <w:r>
        <w:rPr>
          <w:color w:val="231F20"/>
          <w:w w:val="120"/>
        </w:rPr>
        <w:t>une</w:t>
      </w:r>
      <w:r>
        <w:rPr>
          <w:color w:val="231F20"/>
          <w:spacing w:val="-6"/>
          <w:w w:val="120"/>
        </w:rPr>
        <w:t> </w:t>
      </w:r>
      <w:r>
        <w:rPr>
          <w:color w:val="231F20"/>
          <w:w w:val="120"/>
        </w:rPr>
        <w:t>réponse</w:t>
      </w:r>
      <w:r>
        <w:rPr>
          <w:color w:val="231F20"/>
          <w:spacing w:val="-6"/>
          <w:w w:val="120"/>
        </w:rPr>
        <w:t> </w:t>
      </w:r>
      <w:r>
        <w:rPr>
          <w:color w:val="231F20"/>
          <w:w w:val="120"/>
        </w:rPr>
        <w:t>naturelle</w:t>
      </w:r>
      <w:r>
        <w:rPr>
          <w:color w:val="231F20"/>
          <w:spacing w:val="-6"/>
          <w:w w:val="120"/>
        </w:rPr>
        <w:t> </w:t>
      </w:r>
      <w:r>
        <w:rPr>
          <w:color w:val="231F20"/>
          <w:w w:val="120"/>
        </w:rPr>
        <w:t>au</w:t>
      </w:r>
      <w:r>
        <w:rPr>
          <w:color w:val="231F20"/>
          <w:spacing w:val="-6"/>
          <w:w w:val="120"/>
        </w:rPr>
        <w:t> </w:t>
      </w:r>
      <w:r>
        <w:rPr>
          <w:color w:val="231F20"/>
          <w:w w:val="120"/>
        </w:rPr>
        <w:t>stress </w:t>
      </w:r>
      <w:r>
        <w:rPr>
          <w:color w:val="231F20"/>
          <w:w w:val="125"/>
        </w:rPr>
        <w:t>et</w:t>
      </w:r>
      <w:r>
        <w:rPr>
          <w:color w:val="231F20"/>
          <w:spacing w:val="-7"/>
          <w:w w:val="125"/>
        </w:rPr>
        <w:t> </w:t>
      </w:r>
      <w:r>
        <w:rPr>
          <w:color w:val="231F20"/>
          <w:w w:val="125"/>
        </w:rPr>
        <w:t>de</w:t>
      </w:r>
      <w:r>
        <w:rPr>
          <w:color w:val="231F20"/>
          <w:spacing w:val="-7"/>
          <w:w w:val="125"/>
        </w:rPr>
        <w:t> </w:t>
      </w:r>
      <w:r>
        <w:rPr>
          <w:color w:val="231F20"/>
          <w:w w:val="125"/>
        </w:rPr>
        <w:t>vivre</w:t>
      </w:r>
      <w:r>
        <w:rPr>
          <w:color w:val="231F20"/>
          <w:spacing w:val="-7"/>
          <w:w w:val="125"/>
        </w:rPr>
        <w:t> </w:t>
      </w:r>
      <w:r>
        <w:rPr>
          <w:color w:val="231F20"/>
          <w:w w:val="125"/>
        </w:rPr>
        <w:t>au</w:t>
      </w:r>
      <w:r>
        <w:rPr>
          <w:color w:val="231F20"/>
          <w:spacing w:val="-7"/>
          <w:w w:val="125"/>
        </w:rPr>
        <w:t> </w:t>
      </w:r>
      <w:r>
        <w:rPr>
          <w:color w:val="231F20"/>
          <w:w w:val="125"/>
        </w:rPr>
        <w:t>quotidien</w:t>
      </w:r>
      <w:r>
        <w:rPr>
          <w:color w:val="231F20"/>
          <w:spacing w:val="-7"/>
          <w:w w:val="125"/>
        </w:rPr>
        <w:t> </w:t>
      </w:r>
      <w:r>
        <w:rPr>
          <w:color w:val="231F20"/>
          <w:w w:val="125"/>
        </w:rPr>
        <w:t>dans</w:t>
      </w:r>
      <w:r>
        <w:rPr>
          <w:color w:val="231F20"/>
          <w:spacing w:val="-7"/>
          <w:w w:val="125"/>
        </w:rPr>
        <w:t> </w:t>
      </w:r>
      <w:r>
        <w:rPr>
          <w:color w:val="231F20"/>
          <w:w w:val="125"/>
        </w:rPr>
        <w:t>un</w:t>
      </w:r>
      <w:r>
        <w:rPr>
          <w:color w:val="231F20"/>
          <w:spacing w:val="-7"/>
          <w:w w:val="125"/>
        </w:rPr>
        <w:t> </w:t>
      </w:r>
      <w:r>
        <w:rPr>
          <w:color w:val="231F20"/>
          <w:w w:val="125"/>
        </w:rPr>
        <w:t>état</w:t>
      </w:r>
      <w:r>
        <w:rPr>
          <w:color w:val="231F20"/>
          <w:spacing w:val="-7"/>
          <w:w w:val="125"/>
        </w:rPr>
        <w:t> </w:t>
      </w:r>
      <w:r>
        <w:rPr>
          <w:color w:val="231F20"/>
          <w:w w:val="125"/>
        </w:rPr>
        <w:t>de</w:t>
      </w:r>
      <w:r>
        <w:rPr>
          <w:color w:val="231F20"/>
          <w:spacing w:val="-7"/>
          <w:w w:val="125"/>
        </w:rPr>
        <w:t> </w:t>
      </w:r>
      <w:r>
        <w:rPr>
          <w:color w:val="231F20"/>
          <w:w w:val="125"/>
        </w:rPr>
        <w:t>plus</w:t>
      </w:r>
      <w:r>
        <w:rPr>
          <w:color w:val="231F20"/>
          <w:spacing w:val="-7"/>
          <w:w w:val="125"/>
        </w:rPr>
        <w:t> </w:t>
      </w:r>
      <w:r>
        <w:rPr>
          <w:color w:val="231F20"/>
          <w:w w:val="125"/>
        </w:rPr>
        <w:t>en</w:t>
      </w:r>
      <w:r>
        <w:rPr>
          <w:color w:val="231F20"/>
          <w:spacing w:val="-7"/>
          <w:w w:val="125"/>
        </w:rPr>
        <w:t> </w:t>
      </w:r>
      <w:r>
        <w:rPr>
          <w:color w:val="231F20"/>
          <w:w w:val="125"/>
        </w:rPr>
        <w:t>plus</w:t>
      </w:r>
      <w:r>
        <w:rPr>
          <w:color w:val="231F20"/>
          <w:spacing w:val="-7"/>
          <w:w w:val="125"/>
        </w:rPr>
        <w:t> </w:t>
      </w:r>
      <w:r>
        <w:rPr>
          <w:color w:val="231F20"/>
          <w:w w:val="125"/>
        </w:rPr>
        <w:t>détendu.</w:t>
      </w:r>
    </w:p>
    <w:p>
      <w:pPr>
        <w:pStyle w:val="BodyText"/>
        <w:spacing w:line="307" w:lineRule="auto" w:before="78"/>
        <w:ind w:left="1220" w:right="105" w:firstLine="250"/>
        <w:jc w:val="both"/>
      </w:pPr>
      <w:r>
        <w:rPr>
          <w:color w:val="231F20"/>
          <w:w w:val="120"/>
        </w:rPr>
        <w:t>Le</w:t>
      </w:r>
      <w:r>
        <w:rPr>
          <w:color w:val="231F20"/>
          <w:spacing w:val="-13"/>
          <w:w w:val="120"/>
        </w:rPr>
        <w:t> </w:t>
      </w:r>
      <w:r>
        <w:rPr>
          <w:color w:val="231F20"/>
          <w:w w:val="120"/>
        </w:rPr>
        <w:t>yoga</w:t>
      </w:r>
      <w:r>
        <w:rPr>
          <w:color w:val="231F20"/>
          <w:spacing w:val="-13"/>
          <w:w w:val="120"/>
        </w:rPr>
        <w:t> </w:t>
      </w:r>
      <w:r>
        <w:rPr>
          <w:color w:val="231F20"/>
          <w:w w:val="120"/>
        </w:rPr>
        <w:t>a</w:t>
      </w:r>
      <w:r>
        <w:rPr>
          <w:color w:val="231F20"/>
          <w:spacing w:val="-13"/>
          <w:w w:val="120"/>
        </w:rPr>
        <w:t> </w:t>
      </w:r>
      <w:r>
        <w:rPr>
          <w:color w:val="231F20"/>
          <w:w w:val="120"/>
        </w:rPr>
        <w:t>des</w:t>
      </w:r>
      <w:r>
        <w:rPr>
          <w:color w:val="231F20"/>
          <w:spacing w:val="-12"/>
          <w:w w:val="120"/>
        </w:rPr>
        <w:t> </w:t>
      </w:r>
      <w:r>
        <w:rPr>
          <w:color w:val="231F20"/>
          <w:w w:val="120"/>
        </w:rPr>
        <w:t>avantages</w:t>
      </w:r>
      <w:r>
        <w:rPr>
          <w:color w:val="231F20"/>
          <w:spacing w:val="-13"/>
          <w:w w:val="120"/>
        </w:rPr>
        <w:t> </w:t>
      </w:r>
      <w:r>
        <w:rPr>
          <w:color w:val="231F20"/>
          <w:w w:val="120"/>
        </w:rPr>
        <w:t>pour</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2"/>
          <w:w w:val="120"/>
        </w:rPr>
        <w:t> </w:t>
      </w:r>
      <w:r>
        <w:rPr>
          <w:color w:val="231F20"/>
          <w:w w:val="120"/>
        </w:rPr>
        <w:t>La</w:t>
      </w:r>
      <w:r>
        <w:rPr>
          <w:color w:val="231F20"/>
          <w:spacing w:val="-13"/>
          <w:w w:val="120"/>
        </w:rPr>
        <w:t> </w:t>
      </w:r>
      <w:r>
        <w:rPr>
          <w:color w:val="231F20"/>
          <w:w w:val="120"/>
        </w:rPr>
        <w:t>sensation</w:t>
      </w:r>
      <w:r>
        <w:rPr>
          <w:color w:val="231F20"/>
          <w:spacing w:val="-13"/>
          <w:w w:val="120"/>
        </w:rPr>
        <w:t> </w:t>
      </w:r>
      <w:r>
        <w:rPr>
          <w:color w:val="231F20"/>
          <w:w w:val="120"/>
        </w:rPr>
        <w:t>de</w:t>
      </w:r>
      <w:r>
        <w:rPr>
          <w:color w:val="231F20"/>
          <w:spacing w:val="-13"/>
          <w:w w:val="120"/>
        </w:rPr>
        <w:t> </w:t>
      </w:r>
      <w:r>
        <w:rPr>
          <w:color w:val="231F20"/>
          <w:w w:val="120"/>
        </w:rPr>
        <w:t>bien-être</w:t>
      </w:r>
      <w:r>
        <w:rPr>
          <w:color w:val="231F20"/>
          <w:spacing w:val="-12"/>
          <w:w w:val="120"/>
        </w:rPr>
        <w:t> </w:t>
      </w:r>
      <w:r>
        <w:rPr>
          <w:color w:val="231F20"/>
          <w:w w:val="120"/>
        </w:rPr>
        <w:t>phy- sique</w:t>
      </w:r>
      <w:r>
        <w:rPr>
          <w:color w:val="231F20"/>
          <w:spacing w:val="-15"/>
          <w:w w:val="120"/>
        </w:rPr>
        <w:t> </w:t>
      </w:r>
      <w:r>
        <w:rPr>
          <w:color w:val="231F20"/>
          <w:w w:val="120"/>
        </w:rPr>
        <w:t>qu’il</w:t>
      </w:r>
      <w:r>
        <w:rPr>
          <w:color w:val="231F20"/>
          <w:spacing w:val="-13"/>
          <w:w w:val="120"/>
        </w:rPr>
        <w:t> </w:t>
      </w:r>
      <w:r>
        <w:rPr>
          <w:color w:val="231F20"/>
          <w:w w:val="120"/>
        </w:rPr>
        <w:t>induit</w:t>
      </w:r>
      <w:r>
        <w:rPr>
          <w:color w:val="231F20"/>
          <w:spacing w:val="-13"/>
          <w:w w:val="120"/>
        </w:rPr>
        <w:t> </w:t>
      </w:r>
      <w:r>
        <w:rPr>
          <w:color w:val="231F20"/>
          <w:w w:val="120"/>
        </w:rPr>
        <w:t>est</w:t>
      </w:r>
      <w:r>
        <w:rPr>
          <w:color w:val="231F20"/>
          <w:spacing w:val="-12"/>
          <w:w w:val="120"/>
        </w:rPr>
        <w:t> </w:t>
      </w:r>
      <w:r>
        <w:rPr>
          <w:color w:val="231F20"/>
          <w:w w:val="120"/>
        </w:rPr>
        <w:t>un</w:t>
      </w:r>
      <w:r>
        <w:rPr>
          <w:color w:val="231F20"/>
          <w:spacing w:val="-13"/>
          <w:w w:val="120"/>
        </w:rPr>
        <w:t> </w:t>
      </w:r>
      <w:r>
        <w:rPr>
          <w:color w:val="231F20"/>
          <w:w w:val="120"/>
        </w:rPr>
        <w:t>agent</w:t>
      </w:r>
      <w:r>
        <w:rPr>
          <w:color w:val="231F20"/>
          <w:spacing w:val="-13"/>
          <w:w w:val="120"/>
        </w:rPr>
        <w:t> </w:t>
      </w:r>
      <w:r>
        <w:rPr>
          <w:color w:val="231F20"/>
          <w:w w:val="120"/>
        </w:rPr>
        <w:t>de</w:t>
      </w:r>
      <w:r>
        <w:rPr>
          <w:color w:val="231F20"/>
          <w:spacing w:val="-13"/>
          <w:w w:val="120"/>
        </w:rPr>
        <w:t> </w:t>
      </w:r>
      <w:r>
        <w:rPr>
          <w:color w:val="231F20"/>
          <w:w w:val="120"/>
        </w:rPr>
        <w:t>lutte</w:t>
      </w:r>
      <w:r>
        <w:rPr>
          <w:color w:val="231F20"/>
          <w:spacing w:val="-12"/>
          <w:w w:val="120"/>
        </w:rPr>
        <w:t> </w:t>
      </w:r>
      <w:r>
        <w:rPr>
          <w:color w:val="231F20"/>
          <w:w w:val="120"/>
        </w:rPr>
        <w:t>contre</w:t>
      </w:r>
      <w:r>
        <w:rPr>
          <w:color w:val="231F20"/>
          <w:spacing w:val="-13"/>
          <w:w w:val="120"/>
        </w:rPr>
        <w:t> </w:t>
      </w:r>
      <w:r>
        <w:rPr>
          <w:color w:val="231F20"/>
          <w:w w:val="120"/>
        </w:rPr>
        <w:t>les</w:t>
      </w:r>
      <w:r>
        <w:rPr>
          <w:color w:val="231F20"/>
          <w:spacing w:val="-13"/>
          <w:w w:val="120"/>
        </w:rPr>
        <w:t> </w:t>
      </w:r>
      <w:r>
        <w:rPr>
          <w:color w:val="231F20"/>
          <w:w w:val="120"/>
        </w:rPr>
        <w:t>conséquences</w:t>
      </w:r>
      <w:r>
        <w:rPr>
          <w:color w:val="231F20"/>
          <w:spacing w:val="-13"/>
          <w:w w:val="120"/>
        </w:rPr>
        <w:t> </w:t>
      </w:r>
      <w:r>
        <w:rPr>
          <w:color w:val="231F20"/>
          <w:w w:val="120"/>
        </w:rPr>
        <w:t>du</w:t>
      </w:r>
      <w:r>
        <w:rPr>
          <w:color w:val="231F20"/>
          <w:spacing w:val="-12"/>
          <w:w w:val="120"/>
        </w:rPr>
        <w:t> </w:t>
      </w:r>
      <w:r>
        <w:rPr>
          <w:color w:val="231F20"/>
          <w:w w:val="120"/>
        </w:rPr>
        <w:t>stress. On note, entre autres, que la pratique régulière du yoga:</w:t>
      </w:r>
    </w:p>
    <w:p>
      <w:pPr>
        <w:pStyle w:val="ListParagraph"/>
        <w:numPr>
          <w:ilvl w:val="0"/>
          <w:numId w:val="81"/>
        </w:numPr>
        <w:tabs>
          <w:tab w:pos="1721" w:val="left" w:leader="none"/>
        </w:tabs>
        <w:spacing w:line="307" w:lineRule="auto" w:before="80" w:after="0"/>
        <w:ind w:left="1720" w:right="1144" w:hanging="251"/>
        <w:jc w:val="both"/>
        <w:rPr>
          <w:sz w:val="17"/>
        </w:rPr>
      </w:pPr>
      <w:r>
        <w:rPr>
          <w:color w:val="231F20"/>
          <w:w w:val="115"/>
          <w:sz w:val="17"/>
        </w:rPr>
        <w:t>Améliore la souplesse et la mobilité des articulations </w:t>
      </w:r>
      <w:r>
        <w:rPr>
          <w:color w:val="231F20"/>
          <w:w w:val="120"/>
          <w:sz w:val="17"/>
        </w:rPr>
        <w:t>et des muscles;</w:t>
      </w:r>
    </w:p>
    <w:p>
      <w:pPr>
        <w:pStyle w:val="BodyText"/>
        <w:spacing w:before="3"/>
        <w:rPr>
          <w:sz w:val="19"/>
        </w:rPr>
      </w:pPr>
      <w:r>
        <w:rPr/>
        <w:pict>
          <v:shape style="position:absolute;margin-left:82pt;margin-top:12.322064pt;width:287.5pt;height:.1pt;mso-position-horizontal-relative:page;mso-position-vertical-relative:paragraph;z-index:-15627776;mso-wrap-distance-left:0;mso-wrap-distance-right:0" id="docshape1037" coordorigin="1640,246" coordsize="5750,0" path="m1640,246l7390,246e" filled="false" stroked="true" strokeweight=".25pt" strokecolor="#231f20">
            <v:path arrowok="t"/>
            <v:stroke dashstyle="shortdot"/>
            <w10:wrap type="topAndBottom"/>
          </v:shape>
        </w:pict>
      </w:r>
    </w:p>
    <w:p>
      <w:pPr>
        <w:pStyle w:val="ListParagraph"/>
        <w:numPr>
          <w:ilvl w:val="0"/>
          <w:numId w:val="77"/>
        </w:numPr>
        <w:tabs>
          <w:tab w:pos="1219" w:val="left" w:leader="none"/>
          <w:tab w:pos="1220" w:val="left" w:leader="none"/>
        </w:tabs>
        <w:spacing w:line="295" w:lineRule="auto" w:before="135" w:after="0"/>
        <w:ind w:left="1219" w:right="107" w:hanging="328"/>
        <w:jc w:val="left"/>
        <w:rPr>
          <w:rFonts w:ascii="Arial" w:hAnsi="Arial"/>
          <w:sz w:val="12"/>
        </w:rPr>
      </w:pPr>
      <w:r>
        <w:rPr>
          <w:rFonts w:ascii="Arial" w:hAnsi="Arial"/>
          <w:color w:val="231F20"/>
          <w:sz w:val="12"/>
        </w:rPr>
        <w:t>Schultz,</w:t>
      </w:r>
      <w:r>
        <w:rPr>
          <w:rFonts w:ascii="Arial" w:hAnsi="Arial"/>
          <w:color w:val="231F20"/>
          <w:spacing w:val="-7"/>
          <w:sz w:val="12"/>
        </w:rPr>
        <w:t> </w:t>
      </w:r>
      <w:r>
        <w:rPr>
          <w:rFonts w:ascii="Arial" w:hAnsi="Arial"/>
          <w:color w:val="231F20"/>
          <w:sz w:val="12"/>
        </w:rPr>
        <w:t>J.</w:t>
      </w:r>
      <w:r>
        <w:rPr>
          <w:rFonts w:ascii="Arial" w:hAnsi="Arial"/>
          <w:color w:val="231F20"/>
          <w:spacing w:val="-7"/>
          <w:sz w:val="12"/>
        </w:rPr>
        <w:t> </w:t>
      </w:r>
      <w:r>
        <w:rPr>
          <w:rFonts w:ascii="Arial" w:hAnsi="Arial"/>
          <w:color w:val="231F20"/>
          <w:sz w:val="12"/>
        </w:rPr>
        <w:t>H.</w:t>
      </w:r>
      <w:r>
        <w:rPr>
          <w:rFonts w:ascii="Arial" w:hAnsi="Arial"/>
          <w:color w:val="231F20"/>
          <w:spacing w:val="-7"/>
          <w:sz w:val="12"/>
        </w:rPr>
        <w:t> </w:t>
      </w:r>
      <w:r>
        <w:rPr>
          <w:rFonts w:ascii="Arial" w:hAnsi="Arial"/>
          <w:color w:val="231F20"/>
          <w:sz w:val="12"/>
        </w:rPr>
        <w:t>(2000).</w:t>
      </w:r>
      <w:r>
        <w:rPr>
          <w:rFonts w:ascii="Arial" w:hAnsi="Arial"/>
          <w:color w:val="231F20"/>
          <w:spacing w:val="-7"/>
          <w:sz w:val="12"/>
        </w:rPr>
        <w:t> </w:t>
      </w:r>
      <w:r>
        <w:rPr>
          <w:rFonts w:ascii="Arial" w:hAnsi="Arial"/>
          <w:i/>
          <w:color w:val="231F20"/>
          <w:sz w:val="12"/>
        </w:rPr>
        <w:t>Le</w:t>
      </w:r>
      <w:r>
        <w:rPr>
          <w:rFonts w:ascii="Arial" w:hAnsi="Arial"/>
          <w:i/>
          <w:color w:val="231F20"/>
          <w:spacing w:val="-7"/>
          <w:sz w:val="12"/>
        </w:rPr>
        <w:t> </w:t>
      </w:r>
      <w:r>
        <w:rPr>
          <w:rFonts w:ascii="Arial" w:hAnsi="Arial"/>
          <w:i/>
          <w:color w:val="231F20"/>
          <w:sz w:val="12"/>
        </w:rPr>
        <w:t>training</w:t>
      </w:r>
      <w:r>
        <w:rPr>
          <w:rFonts w:ascii="Arial" w:hAnsi="Arial"/>
          <w:i/>
          <w:color w:val="231F20"/>
          <w:spacing w:val="-7"/>
          <w:sz w:val="12"/>
        </w:rPr>
        <w:t> </w:t>
      </w:r>
      <w:r>
        <w:rPr>
          <w:rFonts w:ascii="Arial" w:hAnsi="Arial"/>
          <w:i/>
          <w:color w:val="231F20"/>
          <w:sz w:val="12"/>
        </w:rPr>
        <w:t>autogène</w:t>
      </w:r>
      <w:r>
        <w:rPr>
          <w:rFonts w:ascii="Arial" w:hAnsi="Arial"/>
          <w:color w:val="231F20"/>
          <w:sz w:val="12"/>
        </w:rPr>
        <w:t>,</w:t>
      </w:r>
      <w:r>
        <w:rPr>
          <w:rFonts w:ascii="Arial" w:hAnsi="Arial"/>
          <w:color w:val="231F20"/>
          <w:spacing w:val="-7"/>
          <w:sz w:val="12"/>
        </w:rPr>
        <w:t> </w:t>
      </w:r>
      <w:r>
        <w:rPr>
          <w:rFonts w:ascii="Arial" w:hAnsi="Arial"/>
          <w:color w:val="231F20"/>
          <w:sz w:val="12"/>
        </w:rPr>
        <w:t>13</w:t>
      </w:r>
      <w:r>
        <w:rPr>
          <w:rFonts w:ascii="Arial" w:hAnsi="Arial"/>
          <w:color w:val="231F20"/>
          <w:position w:val="4"/>
          <w:sz w:val="7"/>
        </w:rPr>
        <w:t>e</w:t>
      </w:r>
      <w:r>
        <w:rPr>
          <w:rFonts w:ascii="Arial" w:hAnsi="Arial"/>
          <w:color w:val="231F20"/>
          <w:spacing w:val="7"/>
          <w:position w:val="4"/>
          <w:sz w:val="7"/>
        </w:rPr>
        <w:t> </w:t>
      </w:r>
      <w:r>
        <w:rPr>
          <w:rFonts w:ascii="Arial" w:hAnsi="Arial"/>
          <w:color w:val="231F20"/>
          <w:sz w:val="12"/>
        </w:rPr>
        <w:t>éd.,</w:t>
      </w:r>
      <w:r>
        <w:rPr>
          <w:rFonts w:ascii="Arial" w:hAnsi="Arial"/>
          <w:color w:val="231F20"/>
          <w:spacing w:val="-7"/>
          <w:sz w:val="12"/>
        </w:rPr>
        <w:t> </w:t>
      </w:r>
      <w:r>
        <w:rPr>
          <w:rFonts w:ascii="Arial" w:hAnsi="Arial"/>
          <w:color w:val="231F20"/>
          <w:sz w:val="12"/>
        </w:rPr>
        <w:t>Paris,</w:t>
      </w:r>
      <w:r>
        <w:rPr>
          <w:rFonts w:ascii="Arial" w:hAnsi="Arial"/>
          <w:color w:val="231F20"/>
          <w:spacing w:val="-7"/>
          <w:sz w:val="12"/>
        </w:rPr>
        <w:t> </w:t>
      </w:r>
      <w:r>
        <w:rPr>
          <w:rFonts w:ascii="Arial" w:hAnsi="Arial"/>
          <w:color w:val="231F20"/>
          <w:sz w:val="12"/>
        </w:rPr>
        <w:t>Presses</w:t>
      </w:r>
      <w:r>
        <w:rPr>
          <w:rFonts w:ascii="Arial" w:hAnsi="Arial"/>
          <w:color w:val="231F20"/>
          <w:spacing w:val="-7"/>
          <w:sz w:val="12"/>
        </w:rPr>
        <w:t> </w:t>
      </w:r>
      <w:r>
        <w:rPr>
          <w:rFonts w:ascii="Arial" w:hAnsi="Arial"/>
          <w:color w:val="231F20"/>
          <w:sz w:val="12"/>
        </w:rPr>
        <w:t>universitaires</w:t>
      </w:r>
      <w:r>
        <w:rPr>
          <w:rFonts w:ascii="Arial" w:hAnsi="Arial"/>
          <w:color w:val="231F20"/>
          <w:spacing w:val="-7"/>
          <w:sz w:val="12"/>
        </w:rPr>
        <w:t> </w:t>
      </w:r>
      <w:r>
        <w:rPr>
          <w:rFonts w:ascii="Arial" w:hAnsi="Arial"/>
          <w:color w:val="231F20"/>
          <w:sz w:val="12"/>
        </w:rPr>
        <w:t>de</w:t>
      </w:r>
      <w:r>
        <w:rPr>
          <w:rFonts w:ascii="Arial" w:hAnsi="Arial"/>
          <w:color w:val="231F20"/>
          <w:spacing w:val="-7"/>
          <w:sz w:val="12"/>
        </w:rPr>
        <w:t> </w:t>
      </w:r>
      <w:r>
        <w:rPr>
          <w:rFonts w:ascii="Arial" w:hAnsi="Arial"/>
          <w:color w:val="231F20"/>
          <w:sz w:val="12"/>
        </w:rPr>
        <w:t>France,</w:t>
      </w:r>
      <w:r>
        <w:rPr>
          <w:rFonts w:ascii="Arial" w:hAnsi="Arial"/>
          <w:color w:val="231F20"/>
          <w:spacing w:val="-7"/>
          <w:sz w:val="12"/>
        </w:rPr>
        <w:t> </w:t>
      </w:r>
      <w:r>
        <w:rPr>
          <w:rFonts w:ascii="Arial" w:hAnsi="Arial"/>
          <w:color w:val="231F20"/>
          <w:sz w:val="12"/>
        </w:rPr>
        <w:t>coll.</w:t>
      </w:r>
      <w:r>
        <w:rPr>
          <w:rFonts w:ascii="Arial" w:hAnsi="Arial"/>
          <w:color w:val="231F20"/>
          <w:spacing w:val="-7"/>
          <w:sz w:val="12"/>
        </w:rPr>
        <w:t> </w:t>
      </w:r>
      <w:r>
        <w:rPr>
          <w:rFonts w:ascii="Arial" w:hAnsi="Arial"/>
          <w:color w:val="231F20"/>
          <w:sz w:val="12"/>
        </w:rPr>
        <w:t>Bibliothèque</w:t>
      </w:r>
      <w:r>
        <w:rPr>
          <w:rFonts w:ascii="Arial" w:hAnsi="Arial"/>
          <w:color w:val="231F20"/>
          <w:spacing w:val="40"/>
          <w:sz w:val="12"/>
        </w:rPr>
        <w:t> </w:t>
      </w:r>
      <w:r>
        <w:rPr>
          <w:rFonts w:ascii="Arial" w:hAnsi="Arial"/>
          <w:color w:val="231F20"/>
          <w:sz w:val="12"/>
        </w:rPr>
        <w:t>de psychiatrie, p. 1.</w:t>
      </w:r>
    </w:p>
    <w:p>
      <w:pPr>
        <w:spacing w:after="0" w:line="295" w:lineRule="auto"/>
        <w:jc w:val="left"/>
        <w:rPr>
          <w:rFonts w:ascii="Arial" w:hAnsi="Arial"/>
          <w:sz w:val="12"/>
        </w:rPr>
        <w:sectPr>
          <w:footerReference w:type="default" r:id="rId295"/>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ListParagraph"/>
        <w:numPr>
          <w:ilvl w:val="0"/>
          <w:numId w:val="82"/>
        </w:numPr>
        <w:tabs>
          <w:tab w:pos="1331" w:val="left" w:leader="none"/>
        </w:tabs>
        <w:spacing w:line="240" w:lineRule="auto" w:before="145" w:after="0"/>
        <w:ind w:left="1330" w:right="0" w:hanging="251"/>
        <w:jc w:val="left"/>
        <w:rPr>
          <w:sz w:val="17"/>
        </w:rPr>
      </w:pPr>
      <w:r>
        <w:rPr>
          <w:color w:val="231F20"/>
          <w:w w:val="115"/>
          <w:sz w:val="17"/>
        </w:rPr>
        <w:t>Renforce</w:t>
      </w:r>
      <w:r>
        <w:rPr>
          <w:color w:val="231F20"/>
          <w:spacing w:val="-1"/>
          <w:w w:val="115"/>
          <w:sz w:val="17"/>
        </w:rPr>
        <w:t> </w:t>
      </w:r>
      <w:r>
        <w:rPr>
          <w:color w:val="231F20"/>
          <w:w w:val="115"/>
          <w:sz w:val="17"/>
        </w:rPr>
        <w:t>et</w:t>
      </w:r>
      <w:r>
        <w:rPr>
          <w:color w:val="231F20"/>
          <w:spacing w:val="-1"/>
          <w:w w:val="115"/>
          <w:sz w:val="17"/>
        </w:rPr>
        <w:t> </w:t>
      </w:r>
      <w:r>
        <w:rPr>
          <w:color w:val="231F20"/>
          <w:w w:val="115"/>
          <w:sz w:val="17"/>
        </w:rPr>
        <w:t>tonifie les</w:t>
      </w:r>
      <w:r>
        <w:rPr>
          <w:color w:val="231F20"/>
          <w:spacing w:val="-1"/>
          <w:w w:val="115"/>
          <w:sz w:val="17"/>
        </w:rPr>
        <w:t> </w:t>
      </w:r>
      <w:r>
        <w:rPr>
          <w:color w:val="231F20"/>
          <w:spacing w:val="-2"/>
          <w:w w:val="115"/>
          <w:sz w:val="17"/>
        </w:rPr>
        <w:t>muscles;</w:t>
      </w:r>
    </w:p>
    <w:p>
      <w:pPr>
        <w:pStyle w:val="ListParagraph"/>
        <w:numPr>
          <w:ilvl w:val="0"/>
          <w:numId w:val="82"/>
        </w:numPr>
        <w:tabs>
          <w:tab w:pos="1331" w:val="left" w:leader="none"/>
        </w:tabs>
        <w:spacing w:line="240" w:lineRule="auto" w:before="54" w:after="0"/>
        <w:ind w:left="1330" w:right="0" w:hanging="251"/>
        <w:jc w:val="left"/>
        <w:rPr>
          <w:sz w:val="17"/>
        </w:rPr>
      </w:pPr>
      <w:r>
        <w:rPr>
          <w:color w:val="231F20"/>
          <w:w w:val="110"/>
          <w:sz w:val="17"/>
        </w:rPr>
        <w:t>Accroît</w:t>
      </w:r>
      <w:r>
        <w:rPr>
          <w:color w:val="231F20"/>
          <w:w w:val="115"/>
          <w:sz w:val="17"/>
        </w:rPr>
        <w:t> </w:t>
      </w:r>
      <w:r>
        <w:rPr>
          <w:color w:val="231F20"/>
          <w:spacing w:val="-2"/>
          <w:w w:val="115"/>
          <w:sz w:val="17"/>
        </w:rPr>
        <w:t>l’endurance;</w:t>
      </w:r>
    </w:p>
    <w:p>
      <w:pPr>
        <w:pStyle w:val="ListParagraph"/>
        <w:numPr>
          <w:ilvl w:val="0"/>
          <w:numId w:val="82"/>
        </w:numPr>
        <w:tabs>
          <w:tab w:pos="1331" w:val="left" w:leader="none"/>
        </w:tabs>
        <w:spacing w:line="240" w:lineRule="auto" w:before="55" w:after="0"/>
        <w:ind w:left="1330" w:right="0" w:hanging="251"/>
        <w:jc w:val="left"/>
        <w:rPr>
          <w:sz w:val="17"/>
        </w:rPr>
      </w:pPr>
      <w:r>
        <w:rPr>
          <w:color w:val="231F20"/>
          <w:w w:val="115"/>
          <w:sz w:val="17"/>
        </w:rPr>
        <w:t>Soulage les maux de</w:t>
      </w:r>
      <w:r>
        <w:rPr>
          <w:color w:val="231F20"/>
          <w:spacing w:val="1"/>
          <w:w w:val="115"/>
          <w:sz w:val="17"/>
        </w:rPr>
        <w:t> </w:t>
      </w:r>
      <w:r>
        <w:rPr>
          <w:color w:val="231F20"/>
          <w:spacing w:val="-4"/>
          <w:w w:val="115"/>
          <w:sz w:val="17"/>
        </w:rPr>
        <w:t>dos;</w:t>
      </w:r>
    </w:p>
    <w:p>
      <w:pPr>
        <w:pStyle w:val="ListParagraph"/>
        <w:numPr>
          <w:ilvl w:val="0"/>
          <w:numId w:val="82"/>
        </w:numPr>
        <w:tabs>
          <w:tab w:pos="1331" w:val="left" w:leader="none"/>
        </w:tabs>
        <w:spacing w:line="240" w:lineRule="auto" w:before="54" w:after="0"/>
        <w:ind w:left="1330" w:right="0" w:hanging="251"/>
        <w:jc w:val="left"/>
        <w:rPr>
          <w:sz w:val="17"/>
        </w:rPr>
      </w:pPr>
      <w:r>
        <w:rPr>
          <w:color w:val="231F20"/>
          <w:w w:val="115"/>
          <w:sz w:val="17"/>
        </w:rPr>
        <w:t>Accroît la</w:t>
      </w:r>
      <w:r>
        <w:rPr>
          <w:color w:val="231F20"/>
          <w:spacing w:val="1"/>
          <w:w w:val="115"/>
          <w:sz w:val="17"/>
        </w:rPr>
        <w:t> </w:t>
      </w:r>
      <w:r>
        <w:rPr>
          <w:color w:val="231F20"/>
          <w:w w:val="115"/>
          <w:sz w:val="17"/>
        </w:rPr>
        <w:t>vitalité</w:t>
      </w:r>
      <w:r>
        <w:rPr>
          <w:color w:val="231F20"/>
          <w:spacing w:val="1"/>
          <w:w w:val="115"/>
          <w:sz w:val="17"/>
        </w:rPr>
        <w:t> </w:t>
      </w:r>
      <w:r>
        <w:rPr>
          <w:color w:val="231F20"/>
          <w:w w:val="115"/>
          <w:sz w:val="17"/>
        </w:rPr>
        <w:t>et</w:t>
      </w:r>
      <w:r>
        <w:rPr>
          <w:color w:val="231F20"/>
          <w:spacing w:val="1"/>
          <w:w w:val="115"/>
          <w:sz w:val="17"/>
        </w:rPr>
        <w:t> </w:t>
      </w:r>
      <w:r>
        <w:rPr>
          <w:color w:val="231F20"/>
          <w:w w:val="115"/>
          <w:sz w:val="17"/>
        </w:rPr>
        <w:t>améliore</w:t>
      </w:r>
      <w:r>
        <w:rPr>
          <w:color w:val="231F20"/>
          <w:spacing w:val="1"/>
          <w:w w:val="115"/>
          <w:sz w:val="17"/>
        </w:rPr>
        <w:t> </w:t>
      </w:r>
      <w:r>
        <w:rPr>
          <w:color w:val="231F20"/>
          <w:w w:val="115"/>
          <w:sz w:val="17"/>
        </w:rPr>
        <w:t>les</w:t>
      </w:r>
      <w:r>
        <w:rPr>
          <w:color w:val="231F20"/>
          <w:spacing w:val="1"/>
          <w:w w:val="115"/>
          <w:sz w:val="17"/>
        </w:rPr>
        <w:t> </w:t>
      </w:r>
      <w:r>
        <w:rPr>
          <w:color w:val="231F20"/>
          <w:w w:val="115"/>
          <w:sz w:val="17"/>
        </w:rPr>
        <w:t>fonctions</w:t>
      </w:r>
      <w:r>
        <w:rPr>
          <w:color w:val="231F20"/>
          <w:spacing w:val="1"/>
          <w:w w:val="115"/>
          <w:sz w:val="17"/>
        </w:rPr>
        <w:t> </w:t>
      </w:r>
      <w:r>
        <w:rPr>
          <w:color w:val="231F20"/>
          <w:spacing w:val="-2"/>
          <w:w w:val="115"/>
          <w:sz w:val="17"/>
        </w:rPr>
        <w:t>cérébrales;</w:t>
      </w:r>
    </w:p>
    <w:p>
      <w:pPr>
        <w:pStyle w:val="ListParagraph"/>
        <w:numPr>
          <w:ilvl w:val="0"/>
          <w:numId w:val="82"/>
        </w:numPr>
        <w:tabs>
          <w:tab w:pos="1331" w:val="left" w:leader="none"/>
        </w:tabs>
        <w:spacing w:line="240" w:lineRule="auto" w:before="55" w:after="0"/>
        <w:ind w:left="1330" w:right="0" w:hanging="251"/>
        <w:jc w:val="left"/>
        <w:rPr>
          <w:sz w:val="17"/>
        </w:rPr>
      </w:pPr>
      <w:r>
        <w:rPr>
          <w:color w:val="231F20"/>
          <w:w w:val="115"/>
          <w:sz w:val="17"/>
        </w:rPr>
        <w:t>Améliore la</w:t>
      </w:r>
      <w:r>
        <w:rPr>
          <w:color w:val="231F20"/>
          <w:spacing w:val="1"/>
          <w:w w:val="115"/>
          <w:sz w:val="17"/>
        </w:rPr>
        <w:t> </w:t>
      </w:r>
      <w:r>
        <w:rPr>
          <w:color w:val="231F20"/>
          <w:w w:val="115"/>
          <w:sz w:val="17"/>
        </w:rPr>
        <w:t>digestion</w:t>
      </w:r>
      <w:r>
        <w:rPr>
          <w:color w:val="231F20"/>
          <w:spacing w:val="1"/>
          <w:w w:val="115"/>
          <w:sz w:val="17"/>
        </w:rPr>
        <w:t> </w:t>
      </w:r>
      <w:r>
        <w:rPr>
          <w:color w:val="231F20"/>
          <w:w w:val="115"/>
          <w:sz w:val="17"/>
        </w:rPr>
        <w:t>et </w:t>
      </w:r>
      <w:r>
        <w:rPr>
          <w:color w:val="231F20"/>
          <w:spacing w:val="-2"/>
          <w:w w:val="115"/>
          <w:sz w:val="17"/>
        </w:rPr>
        <w:t>l’élimination;</w:t>
      </w:r>
    </w:p>
    <w:p>
      <w:pPr>
        <w:pStyle w:val="ListParagraph"/>
        <w:numPr>
          <w:ilvl w:val="0"/>
          <w:numId w:val="82"/>
        </w:numPr>
        <w:tabs>
          <w:tab w:pos="1331" w:val="left" w:leader="none"/>
        </w:tabs>
        <w:spacing w:line="240" w:lineRule="auto" w:before="54" w:after="0"/>
        <w:ind w:left="1330" w:right="0" w:hanging="251"/>
        <w:jc w:val="left"/>
        <w:rPr>
          <w:sz w:val="17"/>
        </w:rPr>
      </w:pPr>
      <w:r>
        <w:rPr>
          <w:color w:val="231F20"/>
          <w:w w:val="115"/>
          <w:sz w:val="17"/>
        </w:rPr>
        <w:t>Abaisse</w:t>
      </w:r>
      <w:r>
        <w:rPr>
          <w:color w:val="231F20"/>
          <w:spacing w:val="1"/>
          <w:w w:val="115"/>
          <w:sz w:val="17"/>
        </w:rPr>
        <w:t> </w:t>
      </w:r>
      <w:r>
        <w:rPr>
          <w:color w:val="231F20"/>
          <w:w w:val="115"/>
          <w:sz w:val="17"/>
        </w:rPr>
        <w:t>le</w:t>
      </w:r>
      <w:r>
        <w:rPr>
          <w:color w:val="231F20"/>
          <w:spacing w:val="2"/>
          <w:w w:val="115"/>
          <w:sz w:val="17"/>
        </w:rPr>
        <w:t> </w:t>
      </w:r>
      <w:r>
        <w:rPr>
          <w:color w:val="231F20"/>
          <w:w w:val="115"/>
          <w:sz w:val="17"/>
        </w:rPr>
        <w:t>taux</w:t>
      </w:r>
      <w:r>
        <w:rPr>
          <w:color w:val="231F20"/>
          <w:spacing w:val="1"/>
          <w:w w:val="115"/>
          <w:sz w:val="17"/>
        </w:rPr>
        <w:t> </w:t>
      </w:r>
      <w:r>
        <w:rPr>
          <w:color w:val="231F20"/>
          <w:w w:val="115"/>
          <w:sz w:val="17"/>
        </w:rPr>
        <w:t>de</w:t>
      </w:r>
      <w:r>
        <w:rPr>
          <w:color w:val="231F20"/>
          <w:spacing w:val="2"/>
          <w:w w:val="115"/>
          <w:sz w:val="17"/>
        </w:rPr>
        <w:t> </w:t>
      </w:r>
      <w:r>
        <w:rPr>
          <w:color w:val="231F20"/>
          <w:w w:val="115"/>
          <w:sz w:val="17"/>
        </w:rPr>
        <w:t>cholestérol</w:t>
      </w:r>
      <w:r>
        <w:rPr>
          <w:color w:val="231F20"/>
          <w:spacing w:val="1"/>
          <w:w w:val="115"/>
          <w:sz w:val="17"/>
        </w:rPr>
        <w:t> </w:t>
      </w:r>
      <w:r>
        <w:rPr>
          <w:color w:val="231F20"/>
          <w:w w:val="115"/>
          <w:sz w:val="17"/>
        </w:rPr>
        <w:t>et</w:t>
      </w:r>
      <w:r>
        <w:rPr>
          <w:color w:val="231F20"/>
          <w:spacing w:val="2"/>
          <w:w w:val="115"/>
          <w:sz w:val="17"/>
        </w:rPr>
        <w:t> </w:t>
      </w:r>
      <w:r>
        <w:rPr>
          <w:color w:val="231F20"/>
          <w:w w:val="115"/>
          <w:sz w:val="17"/>
        </w:rPr>
        <w:t>la</w:t>
      </w:r>
      <w:r>
        <w:rPr>
          <w:color w:val="231F20"/>
          <w:spacing w:val="1"/>
          <w:w w:val="115"/>
          <w:sz w:val="17"/>
        </w:rPr>
        <w:t> </w:t>
      </w:r>
      <w:r>
        <w:rPr>
          <w:color w:val="231F20"/>
          <w:spacing w:val="-2"/>
          <w:w w:val="115"/>
          <w:sz w:val="17"/>
        </w:rPr>
        <w:t>glycémie;</w:t>
      </w:r>
    </w:p>
    <w:p>
      <w:pPr>
        <w:pStyle w:val="ListParagraph"/>
        <w:numPr>
          <w:ilvl w:val="0"/>
          <w:numId w:val="82"/>
        </w:numPr>
        <w:tabs>
          <w:tab w:pos="1331" w:val="left" w:leader="none"/>
        </w:tabs>
        <w:spacing w:line="240" w:lineRule="auto" w:before="55" w:after="0"/>
        <w:ind w:left="1330" w:right="0" w:hanging="251"/>
        <w:jc w:val="left"/>
        <w:rPr>
          <w:sz w:val="17"/>
        </w:rPr>
      </w:pPr>
      <w:r>
        <w:rPr>
          <w:color w:val="231F20"/>
          <w:w w:val="110"/>
          <w:sz w:val="17"/>
        </w:rPr>
        <w:t>Active</w:t>
      </w:r>
      <w:r>
        <w:rPr>
          <w:color w:val="231F20"/>
          <w:spacing w:val="-1"/>
          <w:w w:val="110"/>
          <w:sz w:val="17"/>
        </w:rPr>
        <w:t> </w:t>
      </w:r>
      <w:r>
        <w:rPr>
          <w:color w:val="231F20"/>
          <w:w w:val="110"/>
          <w:sz w:val="17"/>
        </w:rPr>
        <w:t>la</w:t>
      </w:r>
      <w:r>
        <w:rPr>
          <w:color w:val="231F20"/>
          <w:spacing w:val="-1"/>
          <w:w w:val="110"/>
          <w:sz w:val="17"/>
        </w:rPr>
        <w:t> </w:t>
      </w:r>
      <w:r>
        <w:rPr>
          <w:color w:val="231F20"/>
          <w:spacing w:val="-2"/>
          <w:w w:val="110"/>
          <w:sz w:val="17"/>
        </w:rPr>
        <w:t>circulation;</w:t>
      </w:r>
    </w:p>
    <w:p>
      <w:pPr>
        <w:pStyle w:val="ListParagraph"/>
        <w:numPr>
          <w:ilvl w:val="0"/>
          <w:numId w:val="82"/>
        </w:numPr>
        <w:tabs>
          <w:tab w:pos="1331" w:val="left" w:leader="none"/>
        </w:tabs>
        <w:spacing w:line="240" w:lineRule="auto" w:before="55" w:after="0"/>
        <w:ind w:left="1330" w:right="0" w:hanging="251"/>
        <w:jc w:val="left"/>
        <w:rPr>
          <w:sz w:val="17"/>
        </w:rPr>
      </w:pPr>
      <w:r>
        <w:rPr>
          <w:color w:val="231F20"/>
          <w:w w:val="115"/>
          <w:sz w:val="17"/>
        </w:rPr>
        <w:t>Renforce</w:t>
      </w:r>
      <w:r>
        <w:rPr>
          <w:color w:val="231F20"/>
          <w:spacing w:val="3"/>
          <w:w w:val="115"/>
          <w:sz w:val="17"/>
        </w:rPr>
        <w:t> </w:t>
      </w:r>
      <w:r>
        <w:rPr>
          <w:color w:val="231F20"/>
          <w:w w:val="115"/>
          <w:sz w:val="17"/>
        </w:rPr>
        <w:t>la</w:t>
      </w:r>
      <w:r>
        <w:rPr>
          <w:color w:val="231F20"/>
          <w:spacing w:val="3"/>
          <w:w w:val="115"/>
          <w:sz w:val="17"/>
        </w:rPr>
        <w:t> </w:t>
      </w:r>
      <w:r>
        <w:rPr>
          <w:color w:val="231F20"/>
          <w:w w:val="115"/>
          <w:sz w:val="17"/>
        </w:rPr>
        <w:t>réponse</w:t>
      </w:r>
      <w:r>
        <w:rPr>
          <w:color w:val="231F20"/>
          <w:spacing w:val="3"/>
          <w:w w:val="115"/>
          <w:sz w:val="17"/>
        </w:rPr>
        <w:t> </w:t>
      </w:r>
      <w:r>
        <w:rPr>
          <w:color w:val="231F20"/>
          <w:spacing w:val="-2"/>
          <w:w w:val="115"/>
          <w:sz w:val="17"/>
        </w:rPr>
        <w:t>immunitaire.</w:t>
      </w:r>
    </w:p>
    <w:p>
      <w:pPr>
        <w:pStyle w:val="BodyText"/>
        <w:spacing w:line="307" w:lineRule="auto" w:before="134"/>
        <w:ind w:left="830" w:right="493"/>
        <w:jc w:val="both"/>
      </w:pPr>
      <w:r>
        <w:rPr>
          <w:color w:val="231F20"/>
          <w:w w:val="120"/>
        </w:rPr>
        <w:t>L’histoire</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méditation</w:t>
      </w:r>
      <w:r>
        <w:rPr>
          <w:color w:val="231F20"/>
          <w:spacing w:val="-12"/>
          <w:w w:val="120"/>
        </w:rPr>
        <w:t> </w:t>
      </w:r>
      <w:r>
        <w:rPr>
          <w:color w:val="231F20"/>
          <w:w w:val="120"/>
        </w:rPr>
        <w:t>remonte</w:t>
      </w:r>
      <w:r>
        <w:rPr>
          <w:color w:val="231F20"/>
          <w:spacing w:val="-13"/>
          <w:w w:val="120"/>
        </w:rPr>
        <w:t> </w:t>
      </w:r>
      <w:r>
        <w:rPr>
          <w:color w:val="231F20"/>
          <w:w w:val="120"/>
        </w:rPr>
        <w:t>encore</w:t>
      </w:r>
      <w:r>
        <w:rPr>
          <w:color w:val="231F20"/>
          <w:spacing w:val="-12"/>
          <w:w w:val="120"/>
        </w:rPr>
        <w:t> </w:t>
      </w:r>
      <w:r>
        <w:rPr>
          <w:color w:val="231F20"/>
          <w:w w:val="120"/>
        </w:rPr>
        <w:t>plus</w:t>
      </w:r>
      <w:r>
        <w:rPr>
          <w:color w:val="231F20"/>
          <w:spacing w:val="-13"/>
          <w:w w:val="120"/>
        </w:rPr>
        <w:t> </w:t>
      </w:r>
      <w:r>
        <w:rPr>
          <w:color w:val="231F20"/>
          <w:w w:val="120"/>
        </w:rPr>
        <w:t>loin,</w:t>
      </w:r>
      <w:r>
        <w:rPr>
          <w:color w:val="231F20"/>
          <w:spacing w:val="-12"/>
          <w:w w:val="120"/>
        </w:rPr>
        <w:t> </w:t>
      </w:r>
      <w:r>
        <w:rPr>
          <w:color w:val="231F20"/>
          <w:w w:val="120"/>
        </w:rPr>
        <w:t>soit</w:t>
      </w:r>
      <w:r>
        <w:rPr>
          <w:color w:val="231F20"/>
          <w:spacing w:val="-13"/>
          <w:w w:val="120"/>
        </w:rPr>
        <w:t> </w:t>
      </w:r>
      <w:r>
        <w:rPr>
          <w:color w:val="231F20"/>
          <w:w w:val="120"/>
        </w:rPr>
        <w:t>vers</w:t>
      </w:r>
      <w:r>
        <w:rPr>
          <w:color w:val="231F20"/>
          <w:spacing w:val="-12"/>
          <w:w w:val="120"/>
        </w:rPr>
        <w:t> </w:t>
      </w:r>
      <w:r>
        <w:rPr>
          <w:color w:val="231F20"/>
          <w:w w:val="120"/>
        </w:rPr>
        <w:t>3</w:t>
      </w:r>
      <w:r>
        <w:rPr>
          <w:color w:val="231F20"/>
          <w:spacing w:val="-13"/>
          <w:w w:val="120"/>
        </w:rPr>
        <w:t> </w:t>
      </w:r>
      <w:r>
        <w:rPr>
          <w:color w:val="231F20"/>
          <w:w w:val="120"/>
        </w:rPr>
        <w:t>000</w:t>
      </w:r>
      <w:r>
        <w:rPr>
          <w:color w:val="231F20"/>
          <w:spacing w:val="-12"/>
          <w:w w:val="120"/>
        </w:rPr>
        <w:t> </w:t>
      </w:r>
      <w:r>
        <w:rPr>
          <w:color w:val="231F20"/>
          <w:w w:val="120"/>
        </w:rPr>
        <w:t>ans </w:t>
      </w:r>
      <w:r>
        <w:rPr>
          <w:color w:val="231F20"/>
          <w:spacing w:val="-2"/>
          <w:w w:val="120"/>
        </w:rPr>
        <w:t>avant</w:t>
      </w:r>
      <w:r>
        <w:rPr>
          <w:color w:val="231F20"/>
          <w:spacing w:val="-11"/>
          <w:w w:val="120"/>
        </w:rPr>
        <w:t> </w:t>
      </w:r>
      <w:r>
        <w:rPr>
          <w:color w:val="231F20"/>
          <w:spacing w:val="-2"/>
          <w:w w:val="120"/>
        </w:rPr>
        <w:t>notre</w:t>
      </w:r>
      <w:r>
        <w:rPr>
          <w:color w:val="231F20"/>
          <w:spacing w:val="-11"/>
          <w:w w:val="120"/>
        </w:rPr>
        <w:t> </w:t>
      </w:r>
      <w:r>
        <w:rPr>
          <w:color w:val="231F20"/>
          <w:spacing w:val="-2"/>
          <w:w w:val="120"/>
        </w:rPr>
        <w:t>ère.</w:t>
      </w:r>
      <w:r>
        <w:rPr>
          <w:color w:val="231F20"/>
          <w:spacing w:val="-11"/>
          <w:w w:val="120"/>
        </w:rPr>
        <w:t> </w:t>
      </w:r>
      <w:r>
        <w:rPr>
          <w:color w:val="231F20"/>
          <w:spacing w:val="-2"/>
          <w:w w:val="120"/>
        </w:rPr>
        <w:t>La</w:t>
      </w:r>
      <w:r>
        <w:rPr>
          <w:color w:val="231F20"/>
          <w:spacing w:val="-10"/>
          <w:w w:val="120"/>
        </w:rPr>
        <w:t> </w:t>
      </w:r>
      <w:r>
        <w:rPr>
          <w:color w:val="231F20"/>
          <w:spacing w:val="-2"/>
          <w:w w:val="120"/>
        </w:rPr>
        <w:t>méditation</w:t>
      </w:r>
      <w:r>
        <w:rPr>
          <w:color w:val="231F20"/>
          <w:spacing w:val="-11"/>
          <w:w w:val="120"/>
        </w:rPr>
        <w:t> </w:t>
      </w:r>
      <w:r>
        <w:rPr>
          <w:color w:val="231F20"/>
          <w:spacing w:val="-2"/>
          <w:w w:val="120"/>
        </w:rPr>
        <w:t>a</w:t>
      </w:r>
      <w:r>
        <w:rPr>
          <w:color w:val="231F20"/>
          <w:spacing w:val="-11"/>
          <w:w w:val="120"/>
        </w:rPr>
        <w:t> </w:t>
      </w:r>
      <w:r>
        <w:rPr>
          <w:color w:val="231F20"/>
          <w:spacing w:val="-2"/>
          <w:w w:val="120"/>
        </w:rPr>
        <w:t>évolué</w:t>
      </w:r>
      <w:r>
        <w:rPr>
          <w:color w:val="231F20"/>
          <w:spacing w:val="-11"/>
          <w:w w:val="120"/>
        </w:rPr>
        <w:t> </w:t>
      </w:r>
      <w:r>
        <w:rPr>
          <w:color w:val="231F20"/>
          <w:spacing w:val="-2"/>
          <w:w w:val="120"/>
        </w:rPr>
        <w:t>en</w:t>
      </w:r>
      <w:r>
        <w:rPr>
          <w:color w:val="231F20"/>
          <w:spacing w:val="-10"/>
          <w:w w:val="120"/>
        </w:rPr>
        <w:t> </w:t>
      </w:r>
      <w:r>
        <w:rPr>
          <w:color w:val="231F20"/>
          <w:spacing w:val="-2"/>
          <w:w w:val="120"/>
        </w:rPr>
        <w:t>tant</w:t>
      </w:r>
      <w:r>
        <w:rPr>
          <w:color w:val="231F20"/>
          <w:spacing w:val="-11"/>
          <w:w w:val="120"/>
        </w:rPr>
        <w:t> </w:t>
      </w:r>
      <w:r>
        <w:rPr>
          <w:color w:val="231F20"/>
          <w:spacing w:val="-2"/>
          <w:w w:val="120"/>
        </w:rPr>
        <w:t>que</w:t>
      </w:r>
      <w:r>
        <w:rPr>
          <w:color w:val="231F20"/>
          <w:spacing w:val="-11"/>
          <w:w w:val="120"/>
        </w:rPr>
        <w:t> </w:t>
      </w:r>
      <w:r>
        <w:rPr>
          <w:color w:val="231F20"/>
          <w:spacing w:val="-2"/>
          <w:w w:val="120"/>
        </w:rPr>
        <w:t>moyen</w:t>
      </w:r>
      <w:r>
        <w:rPr>
          <w:color w:val="231F20"/>
          <w:spacing w:val="-11"/>
          <w:w w:val="120"/>
        </w:rPr>
        <w:t> </w:t>
      </w:r>
      <w:r>
        <w:rPr>
          <w:color w:val="231F20"/>
          <w:spacing w:val="-2"/>
          <w:w w:val="120"/>
        </w:rPr>
        <w:t>pour</w:t>
      </w:r>
      <w:r>
        <w:rPr>
          <w:color w:val="231F20"/>
          <w:spacing w:val="-10"/>
          <w:w w:val="120"/>
        </w:rPr>
        <w:t> </w:t>
      </w:r>
      <w:r>
        <w:rPr>
          <w:color w:val="231F20"/>
          <w:spacing w:val="-2"/>
          <w:w w:val="120"/>
        </w:rPr>
        <w:t>les</w:t>
      </w:r>
      <w:r>
        <w:rPr>
          <w:color w:val="231F20"/>
          <w:spacing w:val="-11"/>
          <w:w w:val="120"/>
        </w:rPr>
        <w:t> </w:t>
      </w:r>
      <w:r>
        <w:rPr>
          <w:i/>
          <w:color w:val="231F20"/>
          <w:spacing w:val="-2"/>
          <w:w w:val="120"/>
        </w:rPr>
        <w:t>rishis</w:t>
      </w:r>
      <w:r>
        <w:rPr>
          <w:color w:val="231F20"/>
          <w:spacing w:val="-2"/>
          <w:w w:val="120"/>
        </w:rPr>
        <w:t>, </w:t>
      </w:r>
      <w:r>
        <w:rPr>
          <w:color w:val="231F20"/>
          <w:w w:val="120"/>
        </w:rPr>
        <w:t>voyants</w:t>
      </w:r>
      <w:r>
        <w:rPr>
          <w:color w:val="231F20"/>
          <w:spacing w:val="-4"/>
          <w:w w:val="120"/>
        </w:rPr>
        <w:t> </w:t>
      </w:r>
      <w:r>
        <w:rPr>
          <w:color w:val="231F20"/>
          <w:w w:val="120"/>
        </w:rPr>
        <w:t>spirituels</w:t>
      </w:r>
      <w:r>
        <w:rPr>
          <w:color w:val="231F20"/>
          <w:spacing w:val="-4"/>
          <w:w w:val="120"/>
        </w:rPr>
        <w:t> </w:t>
      </w:r>
      <w:r>
        <w:rPr>
          <w:color w:val="231F20"/>
          <w:w w:val="120"/>
        </w:rPr>
        <w:t>de</w:t>
      </w:r>
      <w:r>
        <w:rPr>
          <w:color w:val="231F20"/>
          <w:spacing w:val="-4"/>
          <w:w w:val="120"/>
        </w:rPr>
        <w:t> </w:t>
      </w:r>
      <w:r>
        <w:rPr>
          <w:color w:val="231F20"/>
          <w:w w:val="120"/>
        </w:rPr>
        <w:t>l’Antiquité</w:t>
      </w:r>
      <w:r>
        <w:rPr>
          <w:color w:val="231F20"/>
          <w:spacing w:val="-4"/>
          <w:w w:val="120"/>
        </w:rPr>
        <w:t> </w:t>
      </w:r>
      <w:r>
        <w:rPr>
          <w:color w:val="231F20"/>
          <w:w w:val="120"/>
        </w:rPr>
        <w:t>indienne,</w:t>
      </w:r>
      <w:r>
        <w:rPr>
          <w:color w:val="231F20"/>
          <w:spacing w:val="-4"/>
          <w:w w:val="120"/>
        </w:rPr>
        <w:t> </w:t>
      </w:r>
      <w:r>
        <w:rPr>
          <w:color w:val="231F20"/>
          <w:w w:val="120"/>
        </w:rPr>
        <w:t>d’appréhender</w:t>
      </w:r>
      <w:r>
        <w:rPr>
          <w:color w:val="231F20"/>
          <w:spacing w:val="-4"/>
          <w:w w:val="120"/>
        </w:rPr>
        <w:t> </w:t>
      </w:r>
      <w:r>
        <w:rPr>
          <w:color w:val="231F20"/>
          <w:w w:val="120"/>
        </w:rPr>
        <w:t>une</w:t>
      </w:r>
      <w:r>
        <w:rPr>
          <w:color w:val="231F20"/>
          <w:spacing w:val="-4"/>
          <w:w w:val="120"/>
        </w:rPr>
        <w:t> </w:t>
      </w:r>
      <w:r>
        <w:rPr>
          <w:color w:val="231F20"/>
          <w:w w:val="120"/>
        </w:rPr>
        <w:t>connais- sance directe de la nature. Aujourd’hui, on lui reconnaît une myriade d’avantages</w:t>
      </w:r>
      <w:r>
        <w:rPr>
          <w:color w:val="231F20"/>
          <w:spacing w:val="-9"/>
          <w:w w:val="120"/>
        </w:rPr>
        <w:t> </w:t>
      </w:r>
      <w:r>
        <w:rPr>
          <w:color w:val="231F20"/>
          <w:w w:val="120"/>
        </w:rPr>
        <w:t>pour</w:t>
      </w:r>
      <w:r>
        <w:rPr>
          <w:color w:val="231F20"/>
          <w:spacing w:val="-9"/>
          <w:w w:val="120"/>
        </w:rPr>
        <w:t> </w:t>
      </w:r>
      <w:r>
        <w:rPr>
          <w:color w:val="231F20"/>
          <w:w w:val="120"/>
        </w:rPr>
        <w:t>la</w:t>
      </w:r>
      <w:r>
        <w:rPr>
          <w:color w:val="231F20"/>
          <w:spacing w:val="-9"/>
          <w:w w:val="120"/>
        </w:rPr>
        <w:t> </w:t>
      </w:r>
      <w:r>
        <w:rPr>
          <w:color w:val="231F20"/>
          <w:w w:val="120"/>
        </w:rPr>
        <w:t>santé,</w:t>
      </w:r>
      <w:r>
        <w:rPr>
          <w:color w:val="231F20"/>
          <w:spacing w:val="-9"/>
          <w:w w:val="120"/>
        </w:rPr>
        <w:t> </w:t>
      </w:r>
      <w:r>
        <w:rPr>
          <w:color w:val="231F20"/>
          <w:w w:val="120"/>
        </w:rPr>
        <w:t>et</w:t>
      </w:r>
      <w:r>
        <w:rPr>
          <w:color w:val="231F20"/>
          <w:spacing w:val="-9"/>
          <w:w w:val="120"/>
        </w:rPr>
        <w:t> </w:t>
      </w:r>
      <w:r>
        <w:rPr>
          <w:color w:val="231F20"/>
          <w:w w:val="120"/>
        </w:rPr>
        <w:t>sa</w:t>
      </w:r>
      <w:r>
        <w:rPr>
          <w:color w:val="231F20"/>
          <w:spacing w:val="-9"/>
          <w:w w:val="120"/>
        </w:rPr>
        <w:t> </w:t>
      </w:r>
      <w:r>
        <w:rPr>
          <w:color w:val="231F20"/>
          <w:w w:val="120"/>
        </w:rPr>
        <w:t>pratique</w:t>
      </w:r>
      <w:r>
        <w:rPr>
          <w:color w:val="231F20"/>
          <w:spacing w:val="-9"/>
          <w:w w:val="120"/>
        </w:rPr>
        <w:t> </w:t>
      </w:r>
      <w:r>
        <w:rPr>
          <w:color w:val="231F20"/>
          <w:w w:val="120"/>
        </w:rPr>
        <w:t>en</w:t>
      </w:r>
      <w:r>
        <w:rPr>
          <w:color w:val="231F20"/>
          <w:spacing w:val="-9"/>
          <w:w w:val="120"/>
        </w:rPr>
        <w:t> </w:t>
      </w:r>
      <w:r>
        <w:rPr>
          <w:color w:val="231F20"/>
          <w:w w:val="120"/>
        </w:rPr>
        <w:t>tant</w:t>
      </w:r>
      <w:r>
        <w:rPr>
          <w:color w:val="231F20"/>
          <w:spacing w:val="-9"/>
          <w:w w:val="120"/>
        </w:rPr>
        <w:t> </w:t>
      </w:r>
      <w:r>
        <w:rPr>
          <w:color w:val="231F20"/>
          <w:w w:val="120"/>
        </w:rPr>
        <w:t>que</w:t>
      </w:r>
      <w:r>
        <w:rPr>
          <w:color w:val="231F20"/>
          <w:spacing w:val="-9"/>
          <w:w w:val="120"/>
        </w:rPr>
        <w:t> </w:t>
      </w:r>
      <w:r>
        <w:rPr>
          <w:color w:val="231F20"/>
          <w:w w:val="120"/>
        </w:rPr>
        <w:t>moyen</w:t>
      </w:r>
      <w:r>
        <w:rPr>
          <w:color w:val="231F20"/>
          <w:spacing w:val="-9"/>
          <w:w w:val="120"/>
        </w:rPr>
        <w:t> </w:t>
      </w:r>
      <w:r>
        <w:rPr>
          <w:color w:val="231F20"/>
          <w:w w:val="120"/>
        </w:rPr>
        <w:t>de</w:t>
      </w:r>
      <w:r>
        <w:rPr>
          <w:color w:val="231F20"/>
          <w:spacing w:val="-9"/>
          <w:w w:val="120"/>
        </w:rPr>
        <w:t> </w:t>
      </w:r>
      <w:r>
        <w:rPr>
          <w:color w:val="231F20"/>
          <w:w w:val="120"/>
        </w:rPr>
        <w:t>réagir</w:t>
      </w:r>
      <w:r>
        <w:rPr>
          <w:color w:val="231F20"/>
          <w:spacing w:val="-9"/>
          <w:w w:val="120"/>
        </w:rPr>
        <w:t> </w:t>
      </w:r>
      <w:r>
        <w:rPr>
          <w:color w:val="231F20"/>
          <w:w w:val="120"/>
        </w:rPr>
        <w:t>au </w:t>
      </w:r>
      <w:r>
        <w:rPr>
          <w:color w:val="231F20"/>
          <w:spacing w:val="-2"/>
          <w:w w:val="120"/>
        </w:rPr>
        <w:t>stress</w:t>
      </w:r>
      <w:r>
        <w:rPr>
          <w:color w:val="231F20"/>
          <w:spacing w:val="-11"/>
          <w:w w:val="120"/>
        </w:rPr>
        <w:t> </w:t>
      </w:r>
      <w:r>
        <w:rPr>
          <w:color w:val="231F20"/>
          <w:spacing w:val="-2"/>
          <w:w w:val="120"/>
        </w:rPr>
        <w:t>est</w:t>
      </w:r>
      <w:r>
        <w:rPr>
          <w:color w:val="231F20"/>
          <w:spacing w:val="-10"/>
          <w:w w:val="120"/>
        </w:rPr>
        <w:t> </w:t>
      </w:r>
      <w:r>
        <w:rPr>
          <w:color w:val="231F20"/>
          <w:spacing w:val="-2"/>
          <w:w w:val="120"/>
        </w:rPr>
        <w:t>largement</w:t>
      </w:r>
      <w:r>
        <w:rPr>
          <w:color w:val="231F20"/>
          <w:spacing w:val="-11"/>
          <w:w w:val="120"/>
        </w:rPr>
        <w:t> </w:t>
      </w:r>
      <w:r>
        <w:rPr>
          <w:color w:val="231F20"/>
          <w:spacing w:val="-2"/>
          <w:w w:val="120"/>
        </w:rPr>
        <w:t>répandue.</w:t>
      </w:r>
      <w:r>
        <w:rPr>
          <w:color w:val="231F20"/>
          <w:spacing w:val="-10"/>
          <w:w w:val="120"/>
        </w:rPr>
        <w:t> </w:t>
      </w:r>
      <w:r>
        <w:rPr>
          <w:color w:val="231F20"/>
          <w:spacing w:val="-2"/>
          <w:w w:val="120"/>
        </w:rPr>
        <w:t>La</w:t>
      </w:r>
      <w:r>
        <w:rPr>
          <w:color w:val="231F20"/>
          <w:spacing w:val="-11"/>
          <w:w w:val="120"/>
        </w:rPr>
        <w:t> </w:t>
      </w:r>
      <w:r>
        <w:rPr>
          <w:color w:val="231F20"/>
          <w:spacing w:val="-2"/>
          <w:w w:val="120"/>
        </w:rPr>
        <w:t>méditation</w:t>
      </w:r>
      <w:r>
        <w:rPr>
          <w:color w:val="231F20"/>
          <w:spacing w:val="-10"/>
          <w:w w:val="120"/>
        </w:rPr>
        <w:t> </w:t>
      </w:r>
      <w:r>
        <w:rPr>
          <w:color w:val="231F20"/>
          <w:spacing w:val="-2"/>
          <w:w w:val="120"/>
        </w:rPr>
        <w:t>mobilise</w:t>
      </w:r>
      <w:r>
        <w:rPr>
          <w:color w:val="231F20"/>
          <w:spacing w:val="-11"/>
          <w:w w:val="120"/>
        </w:rPr>
        <w:t> </w:t>
      </w:r>
      <w:r>
        <w:rPr>
          <w:color w:val="231F20"/>
          <w:spacing w:val="-2"/>
          <w:w w:val="120"/>
        </w:rPr>
        <w:t>toutes</w:t>
      </w:r>
      <w:r>
        <w:rPr>
          <w:color w:val="231F20"/>
          <w:spacing w:val="-10"/>
          <w:w w:val="120"/>
        </w:rPr>
        <w:t> </w:t>
      </w:r>
      <w:r>
        <w:rPr>
          <w:color w:val="231F20"/>
          <w:spacing w:val="-2"/>
          <w:w w:val="120"/>
        </w:rPr>
        <w:t>les</w:t>
      </w:r>
      <w:r>
        <w:rPr>
          <w:color w:val="231F20"/>
          <w:spacing w:val="-11"/>
          <w:w w:val="120"/>
        </w:rPr>
        <w:t> </w:t>
      </w:r>
      <w:r>
        <w:rPr>
          <w:color w:val="231F20"/>
          <w:spacing w:val="-2"/>
          <w:w w:val="120"/>
        </w:rPr>
        <w:t>énergies </w:t>
      </w:r>
      <w:r>
        <w:rPr>
          <w:color w:val="231F20"/>
          <w:w w:val="120"/>
        </w:rPr>
        <w:t>de</w:t>
      </w:r>
      <w:r>
        <w:rPr>
          <w:color w:val="231F20"/>
          <w:spacing w:val="-10"/>
          <w:w w:val="120"/>
        </w:rPr>
        <w:t> </w:t>
      </w:r>
      <w:r>
        <w:rPr>
          <w:color w:val="231F20"/>
          <w:w w:val="120"/>
        </w:rPr>
        <w:t>l’esprit pour les concentrer sur un point choisi</w:t>
      </w:r>
      <w:r>
        <w:rPr>
          <w:color w:val="231F20"/>
          <w:spacing w:val="-13"/>
          <w:w w:val="120"/>
        </w:rPr>
        <w:t> </w:t>
      </w:r>
      <w:r>
        <w:rPr>
          <w:color w:val="231F20"/>
          <w:w w:val="120"/>
        </w:rPr>
        <w:t>: un mot, un son, </w:t>
      </w:r>
      <w:r>
        <w:rPr>
          <w:color w:val="231F20"/>
          <w:w w:val="120"/>
        </w:rPr>
        <w:t>un </w:t>
      </w:r>
      <w:r>
        <w:rPr>
          <w:color w:val="231F20"/>
          <w:spacing w:val="-2"/>
          <w:w w:val="120"/>
        </w:rPr>
        <w:t>symbole,</w:t>
      </w:r>
      <w:r>
        <w:rPr>
          <w:color w:val="231F20"/>
          <w:spacing w:val="-20"/>
          <w:w w:val="120"/>
        </w:rPr>
        <w:t> </w:t>
      </w:r>
      <w:r>
        <w:rPr>
          <w:color w:val="231F20"/>
          <w:spacing w:val="-2"/>
          <w:w w:val="120"/>
        </w:rPr>
        <w:t>une</w:t>
      </w:r>
      <w:r>
        <w:rPr>
          <w:color w:val="231F20"/>
          <w:spacing w:val="-20"/>
          <w:w w:val="120"/>
        </w:rPr>
        <w:t> </w:t>
      </w:r>
      <w:r>
        <w:rPr>
          <w:color w:val="231F20"/>
          <w:spacing w:val="-2"/>
          <w:w w:val="120"/>
        </w:rPr>
        <w:t>image</w:t>
      </w:r>
      <w:r>
        <w:rPr>
          <w:color w:val="231F20"/>
          <w:spacing w:val="-20"/>
          <w:w w:val="120"/>
        </w:rPr>
        <w:t> </w:t>
      </w:r>
      <w:r>
        <w:rPr>
          <w:color w:val="231F20"/>
          <w:spacing w:val="-2"/>
          <w:w w:val="120"/>
        </w:rPr>
        <w:t>qui</w:t>
      </w:r>
      <w:r>
        <w:rPr>
          <w:color w:val="231F20"/>
          <w:spacing w:val="-20"/>
          <w:w w:val="120"/>
        </w:rPr>
        <w:t> </w:t>
      </w:r>
      <w:r>
        <w:rPr>
          <w:color w:val="231F20"/>
          <w:spacing w:val="-2"/>
          <w:w w:val="120"/>
        </w:rPr>
        <w:t>évoque</w:t>
      </w:r>
      <w:r>
        <w:rPr>
          <w:color w:val="231F20"/>
          <w:spacing w:val="-20"/>
          <w:w w:val="120"/>
        </w:rPr>
        <w:t> </w:t>
      </w:r>
      <w:r>
        <w:rPr>
          <w:color w:val="231F20"/>
          <w:spacing w:val="-2"/>
          <w:w w:val="120"/>
        </w:rPr>
        <w:t>le</w:t>
      </w:r>
      <w:r>
        <w:rPr>
          <w:color w:val="231F20"/>
          <w:spacing w:val="-20"/>
          <w:w w:val="120"/>
        </w:rPr>
        <w:t> </w:t>
      </w:r>
      <w:r>
        <w:rPr>
          <w:color w:val="231F20"/>
          <w:spacing w:val="-2"/>
          <w:w w:val="120"/>
        </w:rPr>
        <w:t>bien-être,</w:t>
      </w:r>
      <w:r>
        <w:rPr>
          <w:color w:val="231F20"/>
          <w:spacing w:val="-20"/>
          <w:w w:val="120"/>
        </w:rPr>
        <w:t> </w:t>
      </w:r>
      <w:r>
        <w:rPr>
          <w:color w:val="231F20"/>
          <w:spacing w:val="-2"/>
          <w:w w:val="120"/>
        </w:rPr>
        <w:t>la</w:t>
      </w:r>
      <w:r>
        <w:rPr>
          <w:color w:val="231F20"/>
          <w:spacing w:val="-20"/>
          <w:w w:val="120"/>
        </w:rPr>
        <w:t> </w:t>
      </w:r>
      <w:r>
        <w:rPr>
          <w:color w:val="231F20"/>
          <w:spacing w:val="-2"/>
          <w:w w:val="120"/>
        </w:rPr>
        <w:t>propre</w:t>
      </w:r>
      <w:r>
        <w:rPr>
          <w:color w:val="231F20"/>
          <w:spacing w:val="-20"/>
          <w:w w:val="120"/>
        </w:rPr>
        <w:t> </w:t>
      </w:r>
      <w:r>
        <w:rPr>
          <w:color w:val="231F20"/>
          <w:spacing w:val="-2"/>
          <w:w w:val="120"/>
        </w:rPr>
        <w:t>respiration</w:t>
      </w:r>
      <w:r>
        <w:rPr>
          <w:color w:val="231F20"/>
          <w:spacing w:val="-20"/>
          <w:w w:val="120"/>
        </w:rPr>
        <w:t> </w:t>
      </w:r>
      <w:r>
        <w:rPr>
          <w:color w:val="231F20"/>
          <w:spacing w:val="-2"/>
          <w:w w:val="120"/>
        </w:rPr>
        <w:t>du</w:t>
      </w:r>
      <w:r>
        <w:rPr>
          <w:color w:val="231F20"/>
          <w:spacing w:val="-20"/>
          <w:w w:val="120"/>
        </w:rPr>
        <w:t> </w:t>
      </w:r>
      <w:r>
        <w:rPr>
          <w:color w:val="231F20"/>
          <w:spacing w:val="-2"/>
          <w:w w:val="120"/>
        </w:rPr>
        <w:t>sujet.</w:t>
      </w:r>
    </w:p>
    <w:p>
      <w:pPr>
        <w:pStyle w:val="BodyText"/>
        <w:spacing w:before="6"/>
        <w:rPr>
          <w:sz w:val="11"/>
        </w:rPr>
      </w:pPr>
      <w:r>
        <w:rPr/>
        <w:pict>
          <v:group style="position:absolute;margin-left:62.5pt;margin-top:7.847608pt;width:287.5pt;height:173.25pt;mso-position-horizontal-relative:page;mso-position-vertical-relative:paragraph;z-index:-15627264;mso-wrap-distance-left:0;mso-wrap-distance-right:0" id="docshapegroup1039" coordorigin="1250,157" coordsize="5750,3465">
            <v:rect style="position:absolute;left:1250;top:156;width:5750;height:705" id="docshape1040" filled="true" fillcolor="#e2e3e4" stroked="false">
              <v:fill type="solid"/>
            </v:rect>
            <v:line style="position:absolute" from="1500,704" to="6750,704" stroked="true" strokeweight=".25pt" strokecolor="#231f20">
              <v:stroke dashstyle="shortdot"/>
            </v:line>
            <v:shape style="position:absolute;left:1250;top:781;width:5750;height:2840" id="docshape1041" coordorigin="1250,782" coordsize="5750,2840" path="m7000,782l1250,782,1250,2952,1250,3032,1250,3622,7000,3622,7000,3032,7000,2952,7000,782xe" filled="true" fillcolor="#e2e3e4" stroked="false">
              <v:path arrowok="t"/>
              <v:fill type="solid"/>
            </v:shape>
            <v:line style="position:absolute" from="1500,2949" to="6750,2949" stroked="true" strokeweight=".25pt" strokecolor="#231f20">
              <v:stroke dashstyle="shortdot"/>
            </v:line>
            <v:shape style="position:absolute;left:1250;top:156;width:5750;height:3465" type="#_x0000_t202" id="docshape1042" filled="false" stroked="false">
              <v:textbox inset="0,0,0,0">
                <w:txbxContent>
                  <w:p>
                    <w:pPr>
                      <w:spacing w:line="240" w:lineRule="auto" w:before="9"/>
                      <w:rPr>
                        <w:sz w:val="18"/>
                      </w:rPr>
                    </w:pPr>
                  </w:p>
                  <w:p>
                    <w:pPr>
                      <w:spacing w:before="0"/>
                      <w:ind w:left="250" w:right="0" w:firstLine="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w:t>
                    </w:r>
                    <w:r>
                      <w:rPr>
                        <w:rFonts w:ascii="Arial" w:hAnsi="Arial"/>
                        <w:color w:val="231F20"/>
                        <w:spacing w:val="-2"/>
                        <w:w w:val="120"/>
                        <w:sz w:val="17"/>
                      </w:rPr>
                      <w:t>intéressant</w:t>
                    </w:r>
                  </w:p>
                  <w:p>
                    <w:pPr>
                      <w:spacing w:line="240" w:lineRule="auto" w:before="5"/>
                      <w:rPr>
                        <w:rFonts w:ascii="Arial"/>
                        <w:sz w:val="26"/>
                      </w:rPr>
                    </w:pPr>
                  </w:p>
                  <w:p>
                    <w:pPr>
                      <w:spacing w:line="307" w:lineRule="auto" w:before="1"/>
                      <w:ind w:left="250" w:right="244" w:firstLine="0"/>
                      <w:jc w:val="both"/>
                      <w:rPr>
                        <w:rFonts w:ascii="Arial" w:hAnsi="Arial"/>
                        <w:sz w:val="17"/>
                      </w:rPr>
                    </w:pPr>
                    <w:r>
                      <w:rPr>
                        <w:rFonts w:ascii="Arial" w:hAnsi="Arial"/>
                        <w:color w:val="231F20"/>
                        <w:spacing w:val="-2"/>
                        <w:sz w:val="17"/>
                      </w:rPr>
                      <w:t>Les</w:t>
                    </w:r>
                    <w:r>
                      <w:rPr>
                        <w:rFonts w:ascii="Arial" w:hAnsi="Arial"/>
                        <w:color w:val="231F20"/>
                        <w:spacing w:val="-6"/>
                        <w:sz w:val="17"/>
                      </w:rPr>
                      <w:t> </w:t>
                    </w:r>
                    <w:r>
                      <w:rPr>
                        <w:rFonts w:ascii="Arial" w:hAnsi="Arial"/>
                        <w:color w:val="231F20"/>
                        <w:spacing w:val="-2"/>
                        <w:sz w:val="17"/>
                      </w:rPr>
                      <w:t>effets</w:t>
                    </w:r>
                    <w:r>
                      <w:rPr>
                        <w:rFonts w:ascii="Arial" w:hAnsi="Arial"/>
                        <w:color w:val="231F20"/>
                        <w:spacing w:val="-6"/>
                        <w:sz w:val="17"/>
                      </w:rPr>
                      <w:t> </w:t>
                    </w:r>
                    <w:r>
                      <w:rPr>
                        <w:rFonts w:ascii="Arial" w:hAnsi="Arial"/>
                        <w:color w:val="231F20"/>
                        <w:spacing w:val="-2"/>
                        <w:sz w:val="17"/>
                      </w:rPr>
                      <w:t>de</w:t>
                    </w:r>
                    <w:r>
                      <w:rPr>
                        <w:rFonts w:ascii="Arial" w:hAnsi="Arial"/>
                        <w:color w:val="231F20"/>
                        <w:spacing w:val="-6"/>
                        <w:sz w:val="17"/>
                      </w:rPr>
                      <w:t> </w:t>
                    </w:r>
                    <w:r>
                      <w:rPr>
                        <w:rFonts w:ascii="Arial" w:hAnsi="Arial"/>
                        <w:color w:val="231F20"/>
                        <w:spacing w:val="-2"/>
                        <w:sz w:val="17"/>
                      </w:rPr>
                      <w:t>la</w:t>
                    </w:r>
                    <w:r>
                      <w:rPr>
                        <w:rFonts w:ascii="Arial" w:hAnsi="Arial"/>
                        <w:color w:val="231F20"/>
                        <w:spacing w:val="-6"/>
                        <w:sz w:val="17"/>
                      </w:rPr>
                      <w:t> </w:t>
                    </w:r>
                    <w:r>
                      <w:rPr>
                        <w:rFonts w:ascii="Arial" w:hAnsi="Arial"/>
                        <w:color w:val="231F20"/>
                        <w:spacing w:val="-2"/>
                        <w:sz w:val="17"/>
                      </w:rPr>
                      <w:t>méditation</w:t>
                    </w:r>
                    <w:r>
                      <w:rPr>
                        <w:rFonts w:ascii="Arial" w:hAnsi="Arial"/>
                        <w:color w:val="231F20"/>
                        <w:spacing w:val="-6"/>
                        <w:sz w:val="17"/>
                      </w:rPr>
                      <w:t> </w:t>
                    </w:r>
                    <w:r>
                      <w:rPr>
                        <w:rFonts w:ascii="Arial" w:hAnsi="Arial"/>
                        <w:color w:val="231F20"/>
                        <w:spacing w:val="-2"/>
                        <w:sz w:val="17"/>
                      </w:rPr>
                      <w:t>pleine</w:t>
                    </w:r>
                    <w:r>
                      <w:rPr>
                        <w:rFonts w:ascii="Arial" w:hAnsi="Arial"/>
                        <w:color w:val="231F20"/>
                        <w:spacing w:val="-6"/>
                        <w:sz w:val="17"/>
                      </w:rPr>
                      <w:t> </w:t>
                    </w:r>
                    <w:r>
                      <w:rPr>
                        <w:rFonts w:ascii="Arial" w:hAnsi="Arial"/>
                        <w:color w:val="231F20"/>
                        <w:spacing w:val="-2"/>
                        <w:sz w:val="17"/>
                      </w:rPr>
                      <w:t>conscience</w:t>
                    </w:r>
                    <w:r>
                      <w:rPr>
                        <w:rFonts w:ascii="Arial" w:hAnsi="Arial"/>
                        <w:color w:val="231F20"/>
                        <w:spacing w:val="-6"/>
                        <w:sz w:val="17"/>
                      </w:rPr>
                      <w:t> </w:t>
                    </w:r>
                    <w:r>
                      <w:rPr>
                        <w:rFonts w:ascii="Arial" w:hAnsi="Arial"/>
                        <w:color w:val="231F20"/>
                        <w:spacing w:val="-2"/>
                        <w:sz w:val="17"/>
                      </w:rPr>
                      <w:t>sont</w:t>
                    </w:r>
                    <w:r>
                      <w:rPr>
                        <w:rFonts w:ascii="Arial" w:hAnsi="Arial"/>
                        <w:color w:val="231F20"/>
                        <w:spacing w:val="-6"/>
                        <w:sz w:val="17"/>
                      </w:rPr>
                      <w:t> </w:t>
                    </w:r>
                    <w:r>
                      <w:rPr>
                        <w:rFonts w:ascii="Arial" w:hAnsi="Arial"/>
                        <w:color w:val="231F20"/>
                        <w:spacing w:val="-2"/>
                        <w:sz w:val="17"/>
                      </w:rPr>
                      <w:t>étudiés</w:t>
                    </w:r>
                    <w:r>
                      <w:rPr>
                        <w:rFonts w:ascii="Arial" w:hAnsi="Arial"/>
                        <w:color w:val="231F20"/>
                        <w:spacing w:val="-6"/>
                        <w:sz w:val="17"/>
                      </w:rPr>
                      <w:t> </w:t>
                    </w:r>
                    <w:r>
                      <w:rPr>
                        <w:rFonts w:ascii="Arial" w:hAnsi="Arial"/>
                        <w:color w:val="231F20"/>
                        <w:spacing w:val="-2"/>
                        <w:sz w:val="17"/>
                      </w:rPr>
                      <w:t>par</w:t>
                    </w:r>
                    <w:r>
                      <w:rPr>
                        <w:rFonts w:ascii="Arial" w:hAnsi="Arial"/>
                        <w:color w:val="231F20"/>
                        <w:spacing w:val="-6"/>
                        <w:sz w:val="17"/>
                      </w:rPr>
                      <w:t> </w:t>
                    </w:r>
                    <w:r>
                      <w:rPr>
                        <w:rFonts w:ascii="Arial" w:hAnsi="Arial"/>
                        <w:color w:val="231F20"/>
                        <w:spacing w:val="-2"/>
                        <w:sz w:val="17"/>
                      </w:rPr>
                      <w:t>les</w:t>
                    </w:r>
                    <w:r>
                      <w:rPr>
                        <w:rFonts w:ascii="Arial" w:hAnsi="Arial"/>
                        <w:color w:val="231F20"/>
                        <w:spacing w:val="-6"/>
                        <w:sz w:val="17"/>
                      </w:rPr>
                      <w:t> </w:t>
                    </w:r>
                    <w:r>
                      <w:rPr>
                        <w:rFonts w:ascii="Arial" w:hAnsi="Arial"/>
                        <w:color w:val="231F20"/>
                        <w:spacing w:val="-2"/>
                        <w:sz w:val="17"/>
                      </w:rPr>
                      <w:t>scien- tifiques</w:t>
                    </w:r>
                    <w:r>
                      <w:rPr>
                        <w:rFonts w:ascii="Arial" w:hAnsi="Arial"/>
                        <w:color w:val="231F20"/>
                        <w:spacing w:val="-8"/>
                        <w:sz w:val="17"/>
                      </w:rPr>
                      <w:t> </w:t>
                    </w:r>
                    <w:r>
                      <w:rPr>
                        <w:rFonts w:ascii="Arial" w:hAnsi="Arial"/>
                        <w:color w:val="231F20"/>
                        <w:spacing w:val="-2"/>
                        <w:sz w:val="17"/>
                      </w:rPr>
                      <w:t>depuis</w:t>
                    </w:r>
                    <w:r>
                      <w:rPr>
                        <w:rFonts w:ascii="Arial" w:hAnsi="Arial"/>
                        <w:color w:val="231F20"/>
                        <w:spacing w:val="-8"/>
                        <w:sz w:val="17"/>
                      </w:rPr>
                      <w:t> </w:t>
                    </w:r>
                    <w:r>
                      <w:rPr>
                        <w:rFonts w:ascii="Arial" w:hAnsi="Arial"/>
                        <w:color w:val="231F20"/>
                        <w:spacing w:val="-2"/>
                        <w:sz w:val="17"/>
                      </w:rPr>
                      <w:t>plusieurs</w:t>
                    </w:r>
                    <w:r>
                      <w:rPr>
                        <w:rFonts w:ascii="Arial" w:hAnsi="Arial"/>
                        <w:color w:val="231F20"/>
                        <w:spacing w:val="-8"/>
                        <w:sz w:val="17"/>
                      </w:rPr>
                      <w:t> </w:t>
                    </w:r>
                    <w:r>
                      <w:rPr>
                        <w:rFonts w:ascii="Arial" w:hAnsi="Arial"/>
                        <w:color w:val="231F20"/>
                        <w:spacing w:val="-2"/>
                        <w:sz w:val="17"/>
                      </w:rPr>
                      <w:t>années.</w:t>
                    </w:r>
                    <w:r>
                      <w:rPr>
                        <w:rFonts w:ascii="Arial" w:hAnsi="Arial"/>
                        <w:color w:val="231F20"/>
                        <w:spacing w:val="-8"/>
                        <w:sz w:val="17"/>
                      </w:rPr>
                      <w:t> </w:t>
                    </w:r>
                    <w:r>
                      <w:rPr>
                        <w:rFonts w:ascii="Arial" w:hAnsi="Arial"/>
                        <w:color w:val="231F20"/>
                        <w:spacing w:val="-2"/>
                        <w:sz w:val="17"/>
                      </w:rPr>
                      <w:t>Les</w:t>
                    </w:r>
                    <w:r>
                      <w:rPr>
                        <w:rFonts w:ascii="Arial" w:hAnsi="Arial"/>
                        <w:color w:val="231F20"/>
                        <w:spacing w:val="-8"/>
                        <w:sz w:val="17"/>
                      </w:rPr>
                      <w:t> </w:t>
                    </w:r>
                    <w:r>
                      <w:rPr>
                        <w:rFonts w:ascii="Arial" w:hAnsi="Arial"/>
                        <w:color w:val="231F20"/>
                        <w:spacing w:val="-2"/>
                        <w:sz w:val="17"/>
                      </w:rPr>
                      <w:t>recherches</w:t>
                    </w:r>
                    <w:r>
                      <w:rPr>
                        <w:rFonts w:ascii="Arial" w:hAnsi="Arial"/>
                        <w:color w:val="231F20"/>
                        <w:spacing w:val="-8"/>
                        <w:sz w:val="17"/>
                      </w:rPr>
                      <w:t> </w:t>
                    </w:r>
                    <w:r>
                      <w:rPr>
                        <w:rFonts w:ascii="Arial" w:hAnsi="Arial"/>
                        <w:color w:val="231F20"/>
                        <w:spacing w:val="-2"/>
                        <w:sz w:val="17"/>
                      </w:rPr>
                      <w:t>montrent</w:t>
                    </w:r>
                    <w:r>
                      <w:rPr>
                        <w:rFonts w:ascii="Arial" w:hAnsi="Arial"/>
                        <w:color w:val="231F20"/>
                        <w:spacing w:val="-8"/>
                        <w:sz w:val="17"/>
                      </w:rPr>
                      <w:t> </w:t>
                    </w:r>
                    <w:r>
                      <w:rPr>
                        <w:rFonts w:ascii="Arial" w:hAnsi="Arial"/>
                        <w:color w:val="231F20"/>
                        <w:spacing w:val="-2"/>
                        <w:sz w:val="17"/>
                      </w:rPr>
                      <w:t>que</w:t>
                    </w:r>
                    <w:r>
                      <w:rPr>
                        <w:rFonts w:ascii="Arial" w:hAnsi="Arial"/>
                        <w:color w:val="231F20"/>
                        <w:spacing w:val="-8"/>
                        <w:sz w:val="17"/>
                      </w:rPr>
                      <w:t> </w:t>
                    </w:r>
                    <w:r>
                      <w:rPr>
                        <w:rFonts w:ascii="Arial" w:hAnsi="Arial"/>
                        <w:color w:val="231F20"/>
                        <w:spacing w:val="-2"/>
                        <w:sz w:val="17"/>
                      </w:rPr>
                      <w:t>la</w:t>
                    </w:r>
                    <w:r>
                      <w:rPr>
                        <w:rFonts w:ascii="Arial" w:hAnsi="Arial"/>
                        <w:color w:val="231F20"/>
                        <w:spacing w:val="-8"/>
                        <w:sz w:val="17"/>
                      </w:rPr>
                      <w:t> </w:t>
                    </w:r>
                    <w:r>
                      <w:rPr>
                        <w:rFonts w:ascii="Arial" w:hAnsi="Arial"/>
                        <w:color w:val="231F20"/>
                        <w:spacing w:val="-2"/>
                        <w:sz w:val="17"/>
                      </w:rPr>
                      <w:t>pleine </w:t>
                    </w:r>
                    <w:r>
                      <w:rPr>
                        <w:rFonts w:ascii="Arial" w:hAnsi="Arial"/>
                        <w:color w:val="231F20"/>
                        <w:sz w:val="17"/>
                      </w:rPr>
                      <w:t>conscience</w:t>
                    </w:r>
                    <w:r>
                      <w:rPr>
                        <w:rFonts w:ascii="Arial" w:hAnsi="Arial"/>
                        <w:color w:val="231F20"/>
                        <w:spacing w:val="-12"/>
                        <w:sz w:val="17"/>
                      </w:rPr>
                      <w:t> </w:t>
                    </w:r>
                    <w:r>
                      <w:rPr>
                        <w:rFonts w:ascii="Arial" w:hAnsi="Arial"/>
                        <w:color w:val="231F20"/>
                        <w:sz w:val="17"/>
                      </w:rPr>
                      <w:t>est</w:t>
                    </w:r>
                    <w:r>
                      <w:rPr>
                        <w:rFonts w:ascii="Arial" w:hAnsi="Arial"/>
                        <w:color w:val="231F20"/>
                        <w:spacing w:val="-12"/>
                        <w:sz w:val="17"/>
                      </w:rPr>
                      <w:t> </w:t>
                    </w:r>
                    <w:r>
                      <w:rPr>
                        <w:rFonts w:ascii="Arial" w:hAnsi="Arial"/>
                        <w:color w:val="231F20"/>
                        <w:sz w:val="17"/>
                      </w:rPr>
                      <w:t>aussi</w:t>
                    </w:r>
                    <w:r>
                      <w:rPr>
                        <w:rFonts w:ascii="Arial" w:hAnsi="Arial"/>
                        <w:color w:val="231F20"/>
                        <w:spacing w:val="-12"/>
                        <w:sz w:val="17"/>
                      </w:rPr>
                      <w:t> </w:t>
                    </w:r>
                    <w:r>
                      <w:rPr>
                        <w:rFonts w:ascii="Arial" w:hAnsi="Arial"/>
                        <w:color w:val="231F20"/>
                        <w:sz w:val="17"/>
                      </w:rPr>
                      <w:t>efficace</w:t>
                    </w:r>
                    <w:r>
                      <w:rPr>
                        <w:rFonts w:ascii="Arial" w:hAnsi="Arial"/>
                        <w:color w:val="231F20"/>
                        <w:spacing w:val="-12"/>
                        <w:sz w:val="17"/>
                      </w:rPr>
                      <w:t> </w:t>
                    </w:r>
                    <w:r>
                      <w:rPr>
                        <w:rFonts w:ascii="Arial" w:hAnsi="Arial"/>
                        <w:color w:val="231F20"/>
                        <w:sz w:val="17"/>
                      </w:rPr>
                      <w:t>pour</w:t>
                    </w:r>
                    <w:r>
                      <w:rPr>
                        <w:rFonts w:ascii="Arial" w:hAnsi="Arial"/>
                        <w:color w:val="231F20"/>
                        <w:spacing w:val="-12"/>
                        <w:sz w:val="17"/>
                      </w:rPr>
                      <w:t> </w:t>
                    </w:r>
                    <w:r>
                      <w:rPr>
                        <w:rFonts w:ascii="Arial" w:hAnsi="Arial"/>
                        <w:color w:val="231F20"/>
                        <w:sz w:val="17"/>
                      </w:rPr>
                      <w:t>améliorer</w:t>
                    </w:r>
                    <w:r>
                      <w:rPr>
                        <w:rFonts w:ascii="Arial" w:hAnsi="Arial"/>
                        <w:color w:val="231F20"/>
                        <w:spacing w:val="-11"/>
                        <w:sz w:val="17"/>
                      </w:rPr>
                      <w:t> </w:t>
                    </w:r>
                    <w:r>
                      <w:rPr>
                        <w:rFonts w:ascii="Arial" w:hAnsi="Arial"/>
                        <w:color w:val="231F20"/>
                        <w:sz w:val="17"/>
                      </w:rPr>
                      <w:t>les</w:t>
                    </w:r>
                    <w:r>
                      <w:rPr>
                        <w:rFonts w:ascii="Arial" w:hAnsi="Arial"/>
                        <w:color w:val="231F20"/>
                        <w:spacing w:val="-12"/>
                        <w:sz w:val="17"/>
                      </w:rPr>
                      <w:t> </w:t>
                    </w:r>
                    <w:r>
                      <w:rPr>
                        <w:rFonts w:ascii="Arial" w:hAnsi="Arial"/>
                        <w:color w:val="231F20"/>
                        <w:sz w:val="17"/>
                      </w:rPr>
                      <w:t>symptômes</w:t>
                    </w:r>
                    <w:r>
                      <w:rPr>
                        <w:rFonts w:ascii="Arial" w:hAnsi="Arial"/>
                        <w:color w:val="231F20"/>
                        <w:spacing w:val="-12"/>
                        <w:sz w:val="17"/>
                      </w:rPr>
                      <w:t> </w:t>
                    </w:r>
                    <w:r>
                      <w:rPr>
                        <w:rFonts w:ascii="Arial" w:hAnsi="Arial"/>
                        <w:color w:val="231F20"/>
                        <w:sz w:val="17"/>
                      </w:rPr>
                      <w:t>physiques et psychologiques associés à différentes conditions médicales (p. ex. douleur</w:t>
                    </w:r>
                    <w:r>
                      <w:rPr>
                        <w:rFonts w:ascii="Arial" w:hAnsi="Arial"/>
                        <w:color w:val="231F20"/>
                        <w:spacing w:val="-10"/>
                        <w:sz w:val="17"/>
                      </w:rPr>
                      <w:t> </w:t>
                    </w:r>
                    <w:r>
                      <w:rPr>
                        <w:rFonts w:ascii="Arial" w:hAnsi="Arial"/>
                        <w:color w:val="231F20"/>
                        <w:sz w:val="17"/>
                      </w:rPr>
                      <w:t>chronique,</w:t>
                    </w:r>
                    <w:r>
                      <w:rPr>
                        <w:rFonts w:ascii="Arial" w:hAnsi="Arial"/>
                        <w:color w:val="231F20"/>
                        <w:spacing w:val="-10"/>
                        <w:sz w:val="17"/>
                      </w:rPr>
                      <w:t> </w:t>
                    </w:r>
                    <w:r>
                      <w:rPr>
                        <w:rFonts w:ascii="Arial" w:hAnsi="Arial"/>
                        <w:color w:val="231F20"/>
                        <w:sz w:val="17"/>
                      </w:rPr>
                      <w:t>troubles</w:t>
                    </w:r>
                    <w:r>
                      <w:rPr>
                        <w:rFonts w:ascii="Arial" w:hAnsi="Arial"/>
                        <w:color w:val="231F20"/>
                        <w:spacing w:val="-10"/>
                        <w:sz w:val="17"/>
                      </w:rPr>
                      <w:t> </w:t>
                    </w:r>
                    <w:r>
                      <w:rPr>
                        <w:rFonts w:ascii="Arial" w:hAnsi="Arial"/>
                        <w:color w:val="231F20"/>
                        <w:sz w:val="17"/>
                      </w:rPr>
                      <w:t>cardiovasculaires,</w:t>
                    </w:r>
                    <w:r>
                      <w:rPr>
                        <w:rFonts w:ascii="Arial" w:hAnsi="Arial"/>
                        <w:color w:val="231F20"/>
                        <w:spacing w:val="-10"/>
                        <w:sz w:val="17"/>
                      </w:rPr>
                      <w:t> </w:t>
                    </w:r>
                    <w:r>
                      <w:rPr>
                        <w:rFonts w:ascii="Arial" w:hAnsi="Arial"/>
                        <w:color w:val="231F20"/>
                        <w:sz w:val="17"/>
                      </w:rPr>
                      <w:t>cancer,</w:t>
                    </w:r>
                    <w:r>
                      <w:rPr>
                        <w:rFonts w:ascii="Arial" w:hAnsi="Arial"/>
                        <w:color w:val="231F20"/>
                        <w:spacing w:val="-10"/>
                        <w:sz w:val="17"/>
                      </w:rPr>
                      <w:t> </w:t>
                    </w:r>
                    <w:r>
                      <w:rPr>
                        <w:rFonts w:ascii="Arial" w:hAnsi="Arial"/>
                        <w:color w:val="231F20"/>
                        <w:sz w:val="17"/>
                      </w:rPr>
                      <w:t>diabète,</w:t>
                    </w:r>
                    <w:r>
                      <w:rPr>
                        <w:rFonts w:ascii="Arial" w:hAnsi="Arial"/>
                        <w:color w:val="231F20"/>
                        <w:spacing w:val="-10"/>
                        <w:sz w:val="17"/>
                      </w:rPr>
                      <w:t> </w:t>
                    </w:r>
                    <w:r>
                      <w:rPr>
                        <w:rFonts w:ascii="Arial" w:hAnsi="Arial"/>
                        <w:color w:val="231F20"/>
                        <w:sz w:val="17"/>
                      </w:rPr>
                      <w:t>stress, </w:t>
                    </w:r>
                    <w:r>
                      <w:rPr>
                        <w:rFonts w:ascii="Arial" w:hAnsi="Arial"/>
                        <w:color w:val="231F20"/>
                        <w:spacing w:val="-2"/>
                        <w:sz w:val="17"/>
                      </w:rPr>
                      <w:t>anxiété,</w:t>
                    </w:r>
                    <w:r>
                      <w:rPr>
                        <w:rFonts w:ascii="Arial" w:hAnsi="Arial"/>
                        <w:color w:val="231F20"/>
                        <w:spacing w:val="-10"/>
                        <w:sz w:val="17"/>
                      </w:rPr>
                      <w:t> </w:t>
                    </w:r>
                    <w:r>
                      <w:rPr>
                        <w:rFonts w:ascii="Arial" w:hAnsi="Arial"/>
                        <w:color w:val="231F20"/>
                        <w:spacing w:val="-2"/>
                        <w:sz w:val="17"/>
                      </w:rPr>
                      <w:t>dépression).</w:t>
                    </w:r>
                    <w:r>
                      <w:rPr>
                        <w:rFonts w:ascii="Arial" w:hAnsi="Arial"/>
                        <w:color w:val="231F20"/>
                        <w:spacing w:val="-10"/>
                        <w:sz w:val="17"/>
                      </w:rPr>
                      <w:t> </w:t>
                    </w:r>
                    <w:r>
                      <w:rPr>
                        <w:rFonts w:ascii="Arial" w:hAnsi="Arial"/>
                        <w:color w:val="231F20"/>
                        <w:spacing w:val="-2"/>
                        <w:sz w:val="17"/>
                      </w:rPr>
                      <w:t>Toutefois,</w:t>
                    </w:r>
                    <w:r>
                      <w:rPr>
                        <w:rFonts w:ascii="Arial" w:hAnsi="Arial"/>
                        <w:color w:val="231F20"/>
                        <w:spacing w:val="-10"/>
                        <w:sz w:val="17"/>
                      </w:rPr>
                      <w:t> </w:t>
                    </w:r>
                    <w:r>
                      <w:rPr>
                        <w:rFonts w:ascii="Arial" w:hAnsi="Arial"/>
                        <w:color w:val="231F20"/>
                        <w:spacing w:val="-2"/>
                        <w:sz w:val="17"/>
                      </w:rPr>
                      <w:t>la</w:t>
                    </w:r>
                    <w:r>
                      <w:rPr>
                        <w:rFonts w:ascii="Arial" w:hAnsi="Arial"/>
                        <w:color w:val="231F20"/>
                        <w:spacing w:val="-10"/>
                        <w:sz w:val="17"/>
                      </w:rPr>
                      <w:t> </w:t>
                    </w:r>
                    <w:r>
                      <w:rPr>
                        <w:rFonts w:ascii="Arial" w:hAnsi="Arial"/>
                        <w:color w:val="231F20"/>
                        <w:spacing w:val="-2"/>
                        <w:sz w:val="17"/>
                      </w:rPr>
                      <w:t>pleine</w:t>
                    </w:r>
                    <w:r>
                      <w:rPr>
                        <w:rFonts w:ascii="Arial" w:hAnsi="Arial"/>
                        <w:color w:val="231F20"/>
                        <w:spacing w:val="-10"/>
                        <w:sz w:val="17"/>
                      </w:rPr>
                      <w:t> </w:t>
                    </w:r>
                    <w:r>
                      <w:rPr>
                        <w:rFonts w:ascii="Arial" w:hAnsi="Arial"/>
                        <w:color w:val="231F20"/>
                        <w:spacing w:val="-2"/>
                        <w:sz w:val="17"/>
                      </w:rPr>
                      <w:t>conscience</w:t>
                    </w:r>
                    <w:r>
                      <w:rPr>
                        <w:rFonts w:ascii="Arial" w:hAnsi="Arial"/>
                        <w:color w:val="231F20"/>
                        <w:spacing w:val="-9"/>
                        <w:sz w:val="17"/>
                      </w:rPr>
                      <w:t> </w:t>
                    </w:r>
                    <w:r>
                      <w:rPr>
                        <w:rFonts w:ascii="Arial" w:hAnsi="Arial"/>
                        <w:color w:val="231F20"/>
                        <w:spacing w:val="-2"/>
                        <w:sz w:val="17"/>
                      </w:rPr>
                      <w:t>ne</w:t>
                    </w:r>
                    <w:r>
                      <w:rPr>
                        <w:rFonts w:ascii="Arial" w:hAnsi="Arial"/>
                        <w:color w:val="231F20"/>
                        <w:spacing w:val="-10"/>
                        <w:sz w:val="17"/>
                      </w:rPr>
                      <w:t> </w:t>
                    </w:r>
                    <w:r>
                      <w:rPr>
                        <w:rFonts w:ascii="Arial" w:hAnsi="Arial"/>
                        <w:color w:val="231F20"/>
                        <w:spacing w:val="-2"/>
                        <w:sz w:val="17"/>
                      </w:rPr>
                      <w:t>permet</w:t>
                    </w:r>
                    <w:r>
                      <w:rPr>
                        <w:rFonts w:ascii="Arial" w:hAnsi="Arial"/>
                        <w:color w:val="231F20"/>
                        <w:spacing w:val="-10"/>
                        <w:sz w:val="17"/>
                      </w:rPr>
                      <w:t> </w:t>
                    </w:r>
                    <w:r>
                      <w:rPr>
                        <w:rFonts w:ascii="Arial" w:hAnsi="Arial"/>
                        <w:color w:val="231F20"/>
                        <w:spacing w:val="-2"/>
                        <w:sz w:val="17"/>
                      </w:rPr>
                      <w:t>pas</w:t>
                    </w:r>
                    <w:r>
                      <w:rPr>
                        <w:rFonts w:ascii="Arial" w:hAnsi="Arial"/>
                        <w:color w:val="231F20"/>
                        <w:spacing w:val="-10"/>
                        <w:sz w:val="17"/>
                      </w:rPr>
                      <w:t> </w:t>
                    </w:r>
                    <w:r>
                      <w:rPr>
                        <w:rFonts w:ascii="Arial" w:hAnsi="Arial"/>
                        <w:color w:val="231F20"/>
                        <w:spacing w:val="-2"/>
                        <w:sz w:val="17"/>
                      </w:rPr>
                      <w:t>d’en </w:t>
                    </w:r>
                    <w:r>
                      <w:rPr>
                        <w:rFonts w:ascii="Arial" w:hAnsi="Arial"/>
                        <w:color w:val="231F20"/>
                        <w:sz w:val="17"/>
                      </w:rPr>
                      <w:t>guérir, mais elle permettrait de mieux gérer la détresse et l’incapacité physique qui y sont associées.</w:t>
                    </w:r>
                  </w:p>
                  <w:p>
                    <w:pPr>
                      <w:spacing w:line="295" w:lineRule="auto" w:before="214"/>
                      <w:ind w:left="250" w:right="247"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2"/>
                        <w:sz w:val="12"/>
                      </w:rPr>
                      <w:t> </w:t>
                    </w:r>
                    <w:r>
                      <w:rPr>
                        <w:rFonts w:ascii="Arial" w:hAnsi="Arial"/>
                        <w:color w:val="231F20"/>
                        <w:sz w:val="12"/>
                      </w:rPr>
                      <w:t>Méditation pleine conscience, </w:t>
                    </w:r>
                    <w:r>
                      <w:rPr>
                        <w:rFonts w:ascii="Arial" w:hAnsi="Arial"/>
                        <w:i/>
                        <w:color w:val="231F20"/>
                        <w:sz w:val="12"/>
                      </w:rPr>
                      <w:t>Mon équilibre UL</w:t>
                    </w:r>
                    <w:r>
                      <w:rPr>
                        <w:rFonts w:ascii="Arial" w:hAnsi="Arial"/>
                        <w:color w:val="231F20"/>
                        <w:sz w:val="12"/>
                      </w:rPr>
                      <w:t>, &lt;https://</w:t>
                    </w:r>
                    <w:hyperlink r:id="rId297">
                      <w:r>
                        <w:rPr>
                          <w:rFonts w:ascii="Arial" w:hAnsi="Arial"/>
                          <w:color w:val="231F20"/>
                          <w:sz w:val="12"/>
                        </w:rPr>
                        <w:t>www.ulaval.ca/mon-equilibre-ul/</w:t>
                      </w:r>
                    </w:hyperlink>
                    <w:r>
                      <w:rPr>
                        <w:rFonts w:ascii="Arial" w:hAnsi="Arial"/>
                        <w:color w:val="231F20"/>
                        <w:spacing w:val="40"/>
                        <w:w w:val="105"/>
                        <w:sz w:val="12"/>
                      </w:rPr>
                      <w:t> </w:t>
                    </w:r>
                    <w:r>
                      <w:rPr>
                        <w:rFonts w:ascii="Arial" w:hAnsi="Arial"/>
                        <w:color w:val="231F20"/>
                        <w:w w:val="105"/>
                        <w:sz w:val="12"/>
                      </w:rPr>
                      <w:t>exclusivites-mon-equilibre/meditation-pleine-conscience&gt;, consulté le 22 octobre 2021.</w:t>
                    </w:r>
                  </w:p>
                </w:txbxContent>
              </v:textbox>
              <w10:wrap type="none"/>
            </v:shape>
            <w10:wrap type="topAndBottom"/>
          </v:group>
        </w:pict>
      </w:r>
    </w:p>
    <w:p>
      <w:pPr>
        <w:pStyle w:val="BodyText"/>
        <w:spacing w:before="1"/>
      </w:pPr>
    </w:p>
    <w:p>
      <w:pPr>
        <w:pStyle w:val="BodyText"/>
        <w:spacing w:line="307" w:lineRule="auto" w:before="145"/>
        <w:ind w:left="830" w:right="495"/>
        <w:jc w:val="both"/>
      </w:pPr>
      <w:r>
        <w:rPr>
          <w:color w:val="231F20"/>
          <w:w w:val="120"/>
        </w:rPr>
        <w:t>Comme</w:t>
      </w:r>
      <w:r>
        <w:rPr>
          <w:color w:val="231F20"/>
          <w:spacing w:val="-13"/>
          <w:w w:val="120"/>
        </w:rPr>
        <w:t> </w:t>
      </w:r>
      <w:r>
        <w:rPr>
          <w:color w:val="231F20"/>
          <w:w w:val="120"/>
        </w:rPr>
        <w:t>pour</w:t>
      </w:r>
      <w:r>
        <w:rPr>
          <w:color w:val="231F20"/>
          <w:spacing w:val="-13"/>
          <w:w w:val="120"/>
        </w:rPr>
        <w:t> </w:t>
      </w:r>
      <w:r>
        <w:rPr>
          <w:color w:val="231F20"/>
          <w:w w:val="120"/>
        </w:rPr>
        <w:t>le</w:t>
      </w:r>
      <w:r>
        <w:rPr>
          <w:color w:val="231F20"/>
          <w:spacing w:val="-13"/>
          <w:w w:val="120"/>
        </w:rPr>
        <w:t> </w:t>
      </w:r>
      <w:r>
        <w:rPr>
          <w:color w:val="231F20"/>
          <w:w w:val="120"/>
        </w:rPr>
        <w:t>yoga,</w:t>
      </w:r>
      <w:r>
        <w:rPr>
          <w:color w:val="231F20"/>
          <w:spacing w:val="-12"/>
          <w:w w:val="120"/>
        </w:rPr>
        <w:t> </w:t>
      </w:r>
      <w:r>
        <w:rPr>
          <w:color w:val="231F20"/>
          <w:w w:val="120"/>
        </w:rPr>
        <w:t>la</w:t>
      </w:r>
      <w:r>
        <w:rPr>
          <w:color w:val="231F20"/>
          <w:spacing w:val="-13"/>
          <w:w w:val="120"/>
        </w:rPr>
        <w:t> </w:t>
      </w:r>
      <w:r>
        <w:rPr>
          <w:color w:val="231F20"/>
          <w:w w:val="120"/>
        </w:rPr>
        <w:t>pratique</w:t>
      </w:r>
      <w:r>
        <w:rPr>
          <w:color w:val="231F20"/>
          <w:spacing w:val="-13"/>
          <w:w w:val="120"/>
        </w:rPr>
        <w:t> </w:t>
      </w:r>
      <w:r>
        <w:rPr>
          <w:color w:val="231F20"/>
          <w:w w:val="120"/>
        </w:rPr>
        <w:t>régulière</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méditation</w:t>
      </w:r>
      <w:r>
        <w:rPr>
          <w:color w:val="231F20"/>
          <w:spacing w:val="-13"/>
          <w:w w:val="120"/>
        </w:rPr>
        <w:t> </w:t>
      </w:r>
      <w:r>
        <w:rPr>
          <w:color w:val="231F20"/>
          <w:w w:val="120"/>
        </w:rPr>
        <w:t>conditionne </w:t>
      </w:r>
      <w:r>
        <w:rPr>
          <w:color w:val="231F20"/>
          <w:spacing w:val="-2"/>
          <w:w w:val="120"/>
        </w:rPr>
        <w:t>la</w:t>
      </w:r>
      <w:r>
        <w:rPr>
          <w:color w:val="231F20"/>
          <w:spacing w:val="-9"/>
          <w:w w:val="120"/>
        </w:rPr>
        <w:t> </w:t>
      </w:r>
      <w:r>
        <w:rPr>
          <w:color w:val="231F20"/>
          <w:spacing w:val="-2"/>
          <w:w w:val="120"/>
        </w:rPr>
        <w:t>personne</w:t>
      </w:r>
      <w:r>
        <w:rPr>
          <w:color w:val="231F20"/>
          <w:spacing w:val="-9"/>
          <w:w w:val="120"/>
        </w:rPr>
        <w:t> </w:t>
      </w:r>
      <w:r>
        <w:rPr>
          <w:color w:val="231F20"/>
          <w:spacing w:val="-2"/>
          <w:w w:val="120"/>
        </w:rPr>
        <w:t>à</w:t>
      </w:r>
      <w:r>
        <w:rPr>
          <w:color w:val="231F20"/>
          <w:spacing w:val="-9"/>
          <w:w w:val="120"/>
        </w:rPr>
        <w:t> </w:t>
      </w:r>
      <w:r>
        <w:rPr>
          <w:color w:val="231F20"/>
          <w:spacing w:val="-2"/>
          <w:w w:val="120"/>
        </w:rPr>
        <w:t>intégrer</w:t>
      </w:r>
      <w:r>
        <w:rPr>
          <w:color w:val="231F20"/>
          <w:spacing w:val="-9"/>
          <w:w w:val="120"/>
        </w:rPr>
        <w:t> </w:t>
      </w:r>
      <w:r>
        <w:rPr>
          <w:color w:val="231F20"/>
          <w:spacing w:val="-2"/>
          <w:w w:val="120"/>
        </w:rPr>
        <w:t>l’état</w:t>
      </w:r>
      <w:r>
        <w:rPr>
          <w:color w:val="231F20"/>
          <w:spacing w:val="-9"/>
          <w:w w:val="120"/>
        </w:rPr>
        <w:t> </w:t>
      </w:r>
      <w:r>
        <w:rPr>
          <w:color w:val="231F20"/>
          <w:spacing w:val="-2"/>
          <w:w w:val="120"/>
        </w:rPr>
        <w:t>méditatif</w:t>
      </w:r>
      <w:r>
        <w:rPr>
          <w:color w:val="231F20"/>
          <w:spacing w:val="-9"/>
          <w:w w:val="120"/>
        </w:rPr>
        <w:t> </w:t>
      </w:r>
      <w:r>
        <w:rPr>
          <w:color w:val="231F20"/>
          <w:spacing w:val="-2"/>
          <w:w w:val="120"/>
        </w:rPr>
        <w:t>à</w:t>
      </w:r>
      <w:r>
        <w:rPr>
          <w:color w:val="231F20"/>
          <w:spacing w:val="-9"/>
          <w:w w:val="120"/>
        </w:rPr>
        <w:t> </w:t>
      </w:r>
      <w:r>
        <w:rPr>
          <w:color w:val="231F20"/>
          <w:spacing w:val="-2"/>
          <w:w w:val="120"/>
        </w:rPr>
        <w:t>sa</w:t>
      </w:r>
      <w:r>
        <w:rPr>
          <w:color w:val="231F20"/>
          <w:spacing w:val="-9"/>
          <w:w w:val="120"/>
        </w:rPr>
        <w:t> </w:t>
      </w:r>
      <w:r>
        <w:rPr>
          <w:color w:val="231F20"/>
          <w:spacing w:val="-2"/>
          <w:w w:val="120"/>
        </w:rPr>
        <w:t>vie</w:t>
      </w:r>
      <w:r>
        <w:rPr>
          <w:color w:val="231F20"/>
          <w:spacing w:val="-9"/>
          <w:w w:val="120"/>
        </w:rPr>
        <w:t> </w:t>
      </w:r>
      <w:r>
        <w:rPr>
          <w:color w:val="231F20"/>
          <w:spacing w:val="-2"/>
          <w:w w:val="120"/>
        </w:rPr>
        <w:t>quotidienne.</w:t>
      </w:r>
      <w:r>
        <w:rPr>
          <w:color w:val="231F20"/>
          <w:spacing w:val="-9"/>
          <w:w w:val="120"/>
        </w:rPr>
        <w:t> </w:t>
      </w:r>
      <w:r>
        <w:rPr>
          <w:color w:val="231F20"/>
          <w:spacing w:val="-2"/>
          <w:w w:val="120"/>
        </w:rPr>
        <w:t>La</w:t>
      </w:r>
      <w:r>
        <w:rPr>
          <w:color w:val="231F20"/>
          <w:spacing w:val="-9"/>
          <w:w w:val="120"/>
        </w:rPr>
        <w:t> </w:t>
      </w:r>
      <w:r>
        <w:rPr>
          <w:color w:val="231F20"/>
          <w:spacing w:val="-2"/>
          <w:w w:val="120"/>
        </w:rPr>
        <w:t>méditation </w:t>
      </w:r>
      <w:r>
        <w:rPr>
          <w:color w:val="231F20"/>
          <w:w w:val="115"/>
        </w:rPr>
        <w:t>combine</w:t>
      </w:r>
      <w:r>
        <w:rPr>
          <w:color w:val="231F20"/>
          <w:spacing w:val="-9"/>
          <w:w w:val="115"/>
        </w:rPr>
        <w:t> </w:t>
      </w:r>
      <w:r>
        <w:rPr>
          <w:color w:val="231F20"/>
          <w:w w:val="115"/>
        </w:rPr>
        <w:t>l’effort</w:t>
      </w:r>
      <w:r>
        <w:rPr>
          <w:color w:val="231F20"/>
          <w:spacing w:val="-9"/>
          <w:w w:val="115"/>
        </w:rPr>
        <w:t> </w:t>
      </w:r>
      <w:r>
        <w:rPr>
          <w:color w:val="231F20"/>
          <w:w w:val="115"/>
        </w:rPr>
        <w:t>et</w:t>
      </w:r>
      <w:r>
        <w:rPr>
          <w:color w:val="231F20"/>
          <w:spacing w:val="-9"/>
          <w:w w:val="115"/>
        </w:rPr>
        <w:t> </w:t>
      </w:r>
      <w:r>
        <w:rPr>
          <w:color w:val="231F20"/>
          <w:w w:val="115"/>
        </w:rPr>
        <w:t>la</w:t>
      </w:r>
      <w:r>
        <w:rPr>
          <w:color w:val="231F20"/>
          <w:spacing w:val="-9"/>
          <w:w w:val="115"/>
        </w:rPr>
        <w:t> </w:t>
      </w:r>
      <w:r>
        <w:rPr>
          <w:color w:val="231F20"/>
          <w:w w:val="115"/>
        </w:rPr>
        <w:t>participation</w:t>
      </w:r>
      <w:r>
        <w:rPr>
          <w:color w:val="231F20"/>
          <w:spacing w:val="-9"/>
          <w:w w:val="115"/>
        </w:rPr>
        <w:t> </w:t>
      </w:r>
      <w:r>
        <w:rPr>
          <w:color w:val="231F20"/>
          <w:w w:val="115"/>
        </w:rPr>
        <w:t>passive.</w:t>
      </w:r>
      <w:r>
        <w:rPr>
          <w:color w:val="231F20"/>
          <w:spacing w:val="-9"/>
          <w:w w:val="115"/>
        </w:rPr>
        <w:t> </w:t>
      </w:r>
      <w:r>
        <w:rPr>
          <w:color w:val="231F20"/>
          <w:w w:val="115"/>
        </w:rPr>
        <w:t>Sa</w:t>
      </w:r>
      <w:r>
        <w:rPr>
          <w:color w:val="231F20"/>
          <w:spacing w:val="-9"/>
          <w:w w:val="115"/>
        </w:rPr>
        <w:t> </w:t>
      </w:r>
      <w:r>
        <w:rPr>
          <w:color w:val="231F20"/>
          <w:w w:val="115"/>
        </w:rPr>
        <w:t>pratique</w:t>
      </w:r>
      <w:r>
        <w:rPr>
          <w:color w:val="231F20"/>
          <w:spacing w:val="-9"/>
          <w:w w:val="115"/>
        </w:rPr>
        <w:t> </w:t>
      </w:r>
      <w:r>
        <w:rPr>
          <w:color w:val="231F20"/>
          <w:w w:val="115"/>
        </w:rPr>
        <w:t>consiste</w:t>
      </w:r>
      <w:r>
        <w:rPr>
          <w:color w:val="231F20"/>
          <w:spacing w:val="-9"/>
          <w:w w:val="115"/>
        </w:rPr>
        <w:t> </w:t>
      </w:r>
      <w:r>
        <w:rPr>
          <w:color w:val="231F20"/>
          <w:w w:val="115"/>
        </w:rPr>
        <w:t>à</w:t>
      </w:r>
      <w:r>
        <w:rPr>
          <w:color w:val="231F20"/>
          <w:spacing w:val="-9"/>
          <w:w w:val="115"/>
        </w:rPr>
        <w:t> </w:t>
      </w:r>
      <w:r>
        <w:rPr>
          <w:color w:val="231F20"/>
          <w:w w:val="115"/>
        </w:rPr>
        <w:t>ramener </w:t>
      </w:r>
      <w:r>
        <w:rPr>
          <w:color w:val="231F20"/>
          <w:w w:val="120"/>
        </w:rPr>
        <w:t>continuellement l’attention au point choisi (effort) et à devenir sim- plement un témoin de tout ce qui transpire (participation passive), par l’incorporation des réflexions, des intrants sensoriels, des sensations physiques</w:t>
      </w:r>
      <w:r>
        <w:rPr>
          <w:color w:val="231F20"/>
          <w:spacing w:val="-13"/>
          <w:w w:val="120"/>
        </w:rPr>
        <w:t> </w:t>
      </w:r>
      <w:r>
        <w:rPr>
          <w:color w:val="231F20"/>
          <w:w w:val="120"/>
        </w:rPr>
        <w:t>et</w:t>
      </w:r>
      <w:r>
        <w:rPr>
          <w:color w:val="231F20"/>
          <w:spacing w:val="-13"/>
          <w:w w:val="120"/>
        </w:rPr>
        <w:t> </w:t>
      </w:r>
      <w:r>
        <w:rPr>
          <w:color w:val="231F20"/>
          <w:w w:val="120"/>
        </w:rPr>
        <w:t>des</w:t>
      </w:r>
      <w:r>
        <w:rPr>
          <w:color w:val="231F20"/>
          <w:spacing w:val="-13"/>
          <w:w w:val="120"/>
        </w:rPr>
        <w:t> </w:t>
      </w:r>
      <w:r>
        <w:rPr>
          <w:color w:val="231F20"/>
          <w:w w:val="120"/>
        </w:rPr>
        <w:t>stimuli</w:t>
      </w:r>
      <w:r>
        <w:rPr>
          <w:color w:val="231F20"/>
          <w:spacing w:val="-12"/>
          <w:w w:val="120"/>
        </w:rPr>
        <w:t> </w:t>
      </w:r>
      <w:r>
        <w:rPr>
          <w:color w:val="231F20"/>
          <w:w w:val="120"/>
        </w:rPr>
        <w:t>externes</w:t>
      </w:r>
      <w:r>
        <w:rPr>
          <w:color w:val="231F20"/>
          <w:spacing w:val="-13"/>
          <w:w w:val="120"/>
        </w:rPr>
        <w:t> </w:t>
      </w:r>
      <w:r>
        <w:rPr>
          <w:color w:val="231F20"/>
          <w:w w:val="120"/>
        </w:rPr>
        <w:t>à</w:t>
      </w:r>
      <w:r>
        <w:rPr>
          <w:color w:val="231F20"/>
          <w:spacing w:val="-13"/>
          <w:w w:val="120"/>
        </w:rPr>
        <w:t> </w:t>
      </w:r>
      <w:r>
        <w:rPr>
          <w:color w:val="231F20"/>
          <w:w w:val="120"/>
        </w:rPr>
        <w:t>l’expérience</w:t>
      </w:r>
      <w:r>
        <w:rPr>
          <w:color w:val="231F20"/>
          <w:spacing w:val="-13"/>
          <w:w w:val="120"/>
        </w:rPr>
        <w:t> </w:t>
      </w:r>
      <w:r>
        <w:rPr>
          <w:color w:val="231F20"/>
          <w:w w:val="120"/>
        </w:rPr>
        <w:t>méditative.</w:t>
      </w:r>
      <w:r>
        <w:rPr>
          <w:color w:val="231F20"/>
          <w:spacing w:val="-12"/>
          <w:w w:val="120"/>
        </w:rPr>
        <w:t> </w:t>
      </w:r>
      <w:r>
        <w:rPr>
          <w:color w:val="231F20"/>
          <w:w w:val="120"/>
        </w:rPr>
        <w:t>Cette</w:t>
      </w:r>
      <w:r>
        <w:rPr>
          <w:color w:val="231F20"/>
          <w:spacing w:val="-13"/>
          <w:w w:val="120"/>
        </w:rPr>
        <w:t> </w:t>
      </w:r>
      <w:r>
        <w:rPr>
          <w:color w:val="231F20"/>
          <w:w w:val="120"/>
        </w:rPr>
        <w:t>façon de</w:t>
      </w:r>
      <w:r>
        <w:rPr>
          <w:color w:val="231F20"/>
          <w:spacing w:val="-4"/>
          <w:w w:val="120"/>
        </w:rPr>
        <w:t> </w:t>
      </w:r>
      <w:r>
        <w:rPr>
          <w:color w:val="231F20"/>
          <w:w w:val="120"/>
        </w:rPr>
        <w:t>centrer</w:t>
      </w:r>
      <w:r>
        <w:rPr>
          <w:color w:val="231F20"/>
          <w:spacing w:val="-4"/>
          <w:w w:val="120"/>
        </w:rPr>
        <w:t> </w:t>
      </w:r>
      <w:r>
        <w:rPr>
          <w:color w:val="231F20"/>
          <w:w w:val="120"/>
        </w:rPr>
        <w:t>l’esprit</w:t>
      </w:r>
      <w:r>
        <w:rPr>
          <w:color w:val="231F20"/>
          <w:spacing w:val="-4"/>
          <w:w w:val="120"/>
        </w:rPr>
        <w:t> </w:t>
      </w:r>
      <w:r>
        <w:rPr>
          <w:color w:val="231F20"/>
          <w:w w:val="120"/>
        </w:rPr>
        <w:t>a</w:t>
      </w:r>
      <w:r>
        <w:rPr>
          <w:color w:val="231F20"/>
          <w:spacing w:val="-4"/>
          <w:w w:val="120"/>
        </w:rPr>
        <w:t> </w:t>
      </w:r>
      <w:r>
        <w:rPr>
          <w:color w:val="231F20"/>
          <w:w w:val="120"/>
        </w:rPr>
        <w:t>pour</w:t>
      </w:r>
      <w:r>
        <w:rPr>
          <w:color w:val="231F20"/>
          <w:spacing w:val="-4"/>
          <w:w w:val="120"/>
        </w:rPr>
        <w:t> </w:t>
      </w:r>
      <w:r>
        <w:rPr>
          <w:color w:val="231F20"/>
          <w:w w:val="120"/>
        </w:rPr>
        <w:t>effet</w:t>
      </w:r>
      <w:r>
        <w:rPr>
          <w:color w:val="231F20"/>
          <w:spacing w:val="-4"/>
          <w:w w:val="120"/>
        </w:rPr>
        <w:t> </w:t>
      </w:r>
      <w:r>
        <w:rPr>
          <w:color w:val="231F20"/>
          <w:w w:val="120"/>
        </w:rPr>
        <w:t>de</w:t>
      </w:r>
      <w:r>
        <w:rPr>
          <w:color w:val="231F20"/>
          <w:spacing w:val="-4"/>
          <w:w w:val="120"/>
        </w:rPr>
        <w:t> </w:t>
      </w:r>
      <w:r>
        <w:rPr>
          <w:color w:val="231F20"/>
          <w:w w:val="120"/>
        </w:rPr>
        <w:t>calmer</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détendre</w:t>
      </w:r>
      <w:r>
        <w:rPr>
          <w:color w:val="231F20"/>
          <w:spacing w:val="-4"/>
          <w:w w:val="120"/>
        </w:rPr>
        <w:t> </w:t>
      </w:r>
      <w:r>
        <w:rPr>
          <w:color w:val="231F20"/>
          <w:w w:val="120"/>
        </w:rPr>
        <w:t>le</w:t>
      </w:r>
      <w:r>
        <w:rPr>
          <w:color w:val="231F20"/>
          <w:spacing w:val="-4"/>
          <w:w w:val="120"/>
        </w:rPr>
        <w:t> </w:t>
      </w:r>
      <w:r>
        <w:rPr>
          <w:color w:val="231F20"/>
          <w:w w:val="120"/>
        </w:rPr>
        <w:t>corps,</w:t>
      </w:r>
      <w:r>
        <w:rPr>
          <w:color w:val="231F20"/>
          <w:spacing w:val="-4"/>
          <w:w w:val="120"/>
        </w:rPr>
        <w:t> </w:t>
      </w:r>
      <w:r>
        <w:rPr>
          <w:color w:val="231F20"/>
          <w:w w:val="120"/>
        </w:rPr>
        <w:t>ce</w:t>
      </w:r>
      <w:r>
        <w:rPr>
          <w:color w:val="231F20"/>
          <w:spacing w:val="-4"/>
          <w:w w:val="120"/>
        </w:rPr>
        <w:t> </w:t>
      </w:r>
      <w:r>
        <w:rPr>
          <w:color w:val="231F20"/>
          <w:w w:val="120"/>
        </w:rPr>
        <w:t>qui</w:t>
      </w:r>
    </w:p>
    <w:p>
      <w:pPr>
        <w:spacing w:after="0" w:line="307" w:lineRule="auto"/>
        <w:jc w:val="both"/>
        <w:sectPr>
          <w:footerReference w:type="default" r:id="rId296"/>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3"/>
        <w:jc w:val="both"/>
      </w:pPr>
      <w:r>
        <w:rPr>
          <w:color w:val="231F20"/>
          <w:w w:val="120"/>
        </w:rPr>
        <w:t>permet de gérer le stress. Il existe de multiples formes de méditation, dont</w:t>
      </w:r>
      <w:r>
        <w:rPr>
          <w:color w:val="231F20"/>
          <w:spacing w:val="-1"/>
          <w:w w:val="120"/>
        </w:rPr>
        <w:t> </w:t>
      </w:r>
      <w:r>
        <w:rPr>
          <w:color w:val="231F20"/>
          <w:w w:val="120"/>
        </w:rPr>
        <w:t>la</w:t>
      </w:r>
      <w:r>
        <w:rPr>
          <w:color w:val="231F20"/>
          <w:spacing w:val="-1"/>
          <w:w w:val="120"/>
        </w:rPr>
        <w:t> </w:t>
      </w:r>
      <w:r>
        <w:rPr>
          <w:color w:val="231F20"/>
          <w:w w:val="120"/>
        </w:rPr>
        <w:t>méditation</w:t>
      </w:r>
      <w:r>
        <w:rPr>
          <w:color w:val="231F20"/>
          <w:spacing w:val="-1"/>
          <w:w w:val="120"/>
        </w:rPr>
        <w:t> </w:t>
      </w:r>
      <w:r>
        <w:rPr>
          <w:color w:val="231F20"/>
          <w:w w:val="120"/>
        </w:rPr>
        <w:t>pleine</w:t>
      </w:r>
      <w:r>
        <w:rPr>
          <w:color w:val="231F20"/>
          <w:spacing w:val="-1"/>
          <w:w w:val="120"/>
        </w:rPr>
        <w:t> </w:t>
      </w:r>
      <w:r>
        <w:rPr>
          <w:color w:val="231F20"/>
          <w:w w:val="120"/>
        </w:rPr>
        <w:t>conscience,</w:t>
      </w:r>
      <w:r>
        <w:rPr>
          <w:color w:val="231F20"/>
          <w:spacing w:val="-1"/>
          <w:w w:val="120"/>
        </w:rPr>
        <w:t> </w:t>
      </w:r>
      <w:r>
        <w:rPr>
          <w:color w:val="231F20"/>
          <w:w w:val="120"/>
        </w:rPr>
        <w:t>la</w:t>
      </w:r>
      <w:r>
        <w:rPr>
          <w:color w:val="231F20"/>
          <w:spacing w:val="-1"/>
          <w:w w:val="120"/>
        </w:rPr>
        <w:t> </w:t>
      </w:r>
      <w:r>
        <w:rPr>
          <w:color w:val="231F20"/>
          <w:w w:val="120"/>
        </w:rPr>
        <w:t>méditation</w:t>
      </w:r>
      <w:r>
        <w:rPr>
          <w:color w:val="231F20"/>
          <w:spacing w:val="-1"/>
          <w:w w:val="120"/>
        </w:rPr>
        <w:t> </w:t>
      </w:r>
      <w:r>
        <w:rPr>
          <w:color w:val="231F20"/>
          <w:w w:val="120"/>
        </w:rPr>
        <w:t>transcendantale,</w:t>
      </w:r>
      <w:r>
        <w:rPr>
          <w:color w:val="231F20"/>
          <w:spacing w:val="-1"/>
          <w:w w:val="120"/>
        </w:rPr>
        <w:t> </w:t>
      </w:r>
      <w:r>
        <w:rPr>
          <w:color w:val="231F20"/>
          <w:w w:val="120"/>
        </w:rPr>
        <w:t>le </w:t>
      </w:r>
      <w:r>
        <w:rPr>
          <w:i/>
          <w:color w:val="231F20"/>
          <w:w w:val="120"/>
        </w:rPr>
        <w:t>qi gong </w:t>
      </w:r>
      <w:r>
        <w:rPr>
          <w:color w:val="231F20"/>
          <w:w w:val="120"/>
        </w:rPr>
        <w:t>ou la méditation par mantra. Généralement, les techniques de méditation</w:t>
      </w:r>
      <w:r>
        <w:rPr>
          <w:color w:val="231F20"/>
          <w:spacing w:val="33"/>
          <w:w w:val="120"/>
        </w:rPr>
        <w:t> </w:t>
      </w:r>
      <w:r>
        <w:rPr>
          <w:color w:val="231F20"/>
          <w:w w:val="120"/>
        </w:rPr>
        <w:t>démontrent</w:t>
      </w:r>
      <w:r>
        <w:rPr>
          <w:color w:val="231F20"/>
          <w:spacing w:val="33"/>
          <w:w w:val="120"/>
        </w:rPr>
        <w:t> </w:t>
      </w:r>
      <w:r>
        <w:rPr>
          <w:color w:val="231F20"/>
          <w:w w:val="120"/>
        </w:rPr>
        <w:t>un</w:t>
      </w:r>
      <w:r>
        <w:rPr>
          <w:color w:val="231F20"/>
          <w:spacing w:val="33"/>
          <w:w w:val="120"/>
        </w:rPr>
        <w:t> </w:t>
      </w:r>
      <w:r>
        <w:rPr>
          <w:color w:val="231F20"/>
          <w:w w:val="120"/>
        </w:rPr>
        <w:t>effet</w:t>
      </w:r>
      <w:r>
        <w:rPr>
          <w:color w:val="231F20"/>
          <w:spacing w:val="33"/>
          <w:w w:val="120"/>
        </w:rPr>
        <w:t> </w:t>
      </w:r>
      <w:r>
        <w:rPr>
          <w:color w:val="231F20"/>
          <w:w w:val="120"/>
        </w:rPr>
        <w:t>positif</w:t>
      </w:r>
      <w:r>
        <w:rPr>
          <w:color w:val="231F20"/>
          <w:spacing w:val="33"/>
          <w:w w:val="120"/>
        </w:rPr>
        <w:t> </w:t>
      </w:r>
      <w:r>
        <w:rPr>
          <w:color w:val="231F20"/>
          <w:w w:val="120"/>
        </w:rPr>
        <w:t>sur</w:t>
      </w:r>
      <w:r>
        <w:rPr>
          <w:color w:val="231F20"/>
          <w:spacing w:val="33"/>
          <w:w w:val="120"/>
        </w:rPr>
        <w:t> </w:t>
      </w:r>
      <w:r>
        <w:rPr>
          <w:color w:val="231F20"/>
          <w:w w:val="120"/>
        </w:rPr>
        <w:t>la</w:t>
      </w:r>
      <w:r>
        <w:rPr>
          <w:color w:val="231F20"/>
          <w:spacing w:val="33"/>
          <w:w w:val="120"/>
        </w:rPr>
        <w:t> </w:t>
      </w:r>
      <w:r>
        <w:rPr>
          <w:color w:val="231F20"/>
          <w:w w:val="120"/>
        </w:rPr>
        <w:t>réduction</w:t>
      </w:r>
      <w:r>
        <w:rPr>
          <w:color w:val="231F20"/>
          <w:spacing w:val="33"/>
          <w:w w:val="120"/>
        </w:rPr>
        <w:t> </w:t>
      </w:r>
      <w:r>
        <w:rPr>
          <w:color w:val="231F20"/>
          <w:w w:val="120"/>
        </w:rPr>
        <w:t>du</w:t>
      </w:r>
      <w:r>
        <w:rPr>
          <w:color w:val="231F20"/>
          <w:spacing w:val="33"/>
          <w:w w:val="120"/>
        </w:rPr>
        <w:t> </w:t>
      </w:r>
      <w:r>
        <w:rPr>
          <w:color w:val="231F20"/>
          <w:w w:val="120"/>
        </w:rPr>
        <w:t>stress</w:t>
      </w:r>
      <w:r>
        <w:rPr>
          <w:color w:val="231F20"/>
          <w:spacing w:val="33"/>
          <w:w w:val="120"/>
        </w:rPr>
        <w:t> </w:t>
      </w:r>
      <w:r>
        <w:rPr>
          <w:color w:val="231F20"/>
          <w:w w:val="120"/>
        </w:rPr>
        <w:t>et de</w:t>
      </w:r>
      <w:r>
        <w:rPr>
          <w:color w:val="231F20"/>
          <w:spacing w:val="-13"/>
          <w:w w:val="120"/>
        </w:rPr>
        <w:t> </w:t>
      </w:r>
      <w:r>
        <w:rPr>
          <w:color w:val="231F20"/>
          <w:w w:val="120"/>
        </w:rPr>
        <w:t>l’anxiété9.</w:t>
      </w:r>
    </w:p>
    <w:p>
      <w:pPr>
        <w:pStyle w:val="BodyText"/>
        <w:spacing w:line="307" w:lineRule="auto" w:before="79"/>
        <w:ind w:left="1220" w:right="104" w:firstLine="249"/>
        <w:jc w:val="both"/>
      </w:pPr>
      <w:r>
        <w:rPr>
          <w:color w:val="231F20"/>
          <w:w w:val="120"/>
        </w:rPr>
        <w:t>Herbert</w:t>
      </w:r>
      <w:r>
        <w:rPr>
          <w:color w:val="231F20"/>
          <w:spacing w:val="-1"/>
          <w:w w:val="120"/>
        </w:rPr>
        <w:t> </w:t>
      </w:r>
      <w:r>
        <w:rPr>
          <w:color w:val="231F20"/>
          <w:w w:val="120"/>
        </w:rPr>
        <w:t>Benson</w:t>
      </w:r>
      <w:r>
        <w:rPr>
          <w:color w:val="231F20"/>
          <w:spacing w:val="-1"/>
          <w:w w:val="120"/>
        </w:rPr>
        <w:t> </w:t>
      </w:r>
      <w:r>
        <w:rPr>
          <w:color w:val="231F20"/>
          <w:w w:val="120"/>
        </w:rPr>
        <w:t>a</w:t>
      </w:r>
      <w:r>
        <w:rPr>
          <w:color w:val="231F20"/>
          <w:spacing w:val="-1"/>
          <w:w w:val="120"/>
        </w:rPr>
        <w:t> </w:t>
      </w:r>
      <w:r>
        <w:rPr>
          <w:color w:val="231F20"/>
          <w:w w:val="120"/>
        </w:rPr>
        <w:t>mis</w:t>
      </w:r>
      <w:r>
        <w:rPr>
          <w:color w:val="231F20"/>
          <w:spacing w:val="-1"/>
          <w:w w:val="120"/>
        </w:rPr>
        <w:t> </w:t>
      </w:r>
      <w:r>
        <w:rPr>
          <w:color w:val="231F20"/>
          <w:w w:val="120"/>
        </w:rPr>
        <w:t>au</w:t>
      </w:r>
      <w:r>
        <w:rPr>
          <w:color w:val="231F20"/>
          <w:spacing w:val="-1"/>
          <w:w w:val="120"/>
        </w:rPr>
        <w:t> </w:t>
      </w:r>
      <w:r>
        <w:rPr>
          <w:color w:val="231F20"/>
          <w:w w:val="120"/>
        </w:rPr>
        <w:t>point</w:t>
      </w:r>
      <w:r>
        <w:rPr>
          <w:color w:val="231F20"/>
          <w:spacing w:val="-1"/>
          <w:w w:val="120"/>
        </w:rPr>
        <w:t> </w:t>
      </w:r>
      <w:r>
        <w:rPr>
          <w:color w:val="231F20"/>
          <w:w w:val="120"/>
        </w:rPr>
        <w:t>la</w:t>
      </w:r>
      <w:r>
        <w:rPr>
          <w:color w:val="231F20"/>
          <w:spacing w:val="-1"/>
          <w:w w:val="120"/>
        </w:rPr>
        <w:t> </w:t>
      </w:r>
      <w:r>
        <w:rPr>
          <w:color w:val="231F20"/>
          <w:w w:val="120"/>
        </w:rPr>
        <w:t>technique</w:t>
      </w:r>
      <w:r>
        <w:rPr>
          <w:color w:val="231F20"/>
          <w:spacing w:val="-1"/>
          <w:w w:val="120"/>
        </w:rPr>
        <w:t> </w:t>
      </w:r>
      <w:r>
        <w:rPr>
          <w:color w:val="231F20"/>
          <w:w w:val="120"/>
        </w:rPr>
        <w:t>de</w:t>
      </w:r>
      <w:r>
        <w:rPr>
          <w:color w:val="231F20"/>
          <w:spacing w:val="-3"/>
          <w:w w:val="120"/>
        </w:rPr>
        <w:t> </w:t>
      </w:r>
      <w:r>
        <w:rPr>
          <w:i/>
          <w:color w:val="231F20"/>
          <w:w w:val="120"/>
        </w:rPr>
        <w:t>réponse</w:t>
      </w:r>
      <w:r>
        <w:rPr>
          <w:i/>
          <w:color w:val="231F20"/>
          <w:spacing w:val="-1"/>
          <w:w w:val="120"/>
        </w:rPr>
        <w:t> </w:t>
      </w:r>
      <w:r>
        <w:rPr>
          <w:i/>
          <w:color w:val="231F20"/>
          <w:w w:val="120"/>
        </w:rPr>
        <w:t>à</w:t>
      </w:r>
      <w:r>
        <w:rPr>
          <w:i/>
          <w:color w:val="231F20"/>
          <w:spacing w:val="-1"/>
          <w:w w:val="120"/>
        </w:rPr>
        <w:t> </w:t>
      </w:r>
      <w:r>
        <w:rPr>
          <w:i/>
          <w:color w:val="231F20"/>
          <w:w w:val="120"/>
        </w:rPr>
        <w:t>la</w:t>
      </w:r>
      <w:r>
        <w:rPr>
          <w:i/>
          <w:color w:val="231F20"/>
          <w:spacing w:val="-1"/>
          <w:w w:val="120"/>
        </w:rPr>
        <w:t> </w:t>
      </w:r>
      <w:r>
        <w:rPr>
          <w:i/>
          <w:color w:val="231F20"/>
          <w:w w:val="120"/>
        </w:rPr>
        <w:t>relaxa- tion</w:t>
      </w:r>
      <w:r>
        <w:rPr>
          <w:color w:val="231F20"/>
          <w:w w:val="120"/>
        </w:rPr>
        <w:t>, qui facilite la compréhension et la mise en application des étapes fondamentales de la méditation10. Voici les étapes à suivre, tirées des enseignements de Benson, afin de pratiquer la méditation:</w:t>
      </w:r>
    </w:p>
    <w:p>
      <w:pPr>
        <w:pStyle w:val="ListParagraph"/>
        <w:numPr>
          <w:ilvl w:val="0"/>
          <w:numId w:val="83"/>
        </w:numPr>
        <w:tabs>
          <w:tab w:pos="1721" w:val="left" w:leader="none"/>
        </w:tabs>
        <w:spacing w:line="307" w:lineRule="auto" w:before="79" w:after="0"/>
        <w:ind w:left="1720" w:right="106" w:hanging="251"/>
        <w:jc w:val="both"/>
        <w:rPr>
          <w:sz w:val="17"/>
        </w:rPr>
      </w:pPr>
      <w:r>
        <w:rPr>
          <w:color w:val="231F20"/>
          <w:w w:val="120"/>
          <w:sz w:val="17"/>
        </w:rPr>
        <w:t>Choisissez</w:t>
      </w:r>
      <w:r>
        <w:rPr>
          <w:color w:val="231F20"/>
          <w:spacing w:val="-11"/>
          <w:w w:val="120"/>
          <w:sz w:val="17"/>
        </w:rPr>
        <w:t> </w:t>
      </w:r>
      <w:r>
        <w:rPr>
          <w:color w:val="231F20"/>
          <w:w w:val="120"/>
          <w:sz w:val="17"/>
        </w:rPr>
        <w:t>un point central</w:t>
      </w:r>
      <w:r>
        <w:rPr>
          <w:color w:val="231F20"/>
          <w:spacing w:val="-13"/>
          <w:w w:val="120"/>
          <w:sz w:val="17"/>
        </w:rPr>
        <w:t> </w:t>
      </w:r>
      <w:r>
        <w:rPr>
          <w:color w:val="231F20"/>
          <w:w w:val="120"/>
          <w:sz w:val="17"/>
        </w:rPr>
        <w:t>: un mot, une expression, une image fermement ancré dans votre système de croyances.</w:t>
      </w:r>
    </w:p>
    <w:p>
      <w:pPr>
        <w:pStyle w:val="ListParagraph"/>
        <w:numPr>
          <w:ilvl w:val="0"/>
          <w:numId w:val="83"/>
        </w:numPr>
        <w:tabs>
          <w:tab w:pos="1721" w:val="left" w:leader="none"/>
        </w:tabs>
        <w:spacing w:line="240" w:lineRule="auto" w:before="79" w:after="0"/>
        <w:ind w:left="1720" w:right="0" w:hanging="251"/>
        <w:jc w:val="both"/>
        <w:rPr>
          <w:sz w:val="17"/>
        </w:rPr>
      </w:pPr>
      <w:r>
        <w:rPr>
          <w:color w:val="231F20"/>
          <w:spacing w:val="-2"/>
          <w:w w:val="120"/>
          <w:sz w:val="17"/>
        </w:rPr>
        <w:t>Asseyez-vous</w:t>
      </w:r>
      <w:r>
        <w:rPr>
          <w:color w:val="231F20"/>
          <w:spacing w:val="2"/>
          <w:w w:val="120"/>
          <w:sz w:val="17"/>
        </w:rPr>
        <w:t> </w:t>
      </w:r>
      <w:r>
        <w:rPr>
          <w:color w:val="231F20"/>
          <w:spacing w:val="-2"/>
          <w:w w:val="120"/>
          <w:sz w:val="17"/>
        </w:rPr>
        <w:t>tranquillement</w:t>
      </w:r>
      <w:r>
        <w:rPr>
          <w:color w:val="231F20"/>
          <w:spacing w:val="3"/>
          <w:w w:val="120"/>
          <w:sz w:val="17"/>
        </w:rPr>
        <w:t> </w:t>
      </w:r>
      <w:r>
        <w:rPr>
          <w:color w:val="231F20"/>
          <w:spacing w:val="-2"/>
          <w:w w:val="120"/>
          <w:sz w:val="17"/>
        </w:rPr>
        <w:t>dans</w:t>
      </w:r>
      <w:r>
        <w:rPr>
          <w:color w:val="231F20"/>
          <w:spacing w:val="3"/>
          <w:w w:val="120"/>
          <w:sz w:val="17"/>
        </w:rPr>
        <w:t> </w:t>
      </w:r>
      <w:r>
        <w:rPr>
          <w:color w:val="231F20"/>
          <w:spacing w:val="-2"/>
          <w:w w:val="120"/>
          <w:sz w:val="17"/>
        </w:rPr>
        <w:t>une</w:t>
      </w:r>
      <w:r>
        <w:rPr>
          <w:color w:val="231F20"/>
          <w:spacing w:val="3"/>
          <w:w w:val="120"/>
          <w:sz w:val="17"/>
        </w:rPr>
        <w:t> </w:t>
      </w:r>
      <w:r>
        <w:rPr>
          <w:color w:val="231F20"/>
          <w:spacing w:val="-2"/>
          <w:w w:val="120"/>
          <w:sz w:val="17"/>
        </w:rPr>
        <w:t>position</w:t>
      </w:r>
      <w:r>
        <w:rPr>
          <w:color w:val="231F20"/>
          <w:spacing w:val="3"/>
          <w:w w:val="120"/>
          <w:sz w:val="17"/>
        </w:rPr>
        <w:t> </w:t>
      </w:r>
      <w:r>
        <w:rPr>
          <w:color w:val="231F20"/>
          <w:spacing w:val="-2"/>
          <w:w w:val="120"/>
          <w:sz w:val="17"/>
        </w:rPr>
        <w:t>confortable.</w:t>
      </w:r>
    </w:p>
    <w:p>
      <w:pPr>
        <w:pStyle w:val="ListParagraph"/>
        <w:numPr>
          <w:ilvl w:val="0"/>
          <w:numId w:val="83"/>
        </w:numPr>
        <w:tabs>
          <w:tab w:pos="1721" w:val="left" w:leader="none"/>
        </w:tabs>
        <w:spacing w:line="240" w:lineRule="auto" w:before="133" w:after="0"/>
        <w:ind w:left="1720" w:right="0" w:hanging="251"/>
        <w:jc w:val="both"/>
        <w:rPr>
          <w:sz w:val="17"/>
        </w:rPr>
      </w:pPr>
      <w:r>
        <w:rPr>
          <w:color w:val="231F20"/>
          <w:w w:val="115"/>
          <w:sz w:val="17"/>
        </w:rPr>
        <w:t>Fermez</w:t>
      </w:r>
      <w:r>
        <w:rPr>
          <w:color w:val="231F20"/>
          <w:spacing w:val="-4"/>
          <w:w w:val="115"/>
          <w:sz w:val="17"/>
        </w:rPr>
        <w:t> </w:t>
      </w:r>
      <w:r>
        <w:rPr>
          <w:color w:val="231F20"/>
          <w:w w:val="115"/>
          <w:sz w:val="17"/>
        </w:rPr>
        <w:t>les</w:t>
      </w:r>
      <w:r>
        <w:rPr>
          <w:color w:val="231F20"/>
          <w:spacing w:val="-4"/>
          <w:w w:val="115"/>
          <w:sz w:val="17"/>
        </w:rPr>
        <w:t> </w:t>
      </w:r>
      <w:r>
        <w:rPr>
          <w:color w:val="231F20"/>
          <w:spacing w:val="-2"/>
          <w:w w:val="115"/>
          <w:sz w:val="17"/>
        </w:rPr>
        <w:t>yeux.</w:t>
      </w:r>
    </w:p>
    <w:p>
      <w:pPr>
        <w:pStyle w:val="ListParagraph"/>
        <w:numPr>
          <w:ilvl w:val="0"/>
          <w:numId w:val="83"/>
        </w:numPr>
        <w:tabs>
          <w:tab w:pos="1721" w:val="left" w:leader="none"/>
        </w:tabs>
        <w:spacing w:line="307" w:lineRule="auto" w:before="134" w:after="0"/>
        <w:ind w:left="1720" w:right="107" w:hanging="251"/>
        <w:jc w:val="both"/>
        <w:rPr>
          <w:sz w:val="17"/>
        </w:rPr>
      </w:pPr>
      <w:r>
        <w:rPr>
          <w:color w:val="231F20"/>
          <w:w w:val="120"/>
          <w:sz w:val="17"/>
        </w:rPr>
        <w:t>Détendez</w:t>
      </w:r>
      <w:r>
        <w:rPr>
          <w:color w:val="231F20"/>
          <w:spacing w:val="-15"/>
          <w:w w:val="120"/>
          <w:sz w:val="17"/>
        </w:rPr>
        <w:t> </w:t>
      </w:r>
      <w:r>
        <w:rPr>
          <w:color w:val="231F20"/>
          <w:w w:val="120"/>
          <w:sz w:val="17"/>
        </w:rPr>
        <w:t>vos</w:t>
      </w:r>
      <w:r>
        <w:rPr>
          <w:color w:val="231F20"/>
          <w:spacing w:val="-13"/>
          <w:w w:val="120"/>
          <w:sz w:val="17"/>
        </w:rPr>
        <w:t> </w:t>
      </w:r>
      <w:r>
        <w:rPr>
          <w:color w:val="231F20"/>
          <w:w w:val="120"/>
          <w:sz w:val="17"/>
        </w:rPr>
        <w:t>muscles</w:t>
      </w:r>
      <w:r>
        <w:rPr>
          <w:color w:val="231F20"/>
          <w:spacing w:val="-13"/>
          <w:w w:val="120"/>
          <w:sz w:val="17"/>
        </w:rPr>
        <w:t> </w:t>
      </w:r>
      <w:r>
        <w:rPr>
          <w:color w:val="231F20"/>
          <w:w w:val="120"/>
          <w:sz w:val="17"/>
        </w:rPr>
        <w:t>progressivement:</w:t>
      </w:r>
      <w:r>
        <w:rPr>
          <w:color w:val="231F20"/>
          <w:spacing w:val="-12"/>
          <w:w w:val="120"/>
          <w:sz w:val="17"/>
        </w:rPr>
        <w:t> </w:t>
      </w:r>
      <w:r>
        <w:rPr>
          <w:color w:val="231F20"/>
          <w:w w:val="120"/>
          <w:sz w:val="17"/>
        </w:rPr>
        <w:t>les</w:t>
      </w:r>
      <w:r>
        <w:rPr>
          <w:color w:val="231F20"/>
          <w:spacing w:val="-13"/>
          <w:w w:val="120"/>
          <w:sz w:val="17"/>
        </w:rPr>
        <w:t> </w:t>
      </w:r>
      <w:r>
        <w:rPr>
          <w:color w:val="231F20"/>
          <w:w w:val="120"/>
          <w:sz w:val="17"/>
        </w:rPr>
        <w:t>pieds,</w:t>
      </w:r>
      <w:r>
        <w:rPr>
          <w:color w:val="231F20"/>
          <w:spacing w:val="-13"/>
          <w:w w:val="120"/>
          <w:sz w:val="17"/>
        </w:rPr>
        <w:t> </w:t>
      </w:r>
      <w:r>
        <w:rPr>
          <w:color w:val="231F20"/>
          <w:w w:val="120"/>
          <w:sz w:val="17"/>
        </w:rPr>
        <w:t>les</w:t>
      </w:r>
      <w:r>
        <w:rPr>
          <w:color w:val="231F20"/>
          <w:spacing w:val="-13"/>
          <w:w w:val="120"/>
          <w:sz w:val="17"/>
        </w:rPr>
        <w:t> </w:t>
      </w:r>
      <w:r>
        <w:rPr>
          <w:color w:val="231F20"/>
          <w:w w:val="120"/>
          <w:sz w:val="17"/>
        </w:rPr>
        <w:t>mollets,</w:t>
      </w:r>
      <w:r>
        <w:rPr>
          <w:color w:val="231F20"/>
          <w:spacing w:val="-12"/>
          <w:w w:val="120"/>
          <w:sz w:val="17"/>
        </w:rPr>
        <w:t> </w:t>
      </w:r>
      <w:r>
        <w:rPr>
          <w:color w:val="231F20"/>
          <w:w w:val="120"/>
          <w:sz w:val="17"/>
        </w:rPr>
        <w:t>les cuisses, l’abdomen, les épaules, la tête, le cou.</w:t>
      </w:r>
    </w:p>
    <w:p>
      <w:pPr>
        <w:pStyle w:val="ListParagraph"/>
        <w:numPr>
          <w:ilvl w:val="0"/>
          <w:numId w:val="83"/>
        </w:numPr>
        <w:tabs>
          <w:tab w:pos="1721" w:val="left" w:leader="none"/>
        </w:tabs>
        <w:spacing w:line="307" w:lineRule="auto" w:before="79" w:after="0"/>
        <w:ind w:left="1720" w:right="107" w:hanging="251"/>
        <w:jc w:val="both"/>
        <w:rPr>
          <w:sz w:val="17"/>
        </w:rPr>
      </w:pPr>
      <w:r>
        <w:rPr>
          <w:color w:val="231F20"/>
          <w:w w:val="120"/>
          <w:sz w:val="17"/>
        </w:rPr>
        <w:t>Respirez</w:t>
      </w:r>
      <w:r>
        <w:rPr>
          <w:color w:val="231F20"/>
          <w:spacing w:val="-15"/>
          <w:w w:val="120"/>
          <w:sz w:val="17"/>
        </w:rPr>
        <w:t> </w:t>
      </w:r>
      <w:r>
        <w:rPr>
          <w:color w:val="231F20"/>
          <w:w w:val="120"/>
          <w:sz w:val="17"/>
        </w:rPr>
        <w:t>lentement</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naturellement</w:t>
      </w:r>
      <w:r>
        <w:rPr>
          <w:color w:val="231F20"/>
          <w:spacing w:val="-12"/>
          <w:w w:val="120"/>
          <w:sz w:val="17"/>
        </w:rPr>
        <w:t> </w:t>
      </w:r>
      <w:r>
        <w:rPr>
          <w:color w:val="231F20"/>
          <w:w w:val="120"/>
          <w:sz w:val="17"/>
        </w:rPr>
        <w:t>;</w:t>
      </w:r>
      <w:r>
        <w:rPr>
          <w:color w:val="231F20"/>
          <w:spacing w:val="-13"/>
          <w:w w:val="120"/>
          <w:sz w:val="17"/>
        </w:rPr>
        <w:t> </w:t>
      </w:r>
      <w:r>
        <w:rPr>
          <w:color w:val="231F20"/>
          <w:w w:val="120"/>
          <w:sz w:val="17"/>
        </w:rPr>
        <w:t>en</w:t>
      </w:r>
      <w:r>
        <w:rPr>
          <w:color w:val="231F20"/>
          <w:spacing w:val="-13"/>
          <w:w w:val="120"/>
          <w:sz w:val="17"/>
        </w:rPr>
        <w:t> </w:t>
      </w:r>
      <w:r>
        <w:rPr>
          <w:color w:val="231F20"/>
          <w:w w:val="120"/>
          <w:sz w:val="17"/>
        </w:rPr>
        <w:t>expirant,</w:t>
      </w:r>
      <w:r>
        <w:rPr>
          <w:color w:val="231F20"/>
          <w:spacing w:val="-13"/>
          <w:w w:val="120"/>
          <w:sz w:val="17"/>
        </w:rPr>
        <w:t> </w:t>
      </w:r>
      <w:r>
        <w:rPr>
          <w:color w:val="231F20"/>
          <w:w w:val="120"/>
          <w:sz w:val="17"/>
        </w:rPr>
        <w:t>dites</w:t>
      </w:r>
      <w:r>
        <w:rPr>
          <w:color w:val="231F20"/>
          <w:spacing w:val="-12"/>
          <w:w w:val="120"/>
          <w:sz w:val="17"/>
        </w:rPr>
        <w:t> </w:t>
      </w:r>
      <w:r>
        <w:rPr>
          <w:color w:val="231F20"/>
          <w:w w:val="120"/>
          <w:sz w:val="17"/>
        </w:rPr>
        <w:t>silencieu- </w:t>
      </w:r>
      <w:r>
        <w:rPr>
          <w:color w:val="231F20"/>
          <w:spacing w:val="-2"/>
          <w:w w:val="120"/>
          <w:sz w:val="17"/>
        </w:rPr>
        <w:t>sement</w:t>
      </w:r>
      <w:r>
        <w:rPr>
          <w:color w:val="231F20"/>
          <w:spacing w:val="-15"/>
          <w:w w:val="120"/>
          <w:sz w:val="17"/>
        </w:rPr>
        <w:t> </w:t>
      </w:r>
      <w:r>
        <w:rPr>
          <w:color w:val="231F20"/>
          <w:spacing w:val="-2"/>
          <w:w w:val="120"/>
          <w:sz w:val="17"/>
        </w:rPr>
        <w:t>le</w:t>
      </w:r>
      <w:r>
        <w:rPr>
          <w:color w:val="231F20"/>
          <w:spacing w:val="-15"/>
          <w:w w:val="120"/>
          <w:sz w:val="17"/>
        </w:rPr>
        <w:t> </w:t>
      </w:r>
      <w:r>
        <w:rPr>
          <w:color w:val="231F20"/>
          <w:spacing w:val="-2"/>
          <w:w w:val="120"/>
          <w:sz w:val="17"/>
        </w:rPr>
        <w:t>mot,</w:t>
      </w:r>
      <w:r>
        <w:rPr>
          <w:color w:val="231F20"/>
          <w:spacing w:val="-15"/>
          <w:w w:val="120"/>
          <w:sz w:val="17"/>
        </w:rPr>
        <w:t> </w:t>
      </w:r>
      <w:r>
        <w:rPr>
          <w:color w:val="231F20"/>
          <w:spacing w:val="-2"/>
          <w:w w:val="120"/>
          <w:sz w:val="17"/>
        </w:rPr>
        <w:t>le</w:t>
      </w:r>
      <w:r>
        <w:rPr>
          <w:color w:val="231F20"/>
          <w:spacing w:val="-15"/>
          <w:w w:val="120"/>
          <w:sz w:val="17"/>
        </w:rPr>
        <w:t> </w:t>
      </w:r>
      <w:r>
        <w:rPr>
          <w:color w:val="231F20"/>
          <w:spacing w:val="-2"/>
          <w:w w:val="120"/>
          <w:sz w:val="17"/>
        </w:rPr>
        <w:t>son</w:t>
      </w:r>
      <w:r>
        <w:rPr>
          <w:color w:val="231F20"/>
          <w:spacing w:val="-15"/>
          <w:w w:val="120"/>
          <w:sz w:val="17"/>
        </w:rPr>
        <w:t> </w:t>
      </w:r>
      <w:r>
        <w:rPr>
          <w:color w:val="231F20"/>
          <w:spacing w:val="-2"/>
          <w:w w:val="120"/>
          <w:sz w:val="17"/>
        </w:rPr>
        <w:t>ou</w:t>
      </w:r>
      <w:r>
        <w:rPr>
          <w:color w:val="231F20"/>
          <w:spacing w:val="-15"/>
          <w:w w:val="120"/>
          <w:sz w:val="17"/>
        </w:rPr>
        <w:t> </w:t>
      </w:r>
      <w:r>
        <w:rPr>
          <w:color w:val="231F20"/>
          <w:spacing w:val="-2"/>
          <w:w w:val="120"/>
          <w:sz w:val="17"/>
        </w:rPr>
        <w:t>l’expression</w:t>
      </w:r>
      <w:r>
        <w:rPr>
          <w:color w:val="231F20"/>
          <w:spacing w:val="-15"/>
          <w:w w:val="120"/>
          <w:sz w:val="17"/>
        </w:rPr>
        <w:t> </w:t>
      </w:r>
      <w:r>
        <w:rPr>
          <w:color w:val="231F20"/>
          <w:spacing w:val="-2"/>
          <w:w w:val="120"/>
          <w:sz w:val="17"/>
        </w:rPr>
        <w:t>qui</w:t>
      </w:r>
      <w:r>
        <w:rPr>
          <w:color w:val="231F20"/>
          <w:spacing w:val="-15"/>
          <w:w w:val="120"/>
          <w:sz w:val="17"/>
        </w:rPr>
        <w:t> </w:t>
      </w:r>
      <w:r>
        <w:rPr>
          <w:color w:val="231F20"/>
          <w:spacing w:val="-2"/>
          <w:w w:val="120"/>
          <w:sz w:val="17"/>
        </w:rPr>
        <w:t>vous</w:t>
      </w:r>
      <w:r>
        <w:rPr>
          <w:color w:val="231F20"/>
          <w:spacing w:val="-15"/>
          <w:w w:val="120"/>
          <w:sz w:val="17"/>
        </w:rPr>
        <w:t> </w:t>
      </w:r>
      <w:r>
        <w:rPr>
          <w:color w:val="231F20"/>
          <w:spacing w:val="-2"/>
          <w:w w:val="120"/>
          <w:sz w:val="17"/>
        </w:rPr>
        <w:t>sert</w:t>
      </w:r>
      <w:r>
        <w:rPr>
          <w:color w:val="231F20"/>
          <w:spacing w:val="-15"/>
          <w:w w:val="120"/>
          <w:sz w:val="17"/>
        </w:rPr>
        <w:t> </w:t>
      </w:r>
      <w:r>
        <w:rPr>
          <w:color w:val="231F20"/>
          <w:spacing w:val="-2"/>
          <w:w w:val="120"/>
          <w:sz w:val="17"/>
        </w:rPr>
        <w:t>de</w:t>
      </w:r>
      <w:r>
        <w:rPr>
          <w:color w:val="231F20"/>
          <w:spacing w:val="-15"/>
          <w:w w:val="120"/>
          <w:sz w:val="17"/>
        </w:rPr>
        <w:t> </w:t>
      </w:r>
      <w:r>
        <w:rPr>
          <w:color w:val="231F20"/>
          <w:spacing w:val="-2"/>
          <w:w w:val="120"/>
          <w:sz w:val="17"/>
        </w:rPr>
        <w:t>point</w:t>
      </w:r>
      <w:r>
        <w:rPr>
          <w:color w:val="231F20"/>
          <w:spacing w:val="-15"/>
          <w:w w:val="120"/>
          <w:sz w:val="17"/>
        </w:rPr>
        <w:t> </w:t>
      </w:r>
      <w:r>
        <w:rPr>
          <w:color w:val="231F20"/>
          <w:spacing w:val="-2"/>
          <w:w w:val="120"/>
          <w:sz w:val="17"/>
        </w:rPr>
        <w:t>central.</w:t>
      </w:r>
    </w:p>
    <w:p>
      <w:pPr>
        <w:pStyle w:val="ListParagraph"/>
        <w:numPr>
          <w:ilvl w:val="0"/>
          <w:numId w:val="83"/>
        </w:numPr>
        <w:tabs>
          <w:tab w:pos="1721" w:val="left" w:leader="none"/>
        </w:tabs>
        <w:spacing w:line="307" w:lineRule="auto" w:before="79" w:after="0"/>
        <w:ind w:left="1720" w:right="105" w:hanging="251"/>
        <w:jc w:val="both"/>
        <w:rPr>
          <w:sz w:val="17"/>
        </w:rPr>
      </w:pPr>
      <w:r>
        <w:rPr>
          <w:color w:val="231F20"/>
          <w:w w:val="120"/>
          <w:sz w:val="17"/>
        </w:rPr>
        <w:t>Adoptez une attitude passive. Ne vous inquiétez pas de votre niveau de réussite. Lorsque d’autres pensées vous viennent à </w:t>
      </w:r>
      <w:r>
        <w:rPr>
          <w:color w:val="231F20"/>
          <w:w w:val="115"/>
          <w:sz w:val="17"/>
        </w:rPr>
        <w:t>l’esprit,</w:t>
      </w:r>
      <w:r>
        <w:rPr>
          <w:color w:val="231F20"/>
          <w:spacing w:val="-13"/>
          <w:w w:val="115"/>
          <w:sz w:val="17"/>
        </w:rPr>
        <w:t> </w:t>
      </w:r>
      <w:r>
        <w:rPr>
          <w:color w:val="231F20"/>
          <w:w w:val="115"/>
          <w:sz w:val="17"/>
        </w:rPr>
        <w:t>dites-vous</w:t>
      </w:r>
      <w:r>
        <w:rPr>
          <w:color w:val="231F20"/>
          <w:spacing w:val="-12"/>
          <w:w w:val="115"/>
          <w:sz w:val="17"/>
        </w:rPr>
        <w:t> </w:t>
      </w:r>
      <w:r>
        <w:rPr>
          <w:color w:val="231F20"/>
          <w:w w:val="115"/>
          <w:sz w:val="17"/>
        </w:rPr>
        <w:t>simplement</w:t>
      </w:r>
      <w:r>
        <w:rPr>
          <w:color w:val="231F20"/>
          <w:spacing w:val="-12"/>
          <w:w w:val="115"/>
          <w:sz w:val="17"/>
        </w:rPr>
        <w:t> </w:t>
      </w:r>
      <w:r>
        <w:rPr>
          <w:color w:val="231F20"/>
          <w:w w:val="115"/>
          <w:sz w:val="17"/>
        </w:rPr>
        <w:t>«</w:t>
      </w:r>
      <w:r>
        <w:rPr>
          <w:color w:val="231F20"/>
          <w:spacing w:val="-12"/>
          <w:w w:val="115"/>
          <w:sz w:val="17"/>
        </w:rPr>
        <w:t> </w:t>
      </w:r>
      <w:r>
        <w:rPr>
          <w:i/>
          <w:color w:val="231F20"/>
          <w:w w:val="115"/>
          <w:sz w:val="17"/>
        </w:rPr>
        <w:t>Ah</w:t>
      </w:r>
      <w:r>
        <w:rPr>
          <w:i/>
          <w:color w:val="231F20"/>
          <w:spacing w:val="-13"/>
          <w:w w:val="115"/>
          <w:sz w:val="17"/>
        </w:rPr>
        <w:t> </w:t>
      </w:r>
      <w:r>
        <w:rPr>
          <w:i/>
          <w:color w:val="231F20"/>
          <w:w w:val="115"/>
          <w:sz w:val="17"/>
        </w:rPr>
        <w:t>bon</w:t>
      </w:r>
      <w:r>
        <w:rPr>
          <w:i/>
          <w:color w:val="231F20"/>
          <w:spacing w:val="-12"/>
          <w:w w:val="115"/>
          <w:sz w:val="17"/>
        </w:rPr>
        <w:t> </w:t>
      </w:r>
      <w:r>
        <w:rPr>
          <w:color w:val="231F20"/>
          <w:w w:val="115"/>
          <w:sz w:val="17"/>
        </w:rPr>
        <w:t>»,</w:t>
      </w:r>
      <w:r>
        <w:rPr>
          <w:color w:val="231F20"/>
          <w:spacing w:val="-8"/>
          <w:w w:val="115"/>
          <w:sz w:val="17"/>
        </w:rPr>
        <w:t> </w:t>
      </w:r>
      <w:r>
        <w:rPr>
          <w:color w:val="231F20"/>
          <w:w w:val="115"/>
          <w:sz w:val="17"/>
        </w:rPr>
        <w:t>puis</w:t>
      </w:r>
      <w:r>
        <w:rPr>
          <w:color w:val="231F20"/>
          <w:spacing w:val="-4"/>
          <w:w w:val="115"/>
          <w:sz w:val="17"/>
        </w:rPr>
        <w:t> </w:t>
      </w:r>
      <w:r>
        <w:rPr>
          <w:color w:val="231F20"/>
          <w:w w:val="115"/>
          <w:sz w:val="17"/>
        </w:rPr>
        <w:t>revenez</w:t>
      </w:r>
      <w:r>
        <w:rPr>
          <w:color w:val="231F20"/>
          <w:spacing w:val="-4"/>
          <w:w w:val="115"/>
          <w:sz w:val="17"/>
        </w:rPr>
        <w:t> </w:t>
      </w:r>
      <w:r>
        <w:rPr>
          <w:color w:val="231F20"/>
          <w:w w:val="115"/>
          <w:sz w:val="17"/>
        </w:rPr>
        <w:t>doucement </w:t>
      </w:r>
      <w:r>
        <w:rPr>
          <w:color w:val="231F20"/>
          <w:w w:val="120"/>
          <w:sz w:val="17"/>
        </w:rPr>
        <w:t>à votre répétition.</w:t>
      </w:r>
    </w:p>
    <w:p>
      <w:pPr>
        <w:pStyle w:val="ListParagraph"/>
        <w:numPr>
          <w:ilvl w:val="0"/>
          <w:numId w:val="83"/>
        </w:numPr>
        <w:tabs>
          <w:tab w:pos="1721" w:val="left" w:leader="none"/>
        </w:tabs>
        <w:spacing w:line="240" w:lineRule="auto" w:before="78" w:after="0"/>
        <w:ind w:left="1720" w:right="0" w:hanging="251"/>
        <w:jc w:val="both"/>
        <w:rPr>
          <w:sz w:val="17"/>
        </w:rPr>
      </w:pPr>
      <w:r>
        <w:rPr>
          <w:color w:val="231F20"/>
          <w:w w:val="120"/>
          <w:sz w:val="17"/>
        </w:rPr>
        <w:t>Continuez</w:t>
      </w:r>
      <w:r>
        <w:rPr>
          <w:color w:val="231F20"/>
          <w:spacing w:val="-13"/>
          <w:w w:val="120"/>
          <w:sz w:val="17"/>
        </w:rPr>
        <w:t> </w:t>
      </w:r>
      <w:r>
        <w:rPr>
          <w:color w:val="231F20"/>
          <w:w w:val="120"/>
          <w:sz w:val="17"/>
        </w:rPr>
        <w:t>ainsi</w:t>
      </w:r>
      <w:r>
        <w:rPr>
          <w:color w:val="231F20"/>
          <w:spacing w:val="-13"/>
          <w:w w:val="120"/>
          <w:sz w:val="17"/>
        </w:rPr>
        <w:t> </w:t>
      </w:r>
      <w:r>
        <w:rPr>
          <w:color w:val="231F20"/>
          <w:w w:val="120"/>
          <w:sz w:val="17"/>
        </w:rPr>
        <w:t>pendant</w:t>
      </w:r>
      <w:r>
        <w:rPr>
          <w:color w:val="231F20"/>
          <w:spacing w:val="-13"/>
          <w:w w:val="120"/>
          <w:sz w:val="17"/>
        </w:rPr>
        <w:t> </w:t>
      </w:r>
      <w:r>
        <w:rPr>
          <w:color w:val="231F20"/>
          <w:w w:val="120"/>
          <w:sz w:val="17"/>
        </w:rPr>
        <w:t>10</w:t>
      </w:r>
      <w:r>
        <w:rPr>
          <w:color w:val="231F20"/>
          <w:spacing w:val="-12"/>
          <w:w w:val="120"/>
          <w:sz w:val="17"/>
        </w:rPr>
        <w:t> </w:t>
      </w:r>
      <w:r>
        <w:rPr>
          <w:color w:val="231F20"/>
          <w:w w:val="120"/>
          <w:sz w:val="17"/>
        </w:rPr>
        <w:t>à</w:t>
      </w:r>
      <w:r>
        <w:rPr>
          <w:color w:val="231F20"/>
          <w:spacing w:val="-13"/>
          <w:w w:val="120"/>
          <w:sz w:val="17"/>
        </w:rPr>
        <w:t> </w:t>
      </w:r>
      <w:r>
        <w:rPr>
          <w:color w:val="231F20"/>
          <w:w w:val="120"/>
          <w:sz w:val="17"/>
        </w:rPr>
        <w:t>20</w:t>
      </w:r>
      <w:r>
        <w:rPr>
          <w:color w:val="231F20"/>
          <w:spacing w:val="-13"/>
          <w:w w:val="120"/>
          <w:sz w:val="17"/>
        </w:rPr>
        <w:t> </w:t>
      </w:r>
      <w:r>
        <w:rPr>
          <w:color w:val="231F20"/>
          <w:spacing w:val="-2"/>
          <w:w w:val="120"/>
          <w:sz w:val="17"/>
        </w:rPr>
        <w:t>minutes.</w:t>
      </w:r>
    </w:p>
    <w:p>
      <w:pPr>
        <w:pStyle w:val="ListParagraph"/>
        <w:numPr>
          <w:ilvl w:val="0"/>
          <w:numId w:val="83"/>
        </w:numPr>
        <w:tabs>
          <w:tab w:pos="1721" w:val="left" w:leader="none"/>
        </w:tabs>
        <w:spacing w:line="307" w:lineRule="auto" w:before="134" w:after="0"/>
        <w:ind w:left="1720" w:right="105" w:hanging="251"/>
        <w:jc w:val="both"/>
        <w:rPr>
          <w:sz w:val="17"/>
        </w:rPr>
      </w:pPr>
      <w:r>
        <w:rPr>
          <w:color w:val="231F20"/>
          <w:w w:val="115"/>
          <w:sz w:val="17"/>
        </w:rPr>
        <w:t>En</w:t>
      </w:r>
      <w:r>
        <w:rPr>
          <w:color w:val="231F20"/>
          <w:spacing w:val="-1"/>
          <w:w w:val="115"/>
          <w:sz w:val="17"/>
        </w:rPr>
        <w:t> </w:t>
      </w:r>
      <w:r>
        <w:rPr>
          <w:color w:val="231F20"/>
          <w:w w:val="115"/>
          <w:sz w:val="17"/>
        </w:rPr>
        <w:t>terminant,</w:t>
      </w:r>
      <w:r>
        <w:rPr>
          <w:color w:val="231F20"/>
          <w:spacing w:val="-1"/>
          <w:w w:val="115"/>
          <w:sz w:val="17"/>
        </w:rPr>
        <w:t> </w:t>
      </w:r>
      <w:r>
        <w:rPr>
          <w:color w:val="231F20"/>
          <w:w w:val="115"/>
          <w:sz w:val="17"/>
        </w:rPr>
        <w:t>ne</w:t>
      </w:r>
      <w:r>
        <w:rPr>
          <w:color w:val="231F20"/>
          <w:spacing w:val="-1"/>
          <w:w w:val="115"/>
          <w:sz w:val="17"/>
        </w:rPr>
        <w:t> </w:t>
      </w:r>
      <w:r>
        <w:rPr>
          <w:color w:val="231F20"/>
          <w:w w:val="115"/>
          <w:sz w:val="17"/>
        </w:rPr>
        <w:t>vous</w:t>
      </w:r>
      <w:r>
        <w:rPr>
          <w:color w:val="231F20"/>
          <w:spacing w:val="-1"/>
          <w:w w:val="115"/>
          <w:sz w:val="17"/>
        </w:rPr>
        <w:t> </w:t>
      </w:r>
      <w:r>
        <w:rPr>
          <w:color w:val="231F20"/>
          <w:w w:val="115"/>
          <w:sz w:val="17"/>
        </w:rPr>
        <w:t>levez</w:t>
      </w:r>
      <w:r>
        <w:rPr>
          <w:color w:val="231F20"/>
          <w:spacing w:val="-1"/>
          <w:w w:val="115"/>
          <w:sz w:val="17"/>
        </w:rPr>
        <w:t> </w:t>
      </w:r>
      <w:r>
        <w:rPr>
          <w:color w:val="231F20"/>
          <w:w w:val="115"/>
          <w:sz w:val="17"/>
        </w:rPr>
        <w:t>pas</w:t>
      </w:r>
      <w:r>
        <w:rPr>
          <w:color w:val="231F20"/>
          <w:spacing w:val="-1"/>
          <w:w w:val="115"/>
          <w:sz w:val="17"/>
        </w:rPr>
        <w:t> </w:t>
      </w:r>
      <w:r>
        <w:rPr>
          <w:color w:val="231F20"/>
          <w:w w:val="115"/>
          <w:sz w:val="17"/>
        </w:rPr>
        <w:t>immédiatement.</w:t>
      </w:r>
      <w:r>
        <w:rPr>
          <w:color w:val="231F20"/>
          <w:spacing w:val="-1"/>
          <w:w w:val="115"/>
          <w:sz w:val="17"/>
        </w:rPr>
        <w:t> </w:t>
      </w:r>
      <w:r>
        <w:rPr>
          <w:color w:val="231F20"/>
          <w:w w:val="115"/>
          <w:sz w:val="17"/>
        </w:rPr>
        <w:t>Demeurez</w:t>
      </w:r>
      <w:r>
        <w:rPr>
          <w:color w:val="231F20"/>
          <w:spacing w:val="-1"/>
          <w:w w:val="115"/>
          <w:sz w:val="17"/>
        </w:rPr>
        <w:t> </w:t>
      </w:r>
      <w:r>
        <w:rPr>
          <w:color w:val="231F20"/>
          <w:w w:val="115"/>
          <w:sz w:val="17"/>
        </w:rPr>
        <w:t>immo- </w:t>
      </w:r>
      <w:r>
        <w:rPr>
          <w:color w:val="231F20"/>
          <w:spacing w:val="-2"/>
          <w:w w:val="120"/>
          <w:sz w:val="17"/>
        </w:rPr>
        <w:t>bile,</w:t>
      </w:r>
      <w:r>
        <w:rPr>
          <w:color w:val="231F20"/>
          <w:spacing w:val="-5"/>
          <w:w w:val="120"/>
          <w:sz w:val="17"/>
        </w:rPr>
        <w:t> </w:t>
      </w:r>
      <w:r>
        <w:rPr>
          <w:color w:val="231F20"/>
          <w:spacing w:val="-2"/>
          <w:w w:val="120"/>
          <w:sz w:val="17"/>
        </w:rPr>
        <w:t>en</w:t>
      </w:r>
      <w:r>
        <w:rPr>
          <w:color w:val="231F20"/>
          <w:spacing w:val="-5"/>
          <w:w w:val="120"/>
          <w:sz w:val="17"/>
        </w:rPr>
        <w:t> </w:t>
      </w:r>
      <w:r>
        <w:rPr>
          <w:color w:val="231F20"/>
          <w:spacing w:val="-2"/>
          <w:w w:val="120"/>
          <w:sz w:val="17"/>
        </w:rPr>
        <w:t>position</w:t>
      </w:r>
      <w:r>
        <w:rPr>
          <w:color w:val="231F20"/>
          <w:spacing w:val="-5"/>
          <w:w w:val="120"/>
          <w:sz w:val="17"/>
        </w:rPr>
        <w:t> </w:t>
      </w:r>
      <w:r>
        <w:rPr>
          <w:color w:val="231F20"/>
          <w:spacing w:val="-2"/>
          <w:w w:val="120"/>
          <w:sz w:val="17"/>
        </w:rPr>
        <w:t>assise,</w:t>
      </w:r>
      <w:r>
        <w:rPr>
          <w:color w:val="231F20"/>
          <w:spacing w:val="-5"/>
          <w:w w:val="120"/>
          <w:sz w:val="17"/>
        </w:rPr>
        <w:t> </w:t>
      </w:r>
      <w:r>
        <w:rPr>
          <w:color w:val="231F20"/>
          <w:spacing w:val="-2"/>
          <w:w w:val="120"/>
          <w:sz w:val="17"/>
        </w:rPr>
        <w:t>pour</w:t>
      </w:r>
      <w:r>
        <w:rPr>
          <w:color w:val="231F20"/>
          <w:spacing w:val="-5"/>
          <w:w w:val="120"/>
          <w:sz w:val="17"/>
        </w:rPr>
        <w:t> </w:t>
      </w:r>
      <w:r>
        <w:rPr>
          <w:color w:val="231F20"/>
          <w:spacing w:val="-2"/>
          <w:w w:val="120"/>
          <w:sz w:val="17"/>
        </w:rPr>
        <w:t>une</w:t>
      </w:r>
      <w:r>
        <w:rPr>
          <w:color w:val="231F20"/>
          <w:spacing w:val="-5"/>
          <w:w w:val="120"/>
          <w:sz w:val="17"/>
        </w:rPr>
        <w:t> </w:t>
      </w:r>
      <w:r>
        <w:rPr>
          <w:color w:val="231F20"/>
          <w:spacing w:val="-2"/>
          <w:w w:val="120"/>
          <w:sz w:val="17"/>
        </w:rPr>
        <w:t>minute</w:t>
      </w:r>
      <w:r>
        <w:rPr>
          <w:color w:val="231F20"/>
          <w:spacing w:val="-5"/>
          <w:w w:val="120"/>
          <w:sz w:val="17"/>
        </w:rPr>
        <w:t> </w:t>
      </w:r>
      <w:r>
        <w:rPr>
          <w:color w:val="231F20"/>
          <w:spacing w:val="-2"/>
          <w:w w:val="120"/>
          <w:sz w:val="17"/>
        </w:rPr>
        <w:t>environ,</w:t>
      </w:r>
      <w:r>
        <w:rPr>
          <w:color w:val="231F20"/>
          <w:spacing w:val="-5"/>
          <w:w w:val="120"/>
          <w:sz w:val="17"/>
        </w:rPr>
        <w:t> </w:t>
      </w:r>
      <w:r>
        <w:rPr>
          <w:color w:val="231F20"/>
          <w:spacing w:val="-2"/>
          <w:w w:val="120"/>
          <w:sz w:val="17"/>
        </w:rPr>
        <w:t>en</w:t>
      </w:r>
      <w:r>
        <w:rPr>
          <w:color w:val="231F20"/>
          <w:spacing w:val="-5"/>
          <w:w w:val="120"/>
          <w:sz w:val="17"/>
        </w:rPr>
        <w:t> </w:t>
      </w:r>
      <w:r>
        <w:rPr>
          <w:color w:val="231F20"/>
          <w:spacing w:val="-2"/>
          <w:w w:val="120"/>
          <w:sz w:val="17"/>
        </w:rPr>
        <w:t>laissant</w:t>
      </w:r>
      <w:r>
        <w:rPr>
          <w:color w:val="231F20"/>
          <w:spacing w:val="-5"/>
          <w:w w:val="120"/>
          <w:sz w:val="17"/>
        </w:rPr>
        <w:t> </w:t>
      </w:r>
      <w:r>
        <w:rPr>
          <w:color w:val="231F20"/>
          <w:spacing w:val="-2"/>
          <w:w w:val="120"/>
          <w:sz w:val="17"/>
        </w:rPr>
        <w:t>reve- nir</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autres</w:t>
      </w:r>
      <w:r>
        <w:rPr>
          <w:color w:val="231F20"/>
          <w:spacing w:val="-9"/>
          <w:w w:val="120"/>
          <w:sz w:val="17"/>
        </w:rPr>
        <w:t> </w:t>
      </w:r>
      <w:r>
        <w:rPr>
          <w:color w:val="231F20"/>
          <w:spacing w:val="-2"/>
          <w:w w:val="120"/>
          <w:sz w:val="17"/>
        </w:rPr>
        <w:t>pensées.</w:t>
      </w:r>
      <w:r>
        <w:rPr>
          <w:color w:val="231F20"/>
          <w:spacing w:val="-9"/>
          <w:w w:val="120"/>
          <w:sz w:val="17"/>
        </w:rPr>
        <w:t> </w:t>
      </w:r>
      <w:r>
        <w:rPr>
          <w:color w:val="231F20"/>
          <w:spacing w:val="-2"/>
          <w:w w:val="120"/>
          <w:sz w:val="17"/>
        </w:rPr>
        <w:t>Puis</w:t>
      </w:r>
      <w:r>
        <w:rPr>
          <w:color w:val="231F20"/>
          <w:spacing w:val="-9"/>
          <w:w w:val="120"/>
          <w:sz w:val="17"/>
        </w:rPr>
        <w:t> </w:t>
      </w:r>
      <w:r>
        <w:rPr>
          <w:color w:val="231F20"/>
          <w:spacing w:val="-2"/>
          <w:w w:val="120"/>
          <w:sz w:val="17"/>
        </w:rPr>
        <w:t>ouvrez</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yeux</w:t>
      </w:r>
      <w:r>
        <w:rPr>
          <w:color w:val="231F20"/>
          <w:spacing w:val="-9"/>
          <w:w w:val="120"/>
          <w:sz w:val="17"/>
        </w:rPr>
        <w:t> </w:t>
      </w:r>
      <w:r>
        <w:rPr>
          <w:color w:val="231F20"/>
          <w:spacing w:val="-2"/>
          <w:w w:val="120"/>
          <w:sz w:val="17"/>
        </w:rPr>
        <w:t>et</w:t>
      </w:r>
      <w:r>
        <w:rPr>
          <w:color w:val="231F20"/>
          <w:spacing w:val="-9"/>
          <w:w w:val="120"/>
          <w:sz w:val="17"/>
        </w:rPr>
        <w:t> </w:t>
      </w:r>
      <w:r>
        <w:rPr>
          <w:color w:val="231F20"/>
          <w:spacing w:val="-2"/>
          <w:w w:val="120"/>
          <w:sz w:val="17"/>
        </w:rPr>
        <w:t>restez</w:t>
      </w:r>
      <w:r>
        <w:rPr>
          <w:color w:val="231F20"/>
          <w:spacing w:val="-9"/>
          <w:w w:val="120"/>
          <w:sz w:val="17"/>
        </w:rPr>
        <w:t> </w:t>
      </w:r>
      <w:r>
        <w:rPr>
          <w:color w:val="231F20"/>
          <w:spacing w:val="-2"/>
          <w:w w:val="120"/>
          <w:sz w:val="17"/>
        </w:rPr>
        <w:t>immobile</w:t>
      </w:r>
      <w:r>
        <w:rPr>
          <w:color w:val="231F20"/>
          <w:spacing w:val="-9"/>
          <w:w w:val="120"/>
          <w:sz w:val="17"/>
        </w:rPr>
        <w:t> </w:t>
      </w:r>
      <w:r>
        <w:rPr>
          <w:color w:val="231F20"/>
          <w:spacing w:val="-2"/>
          <w:w w:val="120"/>
          <w:sz w:val="17"/>
        </w:rPr>
        <w:t>une </w:t>
      </w:r>
      <w:r>
        <w:rPr>
          <w:color w:val="231F20"/>
          <w:w w:val="125"/>
          <w:sz w:val="17"/>
        </w:rPr>
        <w:t>minute</w:t>
      </w:r>
      <w:r>
        <w:rPr>
          <w:color w:val="231F20"/>
          <w:spacing w:val="-2"/>
          <w:w w:val="125"/>
          <w:sz w:val="17"/>
        </w:rPr>
        <w:t> </w:t>
      </w:r>
      <w:r>
        <w:rPr>
          <w:color w:val="231F20"/>
          <w:w w:val="125"/>
          <w:sz w:val="17"/>
        </w:rPr>
        <w:t>de</w:t>
      </w:r>
      <w:r>
        <w:rPr>
          <w:color w:val="231F20"/>
          <w:spacing w:val="-2"/>
          <w:w w:val="125"/>
          <w:sz w:val="17"/>
        </w:rPr>
        <w:t> </w:t>
      </w:r>
      <w:r>
        <w:rPr>
          <w:color w:val="231F20"/>
          <w:w w:val="125"/>
          <w:sz w:val="17"/>
        </w:rPr>
        <w:t>plus</w:t>
      </w:r>
      <w:r>
        <w:rPr>
          <w:color w:val="231F20"/>
          <w:spacing w:val="-2"/>
          <w:w w:val="125"/>
          <w:sz w:val="17"/>
        </w:rPr>
        <w:t> </w:t>
      </w:r>
      <w:r>
        <w:rPr>
          <w:color w:val="231F20"/>
          <w:w w:val="125"/>
          <w:sz w:val="17"/>
        </w:rPr>
        <w:t>avant</w:t>
      </w:r>
      <w:r>
        <w:rPr>
          <w:color w:val="231F20"/>
          <w:spacing w:val="-2"/>
          <w:w w:val="125"/>
          <w:sz w:val="17"/>
        </w:rPr>
        <w:t> </w:t>
      </w:r>
      <w:r>
        <w:rPr>
          <w:color w:val="231F20"/>
          <w:w w:val="125"/>
          <w:sz w:val="17"/>
        </w:rPr>
        <w:t>de</w:t>
      </w:r>
      <w:r>
        <w:rPr>
          <w:color w:val="231F20"/>
          <w:spacing w:val="-2"/>
          <w:w w:val="125"/>
          <w:sz w:val="17"/>
        </w:rPr>
        <w:t> </w:t>
      </w:r>
      <w:r>
        <w:rPr>
          <w:color w:val="231F20"/>
          <w:w w:val="125"/>
          <w:sz w:val="17"/>
        </w:rPr>
        <w:t>vous</w:t>
      </w:r>
      <w:r>
        <w:rPr>
          <w:color w:val="231F20"/>
          <w:spacing w:val="-2"/>
          <w:w w:val="125"/>
          <w:sz w:val="17"/>
        </w:rPr>
        <w:t> </w:t>
      </w:r>
      <w:r>
        <w:rPr>
          <w:color w:val="231F20"/>
          <w:w w:val="125"/>
          <w:sz w:val="17"/>
        </w:rPr>
        <w:t>lever.</w:t>
      </w:r>
    </w:p>
    <w:p>
      <w:pPr>
        <w:pStyle w:val="ListParagraph"/>
        <w:numPr>
          <w:ilvl w:val="0"/>
          <w:numId w:val="83"/>
        </w:numPr>
        <w:tabs>
          <w:tab w:pos="1721" w:val="left" w:leader="none"/>
        </w:tabs>
        <w:spacing w:line="307" w:lineRule="auto" w:before="79" w:after="0"/>
        <w:ind w:left="1720" w:right="106" w:hanging="251"/>
        <w:jc w:val="both"/>
        <w:rPr>
          <w:sz w:val="17"/>
        </w:rPr>
      </w:pPr>
      <w:r>
        <w:rPr>
          <w:color w:val="231F20"/>
          <w:spacing w:val="-2"/>
          <w:w w:val="120"/>
          <w:sz w:val="17"/>
        </w:rPr>
        <w:t>Pratiquez</w:t>
      </w:r>
      <w:r>
        <w:rPr>
          <w:color w:val="231F20"/>
          <w:spacing w:val="-13"/>
          <w:w w:val="120"/>
          <w:sz w:val="17"/>
        </w:rPr>
        <w:t> </w:t>
      </w:r>
      <w:r>
        <w:rPr>
          <w:color w:val="231F20"/>
          <w:spacing w:val="-2"/>
          <w:w w:val="120"/>
          <w:sz w:val="17"/>
        </w:rPr>
        <w:t>cette</w:t>
      </w:r>
      <w:r>
        <w:rPr>
          <w:color w:val="231F20"/>
          <w:spacing w:val="-11"/>
          <w:w w:val="120"/>
          <w:sz w:val="17"/>
        </w:rPr>
        <w:t> </w:t>
      </w:r>
      <w:r>
        <w:rPr>
          <w:color w:val="231F20"/>
          <w:spacing w:val="-2"/>
          <w:w w:val="120"/>
          <w:sz w:val="17"/>
        </w:rPr>
        <w:t>technique</w:t>
      </w:r>
      <w:r>
        <w:rPr>
          <w:color w:val="231F20"/>
          <w:spacing w:val="-11"/>
          <w:w w:val="120"/>
          <w:sz w:val="17"/>
        </w:rPr>
        <w:t> </w:t>
      </w:r>
      <w:r>
        <w:rPr>
          <w:color w:val="231F20"/>
          <w:spacing w:val="-2"/>
          <w:w w:val="120"/>
          <w:sz w:val="17"/>
        </w:rPr>
        <w:t>une</w:t>
      </w:r>
      <w:r>
        <w:rPr>
          <w:color w:val="231F20"/>
          <w:spacing w:val="-10"/>
          <w:w w:val="120"/>
          <w:sz w:val="17"/>
        </w:rPr>
        <w:t> </w:t>
      </w:r>
      <w:r>
        <w:rPr>
          <w:color w:val="231F20"/>
          <w:spacing w:val="-2"/>
          <w:w w:val="120"/>
          <w:sz w:val="17"/>
        </w:rPr>
        <w:t>ou</w:t>
      </w:r>
      <w:r>
        <w:rPr>
          <w:color w:val="231F20"/>
          <w:spacing w:val="-11"/>
          <w:w w:val="120"/>
          <w:sz w:val="17"/>
        </w:rPr>
        <w:t> </w:t>
      </w:r>
      <w:r>
        <w:rPr>
          <w:color w:val="231F20"/>
          <w:spacing w:val="-2"/>
          <w:w w:val="120"/>
          <w:sz w:val="17"/>
        </w:rPr>
        <w:t>deux</w:t>
      </w:r>
      <w:r>
        <w:rPr>
          <w:color w:val="231F20"/>
          <w:spacing w:val="-11"/>
          <w:w w:val="120"/>
          <w:sz w:val="17"/>
        </w:rPr>
        <w:t> </w:t>
      </w:r>
      <w:r>
        <w:rPr>
          <w:color w:val="231F20"/>
          <w:spacing w:val="-2"/>
          <w:w w:val="120"/>
          <w:sz w:val="17"/>
        </w:rPr>
        <w:t>fois</w:t>
      </w:r>
      <w:r>
        <w:rPr>
          <w:color w:val="231F20"/>
          <w:spacing w:val="-11"/>
          <w:w w:val="120"/>
          <w:sz w:val="17"/>
        </w:rPr>
        <w:t> </w:t>
      </w:r>
      <w:r>
        <w:rPr>
          <w:color w:val="231F20"/>
          <w:spacing w:val="-2"/>
          <w:w w:val="120"/>
          <w:sz w:val="17"/>
        </w:rPr>
        <w:t>par</w:t>
      </w:r>
      <w:r>
        <w:rPr>
          <w:color w:val="231F20"/>
          <w:spacing w:val="-10"/>
          <w:w w:val="120"/>
          <w:sz w:val="17"/>
        </w:rPr>
        <w:t> </w:t>
      </w:r>
      <w:r>
        <w:rPr>
          <w:color w:val="231F20"/>
          <w:spacing w:val="-2"/>
          <w:w w:val="120"/>
          <w:sz w:val="17"/>
        </w:rPr>
        <w:t>jour</w:t>
      </w:r>
      <w:r>
        <w:rPr>
          <w:color w:val="231F20"/>
          <w:spacing w:val="-11"/>
          <w:w w:val="120"/>
          <w:sz w:val="17"/>
        </w:rPr>
        <w:t> </w:t>
      </w:r>
      <w:r>
        <w:rPr>
          <w:color w:val="231F20"/>
          <w:spacing w:val="-2"/>
          <w:w w:val="120"/>
          <w:sz w:val="17"/>
        </w:rPr>
        <w:t>;</w:t>
      </w:r>
      <w:r>
        <w:rPr>
          <w:color w:val="231F20"/>
          <w:spacing w:val="-11"/>
          <w:w w:val="120"/>
          <w:sz w:val="17"/>
        </w:rPr>
        <w:t> </w:t>
      </w:r>
      <w:r>
        <w:rPr>
          <w:color w:val="231F20"/>
          <w:spacing w:val="-2"/>
          <w:w w:val="120"/>
          <w:sz w:val="17"/>
        </w:rPr>
        <w:t>le</w:t>
      </w:r>
      <w:r>
        <w:rPr>
          <w:color w:val="231F20"/>
          <w:spacing w:val="-11"/>
          <w:w w:val="120"/>
          <w:sz w:val="17"/>
        </w:rPr>
        <w:t> </w:t>
      </w:r>
      <w:r>
        <w:rPr>
          <w:color w:val="231F20"/>
          <w:spacing w:val="-2"/>
          <w:w w:val="120"/>
          <w:sz w:val="17"/>
        </w:rPr>
        <w:t>matin</w:t>
      </w:r>
      <w:r>
        <w:rPr>
          <w:color w:val="231F20"/>
          <w:spacing w:val="-10"/>
          <w:w w:val="120"/>
          <w:sz w:val="17"/>
        </w:rPr>
        <w:t> </w:t>
      </w:r>
      <w:r>
        <w:rPr>
          <w:color w:val="231F20"/>
          <w:spacing w:val="-2"/>
          <w:w w:val="120"/>
          <w:sz w:val="17"/>
        </w:rPr>
        <w:t>avant </w:t>
      </w:r>
      <w:r>
        <w:rPr>
          <w:color w:val="231F20"/>
          <w:w w:val="120"/>
          <w:sz w:val="17"/>
        </w:rPr>
        <w:t>le</w:t>
      </w:r>
      <w:r>
        <w:rPr>
          <w:color w:val="231F20"/>
          <w:spacing w:val="-10"/>
          <w:w w:val="120"/>
          <w:sz w:val="17"/>
        </w:rPr>
        <w:t> </w:t>
      </w:r>
      <w:r>
        <w:rPr>
          <w:color w:val="231F20"/>
          <w:w w:val="120"/>
          <w:sz w:val="17"/>
        </w:rPr>
        <w:t>déjeuner</w:t>
      </w:r>
      <w:r>
        <w:rPr>
          <w:color w:val="231F20"/>
          <w:spacing w:val="-10"/>
          <w:w w:val="120"/>
          <w:sz w:val="17"/>
        </w:rPr>
        <w:t> </w:t>
      </w:r>
      <w:r>
        <w:rPr>
          <w:color w:val="231F20"/>
          <w:w w:val="120"/>
          <w:sz w:val="17"/>
        </w:rPr>
        <w:t>et</w:t>
      </w:r>
      <w:r>
        <w:rPr>
          <w:color w:val="231F20"/>
          <w:spacing w:val="-10"/>
          <w:w w:val="120"/>
          <w:sz w:val="17"/>
        </w:rPr>
        <w:t> </w:t>
      </w:r>
      <w:r>
        <w:rPr>
          <w:color w:val="231F20"/>
          <w:w w:val="120"/>
          <w:sz w:val="17"/>
        </w:rPr>
        <w:t>le</w:t>
      </w:r>
      <w:r>
        <w:rPr>
          <w:color w:val="231F20"/>
          <w:spacing w:val="-10"/>
          <w:w w:val="120"/>
          <w:sz w:val="17"/>
        </w:rPr>
        <w:t> </w:t>
      </w:r>
      <w:r>
        <w:rPr>
          <w:color w:val="231F20"/>
          <w:w w:val="120"/>
          <w:sz w:val="17"/>
        </w:rPr>
        <w:t>soir</w:t>
      </w:r>
      <w:r>
        <w:rPr>
          <w:color w:val="231F20"/>
          <w:spacing w:val="-10"/>
          <w:w w:val="120"/>
          <w:sz w:val="17"/>
        </w:rPr>
        <w:t> </w:t>
      </w:r>
      <w:r>
        <w:rPr>
          <w:color w:val="231F20"/>
          <w:w w:val="120"/>
          <w:sz w:val="17"/>
        </w:rPr>
        <w:t>avant</w:t>
      </w:r>
      <w:r>
        <w:rPr>
          <w:color w:val="231F20"/>
          <w:spacing w:val="-10"/>
          <w:w w:val="120"/>
          <w:sz w:val="17"/>
        </w:rPr>
        <w:t> </w:t>
      </w:r>
      <w:r>
        <w:rPr>
          <w:color w:val="231F20"/>
          <w:w w:val="120"/>
          <w:sz w:val="17"/>
        </w:rPr>
        <w:t>le</w:t>
      </w:r>
      <w:r>
        <w:rPr>
          <w:color w:val="231F20"/>
          <w:spacing w:val="-10"/>
          <w:w w:val="120"/>
          <w:sz w:val="17"/>
        </w:rPr>
        <w:t> </w:t>
      </w:r>
      <w:r>
        <w:rPr>
          <w:color w:val="231F20"/>
          <w:w w:val="120"/>
          <w:sz w:val="17"/>
        </w:rPr>
        <w:t>souper</w:t>
      </w:r>
      <w:r>
        <w:rPr>
          <w:color w:val="231F20"/>
          <w:spacing w:val="-10"/>
          <w:w w:val="120"/>
          <w:sz w:val="17"/>
        </w:rPr>
        <w:t> </w:t>
      </w:r>
      <w:r>
        <w:rPr>
          <w:color w:val="231F20"/>
          <w:w w:val="120"/>
          <w:sz w:val="17"/>
        </w:rPr>
        <w:t>sont,</w:t>
      </w:r>
      <w:r>
        <w:rPr>
          <w:color w:val="231F20"/>
          <w:spacing w:val="-10"/>
          <w:w w:val="120"/>
          <w:sz w:val="17"/>
        </w:rPr>
        <w:t> </w:t>
      </w:r>
      <w:r>
        <w:rPr>
          <w:color w:val="231F20"/>
          <w:w w:val="120"/>
          <w:sz w:val="17"/>
        </w:rPr>
        <w:t>pour</w:t>
      </w:r>
      <w:r>
        <w:rPr>
          <w:color w:val="231F20"/>
          <w:spacing w:val="-10"/>
          <w:w w:val="120"/>
          <w:sz w:val="17"/>
        </w:rPr>
        <w:t> </w:t>
      </w:r>
      <w:r>
        <w:rPr>
          <w:color w:val="231F20"/>
          <w:w w:val="120"/>
          <w:sz w:val="17"/>
        </w:rPr>
        <w:t>plusieurs,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bons moments pour </w:t>
      </w:r>
      <w:r>
        <w:rPr>
          <w:color w:val="231F20"/>
          <w:w w:val="129"/>
          <w:sz w:val="17"/>
        </w:rPr>
        <w:t>méd</w:t>
      </w:r>
      <w:r>
        <w:rPr>
          <w:color w:val="231F20"/>
          <w:spacing w:val="-2"/>
          <w:w w:val="129"/>
          <w:sz w:val="17"/>
        </w:rPr>
        <w:t>i</w:t>
      </w:r>
      <w:r>
        <w:rPr>
          <w:color w:val="231F20"/>
          <w:spacing w:val="-1"/>
          <w:w w:val="145"/>
          <w:sz w:val="17"/>
        </w:rPr>
        <w:t>t</w:t>
      </w:r>
      <w:r>
        <w:rPr>
          <w:color w:val="231F20"/>
          <w:w w:val="129"/>
          <w:sz w:val="17"/>
        </w:rPr>
        <w:t>er</w:t>
      </w:r>
      <w:r>
        <w:rPr>
          <w:color w:val="231F20"/>
          <w:w w:val="71"/>
          <w:sz w:val="17"/>
        </w:rPr>
        <w:t>11</w:t>
      </w:r>
      <w:r>
        <w:rPr>
          <w:color w:val="231F20"/>
          <w:w w:val="132"/>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r>
        <w:rPr/>
        <w:pict>
          <v:shape style="position:absolute;margin-left:82pt;margin-top:12.864453pt;width:287.5pt;height:.1pt;mso-position-horizontal-relative:page;mso-position-vertical-relative:paragraph;z-index:-15626752;mso-wrap-distance-left:0;mso-wrap-distance-right:0" id="docshape1044" coordorigin="1640,257" coordsize="5750,0" path="m1640,257l7390,257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19" w:right="110" w:hanging="328"/>
        <w:jc w:val="left"/>
        <w:rPr>
          <w:rFonts w:ascii="Arial" w:hAnsi="Arial"/>
          <w:sz w:val="12"/>
        </w:rPr>
      </w:pPr>
      <w:r>
        <w:rPr>
          <w:rFonts w:ascii="Arial" w:hAnsi="Arial"/>
          <w:color w:val="231F20"/>
          <w:sz w:val="12"/>
        </w:rPr>
        <w:t>Lemay, V., Hoolahan, J. et Buchanan, A. (2019). Impact of a yoga and meditation intervention on students’</w:t>
      </w:r>
      <w:r>
        <w:rPr>
          <w:rFonts w:ascii="Arial" w:hAnsi="Arial"/>
          <w:color w:val="231F20"/>
          <w:spacing w:val="40"/>
          <w:sz w:val="12"/>
        </w:rPr>
        <w:t> </w:t>
      </w:r>
      <w:r>
        <w:rPr>
          <w:rFonts w:ascii="Arial" w:hAnsi="Arial"/>
          <w:color w:val="231F20"/>
          <w:sz w:val="12"/>
        </w:rPr>
        <w:t>stress and anxiety levels, </w:t>
      </w:r>
      <w:r>
        <w:rPr>
          <w:rFonts w:ascii="Arial" w:hAnsi="Arial"/>
          <w:i/>
          <w:color w:val="231F20"/>
          <w:sz w:val="12"/>
        </w:rPr>
        <w:t>American Journal of Pharmaceutical Education</w:t>
      </w:r>
      <w:r>
        <w:rPr>
          <w:rFonts w:ascii="Arial" w:hAnsi="Arial"/>
          <w:color w:val="231F20"/>
          <w:sz w:val="12"/>
        </w:rPr>
        <w:t>, </w:t>
      </w:r>
      <w:r>
        <w:rPr>
          <w:rFonts w:ascii="Arial" w:hAnsi="Arial"/>
          <w:i/>
          <w:color w:val="231F20"/>
          <w:sz w:val="12"/>
        </w:rPr>
        <w:t>83</w:t>
      </w:r>
      <w:r>
        <w:rPr>
          <w:rFonts w:ascii="Arial" w:hAnsi="Arial"/>
          <w:color w:val="231F20"/>
          <w:sz w:val="12"/>
        </w:rPr>
        <w:t>.</w:t>
      </w:r>
    </w:p>
    <w:p>
      <w:pPr>
        <w:pStyle w:val="ListParagraph"/>
        <w:numPr>
          <w:ilvl w:val="0"/>
          <w:numId w:val="84"/>
        </w:numPr>
        <w:tabs>
          <w:tab w:pos="1219" w:val="left" w:leader="none"/>
          <w:tab w:pos="1220" w:val="left" w:leader="none"/>
        </w:tabs>
        <w:spacing w:line="240" w:lineRule="auto" w:before="0" w:after="0"/>
        <w:ind w:left="1219" w:right="0" w:hanging="407"/>
        <w:jc w:val="left"/>
        <w:rPr>
          <w:rFonts w:ascii="Arial"/>
          <w:sz w:val="12"/>
        </w:rPr>
      </w:pPr>
      <w:r>
        <w:rPr>
          <w:rFonts w:ascii="Arial"/>
          <w:color w:val="231F20"/>
          <w:sz w:val="12"/>
        </w:rPr>
        <w:t>Benson,</w:t>
      </w:r>
      <w:r>
        <w:rPr>
          <w:rFonts w:ascii="Arial"/>
          <w:color w:val="231F20"/>
          <w:spacing w:val="-8"/>
          <w:sz w:val="12"/>
        </w:rPr>
        <w:t> </w:t>
      </w:r>
      <w:r>
        <w:rPr>
          <w:rFonts w:ascii="Arial"/>
          <w:color w:val="231F20"/>
          <w:sz w:val="12"/>
        </w:rPr>
        <w:t>H.</w:t>
      </w:r>
      <w:r>
        <w:rPr>
          <w:rFonts w:ascii="Arial"/>
          <w:color w:val="231F20"/>
          <w:spacing w:val="-8"/>
          <w:sz w:val="12"/>
        </w:rPr>
        <w:t> </w:t>
      </w:r>
      <w:r>
        <w:rPr>
          <w:rFonts w:ascii="Arial"/>
          <w:color w:val="231F20"/>
          <w:sz w:val="12"/>
        </w:rPr>
        <w:t>(1987).</w:t>
      </w:r>
      <w:r>
        <w:rPr>
          <w:rFonts w:ascii="Arial"/>
          <w:color w:val="231F20"/>
          <w:spacing w:val="-8"/>
          <w:sz w:val="12"/>
        </w:rPr>
        <w:t> </w:t>
      </w:r>
      <w:r>
        <w:rPr>
          <w:rFonts w:ascii="Arial"/>
          <w:i/>
          <w:color w:val="231F20"/>
          <w:sz w:val="12"/>
        </w:rPr>
        <w:t>Minding</w:t>
      </w:r>
      <w:r>
        <w:rPr>
          <w:rFonts w:ascii="Arial"/>
          <w:i/>
          <w:color w:val="231F20"/>
          <w:spacing w:val="-7"/>
          <w:sz w:val="12"/>
        </w:rPr>
        <w:t> </w:t>
      </w:r>
      <w:r>
        <w:rPr>
          <w:rFonts w:ascii="Arial"/>
          <w:i/>
          <w:color w:val="231F20"/>
          <w:sz w:val="12"/>
        </w:rPr>
        <w:t>the</w:t>
      </w:r>
      <w:r>
        <w:rPr>
          <w:rFonts w:ascii="Arial"/>
          <w:i/>
          <w:color w:val="231F20"/>
          <w:spacing w:val="-8"/>
          <w:sz w:val="12"/>
        </w:rPr>
        <w:t> </w:t>
      </w:r>
      <w:r>
        <w:rPr>
          <w:rFonts w:ascii="Arial"/>
          <w:i/>
          <w:color w:val="231F20"/>
          <w:sz w:val="12"/>
        </w:rPr>
        <w:t>Body,</w:t>
      </w:r>
      <w:r>
        <w:rPr>
          <w:rFonts w:ascii="Arial"/>
          <w:i/>
          <w:color w:val="231F20"/>
          <w:spacing w:val="-8"/>
          <w:sz w:val="12"/>
        </w:rPr>
        <w:t> </w:t>
      </w:r>
      <w:r>
        <w:rPr>
          <w:rFonts w:ascii="Arial"/>
          <w:i/>
          <w:color w:val="231F20"/>
          <w:sz w:val="12"/>
        </w:rPr>
        <w:t>Mending</w:t>
      </w:r>
      <w:r>
        <w:rPr>
          <w:rFonts w:ascii="Arial"/>
          <w:i/>
          <w:color w:val="231F20"/>
          <w:spacing w:val="-8"/>
          <w:sz w:val="12"/>
        </w:rPr>
        <w:t> </w:t>
      </w:r>
      <w:r>
        <w:rPr>
          <w:rFonts w:ascii="Arial"/>
          <w:i/>
          <w:color w:val="231F20"/>
          <w:sz w:val="12"/>
        </w:rPr>
        <w:t>the</w:t>
      </w:r>
      <w:r>
        <w:rPr>
          <w:rFonts w:ascii="Arial"/>
          <w:i/>
          <w:color w:val="231F20"/>
          <w:spacing w:val="-7"/>
          <w:sz w:val="12"/>
        </w:rPr>
        <w:t> </w:t>
      </w:r>
      <w:r>
        <w:rPr>
          <w:rFonts w:ascii="Arial"/>
          <w:i/>
          <w:color w:val="231F20"/>
          <w:sz w:val="12"/>
        </w:rPr>
        <w:t>Mind</w:t>
      </w:r>
      <w:r>
        <w:rPr>
          <w:rFonts w:ascii="Arial"/>
          <w:color w:val="231F20"/>
          <w:sz w:val="12"/>
        </w:rPr>
        <w:t>,</w:t>
      </w:r>
      <w:r>
        <w:rPr>
          <w:rFonts w:ascii="Arial"/>
          <w:color w:val="231F20"/>
          <w:spacing w:val="-8"/>
          <w:sz w:val="12"/>
        </w:rPr>
        <w:t> </w:t>
      </w:r>
      <w:r>
        <w:rPr>
          <w:rFonts w:ascii="Arial"/>
          <w:color w:val="231F20"/>
          <w:sz w:val="12"/>
        </w:rPr>
        <w:t>Reading,</w:t>
      </w:r>
      <w:r>
        <w:rPr>
          <w:rFonts w:ascii="Arial"/>
          <w:color w:val="231F20"/>
          <w:spacing w:val="-8"/>
          <w:sz w:val="12"/>
        </w:rPr>
        <w:t> </w:t>
      </w:r>
      <w:r>
        <w:rPr>
          <w:rFonts w:ascii="Arial"/>
          <w:color w:val="231F20"/>
          <w:sz w:val="12"/>
        </w:rPr>
        <w:t>Addison-</w:t>
      </w:r>
      <w:r>
        <w:rPr>
          <w:rFonts w:ascii="Arial"/>
          <w:color w:val="231F20"/>
          <w:spacing w:val="-2"/>
          <w:sz w:val="12"/>
        </w:rPr>
        <w:t>Wesley.</w:t>
      </w:r>
    </w:p>
    <w:p>
      <w:pPr>
        <w:pStyle w:val="ListParagraph"/>
        <w:numPr>
          <w:ilvl w:val="0"/>
          <w:numId w:val="84"/>
        </w:numPr>
        <w:tabs>
          <w:tab w:pos="1219" w:val="left" w:leader="none"/>
          <w:tab w:pos="1220" w:val="left" w:leader="none"/>
        </w:tabs>
        <w:spacing w:line="240" w:lineRule="auto" w:before="32" w:after="0"/>
        <w:ind w:left="1219" w:right="0" w:hanging="407"/>
        <w:jc w:val="left"/>
        <w:rPr>
          <w:rFonts w:ascii="Arial"/>
          <w:sz w:val="12"/>
        </w:rPr>
      </w:pPr>
      <w:r>
        <w:rPr>
          <w:rFonts w:ascii="Arial"/>
          <w:color w:val="231F20"/>
          <w:sz w:val="12"/>
        </w:rPr>
        <w:t>Staying</w:t>
      </w:r>
      <w:r>
        <w:rPr>
          <w:rFonts w:ascii="Arial"/>
          <w:color w:val="231F20"/>
          <w:spacing w:val="19"/>
          <w:sz w:val="12"/>
        </w:rPr>
        <w:t> </w:t>
      </w:r>
      <w:r>
        <w:rPr>
          <w:rFonts w:ascii="Arial"/>
          <w:color w:val="231F20"/>
          <w:sz w:val="12"/>
        </w:rPr>
        <w:t>healthy</w:t>
      </w:r>
      <w:r>
        <w:rPr>
          <w:rFonts w:ascii="Arial"/>
          <w:color w:val="231F20"/>
          <w:spacing w:val="20"/>
          <w:sz w:val="12"/>
        </w:rPr>
        <w:t> </w:t>
      </w:r>
      <w:r>
        <w:rPr>
          <w:rFonts w:ascii="Arial"/>
          <w:color w:val="231F20"/>
          <w:sz w:val="12"/>
        </w:rPr>
        <w:t>in</w:t>
      </w:r>
      <w:r>
        <w:rPr>
          <w:rFonts w:ascii="Arial"/>
          <w:color w:val="231F20"/>
          <w:spacing w:val="20"/>
          <w:sz w:val="12"/>
        </w:rPr>
        <w:t> </w:t>
      </w:r>
      <w:r>
        <w:rPr>
          <w:rFonts w:ascii="Arial"/>
          <w:color w:val="231F20"/>
          <w:sz w:val="12"/>
        </w:rPr>
        <w:t>a</w:t>
      </w:r>
      <w:r>
        <w:rPr>
          <w:rFonts w:ascii="Arial"/>
          <w:color w:val="231F20"/>
          <w:spacing w:val="20"/>
          <w:sz w:val="12"/>
        </w:rPr>
        <w:t> </w:t>
      </w:r>
      <w:r>
        <w:rPr>
          <w:rFonts w:ascii="Arial"/>
          <w:color w:val="231F20"/>
          <w:sz w:val="12"/>
        </w:rPr>
        <w:t>stressful</w:t>
      </w:r>
      <w:r>
        <w:rPr>
          <w:rFonts w:ascii="Arial"/>
          <w:color w:val="231F20"/>
          <w:spacing w:val="19"/>
          <w:sz w:val="12"/>
        </w:rPr>
        <w:t> </w:t>
      </w:r>
      <w:r>
        <w:rPr>
          <w:rFonts w:ascii="Arial"/>
          <w:color w:val="231F20"/>
          <w:sz w:val="12"/>
        </w:rPr>
        <w:t>world</w:t>
      </w:r>
      <w:r>
        <w:rPr>
          <w:rFonts w:ascii="Arial"/>
          <w:color w:val="231F20"/>
          <w:spacing w:val="-14"/>
          <w:sz w:val="12"/>
        </w:rPr>
        <w:t> </w:t>
      </w:r>
      <w:r>
        <w:rPr>
          <w:rFonts w:ascii="Arial"/>
          <w:color w:val="231F20"/>
          <w:sz w:val="12"/>
        </w:rPr>
        <w:t>:</w:t>
      </w:r>
      <w:r>
        <w:rPr>
          <w:rFonts w:ascii="Arial"/>
          <w:color w:val="231F20"/>
          <w:spacing w:val="20"/>
          <w:sz w:val="12"/>
        </w:rPr>
        <w:t> </w:t>
      </w:r>
      <w:r>
        <w:rPr>
          <w:rFonts w:ascii="Arial"/>
          <w:color w:val="231F20"/>
          <w:sz w:val="12"/>
        </w:rPr>
        <w:t>Beyond</w:t>
      </w:r>
      <w:r>
        <w:rPr>
          <w:rFonts w:ascii="Arial"/>
          <w:color w:val="231F20"/>
          <w:spacing w:val="20"/>
          <w:sz w:val="12"/>
        </w:rPr>
        <w:t> </w:t>
      </w:r>
      <w:r>
        <w:rPr>
          <w:rFonts w:ascii="Arial"/>
          <w:color w:val="231F20"/>
          <w:sz w:val="12"/>
        </w:rPr>
        <w:t>the</w:t>
      </w:r>
      <w:r>
        <w:rPr>
          <w:rFonts w:ascii="Arial"/>
          <w:color w:val="231F20"/>
          <w:spacing w:val="20"/>
          <w:sz w:val="12"/>
        </w:rPr>
        <w:t> </w:t>
      </w:r>
      <w:r>
        <w:rPr>
          <w:rFonts w:ascii="Arial"/>
          <w:color w:val="231F20"/>
          <w:sz w:val="12"/>
        </w:rPr>
        <w:t>mysticism</w:t>
      </w:r>
      <w:r>
        <w:rPr>
          <w:rFonts w:ascii="Arial"/>
          <w:color w:val="231F20"/>
          <w:spacing w:val="20"/>
          <w:sz w:val="12"/>
        </w:rPr>
        <w:t> </w:t>
      </w:r>
      <w:r>
        <w:rPr>
          <w:rFonts w:ascii="Arial"/>
          <w:color w:val="231F20"/>
          <w:sz w:val="12"/>
        </w:rPr>
        <w:t>of</w:t>
      </w:r>
      <w:r>
        <w:rPr>
          <w:rFonts w:ascii="Arial"/>
          <w:color w:val="231F20"/>
          <w:spacing w:val="19"/>
          <w:sz w:val="12"/>
        </w:rPr>
        <w:t> </w:t>
      </w:r>
      <w:r>
        <w:rPr>
          <w:rFonts w:ascii="Arial"/>
          <w:color w:val="231F20"/>
          <w:sz w:val="12"/>
        </w:rPr>
        <w:t>meditation,</w:t>
      </w:r>
      <w:r>
        <w:rPr>
          <w:rFonts w:ascii="Arial"/>
          <w:color w:val="231F20"/>
          <w:spacing w:val="20"/>
          <w:sz w:val="12"/>
        </w:rPr>
        <w:t> </w:t>
      </w:r>
      <w:r>
        <w:rPr>
          <w:rFonts w:ascii="Arial"/>
          <w:i/>
          <w:color w:val="231F20"/>
          <w:sz w:val="12"/>
        </w:rPr>
        <w:t>Body</w:t>
      </w:r>
      <w:r>
        <w:rPr>
          <w:rFonts w:ascii="Arial"/>
          <w:i/>
          <w:color w:val="231F20"/>
          <w:spacing w:val="20"/>
          <w:sz w:val="12"/>
        </w:rPr>
        <w:t> </w:t>
      </w:r>
      <w:r>
        <w:rPr>
          <w:rFonts w:ascii="Arial"/>
          <w:i/>
          <w:color w:val="231F20"/>
          <w:sz w:val="12"/>
        </w:rPr>
        <w:t>and</w:t>
      </w:r>
      <w:r>
        <w:rPr>
          <w:rFonts w:ascii="Arial"/>
          <w:i/>
          <w:color w:val="231F20"/>
          <w:spacing w:val="20"/>
          <w:sz w:val="12"/>
        </w:rPr>
        <w:t> </w:t>
      </w:r>
      <w:r>
        <w:rPr>
          <w:rFonts w:ascii="Arial"/>
          <w:i/>
          <w:color w:val="231F20"/>
          <w:sz w:val="12"/>
        </w:rPr>
        <w:t>Soul</w:t>
      </w:r>
      <w:r>
        <w:rPr>
          <w:rFonts w:ascii="Arial"/>
          <w:color w:val="231F20"/>
          <w:sz w:val="12"/>
        </w:rPr>
        <w:t>,</w:t>
      </w:r>
      <w:r>
        <w:rPr>
          <w:rFonts w:ascii="Arial"/>
          <w:color w:val="231F20"/>
          <w:spacing w:val="19"/>
          <w:sz w:val="12"/>
        </w:rPr>
        <w:t> </w:t>
      </w:r>
      <w:r>
        <w:rPr>
          <w:rFonts w:ascii="Arial"/>
          <w:color w:val="231F20"/>
          <w:sz w:val="12"/>
        </w:rPr>
        <w:t>PBS</w:t>
      </w:r>
      <w:r>
        <w:rPr>
          <w:rFonts w:ascii="Arial"/>
          <w:color w:val="231F20"/>
          <w:spacing w:val="20"/>
          <w:sz w:val="12"/>
        </w:rPr>
        <w:t> </w:t>
      </w:r>
      <w:r>
        <w:rPr>
          <w:rFonts w:ascii="Arial"/>
          <w:color w:val="231F20"/>
          <w:spacing w:val="-2"/>
          <w:sz w:val="12"/>
        </w:rPr>
        <w:t>Online,</w:t>
      </w:r>
    </w:p>
    <w:p>
      <w:pPr>
        <w:spacing w:before="32"/>
        <w:ind w:left="1219" w:right="0" w:firstLine="0"/>
        <w:jc w:val="left"/>
        <w:rPr>
          <w:rFonts w:ascii="Arial" w:hAnsi="Arial"/>
          <w:sz w:val="12"/>
        </w:rPr>
      </w:pPr>
      <w:hyperlink r:id="rId299">
        <w:r>
          <w:rPr>
            <w:rFonts w:ascii="Arial" w:hAnsi="Arial"/>
            <w:color w:val="231F20"/>
            <w:sz w:val="12"/>
          </w:rPr>
          <w:t>&lt;www.pbs.org/bodyandsoul/218/meditation.htm&gt;,</w:t>
        </w:r>
        <w:r>
          <w:rPr>
            <w:rFonts w:ascii="Arial" w:hAnsi="Arial"/>
            <w:color w:val="231F20"/>
            <w:spacing w:val="19"/>
            <w:sz w:val="12"/>
          </w:rPr>
          <w:t> </w:t>
        </w:r>
      </w:hyperlink>
      <w:r>
        <w:rPr>
          <w:rFonts w:ascii="Arial" w:hAnsi="Arial"/>
          <w:color w:val="231F20"/>
          <w:sz w:val="12"/>
        </w:rPr>
        <w:t>consulté</w:t>
      </w:r>
      <w:r>
        <w:rPr>
          <w:rFonts w:ascii="Arial" w:hAnsi="Arial"/>
          <w:color w:val="231F20"/>
          <w:spacing w:val="19"/>
          <w:sz w:val="12"/>
        </w:rPr>
        <w:t> </w:t>
      </w:r>
      <w:r>
        <w:rPr>
          <w:rFonts w:ascii="Arial" w:hAnsi="Arial"/>
          <w:color w:val="231F20"/>
          <w:sz w:val="12"/>
        </w:rPr>
        <w:t>le</w:t>
      </w:r>
      <w:r>
        <w:rPr>
          <w:rFonts w:ascii="Arial" w:hAnsi="Arial"/>
          <w:color w:val="231F20"/>
          <w:spacing w:val="19"/>
          <w:sz w:val="12"/>
        </w:rPr>
        <w:t> </w:t>
      </w:r>
      <w:r>
        <w:rPr>
          <w:rFonts w:ascii="Arial" w:hAnsi="Arial"/>
          <w:color w:val="231F20"/>
          <w:sz w:val="12"/>
        </w:rPr>
        <w:t>22</w:t>
      </w:r>
      <w:r>
        <w:rPr>
          <w:rFonts w:ascii="Arial" w:hAnsi="Arial"/>
          <w:color w:val="231F20"/>
          <w:spacing w:val="20"/>
          <w:sz w:val="12"/>
        </w:rPr>
        <w:t> </w:t>
      </w:r>
      <w:r>
        <w:rPr>
          <w:rFonts w:ascii="Arial" w:hAnsi="Arial"/>
          <w:color w:val="231F20"/>
          <w:sz w:val="12"/>
        </w:rPr>
        <w:t>octobre</w:t>
      </w:r>
      <w:r>
        <w:rPr>
          <w:rFonts w:ascii="Arial" w:hAnsi="Arial"/>
          <w:color w:val="231F20"/>
          <w:spacing w:val="19"/>
          <w:sz w:val="12"/>
        </w:rPr>
        <w:t> </w:t>
      </w:r>
      <w:r>
        <w:rPr>
          <w:rFonts w:ascii="Arial" w:hAnsi="Arial"/>
          <w:color w:val="231F20"/>
          <w:spacing w:val="-4"/>
          <w:sz w:val="12"/>
        </w:rPr>
        <w:t>2021.</w:t>
      </w:r>
    </w:p>
    <w:p>
      <w:pPr>
        <w:spacing w:after="0"/>
        <w:jc w:val="left"/>
        <w:rPr>
          <w:rFonts w:ascii="Arial" w:hAnsi="Arial"/>
          <w:sz w:val="12"/>
        </w:rPr>
        <w:sectPr>
          <w:footerReference w:type="default" r:id="rId298"/>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4" w:lineRule="auto" w:before="117"/>
        <w:ind w:left="830" w:right="492"/>
        <w:jc w:val="both"/>
      </w:pPr>
      <w:r>
        <w:rPr>
          <w:rFonts w:ascii="BookAntiqua-BoldItalic" w:hAnsi="BookAntiqua-BoldItalic"/>
          <w:b/>
          <w:i/>
          <w:color w:val="231F20"/>
          <w:w w:val="110"/>
        </w:rPr>
        <w:t>Biofeedback</w:t>
      </w:r>
      <w:r>
        <w:rPr>
          <w:rFonts w:ascii="BookAntiqua-BoldItalic" w:hAnsi="BookAntiqua-BoldItalic"/>
          <w:b/>
          <w:i/>
          <w:color w:val="231F20"/>
          <w:spacing w:val="-7"/>
          <w:w w:val="110"/>
        </w:rPr>
        <w:t> </w:t>
      </w:r>
      <w:r>
        <w:rPr>
          <w:b/>
          <w:color w:val="231F20"/>
          <w:w w:val="110"/>
        </w:rPr>
        <w:t>et</w:t>
      </w:r>
      <w:r>
        <w:rPr>
          <w:b/>
          <w:color w:val="231F20"/>
          <w:spacing w:val="-7"/>
          <w:w w:val="110"/>
        </w:rPr>
        <w:t> </w:t>
      </w:r>
      <w:r>
        <w:rPr>
          <w:rFonts w:ascii="BookAntiqua-BoldItalic" w:hAnsi="BookAntiqua-BoldItalic"/>
          <w:b/>
          <w:i/>
          <w:color w:val="231F20"/>
          <w:w w:val="110"/>
        </w:rPr>
        <w:t>neurofeedback</w:t>
      </w:r>
      <w:r>
        <w:rPr>
          <w:b/>
          <w:color w:val="231F20"/>
          <w:w w:val="110"/>
        </w:rPr>
        <w:t>.</w:t>
      </w:r>
      <w:r>
        <w:rPr>
          <w:b/>
          <w:color w:val="231F20"/>
          <w:spacing w:val="-4"/>
          <w:w w:val="110"/>
        </w:rPr>
        <w:t> </w:t>
      </w:r>
      <w:r>
        <w:rPr>
          <w:color w:val="231F20"/>
          <w:w w:val="110"/>
        </w:rPr>
        <w:t>Le</w:t>
      </w:r>
      <w:r>
        <w:rPr>
          <w:color w:val="231F20"/>
          <w:spacing w:val="-4"/>
          <w:w w:val="110"/>
        </w:rPr>
        <w:t> </w:t>
      </w:r>
      <w:r>
        <w:rPr>
          <w:i/>
          <w:color w:val="231F20"/>
          <w:w w:val="110"/>
        </w:rPr>
        <w:t>biofeedback</w:t>
      </w:r>
      <w:r>
        <w:rPr>
          <w:i/>
          <w:color w:val="231F20"/>
          <w:spacing w:val="-4"/>
          <w:w w:val="110"/>
        </w:rPr>
        <w:t> </w:t>
      </w:r>
      <w:r>
        <w:rPr>
          <w:color w:val="231F20"/>
          <w:w w:val="110"/>
        </w:rPr>
        <w:t>(ou</w:t>
      </w:r>
      <w:r>
        <w:rPr>
          <w:color w:val="231F20"/>
          <w:spacing w:val="-4"/>
          <w:w w:val="110"/>
        </w:rPr>
        <w:t> </w:t>
      </w:r>
      <w:r>
        <w:rPr>
          <w:color w:val="231F20"/>
          <w:w w:val="110"/>
        </w:rPr>
        <w:t>rétroaction</w:t>
      </w:r>
      <w:r>
        <w:rPr>
          <w:color w:val="231F20"/>
          <w:spacing w:val="-4"/>
          <w:w w:val="110"/>
        </w:rPr>
        <w:t> </w:t>
      </w:r>
      <w:r>
        <w:rPr>
          <w:color w:val="231F20"/>
          <w:w w:val="110"/>
        </w:rPr>
        <w:t>biologique) </w:t>
      </w:r>
      <w:r>
        <w:rPr>
          <w:color w:val="231F20"/>
          <w:w w:val="115"/>
        </w:rPr>
        <w:t>est une technique par laquelle l’individu perçoit des signaux visuels ou sonores à l’aide de détecteurs placés sur diverses parties de son corps. La perception de ces signaux lui permet de contrôler une fonction qui, normalement, échapperait à son contrôle volontaire. La formation en </w:t>
      </w:r>
      <w:r>
        <w:rPr>
          <w:i/>
          <w:color w:val="231F20"/>
          <w:w w:val="115"/>
        </w:rPr>
        <w:t>biofeedback </w:t>
      </w:r>
      <w:r>
        <w:rPr>
          <w:color w:val="231F20"/>
          <w:w w:val="115"/>
        </w:rPr>
        <w:t>a pour objectif d’amener le sujet à traiter les données biolo- giques qu’il reçoit et à s’en servir pour acquérir la maîtrise de certains processus et paramètres biologiques.</w:t>
      </w:r>
    </w:p>
    <w:p>
      <w:pPr>
        <w:pStyle w:val="BodyText"/>
        <w:spacing w:before="81"/>
        <w:ind w:left="1080"/>
        <w:jc w:val="both"/>
      </w:pPr>
      <w:r>
        <w:rPr>
          <w:color w:val="231F20"/>
          <w:w w:val="115"/>
        </w:rPr>
        <w:t>Il</w:t>
      </w:r>
      <w:r>
        <w:rPr>
          <w:color w:val="231F20"/>
          <w:spacing w:val="4"/>
          <w:w w:val="115"/>
        </w:rPr>
        <w:t> </w:t>
      </w:r>
      <w:r>
        <w:rPr>
          <w:color w:val="231F20"/>
          <w:w w:val="115"/>
        </w:rPr>
        <w:t>existe</w:t>
      </w:r>
      <w:r>
        <w:rPr>
          <w:color w:val="231F20"/>
          <w:spacing w:val="5"/>
          <w:w w:val="115"/>
        </w:rPr>
        <w:t> </w:t>
      </w:r>
      <w:r>
        <w:rPr>
          <w:color w:val="231F20"/>
          <w:w w:val="115"/>
        </w:rPr>
        <w:t>trois</w:t>
      </w:r>
      <w:r>
        <w:rPr>
          <w:color w:val="231F20"/>
          <w:spacing w:val="4"/>
          <w:w w:val="115"/>
        </w:rPr>
        <w:t> </w:t>
      </w:r>
      <w:r>
        <w:rPr>
          <w:color w:val="231F20"/>
          <w:w w:val="115"/>
        </w:rPr>
        <w:t>principales</w:t>
      </w:r>
      <w:r>
        <w:rPr>
          <w:color w:val="231F20"/>
          <w:spacing w:val="5"/>
          <w:w w:val="115"/>
        </w:rPr>
        <w:t> </w:t>
      </w:r>
      <w:r>
        <w:rPr>
          <w:color w:val="231F20"/>
          <w:w w:val="115"/>
        </w:rPr>
        <w:t>cibles</w:t>
      </w:r>
      <w:r>
        <w:rPr>
          <w:color w:val="231F20"/>
          <w:spacing w:val="5"/>
          <w:w w:val="115"/>
        </w:rPr>
        <w:t> </w:t>
      </w:r>
      <w:r>
        <w:rPr>
          <w:color w:val="231F20"/>
          <w:w w:val="115"/>
        </w:rPr>
        <w:t>de</w:t>
      </w:r>
      <w:r>
        <w:rPr>
          <w:color w:val="231F20"/>
          <w:spacing w:val="4"/>
          <w:w w:val="115"/>
        </w:rPr>
        <w:t> </w:t>
      </w:r>
      <w:r>
        <w:rPr>
          <w:color w:val="231F20"/>
          <w:w w:val="115"/>
        </w:rPr>
        <w:t>rétroaction</w:t>
      </w:r>
      <w:r>
        <w:rPr>
          <w:color w:val="231F20"/>
          <w:spacing w:val="5"/>
          <w:w w:val="115"/>
        </w:rPr>
        <w:t> </w:t>
      </w:r>
      <w:r>
        <w:rPr>
          <w:color w:val="231F20"/>
          <w:w w:val="115"/>
        </w:rPr>
        <w:t>en</w:t>
      </w:r>
      <w:r>
        <w:rPr>
          <w:color w:val="231F20"/>
          <w:spacing w:val="5"/>
          <w:w w:val="115"/>
        </w:rPr>
        <w:t> </w:t>
      </w:r>
      <w:r>
        <w:rPr>
          <w:i/>
          <w:color w:val="231F20"/>
          <w:w w:val="115"/>
        </w:rPr>
        <w:t>biofeedback</w:t>
      </w:r>
      <w:r>
        <w:rPr>
          <w:i/>
          <w:color w:val="231F20"/>
          <w:spacing w:val="-28"/>
          <w:w w:val="115"/>
        </w:rPr>
        <w:t> </w:t>
      </w:r>
      <w:r>
        <w:rPr>
          <w:color w:val="231F20"/>
          <w:spacing w:val="-10"/>
          <w:w w:val="115"/>
        </w:rPr>
        <w:t>:</w:t>
      </w:r>
    </w:p>
    <w:p>
      <w:pPr>
        <w:pStyle w:val="ListParagraph"/>
        <w:numPr>
          <w:ilvl w:val="1"/>
          <w:numId w:val="84"/>
        </w:numPr>
        <w:tabs>
          <w:tab w:pos="1331" w:val="left" w:leader="none"/>
        </w:tabs>
        <w:spacing w:line="307" w:lineRule="auto" w:before="134" w:after="0"/>
        <w:ind w:left="1330" w:right="493" w:hanging="251"/>
        <w:jc w:val="both"/>
        <w:rPr>
          <w:sz w:val="17"/>
        </w:rPr>
      </w:pPr>
      <w:r>
        <w:rPr>
          <w:i/>
          <w:color w:val="231F20"/>
          <w:w w:val="115"/>
          <w:sz w:val="17"/>
        </w:rPr>
        <w:t>La température cutanée</w:t>
      </w:r>
      <w:r>
        <w:rPr>
          <w:color w:val="231F20"/>
          <w:w w:val="115"/>
          <w:sz w:val="17"/>
        </w:rPr>
        <w:t>. L’adrénaline détourne le sang de la sur- face du corps vers le centre de l’organisme, en préparation à une réponse au danger. Moins il y a de sang chaud à la surface, plus la température cutanée s’abaisse.</w:t>
      </w:r>
    </w:p>
    <w:p>
      <w:pPr>
        <w:pStyle w:val="ListParagraph"/>
        <w:numPr>
          <w:ilvl w:val="1"/>
          <w:numId w:val="84"/>
        </w:numPr>
        <w:tabs>
          <w:tab w:pos="1331" w:val="left" w:leader="none"/>
        </w:tabs>
        <w:spacing w:line="307" w:lineRule="auto" w:before="78" w:after="0"/>
        <w:ind w:left="1330" w:right="493" w:hanging="251"/>
        <w:jc w:val="both"/>
        <w:rPr>
          <w:sz w:val="17"/>
        </w:rPr>
      </w:pPr>
      <w:r>
        <w:rPr>
          <w:i/>
          <w:color w:val="231F20"/>
          <w:w w:val="115"/>
          <w:sz w:val="17"/>
        </w:rPr>
        <w:t>L’activité électrique de la peau</w:t>
      </w:r>
      <w:r>
        <w:rPr>
          <w:color w:val="231F20"/>
          <w:w w:val="115"/>
          <w:sz w:val="17"/>
        </w:rPr>
        <w:t>. Lorsqu’on subit un stress, on sue </w:t>
      </w:r>
      <w:r>
        <w:rPr>
          <w:color w:val="231F20"/>
          <w:w w:val="120"/>
          <w:sz w:val="17"/>
        </w:rPr>
        <w:t>davantage. La peau moite (en sueur) est un meilleur conducteur électrique</w:t>
      </w:r>
      <w:r>
        <w:rPr>
          <w:color w:val="231F20"/>
          <w:spacing w:val="-8"/>
          <w:w w:val="120"/>
          <w:sz w:val="17"/>
        </w:rPr>
        <w:t> </w:t>
      </w:r>
      <w:r>
        <w:rPr>
          <w:color w:val="231F20"/>
          <w:w w:val="120"/>
          <w:sz w:val="17"/>
        </w:rPr>
        <w:t>que</w:t>
      </w:r>
      <w:r>
        <w:rPr>
          <w:color w:val="231F20"/>
          <w:spacing w:val="-8"/>
          <w:w w:val="120"/>
          <w:sz w:val="17"/>
        </w:rPr>
        <w:t> </w:t>
      </w:r>
      <w:r>
        <w:rPr>
          <w:color w:val="231F20"/>
          <w:w w:val="120"/>
          <w:sz w:val="17"/>
        </w:rPr>
        <w:t>la</w:t>
      </w:r>
      <w:r>
        <w:rPr>
          <w:color w:val="231F20"/>
          <w:spacing w:val="-8"/>
          <w:w w:val="120"/>
          <w:sz w:val="17"/>
        </w:rPr>
        <w:t> </w:t>
      </w:r>
      <w:r>
        <w:rPr>
          <w:color w:val="231F20"/>
          <w:w w:val="120"/>
          <w:sz w:val="17"/>
        </w:rPr>
        <w:t>peau</w:t>
      </w:r>
      <w:r>
        <w:rPr>
          <w:color w:val="231F20"/>
          <w:spacing w:val="-8"/>
          <w:w w:val="120"/>
          <w:sz w:val="17"/>
        </w:rPr>
        <w:t> </w:t>
      </w:r>
      <w:r>
        <w:rPr>
          <w:color w:val="231F20"/>
          <w:w w:val="120"/>
          <w:sz w:val="17"/>
        </w:rPr>
        <w:t>sèche.</w:t>
      </w:r>
      <w:r>
        <w:rPr>
          <w:color w:val="231F20"/>
          <w:spacing w:val="-8"/>
          <w:w w:val="120"/>
          <w:sz w:val="17"/>
        </w:rPr>
        <w:t> </w:t>
      </w:r>
      <w:r>
        <w:rPr>
          <w:color w:val="231F20"/>
          <w:w w:val="120"/>
          <w:sz w:val="17"/>
        </w:rPr>
        <w:t>Ce</w:t>
      </w:r>
      <w:r>
        <w:rPr>
          <w:color w:val="231F20"/>
          <w:spacing w:val="-8"/>
          <w:w w:val="120"/>
          <w:sz w:val="17"/>
        </w:rPr>
        <w:t> </w:t>
      </w:r>
      <w:r>
        <w:rPr>
          <w:color w:val="231F20"/>
          <w:w w:val="120"/>
          <w:sz w:val="17"/>
        </w:rPr>
        <w:t>type</w:t>
      </w:r>
      <w:r>
        <w:rPr>
          <w:color w:val="231F20"/>
          <w:spacing w:val="-8"/>
          <w:w w:val="120"/>
          <w:sz w:val="17"/>
        </w:rPr>
        <w:t> </w:t>
      </w:r>
      <w:r>
        <w:rPr>
          <w:color w:val="231F20"/>
          <w:w w:val="120"/>
          <w:sz w:val="17"/>
        </w:rPr>
        <w:t>de</w:t>
      </w:r>
      <w:r>
        <w:rPr>
          <w:color w:val="231F20"/>
          <w:spacing w:val="-8"/>
          <w:w w:val="120"/>
          <w:sz w:val="17"/>
        </w:rPr>
        <w:t> </w:t>
      </w:r>
      <w:r>
        <w:rPr>
          <w:color w:val="231F20"/>
          <w:w w:val="120"/>
          <w:sz w:val="17"/>
        </w:rPr>
        <w:t>méthode</w:t>
      </w:r>
      <w:r>
        <w:rPr>
          <w:color w:val="231F20"/>
          <w:spacing w:val="-8"/>
          <w:w w:val="120"/>
          <w:sz w:val="17"/>
        </w:rPr>
        <w:t> </w:t>
      </w:r>
      <w:r>
        <w:rPr>
          <w:color w:val="231F20"/>
          <w:w w:val="120"/>
          <w:sz w:val="17"/>
        </w:rPr>
        <w:t>de</w:t>
      </w:r>
      <w:r>
        <w:rPr>
          <w:color w:val="231F20"/>
          <w:spacing w:val="-8"/>
          <w:w w:val="120"/>
          <w:sz w:val="17"/>
        </w:rPr>
        <w:t> </w:t>
      </w:r>
      <w:r>
        <w:rPr>
          <w:i/>
          <w:color w:val="231F20"/>
          <w:w w:val="120"/>
          <w:sz w:val="17"/>
        </w:rPr>
        <w:t>biofeedback </w:t>
      </w:r>
      <w:r>
        <w:rPr>
          <w:color w:val="231F20"/>
          <w:w w:val="120"/>
          <w:sz w:val="17"/>
        </w:rPr>
        <w:t>consiste à mesurer la quantité d’électricité transmise entre deux électrodes placées sur la peau.</w:t>
      </w:r>
    </w:p>
    <w:p>
      <w:pPr>
        <w:pStyle w:val="ListParagraph"/>
        <w:numPr>
          <w:ilvl w:val="1"/>
          <w:numId w:val="84"/>
        </w:numPr>
        <w:tabs>
          <w:tab w:pos="1331" w:val="left" w:leader="none"/>
        </w:tabs>
        <w:spacing w:line="307" w:lineRule="auto" w:before="79" w:after="0"/>
        <w:ind w:left="1330" w:right="495" w:hanging="251"/>
        <w:jc w:val="both"/>
        <w:rPr>
          <w:sz w:val="17"/>
        </w:rPr>
      </w:pPr>
      <w:r>
        <w:rPr>
          <w:i/>
          <w:color w:val="231F20"/>
          <w:w w:val="115"/>
          <w:sz w:val="17"/>
        </w:rPr>
        <w:t>L’activité</w:t>
      </w:r>
      <w:r>
        <w:rPr>
          <w:i/>
          <w:color w:val="231F20"/>
          <w:spacing w:val="-9"/>
          <w:w w:val="115"/>
          <w:sz w:val="17"/>
        </w:rPr>
        <w:t> </w:t>
      </w:r>
      <w:r>
        <w:rPr>
          <w:i/>
          <w:color w:val="231F20"/>
          <w:w w:val="115"/>
          <w:sz w:val="17"/>
        </w:rPr>
        <w:t>électrique</w:t>
      </w:r>
      <w:r>
        <w:rPr>
          <w:i/>
          <w:color w:val="231F20"/>
          <w:spacing w:val="-9"/>
          <w:w w:val="115"/>
          <w:sz w:val="17"/>
        </w:rPr>
        <w:t> </w:t>
      </w:r>
      <w:r>
        <w:rPr>
          <w:i/>
          <w:color w:val="231F20"/>
          <w:w w:val="115"/>
          <w:sz w:val="17"/>
        </w:rPr>
        <w:t>des</w:t>
      </w:r>
      <w:r>
        <w:rPr>
          <w:i/>
          <w:color w:val="231F20"/>
          <w:spacing w:val="-9"/>
          <w:w w:val="115"/>
          <w:sz w:val="17"/>
        </w:rPr>
        <w:t> </w:t>
      </w:r>
      <w:r>
        <w:rPr>
          <w:i/>
          <w:color w:val="231F20"/>
          <w:w w:val="115"/>
          <w:sz w:val="17"/>
        </w:rPr>
        <w:t>muscles</w:t>
      </w:r>
      <w:r>
        <w:rPr>
          <w:color w:val="231F20"/>
          <w:w w:val="115"/>
          <w:sz w:val="17"/>
        </w:rPr>
        <w:t>.</w:t>
      </w:r>
      <w:r>
        <w:rPr>
          <w:color w:val="231F20"/>
          <w:spacing w:val="-9"/>
          <w:w w:val="115"/>
          <w:sz w:val="17"/>
        </w:rPr>
        <w:t> </w:t>
      </w:r>
      <w:r>
        <w:rPr>
          <w:color w:val="231F20"/>
          <w:w w:val="115"/>
          <w:sz w:val="17"/>
        </w:rPr>
        <w:t>Cette</w:t>
      </w:r>
      <w:r>
        <w:rPr>
          <w:color w:val="231F20"/>
          <w:spacing w:val="-9"/>
          <w:w w:val="115"/>
          <w:sz w:val="17"/>
        </w:rPr>
        <w:t> </w:t>
      </w:r>
      <w:r>
        <w:rPr>
          <w:color w:val="231F20"/>
          <w:w w:val="115"/>
          <w:sz w:val="17"/>
        </w:rPr>
        <w:t>méthode</w:t>
      </w:r>
      <w:r>
        <w:rPr>
          <w:color w:val="231F20"/>
          <w:spacing w:val="-9"/>
          <w:w w:val="115"/>
          <w:sz w:val="17"/>
        </w:rPr>
        <w:t> </w:t>
      </w:r>
      <w:r>
        <w:rPr>
          <w:color w:val="231F20"/>
          <w:w w:val="115"/>
          <w:sz w:val="17"/>
        </w:rPr>
        <w:t>consiste</w:t>
      </w:r>
      <w:r>
        <w:rPr>
          <w:color w:val="231F20"/>
          <w:spacing w:val="-9"/>
          <w:w w:val="115"/>
          <w:sz w:val="17"/>
        </w:rPr>
        <w:t> </w:t>
      </w:r>
      <w:r>
        <w:rPr>
          <w:color w:val="231F20"/>
          <w:w w:val="115"/>
          <w:sz w:val="17"/>
        </w:rPr>
        <w:t>à</w:t>
      </w:r>
      <w:r>
        <w:rPr>
          <w:color w:val="231F20"/>
          <w:spacing w:val="-9"/>
          <w:w w:val="115"/>
          <w:sz w:val="17"/>
        </w:rPr>
        <w:t> </w:t>
      </w:r>
      <w:r>
        <w:rPr>
          <w:color w:val="231F20"/>
          <w:w w:val="115"/>
          <w:sz w:val="17"/>
        </w:rPr>
        <w:t>mesurer </w:t>
      </w:r>
      <w:r>
        <w:rPr>
          <w:color w:val="231F20"/>
          <w:w w:val="120"/>
          <w:sz w:val="17"/>
        </w:rPr>
        <w:t>l’activité</w:t>
      </w:r>
      <w:r>
        <w:rPr>
          <w:color w:val="231F20"/>
          <w:spacing w:val="-10"/>
          <w:w w:val="120"/>
          <w:sz w:val="17"/>
        </w:rPr>
        <w:t> </w:t>
      </w:r>
      <w:r>
        <w:rPr>
          <w:color w:val="231F20"/>
          <w:w w:val="120"/>
          <w:sz w:val="17"/>
        </w:rPr>
        <w:t>électrique</w:t>
      </w:r>
      <w:r>
        <w:rPr>
          <w:color w:val="231F20"/>
          <w:spacing w:val="-10"/>
          <w:w w:val="120"/>
          <w:sz w:val="17"/>
        </w:rPr>
        <w:t> </w:t>
      </w:r>
      <w:r>
        <w:rPr>
          <w:color w:val="231F20"/>
          <w:w w:val="120"/>
          <w:sz w:val="17"/>
        </w:rPr>
        <w:t>des</w:t>
      </w:r>
      <w:r>
        <w:rPr>
          <w:color w:val="231F20"/>
          <w:spacing w:val="-10"/>
          <w:w w:val="120"/>
          <w:sz w:val="17"/>
        </w:rPr>
        <w:t> </w:t>
      </w:r>
      <w:r>
        <w:rPr>
          <w:color w:val="231F20"/>
          <w:w w:val="120"/>
          <w:sz w:val="17"/>
        </w:rPr>
        <w:t>muscles</w:t>
      </w:r>
      <w:r>
        <w:rPr>
          <w:color w:val="231F20"/>
          <w:spacing w:val="-10"/>
          <w:w w:val="120"/>
          <w:sz w:val="17"/>
        </w:rPr>
        <w:t> </w:t>
      </w:r>
      <w:r>
        <w:rPr>
          <w:color w:val="231F20"/>
          <w:w w:val="120"/>
          <w:sz w:val="17"/>
        </w:rPr>
        <w:t>situés</w:t>
      </w:r>
      <w:r>
        <w:rPr>
          <w:color w:val="231F20"/>
          <w:spacing w:val="-10"/>
          <w:w w:val="120"/>
          <w:sz w:val="17"/>
        </w:rPr>
        <w:t> </w:t>
      </w:r>
      <w:r>
        <w:rPr>
          <w:color w:val="231F20"/>
          <w:w w:val="120"/>
          <w:sz w:val="17"/>
        </w:rPr>
        <w:t>sous</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surface</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la</w:t>
      </w:r>
      <w:r>
        <w:rPr>
          <w:color w:val="231F20"/>
          <w:spacing w:val="-10"/>
          <w:w w:val="120"/>
          <w:sz w:val="17"/>
        </w:rPr>
        <w:t> </w:t>
      </w:r>
      <w:r>
        <w:rPr>
          <w:color w:val="231F20"/>
          <w:w w:val="120"/>
          <w:sz w:val="17"/>
        </w:rPr>
        <w:t>peau. On peut ainsi évaluer le niveau de tension de ces muscles.</w:t>
      </w:r>
    </w:p>
    <w:p>
      <w:pPr>
        <w:pStyle w:val="BodyText"/>
        <w:spacing w:line="307" w:lineRule="auto" w:before="79"/>
        <w:ind w:left="830" w:right="496"/>
        <w:jc w:val="both"/>
      </w:pPr>
      <w:r>
        <w:rPr>
          <w:color w:val="231F20"/>
          <w:w w:val="120"/>
        </w:rPr>
        <w:t>Le</w:t>
      </w:r>
      <w:r>
        <w:rPr>
          <w:color w:val="231F20"/>
          <w:spacing w:val="-13"/>
          <w:w w:val="120"/>
        </w:rPr>
        <w:t> </w:t>
      </w:r>
      <w:r>
        <w:rPr>
          <w:i/>
          <w:color w:val="231F20"/>
          <w:w w:val="120"/>
        </w:rPr>
        <w:t>biofeedback</w:t>
      </w:r>
      <w:r>
        <w:rPr>
          <w:i/>
          <w:color w:val="231F20"/>
          <w:spacing w:val="-13"/>
          <w:w w:val="120"/>
        </w:rPr>
        <w:t> </w:t>
      </w:r>
      <w:r>
        <w:rPr>
          <w:color w:val="231F20"/>
          <w:w w:val="120"/>
        </w:rPr>
        <w:t>occupe</w:t>
      </w:r>
      <w:r>
        <w:rPr>
          <w:color w:val="231F20"/>
          <w:spacing w:val="-13"/>
          <w:w w:val="120"/>
        </w:rPr>
        <w:t> </w:t>
      </w:r>
      <w:r>
        <w:rPr>
          <w:color w:val="231F20"/>
          <w:w w:val="120"/>
        </w:rPr>
        <w:t>une</w:t>
      </w:r>
      <w:r>
        <w:rPr>
          <w:color w:val="231F20"/>
          <w:spacing w:val="-12"/>
          <w:w w:val="120"/>
        </w:rPr>
        <w:t> </w:t>
      </w:r>
      <w:r>
        <w:rPr>
          <w:color w:val="231F20"/>
          <w:w w:val="120"/>
        </w:rPr>
        <w:t>certaine</w:t>
      </w:r>
      <w:r>
        <w:rPr>
          <w:color w:val="231F20"/>
          <w:spacing w:val="-13"/>
          <w:w w:val="120"/>
        </w:rPr>
        <w:t> </w:t>
      </w:r>
      <w:r>
        <w:rPr>
          <w:color w:val="231F20"/>
          <w:w w:val="120"/>
        </w:rPr>
        <w:t>position</w:t>
      </w:r>
      <w:r>
        <w:rPr>
          <w:color w:val="231F20"/>
          <w:spacing w:val="-13"/>
          <w:w w:val="120"/>
        </w:rPr>
        <w:t> </w:t>
      </w:r>
      <w:r>
        <w:rPr>
          <w:color w:val="231F20"/>
          <w:w w:val="120"/>
        </w:rPr>
        <w:t>dans</w:t>
      </w:r>
      <w:r>
        <w:rPr>
          <w:color w:val="231F20"/>
          <w:spacing w:val="-13"/>
          <w:w w:val="120"/>
        </w:rPr>
        <w:t> </w:t>
      </w:r>
      <w:r>
        <w:rPr>
          <w:color w:val="231F20"/>
          <w:w w:val="120"/>
        </w:rPr>
        <w:t>le</w:t>
      </w:r>
      <w:r>
        <w:rPr>
          <w:color w:val="231F20"/>
          <w:spacing w:val="-12"/>
          <w:w w:val="120"/>
        </w:rPr>
        <w:t> </w:t>
      </w:r>
      <w:r>
        <w:rPr>
          <w:color w:val="231F20"/>
          <w:w w:val="120"/>
        </w:rPr>
        <w:t>traitement</w:t>
      </w:r>
      <w:r>
        <w:rPr>
          <w:color w:val="231F20"/>
          <w:spacing w:val="-13"/>
          <w:w w:val="120"/>
        </w:rPr>
        <w:t> </w:t>
      </w:r>
      <w:r>
        <w:rPr>
          <w:color w:val="231F20"/>
          <w:w w:val="120"/>
        </w:rPr>
        <w:t>psycho- somatique</w:t>
      </w:r>
      <w:r>
        <w:rPr>
          <w:color w:val="231F20"/>
          <w:spacing w:val="-10"/>
          <w:w w:val="120"/>
        </w:rPr>
        <w:t> </w:t>
      </w:r>
      <w:r>
        <w:rPr>
          <w:color w:val="231F20"/>
          <w:w w:val="120"/>
        </w:rPr>
        <w:t>des</w:t>
      </w:r>
      <w:r>
        <w:rPr>
          <w:color w:val="231F20"/>
          <w:spacing w:val="-10"/>
          <w:w w:val="120"/>
        </w:rPr>
        <w:t> </w:t>
      </w:r>
      <w:r>
        <w:rPr>
          <w:color w:val="231F20"/>
          <w:w w:val="120"/>
        </w:rPr>
        <w:t>conséquences</w:t>
      </w:r>
      <w:r>
        <w:rPr>
          <w:color w:val="231F20"/>
          <w:spacing w:val="-10"/>
          <w:w w:val="120"/>
        </w:rPr>
        <w:t> </w:t>
      </w:r>
      <w:r>
        <w:rPr>
          <w:color w:val="231F20"/>
          <w:w w:val="120"/>
        </w:rPr>
        <w:t>du</w:t>
      </w:r>
      <w:r>
        <w:rPr>
          <w:color w:val="231F20"/>
          <w:spacing w:val="-10"/>
          <w:w w:val="120"/>
        </w:rPr>
        <w:t> </w:t>
      </w:r>
      <w:r>
        <w:rPr>
          <w:color w:val="231F20"/>
          <w:w w:val="120"/>
        </w:rPr>
        <w:t>stress.</w:t>
      </w:r>
      <w:r>
        <w:rPr>
          <w:color w:val="231F20"/>
          <w:spacing w:val="-10"/>
          <w:w w:val="120"/>
        </w:rPr>
        <w:t> </w:t>
      </w:r>
      <w:r>
        <w:rPr>
          <w:color w:val="231F20"/>
          <w:w w:val="120"/>
        </w:rPr>
        <w:t>Dans</w:t>
      </w:r>
      <w:r>
        <w:rPr>
          <w:color w:val="231F20"/>
          <w:spacing w:val="-10"/>
          <w:w w:val="120"/>
        </w:rPr>
        <w:t> </w:t>
      </w:r>
      <w:r>
        <w:rPr>
          <w:color w:val="231F20"/>
          <w:w w:val="120"/>
        </w:rPr>
        <w:t>certains</w:t>
      </w:r>
      <w:r>
        <w:rPr>
          <w:color w:val="231F20"/>
          <w:spacing w:val="-10"/>
          <w:w w:val="120"/>
        </w:rPr>
        <w:t> </w:t>
      </w:r>
      <w:r>
        <w:rPr>
          <w:color w:val="231F20"/>
          <w:w w:val="120"/>
        </w:rPr>
        <w:t>cas,</w:t>
      </w:r>
      <w:r>
        <w:rPr>
          <w:color w:val="231F20"/>
          <w:spacing w:val="-10"/>
          <w:w w:val="120"/>
        </w:rPr>
        <w:t> </w:t>
      </w:r>
      <w:r>
        <w:rPr>
          <w:color w:val="231F20"/>
          <w:w w:val="120"/>
        </w:rPr>
        <w:t>les</w:t>
      </w:r>
      <w:r>
        <w:rPr>
          <w:color w:val="231F20"/>
          <w:spacing w:val="-10"/>
          <w:w w:val="120"/>
        </w:rPr>
        <w:t> </w:t>
      </w:r>
      <w:r>
        <w:rPr>
          <w:color w:val="231F20"/>
          <w:w w:val="120"/>
        </w:rPr>
        <w:t>migraines </w:t>
      </w:r>
      <w:r>
        <w:rPr>
          <w:color w:val="231F20"/>
          <w:spacing w:val="-2"/>
          <w:w w:val="120"/>
        </w:rPr>
        <w:t>répondent</w:t>
      </w:r>
      <w:r>
        <w:rPr>
          <w:color w:val="231F20"/>
          <w:spacing w:val="-11"/>
          <w:w w:val="120"/>
        </w:rPr>
        <w:t> </w:t>
      </w:r>
      <w:r>
        <w:rPr>
          <w:color w:val="231F20"/>
          <w:spacing w:val="-2"/>
          <w:w w:val="120"/>
        </w:rPr>
        <w:t>bien</w:t>
      </w:r>
      <w:r>
        <w:rPr>
          <w:color w:val="231F20"/>
          <w:spacing w:val="-11"/>
          <w:w w:val="120"/>
        </w:rPr>
        <w:t> </w:t>
      </w:r>
      <w:r>
        <w:rPr>
          <w:color w:val="231F20"/>
          <w:spacing w:val="-2"/>
          <w:w w:val="120"/>
        </w:rPr>
        <w:t>au</w:t>
      </w:r>
      <w:r>
        <w:rPr>
          <w:color w:val="231F20"/>
          <w:spacing w:val="-11"/>
          <w:w w:val="120"/>
        </w:rPr>
        <w:t> </w:t>
      </w:r>
      <w:r>
        <w:rPr>
          <w:color w:val="231F20"/>
          <w:spacing w:val="-2"/>
          <w:w w:val="120"/>
        </w:rPr>
        <w:t>traitement</w:t>
      </w:r>
      <w:r>
        <w:rPr>
          <w:color w:val="231F20"/>
          <w:spacing w:val="-8"/>
          <w:w w:val="120"/>
        </w:rPr>
        <w:t> </w:t>
      </w:r>
      <w:r>
        <w:rPr>
          <w:color w:val="231F20"/>
          <w:spacing w:val="-2"/>
          <w:w w:val="120"/>
        </w:rPr>
        <w:t>par</w:t>
      </w:r>
      <w:r>
        <w:rPr>
          <w:color w:val="231F20"/>
          <w:spacing w:val="-5"/>
          <w:w w:val="120"/>
        </w:rPr>
        <w:t> </w:t>
      </w:r>
      <w:r>
        <w:rPr>
          <w:i/>
          <w:color w:val="231F20"/>
          <w:spacing w:val="-2"/>
          <w:w w:val="120"/>
        </w:rPr>
        <w:t>biofeedback</w:t>
      </w:r>
      <w:r>
        <w:rPr>
          <w:i/>
          <w:color w:val="231F20"/>
          <w:spacing w:val="-11"/>
          <w:w w:val="120"/>
        </w:rPr>
        <w:t> </w:t>
      </w:r>
      <w:r>
        <w:rPr>
          <w:color w:val="231F20"/>
          <w:spacing w:val="-2"/>
          <w:w w:val="120"/>
        </w:rPr>
        <w:t>;</w:t>
      </w:r>
      <w:r>
        <w:rPr>
          <w:color w:val="231F20"/>
          <w:spacing w:val="-5"/>
          <w:w w:val="120"/>
        </w:rPr>
        <w:t> </w:t>
      </w:r>
      <w:r>
        <w:rPr>
          <w:color w:val="231F20"/>
          <w:spacing w:val="-2"/>
          <w:w w:val="120"/>
        </w:rPr>
        <w:t>le</w:t>
      </w:r>
      <w:r>
        <w:rPr>
          <w:color w:val="231F20"/>
          <w:spacing w:val="-5"/>
          <w:w w:val="120"/>
        </w:rPr>
        <w:t> </w:t>
      </w:r>
      <w:r>
        <w:rPr>
          <w:color w:val="231F20"/>
          <w:spacing w:val="-2"/>
          <w:w w:val="120"/>
        </w:rPr>
        <w:t>sujet</w:t>
      </w:r>
      <w:r>
        <w:rPr>
          <w:color w:val="231F20"/>
          <w:spacing w:val="-5"/>
          <w:w w:val="120"/>
        </w:rPr>
        <w:t> </w:t>
      </w:r>
      <w:r>
        <w:rPr>
          <w:color w:val="231F20"/>
          <w:spacing w:val="-2"/>
          <w:w w:val="120"/>
        </w:rPr>
        <w:t>peut</w:t>
      </w:r>
      <w:r>
        <w:rPr>
          <w:color w:val="231F20"/>
          <w:spacing w:val="-5"/>
          <w:w w:val="120"/>
        </w:rPr>
        <w:t> </w:t>
      </w:r>
      <w:r>
        <w:rPr>
          <w:color w:val="231F20"/>
          <w:spacing w:val="-2"/>
          <w:w w:val="120"/>
        </w:rPr>
        <w:t>aussi</w:t>
      </w:r>
      <w:r>
        <w:rPr>
          <w:color w:val="231F20"/>
          <w:spacing w:val="-5"/>
          <w:w w:val="120"/>
        </w:rPr>
        <w:t> </w:t>
      </w:r>
      <w:r>
        <w:rPr>
          <w:color w:val="231F20"/>
          <w:spacing w:val="-2"/>
          <w:w w:val="120"/>
        </w:rPr>
        <w:t>réduire </w:t>
      </w:r>
      <w:r>
        <w:rPr>
          <w:color w:val="231F20"/>
          <w:w w:val="120"/>
        </w:rPr>
        <w:t>sa tension artérielle au moyen d’une technique de ce type.</w:t>
      </w:r>
    </w:p>
    <w:p>
      <w:pPr>
        <w:pStyle w:val="BodyText"/>
        <w:spacing w:line="307" w:lineRule="auto" w:before="79"/>
        <w:ind w:left="830" w:right="494" w:firstLine="250"/>
        <w:jc w:val="both"/>
      </w:pPr>
      <w:r>
        <w:rPr>
          <w:color w:val="231F20"/>
          <w:w w:val="120"/>
        </w:rPr>
        <w:t>Plus récemment, les connaissances en neurosciences permettent d’étendre</w:t>
      </w:r>
      <w:r>
        <w:rPr>
          <w:color w:val="231F20"/>
          <w:spacing w:val="-9"/>
          <w:w w:val="120"/>
        </w:rPr>
        <w:t> </w:t>
      </w:r>
      <w:r>
        <w:rPr>
          <w:color w:val="231F20"/>
          <w:w w:val="120"/>
        </w:rPr>
        <w:t>cette</w:t>
      </w:r>
      <w:r>
        <w:rPr>
          <w:color w:val="231F20"/>
          <w:spacing w:val="-9"/>
          <w:w w:val="120"/>
        </w:rPr>
        <w:t> </w:t>
      </w:r>
      <w:r>
        <w:rPr>
          <w:color w:val="231F20"/>
          <w:w w:val="120"/>
        </w:rPr>
        <w:t>technique</w:t>
      </w:r>
      <w:r>
        <w:rPr>
          <w:color w:val="231F20"/>
          <w:spacing w:val="-9"/>
          <w:w w:val="120"/>
        </w:rPr>
        <w:t> </w:t>
      </w:r>
      <w:r>
        <w:rPr>
          <w:color w:val="231F20"/>
          <w:w w:val="120"/>
        </w:rPr>
        <w:t>au</w:t>
      </w:r>
      <w:r>
        <w:rPr>
          <w:color w:val="231F20"/>
          <w:spacing w:val="-9"/>
          <w:w w:val="120"/>
        </w:rPr>
        <w:t> </w:t>
      </w:r>
      <w:r>
        <w:rPr>
          <w:color w:val="231F20"/>
          <w:w w:val="120"/>
        </w:rPr>
        <w:t>contrôle</w:t>
      </w:r>
      <w:r>
        <w:rPr>
          <w:color w:val="231F20"/>
          <w:spacing w:val="-9"/>
          <w:w w:val="120"/>
        </w:rPr>
        <w:t> </w:t>
      </w:r>
      <w:r>
        <w:rPr>
          <w:color w:val="231F20"/>
          <w:w w:val="120"/>
        </w:rPr>
        <w:t>de</w:t>
      </w:r>
      <w:r>
        <w:rPr>
          <w:color w:val="231F20"/>
          <w:spacing w:val="-9"/>
          <w:w w:val="120"/>
        </w:rPr>
        <w:t> </w:t>
      </w:r>
      <w:r>
        <w:rPr>
          <w:color w:val="231F20"/>
          <w:w w:val="120"/>
        </w:rPr>
        <w:t>l’activation</w:t>
      </w:r>
      <w:r>
        <w:rPr>
          <w:color w:val="231F20"/>
          <w:spacing w:val="-9"/>
          <w:w w:val="120"/>
        </w:rPr>
        <w:t> </w:t>
      </w:r>
      <w:r>
        <w:rPr>
          <w:color w:val="231F20"/>
          <w:w w:val="120"/>
        </w:rPr>
        <w:t>de</w:t>
      </w:r>
      <w:r>
        <w:rPr>
          <w:color w:val="231F20"/>
          <w:spacing w:val="-9"/>
          <w:w w:val="120"/>
        </w:rPr>
        <w:t> </w:t>
      </w:r>
      <w:r>
        <w:rPr>
          <w:color w:val="231F20"/>
          <w:w w:val="120"/>
        </w:rPr>
        <w:t>certains</w:t>
      </w:r>
      <w:r>
        <w:rPr>
          <w:color w:val="231F20"/>
          <w:spacing w:val="-9"/>
          <w:w w:val="120"/>
        </w:rPr>
        <w:t> </w:t>
      </w:r>
      <w:r>
        <w:rPr>
          <w:color w:val="231F20"/>
          <w:w w:val="120"/>
        </w:rPr>
        <w:t>indices </w:t>
      </w:r>
      <w:r>
        <w:rPr>
          <w:color w:val="231F20"/>
          <w:w w:val="115"/>
        </w:rPr>
        <w:t>neurologiques</w:t>
      </w:r>
      <w:r>
        <w:rPr>
          <w:color w:val="231F20"/>
          <w:spacing w:val="-13"/>
          <w:w w:val="115"/>
        </w:rPr>
        <w:t> </w:t>
      </w:r>
      <w:r>
        <w:rPr>
          <w:color w:val="231F20"/>
          <w:w w:val="115"/>
        </w:rPr>
        <w:t>comme</w:t>
      </w:r>
      <w:r>
        <w:rPr>
          <w:color w:val="231F20"/>
          <w:spacing w:val="-12"/>
          <w:w w:val="115"/>
        </w:rPr>
        <w:t> </w:t>
      </w:r>
      <w:r>
        <w:rPr>
          <w:color w:val="231F20"/>
          <w:w w:val="115"/>
        </w:rPr>
        <w:t>l’activation</w:t>
      </w:r>
      <w:r>
        <w:rPr>
          <w:color w:val="231F20"/>
          <w:spacing w:val="-12"/>
          <w:w w:val="115"/>
        </w:rPr>
        <w:t> </w:t>
      </w:r>
      <w:r>
        <w:rPr>
          <w:color w:val="231F20"/>
          <w:w w:val="115"/>
        </w:rPr>
        <w:t>de</w:t>
      </w:r>
      <w:r>
        <w:rPr>
          <w:color w:val="231F20"/>
          <w:spacing w:val="-12"/>
          <w:w w:val="115"/>
        </w:rPr>
        <w:t> </w:t>
      </w:r>
      <w:r>
        <w:rPr>
          <w:color w:val="231F20"/>
          <w:w w:val="115"/>
        </w:rPr>
        <w:t>certaines</w:t>
      </w:r>
      <w:r>
        <w:rPr>
          <w:color w:val="231F20"/>
          <w:spacing w:val="-13"/>
          <w:w w:val="115"/>
        </w:rPr>
        <w:t> </w:t>
      </w:r>
      <w:r>
        <w:rPr>
          <w:color w:val="231F20"/>
          <w:w w:val="115"/>
        </w:rPr>
        <w:t>zones</w:t>
      </w:r>
      <w:r>
        <w:rPr>
          <w:color w:val="231F20"/>
          <w:spacing w:val="-12"/>
          <w:w w:val="115"/>
        </w:rPr>
        <w:t> </w:t>
      </w:r>
      <w:r>
        <w:rPr>
          <w:color w:val="231F20"/>
          <w:w w:val="115"/>
        </w:rPr>
        <w:t>cérébrales</w:t>
      </w:r>
      <w:r>
        <w:rPr>
          <w:color w:val="231F20"/>
          <w:spacing w:val="-12"/>
          <w:w w:val="115"/>
        </w:rPr>
        <w:t> </w:t>
      </w:r>
      <w:r>
        <w:rPr>
          <w:color w:val="231F20"/>
          <w:w w:val="115"/>
        </w:rPr>
        <w:t>ou</w:t>
      </w:r>
      <w:r>
        <w:rPr>
          <w:color w:val="231F20"/>
          <w:spacing w:val="-12"/>
          <w:w w:val="115"/>
        </w:rPr>
        <w:t> </w:t>
      </w:r>
      <w:r>
        <w:rPr>
          <w:color w:val="231F20"/>
          <w:w w:val="115"/>
        </w:rPr>
        <w:t>l’émis- sion d’ondes cérébrales particulières. De façon analogue au </w:t>
      </w:r>
      <w:r>
        <w:rPr>
          <w:i/>
          <w:color w:val="231F20"/>
          <w:w w:val="115"/>
        </w:rPr>
        <w:t>biofeedback</w:t>
      </w:r>
      <w:r>
        <w:rPr>
          <w:color w:val="231F20"/>
          <w:w w:val="115"/>
        </w:rPr>
        <w:t>, </w:t>
      </w:r>
      <w:r>
        <w:rPr>
          <w:color w:val="231F20"/>
          <w:w w:val="120"/>
        </w:rPr>
        <w:t>le</w:t>
      </w:r>
      <w:r>
        <w:rPr>
          <w:color w:val="231F20"/>
          <w:spacing w:val="-15"/>
          <w:w w:val="120"/>
        </w:rPr>
        <w:t> </w:t>
      </w:r>
      <w:r>
        <w:rPr>
          <w:i/>
          <w:color w:val="231F20"/>
          <w:w w:val="120"/>
        </w:rPr>
        <w:t>neurofeedback</w:t>
      </w:r>
      <w:r>
        <w:rPr>
          <w:i/>
          <w:color w:val="231F20"/>
          <w:spacing w:val="-13"/>
          <w:w w:val="120"/>
        </w:rPr>
        <w:t> </w:t>
      </w:r>
      <w:r>
        <w:rPr>
          <w:color w:val="231F20"/>
          <w:w w:val="120"/>
        </w:rPr>
        <w:t>aide</w:t>
      </w:r>
      <w:r>
        <w:rPr>
          <w:color w:val="231F20"/>
          <w:spacing w:val="-13"/>
          <w:w w:val="120"/>
        </w:rPr>
        <w:t> </w:t>
      </w:r>
      <w:r>
        <w:rPr>
          <w:color w:val="231F20"/>
          <w:w w:val="120"/>
        </w:rPr>
        <w:t>l’individu</w:t>
      </w:r>
      <w:r>
        <w:rPr>
          <w:color w:val="231F20"/>
          <w:spacing w:val="-12"/>
          <w:w w:val="120"/>
        </w:rPr>
        <w:t> </w:t>
      </w:r>
      <w:r>
        <w:rPr>
          <w:color w:val="231F20"/>
          <w:w w:val="120"/>
        </w:rPr>
        <w:t>à</w:t>
      </w:r>
      <w:r>
        <w:rPr>
          <w:color w:val="231F20"/>
          <w:spacing w:val="-13"/>
          <w:w w:val="120"/>
        </w:rPr>
        <w:t> </w:t>
      </w:r>
      <w:r>
        <w:rPr>
          <w:color w:val="231F20"/>
          <w:w w:val="120"/>
        </w:rPr>
        <w:t>moduler</w:t>
      </w:r>
      <w:r>
        <w:rPr>
          <w:color w:val="231F20"/>
          <w:spacing w:val="-13"/>
          <w:w w:val="120"/>
        </w:rPr>
        <w:t> </w:t>
      </w:r>
      <w:r>
        <w:rPr>
          <w:color w:val="231F20"/>
          <w:w w:val="120"/>
        </w:rPr>
        <w:t>ses</w:t>
      </w:r>
      <w:r>
        <w:rPr>
          <w:color w:val="231F20"/>
          <w:spacing w:val="-13"/>
          <w:w w:val="120"/>
        </w:rPr>
        <w:t> </w:t>
      </w:r>
      <w:r>
        <w:rPr>
          <w:color w:val="231F20"/>
          <w:w w:val="120"/>
        </w:rPr>
        <w:t>réponses</w:t>
      </w:r>
      <w:r>
        <w:rPr>
          <w:color w:val="231F20"/>
          <w:spacing w:val="-12"/>
          <w:w w:val="120"/>
        </w:rPr>
        <w:t> </w:t>
      </w:r>
      <w:r>
        <w:rPr>
          <w:color w:val="231F20"/>
          <w:w w:val="120"/>
        </w:rPr>
        <w:t>neurologiques, à</w:t>
      </w:r>
      <w:r>
        <w:rPr>
          <w:color w:val="231F20"/>
          <w:spacing w:val="-13"/>
          <w:w w:val="120"/>
        </w:rPr>
        <w:t> </w:t>
      </w:r>
      <w:r>
        <w:rPr>
          <w:color w:val="231F20"/>
          <w:w w:val="120"/>
        </w:rPr>
        <w:t>l’aide</w:t>
      </w:r>
      <w:r>
        <w:rPr>
          <w:color w:val="231F20"/>
          <w:spacing w:val="-13"/>
          <w:w w:val="120"/>
        </w:rPr>
        <w:t> </w:t>
      </w:r>
      <w:r>
        <w:rPr>
          <w:color w:val="231F20"/>
          <w:w w:val="120"/>
        </w:rPr>
        <w:t>d’exercices</w:t>
      </w:r>
      <w:r>
        <w:rPr>
          <w:color w:val="231F20"/>
          <w:spacing w:val="-13"/>
          <w:w w:val="120"/>
        </w:rPr>
        <w:t> </w:t>
      </w:r>
      <w:r>
        <w:rPr>
          <w:color w:val="231F20"/>
          <w:w w:val="120"/>
        </w:rPr>
        <w:t>visuels</w:t>
      </w:r>
      <w:r>
        <w:rPr>
          <w:color w:val="231F20"/>
          <w:spacing w:val="-12"/>
          <w:w w:val="120"/>
        </w:rPr>
        <w:t> </w:t>
      </w:r>
      <w:r>
        <w:rPr>
          <w:color w:val="231F20"/>
          <w:w w:val="120"/>
        </w:rPr>
        <w:t>ou</w:t>
      </w:r>
      <w:r>
        <w:rPr>
          <w:color w:val="231F20"/>
          <w:spacing w:val="-13"/>
          <w:w w:val="120"/>
        </w:rPr>
        <w:t> </w:t>
      </w:r>
      <w:r>
        <w:rPr>
          <w:color w:val="231F20"/>
          <w:w w:val="120"/>
        </w:rPr>
        <w:t>auditifs,</w:t>
      </w:r>
      <w:r>
        <w:rPr>
          <w:color w:val="231F20"/>
          <w:spacing w:val="-13"/>
          <w:w w:val="120"/>
        </w:rPr>
        <w:t> </w:t>
      </w:r>
      <w:r>
        <w:rPr>
          <w:color w:val="231F20"/>
          <w:w w:val="120"/>
        </w:rPr>
        <w:t>cette</w:t>
      </w:r>
      <w:r>
        <w:rPr>
          <w:color w:val="231F20"/>
          <w:spacing w:val="-13"/>
          <w:w w:val="120"/>
        </w:rPr>
        <w:t> </w:t>
      </w:r>
      <w:r>
        <w:rPr>
          <w:color w:val="231F20"/>
          <w:w w:val="120"/>
        </w:rPr>
        <w:t>fois-ci</w:t>
      </w:r>
      <w:r>
        <w:rPr>
          <w:color w:val="231F20"/>
          <w:spacing w:val="-12"/>
          <w:w w:val="120"/>
        </w:rPr>
        <w:t> </w:t>
      </w:r>
      <w:r>
        <w:rPr>
          <w:color w:val="231F20"/>
          <w:w w:val="120"/>
        </w:rPr>
        <w:t>grâce</w:t>
      </w:r>
      <w:r>
        <w:rPr>
          <w:color w:val="231F20"/>
          <w:spacing w:val="-13"/>
          <w:w w:val="120"/>
        </w:rPr>
        <w:t> </w:t>
      </w:r>
      <w:r>
        <w:rPr>
          <w:color w:val="231F20"/>
          <w:w w:val="120"/>
        </w:rPr>
        <w:t>à</w:t>
      </w:r>
      <w:r>
        <w:rPr>
          <w:color w:val="231F20"/>
          <w:spacing w:val="-13"/>
          <w:w w:val="120"/>
        </w:rPr>
        <w:t> </w:t>
      </w:r>
      <w:r>
        <w:rPr>
          <w:color w:val="231F20"/>
          <w:w w:val="120"/>
        </w:rPr>
        <w:t>des</w:t>
      </w:r>
      <w:r>
        <w:rPr>
          <w:color w:val="231F20"/>
          <w:spacing w:val="-13"/>
          <w:w w:val="120"/>
        </w:rPr>
        <w:t> </w:t>
      </w:r>
      <w:r>
        <w:rPr>
          <w:color w:val="231F20"/>
          <w:w w:val="120"/>
        </w:rPr>
        <w:t>capteurs d’activité cérébrale positionnés sur le crâne (p. ex. électroencéphalo- </w:t>
      </w:r>
      <w:r>
        <w:rPr>
          <w:color w:val="231F20"/>
          <w:w w:val="115"/>
        </w:rPr>
        <w:t>graphie</w:t>
      </w:r>
      <w:r>
        <w:rPr>
          <w:color w:val="231F20"/>
          <w:spacing w:val="-1"/>
          <w:w w:val="115"/>
        </w:rPr>
        <w:t> </w:t>
      </w:r>
      <w:r>
        <w:rPr>
          <w:color w:val="231F20"/>
          <w:w w:val="115"/>
        </w:rPr>
        <w:t>–</w:t>
      </w:r>
      <w:r>
        <w:rPr>
          <w:color w:val="231F20"/>
          <w:spacing w:val="-1"/>
          <w:w w:val="115"/>
        </w:rPr>
        <w:t> </w:t>
      </w:r>
      <w:r>
        <w:rPr>
          <w:color w:val="231F20"/>
          <w:w w:val="115"/>
        </w:rPr>
        <w:t>EEG).</w:t>
      </w:r>
      <w:r>
        <w:rPr>
          <w:color w:val="231F20"/>
          <w:spacing w:val="-1"/>
          <w:w w:val="115"/>
        </w:rPr>
        <w:t> </w:t>
      </w:r>
      <w:r>
        <w:rPr>
          <w:color w:val="231F20"/>
          <w:w w:val="115"/>
        </w:rPr>
        <w:t>Le</w:t>
      </w:r>
      <w:r>
        <w:rPr>
          <w:color w:val="231F20"/>
          <w:spacing w:val="-1"/>
          <w:w w:val="115"/>
        </w:rPr>
        <w:t> </w:t>
      </w:r>
      <w:r>
        <w:rPr>
          <w:i/>
          <w:color w:val="231F20"/>
          <w:w w:val="115"/>
        </w:rPr>
        <w:t>neurofeedback</w:t>
      </w:r>
      <w:r>
        <w:rPr>
          <w:i/>
          <w:color w:val="231F20"/>
          <w:spacing w:val="-1"/>
          <w:w w:val="115"/>
        </w:rPr>
        <w:t> </w:t>
      </w:r>
      <w:r>
        <w:rPr>
          <w:color w:val="231F20"/>
          <w:w w:val="115"/>
        </w:rPr>
        <w:t>pourra</w:t>
      </w:r>
      <w:r>
        <w:rPr>
          <w:color w:val="231F20"/>
          <w:spacing w:val="-1"/>
          <w:w w:val="115"/>
        </w:rPr>
        <w:t> </w:t>
      </w:r>
      <w:r>
        <w:rPr>
          <w:color w:val="231F20"/>
          <w:w w:val="115"/>
        </w:rPr>
        <w:t>être</w:t>
      </w:r>
      <w:r>
        <w:rPr>
          <w:color w:val="231F20"/>
          <w:spacing w:val="-1"/>
          <w:w w:val="115"/>
        </w:rPr>
        <w:t> </w:t>
      </w:r>
      <w:r>
        <w:rPr>
          <w:color w:val="231F20"/>
          <w:w w:val="115"/>
        </w:rPr>
        <w:t>utilisé</w:t>
      </w:r>
      <w:r>
        <w:rPr>
          <w:color w:val="231F20"/>
          <w:spacing w:val="-1"/>
          <w:w w:val="115"/>
        </w:rPr>
        <w:t> </w:t>
      </w:r>
      <w:r>
        <w:rPr>
          <w:color w:val="231F20"/>
          <w:w w:val="115"/>
        </w:rPr>
        <w:t>dans</w:t>
      </w:r>
      <w:r>
        <w:rPr>
          <w:color w:val="231F20"/>
          <w:spacing w:val="-1"/>
          <w:w w:val="115"/>
        </w:rPr>
        <w:t> </w:t>
      </w:r>
      <w:r>
        <w:rPr>
          <w:color w:val="231F20"/>
          <w:w w:val="115"/>
        </w:rPr>
        <w:t>le</w:t>
      </w:r>
      <w:r>
        <w:rPr>
          <w:color w:val="231F20"/>
          <w:spacing w:val="-1"/>
          <w:w w:val="115"/>
        </w:rPr>
        <w:t> </w:t>
      </w:r>
      <w:r>
        <w:rPr>
          <w:color w:val="231F20"/>
          <w:w w:val="115"/>
        </w:rPr>
        <w:t>cadre</w:t>
      </w:r>
      <w:r>
        <w:rPr>
          <w:color w:val="231F20"/>
          <w:spacing w:val="-1"/>
          <w:w w:val="115"/>
        </w:rPr>
        <w:t> </w:t>
      </w:r>
      <w:r>
        <w:rPr>
          <w:color w:val="231F20"/>
          <w:w w:val="115"/>
        </w:rPr>
        <w:t>d’une </w:t>
      </w:r>
      <w:r>
        <w:rPr>
          <w:color w:val="231F20"/>
          <w:w w:val="120"/>
        </w:rPr>
        <w:t>gestion</w:t>
      </w:r>
      <w:r>
        <w:rPr>
          <w:color w:val="231F20"/>
          <w:spacing w:val="-7"/>
          <w:w w:val="120"/>
        </w:rPr>
        <w:t> </w:t>
      </w:r>
      <w:r>
        <w:rPr>
          <w:color w:val="231F20"/>
          <w:w w:val="120"/>
        </w:rPr>
        <w:t>individuelle</w:t>
      </w:r>
      <w:r>
        <w:rPr>
          <w:color w:val="231F20"/>
          <w:spacing w:val="-7"/>
          <w:w w:val="120"/>
        </w:rPr>
        <w:t> </w:t>
      </w:r>
      <w:r>
        <w:rPr>
          <w:color w:val="231F20"/>
          <w:w w:val="120"/>
        </w:rPr>
        <w:t>du</w:t>
      </w:r>
      <w:r>
        <w:rPr>
          <w:color w:val="231F20"/>
          <w:spacing w:val="-7"/>
          <w:w w:val="120"/>
        </w:rPr>
        <w:t> </w:t>
      </w:r>
      <w:r>
        <w:rPr>
          <w:color w:val="231F20"/>
          <w:w w:val="120"/>
        </w:rPr>
        <w:t>stress,</w:t>
      </w:r>
      <w:r>
        <w:rPr>
          <w:color w:val="231F20"/>
          <w:spacing w:val="-7"/>
          <w:w w:val="120"/>
        </w:rPr>
        <w:t> </w:t>
      </w:r>
      <w:r>
        <w:rPr>
          <w:color w:val="231F20"/>
          <w:w w:val="120"/>
        </w:rPr>
        <w:t>mais</w:t>
      </w:r>
      <w:r>
        <w:rPr>
          <w:color w:val="231F20"/>
          <w:spacing w:val="-7"/>
          <w:w w:val="120"/>
        </w:rPr>
        <w:t> </w:t>
      </w:r>
      <w:r>
        <w:rPr>
          <w:color w:val="231F20"/>
          <w:w w:val="120"/>
        </w:rPr>
        <w:t>aussi</w:t>
      </w:r>
      <w:r>
        <w:rPr>
          <w:color w:val="231F20"/>
          <w:spacing w:val="-7"/>
          <w:w w:val="120"/>
        </w:rPr>
        <w:t> </w:t>
      </w:r>
      <w:r>
        <w:rPr>
          <w:color w:val="231F20"/>
          <w:w w:val="120"/>
        </w:rPr>
        <w:t>afin</w:t>
      </w:r>
      <w:r>
        <w:rPr>
          <w:color w:val="231F20"/>
          <w:spacing w:val="-7"/>
          <w:w w:val="120"/>
        </w:rPr>
        <w:t> </w:t>
      </w:r>
      <w:r>
        <w:rPr>
          <w:color w:val="231F20"/>
          <w:w w:val="120"/>
        </w:rPr>
        <w:t>de</w:t>
      </w:r>
      <w:r>
        <w:rPr>
          <w:color w:val="231F20"/>
          <w:spacing w:val="-7"/>
          <w:w w:val="120"/>
        </w:rPr>
        <w:t> </w:t>
      </w:r>
      <w:r>
        <w:rPr>
          <w:color w:val="231F20"/>
          <w:w w:val="120"/>
        </w:rPr>
        <w:t>limiter</w:t>
      </w:r>
      <w:r>
        <w:rPr>
          <w:color w:val="231F20"/>
          <w:spacing w:val="-7"/>
          <w:w w:val="120"/>
        </w:rPr>
        <w:t> </w:t>
      </w:r>
      <w:r>
        <w:rPr>
          <w:color w:val="231F20"/>
          <w:w w:val="120"/>
        </w:rPr>
        <w:t>les</w:t>
      </w:r>
      <w:r>
        <w:rPr>
          <w:color w:val="231F20"/>
          <w:spacing w:val="-7"/>
          <w:w w:val="120"/>
        </w:rPr>
        <w:t> </w:t>
      </w:r>
      <w:r>
        <w:rPr>
          <w:color w:val="231F20"/>
          <w:w w:val="120"/>
        </w:rPr>
        <w:t>symptômes de</w:t>
      </w:r>
      <w:r>
        <w:rPr>
          <w:color w:val="231F20"/>
          <w:spacing w:val="-13"/>
          <w:w w:val="120"/>
        </w:rPr>
        <w:t> </w:t>
      </w:r>
      <w:r>
        <w:rPr>
          <w:color w:val="231F20"/>
          <w:w w:val="120"/>
        </w:rPr>
        <w:t>divers</w:t>
      </w:r>
      <w:r>
        <w:rPr>
          <w:color w:val="231F20"/>
          <w:spacing w:val="-13"/>
          <w:w w:val="120"/>
        </w:rPr>
        <w:t> </w:t>
      </w:r>
      <w:r>
        <w:rPr>
          <w:color w:val="231F20"/>
          <w:w w:val="120"/>
        </w:rPr>
        <w:t>problèmes</w:t>
      </w:r>
      <w:r>
        <w:rPr>
          <w:color w:val="231F20"/>
          <w:spacing w:val="-13"/>
          <w:w w:val="120"/>
        </w:rPr>
        <w:t> </w:t>
      </w:r>
      <w:r>
        <w:rPr>
          <w:color w:val="231F20"/>
          <w:w w:val="120"/>
        </w:rPr>
        <w:t>de</w:t>
      </w:r>
      <w:r>
        <w:rPr>
          <w:color w:val="231F20"/>
          <w:spacing w:val="-12"/>
          <w:w w:val="120"/>
        </w:rPr>
        <w:t> </w:t>
      </w:r>
      <w:r>
        <w:rPr>
          <w:color w:val="231F20"/>
          <w:w w:val="120"/>
        </w:rPr>
        <w:t>santé</w:t>
      </w:r>
      <w:r>
        <w:rPr>
          <w:color w:val="231F20"/>
          <w:spacing w:val="-13"/>
          <w:w w:val="120"/>
        </w:rPr>
        <w:t> </w:t>
      </w:r>
      <w:r>
        <w:rPr>
          <w:color w:val="231F20"/>
          <w:w w:val="120"/>
        </w:rPr>
        <w:t>comme</w:t>
      </w:r>
      <w:r>
        <w:rPr>
          <w:color w:val="231F20"/>
          <w:spacing w:val="-13"/>
          <w:w w:val="120"/>
        </w:rPr>
        <w:t> </w:t>
      </w:r>
      <w:r>
        <w:rPr>
          <w:color w:val="231F20"/>
          <w:w w:val="120"/>
        </w:rPr>
        <w:t>l’insomnie,</w:t>
      </w:r>
      <w:r>
        <w:rPr>
          <w:color w:val="231F20"/>
          <w:spacing w:val="-13"/>
          <w:w w:val="120"/>
        </w:rPr>
        <w:t> </w:t>
      </w:r>
      <w:r>
        <w:rPr>
          <w:color w:val="231F20"/>
          <w:w w:val="120"/>
        </w:rPr>
        <w:t>le</w:t>
      </w:r>
      <w:r>
        <w:rPr>
          <w:color w:val="231F20"/>
          <w:spacing w:val="-12"/>
          <w:w w:val="120"/>
        </w:rPr>
        <w:t> </w:t>
      </w:r>
      <w:r>
        <w:rPr>
          <w:color w:val="231F20"/>
          <w:w w:val="120"/>
        </w:rPr>
        <w:t>trouble</w:t>
      </w:r>
      <w:r>
        <w:rPr>
          <w:color w:val="231F20"/>
          <w:spacing w:val="-13"/>
          <w:w w:val="120"/>
        </w:rPr>
        <w:t> </w:t>
      </w:r>
      <w:r>
        <w:rPr>
          <w:color w:val="231F20"/>
          <w:w w:val="120"/>
        </w:rPr>
        <w:t>du</w:t>
      </w:r>
      <w:r>
        <w:rPr>
          <w:color w:val="231F20"/>
          <w:spacing w:val="-13"/>
          <w:w w:val="120"/>
        </w:rPr>
        <w:t> </w:t>
      </w:r>
      <w:r>
        <w:rPr>
          <w:color w:val="231F20"/>
          <w:w w:val="120"/>
        </w:rPr>
        <w:t>déficit</w:t>
      </w:r>
      <w:r>
        <w:rPr>
          <w:color w:val="231F20"/>
          <w:spacing w:val="-13"/>
          <w:w w:val="120"/>
        </w:rPr>
        <w:t> </w:t>
      </w:r>
      <w:r>
        <w:rPr>
          <w:color w:val="231F20"/>
          <w:w w:val="120"/>
        </w:rPr>
        <w:t>de l’attention avec hyperactivité (TDAH), l’épilepsie ou la dépression. Il importe</w:t>
      </w:r>
      <w:r>
        <w:rPr>
          <w:color w:val="231F20"/>
          <w:spacing w:val="-13"/>
          <w:w w:val="120"/>
        </w:rPr>
        <w:t> </w:t>
      </w:r>
      <w:r>
        <w:rPr>
          <w:color w:val="231F20"/>
          <w:w w:val="120"/>
        </w:rPr>
        <w:t>cependant</w:t>
      </w:r>
      <w:r>
        <w:rPr>
          <w:color w:val="231F20"/>
          <w:spacing w:val="-13"/>
          <w:w w:val="120"/>
        </w:rPr>
        <w:t> </w:t>
      </w:r>
      <w:r>
        <w:rPr>
          <w:color w:val="231F20"/>
          <w:w w:val="120"/>
        </w:rPr>
        <w:t>de</w:t>
      </w:r>
      <w:r>
        <w:rPr>
          <w:color w:val="231F20"/>
          <w:spacing w:val="-13"/>
          <w:w w:val="120"/>
        </w:rPr>
        <w:t> </w:t>
      </w:r>
      <w:r>
        <w:rPr>
          <w:color w:val="231F20"/>
          <w:w w:val="120"/>
        </w:rPr>
        <w:t>mentionner</w:t>
      </w:r>
      <w:r>
        <w:rPr>
          <w:color w:val="231F20"/>
          <w:spacing w:val="-12"/>
          <w:w w:val="120"/>
        </w:rPr>
        <w:t> </w:t>
      </w:r>
      <w:r>
        <w:rPr>
          <w:color w:val="231F20"/>
          <w:w w:val="120"/>
        </w:rPr>
        <w:t>que</w:t>
      </w:r>
      <w:r>
        <w:rPr>
          <w:color w:val="231F20"/>
          <w:spacing w:val="-13"/>
          <w:w w:val="120"/>
        </w:rPr>
        <w:t> </w:t>
      </w:r>
      <w:r>
        <w:rPr>
          <w:color w:val="231F20"/>
          <w:w w:val="120"/>
        </w:rPr>
        <w:t>ces</w:t>
      </w:r>
      <w:r>
        <w:rPr>
          <w:color w:val="231F20"/>
          <w:spacing w:val="-13"/>
          <w:w w:val="120"/>
        </w:rPr>
        <w:t> </w:t>
      </w:r>
      <w:r>
        <w:rPr>
          <w:color w:val="231F20"/>
          <w:w w:val="120"/>
        </w:rPr>
        <w:t>techniques</w:t>
      </w:r>
      <w:r>
        <w:rPr>
          <w:color w:val="231F20"/>
          <w:spacing w:val="-13"/>
          <w:w w:val="120"/>
        </w:rPr>
        <w:t> </w:t>
      </w:r>
      <w:r>
        <w:rPr>
          <w:color w:val="231F20"/>
          <w:w w:val="120"/>
        </w:rPr>
        <w:t>font</w:t>
      </w:r>
      <w:r>
        <w:rPr>
          <w:color w:val="231F20"/>
          <w:spacing w:val="-12"/>
          <w:w w:val="120"/>
        </w:rPr>
        <w:t> </w:t>
      </w:r>
      <w:r>
        <w:rPr>
          <w:color w:val="231F20"/>
          <w:w w:val="120"/>
        </w:rPr>
        <w:t>l’objet</w:t>
      </w:r>
      <w:r>
        <w:rPr>
          <w:color w:val="231F20"/>
          <w:spacing w:val="-13"/>
          <w:w w:val="120"/>
        </w:rPr>
        <w:t> </w:t>
      </w:r>
      <w:r>
        <w:rPr>
          <w:color w:val="231F20"/>
          <w:w w:val="120"/>
        </w:rPr>
        <w:t>de</w:t>
      </w:r>
      <w:r>
        <w:rPr>
          <w:color w:val="231F20"/>
          <w:spacing w:val="-13"/>
          <w:w w:val="120"/>
        </w:rPr>
        <w:t> </w:t>
      </w:r>
      <w:r>
        <w:rPr>
          <w:color w:val="231F20"/>
          <w:w w:val="120"/>
        </w:rPr>
        <w:t>cri- </w:t>
      </w:r>
      <w:r>
        <w:rPr>
          <w:color w:val="231F20"/>
          <w:w w:val="115"/>
        </w:rPr>
        <w:t>tiques</w:t>
      </w:r>
      <w:r>
        <w:rPr>
          <w:color w:val="231F20"/>
          <w:spacing w:val="-1"/>
          <w:w w:val="115"/>
        </w:rPr>
        <w:t> </w:t>
      </w:r>
      <w:r>
        <w:rPr>
          <w:color w:val="231F20"/>
          <w:w w:val="115"/>
        </w:rPr>
        <w:t>quant</w:t>
      </w:r>
      <w:r>
        <w:rPr>
          <w:color w:val="231F20"/>
          <w:spacing w:val="-1"/>
          <w:w w:val="115"/>
        </w:rPr>
        <w:t> </w:t>
      </w:r>
      <w:r>
        <w:rPr>
          <w:color w:val="231F20"/>
          <w:w w:val="115"/>
        </w:rPr>
        <w:t>à</w:t>
      </w:r>
      <w:r>
        <w:rPr>
          <w:color w:val="231F20"/>
          <w:spacing w:val="-1"/>
          <w:w w:val="115"/>
        </w:rPr>
        <w:t> </w:t>
      </w:r>
      <w:r>
        <w:rPr>
          <w:color w:val="231F20"/>
          <w:w w:val="115"/>
        </w:rPr>
        <w:t>leur</w:t>
      </w:r>
      <w:r>
        <w:rPr>
          <w:color w:val="231F20"/>
          <w:spacing w:val="-1"/>
          <w:w w:val="115"/>
        </w:rPr>
        <w:t> </w:t>
      </w:r>
      <w:r>
        <w:rPr>
          <w:color w:val="231F20"/>
          <w:w w:val="115"/>
        </w:rPr>
        <w:t>réelle</w:t>
      </w:r>
      <w:r>
        <w:rPr>
          <w:color w:val="231F20"/>
          <w:spacing w:val="-1"/>
          <w:w w:val="115"/>
        </w:rPr>
        <w:t> </w:t>
      </w:r>
      <w:r>
        <w:rPr>
          <w:color w:val="231F20"/>
          <w:w w:val="115"/>
        </w:rPr>
        <w:t>efficacité</w:t>
      </w:r>
      <w:r>
        <w:rPr>
          <w:color w:val="231F20"/>
          <w:spacing w:val="-1"/>
          <w:w w:val="115"/>
        </w:rPr>
        <w:t> </w:t>
      </w:r>
      <w:r>
        <w:rPr>
          <w:color w:val="231F20"/>
          <w:w w:val="115"/>
        </w:rPr>
        <w:t>qui</w:t>
      </w:r>
      <w:r>
        <w:rPr>
          <w:color w:val="231F20"/>
          <w:spacing w:val="-1"/>
          <w:w w:val="115"/>
        </w:rPr>
        <w:t> </w:t>
      </w:r>
      <w:r>
        <w:rPr>
          <w:color w:val="231F20"/>
          <w:w w:val="115"/>
        </w:rPr>
        <w:t>semble</w:t>
      </w:r>
      <w:r>
        <w:rPr>
          <w:color w:val="231F20"/>
          <w:spacing w:val="-1"/>
          <w:w w:val="115"/>
        </w:rPr>
        <w:t> </w:t>
      </w:r>
      <w:r>
        <w:rPr>
          <w:color w:val="231F20"/>
          <w:w w:val="115"/>
        </w:rPr>
        <w:t>très</w:t>
      </w:r>
      <w:r>
        <w:rPr>
          <w:color w:val="231F20"/>
          <w:spacing w:val="-1"/>
          <w:w w:val="115"/>
        </w:rPr>
        <w:t> </w:t>
      </w:r>
      <w:r>
        <w:rPr>
          <w:color w:val="231F20"/>
          <w:w w:val="115"/>
        </w:rPr>
        <w:t>variable</w:t>
      </w:r>
      <w:r>
        <w:rPr>
          <w:color w:val="231F20"/>
          <w:spacing w:val="-1"/>
          <w:w w:val="115"/>
        </w:rPr>
        <w:t> </w:t>
      </w:r>
      <w:r>
        <w:rPr>
          <w:color w:val="231F20"/>
          <w:w w:val="115"/>
        </w:rPr>
        <w:t>d’un</w:t>
      </w:r>
      <w:r>
        <w:rPr>
          <w:color w:val="231F20"/>
          <w:spacing w:val="-1"/>
          <w:w w:val="115"/>
        </w:rPr>
        <w:t> </w:t>
      </w:r>
      <w:r>
        <w:rPr>
          <w:color w:val="231F20"/>
          <w:w w:val="115"/>
        </w:rPr>
        <w:t>individu </w:t>
      </w:r>
      <w:r>
        <w:rPr>
          <w:color w:val="231F20"/>
          <w:w w:val="120"/>
        </w:rPr>
        <w:t>à</w:t>
      </w:r>
      <w:r>
        <w:rPr>
          <w:color w:val="231F20"/>
          <w:spacing w:val="-13"/>
          <w:w w:val="120"/>
        </w:rPr>
        <w:t> </w:t>
      </w:r>
      <w:r>
        <w:rPr>
          <w:color w:val="231F20"/>
          <w:w w:val="120"/>
        </w:rPr>
        <w:t>l’autre.</w:t>
      </w:r>
    </w:p>
    <w:p>
      <w:pPr>
        <w:spacing w:after="0" w:line="307" w:lineRule="auto"/>
        <w:jc w:val="both"/>
        <w:sectPr>
          <w:footerReference w:type="default" r:id="rId300"/>
          <w:pgSz w:w="8640" w:h="12960"/>
          <w:pgMar w:footer="424" w:header="0" w:top="520" w:bottom="620" w:left="420" w:right="1140"/>
        </w:sectPr>
      </w:pPr>
    </w:p>
    <w:p>
      <w:pPr>
        <w:spacing w:before="118"/>
        <w:ind w:left="1847" w:right="0" w:firstLine="0"/>
        <w:jc w:val="left"/>
        <w:rPr>
          <w:rFonts w:ascii="Arial" w:hAnsi="Arial"/>
          <w:sz w:val="14"/>
        </w:rPr>
      </w:pPr>
      <w:bookmarkStart w:name=" 5.2.2 / Stratégies de gestion des aspec" w:id="179"/>
      <w:bookmarkEnd w:id="179"/>
      <w:r>
        <w:rPr/>
      </w:r>
      <w:bookmarkStart w:name="_bookmark79" w:id="180"/>
      <w:bookmarkEnd w:id="180"/>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rPr>
      </w:pPr>
    </w:p>
    <w:p>
      <w:pPr>
        <w:pStyle w:val="Heading4"/>
        <w:numPr>
          <w:ilvl w:val="2"/>
          <w:numId w:val="76"/>
        </w:numPr>
        <w:tabs>
          <w:tab w:pos="919" w:val="left" w:leader="none"/>
          <w:tab w:pos="1219" w:val="left" w:leader="none"/>
        </w:tabs>
        <w:spacing w:line="240" w:lineRule="auto" w:before="146" w:after="0"/>
        <w:ind w:left="918" w:right="0" w:hanging="396"/>
        <w:jc w:val="left"/>
      </w:pPr>
      <w:r>
        <w:rPr>
          <w:b w:val="0"/>
          <w:i/>
          <w:color w:val="231F20"/>
          <w:spacing w:val="-10"/>
        </w:rPr>
        <w:t>/</w:t>
      </w:r>
      <w:r>
        <w:rPr>
          <w:b w:val="0"/>
          <w:i/>
          <w:color w:val="231F20"/>
        </w:rPr>
        <w:tab/>
      </w:r>
      <w:r>
        <w:rPr>
          <w:color w:val="231F20"/>
          <w:w w:val="95"/>
        </w:rPr>
        <w:t>Stratégies</w:t>
      </w:r>
      <w:r>
        <w:rPr>
          <w:color w:val="231F20"/>
          <w:spacing w:val="-10"/>
          <w:w w:val="95"/>
        </w:rPr>
        <w:t> </w:t>
      </w:r>
      <w:r>
        <w:rPr>
          <w:color w:val="231F20"/>
          <w:w w:val="95"/>
        </w:rPr>
        <w:t>de</w:t>
      </w:r>
      <w:r>
        <w:rPr>
          <w:color w:val="231F20"/>
          <w:spacing w:val="-9"/>
          <w:w w:val="95"/>
        </w:rPr>
        <w:t> </w:t>
      </w:r>
      <w:r>
        <w:rPr>
          <w:color w:val="231F20"/>
          <w:w w:val="95"/>
        </w:rPr>
        <w:t>gestion</w:t>
      </w:r>
      <w:r>
        <w:rPr>
          <w:color w:val="231F20"/>
          <w:spacing w:val="-10"/>
          <w:w w:val="95"/>
        </w:rPr>
        <w:t> </w:t>
      </w:r>
      <w:r>
        <w:rPr>
          <w:color w:val="231F20"/>
          <w:w w:val="95"/>
        </w:rPr>
        <w:t>des</w:t>
      </w:r>
      <w:r>
        <w:rPr>
          <w:color w:val="231F20"/>
          <w:spacing w:val="-9"/>
          <w:w w:val="95"/>
        </w:rPr>
        <w:t> </w:t>
      </w:r>
      <w:r>
        <w:rPr>
          <w:color w:val="231F20"/>
          <w:w w:val="95"/>
        </w:rPr>
        <w:t>aspects</w:t>
      </w:r>
      <w:r>
        <w:rPr>
          <w:color w:val="231F20"/>
          <w:spacing w:val="-9"/>
          <w:w w:val="95"/>
        </w:rPr>
        <w:t> </w:t>
      </w:r>
      <w:r>
        <w:rPr>
          <w:color w:val="231F20"/>
          <w:w w:val="95"/>
        </w:rPr>
        <w:t>cognitifs</w:t>
      </w:r>
      <w:r>
        <w:rPr>
          <w:color w:val="231F20"/>
          <w:spacing w:val="-10"/>
          <w:w w:val="95"/>
        </w:rPr>
        <w:t> </w:t>
      </w:r>
      <w:r>
        <w:rPr>
          <w:color w:val="231F20"/>
          <w:w w:val="95"/>
        </w:rPr>
        <w:t>et</w:t>
      </w:r>
      <w:r>
        <w:rPr>
          <w:color w:val="231F20"/>
          <w:spacing w:val="-9"/>
          <w:w w:val="95"/>
        </w:rPr>
        <w:t> </w:t>
      </w:r>
      <w:r>
        <w:rPr>
          <w:color w:val="231F20"/>
          <w:spacing w:val="-2"/>
          <w:w w:val="95"/>
        </w:rPr>
        <w:t>comportementaux</w:t>
      </w:r>
    </w:p>
    <w:p>
      <w:pPr>
        <w:pStyle w:val="BodyText"/>
        <w:spacing w:line="307" w:lineRule="auto" w:before="234"/>
        <w:ind w:left="1220" w:right="102"/>
        <w:jc w:val="both"/>
      </w:pPr>
      <w:r>
        <w:rPr>
          <w:color w:val="231F20"/>
          <w:w w:val="120"/>
        </w:rPr>
        <w:t>Faute</w:t>
      </w:r>
      <w:r>
        <w:rPr>
          <w:color w:val="231F20"/>
          <w:spacing w:val="-13"/>
          <w:w w:val="120"/>
        </w:rPr>
        <w:t> </w:t>
      </w:r>
      <w:r>
        <w:rPr>
          <w:color w:val="231F20"/>
          <w:w w:val="120"/>
        </w:rPr>
        <w:t>de</w:t>
      </w:r>
      <w:r>
        <w:rPr>
          <w:color w:val="231F20"/>
          <w:spacing w:val="-13"/>
          <w:w w:val="120"/>
        </w:rPr>
        <w:t> </w:t>
      </w:r>
      <w:r>
        <w:rPr>
          <w:color w:val="231F20"/>
          <w:w w:val="120"/>
        </w:rPr>
        <w:t>pouvoir</w:t>
      </w:r>
      <w:r>
        <w:rPr>
          <w:color w:val="231F20"/>
          <w:spacing w:val="-13"/>
          <w:w w:val="120"/>
        </w:rPr>
        <w:t> </w:t>
      </w:r>
      <w:r>
        <w:rPr>
          <w:color w:val="231F20"/>
          <w:w w:val="120"/>
        </w:rPr>
        <w:t>réussir</w:t>
      </w:r>
      <w:r>
        <w:rPr>
          <w:color w:val="231F20"/>
          <w:spacing w:val="-12"/>
          <w:w w:val="120"/>
        </w:rPr>
        <w:t> </w:t>
      </w:r>
      <w:r>
        <w:rPr>
          <w:color w:val="231F20"/>
          <w:w w:val="120"/>
        </w:rPr>
        <w:t>à</w:t>
      </w:r>
      <w:r>
        <w:rPr>
          <w:color w:val="231F20"/>
          <w:spacing w:val="-13"/>
          <w:w w:val="120"/>
        </w:rPr>
        <w:t> </w:t>
      </w:r>
      <w:r>
        <w:rPr>
          <w:color w:val="231F20"/>
          <w:w w:val="120"/>
        </w:rPr>
        <w:t>intervenir</w:t>
      </w:r>
      <w:r>
        <w:rPr>
          <w:color w:val="231F20"/>
          <w:spacing w:val="-13"/>
          <w:w w:val="120"/>
        </w:rPr>
        <w:t> </w:t>
      </w:r>
      <w:r>
        <w:rPr>
          <w:color w:val="231F20"/>
          <w:w w:val="120"/>
        </w:rPr>
        <w:t>directement</w:t>
      </w:r>
      <w:r>
        <w:rPr>
          <w:color w:val="231F20"/>
          <w:spacing w:val="-13"/>
          <w:w w:val="120"/>
        </w:rPr>
        <w:t> </w:t>
      </w:r>
      <w:r>
        <w:rPr>
          <w:color w:val="231F20"/>
          <w:w w:val="120"/>
        </w:rPr>
        <w:t>sur</w:t>
      </w:r>
      <w:r>
        <w:rPr>
          <w:color w:val="231F20"/>
          <w:spacing w:val="-12"/>
          <w:w w:val="120"/>
        </w:rPr>
        <w:t> </w:t>
      </w:r>
      <w:r>
        <w:rPr>
          <w:color w:val="231F20"/>
          <w:w w:val="120"/>
        </w:rPr>
        <w:t>les</w:t>
      </w:r>
      <w:r>
        <w:rPr>
          <w:color w:val="231F20"/>
          <w:spacing w:val="-13"/>
          <w:w w:val="120"/>
        </w:rPr>
        <w:t> </w:t>
      </w:r>
      <w:r>
        <w:rPr>
          <w:color w:val="231F20"/>
          <w:w w:val="120"/>
        </w:rPr>
        <w:t>aspects</w:t>
      </w:r>
      <w:r>
        <w:rPr>
          <w:color w:val="231F20"/>
          <w:spacing w:val="-13"/>
          <w:w w:val="120"/>
        </w:rPr>
        <w:t> </w:t>
      </w:r>
      <w:r>
        <w:rPr>
          <w:color w:val="231F20"/>
          <w:w w:val="120"/>
        </w:rPr>
        <w:t>physio- logiques</w:t>
      </w:r>
      <w:r>
        <w:rPr>
          <w:color w:val="231F20"/>
          <w:spacing w:val="-6"/>
          <w:w w:val="120"/>
        </w:rPr>
        <w:t> </w:t>
      </w:r>
      <w:r>
        <w:rPr>
          <w:color w:val="231F20"/>
          <w:w w:val="120"/>
        </w:rPr>
        <w:t>du</w:t>
      </w:r>
      <w:r>
        <w:rPr>
          <w:color w:val="231F20"/>
          <w:spacing w:val="-6"/>
          <w:w w:val="120"/>
        </w:rPr>
        <w:t> </w:t>
      </w:r>
      <w:r>
        <w:rPr>
          <w:color w:val="231F20"/>
          <w:w w:val="120"/>
        </w:rPr>
        <w:t>stress,</w:t>
      </w:r>
      <w:r>
        <w:rPr>
          <w:color w:val="231F20"/>
          <w:spacing w:val="-6"/>
          <w:w w:val="120"/>
        </w:rPr>
        <w:t> </w:t>
      </w:r>
      <w:r>
        <w:rPr>
          <w:color w:val="231F20"/>
          <w:w w:val="120"/>
        </w:rPr>
        <w:t>certaines</w:t>
      </w:r>
      <w:r>
        <w:rPr>
          <w:color w:val="231F20"/>
          <w:spacing w:val="-6"/>
          <w:w w:val="120"/>
        </w:rPr>
        <w:t> </w:t>
      </w:r>
      <w:r>
        <w:rPr>
          <w:color w:val="231F20"/>
          <w:w w:val="120"/>
        </w:rPr>
        <w:t>actions</w:t>
      </w:r>
      <w:r>
        <w:rPr>
          <w:color w:val="231F20"/>
          <w:spacing w:val="-6"/>
          <w:w w:val="120"/>
        </w:rPr>
        <w:t> </w:t>
      </w:r>
      <w:r>
        <w:rPr>
          <w:color w:val="231F20"/>
          <w:w w:val="120"/>
        </w:rPr>
        <w:t>adaptatives</w:t>
      </w:r>
      <w:r>
        <w:rPr>
          <w:color w:val="231F20"/>
          <w:spacing w:val="-6"/>
          <w:w w:val="120"/>
        </w:rPr>
        <w:t> </w:t>
      </w:r>
      <w:r>
        <w:rPr>
          <w:color w:val="231F20"/>
          <w:w w:val="120"/>
        </w:rPr>
        <w:t>cognitives</w:t>
      </w:r>
      <w:r>
        <w:rPr>
          <w:color w:val="231F20"/>
          <w:spacing w:val="-6"/>
          <w:w w:val="120"/>
        </w:rPr>
        <w:t> </w:t>
      </w:r>
      <w:r>
        <w:rPr>
          <w:color w:val="231F20"/>
          <w:w w:val="120"/>
        </w:rPr>
        <w:t>ou</w:t>
      </w:r>
      <w:r>
        <w:rPr>
          <w:color w:val="231F20"/>
          <w:spacing w:val="-6"/>
          <w:w w:val="120"/>
        </w:rPr>
        <w:t> </w:t>
      </w:r>
      <w:r>
        <w:rPr>
          <w:color w:val="231F20"/>
          <w:w w:val="120"/>
        </w:rPr>
        <w:t>compor- tementales limitent les conséquences nocives de ce dernier. Bien que l’efficacité</w:t>
      </w:r>
      <w:r>
        <w:rPr>
          <w:color w:val="231F20"/>
          <w:spacing w:val="-6"/>
          <w:w w:val="120"/>
        </w:rPr>
        <w:t> </w:t>
      </w:r>
      <w:r>
        <w:rPr>
          <w:color w:val="231F20"/>
          <w:w w:val="120"/>
        </w:rPr>
        <w:t>et</w:t>
      </w:r>
      <w:r>
        <w:rPr>
          <w:color w:val="231F20"/>
          <w:spacing w:val="-6"/>
          <w:w w:val="120"/>
        </w:rPr>
        <w:t> </w:t>
      </w:r>
      <w:r>
        <w:rPr>
          <w:color w:val="231F20"/>
          <w:w w:val="120"/>
        </w:rPr>
        <w:t>la</w:t>
      </w:r>
      <w:r>
        <w:rPr>
          <w:color w:val="231F20"/>
          <w:spacing w:val="-6"/>
          <w:w w:val="120"/>
        </w:rPr>
        <w:t> </w:t>
      </w:r>
      <w:r>
        <w:rPr>
          <w:color w:val="231F20"/>
          <w:w w:val="120"/>
        </w:rPr>
        <w:t>diversité</w:t>
      </w:r>
      <w:r>
        <w:rPr>
          <w:color w:val="231F20"/>
          <w:spacing w:val="-6"/>
          <w:w w:val="120"/>
        </w:rPr>
        <w:t> </w:t>
      </w:r>
      <w:r>
        <w:rPr>
          <w:color w:val="231F20"/>
          <w:w w:val="120"/>
        </w:rPr>
        <w:t>de</w:t>
      </w:r>
      <w:r>
        <w:rPr>
          <w:color w:val="231F20"/>
          <w:spacing w:val="-6"/>
          <w:w w:val="120"/>
        </w:rPr>
        <w:t> </w:t>
      </w:r>
      <w:r>
        <w:rPr>
          <w:color w:val="231F20"/>
          <w:w w:val="120"/>
        </w:rPr>
        <w:t>ces</w:t>
      </w:r>
      <w:r>
        <w:rPr>
          <w:color w:val="231F20"/>
          <w:spacing w:val="-6"/>
          <w:w w:val="120"/>
        </w:rPr>
        <w:t> </w:t>
      </w:r>
      <w:r>
        <w:rPr>
          <w:color w:val="231F20"/>
          <w:w w:val="120"/>
        </w:rPr>
        <w:t>stratégies</w:t>
      </w:r>
      <w:r>
        <w:rPr>
          <w:color w:val="231F20"/>
          <w:spacing w:val="-6"/>
          <w:w w:val="120"/>
        </w:rPr>
        <w:t> </w:t>
      </w:r>
      <w:r>
        <w:rPr>
          <w:color w:val="231F20"/>
          <w:w w:val="120"/>
        </w:rPr>
        <w:t>relèvent</w:t>
      </w:r>
      <w:r>
        <w:rPr>
          <w:color w:val="231F20"/>
          <w:spacing w:val="-6"/>
          <w:w w:val="120"/>
        </w:rPr>
        <w:t> </w:t>
      </w:r>
      <w:r>
        <w:rPr>
          <w:color w:val="231F20"/>
          <w:w w:val="120"/>
        </w:rPr>
        <w:t>de</w:t>
      </w:r>
      <w:r>
        <w:rPr>
          <w:color w:val="231F20"/>
          <w:spacing w:val="-6"/>
          <w:w w:val="120"/>
        </w:rPr>
        <w:t> </w:t>
      </w:r>
      <w:r>
        <w:rPr>
          <w:color w:val="231F20"/>
          <w:w w:val="120"/>
        </w:rPr>
        <w:t>chaque</w:t>
      </w:r>
      <w:r>
        <w:rPr>
          <w:color w:val="231F20"/>
          <w:spacing w:val="-6"/>
          <w:w w:val="120"/>
        </w:rPr>
        <w:t> </w:t>
      </w:r>
      <w:r>
        <w:rPr>
          <w:color w:val="231F20"/>
          <w:w w:val="120"/>
        </w:rPr>
        <w:t>individu, </w:t>
      </w:r>
      <w:r>
        <w:rPr>
          <w:color w:val="231F20"/>
          <w:spacing w:val="-2"/>
          <w:w w:val="120"/>
        </w:rPr>
        <w:t>nous</w:t>
      </w:r>
      <w:r>
        <w:rPr>
          <w:color w:val="231F20"/>
          <w:spacing w:val="-9"/>
          <w:w w:val="120"/>
        </w:rPr>
        <w:t> </w:t>
      </w:r>
      <w:r>
        <w:rPr>
          <w:color w:val="231F20"/>
          <w:spacing w:val="-2"/>
          <w:w w:val="120"/>
        </w:rPr>
        <w:t>présentons</w:t>
      </w:r>
      <w:r>
        <w:rPr>
          <w:color w:val="231F20"/>
          <w:spacing w:val="-9"/>
          <w:w w:val="120"/>
        </w:rPr>
        <w:t> </w:t>
      </w:r>
      <w:r>
        <w:rPr>
          <w:color w:val="231F20"/>
          <w:spacing w:val="-2"/>
          <w:w w:val="120"/>
        </w:rPr>
        <w:t>dans</w:t>
      </w:r>
      <w:r>
        <w:rPr>
          <w:color w:val="231F20"/>
          <w:spacing w:val="-9"/>
          <w:w w:val="120"/>
        </w:rPr>
        <w:t> </w:t>
      </w:r>
      <w:r>
        <w:rPr>
          <w:color w:val="231F20"/>
          <w:spacing w:val="-2"/>
          <w:w w:val="120"/>
        </w:rPr>
        <w:t>la</w:t>
      </w:r>
      <w:r>
        <w:rPr>
          <w:color w:val="231F20"/>
          <w:spacing w:val="-9"/>
          <w:w w:val="120"/>
        </w:rPr>
        <w:t> </w:t>
      </w:r>
      <w:r>
        <w:rPr>
          <w:color w:val="231F20"/>
          <w:spacing w:val="-2"/>
          <w:w w:val="120"/>
        </w:rPr>
        <w:t>présente</w:t>
      </w:r>
      <w:r>
        <w:rPr>
          <w:color w:val="231F20"/>
          <w:spacing w:val="-9"/>
          <w:w w:val="120"/>
        </w:rPr>
        <w:t> </w:t>
      </w:r>
      <w:r>
        <w:rPr>
          <w:color w:val="231F20"/>
          <w:spacing w:val="-2"/>
          <w:w w:val="120"/>
        </w:rPr>
        <w:t>section</w:t>
      </w:r>
      <w:r>
        <w:rPr>
          <w:color w:val="231F20"/>
          <w:spacing w:val="-9"/>
          <w:w w:val="120"/>
        </w:rPr>
        <w:t> </w:t>
      </w:r>
      <w:r>
        <w:rPr>
          <w:color w:val="231F20"/>
          <w:spacing w:val="-2"/>
          <w:w w:val="120"/>
        </w:rPr>
        <w:t>certaines</w:t>
      </w:r>
      <w:r>
        <w:rPr>
          <w:color w:val="231F20"/>
          <w:spacing w:val="-9"/>
          <w:w w:val="120"/>
        </w:rPr>
        <w:t> </w:t>
      </w:r>
      <w:r>
        <w:rPr>
          <w:color w:val="231F20"/>
          <w:spacing w:val="-2"/>
          <w:w w:val="120"/>
        </w:rPr>
        <w:t>façons</w:t>
      </w:r>
      <w:r>
        <w:rPr>
          <w:color w:val="231F20"/>
          <w:spacing w:val="-9"/>
          <w:w w:val="120"/>
        </w:rPr>
        <w:t> </w:t>
      </w:r>
      <w:r>
        <w:rPr>
          <w:color w:val="231F20"/>
          <w:spacing w:val="-2"/>
          <w:w w:val="120"/>
        </w:rPr>
        <w:t>de</w:t>
      </w:r>
      <w:r>
        <w:rPr>
          <w:color w:val="231F20"/>
          <w:spacing w:val="-9"/>
          <w:w w:val="120"/>
        </w:rPr>
        <w:t> </w:t>
      </w:r>
      <w:r>
        <w:rPr>
          <w:color w:val="231F20"/>
          <w:spacing w:val="-2"/>
          <w:w w:val="120"/>
        </w:rPr>
        <w:t>faire</w:t>
      </w:r>
      <w:r>
        <w:rPr>
          <w:color w:val="231F20"/>
          <w:spacing w:val="-9"/>
          <w:w w:val="120"/>
        </w:rPr>
        <w:t> </w:t>
      </w:r>
      <w:r>
        <w:rPr>
          <w:color w:val="231F20"/>
          <w:spacing w:val="-2"/>
          <w:w w:val="120"/>
        </w:rPr>
        <w:t>qui</w:t>
      </w:r>
      <w:r>
        <w:rPr>
          <w:color w:val="231F20"/>
          <w:spacing w:val="-9"/>
          <w:w w:val="120"/>
        </w:rPr>
        <w:t> </w:t>
      </w:r>
      <w:r>
        <w:rPr>
          <w:color w:val="231F20"/>
          <w:spacing w:val="-2"/>
          <w:w w:val="120"/>
        </w:rPr>
        <w:t>ont </w:t>
      </w:r>
      <w:r>
        <w:rPr>
          <w:color w:val="231F20"/>
          <w:w w:val="120"/>
        </w:rPr>
        <w:t>démontré leur efficacité afin de mieux transiger avec un état de stress.</w:t>
      </w:r>
    </w:p>
    <w:p>
      <w:pPr>
        <w:pStyle w:val="BodyText"/>
        <w:spacing w:before="7"/>
        <w:rPr>
          <w:sz w:val="21"/>
        </w:rPr>
      </w:pPr>
    </w:p>
    <w:p>
      <w:pPr>
        <w:pStyle w:val="BodyText"/>
        <w:spacing w:line="307" w:lineRule="auto"/>
        <w:ind w:left="1220" w:right="105"/>
        <w:jc w:val="both"/>
      </w:pPr>
      <w:r>
        <w:rPr>
          <w:b/>
          <w:color w:val="231F20"/>
          <w:w w:val="115"/>
        </w:rPr>
        <w:t>Restructuration</w:t>
      </w:r>
      <w:r>
        <w:rPr>
          <w:b/>
          <w:color w:val="231F20"/>
          <w:spacing w:val="-5"/>
          <w:w w:val="115"/>
        </w:rPr>
        <w:t> </w:t>
      </w:r>
      <w:r>
        <w:rPr>
          <w:b/>
          <w:color w:val="231F20"/>
          <w:w w:val="115"/>
        </w:rPr>
        <w:t>cognitive</w:t>
      </w:r>
      <w:r>
        <w:rPr>
          <w:color w:val="231F20"/>
          <w:w w:val="115"/>
        </w:rPr>
        <w:t>. La restructuration cognitive est un outil utile </w:t>
      </w:r>
      <w:r>
        <w:rPr>
          <w:color w:val="231F20"/>
          <w:spacing w:val="-2"/>
          <w:w w:val="120"/>
        </w:rPr>
        <w:t>pour</w:t>
      </w:r>
      <w:r>
        <w:rPr>
          <w:color w:val="231F20"/>
          <w:spacing w:val="-9"/>
          <w:w w:val="120"/>
        </w:rPr>
        <w:t> </w:t>
      </w:r>
      <w:r>
        <w:rPr>
          <w:color w:val="231F20"/>
          <w:spacing w:val="-2"/>
          <w:w w:val="120"/>
        </w:rPr>
        <w:t>la</w:t>
      </w:r>
      <w:r>
        <w:rPr>
          <w:color w:val="231F20"/>
          <w:spacing w:val="-9"/>
          <w:w w:val="120"/>
        </w:rPr>
        <w:t> </w:t>
      </w:r>
      <w:r>
        <w:rPr>
          <w:color w:val="231F20"/>
          <w:spacing w:val="-2"/>
          <w:w w:val="120"/>
        </w:rPr>
        <w:t>compréhension</w:t>
      </w:r>
      <w:r>
        <w:rPr>
          <w:color w:val="231F20"/>
          <w:spacing w:val="-9"/>
          <w:w w:val="120"/>
        </w:rPr>
        <w:t> </w:t>
      </w:r>
      <w:r>
        <w:rPr>
          <w:color w:val="231F20"/>
          <w:spacing w:val="-2"/>
          <w:w w:val="120"/>
        </w:rPr>
        <w:t>et</w:t>
      </w:r>
      <w:r>
        <w:rPr>
          <w:color w:val="231F20"/>
          <w:spacing w:val="-9"/>
          <w:w w:val="120"/>
        </w:rPr>
        <w:t> </w:t>
      </w:r>
      <w:r>
        <w:rPr>
          <w:color w:val="231F20"/>
          <w:spacing w:val="-2"/>
          <w:w w:val="120"/>
        </w:rPr>
        <w:t>l’annihilation</w:t>
      </w:r>
      <w:r>
        <w:rPr>
          <w:color w:val="231F20"/>
          <w:spacing w:val="-9"/>
          <w:w w:val="120"/>
        </w:rPr>
        <w:t> </w:t>
      </w:r>
      <w:r>
        <w:rPr>
          <w:color w:val="231F20"/>
          <w:spacing w:val="-2"/>
          <w:w w:val="120"/>
        </w:rPr>
        <w:t>des</w:t>
      </w:r>
      <w:r>
        <w:rPr>
          <w:color w:val="231F20"/>
          <w:spacing w:val="-8"/>
          <w:w w:val="120"/>
        </w:rPr>
        <w:t> </w:t>
      </w:r>
      <w:r>
        <w:rPr>
          <w:color w:val="231F20"/>
          <w:spacing w:val="-2"/>
          <w:w w:val="120"/>
        </w:rPr>
        <w:t>pensées</w:t>
      </w:r>
      <w:r>
        <w:rPr>
          <w:color w:val="231F20"/>
          <w:spacing w:val="-9"/>
          <w:w w:val="120"/>
        </w:rPr>
        <w:t> </w:t>
      </w:r>
      <w:r>
        <w:rPr>
          <w:color w:val="231F20"/>
          <w:spacing w:val="-2"/>
          <w:w w:val="120"/>
        </w:rPr>
        <w:t>négatives.</w:t>
      </w:r>
      <w:r>
        <w:rPr>
          <w:color w:val="231F20"/>
          <w:spacing w:val="-9"/>
          <w:w w:val="120"/>
        </w:rPr>
        <w:t> </w:t>
      </w:r>
      <w:r>
        <w:rPr>
          <w:color w:val="231F20"/>
          <w:spacing w:val="-2"/>
          <w:w w:val="120"/>
        </w:rPr>
        <w:t>Elle</w:t>
      </w:r>
      <w:r>
        <w:rPr>
          <w:color w:val="231F20"/>
          <w:spacing w:val="-9"/>
          <w:w w:val="120"/>
        </w:rPr>
        <w:t> </w:t>
      </w:r>
      <w:r>
        <w:rPr>
          <w:color w:val="231F20"/>
          <w:spacing w:val="-2"/>
          <w:w w:val="120"/>
        </w:rPr>
        <w:t>nous </w:t>
      </w:r>
      <w:r>
        <w:rPr>
          <w:color w:val="231F20"/>
          <w:w w:val="115"/>
        </w:rPr>
        <w:t>aide</w:t>
      </w:r>
      <w:r>
        <w:rPr>
          <w:color w:val="231F20"/>
          <w:spacing w:val="-13"/>
          <w:w w:val="115"/>
        </w:rPr>
        <w:t> </w:t>
      </w:r>
      <w:r>
        <w:rPr>
          <w:color w:val="231F20"/>
          <w:w w:val="115"/>
        </w:rPr>
        <w:t>à</w:t>
      </w:r>
      <w:r>
        <w:rPr>
          <w:color w:val="231F20"/>
          <w:spacing w:val="-12"/>
          <w:w w:val="115"/>
        </w:rPr>
        <w:t> </w:t>
      </w:r>
      <w:r>
        <w:rPr>
          <w:color w:val="231F20"/>
          <w:w w:val="115"/>
        </w:rPr>
        <w:t>scruter</w:t>
      </w:r>
      <w:r>
        <w:rPr>
          <w:color w:val="231F20"/>
          <w:spacing w:val="-12"/>
          <w:w w:val="115"/>
        </w:rPr>
        <w:t> </w:t>
      </w:r>
      <w:r>
        <w:rPr>
          <w:color w:val="231F20"/>
          <w:w w:val="115"/>
        </w:rPr>
        <w:t>les</w:t>
      </w:r>
      <w:r>
        <w:rPr>
          <w:color w:val="231F20"/>
          <w:spacing w:val="-12"/>
          <w:w w:val="115"/>
        </w:rPr>
        <w:t> </w:t>
      </w:r>
      <w:r>
        <w:rPr>
          <w:color w:val="231F20"/>
          <w:w w:val="115"/>
        </w:rPr>
        <w:t>idées</w:t>
      </w:r>
      <w:r>
        <w:rPr>
          <w:color w:val="231F20"/>
          <w:spacing w:val="-7"/>
          <w:w w:val="115"/>
        </w:rPr>
        <w:t> </w:t>
      </w:r>
      <w:r>
        <w:rPr>
          <w:color w:val="231F20"/>
          <w:w w:val="115"/>
        </w:rPr>
        <w:t>négatives</w:t>
      </w:r>
      <w:r>
        <w:rPr>
          <w:color w:val="231F20"/>
          <w:spacing w:val="-7"/>
          <w:w w:val="115"/>
        </w:rPr>
        <w:t> </w:t>
      </w:r>
      <w:r>
        <w:rPr>
          <w:color w:val="231F20"/>
          <w:w w:val="115"/>
        </w:rPr>
        <w:t>«</w:t>
      </w:r>
      <w:r>
        <w:rPr>
          <w:color w:val="231F20"/>
          <w:spacing w:val="-13"/>
          <w:w w:val="115"/>
        </w:rPr>
        <w:t> </w:t>
      </w:r>
      <w:r>
        <w:rPr>
          <w:color w:val="231F20"/>
          <w:w w:val="115"/>
        </w:rPr>
        <w:t>au</w:t>
      </w:r>
      <w:r>
        <w:rPr>
          <w:color w:val="231F20"/>
          <w:spacing w:val="-7"/>
          <w:w w:val="115"/>
        </w:rPr>
        <w:t> </w:t>
      </w:r>
      <w:r>
        <w:rPr>
          <w:color w:val="231F20"/>
          <w:w w:val="115"/>
        </w:rPr>
        <w:t>microscope»,</w:t>
      </w:r>
      <w:r>
        <w:rPr>
          <w:color w:val="231F20"/>
          <w:spacing w:val="-7"/>
          <w:w w:val="115"/>
        </w:rPr>
        <w:t> </w:t>
      </w:r>
      <w:r>
        <w:rPr>
          <w:color w:val="231F20"/>
          <w:w w:val="115"/>
        </w:rPr>
        <w:t>à</w:t>
      </w:r>
      <w:r>
        <w:rPr>
          <w:color w:val="231F20"/>
          <w:spacing w:val="-7"/>
          <w:w w:val="115"/>
        </w:rPr>
        <w:t> </w:t>
      </w:r>
      <w:r>
        <w:rPr>
          <w:color w:val="231F20"/>
          <w:w w:val="115"/>
        </w:rPr>
        <w:t>les</w:t>
      </w:r>
      <w:r>
        <w:rPr>
          <w:color w:val="231F20"/>
          <w:spacing w:val="-7"/>
          <w:w w:val="115"/>
        </w:rPr>
        <w:t> </w:t>
      </w:r>
      <w:r>
        <w:rPr>
          <w:color w:val="231F20"/>
          <w:w w:val="115"/>
        </w:rPr>
        <w:t>remettre</w:t>
      </w:r>
      <w:r>
        <w:rPr>
          <w:color w:val="231F20"/>
          <w:spacing w:val="-7"/>
          <w:w w:val="115"/>
        </w:rPr>
        <w:t> </w:t>
      </w:r>
      <w:r>
        <w:rPr>
          <w:color w:val="231F20"/>
          <w:w w:val="115"/>
        </w:rPr>
        <w:t>en</w:t>
      </w:r>
      <w:r>
        <w:rPr>
          <w:color w:val="231F20"/>
          <w:spacing w:val="-7"/>
          <w:w w:val="115"/>
        </w:rPr>
        <w:t> </w:t>
      </w:r>
      <w:r>
        <w:rPr>
          <w:color w:val="231F20"/>
          <w:w w:val="115"/>
        </w:rPr>
        <w:t>ques- </w:t>
      </w:r>
      <w:r>
        <w:rPr>
          <w:color w:val="231F20"/>
          <w:spacing w:val="-2"/>
          <w:w w:val="120"/>
        </w:rPr>
        <w:t>tion</w:t>
      </w:r>
      <w:r>
        <w:rPr>
          <w:color w:val="231F20"/>
          <w:spacing w:val="-9"/>
          <w:w w:val="120"/>
        </w:rPr>
        <w:t> </w:t>
      </w:r>
      <w:r>
        <w:rPr>
          <w:color w:val="231F20"/>
          <w:spacing w:val="-2"/>
          <w:w w:val="120"/>
        </w:rPr>
        <w:t>et,</w:t>
      </w:r>
      <w:r>
        <w:rPr>
          <w:color w:val="231F20"/>
          <w:spacing w:val="-9"/>
          <w:w w:val="120"/>
        </w:rPr>
        <w:t> </w:t>
      </w:r>
      <w:r>
        <w:rPr>
          <w:color w:val="231F20"/>
          <w:spacing w:val="-2"/>
          <w:w w:val="120"/>
        </w:rPr>
        <w:t>dans</w:t>
      </w:r>
      <w:r>
        <w:rPr>
          <w:color w:val="231F20"/>
          <w:spacing w:val="-9"/>
          <w:w w:val="120"/>
        </w:rPr>
        <w:t> </w:t>
      </w:r>
      <w:r>
        <w:rPr>
          <w:color w:val="231F20"/>
          <w:spacing w:val="-2"/>
          <w:w w:val="120"/>
        </w:rPr>
        <w:t>bien</w:t>
      </w:r>
      <w:r>
        <w:rPr>
          <w:color w:val="231F20"/>
          <w:spacing w:val="-9"/>
          <w:w w:val="120"/>
        </w:rPr>
        <w:t> </w:t>
      </w:r>
      <w:r>
        <w:rPr>
          <w:color w:val="231F20"/>
          <w:spacing w:val="-2"/>
          <w:w w:val="120"/>
        </w:rPr>
        <w:t>des</w:t>
      </w:r>
      <w:r>
        <w:rPr>
          <w:color w:val="231F20"/>
          <w:spacing w:val="-9"/>
          <w:w w:val="120"/>
        </w:rPr>
        <w:t> </w:t>
      </w:r>
      <w:r>
        <w:rPr>
          <w:color w:val="231F20"/>
          <w:spacing w:val="-2"/>
          <w:w w:val="120"/>
        </w:rPr>
        <w:t>cas,</w:t>
      </w:r>
      <w:r>
        <w:rPr>
          <w:color w:val="231F20"/>
          <w:spacing w:val="-9"/>
          <w:w w:val="120"/>
        </w:rPr>
        <w:t> </w:t>
      </w:r>
      <w:r>
        <w:rPr>
          <w:color w:val="231F20"/>
          <w:spacing w:val="-2"/>
          <w:w w:val="120"/>
        </w:rPr>
        <w:t>à</w:t>
      </w:r>
      <w:r>
        <w:rPr>
          <w:color w:val="231F20"/>
          <w:spacing w:val="-9"/>
          <w:w w:val="120"/>
        </w:rPr>
        <w:t> </w:t>
      </w:r>
      <w:r>
        <w:rPr>
          <w:color w:val="231F20"/>
          <w:spacing w:val="-2"/>
          <w:w w:val="120"/>
        </w:rPr>
        <w:t>modifier</w:t>
      </w:r>
      <w:r>
        <w:rPr>
          <w:color w:val="231F20"/>
          <w:spacing w:val="-9"/>
          <w:w w:val="120"/>
        </w:rPr>
        <w:t> </w:t>
      </w:r>
      <w:r>
        <w:rPr>
          <w:color w:val="231F20"/>
          <w:spacing w:val="-2"/>
          <w:w w:val="120"/>
        </w:rPr>
        <w:t>la</w:t>
      </w:r>
      <w:r>
        <w:rPr>
          <w:color w:val="231F20"/>
          <w:spacing w:val="-9"/>
          <w:w w:val="120"/>
        </w:rPr>
        <w:t> </w:t>
      </w:r>
      <w:r>
        <w:rPr>
          <w:color w:val="231F20"/>
          <w:spacing w:val="-2"/>
          <w:w w:val="120"/>
        </w:rPr>
        <w:t>perception</w:t>
      </w:r>
      <w:r>
        <w:rPr>
          <w:color w:val="231F20"/>
          <w:spacing w:val="-9"/>
          <w:w w:val="120"/>
        </w:rPr>
        <w:t> </w:t>
      </w:r>
      <w:r>
        <w:rPr>
          <w:color w:val="231F20"/>
          <w:spacing w:val="-2"/>
          <w:w w:val="120"/>
        </w:rPr>
        <w:t>de</w:t>
      </w:r>
      <w:r>
        <w:rPr>
          <w:color w:val="231F20"/>
          <w:spacing w:val="-9"/>
          <w:w w:val="120"/>
        </w:rPr>
        <w:t> </w:t>
      </w:r>
      <w:r>
        <w:rPr>
          <w:color w:val="231F20"/>
          <w:spacing w:val="-2"/>
          <w:w w:val="120"/>
        </w:rPr>
        <w:t>certains</w:t>
      </w:r>
      <w:r>
        <w:rPr>
          <w:color w:val="231F20"/>
          <w:spacing w:val="-9"/>
          <w:w w:val="120"/>
        </w:rPr>
        <w:t> </w:t>
      </w:r>
      <w:r>
        <w:rPr>
          <w:color w:val="231F20"/>
          <w:spacing w:val="-2"/>
          <w:w w:val="120"/>
        </w:rPr>
        <w:t>facteurs</w:t>
      </w:r>
      <w:r>
        <w:rPr>
          <w:color w:val="231F20"/>
          <w:spacing w:val="-9"/>
          <w:w w:val="120"/>
        </w:rPr>
        <w:t> </w:t>
      </w:r>
      <w:r>
        <w:rPr>
          <w:color w:val="231F20"/>
          <w:spacing w:val="-2"/>
          <w:w w:val="120"/>
        </w:rPr>
        <w:t>de notre</w:t>
      </w:r>
      <w:r>
        <w:rPr>
          <w:color w:val="231F20"/>
          <w:spacing w:val="-7"/>
          <w:w w:val="120"/>
        </w:rPr>
        <w:t> </w:t>
      </w:r>
      <w:r>
        <w:rPr>
          <w:color w:val="231F20"/>
          <w:spacing w:val="-2"/>
          <w:w w:val="120"/>
        </w:rPr>
        <w:t>environnement.</w:t>
      </w:r>
      <w:r>
        <w:rPr>
          <w:color w:val="231F20"/>
          <w:spacing w:val="-7"/>
          <w:w w:val="120"/>
        </w:rPr>
        <w:t> </w:t>
      </w:r>
      <w:r>
        <w:rPr>
          <w:color w:val="231F20"/>
          <w:spacing w:val="-2"/>
          <w:w w:val="120"/>
        </w:rPr>
        <w:t>Ce</w:t>
      </w:r>
      <w:r>
        <w:rPr>
          <w:color w:val="231F20"/>
          <w:spacing w:val="-7"/>
          <w:w w:val="120"/>
        </w:rPr>
        <w:t> </w:t>
      </w:r>
      <w:r>
        <w:rPr>
          <w:color w:val="231F20"/>
          <w:spacing w:val="-2"/>
          <w:w w:val="120"/>
        </w:rPr>
        <w:t>faisant,</w:t>
      </w:r>
      <w:r>
        <w:rPr>
          <w:color w:val="231F20"/>
          <w:spacing w:val="-7"/>
          <w:w w:val="120"/>
        </w:rPr>
        <w:t> </w:t>
      </w:r>
      <w:r>
        <w:rPr>
          <w:color w:val="231F20"/>
          <w:spacing w:val="-2"/>
          <w:w w:val="120"/>
        </w:rPr>
        <w:t>elle</w:t>
      </w:r>
      <w:r>
        <w:rPr>
          <w:color w:val="231F20"/>
          <w:spacing w:val="-7"/>
          <w:w w:val="120"/>
        </w:rPr>
        <w:t> </w:t>
      </w:r>
      <w:r>
        <w:rPr>
          <w:color w:val="231F20"/>
          <w:spacing w:val="-2"/>
          <w:w w:val="120"/>
        </w:rPr>
        <w:t>peut</w:t>
      </w:r>
      <w:r>
        <w:rPr>
          <w:color w:val="231F20"/>
          <w:spacing w:val="-7"/>
          <w:w w:val="120"/>
        </w:rPr>
        <w:t> </w:t>
      </w:r>
      <w:r>
        <w:rPr>
          <w:color w:val="231F20"/>
          <w:spacing w:val="-2"/>
          <w:w w:val="120"/>
        </w:rPr>
        <w:t>nous</w:t>
      </w:r>
      <w:r>
        <w:rPr>
          <w:color w:val="231F20"/>
          <w:spacing w:val="-7"/>
          <w:w w:val="120"/>
        </w:rPr>
        <w:t> </w:t>
      </w:r>
      <w:r>
        <w:rPr>
          <w:color w:val="231F20"/>
          <w:spacing w:val="-2"/>
          <w:w w:val="120"/>
        </w:rPr>
        <w:t>aider</w:t>
      </w:r>
      <w:r>
        <w:rPr>
          <w:color w:val="231F20"/>
          <w:spacing w:val="-7"/>
          <w:w w:val="120"/>
        </w:rPr>
        <w:t> </w:t>
      </w:r>
      <w:r>
        <w:rPr>
          <w:color w:val="231F20"/>
          <w:spacing w:val="-2"/>
          <w:w w:val="120"/>
        </w:rPr>
        <w:t>à</w:t>
      </w:r>
      <w:r>
        <w:rPr>
          <w:color w:val="231F20"/>
          <w:spacing w:val="-7"/>
          <w:w w:val="120"/>
        </w:rPr>
        <w:t> </w:t>
      </w:r>
      <w:r>
        <w:rPr>
          <w:color w:val="231F20"/>
          <w:spacing w:val="-2"/>
          <w:w w:val="120"/>
        </w:rPr>
        <w:t>aborder</w:t>
      </w:r>
      <w:r>
        <w:rPr>
          <w:color w:val="231F20"/>
          <w:spacing w:val="-7"/>
          <w:w w:val="120"/>
        </w:rPr>
        <w:t> </w:t>
      </w:r>
      <w:r>
        <w:rPr>
          <w:color w:val="231F20"/>
          <w:spacing w:val="-2"/>
          <w:w w:val="120"/>
        </w:rPr>
        <w:t>les</w:t>
      </w:r>
      <w:r>
        <w:rPr>
          <w:color w:val="231F20"/>
          <w:spacing w:val="-7"/>
          <w:w w:val="120"/>
        </w:rPr>
        <w:t> </w:t>
      </w:r>
      <w:r>
        <w:rPr>
          <w:color w:val="231F20"/>
          <w:spacing w:val="-2"/>
          <w:w w:val="120"/>
        </w:rPr>
        <w:t>situa- </w:t>
      </w:r>
      <w:r>
        <w:rPr>
          <w:color w:val="231F20"/>
          <w:w w:val="120"/>
        </w:rPr>
        <w:t>tions dans un état d’esprit positif. C’est là un acquis important, bien entendu,</w:t>
      </w:r>
      <w:r>
        <w:rPr>
          <w:color w:val="231F20"/>
          <w:spacing w:val="-4"/>
          <w:w w:val="120"/>
        </w:rPr>
        <w:t> </w:t>
      </w:r>
      <w:r>
        <w:rPr>
          <w:color w:val="231F20"/>
          <w:w w:val="120"/>
        </w:rPr>
        <w:t>parce</w:t>
      </w:r>
      <w:r>
        <w:rPr>
          <w:color w:val="231F20"/>
          <w:spacing w:val="-4"/>
          <w:w w:val="120"/>
        </w:rPr>
        <w:t> </w:t>
      </w:r>
      <w:r>
        <w:rPr>
          <w:color w:val="231F20"/>
          <w:w w:val="120"/>
        </w:rPr>
        <w:t>que</w:t>
      </w:r>
      <w:r>
        <w:rPr>
          <w:color w:val="231F20"/>
          <w:spacing w:val="-4"/>
          <w:w w:val="120"/>
        </w:rPr>
        <w:t> </w:t>
      </w:r>
      <w:r>
        <w:rPr>
          <w:color w:val="231F20"/>
          <w:w w:val="120"/>
        </w:rPr>
        <w:t>les</w:t>
      </w:r>
      <w:r>
        <w:rPr>
          <w:color w:val="231F20"/>
          <w:spacing w:val="-4"/>
          <w:w w:val="120"/>
        </w:rPr>
        <w:t> </w:t>
      </w:r>
      <w:r>
        <w:rPr>
          <w:color w:val="231F20"/>
          <w:w w:val="120"/>
        </w:rPr>
        <w:t>humeurs</w:t>
      </w:r>
      <w:r>
        <w:rPr>
          <w:color w:val="231F20"/>
          <w:spacing w:val="-4"/>
          <w:w w:val="120"/>
        </w:rPr>
        <w:t> </w:t>
      </w:r>
      <w:r>
        <w:rPr>
          <w:color w:val="231F20"/>
          <w:w w:val="120"/>
        </w:rPr>
        <w:t>négatives,</w:t>
      </w:r>
      <w:r>
        <w:rPr>
          <w:color w:val="231F20"/>
          <w:spacing w:val="-4"/>
          <w:w w:val="120"/>
        </w:rPr>
        <w:t> </w:t>
      </w:r>
      <w:r>
        <w:rPr>
          <w:color w:val="231F20"/>
          <w:w w:val="120"/>
        </w:rPr>
        <w:t>en</w:t>
      </w:r>
      <w:r>
        <w:rPr>
          <w:color w:val="231F20"/>
          <w:spacing w:val="-4"/>
          <w:w w:val="120"/>
        </w:rPr>
        <w:t> </w:t>
      </w:r>
      <w:r>
        <w:rPr>
          <w:color w:val="231F20"/>
          <w:w w:val="120"/>
        </w:rPr>
        <w:t>plus</w:t>
      </w:r>
      <w:r>
        <w:rPr>
          <w:color w:val="231F20"/>
          <w:spacing w:val="-4"/>
          <w:w w:val="120"/>
        </w:rPr>
        <w:t> </w:t>
      </w:r>
      <w:r>
        <w:rPr>
          <w:color w:val="231F20"/>
          <w:w w:val="120"/>
        </w:rPr>
        <w:t>d’être</w:t>
      </w:r>
      <w:r>
        <w:rPr>
          <w:color w:val="231F20"/>
          <w:spacing w:val="-4"/>
          <w:w w:val="120"/>
        </w:rPr>
        <w:t> </w:t>
      </w:r>
      <w:r>
        <w:rPr>
          <w:color w:val="231F20"/>
          <w:w w:val="120"/>
        </w:rPr>
        <w:t>désagréables, réduisent</w:t>
      </w:r>
      <w:r>
        <w:rPr>
          <w:color w:val="231F20"/>
          <w:spacing w:val="-7"/>
          <w:w w:val="120"/>
        </w:rPr>
        <w:t> </w:t>
      </w:r>
      <w:r>
        <w:rPr>
          <w:color w:val="231F20"/>
          <w:w w:val="120"/>
        </w:rPr>
        <w:t>la</w:t>
      </w:r>
      <w:r>
        <w:rPr>
          <w:color w:val="231F20"/>
          <w:spacing w:val="-7"/>
          <w:w w:val="120"/>
        </w:rPr>
        <w:t> </w:t>
      </w:r>
      <w:r>
        <w:rPr>
          <w:color w:val="231F20"/>
          <w:w w:val="120"/>
        </w:rPr>
        <w:t>qualité</w:t>
      </w:r>
      <w:r>
        <w:rPr>
          <w:color w:val="231F20"/>
          <w:spacing w:val="-7"/>
          <w:w w:val="120"/>
        </w:rPr>
        <w:t> </w:t>
      </w:r>
      <w:r>
        <w:rPr>
          <w:color w:val="231F20"/>
          <w:w w:val="120"/>
        </w:rPr>
        <w:t>de</w:t>
      </w:r>
      <w:r>
        <w:rPr>
          <w:color w:val="231F20"/>
          <w:spacing w:val="-7"/>
          <w:w w:val="120"/>
        </w:rPr>
        <w:t> </w:t>
      </w:r>
      <w:r>
        <w:rPr>
          <w:color w:val="231F20"/>
          <w:w w:val="120"/>
        </w:rPr>
        <w:t>notre</w:t>
      </w:r>
      <w:r>
        <w:rPr>
          <w:color w:val="231F20"/>
          <w:spacing w:val="-7"/>
          <w:w w:val="120"/>
        </w:rPr>
        <w:t> </w:t>
      </w:r>
      <w:r>
        <w:rPr>
          <w:color w:val="231F20"/>
          <w:w w:val="120"/>
        </w:rPr>
        <w:t>rendement</w:t>
      </w:r>
      <w:r>
        <w:rPr>
          <w:color w:val="231F20"/>
          <w:spacing w:val="-7"/>
          <w:w w:val="120"/>
        </w:rPr>
        <w:t> </w:t>
      </w:r>
      <w:r>
        <w:rPr>
          <w:color w:val="231F20"/>
          <w:w w:val="120"/>
        </w:rPr>
        <w:t>et</w:t>
      </w:r>
      <w:r>
        <w:rPr>
          <w:color w:val="231F20"/>
          <w:spacing w:val="-7"/>
          <w:w w:val="120"/>
        </w:rPr>
        <w:t> </w:t>
      </w:r>
      <w:r>
        <w:rPr>
          <w:color w:val="231F20"/>
          <w:w w:val="120"/>
        </w:rPr>
        <w:t>minent</w:t>
      </w:r>
      <w:r>
        <w:rPr>
          <w:color w:val="231F20"/>
          <w:spacing w:val="-7"/>
          <w:w w:val="120"/>
        </w:rPr>
        <w:t> </w:t>
      </w:r>
      <w:r>
        <w:rPr>
          <w:color w:val="231F20"/>
          <w:w w:val="120"/>
        </w:rPr>
        <w:t>nos</w:t>
      </w:r>
      <w:r>
        <w:rPr>
          <w:color w:val="231F20"/>
          <w:spacing w:val="-7"/>
          <w:w w:val="120"/>
        </w:rPr>
        <w:t> </w:t>
      </w:r>
      <w:r>
        <w:rPr>
          <w:color w:val="231F20"/>
          <w:w w:val="120"/>
        </w:rPr>
        <w:t>relations</w:t>
      </w:r>
      <w:r>
        <w:rPr>
          <w:color w:val="231F20"/>
          <w:spacing w:val="-7"/>
          <w:w w:val="120"/>
        </w:rPr>
        <w:t> </w:t>
      </w:r>
      <w:r>
        <w:rPr>
          <w:color w:val="231F20"/>
          <w:w w:val="120"/>
        </w:rPr>
        <w:t>sociales et</w:t>
      </w:r>
      <w:r>
        <w:rPr>
          <w:color w:val="231F20"/>
          <w:spacing w:val="-13"/>
          <w:w w:val="120"/>
        </w:rPr>
        <w:t> </w:t>
      </w:r>
      <w:r>
        <w:rPr>
          <w:color w:val="231F20"/>
          <w:w w:val="120"/>
        </w:rPr>
        <w:t>professionnelles.</w:t>
      </w:r>
    </w:p>
    <w:p>
      <w:pPr>
        <w:pStyle w:val="BodyText"/>
        <w:spacing w:before="6"/>
        <w:rPr>
          <w:sz w:val="11"/>
        </w:rPr>
      </w:pPr>
      <w:r>
        <w:rPr/>
        <w:pict>
          <v:group style="position:absolute;margin-left:82pt;margin-top:7.824463pt;width:287.5pt;height:231.75pt;mso-position-horizontal-relative:page;mso-position-vertical-relative:paragraph;z-index:-15626240;mso-wrap-distance-left:0;mso-wrap-distance-right:0" id="docshapegroup1047" coordorigin="1640,156" coordsize="5750,4635">
            <v:rect style="position:absolute;left:1640;top:156;width:5750;height:705" id="docshape1048" filled="true" fillcolor="#e2e3e4" stroked="false">
              <v:fill type="solid"/>
            </v:rect>
            <v:line style="position:absolute" from="1890,704" to="7140,704" stroked="true" strokeweight=".25pt" strokecolor="#231f20">
              <v:stroke dashstyle="shortdot"/>
            </v:line>
            <v:shape style="position:absolute;left:1640;top:781;width:5750;height:4010" id="docshape1049" coordorigin="1640,781" coordsize="5750,4010" path="m7390,781l1640,781,1640,3951,1640,4031,1640,4791,7390,4791,7390,4031,7390,3951,7390,781xe" filled="true" fillcolor="#e2e3e4" stroked="false">
              <v:path arrowok="t"/>
              <v:fill type="solid"/>
            </v:shape>
            <v:line style="position:absolute" from="1890,3949" to="7140,3949" stroked="true" strokeweight=".25pt" strokecolor="#231f20">
              <v:stroke dashstyle="shortdot"/>
            </v:line>
            <v:shape style="position:absolute;left:1640;top:156;width:5750;height:4635" type="#_x0000_t202" id="docshape1050" filled="false" stroked="false">
              <v:textbox inset="0,0,0,0">
                <w:txbxContent>
                  <w:p>
                    <w:pPr>
                      <w:spacing w:line="240" w:lineRule="auto" w:before="9"/>
                      <w:rPr>
                        <w:sz w:val="18"/>
                      </w:rPr>
                    </w:pPr>
                  </w:p>
                  <w:p>
                    <w:pPr>
                      <w:spacing w:before="0"/>
                      <w:ind w:left="250" w:right="0" w:firstLine="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w:t>
                    </w:r>
                    <w:r>
                      <w:rPr>
                        <w:rFonts w:ascii="Arial" w:hAnsi="Arial"/>
                        <w:color w:val="231F20"/>
                        <w:spacing w:val="-2"/>
                        <w:w w:val="120"/>
                        <w:sz w:val="17"/>
                      </w:rPr>
                      <w:t>intéressant</w:t>
                    </w:r>
                  </w:p>
                  <w:p>
                    <w:pPr>
                      <w:spacing w:line="240" w:lineRule="auto" w:before="5"/>
                      <w:rPr>
                        <w:rFonts w:ascii="Arial"/>
                        <w:sz w:val="26"/>
                      </w:rPr>
                    </w:pPr>
                  </w:p>
                  <w:p>
                    <w:pPr>
                      <w:spacing w:line="307" w:lineRule="auto" w:before="1"/>
                      <w:ind w:left="250" w:right="244" w:firstLine="0"/>
                      <w:jc w:val="both"/>
                      <w:rPr>
                        <w:rFonts w:ascii="Arial" w:hAnsi="Arial"/>
                        <w:sz w:val="17"/>
                      </w:rPr>
                    </w:pPr>
                    <w:r>
                      <w:rPr>
                        <w:rFonts w:ascii="Arial" w:hAnsi="Arial"/>
                        <w:color w:val="231F20"/>
                        <w:sz w:val="17"/>
                      </w:rPr>
                      <w:t>Les neurosciences apportent un éclairage étincelant sur le rôle de la joie dans la performance individuelle: le rire irradie la biologie </w:t>
                    </w:r>
                    <w:r>
                      <w:rPr>
                        <w:rFonts w:ascii="Arial" w:hAnsi="Arial"/>
                        <w:color w:val="231F20"/>
                        <w:sz w:val="17"/>
                      </w:rPr>
                      <w:t>même, produisant sérotonine et dopamine qui, une fois libérées, créent plus </w:t>
                    </w:r>
                    <w:r>
                      <w:rPr>
                        <w:rFonts w:ascii="Arial" w:hAnsi="Arial"/>
                        <w:color w:val="231F20"/>
                        <w:w w:val="105"/>
                        <w:sz w:val="17"/>
                      </w:rPr>
                      <w:t>facilement</w:t>
                    </w:r>
                    <w:r>
                      <w:rPr>
                        <w:rFonts w:ascii="Arial" w:hAnsi="Arial"/>
                        <w:color w:val="231F20"/>
                        <w:spacing w:val="-11"/>
                        <w:w w:val="105"/>
                        <w:sz w:val="17"/>
                      </w:rPr>
                      <w:t> </w:t>
                    </w:r>
                    <w:r>
                      <w:rPr>
                        <w:rFonts w:ascii="Arial" w:hAnsi="Arial"/>
                        <w:color w:val="231F20"/>
                        <w:w w:val="105"/>
                        <w:sz w:val="17"/>
                      </w:rPr>
                      <w:t>les</w:t>
                    </w:r>
                    <w:r>
                      <w:rPr>
                        <w:rFonts w:ascii="Arial" w:hAnsi="Arial"/>
                        <w:color w:val="231F20"/>
                        <w:spacing w:val="-11"/>
                        <w:w w:val="105"/>
                        <w:sz w:val="17"/>
                      </w:rPr>
                      <w:t> </w:t>
                    </w:r>
                    <w:r>
                      <w:rPr>
                        <w:rFonts w:ascii="Arial" w:hAnsi="Arial"/>
                        <w:color w:val="231F20"/>
                        <w:w w:val="105"/>
                        <w:sz w:val="17"/>
                      </w:rPr>
                      <w:t>synapses</w:t>
                    </w:r>
                    <w:r>
                      <w:rPr>
                        <w:rFonts w:ascii="Arial" w:hAnsi="Arial"/>
                        <w:color w:val="231F20"/>
                        <w:spacing w:val="-11"/>
                        <w:w w:val="105"/>
                        <w:sz w:val="17"/>
                      </w:rPr>
                      <w:t> </w:t>
                    </w:r>
                    <w:r>
                      <w:rPr>
                        <w:rFonts w:ascii="Arial" w:hAnsi="Arial"/>
                        <w:color w:val="231F20"/>
                        <w:w w:val="105"/>
                        <w:sz w:val="17"/>
                      </w:rPr>
                      <w:t>et</w:t>
                    </w:r>
                    <w:r>
                      <w:rPr>
                        <w:rFonts w:ascii="Arial" w:hAnsi="Arial"/>
                        <w:color w:val="231F20"/>
                        <w:spacing w:val="-11"/>
                        <w:w w:val="105"/>
                        <w:sz w:val="17"/>
                      </w:rPr>
                      <w:t> </w:t>
                    </w:r>
                    <w:r>
                      <w:rPr>
                        <w:rFonts w:ascii="Arial" w:hAnsi="Arial"/>
                        <w:color w:val="231F20"/>
                        <w:w w:val="105"/>
                        <w:sz w:val="17"/>
                      </w:rPr>
                      <w:t>stimulent</w:t>
                    </w:r>
                    <w:r>
                      <w:rPr>
                        <w:rFonts w:ascii="Arial" w:hAnsi="Arial"/>
                        <w:color w:val="231F20"/>
                        <w:spacing w:val="-11"/>
                        <w:w w:val="105"/>
                        <w:sz w:val="17"/>
                      </w:rPr>
                      <w:t> </w:t>
                    </w:r>
                    <w:r>
                      <w:rPr>
                        <w:rFonts w:ascii="Arial" w:hAnsi="Arial"/>
                        <w:color w:val="231F20"/>
                        <w:w w:val="105"/>
                        <w:sz w:val="17"/>
                      </w:rPr>
                      <w:t>la</w:t>
                    </w:r>
                    <w:r>
                      <w:rPr>
                        <w:rFonts w:ascii="Arial" w:hAnsi="Arial"/>
                        <w:color w:val="231F20"/>
                        <w:spacing w:val="-11"/>
                        <w:w w:val="105"/>
                        <w:sz w:val="17"/>
                      </w:rPr>
                      <w:t> </w:t>
                    </w:r>
                    <w:r>
                      <w:rPr>
                        <w:rFonts w:ascii="Arial" w:hAnsi="Arial"/>
                        <w:color w:val="231F20"/>
                        <w:w w:val="105"/>
                        <w:sz w:val="17"/>
                      </w:rPr>
                      <w:t>partie</w:t>
                    </w:r>
                    <w:r>
                      <w:rPr>
                        <w:rFonts w:ascii="Arial" w:hAnsi="Arial"/>
                        <w:color w:val="231F20"/>
                        <w:spacing w:val="-11"/>
                        <w:w w:val="105"/>
                        <w:sz w:val="17"/>
                      </w:rPr>
                      <w:t> </w:t>
                    </w:r>
                    <w:r>
                      <w:rPr>
                        <w:rFonts w:ascii="Arial" w:hAnsi="Arial"/>
                        <w:color w:val="231F20"/>
                        <w:w w:val="105"/>
                        <w:sz w:val="17"/>
                      </w:rPr>
                      <w:t>pensante</w:t>
                    </w:r>
                    <w:r>
                      <w:rPr>
                        <w:rFonts w:ascii="Arial" w:hAnsi="Arial"/>
                        <w:color w:val="231F20"/>
                        <w:spacing w:val="-11"/>
                        <w:w w:val="105"/>
                        <w:sz w:val="17"/>
                      </w:rPr>
                      <w:t> </w:t>
                    </w:r>
                    <w:r>
                      <w:rPr>
                        <w:rFonts w:ascii="Arial" w:hAnsi="Arial"/>
                        <w:color w:val="231F20"/>
                        <w:w w:val="105"/>
                        <w:sz w:val="17"/>
                      </w:rPr>
                      <w:t>du</w:t>
                    </w:r>
                    <w:r>
                      <w:rPr>
                        <w:rFonts w:ascii="Arial" w:hAnsi="Arial"/>
                        <w:color w:val="231F20"/>
                        <w:spacing w:val="-11"/>
                        <w:w w:val="105"/>
                        <w:sz w:val="17"/>
                      </w:rPr>
                      <w:t> </w:t>
                    </w:r>
                    <w:r>
                      <w:rPr>
                        <w:rFonts w:ascii="Arial" w:hAnsi="Arial"/>
                        <w:color w:val="231F20"/>
                        <w:w w:val="105"/>
                        <w:sz w:val="17"/>
                      </w:rPr>
                      <w:t>cerveau. </w:t>
                    </w:r>
                    <w:r>
                      <w:rPr>
                        <w:rFonts w:ascii="Arial" w:hAnsi="Arial"/>
                        <w:color w:val="231F20"/>
                        <w:sz w:val="17"/>
                      </w:rPr>
                      <w:t>Cette</w:t>
                    </w:r>
                    <w:r>
                      <w:rPr>
                        <w:rFonts w:ascii="Arial" w:hAnsi="Arial"/>
                        <w:color w:val="231F20"/>
                        <w:spacing w:val="-10"/>
                        <w:sz w:val="17"/>
                      </w:rPr>
                      <w:t> </w:t>
                    </w:r>
                    <w:r>
                      <w:rPr>
                        <w:rFonts w:ascii="Arial" w:hAnsi="Arial"/>
                        <w:color w:val="231F20"/>
                        <w:sz w:val="17"/>
                      </w:rPr>
                      <w:t>augmentation</w:t>
                    </w:r>
                    <w:r>
                      <w:rPr>
                        <w:rFonts w:ascii="Arial" w:hAnsi="Arial"/>
                        <w:color w:val="231F20"/>
                        <w:spacing w:val="-10"/>
                        <w:sz w:val="17"/>
                      </w:rPr>
                      <w:t> </w:t>
                    </w:r>
                    <w:r>
                      <w:rPr>
                        <w:rFonts w:ascii="Arial" w:hAnsi="Arial"/>
                        <w:color w:val="231F20"/>
                        <w:sz w:val="17"/>
                      </w:rPr>
                      <w:t>des</w:t>
                    </w:r>
                    <w:r>
                      <w:rPr>
                        <w:rFonts w:ascii="Arial" w:hAnsi="Arial"/>
                        <w:color w:val="231F20"/>
                        <w:spacing w:val="-10"/>
                        <w:sz w:val="17"/>
                      </w:rPr>
                      <w:t> </w:t>
                    </w:r>
                    <w:r>
                      <w:rPr>
                        <w:rFonts w:ascii="Arial" w:hAnsi="Arial"/>
                        <w:color w:val="231F20"/>
                        <w:sz w:val="17"/>
                      </w:rPr>
                      <w:t>connexions</w:t>
                    </w:r>
                    <w:r>
                      <w:rPr>
                        <w:rFonts w:ascii="Arial" w:hAnsi="Arial"/>
                        <w:color w:val="231F20"/>
                        <w:spacing w:val="-10"/>
                        <w:sz w:val="17"/>
                      </w:rPr>
                      <w:t> </w:t>
                    </w:r>
                    <w:r>
                      <w:rPr>
                        <w:rFonts w:ascii="Arial" w:hAnsi="Arial"/>
                        <w:color w:val="231F20"/>
                        <w:sz w:val="17"/>
                      </w:rPr>
                      <w:t>neuronales</w:t>
                    </w:r>
                    <w:r>
                      <w:rPr>
                        <w:rFonts w:ascii="Arial" w:hAnsi="Arial"/>
                        <w:color w:val="231F20"/>
                        <w:spacing w:val="-10"/>
                        <w:sz w:val="17"/>
                      </w:rPr>
                      <w:t> </w:t>
                    </w:r>
                    <w:r>
                      <w:rPr>
                        <w:rFonts w:ascii="Arial" w:hAnsi="Arial"/>
                        <w:color w:val="231F20"/>
                        <w:sz w:val="17"/>
                      </w:rPr>
                      <w:t>[amplifie]</w:t>
                    </w:r>
                    <w:r>
                      <w:rPr>
                        <w:rFonts w:ascii="Arial" w:hAnsi="Arial"/>
                        <w:color w:val="231F20"/>
                        <w:spacing w:val="-10"/>
                        <w:sz w:val="17"/>
                      </w:rPr>
                      <w:t> </w:t>
                    </w:r>
                    <w:r>
                      <w:rPr>
                        <w:rFonts w:ascii="Arial" w:hAnsi="Arial"/>
                        <w:color w:val="231F20"/>
                        <w:sz w:val="17"/>
                      </w:rPr>
                      <w:t>la</w:t>
                    </w:r>
                    <w:r>
                      <w:rPr>
                        <w:rFonts w:ascii="Arial" w:hAnsi="Arial"/>
                        <w:color w:val="231F20"/>
                        <w:spacing w:val="-10"/>
                        <w:sz w:val="17"/>
                      </w:rPr>
                      <w:t> </w:t>
                    </w:r>
                    <w:r>
                      <w:rPr>
                        <w:rFonts w:ascii="Arial" w:hAnsi="Arial"/>
                        <w:color w:val="231F20"/>
                        <w:sz w:val="17"/>
                      </w:rPr>
                      <w:t>créativité, </w:t>
                    </w:r>
                    <w:r>
                      <w:rPr>
                        <w:rFonts w:ascii="Arial" w:hAnsi="Arial"/>
                        <w:color w:val="231F20"/>
                        <w:spacing w:val="-2"/>
                        <w:sz w:val="17"/>
                      </w:rPr>
                      <w:t>la</w:t>
                    </w:r>
                    <w:r>
                      <w:rPr>
                        <w:rFonts w:ascii="Arial" w:hAnsi="Arial"/>
                        <w:color w:val="231F20"/>
                        <w:spacing w:val="-6"/>
                        <w:sz w:val="17"/>
                      </w:rPr>
                      <w:t> </w:t>
                    </w:r>
                    <w:r>
                      <w:rPr>
                        <w:rFonts w:ascii="Arial" w:hAnsi="Arial"/>
                        <w:color w:val="231F20"/>
                        <w:spacing w:val="-2"/>
                        <w:sz w:val="17"/>
                      </w:rPr>
                      <w:t>rapidité</w:t>
                    </w:r>
                    <w:r>
                      <w:rPr>
                        <w:rFonts w:ascii="Arial" w:hAnsi="Arial"/>
                        <w:color w:val="231F20"/>
                        <w:spacing w:val="-6"/>
                        <w:sz w:val="17"/>
                      </w:rPr>
                      <w:t> </w:t>
                    </w:r>
                    <w:r>
                      <w:rPr>
                        <w:rFonts w:ascii="Arial" w:hAnsi="Arial"/>
                        <w:color w:val="231F20"/>
                        <w:spacing w:val="-2"/>
                        <w:sz w:val="17"/>
                      </w:rPr>
                      <w:t>de</w:t>
                    </w:r>
                    <w:r>
                      <w:rPr>
                        <w:rFonts w:ascii="Arial" w:hAnsi="Arial"/>
                        <w:color w:val="231F20"/>
                        <w:spacing w:val="-6"/>
                        <w:sz w:val="17"/>
                      </w:rPr>
                      <w:t> </w:t>
                    </w:r>
                    <w:r>
                      <w:rPr>
                        <w:rFonts w:ascii="Arial" w:hAnsi="Arial"/>
                        <w:color w:val="231F20"/>
                        <w:spacing w:val="-2"/>
                        <w:sz w:val="17"/>
                      </w:rPr>
                      <w:t>la</w:t>
                    </w:r>
                    <w:r>
                      <w:rPr>
                        <w:rFonts w:ascii="Arial" w:hAnsi="Arial"/>
                        <w:color w:val="231F20"/>
                        <w:spacing w:val="-6"/>
                        <w:sz w:val="17"/>
                      </w:rPr>
                      <w:t> </w:t>
                    </w:r>
                    <w:r>
                      <w:rPr>
                        <w:rFonts w:ascii="Arial" w:hAnsi="Arial"/>
                        <w:color w:val="231F20"/>
                        <w:spacing w:val="-2"/>
                        <w:sz w:val="17"/>
                      </w:rPr>
                      <w:t>pensée</w:t>
                    </w:r>
                    <w:r>
                      <w:rPr>
                        <w:rFonts w:ascii="Arial" w:hAnsi="Arial"/>
                        <w:color w:val="231F20"/>
                        <w:spacing w:val="-6"/>
                        <w:sz w:val="17"/>
                      </w:rPr>
                      <w:t> </w:t>
                    </w:r>
                    <w:r>
                      <w:rPr>
                        <w:rFonts w:ascii="Arial" w:hAnsi="Arial"/>
                        <w:color w:val="231F20"/>
                        <w:spacing w:val="-2"/>
                        <w:sz w:val="17"/>
                      </w:rPr>
                      <w:t>et</w:t>
                    </w:r>
                    <w:r>
                      <w:rPr>
                        <w:rFonts w:ascii="Arial" w:hAnsi="Arial"/>
                        <w:color w:val="231F20"/>
                        <w:spacing w:val="-6"/>
                        <w:sz w:val="17"/>
                      </w:rPr>
                      <w:t> </w:t>
                    </w:r>
                    <w:r>
                      <w:rPr>
                        <w:rFonts w:ascii="Arial" w:hAnsi="Arial"/>
                        <w:color w:val="231F20"/>
                        <w:spacing w:val="-2"/>
                        <w:sz w:val="17"/>
                      </w:rPr>
                      <w:t>la</w:t>
                    </w:r>
                    <w:r>
                      <w:rPr>
                        <w:rFonts w:ascii="Arial" w:hAnsi="Arial"/>
                        <w:color w:val="231F20"/>
                        <w:spacing w:val="-6"/>
                        <w:sz w:val="17"/>
                      </w:rPr>
                      <w:t> </w:t>
                    </w:r>
                    <w:r>
                      <w:rPr>
                        <w:rFonts w:ascii="Arial" w:hAnsi="Arial"/>
                        <w:color w:val="231F20"/>
                        <w:spacing w:val="-2"/>
                        <w:sz w:val="17"/>
                      </w:rPr>
                      <w:t>capacité</w:t>
                    </w:r>
                    <w:r>
                      <w:rPr>
                        <w:rFonts w:ascii="Arial" w:hAnsi="Arial"/>
                        <w:color w:val="231F20"/>
                        <w:spacing w:val="-6"/>
                        <w:sz w:val="17"/>
                      </w:rPr>
                      <w:t> </w:t>
                    </w:r>
                    <w:r>
                      <w:rPr>
                        <w:rFonts w:ascii="Arial" w:hAnsi="Arial"/>
                        <w:color w:val="231F20"/>
                        <w:spacing w:val="-2"/>
                        <w:sz w:val="17"/>
                      </w:rPr>
                      <w:t>de</w:t>
                    </w:r>
                    <w:r>
                      <w:rPr>
                        <w:rFonts w:ascii="Arial" w:hAnsi="Arial"/>
                        <w:color w:val="231F20"/>
                        <w:spacing w:val="-6"/>
                        <w:sz w:val="17"/>
                      </w:rPr>
                      <w:t> </w:t>
                    </w:r>
                    <w:r>
                      <w:rPr>
                        <w:rFonts w:ascii="Arial" w:hAnsi="Arial"/>
                        <w:color w:val="231F20"/>
                        <w:spacing w:val="-2"/>
                        <w:sz w:val="17"/>
                      </w:rPr>
                      <w:t>résolution</w:t>
                    </w:r>
                    <w:r>
                      <w:rPr>
                        <w:rFonts w:ascii="Arial" w:hAnsi="Arial"/>
                        <w:color w:val="231F20"/>
                        <w:spacing w:val="-6"/>
                        <w:sz w:val="17"/>
                      </w:rPr>
                      <w:t> </w:t>
                    </w:r>
                    <w:r>
                      <w:rPr>
                        <w:rFonts w:ascii="Arial" w:hAnsi="Arial"/>
                        <w:color w:val="231F20"/>
                        <w:spacing w:val="-2"/>
                        <w:sz w:val="17"/>
                      </w:rPr>
                      <w:t>des</w:t>
                    </w:r>
                    <w:r>
                      <w:rPr>
                        <w:rFonts w:ascii="Arial" w:hAnsi="Arial"/>
                        <w:color w:val="231F20"/>
                        <w:spacing w:val="-6"/>
                        <w:sz w:val="17"/>
                      </w:rPr>
                      <w:t> </w:t>
                    </w:r>
                    <w:r>
                      <w:rPr>
                        <w:rFonts w:ascii="Arial" w:hAnsi="Arial"/>
                        <w:color w:val="231F20"/>
                        <w:spacing w:val="-2"/>
                        <w:sz w:val="17"/>
                      </w:rPr>
                      <w:t>problèmes.</w:t>
                    </w:r>
                    <w:r>
                      <w:rPr>
                        <w:rFonts w:ascii="Arial" w:hAnsi="Arial"/>
                        <w:color w:val="231F20"/>
                        <w:spacing w:val="-6"/>
                        <w:sz w:val="17"/>
                      </w:rPr>
                      <w:t> </w:t>
                    </w:r>
                    <w:r>
                      <w:rPr>
                        <w:rFonts w:ascii="Arial" w:hAnsi="Arial"/>
                        <w:color w:val="231F20"/>
                        <w:spacing w:val="-2"/>
                        <w:sz w:val="17"/>
                      </w:rPr>
                      <w:t>Une </w:t>
                    </w:r>
                    <w:r>
                      <w:rPr>
                        <w:rFonts w:ascii="Arial" w:hAnsi="Arial"/>
                        <w:color w:val="231F20"/>
                        <w:w w:val="105"/>
                        <w:sz w:val="17"/>
                      </w:rPr>
                      <w:t>équation qui [influence] fortement la performance individuelle. En même</w:t>
                    </w:r>
                    <w:r>
                      <w:rPr>
                        <w:rFonts w:ascii="Arial" w:hAnsi="Arial"/>
                        <w:color w:val="231F20"/>
                        <w:spacing w:val="-1"/>
                        <w:w w:val="105"/>
                        <w:sz w:val="17"/>
                      </w:rPr>
                      <w:t> </w:t>
                    </w:r>
                    <w:r>
                      <w:rPr>
                        <w:rFonts w:ascii="Arial" w:hAnsi="Arial"/>
                        <w:color w:val="231F20"/>
                        <w:w w:val="105"/>
                        <w:sz w:val="17"/>
                      </w:rPr>
                      <w:t>temps,</w:t>
                    </w:r>
                    <w:r>
                      <w:rPr>
                        <w:rFonts w:ascii="Arial" w:hAnsi="Arial"/>
                        <w:color w:val="231F20"/>
                        <w:spacing w:val="-1"/>
                        <w:w w:val="105"/>
                        <w:sz w:val="17"/>
                      </w:rPr>
                      <w:t> </w:t>
                    </w:r>
                    <w:r>
                      <w:rPr>
                        <w:rFonts w:ascii="Arial" w:hAnsi="Arial"/>
                        <w:color w:val="231F20"/>
                        <w:w w:val="105"/>
                        <w:sz w:val="17"/>
                      </w:rPr>
                      <w:t>les</w:t>
                    </w:r>
                    <w:r>
                      <w:rPr>
                        <w:rFonts w:ascii="Arial" w:hAnsi="Arial"/>
                        <w:color w:val="231F20"/>
                        <w:spacing w:val="-1"/>
                        <w:w w:val="105"/>
                        <w:sz w:val="17"/>
                      </w:rPr>
                      <w:t> </w:t>
                    </w:r>
                    <w:r>
                      <w:rPr>
                        <w:rFonts w:ascii="Arial" w:hAnsi="Arial"/>
                        <w:color w:val="231F20"/>
                        <w:w w:val="105"/>
                        <w:sz w:val="17"/>
                      </w:rPr>
                      <w:t>endorphines</w:t>
                    </w:r>
                    <w:r>
                      <w:rPr>
                        <w:rFonts w:ascii="Arial" w:hAnsi="Arial"/>
                        <w:color w:val="231F20"/>
                        <w:spacing w:val="-1"/>
                        <w:w w:val="105"/>
                        <w:sz w:val="17"/>
                      </w:rPr>
                      <w:t> </w:t>
                    </w:r>
                    <w:r>
                      <w:rPr>
                        <w:rFonts w:ascii="Arial" w:hAnsi="Arial"/>
                        <w:color w:val="231F20"/>
                        <w:w w:val="105"/>
                        <w:sz w:val="17"/>
                      </w:rPr>
                      <w:t>produites</w:t>
                    </w:r>
                    <w:r>
                      <w:rPr>
                        <w:rFonts w:ascii="Arial" w:hAnsi="Arial"/>
                        <w:color w:val="231F20"/>
                        <w:spacing w:val="-1"/>
                        <w:w w:val="105"/>
                        <w:sz w:val="17"/>
                      </w:rPr>
                      <w:t> </w:t>
                    </w:r>
                    <w:r>
                      <w:rPr>
                        <w:rFonts w:ascii="Arial" w:hAnsi="Arial"/>
                        <w:color w:val="231F20"/>
                        <w:w w:val="105"/>
                        <w:sz w:val="17"/>
                      </w:rPr>
                      <w:t>favorisent</w:t>
                    </w:r>
                    <w:r>
                      <w:rPr>
                        <w:rFonts w:ascii="Arial" w:hAnsi="Arial"/>
                        <w:color w:val="231F20"/>
                        <w:spacing w:val="-1"/>
                        <w:w w:val="105"/>
                        <w:sz w:val="17"/>
                      </w:rPr>
                      <w:t> </w:t>
                    </w:r>
                    <w:r>
                      <w:rPr>
                        <w:rFonts w:ascii="Arial" w:hAnsi="Arial"/>
                        <w:color w:val="231F20"/>
                        <w:w w:val="105"/>
                        <w:sz w:val="17"/>
                      </w:rPr>
                      <w:t>la</w:t>
                    </w:r>
                    <w:r>
                      <w:rPr>
                        <w:rFonts w:ascii="Arial" w:hAnsi="Arial"/>
                        <w:color w:val="231F20"/>
                        <w:spacing w:val="-1"/>
                        <w:w w:val="105"/>
                        <w:sz w:val="17"/>
                      </w:rPr>
                      <w:t> </w:t>
                    </w:r>
                    <w:r>
                      <w:rPr>
                        <w:rFonts w:ascii="Arial" w:hAnsi="Arial"/>
                        <w:color w:val="231F20"/>
                        <w:w w:val="105"/>
                        <w:sz w:val="17"/>
                      </w:rPr>
                      <w:t>réduction</w:t>
                    </w:r>
                    <w:r>
                      <w:rPr>
                        <w:rFonts w:ascii="Arial" w:hAnsi="Arial"/>
                        <w:color w:val="231F20"/>
                        <w:spacing w:val="-1"/>
                        <w:w w:val="105"/>
                        <w:sz w:val="17"/>
                      </w:rPr>
                      <w:t> </w:t>
                    </w:r>
                    <w:r>
                      <w:rPr>
                        <w:rFonts w:ascii="Arial" w:hAnsi="Arial"/>
                        <w:color w:val="231F20"/>
                        <w:w w:val="105"/>
                        <w:sz w:val="17"/>
                      </w:rPr>
                      <w:t>du </w:t>
                    </w:r>
                    <w:r>
                      <w:rPr>
                        <w:rFonts w:ascii="Arial" w:hAnsi="Arial"/>
                        <w:color w:val="231F20"/>
                        <w:sz w:val="17"/>
                      </w:rPr>
                      <w:t>niveau</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stress</w:t>
                    </w:r>
                    <w:r>
                      <w:rPr>
                        <w:rFonts w:ascii="Arial" w:hAnsi="Arial"/>
                        <w:color w:val="231F20"/>
                        <w:spacing w:val="-8"/>
                        <w:sz w:val="17"/>
                      </w:rPr>
                      <w:t> </w:t>
                    </w:r>
                    <w:r>
                      <w:rPr>
                        <w:rFonts w:ascii="Arial" w:hAnsi="Arial"/>
                        <w:color w:val="231F20"/>
                        <w:sz w:val="17"/>
                      </w:rPr>
                      <w:t>dans</w:t>
                    </w:r>
                    <w:r>
                      <w:rPr>
                        <w:rFonts w:ascii="Arial" w:hAnsi="Arial"/>
                        <w:color w:val="231F20"/>
                        <w:spacing w:val="-8"/>
                        <w:sz w:val="17"/>
                      </w:rPr>
                      <w:t> </w:t>
                    </w:r>
                    <w:r>
                      <w:rPr>
                        <w:rFonts w:ascii="Arial" w:hAnsi="Arial"/>
                        <w:color w:val="231F20"/>
                        <w:sz w:val="17"/>
                      </w:rPr>
                      <w:t>le</w:t>
                    </w:r>
                    <w:r>
                      <w:rPr>
                        <w:rFonts w:ascii="Arial" w:hAnsi="Arial"/>
                        <w:color w:val="231F20"/>
                        <w:spacing w:val="-8"/>
                        <w:sz w:val="17"/>
                      </w:rPr>
                      <w:t> </w:t>
                    </w:r>
                    <w:r>
                      <w:rPr>
                        <w:rFonts w:ascii="Arial" w:hAnsi="Arial"/>
                        <w:color w:val="231F20"/>
                        <w:sz w:val="17"/>
                      </w:rPr>
                      <w:t>corps</w:t>
                    </w:r>
                    <w:r>
                      <w:rPr>
                        <w:rFonts w:ascii="Arial" w:hAnsi="Arial"/>
                        <w:color w:val="231F20"/>
                        <w:spacing w:val="-8"/>
                        <w:sz w:val="17"/>
                      </w:rPr>
                      <w:t> </w:t>
                    </w:r>
                    <w:r>
                      <w:rPr>
                        <w:rFonts w:ascii="Arial" w:hAnsi="Arial"/>
                        <w:color w:val="231F20"/>
                        <w:sz w:val="17"/>
                      </w:rPr>
                      <w:t>et</w:t>
                    </w:r>
                    <w:r>
                      <w:rPr>
                        <w:rFonts w:ascii="Arial" w:hAnsi="Arial"/>
                        <w:color w:val="231F20"/>
                        <w:spacing w:val="-8"/>
                        <w:sz w:val="17"/>
                      </w:rPr>
                      <w:t> </w:t>
                    </w:r>
                    <w:r>
                      <w:rPr>
                        <w:rFonts w:ascii="Arial" w:hAnsi="Arial"/>
                        <w:color w:val="231F20"/>
                        <w:sz w:val="17"/>
                      </w:rPr>
                      <w:t>donc</w:t>
                    </w:r>
                    <w:r>
                      <w:rPr>
                        <w:rFonts w:ascii="Arial" w:hAnsi="Arial"/>
                        <w:color w:val="231F20"/>
                        <w:spacing w:val="-8"/>
                        <w:sz w:val="17"/>
                      </w:rPr>
                      <w:t> </w:t>
                    </w:r>
                    <w:r>
                      <w:rPr>
                        <w:rFonts w:ascii="Arial" w:hAnsi="Arial"/>
                        <w:color w:val="231F20"/>
                        <w:sz w:val="17"/>
                      </w:rPr>
                      <w:t>la</w:t>
                    </w:r>
                    <w:r>
                      <w:rPr>
                        <w:rFonts w:ascii="Arial" w:hAnsi="Arial"/>
                        <w:color w:val="231F20"/>
                        <w:spacing w:val="-8"/>
                        <w:sz w:val="17"/>
                      </w:rPr>
                      <w:t> </w:t>
                    </w:r>
                    <w:r>
                      <w:rPr>
                        <w:rFonts w:ascii="Arial" w:hAnsi="Arial"/>
                        <w:color w:val="231F20"/>
                        <w:sz w:val="17"/>
                      </w:rPr>
                      <w:t>prise</w:t>
                    </w:r>
                    <w:r>
                      <w:rPr>
                        <w:rFonts w:ascii="Arial" w:hAnsi="Arial"/>
                        <w:color w:val="231F20"/>
                        <w:spacing w:val="-8"/>
                        <w:sz w:val="17"/>
                      </w:rPr>
                      <w:t> </w:t>
                    </w:r>
                    <w:r>
                      <w:rPr>
                        <w:rFonts w:ascii="Arial" w:hAnsi="Arial"/>
                        <w:color w:val="231F20"/>
                        <w:sz w:val="17"/>
                      </w:rPr>
                      <w:t>de</w:t>
                    </w:r>
                    <w:r>
                      <w:rPr>
                        <w:rFonts w:ascii="Arial" w:hAnsi="Arial"/>
                        <w:color w:val="231F20"/>
                        <w:spacing w:val="-8"/>
                        <w:sz w:val="17"/>
                      </w:rPr>
                      <w:t> </w:t>
                    </w:r>
                    <w:r>
                      <w:rPr>
                        <w:rFonts w:ascii="Arial" w:hAnsi="Arial"/>
                        <w:color w:val="231F20"/>
                        <w:sz w:val="17"/>
                      </w:rPr>
                      <w:t>décision.</w:t>
                    </w:r>
                    <w:r>
                      <w:rPr>
                        <w:rFonts w:ascii="Arial" w:hAnsi="Arial"/>
                        <w:color w:val="231F20"/>
                        <w:spacing w:val="-8"/>
                        <w:sz w:val="17"/>
                      </w:rPr>
                      <w:t> </w:t>
                    </w:r>
                    <w:r>
                      <w:rPr>
                        <w:rFonts w:ascii="Arial" w:hAnsi="Arial"/>
                        <w:color w:val="231F20"/>
                        <w:sz w:val="17"/>
                      </w:rPr>
                      <w:t>La</w:t>
                    </w:r>
                    <w:r>
                      <w:rPr>
                        <w:rFonts w:ascii="Arial" w:hAnsi="Arial"/>
                        <w:color w:val="231F20"/>
                        <w:spacing w:val="-8"/>
                        <w:sz w:val="17"/>
                      </w:rPr>
                      <w:t> </w:t>
                    </w:r>
                    <w:r>
                      <w:rPr>
                        <w:rFonts w:ascii="Arial" w:hAnsi="Arial"/>
                        <w:color w:val="231F20"/>
                        <w:sz w:val="17"/>
                      </w:rPr>
                      <w:t>science démontre</w:t>
                    </w:r>
                    <w:r>
                      <w:rPr>
                        <w:rFonts w:ascii="Arial" w:hAnsi="Arial"/>
                        <w:color w:val="231F20"/>
                        <w:spacing w:val="-3"/>
                        <w:sz w:val="17"/>
                      </w:rPr>
                      <w:t> </w:t>
                    </w:r>
                    <w:r>
                      <w:rPr>
                        <w:rFonts w:ascii="Arial" w:hAnsi="Arial"/>
                        <w:color w:val="231F20"/>
                        <w:sz w:val="17"/>
                      </w:rPr>
                      <w:t>aujourd’hui</w:t>
                    </w:r>
                    <w:r>
                      <w:rPr>
                        <w:rFonts w:ascii="Arial" w:hAnsi="Arial"/>
                        <w:color w:val="231F20"/>
                        <w:spacing w:val="-3"/>
                        <w:sz w:val="17"/>
                      </w:rPr>
                      <w:t> </w:t>
                    </w:r>
                    <w:r>
                      <w:rPr>
                        <w:rFonts w:ascii="Arial" w:hAnsi="Arial"/>
                        <w:color w:val="231F20"/>
                        <w:sz w:val="17"/>
                      </w:rPr>
                      <w:t>l’influence</w:t>
                    </w:r>
                    <w:r>
                      <w:rPr>
                        <w:rFonts w:ascii="Arial" w:hAnsi="Arial"/>
                        <w:color w:val="231F20"/>
                        <w:spacing w:val="-3"/>
                        <w:sz w:val="17"/>
                      </w:rPr>
                      <w:t> </w:t>
                    </w:r>
                    <w:r>
                      <w:rPr>
                        <w:rFonts w:ascii="Arial" w:hAnsi="Arial"/>
                        <w:color w:val="231F20"/>
                        <w:sz w:val="17"/>
                      </w:rPr>
                      <w:t>directe</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la</w:t>
                    </w:r>
                    <w:r>
                      <w:rPr>
                        <w:rFonts w:ascii="Arial" w:hAnsi="Arial"/>
                        <w:color w:val="231F20"/>
                        <w:spacing w:val="-3"/>
                        <w:sz w:val="17"/>
                      </w:rPr>
                      <w:t> </w:t>
                    </w:r>
                    <w:r>
                      <w:rPr>
                        <w:rFonts w:ascii="Arial" w:hAnsi="Arial"/>
                        <w:color w:val="231F20"/>
                        <w:sz w:val="17"/>
                      </w:rPr>
                      <w:t>vie</w:t>
                    </w:r>
                    <w:r>
                      <w:rPr>
                        <w:rFonts w:ascii="Arial" w:hAnsi="Arial"/>
                        <w:color w:val="231F20"/>
                        <w:spacing w:val="-3"/>
                        <w:sz w:val="17"/>
                      </w:rPr>
                      <w:t> </w:t>
                    </w:r>
                    <w:r>
                      <w:rPr>
                        <w:rFonts w:ascii="Arial" w:hAnsi="Arial"/>
                        <w:color w:val="231F20"/>
                        <w:sz w:val="17"/>
                      </w:rPr>
                      <w:t>émotionnelle,</w:t>
                    </w:r>
                    <w:r>
                      <w:rPr>
                        <w:rFonts w:ascii="Arial" w:hAnsi="Arial"/>
                        <w:color w:val="231F20"/>
                        <w:spacing w:val="-3"/>
                        <w:sz w:val="17"/>
                      </w:rPr>
                      <w:t> </w:t>
                    </w:r>
                    <w:r>
                      <w:rPr>
                        <w:rFonts w:ascii="Arial" w:hAnsi="Arial"/>
                        <w:color w:val="231F20"/>
                        <w:sz w:val="17"/>
                      </w:rPr>
                      <w:t>et</w:t>
                    </w:r>
                    <w:r>
                      <w:rPr>
                        <w:rFonts w:ascii="Arial" w:hAnsi="Arial"/>
                        <w:color w:val="231F20"/>
                        <w:spacing w:val="-3"/>
                        <w:sz w:val="17"/>
                      </w:rPr>
                      <w:t> </w:t>
                    </w:r>
                    <w:r>
                      <w:rPr>
                        <w:rFonts w:ascii="Arial" w:hAnsi="Arial"/>
                        <w:color w:val="231F20"/>
                        <w:sz w:val="17"/>
                      </w:rPr>
                      <w:t>par- ticulièrement de la joie, sur la santé physique. Sans compter qu’une </w:t>
                    </w:r>
                    <w:r>
                      <w:rPr>
                        <w:rFonts w:ascii="Arial" w:hAnsi="Arial"/>
                        <w:color w:val="231F20"/>
                        <w:w w:val="105"/>
                        <w:sz w:val="17"/>
                      </w:rPr>
                      <w:t>minute de rire brûle environ 10 calories</w:t>
                    </w:r>
                    <w:r>
                      <w:rPr>
                        <w:rFonts w:ascii="Arial" w:hAnsi="Arial"/>
                        <w:color w:val="231F20"/>
                        <w:spacing w:val="-30"/>
                        <w:w w:val="105"/>
                        <w:sz w:val="17"/>
                      </w:rPr>
                      <w:t> </w:t>
                    </w:r>
                    <w:r>
                      <w:rPr>
                        <w:rFonts w:ascii="Arial" w:hAnsi="Arial"/>
                        <w:color w:val="231F20"/>
                        <w:w w:val="105"/>
                        <w:sz w:val="17"/>
                      </w:rPr>
                      <w:t>!</w:t>
                    </w:r>
                  </w:p>
                  <w:p>
                    <w:pPr>
                      <w:spacing w:line="295" w:lineRule="auto" w:before="213"/>
                      <w:ind w:left="250" w:right="246"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Borde, L. et Daems, P. (2019). Le management par l’humour, une valeur en hausse, </w:t>
                    </w:r>
                    <w:r>
                      <w:rPr>
                        <w:rFonts w:ascii="Arial" w:hAnsi="Arial"/>
                        <w:i/>
                        <w:color w:val="231F20"/>
                        <w:sz w:val="12"/>
                      </w:rPr>
                      <w:t>Les</w:t>
                    </w:r>
                    <w:r>
                      <w:rPr>
                        <w:rFonts w:ascii="Arial" w:hAnsi="Arial"/>
                        <w:i/>
                        <w:color w:val="231F20"/>
                        <w:spacing w:val="40"/>
                        <w:sz w:val="12"/>
                      </w:rPr>
                      <w:t> </w:t>
                    </w:r>
                    <w:r>
                      <w:rPr>
                        <w:rFonts w:ascii="Arial" w:hAnsi="Arial"/>
                        <w:i/>
                        <w:color w:val="231F20"/>
                        <w:sz w:val="12"/>
                      </w:rPr>
                      <w:t>Echos</w:t>
                    </w:r>
                    <w:r>
                      <w:rPr>
                        <w:rFonts w:ascii="Arial" w:hAnsi="Arial"/>
                        <w:color w:val="231F20"/>
                        <w:sz w:val="12"/>
                      </w:rPr>
                      <w:t>,</w:t>
                    </w:r>
                    <w:r>
                      <w:rPr>
                        <w:rFonts w:ascii="Arial" w:hAnsi="Arial"/>
                        <w:color w:val="231F20"/>
                        <w:spacing w:val="-9"/>
                        <w:sz w:val="12"/>
                      </w:rPr>
                      <w:t> </w:t>
                    </w:r>
                    <w:r>
                      <w:rPr>
                        <w:rFonts w:ascii="Arial" w:hAnsi="Arial"/>
                        <w:color w:val="231F20"/>
                        <w:sz w:val="12"/>
                      </w:rPr>
                      <w:t>&lt;https://</w:t>
                    </w:r>
                    <w:hyperlink r:id="rId302">
                      <w:r>
                        <w:rPr>
                          <w:rFonts w:ascii="Arial" w:hAnsi="Arial"/>
                          <w:color w:val="231F20"/>
                          <w:sz w:val="12"/>
                        </w:rPr>
                        <w:t>www.lesechos.fr/idees-debats/cercle/le-management-par-lhumour-une-valeur-en-</w:t>
                      </w:r>
                    </w:hyperlink>
                    <w:r>
                      <w:rPr>
                        <w:rFonts w:ascii="Arial" w:hAnsi="Arial"/>
                        <w:color w:val="231F20"/>
                        <w:spacing w:val="40"/>
                        <w:w w:val="105"/>
                        <w:sz w:val="12"/>
                      </w:rPr>
                      <w:t> </w:t>
                    </w:r>
                    <w:r>
                      <w:rPr>
                        <w:rFonts w:ascii="Arial" w:hAnsi="Arial"/>
                        <w:color w:val="231F20"/>
                        <w:w w:val="105"/>
                        <w:sz w:val="12"/>
                      </w:rPr>
                      <w:t>hausse-1032458&gt;, consulté le 22 octobre 2021.</w:t>
                    </w:r>
                  </w:p>
                </w:txbxContent>
              </v:textbox>
              <w10:wrap type="none"/>
            </v:shape>
            <w10:wrap type="topAndBottom"/>
          </v:group>
        </w:pict>
      </w:r>
    </w:p>
    <w:p>
      <w:pPr>
        <w:spacing w:after="0"/>
        <w:rPr>
          <w:sz w:val="11"/>
        </w:rPr>
        <w:sectPr>
          <w:footerReference w:type="default" r:id="rId301"/>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7"/>
        <w:jc w:val="both"/>
      </w:pPr>
      <w:r>
        <w:rPr>
          <w:color w:val="231F20"/>
          <w:w w:val="115"/>
        </w:rPr>
        <w:t>L’idée</w:t>
      </w:r>
      <w:r>
        <w:rPr>
          <w:color w:val="231F20"/>
          <w:spacing w:val="-5"/>
          <w:w w:val="115"/>
        </w:rPr>
        <w:t> </w:t>
      </w:r>
      <w:r>
        <w:rPr>
          <w:color w:val="231F20"/>
          <w:w w:val="115"/>
        </w:rPr>
        <w:t>fondamentale</w:t>
      </w:r>
      <w:r>
        <w:rPr>
          <w:color w:val="231F20"/>
          <w:spacing w:val="-5"/>
          <w:w w:val="115"/>
        </w:rPr>
        <w:t> </w:t>
      </w:r>
      <w:r>
        <w:rPr>
          <w:color w:val="231F20"/>
          <w:w w:val="115"/>
        </w:rPr>
        <w:t>de</w:t>
      </w:r>
      <w:r>
        <w:rPr>
          <w:color w:val="231F20"/>
          <w:spacing w:val="-5"/>
          <w:w w:val="115"/>
        </w:rPr>
        <w:t> </w:t>
      </w:r>
      <w:r>
        <w:rPr>
          <w:color w:val="231F20"/>
          <w:w w:val="115"/>
        </w:rPr>
        <w:t>cet</w:t>
      </w:r>
      <w:r>
        <w:rPr>
          <w:color w:val="231F20"/>
          <w:spacing w:val="-5"/>
          <w:w w:val="115"/>
        </w:rPr>
        <w:t> </w:t>
      </w:r>
      <w:r>
        <w:rPr>
          <w:color w:val="231F20"/>
          <w:w w:val="115"/>
        </w:rPr>
        <w:t>outil,</w:t>
      </w:r>
      <w:r>
        <w:rPr>
          <w:color w:val="231F20"/>
          <w:spacing w:val="-5"/>
          <w:w w:val="115"/>
        </w:rPr>
        <w:t> </w:t>
      </w:r>
      <w:r>
        <w:rPr>
          <w:color w:val="231F20"/>
          <w:w w:val="115"/>
        </w:rPr>
        <w:t>et</w:t>
      </w:r>
      <w:r>
        <w:rPr>
          <w:color w:val="231F20"/>
          <w:spacing w:val="-5"/>
          <w:w w:val="115"/>
        </w:rPr>
        <w:t> </w:t>
      </w:r>
      <w:r>
        <w:rPr>
          <w:color w:val="231F20"/>
          <w:w w:val="115"/>
        </w:rPr>
        <w:t>d’autres</w:t>
      </w:r>
      <w:r>
        <w:rPr>
          <w:color w:val="231F20"/>
          <w:spacing w:val="-5"/>
          <w:w w:val="115"/>
        </w:rPr>
        <w:t> </w:t>
      </w:r>
      <w:r>
        <w:rPr>
          <w:color w:val="231F20"/>
          <w:w w:val="115"/>
        </w:rPr>
        <w:t>que</w:t>
      </w:r>
      <w:r>
        <w:rPr>
          <w:color w:val="231F20"/>
          <w:spacing w:val="-5"/>
          <w:w w:val="115"/>
        </w:rPr>
        <w:t> </w:t>
      </w:r>
      <w:r>
        <w:rPr>
          <w:color w:val="231F20"/>
          <w:w w:val="115"/>
        </w:rPr>
        <w:t>nous</w:t>
      </w:r>
      <w:r>
        <w:rPr>
          <w:color w:val="231F20"/>
          <w:spacing w:val="-5"/>
          <w:w w:val="115"/>
        </w:rPr>
        <w:t> </w:t>
      </w:r>
      <w:r>
        <w:rPr>
          <w:color w:val="231F20"/>
          <w:w w:val="115"/>
        </w:rPr>
        <w:t>décrirons</w:t>
      </w:r>
      <w:r>
        <w:rPr>
          <w:color w:val="231F20"/>
          <w:spacing w:val="-5"/>
          <w:w w:val="115"/>
        </w:rPr>
        <w:t> </w:t>
      </w:r>
      <w:r>
        <w:rPr>
          <w:color w:val="231F20"/>
          <w:w w:val="115"/>
        </w:rPr>
        <w:t>plus</w:t>
      </w:r>
      <w:r>
        <w:rPr>
          <w:color w:val="231F20"/>
          <w:spacing w:val="-5"/>
          <w:w w:val="115"/>
        </w:rPr>
        <w:t> </w:t>
      </w:r>
      <w:r>
        <w:rPr>
          <w:color w:val="231F20"/>
          <w:w w:val="115"/>
        </w:rPr>
        <w:t>loin, </w:t>
      </w:r>
      <w:r>
        <w:rPr>
          <w:color w:val="231F20"/>
          <w:w w:val="120"/>
        </w:rPr>
        <w:t>est que notre humeur est alimentée par ce que nous nous pensons, qui repose</w:t>
      </w:r>
      <w:r>
        <w:rPr>
          <w:color w:val="231F20"/>
          <w:spacing w:val="-13"/>
          <w:w w:val="120"/>
        </w:rPr>
        <w:t> </w:t>
      </w:r>
      <w:r>
        <w:rPr>
          <w:color w:val="231F20"/>
          <w:w w:val="120"/>
        </w:rPr>
        <w:t>généralement</w:t>
      </w:r>
      <w:r>
        <w:rPr>
          <w:color w:val="231F20"/>
          <w:spacing w:val="-13"/>
          <w:w w:val="120"/>
        </w:rPr>
        <w:t> </w:t>
      </w:r>
      <w:r>
        <w:rPr>
          <w:color w:val="231F20"/>
          <w:w w:val="120"/>
        </w:rPr>
        <w:t>sur</w:t>
      </w:r>
      <w:r>
        <w:rPr>
          <w:color w:val="231F20"/>
          <w:spacing w:val="-13"/>
          <w:w w:val="120"/>
        </w:rPr>
        <w:t> </w:t>
      </w:r>
      <w:r>
        <w:rPr>
          <w:color w:val="231F20"/>
          <w:w w:val="120"/>
        </w:rPr>
        <w:t>l’interprétation</w:t>
      </w:r>
      <w:r>
        <w:rPr>
          <w:color w:val="231F20"/>
          <w:spacing w:val="-12"/>
          <w:w w:val="120"/>
        </w:rPr>
        <w:t> </w:t>
      </w:r>
      <w:r>
        <w:rPr>
          <w:color w:val="231F20"/>
          <w:w w:val="120"/>
        </w:rPr>
        <w:t>que</w:t>
      </w:r>
      <w:r>
        <w:rPr>
          <w:color w:val="231F20"/>
          <w:spacing w:val="-13"/>
          <w:w w:val="120"/>
        </w:rPr>
        <w:t> </w:t>
      </w:r>
      <w:r>
        <w:rPr>
          <w:color w:val="231F20"/>
          <w:w w:val="120"/>
        </w:rPr>
        <w:t>nous</w:t>
      </w:r>
      <w:r>
        <w:rPr>
          <w:color w:val="231F20"/>
          <w:spacing w:val="-13"/>
          <w:w w:val="120"/>
        </w:rPr>
        <w:t> </w:t>
      </w:r>
      <w:r>
        <w:rPr>
          <w:color w:val="231F20"/>
          <w:w w:val="120"/>
        </w:rPr>
        <w:t>faisons</w:t>
      </w:r>
      <w:r>
        <w:rPr>
          <w:color w:val="231F20"/>
          <w:spacing w:val="-13"/>
          <w:w w:val="120"/>
        </w:rPr>
        <w:t> </w:t>
      </w:r>
      <w:r>
        <w:rPr>
          <w:color w:val="231F20"/>
          <w:w w:val="120"/>
        </w:rPr>
        <w:t>de</w:t>
      </w:r>
      <w:r>
        <w:rPr>
          <w:color w:val="231F20"/>
          <w:spacing w:val="-12"/>
          <w:w w:val="120"/>
        </w:rPr>
        <w:t> </w:t>
      </w:r>
      <w:r>
        <w:rPr>
          <w:color w:val="231F20"/>
          <w:w w:val="120"/>
        </w:rPr>
        <w:t>notre</w:t>
      </w:r>
      <w:r>
        <w:rPr>
          <w:color w:val="231F20"/>
          <w:spacing w:val="-13"/>
          <w:w w:val="120"/>
        </w:rPr>
        <w:t> </w:t>
      </w:r>
      <w:r>
        <w:rPr>
          <w:color w:val="231F20"/>
          <w:w w:val="120"/>
        </w:rPr>
        <w:t>envi- ronnement.</w:t>
      </w:r>
      <w:r>
        <w:rPr>
          <w:color w:val="231F20"/>
          <w:spacing w:val="-10"/>
          <w:w w:val="120"/>
        </w:rPr>
        <w:t> </w:t>
      </w:r>
      <w:r>
        <w:rPr>
          <w:color w:val="231F20"/>
          <w:w w:val="120"/>
        </w:rPr>
        <w:t>La</w:t>
      </w:r>
      <w:r>
        <w:rPr>
          <w:color w:val="231F20"/>
          <w:spacing w:val="-10"/>
          <w:w w:val="120"/>
        </w:rPr>
        <w:t> </w:t>
      </w:r>
      <w:r>
        <w:rPr>
          <w:color w:val="231F20"/>
          <w:w w:val="120"/>
        </w:rPr>
        <w:t>restructuration</w:t>
      </w:r>
      <w:r>
        <w:rPr>
          <w:color w:val="231F20"/>
          <w:spacing w:val="-10"/>
          <w:w w:val="120"/>
        </w:rPr>
        <w:t> </w:t>
      </w:r>
      <w:r>
        <w:rPr>
          <w:color w:val="231F20"/>
          <w:w w:val="120"/>
        </w:rPr>
        <w:t>cognitive</w:t>
      </w:r>
      <w:r>
        <w:rPr>
          <w:color w:val="231F20"/>
          <w:spacing w:val="-10"/>
          <w:w w:val="120"/>
        </w:rPr>
        <w:t> </w:t>
      </w:r>
      <w:r>
        <w:rPr>
          <w:color w:val="231F20"/>
          <w:w w:val="120"/>
        </w:rPr>
        <w:t>nous</w:t>
      </w:r>
      <w:r>
        <w:rPr>
          <w:color w:val="231F20"/>
          <w:spacing w:val="-10"/>
          <w:w w:val="120"/>
        </w:rPr>
        <w:t> </w:t>
      </w:r>
      <w:r>
        <w:rPr>
          <w:color w:val="231F20"/>
          <w:w w:val="120"/>
        </w:rPr>
        <w:t>aide</w:t>
      </w:r>
      <w:r>
        <w:rPr>
          <w:color w:val="231F20"/>
          <w:spacing w:val="-10"/>
          <w:w w:val="120"/>
        </w:rPr>
        <w:t> </w:t>
      </w:r>
      <w:r>
        <w:rPr>
          <w:color w:val="231F20"/>
          <w:w w:val="120"/>
        </w:rPr>
        <w:t>à</w:t>
      </w:r>
      <w:r>
        <w:rPr>
          <w:color w:val="231F20"/>
          <w:spacing w:val="-10"/>
          <w:w w:val="120"/>
        </w:rPr>
        <w:t> </w:t>
      </w:r>
      <w:r>
        <w:rPr>
          <w:color w:val="231F20"/>
          <w:w w:val="120"/>
        </w:rPr>
        <w:t>évaluer</w:t>
      </w:r>
      <w:r>
        <w:rPr>
          <w:color w:val="231F20"/>
          <w:spacing w:val="-10"/>
          <w:w w:val="120"/>
        </w:rPr>
        <w:t> </w:t>
      </w:r>
      <w:r>
        <w:rPr>
          <w:color w:val="231F20"/>
          <w:w w:val="120"/>
        </w:rPr>
        <w:t>le</w:t>
      </w:r>
      <w:r>
        <w:rPr>
          <w:color w:val="231F20"/>
          <w:spacing w:val="-10"/>
          <w:w w:val="120"/>
        </w:rPr>
        <w:t> </w:t>
      </w:r>
      <w:r>
        <w:rPr>
          <w:color w:val="231F20"/>
          <w:w w:val="120"/>
        </w:rPr>
        <w:t>degré</w:t>
      </w:r>
      <w:r>
        <w:rPr>
          <w:color w:val="231F20"/>
          <w:spacing w:val="-10"/>
          <w:w w:val="120"/>
        </w:rPr>
        <w:t> </w:t>
      </w:r>
      <w:r>
        <w:rPr>
          <w:color w:val="231F20"/>
          <w:w w:val="120"/>
        </w:rPr>
        <w:t>de rationalité</w:t>
      </w:r>
      <w:r>
        <w:rPr>
          <w:color w:val="231F20"/>
          <w:spacing w:val="-2"/>
          <w:w w:val="120"/>
        </w:rPr>
        <w:t> </w:t>
      </w:r>
      <w:r>
        <w:rPr>
          <w:color w:val="231F20"/>
          <w:w w:val="120"/>
        </w:rPr>
        <w:t>et</w:t>
      </w:r>
      <w:r>
        <w:rPr>
          <w:color w:val="231F20"/>
          <w:spacing w:val="-2"/>
          <w:w w:val="120"/>
        </w:rPr>
        <w:t> </w:t>
      </w:r>
      <w:r>
        <w:rPr>
          <w:color w:val="231F20"/>
          <w:w w:val="120"/>
        </w:rPr>
        <w:t>de</w:t>
      </w:r>
      <w:r>
        <w:rPr>
          <w:color w:val="231F20"/>
          <w:spacing w:val="-2"/>
          <w:w w:val="120"/>
        </w:rPr>
        <w:t> </w:t>
      </w:r>
      <w:r>
        <w:rPr>
          <w:color w:val="231F20"/>
          <w:w w:val="120"/>
        </w:rPr>
        <w:t>validité</w:t>
      </w:r>
      <w:r>
        <w:rPr>
          <w:color w:val="231F20"/>
          <w:spacing w:val="-2"/>
          <w:w w:val="120"/>
        </w:rPr>
        <w:t> </w:t>
      </w:r>
      <w:r>
        <w:rPr>
          <w:color w:val="231F20"/>
          <w:w w:val="120"/>
        </w:rPr>
        <w:t>de</w:t>
      </w:r>
      <w:r>
        <w:rPr>
          <w:color w:val="231F20"/>
          <w:spacing w:val="-2"/>
          <w:w w:val="120"/>
        </w:rPr>
        <w:t> </w:t>
      </w:r>
      <w:r>
        <w:rPr>
          <w:color w:val="231F20"/>
          <w:w w:val="120"/>
        </w:rPr>
        <w:t>ces</w:t>
      </w:r>
      <w:r>
        <w:rPr>
          <w:color w:val="231F20"/>
          <w:spacing w:val="-2"/>
          <w:w w:val="120"/>
        </w:rPr>
        <w:t> </w:t>
      </w:r>
      <w:r>
        <w:rPr>
          <w:color w:val="231F20"/>
          <w:w w:val="120"/>
        </w:rPr>
        <w:t>interprétations.</w:t>
      </w:r>
      <w:r>
        <w:rPr>
          <w:color w:val="231F20"/>
          <w:spacing w:val="-2"/>
          <w:w w:val="120"/>
        </w:rPr>
        <w:t> </w:t>
      </w:r>
      <w:r>
        <w:rPr>
          <w:color w:val="231F20"/>
          <w:w w:val="120"/>
        </w:rPr>
        <w:t>Le</w:t>
      </w:r>
      <w:r>
        <w:rPr>
          <w:color w:val="231F20"/>
          <w:spacing w:val="-2"/>
          <w:w w:val="120"/>
        </w:rPr>
        <w:t> </w:t>
      </w:r>
      <w:r>
        <w:rPr>
          <w:color w:val="231F20"/>
          <w:w w:val="120"/>
        </w:rPr>
        <w:t>fait</w:t>
      </w:r>
      <w:r>
        <w:rPr>
          <w:color w:val="231F20"/>
          <w:spacing w:val="-2"/>
          <w:w w:val="120"/>
        </w:rPr>
        <w:t> </w:t>
      </w:r>
      <w:r>
        <w:rPr>
          <w:color w:val="231F20"/>
          <w:w w:val="120"/>
        </w:rPr>
        <w:t>de</w:t>
      </w:r>
      <w:r>
        <w:rPr>
          <w:color w:val="231F20"/>
          <w:spacing w:val="-2"/>
          <w:w w:val="120"/>
        </w:rPr>
        <w:t> </w:t>
      </w:r>
      <w:r>
        <w:rPr>
          <w:color w:val="231F20"/>
          <w:w w:val="120"/>
        </w:rPr>
        <w:t>constater</w:t>
      </w:r>
      <w:r>
        <w:rPr>
          <w:color w:val="231F20"/>
          <w:spacing w:val="-2"/>
          <w:w w:val="120"/>
        </w:rPr>
        <w:t> </w:t>
      </w:r>
      <w:r>
        <w:rPr>
          <w:color w:val="231F20"/>
          <w:w w:val="120"/>
        </w:rPr>
        <w:t>que ces suppositions et ces interprétations sont inexactes change notre manière d’envisager les situations et, par conséquent, notre humeur.</w:t>
      </w:r>
    </w:p>
    <w:p>
      <w:pPr>
        <w:pStyle w:val="BodyText"/>
        <w:spacing w:line="307" w:lineRule="auto" w:before="79"/>
        <w:ind w:left="830" w:right="495" w:firstLine="250"/>
        <w:jc w:val="both"/>
      </w:pPr>
      <w:r>
        <w:rPr>
          <w:color w:val="231F20"/>
          <w:w w:val="120"/>
        </w:rPr>
        <w:t>Il faut être capable de reconnaître et de gérer nos émotions. Entre autres,</w:t>
      </w:r>
      <w:r>
        <w:rPr>
          <w:color w:val="231F20"/>
          <w:spacing w:val="-10"/>
          <w:w w:val="120"/>
        </w:rPr>
        <w:t> </w:t>
      </w:r>
      <w:r>
        <w:rPr>
          <w:color w:val="231F20"/>
          <w:w w:val="120"/>
        </w:rPr>
        <w:t>savoir</w:t>
      </w:r>
      <w:r>
        <w:rPr>
          <w:color w:val="231F20"/>
          <w:spacing w:val="-9"/>
          <w:w w:val="120"/>
        </w:rPr>
        <w:t> </w:t>
      </w:r>
      <w:r>
        <w:rPr>
          <w:color w:val="231F20"/>
          <w:w w:val="120"/>
        </w:rPr>
        <w:t>distinguer</w:t>
      </w:r>
      <w:r>
        <w:rPr>
          <w:color w:val="231F20"/>
          <w:spacing w:val="-10"/>
          <w:w w:val="120"/>
        </w:rPr>
        <w:t> </w:t>
      </w:r>
      <w:r>
        <w:rPr>
          <w:color w:val="231F20"/>
          <w:w w:val="120"/>
        </w:rPr>
        <w:t>les</w:t>
      </w:r>
      <w:r>
        <w:rPr>
          <w:color w:val="231F20"/>
          <w:spacing w:val="-10"/>
          <w:w w:val="120"/>
        </w:rPr>
        <w:t> </w:t>
      </w:r>
      <w:r>
        <w:rPr>
          <w:color w:val="231F20"/>
          <w:w w:val="120"/>
        </w:rPr>
        <w:t>pensées</w:t>
      </w:r>
      <w:r>
        <w:rPr>
          <w:color w:val="231F20"/>
          <w:spacing w:val="-10"/>
          <w:w w:val="120"/>
        </w:rPr>
        <w:t> </w:t>
      </w:r>
      <w:r>
        <w:rPr>
          <w:color w:val="231F20"/>
          <w:w w:val="120"/>
        </w:rPr>
        <w:t>positives</w:t>
      </w:r>
      <w:r>
        <w:rPr>
          <w:color w:val="231F20"/>
          <w:spacing w:val="-10"/>
          <w:w w:val="120"/>
        </w:rPr>
        <w:t> </w:t>
      </w:r>
      <w:r>
        <w:rPr>
          <w:color w:val="231F20"/>
          <w:w w:val="120"/>
        </w:rPr>
        <w:t>et</w:t>
      </w:r>
      <w:r>
        <w:rPr>
          <w:color w:val="231F20"/>
          <w:spacing w:val="-10"/>
          <w:w w:val="120"/>
        </w:rPr>
        <w:t> </w:t>
      </w:r>
      <w:r>
        <w:rPr>
          <w:color w:val="231F20"/>
          <w:w w:val="120"/>
        </w:rPr>
        <w:t>négatives.</w:t>
      </w:r>
      <w:r>
        <w:rPr>
          <w:color w:val="231F20"/>
          <w:spacing w:val="-10"/>
          <w:w w:val="120"/>
        </w:rPr>
        <w:t> </w:t>
      </w:r>
      <w:r>
        <w:rPr>
          <w:color w:val="231F20"/>
          <w:w w:val="120"/>
        </w:rPr>
        <w:t>Les</w:t>
      </w:r>
      <w:r>
        <w:rPr>
          <w:color w:val="231F20"/>
          <w:spacing w:val="-10"/>
          <w:w w:val="120"/>
        </w:rPr>
        <w:t> </w:t>
      </w:r>
      <w:r>
        <w:rPr>
          <w:color w:val="231F20"/>
          <w:w w:val="120"/>
        </w:rPr>
        <w:t>pensées </w:t>
      </w:r>
      <w:r>
        <w:rPr>
          <w:color w:val="231F20"/>
          <w:w w:val="115"/>
        </w:rPr>
        <w:t>positives</w:t>
      </w:r>
      <w:r>
        <w:rPr>
          <w:color w:val="231F20"/>
          <w:spacing w:val="-4"/>
          <w:w w:val="115"/>
        </w:rPr>
        <w:t> </w:t>
      </w:r>
      <w:r>
        <w:rPr>
          <w:color w:val="231F20"/>
          <w:w w:val="115"/>
        </w:rPr>
        <w:t>sont</w:t>
      </w:r>
      <w:r>
        <w:rPr>
          <w:color w:val="231F20"/>
          <w:spacing w:val="-4"/>
          <w:w w:val="115"/>
        </w:rPr>
        <w:t> </w:t>
      </w:r>
      <w:r>
        <w:rPr>
          <w:color w:val="231F20"/>
          <w:w w:val="115"/>
        </w:rPr>
        <w:t>celles</w:t>
      </w:r>
      <w:r>
        <w:rPr>
          <w:color w:val="231F20"/>
          <w:spacing w:val="-4"/>
          <w:w w:val="115"/>
        </w:rPr>
        <w:t> </w:t>
      </w:r>
      <w:r>
        <w:rPr>
          <w:color w:val="231F20"/>
          <w:w w:val="115"/>
        </w:rPr>
        <w:t>qui</w:t>
      </w:r>
      <w:r>
        <w:rPr>
          <w:color w:val="231F20"/>
          <w:spacing w:val="-4"/>
          <w:w w:val="115"/>
        </w:rPr>
        <w:t> </w:t>
      </w:r>
      <w:r>
        <w:rPr>
          <w:color w:val="231F20"/>
          <w:w w:val="115"/>
        </w:rPr>
        <w:t>nous</w:t>
      </w:r>
      <w:r>
        <w:rPr>
          <w:color w:val="231F20"/>
          <w:spacing w:val="-4"/>
          <w:w w:val="115"/>
        </w:rPr>
        <w:t> </w:t>
      </w:r>
      <w:r>
        <w:rPr>
          <w:color w:val="231F20"/>
          <w:w w:val="115"/>
        </w:rPr>
        <w:t>aident</w:t>
      </w:r>
      <w:r>
        <w:rPr>
          <w:color w:val="231F20"/>
          <w:spacing w:val="-4"/>
          <w:w w:val="115"/>
        </w:rPr>
        <w:t> </w:t>
      </w:r>
      <w:r>
        <w:rPr>
          <w:color w:val="231F20"/>
          <w:w w:val="115"/>
        </w:rPr>
        <w:t>à</w:t>
      </w:r>
      <w:r>
        <w:rPr>
          <w:color w:val="231F20"/>
          <w:spacing w:val="-4"/>
          <w:w w:val="115"/>
        </w:rPr>
        <w:t> </w:t>
      </w:r>
      <w:r>
        <w:rPr>
          <w:color w:val="231F20"/>
          <w:w w:val="115"/>
        </w:rPr>
        <w:t>atteindre</w:t>
      </w:r>
      <w:r>
        <w:rPr>
          <w:color w:val="231F20"/>
          <w:spacing w:val="-4"/>
          <w:w w:val="115"/>
        </w:rPr>
        <w:t> </w:t>
      </w:r>
      <w:r>
        <w:rPr>
          <w:color w:val="231F20"/>
          <w:w w:val="115"/>
        </w:rPr>
        <w:t>nos</w:t>
      </w:r>
      <w:r>
        <w:rPr>
          <w:color w:val="231F20"/>
          <w:spacing w:val="-4"/>
          <w:w w:val="115"/>
        </w:rPr>
        <w:t> </w:t>
      </w:r>
      <w:r>
        <w:rPr>
          <w:color w:val="231F20"/>
          <w:w w:val="115"/>
        </w:rPr>
        <w:t>objectifs.</w:t>
      </w:r>
      <w:r>
        <w:rPr>
          <w:color w:val="231F20"/>
          <w:spacing w:val="-4"/>
          <w:w w:val="115"/>
        </w:rPr>
        <w:t> </w:t>
      </w:r>
      <w:r>
        <w:rPr>
          <w:color w:val="231F20"/>
          <w:w w:val="115"/>
        </w:rPr>
        <w:t>Les</w:t>
      </w:r>
      <w:r>
        <w:rPr>
          <w:color w:val="231F20"/>
          <w:spacing w:val="-4"/>
          <w:w w:val="115"/>
        </w:rPr>
        <w:t> </w:t>
      </w:r>
      <w:r>
        <w:rPr>
          <w:color w:val="231F20"/>
          <w:w w:val="115"/>
        </w:rPr>
        <w:t>pensées </w:t>
      </w:r>
      <w:r>
        <w:rPr>
          <w:color w:val="231F20"/>
          <w:spacing w:val="-2"/>
          <w:w w:val="120"/>
        </w:rPr>
        <w:t>négatives</w:t>
      </w:r>
      <w:r>
        <w:rPr>
          <w:color w:val="231F20"/>
          <w:spacing w:val="-8"/>
          <w:w w:val="120"/>
        </w:rPr>
        <w:t> </w:t>
      </w:r>
      <w:r>
        <w:rPr>
          <w:color w:val="231F20"/>
          <w:spacing w:val="-2"/>
          <w:w w:val="120"/>
        </w:rPr>
        <w:t>sont</w:t>
      </w:r>
      <w:r>
        <w:rPr>
          <w:color w:val="231F20"/>
          <w:spacing w:val="-8"/>
          <w:w w:val="120"/>
        </w:rPr>
        <w:t> </w:t>
      </w:r>
      <w:r>
        <w:rPr>
          <w:color w:val="231F20"/>
          <w:spacing w:val="-2"/>
          <w:w w:val="120"/>
        </w:rPr>
        <w:t>celles</w:t>
      </w:r>
      <w:r>
        <w:rPr>
          <w:color w:val="231F20"/>
          <w:spacing w:val="-8"/>
          <w:w w:val="120"/>
        </w:rPr>
        <w:t> </w:t>
      </w:r>
      <w:r>
        <w:rPr>
          <w:color w:val="231F20"/>
          <w:spacing w:val="-2"/>
          <w:w w:val="120"/>
        </w:rPr>
        <w:t>qui</w:t>
      </w:r>
      <w:r>
        <w:rPr>
          <w:color w:val="231F20"/>
          <w:spacing w:val="-8"/>
          <w:w w:val="120"/>
        </w:rPr>
        <w:t> </w:t>
      </w:r>
      <w:r>
        <w:rPr>
          <w:color w:val="231F20"/>
          <w:spacing w:val="-2"/>
          <w:w w:val="120"/>
        </w:rPr>
        <w:t>nous</w:t>
      </w:r>
      <w:r>
        <w:rPr>
          <w:color w:val="231F20"/>
          <w:spacing w:val="-8"/>
          <w:w w:val="120"/>
        </w:rPr>
        <w:t> </w:t>
      </w:r>
      <w:r>
        <w:rPr>
          <w:color w:val="231F20"/>
          <w:spacing w:val="-2"/>
          <w:w w:val="120"/>
        </w:rPr>
        <w:t>empêchent</w:t>
      </w:r>
      <w:r>
        <w:rPr>
          <w:color w:val="231F20"/>
          <w:spacing w:val="-8"/>
          <w:w w:val="120"/>
        </w:rPr>
        <w:t> </w:t>
      </w:r>
      <w:r>
        <w:rPr>
          <w:color w:val="231F20"/>
          <w:spacing w:val="-2"/>
          <w:w w:val="120"/>
        </w:rPr>
        <w:t>d’atteindre</w:t>
      </w:r>
      <w:r>
        <w:rPr>
          <w:color w:val="231F20"/>
          <w:spacing w:val="-8"/>
          <w:w w:val="120"/>
        </w:rPr>
        <w:t> </w:t>
      </w:r>
      <w:r>
        <w:rPr>
          <w:color w:val="231F20"/>
          <w:spacing w:val="-2"/>
          <w:w w:val="120"/>
        </w:rPr>
        <w:t>ces</w:t>
      </w:r>
      <w:r>
        <w:rPr>
          <w:color w:val="231F20"/>
          <w:spacing w:val="-8"/>
          <w:w w:val="120"/>
        </w:rPr>
        <w:t> </w:t>
      </w:r>
      <w:r>
        <w:rPr>
          <w:color w:val="231F20"/>
          <w:spacing w:val="-2"/>
          <w:w w:val="120"/>
        </w:rPr>
        <w:t>objectifs</w:t>
      </w:r>
      <w:r>
        <w:rPr>
          <w:color w:val="231F20"/>
          <w:spacing w:val="-8"/>
          <w:w w:val="120"/>
        </w:rPr>
        <w:t> </w:t>
      </w:r>
      <w:r>
        <w:rPr>
          <w:color w:val="231F20"/>
          <w:spacing w:val="-2"/>
          <w:w w:val="120"/>
        </w:rPr>
        <w:t>et</w:t>
      </w:r>
      <w:r>
        <w:rPr>
          <w:color w:val="231F20"/>
          <w:spacing w:val="-8"/>
          <w:w w:val="120"/>
        </w:rPr>
        <w:t> </w:t>
      </w:r>
      <w:r>
        <w:rPr>
          <w:color w:val="231F20"/>
          <w:spacing w:val="-2"/>
          <w:w w:val="120"/>
        </w:rPr>
        <w:t>qui, en</w:t>
      </w:r>
      <w:r>
        <w:rPr>
          <w:color w:val="231F20"/>
          <w:spacing w:val="-5"/>
          <w:w w:val="120"/>
        </w:rPr>
        <w:t> </w:t>
      </w:r>
      <w:r>
        <w:rPr>
          <w:color w:val="231F20"/>
          <w:spacing w:val="-2"/>
          <w:w w:val="120"/>
        </w:rPr>
        <w:t>même</w:t>
      </w:r>
      <w:r>
        <w:rPr>
          <w:color w:val="231F20"/>
          <w:spacing w:val="-5"/>
          <w:w w:val="120"/>
        </w:rPr>
        <w:t> </w:t>
      </w:r>
      <w:r>
        <w:rPr>
          <w:color w:val="231F20"/>
          <w:spacing w:val="-2"/>
          <w:w w:val="120"/>
        </w:rPr>
        <w:t>temps,</w:t>
      </w:r>
      <w:r>
        <w:rPr>
          <w:color w:val="231F20"/>
          <w:spacing w:val="-5"/>
          <w:w w:val="120"/>
        </w:rPr>
        <w:t> </w:t>
      </w:r>
      <w:r>
        <w:rPr>
          <w:color w:val="231F20"/>
          <w:spacing w:val="-2"/>
          <w:w w:val="120"/>
        </w:rPr>
        <w:t>nous</w:t>
      </w:r>
      <w:r>
        <w:rPr>
          <w:color w:val="231F20"/>
          <w:spacing w:val="-5"/>
          <w:w w:val="120"/>
        </w:rPr>
        <w:t> </w:t>
      </w:r>
      <w:r>
        <w:rPr>
          <w:color w:val="231F20"/>
          <w:spacing w:val="-2"/>
          <w:w w:val="120"/>
        </w:rPr>
        <w:t>donnent</w:t>
      </w:r>
      <w:r>
        <w:rPr>
          <w:color w:val="231F20"/>
          <w:spacing w:val="-5"/>
          <w:w w:val="120"/>
        </w:rPr>
        <w:t> </w:t>
      </w:r>
      <w:r>
        <w:rPr>
          <w:color w:val="231F20"/>
          <w:spacing w:val="-2"/>
          <w:w w:val="120"/>
        </w:rPr>
        <w:t>un</w:t>
      </w:r>
      <w:r>
        <w:rPr>
          <w:color w:val="231F20"/>
          <w:spacing w:val="-5"/>
          <w:w w:val="120"/>
        </w:rPr>
        <w:t> </w:t>
      </w:r>
      <w:r>
        <w:rPr>
          <w:color w:val="231F20"/>
          <w:spacing w:val="-2"/>
          <w:w w:val="120"/>
        </w:rPr>
        <w:t>sentiment</w:t>
      </w:r>
      <w:r>
        <w:rPr>
          <w:color w:val="231F20"/>
          <w:spacing w:val="-5"/>
          <w:w w:val="120"/>
        </w:rPr>
        <w:t> </w:t>
      </w:r>
      <w:r>
        <w:rPr>
          <w:color w:val="231F20"/>
          <w:spacing w:val="-2"/>
          <w:w w:val="120"/>
        </w:rPr>
        <w:t>de</w:t>
      </w:r>
      <w:r>
        <w:rPr>
          <w:color w:val="231F20"/>
          <w:spacing w:val="-5"/>
          <w:w w:val="120"/>
        </w:rPr>
        <w:t> </w:t>
      </w:r>
      <w:r>
        <w:rPr>
          <w:color w:val="231F20"/>
          <w:spacing w:val="-2"/>
          <w:w w:val="120"/>
        </w:rPr>
        <w:t>mal-être.</w:t>
      </w:r>
      <w:r>
        <w:rPr>
          <w:color w:val="231F20"/>
          <w:spacing w:val="-5"/>
          <w:w w:val="120"/>
        </w:rPr>
        <w:t> </w:t>
      </w:r>
      <w:r>
        <w:rPr>
          <w:color w:val="231F20"/>
          <w:spacing w:val="-2"/>
          <w:w w:val="120"/>
        </w:rPr>
        <w:t>Qu’elles</w:t>
      </w:r>
      <w:r>
        <w:rPr>
          <w:color w:val="231F20"/>
          <w:spacing w:val="-5"/>
          <w:w w:val="120"/>
        </w:rPr>
        <w:t> </w:t>
      </w:r>
      <w:r>
        <w:rPr>
          <w:color w:val="231F20"/>
          <w:spacing w:val="-2"/>
          <w:w w:val="120"/>
        </w:rPr>
        <w:t>soient </w:t>
      </w:r>
      <w:r>
        <w:rPr>
          <w:color w:val="231F20"/>
          <w:w w:val="120"/>
        </w:rPr>
        <w:t>positives ou négatives, les pensées peuvent être rationnelles ou irra- tionnelles. Les pensées irrationnelles ne reposent pas sur des données factuelles</w:t>
      </w:r>
      <w:r>
        <w:rPr>
          <w:color w:val="231F20"/>
          <w:spacing w:val="-9"/>
          <w:w w:val="120"/>
        </w:rPr>
        <w:t> </w:t>
      </w:r>
      <w:r>
        <w:rPr>
          <w:color w:val="231F20"/>
          <w:w w:val="120"/>
        </w:rPr>
        <w:t>et</w:t>
      </w:r>
      <w:r>
        <w:rPr>
          <w:color w:val="231F20"/>
          <w:spacing w:val="-9"/>
          <w:w w:val="120"/>
        </w:rPr>
        <w:t> </w:t>
      </w:r>
      <w:r>
        <w:rPr>
          <w:color w:val="231F20"/>
          <w:w w:val="120"/>
        </w:rPr>
        <w:t>objectives</w:t>
      </w:r>
      <w:r>
        <w:rPr>
          <w:color w:val="231F20"/>
          <w:spacing w:val="-9"/>
          <w:w w:val="120"/>
        </w:rPr>
        <w:t> </w:t>
      </w:r>
      <w:r>
        <w:rPr>
          <w:color w:val="231F20"/>
          <w:w w:val="120"/>
        </w:rPr>
        <w:t>suffisantes,</w:t>
      </w:r>
      <w:r>
        <w:rPr>
          <w:color w:val="231F20"/>
          <w:spacing w:val="-9"/>
          <w:w w:val="120"/>
        </w:rPr>
        <w:t> </w:t>
      </w:r>
      <w:r>
        <w:rPr>
          <w:color w:val="231F20"/>
          <w:w w:val="120"/>
        </w:rPr>
        <w:t>quand</w:t>
      </w:r>
      <w:r>
        <w:rPr>
          <w:color w:val="231F20"/>
          <w:spacing w:val="-9"/>
          <w:w w:val="120"/>
        </w:rPr>
        <w:t> </w:t>
      </w:r>
      <w:r>
        <w:rPr>
          <w:color w:val="231F20"/>
          <w:w w:val="120"/>
        </w:rPr>
        <w:t>elles</w:t>
      </w:r>
      <w:r>
        <w:rPr>
          <w:color w:val="231F20"/>
          <w:spacing w:val="-9"/>
          <w:w w:val="120"/>
        </w:rPr>
        <w:t> </w:t>
      </w:r>
      <w:r>
        <w:rPr>
          <w:color w:val="231F20"/>
          <w:w w:val="120"/>
        </w:rPr>
        <w:t>ne</w:t>
      </w:r>
      <w:r>
        <w:rPr>
          <w:color w:val="231F20"/>
          <w:spacing w:val="-9"/>
          <w:w w:val="120"/>
        </w:rPr>
        <w:t> </w:t>
      </w:r>
      <w:r>
        <w:rPr>
          <w:color w:val="231F20"/>
          <w:w w:val="120"/>
        </w:rPr>
        <w:t>contredisent</w:t>
      </w:r>
      <w:r>
        <w:rPr>
          <w:color w:val="231F20"/>
          <w:spacing w:val="-9"/>
          <w:w w:val="120"/>
        </w:rPr>
        <w:t> </w:t>
      </w:r>
      <w:r>
        <w:rPr>
          <w:color w:val="231F20"/>
          <w:w w:val="120"/>
        </w:rPr>
        <w:t>pas</w:t>
      </w:r>
      <w:r>
        <w:rPr>
          <w:color w:val="231F20"/>
          <w:spacing w:val="-9"/>
          <w:w w:val="120"/>
        </w:rPr>
        <w:t> </w:t>
      </w:r>
      <w:r>
        <w:rPr>
          <w:color w:val="231F20"/>
          <w:w w:val="120"/>
        </w:rPr>
        <w:t>car- </w:t>
      </w:r>
      <w:r>
        <w:rPr>
          <w:color w:val="231F20"/>
          <w:spacing w:val="-2"/>
          <w:w w:val="120"/>
        </w:rPr>
        <w:t>rément</w:t>
      </w:r>
      <w:r>
        <w:rPr>
          <w:color w:val="231F20"/>
          <w:spacing w:val="-4"/>
          <w:w w:val="120"/>
        </w:rPr>
        <w:t> </w:t>
      </w:r>
      <w:r>
        <w:rPr>
          <w:color w:val="231F20"/>
          <w:spacing w:val="-2"/>
          <w:w w:val="120"/>
        </w:rPr>
        <w:t>la</w:t>
      </w:r>
      <w:r>
        <w:rPr>
          <w:color w:val="231F20"/>
          <w:spacing w:val="-4"/>
          <w:w w:val="120"/>
        </w:rPr>
        <w:t> </w:t>
      </w:r>
      <w:r>
        <w:rPr>
          <w:color w:val="231F20"/>
          <w:spacing w:val="-2"/>
          <w:w w:val="120"/>
        </w:rPr>
        <w:t>réalité.</w:t>
      </w:r>
      <w:r>
        <w:rPr>
          <w:color w:val="231F20"/>
          <w:spacing w:val="-4"/>
          <w:w w:val="120"/>
        </w:rPr>
        <w:t> </w:t>
      </w:r>
      <w:r>
        <w:rPr>
          <w:color w:val="231F20"/>
          <w:spacing w:val="-2"/>
          <w:w w:val="120"/>
        </w:rPr>
        <w:t>Ces</w:t>
      </w:r>
      <w:r>
        <w:rPr>
          <w:color w:val="231F20"/>
          <w:spacing w:val="-4"/>
          <w:w w:val="120"/>
        </w:rPr>
        <w:t> </w:t>
      </w:r>
      <w:r>
        <w:rPr>
          <w:color w:val="231F20"/>
          <w:spacing w:val="-2"/>
          <w:w w:val="120"/>
        </w:rPr>
        <w:t>pensées</w:t>
      </w:r>
      <w:r>
        <w:rPr>
          <w:color w:val="231F20"/>
          <w:spacing w:val="-4"/>
          <w:w w:val="120"/>
        </w:rPr>
        <w:t> </w:t>
      </w:r>
      <w:r>
        <w:rPr>
          <w:color w:val="231F20"/>
          <w:spacing w:val="-2"/>
          <w:w w:val="120"/>
        </w:rPr>
        <w:t>irrationnelles,</w:t>
      </w:r>
      <w:r>
        <w:rPr>
          <w:color w:val="231F20"/>
          <w:spacing w:val="-4"/>
          <w:w w:val="120"/>
        </w:rPr>
        <w:t> </w:t>
      </w:r>
      <w:r>
        <w:rPr>
          <w:color w:val="231F20"/>
          <w:spacing w:val="-2"/>
          <w:w w:val="120"/>
        </w:rPr>
        <w:t>bien</w:t>
      </w:r>
      <w:r>
        <w:rPr>
          <w:color w:val="231F20"/>
          <w:spacing w:val="-4"/>
          <w:w w:val="120"/>
        </w:rPr>
        <w:t> </w:t>
      </w:r>
      <w:r>
        <w:rPr>
          <w:color w:val="231F20"/>
          <w:spacing w:val="-2"/>
          <w:w w:val="120"/>
        </w:rPr>
        <w:t>qu’elles</w:t>
      </w:r>
      <w:r>
        <w:rPr>
          <w:color w:val="231F20"/>
          <w:spacing w:val="-4"/>
          <w:w w:val="120"/>
        </w:rPr>
        <w:t> </w:t>
      </w:r>
      <w:r>
        <w:rPr>
          <w:color w:val="231F20"/>
          <w:spacing w:val="-2"/>
          <w:w w:val="120"/>
        </w:rPr>
        <w:t>puissent</w:t>
      </w:r>
      <w:r>
        <w:rPr>
          <w:color w:val="231F20"/>
          <w:spacing w:val="-4"/>
          <w:w w:val="120"/>
        </w:rPr>
        <w:t> </w:t>
      </w:r>
      <w:r>
        <w:rPr>
          <w:color w:val="231F20"/>
          <w:spacing w:val="-2"/>
          <w:w w:val="120"/>
        </w:rPr>
        <w:t>s’an- </w:t>
      </w:r>
      <w:r>
        <w:rPr>
          <w:color w:val="231F20"/>
          <w:w w:val="120"/>
        </w:rPr>
        <w:t>crer dans quelques éléments réels, sont souvent des exagérations qui </w:t>
      </w:r>
      <w:r>
        <w:rPr>
          <w:color w:val="231F20"/>
          <w:spacing w:val="-2"/>
          <w:w w:val="120"/>
        </w:rPr>
        <w:t>décuplent</w:t>
      </w:r>
      <w:r>
        <w:rPr>
          <w:color w:val="231F20"/>
          <w:spacing w:val="-6"/>
          <w:w w:val="120"/>
        </w:rPr>
        <w:t> </w:t>
      </w:r>
      <w:r>
        <w:rPr>
          <w:color w:val="231F20"/>
          <w:spacing w:val="-2"/>
          <w:w w:val="120"/>
        </w:rPr>
        <w:t>notre</w:t>
      </w:r>
      <w:r>
        <w:rPr>
          <w:color w:val="231F20"/>
          <w:spacing w:val="-6"/>
          <w:w w:val="120"/>
        </w:rPr>
        <w:t> </w:t>
      </w:r>
      <w:r>
        <w:rPr>
          <w:color w:val="231F20"/>
          <w:spacing w:val="-2"/>
          <w:w w:val="120"/>
        </w:rPr>
        <w:t>interprétation</w:t>
      </w:r>
      <w:r>
        <w:rPr>
          <w:color w:val="231F20"/>
          <w:spacing w:val="-6"/>
          <w:w w:val="120"/>
        </w:rPr>
        <w:t> </w:t>
      </w:r>
      <w:r>
        <w:rPr>
          <w:color w:val="231F20"/>
          <w:spacing w:val="-2"/>
          <w:w w:val="120"/>
        </w:rPr>
        <w:t>de</w:t>
      </w:r>
      <w:r>
        <w:rPr>
          <w:color w:val="231F20"/>
          <w:spacing w:val="-6"/>
          <w:w w:val="120"/>
        </w:rPr>
        <w:t> </w:t>
      </w:r>
      <w:r>
        <w:rPr>
          <w:color w:val="231F20"/>
          <w:spacing w:val="-2"/>
          <w:w w:val="120"/>
        </w:rPr>
        <w:t>la</w:t>
      </w:r>
      <w:r>
        <w:rPr>
          <w:color w:val="231F20"/>
          <w:spacing w:val="-6"/>
          <w:w w:val="120"/>
        </w:rPr>
        <w:t> </w:t>
      </w:r>
      <w:r>
        <w:rPr>
          <w:color w:val="231F20"/>
          <w:spacing w:val="-2"/>
          <w:w w:val="120"/>
        </w:rPr>
        <w:t>réalité.</w:t>
      </w:r>
      <w:r>
        <w:rPr>
          <w:color w:val="231F20"/>
          <w:spacing w:val="-6"/>
          <w:w w:val="120"/>
        </w:rPr>
        <w:t> </w:t>
      </w:r>
      <w:r>
        <w:rPr>
          <w:color w:val="231F20"/>
          <w:spacing w:val="-2"/>
          <w:w w:val="120"/>
        </w:rPr>
        <w:t>Ainsi,</w:t>
      </w:r>
      <w:r>
        <w:rPr>
          <w:color w:val="231F20"/>
          <w:spacing w:val="-6"/>
          <w:w w:val="120"/>
        </w:rPr>
        <w:t> </w:t>
      </w:r>
      <w:r>
        <w:rPr>
          <w:color w:val="231F20"/>
          <w:spacing w:val="-2"/>
          <w:w w:val="120"/>
        </w:rPr>
        <w:t>une</w:t>
      </w:r>
      <w:r>
        <w:rPr>
          <w:color w:val="231F20"/>
          <w:spacing w:val="-6"/>
          <w:w w:val="120"/>
        </w:rPr>
        <w:t> </w:t>
      </w:r>
      <w:r>
        <w:rPr>
          <w:color w:val="231F20"/>
          <w:spacing w:val="-2"/>
          <w:w w:val="120"/>
        </w:rPr>
        <w:t>simple</w:t>
      </w:r>
      <w:r>
        <w:rPr>
          <w:color w:val="231F20"/>
          <w:spacing w:val="-6"/>
          <w:w w:val="120"/>
        </w:rPr>
        <w:t> </w:t>
      </w:r>
      <w:r>
        <w:rPr>
          <w:color w:val="231F20"/>
          <w:spacing w:val="-2"/>
          <w:w w:val="120"/>
        </w:rPr>
        <w:t>divergence d’opinions</w:t>
      </w:r>
      <w:r>
        <w:rPr>
          <w:color w:val="231F20"/>
          <w:spacing w:val="-11"/>
          <w:w w:val="120"/>
        </w:rPr>
        <w:t> </w:t>
      </w:r>
      <w:r>
        <w:rPr>
          <w:color w:val="231F20"/>
          <w:spacing w:val="-2"/>
          <w:w w:val="120"/>
        </w:rPr>
        <w:t>avec</w:t>
      </w:r>
      <w:r>
        <w:rPr>
          <w:color w:val="231F20"/>
          <w:spacing w:val="-11"/>
          <w:w w:val="120"/>
        </w:rPr>
        <w:t> </w:t>
      </w:r>
      <w:r>
        <w:rPr>
          <w:color w:val="231F20"/>
          <w:spacing w:val="-2"/>
          <w:w w:val="120"/>
        </w:rPr>
        <w:t>un</w:t>
      </w:r>
      <w:r>
        <w:rPr>
          <w:color w:val="231F20"/>
          <w:spacing w:val="-11"/>
          <w:w w:val="120"/>
        </w:rPr>
        <w:t> </w:t>
      </w:r>
      <w:r>
        <w:rPr>
          <w:color w:val="231F20"/>
          <w:spacing w:val="-2"/>
          <w:w w:val="120"/>
        </w:rPr>
        <w:t>collègue</w:t>
      </w:r>
      <w:r>
        <w:rPr>
          <w:color w:val="231F20"/>
          <w:spacing w:val="-10"/>
          <w:w w:val="120"/>
        </w:rPr>
        <w:t> </w:t>
      </w:r>
      <w:r>
        <w:rPr>
          <w:color w:val="231F20"/>
          <w:spacing w:val="-2"/>
          <w:w w:val="120"/>
        </w:rPr>
        <w:t>est</w:t>
      </w:r>
      <w:r>
        <w:rPr>
          <w:color w:val="231F20"/>
          <w:spacing w:val="-11"/>
          <w:w w:val="120"/>
        </w:rPr>
        <w:t> </w:t>
      </w:r>
      <w:r>
        <w:rPr>
          <w:color w:val="231F20"/>
          <w:spacing w:val="-2"/>
          <w:w w:val="120"/>
        </w:rPr>
        <w:t>interprétée</w:t>
      </w:r>
      <w:r>
        <w:rPr>
          <w:color w:val="231F20"/>
          <w:spacing w:val="-11"/>
          <w:w w:val="120"/>
        </w:rPr>
        <w:t> </w:t>
      </w:r>
      <w:r>
        <w:rPr>
          <w:color w:val="231F20"/>
          <w:spacing w:val="-2"/>
          <w:w w:val="120"/>
        </w:rPr>
        <w:t>comme</w:t>
      </w:r>
      <w:r>
        <w:rPr>
          <w:color w:val="231F20"/>
          <w:spacing w:val="-11"/>
          <w:w w:val="120"/>
        </w:rPr>
        <w:t> </w:t>
      </w:r>
      <w:r>
        <w:rPr>
          <w:color w:val="231F20"/>
          <w:spacing w:val="-2"/>
          <w:w w:val="120"/>
        </w:rPr>
        <w:t>un</w:t>
      </w:r>
      <w:r>
        <w:rPr>
          <w:color w:val="231F20"/>
          <w:spacing w:val="-10"/>
          <w:w w:val="120"/>
        </w:rPr>
        <w:t> </w:t>
      </w:r>
      <w:r>
        <w:rPr>
          <w:color w:val="231F20"/>
          <w:spacing w:val="-2"/>
          <w:w w:val="120"/>
        </w:rPr>
        <w:t>événement</w:t>
      </w:r>
      <w:r>
        <w:rPr>
          <w:color w:val="231F20"/>
          <w:spacing w:val="-11"/>
          <w:w w:val="120"/>
        </w:rPr>
        <w:t> </w:t>
      </w:r>
      <w:r>
        <w:rPr>
          <w:color w:val="231F20"/>
          <w:spacing w:val="-2"/>
          <w:w w:val="120"/>
        </w:rPr>
        <w:t>majeur </w:t>
      </w:r>
      <w:r>
        <w:rPr>
          <w:color w:val="231F20"/>
          <w:w w:val="120"/>
        </w:rPr>
        <w:t>démontrant notre incapacité à travailler en équipe. Tout cela n’est que perception</w:t>
      </w:r>
      <w:r>
        <w:rPr>
          <w:color w:val="231F20"/>
          <w:spacing w:val="-13"/>
          <w:w w:val="120"/>
        </w:rPr>
        <w:t> </w:t>
      </w:r>
      <w:r>
        <w:rPr>
          <w:color w:val="231F20"/>
          <w:w w:val="120"/>
        </w:rPr>
        <w:t>puisque</w:t>
      </w:r>
      <w:r>
        <w:rPr>
          <w:color w:val="231F20"/>
          <w:spacing w:val="-13"/>
          <w:w w:val="120"/>
        </w:rPr>
        <w:t> </w:t>
      </w:r>
      <w:r>
        <w:rPr>
          <w:color w:val="231F20"/>
          <w:w w:val="120"/>
        </w:rPr>
        <w:t>ce</w:t>
      </w:r>
      <w:r>
        <w:rPr>
          <w:color w:val="231F20"/>
          <w:spacing w:val="-13"/>
          <w:w w:val="120"/>
        </w:rPr>
        <w:t> </w:t>
      </w:r>
      <w:r>
        <w:rPr>
          <w:color w:val="231F20"/>
          <w:w w:val="120"/>
        </w:rPr>
        <w:t>conflit</w:t>
      </w:r>
      <w:r>
        <w:rPr>
          <w:color w:val="231F20"/>
          <w:spacing w:val="-12"/>
          <w:w w:val="120"/>
        </w:rPr>
        <w:t> </w:t>
      </w:r>
      <w:r>
        <w:rPr>
          <w:color w:val="231F20"/>
          <w:w w:val="120"/>
        </w:rPr>
        <w:t>pourra</w:t>
      </w:r>
      <w:r>
        <w:rPr>
          <w:color w:val="231F20"/>
          <w:spacing w:val="-13"/>
          <w:w w:val="120"/>
        </w:rPr>
        <w:t> </w:t>
      </w:r>
      <w:r>
        <w:rPr>
          <w:color w:val="231F20"/>
          <w:w w:val="120"/>
        </w:rPr>
        <w:t>sûrement</w:t>
      </w:r>
      <w:r>
        <w:rPr>
          <w:color w:val="231F20"/>
          <w:spacing w:val="-13"/>
          <w:w w:val="120"/>
        </w:rPr>
        <w:t> </w:t>
      </w:r>
      <w:r>
        <w:rPr>
          <w:color w:val="231F20"/>
          <w:w w:val="120"/>
        </w:rPr>
        <w:t>rapidement</w:t>
      </w:r>
      <w:r>
        <w:rPr>
          <w:color w:val="231F20"/>
          <w:spacing w:val="-13"/>
          <w:w w:val="120"/>
        </w:rPr>
        <w:t> </w:t>
      </w:r>
      <w:r>
        <w:rPr>
          <w:color w:val="231F20"/>
          <w:w w:val="120"/>
        </w:rPr>
        <w:t>se</w:t>
      </w:r>
      <w:r>
        <w:rPr>
          <w:color w:val="231F20"/>
          <w:spacing w:val="-12"/>
          <w:w w:val="120"/>
        </w:rPr>
        <w:t> </w:t>
      </w:r>
      <w:r>
        <w:rPr>
          <w:color w:val="231F20"/>
          <w:w w:val="120"/>
        </w:rPr>
        <w:t>résorber</w:t>
      </w:r>
      <w:r>
        <w:rPr>
          <w:color w:val="231F20"/>
          <w:spacing w:val="-13"/>
          <w:w w:val="120"/>
        </w:rPr>
        <w:t> </w:t>
      </w:r>
      <w:r>
        <w:rPr>
          <w:color w:val="231F20"/>
          <w:w w:val="120"/>
        </w:rPr>
        <w:t>et n’est en rien un réel indicateur de notre qualité de coéquipier!</w:t>
      </w:r>
    </w:p>
    <w:p>
      <w:pPr>
        <w:pStyle w:val="BodyText"/>
        <w:spacing w:line="307" w:lineRule="auto" w:before="78"/>
        <w:ind w:left="830" w:right="497" w:firstLine="250"/>
        <w:jc w:val="both"/>
      </w:pPr>
      <w:r>
        <w:rPr>
          <w:color w:val="231F20"/>
          <w:w w:val="120"/>
        </w:rPr>
        <w:t>La restructuration cognitive se doit d’émerger à partir d’une bonne gestion</w:t>
      </w:r>
      <w:r>
        <w:rPr>
          <w:color w:val="231F20"/>
          <w:spacing w:val="-12"/>
          <w:w w:val="120"/>
        </w:rPr>
        <w:t> </w:t>
      </w:r>
      <w:r>
        <w:rPr>
          <w:color w:val="231F20"/>
          <w:w w:val="120"/>
        </w:rPr>
        <w:t>de</w:t>
      </w:r>
      <w:r>
        <w:rPr>
          <w:color w:val="231F20"/>
          <w:spacing w:val="-12"/>
          <w:w w:val="120"/>
        </w:rPr>
        <w:t> </w:t>
      </w:r>
      <w:r>
        <w:rPr>
          <w:color w:val="231F20"/>
          <w:w w:val="120"/>
        </w:rPr>
        <w:t>ses</w:t>
      </w:r>
      <w:r>
        <w:rPr>
          <w:color w:val="231F20"/>
          <w:spacing w:val="-12"/>
          <w:w w:val="120"/>
        </w:rPr>
        <w:t> </w:t>
      </w:r>
      <w:r>
        <w:rPr>
          <w:color w:val="231F20"/>
          <w:w w:val="120"/>
        </w:rPr>
        <w:t>émotions.</w:t>
      </w:r>
      <w:r>
        <w:rPr>
          <w:color w:val="231F20"/>
          <w:spacing w:val="-12"/>
          <w:w w:val="120"/>
        </w:rPr>
        <w:t> </w:t>
      </w:r>
      <w:r>
        <w:rPr>
          <w:color w:val="231F20"/>
          <w:w w:val="120"/>
        </w:rPr>
        <w:t>L’émotion</w:t>
      </w:r>
      <w:r>
        <w:rPr>
          <w:color w:val="231F20"/>
          <w:spacing w:val="-12"/>
          <w:w w:val="120"/>
        </w:rPr>
        <w:t> </w:t>
      </w:r>
      <w:r>
        <w:rPr>
          <w:color w:val="231F20"/>
          <w:w w:val="120"/>
        </w:rPr>
        <w:t>est</w:t>
      </w:r>
      <w:r>
        <w:rPr>
          <w:color w:val="231F20"/>
          <w:spacing w:val="-12"/>
          <w:w w:val="120"/>
        </w:rPr>
        <w:t> </w:t>
      </w:r>
      <w:r>
        <w:rPr>
          <w:color w:val="231F20"/>
          <w:w w:val="120"/>
        </w:rPr>
        <w:t>un</w:t>
      </w:r>
      <w:r>
        <w:rPr>
          <w:color w:val="231F20"/>
          <w:spacing w:val="-12"/>
          <w:w w:val="120"/>
        </w:rPr>
        <w:t> </w:t>
      </w:r>
      <w:r>
        <w:rPr>
          <w:color w:val="231F20"/>
          <w:w w:val="120"/>
        </w:rPr>
        <w:t>ingrédient</w:t>
      </w:r>
      <w:r>
        <w:rPr>
          <w:color w:val="231F20"/>
          <w:spacing w:val="-12"/>
          <w:w w:val="120"/>
        </w:rPr>
        <w:t> </w:t>
      </w:r>
      <w:r>
        <w:rPr>
          <w:color w:val="231F20"/>
          <w:w w:val="120"/>
        </w:rPr>
        <w:t>essentiel</w:t>
      </w:r>
      <w:r>
        <w:rPr>
          <w:color w:val="231F20"/>
          <w:spacing w:val="-12"/>
          <w:w w:val="120"/>
        </w:rPr>
        <w:t> </w:t>
      </w:r>
      <w:r>
        <w:rPr>
          <w:color w:val="231F20"/>
          <w:w w:val="120"/>
        </w:rPr>
        <w:t>dans</w:t>
      </w:r>
      <w:r>
        <w:rPr>
          <w:color w:val="231F20"/>
          <w:spacing w:val="-12"/>
          <w:w w:val="120"/>
        </w:rPr>
        <w:t> </w:t>
      </w:r>
      <w:r>
        <w:rPr>
          <w:color w:val="231F20"/>
          <w:w w:val="120"/>
        </w:rPr>
        <w:t>une </w:t>
      </w:r>
      <w:r>
        <w:rPr>
          <w:color w:val="231F20"/>
          <w:spacing w:val="-2"/>
          <w:w w:val="120"/>
        </w:rPr>
        <w:t>situation</w:t>
      </w:r>
      <w:r>
        <w:rPr>
          <w:color w:val="231F20"/>
          <w:spacing w:val="-9"/>
          <w:w w:val="120"/>
        </w:rPr>
        <w:t> </w:t>
      </w:r>
      <w:r>
        <w:rPr>
          <w:color w:val="231F20"/>
          <w:spacing w:val="-2"/>
          <w:w w:val="120"/>
        </w:rPr>
        <w:t>de</w:t>
      </w:r>
      <w:r>
        <w:rPr>
          <w:color w:val="231F20"/>
          <w:spacing w:val="-9"/>
          <w:w w:val="120"/>
        </w:rPr>
        <w:t> </w:t>
      </w:r>
      <w:r>
        <w:rPr>
          <w:color w:val="231F20"/>
          <w:spacing w:val="-2"/>
          <w:w w:val="120"/>
        </w:rPr>
        <w:t>stress.</w:t>
      </w:r>
      <w:r>
        <w:rPr>
          <w:color w:val="231F20"/>
          <w:spacing w:val="-9"/>
          <w:w w:val="120"/>
        </w:rPr>
        <w:t> </w:t>
      </w:r>
      <w:r>
        <w:rPr>
          <w:color w:val="231F20"/>
          <w:spacing w:val="-2"/>
          <w:w w:val="120"/>
        </w:rPr>
        <w:t>Le</w:t>
      </w:r>
      <w:r>
        <w:rPr>
          <w:color w:val="231F20"/>
          <w:spacing w:val="-9"/>
          <w:w w:val="120"/>
        </w:rPr>
        <w:t> </w:t>
      </w:r>
      <w:r>
        <w:rPr>
          <w:color w:val="231F20"/>
          <w:spacing w:val="-2"/>
          <w:w w:val="120"/>
        </w:rPr>
        <w:t>travailleur</w:t>
      </w:r>
      <w:r>
        <w:rPr>
          <w:color w:val="231F20"/>
          <w:spacing w:val="-9"/>
          <w:w w:val="120"/>
        </w:rPr>
        <w:t> </w:t>
      </w:r>
      <w:r>
        <w:rPr>
          <w:color w:val="231F20"/>
          <w:spacing w:val="-2"/>
          <w:w w:val="120"/>
        </w:rPr>
        <w:t>faisant</w:t>
      </w:r>
      <w:r>
        <w:rPr>
          <w:color w:val="231F20"/>
          <w:spacing w:val="-9"/>
          <w:w w:val="120"/>
        </w:rPr>
        <w:t> </w:t>
      </w:r>
      <w:r>
        <w:rPr>
          <w:color w:val="231F20"/>
          <w:spacing w:val="-2"/>
          <w:w w:val="120"/>
        </w:rPr>
        <w:t>preuve</w:t>
      </w:r>
      <w:r>
        <w:rPr>
          <w:color w:val="231F20"/>
          <w:spacing w:val="-9"/>
          <w:w w:val="120"/>
        </w:rPr>
        <w:t> </w:t>
      </w:r>
      <w:r>
        <w:rPr>
          <w:color w:val="231F20"/>
          <w:spacing w:val="-2"/>
          <w:w w:val="120"/>
        </w:rPr>
        <w:t>d’une</w:t>
      </w:r>
      <w:r>
        <w:rPr>
          <w:color w:val="231F20"/>
          <w:spacing w:val="-9"/>
          <w:w w:val="120"/>
        </w:rPr>
        <w:t> </w:t>
      </w:r>
      <w:r>
        <w:rPr>
          <w:color w:val="231F20"/>
          <w:spacing w:val="-2"/>
          <w:w w:val="120"/>
        </w:rPr>
        <w:t>bonne</w:t>
      </w:r>
      <w:r>
        <w:rPr>
          <w:color w:val="231F20"/>
          <w:spacing w:val="-9"/>
          <w:w w:val="120"/>
        </w:rPr>
        <w:t> </w:t>
      </w:r>
      <w:r>
        <w:rPr>
          <w:color w:val="231F20"/>
          <w:spacing w:val="-2"/>
          <w:w w:val="120"/>
        </w:rPr>
        <w:t>intelligence </w:t>
      </w:r>
      <w:r>
        <w:rPr>
          <w:color w:val="231F20"/>
          <w:w w:val="120"/>
        </w:rPr>
        <w:t>émotionnelle</w:t>
      </w:r>
      <w:r>
        <w:rPr>
          <w:color w:val="231F20"/>
          <w:spacing w:val="-6"/>
          <w:w w:val="120"/>
        </w:rPr>
        <w:t> </w:t>
      </w:r>
      <w:r>
        <w:rPr>
          <w:color w:val="231F20"/>
          <w:w w:val="120"/>
        </w:rPr>
        <w:t>sera</w:t>
      </w:r>
      <w:r>
        <w:rPr>
          <w:color w:val="231F20"/>
          <w:spacing w:val="-6"/>
          <w:w w:val="120"/>
        </w:rPr>
        <w:t> </w:t>
      </w:r>
      <w:r>
        <w:rPr>
          <w:color w:val="231F20"/>
          <w:w w:val="120"/>
        </w:rPr>
        <w:t>à</w:t>
      </w:r>
      <w:r>
        <w:rPr>
          <w:color w:val="231F20"/>
          <w:spacing w:val="-6"/>
          <w:w w:val="120"/>
        </w:rPr>
        <w:t> </w:t>
      </w:r>
      <w:r>
        <w:rPr>
          <w:color w:val="231F20"/>
          <w:w w:val="120"/>
        </w:rPr>
        <w:t>même</w:t>
      </w:r>
      <w:r>
        <w:rPr>
          <w:color w:val="231F20"/>
          <w:spacing w:val="-6"/>
          <w:w w:val="120"/>
        </w:rPr>
        <w:t> </w:t>
      </w:r>
      <w:r>
        <w:rPr>
          <w:color w:val="231F20"/>
          <w:w w:val="120"/>
        </w:rPr>
        <w:t>de</w:t>
      </w:r>
      <w:r>
        <w:rPr>
          <w:color w:val="231F20"/>
          <w:spacing w:val="-6"/>
          <w:w w:val="120"/>
        </w:rPr>
        <w:t> </w:t>
      </w:r>
      <w:r>
        <w:rPr>
          <w:color w:val="231F20"/>
          <w:w w:val="120"/>
        </w:rPr>
        <w:t>relativiser</w:t>
      </w:r>
      <w:r>
        <w:rPr>
          <w:color w:val="231F20"/>
          <w:spacing w:val="-6"/>
          <w:w w:val="120"/>
        </w:rPr>
        <w:t> </w:t>
      </w:r>
      <w:r>
        <w:rPr>
          <w:color w:val="231F20"/>
          <w:w w:val="120"/>
        </w:rPr>
        <w:t>les</w:t>
      </w:r>
      <w:r>
        <w:rPr>
          <w:color w:val="231F20"/>
          <w:spacing w:val="-6"/>
          <w:w w:val="120"/>
        </w:rPr>
        <w:t> </w:t>
      </w:r>
      <w:r>
        <w:rPr>
          <w:color w:val="231F20"/>
          <w:w w:val="120"/>
        </w:rPr>
        <w:t>situations</w:t>
      </w:r>
      <w:r>
        <w:rPr>
          <w:color w:val="231F20"/>
          <w:spacing w:val="-6"/>
          <w:w w:val="120"/>
        </w:rPr>
        <w:t> </w:t>
      </w:r>
      <w:r>
        <w:rPr>
          <w:color w:val="231F20"/>
          <w:w w:val="120"/>
        </w:rPr>
        <w:t>et</w:t>
      </w:r>
      <w:r>
        <w:rPr>
          <w:color w:val="231F20"/>
          <w:spacing w:val="-6"/>
          <w:w w:val="120"/>
        </w:rPr>
        <w:t> </w:t>
      </w:r>
      <w:r>
        <w:rPr>
          <w:color w:val="231F20"/>
          <w:w w:val="120"/>
        </w:rPr>
        <w:t>d’évaluer</w:t>
      </w:r>
      <w:r>
        <w:rPr>
          <w:color w:val="231F20"/>
          <w:spacing w:val="-6"/>
          <w:w w:val="120"/>
        </w:rPr>
        <w:t> </w:t>
      </w:r>
      <w:r>
        <w:rPr>
          <w:color w:val="231F20"/>
          <w:w w:val="120"/>
        </w:rPr>
        <w:t>plus justement</w:t>
      </w:r>
      <w:r>
        <w:rPr>
          <w:color w:val="231F20"/>
          <w:spacing w:val="-8"/>
          <w:w w:val="120"/>
        </w:rPr>
        <w:t> </w:t>
      </w:r>
      <w:r>
        <w:rPr>
          <w:color w:val="231F20"/>
          <w:w w:val="120"/>
        </w:rPr>
        <w:t>le niveau de «</w:t>
      </w:r>
      <w:r>
        <w:rPr>
          <w:color w:val="231F20"/>
          <w:spacing w:val="-13"/>
          <w:w w:val="120"/>
        </w:rPr>
        <w:t> </w:t>
      </w:r>
      <w:r>
        <w:rPr>
          <w:color w:val="231F20"/>
          <w:w w:val="120"/>
        </w:rPr>
        <w:t>menace» présent dans son environnement de travail. Cela limite de beaucoup la perception des stresseurs dans son </w:t>
      </w:r>
      <w:r>
        <w:rPr>
          <w:color w:val="231F20"/>
          <w:w w:val="125"/>
        </w:rPr>
        <w:t>quotidien</w:t>
      </w:r>
      <w:r>
        <w:rPr>
          <w:color w:val="231F20"/>
          <w:spacing w:val="-15"/>
          <w:w w:val="125"/>
        </w:rPr>
        <w:t> </w:t>
      </w:r>
      <w:r>
        <w:rPr>
          <w:color w:val="231F20"/>
          <w:w w:val="125"/>
        </w:rPr>
        <w:t>professionnel.</w:t>
      </w:r>
    </w:p>
    <w:p>
      <w:pPr>
        <w:pStyle w:val="BodyText"/>
        <w:spacing w:before="7"/>
        <w:rPr>
          <w:sz w:val="21"/>
        </w:rPr>
      </w:pPr>
    </w:p>
    <w:p>
      <w:pPr>
        <w:pStyle w:val="BodyText"/>
        <w:spacing w:line="307" w:lineRule="auto"/>
        <w:ind w:left="830" w:right="495"/>
        <w:jc w:val="both"/>
      </w:pPr>
      <w:r>
        <w:rPr>
          <w:b/>
          <w:color w:val="231F20"/>
          <w:w w:val="120"/>
        </w:rPr>
        <w:t>Pensée positive</w:t>
      </w:r>
      <w:r>
        <w:rPr>
          <w:color w:val="231F20"/>
          <w:w w:val="120"/>
        </w:rPr>
        <w:t>. La pratique de la pensée positive s’inscrit dans une </w:t>
      </w:r>
      <w:r>
        <w:rPr>
          <w:color w:val="231F20"/>
          <w:spacing w:val="-4"/>
          <w:w w:val="120"/>
        </w:rPr>
        <w:t>logique d’une structuration cognitive axée vers l’optimisme. Elle permet, </w:t>
      </w:r>
      <w:r>
        <w:rPr>
          <w:color w:val="231F20"/>
          <w:w w:val="120"/>
        </w:rPr>
        <w:t>entre</w:t>
      </w:r>
      <w:r>
        <w:rPr>
          <w:color w:val="231F20"/>
          <w:spacing w:val="-9"/>
          <w:w w:val="120"/>
        </w:rPr>
        <w:t> </w:t>
      </w:r>
      <w:r>
        <w:rPr>
          <w:color w:val="231F20"/>
          <w:w w:val="120"/>
        </w:rPr>
        <w:t>autres,</w:t>
      </w:r>
      <w:r>
        <w:rPr>
          <w:color w:val="231F20"/>
          <w:spacing w:val="-9"/>
          <w:w w:val="120"/>
        </w:rPr>
        <w:t> </w:t>
      </w:r>
      <w:r>
        <w:rPr>
          <w:color w:val="231F20"/>
          <w:w w:val="120"/>
        </w:rPr>
        <w:t>de</w:t>
      </w:r>
      <w:r>
        <w:rPr>
          <w:color w:val="231F20"/>
          <w:spacing w:val="-9"/>
          <w:w w:val="120"/>
        </w:rPr>
        <w:t> </w:t>
      </w:r>
      <w:r>
        <w:rPr>
          <w:color w:val="231F20"/>
          <w:w w:val="120"/>
        </w:rPr>
        <w:t>comprendre</w:t>
      </w:r>
      <w:r>
        <w:rPr>
          <w:color w:val="231F20"/>
          <w:spacing w:val="-9"/>
          <w:w w:val="120"/>
        </w:rPr>
        <w:t> </w:t>
      </w:r>
      <w:r>
        <w:rPr>
          <w:color w:val="231F20"/>
          <w:w w:val="120"/>
        </w:rPr>
        <w:t>pourquoi</w:t>
      </w:r>
      <w:r>
        <w:rPr>
          <w:color w:val="231F20"/>
          <w:spacing w:val="-9"/>
          <w:w w:val="120"/>
        </w:rPr>
        <w:t> </w:t>
      </w:r>
      <w:r>
        <w:rPr>
          <w:color w:val="231F20"/>
          <w:w w:val="120"/>
        </w:rPr>
        <w:t>certaines</w:t>
      </w:r>
      <w:r>
        <w:rPr>
          <w:color w:val="231F20"/>
          <w:spacing w:val="-9"/>
          <w:w w:val="120"/>
        </w:rPr>
        <w:t> </w:t>
      </w:r>
      <w:r>
        <w:rPr>
          <w:color w:val="231F20"/>
          <w:w w:val="120"/>
        </w:rPr>
        <w:t>personnes</w:t>
      </w:r>
      <w:r>
        <w:rPr>
          <w:color w:val="231F20"/>
          <w:spacing w:val="-9"/>
          <w:w w:val="120"/>
        </w:rPr>
        <w:t> </w:t>
      </w:r>
      <w:r>
        <w:rPr>
          <w:color w:val="231F20"/>
          <w:w w:val="120"/>
        </w:rPr>
        <w:t>ont</w:t>
      </w:r>
      <w:r>
        <w:rPr>
          <w:color w:val="231F20"/>
          <w:spacing w:val="-9"/>
          <w:w w:val="120"/>
        </w:rPr>
        <w:t> </w:t>
      </w:r>
      <w:r>
        <w:rPr>
          <w:color w:val="231F20"/>
          <w:w w:val="120"/>
        </w:rPr>
        <w:t>tendance à</w:t>
      </w:r>
      <w:r>
        <w:rPr>
          <w:color w:val="231F20"/>
          <w:spacing w:val="-7"/>
          <w:w w:val="120"/>
        </w:rPr>
        <w:t> </w:t>
      </w:r>
      <w:r>
        <w:rPr>
          <w:color w:val="231F20"/>
          <w:w w:val="120"/>
        </w:rPr>
        <w:t>voir</w:t>
      </w:r>
      <w:r>
        <w:rPr>
          <w:color w:val="231F20"/>
          <w:spacing w:val="-7"/>
          <w:w w:val="120"/>
        </w:rPr>
        <w:t> </w:t>
      </w:r>
      <w:r>
        <w:rPr>
          <w:color w:val="231F20"/>
          <w:w w:val="120"/>
        </w:rPr>
        <w:t>le</w:t>
      </w:r>
      <w:r>
        <w:rPr>
          <w:color w:val="231F20"/>
          <w:spacing w:val="-7"/>
          <w:w w:val="120"/>
        </w:rPr>
        <w:t> </w:t>
      </w:r>
      <w:r>
        <w:rPr>
          <w:color w:val="231F20"/>
          <w:w w:val="120"/>
        </w:rPr>
        <w:t>verre</w:t>
      </w:r>
      <w:r>
        <w:rPr>
          <w:color w:val="231F20"/>
          <w:spacing w:val="-7"/>
          <w:w w:val="120"/>
        </w:rPr>
        <w:t> </w:t>
      </w:r>
      <w:r>
        <w:rPr>
          <w:color w:val="231F20"/>
          <w:w w:val="120"/>
        </w:rPr>
        <w:t>à</w:t>
      </w:r>
      <w:r>
        <w:rPr>
          <w:color w:val="231F20"/>
          <w:spacing w:val="-7"/>
          <w:w w:val="120"/>
        </w:rPr>
        <w:t> </w:t>
      </w:r>
      <w:r>
        <w:rPr>
          <w:color w:val="231F20"/>
          <w:w w:val="120"/>
        </w:rPr>
        <w:t>moitié</w:t>
      </w:r>
      <w:r>
        <w:rPr>
          <w:color w:val="231F20"/>
          <w:spacing w:val="-7"/>
          <w:w w:val="120"/>
        </w:rPr>
        <w:t> </w:t>
      </w:r>
      <w:r>
        <w:rPr>
          <w:color w:val="231F20"/>
          <w:w w:val="120"/>
        </w:rPr>
        <w:t>plein</w:t>
      </w:r>
      <w:r>
        <w:rPr>
          <w:color w:val="231F20"/>
          <w:spacing w:val="-7"/>
          <w:w w:val="120"/>
        </w:rPr>
        <w:t> </w:t>
      </w:r>
      <w:r>
        <w:rPr>
          <w:color w:val="231F20"/>
          <w:w w:val="120"/>
        </w:rPr>
        <w:t>et</w:t>
      </w:r>
      <w:r>
        <w:rPr>
          <w:color w:val="231F20"/>
          <w:spacing w:val="-7"/>
          <w:w w:val="120"/>
        </w:rPr>
        <w:t> </w:t>
      </w:r>
      <w:r>
        <w:rPr>
          <w:color w:val="231F20"/>
          <w:w w:val="120"/>
        </w:rPr>
        <w:t>d’autres,</w:t>
      </w:r>
      <w:r>
        <w:rPr>
          <w:color w:val="231F20"/>
          <w:spacing w:val="-7"/>
          <w:w w:val="120"/>
        </w:rPr>
        <w:t> </w:t>
      </w:r>
      <w:r>
        <w:rPr>
          <w:color w:val="231F20"/>
          <w:w w:val="120"/>
        </w:rPr>
        <w:t>le</w:t>
      </w:r>
      <w:r>
        <w:rPr>
          <w:color w:val="231F20"/>
          <w:spacing w:val="-7"/>
          <w:w w:val="120"/>
        </w:rPr>
        <w:t> </w:t>
      </w:r>
      <w:r>
        <w:rPr>
          <w:color w:val="231F20"/>
          <w:w w:val="120"/>
        </w:rPr>
        <w:t>verre</w:t>
      </w:r>
      <w:r>
        <w:rPr>
          <w:color w:val="231F20"/>
          <w:spacing w:val="-7"/>
          <w:w w:val="120"/>
        </w:rPr>
        <w:t> </w:t>
      </w:r>
      <w:r>
        <w:rPr>
          <w:color w:val="231F20"/>
          <w:w w:val="120"/>
        </w:rPr>
        <w:t>à</w:t>
      </w:r>
      <w:r>
        <w:rPr>
          <w:color w:val="231F20"/>
          <w:spacing w:val="-7"/>
          <w:w w:val="120"/>
        </w:rPr>
        <w:t> </w:t>
      </w:r>
      <w:r>
        <w:rPr>
          <w:color w:val="231F20"/>
          <w:w w:val="120"/>
        </w:rPr>
        <w:t>moitié</w:t>
      </w:r>
      <w:r>
        <w:rPr>
          <w:color w:val="231F20"/>
          <w:spacing w:val="-7"/>
          <w:w w:val="120"/>
        </w:rPr>
        <w:t> </w:t>
      </w:r>
      <w:r>
        <w:rPr>
          <w:color w:val="231F20"/>
          <w:w w:val="120"/>
        </w:rPr>
        <w:t>vide.</w:t>
      </w:r>
      <w:r>
        <w:rPr>
          <w:color w:val="231F20"/>
          <w:spacing w:val="-7"/>
          <w:w w:val="120"/>
        </w:rPr>
        <w:t> </w:t>
      </w:r>
      <w:r>
        <w:rPr>
          <w:color w:val="231F20"/>
          <w:w w:val="120"/>
        </w:rPr>
        <w:t>Comme nous</w:t>
      </w:r>
      <w:r>
        <w:rPr>
          <w:color w:val="231F20"/>
          <w:spacing w:val="-13"/>
          <w:w w:val="120"/>
        </w:rPr>
        <w:t> </w:t>
      </w:r>
      <w:r>
        <w:rPr>
          <w:color w:val="231F20"/>
          <w:w w:val="120"/>
        </w:rPr>
        <w:t>l’avons</w:t>
      </w:r>
      <w:r>
        <w:rPr>
          <w:color w:val="231F20"/>
          <w:spacing w:val="-13"/>
          <w:w w:val="120"/>
        </w:rPr>
        <w:t> </w:t>
      </w:r>
      <w:r>
        <w:rPr>
          <w:color w:val="231F20"/>
          <w:w w:val="120"/>
        </w:rPr>
        <w:t>relevé</w:t>
      </w:r>
      <w:r>
        <w:rPr>
          <w:color w:val="231F20"/>
          <w:spacing w:val="-13"/>
          <w:w w:val="120"/>
        </w:rPr>
        <w:t> </w:t>
      </w:r>
      <w:r>
        <w:rPr>
          <w:color w:val="231F20"/>
          <w:w w:val="120"/>
        </w:rPr>
        <w:t>dans</w:t>
      </w:r>
      <w:r>
        <w:rPr>
          <w:color w:val="231F20"/>
          <w:spacing w:val="-12"/>
          <w:w w:val="120"/>
        </w:rPr>
        <w:t> </w:t>
      </w:r>
      <w:r>
        <w:rPr>
          <w:color w:val="231F20"/>
          <w:w w:val="120"/>
        </w:rPr>
        <w:t>la</w:t>
      </w:r>
      <w:r>
        <w:rPr>
          <w:color w:val="231F20"/>
          <w:spacing w:val="-13"/>
          <w:w w:val="120"/>
        </w:rPr>
        <w:t> </w:t>
      </w:r>
      <w:r>
        <w:rPr>
          <w:color w:val="231F20"/>
          <w:w w:val="120"/>
        </w:rPr>
        <w:t>section</w:t>
      </w:r>
      <w:r>
        <w:rPr>
          <w:color w:val="231F20"/>
          <w:spacing w:val="-13"/>
          <w:w w:val="120"/>
        </w:rPr>
        <w:t> </w:t>
      </w:r>
      <w:r>
        <w:rPr>
          <w:color w:val="231F20"/>
          <w:w w:val="120"/>
        </w:rPr>
        <w:t>précédente,</w:t>
      </w:r>
      <w:r>
        <w:rPr>
          <w:color w:val="231F20"/>
          <w:spacing w:val="-13"/>
          <w:w w:val="120"/>
        </w:rPr>
        <w:t> </w:t>
      </w:r>
      <w:r>
        <w:rPr>
          <w:color w:val="231F20"/>
          <w:w w:val="120"/>
        </w:rPr>
        <w:t>les</w:t>
      </w:r>
      <w:r>
        <w:rPr>
          <w:color w:val="231F20"/>
          <w:spacing w:val="-12"/>
          <w:w w:val="120"/>
        </w:rPr>
        <w:t> </w:t>
      </w:r>
      <w:r>
        <w:rPr>
          <w:color w:val="231F20"/>
          <w:w w:val="120"/>
        </w:rPr>
        <w:t>pensées</w:t>
      </w:r>
      <w:r>
        <w:rPr>
          <w:color w:val="231F20"/>
          <w:spacing w:val="-13"/>
          <w:w w:val="120"/>
        </w:rPr>
        <w:t> </w:t>
      </w:r>
      <w:r>
        <w:rPr>
          <w:color w:val="231F20"/>
          <w:w w:val="120"/>
        </w:rPr>
        <w:t>peuvent</w:t>
      </w:r>
      <w:r>
        <w:rPr>
          <w:color w:val="231F20"/>
          <w:spacing w:val="-13"/>
          <w:w w:val="120"/>
        </w:rPr>
        <w:t> </w:t>
      </w:r>
      <w:r>
        <w:rPr>
          <w:color w:val="231F20"/>
          <w:w w:val="120"/>
        </w:rPr>
        <w:t>être </w:t>
      </w:r>
      <w:r>
        <w:rPr>
          <w:color w:val="231F20"/>
          <w:spacing w:val="-2"/>
          <w:w w:val="120"/>
        </w:rPr>
        <w:t>de</w:t>
      </w:r>
      <w:r>
        <w:rPr>
          <w:color w:val="231F20"/>
          <w:spacing w:val="-11"/>
          <w:w w:val="120"/>
        </w:rPr>
        <w:t> </w:t>
      </w:r>
      <w:r>
        <w:rPr>
          <w:color w:val="231F20"/>
          <w:spacing w:val="-2"/>
          <w:w w:val="120"/>
        </w:rPr>
        <w:t>deux</w:t>
      </w:r>
      <w:r>
        <w:rPr>
          <w:color w:val="231F20"/>
          <w:spacing w:val="-11"/>
          <w:w w:val="120"/>
        </w:rPr>
        <w:t> </w:t>
      </w:r>
      <w:r>
        <w:rPr>
          <w:color w:val="231F20"/>
          <w:spacing w:val="-2"/>
          <w:w w:val="120"/>
        </w:rPr>
        <w:t>types</w:t>
      </w:r>
      <w:r>
        <w:rPr>
          <w:color w:val="231F20"/>
          <w:spacing w:val="-11"/>
          <w:w w:val="120"/>
        </w:rPr>
        <w:t> </w:t>
      </w:r>
      <w:r>
        <w:rPr>
          <w:color w:val="231F20"/>
          <w:spacing w:val="-2"/>
          <w:w w:val="120"/>
        </w:rPr>
        <w:t>:</w:t>
      </w:r>
      <w:r>
        <w:rPr>
          <w:color w:val="231F20"/>
          <w:spacing w:val="-10"/>
          <w:w w:val="120"/>
        </w:rPr>
        <w:t> </w:t>
      </w:r>
      <w:r>
        <w:rPr>
          <w:color w:val="231F20"/>
          <w:spacing w:val="-2"/>
          <w:w w:val="120"/>
        </w:rPr>
        <w:t>positives</w:t>
      </w:r>
      <w:r>
        <w:rPr>
          <w:color w:val="231F20"/>
          <w:spacing w:val="-11"/>
          <w:w w:val="120"/>
        </w:rPr>
        <w:t> </w:t>
      </w:r>
      <w:r>
        <w:rPr>
          <w:color w:val="231F20"/>
          <w:spacing w:val="-2"/>
          <w:w w:val="120"/>
        </w:rPr>
        <w:t>ou</w:t>
      </w:r>
      <w:r>
        <w:rPr>
          <w:color w:val="231F20"/>
          <w:spacing w:val="-11"/>
          <w:w w:val="120"/>
        </w:rPr>
        <w:t> </w:t>
      </w:r>
      <w:r>
        <w:rPr>
          <w:color w:val="231F20"/>
          <w:spacing w:val="-2"/>
          <w:w w:val="120"/>
        </w:rPr>
        <w:t>négatives.</w:t>
      </w:r>
      <w:r>
        <w:rPr>
          <w:color w:val="231F20"/>
          <w:spacing w:val="-9"/>
          <w:w w:val="120"/>
        </w:rPr>
        <w:t> </w:t>
      </w:r>
      <w:r>
        <w:rPr>
          <w:color w:val="231F20"/>
          <w:spacing w:val="-2"/>
          <w:w w:val="120"/>
        </w:rPr>
        <w:t>Les</w:t>
      </w:r>
      <w:r>
        <w:rPr>
          <w:color w:val="231F20"/>
          <w:spacing w:val="-7"/>
          <w:w w:val="120"/>
        </w:rPr>
        <w:t> </w:t>
      </w:r>
      <w:r>
        <w:rPr>
          <w:color w:val="231F20"/>
          <w:spacing w:val="-2"/>
          <w:w w:val="120"/>
        </w:rPr>
        <w:t>pensées</w:t>
      </w:r>
      <w:r>
        <w:rPr>
          <w:color w:val="231F20"/>
          <w:spacing w:val="-7"/>
          <w:w w:val="120"/>
        </w:rPr>
        <w:t> </w:t>
      </w:r>
      <w:r>
        <w:rPr>
          <w:color w:val="231F20"/>
          <w:spacing w:val="-2"/>
          <w:w w:val="120"/>
        </w:rPr>
        <w:t>du</w:t>
      </w:r>
      <w:r>
        <w:rPr>
          <w:color w:val="231F20"/>
          <w:spacing w:val="-7"/>
          <w:w w:val="120"/>
        </w:rPr>
        <w:t> </w:t>
      </w:r>
      <w:r>
        <w:rPr>
          <w:color w:val="231F20"/>
          <w:spacing w:val="-2"/>
          <w:w w:val="120"/>
        </w:rPr>
        <w:t>premier</w:t>
      </w:r>
      <w:r>
        <w:rPr>
          <w:color w:val="231F20"/>
          <w:spacing w:val="-7"/>
          <w:w w:val="120"/>
        </w:rPr>
        <w:t> </w:t>
      </w:r>
      <w:r>
        <w:rPr>
          <w:color w:val="231F20"/>
          <w:spacing w:val="-2"/>
          <w:w w:val="120"/>
        </w:rPr>
        <w:t>type</w:t>
      </w:r>
      <w:r>
        <w:rPr>
          <w:color w:val="231F20"/>
          <w:spacing w:val="-7"/>
          <w:w w:val="120"/>
        </w:rPr>
        <w:t> </w:t>
      </w:r>
      <w:r>
        <w:rPr>
          <w:color w:val="231F20"/>
          <w:spacing w:val="-2"/>
          <w:w w:val="120"/>
        </w:rPr>
        <w:t>nous </w:t>
      </w:r>
      <w:r>
        <w:rPr>
          <w:color w:val="231F20"/>
          <w:w w:val="115"/>
        </w:rPr>
        <w:t>stimulent</w:t>
      </w:r>
      <w:r>
        <w:rPr>
          <w:color w:val="231F20"/>
          <w:spacing w:val="-6"/>
          <w:w w:val="115"/>
        </w:rPr>
        <w:t> </w:t>
      </w:r>
      <w:r>
        <w:rPr>
          <w:color w:val="231F20"/>
          <w:w w:val="115"/>
        </w:rPr>
        <w:t>et</w:t>
      </w:r>
      <w:r>
        <w:rPr>
          <w:color w:val="231F20"/>
          <w:spacing w:val="-6"/>
          <w:w w:val="115"/>
        </w:rPr>
        <w:t> </w:t>
      </w:r>
      <w:r>
        <w:rPr>
          <w:color w:val="231F20"/>
          <w:w w:val="115"/>
        </w:rPr>
        <w:t>nous</w:t>
      </w:r>
      <w:r>
        <w:rPr>
          <w:color w:val="231F20"/>
          <w:spacing w:val="-6"/>
          <w:w w:val="115"/>
        </w:rPr>
        <w:t> </w:t>
      </w:r>
      <w:r>
        <w:rPr>
          <w:color w:val="231F20"/>
          <w:w w:val="115"/>
        </w:rPr>
        <w:t>donnent</w:t>
      </w:r>
      <w:r>
        <w:rPr>
          <w:color w:val="231F20"/>
          <w:spacing w:val="-6"/>
          <w:w w:val="115"/>
        </w:rPr>
        <w:t> </w:t>
      </w:r>
      <w:r>
        <w:rPr>
          <w:color w:val="231F20"/>
          <w:w w:val="115"/>
        </w:rPr>
        <w:t>l’énergie</w:t>
      </w:r>
      <w:r>
        <w:rPr>
          <w:color w:val="231F20"/>
          <w:spacing w:val="-6"/>
          <w:w w:val="115"/>
        </w:rPr>
        <w:t> </w:t>
      </w:r>
      <w:r>
        <w:rPr>
          <w:color w:val="231F20"/>
          <w:w w:val="115"/>
        </w:rPr>
        <w:t>nécessaire</w:t>
      </w:r>
      <w:r>
        <w:rPr>
          <w:color w:val="231F20"/>
          <w:spacing w:val="-6"/>
          <w:w w:val="115"/>
        </w:rPr>
        <w:t> </w:t>
      </w:r>
      <w:r>
        <w:rPr>
          <w:color w:val="231F20"/>
          <w:w w:val="115"/>
        </w:rPr>
        <w:t>à</w:t>
      </w:r>
      <w:r>
        <w:rPr>
          <w:color w:val="231F20"/>
          <w:spacing w:val="-6"/>
          <w:w w:val="115"/>
        </w:rPr>
        <w:t> </w:t>
      </w:r>
      <w:r>
        <w:rPr>
          <w:color w:val="231F20"/>
          <w:w w:val="115"/>
        </w:rPr>
        <w:t>l’atteinte</w:t>
      </w:r>
      <w:r>
        <w:rPr>
          <w:color w:val="231F20"/>
          <w:spacing w:val="-6"/>
          <w:w w:val="115"/>
        </w:rPr>
        <w:t> </w:t>
      </w:r>
      <w:r>
        <w:rPr>
          <w:color w:val="231F20"/>
          <w:w w:val="115"/>
        </w:rPr>
        <w:t>de</w:t>
      </w:r>
      <w:r>
        <w:rPr>
          <w:color w:val="231F20"/>
          <w:spacing w:val="-6"/>
          <w:w w:val="115"/>
        </w:rPr>
        <w:t> </w:t>
      </w:r>
      <w:r>
        <w:rPr>
          <w:color w:val="231F20"/>
          <w:w w:val="115"/>
        </w:rPr>
        <w:t>nos</w:t>
      </w:r>
      <w:r>
        <w:rPr>
          <w:color w:val="231F20"/>
          <w:spacing w:val="-6"/>
          <w:w w:val="115"/>
        </w:rPr>
        <w:t> </w:t>
      </w:r>
      <w:r>
        <w:rPr>
          <w:color w:val="231F20"/>
          <w:w w:val="115"/>
        </w:rPr>
        <w:t>objectifs </w:t>
      </w:r>
      <w:r>
        <w:rPr>
          <w:color w:val="231F20"/>
          <w:w w:val="120"/>
        </w:rPr>
        <w:t>personnels.</w:t>
      </w:r>
      <w:r>
        <w:rPr>
          <w:color w:val="231F20"/>
          <w:spacing w:val="-1"/>
          <w:w w:val="120"/>
        </w:rPr>
        <w:t> </w:t>
      </w:r>
      <w:r>
        <w:rPr>
          <w:color w:val="231F20"/>
          <w:w w:val="120"/>
        </w:rPr>
        <w:t>En</w:t>
      </w:r>
      <w:r>
        <w:rPr>
          <w:color w:val="231F20"/>
          <w:spacing w:val="-1"/>
          <w:w w:val="120"/>
        </w:rPr>
        <w:t> </w:t>
      </w:r>
      <w:r>
        <w:rPr>
          <w:color w:val="231F20"/>
          <w:w w:val="120"/>
        </w:rPr>
        <w:t>revanche,</w:t>
      </w:r>
      <w:r>
        <w:rPr>
          <w:color w:val="231F20"/>
          <w:spacing w:val="-1"/>
          <w:w w:val="120"/>
        </w:rPr>
        <w:t> </w:t>
      </w:r>
      <w:r>
        <w:rPr>
          <w:color w:val="231F20"/>
          <w:w w:val="120"/>
        </w:rPr>
        <w:t>celles</w:t>
      </w:r>
      <w:r>
        <w:rPr>
          <w:color w:val="231F20"/>
          <w:spacing w:val="-1"/>
          <w:w w:val="120"/>
        </w:rPr>
        <w:t> </w:t>
      </w:r>
      <w:r>
        <w:rPr>
          <w:color w:val="231F20"/>
          <w:w w:val="120"/>
        </w:rPr>
        <w:t>du</w:t>
      </w:r>
      <w:r>
        <w:rPr>
          <w:color w:val="231F20"/>
          <w:spacing w:val="-1"/>
          <w:w w:val="120"/>
        </w:rPr>
        <w:t> </w:t>
      </w:r>
      <w:r>
        <w:rPr>
          <w:color w:val="231F20"/>
          <w:w w:val="120"/>
        </w:rPr>
        <w:t>second</w:t>
      </w:r>
      <w:r>
        <w:rPr>
          <w:color w:val="231F20"/>
          <w:spacing w:val="-1"/>
          <w:w w:val="120"/>
        </w:rPr>
        <w:t> </w:t>
      </w:r>
      <w:r>
        <w:rPr>
          <w:color w:val="231F20"/>
          <w:w w:val="120"/>
        </w:rPr>
        <w:t>type</w:t>
      </w:r>
      <w:r>
        <w:rPr>
          <w:color w:val="231F20"/>
          <w:spacing w:val="-1"/>
          <w:w w:val="120"/>
        </w:rPr>
        <w:t> </w:t>
      </w:r>
      <w:r>
        <w:rPr>
          <w:color w:val="231F20"/>
          <w:w w:val="120"/>
        </w:rPr>
        <w:t>drainent</w:t>
      </w:r>
      <w:r>
        <w:rPr>
          <w:color w:val="231F20"/>
          <w:spacing w:val="-1"/>
          <w:w w:val="120"/>
        </w:rPr>
        <w:t> </w:t>
      </w:r>
      <w:r>
        <w:rPr>
          <w:color w:val="231F20"/>
          <w:w w:val="120"/>
        </w:rPr>
        <w:t>notre</w:t>
      </w:r>
      <w:r>
        <w:rPr>
          <w:color w:val="231F20"/>
          <w:spacing w:val="-1"/>
          <w:w w:val="120"/>
        </w:rPr>
        <w:t> </w:t>
      </w:r>
      <w:r>
        <w:rPr>
          <w:color w:val="231F20"/>
          <w:w w:val="120"/>
        </w:rPr>
        <w:t>énergie, </w:t>
      </w:r>
      <w:r>
        <w:rPr>
          <w:color w:val="231F20"/>
          <w:w w:val="125"/>
        </w:rPr>
        <w:t>en</w:t>
      </w:r>
      <w:r>
        <w:rPr>
          <w:color w:val="231F20"/>
          <w:spacing w:val="-3"/>
          <w:w w:val="125"/>
        </w:rPr>
        <w:t> </w:t>
      </w:r>
      <w:r>
        <w:rPr>
          <w:color w:val="231F20"/>
          <w:w w:val="125"/>
        </w:rPr>
        <w:t>plus</w:t>
      </w:r>
      <w:r>
        <w:rPr>
          <w:color w:val="231F20"/>
          <w:spacing w:val="-3"/>
          <w:w w:val="125"/>
        </w:rPr>
        <w:t> </w:t>
      </w:r>
      <w:r>
        <w:rPr>
          <w:color w:val="231F20"/>
          <w:w w:val="125"/>
        </w:rPr>
        <w:t>de</w:t>
      </w:r>
      <w:r>
        <w:rPr>
          <w:color w:val="231F20"/>
          <w:spacing w:val="-3"/>
          <w:w w:val="125"/>
        </w:rPr>
        <w:t> </w:t>
      </w:r>
      <w:r>
        <w:rPr>
          <w:color w:val="231F20"/>
          <w:w w:val="125"/>
        </w:rPr>
        <w:t>susciter</w:t>
      </w:r>
      <w:r>
        <w:rPr>
          <w:color w:val="231F20"/>
          <w:spacing w:val="-3"/>
          <w:w w:val="125"/>
        </w:rPr>
        <w:t> </w:t>
      </w:r>
      <w:r>
        <w:rPr>
          <w:color w:val="231F20"/>
          <w:w w:val="125"/>
        </w:rPr>
        <w:t>un</w:t>
      </w:r>
      <w:r>
        <w:rPr>
          <w:color w:val="231F20"/>
          <w:spacing w:val="-3"/>
          <w:w w:val="125"/>
        </w:rPr>
        <w:t> </w:t>
      </w:r>
      <w:r>
        <w:rPr>
          <w:color w:val="231F20"/>
          <w:w w:val="125"/>
        </w:rPr>
        <w:t>malaise</w:t>
      </w:r>
      <w:r>
        <w:rPr>
          <w:color w:val="231F20"/>
          <w:spacing w:val="-3"/>
          <w:w w:val="125"/>
        </w:rPr>
        <w:t> </w:t>
      </w:r>
      <w:r>
        <w:rPr>
          <w:color w:val="231F20"/>
          <w:w w:val="125"/>
        </w:rPr>
        <w:t>émotionnel.</w:t>
      </w:r>
    </w:p>
    <w:p>
      <w:pPr>
        <w:spacing w:after="0" w:line="307" w:lineRule="auto"/>
        <w:jc w:val="both"/>
        <w:sectPr>
          <w:footerReference w:type="default" r:id="rId303"/>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18"/>
        </w:rPr>
      </w:pPr>
    </w:p>
    <w:p>
      <w:pPr>
        <w:spacing w:line="307" w:lineRule="auto" w:before="144"/>
        <w:ind w:left="1470" w:right="1045" w:firstLine="0"/>
        <w:jc w:val="left"/>
        <w:rPr>
          <w:rFonts w:ascii="Arial" w:hAnsi="Arial"/>
          <w:b/>
          <w:sz w:val="17"/>
        </w:rPr>
      </w:pPr>
      <w:r>
        <w:rPr/>
        <w:pict>
          <v:group style="position:absolute;margin-left:82pt;margin-top:-3.5771pt;width:287.5pt;height:296.75pt;mso-position-horizontal-relative:page;mso-position-vertical-relative:paragraph;z-index:-20906496" id="docshapegroup1053" coordorigin="1640,-72" coordsize="5750,5935">
            <v:rect style="position:absolute;left:1640;top:-72;width:5750;height:955" id="docshape1054" filled="true" fillcolor="#e2e3e4" stroked="false">
              <v:fill type="solid"/>
            </v:rect>
            <v:line style="position:absolute" from="1890,726" to="7140,726" stroked="true" strokeweight=".25pt" strokecolor="#231f20">
              <v:stroke dashstyle="shortdot"/>
            </v:line>
            <v:shape style="position:absolute;left:1640;top:803;width:5750;height:5060" id="docshape1055" coordorigin="1640,803" coordsize="5750,5060" path="m7390,803l1640,803,1640,1133,1640,1303,1640,5863,7390,5863,7390,1133,7390,803xe" filled="true" fillcolor="#e2e3e4" stroked="false">
              <v:path arrowok="t"/>
              <v:fill type="solid"/>
            </v:shape>
            <v:line style="position:absolute" from="1890,5021" to="7140,5021" stroked="true" strokeweight=".25pt" strokecolor="#231f20">
              <v:stroke dashstyle="shortdot"/>
            </v:line>
            <w10:wrap type="none"/>
          </v:group>
        </w:pict>
      </w:r>
      <w:r>
        <w:rPr>
          <w:rFonts w:ascii="Arial" w:hAnsi="Arial"/>
          <w:color w:val="231F20"/>
          <w:sz w:val="17"/>
        </w:rPr>
        <w:t>Fait</w:t>
      </w:r>
      <w:r>
        <w:rPr>
          <w:rFonts w:ascii="Arial" w:hAnsi="Arial"/>
          <w:color w:val="231F20"/>
          <w:spacing w:val="-4"/>
          <w:sz w:val="17"/>
        </w:rPr>
        <w:t> </w:t>
      </w:r>
      <w:r>
        <w:rPr>
          <w:rFonts w:ascii="Arial" w:hAnsi="Arial"/>
          <w:color w:val="231F20"/>
          <w:sz w:val="17"/>
        </w:rPr>
        <w:t>intéressant</w:t>
      </w:r>
      <w:r>
        <w:rPr>
          <w:rFonts w:ascii="Arial" w:hAnsi="Arial"/>
          <w:color w:val="231F20"/>
          <w:spacing w:val="-16"/>
          <w:sz w:val="17"/>
        </w:rPr>
        <w:t> </w:t>
      </w:r>
      <w:r>
        <w:rPr>
          <w:rFonts w:ascii="Arial" w:hAnsi="Arial"/>
          <w:i/>
          <w:color w:val="231F20"/>
          <w:sz w:val="17"/>
        </w:rPr>
        <w:t>/</w:t>
      </w:r>
      <w:r>
        <w:rPr>
          <w:rFonts w:ascii="Arial" w:hAnsi="Arial"/>
          <w:i/>
          <w:color w:val="231F20"/>
          <w:spacing w:val="39"/>
          <w:sz w:val="17"/>
        </w:rPr>
        <w:t> </w:t>
      </w:r>
      <w:r>
        <w:rPr>
          <w:rFonts w:ascii="Arial" w:hAnsi="Arial"/>
          <w:b/>
          <w:color w:val="231F20"/>
          <w:sz w:val="17"/>
        </w:rPr>
        <w:t>11</w:t>
      </w:r>
      <w:r>
        <w:rPr>
          <w:rFonts w:ascii="Arial" w:hAnsi="Arial"/>
          <w:b/>
          <w:color w:val="231F20"/>
          <w:spacing w:val="-10"/>
          <w:sz w:val="17"/>
        </w:rPr>
        <w:t> </w:t>
      </w:r>
      <w:r>
        <w:rPr>
          <w:rFonts w:ascii="Arial" w:hAnsi="Arial"/>
          <w:b/>
          <w:color w:val="231F20"/>
          <w:sz w:val="17"/>
        </w:rPr>
        <w:t>signes</w:t>
      </w:r>
      <w:r>
        <w:rPr>
          <w:rFonts w:ascii="Arial" w:hAnsi="Arial"/>
          <w:b/>
          <w:color w:val="231F20"/>
          <w:spacing w:val="-10"/>
          <w:sz w:val="17"/>
        </w:rPr>
        <w:t> </w:t>
      </w:r>
      <w:r>
        <w:rPr>
          <w:rFonts w:ascii="Arial" w:hAnsi="Arial"/>
          <w:b/>
          <w:color w:val="231F20"/>
          <w:sz w:val="17"/>
        </w:rPr>
        <w:t>que</w:t>
      </w:r>
      <w:r>
        <w:rPr>
          <w:rFonts w:ascii="Arial" w:hAnsi="Arial"/>
          <w:b/>
          <w:color w:val="231F20"/>
          <w:spacing w:val="-10"/>
          <w:sz w:val="17"/>
        </w:rPr>
        <w:t> </w:t>
      </w:r>
      <w:r>
        <w:rPr>
          <w:rFonts w:ascii="Arial" w:hAnsi="Arial"/>
          <w:b/>
          <w:color w:val="231F20"/>
          <w:sz w:val="17"/>
        </w:rPr>
        <w:t>vous</w:t>
      </w:r>
      <w:r>
        <w:rPr>
          <w:rFonts w:ascii="Arial" w:hAnsi="Arial"/>
          <w:b/>
          <w:color w:val="231F20"/>
          <w:spacing w:val="-10"/>
          <w:sz w:val="17"/>
        </w:rPr>
        <w:t> </w:t>
      </w:r>
      <w:r>
        <w:rPr>
          <w:rFonts w:ascii="Arial" w:hAnsi="Arial"/>
          <w:b/>
          <w:color w:val="231F20"/>
          <w:sz w:val="17"/>
        </w:rPr>
        <w:t>manquez d’intelligence</w:t>
      </w:r>
      <w:r>
        <w:rPr>
          <w:rFonts w:ascii="Arial" w:hAnsi="Arial"/>
          <w:b/>
          <w:color w:val="231F20"/>
          <w:spacing w:val="-12"/>
          <w:sz w:val="17"/>
        </w:rPr>
        <w:t> </w:t>
      </w:r>
      <w:r>
        <w:rPr>
          <w:rFonts w:ascii="Arial" w:hAnsi="Arial"/>
          <w:b/>
          <w:color w:val="231F20"/>
          <w:sz w:val="17"/>
        </w:rPr>
        <w:t>émotionnelle</w:t>
      </w:r>
    </w:p>
    <w:p>
      <w:pPr>
        <w:pStyle w:val="BodyText"/>
        <w:spacing w:before="8"/>
        <w:rPr>
          <w:rFonts w:ascii="Arial"/>
          <w:b/>
          <w:sz w:val="21"/>
        </w:rPr>
      </w:pPr>
    </w:p>
    <w:p>
      <w:pPr>
        <w:pStyle w:val="ListParagraph"/>
        <w:numPr>
          <w:ilvl w:val="3"/>
          <w:numId w:val="76"/>
        </w:numPr>
        <w:tabs>
          <w:tab w:pos="1761" w:val="left" w:leader="none"/>
        </w:tabs>
        <w:spacing w:line="240" w:lineRule="auto" w:before="0" w:after="0"/>
        <w:ind w:left="1760" w:right="0" w:hanging="191"/>
        <w:jc w:val="left"/>
        <w:rPr>
          <w:rFonts w:ascii="Arial"/>
          <w:sz w:val="17"/>
        </w:rPr>
      </w:pPr>
      <w:r>
        <w:rPr>
          <w:rFonts w:ascii="Arial"/>
          <w:color w:val="231F20"/>
          <w:w w:val="95"/>
          <w:sz w:val="17"/>
        </w:rPr>
        <w:t>Vous</w:t>
      </w:r>
      <w:r>
        <w:rPr>
          <w:rFonts w:ascii="Arial"/>
          <w:color w:val="231F20"/>
          <w:spacing w:val="-2"/>
          <w:sz w:val="17"/>
        </w:rPr>
        <w:t> </w:t>
      </w:r>
      <w:r>
        <w:rPr>
          <w:rFonts w:ascii="Arial"/>
          <w:color w:val="231F20"/>
          <w:w w:val="95"/>
          <w:sz w:val="17"/>
        </w:rPr>
        <w:t>stressez</w:t>
      </w:r>
      <w:r>
        <w:rPr>
          <w:rFonts w:ascii="Arial"/>
          <w:color w:val="231F20"/>
          <w:spacing w:val="-2"/>
          <w:sz w:val="17"/>
        </w:rPr>
        <w:t> </w:t>
      </w:r>
      <w:r>
        <w:rPr>
          <w:rFonts w:ascii="Arial"/>
          <w:color w:val="231F20"/>
          <w:spacing w:val="-2"/>
          <w:w w:val="95"/>
          <w:sz w:val="17"/>
        </w:rPr>
        <w:t>facilement.</w:t>
      </w:r>
    </w:p>
    <w:p>
      <w:pPr>
        <w:pStyle w:val="ListParagraph"/>
        <w:numPr>
          <w:ilvl w:val="3"/>
          <w:numId w:val="76"/>
        </w:numPr>
        <w:tabs>
          <w:tab w:pos="1761" w:val="left" w:leader="none"/>
        </w:tabs>
        <w:spacing w:line="240" w:lineRule="auto" w:before="135" w:after="0"/>
        <w:ind w:left="1760" w:right="0" w:hanging="214"/>
        <w:jc w:val="left"/>
        <w:rPr>
          <w:rFonts w:ascii="Arial" w:hAnsi="Arial"/>
          <w:sz w:val="17"/>
        </w:rPr>
      </w:pPr>
      <w:r>
        <w:rPr>
          <w:rFonts w:ascii="Arial" w:hAnsi="Arial"/>
          <w:color w:val="231F20"/>
          <w:spacing w:val="-2"/>
          <w:sz w:val="17"/>
        </w:rPr>
        <w:t>Vous</w:t>
      </w:r>
      <w:r>
        <w:rPr>
          <w:rFonts w:ascii="Arial" w:hAnsi="Arial"/>
          <w:color w:val="231F20"/>
          <w:spacing w:val="-7"/>
          <w:sz w:val="17"/>
        </w:rPr>
        <w:t> </w:t>
      </w:r>
      <w:r>
        <w:rPr>
          <w:rFonts w:ascii="Arial" w:hAnsi="Arial"/>
          <w:color w:val="231F20"/>
          <w:spacing w:val="-2"/>
          <w:sz w:val="17"/>
        </w:rPr>
        <w:t>avez</w:t>
      </w:r>
      <w:r>
        <w:rPr>
          <w:rFonts w:ascii="Arial" w:hAnsi="Arial"/>
          <w:color w:val="231F20"/>
          <w:spacing w:val="-7"/>
          <w:sz w:val="17"/>
        </w:rPr>
        <w:t> </w:t>
      </w:r>
      <w:r>
        <w:rPr>
          <w:rFonts w:ascii="Arial" w:hAnsi="Arial"/>
          <w:color w:val="231F20"/>
          <w:spacing w:val="-2"/>
          <w:sz w:val="17"/>
        </w:rPr>
        <w:t>du</w:t>
      </w:r>
      <w:r>
        <w:rPr>
          <w:rFonts w:ascii="Arial" w:hAnsi="Arial"/>
          <w:color w:val="231F20"/>
          <w:spacing w:val="-7"/>
          <w:sz w:val="17"/>
        </w:rPr>
        <w:t> </w:t>
      </w:r>
      <w:r>
        <w:rPr>
          <w:rFonts w:ascii="Arial" w:hAnsi="Arial"/>
          <w:color w:val="231F20"/>
          <w:spacing w:val="-2"/>
          <w:sz w:val="17"/>
        </w:rPr>
        <w:t>mal</w:t>
      </w:r>
      <w:r>
        <w:rPr>
          <w:rFonts w:ascii="Arial" w:hAnsi="Arial"/>
          <w:color w:val="231F20"/>
          <w:spacing w:val="-6"/>
          <w:sz w:val="17"/>
        </w:rPr>
        <w:t> </w:t>
      </w:r>
      <w:r>
        <w:rPr>
          <w:rFonts w:ascii="Arial" w:hAnsi="Arial"/>
          <w:color w:val="231F20"/>
          <w:spacing w:val="-2"/>
          <w:sz w:val="17"/>
        </w:rPr>
        <w:t>à</w:t>
      </w:r>
      <w:r>
        <w:rPr>
          <w:rFonts w:ascii="Arial" w:hAnsi="Arial"/>
          <w:color w:val="231F20"/>
          <w:spacing w:val="-7"/>
          <w:sz w:val="17"/>
        </w:rPr>
        <w:t> </w:t>
      </w:r>
      <w:r>
        <w:rPr>
          <w:rFonts w:ascii="Arial" w:hAnsi="Arial"/>
          <w:color w:val="231F20"/>
          <w:spacing w:val="-2"/>
          <w:sz w:val="17"/>
        </w:rPr>
        <w:t>vous</w:t>
      </w:r>
      <w:r>
        <w:rPr>
          <w:rFonts w:ascii="Arial" w:hAnsi="Arial"/>
          <w:color w:val="231F20"/>
          <w:spacing w:val="-7"/>
          <w:sz w:val="17"/>
        </w:rPr>
        <w:t> </w:t>
      </w:r>
      <w:r>
        <w:rPr>
          <w:rFonts w:ascii="Arial" w:hAnsi="Arial"/>
          <w:color w:val="231F20"/>
          <w:spacing w:val="-2"/>
          <w:sz w:val="17"/>
        </w:rPr>
        <w:t>affirmer.</w:t>
      </w:r>
    </w:p>
    <w:p>
      <w:pPr>
        <w:pStyle w:val="ListParagraph"/>
        <w:numPr>
          <w:ilvl w:val="3"/>
          <w:numId w:val="76"/>
        </w:numPr>
        <w:tabs>
          <w:tab w:pos="1761" w:val="left" w:leader="none"/>
        </w:tabs>
        <w:spacing w:line="240" w:lineRule="auto" w:before="134" w:after="0"/>
        <w:ind w:left="1760" w:right="0" w:hanging="210"/>
        <w:jc w:val="left"/>
        <w:rPr>
          <w:rFonts w:ascii="Arial" w:hAnsi="Arial"/>
          <w:sz w:val="17"/>
        </w:rPr>
      </w:pPr>
      <w:r>
        <w:rPr>
          <w:rFonts w:ascii="Arial" w:hAnsi="Arial"/>
          <w:color w:val="231F20"/>
          <w:sz w:val="17"/>
        </w:rPr>
        <w:t>Votre</w:t>
      </w:r>
      <w:r>
        <w:rPr>
          <w:rFonts w:ascii="Arial" w:hAnsi="Arial"/>
          <w:color w:val="231F20"/>
          <w:spacing w:val="5"/>
          <w:sz w:val="17"/>
        </w:rPr>
        <w:t> </w:t>
      </w:r>
      <w:r>
        <w:rPr>
          <w:rFonts w:ascii="Arial" w:hAnsi="Arial"/>
          <w:color w:val="231F20"/>
          <w:sz w:val="17"/>
        </w:rPr>
        <w:t>vocabulaire</w:t>
      </w:r>
      <w:r>
        <w:rPr>
          <w:rFonts w:ascii="Arial" w:hAnsi="Arial"/>
          <w:color w:val="231F20"/>
          <w:spacing w:val="6"/>
          <w:sz w:val="17"/>
        </w:rPr>
        <w:t> </w:t>
      </w:r>
      <w:r>
        <w:rPr>
          <w:rFonts w:ascii="Arial" w:hAnsi="Arial"/>
          <w:color w:val="231F20"/>
          <w:sz w:val="17"/>
        </w:rPr>
        <w:t>émotionnel</w:t>
      </w:r>
      <w:r>
        <w:rPr>
          <w:rFonts w:ascii="Arial" w:hAnsi="Arial"/>
          <w:color w:val="231F20"/>
          <w:spacing w:val="6"/>
          <w:sz w:val="17"/>
        </w:rPr>
        <w:t> </w:t>
      </w:r>
      <w:r>
        <w:rPr>
          <w:rFonts w:ascii="Arial" w:hAnsi="Arial"/>
          <w:color w:val="231F20"/>
          <w:sz w:val="17"/>
        </w:rPr>
        <w:t>est</w:t>
      </w:r>
      <w:r>
        <w:rPr>
          <w:rFonts w:ascii="Arial" w:hAnsi="Arial"/>
          <w:color w:val="231F20"/>
          <w:spacing w:val="6"/>
          <w:sz w:val="17"/>
        </w:rPr>
        <w:t> </w:t>
      </w:r>
      <w:r>
        <w:rPr>
          <w:rFonts w:ascii="Arial" w:hAnsi="Arial"/>
          <w:color w:val="231F20"/>
          <w:spacing w:val="-2"/>
          <w:sz w:val="17"/>
        </w:rPr>
        <w:t>limité.</w:t>
      </w:r>
    </w:p>
    <w:p>
      <w:pPr>
        <w:pStyle w:val="ListParagraph"/>
        <w:numPr>
          <w:ilvl w:val="3"/>
          <w:numId w:val="76"/>
        </w:numPr>
        <w:tabs>
          <w:tab w:pos="1761" w:val="left" w:leader="none"/>
        </w:tabs>
        <w:spacing w:line="307" w:lineRule="auto" w:before="135" w:after="0"/>
        <w:ind w:left="1760" w:right="1464" w:hanging="219"/>
        <w:jc w:val="left"/>
        <w:rPr>
          <w:rFonts w:ascii="Arial" w:hAnsi="Arial"/>
          <w:sz w:val="17"/>
        </w:rPr>
      </w:pPr>
      <w:r>
        <w:rPr>
          <w:rFonts w:ascii="Arial" w:hAnsi="Arial"/>
          <w:color w:val="231F20"/>
          <w:sz w:val="17"/>
        </w:rPr>
        <w:t>Vous</w:t>
      </w:r>
      <w:r>
        <w:rPr>
          <w:rFonts w:ascii="Arial" w:hAnsi="Arial"/>
          <w:color w:val="231F20"/>
          <w:spacing w:val="-8"/>
          <w:sz w:val="17"/>
        </w:rPr>
        <w:t> </w:t>
      </w:r>
      <w:r>
        <w:rPr>
          <w:rFonts w:ascii="Arial" w:hAnsi="Arial"/>
          <w:color w:val="231F20"/>
          <w:sz w:val="17"/>
        </w:rPr>
        <w:t>portez</w:t>
      </w:r>
      <w:r>
        <w:rPr>
          <w:rFonts w:ascii="Arial" w:hAnsi="Arial"/>
          <w:color w:val="231F20"/>
          <w:spacing w:val="-8"/>
          <w:sz w:val="17"/>
        </w:rPr>
        <w:t> </w:t>
      </w:r>
      <w:r>
        <w:rPr>
          <w:rFonts w:ascii="Arial" w:hAnsi="Arial"/>
          <w:color w:val="231F20"/>
          <w:sz w:val="17"/>
        </w:rPr>
        <w:t>des</w:t>
      </w:r>
      <w:r>
        <w:rPr>
          <w:rFonts w:ascii="Arial" w:hAnsi="Arial"/>
          <w:color w:val="231F20"/>
          <w:spacing w:val="-8"/>
          <w:sz w:val="17"/>
        </w:rPr>
        <w:t> </w:t>
      </w:r>
      <w:r>
        <w:rPr>
          <w:rFonts w:ascii="Arial" w:hAnsi="Arial"/>
          <w:color w:val="231F20"/>
          <w:sz w:val="17"/>
        </w:rPr>
        <w:t>jugements</w:t>
      </w:r>
      <w:r>
        <w:rPr>
          <w:rFonts w:ascii="Arial" w:hAnsi="Arial"/>
          <w:color w:val="231F20"/>
          <w:spacing w:val="-8"/>
          <w:sz w:val="17"/>
        </w:rPr>
        <w:t> </w:t>
      </w:r>
      <w:r>
        <w:rPr>
          <w:rFonts w:ascii="Arial" w:hAnsi="Arial"/>
          <w:color w:val="231F20"/>
          <w:sz w:val="17"/>
        </w:rPr>
        <w:t>rapides</w:t>
      </w:r>
      <w:r>
        <w:rPr>
          <w:rFonts w:ascii="Arial" w:hAnsi="Arial"/>
          <w:color w:val="231F20"/>
          <w:spacing w:val="-8"/>
          <w:sz w:val="17"/>
        </w:rPr>
        <w:t> </w:t>
      </w:r>
      <w:r>
        <w:rPr>
          <w:rFonts w:ascii="Arial" w:hAnsi="Arial"/>
          <w:color w:val="231F20"/>
          <w:sz w:val="17"/>
        </w:rPr>
        <w:t>et</w:t>
      </w:r>
      <w:r>
        <w:rPr>
          <w:rFonts w:ascii="Arial" w:hAnsi="Arial"/>
          <w:color w:val="231F20"/>
          <w:spacing w:val="-8"/>
          <w:sz w:val="17"/>
        </w:rPr>
        <w:t> </w:t>
      </w:r>
      <w:r>
        <w:rPr>
          <w:rFonts w:ascii="Arial" w:hAnsi="Arial"/>
          <w:color w:val="231F20"/>
          <w:sz w:val="17"/>
        </w:rPr>
        <w:t>les</w:t>
      </w:r>
      <w:r>
        <w:rPr>
          <w:rFonts w:ascii="Arial" w:hAnsi="Arial"/>
          <w:color w:val="231F20"/>
          <w:spacing w:val="-8"/>
          <w:sz w:val="17"/>
        </w:rPr>
        <w:t> </w:t>
      </w:r>
      <w:r>
        <w:rPr>
          <w:rFonts w:ascii="Arial" w:hAnsi="Arial"/>
          <w:color w:val="231F20"/>
          <w:sz w:val="17"/>
        </w:rPr>
        <w:t>défendez avec</w:t>
      </w:r>
      <w:r>
        <w:rPr>
          <w:rFonts w:ascii="Arial" w:hAnsi="Arial"/>
          <w:color w:val="231F20"/>
          <w:spacing w:val="-3"/>
          <w:sz w:val="17"/>
        </w:rPr>
        <w:t> </w:t>
      </w:r>
      <w:r>
        <w:rPr>
          <w:rFonts w:ascii="Arial" w:hAnsi="Arial"/>
          <w:color w:val="231F20"/>
          <w:sz w:val="17"/>
        </w:rPr>
        <w:t>véhémence.</w:t>
      </w:r>
    </w:p>
    <w:p>
      <w:pPr>
        <w:pStyle w:val="ListParagraph"/>
        <w:numPr>
          <w:ilvl w:val="3"/>
          <w:numId w:val="76"/>
        </w:numPr>
        <w:tabs>
          <w:tab w:pos="1761" w:val="left" w:leader="none"/>
        </w:tabs>
        <w:spacing w:line="240" w:lineRule="auto" w:before="79" w:after="0"/>
        <w:ind w:left="1760" w:right="0" w:hanging="210"/>
        <w:jc w:val="left"/>
        <w:rPr>
          <w:rFonts w:ascii="Arial" w:hAnsi="Arial"/>
          <w:sz w:val="17"/>
        </w:rPr>
      </w:pPr>
      <w:r>
        <w:rPr>
          <w:rFonts w:ascii="Arial" w:hAnsi="Arial"/>
          <w:color w:val="231F20"/>
          <w:w w:val="95"/>
          <w:sz w:val="17"/>
        </w:rPr>
        <w:t>Vous</w:t>
      </w:r>
      <w:r>
        <w:rPr>
          <w:rFonts w:ascii="Arial" w:hAnsi="Arial"/>
          <w:color w:val="231F20"/>
          <w:spacing w:val="1"/>
          <w:sz w:val="17"/>
        </w:rPr>
        <w:t> </w:t>
      </w:r>
      <w:r>
        <w:rPr>
          <w:rFonts w:ascii="Arial" w:hAnsi="Arial"/>
          <w:color w:val="231F20"/>
          <w:w w:val="95"/>
          <w:sz w:val="17"/>
        </w:rPr>
        <w:t>êtes</w:t>
      </w:r>
      <w:r>
        <w:rPr>
          <w:rFonts w:ascii="Arial" w:hAnsi="Arial"/>
          <w:color w:val="231F20"/>
          <w:spacing w:val="1"/>
          <w:sz w:val="17"/>
        </w:rPr>
        <w:t> </w:t>
      </w:r>
      <w:r>
        <w:rPr>
          <w:rFonts w:ascii="Arial" w:hAnsi="Arial"/>
          <w:color w:val="231F20"/>
          <w:spacing w:val="-2"/>
          <w:w w:val="95"/>
          <w:sz w:val="17"/>
        </w:rPr>
        <w:t>rancunier.</w:t>
      </w:r>
    </w:p>
    <w:p>
      <w:pPr>
        <w:pStyle w:val="ListParagraph"/>
        <w:numPr>
          <w:ilvl w:val="3"/>
          <w:numId w:val="76"/>
        </w:numPr>
        <w:tabs>
          <w:tab w:pos="1761" w:val="left" w:leader="none"/>
        </w:tabs>
        <w:spacing w:line="240" w:lineRule="auto" w:before="135" w:after="0"/>
        <w:ind w:left="1760" w:right="0" w:hanging="223"/>
        <w:jc w:val="left"/>
        <w:rPr>
          <w:rFonts w:ascii="Arial" w:hAnsi="Arial"/>
          <w:sz w:val="17"/>
        </w:rPr>
      </w:pPr>
      <w:r>
        <w:rPr>
          <w:rFonts w:ascii="Arial" w:hAnsi="Arial"/>
          <w:color w:val="231F20"/>
          <w:w w:val="95"/>
          <w:sz w:val="17"/>
        </w:rPr>
        <w:t>Vous</w:t>
      </w:r>
      <w:r>
        <w:rPr>
          <w:rFonts w:ascii="Arial" w:hAnsi="Arial"/>
          <w:color w:val="231F20"/>
          <w:spacing w:val="6"/>
          <w:sz w:val="17"/>
        </w:rPr>
        <w:t> </w:t>
      </w:r>
      <w:r>
        <w:rPr>
          <w:rFonts w:ascii="Arial" w:hAnsi="Arial"/>
          <w:color w:val="231F20"/>
          <w:w w:val="95"/>
          <w:sz w:val="17"/>
        </w:rPr>
        <w:t>n’oubliez</w:t>
      </w:r>
      <w:r>
        <w:rPr>
          <w:rFonts w:ascii="Arial" w:hAnsi="Arial"/>
          <w:color w:val="231F20"/>
          <w:spacing w:val="7"/>
          <w:sz w:val="17"/>
        </w:rPr>
        <w:t> </w:t>
      </w:r>
      <w:r>
        <w:rPr>
          <w:rFonts w:ascii="Arial" w:hAnsi="Arial"/>
          <w:color w:val="231F20"/>
          <w:w w:val="95"/>
          <w:sz w:val="17"/>
        </w:rPr>
        <w:t>jamais</w:t>
      </w:r>
      <w:r>
        <w:rPr>
          <w:rFonts w:ascii="Arial" w:hAnsi="Arial"/>
          <w:color w:val="231F20"/>
          <w:spacing w:val="6"/>
          <w:sz w:val="17"/>
        </w:rPr>
        <w:t> </w:t>
      </w:r>
      <w:r>
        <w:rPr>
          <w:rFonts w:ascii="Arial" w:hAnsi="Arial"/>
          <w:color w:val="231F20"/>
          <w:w w:val="95"/>
          <w:sz w:val="17"/>
        </w:rPr>
        <w:t>vos</w:t>
      </w:r>
      <w:r>
        <w:rPr>
          <w:rFonts w:ascii="Arial" w:hAnsi="Arial"/>
          <w:color w:val="231F20"/>
          <w:spacing w:val="7"/>
          <w:sz w:val="17"/>
        </w:rPr>
        <w:t> </w:t>
      </w:r>
      <w:r>
        <w:rPr>
          <w:rFonts w:ascii="Arial" w:hAnsi="Arial"/>
          <w:color w:val="231F20"/>
          <w:spacing w:val="-2"/>
          <w:w w:val="95"/>
          <w:sz w:val="17"/>
        </w:rPr>
        <w:t>erreurs.</w:t>
      </w:r>
    </w:p>
    <w:p>
      <w:pPr>
        <w:pStyle w:val="ListParagraph"/>
        <w:numPr>
          <w:ilvl w:val="3"/>
          <w:numId w:val="76"/>
        </w:numPr>
        <w:tabs>
          <w:tab w:pos="1761" w:val="left" w:leader="none"/>
        </w:tabs>
        <w:spacing w:line="240" w:lineRule="auto" w:before="134" w:after="0"/>
        <w:ind w:left="1760" w:right="0" w:hanging="194"/>
        <w:jc w:val="left"/>
        <w:rPr>
          <w:rFonts w:ascii="Arial"/>
          <w:sz w:val="17"/>
        </w:rPr>
      </w:pPr>
      <w:r>
        <w:rPr>
          <w:rFonts w:ascii="Arial"/>
          <w:color w:val="231F20"/>
          <w:sz w:val="17"/>
        </w:rPr>
        <w:t>Vous</w:t>
      </w:r>
      <w:r>
        <w:rPr>
          <w:rFonts w:ascii="Arial"/>
          <w:color w:val="231F20"/>
          <w:spacing w:val="-11"/>
          <w:sz w:val="17"/>
        </w:rPr>
        <w:t> </w:t>
      </w:r>
      <w:r>
        <w:rPr>
          <w:rFonts w:ascii="Arial"/>
          <w:color w:val="231F20"/>
          <w:sz w:val="17"/>
        </w:rPr>
        <w:t>vous</w:t>
      </w:r>
      <w:r>
        <w:rPr>
          <w:rFonts w:ascii="Arial"/>
          <w:color w:val="231F20"/>
          <w:spacing w:val="-11"/>
          <w:sz w:val="17"/>
        </w:rPr>
        <w:t> </w:t>
      </w:r>
      <w:r>
        <w:rPr>
          <w:rFonts w:ascii="Arial"/>
          <w:color w:val="231F20"/>
          <w:sz w:val="17"/>
        </w:rPr>
        <w:t>sentez</w:t>
      </w:r>
      <w:r>
        <w:rPr>
          <w:rFonts w:ascii="Arial"/>
          <w:color w:val="231F20"/>
          <w:spacing w:val="-11"/>
          <w:sz w:val="17"/>
        </w:rPr>
        <w:t> </w:t>
      </w:r>
      <w:r>
        <w:rPr>
          <w:rFonts w:ascii="Arial"/>
          <w:color w:val="231F20"/>
          <w:sz w:val="17"/>
        </w:rPr>
        <w:t>souvent</w:t>
      </w:r>
      <w:r>
        <w:rPr>
          <w:rFonts w:ascii="Arial"/>
          <w:color w:val="231F20"/>
          <w:spacing w:val="-10"/>
          <w:sz w:val="17"/>
        </w:rPr>
        <w:t> </w:t>
      </w:r>
      <w:r>
        <w:rPr>
          <w:rFonts w:ascii="Arial"/>
          <w:color w:val="231F20"/>
          <w:spacing w:val="-2"/>
          <w:sz w:val="17"/>
        </w:rPr>
        <w:t>incompris.</w:t>
      </w:r>
    </w:p>
    <w:p>
      <w:pPr>
        <w:pStyle w:val="ListParagraph"/>
        <w:numPr>
          <w:ilvl w:val="3"/>
          <w:numId w:val="76"/>
        </w:numPr>
        <w:tabs>
          <w:tab w:pos="1761" w:val="left" w:leader="none"/>
        </w:tabs>
        <w:spacing w:line="240" w:lineRule="auto" w:before="135" w:after="0"/>
        <w:ind w:left="1760" w:right="0" w:hanging="225"/>
        <w:jc w:val="left"/>
        <w:rPr>
          <w:rFonts w:ascii="Arial"/>
          <w:sz w:val="17"/>
        </w:rPr>
      </w:pPr>
      <w:r>
        <w:rPr>
          <w:rFonts w:ascii="Arial"/>
          <w:color w:val="231F20"/>
          <w:w w:val="95"/>
          <w:sz w:val="17"/>
        </w:rPr>
        <w:t>Vous</w:t>
      </w:r>
      <w:r>
        <w:rPr>
          <w:rFonts w:ascii="Arial"/>
          <w:color w:val="231F20"/>
          <w:spacing w:val="4"/>
          <w:sz w:val="17"/>
        </w:rPr>
        <w:t> </w:t>
      </w:r>
      <w:r>
        <w:rPr>
          <w:rFonts w:ascii="Arial"/>
          <w:color w:val="231F20"/>
          <w:w w:val="95"/>
          <w:sz w:val="17"/>
        </w:rPr>
        <w:t>ne</w:t>
      </w:r>
      <w:r>
        <w:rPr>
          <w:rFonts w:ascii="Arial"/>
          <w:color w:val="231F20"/>
          <w:spacing w:val="4"/>
          <w:sz w:val="17"/>
        </w:rPr>
        <w:t> </w:t>
      </w:r>
      <w:r>
        <w:rPr>
          <w:rFonts w:ascii="Arial"/>
          <w:color w:val="231F20"/>
          <w:w w:val="95"/>
          <w:sz w:val="17"/>
        </w:rPr>
        <w:t>connaissez</w:t>
      </w:r>
      <w:r>
        <w:rPr>
          <w:rFonts w:ascii="Arial"/>
          <w:color w:val="231F20"/>
          <w:spacing w:val="5"/>
          <w:sz w:val="17"/>
        </w:rPr>
        <w:t> </w:t>
      </w:r>
      <w:r>
        <w:rPr>
          <w:rFonts w:ascii="Arial"/>
          <w:color w:val="231F20"/>
          <w:w w:val="95"/>
          <w:sz w:val="17"/>
        </w:rPr>
        <w:t>pas</w:t>
      </w:r>
      <w:r>
        <w:rPr>
          <w:rFonts w:ascii="Arial"/>
          <w:color w:val="231F20"/>
          <w:spacing w:val="4"/>
          <w:sz w:val="17"/>
        </w:rPr>
        <w:t> </w:t>
      </w:r>
      <w:r>
        <w:rPr>
          <w:rFonts w:ascii="Arial"/>
          <w:color w:val="231F20"/>
          <w:w w:val="95"/>
          <w:sz w:val="17"/>
        </w:rPr>
        <w:t>vos</w:t>
      </w:r>
      <w:r>
        <w:rPr>
          <w:rFonts w:ascii="Arial"/>
          <w:color w:val="231F20"/>
          <w:spacing w:val="5"/>
          <w:sz w:val="17"/>
        </w:rPr>
        <w:t> </w:t>
      </w:r>
      <w:r>
        <w:rPr>
          <w:rFonts w:ascii="Arial"/>
          <w:color w:val="231F20"/>
          <w:w w:val="95"/>
          <w:sz w:val="17"/>
        </w:rPr>
        <w:t>points</w:t>
      </w:r>
      <w:r>
        <w:rPr>
          <w:rFonts w:ascii="Arial"/>
          <w:color w:val="231F20"/>
          <w:spacing w:val="4"/>
          <w:sz w:val="17"/>
        </w:rPr>
        <w:t> </w:t>
      </w:r>
      <w:r>
        <w:rPr>
          <w:rFonts w:ascii="Arial"/>
          <w:color w:val="231F20"/>
          <w:spacing w:val="-2"/>
          <w:w w:val="95"/>
          <w:sz w:val="17"/>
        </w:rPr>
        <w:t>sensibles.</w:t>
      </w:r>
    </w:p>
    <w:p>
      <w:pPr>
        <w:pStyle w:val="ListParagraph"/>
        <w:numPr>
          <w:ilvl w:val="3"/>
          <w:numId w:val="76"/>
        </w:numPr>
        <w:tabs>
          <w:tab w:pos="1761" w:val="left" w:leader="none"/>
        </w:tabs>
        <w:spacing w:line="240" w:lineRule="auto" w:before="134" w:after="0"/>
        <w:ind w:left="1760" w:right="0" w:hanging="220"/>
        <w:jc w:val="left"/>
        <w:rPr>
          <w:rFonts w:ascii="Arial" w:hAnsi="Arial"/>
          <w:sz w:val="17"/>
        </w:rPr>
      </w:pPr>
      <w:r>
        <w:rPr>
          <w:rFonts w:ascii="Arial" w:hAnsi="Arial"/>
          <w:color w:val="231F20"/>
          <w:sz w:val="17"/>
        </w:rPr>
        <w:t>Vous</w:t>
      </w:r>
      <w:r>
        <w:rPr>
          <w:rFonts w:ascii="Arial" w:hAnsi="Arial"/>
          <w:color w:val="231F20"/>
          <w:spacing w:val="-10"/>
          <w:sz w:val="17"/>
        </w:rPr>
        <w:t> </w:t>
      </w:r>
      <w:r>
        <w:rPr>
          <w:rFonts w:ascii="Arial" w:hAnsi="Arial"/>
          <w:color w:val="231F20"/>
          <w:sz w:val="17"/>
        </w:rPr>
        <w:t>ne</w:t>
      </w:r>
      <w:r>
        <w:rPr>
          <w:rFonts w:ascii="Arial" w:hAnsi="Arial"/>
          <w:color w:val="231F20"/>
          <w:spacing w:val="-10"/>
          <w:sz w:val="17"/>
        </w:rPr>
        <w:t> </w:t>
      </w:r>
      <w:r>
        <w:rPr>
          <w:rFonts w:ascii="Arial" w:hAnsi="Arial"/>
          <w:color w:val="231F20"/>
          <w:sz w:val="17"/>
        </w:rPr>
        <w:t>vous</w:t>
      </w:r>
      <w:r>
        <w:rPr>
          <w:rFonts w:ascii="Arial" w:hAnsi="Arial"/>
          <w:color w:val="231F20"/>
          <w:spacing w:val="-10"/>
          <w:sz w:val="17"/>
        </w:rPr>
        <w:t> </w:t>
      </w:r>
      <w:r>
        <w:rPr>
          <w:rFonts w:ascii="Arial" w:hAnsi="Arial"/>
          <w:color w:val="231F20"/>
          <w:sz w:val="17"/>
        </w:rPr>
        <w:t>mettez</w:t>
      </w:r>
      <w:r>
        <w:rPr>
          <w:rFonts w:ascii="Arial" w:hAnsi="Arial"/>
          <w:color w:val="231F20"/>
          <w:spacing w:val="-10"/>
          <w:sz w:val="17"/>
        </w:rPr>
        <w:t> </w:t>
      </w:r>
      <w:r>
        <w:rPr>
          <w:rFonts w:ascii="Arial" w:hAnsi="Arial"/>
          <w:color w:val="231F20"/>
          <w:sz w:val="17"/>
        </w:rPr>
        <w:t>jamais</w:t>
      </w:r>
      <w:r>
        <w:rPr>
          <w:rFonts w:ascii="Arial" w:hAnsi="Arial"/>
          <w:color w:val="231F20"/>
          <w:spacing w:val="-10"/>
          <w:sz w:val="17"/>
        </w:rPr>
        <w:t> </w:t>
      </w:r>
      <w:r>
        <w:rPr>
          <w:rFonts w:ascii="Arial" w:hAnsi="Arial"/>
          <w:color w:val="231F20"/>
          <w:sz w:val="17"/>
        </w:rPr>
        <w:t>en</w:t>
      </w:r>
      <w:r>
        <w:rPr>
          <w:rFonts w:ascii="Arial" w:hAnsi="Arial"/>
          <w:color w:val="231F20"/>
          <w:spacing w:val="-10"/>
          <w:sz w:val="17"/>
        </w:rPr>
        <w:t> </w:t>
      </w:r>
      <w:r>
        <w:rPr>
          <w:rFonts w:ascii="Arial" w:hAnsi="Arial"/>
          <w:color w:val="231F20"/>
          <w:spacing w:val="-2"/>
          <w:sz w:val="17"/>
        </w:rPr>
        <w:t>colère.</w:t>
      </w:r>
    </w:p>
    <w:p>
      <w:pPr>
        <w:pStyle w:val="ListParagraph"/>
        <w:numPr>
          <w:ilvl w:val="3"/>
          <w:numId w:val="76"/>
        </w:numPr>
        <w:tabs>
          <w:tab w:pos="1761" w:val="left" w:leader="none"/>
        </w:tabs>
        <w:spacing w:line="307" w:lineRule="auto" w:before="135" w:after="0"/>
        <w:ind w:left="1760" w:right="818" w:hanging="288"/>
        <w:jc w:val="left"/>
        <w:rPr>
          <w:rFonts w:ascii="Arial" w:hAnsi="Arial"/>
          <w:sz w:val="17"/>
        </w:rPr>
      </w:pPr>
      <w:r>
        <w:rPr>
          <w:rFonts w:ascii="Arial" w:hAnsi="Arial"/>
          <w:color w:val="231F20"/>
          <w:sz w:val="17"/>
        </w:rPr>
        <w:t>Vous</w:t>
      </w:r>
      <w:r>
        <w:rPr>
          <w:rFonts w:ascii="Arial" w:hAnsi="Arial"/>
          <w:color w:val="231F20"/>
          <w:spacing w:val="-4"/>
          <w:sz w:val="17"/>
        </w:rPr>
        <w:t> </w:t>
      </w:r>
      <w:r>
        <w:rPr>
          <w:rFonts w:ascii="Arial" w:hAnsi="Arial"/>
          <w:color w:val="231F20"/>
          <w:sz w:val="17"/>
        </w:rPr>
        <w:t>blâmez</w:t>
      </w:r>
      <w:r>
        <w:rPr>
          <w:rFonts w:ascii="Arial" w:hAnsi="Arial"/>
          <w:color w:val="231F20"/>
          <w:spacing w:val="-4"/>
          <w:sz w:val="17"/>
        </w:rPr>
        <w:t> </w:t>
      </w:r>
      <w:r>
        <w:rPr>
          <w:rFonts w:ascii="Arial" w:hAnsi="Arial"/>
          <w:color w:val="231F20"/>
          <w:sz w:val="17"/>
        </w:rPr>
        <w:t>les</w:t>
      </w:r>
      <w:r>
        <w:rPr>
          <w:rFonts w:ascii="Arial" w:hAnsi="Arial"/>
          <w:color w:val="231F20"/>
          <w:spacing w:val="-4"/>
          <w:sz w:val="17"/>
        </w:rPr>
        <w:t> </w:t>
      </w:r>
      <w:r>
        <w:rPr>
          <w:rFonts w:ascii="Arial" w:hAnsi="Arial"/>
          <w:color w:val="231F20"/>
          <w:sz w:val="17"/>
        </w:rPr>
        <w:t>autres</w:t>
      </w:r>
      <w:r>
        <w:rPr>
          <w:rFonts w:ascii="Arial" w:hAnsi="Arial"/>
          <w:color w:val="231F20"/>
          <w:spacing w:val="-4"/>
          <w:sz w:val="17"/>
        </w:rPr>
        <w:t> </w:t>
      </w:r>
      <w:r>
        <w:rPr>
          <w:rFonts w:ascii="Arial" w:hAnsi="Arial"/>
          <w:color w:val="231F20"/>
          <w:sz w:val="17"/>
        </w:rPr>
        <w:t>pour</w:t>
      </w:r>
      <w:r>
        <w:rPr>
          <w:rFonts w:ascii="Arial" w:hAnsi="Arial"/>
          <w:color w:val="231F20"/>
          <w:spacing w:val="-4"/>
          <w:sz w:val="17"/>
        </w:rPr>
        <w:t> </w:t>
      </w:r>
      <w:r>
        <w:rPr>
          <w:rFonts w:ascii="Arial" w:hAnsi="Arial"/>
          <w:color w:val="231F20"/>
          <w:sz w:val="17"/>
        </w:rPr>
        <w:t>les</w:t>
      </w:r>
      <w:r>
        <w:rPr>
          <w:rFonts w:ascii="Arial" w:hAnsi="Arial"/>
          <w:color w:val="231F20"/>
          <w:spacing w:val="-4"/>
          <w:sz w:val="17"/>
        </w:rPr>
        <w:t> </w:t>
      </w:r>
      <w:r>
        <w:rPr>
          <w:rFonts w:ascii="Arial" w:hAnsi="Arial"/>
          <w:color w:val="231F20"/>
          <w:sz w:val="17"/>
        </w:rPr>
        <w:t>réactions</w:t>
      </w:r>
      <w:r>
        <w:rPr>
          <w:rFonts w:ascii="Arial" w:hAnsi="Arial"/>
          <w:color w:val="231F20"/>
          <w:spacing w:val="-4"/>
          <w:sz w:val="17"/>
        </w:rPr>
        <w:t> </w:t>
      </w:r>
      <w:r>
        <w:rPr>
          <w:rFonts w:ascii="Arial" w:hAnsi="Arial"/>
          <w:color w:val="231F20"/>
          <w:sz w:val="17"/>
        </w:rPr>
        <w:t>qu’ils</w:t>
      </w:r>
      <w:r>
        <w:rPr>
          <w:rFonts w:ascii="Arial" w:hAnsi="Arial"/>
          <w:color w:val="231F20"/>
          <w:spacing w:val="-4"/>
          <w:sz w:val="17"/>
        </w:rPr>
        <w:t> </w:t>
      </w:r>
      <w:r>
        <w:rPr>
          <w:rFonts w:ascii="Arial" w:hAnsi="Arial"/>
          <w:color w:val="231F20"/>
          <w:sz w:val="17"/>
        </w:rPr>
        <w:t>provoquent chez</w:t>
      </w:r>
      <w:r>
        <w:rPr>
          <w:rFonts w:ascii="Arial" w:hAnsi="Arial"/>
          <w:color w:val="231F20"/>
          <w:spacing w:val="-3"/>
          <w:sz w:val="17"/>
        </w:rPr>
        <w:t> </w:t>
      </w:r>
      <w:r>
        <w:rPr>
          <w:rFonts w:ascii="Arial" w:hAnsi="Arial"/>
          <w:color w:val="231F20"/>
          <w:sz w:val="17"/>
        </w:rPr>
        <w:t>vous.</w:t>
      </w:r>
    </w:p>
    <w:p>
      <w:pPr>
        <w:pStyle w:val="ListParagraph"/>
        <w:numPr>
          <w:ilvl w:val="3"/>
          <w:numId w:val="76"/>
        </w:numPr>
        <w:tabs>
          <w:tab w:pos="1761" w:val="left" w:leader="none"/>
        </w:tabs>
        <w:spacing w:line="240" w:lineRule="auto" w:before="80" w:after="0"/>
        <w:ind w:left="1760" w:right="0" w:hanging="262"/>
        <w:jc w:val="left"/>
        <w:rPr>
          <w:rFonts w:ascii="Arial"/>
          <w:sz w:val="17"/>
        </w:rPr>
      </w:pPr>
      <w:r>
        <w:rPr>
          <w:rFonts w:ascii="Arial"/>
          <w:color w:val="231F20"/>
          <w:w w:val="95"/>
          <w:sz w:val="17"/>
        </w:rPr>
        <w:t>Vous</w:t>
      </w:r>
      <w:r>
        <w:rPr>
          <w:rFonts w:ascii="Arial"/>
          <w:color w:val="231F20"/>
          <w:sz w:val="17"/>
        </w:rPr>
        <w:t> </w:t>
      </w:r>
      <w:r>
        <w:rPr>
          <w:rFonts w:ascii="Arial"/>
          <w:color w:val="231F20"/>
          <w:w w:val="95"/>
          <w:sz w:val="17"/>
        </w:rPr>
        <w:t>vous</w:t>
      </w:r>
      <w:r>
        <w:rPr>
          <w:rFonts w:ascii="Arial"/>
          <w:color w:val="231F20"/>
          <w:sz w:val="17"/>
        </w:rPr>
        <w:t> </w:t>
      </w:r>
      <w:r>
        <w:rPr>
          <w:rFonts w:ascii="Arial"/>
          <w:color w:val="231F20"/>
          <w:w w:val="95"/>
          <w:sz w:val="17"/>
        </w:rPr>
        <w:t>vexez</w:t>
      </w:r>
      <w:r>
        <w:rPr>
          <w:rFonts w:ascii="Arial"/>
          <w:color w:val="231F20"/>
          <w:sz w:val="17"/>
        </w:rPr>
        <w:t> </w:t>
      </w:r>
      <w:r>
        <w:rPr>
          <w:rFonts w:ascii="Arial"/>
          <w:color w:val="231F20"/>
          <w:spacing w:val="-2"/>
          <w:w w:val="95"/>
          <w:sz w:val="17"/>
        </w:rPr>
        <w:t>facilement.</w:t>
      </w:r>
    </w:p>
    <w:p>
      <w:pPr>
        <w:pStyle w:val="BodyText"/>
        <w:spacing w:before="6"/>
        <w:rPr>
          <w:rFonts w:ascii="Arial"/>
          <w:sz w:val="23"/>
        </w:rPr>
      </w:pPr>
    </w:p>
    <w:p>
      <w:pPr>
        <w:spacing w:line="295" w:lineRule="auto" w:before="1"/>
        <w:ind w:left="1470" w:right="357" w:firstLine="0"/>
        <w:jc w:val="both"/>
        <w:rPr>
          <w:rFonts w:ascii="Arial" w:hAnsi="Arial"/>
          <w:sz w:val="12"/>
        </w:rPr>
      </w:pPr>
      <w:r>
        <w:rPr>
          <w:rFonts w:ascii="Arial" w:hAnsi="Arial"/>
          <w:color w:val="231F20"/>
          <w:sz w:val="12"/>
        </w:rPr>
        <w:t>Source</w:t>
      </w:r>
      <w:r>
        <w:rPr>
          <w:rFonts w:ascii="Arial" w:hAnsi="Arial"/>
          <w:color w:val="231F20"/>
          <w:spacing w:val="-9"/>
          <w:sz w:val="12"/>
        </w:rPr>
        <w:t> </w:t>
      </w:r>
      <w:r>
        <w:rPr>
          <w:rFonts w:ascii="Arial" w:hAnsi="Arial"/>
          <w:color w:val="231F20"/>
          <w:sz w:val="12"/>
        </w:rPr>
        <w:t>:</w:t>
      </w:r>
      <w:r>
        <w:rPr>
          <w:rFonts w:ascii="Arial" w:hAnsi="Arial"/>
          <w:color w:val="231F20"/>
          <w:spacing w:val="-8"/>
          <w:sz w:val="12"/>
        </w:rPr>
        <w:t> </w:t>
      </w:r>
      <w:r>
        <w:rPr>
          <w:rFonts w:ascii="Arial" w:hAnsi="Arial"/>
          <w:color w:val="231F20"/>
          <w:sz w:val="12"/>
        </w:rPr>
        <w:t>Adapté</w:t>
      </w:r>
      <w:r>
        <w:rPr>
          <w:rFonts w:ascii="Arial" w:hAnsi="Arial"/>
          <w:color w:val="231F20"/>
          <w:spacing w:val="-6"/>
          <w:sz w:val="12"/>
        </w:rPr>
        <w:t> </w:t>
      </w:r>
      <w:r>
        <w:rPr>
          <w:rFonts w:ascii="Arial" w:hAnsi="Arial"/>
          <w:color w:val="231F20"/>
          <w:sz w:val="12"/>
        </w:rPr>
        <w:t>de</w:t>
      </w:r>
      <w:r>
        <w:rPr>
          <w:rFonts w:ascii="Arial" w:hAnsi="Arial"/>
          <w:color w:val="231F20"/>
          <w:spacing w:val="-1"/>
          <w:sz w:val="12"/>
        </w:rPr>
        <w:t> </w:t>
      </w:r>
      <w:r>
        <w:rPr>
          <w:rFonts w:ascii="Arial" w:hAnsi="Arial"/>
          <w:color w:val="231F20"/>
          <w:sz w:val="12"/>
        </w:rPr>
        <w:t>Bradberry,</w:t>
      </w:r>
      <w:r>
        <w:rPr>
          <w:rFonts w:ascii="Arial" w:hAnsi="Arial"/>
          <w:color w:val="231F20"/>
          <w:spacing w:val="-1"/>
          <w:sz w:val="12"/>
        </w:rPr>
        <w:t> </w:t>
      </w:r>
      <w:r>
        <w:rPr>
          <w:rFonts w:ascii="Arial" w:hAnsi="Arial"/>
          <w:color w:val="231F20"/>
          <w:sz w:val="12"/>
        </w:rPr>
        <w:t>T.</w:t>
      </w:r>
      <w:r>
        <w:rPr>
          <w:rFonts w:ascii="Arial" w:hAnsi="Arial"/>
          <w:color w:val="231F20"/>
          <w:spacing w:val="-1"/>
          <w:sz w:val="12"/>
        </w:rPr>
        <w:t> </w:t>
      </w:r>
      <w:r>
        <w:rPr>
          <w:rFonts w:ascii="Arial" w:hAnsi="Arial"/>
          <w:color w:val="231F20"/>
          <w:sz w:val="12"/>
        </w:rPr>
        <w:t>(2017).</w:t>
      </w:r>
      <w:r>
        <w:rPr>
          <w:rFonts w:ascii="Arial" w:hAnsi="Arial"/>
          <w:color w:val="231F20"/>
          <w:spacing w:val="-1"/>
          <w:sz w:val="12"/>
        </w:rPr>
        <w:t> </w:t>
      </w:r>
      <w:r>
        <w:rPr>
          <w:rFonts w:ascii="Arial" w:hAnsi="Arial"/>
          <w:color w:val="231F20"/>
          <w:sz w:val="12"/>
        </w:rPr>
        <w:t>11</w:t>
      </w:r>
      <w:r>
        <w:rPr>
          <w:rFonts w:ascii="Arial" w:hAnsi="Arial"/>
          <w:color w:val="231F20"/>
          <w:spacing w:val="-1"/>
          <w:sz w:val="12"/>
        </w:rPr>
        <w:t> </w:t>
      </w:r>
      <w:r>
        <w:rPr>
          <w:rFonts w:ascii="Arial" w:hAnsi="Arial"/>
          <w:color w:val="231F20"/>
          <w:sz w:val="12"/>
        </w:rPr>
        <w:t>signes</w:t>
      </w:r>
      <w:r>
        <w:rPr>
          <w:rFonts w:ascii="Arial" w:hAnsi="Arial"/>
          <w:color w:val="231F20"/>
          <w:spacing w:val="-1"/>
          <w:sz w:val="12"/>
        </w:rPr>
        <w:t> </w:t>
      </w:r>
      <w:r>
        <w:rPr>
          <w:rFonts w:ascii="Arial" w:hAnsi="Arial"/>
          <w:color w:val="231F20"/>
          <w:sz w:val="12"/>
        </w:rPr>
        <w:t>que</w:t>
      </w:r>
      <w:r>
        <w:rPr>
          <w:rFonts w:ascii="Arial" w:hAnsi="Arial"/>
          <w:color w:val="231F20"/>
          <w:spacing w:val="-1"/>
          <w:sz w:val="12"/>
        </w:rPr>
        <w:t> </w:t>
      </w:r>
      <w:r>
        <w:rPr>
          <w:rFonts w:ascii="Arial" w:hAnsi="Arial"/>
          <w:color w:val="231F20"/>
          <w:sz w:val="12"/>
        </w:rPr>
        <w:t>vous</w:t>
      </w:r>
      <w:r>
        <w:rPr>
          <w:rFonts w:ascii="Arial" w:hAnsi="Arial"/>
          <w:color w:val="231F20"/>
          <w:spacing w:val="-1"/>
          <w:sz w:val="12"/>
        </w:rPr>
        <w:t> </w:t>
      </w:r>
      <w:r>
        <w:rPr>
          <w:rFonts w:ascii="Arial" w:hAnsi="Arial"/>
          <w:color w:val="231F20"/>
          <w:sz w:val="12"/>
        </w:rPr>
        <w:t>manquez</w:t>
      </w:r>
      <w:r>
        <w:rPr>
          <w:rFonts w:ascii="Arial" w:hAnsi="Arial"/>
          <w:color w:val="231F20"/>
          <w:spacing w:val="-1"/>
          <w:sz w:val="12"/>
        </w:rPr>
        <w:t> </w:t>
      </w:r>
      <w:r>
        <w:rPr>
          <w:rFonts w:ascii="Arial" w:hAnsi="Arial"/>
          <w:color w:val="231F20"/>
          <w:sz w:val="12"/>
        </w:rPr>
        <w:t>d’intelligence</w:t>
      </w:r>
      <w:r>
        <w:rPr>
          <w:rFonts w:ascii="Arial" w:hAnsi="Arial"/>
          <w:color w:val="231F20"/>
          <w:spacing w:val="-1"/>
          <w:sz w:val="12"/>
        </w:rPr>
        <w:t> </w:t>
      </w:r>
      <w:r>
        <w:rPr>
          <w:rFonts w:ascii="Arial" w:hAnsi="Arial"/>
          <w:color w:val="231F20"/>
          <w:sz w:val="12"/>
        </w:rPr>
        <w:t>émotionnelle,</w:t>
      </w:r>
      <w:r>
        <w:rPr>
          <w:rFonts w:ascii="Arial" w:hAnsi="Arial"/>
          <w:color w:val="231F20"/>
          <w:spacing w:val="40"/>
          <w:w w:val="105"/>
          <w:sz w:val="12"/>
        </w:rPr>
        <w:t> </w:t>
      </w:r>
      <w:r>
        <w:rPr>
          <w:rFonts w:ascii="Arial" w:hAnsi="Arial"/>
          <w:i/>
          <w:color w:val="231F20"/>
          <w:spacing w:val="-2"/>
          <w:w w:val="105"/>
          <w:sz w:val="12"/>
        </w:rPr>
        <w:t>Huffington</w:t>
      </w:r>
      <w:r>
        <w:rPr>
          <w:rFonts w:ascii="Arial" w:hAnsi="Arial"/>
          <w:i/>
          <w:color w:val="231F20"/>
          <w:spacing w:val="-6"/>
          <w:w w:val="105"/>
          <w:sz w:val="12"/>
        </w:rPr>
        <w:t> </w:t>
      </w:r>
      <w:r>
        <w:rPr>
          <w:rFonts w:ascii="Arial" w:hAnsi="Arial"/>
          <w:i/>
          <w:color w:val="231F20"/>
          <w:spacing w:val="-2"/>
          <w:w w:val="105"/>
          <w:sz w:val="12"/>
        </w:rPr>
        <w:t>Post</w:t>
      </w:r>
      <w:r>
        <w:rPr>
          <w:rFonts w:ascii="Arial" w:hAnsi="Arial"/>
          <w:color w:val="231F20"/>
          <w:spacing w:val="-2"/>
          <w:w w:val="105"/>
          <w:sz w:val="12"/>
        </w:rPr>
        <w:t>,</w:t>
      </w:r>
      <w:r>
        <w:rPr>
          <w:rFonts w:ascii="Arial" w:hAnsi="Arial"/>
          <w:color w:val="231F20"/>
          <w:spacing w:val="-6"/>
          <w:w w:val="105"/>
          <w:sz w:val="12"/>
        </w:rPr>
        <w:t> </w:t>
      </w:r>
      <w:r>
        <w:rPr>
          <w:rFonts w:ascii="Arial" w:hAnsi="Arial"/>
          <w:color w:val="231F20"/>
          <w:spacing w:val="-2"/>
          <w:w w:val="105"/>
          <w:sz w:val="12"/>
        </w:rPr>
        <w:t>&lt;https://</w:t>
      </w:r>
      <w:hyperlink r:id="rId305">
        <w:r>
          <w:rPr>
            <w:rFonts w:ascii="Arial" w:hAnsi="Arial"/>
            <w:color w:val="231F20"/>
            <w:spacing w:val="-2"/>
            <w:w w:val="105"/>
            <w:sz w:val="12"/>
          </w:rPr>
          <w:t>www.huffingtonpost.fr/dr-travis-bradberry/11-signes-que-vous-manquez-</w:t>
        </w:r>
      </w:hyperlink>
      <w:r>
        <w:rPr>
          <w:rFonts w:ascii="Arial" w:hAnsi="Arial"/>
          <w:color w:val="231F20"/>
          <w:spacing w:val="40"/>
          <w:w w:val="105"/>
          <w:sz w:val="12"/>
        </w:rPr>
        <w:t> </w:t>
      </w:r>
      <w:r>
        <w:rPr>
          <w:rFonts w:ascii="Arial" w:hAnsi="Arial"/>
          <w:color w:val="231F20"/>
          <w:w w:val="105"/>
          <w:sz w:val="12"/>
        </w:rPr>
        <w:t>dintelligence-emotionnelle_a_21893631/&gt;, consulté le 22 octobre 2021.</w:t>
      </w:r>
    </w:p>
    <w:p>
      <w:pPr>
        <w:pStyle w:val="BodyText"/>
        <w:rPr>
          <w:rFonts w:ascii="Arial"/>
          <w:sz w:val="16"/>
        </w:rPr>
      </w:pPr>
    </w:p>
    <w:p>
      <w:pPr>
        <w:pStyle w:val="BodyText"/>
        <w:rPr>
          <w:rFonts w:ascii="Arial"/>
          <w:sz w:val="16"/>
        </w:rPr>
      </w:pPr>
    </w:p>
    <w:p>
      <w:pPr>
        <w:pStyle w:val="BodyText"/>
        <w:spacing w:before="5"/>
        <w:rPr>
          <w:rFonts w:ascii="Arial"/>
          <w:sz w:val="14"/>
        </w:rPr>
      </w:pPr>
    </w:p>
    <w:p>
      <w:pPr>
        <w:pStyle w:val="BodyText"/>
        <w:spacing w:line="307" w:lineRule="auto"/>
        <w:ind w:left="1220" w:right="105"/>
        <w:jc w:val="both"/>
      </w:pPr>
      <w:r>
        <w:rPr>
          <w:color w:val="231F20"/>
          <w:spacing w:val="-2"/>
          <w:w w:val="120"/>
        </w:rPr>
        <w:t>Nos</w:t>
      </w:r>
      <w:r>
        <w:rPr>
          <w:color w:val="231F20"/>
          <w:spacing w:val="-11"/>
          <w:w w:val="120"/>
        </w:rPr>
        <w:t> </w:t>
      </w:r>
      <w:r>
        <w:rPr>
          <w:color w:val="231F20"/>
          <w:spacing w:val="-2"/>
          <w:w w:val="120"/>
        </w:rPr>
        <w:t>sentiments</w:t>
      </w:r>
      <w:r>
        <w:rPr>
          <w:color w:val="231F20"/>
          <w:spacing w:val="-11"/>
          <w:w w:val="120"/>
        </w:rPr>
        <w:t> </w:t>
      </w:r>
      <w:r>
        <w:rPr>
          <w:color w:val="231F20"/>
          <w:spacing w:val="-2"/>
          <w:w w:val="120"/>
        </w:rPr>
        <w:t>dépendent</w:t>
      </w:r>
      <w:r>
        <w:rPr>
          <w:color w:val="231F20"/>
          <w:spacing w:val="-11"/>
          <w:w w:val="120"/>
        </w:rPr>
        <w:t> </w:t>
      </w:r>
      <w:r>
        <w:rPr>
          <w:color w:val="231F20"/>
          <w:spacing w:val="-2"/>
          <w:w w:val="120"/>
        </w:rPr>
        <w:t>de</w:t>
      </w:r>
      <w:r>
        <w:rPr>
          <w:color w:val="231F20"/>
          <w:spacing w:val="-10"/>
          <w:w w:val="120"/>
        </w:rPr>
        <w:t> </w:t>
      </w:r>
      <w:r>
        <w:rPr>
          <w:color w:val="231F20"/>
          <w:spacing w:val="-2"/>
          <w:w w:val="120"/>
        </w:rPr>
        <w:t>nos</w:t>
      </w:r>
      <w:r>
        <w:rPr>
          <w:color w:val="231F20"/>
          <w:spacing w:val="-11"/>
          <w:w w:val="120"/>
        </w:rPr>
        <w:t> </w:t>
      </w:r>
      <w:r>
        <w:rPr>
          <w:color w:val="231F20"/>
          <w:spacing w:val="-2"/>
          <w:w w:val="120"/>
        </w:rPr>
        <w:t>pensées</w:t>
      </w:r>
      <w:r>
        <w:rPr>
          <w:color w:val="231F20"/>
          <w:spacing w:val="-11"/>
          <w:w w:val="120"/>
        </w:rPr>
        <w:t> </w:t>
      </w:r>
      <w:r>
        <w:rPr>
          <w:color w:val="231F20"/>
          <w:spacing w:val="-2"/>
          <w:w w:val="120"/>
        </w:rPr>
        <w:t>et</w:t>
      </w:r>
      <w:r>
        <w:rPr>
          <w:color w:val="231F20"/>
          <w:spacing w:val="-11"/>
          <w:w w:val="120"/>
        </w:rPr>
        <w:t> </w:t>
      </w:r>
      <w:r>
        <w:rPr>
          <w:color w:val="231F20"/>
          <w:spacing w:val="-2"/>
          <w:w w:val="120"/>
        </w:rPr>
        <w:t>réciproquement.</w:t>
      </w:r>
      <w:r>
        <w:rPr>
          <w:color w:val="231F20"/>
          <w:spacing w:val="-10"/>
          <w:w w:val="120"/>
        </w:rPr>
        <w:t> </w:t>
      </w:r>
      <w:r>
        <w:rPr>
          <w:color w:val="231F20"/>
          <w:spacing w:val="-2"/>
          <w:w w:val="120"/>
        </w:rPr>
        <w:t>C’est</w:t>
      </w:r>
      <w:r>
        <w:rPr>
          <w:color w:val="231F20"/>
          <w:spacing w:val="-11"/>
          <w:w w:val="120"/>
        </w:rPr>
        <w:t> </w:t>
      </w:r>
      <w:r>
        <w:rPr>
          <w:color w:val="231F20"/>
          <w:spacing w:val="-2"/>
          <w:w w:val="120"/>
        </w:rPr>
        <w:t>pour- </w:t>
      </w:r>
      <w:r>
        <w:rPr>
          <w:color w:val="231F20"/>
          <w:w w:val="120"/>
        </w:rPr>
        <w:t>quoi la pensée positive peut nous aider à surmonter une situation que nous trouvons stressante et difficile. Ce genre de situation peut nous amener à formuler divers types de pensées négatives non objectives:</w:t>
      </w:r>
    </w:p>
    <w:p>
      <w:pPr>
        <w:pStyle w:val="ListParagraph"/>
        <w:numPr>
          <w:ilvl w:val="0"/>
          <w:numId w:val="85"/>
        </w:numPr>
        <w:tabs>
          <w:tab w:pos="1721" w:val="left" w:leader="none"/>
        </w:tabs>
        <w:spacing w:line="307" w:lineRule="auto" w:before="80" w:after="0"/>
        <w:ind w:left="1720" w:right="107" w:hanging="251"/>
        <w:jc w:val="both"/>
        <w:rPr>
          <w:sz w:val="17"/>
        </w:rPr>
      </w:pPr>
      <w:r>
        <w:rPr>
          <w:i/>
          <w:color w:val="231F20"/>
          <w:w w:val="115"/>
          <w:sz w:val="17"/>
        </w:rPr>
        <w:t>La</w:t>
      </w:r>
      <w:r>
        <w:rPr>
          <w:i/>
          <w:color w:val="231F20"/>
          <w:spacing w:val="-12"/>
          <w:w w:val="115"/>
          <w:sz w:val="17"/>
        </w:rPr>
        <w:t> </w:t>
      </w:r>
      <w:r>
        <w:rPr>
          <w:i/>
          <w:color w:val="231F20"/>
          <w:w w:val="115"/>
          <w:sz w:val="17"/>
        </w:rPr>
        <w:t>pensée</w:t>
      </w:r>
      <w:r>
        <w:rPr>
          <w:i/>
          <w:color w:val="231F20"/>
          <w:spacing w:val="-12"/>
          <w:w w:val="115"/>
          <w:sz w:val="17"/>
        </w:rPr>
        <w:t> </w:t>
      </w:r>
      <w:r>
        <w:rPr>
          <w:i/>
          <w:color w:val="231F20"/>
          <w:w w:val="115"/>
          <w:sz w:val="17"/>
        </w:rPr>
        <w:t>polarisée</w:t>
      </w:r>
      <w:r>
        <w:rPr>
          <w:color w:val="231F20"/>
          <w:w w:val="115"/>
          <w:sz w:val="17"/>
        </w:rPr>
        <w:t>.</w:t>
      </w:r>
      <w:r>
        <w:rPr>
          <w:color w:val="231F20"/>
          <w:spacing w:val="-12"/>
          <w:w w:val="115"/>
          <w:sz w:val="17"/>
        </w:rPr>
        <w:t> </w:t>
      </w:r>
      <w:r>
        <w:rPr>
          <w:color w:val="231F20"/>
          <w:w w:val="115"/>
          <w:sz w:val="17"/>
        </w:rPr>
        <w:t>Voir</w:t>
      </w:r>
      <w:r>
        <w:rPr>
          <w:color w:val="231F20"/>
          <w:spacing w:val="-12"/>
          <w:w w:val="115"/>
          <w:sz w:val="17"/>
        </w:rPr>
        <w:t> </w:t>
      </w:r>
      <w:r>
        <w:rPr>
          <w:color w:val="231F20"/>
          <w:w w:val="115"/>
          <w:sz w:val="17"/>
        </w:rPr>
        <w:t>tout</w:t>
      </w:r>
      <w:r>
        <w:rPr>
          <w:color w:val="231F20"/>
          <w:spacing w:val="-12"/>
          <w:w w:val="115"/>
          <w:sz w:val="17"/>
        </w:rPr>
        <w:t> </w:t>
      </w:r>
      <w:r>
        <w:rPr>
          <w:color w:val="231F20"/>
          <w:w w:val="115"/>
          <w:sz w:val="17"/>
        </w:rPr>
        <w:t>en</w:t>
      </w:r>
      <w:r>
        <w:rPr>
          <w:color w:val="231F20"/>
          <w:spacing w:val="-12"/>
          <w:w w:val="115"/>
          <w:sz w:val="17"/>
        </w:rPr>
        <w:t> </w:t>
      </w:r>
      <w:r>
        <w:rPr>
          <w:color w:val="231F20"/>
          <w:w w:val="115"/>
          <w:sz w:val="17"/>
        </w:rPr>
        <w:t>noir</w:t>
      </w:r>
      <w:r>
        <w:rPr>
          <w:color w:val="231F20"/>
          <w:spacing w:val="-12"/>
          <w:w w:val="115"/>
          <w:sz w:val="17"/>
        </w:rPr>
        <w:t> </w:t>
      </w:r>
      <w:r>
        <w:rPr>
          <w:color w:val="231F20"/>
          <w:w w:val="115"/>
          <w:sz w:val="17"/>
        </w:rPr>
        <w:t>ou</w:t>
      </w:r>
      <w:r>
        <w:rPr>
          <w:color w:val="231F20"/>
          <w:spacing w:val="-12"/>
          <w:w w:val="115"/>
          <w:sz w:val="17"/>
        </w:rPr>
        <w:t> </w:t>
      </w:r>
      <w:r>
        <w:rPr>
          <w:color w:val="231F20"/>
          <w:w w:val="115"/>
          <w:sz w:val="17"/>
        </w:rPr>
        <w:t>tout</w:t>
      </w:r>
      <w:r>
        <w:rPr>
          <w:color w:val="231F20"/>
          <w:spacing w:val="-12"/>
          <w:w w:val="115"/>
          <w:sz w:val="17"/>
        </w:rPr>
        <w:t> </w:t>
      </w:r>
      <w:r>
        <w:rPr>
          <w:color w:val="231F20"/>
          <w:w w:val="115"/>
          <w:sz w:val="17"/>
        </w:rPr>
        <w:t>en</w:t>
      </w:r>
      <w:r>
        <w:rPr>
          <w:color w:val="231F20"/>
          <w:spacing w:val="-12"/>
          <w:w w:val="115"/>
          <w:sz w:val="17"/>
        </w:rPr>
        <w:t> </w:t>
      </w:r>
      <w:r>
        <w:rPr>
          <w:color w:val="231F20"/>
          <w:w w:val="115"/>
          <w:sz w:val="17"/>
        </w:rPr>
        <w:t>blanc,</w:t>
      </w:r>
      <w:r>
        <w:rPr>
          <w:color w:val="231F20"/>
          <w:spacing w:val="-12"/>
          <w:w w:val="115"/>
          <w:sz w:val="17"/>
        </w:rPr>
        <w:t> </w:t>
      </w:r>
      <w:r>
        <w:rPr>
          <w:color w:val="231F20"/>
          <w:w w:val="115"/>
          <w:sz w:val="17"/>
        </w:rPr>
        <w:t>sans</w:t>
      </w:r>
      <w:r>
        <w:rPr>
          <w:color w:val="231F20"/>
          <w:spacing w:val="-12"/>
          <w:w w:val="115"/>
          <w:sz w:val="17"/>
        </w:rPr>
        <w:t> </w:t>
      </w:r>
      <w:r>
        <w:rPr>
          <w:color w:val="231F20"/>
          <w:w w:val="115"/>
          <w:sz w:val="17"/>
        </w:rPr>
        <w:t>prendre </w:t>
      </w:r>
      <w:r>
        <w:rPr>
          <w:color w:val="231F20"/>
          <w:w w:val="120"/>
          <w:sz w:val="17"/>
        </w:rPr>
        <w:t>en considération les multiples nuances de gris qui existent entre ces deux pôles.</w:t>
      </w:r>
    </w:p>
    <w:p>
      <w:pPr>
        <w:pStyle w:val="ListParagraph"/>
        <w:numPr>
          <w:ilvl w:val="0"/>
          <w:numId w:val="85"/>
        </w:numPr>
        <w:tabs>
          <w:tab w:pos="1721" w:val="left" w:leader="none"/>
        </w:tabs>
        <w:spacing w:line="307" w:lineRule="auto" w:before="0" w:after="0"/>
        <w:ind w:left="1720" w:right="106" w:hanging="251"/>
        <w:jc w:val="both"/>
        <w:rPr>
          <w:sz w:val="17"/>
        </w:rPr>
      </w:pPr>
      <w:r>
        <w:rPr>
          <w:i/>
          <w:color w:val="231F20"/>
          <w:w w:val="120"/>
          <w:sz w:val="17"/>
        </w:rPr>
        <w:t>La</w:t>
      </w:r>
      <w:r>
        <w:rPr>
          <w:i/>
          <w:color w:val="231F20"/>
          <w:spacing w:val="-9"/>
          <w:w w:val="120"/>
          <w:sz w:val="17"/>
        </w:rPr>
        <w:t> </w:t>
      </w:r>
      <w:r>
        <w:rPr>
          <w:i/>
          <w:color w:val="231F20"/>
          <w:w w:val="120"/>
          <w:sz w:val="17"/>
        </w:rPr>
        <w:t>pensée</w:t>
      </w:r>
      <w:r>
        <w:rPr>
          <w:i/>
          <w:color w:val="231F20"/>
          <w:spacing w:val="-9"/>
          <w:w w:val="120"/>
          <w:sz w:val="17"/>
        </w:rPr>
        <w:t> </w:t>
      </w:r>
      <w:r>
        <w:rPr>
          <w:i/>
          <w:color w:val="231F20"/>
          <w:w w:val="120"/>
          <w:sz w:val="17"/>
        </w:rPr>
        <w:t>filtrée</w:t>
      </w:r>
      <w:r>
        <w:rPr>
          <w:color w:val="231F20"/>
          <w:w w:val="120"/>
          <w:sz w:val="17"/>
        </w:rPr>
        <w:t>.</w:t>
      </w:r>
      <w:r>
        <w:rPr>
          <w:color w:val="231F20"/>
          <w:spacing w:val="-9"/>
          <w:w w:val="120"/>
          <w:sz w:val="17"/>
        </w:rPr>
        <w:t> </w:t>
      </w:r>
      <w:r>
        <w:rPr>
          <w:color w:val="231F20"/>
          <w:w w:val="120"/>
          <w:sz w:val="17"/>
        </w:rPr>
        <w:t>Avoir</w:t>
      </w:r>
      <w:r>
        <w:rPr>
          <w:color w:val="231F20"/>
          <w:spacing w:val="-9"/>
          <w:w w:val="120"/>
          <w:sz w:val="17"/>
        </w:rPr>
        <w:t> </w:t>
      </w:r>
      <w:r>
        <w:rPr>
          <w:color w:val="231F20"/>
          <w:w w:val="120"/>
          <w:sz w:val="17"/>
        </w:rPr>
        <w:t>tendance</w:t>
      </w:r>
      <w:r>
        <w:rPr>
          <w:color w:val="231F20"/>
          <w:spacing w:val="-9"/>
          <w:w w:val="120"/>
          <w:sz w:val="17"/>
        </w:rPr>
        <w:t> </w:t>
      </w:r>
      <w:r>
        <w:rPr>
          <w:color w:val="231F20"/>
          <w:w w:val="120"/>
          <w:sz w:val="17"/>
        </w:rPr>
        <w:t>à</w:t>
      </w:r>
      <w:r>
        <w:rPr>
          <w:color w:val="231F20"/>
          <w:spacing w:val="-9"/>
          <w:w w:val="120"/>
          <w:sz w:val="17"/>
        </w:rPr>
        <w:t> </w:t>
      </w:r>
      <w:r>
        <w:rPr>
          <w:color w:val="231F20"/>
          <w:w w:val="120"/>
          <w:sz w:val="17"/>
        </w:rPr>
        <w:t>interpréter</w:t>
      </w:r>
      <w:r>
        <w:rPr>
          <w:color w:val="231F20"/>
          <w:spacing w:val="-9"/>
          <w:w w:val="120"/>
          <w:sz w:val="17"/>
        </w:rPr>
        <w:t> </w:t>
      </w:r>
      <w:r>
        <w:rPr>
          <w:color w:val="231F20"/>
          <w:w w:val="120"/>
          <w:sz w:val="17"/>
        </w:rPr>
        <w:t>les</w:t>
      </w:r>
      <w:r>
        <w:rPr>
          <w:color w:val="231F20"/>
          <w:spacing w:val="-9"/>
          <w:w w:val="120"/>
          <w:sz w:val="17"/>
        </w:rPr>
        <w:t> </w:t>
      </w:r>
      <w:r>
        <w:rPr>
          <w:color w:val="231F20"/>
          <w:w w:val="120"/>
          <w:sz w:val="17"/>
        </w:rPr>
        <w:t>événements</w:t>
      </w:r>
      <w:r>
        <w:rPr>
          <w:color w:val="231F20"/>
          <w:spacing w:val="-9"/>
          <w:w w:val="120"/>
          <w:sz w:val="17"/>
        </w:rPr>
        <w:t> </w:t>
      </w:r>
      <w:r>
        <w:rPr>
          <w:color w:val="231F20"/>
          <w:w w:val="120"/>
          <w:sz w:val="17"/>
        </w:rPr>
        <w:t>en </w:t>
      </w:r>
      <w:r>
        <w:rPr>
          <w:color w:val="231F20"/>
          <w:w w:val="115"/>
          <w:sz w:val="17"/>
        </w:rPr>
        <w:t>fonction</w:t>
      </w:r>
      <w:r>
        <w:rPr>
          <w:color w:val="231F20"/>
          <w:spacing w:val="-13"/>
          <w:w w:val="115"/>
          <w:sz w:val="17"/>
        </w:rPr>
        <w:t> </w:t>
      </w:r>
      <w:r>
        <w:rPr>
          <w:color w:val="231F20"/>
          <w:w w:val="115"/>
          <w:sz w:val="17"/>
        </w:rPr>
        <w:t>d’une</w:t>
      </w:r>
      <w:r>
        <w:rPr>
          <w:color w:val="231F20"/>
          <w:spacing w:val="-12"/>
          <w:w w:val="115"/>
          <w:sz w:val="17"/>
        </w:rPr>
        <w:t> </w:t>
      </w:r>
      <w:r>
        <w:rPr>
          <w:color w:val="231F20"/>
          <w:w w:val="115"/>
          <w:sz w:val="17"/>
        </w:rPr>
        <w:t>série</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w:t>
      </w:r>
      <w:r>
        <w:rPr>
          <w:color w:val="231F20"/>
          <w:spacing w:val="-13"/>
          <w:w w:val="115"/>
          <w:sz w:val="17"/>
        </w:rPr>
        <w:t> </w:t>
      </w:r>
      <w:r>
        <w:rPr>
          <w:color w:val="231F20"/>
          <w:w w:val="115"/>
          <w:sz w:val="17"/>
        </w:rPr>
        <w:t>filtres»</w:t>
      </w:r>
      <w:r>
        <w:rPr>
          <w:color w:val="231F20"/>
          <w:spacing w:val="-12"/>
          <w:w w:val="115"/>
          <w:sz w:val="17"/>
        </w:rPr>
        <w:t> </w:t>
      </w:r>
      <w:r>
        <w:rPr>
          <w:color w:val="231F20"/>
          <w:w w:val="115"/>
          <w:sz w:val="17"/>
        </w:rPr>
        <w:t>ou</w:t>
      </w:r>
      <w:r>
        <w:rPr>
          <w:color w:val="231F20"/>
          <w:spacing w:val="-10"/>
          <w:w w:val="115"/>
          <w:sz w:val="17"/>
        </w:rPr>
        <w:t> </w:t>
      </w:r>
      <w:r>
        <w:rPr>
          <w:color w:val="231F20"/>
          <w:w w:val="115"/>
          <w:sz w:val="17"/>
        </w:rPr>
        <w:t>d’idées</w:t>
      </w:r>
      <w:r>
        <w:rPr>
          <w:color w:val="231F20"/>
          <w:spacing w:val="-8"/>
          <w:w w:val="115"/>
          <w:sz w:val="17"/>
        </w:rPr>
        <w:t> </w:t>
      </w:r>
      <w:r>
        <w:rPr>
          <w:color w:val="231F20"/>
          <w:w w:val="115"/>
          <w:sz w:val="17"/>
        </w:rPr>
        <w:t>fixes</w:t>
      </w:r>
      <w:r>
        <w:rPr>
          <w:color w:val="231F20"/>
          <w:spacing w:val="-9"/>
          <w:w w:val="115"/>
          <w:sz w:val="17"/>
        </w:rPr>
        <w:t> </w:t>
      </w:r>
      <w:r>
        <w:rPr>
          <w:color w:val="231F20"/>
          <w:w w:val="115"/>
          <w:sz w:val="17"/>
        </w:rPr>
        <w:t>et</w:t>
      </w:r>
      <w:r>
        <w:rPr>
          <w:color w:val="231F20"/>
          <w:spacing w:val="-9"/>
          <w:w w:val="115"/>
          <w:sz w:val="17"/>
        </w:rPr>
        <w:t> </w:t>
      </w:r>
      <w:r>
        <w:rPr>
          <w:color w:val="231F20"/>
          <w:w w:val="115"/>
          <w:sz w:val="17"/>
        </w:rPr>
        <w:t>préconçues,</w:t>
      </w:r>
      <w:r>
        <w:rPr>
          <w:color w:val="231F20"/>
          <w:spacing w:val="-9"/>
          <w:w w:val="115"/>
          <w:sz w:val="17"/>
        </w:rPr>
        <w:t> </w:t>
      </w:r>
      <w:r>
        <w:rPr>
          <w:color w:val="231F20"/>
          <w:w w:val="115"/>
          <w:sz w:val="17"/>
        </w:rPr>
        <w:t>très </w:t>
      </w:r>
      <w:r>
        <w:rPr>
          <w:color w:val="231F20"/>
          <w:w w:val="120"/>
          <w:sz w:val="17"/>
        </w:rPr>
        <w:t>souvent biaisées, qui amènent le sujet à déformer négativement la</w:t>
      </w:r>
      <w:r>
        <w:rPr>
          <w:color w:val="231F20"/>
          <w:spacing w:val="-13"/>
          <w:w w:val="120"/>
          <w:sz w:val="17"/>
        </w:rPr>
        <w:t> </w:t>
      </w:r>
      <w:r>
        <w:rPr>
          <w:color w:val="231F20"/>
          <w:w w:val="120"/>
          <w:sz w:val="17"/>
        </w:rPr>
        <w:t>réalité.</w:t>
      </w:r>
    </w:p>
    <w:p>
      <w:pPr>
        <w:pStyle w:val="ListParagraph"/>
        <w:numPr>
          <w:ilvl w:val="0"/>
          <w:numId w:val="85"/>
        </w:numPr>
        <w:tabs>
          <w:tab w:pos="1721" w:val="left" w:leader="none"/>
        </w:tabs>
        <w:spacing w:line="307" w:lineRule="auto" w:before="0" w:after="0"/>
        <w:ind w:left="1720" w:right="108" w:hanging="251"/>
        <w:jc w:val="both"/>
        <w:rPr>
          <w:sz w:val="17"/>
        </w:rPr>
      </w:pPr>
      <w:r>
        <w:rPr>
          <w:i/>
          <w:color w:val="231F20"/>
          <w:w w:val="115"/>
          <w:sz w:val="17"/>
        </w:rPr>
        <w:t>La</w:t>
      </w:r>
      <w:r>
        <w:rPr>
          <w:i/>
          <w:color w:val="231F20"/>
          <w:spacing w:val="-11"/>
          <w:w w:val="115"/>
          <w:sz w:val="17"/>
        </w:rPr>
        <w:t> </w:t>
      </w:r>
      <w:r>
        <w:rPr>
          <w:i/>
          <w:color w:val="231F20"/>
          <w:w w:val="115"/>
          <w:sz w:val="17"/>
        </w:rPr>
        <w:t>pensée</w:t>
      </w:r>
      <w:r>
        <w:rPr>
          <w:i/>
          <w:color w:val="231F20"/>
          <w:spacing w:val="-11"/>
          <w:w w:val="115"/>
          <w:sz w:val="17"/>
        </w:rPr>
        <w:t> </w:t>
      </w:r>
      <w:r>
        <w:rPr>
          <w:i/>
          <w:color w:val="231F20"/>
          <w:w w:val="115"/>
          <w:sz w:val="17"/>
        </w:rPr>
        <w:t>catastrophiste</w:t>
      </w:r>
      <w:r>
        <w:rPr>
          <w:color w:val="231F20"/>
          <w:w w:val="115"/>
          <w:sz w:val="17"/>
        </w:rPr>
        <w:t>.</w:t>
      </w:r>
      <w:r>
        <w:rPr>
          <w:color w:val="231F20"/>
          <w:spacing w:val="-11"/>
          <w:w w:val="115"/>
          <w:sz w:val="17"/>
        </w:rPr>
        <w:t> </w:t>
      </w:r>
      <w:r>
        <w:rPr>
          <w:color w:val="231F20"/>
          <w:w w:val="115"/>
          <w:sz w:val="17"/>
        </w:rPr>
        <w:t>Croire</w:t>
      </w:r>
      <w:r>
        <w:rPr>
          <w:color w:val="231F20"/>
          <w:spacing w:val="-11"/>
          <w:w w:val="115"/>
          <w:sz w:val="17"/>
        </w:rPr>
        <w:t> </w:t>
      </w:r>
      <w:r>
        <w:rPr>
          <w:color w:val="231F20"/>
          <w:w w:val="115"/>
          <w:sz w:val="17"/>
        </w:rPr>
        <w:t>que</w:t>
      </w:r>
      <w:r>
        <w:rPr>
          <w:color w:val="231F20"/>
          <w:spacing w:val="-11"/>
          <w:w w:val="115"/>
          <w:sz w:val="17"/>
        </w:rPr>
        <w:t> </w:t>
      </w:r>
      <w:r>
        <w:rPr>
          <w:color w:val="231F20"/>
          <w:w w:val="115"/>
          <w:sz w:val="17"/>
        </w:rPr>
        <w:t>c’est</w:t>
      </w:r>
      <w:r>
        <w:rPr>
          <w:color w:val="231F20"/>
          <w:spacing w:val="-11"/>
          <w:w w:val="115"/>
          <w:sz w:val="17"/>
        </w:rPr>
        <w:t> </w:t>
      </w:r>
      <w:r>
        <w:rPr>
          <w:color w:val="231F20"/>
          <w:w w:val="115"/>
          <w:sz w:val="17"/>
        </w:rPr>
        <w:t>toujours</w:t>
      </w:r>
      <w:r>
        <w:rPr>
          <w:color w:val="231F20"/>
          <w:spacing w:val="-11"/>
          <w:w w:val="115"/>
          <w:sz w:val="17"/>
        </w:rPr>
        <w:t> </w:t>
      </w:r>
      <w:r>
        <w:rPr>
          <w:color w:val="231F20"/>
          <w:w w:val="115"/>
          <w:sz w:val="17"/>
        </w:rPr>
        <w:t>à</w:t>
      </w:r>
      <w:r>
        <w:rPr>
          <w:color w:val="231F20"/>
          <w:spacing w:val="-11"/>
          <w:w w:val="115"/>
          <w:sz w:val="17"/>
        </w:rPr>
        <w:t> </w:t>
      </w:r>
      <w:r>
        <w:rPr>
          <w:color w:val="231F20"/>
          <w:w w:val="115"/>
          <w:sz w:val="17"/>
        </w:rPr>
        <w:t>soi</w:t>
      </w:r>
      <w:r>
        <w:rPr>
          <w:color w:val="231F20"/>
          <w:spacing w:val="-11"/>
          <w:w w:val="115"/>
          <w:sz w:val="17"/>
        </w:rPr>
        <w:t> </w:t>
      </w:r>
      <w:r>
        <w:rPr>
          <w:color w:val="231F20"/>
          <w:w w:val="115"/>
          <w:sz w:val="17"/>
        </w:rPr>
        <w:t>qu’arrivent les infortunes et les événements négatifs.</w:t>
      </w:r>
    </w:p>
    <w:p>
      <w:pPr>
        <w:spacing w:after="0" w:line="307" w:lineRule="auto"/>
        <w:jc w:val="both"/>
        <w:rPr>
          <w:sz w:val="17"/>
        </w:rPr>
        <w:sectPr>
          <w:footerReference w:type="default" r:id="rId304"/>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6"/>
        <w:jc w:val="both"/>
      </w:pPr>
      <w:r>
        <w:rPr>
          <w:color w:val="231F20"/>
          <w:spacing w:val="-2"/>
          <w:w w:val="120"/>
        </w:rPr>
        <w:t>La</w:t>
      </w:r>
      <w:r>
        <w:rPr>
          <w:color w:val="231F20"/>
          <w:spacing w:val="-7"/>
          <w:w w:val="120"/>
        </w:rPr>
        <w:t> </w:t>
      </w:r>
      <w:r>
        <w:rPr>
          <w:color w:val="231F20"/>
          <w:spacing w:val="-2"/>
          <w:w w:val="120"/>
        </w:rPr>
        <w:t>pensée</w:t>
      </w:r>
      <w:r>
        <w:rPr>
          <w:color w:val="231F20"/>
          <w:spacing w:val="-7"/>
          <w:w w:val="120"/>
        </w:rPr>
        <w:t> </w:t>
      </w:r>
      <w:r>
        <w:rPr>
          <w:color w:val="231F20"/>
          <w:spacing w:val="-2"/>
          <w:w w:val="120"/>
        </w:rPr>
        <w:t>positive,</w:t>
      </w:r>
      <w:r>
        <w:rPr>
          <w:color w:val="231F20"/>
          <w:spacing w:val="-7"/>
          <w:w w:val="120"/>
        </w:rPr>
        <w:t> </w:t>
      </w:r>
      <w:r>
        <w:rPr>
          <w:color w:val="231F20"/>
          <w:spacing w:val="-2"/>
          <w:w w:val="120"/>
        </w:rPr>
        <w:t>quant</w:t>
      </w:r>
      <w:r>
        <w:rPr>
          <w:color w:val="231F20"/>
          <w:spacing w:val="-7"/>
          <w:w w:val="120"/>
        </w:rPr>
        <w:t> </w:t>
      </w:r>
      <w:r>
        <w:rPr>
          <w:color w:val="231F20"/>
          <w:spacing w:val="-2"/>
          <w:w w:val="120"/>
        </w:rPr>
        <w:t>à</w:t>
      </w:r>
      <w:r>
        <w:rPr>
          <w:color w:val="231F20"/>
          <w:spacing w:val="-7"/>
          <w:w w:val="120"/>
        </w:rPr>
        <w:t> </w:t>
      </w:r>
      <w:r>
        <w:rPr>
          <w:color w:val="231F20"/>
          <w:spacing w:val="-2"/>
          <w:w w:val="120"/>
        </w:rPr>
        <w:t>elle,</w:t>
      </w:r>
      <w:r>
        <w:rPr>
          <w:color w:val="231F20"/>
          <w:spacing w:val="-7"/>
          <w:w w:val="120"/>
        </w:rPr>
        <w:t> </w:t>
      </w:r>
      <w:r>
        <w:rPr>
          <w:color w:val="231F20"/>
          <w:spacing w:val="-2"/>
          <w:w w:val="120"/>
        </w:rPr>
        <w:t>peut</w:t>
      </w:r>
      <w:r>
        <w:rPr>
          <w:color w:val="231F20"/>
          <w:spacing w:val="-7"/>
          <w:w w:val="120"/>
        </w:rPr>
        <w:t> </w:t>
      </w:r>
      <w:r>
        <w:rPr>
          <w:color w:val="231F20"/>
          <w:spacing w:val="-2"/>
          <w:w w:val="120"/>
        </w:rPr>
        <w:t>nous</w:t>
      </w:r>
      <w:r>
        <w:rPr>
          <w:color w:val="231F20"/>
          <w:spacing w:val="-7"/>
          <w:w w:val="120"/>
        </w:rPr>
        <w:t> </w:t>
      </w:r>
      <w:r>
        <w:rPr>
          <w:color w:val="231F20"/>
          <w:spacing w:val="-2"/>
          <w:w w:val="120"/>
        </w:rPr>
        <w:t>aider</w:t>
      </w:r>
      <w:r>
        <w:rPr>
          <w:color w:val="231F20"/>
          <w:spacing w:val="-7"/>
          <w:w w:val="120"/>
        </w:rPr>
        <w:t> </w:t>
      </w:r>
      <w:r>
        <w:rPr>
          <w:color w:val="231F20"/>
          <w:spacing w:val="-2"/>
          <w:w w:val="120"/>
        </w:rPr>
        <w:t>à</w:t>
      </w:r>
      <w:r>
        <w:rPr>
          <w:color w:val="231F20"/>
          <w:spacing w:val="-7"/>
          <w:w w:val="120"/>
        </w:rPr>
        <w:t> </w:t>
      </w:r>
      <w:r>
        <w:rPr>
          <w:color w:val="231F20"/>
          <w:spacing w:val="-2"/>
          <w:w w:val="120"/>
        </w:rPr>
        <w:t>affronter</w:t>
      </w:r>
      <w:r>
        <w:rPr>
          <w:color w:val="231F20"/>
          <w:spacing w:val="-7"/>
          <w:w w:val="120"/>
        </w:rPr>
        <w:t> </w:t>
      </w:r>
      <w:r>
        <w:rPr>
          <w:color w:val="231F20"/>
          <w:spacing w:val="-2"/>
          <w:w w:val="120"/>
        </w:rPr>
        <w:t>les</w:t>
      </w:r>
      <w:r>
        <w:rPr>
          <w:color w:val="231F20"/>
          <w:spacing w:val="-7"/>
          <w:w w:val="120"/>
        </w:rPr>
        <w:t> </w:t>
      </w:r>
      <w:r>
        <w:rPr>
          <w:color w:val="231F20"/>
          <w:spacing w:val="-2"/>
          <w:w w:val="120"/>
        </w:rPr>
        <w:t>situations </w:t>
      </w:r>
      <w:r>
        <w:rPr>
          <w:color w:val="231F20"/>
          <w:w w:val="120"/>
        </w:rPr>
        <w:t>stressantes</w:t>
      </w:r>
      <w:r>
        <w:rPr>
          <w:color w:val="231F20"/>
          <w:spacing w:val="-5"/>
          <w:w w:val="120"/>
        </w:rPr>
        <w:t> </w:t>
      </w:r>
      <w:r>
        <w:rPr>
          <w:color w:val="231F20"/>
          <w:w w:val="120"/>
        </w:rPr>
        <w:t>en</w:t>
      </w:r>
      <w:r>
        <w:rPr>
          <w:color w:val="231F20"/>
          <w:spacing w:val="-5"/>
          <w:w w:val="120"/>
        </w:rPr>
        <w:t> </w:t>
      </w:r>
      <w:r>
        <w:rPr>
          <w:color w:val="231F20"/>
          <w:w w:val="120"/>
        </w:rPr>
        <w:t>améliorant</w:t>
      </w:r>
      <w:r>
        <w:rPr>
          <w:color w:val="231F20"/>
          <w:spacing w:val="-5"/>
          <w:w w:val="120"/>
        </w:rPr>
        <w:t> </w:t>
      </w:r>
      <w:r>
        <w:rPr>
          <w:color w:val="231F20"/>
          <w:w w:val="120"/>
        </w:rPr>
        <w:t>nos</w:t>
      </w:r>
      <w:r>
        <w:rPr>
          <w:color w:val="231F20"/>
          <w:spacing w:val="-5"/>
          <w:w w:val="120"/>
        </w:rPr>
        <w:t> </w:t>
      </w:r>
      <w:r>
        <w:rPr>
          <w:color w:val="231F20"/>
          <w:w w:val="120"/>
        </w:rPr>
        <w:t>chances</w:t>
      </w:r>
      <w:r>
        <w:rPr>
          <w:color w:val="231F20"/>
          <w:spacing w:val="-5"/>
          <w:w w:val="120"/>
        </w:rPr>
        <w:t> </w:t>
      </w:r>
      <w:r>
        <w:rPr>
          <w:color w:val="231F20"/>
          <w:w w:val="120"/>
        </w:rPr>
        <w:t>d’arriver</w:t>
      </w:r>
      <w:r>
        <w:rPr>
          <w:color w:val="231F20"/>
          <w:spacing w:val="-5"/>
          <w:w w:val="120"/>
        </w:rPr>
        <w:t> </w:t>
      </w:r>
      <w:r>
        <w:rPr>
          <w:color w:val="231F20"/>
          <w:w w:val="120"/>
        </w:rPr>
        <w:t>à</w:t>
      </w:r>
      <w:r>
        <w:rPr>
          <w:color w:val="231F20"/>
          <w:spacing w:val="-5"/>
          <w:w w:val="120"/>
        </w:rPr>
        <w:t> </w:t>
      </w:r>
      <w:r>
        <w:rPr>
          <w:color w:val="231F20"/>
          <w:w w:val="120"/>
        </w:rPr>
        <w:t>maîtriser</w:t>
      </w:r>
      <w:r>
        <w:rPr>
          <w:color w:val="231F20"/>
          <w:spacing w:val="-5"/>
          <w:w w:val="120"/>
        </w:rPr>
        <w:t> </w:t>
      </w:r>
      <w:r>
        <w:rPr>
          <w:color w:val="231F20"/>
          <w:w w:val="120"/>
        </w:rPr>
        <w:t>la</w:t>
      </w:r>
      <w:r>
        <w:rPr>
          <w:color w:val="231F20"/>
          <w:spacing w:val="-5"/>
          <w:w w:val="120"/>
        </w:rPr>
        <w:t> </w:t>
      </w:r>
      <w:r>
        <w:rPr>
          <w:color w:val="231F20"/>
          <w:w w:val="120"/>
        </w:rPr>
        <w:t>situation. En voici quelques exemples:</w:t>
      </w:r>
    </w:p>
    <w:p>
      <w:pPr>
        <w:pStyle w:val="ListParagraph"/>
        <w:numPr>
          <w:ilvl w:val="0"/>
          <w:numId w:val="86"/>
        </w:numPr>
        <w:tabs>
          <w:tab w:pos="1331" w:val="left" w:leader="none"/>
        </w:tabs>
        <w:spacing w:line="307" w:lineRule="auto" w:before="80" w:after="0"/>
        <w:ind w:left="1330" w:right="494" w:hanging="251"/>
        <w:jc w:val="both"/>
        <w:rPr>
          <w:sz w:val="17"/>
        </w:rPr>
      </w:pPr>
      <w:r>
        <w:rPr>
          <w:i/>
          <w:color w:val="231F20"/>
          <w:w w:val="120"/>
          <w:sz w:val="17"/>
        </w:rPr>
        <w:t>La</w:t>
      </w:r>
      <w:r>
        <w:rPr>
          <w:i/>
          <w:color w:val="231F20"/>
          <w:spacing w:val="-1"/>
          <w:w w:val="120"/>
          <w:sz w:val="17"/>
        </w:rPr>
        <w:t> </w:t>
      </w:r>
      <w:r>
        <w:rPr>
          <w:i/>
          <w:color w:val="231F20"/>
          <w:w w:val="120"/>
          <w:sz w:val="17"/>
        </w:rPr>
        <w:t>minimisation</w:t>
      </w:r>
      <w:r>
        <w:rPr>
          <w:color w:val="231F20"/>
          <w:w w:val="120"/>
          <w:sz w:val="17"/>
        </w:rPr>
        <w:t>.</w:t>
      </w:r>
      <w:r>
        <w:rPr>
          <w:color w:val="231F20"/>
          <w:spacing w:val="-1"/>
          <w:w w:val="120"/>
          <w:sz w:val="17"/>
        </w:rPr>
        <w:t> </w:t>
      </w:r>
      <w:r>
        <w:rPr>
          <w:color w:val="231F20"/>
          <w:w w:val="120"/>
          <w:sz w:val="17"/>
        </w:rPr>
        <w:t>Relativiser</w:t>
      </w:r>
      <w:r>
        <w:rPr>
          <w:color w:val="231F20"/>
          <w:spacing w:val="-1"/>
          <w:w w:val="120"/>
          <w:sz w:val="17"/>
        </w:rPr>
        <w:t> </w:t>
      </w:r>
      <w:r>
        <w:rPr>
          <w:color w:val="231F20"/>
          <w:w w:val="120"/>
          <w:sz w:val="17"/>
        </w:rPr>
        <w:t>l’importance</w:t>
      </w:r>
      <w:r>
        <w:rPr>
          <w:color w:val="231F20"/>
          <w:spacing w:val="-1"/>
          <w:w w:val="120"/>
          <w:sz w:val="17"/>
        </w:rPr>
        <w:t> </w:t>
      </w:r>
      <w:r>
        <w:rPr>
          <w:color w:val="231F20"/>
          <w:w w:val="120"/>
          <w:sz w:val="17"/>
        </w:rPr>
        <w:t>des</w:t>
      </w:r>
      <w:r>
        <w:rPr>
          <w:color w:val="231F20"/>
          <w:spacing w:val="-1"/>
          <w:w w:val="120"/>
          <w:sz w:val="17"/>
        </w:rPr>
        <w:t> </w:t>
      </w:r>
      <w:r>
        <w:rPr>
          <w:color w:val="231F20"/>
          <w:w w:val="120"/>
          <w:sz w:val="17"/>
        </w:rPr>
        <w:t>conséquences</w:t>
      </w:r>
      <w:r>
        <w:rPr>
          <w:color w:val="231F20"/>
          <w:spacing w:val="-1"/>
          <w:w w:val="120"/>
          <w:sz w:val="17"/>
        </w:rPr>
        <w:t> </w:t>
      </w:r>
      <w:r>
        <w:rPr>
          <w:color w:val="231F20"/>
          <w:w w:val="120"/>
          <w:sz w:val="17"/>
        </w:rPr>
        <w:t>qui </w:t>
      </w:r>
      <w:r>
        <w:rPr>
          <w:color w:val="231F20"/>
          <w:spacing w:val="-2"/>
          <w:w w:val="120"/>
          <w:sz w:val="17"/>
        </w:rPr>
        <w:t>résultent</w:t>
      </w:r>
      <w:r>
        <w:rPr>
          <w:color w:val="231F20"/>
          <w:spacing w:val="-11"/>
          <w:w w:val="120"/>
          <w:sz w:val="17"/>
        </w:rPr>
        <w:t> </w:t>
      </w:r>
      <w:r>
        <w:rPr>
          <w:color w:val="231F20"/>
          <w:spacing w:val="-2"/>
          <w:w w:val="120"/>
          <w:sz w:val="17"/>
        </w:rPr>
        <w:t>du</w:t>
      </w:r>
      <w:r>
        <w:rPr>
          <w:color w:val="231F20"/>
          <w:spacing w:val="-11"/>
          <w:w w:val="120"/>
          <w:sz w:val="17"/>
        </w:rPr>
        <w:t> </w:t>
      </w:r>
      <w:r>
        <w:rPr>
          <w:color w:val="231F20"/>
          <w:spacing w:val="-2"/>
          <w:w w:val="120"/>
          <w:sz w:val="17"/>
        </w:rPr>
        <w:t>problème</w:t>
      </w:r>
      <w:r>
        <w:rPr>
          <w:color w:val="231F20"/>
          <w:spacing w:val="-11"/>
          <w:w w:val="120"/>
          <w:sz w:val="17"/>
        </w:rPr>
        <w:t> </w:t>
      </w:r>
      <w:r>
        <w:rPr>
          <w:color w:val="231F20"/>
          <w:spacing w:val="-2"/>
          <w:w w:val="120"/>
          <w:sz w:val="17"/>
        </w:rPr>
        <w:t>ou</w:t>
      </w:r>
      <w:r>
        <w:rPr>
          <w:color w:val="231F20"/>
          <w:spacing w:val="-10"/>
          <w:w w:val="120"/>
          <w:sz w:val="17"/>
        </w:rPr>
        <w:t> </w:t>
      </w:r>
      <w:r>
        <w:rPr>
          <w:color w:val="231F20"/>
          <w:spacing w:val="-2"/>
          <w:w w:val="120"/>
          <w:sz w:val="17"/>
        </w:rPr>
        <w:t>de</w:t>
      </w:r>
      <w:r>
        <w:rPr>
          <w:color w:val="231F20"/>
          <w:spacing w:val="-11"/>
          <w:w w:val="120"/>
          <w:sz w:val="17"/>
        </w:rPr>
        <w:t> </w:t>
      </w:r>
      <w:r>
        <w:rPr>
          <w:color w:val="231F20"/>
          <w:spacing w:val="-2"/>
          <w:w w:val="120"/>
          <w:sz w:val="17"/>
        </w:rPr>
        <w:t>la</w:t>
      </w:r>
      <w:r>
        <w:rPr>
          <w:color w:val="231F20"/>
          <w:spacing w:val="-11"/>
          <w:w w:val="120"/>
          <w:sz w:val="17"/>
        </w:rPr>
        <w:t> </w:t>
      </w:r>
      <w:r>
        <w:rPr>
          <w:color w:val="231F20"/>
          <w:spacing w:val="-2"/>
          <w:w w:val="120"/>
          <w:sz w:val="17"/>
        </w:rPr>
        <w:t>situation</w:t>
      </w:r>
      <w:r>
        <w:rPr>
          <w:color w:val="231F20"/>
          <w:spacing w:val="-11"/>
          <w:w w:val="120"/>
          <w:sz w:val="17"/>
        </w:rPr>
        <w:t> </w:t>
      </w:r>
      <w:r>
        <w:rPr>
          <w:color w:val="231F20"/>
          <w:spacing w:val="-2"/>
          <w:w w:val="120"/>
          <w:sz w:val="17"/>
        </w:rPr>
        <w:t>qui</w:t>
      </w:r>
      <w:r>
        <w:rPr>
          <w:color w:val="231F20"/>
          <w:spacing w:val="-10"/>
          <w:w w:val="120"/>
          <w:sz w:val="17"/>
        </w:rPr>
        <w:t> </w:t>
      </w:r>
      <w:r>
        <w:rPr>
          <w:color w:val="231F20"/>
          <w:spacing w:val="-2"/>
          <w:w w:val="120"/>
          <w:sz w:val="17"/>
        </w:rPr>
        <w:t>génère</w:t>
      </w:r>
      <w:r>
        <w:rPr>
          <w:color w:val="231F20"/>
          <w:spacing w:val="-11"/>
          <w:w w:val="120"/>
          <w:sz w:val="17"/>
        </w:rPr>
        <w:t> </w:t>
      </w:r>
      <w:r>
        <w:rPr>
          <w:color w:val="231F20"/>
          <w:spacing w:val="-2"/>
          <w:w w:val="120"/>
          <w:sz w:val="17"/>
        </w:rPr>
        <w:t>le</w:t>
      </w:r>
      <w:r>
        <w:rPr>
          <w:color w:val="231F20"/>
          <w:spacing w:val="-11"/>
          <w:w w:val="120"/>
          <w:sz w:val="17"/>
        </w:rPr>
        <w:t> </w:t>
      </w:r>
      <w:r>
        <w:rPr>
          <w:color w:val="231F20"/>
          <w:spacing w:val="-2"/>
          <w:w w:val="120"/>
          <w:sz w:val="17"/>
        </w:rPr>
        <w:t>stress.</w:t>
      </w:r>
      <w:r>
        <w:rPr>
          <w:color w:val="231F20"/>
          <w:spacing w:val="-11"/>
          <w:w w:val="120"/>
          <w:sz w:val="17"/>
        </w:rPr>
        <w:t> </w:t>
      </w:r>
      <w:r>
        <w:rPr>
          <w:color w:val="231F20"/>
          <w:spacing w:val="-2"/>
          <w:w w:val="120"/>
          <w:sz w:val="17"/>
        </w:rPr>
        <w:t>Est-ce </w:t>
      </w:r>
      <w:r>
        <w:rPr>
          <w:color w:val="231F20"/>
          <w:w w:val="120"/>
          <w:sz w:val="17"/>
        </w:rPr>
        <w:t>que le pire des scénarios est vraiment si dramatique que cela?</w:t>
      </w:r>
    </w:p>
    <w:p>
      <w:pPr>
        <w:pStyle w:val="ListParagraph"/>
        <w:numPr>
          <w:ilvl w:val="0"/>
          <w:numId w:val="86"/>
        </w:numPr>
        <w:tabs>
          <w:tab w:pos="1331" w:val="left" w:leader="none"/>
        </w:tabs>
        <w:spacing w:line="307" w:lineRule="auto" w:before="0" w:after="0"/>
        <w:ind w:left="1330" w:right="495" w:hanging="251"/>
        <w:jc w:val="both"/>
        <w:rPr>
          <w:sz w:val="17"/>
        </w:rPr>
      </w:pPr>
      <w:r>
        <w:rPr>
          <w:i/>
          <w:color w:val="231F20"/>
          <w:spacing w:val="-2"/>
          <w:w w:val="120"/>
          <w:sz w:val="17"/>
        </w:rPr>
        <w:t>La</w:t>
      </w:r>
      <w:r>
        <w:rPr>
          <w:i/>
          <w:color w:val="231F20"/>
          <w:spacing w:val="-4"/>
          <w:w w:val="120"/>
          <w:sz w:val="17"/>
        </w:rPr>
        <w:t> </w:t>
      </w:r>
      <w:r>
        <w:rPr>
          <w:i/>
          <w:color w:val="231F20"/>
          <w:spacing w:val="-2"/>
          <w:w w:val="120"/>
          <w:sz w:val="17"/>
        </w:rPr>
        <w:t>distanciation</w:t>
      </w:r>
      <w:r>
        <w:rPr>
          <w:color w:val="231F20"/>
          <w:spacing w:val="-2"/>
          <w:w w:val="120"/>
          <w:sz w:val="17"/>
        </w:rPr>
        <w:t>.</w:t>
      </w:r>
      <w:r>
        <w:rPr>
          <w:color w:val="231F20"/>
          <w:spacing w:val="-4"/>
          <w:w w:val="120"/>
          <w:sz w:val="17"/>
        </w:rPr>
        <w:t> </w:t>
      </w:r>
      <w:r>
        <w:rPr>
          <w:color w:val="231F20"/>
          <w:spacing w:val="-2"/>
          <w:w w:val="120"/>
          <w:sz w:val="17"/>
        </w:rPr>
        <w:t>Reconnaître</w:t>
      </w:r>
      <w:r>
        <w:rPr>
          <w:color w:val="231F20"/>
          <w:spacing w:val="-4"/>
          <w:w w:val="120"/>
          <w:sz w:val="17"/>
        </w:rPr>
        <w:t> </w:t>
      </w:r>
      <w:r>
        <w:rPr>
          <w:color w:val="231F20"/>
          <w:spacing w:val="-2"/>
          <w:w w:val="120"/>
          <w:sz w:val="17"/>
        </w:rPr>
        <w:t>que</w:t>
      </w:r>
      <w:r>
        <w:rPr>
          <w:color w:val="231F20"/>
          <w:spacing w:val="-4"/>
          <w:w w:val="120"/>
          <w:sz w:val="17"/>
        </w:rPr>
        <w:t> </w:t>
      </w:r>
      <w:r>
        <w:rPr>
          <w:color w:val="231F20"/>
          <w:spacing w:val="-2"/>
          <w:w w:val="120"/>
          <w:sz w:val="17"/>
        </w:rPr>
        <w:t>dans</w:t>
      </w:r>
      <w:r>
        <w:rPr>
          <w:color w:val="231F20"/>
          <w:spacing w:val="-4"/>
          <w:w w:val="120"/>
          <w:sz w:val="17"/>
        </w:rPr>
        <w:t> </w:t>
      </w:r>
      <w:r>
        <w:rPr>
          <w:color w:val="231F20"/>
          <w:spacing w:val="-2"/>
          <w:w w:val="120"/>
          <w:sz w:val="17"/>
        </w:rPr>
        <w:t>toutes</w:t>
      </w:r>
      <w:r>
        <w:rPr>
          <w:color w:val="231F20"/>
          <w:spacing w:val="-4"/>
          <w:w w:val="120"/>
          <w:sz w:val="17"/>
        </w:rPr>
        <w:t> </w:t>
      </w:r>
      <w:r>
        <w:rPr>
          <w:color w:val="231F20"/>
          <w:spacing w:val="-2"/>
          <w:w w:val="120"/>
          <w:sz w:val="17"/>
        </w:rPr>
        <w:t>les</w:t>
      </w:r>
      <w:r>
        <w:rPr>
          <w:color w:val="231F20"/>
          <w:spacing w:val="-4"/>
          <w:w w:val="120"/>
          <w:sz w:val="17"/>
        </w:rPr>
        <w:t> </w:t>
      </w:r>
      <w:r>
        <w:rPr>
          <w:color w:val="231F20"/>
          <w:spacing w:val="-2"/>
          <w:w w:val="120"/>
          <w:sz w:val="17"/>
        </w:rPr>
        <w:t>situations,</w:t>
      </w:r>
      <w:r>
        <w:rPr>
          <w:color w:val="231F20"/>
          <w:spacing w:val="-4"/>
          <w:w w:val="120"/>
          <w:sz w:val="17"/>
        </w:rPr>
        <w:t> </w:t>
      </w:r>
      <w:r>
        <w:rPr>
          <w:color w:val="231F20"/>
          <w:spacing w:val="-2"/>
          <w:w w:val="120"/>
          <w:sz w:val="17"/>
        </w:rPr>
        <w:t>notre </w:t>
      </w:r>
      <w:r>
        <w:rPr>
          <w:color w:val="231F20"/>
          <w:w w:val="120"/>
          <w:sz w:val="17"/>
        </w:rPr>
        <w:t>responsabilité</w:t>
      </w:r>
      <w:r>
        <w:rPr>
          <w:color w:val="231F20"/>
          <w:spacing w:val="-15"/>
          <w:w w:val="120"/>
          <w:sz w:val="17"/>
        </w:rPr>
        <w:t> </w:t>
      </w:r>
      <w:r>
        <w:rPr>
          <w:color w:val="231F20"/>
          <w:w w:val="120"/>
          <w:sz w:val="17"/>
        </w:rPr>
        <w:t>n’est</w:t>
      </w:r>
      <w:r>
        <w:rPr>
          <w:color w:val="231F20"/>
          <w:spacing w:val="-13"/>
          <w:w w:val="120"/>
          <w:sz w:val="17"/>
        </w:rPr>
        <w:t> </w:t>
      </w:r>
      <w:r>
        <w:rPr>
          <w:color w:val="231F20"/>
          <w:w w:val="120"/>
          <w:sz w:val="17"/>
        </w:rPr>
        <w:t>jamais</w:t>
      </w:r>
      <w:r>
        <w:rPr>
          <w:color w:val="231F20"/>
          <w:spacing w:val="-13"/>
          <w:w w:val="120"/>
          <w:sz w:val="17"/>
        </w:rPr>
        <w:t> </w:t>
      </w:r>
      <w:r>
        <w:rPr>
          <w:color w:val="231F20"/>
          <w:w w:val="120"/>
          <w:sz w:val="17"/>
        </w:rPr>
        <w:t>totale</w:t>
      </w:r>
      <w:r>
        <w:rPr>
          <w:color w:val="231F20"/>
          <w:spacing w:val="-12"/>
          <w:w w:val="120"/>
          <w:sz w:val="17"/>
        </w:rPr>
        <w:t> </w:t>
      </w:r>
      <w:r>
        <w:rPr>
          <w:color w:val="231F20"/>
          <w:w w:val="120"/>
          <w:sz w:val="17"/>
        </w:rPr>
        <w:t>et</w:t>
      </w:r>
      <w:r>
        <w:rPr>
          <w:color w:val="231F20"/>
          <w:spacing w:val="-13"/>
          <w:w w:val="120"/>
          <w:sz w:val="17"/>
        </w:rPr>
        <w:t> </w:t>
      </w:r>
      <w:r>
        <w:rPr>
          <w:color w:val="231F20"/>
          <w:w w:val="120"/>
          <w:sz w:val="17"/>
        </w:rPr>
        <w:t>notre</w:t>
      </w:r>
      <w:r>
        <w:rPr>
          <w:color w:val="231F20"/>
          <w:spacing w:val="-13"/>
          <w:w w:val="120"/>
          <w:sz w:val="17"/>
        </w:rPr>
        <w:t> </w:t>
      </w:r>
      <w:r>
        <w:rPr>
          <w:color w:val="231F20"/>
          <w:w w:val="120"/>
          <w:sz w:val="17"/>
        </w:rPr>
        <w:t>contrôle</w:t>
      </w:r>
      <w:r>
        <w:rPr>
          <w:color w:val="231F20"/>
          <w:spacing w:val="-13"/>
          <w:w w:val="120"/>
          <w:sz w:val="17"/>
        </w:rPr>
        <w:t> </w:t>
      </w:r>
      <w:r>
        <w:rPr>
          <w:color w:val="231F20"/>
          <w:w w:val="120"/>
          <w:sz w:val="17"/>
        </w:rPr>
        <w:t>souvent</w:t>
      </w:r>
      <w:r>
        <w:rPr>
          <w:color w:val="231F20"/>
          <w:spacing w:val="-12"/>
          <w:w w:val="120"/>
          <w:sz w:val="17"/>
        </w:rPr>
        <w:t> </w:t>
      </w:r>
      <w:r>
        <w:rPr>
          <w:color w:val="231F20"/>
          <w:w w:val="120"/>
          <w:sz w:val="17"/>
        </w:rPr>
        <w:t>limité.</w:t>
      </w:r>
    </w:p>
    <w:p>
      <w:pPr>
        <w:pStyle w:val="ListParagraph"/>
        <w:numPr>
          <w:ilvl w:val="0"/>
          <w:numId w:val="86"/>
        </w:numPr>
        <w:tabs>
          <w:tab w:pos="1331" w:val="left" w:leader="none"/>
        </w:tabs>
        <w:spacing w:line="307" w:lineRule="auto" w:before="0" w:after="0"/>
        <w:ind w:left="1330" w:right="500" w:hanging="251"/>
        <w:jc w:val="both"/>
        <w:rPr>
          <w:sz w:val="17"/>
        </w:rPr>
      </w:pPr>
      <w:r>
        <w:rPr>
          <w:i/>
          <w:color w:val="231F20"/>
          <w:spacing w:val="-2"/>
          <w:w w:val="120"/>
          <w:sz w:val="17"/>
        </w:rPr>
        <w:t>L’attention sélective</w:t>
      </w:r>
      <w:r>
        <w:rPr>
          <w:color w:val="231F20"/>
          <w:spacing w:val="-2"/>
          <w:w w:val="120"/>
          <w:sz w:val="17"/>
        </w:rPr>
        <w:t>. Centrer son attention sur les aspects positifs </w:t>
      </w:r>
      <w:r>
        <w:rPr>
          <w:color w:val="231F20"/>
          <w:w w:val="120"/>
          <w:sz w:val="17"/>
        </w:rPr>
        <w:t>du</w:t>
      </w:r>
      <w:r>
        <w:rPr>
          <w:color w:val="231F20"/>
          <w:spacing w:val="-13"/>
          <w:w w:val="120"/>
          <w:sz w:val="17"/>
        </w:rPr>
        <w:t> </w:t>
      </w:r>
      <w:r>
        <w:rPr>
          <w:color w:val="231F20"/>
          <w:w w:val="120"/>
          <w:sz w:val="17"/>
        </w:rPr>
        <w:t>problème.</w:t>
      </w:r>
    </w:p>
    <w:p>
      <w:pPr>
        <w:pStyle w:val="ListParagraph"/>
        <w:numPr>
          <w:ilvl w:val="0"/>
          <w:numId w:val="86"/>
        </w:numPr>
        <w:tabs>
          <w:tab w:pos="1331" w:val="left" w:leader="none"/>
        </w:tabs>
        <w:spacing w:line="307" w:lineRule="auto" w:before="0" w:after="0"/>
        <w:ind w:left="1330" w:right="496" w:hanging="251"/>
        <w:jc w:val="both"/>
        <w:rPr>
          <w:sz w:val="17"/>
        </w:rPr>
      </w:pPr>
      <w:r>
        <w:rPr>
          <w:i/>
          <w:color w:val="231F20"/>
          <w:w w:val="115"/>
          <w:sz w:val="17"/>
        </w:rPr>
        <w:t>Les comparaisons positives</w:t>
      </w:r>
      <w:r>
        <w:rPr>
          <w:color w:val="231F20"/>
          <w:w w:val="115"/>
          <w:sz w:val="17"/>
        </w:rPr>
        <w:t>. Induire la satisfaction au moyen d’un </w:t>
      </w:r>
      <w:r>
        <w:rPr>
          <w:color w:val="231F20"/>
          <w:w w:val="120"/>
          <w:sz w:val="17"/>
        </w:rPr>
        <w:t>mécanisme fondé sur la mise en contraste des différences.</w:t>
      </w:r>
    </w:p>
    <w:p>
      <w:pPr>
        <w:pStyle w:val="ListParagraph"/>
        <w:numPr>
          <w:ilvl w:val="0"/>
          <w:numId w:val="86"/>
        </w:numPr>
        <w:tabs>
          <w:tab w:pos="1331" w:val="left" w:leader="none"/>
        </w:tabs>
        <w:spacing w:line="307" w:lineRule="auto" w:before="0" w:after="0"/>
        <w:ind w:left="1330" w:right="497" w:hanging="251"/>
        <w:jc w:val="both"/>
        <w:rPr>
          <w:sz w:val="17"/>
        </w:rPr>
      </w:pPr>
      <w:r>
        <w:rPr>
          <w:i/>
          <w:color w:val="231F20"/>
          <w:w w:val="115"/>
          <w:sz w:val="17"/>
        </w:rPr>
        <w:t>La</w:t>
      </w:r>
      <w:r>
        <w:rPr>
          <w:i/>
          <w:color w:val="231F20"/>
          <w:spacing w:val="-2"/>
          <w:w w:val="115"/>
          <w:sz w:val="17"/>
        </w:rPr>
        <w:t> </w:t>
      </w:r>
      <w:r>
        <w:rPr>
          <w:i/>
          <w:color w:val="231F20"/>
          <w:w w:val="115"/>
          <w:sz w:val="17"/>
        </w:rPr>
        <w:t>mise</w:t>
      </w:r>
      <w:r>
        <w:rPr>
          <w:i/>
          <w:color w:val="231F20"/>
          <w:spacing w:val="-2"/>
          <w:w w:val="115"/>
          <w:sz w:val="17"/>
        </w:rPr>
        <w:t> </w:t>
      </w:r>
      <w:r>
        <w:rPr>
          <w:i/>
          <w:color w:val="231F20"/>
          <w:w w:val="115"/>
          <w:sz w:val="17"/>
        </w:rPr>
        <w:t>en</w:t>
      </w:r>
      <w:r>
        <w:rPr>
          <w:i/>
          <w:color w:val="231F20"/>
          <w:spacing w:val="-2"/>
          <w:w w:val="115"/>
          <w:sz w:val="17"/>
        </w:rPr>
        <w:t> </w:t>
      </w:r>
      <w:r>
        <w:rPr>
          <w:i/>
          <w:color w:val="231F20"/>
          <w:w w:val="115"/>
          <w:sz w:val="17"/>
        </w:rPr>
        <w:t>relief</w:t>
      </w:r>
      <w:r>
        <w:rPr>
          <w:i/>
          <w:color w:val="231F20"/>
          <w:spacing w:val="-2"/>
          <w:w w:val="115"/>
          <w:sz w:val="17"/>
        </w:rPr>
        <w:t> </w:t>
      </w:r>
      <w:r>
        <w:rPr>
          <w:i/>
          <w:color w:val="231F20"/>
          <w:w w:val="115"/>
          <w:sz w:val="17"/>
        </w:rPr>
        <w:t>des</w:t>
      </w:r>
      <w:r>
        <w:rPr>
          <w:i/>
          <w:color w:val="231F20"/>
          <w:spacing w:val="-2"/>
          <w:w w:val="115"/>
          <w:sz w:val="17"/>
        </w:rPr>
        <w:t> </w:t>
      </w:r>
      <w:r>
        <w:rPr>
          <w:i/>
          <w:color w:val="231F20"/>
          <w:w w:val="115"/>
          <w:sz w:val="17"/>
        </w:rPr>
        <w:t>aspects</w:t>
      </w:r>
      <w:r>
        <w:rPr>
          <w:i/>
          <w:color w:val="231F20"/>
          <w:spacing w:val="-2"/>
          <w:w w:val="115"/>
          <w:sz w:val="17"/>
        </w:rPr>
        <w:t> </w:t>
      </w:r>
      <w:r>
        <w:rPr>
          <w:i/>
          <w:color w:val="231F20"/>
          <w:w w:val="115"/>
          <w:sz w:val="17"/>
        </w:rPr>
        <w:t>positifs</w:t>
      </w:r>
      <w:r>
        <w:rPr>
          <w:color w:val="231F20"/>
          <w:w w:val="115"/>
          <w:sz w:val="17"/>
        </w:rPr>
        <w:t>.</w:t>
      </w:r>
      <w:r>
        <w:rPr>
          <w:color w:val="231F20"/>
          <w:spacing w:val="-2"/>
          <w:w w:val="115"/>
          <w:sz w:val="17"/>
        </w:rPr>
        <w:t> </w:t>
      </w:r>
      <w:r>
        <w:rPr>
          <w:color w:val="231F20"/>
          <w:w w:val="115"/>
          <w:sz w:val="17"/>
        </w:rPr>
        <w:t>Toute</w:t>
      </w:r>
      <w:r>
        <w:rPr>
          <w:color w:val="231F20"/>
          <w:spacing w:val="-2"/>
          <w:w w:val="115"/>
          <w:sz w:val="17"/>
        </w:rPr>
        <w:t> </w:t>
      </w:r>
      <w:r>
        <w:rPr>
          <w:color w:val="231F20"/>
          <w:w w:val="115"/>
          <w:sz w:val="17"/>
        </w:rPr>
        <w:t>situation</w:t>
      </w:r>
      <w:r>
        <w:rPr>
          <w:color w:val="231F20"/>
          <w:spacing w:val="-2"/>
          <w:w w:val="115"/>
          <w:sz w:val="17"/>
        </w:rPr>
        <w:t> </w:t>
      </w:r>
      <w:r>
        <w:rPr>
          <w:color w:val="231F20"/>
          <w:w w:val="115"/>
          <w:sz w:val="17"/>
        </w:rPr>
        <w:t>négative</w:t>
      </w:r>
      <w:r>
        <w:rPr>
          <w:color w:val="231F20"/>
          <w:spacing w:val="-2"/>
          <w:w w:val="115"/>
          <w:sz w:val="17"/>
        </w:rPr>
        <w:t> </w:t>
      </w:r>
      <w:r>
        <w:rPr>
          <w:color w:val="231F20"/>
          <w:w w:val="115"/>
          <w:sz w:val="17"/>
        </w:rPr>
        <w:t>peut </w:t>
      </w:r>
      <w:r>
        <w:rPr>
          <w:color w:val="231F20"/>
          <w:w w:val="120"/>
          <w:sz w:val="17"/>
        </w:rPr>
        <w:t>maintenant ou ultérieurement comporter des aspects positifs. Il faut</w:t>
      </w:r>
      <w:r>
        <w:rPr>
          <w:color w:val="231F20"/>
          <w:spacing w:val="-2"/>
          <w:w w:val="120"/>
          <w:sz w:val="17"/>
        </w:rPr>
        <w:t> </w:t>
      </w:r>
      <w:r>
        <w:rPr>
          <w:color w:val="231F20"/>
          <w:w w:val="120"/>
          <w:sz w:val="17"/>
        </w:rPr>
        <w:t>concentrer</w:t>
      </w:r>
      <w:r>
        <w:rPr>
          <w:color w:val="231F20"/>
          <w:spacing w:val="-2"/>
          <w:w w:val="120"/>
          <w:sz w:val="17"/>
        </w:rPr>
        <w:t> </w:t>
      </w:r>
      <w:r>
        <w:rPr>
          <w:color w:val="231F20"/>
          <w:w w:val="120"/>
          <w:sz w:val="17"/>
        </w:rPr>
        <w:t>notre</w:t>
      </w:r>
      <w:r>
        <w:rPr>
          <w:color w:val="231F20"/>
          <w:spacing w:val="-2"/>
          <w:w w:val="120"/>
          <w:sz w:val="17"/>
        </w:rPr>
        <w:t> </w:t>
      </w:r>
      <w:r>
        <w:rPr>
          <w:color w:val="231F20"/>
          <w:w w:val="120"/>
          <w:sz w:val="17"/>
        </w:rPr>
        <w:t>attention</w:t>
      </w:r>
      <w:r>
        <w:rPr>
          <w:color w:val="231F20"/>
          <w:spacing w:val="-2"/>
          <w:w w:val="120"/>
          <w:sz w:val="17"/>
        </w:rPr>
        <w:t> </w:t>
      </w:r>
      <w:r>
        <w:rPr>
          <w:color w:val="231F20"/>
          <w:w w:val="120"/>
          <w:sz w:val="17"/>
        </w:rPr>
        <w:t>sur</w:t>
      </w:r>
      <w:r>
        <w:rPr>
          <w:color w:val="231F20"/>
          <w:spacing w:val="-2"/>
          <w:w w:val="120"/>
          <w:sz w:val="17"/>
        </w:rPr>
        <w:t> </w:t>
      </w:r>
      <w:r>
        <w:rPr>
          <w:color w:val="231F20"/>
          <w:w w:val="120"/>
          <w:sz w:val="17"/>
        </w:rPr>
        <w:t>les</w:t>
      </w:r>
      <w:r>
        <w:rPr>
          <w:color w:val="231F20"/>
          <w:spacing w:val="-2"/>
          <w:w w:val="120"/>
          <w:sz w:val="17"/>
        </w:rPr>
        <w:t> </w:t>
      </w:r>
      <w:r>
        <w:rPr>
          <w:color w:val="231F20"/>
          <w:w w:val="120"/>
          <w:sz w:val="17"/>
        </w:rPr>
        <w:t>dimensions</w:t>
      </w:r>
      <w:r>
        <w:rPr>
          <w:color w:val="231F20"/>
          <w:spacing w:val="-2"/>
          <w:w w:val="120"/>
          <w:sz w:val="17"/>
        </w:rPr>
        <w:t> </w:t>
      </w:r>
      <w:r>
        <w:rPr>
          <w:color w:val="231F20"/>
          <w:w w:val="120"/>
          <w:sz w:val="17"/>
        </w:rPr>
        <w:t>positives</w:t>
      </w:r>
      <w:r>
        <w:rPr>
          <w:color w:val="231F20"/>
          <w:spacing w:val="-2"/>
          <w:w w:val="120"/>
          <w:sz w:val="17"/>
        </w:rPr>
        <w:t> </w:t>
      </w:r>
      <w:r>
        <w:rPr>
          <w:color w:val="231F20"/>
          <w:w w:val="120"/>
          <w:sz w:val="17"/>
        </w:rPr>
        <w:t>d’un événement</w:t>
      </w:r>
      <w:r>
        <w:rPr>
          <w:color w:val="231F20"/>
          <w:spacing w:val="-13"/>
          <w:w w:val="120"/>
          <w:sz w:val="17"/>
        </w:rPr>
        <w:t> </w:t>
      </w:r>
      <w:r>
        <w:rPr>
          <w:color w:val="231F20"/>
          <w:w w:val="120"/>
          <w:sz w:val="17"/>
        </w:rPr>
        <w:t>négatif.</w:t>
      </w:r>
    </w:p>
    <w:p>
      <w:pPr>
        <w:pStyle w:val="BodyText"/>
        <w:spacing w:before="6"/>
        <w:rPr>
          <w:sz w:val="21"/>
        </w:rPr>
      </w:pPr>
    </w:p>
    <w:p>
      <w:pPr>
        <w:pStyle w:val="BodyText"/>
        <w:spacing w:line="307" w:lineRule="auto"/>
        <w:ind w:left="830" w:right="496"/>
        <w:jc w:val="both"/>
      </w:pPr>
      <w:r>
        <w:rPr>
          <w:b/>
          <w:color w:val="231F20"/>
          <w:w w:val="115"/>
        </w:rPr>
        <w:t>Recherche de soutien social</w:t>
      </w:r>
      <w:r>
        <w:rPr>
          <w:color w:val="231F20"/>
          <w:w w:val="115"/>
        </w:rPr>
        <w:t>. Beaucoup de gens ont tendance, quand ils </w:t>
      </w:r>
      <w:r>
        <w:rPr>
          <w:color w:val="231F20"/>
          <w:w w:val="120"/>
        </w:rPr>
        <w:t>sont</w:t>
      </w:r>
      <w:r>
        <w:rPr>
          <w:color w:val="231F20"/>
          <w:spacing w:val="-9"/>
          <w:w w:val="120"/>
        </w:rPr>
        <w:t> </w:t>
      </w:r>
      <w:r>
        <w:rPr>
          <w:color w:val="231F20"/>
          <w:w w:val="120"/>
        </w:rPr>
        <w:t>stressés,</w:t>
      </w:r>
      <w:r>
        <w:rPr>
          <w:color w:val="231F20"/>
          <w:spacing w:val="-9"/>
          <w:w w:val="120"/>
        </w:rPr>
        <w:t> </w:t>
      </w:r>
      <w:r>
        <w:rPr>
          <w:color w:val="231F20"/>
          <w:w w:val="120"/>
        </w:rPr>
        <w:t>à</w:t>
      </w:r>
      <w:r>
        <w:rPr>
          <w:color w:val="231F20"/>
          <w:spacing w:val="-9"/>
          <w:w w:val="120"/>
        </w:rPr>
        <w:t> </w:t>
      </w:r>
      <w:r>
        <w:rPr>
          <w:color w:val="231F20"/>
          <w:w w:val="120"/>
        </w:rPr>
        <w:t>s’isoler</w:t>
      </w:r>
      <w:r>
        <w:rPr>
          <w:color w:val="231F20"/>
          <w:spacing w:val="-9"/>
          <w:w w:val="120"/>
        </w:rPr>
        <w:t> </w:t>
      </w:r>
      <w:r>
        <w:rPr>
          <w:color w:val="231F20"/>
          <w:w w:val="120"/>
        </w:rPr>
        <w:t>et</w:t>
      </w:r>
      <w:r>
        <w:rPr>
          <w:color w:val="231F20"/>
          <w:spacing w:val="-9"/>
          <w:w w:val="120"/>
        </w:rPr>
        <w:t> </w:t>
      </w:r>
      <w:r>
        <w:rPr>
          <w:color w:val="231F20"/>
          <w:w w:val="120"/>
        </w:rPr>
        <w:t>à</w:t>
      </w:r>
      <w:r>
        <w:rPr>
          <w:color w:val="231F20"/>
          <w:spacing w:val="-9"/>
          <w:w w:val="120"/>
        </w:rPr>
        <w:t> </w:t>
      </w:r>
      <w:r>
        <w:rPr>
          <w:color w:val="231F20"/>
          <w:w w:val="120"/>
        </w:rPr>
        <w:t>mettre</w:t>
      </w:r>
      <w:r>
        <w:rPr>
          <w:color w:val="231F20"/>
          <w:spacing w:val="-9"/>
          <w:w w:val="120"/>
        </w:rPr>
        <w:t> </w:t>
      </w:r>
      <w:r>
        <w:rPr>
          <w:color w:val="231F20"/>
          <w:w w:val="120"/>
        </w:rPr>
        <w:t>de</w:t>
      </w:r>
      <w:r>
        <w:rPr>
          <w:color w:val="231F20"/>
          <w:spacing w:val="-9"/>
          <w:w w:val="120"/>
        </w:rPr>
        <w:t> </w:t>
      </w:r>
      <w:r>
        <w:rPr>
          <w:color w:val="231F20"/>
          <w:w w:val="120"/>
        </w:rPr>
        <w:t>côté</w:t>
      </w:r>
      <w:r>
        <w:rPr>
          <w:color w:val="231F20"/>
          <w:spacing w:val="-9"/>
          <w:w w:val="120"/>
        </w:rPr>
        <w:t> </w:t>
      </w:r>
      <w:r>
        <w:rPr>
          <w:color w:val="231F20"/>
          <w:w w:val="120"/>
        </w:rPr>
        <w:t>la</w:t>
      </w:r>
      <w:r>
        <w:rPr>
          <w:color w:val="231F20"/>
          <w:spacing w:val="-9"/>
          <w:w w:val="120"/>
        </w:rPr>
        <w:t> </w:t>
      </w:r>
      <w:r>
        <w:rPr>
          <w:color w:val="231F20"/>
          <w:w w:val="120"/>
        </w:rPr>
        <w:t>famille,</w:t>
      </w:r>
      <w:r>
        <w:rPr>
          <w:color w:val="231F20"/>
          <w:spacing w:val="-9"/>
          <w:w w:val="120"/>
        </w:rPr>
        <w:t> </w:t>
      </w:r>
      <w:r>
        <w:rPr>
          <w:color w:val="231F20"/>
          <w:w w:val="120"/>
        </w:rPr>
        <w:t>les</w:t>
      </w:r>
      <w:r>
        <w:rPr>
          <w:color w:val="231F20"/>
          <w:spacing w:val="-9"/>
          <w:w w:val="120"/>
        </w:rPr>
        <w:t> </w:t>
      </w:r>
      <w:r>
        <w:rPr>
          <w:color w:val="231F20"/>
          <w:w w:val="120"/>
        </w:rPr>
        <w:t>amis</w:t>
      </w:r>
      <w:r>
        <w:rPr>
          <w:color w:val="231F20"/>
          <w:spacing w:val="-9"/>
          <w:w w:val="120"/>
        </w:rPr>
        <w:t> </w:t>
      </w:r>
      <w:r>
        <w:rPr>
          <w:color w:val="231F20"/>
          <w:w w:val="120"/>
        </w:rPr>
        <w:t>et</w:t>
      </w:r>
      <w:r>
        <w:rPr>
          <w:color w:val="231F20"/>
          <w:spacing w:val="-9"/>
          <w:w w:val="120"/>
        </w:rPr>
        <w:t> </w:t>
      </w:r>
      <w:r>
        <w:rPr>
          <w:color w:val="231F20"/>
          <w:w w:val="120"/>
        </w:rPr>
        <w:t>les</w:t>
      </w:r>
      <w:r>
        <w:rPr>
          <w:color w:val="231F20"/>
          <w:spacing w:val="-9"/>
          <w:w w:val="120"/>
        </w:rPr>
        <w:t> </w:t>
      </w:r>
      <w:r>
        <w:rPr>
          <w:color w:val="231F20"/>
          <w:w w:val="120"/>
        </w:rPr>
        <w:t>col- lègues.</w:t>
      </w:r>
      <w:r>
        <w:rPr>
          <w:color w:val="231F20"/>
          <w:spacing w:val="12"/>
          <w:w w:val="120"/>
        </w:rPr>
        <w:t> </w:t>
      </w:r>
      <w:r>
        <w:rPr>
          <w:color w:val="231F20"/>
          <w:w w:val="120"/>
        </w:rPr>
        <w:t>Il</w:t>
      </w:r>
      <w:r>
        <w:rPr>
          <w:color w:val="231F20"/>
          <w:spacing w:val="13"/>
          <w:w w:val="120"/>
        </w:rPr>
        <w:t> </w:t>
      </w:r>
      <w:r>
        <w:rPr>
          <w:color w:val="231F20"/>
          <w:w w:val="120"/>
        </w:rPr>
        <w:t>se</w:t>
      </w:r>
      <w:r>
        <w:rPr>
          <w:color w:val="231F20"/>
          <w:spacing w:val="13"/>
          <w:w w:val="120"/>
        </w:rPr>
        <w:t> </w:t>
      </w:r>
      <w:r>
        <w:rPr>
          <w:color w:val="231F20"/>
          <w:w w:val="120"/>
        </w:rPr>
        <w:t>produit</w:t>
      </w:r>
      <w:r>
        <w:rPr>
          <w:color w:val="231F20"/>
          <w:spacing w:val="13"/>
          <w:w w:val="120"/>
        </w:rPr>
        <w:t> </w:t>
      </w:r>
      <w:r>
        <w:rPr>
          <w:color w:val="231F20"/>
          <w:w w:val="120"/>
        </w:rPr>
        <w:t>alors</w:t>
      </w:r>
      <w:r>
        <w:rPr>
          <w:color w:val="231F20"/>
          <w:spacing w:val="13"/>
          <w:w w:val="120"/>
        </w:rPr>
        <w:t> </w:t>
      </w:r>
      <w:r>
        <w:rPr>
          <w:color w:val="231F20"/>
          <w:w w:val="120"/>
        </w:rPr>
        <w:t>chez</w:t>
      </w:r>
      <w:r>
        <w:rPr>
          <w:color w:val="231F20"/>
          <w:spacing w:val="13"/>
          <w:w w:val="120"/>
        </w:rPr>
        <w:t> </w:t>
      </w:r>
      <w:r>
        <w:rPr>
          <w:color w:val="231F20"/>
          <w:w w:val="120"/>
        </w:rPr>
        <w:t>l’individu</w:t>
      </w:r>
      <w:r>
        <w:rPr>
          <w:color w:val="231F20"/>
          <w:spacing w:val="13"/>
          <w:w w:val="120"/>
        </w:rPr>
        <w:t> </w:t>
      </w:r>
      <w:r>
        <w:rPr>
          <w:color w:val="231F20"/>
          <w:w w:val="120"/>
        </w:rPr>
        <w:t>une</w:t>
      </w:r>
      <w:r>
        <w:rPr>
          <w:color w:val="231F20"/>
          <w:spacing w:val="13"/>
          <w:w w:val="120"/>
        </w:rPr>
        <w:t> </w:t>
      </w:r>
      <w:r>
        <w:rPr>
          <w:color w:val="231F20"/>
          <w:w w:val="120"/>
        </w:rPr>
        <w:t>escalade</w:t>
      </w:r>
      <w:r>
        <w:rPr>
          <w:color w:val="231F20"/>
          <w:spacing w:val="13"/>
          <w:w w:val="120"/>
        </w:rPr>
        <w:t> </w:t>
      </w:r>
      <w:r>
        <w:rPr>
          <w:color w:val="231F20"/>
          <w:w w:val="120"/>
        </w:rPr>
        <w:t>du</w:t>
      </w:r>
      <w:r>
        <w:rPr>
          <w:color w:val="231F20"/>
          <w:spacing w:val="12"/>
          <w:w w:val="120"/>
        </w:rPr>
        <w:t> </w:t>
      </w:r>
      <w:r>
        <w:rPr>
          <w:color w:val="231F20"/>
          <w:spacing w:val="-2"/>
          <w:w w:val="120"/>
        </w:rPr>
        <w:t>sentiment</w:t>
      </w:r>
    </w:p>
    <w:p>
      <w:pPr>
        <w:pStyle w:val="BodyText"/>
        <w:spacing w:line="307" w:lineRule="auto"/>
        <w:ind w:left="830" w:right="494"/>
        <w:jc w:val="both"/>
      </w:pPr>
      <w:r>
        <w:rPr>
          <w:color w:val="231F20"/>
          <w:w w:val="120"/>
        </w:rPr>
        <w:t>«</w:t>
      </w:r>
      <w:r>
        <w:rPr>
          <w:color w:val="231F20"/>
          <w:spacing w:val="-13"/>
          <w:w w:val="120"/>
        </w:rPr>
        <w:t> </w:t>
      </w:r>
      <w:r>
        <w:rPr>
          <w:color w:val="231F20"/>
          <w:w w:val="120"/>
        </w:rPr>
        <w:t>irréel»</w:t>
      </w:r>
      <w:r>
        <w:rPr>
          <w:color w:val="231F20"/>
          <w:spacing w:val="-13"/>
          <w:w w:val="120"/>
        </w:rPr>
        <w:t> </w:t>
      </w:r>
      <w:r>
        <w:rPr>
          <w:color w:val="231F20"/>
          <w:w w:val="120"/>
        </w:rPr>
        <w:t>de</w:t>
      </w:r>
      <w:r>
        <w:rPr>
          <w:color w:val="231F20"/>
          <w:spacing w:val="-13"/>
          <w:w w:val="120"/>
        </w:rPr>
        <w:t> </w:t>
      </w:r>
      <w:r>
        <w:rPr>
          <w:color w:val="231F20"/>
          <w:w w:val="120"/>
        </w:rPr>
        <w:t>n’avoir</w:t>
      </w:r>
      <w:r>
        <w:rPr>
          <w:color w:val="231F20"/>
          <w:spacing w:val="-8"/>
          <w:w w:val="120"/>
        </w:rPr>
        <w:t> </w:t>
      </w:r>
      <w:r>
        <w:rPr>
          <w:color w:val="231F20"/>
          <w:w w:val="120"/>
        </w:rPr>
        <w:t>besoin</w:t>
      </w:r>
      <w:r>
        <w:rPr>
          <w:color w:val="231F20"/>
          <w:spacing w:val="-5"/>
          <w:w w:val="120"/>
        </w:rPr>
        <w:t> </w:t>
      </w:r>
      <w:r>
        <w:rPr>
          <w:color w:val="231F20"/>
          <w:w w:val="120"/>
        </w:rPr>
        <w:t>de</w:t>
      </w:r>
      <w:r>
        <w:rPr>
          <w:color w:val="231F20"/>
          <w:spacing w:val="-5"/>
          <w:w w:val="120"/>
        </w:rPr>
        <w:t> </w:t>
      </w:r>
      <w:r>
        <w:rPr>
          <w:color w:val="231F20"/>
          <w:w w:val="120"/>
        </w:rPr>
        <w:t>personne</w:t>
      </w:r>
      <w:r>
        <w:rPr>
          <w:color w:val="231F20"/>
          <w:spacing w:val="-5"/>
          <w:w w:val="120"/>
        </w:rPr>
        <w:t> </w:t>
      </w:r>
      <w:r>
        <w:rPr>
          <w:color w:val="231F20"/>
          <w:w w:val="120"/>
        </w:rPr>
        <w:t>et</w:t>
      </w:r>
      <w:r>
        <w:rPr>
          <w:color w:val="231F20"/>
          <w:spacing w:val="-5"/>
          <w:w w:val="120"/>
        </w:rPr>
        <w:t> </w:t>
      </w:r>
      <w:r>
        <w:rPr>
          <w:color w:val="231F20"/>
          <w:w w:val="120"/>
        </w:rPr>
        <w:t>de</w:t>
      </w:r>
      <w:r>
        <w:rPr>
          <w:color w:val="231F20"/>
          <w:spacing w:val="-5"/>
          <w:w w:val="120"/>
        </w:rPr>
        <w:t> </w:t>
      </w:r>
      <w:r>
        <w:rPr>
          <w:color w:val="231F20"/>
          <w:w w:val="120"/>
        </w:rPr>
        <w:t>pouvoir</w:t>
      </w:r>
      <w:r>
        <w:rPr>
          <w:color w:val="231F20"/>
          <w:spacing w:val="-5"/>
          <w:w w:val="120"/>
        </w:rPr>
        <w:t> </w:t>
      </w:r>
      <w:r>
        <w:rPr>
          <w:color w:val="231F20"/>
          <w:w w:val="120"/>
        </w:rPr>
        <w:t>réussir</w:t>
      </w:r>
      <w:r>
        <w:rPr>
          <w:color w:val="231F20"/>
          <w:spacing w:val="-5"/>
          <w:w w:val="120"/>
        </w:rPr>
        <w:t> </w:t>
      </w:r>
      <w:r>
        <w:rPr>
          <w:color w:val="231F20"/>
          <w:w w:val="120"/>
        </w:rPr>
        <w:t>à</w:t>
      </w:r>
      <w:r>
        <w:rPr>
          <w:color w:val="231F20"/>
          <w:spacing w:val="-5"/>
          <w:w w:val="120"/>
        </w:rPr>
        <w:t> </w:t>
      </w:r>
      <w:r>
        <w:rPr>
          <w:color w:val="231F20"/>
          <w:w w:val="120"/>
        </w:rPr>
        <w:t>résoudre </w:t>
      </w:r>
      <w:r>
        <w:rPr>
          <w:color w:val="231F20"/>
          <w:w w:val="115"/>
        </w:rPr>
        <w:t>ses</w:t>
      </w:r>
      <w:r>
        <w:rPr>
          <w:color w:val="231F20"/>
          <w:spacing w:val="-7"/>
          <w:w w:val="115"/>
        </w:rPr>
        <w:t> </w:t>
      </w:r>
      <w:r>
        <w:rPr>
          <w:color w:val="231F20"/>
          <w:w w:val="115"/>
        </w:rPr>
        <w:t>problèmes</w:t>
      </w:r>
      <w:r>
        <w:rPr>
          <w:color w:val="231F20"/>
          <w:spacing w:val="-7"/>
          <w:w w:val="115"/>
        </w:rPr>
        <w:t> </w:t>
      </w:r>
      <w:r>
        <w:rPr>
          <w:color w:val="231F20"/>
          <w:w w:val="115"/>
        </w:rPr>
        <w:t>par</w:t>
      </w:r>
      <w:r>
        <w:rPr>
          <w:color w:val="231F20"/>
          <w:spacing w:val="-7"/>
          <w:w w:val="115"/>
        </w:rPr>
        <w:t> </w:t>
      </w:r>
      <w:r>
        <w:rPr>
          <w:color w:val="231F20"/>
          <w:w w:val="115"/>
        </w:rPr>
        <w:t>lui-même.</w:t>
      </w:r>
      <w:r>
        <w:rPr>
          <w:color w:val="231F20"/>
          <w:spacing w:val="-7"/>
          <w:w w:val="115"/>
        </w:rPr>
        <w:t> </w:t>
      </w:r>
      <w:r>
        <w:rPr>
          <w:color w:val="231F20"/>
          <w:w w:val="115"/>
        </w:rPr>
        <w:t>Pourtant,</w:t>
      </w:r>
      <w:r>
        <w:rPr>
          <w:color w:val="231F20"/>
          <w:spacing w:val="-7"/>
          <w:w w:val="115"/>
        </w:rPr>
        <w:t> </w:t>
      </w:r>
      <w:r>
        <w:rPr>
          <w:color w:val="231F20"/>
          <w:w w:val="115"/>
        </w:rPr>
        <w:t>nous</w:t>
      </w:r>
      <w:r>
        <w:rPr>
          <w:color w:val="231F20"/>
          <w:spacing w:val="-7"/>
          <w:w w:val="115"/>
        </w:rPr>
        <w:t> </w:t>
      </w:r>
      <w:r>
        <w:rPr>
          <w:color w:val="231F20"/>
          <w:w w:val="115"/>
        </w:rPr>
        <w:t>savons</w:t>
      </w:r>
      <w:r>
        <w:rPr>
          <w:color w:val="231F20"/>
          <w:spacing w:val="-7"/>
          <w:w w:val="115"/>
        </w:rPr>
        <w:t> </w:t>
      </w:r>
      <w:r>
        <w:rPr>
          <w:color w:val="231F20"/>
          <w:w w:val="115"/>
        </w:rPr>
        <w:t>bien</w:t>
      </w:r>
      <w:r>
        <w:rPr>
          <w:color w:val="231F20"/>
          <w:spacing w:val="-7"/>
          <w:w w:val="115"/>
        </w:rPr>
        <w:t> </w:t>
      </w:r>
      <w:r>
        <w:rPr>
          <w:color w:val="231F20"/>
          <w:w w:val="115"/>
        </w:rPr>
        <w:t>que</w:t>
      </w:r>
      <w:r>
        <w:rPr>
          <w:color w:val="231F20"/>
          <w:spacing w:val="-7"/>
          <w:w w:val="115"/>
        </w:rPr>
        <w:t> </w:t>
      </w:r>
      <w:r>
        <w:rPr>
          <w:color w:val="231F20"/>
          <w:w w:val="115"/>
        </w:rPr>
        <w:t>cela</w:t>
      </w:r>
      <w:r>
        <w:rPr>
          <w:color w:val="231F20"/>
          <w:spacing w:val="-7"/>
          <w:w w:val="115"/>
        </w:rPr>
        <w:t> </w:t>
      </w:r>
      <w:r>
        <w:rPr>
          <w:color w:val="231F20"/>
          <w:w w:val="115"/>
        </w:rPr>
        <w:t>ne</w:t>
      </w:r>
      <w:r>
        <w:rPr>
          <w:color w:val="231F20"/>
          <w:spacing w:val="-7"/>
          <w:w w:val="115"/>
        </w:rPr>
        <w:t> </w:t>
      </w:r>
      <w:r>
        <w:rPr>
          <w:color w:val="231F20"/>
          <w:w w:val="115"/>
        </w:rPr>
        <w:t>fonc- tionne</w:t>
      </w:r>
      <w:r>
        <w:rPr>
          <w:color w:val="231F20"/>
          <w:spacing w:val="-13"/>
          <w:w w:val="115"/>
        </w:rPr>
        <w:t> </w:t>
      </w:r>
      <w:r>
        <w:rPr>
          <w:color w:val="231F20"/>
          <w:w w:val="115"/>
        </w:rPr>
        <w:t>pas ainsi, bien au contraire</w:t>
      </w:r>
      <w:r>
        <w:rPr>
          <w:color w:val="231F20"/>
          <w:spacing w:val="-13"/>
          <w:w w:val="115"/>
        </w:rPr>
        <w:t> </w:t>
      </w:r>
      <w:r>
        <w:rPr>
          <w:color w:val="231F20"/>
          <w:w w:val="105"/>
        </w:rPr>
        <w:t>! </w:t>
      </w:r>
      <w:r>
        <w:rPr>
          <w:color w:val="231F20"/>
          <w:w w:val="115"/>
        </w:rPr>
        <w:t>Plus nous sommes stressés, plus nous </w:t>
      </w:r>
      <w:r>
        <w:rPr>
          <w:color w:val="231F20"/>
          <w:w w:val="120"/>
        </w:rPr>
        <w:t>avons</w:t>
      </w:r>
      <w:r>
        <w:rPr>
          <w:color w:val="231F20"/>
          <w:spacing w:val="-11"/>
          <w:w w:val="120"/>
        </w:rPr>
        <w:t> </w:t>
      </w:r>
      <w:r>
        <w:rPr>
          <w:color w:val="231F20"/>
          <w:w w:val="120"/>
        </w:rPr>
        <w:t>besoin</w:t>
      </w:r>
      <w:r>
        <w:rPr>
          <w:color w:val="231F20"/>
          <w:spacing w:val="-11"/>
          <w:w w:val="120"/>
        </w:rPr>
        <w:t> </w:t>
      </w:r>
      <w:r>
        <w:rPr>
          <w:color w:val="231F20"/>
          <w:w w:val="120"/>
        </w:rPr>
        <w:t>du</w:t>
      </w:r>
      <w:r>
        <w:rPr>
          <w:color w:val="231F20"/>
          <w:spacing w:val="-11"/>
          <w:w w:val="120"/>
        </w:rPr>
        <w:t> </w:t>
      </w:r>
      <w:r>
        <w:rPr>
          <w:color w:val="231F20"/>
          <w:w w:val="120"/>
        </w:rPr>
        <w:t>soutien</w:t>
      </w:r>
      <w:r>
        <w:rPr>
          <w:color w:val="231F20"/>
          <w:spacing w:val="-11"/>
          <w:w w:val="120"/>
        </w:rPr>
        <w:t> </w:t>
      </w:r>
      <w:r>
        <w:rPr>
          <w:color w:val="231F20"/>
          <w:w w:val="120"/>
        </w:rPr>
        <w:t>des</w:t>
      </w:r>
      <w:r>
        <w:rPr>
          <w:color w:val="231F20"/>
          <w:spacing w:val="-11"/>
          <w:w w:val="120"/>
        </w:rPr>
        <w:t> </w:t>
      </w:r>
      <w:r>
        <w:rPr>
          <w:color w:val="231F20"/>
          <w:w w:val="120"/>
        </w:rPr>
        <w:t>autres,</w:t>
      </w:r>
      <w:r>
        <w:rPr>
          <w:color w:val="231F20"/>
          <w:spacing w:val="-11"/>
          <w:w w:val="120"/>
        </w:rPr>
        <w:t> </w:t>
      </w:r>
      <w:r>
        <w:rPr>
          <w:color w:val="231F20"/>
          <w:w w:val="120"/>
        </w:rPr>
        <w:t>bien</w:t>
      </w:r>
      <w:r>
        <w:rPr>
          <w:color w:val="231F20"/>
          <w:spacing w:val="-11"/>
          <w:w w:val="120"/>
        </w:rPr>
        <w:t> </w:t>
      </w:r>
      <w:r>
        <w:rPr>
          <w:color w:val="231F20"/>
          <w:w w:val="120"/>
        </w:rPr>
        <w:t>qu’il</w:t>
      </w:r>
      <w:r>
        <w:rPr>
          <w:color w:val="231F20"/>
          <w:spacing w:val="-11"/>
          <w:w w:val="120"/>
        </w:rPr>
        <w:t> </w:t>
      </w:r>
      <w:r>
        <w:rPr>
          <w:color w:val="231F20"/>
          <w:w w:val="120"/>
        </w:rPr>
        <w:t>nous</w:t>
      </w:r>
      <w:r>
        <w:rPr>
          <w:color w:val="231F20"/>
          <w:spacing w:val="-11"/>
          <w:w w:val="120"/>
        </w:rPr>
        <w:t> </w:t>
      </w:r>
      <w:r>
        <w:rPr>
          <w:color w:val="231F20"/>
          <w:w w:val="120"/>
        </w:rPr>
        <w:t>arrive</w:t>
      </w:r>
      <w:r>
        <w:rPr>
          <w:color w:val="231F20"/>
          <w:spacing w:val="-11"/>
          <w:w w:val="120"/>
        </w:rPr>
        <w:t> </w:t>
      </w:r>
      <w:r>
        <w:rPr>
          <w:color w:val="231F20"/>
          <w:w w:val="120"/>
        </w:rPr>
        <w:t>souvent</w:t>
      </w:r>
      <w:r>
        <w:rPr>
          <w:color w:val="231F20"/>
          <w:spacing w:val="-11"/>
          <w:w w:val="120"/>
        </w:rPr>
        <w:t> </w:t>
      </w:r>
      <w:r>
        <w:rPr>
          <w:color w:val="231F20"/>
          <w:w w:val="120"/>
        </w:rPr>
        <w:t>de</w:t>
      </w:r>
      <w:r>
        <w:rPr>
          <w:color w:val="231F20"/>
          <w:spacing w:val="-11"/>
          <w:w w:val="120"/>
        </w:rPr>
        <w:t> </w:t>
      </w:r>
      <w:r>
        <w:rPr>
          <w:color w:val="231F20"/>
          <w:w w:val="120"/>
        </w:rPr>
        <w:t>ne pas demander d’aide et même de refuser celle qui nous est offerte.</w:t>
      </w:r>
    </w:p>
    <w:p>
      <w:pPr>
        <w:pStyle w:val="BodyText"/>
        <w:spacing w:line="307" w:lineRule="auto" w:before="79"/>
        <w:ind w:left="830" w:right="493" w:firstLine="250"/>
        <w:jc w:val="both"/>
      </w:pPr>
      <w:r>
        <w:rPr>
          <w:color w:val="231F20"/>
          <w:w w:val="120"/>
        </w:rPr>
        <w:t>L’humain</w:t>
      </w:r>
      <w:r>
        <w:rPr>
          <w:color w:val="231F20"/>
          <w:spacing w:val="-15"/>
          <w:w w:val="120"/>
        </w:rPr>
        <w:t> </w:t>
      </w:r>
      <w:r>
        <w:rPr>
          <w:color w:val="231F20"/>
          <w:w w:val="120"/>
        </w:rPr>
        <w:t>est</w:t>
      </w:r>
      <w:r>
        <w:rPr>
          <w:color w:val="231F20"/>
          <w:spacing w:val="-13"/>
          <w:w w:val="120"/>
        </w:rPr>
        <w:t> </w:t>
      </w:r>
      <w:r>
        <w:rPr>
          <w:color w:val="231F20"/>
          <w:w w:val="120"/>
        </w:rPr>
        <w:t>un</w:t>
      </w:r>
      <w:r>
        <w:rPr>
          <w:color w:val="231F20"/>
          <w:spacing w:val="-13"/>
          <w:w w:val="120"/>
        </w:rPr>
        <w:t> </w:t>
      </w:r>
      <w:r>
        <w:rPr>
          <w:color w:val="231F20"/>
          <w:w w:val="120"/>
        </w:rPr>
        <w:t>être</w:t>
      </w:r>
      <w:r>
        <w:rPr>
          <w:color w:val="231F20"/>
          <w:spacing w:val="-12"/>
          <w:w w:val="120"/>
        </w:rPr>
        <w:t> </w:t>
      </w:r>
      <w:r>
        <w:rPr>
          <w:color w:val="231F20"/>
          <w:w w:val="120"/>
        </w:rPr>
        <w:t>sociable</w:t>
      </w:r>
      <w:r>
        <w:rPr>
          <w:color w:val="231F20"/>
          <w:spacing w:val="-13"/>
          <w:w w:val="120"/>
        </w:rPr>
        <w:t> </w:t>
      </w:r>
      <w:r>
        <w:rPr>
          <w:color w:val="231F20"/>
          <w:w w:val="120"/>
        </w:rPr>
        <w:t>de</w:t>
      </w:r>
      <w:r>
        <w:rPr>
          <w:color w:val="231F20"/>
          <w:spacing w:val="-13"/>
          <w:w w:val="120"/>
        </w:rPr>
        <w:t> </w:t>
      </w:r>
      <w:r>
        <w:rPr>
          <w:color w:val="231F20"/>
          <w:w w:val="120"/>
        </w:rPr>
        <w:t>nature,</w:t>
      </w:r>
      <w:r>
        <w:rPr>
          <w:color w:val="231F20"/>
          <w:spacing w:val="-13"/>
          <w:w w:val="120"/>
        </w:rPr>
        <w:t> </w:t>
      </w:r>
      <w:r>
        <w:rPr>
          <w:color w:val="231F20"/>
          <w:w w:val="120"/>
        </w:rPr>
        <w:t>ce</w:t>
      </w:r>
      <w:r>
        <w:rPr>
          <w:color w:val="231F20"/>
          <w:spacing w:val="-12"/>
          <w:w w:val="120"/>
        </w:rPr>
        <w:t> </w:t>
      </w:r>
      <w:r>
        <w:rPr>
          <w:color w:val="231F20"/>
          <w:w w:val="120"/>
        </w:rPr>
        <w:t>qui</w:t>
      </w:r>
      <w:r>
        <w:rPr>
          <w:color w:val="231F20"/>
          <w:spacing w:val="-13"/>
          <w:w w:val="120"/>
        </w:rPr>
        <w:t> </w:t>
      </w:r>
      <w:r>
        <w:rPr>
          <w:color w:val="231F20"/>
          <w:w w:val="120"/>
        </w:rPr>
        <w:t>signifie</w:t>
      </w:r>
      <w:r>
        <w:rPr>
          <w:color w:val="231F20"/>
          <w:spacing w:val="-13"/>
          <w:w w:val="120"/>
        </w:rPr>
        <w:t> </w:t>
      </w:r>
      <w:r>
        <w:rPr>
          <w:color w:val="231F20"/>
          <w:w w:val="120"/>
        </w:rPr>
        <w:t>qu’il</w:t>
      </w:r>
      <w:r>
        <w:rPr>
          <w:color w:val="231F20"/>
          <w:spacing w:val="-13"/>
          <w:w w:val="120"/>
        </w:rPr>
        <w:t> </w:t>
      </w:r>
      <w:r>
        <w:rPr>
          <w:color w:val="231F20"/>
          <w:w w:val="120"/>
        </w:rPr>
        <w:t>a</w:t>
      </w:r>
      <w:r>
        <w:rPr>
          <w:color w:val="231F20"/>
          <w:spacing w:val="-12"/>
          <w:w w:val="120"/>
        </w:rPr>
        <w:t> </w:t>
      </w:r>
      <w:r>
        <w:rPr>
          <w:color w:val="231F20"/>
          <w:w w:val="120"/>
        </w:rPr>
        <w:t>besoin </w:t>
      </w:r>
      <w:r>
        <w:rPr>
          <w:color w:val="231F20"/>
          <w:spacing w:val="-2"/>
          <w:w w:val="120"/>
        </w:rPr>
        <w:t>de</w:t>
      </w:r>
      <w:r>
        <w:rPr>
          <w:color w:val="231F20"/>
          <w:spacing w:val="-7"/>
          <w:w w:val="120"/>
        </w:rPr>
        <w:t> </w:t>
      </w:r>
      <w:r>
        <w:rPr>
          <w:color w:val="231F20"/>
          <w:spacing w:val="-2"/>
          <w:w w:val="120"/>
        </w:rPr>
        <w:t>sentir</w:t>
      </w:r>
      <w:r>
        <w:rPr>
          <w:color w:val="231F20"/>
          <w:spacing w:val="-7"/>
          <w:w w:val="120"/>
        </w:rPr>
        <w:t> </w:t>
      </w:r>
      <w:r>
        <w:rPr>
          <w:color w:val="231F20"/>
          <w:spacing w:val="-2"/>
          <w:w w:val="120"/>
        </w:rPr>
        <w:t>qu’il</w:t>
      </w:r>
      <w:r>
        <w:rPr>
          <w:color w:val="231F20"/>
          <w:spacing w:val="-7"/>
          <w:w w:val="120"/>
        </w:rPr>
        <w:t> </w:t>
      </w:r>
      <w:r>
        <w:rPr>
          <w:color w:val="231F20"/>
          <w:spacing w:val="-2"/>
          <w:w w:val="120"/>
        </w:rPr>
        <w:t>fait</w:t>
      </w:r>
      <w:r>
        <w:rPr>
          <w:color w:val="231F20"/>
          <w:spacing w:val="-7"/>
          <w:w w:val="120"/>
        </w:rPr>
        <w:t> </w:t>
      </w:r>
      <w:r>
        <w:rPr>
          <w:color w:val="231F20"/>
          <w:spacing w:val="-2"/>
          <w:w w:val="120"/>
        </w:rPr>
        <w:t>partie</w:t>
      </w:r>
      <w:r>
        <w:rPr>
          <w:color w:val="231F20"/>
          <w:spacing w:val="-7"/>
          <w:w w:val="120"/>
        </w:rPr>
        <w:t> </w:t>
      </w:r>
      <w:r>
        <w:rPr>
          <w:color w:val="231F20"/>
          <w:spacing w:val="-2"/>
          <w:w w:val="120"/>
        </w:rPr>
        <w:t>d’une</w:t>
      </w:r>
      <w:r>
        <w:rPr>
          <w:color w:val="231F20"/>
          <w:spacing w:val="-7"/>
          <w:w w:val="120"/>
        </w:rPr>
        <w:t> </w:t>
      </w:r>
      <w:r>
        <w:rPr>
          <w:color w:val="231F20"/>
          <w:spacing w:val="-2"/>
          <w:w w:val="120"/>
        </w:rPr>
        <w:t>structure</w:t>
      </w:r>
      <w:r>
        <w:rPr>
          <w:color w:val="231F20"/>
          <w:spacing w:val="-7"/>
          <w:w w:val="120"/>
        </w:rPr>
        <w:t> </w:t>
      </w:r>
      <w:r>
        <w:rPr>
          <w:color w:val="231F20"/>
          <w:spacing w:val="-2"/>
          <w:w w:val="120"/>
        </w:rPr>
        <w:t>sociale</w:t>
      </w:r>
      <w:r>
        <w:rPr>
          <w:color w:val="231F20"/>
          <w:spacing w:val="-7"/>
          <w:w w:val="120"/>
        </w:rPr>
        <w:t> </w:t>
      </w:r>
      <w:r>
        <w:rPr>
          <w:color w:val="231F20"/>
          <w:spacing w:val="-2"/>
          <w:w w:val="120"/>
        </w:rPr>
        <w:t>qui</w:t>
      </w:r>
      <w:r>
        <w:rPr>
          <w:color w:val="231F20"/>
          <w:spacing w:val="-7"/>
          <w:w w:val="120"/>
        </w:rPr>
        <w:t> </w:t>
      </w:r>
      <w:r>
        <w:rPr>
          <w:color w:val="231F20"/>
          <w:spacing w:val="-2"/>
          <w:w w:val="120"/>
        </w:rPr>
        <w:t>le</w:t>
      </w:r>
      <w:r>
        <w:rPr>
          <w:color w:val="231F20"/>
          <w:spacing w:val="-7"/>
          <w:w w:val="120"/>
        </w:rPr>
        <w:t> </w:t>
      </w:r>
      <w:r>
        <w:rPr>
          <w:color w:val="231F20"/>
          <w:spacing w:val="-2"/>
          <w:w w:val="120"/>
        </w:rPr>
        <w:t>satisfait,</w:t>
      </w:r>
      <w:r>
        <w:rPr>
          <w:color w:val="231F20"/>
          <w:spacing w:val="-7"/>
          <w:w w:val="120"/>
        </w:rPr>
        <w:t> </w:t>
      </w:r>
      <w:r>
        <w:rPr>
          <w:color w:val="231F20"/>
          <w:spacing w:val="-2"/>
          <w:w w:val="120"/>
        </w:rPr>
        <w:t>au</w:t>
      </w:r>
      <w:r>
        <w:rPr>
          <w:color w:val="231F20"/>
          <w:spacing w:val="-7"/>
          <w:w w:val="120"/>
        </w:rPr>
        <w:t> </w:t>
      </w:r>
      <w:r>
        <w:rPr>
          <w:color w:val="231F20"/>
          <w:spacing w:val="-2"/>
          <w:w w:val="120"/>
        </w:rPr>
        <w:t>travail </w:t>
      </w:r>
      <w:r>
        <w:rPr>
          <w:color w:val="231F20"/>
          <w:w w:val="120"/>
        </w:rPr>
        <w:t>comme</w:t>
      </w:r>
      <w:r>
        <w:rPr>
          <w:color w:val="231F20"/>
          <w:spacing w:val="-8"/>
          <w:w w:val="120"/>
        </w:rPr>
        <w:t> </w:t>
      </w:r>
      <w:r>
        <w:rPr>
          <w:color w:val="231F20"/>
          <w:w w:val="120"/>
        </w:rPr>
        <w:t>dans</w:t>
      </w:r>
      <w:r>
        <w:rPr>
          <w:color w:val="231F20"/>
          <w:spacing w:val="-8"/>
          <w:w w:val="120"/>
        </w:rPr>
        <w:t> </w:t>
      </w:r>
      <w:r>
        <w:rPr>
          <w:color w:val="231F20"/>
          <w:w w:val="120"/>
        </w:rPr>
        <w:t>sa</w:t>
      </w:r>
      <w:r>
        <w:rPr>
          <w:color w:val="231F20"/>
          <w:spacing w:val="-8"/>
          <w:w w:val="120"/>
        </w:rPr>
        <w:t> </w:t>
      </w:r>
      <w:r>
        <w:rPr>
          <w:color w:val="231F20"/>
          <w:w w:val="120"/>
        </w:rPr>
        <w:t>vie</w:t>
      </w:r>
      <w:r>
        <w:rPr>
          <w:color w:val="231F20"/>
          <w:spacing w:val="-8"/>
          <w:w w:val="120"/>
        </w:rPr>
        <w:t> </w:t>
      </w:r>
      <w:r>
        <w:rPr>
          <w:color w:val="231F20"/>
          <w:w w:val="120"/>
        </w:rPr>
        <w:t>personnelle</w:t>
      </w:r>
      <w:r>
        <w:rPr>
          <w:color w:val="231F20"/>
          <w:spacing w:val="-8"/>
          <w:w w:val="120"/>
        </w:rPr>
        <w:t> </w:t>
      </w:r>
      <w:r>
        <w:rPr>
          <w:color w:val="231F20"/>
          <w:w w:val="120"/>
        </w:rPr>
        <w:t>et</w:t>
      </w:r>
      <w:r>
        <w:rPr>
          <w:color w:val="231F20"/>
          <w:spacing w:val="-8"/>
          <w:w w:val="120"/>
        </w:rPr>
        <w:t> </w:t>
      </w:r>
      <w:r>
        <w:rPr>
          <w:color w:val="231F20"/>
          <w:w w:val="120"/>
        </w:rPr>
        <w:t>familiale.</w:t>
      </w:r>
      <w:r>
        <w:rPr>
          <w:color w:val="231F20"/>
          <w:spacing w:val="-8"/>
          <w:w w:val="120"/>
        </w:rPr>
        <w:t> </w:t>
      </w:r>
      <w:r>
        <w:rPr>
          <w:color w:val="231F20"/>
          <w:w w:val="120"/>
        </w:rPr>
        <w:t>Le</w:t>
      </w:r>
      <w:r>
        <w:rPr>
          <w:color w:val="231F20"/>
          <w:spacing w:val="-8"/>
          <w:w w:val="120"/>
        </w:rPr>
        <w:t> </w:t>
      </w:r>
      <w:r>
        <w:rPr>
          <w:color w:val="231F20"/>
          <w:w w:val="120"/>
        </w:rPr>
        <w:t>soutien</w:t>
      </w:r>
      <w:r>
        <w:rPr>
          <w:color w:val="231F20"/>
          <w:spacing w:val="-8"/>
          <w:w w:val="120"/>
        </w:rPr>
        <w:t> </w:t>
      </w:r>
      <w:r>
        <w:rPr>
          <w:color w:val="231F20"/>
          <w:w w:val="120"/>
        </w:rPr>
        <w:t>social</w:t>
      </w:r>
      <w:r>
        <w:rPr>
          <w:color w:val="231F20"/>
          <w:spacing w:val="-8"/>
          <w:w w:val="120"/>
        </w:rPr>
        <w:t> </w:t>
      </w:r>
      <w:r>
        <w:rPr>
          <w:color w:val="231F20"/>
          <w:w w:val="120"/>
        </w:rPr>
        <w:t>renvoie</w:t>
      </w:r>
      <w:r>
        <w:rPr>
          <w:color w:val="231F20"/>
          <w:spacing w:val="-8"/>
          <w:w w:val="120"/>
        </w:rPr>
        <w:t> </w:t>
      </w:r>
      <w:r>
        <w:rPr>
          <w:color w:val="231F20"/>
          <w:w w:val="120"/>
        </w:rPr>
        <w:t>à </w:t>
      </w:r>
      <w:r>
        <w:rPr>
          <w:color w:val="231F20"/>
          <w:w w:val="115"/>
        </w:rPr>
        <w:t>l’évaluation</w:t>
      </w:r>
      <w:r>
        <w:rPr>
          <w:color w:val="231F20"/>
          <w:spacing w:val="-10"/>
          <w:w w:val="115"/>
        </w:rPr>
        <w:t> </w:t>
      </w:r>
      <w:r>
        <w:rPr>
          <w:color w:val="231F20"/>
          <w:w w:val="115"/>
        </w:rPr>
        <w:t>de</w:t>
      </w:r>
      <w:r>
        <w:rPr>
          <w:color w:val="231F20"/>
          <w:spacing w:val="-10"/>
          <w:w w:val="115"/>
        </w:rPr>
        <w:t> </w:t>
      </w:r>
      <w:r>
        <w:rPr>
          <w:color w:val="231F20"/>
          <w:w w:val="115"/>
        </w:rPr>
        <w:t>la</w:t>
      </w:r>
      <w:r>
        <w:rPr>
          <w:color w:val="231F20"/>
          <w:spacing w:val="-10"/>
          <w:w w:val="115"/>
        </w:rPr>
        <w:t> </w:t>
      </w:r>
      <w:r>
        <w:rPr>
          <w:color w:val="231F20"/>
          <w:w w:val="115"/>
        </w:rPr>
        <w:t>qualité</w:t>
      </w:r>
      <w:r>
        <w:rPr>
          <w:color w:val="231F20"/>
          <w:spacing w:val="-10"/>
          <w:w w:val="115"/>
        </w:rPr>
        <w:t> </w:t>
      </w:r>
      <w:r>
        <w:rPr>
          <w:color w:val="231F20"/>
          <w:w w:val="115"/>
        </w:rPr>
        <w:t>de</w:t>
      </w:r>
      <w:r>
        <w:rPr>
          <w:color w:val="231F20"/>
          <w:spacing w:val="-10"/>
          <w:w w:val="115"/>
        </w:rPr>
        <w:t> </w:t>
      </w:r>
      <w:r>
        <w:rPr>
          <w:color w:val="231F20"/>
          <w:w w:val="115"/>
        </w:rPr>
        <w:t>nos</w:t>
      </w:r>
      <w:r>
        <w:rPr>
          <w:color w:val="231F20"/>
          <w:spacing w:val="-10"/>
          <w:w w:val="115"/>
        </w:rPr>
        <w:t> </w:t>
      </w:r>
      <w:r>
        <w:rPr>
          <w:color w:val="231F20"/>
          <w:w w:val="115"/>
        </w:rPr>
        <w:t>relations</w:t>
      </w:r>
      <w:r>
        <w:rPr>
          <w:color w:val="231F20"/>
          <w:spacing w:val="-10"/>
          <w:w w:val="115"/>
        </w:rPr>
        <w:t> </w:t>
      </w:r>
      <w:r>
        <w:rPr>
          <w:color w:val="231F20"/>
          <w:w w:val="115"/>
        </w:rPr>
        <w:t>interpersonnelles</w:t>
      </w:r>
      <w:r>
        <w:rPr>
          <w:color w:val="231F20"/>
          <w:spacing w:val="-10"/>
          <w:w w:val="115"/>
        </w:rPr>
        <w:t> </w:t>
      </w:r>
      <w:r>
        <w:rPr>
          <w:color w:val="231F20"/>
          <w:w w:val="115"/>
        </w:rPr>
        <w:t>comme</w:t>
      </w:r>
      <w:r>
        <w:rPr>
          <w:color w:val="231F20"/>
          <w:spacing w:val="-10"/>
          <w:w w:val="115"/>
        </w:rPr>
        <w:t> </w:t>
      </w:r>
      <w:r>
        <w:rPr>
          <w:color w:val="231F20"/>
          <w:w w:val="115"/>
        </w:rPr>
        <w:t>moyen </w:t>
      </w:r>
      <w:r>
        <w:rPr>
          <w:color w:val="231F20"/>
          <w:w w:val="120"/>
        </w:rPr>
        <w:t>de faire face à des situations difficiles. Il sert d’amortisseur contre le </w:t>
      </w:r>
      <w:r>
        <w:rPr>
          <w:color w:val="231F20"/>
          <w:w w:val="115"/>
        </w:rPr>
        <w:t>stress.</w:t>
      </w:r>
      <w:r>
        <w:rPr>
          <w:color w:val="231F20"/>
          <w:spacing w:val="-7"/>
          <w:w w:val="115"/>
        </w:rPr>
        <w:t> </w:t>
      </w:r>
      <w:r>
        <w:rPr>
          <w:color w:val="231F20"/>
          <w:w w:val="115"/>
        </w:rPr>
        <w:t>Des</w:t>
      </w:r>
      <w:r>
        <w:rPr>
          <w:color w:val="231F20"/>
          <w:spacing w:val="-7"/>
          <w:w w:val="115"/>
        </w:rPr>
        <w:t> </w:t>
      </w:r>
      <w:r>
        <w:rPr>
          <w:color w:val="231F20"/>
          <w:w w:val="115"/>
        </w:rPr>
        <w:t>recherches</w:t>
      </w:r>
      <w:r>
        <w:rPr>
          <w:color w:val="231F20"/>
          <w:spacing w:val="-7"/>
          <w:w w:val="115"/>
        </w:rPr>
        <w:t> </w:t>
      </w:r>
      <w:r>
        <w:rPr>
          <w:color w:val="231F20"/>
          <w:w w:val="115"/>
        </w:rPr>
        <w:t>menées</w:t>
      </w:r>
      <w:r>
        <w:rPr>
          <w:color w:val="231F20"/>
          <w:spacing w:val="-7"/>
          <w:w w:val="115"/>
        </w:rPr>
        <w:t> </w:t>
      </w:r>
      <w:r>
        <w:rPr>
          <w:color w:val="231F20"/>
          <w:w w:val="115"/>
        </w:rPr>
        <w:t>dans</w:t>
      </w:r>
      <w:r>
        <w:rPr>
          <w:color w:val="231F20"/>
          <w:spacing w:val="-7"/>
          <w:w w:val="115"/>
        </w:rPr>
        <w:t> </w:t>
      </w:r>
      <w:r>
        <w:rPr>
          <w:color w:val="231F20"/>
          <w:w w:val="115"/>
        </w:rPr>
        <w:t>diverses</w:t>
      </w:r>
      <w:r>
        <w:rPr>
          <w:color w:val="231F20"/>
          <w:spacing w:val="-7"/>
          <w:w w:val="115"/>
        </w:rPr>
        <w:t> </w:t>
      </w:r>
      <w:r>
        <w:rPr>
          <w:color w:val="231F20"/>
          <w:w w:val="115"/>
        </w:rPr>
        <w:t>disciplines</w:t>
      </w:r>
      <w:r>
        <w:rPr>
          <w:color w:val="231F20"/>
          <w:spacing w:val="-7"/>
          <w:w w:val="115"/>
        </w:rPr>
        <w:t> </w:t>
      </w:r>
      <w:r>
        <w:rPr>
          <w:color w:val="231F20"/>
          <w:w w:val="115"/>
        </w:rPr>
        <w:t>allant</w:t>
      </w:r>
      <w:r>
        <w:rPr>
          <w:color w:val="231F20"/>
          <w:spacing w:val="-7"/>
          <w:w w:val="115"/>
        </w:rPr>
        <w:t> </w:t>
      </w:r>
      <w:r>
        <w:rPr>
          <w:color w:val="231F20"/>
          <w:w w:val="115"/>
        </w:rPr>
        <w:t>de</w:t>
      </w:r>
      <w:r>
        <w:rPr>
          <w:color w:val="231F20"/>
          <w:spacing w:val="-7"/>
          <w:w w:val="115"/>
        </w:rPr>
        <w:t> </w:t>
      </w:r>
      <w:r>
        <w:rPr>
          <w:color w:val="231F20"/>
          <w:w w:val="115"/>
        </w:rPr>
        <w:t>la</w:t>
      </w:r>
      <w:r>
        <w:rPr>
          <w:color w:val="231F20"/>
          <w:spacing w:val="-7"/>
          <w:w w:val="115"/>
        </w:rPr>
        <w:t> </w:t>
      </w:r>
      <w:r>
        <w:rPr>
          <w:color w:val="231F20"/>
          <w:w w:val="115"/>
        </w:rPr>
        <w:t>méde- </w:t>
      </w:r>
      <w:r>
        <w:rPr>
          <w:color w:val="231F20"/>
          <w:w w:val="120"/>
        </w:rPr>
        <w:t>cine</w:t>
      </w:r>
      <w:r>
        <w:rPr>
          <w:color w:val="231F20"/>
          <w:spacing w:val="-15"/>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psychologie</w:t>
      </w:r>
      <w:r>
        <w:rPr>
          <w:color w:val="231F20"/>
          <w:spacing w:val="-12"/>
          <w:w w:val="120"/>
        </w:rPr>
        <w:t> </w:t>
      </w:r>
      <w:r>
        <w:rPr>
          <w:color w:val="231F20"/>
          <w:w w:val="120"/>
        </w:rPr>
        <w:t>et</w:t>
      </w:r>
      <w:r>
        <w:rPr>
          <w:color w:val="231F20"/>
          <w:spacing w:val="-13"/>
          <w:w w:val="120"/>
        </w:rPr>
        <w:t> </w:t>
      </w:r>
      <w:r>
        <w:rPr>
          <w:color w:val="231F20"/>
          <w:w w:val="120"/>
        </w:rPr>
        <w:t>au</w:t>
      </w:r>
      <w:r>
        <w:rPr>
          <w:color w:val="231F20"/>
          <w:spacing w:val="-13"/>
          <w:w w:val="120"/>
        </w:rPr>
        <w:t> </w:t>
      </w:r>
      <w:r>
        <w:rPr>
          <w:color w:val="231F20"/>
          <w:w w:val="120"/>
        </w:rPr>
        <w:t>management</w:t>
      </w:r>
      <w:r>
        <w:rPr>
          <w:color w:val="231F20"/>
          <w:spacing w:val="-13"/>
          <w:w w:val="120"/>
        </w:rPr>
        <w:t> </w:t>
      </w:r>
      <w:r>
        <w:rPr>
          <w:color w:val="231F20"/>
          <w:w w:val="120"/>
        </w:rPr>
        <w:t>montrent</w:t>
      </w:r>
      <w:r>
        <w:rPr>
          <w:color w:val="231F20"/>
          <w:spacing w:val="-12"/>
          <w:w w:val="120"/>
        </w:rPr>
        <w:t> </w:t>
      </w:r>
      <w:r>
        <w:rPr>
          <w:color w:val="231F20"/>
          <w:w w:val="120"/>
        </w:rPr>
        <w:t>que</w:t>
      </w:r>
      <w:r>
        <w:rPr>
          <w:color w:val="231F20"/>
          <w:spacing w:val="-13"/>
          <w:w w:val="120"/>
        </w:rPr>
        <w:t> </w:t>
      </w:r>
      <w:r>
        <w:rPr>
          <w:color w:val="231F20"/>
          <w:w w:val="120"/>
        </w:rPr>
        <w:t>le</w:t>
      </w:r>
      <w:r>
        <w:rPr>
          <w:color w:val="231F20"/>
          <w:spacing w:val="-13"/>
          <w:w w:val="120"/>
        </w:rPr>
        <w:t> </w:t>
      </w:r>
      <w:r>
        <w:rPr>
          <w:color w:val="231F20"/>
          <w:w w:val="120"/>
        </w:rPr>
        <w:t>soutien</w:t>
      </w:r>
      <w:r>
        <w:rPr>
          <w:color w:val="231F20"/>
          <w:spacing w:val="-13"/>
          <w:w w:val="120"/>
        </w:rPr>
        <w:t> </w:t>
      </w:r>
      <w:r>
        <w:rPr>
          <w:color w:val="231F20"/>
          <w:w w:val="120"/>
        </w:rPr>
        <w:t>social</w:t>
      </w:r>
      <w:r>
        <w:rPr>
          <w:color w:val="231F20"/>
          <w:spacing w:val="-12"/>
          <w:w w:val="120"/>
        </w:rPr>
        <w:t> </w:t>
      </w:r>
      <w:r>
        <w:rPr>
          <w:color w:val="231F20"/>
          <w:w w:val="120"/>
        </w:rPr>
        <w:t>a une</w:t>
      </w:r>
      <w:r>
        <w:rPr>
          <w:color w:val="231F20"/>
          <w:spacing w:val="-12"/>
          <w:w w:val="120"/>
        </w:rPr>
        <w:t> </w:t>
      </w:r>
      <w:r>
        <w:rPr>
          <w:color w:val="231F20"/>
          <w:w w:val="120"/>
        </w:rPr>
        <w:t>incidence</w:t>
      </w:r>
      <w:r>
        <w:rPr>
          <w:color w:val="231F20"/>
          <w:spacing w:val="-12"/>
          <w:w w:val="120"/>
        </w:rPr>
        <w:t> </w:t>
      </w:r>
      <w:r>
        <w:rPr>
          <w:color w:val="231F20"/>
          <w:w w:val="120"/>
        </w:rPr>
        <w:t>positive</w:t>
      </w:r>
      <w:r>
        <w:rPr>
          <w:color w:val="231F20"/>
          <w:spacing w:val="-12"/>
          <w:w w:val="120"/>
        </w:rPr>
        <w:t> </w:t>
      </w:r>
      <w:r>
        <w:rPr>
          <w:color w:val="231F20"/>
          <w:w w:val="120"/>
        </w:rPr>
        <w:t>sur</w:t>
      </w:r>
      <w:r>
        <w:rPr>
          <w:color w:val="231F20"/>
          <w:spacing w:val="-12"/>
          <w:w w:val="120"/>
        </w:rPr>
        <w:t> </w:t>
      </w:r>
      <w:r>
        <w:rPr>
          <w:color w:val="231F20"/>
          <w:w w:val="120"/>
        </w:rPr>
        <w:t>la</w:t>
      </w:r>
      <w:r>
        <w:rPr>
          <w:color w:val="231F20"/>
          <w:spacing w:val="-12"/>
          <w:w w:val="120"/>
        </w:rPr>
        <w:t> </w:t>
      </w:r>
      <w:r>
        <w:rPr>
          <w:color w:val="231F20"/>
          <w:w w:val="120"/>
        </w:rPr>
        <w:t>réduction</w:t>
      </w:r>
      <w:r>
        <w:rPr>
          <w:color w:val="231F20"/>
          <w:spacing w:val="-12"/>
          <w:w w:val="120"/>
        </w:rPr>
        <w:t> </w:t>
      </w:r>
      <w:r>
        <w:rPr>
          <w:color w:val="231F20"/>
          <w:w w:val="120"/>
        </w:rPr>
        <w:t>du</w:t>
      </w:r>
      <w:r>
        <w:rPr>
          <w:color w:val="231F20"/>
          <w:spacing w:val="-12"/>
          <w:w w:val="120"/>
        </w:rPr>
        <w:t> </w:t>
      </w:r>
      <w:r>
        <w:rPr>
          <w:color w:val="231F20"/>
          <w:w w:val="120"/>
        </w:rPr>
        <w:t>stress.</w:t>
      </w:r>
      <w:r>
        <w:rPr>
          <w:color w:val="231F20"/>
          <w:spacing w:val="-12"/>
          <w:w w:val="120"/>
        </w:rPr>
        <w:t> </w:t>
      </w:r>
      <w:r>
        <w:rPr>
          <w:color w:val="231F20"/>
          <w:w w:val="120"/>
        </w:rPr>
        <w:t>Des</w:t>
      </w:r>
      <w:r>
        <w:rPr>
          <w:color w:val="231F20"/>
          <w:spacing w:val="-12"/>
          <w:w w:val="120"/>
        </w:rPr>
        <w:t> </w:t>
      </w:r>
      <w:r>
        <w:rPr>
          <w:color w:val="231F20"/>
          <w:w w:val="120"/>
        </w:rPr>
        <w:t>études</w:t>
      </w:r>
      <w:r>
        <w:rPr>
          <w:color w:val="231F20"/>
          <w:spacing w:val="-12"/>
          <w:w w:val="120"/>
        </w:rPr>
        <w:t> </w:t>
      </w:r>
      <w:r>
        <w:rPr>
          <w:color w:val="231F20"/>
          <w:w w:val="120"/>
        </w:rPr>
        <w:t>révèlent</w:t>
      </w:r>
      <w:r>
        <w:rPr>
          <w:color w:val="231F20"/>
          <w:spacing w:val="-12"/>
          <w:w w:val="120"/>
        </w:rPr>
        <w:t> </w:t>
      </w:r>
      <w:r>
        <w:rPr>
          <w:color w:val="231F20"/>
          <w:w w:val="120"/>
        </w:rPr>
        <w:t>en effet</w:t>
      </w:r>
      <w:r>
        <w:rPr>
          <w:color w:val="231F20"/>
          <w:spacing w:val="-9"/>
          <w:w w:val="120"/>
        </w:rPr>
        <w:t> </w:t>
      </w:r>
      <w:r>
        <w:rPr>
          <w:color w:val="231F20"/>
          <w:w w:val="120"/>
        </w:rPr>
        <w:t>que</w:t>
      </w:r>
      <w:r>
        <w:rPr>
          <w:color w:val="231F20"/>
          <w:spacing w:val="-9"/>
          <w:w w:val="120"/>
        </w:rPr>
        <w:t> </w:t>
      </w:r>
      <w:r>
        <w:rPr>
          <w:color w:val="231F20"/>
          <w:w w:val="120"/>
        </w:rPr>
        <w:t>le</w:t>
      </w:r>
      <w:r>
        <w:rPr>
          <w:color w:val="231F20"/>
          <w:spacing w:val="-9"/>
          <w:w w:val="120"/>
        </w:rPr>
        <w:t> </w:t>
      </w:r>
      <w:r>
        <w:rPr>
          <w:color w:val="231F20"/>
          <w:w w:val="120"/>
        </w:rPr>
        <w:t>soutien</w:t>
      </w:r>
      <w:r>
        <w:rPr>
          <w:color w:val="231F20"/>
          <w:spacing w:val="-9"/>
          <w:w w:val="120"/>
        </w:rPr>
        <w:t> </w:t>
      </w:r>
      <w:r>
        <w:rPr>
          <w:color w:val="231F20"/>
          <w:w w:val="120"/>
        </w:rPr>
        <w:t>social</w:t>
      </w:r>
      <w:r>
        <w:rPr>
          <w:color w:val="231F20"/>
          <w:spacing w:val="-9"/>
          <w:w w:val="120"/>
        </w:rPr>
        <w:t> </w:t>
      </w:r>
      <w:r>
        <w:rPr>
          <w:color w:val="231F20"/>
          <w:w w:val="120"/>
        </w:rPr>
        <w:t>réduit</w:t>
      </w:r>
      <w:r>
        <w:rPr>
          <w:color w:val="231F20"/>
          <w:spacing w:val="-9"/>
          <w:w w:val="120"/>
        </w:rPr>
        <w:t> </w:t>
      </w:r>
      <w:r>
        <w:rPr>
          <w:color w:val="231F20"/>
          <w:w w:val="120"/>
        </w:rPr>
        <w:t>la</w:t>
      </w:r>
      <w:r>
        <w:rPr>
          <w:color w:val="231F20"/>
          <w:spacing w:val="-9"/>
          <w:w w:val="120"/>
        </w:rPr>
        <w:t> </w:t>
      </w:r>
      <w:r>
        <w:rPr>
          <w:color w:val="231F20"/>
          <w:w w:val="120"/>
        </w:rPr>
        <w:t>production</w:t>
      </w:r>
      <w:r>
        <w:rPr>
          <w:color w:val="231F20"/>
          <w:spacing w:val="-9"/>
          <w:w w:val="120"/>
        </w:rPr>
        <w:t> </w:t>
      </w:r>
      <w:r>
        <w:rPr>
          <w:color w:val="231F20"/>
          <w:w w:val="120"/>
        </w:rPr>
        <w:t>d’hormones</w:t>
      </w:r>
      <w:r>
        <w:rPr>
          <w:color w:val="231F20"/>
          <w:spacing w:val="-9"/>
          <w:w w:val="120"/>
        </w:rPr>
        <w:t> </w:t>
      </w:r>
      <w:r>
        <w:rPr>
          <w:color w:val="231F20"/>
          <w:w w:val="120"/>
        </w:rPr>
        <w:t>dans</w:t>
      </w:r>
      <w:r>
        <w:rPr>
          <w:color w:val="231F20"/>
          <w:spacing w:val="-9"/>
          <w:w w:val="120"/>
        </w:rPr>
        <w:t> </w:t>
      </w:r>
      <w:r>
        <w:rPr>
          <w:color w:val="231F20"/>
          <w:w w:val="120"/>
        </w:rPr>
        <w:t>l’orga- nisme</w:t>
      </w:r>
      <w:r>
        <w:rPr>
          <w:color w:val="231F20"/>
          <w:spacing w:val="-5"/>
          <w:w w:val="120"/>
        </w:rPr>
        <w:t> </w:t>
      </w:r>
      <w:r>
        <w:rPr>
          <w:color w:val="231F20"/>
          <w:w w:val="120"/>
        </w:rPr>
        <w:t>en</w:t>
      </w:r>
      <w:r>
        <w:rPr>
          <w:color w:val="231F20"/>
          <w:spacing w:val="-5"/>
          <w:w w:val="120"/>
        </w:rPr>
        <w:t> </w:t>
      </w:r>
      <w:r>
        <w:rPr>
          <w:color w:val="231F20"/>
          <w:w w:val="120"/>
        </w:rPr>
        <w:t>réponse</w:t>
      </w:r>
      <w:r>
        <w:rPr>
          <w:color w:val="231F20"/>
          <w:spacing w:val="-5"/>
          <w:w w:val="120"/>
        </w:rPr>
        <w:t> </w:t>
      </w:r>
      <w:r>
        <w:rPr>
          <w:color w:val="231F20"/>
          <w:w w:val="120"/>
        </w:rPr>
        <w:t>au</w:t>
      </w:r>
      <w:r>
        <w:rPr>
          <w:color w:val="231F20"/>
          <w:spacing w:val="-5"/>
          <w:w w:val="120"/>
        </w:rPr>
        <w:t> </w:t>
      </w:r>
      <w:r>
        <w:rPr>
          <w:color w:val="231F20"/>
          <w:w w:val="120"/>
        </w:rPr>
        <w:t>stress.</w:t>
      </w:r>
      <w:r>
        <w:rPr>
          <w:color w:val="231F20"/>
          <w:spacing w:val="-5"/>
          <w:w w:val="120"/>
        </w:rPr>
        <w:t> </w:t>
      </w:r>
      <w:r>
        <w:rPr>
          <w:color w:val="231F20"/>
          <w:w w:val="120"/>
        </w:rPr>
        <w:t>Les</w:t>
      </w:r>
      <w:r>
        <w:rPr>
          <w:color w:val="231F20"/>
          <w:spacing w:val="-5"/>
          <w:w w:val="120"/>
        </w:rPr>
        <w:t> </w:t>
      </w:r>
      <w:r>
        <w:rPr>
          <w:color w:val="231F20"/>
          <w:w w:val="120"/>
        </w:rPr>
        <w:t>personnes</w:t>
      </w:r>
      <w:r>
        <w:rPr>
          <w:color w:val="231F20"/>
          <w:spacing w:val="-5"/>
          <w:w w:val="120"/>
        </w:rPr>
        <w:t> </w:t>
      </w:r>
      <w:r>
        <w:rPr>
          <w:color w:val="231F20"/>
          <w:w w:val="120"/>
        </w:rPr>
        <w:t>qui</w:t>
      </w:r>
      <w:r>
        <w:rPr>
          <w:color w:val="231F20"/>
          <w:spacing w:val="-5"/>
          <w:w w:val="120"/>
        </w:rPr>
        <w:t> </w:t>
      </w:r>
      <w:r>
        <w:rPr>
          <w:color w:val="231F20"/>
          <w:w w:val="120"/>
        </w:rPr>
        <w:t>ont</w:t>
      </w:r>
      <w:r>
        <w:rPr>
          <w:color w:val="231F20"/>
          <w:spacing w:val="-5"/>
          <w:w w:val="120"/>
        </w:rPr>
        <w:t> </w:t>
      </w:r>
      <w:r>
        <w:rPr>
          <w:color w:val="231F20"/>
          <w:w w:val="120"/>
        </w:rPr>
        <w:t>des</w:t>
      </w:r>
      <w:r>
        <w:rPr>
          <w:color w:val="231F20"/>
          <w:spacing w:val="-5"/>
          <w:w w:val="120"/>
        </w:rPr>
        <w:t> </w:t>
      </w:r>
      <w:r>
        <w:rPr>
          <w:color w:val="231F20"/>
          <w:w w:val="120"/>
        </w:rPr>
        <w:t>relations</w:t>
      </w:r>
      <w:r>
        <w:rPr>
          <w:color w:val="231F20"/>
          <w:spacing w:val="-5"/>
          <w:w w:val="120"/>
        </w:rPr>
        <w:t> </w:t>
      </w:r>
      <w:r>
        <w:rPr>
          <w:color w:val="231F20"/>
          <w:w w:val="120"/>
        </w:rPr>
        <w:t>signifi- catives et un sens de la communauté bien développé jouissent d’une meilleure santé et vivent plus longtemps que celles qui vivent dans l’isolement12.</w:t>
      </w:r>
      <w:r>
        <w:rPr>
          <w:color w:val="231F20"/>
          <w:spacing w:val="-5"/>
          <w:w w:val="120"/>
        </w:rPr>
        <w:t> </w:t>
      </w:r>
      <w:r>
        <w:rPr>
          <w:color w:val="231F20"/>
          <w:w w:val="120"/>
        </w:rPr>
        <w:t>La</w:t>
      </w:r>
      <w:r>
        <w:rPr>
          <w:color w:val="231F20"/>
          <w:spacing w:val="-5"/>
          <w:w w:val="120"/>
        </w:rPr>
        <w:t> </w:t>
      </w:r>
      <w:r>
        <w:rPr>
          <w:color w:val="231F20"/>
          <w:w w:val="120"/>
        </w:rPr>
        <w:t>personne</w:t>
      </w:r>
      <w:r>
        <w:rPr>
          <w:color w:val="231F20"/>
          <w:spacing w:val="-5"/>
          <w:w w:val="120"/>
        </w:rPr>
        <w:t> </w:t>
      </w:r>
      <w:r>
        <w:rPr>
          <w:color w:val="231F20"/>
          <w:w w:val="120"/>
        </w:rPr>
        <w:t>qui</w:t>
      </w:r>
      <w:r>
        <w:rPr>
          <w:color w:val="231F20"/>
          <w:spacing w:val="-5"/>
          <w:w w:val="120"/>
        </w:rPr>
        <w:t> </w:t>
      </w:r>
      <w:r>
        <w:rPr>
          <w:color w:val="231F20"/>
          <w:w w:val="120"/>
        </w:rPr>
        <w:t>souffre</w:t>
      </w:r>
      <w:r>
        <w:rPr>
          <w:color w:val="231F20"/>
          <w:spacing w:val="-5"/>
          <w:w w:val="120"/>
        </w:rPr>
        <w:t> </w:t>
      </w:r>
      <w:r>
        <w:rPr>
          <w:color w:val="231F20"/>
          <w:w w:val="120"/>
        </w:rPr>
        <w:t>seule</w:t>
      </w:r>
      <w:r>
        <w:rPr>
          <w:color w:val="231F20"/>
          <w:spacing w:val="-5"/>
          <w:w w:val="120"/>
        </w:rPr>
        <w:t> </w:t>
      </w:r>
      <w:r>
        <w:rPr>
          <w:color w:val="231F20"/>
          <w:w w:val="120"/>
        </w:rPr>
        <w:t>souffre</w:t>
      </w:r>
      <w:r>
        <w:rPr>
          <w:color w:val="231F20"/>
          <w:spacing w:val="-5"/>
          <w:w w:val="120"/>
        </w:rPr>
        <w:t> </w:t>
      </w:r>
      <w:r>
        <w:rPr>
          <w:color w:val="231F20"/>
          <w:w w:val="120"/>
        </w:rPr>
        <w:t>davantage.</w:t>
      </w:r>
    </w:p>
    <w:p>
      <w:pPr>
        <w:pStyle w:val="BodyText"/>
        <w:spacing w:before="2"/>
        <w:rPr>
          <w:sz w:val="19"/>
        </w:rPr>
      </w:pPr>
      <w:r>
        <w:rPr/>
        <w:pict>
          <v:shape style="position:absolute;margin-left:62.5pt;margin-top:12.224951pt;width:287.5pt;height:.1pt;mso-position-horizontal-relative:page;mso-position-vertical-relative:paragraph;z-index:-15625216;mso-wrap-distance-left:0;mso-wrap-distance-right:0" id="docshape1057" coordorigin="1250,244" coordsize="5750,0" path="m1250,244l7000,244e" filled="false" stroked="true" strokeweight=".25pt" strokecolor="#231f20">
            <v:path arrowok="t"/>
            <v:stroke dashstyle="shortdot"/>
            <w10:wrap type="topAndBottom"/>
          </v:shape>
        </w:pict>
      </w:r>
    </w:p>
    <w:p>
      <w:pPr>
        <w:pStyle w:val="ListParagraph"/>
        <w:numPr>
          <w:ilvl w:val="0"/>
          <w:numId w:val="84"/>
        </w:numPr>
        <w:tabs>
          <w:tab w:pos="829" w:val="left" w:leader="none"/>
          <w:tab w:pos="830" w:val="left" w:leader="none"/>
        </w:tabs>
        <w:spacing w:line="240" w:lineRule="auto" w:before="135" w:after="0"/>
        <w:ind w:left="829" w:right="0" w:hanging="406"/>
        <w:jc w:val="left"/>
        <w:rPr>
          <w:rFonts w:ascii="Arial"/>
          <w:sz w:val="12"/>
        </w:rPr>
      </w:pPr>
      <w:r>
        <w:rPr>
          <w:rFonts w:ascii="Arial"/>
          <w:color w:val="231F20"/>
          <w:spacing w:val="-2"/>
          <w:sz w:val="12"/>
        </w:rPr>
        <w:t>Omish,</w:t>
      </w:r>
      <w:r>
        <w:rPr>
          <w:rFonts w:ascii="Arial"/>
          <w:color w:val="231F20"/>
          <w:sz w:val="12"/>
        </w:rPr>
        <w:t> </w:t>
      </w:r>
      <w:r>
        <w:rPr>
          <w:rFonts w:ascii="Arial"/>
          <w:color w:val="231F20"/>
          <w:spacing w:val="-2"/>
          <w:sz w:val="12"/>
        </w:rPr>
        <w:t>D.</w:t>
      </w:r>
      <w:r>
        <w:rPr>
          <w:rFonts w:ascii="Arial"/>
          <w:color w:val="231F20"/>
          <w:spacing w:val="1"/>
          <w:sz w:val="12"/>
        </w:rPr>
        <w:t> </w:t>
      </w:r>
      <w:r>
        <w:rPr>
          <w:rFonts w:ascii="Arial"/>
          <w:color w:val="231F20"/>
          <w:spacing w:val="-2"/>
          <w:sz w:val="12"/>
        </w:rPr>
        <w:t>(1998).</w:t>
      </w:r>
      <w:r>
        <w:rPr>
          <w:rFonts w:ascii="Arial"/>
          <w:color w:val="231F20"/>
          <w:spacing w:val="1"/>
          <w:sz w:val="12"/>
        </w:rPr>
        <w:t> </w:t>
      </w:r>
      <w:r>
        <w:rPr>
          <w:rFonts w:ascii="Arial"/>
          <w:i/>
          <w:color w:val="231F20"/>
          <w:spacing w:val="-2"/>
          <w:sz w:val="12"/>
        </w:rPr>
        <w:t>Love</w:t>
      </w:r>
      <w:r>
        <w:rPr>
          <w:rFonts w:ascii="Arial"/>
          <w:i/>
          <w:color w:val="231F20"/>
          <w:spacing w:val="1"/>
          <w:sz w:val="12"/>
        </w:rPr>
        <w:t> </w:t>
      </w:r>
      <w:r>
        <w:rPr>
          <w:rFonts w:ascii="Arial"/>
          <w:i/>
          <w:color w:val="231F20"/>
          <w:spacing w:val="-2"/>
          <w:sz w:val="12"/>
        </w:rPr>
        <w:t>and</w:t>
      </w:r>
      <w:r>
        <w:rPr>
          <w:rFonts w:ascii="Arial"/>
          <w:i/>
          <w:color w:val="231F20"/>
          <w:spacing w:val="1"/>
          <w:sz w:val="12"/>
        </w:rPr>
        <w:t> </w:t>
      </w:r>
      <w:r>
        <w:rPr>
          <w:rFonts w:ascii="Arial"/>
          <w:i/>
          <w:color w:val="231F20"/>
          <w:spacing w:val="-2"/>
          <w:sz w:val="12"/>
        </w:rPr>
        <w:t>Survival</w:t>
      </w:r>
      <w:r>
        <w:rPr>
          <w:rFonts w:ascii="Arial"/>
          <w:color w:val="231F20"/>
          <w:spacing w:val="-2"/>
          <w:sz w:val="12"/>
        </w:rPr>
        <w:t>,</w:t>
      </w:r>
      <w:r>
        <w:rPr>
          <w:rFonts w:ascii="Arial"/>
          <w:color w:val="231F20"/>
          <w:sz w:val="12"/>
        </w:rPr>
        <w:t> </w:t>
      </w:r>
      <w:r>
        <w:rPr>
          <w:rFonts w:ascii="Arial"/>
          <w:color w:val="231F20"/>
          <w:spacing w:val="-2"/>
          <w:sz w:val="12"/>
        </w:rPr>
        <w:t>New</w:t>
      </w:r>
      <w:r>
        <w:rPr>
          <w:rFonts w:ascii="Arial"/>
          <w:color w:val="231F20"/>
          <w:spacing w:val="1"/>
          <w:sz w:val="12"/>
        </w:rPr>
        <w:t> </w:t>
      </w:r>
      <w:r>
        <w:rPr>
          <w:rFonts w:ascii="Arial"/>
          <w:color w:val="231F20"/>
          <w:spacing w:val="-2"/>
          <w:sz w:val="12"/>
        </w:rPr>
        <w:t>York,</w:t>
      </w:r>
      <w:r>
        <w:rPr>
          <w:rFonts w:ascii="Arial"/>
          <w:color w:val="231F20"/>
          <w:spacing w:val="1"/>
          <w:sz w:val="12"/>
        </w:rPr>
        <w:t> </w:t>
      </w:r>
      <w:r>
        <w:rPr>
          <w:rFonts w:ascii="Arial"/>
          <w:color w:val="231F20"/>
          <w:spacing w:val="-2"/>
          <w:sz w:val="12"/>
        </w:rPr>
        <w:t>Harper</w:t>
      </w:r>
      <w:r>
        <w:rPr>
          <w:rFonts w:ascii="Arial"/>
          <w:color w:val="231F20"/>
          <w:spacing w:val="1"/>
          <w:sz w:val="12"/>
        </w:rPr>
        <w:t> </w:t>
      </w:r>
      <w:r>
        <w:rPr>
          <w:rFonts w:ascii="Arial"/>
          <w:color w:val="231F20"/>
          <w:spacing w:val="-2"/>
          <w:sz w:val="12"/>
        </w:rPr>
        <w:t>Perennial.</w:t>
      </w:r>
    </w:p>
    <w:p>
      <w:pPr>
        <w:spacing w:after="0" w:line="240" w:lineRule="auto"/>
        <w:jc w:val="left"/>
        <w:rPr>
          <w:rFonts w:ascii="Arial"/>
          <w:sz w:val="12"/>
        </w:rPr>
        <w:sectPr>
          <w:footerReference w:type="default" r:id="rId306"/>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22"/>
        <w:ind w:left="1470"/>
      </w:pPr>
      <w:r>
        <w:rPr>
          <w:color w:val="231F20"/>
          <w:w w:val="115"/>
        </w:rPr>
        <w:t>Voici</w:t>
      </w:r>
      <w:r>
        <w:rPr>
          <w:color w:val="231F20"/>
          <w:spacing w:val="-8"/>
          <w:w w:val="115"/>
        </w:rPr>
        <w:t> </w:t>
      </w:r>
      <w:r>
        <w:rPr>
          <w:color w:val="231F20"/>
          <w:w w:val="115"/>
        </w:rPr>
        <w:t>les</w:t>
      </w:r>
      <w:r>
        <w:rPr>
          <w:color w:val="231F20"/>
          <w:spacing w:val="-8"/>
          <w:w w:val="115"/>
        </w:rPr>
        <w:t> </w:t>
      </w:r>
      <w:r>
        <w:rPr>
          <w:color w:val="231F20"/>
          <w:w w:val="115"/>
        </w:rPr>
        <w:t>principaux</w:t>
      </w:r>
      <w:r>
        <w:rPr>
          <w:color w:val="231F20"/>
          <w:spacing w:val="-7"/>
          <w:w w:val="115"/>
        </w:rPr>
        <w:t> </w:t>
      </w:r>
      <w:r>
        <w:rPr>
          <w:color w:val="231F20"/>
          <w:w w:val="115"/>
        </w:rPr>
        <w:t>types</w:t>
      </w:r>
      <w:r>
        <w:rPr>
          <w:color w:val="231F20"/>
          <w:spacing w:val="-8"/>
          <w:w w:val="115"/>
        </w:rPr>
        <w:t> </w:t>
      </w:r>
      <w:r>
        <w:rPr>
          <w:color w:val="231F20"/>
          <w:w w:val="115"/>
        </w:rPr>
        <w:t>du</w:t>
      </w:r>
      <w:r>
        <w:rPr>
          <w:color w:val="231F20"/>
          <w:spacing w:val="-8"/>
          <w:w w:val="115"/>
        </w:rPr>
        <w:t> </w:t>
      </w:r>
      <w:r>
        <w:rPr>
          <w:color w:val="231F20"/>
          <w:w w:val="115"/>
        </w:rPr>
        <w:t>soutien</w:t>
      </w:r>
      <w:r>
        <w:rPr>
          <w:color w:val="231F20"/>
          <w:spacing w:val="-8"/>
          <w:w w:val="115"/>
        </w:rPr>
        <w:t> </w:t>
      </w:r>
      <w:r>
        <w:rPr>
          <w:color w:val="231F20"/>
          <w:w w:val="115"/>
        </w:rPr>
        <w:t>social13</w:t>
      </w:r>
      <w:r>
        <w:rPr>
          <w:color w:val="231F20"/>
          <w:spacing w:val="-32"/>
          <w:w w:val="115"/>
        </w:rPr>
        <w:t> </w:t>
      </w:r>
      <w:r>
        <w:rPr>
          <w:color w:val="231F20"/>
          <w:spacing w:val="-10"/>
          <w:w w:val="115"/>
        </w:rPr>
        <w:t>:</w:t>
      </w:r>
    </w:p>
    <w:p>
      <w:pPr>
        <w:pStyle w:val="ListParagraph"/>
        <w:numPr>
          <w:ilvl w:val="0"/>
          <w:numId w:val="87"/>
        </w:numPr>
        <w:tabs>
          <w:tab w:pos="1721" w:val="left" w:leader="none"/>
        </w:tabs>
        <w:spacing w:line="307" w:lineRule="auto" w:before="134" w:after="0"/>
        <w:ind w:left="1720" w:right="105" w:hanging="251"/>
        <w:jc w:val="both"/>
        <w:rPr>
          <w:sz w:val="17"/>
        </w:rPr>
      </w:pPr>
      <w:r>
        <w:rPr>
          <w:i/>
          <w:color w:val="231F20"/>
          <w:w w:val="115"/>
          <w:sz w:val="17"/>
        </w:rPr>
        <w:t>Le</w:t>
      </w:r>
      <w:r>
        <w:rPr>
          <w:i/>
          <w:color w:val="231F20"/>
          <w:spacing w:val="-2"/>
          <w:w w:val="115"/>
          <w:sz w:val="17"/>
        </w:rPr>
        <w:t> </w:t>
      </w:r>
      <w:r>
        <w:rPr>
          <w:i/>
          <w:color w:val="231F20"/>
          <w:w w:val="115"/>
          <w:sz w:val="17"/>
        </w:rPr>
        <w:t>soutien</w:t>
      </w:r>
      <w:r>
        <w:rPr>
          <w:i/>
          <w:color w:val="231F20"/>
          <w:spacing w:val="-2"/>
          <w:w w:val="115"/>
          <w:sz w:val="17"/>
        </w:rPr>
        <w:t> </w:t>
      </w:r>
      <w:r>
        <w:rPr>
          <w:i/>
          <w:color w:val="231F20"/>
          <w:w w:val="115"/>
          <w:sz w:val="17"/>
        </w:rPr>
        <w:t>émotionnel</w:t>
      </w:r>
      <w:r>
        <w:rPr>
          <w:i/>
          <w:color w:val="231F20"/>
          <w:spacing w:val="-2"/>
          <w:w w:val="115"/>
          <w:sz w:val="17"/>
        </w:rPr>
        <w:t> </w:t>
      </w:r>
      <w:r>
        <w:rPr>
          <w:i/>
          <w:color w:val="231F20"/>
          <w:w w:val="115"/>
          <w:sz w:val="17"/>
        </w:rPr>
        <w:t>et</w:t>
      </w:r>
      <w:r>
        <w:rPr>
          <w:i/>
          <w:color w:val="231F20"/>
          <w:spacing w:val="-2"/>
          <w:w w:val="115"/>
          <w:sz w:val="17"/>
        </w:rPr>
        <w:t> </w:t>
      </w:r>
      <w:r>
        <w:rPr>
          <w:i/>
          <w:color w:val="231F20"/>
          <w:w w:val="115"/>
          <w:sz w:val="17"/>
        </w:rPr>
        <w:t>l’encouragement</w:t>
      </w:r>
      <w:r>
        <w:rPr>
          <w:color w:val="231F20"/>
          <w:w w:val="115"/>
          <w:sz w:val="17"/>
        </w:rPr>
        <w:t>.</w:t>
      </w:r>
      <w:r>
        <w:rPr>
          <w:color w:val="231F20"/>
          <w:spacing w:val="-2"/>
          <w:w w:val="115"/>
          <w:sz w:val="17"/>
        </w:rPr>
        <w:t> </w:t>
      </w:r>
      <w:r>
        <w:rPr>
          <w:color w:val="231F20"/>
          <w:w w:val="115"/>
          <w:sz w:val="17"/>
        </w:rPr>
        <w:t>Une</w:t>
      </w:r>
      <w:r>
        <w:rPr>
          <w:color w:val="231F20"/>
          <w:spacing w:val="-2"/>
          <w:w w:val="115"/>
          <w:sz w:val="17"/>
        </w:rPr>
        <w:t> </w:t>
      </w:r>
      <w:r>
        <w:rPr>
          <w:color w:val="231F20"/>
          <w:w w:val="115"/>
          <w:sz w:val="17"/>
        </w:rPr>
        <w:t>épaule</w:t>
      </w:r>
      <w:r>
        <w:rPr>
          <w:color w:val="231F20"/>
          <w:spacing w:val="-2"/>
          <w:w w:val="115"/>
          <w:sz w:val="17"/>
        </w:rPr>
        <w:t> </w:t>
      </w:r>
      <w:r>
        <w:rPr>
          <w:color w:val="231F20"/>
          <w:w w:val="115"/>
          <w:sz w:val="17"/>
        </w:rPr>
        <w:t>sur</w:t>
      </w:r>
      <w:r>
        <w:rPr>
          <w:color w:val="231F20"/>
          <w:spacing w:val="-2"/>
          <w:w w:val="115"/>
          <w:sz w:val="17"/>
        </w:rPr>
        <w:t> </w:t>
      </w:r>
      <w:r>
        <w:rPr>
          <w:color w:val="231F20"/>
          <w:w w:val="115"/>
          <w:sz w:val="17"/>
        </w:rPr>
        <w:t>laquelle </w:t>
      </w:r>
      <w:r>
        <w:rPr>
          <w:color w:val="231F20"/>
          <w:w w:val="120"/>
          <w:sz w:val="17"/>
        </w:rPr>
        <w:t>s’appuyer,</w:t>
      </w:r>
      <w:r>
        <w:rPr>
          <w:color w:val="231F20"/>
          <w:spacing w:val="-13"/>
          <w:w w:val="120"/>
          <w:sz w:val="17"/>
        </w:rPr>
        <w:t> </w:t>
      </w:r>
      <w:r>
        <w:rPr>
          <w:color w:val="231F20"/>
          <w:w w:val="120"/>
          <w:sz w:val="17"/>
        </w:rPr>
        <w:t>une</w:t>
      </w:r>
      <w:r>
        <w:rPr>
          <w:color w:val="231F20"/>
          <w:spacing w:val="-13"/>
          <w:w w:val="120"/>
          <w:sz w:val="17"/>
        </w:rPr>
        <w:t> </w:t>
      </w:r>
      <w:r>
        <w:rPr>
          <w:color w:val="231F20"/>
          <w:w w:val="120"/>
          <w:sz w:val="17"/>
        </w:rPr>
        <w:t>oreille</w:t>
      </w:r>
      <w:r>
        <w:rPr>
          <w:color w:val="231F20"/>
          <w:spacing w:val="-13"/>
          <w:w w:val="120"/>
          <w:sz w:val="17"/>
        </w:rPr>
        <w:t> </w:t>
      </w:r>
      <w:r>
        <w:rPr>
          <w:color w:val="231F20"/>
          <w:w w:val="120"/>
          <w:sz w:val="17"/>
        </w:rPr>
        <w:t>attentive.</w:t>
      </w:r>
      <w:r>
        <w:rPr>
          <w:color w:val="231F20"/>
          <w:spacing w:val="-12"/>
          <w:w w:val="120"/>
          <w:sz w:val="17"/>
        </w:rPr>
        <w:t> </w:t>
      </w:r>
      <w:r>
        <w:rPr>
          <w:color w:val="231F20"/>
          <w:w w:val="120"/>
          <w:sz w:val="17"/>
        </w:rPr>
        <w:t>Le</w:t>
      </w:r>
      <w:r>
        <w:rPr>
          <w:color w:val="231F20"/>
          <w:spacing w:val="-13"/>
          <w:w w:val="120"/>
          <w:sz w:val="17"/>
        </w:rPr>
        <w:t> </w:t>
      </w:r>
      <w:r>
        <w:rPr>
          <w:color w:val="231F20"/>
          <w:w w:val="120"/>
          <w:sz w:val="17"/>
        </w:rPr>
        <w:t>fait</w:t>
      </w:r>
      <w:r>
        <w:rPr>
          <w:color w:val="231F20"/>
          <w:spacing w:val="-13"/>
          <w:w w:val="120"/>
          <w:sz w:val="17"/>
        </w:rPr>
        <w:t> </w:t>
      </w:r>
      <w:r>
        <w:rPr>
          <w:color w:val="231F20"/>
          <w:w w:val="120"/>
          <w:sz w:val="17"/>
        </w:rPr>
        <w:t>de</w:t>
      </w:r>
      <w:r>
        <w:rPr>
          <w:color w:val="231F20"/>
          <w:spacing w:val="-13"/>
          <w:w w:val="120"/>
          <w:sz w:val="17"/>
        </w:rPr>
        <w:t> </w:t>
      </w:r>
      <w:r>
        <w:rPr>
          <w:color w:val="231F20"/>
          <w:w w:val="120"/>
          <w:sz w:val="17"/>
        </w:rPr>
        <w:t>ventiler</w:t>
      </w:r>
      <w:r>
        <w:rPr>
          <w:color w:val="231F20"/>
          <w:spacing w:val="-12"/>
          <w:w w:val="120"/>
          <w:sz w:val="17"/>
        </w:rPr>
        <w:t> </w:t>
      </w:r>
      <w:r>
        <w:rPr>
          <w:color w:val="231F20"/>
          <w:w w:val="120"/>
          <w:sz w:val="17"/>
        </w:rPr>
        <w:t>nos</w:t>
      </w:r>
      <w:r>
        <w:rPr>
          <w:color w:val="231F20"/>
          <w:spacing w:val="-13"/>
          <w:w w:val="120"/>
          <w:sz w:val="17"/>
        </w:rPr>
        <w:t> </w:t>
      </w:r>
      <w:r>
        <w:rPr>
          <w:color w:val="231F20"/>
          <w:w w:val="120"/>
          <w:sz w:val="17"/>
        </w:rPr>
        <w:t>sentiments réduit le stress et nous aide à résoudre nos problèmes et à nous sentir mieux dans notre peau.</w:t>
      </w:r>
    </w:p>
    <w:p>
      <w:pPr>
        <w:pStyle w:val="ListParagraph"/>
        <w:numPr>
          <w:ilvl w:val="0"/>
          <w:numId w:val="87"/>
        </w:numPr>
        <w:tabs>
          <w:tab w:pos="1721" w:val="left" w:leader="none"/>
        </w:tabs>
        <w:spacing w:line="307" w:lineRule="auto" w:before="78" w:after="0"/>
        <w:ind w:left="1720" w:right="105" w:hanging="251"/>
        <w:jc w:val="both"/>
        <w:rPr>
          <w:sz w:val="17"/>
        </w:rPr>
      </w:pPr>
      <w:r>
        <w:rPr>
          <w:i/>
          <w:color w:val="231F20"/>
          <w:w w:val="115"/>
          <w:sz w:val="17"/>
        </w:rPr>
        <w:t>Le soutien logistique</w:t>
      </w:r>
      <w:r>
        <w:rPr>
          <w:color w:val="231F20"/>
          <w:w w:val="115"/>
          <w:sz w:val="17"/>
        </w:rPr>
        <w:t>. Lorsque nous sommes surchargés, malades </w:t>
      </w:r>
      <w:r>
        <w:rPr>
          <w:color w:val="231F20"/>
          <w:w w:val="120"/>
          <w:sz w:val="17"/>
        </w:rPr>
        <w:t>ou</w:t>
      </w:r>
      <w:r>
        <w:rPr>
          <w:color w:val="231F20"/>
          <w:spacing w:val="-9"/>
          <w:w w:val="120"/>
          <w:sz w:val="17"/>
        </w:rPr>
        <w:t> </w:t>
      </w:r>
      <w:r>
        <w:rPr>
          <w:color w:val="231F20"/>
          <w:w w:val="120"/>
          <w:sz w:val="17"/>
        </w:rPr>
        <w:t>dépassés</w:t>
      </w:r>
      <w:r>
        <w:rPr>
          <w:color w:val="231F20"/>
          <w:spacing w:val="-9"/>
          <w:w w:val="120"/>
          <w:sz w:val="17"/>
        </w:rPr>
        <w:t> </w:t>
      </w:r>
      <w:r>
        <w:rPr>
          <w:color w:val="231F20"/>
          <w:w w:val="120"/>
          <w:sz w:val="17"/>
        </w:rPr>
        <w:t>par</w:t>
      </w:r>
      <w:r>
        <w:rPr>
          <w:color w:val="231F20"/>
          <w:spacing w:val="-9"/>
          <w:w w:val="120"/>
          <w:sz w:val="17"/>
        </w:rPr>
        <w:t> </w:t>
      </w:r>
      <w:r>
        <w:rPr>
          <w:color w:val="231F20"/>
          <w:w w:val="120"/>
          <w:sz w:val="17"/>
        </w:rPr>
        <w:t>la</w:t>
      </w:r>
      <w:r>
        <w:rPr>
          <w:color w:val="231F20"/>
          <w:spacing w:val="-9"/>
          <w:w w:val="120"/>
          <w:sz w:val="17"/>
        </w:rPr>
        <w:t> </w:t>
      </w:r>
      <w:r>
        <w:rPr>
          <w:color w:val="231F20"/>
          <w:w w:val="120"/>
          <w:sz w:val="17"/>
        </w:rPr>
        <w:t>situation,</w:t>
      </w:r>
      <w:r>
        <w:rPr>
          <w:color w:val="231F20"/>
          <w:spacing w:val="-9"/>
          <w:w w:val="120"/>
          <w:sz w:val="17"/>
        </w:rPr>
        <w:t> </w:t>
      </w:r>
      <w:r>
        <w:rPr>
          <w:color w:val="231F20"/>
          <w:w w:val="120"/>
          <w:sz w:val="17"/>
        </w:rPr>
        <w:t>des</w:t>
      </w:r>
      <w:r>
        <w:rPr>
          <w:color w:val="231F20"/>
          <w:spacing w:val="-9"/>
          <w:w w:val="120"/>
          <w:sz w:val="17"/>
        </w:rPr>
        <w:t> </w:t>
      </w:r>
      <w:r>
        <w:rPr>
          <w:color w:val="231F20"/>
          <w:w w:val="120"/>
          <w:sz w:val="17"/>
        </w:rPr>
        <w:t>gens</w:t>
      </w:r>
      <w:r>
        <w:rPr>
          <w:color w:val="231F20"/>
          <w:spacing w:val="-9"/>
          <w:w w:val="120"/>
          <w:sz w:val="17"/>
        </w:rPr>
        <w:t> </w:t>
      </w:r>
      <w:r>
        <w:rPr>
          <w:color w:val="231F20"/>
          <w:w w:val="120"/>
          <w:sz w:val="17"/>
        </w:rPr>
        <w:t>de</w:t>
      </w:r>
      <w:r>
        <w:rPr>
          <w:color w:val="231F20"/>
          <w:spacing w:val="-9"/>
          <w:w w:val="120"/>
          <w:sz w:val="17"/>
        </w:rPr>
        <w:t> </w:t>
      </w:r>
      <w:r>
        <w:rPr>
          <w:color w:val="231F20"/>
          <w:w w:val="120"/>
          <w:sz w:val="17"/>
        </w:rPr>
        <w:t>notre</w:t>
      </w:r>
      <w:r>
        <w:rPr>
          <w:color w:val="231F20"/>
          <w:spacing w:val="-9"/>
          <w:w w:val="120"/>
          <w:sz w:val="17"/>
        </w:rPr>
        <w:t> </w:t>
      </w:r>
      <w:r>
        <w:rPr>
          <w:color w:val="231F20"/>
          <w:w w:val="120"/>
          <w:sz w:val="17"/>
        </w:rPr>
        <w:t>entourage</w:t>
      </w:r>
      <w:r>
        <w:rPr>
          <w:color w:val="231F20"/>
          <w:spacing w:val="-9"/>
          <w:w w:val="120"/>
          <w:sz w:val="17"/>
        </w:rPr>
        <w:t> </w:t>
      </w:r>
      <w:r>
        <w:rPr>
          <w:color w:val="231F20"/>
          <w:w w:val="120"/>
          <w:sz w:val="17"/>
        </w:rPr>
        <w:t>peuvent prendre</w:t>
      </w:r>
      <w:r>
        <w:rPr>
          <w:color w:val="231F20"/>
          <w:spacing w:val="-2"/>
          <w:w w:val="120"/>
          <w:sz w:val="17"/>
        </w:rPr>
        <w:t> </w:t>
      </w:r>
      <w:r>
        <w:rPr>
          <w:color w:val="231F20"/>
          <w:w w:val="120"/>
          <w:sz w:val="17"/>
        </w:rPr>
        <w:t>soin</w:t>
      </w:r>
      <w:r>
        <w:rPr>
          <w:color w:val="231F20"/>
          <w:spacing w:val="-2"/>
          <w:w w:val="120"/>
          <w:sz w:val="17"/>
        </w:rPr>
        <w:t> </w:t>
      </w:r>
      <w:r>
        <w:rPr>
          <w:color w:val="231F20"/>
          <w:w w:val="120"/>
          <w:sz w:val="17"/>
        </w:rPr>
        <w:t>de</w:t>
      </w:r>
      <w:r>
        <w:rPr>
          <w:color w:val="231F20"/>
          <w:spacing w:val="-2"/>
          <w:w w:val="120"/>
          <w:sz w:val="17"/>
        </w:rPr>
        <w:t> </w:t>
      </w:r>
      <w:r>
        <w:rPr>
          <w:color w:val="231F20"/>
          <w:w w:val="120"/>
          <w:sz w:val="17"/>
        </w:rPr>
        <w:t>nos</w:t>
      </w:r>
      <w:r>
        <w:rPr>
          <w:color w:val="231F20"/>
          <w:spacing w:val="-2"/>
          <w:w w:val="120"/>
          <w:sz w:val="17"/>
        </w:rPr>
        <w:t> </w:t>
      </w:r>
      <w:r>
        <w:rPr>
          <w:color w:val="231F20"/>
          <w:w w:val="120"/>
          <w:sz w:val="17"/>
        </w:rPr>
        <w:t>enfants,</w:t>
      </w:r>
      <w:r>
        <w:rPr>
          <w:color w:val="231F20"/>
          <w:spacing w:val="-2"/>
          <w:w w:val="120"/>
          <w:sz w:val="17"/>
        </w:rPr>
        <w:t> </w:t>
      </w:r>
      <w:r>
        <w:rPr>
          <w:color w:val="231F20"/>
          <w:w w:val="120"/>
          <w:sz w:val="17"/>
        </w:rPr>
        <w:t>nous</w:t>
      </w:r>
      <w:r>
        <w:rPr>
          <w:color w:val="231F20"/>
          <w:spacing w:val="-2"/>
          <w:w w:val="120"/>
          <w:sz w:val="17"/>
        </w:rPr>
        <w:t> </w:t>
      </w:r>
      <w:r>
        <w:rPr>
          <w:color w:val="231F20"/>
          <w:w w:val="120"/>
          <w:sz w:val="17"/>
        </w:rPr>
        <w:t>aider</w:t>
      </w:r>
      <w:r>
        <w:rPr>
          <w:color w:val="231F20"/>
          <w:spacing w:val="-2"/>
          <w:w w:val="120"/>
          <w:sz w:val="17"/>
        </w:rPr>
        <w:t> </w:t>
      </w:r>
      <w:r>
        <w:rPr>
          <w:color w:val="231F20"/>
          <w:w w:val="120"/>
          <w:sz w:val="17"/>
        </w:rPr>
        <w:t>à</w:t>
      </w:r>
      <w:r>
        <w:rPr>
          <w:color w:val="231F20"/>
          <w:spacing w:val="-2"/>
          <w:w w:val="120"/>
          <w:sz w:val="17"/>
        </w:rPr>
        <w:t> </w:t>
      </w:r>
      <w:r>
        <w:rPr>
          <w:color w:val="231F20"/>
          <w:w w:val="120"/>
          <w:sz w:val="17"/>
        </w:rPr>
        <w:t>faire</w:t>
      </w:r>
      <w:r>
        <w:rPr>
          <w:color w:val="231F20"/>
          <w:spacing w:val="-2"/>
          <w:w w:val="120"/>
          <w:sz w:val="17"/>
        </w:rPr>
        <w:t> </w:t>
      </w:r>
      <w:r>
        <w:rPr>
          <w:color w:val="231F20"/>
          <w:w w:val="120"/>
          <w:sz w:val="17"/>
        </w:rPr>
        <w:t>nos</w:t>
      </w:r>
      <w:r>
        <w:rPr>
          <w:color w:val="231F20"/>
          <w:spacing w:val="-2"/>
          <w:w w:val="120"/>
          <w:sz w:val="17"/>
        </w:rPr>
        <w:t> </w:t>
      </w:r>
      <w:r>
        <w:rPr>
          <w:color w:val="231F20"/>
          <w:w w:val="120"/>
          <w:sz w:val="17"/>
        </w:rPr>
        <w:t>tâches</w:t>
      </w:r>
      <w:r>
        <w:rPr>
          <w:color w:val="231F20"/>
          <w:spacing w:val="-2"/>
          <w:w w:val="120"/>
          <w:sz w:val="17"/>
        </w:rPr>
        <w:t> </w:t>
      </w:r>
      <w:r>
        <w:rPr>
          <w:color w:val="231F20"/>
          <w:w w:val="120"/>
          <w:sz w:val="17"/>
        </w:rPr>
        <w:t>ou</w:t>
      </w:r>
      <w:r>
        <w:rPr>
          <w:color w:val="231F20"/>
          <w:spacing w:val="-2"/>
          <w:w w:val="120"/>
          <w:sz w:val="17"/>
        </w:rPr>
        <w:t> </w:t>
      </w:r>
      <w:r>
        <w:rPr>
          <w:color w:val="231F20"/>
          <w:w w:val="120"/>
          <w:sz w:val="17"/>
        </w:rPr>
        <w:t>nos courses ou nous conduire à la clinique médicale.</w:t>
      </w:r>
    </w:p>
    <w:p>
      <w:pPr>
        <w:pStyle w:val="ListParagraph"/>
        <w:numPr>
          <w:ilvl w:val="0"/>
          <w:numId w:val="87"/>
        </w:numPr>
        <w:tabs>
          <w:tab w:pos="1721" w:val="left" w:leader="none"/>
        </w:tabs>
        <w:spacing w:line="307" w:lineRule="auto" w:before="79" w:after="0"/>
        <w:ind w:left="1720" w:right="103" w:hanging="251"/>
        <w:jc w:val="both"/>
        <w:rPr>
          <w:sz w:val="17"/>
        </w:rPr>
      </w:pPr>
      <w:r>
        <w:rPr>
          <w:i/>
          <w:color w:val="231F20"/>
          <w:spacing w:val="-2"/>
          <w:w w:val="115"/>
          <w:sz w:val="17"/>
        </w:rPr>
        <w:t>Le</w:t>
      </w:r>
      <w:r>
        <w:rPr>
          <w:i/>
          <w:color w:val="231F20"/>
          <w:spacing w:val="-6"/>
          <w:w w:val="115"/>
          <w:sz w:val="17"/>
        </w:rPr>
        <w:t> </w:t>
      </w:r>
      <w:r>
        <w:rPr>
          <w:i/>
          <w:color w:val="231F20"/>
          <w:spacing w:val="-2"/>
          <w:w w:val="115"/>
          <w:sz w:val="17"/>
        </w:rPr>
        <w:t>mentorat</w:t>
      </w:r>
      <w:r>
        <w:rPr>
          <w:i/>
          <w:color w:val="231F20"/>
          <w:spacing w:val="-6"/>
          <w:w w:val="115"/>
          <w:sz w:val="17"/>
        </w:rPr>
        <w:t> </w:t>
      </w:r>
      <w:r>
        <w:rPr>
          <w:i/>
          <w:color w:val="231F20"/>
          <w:spacing w:val="-2"/>
          <w:w w:val="115"/>
          <w:sz w:val="17"/>
        </w:rPr>
        <w:t>et</w:t>
      </w:r>
      <w:r>
        <w:rPr>
          <w:i/>
          <w:color w:val="231F20"/>
          <w:spacing w:val="-6"/>
          <w:w w:val="115"/>
          <w:sz w:val="17"/>
        </w:rPr>
        <w:t> </w:t>
      </w:r>
      <w:r>
        <w:rPr>
          <w:i/>
          <w:color w:val="231F20"/>
          <w:spacing w:val="-2"/>
          <w:w w:val="115"/>
          <w:sz w:val="17"/>
        </w:rPr>
        <w:t>l’accompagnement</w:t>
      </w:r>
      <w:r>
        <w:rPr>
          <w:i/>
          <w:color w:val="231F20"/>
          <w:spacing w:val="-6"/>
          <w:w w:val="115"/>
          <w:sz w:val="17"/>
        </w:rPr>
        <w:t> </w:t>
      </w:r>
      <w:r>
        <w:rPr>
          <w:i/>
          <w:color w:val="231F20"/>
          <w:spacing w:val="-2"/>
          <w:w w:val="115"/>
          <w:sz w:val="17"/>
        </w:rPr>
        <w:t>professionnel</w:t>
      </w:r>
      <w:r>
        <w:rPr>
          <w:color w:val="231F20"/>
          <w:spacing w:val="-2"/>
          <w:w w:val="115"/>
          <w:sz w:val="17"/>
        </w:rPr>
        <w:t>.</w:t>
      </w:r>
      <w:r>
        <w:rPr>
          <w:color w:val="231F20"/>
          <w:spacing w:val="-6"/>
          <w:w w:val="115"/>
          <w:sz w:val="17"/>
        </w:rPr>
        <w:t> </w:t>
      </w:r>
      <w:r>
        <w:rPr>
          <w:color w:val="231F20"/>
          <w:spacing w:val="-2"/>
          <w:w w:val="115"/>
          <w:sz w:val="17"/>
        </w:rPr>
        <w:t>Après</w:t>
      </w:r>
      <w:r>
        <w:rPr>
          <w:color w:val="231F20"/>
          <w:spacing w:val="-6"/>
          <w:w w:val="115"/>
          <w:sz w:val="17"/>
        </w:rPr>
        <w:t> </w:t>
      </w:r>
      <w:r>
        <w:rPr>
          <w:color w:val="231F20"/>
          <w:spacing w:val="-2"/>
          <w:w w:val="115"/>
          <w:sz w:val="17"/>
        </w:rPr>
        <w:t>la</w:t>
      </w:r>
      <w:r>
        <w:rPr>
          <w:color w:val="231F20"/>
          <w:spacing w:val="-6"/>
          <w:w w:val="115"/>
          <w:sz w:val="17"/>
        </w:rPr>
        <w:t> </w:t>
      </w:r>
      <w:r>
        <w:rPr>
          <w:color w:val="231F20"/>
          <w:spacing w:val="-2"/>
          <w:w w:val="115"/>
          <w:sz w:val="17"/>
        </w:rPr>
        <w:t>perte</w:t>
      </w:r>
      <w:r>
        <w:rPr>
          <w:color w:val="231F20"/>
          <w:spacing w:val="-6"/>
          <w:w w:val="115"/>
          <w:sz w:val="17"/>
        </w:rPr>
        <w:t> </w:t>
      </w:r>
      <w:r>
        <w:rPr>
          <w:color w:val="231F20"/>
          <w:spacing w:val="-2"/>
          <w:w w:val="115"/>
          <w:sz w:val="17"/>
        </w:rPr>
        <w:t>d’un </w:t>
      </w:r>
      <w:r>
        <w:rPr>
          <w:color w:val="231F20"/>
          <w:w w:val="120"/>
          <w:sz w:val="17"/>
        </w:rPr>
        <w:t>emploi</w:t>
      </w:r>
      <w:r>
        <w:rPr>
          <w:color w:val="231F20"/>
          <w:spacing w:val="-7"/>
          <w:w w:val="120"/>
          <w:sz w:val="17"/>
        </w:rPr>
        <w:t> </w:t>
      </w:r>
      <w:r>
        <w:rPr>
          <w:color w:val="231F20"/>
          <w:w w:val="120"/>
          <w:sz w:val="17"/>
        </w:rPr>
        <w:t>ou</w:t>
      </w:r>
      <w:r>
        <w:rPr>
          <w:color w:val="231F20"/>
          <w:spacing w:val="-7"/>
          <w:w w:val="120"/>
          <w:sz w:val="17"/>
        </w:rPr>
        <w:t> </w:t>
      </w:r>
      <w:r>
        <w:rPr>
          <w:color w:val="231F20"/>
          <w:w w:val="120"/>
          <w:sz w:val="17"/>
        </w:rPr>
        <w:t>l’éclatement</w:t>
      </w:r>
      <w:r>
        <w:rPr>
          <w:color w:val="231F20"/>
          <w:spacing w:val="-7"/>
          <w:w w:val="120"/>
          <w:sz w:val="17"/>
        </w:rPr>
        <w:t> </w:t>
      </w:r>
      <w:r>
        <w:rPr>
          <w:color w:val="231F20"/>
          <w:w w:val="120"/>
          <w:sz w:val="17"/>
        </w:rPr>
        <w:t>d’une</w:t>
      </w:r>
      <w:r>
        <w:rPr>
          <w:color w:val="231F20"/>
          <w:spacing w:val="-7"/>
          <w:w w:val="120"/>
          <w:sz w:val="17"/>
        </w:rPr>
        <w:t> </w:t>
      </w:r>
      <w:r>
        <w:rPr>
          <w:color w:val="231F20"/>
          <w:w w:val="120"/>
          <w:sz w:val="17"/>
        </w:rPr>
        <w:t>relation,</w:t>
      </w:r>
      <w:r>
        <w:rPr>
          <w:color w:val="231F20"/>
          <w:spacing w:val="-7"/>
          <w:w w:val="120"/>
          <w:sz w:val="17"/>
        </w:rPr>
        <w:t> </w:t>
      </w:r>
      <w:r>
        <w:rPr>
          <w:color w:val="231F20"/>
          <w:w w:val="120"/>
          <w:sz w:val="17"/>
        </w:rPr>
        <w:t>il</w:t>
      </w:r>
      <w:r>
        <w:rPr>
          <w:color w:val="231F20"/>
          <w:spacing w:val="-7"/>
          <w:w w:val="120"/>
          <w:sz w:val="17"/>
        </w:rPr>
        <w:t> </w:t>
      </w:r>
      <w:r>
        <w:rPr>
          <w:color w:val="231F20"/>
          <w:w w:val="120"/>
          <w:sz w:val="17"/>
        </w:rPr>
        <w:t>est</w:t>
      </w:r>
      <w:r>
        <w:rPr>
          <w:color w:val="231F20"/>
          <w:spacing w:val="-7"/>
          <w:w w:val="120"/>
          <w:sz w:val="17"/>
        </w:rPr>
        <w:t> </w:t>
      </w:r>
      <w:r>
        <w:rPr>
          <w:color w:val="231F20"/>
          <w:w w:val="120"/>
          <w:sz w:val="17"/>
        </w:rPr>
        <w:t>bon</w:t>
      </w:r>
      <w:r>
        <w:rPr>
          <w:color w:val="231F20"/>
          <w:spacing w:val="-7"/>
          <w:w w:val="120"/>
          <w:sz w:val="17"/>
        </w:rPr>
        <w:t> </w:t>
      </w:r>
      <w:r>
        <w:rPr>
          <w:color w:val="231F20"/>
          <w:w w:val="120"/>
          <w:sz w:val="17"/>
        </w:rPr>
        <w:t>de</w:t>
      </w:r>
      <w:r>
        <w:rPr>
          <w:color w:val="231F20"/>
          <w:spacing w:val="-7"/>
          <w:w w:val="120"/>
          <w:sz w:val="17"/>
        </w:rPr>
        <w:t> </w:t>
      </w:r>
      <w:r>
        <w:rPr>
          <w:color w:val="231F20"/>
          <w:w w:val="120"/>
          <w:sz w:val="17"/>
        </w:rPr>
        <w:t>discuter</w:t>
      </w:r>
      <w:r>
        <w:rPr>
          <w:color w:val="231F20"/>
          <w:spacing w:val="-7"/>
          <w:w w:val="120"/>
          <w:sz w:val="17"/>
        </w:rPr>
        <w:t> </w:t>
      </w:r>
      <w:r>
        <w:rPr>
          <w:color w:val="231F20"/>
          <w:w w:val="120"/>
          <w:sz w:val="17"/>
        </w:rPr>
        <w:t>avec </w:t>
      </w:r>
      <w:r>
        <w:rPr>
          <w:color w:val="231F20"/>
          <w:spacing w:val="-2"/>
          <w:w w:val="120"/>
          <w:sz w:val="17"/>
        </w:rPr>
        <w:t>des</w:t>
      </w:r>
      <w:r>
        <w:rPr>
          <w:color w:val="231F20"/>
          <w:spacing w:val="-6"/>
          <w:w w:val="120"/>
          <w:sz w:val="17"/>
        </w:rPr>
        <w:t> </w:t>
      </w:r>
      <w:r>
        <w:rPr>
          <w:color w:val="231F20"/>
          <w:spacing w:val="-2"/>
          <w:w w:val="120"/>
          <w:sz w:val="17"/>
        </w:rPr>
        <w:t>personnes</w:t>
      </w:r>
      <w:r>
        <w:rPr>
          <w:color w:val="231F20"/>
          <w:spacing w:val="-6"/>
          <w:w w:val="120"/>
          <w:sz w:val="17"/>
        </w:rPr>
        <w:t> </w:t>
      </w:r>
      <w:r>
        <w:rPr>
          <w:color w:val="231F20"/>
          <w:spacing w:val="-2"/>
          <w:w w:val="120"/>
          <w:sz w:val="17"/>
        </w:rPr>
        <w:t>qui</w:t>
      </w:r>
      <w:r>
        <w:rPr>
          <w:color w:val="231F20"/>
          <w:spacing w:val="-6"/>
          <w:w w:val="120"/>
          <w:sz w:val="17"/>
        </w:rPr>
        <w:t> </w:t>
      </w:r>
      <w:r>
        <w:rPr>
          <w:color w:val="231F20"/>
          <w:spacing w:val="-2"/>
          <w:w w:val="120"/>
          <w:sz w:val="17"/>
        </w:rPr>
        <w:t>ont</w:t>
      </w:r>
      <w:r>
        <w:rPr>
          <w:color w:val="231F20"/>
          <w:spacing w:val="-6"/>
          <w:w w:val="120"/>
          <w:sz w:val="17"/>
        </w:rPr>
        <w:t> </w:t>
      </w:r>
      <w:r>
        <w:rPr>
          <w:color w:val="231F20"/>
          <w:spacing w:val="-2"/>
          <w:w w:val="120"/>
          <w:sz w:val="17"/>
        </w:rPr>
        <w:t>vécu</w:t>
      </w:r>
      <w:r>
        <w:rPr>
          <w:color w:val="231F20"/>
          <w:spacing w:val="-6"/>
          <w:w w:val="120"/>
          <w:sz w:val="17"/>
        </w:rPr>
        <w:t> </w:t>
      </w:r>
      <w:r>
        <w:rPr>
          <w:color w:val="231F20"/>
          <w:spacing w:val="-2"/>
          <w:w w:val="120"/>
          <w:sz w:val="17"/>
        </w:rPr>
        <w:t>une</w:t>
      </w:r>
      <w:r>
        <w:rPr>
          <w:color w:val="231F20"/>
          <w:spacing w:val="-6"/>
          <w:w w:val="120"/>
          <w:sz w:val="17"/>
        </w:rPr>
        <w:t> </w:t>
      </w:r>
      <w:r>
        <w:rPr>
          <w:color w:val="231F20"/>
          <w:spacing w:val="-2"/>
          <w:w w:val="120"/>
          <w:sz w:val="17"/>
        </w:rPr>
        <w:t>expérience</w:t>
      </w:r>
      <w:r>
        <w:rPr>
          <w:color w:val="231F20"/>
          <w:spacing w:val="-6"/>
          <w:w w:val="120"/>
          <w:sz w:val="17"/>
        </w:rPr>
        <w:t> </w:t>
      </w:r>
      <w:r>
        <w:rPr>
          <w:color w:val="231F20"/>
          <w:spacing w:val="-2"/>
          <w:w w:val="120"/>
          <w:sz w:val="17"/>
        </w:rPr>
        <w:t>similaire</w:t>
      </w:r>
      <w:r>
        <w:rPr>
          <w:color w:val="231F20"/>
          <w:spacing w:val="-6"/>
          <w:w w:val="120"/>
          <w:sz w:val="17"/>
        </w:rPr>
        <w:t> </w:t>
      </w:r>
      <w:r>
        <w:rPr>
          <w:color w:val="231F20"/>
          <w:spacing w:val="-2"/>
          <w:w w:val="120"/>
          <w:sz w:val="17"/>
        </w:rPr>
        <w:t>et</w:t>
      </w:r>
      <w:r>
        <w:rPr>
          <w:color w:val="231F20"/>
          <w:spacing w:val="-6"/>
          <w:w w:val="120"/>
          <w:sz w:val="17"/>
        </w:rPr>
        <w:t> </w:t>
      </w:r>
      <w:r>
        <w:rPr>
          <w:color w:val="231F20"/>
          <w:spacing w:val="-2"/>
          <w:w w:val="120"/>
          <w:sz w:val="17"/>
        </w:rPr>
        <w:t>qui</w:t>
      </w:r>
      <w:r>
        <w:rPr>
          <w:color w:val="231F20"/>
          <w:spacing w:val="-6"/>
          <w:w w:val="120"/>
          <w:sz w:val="17"/>
        </w:rPr>
        <w:t> </w:t>
      </w:r>
      <w:r>
        <w:rPr>
          <w:color w:val="231F20"/>
          <w:spacing w:val="-2"/>
          <w:w w:val="120"/>
          <w:sz w:val="17"/>
        </w:rPr>
        <w:t>sont</w:t>
      </w:r>
      <w:r>
        <w:rPr>
          <w:color w:val="231F20"/>
          <w:spacing w:val="-6"/>
          <w:w w:val="120"/>
          <w:sz w:val="17"/>
        </w:rPr>
        <w:t> </w:t>
      </w:r>
      <w:r>
        <w:rPr>
          <w:color w:val="231F20"/>
          <w:spacing w:val="-2"/>
          <w:w w:val="120"/>
          <w:sz w:val="17"/>
        </w:rPr>
        <w:t>en </w:t>
      </w:r>
      <w:r>
        <w:rPr>
          <w:color w:val="231F20"/>
          <w:w w:val="120"/>
          <w:sz w:val="17"/>
        </w:rPr>
        <w:t>mesure</w:t>
      </w:r>
      <w:r>
        <w:rPr>
          <w:color w:val="231F20"/>
          <w:spacing w:val="-4"/>
          <w:w w:val="120"/>
          <w:sz w:val="17"/>
        </w:rPr>
        <w:t> </w:t>
      </w:r>
      <w:r>
        <w:rPr>
          <w:color w:val="231F20"/>
          <w:w w:val="120"/>
          <w:sz w:val="17"/>
        </w:rPr>
        <w:t>de</w:t>
      </w:r>
      <w:r>
        <w:rPr>
          <w:color w:val="231F20"/>
          <w:spacing w:val="-4"/>
          <w:w w:val="120"/>
          <w:sz w:val="17"/>
        </w:rPr>
        <w:t> </w:t>
      </w:r>
      <w:r>
        <w:rPr>
          <w:color w:val="231F20"/>
          <w:w w:val="120"/>
          <w:sz w:val="17"/>
        </w:rPr>
        <w:t>nous</w:t>
      </w:r>
      <w:r>
        <w:rPr>
          <w:color w:val="231F20"/>
          <w:spacing w:val="-4"/>
          <w:w w:val="120"/>
          <w:sz w:val="17"/>
        </w:rPr>
        <w:t> </w:t>
      </w:r>
      <w:r>
        <w:rPr>
          <w:color w:val="231F20"/>
          <w:w w:val="120"/>
          <w:sz w:val="17"/>
        </w:rPr>
        <w:t>parler</w:t>
      </w:r>
      <w:r>
        <w:rPr>
          <w:color w:val="231F20"/>
          <w:spacing w:val="-4"/>
          <w:w w:val="120"/>
          <w:sz w:val="17"/>
        </w:rPr>
        <w:t> </w:t>
      </w:r>
      <w:r>
        <w:rPr>
          <w:color w:val="231F20"/>
          <w:w w:val="120"/>
          <w:sz w:val="17"/>
        </w:rPr>
        <w:t>des</w:t>
      </w:r>
      <w:r>
        <w:rPr>
          <w:color w:val="231F20"/>
          <w:spacing w:val="-4"/>
          <w:w w:val="120"/>
          <w:sz w:val="17"/>
        </w:rPr>
        <w:t> </w:t>
      </w:r>
      <w:r>
        <w:rPr>
          <w:color w:val="231F20"/>
          <w:w w:val="120"/>
          <w:sz w:val="17"/>
        </w:rPr>
        <w:t>leçons</w:t>
      </w:r>
      <w:r>
        <w:rPr>
          <w:color w:val="231F20"/>
          <w:spacing w:val="-4"/>
          <w:w w:val="120"/>
          <w:sz w:val="17"/>
        </w:rPr>
        <w:t> </w:t>
      </w:r>
      <w:r>
        <w:rPr>
          <w:color w:val="231F20"/>
          <w:w w:val="120"/>
          <w:sz w:val="17"/>
        </w:rPr>
        <w:t>qu’elles</w:t>
      </w:r>
      <w:r>
        <w:rPr>
          <w:color w:val="231F20"/>
          <w:spacing w:val="-4"/>
          <w:w w:val="120"/>
          <w:sz w:val="17"/>
        </w:rPr>
        <w:t> </w:t>
      </w:r>
      <w:r>
        <w:rPr>
          <w:color w:val="231F20"/>
          <w:w w:val="120"/>
          <w:sz w:val="17"/>
        </w:rPr>
        <w:t>en</w:t>
      </w:r>
      <w:r>
        <w:rPr>
          <w:color w:val="231F20"/>
          <w:spacing w:val="-4"/>
          <w:w w:val="120"/>
          <w:sz w:val="17"/>
        </w:rPr>
        <w:t> </w:t>
      </w:r>
      <w:r>
        <w:rPr>
          <w:color w:val="231F20"/>
          <w:w w:val="120"/>
          <w:sz w:val="17"/>
        </w:rPr>
        <w:t>ont</w:t>
      </w:r>
      <w:r>
        <w:rPr>
          <w:color w:val="231F20"/>
          <w:spacing w:val="-4"/>
          <w:w w:val="120"/>
          <w:sz w:val="17"/>
        </w:rPr>
        <w:t> </w:t>
      </w:r>
      <w:r>
        <w:rPr>
          <w:color w:val="231F20"/>
          <w:w w:val="120"/>
          <w:sz w:val="17"/>
        </w:rPr>
        <w:t>tirées.</w:t>
      </w:r>
      <w:r>
        <w:rPr>
          <w:color w:val="231F20"/>
          <w:spacing w:val="-4"/>
          <w:w w:val="120"/>
          <w:sz w:val="17"/>
        </w:rPr>
        <w:t> </w:t>
      </w:r>
      <w:r>
        <w:rPr>
          <w:color w:val="231F20"/>
          <w:w w:val="120"/>
          <w:sz w:val="17"/>
        </w:rPr>
        <w:t>Les</w:t>
      </w:r>
      <w:r>
        <w:rPr>
          <w:color w:val="231F20"/>
          <w:spacing w:val="-4"/>
          <w:w w:val="120"/>
          <w:sz w:val="17"/>
        </w:rPr>
        <w:t> </w:t>
      </w:r>
      <w:r>
        <w:rPr>
          <w:color w:val="231F20"/>
          <w:w w:val="120"/>
          <w:sz w:val="17"/>
        </w:rPr>
        <w:t>gens </w:t>
      </w:r>
      <w:r>
        <w:rPr>
          <w:color w:val="231F20"/>
          <w:spacing w:val="-2"/>
          <w:w w:val="120"/>
          <w:sz w:val="17"/>
        </w:rPr>
        <w:t>de</w:t>
      </w:r>
      <w:r>
        <w:rPr>
          <w:color w:val="231F20"/>
          <w:spacing w:val="-10"/>
          <w:w w:val="120"/>
          <w:sz w:val="17"/>
        </w:rPr>
        <w:t> </w:t>
      </w:r>
      <w:r>
        <w:rPr>
          <w:color w:val="231F20"/>
          <w:spacing w:val="-2"/>
          <w:w w:val="120"/>
          <w:sz w:val="17"/>
        </w:rPr>
        <w:t>notre</w:t>
      </w:r>
      <w:r>
        <w:rPr>
          <w:color w:val="231F20"/>
          <w:spacing w:val="-10"/>
          <w:w w:val="120"/>
          <w:sz w:val="17"/>
        </w:rPr>
        <w:t> </w:t>
      </w:r>
      <w:r>
        <w:rPr>
          <w:color w:val="231F20"/>
          <w:spacing w:val="-2"/>
          <w:w w:val="120"/>
          <w:sz w:val="17"/>
        </w:rPr>
        <w:t>entourage</w:t>
      </w:r>
      <w:r>
        <w:rPr>
          <w:color w:val="231F20"/>
          <w:spacing w:val="-10"/>
          <w:w w:val="120"/>
          <w:sz w:val="17"/>
        </w:rPr>
        <w:t> </w:t>
      </w:r>
      <w:r>
        <w:rPr>
          <w:color w:val="231F20"/>
          <w:spacing w:val="-2"/>
          <w:w w:val="120"/>
          <w:sz w:val="17"/>
        </w:rPr>
        <w:t>peuvent</w:t>
      </w:r>
      <w:r>
        <w:rPr>
          <w:color w:val="231F20"/>
          <w:spacing w:val="-10"/>
          <w:w w:val="120"/>
          <w:sz w:val="17"/>
        </w:rPr>
        <w:t> </w:t>
      </w:r>
      <w:r>
        <w:rPr>
          <w:color w:val="231F20"/>
          <w:spacing w:val="-2"/>
          <w:w w:val="120"/>
          <w:sz w:val="17"/>
        </w:rPr>
        <w:t>aussi</w:t>
      </w:r>
      <w:r>
        <w:rPr>
          <w:color w:val="231F20"/>
          <w:spacing w:val="-10"/>
          <w:w w:val="120"/>
          <w:sz w:val="17"/>
        </w:rPr>
        <w:t> </w:t>
      </w:r>
      <w:r>
        <w:rPr>
          <w:color w:val="231F20"/>
          <w:spacing w:val="-2"/>
          <w:w w:val="120"/>
          <w:sz w:val="17"/>
        </w:rPr>
        <w:t>nous</w:t>
      </w:r>
      <w:r>
        <w:rPr>
          <w:color w:val="231F20"/>
          <w:spacing w:val="-10"/>
          <w:w w:val="120"/>
          <w:sz w:val="17"/>
        </w:rPr>
        <w:t> </w:t>
      </w:r>
      <w:r>
        <w:rPr>
          <w:color w:val="231F20"/>
          <w:spacing w:val="-2"/>
          <w:w w:val="120"/>
          <w:sz w:val="17"/>
        </w:rPr>
        <w:t>apprendre</w:t>
      </w:r>
      <w:r>
        <w:rPr>
          <w:color w:val="231F20"/>
          <w:spacing w:val="-10"/>
          <w:w w:val="120"/>
          <w:sz w:val="17"/>
        </w:rPr>
        <w:t> </w:t>
      </w:r>
      <w:r>
        <w:rPr>
          <w:color w:val="231F20"/>
          <w:spacing w:val="-2"/>
          <w:w w:val="120"/>
          <w:sz w:val="17"/>
        </w:rPr>
        <w:t>à</w:t>
      </w:r>
      <w:r>
        <w:rPr>
          <w:color w:val="231F20"/>
          <w:spacing w:val="-10"/>
          <w:w w:val="120"/>
          <w:sz w:val="17"/>
        </w:rPr>
        <w:t> </w:t>
      </w:r>
      <w:r>
        <w:rPr>
          <w:color w:val="231F20"/>
          <w:spacing w:val="-2"/>
          <w:w w:val="120"/>
          <w:sz w:val="17"/>
        </w:rPr>
        <w:t>utiliser</w:t>
      </w:r>
      <w:r>
        <w:rPr>
          <w:color w:val="231F20"/>
          <w:spacing w:val="-10"/>
          <w:w w:val="120"/>
          <w:sz w:val="17"/>
        </w:rPr>
        <w:t> </w:t>
      </w:r>
      <w:r>
        <w:rPr>
          <w:color w:val="231F20"/>
          <w:spacing w:val="-2"/>
          <w:w w:val="120"/>
          <w:sz w:val="17"/>
        </w:rPr>
        <w:t>un</w:t>
      </w:r>
      <w:r>
        <w:rPr>
          <w:color w:val="231F20"/>
          <w:spacing w:val="-10"/>
          <w:w w:val="120"/>
          <w:sz w:val="17"/>
        </w:rPr>
        <w:t> </w:t>
      </w:r>
      <w:r>
        <w:rPr>
          <w:color w:val="231F20"/>
          <w:spacing w:val="-2"/>
          <w:w w:val="120"/>
          <w:sz w:val="17"/>
        </w:rPr>
        <w:t>logi- </w:t>
      </w:r>
      <w:r>
        <w:rPr>
          <w:color w:val="231F20"/>
          <w:w w:val="120"/>
          <w:sz w:val="17"/>
        </w:rPr>
        <w:t>ciel,</w:t>
      </w:r>
      <w:r>
        <w:rPr>
          <w:color w:val="231F20"/>
          <w:spacing w:val="-2"/>
          <w:w w:val="120"/>
          <w:sz w:val="17"/>
        </w:rPr>
        <w:t> </w:t>
      </w:r>
      <w:r>
        <w:rPr>
          <w:color w:val="231F20"/>
          <w:w w:val="120"/>
          <w:sz w:val="17"/>
        </w:rPr>
        <w:t>à</w:t>
      </w:r>
      <w:r>
        <w:rPr>
          <w:color w:val="231F20"/>
          <w:spacing w:val="-2"/>
          <w:w w:val="120"/>
          <w:sz w:val="17"/>
        </w:rPr>
        <w:t> </w:t>
      </w:r>
      <w:r>
        <w:rPr>
          <w:color w:val="231F20"/>
          <w:w w:val="120"/>
          <w:sz w:val="17"/>
        </w:rPr>
        <w:t>utiliser</w:t>
      </w:r>
      <w:r>
        <w:rPr>
          <w:color w:val="231F20"/>
          <w:spacing w:val="-2"/>
          <w:w w:val="120"/>
          <w:sz w:val="17"/>
        </w:rPr>
        <w:t> </w:t>
      </w:r>
      <w:r>
        <w:rPr>
          <w:color w:val="231F20"/>
          <w:w w:val="120"/>
          <w:sz w:val="17"/>
        </w:rPr>
        <w:t>nos</w:t>
      </w:r>
      <w:r>
        <w:rPr>
          <w:color w:val="231F20"/>
          <w:spacing w:val="-2"/>
          <w:w w:val="120"/>
          <w:sz w:val="17"/>
        </w:rPr>
        <w:t> </w:t>
      </w:r>
      <w:r>
        <w:rPr>
          <w:color w:val="231F20"/>
          <w:w w:val="120"/>
          <w:sz w:val="17"/>
        </w:rPr>
        <w:t>compétences,</w:t>
      </w:r>
      <w:r>
        <w:rPr>
          <w:color w:val="231F20"/>
          <w:spacing w:val="-2"/>
          <w:w w:val="120"/>
          <w:sz w:val="17"/>
        </w:rPr>
        <w:t> </w:t>
      </w:r>
      <w:r>
        <w:rPr>
          <w:color w:val="231F20"/>
          <w:w w:val="120"/>
          <w:sz w:val="17"/>
        </w:rPr>
        <w:t>à</w:t>
      </w:r>
      <w:r>
        <w:rPr>
          <w:color w:val="231F20"/>
          <w:spacing w:val="-2"/>
          <w:w w:val="120"/>
          <w:sz w:val="17"/>
        </w:rPr>
        <w:t> </w:t>
      </w:r>
      <w:r>
        <w:rPr>
          <w:color w:val="231F20"/>
          <w:w w:val="120"/>
          <w:sz w:val="17"/>
        </w:rPr>
        <w:t>rédiger</w:t>
      </w:r>
      <w:r>
        <w:rPr>
          <w:color w:val="231F20"/>
          <w:spacing w:val="-2"/>
          <w:w w:val="120"/>
          <w:sz w:val="17"/>
        </w:rPr>
        <w:t> </w:t>
      </w:r>
      <w:r>
        <w:rPr>
          <w:color w:val="231F20"/>
          <w:w w:val="120"/>
          <w:sz w:val="17"/>
        </w:rPr>
        <w:t>notre</w:t>
      </w:r>
      <w:r>
        <w:rPr>
          <w:color w:val="231F20"/>
          <w:spacing w:val="-2"/>
          <w:w w:val="120"/>
          <w:sz w:val="17"/>
        </w:rPr>
        <w:t> </w:t>
      </w:r>
      <w:r>
        <w:rPr>
          <w:color w:val="231F20"/>
          <w:w w:val="120"/>
          <w:sz w:val="17"/>
        </w:rPr>
        <w:t>curriculum</w:t>
      </w:r>
      <w:r>
        <w:rPr>
          <w:color w:val="231F20"/>
          <w:spacing w:val="-2"/>
          <w:w w:val="120"/>
          <w:sz w:val="17"/>
        </w:rPr>
        <w:t> </w:t>
      </w:r>
      <w:r>
        <w:rPr>
          <w:color w:val="231F20"/>
          <w:w w:val="120"/>
          <w:sz w:val="17"/>
        </w:rPr>
        <w:t>vitae ou à nous préparer à une entrevue.</w:t>
      </w:r>
    </w:p>
    <w:p>
      <w:pPr>
        <w:pStyle w:val="ListParagraph"/>
        <w:numPr>
          <w:ilvl w:val="0"/>
          <w:numId w:val="87"/>
        </w:numPr>
        <w:tabs>
          <w:tab w:pos="1721" w:val="left" w:leader="none"/>
        </w:tabs>
        <w:spacing w:line="307" w:lineRule="auto" w:before="78" w:after="0"/>
        <w:ind w:left="1720" w:right="107" w:hanging="251"/>
        <w:jc w:val="both"/>
        <w:rPr>
          <w:sz w:val="17"/>
        </w:rPr>
      </w:pPr>
      <w:r>
        <w:rPr>
          <w:i/>
          <w:color w:val="231F20"/>
          <w:w w:val="120"/>
          <w:sz w:val="17"/>
        </w:rPr>
        <w:t>Le réseautage</w:t>
      </w:r>
      <w:r>
        <w:rPr>
          <w:color w:val="231F20"/>
          <w:w w:val="120"/>
          <w:sz w:val="17"/>
        </w:rPr>
        <w:t>. Les membres de notre réseau de soutien peuvent nous</w:t>
      </w:r>
      <w:r>
        <w:rPr>
          <w:color w:val="231F20"/>
          <w:spacing w:val="-7"/>
          <w:w w:val="120"/>
          <w:sz w:val="17"/>
        </w:rPr>
        <w:t> </w:t>
      </w:r>
      <w:r>
        <w:rPr>
          <w:color w:val="231F20"/>
          <w:w w:val="120"/>
          <w:sz w:val="17"/>
        </w:rPr>
        <w:t>informer</w:t>
      </w:r>
      <w:r>
        <w:rPr>
          <w:color w:val="231F20"/>
          <w:spacing w:val="-7"/>
          <w:w w:val="120"/>
          <w:sz w:val="17"/>
        </w:rPr>
        <w:t> </w:t>
      </w:r>
      <w:r>
        <w:rPr>
          <w:color w:val="231F20"/>
          <w:w w:val="120"/>
          <w:sz w:val="17"/>
        </w:rPr>
        <w:t>d’une</w:t>
      </w:r>
      <w:r>
        <w:rPr>
          <w:color w:val="231F20"/>
          <w:spacing w:val="-7"/>
          <w:w w:val="120"/>
          <w:sz w:val="17"/>
        </w:rPr>
        <w:t> </w:t>
      </w:r>
      <w:r>
        <w:rPr>
          <w:color w:val="231F20"/>
          <w:w w:val="120"/>
          <w:sz w:val="17"/>
        </w:rPr>
        <w:t>bonne</w:t>
      </w:r>
      <w:r>
        <w:rPr>
          <w:color w:val="231F20"/>
          <w:spacing w:val="-7"/>
          <w:w w:val="120"/>
          <w:sz w:val="17"/>
        </w:rPr>
        <w:t> </w:t>
      </w:r>
      <w:r>
        <w:rPr>
          <w:color w:val="231F20"/>
          <w:w w:val="120"/>
          <w:sz w:val="17"/>
        </w:rPr>
        <w:t>occasion</w:t>
      </w:r>
      <w:r>
        <w:rPr>
          <w:color w:val="231F20"/>
          <w:spacing w:val="-7"/>
          <w:w w:val="120"/>
          <w:sz w:val="17"/>
        </w:rPr>
        <w:t> </w:t>
      </w:r>
      <w:r>
        <w:rPr>
          <w:color w:val="231F20"/>
          <w:w w:val="120"/>
          <w:sz w:val="17"/>
        </w:rPr>
        <w:t>d’emploi,</w:t>
      </w:r>
      <w:r>
        <w:rPr>
          <w:color w:val="231F20"/>
          <w:spacing w:val="-7"/>
          <w:w w:val="120"/>
          <w:sz w:val="17"/>
        </w:rPr>
        <w:t> </w:t>
      </w:r>
      <w:r>
        <w:rPr>
          <w:color w:val="231F20"/>
          <w:w w:val="120"/>
          <w:sz w:val="17"/>
        </w:rPr>
        <w:t>du</w:t>
      </w:r>
      <w:r>
        <w:rPr>
          <w:color w:val="231F20"/>
          <w:spacing w:val="-7"/>
          <w:w w:val="120"/>
          <w:sz w:val="17"/>
        </w:rPr>
        <w:t> </w:t>
      </w:r>
      <w:r>
        <w:rPr>
          <w:color w:val="231F20"/>
          <w:w w:val="120"/>
          <w:sz w:val="17"/>
        </w:rPr>
        <w:t>nom</w:t>
      </w:r>
      <w:r>
        <w:rPr>
          <w:color w:val="231F20"/>
          <w:spacing w:val="-7"/>
          <w:w w:val="120"/>
          <w:sz w:val="17"/>
        </w:rPr>
        <w:t> </w:t>
      </w:r>
      <w:r>
        <w:rPr>
          <w:color w:val="231F20"/>
          <w:w w:val="120"/>
          <w:sz w:val="17"/>
        </w:rPr>
        <w:t>d’un</w:t>
      </w:r>
      <w:r>
        <w:rPr>
          <w:color w:val="231F20"/>
          <w:spacing w:val="-7"/>
          <w:w w:val="120"/>
          <w:sz w:val="17"/>
        </w:rPr>
        <w:t> </w:t>
      </w:r>
      <w:r>
        <w:rPr>
          <w:color w:val="231F20"/>
          <w:w w:val="120"/>
          <w:sz w:val="17"/>
        </w:rPr>
        <w:t>bon mécanicien ou de l’existence d’un nouveau club de lecture.</w:t>
      </w:r>
    </w:p>
    <w:p>
      <w:pPr>
        <w:pStyle w:val="BodyText"/>
        <w:spacing w:line="307" w:lineRule="auto" w:before="79"/>
        <w:ind w:left="1220" w:right="105"/>
        <w:jc w:val="both"/>
      </w:pPr>
      <w:r>
        <w:rPr>
          <w:color w:val="231F20"/>
          <w:w w:val="115"/>
        </w:rPr>
        <w:t>Au cœur de la notion de </w:t>
      </w:r>
      <w:r>
        <w:rPr>
          <w:i/>
          <w:color w:val="231F20"/>
          <w:w w:val="115"/>
        </w:rPr>
        <w:t>soutien social </w:t>
      </w:r>
      <w:r>
        <w:rPr>
          <w:color w:val="231F20"/>
          <w:w w:val="115"/>
        </w:rPr>
        <w:t>réside l’importance de la </w:t>
      </w:r>
      <w:r>
        <w:rPr>
          <w:color w:val="231F20"/>
          <w:w w:val="115"/>
        </w:rPr>
        <w:t>commu- </w:t>
      </w:r>
      <w:r>
        <w:rPr>
          <w:color w:val="231F20"/>
          <w:w w:val="120"/>
        </w:rPr>
        <w:t>nication interpersonnelle. Certains d’entre nous parlent davantage que </w:t>
      </w:r>
      <w:r>
        <w:rPr>
          <w:color w:val="231F20"/>
          <w:spacing w:val="-2"/>
          <w:w w:val="120"/>
        </w:rPr>
        <w:t>d’autres.</w:t>
      </w:r>
      <w:r>
        <w:rPr>
          <w:color w:val="231F20"/>
          <w:spacing w:val="-11"/>
          <w:w w:val="120"/>
        </w:rPr>
        <w:t> </w:t>
      </w:r>
      <w:r>
        <w:rPr>
          <w:color w:val="231F20"/>
          <w:spacing w:val="-2"/>
          <w:w w:val="120"/>
        </w:rPr>
        <w:t>Mais</w:t>
      </w:r>
      <w:r>
        <w:rPr>
          <w:color w:val="231F20"/>
          <w:spacing w:val="-11"/>
          <w:w w:val="120"/>
        </w:rPr>
        <w:t> </w:t>
      </w:r>
      <w:r>
        <w:rPr>
          <w:color w:val="231F20"/>
          <w:spacing w:val="-2"/>
          <w:w w:val="120"/>
        </w:rPr>
        <w:t>nous</w:t>
      </w:r>
      <w:r>
        <w:rPr>
          <w:color w:val="231F20"/>
          <w:spacing w:val="-11"/>
          <w:w w:val="120"/>
        </w:rPr>
        <w:t> </w:t>
      </w:r>
      <w:r>
        <w:rPr>
          <w:color w:val="231F20"/>
          <w:spacing w:val="-2"/>
          <w:w w:val="120"/>
        </w:rPr>
        <w:t>ne</w:t>
      </w:r>
      <w:r>
        <w:rPr>
          <w:color w:val="231F20"/>
          <w:spacing w:val="-10"/>
          <w:w w:val="120"/>
        </w:rPr>
        <w:t> </w:t>
      </w:r>
      <w:r>
        <w:rPr>
          <w:color w:val="231F20"/>
          <w:spacing w:val="-2"/>
          <w:w w:val="120"/>
        </w:rPr>
        <w:t>réussissons</w:t>
      </w:r>
      <w:r>
        <w:rPr>
          <w:color w:val="231F20"/>
          <w:spacing w:val="-11"/>
          <w:w w:val="120"/>
        </w:rPr>
        <w:t> </w:t>
      </w:r>
      <w:r>
        <w:rPr>
          <w:color w:val="231F20"/>
          <w:spacing w:val="-2"/>
          <w:w w:val="120"/>
        </w:rPr>
        <w:t>pas</w:t>
      </w:r>
      <w:r>
        <w:rPr>
          <w:color w:val="231F20"/>
          <w:spacing w:val="-11"/>
          <w:w w:val="120"/>
        </w:rPr>
        <w:t> </w:t>
      </w:r>
      <w:r>
        <w:rPr>
          <w:color w:val="231F20"/>
          <w:spacing w:val="-2"/>
          <w:w w:val="120"/>
        </w:rPr>
        <w:t>toujours</w:t>
      </w:r>
      <w:r>
        <w:rPr>
          <w:color w:val="231F20"/>
          <w:spacing w:val="-11"/>
          <w:w w:val="120"/>
        </w:rPr>
        <w:t> </w:t>
      </w:r>
      <w:r>
        <w:rPr>
          <w:color w:val="231F20"/>
          <w:spacing w:val="-2"/>
          <w:w w:val="120"/>
        </w:rPr>
        <w:t>à</w:t>
      </w:r>
      <w:r>
        <w:rPr>
          <w:color w:val="231F20"/>
          <w:spacing w:val="-10"/>
          <w:w w:val="120"/>
        </w:rPr>
        <w:t> </w:t>
      </w:r>
      <w:r>
        <w:rPr>
          <w:color w:val="231F20"/>
          <w:spacing w:val="-2"/>
          <w:w w:val="120"/>
        </w:rPr>
        <w:t>établir</w:t>
      </w:r>
      <w:r>
        <w:rPr>
          <w:color w:val="231F20"/>
          <w:spacing w:val="-11"/>
          <w:w w:val="120"/>
        </w:rPr>
        <w:t> </w:t>
      </w:r>
      <w:r>
        <w:rPr>
          <w:color w:val="231F20"/>
          <w:spacing w:val="-2"/>
          <w:w w:val="120"/>
        </w:rPr>
        <w:t>un</w:t>
      </w:r>
      <w:r>
        <w:rPr>
          <w:color w:val="231F20"/>
          <w:spacing w:val="-11"/>
          <w:w w:val="120"/>
        </w:rPr>
        <w:t> </w:t>
      </w:r>
      <w:r>
        <w:rPr>
          <w:color w:val="231F20"/>
          <w:spacing w:val="-2"/>
          <w:w w:val="120"/>
        </w:rPr>
        <w:t>contact</w:t>
      </w:r>
      <w:r>
        <w:rPr>
          <w:color w:val="231F20"/>
          <w:spacing w:val="-11"/>
          <w:w w:val="120"/>
        </w:rPr>
        <w:t> </w:t>
      </w:r>
      <w:r>
        <w:rPr>
          <w:color w:val="231F20"/>
          <w:spacing w:val="-2"/>
          <w:w w:val="120"/>
        </w:rPr>
        <w:t>inter- personnel</w:t>
      </w:r>
      <w:r>
        <w:rPr>
          <w:color w:val="231F20"/>
          <w:spacing w:val="-6"/>
          <w:w w:val="120"/>
        </w:rPr>
        <w:t> </w:t>
      </w:r>
      <w:r>
        <w:rPr>
          <w:color w:val="231F20"/>
          <w:spacing w:val="-2"/>
          <w:w w:val="120"/>
        </w:rPr>
        <w:t>significatif.</w:t>
      </w:r>
      <w:r>
        <w:rPr>
          <w:color w:val="231F20"/>
          <w:spacing w:val="-6"/>
          <w:w w:val="120"/>
        </w:rPr>
        <w:t> </w:t>
      </w:r>
      <w:r>
        <w:rPr>
          <w:color w:val="231F20"/>
          <w:spacing w:val="-2"/>
          <w:w w:val="120"/>
        </w:rPr>
        <w:t>C’est</w:t>
      </w:r>
      <w:r>
        <w:rPr>
          <w:color w:val="231F20"/>
          <w:spacing w:val="-6"/>
          <w:w w:val="120"/>
        </w:rPr>
        <w:t> </w:t>
      </w:r>
      <w:r>
        <w:rPr>
          <w:color w:val="231F20"/>
          <w:spacing w:val="-2"/>
          <w:w w:val="120"/>
        </w:rPr>
        <w:t>là</w:t>
      </w:r>
      <w:r>
        <w:rPr>
          <w:color w:val="231F20"/>
          <w:spacing w:val="-6"/>
          <w:w w:val="120"/>
        </w:rPr>
        <w:t> </w:t>
      </w:r>
      <w:r>
        <w:rPr>
          <w:color w:val="231F20"/>
          <w:spacing w:val="-2"/>
          <w:w w:val="120"/>
        </w:rPr>
        <w:t>un</w:t>
      </w:r>
      <w:r>
        <w:rPr>
          <w:color w:val="231F20"/>
          <w:spacing w:val="-6"/>
          <w:w w:val="120"/>
        </w:rPr>
        <w:t> </w:t>
      </w:r>
      <w:r>
        <w:rPr>
          <w:color w:val="231F20"/>
          <w:spacing w:val="-2"/>
          <w:w w:val="120"/>
        </w:rPr>
        <w:t>sujet</w:t>
      </w:r>
      <w:r>
        <w:rPr>
          <w:color w:val="231F20"/>
          <w:spacing w:val="-6"/>
          <w:w w:val="120"/>
        </w:rPr>
        <w:t> </w:t>
      </w:r>
      <w:r>
        <w:rPr>
          <w:color w:val="231F20"/>
          <w:spacing w:val="-2"/>
          <w:w w:val="120"/>
        </w:rPr>
        <w:t>complexe,</w:t>
      </w:r>
      <w:r>
        <w:rPr>
          <w:color w:val="231F20"/>
          <w:spacing w:val="-6"/>
          <w:w w:val="120"/>
        </w:rPr>
        <w:t> </w:t>
      </w:r>
      <w:r>
        <w:rPr>
          <w:color w:val="231F20"/>
          <w:spacing w:val="-2"/>
          <w:w w:val="120"/>
        </w:rPr>
        <w:t>qui</w:t>
      </w:r>
      <w:r>
        <w:rPr>
          <w:color w:val="231F20"/>
          <w:spacing w:val="-6"/>
          <w:w w:val="120"/>
        </w:rPr>
        <w:t> </w:t>
      </w:r>
      <w:r>
        <w:rPr>
          <w:color w:val="231F20"/>
          <w:spacing w:val="-2"/>
          <w:w w:val="120"/>
        </w:rPr>
        <w:t>va</w:t>
      </w:r>
      <w:r>
        <w:rPr>
          <w:color w:val="231F20"/>
          <w:spacing w:val="-6"/>
          <w:w w:val="120"/>
        </w:rPr>
        <w:t> </w:t>
      </w:r>
      <w:r>
        <w:rPr>
          <w:color w:val="231F20"/>
          <w:spacing w:val="-2"/>
          <w:w w:val="120"/>
        </w:rPr>
        <w:t>plus</w:t>
      </w:r>
      <w:r>
        <w:rPr>
          <w:color w:val="231F20"/>
          <w:spacing w:val="-6"/>
          <w:w w:val="120"/>
        </w:rPr>
        <w:t> </w:t>
      </w:r>
      <w:r>
        <w:rPr>
          <w:color w:val="231F20"/>
          <w:spacing w:val="-2"/>
          <w:w w:val="120"/>
        </w:rPr>
        <w:t>loin</w:t>
      </w:r>
      <w:r>
        <w:rPr>
          <w:color w:val="231F20"/>
          <w:spacing w:val="-6"/>
          <w:w w:val="120"/>
        </w:rPr>
        <w:t> </w:t>
      </w:r>
      <w:r>
        <w:rPr>
          <w:color w:val="231F20"/>
          <w:spacing w:val="-2"/>
          <w:w w:val="120"/>
        </w:rPr>
        <w:t>que</w:t>
      </w:r>
      <w:r>
        <w:rPr>
          <w:color w:val="231F20"/>
          <w:spacing w:val="-6"/>
          <w:w w:val="120"/>
        </w:rPr>
        <w:t> </w:t>
      </w:r>
      <w:r>
        <w:rPr>
          <w:color w:val="231F20"/>
          <w:spacing w:val="-2"/>
          <w:w w:val="120"/>
        </w:rPr>
        <w:t>la simple</w:t>
      </w:r>
      <w:r>
        <w:rPr>
          <w:color w:val="231F20"/>
          <w:spacing w:val="-9"/>
          <w:w w:val="120"/>
        </w:rPr>
        <w:t> </w:t>
      </w:r>
      <w:r>
        <w:rPr>
          <w:color w:val="231F20"/>
          <w:spacing w:val="-2"/>
          <w:w w:val="120"/>
        </w:rPr>
        <w:t>question</w:t>
      </w:r>
      <w:r>
        <w:rPr>
          <w:color w:val="231F20"/>
          <w:spacing w:val="-9"/>
          <w:w w:val="120"/>
        </w:rPr>
        <w:t> </w:t>
      </w:r>
      <w:r>
        <w:rPr>
          <w:color w:val="231F20"/>
          <w:spacing w:val="-2"/>
          <w:w w:val="120"/>
        </w:rPr>
        <w:t>de</w:t>
      </w:r>
      <w:r>
        <w:rPr>
          <w:color w:val="231F20"/>
          <w:spacing w:val="-9"/>
          <w:w w:val="120"/>
        </w:rPr>
        <w:t> </w:t>
      </w:r>
      <w:r>
        <w:rPr>
          <w:color w:val="231F20"/>
          <w:spacing w:val="-2"/>
          <w:w w:val="120"/>
        </w:rPr>
        <w:t>prononcer</w:t>
      </w:r>
      <w:r>
        <w:rPr>
          <w:color w:val="231F20"/>
          <w:spacing w:val="-9"/>
          <w:w w:val="120"/>
        </w:rPr>
        <w:t> </w:t>
      </w:r>
      <w:r>
        <w:rPr>
          <w:color w:val="231F20"/>
          <w:spacing w:val="-2"/>
          <w:w w:val="120"/>
        </w:rPr>
        <w:t>et</w:t>
      </w:r>
      <w:r>
        <w:rPr>
          <w:color w:val="231F20"/>
          <w:spacing w:val="-9"/>
          <w:w w:val="120"/>
        </w:rPr>
        <w:t> </w:t>
      </w:r>
      <w:r>
        <w:rPr>
          <w:color w:val="231F20"/>
          <w:spacing w:val="-2"/>
          <w:w w:val="120"/>
        </w:rPr>
        <w:t>d’écouter</w:t>
      </w:r>
      <w:r>
        <w:rPr>
          <w:color w:val="231F20"/>
          <w:spacing w:val="-9"/>
          <w:w w:val="120"/>
        </w:rPr>
        <w:t> </w:t>
      </w:r>
      <w:r>
        <w:rPr>
          <w:color w:val="231F20"/>
          <w:spacing w:val="-2"/>
          <w:w w:val="120"/>
        </w:rPr>
        <w:t>des</w:t>
      </w:r>
      <w:r>
        <w:rPr>
          <w:color w:val="231F20"/>
          <w:spacing w:val="-9"/>
          <w:w w:val="120"/>
        </w:rPr>
        <w:t> </w:t>
      </w:r>
      <w:r>
        <w:rPr>
          <w:color w:val="231F20"/>
          <w:spacing w:val="-2"/>
          <w:w w:val="120"/>
        </w:rPr>
        <w:t>paroles.</w:t>
      </w:r>
      <w:r>
        <w:rPr>
          <w:color w:val="231F20"/>
          <w:spacing w:val="-9"/>
          <w:w w:val="120"/>
        </w:rPr>
        <w:t> </w:t>
      </w:r>
      <w:r>
        <w:rPr>
          <w:color w:val="231F20"/>
          <w:spacing w:val="-2"/>
          <w:w w:val="120"/>
        </w:rPr>
        <w:t>Beaucoup</w:t>
      </w:r>
      <w:r>
        <w:rPr>
          <w:color w:val="231F20"/>
          <w:spacing w:val="-9"/>
          <w:w w:val="120"/>
        </w:rPr>
        <w:t> </w:t>
      </w:r>
      <w:r>
        <w:rPr>
          <w:color w:val="231F20"/>
          <w:spacing w:val="-2"/>
          <w:w w:val="120"/>
        </w:rPr>
        <w:t>de</w:t>
      </w:r>
      <w:r>
        <w:rPr>
          <w:color w:val="231F20"/>
          <w:spacing w:val="-9"/>
          <w:w w:val="120"/>
        </w:rPr>
        <w:t> </w:t>
      </w:r>
      <w:r>
        <w:rPr>
          <w:color w:val="231F20"/>
          <w:spacing w:val="-2"/>
          <w:w w:val="120"/>
        </w:rPr>
        <w:t>fac- </w:t>
      </w:r>
      <w:r>
        <w:rPr>
          <w:color w:val="231F20"/>
          <w:w w:val="115"/>
        </w:rPr>
        <w:t>teurs</w:t>
      </w:r>
      <w:r>
        <w:rPr>
          <w:color w:val="231F20"/>
          <w:spacing w:val="-7"/>
          <w:w w:val="115"/>
        </w:rPr>
        <w:t> </w:t>
      </w:r>
      <w:r>
        <w:rPr>
          <w:color w:val="231F20"/>
          <w:w w:val="115"/>
        </w:rPr>
        <w:t>influent</w:t>
      </w:r>
      <w:r>
        <w:rPr>
          <w:color w:val="231F20"/>
          <w:spacing w:val="-7"/>
          <w:w w:val="115"/>
        </w:rPr>
        <w:t> </w:t>
      </w:r>
      <w:r>
        <w:rPr>
          <w:color w:val="231F20"/>
          <w:w w:val="115"/>
        </w:rPr>
        <w:t>sur</w:t>
      </w:r>
      <w:r>
        <w:rPr>
          <w:color w:val="231F20"/>
          <w:spacing w:val="-7"/>
          <w:w w:val="115"/>
        </w:rPr>
        <w:t> </w:t>
      </w:r>
      <w:r>
        <w:rPr>
          <w:color w:val="231F20"/>
          <w:w w:val="115"/>
        </w:rPr>
        <w:t>les</w:t>
      </w:r>
      <w:r>
        <w:rPr>
          <w:color w:val="231F20"/>
          <w:spacing w:val="-7"/>
          <w:w w:val="115"/>
        </w:rPr>
        <w:t> </w:t>
      </w:r>
      <w:r>
        <w:rPr>
          <w:color w:val="231F20"/>
          <w:w w:val="115"/>
        </w:rPr>
        <w:t>messages</w:t>
      </w:r>
      <w:r>
        <w:rPr>
          <w:color w:val="231F20"/>
          <w:spacing w:val="-7"/>
          <w:w w:val="115"/>
        </w:rPr>
        <w:t> </w:t>
      </w:r>
      <w:r>
        <w:rPr>
          <w:color w:val="231F20"/>
          <w:w w:val="115"/>
        </w:rPr>
        <w:t>émis.</w:t>
      </w:r>
      <w:r>
        <w:rPr>
          <w:color w:val="231F20"/>
          <w:spacing w:val="-7"/>
          <w:w w:val="115"/>
        </w:rPr>
        <w:t> </w:t>
      </w:r>
      <w:r>
        <w:rPr>
          <w:color w:val="231F20"/>
          <w:w w:val="115"/>
        </w:rPr>
        <w:t>C’est</w:t>
      </w:r>
      <w:r>
        <w:rPr>
          <w:color w:val="231F20"/>
          <w:spacing w:val="-7"/>
          <w:w w:val="115"/>
        </w:rPr>
        <w:t> </w:t>
      </w:r>
      <w:r>
        <w:rPr>
          <w:color w:val="231F20"/>
          <w:w w:val="115"/>
        </w:rPr>
        <w:t>pourquoi,</w:t>
      </w:r>
      <w:r>
        <w:rPr>
          <w:color w:val="231F20"/>
          <w:spacing w:val="-7"/>
          <w:w w:val="115"/>
        </w:rPr>
        <w:t> </w:t>
      </w:r>
      <w:r>
        <w:rPr>
          <w:color w:val="231F20"/>
          <w:w w:val="115"/>
        </w:rPr>
        <w:t>souvent,</w:t>
      </w:r>
      <w:r>
        <w:rPr>
          <w:color w:val="231F20"/>
          <w:spacing w:val="-7"/>
          <w:w w:val="115"/>
        </w:rPr>
        <w:t> </w:t>
      </w:r>
      <w:r>
        <w:rPr>
          <w:color w:val="231F20"/>
          <w:w w:val="115"/>
        </w:rPr>
        <w:t>ce</w:t>
      </w:r>
      <w:r>
        <w:rPr>
          <w:color w:val="231F20"/>
          <w:spacing w:val="-7"/>
          <w:w w:val="115"/>
        </w:rPr>
        <w:t> </w:t>
      </w:r>
      <w:r>
        <w:rPr>
          <w:color w:val="231F20"/>
          <w:w w:val="115"/>
        </w:rPr>
        <w:t>que</w:t>
      </w:r>
      <w:r>
        <w:rPr>
          <w:color w:val="231F20"/>
          <w:spacing w:val="-7"/>
          <w:w w:val="115"/>
        </w:rPr>
        <w:t> </w:t>
      </w:r>
      <w:r>
        <w:rPr>
          <w:color w:val="231F20"/>
          <w:w w:val="115"/>
        </w:rPr>
        <w:t>nous </w:t>
      </w:r>
      <w:r>
        <w:rPr>
          <w:color w:val="231F20"/>
          <w:spacing w:val="-2"/>
          <w:w w:val="115"/>
        </w:rPr>
        <w:t>disons</w:t>
      </w:r>
      <w:r>
        <w:rPr>
          <w:color w:val="231F20"/>
          <w:spacing w:val="-11"/>
          <w:w w:val="115"/>
        </w:rPr>
        <w:t> </w:t>
      </w:r>
      <w:r>
        <w:rPr>
          <w:color w:val="231F20"/>
          <w:spacing w:val="-2"/>
          <w:w w:val="115"/>
        </w:rPr>
        <w:t>n’est</w:t>
      </w:r>
      <w:r>
        <w:rPr>
          <w:color w:val="231F20"/>
          <w:spacing w:val="-10"/>
          <w:w w:val="115"/>
        </w:rPr>
        <w:t> </w:t>
      </w:r>
      <w:r>
        <w:rPr>
          <w:color w:val="231F20"/>
          <w:spacing w:val="-2"/>
          <w:w w:val="115"/>
        </w:rPr>
        <w:t>pas</w:t>
      </w:r>
      <w:r>
        <w:rPr>
          <w:color w:val="231F20"/>
          <w:spacing w:val="-10"/>
          <w:w w:val="115"/>
        </w:rPr>
        <w:t> </w:t>
      </w:r>
      <w:r>
        <w:rPr>
          <w:color w:val="231F20"/>
          <w:spacing w:val="-2"/>
          <w:w w:val="115"/>
        </w:rPr>
        <w:t>aussi</w:t>
      </w:r>
      <w:r>
        <w:rPr>
          <w:color w:val="231F20"/>
          <w:spacing w:val="-10"/>
          <w:w w:val="115"/>
        </w:rPr>
        <w:t> </w:t>
      </w:r>
      <w:r>
        <w:rPr>
          <w:color w:val="231F20"/>
          <w:spacing w:val="-2"/>
          <w:w w:val="115"/>
        </w:rPr>
        <w:t>«</w:t>
      </w:r>
      <w:r>
        <w:rPr>
          <w:color w:val="231F20"/>
          <w:spacing w:val="-11"/>
          <w:w w:val="115"/>
        </w:rPr>
        <w:t> </w:t>
      </w:r>
      <w:r>
        <w:rPr>
          <w:color w:val="231F20"/>
          <w:spacing w:val="-2"/>
          <w:w w:val="115"/>
        </w:rPr>
        <w:t>logique»</w:t>
      </w:r>
      <w:r>
        <w:rPr>
          <w:color w:val="231F20"/>
          <w:spacing w:val="-10"/>
          <w:w w:val="115"/>
        </w:rPr>
        <w:t> </w:t>
      </w:r>
      <w:r>
        <w:rPr>
          <w:color w:val="231F20"/>
          <w:spacing w:val="-2"/>
          <w:w w:val="115"/>
        </w:rPr>
        <w:t>et</w:t>
      </w:r>
      <w:r>
        <w:rPr>
          <w:color w:val="231F20"/>
          <w:spacing w:val="-4"/>
          <w:w w:val="115"/>
        </w:rPr>
        <w:t> </w:t>
      </w:r>
      <w:r>
        <w:rPr>
          <w:color w:val="231F20"/>
          <w:spacing w:val="-2"/>
          <w:w w:val="115"/>
        </w:rPr>
        <w:t>«</w:t>
      </w:r>
      <w:r>
        <w:rPr>
          <w:color w:val="231F20"/>
          <w:spacing w:val="-11"/>
          <w:w w:val="115"/>
        </w:rPr>
        <w:t> </w:t>
      </w:r>
      <w:r>
        <w:rPr>
          <w:color w:val="231F20"/>
          <w:spacing w:val="-2"/>
          <w:w w:val="115"/>
        </w:rPr>
        <w:t>limpide» que</w:t>
      </w:r>
      <w:r>
        <w:rPr>
          <w:color w:val="231F20"/>
          <w:spacing w:val="-3"/>
          <w:w w:val="115"/>
        </w:rPr>
        <w:t> </w:t>
      </w:r>
      <w:r>
        <w:rPr>
          <w:color w:val="231F20"/>
          <w:spacing w:val="-2"/>
          <w:w w:val="115"/>
        </w:rPr>
        <w:t>nous</w:t>
      </w:r>
      <w:r>
        <w:rPr>
          <w:color w:val="231F20"/>
          <w:spacing w:val="-3"/>
          <w:w w:val="115"/>
        </w:rPr>
        <w:t> </w:t>
      </w:r>
      <w:r>
        <w:rPr>
          <w:color w:val="231F20"/>
          <w:spacing w:val="-2"/>
          <w:w w:val="115"/>
        </w:rPr>
        <w:t>pourrions</w:t>
      </w:r>
      <w:r>
        <w:rPr>
          <w:color w:val="231F20"/>
          <w:spacing w:val="-3"/>
          <w:w w:val="115"/>
        </w:rPr>
        <w:t> </w:t>
      </w:r>
      <w:r>
        <w:rPr>
          <w:color w:val="231F20"/>
          <w:spacing w:val="-2"/>
          <w:w w:val="115"/>
        </w:rPr>
        <w:t>le</w:t>
      </w:r>
      <w:r>
        <w:rPr>
          <w:color w:val="231F20"/>
          <w:spacing w:val="-3"/>
          <w:w w:val="115"/>
        </w:rPr>
        <w:t> </w:t>
      </w:r>
      <w:r>
        <w:rPr>
          <w:color w:val="231F20"/>
          <w:spacing w:val="-2"/>
          <w:w w:val="115"/>
        </w:rPr>
        <w:t>croire. </w:t>
      </w:r>
      <w:r>
        <w:rPr>
          <w:color w:val="231F20"/>
          <w:spacing w:val="-2"/>
          <w:w w:val="120"/>
        </w:rPr>
        <w:t>Qui</w:t>
      </w:r>
      <w:r>
        <w:rPr>
          <w:color w:val="231F20"/>
          <w:spacing w:val="-11"/>
          <w:w w:val="120"/>
        </w:rPr>
        <w:t> </w:t>
      </w:r>
      <w:r>
        <w:rPr>
          <w:color w:val="231F20"/>
          <w:spacing w:val="-2"/>
          <w:w w:val="120"/>
        </w:rPr>
        <w:t>plus</w:t>
      </w:r>
      <w:r>
        <w:rPr>
          <w:color w:val="231F20"/>
          <w:spacing w:val="-11"/>
          <w:w w:val="120"/>
        </w:rPr>
        <w:t> </w:t>
      </w:r>
      <w:r>
        <w:rPr>
          <w:color w:val="231F20"/>
          <w:spacing w:val="-2"/>
          <w:w w:val="120"/>
        </w:rPr>
        <w:t>est,</w:t>
      </w:r>
      <w:r>
        <w:rPr>
          <w:color w:val="231F20"/>
          <w:spacing w:val="-11"/>
          <w:w w:val="120"/>
        </w:rPr>
        <w:t> </w:t>
      </w:r>
      <w:r>
        <w:rPr>
          <w:color w:val="231F20"/>
          <w:spacing w:val="-2"/>
          <w:w w:val="120"/>
        </w:rPr>
        <w:t>la</w:t>
      </w:r>
      <w:r>
        <w:rPr>
          <w:color w:val="231F20"/>
          <w:spacing w:val="-10"/>
          <w:w w:val="120"/>
        </w:rPr>
        <w:t> </w:t>
      </w:r>
      <w:r>
        <w:rPr>
          <w:color w:val="231F20"/>
          <w:spacing w:val="-2"/>
          <w:w w:val="120"/>
        </w:rPr>
        <w:t>communication</w:t>
      </w:r>
      <w:r>
        <w:rPr>
          <w:color w:val="231F20"/>
          <w:spacing w:val="-11"/>
          <w:w w:val="120"/>
        </w:rPr>
        <w:t> </w:t>
      </w:r>
      <w:r>
        <w:rPr>
          <w:color w:val="231F20"/>
          <w:spacing w:val="-2"/>
          <w:w w:val="120"/>
        </w:rPr>
        <w:t>est</w:t>
      </w:r>
      <w:r>
        <w:rPr>
          <w:color w:val="231F20"/>
          <w:spacing w:val="-11"/>
          <w:w w:val="120"/>
        </w:rPr>
        <w:t> </w:t>
      </w:r>
      <w:r>
        <w:rPr>
          <w:color w:val="231F20"/>
          <w:spacing w:val="-2"/>
          <w:w w:val="120"/>
        </w:rPr>
        <w:t>conditionnée</w:t>
      </w:r>
      <w:r>
        <w:rPr>
          <w:color w:val="231F20"/>
          <w:spacing w:val="-11"/>
          <w:w w:val="120"/>
        </w:rPr>
        <w:t> </w:t>
      </w:r>
      <w:r>
        <w:rPr>
          <w:color w:val="231F20"/>
          <w:spacing w:val="-2"/>
          <w:w w:val="120"/>
        </w:rPr>
        <w:t>par</w:t>
      </w:r>
      <w:r>
        <w:rPr>
          <w:color w:val="231F20"/>
          <w:spacing w:val="-10"/>
          <w:w w:val="120"/>
        </w:rPr>
        <w:t> </w:t>
      </w:r>
      <w:r>
        <w:rPr>
          <w:color w:val="231F20"/>
          <w:spacing w:val="-2"/>
          <w:w w:val="120"/>
        </w:rPr>
        <w:t>les</w:t>
      </w:r>
      <w:r>
        <w:rPr>
          <w:color w:val="231F20"/>
          <w:spacing w:val="-11"/>
          <w:w w:val="120"/>
        </w:rPr>
        <w:t> </w:t>
      </w:r>
      <w:r>
        <w:rPr>
          <w:color w:val="231F20"/>
          <w:spacing w:val="-2"/>
          <w:w w:val="120"/>
        </w:rPr>
        <w:t>préjugés,</w:t>
      </w:r>
      <w:r>
        <w:rPr>
          <w:color w:val="231F20"/>
          <w:spacing w:val="-11"/>
          <w:w w:val="120"/>
        </w:rPr>
        <w:t> </w:t>
      </w:r>
      <w:r>
        <w:rPr>
          <w:color w:val="231F20"/>
          <w:spacing w:val="-2"/>
          <w:w w:val="120"/>
        </w:rPr>
        <w:t>les</w:t>
      </w:r>
      <w:r>
        <w:rPr>
          <w:color w:val="231F20"/>
          <w:spacing w:val="-11"/>
          <w:w w:val="120"/>
        </w:rPr>
        <w:t> </w:t>
      </w:r>
      <w:r>
        <w:rPr>
          <w:color w:val="231F20"/>
          <w:spacing w:val="-2"/>
          <w:w w:val="120"/>
        </w:rPr>
        <w:t>atti- </w:t>
      </w:r>
      <w:r>
        <w:rPr>
          <w:color w:val="231F20"/>
          <w:w w:val="120"/>
        </w:rPr>
        <w:t>tudes,</w:t>
      </w:r>
      <w:r>
        <w:rPr>
          <w:color w:val="231F20"/>
          <w:spacing w:val="-5"/>
          <w:w w:val="120"/>
        </w:rPr>
        <w:t> </w:t>
      </w:r>
      <w:r>
        <w:rPr>
          <w:color w:val="231F20"/>
          <w:w w:val="120"/>
        </w:rPr>
        <w:t>les</w:t>
      </w:r>
      <w:r>
        <w:rPr>
          <w:color w:val="231F20"/>
          <w:spacing w:val="-5"/>
          <w:w w:val="120"/>
        </w:rPr>
        <w:t> </w:t>
      </w:r>
      <w:r>
        <w:rPr>
          <w:color w:val="231F20"/>
          <w:w w:val="120"/>
        </w:rPr>
        <w:t>idéaux,</w:t>
      </w:r>
      <w:r>
        <w:rPr>
          <w:color w:val="231F20"/>
          <w:spacing w:val="-5"/>
          <w:w w:val="120"/>
        </w:rPr>
        <w:t> </w:t>
      </w:r>
      <w:r>
        <w:rPr>
          <w:color w:val="231F20"/>
          <w:w w:val="120"/>
        </w:rPr>
        <w:t>les</w:t>
      </w:r>
      <w:r>
        <w:rPr>
          <w:color w:val="231F20"/>
          <w:spacing w:val="-5"/>
          <w:w w:val="120"/>
        </w:rPr>
        <w:t> </w:t>
      </w:r>
      <w:r>
        <w:rPr>
          <w:color w:val="231F20"/>
          <w:w w:val="120"/>
        </w:rPr>
        <w:t>champs</w:t>
      </w:r>
      <w:r>
        <w:rPr>
          <w:color w:val="231F20"/>
          <w:spacing w:val="-5"/>
          <w:w w:val="120"/>
        </w:rPr>
        <w:t> </w:t>
      </w:r>
      <w:r>
        <w:rPr>
          <w:color w:val="231F20"/>
          <w:w w:val="120"/>
        </w:rPr>
        <w:t>d’intérêt,</w:t>
      </w:r>
      <w:r>
        <w:rPr>
          <w:color w:val="231F20"/>
          <w:spacing w:val="-5"/>
          <w:w w:val="120"/>
        </w:rPr>
        <w:t> </w:t>
      </w:r>
      <w:r>
        <w:rPr>
          <w:color w:val="231F20"/>
          <w:w w:val="120"/>
        </w:rPr>
        <w:t>les</w:t>
      </w:r>
      <w:r>
        <w:rPr>
          <w:color w:val="231F20"/>
          <w:spacing w:val="-5"/>
          <w:w w:val="120"/>
        </w:rPr>
        <w:t> </w:t>
      </w:r>
      <w:r>
        <w:rPr>
          <w:color w:val="231F20"/>
          <w:w w:val="120"/>
        </w:rPr>
        <w:t>sentiments,</w:t>
      </w:r>
      <w:r>
        <w:rPr>
          <w:color w:val="231F20"/>
          <w:spacing w:val="-5"/>
          <w:w w:val="120"/>
        </w:rPr>
        <w:t> </w:t>
      </w:r>
      <w:r>
        <w:rPr>
          <w:color w:val="231F20"/>
          <w:w w:val="120"/>
        </w:rPr>
        <w:t>les</w:t>
      </w:r>
      <w:r>
        <w:rPr>
          <w:color w:val="231F20"/>
          <w:spacing w:val="-5"/>
          <w:w w:val="120"/>
        </w:rPr>
        <w:t> </w:t>
      </w:r>
      <w:r>
        <w:rPr>
          <w:color w:val="231F20"/>
          <w:w w:val="120"/>
        </w:rPr>
        <w:t>défenses,</w:t>
      </w:r>
      <w:r>
        <w:rPr>
          <w:color w:val="231F20"/>
          <w:spacing w:val="-5"/>
          <w:w w:val="120"/>
        </w:rPr>
        <w:t> </w:t>
      </w:r>
      <w:r>
        <w:rPr>
          <w:color w:val="231F20"/>
          <w:w w:val="120"/>
        </w:rPr>
        <w:t>les angoisses et les craintes de chacun. D’un autre côté, nous pratiquons une</w:t>
      </w:r>
      <w:r>
        <w:rPr>
          <w:color w:val="231F20"/>
          <w:spacing w:val="-1"/>
          <w:w w:val="120"/>
        </w:rPr>
        <w:t> </w:t>
      </w:r>
      <w:r>
        <w:rPr>
          <w:color w:val="231F20"/>
          <w:w w:val="120"/>
        </w:rPr>
        <w:t>écoute</w:t>
      </w:r>
      <w:r>
        <w:rPr>
          <w:color w:val="231F20"/>
          <w:spacing w:val="-1"/>
          <w:w w:val="120"/>
        </w:rPr>
        <w:t> </w:t>
      </w:r>
      <w:r>
        <w:rPr>
          <w:color w:val="231F20"/>
          <w:w w:val="120"/>
        </w:rPr>
        <w:t>sélective</w:t>
      </w:r>
      <w:r>
        <w:rPr>
          <w:color w:val="231F20"/>
          <w:spacing w:val="-1"/>
          <w:w w:val="120"/>
        </w:rPr>
        <w:t> </w:t>
      </w:r>
      <w:r>
        <w:rPr>
          <w:color w:val="231F20"/>
          <w:w w:val="120"/>
        </w:rPr>
        <w:t>fondée</w:t>
      </w:r>
      <w:r>
        <w:rPr>
          <w:color w:val="231F20"/>
          <w:spacing w:val="-1"/>
          <w:w w:val="120"/>
        </w:rPr>
        <w:t> </w:t>
      </w:r>
      <w:r>
        <w:rPr>
          <w:color w:val="231F20"/>
          <w:w w:val="120"/>
        </w:rPr>
        <w:t>sur</w:t>
      </w:r>
      <w:r>
        <w:rPr>
          <w:color w:val="231F20"/>
          <w:spacing w:val="-1"/>
          <w:w w:val="120"/>
        </w:rPr>
        <w:t> </w:t>
      </w:r>
      <w:r>
        <w:rPr>
          <w:color w:val="231F20"/>
          <w:w w:val="120"/>
        </w:rPr>
        <w:t>nos</w:t>
      </w:r>
      <w:r>
        <w:rPr>
          <w:color w:val="231F20"/>
          <w:spacing w:val="-1"/>
          <w:w w:val="120"/>
        </w:rPr>
        <w:t> </w:t>
      </w:r>
      <w:r>
        <w:rPr>
          <w:color w:val="231F20"/>
          <w:w w:val="120"/>
        </w:rPr>
        <w:t>motivations.</w:t>
      </w:r>
      <w:r>
        <w:rPr>
          <w:color w:val="231F20"/>
          <w:spacing w:val="-1"/>
          <w:w w:val="120"/>
        </w:rPr>
        <w:t> </w:t>
      </w:r>
      <w:r>
        <w:rPr>
          <w:color w:val="231F20"/>
          <w:w w:val="120"/>
        </w:rPr>
        <w:t>Au</w:t>
      </w:r>
      <w:r>
        <w:rPr>
          <w:color w:val="231F20"/>
          <w:spacing w:val="-1"/>
          <w:w w:val="120"/>
        </w:rPr>
        <w:t> </w:t>
      </w:r>
      <w:r>
        <w:rPr>
          <w:color w:val="231F20"/>
          <w:w w:val="120"/>
        </w:rPr>
        <w:t>fond,</w:t>
      </w:r>
      <w:r>
        <w:rPr>
          <w:color w:val="231F20"/>
          <w:spacing w:val="-1"/>
          <w:w w:val="120"/>
        </w:rPr>
        <w:t> </w:t>
      </w:r>
      <w:r>
        <w:rPr>
          <w:color w:val="231F20"/>
          <w:w w:val="120"/>
        </w:rPr>
        <w:t>nous</w:t>
      </w:r>
      <w:r>
        <w:rPr>
          <w:color w:val="231F20"/>
          <w:spacing w:val="-1"/>
          <w:w w:val="120"/>
        </w:rPr>
        <w:t> </w:t>
      </w:r>
      <w:r>
        <w:rPr>
          <w:color w:val="231F20"/>
          <w:w w:val="120"/>
        </w:rPr>
        <w:t>enten- dons souvent ce que nous voulons bien entendre. Ajoutons à tout cela qu’un</w:t>
      </w:r>
      <w:r>
        <w:rPr>
          <w:color w:val="231F20"/>
          <w:spacing w:val="-11"/>
          <w:w w:val="120"/>
        </w:rPr>
        <w:t> </w:t>
      </w:r>
      <w:r>
        <w:rPr>
          <w:color w:val="231F20"/>
          <w:w w:val="120"/>
        </w:rPr>
        <w:t>même</w:t>
      </w:r>
      <w:r>
        <w:rPr>
          <w:color w:val="231F20"/>
          <w:spacing w:val="-11"/>
          <w:w w:val="120"/>
        </w:rPr>
        <w:t> </w:t>
      </w:r>
      <w:r>
        <w:rPr>
          <w:color w:val="231F20"/>
          <w:w w:val="120"/>
        </w:rPr>
        <w:t>mot</w:t>
      </w:r>
      <w:r>
        <w:rPr>
          <w:color w:val="231F20"/>
          <w:spacing w:val="-11"/>
          <w:w w:val="120"/>
        </w:rPr>
        <w:t> </w:t>
      </w:r>
      <w:r>
        <w:rPr>
          <w:color w:val="231F20"/>
          <w:w w:val="120"/>
        </w:rPr>
        <w:t>peut</w:t>
      </w:r>
      <w:r>
        <w:rPr>
          <w:color w:val="231F20"/>
          <w:spacing w:val="-11"/>
          <w:w w:val="120"/>
        </w:rPr>
        <w:t> </w:t>
      </w:r>
      <w:r>
        <w:rPr>
          <w:color w:val="231F20"/>
          <w:w w:val="120"/>
        </w:rPr>
        <w:t>avoir</w:t>
      </w:r>
      <w:r>
        <w:rPr>
          <w:color w:val="231F20"/>
          <w:spacing w:val="-11"/>
          <w:w w:val="120"/>
        </w:rPr>
        <w:t> </w:t>
      </w:r>
      <w:r>
        <w:rPr>
          <w:color w:val="231F20"/>
          <w:w w:val="120"/>
        </w:rPr>
        <w:t>des</w:t>
      </w:r>
      <w:r>
        <w:rPr>
          <w:color w:val="231F20"/>
          <w:spacing w:val="-11"/>
          <w:w w:val="120"/>
        </w:rPr>
        <w:t> </w:t>
      </w:r>
      <w:r>
        <w:rPr>
          <w:color w:val="231F20"/>
          <w:w w:val="120"/>
        </w:rPr>
        <w:t>connotations</w:t>
      </w:r>
      <w:r>
        <w:rPr>
          <w:color w:val="231F20"/>
          <w:spacing w:val="-11"/>
          <w:w w:val="120"/>
        </w:rPr>
        <w:t> </w:t>
      </w:r>
      <w:r>
        <w:rPr>
          <w:color w:val="231F20"/>
          <w:w w:val="120"/>
        </w:rPr>
        <w:t>différentes</w:t>
      </w:r>
      <w:r>
        <w:rPr>
          <w:color w:val="231F20"/>
          <w:spacing w:val="-11"/>
          <w:w w:val="120"/>
        </w:rPr>
        <w:t> </w:t>
      </w:r>
      <w:r>
        <w:rPr>
          <w:color w:val="231F20"/>
          <w:w w:val="120"/>
        </w:rPr>
        <w:t>en</w:t>
      </w:r>
      <w:r>
        <w:rPr>
          <w:color w:val="231F20"/>
          <w:spacing w:val="-11"/>
          <w:w w:val="120"/>
        </w:rPr>
        <w:t> </w:t>
      </w:r>
      <w:r>
        <w:rPr>
          <w:color w:val="231F20"/>
          <w:w w:val="120"/>
        </w:rPr>
        <w:t>fonction</w:t>
      </w:r>
      <w:r>
        <w:rPr>
          <w:color w:val="231F20"/>
          <w:spacing w:val="-11"/>
          <w:w w:val="120"/>
        </w:rPr>
        <w:t> </w:t>
      </w:r>
      <w:r>
        <w:rPr>
          <w:color w:val="231F20"/>
          <w:w w:val="120"/>
        </w:rPr>
        <w:t>de l’expérience antérieure et des particularités culturelles de chacun.</w:t>
      </w:r>
    </w:p>
    <w:p>
      <w:pPr>
        <w:pStyle w:val="BodyText"/>
        <w:spacing w:line="307" w:lineRule="auto" w:before="78"/>
        <w:ind w:left="1220" w:right="107" w:firstLine="250"/>
        <w:jc w:val="both"/>
      </w:pPr>
      <w:r>
        <w:rPr>
          <w:color w:val="231F20"/>
          <w:w w:val="120"/>
        </w:rPr>
        <w:t>L’assertivité</w:t>
      </w:r>
      <w:r>
        <w:rPr>
          <w:color w:val="231F20"/>
          <w:spacing w:val="-1"/>
          <w:w w:val="120"/>
        </w:rPr>
        <w:t> </w:t>
      </w:r>
      <w:r>
        <w:rPr>
          <w:color w:val="231F20"/>
          <w:w w:val="120"/>
        </w:rPr>
        <w:t>est</w:t>
      </w:r>
      <w:r>
        <w:rPr>
          <w:color w:val="231F20"/>
          <w:spacing w:val="-1"/>
          <w:w w:val="120"/>
        </w:rPr>
        <w:t> </w:t>
      </w:r>
      <w:r>
        <w:rPr>
          <w:color w:val="231F20"/>
          <w:w w:val="120"/>
        </w:rPr>
        <w:t>un</w:t>
      </w:r>
      <w:r>
        <w:rPr>
          <w:color w:val="231F20"/>
          <w:spacing w:val="-1"/>
          <w:w w:val="120"/>
        </w:rPr>
        <w:t> </w:t>
      </w:r>
      <w:r>
        <w:rPr>
          <w:color w:val="231F20"/>
          <w:w w:val="120"/>
        </w:rPr>
        <w:t>élément</w:t>
      </w:r>
      <w:r>
        <w:rPr>
          <w:color w:val="231F20"/>
          <w:spacing w:val="-1"/>
          <w:w w:val="120"/>
        </w:rPr>
        <w:t> </w:t>
      </w:r>
      <w:r>
        <w:rPr>
          <w:color w:val="231F20"/>
          <w:w w:val="120"/>
        </w:rPr>
        <w:t>essentiel</w:t>
      </w:r>
      <w:r>
        <w:rPr>
          <w:color w:val="231F20"/>
          <w:spacing w:val="-1"/>
          <w:w w:val="120"/>
        </w:rPr>
        <w:t> </w:t>
      </w:r>
      <w:r>
        <w:rPr>
          <w:color w:val="231F20"/>
          <w:w w:val="120"/>
        </w:rPr>
        <w:t>qui</w:t>
      </w:r>
      <w:r>
        <w:rPr>
          <w:color w:val="231F20"/>
          <w:spacing w:val="-1"/>
          <w:w w:val="120"/>
        </w:rPr>
        <w:t> </w:t>
      </w:r>
      <w:r>
        <w:rPr>
          <w:color w:val="231F20"/>
          <w:w w:val="120"/>
        </w:rPr>
        <w:t>vient</w:t>
      </w:r>
      <w:r>
        <w:rPr>
          <w:color w:val="231F20"/>
          <w:spacing w:val="-1"/>
          <w:w w:val="120"/>
        </w:rPr>
        <w:t> </w:t>
      </w:r>
      <w:r>
        <w:rPr>
          <w:color w:val="231F20"/>
          <w:w w:val="120"/>
        </w:rPr>
        <w:t>teinter</w:t>
      </w:r>
      <w:r>
        <w:rPr>
          <w:color w:val="231F20"/>
          <w:spacing w:val="-1"/>
          <w:w w:val="120"/>
        </w:rPr>
        <w:t> </w:t>
      </w:r>
      <w:r>
        <w:rPr>
          <w:color w:val="231F20"/>
          <w:w w:val="120"/>
        </w:rPr>
        <w:t>la</w:t>
      </w:r>
      <w:r>
        <w:rPr>
          <w:color w:val="231F20"/>
          <w:spacing w:val="-1"/>
          <w:w w:val="120"/>
        </w:rPr>
        <w:t> </w:t>
      </w:r>
      <w:r>
        <w:rPr>
          <w:color w:val="231F20"/>
          <w:w w:val="120"/>
        </w:rPr>
        <w:t>qualité</w:t>
      </w:r>
      <w:r>
        <w:rPr>
          <w:color w:val="231F20"/>
          <w:spacing w:val="-1"/>
          <w:w w:val="120"/>
        </w:rPr>
        <w:t> </w:t>
      </w:r>
      <w:r>
        <w:rPr>
          <w:color w:val="231F20"/>
          <w:w w:val="120"/>
        </w:rPr>
        <w:t>des communications</w:t>
      </w:r>
      <w:r>
        <w:rPr>
          <w:color w:val="231F20"/>
          <w:spacing w:val="-12"/>
          <w:w w:val="120"/>
        </w:rPr>
        <w:t> </w:t>
      </w:r>
      <w:r>
        <w:rPr>
          <w:color w:val="231F20"/>
          <w:w w:val="120"/>
        </w:rPr>
        <w:t>interpersonnelles.</w:t>
      </w:r>
      <w:r>
        <w:rPr>
          <w:color w:val="231F20"/>
          <w:spacing w:val="-12"/>
          <w:w w:val="120"/>
        </w:rPr>
        <w:t> </w:t>
      </w:r>
      <w:r>
        <w:rPr>
          <w:color w:val="231F20"/>
          <w:w w:val="120"/>
        </w:rPr>
        <w:t>L’assertivité</w:t>
      </w:r>
      <w:r>
        <w:rPr>
          <w:color w:val="231F20"/>
          <w:spacing w:val="-12"/>
          <w:w w:val="120"/>
        </w:rPr>
        <w:t> </w:t>
      </w:r>
      <w:r>
        <w:rPr>
          <w:color w:val="231F20"/>
          <w:w w:val="120"/>
        </w:rPr>
        <w:t>peut</w:t>
      </w:r>
      <w:r>
        <w:rPr>
          <w:color w:val="231F20"/>
          <w:spacing w:val="-12"/>
          <w:w w:val="120"/>
        </w:rPr>
        <w:t> </w:t>
      </w:r>
      <w:r>
        <w:rPr>
          <w:color w:val="231F20"/>
          <w:w w:val="120"/>
        </w:rPr>
        <w:t>se</w:t>
      </w:r>
      <w:r>
        <w:rPr>
          <w:color w:val="231F20"/>
          <w:spacing w:val="-12"/>
          <w:w w:val="120"/>
        </w:rPr>
        <w:t> </w:t>
      </w:r>
      <w:r>
        <w:rPr>
          <w:color w:val="231F20"/>
          <w:w w:val="120"/>
        </w:rPr>
        <w:t>définir</w:t>
      </w:r>
      <w:r>
        <w:rPr>
          <w:color w:val="231F20"/>
          <w:spacing w:val="-12"/>
          <w:w w:val="120"/>
        </w:rPr>
        <w:t> </w:t>
      </w:r>
      <w:r>
        <w:rPr>
          <w:color w:val="231F20"/>
          <w:w w:val="120"/>
        </w:rPr>
        <w:t>comme l’aptitude</w:t>
      </w:r>
      <w:r>
        <w:rPr>
          <w:color w:val="231F20"/>
          <w:spacing w:val="-8"/>
          <w:w w:val="120"/>
        </w:rPr>
        <w:t> </w:t>
      </w:r>
      <w:r>
        <w:rPr>
          <w:color w:val="231F20"/>
          <w:w w:val="120"/>
        </w:rPr>
        <w:t>d’une</w:t>
      </w:r>
      <w:r>
        <w:rPr>
          <w:color w:val="231F20"/>
          <w:spacing w:val="-8"/>
          <w:w w:val="120"/>
        </w:rPr>
        <w:t> </w:t>
      </w:r>
      <w:r>
        <w:rPr>
          <w:color w:val="231F20"/>
          <w:w w:val="120"/>
        </w:rPr>
        <w:t>personne</w:t>
      </w:r>
      <w:r>
        <w:rPr>
          <w:color w:val="231F20"/>
          <w:spacing w:val="-8"/>
          <w:w w:val="120"/>
        </w:rPr>
        <w:t> </w:t>
      </w:r>
      <w:r>
        <w:rPr>
          <w:color w:val="231F20"/>
          <w:w w:val="120"/>
        </w:rPr>
        <w:t>à</w:t>
      </w:r>
      <w:r>
        <w:rPr>
          <w:color w:val="231F20"/>
          <w:spacing w:val="-7"/>
          <w:w w:val="120"/>
        </w:rPr>
        <w:t> </w:t>
      </w:r>
      <w:r>
        <w:rPr>
          <w:color w:val="231F20"/>
          <w:w w:val="120"/>
        </w:rPr>
        <w:t>exprimer</w:t>
      </w:r>
      <w:r>
        <w:rPr>
          <w:color w:val="231F20"/>
          <w:spacing w:val="-8"/>
          <w:w w:val="120"/>
        </w:rPr>
        <w:t> </w:t>
      </w:r>
      <w:r>
        <w:rPr>
          <w:color w:val="231F20"/>
          <w:w w:val="120"/>
        </w:rPr>
        <w:t>ses</w:t>
      </w:r>
      <w:r>
        <w:rPr>
          <w:color w:val="231F20"/>
          <w:spacing w:val="-8"/>
          <w:w w:val="120"/>
        </w:rPr>
        <w:t> </w:t>
      </w:r>
      <w:r>
        <w:rPr>
          <w:color w:val="231F20"/>
          <w:w w:val="120"/>
        </w:rPr>
        <w:t>sentiments,</w:t>
      </w:r>
      <w:r>
        <w:rPr>
          <w:color w:val="231F20"/>
          <w:spacing w:val="-7"/>
          <w:w w:val="120"/>
        </w:rPr>
        <w:t> </w:t>
      </w:r>
      <w:r>
        <w:rPr>
          <w:color w:val="231F20"/>
          <w:w w:val="120"/>
        </w:rPr>
        <w:t>son</w:t>
      </w:r>
      <w:r>
        <w:rPr>
          <w:color w:val="231F20"/>
          <w:spacing w:val="-8"/>
          <w:w w:val="120"/>
        </w:rPr>
        <w:t> </w:t>
      </w:r>
      <w:r>
        <w:rPr>
          <w:color w:val="231F20"/>
          <w:w w:val="120"/>
        </w:rPr>
        <w:t>opinion</w:t>
      </w:r>
      <w:r>
        <w:rPr>
          <w:color w:val="231F20"/>
          <w:spacing w:val="-8"/>
          <w:w w:val="120"/>
        </w:rPr>
        <w:t> </w:t>
      </w:r>
      <w:r>
        <w:rPr>
          <w:color w:val="231F20"/>
          <w:w w:val="120"/>
        </w:rPr>
        <w:t>et</w:t>
      </w:r>
      <w:r>
        <w:rPr>
          <w:color w:val="231F20"/>
          <w:spacing w:val="-7"/>
          <w:w w:val="120"/>
        </w:rPr>
        <w:t> </w:t>
      </w:r>
      <w:r>
        <w:rPr>
          <w:color w:val="231F20"/>
          <w:spacing w:val="-5"/>
          <w:w w:val="120"/>
        </w:rPr>
        <w:t>ses</w:t>
      </w:r>
    </w:p>
    <w:p>
      <w:pPr>
        <w:pStyle w:val="BodyText"/>
        <w:rPr>
          <w:sz w:val="20"/>
        </w:rPr>
      </w:pPr>
    </w:p>
    <w:p>
      <w:pPr>
        <w:pStyle w:val="BodyText"/>
        <w:rPr>
          <w:sz w:val="15"/>
        </w:rPr>
      </w:pPr>
      <w:r>
        <w:rPr/>
        <w:pict>
          <v:shape style="position:absolute;margin-left:82pt;margin-top:9.848193pt;width:287.5pt;height:.1pt;mso-position-horizontal-relative:page;mso-position-vertical-relative:paragraph;z-index:-15624704;mso-wrap-distance-left:0;mso-wrap-distance-right:0" id="docshape1059" coordorigin="1640,197" coordsize="5750,0" path="m1640,197l7390,197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40" w:lineRule="auto" w:before="135" w:after="0"/>
        <w:ind w:left="1219" w:right="0" w:hanging="406"/>
        <w:jc w:val="left"/>
        <w:rPr>
          <w:rFonts w:ascii="Arial"/>
          <w:sz w:val="12"/>
        </w:rPr>
      </w:pPr>
      <w:r>
        <w:rPr>
          <w:rFonts w:ascii="Arial"/>
          <w:color w:val="231F20"/>
          <w:w w:val="95"/>
          <w:sz w:val="12"/>
        </w:rPr>
        <w:t>Posen,</w:t>
      </w:r>
      <w:r>
        <w:rPr>
          <w:rFonts w:ascii="Arial"/>
          <w:color w:val="231F20"/>
          <w:spacing w:val="4"/>
          <w:sz w:val="12"/>
        </w:rPr>
        <w:t> </w:t>
      </w:r>
      <w:r>
        <w:rPr>
          <w:rFonts w:ascii="Arial"/>
          <w:color w:val="231F20"/>
          <w:w w:val="95"/>
          <w:sz w:val="12"/>
        </w:rPr>
        <w:t>D.</w:t>
      </w:r>
      <w:r>
        <w:rPr>
          <w:rFonts w:ascii="Arial"/>
          <w:color w:val="231F20"/>
          <w:spacing w:val="5"/>
          <w:sz w:val="12"/>
        </w:rPr>
        <w:t> </w:t>
      </w:r>
      <w:r>
        <w:rPr>
          <w:rFonts w:ascii="Arial"/>
          <w:color w:val="231F20"/>
          <w:w w:val="95"/>
          <w:sz w:val="12"/>
        </w:rPr>
        <w:t>Social</w:t>
      </w:r>
      <w:r>
        <w:rPr>
          <w:rFonts w:ascii="Arial"/>
          <w:color w:val="231F20"/>
          <w:spacing w:val="4"/>
          <w:sz w:val="12"/>
        </w:rPr>
        <w:t> </w:t>
      </w:r>
      <w:r>
        <w:rPr>
          <w:rFonts w:ascii="Arial"/>
          <w:color w:val="231F20"/>
          <w:w w:val="95"/>
          <w:sz w:val="12"/>
        </w:rPr>
        <w:t>support:</w:t>
      </w:r>
      <w:r>
        <w:rPr>
          <w:rFonts w:ascii="Arial"/>
          <w:color w:val="231F20"/>
          <w:spacing w:val="5"/>
          <w:sz w:val="12"/>
        </w:rPr>
        <w:t> </w:t>
      </w:r>
      <w:r>
        <w:rPr>
          <w:rFonts w:ascii="Arial"/>
          <w:color w:val="231F20"/>
          <w:w w:val="95"/>
          <w:sz w:val="12"/>
        </w:rPr>
        <w:t>Why</w:t>
      </w:r>
      <w:r>
        <w:rPr>
          <w:rFonts w:ascii="Arial"/>
          <w:color w:val="231F20"/>
          <w:spacing w:val="4"/>
          <w:sz w:val="12"/>
        </w:rPr>
        <w:t> </w:t>
      </w:r>
      <w:r>
        <w:rPr>
          <w:rFonts w:ascii="Arial"/>
          <w:color w:val="231F20"/>
          <w:w w:val="95"/>
          <w:sz w:val="12"/>
        </w:rPr>
        <w:t>and</w:t>
      </w:r>
      <w:r>
        <w:rPr>
          <w:rFonts w:ascii="Arial"/>
          <w:color w:val="231F20"/>
          <w:spacing w:val="5"/>
          <w:sz w:val="12"/>
        </w:rPr>
        <w:t> </w:t>
      </w:r>
      <w:r>
        <w:rPr>
          <w:rFonts w:ascii="Arial"/>
          <w:color w:val="231F20"/>
          <w:w w:val="95"/>
          <w:sz w:val="12"/>
        </w:rPr>
        <w:t>how?,</w:t>
      </w:r>
      <w:r>
        <w:rPr>
          <w:rFonts w:ascii="Arial"/>
          <w:color w:val="231F20"/>
          <w:spacing w:val="4"/>
          <w:sz w:val="12"/>
        </w:rPr>
        <w:t> </w:t>
      </w:r>
      <w:r>
        <w:rPr>
          <w:rFonts w:ascii="Arial"/>
          <w:i/>
          <w:color w:val="231F20"/>
          <w:w w:val="95"/>
          <w:sz w:val="12"/>
        </w:rPr>
        <w:t>Tips</w:t>
      </w:r>
      <w:r>
        <w:rPr>
          <w:rFonts w:ascii="Arial"/>
          <w:i/>
          <w:color w:val="231F20"/>
          <w:spacing w:val="5"/>
          <w:sz w:val="12"/>
        </w:rPr>
        <w:t> </w:t>
      </w:r>
      <w:r>
        <w:rPr>
          <w:rFonts w:ascii="Arial"/>
          <w:i/>
          <w:color w:val="231F20"/>
          <w:w w:val="95"/>
          <w:sz w:val="12"/>
        </w:rPr>
        <w:t>and</w:t>
      </w:r>
      <w:r>
        <w:rPr>
          <w:rFonts w:ascii="Arial"/>
          <w:i/>
          <w:color w:val="231F20"/>
          <w:spacing w:val="4"/>
          <w:sz w:val="12"/>
        </w:rPr>
        <w:t> </w:t>
      </w:r>
      <w:r>
        <w:rPr>
          <w:rFonts w:ascii="Arial"/>
          <w:i/>
          <w:color w:val="231F20"/>
          <w:w w:val="95"/>
          <w:sz w:val="12"/>
        </w:rPr>
        <w:t>Techniques</w:t>
      </w:r>
      <w:r>
        <w:rPr>
          <w:rFonts w:ascii="Arial"/>
          <w:color w:val="231F20"/>
          <w:w w:val="95"/>
          <w:sz w:val="12"/>
        </w:rPr>
        <w:t>,</w:t>
      </w:r>
      <w:r>
        <w:rPr>
          <w:rFonts w:ascii="Arial"/>
          <w:color w:val="231F20"/>
          <w:spacing w:val="5"/>
          <w:sz w:val="12"/>
        </w:rPr>
        <w:t> </w:t>
      </w:r>
      <w:r>
        <w:rPr>
          <w:rFonts w:ascii="Arial"/>
          <w:i/>
          <w:color w:val="231F20"/>
          <w:spacing w:val="-5"/>
          <w:w w:val="95"/>
          <w:sz w:val="12"/>
        </w:rPr>
        <w:t>20</w:t>
      </w:r>
      <w:r>
        <w:rPr>
          <w:rFonts w:ascii="Arial"/>
          <w:color w:val="231F20"/>
          <w:spacing w:val="-5"/>
          <w:w w:val="95"/>
          <w:sz w:val="12"/>
        </w:rPr>
        <w:t>.</w:t>
      </w:r>
    </w:p>
    <w:p>
      <w:pPr>
        <w:spacing w:after="0" w:line="240" w:lineRule="auto"/>
        <w:jc w:val="left"/>
        <w:rPr>
          <w:rFonts w:ascii="Arial"/>
          <w:sz w:val="12"/>
        </w:rPr>
        <w:sectPr>
          <w:footerReference w:type="default" r:id="rId30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20"/>
        </w:rPr>
        <w:t>pensées</w:t>
      </w:r>
      <w:r>
        <w:rPr>
          <w:color w:val="231F20"/>
          <w:spacing w:val="-9"/>
          <w:w w:val="120"/>
        </w:rPr>
        <w:t> </w:t>
      </w:r>
      <w:r>
        <w:rPr>
          <w:color w:val="231F20"/>
          <w:w w:val="120"/>
        </w:rPr>
        <w:t>au</w:t>
      </w:r>
      <w:r>
        <w:rPr>
          <w:color w:val="231F20"/>
          <w:spacing w:val="-9"/>
          <w:w w:val="120"/>
        </w:rPr>
        <w:t> </w:t>
      </w:r>
      <w:r>
        <w:rPr>
          <w:color w:val="231F20"/>
          <w:w w:val="120"/>
        </w:rPr>
        <w:t>moment</w:t>
      </w:r>
      <w:r>
        <w:rPr>
          <w:color w:val="231F20"/>
          <w:spacing w:val="-9"/>
          <w:w w:val="120"/>
        </w:rPr>
        <w:t> </w:t>
      </w:r>
      <w:r>
        <w:rPr>
          <w:color w:val="231F20"/>
          <w:w w:val="120"/>
        </w:rPr>
        <w:t>opportun</w:t>
      </w:r>
      <w:r>
        <w:rPr>
          <w:color w:val="231F20"/>
          <w:spacing w:val="-9"/>
          <w:w w:val="120"/>
        </w:rPr>
        <w:t> </w:t>
      </w:r>
      <w:r>
        <w:rPr>
          <w:color w:val="231F20"/>
          <w:w w:val="120"/>
        </w:rPr>
        <w:t>et</w:t>
      </w:r>
      <w:r>
        <w:rPr>
          <w:color w:val="231F20"/>
          <w:spacing w:val="-9"/>
          <w:w w:val="120"/>
        </w:rPr>
        <w:t> </w:t>
      </w:r>
      <w:r>
        <w:rPr>
          <w:color w:val="231F20"/>
          <w:w w:val="120"/>
        </w:rPr>
        <w:t>d’une</w:t>
      </w:r>
      <w:r>
        <w:rPr>
          <w:color w:val="231F20"/>
          <w:spacing w:val="-9"/>
          <w:w w:val="120"/>
        </w:rPr>
        <w:t> </w:t>
      </w:r>
      <w:r>
        <w:rPr>
          <w:color w:val="231F20"/>
          <w:w w:val="120"/>
        </w:rPr>
        <w:t>manière</w:t>
      </w:r>
      <w:r>
        <w:rPr>
          <w:color w:val="231F20"/>
          <w:spacing w:val="-9"/>
          <w:w w:val="120"/>
        </w:rPr>
        <w:t> </w:t>
      </w:r>
      <w:r>
        <w:rPr>
          <w:color w:val="231F20"/>
          <w:w w:val="120"/>
        </w:rPr>
        <w:t>acceptable,</w:t>
      </w:r>
      <w:r>
        <w:rPr>
          <w:color w:val="231F20"/>
          <w:spacing w:val="-9"/>
          <w:w w:val="120"/>
        </w:rPr>
        <w:t> </w:t>
      </w:r>
      <w:r>
        <w:rPr>
          <w:color w:val="231F20"/>
          <w:w w:val="120"/>
        </w:rPr>
        <w:t>sans</w:t>
      </w:r>
      <w:r>
        <w:rPr>
          <w:color w:val="231F20"/>
          <w:spacing w:val="-9"/>
          <w:w w:val="120"/>
        </w:rPr>
        <w:t> </w:t>
      </w:r>
      <w:r>
        <w:rPr>
          <w:color w:val="231F20"/>
          <w:w w:val="120"/>
        </w:rPr>
        <w:t>refuser ni oublier de prendre en considération le point de vue des autres per- sonnes.</w:t>
      </w:r>
      <w:r>
        <w:rPr>
          <w:color w:val="231F20"/>
          <w:spacing w:val="40"/>
          <w:w w:val="120"/>
        </w:rPr>
        <w:t> </w:t>
      </w:r>
      <w:r>
        <w:rPr>
          <w:color w:val="231F20"/>
          <w:w w:val="120"/>
        </w:rPr>
        <w:t>Une</w:t>
      </w:r>
      <w:r>
        <w:rPr>
          <w:color w:val="231F20"/>
          <w:spacing w:val="41"/>
          <w:w w:val="120"/>
        </w:rPr>
        <w:t> </w:t>
      </w:r>
      <w:r>
        <w:rPr>
          <w:color w:val="231F20"/>
          <w:w w:val="120"/>
        </w:rPr>
        <w:t>communication</w:t>
      </w:r>
      <w:r>
        <w:rPr>
          <w:color w:val="231F20"/>
          <w:spacing w:val="41"/>
          <w:w w:val="120"/>
        </w:rPr>
        <w:t> </w:t>
      </w:r>
      <w:r>
        <w:rPr>
          <w:color w:val="231F20"/>
          <w:w w:val="120"/>
        </w:rPr>
        <w:t>assertive</w:t>
      </w:r>
      <w:r>
        <w:rPr>
          <w:color w:val="231F20"/>
          <w:spacing w:val="41"/>
          <w:w w:val="120"/>
        </w:rPr>
        <w:t> </w:t>
      </w:r>
      <w:r>
        <w:rPr>
          <w:color w:val="231F20"/>
          <w:w w:val="120"/>
        </w:rPr>
        <w:t>se</w:t>
      </w:r>
      <w:r>
        <w:rPr>
          <w:color w:val="231F20"/>
          <w:spacing w:val="41"/>
          <w:w w:val="120"/>
        </w:rPr>
        <w:t> </w:t>
      </w:r>
      <w:r>
        <w:rPr>
          <w:color w:val="231F20"/>
          <w:w w:val="120"/>
        </w:rPr>
        <w:t>structure</w:t>
      </w:r>
      <w:r>
        <w:rPr>
          <w:color w:val="231F20"/>
          <w:spacing w:val="41"/>
          <w:w w:val="120"/>
        </w:rPr>
        <w:t> </w:t>
      </w:r>
      <w:r>
        <w:rPr>
          <w:color w:val="231F20"/>
          <w:w w:val="120"/>
        </w:rPr>
        <w:t>en</w:t>
      </w:r>
      <w:r>
        <w:rPr>
          <w:color w:val="231F20"/>
          <w:spacing w:val="40"/>
          <w:w w:val="120"/>
        </w:rPr>
        <w:t> </w:t>
      </w:r>
      <w:r>
        <w:rPr>
          <w:color w:val="231F20"/>
          <w:w w:val="120"/>
        </w:rPr>
        <w:t>trois</w:t>
      </w:r>
      <w:r>
        <w:rPr>
          <w:color w:val="231F20"/>
          <w:spacing w:val="41"/>
          <w:w w:val="120"/>
        </w:rPr>
        <w:t> </w:t>
      </w:r>
      <w:r>
        <w:rPr>
          <w:color w:val="231F20"/>
          <w:w w:val="120"/>
        </w:rPr>
        <w:t>étapes</w:t>
      </w:r>
      <w:r>
        <w:rPr>
          <w:color w:val="231F20"/>
          <w:spacing w:val="-10"/>
          <w:w w:val="120"/>
        </w:rPr>
        <w:t> :</w:t>
      </w:r>
    </w:p>
    <w:p>
      <w:pPr>
        <w:pStyle w:val="ListParagraph"/>
        <w:numPr>
          <w:ilvl w:val="0"/>
          <w:numId w:val="88"/>
        </w:numPr>
        <w:tabs>
          <w:tab w:pos="1008" w:val="left" w:leader="none"/>
        </w:tabs>
        <w:spacing w:line="307" w:lineRule="auto" w:before="0" w:after="0"/>
        <w:ind w:left="830" w:right="495" w:firstLine="0"/>
        <w:jc w:val="both"/>
        <w:rPr>
          <w:sz w:val="17"/>
        </w:rPr>
      </w:pPr>
      <w:r>
        <w:rPr>
          <w:color w:val="231F20"/>
          <w:w w:val="120"/>
          <w:sz w:val="17"/>
        </w:rPr>
        <w:t>écouter</w:t>
      </w:r>
      <w:r>
        <w:rPr>
          <w:color w:val="231F20"/>
          <w:spacing w:val="-3"/>
          <w:w w:val="120"/>
          <w:sz w:val="17"/>
        </w:rPr>
        <w:t> </w:t>
      </w:r>
      <w:r>
        <w:rPr>
          <w:color w:val="231F20"/>
          <w:w w:val="120"/>
          <w:sz w:val="17"/>
        </w:rPr>
        <w:t>l’autre</w:t>
      </w:r>
      <w:r>
        <w:rPr>
          <w:color w:val="231F20"/>
          <w:spacing w:val="-3"/>
          <w:w w:val="120"/>
          <w:sz w:val="17"/>
        </w:rPr>
        <w:t> </w:t>
      </w:r>
      <w:r>
        <w:rPr>
          <w:color w:val="231F20"/>
          <w:w w:val="120"/>
          <w:sz w:val="17"/>
        </w:rPr>
        <w:t>de</w:t>
      </w:r>
      <w:r>
        <w:rPr>
          <w:color w:val="231F20"/>
          <w:spacing w:val="-3"/>
          <w:w w:val="120"/>
          <w:sz w:val="17"/>
        </w:rPr>
        <w:t> </w:t>
      </w:r>
      <w:r>
        <w:rPr>
          <w:color w:val="231F20"/>
          <w:w w:val="120"/>
          <w:sz w:val="17"/>
        </w:rPr>
        <w:t>façon</w:t>
      </w:r>
      <w:r>
        <w:rPr>
          <w:color w:val="231F20"/>
          <w:spacing w:val="-3"/>
          <w:w w:val="120"/>
          <w:sz w:val="17"/>
        </w:rPr>
        <w:t> </w:t>
      </w:r>
      <w:r>
        <w:rPr>
          <w:color w:val="231F20"/>
          <w:w w:val="120"/>
          <w:sz w:val="17"/>
        </w:rPr>
        <w:t>active;</w:t>
      </w:r>
      <w:r>
        <w:rPr>
          <w:color w:val="231F20"/>
          <w:spacing w:val="-3"/>
          <w:w w:val="120"/>
          <w:sz w:val="17"/>
        </w:rPr>
        <w:t> </w:t>
      </w:r>
      <w:r>
        <w:rPr>
          <w:color w:val="231F20"/>
          <w:w w:val="120"/>
          <w:sz w:val="17"/>
        </w:rPr>
        <w:t>2)</w:t>
      </w:r>
      <w:r>
        <w:rPr>
          <w:color w:val="231F20"/>
          <w:spacing w:val="-3"/>
          <w:w w:val="120"/>
          <w:sz w:val="17"/>
        </w:rPr>
        <w:t> </w:t>
      </w:r>
      <w:r>
        <w:rPr>
          <w:color w:val="231F20"/>
          <w:w w:val="120"/>
          <w:sz w:val="17"/>
        </w:rPr>
        <w:t>exprimer</w:t>
      </w:r>
      <w:r>
        <w:rPr>
          <w:color w:val="231F20"/>
          <w:spacing w:val="-3"/>
          <w:w w:val="120"/>
          <w:sz w:val="17"/>
        </w:rPr>
        <w:t> </w:t>
      </w:r>
      <w:r>
        <w:rPr>
          <w:color w:val="231F20"/>
          <w:w w:val="120"/>
          <w:sz w:val="17"/>
        </w:rPr>
        <w:t>sa</w:t>
      </w:r>
      <w:r>
        <w:rPr>
          <w:color w:val="231F20"/>
          <w:spacing w:val="-3"/>
          <w:w w:val="120"/>
          <w:sz w:val="17"/>
        </w:rPr>
        <w:t> </w:t>
      </w:r>
      <w:r>
        <w:rPr>
          <w:color w:val="231F20"/>
          <w:w w:val="120"/>
          <w:sz w:val="17"/>
        </w:rPr>
        <w:t>pensée</w:t>
      </w:r>
      <w:r>
        <w:rPr>
          <w:color w:val="231F20"/>
          <w:spacing w:val="-3"/>
          <w:w w:val="120"/>
          <w:sz w:val="17"/>
        </w:rPr>
        <w:t> </w:t>
      </w:r>
      <w:r>
        <w:rPr>
          <w:color w:val="231F20"/>
          <w:w w:val="120"/>
          <w:sz w:val="17"/>
        </w:rPr>
        <w:t>ou</w:t>
      </w:r>
      <w:r>
        <w:rPr>
          <w:color w:val="231F20"/>
          <w:spacing w:val="-3"/>
          <w:w w:val="120"/>
          <w:sz w:val="17"/>
        </w:rPr>
        <w:t> </w:t>
      </w:r>
      <w:r>
        <w:rPr>
          <w:color w:val="231F20"/>
          <w:w w:val="120"/>
          <w:sz w:val="17"/>
        </w:rPr>
        <w:t>donner</w:t>
      </w:r>
      <w:r>
        <w:rPr>
          <w:color w:val="231F20"/>
          <w:spacing w:val="-3"/>
          <w:w w:val="120"/>
          <w:sz w:val="17"/>
        </w:rPr>
        <w:t> </w:t>
      </w:r>
      <w:r>
        <w:rPr>
          <w:color w:val="231F20"/>
          <w:w w:val="120"/>
          <w:sz w:val="17"/>
        </w:rPr>
        <w:t>son avis;</w:t>
      </w:r>
      <w:r>
        <w:rPr>
          <w:color w:val="231F20"/>
          <w:spacing w:val="-7"/>
          <w:w w:val="120"/>
          <w:sz w:val="17"/>
        </w:rPr>
        <w:t> </w:t>
      </w:r>
      <w:r>
        <w:rPr>
          <w:color w:val="231F20"/>
          <w:w w:val="120"/>
          <w:sz w:val="17"/>
        </w:rPr>
        <w:t>3)</w:t>
      </w:r>
      <w:r>
        <w:rPr>
          <w:color w:val="231F20"/>
          <w:spacing w:val="-7"/>
          <w:w w:val="120"/>
          <w:sz w:val="17"/>
        </w:rPr>
        <w:t> </w:t>
      </w:r>
      <w:r>
        <w:rPr>
          <w:color w:val="231F20"/>
          <w:w w:val="120"/>
          <w:sz w:val="17"/>
        </w:rPr>
        <w:t>énoncer</w:t>
      </w:r>
      <w:r>
        <w:rPr>
          <w:color w:val="231F20"/>
          <w:spacing w:val="-7"/>
          <w:w w:val="120"/>
          <w:sz w:val="17"/>
        </w:rPr>
        <w:t> </w:t>
      </w:r>
      <w:r>
        <w:rPr>
          <w:color w:val="231F20"/>
          <w:w w:val="120"/>
          <w:sz w:val="17"/>
        </w:rPr>
        <w:t>ses</w:t>
      </w:r>
      <w:r>
        <w:rPr>
          <w:color w:val="231F20"/>
          <w:spacing w:val="-7"/>
          <w:w w:val="120"/>
          <w:sz w:val="17"/>
        </w:rPr>
        <w:t> </w:t>
      </w:r>
      <w:r>
        <w:rPr>
          <w:color w:val="231F20"/>
          <w:w w:val="120"/>
          <w:sz w:val="17"/>
        </w:rPr>
        <w:t>attentes.</w:t>
      </w:r>
      <w:r>
        <w:rPr>
          <w:color w:val="231F20"/>
          <w:spacing w:val="-7"/>
          <w:w w:val="120"/>
          <w:sz w:val="17"/>
        </w:rPr>
        <w:t> </w:t>
      </w:r>
      <w:r>
        <w:rPr>
          <w:color w:val="231F20"/>
          <w:w w:val="120"/>
          <w:sz w:val="17"/>
        </w:rPr>
        <w:t>L’assertivité</w:t>
      </w:r>
      <w:r>
        <w:rPr>
          <w:color w:val="231F20"/>
          <w:spacing w:val="-7"/>
          <w:w w:val="120"/>
          <w:sz w:val="17"/>
        </w:rPr>
        <w:t> </w:t>
      </w:r>
      <w:r>
        <w:rPr>
          <w:color w:val="231F20"/>
          <w:w w:val="120"/>
          <w:sz w:val="17"/>
        </w:rPr>
        <w:t>contribue</w:t>
      </w:r>
      <w:r>
        <w:rPr>
          <w:color w:val="231F20"/>
          <w:spacing w:val="-7"/>
          <w:w w:val="120"/>
          <w:sz w:val="17"/>
        </w:rPr>
        <w:t> </w:t>
      </w:r>
      <w:r>
        <w:rPr>
          <w:color w:val="231F20"/>
          <w:w w:val="120"/>
          <w:sz w:val="17"/>
        </w:rPr>
        <w:t>à</w:t>
      </w:r>
      <w:r>
        <w:rPr>
          <w:color w:val="231F20"/>
          <w:spacing w:val="-7"/>
          <w:w w:val="120"/>
          <w:sz w:val="17"/>
        </w:rPr>
        <w:t> </w:t>
      </w:r>
      <w:r>
        <w:rPr>
          <w:color w:val="231F20"/>
          <w:w w:val="120"/>
          <w:sz w:val="17"/>
        </w:rPr>
        <w:t>réduire</w:t>
      </w:r>
      <w:r>
        <w:rPr>
          <w:color w:val="231F20"/>
          <w:spacing w:val="-7"/>
          <w:w w:val="120"/>
          <w:sz w:val="17"/>
        </w:rPr>
        <w:t> </w:t>
      </w:r>
      <w:r>
        <w:rPr>
          <w:color w:val="231F20"/>
          <w:w w:val="120"/>
          <w:sz w:val="17"/>
        </w:rPr>
        <w:t>le</w:t>
      </w:r>
      <w:r>
        <w:rPr>
          <w:color w:val="231F20"/>
          <w:spacing w:val="-7"/>
          <w:w w:val="120"/>
          <w:sz w:val="17"/>
        </w:rPr>
        <w:t> </w:t>
      </w:r>
      <w:r>
        <w:rPr>
          <w:color w:val="231F20"/>
          <w:w w:val="120"/>
          <w:sz w:val="17"/>
        </w:rPr>
        <w:t>niveau de stress, car elle accroît la perception de maîtrise de la situation et la </w:t>
      </w:r>
      <w:r>
        <w:rPr>
          <w:color w:val="231F20"/>
          <w:spacing w:val="-2"/>
          <w:w w:val="120"/>
          <w:sz w:val="17"/>
        </w:rPr>
        <w:t>confiance</w:t>
      </w:r>
      <w:r>
        <w:rPr>
          <w:color w:val="231F20"/>
          <w:spacing w:val="-10"/>
          <w:w w:val="120"/>
          <w:sz w:val="17"/>
        </w:rPr>
        <w:t> </w:t>
      </w:r>
      <w:r>
        <w:rPr>
          <w:color w:val="231F20"/>
          <w:spacing w:val="-2"/>
          <w:w w:val="120"/>
          <w:sz w:val="17"/>
        </w:rPr>
        <w:t>en</w:t>
      </w:r>
      <w:r>
        <w:rPr>
          <w:color w:val="231F20"/>
          <w:spacing w:val="-10"/>
          <w:w w:val="120"/>
          <w:sz w:val="17"/>
        </w:rPr>
        <w:t> </w:t>
      </w:r>
      <w:r>
        <w:rPr>
          <w:color w:val="231F20"/>
          <w:spacing w:val="-2"/>
          <w:w w:val="120"/>
          <w:sz w:val="17"/>
        </w:rPr>
        <w:t>soi.</w:t>
      </w:r>
      <w:r>
        <w:rPr>
          <w:color w:val="231F20"/>
          <w:spacing w:val="-10"/>
          <w:w w:val="120"/>
          <w:sz w:val="17"/>
        </w:rPr>
        <w:t> </w:t>
      </w:r>
      <w:r>
        <w:rPr>
          <w:color w:val="231F20"/>
          <w:spacing w:val="-2"/>
          <w:w w:val="120"/>
          <w:sz w:val="17"/>
        </w:rPr>
        <w:t>L’apprentissage</w:t>
      </w:r>
      <w:r>
        <w:rPr>
          <w:color w:val="231F20"/>
          <w:spacing w:val="-10"/>
          <w:w w:val="120"/>
          <w:sz w:val="17"/>
        </w:rPr>
        <w:t> </w:t>
      </w:r>
      <w:r>
        <w:rPr>
          <w:color w:val="231F20"/>
          <w:spacing w:val="-2"/>
          <w:w w:val="120"/>
          <w:sz w:val="17"/>
        </w:rPr>
        <w:t>et</w:t>
      </w:r>
      <w:r>
        <w:rPr>
          <w:color w:val="231F20"/>
          <w:spacing w:val="-10"/>
          <w:w w:val="120"/>
          <w:sz w:val="17"/>
        </w:rPr>
        <w:t> </w:t>
      </w:r>
      <w:r>
        <w:rPr>
          <w:color w:val="231F20"/>
          <w:spacing w:val="-2"/>
          <w:w w:val="120"/>
          <w:sz w:val="17"/>
        </w:rPr>
        <w:t>la</w:t>
      </w:r>
      <w:r>
        <w:rPr>
          <w:color w:val="231F20"/>
          <w:spacing w:val="-10"/>
          <w:w w:val="120"/>
          <w:sz w:val="17"/>
        </w:rPr>
        <w:t> </w:t>
      </w:r>
      <w:r>
        <w:rPr>
          <w:color w:val="231F20"/>
          <w:spacing w:val="-2"/>
          <w:w w:val="120"/>
          <w:sz w:val="17"/>
        </w:rPr>
        <w:t>pratique</w:t>
      </w:r>
      <w:r>
        <w:rPr>
          <w:color w:val="231F20"/>
          <w:spacing w:val="-10"/>
          <w:w w:val="120"/>
          <w:sz w:val="17"/>
        </w:rPr>
        <w:t> </w:t>
      </w:r>
      <w:r>
        <w:rPr>
          <w:color w:val="231F20"/>
          <w:spacing w:val="-2"/>
          <w:w w:val="120"/>
          <w:sz w:val="17"/>
        </w:rPr>
        <w:t>de</w:t>
      </w:r>
      <w:r>
        <w:rPr>
          <w:color w:val="231F20"/>
          <w:spacing w:val="-10"/>
          <w:w w:val="120"/>
          <w:sz w:val="17"/>
        </w:rPr>
        <w:t> </w:t>
      </w:r>
      <w:r>
        <w:rPr>
          <w:color w:val="231F20"/>
          <w:spacing w:val="-2"/>
          <w:w w:val="120"/>
          <w:sz w:val="17"/>
        </w:rPr>
        <w:t>comportements</w:t>
      </w:r>
      <w:r>
        <w:rPr>
          <w:color w:val="231F20"/>
          <w:spacing w:val="-10"/>
          <w:w w:val="120"/>
          <w:sz w:val="17"/>
        </w:rPr>
        <w:t> </w:t>
      </w:r>
      <w:r>
        <w:rPr>
          <w:color w:val="231F20"/>
          <w:spacing w:val="-2"/>
          <w:w w:val="120"/>
          <w:sz w:val="17"/>
        </w:rPr>
        <w:t>asser- </w:t>
      </w:r>
      <w:r>
        <w:rPr>
          <w:color w:val="231F20"/>
          <w:w w:val="115"/>
          <w:sz w:val="17"/>
        </w:rPr>
        <w:t>tifs facilitent la communication avec autrui, car les messages eux-mêmes </w:t>
      </w:r>
      <w:r>
        <w:rPr>
          <w:color w:val="231F20"/>
          <w:w w:val="120"/>
          <w:sz w:val="17"/>
        </w:rPr>
        <w:t>expriment des opinions et démontrent une prise en considération de l’autre.</w:t>
      </w:r>
      <w:r>
        <w:rPr>
          <w:color w:val="231F20"/>
          <w:spacing w:val="-15"/>
          <w:w w:val="120"/>
          <w:sz w:val="17"/>
        </w:rPr>
        <w:t> </w:t>
      </w:r>
      <w:r>
        <w:rPr>
          <w:color w:val="231F20"/>
          <w:w w:val="120"/>
          <w:sz w:val="17"/>
        </w:rPr>
        <w:t>Ils</w:t>
      </w:r>
      <w:r>
        <w:rPr>
          <w:color w:val="231F20"/>
          <w:spacing w:val="-13"/>
          <w:w w:val="120"/>
          <w:sz w:val="17"/>
        </w:rPr>
        <w:t> </w:t>
      </w:r>
      <w:r>
        <w:rPr>
          <w:color w:val="231F20"/>
          <w:w w:val="120"/>
          <w:sz w:val="17"/>
        </w:rPr>
        <w:t>donnent</w:t>
      </w:r>
      <w:r>
        <w:rPr>
          <w:color w:val="231F20"/>
          <w:spacing w:val="-13"/>
          <w:w w:val="120"/>
          <w:sz w:val="17"/>
        </w:rPr>
        <w:t> </w:t>
      </w:r>
      <w:r>
        <w:rPr>
          <w:color w:val="231F20"/>
          <w:w w:val="120"/>
          <w:sz w:val="17"/>
        </w:rPr>
        <w:t>à</w:t>
      </w:r>
      <w:r>
        <w:rPr>
          <w:color w:val="231F20"/>
          <w:spacing w:val="-12"/>
          <w:w w:val="120"/>
          <w:sz w:val="17"/>
        </w:rPr>
        <w:t> </w:t>
      </w:r>
      <w:r>
        <w:rPr>
          <w:color w:val="231F20"/>
          <w:w w:val="120"/>
          <w:sz w:val="17"/>
        </w:rPr>
        <w:t>la</w:t>
      </w:r>
      <w:r>
        <w:rPr>
          <w:color w:val="231F20"/>
          <w:spacing w:val="-13"/>
          <w:w w:val="120"/>
          <w:sz w:val="17"/>
        </w:rPr>
        <w:t> </w:t>
      </w:r>
      <w:r>
        <w:rPr>
          <w:color w:val="231F20"/>
          <w:w w:val="120"/>
          <w:sz w:val="17"/>
        </w:rPr>
        <w:t>personne</w:t>
      </w:r>
      <w:r>
        <w:rPr>
          <w:color w:val="231F20"/>
          <w:spacing w:val="-13"/>
          <w:w w:val="120"/>
          <w:sz w:val="17"/>
        </w:rPr>
        <w:t> </w:t>
      </w:r>
      <w:r>
        <w:rPr>
          <w:color w:val="231F20"/>
          <w:w w:val="120"/>
          <w:sz w:val="17"/>
        </w:rPr>
        <w:t>qui</w:t>
      </w:r>
      <w:r>
        <w:rPr>
          <w:color w:val="231F20"/>
          <w:spacing w:val="-13"/>
          <w:w w:val="120"/>
          <w:sz w:val="17"/>
        </w:rPr>
        <w:t> </w:t>
      </w:r>
      <w:r>
        <w:rPr>
          <w:color w:val="231F20"/>
          <w:w w:val="120"/>
          <w:sz w:val="17"/>
        </w:rPr>
        <w:t>les</w:t>
      </w:r>
      <w:r>
        <w:rPr>
          <w:color w:val="231F20"/>
          <w:spacing w:val="-12"/>
          <w:w w:val="120"/>
          <w:sz w:val="17"/>
        </w:rPr>
        <w:t> </w:t>
      </w:r>
      <w:r>
        <w:rPr>
          <w:color w:val="231F20"/>
          <w:w w:val="120"/>
          <w:sz w:val="17"/>
        </w:rPr>
        <w:t>adopte</w:t>
      </w:r>
      <w:r>
        <w:rPr>
          <w:color w:val="231F20"/>
          <w:spacing w:val="-13"/>
          <w:w w:val="120"/>
          <w:sz w:val="17"/>
        </w:rPr>
        <w:t> </w:t>
      </w:r>
      <w:r>
        <w:rPr>
          <w:color w:val="231F20"/>
          <w:w w:val="120"/>
          <w:sz w:val="17"/>
        </w:rPr>
        <w:t>un</w:t>
      </w:r>
      <w:r>
        <w:rPr>
          <w:color w:val="231F20"/>
          <w:spacing w:val="-13"/>
          <w:w w:val="120"/>
          <w:sz w:val="17"/>
        </w:rPr>
        <w:t> </w:t>
      </w:r>
      <w:r>
        <w:rPr>
          <w:color w:val="231F20"/>
          <w:w w:val="120"/>
          <w:sz w:val="17"/>
        </w:rPr>
        <w:t>sentiment</w:t>
      </w:r>
      <w:r>
        <w:rPr>
          <w:color w:val="231F20"/>
          <w:spacing w:val="-13"/>
          <w:w w:val="120"/>
          <w:sz w:val="17"/>
        </w:rPr>
        <w:t> </w:t>
      </w:r>
      <w:r>
        <w:rPr>
          <w:color w:val="231F20"/>
          <w:w w:val="120"/>
          <w:sz w:val="17"/>
        </w:rPr>
        <w:t>de</w:t>
      </w:r>
      <w:r>
        <w:rPr>
          <w:color w:val="231F20"/>
          <w:spacing w:val="-12"/>
          <w:w w:val="120"/>
          <w:sz w:val="17"/>
        </w:rPr>
        <w:t> </w:t>
      </w:r>
      <w:r>
        <w:rPr>
          <w:color w:val="231F20"/>
          <w:w w:val="120"/>
          <w:sz w:val="17"/>
        </w:rPr>
        <w:t>sécurité et de reconnaissance sociale.</w:t>
      </w:r>
    </w:p>
    <w:p>
      <w:pPr>
        <w:pStyle w:val="BodyText"/>
        <w:spacing w:line="307" w:lineRule="auto" w:before="78"/>
        <w:ind w:left="830" w:right="489" w:firstLine="250"/>
        <w:jc w:val="both"/>
      </w:pPr>
      <w:r>
        <w:rPr>
          <w:color w:val="231F20"/>
          <w:spacing w:val="-2"/>
          <w:w w:val="120"/>
        </w:rPr>
        <w:t>Traditionnellement, notre société ne reconnaît guère l’importance de </w:t>
      </w:r>
      <w:r>
        <w:rPr>
          <w:color w:val="231F20"/>
          <w:w w:val="120"/>
        </w:rPr>
        <w:t>l’assertivité.</w:t>
      </w:r>
      <w:r>
        <w:rPr>
          <w:color w:val="231F20"/>
          <w:spacing w:val="-13"/>
          <w:w w:val="120"/>
        </w:rPr>
        <w:t> </w:t>
      </w:r>
      <w:r>
        <w:rPr>
          <w:color w:val="231F20"/>
          <w:w w:val="120"/>
        </w:rPr>
        <w:t>Par</w:t>
      </w:r>
      <w:r>
        <w:rPr>
          <w:color w:val="231F20"/>
          <w:spacing w:val="-13"/>
          <w:w w:val="120"/>
        </w:rPr>
        <w:t> </w:t>
      </w:r>
      <w:r>
        <w:rPr>
          <w:color w:val="231F20"/>
          <w:w w:val="120"/>
        </w:rPr>
        <w:t>exemple,</w:t>
      </w:r>
      <w:r>
        <w:rPr>
          <w:color w:val="231F20"/>
          <w:spacing w:val="-13"/>
          <w:w w:val="120"/>
        </w:rPr>
        <w:t> </w:t>
      </w:r>
      <w:r>
        <w:rPr>
          <w:color w:val="231F20"/>
          <w:w w:val="120"/>
        </w:rPr>
        <w:t>on</w:t>
      </w:r>
      <w:r>
        <w:rPr>
          <w:color w:val="231F20"/>
          <w:spacing w:val="-12"/>
          <w:w w:val="120"/>
        </w:rPr>
        <w:t> </w:t>
      </w:r>
      <w:r>
        <w:rPr>
          <w:color w:val="231F20"/>
          <w:w w:val="120"/>
        </w:rPr>
        <w:t>associe</w:t>
      </w:r>
      <w:r>
        <w:rPr>
          <w:color w:val="231F20"/>
          <w:spacing w:val="-13"/>
          <w:w w:val="120"/>
        </w:rPr>
        <w:t> </w:t>
      </w:r>
      <w:r>
        <w:rPr>
          <w:color w:val="231F20"/>
          <w:w w:val="120"/>
        </w:rPr>
        <w:t>davantage</w:t>
      </w:r>
      <w:r>
        <w:rPr>
          <w:color w:val="231F20"/>
          <w:spacing w:val="-13"/>
          <w:w w:val="120"/>
        </w:rPr>
        <w:t> </w:t>
      </w:r>
      <w:r>
        <w:rPr>
          <w:color w:val="231F20"/>
          <w:w w:val="120"/>
        </w:rPr>
        <w:t>la</w:t>
      </w:r>
      <w:r>
        <w:rPr>
          <w:color w:val="231F20"/>
          <w:spacing w:val="-13"/>
          <w:w w:val="120"/>
        </w:rPr>
        <w:t> </w:t>
      </w:r>
      <w:r>
        <w:rPr>
          <w:color w:val="231F20"/>
          <w:w w:val="120"/>
        </w:rPr>
        <w:t>réussite</w:t>
      </w:r>
      <w:r>
        <w:rPr>
          <w:color w:val="231F20"/>
          <w:spacing w:val="-12"/>
          <w:w w:val="120"/>
        </w:rPr>
        <w:t> </w:t>
      </w:r>
      <w:r>
        <w:rPr>
          <w:color w:val="231F20"/>
          <w:w w:val="120"/>
        </w:rPr>
        <w:t>aux</w:t>
      </w:r>
      <w:r>
        <w:rPr>
          <w:color w:val="231F20"/>
          <w:spacing w:val="-13"/>
          <w:w w:val="120"/>
        </w:rPr>
        <w:t> </w:t>
      </w:r>
      <w:r>
        <w:rPr>
          <w:color w:val="231F20"/>
          <w:w w:val="120"/>
        </w:rPr>
        <w:t>compor- </w:t>
      </w:r>
      <w:r>
        <w:rPr>
          <w:color w:val="231F20"/>
          <w:spacing w:val="-2"/>
          <w:w w:val="120"/>
        </w:rPr>
        <w:t>tements</w:t>
      </w:r>
      <w:r>
        <w:rPr>
          <w:color w:val="231F20"/>
          <w:spacing w:val="-11"/>
          <w:w w:val="120"/>
        </w:rPr>
        <w:t> </w:t>
      </w:r>
      <w:r>
        <w:rPr>
          <w:color w:val="231F20"/>
          <w:spacing w:val="-2"/>
          <w:w w:val="120"/>
        </w:rPr>
        <w:t>verbaux,</w:t>
      </w:r>
      <w:r>
        <w:rPr>
          <w:color w:val="231F20"/>
          <w:spacing w:val="-11"/>
          <w:w w:val="120"/>
        </w:rPr>
        <w:t> </w:t>
      </w:r>
      <w:r>
        <w:rPr>
          <w:color w:val="231F20"/>
          <w:spacing w:val="-2"/>
          <w:w w:val="120"/>
        </w:rPr>
        <w:t>et</w:t>
      </w:r>
      <w:r>
        <w:rPr>
          <w:color w:val="231F20"/>
          <w:spacing w:val="-11"/>
          <w:w w:val="120"/>
        </w:rPr>
        <w:t> </w:t>
      </w:r>
      <w:r>
        <w:rPr>
          <w:color w:val="231F20"/>
          <w:spacing w:val="-2"/>
          <w:w w:val="120"/>
        </w:rPr>
        <w:t>aux</w:t>
      </w:r>
      <w:r>
        <w:rPr>
          <w:color w:val="231F20"/>
          <w:spacing w:val="-10"/>
          <w:w w:val="120"/>
        </w:rPr>
        <w:t> </w:t>
      </w:r>
      <w:r>
        <w:rPr>
          <w:color w:val="231F20"/>
          <w:spacing w:val="-2"/>
          <w:w w:val="120"/>
        </w:rPr>
        <w:t>comportements</w:t>
      </w:r>
      <w:r>
        <w:rPr>
          <w:color w:val="231F20"/>
          <w:spacing w:val="-11"/>
          <w:w w:val="120"/>
        </w:rPr>
        <w:t> </w:t>
      </w:r>
      <w:r>
        <w:rPr>
          <w:color w:val="231F20"/>
          <w:spacing w:val="-2"/>
          <w:w w:val="120"/>
        </w:rPr>
        <w:t>non</w:t>
      </w:r>
      <w:r>
        <w:rPr>
          <w:color w:val="231F20"/>
          <w:spacing w:val="-11"/>
          <w:w w:val="120"/>
        </w:rPr>
        <w:t> </w:t>
      </w:r>
      <w:r>
        <w:rPr>
          <w:color w:val="231F20"/>
          <w:spacing w:val="-2"/>
          <w:w w:val="120"/>
        </w:rPr>
        <w:t>verbaux</w:t>
      </w:r>
      <w:r>
        <w:rPr>
          <w:color w:val="231F20"/>
          <w:spacing w:val="-11"/>
          <w:w w:val="120"/>
        </w:rPr>
        <w:t> </w:t>
      </w:r>
      <w:r>
        <w:rPr>
          <w:color w:val="231F20"/>
          <w:spacing w:val="-2"/>
          <w:w w:val="120"/>
        </w:rPr>
        <w:t>de</w:t>
      </w:r>
      <w:r>
        <w:rPr>
          <w:color w:val="231F20"/>
          <w:spacing w:val="-10"/>
          <w:w w:val="120"/>
        </w:rPr>
        <w:t> </w:t>
      </w:r>
      <w:r>
        <w:rPr>
          <w:color w:val="231F20"/>
          <w:spacing w:val="-2"/>
          <w:w w:val="120"/>
        </w:rPr>
        <w:t>style</w:t>
      </w:r>
      <w:r>
        <w:rPr>
          <w:color w:val="231F20"/>
          <w:spacing w:val="-11"/>
          <w:w w:val="120"/>
        </w:rPr>
        <w:t> </w:t>
      </w:r>
      <w:r>
        <w:rPr>
          <w:color w:val="231F20"/>
          <w:spacing w:val="-2"/>
          <w:w w:val="120"/>
        </w:rPr>
        <w:t>affirmatifs, </w:t>
      </w:r>
      <w:r>
        <w:rPr>
          <w:color w:val="231F20"/>
          <w:w w:val="115"/>
        </w:rPr>
        <w:t>voire agressifs. Mais ce stéréotype est, nous l’espérons, en voie de dispa- rition.</w:t>
      </w:r>
      <w:r>
        <w:rPr>
          <w:color w:val="231F20"/>
          <w:spacing w:val="-1"/>
          <w:w w:val="115"/>
        </w:rPr>
        <w:t> </w:t>
      </w:r>
      <w:r>
        <w:rPr>
          <w:color w:val="231F20"/>
          <w:w w:val="115"/>
        </w:rPr>
        <w:t>En</w:t>
      </w:r>
      <w:r>
        <w:rPr>
          <w:color w:val="231F20"/>
          <w:spacing w:val="-1"/>
          <w:w w:val="115"/>
        </w:rPr>
        <w:t> </w:t>
      </w:r>
      <w:r>
        <w:rPr>
          <w:color w:val="231F20"/>
          <w:w w:val="115"/>
        </w:rPr>
        <w:t>ce</w:t>
      </w:r>
      <w:r>
        <w:rPr>
          <w:color w:val="231F20"/>
          <w:spacing w:val="-1"/>
          <w:w w:val="115"/>
        </w:rPr>
        <w:t> </w:t>
      </w:r>
      <w:r>
        <w:rPr>
          <w:color w:val="231F20"/>
          <w:w w:val="115"/>
        </w:rPr>
        <w:t>sens,</w:t>
      </w:r>
      <w:r>
        <w:rPr>
          <w:color w:val="231F20"/>
          <w:spacing w:val="-1"/>
          <w:w w:val="115"/>
        </w:rPr>
        <w:t> </w:t>
      </w:r>
      <w:r>
        <w:rPr>
          <w:color w:val="231F20"/>
          <w:w w:val="115"/>
        </w:rPr>
        <w:t>autrefois,</w:t>
      </w:r>
      <w:r>
        <w:rPr>
          <w:color w:val="231F20"/>
          <w:spacing w:val="-1"/>
          <w:w w:val="115"/>
        </w:rPr>
        <w:t> </w:t>
      </w:r>
      <w:r>
        <w:rPr>
          <w:color w:val="231F20"/>
          <w:w w:val="115"/>
        </w:rPr>
        <w:t>l’image</w:t>
      </w:r>
      <w:r>
        <w:rPr>
          <w:color w:val="231F20"/>
          <w:spacing w:val="-1"/>
          <w:w w:val="115"/>
        </w:rPr>
        <w:t> </w:t>
      </w:r>
      <w:r>
        <w:rPr>
          <w:color w:val="231F20"/>
          <w:w w:val="115"/>
        </w:rPr>
        <w:t>du</w:t>
      </w:r>
      <w:r>
        <w:rPr>
          <w:color w:val="231F20"/>
          <w:spacing w:val="-1"/>
          <w:w w:val="115"/>
        </w:rPr>
        <w:t> </w:t>
      </w:r>
      <w:r>
        <w:rPr>
          <w:color w:val="231F20"/>
          <w:w w:val="115"/>
        </w:rPr>
        <w:t>leader</w:t>
      </w:r>
      <w:r>
        <w:rPr>
          <w:color w:val="231F20"/>
          <w:spacing w:val="-1"/>
          <w:w w:val="115"/>
        </w:rPr>
        <w:t> </w:t>
      </w:r>
      <w:r>
        <w:rPr>
          <w:color w:val="231F20"/>
          <w:w w:val="115"/>
        </w:rPr>
        <w:t>était</w:t>
      </w:r>
      <w:r>
        <w:rPr>
          <w:color w:val="231F20"/>
          <w:spacing w:val="-1"/>
          <w:w w:val="115"/>
        </w:rPr>
        <w:t> </w:t>
      </w:r>
      <w:r>
        <w:rPr>
          <w:color w:val="231F20"/>
          <w:w w:val="115"/>
        </w:rPr>
        <w:t>associée</w:t>
      </w:r>
      <w:r>
        <w:rPr>
          <w:color w:val="231F20"/>
          <w:spacing w:val="-1"/>
          <w:w w:val="115"/>
        </w:rPr>
        <w:t> </w:t>
      </w:r>
      <w:r>
        <w:rPr>
          <w:color w:val="231F20"/>
          <w:w w:val="115"/>
        </w:rPr>
        <w:t>à</w:t>
      </w:r>
      <w:r>
        <w:rPr>
          <w:color w:val="231F20"/>
          <w:spacing w:val="-1"/>
          <w:w w:val="115"/>
        </w:rPr>
        <w:t> </w:t>
      </w:r>
      <w:r>
        <w:rPr>
          <w:color w:val="231F20"/>
          <w:w w:val="115"/>
        </w:rPr>
        <w:t>celle</w:t>
      </w:r>
      <w:r>
        <w:rPr>
          <w:color w:val="231F20"/>
          <w:spacing w:val="-1"/>
          <w:w w:val="115"/>
        </w:rPr>
        <w:t> </w:t>
      </w:r>
      <w:r>
        <w:rPr>
          <w:color w:val="231F20"/>
          <w:w w:val="115"/>
        </w:rPr>
        <w:t>d’une </w:t>
      </w:r>
      <w:r>
        <w:rPr>
          <w:color w:val="231F20"/>
          <w:w w:val="120"/>
        </w:rPr>
        <w:t>personne sûre d’elle-même, aux idées claires, qui savait imposer ses critères et ses opinions aux autres, sans se soucier de la possibilité </w:t>
      </w:r>
      <w:r>
        <w:rPr>
          <w:color w:val="231F20"/>
          <w:spacing w:val="-4"/>
          <w:w w:val="120"/>
        </w:rPr>
        <w:t>qu’elle paraisse menaçante ou méprisante aux yeux de ses collaborateurs. </w:t>
      </w:r>
      <w:r>
        <w:rPr>
          <w:color w:val="231F20"/>
          <w:w w:val="120"/>
        </w:rPr>
        <w:t>Heureusement,</w:t>
      </w:r>
      <w:r>
        <w:rPr>
          <w:color w:val="231F20"/>
          <w:spacing w:val="-2"/>
          <w:w w:val="120"/>
        </w:rPr>
        <w:t> </w:t>
      </w:r>
      <w:r>
        <w:rPr>
          <w:color w:val="231F20"/>
          <w:w w:val="120"/>
        </w:rPr>
        <w:t>cette</w:t>
      </w:r>
      <w:r>
        <w:rPr>
          <w:color w:val="231F20"/>
          <w:spacing w:val="-2"/>
          <w:w w:val="120"/>
        </w:rPr>
        <w:t> </w:t>
      </w:r>
      <w:r>
        <w:rPr>
          <w:color w:val="231F20"/>
          <w:w w:val="120"/>
        </w:rPr>
        <w:t>situation</w:t>
      </w:r>
      <w:r>
        <w:rPr>
          <w:color w:val="231F20"/>
          <w:spacing w:val="-2"/>
          <w:w w:val="120"/>
        </w:rPr>
        <w:t> </w:t>
      </w:r>
      <w:r>
        <w:rPr>
          <w:color w:val="231F20"/>
          <w:w w:val="120"/>
        </w:rPr>
        <w:t>évolue.</w:t>
      </w:r>
      <w:r>
        <w:rPr>
          <w:color w:val="231F20"/>
          <w:spacing w:val="-2"/>
          <w:w w:val="120"/>
        </w:rPr>
        <w:t> </w:t>
      </w:r>
      <w:r>
        <w:rPr>
          <w:color w:val="231F20"/>
          <w:w w:val="120"/>
        </w:rPr>
        <w:t>Aujourd’hui,</w:t>
      </w:r>
      <w:r>
        <w:rPr>
          <w:color w:val="231F20"/>
          <w:spacing w:val="-2"/>
          <w:w w:val="120"/>
        </w:rPr>
        <w:t> </w:t>
      </w:r>
      <w:r>
        <w:rPr>
          <w:color w:val="231F20"/>
          <w:w w:val="120"/>
        </w:rPr>
        <w:t>le</w:t>
      </w:r>
      <w:r>
        <w:rPr>
          <w:color w:val="231F20"/>
          <w:spacing w:val="-2"/>
          <w:w w:val="120"/>
        </w:rPr>
        <w:t> </w:t>
      </w:r>
      <w:r>
        <w:rPr>
          <w:color w:val="231F20"/>
          <w:w w:val="120"/>
        </w:rPr>
        <w:t>gestionnaire</w:t>
      </w:r>
      <w:r>
        <w:rPr>
          <w:color w:val="231F20"/>
          <w:spacing w:val="-2"/>
          <w:w w:val="120"/>
        </w:rPr>
        <w:t> </w:t>
      </w:r>
      <w:r>
        <w:rPr>
          <w:color w:val="231F20"/>
          <w:w w:val="120"/>
        </w:rPr>
        <w:t>qui veut réussir doit avoir des compétences non seulement en finances, en marketing</w:t>
      </w:r>
      <w:r>
        <w:rPr>
          <w:color w:val="231F20"/>
          <w:spacing w:val="-11"/>
          <w:w w:val="120"/>
        </w:rPr>
        <w:t> </w:t>
      </w:r>
      <w:r>
        <w:rPr>
          <w:color w:val="231F20"/>
          <w:w w:val="120"/>
        </w:rPr>
        <w:t>et</w:t>
      </w:r>
      <w:r>
        <w:rPr>
          <w:color w:val="231F20"/>
          <w:spacing w:val="-11"/>
          <w:w w:val="120"/>
        </w:rPr>
        <w:t> </w:t>
      </w:r>
      <w:r>
        <w:rPr>
          <w:color w:val="231F20"/>
          <w:w w:val="120"/>
        </w:rPr>
        <w:t>en</w:t>
      </w:r>
      <w:r>
        <w:rPr>
          <w:color w:val="231F20"/>
          <w:spacing w:val="-11"/>
          <w:w w:val="120"/>
        </w:rPr>
        <w:t> </w:t>
      </w:r>
      <w:r>
        <w:rPr>
          <w:color w:val="231F20"/>
          <w:w w:val="120"/>
        </w:rPr>
        <w:t>planification</w:t>
      </w:r>
      <w:r>
        <w:rPr>
          <w:color w:val="231F20"/>
          <w:spacing w:val="-11"/>
          <w:w w:val="120"/>
        </w:rPr>
        <w:t> </w:t>
      </w:r>
      <w:r>
        <w:rPr>
          <w:color w:val="231F20"/>
          <w:w w:val="120"/>
        </w:rPr>
        <w:t>stratégique,</w:t>
      </w:r>
      <w:r>
        <w:rPr>
          <w:color w:val="231F20"/>
          <w:spacing w:val="-11"/>
          <w:w w:val="120"/>
        </w:rPr>
        <w:t> </w:t>
      </w:r>
      <w:r>
        <w:rPr>
          <w:color w:val="231F20"/>
          <w:w w:val="120"/>
        </w:rPr>
        <w:t>mais</w:t>
      </w:r>
      <w:r>
        <w:rPr>
          <w:color w:val="231F20"/>
          <w:spacing w:val="-11"/>
          <w:w w:val="120"/>
        </w:rPr>
        <w:t> </w:t>
      </w:r>
      <w:r>
        <w:rPr>
          <w:color w:val="231F20"/>
          <w:w w:val="120"/>
        </w:rPr>
        <w:t>aussi</w:t>
      </w:r>
      <w:r>
        <w:rPr>
          <w:color w:val="231F20"/>
          <w:spacing w:val="-11"/>
          <w:w w:val="120"/>
        </w:rPr>
        <w:t> </w:t>
      </w:r>
      <w:r>
        <w:rPr>
          <w:color w:val="231F20"/>
          <w:w w:val="120"/>
        </w:rPr>
        <w:t>en</w:t>
      </w:r>
      <w:r>
        <w:rPr>
          <w:color w:val="231F20"/>
          <w:spacing w:val="-11"/>
          <w:w w:val="120"/>
        </w:rPr>
        <w:t> </w:t>
      </w:r>
      <w:r>
        <w:rPr>
          <w:color w:val="231F20"/>
          <w:w w:val="120"/>
        </w:rPr>
        <w:t>communication et en relations interpersonnelles. En ce sens, les leaders de demain doivent développer autant leur intelligence émotionnelle que leur intelligence</w:t>
      </w:r>
      <w:r>
        <w:rPr>
          <w:color w:val="231F20"/>
          <w:spacing w:val="-13"/>
          <w:w w:val="120"/>
        </w:rPr>
        <w:t> </w:t>
      </w:r>
      <w:r>
        <w:rPr>
          <w:color w:val="231F20"/>
          <w:w w:val="120"/>
        </w:rPr>
        <w:t>technique.</w:t>
      </w:r>
    </w:p>
    <w:p>
      <w:pPr>
        <w:pStyle w:val="BodyText"/>
        <w:spacing w:before="6"/>
        <w:rPr>
          <w:sz w:val="21"/>
        </w:rPr>
      </w:pPr>
    </w:p>
    <w:p>
      <w:pPr>
        <w:pStyle w:val="BodyText"/>
        <w:spacing w:line="307" w:lineRule="auto" w:before="1"/>
        <w:ind w:left="830" w:right="491"/>
        <w:jc w:val="both"/>
      </w:pPr>
      <w:r>
        <w:rPr>
          <w:b/>
          <w:color w:val="231F20"/>
          <w:w w:val="120"/>
        </w:rPr>
        <w:t>Gestion</w:t>
      </w:r>
      <w:r>
        <w:rPr>
          <w:b/>
          <w:color w:val="231F20"/>
          <w:spacing w:val="-2"/>
          <w:w w:val="120"/>
        </w:rPr>
        <w:t> </w:t>
      </w:r>
      <w:r>
        <w:rPr>
          <w:b/>
          <w:color w:val="231F20"/>
          <w:w w:val="120"/>
        </w:rPr>
        <w:t>du</w:t>
      </w:r>
      <w:r>
        <w:rPr>
          <w:b/>
          <w:color w:val="231F20"/>
          <w:spacing w:val="-2"/>
          <w:w w:val="120"/>
        </w:rPr>
        <w:t> </w:t>
      </w:r>
      <w:r>
        <w:rPr>
          <w:b/>
          <w:color w:val="231F20"/>
          <w:w w:val="120"/>
        </w:rPr>
        <w:t>temps. </w:t>
      </w:r>
      <w:r>
        <w:rPr>
          <w:color w:val="231F20"/>
          <w:w w:val="120"/>
        </w:rPr>
        <w:t>Des expressions comme </w:t>
      </w:r>
      <w:r>
        <w:rPr>
          <w:i/>
          <w:color w:val="231F20"/>
          <w:w w:val="120"/>
        </w:rPr>
        <w:t>je n’ai pas le temps </w:t>
      </w:r>
      <w:r>
        <w:rPr>
          <w:color w:val="231F20"/>
          <w:w w:val="120"/>
        </w:rPr>
        <w:t>ou </w:t>
      </w:r>
      <w:r>
        <w:rPr>
          <w:i/>
          <w:color w:val="231F20"/>
          <w:w w:val="120"/>
        </w:rPr>
        <w:t>je </w:t>
      </w:r>
      <w:r>
        <w:rPr>
          <w:i/>
          <w:color w:val="231F20"/>
          <w:w w:val="115"/>
        </w:rPr>
        <w:t>manque</w:t>
      </w:r>
      <w:r>
        <w:rPr>
          <w:i/>
          <w:color w:val="231F20"/>
          <w:spacing w:val="-3"/>
          <w:w w:val="115"/>
        </w:rPr>
        <w:t> </w:t>
      </w:r>
      <w:r>
        <w:rPr>
          <w:i/>
          <w:color w:val="231F20"/>
          <w:w w:val="115"/>
        </w:rPr>
        <w:t>de</w:t>
      </w:r>
      <w:r>
        <w:rPr>
          <w:i/>
          <w:color w:val="231F20"/>
          <w:spacing w:val="-3"/>
          <w:w w:val="115"/>
        </w:rPr>
        <w:t> </w:t>
      </w:r>
      <w:r>
        <w:rPr>
          <w:i/>
          <w:color w:val="231F20"/>
          <w:w w:val="115"/>
        </w:rPr>
        <w:t>temps</w:t>
      </w:r>
      <w:r>
        <w:rPr>
          <w:i/>
          <w:color w:val="231F20"/>
          <w:spacing w:val="-3"/>
          <w:w w:val="115"/>
        </w:rPr>
        <w:t> </w:t>
      </w:r>
      <w:r>
        <w:rPr>
          <w:color w:val="231F20"/>
          <w:w w:val="115"/>
        </w:rPr>
        <w:t>font</w:t>
      </w:r>
      <w:r>
        <w:rPr>
          <w:color w:val="231F20"/>
          <w:spacing w:val="-3"/>
          <w:w w:val="115"/>
        </w:rPr>
        <w:t> </w:t>
      </w:r>
      <w:r>
        <w:rPr>
          <w:color w:val="231F20"/>
          <w:w w:val="115"/>
        </w:rPr>
        <w:t>partie</w:t>
      </w:r>
      <w:r>
        <w:rPr>
          <w:color w:val="231F20"/>
          <w:spacing w:val="-3"/>
          <w:w w:val="115"/>
        </w:rPr>
        <w:t> </w:t>
      </w:r>
      <w:r>
        <w:rPr>
          <w:color w:val="231F20"/>
          <w:w w:val="115"/>
        </w:rPr>
        <w:t>du</w:t>
      </w:r>
      <w:r>
        <w:rPr>
          <w:color w:val="231F20"/>
          <w:spacing w:val="-3"/>
          <w:w w:val="115"/>
        </w:rPr>
        <w:t> </w:t>
      </w:r>
      <w:r>
        <w:rPr>
          <w:color w:val="231F20"/>
          <w:w w:val="115"/>
        </w:rPr>
        <w:t>langage</w:t>
      </w:r>
      <w:r>
        <w:rPr>
          <w:color w:val="231F20"/>
          <w:spacing w:val="-3"/>
          <w:w w:val="115"/>
        </w:rPr>
        <w:t> </w:t>
      </w:r>
      <w:r>
        <w:rPr>
          <w:color w:val="231F20"/>
          <w:w w:val="115"/>
        </w:rPr>
        <w:t>courant.</w:t>
      </w:r>
      <w:r>
        <w:rPr>
          <w:color w:val="231F20"/>
          <w:spacing w:val="-3"/>
          <w:w w:val="115"/>
        </w:rPr>
        <w:t> </w:t>
      </w:r>
      <w:r>
        <w:rPr>
          <w:color w:val="231F20"/>
          <w:w w:val="115"/>
        </w:rPr>
        <w:t>En</w:t>
      </w:r>
      <w:r>
        <w:rPr>
          <w:color w:val="231F20"/>
          <w:spacing w:val="-3"/>
          <w:w w:val="115"/>
        </w:rPr>
        <w:t> </w:t>
      </w:r>
      <w:r>
        <w:rPr>
          <w:color w:val="231F20"/>
          <w:w w:val="115"/>
        </w:rPr>
        <w:t>milieu</w:t>
      </w:r>
      <w:r>
        <w:rPr>
          <w:color w:val="231F20"/>
          <w:spacing w:val="-3"/>
          <w:w w:val="115"/>
        </w:rPr>
        <w:t> </w:t>
      </w:r>
      <w:r>
        <w:rPr>
          <w:color w:val="231F20"/>
          <w:w w:val="115"/>
        </w:rPr>
        <w:t>de</w:t>
      </w:r>
      <w:r>
        <w:rPr>
          <w:color w:val="231F20"/>
          <w:spacing w:val="-3"/>
          <w:w w:val="115"/>
        </w:rPr>
        <w:t> </w:t>
      </w:r>
      <w:r>
        <w:rPr>
          <w:color w:val="231F20"/>
          <w:w w:val="115"/>
        </w:rPr>
        <w:t>travail,</w:t>
      </w:r>
      <w:r>
        <w:rPr>
          <w:color w:val="231F20"/>
          <w:spacing w:val="-3"/>
          <w:w w:val="115"/>
        </w:rPr>
        <w:t> </w:t>
      </w:r>
      <w:r>
        <w:rPr>
          <w:color w:val="231F20"/>
          <w:w w:val="115"/>
        </w:rPr>
        <w:t>ces </w:t>
      </w:r>
      <w:r>
        <w:rPr>
          <w:color w:val="231F20"/>
          <w:spacing w:val="-2"/>
          <w:w w:val="120"/>
        </w:rPr>
        <w:t>expressions</w:t>
      </w:r>
      <w:r>
        <w:rPr>
          <w:color w:val="231F20"/>
          <w:spacing w:val="-11"/>
          <w:w w:val="120"/>
        </w:rPr>
        <w:t> </w:t>
      </w:r>
      <w:r>
        <w:rPr>
          <w:color w:val="231F20"/>
          <w:spacing w:val="-2"/>
          <w:w w:val="120"/>
        </w:rPr>
        <w:t>sont</w:t>
      </w:r>
      <w:r>
        <w:rPr>
          <w:color w:val="231F20"/>
          <w:spacing w:val="-11"/>
          <w:w w:val="120"/>
        </w:rPr>
        <w:t> </w:t>
      </w:r>
      <w:r>
        <w:rPr>
          <w:color w:val="231F20"/>
          <w:spacing w:val="-2"/>
          <w:w w:val="120"/>
        </w:rPr>
        <w:t>souvent</w:t>
      </w:r>
      <w:r>
        <w:rPr>
          <w:color w:val="231F20"/>
          <w:spacing w:val="-11"/>
          <w:w w:val="120"/>
        </w:rPr>
        <w:t> </w:t>
      </w:r>
      <w:r>
        <w:rPr>
          <w:color w:val="231F20"/>
          <w:spacing w:val="-2"/>
          <w:w w:val="120"/>
        </w:rPr>
        <w:t>associées</w:t>
      </w:r>
      <w:r>
        <w:rPr>
          <w:color w:val="231F20"/>
          <w:spacing w:val="-10"/>
          <w:w w:val="120"/>
        </w:rPr>
        <w:t> </w:t>
      </w:r>
      <w:r>
        <w:rPr>
          <w:color w:val="231F20"/>
          <w:spacing w:val="-2"/>
          <w:w w:val="120"/>
        </w:rPr>
        <w:t>à</w:t>
      </w:r>
      <w:r>
        <w:rPr>
          <w:color w:val="231F20"/>
          <w:spacing w:val="-11"/>
          <w:w w:val="120"/>
        </w:rPr>
        <w:t> </w:t>
      </w:r>
      <w:r>
        <w:rPr>
          <w:color w:val="231F20"/>
          <w:spacing w:val="-2"/>
          <w:w w:val="120"/>
        </w:rPr>
        <w:t>un</w:t>
      </w:r>
      <w:r>
        <w:rPr>
          <w:color w:val="231F20"/>
          <w:spacing w:val="-11"/>
          <w:w w:val="120"/>
        </w:rPr>
        <w:t> </w:t>
      </w:r>
      <w:r>
        <w:rPr>
          <w:color w:val="231F20"/>
          <w:spacing w:val="-2"/>
          <w:w w:val="120"/>
        </w:rPr>
        <w:t>problème</w:t>
      </w:r>
      <w:r>
        <w:rPr>
          <w:color w:val="231F20"/>
          <w:spacing w:val="-11"/>
          <w:w w:val="120"/>
        </w:rPr>
        <w:t> </w:t>
      </w:r>
      <w:r>
        <w:rPr>
          <w:color w:val="231F20"/>
          <w:spacing w:val="-2"/>
          <w:w w:val="120"/>
        </w:rPr>
        <w:t>de</w:t>
      </w:r>
      <w:r>
        <w:rPr>
          <w:color w:val="231F20"/>
          <w:spacing w:val="-10"/>
          <w:w w:val="120"/>
        </w:rPr>
        <w:t> </w:t>
      </w:r>
      <w:r>
        <w:rPr>
          <w:color w:val="231F20"/>
          <w:spacing w:val="-2"/>
          <w:w w:val="120"/>
        </w:rPr>
        <w:t>réussite</w:t>
      </w:r>
      <w:r>
        <w:rPr>
          <w:color w:val="231F20"/>
          <w:spacing w:val="-11"/>
          <w:w w:val="120"/>
        </w:rPr>
        <w:t> </w:t>
      </w:r>
      <w:r>
        <w:rPr>
          <w:color w:val="231F20"/>
          <w:spacing w:val="-2"/>
          <w:w w:val="120"/>
        </w:rPr>
        <w:t>profession- </w:t>
      </w:r>
      <w:r>
        <w:rPr>
          <w:color w:val="231F20"/>
          <w:w w:val="120"/>
        </w:rPr>
        <w:t>nelle et de réussite personnelle. Pourtant, cette image superficielle masque une réalité déchirante et, dans bien des cas, une situation de stress et de tension à divers plans.</w:t>
      </w:r>
    </w:p>
    <w:p>
      <w:pPr>
        <w:pStyle w:val="BodyText"/>
        <w:spacing w:line="307" w:lineRule="auto" w:before="79"/>
        <w:ind w:left="830" w:right="493" w:firstLine="250"/>
        <w:jc w:val="both"/>
      </w:pPr>
      <w:r>
        <w:rPr>
          <w:color w:val="231F20"/>
          <w:w w:val="120"/>
        </w:rPr>
        <w:t>Notre</w:t>
      </w:r>
      <w:r>
        <w:rPr>
          <w:color w:val="231F20"/>
          <w:spacing w:val="34"/>
          <w:w w:val="120"/>
        </w:rPr>
        <w:t> </w:t>
      </w:r>
      <w:r>
        <w:rPr>
          <w:color w:val="231F20"/>
          <w:w w:val="120"/>
        </w:rPr>
        <w:t>société</w:t>
      </w:r>
      <w:r>
        <w:rPr>
          <w:color w:val="231F20"/>
          <w:spacing w:val="34"/>
          <w:w w:val="120"/>
        </w:rPr>
        <w:t> </w:t>
      </w:r>
      <w:r>
        <w:rPr>
          <w:color w:val="231F20"/>
          <w:w w:val="120"/>
        </w:rPr>
        <w:t>actuelle</w:t>
      </w:r>
      <w:r>
        <w:rPr>
          <w:color w:val="231F20"/>
          <w:spacing w:val="34"/>
          <w:w w:val="120"/>
        </w:rPr>
        <w:t> </w:t>
      </w:r>
      <w:r>
        <w:rPr>
          <w:color w:val="231F20"/>
          <w:w w:val="120"/>
        </w:rPr>
        <w:t>présente</w:t>
      </w:r>
      <w:r>
        <w:rPr>
          <w:color w:val="231F20"/>
          <w:spacing w:val="34"/>
          <w:w w:val="120"/>
        </w:rPr>
        <w:t> </w:t>
      </w:r>
      <w:r>
        <w:rPr>
          <w:color w:val="231F20"/>
          <w:w w:val="120"/>
        </w:rPr>
        <w:t>un</w:t>
      </w:r>
      <w:r>
        <w:rPr>
          <w:color w:val="231F20"/>
          <w:spacing w:val="34"/>
          <w:w w:val="120"/>
        </w:rPr>
        <w:t> </w:t>
      </w:r>
      <w:r>
        <w:rPr>
          <w:color w:val="231F20"/>
          <w:w w:val="120"/>
        </w:rPr>
        <w:t>certain</w:t>
      </w:r>
      <w:r>
        <w:rPr>
          <w:color w:val="231F20"/>
          <w:spacing w:val="34"/>
          <w:w w:val="120"/>
        </w:rPr>
        <w:t> </w:t>
      </w:r>
      <w:r>
        <w:rPr>
          <w:color w:val="231F20"/>
          <w:w w:val="120"/>
        </w:rPr>
        <w:t>paradoxe.</w:t>
      </w:r>
      <w:r>
        <w:rPr>
          <w:color w:val="231F20"/>
          <w:spacing w:val="34"/>
          <w:w w:val="120"/>
        </w:rPr>
        <w:t> </w:t>
      </w:r>
      <w:r>
        <w:rPr>
          <w:color w:val="231F20"/>
          <w:w w:val="120"/>
        </w:rPr>
        <w:t>D’une</w:t>
      </w:r>
      <w:r>
        <w:rPr>
          <w:color w:val="231F20"/>
          <w:spacing w:val="34"/>
          <w:w w:val="120"/>
        </w:rPr>
        <w:t> </w:t>
      </w:r>
      <w:r>
        <w:rPr>
          <w:color w:val="231F20"/>
          <w:w w:val="120"/>
        </w:rPr>
        <w:t>part, on s’attend à ce que les employés apprennent à gérer le temps qu’ils </w:t>
      </w:r>
      <w:r>
        <w:rPr>
          <w:color w:val="231F20"/>
          <w:spacing w:val="-2"/>
          <w:w w:val="120"/>
        </w:rPr>
        <w:t>consacrent</w:t>
      </w:r>
      <w:r>
        <w:rPr>
          <w:color w:val="231F20"/>
          <w:spacing w:val="-5"/>
          <w:w w:val="120"/>
        </w:rPr>
        <w:t> </w:t>
      </w:r>
      <w:r>
        <w:rPr>
          <w:color w:val="231F20"/>
          <w:spacing w:val="-2"/>
          <w:w w:val="120"/>
        </w:rPr>
        <w:t>à</w:t>
      </w:r>
      <w:r>
        <w:rPr>
          <w:color w:val="231F20"/>
          <w:spacing w:val="-5"/>
          <w:w w:val="120"/>
        </w:rPr>
        <w:t> </w:t>
      </w:r>
      <w:r>
        <w:rPr>
          <w:color w:val="231F20"/>
          <w:spacing w:val="-2"/>
          <w:w w:val="120"/>
        </w:rPr>
        <w:t>leur</w:t>
      </w:r>
      <w:r>
        <w:rPr>
          <w:color w:val="231F20"/>
          <w:spacing w:val="-5"/>
          <w:w w:val="120"/>
        </w:rPr>
        <w:t> </w:t>
      </w:r>
      <w:r>
        <w:rPr>
          <w:color w:val="231F20"/>
          <w:spacing w:val="-2"/>
          <w:w w:val="120"/>
        </w:rPr>
        <w:t>travail</w:t>
      </w:r>
      <w:r>
        <w:rPr>
          <w:color w:val="231F20"/>
          <w:spacing w:val="-5"/>
          <w:w w:val="120"/>
        </w:rPr>
        <w:t> </w:t>
      </w:r>
      <w:r>
        <w:rPr>
          <w:color w:val="231F20"/>
          <w:spacing w:val="-2"/>
          <w:w w:val="120"/>
        </w:rPr>
        <w:t>afin</w:t>
      </w:r>
      <w:r>
        <w:rPr>
          <w:color w:val="231F20"/>
          <w:spacing w:val="-5"/>
          <w:w w:val="120"/>
        </w:rPr>
        <w:t> </w:t>
      </w:r>
      <w:r>
        <w:rPr>
          <w:color w:val="231F20"/>
          <w:spacing w:val="-2"/>
          <w:w w:val="120"/>
        </w:rPr>
        <w:t>d’optimiser</w:t>
      </w:r>
      <w:r>
        <w:rPr>
          <w:color w:val="231F20"/>
          <w:spacing w:val="-5"/>
          <w:w w:val="120"/>
        </w:rPr>
        <w:t> </w:t>
      </w:r>
      <w:r>
        <w:rPr>
          <w:color w:val="231F20"/>
          <w:spacing w:val="-2"/>
          <w:w w:val="120"/>
        </w:rPr>
        <w:t>les</w:t>
      </w:r>
      <w:r>
        <w:rPr>
          <w:color w:val="231F20"/>
          <w:spacing w:val="-5"/>
          <w:w w:val="120"/>
        </w:rPr>
        <w:t> </w:t>
      </w:r>
      <w:r>
        <w:rPr>
          <w:color w:val="231F20"/>
          <w:spacing w:val="-2"/>
          <w:w w:val="120"/>
        </w:rPr>
        <w:t>ressources</w:t>
      </w:r>
      <w:r>
        <w:rPr>
          <w:color w:val="231F20"/>
          <w:spacing w:val="-5"/>
          <w:w w:val="120"/>
        </w:rPr>
        <w:t> </w:t>
      </w:r>
      <w:r>
        <w:rPr>
          <w:color w:val="231F20"/>
          <w:spacing w:val="-2"/>
          <w:w w:val="120"/>
        </w:rPr>
        <w:t>qui</w:t>
      </w:r>
      <w:r>
        <w:rPr>
          <w:color w:val="231F20"/>
          <w:spacing w:val="-5"/>
          <w:w w:val="120"/>
        </w:rPr>
        <w:t> </w:t>
      </w:r>
      <w:r>
        <w:rPr>
          <w:color w:val="231F20"/>
          <w:spacing w:val="-2"/>
          <w:w w:val="120"/>
        </w:rPr>
        <w:t>y</w:t>
      </w:r>
      <w:r>
        <w:rPr>
          <w:color w:val="231F20"/>
          <w:spacing w:val="-5"/>
          <w:w w:val="120"/>
        </w:rPr>
        <w:t> </w:t>
      </w:r>
      <w:r>
        <w:rPr>
          <w:color w:val="231F20"/>
          <w:spacing w:val="-2"/>
          <w:w w:val="120"/>
        </w:rPr>
        <w:t>sont</w:t>
      </w:r>
      <w:r>
        <w:rPr>
          <w:color w:val="231F20"/>
          <w:spacing w:val="-5"/>
          <w:w w:val="120"/>
        </w:rPr>
        <w:t> </w:t>
      </w:r>
      <w:r>
        <w:rPr>
          <w:color w:val="231F20"/>
          <w:spacing w:val="-2"/>
          <w:w w:val="120"/>
        </w:rPr>
        <w:t>inves- </w:t>
      </w:r>
      <w:r>
        <w:rPr>
          <w:color w:val="231F20"/>
          <w:w w:val="120"/>
        </w:rPr>
        <w:t>ties.</w:t>
      </w:r>
      <w:r>
        <w:rPr>
          <w:color w:val="231F20"/>
          <w:spacing w:val="-11"/>
          <w:w w:val="120"/>
        </w:rPr>
        <w:t> </w:t>
      </w:r>
      <w:r>
        <w:rPr>
          <w:color w:val="231F20"/>
          <w:w w:val="120"/>
        </w:rPr>
        <w:t>En</w:t>
      </w:r>
      <w:r>
        <w:rPr>
          <w:color w:val="231F20"/>
          <w:spacing w:val="-11"/>
          <w:w w:val="120"/>
        </w:rPr>
        <w:t> </w:t>
      </w:r>
      <w:r>
        <w:rPr>
          <w:color w:val="231F20"/>
          <w:w w:val="120"/>
        </w:rPr>
        <w:t>retour,</w:t>
      </w:r>
      <w:r>
        <w:rPr>
          <w:color w:val="231F20"/>
          <w:spacing w:val="-11"/>
          <w:w w:val="120"/>
        </w:rPr>
        <w:t> </w:t>
      </w:r>
      <w:r>
        <w:rPr>
          <w:color w:val="231F20"/>
          <w:w w:val="120"/>
        </w:rPr>
        <w:t>cet</w:t>
      </w:r>
      <w:r>
        <w:rPr>
          <w:color w:val="231F20"/>
          <w:spacing w:val="-11"/>
          <w:w w:val="120"/>
        </w:rPr>
        <w:t> </w:t>
      </w:r>
      <w:r>
        <w:rPr>
          <w:color w:val="231F20"/>
          <w:w w:val="120"/>
        </w:rPr>
        <w:t>apprentissage</w:t>
      </w:r>
      <w:r>
        <w:rPr>
          <w:color w:val="231F20"/>
          <w:spacing w:val="-11"/>
          <w:w w:val="120"/>
        </w:rPr>
        <w:t> </w:t>
      </w:r>
      <w:r>
        <w:rPr>
          <w:color w:val="231F20"/>
          <w:w w:val="120"/>
        </w:rPr>
        <w:t>est</w:t>
      </w:r>
      <w:r>
        <w:rPr>
          <w:color w:val="231F20"/>
          <w:spacing w:val="-11"/>
          <w:w w:val="120"/>
        </w:rPr>
        <w:t> </w:t>
      </w:r>
      <w:r>
        <w:rPr>
          <w:color w:val="231F20"/>
          <w:w w:val="120"/>
        </w:rPr>
        <w:t>censé</w:t>
      </w:r>
      <w:r>
        <w:rPr>
          <w:color w:val="231F20"/>
          <w:spacing w:val="-11"/>
          <w:w w:val="120"/>
        </w:rPr>
        <w:t> </w:t>
      </w:r>
      <w:r>
        <w:rPr>
          <w:color w:val="231F20"/>
          <w:w w:val="120"/>
        </w:rPr>
        <w:t>se</w:t>
      </w:r>
      <w:r>
        <w:rPr>
          <w:color w:val="231F20"/>
          <w:spacing w:val="-11"/>
          <w:w w:val="120"/>
        </w:rPr>
        <w:t> </w:t>
      </w:r>
      <w:r>
        <w:rPr>
          <w:color w:val="231F20"/>
          <w:w w:val="120"/>
        </w:rPr>
        <w:t>traduire</w:t>
      </w:r>
      <w:r>
        <w:rPr>
          <w:color w:val="231F20"/>
          <w:spacing w:val="-11"/>
          <w:w w:val="120"/>
        </w:rPr>
        <w:t> </w:t>
      </w:r>
      <w:r>
        <w:rPr>
          <w:color w:val="231F20"/>
          <w:w w:val="120"/>
        </w:rPr>
        <w:t>par</w:t>
      </w:r>
      <w:r>
        <w:rPr>
          <w:color w:val="231F20"/>
          <w:spacing w:val="-11"/>
          <w:w w:val="120"/>
        </w:rPr>
        <w:t> </w:t>
      </w:r>
      <w:r>
        <w:rPr>
          <w:color w:val="231F20"/>
          <w:w w:val="120"/>
        </w:rPr>
        <w:t>une</w:t>
      </w:r>
      <w:r>
        <w:rPr>
          <w:color w:val="231F20"/>
          <w:spacing w:val="-11"/>
          <w:w w:val="120"/>
        </w:rPr>
        <w:t> </w:t>
      </w:r>
      <w:r>
        <w:rPr>
          <w:color w:val="231F20"/>
          <w:w w:val="120"/>
        </w:rPr>
        <w:t>améliora- tion qualitative des conditions de travail (par exemple, de meilleures </w:t>
      </w:r>
      <w:r>
        <w:rPr>
          <w:color w:val="231F20"/>
          <w:w w:val="115"/>
        </w:rPr>
        <w:t>façons de conjuguer la vie professionnelle et personnelle, la libération de </w:t>
      </w:r>
      <w:r>
        <w:rPr>
          <w:color w:val="231F20"/>
          <w:w w:val="120"/>
        </w:rPr>
        <w:t>certaines</w:t>
      </w:r>
      <w:r>
        <w:rPr>
          <w:color w:val="231F20"/>
          <w:spacing w:val="-9"/>
          <w:w w:val="120"/>
        </w:rPr>
        <w:t> </w:t>
      </w:r>
      <w:r>
        <w:rPr>
          <w:color w:val="231F20"/>
          <w:w w:val="120"/>
        </w:rPr>
        <w:t>tâches</w:t>
      </w:r>
      <w:r>
        <w:rPr>
          <w:color w:val="231F20"/>
          <w:spacing w:val="-9"/>
          <w:w w:val="120"/>
        </w:rPr>
        <w:t> </w:t>
      </w:r>
      <w:r>
        <w:rPr>
          <w:color w:val="231F20"/>
          <w:w w:val="120"/>
        </w:rPr>
        <w:t>et</w:t>
      </w:r>
      <w:r>
        <w:rPr>
          <w:color w:val="231F20"/>
          <w:spacing w:val="-9"/>
          <w:w w:val="120"/>
        </w:rPr>
        <w:t> </w:t>
      </w:r>
      <w:r>
        <w:rPr>
          <w:color w:val="231F20"/>
          <w:w w:val="120"/>
        </w:rPr>
        <w:t>activités</w:t>
      </w:r>
      <w:r>
        <w:rPr>
          <w:color w:val="231F20"/>
          <w:spacing w:val="-9"/>
          <w:w w:val="120"/>
        </w:rPr>
        <w:t> </w:t>
      </w:r>
      <w:r>
        <w:rPr>
          <w:color w:val="231F20"/>
          <w:w w:val="120"/>
        </w:rPr>
        <w:t>routinières).</w:t>
      </w:r>
      <w:r>
        <w:rPr>
          <w:color w:val="231F20"/>
          <w:spacing w:val="-9"/>
          <w:w w:val="120"/>
        </w:rPr>
        <w:t> </w:t>
      </w:r>
      <w:r>
        <w:rPr>
          <w:color w:val="231F20"/>
          <w:w w:val="120"/>
        </w:rPr>
        <w:t>Dans</w:t>
      </w:r>
      <w:r>
        <w:rPr>
          <w:color w:val="231F20"/>
          <w:spacing w:val="-9"/>
          <w:w w:val="120"/>
        </w:rPr>
        <w:t> </w:t>
      </w:r>
      <w:r>
        <w:rPr>
          <w:color w:val="231F20"/>
          <w:w w:val="120"/>
        </w:rPr>
        <w:t>bien</w:t>
      </w:r>
      <w:r>
        <w:rPr>
          <w:color w:val="231F20"/>
          <w:spacing w:val="-9"/>
          <w:w w:val="120"/>
        </w:rPr>
        <w:t> </w:t>
      </w:r>
      <w:r>
        <w:rPr>
          <w:color w:val="231F20"/>
          <w:w w:val="120"/>
        </w:rPr>
        <w:t>des</w:t>
      </w:r>
      <w:r>
        <w:rPr>
          <w:color w:val="231F20"/>
          <w:spacing w:val="-9"/>
          <w:w w:val="120"/>
        </w:rPr>
        <w:t> </w:t>
      </w:r>
      <w:r>
        <w:rPr>
          <w:color w:val="231F20"/>
          <w:w w:val="120"/>
        </w:rPr>
        <w:t>cas,</w:t>
      </w:r>
      <w:r>
        <w:rPr>
          <w:color w:val="231F20"/>
          <w:spacing w:val="-9"/>
          <w:w w:val="120"/>
        </w:rPr>
        <w:t> </w:t>
      </w:r>
      <w:r>
        <w:rPr>
          <w:color w:val="231F20"/>
          <w:w w:val="120"/>
        </w:rPr>
        <w:t>l’entreprise offre</w:t>
      </w:r>
      <w:r>
        <w:rPr>
          <w:color w:val="231F20"/>
          <w:spacing w:val="23"/>
          <w:w w:val="120"/>
        </w:rPr>
        <w:t> </w:t>
      </w:r>
      <w:r>
        <w:rPr>
          <w:color w:val="231F20"/>
          <w:w w:val="120"/>
        </w:rPr>
        <w:t>à</w:t>
      </w:r>
      <w:r>
        <w:rPr>
          <w:color w:val="231F20"/>
          <w:spacing w:val="24"/>
          <w:w w:val="120"/>
        </w:rPr>
        <w:t> </w:t>
      </w:r>
      <w:r>
        <w:rPr>
          <w:color w:val="231F20"/>
          <w:w w:val="120"/>
        </w:rPr>
        <w:t>son</w:t>
      </w:r>
      <w:r>
        <w:rPr>
          <w:color w:val="231F20"/>
          <w:spacing w:val="24"/>
          <w:w w:val="120"/>
        </w:rPr>
        <w:t> </w:t>
      </w:r>
      <w:r>
        <w:rPr>
          <w:color w:val="231F20"/>
          <w:w w:val="120"/>
        </w:rPr>
        <w:t>personnel</w:t>
      </w:r>
      <w:r>
        <w:rPr>
          <w:color w:val="231F20"/>
          <w:spacing w:val="24"/>
          <w:w w:val="120"/>
        </w:rPr>
        <w:t> </w:t>
      </w:r>
      <w:r>
        <w:rPr>
          <w:color w:val="231F20"/>
          <w:w w:val="120"/>
        </w:rPr>
        <w:t>une</w:t>
      </w:r>
      <w:r>
        <w:rPr>
          <w:color w:val="231F20"/>
          <w:spacing w:val="23"/>
          <w:w w:val="120"/>
        </w:rPr>
        <w:t> </w:t>
      </w:r>
      <w:r>
        <w:rPr>
          <w:color w:val="231F20"/>
          <w:w w:val="120"/>
        </w:rPr>
        <w:t>formation</w:t>
      </w:r>
      <w:r>
        <w:rPr>
          <w:color w:val="231F20"/>
          <w:spacing w:val="24"/>
          <w:w w:val="120"/>
        </w:rPr>
        <w:t> </w:t>
      </w:r>
      <w:r>
        <w:rPr>
          <w:color w:val="231F20"/>
          <w:w w:val="120"/>
        </w:rPr>
        <w:t>sur</w:t>
      </w:r>
      <w:r>
        <w:rPr>
          <w:color w:val="231F20"/>
          <w:spacing w:val="24"/>
          <w:w w:val="120"/>
        </w:rPr>
        <w:t> </w:t>
      </w:r>
      <w:r>
        <w:rPr>
          <w:color w:val="231F20"/>
          <w:w w:val="120"/>
        </w:rPr>
        <w:t>l’optimisation</w:t>
      </w:r>
      <w:r>
        <w:rPr>
          <w:color w:val="231F20"/>
          <w:spacing w:val="24"/>
          <w:w w:val="120"/>
        </w:rPr>
        <w:t> </w:t>
      </w:r>
      <w:r>
        <w:rPr>
          <w:color w:val="231F20"/>
          <w:w w:val="120"/>
        </w:rPr>
        <w:t>du</w:t>
      </w:r>
      <w:r>
        <w:rPr>
          <w:color w:val="231F20"/>
          <w:spacing w:val="24"/>
          <w:w w:val="120"/>
        </w:rPr>
        <w:t> </w:t>
      </w:r>
      <w:r>
        <w:rPr>
          <w:color w:val="231F20"/>
          <w:w w:val="120"/>
        </w:rPr>
        <w:t>temps</w:t>
      </w:r>
      <w:r>
        <w:rPr>
          <w:color w:val="231F20"/>
          <w:spacing w:val="23"/>
          <w:w w:val="120"/>
        </w:rPr>
        <w:t> </w:t>
      </w:r>
      <w:r>
        <w:rPr>
          <w:color w:val="231F20"/>
          <w:spacing w:val="-5"/>
          <w:w w:val="120"/>
        </w:rPr>
        <w:t>de</w:t>
      </w:r>
    </w:p>
    <w:p>
      <w:pPr>
        <w:spacing w:after="0" w:line="307" w:lineRule="auto"/>
        <w:jc w:val="both"/>
        <w:sectPr>
          <w:footerReference w:type="default" r:id="rId308"/>
          <w:pgSz w:w="8640" w:h="12960"/>
          <w:pgMar w:footer="424" w:header="0" w:top="520" w:bottom="620" w:left="420" w:right="1140"/>
        </w:sectPr>
      </w:pPr>
    </w:p>
    <w:p>
      <w:pPr>
        <w:spacing w:before="118"/>
        <w:ind w:left="1847" w:right="0" w:firstLine="0"/>
        <w:jc w:val="left"/>
        <w:rPr>
          <w:rFonts w:ascii="Arial" w:hAnsi="Arial"/>
          <w:sz w:val="14"/>
        </w:rPr>
      </w:pPr>
      <w:bookmarkStart w:name="Exercice 5.1 / Évaluez votre niveau d’as" w:id="181"/>
      <w:bookmarkEnd w:id="181"/>
      <w:r>
        <w:rPr/>
      </w:r>
      <w:bookmarkStart w:name="_bookmark80" w:id="182"/>
      <w:bookmarkEnd w:id="182"/>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7"/>
        <w:jc w:val="both"/>
      </w:pPr>
      <w:r>
        <w:rPr>
          <w:color w:val="231F20"/>
          <w:w w:val="115"/>
        </w:rPr>
        <w:t>travail.</w:t>
      </w:r>
      <w:r>
        <w:rPr>
          <w:color w:val="231F20"/>
          <w:spacing w:val="-11"/>
          <w:w w:val="115"/>
        </w:rPr>
        <w:t> </w:t>
      </w:r>
      <w:r>
        <w:rPr>
          <w:color w:val="231F20"/>
          <w:w w:val="115"/>
        </w:rPr>
        <w:t>D’autre</w:t>
      </w:r>
      <w:r>
        <w:rPr>
          <w:color w:val="231F20"/>
          <w:spacing w:val="-11"/>
          <w:w w:val="115"/>
        </w:rPr>
        <w:t> </w:t>
      </w:r>
      <w:r>
        <w:rPr>
          <w:color w:val="231F20"/>
          <w:w w:val="115"/>
        </w:rPr>
        <w:t>part,</w:t>
      </w:r>
      <w:r>
        <w:rPr>
          <w:color w:val="231F20"/>
          <w:spacing w:val="-11"/>
          <w:w w:val="115"/>
        </w:rPr>
        <w:t> </w:t>
      </w:r>
      <w:r>
        <w:rPr>
          <w:color w:val="231F20"/>
          <w:w w:val="115"/>
        </w:rPr>
        <w:t>les</w:t>
      </w:r>
      <w:r>
        <w:rPr>
          <w:color w:val="231F20"/>
          <w:spacing w:val="-11"/>
          <w:w w:val="115"/>
        </w:rPr>
        <w:t> </w:t>
      </w:r>
      <w:r>
        <w:rPr>
          <w:color w:val="231F20"/>
          <w:w w:val="115"/>
        </w:rPr>
        <w:t>employés</w:t>
      </w:r>
      <w:r>
        <w:rPr>
          <w:color w:val="231F20"/>
          <w:spacing w:val="-11"/>
          <w:w w:val="115"/>
        </w:rPr>
        <w:t> </w:t>
      </w:r>
      <w:r>
        <w:rPr>
          <w:color w:val="231F20"/>
          <w:w w:val="115"/>
        </w:rPr>
        <w:t>qui</w:t>
      </w:r>
      <w:r>
        <w:rPr>
          <w:color w:val="231F20"/>
          <w:spacing w:val="-11"/>
          <w:w w:val="115"/>
        </w:rPr>
        <w:t> </w:t>
      </w:r>
      <w:r>
        <w:rPr>
          <w:color w:val="231F20"/>
          <w:w w:val="115"/>
        </w:rPr>
        <w:t>affirment</w:t>
      </w:r>
      <w:r>
        <w:rPr>
          <w:color w:val="231F20"/>
          <w:spacing w:val="-11"/>
          <w:w w:val="115"/>
        </w:rPr>
        <w:t> </w:t>
      </w:r>
      <w:r>
        <w:rPr>
          <w:color w:val="231F20"/>
          <w:w w:val="115"/>
        </w:rPr>
        <w:t>avoir</w:t>
      </w:r>
      <w:r>
        <w:rPr>
          <w:color w:val="231F20"/>
          <w:spacing w:val="-11"/>
          <w:w w:val="115"/>
        </w:rPr>
        <w:t> </w:t>
      </w:r>
      <w:r>
        <w:rPr>
          <w:color w:val="231F20"/>
          <w:w w:val="115"/>
        </w:rPr>
        <w:t>du</w:t>
      </w:r>
      <w:r>
        <w:rPr>
          <w:color w:val="231F20"/>
          <w:spacing w:val="-11"/>
          <w:w w:val="115"/>
        </w:rPr>
        <w:t> </w:t>
      </w:r>
      <w:r>
        <w:rPr>
          <w:color w:val="231F20"/>
          <w:w w:val="115"/>
        </w:rPr>
        <w:t>temps</w:t>
      </w:r>
      <w:r>
        <w:rPr>
          <w:color w:val="231F20"/>
          <w:spacing w:val="-11"/>
          <w:w w:val="115"/>
        </w:rPr>
        <w:t> </w:t>
      </w:r>
      <w:r>
        <w:rPr>
          <w:color w:val="231F20"/>
          <w:w w:val="115"/>
        </w:rPr>
        <w:t>libre</w:t>
      </w:r>
      <w:r>
        <w:rPr>
          <w:color w:val="231F20"/>
          <w:spacing w:val="-11"/>
          <w:w w:val="115"/>
        </w:rPr>
        <w:t> </w:t>
      </w:r>
      <w:r>
        <w:rPr>
          <w:color w:val="231F20"/>
          <w:w w:val="115"/>
        </w:rPr>
        <w:t>et</w:t>
      </w:r>
      <w:r>
        <w:rPr>
          <w:color w:val="231F20"/>
          <w:spacing w:val="-11"/>
          <w:w w:val="115"/>
        </w:rPr>
        <w:t> </w:t>
      </w:r>
      <w:r>
        <w:rPr>
          <w:color w:val="231F20"/>
          <w:w w:val="115"/>
        </w:rPr>
        <w:t>qui </w:t>
      </w:r>
      <w:r>
        <w:rPr>
          <w:color w:val="231F20"/>
          <w:spacing w:val="-4"/>
          <w:w w:val="120"/>
        </w:rPr>
        <w:t>en sont fiers sont souvent considérés comme des personnes peu engagées </w:t>
      </w:r>
      <w:r>
        <w:rPr>
          <w:color w:val="231F20"/>
          <w:w w:val="120"/>
        </w:rPr>
        <w:t>ou peu dévouées à leur travail.</w:t>
      </w:r>
    </w:p>
    <w:p>
      <w:pPr>
        <w:pStyle w:val="BodyText"/>
        <w:rPr>
          <w:sz w:val="24"/>
        </w:rPr>
      </w:pPr>
    </w:p>
    <w:p>
      <w:pPr>
        <w:spacing w:before="185"/>
        <w:ind w:left="1220" w:right="0" w:firstLine="0"/>
        <w:jc w:val="left"/>
        <w:rPr>
          <w:rFonts w:ascii="Arial"/>
          <w:i/>
          <w:sz w:val="21"/>
        </w:rPr>
      </w:pPr>
      <w:r>
        <w:rPr>
          <w:rFonts w:ascii="Arial"/>
          <w:color w:val="231F20"/>
          <w:w w:val="95"/>
          <w:sz w:val="21"/>
        </w:rPr>
        <w:t>exerCiCe</w:t>
      </w:r>
      <w:r>
        <w:rPr>
          <w:rFonts w:ascii="Arial"/>
          <w:color w:val="231F20"/>
          <w:spacing w:val="-10"/>
          <w:w w:val="95"/>
          <w:sz w:val="21"/>
        </w:rPr>
        <w:t> </w:t>
      </w:r>
      <w:r>
        <w:rPr>
          <w:rFonts w:ascii="Arial"/>
          <w:color w:val="231F20"/>
          <w:w w:val="95"/>
          <w:sz w:val="21"/>
        </w:rPr>
        <w:t>5.1</w:t>
      </w:r>
      <w:r>
        <w:rPr>
          <w:rFonts w:ascii="Arial"/>
          <w:color w:val="231F20"/>
          <w:spacing w:val="-17"/>
          <w:w w:val="95"/>
          <w:sz w:val="21"/>
        </w:rPr>
        <w:t> </w:t>
      </w:r>
      <w:r>
        <w:rPr>
          <w:rFonts w:ascii="Arial"/>
          <w:i/>
          <w:color w:val="231F20"/>
          <w:spacing w:val="-10"/>
          <w:w w:val="95"/>
          <w:sz w:val="21"/>
        </w:rPr>
        <w:t>/</w:t>
      </w:r>
    </w:p>
    <w:p>
      <w:pPr>
        <w:pStyle w:val="Heading2"/>
        <w:spacing w:before="9"/>
        <w:ind w:left="1220"/>
      </w:pPr>
      <w:r>
        <w:rPr>
          <w:color w:val="231F20"/>
          <w:w w:val="95"/>
        </w:rPr>
        <w:t>Évaluez</w:t>
      </w:r>
      <w:r>
        <w:rPr>
          <w:color w:val="231F20"/>
          <w:spacing w:val="-7"/>
          <w:w w:val="95"/>
        </w:rPr>
        <w:t> </w:t>
      </w:r>
      <w:r>
        <w:rPr>
          <w:color w:val="231F20"/>
          <w:w w:val="95"/>
        </w:rPr>
        <w:t>votre</w:t>
      </w:r>
      <w:r>
        <w:rPr>
          <w:color w:val="231F20"/>
          <w:spacing w:val="-7"/>
          <w:w w:val="95"/>
        </w:rPr>
        <w:t> </w:t>
      </w:r>
      <w:r>
        <w:rPr>
          <w:color w:val="231F20"/>
          <w:w w:val="95"/>
        </w:rPr>
        <w:t>niveau</w:t>
      </w:r>
      <w:r>
        <w:rPr>
          <w:color w:val="231F20"/>
          <w:spacing w:val="-6"/>
          <w:w w:val="95"/>
        </w:rPr>
        <w:t> </w:t>
      </w:r>
      <w:r>
        <w:rPr>
          <w:color w:val="231F20"/>
          <w:spacing w:val="-2"/>
          <w:w w:val="95"/>
        </w:rPr>
        <w:t>d’assertivité</w:t>
      </w:r>
    </w:p>
    <w:p>
      <w:pPr>
        <w:pStyle w:val="BodyText"/>
        <w:spacing w:before="9"/>
        <w:rPr>
          <w:rFonts w:ascii="Arial"/>
          <w:b/>
          <w:sz w:val="25"/>
        </w:rPr>
      </w:pPr>
    </w:p>
    <w:p>
      <w:pPr>
        <w:pStyle w:val="BodyText"/>
        <w:spacing w:line="307" w:lineRule="auto"/>
        <w:ind w:left="1220" w:right="111"/>
        <w:jc w:val="both"/>
      </w:pPr>
      <w:r>
        <w:rPr>
          <w:color w:val="231F20"/>
          <w:spacing w:val="-2"/>
          <w:w w:val="120"/>
        </w:rPr>
        <w:t>Le</w:t>
      </w:r>
      <w:r>
        <w:rPr>
          <w:color w:val="231F20"/>
          <w:spacing w:val="-11"/>
          <w:w w:val="120"/>
        </w:rPr>
        <w:t> </w:t>
      </w:r>
      <w:r>
        <w:rPr>
          <w:color w:val="231F20"/>
          <w:spacing w:val="-2"/>
          <w:w w:val="120"/>
        </w:rPr>
        <w:t>test</w:t>
      </w:r>
      <w:r>
        <w:rPr>
          <w:color w:val="231F20"/>
          <w:spacing w:val="-10"/>
          <w:w w:val="120"/>
        </w:rPr>
        <w:t> </w:t>
      </w:r>
      <w:r>
        <w:rPr>
          <w:color w:val="231F20"/>
          <w:spacing w:val="-2"/>
          <w:w w:val="120"/>
        </w:rPr>
        <w:t>qui</w:t>
      </w:r>
      <w:r>
        <w:rPr>
          <w:color w:val="231F20"/>
          <w:spacing w:val="-11"/>
          <w:w w:val="120"/>
        </w:rPr>
        <w:t> </w:t>
      </w:r>
      <w:r>
        <w:rPr>
          <w:color w:val="231F20"/>
          <w:spacing w:val="-2"/>
          <w:w w:val="120"/>
        </w:rPr>
        <w:t>suit</w:t>
      </w:r>
      <w:r>
        <w:rPr>
          <w:color w:val="231F20"/>
          <w:spacing w:val="-10"/>
          <w:w w:val="120"/>
        </w:rPr>
        <w:t> </w:t>
      </w:r>
      <w:r>
        <w:rPr>
          <w:color w:val="231F20"/>
          <w:spacing w:val="-2"/>
          <w:w w:val="120"/>
        </w:rPr>
        <w:t>a</w:t>
      </w:r>
      <w:r>
        <w:rPr>
          <w:color w:val="231F20"/>
          <w:spacing w:val="-11"/>
          <w:w w:val="120"/>
        </w:rPr>
        <w:t> </w:t>
      </w:r>
      <w:r>
        <w:rPr>
          <w:color w:val="231F20"/>
          <w:spacing w:val="-2"/>
          <w:w w:val="120"/>
        </w:rPr>
        <w:t>pour</w:t>
      </w:r>
      <w:r>
        <w:rPr>
          <w:color w:val="231F20"/>
          <w:spacing w:val="-10"/>
          <w:w w:val="120"/>
        </w:rPr>
        <w:t> </w:t>
      </w:r>
      <w:r>
        <w:rPr>
          <w:color w:val="231F20"/>
          <w:spacing w:val="-2"/>
          <w:w w:val="120"/>
        </w:rPr>
        <w:t>but</w:t>
      </w:r>
      <w:r>
        <w:rPr>
          <w:color w:val="231F20"/>
          <w:spacing w:val="-11"/>
          <w:w w:val="120"/>
        </w:rPr>
        <w:t> </w:t>
      </w:r>
      <w:r>
        <w:rPr>
          <w:color w:val="231F20"/>
          <w:spacing w:val="-2"/>
          <w:w w:val="120"/>
        </w:rPr>
        <w:t>de</w:t>
      </w:r>
      <w:r>
        <w:rPr>
          <w:color w:val="231F20"/>
          <w:spacing w:val="-10"/>
          <w:w w:val="120"/>
        </w:rPr>
        <w:t> </w:t>
      </w:r>
      <w:r>
        <w:rPr>
          <w:color w:val="231F20"/>
          <w:spacing w:val="-2"/>
          <w:w w:val="120"/>
        </w:rPr>
        <w:t>vous</w:t>
      </w:r>
      <w:r>
        <w:rPr>
          <w:color w:val="231F20"/>
          <w:spacing w:val="-11"/>
          <w:w w:val="120"/>
        </w:rPr>
        <w:t> </w:t>
      </w:r>
      <w:r>
        <w:rPr>
          <w:color w:val="231F20"/>
          <w:spacing w:val="-2"/>
          <w:w w:val="120"/>
        </w:rPr>
        <w:t>aider</w:t>
      </w:r>
      <w:r>
        <w:rPr>
          <w:color w:val="231F20"/>
          <w:spacing w:val="-10"/>
          <w:w w:val="120"/>
        </w:rPr>
        <w:t> </w:t>
      </w:r>
      <w:r>
        <w:rPr>
          <w:color w:val="231F20"/>
          <w:spacing w:val="-2"/>
          <w:w w:val="120"/>
        </w:rPr>
        <w:t>à</w:t>
      </w:r>
      <w:r>
        <w:rPr>
          <w:color w:val="231F20"/>
          <w:spacing w:val="-11"/>
          <w:w w:val="120"/>
        </w:rPr>
        <w:t> </w:t>
      </w:r>
      <w:r>
        <w:rPr>
          <w:color w:val="231F20"/>
          <w:spacing w:val="-2"/>
          <w:w w:val="120"/>
        </w:rPr>
        <w:t>évaluer</w:t>
      </w:r>
      <w:r>
        <w:rPr>
          <w:color w:val="231F20"/>
          <w:spacing w:val="-10"/>
          <w:w w:val="120"/>
        </w:rPr>
        <w:t> </w:t>
      </w:r>
      <w:r>
        <w:rPr>
          <w:color w:val="231F20"/>
          <w:spacing w:val="-2"/>
          <w:w w:val="120"/>
        </w:rPr>
        <w:t>si</w:t>
      </w:r>
      <w:r>
        <w:rPr>
          <w:color w:val="231F20"/>
          <w:spacing w:val="-11"/>
          <w:w w:val="120"/>
        </w:rPr>
        <w:t> </w:t>
      </w:r>
      <w:r>
        <w:rPr>
          <w:color w:val="231F20"/>
          <w:spacing w:val="-2"/>
          <w:w w:val="120"/>
        </w:rPr>
        <w:t>vous</w:t>
      </w:r>
      <w:r>
        <w:rPr>
          <w:color w:val="231F20"/>
          <w:spacing w:val="-10"/>
          <w:w w:val="120"/>
        </w:rPr>
        <w:t> </w:t>
      </w:r>
      <w:r>
        <w:rPr>
          <w:color w:val="231F20"/>
          <w:spacing w:val="-2"/>
          <w:w w:val="120"/>
        </w:rPr>
        <w:t>avez</w:t>
      </w:r>
      <w:r>
        <w:rPr>
          <w:color w:val="231F20"/>
          <w:spacing w:val="-11"/>
          <w:w w:val="120"/>
        </w:rPr>
        <w:t> </w:t>
      </w:r>
      <w:r>
        <w:rPr>
          <w:color w:val="231F20"/>
          <w:spacing w:val="-2"/>
          <w:w w:val="120"/>
        </w:rPr>
        <w:t>un</w:t>
      </w:r>
      <w:r>
        <w:rPr>
          <w:color w:val="231F20"/>
          <w:spacing w:val="-10"/>
          <w:w w:val="120"/>
        </w:rPr>
        <w:t> </w:t>
      </w:r>
      <w:r>
        <w:rPr>
          <w:color w:val="231F20"/>
          <w:spacing w:val="-2"/>
          <w:w w:val="120"/>
        </w:rPr>
        <w:t>style</w:t>
      </w:r>
      <w:r>
        <w:rPr>
          <w:color w:val="231F20"/>
          <w:spacing w:val="-11"/>
          <w:w w:val="120"/>
        </w:rPr>
        <w:t> </w:t>
      </w:r>
      <w:r>
        <w:rPr>
          <w:color w:val="231F20"/>
          <w:spacing w:val="-2"/>
          <w:w w:val="120"/>
        </w:rPr>
        <w:t>de </w:t>
      </w:r>
      <w:r>
        <w:rPr>
          <w:color w:val="231F20"/>
          <w:w w:val="120"/>
        </w:rPr>
        <w:t>communication plutôt assertif ou non assertif.</w:t>
      </w:r>
    </w:p>
    <w:p>
      <w:pPr>
        <w:pStyle w:val="BodyText"/>
        <w:spacing w:before="7"/>
        <w:rPr>
          <w:sz w:val="9"/>
        </w:rPr>
      </w:pPr>
    </w:p>
    <w:tbl>
      <w:tblPr>
        <w:tblW w:w="0" w:type="auto"/>
        <w:jc w:val="left"/>
        <w:tblInd w:w="1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1"/>
        <w:gridCol w:w="1398"/>
        <w:gridCol w:w="1087"/>
        <w:gridCol w:w="1265"/>
        <w:gridCol w:w="1031"/>
      </w:tblGrid>
      <w:tr>
        <w:trPr>
          <w:trHeight w:val="361" w:hRule="atLeast"/>
        </w:trPr>
        <w:tc>
          <w:tcPr>
            <w:tcW w:w="5752" w:type="dxa"/>
            <w:gridSpan w:val="5"/>
            <w:tcBorders>
              <w:top w:val="single" w:sz="2" w:space="0" w:color="231F20"/>
              <w:left w:val="single" w:sz="2" w:space="0" w:color="231F20"/>
              <w:right w:val="single" w:sz="2" w:space="0" w:color="231F20"/>
            </w:tcBorders>
          </w:tcPr>
          <w:p>
            <w:pPr>
              <w:pStyle w:val="TableParagraph"/>
              <w:spacing w:before="10"/>
              <w:rPr>
                <w:rFonts w:ascii="Times New Roman"/>
                <w:sz w:val="18"/>
              </w:rPr>
            </w:pPr>
          </w:p>
          <w:p>
            <w:pPr>
              <w:pStyle w:val="TableParagraph"/>
              <w:spacing w:line="124" w:lineRule="exact"/>
              <w:ind w:right="245"/>
              <w:jc w:val="right"/>
              <w:rPr>
                <w:b/>
                <w:sz w:val="14"/>
              </w:rPr>
            </w:pPr>
            <w:r>
              <w:rPr>
                <w:b/>
                <w:color w:val="231F20"/>
                <w:spacing w:val="-2"/>
                <w:sz w:val="14"/>
              </w:rPr>
              <w:t>Presque</w:t>
            </w:r>
          </w:p>
        </w:tc>
      </w:tr>
      <w:tr>
        <w:trPr>
          <w:trHeight w:val="191" w:hRule="atLeast"/>
        </w:trPr>
        <w:tc>
          <w:tcPr>
            <w:tcW w:w="971" w:type="dxa"/>
            <w:tcBorders>
              <w:left w:val="single" w:sz="2" w:space="0" w:color="231F20"/>
            </w:tcBorders>
          </w:tcPr>
          <w:p>
            <w:pPr>
              <w:pStyle w:val="TableParagraph"/>
              <w:spacing w:line="135" w:lineRule="exact" w:before="36"/>
              <w:ind w:left="240"/>
              <w:rPr>
                <w:b/>
                <w:sz w:val="14"/>
              </w:rPr>
            </w:pPr>
            <w:r>
              <w:rPr>
                <w:b/>
                <w:color w:val="231F20"/>
                <w:w w:val="90"/>
                <w:sz w:val="14"/>
              </w:rPr>
              <w:t>Très</w:t>
            </w:r>
            <w:r>
              <w:rPr>
                <w:b/>
                <w:color w:val="231F20"/>
                <w:spacing w:val="-2"/>
                <w:w w:val="90"/>
                <w:sz w:val="14"/>
              </w:rPr>
              <w:t> </w:t>
            </w:r>
            <w:r>
              <w:rPr>
                <w:b/>
                <w:color w:val="231F20"/>
                <w:spacing w:val="-5"/>
                <w:sz w:val="14"/>
              </w:rPr>
              <w:t>peu</w:t>
            </w:r>
          </w:p>
        </w:tc>
        <w:tc>
          <w:tcPr>
            <w:tcW w:w="1398" w:type="dxa"/>
          </w:tcPr>
          <w:p>
            <w:pPr>
              <w:pStyle w:val="TableParagraph"/>
              <w:spacing w:line="135" w:lineRule="exact" w:before="36"/>
              <w:ind w:left="185" w:right="318"/>
              <w:jc w:val="center"/>
              <w:rPr>
                <w:b/>
                <w:sz w:val="14"/>
              </w:rPr>
            </w:pPr>
            <w:r>
              <w:rPr>
                <w:b/>
                <w:color w:val="231F20"/>
                <w:w w:val="90"/>
                <w:sz w:val="14"/>
              </w:rPr>
              <w:t>Plus</w:t>
            </w:r>
            <w:r>
              <w:rPr>
                <w:b/>
                <w:color w:val="231F20"/>
                <w:spacing w:val="-3"/>
                <w:sz w:val="14"/>
              </w:rPr>
              <w:t> </w:t>
            </w:r>
            <w:r>
              <w:rPr>
                <w:b/>
                <w:color w:val="231F20"/>
                <w:w w:val="90"/>
                <w:sz w:val="14"/>
              </w:rPr>
              <w:t>ou</w:t>
            </w:r>
            <w:r>
              <w:rPr>
                <w:b/>
                <w:color w:val="231F20"/>
                <w:spacing w:val="-2"/>
                <w:sz w:val="14"/>
              </w:rPr>
              <w:t> </w:t>
            </w:r>
            <w:r>
              <w:rPr>
                <w:b/>
                <w:color w:val="231F20"/>
                <w:spacing w:val="-2"/>
                <w:w w:val="90"/>
                <w:sz w:val="14"/>
              </w:rPr>
              <w:t>moins</w:t>
            </w:r>
          </w:p>
        </w:tc>
        <w:tc>
          <w:tcPr>
            <w:tcW w:w="1087" w:type="dxa"/>
          </w:tcPr>
          <w:p>
            <w:pPr>
              <w:pStyle w:val="TableParagraph"/>
              <w:spacing w:line="135" w:lineRule="exact" w:before="36"/>
              <w:ind w:left="297" w:right="355"/>
              <w:jc w:val="center"/>
              <w:rPr>
                <w:b/>
                <w:sz w:val="14"/>
              </w:rPr>
            </w:pPr>
            <w:r>
              <w:rPr>
                <w:b/>
                <w:color w:val="231F20"/>
                <w:spacing w:val="-2"/>
                <w:sz w:val="14"/>
              </w:rPr>
              <w:t>Assez</w:t>
            </w:r>
          </w:p>
        </w:tc>
        <w:tc>
          <w:tcPr>
            <w:tcW w:w="1265" w:type="dxa"/>
          </w:tcPr>
          <w:p>
            <w:pPr>
              <w:pStyle w:val="TableParagraph"/>
              <w:spacing w:line="135" w:lineRule="exact" w:before="36"/>
              <w:ind w:left="355" w:right="208"/>
              <w:jc w:val="center"/>
              <w:rPr>
                <w:b/>
                <w:sz w:val="14"/>
              </w:rPr>
            </w:pPr>
            <w:r>
              <w:rPr>
                <w:b/>
                <w:color w:val="231F20"/>
                <w:spacing w:val="-2"/>
                <w:sz w:val="14"/>
              </w:rPr>
              <w:t>Beaucoup</w:t>
            </w:r>
          </w:p>
        </w:tc>
        <w:tc>
          <w:tcPr>
            <w:tcW w:w="1031" w:type="dxa"/>
            <w:tcBorders>
              <w:right w:val="single" w:sz="2" w:space="0" w:color="231F20"/>
            </w:tcBorders>
          </w:tcPr>
          <w:p>
            <w:pPr>
              <w:pStyle w:val="TableParagraph"/>
              <w:spacing w:line="135" w:lineRule="exact" w:before="36"/>
              <w:ind w:right="245"/>
              <w:jc w:val="right"/>
              <w:rPr>
                <w:b/>
                <w:sz w:val="14"/>
              </w:rPr>
            </w:pPr>
            <w:r>
              <w:rPr>
                <w:b/>
                <w:color w:val="231F20"/>
                <w:spacing w:val="-2"/>
                <w:sz w:val="14"/>
              </w:rPr>
              <w:t>toujours</w:t>
            </w:r>
          </w:p>
        </w:tc>
      </w:tr>
      <w:tr>
        <w:trPr>
          <w:trHeight w:val="393" w:hRule="atLeast"/>
        </w:trPr>
        <w:tc>
          <w:tcPr>
            <w:tcW w:w="971" w:type="dxa"/>
            <w:tcBorders>
              <w:left w:val="single" w:sz="2" w:space="0" w:color="231F20"/>
              <w:bottom w:val="single" w:sz="2" w:space="0" w:color="231F20"/>
            </w:tcBorders>
          </w:tcPr>
          <w:p>
            <w:pPr>
              <w:pStyle w:val="TableParagraph"/>
              <w:spacing w:before="25"/>
              <w:ind w:left="239"/>
              <w:rPr>
                <w:b/>
                <w:sz w:val="14"/>
              </w:rPr>
            </w:pPr>
            <w:r>
              <w:rPr>
                <w:b/>
                <w:color w:val="231F20"/>
                <w:w w:val="116"/>
                <w:sz w:val="14"/>
              </w:rPr>
              <w:t>1</w:t>
            </w:r>
          </w:p>
        </w:tc>
        <w:tc>
          <w:tcPr>
            <w:tcW w:w="1398" w:type="dxa"/>
            <w:tcBorders>
              <w:bottom w:val="single" w:sz="2" w:space="0" w:color="231F20"/>
            </w:tcBorders>
          </w:tcPr>
          <w:p>
            <w:pPr>
              <w:pStyle w:val="TableParagraph"/>
              <w:spacing w:before="25"/>
              <w:ind w:right="172"/>
              <w:jc w:val="center"/>
              <w:rPr>
                <w:b/>
                <w:sz w:val="14"/>
              </w:rPr>
            </w:pPr>
            <w:r>
              <w:rPr>
                <w:b/>
                <w:color w:val="231F20"/>
                <w:w w:val="116"/>
                <w:sz w:val="14"/>
              </w:rPr>
              <w:t>2</w:t>
            </w:r>
          </w:p>
        </w:tc>
        <w:tc>
          <w:tcPr>
            <w:tcW w:w="1087" w:type="dxa"/>
            <w:tcBorders>
              <w:bottom w:val="single" w:sz="2" w:space="0" w:color="231F20"/>
            </w:tcBorders>
          </w:tcPr>
          <w:p>
            <w:pPr>
              <w:pStyle w:val="TableParagraph"/>
              <w:spacing w:before="25"/>
              <w:ind w:right="68"/>
              <w:jc w:val="center"/>
              <w:rPr>
                <w:b/>
                <w:sz w:val="14"/>
              </w:rPr>
            </w:pPr>
            <w:r>
              <w:rPr>
                <w:b/>
                <w:color w:val="231F20"/>
                <w:w w:val="116"/>
                <w:sz w:val="14"/>
              </w:rPr>
              <w:t>3</w:t>
            </w:r>
          </w:p>
        </w:tc>
        <w:tc>
          <w:tcPr>
            <w:tcW w:w="1265" w:type="dxa"/>
            <w:tcBorders>
              <w:bottom w:val="single" w:sz="2" w:space="0" w:color="231F20"/>
            </w:tcBorders>
          </w:tcPr>
          <w:p>
            <w:pPr>
              <w:pStyle w:val="TableParagraph"/>
              <w:spacing w:before="25"/>
              <w:ind w:left="167"/>
              <w:jc w:val="center"/>
              <w:rPr>
                <w:b/>
                <w:sz w:val="14"/>
              </w:rPr>
            </w:pPr>
            <w:r>
              <w:rPr>
                <w:b/>
                <w:color w:val="231F20"/>
                <w:w w:val="116"/>
                <w:sz w:val="14"/>
              </w:rPr>
              <w:t>4</w:t>
            </w:r>
          </w:p>
        </w:tc>
        <w:tc>
          <w:tcPr>
            <w:tcW w:w="1031" w:type="dxa"/>
            <w:tcBorders>
              <w:bottom w:val="single" w:sz="2" w:space="0" w:color="231F20"/>
              <w:right w:val="single" w:sz="2" w:space="0" w:color="231F20"/>
            </w:tcBorders>
          </w:tcPr>
          <w:p>
            <w:pPr>
              <w:pStyle w:val="TableParagraph"/>
              <w:spacing w:before="25"/>
              <w:ind w:right="235"/>
              <w:jc w:val="right"/>
              <w:rPr>
                <w:b/>
                <w:sz w:val="14"/>
              </w:rPr>
            </w:pPr>
            <w:r>
              <w:rPr>
                <w:b/>
                <w:color w:val="231F20"/>
                <w:w w:val="116"/>
                <w:sz w:val="14"/>
              </w:rPr>
              <w:t>5</w:t>
            </w:r>
          </w:p>
        </w:tc>
      </w:tr>
    </w:tbl>
    <w:p>
      <w:pPr>
        <w:pStyle w:val="BodyText"/>
        <w:spacing w:before="3"/>
        <w:rPr>
          <w:sz w:val="24"/>
        </w:rPr>
      </w:pPr>
    </w:p>
    <w:tbl>
      <w:tblPr>
        <w:tblW w:w="0" w:type="auto"/>
        <w:jc w:val="left"/>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5272"/>
        <w:gridCol w:w="480"/>
      </w:tblGrid>
      <w:tr>
        <w:trPr>
          <w:trHeight w:val="444" w:hRule="atLeast"/>
        </w:trPr>
        <w:tc>
          <w:tcPr>
            <w:tcW w:w="5272" w:type="dxa"/>
            <w:tcBorders>
              <w:left w:val="nil"/>
              <w:bottom w:val="single" w:sz="4" w:space="0" w:color="E2E3E4"/>
              <w:right w:val="single" w:sz="4" w:space="0" w:color="FFFFFF"/>
            </w:tcBorders>
          </w:tcPr>
          <w:p>
            <w:pPr>
              <w:pStyle w:val="TableParagraph"/>
              <w:spacing w:line="268" w:lineRule="auto" w:before="57"/>
              <w:ind w:left="475" w:right="404" w:hanging="290"/>
              <w:rPr>
                <w:sz w:val="14"/>
              </w:rPr>
            </w:pPr>
            <w:r>
              <w:rPr>
                <w:b/>
                <w:color w:val="231F20"/>
                <w:sz w:val="14"/>
              </w:rPr>
              <w:t>1.</w:t>
            </w:r>
            <w:r>
              <w:rPr>
                <w:b/>
                <w:color w:val="231F20"/>
                <w:spacing w:val="80"/>
                <w:w w:val="150"/>
                <w:sz w:val="14"/>
              </w:rPr>
              <w:t> </w:t>
            </w:r>
            <w:r>
              <w:rPr>
                <w:color w:val="231F20"/>
                <w:sz w:val="14"/>
              </w:rPr>
              <w:t>Critiquez-vous ouvertement les idées, les opinions et le comportement</w:t>
            </w:r>
            <w:r>
              <w:rPr>
                <w:color w:val="231F20"/>
                <w:spacing w:val="40"/>
                <w:sz w:val="14"/>
              </w:rPr>
              <w:t> </w:t>
            </w:r>
            <w:r>
              <w:rPr>
                <w:color w:val="231F20"/>
                <w:sz w:val="14"/>
              </w:rPr>
              <w:t>des autres</w:t>
            </w:r>
            <w:r>
              <w:rPr>
                <w:color w:val="231F20"/>
                <w:spacing w:val="-24"/>
                <w:sz w:val="14"/>
              </w:rPr>
              <w:t> </w:t>
            </w:r>
            <w:r>
              <w:rPr>
                <w:color w:val="231F20"/>
                <w:sz w:val="14"/>
              </w:rPr>
              <w:t>?</w:t>
            </w: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sz w:val="14"/>
              </w:rPr>
              <w:t>2.</w:t>
            </w:r>
            <w:r>
              <w:rPr>
                <w:b/>
                <w:color w:val="231F20"/>
                <w:spacing w:val="47"/>
                <w:sz w:val="14"/>
              </w:rPr>
              <w:t>  </w:t>
            </w:r>
            <w:r>
              <w:rPr>
                <w:color w:val="231F20"/>
                <w:sz w:val="14"/>
              </w:rPr>
              <w:t>Protestez-vous</w:t>
            </w:r>
            <w:r>
              <w:rPr>
                <w:color w:val="231F20"/>
                <w:spacing w:val="-1"/>
                <w:sz w:val="14"/>
              </w:rPr>
              <w:t> </w:t>
            </w:r>
            <w:r>
              <w:rPr>
                <w:color w:val="231F20"/>
                <w:sz w:val="14"/>
              </w:rPr>
              <w:t>quand</w:t>
            </w:r>
            <w:r>
              <w:rPr>
                <w:color w:val="231F20"/>
                <w:spacing w:val="-1"/>
                <w:sz w:val="14"/>
              </w:rPr>
              <w:t> </w:t>
            </w:r>
            <w:r>
              <w:rPr>
                <w:color w:val="231F20"/>
                <w:sz w:val="14"/>
              </w:rPr>
              <w:t>quelqu’un</w:t>
            </w:r>
            <w:r>
              <w:rPr>
                <w:color w:val="231F20"/>
                <w:spacing w:val="-1"/>
                <w:sz w:val="14"/>
              </w:rPr>
              <w:t> </w:t>
            </w:r>
            <w:r>
              <w:rPr>
                <w:color w:val="231F20"/>
                <w:sz w:val="14"/>
              </w:rPr>
              <w:t>prend</w:t>
            </w:r>
            <w:r>
              <w:rPr>
                <w:color w:val="231F20"/>
                <w:spacing w:val="-1"/>
                <w:sz w:val="14"/>
              </w:rPr>
              <w:t> </w:t>
            </w:r>
            <w:r>
              <w:rPr>
                <w:color w:val="231F20"/>
                <w:sz w:val="14"/>
              </w:rPr>
              <w:t>votre</w:t>
            </w:r>
            <w:r>
              <w:rPr>
                <w:color w:val="231F20"/>
                <w:spacing w:val="-1"/>
                <w:sz w:val="14"/>
              </w:rPr>
              <w:t> </w:t>
            </w:r>
            <w:r>
              <w:rPr>
                <w:color w:val="231F20"/>
                <w:sz w:val="14"/>
              </w:rPr>
              <w:t>place</w:t>
            </w:r>
            <w:r>
              <w:rPr>
                <w:color w:val="231F20"/>
                <w:spacing w:val="-1"/>
                <w:sz w:val="14"/>
              </w:rPr>
              <w:t> </w:t>
            </w:r>
            <w:r>
              <w:rPr>
                <w:color w:val="231F20"/>
                <w:sz w:val="14"/>
              </w:rPr>
              <w:t>dans</w:t>
            </w:r>
            <w:r>
              <w:rPr>
                <w:color w:val="231F20"/>
                <w:spacing w:val="-1"/>
                <w:sz w:val="14"/>
              </w:rPr>
              <w:t> </w:t>
            </w:r>
            <w:r>
              <w:rPr>
                <w:color w:val="231F20"/>
                <w:sz w:val="14"/>
              </w:rPr>
              <w:t>une</w:t>
            </w:r>
            <w:r>
              <w:rPr>
                <w:color w:val="231F20"/>
                <w:spacing w:val="-1"/>
                <w:sz w:val="14"/>
              </w:rPr>
              <w:t> </w:t>
            </w:r>
            <w:r>
              <w:rPr>
                <w:color w:val="231F20"/>
                <w:spacing w:val="-2"/>
                <w:sz w:val="14"/>
              </w:rPr>
              <w:t>file?</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2"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641" w:hanging="290"/>
              <w:rPr>
                <w:sz w:val="14"/>
              </w:rPr>
            </w:pPr>
            <w:r>
              <w:rPr>
                <w:b/>
                <w:color w:val="231F20"/>
                <w:sz w:val="14"/>
              </w:rPr>
              <w:t>3.</w:t>
            </w:r>
            <w:r>
              <w:rPr>
                <w:b/>
                <w:color w:val="231F20"/>
                <w:spacing w:val="80"/>
                <w:w w:val="150"/>
                <w:sz w:val="14"/>
              </w:rPr>
              <w:t> </w:t>
            </w:r>
            <w:r>
              <w:rPr>
                <w:color w:val="231F20"/>
                <w:sz w:val="14"/>
              </w:rPr>
              <w:t>Évitez-vous</w:t>
            </w:r>
            <w:r>
              <w:rPr>
                <w:color w:val="231F20"/>
                <w:spacing w:val="-4"/>
                <w:sz w:val="14"/>
              </w:rPr>
              <w:t> </w:t>
            </w:r>
            <w:r>
              <w:rPr>
                <w:color w:val="231F20"/>
                <w:sz w:val="14"/>
              </w:rPr>
              <w:t>souvent</w:t>
            </w:r>
            <w:r>
              <w:rPr>
                <w:color w:val="231F20"/>
                <w:spacing w:val="-4"/>
                <w:sz w:val="14"/>
              </w:rPr>
              <w:t> </w:t>
            </w:r>
            <w:r>
              <w:rPr>
                <w:color w:val="231F20"/>
                <w:sz w:val="14"/>
              </w:rPr>
              <w:t>certaines</w:t>
            </w:r>
            <w:r>
              <w:rPr>
                <w:color w:val="231F20"/>
                <w:spacing w:val="-4"/>
                <w:sz w:val="14"/>
              </w:rPr>
              <w:t> </w:t>
            </w:r>
            <w:r>
              <w:rPr>
                <w:color w:val="231F20"/>
                <w:sz w:val="14"/>
              </w:rPr>
              <w:t>personnes</w:t>
            </w:r>
            <w:r>
              <w:rPr>
                <w:color w:val="231F20"/>
                <w:spacing w:val="-4"/>
                <w:sz w:val="14"/>
              </w:rPr>
              <w:t> </w:t>
            </w:r>
            <w:r>
              <w:rPr>
                <w:color w:val="231F20"/>
                <w:sz w:val="14"/>
              </w:rPr>
              <w:t>ou</w:t>
            </w:r>
            <w:r>
              <w:rPr>
                <w:color w:val="231F20"/>
                <w:spacing w:val="-4"/>
                <w:sz w:val="14"/>
              </w:rPr>
              <w:t> </w:t>
            </w:r>
            <w:r>
              <w:rPr>
                <w:color w:val="231F20"/>
                <w:sz w:val="14"/>
              </w:rPr>
              <w:t>situations</w:t>
            </w:r>
            <w:r>
              <w:rPr>
                <w:color w:val="231F20"/>
                <w:spacing w:val="-4"/>
                <w:sz w:val="14"/>
              </w:rPr>
              <w:t> </w:t>
            </w:r>
            <w:r>
              <w:rPr>
                <w:color w:val="231F20"/>
                <w:sz w:val="14"/>
              </w:rPr>
              <w:t>par</w:t>
            </w:r>
            <w:r>
              <w:rPr>
                <w:color w:val="231F20"/>
                <w:spacing w:val="-4"/>
                <w:sz w:val="14"/>
              </w:rPr>
              <w:t> </w:t>
            </w:r>
            <w:r>
              <w:rPr>
                <w:color w:val="231F20"/>
                <w:sz w:val="14"/>
              </w:rPr>
              <w:t>crainte</w:t>
            </w:r>
            <w:r>
              <w:rPr>
                <w:color w:val="231F20"/>
                <w:spacing w:val="40"/>
                <w:sz w:val="14"/>
              </w:rPr>
              <w:t> </w:t>
            </w:r>
            <w:r>
              <w:rPr>
                <w:color w:val="231F20"/>
                <w:sz w:val="14"/>
              </w:rPr>
              <w:t>de l’embarras</w:t>
            </w:r>
            <w:r>
              <w:rPr>
                <w:color w:val="231F20"/>
                <w:spacing w:val="-24"/>
                <w:sz w:val="14"/>
              </w:rPr>
              <w:t>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sz w:val="14"/>
              </w:rPr>
              <w:t>4.</w:t>
            </w:r>
            <w:r>
              <w:rPr>
                <w:b/>
                <w:color w:val="231F20"/>
                <w:spacing w:val="47"/>
                <w:sz w:val="14"/>
              </w:rPr>
              <w:t>  </w:t>
            </w:r>
            <w:r>
              <w:rPr>
                <w:color w:val="231F20"/>
                <w:sz w:val="14"/>
              </w:rPr>
              <w:t>Avez-vous</w:t>
            </w:r>
            <w:r>
              <w:rPr>
                <w:color w:val="231F20"/>
                <w:spacing w:val="-1"/>
                <w:sz w:val="14"/>
              </w:rPr>
              <w:t> </w:t>
            </w:r>
            <w:r>
              <w:rPr>
                <w:color w:val="231F20"/>
                <w:sz w:val="14"/>
              </w:rPr>
              <w:t>généralement</w:t>
            </w:r>
            <w:r>
              <w:rPr>
                <w:color w:val="231F20"/>
                <w:spacing w:val="-1"/>
                <w:sz w:val="14"/>
              </w:rPr>
              <w:t> </w:t>
            </w:r>
            <w:r>
              <w:rPr>
                <w:color w:val="231F20"/>
                <w:sz w:val="14"/>
              </w:rPr>
              <w:t>confiance</w:t>
            </w:r>
            <w:r>
              <w:rPr>
                <w:color w:val="231F20"/>
                <w:spacing w:val="-1"/>
                <w:sz w:val="14"/>
              </w:rPr>
              <w:t> </w:t>
            </w:r>
            <w:r>
              <w:rPr>
                <w:color w:val="231F20"/>
                <w:sz w:val="14"/>
              </w:rPr>
              <w:t>en</w:t>
            </w:r>
            <w:r>
              <w:rPr>
                <w:color w:val="231F20"/>
                <w:spacing w:val="-1"/>
                <w:sz w:val="14"/>
              </w:rPr>
              <w:t> </w:t>
            </w:r>
            <w:r>
              <w:rPr>
                <w:color w:val="231F20"/>
                <w:sz w:val="14"/>
              </w:rPr>
              <w:t>votre</w:t>
            </w:r>
            <w:r>
              <w:rPr>
                <w:color w:val="231F20"/>
                <w:spacing w:val="-1"/>
                <w:sz w:val="14"/>
              </w:rPr>
              <w:t> </w:t>
            </w:r>
            <w:r>
              <w:rPr>
                <w:color w:val="231F20"/>
                <w:sz w:val="14"/>
              </w:rPr>
              <w:t>propre</w:t>
            </w:r>
            <w:r>
              <w:rPr>
                <w:color w:val="231F20"/>
                <w:spacing w:val="-1"/>
                <w:sz w:val="14"/>
              </w:rPr>
              <w:t> </w:t>
            </w:r>
            <w:r>
              <w:rPr>
                <w:color w:val="231F20"/>
                <w:spacing w:val="-2"/>
                <w:sz w:val="14"/>
              </w:rPr>
              <w:t>jugement?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2"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24" w:hanging="290"/>
              <w:rPr>
                <w:sz w:val="14"/>
              </w:rPr>
            </w:pPr>
            <w:r>
              <w:rPr>
                <w:b/>
                <w:color w:val="231F20"/>
                <w:sz w:val="14"/>
              </w:rPr>
              <w:t>5.</w:t>
            </w:r>
            <w:r>
              <w:rPr>
                <w:b/>
                <w:color w:val="231F20"/>
                <w:spacing w:val="80"/>
                <w:w w:val="150"/>
                <w:sz w:val="14"/>
              </w:rPr>
              <w:t> </w:t>
            </w:r>
            <w:r>
              <w:rPr>
                <w:color w:val="231F20"/>
                <w:sz w:val="14"/>
              </w:rPr>
              <w:t>Insistez-vous</w:t>
            </w:r>
            <w:r>
              <w:rPr>
                <w:color w:val="231F20"/>
                <w:spacing w:val="-1"/>
                <w:sz w:val="14"/>
              </w:rPr>
              <w:t> </w:t>
            </w:r>
            <w:r>
              <w:rPr>
                <w:color w:val="231F20"/>
                <w:sz w:val="14"/>
              </w:rPr>
              <w:t>pour</w:t>
            </w:r>
            <w:r>
              <w:rPr>
                <w:color w:val="231F20"/>
                <w:spacing w:val="-1"/>
                <w:sz w:val="14"/>
              </w:rPr>
              <w:t> </w:t>
            </w:r>
            <w:r>
              <w:rPr>
                <w:color w:val="231F20"/>
                <w:sz w:val="14"/>
              </w:rPr>
              <w:t>que</w:t>
            </w:r>
            <w:r>
              <w:rPr>
                <w:color w:val="231F20"/>
                <w:spacing w:val="-1"/>
                <w:sz w:val="14"/>
              </w:rPr>
              <w:t> </w:t>
            </w:r>
            <w:r>
              <w:rPr>
                <w:color w:val="231F20"/>
                <w:sz w:val="14"/>
              </w:rPr>
              <w:t>votre</w:t>
            </w:r>
            <w:r>
              <w:rPr>
                <w:color w:val="231F20"/>
                <w:spacing w:val="-1"/>
                <w:sz w:val="14"/>
              </w:rPr>
              <w:t> </w:t>
            </w:r>
            <w:r>
              <w:rPr>
                <w:color w:val="231F20"/>
                <w:sz w:val="14"/>
              </w:rPr>
              <w:t>conjoint</w:t>
            </w:r>
            <w:r>
              <w:rPr>
                <w:color w:val="231F20"/>
                <w:spacing w:val="-1"/>
                <w:sz w:val="14"/>
              </w:rPr>
              <w:t> </w:t>
            </w:r>
            <w:r>
              <w:rPr>
                <w:color w:val="231F20"/>
                <w:sz w:val="14"/>
              </w:rPr>
              <w:t>ou</w:t>
            </w:r>
            <w:r>
              <w:rPr>
                <w:color w:val="231F20"/>
                <w:spacing w:val="-1"/>
                <w:sz w:val="14"/>
              </w:rPr>
              <w:t> </w:t>
            </w:r>
            <w:r>
              <w:rPr>
                <w:color w:val="231F20"/>
                <w:sz w:val="14"/>
              </w:rPr>
              <w:t>colocataire</w:t>
            </w:r>
            <w:r>
              <w:rPr>
                <w:color w:val="231F20"/>
                <w:spacing w:val="-1"/>
                <w:sz w:val="14"/>
              </w:rPr>
              <w:t> </w:t>
            </w:r>
            <w:r>
              <w:rPr>
                <w:color w:val="231F20"/>
                <w:sz w:val="14"/>
              </w:rPr>
              <w:t>assume</w:t>
            </w:r>
            <w:r>
              <w:rPr>
                <w:color w:val="231F20"/>
                <w:spacing w:val="-1"/>
                <w:sz w:val="14"/>
              </w:rPr>
              <w:t> </w:t>
            </w:r>
            <w:r>
              <w:rPr>
                <w:color w:val="231F20"/>
                <w:sz w:val="14"/>
              </w:rPr>
              <w:t>une</w:t>
            </w:r>
            <w:r>
              <w:rPr>
                <w:color w:val="231F20"/>
                <w:spacing w:val="-1"/>
                <w:sz w:val="14"/>
              </w:rPr>
              <w:t> </w:t>
            </w:r>
            <w:r>
              <w:rPr>
                <w:color w:val="231F20"/>
                <w:sz w:val="14"/>
              </w:rPr>
              <w:t>juste</w:t>
            </w:r>
            <w:r>
              <w:rPr>
                <w:color w:val="231F20"/>
                <w:spacing w:val="-1"/>
                <w:sz w:val="14"/>
              </w:rPr>
              <w:t> </w:t>
            </w:r>
            <w:r>
              <w:rPr>
                <w:color w:val="231F20"/>
                <w:sz w:val="14"/>
              </w:rPr>
              <w:t>part</w:t>
            </w:r>
            <w:r>
              <w:rPr>
                <w:color w:val="231F20"/>
                <w:spacing w:val="40"/>
                <w:sz w:val="14"/>
              </w:rPr>
              <w:t> </w:t>
            </w:r>
            <w:r>
              <w:rPr>
                <w:color w:val="231F20"/>
                <w:sz w:val="14"/>
              </w:rPr>
              <w:t>des tâches ménagères</w:t>
            </w:r>
            <w:r>
              <w:rPr>
                <w:color w:val="231F20"/>
                <w:spacing w:val="-20"/>
                <w:sz w:val="14"/>
              </w:rPr>
              <w:t>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sz w:val="14"/>
              </w:rPr>
              <w:t>6.</w:t>
            </w:r>
            <w:r>
              <w:rPr>
                <w:b/>
                <w:color w:val="231F20"/>
                <w:spacing w:val="38"/>
                <w:sz w:val="14"/>
              </w:rPr>
              <w:t>  </w:t>
            </w:r>
            <w:r>
              <w:rPr>
                <w:color w:val="231F20"/>
                <w:sz w:val="14"/>
              </w:rPr>
              <w:t>Avez-vous</w:t>
            </w:r>
            <w:r>
              <w:rPr>
                <w:color w:val="231F20"/>
                <w:spacing w:val="-5"/>
                <w:sz w:val="14"/>
              </w:rPr>
              <w:t> </w:t>
            </w:r>
            <w:r>
              <w:rPr>
                <w:color w:val="231F20"/>
                <w:sz w:val="14"/>
              </w:rPr>
              <w:t>du</w:t>
            </w:r>
            <w:r>
              <w:rPr>
                <w:color w:val="231F20"/>
                <w:spacing w:val="-5"/>
                <w:sz w:val="14"/>
              </w:rPr>
              <w:t> </w:t>
            </w:r>
            <w:r>
              <w:rPr>
                <w:color w:val="231F20"/>
                <w:sz w:val="14"/>
              </w:rPr>
              <w:t>mal</w:t>
            </w:r>
            <w:r>
              <w:rPr>
                <w:color w:val="231F20"/>
                <w:spacing w:val="-5"/>
                <w:sz w:val="14"/>
              </w:rPr>
              <w:t> </w:t>
            </w:r>
            <w:r>
              <w:rPr>
                <w:color w:val="231F20"/>
                <w:sz w:val="14"/>
              </w:rPr>
              <w:t>à</w:t>
            </w:r>
            <w:r>
              <w:rPr>
                <w:color w:val="231F20"/>
                <w:spacing w:val="-5"/>
                <w:sz w:val="14"/>
              </w:rPr>
              <w:t> </w:t>
            </w:r>
            <w:r>
              <w:rPr>
                <w:color w:val="231F20"/>
                <w:sz w:val="14"/>
              </w:rPr>
              <w:t>dire</w:t>
            </w:r>
            <w:r>
              <w:rPr>
                <w:color w:val="231F20"/>
                <w:spacing w:val="-5"/>
                <w:sz w:val="14"/>
              </w:rPr>
              <w:t> </w:t>
            </w:r>
            <w:r>
              <w:rPr>
                <w:color w:val="231F20"/>
                <w:sz w:val="14"/>
              </w:rPr>
              <w:t>non</w:t>
            </w:r>
            <w:r>
              <w:rPr>
                <w:color w:val="231F20"/>
                <w:spacing w:val="-5"/>
                <w:sz w:val="14"/>
              </w:rPr>
              <w:t> </w:t>
            </w:r>
            <w:r>
              <w:rPr>
                <w:color w:val="231F20"/>
                <w:sz w:val="14"/>
              </w:rPr>
              <w:t>à</w:t>
            </w:r>
            <w:r>
              <w:rPr>
                <w:color w:val="231F20"/>
                <w:spacing w:val="-5"/>
                <w:sz w:val="14"/>
              </w:rPr>
              <w:t> </w:t>
            </w:r>
            <w:r>
              <w:rPr>
                <w:color w:val="231F20"/>
                <w:sz w:val="14"/>
              </w:rPr>
              <w:t>un</w:t>
            </w:r>
            <w:r>
              <w:rPr>
                <w:color w:val="231F20"/>
                <w:spacing w:val="-5"/>
                <w:sz w:val="14"/>
              </w:rPr>
              <w:t> </w:t>
            </w:r>
            <w:r>
              <w:rPr>
                <w:color w:val="231F20"/>
                <w:sz w:val="14"/>
              </w:rPr>
              <w:t>vendeur</w:t>
            </w:r>
            <w:r>
              <w:rPr>
                <w:color w:val="231F20"/>
                <w:spacing w:val="-5"/>
                <w:sz w:val="14"/>
              </w:rPr>
              <w:t> </w:t>
            </w:r>
            <w:r>
              <w:rPr>
                <w:color w:val="231F20"/>
                <w:sz w:val="14"/>
              </w:rPr>
              <w:t>ou</w:t>
            </w:r>
            <w:r>
              <w:rPr>
                <w:color w:val="231F20"/>
                <w:spacing w:val="-5"/>
                <w:sz w:val="14"/>
              </w:rPr>
              <w:t> </w:t>
            </w:r>
            <w:r>
              <w:rPr>
                <w:color w:val="231F20"/>
                <w:sz w:val="14"/>
              </w:rPr>
              <w:t>une</w:t>
            </w:r>
            <w:r>
              <w:rPr>
                <w:color w:val="231F20"/>
                <w:spacing w:val="-4"/>
                <w:sz w:val="14"/>
              </w:rPr>
              <w:t> </w:t>
            </w:r>
            <w:r>
              <w:rPr>
                <w:color w:val="231F20"/>
                <w:sz w:val="14"/>
              </w:rPr>
              <w:t>vendeuse</w:t>
            </w:r>
            <w:r>
              <w:rPr>
                <w:color w:val="231F20"/>
                <w:spacing w:val="-26"/>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2"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24" w:hanging="290"/>
              <w:rPr>
                <w:sz w:val="14"/>
              </w:rPr>
            </w:pPr>
            <w:r>
              <w:rPr>
                <w:b/>
                <w:color w:val="231F20"/>
                <w:sz w:val="14"/>
              </w:rPr>
              <w:t>7.</w:t>
            </w:r>
            <w:r>
              <w:rPr>
                <w:b/>
                <w:color w:val="231F20"/>
                <w:spacing w:val="80"/>
                <w:w w:val="150"/>
                <w:sz w:val="14"/>
              </w:rPr>
              <w:t> </w:t>
            </w:r>
            <w:r>
              <w:rPr>
                <w:color w:val="231F20"/>
                <w:sz w:val="14"/>
              </w:rPr>
              <w:t>Éprouvez-vous</w:t>
            </w:r>
            <w:r>
              <w:rPr>
                <w:color w:val="231F20"/>
                <w:spacing w:val="-6"/>
                <w:sz w:val="14"/>
              </w:rPr>
              <w:t> </w:t>
            </w:r>
            <w:r>
              <w:rPr>
                <w:color w:val="231F20"/>
                <w:sz w:val="14"/>
              </w:rPr>
              <w:t>de</w:t>
            </w:r>
            <w:r>
              <w:rPr>
                <w:color w:val="231F20"/>
                <w:spacing w:val="-6"/>
                <w:sz w:val="14"/>
              </w:rPr>
              <w:t> </w:t>
            </w:r>
            <w:r>
              <w:rPr>
                <w:color w:val="231F20"/>
                <w:sz w:val="14"/>
              </w:rPr>
              <w:t>la</w:t>
            </w:r>
            <w:r>
              <w:rPr>
                <w:color w:val="231F20"/>
                <w:spacing w:val="-6"/>
                <w:sz w:val="14"/>
              </w:rPr>
              <w:t> </w:t>
            </w:r>
            <w:r>
              <w:rPr>
                <w:color w:val="231F20"/>
                <w:sz w:val="14"/>
              </w:rPr>
              <w:t>réticence</w:t>
            </w:r>
            <w:r>
              <w:rPr>
                <w:color w:val="231F20"/>
                <w:spacing w:val="-6"/>
                <w:sz w:val="14"/>
              </w:rPr>
              <w:t> </w:t>
            </w:r>
            <w:r>
              <w:rPr>
                <w:color w:val="231F20"/>
                <w:sz w:val="14"/>
              </w:rPr>
              <w:t>à</w:t>
            </w:r>
            <w:r>
              <w:rPr>
                <w:color w:val="231F20"/>
                <w:spacing w:val="-6"/>
                <w:sz w:val="14"/>
              </w:rPr>
              <w:t> </w:t>
            </w:r>
            <w:r>
              <w:rPr>
                <w:color w:val="231F20"/>
                <w:sz w:val="14"/>
              </w:rPr>
              <w:t>prendre</w:t>
            </w:r>
            <w:r>
              <w:rPr>
                <w:color w:val="231F20"/>
                <w:spacing w:val="-6"/>
                <w:sz w:val="14"/>
              </w:rPr>
              <w:t> </w:t>
            </w:r>
            <w:r>
              <w:rPr>
                <w:color w:val="231F20"/>
                <w:sz w:val="14"/>
              </w:rPr>
              <w:t>la</w:t>
            </w:r>
            <w:r>
              <w:rPr>
                <w:color w:val="231F20"/>
                <w:spacing w:val="-6"/>
                <w:sz w:val="14"/>
              </w:rPr>
              <w:t> </w:t>
            </w:r>
            <w:r>
              <w:rPr>
                <w:color w:val="231F20"/>
                <w:sz w:val="14"/>
              </w:rPr>
              <w:t>parole</w:t>
            </w:r>
            <w:r>
              <w:rPr>
                <w:color w:val="231F20"/>
                <w:spacing w:val="-6"/>
                <w:sz w:val="14"/>
              </w:rPr>
              <w:t> </w:t>
            </w:r>
            <w:r>
              <w:rPr>
                <w:color w:val="231F20"/>
                <w:sz w:val="14"/>
              </w:rPr>
              <w:t>au</w:t>
            </w:r>
            <w:r>
              <w:rPr>
                <w:color w:val="231F20"/>
                <w:spacing w:val="-6"/>
                <w:sz w:val="14"/>
              </w:rPr>
              <w:t> </w:t>
            </w:r>
            <w:r>
              <w:rPr>
                <w:color w:val="231F20"/>
                <w:sz w:val="14"/>
              </w:rPr>
              <w:t>cours</w:t>
            </w:r>
            <w:r>
              <w:rPr>
                <w:color w:val="231F20"/>
                <w:spacing w:val="-6"/>
                <w:sz w:val="14"/>
              </w:rPr>
              <w:t> </w:t>
            </w:r>
            <w:r>
              <w:rPr>
                <w:color w:val="231F20"/>
                <w:sz w:val="14"/>
              </w:rPr>
              <w:t>d’une</w:t>
            </w:r>
            <w:r>
              <w:rPr>
                <w:color w:val="231F20"/>
                <w:spacing w:val="-6"/>
                <w:sz w:val="14"/>
              </w:rPr>
              <w:t> </w:t>
            </w:r>
            <w:r>
              <w:rPr>
                <w:color w:val="231F20"/>
                <w:sz w:val="14"/>
              </w:rPr>
              <w:t>discussion</w:t>
            </w:r>
            <w:r>
              <w:rPr>
                <w:color w:val="231F20"/>
                <w:spacing w:val="40"/>
                <w:sz w:val="14"/>
              </w:rPr>
              <w:t> </w:t>
            </w:r>
            <w:r>
              <w:rPr>
                <w:color w:val="231F20"/>
                <w:sz w:val="14"/>
              </w:rPr>
              <w:t>ou d’un débat?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185"/>
              <w:rPr>
                <w:sz w:val="14"/>
              </w:rPr>
            </w:pPr>
            <w:r>
              <w:rPr>
                <w:b/>
                <w:color w:val="231F20"/>
                <w:w w:val="105"/>
                <w:sz w:val="14"/>
              </w:rPr>
              <w:t>8.</w:t>
            </w:r>
            <w:r>
              <w:rPr>
                <w:b/>
                <w:color w:val="231F20"/>
                <w:spacing w:val="73"/>
                <w:w w:val="105"/>
                <w:sz w:val="14"/>
              </w:rPr>
              <w:t> </w:t>
            </w:r>
            <w:r>
              <w:rPr>
                <w:color w:val="231F20"/>
                <w:w w:val="105"/>
                <w:sz w:val="14"/>
              </w:rPr>
              <w:t>Le</w:t>
            </w:r>
            <w:r>
              <w:rPr>
                <w:color w:val="231F20"/>
                <w:spacing w:val="-10"/>
                <w:w w:val="105"/>
                <w:sz w:val="14"/>
              </w:rPr>
              <w:t> </w:t>
            </w:r>
            <w:r>
              <w:rPr>
                <w:color w:val="231F20"/>
                <w:w w:val="105"/>
                <w:sz w:val="14"/>
              </w:rPr>
              <w:t>fait</w:t>
            </w:r>
            <w:r>
              <w:rPr>
                <w:color w:val="231F20"/>
                <w:spacing w:val="-10"/>
                <w:w w:val="105"/>
                <w:sz w:val="14"/>
              </w:rPr>
              <w:t> </w:t>
            </w:r>
            <w:r>
              <w:rPr>
                <w:color w:val="231F20"/>
                <w:w w:val="105"/>
                <w:sz w:val="14"/>
              </w:rPr>
              <w:t>que</w:t>
            </w:r>
            <w:r>
              <w:rPr>
                <w:color w:val="231F20"/>
                <w:spacing w:val="-10"/>
                <w:w w:val="105"/>
                <w:sz w:val="14"/>
              </w:rPr>
              <w:t> </w:t>
            </w:r>
            <w:r>
              <w:rPr>
                <w:color w:val="231F20"/>
                <w:w w:val="105"/>
                <w:sz w:val="14"/>
              </w:rPr>
              <w:t>quelqu’un</w:t>
            </w:r>
            <w:r>
              <w:rPr>
                <w:color w:val="231F20"/>
                <w:spacing w:val="-11"/>
                <w:w w:val="105"/>
                <w:sz w:val="14"/>
              </w:rPr>
              <w:t> </w:t>
            </w:r>
            <w:r>
              <w:rPr>
                <w:color w:val="231F20"/>
                <w:w w:val="105"/>
                <w:sz w:val="14"/>
              </w:rPr>
              <w:t>vous</w:t>
            </w:r>
            <w:r>
              <w:rPr>
                <w:color w:val="231F20"/>
                <w:spacing w:val="-10"/>
                <w:w w:val="105"/>
                <w:sz w:val="14"/>
              </w:rPr>
              <w:t> </w:t>
            </w:r>
            <w:r>
              <w:rPr>
                <w:color w:val="231F20"/>
                <w:w w:val="105"/>
                <w:sz w:val="14"/>
              </w:rPr>
              <w:t>observe</w:t>
            </w:r>
            <w:r>
              <w:rPr>
                <w:color w:val="231F20"/>
                <w:spacing w:val="-10"/>
                <w:w w:val="105"/>
                <w:sz w:val="14"/>
              </w:rPr>
              <w:t> </w:t>
            </w:r>
            <w:r>
              <w:rPr>
                <w:color w:val="231F20"/>
                <w:w w:val="105"/>
                <w:sz w:val="14"/>
              </w:rPr>
              <w:t>vous</w:t>
            </w:r>
            <w:r>
              <w:rPr>
                <w:color w:val="231F20"/>
                <w:spacing w:val="-10"/>
                <w:w w:val="105"/>
                <w:sz w:val="14"/>
              </w:rPr>
              <w:t> </w:t>
            </w:r>
            <w:r>
              <w:rPr>
                <w:color w:val="231F20"/>
                <w:w w:val="105"/>
                <w:sz w:val="14"/>
              </w:rPr>
              <w:t>perturbe-t-</w:t>
            </w:r>
            <w:r>
              <w:rPr>
                <w:color w:val="231F20"/>
                <w:spacing w:val="-5"/>
                <w:w w:val="105"/>
                <w:sz w:val="14"/>
              </w:rPr>
              <w:t>il?</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5272" w:type="dxa"/>
            <w:tcBorders>
              <w:top w:val="single" w:sz="4" w:space="0" w:color="E2E3E4"/>
              <w:left w:val="nil"/>
              <w:bottom w:val="single" w:sz="4" w:space="0" w:color="E2E3E4"/>
              <w:right w:val="single" w:sz="4" w:space="0" w:color="FFFFFF"/>
            </w:tcBorders>
          </w:tcPr>
          <w:p>
            <w:pPr>
              <w:pStyle w:val="TableParagraph"/>
              <w:spacing w:line="268" w:lineRule="auto" w:before="55"/>
              <w:ind w:left="475" w:right="404" w:hanging="290"/>
              <w:rPr>
                <w:sz w:val="14"/>
              </w:rPr>
            </w:pPr>
            <w:r>
              <w:rPr>
                <w:b/>
                <w:color w:val="231F20"/>
                <w:sz w:val="14"/>
              </w:rPr>
              <w:t>9.</w:t>
            </w:r>
            <w:r>
              <w:rPr>
                <w:b/>
                <w:color w:val="231F20"/>
                <w:spacing w:val="40"/>
                <w:sz w:val="14"/>
              </w:rPr>
              <w:t>  </w:t>
            </w:r>
            <w:r>
              <w:rPr>
                <w:color w:val="231F20"/>
                <w:sz w:val="14"/>
              </w:rPr>
              <w:t>Trouvez-vous difficile de maintenir le contact visuel quand vous parlez</w:t>
            </w:r>
            <w:r>
              <w:rPr>
                <w:color w:val="231F20"/>
                <w:spacing w:val="40"/>
                <w:sz w:val="14"/>
              </w:rPr>
              <w:t> </w:t>
            </w:r>
            <w:r>
              <w:rPr>
                <w:color w:val="231F20"/>
                <w:sz w:val="14"/>
              </w:rPr>
              <w:t>à</w:t>
            </w:r>
            <w:r>
              <w:rPr>
                <w:color w:val="231F20"/>
                <w:spacing w:val="-10"/>
                <w:sz w:val="14"/>
              </w:rPr>
              <w:t> </w:t>
            </w:r>
            <w:r>
              <w:rPr>
                <w:color w:val="231F20"/>
                <w:sz w:val="14"/>
              </w:rPr>
              <w:t>quelqu’un?</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94"/>
              <w:rPr>
                <w:sz w:val="14"/>
              </w:rPr>
            </w:pPr>
            <w:r>
              <w:rPr>
                <w:b/>
                <w:color w:val="231F20"/>
                <w:sz w:val="14"/>
              </w:rPr>
              <w:t>10.</w:t>
            </w:r>
            <w:r>
              <w:rPr>
                <w:b/>
                <w:color w:val="231F20"/>
                <w:spacing w:val="45"/>
                <w:sz w:val="14"/>
              </w:rPr>
              <w:t>  </w:t>
            </w:r>
            <w:r>
              <w:rPr>
                <w:color w:val="231F20"/>
                <w:sz w:val="14"/>
              </w:rPr>
              <w:t>Retournez-vous</w:t>
            </w:r>
            <w:r>
              <w:rPr>
                <w:color w:val="231F20"/>
                <w:spacing w:val="-1"/>
                <w:sz w:val="14"/>
              </w:rPr>
              <w:t> </w:t>
            </w:r>
            <w:r>
              <w:rPr>
                <w:color w:val="231F20"/>
                <w:sz w:val="14"/>
              </w:rPr>
              <w:t>les</w:t>
            </w:r>
            <w:r>
              <w:rPr>
                <w:color w:val="231F20"/>
                <w:spacing w:val="-2"/>
                <w:sz w:val="14"/>
              </w:rPr>
              <w:t> </w:t>
            </w:r>
            <w:r>
              <w:rPr>
                <w:color w:val="231F20"/>
                <w:sz w:val="14"/>
              </w:rPr>
              <w:t>articles</w:t>
            </w:r>
            <w:r>
              <w:rPr>
                <w:color w:val="231F20"/>
                <w:spacing w:val="-1"/>
                <w:sz w:val="14"/>
              </w:rPr>
              <w:t> </w:t>
            </w:r>
            <w:r>
              <w:rPr>
                <w:color w:val="231F20"/>
                <w:sz w:val="14"/>
              </w:rPr>
              <w:t>défectueux</w:t>
            </w:r>
            <w:r>
              <w:rPr>
                <w:color w:val="231F20"/>
                <w:spacing w:val="-2"/>
                <w:sz w:val="14"/>
              </w:rPr>
              <w:t> </w:t>
            </w:r>
            <w:r>
              <w:rPr>
                <w:color w:val="231F20"/>
                <w:sz w:val="14"/>
              </w:rPr>
              <w:t>au</w:t>
            </w:r>
            <w:r>
              <w:rPr>
                <w:color w:val="231F20"/>
                <w:spacing w:val="-2"/>
                <w:sz w:val="14"/>
              </w:rPr>
              <w:t> </w:t>
            </w:r>
            <w:r>
              <w:rPr>
                <w:color w:val="231F20"/>
                <w:sz w:val="14"/>
              </w:rPr>
              <w:t>magasin</w:t>
            </w:r>
            <w:r>
              <w:rPr>
                <w:color w:val="231F20"/>
                <w:spacing w:val="-25"/>
                <w:sz w:val="14"/>
              </w:rPr>
              <w:t>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5272" w:type="dxa"/>
            <w:tcBorders>
              <w:top w:val="single" w:sz="4" w:space="0" w:color="E2E3E4"/>
              <w:left w:val="nil"/>
              <w:bottom w:val="single" w:sz="4" w:space="0" w:color="E2E3E4"/>
              <w:right w:val="single" w:sz="4" w:space="0" w:color="FFFFFF"/>
            </w:tcBorders>
          </w:tcPr>
          <w:p>
            <w:pPr>
              <w:pStyle w:val="TableParagraph"/>
              <w:spacing w:before="55"/>
              <w:ind w:left="94"/>
              <w:rPr>
                <w:sz w:val="14"/>
              </w:rPr>
            </w:pPr>
            <w:r>
              <w:rPr>
                <w:b/>
                <w:color w:val="231F20"/>
                <w:spacing w:val="-2"/>
                <w:w w:val="105"/>
                <w:sz w:val="14"/>
              </w:rPr>
              <w:t>11.</w:t>
            </w:r>
            <w:r>
              <w:rPr>
                <w:b/>
                <w:color w:val="231F20"/>
                <w:spacing w:val="40"/>
                <w:w w:val="105"/>
                <w:sz w:val="14"/>
              </w:rPr>
              <w:t>  </w:t>
            </w:r>
            <w:r>
              <w:rPr>
                <w:color w:val="231F20"/>
                <w:spacing w:val="-2"/>
                <w:w w:val="105"/>
                <w:sz w:val="14"/>
              </w:rPr>
              <w:t>Êtes-vous</w:t>
            </w:r>
            <w:r>
              <w:rPr>
                <w:color w:val="231F20"/>
                <w:spacing w:val="-6"/>
                <w:w w:val="105"/>
                <w:sz w:val="14"/>
              </w:rPr>
              <w:t> </w:t>
            </w:r>
            <w:r>
              <w:rPr>
                <w:color w:val="231F20"/>
                <w:spacing w:val="-2"/>
                <w:w w:val="105"/>
                <w:sz w:val="14"/>
              </w:rPr>
              <w:t>capable</w:t>
            </w:r>
            <w:r>
              <w:rPr>
                <w:color w:val="231F20"/>
                <w:spacing w:val="-5"/>
                <w:w w:val="105"/>
                <w:sz w:val="14"/>
              </w:rPr>
              <w:t> </w:t>
            </w:r>
            <w:r>
              <w:rPr>
                <w:color w:val="231F20"/>
                <w:spacing w:val="-2"/>
                <w:w w:val="105"/>
                <w:sz w:val="14"/>
              </w:rPr>
              <w:t>d’exprimer</w:t>
            </w:r>
            <w:r>
              <w:rPr>
                <w:color w:val="231F20"/>
                <w:spacing w:val="-6"/>
                <w:w w:val="105"/>
                <w:sz w:val="14"/>
              </w:rPr>
              <w:t> </w:t>
            </w:r>
            <w:r>
              <w:rPr>
                <w:color w:val="231F20"/>
                <w:spacing w:val="-2"/>
                <w:w w:val="105"/>
                <w:sz w:val="14"/>
              </w:rPr>
              <w:t>ouvertement</w:t>
            </w:r>
            <w:r>
              <w:rPr>
                <w:color w:val="231F20"/>
                <w:spacing w:val="-5"/>
                <w:w w:val="105"/>
                <w:sz w:val="14"/>
              </w:rPr>
              <w:t> </w:t>
            </w:r>
            <w:r>
              <w:rPr>
                <w:color w:val="231F20"/>
                <w:spacing w:val="-2"/>
                <w:w w:val="105"/>
                <w:sz w:val="14"/>
              </w:rPr>
              <w:t>votre</w:t>
            </w:r>
            <w:r>
              <w:rPr>
                <w:color w:val="231F20"/>
                <w:spacing w:val="-5"/>
                <w:w w:val="105"/>
                <w:sz w:val="14"/>
              </w:rPr>
              <w:t> </w:t>
            </w:r>
            <w:r>
              <w:rPr>
                <w:color w:val="231F20"/>
                <w:spacing w:val="-2"/>
                <w:w w:val="105"/>
                <w:sz w:val="14"/>
              </w:rPr>
              <w:t>amour</w:t>
            </w:r>
            <w:r>
              <w:rPr>
                <w:color w:val="231F20"/>
                <w:spacing w:val="-6"/>
                <w:w w:val="105"/>
                <w:sz w:val="14"/>
              </w:rPr>
              <w:t> </w:t>
            </w:r>
            <w:r>
              <w:rPr>
                <w:color w:val="231F20"/>
                <w:spacing w:val="-2"/>
                <w:w w:val="105"/>
                <w:sz w:val="14"/>
              </w:rPr>
              <w:t>et</w:t>
            </w:r>
            <w:r>
              <w:rPr>
                <w:color w:val="231F20"/>
                <w:spacing w:val="-5"/>
                <w:w w:val="105"/>
                <w:sz w:val="14"/>
              </w:rPr>
              <w:t> </w:t>
            </w:r>
            <w:r>
              <w:rPr>
                <w:color w:val="231F20"/>
                <w:spacing w:val="-2"/>
                <w:w w:val="105"/>
                <w:sz w:val="14"/>
              </w:rPr>
              <w:t>votre</w:t>
            </w:r>
            <w:r>
              <w:rPr>
                <w:color w:val="231F20"/>
                <w:spacing w:val="-5"/>
                <w:w w:val="105"/>
                <w:sz w:val="14"/>
              </w:rPr>
              <w:t> </w:t>
            </w:r>
            <w:r>
              <w:rPr>
                <w:color w:val="231F20"/>
                <w:spacing w:val="-2"/>
                <w:w w:val="105"/>
                <w:sz w:val="14"/>
              </w:rPr>
              <w:t>affection?</w:t>
            </w: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4" w:hRule="atLeast"/>
        </w:trPr>
        <w:tc>
          <w:tcPr>
            <w:tcW w:w="5272" w:type="dxa"/>
            <w:tcBorders>
              <w:top w:val="single" w:sz="4" w:space="0" w:color="E2E3E4"/>
              <w:left w:val="nil"/>
              <w:right w:val="single" w:sz="4" w:space="0" w:color="FFFFFF"/>
            </w:tcBorders>
          </w:tcPr>
          <w:p>
            <w:pPr>
              <w:pStyle w:val="TableParagraph"/>
              <w:spacing w:line="268" w:lineRule="auto" w:before="55"/>
              <w:ind w:left="475" w:right="355" w:hanging="381"/>
              <w:rPr>
                <w:sz w:val="14"/>
              </w:rPr>
            </w:pPr>
            <w:r>
              <w:rPr>
                <w:b/>
                <w:color w:val="231F20"/>
                <w:sz w:val="14"/>
              </w:rPr>
              <w:t>12.</w:t>
            </w:r>
            <w:r>
              <w:rPr>
                <w:b/>
                <w:color w:val="231F20"/>
                <w:spacing w:val="80"/>
                <w:w w:val="150"/>
                <w:sz w:val="14"/>
              </w:rPr>
              <w:t> </w:t>
            </w:r>
            <w:r>
              <w:rPr>
                <w:color w:val="231F20"/>
                <w:sz w:val="14"/>
              </w:rPr>
              <w:t>Êtes-vous</w:t>
            </w:r>
            <w:r>
              <w:rPr>
                <w:color w:val="231F20"/>
                <w:spacing w:val="-7"/>
                <w:sz w:val="14"/>
              </w:rPr>
              <w:t> </w:t>
            </w:r>
            <w:r>
              <w:rPr>
                <w:color w:val="231F20"/>
                <w:sz w:val="14"/>
              </w:rPr>
              <w:t>capable</w:t>
            </w:r>
            <w:r>
              <w:rPr>
                <w:color w:val="231F20"/>
                <w:spacing w:val="-7"/>
                <w:sz w:val="14"/>
              </w:rPr>
              <w:t> </w:t>
            </w:r>
            <w:r>
              <w:rPr>
                <w:color w:val="231F20"/>
                <w:sz w:val="14"/>
              </w:rPr>
              <w:t>d’accepter</w:t>
            </w:r>
            <w:r>
              <w:rPr>
                <w:color w:val="231F20"/>
                <w:spacing w:val="-7"/>
                <w:sz w:val="14"/>
              </w:rPr>
              <w:t> </w:t>
            </w:r>
            <w:r>
              <w:rPr>
                <w:color w:val="231F20"/>
                <w:sz w:val="14"/>
              </w:rPr>
              <w:t>des</w:t>
            </w:r>
            <w:r>
              <w:rPr>
                <w:color w:val="231F20"/>
                <w:spacing w:val="-7"/>
                <w:sz w:val="14"/>
              </w:rPr>
              <w:t> </w:t>
            </w:r>
            <w:r>
              <w:rPr>
                <w:color w:val="231F20"/>
                <w:sz w:val="14"/>
              </w:rPr>
              <w:t>demandes</w:t>
            </w:r>
            <w:r>
              <w:rPr>
                <w:color w:val="231F20"/>
                <w:spacing w:val="-7"/>
                <w:sz w:val="14"/>
              </w:rPr>
              <w:t> </w:t>
            </w:r>
            <w:r>
              <w:rPr>
                <w:color w:val="231F20"/>
                <w:sz w:val="14"/>
              </w:rPr>
              <w:t>déraisonnables</w:t>
            </w:r>
            <w:r>
              <w:rPr>
                <w:color w:val="231F20"/>
                <w:spacing w:val="-7"/>
                <w:sz w:val="14"/>
              </w:rPr>
              <w:t> </w:t>
            </w:r>
            <w:r>
              <w:rPr>
                <w:color w:val="231F20"/>
                <w:sz w:val="14"/>
              </w:rPr>
              <w:t>de</w:t>
            </w:r>
            <w:r>
              <w:rPr>
                <w:color w:val="231F20"/>
                <w:spacing w:val="-7"/>
                <w:sz w:val="14"/>
              </w:rPr>
              <w:t> </w:t>
            </w:r>
            <w:r>
              <w:rPr>
                <w:color w:val="231F20"/>
                <w:sz w:val="14"/>
              </w:rPr>
              <w:t>la</w:t>
            </w:r>
            <w:r>
              <w:rPr>
                <w:color w:val="231F20"/>
                <w:spacing w:val="-7"/>
                <w:sz w:val="14"/>
              </w:rPr>
              <w:t> </w:t>
            </w:r>
            <w:r>
              <w:rPr>
                <w:color w:val="231F20"/>
                <w:sz w:val="14"/>
              </w:rPr>
              <w:t>part</w:t>
            </w:r>
            <w:r>
              <w:rPr>
                <w:color w:val="231F20"/>
                <w:spacing w:val="40"/>
                <w:sz w:val="14"/>
              </w:rPr>
              <w:t> </w:t>
            </w:r>
            <w:r>
              <w:rPr>
                <w:color w:val="231F20"/>
                <w:sz w:val="14"/>
              </w:rPr>
              <w:t>de vos amis</w:t>
            </w:r>
            <w:r>
              <w:rPr>
                <w:color w:val="231F20"/>
                <w:spacing w:val="-20"/>
                <w:sz w:val="14"/>
              </w:rPr>
              <w:t> </w:t>
            </w:r>
            <w:r>
              <w:rPr>
                <w:color w:val="231F20"/>
                <w:sz w:val="14"/>
              </w:rPr>
              <w:t>?</w:t>
            </w:r>
          </w:p>
        </w:tc>
        <w:tc>
          <w:tcPr>
            <w:tcW w:w="480" w:type="dxa"/>
            <w:tcBorders>
              <w:top w:val="single" w:sz="4" w:space="0" w:color="FFFFFF"/>
              <w:left w:val="single" w:sz="4" w:space="0" w:color="FFFFFF"/>
              <w:right w:val="nil"/>
            </w:tcBorders>
            <w:shd w:val="clear" w:color="auto" w:fill="E2E3E4"/>
          </w:tcPr>
          <w:p>
            <w:pPr>
              <w:pStyle w:val="TableParagraph"/>
              <w:rPr>
                <w:rFonts w:ascii="Times New Roman"/>
                <w:sz w:val="14"/>
              </w:rPr>
            </w:pPr>
          </w:p>
        </w:tc>
      </w:tr>
    </w:tbl>
    <w:p>
      <w:pPr>
        <w:pStyle w:val="BodyText"/>
        <w:spacing w:before="3"/>
        <w:rPr>
          <w:sz w:val="29"/>
        </w:rPr>
      </w:pPr>
    </w:p>
    <w:p>
      <w:pPr>
        <w:pStyle w:val="Heading5"/>
        <w:ind w:left="1220"/>
      </w:pPr>
      <w:r>
        <w:rPr>
          <w:color w:val="231F20"/>
        </w:rPr>
        <w:t>Résultats</w:t>
      </w:r>
      <w:r>
        <w:rPr>
          <w:color w:val="231F20"/>
          <w:spacing w:val="-6"/>
        </w:rPr>
        <w:t> </w:t>
      </w:r>
      <w:r>
        <w:rPr>
          <w:color w:val="231F20"/>
        </w:rPr>
        <w:t>et</w:t>
      </w:r>
      <w:r>
        <w:rPr>
          <w:color w:val="231F20"/>
          <w:spacing w:val="-6"/>
        </w:rPr>
        <w:t> </w:t>
      </w:r>
      <w:r>
        <w:rPr>
          <w:color w:val="231F20"/>
          <w:spacing w:val="-2"/>
        </w:rPr>
        <w:t>interprétation</w:t>
      </w:r>
    </w:p>
    <w:p>
      <w:pPr>
        <w:pStyle w:val="ListParagraph"/>
        <w:numPr>
          <w:ilvl w:val="1"/>
          <w:numId w:val="88"/>
        </w:numPr>
        <w:tabs>
          <w:tab w:pos="1721" w:val="left" w:leader="none"/>
        </w:tabs>
        <w:spacing w:line="307" w:lineRule="auto" w:before="133" w:after="0"/>
        <w:ind w:left="1720" w:right="104" w:hanging="251"/>
        <w:jc w:val="both"/>
        <w:rPr>
          <w:sz w:val="17"/>
        </w:rPr>
      </w:pPr>
      <w:r>
        <w:rPr>
          <w:b/>
          <w:color w:val="231F20"/>
          <w:w w:val="115"/>
          <w:sz w:val="17"/>
        </w:rPr>
        <w:t>Calculez</w:t>
      </w:r>
      <w:r>
        <w:rPr>
          <w:b/>
          <w:color w:val="231F20"/>
          <w:spacing w:val="-12"/>
          <w:w w:val="115"/>
          <w:sz w:val="17"/>
        </w:rPr>
        <w:t> </w:t>
      </w:r>
      <w:r>
        <w:rPr>
          <w:b/>
          <w:color w:val="231F20"/>
          <w:w w:val="115"/>
          <w:sz w:val="17"/>
        </w:rPr>
        <w:t>le</w:t>
      </w:r>
      <w:r>
        <w:rPr>
          <w:b/>
          <w:color w:val="231F20"/>
          <w:spacing w:val="-12"/>
          <w:w w:val="115"/>
          <w:sz w:val="17"/>
        </w:rPr>
        <w:t> </w:t>
      </w:r>
      <w:r>
        <w:rPr>
          <w:b/>
          <w:color w:val="231F20"/>
          <w:w w:val="115"/>
          <w:sz w:val="17"/>
        </w:rPr>
        <w:t>score</w:t>
      </w:r>
      <w:r>
        <w:rPr>
          <w:b/>
          <w:color w:val="231F20"/>
          <w:spacing w:val="-12"/>
          <w:w w:val="115"/>
          <w:sz w:val="17"/>
        </w:rPr>
        <w:t> </w:t>
      </w:r>
      <w:r>
        <w:rPr>
          <w:b/>
          <w:color w:val="231F20"/>
          <w:w w:val="115"/>
          <w:sz w:val="17"/>
        </w:rPr>
        <w:t>total</w:t>
      </w:r>
      <w:r>
        <w:rPr>
          <w:b/>
          <w:color w:val="231F20"/>
          <w:spacing w:val="-12"/>
          <w:w w:val="115"/>
          <w:sz w:val="17"/>
        </w:rPr>
        <w:t> </w:t>
      </w:r>
      <w:r>
        <w:rPr>
          <w:b/>
          <w:color w:val="231F20"/>
          <w:w w:val="115"/>
          <w:sz w:val="17"/>
        </w:rPr>
        <w:t>de</w:t>
      </w:r>
      <w:r>
        <w:rPr>
          <w:b/>
          <w:color w:val="231F20"/>
          <w:spacing w:val="-12"/>
          <w:w w:val="115"/>
          <w:sz w:val="17"/>
        </w:rPr>
        <w:t> </w:t>
      </w:r>
      <w:r>
        <w:rPr>
          <w:b/>
          <w:color w:val="231F20"/>
          <w:w w:val="115"/>
          <w:sz w:val="17"/>
        </w:rPr>
        <w:t>vos</w:t>
      </w:r>
      <w:r>
        <w:rPr>
          <w:b/>
          <w:color w:val="231F20"/>
          <w:spacing w:val="-12"/>
          <w:w w:val="115"/>
          <w:sz w:val="17"/>
        </w:rPr>
        <w:t> </w:t>
      </w:r>
      <w:r>
        <w:rPr>
          <w:b/>
          <w:color w:val="231F20"/>
          <w:w w:val="115"/>
          <w:sz w:val="17"/>
        </w:rPr>
        <w:t>réponses</w:t>
      </w:r>
      <w:r>
        <w:rPr>
          <w:b/>
          <w:color w:val="231F20"/>
          <w:spacing w:val="-12"/>
          <w:w w:val="115"/>
          <w:sz w:val="17"/>
        </w:rPr>
        <w:t> </w:t>
      </w:r>
      <w:r>
        <w:rPr>
          <w:b/>
          <w:color w:val="231F20"/>
          <w:w w:val="115"/>
          <w:sz w:val="17"/>
        </w:rPr>
        <w:t>aux</w:t>
      </w:r>
      <w:r>
        <w:rPr>
          <w:b/>
          <w:color w:val="231F20"/>
          <w:spacing w:val="-12"/>
          <w:w w:val="115"/>
          <w:sz w:val="17"/>
        </w:rPr>
        <w:t> </w:t>
      </w:r>
      <w:r>
        <w:rPr>
          <w:b/>
          <w:color w:val="231F20"/>
          <w:w w:val="115"/>
          <w:sz w:val="17"/>
        </w:rPr>
        <w:t>questions</w:t>
      </w:r>
      <w:r>
        <w:rPr>
          <w:b/>
          <w:color w:val="231F20"/>
          <w:spacing w:val="-12"/>
          <w:w w:val="115"/>
          <w:sz w:val="17"/>
        </w:rPr>
        <w:t> </w:t>
      </w:r>
      <w:r>
        <w:rPr>
          <w:b/>
          <w:color w:val="231F20"/>
          <w:w w:val="115"/>
          <w:sz w:val="17"/>
        </w:rPr>
        <w:t>1,</w:t>
      </w:r>
      <w:r>
        <w:rPr>
          <w:b/>
          <w:color w:val="231F20"/>
          <w:spacing w:val="-12"/>
          <w:w w:val="115"/>
          <w:sz w:val="17"/>
        </w:rPr>
        <w:t> </w:t>
      </w:r>
      <w:r>
        <w:rPr>
          <w:b/>
          <w:color w:val="231F20"/>
          <w:w w:val="115"/>
          <w:sz w:val="17"/>
        </w:rPr>
        <w:t>2,</w:t>
      </w:r>
      <w:r>
        <w:rPr>
          <w:b/>
          <w:color w:val="231F20"/>
          <w:spacing w:val="-12"/>
          <w:w w:val="115"/>
          <w:sz w:val="17"/>
        </w:rPr>
        <w:t> </w:t>
      </w:r>
      <w:r>
        <w:rPr>
          <w:b/>
          <w:color w:val="231F20"/>
          <w:w w:val="115"/>
          <w:sz w:val="17"/>
        </w:rPr>
        <w:t>4,</w:t>
      </w:r>
      <w:r>
        <w:rPr>
          <w:b/>
          <w:color w:val="231F20"/>
          <w:spacing w:val="-12"/>
          <w:w w:val="115"/>
          <w:sz w:val="17"/>
        </w:rPr>
        <w:t> </w:t>
      </w:r>
      <w:r>
        <w:rPr>
          <w:b/>
          <w:color w:val="231F20"/>
          <w:w w:val="115"/>
          <w:sz w:val="17"/>
        </w:rPr>
        <w:t>5,</w:t>
      </w:r>
      <w:r>
        <w:rPr>
          <w:b/>
          <w:color w:val="231F20"/>
          <w:spacing w:val="-12"/>
          <w:w w:val="115"/>
          <w:sz w:val="17"/>
        </w:rPr>
        <w:t> </w:t>
      </w:r>
      <w:r>
        <w:rPr>
          <w:b/>
          <w:color w:val="231F20"/>
          <w:w w:val="115"/>
          <w:sz w:val="17"/>
        </w:rPr>
        <w:t>10 et</w:t>
      </w:r>
      <w:r>
        <w:rPr>
          <w:b/>
          <w:color w:val="231F20"/>
          <w:spacing w:val="-13"/>
          <w:w w:val="115"/>
          <w:sz w:val="17"/>
        </w:rPr>
        <w:t> </w:t>
      </w:r>
      <w:r>
        <w:rPr>
          <w:b/>
          <w:color w:val="231F20"/>
          <w:w w:val="115"/>
          <w:sz w:val="17"/>
        </w:rPr>
        <w:t>11</w:t>
      </w:r>
      <w:r>
        <w:rPr>
          <w:b/>
          <w:color w:val="231F20"/>
          <w:spacing w:val="-12"/>
          <w:w w:val="115"/>
          <w:sz w:val="17"/>
        </w:rPr>
        <w:t> </w:t>
      </w:r>
      <w:r>
        <w:rPr>
          <w:color w:val="231F20"/>
          <w:w w:val="115"/>
          <w:sz w:val="17"/>
        </w:rPr>
        <w:t>(vous</w:t>
      </w:r>
      <w:r>
        <w:rPr>
          <w:color w:val="231F20"/>
          <w:spacing w:val="-12"/>
          <w:w w:val="115"/>
          <w:sz w:val="17"/>
        </w:rPr>
        <w:t> </w:t>
      </w:r>
      <w:r>
        <w:rPr>
          <w:color w:val="231F20"/>
          <w:w w:val="115"/>
          <w:sz w:val="17"/>
        </w:rPr>
        <w:t>obtiendrez</w:t>
      </w:r>
      <w:r>
        <w:rPr>
          <w:color w:val="231F20"/>
          <w:spacing w:val="-12"/>
          <w:w w:val="115"/>
          <w:sz w:val="17"/>
        </w:rPr>
        <w:t> </w:t>
      </w:r>
      <w:r>
        <w:rPr>
          <w:color w:val="231F20"/>
          <w:w w:val="115"/>
          <w:sz w:val="17"/>
        </w:rPr>
        <w:t>un</w:t>
      </w:r>
      <w:r>
        <w:rPr>
          <w:color w:val="231F20"/>
          <w:spacing w:val="-13"/>
          <w:w w:val="115"/>
          <w:sz w:val="17"/>
        </w:rPr>
        <w:t> </w:t>
      </w:r>
      <w:r>
        <w:rPr>
          <w:color w:val="231F20"/>
          <w:w w:val="115"/>
          <w:sz w:val="17"/>
        </w:rPr>
        <w:t>score</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6</w:t>
      </w:r>
      <w:r>
        <w:rPr>
          <w:color w:val="231F20"/>
          <w:spacing w:val="-12"/>
          <w:w w:val="115"/>
          <w:sz w:val="17"/>
        </w:rPr>
        <w:t> </w:t>
      </w:r>
      <w:r>
        <w:rPr>
          <w:color w:val="231F20"/>
          <w:w w:val="115"/>
          <w:sz w:val="17"/>
        </w:rPr>
        <w:t>à</w:t>
      </w:r>
      <w:r>
        <w:rPr>
          <w:color w:val="231F20"/>
          <w:spacing w:val="-12"/>
          <w:w w:val="115"/>
          <w:sz w:val="17"/>
        </w:rPr>
        <w:t> </w:t>
      </w:r>
      <w:r>
        <w:rPr>
          <w:color w:val="231F20"/>
          <w:w w:val="115"/>
          <w:sz w:val="17"/>
        </w:rPr>
        <w:t>30).</w:t>
      </w:r>
      <w:r>
        <w:rPr>
          <w:color w:val="231F20"/>
          <w:spacing w:val="-13"/>
          <w:w w:val="115"/>
          <w:sz w:val="17"/>
        </w:rPr>
        <w:t> </w:t>
      </w:r>
      <w:r>
        <w:rPr>
          <w:color w:val="231F20"/>
          <w:w w:val="115"/>
          <w:sz w:val="17"/>
        </w:rPr>
        <w:t>Plus</w:t>
      </w:r>
      <w:r>
        <w:rPr>
          <w:color w:val="231F20"/>
          <w:spacing w:val="-12"/>
          <w:w w:val="115"/>
          <w:sz w:val="17"/>
        </w:rPr>
        <w:t> </w:t>
      </w:r>
      <w:r>
        <w:rPr>
          <w:color w:val="231F20"/>
          <w:w w:val="115"/>
          <w:sz w:val="17"/>
        </w:rPr>
        <w:t>votre</w:t>
      </w:r>
      <w:r>
        <w:rPr>
          <w:color w:val="231F20"/>
          <w:spacing w:val="-12"/>
          <w:w w:val="115"/>
          <w:sz w:val="17"/>
        </w:rPr>
        <w:t> </w:t>
      </w:r>
      <w:r>
        <w:rPr>
          <w:color w:val="231F20"/>
          <w:w w:val="115"/>
          <w:sz w:val="17"/>
        </w:rPr>
        <w:t>score</w:t>
      </w:r>
      <w:r>
        <w:rPr>
          <w:color w:val="231F20"/>
          <w:spacing w:val="-12"/>
          <w:w w:val="115"/>
          <w:sz w:val="17"/>
        </w:rPr>
        <w:t> </w:t>
      </w:r>
      <w:r>
        <w:rPr>
          <w:color w:val="231F20"/>
          <w:w w:val="115"/>
          <w:sz w:val="17"/>
        </w:rPr>
        <w:t>est</w:t>
      </w:r>
      <w:r>
        <w:rPr>
          <w:color w:val="231F20"/>
          <w:spacing w:val="-13"/>
          <w:w w:val="115"/>
          <w:sz w:val="17"/>
        </w:rPr>
        <w:t> </w:t>
      </w:r>
      <w:r>
        <w:rPr>
          <w:color w:val="231F20"/>
          <w:w w:val="115"/>
          <w:sz w:val="17"/>
        </w:rPr>
        <w:t>élevé, </w:t>
      </w:r>
      <w:r>
        <w:rPr>
          <w:color w:val="231F20"/>
          <w:spacing w:val="-2"/>
          <w:w w:val="120"/>
          <w:sz w:val="17"/>
        </w:rPr>
        <w:t>plus</w:t>
      </w:r>
      <w:r>
        <w:rPr>
          <w:color w:val="231F20"/>
          <w:spacing w:val="-13"/>
          <w:w w:val="120"/>
          <w:sz w:val="17"/>
        </w:rPr>
        <w:t> </w:t>
      </w:r>
      <w:r>
        <w:rPr>
          <w:color w:val="231F20"/>
          <w:spacing w:val="-2"/>
          <w:w w:val="120"/>
          <w:sz w:val="17"/>
        </w:rPr>
        <w:t>vous</w:t>
      </w:r>
      <w:r>
        <w:rPr>
          <w:color w:val="231F20"/>
          <w:spacing w:val="-11"/>
          <w:w w:val="120"/>
          <w:sz w:val="17"/>
        </w:rPr>
        <w:t> </w:t>
      </w:r>
      <w:r>
        <w:rPr>
          <w:color w:val="231F20"/>
          <w:spacing w:val="-2"/>
          <w:w w:val="120"/>
          <w:sz w:val="17"/>
        </w:rPr>
        <w:t>faites</w:t>
      </w:r>
      <w:r>
        <w:rPr>
          <w:color w:val="231F20"/>
          <w:spacing w:val="-11"/>
          <w:w w:val="120"/>
          <w:sz w:val="17"/>
        </w:rPr>
        <w:t> </w:t>
      </w:r>
      <w:r>
        <w:rPr>
          <w:color w:val="231F20"/>
          <w:spacing w:val="-2"/>
          <w:w w:val="120"/>
          <w:sz w:val="17"/>
        </w:rPr>
        <w:t>preuve</w:t>
      </w:r>
      <w:r>
        <w:rPr>
          <w:color w:val="231F20"/>
          <w:spacing w:val="-10"/>
          <w:w w:val="120"/>
          <w:sz w:val="17"/>
        </w:rPr>
        <w:t> </w:t>
      </w:r>
      <w:r>
        <w:rPr>
          <w:color w:val="231F20"/>
          <w:spacing w:val="-2"/>
          <w:w w:val="120"/>
          <w:sz w:val="17"/>
        </w:rPr>
        <w:t>d’assertivité.</w:t>
      </w:r>
      <w:r>
        <w:rPr>
          <w:color w:val="231F20"/>
          <w:spacing w:val="-11"/>
          <w:w w:val="120"/>
          <w:sz w:val="17"/>
        </w:rPr>
        <w:t> </w:t>
      </w:r>
      <w:r>
        <w:rPr>
          <w:color w:val="231F20"/>
          <w:spacing w:val="-2"/>
          <w:w w:val="120"/>
          <w:sz w:val="17"/>
        </w:rPr>
        <w:t>Inversement,</w:t>
      </w:r>
      <w:r>
        <w:rPr>
          <w:color w:val="231F20"/>
          <w:spacing w:val="-11"/>
          <w:w w:val="120"/>
          <w:sz w:val="17"/>
        </w:rPr>
        <w:t> </w:t>
      </w:r>
      <w:r>
        <w:rPr>
          <w:color w:val="231F20"/>
          <w:spacing w:val="-2"/>
          <w:w w:val="120"/>
          <w:sz w:val="17"/>
        </w:rPr>
        <w:t>plus</w:t>
      </w:r>
      <w:r>
        <w:rPr>
          <w:color w:val="231F20"/>
          <w:spacing w:val="-11"/>
          <w:w w:val="120"/>
          <w:sz w:val="17"/>
        </w:rPr>
        <w:t> </w:t>
      </w:r>
      <w:r>
        <w:rPr>
          <w:color w:val="231F20"/>
          <w:spacing w:val="-2"/>
          <w:w w:val="120"/>
          <w:sz w:val="17"/>
        </w:rPr>
        <w:t>votre</w:t>
      </w:r>
      <w:r>
        <w:rPr>
          <w:color w:val="231F20"/>
          <w:spacing w:val="-10"/>
          <w:w w:val="120"/>
          <w:sz w:val="17"/>
        </w:rPr>
        <w:t> </w:t>
      </w:r>
      <w:r>
        <w:rPr>
          <w:color w:val="231F20"/>
          <w:spacing w:val="-2"/>
          <w:w w:val="120"/>
          <w:sz w:val="17"/>
        </w:rPr>
        <w:t>score </w:t>
      </w:r>
      <w:r>
        <w:rPr>
          <w:color w:val="231F20"/>
          <w:w w:val="120"/>
          <w:sz w:val="17"/>
        </w:rPr>
        <w:t>est faible, moins vous manifestez d’assertivité dans votre style de</w:t>
      </w:r>
      <w:r>
        <w:rPr>
          <w:color w:val="231F20"/>
          <w:spacing w:val="-13"/>
          <w:w w:val="120"/>
          <w:sz w:val="17"/>
        </w:rPr>
        <w:t> </w:t>
      </w:r>
      <w:r>
        <w:rPr>
          <w:color w:val="231F20"/>
          <w:w w:val="120"/>
          <w:sz w:val="17"/>
        </w:rPr>
        <w:t>communication.</w:t>
      </w:r>
    </w:p>
    <w:p>
      <w:pPr>
        <w:spacing w:after="0" w:line="307" w:lineRule="auto"/>
        <w:jc w:val="both"/>
        <w:rPr>
          <w:sz w:val="17"/>
        </w:rPr>
        <w:sectPr>
          <w:footerReference w:type="default" r:id="rId30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1"/>
          <w:numId w:val="88"/>
        </w:numPr>
        <w:tabs>
          <w:tab w:pos="1331" w:val="left" w:leader="none"/>
        </w:tabs>
        <w:spacing w:line="307" w:lineRule="auto" w:before="116" w:after="0"/>
        <w:ind w:left="1330" w:right="494" w:hanging="251"/>
        <w:jc w:val="both"/>
        <w:rPr>
          <w:sz w:val="17"/>
        </w:rPr>
      </w:pPr>
      <w:r>
        <w:rPr>
          <w:b/>
          <w:color w:val="231F20"/>
          <w:w w:val="110"/>
          <w:sz w:val="17"/>
        </w:rPr>
        <w:t>Calculez</w:t>
      </w:r>
      <w:r>
        <w:rPr>
          <w:b/>
          <w:color w:val="231F20"/>
          <w:spacing w:val="-8"/>
          <w:w w:val="110"/>
          <w:sz w:val="17"/>
        </w:rPr>
        <w:t> </w:t>
      </w:r>
      <w:r>
        <w:rPr>
          <w:b/>
          <w:color w:val="231F20"/>
          <w:w w:val="110"/>
          <w:sz w:val="17"/>
        </w:rPr>
        <w:t>le</w:t>
      </w:r>
      <w:r>
        <w:rPr>
          <w:b/>
          <w:color w:val="231F20"/>
          <w:spacing w:val="-8"/>
          <w:w w:val="110"/>
          <w:sz w:val="17"/>
        </w:rPr>
        <w:t> </w:t>
      </w:r>
      <w:r>
        <w:rPr>
          <w:b/>
          <w:color w:val="231F20"/>
          <w:w w:val="110"/>
          <w:sz w:val="17"/>
        </w:rPr>
        <w:t>score</w:t>
      </w:r>
      <w:r>
        <w:rPr>
          <w:b/>
          <w:color w:val="231F20"/>
          <w:spacing w:val="-8"/>
          <w:w w:val="110"/>
          <w:sz w:val="17"/>
        </w:rPr>
        <w:t> </w:t>
      </w:r>
      <w:r>
        <w:rPr>
          <w:b/>
          <w:color w:val="231F20"/>
          <w:w w:val="110"/>
          <w:sz w:val="17"/>
        </w:rPr>
        <w:t>total</w:t>
      </w:r>
      <w:r>
        <w:rPr>
          <w:b/>
          <w:color w:val="231F20"/>
          <w:spacing w:val="-8"/>
          <w:w w:val="110"/>
          <w:sz w:val="17"/>
        </w:rPr>
        <w:t> </w:t>
      </w:r>
      <w:r>
        <w:rPr>
          <w:b/>
          <w:color w:val="231F20"/>
          <w:w w:val="110"/>
          <w:sz w:val="17"/>
        </w:rPr>
        <w:t>de</w:t>
      </w:r>
      <w:r>
        <w:rPr>
          <w:b/>
          <w:color w:val="231F20"/>
          <w:spacing w:val="-8"/>
          <w:w w:val="110"/>
          <w:sz w:val="17"/>
        </w:rPr>
        <w:t> </w:t>
      </w:r>
      <w:r>
        <w:rPr>
          <w:b/>
          <w:color w:val="231F20"/>
          <w:w w:val="110"/>
          <w:sz w:val="17"/>
        </w:rPr>
        <w:t>vos</w:t>
      </w:r>
      <w:r>
        <w:rPr>
          <w:b/>
          <w:color w:val="231F20"/>
          <w:spacing w:val="-8"/>
          <w:w w:val="110"/>
          <w:sz w:val="17"/>
        </w:rPr>
        <w:t> </w:t>
      </w:r>
      <w:r>
        <w:rPr>
          <w:b/>
          <w:color w:val="231F20"/>
          <w:w w:val="110"/>
          <w:sz w:val="17"/>
        </w:rPr>
        <w:t>réponses</w:t>
      </w:r>
      <w:r>
        <w:rPr>
          <w:b/>
          <w:color w:val="231F20"/>
          <w:spacing w:val="-8"/>
          <w:w w:val="110"/>
          <w:sz w:val="17"/>
        </w:rPr>
        <w:t> </w:t>
      </w:r>
      <w:r>
        <w:rPr>
          <w:b/>
          <w:color w:val="231F20"/>
          <w:w w:val="110"/>
          <w:sz w:val="17"/>
        </w:rPr>
        <w:t>aux</w:t>
      </w:r>
      <w:r>
        <w:rPr>
          <w:b/>
          <w:color w:val="231F20"/>
          <w:spacing w:val="-8"/>
          <w:w w:val="110"/>
          <w:sz w:val="17"/>
        </w:rPr>
        <w:t> </w:t>
      </w:r>
      <w:r>
        <w:rPr>
          <w:b/>
          <w:color w:val="231F20"/>
          <w:w w:val="110"/>
          <w:sz w:val="17"/>
        </w:rPr>
        <w:t>questions</w:t>
      </w:r>
      <w:r>
        <w:rPr>
          <w:b/>
          <w:color w:val="231F20"/>
          <w:spacing w:val="-8"/>
          <w:w w:val="110"/>
          <w:sz w:val="17"/>
        </w:rPr>
        <w:t> </w:t>
      </w:r>
      <w:r>
        <w:rPr>
          <w:b/>
          <w:color w:val="231F20"/>
          <w:w w:val="110"/>
          <w:sz w:val="17"/>
        </w:rPr>
        <w:t>3,</w:t>
      </w:r>
      <w:r>
        <w:rPr>
          <w:b/>
          <w:color w:val="231F20"/>
          <w:spacing w:val="-8"/>
          <w:w w:val="110"/>
          <w:sz w:val="17"/>
        </w:rPr>
        <w:t> </w:t>
      </w:r>
      <w:r>
        <w:rPr>
          <w:b/>
          <w:color w:val="231F20"/>
          <w:w w:val="110"/>
          <w:sz w:val="17"/>
        </w:rPr>
        <w:t>6,</w:t>
      </w:r>
      <w:r>
        <w:rPr>
          <w:b/>
          <w:color w:val="231F20"/>
          <w:spacing w:val="-8"/>
          <w:w w:val="110"/>
          <w:sz w:val="17"/>
        </w:rPr>
        <w:t> </w:t>
      </w:r>
      <w:r>
        <w:rPr>
          <w:b/>
          <w:color w:val="231F20"/>
          <w:w w:val="110"/>
          <w:sz w:val="17"/>
        </w:rPr>
        <w:t>7,</w:t>
      </w:r>
      <w:r>
        <w:rPr>
          <w:b/>
          <w:color w:val="231F20"/>
          <w:spacing w:val="-8"/>
          <w:w w:val="110"/>
          <w:sz w:val="17"/>
        </w:rPr>
        <w:t> </w:t>
      </w:r>
      <w:r>
        <w:rPr>
          <w:b/>
          <w:color w:val="231F20"/>
          <w:w w:val="110"/>
          <w:sz w:val="17"/>
        </w:rPr>
        <w:t>8,</w:t>
      </w:r>
      <w:r>
        <w:rPr>
          <w:b/>
          <w:color w:val="231F20"/>
          <w:spacing w:val="-8"/>
          <w:w w:val="110"/>
          <w:sz w:val="17"/>
        </w:rPr>
        <w:t> </w:t>
      </w:r>
      <w:r>
        <w:rPr>
          <w:b/>
          <w:color w:val="231F20"/>
          <w:w w:val="110"/>
          <w:sz w:val="17"/>
        </w:rPr>
        <w:t>9,</w:t>
      </w:r>
      <w:r>
        <w:rPr>
          <w:b/>
          <w:color w:val="231F20"/>
          <w:spacing w:val="-8"/>
          <w:w w:val="110"/>
          <w:sz w:val="17"/>
        </w:rPr>
        <w:t> </w:t>
      </w:r>
      <w:r>
        <w:rPr>
          <w:b/>
          <w:color w:val="231F20"/>
          <w:w w:val="110"/>
          <w:sz w:val="17"/>
        </w:rPr>
        <w:t>12 </w:t>
      </w:r>
      <w:r>
        <w:rPr>
          <w:color w:val="231F20"/>
          <w:w w:val="120"/>
          <w:sz w:val="17"/>
        </w:rPr>
        <w:t>(vous</w:t>
      </w:r>
      <w:r>
        <w:rPr>
          <w:color w:val="231F20"/>
          <w:spacing w:val="-6"/>
          <w:w w:val="120"/>
          <w:sz w:val="17"/>
        </w:rPr>
        <w:t> </w:t>
      </w:r>
      <w:r>
        <w:rPr>
          <w:color w:val="231F20"/>
          <w:w w:val="120"/>
          <w:sz w:val="17"/>
        </w:rPr>
        <w:t>obtiendrez</w:t>
      </w:r>
      <w:r>
        <w:rPr>
          <w:color w:val="231F20"/>
          <w:spacing w:val="-6"/>
          <w:w w:val="120"/>
          <w:sz w:val="17"/>
        </w:rPr>
        <w:t> </w:t>
      </w:r>
      <w:r>
        <w:rPr>
          <w:color w:val="231F20"/>
          <w:w w:val="120"/>
          <w:sz w:val="17"/>
        </w:rPr>
        <w:t>de</w:t>
      </w:r>
      <w:r>
        <w:rPr>
          <w:color w:val="231F20"/>
          <w:spacing w:val="-6"/>
          <w:w w:val="120"/>
          <w:sz w:val="17"/>
        </w:rPr>
        <w:t> </w:t>
      </w:r>
      <w:r>
        <w:rPr>
          <w:color w:val="231F20"/>
          <w:w w:val="120"/>
          <w:sz w:val="17"/>
        </w:rPr>
        <w:t>nouveau</w:t>
      </w:r>
      <w:r>
        <w:rPr>
          <w:color w:val="231F20"/>
          <w:spacing w:val="-6"/>
          <w:w w:val="120"/>
          <w:sz w:val="17"/>
        </w:rPr>
        <w:t> </w:t>
      </w:r>
      <w:r>
        <w:rPr>
          <w:color w:val="231F20"/>
          <w:w w:val="120"/>
          <w:sz w:val="17"/>
        </w:rPr>
        <w:t>un</w:t>
      </w:r>
      <w:r>
        <w:rPr>
          <w:color w:val="231F20"/>
          <w:spacing w:val="-6"/>
          <w:w w:val="120"/>
          <w:sz w:val="17"/>
        </w:rPr>
        <w:t> </w:t>
      </w:r>
      <w:r>
        <w:rPr>
          <w:color w:val="231F20"/>
          <w:w w:val="120"/>
          <w:sz w:val="17"/>
        </w:rPr>
        <w:t>score</w:t>
      </w:r>
      <w:r>
        <w:rPr>
          <w:color w:val="231F20"/>
          <w:spacing w:val="-6"/>
          <w:w w:val="120"/>
          <w:sz w:val="17"/>
        </w:rPr>
        <w:t> </w:t>
      </w:r>
      <w:r>
        <w:rPr>
          <w:color w:val="231F20"/>
          <w:w w:val="120"/>
          <w:sz w:val="17"/>
        </w:rPr>
        <w:t>de</w:t>
      </w:r>
      <w:r>
        <w:rPr>
          <w:color w:val="231F20"/>
          <w:spacing w:val="-6"/>
          <w:w w:val="120"/>
          <w:sz w:val="17"/>
        </w:rPr>
        <w:t> </w:t>
      </w:r>
      <w:r>
        <w:rPr>
          <w:color w:val="231F20"/>
          <w:w w:val="120"/>
          <w:sz w:val="17"/>
        </w:rPr>
        <w:t>6</w:t>
      </w:r>
      <w:r>
        <w:rPr>
          <w:color w:val="231F20"/>
          <w:spacing w:val="-6"/>
          <w:w w:val="120"/>
          <w:sz w:val="17"/>
        </w:rPr>
        <w:t> </w:t>
      </w:r>
      <w:r>
        <w:rPr>
          <w:color w:val="231F20"/>
          <w:w w:val="120"/>
          <w:sz w:val="17"/>
        </w:rPr>
        <w:t>à</w:t>
      </w:r>
      <w:r>
        <w:rPr>
          <w:color w:val="231F20"/>
          <w:spacing w:val="-6"/>
          <w:w w:val="120"/>
          <w:sz w:val="17"/>
        </w:rPr>
        <w:t> </w:t>
      </w:r>
      <w:r>
        <w:rPr>
          <w:color w:val="231F20"/>
          <w:w w:val="120"/>
          <w:sz w:val="17"/>
        </w:rPr>
        <w:t>30).</w:t>
      </w:r>
      <w:r>
        <w:rPr>
          <w:color w:val="231F20"/>
          <w:spacing w:val="-6"/>
          <w:w w:val="120"/>
          <w:sz w:val="17"/>
        </w:rPr>
        <w:t> </w:t>
      </w:r>
      <w:r>
        <w:rPr>
          <w:color w:val="231F20"/>
          <w:w w:val="120"/>
          <w:sz w:val="17"/>
        </w:rPr>
        <w:t>Cette</w:t>
      </w:r>
      <w:r>
        <w:rPr>
          <w:color w:val="231F20"/>
          <w:spacing w:val="-6"/>
          <w:w w:val="120"/>
          <w:sz w:val="17"/>
        </w:rPr>
        <w:t> </w:t>
      </w:r>
      <w:r>
        <w:rPr>
          <w:color w:val="231F20"/>
          <w:w w:val="120"/>
          <w:sz w:val="17"/>
        </w:rPr>
        <w:t>fois,</w:t>
      </w:r>
      <w:r>
        <w:rPr>
          <w:color w:val="231F20"/>
          <w:spacing w:val="-6"/>
          <w:w w:val="120"/>
          <w:sz w:val="17"/>
        </w:rPr>
        <w:t> </w:t>
      </w:r>
      <w:r>
        <w:rPr>
          <w:color w:val="231F20"/>
          <w:w w:val="120"/>
          <w:sz w:val="17"/>
        </w:rPr>
        <w:t>plus </w:t>
      </w:r>
      <w:r>
        <w:rPr>
          <w:color w:val="231F20"/>
          <w:spacing w:val="-2"/>
          <w:w w:val="120"/>
          <w:sz w:val="17"/>
        </w:rPr>
        <w:t>votre</w:t>
      </w:r>
      <w:r>
        <w:rPr>
          <w:color w:val="231F20"/>
          <w:spacing w:val="-9"/>
          <w:w w:val="120"/>
          <w:sz w:val="17"/>
        </w:rPr>
        <w:t> </w:t>
      </w:r>
      <w:r>
        <w:rPr>
          <w:color w:val="231F20"/>
          <w:spacing w:val="-2"/>
          <w:w w:val="120"/>
          <w:sz w:val="17"/>
        </w:rPr>
        <w:t>score</w:t>
      </w:r>
      <w:r>
        <w:rPr>
          <w:color w:val="231F20"/>
          <w:spacing w:val="-9"/>
          <w:w w:val="120"/>
          <w:sz w:val="17"/>
        </w:rPr>
        <w:t> </w:t>
      </w:r>
      <w:r>
        <w:rPr>
          <w:color w:val="231F20"/>
          <w:spacing w:val="-2"/>
          <w:w w:val="120"/>
          <w:sz w:val="17"/>
        </w:rPr>
        <w:t>est</w:t>
      </w:r>
      <w:r>
        <w:rPr>
          <w:color w:val="231F20"/>
          <w:spacing w:val="-9"/>
          <w:w w:val="120"/>
          <w:sz w:val="17"/>
        </w:rPr>
        <w:t> </w:t>
      </w:r>
      <w:r>
        <w:rPr>
          <w:color w:val="231F20"/>
          <w:spacing w:val="-2"/>
          <w:w w:val="120"/>
          <w:sz w:val="17"/>
        </w:rPr>
        <w:t>élevé,</w:t>
      </w:r>
      <w:r>
        <w:rPr>
          <w:color w:val="231F20"/>
          <w:spacing w:val="-9"/>
          <w:w w:val="120"/>
          <w:sz w:val="17"/>
        </w:rPr>
        <w:t> </w:t>
      </w:r>
      <w:r>
        <w:rPr>
          <w:color w:val="231F20"/>
          <w:spacing w:val="-2"/>
          <w:w w:val="120"/>
          <w:sz w:val="17"/>
        </w:rPr>
        <w:t>moins</w:t>
      </w:r>
      <w:r>
        <w:rPr>
          <w:color w:val="231F20"/>
          <w:spacing w:val="-9"/>
          <w:w w:val="120"/>
          <w:sz w:val="17"/>
        </w:rPr>
        <w:t> </w:t>
      </w:r>
      <w:r>
        <w:rPr>
          <w:color w:val="231F20"/>
          <w:spacing w:val="-2"/>
          <w:w w:val="120"/>
          <w:sz w:val="17"/>
        </w:rPr>
        <w:t>vous</w:t>
      </w:r>
      <w:r>
        <w:rPr>
          <w:color w:val="231F20"/>
          <w:spacing w:val="-9"/>
          <w:w w:val="120"/>
          <w:sz w:val="17"/>
        </w:rPr>
        <w:t> </w:t>
      </w:r>
      <w:r>
        <w:rPr>
          <w:color w:val="231F20"/>
          <w:spacing w:val="-2"/>
          <w:w w:val="120"/>
          <w:sz w:val="17"/>
        </w:rPr>
        <w:t>avez</w:t>
      </w:r>
      <w:r>
        <w:rPr>
          <w:color w:val="231F20"/>
          <w:spacing w:val="-9"/>
          <w:w w:val="120"/>
          <w:sz w:val="17"/>
        </w:rPr>
        <w:t> </w:t>
      </w:r>
      <w:r>
        <w:rPr>
          <w:color w:val="231F20"/>
          <w:spacing w:val="-2"/>
          <w:w w:val="120"/>
          <w:sz w:val="17"/>
        </w:rPr>
        <w:t>d’aptitude</w:t>
      </w:r>
      <w:r>
        <w:rPr>
          <w:color w:val="231F20"/>
          <w:spacing w:val="-9"/>
          <w:w w:val="120"/>
          <w:sz w:val="17"/>
        </w:rPr>
        <w:t> </w:t>
      </w:r>
      <w:r>
        <w:rPr>
          <w:color w:val="231F20"/>
          <w:spacing w:val="-2"/>
          <w:w w:val="120"/>
          <w:sz w:val="17"/>
        </w:rPr>
        <w:t>à</w:t>
      </w:r>
      <w:r>
        <w:rPr>
          <w:color w:val="231F20"/>
          <w:spacing w:val="-9"/>
          <w:w w:val="120"/>
          <w:sz w:val="17"/>
        </w:rPr>
        <w:t> </w:t>
      </w:r>
      <w:r>
        <w:rPr>
          <w:color w:val="231F20"/>
          <w:spacing w:val="-2"/>
          <w:w w:val="120"/>
          <w:sz w:val="17"/>
        </w:rPr>
        <w:t>la</w:t>
      </w:r>
      <w:r>
        <w:rPr>
          <w:color w:val="231F20"/>
          <w:spacing w:val="-9"/>
          <w:w w:val="120"/>
          <w:sz w:val="17"/>
        </w:rPr>
        <w:t> </w:t>
      </w:r>
      <w:r>
        <w:rPr>
          <w:color w:val="231F20"/>
          <w:spacing w:val="-2"/>
          <w:w w:val="120"/>
          <w:sz w:val="17"/>
        </w:rPr>
        <w:t>communica- </w:t>
      </w:r>
      <w:r>
        <w:rPr>
          <w:color w:val="231F20"/>
          <w:w w:val="120"/>
          <w:sz w:val="17"/>
        </w:rPr>
        <w:t>tion</w:t>
      </w:r>
      <w:r>
        <w:rPr>
          <w:color w:val="231F20"/>
          <w:spacing w:val="-5"/>
          <w:w w:val="120"/>
          <w:sz w:val="17"/>
        </w:rPr>
        <w:t> </w:t>
      </w:r>
      <w:r>
        <w:rPr>
          <w:color w:val="231F20"/>
          <w:w w:val="120"/>
          <w:sz w:val="17"/>
        </w:rPr>
        <w:t>assertive.</w:t>
      </w:r>
      <w:r>
        <w:rPr>
          <w:color w:val="231F20"/>
          <w:spacing w:val="-5"/>
          <w:w w:val="120"/>
          <w:sz w:val="17"/>
        </w:rPr>
        <w:t> </w:t>
      </w:r>
      <w:r>
        <w:rPr>
          <w:color w:val="231F20"/>
          <w:w w:val="120"/>
          <w:sz w:val="17"/>
        </w:rPr>
        <w:t>Inversement,</w:t>
      </w:r>
      <w:r>
        <w:rPr>
          <w:color w:val="231F20"/>
          <w:spacing w:val="-5"/>
          <w:w w:val="120"/>
          <w:sz w:val="17"/>
        </w:rPr>
        <w:t> </w:t>
      </w:r>
      <w:r>
        <w:rPr>
          <w:color w:val="231F20"/>
          <w:w w:val="120"/>
          <w:sz w:val="17"/>
        </w:rPr>
        <w:t>plus</w:t>
      </w:r>
      <w:r>
        <w:rPr>
          <w:color w:val="231F20"/>
          <w:spacing w:val="-5"/>
          <w:w w:val="120"/>
          <w:sz w:val="17"/>
        </w:rPr>
        <w:t> </w:t>
      </w:r>
      <w:r>
        <w:rPr>
          <w:color w:val="231F20"/>
          <w:w w:val="120"/>
          <w:sz w:val="17"/>
        </w:rPr>
        <w:t>votre</w:t>
      </w:r>
      <w:r>
        <w:rPr>
          <w:color w:val="231F20"/>
          <w:spacing w:val="-5"/>
          <w:w w:val="120"/>
          <w:sz w:val="17"/>
        </w:rPr>
        <w:t> </w:t>
      </w:r>
      <w:r>
        <w:rPr>
          <w:color w:val="231F20"/>
          <w:w w:val="120"/>
          <w:sz w:val="17"/>
        </w:rPr>
        <w:t>score</w:t>
      </w:r>
      <w:r>
        <w:rPr>
          <w:color w:val="231F20"/>
          <w:spacing w:val="-5"/>
          <w:w w:val="120"/>
          <w:sz w:val="17"/>
        </w:rPr>
        <w:t> </w:t>
      </w:r>
      <w:r>
        <w:rPr>
          <w:color w:val="231F20"/>
          <w:w w:val="120"/>
          <w:sz w:val="17"/>
        </w:rPr>
        <w:t>est</w:t>
      </w:r>
      <w:r>
        <w:rPr>
          <w:color w:val="231F20"/>
          <w:spacing w:val="-5"/>
          <w:w w:val="120"/>
          <w:sz w:val="17"/>
        </w:rPr>
        <w:t> </w:t>
      </w:r>
      <w:r>
        <w:rPr>
          <w:color w:val="231F20"/>
          <w:w w:val="120"/>
          <w:sz w:val="17"/>
        </w:rPr>
        <w:t>faible,</w:t>
      </w:r>
      <w:r>
        <w:rPr>
          <w:color w:val="231F20"/>
          <w:spacing w:val="-5"/>
          <w:w w:val="120"/>
          <w:sz w:val="17"/>
        </w:rPr>
        <w:t> </w:t>
      </w:r>
      <w:r>
        <w:rPr>
          <w:color w:val="231F20"/>
          <w:w w:val="120"/>
          <w:sz w:val="17"/>
        </w:rPr>
        <w:t>plus</w:t>
      </w:r>
      <w:r>
        <w:rPr>
          <w:color w:val="231F20"/>
          <w:spacing w:val="-5"/>
          <w:w w:val="120"/>
          <w:sz w:val="17"/>
        </w:rPr>
        <w:t> </w:t>
      </w:r>
      <w:r>
        <w:rPr>
          <w:color w:val="231F20"/>
          <w:w w:val="120"/>
          <w:sz w:val="17"/>
        </w:rPr>
        <w:t>vous faites montre d’assertivité.</w:t>
      </w:r>
    </w:p>
    <w:p>
      <w:pPr>
        <w:pStyle w:val="BodyText"/>
        <w:spacing w:line="307" w:lineRule="auto" w:before="79"/>
        <w:ind w:left="830" w:right="492"/>
        <w:jc w:val="both"/>
      </w:pPr>
      <w:r>
        <w:rPr>
          <w:b/>
          <w:color w:val="231F20"/>
          <w:w w:val="115"/>
        </w:rPr>
        <w:t>Remarque</w:t>
      </w:r>
      <w:r>
        <w:rPr>
          <w:b/>
          <w:color w:val="231F20"/>
          <w:spacing w:val="-13"/>
          <w:w w:val="115"/>
        </w:rPr>
        <w:t> </w:t>
      </w:r>
      <w:r>
        <w:rPr>
          <w:color w:val="231F20"/>
          <w:w w:val="115"/>
        </w:rPr>
        <w:t>:</w:t>
      </w:r>
      <w:r>
        <w:rPr>
          <w:color w:val="231F20"/>
          <w:spacing w:val="-12"/>
          <w:w w:val="115"/>
        </w:rPr>
        <w:t> </w:t>
      </w:r>
      <w:r>
        <w:rPr>
          <w:color w:val="231F20"/>
          <w:w w:val="115"/>
        </w:rPr>
        <w:t>Les</w:t>
      </w:r>
      <w:r>
        <w:rPr>
          <w:color w:val="231F20"/>
          <w:spacing w:val="-12"/>
          <w:w w:val="115"/>
        </w:rPr>
        <w:t> </w:t>
      </w:r>
      <w:r>
        <w:rPr>
          <w:color w:val="231F20"/>
          <w:w w:val="115"/>
        </w:rPr>
        <w:t>résultats</w:t>
      </w:r>
      <w:r>
        <w:rPr>
          <w:color w:val="231F20"/>
          <w:spacing w:val="-8"/>
          <w:w w:val="115"/>
        </w:rPr>
        <w:t> </w:t>
      </w:r>
      <w:r>
        <w:rPr>
          <w:color w:val="231F20"/>
          <w:w w:val="115"/>
        </w:rPr>
        <w:t>de</w:t>
      </w:r>
      <w:r>
        <w:rPr>
          <w:color w:val="231F20"/>
          <w:spacing w:val="-5"/>
          <w:w w:val="115"/>
        </w:rPr>
        <w:t> </w:t>
      </w:r>
      <w:r>
        <w:rPr>
          <w:color w:val="231F20"/>
          <w:w w:val="115"/>
        </w:rPr>
        <w:t>ce</w:t>
      </w:r>
      <w:r>
        <w:rPr>
          <w:color w:val="231F20"/>
          <w:spacing w:val="-5"/>
          <w:w w:val="115"/>
        </w:rPr>
        <w:t> </w:t>
      </w:r>
      <w:r>
        <w:rPr>
          <w:color w:val="231F20"/>
          <w:w w:val="115"/>
        </w:rPr>
        <w:t>test</w:t>
      </w:r>
      <w:r>
        <w:rPr>
          <w:color w:val="231F20"/>
          <w:spacing w:val="-5"/>
          <w:w w:val="115"/>
        </w:rPr>
        <w:t> </w:t>
      </w:r>
      <w:r>
        <w:rPr>
          <w:color w:val="231F20"/>
          <w:w w:val="115"/>
        </w:rPr>
        <w:t>ne</w:t>
      </w:r>
      <w:r>
        <w:rPr>
          <w:color w:val="231F20"/>
          <w:spacing w:val="-5"/>
          <w:w w:val="115"/>
        </w:rPr>
        <w:t> </w:t>
      </w:r>
      <w:r>
        <w:rPr>
          <w:color w:val="231F20"/>
          <w:w w:val="115"/>
        </w:rPr>
        <w:t>sont</w:t>
      </w:r>
      <w:r>
        <w:rPr>
          <w:color w:val="231F20"/>
          <w:spacing w:val="-5"/>
          <w:w w:val="115"/>
        </w:rPr>
        <w:t> </w:t>
      </w:r>
      <w:r>
        <w:rPr>
          <w:color w:val="231F20"/>
          <w:w w:val="115"/>
        </w:rPr>
        <w:t>pertinents</w:t>
      </w:r>
      <w:r>
        <w:rPr>
          <w:color w:val="231F20"/>
          <w:spacing w:val="-5"/>
          <w:w w:val="115"/>
        </w:rPr>
        <w:t> </w:t>
      </w:r>
      <w:r>
        <w:rPr>
          <w:color w:val="231F20"/>
          <w:w w:val="115"/>
        </w:rPr>
        <w:t>que</w:t>
      </w:r>
      <w:r>
        <w:rPr>
          <w:color w:val="231F20"/>
          <w:spacing w:val="-5"/>
          <w:w w:val="115"/>
        </w:rPr>
        <w:t> </w:t>
      </w:r>
      <w:r>
        <w:rPr>
          <w:color w:val="231F20"/>
          <w:w w:val="115"/>
        </w:rPr>
        <w:t>si</w:t>
      </w:r>
      <w:r>
        <w:rPr>
          <w:color w:val="231F20"/>
          <w:spacing w:val="-5"/>
          <w:w w:val="115"/>
        </w:rPr>
        <w:t> </w:t>
      </w:r>
      <w:r>
        <w:rPr>
          <w:color w:val="231F20"/>
          <w:w w:val="115"/>
        </w:rPr>
        <w:t>vous</w:t>
      </w:r>
      <w:r>
        <w:rPr>
          <w:color w:val="231F20"/>
          <w:spacing w:val="-5"/>
          <w:w w:val="115"/>
        </w:rPr>
        <w:t> </w:t>
      </w:r>
      <w:r>
        <w:rPr>
          <w:color w:val="231F20"/>
          <w:w w:val="115"/>
        </w:rPr>
        <w:t>obtenez </w:t>
      </w:r>
      <w:r>
        <w:rPr>
          <w:color w:val="231F20"/>
          <w:w w:val="120"/>
        </w:rPr>
        <w:t>un score élevé pour la dimension A et faible pour la dimension B, ou vice-versa. Si vos deux scores sont semblables, vous vous situez entre l’assertivité et la non-assertivité.</w:t>
      </w:r>
    </w:p>
    <w:p>
      <w:pPr>
        <w:pStyle w:val="BodyText"/>
        <w:spacing w:before="8"/>
        <w:rPr>
          <w:sz w:val="21"/>
        </w:rPr>
      </w:pPr>
    </w:p>
    <w:p>
      <w:pPr>
        <w:pStyle w:val="BodyText"/>
        <w:spacing w:line="307" w:lineRule="auto"/>
        <w:ind w:left="830" w:right="491"/>
        <w:jc w:val="both"/>
      </w:pPr>
      <w:r>
        <w:rPr>
          <w:color w:val="231F20"/>
          <w:w w:val="120"/>
        </w:rPr>
        <w:t>Lorsqu’une</w:t>
      </w:r>
      <w:r>
        <w:rPr>
          <w:color w:val="231F20"/>
          <w:spacing w:val="-3"/>
          <w:w w:val="120"/>
        </w:rPr>
        <w:t> </w:t>
      </w:r>
      <w:r>
        <w:rPr>
          <w:color w:val="231F20"/>
          <w:w w:val="120"/>
        </w:rPr>
        <w:t>personne</w:t>
      </w:r>
      <w:r>
        <w:rPr>
          <w:color w:val="231F20"/>
          <w:spacing w:val="-3"/>
          <w:w w:val="120"/>
        </w:rPr>
        <w:t> </w:t>
      </w:r>
      <w:r>
        <w:rPr>
          <w:color w:val="231F20"/>
          <w:w w:val="120"/>
        </w:rPr>
        <w:t>souffre</w:t>
      </w:r>
      <w:r>
        <w:rPr>
          <w:color w:val="231F20"/>
          <w:spacing w:val="-3"/>
          <w:w w:val="120"/>
        </w:rPr>
        <w:t> </w:t>
      </w:r>
      <w:r>
        <w:rPr>
          <w:color w:val="231F20"/>
          <w:w w:val="120"/>
        </w:rPr>
        <w:t>de</w:t>
      </w:r>
      <w:r>
        <w:rPr>
          <w:color w:val="231F20"/>
          <w:spacing w:val="-3"/>
          <w:w w:val="120"/>
        </w:rPr>
        <w:t> </w:t>
      </w:r>
      <w:r>
        <w:rPr>
          <w:color w:val="231F20"/>
          <w:w w:val="120"/>
        </w:rPr>
        <w:t>stress,</w:t>
      </w:r>
      <w:r>
        <w:rPr>
          <w:color w:val="231F20"/>
          <w:spacing w:val="-3"/>
          <w:w w:val="120"/>
        </w:rPr>
        <w:t> </w:t>
      </w:r>
      <w:r>
        <w:rPr>
          <w:color w:val="231F20"/>
          <w:w w:val="120"/>
        </w:rPr>
        <w:t>son</w:t>
      </w:r>
      <w:r>
        <w:rPr>
          <w:color w:val="231F20"/>
          <w:spacing w:val="-3"/>
          <w:w w:val="120"/>
        </w:rPr>
        <w:t> </w:t>
      </w:r>
      <w:r>
        <w:rPr>
          <w:color w:val="231F20"/>
          <w:w w:val="120"/>
        </w:rPr>
        <w:t>horloge</w:t>
      </w:r>
      <w:r>
        <w:rPr>
          <w:color w:val="231F20"/>
          <w:spacing w:val="-3"/>
          <w:w w:val="120"/>
        </w:rPr>
        <w:t> </w:t>
      </w:r>
      <w:r>
        <w:rPr>
          <w:color w:val="231F20"/>
          <w:w w:val="120"/>
        </w:rPr>
        <w:t>interne</w:t>
      </w:r>
      <w:r>
        <w:rPr>
          <w:color w:val="231F20"/>
          <w:spacing w:val="-3"/>
          <w:w w:val="120"/>
        </w:rPr>
        <w:t> </w:t>
      </w:r>
      <w:r>
        <w:rPr>
          <w:color w:val="231F20"/>
          <w:w w:val="120"/>
        </w:rPr>
        <w:t>s’altère.</w:t>
      </w:r>
      <w:r>
        <w:rPr>
          <w:color w:val="231F20"/>
          <w:spacing w:val="-3"/>
          <w:w w:val="120"/>
        </w:rPr>
        <w:t> </w:t>
      </w:r>
      <w:r>
        <w:rPr>
          <w:color w:val="231F20"/>
          <w:w w:val="120"/>
        </w:rPr>
        <w:t>Sa </w:t>
      </w:r>
      <w:r>
        <w:rPr>
          <w:color w:val="231F20"/>
          <w:spacing w:val="-2"/>
          <w:w w:val="120"/>
        </w:rPr>
        <w:t>capacité</w:t>
      </w:r>
      <w:r>
        <w:rPr>
          <w:color w:val="231F20"/>
          <w:spacing w:val="-7"/>
          <w:w w:val="120"/>
        </w:rPr>
        <w:t> </w:t>
      </w:r>
      <w:r>
        <w:rPr>
          <w:color w:val="231F20"/>
          <w:spacing w:val="-2"/>
          <w:w w:val="120"/>
        </w:rPr>
        <w:t>à</w:t>
      </w:r>
      <w:r>
        <w:rPr>
          <w:color w:val="231F20"/>
          <w:spacing w:val="-7"/>
          <w:w w:val="120"/>
        </w:rPr>
        <w:t> </w:t>
      </w:r>
      <w:r>
        <w:rPr>
          <w:color w:val="231F20"/>
          <w:spacing w:val="-2"/>
          <w:w w:val="120"/>
        </w:rPr>
        <w:t>bien</w:t>
      </w:r>
      <w:r>
        <w:rPr>
          <w:color w:val="231F20"/>
          <w:spacing w:val="-7"/>
          <w:w w:val="120"/>
        </w:rPr>
        <w:t> </w:t>
      </w:r>
      <w:r>
        <w:rPr>
          <w:color w:val="231F20"/>
          <w:spacing w:val="-2"/>
          <w:w w:val="120"/>
        </w:rPr>
        <w:t>gérer</w:t>
      </w:r>
      <w:r>
        <w:rPr>
          <w:color w:val="231F20"/>
          <w:spacing w:val="-7"/>
          <w:w w:val="120"/>
        </w:rPr>
        <w:t> </w:t>
      </w:r>
      <w:r>
        <w:rPr>
          <w:color w:val="231F20"/>
          <w:spacing w:val="-2"/>
          <w:w w:val="120"/>
        </w:rPr>
        <w:t>son</w:t>
      </w:r>
      <w:r>
        <w:rPr>
          <w:color w:val="231F20"/>
          <w:spacing w:val="-7"/>
          <w:w w:val="120"/>
        </w:rPr>
        <w:t> </w:t>
      </w:r>
      <w:r>
        <w:rPr>
          <w:color w:val="231F20"/>
          <w:spacing w:val="-2"/>
          <w:w w:val="120"/>
        </w:rPr>
        <w:t>temps</w:t>
      </w:r>
      <w:r>
        <w:rPr>
          <w:color w:val="231F20"/>
          <w:spacing w:val="-7"/>
          <w:w w:val="120"/>
        </w:rPr>
        <w:t> </w:t>
      </w:r>
      <w:r>
        <w:rPr>
          <w:color w:val="231F20"/>
          <w:spacing w:val="-2"/>
          <w:w w:val="120"/>
        </w:rPr>
        <w:t>professionnel</w:t>
      </w:r>
      <w:r>
        <w:rPr>
          <w:color w:val="231F20"/>
          <w:spacing w:val="-7"/>
          <w:w w:val="120"/>
        </w:rPr>
        <w:t> </w:t>
      </w:r>
      <w:r>
        <w:rPr>
          <w:color w:val="231F20"/>
          <w:spacing w:val="-2"/>
          <w:w w:val="120"/>
        </w:rPr>
        <w:t>et</w:t>
      </w:r>
      <w:r>
        <w:rPr>
          <w:color w:val="231F20"/>
          <w:spacing w:val="-7"/>
          <w:w w:val="120"/>
        </w:rPr>
        <w:t> </w:t>
      </w:r>
      <w:r>
        <w:rPr>
          <w:color w:val="231F20"/>
          <w:spacing w:val="-2"/>
          <w:w w:val="120"/>
        </w:rPr>
        <w:t>personnel</w:t>
      </w:r>
      <w:r>
        <w:rPr>
          <w:color w:val="231F20"/>
          <w:spacing w:val="-7"/>
          <w:w w:val="120"/>
        </w:rPr>
        <w:t> </w:t>
      </w:r>
      <w:r>
        <w:rPr>
          <w:color w:val="231F20"/>
          <w:spacing w:val="-2"/>
          <w:w w:val="120"/>
        </w:rPr>
        <w:t>l’aidera</w:t>
      </w:r>
      <w:r>
        <w:rPr>
          <w:color w:val="231F20"/>
          <w:spacing w:val="-7"/>
          <w:w w:val="120"/>
        </w:rPr>
        <w:t> </w:t>
      </w:r>
      <w:r>
        <w:rPr>
          <w:color w:val="231F20"/>
          <w:spacing w:val="-2"/>
          <w:w w:val="120"/>
        </w:rPr>
        <w:t>à</w:t>
      </w:r>
      <w:r>
        <w:rPr>
          <w:color w:val="231F20"/>
          <w:spacing w:val="-7"/>
          <w:w w:val="120"/>
        </w:rPr>
        <w:t> </w:t>
      </w:r>
      <w:r>
        <w:rPr>
          <w:color w:val="231F20"/>
          <w:spacing w:val="-2"/>
          <w:w w:val="120"/>
        </w:rPr>
        <w:t>res- </w:t>
      </w:r>
      <w:r>
        <w:rPr>
          <w:color w:val="231F20"/>
          <w:w w:val="120"/>
        </w:rPr>
        <w:t>tabiliser</w:t>
      </w:r>
      <w:r>
        <w:rPr>
          <w:color w:val="231F20"/>
          <w:spacing w:val="-1"/>
          <w:w w:val="120"/>
        </w:rPr>
        <w:t> </w:t>
      </w:r>
      <w:r>
        <w:rPr>
          <w:color w:val="231F20"/>
          <w:w w:val="120"/>
        </w:rPr>
        <w:t>ce</w:t>
      </w:r>
      <w:r>
        <w:rPr>
          <w:color w:val="231F20"/>
          <w:spacing w:val="-1"/>
          <w:w w:val="120"/>
        </w:rPr>
        <w:t> </w:t>
      </w:r>
      <w:r>
        <w:rPr>
          <w:color w:val="231F20"/>
          <w:w w:val="120"/>
        </w:rPr>
        <w:t>rythme</w:t>
      </w:r>
      <w:r>
        <w:rPr>
          <w:color w:val="231F20"/>
          <w:spacing w:val="-1"/>
          <w:w w:val="120"/>
        </w:rPr>
        <w:t> </w:t>
      </w:r>
      <w:r>
        <w:rPr>
          <w:color w:val="231F20"/>
          <w:w w:val="120"/>
        </w:rPr>
        <w:t>naturel.</w:t>
      </w:r>
      <w:r>
        <w:rPr>
          <w:color w:val="231F20"/>
          <w:spacing w:val="-1"/>
          <w:w w:val="120"/>
        </w:rPr>
        <w:t> </w:t>
      </w:r>
      <w:r>
        <w:rPr>
          <w:color w:val="231F20"/>
          <w:w w:val="120"/>
        </w:rPr>
        <w:t>La</w:t>
      </w:r>
      <w:r>
        <w:rPr>
          <w:color w:val="231F20"/>
          <w:spacing w:val="-1"/>
          <w:w w:val="120"/>
        </w:rPr>
        <w:t> </w:t>
      </w:r>
      <w:r>
        <w:rPr>
          <w:color w:val="231F20"/>
          <w:w w:val="120"/>
        </w:rPr>
        <w:t>gestion</w:t>
      </w:r>
      <w:r>
        <w:rPr>
          <w:color w:val="231F20"/>
          <w:spacing w:val="-1"/>
          <w:w w:val="120"/>
        </w:rPr>
        <w:t> </w:t>
      </w:r>
      <w:r>
        <w:rPr>
          <w:color w:val="231F20"/>
          <w:w w:val="120"/>
        </w:rPr>
        <w:t>du</w:t>
      </w:r>
      <w:r>
        <w:rPr>
          <w:color w:val="231F20"/>
          <w:spacing w:val="-1"/>
          <w:w w:val="120"/>
        </w:rPr>
        <w:t> </w:t>
      </w:r>
      <w:r>
        <w:rPr>
          <w:color w:val="231F20"/>
          <w:w w:val="120"/>
        </w:rPr>
        <w:t>temps</w:t>
      </w:r>
      <w:r>
        <w:rPr>
          <w:color w:val="231F20"/>
          <w:spacing w:val="-1"/>
          <w:w w:val="120"/>
        </w:rPr>
        <w:t> </w:t>
      </w:r>
      <w:r>
        <w:rPr>
          <w:color w:val="231F20"/>
          <w:w w:val="120"/>
        </w:rPr>
        <w:t>de</w:t>
      </w:r>
      <w:r>
        <w:rPr>
          <w:color w:val="231F20"/>
          <w:spacing w:val="-1"/>
          <w:w w:val="120"/>
        </w:rPr>
        <w:t> </w:t>
      </w:r>
      <w:r>
        <w:rPr>
          <w:color w:val="231F20"/>
          <w:w w:val="120"/>
        </w:rPr>
        <w:t>travail</w:t>
      </w:r>
      <w:r>
        <w:rPr>
          <w:color w:val="231F20"/>
          <w:spacing w:val="-1"/>
          <w:w w:val="120"/>
        </w:rPr>
        <w:t> </w:t>
      </w:r>
      <w:r>
        <w:rPr>
          <w:color w:val="231F20"/>
          <w:w w:val="120"/>
        </w:rPr>
        <w:t>signifie</w:t>
      </w:r>
      <w:r>
        <w:rPr>
          <w:color w:val="231F20"/>
          <w:spacing w:val="-1"/>
          <w:w w:val="120"/>
        </w:rPr>
        <w:t> </w:t>
      </w:r>
      <w:r>
        <w:rPr>
          <w:color w:val="231F20"/>
          <w:w w:val="120"/>
        </w:rPr>
        <w:t>non pas</w:t>
      </w:r>
      <w:r>
        <w:rPr>
          <w:color w:val="231F20"/>
          <w:spacing w:val="-7"/>
          <w:w w:val="120"/>
        </w:rPr>
        <w:t> </w:t>
      </w:r>
      <w:r>
        <w:rPr>
          <w:color w:val="231F20"/>
          <w:w w:val="120"/>
        </w:rPr>
        <w:t>qu’on</w:t>
      </w:r>
      <w:r>
        <w:rPr>
          <w:color w:val="231F20"/>
          <w:spacing w:val="-7"/>
          <w:w w:val="120"/>
        </w:rPr>
        <w:t> </w:t>
      </w:r>
      <w:r>
        <w:rPr>
          <w:color w:val="231F20"/>
          <w:w w:val="120"/>
        </w:rPr>
        <w:t>travaille</w:t>
      </w:r>
      <w:r>
        <w:rPr>
          <w:color w:val="231F20"/>
          <w:spacing w:val="-7"/>
          <w:w w:val="120"/>
        </w:rPr>
        <w:t> </w:t>
      </w:r>
      <w:r>
        <w:rPr>
          <w:color w:val="231F20"/>
          <w:w w:val="120"/>
        </w:rPr>
        <w:t>plus,</w:t>
      </w:r>
      <w:r>
        <w:rPr>
          <w:color w:val="231F20"/>
          <w:spacing w:val="-7"/>
          <w:w w:val="120"/>
        </w:rPr>
        <w:t> </w:t>
      </w:r>
      <w:r>
        <w:rPr>
          <w:color w:val="231F20"/>
          <w:w w:val="120"/>
        </w:rPr>
        <w:t>mais</w:t>
      </w:r>
      <w:r>
        <w:rPr>
          <w:color w:val="231F20"/>
          <w:spacing w:val="-7"/>
          <w:w w:val="120"/>
        </w:rPr>
        <w:t> </w:t>
      </w:r>
      <w:r>
        <w:rPr>
          <w:color w:val="231F20"/>
          <w:w w:val="120"/>
        </w:rPr>
        <w:t>plutôt</w:t>
      </w:r>
      <w:r>
        <w:rPr>
          <w:color w:val="231F20"/>
          <w:spacing w:val="-7"/>
          <w:w w:val="120"/>
        </w:rPr>
        <w:t> </w:t>
      </w:r>
      <w:r>
        <w:rPr>
          <w:color w:val="231F20"/>
          <w:w w:val="120"/>
        </w:rPr>
        <w:t>qu’on</w:t>
      </w:r>
      <w:r>
        <w:rPr>
          <w:color w:val="231F20"/>
          <w:spacing w:val="-7"/>
          <w:w w:val="120"/>
        </w:rPr>
        <w:t> </w:t>
      </w:r>
      <w:r>
        <w:rPr>
          <w:color w:val="231F20"/>
          <w:w w:val="120"/>
        </w:rPr>
        <w:t>travaille</w:t>
      </w:r>
      <w:r>
        <w:rPr>
          <w:color w:val="231F20"/>
          <w:spacing w:val="-7"/>
          <w:w w:val="120"/>
        </w:rPr>
        <w:t> </w:t>
      </w:r>
      <w:r>
        <w:rPr>
          <w:color w:val="231F20"/>
          <w:w w:val="120"/>
        </w:rPr>
        <w:t>mieux.</w:t>
      </w:r>
      <w:r>
        <w:rPr>
          <w:color w:val="231F20"/>
          <w:spacing w:val="-7"/>
          <w:w w:val="120"/>
        </w:rPr>
        <w:t> </w:t>
      </w:r>
      <w:r>
        <w:rPr>
          <w:color w:val="231F20"/>
          <w:w w:val="120"/>
        </w:rPr>
        <w:t>Lorsqu’une personne</w:t>
      </w:r>
      <w:r>
        <w:rPr>
          <w:color w:val="231F20"/>
          <w:spacing w:val="-2"/>
          <w:w w:val="120"/>
        </w:rPr>
        <w:t> </w:t>
      </w:r>
      <w:r>
        <w:rPr>
          <w:color w:val="231F20"/>
          <w:w w:val="120"/>
        </w:rPr>
        <w:t>se</w:t>
      </w:r>
      <w:r>
        <w:rPr>
          <w:color w:val="231F20"/>
          <w:spacing w:val="-2"/>
          <w:w w:val="120"/>
        </w:rPr>
        <w:t> </w:t>
      </w:r>
      <w:r>
        <w:rPr>
          <w:color w:val="231F20"/>
          <w:w w:val="120"/>
        </w:rPr>
        <w:t>sent</w:t>
      </w:r>
      <w:r>
        <w:rPr>
          <w:color w:val="231F20"/>
          <w:spacing w:val="-2"/>
          <w:w w:val="120"/>
        </w:rPr>
        <w:t> </w:t>
      </w:r>
      <w:r>
        <w:rPr>
          <w:color w:val="231F20"/>
          <w:w w:val="120"/>
        </w:rPr>
        <w:t>stressée,</w:t>
      </w:r>
      <w:r>
        <w:rPr>
          <w:color w:val="231F20"/>
          <w:spacing w:val="-2"/>
          <w:w w:val="120"/>
        </w:rPr>
        <w:t> </w:t>
      </w:r>
      <w:r>
        <w:rPr>
          <w:color w:val="231F20"/>
          <w:w w:val="120"/>
        </w:rPr>
        <w:t>elle</w:t>
      </w:r>
      <w:r>
        <w:rPr>
          <w:color w:val="231F20"/>
          <w:spacing w:val="-2"/>
          <w:w w:val="120"/>
        </w:rPr>
        <w:t> </w:t>
      </w:r>
      <w:r>
        <w:rPr>
          <w:color w:val="231F20"/>
          <w:w w:val="120"/>
        </w:rPr>
        <w:t>est</w:t>
      </w:r>
      <w:r>
        <w:rPr>
          <w:color w:val="231F20"/>
          <w:spacing w:val="-2"/>
          <w:w w:val="120"/>
        </w:rPr>
        <w:t> </w:t>
      </w:r>
      <w:r>
        <w:rPr>
          <w:color w:val="231F20"/>
          <w:w w:val="120"/>
        </w:rPr>
        <w:t>plus</w:t>
      </w:r>
      <w:r>
        <w:rPr>
          <w:color w:val="231F20"/>
          <w:spacing w:val="-2"/>
          <w:w w:val="120"/>
        </w:rPr>
        <w:t> </w:t>
      </w:r>
      <w:r>
        <w:rPr>
          <w:color w:val="231F20"/>
          <w:w w:val="120"/>
        </w:rPr>
        <w:t>susceptible</w:t>
      </w:r>
      <w:r>
        <w:rPr>
          <w:color w:val="231F20"/>
          <w:spacing w:val="-2"/>
          <w:w w:val="120"/>
        </w:rPr>
        <w:t> </w:t>
      </w:r>
      <w:r>
        <w:rPr>
          <w:color w:val="231F20"/>
          <w:w w:val="120"/>
        </w:rPr>
        <w:t>de</w:t>
      </w:r>
      <w:r>
        <w:rPr>
          <w:color w:val="231F20"/>
          <w:spacing w:val="-2"/>
          <w:w w:val="120"/>
        </w:rPr>
        <w:t> </w:t>
      </w:r>
      <w:r>
        <w:rPr>
          <w:color w:val="231F20"/>
          <w:w w:val="120"/>
        </w:rPr>
        <w:t>se</w:t>
      </w:r>
      <w:r>
        <w:rPr>
          <w:color w:val="231F20"/>
          <w:spacing w:val="-2"/>
          <w:w w:val="120"/>
        </w:rPr>
        <w:t> </w:t>
      </w:r>
      <w:r>
        <w:rPr>
          <w:color w:val="231F20"/>
          <w:w w:val="120"/>
        </w:rPr>
        <w:t>faire</w:t>
      </w:r>
      <w:r>
        <w:rPr>
          <w:color w:val="231F20"/>
          <w:spacing w:val="-2"/>
          <w:w w:val="120"/>
        </w:rPr>
        <w:t> </w:t>
      </w:r>
      <w:r>
        <w:rPr>
          <w:color w:val="231F20"/>
          <w:w w:val="120"/>
        </w:rPr>
        <w:t>voler</w:t>
      </w:r>
      <w:r>
        <w:rPr>
          <w:color w:val="231F20"/>
          <w:spacing w:val="-2"/>
          <w:w w:val="120"/>
        </w:rPr>
        <w:t> </w:t>
      </w:r>
      <w:r>
        <w:rPr>
          <w:color w:val="231F20"/>
          <w:w w:val="120"/>
        </w:rPr>
        <w:t>son temps.</w:t>
      </w:r>
      <w:r>
        <w:rPr>
          <w:color w:val="231F20"/>
          <w:spacing w:val="-13"/>
          <w:w w:val="120"/>
        </w:rPr>
        <w:t> </w:t>
      </w:r>
      <w:r>
        <w:rPr>
          <w:color w:val="231F20"/>
          <w:w w:val="120"/>
        </w:rPr>
        <w:t>Les</w:t>
      </w:r>
      <w:r>
        <w:rPr>
          <w:color w:val="231F20"/>
          <w:spacing w:val="-13"/>
          <w:w w:val="120"/>
        </w:rPr>
        <w:t> </w:t>
      </w:r>
      <w:r>
        <w:rPr>
          <w:color w:val="231F20"/>
          <w:w w:val="120"/>
        </w:rPr>
        <w:t>voleurs</w:t>
      </w:r>
      <w:r>
        <w:rPr>
          <w:color w:val="231F20"/>
          <w:spacing w:val="-5"/>
          <w:w w:val="120"/>
        </w:rPr>
        <w:t> </w:t>
      </w:r>
      <w:r>
        <w:rPr>
          <w:color w:val="231F20"/>
          <w:w w:val="120"/>
        </w:rPr>
        <w:t>«</w:t>
      </w:r>
      <w:r>
        <w:rPr>
          <w:color w:val="231F20"/>
          <w:spacing w:val="-13"/>
          <w:w w:val="120"/>
        </w:rPr>
        <w:t> </w:t>
      </w:r>
      <w:r>
        <w:rPr>
          <w:color w:val="231F20"/>
          <w:w w:val="120"/>
        </w:rPr>
        <w:t>externes»</w:t>
      </w:r>
      <w:r>
        <w:rPr>
          <w:color w:val="231F20"/>
          <w:spacing w:val="-4"/>
          <w:w w:val="120"/>
        </w:rPr>
        <w:t> </w:t>
      </w:r>
      <w:r>
        <w:rPr>
          <w:color w:val="231F20"/>
          <w:w w:val="120"/>
        </w:rPr>
        <w:t>sont</w:t>
      </w:r>
      <w:r>
        <w:rPr>
          <w:color w:val="231F20"/>
          <w:spacing w:val="-4"/>
          <w:w w:val="120"/>
        </w:rPr>
        <w:t> </w:t>
      </w:r>
      <w:r>
        <w:rPr>
          <w:color w:val="231F20"/>
          <w:w w:val="120"/>
        </w:rPr>
        <w:t>des</w:t>
      </w:r>
      <w:r>
        <w:rPr>
          <w:color w:val="231F20"/>
          <w:spacing w:val="-4"/>
          <w:w w:val="120"/>
        </w:rPr>
        <w:t> </w:t>
      </w:r>
      <w:r>
        <w:rPr>
          <w:color w:val="231F20"/>
          <w:w w:val="120"/>
        </w:rPr>
        <w:t>situations,</w:t>
      </w:r>
      <w:r>
        <w:rPr>
          <w:color w:val="231F20"/>
          <w:spacing w:val="-4"/>
          <w:w w:val="120"/>
        </w:rPr>
        <w:t> </w:t>
      </w:r>
      <w:r>
        <w:rPr>
          <w:color w:val="231F20"/>
          <w:w w:val="120"/>
        </w:rPr>
        <w:t>des</w:t>
      </w:r>
      <w:r>
        <w:rPr>
          <w:color w:val="231F20"/>
          <w:spacing w:val="-4"/>
          <w:w w:val="120"/>
        </w:rPr>
        <w:t> </w:t>
      </w:r>
      <w:r>
        <w:rPr>
          <w:color w:val="231F20"/>
          <w:w w:val="120"/>
        </w:rPr>
        <w:t>imprévus</w:t>
      </w:r>
      <w:r>
        <w:rPr>
          <w:color w:val="231F20"/>
          <w:spacing w:val="-4"/>
          <w:w w:val="120"/>
        </w:rPr>
        <w:t> </w:t>
      </w:r>
      <w:r>
        <w:rPr>
          <w:color w:val="231F20"/>
          <w:w w:val="120"/>
        </w:rPr>
        <w:t>ou</w:t>
      </w:r>
      <w:r>
        <w:rPr>
          <w:color w:val="231F20"/>
          <w:spacing w:val="-4"/>
          <w:w w:val="120"/>
        </w:rPr>
        <w:t> </w:t>
      </w:r>
      <w:r>
        <w:rPr>
          <w:color w:val="231F20"/>
          <w:w w:val="120"/>
        </w:rPr>
        <w:t>les attitudes d’autrui (p. ex. quantité de courriels, problèmes imprévus, </w:t>
      </w:r>
      <w:r>
        <w:rPr>
          <w:color w:val="231F20"/>
          <w:w w:val="115"/>
        </w:rPr>
        <w:t>bureaucratie). Alors que les voleurs «</w:t>
      </w:r>
      <w:r>
        <w:rPr>
          <w:color w:val="231F20"/>
          <w:spacing w:val="-13"/>
          <w:w w:val="115"/>
        </w:rPr>
        <w:t> </w:t>
      </w:r>
      <w:r>
        <w:rPr>
          <w:color w:val="231F20"/>
          <w:w w:val="115"/>
        </w:rPr>
        <w:t>internes» concernent nos schèmes </w:t>
      </w:r>
      <w:r>
        <w:rPr>
          <w:color w:val="231F20"/>
          <w:w w:val="120"/>
        </w:rPr>
        <w:t>comportementaux et nos propres attitudes (p. ex. perfectionnisme, manque d’organisation, absence de priorisation). Il importe de faire la </w:t>
      </w:r>
      <w:r>
        <w:rPr>
          <w:color w:val="231F20"/>
          <w:w w:val="115"/>
        </w:rPr>
        <w:t>différence</w:t>
      </w:r>
      <w:r>
        <w:rPr>
          <w:color w:val="231F20"/>
          <w:spacing w:val="-6"/>
          <w:w w:val="115"/>
        </w:rPr>
        <w:t> </w:t>
      </w:r>
      <w:r>
        <w:rPr>
          <w:color w:val="231F20"/>
          <w:w w:val="115"/>
        </w:rPr>
        <w:t>entre</w:t>
      </w:r>
      <w:r>
        <w:rPr>
          <w:color w:val="231F20"/>
          <w:spacing w:val="-6"/>
          <w:w w:val="115"/>
        </w:rPr>
        <w:t> </w:t>
      </w:r>
      <w:r>
        <w:rPr>
          <w:color w:val="231F20"/>
          <w:w w:val="115"/>
        </w:rPr>
        <w:t>ce</w:t>
      </w:r>
      <w:r>
        <w:rPr>
          <w:color w:val="231F20"/>
          <w:spacing w:val="-6"/>
          <w:w w:val="115"/>
        </w:rPr>
        <w:t> </w:t>
      </w:r>
      <w:r>
        <w:rPr>
          <w:color w:val="231F20"/>
          <w:w w:val="115"/>
        </w:rPr>
        <w:t>qui</w:t>
      </w:r>
      <w:r>
        <w:rPr>
          <w:color w:val="231F20"/>
          <w:spacing w:val="-6"/>
          <w:w w:val="115"/>
        </w:rPr>
        <w:t> </w:t>
      </w:r>
      <w:r>
        <w:rPr>
          <w:color w:val="231F20"/>
          <w:w w:val="115"/>
        </w:rPr>
        <w:t>est</w:t>
      </w:r>
      <w:r>
        <w:rPr>
          <w:color w:val="231F20"/>
          <w:spacing w:val="-6"/>
          <w:w w:val="115"/>
        </w:rPr>
        <w:t> </w:t>
      </w:r>
      <w:r>
        <w:rPr>
          <w:color w:val="231F20"/>
          <w:w w:val="115"/>
        </w:rPr>
        <w:t>urgent</w:t>
      </w:r>
      <w:r>
        <w:rPr>
          <w:color w:val="231F20"/>
          <w:spacing w:val="-6"/>
          <w:w w:val="115"/>
        </w:rPr>
        <w:t> </w:t>
      </w:r>
      <w:r>
        <w:rPr>
          <w:color w:val="231F20"/>
          <w:w w:val="115"/>
        </w:rPr>
        <w:t>et</w:t>
      </w:r>
      <w:r>
        <w:rPr>
          <w:color w:val="231F20"/>
          <w:spacing w:val="-6"/>
          <w:w w:val="115"/>
        </w:rPr>
        <w:t> </w:t>
      </w:r>
      <w:r>
        <w:rPr>
          <w:color w:val="231F20"/>
          <w:w w:val="115"/>
        </w:rPr>
        <w:t>ce</w:t>
      </w:r>
      <w:r>
        <w:rPr>
          <w:color w:val="231F20"/>
          <w:spacing w:val="-6"/>
          <w:w w:val="115"/>
        </w:rPr>
        <w:t> </w:t>
      </w:r>
      <w:r>
        <w:rPr>
          <w:color w:val="231F20"/>
          <w:w w:val="115"/>
        </w:rPr>
        <w:t>qui</w:t>
      </w:r>
      <w:r>
        <w:rPr>
          <w:color w:val="231F20"/>
          <w:spacing w:val="-6"/>
          <w:w w:val="115"/>
        </w:rPr>
        <w:t> </w:t>
      </w:r>
      <w:r>
        <w:rPr>
          <w:color w:val="231F20"/>
          <w:w w:val="115"/>
        </w:rPr>
        <w:t>est</w:t>
      </w:r>
      <w:r>
        <w:rPr>
          <w:color w:val="231F20"/>
          <w:spacing w:val="-6"/>
          <w:w w:val="115"/>
        </w:rPr>
        <w:t> </w:t>
      </w:r>
      <w:r>
        <w:rPr>
          <w:color w:val="231F20"/>
          <w:w w:val="115"/>
        </w:rPr>
        <w:t>important.</w:t>
      </w:r>
      <w:r>
        <w:rPr>
          <w:color w:val="231F20"/>
          <w:spacing w:val="-6"/>
          <w:w w:val="115"/>
        </w:rPr>
        <w:t> </w:t>
      </w:r>
      <w:r>
        <w:rPr>
          <w:color w:val="231F20"/>
          <w:w w:val="115"/>
        </w:rPr>
        <w:t>Les</w:t>
      </w:r>
      <w:r>
        <w:rPr>
          <w:color w:val="231F20"/>
          <w:spacing w:val="-6"/>
          <w:w w:val="115"/>
        </w:rPr>
        <w:t> </w:t>
      </w:r>
      <w:r>
        <w:rPr>
          <w:color w:val="231F20"/>
          <w:w w:val="115"/>
        </w:rPr>
        <w:t>gens</w:t>
      </w:r>
      <w:r>
        <w:rPr>
          <w:color w:val="231F20"/>
          <w:spacing w:val="-6"/>
          <w:w w:val="115"/>
        </w:rPr>
        <w:t> </w:t>
      </w:r>
      <w:r>
        <w:rPr>
          <w:color w:val="231F20"/>
          <w:w w:val="115"/>
        </w:rPr>
        <w:t>stressés </w:t>
      </w:r>
      <w:r>
        <w:rPr>
          <w:color w:val="231F20"/>
          <w:w w:val="120"/>
        </w:rPr>
        <w:t>ont</w:t>
      </w:r>
      <w:r>
        <w:rPr>
          <w:color w:val="231F20"/>
          <w:spacing w:val="-7"/>
          <w:w w:val="120"/>
        </w:rPr>
        <w:t> </w:t>
      </w:r>
      <w:r>
        <w:rPr>
          <w:color w:val="231F20"/>
          <w:w w:val="120"/>
        </w:rPr>
        <w:t>tendance</w:t>
      </w:r>
      <w:r>
        <w:rPr>
          <w:color w:val="231F20"/>
          <w:spacing w:val="-7"/>
          <w:w w:val="120"/>
        </w:rPr>
        <w:t> </w:t>
      </w:r>
      <w:r>
        <w:rPr>
          <w:color w:val="231F20"/>
          <w:w w:val="120"/>
        </w:rPr>
        <w:t>à</w:t>
      </w:r>
      <w:r>
        <w:rPr>
          <w:color w:val="231F20"/>
          <w:spacing w:val="-7"/>
          <w:w w:val="120"/>
        </w:rPr>
        <w:t> </w:t>
      </w:r>
      <w:r>
        <w:rPr>
          <w:color w:val="231F20"/>
          <w:w w:val="120"/>
        </w:rPr>
        <w:t>confondre</w:t>
      </w:r>
      <w:r>
        <w:rPr>
          <w:color w:val="231F20"/>
          <w:spacing w:val="-7"/>
          <w:w w:val="120"/>
        </w:rPr>
        <w:t> </w:t>
      </w:r>
      <w:r>
        <w:rPr>
          <w:color w:val="231F20"/>
          <w:w w:val="120"/>
        </w:rPr>
        <w:t>l’un</w:t>
      </w:r>
      <w:r>
        <w:rPr>
          <w:color w:val="231F20"/>
          <w:spacing w:val="-7"/>
          <w:w w:val="120"/>
        </w:rPr>
        <w:t> </w:t>
      </w:r>
      <w:r>
        <w:rPr>
          <w:color w:val="231F20"/>
          <w:w w:val="120"/>
        </w:rPr>
        <w:t>avec</w:t>
      </w:r>
      <w:r>
        <w:rPr>
          <w:color w:val="231F20"/>
          <w:spacing w:val="-7"/>
          <w:w w:val="120"/>
        </w:rPr>
        <w:t> </w:t>
      </w:r>
      <w:r>
        <w:rPr>
          <w:color w:val="231F20"/>
          <w:w w:val="120"/>
        </w:rPr>
        <w:t>l’autre.</w:t>
      </w:r>
      <w:r>
        <w:rPr>
          <w:color w:val="231F20"/>
          <w:spacing w:val="-7"/>
          <w:w w:val="120"/>
        </w:rPr>
        <w:t> </w:t>
      </w:r>
      <w:r>
        <w:rPr>
          <w:color w:val="231F20"/>
          <w:w w:val="120"/>
        </w:rPr>
        <w:t>Selon</w:t>
      </w:r>
      <w:r>
        <w:rPr>
          <w:color w:val="231F20"/>
          <w:spacing w:val="-7"/>
          <w:w w:val="120"/>
        </w:rPr>
        <w:t> </w:t>
      </w:r>
      <w:r>
        <w:rPr>
          <w:color w:val="231F20"/>
          <w:w w:val="120"/>
        </w:rPr>
        <w:t>le</w:t>
      </w:r>
      <w:r>
        <w:rPr>
          <w:color w:val="231F20"/>
          <w:spacing w:val="-7"/>
          <w:w w:val="120"/>
        </w:rPr>
        <w:t> </w:t>
      </w:r>
      <w:r>
        <w:rPr>
          <w:color w:val="231F20"/>
          <w:w w:val="120"/>
        </w:rPr>
        <w:t>principe</w:t>
      </w:r>
      <w:r>
        <w:rPr>
          <w:color w:val="231F20"/>
          <w:spacing w:val="-7"/>
          <w:w w:val="120"/>
        </w:rPr>
        <w:t> </w:t>
      </w:r>
      <w:r>
        <w:rPr>
          <w:color w:val="231F20"/>
          <w:w w:val="120"/>
        </w:rPr>
        <w:t>de</w:t>
      </w:r>
      <w:r>
        <w:rPr>
          <w:color w:val="231F20"/>
          <w:spacing w:val="-7"/>
          <w:w w:val="120"/>
        </w:rPr>
        <w:t> </w:t>
      </w:r>
      <w:r>
        <w:rPr>
          <w:color w:val="231F20"/>
          <w:w w:val="120"/>
        </w:rPr>
        <w:t>Pareto, 20</w:t>
      </w:r>
      <w:r>
        <w:rPr>
          <w:color w:val="231F20"/>
          <w:spacing w:val="-13"/>
          <w:w w:val="120"/>
        </w:rPr>
        <w:t> </w:t>
      </w:r>
      <w:r>
        <w:rPr>
          <w:color w:val="231F20"/>
          <w:w w:val="120"/>
        </w:rPr>
        <w:t>%</w:t>
      </w:r>
      <w:r>
        <w:rPr>
          <w:color w:val="231F20"/>
          <w:spacing w:val="-13"/>
          <w:w w:val="120"/>
        </w:rPr>
        <w:t> </w:t>
      </w:r>
      <w:r>
        <w:rPr>
          <w:color w:val="231F20"/>
          <w:w w:val="120"/>
        </w:rPr>
        <w:t>de</w:t>
      </w:r>
      <w:r>
        <w:rPr>
          <w:color w:val="231F20"/>
          <w:spacing w:val="-13"/>
          <w:w w:val="120"/>
        </w:rPr>
        <w:t> </w:t>
      </w:r>
      <w:r>
        <w:rPr>
          <w:color w:val="231F20"/>
          <w:w w:val="120"/>
        </w:rPr>
        <w:t>nos</w:t>
      </w:r>
      <w:r>
        <w:rPr>
          <w:color w:val="231F20"/>
          <w:spacing w:val="-12"/>
          <w:w w:val="120"/>
        </w:rPr>
        <w:t> </w:t>
      </w:r>
      <w:r>
        <w:rPr>
          <w:color w:val="231F20"/>
          <w:w w:val="120"/>
        </w:rPr>
        <w:t>activités</w:t>
      </w:r>
      <w:r>
        <w:rPr>
          <w:color w:val="231F20"/>
          <w:spacing w:val="-13"/>
          <w:w w:val="120"/>
        </w:rPr>
        <w:t> </w:t>
      </w:r>
      <w:r>
        <w:rPr>
          <w:color w:val="231F20"/>
          <w:w w:val="120"/>
        </w:rPr>
        <w:t>au</w:t>
      </w:r>
      <w:r>
        <w:rPr>
          <w:color w:val="231F20"/>
          <w:spacing w:val="-10"/>
          <w:w w:val="120"/>
        </w:rPr>
        <w:t> </w:t>
      </w:r>
      <w:r>
        <w:rPr>
          <w:color w:val="231F20"/>
          <w:w w:val="120"/>
        </w:rPr>
        <w:t>travail</w:t>
      </w:r>
      <w:r>
        <w:rPr>
          <w:color w:val="231F20"/>
          <w:spacing w:val="-4"/>
          <w:w w:val="120"/>
        </w:rPr>
        <w:t> </w:t>
      </w:r>
      <w:r>
        <w:rPr>
          <w:color w:val="231F20"/>
          <w:w w:val="120"/>
        </w:rPr>
        <w:t>devraient</w:t>
      </w:r>
      <w:r>
        <w:rPr>
          <w:color w:val="231F20"/>
          <w:spacing w:val="-4"/>
          <w:w w:val="120"/>
        </w:rPr>
        <w:t> </w:t>
      </w:r>
      <w:r>
        <w:rPr>
          <w:color w:val="231F20"/>
          <w:w w:val="120"/>
        </w:rPr>
        <w:t>produire</w:t>
      </w:r>
      <w:r>
        <w:rPr>
          <w:color w:val="231F20"/>
          <w:spacing w:val="-5"/>
          <w:w w:val="120"/>
        </w:rPr>
        <w:t> </w:t>
      </w:r>
      <w:r>
        <w:rPr>
          <w:color w:val="231F20"/>
          <w:w w:val="120"/>
        </w:rPr>
        <w:t>environ</w:t>
      </w:r>
      <w:r>
        <w:rPr>
          <w:color w:val="231F20"/>
          <w:spacing w:val="-4"/>
          <w:w w:val="120"/>
        </w:rPr>
        <w:t> </w:t>
      </w:r>
      <w:r>
        <w:rPr>
          <w:color w:val="231F20"/>
          <w:w w:val="120"/>
        </w:rPr>
        <w:t>80</w:t>
      </w:r>
      <w:r>
        <w:rPr>
          <w:color w:val="231F20"/>
          <w:spacing w:val="-13"/>
          <w:w w:val="120"/>
        </w:rPr>
        <w:t> </w:t>
      </w:r>
      <w:r>
        <w:rPr>
          <w:color w:val="231F20"/>
          <w:w w:val="120"/>
        </w:rPr>
        <w:t>%</w:t>
      </w:r>
      <w:r>
        <w:rPr>
          <w:color w:val="231F20"/>
          <w:spacing w:val="-4"/>
          <w:w w:val="120"/>
        </w:rPr>
        <w:t> </w:t>
      </w:r>
      <w:r>
        <w:rPr>
          <w:color w:val="231F20"/>
          <w:w w:val="120"/>
        </w:rPr>
        <w:t>de</w:t>
      </w:r>
      <w:r>
        <w:rPr>
          <w:color w:val="231F20"/>
          <w:spacing w:val="-4"/>
          <w:w w:val="120"/>
        </w:rPr>
        <w:t> </w:t>
      </w:r>
      <w:r>
        <w:rPr>
          <w:color w:val="231F20"/>
          <w:w w:val="120"/>
        </w:rPr>
        <w:t>nos extrants.</w:t>
      </w:r>
      <w:r>
        <w:rPr>
          <w:color w:val="231F20"/>
          <w:spacing w:val="-10"/>
          <w:w w:val="120"/>
        </w:rPr>
        <w:t> </w:t>
      </w:r>
      <w:r>
        <w:rPr>
          <w:color w:val="231F20"/>
          <w:w w:val="120"/>
        </w:rPr>
        <w:t>Si</w:t>
      </w:r>
      <w:r>
        <w:rPr>
          <w:color w:val="231F20"/>
          <w:spacing w:val="-10"/>
          <w:w w:val="120"/>
        </w:rPr>
        <w:t> </w:t>
      </w:r>
      <w:r>
        <w:rPr>
          <w:color w:val="231F20"/>
          <w:w w:val="120"/>
        </w:rPr>
        <w:t>ce</w:t>
      </w:r>
      <w:r>
        <w:rPr>
          <w:color w:val="231F20"/>
          <w:spacing w:val="-10"/>
          <w:w w:val="120"/>
        </w:rPr>
        <w:t> </w:t>
      </w:r>
      <w:r>
        <w:rPr>
          <w:color w:val="231F20"/>
          <w:w w:val="120"/>
        </w:rPr>
        <w:t>n’est</w:t>
      </w:r>
      <w:r>
        <w:rPr>
          <w:color w:val="231F20"/>
          <w:spacing w:val="-10"/>
          <w:w w:val="120"/>
        </w:rPr>
        <w:t> </w:t>
      </w:r>
      <w:r>
        <w:rPr>
          <w:color w:val="231F20"/>
          <w:w w:val="120"/>
        </w:rPr>
        <w:t>pas</w:t>
      </w:r>
      <w:r>
        <w:rPr>
          <w:color w:val="231F20"/>
          <w:spacing w:val="-10"/>
          <w:w w:val="120"/>
        </w:rPr>
        <w:t> </w:t>
      </w:r>
      <w:r>
        <w:rPr>
          <w:color w:val="231F20"/>
          <w:w w:val="120"/>
        </w:rPr>
        <w:t>le</w:t>
      </w:r>
      <w:r>
        <w:rPr>
          <w:color w:val="231F20"/>
          <w:spacing w:val="-10"/>
          <w:w w:val="120"/>
        </w:rPr>
        <w:t> </w:t>
      </w:r>
      <w:r>
        <w:rPr>
          <w:color w:val="231F20"/>
          <w:w w:val="120"/>
        </w:rPr>
        <w:t>cas,</w:t>
      </w:r>
      <w:r>
        <w:rPr>
          <w:color w:val="231F20"/>
          <w:spacing w:val="-10"/>
          <w:w w:val="120"/>
        </w:rPr>
        <w:t> </w:t>
      </w:r>
      <w:r>
        <w:rPr>
          <w:color w:val="231F20"/>
          <w:w w:val="120"/>
        </w:rPr>
        <w:t>nous</w:t>
      </w:r>
      <w:r>
        <w:rPr>
          <w:color w:val="231F20"/>
          <w:spacing w:val="-10"/>
          <w:w w:val="120"/>
        </w:rPr>
        <w:t> </w:t>
      </w:r>
      <w:r>
        <w:rPr>
          <w:color w:val="231F20"/>
          <w:w w:val="120"/>
        </w:rPr>
        <w:t>devons</w:t>
      </w:r>
      <w:r>
        <w:rPr>
          <w:color w:val="231F20"/>
          <w:spacing w:val="-10"/>
          <w:w w:val="120"/>
        </w:rPr>
        <w:t> </w:t>
      </w:r>
      <w:r>
        <w:rPr>
          <w:color w:val="231F20"/>
          <w:w w:val="120"/>
        </w:rPr>
        <w:t>analyser</w:t>
      </w:r>
      <w:r>
        <w:rPr>
          <w:color w:val="231F20"/>
          <w:spacing w:val="-10"/>
          <w:w w:val="120"/>
        </w:rPr>
        <w:t> </w:t>
      </w:r>
      <w:r>
        <w:rPr>
          <w:color w:val="231F20"/>
          <w:w w:val="120"/>
        </w:rPr>
        <w:t>si</w:t>
      </w:r>
      <w:r>
        <w:rPr>
          <w:color w:val="231F20"/>
          <w:spacing w:val="-10"/>
          <w:w w:val="120"/>
        </w:rPr>
        <w:t> </w:t>
      </w:r>
      <w:r>
        <w:rPr>
          <w:color w:val="231F20"/>
          <w:w w:val="120"/>
        </w:rPr>
        <w:t>nous</w:t>
      </w:r>
      <w:r>
        <w:rPr>
          <w:color w:val="231F20"/>
          <w:spacing w:val="-10"/>
          <w:w w:val="120"/>
        </w:rPr>
        <w:t> </w:t>
      </w:r>
      <w:r>
        <w:rPr>
          <w:color w:val="231F20"/>
          <w:w w:val="120"/>
        </w:rPr>
        <w:t>mettons</w:t>
      </w:r>
      <w:r>
        <w:rPr>
          <w:color w:val="231F20"/>
          <w:spacing w:val="-10"/>
          <w:w w:val="120"/>
        </w:rPr>
        <w:t> </w:t>
      </w:r>
      <w:r>
        <w:rPr>
          <w:color w:val="231F20"/>
          <w:w w:val="120"/>
        </w:rPr>
        <w:t>de côté</w:t>
      </w:r>
      <w:r>
        <w:rPr>
          <w:color w:val="231F20"/>
          <w:spacing w:val="-2"/>
          <w:w w:val="120"/>
        </w:rPr>
        <w:t> </w:t>
      </w:r>
      <w:r>
        <w:rPr>
          <w:color w:val="231F20"/>
          <w:w w:val="120"/>
        </w:rPr>
        <w:t>des</w:t>
      </w:r>
      <w:r>
        <w:rPr>
          <w:color w:val="231F20"/>
          <w:spacing w:val="-2"/>
          <w:w w:val="120"/>
        </w:rPr>
        <w:t> </w:t>
      </w:r>
      <w:r>
        <w:rPr>
          <w:color w:val="231F20"/>
          <w:w w:val="120"/>
        </w:rPr>
        <w:t>activités</w:t>
      </w:r>
      <w:r>
        <w:rPr>
          <w:color w:val="231F20"/>
          <w:spacing w:val="-2"/>
          <w:w w:val="120"/>
        </w:rPr>
        <w:t> </w:t>
      </w:r>
      <w:r>
        <w:rPr>
          <w:color w:val="231F20"/>
          <w:w w:val="120"/>
        </w:rPr>
        <w:t>importantes</w:t>
      </w:r>
      <w:r>
        <w:rPr>
          <w:color w:val="231F20"/>
          <w:spacing w:val="-2"/>
          <w:w w:val="120"/>
        </w:rPr>
        <w:t> </w:t>
      </w:r>
      <w:r>
        <w:rPr>
          <w:color w:val="231F20"/>
          <w:w w:val="120"/>
        </w:rPr>
        <w:t>pour</w:t>
      </w:r>
      <w:r>
        <w:rPr>
          <w:color w:val="231F20"/>
          <w:spacing w:val="-2"/>
          <w:w w:val="120"/>
        </w:rPr>
        <w:t> </w:t>
      </w:r>
      <w:r>
        <w:rPr>
          <w:color w:val="231F20"/>
          <w:w w:val="120"/>
        </w:rPr>
        <w:t>nous</w:t>
      </w:r>
      <w:r>
        <w:rPr>
          <w:color w:val="231F20"/>
          <w:spacing w:val="-2"/>
          <w:w w:val="120"/>
        </w:rPr>
        <w:t> </w:t>
      </w:r>
      <w:r>
        <w:rPr>
          <w:color w:val="231F20"/>
          <w:w w:val="120"/>
        </w:rPr>
        <w:t>occuper</w:t>
      </w:r>
      <w:r>
        <w:rPr>
          <w:color w:val="231F20"/>
          <w:spacing w:val="-2"/>
          <w:w w:val="120"/>
        </w:rPr>
        <w:t> </w:t>
      </w:r>
      <w:r>
        <w:rPr>
          <w:color w:val="231F20"/>
          <w:w w:val="120"/>
        </w:rPr>
        <w:t>d’activités</w:t>
      </w:r>
      <w:r>
        <w:rPr>
          <w:color w:val="231F20"/>
          <w:spacing w:val="-2"/>
          <w:w w:val="120"/>
        </w:rPr>
        <w:t> </w:t>
      </w:r>
      <w:r>
        <w:rPr>
          <w:color w:val="231F20"/>
          <w:w w:val="120"/>
        </w:rPr>
        <w:t>impromp- tues, mais qui ne contribuent pas à l’obtention des résultats que nous nous sommes fixés.</w:t>
      </w:r>
    </w:p>
    <w:p>
      <w:pPr>
        <w:pStyle w:val="BodyText"/>
        <w:spacing w:line="307" w:lineRule="auto" w:before="78"/>
        <w:ind w:left="830" w:right="495" w:firstLine="250"/>
        <w:jc w:val="both"/>
      </w:pPr>
      <w:r>
        <w:rPr>
          <w:color w:val="231F20"/>
          <w:w w:val="115"/>
        </w:rPr>
        <w:t>Pour</w:t>
      </w:r>
      <w:r>
        <w:rPr>
          <w:color w:val="231F20"/>
          <w:spacing w:val="-13"/>
          <w:w w:val="115"/>
        </w:rPr>
        <w:t> </w:t>
      </w:r>
      <w:r>
        <w:rPr>
          <w:color w:val="231F20"/>
          <w:w w:val="115"/>
        </w:rPr>
        <w:t>résumer,</w:t>
      </w:r>
      <w:r>
        <w:rPr>
          <w:color w:val="231F20"/>
          <w:spacing w:val="-12"/>
          <w:w w:val="115"/>
        </w:rPr>
        <w:t> </w:t>
      </w:r>
      <w:r>
        <w:rPr>
          <w:color w:val="231F20"/>
          <w:w w:val="115"/>
        </w:rPr>
        <w:t>une</w:t>
      </w:r>
      <w:r>
        <w:rPr>
          <w:color w:val="231F20"/>
          <w:spacing w:val="-7"/>
          <w:w w:val="115"/>
        </w:rPr>
        <w:t> </w:t>
      </w:r>
      <w:r>
        <w:rPr>
          <w:color w:val="231F20"/>
          <w:w w:val="115"/>
        </w:rPr>
        <w:t>gestion</w:t>
      </w:r>
      <w:r>
        <w:rPr>
          <w:color w:val="231F20"/>
          <w:spacing w:val="-5"/>
          <w:w w:val="115"/>
        </w:rPr>
        <w:t> </w:t>
      </w:r>
      <w:r>
        <w:rPr>
          <w:color w:val="231F20"/>
          <w:w w:val="115"/>
        </w:rPr>
        <w:t>efficace</w:t>
      </w:r>
      <w:r>
        <w:rPr>
          <w:color w:val="231F20"/>
          <w:spacing w:val="-5"/>
          <w:w w:val="115"/>
        </w:rPr>
        <w:t> </w:t>
      </w:r>
      <w:r>
        <w:rPr>
          <w:color w:val="231F20"/>
          <w:w w:val="115"/>
        </w:rPr>
        <w:t>du</w:t>
      </w:r>
      <w:r>
        <w:rPr>
          <w:color w:val="231F20"/>
          <w:spacing w:val="-5"/>
          <w:w w:val="115"/>
        </w:rPr>
        <w:t> </w:t>
      </w:r>
      <w:r>
        <w:rPr>
          <w:color w:val="231F20"/>
          <w:w w:val="115"/>
        </w:rPr>
        <w:t>temps</w:t>
      </w:r>
      <w:r>
        <w:rPr>
          <w:color w:val="231F20"/>
          <w:spacing w:val="-5"/>
          <w:w w:val="115"/>
        </w:rPr>
        <w:t> </w:t>
      </w:r>
      <w:r>
        <w:rPr>
          <w:color w:val="231F20"/>
          <w:w w:val="115"/>
        </w:rPr>
        <w:t>réduit-elle</w:t>
      </w:r>
      <w:r>
        <w:rPr>
          <w:color w:val="231F20"/>
          <w:spacing w:val="-5"/>
          <w:w w:val="115"/>
        </w:rPr>
        <w:t> </w:t>
      </w:r>
      <w:r>
        <w:rPr>
          <w:color w:val="231F20"/>
          <w:w w:val="115"/>
        </w:rPr>
        <w:t>le</w:t>
      </w:r>
      <w:r>
        <w:rPr>
          <w:color w:val="231F20"/>
          <w:spacing w:val="-5"/>
          <w:w w:val="115"/>
        </w:rPr>
        <w:t> </w:t>
      </w:r>
      <w:r>
        <w:rPr>
          <w:color w:val="231F20"/>
          <w:w w:val="115"/>
        </w:rPr>
        <w:t>stress</w:t>
      </w:r>
      <w:r>
        <w:rPr>
          <w:color w:val="231F20"/>
          <w:spacing w:val="-13"/>
          <w:w w:val="115"/>
        </w:rPr>
        <w:t> </w:t>
      </w:r>
      <w:r>
        <w:rPr>
          <w:color w:val="231F20"/>
          <w:w w:val="115"/>
        </w:rPr>
        <w:t>?</w:t>
      </w:r>
      <w:r>
        <w:rPr>
          <w:color w:val="231F20"/>
          <w:spacing w:val="-4"/>
          <w:w w:val="115"/>
        </w:rPr>
        <w:t> </w:t>
      </w:r>
      <w:r>
        <w:rPr>
          <w:color w:val="231F20"/>
          <w:w w:val="115"/>
        </w:rPr>
        <w:t>Cela </w:t>
      </w:r>
      <w:r>
        <w:rPr>
          <w:color w:val="231F20"/>
          <w:w w:val="120"/>
        </w:rPr>
        <w:t>dépend</w:t>
      </w:r>
      <w:r>
        <w:rPr>
          <w:color w:val="231F20"/>
          <w:spacing w:val="-12"/>
          <w:w w:val="120"/>
        </w:rPr>
        <w:t> </w:t>
      </w:r>
      <w:r>
        <w:rPr>
          <w:color w:val="231F20"/>
          <w:w w:val="120"/>
        </w:rPr>
        <w:t>des</w:t>
      </w:r>
      <w:r>
        <w:rPr>
          <w:color w:val="231F20"/>
          <w:spacing w:val="-12"/>
          <w:w w:val="120"/>
        </w:rPr>
        <w:t> </w:t>
      </w:r>
      <w:r>
        <w:rPr>
          <w:color w:val="231F20"/>
          <w:w w:val="120"/>
        </w:rPr>
        <w:t>sources</w:t>
      </w:r>
      <w:r>
        <w:rPr>
          <w:color w:val="231F20"/>
          <w:spacing w:val="-12"/>
          <w:w w:val="120"/>
        </w:rPr>
        <w:t> </w:t>
      </w:r>
      <w:r>
        <w:rPr>
          <w:color w:val="231F20"/>
          <w:w w:val="120"/>
        </w:rPr>
        <w:t>de</w:t>
      </w:r>
      <w:r>
        <w:rPr>
          <w:color w:val="231F20"/>
          <w:spacing w:val="-12"/>
          <w:w w:val="120"/>
        </w:rPr>
        <w:t> </w:t>
      </w:r>
      <w:r>
        <w:rPr>
          <w:color w:val="231F20"/>
          <w:w w:val="120"/>
        </w:rPr>
        <w:t>stress.</w:t>
      </w:r>
      <w:r>
        <w:rPr>
          <w:color w:val="231F20"/>
          <w:spacing w:val="-12"/>
          <w:w w:val="120"/>
        </w:rPr>
        <w:t> </w:t>
      </w:r>
      <w:r>
        <w:rPr>
          <w:color w:val="231F20"/>
          <w:w w:val="120"/>
        </w:rPr>
        <w:t>Si</w:t>
      </w:r>
      <w:r>
        <w:rPr>
          <w:color w:val="231F20"/>
          <w:spacing w:val="-12"/>
          <w:w w:val="120"/>
        </w:rPr>
        <w:t> </w:t>
      </w:r>
      <w:r>
        <w:rPr>
          <w:color w:val="231F20"/>
          <w:w w:val="120"/>
        </w:rPr>
        <w:t>la</w:t>
      </w:r>
      <w:r>
        <w:rPr>
          <w:color w:val="231F20"/>
          <w:spacing w:val="-12"/>
          <w:w w:val="120"/>
        </w:rPr>
        <w:t> </w:t>
      </w:r>
      <w:r>
        <w:rPr>
          <w:color w:val="231F20"/>
          <w:w w:val="120"/>
        </w:rPr>
        <w:t>cause</w:t>
      </w:r>
      <w:r>
        <w:rPr>
          <w:color w:val="231F20"/>
          <w:spacing w:val="-12"/>
          <w:w w:val="120"/>
        </w:rPr>
        <w:t> </w:t>
      </w:r>
      <w:r>
        <w:rPr>
          <w:color w:val="231F20"/>
          <w:w w:val="120"/>
        </w:rPr>
        <w:t>est</w:t>
      </w:r>
      <w:r>
        <w:rPr>
          <w:color w:val="231F20"/>
          <w:spacing w:val="-12"/>
          <w:w w:val="120"/>
        </w:rPr>
        <w:t> </w:t>
      </w:r>
      <w:r>
        <w:rPr>
          <w:color w:val="231F20"/>
          <w:w w:val="120"/>
        </w:rPr>
        <w:t>un</w:t>
      </w:r>
      <w:r>
        <w:rPr>
          <w:color w:val="231F20"/>
          <w:spacing w:val="-12"/>
          <w:w w:val="120"/>
        </w:rPr>
        <w:t> </w:t>
      </w:r>
      <w:r>
        <w:rPr>
          <w:color w:val="231F20"/>
          <w:w w:val="120"/>
        </w:rPr>
        <w:t>manque</w:t>
      </w:r>
      <w:r>
        <w:rPr>
          <w:color w:val="231F20"/>
          <w:spacing w:val="-12"/>
          <w:w w:val="120"/>
        </w:rPr>
        <w:t> </w:t>
      </w:r>
      <w:r>
        <w:rPr>
          <w:color w:val="231F20"/>
          <w:w w:val="120"/>
        </w:rPr>
        <w:t>de</w:t>
      </w:r>
      <w:r>
        <w:rPr>
          <w:color w:val="231F20"/>
          <w:spacing w:val="-12"/>
          <w:w w:val="120"/>
        </w:rPr>
        <w:t> </w:t>
      </w:r>
      <w:r>
        <w:rPr>
          <w:color w:val="231F20"/>
          <w:w w:val="120"/>
        </w:rPr>
        <w:t>planification </w:t>
      </w:r>
      <w:r>
        <w:rPr>
          <w:color w:val="231F20"/>
          <w:spacing w:val="-2"/>
          <w:w w:val="120"/>
        </w:rPr>
        <w:t>ou</w:t>
      </w:r>
      <w:r>
        <w:rPr>
          <w:color w:val="231F20"/>
          <w:spacing w:val="-11"/>
          <w:w w:val="120"/>
        </w:rPr>
        <w:t> </w:t>
      </w:r>
      <w:r>
        <w:rPr>
          <w:color w:val="231F20"/>
          <w:spacing w:val="-2"/>
          <w:w w:val="120"/>
        </w:rPr>
        <w:t>une</w:t>
      </w:r>
      <w:r>
        <w:rPr>
          <w:color w:val="231F20"/>
          <w:spacing w:val="-11"/>
          <w:w w:val="120"/>
        </w:rPr>
        <w:t> </w:t>
      </w:r>
      <w:r>
        <w:rPr>
          <w:color w:val="231F20"/>
          <w:spacing w:val="-2"/>
          <w:w w:val="120"/>
        </w:rPr>
        <w:t>augmentation</w:t>
      </w:r>
      <w:r>
        <w:rPr>
          <w:color w:val="231F20"/>
          <w:spacing w:val="-11"/>
          <w:w w:val="120"/>
        </w:rPr>
        <w:t> </w:t>
      </w:r>
      <w:r>
        <w:rPr>
          <w:color w:val="231F20"/>
          <w:spacing w:val="-2"/>
          <w:w w:val="120"/>
        </w:rPr>
        <w:t>imprévue</w:t>
      </w:r>
      <w:r>
        <w:rPr>
          <w:color w:val="231F20"/>
          <w:spacing w:val="-10"/>
          <w:w w:val="120"/>
        </w:rPr>
        <w:t> </w:t>
      </w:r>
      <w:r>
        <w:rPr>
          <w:color w:val="231F20"/>
          <w:spacing w:val="-2"/>
          <w:w w:val="120"/>
        </w:rPr>
        <w:t>du</w:t>
      </w:r>
      <w:r>
        <w:rPr>
          <w:color w:val="231F20"/>
          <w:spacing w:val="-11"/>
          <w:w w:val="120"/>
        </w:rPr>
        <w:t> </w:t>
      </w:r>
      <w:r>
        <w:rPr>
          <w:color w:val="231F20"/>
          <w:spacing w:val="-2"/>
          <w:w w:val="120"/>
        </w:rPr>
        <w:t>volume</w:t>
      </w:r>
      <w:r>
        <w:rPr>
          <w:color w:val="231F20"/>
          <w:spacing w:val="-11"/>
          <w:w w:val="120"/>
        </w:rPr>
        <w:t> </w:t>
      </w:r>
      <w:r>
        <w:rPr>
          <w:color w:val="231F20"/>
          <w:spacing w:val="-2"/>
          <w:w w:val="120"/>
        </w:rPr>
        <w:t>de</w:t>
      </w:r>
      <w:r>
        <w:rPr>
          <w:color w:val="231F20"/>
          <w:spacing w:val="-11"/>
          <w:w w:val="120"/>
        </w:rPr>
        <w:t> </w:t>
      </w:r>
      <w:r>
        <w:rPr>
          <w:color w:val="231F20"/>
          <w:spacing w:val="-2"/>
          <w:w w:val="120"/>
        </w:rPr>
        <w:t>travail,</w:t>
      </w:r>
      <w:r>
        <w:rPr>
          <w:color w:val="231F20"/>
          <w:spacing w:val="-10"/>
          <w:w w:val="120"/>
        </w:rPr>
        <w:t> </w:t>
      </w:r>
      <w:r>
        <w:rPr>
          <w:color w:val="231F20"/>
          <w:spacing w:val="-2"/>
          <w:w w:val="120"/>
        </w:rPr>
        <w:t>la</w:t>
      </w:r>
      <w:r>
        <w:rPr>
          <w:color w:val="231F20"/>
          <w:spacing w:val="-11"/>
          <w:w w:val="120"/>
        </w:rPr>
        <w:t> </w:t>
      </w:r>
      <w:r>
        <w:rPr>
          <w:color w:val="231F20"/>
          <w:spacing w:val="-2"/>
          <w:w w:val="120"/>
        </w:rPr>
        <w:t>gestion</w:t>
      </w:r>
      <w:r>
        <w:rPr>
          <w:color w:val="231F20"/>
          <w:spacing w:val="-11"/>
          <w:w w:val="120"/>
        </w:rPr>
        <w:t> </w:t>
      </w:r>
      <w:r>
        <w:rPr>
          <w:color w:val="231F20"/>
          <w:spacing w:val="-2"/>
          <w:w w:val="120"/>
        </w:rPr>
        <w:t>du</w:t>
      </w:r>
      <w:r>
        <w:rPr>
          <w:color w:val="231F20"/>
          <w:spacing w:val="-11"/>
          <w:w w:val="120"/>
        </w:rPr>
        <w:t> </w:t>
      </w:r>
      <w:r>
        <w:rPr>
          <w:color w:val="231F20"/>
          <w:spacing w:val="-2"/>
          <w:w w:val="120"/>
        </w:rPr>
        <w:t>temps </w:t>
      </w:r>
      <w:r>
        <w:rPr>
          <w:color w:val="231F20"/>
          <w:w w:val="120"/>
        </w:rPr>
        <w:t>peut devenir un allié. En revanche, si les facteurs de stress sont plutôt </w:t>
      </w:r>
      <w:r>
        <w:rPr>
          <w:color w:val="231F20"/>
          <w:spacing w:val="-2"/>
          <w:w w:val="120"/>
        </w:rPr>
        <w:t>liés</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nature</w:t>
      </w:r>
      <w:r>
        <w:rPr>
          <w:color w:val="231F20"/>
          <w:spacing w:val="-8"/>
          <w:w w:val="120"/>
        </w:rPr>
        <w:t> </w:t>
      </w:r>
      <w:r>
        <w:rPr>
          <w:color w:val="231F20"/>
          <w:spacing w:val="-2"/>
          <w:w w:val="120"/>
        </w:rPr>
        <w:t>du</w:t>
      </w:r>
      <w:r>
        <w:rPr>
          <w:color w:val="231F20"/>
          <w:spacing w:val="-8"/>
          <w:w w:val="120"/>
        </w:rPr>
        <w:t> </w:t>
      </w:r>
      <w:r>
        <w:rPr>
          <w:color w:val="231F20"/>
          <w:spacing w:val="-2"/>
          <w:w w:val="120"/>
        </w:rPr>
        <w:t>travail</w:t>
      </w:r>
      <w:r>
        <w:rPr>
          <w:color w:val="231F20"/>
          <w:spacing w:val="-8"/>
          <w:w w:val="120"/>
        </w:rPr>
        <w:t> </w:t>
      </w:r>
      <w:r>
        <w:rPr>
          <w:color w:val="231F20"/>
          <w:spacing w:val="-2"/>
          <w:w w:val="120"/>
        </w:rPr>
        <w:t>en</w:t>
      </w:r>
      <w:r>
        <w:rPr>
          <w:color w:val="231F20"/>
          <w:spacing w:val="-8"/>
          <w:w w:val="120"/>
        </w:rPr>
        <w:t> </w:t>
      </w:r>
      <w:r>
        <w:rPr>
          <w:color w:val="231F20"/>
          <w:spacing w:val="-2"/>
          <w:w w:val="120"/>
        </w:rPr>
        <w:t>soi,</w:t>
      </w:r>
      <w:r>
        <w:rPr>
          <w:color w:val="231F20"/>
          <w:spacing w:val="-8"/>
          <w:w w:val="120"/>
        </w:rPr>
        <w:t> </w:t>
      </w:r>
      <w:r>
        <w:rPr>
          <w:color w:val="231F20"/>
          <w:spacing w:val="-2"/>
          <w:w w:val="120"/>
        </w:rPr>
        <w:t>indépendamment</w:t>
      </w:r>
      <w:r>
        <w:rPr>
          <w:color w:val="231F20"/>
          <w:spacing w:val="-8"/>
          <w:w w:val="120"/>
        </w:rPr>
        <w:t> </w:t>
      </w:r>
      <w:r>
        <w:rPr>
          <w:color w:val="231F20"/>
          <w:spacing w:val="-2"/>
          <w:w w:val="120"/>
        </w:rPr>
        <w:t>du</w:t>
      </w:r>
      <w:r>
        <w:rPr>
          <w:color w:val="231F20"/>
          <w:spacing w:val="-8"/>
          <w:w w:val="120"/>
        </w:rPr>
        <w:t> </w:t>
      </w:r>
      <w:r>
        <w:rPr>
          <w:color w:val="231F20"/>
          <w:spacing w:val="-2"/>
          <w:w w:val="120"/>
        </w:rPr>
        <w:t>volume</w:t>
      </w:r>
      <w:r>
        <w:rPr>
          <w:color w:val="231F20"/>
          <w:spacing w:val="-8"/>
          <w:w w:val="120"/>
        </w:rPr>
        <w:t> </w:t>
      </w:r>
      <w:r>
        <w:rPr>
          <w:color w:val="231F20"/>
          <w:spacing w:val="-2"/>
          <w:w w:val="120"/>
        </w:rPr>
        <w:t>d’activités, </w:t>
      </w:r>
      <w:r>
        <w:rPr>
          <w:color w:val="231F20"/>
          <w:w w:val="125"/>
        </w:rPr>
        <w:t>apprendre</w:t>
      </w:r>
      <w:r>
        <w:rPr>
          <w:color w:val="231F20"/>
          <w:spacing w:val="-12"/>
          <w:w w:val="125"/>
        </w:rPr>
        <w:t> </w:t>
      </w:r>
      <w:r>
        <w:rPr>
          <w:color w:val="231F20"/>
          <w:w w:val="125"/>
        </w:rPr>
        <w:t>à</w:t>
      </w:r>
      <w:r>
        <w:rPr>
          <w:color w:val="231F20"/>
          <w:spacing w:val="-13"/>
          <w:w w:val="125"/>
        </w:rPr>
        <w:t> </w:t>
      </w:r>
      <w:r>
        <w:rPr>
          <w:color w:val="231F20"/>
          <w:w w:val="125"/>
        </w:rPr>
        <w:t>gérer</w:t>
      </w:r>
      <w:r>
        <w:rPr>
          <w:color w:val="231F20"/>
          <w:spacing w:val="-12"/>
          <w:w w:val="125"/>
        </w:rPr>
        <w:t> </w:t>
      </w:r>
      <w:r>
        <w:rPr>
          <w:color w:val="231F20"/>
          <w:w w:val="125"/>
        </w:rPr>
        <w:t>son</w:t>
      </w:r>
      <w:r>
        <w:rPr>
          <w:color w:val="231F20"/>
          <w:spacing w:val="-13"/>
          <w:w w:val="125"/>
        </w:rPr>
        <w:t> </w:t>
      </w:r>
      <w:r>
        <w:rPr>
          <w:color w:val="231F20"/>
          <w:w w:val="125"/>
        </w:rPr>
        <w:t>temps</w:t>
      </w:r>
      <w:r>
        <w:rPr>
          <w:color w:val="231F20"/>
          <w:spacing w:val="-12"/>
          <w:w w:val="125"/>
        </w:rPr>
        <w:t> </w:t>
      </w:r>
      <w:r>
        <w:rPr>
          <w:color w:val="231F20"/>
          <w:w w:val="125"/>
        </w:rPr>
        <w:t>n’aura</w:t>
      </w:r>
      <w:r>
        <w:rPr>
          <w:color w:val="231F20"/>
          <w:spacing w:val="-13"/>
          <w:w w:val="125"/>
        </w:rPr>
        <w:t> </w:t>
      </w:r>
      <w:r>
        <w:rPr>
          <w:color w:val="231F20"/>
          <w:w w:val="125"/>
        </w:rPr>
        <w:t>que</w:t>
      </w:r>
      <w:r>
        <w:rPr>
          <w:color w:val="231F20"/>
          <w:spacing w:val="-12"/>
          <w:w w:val="125"/>
        </w:rPr>
        <w:t> </w:t>
      </w:r>
      <w:r>
        <w:rPr>
          <w:color w:val="231F20"/>
          <w:w w:val="125"/>
        </w:rPr>
        <w:t>peu</w:t>
      </w:r>
      <w:r>
        <w:rPr>
          <w:color w:val="231F20"/>
          <w:spacing w:val="-13"/>
          <w:w w:val="125"/>
        </w:rPr>
        <w:t> </w:t>
      </w:r>
      <w:r>
        <w:rPr>
          <w:color w:val="231F20"/>
          <w:w w:val="125"/>
        </w:rPr>
        <w:t>d’effet</w:t>
      </w:r>
      <w:r>
        <w:rPr>
          <w:color w:val="231F20"/>
          <w:spacing w:val="-12"/>
          <w:w w:val="125"/>
        </w:rPr>
        <w:t> </w:t>
      </w:r>
      <w:r>
        <w:rPr>
          <w:color w:val="231F20"/>
          <w:w w:val="125"/>
        </w:rPr>
        <w:t>atténuateur</w:t>
      </w:r>
      <w:r>
        <w:rPr>
          <w:color w:val="231F20"/>
          <w:spacing w:val="-13"/>
          <w:w w:val="125"/>
        </w:rPr>
        <w:t> </w:t>
      </w:r>
      <w:r>
        <w:rPr>
          <w:color w:val="231F20"/>
          <w:w w:val="125"/>
        </w:rPr>
        <w:t>sur</w:t>
      </w:r>
      <w:r>
        <w:rPr>
          <w:color w:val="231F20"/>
          <w:spacing w:val="-12"/>
          <w:w w:val="125"/>
        </w:rPr>
        <w:t> </w:t>
      </w:r>
      <w:r>
        <w:rPr>
          <w:color w:val="231F20"/>
          <w:w w:val="125"/>
        </w:rPr>
        <w:t>le niveau de stress.</w:t>
      </w:r>
    </w:p>
    <w:p>
      <w:pPr>
        <w:pStyle w:val="BodyText"/>
        <w:spacing w:before="7"/>
        <w:rPr>
          <w:sz w:val="21"/>
        </w:rPr>
      </w:pPr>
    </w:p>
    <w:p>
      <w:pPr>
        <w:pStyle w:val="BodyText"/>
        <w:spacing w:line="307" w:lineRule="auto"/>
        <w:ind w:left="830" w:right="495"/>
        <w:jc w:val="both"/>
      </w:pPr>
      <w:r>
        <w:rPr>
          <w:b/>
          <w:color w:val="231F20"/>
          <w:w w:val="120"/>
        </w:rPr>
        <w:t>Gestion</w:t>
      </w:r>
      <w:r>
        <w:rPr>
          <w:b/>
          <w:color w:val="231F20"/>
          <w:spacing w:val="-7"/>
          <w:w w:val="120"/>
        </w:rPr>
        <w:t> </w:t>
      </w:r>
      <w:r>
        <w:rPr>
          <w:b/>
          <w:color w:val="231F20"/>
          <w:w w:val="120"/>
        </w:rPr>
        <w:t>de</w:t>
      </w:r>
      <w:r>
        <w:rPr>
          <w:b/>
          <w:color w:val="231F20"/>
          <w:spacing w:val="-7"/>
          <w:w w:val="120"/>
        </w:rPr>
        <w:t> </w:t>
      </w:r>
      <w:r>
        <w:rPr>
          <w:b/>
          <w:color w:val="231F20"/>
          <w:w w:val="120"/>
        </w:rPr>
        <w:t>l’adaptation.</w:t>
      </w:r>
      <w:r>
        <w:rPr>
          <w:b/>
          <w:color w:val="231F20"/>
          <w:spacing w:val="-3"/>
          <w:w w:val="120"/>
        </w:rPr>
        <w:t> </w:t>
      </w:r>
      <w:r>
        <w:rPr>
          <w:color w:val="231F20"/>
          <w:w w:val="120"/>
        </w:rPr>
        <w:t>Nous</w:t>
      </w:r>
      <w:r>
        <w:rPr>
          <w:color w:val="231F20"/>
          <w:spacing w:val="-3"/>
          <w:w w:val="120"/>
        </w:rPr>
        <w:t> </w:t>
      </w:r>
      <w:r>
        <w:rPr>
          <w:color w:val="231F20"/>
          <w:w w:val="120"/>
        </w:rPr>
        <w:t>vivons</w:t>
      </w:r>
      <w:r>
        <w:rPr>
          <w:color w:val="231F20"/>
          <w:spacing w:val="-3"/>
          <w:w w:val="120"/>
        </w:rPr>
        <w:t> </w:t>
      </w:r>
      <w:r>
        <w:rPr>
          <w:color w:val="231F20"/>
          <w:w w:val="120"/>
        </w:rPr>
        <w:t>constamment</w:t>
      </w:r>
      <w:r>
        <w:rPr>
          <w:color w:val="231F20"/>
          <w:spacing w:val="-3"/>
          <w:w w:val="120"/>
        </w:rPr>
        <w:t> </w:t>
      </w:r>
      <w:r>
        <w:rPr>
          <w:color w:val="231F20"/>
          <w:w w:val="120"/>
        </w:rPr>
        <w:t>plongés</w:t>
      </w:r>
      <w:r>
        <w:rPr>
          <w:color w:val="231F20"/>
          <w:spacing w:val="-3"/>
          <w:w w:val="120"/>
        </w:rPr>
        <w:t> </w:t>
      </w:r>
      <w:r>
        <w:rPr>
          <w:color w:val="231F20"/>
          <w:w w:val="120"/>
        </w:rPr>
        <w:t>dans</w:t>
      </w:r>
      <w:r>
        <w:rPr>
          <w:color w:val="231F20"/>
          <w:spacing w:val="-3"/>
          <w:w w:val="120"/>
        </w:rPr>
        <w:t> </w:t>
      </w:r>
      <w:r>
        <w:rPr>
          <w:color w:val="231F20"/>
          <w:w w:val="120"/>
        </w:rPr>
        <w:t>des situations</w:t>
      </w:r>
      <w:r>
        <w:rPr>
          <w:color w:val="231F20"/>
          <w:spacing w:val="-12"/>
          <w:w w:val="120"/>
        </w:rPr>
        <w:t> </w:t>
      </w:r>
      <w:r>
        <w:rPr>
          <w:color w:val="231F20"/>
          <w:w w:val="120"/>
        </w:rPr>
        <w:t>de</w:t>
      </w:r>
      <w:r>
        <w:rPr>
          <w:color w:val="231F20"/>
          <w:spacing w:val="-12"/>
          <w:w w:val="120"/>
        </w:rPr>
        <w:t> </w:t>
      </w:r>
      <w:r>
        <w:rPr>
          <w:color w:val="231F20"/>
          <w:w w:val="120"/>
        </w:rPr>
        <w:t>changement,</w:t>
      </w:r>
      <w:r>
        <w:rPr>
          <w:color w:val="231F20"/>
          <w:spacing w:val="-12"/>
          <w:w w:val="120"/>
        </w:rPr>
        <w:t> </w:t>
      </w:r>
      <w:r>
        <w:rPr>
          <w:color w:val="231F20"/>
          <w:w w:val="120"/>
        </w:rPr>
        <w:t>au</w:t>
      </w:r>
      <w:r>
        <w:rPr>
          <w:color w:val="231F20"/>
          <w:spacing w:val="-12"/>
          <w:w w:val="120"/>
        </w:rPr>
        <w:t> </w:t>
      </w:r>
      <w:r>
        <w:rPr>
          <w:color w:val="231F20"/>
          <w:w w:val="120"/>
        </w:rPr>
        <w:t>travail</w:t>
      </w:r>
      <w:r>
        <w:rPr>
          <w:color w:val="231F20"/>
          <w:spacing w:val="-12"/>
          <w:w w:val="120"/>
        </w:rPr>
        <w:t> </w:t>
      </w:r>
      <w:r>
        <w:rPr>
          <w:color w:val="231F20"/>
          <w:w w:val="120"/>
        </w:rPr>
        <w:t>comme</w:t>
      </w:r>
      <w:r>
        <w:rPr>
          <w:color w:val="231F20"/>
          <w:spacing w:val="-12"/>
          <w:w w:val="120"/>
        </w:rPr>
        <w:t> </w:t>
      </w:r>
      <w:r>
        <w:rPr>
          <w:color w:val="231F20"/>
          <w:w w:val="120"/>
        </w:rPr>
        <w:t>dans</w:t>
      </w:r>
      <w:r>
        <w:rPr>
          <w:color w:val="231F20"/>
          <w:spacing w:val="-12"/>
          <w:w w:val="120"/>
        </w:rPr>
        <w:t> </w:t>
      </w:r>
      <w:r>
        <w:rPr>
          <w:color w:val="231F20"/>
          <w:w w:val="120"/>
        </w:rPr>
        <w:t>notre</w:t>
      </w:r>
      <w:r>
        <w:rPr>
          <w:color w:val="231F20"/>
          <w:spacing w:val="-12"/>
          <w:w w:val="120"/>
        </w:rPr>
        <w:t> </w:t>
      </w:r>
      <w:r>
        <w:rPr>
          <w:color w:val="231F20"/>
          <w:w w:val="120"/>
        </w:rPr>
        <w:t>vie</w:t>
      </w:r>
      <w:r>
        <w:rPr>
          <w:color w:val="231F20"/>
          <w:spacing w:val="-12"/>
          <w:w w:val="120"/>
        </w:rPr>
        <w:t> </w:t>
      </w:r>
      <w:r>
        <w:rPr>
          <w:color w:val="231F20"/>
          <w:w w:val="120"/>
        </w:rPr>
        <w:t>personnelle, qui</w:t>
      </w:r>
      <w:r>
        <w:rPr>
          <w:color w:val="231F20"/>
          <w:spacing w:val="-11"/>
          <w:w w:val="120"/>
        </w:rPr>
        <w:t> </w:t>
      </w:r>
      <w:r>
        <w:rPr>
          <w:color w:val="231F20"/>
          <w:w w:val="120"/>
        </w:rPr>
        <w:t>nous</w:t>
      </w:r>
      <w:r>
        <w:rPr>
          <w:color w:val="231F20"/>
          <w:spacing w:val="-11"/>
          <w:w w:val="120"/>
        </w:rPr>
        <w:t> </w:t>
      </w:r>
      <w:r>
        <w:rPr>
          <w:color w:val="231F20"/>
          <w:w w:val="120"/>
        </w:rPr>
        <w:t>demandent</w:t>
      </w:r>
      <w:r>
        <w:rPr>
          <w:color w:val="231F20"/>
          <w:spacing w:val="-11"/>
          <w:w w:val="120"/>
        </w:rPr>
        <w:t> </w:t>
      </w:r>
      <w:r>
        <w:rPr>
          <w:color w:val="231F20"/>
          <w:w w:val="120"/>
        </w:rPr>
        <w:t>constamment</w:t>
      </w:r>
      <w:r>
        <w:rPr>
          <w:color w:val="231F20"/>
          <w:spacing w:val="-11"/>
          <w:w w:val="120"/>
        </w:rPr>
        <w:t> </w:t>
      </w:r>
      <w:r>
        <w:rPr>
          <w:color w:val="231F20"/>
          <w:w w:val="120"/>
        </w:rPr>
        <w:t>de</w:t>
      </w:r>
      <w:r>
        <w:rPr>
          <w:color w:val="231F20"/>
          <w:spacing w:val="-11"/>
          <w:w w:val="120"/>
        </w:rPr>
        <w:t> </w:t>
      </w:r>
      <w:r>
        <w:rPr>
          <w:color w:val="231F20"/>
          <w:w w:val="120"/>
        </w:rPr>
        <w:t>nous</w:t>
      </w:r>
      <w:r>
        <w:rPr>
          <w:color w:val="231F20"/>
          <w:spacing w:val="-11"/>
          <w:w w:val="120"/>
        </w:rPr>
        <w:t> </w:t>
      </w:r>
      <w:r>
        <w:rPr>
          <w:color w:val="231F20"/>
          <w:w w:val="120"/>
        </w:rPr>
        <w:t>adapter.</w:t>
      </w:r>
      <w:r>
        <w:rPr>
          <w:color w:val="231F20"/>
          <w:spacing w:val="-11"/>
          <w:w w:val="120"/>
        </w:rPr>
        <w:t> </w:t>
      </w:r>
      <w:r>
        <w:rPr>
          <w:color w:val="231F20"/>
          <w:w w:val="120"/>
        </w:rPr>
        <w:t>Cela</w:t>
      </w:r>
      <w:r>
        <w:rPr>
          <w:color w:val="231F20"/>
          <w:spacing w:val="-11"/>
          <w:w w:val="120"/>
        </w:rPr>
        <w:t> </w:t>
      </w:r>
      <w:r>
        <w:rPr>
          <w:color w:val="231F20"/>
          <w:w w:val="120"/>
        </w:rPr>
        <w:t>ne</w:t>
      </w:r>
      <w:r>
        <w:rPr>
          <w:color w:val="231F20"/>
          <w:spacing w:val="-11"/>
          <w:w w:val="120"/>
        </w:rPr>
        <w:t> </w:t>
      </w:r>
      <w:r>
        <w:rPr>
          <w:color w:val="231F20"/>
          <w:w w:val="120"/>
        </w:rPr>
        <w:t>signifie</w:t>
      </w:r>
      <w:r>
        <w:rPr>
          <w:color w:val="231F20"/>
          <w:spacing w:val="-11"/>
          <w:w w:val="120"/>
        </w:rPr>
        <w:t> </w:t>
      </w:r>
      <w:r>
        <w:rPr>
          <w:color w:val="231F20"/>
          <w:w w:val="120"/>
        </w:rPr>
        <w:t>pas </w:t>
      </w:r>
      <w:r>
        <w:rPr>
          <w:color w:val="231F20"/>
          <w:spacing w:val="-2"/>
          <w:w w:val="120"/>
        </w:rPr>
        <w:t>pour</w:t>
      </w:r>
      <w:r>
        <w:rPr>
          <w:color w:val="231F20"/>
          <w:spacing w:val="-10"/>
          <w:w w:val="120"/>
        </w:rPr>
        <w:t> </w:t>
      </w:r>
      <w:r>
        <w:rPr>
          <w:color w:val="231F20"/>
          <w:spacing w:val="-2"/>
          <w:w w:val="120"/>
        </w:rPr>
        <w:t>autant</w:t>
      </w:r>
      <w:r>
        <w:rPr>
          <w:color w:val="231F20"/>
          <w:spacing w:val="-10"/>
          <w:w w:val="120"/>
        </w:rPr>
        <w:t> </w:t>
      </w:r>
      <w:r>
        <w:rPr>
          <w:color w:val="231F20"/>
          <w:spacing w:val="-2"/>
          <w:w w:val="120"/>
        </w:rPr>
        <w:t>que</w:t>
      </w:r>
      <w:r>
        <w:rPr>
          <w:color w:val="231F20"/>
          <w:spacing w:val="-10"/>
          <w:w w:val="120"/>
        </w:rPr>
        <w:t> </w:t>
      </w:r>
      <w:r>
        <w:rPr>
          <w:color w:val="231F20"/>
          <w:spacing w:val="-2"/>
          <w:w w:val="120"/>
        </w:rPr>
        <w:t>nous</w:t>
      </w:r>
      <w:r>
        <w:rPr>
          <w:color w:val="231F20"/>
          <w:spacing w:val="-10"/>
          <w:w w:val="120"/>
        </w:rPr>
        <w:t> </w:t>
      </w:r>
      <w:r>
        <w:rPr>
          <w:color w:val="231F20"/>
          <w:spacing w:val="-2"/>
          <w:w w:val="120"/>
        </w:rPr>
        <w:t>sachions</w:t>
      </w:r>
      <w:r>
        <w:rPr>
          <w:color w:val="231F20"/>
          <w:spacing w:val="-10"/>
          <w:w w:val="120"/>
        </w:rPr>
        <w:t> </w:t>
      </w:r>
      <w:r>
        <w:rPr>
          <w:color w:val="231F20"/>
          <w:spacing w:val="-2"/>
          <w:w w:val="120"/>
        </w:rPr>
        <w:t>comment</w:t>
      </w:r>
      <w:r>
        <w:rPr>
          <w:color w:val="231F20"/>
          <w:spacing w:val="-10"/>
          <w:w w:val="120"/>
        </w:rPr>
        <w:t> </w:t>
      </w:r>
      <w:r>
        <w:rPr>
          <w:color w:val="231F20"/>
          <w:spacing w:val="-2"/>
          <w:w w:val="120"/>
        </w:rPr>
        <w:t>nous</w:t>
      </w:r>
      <w:r>
        <w:rPr>
          <w:color w:val="231F20"/>
          <w:spacing w:val="-10"/>
          <w:w w:val="120"/>
        </w:rPr>
        <w:t> </w:t>
      </w:r>
      <w:r>
        <w:rPr>
          <w:color w:val="231F20"/>
          <w:spacing w:val="-2"/>
          <w:w w:val="120"/>
        </w:rPr>
        <w:t>adapter</w:t>
      </w:r>
      <w:r>
        <w:rPr>
          <w:color w:val="231F20"/>
          <w:spacing w:val="-10"/>
          <w:w w:val="120"/>
        </w:rPr>
        <w:t> </w:t>
      </w:r>
      <w:r>
        <w:rPr>
          <w:color w:val="231F20"/>
          <w:spacing w:val="-2"/>
          <w:w w:val="120"/>
        </w:rPr>
        <w:t>à</w:t>
      </w:r>
      <w:r>
        <w:rPr>
          <w:color w:val="231F20"/>
          <w:spacing w:val="-10"/>
          <w:w w:val="120"/>
        </w:rPr>
        <w:t> </w:t>
      </w:r>
      <w:r>
        <w:rPr>
          <w:color w:val="231F20"/>
          <w:spacing w:val="-2"/>
          <w:w w:val="120"/>
        </w:rPr>
        <w:t>ces</w:t>
      </w:r>
      <w:r>
        <w:rPr>
          <w:color w:val="231F20"/>
          <w:spacing w:val="-10"/>
          <w:w w:val="120"/>
        </w:rPr>
        <w:t> </w:t>
      </w:r>
      <w:r>
        <w:rPr>
          <w:color w:val="231F20"/>
          <w:spacing w:val="-2"/>
          <w:w w:val="120"/>
        </w:rPr>
        <w:t>changements </w:t>
      </w:r>
      <w:r>
        <w:rPr>
          <w:color w:val="231F20"/>
          <w:w w:val="120"/>
        </w:rPr>
        <w:t>continus.</w:t>
      </w:r>
      <w:r>
        <w:rPr>
          <w:color w:val="231F20"/>
          <w:spacing w:val="-3"/>
          <w:w w:val="120"/>
        </w:rPr>
        <w:t> </w:t>
      </w:r>
      <w:r>
        <w:rPr>
          <w:color w:val="231F20"/>
          <w:w w:val="120"/>
        </w:rPr>
        <w:t>En</w:t>
      </w:r>
      <w:r>
        <w:rPr>
          <w:color w:val="231F20"/>
          <w:spacing w:val="-3"/>
          <w:w w:val="120"/>
        </w:rPr>
        <w:t> </w:t>
      </w:r>
      <w:r>
        <w:rPr>
          <w:color w:val="231F20"/>
          <w:w w:val="120"/>
        </w:rPr>
        <w:t>général,</w:t>
      </w:r>
      <w:r>
        <w:rPr>
          <w:color w:val="231F20"/>
          <w:spacing w:val="-3"/>
          <w:w w:val="120"/>
        </w:rPr>
        <w:t> </w:t>
      </w:r>
      <w:r>
        <w:rPr>
          <w:color w:val="231F20"/>
          <w:w w:val="120"/>
        </w:rPr>
        <w:t>toute</w:t>
      </w:r>
      <w:r>
        <w:rPr>
          <w:color w:val="231F20"/>
          <w:spacing w:val="-3"/>
          <w:w w:val="120"/>
        </w:rPr>
        <w:t> </w:t>
      </w:r>
      <w:r>
        <w:rPr>
          <w:color w:val="231F20"/>
          <w:w w:val="120"/>
        </w:rPr>
        <w:t>situation</w:t>
      </w:r>
      <w:r>
        <w:rPr>
          <w:color w:val="231F20"/>
          <w:spacing w:val="-3"/>
          <w:w w:val="120"/>
        </w:rPr>
        <w:t> </w:t>
      </w:r>
      <w:r>
        <w:rPr>
          <w:color w:val="231F20"/>
          <w:w w:val="120"/>
        </w:rPr>
        <w:t>de</w:t>
      </w:r>
      <w:r>
        <w:rPr>
          <w:color w:val="231F20"/>
          <w:spacing w:val="-2"/>
          <w:w w:val="120"/>
        </w:rPr>
        <w:t> </w:t>
      </w:r>
      <w:r>
        <w:rPr>
          <w:color w:val="231F20"/>
          <w:w w:val="120"/>
        </w:rPr>
        <w:t>changement</w:t>
      </w:r>
      <w:r>
        <w:rPr>
          <w:color w:val="231F20"/>
          <w:spacing w:val="-3"/>
          <w:w w:val="120"/>
        </w:rPr>
        <w:t> </w:t>
      </w:r>
      <w:r>
        <w:rPr>
          <w:color w:val="231F20"/>
          <w:w w:val="120"/>
        </w:rPr>
        <w:t>est</w:t>
      </w:r>
      <w:r>
        <w:rPr>
          <w:color w:val="231F20"/>
          <w:spacing w:val="-3"/>
          <w:w w:val="120"/>
        </w:rPr>
        <w:t> </w:t>
      </w:r>
      <w:r>
        <w:rPr>
          <w:color w:val="231F20"/>
          <w:w w:val="120"/>
        </w:rPr>
        <w:t>associée</w:t>
      </w:r>
      <w:r>
        <w:rPr>
          <w:color w:val="231F20"/>
          <w:spacing w:val="-3"/>
          <w:w w:val="120"/>
        </w:rPr>
        <w:t> </w:t>
      </w:r>
      <w:r>
        <w:rPr>
          <w:color w:val="231F20"/>
          <w:w w:val="120"/>
        </w:rPr>
        <w:t>à</w:t>
      </w:r>
      <w:r>
        <w:rPr>
          <w:color w:val="231F20"/>
          <w:spacing w:val="-3"/>
          <w:w w:val="120"/>
        </w:rPr>
        <w:t> </w:t>
      </w:r>
      <w:r>
        <w:rPr>
          <w:color w:val="231F20"/>
          <w:spacing w:val="-5"/>
          <w:w w:val="120"/>
        </w:rPr>
        <w:t>une</w:t>
      </w:r>
    </w:p>
    <w:p>
      <w:pPr>
        <w:spacing w:after="0" w:line="307" w:lineRule="auto"/>
        <w:jc w:val="both"/>
        <w:sectPr>
          <w:footerReference w:type="default" r:id="rId310"/>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3"/>
        <w:jc w:val="both"/>
      </w:pPr>
      <w:r>
        <w:rPr>
          <w:color w:val="231F20"/>
          <w:spacing w:val="-2"/>
          <w:w w:val="120"/>
        </w:rPr>
        <w:t>certaine</w:t>
      </w:r>
      <w:r>
        <w:rPr>
          <w:color w:val="231F20"/>
          <w:spacing w:val="-10"/>
          <w:w w:val="120"/>
        </w:rPr>
        <w:t> </w:t>
      </w:r>
      <w:r>
        <w:rPr>
          <w:color w:val="231F20"/>
          <w:spacing w:val="-2"/>
          <w:w w:val="120"/>
        </w:rPr>
        <w:t>dose</w:t>
      </w:r>
      <w:r>
        <w:rPr>
          <w:color w:val="231F20"/>
          <w:spacing w:val="-10"/>
          <w:w w:val="120"/>
        </w:rPr>
        <w:t> </w:t>
      </w:r>
      <w:r>
        <w:rPr>
          <w:color w:val="231F20"/>
          <w:spacing w:val="-2"/>
          <w:w w:val="120"/>
        </w:rPr>
        <w:t>de</w:t>
      </w:r>
      <w:r>
        <w:rPr>
          <w:color w:val="231F20"/>
          <w:spacing w:val="-10"/>
          <w:w w:val="120"/>
        </w:rPr>
        <w:t> </w:t>
      </w:r>
      <w:r>
        <w:rPr>
          <w:color w:val="231F20"/>
          <w:spacing w:val="-2"/>
          <w:w w:val="120"/>
        </w:rPr>
        <w:t>stress.</w:t>
      </w:r>
      <w:r>
        <w:rPr>
          <w:color w:val="231F20"/>
          <w:spacing w:val="-10"/>
          <w:w w:val="120"/>
        </w:rPr>
        <w:t> </w:t>
      </w:r>
      <w:r>
        <w:rPr>
          <w:color w:val="231F20"/>
          <w:spacing w:val="-2"/>
          <w:w w:val="120"/>
        </w:rPr>
        <w:t>Lorsque</w:t>
      </w:r>
      <w:r>
        <w:rPr>
          <w:color w:val="231F20"/>
          <w:spacing w:val="-10"/>
          <w:w w:val="120"/>
        </w:rPr>
        <w:t> </w:t>
      </w:r>
      <w:r>
        <w:rPr>
          <w:color w:val="231F20"/>
          <w:spacing w:val="-2"/>
          <w:w w:val="120"/>
        </w:rPr>
        <w:t>survient</w:t>
      </w:r>
      <w:r>
        <w:rPr>
          <w:color w:val="231F20"/>
          <w:spacing w:val="-10"/>
          <w:w w:val="120"/>
        </w:rPr>
        <w:t> </w:t>
      </w:r>
      <w:r>
        <w:rPr>
          <w:color w:val="231F20"/>
          <w:spacing w:val="-2"/>
          <w:w w:val="120"/>
        </w:rPr>
        <w:t>un</w:t>
      </w:r>
      <w:r>
        <w:rPr>
          <w:color w:val="231F20"/>
          <w:spacing w:val="-10"/>
          <w:w w:val="120"/>
        </w:rPr>
        <w:t> </w:t>
      </w:r>
      <w:r>
        <w:rPr>
          <w:color w:val="231F20"/>
          <w:spacing w:val="-2"/>
          <w:w w:val="120"/>
        </w:rPr>
        <w:t>changement,</w:t>
      </w:r>
      <w:r>
        <w:rPr>
          <w:color w:val="231F20"/>
          <w:spacing w:val="-10"/>
          <w:w w:val="120"/>
        </w:rPr>
        <w:t> </w:t>
      </w:r>
      <w:r>
        <w:rPr>
          <w:color w:val="231F20"/>
          <w:spacing w:val="-2"/>
          <w:w w:val="120"/>
        </w:rPr>
        <w:t>la</w:t>
      </w:r>
      <w:r>
        <w:rPr>
          <w:color w:val="231F20"/>
          <w:spacing w:val="-10"/>
          <w:w w:val="120"/>
        </w:rPr>
        <w:t> </w:t>
      </w:r>
      <w:r>
        <w:rPr>
          <w:color w:val="231F20"/>
          <w:spacing w:val="-2"/>
          <w:w w:val="120"/>
        </w:rPr>
        <w:t>personne</w:t>
      </w:r>
      <w:r>
        <w:rPr>
          <w:color w:val="231F20"/>
          <w:spacing w:val="-10"/>
          <w:w w:val="120"/>
        </w:rPr>
        <w:t> </w:t>
      </w:r>
      <w:r>
        <w:rPr>
          <w:color w:val="231F20"/>
          <w:spacing w:val="-2"/>
          <w:w w:val="120"/>
        </w:rPr>
        <w:t>qui le</w:t>
      </w:r>
      <w:r>
        <w:rPr>
          <w:color w:val="231F20"/>
          <w:spacing w:val="-6"/>
          <w:w w:val="120"/>
        </w:rPr>
        <w:t> </w:t>
      </w:r>
      <w:r>
        <w:rPr>
          <w:color w:val="231F20"/>
          <w:spacing w:val="-2"/>
          <w:w w:val="120"/>
        </w:rPr>
        <w:t>vit</w:t>
      </w:r>
      <w:r>
        <w:rPr>
          <w:color w:val="231F20"/>
          <w:spacing w:val="-6"/>
          <w:w w:val="120"/>
        </w:rPr>
        <w:t> </w:t>
      </w:r>
      <w:r>
        <w:rPr>
          <w:color w:val="231F20"/>
          <w:spacing w:val="-2"/>
          <w:w w:val="120"/>
        </w:rPr>
        <w:t>pense</w:t>
      </w:r>
      <w:r>
        <w:rPr>
          <w:color w:val="231F20"/>
          <w:spacing w:val="-6"/>
          <w:w w:val="120"/>
        </w:rPr>
        <w:t> </w:t>
      </w:r>
      <w:r>
        <w:rPr>
          <w:color w:val="231F20"/>
          <w:spacing w:val="-2"/>
          <w:w w:val="120"/>
        </w:rPr>
        <w:t>habituellement</w:t>
      </w:r>
      <w:r>
        <w:rPr>
          <w:color w:val="231F20"/>
          <w:spacing w:val="-6"/>
          <w:w w:val="120"/>
        </w:rPr>
        <w:t> </w:t>
      </w:r>
      <w:r>
        <w:rPr>
          <w:color w:val="231F20"/>
          <w:spacing w:val="-2"/>
          <w:w w:val="120"/>
        </w:rPr>
        <w:t>davantage</w:t>
      </w:r>
      <w:r>
        <w:rPr>
          <w:color w:val="231F20"/>
          <w:spacing w:val="-6"/>
          <w:w w:val="120"/>
        </w:rPr>
        <w:t> </w:t>
      </w:r>
      <w:r>
        <w:rPr>
          <w:color w:val="231F20"/>
          <w:spacing w:val="-2"/>
          <w:w w:val="120"/>
        </w:rPr>
        <w:t>au</w:t>
      </w:r>
      <w:r>
        <w:rPr>
          <w:color w:val="231F20"/>
          <w:spacing w:val="-6"/>
          <w:w w:val="120"/>
        </w:rPr>
        <w:t> </w:t>
      </w:r>
      <w:r>
        <w:rPr>
          <w:color w:val="231F20"/>
          <w:spacing w:val="-2"/>
          <w:w w:val="120"/>
        </w:rPr>
        <w:t>passé</w:t>
      </w:r>
      <w:r>
        <w:rPr>
          <w:color w:val="231F20"/>
          <w:spacing w:val="-6"/>
          <w:w w:val="120"/>
        </w:rPr>
        <w:t> </w:t>
      </w:r>
      <w:r>
        <w:rPr>
          <w:color w:val="231F20"/>
          <w:spacing w:val="-2"/>
          <w:w w:val="120"/>
        </w:rPr>
        <w:t>qu’à</w:t>
      </w:r>
      <w:r>
        <w:rPr>
          <w:color w:val="231F20"/>
          <w:spacing w:val="-6"/>
          <w:w w:val="120"/>
        </w:rPr>
        <w:t> </w:t>
      </w:r>
      <w:r>
        <w:rPr>
          <w:color w:val="231F20"/>
          <w:spacing w:val="-2"/>
          <w:w w:val="120"/>
        </w:rPr>
        <w:t>l’avenir,</w:t>
      </w:r>
      <w:r>
        <w:rPr>
          <w:color w:val="231F20"/>
          <w:spacing w:val="-6"/>
          <w:w w:val="120"/>
        </w:rPr>
        <w:t> </w:t>
      </w:r>
      <w:r>
        <w:rPr>
          <w:color w:val="231F20"/>
          <w:spacing w:val="-2"/>
          <w:w w:val="120"/>
        </w:rPr>
        <w:t>ce</w:t>
      </w:r>
      <w:r>
        <w:rPr>
          <w:color w:val="231F20"/>
          <w:spacing w:val="-6"/>
          <w:w w:val="120"/>
        </w:rPr>
        <w:t> </w:t>
      </w:r>
      <w:r>
        <w:rPr>
          <w:color w:val="231F20"/>
          <w:spacing w:val="-2"/>
          <w:w w:val="120"/>
        </w:rPr>
        <w:t>qui</w:t>
      </w:r>
      <w:r>
        <w:rPr>
          <w:color w:val="231F20"/>
          <w:spacing w:val="-6"/>
          <w:w w:val="120"/>
        </w:rPr>
        <w:t> </w:t>
      </w:r>
      <w:r>
        <w:rPr>
          <w:color w:val="231F20"/>
          <w:spacing w:val="-2"/>
          <w:w w:val="120"/>
        </w:rPr>
        <w:t>peut </w:t>
      </w:r>
      <w:r>
        <w:rPr>
          <w:color w:val="231F20"/>
          <w:w w:val="120"/>
        </w:rPr>
        <w:t>générer</w:t>
      </w:r>
      <w:r>
        <w:rPr>
          <w:color w:val="231F20"/>
          <w:spacing w:val="-6"/>
          <w:w w:val="120"/>
        </w:rPr>
        <w:t> </w:t>
      </w:r>
      <w:r>
        <w:rPr>
          <w:color w:val="231F20"/>
          <w:w w:val="120"/>
        </w:rPr>
        <w:t>un</w:t>
      </w:r>
      <w:r>
        <w:rPr>
          <w:color w:val="231F20"/>
          <w:spacing w:val="-6"/>
          <w:w w:val="120"/>
        </w:rPr>
        <w:t> </w:t>
      </w:r>
      <w:r>
        <w:rPr>
          <w:color w:val="231F20"/>
          <w:w w:val="120"/>
        </w:rPr>
        <w:t>certain</w:t>
      </w:r>
      <w:r>
        <w:rPr>
          <w:color w:val="231F20"/>
          <w:spacing w:val="-6"/>
          <w:w w:val="120"/>
        </w:rPr>
        <w:t> </w:t>
      </w:r>
      <w:r>
        <w:rPr>
          <w:color w:val="231F20"/>
          <w:w w:val="120"/>
        </w:rPr>
        <w:t>déni</w:t>
      </w:r>
      <w:r>
        <w:rPr>
          <w:color w:val="231F20"/>
          <w:spacing w:val="-6"/>
          <w:w w:val="120"/>
        </w:rPr>
        <w:t> </w:t>
      </w:r>
      <w:r>
        <w:rPr>
          <w:color w:val="231F20"/>
          <w:w w:val="120"/>
        </w:rPr>
        <w:t>du</w:t>
      </w:r>
      <w:r>
        <w:rPr>
          <w:color w:val="231F20"/>
          <w:spacing w:val="-6"/>
          <w:w w:val="120"/>
        </w:rPr>
        <w:t> </w:t>
      </w:r>
      <w:r>
        <w:rPr>
          <w:color w:val="231F20"/>
          <w:w w:val="120"/>
        </w:rPr>
        <w:t>changement.</w:t>
      </w:r>
      <w:r>
        <w:rPr>
          <w:color w:val="231F20"/>
          <w:spacing w:val="-6"/>
          <w:w w:val="120"/>
        </w:rPr>
        <w:t> </w:t>
      </w:r>
      <w:r>
        <w:rPr>
          <w:color w:val="231F20"/>
          <w:w w:val="120"/>
        </w:rPr>
        <w:t>Puis</w:t>
      </w:r>
      <w:r>
        <w:rPr>
          <w:color w:val="231F20"/>
          <w:spacing w:val="-6"/>
          <w:w w:val="120"/>
        </w:rPr>
        <w:t> </w:t>
      </w:r>
      <w:r>
        <w:rPr>
          <w:color w:val="231F20"/>
          <w:w w:val="120"/>
        </w:rPr>
        <w:t>elle</w:t>
      </w:r>
      <w:r>
        <w:rPr>
          <w:color w:val="231F20"/>
          <w:spacing w:val="-6"/>
          <w:w w:val="120"/>
        </w:rPr>
        <w:t> </w:t>
      </w:r>
      <w:r>
        <w:rPr>
          <w:color w:val="231F20"/>
          <w:w w:val="120"/>
        </w:rPr>
        <w:t>passe</w:t>
      </w:r>
      <w:r>
        <w:rPr>
          <w:color w:val="231F20"/>
          <w:spacing w:val="-6"/>
          <w:w w:val="120"/>
        </w:rPr>
        <w:t> </w:t>
      </w:r>
      <w:r>
        <w:rPr>
          <w:color w:val="231F20"/>
          <w:w w:val="120"/>
        </w:rPr>
        <w:t>par</w:t>
      </w:r>
      <w:r>
        <w:rPr>
          <w:color w:val="231F20"/>
          <w:spacing w:val="-6"/>
          <w:w w:val="120"/>
        </w:rPr>
        <w:t> </w:t>
      </w:r>
      <w:r>
        <w:rPr>
          <w:color w:val="231F20"/>
          <w:w w:val="120"/>
        </w:rPr>
        <w:t>une</w:t>
      </w:r>
      <w:r>
        <w:rPr>
          <w:color w:val="231F20"/>
          <w:spacing w:val="-6"/>
          <w:w w:val="120"/>
        </w:rPr>
        <w:t> </w:t>
      </w:r>
      <w:r>
        <w:rPr>
          <w:color w:val="231F20"/>
          <w:w w:val="120"/>
        </w:rPr>
        <w:t>période d’inquiétude au cours de laquelle elle s’interroge sur sa place dans le </w:t>
      </w:r>
      <w:r>
        <w:rPr>
          <w:color w:val="231F20"/>
          <w:w w:val="115"/>
        </w:rPr>
        <w:t>nouvel</w:t>
      </w:r>
      <w:r>
        <w:rPr>
          <w:color w:val="231F20"/>
          <w:spacing w:val="-10"/>
          <w:w w:val="115"/>
        </w:rPr>
        <w:t> </w:t>
      </w:r>
      <w:r>
        <w:rPr>
          <w:color w:val="231F20"/>
          <w:w w:val="115"/>
        </w:rPr>
        <w:t>ordre</w:t>
      </w:r>
      <w:r>
        <w:rPr>
          <w:color w:val="231F20"/>
          <w:spacing w:val="-10"/>
          <w:w w:val="115"/>
        </w:rPr>
        <w:t> </w:t>
      </w:r>
      <w:r>
        <w:rPr>
          <w:color w:val="231F20"/>
          <w:w w:val="115"/>
        </w:rPr>
        <w:t>des</w:t>
      </w:r>
      <w:r>
        <w:rPr>
          <w:color w:val="231F20"/>
          <w:spacing w:val="-10"/>
          <w:w w:val="115"/>
        </w:rPr>
        <w:t> </w:t>
      </w:r>
      <w:r>
        <w:rPr>
          <w:color w:val="231F20"/>
          <w:w w:val="115"/>
        </w:rPr>
        <w:t>choses</w:t>
      </w:r>
      <w:r>
        <w:rPr>
          <w:color w:val="231F20"/>
          <w:spacing w:val="-10"/>
          <w:w w:val="115"/>
        </w:rPr>
        <w:t> </w:t>
      </w:r>
      <w:r>
        <w:rPr>
          <w:color w:val="231F20"/>
          <w:w w:val="115"/>
        </w:rPr>
        <w:t>et</w:t>
      </w:r>
      <w:r>
        <w:rPr>
          <w:color w:val="231F20"/>
          <w:spacing w:val="-10"/>
          <w:w w:val="115"/>
        </w:rPr>
        <w:t> </w:t>
      </w:r>
      <w:r>
        <w:rPr>
          <w:color w:val="231F20"/>
          <w:w w:val="115"/>
        </w:rPr>
        <w:t>sur</w:t>
      </w:r>
      <w:r>
        <w:rPr>
          <w:color w:val="231F20"/>
          <w:spacing w:val="-10"/>
          <w:w w:val="115"/>
        </w:rPr>
        <w:t> </w:t>
      </w:r>
      <w:r>
        <w:rPr>
          <w:color w:val="231F20"/>
          <w:w w:val="115"/>
        </w:rPr>
        <w:t>l’effet</w:t>
      </w:r>
      <w:r>
        <w:rPr>
          <w:color w:val="231F20"/>
          <w:spacing w:val="-10"/>
          <w:w w:val="115"/>
        </w:rPr>
        <w:t> </w:t>
      </w:r>
      <w:r>
        <w:rPr>
          <w:color w:val="231F20"/>
          <w:w w:val="115"/>
        </w:rPr>
        <w:t>qu’aura</w:t>
      </w:r>
      <w:r>
        <w:rPr>
          <w:color w:val="231F20"/>
          <w:spacing w:val="-10"/>
          <w:w w:val="115"/>
        </w:rPr>
        <w:t> </w:t>
      </w:r>
      <w:r>
        <w:rPr>
          <w:color w:val="231F20"/>
          <w:w w:val="115"/>
        </w:rPr>
        <w:t>le</w:t>
      </w:r>
      <w:r>
        <w:rPr>
          <w:color w:val="231F20"/>
          <w:spacing w:val="-10"/>
          <w:w w:val="115"/>
        </w:rPr>
        <w:t> </w:t>
      </w:r>
      <w:r>
        <w:rPr>
          <w:color w:val="231F20"/>
          <w:w w:val="115"/>
        </w:rPr>
        <w:t>changement</w:t>
      </w:r>
      <w:r>
        <w:rPr>
          <w:color w:val="231F20"/>
          <w:spacing w:val="-10"/>
          <w:w w:val="115"/>
        </w:rPr>
        <w:t> </w:t>
      </w:r>
      <w:r>
        <w:rPr>
          <w:color w:val="231F20"/>
          <w:w w:val="115"/>
        </w:rPr>
        <w:t>sur</w:t>
      </w:r>
      <w:r>
        <w:rPr>
          <w:color w:val="231F20"/>
          <w:spacing w:val="-10"/>
          <w:w w:val="115"/>
        </w:rPr>
        <w:t> </w:t>
      </w:r>
      <w:r>
        <w:rPr>
          <w:color w:val="231F20"/>
          <w:w w:val="115"/>
        </w:rPr>
        <w:t>elle.</w:t>
      </w:r>
      <w:r>
        <w:rPr>
          <w:color w:val="231F20"/>
          <w:spacing w:val="-10"/>
          <w:w w:val="115"/>
        </w:rPr>
        <w:t> </w:t>
      </w:r>
      <w:r>
        <w:rPr>
          <w:color w:val="231F20"/>
          <w:w w:val="115"/>
        </w:rPr>
        <w:t>C’est </w:t>
      </w:r>
      <w:r>
        <w:rPr>
          <w:color w:val="231F20"/>
          <w:w w:val="120"/>
        </w:rPr>
        <w:t>normalement</w:t>
      </w:r>
      <w:r>
        <w:rPr>
          <w:color w:val="231F20"/>
          <w:spacing w:val="-4"/>
          <w:w w:val="120"/>
        </w:rPr>
        <w:t> </w:t>
      </w:r>
      <w:r>
        <w:rPr>
          <w:color w:val="231F20"/>
          <w:w w:val="120"/>
        </w:rPr>
        <w:t>à</w:t>
      </w:r>
      <w:r>
        <w:rPr>
          <w:color w:val="231F20"/>
          <w:spacing w:val="-4"/>
          <w:w w:val="120"/>
        </w:rPr>
        <w:t> </w:t>
      </w:r>
      <w:r>
        <w:rPr>
          <w:color w:val="231F20"/>
          <w:w w:val="120"/>
        </w:rPr>
        <w:t>ce</w:t>
      </w:r>
      <w:r>
        <w:rPr>
          <w:color w:val="231F20"/>
          <w:spacing w:val="-4"/>
          <w:w w:val="120"/>
        </w:rPr>
        <w:t> </w:t>
      </w:r>
      <w:r>
        <w:rPr>
          <w:color w:val="231F20"/>
          <w:w w:val="120"/>
        </w:rPr>
        <w:t>stade</w:t>
      </w:r>
      <w:r>
        <w:rPr>
          <w:color w:val="231F20"/>
          <w:spacing w:val="-4"/>
          <w:w w:val="120"/>
        </w:rPr>
        <w:t> </w:t>
      </w:r>
      <w:r>
        <w:rPr>
          <w:color w:val="231F20"/>
          <w:w w:val="120"/>
        </w:rPr>
        <w:t>que</w:t>
      </w:r>
      <w:r>
        <w:rPr>
          <w:color w:val="231F20"/>
          <w:spacing w:val="-4"/>
          <w:w w:val="120"/>
        </w:rPr>
        <w:t> </w:t>
      </w:r>
      <w:r>
        <w:rPr>
          <w:color w:val="231F20"/>
          <w:w w:val="120"/>
        </w:rPr>
        <w:t>s’installe</w:t>
      </w:r>
      <w:r>
        <w:rPr>
          <w:color w:val="231F20"/>
          <w:spacing w:val="-4"/>
          <w:w w:val="120"/>
        </w:rPr>
        <w:t> </w:t>
      </w:r>
      <w:r>
        <w:rPr>
          <w:color w:val="231F20"/>
          <w:w w:val="120"/>
        </w:rPr>
        <w:t>la</w:t>
      </w:r>
      <w:r>
        <w:rPr>
          <w:color w:val="231F20"/>
          <w:spacing w:val="-4"/>
          <w:w w:val="120"/>
        </w:rPr>
        <w:t> </w:t>
      </w:r>
      <w:r>
        <w:rPr>
          <w:color w:val="231F20"/>
          <w:w w:val="120"/>
        </w:rPr>
        <w:t>résistance</w:t>
      </w:r>
      <w:r>
        <w:rPr>
          <w:color w:val="231F20"/>
          <w:spacing w:val="-4"/>
          <w:w w:val="120"/>
        </w:rPr>
        <w:t> </w:t>
      </w:r>
      <w:r>
        <w:rPr>
          <w:color w:val="231F20"/>
          <w:w w:val="120"/>
        </w:rPr>
        <w:t>et</w:t>
      </w:r>
      <w:r>
        <w:rPr>
          <w:color w:val="231F20"/>
          <w:spacing w:val="-4"/>
          <w:w w:val="120"/>
        </w:rPr>
        <w:t> </w:t>
      </w:r>
      <w:r>
        <w:rPr>
          <w:color w:val="231F20"/>
          <w:w w:val="120"/>
        </w:rPr>
        <w:t>que</w:t>
      </w:r>
      <w:r>
        <w:rPr>
          <w:color w:val="231F20"/>
          <w:spacing w:val="-4"/>
          <w:w w:val="120"/>
        </w:rPr>
        <w:t> </w:t>
      </w:r>
      <w:r>
        <w:rPr>
          <w:color w:val="231F20"/>
          <w:w w:val="120"/>
        </w:rPr>
        <w:t>naît</w:t>
      </w:r>
      <w:r>
        <w:rPr>
          <w:color w:val="231F20"/>
          <w:spacing w:val="-4"/>
          <w:w w:val="120"/>
        </w:rPr>
        <w:t> </w:t>
      </w:r>
      <w:r>
        <w:rPr>
          <w:color w:val="231F20"/>
          <w:w w:val="120"/>
        </w:rPr>
        <w:t>le</w:t>
      </w:r>
      <w:r>
        <w:rPr>
          <w:color w:val="231F20"/>
          <w:spacing w:val="-4"/>
          <w:w w:val="120"/>
        </w:rPr>
        <w:t> </w:t>
      </w:r>
      <w:r>
        <w:rPr>
          <w:color w:val="231F20"/>
          <w:w w:val="120"/>
        </w:rPr>
        <w:t>stress. Selon son aptitude à gérer ce stress, la personne sera plus ou moins en mesure de s’adapter à la nouvelle situation.</w:t>
      </w:r>
    </w:p>
    <w:p>
      <w:pPr>
        <w:pStyle w:val="BodyText"/>
        <w:spacing w:line="307" w:lineRule="auto" w:before="79"/>
        <w:ind w:left="1220" w:right="103" w:firstLine="250"/>
        <w:jc w:val="both"/>
      </w:pPr>
      <w:r>
        <w:rPr>
          <w:color w:val="231F20"/>
          <w:w w:val="115"/>
        </w:rPr>
        <w:t>Ce</w:t>
      </w:r>
      <w:r>
        <w:rPr>
          <w:color w:val="231F20"/>
          <w:spacing w:val="-5"/>
          <w:w w:val="115"/>
        </w:rPr>
        <w:t> </w:t>
      </w:r>
      <w:r>
        <w:rPr>
          <w:color w:val="231F20"/>
          <w:w w:val="115"/>
        </w:rPr>
        <w:t>n’est</w:t>
      </w:r>
      <w:r>
        <w:rPr>
          <w:color w:val="231F20"/>
          <w:spacing w:val="-5"/>
          <w:w w:val="115"/>
        </w:rPr>
        <w:t> </w:t>
      </w:r>
      <w:r>
        <w:rPr>
          <w:color w:val="231F20"/>
          <w:w w:val="115"/>
        </w:rPr>
        <w:t>pas</w:t>
      </w:r>
      <w:r>
        <w:rPr>
          <w:color w:val="231F20"/>
          <w:spacing w:val="-5"/>
          <w:w w:val="115"/>
        </w:rPr>
        <w:t> </w:t>
      </w:r>
      <w:r>
        <w:rPr>
          <w:color w:val="231F20"/>
          <w:w w:val="115"/>
        </w:rPr>
        <w:t>une</w:t>
      </w:r>
      <w:r>
        <w:rPr>
          <w:color w:val="231F20"/>
          <w:spacing w:val="-5"/>
          <w:w w:val="115"/>
        </w:rPr>
        <w:t> </w:t>
      </w:r>
      <w:r>
        <w:rPr>
          <w:color w:val="231F20"/>
          <w:w w:val="115"/>
        </w:rPr>
        <w:t>tâche</w:t>
      </w:r>
      <w:r>
        <w:rPr>
          <w:color w:val="231F20"/>
          <w:spacing w:val="-5"/>
          <w:w w:val="115"/>
        </w:rPr>
        <w:t> </w:t>
      </w:r>
      <w:r>
        <w:rPr>
          <w:color w:val="231F20"/>
          <w:w w:val="115"/>
        </w:rPr>
        <w:t>facile</w:t>
      </w:r>
      <w:r>
        <w:rPr>
          <w:color w:val="231F20"/>
          <w:spacing w:val="-5"/>
          <w:w w:val="115"/>
        </w:rPr>
        <w:t> </w:t>
      </w:r>
      <w:r>
        <w:rPr>
          <w:color w:val="231F20"/>
          <w:w w:val="115"/>
        </w:rPr>
        <w:t>que</w:t>
      </w:r>
      <w:r>
        <w:rPr>
          <w:color w:val="231F20"/>
          <w:spacing w:val="-5"/>
          <w:w w:val="115"/>
        </w:rPr>
        <w:t> </w:t>
      </w:r>
      <w:r>
        <w:rPr>
          <w:color w:val="231F20"/>
          <w:w w:val="115"/>
        </w:rPr>
        <w:t>de</w:t>
      </w:r>
      <w:r>
        <w:rPr>
          <w:color w:val="231F20"/>
          <w:spacing w:val="-5"/>
          <w:w w:val="115"/>
        </w:rPr>
        <w:t> </w:t>
      </w:r>
      <w:r>
        <w:rPr>
          <w:color w:val="231F20"/>
          <w:w w:val="115"/>
        </w:rPr>
        <w:t>changer</w:t>
      </w:r>
      <w:r>
        <w:rPr>
          <w:color w:val="231F20"/>
          <w:spacing w:val="-5"/>
          <w:w w:val="115"/>
        </w:rPr>
        <w:t> </w:t>
      </w:r>
      <w:r>
        <w:rPr>
          <w:color w:val="231F20"/>
          <w:w w:val="115"/>
        </w:rPr>
        <w:t>et</w:t>
      </w:r>
      <w:r>
        <w:rPr>
          <w:color w:val="231F20"/>
          <w:spacing w:val="-5"/>
          <w:w w:val="115"/>
        </w:rPr>
        <w:t> </w:t>
      </w:r>
      <w:r>
        <w:rPr>
          <w:color w:val="231F20"/>
          <w:w w:val="115"/>
        </w:rPr>
        <w:t>de</w:t>
      </w:r>
      <w:r>
        <w:rPr>
          <w:color w:val="231F20"/>
          <w:spacing w:val="-5"/>
          <w:w w:val="115"/>
        </w:rPr>
        <w:t> </w:t>
      </w:r>
      <w:r>
        <w:rPr>
          <w:color w:val="231F20"/>
          <w:w w:val="115"/>
        </w:rPr>
        <w:t>bien</w:t>
      </w:r>
      <w:r>
        <w:rPr>
          <w:color w:val="231F20"/>
          <w:spacing w:val="-5"/>
          <w:w w:val="115"/>
        </w:rPr>
        <w:t> </w:t>
      </w:r>
      <w:r>
        <w:rPr>
          <w:color w:val="231F20"/>
          <w:w w:val="115"/>
        </w:rPr>
        <w:t>gérer</w:t>
      </w:r>
      <w:r>
        <w:rPr>
          <w:color w:val="231F20"/>
          <w:spacing w:val="-5"/>
          <w:w w:val="115"/>
        </w:rPr>
        <w:t> </w:t>
      </w:r>
      <w:r>
        <w:rPr>
          <w:color w:val="231F20"/>
          <w:w w:val="115"/>
        </w:rPr>
        <w:t>le</w:t>
      </w:r>
      <w:r>
        <w:rPr>
          <w:color w:val="231F20"/>
          <w:spacing w:val="-5"/>
          <w:w w:val="115"/>
        </w:rPr>
        <w:t> </w:t>
      </w:r>
      <w:r>
        <w:rPr>
          <w:color w:val="231F20"/>
          <w:w w:val="115"/>
        </w:rPr>
        <w:t>proces- </w:t>
      </w:r>
      <w:r>
        <w:rPr>
          <w:color w:val="231F20"/>
          <w:w w:val="120"/>
        </w:rPr>
        <w:t>sus de changement. Si je veux introduire un changement, je dois avoir conscience</w:t>
      </w:r>
      <w:r>
        <w:rPr>
          <w:color w:val="231F20"/>
          <w:spacing w:val="-12"/>
          <w:w w:val="120"/>
        </w:rPr>
        <w:t> </w:t>
      </w:r>
      <w:r>
        <w:rPr>
          <w:color w:val="231F20"/>
          <w:w w:val="120"/>
        </w:rPr>
        <w:t>que</w:t>
      </w:r>
      <w:r>
        <w:rPr>
          <w:color w:val="231F20"/>
          <w:spacing w:val="-12"/>
          <w:w w:val="120"/>
        </w:rPr>
        <w:t> </w:t>
      </w:r>
      <w:r>
        <w:rPr>
          <w:color w:val="231F20"/>
          <w:w w:val="120"/>
        </w:rPr>
        <w:t>tout</w:t>
      </w:r>
      <w:r>
        <w:rPr>
          <w:color w:val="231F20"/>
          <w:spacing w:val="-12"/>
          <w:w w:val="120"/>
        </w:rPr>
        <w:t> </w:t>
      </w:r>
      <w:r>
        <w:rPr>
          <w:color w:val="231F20"/>
          <w:w w:val="120"/>
        </w:rPr>
        <w:t>changement</w:t>
      </w:r>
      <w:r>
        <w:rPr>
          <w:color w:val="231F20"/>
          <w:spacing w:val="-12"/>
          <w:w w:val="120"/>
        </w:rPr>
        <w:t> </w:t>
      </w:r>
      <w:r>
        <w:rPr>
          <w:color w:val="231F20"/>
          <w:w w:val="120"/>
        </w:rPr>
        <w:t>induit,</w:t>
      </w:r>
      <w:r>
        <w:rPr>
          <w:color w:val="231F20"/>
          <w:spacing w:val="-12"/>
          <w:w w:val="120"/>
        </w:rPr>
        <w:t> </w:t>
      </w:r>
      <w:r>
        <w:rPr>
          <w:color w:val="231F20"/>
          <w:w w:val="120"/>
        </w:rPr>
        <w:t>chez</w:t>
      </w:r>
      <w:r>
        <w:rPr>
          <w:color w:val="231F20"/>
          <w:spacing w:val="-12"/>
          <w:w w:val="120"/>
        </w:rPr>
        <w:t> </w:t>
      </w:r>
      <w:r>
        <w:rPr>
          <w:color w:val="231F20"/>
          <w:w w:val="120"/>
        </w:rPr>
        <w:t>les</w:t>
      </w:r>
      <w:r>
        <w:rPr>
          <w:color w:val="231F20"/>
          <w:spacing w:val="-12"/>
          <w:w w:val="120"/>
        </w:rPr>
        <w:t> </w:t>
      </w:r>
      <w:r>
        <w:rPr>
          <w:color w:val="231F20"/>
          <w:w w:val="120"/>
        </w:rPr>
        <w:t>personnes</w:t>
      </w:r>
      <w:r>
        <w:rPr>
          <w:color w:val="231F20"/>
          <w:spacing w:val="-12"/>
          <w:w w:val="120"/>
        </w:rPr>
        <w:t> </w:t>
      </w:r>
      <w:r>
        <w:rPr>
          <w:color w:val="231F20"/>
          <w:w w:val="120"/>
        </w:rPr>
        <w:t>qu’il</w:t>
      </w:r>
      <w:r>
        <w:rPr>
          <w:color w:val="231F20"/>
          <w:spacing w:val="-12"/>
          <w:w w:val="120"/>
        </w:rPr>
        <w:t> </w:t>
      </w:r>
      <w:r>
        <w:rPr>
          <w:color w:val="231F20"/>
          <w:w w:val="120"/>
        </w:rPr>
        <w:t>touche </w:t>
      </w:r>
      <w:r>
        <w:rPr>
          <w:color w:val="231F20"/>
          <w:spacing w:val="-2"/>
          <w:w w:val="120"/>
        </w:rPr>
        <w:t>et</w:t>
      </w:r>
      <w:r>
        <w:rPr>
          <w:color w:val="231F20"/>
          <w:spacing w:val="-6"/>
          <w:w w:val="120"/>
        </w:rPr>
        <w:t> </w:t>
      </w:r>
      <w:r>
        <w:rPr>
          <w:color w:val="231F20"/>
          <w:spacing w:val="-2"/>
          <w:w w:val="120"/>
        </w:rPr>
        <w:t>chez</w:t>
      </w:r>
      <w:r>
        <w:rPr>
          <w:color w:val="231F20"/>
          <w:spacing w:val="-6"/>
          <w:w w:val="120"/>
        </w:rPr>
        <w:t> </w:t>
      </w:r>
      <w:r>
        <w:rPr>
          <w:color w:val="231F20"/>
          <w:spacing w:val="-2"/>
          <w:w w:val="120"/>
        </w:rPr>
        <w:t>moi-même,</w:t>
      </w:r>
      <w:r>
        <w:rPr>
          <w:color w:val="231F20"/>
          <w:spacing w:val="-6"/>
          <w:w w:val="120"/>
        </w:rPr>
        <w:t> </w:t>
      </w:r>
      <w:r>
        <w:rPr>
          <w:color w:val="231F20"/>
          <w:spacing w:val="-2"/>
          <w:w w:val="120"/>
        </w:rPr>
        <w:t>une</w:t>
      </w:r>
      <w:r>
        <w:rPr>
          <w:color w:val="231F20"/>
          <w:spacing w:val="-6"/>
          <w:w w:val="120"/>
        </w:rPr>
        <w:t> </w:t>
      </w:r>
      <w:r>
        <w:rPr>
          <w:color w:val="231F20"/>
          <w:spacing w:val="-2"/>
          <w:w w:val="120"/>
        </w:rPr>
        <w:t>série</w:t>
      </w:r>
      <w:r>
        <w:rPr>
          <w:color w:val="231F20"/>
          <w:spacing w:val="-6"/>
          <w:w w:val="120"/>
        </w:rPr>
        <w:t> </w:t>
      </w:r>
      <w:r>
        <w:rPr>
          <w:color w:val="231F20"/>
          <w:spacing w:val="-2"/>
          <w:w w:val="120"/>
        </w:rPr>
        <w:t>de</w:t>
      </w:r>
      <w:r>
        <w:rPr>
          <w:color w:val="231F20"/>
          <w:spacing w:val="-6"/>
          <w:w w:val="120"/>
        </w:rPr>
        <w:t> </w:t>
      </w:r>
      <w:r>
        <w:rPr>
          <w:color w:val="231F20"/>
          <w:spacing w:val="-2"/>
          <w:w w:val="120"/>
        </w:rPr>
        <w:t>réactions,</w:t>
      </w:r>
      <w:r>
        <w:rPr>
          <w:color w:val="231F20"/>
          <w:spacing w:val="-6"/>
          <w:w w:val="120"/>
        </w:rPr>
        <w:t> </w:t>
      </w:r>
      <w:r>
        <w:rPr>
          <w:color w:val="231F20"/>
          <w:spacing w:val="-2"/>
          <w:w w:val="120"/>
        </w:rPr>
        <w:t>dont</w:t>
      </w:r>
      <w:r>
        <w:rPr>
          <w:color w:val="231F20"/>
          <w:spacing w:val="-6"/>
          <w:w w:val="120"/>
        </w:rPr>
        <w:t> </w:t>
      </w:r>
      <w:r>
        <w:rPr>
          <w:color w:val="231F20"/>
          <w:spacing w:val="-2"/>
          <w:w w:val="120"/>
        </w:rPr>
        <w:t>le</w:t>
      </w:r>
      <w:r>
        <w:rPr>
          <w:color w:val="231F20"/>
          <w:spacing w:val="-6"/>
          <w:w w:val="120"/>
        </w:rPr>
        <w:t> </w:t>
      </w:r>
      <w:r>
        <w:rPr>
          <w:color w:val="231F20"/>
          <w:spacing w:val="-2"/>
          <w:w w:val="120"/>
        </w:rPr>
        <w:t>stress.</w:t>
      </w:r>
      <w:r>
        <w:rPr>
          <w:color w:val="231F20"/>
          <w:spacing w:val="-6"/>
          <w:w w:val="120"/>
        </w:rPr>
        <w:t> </w:t>
      </w:r>
      <w:r>
        <w:rPr>
          <w:color w:val="231F20"/>
          <w:spacing w:val="-2"/>
          <w:w w:val="120"/>
        </w:rPr>
        <w:t>L’erreur</w:t>
      </w:r>
      <w:r>
        <w:rPr>
          <w:color w:val="231F20"/>
          <w:spacing w:val="-6"/>
          <w:w w:val="120"/>
        </w:rPr>
        <w:t> </w:t>
      </w:r>
      <w:r>
        <w:rPr>
          <w:color w:val="231F20"/>
          <w:spacing w:val="-2"/>
          <w:w w:val="120"/>
        </w:rPr>
        <w:t>la</w:t>
      </w:r>
      <w:r>
        <w:rPr>
          <w:color w:val="231F20"/>
          <w:spacing w:val="-6"/>
          <w:w w:val="120"/>
        </w:rPr>
        <w:t> </w:t>
      </w:r>
      <w:r>
        <w:rPr>
          <w:color w:val="231F20"/>
          <w:spacing w:val="-2"/>
          <w:w w:val="120"/>
        </w:rPr>
        <w:t>plus </w:t>
      </w:r>
      <w:r>
        <w:rPr>
          <w:color w:val="231F20"/>
          <w:w w:val="120"/>
        </w:rPr>
        <w:t>courante</w:t>
      </w:r>
      <w:r>
        <w:rPr>
          <w:color w:val="231F20"/>
          <w:spacing w:val="-7"/>
          <w:w w:val="120"/>
        </w:rPr>
        <w:t> </w:t>
      </w:r>
      <w:r>
        <w:rPr>
          <w:color w:val="231F20"/>
          <w:w w:val="120"/>
        </w:rPr>
        <w:t>consiste</w:t>
      </w:r>
      <w:r>
        <w:rPr>
          <w:color w:val="231F20"/>
          <w:spacing w:val="-7"/>
          <w:w w:val="120"/>
        </w:rPr>
        <w:t> </w:t>
      </w:r>
      <w:r>
        <w:rPr>
          <w:color w:val="231F20"/>
          <w:w w:val="120"/>
        </w:rPr>
        <w:t>à</w:t>
      </w:r>
      <w:r>
        <w:rPr>
          <w:color w:val="231F20"/>
          <w:spacing w:val="-7"/>
          <w:w w:val="120"/>
        </w:rPr>
        <w:t> </w:t>
      </w:r>
      <w:r>
        <w:rPr>
          <w:color w:val="231F20"/>
          <w:w w:val="120"/>
        </w:rPr>
        <w:t>penser</w:t>
      </w:r>
      <w:r>
        <w:rPr>
          <w:color w:val="231F20"/>
          <w:spacing w:val="-7"/>
          <w:w w:val="120"/>
        </w:rPr>
        <w:t> </w:t>
      </w:r>
      <w:r>
        <w:rPr>
          <w:color w:val="231F20"/>
          <w:w w:val="120"/>
        </w:rPr>
        <w:t>qu’il</w:t>
      </w:r>
      <w:r>
        <w:rPr>
          <w:color w:val="231F20"/>
          <w:spacing w:val="-7"/>
          <w:w w:val="120"/>
        </w:rPr>
        <w:t> </w:t>
      </w:r>
      <w:r>
        <w:rPr>
          <w:color w:val="231F20"/>
          <w:w w:val="120"/>
        </w:rPr>
        <w:t>suffit</w:t>
      </w:r>
      <w:r>
        <w:rPr>
          <w:color w:val="231F20"/>
          <w:spacing w:val="-7"/>
          <w:w w:val="120"/>
        </w:rPr>
        <w:t> </w:t>
      </w:r>
      <w:r>
        <w:rPr>
          <w:color w:val="231F20"/>
          <w:w w:val="120"/>
        </w:rPr>
        <w:t>de</w:t>
      </w:r>
      <w:r>
        <w:rPr>
          <w:color w:val="231F20"/>
          <w:spacing w:val="-7"/>
          <w:w w:val="120"/>
        </w:rPr>
        <w:t> </w:t>
      </w:r>
      <w:r>
        <w:rPr>
          <w:color w:val="231F20"/>
          <w:w w:val="120"/>
        </w:rPr>
        <w:t>dire</w:t>
      </w:r>
      <w:r>
        <w:rPr>
          <w:color w:val="231F20"/>
          <w:spacing w:val="-7"/>
          <w:w w:val="120"/>
        </w:rPr>
        <w:t> </w:t>
      </w:r>
      <w:r>
        <w:rPr>
          <w:color w:val="231F20"/>
          <w:w w:val="120"/>
        </w:rPr>
        <w:t>aux</w:t>
      </w:r>
      <w:r>
        <w:rPr>
          <w:color w:val="231F20"/>
          <w:spacing w:val="-7"/>
          <w:w w:val="120"/>
        </w:rPr>
        <w:t> </w:t>
      </w:r>
      <w:r>
        <w:rPr>
          <w:color w:val="231F20"/>
          <w:w w:val="120"/>
        </w:rPr>
        <w:t>gens</w:t>
      </w:r>
      <w:r>
        <w:rPr>
          <w:color w:val="231F20"/>
          <w:spacing w:val="-7"/>
          <w:w w:val="120"/>
        </w:rPr>
        <w:t> </w:t>
      </w:r>
      <w:r>
        <w:rPr>
          <w:color w:val="231F20"/>
          <w:w w:val="120"/>
        </w:rPr>
        <w:t>de</w:t>
      </w:r>
      <w:r>
        <w:rPr>
          <w:color w:val="231F20"/>
          <w:spacing w:val="-7"/>
          <w:w w:val="120"/>
        </w:rPr>
        <w:t> </w:t>
      </w:r>
      <w:r>
        <w:rPr>
          <w:color w:val="231F20"/>
          <w:w w:val="120"/>
        </w:rPr>
        <w:t>changer</w:t>
      </w:r>
      <w:r>
        <w:rPr>
          <w:color w:val="231F20"/>
          <w:spacing w:val="-7"/>
          <w:w w:val="120"/>
        </w:rPr>
        <w:t> </w:t>
      </w:r>
      <w:r>
        <w:rPr>
          <w:color w:val="231F20"/>
          <w:w w:val="120"/>
        </w:rPr>
        <w:t>pour qu’ils</w:t>
      </w:r>
      <w:r>
        <w:rPr>
          <w:color w:val="231F20"/>
          <w:spacing w:val="-4"/>
          <w:w w:val="120"/>
        </w:rPr>
        <w:t> </w:t>
      </w:r>
      <w:r>
        <w:rPr>
          <w:color w:val="231F20"/>
          <w:w w:val="120"/>
        </w:rPr>
        <w:t>le</w:t>
      </w:r>
      <w:r>
        <w:rPr>
          <w:color w:val="231F20"/>
          <w:spacing w:val="-4"/>
          <w:w w:val="120"/>
        </w:rPr>
        <w:t> </w:t>
      </w:r>
      <w:r>
        <w:rPr>
          <w:color w:val="231F20"/>
          <w:w w:val="120"/>
        </w:rPr>
        <w:t>fassent.</w:t>
      </w:r>
      <w:r>
        <w:rPr>
          <w:color w:val="231F20"/>
          <w:spacing w:val="-4"/>
          <w:w w:val="120"/>
        </w:rPr>
        <w:t> </w:t>
      </w:r>
      <w:r>
        <w:rPr>
          <w:color w:val="231F20"/>
          <w:w w:val="120"/>
        </w:rPr>
        <w:t>L’acceptation</w:t>
      </w:r>
      <w:r>
        <w:rPr>
          <w:color w:val="231F20"/>
          <w:spacing w:val="-4"/>
          <w:w w:val="120"/>
        </w:rPr>
        <w:t> </w:t>
      </w:r>
      <w:r>
        <w:rPr>
          <w:color w:val="231F20"/>
          <w:w w:val="120"/>
        </w:rPr>
        <w:t>du</w:t>
      </w:r>
      <w:r>
        <w:rPr>
          <w:color w:val="231F20"/>
          <w:spacing w:val="-4"/>
          <w:w w:val="120"/>
        </w:rPr>
        <w:t> </w:t>
      </w:r>
      <w:r>
        <w:rPr>
          <w:color w:val="231F20"/>
          <w:w w:val="120"/>
        </w:rPr>
        <w:t>changement</w:t>
      </w:r>
      <w:r>
        <w:rPr>
          <w:color w:val="231F20"/>
          <w:spacing w:val="-4"/>
          <w:w w:val="120"/>
        </w:rPr>
        <w:t> </w:t>
      </w:r>
      <w:r>
        <w:rPr>
          <w:color w:val="231F20"/>
          <w:w w:val="120"/>
        </w:rPr>
        <w:t>débute</w:t>
      </w:r>
      <w:r>
        <w:rPr>
          <w:color w:val="231F20"/>
          <w:spacing w:val="-4"/>
          <w:w w:val="120"/>
        </w:rPr>
        <w:t> </w:t>
      </w:r>
      <w:r>
        <w:rPr>
          <w:color w:val="231F20"/>
          <w:w w:val="120"/>
        </w:rPr>
        <w:t>lorsque</w:t>
      </w:r>
      <w:r>
        <w:rPr>
          <w:color w:val="231F20"/>
          <w:spacing w:val="-4"/>
          <w:w w:val="120"/>
        </w:rPr>
        <w:t> </w:t>
      </w:r>
      <w:r>
        <w:rPr>
          <w:color w:val="231F20"/>
          <w:w w:val="120"/>
        </w:rPr>
        <w:t>les</w:t>
      </w:r>
      <w:r>
        <w:rPr>
          <w:color w:val="231F20"/>
          <w:spacing w:val="-4"/>
          <w:w w:val="120"/>
        </w:rPr>
        <w:t> </w:t>
      </w:r>
      <w:r>
        <w:rPr>
          <w:color w:val="231F20"/>
          <w:w w:val="120"/>
        </w:rPr>
        <w:t>gens perçoivent</w:t>
      </w:r>
      <w:r>
        <w:rPr>
          <w:color w:val="231F20"/>
          <w:spacing w:val="-6"/>
          <w:w w:val="120"/>
        </w:rPr>
        <w:t> </w:t>
      </w:r>
      <w:r>
        <w:rPr>
          <w:color w:val="231F20"/>
          <w:w w:val="120"/>
        </w:rPr>
        <w:t>que</w:t>
      </w:r>
      <w:r>
        <w:rPr>
          <w:color w:val="231F20"/>
          <w:spacing w:val="-6"/>
          <w:w w:val="120"/>
        </w:rPr>
        <w:t> </w:t>
      </w:r>
      <w:r>
        <w:rPr>
          <w:color w:val="231F20"/>
          <w:w w:val="120"/>
        </w:rPr>
        <w:t>ce</w:t>
      </w:r>
      <w:r>
        <w:rPr>
          <w:color w:val="231F20"/>
          <w:spacing w:val="-6"/>
          <w:w w:val="120"/>
        </w:rPr>
        <w:t> </w:t>
      </w:r>
      <w:r>
        <w:rPr>
          <w:color w:val="231F20"/>
          <w:w w:val="120"/>
        </w:rPr>
        <w:t>dernier</w:t>
      </w:r>
      <w:r>
        <w:rPr>
          <w:color w:val="231F20"/>
          <w:spacing w:val="-6"/>
          <w:w w:val="120"/>
        </w:rPr>
        <w:t> </w:t>
      </w:r>
      <w:r>
        <w:rPr>
          <w:color w:val="231F20"/>
          <w:w w:val="120"/>
        </w:rPr>
        <w:t>est</w:t>
      </w:r>
      <w:r>
        <w:rPr>
          <w:color w:val="231F20"/>
          <w:spacing w:val="-6"/>
          <w:w w:val="120"/>
        </w:rPr>
        <w:t> </w:t>
      </w:r>
      <w:r>
        <w:rPr>
          <w:color w:val="231F20"/>
          <w:w w:val="120"/>
        </w:rPr>
        <w:t>nécessaire</w:t>
      </w:r>
      <w:r>
        <w:rPr>
          <w:color w:val="231F20"/>
          <w:spacing w:val="-6"/>
          <w:w w:val="120"/>
        </w:rPr>
        <w:t> </w:t>
      </w:r>
      <w:r>
        <w:rPr>
          <w:color w:val="231F20"/>
          <w:w w:val="120"/>
        </w:rPr>
        <w:t>et</w:t>
      </w:r>
      <w:r>
        <w:rPr>
          <w:color w:val="231F20"/>
          <w:spacing w:val="-6"/>
          <w:w w:val="120"/>
        </w:rPr>
        <w:t> </w:t>
      </w:r>
      <w:r>
        <w:rPr>
          <w:color w:val="231F20"/>
          <w:w w:val="120"/>
        </w:rPr>
        <w:t>possible.</w:t>
      </w:r>
      <w:r>
        <w:rPr>
          <w:color w:val="231F20"/>
          <w:spacing w:val="-6"/>
          <w:w w:val="120"/>
        </w:rPr>
        <w:t> </w:t>
      </w:r>
      <w:r>
        <w:rPr>
          <w:color w:val="231F20"/>
          <w:w w:val="120"/>
        </w:rPr>
        <w:t>Il</w:t>
      </w:r>
      <w:r>
        <w:rPr>
          <w:color w:val="231F20"/>
          <w:spacing w:val="-6"/>
          <w:w w:val="120"/>
        </w:rPr>
        <w:t> </w:t>
      </w:r>
      <w:r>
        <w:rPr>
          <w:color w:val="231F20"/>
          <w:w w:val="120"/>
        </w:rPr>
        <w:t>importe</w:t>
      </w:r>
      <w:r>
        <w:rPr>
          <w:color w:val="231F20"/>
          <w:spacing w:val="-6"/>
          <w:w w:val="120"/>
        </w:rPr>
        <w:t> </w:t>
      </w:r>
      <w:r>
        <w:rPr>
          <w:color w:val="231F20"/>
          <w:w w:val="120"/>
        </w:rPr>
        <w:t>de</w:t>
      </w:r>
      <w:r>
        <w:rPr>
          <w:color w:val="231F20"/>
          <w:spacing w:val="-6"/>
          <w:w w:val="120"/>
        </w:rPr>
        <w:t> </w:t>
      </w:r>
      <w:r>
        <w:rPr>
          <w:color w:val="231F20"/>
          <w:w w:val="120"/>
        </w:rPr>
        <w:t>com- prendre</w:t>
      </w:r>
      <w:r>
        <w:rPr>
          <w:color w:val="231F20"/>
          <w:spacing w:val="-8"/>
          <w:w w:val="120"/>
        </w:rPr>
        <w:t> </w:t>
      </w:r>
      <w:r>
        <w:rPr>
          <w:color w:val="231F20"/>
          <w:w w:val="120"/>
        </w:rPr>
        <w:t>que</w:t>
      </w:r>
      <w:r>
        <w:rPr>
          <w:color w:val="231F20"/>
          <w:spacing w:val="-8"/>
          <w:w w:val="120"/>
        </w:rPr>
        <w:t> </w:t>
      </w:r>
      <w:r>
        <w:rPr>
          <w:color w:val="231F20"/>
          <w:w w:val="120"/>
        </w:rPr>
        <w:t>les</w:t>
      </w:r>
      <w:r>
        <w:rPr>
          <w:color w:val="231F20"/>
          <w:spacing w:val="-8"/>
          <w:w w:val="120"/>
        </w:rPr>
        <w:t> </w:t>
      </w:r>
      <w:r>
        <w:rPr>
          <w:color w:val="231F20"/>
          <w:w w:val="120"/>
        </w:rPr>
        <w:t>personnes</w:t>
      </w:r>
      <w:r>
        <w:rPr>
          <w:color w:val="231F20"/>
          <w:spacing w:val="-8"/>
          <w:w w:val="120"/>
        </w:rPr>
        <w:t> </w:t>
      </w:r>
      <w:r>
        <w:rPr>
          <w:color w:val="231F20"/>
          <w:w w:val="120"/>
        </w:rPr>
        <w:t>chez</w:t>
      </w:r>
      <w:r>
        <w:rPr>
          <w:color w:val="231F20"/>
          <w:spacing w:val="-8"/>
          <w:w w:val="120"/>
        </w:rPr>
        <w:t> </w:t>
      </w:r>
      <w:r>
        <w:rPr>
          <w:color w:val="231F20"/>
          <w:w w:val="120"/>
        </w:rPr>
        <w:t>qui</w:t>
      </w:r>
      <w:r>
        <w:rPr>
          <w:color w:val="231F20"/>
          <w:spacing w:val="-8"/>
          <w:w w:val="120"/>
        </w:rPr>
        <w:t> </w:t>
      </w:r>
      <w:r>
        <w:rPr>
          <w:color w:val="231F20"/>
          <w:w w:val="120"/>
        </w:rPr>
        <w:t>le</w:t>
      </w:r>
      <w:r>
        <w:rPr>
          <w:color w:val="231F20"/>
          <w:spacing w:val="-8"/>
          <w:w w:val="120"/>
        </w:rPr>
        <w:t> </w:t>
      </w:r>
      <w:r>
        <w:rPr>
          <w:color w:val="231F20"/>
          <w:w w:val="120"/>
        </w:rPr>
        <w:t>changement</w:t>
      </w:r>
      <w:r>
        <w:rPr>
          <w:color w:val="231F20"/>
          <w:spacing w:val="-8"/>
          <w:w w:val="120"/>
        </w:rPr>
        <w:t> </w:t>
      </w:r>
      <w:r>
        <w:rPr>
          <w:color w:val="231F20"/>
          <w:w w:val="120"/>
        </w:rPr>
        <w:t>suscite</w:t>
      </w:r>
      <w:r>
        <w:rPr>
          <w:color w:val="231F20"/>
          <w:spacing w:val="-8"/>
          <w:w w:val="120"/>
        </w:rPr>
        <w:t> </w:t>
      </w:r>
      <w:r>
        <w:rPr>
          <w:color w:val="231F20"/>
          <w:w w:val="120"/>
        </w:rPr>
        <w:t>un</w:t>
      </w:r>
      <w:r>
        <w:rPr>
          <w:color w:val="231F20"/>
          <w:spacing w:val="-8"/>
          <w:w w:val="120"/>
        </w:rPr>
        <w:t> </w:t>
      </w:r>
      <w:r>
        <w:rPr>
          <w:color w:val="231F20"/>
          <w:w w:val="120"/>
        </w:rPr>
        <w:t>sentiment de</w:t>
      </w:r>
      <w:r>
        <w:rPr>
          <w:color w:val="231F20"/>
          <w:spacing w:val="-13"/>
          <w:w w:val="120"/>
        </w:rPr>
        <w:t> </w:t>
      </w:r>
      <w:r>
        <w:rPr>
          <w:color w:val="231F20"/>
          <w:w w:val="120"/>
        </w:rPr>
        <w:t>perte</w:t>
      </w:r>
      <w:r>
        <w:rPr>
          <w:color w:val="231F20"/>
          <w:spacing w:val="-13"/>
          <w:w w:val="120"/>
        </w:rPr>
        <w:t> </w:t>
      </w:r>
      <w:r>
        <w:rPr>
          <w:color w:val="231F20"/>
          <w:w w:val="120"/>
        </w:rPr>
        <w:t>ne</w:t>
      </w:r>
      <w:r>
        <w:rPr>
          <w:color w:val="231F20"/>
          <w:spacing w:val="-13"/>
          <w:w w:val="120"/>
        </w:rPr>
        <w:t> </w:t>
      </w:r>
      <w:r>
        <w:rPr>
          <w:color w:val="231F20"/>
          <w:w w:val="120"/>
        </w:rPr>
        <w:t>sont</w:t>
      </w:r>
      <w:r>
        <w:rPr>
          <w:color w:val="231F20"/>
          <w:spacing w:val="-12"/>
          <w:w w:val="120"/>
        </w:rPr>
        <w:t> </w:t>
      </w:r>
      <w:r>
        <w:rPr>
          <w:color w:val="231F20"/>
          <w:w w:val="120"/>
        </w:rPr>
        <w:t>ni</w:t>
      </w:r>
      <w:r>
        <w:rPr>
          <w:color w:val="231F20"/>
          <w:spacing w:val="-13"/>
          <w:w w:val="120"/>
        </w:rPr>
        <w:t> </w:t>
      </w:r>
      <w:r>
        <w:rPr>
          <w:color w:val="231F20"/>
          <w:w w:val="120"/>
        </w:rPr>
        <w:t>faibles</w:t>
      </w:r>
      <w:r>
        <w:rPr>
          <w:color w:val="231F20"/>
          <w:spacing w:val="-13"/>
          <w:w w:val="120"/>
        </w:rPr>
        <w:t> </w:t>
      </w:r>
      <w:r>
        <w:rPr>
          <w:color w:val="231F20"/>
          <w:w w:val="120"/>
        </w:rPr>
        <w:t>ni</w:t>
      </w:r>
      <w:r>
        <w:rPr>
          <w:color w:val="231F20"/>
          <w:spacing w:val="-13"/>
          <w:w w:val="120"/>
        </w:rPr>
        <w:t> </w:t>
      </w:r>
      <w:r>
        <w:rPr>
          <w:color w:val="231F20"/>
          <w:w w:val="120"/>
        </w:rPr>
        <w:t>vieux</w:t>
      </w:r>
      <w:r>
        <w:rPr>
          <w:color w:val="231F20"/>
          <w:spacing w:val="-12"/>
          <w:w w:val="120"/>
        </w:rPr>
        <w:t> </w:t>
      </w:r>
      <w:r>
        <w:rPr>
          <w:color w:val="231F20"/>
          <w:w w:val="120"/>
        </w:rPr>
        <w:t>jeu.</w:t>
      </w:r>
      <w:r>
        <w:rPr>
          <w:color w:val="231F20"/>
          <w:spacing w:val="-13"/>
          <w:w w:val="120"/>
        </w:rPr>
        <w:t> </w:t>
      </w:r>
      <w:r>
        <w:rPr>
          <w:color w:val="231F20"/>
          <w:w w:val="120"/>
        </w:rPr>
        <w:t>Il</w:t>
      </w:r>
      <w:r>
        <w:rPr>
          <w:color w:val="231F20"/>
          <w:spacing w:val="-13"/>
          <w:w w:val="120"/>
        </w:rPr>
        <w:t> </w:t>
      </w:r>
      <w:r>
        <w:rPr>
          <w:color w:val="231F20"/>
          <w:w w:val="120"/>
        </w:rPr>
        <w:t>est</w:t>
      </w:r>
      <w:r>
        <w:rPr>
          <w:color w:val="231F20"/>
          <w:spacing w:val="-13"/>
          <w:w w:val="120"/>
        </w:rPr>
        <w:t> </w:t>
      </w:r>
      <w:r>
        <w:rPr>
          <w:color w:val="231F20"/>
          <w:w w:val="120"/>
        </w:rPr>
        <w:t>plus</w:t>
      </w:r>
      <w:r>
        <w:rPr>
          <w:color w:val="231F20"/>
          <w:spacing w:val="-12"/>
          <w:w w:val="120"/>
        </w:rPr>
        <w:t> </w:t>
      </w:r>
      <w:r>
        <w:rPr>
          <w:color w:val="231F20"/>
          <w:w w:val="120"/>
        </w:rPr>
        <w:t>sain</w:t>
      </w:r>
      <w:r>
        <w:rPr>
          <w:color w:val="231F20"/>
          <w:spacing w:val="-13"/>
          <w:w w:val="120"/>
        </w:rPr>
        <w:t> </w:t>
      </w:r>
      <w:r>
        <w:rPr>
          <w:color w:val="231F20"/>
          <w:w w:val="120"/>
        </w:rPr>
        <w:t>de</w:t>
      </w:r>
      <w:r>
        <w:rPr>
          <w:color w:val="231F20"/>
          <w:spacing w:val="-13"/>
          <w:w w:val="120"/>
        </w:rPr>
        <w:t> </w:t>
      </w:r>
      <w:r>
        <w:rPr>
          <w:color w:val="231F20"/>
          <w:w w:val="120"/>
        </w:rPr>
        <w:t>reconnaître</w:t>
      </w:r>
      <w:r>
        <w:rPr>
          <w:color w:val="231F20"/>
          <w:spacing w:val="-13"/>
          <w:w w:val="120"/>
        </w:rPr>
        <w:t> </w:t>
      </w:r>
      <w:r>
        <w:rPr>
          <w:color w:val="231F20"/>
          <w:w w:val="120"/>
        </w:rPr>
        <w:t>une perte</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l’exprimer</w:t>
      </w:r>
      <w:r>
        <w:rPr>
          <w:color w:val="231F20"/>
          <w:spacing w:val="-12"/>
          <w:w w:val="120"/>
        </w:rPr>
        <w:t> </w:t>
      </w:r>
      <w:r>
        <w:rPr>
          <w:color w:val="231F20"/>
          <w:w w:val="120"/>
        </w:rPr>
        <w:t>au</w:t>
      </w:r>
      <w:r>
        <w:rPr>
          <w:color w:val="231F20"/>
          <w:spacing w:val="-13"/>
          <w:w w:val="120"/>
        </w:rPr>
        <w:t> </w:t>
      </w:r>
      <w:r>
        <w:rPr>
          <w:color w:val="231F20"/>
          <w:w w:val="120"/>
        </w:rPr>
        <w:t>moment</w:t>
      </w:r>
      <w:r>
        <w:rPr>
          <w:color w:val="231F20"/>
          <w:spacing w:val="-13"/>
          <w:w w:val="120"/>
        </w:rPr>
        <w:t> </w:t>
      </w:r>
      <w:r>
        <w:rPr>
          <w:color w:val="231F20"/>
          <w:w w:val="120"/>
        </w:rPr>
        <w:t>où</w:t>
      </w:r>
      <w:r>
        <w:rPr>
          <w:color w:val="231F20"/>
          <w:spacing w:val="-13"/>
          <w:w w:val="120"/>
        </w:rPr>
        <w:t> </w:t>
      </w:r>
      <w:r>
        <w:rPr>
          <w:color w:val="231F20"/>
          <w:w w:val="120"/>
        </w:rPr>
        <w:t>elle</w:t>
      </w:r>
      <w:r>
        <w:rPr>
          <w:color w:val="231F20"/>
          <w:spacing w:val="-12"/>
          <w:w w:val="120"/>
        </w:rPr>
        <w:t> </w:t>
      </w:r>
      <w:r>
        <w:rPr>
          <w:color w:val="231F20"/>
          <w:w w:val="120"/>
        </w:rPr>
        <w:t>survient;</w:t>
      </w:r>
      <w:r>
        <w:rPr>
          <w:color w:val="231F20"/>
          <w:spacing w:val="-13"/>
          <w:w w:val="120"/>
        </w:rPr>
        <w:t> </w:t>
      </w:r>
      <w:r>
        <w:rPr>
          <w:color w:val="231F20"/>
          <w:w w:val="120"/>
        </w:rPr>
        <w:t>ainsi,</w:t>
      </w:r>
      <w:r>
        <w:rPr>
          <w:color w:val="231F20"/>
          <w:spacing w:val="-13"/>
          <w:w w:val="120"/>
        </w:rPr>
        <w:t> </w:t>
      </w:r>
      <w:r>
        <w:rPr>
          <w:color w:val="231F20"/>
          <w:w w:val="120"/>
        </w:rPr>
        <w:t>les</w:t>
      </w:r>
      <w:r>
        <w:rPr>
          <w:color w:val="231F20"/>
          <w:spacing w:val="-13"/>
          <w:w w:val="120"/>
        </w:rPr>
        <w:t> </w:t>
      </w:r>
      <w:r>
        <w:rPr>
          <w:color w:val="231F20"/>
          <w:w w:val="120"/>
        </w:rPr>
        <w:t>participants pourront</w:t>
      </w:r>
      <w:r>
        <w:rPr>
          <w:color w:val="231F20"/>
          <w:spacing w:val="-9"/>
          <w:w w:val="120"/>
        </w:rPr>
        <w:t> </w:t>
      </w:r>
      <w:r>
        <w:rPr>
          <w:color w:val="231F20"/>
          <w:w w:val="120"/>
        </w:rPr>
        <w:t>s’adapter</w:t>
      </w:r>
      <w:r>
        <w:rPr>
          <w:color w:val="231F20"/>
          <w:spacing w:val="-9"/>
          <w:w w:val="120"/>
        </w:rPr>
        <w:t> </w:t>
      </w:r>
      <w:r>
        <w:rPr>
          <w:color w:val="231F20"/>
          <w:w w:val="120"/>
        </w:rPr>
        <w:t>plus</w:t>
      </w:r>
      <w:r>
        <w:rPr>
          <w:color w:val="231F20"/>
          <w:spacing w:val="-9"/>
          <w:w w:val="120"/>
        </w:rPr>
        <w:t> </w:t>
      </w:r>
      <w:r>
        <w:rPr>
          <w:color w:val="231F20"/>
          <w:w w:val="120"/>
        </w:rPr>
        <w:t>rapidement</w:t>
      </w:r>
      <w:r>
        <w:rPr>
          <w:color w:val="231F20"/>
          <w:spacing w:val="-9"/>
          <w:w w:val="120"/>
        </w:rPr>
        <w:t> </w:t>
      </w:r>
      <w:r>
        <w:rPr>
          <w:color w:val="231F20"/>
          <w:w w:val="120"/>
        </w:rPr>
        <w:t>au</w:t>
      </w:r>
      <w:r>
        <w:rPr>
          <w:color w:val="231F20"/>
          <w:spacing w:val="-9"/>
          <w:w w:val="120"/>
        </w:rPr>
        <w:t> </w:t>
      </w:r>
      <w:r>
        <w:rPr>
          <w:color w:val="231F20"/>
          <w:w w:val="120"/>
        </w:rPr>
        <w:t>processus</w:t>
      </w:r>
      <w:r>
        <w:rPr>
          <w:color w:val="231F20"/>
          <w:spacing w:val="-9"/>
          <w:w w:val="120"/>
        </w:rPr>
        <w:t> </w:t>
      </w:r>
      <w:r>
        <w:rPr>
          <w:color w:val="231F20"/>
          <w:w w:val="120"/>
        </w:rPr>
        <w:t>de</w:t>
      </w:r>
      <w:r>
        <w:rPr>
          <w:color w:val="231F20"/>
          <w:spacing w:val="-9"/>
          <w:w w:val="120"/>
        </w:rPr>
        <w:t> </w:t>
      </w:r>
      <w:r>
        <w:rPr>
          <w:color w:val="231F20"/>
          <w:w w:val="120"/>
        </w:rPr>
        <w:t>transition.</w:t>
      </w:r>
      <w:r>
        <w:rPr>
          <w:color w:val="231F20"/>
          <w:spacing w:val="-9"/>
          <w:w w:val="120"/>
        </w:rPr>
        <w:t> </w:t>
      </w:r>
      <w:r>
        <w:rPr>
          <w:color w:val="231F20"/>
          <w:w w:val="120"/>
        </w:rPr>
        <w:t>Lorsque la</w:t>
      </w:r>
      <w:r>
        <w:rPr>
          <w:color w:val="231F20"/>
          <w:spacing w:val="-13"/>
          <w:w w:val="120"/>
        </w:rPr>
        <w:t> </w:t>
      </w:r>
      <w:r>
        <w:rPr>
          <w:color w:val="231F20"/>
          <w:w w:val="120"/>
        </w:rPr>
        <w:t>perte</w:t>
      </w:r>
      <w:r>
        <w:rPr>
          <w:color w:val="231F20"/>
          <w:spacing w:val="-13"/>
          <w:w w:val="120"/>
        </w:rPr>
        <w:t> </w:t>
      </w:r>
      <w:r>
        <w:rPr>
          <w:color w:val="231F20"/>
          <w:w w:val="120"/>
        </w:rPr>
        <w:t>n’est</w:t>
      </w:r>
      <w:r>
        <w:rPr>
          <w:color w:val="231F20"/>
          <w:spacing w:val="-13"/>
          <w:w w:val="120"/>
        </w:rPr>
        <w:t> </w:t>
      </w:r>
      <w:r>
        <w:rPr>
          <w:color w:val="231F20"/>
          <w:w w:val="120"/>
        </w:rPr>
        <w:t>pas</w:t>
      </w:r>
      <w:r>
        <w:rPr>
          <w:color w:val="231F20"/>
          <w:spacing w:val="-12"/>
          <w:w w:val="120"/>
        </w:rPr>
        <w:t> </w:t>
      </w:r>
      <w:r>
        <w:rPr>
          <w:color w:val="231F20"/>
          <w:w w:val="120"/>
        </w:rPr>
        <w:t>reconnue,</w:t>
      </w:r>
      <w:r>
        <w:rPr>
          <w:color w:val="231F20"/>
          <w:spacing w:val="-13"/>
          <w:w w:val="120"/>
        </w:rPr>
        <w:t> </w:t>
      </w:r>
      <w:r>
        <w:rPr>
          <w:color w:val="231F20"/>
          <w:w w:val="120"/>
        </w:rPr>
        <w:t>il</w:t>
      </w:r>
      <w:r>
        <w:rPr>
          <w:color w:val="231F20"/>
          <w:spacing w:val="-13"/>
          <w:w w:val="120"/>
        </w:rPr>
        <w:t> </w:t>
      </w:r>
      <w:r>
        <w:rPr>
          <w:color w:val="231F20"/>
          <w:w w:val="120"/>
        </w:rPr>
        <w:t>arrive</w:t>
      </w:r>
      <w:r>
        <w:rPr>
          <w:color w:val="231F20"/>
          <w:spacing w:val="-13"/>
          <w:w w:val="120"/>
        </w:rPr>
        <w:t> </w:t>
      </w:r>
      <w:r>
        <w:rPr>
          <w:color w:val="231F20"/>
          <w:w w:val="120"/>
        </w:rPr>
        <w:t>souvent</w:t>
      </w:r>
      <w:r>
        <w:rPr>
          <w:color w:val="231F20"/>
          <w:spacing w:val="-12"/>
          <w:w w:val="120"/>
        </w:rPr>
        <w:t> </w:t>
      </w:r>
      <w:r>
        <w:rPr>
          <w:color w:val="231F20"/>
          <w:w w:val="120"/>
        </w:rPr>
        <w:t>qu’elle</w:t>
      </w:r>
      <w:r>
        <w:rPr>
          <w:color w:val="231F20"/>
          <w:spacing w:val="-13"/>
          <w:w w:val="120"/>
        </w:rPr>
        <w:t> </w:t>
      </w:r>
      <w:r>
        <w:rPr>
          <w:color w:val="231F20"/>
          <w:w w:val="120"/>
        </w:rPr>
        <w:t>refasse</w:t>
      </w:r>
      <w:r>
        <w:rPr>
          <w:color w:val="231F20"/>
          <w:spacing w:val="-13"/>
          <w:w w:val="120"/>
        </w:rPr>
        <w:t> </w:t>
      </w:r>
      <w:r>
        <w:rPr>
          <w:color w:val="231F20"/>
          <w:w w:val="120"/>
        </w:rPr>
        <w:t>surface</w:t>
      </w:r>
      <w:r>
        <w:rPr>
          <w:color w:val="231F20"/>
          <w:spacing w:val="-13"/>
          <w:w w:val="120"/>
        </w:rPr>
        <w:t> </w:t>
      </w:r>
      <w:r>
        <w:rPr>
          <w:color w:val="231F20"/>
          <w:w w:val="120"/>
        </w:rPr>
        <w:t>plus tard sous forme de résistance et de désorganisation.</w:t>
      </w:r>
    </w:p>
    <w:p>
      <w:pPr>
        <w:pStyle w:val="BodyText"/>
        <w:spacing w:before="6"/>
        <w:rPr>
          <w:sz w:val="21"/>
        </w:rPr>
      </w:pPr>
    </w:p>
    <w:p>
      <w:pPr>
        <w:pStyle w:val="BodyText"/>
        <w:spacing w:line="307" w:lineRule="auto"/>
        <w:ind w:left="1220" w:right="107"/>
        <w:jc w:val="both"/>
      </w:pPr>
      <w:r>
        <w:rPr>
          <w:b/>
          <w:color w:val="231F20"/>
          <w:w w:val="115"/>
        </w:rPr>
        <w:t>Apport</w:t>
      </w:r>
      <w:r>
        <w:rPr>
          <w:b/>
          <w:color w:val="231F20"/>
          <w:spacing w:val="-11"/>
          <w:w w:val="115"/>
        </w:rPr>
        <w:t> </w:t>
      </w:r>
      <w:r>
        <w:rPr>
          <w:b/>
          <w:color w:val="231F20"/>
          <w:w w:val="115"/>
        </w:rPr>
        <w:t>de</w:t>
      </w:r>
      <w:r>
        <w:rPr>
          <w:b/>
          <w:color w:val="231F20"/>
          <w:spacing w:val="-11"/>
          <w:w w:val="115"/>
        </w:rPr>
        <w:t> </w:t>
      </w:r>
      <w:r>
        <w:rPr>
          <w:b/>
          <w:color w:val="231F20"/>
          <w:w w:val="115"/>
        </w:rPr>
        <w:t>l’estime</w:t>
      </w:r>
      <w:r>
        <w:rPr>
          <w:b/>
          <w:color w:val="231F20"/>
          <w:spacing w:val="-11"/>
          <w:w w:val="115"/>
        </w:rPr>
        <w:t> </w:t>
      </w:r>
      <w:r>
        <w:rPr>
          <w:b/>
          <w:color w:val="231F20"/>
          <w:w w:val="115"/>
        </w:rPr>
        <w:t>de</w:t>
      </w:r>
      <w:r>
        <w:rPr>
          <w:b/>
          <w:color w:val="231F20"/>
          <w:spacing w:val="-11"/>
          <w:w w:val="115"/>
        </w:rPr>
        <w:t> </w:t>
      </w:r>
      <w:r>
        <w:rPr>
          <w:b/>
          <w:color w:val="231F20"/>
          <w:w w:val="115"/>
        </w:rPr>
        <w:t>soi.</w:t>
      </w:r>
      <w:r>
        <w:rPr>
          <w:b/>
          <w:color w:val="231F20"/>
          <w:spacing w:val="-8"/>
          <w:w w:val="115"/>
        </w:rPr>
        <w:t> </w:t>
      </w:r>
      <w:r>
        <w:rPr>
          <w:color w:val="231F20"/>
          <w:w w:val="115"/>
        </w:rPr>
        <w:t>Comme</w:t>
      </w:r>
      <w:r>
        <w:rPr>
          <w:color w:val="231F20"/>
          <w:spacing w:val="-8"/>
          <w:w w:val="115"/>
        </w:rPr>
        <w:t> </w:t>
      </w:r>
      <w:r>
        <w:rPr>
          <w:color w:val="231F20"/>
          <w:w w:val="115"/>
        </w:rPr>
        <w:t>nous</w:t>
      </w:r>
      <w:r>
        <w:rPr>
          <w:color w:val="231F20"/>
          <w:spacing w:val="-8"/>
          <w:w w:val="115"/>
        </w:rPr>
        <w:t> </w:t>
      </w:r>
      <w:r>
        <w:rPr>
          <w:color w:val="231F20"/>
          <w:w w:val="115"/>
        </w:rPr>
        <w:t>en</w:t>
      </w:r>
      <w:r>
        <w:rPr>
          <w:color w:val="231F20"/>
          <w:spacing w:val="-8"/>
          <w:w w:val="115"/>
        </w:rPr>
        <w:t> </w:t>
      </w:r>
      <w:r>
        <w:rPr>
          <w:color w:val="231F20"/>
          <w:w w:val="115"/>
        </w:rPr>
        <w:t>avons</w:t>
      </w:r>
      <w:r>
        <w:rPr>
          <w:color w:val="231F20"/>
          <w:spacing w:val="-8"/>
          <w:w w:val="115"/>
        </w:rPr>
        <w:t> </w:t>
      </w:r>
      <w:r>
        <w:rPr>
          <w:color w:val="231F20"/>
          <w:w w:val="115"/>
        </w:rPr>
        <w:t>discuté</w:t>
      </w:r>
      <w:r>
        <w:rPr>
          <w:color w:val="231F20"/>
          <w:spacing w:val="-8"/>
          <w:w w:val="115"/>
        </w:rPr>
        <w:t> </w:t>
      </w:r>
      <w:r>
        <w:rPr>
          <w:color w:val="231F20"/>
          <w:w w:val="115"/>
        </w:rPr>
        <w:t>précédemment, l’estime</w:t>
      </w:r>
      <w:r>
        <w:rPr>
          <w:color w:val="231F20"/>
          <w:spacing w:val="-3"/>
          <w:w w:val="115"/>
        </w:rPr>
        <w:t> </w:t>
      </w:r>
      <w:r>
        <w:rPr>
          <w:color w:val="231F20"/>
          <w:w w:val="115"/>
        </w:rPr>
        <w:t>de</w:t>
      </w:r>
      <w:r>
        <w:rPr>
          <w:color w:val="231F20"/>
          <w:spacing w:val="-3"/>
          <w:w w:val="115"/>
        </w:rPr>
        <w:t> </w:t>
      </w:r>
      <w:r>
        <w:rPr>
          <w:color w:val="231F20"/>
          <w:w w:val="115"/>
        </w:rPr>
        <w:t>soi</w:t>
      </w:r>
      <w:r>
        <w:rPr>
          <w:color w:val="231F20"/>
          <w:spacing w:val="-3"/>
          <w:w w:val="115"/>
        </w:rPr>
        <w:t> </w:t>
      </w:r>
      <w:r>
        <w:rPr>
          <w:color w:val="231F20"/>
          <w:w w:val="115"/>
        </w:rPr>
        <w:t>est</w:t>
      </w:r>
      <w:r>
        <w:rPr>
          <w:color w:val="231F20"/>
          <w:spacing w:val="-3"/>
          <w:w w:val="115"/>
        </w:rPr>
        <w:t> </w:t>
      </w:r>
      <w:r>
        <w:rPr>
          <w:color w:val="231F20"/>
          <w:w w:val="115"/>
        </w:rPr>
        <w:t>un</w:t>
      </w:r>
      <w:r>
        <w:rPr>
          <w:color w:val="231F20"/>
          <w:spacing w:val="-3"/>
          <w:w w:val="115"/>
        </w:rPr>
        <w:t> </w:t>
      </w:r>
      <w:r>
        <w:rPr>
          <w:color w:val="231F20"/>
          <w:w w:val="115"/>
        </w:rPr>
        <w:t>pilier</w:t>
      </w:r>
      <w:r>
        <w:rPr>
          <w:color w:val="231F20"/>
          <w:spacing w:val="-3"/>
          <w:w w:val="115"/>
        </w:rPr>
        <w:t> </w:t>
      </w:r>
      <w:r>
        <w:rPr>
          <w:color w:val="231F20"/>
          <w:w w:val="115"/>
        </w:rPr>
        <w:t>au</w:t>
      </w:r>
      <w:r>
        <w:rPr>
          <w:color w:val="231F20"/>
          <w:spacing w:val="-3"/>
          <w:w w:val="115"/>
        </w:rPr>
        <w:t> </w:t>
      </w:r>
      <w:r>
        <w:rPr>
          <w:color w:val="231F20"/>
          <w:w w:val="115"/>
        </w:rPr>
        <w:t>cœur</w:t>
      </w:r>
      <w:r>
        <w:rPr>
          <w:color w:val="231F20"/>
          <w:spacing w:val="-3"/>
          <w:w w:val="115"/>
        </w:rPr>
        <w:t> </w:t>
      </w:r>
      <w:r>
        <w:rPr>
          <w:color w:val="231F20"/>
          <w:w w:val="115"/>
        </w:rPr>
        <w:t>de</w:t>
      </w:r>
      <w:r>
        <w:rPr>
          <w:color w:val="231F20"/>
          <w:spacing w:val="-3"/>
          <w:w w:val="115"/>
        </w:rPr>
        <w:t> </w:t>
      </w:r>
      <w:r>
        <w:rPr>
          <w:color w:val="231F20"/>
          <w:w w:val="115"/>
        </w:rPr>
        <w:t>la</w:t>
      </w:r>
      <w:r>
        <w:rPr>
          <w:color w:val="231F20"/>
          <w:spacing w:val="-3"/>
          <w:w w:val="115"/>
        </w:rPr>
        <w:t> </w:t>
      </w:r>
      <w:r>
        <w:rPr>
          <w:color w:val="231F20"/>
          <w:w w:val="115"/>
        </w:rPr>
        <w:t>vie</w:t>
      </w:r>
      <w:r>
        <w:rPr>
          <w:color w:val="231F20"/>
          <w:spacing w:val="-3"/>
          <w:w w:val="115"/>
        </w:rPr>
        <w:t> </w:t>
      </w:r>
      <w:r>
        <w:rPr>
          <w:color w:val="231F20"/>
          <w:w w:val="115"/>
        </w:rPr>
        <w:t>sociale.</w:t>
      </w:r>
      <w:r>
        <w:rPr>
          <w:color w:val="231F20"/>
          <w:spacing w:val="-3"/>
          <w:w w:val="115"/>
        </w:rPr>
        <w:t> </w:t>
      </w:r>
      <w:r>
        <w:rPr>
          <w:color w:val="231F20"/>
          <w:w w:val="115"/>
        </w:rPr>
        <w:t>Entre</w:t>
      </w:r>
      <w:r>
        <w:rPr>
          <w:color w:val="231F20"/>
          <w:spacing w:val="-3"/>
          <w:w w:val="115"/>
        </w:rPr>
        <w:t> </w:t>
      </w:r>
      <w:r>
        <w:rPr>
          <w:color w:val="231F20"/>
          <w:w w:val="115"/>
        </w:rPr>
        <w:t>autres</w:t>
      </w:r>
      <w:r>
        <w:rPr>
          <w:color w:val="231F20"/>
          <w:spacing w:val="-3"/>
          <w:w w:val="115"/>
        </w:rPr>
        <w:t> </w:t>
      </w:r>
      <w:r>
        <w:rPr>
          <w:color w:val="231F20"/>
          <w:w w:val="115"/>
        </w:rPr>
        <w:t>choses, </w:t>
      </w:r>
      <w:r>
        <w:rPr>
          <w:color w:val="231F20"/>
          <w:w w:val="120"/>
        </w:rPr>
        <w:t>le</w:t>
      </w:r>
      <w:r>
        <w:rPr>
          <w:color w:val="231F20"/>
          <w:spacing w:val="-12"/>
          <w:w w:val="120"/>
        </w:rPr>
        <w:t> </w:t>
      </w:r>
      <w:r>
        <w:rPr>
          <w:color w:val="231F20"/>
          <w:w w:val="120"/>
        </w:rPr>
        <w:t>niveau</w:t>
      </w:r>
      <w:r>
        <w:rPr>
          <w:color w:val="231F20"/>
          <w:spacing w:val="-12"/>
          <w:w w:val="120"/>
        </w:rPr>
        <w:t> </w:t>
      </w:r>
      <w:r>
        <w:rPr>
          <w:color w:val="231F20"/>
          <w:w w:val="120"/>
        </w:rPr>
        <w:t>de</w:t>
      </w:r>
      <w:r>
        <w:rPr>
          <w:color w:val="231F20"/>
          <w:spacing w:val="-12"/>
          <w:w w:val="120"/>
        </w:rPr>
        <w:t> </w:t>
      </w:r>
      <w:r>
        <w:rPr>
          <w:color w:val="231F20"/>
          <w:w w:val="120"/>
        </w:rPr>
        <w:t>bien-être</w:t>
      </w:r>
      <w:r>
        <w:rPr>
          <w:color w:val="231F20"/>
          <w:spacing w:val="-12"/>
          <w:w w:val="120"/>
        </w:rPr>
        <w:t> </w:t>
      </w:r>
      <w:r>
        <w:rPr>
          <w:color w:val="231F20"/>
          <w:w w:val="120"/>
        </w:rPr>
        <w:t>que</w:t>
      </w:r>
      <w:r>
        <w:rPr>
          <w:color w:val="231F20"/>
          <w:spacing w:val="-12"/>
          <w:w w:val="120"/>
        </w:rPr>
        <w:t> </w:t>
      </w:r>
      <w:r>
        <w:rPr>
          <w:color w:val="231F20"/>
          <w:w w:val="120"/>
        </w:rPr>
        <w:t>nous</w:t>
      </w:r>
      <w:r>
        <w:rPr>
          <w:color w:val="231F20"/>
          <w:spacing w:val="-12"/>
          <w:w w:val="120"/>
        </w:rPr>
        <w:t> </w:t>
      </w:r>
      <w:r>
        <w:rPr>
          <w:color w:val="231F20"/>
          <w:w w:val="120"/>
        </w:rPr>
        <w:t>sommes</w:t>
      </w:r>
      <w:r>
        <w:rPr>
          <w:color w:val="231F20"/>
          <w:spacing w:val="-12"/>
          <w:w w:val="120"/>
        </w:rPr>
        <w:t> </w:t>
      </w:r>
      <w:r>
        <w:rPr>
          <w:color w:val="231F20"/>
          <w:w w:val="120"/>
        </w:rPr>
        <w:t>capables</w:t>
      </w:r>
      <w:r>
        <w:rPr>
          <w:color w:val="231F20"/>
          <w:spacing w:val="-12"/>
          <w:w w:val="120"/>
        </w:rPr>
        <w:t> </w:t>
      </w:r>
      <w:r>
        <w:rPr>
          <w:color w:val="231F20"/>
          <w:w w:val="120"/>
        </w:rPr>
        <w:t>de</w:t>
      </w:r>
      <w:r>
        <w:rPr>
          <w:color w:val="231F20"/>
          <w:spacing w:val="-12"/>
          <w:w w:val="120"/>
        </w:rPr>
        <w:t> </w:t>
      </w:r>
      <w:r>
        <w:rPr>
          <w:color w:val="231F20"/>
          <w:w w:val="120"/>
        </w:rPr>
        <w:t>ressentir,</w:t>
      </w:r>
      <w:r>
        <w:rPr>
          <w:color w:val="231F20"/>
          <w:spacing w:val="-12"/>
          <w:w w:val="120"/>
        </w:rPr>
        <w:t> </w:t>
      </w:r>
      <w:r>
        <w:rPr>
          <w:color w:val="231F20"/>
          <w:w w:val="120"/>
        </w:rPr>
        <w:t>le</w:t>
      </w:r>
      <w:r>
        <w:rPr>
          <w:color w:val="231F20"/>
          <w:spacing w:val="-12"/>
          <w:w w:val="120"/>
        </w:rPr>
        <w:t> </w:t>
      </w:r>
      <w:r>
        <w:rPr>
          <w:color w:val="231F20"/>
          <w:w w:val="120"/>
        </w:rPr>
        <w:t>succès que nous pouvons connaître, la créativité que nous nous autorisons à exprimer,</w:t>
      </w:r>
      <w:r>
        <w:rPr>
          <w:color w:val="231F20"/>
          <w:spacing w:val="-13"/>
          <w:w w:val="120"/>
        </w:rPr>
        <w:t> </w:t>
      </w:r>
      <w:r>
        <w:rPr>
          <w:color w:val="231F20"/>
          <w:w w:val="120"/>
        </w:rPr>
        <w:t>les</w:t>
      </w:r>
      <w:r>
        <w:rPr>
          <w:color w:val="231F20"/>
          <w:spacing w:val="-13"/>
          <w:w w:val="120"/>
        </w:rPr>
        <w:t> </w:t>
      </w:r>
      <w:r>
        <w:rPr>
          <w:color w:val="231F20"/>
          <w:w w:val="120"/>
        </w:rPr>
        <w:t>accomplissements</w:t>
      </w:r>
      <w:r>
        <w:rPr>
          <w:color w:val="231F20"/>
          <w:spacing w:val="-13"/>
          <w:w w:val="120"/>
        </w:rPr>
        <w:t> </w:t>
      </w:r>
      <w:r>
        <w:rPr>
          <w:color w:val="231F20"/>
          <w:w w:val="120"/>
        </w:rPr>
        <w:t>que</w:t>
      </w:r>
      <w:r>
        <w:rPr>
          <w:color w:val="231F20"/>
          <w:spacing w:val="-12"/>
          <w:w w:val="120"/>
        </w:rPr>
        <w:t> </w:t>
      </w:r>
      <w:r>
        <w:rPr>
          <w:color w:val="231F20"/>
          <w:w w:val="120"/>
        </w:rPr>
        <w:t>nous</w:t>
      </w:r>
      <w:r>
        <w:rPr>
          <w:color w:val="231F20"/>
          <w:spacing w:val="-13"/>
          <w:w w:val="120"/>
        </w:rPr>
        <w:t> </w:t>
      </w:r>
      <w:r>
        <w:rPr>
          <w:color w:val="231F20"/>
          <w:w w:val="120"/>
        </w:rPr>
        <w:t>arrivons</w:t>
      </w:r>
      <w:r>
        <w:rPr>
          <w:color w:val="231F20"/>
          <w:spacing w:val="-13"/>
          <w:w w:val="120"/>
        </w:rPr>
        <w:t> </w:t>
      </w:r>
      <w:r>
        <w:rPr>
          <w:color w:val="231F20"/>
          <w:w w:val="120"/>
        </w:rPr>
        <w:t>à</w:t>
      </w:r>
      <w:r>
        <w:rPr>
          <w:color w:val="231F20"/>
          <w:spacing w:val="-13"/>
          <w:w w:val="120"/>
        </w:rPr>
        <w:t> </w:t>
      </w:r>
      <w:r>
        <w:rPr>
          <w:color w:val="231F20"/>
          <w:w w:val="120"/>
        </w:rPr>
        <w:t>goûter</w:t>
      </w:r>
      <w:r>
        <w:rPr>
          <w:color w:val="231F20"/>
          <w:spacing w:val="-12"/>
          <w:w w:val="120"/>
        </w:rPr>
        <w:t> </w:t>
      </w:r>
      <w:r>
        <w:rPr>
          <w:color w:val="231F20"/>
          <w:w w:val="120"/>
        </w:rPr>
        <w:t>ont</w:t>
      </w:r>
      <w:r>
        <w:rPr>
          <w:color w:val="231F20"/>
          <w:spacing w:val="-13"/>
          <w:w w:val="120"/>
        </w:rPr>
        <w:t> </w:t>
      </w:r>
      <w:r>
        <w:rPr>
          <w:color w:val="231F20"/>
          <w:w w:val="120"/>
        </w:rPr>
        <w:t>tous</w:t>
      </w:r>
      <w:r>
        <w:rPr>
          <w:color w:val="231F20"/>
          <w:spacing w:val="-13"/>
          <w:w w:val="120"/>
        </w:rPr>
        <w:t> </w:t>
      </w:r>
      <w:r>
        <w:rPr>
          <w:color w:val="231F20"/>
          <w:w w:val="120"/>
        </w:rPr>
        <w:t>des liens intrinsèques avec notre estime de soi.</w:t>
      </w:r>
    </w:p>
    <w:p>
      <w:pPr>
        <w:pStyle w:val="BodyText"/>
        <w:spacing w:line="307" w:lineRule="auto" w:before="79"/>
        <w:ind w:left="1220" w:right="106" w:firstLine="250"/>
        <w:jc w:val="both"/>
      </w:pPr>
      <w:r>
        <w:rPr>
          <w:color w:val="231F20"/>
          <w:w w:val="120"/>
        </w:rPr>
        <w:t>Plusieurs des stratégies individuelles de gestion du stress accrois- </w:t>
      </w:r>
      <w:r>
        <w:rPr>
          <w:color w:val="231F20"/>
          <w:w w:val="115"/>
        </w:rPr>
        <w:t>sent</w:t>
      </w:r>
      <w:r>
        <w:rPr>
          <w:color w:val="231F20"/>
          <w:spacing w:val="-6"/>
          <w:w w:val="115"/>
        </w:rPr>
        <w:t> </w:t>
      </w:r>
      <w:r>
        <w:rPr>
          <w:color w:val="231F20"/>
          <w:w w:val="115"/>
        </w:rPr>
        <w:t>aussi</w:t>
      </w:r>
      <w:r>
        <w:rPr>
          <w:color w:val="231F20"/>
          <w:spacing w:val="-5"/>
          <w:w w:val="115"/>
        </w:rPr>
        <w:t> </w:t>
      </w:r>
      <w:r>
        <w:rPr>
          <w:color w:val="231F20"/>
          <w:w w:val="115"/>
        </w:rPr>
        <w:t>l’estime</w:t>
      </w:r>
      <w:r>
        <w:rPr>
          <w:color w:val="231F20"/>
          <w:spacing w:val="-5"/>
          <w:w w:val="115"/>
        </w:rPr>
        <w:t> </w:t>
      </w:r>
      <w:r>
        <w:rPr>
          <w:color w:val="231F20"/>
          <w:w w:val="115"/>
        </w:rPr>
        <w:t>de</w:t>
      </w:r>
      <w:r>
        <w:rPr>
          <w:color w:val="231F20"/>
          <w:spacing w:val="-5"/>
          <w:w w:val="115"/>
        </w:rPr>
        <w:t> </w:t>
      </w:r>
      <w:r>
        <w:rPr>
          <w:color w:val="231F20"/>
          <w:w w:val="115"/>
        </w:rPr>
        <w:t>soi</w:t>
      </w:r>
      <w:r>
        <w:rPr>
          <w:color w:val="231F20"/>
          <w:spacing w:val="-5"/>
          <w:w w:val="115"/>
        </w:rPr>
        <w:t> </w:t>
      </w:r>
      <w:r>
        <w:rPr>
          <w:color w:val="231F20"/>
          <w:w w:val="115"/>
        </w:rPr>
        <w:t>personnelle</w:t>
      </w:r>
      <w:r>
        <w:rPr>
          <w:color w:val="231F20"/>
          <w:spacing w:val="-5"/>
          <w:w w:val="115"/>
        </w:rPr>
        <w:t> </w:t>
      </w:r>
      <w:r>
        <w:rPr>
          <w:color w:val="231F20"/>
          <w:w w:val="115"/>
        </w:rPr>
        <w:t>et</w:t>
      </w:r>
      <w:r>
        <w:rPr>
          <w:color w:val="231F20"/>
          <w:spacing w:val="-5"/>
          <w:w w:val="115"/>
        </w:rPr>
        <w:t> </w:t>
      </w:r>
      <w:r>
        <w:rPr>
          <w:color w:val="231F20"/>
          <w:w w:val="115"/>
        </w:rPr>
        <w:t>professionnelle.</w:t>
      </w:r>
      <w:r>
        <w:rPr>
          <w:color w:val="231F20"/>
          <w:spacing w:val="-6"/>
          <w:w w:val="115"/>
        </w:rPr>
        <w:t> </w:t>
      </w:r>
      <w:r>
        <w:rPr>
          <w:color w:val="231F20"/>
          <w:w w:val="115"/>
        </w:rPr>
        <w:t>L’une</w:t>
      </w:r>
      <w:r>
        <w:rPr>
          <w:color w:val="231F20"/>
          <w:spacing w:val="-5"/>
          <w:w w:val="115"/>
        </w:rPr>
        <w:t> </w:t>
      </w:r>
      <w:r>
        <w:rPr>
          <w:color w:val="231F20"/>
          <w:w w:val="115"/>
        </w:rPr>
        <w:t>des</w:t>
      </w:r>
      <w:r>
        <w:rPr>
          <w:color w:val="231F20"/>
          <w:spacing w:val="-5"/>
          <w:w w:val="115"/>
        </w:rPr>
        <w:t> </w:t>
      </w:r>
      <w:r>
        <w:rPr>
          <w:color w:val="231F20"/>
          <w:w w:val="115"/>
        </w:rPr>
        <w:t>consé- </w:t>
      </w:r>
      <w:r>
        <w:rPr>
          <w:color w:val="231F20"/>
          <w:w w:val="120"/>
        </w:rPr>
        <w:t>quences possibles du stress est l’apparition d’un sentiment d’inutilité, d’incompétence, d’un manque de confiance. Une bonne estime de </w:t>
      </w:r>
      <w:r>
        <w:rPr>
          <w:color w:val="231F20"/>
          <w:w w:val="120"/>
        </w:rPr>
        <w:t>soi amoindrira ces symptômes, car l’estime de soi est essentielle à notre aptitude</w:t>
      </w:r>
      <w:r>
        <w:rPr>
          <w:color w:val="231F20"/>
          <w:spacing w:val="-13"/>
          <w:w w:val="120"/>
        </w:rPr>
        <w:t> </w:t>
      </w:r>
      <w:r>
        <w:rPr>
          <w:color w:val="231F20"/>
          <w:w w:val="120"/>
        </w:rPr>
        <w:t>à</w:t>
      </w:r>
      <w:r>
        <w:rPr>
          <w:color w:val="231F20"/>
          <w:spacing w:val="-13"/>
          <w:w w:val="120"/>
        </w:rPr>
        <w:t> </w:t>
      </w:r>
      <w:r>
        <w:rPr>
          <w:color w:val="231F20"/>
          <w:w w:val="120"/>
        </w:rPr>
        <w:t>interagir</w:t>
      </w:r>
      <w:r>
        <w:rPr>
          <w:color w:val="231F20"/>
          <w:spacing w:val="-13"/>
          <w:w w:val="120"/>
        </w:rPr>
        <w:t> </w:t>
      </w:r>
      <w:r>
        <w:rPr>
          <w:color w:val="231F20"/>
          <w:w w:val="120"/>
        </w:rPr>
        <w:t>au</w:t>
      </w:r>
      <w:r>
        <w:rPr>
          <w:color w:val="231F20"/>
          <w:spacing w:val="-13"/>
          <w:w w:val="120"/>
        </w:rPr>
        <w:t> </w:t>
      </w:r>
      <w:r>
        <w:rPr>
          <w:color w:val="231F20"/>
          <w:w w:val="120"/>
        </w:rPr>
        <w:t>quotidien</w:t>
      </w:r>
      <w:r>
        <w:rPr>
          <w:color w:val="231F20"/>
          <w:spacing w:val="-13"/>
          <w:w w:val="120"/>
        </w:rPr>
        <w:t> </w:t>
      </w:r>
      <w:r>
        <w:rPr>
          <w:color w:val="231F20"/>
          <w:w w:val="120"/>
        </w:rPr>
        <w:t>de</w:t>
      </w:r>
      <w:r>
        <w:rPr>
          <w:color w:val="231F20"/>
          <w:spacing w:val="-13"/>
          <w:w w:val="120"/>
        </w:rPr>
        <w:t> </w:t>
      </w:r>
      <w:r>
        <w:rPr>
          <w:color w:val="231F20"/>
          <w:w w:val="120"/>
        </w:rPr>
        <w:t>façon</w:t>
      </w:r>
      <w:r>
        <w:rPr>
          <w:color w:val="231F20"/>
          <w:spacing w:val="-13"/>
          <w:w w:val="120"/>
        </w:rPr>
        <w:t> </w:t>
      </w:r>
      <w:r>
        <w:rPr>
          <w:color w:val="231F20"/>
          <w:w w:val="120"/>
        </w:rPr>
        <w:t>fonctionnelle</w:t>
      </w:r>
      <w:r>
        <w:rPr>
          <w:color w:val="231F20"/>
          <w:spacing w:val="-13"/>
          <w:w w:val="120"/>
        </w:rPr>
        <w:t> </w:t>
      </w:r>
      <w:r>
        <w:rPr>
          <w:color w:val="231F20"/>
          <w:w w:val="120"/>
        </w:rPr>
        <w:t>et</w:t>
      </w:r>
      <w:r>
        <w:rPr>
          <w:color w:val="231F20"/>
          <w:spacing w:val="-13"/>
          <w:w w:val="120"/>
        </w:rPr>
        <w:t> </w:t>
      </w:r>
      <w:r>
        <w:rPr>
          <w:color w:val="231F20"/>
          <w:w w:val="120"/>
        </w:rPr>
        <w:t>harmonieuse.</w:t>
      </w:r>
    </w:p>
    <w:p>
      <w:pPr>
        <w:pStyle w:val="BodyText"/>
        <w:spacing w:line="307" w:lineRule="auto" w:before="79"/>
        <w:ind w:left="1220" w:right="105" w:firstLine="250"/>
        <w:jc w:val="both"/>
      </w:pPr>
      <w:r>
        <w:rPr>
          <w:color w:val="231F20"/>
          <w:spacing w:val="-2"/>
          <w:w w:val="120"/>
        </w:rPr>
        <w:t>Un</w:t>
      </w:r>
      <w:r>
        <w:rPr>
          <w:color w:val="231F20"/>
          <w:spacing w:val="-10"/>
          <w:w w:val="120"/>
        </w:rPr>
        <w:t> </w:t>
      </w:r>
      <w:r>
        <w:rPr>
          <w:color w:val="231F20"/>
          <w:spacing w:val="-2"/>
          <w:w w:val="120"/>
        </w:rPr>
        <w:t>individu</w:t>
      </w:r>
      <w:r>
        <w:rPr>
          <w:color w:val="231F20"/>
          <w:spacing w:val="-10"/>
          <w:w w:val="120"/>
        </w:rPr>
        <w:t> </w:t>
      </w:r>
      <w:r>
        <w:rPr>
          <w:color w:val="231F20"/>
          <w:spacing w:val="-2"/>
          <w:w w:val="120"/>
        </w:rPr>
        <w:t>possédant</w:t>
      </w:r>
      <w:r>
        <w:rPr>
          <w:color w:val="231F20"/>
          <w:spacing w:val="-10"/>
          <w:w w:val="120"/>
        </w:rPr>
        <w:t> </w:t>
      </w:r>
      <w:r>
        <w:rPr>
          <w:color w:val="231F20"/>
          <w:spacing w:val="-2"/>
          <w:w w:val="120"/>
        </w:rPr>
        <w:t>un</w:t>
      </w:r>
      <w:r>
        <w:rPr>
          <w:color w:val="231F20"/>
          <w:spacing w:val="-10"/>
          <w:w w:val="120"/>
        </w:rPr>
        <w:t> </w:t>
      </w:r>
      <w:r>
        <w:rPr>
          <w:color w:val="231F20"/>
          <w:spacing w:val="-2"/>
          <w:w w:val="120"/>
        </w:rPr>
        <w:t>bon</w:t>
      </w:r>
      <w:r>
        <w:rPr>
          <w:color w:val="231F20"/>
          <w:spacing w:val="-10"/>
          <w:w w:val="120"/>
        </w:rPr>
        <w:t> </w:t>
      </w:r>
      <w:r>
        <w:rPr>
          <w:color w:val="231F20"/>
          <w:spacing w:val="-2"/>
          <w:w w:val="120"/>
        </w:rPr>
        <w:t>niveau</w:t>
      </w:r>
      <w:r>
        <w:rPr>
          <w:color w:val="231F20"/>
          <w:spacing w:val="-10"/>
          <w:w w:val="120"/>
        </w:rPr>
        <w:t> </w:t>
      </w:r>
      <w:r>
        <w:rPr>
          <w:color w:val="231F20"/>
          <w:spacing w:val="-2"/>
          <w:w w:val="120"/>
        </w:rPr>
        <w:t>d’estime</w:t>
      </w:r>
      <w:r>
        <w:rPr>
          <w:color w:val="231F20"/>
          <w:spacing w:val="-10"/>
          <w:w w:val="120"/>
        </w:rPr>
        <w:t> </w:t>
      </w:r>
      <w:r>
        <w:rPr>
          <w:color w:val="231F20"/>
          <w:spacing w:val="-2"/>
          <w:w w:val="120"/>
        </w:rPr>
        <w:t>de</w:t>
      </w:r>
      <w:r>
        <w:rPr>
          <w:color w:val="231F20"/>
          <w:spacing w:val="-10"/>
          <w:w w:val="120"/>
        </w:rPr>
        <w:t> </w:t>
      </w:r>
      <w:r>
        <w:rPr>
          <w:color w:val="231F20"/>
          <w:spacing w:val="-2"/>
          <w:w w:val="120"/>
        </w:rPr>
        <w:t>soi</w:t>
      </w:r>
      <w:r>
        <w:rPr>
          <w:color w:val="231F20"/>
          <w:spacing w:val="-10"/>
          <w:w w:val="120"/>
        </w:rPr>
        <w:t> </w:t>
      </w:r>
      <w:r>
        <w:rPr>
          <w:color w:val="231F20"/>
          <w:spacing w:val="-2"/>
          <w:w w:val="120"/>
        </w:rPr>
        <w:t>sera</w:t>
      </w:r>
      <w:r>
        <w:rPr>
          <w:color w:val="231F20"/>
          <w:spacing w:val="-10"/>
          <w:w w:val="120"/>
        </w:rPr>
        <w:t> </w:t>
      </w:r>
      <w:r>
        <w:rPr>
          <w:color w:val="231F20"/>
          <w:spacing w:val="-2"/>
          <w:w w:val="120"/>
        </w:rPr>
        <w:t>assurément </w:t>
      </w:r>
      <w:r>
        <w:rPr>
          <w:color w:val="231F20"/>
          <w:w w:val="120"/>
        </w:rPr>
        <w:t>plus</w:t>
      </w:r>
      <w:r>
        <w:rPr>
          <w:color w:val="231F20"/>
          <w:spacing w:val="-9"/>
          <w:w w:val="120"/>
        </w:rPr>
        <w:t> </w:t>
      </w:r>
      <w:r>
        <w:rPr>
          <w:color w:val="231F20"/>
          <w:w w:val="120"/>
        </w:rPr>
        <w:t>à</w:t>
      </w:r>
      <w:r>
        <w:rPr>
          <w:color w:val="231F20"/>
          <w:spacing w:val="-9"/>
          <w:w w:val="120"/>
        </w:rPr>
        <w:t> </w:t>
      </w:r>
      <w:r>
        <w:rPr>
          <w:color w:val="231F20"/>
          <w:w w:val="120"/>
        </w:rPr>
        <w:t>même</w:t>
      </w:r>
      <w:r>
        <w:rPr>
          <w:color w:val="231F20"/>
          <w:spacing w:val="-9"/>
          <w:w w:val="120"/>
        </w:rPr>
        <w:t> </w:t>
      </w:r>
      <w:r>
        <w:rPr>
          <w:color w:val="231F20"/>
          <w:w w:val="120"/>
        </w:rPr>
        <w:t>de</w:t>
      </w:r>
      <w:r>
        <w:rPr>
          <w:color w:val="231F20"/>
          <w:spacing w:val="-9"/>
          <w:w w:val="120"/>
        </w:rPr>
        <w:t> </w:t>
      </w:r>
      <w:r>
        <w:rPr>
          <w:color w:val="231F20"/>
          <w:w w:val="120"/>
        </w:rPr>
        <w:t>tirer</w:t>
      </w:r>
      <w:r>
        <w:rPr>
          <w:color w:val="231F20"/>
          <w:spacing w:val="-9"/>
          <w:w w:val="120"/>
        </w:rPr>
        <w:t> </w:t>
      </w:r>
      <w:r>
        <w:rPr>
          <w:color w:val="231F20"/>
          <w:w w:val="120"/>
        </w:rPr>
        <w:t>profit</w:t>
      </w:r>
      <w:r>
        <w:rPr>
          <w:color w:val="231F20"/>
          <w:spacing w:val="-9"/>
          <w:w w:val="120"/>
        </w:rPr>
        <w:t> </w:t>
      </w:r>
      <w:r>
        <w:rPr>
          <w:color w:val="231F20"/>
          <w:w w:val="120"/>
        </w:rPr>
        <w:t>des</w:t>
      </w:r>
      <w:r>
        <w:rPr>
          <w:color w:val="231F20"/>
          <w:spacing w:val="-9"/>
          <w:w w:val="120"/>
        </w:rPr>
        <w:t> </w:t>
      </w:r>
      <w:r>
        <w:rPr>
          <w:color w:val="231F20"/>
          <w:w w:val="120"/>
        </w:rPr>
        <w:t>stratégies</w:t>
      </w:r>
      <w:r>
        <w:rPr>
          <w:color w:val="231F20"/>
          <w:spacing w:val="-9"/>
          <w:w w:val="120"/>
        </w:rPr>
        <w:t> </w:t>
      </w:r>
      <w:r>
        <w:rPr>
          <w:color w:val="231F20"/>
          <w:w w:val="120"/>
        </w:rPr>
        <w:t>physiologiques,</w:t>
      </w:r>
      <w:r>
        <w:rPr>
          <w:color w:val="231F20"/>
          <w:spacing w:val="-9"/>
          <w:w w:val="120"/>
        </w:rPr>
        <w:t> </w:t>
      </w:r>
      <w:r>
        <w:rPr>
          <w:color w:val="231F20"/>
          <w:w w:val="120"/>
        </w:rPr>
        <w:t>cognitives</w:t>
      </w:r>
      <w:r>
        <w:rPr>
          <w:color w:val="231F20"/>
          <w:spacing w:val="-9"/>
          <w:w w:val="120"/>
        </w:rPr>
        <w:t> </w:t>
      </w:r>
      <w:r>
        <w:rPr>
          <w:color w:val="231F20"/>
          <w:w w:val="120"/>
        </w:rPr>
        <w:t>ou comportementales</w:t>
      </w:r>
      <w:r>
        <w:rPr>
          <w:color w:val="231F20"/>
          <w:spacing w:val="-13"/>
          <w:w w:val="120"/>
        </w:rPr>
        <w:t> </w:t>
      </w:r>
      <w:r>
        <w:rPr>
          <w:color w:val="231F20"/>
          <w:w w:val="120"/>
        </w:rPr>
        <w:t>que</w:t>
      </w:r>
      <w:r>
        <w:rPr>
          <w:color w:val="231F20"/>
          <w:spacing w:val="-13"/>
          <w:w w:val="120"/>
        </w:rPr>
        <w:t> </w:t>
      </w:r>
      <w:r>
        <w:rPr>
          <w:color w:val="231F20"/>
          <w:w w:val="120"/>
        </w:rPr>
        <w:t>nous</w:t>
      </w:r>
      <w:r>
        <w:rPr>
          <w:color w:val="231F20"/>
          <w:spacing w:val="-13"/>
          <w:w w:val="120"/>
        </w:rPr>
        <w:t> </w:t>
      </w:r>
      <w:r>
        <w:rPr>
          <w:color w:val="231F20"/>
          <w:w w:val="120"/>
        </w:rPr>
        <w:t>venons</w:t>
      </w:r>
      <w:r>
        <w:rPr>
          <w:color w:val="231F20"/>
          <w:spacing w:val="-12"/>
          <w:w w:val="120"/>
        </w:rPr>
        <w:t> </w:t>
      </w:r>
      <w:r>
        <w:rPr>
          <w:color w:val="231F20"/>
          <w:w w:val="120"/>
        </w:rPr>
        <w:t>d’aborder.</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2"/>
          <w:w w:val="120"/>
        </w:rPr>
        <w:t> </w:t>
      </w:r>
      <w:r>
        <w:rPr>
          <w:color w:val="231F20"/>
          <w:w w:val="120"/>
        </w:rPr>
        <w:t>favorise </w:t>
      </w:r>
      <w:r>
        <w:rPr>
          <w:color w:val="231F20"/>
          <w:spacing w:val="-2"/>
          <w:w w:val="120"/>
        </w:rPr>
        <w:t>des relations plus fonctionnelles, plus saines et plus signifiantes, surtout </w:t>
      </w:r>
      <w:r>
        <w:rPr>
          <w:color w:val="231F20"/>
          <w:w w:val="120"/>
        </w:rPr>
        <w:t>avec</w:t>
      </w:r>
      <w:r>
        <w:rPr>
          <w:color w:val="231F20"/>
          <w:spacing w:val="-15"/>
          <w:w w:val="120"/>
        </w:rPr>
        <w:t> </w:t>
      </w:r>
      <w:r>
        <w:rPr>
          <w:color w:val="231F20"/>
          <w:w w:val="120"/>
        </w:rPr>
        <w:t>nous-même.</w:t>
      </w:r>
      <w:r>
        <w:rPr>
          <w:color w:val="231F20"/>
          <w:spacing w:val="-15"/>
          <w:w w:val="120"/>
        </w:rPr>
        <w:t> </w:t>
      </w:r>
      <w:r>
        <w:rPr>
          <w:color w:val="231F20"/>
          <w:w w:val="120"/>
        </w:rPr>
        <w:t>Cependant,</w:t>
      </w:r>
      <w:r>
        <w:rPr>
          <w:color w:val="231F20"/>
          <w:spacing w:val="-15"/>
          <w:w w:val="120"/>
        </w:rPr>
        <w:t> </w:t>
      </w:r>
      <w:r>
        <w:rPr>
          <w:color w:val="231F20"/>
          <w:w w:val="120"/>
        </w:rPr>
        <w:t>les</w:t>
      </w:r>
      <w:r>
        <w:rPr>
          <w:color w:val="231F20"/>
          <w:spacing w:val="-15"/>
          <w:w w:val="120"/>
        </w:rPr>
        <w:t> </w:t>
      </w:r>
      <w:r>
        <w:rPr>
          <w:color w:val="231F20"/>
          <w:w w:val="120"/>
        </w:rPr>
        <w:t>personnes</w:t>
      </w:r>
      <w:r>
        <w:rPr>
          <w:color w:val="231F20"/>
          <w:spacing w:val="-15"/>
          <w:w w:val="120"/>
        </w:rPr>
        <w:t> </w:t>
      </w:r>
      <w:r>
        <w:rPr>
          <w:color w:val="231F20"/>
          <w:w w:val="120"/>
        </w:rPr>
        <w:t>qui</w:t>
      </w:r>
      <w:r>
        <w:rPr>
          <w:color w:val="231F20"/>
          <w:spacing w:val="-15"/>
          <w:w w:val="120"/>
        </w:rPr>
        <w:t> </w:t>
      </w:r>
      <w:r>
        <w:rPr>
          <w:color w:val="231F20"/>
          <w:w w:val="120"/>
        </w:rPr>
        <w:t>ont</w:t>
      </w:r>
      <w:r>
        <w:rPr>
          <w:color w:val="231F20"/>
          <w:spacing w:val="-15"/>
          <w:w w:val="120"/>
        </w:rPr>
        <w:t> </w:t>
      </w:r>
      <w:r>
        <w:rPr>
          <w:color w:val="231F20"/>
          <w:w w:val="120"/>
        </w:rPr>
        <w:t>une</w:t>
      </w:r>
      <w:r>
        <w:rPr>
          <w:color w:val="231F20"/>
          <w:spacing w:val="-15"/>
          <w:w w:val="120"/>
        </w:rPr>
        <w:t> </w:t>
      </w:r>
      <w:r>
        <w:rPr>
          <w:color w:val="231F20"/>
          <w:w w:val="120"/>
        </w:rPr>
        <w:t>faible</w:t>
      </w:r>
      <w:r>
        <w:rPr>
          <w:color w:val="231F20"/>
          <w:spacing w:val="-15"/>
          <w:w w:val="120"/>
        </w:rPr>
        <w:t> </w:t>
      </w:r>
      <w:r>
        <w:rPr>
          <w:color w:val="231F20"/>
          <w:w w:val="120"/>
        </w:rPr>
        <w:t>estime</w:t>
      </w:r>
      <w:r>
        <w:rPr>
          <w:color w:val="231F20"/>
          <w:spacing w:val="-15"/>
          <w:w w:val="120"/>
        </w:rPr>
        <w:t> </w:t>
      </w:r>
      <w:r>
        <w:rPr>
          <w:color w:val="231F20"/>
          <w:w w:val="120"/>
        </w:rPr>
        <w:t>de</w:t>
      </w:r>
    </w:p>
    <w:p>
      <w:pPr>
        <w:spacing w:after="0" w:line="307" w:lineRule="auto"/>
        <w:jc w:val="both"/>
        <w:sectPr>
          <w:footerReference w:type="default" r:id="rId311"/>
          <w:pgSz w:w="8640" w:h="12960"/>
          <w:pgMar w:footer="424" w:header="0" w:top="500" w:bottom="620" w:left="420" w:right="1140"/>
        </w:sectPr>
      </w:pPr>
    </w:p>
    <w:p>
      <w:pPr>
        <w:spacing w:before="103"/>
        <w:ind w:left="1028" w:right="698" w:firstLine="0"/>
        <w:jc w:val="center"/>
        <w:rPr>
          <w:rFonts w:ascii="Arial" w:hAnsi="Arial"/>
          <w:sz w:val="14"/>
        </w:rPr>
      </w:pPr>
      <w:bookmarkStart w:name=" 5.3 / Stratégies organisationnelles" w:id="183"/>
      <w:bookmarkEnd w:id="183"/>
      <w:r>
        <w:rPr/>
      </w:r>
      <w:bookmarkStart w:name="_bookmark81" w:id="184"/>
      <w:bookmarkEnd w:id="18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8"/>
        <w:jc w:val="both"/>
      </w:pPr>
      <w:r>
        <w:rPr>
          <w:color w:val="231F20"/>
          <w:w w:val="120"/>
        </w:rPr>
        <w:t>soi comptent sur les résultats présents pour savoir quel sentiment</w:t>
      </w:r>
      <w:r>
        <w:rPr>
          <w:color w:val="231F20"/>
          <w:spacing w:val="40"/>
          <w:w w:val="120"/>
        </w:rPr>
        <w:t> </w:t>
      </w:r>
      <w:r>
        <w:rPr>
          <w:color w:val="231F20"/>
          <w:w w:val="120"/>
        </w:rPr>
        <w:t>avoir</w:t>
      </w:r>
      <w:r>
        <w:rPr>
          <w:color w:val="231F20"/>
          <w:spacing w:val="-5"/>
          <w:w w:val="120"/>
        </w:rPr>
        <w:t> </w:t>
      </w:r>
      <w:r>
        <w:rPr>
          <w:color w:val="231F20"/>
          <w:w w:val="120"/>
        </w:rPr>
        <w:t>à</w:t>
      </w:r>
      <w:r>
        <w:rPr>
          <w:color w:val="231F20"/>
          <w:spacing w:val="-5"/>
          <w:w w:val="120"/>
        </w:rPr>
        <w:t> </w:t>
      </w:r>
      <w:r>
        <w:rPr>
          <w:color w:val="231F20"/>
          <w:w w:val="120"/>
        </w:rPr>
        <w:t>l’égard</w:t>
      </w:r>
      <w:r>
        <w:rPr>
          <w:color w:val="231F20"/>
          <w:spacing w:val="-5"/>
          <w:w w:val="120"/>
        </w:rPr>
        <w:t> </w:t>
      </w:r>
      <w:r>
        <w:rPr>
          <w:color w:val="231F20"/>
          <w:w w:val="120"/>
        </w:rPr>
        <w:t>d’elles-mêmes.</w:t>
      </w:r>
      <w:r>
        <w:rPr>
          <w:color w:val="231F20"/>
          <w:spacing w:val="-5"/>
          <w:w w:val="120"/>
        </w:rPr>
        <w:t> </w:t>
      </w:r>
      <w:r>
        <w:rPr>
          <w:color w:val="231F20"/>
          <w:w w:val="120"/>
        </w:rPr>
        <w:t>Elles</w:t>
      </w:r>
      <w:r>
        <w:rPr>
          <w:color w:val="231F20"/>
          <w:spacing w:val="-5"/>
          <w:w w:val="120"/>
        </w:rPr>
        <w:t> </w:t>
      </w:r>
      <w:r>
        <w:rPr>
          <w:color w:val="231F20"/>
          <w:w w:val="120"/>
        </w:rPr>
        <w:t>ont</w:t>
      </w:r>
      <w:r>
        <w:rPr>
          <w:color w:val="231F20"/>
          <w:spacing w:val="-5"/>
          <w:w w:val="120"/>
        </w:rPr>
        <w:t> </w:t>
      </w:r>
      <w:r>
        <w:rPr>
          <w:color w:val="231F20"/>
          <w:w w:val="120"/>
        </w:rPr>
        <w:t>besoin</w:t>
      </w:r>
      <w:r>
        <w:rPr>
          <w:color w:val="231F20"/>
          <w:spacing w:val="-5"/>
          <w:w w:val="120"/>
        </w:rPr>
        <w:t> </w:t>
      </w:r>
      <w:r>
        <w:rPr>
          <w:color w:val="231F20"/>
          <w:w w:val="120"/>
        </w:rPr>
        <w:t>d’expériences</w:t>
      </w:r>
      <w:r>
        <w:rPr>
          <w:color w:val="231F20"/>
          <w:spacing w:val="-5"/>
          <w:w w:val="120"/>
        </w:rPr>
        <w:t> </w:t>
      </w:r>
      <w:r>
        <w:rPr>
          <w:color w:val="231F20"/>
          <w:w w:val="120"/>
        </w:rPr>
        <w:t>externes positives pour résister aux sentiments négatifs qu’elles entretiennent envers</w:t>
      </w:r>
      <w:r>
        <w:rPr>
          <w:color w:val="231F20"/>
          <w:spacing w:val="-13"/>
          <w:w w:val="120"/>
        </w:rPr>
        <w:t> </w:t>
      </w:r>
      <w:r>
        <w:rPr>
          <w:color w:val="231F20"/>
          <w:w w:val="120"/>
        </w:rPr>
        <w:t>elles-mêmes.</w:t>
      </w:r>
    </w:p>
    <w:p>
      <w:pPr>
        <w:pStyle w:val="BodyText"/>
        <w:spacing w:line="307" w:lineRule="auto" w:before="79"/>
        <w:ind w:left="830" w:right="494" w:firstLine="250"/>
        <w:jc w:val="both"/>
      </w:pPr>
      <w:r>
        <w:rPr>
          <w:color w:val="231F20"/>
          <w:w w:val="120"/>
        </w:rPr>
        <w:t>Une estime de soi positive sera un gage d’une meilleure gestion du stress,</w:t>
      </w:r>
      <w:r>
        <w:rPr>
          <w:color w:val="231F20"/>
          <w:spacing w:val="-13"/>
          <w:w w:val="120"/>
        </w:rPr>
        <w:t> </w:t>
      </w:r>
      <w:r>
        <w:rPr>
          <w:color w:val="231F20"/>
          <w:w w:val="120"/>
        </w:rPr>
        <w:t>car</w:t>
      </w:r>
      <w:r>
        <w:rPr>
          <w:color w:val="231F20"/>
          <w:spacing w:val="-12"/>
          <w:w w:val="120"/>
        </w:rPr>
        <w:t> </w:t>
      </w:r>
      <w:r>
        <w:rPr>
          <w:color w:val="231F20"/>
          <w:w w:val="120"/>
        </w:rPr>
        <w:t>elle</w:t>
      </w:r>
      <w:r>
        <w:rPr>
          <w:color w:val="231F20"/>
          <w:spacing w:val="-13"/>
          <w:w w:val="120"/>
        </w:rPr>
        <w:t> </w:t>
      </w:r>
      <w:r>
        <w:rPr>
          <w:color w:val="231F20"/>
          <w:w w:val="120"/>
        </w:rPr>
        <w:t>repose</w:t>
      </w:r>
      <w:r>
        <w:rPr>
          <w:color w:val="231F20"/>
          <w:spacing w:val="-12"/>
          <w:w w:val="120"/>
        </w:rPr>
        <w:t> </w:t>
      </w:r>
      <w:r>
        <w:rPr>
          <w:color w:val="231F20"/>
          <w:w w:val="120"/>
        </w:rPr>
        <w:t>sur</w:t>
      </w:r>
      <w:r>
        <w:rPr>
          <w:color w:val="231F20"/>
          <w:spacing w:val="-13"/>
          <w:w w:val="120"/>
        </w:rPr>
        <w:t> </w:t>
      </w:r>
      <w:r>
        <w:rPr>
          <w:color w:val="231F20"/>
          <w:w w:val="120"/>
        </w:rPr>
        <w:t>la</w:t>
      </w:r>
      <w:r>
        <w:rPr>
          <w:color w:val="231F20"/>
          <w:spacing w:val="-12"/>
          <w:w w:val="120"/>
        </w:rPr>
        <w:t> </w:t>
      </w:r>
      <w:r>
        <w:rPr>
          <w:color w:val="231F20"/>
          <w:w w:val="120"/>
        </w:rPr>
        <w:t>capacité</w:t>
      </w:r>
      <w:r>
        <w:rPr>
          <w:color w:val="231F20"/>
          <w:spacing w:val="-13"/>
          <w:w w:val="120"/>
        </w:rPr>
        <w:t> </w:t>
      </w:r>
      <w:r>
        <w:rPr>
          <w:color w:val="231F20"/>
          <w:w w:val="120"/>
        </w:rPr>
        <w:t>de</w:t>
      </w:r>
      <w:r>
        <w:rPr>
          <w:color w:val="231F20"/>
          <w:spacing w:val="-12"/>
          <w:w w:val="120"/>
        </w:rPr>
        <w:t> </w:t>
      </w:r>
      <w:r>
        <w:rPr>
          <w:color w:val="231F20"/>
          <w:w w:val="120"/>
        </w:rPr>
        <w:t>s’évaluer</w:t>
      </w:r>
      <w:r>
        <w:rPr>
          <w:color w:val="231F20"/>
          <w:spacing w:val="-13"/>
          <w:w w:val="120"/>
        </w:rPr>
        <w:t> </w:t>
      </w:r>
      <w:r>
        <w:rPr>
          <w:color w:val="231F20"/>
          <w:w w:val="120"/>
        </w:rPr>
        <w:t>objectivement</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2"/>
          <w:w w:val="120"/>
        </w:rPr>
        <w:t> </w:t>
      </w:r>
      <w:r>
        <w:rPr>
          <w:color w:val="231F20"/>
          <w:w w:val="120"/>
        </w:rPr>
        <w:t>se connaître, autrement dit, de reconnaître ses forces et ses limites avec réalisme, tout en acceptant sa propre valeur sans condition ni réserve.</w:t>
      </w:r>
    </w:p>
    <w:p>
      <w:pPr>
        <w:pStyle w:val="BodyText"/>
        <w:rPr>
          <w:sz w:val="24"/>
        </w:rPr>
      </w:pPr>
    </w:p>
    <w:p>
      <w:pPr>
        <w:pStyle w:val="Heading2"/>
        <w:numPr>
          <w:ilvl w:val="1"/>
          <w:numId w:val="75"/>
        </w:numPr>
        <w:tabs>
          <w:tab w:pos="521" w:val="left" w:leader="none"/>
          <w:tab w:pos="829" w:val="left" w:leader="none"/>
        </w:tabs>
        <w:spacing w:line="240" w:lineRule="auto" w:before="185" w:after="0"/>
        <w:ind w:left="520" w:right="0" w:hanging="300"/>
        <w:jc w:val="left"/>
      </w:pPr>
      <w:r>
        <w:rPr>
          <w:b w:val="0"/>
          <w:i/>
          <w:color w:val="231F20"/>
          <w:spacing w:val="-10"/>
        </w:rPr>
        <w:t>/</w:t>
      </w:r>
      <w:r>
        <w:rPr>
          <w:b w:val="0"/>
          <w:i/>
          <w:color w:val="231F20"/>
        </w:rPr>
        <w:tab/>
      </w:r>
      <w:r>
        <w:rPr>
          <w:color w:val="231F20"/>
          <w:w w:val="95"/>
        </w:rPr>
        <w:t>Stratégies</w:t>
      </w:r>
      <w:r>
        <w:rPr>
          <w:color w:val="231F20"/>
          <w:spacing w:val="2"/>
        </w:rPr>
        <w:t> </w:t>
      </w:r>
      <w:r>
        <w:rPr>
          <w:color w:val="231F20"/>
          <w:spacing w:val="-2"/>
        </w:rPr>
        <w:t>organisationnelles</w:t>
      </w:r>
    </w:p>
    <w:p>
      <w:pPr>
        <w:pStyle w:val="BodyText"/>
        <w:spacing w:before="9"/>
        <w:rPr>
          <w:rFonts w:ascii="Arial"/>
          <w:b/>
          <w:sz w:val="25"/>
        </w:rPr>
      </w:pPr>
    </w:p>
    <w:p>
      <w:pPr>
        <w:pStyle w:val="BodyText"/>
        <w:spacing w:line="307" w:lineRule="auto"/>
        <w:ind w:left="830" w:right="495"/>
        <w:jc w:val="both"/>
      </w:pPr>
      <w:r>
        <w:rPr>
          <w:color w:val="231F20"/>
          <w:w w:val="120"/>
        </w:rPr>
        <w:t>Les</w:t>
      </w:r>
      <w:r>
        <w:rPr>
          <w:color w:val="231F20"/>
          <w:spacing w:val="-11"/>
          <w:w w:val="120"/>
        </w:rPr>
        <w:t> </w:t>
      </w:r>
      <w:r>
        <w:rPr>
          <w:color w:val="231F20"/>
          <w:w w:val="120"/>
        </w:rPr>
        <w:t>stratégies</w:t>
      </w:r>
      <w:r>
        <w:rPr>
          <w:color w:val="231F20"/>
          <w:spacing w:val="-11"/>
          <w:w w:val="120"/>
        </w:rPr>
        <w:t> </w:t>
      </w:r>
      <w:r>
        <w:rPr>
          <w:color w:val="231F20"/>
          <w:w w:val="120"/>
        </w:rPr>
        <w:t>de</w:t>
      </w:r>
      <w:r>
        <w:rPr>
          <w:color w:val="231F20"/>
          <w:spacing w:val="-11"/>
          <w:w w:val="120"/>
        </w:rPr>
        <w:t> </w:t>
      </w:r>
      <w:r>
        <w:rPr>
          <w:color w:val="231F20"/>
          <w:w w:val="120"/>
        </w:rPr>
        <w:t>gestion</w:t>
      </w:r>
      <w:r>
        <w:rPr>
          <w:color w:val="231F20"/>
          <w:spacing w:val="-11"/>
          <w:w w:val="120"/>
        </w:rPr>
        <w:t> </w:t>
      </w:r>
      <w:r>
        <w:rPr>
          <w:color w:val="231F20"/>
          <w:w w:val="120"/>
        </w:rPr>
        <w:t>du</w:t>
      </w:r>
      <w:r>
        <w:rPr>
          <w:color w:val="231F20"/>
          <w:spacing w:val="-11"/>
          <w:w w:val="120"/>
        </w:rPr>
        <w:t> </w:t>
      </w:r>
      <w:r>
        <w:rPr>
          <w:color w:val="231F20"/>
          <w:w w:val="120"/>
        </w:rPr>
        <w:t>stress</w:t>
      </w:r>
      <w:r>
        <w:rPr>
          <w:color w:val="231F20"/>
          <w:spacing w:val="-11"/>
          <w:w w:val="120"/>
        </w:rPr>
        <w:t> </w:t>
      </w:r>
      <w:r>
        <w:rPr>
          <w:color w:val="231F20"/>
          <w:w w:val="120"/>
        </w:rPr>
        <w:t>présentées</w:t>
      </w:r>
      <w:r>
        <w:rPr>
          <w:color w:val="231F20"/>
          <w:spacing w:val="-11"/>
          <w:w w:val="120"/>
        </w:rPr>
        <w:t> </w:t>
      </w:r>
      <w:r>
        <w:rPr>
          <w:color w:val="231F20"/>
          <w:w w:val="120"/>
        </w:rPr>
        <w:t>jusqu’à</w:t>
      </w:r>
      <w:r>
        <w:rPr>
          <w:color w:val="231F20"/>
          <w:spacing w:val="-11"/>
          <w:w w:val="120"/>
        </w:rPr>
        <w:t> </w:t>
      </w:r>
      <w:r>
        <w:rPr>
          <w:color w:val="231F20"/>
          <w:w w:val="120"/>
        </w:rPr>
        <w:t>maintenant</w:t>
      </w:r>
      <w:r>
        <w:rPr>
          <w:color w:val="231F20"/>
          <w:spacing w:val="-11"/>
          <w:w w:val="120"/>
        </w:rPr>
        <w:t> </w:t>
      </w:r>
      <w:r>
        <w:rPr>
          <w:color w:val="231F20"/>
          <w:w w:val="120"/>
        </w:rPr>
        <w:t>visent à</w:t>
      </w:r>
      <w:r>
        <w:rPr>
          <w:color w:val="231F20"/>
          <w:spacing w:val="-13"/>
          <w:w w:val="120"/>
        </w:rPr>
        <w:t> </w:t>
      </w:r>
      <w:r>
        <w:rPr>
          <w:color w:val="231F20"/>
          <w:w w:val="120"/>
        </w:rPr>
        <w:t>contrer</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2"/>
          <w:w w:val="120"/>
        </w:rPr>
        <w:t> </w:t>
      </w:r>
      <w:r>
        <w:rPr>
          <w:color w:val="231F20"/>
          <w:w w:val="120"/>
        </w:rPr>
        <w:t>du</w:t>
      </w:r>
      <w:r>
        <w:rPr>
          <w:color w:val="231F20"/>
          <w:spacing w:val="-13"/>
          <w:w w:val="120"/>
        </w:rPr>
        <w:t> </w:t>
      </w:r>
      <w:r>
        <w:rPr>
          <w:color w:val="231F20"/>
          <w:w w:val="120"/>
        </w:rPr>
        <w:t>point</w:t>
      </w:r>
      <w:r>
        <w:rPr>
          <w:color w:val="231F20"/>
          <w:spacing w:val="-13"/>
          <w:w w:val="120"/>
        </w:rPr>
        <w:t> </w:t>
      </w:r>
      <w:r>
        <w:rPr>
          <w:color w:val="231F20"/>
          <w:w w:val="120"/>
        </w:rPr>
        <w:t>de</w:t>
      </w:r>
      <w:r>
        <w:rPr>
          <w:color w:val="231F20"/>
          <w:spacing w:val="-13"/>
          <w:w w:val="120"/>
        </w:rPr>
        <w:t> </w:t>
      </w:r>
      <w:r>
        <w:rPr>
          <w:color w:val="231F20"/>
          <w:w w:val="120"/>
        </w:rPr>
        <w:t>vue</w:t>
      </w:r>
      <w:r>
        <w:rPr>
          <w:color w:val="231F20"/>
          <w:spacing w:val="-12"/>
          <w:w w:val="120"/>
        </w:rPr>
        <w:t> </w:t>
      </w:r>
      <w:r>
        <w:rPr>
          <w:color w:val="231F20"/>
          <w:w w:val="120"/>
        </w:rPr>
        <w:t>individuel.</w:t>
      </w:r>
      <w:r>
        <w:rPr>
          <w:color w:val="231F20"/>
          <w:spacing w:val="-13"/>
          <w:w w:val="120"/>
        </w:rPr>
        <w:t> </w:t>
      </w:r>
      <w:r>
        <w:rPr>
          <w:color w:val="231F20"/>
          <w:w w:val="120"/>
        </w:rPr>
        <w:t>Cependant,</w:t>
      </w:r>
      <w:r>
        <w:rPr>
          <w:color w:val="231F20"/>
          <w:spacing w:val="-13"/>
          <w:w w:val="120"/>
        </w:rPr>
        <w:t> </w:t>
      </w:r>
      <w:r>
        <w:rPr>
          <w:color w:val="231F20"/>
          <w:w w:val="120"/>
        </w:rPr>
        <w:t>pour</w:t>
      </w:r>
      <w:r>
        <w:rPr>
          <w:color w:val="231F20"/>
          <w:spacing w:val="-13"/>
          <w:w w:val="120"/>
        </w:rPr>
        <w:t> </w:t>
      </w:r>
      <w:r>
        <w:rPr>
          <w:color w:val="231F20"/>
          <w:w w:val="120"/>
        </w:rPr>
        <w:t>ce</w:t>
      </w:r>
      <w:r>
        <w:rPr>
          <w:color w:val="231F20"/>
          <w:spacing w:val="-12"/>
          <w:w w:val="120"/>
        </w:rPr>
        <w:t> </w:t>
      </w:r>
      <w:r>
        <w:rPr>
          <w:color w:val="231F20"/>
          <w:w w:val="120"/>
        </w:rPr>
        <w:t>qui</w:t>
      </w:r>
      <w:r>
        <w:rPr>
          <w:color w:val="231F20"/>
          <w:spacing w:val="-13"/>
          <w:w w:val="120"/>
        </w:rPr>
        <w:t> </w:t>
      </w:r>
      <w:r>
        <w:rPr>
          <w:color w:val="231F20"/>
          <w:w w:val="120"/>
        </w:rPr>
        <w:t>est </w:t>
      </w:r>
      <w:r>
        <w:rPr>
          <w:color w:val="231F20"/>
          <w:spacing w:val="-4"/>
          <w:w w:val="120"/>
        </w:rPr>
        <w:t>du stress lié au travail, de nombreux auteurs soulignent la nécessité d’une </w:t>
      </w:r>
      <w:r>
        <w:rPr>
          <w:color w:val="231F20"/>
          <w:w w:val="120"/>
        </w:rPr>
        <w:t>analyse à plusieurs niveaux, soit ceux de l’individu, du groupe et de </w:t>
      </w:r>
      <w:r>
        <w:rPr>
          <w:color w:val="231F20"/>
          <w:w w:val="115"/>
        </w:rPr>
        <w:t>l’organisation.</w:t>
      </w:r>
      <w:r>
        <w:rPr>
          <w:color w:val="231F20"/>
          <w:spacing w:val="-7"/>
          <w:w w:val="115"/>
        </w:rPr>
        <w:t> </w:t>
      </w:r>
      <w:r>
        <w:rPr>
          <w:color w:val="231F20"/>
          <w:w w:val="115"/>
        </w:rPr>
        <w:t>Contrairement</w:t>
      </w:r>
      <w:r>
        <w:rPr>
          <w:color w:val="231F20"/>
          <w:spacing w:val="-7"/>
          <w:w w:val="115"/>
        </w:rPr>
        <w:t> </w:t>
      </w:r>
      <w:r>
        <w:rPr>
          <w:color w:val="231F20"/>
          <w:w w:val="115"/>
        </w:rPr>
        <w:t>aux</w:t>
      </w:r>
      <w:r>
        <w:rPr>
          <w:color w:val="231F20"/>
          <w:spacing w:val="-7"/>
          <w:w w:val="115"/>
        </w:rPr>
        <w:t> </w:t>
      </w:r>
      <w:r>
        <w:rPr>
          <w:color w:val="231F20"/>
          <w:w w:val="115"/>
        </w:rPr>
        <w:t>autres</w:t>
      </w:r>
      <w:r>
        <w:rPr>
          <w:color w:val="231F20"/>
          <w:spacing w:val="-7"/>
          <w:w w:val="115"/>
        </w:rPr>
        <w:t> </w:t>
      </w:r>
      <w:r>
        <w:rPr>
          <w:color w:val="231F20"/>
          <w:w w:val="115"/>
        </w:rPr>
        <w:t>domaines</w:t>
      </w:r>
      <w:r>
        <w:rPr>
          <w:color w:val="231F20"/>
          <w:spacing w:val="-7"/>
          <w:w w:val="115"/>
        </w:rPr>
        <w:t> </w:t>
      </w:r>
      <w:r>
        <w:rPr>
          <w:color w:val="231F20"/>
          <w:w w:val="115"/>
        </w:rPr>
        <w:t>de</w:t>
      </w:r>
      <w:r>
        <w:rPr>
          <w:color w:val="231F20"/>
          <w:spacing w:val="-7"/>
          <w:w w:val="115"/>
        </w:rPr>
        <w:t> </w:t>
      </w:r>
      <w:r>
        <w:rPr>
          <w:color w:val="231F20"/>
          <w:w w:val="115"/>
        </w:rPr>
        <w:t>la</w:t>
      </w:r>
      <w:r>
        <w:rPr>
          <w:color w:val="231F20"/>
          <w:spacing w:val="-7"/>
          <w:w w:val="115"/>
        </w:rPr>
        <w:t> </w:t>
      </w:r>
      <w:r>
        <w:rPr>
          <w:color w:val="231F20"/>
          <w:w w:val="115"/>
        </w:rPr>
        <w:t>vie,</w:t>
      </w:r>
      <w:r>
        <w:rPr>
          <w:color w:val="231F20"/>
          <w:spacing w:val="-7"/>
          <w:w w:val="115"/>
        </w:rPr>
        <w:t> </w:t>
      </w:r>
      <w:r>
        <w:rPr>
          <w:color w:val="231F20"/>
          <w:w w:val="115"/>
        </w:rPr>
        <w:t>les</w:t>
      </w:r>
      <w:r>
        <w:rPr>
          <w:color w:val="231F20"/>
          <w:spacing w:val="-7"/>
          <w:w w:val="115"/>
        </w:rPr>
        <w:t> </w:t>
      </w:r>
      <w:r>
        <w:rPr>
          <w:color w:val="231F20"/>
          <w:w w:val="115"/>
        </w:rPr>
        <w:t>stratégies </w:t>
      </w:r>
      <w:r>
        <w:rPr>
          <w:color w:val="231F20"/>
          <w:w w:val="120"/>
        </w:rPr>
        <w:t>individuelles</w:t>
      </w:r>
      <w:r>
        <w:rPr>
          <w:color w:val="231F20"/>
          <w:spacing w:val="-8"/>
          <w:w w:val="120"/>
        </w:rPr>
        <w:t> </w:t>
      </w:r>
      <w:r>
        <w:rPr>
          <w:color w:val="231F20"/>
          <w:w w:val="120"/>
        </w:rPr>
        <w:t>disponibles</w:t>
      </w:r>
      <w:r>
        <w:rPr>
          <w:color w:val="231F20"/>
          <w:spacing w:val="-8"/>
          <w:w w:val="120"/>
        </w:rPr>
        <w:t> </w:t>
      </w:r>
      <w:r>
        <w:rPr>
          <w:color w:val="231F20"/>
          <w:w w:val="120"/>
        </w:rPr>
        <w:t>ne</w:t>
      </w:r>
      <w:r>
        <w:rPr>
          <w:color w:val="231F20"/>
          <w:spacing w:val="-8"/>
          <w:w w:val="120"/>
        </w:rPr>
        <w:t> </w:t>
      </w:r>
      <w:r>
        <w:rPr>
          <w:color w:val="231F20"/>
          <w:w w:val="120"/>
        </w:rPr>
        <w:t>permettent</w:t>
      </w:r>
      <w:r>
        <w:rPr>
          <w:color w:val="231F20"/>
          <w:spacing w:val="-8"/>
          <w:w w:val="120"/>
        </w:rPr>
        <w:t> </w:t>
      </w:r>
      <w:r>
        <w:rPr>
          <w:color w:val="231F20"/>
          <w:w w:val="120"/>
        </w:rPr>
        <w:t>pas</w:t>
      </w:r>
      <w:r>
        <w:rPr>
          <w:color w:val="231F20"/>
          <w:spacing w:val="-8"/>
          <w:w w:val="120"/>
        </w:rPr>
        <w:t> </w:t>
      </w:r>
      <w:r>
        <w:rPr>
          <w:color w:val="231F20"/>
          <w:w w:val="120"/>
        </w:rPr>
        <w:t>toujours</w:t>
      </w:r>
      <w:r>
        <w:rPr>
          <w:color w:val="231F20"/>
          <w:spacing w:val="-8"/>
          <w:w w:val="120"/>
        </w:rPr>
        <w:t> </w:t>
      </w:r>
      <w:r>
        <w:rPr>
          <w:color w:val="231F20"/>
          <w:w w:val="120"/>
        </w:rPr>
        <w:t>d’enrayer</w:t>
      </w:r>
      <w:r>
        <w:rPr>
          <w:color w:val="231F20"/>
          <w:spacing w:val="-8"/>
          <w:w w:val="120"/>
        </w:rPr>
        <w:t> </w:t>
      </w:r>
      <w:r>
        <w:rPr>
          <w:color w:val="231F20"/>
          <w:w w:val="120"/>
        </w:rPr>
        <w:t>le</w:t>
      </w:r>
      <w:r>
        <w:rPr>
          <w:color w:val="231F20"/>
          <w:spacing w:val="-8"/>
          <w:w w:val="120"/>
        </w:rPr>
        <w:t> </w:t>
      </w:r>
      <w:r>
        <w:rPr>
          <w:color w:val="231F20"/>
          <w:w w:val="120"/>
        </w:rPr>
        <w:t>stress </w:t>
      </w:r>
      <w:r>
        <w:rPr>
          <w:color w:val="231F20"/>
          <w:w w:val="115"/>
        </w:rPr>
        <w:t>en</w:t>
      </w:r>
      <w:r>
        <w:rPr>
          <w:color w:val="231F20"/>
          <w:spacing w:val="-4"/>
          <w:w w:val="115"/>
        </w:rPr>
        <w:t> </w:t>
      </w:r>
      <w:r>
        <w:rPr>
          <w:color w:val="231F20"/>
          <w:w w:val="115"/>
        </w:rPr>
        <w:t>milieu</w:t>
      </w:r>
      <w:r>
        <w:rPr>
          <w:color w:val="231F20"/>
          <w:spacing w:val="-4"/>
          <w:w w:val="115"/>
        </w:rPr>
        <w:t> </w:t>
      </w:r>
      <w:r>
        <w:rPr>
          <w:color w:val="231F20"/>
          <w:w w:val="115"/>
        </w:rPr>
        <w:t>de</w:t>
      </w:r>
      <w:r>
        <w:rPr>
          <w:color w:val="231F20"/>
          <w:spacing w:val="-4"/>
          <w:w w:val="115"/>
        </w:rPr>
        <w:t> </w:t>
      </w:r>
      <w:r>
        <w:rPr>
          <w:color w:val="231F20"/>
          <w:w w:val="115"/>
        </w:rPr>
        <w:t>travail</w:t>
      </w:r>
      <w:r>
        <w:rPr>
          <w:color w:val="231F20"/>
          <w:spacing w:val="-4"/>
          <w:w w:val="115"/>
        </w:rPr>
        <w:t> </w:t>
      </w:r>
      <w:r>
        <w:rPr>
          <w:color w:val="231F20"/>
          <w:w w:val="115"/>
        </w:rPr>
        <w:t>directement</w:t>
      </w:r>
      <w:r>
        <w:rPr>
          <w:color w:val="231F20"/>
          <w:spacing w:val="-4"/>
          <w:w w:val="115"/>
        </w:rPr>
        <w:t> </w:t>
      </w:r>
      <w:r>
        <w:rPr>
          <w:color w:val="231F20"/>
          <w:w w:val="115"/>
        </w:rPr>
        <w:t>à</w:t>
      </w:r>
      <w:r>
        <w:rPr>
          <w:color w:val="231F20"/>
          <w:spacing w:val="-4"/>
          <w:w w:val="115"/>
        </w:rPr>
        <w:t> </w:t>
      </w:r>
      <w:r>
        <w:rPr>
          <w:color w:val="231F20"/>
          <w:w w:val="115"/>
        </w:rPr>
        <w:t>sa</w:t>
      </w:r>
      <w:r>
        <w:rPr>
          <w:color w:val="231F20"/>
          <w:spacing w:val="-4"/>
          <w:w w:val="115"/>
        </w:rPr>
        <w:t> </w:t>
      </w:r>
      <w:r>
        <w:rPr>
          <w:color w:val="231F20"/>
          <w:w w:val="115"/>
        </w:rPr>
        <w:t>source.</w:t>
      </w:r>
      <w:r>
        <w:rPr>
          <w:color w:val="231F20"/>
          <w:spacing w:val="-4"/>
          <w:w w:val="115"/>
        </w:rPr>
        <w:t> </w:t>
      </w:r>
      <w:r>
        <w:rPr>
          <w:color w:val="231F20"/>
          <w:w w:val="115"/>
        </w:rPr>
        <w:t>Comme</w:t>
      </w:r>
      <w:r>
        <w:rPr>
          <w:color w:val="231F20"/>
          <w:spacing w:val="-4"/>
          <w:w w:val="115"/>
        </w:rPr>
        <w:t> </w:t>
      </w:r>
      <w:r>
        <w:rPr>
          <w:color w:val="231F20"/>
          <w:w w:val="115"/>
        </w:rPr>
        <w:t>l’efficience</w:t>
      </w:r>
      <w:r>
        <w:rPr>
          <w:color w:val="231F20"/>
          <w:spacing w:val="-4"/>
          <w:w w:val="115"/>
        </w:rPr>
        <w:t> </w:t>
      </w:r>
      <w:r>
        <w:rPr>
          <w:color w:val="231F20"/>
          <w:w w:val="115"/>
        </w:rPr>
        <w:t>des</w:t>
      </w:r>
      <w:r>
        <w:rPr>
          <w:color w:val="231F20"/>
          <w:spacing w:val="-4"/>
          <w:w w:val="115"/>
        </w:rPr>
        <w:t> </w:t>
      </w:r>
      <w:r>
        <w:rPr>
          <w:color w:val="231F20"/>
          <w:w w:val="115"/>
        </w:rPr>
        <w:t>stra- </w:t>
      </w:r>
      <w:r>
        <w:rPr>
          <w:color w:val="231F20"/>
          <w:w w:val="120"/>
        </w:rPr>
        <w:t>tégies</w:t>
      </w:r>
      <w:r>
        <w:rPr>
          <w:color w:val="231F20"/>
          <w:spacing w:val="-3"/>
          <w:w w:val="120"/>
        </w:rPr>
        <w:t> </w:t>
      </w:r>
      <w:r>
        <w:rPr>
          <w:color w:val="231F20"/>
          <w:w w:val="120"/>
        </w:rPr>
        <w:t>de</w:t>
      </w:r>
      <w:r>
        <w:rPr>
          <w:color w:val="231F20"/>
          <w:spacing w:val="-3"/>
          <w:w w:val="120"/>
        </w:rPr>
        <w:t> </w:t>
      </w:r>
      <w:r>
        <w:rPr>
          <w:color w:val="231F20"/>
          <w:w w:val="120"/>
        </w:rPr>
        <w:t>gestion</w:t>
      </w:r>
      <w:r>
        <w:rPr>
          <w:color w:val="231F20"/>
          <w:spacing w:val="-3"/>
          <w:w w:val="120"/>
        </w:rPr>
        <w:t> </w:t>
      </w:r>
      <w:r>
        <w:rPr>
          <w:color w:val="231F20"/>
          <w:w w:val="120"/>
        </w:rPr>
        <w:t>du</w:t>
      </w:r>
      <w:r>
        <w:rPr>
          <w:color w:val="231F20"/>
          <w:spacing w:val="-3"/>
          <w:w w:val="120"/>
        </w:rPr>
        <w:t> </w:t>
      </w:r>
      <w:r>
        <w:rPr>
          <w:color w:val="231F20"/>
          <w:w w:val="120"/>
        </w:rPr>
        <w:t>stress</w:t>
      </w:r>
      <w:r>
        <w:rPr>
          <w:color w:val="231F20"/>
          <w:spacing w:val="-3"/>
          <w:w w:val="120"/>
        </w:rPr>
        <w:t> </w:t>
      </w:r>
      <w:r>
        <w:rPr>
          <w:color w:val="231F20"/>
          <w:w w:val="120"/>
        </w:rPr>
        <w:t>repose</w:t>
      </w:r>
      <w:r>
        <w:rPr>
          <w:color w:val="231F20"/>
          <w:spacing w:val="-3"/>
          <w:w w:val="120"/>
        </w:rPr>
        <w:t> </w:t>
      </w:r>
      <w:r>
        <w:rPr>
          <w:color w:val="231F20"/>
          <w:w w:val="120"/>
        </w:rPr>
        <w:t>sur</w:t>
      </w:r>
      <w:r>
        <w:rPr>
          <w:color w:val="231F20"/>
          <w:spacing w:val="-3"/>
          <w:w w:val="120"/>
        </w:rPr>
        <w:t> </w:t>
      </w:r>
      <w:r>
        <w:rPr>
          <w:color w:val="231F20"/>
          <w:w w:val="120"/>
        </w:rPr>
        <w:t>la</w:t>
      </w:r>
      <w:r>
        <w:rPr>
          <w:color w:val="231F20"/>
          <w:spacing w:val="-3"/>
          <w:w w:val="120"/>
        </w:rPr>
        <w:t> </w:t>
      </w:r>
      <w:r>
        <w:rPr>
          <w:color w:val="231F20"/>
          <w:w w:val="120"/>
        </w:rPr>
        <w:t>possibilité</w:t>
      </w:r>
      <w:r>
        <w:rPr>
          <w:color w:val="231F20"/>
          <w:spacing w:val="-3"/>
          <w:w w:val="120"/>
        </w:rPr>
        <w:t> </w:t>
      </w:r>
      <w:r>
        <w:rPr>
          <w:color w:val="231F20"/>
          <w:w w:val="120"/>
        </w:rPr>
        <w:t>de</w:t>
      </w:r>
      <w:r>
        <w:rPr>
          <w:color w:val="231F20"/>
          <w:spacing w:val="-3"/>
          <w:w w:val="120"/>
        </w:rPr>
        <w:t> </w:t>
      </w:r>
      <w:r>
        <w:rPr>
          <w:color w:val="231F20"/>
          <w:w w:val="120"/>
        </w:rPr>
        <w:t>contrôler</w:t>
      </w:r>
      <w:r>
        <w:rPr>
          <w:color w:val="231F20"/>
          <w:spacing w:val="-3"/>
          <w:w w:val="120"/>
        </w:rPr>
        <w:t> </w:t>
      </w:r>
      <w:r>
        <w:rPr>
          <w:color w:val="231F20"/>
          <w:w w:val="120"/>
        </w:rPr>
        <w:t>l’agent stressant, en situation de travail, ces stratégies sont souvent hors du contrôle</w:t>
      </w:r>
      <w:r>
        <w:rPr>
          <w:color w:val="231F20"/>
          <w:spacing w:val="-5"/>
          <w:w w:val="120"/>
        </w:rPr>
        <w:t> </w:t>
      </w:r>
      <w:r>
        <w:rPr>
          <w:color w:val="231F20"/>
          <w:w w:val="120"/>
        </w:rPr>
        <w:t>du</w:t>
      </w:r>
      <w:r>
        <w:rPr>
          <w:color w:val="231F20"/>
          <w:spacing w:val="-5"/>
          <w:w w:val="120"/>
        </w:rPr>
        <w:t> </w:t>
      </w:r>
      <w:r>
        <w:rPr>
          <w:color w:val="231F20"/>
          <w:w w:val="120"/>
        </w:rPr>
        <w:t>travailleur.</w:t>
      </w:r>
      <w:r>
        <w:rPr>
          <w:color w:val="231F20"/>
          <w:spacing w:val="-5"/>
          <w:w w:val="120"/>
        </w:rPr>
        <w:t> </w:t>
      </w:r>
      <w:r>
        <w:rPr>
          <w:color w:val="231F20"/>
          <w:w w:val="120"/>
        </w:rPr>
        <w:t>Force</w:t>
      </w:r>
      <w:r>
        <w:rPr>
          <w:color w:val="231F20"/>
          <w:spacing w:val="-5"/>
          <w:w w:val="120"/>
        </w:rPr>
        <w:t> </w:t>
      </w:r>
      <w:r>
        <w:rPr>
          <w:color w:val="231F20"/>
          <w:w w:val="120"/>
        </w:rPr>
        <w:t>est</w:t>
      </w:r>
      <w:r>
        <w:rPr>
          <w:color w:val="231F20"/>
          <w:spacing w:val="-5"/>
          <w:w w:val="120"/>
        </w:rPr>
        <w:t> </w:t>
      </w:r>
      <w:r>
        <w:rPr>
          <w:color w:val="231F20"/>
          <w:w w:val="120"/>
        </w:rPr>
        <w:t>de</w:t>
      </w:r>
      <w:r>
        <w:rPr>
          <w:color w:val="231F20"/>
          <w:spacing w:val="-5"/>
          <w:w w:val="120"/>
        </w:rPr>
        <w:t> </w:t>
      </w:r>
      <w:r>
        <w:rPr>
          <w:color w:val="231F20"/>
          <w:w w:val="120"/>
        </w:rPr>
        <w:t>reconnaître</w:t>
      </w:r>
      <w:r>
        <w:rPr>
          <w:color w:val="231F20"/>
          <w:spacing w:val="-5"/>
          <w:w w:val="120"/>
        </w:rPr>
        <w:t> </w:t>
      </w:r>
      <w:r>
        <w:rPr>
          <w:color w:val="231F20"/>
          <w:w w:val="120"/>
        </w:rPr>
        <w:t>qu’en</w:t>
      </w:r>
      <w:r>
        <w:rPr>
          <w:color w:val="231F20"/>
          <w:spacing w:val="-5"/>
          <w:w w:val="120"/>
        </w:rPr>
        <w:t> </w:t>
      </w:r>
      <w:r>
        <w:rPr>
          <w:color w:val="231F20"/>
          <w:w w:val="120"/>
        </w:rPr>
        <w:t>contexte</w:t>
      </w:r>
      <w:r>
        <w:rPr>
          <w:color w:val="231F20"/>
          <w:spacing w:val="-5"/>
          <w:w w:val="120"/>
        </w:rPr>
        <w:t> </w:t>
      </w:r>
      <w:r>
        <w:rPr>
          <w:color w:val="231F20"/>
          <w:w w:val="120"/>
        </w:rPr>
        <w:t>profes- sionnel, le travailleur doit fréquemment subir le stress des situations, bien</w:t>
      </w:r>
      <w:r>
        <w:rPr>
          <w:color w:val="231F20"/>
          <w:spacing w:val="-10"/>
          <w:w w:val="120"/>
        </w:rPr>
        <w:t> </w:t>
      </w:r>
      <w:r>
        <w:rPr>
          <w:color w:val="231F20"/>
          <w:w w:val="120"/>
        </w:rPr>
        <w:t>plus</w:t>
      </w:r>
      <w:r>
        <w:rPr>
          <w:color w:val="231F20"/>
          <w:spacing w:val="-10"/>
          <w:w w:val="120"/>
        </w:rPr>
        <w:t> </w:t>
      </w:r>
      <w:r>
        <w:rPr>
          <w:color w:val="231F20"/>
          <w:w w:val="120"/>
        </w:rPr>
        <w:t>qu’il</w:t>
      </w:r>
      <w:r>
        <w:rPr>
          <w:color w:val="231F20"/>
          <w:spacing w:val="-10"/>
          <w:w w:val="120"/>
        </w:rPr>
        <w:t> </w:t>
      </w:r>
      <w:r>
        <w:rPr>
          <w:color w:val="231F20"/>
          <w:w w:val="120"/>
        </w:rPr>
        <w:t>ne</w:t>
      </w:r>
      <w:r>
        <w:rPr>
          <w:color w:val="231F20"/>
          <w:spacing w:val="-10"/>
          <w:w w:val="120"/>
        </w:rPr>
        <w:t> </w:t>
      </w:r>
      <w:r>
        <w:rPr>
          <w:color w:val="231F20"/>
          <w:w w:val="120"/>
        </w:rPr>
        <w:t>peut</w:t>
      </w:r>
      <w:r>
        <w:rPr>
          <w:color w:val="231F20"/>
          <w:spacing w:val="-10"/>
          <w:w w:val="120"/>
        </w:rPr>
        <w:t> </w:t>
      </w:r>
      <w:r>
        <w:rPr>
          <w:color w:val="231F20"/>
          <w:w w:val="120"/>
        </w:rPr>
        <w:t>agir</w:t>
      </w:r>
      <w:r>
        <w:rPr>
          <w:color w:val="231F20"/>
          <w:spacing w:val="-10"/>
          <w:w w:val="120"/>
        </w:rPr>
        <w:t> </w:t>
      </w:r>
      <w:r>
        <w:rPr>
          <w:color w:val="231F20"/>
          <w:w w:val="120"/>
        </w:rPr>
        <w:t>sur</w:t>
      </w:r>
      <w:r>
        <w:rPr>
          <w:color w:val="231F20"/>
          <w:spacing w:val="-10"/>
          <w:w w:val="120"/>
        </w:rPr>
        <w:t> </w:t>
      </w:r>
      <w:r>
        <w:rPr>
          <w:color w:val="231F20"/>
          <w:w w:val="120"/>
        </w:rPr>
        <w:t>ces</w:t>
      </w:r>
      <w:r>
        <w:rPr>
          <w:color w:val="231F20"/>
          <w:spacing w:val="-10"/>
          <w:w w:val="120"/>
        </w:rPr>
        <w:t> </w:t>
      </w:r>
      <w:r>
        <w:rPr>
          <w:color w:val="231F20"/>
          <w:w w:val="120"/>
        </w:rPr>
        <w:t>dernières.</w:t>
      </w:r>
      <w:r>
        <w:rPr>
          <w:color w:val="231F20"/>
          <w:spacing w:val="-10"/>
          <w:w w:val="120"/>
        </w:rPr>
        <w:t> </w:t>
      </w:r>
      <w:r>
        <w:rPr>
          <w:color w:val="231F20"/>
          <w:w w:val="120"/>
        </w:rPr>
        <w:t>Ainsi,</w:t>
      </w:r>
      <w:r>
        <w:rPr>
          <w:color w:val="231F20"/>
          <w:spacing w:val="-10"/>
          <w:w w:val="120"/>
        </w:rPr>
        <w:t> </w:t>
      </w:r>
      <w:r>
        <w:rPr>
          <w:color w:val="231F20"/>
          <w:w w:val="120"/>
        </w:rPr>
        <w:t>la</w:t>
      </w:r>
      <w:r>
        <w:rPr>
          <w:color w:val="231F20"/>
          <w:spacing w:val="-10"/>
          <w:w w:val="120"/>
        </w:rPr>
        <w:t> </w:t>
      </w:r>
      <w:r>
        <w:rPr>
          <w:color w:val="231F20"/>
          <w:w w:val="120"/>
        </w:rPr>
        <w:t>plupart</w:t>
      </w:r>
      <w:r>
        <w:rPr>
          <w:color w:val="231F20"/>
          <w:spacing w:val="-10"/>
          <w:w w:val="120"/>
        </w:rPr>
        <w:t> </w:t>
      </w:r>
      <w:r>
        <w:rPr>
          <w:color w:val="231F20"/>
          <w:w w:val="120"/>
        </w:rPr>
        <w:t>des</w:t>
      </w:r>
      <w:r>
        <w:rPr>
          <w:color w:val="231F20"/>
          <w:spacing w:val="-10"/>
          <w:w w:val="120"/>
        </w:rPr>
        <w:t> </w:t>
      </w:r>
      <w:r>
        <w:rPr>
          <w:color w:val="231F20"/>
          <w:w w:val="120"/>
        </w:rPr>
        <w:t>stres- </w:t>
      </w:r>
      <w:r>
        <w:rPr>
          <w:color w:val="231F20"/>
          <w:w w:val="115"/>
        </w:rPr>
        <w:t>seurs</w:t>
      </w:r>
      <w:r>
        <w:rPr>
          <w:color w:val="231F20"/>
          <w:spacing w:val="-9"/>
          <w:w w:val="115"/>
        </w:rPr>
        <w:t> </w:t>
      </w:r>
      <w:r>
        <w:rPr>
          <w:color w:val="231F20"/>
          <w:w w:val="115"/>
        </w:rPr>
        <w:t>liés</w:t>
      </w:r>
      <w:r>
        <w:rPr>
          <w:color w:val="231F20"/>
          <w:spacing w:val="-9"/>
          <w:w w:val="115"/>
        </w:rPr>
        <w:t> </w:t>
      </w:r>
      <w:r>
        <w:rPr>
          <w:color w:val="231F20"/>
          <w:w w:val="115"/>
        </w:rPr>
        <w:t>au</w:t>
      </w:r>
      <w:r>
        <w:rPr>
          <w:color w:val="231F20"/>
          <w:spacing w:val="-9"/>
          <w:w w:val="115"/>
        </w:rPr>
        <w:t> </w:t>
      </w:r>
      <w:r>
        <w:rPr>
          <w:color w:val="231F20"/>
          <w:w w:val="115"/>
        </w:rPr>
        <w:t>travail</w:t>
      </w:r>
      <w:r>
        <w:rPr>
          <w:color w:val="231F20"/>
          <w:spacing w:val="-9"/>
          <w:w w:val="115"/>
        </w:rPr>
        <w:t> </w:t>
      </w:r>
      <w:r>
        <w:rPr>
          <w:color w:val="231F20"/>
          <w:w w:val="115"/>
        </w:rPr>
        <w:t>ont</w:t>
      </w:r>
      <w:r>
        <w:rPr>
          <w:color w:val="231F20"/>
          <w:spacing w:val="-9"/>
          <w:w w:val="115"/>
        </w:rPr>
        <w:t> </w:t>
      </w:r>
      <w:r>
        <w:rPr>
          <w:color w:val="231F20"/>
          <w:w w:val="115"/>
        </w:rPr>
        <w:t>pour</w:t>
      </w:r>
      <w:r>
        <w:rPr>
          <w:color w:val="231F20"/>
          <w:spacing w:val="-9"/>
          <w:w w:val="115"/>
        </w:rPr>
        <w:t> </w:t>
      </w:r>
      <w:r>
        <w:rPr>
          <w:color w:val="231F20"/>
          <w:w w:val="115"/>
        </w:rPr>
        <w:t>caractéristique</w:t>
      </w:r>
      <w:r>
        <w:rPr>
          <w:color w:val="231F20"/>
          <w:spacing w:val="-9"/>
          <w:w w:val="115"/>
        </w:rPr>
        <w:t> </w:t>
      </w:r>
      <w:r>
        <w:rPr>
          <w:color w:val="231F20"/>
          <w:w w:val="115"/>
        </w:rPr>
        <w:t>commune</w:t>
      </w:r>
      <w:r>
        <w:rPr>
          <w:color w:val="231F20"/>
          <w:spacing w:val="-9"/>
          <w:w w:val="115"/>
        </w:rPr>
        <w:t> </w:t>
      </w:r>
      <w:r>
        <w:rPr>
          <w:color w:val="231F20"/>
          <w:w w:val="115"/>
        </w:rPr>
        <w:t>d’être</w:t>
      </w:r>
      <w:r>
        <w:rPr>
          <w:color w:val="231F20"/>
          <w:spacing w:val="-9"/>
          <w:w w:val="115"/>
        </w:rPr>
        <w:t> </w:t>
      </w:r>
      <w:r>
        <w:rPr>
          <w:color w:val="231F20"/>
          <w:w w:val="115"/>
        </w:rPr>
        <w:t>inaccessibles </w:t>
      </w:r>
      <w:r>
        <w:rPr>
          <w:color w:val="231F20"/>
          <w:w w:val="120"/>
        </w:rPr>
        <w:t>à</w:t>
      </w:r>
      <w:r>
        <w:rPr>
          <w:color w:val="231F20"/>
          <w:spacing w:val="-9"/>
          <w:w w:val="120"/>
        </w:rPr>
        <w:t> </w:t>
      </w:r>
      <w:r>
        <w:rPr>
          <w:color w:val="231F20"/>
          <w:w w:val="120"/>
        </w:rPr>
        <w:t>des</w:t>
      </w:r>
      <w:r>
        <w:rPr>
          <w:color w:val="231F20"/>
          <w:spacing w:val="-9"/>
          <w:w w:val="120"/>
        </w:rPr>
        <w:t> </w:t>
      </w:r>
      <w:r>
        <w:rPr>
          <w:color w:val="231F20"/>
          <w:w w:val="120"/>
        </w:rPr>
        <w:t>solutions</w:t>
      </w:r>
      <w:r>
        <w:rPr>
          <w:color w:val="231F20"/>
          <w:spacing w:val="-9"/>
          <w:w w:val="120"/>
        </w:rPr>
        <w:t> </w:t>
      </w:r>
      <w:r>
        <w:rPr>
          <w:color w:val="231F20"/>
          <w:w w:val="120"/>
        </w:rPr>
        <w:t>individuelles.</w:t>
      </w:r>
      <w:r>
        <w:rPr>
          <w:color w:val="231F20"/>
          <w:spacing w:val="-9"/>
          <w:w w:val="120"/>
        </w:rPr>
        <w:t> </w:t>
      </w:r>
      <w:r>
        <w:rPr>
          <w:color w:val="231F20"/>
          <w:w w:val="120"/>
        </w:rPr>
        <w:t>Pour</w:t>
      </w:r>
      <w:r>
        <w:rPr>
          <w:color w:val="231F20"/>
          <w:spacing w:val="-9"/>
          <w:w w:val="120"/>
        </w:rPr>
        <w:t> </w:t>
      </w:r>
      <w:r>
        <w:rPr>
          <w:color w:val="231F20"/>
          <w:w w:val="120"/>
        </w:rPr>
        <w:t>s’attaquer</w:t>
      </w:r>
      <w:r>
        <w:rPr>
          <w:color w:val="231F20"/>
          <w:spacing w:val="-9"/>
          <w:w w:val="120"/>
        </w:rPr>
        <w:t> </w:t>
      </w:r>
      <w:r>
        <w:rPr>
          <w:color w:val="231F20"/>
          <w:w w:val="120"/>
        </w:rPr>
        <w:t>aux</w:t>
      </w:r>
      <w:r>
        <w:rPr>
          <w:color w:val="231F20"/>
          <w:spacing w:val="-9"/>
          <w:w w:val="120"/>
        </w:rPr>
        <w:t> </w:t>
      </w:r>
      <w:r>
        <w:rPr>
          <w:color w:val="231F20"/>
          <w:w w:val="120"/>
        </w:rPr>
        <w:t>agents</w:t>
      </w:r>
      <w:r>
        <w:rPr>
          <w:color w:val="231F20"/>
          <w:spacing w:val="-9"/>
          <w:w w:val="120"/>
        </w:rPr>
        <w:t> </w:t>
      </w:r>
      <w:r>
        <w:rPr>
          <w:color w:val="231F20"/>
          <w:w w:val="120"/>
        </w:rPr>
        <w:t>stressants</w:t>
      </w:r>
      <w:r>
        <w:rPr>
          <w:color w:val="231F20"/>
          <w:spacing w:val="-9"/>
          <w:w w:val="120"/>
        </w:rPr>
        <w:t> </w:t>
      </w:r>
      <w:r>
        <w:rPr>
          <w:color w:val="231F20"/>
          <w:w w:val="120"/>
        </w:rPr>
        <w:t>pro- fessionnels,</w:t>
      </w:r>
      <w:r>
        <w:rPr>
          <w:color w:val="231F20"/>
          <w:spacing w:val="-6"/>
          <w:w w:val="120"/>
        </w:rPr>
        <w:t> </w:t>
      </w:r>
      <w:r>
        <w:rPr>
          <w:color w:val="231F20"/>
          <w:w w:val="120"/>
        </w:rPr>
        <w:t>il</w:t>
      </w:r>
      <w:r>
        <w:rPr>
          <w:color w:val="231F20"/>
          <w:spacing w:val="-6"/>
          <w:w w:val="120"/>
        </w:rPr>
        <w:t> </w:t>
      </w:r>
      <w:r>
        <w:rPr>
          <w:color w:val="231F20"/>
          <w:w w:val="120"/>
        </w:rPr>
        <w:t>faut</w:t>
      </w:r>
      <w:r>
        <w:rPr>
          <w:color w:val="231F20"/>
          <w:spacing w:val="-6"/>
          <w:w w:val="120"/>
        </w:rPr>
        <w:t> </w:t>
      </w:r>
      <w:r>
        <w:rPr>
          <w:color w:val="231F20"/>
          <w:w w:val="120"/>
        </w:rPr>
        <w:t>plutôt</w:t>
      </w:r>
      <w:r>
        <w:rPr>
          <w:color w:val="231F20"/>
          <w:spacing w:val="-6"/>
          <w:w w:val="120"/>
        </w:rPr>
        <w:t> </w:t>
      </w:r>
      <w:r>
        <w:rPr>
          <w:color w:val="231F20"/>
          <w:w w:val="120"/>
        </w:rPr>
        <w:t>engager</w:t>
      </w:r>
      <w:r>
        <w:rPr>
          <w:color w:val="231F20"/>
          <w:spacing w:val="-6"/>
          <w:w w:val="120"/>
        </w:rPr>
        <w:t> </w:t>
      </w:r>
      <w:r>
        <w:rPr>
          <w:color w:val="231F20"/>
          <w:w w:val="120"/>
        </w:rPr>
        <w:t>des</w:t>
      </w:r>
      <w:r>
        <w:rPr>
          <w:color w:val="231F20"/>
          <w:spacing w:val="-6"/>
          <w:w w:val="120"/>
        </w:rPr>
        <w:t> </w:t>
      </w:r>
      <w:r>
        <w:rPr>
          <w:color w:val="231F20"/>
          <w:w w:val="120"/>
        </w:rPr>
        <w:t>efforts</w:t>
      </w:r>
      <w:r>
        <w:rPr>
          <w:color w:val="231F20"/>
          <w:spacing w:val="-6"/>
          <w:w w:val="120"/>
        </w:rPr>
        <w:t> </w:t>
      </w:r>
      <w:r>
        <w:rPr>
          <w:color w:val="231F20"/>
          <w:w w:val="120"/>
        </w:rPr>
        <w:t>concertés</w:t>
      </w:r>
      <w:r>
        <w:rPr>
          <w:color w:val="231F20"/>
          <w:spacing w:val="-6"/>
          <w:w w:val="120"/>
        </w:rPr>
        <w:t> </w:t>
      </w:r>
      <w:r>
        <w:rPr>
          <w:color w:val="231F20"/>
          <w:w w:val="120"/>
        </w:rPr>
        <w:t>et</w:t>
      </w:r>
      <w:r>
        <w:rPr>
          <w:color w:val="231F20"/>
          <w:spacing w:val="-6"/>
          <w:w w:val="120"/>
        </w:rPr>
        <w:t> </w:t>
      </w:r>
      <w:r>
        <w:rPr>
          <w:color w:val="231F20"/>
          <w:w w:val="120"/>
        </w:rPr>
        <w:t>organisés</w:t>
      </w:r>
      <w:r>
        <w:rPr>
          <w:color w:val="231F20"/>
          <w:spacing w:val="-6"/>
          <w:w w:val="120"/>
        </w:rPr>
        <w:t> </w:t>
      </w:r>
      <w:r>
        <w:rPr>
          <w:color w:val="231F20"/>
          <w:w w:val="120"/>
        </w:rPr>
        <w:t>qui </w:t>
      </w:r>
      <w:r>
        <w:rPr>
          <w:color w:val="231F20"/>
          <w:spacing w:val="-4"/>
          <w:w w:val="120"/>
        </w:rPr>
        <w:t>vont au-delà du niveau de l’individu et qui ne dépendent pas de l’aptitude </w:t>
      </w:r>
      <w:r>
        <w:rPr>
          <w:color w:val="231F20"/>
          <w:w w:val="120"/>
        </w:rPr>
        <w:t>de</w:t>
      </w:r>
      <w:r>
        <w:rPr>
          <w:color w:val="231F20"/>
          <w:spacing w:val="-13"/>
          <w:w w:val="120"/>
        </w:rPr>
        <w:t> </w:t>
      </w:r>
      <w:r>
        <w:rPr>
          <w:color w:val="231F20"/>
          <w:w w:val="120"/>
        </w:rPr>
        <w:t>chacun</w:t>
      </w:r>
      <w:r>
        <w:rPr>
          <w:color w:val="231F20"/>
          <w:spacing w:val="-13"/>
          <w:w w:val="120"/>
        </w:rPr>
        <w:t> </w:t>
      </w:r>
      <w:r>
        <w:rPr>
          <w:color w:val="231F20"/>
          <w:w w:val="120"/>
        </w:rPr>
        <w:t>à</w:t>
      </w:r>
      <w:r>
        <w:rPr>
          <w:color w:val="231F20"/>
          <w:spacing w:val="-13"/>
          <w:w w:val="120"/>
        </w:rPr>
        <w:t> </w:t>
      </w:r>
      <w:r>
        <w:rPr>
          <w:color w:val="231F20"/>
          <w:w w:val="120"/>
        </w:rPr>
        <w:t>mobiliser</w:t>
      </w:r>
      <w:r>
        <w:rPr>
          <w:color w:val="231F20"/>
          <w:spacing w:val="-12"/>
          <w:w w:val="120"/>
        </w:rPr>
        <w:t> </w:t>
      </w:r>
      <w:r>
        <w:rPr>
          <w:color w:val="231F20"/>
          <w:w w:val="120"/>
        </w:rPr>
        <w:t>ses</w:t>
      </w:r>
      <w:r>
        <w:rPr>
          <w:color w:val="231F20"/>
          <w:spacing w:val="-13"/>
          <w:w w:val="120"/>
        </w:rPr>
        <w:t> </w:t>
      </w:r>
      <w:r>
        <w:rPr>
          <w:color w:val="231F20"/>
          <w:w w:val="120"/>
        </w:rPr>
        <w:t>propres</w:t>
      </w:r>
      <w:r>
        <w:rPr>
          <w:color w:val="231F20"/>
          <w:spacing w:val="-13"/>
          <w:w w:val="120"/>
        </w:rPr>
        <w:t> </w:t>
      </w:r>
      <w:r>
        <w:rPr>
          <w:color w:val="231F20"/>
          <w:w w:val="120"/>
        </w:rPr>
        <w:t>ressources.</w:t>
      </w:r>
      <w:r>
        <w:rPr>
          <w:color w:val="231F20"/>
          <w:spacing w:val="-13"/>
          <w:w w:val="120"/>
        </w:rPr>
        <w:t> </w:t>
      </w:r>
      <w:r>
        <w:rPr>
          <w:color w:val="231F20"/>
          <w:w w:val="120"/>
        </w:rPr>
        <w:t>Il</w:t>
      </w:r>
      <w:r>
        <w:rPr>
          <w:color w:val="231F20"/>
          <w:spacing w:val="-12"/>
          <w:w w:val="120"/>
        </w:rPr>
        <w:t> </w:t>
      </w:r>
      <w:r>
        <w:rPr>
          <w:color w:val="231F20"/>
          <w:w w:val="120"/>
        </w:rPr>
        <w:t>faut</w:t>
      </w:r>
      <w:r>
        <w:rPr>
          <w:color w:val="231F20"/>
          <w:spacing w:val="-13"/>
          <w:w w:val="120"/>
        </w:rPr>
        <w:t> </w:t>
      </w:r>
      <w:r>
        <w:rPr>
          <w:color w:val="231F20"/>
          <w:w w:val="120"/>
        </w:rPr>
        <w:t>donc</w:t>
      </w:r>
      <w:r>
        <w:rPr>
          <w:color w:val="231F20"/>
          <w:spacing w:val="-13"/>
          <w:w w:val="120"/>
        </w:rPr>
        <w:t> </w:t>
      </w:r>
      <w:r>
        <w:rPr>
          <w:color w:val="231F20"/>
          <w:w w:val="120"/>
        </w:rPr>
        <w:t>concentrer</w:t>
      </w:r>
      <w:r>
        <w:rPr>
          <w:color w:val="231F20"/>
          <w:spacing w:val="-13"/>
          <w:w w:val="120"/>
        </w:rPr>
        <w:t> </w:t>
      </w:r>
      <w:r>
        <w:rPr>
          <w:color w:val="231F20"/>
          <w:w w:val="120"/>
        </w:rPr>
        <w:t>les </w:t>
      </w:r>
      <w:r>
        <w:rPr>
          <w:color w:val="231F20"/>
          <w:w w:val="115"/>
        </w:rPr>
        <w:t>efforts</w:t>
      </w:r>
      <w:r>
        <w:rPr>
          <w:color w:val="231F20"/>
          <w:spacing w:val="-2"/>
          <w:w w:val="115"/>
        </w:rPr>
        <w:t> </w:t>
      </w:r>
      <w:r>
        <w:rPr>
          <w:color w:val="231F20"/>
          <w:w w:val="115"/>
        </w:rPr>
        <w:t>à</w:t>
      </w:r>
      <w:r>
        <w:rPr>
          <w:color w:val="231F20"/>
          <w:spacing w:val="-2"/>
          <w:w w:val="115"/>
        </w:rPr>
        <w:t> </w:t>
      </w:r>
      <w:r>
        <w:rPr>
          <w:color w:val="231F20"/>
          <w:w w:val="115"/>
        </w:rPr>
        <w:t>établir</w:t>
      </w:r>
      <w:r>
        <w:rPr>
          <w:color w:val="231F20"/>
          <w:spacing w:val="-2"/>
          <w:w w:val="115"/>
        </w:rPr>
        <w:t> </w:t>
      </w:r>
      <w:r>
        <w:rPr>
          <w:color w:val="231F20"/>
          <w:w w:val="115"/>
        </w:rPr>
        <w:t>des</w:t>
      </w:r>
      <w:r>
        <w:rPr>
          <w:color w:val="231F20"/>
          <w:spacing w:val="-2"/>
          <w:w w:val="115"/>
        </w:rPr>
        <w:t> </w:t>
      </w:r>
      <w:r>
        <w:rPr>
          <w:color w:val="231F20"/>
          <w:w w:val="115"/>
        </w:rPr>
        <w:t>stratégies</w:t>
      </w:r>
      <w:r>
        <w:rPr>
          <w:color w:val="231F20"/>
          <w:spacing w:val="-2"/>
          <w:w w:val="115"/>
        </w:rPr>
        <w:t> </w:t>
      </w:r>
      <w:r>
        <w:rPr>
          <w:color w:val="231F20"/>
          <w:w w:val="115"/>
        </w:rPr>
        <w:t>d’adaptation</w:t>
      </w:r>
      <w:r>
        <w:rPr>
          <w:color w:val="231F20"/>
          <w:spacing w:val="-2"/>
          <w:w w:val="115"/>
        </w:rPr>
        <w:t> </w:t>
      </w:r>
      <w:r>
        <w:rPr>
          <w:color w:val="231F20"/>
          <w:w w:val="115"/>
        </w:rPr>
        <w:t>au</w:t>
      </w:r>
      <w:r>
        <w:rPr>
          <w:color w:val="231F20"/>
          <w:spacing w:val="-2"/>
          <w:w w:val="115"/>
        </w:rPr>
        <w:t> </w:t>
      </w:r>
      <w:r>
        <w:rPr>
          <w:color w:val="231F20"/>
          <w:w w:val="115"/>
        </w:rPr>
        <w:t>stress</w:t>
      </w:r>
      <w:r>
        <w:rPr>
          <w:color w:val="231F20"/>
          <w:spacing w:val="-2"/>
          <w:w w:val="115"/>
        </w:rPr>
        <w:t> </w:t>
      </w:r>
      <w:r>
        <w:rPr>
          <w:color w:val="231F20"/>
          <w:w w:val="115"/>
        </w:rPr>
        <w:t>davantage</w:t>
      </w:r>
      <w:r>
        <w:rPr>
          <w:color w:val="231F20"/>
          <w:spacing w:val="-2"/>
          <w:w w:val="115"/>
        </w:rPr>
        <w:t> </w:t>
      </w:r>
      <w:r>
        <w:rPr>
          <w:color w:val="231F20"/>
          <w:w w:val="115"/>
        </w:rPr>
        <w:t>à</w:t>
      </w:r>
      <w:r>
        <w:rPr>
          <w:color w:val="231F20"/>
          <w:spacing w:val="-2"/>
          <w:w w:val="115"/>
        </w:rPr>
        <w:t> </w:t>
      </w:r>
      <w:r>
        <w:rPr>
          <w:color w:val="231F20"/>
          <w:w w:val="115"/>
        </w:rPr>
        <w:t>l’échelle </w:t>
      </w:r>
      <w:r>
        <w:rPr>
          <w:color w:val="231F20"/>
          <w:w w:val="120"/>
        </w:rPr>
        <w:t>du groupe et de l’organisation.</w:t>
      </w:r>
    </w:p>
    <w:p>
      <w:pPr>
        <w:pStyle w:val="BodyText"/>
        <w:spacing w:line="307" w:lineRule="auto" w:before="77"/>
        <w:ind w:left="830" w:right="494" w:firstLine="250"/>
        <w:jc w:val="both"/>
      </w:pPr>
      <w:r>
        <w:rPr>
          <w:color w:val="231F20"/>
          <w:w w:val="120"/>
        </w:rPr>
        <w:t>Encore</w:t>
      </w:r>
      <w:r>
        <w:rPr>
          <w:color w:val="231F20"/>
          <w:spacing w:val="-8"/>
          <w:w w:val="120"/>
        </w:rPr>
        <w:t> </w:t>
      </w:r>
      <w:r>
        <w:rPr>
          <w:color w:val="231F20"/>
          <w:w w:val="120"/>
        </w:rPr>
        <w:t>aujourd’hui,</w:t>
      </w:r>
      <w:r>
        <w:rPr>
          <w:color w:val="231F20"/>
          <w:spacing w:val="-8"/>
          <w:w w:val="120"/>
        </w:rPr>
        <w:t> </w:t>
      </w:r>
      <w:r>
        <w:rPr>
          <w:color w:val="231F20"/>
          <w:w w:val="120"/>
        </w:rPr>
        <w:t>les</w:t>
      </w:r>
      <w:r>
        <w:rPr>
          <w:color w:val="231F20"/>
          <w:spacing w:val="-8"/>
          <w:w w:val="120"/>
        </w:rPr>
        <w:t> </w:t>
      </w:r>
      <w:r>
        <w:rPr>
          <w:color w:val="231F20"/>
          <w:w w:val="120"/>
        </w:rPr>
        <w:t>entreprises</w:t>
      </w:r>
      <w:r>
        <w:rPr>
          <w:color w:val="231F20"/>
          <w:spacing w:val="-8"/>
          <w:w w:val="120"/>
        </w:rPr>
        <w:t> </w:t>
      </w:r>
      <w:r>
        <w:rPr>
          <w:color w:val="231F20"/>
          <w:w w:val="120"/>
        </w:rPr>
        <w:t>ont</w:t>
      </w:r>
      <w:r>
        <w:rPr>
          <w:color w:val="231F20"/>
          <w:spacing w:val="-8"/>
          <w:w w:val="120"/>
        </w:rPr>
        <w:t> </w:t>
      </w:r>
      <w:r>
        <w:rPr>
          <w:color w:val="231F20"/>
          <w:w w:val="120"/>
        </w:rPr>
        <w:t>souvent</w:t>
      </w:r>
      <w:r>
        <w:rPr>
          <w:color w:val="231F20"/>
          <w:spacing w:val="-8"/>
          <w:w w:val="120"/>
        </w:rPr>
        <w:t> </w:t>
      </w:r>
      <w:r>
        <w:rPr>
          <w:color w:val="231F20"/>
          <w:w w:val="120"/>
        </w:rPr>
        <w:t>une</w:t>
      </w:r>
      <w:r>
        <w:rPr>
          <w:color w:val="231F20"/>
          <w:spacing w:val="-8"/>
          <w:w w:val="120"/>
        </w:rPr>
        <w:t> </w:t>
      </w:r>
      <w:r>
        <w:rPr>
          <w:color w:val="231F20"/>
          <w:w w:val="120"/>
        </w:rPr>
        <w:t>perspective</w:t>
      </w:r>
      <w:r>
        <w:rPr>
          <w:color w:val="231F20"/>
          <w:spacing w:val="-8"/>
          <w:w w:val="120"/>
        </w:rPr>
        <w:t> </w:t>
      </w:r>
      <w:r>
        <w:rPr>
          <w:color w:val="231F20"/>
          <w:w w:val="120"/>
        </w:rPr>
        <w:t>ins- trumentale de la gestion du bien-être et de la santé psychologique au travail</w:t>
      </w:r>
      <w:r>
        <w:rPr>
          <w:color w:val="231F20"/>
          <w:spacing w:val="-13"/>
          <w:w w:val="120"/>
        </w:rPr>
        <w:t> </w:t>
      </w:r>
      <w:r>
        <w:rPr>
          <w:color w:val="231F20"/>
          <w:w w:val="120"/>
        </w:rPr>
        <w:t>de</w:t>
      </w:r>
      <w:r>
        <w:rPr>
          <w:color w:val="231F20"/>
          <w:spacing w:val="-13"/>
          <w:w w:val="120"/>
        </w:rPr>
        <w:t> </w:t>
      </w:r>
      <w:r>
        <w:rPr>
          <w:color w:val="231F20"/>
          <w:w w:val="120"/>
        </w:rPr>
        <w:t>leurs</w:t>
      </w:r>
      <w:r>
        <w:rPr>
          <w:color w:val="231F20"/>
          <w:spacing w:val="-12"/>
          <w:w w:val="120"/>
        </w:rPr>
        <w:t> </w:t>
      </w:r>
      <w:r>
        <w:rPr>
          <w:color w:val="231F20"/>
          <w:w w:val="120"/>
        </w:rPr>
        <w:t>employés.</w:t>
      </w:r>
      <w:r>
        <w:rPr>
          <w:color w:val="231F20"/>
          <w:spacing w:val="-13"/>
          <w:w w:val="120"/>
        </w:rPr>
        <w:t> </w:t>
      </w:r>
      <w:r>
        <w:rPr>
          <w:color w:val="231F20"/>
          <w:w w:val="120"/>
        </w:rPr>
        <w:t>Elles</w:t>
      </w:r>
      <w:r>
        <w:rPr>
          <w:color w:val="231F20"/>
          <w:spacing w:val="-13"/>
          <w:w w:val="120"/>
        </w:rPr>
        <w:t> </w:t>
      </w:r>
      <w:r>
        <w:rPr>
          <w:color w:val="231F20"/>
          <w:w w:val="120"/>
        </w:rPr>
        <w:t>s’efforcent,</w:t>
      </w:r>
      <w:r>
        <w:rPr>
          <w:color w:val="231F20"/>
          <w:spacing w:val="-12"/>
          <w:w w:val="120"/>
        </w:rPr>
        <w:t> </w:t>
      </w:r>
      <w:r>
        <w:rPr>
          <w:color w:val="231F20"/>
          <w:w w:val="120"/>
        </w:rPr>
        <w:t>la</w:t>
      </w:r>
      <w:r>
        <w:rPr>
          <w:color w:val="231F20"/>
          <w:spacing w:val="-13"/>
          <w:w w:val="120"/>
        </w:rPr>
        <w:t> </w:t>
      </w:r>
      <w:r>
        <w:rPr>
          <w:color w:val="231F20"/>
          <w:w w:val="120"/>
        </w:rPr>
        <w:t>plupart</w:t>
      </w:r>
      <w:r>
        <w:rPr>
          <w:color w:val="231F20"/>
          <w:spacing w:val="-13"/>
          <w:w w:val="120"/>
        </w:rPr>
        <w:t> </w:t>
      </w:r>
      <w:r>
        <w:rPr>
          <w:color w:val="231F20"/>
          <w:w w:val="120"/>
        </w:rPr>
        <w:t>du</w:t>
      </w:r>
      <w:r>
        <w:rPr>
          <w:color w:val="231F20"/>
          <w:spacing w:val="-12"/>
          <w:w w:val="120"/>
        </w:rPr>
        <w:t> </w:t>
      </w:r>
      <w:r>
        <w:rPr>
          <w:color w:val="231F20"/>
          <w:w w:val="120"/>
        </w:rPr>
        <w:t>temps,</w:t>
      </w:r>
      <w:r>
        <w:rPr>
          <w:color w:val="231F20"/>
          <w:spacing w:val="-13"/>
          <w:w w:val="120"/>
        </w:rPr>
        <w:t> </w:t>
      </w:r>
      <w:r>
        <w:rPr>
          <w:color w:val="231F20"/>
          <w:w w:val="120"/>
        </w:rPr>
        <w:t>d’amé- </w:t>
      </w:r>
      <w:r>
        <w:rPr>
          <w:color w:val="231F20"/>
          <w:spacing w:val="-2"/>
          <w:w w:val="120"/>
        </w:rPr>
        <w:t>liorer</w:t>
      </w:r>
      <w:r>
        <w:rPr>
          <w:color w:val="231F20"/>
          <w:spacing w:val="-4"/>
          <w:w w:val="120"/>
        </w:rPr>
        <w:t> </w:t>
      </w:r>
      <w:r>
        <w:rPr>
          <w:color w:val="231F20"/>
          <w:spacing w:val="-2"/>
          <w:w w:val="120"/>
        </w:rPr>
        <w:t>la</w:t>
      </w:r>
      <w:r>
        <w:rPr>
          <w:color w:val="231F20"/>
          <w:spacing w:val="-4"/>
          <w:w w:val="120"/>
        </w:rPr>
        <w:t> </w:t>
      </w:r>
      <w:r>
        <w:rPr>
          <w:color w:val="231F20"/>
          <w:spacing w:val="-2"/>
          <w:w w:val="120"/>
        </w:rPr>
        <w:t>qualité</w:t>
      </w:r>
      <w:r>
        <w:rPr>
          <w:color w:val="231F20"/>
          <w:spacing w:val="-4"/>
          <w:w w:val="120"/>
        </w:rPr>
        <w:t> </w:t>
      </w:r>
      <w:r>
        <w:rPr>
          <w:color w:val="231F20"/>
          <w:spacing w:val="-2"/>
          <w:w w:val="120"/>
        </w:rPr>
        <w:t>de</w:t>
      </w:r>
      <w:r>
        <w:rPr>
          <w:color w:val="231F20"/>
          <w:spacing w:val="-4"/>
          <w:w w:val="120"/>
        </w:rPr>
        <w:t> </w:t>
      </w:r>
      <w:r>
        <w:rPr>
          <w:color w:val="231F20"/>
          <w:spacing w:val="-2"/>
          <w:w w:val="120"/>
        </w:rPr>
        <w:t>leurs</w:t>
      </w:r>
      <w:r>
        <w:rPr>
          <w:color w:val="231F20"/>
          <w:spacing w:val="-4"/>
          <w:w w:val="120"/>
        </w:rPr>
        <w:t> </w:t>
      </w:r>
      <w:r>
        <w:rPr>
          <w:color w:val="231F20"/>
          <w:spacing w:val="-2"/>
          <w:w w:val="120"/>
        </w:rPr>
        <w:t>produits,</w:t>
      </w:r>
      <w:r>
        <w:rPr>
          <w:color w:val="231F20"/>
          <w:spacing w:val="-4"/>
          <w:w w:val="120"/>
        </w:rPr>
        <w:t> </w:t>
      </w:r>
      <w:r>
        <w:rPr>
          <w:color w:val="231F20"/>
          <w:spacing w:val="-2"/>
          <w:w w:val="120"/>
        </w:rPr>
        <w:t>d’accroître</w:t>
      </w:r>
      <w:r>
        <w:rPr>
          <w:color w:val="231F20"/>
          <w:spacing w:val="-4"/>
          <w:w w:val="120"/>
        </w:rPr>
        <w:t> </w:t>
      </w:r>
      <w:r>
        <w:rPr>
          <w:color w:val="231F20"/>
          <w:spacing w:val="-2"/>
          <w:w w:val="120"/>
        </w:rPr>
        <w:t>leur</w:t>
      </w:r>
      <w:r>
        <w:rPr>
          <w:color w:val="231F20"/>
          <w:spacing w:val="-4"/>
          <w:w w:val="120"/>
        </w:rPr>
        <w:t> </w:t>
      </w:r>
      <w:r>
        <w:rPr>
          <w:color w:val="231F20"/>
          <w:spacing w:val="-2"/>
          <w:w w:val="120"/>
        </w:rPr>
        <w:t>efficience</w:t>
      </w:r>
      <w:r>
        <w:rPr>
          <w:color w:val="231F20"/>
          <w:spacing w:val="-4"/>
          <w:w w:val="120"/>
        </w:rPr>
        <w:t> </w:t>
      </w:r>
      <w:r>
        <w:rPr>
          <w:color w:val="231F20"/>
          <w:spacing w:val="-2"/>
          <w:w w:val="120"/>
        </w:rPr>
        <w:t>et</w:t>
      </w:r>
      <w:r>
        <w:rPr>
          <w:color w:val="231F20"/>
          <w:spacing w:val="-4"/>
          <w:w w:val="120"/>
        </w:rPr>
        <w:t> </w:t>
      </w:r>
      <w:r>
        <w:rPr>
          <w:color w:val="231F20"/>
          <w:spacing w:val="-2"/>
          <w:w w:val="120"/>
        </w:rPr>
        <w:t>d’étendre </w:t>
      </w:r>
      <w:r>
        <w:rPr>
          <w:color w:val="231F20"/>
          <w:w w:val="120"/>
        </w:rPr>
        <w:t>leur</w:t>
      </w:r>
      <w:r>
        <w:rPr>
          <w:color w:val="231F20"/>
          <w:spacing w:val="-13"/>
          <w:w w:val="120"/>
        </w:rPr>
        <w:t> </w:t>
      </w:r>
      <w:r>
        <w:rPr>
          <w:color w:val="231F20"/>
          <w:w w:val="120"/>
        </w:rPr>
        <w:t>marché</w:t>
      </w:r>
      <w:r>
        <w:rPr>
          <w:color w:val="231F20"/>
          <w:spacing w:val="-13"/>
          <w:w w:val="120"/>
        </w:rPr>
        <w:t> </w:t>
      </w:r>
      <w:r>
        <w:rPr>
          <w:color w:val="231F20"/>
          <w:w w:val="120"/>
        </w:rPr>
        <w:t>sans</w:t>
      </w:r>
      <w:r>
        <w:rPr>
          <w:color w:val="231F20"/>
          <w:spacing w:val="-13"/>
          <w:w w:val="120"/>
        </w:rPr>
        <w:t> </w:t>
      </w:r>
      <w:r>
        <w:rPr>
          <w:color w:val="231F20"/>
          <w:w w:val="120"/>
        </w:rPr>
        <w:t>trop</w:t>
      </w:r>
      <w:r>
        <w:rPr>
          <w:color w:val="231F20"/>
          <w:spacing w:val="-12"/>
          <w:w w:val="120"/>
        </w:rPr>
        <w:t> </w:t>
      </w:r>
      <w:r>
        <w:rPr>
          <w:color w:val="231F20"/>
          <w:w w:val="120"/>
        </w:rPr>
        <w:t>nuire</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2"/>
          <w:w w:val="120"/>
        </w:rPr>
        <w:t> </w:t>
      </w:r>
      <w:r>
        <w:rPr>
          <w:color w:val="231F20"/>
          <w:w w:val="120"/>
        </w:rPr>
        <w:t>de</w:t>
      </w:r>
      <w:r>
        <w:rPr>
          <w:color w:val="231F20"/>
          <w:spacing w:val="-13"/>
          <w:w w:val="120"/>
        </w:rPr>
        <w:t> </w:t>
      </w:r>
      <w:r>
        <w:rPr>
          <w:color w:val="231F20"/>
          <w:w w:val="120"/>
        </w:rPr>
        <w:t>leurs</w:t>
      </w:r>
      <w:r>
        <w:rPr>
          <w:color w:val="231F20"/>
          <w:spacing w:val="-13"/>
          <w:w w:val="120"/>
        </w:rPr>
        <w:t> </w:t>
      </w:r>
      <w:r>
        <w:rPr>
          <w:color w:val="231F20"/>
          <w:w w:val="120"/>
        </w:rPr>
        <w:t>travailleurs.</w:t>
      </w:r>
      <w:r>
        <w:rPr>
          <w:color w:val="231F20"/>
          <w:spacing w:val="-13"/>
          <w:w w:val="120"/>
        </w:rPr>
        <w:t> </w:t>
      </w:r>
      <w:r>
        <w:rPr>
          <w:color w:val="231F20"/>
          <w:w w:val="120"/>
        </w:rPr>
        <w:t>La</w:t>
      </w:r>
      <w:r>
        <w:rPr>
          <w:color w:val="231F20"/>
          <w:spacing w:val="-12"/>
          <w:w w:val="120"/>
        </w:rPr>
        <w:t> </w:t>
      </w:r>
      <w:r>
        <w:rPr>
          <w:color w:val="231F20"/>
          <w:w w:val="120"/>
        </w:rPr>
        <w:t>gestion</w:t>
      </w:r>
      <w:r>
        <w:rPr>
          <w:color w:val="231F20"/>
          <w:spacing w:val="-13"/>
          <w:w w:val="120"/>
        </w:rPr>
        <w:t> </w:t>
      </w:r>
      <w:r>
        <w:rPr>
          <w:color w:val="231F20"/>
          <w:w w:val="120"/>
        </w:rPr>
        <w:t>du stress est rarement un objectif, mais plutôt une nécessité collatérale. Comment pourrions-nous convaincre les gestionnaires de faire autre- </w:t>
      </w:r>
      <w:r>
        <w:rPr>
          <w:color w:val="231F20"/>
          <w:spacing w:val="-2"/>
          <w:w w:val="120"/>
        </w:rPr>
        <w:t>ment?</w:t>
      </w:r>
      <w:r>
        <w:rPr>
          <w:color w:val="231F20"/>
          <w:spacing w:val="-11"/>
          <w:w w:val="120"/>
        </w:rPr>
        <w:t> </w:t>
      </w:r>
      <w:r>
        <w:rPr>
          <w:color w:val="231F20"/>
          <w:spacing w:val="-2"/>
          <w:w w:val="120"/>
        </w:rPr>
        <w:t>Comment</w:t>
      </w:r>
      <w:r>
        <w:rPr>
          <w:color w:val="231F20"/>
          <w:spacing w:val="-11"/>
          <w:w w:val="120"/>
        </w:rPr>
        <w:t> </w:t>
      </w:r>
      <w:r>
        <w:rPr>
          <w:color w:val="231F20"/>
          <w:spacing w:val="-2"/>
          <w:w w:val="120"/>
        </w:rPr>
        <w:t>pourrions-nous</w:t>
      </w:r>
      <w:r>
        <w:rPr>
          <w:color w:val="231F20"/>
          <w:spacing w:val="-11"/>
          <w:w w:val="120"/>
        </w:rPr>
        <w:t> </w:t>
      </w:r>
      <w:r>
        <w:rPr>
          <w:color w:val="231F20"/>
          <w:spacing w:val="-2"/>
          <w:w w:val="120"/>
        </w:rPr>
        <w:t>leur</w:t>
      </w:r>
      <w:r>
        <w:rPr>
          <w:color w:val="231F20"/>
          <w:spacing w:val="-10"/>
          <w:w w:val="120"/>
        </w:rPr>
        <w:t> </w:t>
      </w:r>
      <w:r>
        <w:rPr>
          <w:color w:val="231F20"/>
          <w:spacing w:val="-2"/>
          <w:w w:val="120"/>
        </w:rPr>
        <w:t>faire</w:t>
      </w:r>
      <w:r>
        <w:rPr>
          <w:color w:val="231F20"/>
          <w:spacing w:val="-11"/>
          <w:w w:val="120"/>
        </w:rPr>
        <w:t> </w:t>
      </w:r>
      <w:r>
        <w:rPr>
          <w:color w:val="231F20"/>
          <w:spacing w:val="-2"/>
          <w:w w:val="120"/>
        </w:rPr>
        <w:t>comprendre</w:t>
      </w:r>
      <w:r>
        <w:rPr>
          <w:color w:val="231F20"/>
          <w:spacing w:val="-11"/>
          <w:w w:val="120"/>
        </w:rPr>
        <w:t> </w:t>
      </w:r>
      <w:r>
        <w:rPr>
          <w:color w:val="231F20"/>
          <w:spacing w:val="-2"/>
          <w:w w:val="120"/>
        </w:rPr>
        <w:t>que</w:t>
      </w:r>
      <w:r>
        <w:rPr>
          <w:color w:val="231F20"/>
          <w:spacing w:val="-11"/>
          <w:w w:val="120"/>
        </w:rPr>
        <w:t> </w:t>
      </w:r>
      <w:r>
        <w:rPr>
          <w:color w:val="231F20"/>
          <w:spacing w:val="-2"/>
          <w:w w:val="120"/>
        </w:rPr>
        <w:t>le</w:t>
      </w:r>
      <w:r>
        <w:rPr>
          <w:color w:val="231F20"/>
          <w:spacing w:val="-10"/>
          <w:w w:val="120"/>
        </w:rPr>
        <w:t> </w:t>
      </w:r>
      <w:r>
        <w:rPr>
          <w:color w:val="231F20"/>
          <w:spacing w:val="-2"/>
          <w:w w:val="120"/>
        </w:rPr>
        <w:t>stress</w:t>
      </w:r>
      <w:r>
        <w:rPr>
          <w:color w:val="231F20"/>
          <w:spacing w:val="-11"/>
          <w:w w:val="120"/>
        </w:rPr>
        <w:t> </w:t>
      </w:r>
      <w:r>
        <w:rPr>
          <w:color w:val="231F20"/>
          <w:spacing w:val="-2"/>
          <w:w w:val="120"/>
        </w:rPr>
        <w:t>n’est </w:t>
      </w:r>
      <w:r>
        <w:rPr>
          <w:color w:val="231F20"/>
          <w:w w:val="120"/>
        </w:rPr>
        <w:t>pas</w:t>
      </w:r>
      <w:r>
        <w:rPr>
          <w:color w:val="231F20"/>
          <w:spacing w:val="19"/>
          <w:w w:val="120"/>
        </w:rPr>
        <w:t> </w:t>
      </w:r>
      <w:r>
        <w:rPr>
          <w:color w:val="231F20"/>
          <w:w w:val="120"/>
        </w:rPr>
        <w:t>un</w:t>
      </w:r>
      <w:r>
        <w:rPr>
          <w:color w:val="231F20"/>
          <w:spacing w:val="19"/>
          <w:w w:val="120"/>
        </w:rPr>
        <w:t> </w:t>
      </w:r>
      <w:r>
        <w:rPr>
          <w:color w:val="231F20"/>
          <w:w w:val="120"/>
        </w:rPr>
        <w:t>frein</w:t>
      </w:r>
      <w:r>
        <w:rPr>
          <w:color w:val="231F20"/>
          <w:spacing w:val="19"/>
          <w:w w:val="120"/>
        </w:rPr>
        <w:t> </w:t>
      </w:r>
      <w:r>
        <w:rPr>
          <w:color w:val="231F20"/>
          <w:w w:val="120"/>
        </w:rPr>
        <w:t>à</w:t>
      </w:r>
      <w:r>
        <w:rPr>
          <w:color w:val="231F20"/>
          <w:spacing w:val="19"/>
          <w:w w:val="120"/>
        </w:rPr>
        <w:t> </w:t>
      </w:r>
      <w:r>
        <w:rPr>
          <w:color w:val="231F20"/>
          <w:w w:val="120"/>
        </w:rPr>
        <w:t>la</w:t>
      </w:r>
      <w:r>
        <w:rPr>
          <w:color w:val="231F20"/>
          <w:spacing w:val="19"/>
          <w:w w:val="120"/>
        </w:rPr>
        <w:t> </w:t>
      </w:r>
      <w:r>
        <w:rPr>
          <w:color w:val="231F20"/>
          <w:w w:val="120"/>
        </w:rPr>
        <w:t>performance,</w:t>
      </w:r>
      <w:r>
        <w:rPr>
          <w:color w:val="231F20"/>
          <w:spacing w:val="19"/>
          <w:w w:val="120"/>
        </w:rPr>
        <w:t> </w:t>
      </w:r>
      <w:r>
        <w:rPr>
          <w:color w:val="231F20"/>
          <w:w w:val="120"/>
        </w:rPr>
        <w:t>mais</w:t>
      </w:r>
      <w:r>
        <w:rPr>
          <w:color w:val="231F20"/>
          <w:spacing w:val="19"/>
          <w:w w:val="120"/>
        </w:rPr>
        <w:t> </w:t>
      </w:r>
      <w:r>
        <w:rPr>
          <w:color w:val="231F20"/>
          <w:w w:val="120"/>
        </w:rPr>
        <w:t>une</w:t>
      </w:r>
      <w:r>
        <w:rPr>
          <w:color w:val="231F20"/>
          <w:spacing w:val="19"/>
          <w:w w:val="120"/>
        </w:rPr>
        <w:t> </w:t>
      </w:r>
      <w:r>
        <w:rPr>
          <w:color w:val="231F20"/>
          <w:w w:val="120"/>
        </w:rPr>
        <w:t>condition</w:t>
      </w:r>
      <w:r>
        <w:rPr>
          <w:color w:val="231F20"/>
          <w:spacing w:val="19"/>
          <w:w w:val="120"/>
        </w:rPr>
        <w:t> </w:t>
      </w:r>
      <w:r>
        <w:rPr>
          <w:color w:val="231F20"/>
          <w:w w:val="120"/>
        </w:rPr>
        <w:t>nécessaire</w:t>
      </w:r>
      <w:r>
        <w:rPr>
          <w:color w:val="231F20"/>
          <w:spacing w:val="19"/>
          <w:w w:val="120"/>
        </w:rPr>
        <w:t> </w:t>
      </w:r>
      <w:r>
        <w:rPr>
          <w:color w:val="231F20"/>
          <w:w w:val="120"/>
        </w:rPr>
        <w:t>à</w:t>
      </w:r>
      <w:r>
        <w:rPr>
          <w:color w:val="231F20"/>
          <w:spacing w:val="19"/>
          <w:w w:val="120"/>
        </w:rPr>
        <w:t> </w:t>
      </w:r>
      <w:r>
        <w:rPr>
          <w:color w:val="231F20"/>
          <w:w w:val="120"/>
        </w:rPr>
        <w:t>cette</w:t>
      </w:r>
    </w:p>
    <w:p>
      <w:pPr>
        <w:spacing w:after="0" w:line="307" w:lineRule="auto"/>
        <w:jc w:val="both"/>
        <w:sectPr>
          <w:footerReference w:type="default" r:id="rId312"/>
          <w:pgSz w:w="8640" w:h="12960"/>
          <w:pgMar w:footer="424" w:header="0" w:top="520" w:bottom="620" w:left="420" w:right="1140"/>
        </w:sectPr>
      </w:pPr>
    </w:p>
    <w:p>
      <w:pPr>
        <w:spacing w:before="118"/>
        <w:ind w:left="1847" w:right="0" w:firstLine="0"/>
        <w:jc w:val="left"/>
        <w:rPr>
          <w:rFonts w:ascii="Arial" w:hAnsi="Arial"/>
          <w:sz w:val="14"/>
        </w:rPr>
      </w:pPr>
      <w:bookmarkStart w:name=" 5.3.1 / Principaux obstacles à l’interv" w:id="185"/>
      <w:bookmarkEnd w:id="185"/>
      <w:r>
        <w:rPr/>
      </w:r>
      <w:bookmarkStart w:name="_bookmark82" w:id="186"/>
      <w:bookmarkEnd w:id="186"/>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1"/>
        <w:jc w:val="both"/>
      </w:pPr>
      <w:r>
        <w:rPr>
          <w:color w:val="231F20"/>
          <w:spacing w:val="-2"/>
          <w:w w:val="120"/>
        </w:rPr>
        <w:t>dernière?</w:t>
      </w:r>
      <w:r>
        <w:rPr>
          <w:color w:val="231F20"/>
          <w:spacing w:val="-4"/>
          <w:w w:val="120"/>
        </w:rPr>
        <w:t> </w:t>
      </w:r>
      <w:r>
        <w:rPr>
          <w:color w:val="231F20"/>
          <w:spacing w:val="-2"/>
          <w:w w:val="120"/>
        </w:rPr>
        <w:t>Défi</w:t>
      </w:r>
      <w:r>
        <w:rPr>
          <w:color w:val="231F20"/>
          <w:spacing w:val="-4"/>
          <w:w w:val="120"/>
        </w:rPr>
        <w:t> </w:t>
      </w:r>
      <w:r>
        <w:rPr>
          <w:color w:val="231F20"/>
          <w:spacing w:val="-2"/>
          <w:w w:val="120"/>
        </w:rPr>
        <w:t>considérable</w:t>
      </w:r>
      <w:r>
        <w:rPr>
          <w:color w:val="231F20"/>
          <w:spacing w:val="-4"/>
          <w:w w:val="120"/>
        </w:rPr>
        <w:t> </w:t>
      </w:r>
      <w:r>
        <w:rPr>
          <w:color w:val="231F20"/>
          <w:spacing w:val="-2"/>
          <w:w w:val="120"/>
        </w:rPr>
        <w:t>d’autant</w:t>
      </w:r>
      <w:r>
        <w:rPr>
          <w:color w:val="231F20"/>
          <w:spacing w:val="-4"/>
          <w:w w:val="120"/>
        </w:rPr>
        <w:t> </w:t>
      </w:r>
      <w:r>
        <w:rPr>
          <w:color w:val="231F20"/>
          <w:spacing w:val="-2"/>
          <w:w w:val="120"/>
        </w:rPr>
        <w:t>plus</w:t>
      </w:r>
      <w:r>
        <w:rPr>
          <w:color w:val="231F20"/>
          <w:spacing w:val="-4"/>
          <w:w w:val="120"/>
        </w:rPr>
        <w:t> </w:t>
      </w:r>
      <w:r>
        <w:rPr>
          <w:color w:val="231F20"/>
          <w:spacing w:val="-2"/>
          <w:w w:val="120"/>
        </w:rPr>
        <w:t>que</w:t>
      </w:r>
      <w:r>
        <w:rPr>
          <w:color w:val="231F20"/>
          <w:spacing w:val="-4"/>
          <w:w w:val="120"/>
        </w:rPr>
        <w:t> </w:t>
      </w:r>
      <w:r>
        <w:rPr>
          <w:color w:val="231F20"/>
          <w:spacing w:val="-2"/>
          <w:w w:val="120"/>
        </w:rPr>
        <w:t>l’employé</w:t>
      </w:r>
      <w:r>
        <w:rPr>
          <w:color w:val="231F20"/>
          <w:spacing w:val="-4"/>
          <w:w w:val="120"/>
        </w:rPr>
        <w:t> </w:t>
      </w:r>
      <w:r>
        <w:rPr>
          <w:color w:val="231F20"/>
          <w:spacing w:val="-2"/>
          <w:w w:val="120"/>
        </w:rPr>
        <w:t>est</w:t>
      </w:r>
      <w:r>
        <w:rPr>
          <w:color w:val="231F20"/>
          <w:spacing w:val="-4"/>
          <w:w w:val="120"/>
        </w:rPr>
        <w:t> </w:t>
      </w:r>
      <w:r>
        <w:rPr>
          <w:color w:val="231F20"/>
          <w:spacing w:val="-2"/>
          <w:w w:val="120"/>
        </w:rPr>
        <w:t>passé</w:t>
      </w:r>
      <w:r>
        <w:rPr>
          <w:color w:val="231F20"/>
          <w:spacing w:val="-4"/>
          <w:w w:val="120"/>
        </w:rPr>
        <w:t> </w:t>
      </w:r>
      <w:r>
        <w:rPr>
          <w:color w:val="231F20"/>
          <w:spacing w:val="-2"/>
          <w:w w:val="120"/>
        </w:rPr>
        <w:t>d’une </w:t>
      </w:r>
      <w:r>
        <w:rPr>
          <w:color w:val="231F20"/>
          <w:w w:val="120"/>
        </w:rPr>
        <w:t>mentalité</w:t>
      </w:r>
      <w:r>
        <w:rPr>
          <w:color w:val="231F20"/>
          <w:spacing w:val="-2"/>
          <w:w w:val="120"/>
        </w:rPr>
        <w:t> </w:t>
      </w:r>
      <w:r>
        <w:rPr>
          <w:color w:val="231F20"/>
          <w:w w:val="120"/>
        </w:rPr>
        <w:t>de</w:t>
      </w:r>
      <w:r>
        <w:rPr>
          <w:color w:val="231F20"/>
          <w:spacing w:val="-2"/>
          <w:w w:val="120"/>
        </w:rPr>
        <w:t> </w:t>
      </w:r>
      <w:r>
        <w:rPr>
          <w:color w:val="231F20"/>
          <w:w w:val="120"/>
        </w:rPr>
        <w:t>loyauté</w:t>
      </w:r>
      <w:r>
        <w:rPr>
          <w:color w:val="231F20"/>
          <w:spacing w:val="-2"/>
          <w:w w:val="120"/>
        </w:rPr>
        <w:t> </w:t>
      </w:r>
      <w:r>
        <w:rPr>
          <w:color w:val="231F20"/>
          <w:w w:val="120"/>
        </w:rPr>
        <w:t>à</w:t>
      </w:r>
      <w:r>
        <w:rPr>
          <w:color w:val="231F20"/>
          <w:spacing w:val="-2"/>
          <w:w w:val="120"/>
        </w:rPr>
        <w:t> </w:t>
      </w:r>
      <w:r>
        <w:rPr>
          <w:color w:val="231F20"/>
          <w:w w:val="120"/>
        </w:rPr>
        <w:t>l’entreprise</w:t>
      </w:r>
      <w:r>
        <w:rPr>
          <w:color w:val="231F20"/>
          <w:spacing w:val="-2"/>
          <w:w w:val="120"/>
        </w:rPr>
        <w:t> </w:t>
      </w:r>
      <w:r>
        <w:rPr>
          <w:color w:val="231F20"/>
          <w:w w:val="120"/>
        </w:rPr>
        <w:t>à</w:t>
      </w:r>
      <w:r>
        <w:rPr>
          <w:color w:val="231F20"/>
          <w:spacing w:val="-2"/>
          <w:w w:val="120"/>
        </w:rPr>
        <w:t> </w:t>
      </w:r>
      <w:r>
        <w:rPr>
          <w:color w:val="231F20"/>
          <w:w w:val="120"/>
        </w:rPr>
        <w:t>une</w:t>
      </w:r>
      <w:r>
        <w:rPr>
          <w:color w:val="231F20"/>
          <w:spacing w:val="-2"/>
          <w:w w:val="120"/>
        </w:rPr>
        <w:t> </w:t>
      </w:r>
      <w:r>
        <w:rPr>
          <w:color w:val="231F20"/>
          <w:w w:val="120"/>
        </w:rPr>
        <w:t>propension</w:t>
      </w:r>
      <w:r>
        <w:rPr>
          <w:color w:val="231F20"/>
          <w:spacing w:val="-2"/>
          <w:w w:val="120"/>
        </w:rPr>
        <w:t> </w:t>
      </w:r>
      <w:r>
        <w:rPr>
          <w:color w:val="231F20"/>
          <w:w w:val="120"/>
        </w:rPr>
        <w:t>au</w:t>
      </w:r>
      <w:r>
        <w:rPr>
          <w:color w:val="231F20"/>
          <w:spacing w:val="-2"/>
          <w:w w:val="120"/>
        </w:rPr>
        <w:t> </w:t>
      </w:r>
      <w:r>
        <w:rPr>
          <w:color w:val="231F20"/>
          <w:w w:val="120"/>
        </w:rPr>
        <w:t>nomadisme.</w:t>
      </w:r>
      <w:r>
        <w:rPr>
          <w:color w:val="231F20"/>
          <w:spacing w:val="-2"/>
          <w:w w:val="120"/>
        </w:rPr>
        <w:t> </w:t>
      </w:r>
      <w:r>
        <w:rPr>
          <w:color w:val="231F20"/>
          <w:w w:val="120"/>
        </w:rPr>
        <w:t>Et si</w:t>
      </w:r>
      <w:r>
        <w:rPr>
          <w:color w:val="231F20"/>
          <w:spacing w:val="-9"/>
          <w:w w:val="120"/>
        </w:rPr>
        <w:t> </w:t>
      </w:r>
      <w:r>
        <w:rPr>
          <w:color w:val="231F20"/>
          <w:w w:val="120"/>
        </w:rPr>
        <w:t>l’hyper</w:t>
      </w:r>
      <w:r>
        <w:rPr>
          <w:color w:val="231F20"/>
          <w:spacing w:val="-9"/>
          <w:w w:val="120"/>
        </w:rPr>
        <w:t> </w:t>
      </w:r>
      <w:r>
        <w:rPr>
          <w:color w:val="231F20"/>
          <w:w w:val="120"/>
        </w:rPr>
        <w:t>mobilité</w:t>
      </w:r>
      <w:r>
        <w:rPr>
          <w:color w:val="231F20"/>
          <w:spacing w:val="-9"/>
          <w:w w:val="120"/>
        </w:rPr>
        <w:t> </w:t>
      </w:r>
      <w:r>
        <w:rPr>
          <w:color w:val="231F20"/>
          <w:w w:val="120"/>
        </w:rPr>
        <w:t>professionnelle</w:t>
      </w:r>
      <w:r>
        <w:rPr>
          <w:color w:val="231F20"/>
          <w:spacing w:val="-9"/>
          <w:w w:val="120"/>
        </w:rPr>
        <w:t> </w:t>
      </w:r>
      <w:r>
        <w:rPr>
          <w:color w:val="231F20"/>
          <w:w w:val="120"/>
        </w:rPr>
        <w:t>était,</w:t>
      </w:r>
      <w:r>
        <w:rPr>
          <w:color w:val="231F20"/>
          <w:spacing w:val="-9"/>
          <w:w w:val="120"/>
        </w:rPr>
        <w:t> </w:t>
      </w:r>
      <w:r>
        <w:rPr>
          <w:color w:val="231F20"/>
          <w:w w:val="120"/>
        </w:rPr>
        <w:t>entre</w:t>
      </w:r>
      <w:r>
        <w:rPr>
          <w:color w:val="231F20"/>
          <w:spacing w:val="-9"/>
          <w:w w:val="120"/>
        </w:rPr>
        <w:t> </w:t>
      </w:r>
      <w:r>
        <w:rPr>
          <w:color w:val="231F20"/>
          <w:w w:val="120"/>
        </w:rPr>
        <w:t>autres,</w:t>
      </w:r>
      <w:r>
        <w:rPr>
          <w:color w:val="231F20"/>
          <w:spacing w:val="-9"/>
          <w:w w:val="120"/>
        </w:rPr>
        <w:t> </w:t>
      </w:r>
      <w:r>
        <w:rPr>
          <w:color w:val="231F20"/>
          <w:w w:val="120"/>
        </w:rPr>
        <w:t>un</w:t>
      </w:r>
      <w:r>
        <w:rPr>
          <w:color w:val="231F20"/>
          <w:spacing w:val="-9"/>
          <w:w w:val="120"/>
        </w:rPr>
        <w:t> </w:t>
      </w:r>
      <w:r>
        <w:rPr>
          <w:color w:val="231F20"/>
          <w:w w:val="120"/>
        </w:rPr>
        <w:t>comportement de recherche des conditions de travail favorables au déploiement de ses compétences? Alors, une réelle gestion organisationnelle du stress pourrait devenir un levier pour fidéliser sa main-d’œuvre et assurer la pérennité de son entreprise.</w:t>
      </w:r>
    </w:p>
    <w:p>
      <w:pPr>
        <w:pStyle w:val="BodyText"/>
        <w:spacing w:before="9"/>
        <w:rPr>
          <w:sz w:val="26"/>
        </w:rPr>
      </w:pPr>
    </w:p>
    <w:p>
      <w:pPr>
        <w:pStyle w:val="Heading4"/>
        <w:numPr>
          <w:ilvl w:val="2"/>
          <w:numId w:val="89"/>
        </w:numPr>
        <w:tabs>
          <w:tab w:pos="919" w:val="left" w:leader="none"/>
          <w:tab w:pos="1219" w:val="left" w:leader="none"/>
        </w:tabs>
        <w:spacing w:line="240" w:lineRule="auto" w:before="0" w:after="0"/>
        <w:ind w:left="918" w:right="0" w:hanging="375"/>
        <w:jc w:val="left"/>
      </w:pPr>
      <w:r>
        <w:rPr>
          <w:b w:val="0"/>
          <w:i/>
          <w:color w:val="231F20"/>
          <w:spacing w:val="-10"/>
        </w:rPr>
        <w:t>/</w:t>
      </w:r>
      <w:r>
        <w:rPr>
          <w:b w:val="0"/>
          <w:i/>
          <w:color w:val="231F20"/>
        </w:rPr>
        <w:tab/>
      </w:r>
      <w:r>
        <w:rPr>
          <w:color w:val="231F20"/>
          <w:w w:val="90"/>
        </w:rPr>
        <w:t>Principaux</w:t>
      </w:r>
      <w:r>
        <w:rPr>
          <w:color w:val="231F20"/>
          <w:spacing w:val="23"/>
        </w:rPr>
        <w:t> </w:t>
      </w:r>
      <w:r>
        <w:rPr>
          <w:color w:val="231F20"/>
          <w:w w:val="90"/>
        </w:rPr>
        <w:t>obstacles</w:t>
      </w:r>
      <w:r>
        <w:rPr>
          <w:color w:val="231F20"/>
          <w:spacing w:val="23"/>
        </w:rPr>
        <w:t> </w:t>
      </w:r>
      <w:r>
        <w:rPr>
          <w:color w:val="231F20"/>
          <w:w w:val="90"/>
        </w:rPr>
        <w:t>à</w:t>
      </w:r>
      <w:r>
        <w:rPr>
          <w:color w:val="231F20"/>
          <w:spacing w:val="23"/>
        </w:rPr>
        <w:t> </w:t>
      </w:r>
      <w:r>
        <w:rPr>
          <w:color w:val="231F20"/>
          <w:w w:val="90"/>
        </w:rPr>
        <w:t>l’intervention</w:t>
      </w:r>
      <w:r>
        <w:rPr>
          <w:color w:val="231F20"/>
          <w:spacing w:val="24"/>
        </w:rPr>
        <w:t> </w:t>
      </w:r>
      <w:r>
        <w:rPr>
          <w:color w:val="231F20"/>
          <w:spacing w:val="-2"/>
          <w:w w:val="90"/>
        </w:rPr>
        <w:t>organisationnelle</w:t>
      </w:r>
    </w:p>
    <w:p>
      <w:pPr>
        <w:pStyle w:val="BodyText"/>
        <w:spacing w:line="307" w:lineRule="auto" w:before="234"/>
        <w:ind w:left="1220" w:right="101"/>
        <w:jc w:val="both"/>
      </w:pPr>
      <w:r>
        <w:rPr>
          <w:color w:val="231F20"/>
          <w:w w:val="120"/>
        </w:rPr>
        <w:t>Lorsque des problèmes associés au stress surviennent au sein d’une entreprise,</w:t>
      </w:r>
      <w:r>
        <w:rPr>
          <w:color w:val="231F20"/>
          <w:spacing w:val="-13"/>
          <w:w w:val="120"/>
        </w:rPr>
        <w:t> </w:t>
      </w:r>
      <w:r>
        <w:rPr>
          <w:color w:val="231F20"/>
          <w:w w:val="120"/>
        </w:rPr>
        <w:t>les</w:t>
      </w:r>
      <w:r>
        <w:rPr>
          <w:color w:val="231F20"/>
          <w:spacing w:val="-13"/>
          <w:w w:val="120"/>
        </w:rPr>
        <w:t> </w:t>
      </w:r>
      <w:r>
        <w:rPr>
          <w:color w:val="231F20"/>
          <w:w w:val="120"/>
        </w:rPr>
        <w:t>responsables</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santé</w:t>
      </w:r>
      <w:r>
        <w:rPr>
          <w:color w:val="231F20"/>
          <w:spacing w:val="-13"/>
          <w:w w:val="120"/>
        </w:rPr>
        <w:t> </w:t>
      </w:r>
      <w:r>
        <w:rPr>
          <w:color w:val="231F20"/>
          <w:w w:val="120"/>
        </w:rPr>
        <w:t>au</w:t>
      </w:r>
      <w:r>
        <w:rPr>
          <w:color w:val="231F20"/>
          <w:spacing w:val="-13"/>
          <w:w w:val="120"/>
        </w:rPr>
        <w:t> </w:t>
      </w:r>
      <w:r>
        <w:rPr>
          <w:color w:val="231F20"/>
          <w:w w:val="120"/>
        </w:rPr>
        <w:t>travail</w:t>
      </w:r>
      <w:r>
        <w:rPr>
          <w:color w:val="231F20"/>
          <w:spacing w:val="-12"/>
          <w:w w:val="120"/>
        </w:rPr>
        <w:t> </w:t>
      </w:r>
      <w:r>
        <w:rPr>
          <w:color w:val="231F20"/>
          <w:w w:val="120"/>
        </w:rPr>
        <w:t>ont</w:t>
      </w:r>
      <w:r>
        <w:rPr>
          <w:color w:val="231F20"/>
          <w:spacing w:val="-13"/>
          <w:w w:val="120"/>
        </w:rPr>
        <w:t> </w:t>
      </w:r>
      <w:r>
        <w:rPr>
          <w:color w:val="231F20"/>
          <w:w w:val="120"/>
        </w:rPr>
        <w:t>plusieurs</w:t>
      </w:r>
      <w:r>
        <w:rPr>
          <w:color w:val="231F20"/>
          <w:spacing w:val="-13"/>
          <w:w w:val="120"/>
        </w:rPr>
        <w:t> </w:t>
      </w:r>
      <w:r>
        <w:rPr>
          <w:color w:val="231F20"/>
          <w:w w:val="120"/>
        </w:rPr>
        <w:t>obstacles à surmonter. Malgré l’absence de consensus à savoir si l’organisation d’un</w:t>
      </w:r>
      <w:r>
        <w:rPr>
          <w:color w:val="231F20"/>
          <w:spacing w:val="-3"/>
          <w:w w:val="120"/>
        </w:rPr>
        <w:t> </w:t>
      </w:r>
      <w:r>
        <w:rPr>
          <w:color w:val="231F20"/>
          <w:w w:val="120"/>
        </w:rPr>
        <w:t>groupe</w:t>
      </w:r>
      <w:r>
        <w:rPr>
          <w:color w:val="231F20"/>
          <w:spacing w:val="-3"/>
          <w:w w:val="120"/>
        </w:rPr>
        <w:t> </w:t>
      </w:r>
      <w:r>
        <w:rPr>
          <w:color w:val="231F20"/>
          <w:w w:val="120"/>
        </w:rPr>
        <w:t>humain</w:t>
      </w:r>
      <w:r>
        <w:rPr>
          <w:color w:val="231F20"/>
          <w:spacing w:val="-3"/>
          <w:w w:val="120"/>
        </w:rPr>
        <w:t> </w:t>
      </w:r>
      <w:r>
        <w:rPr>
          <w:color w:val="231F20"/>
          <w:w w:val="120"/>
        </w:rPr>
        <w:t>doit</w:t>
      </w:r>
      <w:r>
        <w:rPr>
          <w:color w:val="231F20"/>
          <w:spacing w:val="-3"/>
          <w:w w:val="120"/>
        </w:rPr>
        <w:t> </w:t>
      </w:r>
      <w:r>
        <w:rPr>
          <w:color w:val="231F20"/>
          <w:w w:val="120"/>
        </w:rPr>
        <w:t>se</w:t>
      </w:r>
      <w:r>
        <w:rPr>
          <w:color w:val="231F20"/>
          <w:spacing w:val="-3"/>
          <w:w w:val="120"/>
        </w:rPr>
        <w:t> </w:t>
      </w:r>
      <w:r>
        <w:rPr>
          <w:color w:val="231F20"/>
          <w:w w:val="120"/>
        </w:rPr>
        <w:t>faire</w:t>
      </w:r>
      <w:r>
        <w:rPr>
          <w:color w:val="231F20"/>
          <w:spacing w:val="-3"/>
          <w:w w:val="120"/>
        </w:rPr>
        <w:t> </w:t>
      </w:r>
      <w:r>
        <w:rPr>
          <w:color w:val="231F20"/>
          <w:w w:val="120"/>
        </w:rPr>
        <w:t>en</w:t>
      </w:r>
      <w:r>
        <w:rPr>
          <w:color w:val="231F20"/>
          <w:spacing w:val="-3"/>
          <w:w w:val="120"/>
        </w:rPr>
        <w:t> </w:t>
      </w:r>
      <w:r>
        <w:rPr>
          <w:color w:val="231F20"/>
          <w:w w:val="120"/>
        </w:rPr>
        <w:t>fonction</w:t>
      </w:r>
      <w:r>
        <w:rPr>
          <w:color w:val="231F20"/>
          <w:spacing w:val="-3"/>
          <w:w w:val="120"/>
        </w:rPr>
        <w:t> </w:t>
      </w:r>
      <w:r>
        <w:rPr>
          <w:color w:val="231F20"/>
          <w:w w:val="120"/>
        </w:rPr>
        <w:t>des</w:t>
      </w:r>
      <w:r>
        <w:rPr>
          <w:color w:val="231F20"/>
          <w:spacing w:val="-3"/>
          <w:w w:val="120"/>
        </w:rPr>
        <w:t> </w:t>
      </w:r>
      <w:r>
        <w:rPr>
          <w:color w:val="231F20"/>
          <w:w w:val="120"/>
        </w:rPr>
        <w:t>limites</w:t>
      </w:r>
      <w:r>
        <w:rPr>
          <w:color w:val="231F20"/>
          <w:spacing w:val="-3"/>
          <w:w w:val="120"/>
        </w:rPr>
        <w:t> </w:t>
      </w:r>
      <w:r>
        <w:rPr>
          <w:color w:val="231F20"/>
          <w:w w:val="120"/>
        </w:rPr>
        <w:t>techniques</w:t>
      </w:r>
      <w:r>
        <w:rPr>
          <w:color w:val="231F20"/>
          <w:spacing w:val="-3"/>
          <w:w w:val="120"/>
        </w:rPr>
        <w:t> </w:t>
      </w:r>
      <w:r>
        <w:rPr>
          <w:color w:val="231F20"/>
          <w:w w:val="120"/>
        </w:rPr>
        <w:t>ou </w:t>
      </w:r>
      <w:r>
        <w:rPr>
          <w:color w:val="231F20"/>
          <w:spacing w:val="-2"/>
          <w:w w:val="120"/>
        </w:rPr>
        <w:t>des</w:t>
      </w:r>
      <w:r>
        <w:rPr>
          <w:color w:val="231F20"/>
          <w:spacing w:val="-3"/>
          <w:w w:val="120"/>
        </w:rPr>
        <w:t> </w:t>
      </w:r>
      <w:r>
        <w:rPr>
          <w:color w:val="231F20"/>
          <w:spacing w:val="-2"/>
          <w:w w:val="120"/>
        </w:rPr>
        <w:t>emplois,</w:t>
      </w:r>
      <w:r>
        <w:rPr>
          <w:color w:val="231F20"/>
          <w:spacing w:val="-3"/>
          <w:w w:val="120"/>
        </w:rPr>
        <w:t> </w:t>
      </w:r>
      <w:r>
        <w:rPr>
          <w:color w:val="231F20"/>
          <w:spacing w:val="-2"/>
          <w:w w:val="120"/>
        </w:rPr>
        <w:t>la</w:t>
      </w:r>
      <w:r>
        <w:rPr>
          <w:color w:val="231F20"/>
          <w:spacing w:val="-3"/>
          <w:w w:val="120"/>
        </w:rPr>
        <w:t> </w:t>
      </w:r>
      <w:r>
        <w:rPr>
          <w:color w:val="231F20"/>
          <w:spacing w:val="-2"/>
          <w:w w:val="120"/>
        </w:rPr>
        <w:t>technologie</w:t>
      </w:r>
      <w:r>
        <w:rPr>
          <w:color w:val="231F20"/>
          <w:spacing w:val="-3"/>
          <w:w w:val="120"/>
        </w:rPr>
        <w:t> </w:t>
      </w:r>
      <w:r>
        <w:rPr>
          <w:color w:val="231F20"/>
          <w:spacing w:val="-2"/>
          <w:w w:val="120"/>
        </w:rPr>
        <w:t>dont</w:t>
      </w:r>
      <w:r>
        <w:rPr>
          <w:color w:val="231F20"/>
          <w:spacing w:val="-3"/>
          <w:w w:val="120"/>
        </w:rPr>
        <w:t> </w:t>
      </w:r>
      <w:r>
        <w:rPr>
          <w:color w:val="231F20"/>
          <w:spacing w:val="-2"/>
          <w:w w:val="120"/>
        </w:rPr>
        <w:t>dispose</w:t>
      </w:r>
      <w:r>
        <w:rPr>
          <w:color w:val="231F20"/>
          <w:spacing w:val="-3"/>
          <w:w w:val="120"/>
        </w:rPr>
        <w:t> </w:t>
      </w:r>
      <w:r>
        <w:rPr>
          <w:color w:val="231F20"/>
          <w:spacing w:val="-2"/>
          <w:w w:val="120"/>
        </w:rPr>
        <w:t>l’entreprise</w:t>
      </w:r>
      <w:r>
        <w:rPr>
          <w:color w:val="231F20"/>
          <w:spacing w:val="-3"/>
          <w:w w:val="120"/>
        </w:rPr>
        <w:t> </w:t>
      </w:r>
      <w:r>
        <w:rPr>
          <w:color w:val="231F20"/>
          <w:spacing w:val="-2"/>
          <w:w w:val="120"/>
        </w:rPr>
        <w:t>et</w:t>
      </w:r>
      <w:r>
        <w:rPr>
          <w:color w:val="231F20"/>
          <w:spacing w:val="-3"/>
          <w:w w:val="120"/>
        </w:rPr>
        <w:t> </w:t>
      </w:r>
      <w:r>
        <w:rPr>
          <w:color w:val="231F20"/>
          <w:spacing w:val="-2"/>
          <w:w w:val="120"/>
        </w:rPr>
        <w:t>son</w:t>
      </w:r>
      <w:r>
        <w:rPr>
          <w:color w:val="231F20"/>
          <w:spacing w:val="-3"/>
          <w:w w:val="120"/>
        </w:rPr>
        <w:t> </w:t>
      </w:r>
      <w:r>
        <w:rPr>
          <w:color w:val="231F20"/>
          <w:spacing w:val="-2"/>
          <w:w w:val="120"/>
        </w:rPr>
        <w:t>organisation </w:t>
      </w:r>
      <w:r>
        <w:rPr>
          <w:color w:val="231F20"/>
          <w:w w:val="120"/>
        </w:rPr>
        <w:t>du</w:t>
      </w:r>
      <w:r>
        <w:rPr>
          <w:color w:val="231F20"/>
          <w:spacing w:val="-2"/>
          <w:w w:val="120"/>
        </w:rPr>
        <w:t> </w:t>
      </w:r>
      <w:r>
        <w:rPr>
          <w:color w:val="231F20"/>
          <w:w w:val="120"/>
        </w:rPr>
        <w:t>travail</w:t>
      </w:r>
      <w:r>
        <w:rPr>
          <w:color w:val="231F20"/>
          <w:spacing w:val="-2"/>
          <w:w w:val="120"/>
        </w:rPr>
        <w:t> </w:t>
      </w:r>
      <w:r>
        <w:rPr>
          <w:color w:val="231F20"/>
          <w:w w:val="120"/>
        </w:rPr>
        <w:t>vont</w:t>
      </w:r>
      <w:r>
        <w:rPr>
          <w:color w:val="231F20"/>
          <w:spacing w:val="-2"/>
          <w:w w:val="120"/>
        </w:rPr>
        <w:t> </w:t>
      </w:r>
      <w:r>
        <w:rPr>
          <w:color w:val="231F20"/>
          <w:w w:val="120"/>
        </w:rPr>
        <w:t>généralement</w:t>
      </w:r>
      <w:r>
        <w:rPr>
          <w:color w:val="231F20"/>
          <w:spacing w:val="-2"/>
          <w:w w:val="120"/>
        </w:rPr>
        <w:t> </w:t>
      </w:r>
      <w:r>
        <w:rPr>
          <w:color w:val="231F20"/>
          <w:w w:val="120"/>
        </w:rPr>
        <w:t>de</w:t>
      </w:r>
      <w:r>
        <w:rPr>
          <w:color w:val="231F20"/>
          <w:spacing w:val="-2"/>
          <w:w w:val="120"/>
        </w:rPr>
        <w:t> </w:t>
      </w:r>
      <w:r>
        <w:rPr>
          <w:color w:val="231F20"/>
          <w:w w:val="120"/>
        </w:rPr>
        <w:t>pair.</w:t>
      </w:r>
      <w:r>
        <w:rPr>
          <w:color w:val="231F20"/>
          <w:spacing w:val="-2"/>
          <w:w w:val="120"/>
        </w:rPr>
        <w:t> </w:t>
      </w:r>
      <w:r>
        <w:rPr>
          <w:color w:val="231F20"/>
          <w:w w:val="120"/>
        </w:rPr>
        <w:t>Dans</w:t>
      </w:r>
      <w:r>
        <w:rPr>
          <w:color w:val="231F20"/>
          <w:spacing w:val="-2"/>
          <w:w w:val="120"/>
        </w:rPr>
        <w:t> </w:t>
      </w:r>
      <w:r>
        <w:rPr>
          <w:color w:val="231F20"/>
          <w:w w:val="120"/>
        </w:rPr>
        <w:t>bien</w:t>
      </w:r>
      <w:r>
        <w:rPr>
          <w:color w:val="231F20"/>
          <w:spacing w:val="-2"/>
          <w:w w:val="120"/>
        </w:rPr>
        <w:t> </w:t>
      </w:r>
      <w:r>
        <w:rPr>
          <w:color w:val="231F20"/>
          <w:w w:val="120"/>
        </w:rPr>
        <w:t>des</w:t>
      </w:r>
      <w:r>
        <w:rPr>
          <w:color w:val="231F20"/>
          <w:spacing w:val="-2"/>
          <w:w w:val="120"/>
        </w:rPr>
        <w:t> </w:t>
      </w:r>
      <w:r>
        <w:rPr>
          <w:color w:val="231F20"/>
          <w:w w:val="120"/>
        </w:rPr>
        <w:t>cas,</w:t>
      </w:r>
      <w:r>
        <w:rPr>
          <w:color w:val="231F20"/>
          <w:spacing w:val="-2"/>
          <w:w w:val="120"/>
        </w:rPr>
        <w:t> </w:t>
      </w:r>
      <w:r>
        <w:rPr>
          <w:color w:val="231F20"/>
          <w:w w:val="120"/>
        </w:rPr>
        <w:t>les</w:t>
      </w:r>
      <w:r>
        <w:rPr>
          <w:color w:val="231F20"/>
          <w:spacing w:val="-2"/>
          <w:w w:val="120"/>
        </w:rPr>
        <w:t> </w:t>
      </w:r>
      <w:r>
        <w:rPr>
          <w:color w:val="231F20"/>
          <w:w w:val="120"/>
        </w:rPr>
        <w:t>ressources humaines</w:t>
      </w:r>
      <w:r>
        <w:rPr>
          <w:color w:val="231F20"/>
          <w:spacing w:val="-19"/>
          <w:w w:val="120"/>
        </w:rPr>
        <w:t> </w:t>
      </w:r>
      <w:r>
        <w:rPr>
          <w:color w:val="231F20"/>
          <w:w w:val="120"/>
        </w:rPr>
        <w:t>et</w:t>
      </w:r>
      <w:r>
        <w:rPr>
          <w:color w:val="231F20"/>
          <w:spacing w:val="-16"/>
          <w:w w:val="120"/>
        </w:rPr>
        <w:t> </w:t>
      </w:r>
      <w:r>
        <w:rPr>
          <w:color w:val="231F20"/>
          <w:w w:val="120"/>
        </w:rPr>
        <w:t>les</w:t>
      </w:r>
      <w:r>
        <w:rPr>
          <w:color w:val="231F20"/>
          <w:spacing w:val="-17"/>
          <w:w w:val="120"/>
        </w:rPr>
        <w:t> </w:t>
      </w:r>
      <w:r>
        <w:rPr>
          <w:color w:val="231F20"/>
          <w:w w:val="120"/>
        </w:rPr>
        <w:t>possibilités</w:t>
      </w:r>
      <w:r>
        <w:rPr>
          <w:color w:val="231F20"/>
          <w:spacing w:val="-16"/>
          <w:w w:val="120"/>
        </w:rPr>
        <w:t> </w:t>
      </w:r>
      <w:r>
        <w:rPr>
          <w:color w:val="231F20"/>
          <w:w w:val="120"/>
        </w:rPr>
        <w:t>de</w:t>
      </w:r>
      <w:r>
        <w:rPr>
          <w:color w:val="231F20"/>
          <w:spacing w:val="-17"/>
          <w:w w:val="120"/>
        </w:rPr>
        <w:t> </w:t>
      </w:r>
      <w:r>
        <w:rPr>
          <w:color w:val="231F20"/>
          <w:w w:val="120"/>
        </w:rPr>
        <w:t>gérer</w:t>
      </w:r>
      <w:r>
        <w:rPr>
          <w:color w:val="231F20"/>
          <w:spacing w:val="-16"/>
          <w:w w:val="120"/>
        </w:rPr>
        <w:t> </w:t>
      </w:r>
      <w:r>
        <w:rPr>
          <w:color w:val="231F20"/>
          <w:w w:val="120"/>
        </w:rPr>
        <w:t>le</w:t>
      </w:r>
      <w:r>
        <w:rPr>
          <w:color w:val="231F20"/>
          <w:spacing w:val="-17"/>
          <w:w w:val="120"/>
        </w:rPr>
        <w:t> </w:t>
      </w:r>
      <w:r>
        <w:rPr>
          <w:color w:val="231F20"/>
          <w:w w:val="120"/>
        </w:rPr>
        <w:t>personnel</w:t>
      </w:r>
      <w:r>
        <w:rPr>
          <w:color w:val="231F20"/>
          <w:spacing w:val="-16"/>
          <w:w w:val="120"/>
        </w:rPr>
        <w:t> </w:t>
      </w:r>
      <w:r>
        <w:rPr>
          <w:color w:val="231F20"/>
          <w:w w:val="120"/>
        </w:rPr>
        <w:t>sont</w:t>
      </w:r>
      <w:r>
        <w:rPr>
          <w:color w:val="231F20"/>
          <w:spacing w:val="-17"/>
          <w:w w:val="120"/>
        </w:rPr>
        <w:t> </w:t>
      </w:r>
      <w:r>
        <w:rPr>
          <w:color w:val="231F20"/>
          <w:w w:val="120"/>
        </w:rPr>
        <w:t>balisées</w:t>
      </w:r>
      <w:r>
        <w:rPr>
          <w:color w:val="231F20"/>
          <w:spacing w:val="-16"/>
          <w:w w:val="120"/>
        </w:rPr>
        <w:t> </w:t>
      </w:r>
      <w:r>
        <w:rPr>
          <w:color w:val="231F20"/>
          <w:w w:val="120"/>
        </w:rPr>
        <w:t>d’avance.</w:t>
      </w:r>
    </w:p>
    <w:p>
      <w:pPr>
        <w:pStyle w:val="BodyText"/>
        <w:spacing w:line="307" w:lineRule="auto" w:before="78"/>
        <w:ind w:left="1220" w:right="101" w:firstLine="250"/>
        <w:jc w:val="both"/>
      </w:pPr>
      <w:r>
        <w:rPr>
          <w:color w:val="231F20"/>
          <w:spacing w:val="-2"/>
          <w:w w:val="120"/>
        </w:rPr>
        <w:t>Toutefois,</w:t>
      </w:r>
      <w:r>
        <w:rPr>
          <w:color w:val="231F20"/>
          <w:spacing w:val="-7"/>
          <w:w w:val="120"/>
        </w:rPr>
        <w:t> </w:t>
      </w:r>
      <w:r>
        <w:rPr>
          <w:color w:val="231F20"/>
          <w:spacing w:val="-2"/>
          <w:w w:val="120"/>
        </w:rPr>
        <w:t>les</w:t>
      </w:r>
      <w:r>
        <w:rPr>
          <w:color w:val="231F20"/>
          <w:spacing w:val="-7"/>
          <w:w w:val="120"/>
        </w:rPr>
        <w:t> </w:t>
      </w:r>
      <w:r>
        <w:rPr>
          <w:color w:val="231F20"/>
          <w:spacing w:val="-2"/>
          <w:w w:val="120"/>
        </w:rPr>
        <w:t>nouvelles</w:t>
      </w:r>
      <w:r>
        <w:rPr>
          <w:color w:val="231F20"/>
          <w:spacing w:val="-7"/>
          <w:w w:val="120"/>
        </w:rPr>
        <w:t> </w:t>
      </w:r>
      <w:r>
        <w:rPr>
          <w:color w:val="231F20"/>
          <w:spacing w:val="-2"/>
          <w:w w:val="120"/>
        </w:rPr>
        <w:t>tendances</w:t>
      </w:r>
      <w:r>
        <w:rPr>
          <w:color w:val="231F20"/>
          <w:spacing w:val="-7"/>
          <w:w w:val="120"/>
        </w:rPr>
        <w:t> </w:t>
      </w:r>
      <w:r>
        <w:rPr>
          <w:color w:val="231F20"/>
          <w:spacing w:val="-2"/>
          <w:w w:val="120"/>
        </w:rPr>
        <w:t>en</w:t>
      </w:r>
      <w:r>
        <w:rPr>
          <w:color w:val="231F20"/>
          <w:spacing w:val="-7"/>
          <w:w w:val="120"/>
        </w:rPr>
        <w:t> </w:t>
      </w:r>
      <w:r>
        <w:rPr>
          <w:color w:val="231F20"/>
          <w:spacing w:val="-2"/>
          <w:w w:val="120"/>
        </w:rPr>
        <w:t>matière</w:t>
      </w:r>
      <w:r>
        <w:rPr>
          <w:color w:val="231F20"/>
          <w:spacing w:val="-7"/>
          <w:w w:val="120"/>
        </w:rPr>
        <w:t> </w:t>
      </w:r>
      <w:r>
        <w:rPr>
          <w:color w:val="231F20"/>
          <w:spacing w:val="-2"/>
          <w:w w:val="120"/>
        </w:rPr>
        <w:t>de</w:t>
      </w:r>
      <w:r>
        <w:rPr>
          <w:color w:val="231F20"/>
          <w:spacing w:val="-7"/>
          <w:w w:val="120"/>
        </w:rPr>
        <w:t> </w:t>
      </w:r>
      <w:r>
        <w:rPr>
          <w:color w:val="231F20"/>
          <w:spacing w:val="-2"/>
          <w:w w:val="120"/>
        </w:rPr>
        <w:t>gestion</w:t>
      </w:r>
      <w:r>
        <w:rPr>
          <w:color w:val="231F20"/>
          <w:spacing w:val="-7"/>
          <w:w w:val="120"/>
        </w:rPr>
        <w:t> </w:t>
      </w:r>
      <w:r>
        <w:rPr>
          <w:color w:val="231F20"/>
          <w:spacing w:val="-2"/>
          <w:w w:val="120"/>
        </w:rPr>
        <w:t>favorisent</w:t>
      </w:r>
      <w:r>
        <w:rPr>
          <w:color w:val="231F20"/>
          <w:spacing w:val="-7"/>
          <w:w w:val="120"/>
        </w:rPr>
        <w:t> </w:t>
      </w:r>
      <w:r>
        <w:rPr>
          <w:color w:val="231F20"/>
          <w:spacing w:val="-2"/>
          <w:w w:val="120"/>
        </w:rPr>
        <w:t>la </w:t>
      </w:r>
      <w:r>
        <w:rPr>
          <w:color w:val="231F20"/>
          <w:w w:val="120"/>
        </w:rPr>
        <w:t>réévaluation du capital humain de l’entreprise, une nouvelle vision de </w:t>
      </w:r>
      <w:r>
        <w:rPr>
          <w:color w:val="231F20"/>
          <w:spacing w:val="-2"/>
          <w:w w:val="120"/>
        </w:rPr>
        <w:t>la</w:t>
      </w:r>
      <w:r>
        <w:rPr>
          <w:color w:val="231F20"/>
          <w:spacing w:val="-7"/>
          <w:w w:val="120"/>
        </w:rPr>
        <w:t> </w:t>
      </w:r>
      <w:r>
        <w:rPr>
          <w:color w:val="231F20"/>
          <w:spacing w:val="-2"/>
          <w:w w:val="120"/>
        </w:rPr>
        <w:t>réalité</w:t>
      </w:r>
      <w:r>
        <w:rPr>
          <w:color w:val="231F20"/>
          <w:spacing w:val="-7"/>
          <w:w w:val="120"/>
        </w:rPr>
        <w:t> </w:t>
      </w:r>
      <w:r>
        <w:rPr>
          <w:color w:val="231F20"/>
          <w:spacing w:val="-2"/>
          <w:w w:val="120"/>
        </w:rPr>
        <w:t>des</w:t>
      </w:r>
      <w:r>
        <w:rPr>
          <w:color w:val="231F20"/>
          <w:spacing w:val="-7"/>
          <w:w w:val="120"/>
        </w:rPr>
        <w:t> </w:t>
      </w:r>
      <w:r>
        <w:rPr>
          <w:color w:val="231F20"/>
          <w:spacing w:val="-2"/>
          <w:w w:val="120"/>
        </w:rPr>
        <w:t>affaires</w:t>
      </w:r>
      <w:r>
        <w:rPr>
          <w:color w:val="231F20"/>
          <w:spacing w:val="-7"/>
          <w:w w:val="120"/>
        </w:rPr>
        <w:t> </w:t>
      </w:r>
      <w:r>
        <w:rPr>
          <w:color w:val="231F20"/>
          <w:spacing w:val="-2"/>
          <w:w w:val="120"/>
        </w:rPr>
        <w:t>où</w:t>
      </w:r>
      <w:r>
        <w:rPr>
          <w:color w:val="231F20"/>
          <w:spacing w:val="-7"/>
          <w:w w:val="120"/>
        </w:rPr>
        <w:t> </w:t>
      </w:r>
      <w:r>
        <w:rPr>
          <w:color w:val="231F20"/>
          <w:spacing w:val="-2"/>
          <w:w w:val="120"/>
        </w:rPr>
        <w:t>les</w:t>
      </w:r>
      <w:r>
        <w:rPr>
          <w:color w:val="231F20"/>
          <w:spacing w:val="-7"/>
          <w:w w:val="120"/>
        </w:rPr>
        <w:t> </w:t>
      </w:r>
      <w:r>
        <w:rPr>
          <w:color w:val="231F20"/>
          <w:spacing w:val="-2"/>
          <w:w w:val="120"/>
        </w:rPr>
        <w:t>employés</w:t>
      </w:r>
      <w:r>
        <w:rPr>
          <w:color w:val="231F20"/>
          <w:spacing w:val="-7"/>
          <w:w w:val="120"/>
        </w:rPr>
        <w:t> </w:t>
      </w:r>
      <w:r>
        <w:rPr>
          <w:color w:val="231F20"/>
          <w:spacing w:val="-2"/>
          <w:w w:val="120"/>
        </w:rPr>
        <w:t>ont</w:t>
      </w:r>
      <w:r>
        <w:rPr>
          <w:color w:val="231F20"/>
          <w:spacing w:val="-7"/>
          <w:w w:val="120"/>
        </w:rPr>
        <w:t> </w:t>
      </w:r>
      <w:r>
        <w:rPr>
          <w:color w:val="231F20"/>
          <w:spacing w:val="-2"/>
          <w:w w:val="120"/>
        </w:rPr>
        <w:t>de</w:t>
      </w:r>
      <w:r>
        <w:rPr>
          <w:color w:val="231F20"/>
          <w:spacing w:val="-7"/>
          <w:w w:val="120"/>
        </w:rPr>
        <w:t> </w:t>
      </w:r>
      <w:r>
        <w:rPr>
          <w:color w:val="231F20"/>
          <w:spacing w:val="-2"/>
          <w:w w:val="120"/>
        </w:rPr>
        <w:t>plus</w:t>
      </w:r>
      <w:r>
        <w:rPr>
          <w:color w:val="231F20"/>
          <w:spacing w:val="-7"/>
          <w:w w:val="120"/>
        </w:rPr>
        <w:t> </w:t>
      </w:r>
      <w:r>
        <w:rPr>
          <w:color w:val="231F20"/>
          <w:spacing w:val="-2"/>
          <w:w w:val="120"/>
        </w:rPr>
        <w:t>en</w:t>
      </w:r>
      <w:r>
        <w:rPr>
          <w:color w:val="231F20"/>
          <w:spacing w:val="-7"/>
          <w:w w:val="120"/>
        </w:rPr>
        <w:t> </w:t>
      </w:r>
      <w:r>
        <w:rPr>
          <w:color w:val="231F20"/>
          <w:spacing w:val="-2"/>
          <w:w w:val="120"/>
        </w:rPr>
        <w:t>plus</w:t>
      </w:r>
      <w:r>
        <w:rPr>
          <w:color w:val="231F20"/>
          <w:spacing w:val="-7"/>
          <w:w w:val="120"/>
        </w:rPr>
        <w:t> </w:t>
      </w:r>
      <w:r>
        <w:rPr>
          <w:color w:val="231F20"/>
          <w:spacing w:val="-2"/>
          <w:w w:val="120"/>
        </w:rPr>
        <w:t>de</w:t>
      </w:r>
      <w:r>
        <w:rPr>
          <w:color w:val="231F20"/>
          <w:spacing w:val="-7"/>
          <w:w w:val="120"/>
        </w:rPr>
        <w:t> </w:t>
      </w:r>
      <w:r>
        <w:rPr>
          <w:color w:val="231F20"/>
          <w:spacing w:val="-2"/>
          <w:w w:val="120"/>
        </w:rPr>
        <w:t>valeur,</w:t>
      </w:r>
      <w:r>
        <w:rPr>
          <w:color w:val="231F20"/>
          <w:spacing w:val="-7"/>
          <w:w w:val="120"/>
        </w:rPr>
        <w:t> </w:t>
      </w:r>
      <w:r>
        <w:rPr>
          <w:color w:val="231F20"/>
          <w:spacing w:val="-2"/>
          <w:w w:val="120"/>
        </w:rPr>
        <w:t>ainsi </w:t>
      </w:r>
      <w:r>
        <w:rPr>
          <w:color w:val="231F20"/>
          <w:w w:val="120"/>
        </w:rPr>
        <w:t>que</w:t>
      </w:r>
      <w:r>
        <w:rPr>
          <w:color w:val="231F20"/>
          <w:spacing w:val="-12"/>
          <w:w w:val="120"/>
        </w:rPr>
        <w:t> </w:t>
      </w:r>
      <w:r>
        <w:rPr>
          <w:color w:val="231F20"/>
          <w:w w:val="120"/>
        </w:rPr>
        <w:t>la</w:t>
      </w:r>
      <w:r>
        <w:rPr>
          <w:color w:val="231F20"/>
          <w:spacing w:val="-12"/>
          <w:w w:val="120"/>
        </w:rPr>
        <w:t> </w:t>
      </w:r>
      <w:r>
        <w:rPr>
          <w:color w:val="231F20"/>
          <w:w w:val="120"/>
        </w:rPr>
        <w:t>mise</w:t>
      </w:r>
      <w:r>
        <w:rPr>
          <w:color w:val="231F20"/>
          <w:spacing w:val="-12"/>
          <w:w w:val="120"/>
        </w:rPr>
        <w:t> </w:t>
      </w:r>
      <w:r>
        <w:rPr>
          <w:color w:val="231F20"/>
          <w:w w:val="120"/>
        </w:rPr>
        <w:t>en</w:t>
      </w:r>
      <w:r>
        <w:rPr>
          <w:color w:val="231F20"/>
          <w:spacing w:val="-12"/>
          <w:w w:val="120"/>
        </w:rPr>
        <w:t> </w:t>
      </w:r>
      <w:r>
        <w:rPr>
          <w:color w:val="231F20"/>
          <w:w w:val="120"/>
        </w:rPr>
        <w:t>application</w:t>
      </w:r>
      <w:r>
        <w:rPr>
          <w:color w:val="231F20"/>
          <w:spacing w:val="-12"/>
          <w:w w:val="120"/>
        </w:rPr>
        <w:t> </w:t>
      </w:r>
      <w:r>
        <w:rPr>
          <w:color w:val="231F20"/>
          <w:w w:val="120"/>
        </w:rPr>
        <w:t>d’un</w:t>
      </w:r>
      <w:r>
        <w:rPr>
          <w:color w:val="231F20"/>
          <w:spacing w:val="-12"/>
          <w:w w:val="120"/>
        </w:rPr>
        <w:t> </w:t>
      </w:r>
      <w:r>
        <w:rPr>
          <w:color w:val="231F20"/>
          <w:w w:val="120"/>
        </w:rPr>
        <w:t>éventail</w:t>
      </w:r>
      <w:r>
        <w:rPr>
          <w:color w:val="231F20"/>
          <w:spacing w:val="-12"/>
          <w:w w:val="120"/>
        </w:rPr>
        <w:t> </w:t>
      </w:r>
      <w:r>
        <w:rPr>
          <w:color w:val="231F20"/>
          <w:w w:val="120"/>
        </w:rPr>
        <w:t>de</w:t>
      </w:r>
      <w:r>
        <w:rPr>
          <w:color w:val="231F20"/>
          <w:spacing w:val="-12"/>
          <w:w w:val="120"/>
        </w:rPr>
        <w:t> </w:t>
      </w:r>
      <w:r>
        <w:rPr>
          <w:color w:val="231F20"/>
          <w:w w:val="120"/>
        </w:rPr>
        <w:t>connaissances,</w:t>
      </w:r>
      <w:r>
        <w:rPr>
          <w:color w:val="231F20"/>
          <w:spacing w:val="-12"/>
          <w:w w:val="120"/>
        </w:rPr>
        <w:t> </w:t>
      </w:r>
      <w:r>
        <w:rPr>
          <w:color w:val="231F20"/>
          <w:w w:val="120"/>
        </w:rPr>
        <w:t>de</w:t>
      </w:r>
      <w:r>
        <w:rPr>
          <w:color w:val="231F20"/>
          <w:spacing w:val="-12"/>
          <w:w w:val="120"/>
        </w:rPr>
        <w:t> </w:t>
      </w:r>
      <w:r>
        <w:rPr>
          <w:color w:val="231F20"/>
          <w:w w:val="120"/>
        </w:rPr>
        <w:t>méthodes et de techniques issues des sciences du comportement. Des études menées par divers théoriciens des sciences sociales et de la gestion </w:t>
      </w:r>
      <w:r>
        <w:rPr>
          <w:color w:val="231F20"/>
          <w:w w:val="115"/>
        </w:rPr>
        <w:t>(Herzberg,</w:t>
      </w:r>
      <w:r>
        <w:rPr>
          <w:color w:val="231F20"/>
          <w:spacing w:val="-1"/>
          <w:w w:val="115"/>
        </w:rPr>
        <w:t> </w:t>
      </w:r>
      <w:r>
        <w:rPr>
          <w:color w:val="231F20"/>
          <w:w w:val="115"/>
        </w:rPr>
        <w:t>McClelland,</w:t>
      </w:r>
      <w:r>
        <w:rPr>
          <w:color w:val="231F20"/>
          <w:spacing w:val="-1"/>
          <w:w w:val="115"/>
        </w:rPr>
        <w:t> </w:t>
      </w:r>
      <w:r>
        <w:rPr>
          <w:color w:val="231F20"/>
          <w:w w:val="115"/>
        </w:rPr>
        <w:t>Likert,</w:t>
      </w:r>
      <w:r>
        <w:rPr>
          <w:color w:val="231F20"/>
          <w:spacing w:val="-1"/>
          <w:w w:val="115"/>
        </w:rPr>
        <w:t> </w:t>
      </w:r>
      <w:r>
        <w:rPr>
          <w:color w:val="231F20"/>
          <w:w w:val="115"/>
        </w:rPr>
        <w:t>Argyris,</w:t>
      </w:r>
      <w:r>
        <w:rPr>
          <w:color w:val="231F20"/>
          <w:spacing w:val="-1"/>
          <w:w w:val="115"/>
        </w:rPr>
        <w:t> </w:t>
      </w:r>
      <w:r>
        <w:rPr>
          <w:color w:val="231F20"/>
          <w:w w:val="115"/>
        </w:rPr>
        <w:t>etc.)</w:t>
      </w:r>
      <w:r>
        <w:rPr>
          <w:color w:val="231F20"/>
          <w:spacing w:val="-1"/>
          <w:w w:val="115"/>
        </w:rPr>
        <w:t> </w:t>
      </w:r>
      <w:r>
        <w:rPr>
          <w:color w:val="231F20"/>
          <w:w w:val="115"/>
        </w:rPr>
        <w:t>sont</w:t>
      </w:r>
      <w:r>
        <w:rPr>
          <w:color w:val="231F20"/>
          <w:spacing w:val="-1"/>
          <w:w w:val="115"/>
        </w:rPr>
        <w:t> </w:t>
      </w:r>
      <w:r>
        <w:rPr>
          <w:color w:val="231F20"/>
          <w:w w:val="115"/>
        </w:rPr>
        <w:t>mises</w:t>
      </w:r>
      <w:r>
        <w:rPr>
          <w:color w:val="231F20"/>
          <w:spacing w:val="-1"/>
          <w:w w:val="115"/>
        </w:rPr>
        <w:t> </w:t>
      </w:r>
      <w:r>
        <w:rPr>
          <w:color w:val="231F20"/>
          <w:w w:val="115"/>
        </w:rPr>
        <w:t>en</w:t>
      </w:r>
      <w:r>
        <w:rPr>
          <w:color w:val="231F20"/>
          <w:spacing w:val="-1"/>
          <w:w w:val="115"/>
        </w:rPr>
        <w:t> </w:t>
      </w:r>
      <w:r>
        <w:rPr>
          <w:color w:val="231F20"/>
          <w:w w:val="115"/>
        </w:rPr>
        <w:t>pratique</w:t>
      </w:r>
      <w:r>
        <w:rPr>
          <w:color w:val="231F20"/>
          <w:spacing w:val="-1"/>
          <w:w w:val="115"/>
        </w:rPr>
        <w:t> </w:t>
      </w:r>
      <w:r>
        <w:rPr>
          <w:color w:val="231F20"/>
          <w:w w:val="115"/>
        </w:rPr>
        <w:t>avec succès</w:t>
      </w:r>
      <w:r>
        <w:rPr>
          <w:color w:val="231F20"/>
          <w:spacing w:val="-5"/>
          <w:w w:val="115"/>
        </w:rPr>
        <w:t> </w:t>
      </w:r>
      <w:r>
        <w:rPr>
          <w:color w:val="231F20"/>
          <w:w w:val="115"/>
        </w:rPr>
        <w:t>dans</w:t>
      </w:r>
      <w:r>
        <w:rPr>
          <w:color w:val="231F20"/>
          <w:spacing w:val="-5"/>
          <w:w w:val="115"/>
        </w:rPr>
        <w:t> </w:t>
      </w:r>
      <w:r>
        <w:rPr>
          <w:color w:val="231F20"/>
          <w:w w:val="115"/>
        </w:rPr>
        <w:t>bon</w:t>
      </w:r>
      <w:r>
        <w:rPr>
          <w:color w:val="231F20"/>
          <w:spacing w:val="-5"/>
          <w:w w:val="115"/>
        </w:rPr>
        <w:t> </w:t>
      </w:r>
      <w:r>
        <w:rPr>
          <w:color w:val="231F20"/>
          <w:w w:val="115"/>
        </w:rPr>
        <w:t>nombre</w:t>
      </w:r>
      <w:r>
        <w:rPr>
          <w:color w:val="231F20"/>
          <w:spacing w:val="-5"/>
          <w:w w:val="115"/>
        </w:rPr>
        <w:t> </w:t>
      </w:r>
      <w:r>
        <w:rPr>
          <w:color w:val="231F20"/>
          <w:w w:val="115"/>
        </w:rPr>
        <w:t>d’entreprises.</w:t>
      </w:r>
      <w:r>
        <w:rPr>
          <w:color w:val="231F20"/>
          <w:spacing w:val="-5"/>
          <w:w w:val="115"/>
        </w:rPr>
        <w:t> </w:t>
      </w:r>
      <w:r>
        <w:rPr>
          <w:color w:val="231F20"/>
          <w:w w:val="115"/>
        </w:rPr>
        <w:t>Dans</w:t>
      </w:r>
      <w:r>
        <w:rPr>
          <w:color w:val="231F20"/>
          <w:spacing w:val="-5"/>
          <w:w w:val="115"/>
        </w:rPr>
        <w:t> </w:t>
      </w:r>
      <w:r>
        <w:rPr>
          <w:color w:val="231F20"/>
          <w:w w:val="115"/>
        </w:rPr>
        <w:t>une</w:t>
      </w:r>
      <w:r>
        <w:rPr>
          <w:color w:val="231F20"/>
          <w:spacing w:val="-5"/>
          <w:w w:val="115"/>
        </w:rPr>
        <w:t> </w:t>
      </w:r>
      <w:r>
        <w:rPr>
          <w:color w:val="231F20"/>
          <w:w w:val="115"/>
        </w:rPr>
        <w:t>perspective</w:t>
      </w:r>
      <w:r>
        <w:rPr>
          <w:color w:val="231F20"/>
          <w:spacing w:val="-5"/>
          <w:w w:val="115"/>
        </w:rPr>
        <w:t> </w:t>
      </w:r>
      <w:r>
        <w:rPr>
          <w:color w:val="231F20"/>
          <w:w w:val="115"/>
        </w:rPr>
        <w:t>ou</w:t>
      </w:r>
      <w:r>
        <w:rPr>
          <w:color w:val="231F20"/>
          <w:spacing w:val="-5"/>
          <w:w w:val="115"/>
        </w:rPr>
        <w:t> </w:t>
      </w:r>
      <w:r>
        <w:rPr>
          <w:color w:val="231F20"/>
          <w:w w:val="115"/>
        </w:rPr>
        <w:t>une</w:t>
      </w:r>
      <w:r>
        <w:rPr>
          <w:color w:val="231F20"/>
          <w:spacing w:val="-5"/>
          <w:w w:val="115"/>
        </w:rPr>
        <w:t> </w:t>
      </w:r>
      <w:r>
        <w:rPr>
          <w:color w:val="231F20"/>
          <w:w w:val="115"/>
        </w:rPr>
        <w:t>saine </w:t>
      </w:r>
      <w:r>
        <w:rPr>
          <w:color w:val="231F20"/>
          <w:w w:val="120"/>
        </w:rPr>
        <w:t>gestion du stress est une condition d’efficience organisationnelle, il </w:t>
      </w:r>
      <w:r>
        <w:rPr>
          <w:color w:val="231F20"/>
          <w:w w:val="115"/>
        </w:rPr>
        <w:t>devient</w:t>
      </w:r>
      <w:r>
        <w:rPr>
          <w:color w:val="231F20"/>
          <w:spacing w:val="-11"/>
          <w:w w:val="115"/>
        </w:rPr>
        <w:t> </w:t>
      </w:r>
      <w:r>
        <w:rPr>
          <w:color w:val="231F20"/>
          <w:w w:val="115"/>
        </w:rPr>
        <w:t>impératif</w:t>
      </w:r>
      <w:r>
        <w:rPr>
          <w:color w:val="231F20"/>
          <w:spacing w:val="-11"/>
          <w:w w:val="115"/>
        </w:rPr>
        <w:t> </w:t>
      </w:r>
      <w:r>
        <w:rPr>
          <w:color w:val="231F20"/>
          <w:w w:val="115"/>
        </w:rPr>
        <w:t>d’octroyer</w:t>
      </w:r>
      <w:r>
        <w:rPr>
          <w:color w:val="231F20"/>
          <w:spacing w:val="-11"/>
          <w:w w:val="115"/>
        </w:rPr>
        <w:t> </w:t>
      </w:r>
      <w:r>
        <w:rPr>
          <w:color w:val="231F20"/>
          <w:w w:val="115"/>
        </w:rPr>
        <w:t>aux</w:t>
      </w:r>
      <w:r>
        <w:rPr>
          <w:color w:val="231F20"/>
          <w:spacing w:val="-11"/>
          <w:w w:val="115"/>
        </w:rPr>
        <w:t> </w:t>
      </w:r>
      <w:r>
        <w:rPr>
          <w:color w:val="231F20"/>
          <w:w w:val="115"/>
        </w:rPr>
        <w:t>responsables</w:t>
      </w:r>
      <w:r>
        <w:rPr>
          <w:color w:val="231F20"/>
          <w:spacing w:val="-11"/>
          <w:w w:val="115"/>
        </w:rPr>
        <w:t> </w:t>
      </w:r>
      <w:r>
        <w:rPr>
          <w:color w:val="231F20"/>
          <w:w w:val="115"/>
        </w:rPr>
        <w:t>de</w:t>
      </w:r>
      <w:r>
        <w:rPr>
          <w:color w:val="231F20"/>
          <w:spacing w:val="-11"/>
          <w:w w:val="115"/>
        </w:rPr>
        <w:t> </w:t>
      </w:r>
      <w:r>
        <w:rPr>
          <w:color w:val="231F20"/>
          <w:w w:val="115"/>
        </w:rPr>
        <w:t>la</w:t>
      </w:r>
      <w:r>
        <w:rPr>
          <w:color w:val="231F20"/>
          <w:spacing w:val="-11"/>
          <w:w w:val="115"/>
        </w:rPr>
        <w:t> </w:t>
      </w:r>
      <w:r>
        <w:rPr>
          <w:color w:val="231F20"/>
          <w:w w:val="115"/>
        </w:rPr>
        <w:t>santé</w:t>
      </w:r>
      <w:r>
        <w:rPr>
          <w:color w:val="231F20"/>
          <w:spacing w:val="-11"/>
          <w:w w:val="115"/>
        </w:rPr>
        <w:t> </w:t>
      </w:r>
      <w:r>
        <w:rPr>
          <w:color w:val="231F20"/>
          <w:w w:val="115"/>
        </w:rPr>
        <w:t>au</w:t>
      </w:r>
      <w:r>
        <w:rPr>
          <w:color w:val="231F20"/>
          <w:spacing w:val="-11"/>
          <w:w w:val="115"/>
        </w:rPr>
        <w:t> </w:t>
      </w:r>
      <w:r>
        <w:rPr>
          <w:color w:val="231F20"/>
          <w:w w:val="115"/>
        </w:rPr>
        <w:t>travail</w:t>
      </w:r>
      <w:r>
        <w:rPr>
          <w:color w:val="231F20"/>
          <w:spacing w:val="-11"/>
          <w:w w:val="115"/>
        </w:rPr>
        <w:t> </w:t>
      </w:r>
      <w:r>
        <w:rPr>
          <w:color w:val="231F20"/>
          <w:w w:val="115"/>
        </w:rPr>
        <w:t>davan- </w:t>
      </w:r>
      <w:r>
        <w:rPr>
          <w:color w:val="231F20"/>
          <w:w w:val="120"/>
        </w:rPr>
        <w:t>tage de pouvoir et un droit de regard plus holistique sur les opérations de</w:t>
      </w:r>
      <w:r>
        <w:rPr>
          <w:color w:val="231F20"/>
          <w:spacing w:val="-13"/>
          <w:w w:val="120"/>
        </w:rPr>
        <w:t> </w:t>
      </w:r>
      <w:r>
        <w:rPr>
          <w:color w:val="231F20"/>
          <w:w w:val="120"/>
        </w:rPr>
        <w:t>l’entreprise.</w:t>
      </w:r>
    </w:p>
    <w:p>
      <w:pPr>
        <w:pStyle w:val="BodyText"/>
        <w:spacing w:before="5"/>
        <w:rPr>
          <w:sz w:val="11"/>
        </w:rPr>
      </w:pPr>
      <w:r>
        <w:rPr/>
        <w:pict>
          <v:group style="position:absolute;margin-left:82pt;margin-top:7.774463pt;width:287.5pt;height:118.75pt;mso-position-horizontal-relative:page;mso-position-vertical-relative:paragraph;z-index:-15624192;mso-wrap-distance-left:0;mso-wrap-distance-right:0" id="docshapegroup1066" coordorigin="1640,155" coordsize="5750,2375">
            <v:rect style="position:absolute;left:1640;top:155;width:5750;height:955" id="docshape1067" filled="true" fillcolor="#e2e3e4" stroked="false">
              <v:fill type="solid"/>
            </v:rect>
            <v:line style="position:absolute" from="1890,953" to="7140,953" stroked="true" strokeweight=".25pt" strokecolor="#231f20">
              <v:stroke dashstyle="shortdot"/>
            </v:line>
            <v:rect style="position:absolute;left:1640;top:1030;width:5750;height:1500" id="docshape1068" filled="true" fillcolor="#e2e3e4" stroked="false">
              <v:fill type="solid"/>
            </v:rect>
            <v:shape style="position:absolute;left:1640;top:155;width:5750;height:2375" type="#_x0000_t202" id="docshape1069" filled="false" stroked="false">
              <v:textbox inset="0,0,0,0">
                <w:txbxContent>
                  <w:p>
                    <w:pPr>
                      <w:spacing w:line="240" w:lineRule="auto" w:before="9"/>
                      <w:rPr>
                        <w:sz w:val="18"/>
                      </w:rPr>
                    </w:pPr>
                  </w:p>
                  <w:p>
                    <w:pPr>
                      <w:spacing w:line="307" w:lineRule="auto" w:before="0"/>
                      <w:ind w:left="250" w:right="247" w:firstLine="0"/>
                      <w:jc w:val="both"/>
                      <w:rPr>
                        <w:rFonts w:ascii="Arial" w:hAnsi="Arial"/>
                        <w:b/>
                        <w:sz w:val="17"/>
                      </w:rPr>
                    </w:pPr>
                    <w:r>
                      <w:rPr>
                        <w:rFonts w:ascii="Arial" w:hAnsi="Arial"/>
                        <w:color w:val="231F20"/>
                        <w:sz w:val="17"/>
                      </w:rPr>
                      <w:t>Fait</w:t>
                    </w:r>
                    <w:r>
                      <w:rPr>
                        <w:rFonts w:ascii="Arial" w:hAnsi="Arial"/>
                        <w:color w:val="231F20"/>
                        <w:spacing w:val="-2"/>
                        <w:sz w:val="17"/>
                      </w:rPr>
                      <w:t> </w:t>
                    </w:r>
                    <w:r>
                      <w:rPr>
                        <w:rFonts w:ascii="Arial" w:hAnsi="Arial"/>
                        <w:color w:val="231F20"/>
                        <w:sz w:val="17"/>
                      </w:rPr>
                      <w:t>intéressant</w:t>
                    </w:r>
                    <w:r>
                      <w:rPr>
                        <w:rFonts w:ascii="Arial" w:hAnsi="Arial"/>
                        <w:color w:val="231F20"/>
                        <w:spacing w:val="-12"/>
                        <w:sz w:val="17"/>
                      </w:rPr>
                      <w:t> </w:t>
                    </w:r>
                    <w:r>
                      <w:rPr>
                        <w:rFonts w:ascii="Arial" w:hAnsi="Arial"/>
                        <w:i/>
                        <w:color w:val="231F20"/>
                        <w:sz w:val="17"/>
                      </w:rPr>
                      <w:t>/</w:t>
                    </w:r>
                    <w:r>
                      <w:rPr>
                        <w:rFonts w:ascii="Arial" w:hAnsi="Arial"/>
                        <w:i/>
                        <w:color w:val="231F20"/>
                        <w:spacing w:val="40"/>
                        <w:sz w:val="17"/>
                      </w:rPr>
                      <w:t> </w:t>
                    </w:r>
                    <w:r>
                      <w:rPr>
                        <w:rFonts w:ascii="Arial" w:hAnsi="Arial"/>
                        <w:b/>
                        <w:color w:val="231F20"/>
                        <w:sz w:val="17"/>
                      </w:rPr>
                      <w:t>Pourquoi</w:t>
                    </w:r>
                    <w:r>
                      <w:rPr>
                        <w:rFonts w:ascii="Arial" w:hAnsi="Arial"/>
                        <w:b/>
                        <w:color w:val="231F20"/>
                        <w:spacing w:val="-7"/>
                        <w:sz w:val="17"/>
                      </w:rPr>
                      <w:t> </w:t>
                    </w:r>
                    <w:r>
                      <w:rPr>
                        <w:rFonts w:ascii="Arial" w:hAnsi="Arial"/>
                        <w:b/>
                        <w:color w:val="231F20"/>
                        <w:sz w:val="17"/>
                      </w:rPr>
                      <w:t>un</w:t>
                    </w:r>
                    <w:r>
                      <w:rPr>
                        <w:rFonts w:ascii="Arial" w:hAnsi="Arial"/>
                        <w:b/>
                        <w:color w:val="231F20"/>
                        <w:spacing w:val="-7"/>
                        <w:sz w:val="17"/>
                      </w:rPr>
                      <w:t> </w:t>
                    </w:r>
                    <w:r>
                      <w:rPr>
                        <w:rFonts w:ascii="Arial" w:hAnsi="Arial"/>
                        <w:b/>
                        <w:color w:val="231F20"/>
                        <w:sz w:val="17"/>
                      </w:rPr>
                      <w:t>chef</w:t>
                    </w:r>
                    <w:r>
                      <w:rPr>
                        <w:rFonts w:ascii="Arial" w:hAnsi="Arial"/>
                        <w:b/>
                        <w:color w:val="231F20"/>
                        <w:spacing w:val="-7"/>
                        <w:sz w:val="17"/>
                      </w:rPr>
                      <w:t> </w:t>
                    </w:r>
                    <w:r>
                      <w:rPr>
                        <w:rFonts w:ascii="Arial" w:hAnsi="Arial"/>
                        <w:b/>
                        <w:color w:val="231F20"/>
                        <w:sz w:val="17"/>
                      </w:rPr>
                      <w:t>de</w:t>
                    </w:r>
                    <w:r>
                      <w:rPr>
                        <w:rFonts w:ascii="Arial" w:hAnsi="Arial"/>
                        <w:b/>
                        <w:color w:val="231F20"/>
                        <w:spacing w:val="-7"/>
                        <w:sz w:val="17"/>
                      </w:rPr>
                      <w:t> </w:t>
                    </w:r>
                    <w:r>
                      <w:rPr>
                        <w:rFonts w:ascii="Arial" w:hAnsi="Arial"/>
                        <w:b/>
                        <w:color w:val="231F20"/>
                        <w:sz w:val="17"/>
                      </w:rPr>
                      <w:t>la</w:t>
                    </w:r>
                    <w:r>
                      <w:rPr>
                        <w:rFonts w:ascii="Arial" w:hAnsi="Arial"/>
                        <w:b/>
                        <w:color w:val="231F20"/>
                        <w:spacing w:val="-7"/>
                        <w:sz w:val="17"/>
                      </w:rPr>
                      <w:t> </w:t>
                    </w:r>
                    <w:r>
                      <w:rPr>
                        <w:rFonts w:ascii="Arial" w:hAnsi="Arial"/>
                        <w:b/>
                        <w:color w:val="231F20"/>
                        <w:sz w:val="17"/>
                      </w:rPr>
                      <w:t>direction</w:t>
                    </w:r>
                    <w:r>
                      <w:rPr>
                        <w:rFonts w:ascii="Arial" w:hAnsi="Arial"/>
                        <w:b/>
                        <w:color w:val="231F20"/>
                        <w:spacing w:val="-7"/>
                        <w:sz w:val="17"/>
                      </w:rPr>
                      <w:t> </w:t>
                    </w:r>
                    <w:r>
                      <w:rPr>
                        <w:rFonts w:ascii="Arial" w:hAnsi="Arial"/>
                        <w:b/>
                        <w:color w:val="231F20"/>
                        <w:sz w:val="17"/>
                      </w:rPr>
                      <w:t>refuserait-il</w:t>
                    </w:r>
                    <w:r>
                      <w:rPr>
                        <w:rFonts w:ascii="Arial" w:hAnsi="Arial"/>
                        <w:b/>
                        <w:color w:val="231F20"/>
                        <w:spacing w:val="-7"/>
                        <w:sz w:val="17"/>
                      </w:rPr>
                      <w:t> </w:t>
                    </w:r>
                    <w:r>
                      <w:rPr>
                        <w:rFonts w:ascii="Arial" w:hAnsi="Arial"/>
                        <w:b/>
                        <w:color w:val="231F20"/>
                        <w:sz w:val="17"/>
                      </w:rPr>
                      <w:t>que </w:t>
                    </w:r>
                    <w:r>
                      <w:rPr>
                        <w:rFonts w:ascii="Arial" w:hAnsi="Arial"/>
                        <w:b/>
                        <w:color w:val="231F20"/>
                        <w:w w:val="95"/>
                        <w:sz w:val="17"/>
                      </w:rPr>
                      <w:t>son entreprise participe à une étude sur le stress au travail</w:t>
                    </w:r>
                    <w:r>
                      <w:rPr>
                        <w:rFonts w:ascii="Arial" w:hAnsi="Arial"/>
                        <w:b/>
                        <w:color w:val="231F20"/>
                        <w:spacing w:val="-24"/>
                        <w:w w:val="95"/>
                        <w:sz w:val="17"/>
                      </w:rPr>
                      <w:t> </w:t>
                    </w:r>
                    <w:r>
                      <w:rPr>
                        <w:rFonts w:ascii="Arial" w:hAnsi="Arial"/>
                        <w:b/>
                        <w:color w:val="231F20"/>
                        <w:w w:val="95"/>
                        <w:sz w:val="17"/>
                      </w:rPr>
                      <w:t>?</w:t>
                    </w:r>
                  </w:p>
                  <w:p>
                    <w:pPr>
                      <w:spacing w:line="240" w:lineRule="auto" w:before="8"/>
                      <w:rPr>
                        <w:rFonts w:ascii="Arial"/>
                        <w:b/>
                        <w:sz w:val="21"/>
                      </w:rPr>
                    </w:pPr>
                  </w:p>
                  <w:p>
                    <w:pPr>
                      <w:spacing w:line="307" w:lineRule="auto" w:before="0"/>
                      <w:ind w:left="250" w:right="246" w:firstLine="0"/>
                      <w:jc w:val="both"/>
                      <w:rPr>
                        <w:rFonts w:ascii="Arial" w:hAnsi="Arial"/>
                        <w:i/>
                        <w:sz w:val="17"/>
                      </w:rPr>
                    </w:pPr>
                    <w:r>
                      <w:rPr>
                        <w:rFonts w:ascii="Arial" w:hAnsi="Arial"/>
                        <w:color w:val="231F20"/>
                        <w:sz w:val="17"/>
                      </w:rPr>
                      <w:t>Le</w:t>
                    </w:r>
                    <w:r>
                      <w:rPr>
                        <w:rFonts w:ascii="Arial" w:hAnsi="Arial"/>
                        <w:color w:val="231F20"/>
                        <w:spacing w:val="40"/>
                        <w:sz w:val="17"/>
                      </w:rPr>
                      <w:t> </w:t>
                    </w:r>
                    <w:r>
                      <w:rPr>
                        <w:rFonts w:ascii="Arial" w:hAnsi="Arial"/>
                        <w:color w:val="231F20"/>
                        <w:sz w:val="17"/>
                      </w:rPr>
                      <w:t>directeur</w:t>
                    </w:r>
                    <w:r>
                      <w:rPr>
                        <w:rFonts w:ascii="Arial" w:hAnsi="Arial"/>
                        <w:color w:val="231F20"/>
                        <w:spacing w:val="40"/>
                        <w:sz w:val="17"/>
                      </w:rPr>
                      <w:t> </w:t>
                    </w:r>
                    <w:r>
                      <w:rPr>
                        <w:rFonts w:ascii="Arial" w:hAnsi="Arial"/>
                        <w:color w:val="231F20"/>
                        <w:sz w:val="17"/>
                      </w:rPr>
                      <w:t>d’un</w:t>
                    </w:r>
                    <w:r>
                      <w:rPr>
                        <w:rFonts w:ascii="Arial" w:hAnsi="Arial"/>
                        <w:color w:val="231F20"/>
                        <w:spacing w:val="40"/>
                        <w:sz w:val="17"/>
                      </w:rPr>
                      <w:t> </w:t>
                    </w:r>
                    <w:r>
                      <w:rPr>
                        <w:rFonts w:ascii="Arial" w:hAnsi="Arial"/>
                        <w:color w:val="231F20"/>
                        <w:sz w:val="17"/>
                      </w:rPr>
                      <w:t>grand</w:t>
                    </w:r>
                    <w:r>
                      <w:rPr>
                        <w:rFonts w:ascii="Arial" w:hAnsi="Arial"/>
                        <w:color w:val="231F20"/>
                        <w:spacing w:val="40"/>
                        <w:sz w:val="17"/>
                      </w:rPr>
                      <w:t> </w:t>
                    </w:r>
                    <w:r>
                      <w:rPr>
                        <w:rFonts w:ascii="Arial" w:hAnsi="Arial"/>
                        <w:color w:val="231F20"/>
                        <w:sz w:val="17"/>
                      </w:rPr>
                      <w:t>hôpital</w:t>
                    </w:r>
                    <w:r>
                      <w:rPr>
                        <w:rFonts w:ascii="Arial" w:hAnsi="Arial"/>
                        <w:color w:val="231F20"/>
                        <w:spacing w:val="40"/>
                        <w:sz w:val="17"/>
                      </w:rPr>
                      <w:t> </w:t>
                    </w:r>
                    <w:r>
                      <w:rPr>
                        <w:rFonts w:ascii="Arial" w:hAnsi="Arial"/>
                        <w:color w:val="231F20"/>
                        <w:sz w:val="17"/>
                      </w:rPr>
                      <w:t>catalan</w:t>
                    </w:r>
                    <w:r>
                      <w:rPr>
                        <w:rFonts w:ascii="Arial" w:hAnsi="Arial"/>
                        <w:color w:val="231F20"/>
                        <w:spacing w:val="40"/>
                        <w:sz w:val="17"/>
                      </w:rPr>
                      <w:t> </w:t>
                    </w:r>
                    <w:r>
                      <w:rPr>
                        <w:rFonts w:ascii="Arial" w:hAnsi="Arial"/>
                        <w:color w:val="231F20"/>
                        <w:sz w:val="17"/>
                      </w:rPr>
                      <w:t>a</w:t>
                    </w:r>
                    <w:r>
                      <w:rPr>
                        <w:rFonts w:ascii="Arial" w:hAnsi="Arial"/>
                        <w:color w:val="231F20"/>
                        <w:spacing w:val="40"/>
                        <w:sz w:val="17"/>
                      </w:rPr>
                      <w:t> </w:t>
                    </w:r>
                    <w:r>
                      <w:rPr>
                        <w:rFonts w:ascii="Arial" w:hAnsi="Arial"/>
                        <w:color w:val="231F20"/>
                        <w:sz w:val="17"/>
                      </w:rPr>
                      <w:t>déclaré</w:t>
                    </w:r>
                    <w:r>
                      <w:rPr>
                        <w:rFonts w:ascii="Arial" w:hAnsi="Arial"/>
                        <w:color w:val="231F20"/>
                        <w:spacing w:val="40"/>
                        <w:sz w:val="17"/>
                      </w:rPr>
                      <w:t> </w:t>
                    </w:r>
                    <w:r>
                      <w:rPr>
                        <w:rFonts w:ascii="Arial" w:hAnsi="Arial"/>
                        <w:color w:val="231F20"/>
                        <w:sz w:val="17"/>
                      </w:rPr>
                      <w:t>(mot</w:t>
                    </w:r>
                    <w:r>
                      <w:rPr>
                        <w:rFonts w:ascii="Arial" w:hAnsi="Arial"/>
                        <w:color w:val="231F20"/>
                        <w:spacing w:val="40"/>
                        <w:sz w:val="17"/>
                      </w:rPr>
                      <w:t> </w:t>
                    </w:r>
                    <w:r>
                      <w:rPr>
                        <w:rFonts w:ascii="Arial" w:hAnsi="Arial"/>
                        <w:color w:val="231F20"/>
                        <w:sz w:val="17"/>
                      </w:rPr>
                      <w:t>pour</w:t>
                    </w:r>
                    <w:r>
                      <w:rPr>
                        <w:rFonts w:ascii="Arial" w:hAnsi="Arial"/>
                        <w:color w:val="231F20"/>
                        <w:spacing w:val="40"/>
                        <w:sz w:val="17"/>
                      </w:rPr>
                      <w:t> </w:t>
                    </w:r>
                    <w:r>
                      <w:rPr>
                        <w:rFonts w:ascii="Arial" w:hAnsi="Arial"/>
                        <w:color w:val="231F20"/>
                        <w:sz w:val="17"/>
                      </w:rPr>
                      <w:t>mot) aux chercheurs qui lui offraient de mener une recherche sur le stress chez</w:t>
                    </w:r>
                    <w:r>
                      <w:rPr>
                        <w:rFonts w:ascii="Arial" w:hAnsi="Arial"/>
                        <w:color w:val="231F20"/>
                        <w:spacing w:val="-12"/>
                        <w:sz w:val="17"/>
                      </w:rPr>
                      <w:t> </w:t>
                    </w:r>
                    <w:r>
                      <w:rPr>
                        <w:rFonts w:ascii="Arial" w:hAnsi="Arial"/>
                        <w:color w:val="231F20"/>
                        <w:sz w:val="17"/>
                      </w:rPr>
                      <w:t>le</w:t>
                    </w:r>
                    <w:r>
                      <w:rPr>
                        <w:rFonts w:ascii="Arial" w:hAnsi="Arial"/>
                        <w:color w:val="231F20"/>
                        <w:spacing w:val="-12"/>
                        <w:sz w:val="17"/>
                      </w:rPr>
                      <w:t> </w:t>
                    </w:r>
                    <w:r>
                      <w:rPr>
                        <w:rFonts w:ascii="Arial" w:hAnsi="Arial"/>
                        <w:color w:val="231F20"/>
                        <w:sz w:val="17"/>
                      </w:rPr>
                      <w:t>personnel</w:t>
                    </w:r>
                    <w:r>
                      <w:rPr>
                        <w:rFonts w:ascii="Arial" w:hAnsi="Arial"/>
                        <w:color w:val="231F20"/>
                        <w:spacing w:val="-7"/>
                        <w:sz w:val="17"/>
                      </w:rPr>
                      <w:t> </w:t>
                    </w:r>
                    <w:r>
                      <w:rPr>
                        <w:rFonts w:ascii="Arial" w:hAnsi="Arial"/>
                        <w:color w:val="231F20"/>
                        <w:sz w:val="17"/>
                      </w:rPr>
                      <w:t>de</w:t>
                    </w:r>
                    <w:r>
                      <w:rPr>
                        <w:rFonts w:ascii="Arial" w:hAnsi="Arial"/>
                        <w:color w:val="231F20"/>
                        <w:spacing w:val="-4"/>
                        <w:sz w:val="17"/>
                      </w:rPr>
                      <w:t> </w:t>
                    </w:r>
                    <w:r>
                      <w:rPr>
                        <w:rFonts w:ascii="Arial" w:hAnsi="Arial"/>
                        <w:color w:val="231F20"/>
                        <w:sz w:val="17"/>
                      </w:rPr>
                      <w:t>son</w:t>
                    </w:r>
                    <w:r>
                      <w:rPr>
                        <w:rFonts w:ascii="Arial" w:hAnsi="Arial"/>
                        <w:color w:val="231F20"/>
                        <w:spacing w:val="-4"/>
                        <w:sz w:val="17"/>
                      </w:rPr>
                      <w:t> </w:t>
                    </w:r>
                    <w:r>
                      <w:rPr>
                        <w:rFonts w:ascii="Arial" w:hAnsi="Arial"/>
                        <w:color w:val="231F20"/>
                        <w:sz w:val="17"/>
                      </w:rPr>
                      <w:t>hôpital:</w:t>
                    </w:r>
                    <w:r>
                      <w:rPr>
                        <w:rFonts w:ascii="Arial" w:hAnsi="Arial"/>
                        <w:color w:val="231F20"/>
                        <w:spacing w:val="-4"/>
                        <w:sz w:val="17"/>
                      </w:rPr>
                      <w:t> </w:t>
                    </w:r>
                    <w:r>
                      <w:rPr>
                        <w:rFonts w:ascii="Arial" w:hAnsi="Arial"/>
                        <w:color w:val="231F20"/>
                        <w:sz w:val="17"/>
                      </w:rPr>
                      <w:t>«</w:t>
                    </w:r>
                    <w:r>
                      <w:rPr>
                        <w:rFonts w:ascii="Arial" w:hAnsi="Arial"/>
                        <w:color w:val="231F20"/>
                        <w:spacing w:val="-12"/>
                        <w:sz w:val="17"/>
                      </w:rPr>
                      <w:t> </w:t>
                    </w:r>
                    <w:r>
                      <w:rPr>
                        <w:rFonts w:ascii="Arial" w:hAnsi="Arial"/>
                        <w:i/>
                        <w:color w:val="231F20"/>
                        <w:sz w:val="17"/>
                      </w:rPr>
                      <w:t>Vous</w:t>
                    </w:r>
                    <w:r>
                      <w:rPr>
                        <w:rFonts w:ascii="Arial" w:hAnsi="Arial"/>
                        <w:i/>
                        <w:color w:val="231F20"/>
                        <w:spacing w:val="-4"/>
                        <w:sz w:val="17"/>
                      </w:rPr>
                      <w:t> </w:t>
                    </w:r>
                    <w:r>
                      <w:rPr>
                        <w:rFonts w:ascii="Arial" w:hAnsi="Arial"/>
                        <w:i/>
                        <w:color w:val="231F20"/>
                        <w:sz w:val="17"/>
                      </w:rPr>
                      <w:t>le</w:t>
                    </w:r>
                    <w:r>
                      <w:rPr>
                        <w:rFonts w:ascii="Arial" w:hAnsi="Arial"/>
                        <w:i/>
                        <w:color w:val="231F20"/>
                        <w:spacing w:val="-4"/>
                        <w:sz w:val="17"/>
                      </w:rPr>
                      <w:t> </w:t>
                    </w:r>
                    <w:r>
                      <w:rPr>
                        <w:rFonts w:ascii="Arial" w:hAnsi="Arial"/>
                        <w:i/>
                        <w:color w:val="231F20"/>
                        <w:sz w:val="17"/>
                      </w:rPr>
                      <w:t>savez,</w:t>
                    </w:r>
                    <w:r>
                      <w:rPr>
                        <w:rFonts w:ascii="Arial" w:hAnsi="Arial"/>
                        <w:i/>
                        <w:color w:val="231F20"/>
                        <w:spacing w:val="-4"/>
                        <w:sz w:val="17"/>
                      </w:rPr>
                      <w:t> </w:t>
                    </w:r>
                    <w:r>
                      <w:rPr>
                        <w:rFonts w:ascii="Arial" w:hAnsi="Arial"/>
                        <w:i/>
                        <w:color w:val="231F20"/>
                        <w:sz w:val="17"/>
                      </w:rPr>
                      <w:t>notre</w:t>
                    </w:r>
                    <w:r>
                      <w:rPr>
                        <w:rFonts w:ascii="Arial" w:hAnsi="Arial"/>
                        <w:i/>
                        <w:color w:val="231F20"/>
                        <w:spacing w:val="-4"/>
                        <w:sz w:val="17"/>
                      </w:rPr>
                      <w:t> </w:t>
                    </w:r>
                    <w:r>
                      <w:rPr>
                        <w:rFonts w:ascii="Arial" w:hAnsi="Arial"/>
                        <w:i/>
                        <w:color w:val="231F20"/>
                        <w:sz w:val="17"/>
                      </w:rPr>
                      <w:t>personnel</w:t>
                    </w:r>
                    <w:r>
                      <w:rPr>
                        <w:rFonts w:ascii="Arial" w:hAnsi="Arial"/>
                        <w:i/>
                        <w:color w:val="231F20"/>
                        <w:spacing w:val="-4"/>
                        <w:sz w:val="17"/>
                      </w:rPr>
                      <w:t> </w:t>
                    </w:r>
                    <w:r>
                      <w:rPr>
                        <w:rFonts w:ascii="Arial" w:hAnsi="Arial"/>
                        <w:i/>
                        <w:color w:val="231F20"/>
                        <w:sz w:val="17"/>
                      </w:rPr>
                      <w:t>est très stressé. Nous avons de plus en plus de travail à faire auprès des </w:t>
                    </w:r>
                    <w:r>
                      <w:rPr>
                        <w:rFonts w:ascii="Arial" w:hAnsi="Arial"/>
                        <w:i/>
                        <w:color w:val="231F20"/>
                        <w:w w:val="95"/>
                        <w:sz w:val="17"/>
                      </w:rPr>
                      <w:t>patients</w:t>
                    </w:r>
                    <w:r>
                      <w:rPr>
                        <w:rFonts w:ascii="Arial" w:hAnsi="Arial"/>
                        <w:i/>
                        <w:color w:val="231F20"/>
                        <w:spacing w:val="-2"/>
                        <w:sz w:val="17"/>
                      </w:rPr>
                      <w:t> </w:t>
                    </w:r>
                    <w:r>
                      <w:rPr>
                        <w:rFonts w:ascii="Arial" w:hAnsi="Arial"/>
                        <w:i/>
                        <w:color w:val="231F20"/>
                        <w:w w:val="95"/>
                        <w:sz w:val="17"/>
                      </w:rPr>
                      <w:t>et</w:t>
                    </w:r>
                    <w:r>
                      <w:rPr>
                        <w:rFonts w:ascii="Arial" w:hAnsi="Arial"/>
                        <w:i/>
                        <w:color w:val="231F20"/>
                        <w:spacing w:val="-1"/>
                        <w:sz w:val="17"/>
                      </w:rPr>
                      <w:t> </w:t>
                    </w:r>
                    <w:r>
                      <w:rPr>
                        <w:rFonts w:ascii="Arial" w:hAnsi="Arial"/>
                        <w:i/>
                        <w:color w:val="231F20"/>
                        <w:w w:val="95"/>
                        <w:sz w:val="17"/>
                      </w:rPr>
                      <w:t>des</w:t>
                    </w:r>
                    <w:r>
                      <w:rPr>
                        <w:rFonts w:ascii="Arial" w:hAnsi="Arial"/>
                        <w:i/>
                        <w:color w:val="231F20"/>
                        <w:spacing w:val="-1"/>
                        <w:sz w:val="17"/>
                      </w:rPr>
                      <w:t> </w:t>
                    </w:r>
                    <w:r>
                      <w:rPr>
                        <w:rFonts w:ascii="Arial" w:hAnsi="Arial"/>
                        <w:i/>
                        <w:color w:val="231F20"/>
                        <w:w w:val="95"/>
                        <w:sz w:val="17"/>
                      </w:rPr>
                      <w:t>membres</w:t>
                    </w:r>
                    <w:r>
                      <w:rPr>
                        <w:rFonts w:ascii="Arial" w:hAnsi="Arial"/>
                        <w:i/>
                        <w:color w:val="231F20"/>
                        <w:spacing w:val="-1"/>
                        <w:sz w:val="17"/>
                      </w:rPr>
                      <w:t> </w:t>
                    </w:r>
                    <w:r>
                      <w:rPr>
                        <w:rFonts w:ascii="Arial" w:hAnsi="Arial"/>
                        <w:i/>
                        <w:color w:val="231F20"/>
                        <w:w w:val="95"/>
                        <w:sz w:val="17"/>
                      </w:rPr>
                      <w:t>de</w:t>
                    </w:r>
                    <w:r>
                      <w:rPr>
                        <w:rFonts w:ascii="Arial" w:hAnsi="Arial"/>
                        <w:i/>
                        <w:color w:val="231F20"/>
                        <w:spacing w:val="-1"/>
                        <w:sz w:val="17"/>
                      </w:rPr>
                      <w:t> </w:t>
                    </w:r>
                    <w:r>
                      <w:rPr>
                        <w:rFonts w:ascii="Arial" w:hAnsi="Arial"/>
                        <w:i/>
                        <w:color w:val="231F20"/>
                        <w:w w:val="95"/>
                        <w:sz w:val="17"/>
                      </w:rPr>
                      <w:t>leur</w:t>
                    </w:r>
                    <w:r>
                      <w:rPr>
                        <w:rFonts w:ascii="Arial" w:hAnsi="Arial"/>
                        <w:i/>
                        <w:color w:val="231F20"/>
                        <w:spacing w:val="-1"/>
                        <w:sz w:val="17"/>
                      </w:rPr>
                      <w:t> </w:t>
                    </w:r>
                    <w:r>
                      <w:rPr>
                        <w:rFonts w:ascii="Arial" w:hAnsi="Arial"/>
                        <w:i/>
                        <w:color w:val="231F20"/>
                        <w:w w:val="95"/>
                        <w:sz w:val="17"/>
                      </w:rPr>
                      <w:t>famille,</w:t>
                    </w:r>
                    <w:r>
                      <w:rPr>
                        <w:rFonts w:ascii="Arial" w:hAnsi="Arial"/>
                        <w:i/>
                        <w:color w:val="231F20"/>
                        <w:spacing w:val="-1"/>
                        <w:sz w:val="17"/>
                      </w:rPr>
                      <w:t> </w:t>
                    </w:r>
                    <w:r>
                      <w:rPr>
                        <w:rFonts w:ascii="Arial" w:hAnsi="Arial"/>
                        <w:i/>
                        <w:color w:val="231F20"/>
                        <w:w w:val="95"/>
                        <w:sz w:val="17"/>
                      </w:rPr>
                      <w:t>avec</w:t>
                    </w:r>
                    <w:r>
                      <w:rPr>
                        <w:rFonts w:ascii="Arial" w:hAnsi="Arial"/>
                        <w:i/>
                        <w:color w:val="231F20"/>
                        <w:spacing w:val="-1"/>
                        <w:sz w:val="17"/>
                      </w:rPr>
                      <w:t> </w:t>
                    </w:r>
                    <w:r>
                      <w:rPr>
                        <w:rFonts w:ascii="Arial" w:hAnsi="Arial"/>
                        <w:i/>
                        <w:color w:val="231F20"/>
                        <w:w w:val="95"/>
                        <w:sz w:val="17"/>
                      </w:rPr>
                      <w:t>des</w:t>
                    </w:r>
                    <w:r>
                      <w:rPr>
                        <w:rFonts w:ascii="Arial" w:hAnsi="Arial"/>
                        <w:i/>
                        <w:color w:val="231F20"/>
                        <w:spacing w:val="-1"/>
                        <w:sz w:val="17"/>
                      </w:rPr>
                      <w:t> </w:t>
                    </w:r>
                    <w:r>
                      <w:rPr>
                        <w:rFonts w:ascii="Arial" w:hAnsi="Arial"/>
                        <w:i/>
                        <w:color w:val="231F20"/>
                        <w:w w:val="95"/>
                        <w:sz w:val="17"/>
                      </w:rPr>
                      <w:t>ressources</w:t>
                    </w:r>
                    <w:r>
                      <w:rPr>
                        <w:rFonts w:ascii="Arial" w:hAnsi="Arial"/>
                        <w:i/>
                        <w:color w:val="231F20"/>
                        <w:spacing w:val="-1"/>
                        <w:sz w:val="17"/>
                      </w:rPr>
                      <w:t> </w:t>
                    </w:r>
                    <w:r>
                      <w:rPr>
                        <w:rFonts w:ascii="Arial" w:hAnsi="Arial"/>
                        <w:i/>
                        <w:color w:val="231F20"/>
                        <w:spacing w:val="-2"/>
                        <w:w w:val="95"/>
                        <w:sz w:val="17"/>
                      </w:rPr>
                      <w:t>humaines,</w:t>
                    </w:r>
                  </w:p>
                </w:txbxContent>
              </v:textbox>
              <w10:wrap type="none"/>
            </v:shape>
            <w10:wrap type="topAndBottom"/>
          </v:group>
        </w:pict>
      </w:r>
    </w:p>
    <w:p>
      <w:pPr>
        <w:spacing w:after="0"/>
        <w:rPr>
          <w:sz w:val="11"/>
        </w:rPr>
        <w:sectPr>
          <w:footerReference w:type="default" r:id="rId313"/>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10"/>
        <w:rPr>
          <w:rFonts w:ascii="Arial"/>
          <w:sz w:val="28"/>
        </w:rPr>
      </w:pPr>
      <w:r>
        <w:rPr/>
        <w:pict>
          <v:shape style="position:absolute;margin-left:62.5pt;margin-top:17.801661pt;width:287.5pt;height:69pt;mso-position-horizontal-relative:page;mso-position-vertical-relative:paragraph;z-index:-15623680;mso-wrap-distance-left:0;mso-wrap-distance-right:0" type="#_x0000_t202" id="docshape1071" filled="true" fillcolor="#e2e3e4" stroked="false">
            <v:textbox inset="0,0,0,0">
              <w:txbxContent>
                <w:p>
                  <w:pPr>
                    <w:pStyle w:val="BodyText"/>
                    <w:spacing w:before="2"/>
                    <w:rPr>
                      <w:rFonts w:ascii="Arial"/>
                      <w:color w:val="000000"/>
                      <w:sz w:val="19"/>
                    </w:rPr>
                  </w:pPr>
                </w:p>
                <w:p>
                  <w:pPr>
                    <w:spacing w:line="307" w:lineRule="auto" w:before="0"/>
                    <w:ind w:left="250" w:right="246" w:firstLine="0"/>
                    <w:jc w:val="both"/>
                    <w:rPr>
                      <w:rFonts w:ascii="Arial" w:hAnsi="Arial"/>
                      <w:color w:val="000000"/>
                      <w:sz w:val="17"/>
                    </w:rPr>
                  </w:pPr>
                  <w:r>
                    <w:rPr>
                      <w:rFonts w:ascii="Arial" w:hAnsi="Arial"/>
                      <w:i/>
                      <w:color w:val="231F20"/>
                      <w:w w:val="95"/>
                      <w:sz w:val="17"/>
                    </w:rPr>
                    <w:t>technologiques et financières qui diminuent sans cesse. Mon personnel </w:t>
                  </w:r>
                  <w:r>
                    <w:rPr>
                      <w:rFonts w:ascii="Arial" w:hAnsi="Arial"/>
                      <w:i/>
                      <w:color w:val="231F20"/>
                      <w:spacing w:val="-2"/>
                      <w:sz w:val="17"/>
                    </w:rPr>
                    <w:t>est</w:t>
                  </w:r>
                  <w:r>
                    <w:rPr>
                      <w:rFonts w:ascii="Arial" w:hAnsi="Arial"/>
                      <w:i/>
                      <w:color w:val="231F20"/>
                      <w:spacing w:val="-10"/>
                      <w:sz w:val="17"/>
                    </w:rPr>
                    <w:t> </w:t>
                  </w:r>
                  <w:r>
                    <w:rPr>
                      <w:rFonts w:ascii="Arial" w:hAnsi="Arial"/>
                      <w:i/>
                      <w:color w:val="231F20"/>
                      <w:spacing w:val="-2"/>
                      <w:sz w:val="17"/>
                    </w:rPr>
                    <w:t>déjà</w:t>
                  </w:r>
                  <w:r>
                    <w:rPr>
                      <w:rFonts w:ascii="Arial" w:hAnsi="Arial"/>
                      <w:i/>
                      <w:color w:val="231F20"/>
                      <w:spacing w:val="-10"/>
                      <w:sz w:val="17"/>
                    </w:rPr>
                    <w:t> </w:t>
                  </w:r>
                  <w:r>
                    <w:rPr>
                      <w:rFonts w:ascii="Arial" w:hAnsi="Arial"/>
                      <w:i/>
                      <w:color w:val="231F20"/>
                      <w:spacing w:val="-2"/>
                      <w:sz w:val="17"/>
                    </w:rPr>
                    <w:t>stressé,</w:t>
                  </w:r>
                  <w:r>
                    <w:rPr>
                      <w:rFonts w:ascii="Arial" w:hAnsi="Arial"/>
                      <w:i/>
                      <w:color w:val="231F20"/>
                      <w:spacing w:val="-10"/>
                      <w:sz w:val="17"/>
                    </w:rPr>
                    <w:t> </w:t>
                  </w:r>
                  <w:r>
                    <w:rPr>
                      <w:rFonts w:ascii="Arial" w:hAnsi="Arial"/>
                      <w:i/>
                      <w:color w:val="231F20"/>
                      <w:spacing w:val="-2"/>
                      <w:sz w:val="17"/>
                    </w:rPr>
                    <w:t>mais</w:t>
                  </w:r>
                  <w:r>
                    <w:rPr>
                      <w:rFonts w:ascii="Arial" w:hAnsi="Arial"/>
                      <w:i/>
                      <w:color w:val="231F20"/>
                      <w:spacing w:val="-10"/>
                      <w:sz w:val="17"/>
                    </w:rPr>
                    <w:t> </w:t>
                  </w:r>
                  <w:r>
                    <w:rPr>
                      <w:rFonts w:ascii="Arial" w:hAnsi="Arial"/>
                      <w:i/>
                      <w:color w:val="231F20"/>
                      <w:spacing w:val="-2"/>
                      <w:sz w:val="17"/>
                    </w:rPr>
                    <w:t>si</w:t>
                  </w:r>
                  <w:r>
                    <w:rPr>
                      <w:rFonts w:ascii="Arial" w:hAnsi="Arial"/>
                      <w:i/>
                      <w:color w:val="231F20"/>
                      <w:spacing w:val="-10"/>
                      <w:sz w:val="17"/>
                    </w:rPr>
                    <w:t> </w:t>
                  </w:r>
                  <w:r>
                    <w:rPr>
                      <w:rFonts w:ascii="Arial" w:hAnsi="Arial"/>
                      <w:i/>
                      <w:color w:val="231F20"/>
                      <w:spacing w:val="-2"/>
                      <w:sz w:val="17"/>
                    </w:rPr>
                    <w:t>l’on</w:t>
                  </w:r>
                  <w:r>
                    <w:rPr>
                      <w:rFonts w:ascii="Arial" w:hAnsi="Arial"/>
                      <w:i/>
                      <w:color w:val="231F20"/>
                      <w:spacing w:val="-9"/>
                      <w:sz w:val="17"/>
                    </w:rPr>
                    <w:t> </w:t>
                  </w:r>
                  <w:r>
                    <w:rPr>
                      <w:rFonts w:ascii="Arial" w:hAnsi="Arial"/>
                      <w:i/>
                      <w:color w:val="231F20"/>
                      <w:spacing w:val="-2"/>
                      <w:sz w:val="17"/>
                    </w:rPr>
                    <w:t>en</w:t>
                  </w:r>
                  <w:r>
                    <w:rPr>
                      <w:rFonts w:ascii="Arial" w:hAnsi="Arial"/>
                      <w:i/>
                      <w:color w:val="231F20"/>
                      <w:spacing w:val="-10"/>
                      <w:sz w:val="17"/>
                    </w:rPr>
                    <w:t> </w:t>
                  </w:r>
                  <w:r>
                    <w:rPr>
                      <w:rFonts w:ascii="Arial" w:hAnsi="Arial"/>
                      <w:i/>
                      <w:color w:val="231F20"/>
                      <w:spacing w:val="-2"/>
                      <w:sz w:val="17"/>
                    </w:rPr>
                    <w:t>fait</w:t>
                  </w:r>
                  <w:r>
                    <w:rPr>
                      <w:rFonts w:ascii="Arial" w:hAnsi="Arial"/>
                      <w:i/>
                      <w:color w:val="231F20"/>
                      <w:spacing w:val="-10"/>
                      <w:sz w:val="17"/>
                    </w:rPr>
                    <w:t> </w:t>
                  </w:r>
                  <w:r>
                    <w:rPr>
                      <w:rFonts w:ascii="Arial" w:hAnsi="Arial"/>
                      <w:i/>
                      <w:color w:val="231F20"/>
                      <w:spacing w:val="-2"/>
                      <w:sz w:val="17"/>
                    </w:rPr>
                    <w:t>un</w:t>
                  </w:r>
                  <w:r>
                    <w:rPr>
                      <w:rFonts w:ascii="Arial" w:hAnsi="Arial"/>
                      <w:i/>
                      <w:color w:val="231F20"/>
                      <w:spacing w:val="-10"/>
                      <w:sz w:val="17"/>
                    </w:rPr>
                    <w:t> </w:t>
                  </w:r>
                  <w:r>
                    <w:rPr>
                      <w:rFonts w:ascii="Arial" w:hAnsi="Arial"/>
                      <w:i/>
                      <w:color w:val="231F20"/>
                      <w:spacing w:val="-2"/>
                      <w:sz w:val="17"/>
                    </w:rPr>
                    <w:t>diagnostic</w:t>
                  </w:r>
                  <w:r>
                    <w:rPr>
                      <w:rFonts w:ascii="Arial" w:hAnsi="Arial"/>
                      <w:i/>
                      <w:color w:val="231F20"/>
                      <w:spacing w:val="-10"/>
                      <w:sz w:val="17"/>
                    </w:rPr>
                    <w:t> </w:t>
                  </w:r>
                  <w:r>
                    <w:rPr>
                      <w:rFonts w:ascii="Arial" w:hAnsi="Arial"/>
                      <w:i/>
                      <w:color w:val="231F20"/>
                      <w:spacing w:val="-2"/>
                      <w:sz w:val="17"/>
                    </w:rPr>
                    <w:t>formel,</w:t>
                  </w:r>
                  <w:r>
                    <w:rPr>
                      <w:rFonts w:ascii="Arial" w:hAnsi="Arial"/>
                      <w:i/>
                      <w:color w:val="231F20"/>
                      <w:spacing w:val="-9"/>
                      <w:sz w:val="17"/>
                    </w:rPr>
                    <w:t> </w:t>
                  </w:r>
                  <w:r>
                    <w:rPr>
                      <w:rFonts w:ascii="Arial" w:hAnsi="Arial"/>
                      <w:i/>
                      <w:color w:val="231F20"/>
                      <w:spacing w:val="-2"/>
                      <w:sz w:val="17"/>
                    </w:rPr>
                    <w:t>il</w:t>
                  </w:r>
                  <w:r>
                    <w:rPr>
                      <w:rFonts w:ascii="Arial" w:hAnsi="Arial"/>
                      <w:i/>
                      <w:color w:val="231F20"/>
                      <w:spacing w:val="-10"/>
                      <w:sz w:val="17"/>
                    </w:rPr>
                    <w:t> </w:t>
                  </w:r>
                  <w:r>
                    <w:rPr>
                      <w:rFonts w:ascii="Arial" w:hAnsi="Arial"/>
                      <w:i/>
                      <w:color w:val="231F20"/>
                      <w:spacing w:val="-2"/>
                      <w:sz w:val="17"/>
                    </w:rPr>
                    <w:t>le</w:t>
                  </w:r>
                  <w:r>
                    <w:rPr>
                      <w:rFonts w:ascii="Arial" w:hAnsi="Arial"/>
                      <w:i/>
                      <w:color w:val="231F20"/>
                      <w:spacing w:val="-10"/>
                      <w:sz w:val="17"/>
                    </w:rPr>
                    <w:t> </w:t>
                  </w:r>
                  <w:r>
                    <w:rPr>
                      <w:rFonts w:ascii="Arial" w:hAnsi="Arial"/>
                      <w:i/>
                      <w:color w:val="231F20"/>
                      <w:spacing w:val="-2"/>
                      <w:sz w:val="17"/>
                    </w:rPr>
                    <w:t>sera</w:t>
                  </w:r>
                  <w:r>
                    <w:rPr>
                      <w:rFonts w:ascii="Arial" w:hAnsi="Arial"/>
                      <w:i/>
                      <w:color w:val="231F20"/>
                      <w:spacing w:val="-10"/>
                      <w:sz w:val="17"/>
                    </w:rPr>
                    <w:t> </w:t>
                  </w:r>
                  <w:r>
                    <w:rPr>
                      <w:rFonts w:ascii="Arial" w:hAnsi="Arial"/>
                      <w:i/>
                      <w:color w:val="231F20"/>
                      <w:spacing w:val="-2"/>
                      <w:sz w:val="17"/>
                    </w:rPr>
                    <w:t>encore </w:t>
                  </w:r>
                  <w:r>
                    <w:rPr>
                      <w:rFonts w:ascii="Arial" w:hAnsi="Arial"/>
                      <w:i/>
                      <w:color w:val="231F20"/>
                      <w:sz w:val="17"/>
                    </w:rPr>
                    <w:t>plus. Je crains d’ouvrir une boîte de Pandore, alors nous n’allons pas réaliser d’étude formelle; j’accepte le </w:t>
                  </w:r>
                  <w:r>
                    <w:rPr>
                      <w:rFonts w:ascii="Arial" w:hAnsi="Arial"/>
                      <w:color w:val="231F20"/>
                      <w:sz w:val="17"/>
                    </w:rPr>
                    <w:t>statu quo.»</w:t>
                  </w:r>
                </w:p>
              </w:txbxContent>
            </v:textbox>
            <v:fill type="solid"/>
            <w10:wrap type="topAndBottom"/>
          </v:shape>
        </w:pict>
      </w:r>
    </w:p>
    <w:p>
      <w:pPr>
        <w:pStyle w:val="BodyText"/>
        <w:spacing w:before="1"/>
        <w:rPr>
          <w:rFonts w:ascii="Arial"/>
        </w:rPr>
      </w:pPr>
    </w:p>
    <w:p>
      <w:pPr>
        <w:pStyle w:val="BodyText"/>
        <w:spacing w:line="307" w:lineRule="auto" w:before="145"/>
        <w:ind w:left="829" w:right="496"/>
        <w:jc w:val="both"/>
      </w:pPr>
      <w:r>
        <w:rPr>
          <w:color w:val="231F20"/>
          <w:w w:val="115"/>
        </w:rPr>
        <w:t>Il</w:t>
      </w:r>
      <w:r>
        <w:rPr>
          <w:color w:val="231F20"/>
          <w:spacing w:val="-1"/>
          <w:w w:val="115"/>
        </w:rPr>
        <w:t> </w:t>
      </w:r>
      <w:r>
        <w:rPr>
          <w:color w:val="231F20"/>
          <w:w w:val="115"/>
        </w:rPr>
        <w:t>demeure</w:t>
      </w:r>
      <w:r>
        <w:rPr>
          <w:color w:val="231F20"/>
          <w:spacing w:val="-1"/>
          <w:w w:val="115"/>
        </w:rPr>
        <w:t> </w:t>
      </w:r>
      <w:r>
        <w:rPr>
          <w:color w:val="231F20"/>
          <w:w w:val="115"/>
        </w:rPr>
        <w:t>difficile</w:t>
      </w:r>
      <w:r>
        <w:rPr>
          <w:color w:val="231F20"/>
          <w:spacing w:val="-1"/>
          <w:w w:val="115"/>
        </w:rPr>
        <w:t> </w:t>
      </w:r>
      <w:r>
        <w:rPr>
          <w:color w:val="231F20"/>
          <w:w w:val="115"/>
        </w:rPr>
        <w:t>de</w:t>
      </w:r>
      <w:r>
        <w:rPr>
          <w:color w:val="231F20"/>
          <w:spacing w:val="-1"/>
          <w:w w:val="115"/>
        </w:rPr>
        <w:t> </w:t>
      </w:r>
      <w:r>
        <w:rPr>
          <w:color w:val="231F20"/>
          <w:w w:val="115"/>
        </w:rPr>
        <w:t>justifier</w:t>
      </w:r>
      <w:r>
        <w:rPr>
          <w:color w:val="231F20"/>
          <w:spacing w:val="-1"/>
          <w:w w:val="115"/>
        </w:rPr>
        <w:t> </w:t>
      </w:r>
      <w:r>
        <w:rPr>
          <w:color w:val="231F20"/>
          <w:w w:val="115"/>
        </w:rPr>
        <w:t>des</w:t>
      </w:r>
      <w:r>
        <w:rPr>
          <w:color w:val="231F20"/>
          <w:spacing w:val="-1"/>
          <w:w w:val="115"/>
        </w:rPr>
        <w:t> </w:t>
      </w:r>
      <w:r>
        <w:rPr>
          <w:color w:val="231F20"/>
          <w:w w:val="115"/>
        </w:rPr>
        <w:t>interventions</w:t>
      </w:r>
      <w:r>
        <w:rPr>
          <w:color w:val="231F20"/>
          <w:spacing w:val="-1"/>
          <w:w w:val="115"/>
        </w:rPr>
        <w:t> </w:t>
      </w:r>
      <w:r>
        <w:rPr>
          <w:color w:val="231F20"/>
          <w:w w:val="115"/>
        </w:rPr>
        <w:t>en</w:t>
      </w:r>
      <w:r>
        <w:rPr>
          <w:color w:val="231F20"/>
          <w:spacing w:val="-1"/>
          <w:w w:val="115"/>
        </w:rPr>
        <w:t> </w:t>
      </w:r>
      <w:r>
        <w:rPr>
          <w:color w:val="231F20"/>
          <w:w w:val="115"/>
        </w:rPr>
        <w:t>matière</w:t>
      </w:r>
      <w:r>
        <w:rPr>
          <w:color w:val="231F20"/>
          <w:spacing w:val="-1"/>
          <w:w w:val="115"/>
        </w:rPr>
        <w:t> </w:t>
      </w:r>
      <w:r>
        <w:rPr>
          <w:color w:val="231F20"/>
          <w:w w:val="115"/>
        </w:rPr>
        <w:t>de</w:t>
      </w:r>
      <w:r>
        <w:rPr>
          <w:color w:val="231F20"/>
          <w:spacing w:val="-1"/>
          <w:w w:val="115"/>
        </w:rPr>
        <w:t> </w:t>
      </w:r>
      <w:r>
        <w:rPr>
          <w:color w:val="231F20"/>
          <w:w w:val="115"/>
        </w:rPr>
        <w:t>santé</w:t>
      </w:r>
      <w:r>
        <w:rPr>
          <w:color w:val="231F20"/>
          <w:spacing w:val="-1"/>
          <w:w w:val="115"/>
        </w:rPr>
        <w:t> </w:t>
      </w:r>
      <w:r>
        <w:rPr>
          <w:color w:val="231F20"/>
          <w:w w:val="115"/>
        </w:rPr>
        <w:t>psy- </w:t>
      </w:r>
      <w:r>
        <w:rPr>
          <w:color w:val="231F20"/>
          <w:w w:val="120"/>
        </w:rPr>
        <w:t>chologique au travail. Cette difficulté est généralement attribuable à divers facteurs, dont:</w:t>
      </w:r>
    </w:p>
    <w:p>
      <w:pPr>
        <w:pStyle w:val="ListParagraph"/>
        <w:numPr>
          <w:ilvl w:val="3"/>
          <w:numId w:val="89"/>
        </w:numPr>
        <w:tabs>
          <w:tab w:pos="1331" w:val="left" w:leader="none"/>
        </w:tabs>
        <w:spacing w:line="307" w:lineRule="auto" w:before="79" w:after="0"/>
        <w:ind w:left="1330" w:right="494" w:hanging="251"/>
        <w:jc w:val="both"/>
        <w:rPr>
          <w:sz w:val="17"/>
        </w:rPr>
      </w:pPr>
      <w:r>
        <w:rPr>
          <w:color w:val="231F20"/>
          <w:spacing w:val="-2"/>
          <w:w w:val="115"/>
          <w:sz w:val="17"/>
        </w:rPr>
        <w:t>Une</w:t>
      </w:r>
      <w:r>
        <w:rPr>
          <w:color w:val="231F20"/>
          <w:spacing w:val="-10"/>
          <w:w w:val="115"/>
          <w:sz w:val="17"/>
        </w:rPr>
        <w:t> </w:t>
      </w:r>
      <w:r>
        <w:rPr>
          <w:color w:val="231F20"/>
          <w:spacing w:val="-2"/>
          <w:w w:val="115"/>
          <w:sz w:val="17"/>
        </w:rPr>
        <w:t>méconnaissance</w:t>
      </w:r>
      <w:r>
        <w:rPr>
          <w:color w:val="231F20"/>
          <w:spacing w:val="-10"/>
          <w:w w:val="115"/>
          <w:sz w:val="17"/>
        </w:rPr>
        <w:t> </w:t>
      </w:r>
      <w:r>
        <w:rPr>
          <w:color w:val="231F20"/>
          <w:spacing w:val="-2"/>
          <w:w w:val="115"/>
          <w:sz w:val="17"/>
        </w:rPr>
        <w:t>des</w:t>
      </w:r>
      <w:r>
        <w:rPr>
          <w:color w:val="231F20"/>
          <w:spacing w:val="-10"/>
          <w:w w:val="115"/>
          <w:sz w:val="17"/>
        </w:rPr>
        <w:t> </w:t>
      </w:r>
      <w:r>
        <w:rPr>
          <w:color w:val="231F20"/>
          <w:spacing w:val="-2"/>
          <w:w w:val="115"/>
          <w:sz w:val="17"/>
        </w:rPr>
        <w:t>gestionnaires</w:t>
      </w:r>
      <w:r>
        <w:rPr>
          <w:color w:val="231F20"/>
          <w:spacing w:val="-10"/>
          <w:w w:val="115"/>
          <w:sz w:val="17"/>
        </w:rPr>
        <w:t> </w:t>
      </w:r>
      <w:r>
        <w:rPr>
          <w:color w:val="231F20"/>
          <w:spacing w:val="-2"/>
          <w:w w:val="115"/>
          <w:sz w:val="17"/>
        </w:rPr>
        <w:t>du</w:t>
      </w:r>
      <w:r>
        <w:rPr>
          <w:color w:val="231F20"/>
          <w:spacing w:val="-10"/>
          <w:w w:val="115"/>
          <w:sz w:val="17"/>
        </w:rPr>
        <w:t> </w:t>
      </w:r>
      <w:r>
        <w:rPr>
          <w:color w:val="231F20"/>
          <w:spacing w:val="-2"/>
          <w:w w:val="115"/>
          <w:sz w:val="17"/>
        </w:rPr>
        <w:t>fonctionnement</w:t>
      </w:r>
      <w:r>
        <w:rPr>
          <w:color w:val="231F20"/>
          <w:spacing w:val="-10"/>
          <w:w w:val="115"/>
          <w:sz w:val="17"/>
        </w:rPr>
        <w:t> </w:t>
      </w:r>
      <w:r>
        <w:rPr>
          <w:color w:val="231F20"/>
          <w:spacing w:val="-2"/>
          <w:w w:val="115"/>
          <w:sz w:val="17"/>
        </w:rPr>
        <w:t>«humain» </w:t>
      </w:r>
      <w:r>
        <w:rPr>
          <w:color w:val="231F20"/>
          <w:w w:val="120"/>
          <w:sz w:val="17"/>
        </w:rPr>
        <w:t>de l’entreprise, leur expertise se limitant à son fonctionnement technique ou économique;</w:t>
      </w:r>
    </w:p>
    <w:p>
      <w:pPr>
        <w:pStyle w:val="ListParagraph"/>
        <w:numPr>
          <w:ilvl w:val="3"/>
          <w:numId w:val="89"/>
        </w:numPr>
        <w:tabs>
          <w:tab w:pos="1331" w:val="left" w:leader="none"/>
        </w:tabs>
        <w:spacing w:line="195" w:lineRule="exact" w:before="0" w:after="0"/>
        <w:ind w:left="1330" w:right="0" w:hanging="252"/>
        <w:jc w:val="both"/>
        <w:rPr>
          <w:sz w:val="17"/>
        </w:rPr>
      </w:pPr>
      <w:r>
        <w:rPr>
          <w:color w:val="231F20"/>
          <w:w w:val="120"/>
          <w:sz w:val="17"/>
        </w:rPr>
        <w:t>Une</w:t>
      </w:r>
      <w:r>
        <w:rPr>
          <w:color w:val="231F20"/>
          <w:spacing w:val="-12"/>
          <w:w w:val="120"/>
          <w:sz w:val="17"/>
        </w:rPr>
        <w:t> </w:t>
      </w:r>
      <w:r>
        <w:rPr>
          <w:color w:val="231F20"/>
          <w:w w:val="120"/>
          <w:sz w:val="17"/>
        </w:rPr>
        <w:t>présentation</w:t>
      </w:r>
      <w:r>
        <w:rPr>
          <w:color w:val="231F20"/>
          <w:spacing w:val="-12"/>
          <w:w w:val="120"/>
          <w:sz w:val="17"/>
        </w:rPr>
        <w:t> </w:t>
      </w:r>
      <w:r>
        <w:rPr>
          <w:color w:val="231F20"/>
          <w:w w:val="120"/>
          <w:sz w:val="17"/>
        </w:rPr>
        <w:t>imprécise</w:t>
      </w:r>
      <w:r>
        <w:rPr>
          <w:color w:val="231F20"/>
          <w:spacing w:val="-12"/>
          <w:w w:val="120"/>
          <w:sz w:val="17"/>
        </w:rPr>
        <w:t> </w:t>
      </w:r>
      <w:r>
        <w:rPr>
          <w:color w:val="231F20"/>
          <w:w w:val="120"/>
          <w:sz w:val="17"/>
        </w:rPr>
        <w:t>du</w:t>
      </w:r>
      <w:r>
        <w:rPr>
          <w:color w:val="231F20"/>
          <w:spacing w:val="-12"/>
          <w:w w:val="120"/>
          <w:sz w:val="17"/>
        </w:rPr>
        <w:t> </w:t>
      </w:r>
      <w:r>
        <w:rPr>
          <w:color w:val="231F20"/>
          <w:w w:val="120"/>
          <w:sz w:val="17"/>
        </w:rPr>
        <w:t>problème</w:t>
      </w:r>
      <w:r>
        <w:rPr>
          <w:color w:val="231F20"/>
          <w:spacing w:val="-11"/>
          <w:w w:val="120"/>
          <w:sz w:val="17"/>
        </w:rPr>
        <w:t> </w:t>
      </w:r>
      <w:r>
        <w:rPr>
          <w:color w:val="231F20"/>
          <w:w w:val="120"/>
          <w:sz w:val="17"/>
        </w:rPr>
        <w:t>aux</w:t>
      </w:r>
      <w:r>
        <w:rPr>
          <w:color w:val="231F20"/>
          <w:spacing w:val="-12"/>
          <w:w w:val="120"/>
          <w:sz w:val="17"/>
        </w:rPr>
        <w:t> </w:t>
      </w:r>
      <w:r>
        <w:rPr>
          <w:color w:val="231F20"/>
          <w:spacing w:val="-2"/>
          <w:w w:val="120"/>
          <w:sz w:val="17"/>
        </w:rPr>
        <w:t>gestionnaires;</w:t>
      </w:r>
    </w:p>
    <w:p>
      <w:pPr>
        <w:pStyle w:val="ListParagraph"/>
        <w:numPr>
          <w:ilvl w:val="3"/>
          <w:numId w:val="89"/>
        </w:numPr>
        <w:tabs>
          <w:tab w:pos="1331" w:val="left" w:leader="none"/>
        </w:tabs>
        <w:spacing w:line="307" w:lineRule="auto" w:before="55" w:after="0"/>
        <w:ind w:left="1330" w:right="496" w:hanging="251"/>
        <w:jc w:val="both"/>
        <w:rPr>
          <w:sz w:val="17"/>
        </w:rPr>
      </w:pPr>
      <w:r>
        <w:rPr>
          <w:color w:val="231F20"/>
          <w:w w:val="120"/>
          <w:sz w:val="17"/>
        </w:rPr>
        <w:t>Un manque de conviction quant à l’ordre de grandeur des coûts associés au problème ou un manque de confiance en la possibi- lité de contrôler ces coûts par la planification, l’organisation et la</w:t>
      </w:r>
      <w:r>
        <w:rPr>
          <w:color w:val="231F20"/>
          <w:spacing w:val="-13"/>
          <w:w w:val="120"/>
          <w:sz w:val="17"/>
        </w:rPr>
        <w:t> </w:t>
      </w:r>
      <w:r>
        <w:rPr>
          <w:color w:val="231F20"/>
          <w:w w:val="120"/>
          <w:sz w:val="17"/>
        </w:rPr>
        <w:t>gestion;</w:t>
      </w:r>
    </w:p>
    <w:p>
      <w:pPr>
        <w:pStyle w:val="ListParagraph"/>
        <w:numPr>
          <w:ilvl w:val="3"/>
          <w:numId w:val="89"/>
        </w:numPr>
        <w:tabs>
          <w:tab w:pos="1331" w:val="left" w:leader="none"/>
        </w:tabs>
        <w:spacing w:line="307" w:lineRule="auto" w:before="0" w:after="0"/>
        <w:ind w:left="1330" w:right="494" w:hanging="251"/>
        <w:jc w:val="both"/>
        <w:rPr>
          <w:sz w:val="17"/>
        </w:rPr>
      </w:pPr>
      <w:r>
        <w:rPr>
          <w:color w:val="231F20"/>
          <w:w w:val="120"/>
          <w:sz w:val="17"/>
        </w:rPr>
        <w:t>L’absence</w:t>
      </w:r>
      <w:r>
        <w:rPr>
          <w:color w:val="231F20"/>
          <w:spacing w:val="-7"/>
          <w:w w:val="120"/>
          <w:sz w:val="17"/>
        </w:rPr>
        <w:t> </w:t>
      </w:r>
      <w:r>
        <w:rPr>
          <w:color w:val="231F20"/>
          <w:w w:val="120"/>
          <w:sz w:val="17"/>
        </w:rPr>
        <w:t>de</w:t>
      </w:r>
      <w:r>
        <w:rPr>
          <w:color w:val="231F20"/>
          <w:spacing w:val="-7"/>
          <w:w w:val="120"/>
          <w:sz w:val="17"/>
        </w:rPr>
        <w:t> </w:t>
      </w:r>
      <w:r>
        <w:rPr>
          <w:color w:val="231F20"/>
          <w:w w:val="120"/>
          <w:sz w:val="17"/>
        </w:rPr>
        <w:t>relation</w:t>
      </w:r>
      <w:r>
        <w:rPr>
          <w:color w:val="231F20"/>
          <w:spacing w:val="-7"/>
          <w:w w:val="120"/>
          <w:sz w:val="17"/>
        </w:rPr>
        <w:t> </w:t>
      </w:r>
      <w:r>
        <w:rPr>
          <w:color w:val="231F20"/>
          <w:w w:val="120"/>
          <w:sz w:val="17"/>
        </w:rPr>
        <w:t>entre</w:t>
      </w:r>
      <w:r>
        <w:rPr>
          <w:color w:val="231F20"/>
          <w:spacing w:val="-7"/>
          <w:w w:val="120"/>
          <w:sz w:val="17"/>
        </w:rPr>
        <w:t> </w:t>
      </w:r>
      <w:r>
        <w:rPr>
          <w:color w:val="231F20"/>
          <w:w w:val="120"/>
          <w:sz w:val="17"/>
        </w:rPr>
        <w:t>les</w:t>
      </w:r>
      <w:r>
        <w:rPr>
          <w:color w:val="231F20"/>
          <w:spacing w:val="-7"/>
          <w:w w:val="120"/>
          <w:sz w:val="17"/>
        </w:rPr>
        <w:t> </w:t>
      </w:r>
      <w:r>
        <w:rPr>
          <w:color w:val="231F20"/>
          <w:w w:val="120"/>
          <w:sz w:val="17"/>
        </w:rPr>
        <w:t>objectifs</w:t>
      </w:r>
      <w:r>
        <w:rPr>
          <w:color w:val="231F20"/>
          <w:spacing w:val="-7"/>
          <w:w w:val="120"/>
          <w:sz w:val="17"/>
        </w:rPr>
        <w:t> </w:t>
      </w:r>
      <w:r>
        <w:rPr>
          <w:color w:val="231F20"/>
          <w:w w:val="120"/>
          <w:sz w:val="17"/>
        </w:rPr>
        <w:t>de</w:t>
      </w:r>
      <w:r>
        <w:rPr>
          <w:color w:val="231F20"/>
          <w:spacing w:val="-7"/>
          <w:w w:val="120"/>
          <w:sz w:val="17"/>
        </w:rPr>
        <w:t> </w:t>
      </w:r>
      <w:r>
        <w:rPr>
          <w:color w:val="231F20"/>
          <w:w w:val="120"/>
          <w:sz w:val="17"/>
        </w:rPr>
        <w:t>prévention</w:t>
      </w:r>
      <w:r>
        <w:rPr>
          <w:color w:val="231F20"/>
          <w:spacing w:val="-7"/>
          <w:w w:val="120"/>
          <w:sz w:val="17"/>
        </w:rPr>
        <w:t> </w:t>
      </w:r>
      <w:r>
        <w:rPr>
          <w:color w:val="231F20"/>
          <w:w w:val="120"/>
          <w:sz w:val="17"/>
        </w:rPr>
        <w:t>et</w:t>
      </w:r>
      <w:r>
        <w:rPr>
          <w:color w:val="231F20"/>
          <w:spacing w:val="-7"/>
          <w:w w:val="120"/>
          <w:sz w:val="17"/>
        </w:rPr>
        <w:t> </w:t>
      </w:r>
      <w:r>
        <w:rPr>
          <w:color w:val="231F20"/>
          <w:w w:val="120"/>
          <w:sz w:val="17"/>
        </w:rPr>
        <w:t>les</w:t>
      </w:r>
      <w:r>
        <w:rPr>
          <w:color w:val="231F20"/>
          <w:spacing w:val="-7"/>
          <w:w w:val="120"/>
          <w:sz w:val="17"/>
        </w:rPr>
        <w:t> </w:t>
      </w:r>
      <w:r>
        <w:rPr>
          <w:color w:val="231F20"/>
          <w:w w:val="120"/>
          <w:sz w:val="17"/>
        </w:rPr>
        <w:t>buts de la direction;</w:t>
      </w:r>
    </w:p>
    <w:p>
      <w:pPr>
        <w:pStyle w:val="ListParagraph"/>
        <w:numPr>
          <w:ilvl w:val="3"/>
          <w:numId w:val="89"/>
        </w:numPr>
        <w:tabs>
          <w:tab w:pos="1331" w:val="left" w:leader="none"/>
        </w:tabs>
        <w:spacing w:line="307" w:lineRule="auto" w:before="0" w:after="0"/>
        <w:ind w:left="1330" w:right="496" w:hanging="251"/>
        <w:jc w:val="both"/>
        <w:rPr>
          <w:sz w:val="17"/>
        </w:rPr>
      </w:pPr>
      <w:r>
        <w:rPr>
          <w:color w:val="231F20"/>
          <w:w w:val="120"/>
          <w:sz w:val="17"/>
        </w:rPr>
        <w:t>Une crainte des gestionnaires que la réalisation d’un diagnostic formel amène les travailleurs à davantage réaliser leur mal-être.</w:t>
      </w:r>
    </w:p>
    <w:p>
      <w:pPr>
        <w:pStyle w:val="BodyText"/>
        <w:spacing w:line="307" w:lineRule="auto" w:before="79"/>
        <w:ind w:left="830" w:right="496"/>
        <w:jc w:val="both"/>
      </w:pPr>
      <w:r>
        <w:rPr>
          <w:color w:val="231F20"/>
          <w:w w:val="120"/>
        </w:rPr>
        <w:t>Pour</w:t>
      </w:r>
      <w:r>
        <w:rPr>
          <w:color w:val="231F20"/>
          <w:spacing w:val="-11"/>
          <w:w w:val="120"/>
        </w:rPr>
        <w:t> </w:t>
      </w:r>
      <w:r>
        <w:rPr>
          <w:color w:val="231F20"/>
          <w:w w:val="120"/>
        </w:rPr>
        <w:t>surmonter</w:t>
      </w:r>
      <w:r>
        <w:rPr>
          <w:color w:val="231F20"/>
          <w:spacing w:val="-11"/>
          <w:w w:val="120"/>
        </w:rPr>
        <w:t> </w:t>
      </w:r>
      <w:r>
        <w:rPr>
          <w:color w:val="231F20"/>
          <w:w w:val="120"/>
        </w:rPr>
        <w:t>ces</w:t>
      </w:r>
      <w:r>
        <w:rPr>
          <w:color w:val="231F20"/>
          <w:spacing w:val="-11"/>
          <w:w w:val="120"/>
        </w:rPr>
        <w:t> </w:t>
      </w:r>
      <w:r>
        <w:rPr>
          <w:color w:val="231F20"/>
          <w:w w:val="120"/>
        </w:rPr>
        <w:t>obstacles,</w:t>
      </w:r>
      <w:r>
        <w:rPr>
          <w:color w:val="231F20"/>
          <w:spacing w:val="-11"/>
          <w:w w:val="120"/>
        </w:rPr>
        <w:t> </w:t>
      </w:r>
      <w:r>
        <w:rPr>
          <w:color w:val="231F20"/>
          <w:w w:val="120"/>
        </w:rPr>
        <w:t>il</w:t>
      </w:r>
      <w:r>
        <w:rPr>
          <w:color w:val="231F20"/>
          <w:spacing w:val="-11"/>
          <w:w w:val="120"/>
        </w:rPr>
        <w:t> </w:t>
      </w:r>
      <w:r>
        <w:rPr>
          <w:color w:val="231F20"/>
          <w:w w:val="120"/>
        </w:rPr>
        <w:t>faut</w:t>
      </w:r>
      <w:r>
        <w:rPr>
          <w:color w:val="231F20"/>
          <w:spacing w:val="-11"/>
          <w:w w:val="120"/>
        </w:rPr>
        <w:t> </w:t>
      </w:r>
      <w:r>
        <w:rPr>
          <w:color w:val="231F20"/>
          <w:w w:val="120"/>
        </w:rPr>
        <w:t>utiliser</w:t>
      </w:r>
      <w:r>
        <w:rPr>
          <w:color w:val="231F20"/>
          <w:spacing w:val="-11"/>
          <w:w w:val="120"/>
        </w:rPr>
        <w:t> </w:t>
      </w:r>
      <w:r>
        <w:rPr>
          <w:color w:val="231F20"/>
          <w:w w:val="120"/>
        </w:rPr>
        <w:t>des</w:t>
      </w:r>
      <w:r>
        <w:rPr>
          <w:color w:val="231F20"/>
          <w:spacing w:val="-11"/>
          <w:w w:val="120"/>
        </w:rPr>
        <w:t> </w:t>
      </w:r>
      <w:r>
        <w:rPr>
          <w:color w:val="231F20"/>
          <w:w w:val="120"/>
        </w:rPr>
        <w:t>arguments</w:t>
      </w:r>
      <w:r>
        <w:rPr>
          <w:color w:val="231F20"/>
          <w:spacing w:val="-11"/>
          <w:w w:val="120"/>
        </w:rPr>
        <w:t> </w:t>
      </w:r>
      <w:r>
        <w:rPr>
          <w:color w:val="231F20"/>
          <w:w w:val="120"/>
        </w:rPr>
        <w:t>et</w:t>
      </w:r>
      <w:r>
        <w:rPr>
          <w:color w:val="231F20"/>
          <w:spacing w:val="-11"/>
          <w:w w:val="120"/>
        </w:rPr>
        <w:t> </w:t>
      </w:r>
      <w:r>
        <w:rPr>
          <w:color w:val="231F20"/>
          <w:w w:val="120"/>
        </w:rPr>
        <w:t>des</w:t>
      </w:r>
      <w:r>
        <w:rPr>
          <w:color w:val="231F20"/>
          <w:spacing w:val="-11"/>
          <w:w w:val="120"/>
        </w:rPr>
        <w:t> </w:t>
      </w:r>
      <w:r>
        <w:rPr>
          <w:color w:val="231F20"/>
          <w:w w:val="120"/>
        </w:rPr>
        <w:t>outils adéquats</w:t>
      </w:r>
      <w:r>
        <w:rPr>
          <w:color w:val="231F20"/>
          <w:spacing w:val="-9"/>
          <w:w w:val="120"/>
        </w:rPr>
        <w:t> </w:t>
      </w:r>
      <w:r>
        <w:rPr>
          <w:color w:val="231F20"/>
          <w:w w:val="120"/>
        </w:rPr>
        <w:t>qui</w:t>
      </w:r>
      <w:r>
        <w:rPr>
          <w:color w:val="231F20"/>
          <w:spacing w:val="-9"/>
          <w:w w:val="120"/>
        </w:rPr>
        <w:t> </w:t>
      </w:r>
      <w:r>
        <w:rPr>
          <w:color w:val="231F20"/>
          <w:w w:val="120"/>
        </w:rPr>
        <w:t>permettent</w:t>
      </w:r>
      <w:r>
        <w:rPr>
          <w:color w:val="231F20"/>
          <w:spacing w:val="-9"/>
          <w:w w:val="120"/>
        </w:rPr>
        <w:t> </w:t>
      </w:r>
      <w:r>
        <w:rPr>
          <w:color w:val="231F20"/>
          <w:w w:val="120"/>
        </w:rPr>
        <w:t>de</w:t>
      </w:r>
      <w:r>
        <w:rPr>
          <w:color w:val="231F20"/>
          <w:spacing w:val="-9"/>
          <w:w w:val="120"/>
        </w:rPr>
        <w:t> </w:t>
      </w:r>
      <w:r>
        <w:rPr>
          <w:color w:val="231F20"/>
          <w:w w:val="120"/>
        </w:rPr>
        <w:t>cerner</w:t>
      </w:r>
      <w:r>
        <w:rPr>
          <w:color w:val="231F20"/>
          <w:spacing w:val="-9"/>
          <w:w w:val="120"/>
        </w:rPr>
        <w:t> </w:t>
      </w:r>
      <w:r>
        <w:rPr>
          <w:color w:val="231F20"/>
          <w:w w:val="120"/>
        </w:rPr>
        <w:t>et</w:t>
      </w:r>
      <w:r>
        <w:rPr>
          <w:color w:val="231F20"/>
          <w:spacing w:val="-9"/>
          <w:w w:val="120"/>
        </w:rPr>
        <w:t> </w:t>
      </w:r>
      <w:r>
        <w:rPr>
          <w:color w:val="231F20"/>
          <w:w w:val="120"/>
        </w:rPr>
        <w:t>de</w:t>
      </w:r>
      <w:r>
        <w:rPr>
          <w:color w:val="231F20"/>
          <w:spacing w:val="-9"/>
          <w:w w:val="120"/>
        </w:rPr>
        <w:t> </w:t>
      </w:r>
      <w:r>
        <w:rPr>
          <w:color w:val="231F20"/>
          <w:w w:val="120"/>
        </w:rPr>
        <w:t>quantifier</w:t>
      </w:r>
      <w:r>
        <w:rPr>
          <w:color w:val="231F20"/>
          <w:spacing w:val="-9"/>
          <w:w w:val="120"/>
        </w:rPr>
        <w:t> </w:t>
      </w:r>
      <w:r>
        <w:rPr>
          <w:color w:val="231F20"/>
          <w:w w:val="120"/>
        </w:rPr>
        <w:t>le</w:t>
      </w:r>
      <w:r>
        <w:rPr>
          <w:color w:val="231F20"/>
          <w:spacing w:val="-9"/>
          <w:w w:val="120"/>
        </w:rPr>
        <w:t> </w:t>
      </w:r>
      <w:r>
        <w:rPr>
          <w:color w:val="231F20"/>
          <w:w w:val="120"/>
        </w:rPr>
        <w:t>problème.</w:t>
      </w:r>
      <w:r>
        <w:rPr>
          <w:color w:val="231F20"/>
          <w:spacing w:val="-9"/>
          <w:w w:val="120"/>
        </w:rPr>
        <w:t> </w:t>
      </w:r>
      <w:r>
        <w:rPr>
          <w:color w:val="231F20"/>
          <w:w w:val="120"/>
        </w:rPr>
        <w:t>Les</w:t>
      </w:r>
      <w:r>
        <w:rPr>
          <w:color w:val="231F20"/>
          <w:spacing w:val="-9"/>
          <w:w w:val="120"/>
        </w:rPr>
        <w:t> </w:t>
      </w:r>
      <w:r>
        <w:rPr>
          <w:color w:val="231F20"/>
          <w:w w:val="120"/>
        </w:rPr>
        <w:t>res- ponsables</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santé</w:t>
      </w:r>
      <w:r>
        <w:rPr>
          <w:color w:val="231F20"/>
          <w:spacing w:val="-2"/>
          <w:w w:val="120"/>
        </w:rPr>
        <w:t> </w:t>
      </w:r>
      <w:r>
        <w:rPr>
          <w:color w:val="231F20"/>
          <w:w w:val="120"/>
        </w:rPr>
        <w:t>au</w:t>
      </w:r>
      <w:r>
        <w:rPr>
          <w:color w:val="231F20"/>
          <w:spacing w:val="-2"/>
          <w:w w:val="120"/>
        </w:rPr>
        <w:t> </w:t>
      </w:r>
      <w:r>
        <w:rPr>
          <w:color w:val="231F20"/>
          <w:w w:val="120"/>
        </w:rPr>
        <w:t>travail</w:t>
      </w:r>
      <w:r>
        <w:rPr>
          <w:color w:val="231F20"/>
          <w:spacing w:val="-2"/>
          <w:w w:val="120"/>
        </w:rPr>
        <w:t> </w:t>
      </w:r>
      <w:r>
        <w:rPr>
          <w:color w:val="231F20"/>
          <w:w w:val="120"/>
        </w:rPr>
        <w:t>ont</w:t>
      </w:r>
      <w:r>
        <w:rPr>
          <w:color w:val="231F20"/>
          <w:spacing w:val="-2"/>
          <w:w w:val="120"/>
        </w:rPr>
        <w:t> </w:t>
      </w:r>
      <w:r>
        <w:rPr>
          <w:color w:val="231F20"/>
          <w:w w:val="120"/>
        </w:rPr>
        <w:t>avantage</w:t>
      </w:r>
      <w:r>
        <w:rPr>
          <w:color w:val="231F20"/>
          <w:spacing w:val="-2"/>
          <w:w w:val="120"/>
        </w:rPr>
        <w:t> </w:t>
      </w:r>
      <w:r>
        <w:rPr>
          <w:color w:val="231F20"/>
          <w:w w:val="120"/>
        </w:rPr>
        <w:t>à</w:t>
      </w:r>
      <w:r>
        <w:rPr>
          <w:color w:val="231F20"/>
          <w:spacing w:val="-2"/>
          <w:w w:val="120"/>
        </w:rPr>
        <w:t> </w:t>
      </w:r>
      <w:r>
        <w:rPr>
          <w:color w:val="231F20"/>
          <w:w w:val="120"/>
        </w:rPr>
        <w:t>pousser</w:t>
      </w:r>
      <w:r>
        <w:rPr>
          <w:color w:val="231F20"/>
          <w:spacing w:val="-2"/>
          <w:w w:val="120"/>
        </w:rPr>
        <w:t> </w:t>
      </w:r>
      <w:r>
        <w:rPr>
          <w:color w:val="231F20"/>
          <w:w w:val="120"/>
        </w:rPr>
        <w:t>l’emploi</w:t>
      </w:r>
      <w:r>
        <w:rPr>
          <w:color w:val="231F20"/>
          <w:spacing w:val="-2"/>
          <w:w w:val="120"/>
        </w:rPr>
        <w:t> </w:t>
      </w:r>
      <w:r>
        <w:rPr>
          <w:color w:val="231F20"/>
          <w:w w:val="120"/>
        </w:rPr>
        <w:t>de</w:t>
      </w:r>
      <w:r>
        <w:rPr>
          <w:color w:val="231F20"/>
          <w:spacing w:val="-2"/>
          <w:w w:val="120"/>
        </w:rPr>
        <w:t> </w:t>
      </w:r>
      <w:r>
        <w:rPr>
          <w:color w:val="231F20"/>
          <w:w w:val="120"/>
        </w:rPr>
        <w:t>ces outils</w:t>
      </w:r>
      <w:r>
        <w:rPr>
          <w:color w:val="231F20"/>
          <w:spacing w:val="-13"/>
          <w:w w:val="120"/>
        </w:rPr>
        <w:t> </w:t>
      </w:r>
      <w:r>
        <w:rPr>
          <w:color w:val="231F20"/>
          <w:w w:val="120"/>
        </w:rPr>
        <w:t>au-delà</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2"/>
          <w:w w:val="120"/>
        </w:rPr>
        <w:t> </w:t>
      </w:r>
      <w:r>
        <w:rPr>
          <w:color w:val="231F20"/>
          <w:w w:val="120"/>
        </w:rPr>
        <w:t>seule</w:t>
      </w:r>
      <w:r>
        <w:rPr>
          <w:color w:val="231F20"/>
          <w:spacing w:val="-13"/>
          <w:w w:val="120"/>
        </w:rPr>
        <w:t> </w:t>
      </w:r>
      <w:r>
        <w:rPr>
          <w:color w:val="231F20"/>
          <w:w w:val="120"/>
        </w:rPr>
        <w:t>élaboration</w:t>
      </w:r>
      <w:r>
        <w:rPr>
          <w:color w:val="231F20"/>
          <w:spacing w:val="-13"/>
          <w:w w:val="120"/>
        </w:rPr>
        <w:t> </w:t>
      </w:r>
      <w:r>
        <w:rPr>
          <w:color w:val="231F20"/>
          <w:w w:val="120"/>
        </w:rPr>
        <w:t>d’un</w:t>
      </w:r>
      <w:r>
        <w:rPr>
          <w:color w:val="231F20"/>
          <w:spacing w:val="-13"/>
          <w:w w:val="120"/>
        </w:rPr>
        <w:t> </w:t>
      </w:r>
      <w:r>
        <w:rPr>
          <w:color w:val="231F20"/>
          <w:w w:val="120"/>
        </w:rPr>
        <w:t>bon</w:t>
      </w:r>
      <w:r>
        <w:rPr>
          <w:color w:val="231F20"/>
          <w:spacing w:val="-12"/>
          <w:w w:val="120"/>
        </w:rPr>
        <w:t> </w:t>
      </w:r>
      <w:r>
        <w:rPr>
          <w:color w:val="231F20"/>
          <w:w w:val="120"/>
        </w:rPr>
        <w:t>diagnostic,</w:t>
      </w:r>
      <w:r>
        <w:rPr>
          <w:color w:val="231F20"/>
          <w:spacing w:val="-13"/>
          <w:w w:val="120"/>
        </w:rPr>
        <w:t> </w:t>
      </w:r>
      <w:r>
        <w:rPr>
          <w:color w:val="231F20"/>
          <w:w w:val="120"/>
        </w:rPr>
        <w:t>en</w:t>
      </w:r>
      <w:r>
        <w:rPr>
          <w:color w:val="231F20"/>
          <w:spacing w:val="-13"/>
          <w:w w:val="120"/>
        </w:rPr>
        <w:t> </w:t>
      </w:r>
      <w:r>
        <w:rPr>
          <w:color w:val="231F20"/>
          <w:w w:val="120"/>
        </w:rPr>
        <w:t>produisant </w:t>
      </w:r>
      <w:r>
        <w:rPr>
          <w:color w:val="231F20"/>
          <w:spacing w:val="-4"/>
          <w:w w:val="120"/>
        </w:rPr>
        <w:t>des</w:t>
      </w:r>
      <w:r>
        <w:rPr>
          <w:color w:val="231F20"/>
          <w:spacing w:val="-6"/>
          <w:w w:val="120"/>
        </w:rPr>
        <w:t> </w:t>
      </w:r>
      <w:r>
        <w:rPr>
          <w:color w:val="231F20"/>
          <w:spacing w:val="-4"/>
          <w:w w:val="120"/>
        </w:rPr>
        <w:t>données</w:t>
      </w:r>
      <w:r>
        <w:rPr>
          <w:color w:val="231F20"/>
          <w:spacing w:val="-6"/>
          <w:w w:val="120"/>
        </w:rPr>
        <w:t> </w:t>
      </w:r>
      <w:r>
        <w:rPr>
          <w:color w:val="231F20"/>
          <w:spacing w:val="-4"/>
          <w:w w:val="120"/>
        </w:rPr>
        <w:t>claires,</w:t>
      </w:r>
      <w:r>
        <w:rPr>
          <w:color w:val="231F20"/>
          <w:spacing w:val="-6"/>
          <w:w w:val="120"/>
        </w:rPr>
        <w:t> </w:t>
      </w:r>
      <w:r>
        <w:rPr>
          <w:color w:val="231F20"/>
          <w:spacing w:val="-4"/>
          <w:w w:val="120"/>
        </w:rPr>
        <w:t>sans</w:t>
      </w:r>
      <w:r>
        <w:rPr>
          <w:color w:val="231F20"/>
          <w:spacing w:val="-6"/>
          <w:w w:val="120"/>
        </w:rPr>
        <w:t> </w:t>
      </w:r>
      <w:r>
        <w:rPr>
          <w:color w:val="231F20"/>
          <w:spacing w:val="-4"/>
          <w:w w:val="120"/>
        </w:rPr>
        <w:t>équivoque</w:t>
      </w:r>
      <w:r>
        <w:rPr>
          <w:color w:val="231F20"/>
          <w:spacing w:val="-6"/>
          <w:w w:val="120"/>
        </w:rPr>
        <w:t> </w:t>
      </w:r>
      <w:r>
        <w:rPr>
          <w:color w:val="231F20"/>
          <w:spacing w:val="-4"/>
          <w:w w:val="120"/>
        </w:rPr>
        <w:t>et</w:t>
      </w:r>
      <w:r>
        <w:rPr>
          <w:color w:val="231F20"/>
          <w:spacing w:val="-6"/>
          <w:w w:val="120"/>
        </w:rPr>
        <w:t> </w:t>
      </w:r>
      <w:r>
        <w:rPr>
          <w:color w:val="231F20"/>
          <w:spacing w:val="-4"/>
          <w:w w:val="120"/>
        </w:rPr>
        <w:t>compréhensibles</w:t>
      </w:r>
      <w:r>
        <w:rPr>
          <w:color w:val="231F20"/>
          <w:spacing w:val="-6"/>
          <w:w w:val="120"/>
        </w:rPr>
        <w:t> </w:t>
      </w:r>
      <w:r>
        <w:rPr>
          <w:color w:val="231F20"/>
          <w:spacing w:val="-4"/>
          <w:w w:val="120"/>
        </w:rPr>
        <w:t>qui</w:t>
      </w:r>
      <w:r>
        <w:rPr>
          <w:color w:val="231F20"/>
          <w:spacing w:val="-6"/>
          <w:w w:val="120"/>
        </w:rPr>
        <w:t> </w:t>
      </w:r>
      <w:r>
        <w:rPr>
          <w:color w:val="231F20"/>
          <w:spacing w:val="-4"/>
          <w:w w:val="120"/>
        </w:rPr>
        <w:t>contribueront </w:t>
      </w:r>
      <w:r>
        <w:rPr>
          <w:color w:val="231F20"/>
          <w:w w:val="120"/>
        </w:rPr>
        <w:t>à sensibiliser les divers groupes de l’organisation au problème.</w:t>
      </w:r>
    </w:p>
    <w:p>
      <w:pPr>
        <w:pStyle w:val="BodyText"/>
        <w:spacing w:line="307" w:lineRule="auto" w:before="79"/>
        <w:ind w:left="830" w:right="495" w:firstLine="250"/>
        <w:jc w:val="both"/>
      </w:pPr>
      <w:r>
        <w:rPr>
          <w:color w:val="231F20"/>
          <w:w w:val="120"/>
        </w:rPr>
        <w:t>Très</w:t>
      </w:r>
      <w:r>
        <w:rPr>
          <w:color w:val="231F20"/>
          <w:spacing w:val="-7"/>
          <w:w w:val="120"/>
        </w:rPr>
        <w:t> </w:t>
      </w:r>
      <w:r>
        <w:rPr>
          <w:color w:val="231F20"/>
          <w:w w:val="120"/>
        </w:rPr>
        <w:t>souvent,</w:t>
      </w:r>
      <w:r>
        <w:rPr>
          <w:color w:val="231F20"/>
          <w:spacing w:val="-7"/>
          <w:w w:val="120"/>
        </w:rPr>
        <w:t> </w:t>
      </w:r>
      <w:r>
        <w:rPr>
          <w:color w:val="231F20"/>
          <w:w w:val="120"/>
        </w:rPr>
        <w:t>c’est</w:t>
      </w:r>
      <w:r>
        <w:rPr>
          <w:color w:val="231F20"/>
          <w:spacing w:val="-7"/>
          <w:w w:val="120"/>
        </w:rPr>
        <w:t> </w:t>
      </w:r>
      <w:r>
        <w:rPr>
          <w:color w:val="231F20"/>
          <w:w w:val="120"/>
        </w:rPr>
        <w:t>l’avantage</w:t>
      </w:r>
      <w:r>
        <w:rPr>
          <w:color w:val="231F20"/>
          <w:spacing w:val="-7"/>
          <w:w w:val="120"/>
        </w:rPr>
        <w:t> </w:t>
      </w:r>
      <w:r>
        <w:rPr>
          <w:color w:val="231F20"/>
          <w:w w:val="120"/>
        </w:rPr>
        <w:t>économique</w:t>
      </w:r>
      <w:r>
        <w:rPr>
          <w:color w:val="231F20"/>
          <w:spacing w:val="-7"/>
          <w:w w:val="120"/>
        </w:rPr>
        <w:t> </w:t>
      </w:r>
      <w:r>
        <w:rPr>
          <w:color w:val="231F20"/>
          <w:w w:val="120"/>
        </w:rPr>
        <w:t>qui</w:t>
      </w:r>
      <w:r>
        <w:rPr>
          <w:color w:val="231F20"/>
          <w:spacing w:val="-7"/>
          <w:w w:val="120"/>
        </w:rPr>
        <w:t> </w:t>
      </w:r>
      <w:r>
        <w:rPr>
          <w:color w:val="231F20"/>
          <w:w w:val="120"/>
        </w:rPr>
        <w:t>sert</w:t>
      </w:r>
      <w:r>
        <w:rPr>
          <w:color w:val="231F20"/>
          <w:spacing w:val="-7"/>
          <w:w w:val="120"/>
        </w:rPr>
        <w:t> </w:t>
      </w:r>
      <w:r>
        <w:rPr>
          <w:color w:val="231F20"/>
          <w:w w:val="120"/>
        </w:rPr>
        <w:t>de</w:t>
      </w:r>
      <w:r>
        <w:rPr>
          <w:color w:val="231F20"/>
          <w:spacing w:val="-7"/>
          <w:w w:val="120"/>
        </w:rPr>
        <w:t> </w:t>
      </w:r>
      <w:r>
        <w:rPr>
          <w:color w:val="231F20"/>
          <w:w w:val="120"/>
        </w:rPr>
        <w:t>point</w:t>
      </w:r>
      <w:r>
        <w:rPr>
          <w:color w:val="231F20"/>
          <w:spacing w:val="-7"/>
          <w:w w:val="120"/>
        </w:rPr>
        <w:t> </w:t>
      </w:r>
      <w:r>
        <w:rPr>
          <w:color w:val="231F20"/>
          <w:w w:val="120"/>
        </w:rPr>
        <w:t>de</w:t>
      </w:r>
      <w:r>
        <w:rPr>
          <w:color w:val="231F20"/>
          <w:spacing w:val="-7"/>
          <w:w w:val="120"/>
        </w:rPr>
        <w:t> </w:t>
      </w:r>
      <w:r>
        <w:rPr>
          <w:color w:val="231F20"/>
          <w:w w:val="120"/>
        </w:rPr>
        <w:t>réfé- </w:t>
      </w:r>
      <w:r>
        <w:rPr>
          <w:color w:val="231F20"/>
          <w:w w:val="115"/>
        </w:rPr>
        <w:t>rence</w:t>
      </w:r>
      <w:r>
        <w:rPr>
          <w:color w:val="231F20"/>
          <w:spacing w:val="-13"/>
          <w:w w:val="115"/>
        </w:rPr>
        <w:t> </w:t>
      </w:r>
      <w:r>
        <w:rPr>
          <w:color w:val="231F20"/>
          <w:w w:val="115"/>
        </w:rPr>
        <w:t>lorsqu’on</w:t>
      </w:r>
      <w:r>
        <w:rPr>
          <w:color w:val="231F20"/>
          <w:spacing w:val="-12"/>
          <w:w w:val="115"/>
        </w:rPr>
        <w:t> </w:t>
      </w:r>
      <w:r>
        <w:rPr>
          <w:color w:val="231F20"/>
          <w:w w:val="115"/>
        </w:rPr>
        <w:t>évalue</w:t>
      </w:r>
      <w:r>
        <w:rPr>
          <w:color w:val="231F20"/>
          <w:spacing w:val="-12"/>
          <w:w w:val="115"/>
        </w:rPr>
        <w:t> </w:t>
      </w:r>
      <w:r>
        <w:rPr>
          <w:color w:val="231F20"/>
          <w:w w:val="115"/>
        </w:rPr>
        <w:t>l’efficacité</w:t>
      </w:r>
      <w:r>
        <w:rPr>
          <w:color w:val="231F20"/>
          <w:spacing w:val="-12"/>
          <w:w w:val="115"/>
        </w:rPr>
        <w:t> </w:t>
      </w:r>
      <w:r>
        <w:rPr>
          <w:color w:val="231F20"/>
          <w:w w:val="115"/>
        </w:rPr>
        <w:t>d’une</w:t>
      </w:r>
      <w:r>
        <w:rPr>
          <w:color w:val="231F20"/>
          <w:spacing w:val="-13"/>
          <w:w w:val="115"/>
        </w:rPr>
        <w:t> </w:t>
      </w:r>
      <w:r>
        <w:rPr>
          <w:color w:val="231F20"/>
          <w:w w:val="115"/>
        </w:rPr>
        <w:t>mesure</w:t>
      </w:r>
      <w:r>
        <w:rPr>
          <w:color w:val="231F20"/>
          <w:spacing w:val="-12"/>
          <w:w w:val="115"/>
        </w:rPr>
        <w:t> </w:t>
      </w:r>
      <w:r>
        <w:rPr>
          <w:color w:val="231F20"/>
          <w:w w:val="115"/>
        </w:rPr>
        <w:t>donnée.</w:t>
      </w:r>
      <w:r>
        <w:rPr>
          <w:color w:val="231F20"/>
          <w:spacing w:val="-12"/>
          <w:w w:val="115"/>
        </w:rPr>
        <w:t> </w:t>
      </w:r>
      <w:r>
        <w:rPr>
          <w:color w:val="231F20"/>
          <w:w w:val="115"/>
        </w:rPr>
        <w:t>Les</w:t>
      </w:r>
      <w:r>
        <w:rPr>
          <w:color w:val="231F20"/>
          <w:spacing w:val="-12"/>
          <w:w w:val="115"/>
        </w:rPr>
        <w:t> </w:t>
      </w:r>
      <w:r>
        <w:rPr>
          <w:color w:val="231F20"/>
          <w:w w:val="115"/>
        </w:rPr>
        <w:t>responsables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3"/>
          <w:w w:val="120"/>
        </w:rPr>
        <w:t> </w:t>
      </w:r>
      <w:r>
        <w:rPr>
          <w:color w:val="231F20"/>
          <w:w w:val="120"/>
        </w:rPr>
        <w:t>au</w:t>
      </w:r>
      <w:r>
        <w:rPr>
          <w:color w:val="231F20"/>
          <w:spacing w:val="-12"/>
          <w:w w:val="120"/>
        </w:rPr>
        <w:t> </w:t>
      </w:r>
      <w:r>
        <w:rPr>
          <w:color w:val="231F20"/>
          <w:w w:val="120"/>
        </w:rPr>
        <w:t>travail</w:t>
      </w:r>
      <w:r>
        <w:rPr>
          <w:color w:val="231F20"/>
          <w:spacing w:val="-13"/>
          <w:w w:val="120"/>
        </w:rPr>
        <w:t> </w:t>
      </w:r>
      <w:r>
        <w:rPr>
          <w:color w:val="231F20"/>
          <w:w w:val="120"/>
        </w:rPr>
        <w:t>doivent</w:t>
      </w:r>
      <w:r>
        <w:rPr>
          <w:color w:val="231F20"/>
          <w:spacing w:val="-13"/>
          <w:w w:val="120"/>
        </w:rPr>
        <w:t> </w:t>
      </w:r>
      <w:r>
        <w:rPr>
          <w:color w:val="231F20"/>
          <w:w w:val="120"/>
        </w:rPr>
        <w:t>donc</w:t>
      </w:r>
      <w:r>
        <w:rPr>
          <w:color w:val="231F20"/>
          <w:spacing w:val="-13"/>
          <w:w w:val="120"/>
        </w:rPr>
        <w:t> </w:t>
      </w:r>
      <w:r>
        <w:rPr>
          <w:color w:val="231F20"/>
          <w:w w:val="120"/>
        </w:rPr>
        <w:t>produire</w:t>
      </w:r>
      <w:r>
        <w:rPr>
          <w:color w:val="231F20"/>
          <w:spacing w:val="-12"/>
          <w:w w:val="120"/>
        </w:rPr>
        <w:t> </w:t>
      </w:r>
      <w:r>
        <w:rPr>
          <w:color w:val="231F20"/>
          <w:w w:val="120"/>
        </w:rPr>
        <w:t>des</w:t>
      </w:r>
      <w:r>
        <w:rPr>
          <w:color w:val="231F20"/>
          <w:spacing w:val="-13"/>
          <w:w w:val="120"/>
        </w:rPr>
        <w:t> </w:t>
      </w:r>
      <w:r>
        <w:rPr>
          <w:color w:val="231F20"/>
          <w:w w:val="120"/>
        </w:rPr>
        <w:t>données</w:t>
      </w:r>
      <w:r>
        <w:rPr>
          <w:color w:val="231F20"/>
          <w:spacing w:val="-13"/>
          <w:w w:val="120"/>
        </w:rPr>
        <w:t> </w:t>
      </w:r>
      <w:r>
        <w:rPr>
          <w:color w:val="231F20"/>
          <w:w w:val="120"/>
        </w:rPr>
        <w:t>qui</w:t>
      </w:r>
      <w:r>
        <w:rPr>
          <w:color w:val="231F20"/>
          <w:spacing w:val="-13"/>
          <w:w w:val="120"/>
        </w:rPr>
        <w:t> </w:t>
      </w:r>
      <w:r>
        <w:rPr>
          <w:color w:val="231F20"/>
          <w:w w:val="120"/>
        </w:rPr>
        <w:t>démontrent la</w:t>
      </w:r>
      <w:r>
        <w:rPr>
          <w:color w:val="231F20"/>
          <w:spacing w:val="-12"/>
          <w:w w:val="120"/>
        </w:rPr>
        <w:t> </w:t>
      </w:r>
      <w:r>
        <w:rPr>
          <w:color w:val="231F20"/>
          <w:w w:val="120"/>
        </w:rPr>
        <w:t>rentabilité</w:t>
      </w:r>
      <w:r>
        <w:rPr>
          <w:color w:val="231F20"/>
          <w:spacing w:val="-12"/>
          <w:w w:val="120"/>
        </w:rPr>
        <w:t> </w:t>
      </w:r>
      <w:r>
        <w:rPr>
          <w:color w:val="231F20"/>
          <w:w w:val="120"/>
        </w:rPr>
        <w:t>effective</w:t>
      </w:r>
      <w:r>
        <w:rPr>
          <w:color w:val="231F20"/>
          <w:spacing w:val="-12"/>
          <w:w w:val="120"/>
        </w:rPr>
        <w:t> </w:t>
      </w:r>
      <w:r>
        <w:rPr>
          <w:color w:val="231F20"/>
          <w:w w:val="120"/>
        </w:rPr>
        <w:t>des</w:t>
      </w:r>
      <w:r>
        <w:rPr>
          <w:color w:val="231F20"/>
          <w:spacing w:val="-12"/>
          <w:w w:val="120"/>
        </w:rPr>
        <w:t> </w:t>
      </w:r>
      <w:r>
        <w:rPr>
          <w:color w:val="231F20"/>
          <w:w w:val="120"/>
        </w:rPr>
        <w:t>mesures</w:t>
      </w:r>
      <w:r>
        <w:rPr>
          <w:color w:val="231F20"/>
          <w:spacing w:val="-12"/>
          <w:w w:val="120"/>
        </w:rPr>
        <w:t> </w:t>
      </w:r>
      <w:r>
        <w:rPr>
          <w:color w:val="231F20"/>
          <w:w w:val="120"/>
        </w:rPr>
        <w:t>à</w:t>
      </w:r>
      <w:r>
        <w:rPr>
          <w:color w:val="231F20"/>
          <w:spacing w:val="-12"/>
          <w:w w:val="120"/>
        </w:rPr>
        <w:t> </w:t>
      </w:r>
      <w:r>
        <w:rPr>
          <w:color w:val="231F20"/>
          <w:w w:val="120"/>
        </w:rPr>
        <w:t>prendre</w:t>
      </w:r>
      <w:r>
        <w:rPr>
          <w:color w:val="231F20"/>
          <w:spacing w:val="-12"/>
          <w:w w:val="120"/>
        </w:rPr>
        <w:t> </w:t>
      </w:r>
      <w:r>
        <w:rPr>
          <w:color w:val="231F20"/>
          <w:w w:val="120"/>
        </w:rPr>
        <w:t>dans</w:t>
      </w:r>
      <w:r>
        <w:rPr>
          <w:color w:val="231F20"/>
          <w:spacing w:val="-12"/>
          <w:w w:val="120"/>
        </w:rPr>
        <w:t> </w:t>
      </w:r>
      <w:r>
        <w:rPr>
          <w:color w:val="231F20"/>
          <w:w w:val="120"/>
        </w:rPr>
        <w:t>le</w:t>
      </w:r>
      <w:r>
        <w:rPr>
          <w:color w:val="231F20"/>
          <w:spacing w:val="-12"/>
          <w:w w:val="120"/>
        </w:rPr>
        <w:t> </w:t>
      </w:r>
      <w:r>
        <w:rPr>
          <w:color w:val="231F20"/>
          <w:w w:val="120"/>
        </w:rPr>
        <w:t>domaine</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ges- </w:t>
      </w:r>
      <w:r>
        <w:rPr>
          <w:color w:val="231F20"/>
          <w:spacing w:val="-2"/>
          <w:w w:val="120"/>
        </w:rPr>
        <w:t>tion</w:t>
      </w:r>
      <w:r>
        <w:rPr>
          <w:color w:val="231F20"/>
          <w:spacing w:val="-9"/>
          <w:w w:val="120"/>
        </w:rPr>
        <w:t> </w:t>
      </w:r>
      <w:r>
        <w:rPr>
          <w:color w:val="231F20"/>
          <w:spacing w:val="-2"/>
          <w:w w:val="120"/>
        </w:rPr>
        <w:t>de</w:t>
      </w:r>
      <w:r>
        <w:rPr>
          <w:color w:val="231F20"/>
          <w:spacing w:val="-9"/>
          <w:w w:val="120"/>
        </w:rPr>
        <w:t> </w:t>
      </w:r>
      <w:r>
        <w:rPr>
          <w:color w:val="231F20"/>
          <w:spacing w:val="-2"/>
          <w:w w:val="120"/>
        </w:rPr>
        <w:t>la</w:t>
      </w:r>
      <w:r>
        <w:rPr>
          <w:color w:val="231F20"/>
          <w:spacing w:val="-9"/>
          <w:w w:val="120"/>
        </w:rPr>
        <w:t> </w:t>
      </w:r>
      <w:r>
        <w:rPr>
          <w:color w:val="231F20"/>
          <w:spacing w:val="-2"/>
          <w:w w:val="120"/>
        </w:rPr>
        <w:t>santé</w:t>
      </w:r>
      <w:r>
        <w:rPr>
          <w:color w:val="231F20"/>
          <w:spacing w:val="-9"/>
          <w:w w:val="120"/>
        </w:rPr>
        <w:t> </w:t>
      </w:r>
      <w:r>
        <w:rPr>
          <w:color w:val="231F20"/>
          <w:spacing w:val="-2"/>
          <w:w w:val="120"/>
        </w:rPr>
        <w:t>des</w:t>
      </w:r>
      <w:r>
        <w:rPr>
          <w:color w:val="231F20"/>
          <w:spacing w:val="-9"/>
          <w:w w:val="120"/>
        </w:rPr>
        <w:t> </w:t>
      </w:r>
      <w:r>
        <w:rPr>
          <w:color w:val="231F20"/>
          <w:spacing w:val="-2"/>
          <w:w w:val="120"/>
        </w:rPr>
        <w:t>travailleurs.</w:t>
      </w:r>
      <w:r>
        <w:rPr>
          <w:color w:val="231F20"/>
          <w:spacing w:val="-9"/>
          <w:w w:val="120"/>
        </w:rPr>
        <w:t> </w:t>
      </w:r>
      <w:r>
        <w:rPr>
          <w:color w:val="231F20"/>
          <w:spacing w:val="-2"/>
          <w:w w:val="120"/>
        </w:rPr>
        <w:t>Ils</w:t>
      </w:r>
      <w:r>
        <w:rPr>
          <w:color w:val="231F20"/>
          <w:spacing w:val="-9"/>
          <w:w w:val="120"/>
        </w:rPr>
        <w:t> </w:t>
      </w:r>
      <w:r>
        <w:rPr>
          <w:color w:val="231F20"/>
          <w:spacing w:val="-2"/>
          <w:w w:val="120"/>
        </w:rPr>
        <w:t>doivent</w:t>
      </w:r>
      <w:r>
        <w:rPr>
          <w:color w:val="231F20"/>
          <w:spacing w:val="-9"/>
          <w:w w:val="120"/>
        </w:rPr>
        <w:t> </w:t>
      </w:r>
      <w:r>
        <w:rPr>
          <w:color w:val="231F20"/>
          <w:spacing w:val="-2"/>
          <w:w w:val="120"/>
        </w:rPr>
        <w:t>ainsi</w:t>
      </w:r>
      <w:r>
        <w:rPr>
          <w:color w:val="231F20"/>
          <w:spacing w:val="-9"/>
          <w:w w:val="120"/>
        </w:rPr>
        <w:t> </w:t>
      </w:r>
      <w:r>
        <w:rPr>
          <w:color w:val="231F20"/>
          <w:spacing w:val="-2"/>
          <w:w w:val="120"/>
        </w:rPr>
        <w:t>planifier</w:t>
      </w:r>
      <w:r>
        <w:rPr>
          <w:color w:val="231F20"/>
          <w:spacing w:val="-9"/>
          <w:w w:val="120"/>
        </w:rPr>
        <w:t> </w:t>
      </w:r>
      <w:r>
        <w:rPr>
          <w:color w:val="231F20"/>
          <w:spacing w:val="-2"/>
          <w:w w:val="120"/>
        </w:rPr>
        <w:t>soigneusement </w:t>
      </w:r>
      <w:r>
        <w:rPr>
          <w:color w:val="231F20"/>
          <w:w w:val="120"/>
        </w:rPr>
        <w:t>les</w:t>
      </w:r>
      <w:r>
        <w:rPr>
          <w:color w:val="231F20"/>
          <w:spacing w:val="-10"/>
          <w:w w:val="120"/>
        </w:rPr>
        <w:t> </w:t>
      </w:r>
      <w:r>
        <w:rPr>
          <w:color w:val="231F20"/>
          <w:w w:val="120"/>
        </w:rPr>
        <w:t>propositions</w:t>
      </w:r>
      <w:r>
        <w:rPr>
          <w:color w:val="231F20"/>
          <w:spacing w:val="-10"/>
          <w:w w:val="120"/>
        </w:rPr>
        <w:t> </w:t>
      </w:r>
      <w:r>
        <w:rPr>
          <w:color w:val="231F20"/>
          <w:w w:val="120"/>
        </w:rPr>
        <w:t>de</w:t>
      </w:r>
      <w:r>
        <w:rPr>
          <w:color w:val="231F20"/>
          <w:spacing w:val="-10"/>
          <w:w w:val="120"/>
        </w:rPr>
        <w:t> </w:t>
      </w:r>
      <w:r>
        <w:rPr>
          <w:color w:val="231F20"/>
          <w:w w:val="120"/>
        </w:rPr>
        <w:t>changement,</w:t>
      </w:r>
      <w:r>
        <w:rPr>
          <w:color w:val="231F20"/>
          <w:spacing w:val="-10"/>
          <w:w w:val="120"/>
        </w:rPr>
        <w:t> </w:t>
      </w:r>
      <w:r>
        <w:rPr>
          <w:color w:val="231F20"/>
          <w:w w:val="120"/>
        </w:rPr>
        <w:t>les</w:t>
      </w:r>
      <w:r>
        <w:rPr>
          <w:color w:val="231F20"/>
          <w:spacing w:val="-10"/>
          <w:w w:val="120"/>
        </w:rPr>
        <w:t> </w:t>
      </w:r>
      <w:r>
        <w:rPr>
          <w:color w:val="231F20"/>
          <w:w w:val="120"/>
        </w:rPr>
        <w:t>adapter</w:t>
      </w:r>
      <w:r>
        <w:rPr>
          <w:color w:val="231F20"/>
          <w:spacing w:val="-10"/>
          <w:w w:val="120"/>
        </w:rPr>
        <w:t> </w:t>
      </w:r>
      <w:r>
        <w:rPr>
          <w:color w:val="231F20"/>
          <w:w w:val="120"/>
        </w:rPr>
        <w:t>aux</w:t>
      </w:r>
      <w:r>
        <w:rPr>
          <w:color w:val="231F20"/>
          <w:spacing w:val="-10"/>
          <w:w w:val="120"/>
        </w:rPr>
        <w:t> </w:t>
      </w:r>
      <w:r>
        <w:rPr>
          <w:color w:val="231F20"/>
          <w:w w:val="120"/>
        </w:rPr>
        <w:t>cadres</w:t>
      </w:r>
      <w:r>
        <w:rPr>
          <w:color w:val="231F20"/>
          <w:spacing w:val="-10"/>
          <w:w w:val="120"/>
        </w:rPr>
        <w:t> </w:t>
      </w:r>
      <w:r>
        <w:rPr>
          <w:color w:val="231F20"/>
          <w:w w:val="120"/>
        </w:rPr>
        <w:t>en</w:t>
      </w:r>
      <w:r>
        <w:rPr>
          <w:color w:val="231F20"/>
          <w:spacing w:val="-10"/>
          <w:w w:val="120"/>
        </w:rPr>
        <w:t> </w:t>
      </w:r>
      <w:r>
        <w:rPr>
          <w:color w:val="231F20"/>
          <w:w w:val="120"/>
        </w:rPr>
        <w:t>termes</w:t>
      </w:r>
      <w:r>
        <w:rPr>
          <w:color w:val="231F20"/>
          <w:spacing w:val="-10"/>
          <w:w w:val="120"/>
        </w:rPr>
        <w:t> </w:t>
      </w:r>
      <w:r>
        <w:rPr>
          <w:color w:val="231F20"/>
          <w:w w:val="120"/>
        </w:rPr>
        <w:t>d’uti- </w:t>
      </w:r>
      <w:r>
        <w:rPr>
          <w:color w:val="231F20"/>
          <w:spacing w:val="-2"/>
          <w:w w:val="120"/>
        </w:rPr>
        <w:t>lité,</w:t>
      </w:r>
      <w:r>
        <w:rPr>
          <w:color w:val="231F20"/>
          <w:spacing w:val="-10"/>
          <w:w w:val="120"/>
        </w:rPr>
        <w:t> </w:t>
      </w:r>
      <w:r>
        <w:rPr>
          <w:color w:val="231F20"/>
          <w:spacing w:val="-2"/>
          <w:w w:val="120"/>
        </w:rPr>
        <w:t>de</w:t>
      </w:r>
      <w:r>
        <w:rPr>
          <w:color w:val="231F20"/>
          <w:spacing w:val="-10"/>
          <w:w w:val="120"/>
        </w:rPr>
        <w:t> </w:t>
      </w:r>
      <w:r>
        <w:rPr>
          <w:color w:val="231F20"/>
          <w:spacing w:val="-2"/>
          <w:w w:val="120"/>
        </w:rPr>
        <w:t>rentabilité</w:t>
      </w:r>
      <w:r>
        <w:rPr>
          <w:color w:val="231F20"/>
          <w:spacing w:val="-10"/>
          <w:w w:val="120"/>
        </w:rPr>
        <w:t> </w:t>
      </w:r>
      <w:r>
        <w:rPr>
          <w:color w:val="231F20"/>
          <w:spacing w:val="-2"/>
          <w:w w:val="120"/>
        </w:rPr>
        <w:t>et</w:t>
      </w:r>
      <w:r>
        <w:rPr>
          <w:color w:val="231F20"/>
          <w:spacing w:val="-10"/>
          <w:w w:val="120"/>
        </w:rPr>
        <w:t> </w:t>
      </w:r>
      <w:r>
        <w:rPr>
          <w:color w:val="231F20"/>
          <w:spacing w:val="-2"/>
          <w:w w:val="120"/>
        </w:rPr>
        <w:t>de</w:t>
      </w:r>
      <w:r>
        <w:rPr>
          <w:color w:val="231F20"/>
          <w:spacing w:val="-10"/>
          <w:w w:val="120"/>
        </w:rPr>
        <w:t> </w:t>
      </w:r>
      <w:r>
        <w:rPr>
          <w:color w:val="231F20"/>
          <w:spacing w:val="-2"/>
          <w:w w:val="120"/>
        </w:rPr>
        <w:t>praticabilité,</w:t>
      </w:r>
      <w:r>
        <w:rPr>
          <w:color w:val="231F20"/>
          <w:spacing w:val="-10"/>
          <w:w w:val="120"/>
        </w:rPr>
        <w:t> </w:t>
      </w:r>
      <w:r>
        <w:rPr>
          <w:color w:val="231F20"/>
          <w:spacing w:val="-2"/>
          <w:w w:val="120"/>
        </w:rPr>
        <w:t>tenir</w:t>
      </w:r>
      <w:r>
        <w:rPr>
          <w:color w:val="231F20"/>
          <w:spacing w:val="-10"/>
          <w:w w:val="120"/>
        </w:rPr>
        <w:t> </w:t>
      </w:r>
      <w:r>
        <w:rPr>
          <w:color w:val="231F20"/>
          <w:spacing w:val="-2"/>
          <w:w w:val="120"/>
        </w:rPr>
        <w:t>compte</w:t>
      </w:r>
      <w:r>
        <w:rPr>
          <w:color w:val="231F20"/>
          <w:spacing w:val="-10"/>
          <w:w w:val="120"/>
        </w:rPr>
        <w:t> </w:t>
      </w:r>
      <w:r>
        <w:rPr>
          <w:color w:val="231F20"/>
          <w:spacing w:val="-2"/>
          <w:w w:val="120"/>
        </w:rPr>
        <w:t>des</w:t>
      </w:r>
      <w:r>
        <w:rPr>
          <w:color w:val="231F20"/>
          <w:spacing w:val="-10"/>
          <w:w w:val="120"/>
        </w:rPr>
        <w:t> </w:t>
      </w:r>
      <w:r>
        <w:rPr>
          <w:color w:val="231F20"/>
          <w:spacing w:val="-2"/>
          <w:w w:val="120"/>
        </w:rPr>
        <w:t>coûts,</w:t>
      </w:r>
      <w:r>
        <w:rPr>
          <w:color w:val="231F20"/>
          <w:spacing w:val="-10"/>
          <w:w w:val="120"/>
        </w:rPr>
        <w:t> </w:t>
      </w:r>
      <w:r>
        <w:rPr>
          <w:color w:val="231F20"/>
          <w:spacing w:val="-2"/>
          <w:w w:val="120"/>
        </w:rPr>
        <w:t>des</w:t>
      </w:r>
      <w:r>
        <w:rPr>
          <w:color w:val="231F20"/>
          <w:spacing w:val="-10"/>
          <w:w w:val="120"/>
        </w:rPr>
        <w:t> </w:t>
      </w:r>
      <w:r>
        <w:rPr>
          <w:color w:val="231F20"/>
          <w:spacing w:val="-2"/>
          <w:w w:val="120"/>
        </w:rPr>
        <w:t>objectifs </w:t>
      </w:r>
      <w:r>
        <w:rPr>
          <w:color w:val="231F20"/>
          <w:w w:val="120"/>
        </w:rPr>
        <w:t>partiels,</w:t>
      </w:r>
      <w:r>
        <w:rPr>
          <w:color w:val="231F20"/>
          <w:spacing w:val="-13"/>
          <w:w w:val="120"/>
        </w:rPr>
        <w:t> </w:t>
      </w:r>
      <w:r>
        <w:rPr>
          <w:color w:val="231F20"/>
          <w:w w:val="120"/>
        </w:rPr>
        <w:t>des</w:t>
      </w:r>
      <w:r>
        <w:rPr>
          <w:color w:val="231F20"/>
          <w:spacing w:val="-13"/>
          <w:w w:val="120"/>
        </w:rPr>
        <w:t> </w:t>
      </w:r>
      <w:r>
        <w:rPr>
          <w:color w:val="231F20"/>
          <w:w w:val="120"/>
        </w:rPr>
        <w:t>buts</w:t>
      </w:r>
      <w:r>
        <w:rPr>
          <w:color w:val="231F20"/>
          <w:spacing w:val="-13"/>
          <w:w w:val="120"/>
        </w:rPr>
        <w:t> </w:t>
      </w:r>
      <w:r>
        <w:rPr>
          <w:color w:val="231F20"/>
          <w:w w:val="120"/>
        </w:rPr>
        <w:t>et</w:t>
      </w:r>
      <w:r>
        <w:rPr>
          <w:color w:val="231F20"/>
          <w:spacing w:val="-12"/>
          <w:w w:val="120"/>
        </w:rPr>
        <w:t> </w:t>
      </w:r>
      <w:r>
        <w:rPr>
          <w:color w:val="231F20"/>
          <w:w w:val="120"/>
        </w:rPr>
        <w:t>des</w:t>
      </w:r>
      <w:r>
        <w:rPr>
          <w:color w:val="231F20"/>
          <w:spacing w:val="-13"/>
          <w:w w:val="120"/>
        </w:rPr>
        <w:t> </w:t>
      </w:r>
      <w:r>
        <w:rPr>
          <w:color w:val="231F20"/>
          <w:w w:val="120"/>
        </w:rPr>
        <w:t>procédés.</w:t>
      </w:r>
      <w:r>
        <w:rPr>
          <w:color w:val="231F20"/>
          <w:spacing w:val="-13"/>
          <w:w w:val="120"/>
        </w:rPr>
        <w:t> </w:t>
      </w:r>
      <w:r>
        <w:rPr>
          <w:color w:val="231F20"/>
          <w:w w:val="120"/>
        </w:rPr>
        <w:t>Ils</w:t>
      </w:r>
      <w:r>
        <w:rPr>
          <w:color w:val="231F20"/>
          <w:spacing w:val="-13"/>
          <w:w w:val="120"/>
        </w:rPr>
        <w:t> </w:t>
      </w:r>
      <w:r>
        <w:rPr>
          <w:color w:val="231F20"/>
          <w:w w:val="120"/>
        </w:rPr>
        <w:t>doivent</w:t>
      </w:r>
      <w:r>
        <w:rPr>
          <w:color w:val="231F20"/>
          <w:spacing w:val="-12"/>
          <w:w w:val="120"/>
        </w:rPr>
        <w:t> </w:t>
      </w:r>
      <w:r>
        <w:rPr>
          <w:color w:val="231F20"/>
          <w:w w:val="120"/>
        </w:rPr>
        <w:t>aussi</w:t>
      </w:r>
      <w:r>
        <w:rPr>
          <w:color w:val="231F20"/>
          <w:spacing w:val="-13"/>
          <w:w w:val="120"/>
        </w:rPr>
        <w:t> </w:t>
      </w:r>
      <w:r>
        <w:rPr>
          <w:color w:val="231F20"/>
          <w:w w:val="120"/>
        </w:rPr>
        <w:t>planifier</w:t>
      </w:r>
      <w:r>
        <w:rPr>
          <w:color w:val="231F20"/>
          <w:spacing w:val="-13"/>
          <w:w w:val="120"/>
        </w:rPr>
        <w:t> </w:t>
      </w:r>
      <w:r>
        <w:rPr>
          <w:color w:val="231F20"/>
          <w:w w:val="120"/>
        </w:rPr>
        <w:t>stratégique- ment</w:t>
      </w:r>
      <w:r>
        <w:rPr>
          <w:color w:val="231F20"/>
          <w:spacing w:val="-5"/>
          <w:w w:val="120"/>
        </w:rPr>
        <w:t> </w:t>
      </w:r>
      <w:r>
        <w:rPr>
          <w:color w:val="231F20"/>
          <w:w w:val="120"/>
        </w:rPr>
        <w:t>l’ensemble</w:t>
      </w:r>
      <w:r>
        <w:rPr>
          <w:color w:val="231F20"/>
          <w:spacing w:val="-5"/>
          <w:w w:val="120"/>
        </w:rPr>
        <w:t> </w:t>
      </w:r>
      <w:r>
        <w:rPr>
          <w:color w:val="231F20"/>
          <w:w w:val="120"/>
        </w:rPr>
        <w:t>du</w:t>
      </w:r>
      <w:r>
        <w:rPr>
          <w:color w:val="231F20"/>
          <w:spacing w:val="-5"/>
          <w:w w:val="120"/>
        </w:rPr>
        <w:t> </w:t>
      </w:r>
      <w:r>
        <w:rPr>
          <w:color w:val="231F20"/>
          <w:w w:val="120"/>
        </w:rPr>
        <w:t>processus</w:t>
      </w:r>
      <w:r>
        <w:rPr>
          <w:color w:val="231F20"/>
          <w:spacing w:val="-5"/>
          <w:w w:val="120"/>
        </w:rPr>
        <w:t> </w:t>
      </w:r>
      <w:r>
        <w:rPr>
          <w:color w:val="231F20"/>
          <w:w w:val="120"/>
        </w:rPr>
        <w:t>de</w:t>
      </w:r>
      <w:r>
        <w:rPr>
          <w:color w:val="231F20"/>
          <w:spacing w:val="-5"/>
          <w:w w:val="120"/>
        </w:rPr>
        <w:t> </w:t>
      </w:r>
      <w:r>
        <w:rPr>
          <w:color w:val="231F20"/>
          <w:w w:val="120"/>
        </w:rPr>
        <w:t>changement</w:t>
      </w:r>
      <w:r>
        <w:rPr>
          <w:color w:val="231F20"/>
          <w:spacing w:val="-5"/>
          <w:w w:val="120"/>
        </w:rPr>
        <w:t> </w:t>
      </w:r>
      <w:r>
        <w:rPr>
          <w:color w:val="231F20"/>
          <w:w w:val="120"/>
        </w:rPr>
        <w:t>tout</w:t>
      </w:r>
      <w:r>
        <w:rPr>
          <w:color w:val="231F20"/>
          <w:spacing w:val="-5"/>
          <w:w w:val="120"/>
        </w:rPr>
        <w:t> </w:t>
      </w:r>
      <w:r>
        <w:rPr>
          <w:color w:val="231F20"/>
          <w:w w:val="120"/>
        </w:rPr>
        <w:t>en</w:t>
      </w:r>
      <w:r>
        <w:rPr>
          <w:color w:val="231F20"/>
          <w:spacing w:val="-5"/>
          <w:w w:val="120"/>
        </w:rPr>
        <w:t> </w:t>
      </w:r>
      <w:r>
        <w:rPr>
          <w:color w:val="231F20"/>
          <w:w w:val="120"/>
        </w:rPr>
        <w:t>cherchant</w:t>
      </w:r>
      <w:r>
        <w:rPr>
          <w:color w:val="231F20"/>
          <w:spacing w:val="-5"/>
          <w:w w:val="120"/>
        </w:rPr>
        <w:t> </w:t>
      </w:r>
      <w:r>
        <w:rPr>
          <w:color w:val="231F20"/>
          <w:w w:val="120"/>
        </w:rPr>
        <w:t>à</w:t>
      </w:r>
      <w:r>
        <w:rPr>
          <w:color w:val="231F20"/>
          <w:spacing w:val="-5"/>
          <w:w w:val="120"/>
        </w:rPr>
        <w:t> </w:t>
      </w:r>
      <w:r>
        <w:rPr>
          <w:color w:val="231F20"/>
          <w:w w:val="120"/>
        </w:rPr>
        <w:t>faire converger</w:t>
      </w:r>
      <w:r>
        <w:rPr>
          <w:color w:val="231F20"/>
          <w:spacing w:val="-1"/>
          <w:w w:val="120"/>
        </w:rPr>
        <w:t> </w:t>
      </w:r>
      <w:r>
        <w:rPr>
          <w:color w:val="231F20"/>
          <w:w w:val="120"/>
        </w:rPr>
        <w:t>les</w:t>
      </w:r>
      <w:r>
        <w:rPr>
          <w:color w:val="231F20"/>
          <w:spacing w:val="-1"/>
          <w:w w:val="120"/>
        </w:rPr>
        <w:t> </w:t>
      </w:r>
      <w:r>
        <w:rPr>
          <w:color w:val="231F20"/>
          <w:w w:val="120"/>
        </w:rPr>
        <w:t>buts</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direction</w:t>
      </w:r>
      <w:r>
        <w:rPr>
          <w:color w:val="231F20"/>
          <w:spacing w:val="-1"/>
          <w:w w:val="120"/>
        </w:rPr>
        <w:t> </w:t>
      </w:r>
      <w:r>
        <w:rPr>
          <w:color w:val="231F20"/>
          <w:w w:val="120"/>
        </w:rPr>
        <w:t>et</w:t>
      </w:r>
      <w:r>
        <w:rPr>
          <w:color w:val="231F20"/>
          <w:spacing w:val="-1"/>
          <w:w w:val="120"/>
        </w:rPr>
        <w:t> </w:t>
      </w:r>
      <w:r>
        <w:rPr>
          <w:color w:val="231F20"/>
          <w:w w:val="120"/>
        </w:rPr>
        <w:t>les</w:t>
      </w:r>
      <w:r>
        <w:rPr>
          <w:color w:val="231F20"/>
          <w:spacing w:val="-1"/>
          <w:w w:val="120"/>
        </w:rPr>
        <w:t> </w:t>
      </w:r>
      <w:r>
        <w:rPr>
          <w:color w:val="231F20"/>
          <w:w w:val="120"/>
        </w:rPr>
        <w:t>objectifs</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promotion</w:t>
      </w:r>
      <w:r>
        <w:rPr>
          <w:color w:val="231F20"/>
          <w:spacing w:val="-1"/>
          <w:w w:val="120"/>
        </w:rPr>
        <w:t> </w:t>
      </w:r>
      <w:r>
        <w:rPr>
          <w:color w:val="231F20"/>
          <w:w w:val="120"/>
        </w:rPr>
        <w:t>de</w:t>
      </w:r>
      <w:r>
        <w:rPr>
          <w:color w:val="231F20"/>
          <w:spacing w:val="-1"/>
          <w:w w:val="120"/>
        </w:rPr>
        <w:t> </w:t>
      </w:r>
      <w:r>
        <w:rPr>
          <w:color w:val="231F20"/>
          <w:w w:val="120"/>
        </w:rPr>
        <w:t>la </w:t>
      </w:r>
      <w:r>
        <w:rPr>
          <w:color w:val="231F20"/>
          <w:spacing w:val="-2"/>
          <w:w w:val="120"/>
        </w:rPr>
        <w:t>santé</w:t>
      </w:r>
      <w:r>
        <w:rPr>
          <w:color w:val="231F20"/>
          <w:spacing w:val="-5"/>
          <w:w w:val="120"/>
        </w:rPr>
        <w:t> </w:t>
      </w:r>
      <w:r>
        <w:rPr>
          <w:color w:val="231F20"/>
          <w:spacing w:val="-2"/>
          <w:w w:val="120"/>
        </w:rPr>
        <w:t>au</w:t>
      </w:r>
      <w:r>
        <w:rPr>
          <w:color w:val="231F20"/>
          <w:spacing w:val="-5"/>
          <w:w w:val="120"/>
        </w:rPr>
        <w:t> </w:t>
      </w:r>
      <w:r>
        <w:rPr>
          <w:color w:val="231F20"/>
          <w:spacing w:val="-2"/>
          <w:w w:val="120"/>
        </w:rPr>
        <w:t>sein</w:t>
      </w:r>
      <w:r>
        <w:rPr>
          <w:color w:val="231F20"/>
          <w:spacing w:val="-5"/>
          <w:w w:val="120"/>
        </w:rPr>
        <w:t> </w:t>
      </w:r>
      <w:r>
        <w:rPr>
          <w:color w:val="231F20"/>
          <w:spacing w:val="-2"/>
          <w:w w:val="120"/>
        </w:rPr>
        <w:t>de</w:t>
      </w:r>
      <w:r>
        <w:rPr>
          <w:color w:val="231F20"/>
          <w:spacing w:val="-5"/>
          <w:w w:val="120"/>
        </w:rPr>
        <w:t> </w:t>
      </w:r>
      <w:r>
        <w:rPr>
          <w:color w:val="231F20"/>
          <w:spacing w:val="-2"/>
          <w:w w:val="120"/>
        </w:rPr>
        <w:t>l’entreprise.</w:t>
      </w:r>
      <w:r>
        <w:rPr>
          <w:color w:val="231F20"/>
          <w:spacing w:val="-5"/>
          <w:w w:val="120"/>
        </w:rPr>
        <w:t> </w:t>
      </w:r>
      <w:r>
        <w:rPr>
          <w:color w:val="231F20"/>
          <w:spacing w:val="-2"/>
          <w:w w:val="120"/>
        </w:rPr>
        <w:t>Et</w:t>
      </w:r>
      <w:r>
        <w:rPr>
          <w:color w:val="231F20"/>
          <w:spacing w:val="-5"/>
          <w:w w:val="120"/>
        </w:rPr>
        <w:t> </w:t>
      </w:r>
      <w:r>
        <w:rPr>
          <w:color w:val="231F20"/>
          <w:spacing w:val="-2"/>
          <w:w w:val="120"/>
        </w:rPr>
        <w:t>plus</w:t>
      </w:r>
      <w:r>
        <w:rPr>
          <w:color w:val="231F20"/>
          <w:spacing w:val="-5"/>
          <w:w w:val="120"/>
        </w:rPr>
        <w:t> </w:t>
      </w:r>
      <w:r>
        <w:rPr>
          <w:color w:val="231F20"/>
          <w:spacing w:val="-2"/>
          <w:w w:val="120"/>
        </w:rPr>
        <w:t>que</w:t>
      </w:r>
      <w:r>
        <w:rPr>
          <w:color w:val="231F20"/>
          <w:spacing w:val="-5"/>
          <w:w w:val="120"/>
        </w:rPr>
        <w:t> </w:t>
      </w:r>
      <w:r>
        <w:rPr>
          <w:color w:val="231F20"/>
          <w:spacing w:val="-2"/>
          <w:w w:val="120"/>
        </w:rPr>
        <w:t>tout,</w:t>
      </w:r>
      <w:r>
        <w:rPr>
          <w:color w:val="231F20"/>
          <w:spacing w:val="-5"/>
          <w:w w:val="120"/>
        </w:rPr>
        <w:t> </w:t>
      </w:r>
      <w:r>
        <w:rPr>
          <w:color w:val="231F20"/>
          <w:spacing w:val="-2"/>
          <w:w w:val="120"/>
        </w:rPr>
        <w:t>ils</w:t>
      </w:r>
      <w:r>
        <w:rPr>
          <w:color w:val="231F20"/>
          <w:spacing w:val="-5"/>
          <w:w w:val="120"/>
        </w:rPr>
        <w:t> </w:t>
      </w:r>
      <w:r>
        <w:rPr>
          <w:color w:val="231F20"/>
          <w:spacing w:val="-2"/>
          <w:w w:val="120"/>
        </w:rPr>
        <w:t>doivent</w:t>
      </w:r>
      <w:r>
        <w:rPr>
          <w:color w:val="231F20"/>
          <w:spacing w:val="-5"/>
          <w:w w:val="120"/>
        </w:rPr>
        <w:t> </w:t>
      </w:r>
      <w:r>
        <w:rPr>
          <w:color w:val="231F20"/>
          <w:spacing w:val="-2"/>
          <w:w w:val="120"/>
        </w:rPr>
        <w:t>avoir</w:t>
      </w:r>
      <w:r>
        <w:rPr>
          <w:color w:val="231F20"/>
          <w:spacing w:val="-5"/>
          <w:w w:val="120"/>
        </w:rPr>
        <w:t> </w:t>
      </w:r>
      <w:r>
        <w:rPr>
          <w:color w:val="231F20"/>
          <w:spacing w:val="-2"/>
          <w:w w:val="120"/>
        </w:rPr>
        <w:t>l’habileté </w:t>
      </w:r>
      <w:r>
        <w:rPr>
          <w:color w:val="231F20"/>
          <w:w w:val="120"/>
        </w:rPr>
        <w:t>de</w:t>
      </w:r>
      <w:r>
        <w:rPr>
          <w:color w:val="231F20"/>
          <w:spacing w:val="-1"/>
          <w:w w:val="120"/>
        </w:rPr>
        <w:t> </w:t>
      </w:r>
      <w:r>
        <w:rPr>
          <w:color w:val="231F20"/>
          <w:w w:val="120"/>
        </w:rPr>
        <w:t>convaincre</w:t>
      </w:r>
      <w:r>
        <w:rPr>
          <w:color w:val="231F20"/>
          <w:spacing w:val="-1"/>
          <w:w w:val="120"/>
        </w:rPr>
        <w:t> </w:t>
      </w:r>
      <w:r>
        <w:rPr>
          <w:color w:val="231F20"/>
          <w:w w:val="120"/>
        </w:rPr>
        <w:t>les</w:t>
      </w:r>
      <w:r>
        <w:rPr>
          <w:color w:val="231F20"/>
          <w:spacing w:val="-1"/>
          <w:w w:val="120"/>
        </w:rPr>
        <w:t> </w:t>
      </w:r>
      <w:r>
        <w:rPr>
          <w:color w:val="231F20"/>
          <w:w w:val="120"/>
        </w:rPr>
        <w:t>gestionnaires</w:t>
      </w:r>
      <w:r>
        <w:rPr>
          <w:color w:val="231F20"/>
          <w:spacing w:val="-1"/>
          <w:w w:val="120"/>
        </w:rPr>
        <w:t> </w:t>
      </w:r>
      <w:r>
        <w:rPr>
          <w:color w:val="231F20"/>
          <w:w w:val="120"/>
        </w:rPr>
        <w:t>de</w:t>
      </w:r>
      <w:r>
        <w:rPr>
          <w:color w:val="231F20"/>
          <w:spacing w:val="-1"/>
          <w:w w:val="120"/>
        </w:rPr>
        <w:t> </w:t>
      </w:r>
      <w:r>
        <w:rPr>
          <w:color w:val="231F20"/>
          <w:w w:val="120"/>
        </w:rPr>
        <w:t>l’importance</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gestion</w:t>
      </w:r>
      <w:r>
        <w:rPr>
          <w:color w:val="231F20"/>
          <w:spacing w:val="-1"/>
          <w:w w:val="120"/>
        </w:rPr>
        <w:t> </w:t>
      </w:r>
      <w:r>
        <w:rPr>
          <w:color w:val="231F20"/>
          <w:w w:val="120"/>
        </w:rPr>
        <w:t>du</w:t>
      </w:r>
      <w:r>
        <w:rPr>
          <w:color w:val="231F20"/>
          <w:spacing w:val="-1"/>
          <w:w w:val="120"/>
        </w:rPr>
        <w:t> </w:t>
      </w:r>
      <w:r>
        <w:rPr>
          <w:color w:val="231F20"/>
          <w:w w:val="120"/>
        </w:rPr>
        <w:t>stress et</w:t>
      </w:r>
      <w:r>
        <w:rPr>
          <w:color w:val="231F20"/>
          <w:spacing w:val="-17"/>
          <w:w w:val="120"/>
        </w:rPr>
        <w:t> </w:t>
      </w:r>
      <w:r>
        <w:rPr>
          <w:color w:val="231F20"/>
          <w:w w:val="120"/>
        </w:rPr>
        <w:t>de</w:t>
      </w:r>
      <w:r>
        <w:rPr>
          <w:color w:val="231F20"/>
          <w:spacing w:val="-16"/>
          <w:w w:val="120"/>
        </w:rPr>
        <w:t> </w:t>
      </w:r>
      <w:r>
        <w:rPr>
          <w:color w:val="231F20"/>
          <w:w w:val="120"/>
        </w:rPr>
        <w:t>la</w:t>
      </w:r>
      <w:r>
        <w:rPr>
          <w:color w:val="231F20"/>
          <w:spacing w:val="-16"/>
          <w:w w:val="120"/>
        </w:rPr>
        <w:t> </w:t>
      </w:r>
      <w:r>
        <w:rPr>
          <w:color w:val="231F20"/>
          <w:w w:val="120"/>
        </w:rPr>
        <w:t>santé</w:t>
      </w:r>
      <w:r>
        <w:rPr>
          <w:color w:val="231F20"/>
          <w:spacing w:val="-16"/>
          <w:w w:val="120"/>
        </w:rPr>
        <w:t> </w:t>
      </w:r>
      <w:r>
        <w:rPr>
          <w:color w:val="231F20"/>
          <w:w w:val="120"/>
        </w:rPr>
        <w:t>psychologique</w:t>
      </w:r>
      <w:r>
        <w:rPr>
          <w:color w:val="231F20"/>
          <w:spacing w:val="-16"/>
          <w:w w:val="120"/>
        </w:rPr>
        <w:t> </w:t>
      </w:r>
      <w:r>
        <w:rPr>
          <w:color w:val="231F20"/>
          <w:w w:val="120"/>
        </w:rPr>
        <w:t>pour</w:t>
      </w:r>
      <w:r>
        <w:rPr>
          <w:color w:val="231F20"/>
          <w:spacing w:val="-16"/>
          <w:w w:val="120"/>
        </w:rPr>
        <w:t> </w:t>
      </w:r>
      <w:r>
        <w:rPr>
          <w:color w:val="231F20"/>
          <w:w w:val="120"/>
        </w:rPr>
        <w:t>le</w:t>
      </w:r>
      <w:r>
        <w:rPr>
          <w:color w:val="231F20"/>
          <w:spacing w:val="-17"/>
          <w:w w:val="120"/>
        </w:rPr>
        <w:t> </w:t>
      </w:r>
      <w:r>
        <w:rPr>
          <w:color w:val="231F20"/>
          <w:w w:val="120"/>
        </w:rPr>
        <w:t>long</w:t>
      </w:r>
      <w:r>
        <w:rPr>
          <w:color w:val="231F20"/>
          <w:spacing w:val="-16"/>
          <w:w w:val="120"/>
        </w:rPr>
        <w:t> </w:t>
      </w:r>
      <w:r>
        <w:rPr>
          <w:color w:val="231F20"/>
          <w:w w:val="120"/>
        </w:rPr>
        <w:t>terme.</w:t>
      </w:r>
      <w:r>
        <w:rPr>
          <w:color w:val="231F20"/>
          <w:spacing w:val="-16"/>
          <w:w w:val="120"/>
        </w:rPr>
        <w:t> </w:t>
      </w:r>
      <w:r>
        <w:rPr>
          <w:color w:val="231F20"/>
          <w:w w:val="120"/>
        </w:rPr>
        <w:t>Il</w:t>
      </w:r>
      <w:r>
        <w:rPr>
          <w:color w:val="231F20"/>
          <w:spacing w:val="-16"/>
          <w:w w:val="120"/>
        </w:rPr>
        <w:t> </w:t>
      </w:r>
      <w:r>
        <w:rPr>
          <w:color w:val="231F20"/>
          <w:w w:val="120"/>
        </w:rPr>
        <w:t>est</w:t>
      </w:r>
      <w:r>
        <w:rPr>
          <w:color w:val="231F20"/>
          <w:spacing w:val="-16"/>
          <w:w w:val="120"/>
        </w:rPr>
        <w:t> </w:t>
      </w:r>
      <w:r>
        <w:rPr>
          <w:color w:val="231F20"/>
          <w:w w:val="120"/>
        </w:rPr>
        <w:t>souvent</w:t>
      </w:r>
      <w:r>
        <w:rPr>
          <w:color w:val="231F20"/>
          <w:spacing w:val="-16"/>
          <w:w w:val="120"/>
        </w:rPr>
        <w:t> </w:t>
      </w:r>
      <w:r>
        <w:rPr>
          <w:color w:val="231F20"/>
          <w:w w:val="120"/>
        </w:rPr>
        <w:t>plus</w:t>
      </w:r>
      <w:r>
        <w:rPr>
          <w:color w:val="231F20"/>
          <w:spacing w:val="-17"/>
          <w:w w:val="120"/>
        </w:rPr>
        <w:t> </w:t>
      </w:r>
      <w:r>
        <w:rPr>
          <w:color w:val="231F20"/>
          <w:spacing w:val="-2"/>
          <w:w w:val="120"/>
        </w:rPr>
        <w:t>facile</w:t>
      </w:r>
    </w:p>
    <w:p>
      <w:pPr>
        <w:spacing w:after="0" w:line="307" w:lineRule="auto"/>
        <w:jc w:val="both"/>
        <w:sectPr>
          <w:footerReference w:type="default" r:id="rId314"/>
          <w:pgSz w:w="8640" w:h="12960"/>
          <w:pgMar w:footer="424" w:header="0" w:top="520" w:bottom="620" w:left="420" w:right="1140"/>
        </w:sectPr>
      </w:pPr>
    </w:p>
    <w:p>
      <w:pPr>
        <w:spacing w:before="118"/>
        <w:ind w:left="1847" w:right="0" w:firstLine="0"/>
        <w:jc w:val="left"/>
        <w:rPr>
          <w:rFonts w:ascii="Arial" w:hAnsi="Arial"/>
          <w:sz w:val="14"/>
        </w:rPr>
      </w:pPr>
      <w:bookmarkStart w:name=" 5.3.2 / Processus de diagnostic organis" w:id="187"/>
      <w:bookmarkEnd w:id="187"/>
      <w:r>
        <w:rPr/>
      </w:r>
      <w:bookmarkStart w:name="_bookmark83" w:id="188"/>
      <w:bookmarkEnd w:id="188"/>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8"/>
        <w:jc w:val="both"/>
      </w:pPr>
      <w:r>
        <w:rPr>
          <w:color w:val="231F20"/>
          <w:spacing w:val="-2"/>
          <w:w w:val="120"/>
        </w:rPr>
        <w:t>de</w:t>
      </w:r>
      <w:r>
        <w:rPr>
          <w:color w:val="231F20"/>
          <w:spacing w:val="-11"/>
          <w:w w:val="120"/>
        </w:rPr>
        <w:t> </w:t>
      </w:r>
      <w:r>
        <w:rPr>
          <w:color w:val="231F20"/>
          <w:spacing w:val="-2"/>
          <w:w w:val="120"/>
        </w:rPr>
        <w:t>justifier</w:t>
      </w:r>
      <w:r>
        <w:rPr>
          <w:color w:val="231F20"/>
          <w:spacing w:val="-11"/>
          <w:w w:val="120"/>
        </w:rPr>
        <w:t> </w:t>
      </w:r>
      <w:r>
        <w:rPr>
          <w:color w:val="231F20"/>
          <w:spacing w:val="-2"/>
          <w:w w:val="120"/>
        </w:rPr>
        <w:t>un</w:t>
      </w:r>
      <w:r>
        <w:rPr>
          <w:color w:val="231F20"/>
          <w:spacing w:val="-11"/>
          <w:w w:val="120"/>
        </w:rPr>
        <w:t> </w:t>
      </w:r>
      <w:r>
        <w:rPr>
          <w:color w:val="231F20"/>
          <w:spacing w:val="-2"/>
          <w:w w:val="120"/>
        </w:rPr>
        <w:t>changement</w:t>
      </w:r>
      <w:r>
        <w:rPr>
          <w:color w:val="231F20"/>
          <w:spacing w:val="-10"/>
          <w:w w:val="120"/>
        </w:rPr>
        <w:t> </w:t>
      </w:r>
      <w:r>
        <w:rPr>
          <w:color w:val="231F20"/>
          <w:spacing w:val="-2"/>
          <w:w w:val="120"/>
        </w:rPr>
        <w:t>pour</w:t>
      </w:r>
      <w:r>
        <w:rPr>
          <w:color w:val="231F20"/>
          <w:spacing w:val="-11"/>
          <w:w w:val="120"/>
        </w:rPr>
        <w:t> </w:t>
      </w:r>
      <w:r>
        <w:rPr>
          <w:color w:val="231F20"/>
          <w:spacing w:val="-2"/>
          <w:w w:val="120"/>
        </w:rPr>
        <w:t>résoudre</w:t>
      </w:r>
      <w:r>
        <w:rPr>
          <w:color w:val="231F20"/>
          <w:spacing w:val="-11"/>
          <w:w w:val="120"/>
        </w:rPr>
        <w:t> </w:t>
      </w:r>
      <w:r>
        <w:rPr>
          <w:color w:val="231F20"/>
          <w:spacing w:val="-2"/>
          <w:w w:val="120"/>
        </w:rPr>
        <w:t>un</w:t>
      </w:r>
      <w:r>
        <w:rPr>
          <w:color w:val="231F20"/>
          <w:spacing w:val="-11"/>
          <w:w w:val="120"/>
        </w:rPr>
        <w:t> </w:t>
      </w:r>
      <w:r>
        <w:rPr>
          <w:color w:val="231F20"/>
          <w:spacing w:val="-2"/>
          <w:w w:val="120"/>
        </w:rPr>
        <w:t>problème</w:t>
      </w:r>
      <w:r>
        <w:rPr>
          <w:color w:val="231F20"/>
          <w:spacing w:val="-10"/>
          <w:w w:val="120"/>
        </w:rPr>
        <w:t> </w:t>
      </w:r>
      <w:r>
        <w:rPr>
          <w:color w:val="231F20"/>
          <w:spacing w:val="-2"/>
          <w:w w:val="120"/>
        </w:rPr>
        <w:t>présent,</w:t>
      </w:r>
      <w:r>
        <w:rPr>
          <w:color w:val="231F20"/>
          <w:spacing w:val="-11"/>
          <w:w w:val="120"/>
        </w:rPr>
        <w:t> </w:t>
      </w:r>
      <w:r>
        <w:rPr>
          <w:color w:val="231F20"/>
          <w:spacing w:val="-2"/>
          <w:w w:val="120"/>
        </w:rPr>
        <w:t>mais</w:t>
      </w:r>
      <w:r>
        <w:rPr>
          <w:color w:val="231F20"/>
          <w:spacing w:val="-11"/>
          <w:w w:val="120"/>
        </w:rPr>
        <w:t> </w:t>
      </w:r>
      <w:r>
        <w:rPr>
          <w:color w:val="231F20"/>
          <w:spacing w:val="-2"/>
          <w:w w:val="120"/>
        </w:rPr>
        <w:t>bien plus</w:t>
      </w:r>
      <w:r>
        <w:rPr>
          <w:color w:val="231F20"/>
          <w:spacing w:val="-11"/>
          <w:w w:val="120"/>
        </w:rPr>
        <w:t> </w:t>
      </w:r>
      <w:r>
        <w:rPr>
          <w:color w:val="231F20"/>
          <w:spacing w:val="-2"/>
          <w:w w:val="120"/>
        </w:rPr>
        <w:t>complexe</w:t>
      </w:r>
      <w:r>
        <w:rPr>
          <w:color w:val="231F20"/>
          <w:spacing w:val="-11"/>
          <w:w w:val="120"/>
        </w:rPr>
        <w:t> </w:t>
      </w:r>
      <w:r>
        <w:rPr>
          <w:color w:val="231F20"/>
          <w:spacing w:val="-2"/>
          <w:w w:val="120"/>
        </w:rPr>
        <w:t>de</w:t>
      </w:r>
      <w:r>
        <w:rPr>
          <w:color w:val="231F20"/>
          <w:spacing w:val="-11"/>
          <w:w w:val="120"/>
        </w:rPr>
        <w:t> </w:t>
      </w:r>
      <w:r>
        <w:rPr>
          <w:color w:val="231F20"/>
          <w:spacing w:val="-2"/>
          <w:w w:val="120"/>
        </w:rPr>
        <w:t>stratégiquement</w:t>
      </w:r>
      <w:r>
        <w:rPr>
          <w:color w:val="231F20"/>
          <w:spacing w:val="-10"/>
          <w:w w:val="120"/>
        </w:rPr>
        <w:t> </w:t>
      </w:r>
      <w:r>
        <w:rPr>
          <w:color w:val="231F20"/>
          <w:spacing w:val="-2"/>
          <w:w w:val="120"/>
        </w:rPr>
        <w:t>entrevoir</w:t>
      </w:r>
      <w:r>
        <w:rPr>
          <w:color w:val="231F20"/>
          <w:spacing w:val="-11"/>
          <w:w w:val="120"/>
        </w:rPr>
        <w:t> </w:t>
      </w:r>
      <w:r>
        <w:rPr>
          <w:color w:val="231F20"/>
          <w:spacing w:val="-2"/>
          <w:w w:val="120"/>
        </w:rPr>
        <w:t>les</w:t>
      </w:r>
      <w:r>
        <w:rPr>
          <w:color w:val="231F20"/>
          <w:spacing w:val="-11"/>
          <w:w w:val="120"/>
        </w:rPr>
        <w:t> </w:t>
      </w:r>
      <w:r>
        <w:rPr>
          <w:color w:val="231F20"/>
          <w:spacing w:val="-2"/>
          <w:w w:val="120"/>
        </w:rPr>
        <w:t>interventions</w:t>
      </w:r>
      <w:r>
        <w:rPr>
          <w:color w:val="231F20"/>
          <w:spacing w:val="-11"/>
          <w:w w:val="120"/>
        </w:rPr>
        <w:t> </w:t>
      </w:r>
      <w:r>
        <w:rPr>
          <w:color w:val="231F20"/>
          <w:spacing w:val="-2"/>
          <w:w w:val="120"/>
        </w:rPr>
        <w:t>nécessaires </w:t>
      </w:r>
      <w:r>
        <w:rPr>
          <w:color w:val="231F20"/>
          <w:spacing w:val="-2"/>
          <w:w w:val="125"/>
        </w:rPr>
        <w:t>au</w:t>
      </w:r>
      <w:r>
        <w:rPr>
          <w:color w:val="231F20"/>
          <w:spacing w:val="-9"/>
          <w:w w:val="125"/>
        </w:rPr>
        <w:t> </w:t>
      </w:r>
      <w:r>
        <w:rPr>
          <w:color w:val="231F20"/>
          <w:spacing w:val="-2"/>
          <w:w w:val="125"/>
        </w:rPr>
        <w:t>maintien</w:t>
      </w:r>
      <w:r>
        <w:rPr>
          <w:color w:val="231F20"/>
          <w:spacing w:val="-9"/>
          <w:w w:val="125"/>
        </w:rPr>
        <w:t> </w:t>
      </w:r>
      <w:r>
        <w:rPr>
          <w:color w:val="231F20"/>
          <w:spacing w:val="-2"/>
          <w:w w:val="125"/>
        </w:rPr>
        <w:t>de</w:t>
      </w:r>
      <w:r>
        <w:rPr>
          <w:color w:val="231F20"/>
          <w:spacing w:val="-9"/>
          <w:w w:val="125"/>
        </w:rPr>
        <w:t> </w:t>
      </w:r>
      <w:r>
        <w:rPr>
          <w:color w:val="231F20"/>
          <w:spacing w:val="-2"/>
          <w:w w:val="125"/>
        </w:rPr>
        <w:t>l’efficacité</w:t>
      </w:r>
      <w:r>
        <w:rPr>
          <w:color w:val="231F20"/>
          <w:spacing w:val="-9"/>
          <w:w w:val="125"/>
        </w:rPr>
        <w:t> </w:t>
      </w:r>
      <w:r>
        <w:rPr>
          <w:color w:val="231F20"/>
          <w:spacing w:val="-2"/>
          <w:w w:val="125"/>
        </w:rPr>
        <w:t>future</w:t>
      </w:r>
      <w:r>
        <w:rPr>
          <w:color w:val="231F20"/>
          <w:spacing w:val="-9"/>
          <w:w w:val="125"/>
        </w:rPr>
        <w:t> </w:t>
      </w:r>
      <w:r>
        <w:rPr>
          <w:color w:val="231F20"/>
          <w:spacing w:val="-2"/>
          <w:w w:val="125"/>
        </w:rPr>
        <w:t>de</w:t>
      </w:r>
      <w:r>
        <w:rPr>
          <w:color w:val="231F20"/>
          <w:spacing w:val="-9"/>
          <w:w w:val="125"/>
        </w:rPr>
        <w:t> </w:t>
      </w:r>
      <w:r>
        <w:rPr>
          <w:color w:val="231F20"/>
          <w:spacing w:val="-2"/>
          <w:w w:val="125"/>
        </w:rPr>
        <w:t>l’organisation.</w:t>
      </w:r>
    </w:p>
    <w:p>
      <w:pPr>
        <w:pStyle w:val="BodyText"/>
        <w:spacing w:before="10"/>
        <w:rPr>
          <w:sz w:val="26"/>
        </w:rPr>
      </w:pPr>
    </w:p>
    <w:p>
      <w:pPr>
        <w:pStyle w:val="Heading4"/>
        <w:numPr>
          <w:ilvl w:val="2"/>
          <w:numId w:val="89"/>
        </w:numPr>
        <w:tabs>
          <w:tab w:pos="919" w:val="left" w:leader="none"/>
          <w:tab w:pos="1219" w:val="left" w:leader="none"/>
        </w:tabs>
        <w:spacing w:line="240" w:lineRule="auto" w:before="0" w:after="0"/>
        <w:ind w:left="918" w:right="0" w:hanging="395"/>
        <w:jc w:val="left"/>
      </w:pPr>
      <w:r>
        <w:rPr>
          <w:b w:val="0"/>
          <w:i/>
          <w:color w:val="231F20"/>
          <w:spacing w:val="-10"/>
        </w:rPr>
        <w:t>/</w:t>
      </w:r>
      <w:r>
        <w:rPr>
          <w:b w:val="0"/>
          <w:i/>
          <w:color w:val="231F20"/>
        </w:rPr>
        <w:tab/>
      </w:r>
      <w:r>
        <w:rPr>
          <w:color w:val="231F20"/>
          <w:w w:val="90"/>
        </w:rPr>
        <w:t>Processus</w:t>
      </w:r>
      <w:r>
        <w:rPr>
          <w:color w:val="231F20"/>
          <w:spacing w:val="-2"/>
        </w:rPr>
        <w:t> </w:t>
      </w:r>
      <w:r>
        <w:rPr>
          <w:color w:val="231F20"/>
          <w:w w:val="90"/>
        </w:rPr>
        <w:t>de</w:t>
      </w:r>
      <w:r>
        <w:rPr>
          <w:color w:val="231F20"/>
          <w:spacing w:val="-1"/>
        </w:rPr>
        <w:t> </w:t>
      </w:r>
      <w:r>
        <w:rPr>
          <w:color w:val="231F20"/>
          <w:w w:val="90"/>
        </w:rPr>
        <w:t>diagnostic</w:t>
      </w:r>
      <w:r>
        <w:rPr>
          <w:color w:val="231F20"/>
          <w:spacing w:val="-1"/>
        </w:rPr>
        <w:t> </w:t>
      </w:r>
      <w:r>
        <w:rPr>
          <w:color w:val="231F20"/>
          <w:spacing w:val="-2"/>
          <w:w w:val="90"/>
        </w:rPr>
        <w:t>organisationnel</w:t>
      </w:r>
    </w:p>
    <w:p>
      <w:pPr>
        <w:pStyle w:val="BodyText"/>
        <w:spacing w:line="307" w:lineRule="auto" w:before="233"/>
        <w:ind w:left="1220" w:right="102"/>
        <w:jc w:val="both"/>
      </w:pPr>
      <w:r>
        <w:rPr>
          <w:color w:val="231F20"/>
          <w:w w:val="120"/>
        </w:rPr>
        <w:t>En matière d’intervention organisationnelle concernant la gestion du stress</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santé</w:t>
      </w:r>
      <w:r>
        <w:rPr>
          <w:color w:val="231F20"/>
          <w:spacing w:val="-4"/>
          <w:w w:val="120"/>
        </w:rPr>
        <w:t> </w:t>
      </w:r>
      <w:r>
        <w:rPr>
          <w:color w:val="231F20"/>
          <w:w w:val="120"/>
        </w:rPr>
        <w:t>psychologique,</w:t>
      </w:r>
      <w:r>
        <w:rPr>
          <w:color w:val="231F20"/>
          <w:spacing w:val="-4"/>
          <w:w w:val="120"/>
        </w:rPr>
        <w:t> </w:t>
      </w:r>
      <w:r>
        <w:rPr>
          <w:color w:val="231F20"/>
          <w:w w:val="120"/>
        </w:rPr>
        <w:t>un</w:t>
      </w:r>
      <w:r>
        <w:rPr>
          <w:color w:val="231F20"/>
          <w:spacing w:val="-4"/>
          <w:w w:val="120"/>
        </w:rPr>
        <w:t> </w:t>
      </w:r>
      <w:r>
        <w:rPr>
          <w:color w:val="231F20"/>
          <w:w w:val="120"/>
        </w:rPr>
        <w:t>diagnostic</w:t>
      </w:r>
      <w:r>
        <w:rPr>
          <w:color w:val="231F20"/>
          <w:spacing w:val="-4"/>
          <w:w w:val="120"/>
        </w:rPr>
        <w:t> </w:t>
      </w:r>
      <w:r>
        <w:rPr>
          <w:color w:val="231F20"/>
          <w:w w:val="120"/>
        </w:rPr>
        <w:t>organisationnel</w:t>
      </w:r>
      <w:r>
        <w:rPr>
          <w:color w:val="231F20"/>
          <w:spacing w:val="-4"/>
          <w:w w:val="120"/>
        </w:rPr>
        <w:t> </w:t>
      </w:r>
      <w:r>
        <w:rPr>
          <w:color w:val="231F20"/>
          <w:w w:val="120"/>
        </w:rPr>
        <w:t>de</w:t>
      </w:r>
      <w:r>
        <w:rPr>
          <w:color w:val="231F20"/>
          <w:spacing w:val="-4"/>
          <w:w w:val="120"/>
        </w:rPr>
        <w:t> </w:t>
      </w:r>
      <w:r>
        <w:rPr>
          <w:color w:val="231F20"/>
          <w:w w:val="120"/>
        </w:rPr>
        <w:t>la situation est essentiel afin de découvrir les sources du problème et de planifier</w:t>
      </w:r>
      <w:r>
        <w:rPr>
          <w:color w:val="231F20"/>
          <w:spacing w:val="-12"/>
          <w:w w:val="120"/>
        </w:rPr>
        <w:t> </w:t>
      </w:r>
      <w:r>
        <w:rPr>
          <w:color w:val="231F20"/>
          <w:w w:val="120"/>
        </w:rPr>
        <w:t>l’intervention</w:t>
      </w:r>
      <w:r>
        <w:rPr>
          <w:color w:val="231F20"/>
          <w:spacing w:val="-12"/>
          <w:w w:val="120"/>
        </w:rPr>
        <w:t> </w:t>
      </w:r>
      <w:r>
        <w:rPr>
          <w:color w:val="231F20"/>
          <w:w w:val="120"/>
        </w:rPr>
        <w:t>la</w:t>
      </w:r>
      <w:r>
        <w:rPr>
          <w:color w:val="231F20"/>
          <w:spacing w:val="-12"/>
          <w:w w:val="120"/>
        </w:rPr>
        <w:t> </w:t>
      </w:r>
      <w:r>
        <w:rPr>
          <w:color w:val="231F20"/>
          <w:w w:val="120"/>
        </w:rPr>
        <w:t>plus</w:t>
      </w:r>
      <w:r>
        <w:rPr>
          <w:color w:val="231F20"/>
          <w:spacing w:val="-12"/>
          <w:w w:val="120"/>
        </w:rPr>
        <w:t> </w:t>
      </w:r>
      <w:r>
        <w:rPr>
          <w:color w:val="231F20"/>
          <w:w w:val="120"/>
        </w:rPr>
        <w:t>efficace</w:t>
      </w:r>
      <w:r>
        <w:rPr>
          <w:color w:val="231F20"/>
          <w:spacing w:val="-12"/>
          <w:w w:val="120"/>
        </w:rPr>
        <w:t> </w:t>
      </w:r>
      <w:r>
        <w:rPr>
          <w:color w:val="231F20"/>
          <w:w w:val="120"/>
        </w:rPr>
        <w:t>face</w:t>
      </w:r>
      <w:r>
        <w:rPr>
          <w:color w:val="231F20"/>
          <w:spacing w:val="-12"/>
          <w:w w:val="120"/>
        </w:rPr>
        <w:t> </w:t>
      </w:r>
      <w:r>
        <w:rPr>
          <w:color w:val="231F20"/>
          <w:w w:val="120"/>
        </w:rPr>
        <w:t>à</w:t>
      </w:r>
      <w:r>
        <w:rPr>
          <w:color w:val="231F20"/>
          <w:spacing w:val="-12"/>
          <w:w w:val="120"/>
        </w:rPr>
        <w:t> </w:t>
      </w:r>
      <w:r>
        <w:rPr>
          <w:color w:val="231F20"/>
          <w:w w:val="120"/>
        </w:rPr>
        <w:t>la</w:t>
      </w:r>
      <w:r>
        <w:rPr>
          <w:color w:val="231F20"/>
          <w:spacing w:val="-12"/>
          <w:w w:val="120"/>
        </w:rPr>
        <w:t> </w:t>
      </w:r>
      <w:r>
        <w:rPr>
          <w:color w:val="231F20"/>
          <w:w w:val="120"/>
        </w:rPr>
        <w:t>situation.</w:t>
      </w:r>
      <w:r>
        <w:rPr>
          <w:color w:val="231F20"/>
          <w:spacing w:val="-12"/>
          <w:w w:val="120"/>
        </w:rPr>
        <w:t> </w:t>
      </w:r>
      <w:r>
        <w:rPr>
          <w:color w:val="231F20"/>
          <w:w w:val="120"/>
        </w:rPr>
        <w:t>Le</w:t>
      </w:r>
      <w:r>
        <w:rPr>
          <w:color w:val="231F20"/>
          <w:spacing w:val="-12"/>
          <w:w w:val="120"/>
        </w:rPr>
        <w:t> </w:t>
      </w:r>
      <w:r>
        <w:rPr>
          <w:color w:val="231F20"/>
          <w:w w:val="120"/>
        </w:rPr>
        <w:t>diagnostic organisationnel</w:t>
      </w:r>
      <w:r>
        <w:rPr>
          <w:color w:val="231F20"/>
          <w:spacing w:val="-12"/>
          <w:w w:val="120"/>
        </w:rPr>
        <w:t> </w:t>
      </w:r>
      <w:r>
        <w:rPr>
          <w:color w:val="231F20"/>
          <w:w w:val="120"/>
        </w:rPr>
        <w:t>est</w:t>
      </w:r>
      <w:r>
        <w:rPr>
          <w:color w:val="231F20"/>
          <w:spacing w:val="-12"/>
          <w:w w:val="120"/>
        </w:rPr>
        <w:t> </w:t>
      </w:r>
      <w:r>
        <w:rPr>
          <w:color w:val="231F20"/>
          <w:w w:val="120"/>
        </w:rPr>
        <w:t>une</w:t>
      </w:r>
      <w:r>
        <w:rPr>
          <w:color w:val="231F20"/>
          <w:spacing w:val="-12"/>
          <w:w w:val="120"/>
        </w:rPr>
        <w:t> </w:t>
      </w:r>
      <w:r>
        <w:rPr>
          <w:color w:val="231F20"/>
          <w:w w:val="120"/>
        </w:rPr>
        <w:t>démarche</w:t>
      </w:r>
      <w:r>
        <w:rPr>
          <w:color w:val="231F20"/>
          <w:spacing w:val="-12"/>
          <w:w w:val="120"/>
        </w:rPr>
        <w:t> </w:t>
      </w:r>
      <w:r>
        <w:rPr>
          <w:color w:val="231F20"/>
          <w:w w:val="120"/>
        </w:rPr>
        <w:t>méthodologique</w:t>
      </w:r>
      <w:r>
        <w:rPr>
          <w:color w:val="231F20"/>
          <w:spacing w:val="-12"/>
          <w:w w:val="120"/>
        </w:rPr>
        <w:t> </w:t>
      </w:r>
      <w:r>
        <w:rPr>
          <w:color w:val="231F20"/>
          <w:w w:val="120"/>
        </w:rPr>
        <w:t>visant</w:t>
      </w:r>
      <w:r>
        <w:rPr>
          <w:color w:val="231F20"/>
          <w:spacing w:val="-12"/>
          <w:w w:val="120"/>
        </w:rPr>
        <w:t> </w:t>
      </w:r>
      <w:r>
        <w:rPr>
          <w:color w:val="231F20"/>
          <w:w w:val="120"/>
        </w:rPr>
        <w:t>à</w:t>
      </w:r>
      <w:r>
        <w:rPr>
          <w:color w:val="231F20"/>
          <w:spacing w:val="-12"/>
          <w:w w:val="120"/>
        </w:rPr>
        <w:t> </w:t>
      </w:r>
      <w:r>
        <w:rPr>
          <w:color w:val="231F20"/>
          <w:w w:val="120"/>
        </w:rPr>
        <w:t>mieux</w:t>
      </w:r>
      <w:r>
        <w:rPr>
          <w:color w:val="231F20"/>
          <w:spacing w:val="-12"/>
          <w:w w:val="120"/>
        </w:rPr>
        <w:t> </w:t>
      </w:r>
      <w:r>
        <w:rPr>
          <w:color w:val="231F20"/>
          <w:w w:val="120"/>
        </w:rPr>
        <w:t>com- prendre la dynamique organisationnelle au moyen de l’intégration de </w:t>
      </w:r>
      <w:r>
        <w:rPr>
          <w:color w:val="231F20"/>
          <w:spacing w:val="-2"/>
          <w:w w:val="120"/>
        </w:rPr>
        <w:t>plusieurs</w:t>
      </w:r>
      <w:r>
        <w:rPr>
          <w:color w:val="231F20"/>
          <w:spacing w:val="-6"/>
          <w:w w:val="120"/>
        </w:rPr>
        <w:t> </w:t>
      </w:r>
      <w:r>
        <w:rPr>
          <w:color w:val="231F20"/>
          <w:spacing w:val="-2"/>
          <w:w w:val="120"/>
        </w:rPr>
        <w:t>niveaux</w:t>
      </w:r>
      <w:r>
        <w:rPr>
          <w:color w:val="231F20"/>
          <w:spacing w:val="-6"/>
          <w:w w:val="120"/>
        </w:rPr>
        <w:t> </w:t>
      </w:r>
      <w:r>
        <w:rPr>
          <w:color w:val="231F20"/>
          <w:spacing w:val="-2"/>
          <w:w w:val="120"/>
        </w:rPr>
        <w:t>d’analyse</w:t>
      </w:r>
      <w:r>
        <w:rPr>
          <w:color w:val="231F20"/>
          <w:spacing w:val="-6"/>
          <w:w w:val="120"/>
        </w:rPr>
        <w:t> </w:t>
      </w:r>
      <w:r>
        <w:rPr>
          <w:color w:val="231F20"/>
          <w:spacing w:val="-2"/>
          <w:w w:val="120"/>
        </w:rPr>
        <w:t>(organisationnel,</w:t>
      </w:r>
      <w:r>
        <w:rPr>
          <w:color w:val="231F20"/>
          <w:spacing w:val="-6"/>
          <w:w w:val="120"/>
        </w:rPr>
        <w:t> </w:t>
      </w:r>
      <w:r>
        <w:rPr>
          <w:color w:val="231F20"/>
          <w:spacing w:val="-2"/>
          <w:w w:val="120"/>
        </w:rPr>
        <w:t>équipe</w:t>
      </w:r>
      <w:r>
        <w:rPr>
          <w:color w:val="231F20"/>
          <w:spacing w:val="-6"/>
          <w:w w:val="120"/>
        </w:rPr>
        <w:t> </w:t>
      </w:r>
      <w:r>
        <w:rPr>
          <w:color w:val="231F20"/>
          <w:spacing w:val="-2"/>
          <w:w w:val="120"/>
        </w:rPr>
        <w:t>de</w:t>
      </w:r>
      <w:r>
        <w:rPr>
          <w:color w:val="231F20"/>
          <w:spacing w:val="-6"/>
          <w:w w:val="120"/>
        </w:rPr>
        <w:t> </w:t>
      </w:r>
      <w:r>
        <w:rPr>
          <w:color w:val="231F20"/>
          <w:spacing w:val="-2"/>
          <w:w w:val="120"/>
        </w:rPr>
        <w:t>travail</w:t>
      </w:r>
      <w:r>
        <w:rPr>
          <w:color w:val="231F20"/>
          <w:spacing w:val="-6"/>
          <w:w w:val="120"/>
        </w:rPr>
        <w:t> </w:t>
      </w:r>
      <w:r>
        <w:rPr>
          <w:color w:val="231F20"/>
          <w:spacing w:val="-2"/>
          <w:w w:val="120"/>
        </w:rPr>
        <w:t>et</w:t>
      </w:r>
      <w:r>
        <w:rPr>
          <w:color w:val="231F20"/>
          <w:spacing w:val="-6"/>
          <w:w w:val="120"/>
        </w:rPr>
        <w:t> </w:t>
      </w:r>
      <w:r>
        <w:rPr>
          <w:color w:val="231F20"/>
          <w:spacing w:val="-2"/>
          <w:w w:val="120"/>
        </w:rPr>
        <w:t>indivi- </w:t>
      </w:r>
      <w:r>
        <w:rPr>
          <w:color w:val="231F20"/>
          <w:w w:val="120"/>
        </w:rPr>
        <w:t>duel)</w:t>
      </w:r>
      <w:r>
        <w:rPr>
          <w:color w:val="231F20"/>
          <w:spacing w:val="-11"/>
          <w:w w:val="120"/>
        </w:rPr>
        <w:t> </w:t>
      </w:r>
      <w:r>
        <w:rPr>
          <w:color w:val="231F20"/>
          <w:w w:val="120"/>
        </w:rPr>
        <w:t>et</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clarification</w:t>
      </w:r>
      <w:r>
        <w:rPr>
          <w:color w:val="231F20"/>
          <w:spacing w:val="-11"/>
          <w:w w:val="120"/>
        </w:rPr>
        <w:t> </w:t>
      </w:r>
      <w:r>
        <w:rPr>
          <w:color w:val="231F20"/>
          <w:w w:val="120"/>
        </w:rPr>
        <w:t>des</w:t>
      </w:r>
      <w:r>
        <w:rPr>
          <w:color w:val="231F20"/>
          <w:spacing w:val="-11"/>
          <w:w w:val="120"/>
        </w:rPr>
        <w:t> </w:t>
      </w:r>
      <w:r>
        <w:rPr>
          <w:color w:val="231F20"/>
          <w:w w:val="120"/>
        </w:rPr>
        <w:t>relations</w:t>
      </w:r>
      <w:r>
        <w:rPr>
          <w:color w:val="231F20"/>
          <w:spacing w:val="-11"/>
          <w:w w:val="120"/>
        </w:rPr>
        <w:t> </w:t>
      </w:r>
      <w:r>
        <w:rPr>
          <w:color w:val="231F20"/>
          <w:w w:val="120"/>
        </w:rPr>
        <w:t>entre</w:t>
      </w:r>
      <w:r>
        <w:rPr>
          <w:color w:val="231F20"/>
          <w:spacing w:val="-11"/>
          <w:w w:val="120"/>
        </w:rPr>
        <w:t> </w:t>
      </w:r>
      <w:r>
        <w:rPr>
          <w:color w:val="231F20"/>
          <w:w w:val="120"/>
        </w:rPr>
        <w:t>les</w:t>
      </w:r>
      <w:r>
        <w:rPr>
          <w:color w:val="231F20"/>
          <w:spacing w:val="-11"/>
          <w:w w:val="120"/>
        </w:rPr>
        <w:t> </w:t>
      </w:r>
      <w:r>
        <w:rPr>
          <w:color w:val="231F20"/>
          <w:w w:val="120"/>
        </w:rPr>
        <w:t>variables</w:t>
      </w:r>
      <w:r>
        <w:rPr>
          <w:color w:val="231F20"/>
          <w:spacing w:val="-11"/>
          <w:w w:val="120"/>
        </w:rPr>
        <w:t> </w:t>
      </w:r>
      <w:r>
        <w:rPr>
          <w:color w:val="231F20"/>
          <w:w w:val="120"/>
        </w:rPr>
        <w:t>organisation- </w:t>
      </w:r>
      <w:r>
        <w:rPr>
          <w:color w:val="231F20"/>
          <w:w w:val="137"/>
        </w:rPr>
        <w:t>n</w:t>
      </w:r>
      <w:r>
        <w:rPr>
          <w:color w:val="231F20"/>
          <w:w w:val="132"/>
        </w:rPr>
        <w:t>e</w:t>
      </w:r>
      <w:r>
        <w:rPr>
          <w:color w:val="231F20"/>
          <w:w w:val="120"/>
        </w:rPr>
        <w:t>ll</w:t>
      </w:r>
      <w:r>
        <w:rPr>
          <w:color w:val="231F20"/>
          <w:w w:val="132"/>
        </w:rPr>
        <w:t>e</w:t>
      </w:r>
      <w:r>
        <w:rPr>
          <w:color w:val="231F20"/>
          <w:w w:val="129"/>
        </w:rPr>
        <w:t>s</w:t>
      </w:r>
      <w:r>
        <w:rPr>
          <w:color w:val="231F20"/>
          <w:w w:val="73"/>
        </w:rPr>
        <w:t>1</w:t>
      </w:r>
      <w:r>
        <w:rPr>
          <w:color w:val="231F20"/>
          <w:w w:val="101"/>
        </w:rPr>
        <w:t>4</w:t>
      </w:r>
      <w:r>
        <w:rPr>
          <w:color w:val="231F20"/>
          <w:w w:val="134"/>
        </w:rPr>
        <w:t>.</w:t>
      </w:r>
      <w:r>
        <w:rPr>
          <w:color w:val="231F20"/>
          <w:w w:val="119"/>
        </w:rPr>
        <w:t> </w:t>
      </w:r>
      <w:r>
        <w:rPr>
          <w:color w:val="231F20"/>
          <w:w w:val="120"/>
        </w:rPr>
        <w:t>On peut structurer un diagnostic de la santé au travail selon six stades (figure 5.1).</w:t>
      </w:r>
    </w:p>
    <w:p>
      <w:pPr>
        <w:pStyle w:val="BodyText"/>
        <w:spacing w:before="7"/>
        <w:rPr>
          <w:sz w:val="21"/>
        </w:rPr>
      </w:pPr>
    </w:p>
    <w:p>
      <w:pPr>
        <w:pStyle w:val="BodyText"/>
        <w:spacing w:line="307" w:lineRule="auto"/>
        <w:ind w:left="1220" w:right="104"/>
        <w:jc w:val="both"/>
      </w:pPr>
      <w:r>
        <w:rPr>
          <w:b/>
          <w:color w:val="231F20"/>
          <w:w w:val="115"/>
        </w:rPr>
        <w:t>Stade</w:t>
      </w:r>
      <w:r>
        <w:rPr>
          <w:b/>
          <w:color w:val="231F20"/>
          <w:spacing w:val="-8"/>
          <w:w w:val="115"/>
        </w:rPr>
        <w:t> </w:t>
      </w:r>
      <w:r>
        <w:rPr>
          <w:b/>
          <w:color w:val="231F20"/>
          <w:w w:val="115"/>
        </w:rPr>
        <w:t>I.</w:t>
      </w:r>
      <w:r>
        <w:rPr>
          <w:b/>
          <w:color w:val="231F20"/>
          <w:spacing w:val="-8"/>
          <w:w w:val="115"/>
        </w:rPr>
        <w:t> </w:t>
      </w:r>
      <w:r>
        <w:rPr>
          <w:b/>
          <w:color w:val="231F20"/>
          <w:w w:val="115"/>
        </w:rPr>
        <w:t>Collecte</w:t>
      </w:r>
      <w:r>
        <w:rPr>
          <w:b/>
          <w:color w:val="231F20"/>
          <w:spacing w:val="-8"/>
          <w:w w:val="115"/>
        </w:rPr>
        <w:t> </w:t>
      </w:r>
      <w:r>
        <w:rPr>
          <w:b/>
          <w:color w:val="231F20"/>
          <w:w w:val="115"/>
        </w:rPr>
        <w:t>de</w:t>
      </w:r>
      <w:r>
        <w:rPr>
          <w:b/>
          <w:color w:val="231F20"/>
          <w:spacing w:val="-8"/>
          <w:w w:val="115"/>
        </w:rPr>
        <w:t> </w:t>
      </w:r>
      <w:r>
        <w:rPr>
          <w:b/>
          <w:color w:val="231F20"/>
          <w:w w:val="115"/>
        </w:rPr>
        <w:t>l’information</w:t>
      </w:r>
      <w:r>
        <w:rPr>
          <w:b/>
          <w:color w:val="231F20"/>
          <w:spacing w:val="-4"/>
          <w:w w:val="115"/>
        </w:rPr>
        <w:t> </w:t>
      </w:r>
      <w:r>
        <w:rPr>
          <w:color w:val="231F20"/>
          <w:w w:val="115"/>
        </w:rPr>
        <w:t>–</w:t>
      </w:r>
      <w:r>
        <w:rPr>
          <w:color w:val="231F20"/>
          <w:spacing w:val="-4"/>
          <w:w w:val="115"/>
        </w:rPr>
        <w:t> </w:t>
      </w:r>
      <w:r>
        <w:rPr>
          <w:color w:val="231F20"/>
          <w:w w:val="115"/>
        </w:rPr>
        <w:t>Le</w:t>
      </w:r>
      <w:r>
        <w:rPr>
          <w:color w:val="231F20"/>
          <w:spacing w:val="-4"/>
          <w:w w:val="115"/>
        </w:rPr>
        <w:t> </w:t>
      </w:r>
      <w:r>
        <w:rPr>
          <w:color w:val="231F20"/>
          <w:w w:val="115"/>
        </w:rPr>
        <w:t>diagnostic</w:t>
      </w:r>
      <w:r>
        <w:rPr>
          <w:color w:val="231F20"/>
          <w:spacing w:val="-4"/>
          <w:w w:val="115"/>
        </w:rPr>
        <w:t> </w:t>
      </w:r>
      <w:r>
        <w:rPr>
          <w:color w:val="231F20"/>
          <w:w w:val="115"/>
        </w:rPr>
        <w:t>des</w:t>
      </w:r>
      <w:r>
        <w:rPr>
          <w:color w:val="231F20"/>
          <w:spacing w:val="-4"/>
          <w:w w:val="115"/>
        </w:rPr>
        <w:t> </w:t>
      </w:r>
      <w:r>
        <w:rPr>
          <w:color w:val="231F20"/>
          <w:w w:val="115"/>
        </w:rPr>
        <w:t>facteurs</w:t>
      </w:r>
      <w:r>
        <w:rPr>
          <w:color w:val="231F20"/>
          <w:spacing w:val="-4"/>
          <w:w w:val="115"/>
        </w:rPr>
        <w:t> </w:t>
      </w:r>
      <w:r>
        <w:rPr>
          <w:color w:val="231F20"/>
          <w:w w:val="115"/>
        </w:rPr>
        <w:t>de</w:t>
      </w:r>
      <w:r>
        <w:rPr>
          <w:color w:val="231F20"/>
          <w:spacing w:val="-4"/>
          <w:w w:val="115"/>
        </w:rPr>
        <w:t> </w:t>
      </w:r>
      <w:r>
        <w:rPr>
          <w:color w:val="231F20"/>
          <w:w w:val="115"/>
        </w:rPr>
        <w:t>risque </w:t>
      </w:r>
      <w:r>
        <w:rPr>
          <w:color w:val="231F20"/>
          <w:w w:val="120"/>
        </w:rPr>
        <w:t>psychosociaux dans l’organisation passe initialement par le recours à diverses stratégies de collecte d’information</w:t>
      </w:r>
      <w:r>
        <w:rPr>
          <w:color w:val="231F20"/>
          <w:spacing w:val="-13"/>
          <w:w w:val="120"/>
        </w:rPr>
        <w:t> </w:t>
      </w:r>
      <w:r>
        <w:rPr>
          <w:color w:val="231F20"/>
          <w:w w:val="120"/>
        </w:rPr>
        <w:t>: l’entrevue individuelle, </w:t>
      </w:r>
      <w:r>
        <w:rPr>
          <w:color w:val="231F20"/>
          <w:spacing w:val="-2"/>
          <w:w w:val="120"/>
        </w:rPr>
        <w:t>l’observation</w:t>
      </w:r>
      <w:r>
        <w:rPr>
          <w:color w:val="231F20"/>
          <w:spacing w:val="-8"/>
          <w:w w:val="120"/>
        </w:rPr>
        <w:t> </w:t>
      </w:r>
      <w:r>
        <w:rPr>
          <w:color w:val="231F20"/>
          <w:spacing w:val="-2"/>
          <w:w w:val="120"/>
        </w:rPr>
        <w:t>directe,</w:t>
      </w:r>
      <w:r>
        <w:rPr>
          <w:color w:val="231F20"/>
          <w:spacing w:val="-8"/>
          <w:w w:val="120"/>
        </w:rPr>
        <w:t> </w:t>
      </w:r>
      <w:r>
        <w:rPr>
          <w:color w:val="231F20"/>
          <w:spacing w:val="-2"/>
          <w:w w:val="120"/>
        </w:rPr>
        <w:t>de</w:t>
      </w:r>
      <w:r>
        <w:rPr>
          <w:color w:val="231F20"/>
          <w:spacing w:val="-8"/>
          <w:w w:val="120"/>
        </w:rPr>
        <w:t> </w:t>
      </w:r>
      <w:r>
        <w:rPr>
          <w:color w:val="231F20"/>
          <w:spacing w:val="-2"/>
          <w:w w:val="120"/>
        </w:rPr>
        <w:t>même</w:t>
      </w:r>
      <w:r>
        <w:rPr>
          <w:color w:val="231F20"/>
          <w:spacing w:val="-8"/>
          <w:w w:val="120"/>
        </w:rPr>
        <w:t> </w:t>
      </w:r>
      <w:r>
        <w:rPr>
          <w:color w:val="231F20"/>
          <w:spacing w:val="-2"/>
          <w:w w:val="120"/>
        </w:rPr>
        <w:t>que</w:t>
      </w:r>
      <w:r>
        <w:rPr>
          <w:color w:val="231F20"/>
          <w:spacing w:val="-8"/>
          <w:w w:val="120"/>
        </w:rPr>
        <w:t> </w:t>
      </w:r>
      <w:r>
        <w:rPr>
          <w:color w:val="231F20"/>
          <w:spacing w:val="-2"/>
          <w:w w:val="120"/>
        </w:rPr>
        <w:t>l’utilisation</w:t>
      </w:r>
      <w:r>
        <w:rPr>
          <w:color w:val="231F20"/>
          <w:spacing w:val="-8"/>
          <w:w w:val="120"/>
        </w:rPr>
        <w:t> </w:t>
      </w:r>
      <w:r>
        <w:rPr>
          <w:color w:val="231F20"/>
          <w:spacing w:val="-2"/>
          <w:w w:val="120"/>
        </w:rPr>
        <w:t>d’un</w:t>
      </w:r>
      <w:r>
        <w:rPr>
          <w:color w:val="231F20"/>
          <w:spacing w:val="-8"/>
          <w:w w:val="120"/>
        </w:rPr>
        <w:t> </w:t>
      </w:r>
      <w:r>
        <w:rPr>
          <w:color w:val="231F20"/>
          <w:spacing w:val="-2"/>
          <w:w w:val="120"/>
        </w:rPr>
        <w:t>outil</w:t>
      </w:r>
      <w:r>
        <w:rPr>
          <w:color w:val="231F20"/>
          <w:spacing w:val="-8"/>
          <w:w w:val="120"/>
        </w:rPr>
        <w:t> </w:t>
      </w:r>
      <w:r>
        <w:rPr>
          <w:color w:val="231F20"/>
          <w:spacing w:val="-2"/>
          <w:w w:val="120"/>
        </w:rPr>
        <w:t>de</w:t>
      </w:r>
      <w:r>
        <w:rPr>
          <w:color w:val="231F20"/>
          <w:spacing w:val="-8"/>
          <w:w w:val="120"/>
        </w:rPr>
        <w:t> </w:t>
      </w:r>
      <w:r>
        <w:rPr>
          <w:color w:val="231F20"/>
          <w:spacing w:val="-2"/>
          <w:w w:val="120"/>
        </w:rPr>
        <w:t>mesure</w:t>
      </w:r>
      <w:r>
        <w:rPr>
          <w:color w:val="231F20"/>
          <w:spacing w:val="-8"/>
          <w:w w:val="120"/>
        </w:rPr>
        <w:t> </w:t>
      </w:r>
      <w:r>
        <w:rPr>
          <w:color w:val="231F20"/>
          <w:spacing w:val="-2"/>
          <w:w w:val="120"/>
        </w:rPr>
        <w:t>des </w:t>
      </w:r>
      <w:r>
        <w:rPr>
          <w:color w:val="231F20"/>
          <w:w w:val="120"/>
        </w:rPr>
        <w:t>réponses données par les travailleurs et de leurs perceptions quant à la présence,</w:t>
      </w:r>
      <w:r>
        <w:rPr>
          <w:color w:val="231F20"/>
          <w:spacing w:val="-6"/>
          <w:w w:val="120"/>
        </w:rPr>
        <w:t> </w:t>
      </w:r>
      <w:r>
        <w:rPr>
          <w:color w:val="231F20"/>
          <w:w w:val="120"/>
        </w:rPr>
        <w:t>à</w:t>
      </w:r>
      <w:r>
        <w:rPr>
          <w:color w:val="231F20"/>
          <w:spacing w:val="-6"/>
          <w:w w:val="120"/>
        </w:rPr>
        <w:t> </w:t>
      </w:r>
      <w:r>
        <w:rPr>
          <w:color w:val="231F20"/>
          <w:w w:val="120"/>
        </w:rPr>
        <w:t>la</w:t>
      </w:r>
      <w:r>
        <w:rPr>
          <w:color w:val="231F20"/>
          <w:spacing w:val="-6"/>
          <w:w w:val="120"/>
        </w:rPr>
        <w:t> </w:t>
      </w:r>
      <w:r>
        <w:rPr>
          <w:color w:val="231F20"/>
          <w:w w:val="120"/>
        </w:rPr>
        <w:t>fréquence</w:t>
      </w:r>
      <w:r>
        <w:rPr>
          <w:color w:val="231F20"/>
          <w:spacing w:val="-6"/>
          <w:w w:val="120"/>
        </w:rPr>
        <w:t> </w:t>
      </w:r>
      <w:r>
        <w:rPr>
          <w:color w:val="231F20"/>
          <w:w w:val="120"/>
        </w:rPr>
        <w:t>et</w:t>
      </w:r>
      <w:r>
        <w:rPr>
          <w:color w:val="231F20"/>
          <w:spacing w:val="-6"/>
          <w:w w:val="120"/>
        </w:rPr>
        <w:t> </w:t>
      </w:r>
      <w:r>
        <w:rPr>
          <w:color w:val="231F20"/>
          <w:w w:val="120"/>
        </w:rPr>
        <w:t>à</w:t>
      </w:r>
      <w:r>
        <w:rPr>
          <w:color w:val="231F20"/>
          <w:spacing w:val="-6"/>
          <w:w w:val="120"/>
        </w:rPr>
        <w:t> </w:t>
      </w:r>
      <w:r>
        <w:rPr>
          <w:color w:val="231F20"/>
          <w:w w:val="120"/>
        </w:rPr>
        <w:t>l’origine</w:t>
      </w:r>
      <w:r>
        <w:rPr>
          <w:color w:val="231F20"/>
          <w:spacing w:val="-6"/>
          <w:w w:val="120"/>
        </w:rPr>
        <w:t> </w:t>
      </w:r>
      <w:r>
        <w:rPr>
          <w:color w:val="231F20"/>
          <w:w w:val="120"/>
        </w:rPr>
        <w:t>des</w:t>
      </w:r>
      <w:r>
        <w:rPr>
          <w:color w:val="231F20"/>
          <w:spacing w:val="-6"/>
          <w:w w:val="120"/>
        </w:rPr>
        <w:t> </w:t>
      </w:r>
      <w:r>
        <w:rPr>
          <w:color w:val="231F20"/>
          <w:w w:val="120"/>
        </w:rPr>
        <w:t>différents</w:t>
      </w:r>
      <w:r>
        <w:rPr>
          <w:color w:val="231F20"/>
          <w:spacing w:val="-6"/>
          <w:w w:val="120"/>
        </w:rPr>
        <w:t> </w:t>
      </w:r>
      <w:r>
        <w:rPr>
          <w:color w:val="231F20"/>
          <w:w w:val="120"/>
        </w:rPr>
        <w:t>facteurs</w:t>
      </w:r>
      <w:r>
        <w:rPr>
          <w:color w:val="231F20"/>
          <w:spacing w:val="-6"/>
          <w:w w:val="120"/>
        </w:rPr>
        <w:t> </w:t>
      </w:r>
      <w:r>
        <w:rPr>
          <w:color w:val="231F20"/>
          <w:w w:val="120"/>
        </w:rPr>
        <w:t>de</w:t>
      </w:r>
      <w:r>
        <w:rPr>
          <w:color w:val="231F20"/>
          <w:spacing w:val="-6"/>
          <w:w w:val="120"/>
        </w:rPr>
        <w:t> </w:t>
      </w:r>
      <w:r>
        <w:rPr>
          <w:color w:val="231F20"/>
          <w:w w:val="120"/>
        </w:rPr>
        <w:t>risques </w:t>
      </w:r>
      <w:r>
        <w:rPr>
          <w:color w:val="231F20"/>
          <w:w w:val="115"/>
        </w:rPr>
        <w:t>psychosociaux.</w:t>
      </w:r>
      <w:r>
        <w:rPr>
          <w:color w:val="231F20"/>
          <w:spacing w:val="-11"/>
          <w:w w:val="115"/>
        </w:rPr>
        <w:t> </w:t>
      </w:r>
      <w:r>
        <w:rPr>
          <w:color w:val="231F20"/>
          <w:w w:val="115"/>
        </w:rPr>
        <w:t>Cette</w:t>
      </w:r>
      <w:r>
        <w:rPr>
          <w:color w:val="231F20"/>
          <w:spacing w:val="-11"/>
          <w:w w:val="115"/>
        </w:rPr>
        <w:t> </w:t>
      </w:r>
      <w:r>
        <w:rPr>
          <w:color w:val="231F20"/>
          <w:w w:val="115"/>
        </w:rPr>
        <w:t>collecte</w:t>
      </w:r>
      <w:r>
        <w:rPr>
          <w:color w:val="231F20"/>
          <w:spacing w:val="-11"/>
          <w:w w:val="115"/>
        </w:rPr>
        <w:t> </w:t>
      </w:r>
      <w:r>
        <w:rPr>
          <w:color w:val="231F20"/>
          <w:w w:val="115"/>
        </w:rPr>
        <w:t>d’information</w:t>
      </w:r>
      <w:r>
        <w:rPr>
          <w:color w:val="231F20"/>
          <w:spacing w:val="-11"/>
          <w:w w:val="115"/>
        </w:rPr>
        <w:t> </w:t>
      </w:r>
      <w:r>
        <w:rPr>
          <w:color w:val="231F20"/>
          <w:w w:val="115"/>
        </w:rPr>
        <w:t>permettra</w:t>
      </w:r>
      <w:r>
        <w:rPr>
          <w:color w:val="231F20"/>
          <w:spacing w:val="-11"/>
          <w:w w:val="115"/>
        </w:rPr>
        <w:t> </w:t>
      </w:r>
      <w:r>
        <w:rPr>
          <w:color w:val="231F20"/>
          <w:w w:val="115"/>
        </w:rPr>
        <w:t>d’amasser</w:t>
      </w:r>
      <w:r>
        <w:rPr>
          <w:color w:val="231F20"/>
          <w:spacing w:val="-11"/>
          <w:w w:val="115"/>
        </w:rPr>
        <w:t> </w:t>
      </w:r>
      <w:r>
        <w:rPr>
          <w:color w:val="231F20"/>
          <w:w w:val="115"/>
        </w:rPr>
        <w:t>diverses </w:t>
      </w:r>
      <w:r>
        <w:rPr>
          <w:color w:val="231F20"/>
          <w:w w:val="120"/>
        </w:rPr>
        <w:t>données de plusieurs natures:</w:t>
      </w:r>
    </w:p>
    <w:p>
      <w:pPr>
        <w:pStyle w:val="Heading6"/>
        <w:numPr>
          <w:ilvl w:val="3"/>
          <w:numId w:val="89"/>
        </w:numPr>
        <w:tabs>
          <w:tab w:pos="1721" w:val="left" w:leader="none"/>
        </w:tabs>
        <w:spacing w:line="240" w:lineRule="auto" w:before="79" w:after="0"/>
        <w:ind w:left="1720" w:right="0" w:hanging="251"/>
        <w:jc w:val="both"/>
        <w:rPr>
          <w:rFonts w:ascii="Times New Roman" w:hAnsi="Times New Roman"/>
        </w:rPr>
      </w:pPr>
      <w:r>
        <w:rPr>
          <w:rFonts w:ascii="Times New Roman" w:hAnsi="Times New Roman"/>
          <w:color w:val="231F20"/>
          <w:spacing w:val="-2"/>
          <w:w w:val="110"/>
        </w:rPr>
        <w:t>Travailleur</w:t>
      </w:r>
    </w:p>
    <w:p>
      <w:pPr>
        <w:pStyle w:val="BodyText"/>
        <w:spacing w:before="134"/>
        <w:ind w:left="1720"/>
      </w:pPr>
      <w:r>
        <w:rPr>
          <w:rFonts w:ascii="Arial" w:hAnsi="Arial"/>
          <w:color w:val="231F20"/>
          <w:w w:val="115"/>
        </w:rPr>
        <w:t>›</w:t>
      </w:r>
      <w:r>
        <w:rPr>
          <w:rFonts w:ascii="Arial" w:hAnsi="Arial"/>
          <w:color w:val="231F20"/>
          <w:spacing w:val="56"/>
          <w:w w:val="115"/>
        </w:rPr>
        <w:t>  </w:t>
      </w:r>
      <w:r>
        <w:rPr>
          <w:color w:val="231F20"/>
          <w:w w:val="115"/>
        </w:rPr>
        <w:t>Appréciation</w:t>
      </w:r>
      <w:r>
        <w:rPr>
          <w:color w:val="231F20"/>
          <w:spacing w:val="-4"/>
          <w:w w:val="115"/>
        </w:rPr>
        <w:t> </w:t>
      </w:r>
      <w:r>
        <w:rPr>
          <w:color w:val="231F20"/>
          <w:w w:val="115"/>
        </w:rPr>
        <w:t>psychologique</w:t>
      </w:r>
      <w:r>
        <w:rPr>
          <w:color w:val="231F20"/>
          <w:spacing w:val="-5"/>
          <w:w w:val="115"/>
        </w:rPr>
        <w:t> </w:t>
      </w:r>
      <w:r>
        <w:rPr>
          <w:color w:val="231F20"/>
          <w:spacing w:val="-2"/>
          <w:w w:val="115"/>
        </w:rPr>
        <w:t>personnelle</w:t>
      </w:r>
    </w:p>
    <w:p>
      <w:pPr>
        <w:pStyle w:val="BodyText"/>
        <w:spacing w:before="54"/>
        <w:ind w:left="1720"/>
      </w:pPr>
      <w:r>
        <w:rPr>
          <w:rFonts w:ascii="Arial" w:hAnsi="Arial"/>
          <w:color w:val="231F20"/>
          <w:w w:val="115"/>
        </w:rPr>
        <w:t>›</w:t>
      </w:r>
      <w:r>
        <w:rPr>
          <w:rFonts w:ascii="Arial" w:hAnsi="Arial"/>
          <w:color w:val="231F20"/>
          <w:spacing w:val="63"/>
          <w:w w:val="115"/>
        </w:rPr>
        <w:t>  </w:t>
      </w:r>
      <w:r>
        <w:rPr>
          <w:color w:val="231F20"/>
          <w:w w:val="115"/>
        </w:rPr>
        <w:t>Administration</w:t>
      </w:r>
      <w:r>
        <w:rPr>
          <w:color w:val="231F20"/>
          <w:spacing w:val="-2"/>
          <w:w w:val="115"/>
        </w:rPr>
        <w:t> </w:t>
      </w:r>
      <w:r>
        <w:rPr>
          <w:color w:val="231F20"/>
          <w:w w:val="115"/>
        </w:rPr>
        <w:t>de</w:t>
      </w:r>
      <w:r>
        <w:rPr>
          <w:color w:val="231F20"/>
          <w:spacing w:val="-3"/>
          <w:w w:val="115"/>
        </w:rPr>
        <w:t> </w:t>
      </w:r>
      <w:r>
        <w:rPr>
          <w:color w:val="231F20"/>
          <w:w w:val="115"/>
        </w:rPr>
        <w:t>tests</w:t>
      </w:r>
      <w:r>
        <w:rPr>
          <w:color w:val="231F20"/>
          <w:spacing w:val="-2"/>
          <w:w w:val="115"/>
        </w:rPr>
        <w:t> psychométriques</w:t>
      </w:r>
    </w:p>
    <w:p>
      <w:pPr>
        <w:pStyle w:val="BodyText"/>
        <w:spacing w:before="54"/>
        <w:ind w:left="1720"/>
      </w:pPr>
      <w:r>
        <w:rPr>
          <w:rFonts w:ascii="Arial" w:hAnsi="Arial"/>
          <w:color w:val="231F20"/>
          <w:w w:val="115"/>
        </w:rPr>
        <w:t>›</w:t>
      </w:r>
      <w:r>
        <w:rPr>
          <w:rFonts w:ascii="Arial" w:hAnsi="Arial"/>
          <w:color w:val="231F20"/>
          <w:spacing w:val="65"/>
          <w:w w:val="115"/>
        </w:rPr>
        <w:t>  </w:t>
      </w:r>
      <w:r>
        <w:rPr>
          <w:color w:val="231F20"/>
          <w:w w:val="115"/>
        </w:rPr>
        <w:t>Indicateurs psychologiques</w:t>
      </w:r>
      <w:r>
        <w:rPr>
          <w:color w:val="231F20"/>
          <w:spacing w:val="-2"/>
          <w:w w:val="115"/>
        </w:rPr>
        <w:t> </w:t>
      </w:r>
      <w:r>
        <w:rPr>
          <w:color w:val="231F20"/>
          <w:w w:val="115"/>
        </w:rPr>
        <w:t>de</w:t>
      </w:r>
      <w:r>
        <w:rPr>
          <w:color w:val="231F20"/>
          <w:spacing w:val="-1"/>
          <w:w w:val="115"/>
        </w:rPr>
        <w:t> </w:t>
      </w:r>
      <w:r>
        <w:rPr>
          <w:color w:val="231F20"/>
          <w:spacing w:val="-2"/>
          <w:w w:val="115"/>
        </w:rPr>
        <w:t>rendement</w:t>
      </w:r>
    </w:p>
    <w:p>
      <w:pPr>
        <w:pStyle w:val="Heading6"/>
        <w:numPr>
          <w:ilvl w:val="3"/>
          <w:numId w:val="89"/>
        </w:numPr>
        <w:tabs>
          <w:tab w:pos="1721" w:val="left" w:leader="none"/>
        </w:tabs>
        <w:spacing w:line="240" w:lineRule="auto" w:before="134" w:after="0"/>
        <w:ind w:left="1720" w:right="0" w:hanging="251"/>
        <w:jc w:val="both"/>
        <w:rPr>
          <w:rFonts w:ascii="Times New Roman" w:hAnsi="Times New Roman"/>
        </w:rPr>
      </w:pPr>
      <w:r>
        <w:rPr>
          <w:rFonts w:ascii="Times New Roman" w:hAnsi="Times New Roman"/>
          <w:color w:val="231F20"/>
          <w:w w:val="110"/>
        </w:rPr>
        <w:t>Conditions</w:t>
      </w:r>
      <w:r>
        <w:rPr>
          <w:rFonts w:ascii="Times New Roman" w:hAnsi="Times New Roman"/>
          <w:color w:val="231F20"/>
          <w:spacing w:val="5"/>
          <w:w w:val="110"/>
        </w:rPr>
        <w:t> </w:t>
      </w:r>
      <w:r>
        <w:rPr>
          <w:rFonts w:ascii="Times New Roman" w:hAnsi="Times New Roman"/>
          <w:color w:val="231F20"/>
          <w:w w:val="110"/>
        </w:rPr>
        <w:t>de</w:t>
      </w:r>
      <w:r>
        <w:rPr>
          <w:rFonts w:ascii="Times New Roman" w:hAnsi="Times New Roman"/>
          <w:color w:val="231F20"/>
          <w:spacing w:val="6"/>
          <w:w w:val="110"/>
        </w:rPr>
        <w:t> </w:t>
      </w:r>
      <w:r>
        <w:rPr>
          <w:rFonts w:ascii="Times New Roman" w:hAnsi="Times New Roman"/>
          <w:color w:val="231F20"/>
          <w:spacing w:val="-2"/>
          <w:w w:val="110"/>
        </w:rPr>
        <w:t>travail</w:t>
      </w:r>
    </w:p>
    <w:p>
      <w:pPr>
        <w:pStyle w:val="BodyText"/>
        <w:spacing w:before="134"/>
        <w:ind w:left="1720"/>
      </w:pPr>
      <w:r>
        <w:rPr>
          <w:rFonts w:ascii="Arial" w:hAnsi="Arial"/>
          <w:color w:val="231F20"/>
          <w:w w:val="115"/>
        </w:rPr>
        <w:t>›</w:t>
      </w:r>
      <w:r>
        <w:rPr>
          <w:rFonts w:ascii="Arial" w:hAnsi="Arial"/>
          <w:color w:val="231F20"/>
          <w:spacing w:val="64"/>
          <w:w w:val="115"/>
        </w:rPr>
        <w:t>  </w:t>
      </w:r>
      <w:r>
        <w:rPr>
          <w:color w:val="231F20"/>
          <w:w w:val="115"/>
        </w:rPr>
        <w:t>Questionnaires,</w:t>
      </w:r>
      <w:r>
        <w:rPr>
          <w:color w:val="231F20"/>
          <w:spacing w:val="-1"/>
          <w:w w:val="115"/>
        </w:rPr>
        <w:t> </w:t>
      </w:r>
      <w:r>
        <w:rPr>
          <w:color w:val="231F20"/>
          <w:w w:val="115"/>
        </w:rPr>
        <w:t>outils</w:t>
      </w:r>
      <w:r>
        <w:rPr>
          <w:color w:val="231F20"/>
          <w:spacing w:val="-2"/>
          <w:w w:val="115"/>
        </w:rPr>
        <w:t> </w:t>
      </w:r>
      <w:r>
        <w:rPr>
          <w:color w:val="231F20"/>
          <w:w w:val="115"/>
        </w:rPr>
        <w:t>de</w:t>
      </w:r>
      <w:r>
        <w:rPr>
          <w:color w:val="231F20"/>
          <w:spacing w:val="-2"/>
          <w:w w:val="115"/>
        </w:rPr>
        <w:t> mesure</w:t>
      </w:r>
    </w:p>
    <w:p>
      <w:pPr>
        <w:pStyle w:val="BodyText"/>
        <w:spacing w:before="54"/>
        <w:ind w:left="1720"/>
      </w:pPr>
      <w:r>
        <w:rPr>
          <w:rFonts w:ascii="Arial" w:hAnsi="Arial"/>
          <w:color w:val="231F20"/>
          <w:w w:val="110"/>
        </w:rPr>
        <w:t>›</w:t>
      </w:r>
      <w:r>
        <w:rPr>
          <w:rFonts w:ascii="Arial" w:hAnsi="Arial"/>
          <w:color w:val="231F20"/>
          <w:spacing w:val="70"/>
          <w:w w:val="110"/>
        </w:rPr>
        <w:t>  </w:t>
      </w:r>
      <w:r>
        <w:rPr>
          <w:color w:val="231F20"/>
          <w:w w:val="110"/>
        </w:rPr>
        <w:t>Observations</w:t>
      </w:r>
      <w:r>
        <w:rPr>
          <w:color w:val="231F20"/>
          <w:spacing w:val="3"/>
          <w:w w:val="110"/>
        </w:rPr>
        <w:t> </w:t>
      </w:r>
      <w:r>
        <w:rPr>
          <w:color w:val="231F20"/>
          <w:spacing w:val="-2"/>
          <w:w w:val="110"/>
        </w:rPr>
        <w:t>directes</w:t>
      </w:r>
    </w:p>
    <w:p>
      <w:pPr>
        <w:pStyle w:val="Heading6"/>
        <w:numPr>
          <w:ilvl w:val="3"/>
          <w:numId w:val="89"/>
        </w:numPr>
        <w:tabs>
          <w:tab w:pos="1721" w:val="left" w:leader="none"/>
        </w:tabs>
        <w:spacing w:line="240" w:lineRule="auto" w:before="134" w:after="0"/>
        <w:ind w:left="1720" w:right="0" w:hanging="251"/>
        <w:jc w:val="both"/>
        <w:rPr>
          <w:rFonts w:ascii="Times New Roman" w:hAnsi="Times New Roman"/>
        </w:rPr>
      </w:pPr>
      <w:r>
        <w:rPr>
          <w:rFonts w:ascii="Times New Roman" w:hAnsi="Times New Roman"/>
          <w:color w:val="231F20"/>
          <w:w w:val="110"/>
        </w:rPr>
        <w:t>Conditions</w:t>
      </w:r>
      <w:r>
        <w:rPr>
          <w:rFonts w:ascii="Times New Roman" w:hAnsi="Times New Roman"/>
          <w:color w:val="231F20"/>
          <w:spacing w:val="5"/>
          <w:w w:val="110"/>
        </w:rPr>
        <w:t> </w:t>
      </w:r>
      <w:r>
        <w:rPr>
          <w:rFonts w:ascii="Times New Roman" w:hAnsi="Times New Roman"/>
          <w:color w:val="231F20"/>
          <w:w w:val="110"/>
        </w:rPr>
        <w:t>de</w:t>
      </w:r>
      <w:r>
        <w:rPr>
          <w:rFonts w:ascii="Times New Roman" w:hAnsi="Times New Roman"/>
          <w:color w:val="231F20"/>
          <w:spacing w:val="6"/>
          <w:w w:val="110"/>
        </w:rPr>
        <w:t> </w:t>
      </w:r>
      <w:r>
        <w:rPr>
          <w:rFonts w:ascii="Times New Roman" w:hAnsi="Times New Roman"/>
          <w:color w:val="231F20"/>
          <w:spacing w:val="-5"/>
          <w:w w:val="110"/>
        </w:rPr>
        <w:t>vie</w:t>
      </w:r>
    </w:p>
    <w:p>
      <w:pPr>
        <w:pStyle w:val="BodyText"/>
        <w:spacing w:before="134"/>
        <w:ind w:left="1720"/>
      </w:pPr>
      <w:r>
        <w:rPr>
          <w:rFonts w:ascii="Arial" w:hAnsi="Arial"/>
          <w:color w:val="231F20"/>
          <w:w w:val="120"/>
        </w:rPr>
        <w:t>›</w:t>
      </w:r>
      <w:r>
        <w:rPr>
          <w:rFonts w:ascii="Arial" w:hAnsi="Arial"/>
          <w:color w:val="231F20"/>
          <w:spacing w:val="75"/>
          <w:w w:val="120"/>
        </w:rPr>
        <w:t> </w:t>
      </w:r>
      <w:r>
        <w:rPr>
          <w:color w:val="231F20"/>
          <w:w w:val="120"/>
        </w:rPr>
        <w:t>Déclarations</w:t>
      </w:r>
      <w:r>
        <w:rPr>
          <w:color w:val="231F20"/>
          <w:spacing w:val="-13"/>
          <w:w w:val="120"/>
        </w:rPr>
        <w:t> </w:t>
      </w:r>
      <w:r>
        <w:rPr>
          <w:color w:val="231F20"/>
          <w:w w:val="120"/>
        </w:rPr>
        <w:t>faites</w:t>
      </w:r>
      <w:r>
        <w:rPr>
          <w:color w:val="231F20"/>
          <w:spacing w:val="-13"/>
          <w:w w:val="120"/>
        </w:rPr>
        <w:t> </w:t>
      </w:r>
      <w:r>
        <w:rPr>
          <w:color w:val="231F20"/>
          <w:w w:val="120"/>
        </w:rPr>
        <w:t>lors</w:t>
      </w:r>
      <w:r>
        <w:rPr>
          <w:color w:val="231F20"/>
          <w:spacing w:val="-13"/>
          <w:w w:val="120"/>
        </w:rPr>
        <w:t> </w:t>
      </w:r>
      <w:r>
        <w:rPr>
          <w:color w:val="231F20"/>
          <w:w w:val="120"/>
        </w:rPr>
        <w:t>de</w:t>
      </w:r>
      <w:r>
        <w:rPr>
          <w:color w:val="231F20"/>
          <w:spacing w:val="-12"/>
          <w:w w:val="120"/>
        </w:rPr>
        <w:t> </w:t>
      </w:r>
      <w:r>
        <w:rPr>
          <w:color w:val="231F20"/>
          <w:w w:val="120"/>
        </w:rPr>
        <w:t>l’entretien</w:t>
      </w:r>
      <w:r>
        <w:rPr>
          <w:color w:val="231F20"/>
          <w:spacing w:val="-13"/>
          <w:w w:val="120"/>
        </w:rPr>
        <w:t> </w:t>
      </w:r>
      <w:r>
        <w:rPr>
          <w:color w:val="231F20"/>
          <w:spacing w:val="-2"/>
          <w:w w:val="120"/>
        </w:rPr>
        <w:t>individuel</w:t>
      </w:r>
    </w:p>
    <w:p>
      <w:pPr>
        <w:pStyle w:val="BodyText"/>
        <w:rPr>
          <w:sz w:val="20"/>
        </w:rPr>
      </w:pPr>
    </w:p>
    <w:p>
      <w:pPr>
        <w:pStyle w:val="BodyText"/>
        <w:rPr>
          <w:sz w:val="20"/>
        </w:rPr>
      </w:pPr>
    </w:p>
    <w:p>
      <w:pPr>
        <w:pStyle w:val="BodyText"/>
        <w:spacing w:before="6"/>
        <w:rPr>
          <w:sz w:val="28"/>
        </w:rPr>
      </w:pPr>
      <w:r>
        <w:rPr/>
        <w:pict>
          <v:shape style="position:absolute;margin-left:82pt;margin-top:17.612402pt;width:287.5pt;height:.1pt;mso-position-horizontal-relative:page;mso-position-vertical-relative:paragraph;z-index:-15623168;mso-wrap-distance-left:0;mso-wrap-distance-right:0" id="docshape1073" coordorigin="1640,352" coordsize="5750,0" path="m1640,352l7390,352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19" w:right="108" w:hanging="406"/>
        <w:jc w:val="left"/>
        <w:rPr>
          <w:rFonts w:ascii="Arial" w:hAnsi="Arial"/>
          <w:sz w:val="12"/>
        </w:rPr>
      </w:pPr>
      <w:r>
        <w:rPr>
          <w:rFonts w:ascii="Arial" w:hAnsi="Arial"/>
          <w:color w:val="231F20"/>
          <w:sz w:val="12"/>
        </w:rPr>
        <w:t>Gosselin,</w:t>
      </w:r>
      <w:r>
        <w:rPr>
          <w:rFonts w:ascii="Arial" w:hAnsi="Arial"/>
          <w:color w:val="231F20"/>
          <w:spacing w:val="-8"/>
          <w:sz w:val="12"/>
        </w:rPr>
        <w:t> </w:t>
      </w:r>
      <w:r>
        <w:rPr>
          <w:rFonts w:ascii="Arial" w:hAnsi="Arial"/>
          <w:color w:val="231F20"/>
          <w:sz w:val="12"/>
        </w:rPr>
        <w:t>E.,</w:t>
      </w:r>
      <w:r>
        <w:rPr>
          <w:rFonts w:ascii="Arial" w:hAnsi="Arial"/>
          <w:color w:val="231F20"/>
          <w:spacing w:val="-8"/>
          <w:sz w:val="12"/>
        </w:rPr>
        <w:t> </w:t>
      </w:r>
      <w:r>
        <w:rPr>
          <w:rFonts w:ascii="Arial" w:hAnsi="Arial"/>
          <w:color w:val="231F20"/>
          <w:sz w:val="12"/>
        </w:rPr>
        <w:t>Dolan,</w:t>
      </w:r>
      <w:r>
        <w:rPr>
          <w:rFonts w:ascii="Arial" w:hAnsi="Arial"/>
          <w:color w:val="231F20"/>
          <w:spacing w:val="-8"/>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Morin,</w:t>
      </w:r>
      <w:r>
        <w:rPr>
          <w:rFonts w:ascii="Arial" w:hAnsi="Arial"/>
          <w:color w:val="231F20"/>
          <w:spacing w:val="-8"/>
          <w:sz w:val="12"/>
        </w:rPr>
        <w:t> </w:t>
      </w:r>
      <w:r>
        <w:rPr>
          <w:rFonts w:ascii="Arial" w:hAnsi="Arial"/>
          <w:color w:val="231F20"/>
          <w:sz w:val="12"/>
        </w:rPr>
        <w:t>D.</w:t>
      </w:r>
      <w:r>
        <w:rPr>
          <w:rFonts w:ascii="Arial" w:hAnsi="Arial"/>
          <w:color w:val="231F20"/>
          <w:spacing w:val="-8"/>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Bélisle,</w:t>
      </w:r>
      <w:r>
        <w:rPr>
          <w:rFonts w:ascii="Arial" w:hAnsi="Arial"/>
          <w:color w:val="231F20"/>
          <w:spacing w:val="-8"/>
          <w:sz w:val="12"/>
        </w:rPr>
        <w:t> </w:t>
      </w:r>
      <w:r>
        <w:rPr>
          <w:rFonts w:ascii="Arial" w:hAnsi="Arial"/>
          <w:color w:val="231F20"/>
          <w:sz w:val="12"/>
        </w:rPr>
        <w:t>L.</w:t>
      </w:r>
      <w:r>
        <w:rPr>
          <w:rFonts w:ascii="Arial" w:hAnsi="Arial"/>
          <w:color w:val="231F20"/>
          <w:spacing w:val="-8"/>
          <w:sz w:val="12"/>
        </w:rPr>
        <w:t> </w:t>
      </w:r>
      <w:r>
        <w:rPr>
          <w:rFonts w:ascii="Arial" w:hAnsi="Arial"/>
          <w:color w:val="231F20"/>
          <w:sz w:val="12"/>
        </w:rPr>
        <w:t>(2022).</w:t>
      </w:r>
      <w:r>
        <w:rPr>
          <w:rFonts w:ascii="Arial" w:hAnsi="Arial"/>
          <w:color w:val="231F20"/>
          <w:spacing w:val="-8"/>
          <w:sz w:val="12"/>
        </w:rPr>
        <w:t> </w:t>
      </w:r>
      <w:r>
        <w:rPr>
          <w:rFonts w:ascii="Arial" w:hAnsi="Arial"/>
          <w:i/>
          <w:color w:val="231F20"/>
          <w:sz w:val="12"/>
        </w:rPr>
        <w:t>Comportement</w:t>
      </w:r>
      <w:r>
        <w:rPr>
          <w:rFonts w:ascii="Arial" w:hAnsi="Arial"/>
          <w:i/>
          <w:color w:val="231F20"/>
          <w:spacing w:val="-8"/>
          <w:sz w:val="12"/>
        </w:rPr>
        <w:t> </w:t>
      </w:r>
      <w:r>
        <w:rPr>
          <w:rFonts w:ascii="Arial" w:hAnsi="Arial"/>
          <w:i/>
          <w:color w:val="231F20"/>
          <w:sz w:val="12"/>
        </w:rPr>
        <w:t>organisationnel:</w:t>
      </w:r>
      <w:r>
        <w:rPr>
          <w:rFonts w:ascii="Arial" w:hAnsi="Arial"/>
          <w:i/>
          <w:color w:val="231F20"/>
          <w:spacing w:val="-8"/>
          <w:sz w:val="12"/>
        </w:rPr>
        <w:t> </w:t>
      </w:r>
      <w:r>
        <w:rPr>
          <w:rFonts w:ascii="Arial" w:hAnsi="Arial"/>
          <w:i/>
          <w:color w:val="231F20"/>
          <w:sz w:val="12"/>
        </w:rPr>
        <w:t>les</w:t>
      </w:r>
      <w:r>
        <w:rPr>
          <w:rFonts w:ascii="Arial" w:hAnsi="Arial"/>
          <w:i/>
          <w:color w:val="231F20"/>
          <w:spacing w:val="-8"/>
          <w:sz w:val="12"/>
        </w:rPr>
        <w:t> </w:t>
      </w:r>
      <w:r>
        <w:rPr>
          <w:rFonts w:ascii="Arial" w:hAnsi="Arial"/>
          <w:i/>
          <w:color w:val="231F20"/>
          <w:sz w:val="12"/>
        </w:rPr>
        <w:t>aspects</w:t>
      </w:r>
      <w:r>
        <w:rPr>
          <w:rFonts w:ascii="Arial" w:hAnsi="Arial"/>
          <w:i/>
          <w:color w:val="231F20"/>
          <w:spacing w:val="-8"/>
          <w:sz w:val="12"/>
        </w:rPr>
        <w:t> </w:t>
      </w:r>
      <w:r>
        <w:rPr>
          <w:rFonts w:ascii="Arial" w:hAnsi="Arial"/>
          <w:i/>
          <w:color w:val="231F20"/>
          <w:sz w:val="12"/>
        </w:rPr>
        <w:t>humains</w:t>
      </w:r>
      <w:r>
        <w:rPr>
          <w:rFonts w:ascii="Arial" w:hAnsi="Arial"/>
          <w:i/>
          <w:color w:val="231F20"/>
          <w:spacing w:val="40"/>
          <w:sz w:val="12"/>
        </w:rPr>
        <w:t> </w:t>
      </w:r>
      <w:r>
        <w:rPr>
          <w:rFonts w:ascii="Arial" w:hAnsi="Arial"/>
          <w:i/>
          <w:color w:val="231F20"/>
          <w:sz w:val="12"/>
        </w:rPr>
        <w:t>de l’organisation</w:t>
      </w:r>
      <w:r>
        <w:rPr>
          <w:rFonts w:ascii="Arial" w:hAnsi="Arial"/>
          <w:color w:val="231F20"/>
          <w:sz w:val="12"/>
        </w:rPr>
        <w:t>, Montréal, Chenelière Éducation.</w:t>
      </w:r>
    </w:p>
    <w:p>
      <w:pPr>
        <w:spacing w:after="0" w:line="295" w:lineRule="auto"/>
        <w:jc w:val="left"/>
        <w:rPr>
          <w:rFonts w:ascii="Arial" w:hAnsi="Arial"/>
          <w:sz w:val="12"/>
        </w:rPr>
        <w:sectPr>
          <w:footerReference w:type="default" r:id="rId315"/>
          <w:pgSz w:w="8640" w:h="12960"/>
          <w:pgMar w:footer="424" w:header="0" w:top="500" w:bottom="620" w:left="420" w:right="1140"/>
        </w:sectPr>
      </w:pPr>
    </w:p>
    <w:p>
      <w:pPr>
        <w:spacing w:before="103"/>
        <w:ind w:left="1028" w:right="698" w:firstLine="0"/>
        <w:jc w:val="center"/>
        <w:rPr>
          <w:rFonts w:ascii="Arial" w:hAnsi="Arial"/>
          <w:sz w:val="14"/>
        </w:rPr>
      </w:pPr>
      <w:bookmarkStart w:name="Figure 5.1 / Stades du processus de diag" w:id="189"/>
      <w:bookmarkEnd w:id="189"/>
      <w:r>
        <w:rPr/>
      </w:r>
      <w:bookmarkStart w:name="_bookmark84" w:id="190"/>
      <w:bookmarkEnd w:id="19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spacing w:before="7"/>
        <w:rPr>
          <w:rFonts w:ascii="Arial"/>
        </w:rPr>
      </w:pPr>
    </w:p>
    <w:p>
      <w:pPr>
        <w:pStyle w:val="BodyText"/>
        <w:spacing w:line="307" w:lineRule="auto" w:before="145"/>
        <w:ind w:left="830" w:right="493"/>
        <w:jc w:val="both"/>
      </w:pPr>
      <w:r>
        <w:rPr>
          <w:b/>
          <w:color w:val="231F20"/>
          <w:w w:val="115"/>
        </w:rPr>
        <w:t>Stade II. Analyse des informations </w:t>
      </w:r>
      <w:r>
        <w:rPr>
          <w:color w:val="231F20"/>
          <w:w w:val="115"/>
        </w:rPr>
        <w:t>– Une fois les informations perti- </w:t>
      </w:r>
      <w:r>
        <w:rPr>
          <w:color w:val="231F20"/>
          <w:w w:val="120"/>
        </w:rPr>
        <w:t>nentes</w:t>
      </w:r>
      <w:r>
        <w:rPr>
          <w:color w:val="231F20"/>
          <w:spacing w:val="-13"/>
          <w:w w:val="120"/>
        </w:rPr>
        <w:t> </w:t>
      </w:r>
      <w:r>
        <w:rPr>
          <w:color w:val="231F20"/>
          <w:w w:val="120"/>
        </w:rPr>
        <w:t>recueillies,</w:t>
      </w:r>
      <w:r>
        <w:rPr>
          <w:color w:val="231F20"/>
          <w:spacing w:val="-13"/>
          <w:w w:val="120"/>
        </w:rPr>
        <w:t> </w:t>
      </w:r>
      <w:r>
        <w:rPr>
          <w:color w:val="231F20"/>
          <w:w w:val="120"/>
        </w:rPr>
        <w:t>il</w:t>
      </w:r>
      <w:r>
        <w:rPr>
          <w:color w:val="231F20"/>
          <w:spacing w:val="-13"/>
          <w:w w:val="120"/>
        </w:rPr>
        <w:t> </w:t>
      </w:r>
      <w:r>
        <w:rPr>
          <w:color w:val="231F20"/>
          <w:w w:val="120"/>
        </w:rPr>
        <w:t>faut</w:t>
      </w:r>
      <w:r>
        <w:rPr>
          <w:color w:val="231F20"/>
          <w:spacing w:val="-12"/>
          <w:w w:val="120"/>
        </w:rPr>
        <w:t> </w:t>
      </w:r>
      <w:r>
        <w:rPr>
          <w:color w:val="231F20"/>
          <w:w w:val="120"/>
        </w:rPr>
        <w:t>colliger</w:t>
      </w:r>
      <w:r>
        <w:rPr>
          <w:color w:val="231F20"/>
          <w:spacing w:val="-13"/>
          <w:w w:val="120"/>
        </w:rPr>
        <w:t> </w:t>
      </w:r>
      <w:r>
        <w:rPr>
          <w:color w:val="231F20"/>
          <w:w w:val="120"/>
        </w:rPr>
        <w:t>ces</w:t>
      </w:r>
      <w:r>
        <w:rPr>
          <w:color w:val="231F20"/>
          <w:spacing w:val="-13"/>
          <w:w w:val="120"/>
        </w:rPr>
        <w:t> </w:t>
      </w:r>
      <w:r>
        <w:rPr>
          <w:color w:val="231F20"/>
          <w:w w:val="120"/>
        </w:rPr>
        <w:t>dernières</w:t>
      </w:r>
      <w:r>
        <w:rPr>
          <w:color w:val="231F20"/>
          <w:spacing w:val="-13"/>
          <w:w w:val="120"/>
        </w:rPr>
        <w:t> </w:t>
      </w:r>
      <w:r>
        <w:rPr>
          <w:color w:val="231F20"/>
          <w:w w:val="120"/>
        </w:rPr>
        <w:t>afin</w:t>
      </w:r>
      <w:r>
        <w:rPr>
          <w:color w:val="231F20"/>
          <w:spacing w:val="-12"/>
          <w:w w:val="120"/>
        </w:rPr>
        <w:t> </w:t>
      </w:r>
      <w:r>
        <w:rPr>
          <w:color w:val="231F20"/>
          <w:w w:val="120"/>
        </w:rPr>
        <w:t>de</w:t>
      </w:r>
      <w:r>
        <w:rPr>
          <w:color w:val="231F20"/>
          <w:spacing w:val="-13"/>
          <w:w w:val="120"/>
        </w:rPr>
        <w:t> </w:t>
      </w:r>
      <w:r>
        <w:rPr>
          <w:color w:val="231F20"/>
          <w:w w:val="120"/>
        </w:rPr>
        <w:t>brosser</w:t>
      </w:r>
      <w:r>
        <w:rPr>
          <w:color w:val="231F20"/>
          <w:spacing w:val="-13"/>
          <w:w w:val="120"/>
        </w:rPr>
        <w:t> </w:t>
      </w:r>
      <w:r>
        <w:rPr>
          <w:color w:val="231F20"/>
          <w:w w:val="120"/>
        </w:rPr>
        <w:t>le</w:t>
      </w:r>
      <w:r>
        <w:rPr>
          <w:color w:val="231F20"/>
          <w:spacing w:val="-13"/>
          <w:w w:val="120"/>
        </w:rPr>
        <w:t> </w:t>
      </w:r>
      <w:r>
        <w:rPr>
          <w:color w:val="231F20"/>
          <w:w w:val="120"/>
        </w:rPr>
        <w:t>portrait de</w:t>
      </w:r>
      <w:r>
        <w:rPr>
          <w:color w:val="231F20"/>
          <w:spacing w:val="-13"/>
          <w:w w:val="120"/>
        </w:rPr>
        <w:t> </w:t>
      </w:r>
      <w:r>
        <w:rPr>
          <w:color w:val="231F20"/>
          <w:w w:val="120"/>
        </w:rPr>
        <w:t>la</w:t>
      </w:r>
      <w:r>
        <w:rPr>
          <w:color w:val="231F20"/>
          <w:spacing w:val="-13"/>
          <w:w w:val="120"/>
        </w:rPr>
        <w:t> </w:t>
      </w:r>
      <w:r>
        <w:rPr>
          <w:color w:val="231F20"/>
          <w:w w:val="120"/>
        </w:rPr>
        <w:t>situation</w:t>
      </w:r>
      <w:r>
        <w:rPr>
          <w:color w:val="231F20"/>
          <w:spacing w:val="-13"/>
          <w:w w:val="120"/>
        </w:rPr>
        <w:t> </w:t>
      </w:r>
      <w:r>
        <w:rPr>
          <w:color w:val="231F20"/>
          <w:w w:val="120"/>
        </w:rPr>
        <w:t>dans</w:t>
      </w:r>
      <w:r>
        <w:rPr>
          <w:color w:val="231F20"/>
          <w:spacing w:val="-12"/>
          <w:w w:val="120"/>
        </w:rPr>
        <w:t> </w:t>
      </w:r>
      <w:r>
        <w:rPr>
          <w:color w:val="231F20"/>
          <w:w w:val="120"/>
        </w:rPr>
        <w:t>l’organisation.</w:t>
      </w:r>
      <w:r>
        <w:rPr>
          <w:color w:val="231F20"/>
          <w:spacing w:val="-13"/>
          <w:w w:val="120"/>
        </w:rPr>
        <w:t> </w:t>
      </w:r>
      <w:r>
        <w:rPr>
          <w:color w:val="231F20"/>
          <w:w w:val="120"/>
        </w:rPr>
        <w:t>C’est</w:t>
      </w:r>
      <w:r>
        <w:rPr>
          <w:color w:val="231F20"/>
          <w:spacing w:val="-13"/>
          <w:w w:val="120"/>
        </w:rPr>
        <w:t> </w:t>
      </w:r>
      <w:r>
        <w:rPr>
          <w:color w:val="231F20"/>
          <w:w w:val="120"/>
        </w:rPr>
        <w:t>une</w:t>
      </w:r>
      <w:r>
        <w:rPr>
          <w:color w:val="231F20"/>
          <w:spacing w:val="-13"/>
          <w:w w:val="120"/>
        </w:rPr>
        <w:t> </w:t>
      </w:r>
      <w:r>
        <w:rPr>
          <w:color w:val="231F20"/>
          <w:w w:val="120"/>
        </w:rPr>
        <w:t>tâche</w:t>
      </w:r>
      <w:r>
        <w:rPr>
          <w:color w:val="231F20"/>
          <w:spacing w:val="-12"/>
          <w:w w:val="120"/>
        </w:rPr>
        <w:t> </w:t>
      </w:r>
      <w:r>
        <w:rPr>
          <w:color w:val="231F20"/>
          <w:w w:val="120"/>
        </w:rPr>
        <w:t>cruciale</w:t>
      </w:r>
      <w:r>
        <w:rPr>
          <w:color w:val="231F20"/>
          <w:spacing w:val="-13"/>
          <w:w w:val="120"/>
        </w:rPr>
        <w:t> </w:t>
      </w:r>
      <w:r>
        <w:rPr>
          <w:color w:val="231F20"/>
          <w:w w:val="120"/>
        </w:rPr>
        <w:t>et</w:t>
      </w:r>
      <w:r>
        <w:rPr>
          <w:color w:val="231F20"/>
          <w:spacing w:val="-13"/>
          <w:w w:val="120"/>
        </w:rPr>
        <w:t> </w:t>
      </w:r>
      <w:r>
        <w:rPr>
          <w:color w:val="231F20"/>
          <w:w w:val="120"/>
        </w:rPr>
        <w:t>complexe afin de définir la dynamique particulière de stress vécue par les tra- </w:t>
      </w:r>
      <w:r>
        <w:rPr>
          <w:color w:val="231F20"/>
          <w:spacing w:val="-2"/>
          <w:w w:val="120"/>
        </w:rPr>
        <w:t>vailleurs.</w:t>
      </w:r>
      <w:r>
        <w:rPr>
          <w:color w:val="231F20"/>
          <w:spacing w:val="-8"/>
          <w:w w:val="120"/>
        </w:rPr>
        <w:t> </w:t>
      </w:r>
      <w:r>
        <w:rPr>
          <w:color w:val="231F20"/>
          <w:spacing w:val="-2"/>
          <w:w w:val="120"/>
        </w:rPr>
        <w:t>Une</w:t>
      </w:r>
      <w:r>
        <w:rPr>
          <w:color w:val="231F20"/>
          <w:spacing w:val="-8"/>
          <w:w w:val="120"/>
        </w:rPr>
        <w:t> </w:t>
      </w:r>
      <w:r>
        <w:rPr>
          <w:color w:val="231F20"/>
          <w:spacing w:val="-2"/>
          <w:w w:val="120"/>
        </w:rPr>
        <w:t>bonne</w:t>
      </w:r>
      <w:r>
        <w:rPr>
          <w:color w:val="231F20"/>
          <w:spacing w:val="-8"/>
          <w:w w:val="120"/>
        </w:rPr>
        <w:t> </w:t>
      </w:r>
      <w:r>
        <w:rPr>
          <w:color w:val="231F20"/>
          <w:spacing w:val="-2"/>
          <w:w w:val="120"/>
        </w:rPr>
        <w:t>analyse</w:t>
      </w:r>
      <w:r>
        <w:rPr>
          <w:color w:val="231F20"/>
          <w:spacing w:val="-8"/>
          <w:w w:val="120"/>
        </w:rPr>
        <w:t> </w:t>
      </w:r>
      <w:r>
        <w:rPr>
          <w:color w:val="231F20"/>
          <w:spacing w:val="-2"/>
          <w:w w:val="120"/>
        </w:rPr>
        <w:t>des</w:t>
      </w:r>
      <w:r>
        <w:rPr>
          <w:color w:val="231F20"/>
          <w:spacing w:val="-8"/>
          <w:w w:val="120"/>
        </w:rPr>
        <w:t> </w:t>
      </w:r>
      <w:r>
        <w:rPr>
          <w:color w:val="231F20"/>
          <w:spacing w:val="-2"/>
          <w:w w:val="120"/>
        </w:rPr>
        <w:t>informations</w:t>
      </w:r>
      <w:r>
        <w:rPr>
          <w:color w:val="231F20"/>
          <w:spacing w:val="-8"/>
          <w:w w:val="120"/>
        </w:rPr>
        <w:t> </w:t>
      </w:r>
      <w:r>
        <w:rPr>
          <w:color w:val="231F20"/>
          <w:spacing w:val="-2"/>
          <w:w w:val="120"/>
        </w:rPr>
        <w:t>est</w:t>
      </w:r>
      <w:r>
        <w:rPr>
          <w:color w:val="231F20"/>
          <w:spacing w:val="-8"/>
          <w:w w:val="120"/>
        </w:rPr>
        <w:t> </w:t>
      </w:r>
      <w:r>
        <w:rPr>
          <w:color w:val="231F20"/>
          <w:spacing w:val="-2"/>
          <w:w w:val="120"/>
        </w:rPr>
        <w:t>essentielle</w:t>
      </w:r>
      <w:r>
        <w:rPr>
          <w:color w:val="231F20"/>
          <w:spacing w:val="-8"/>
          <w:w w:val="120"/>
        </w:rPr>
        <w:t> </w:t>
      </w:r>
      <w:r>
        <w:rPr>
          <w:color w:val="231F20"/>
          <w:spacing w:val="-2"/>
          <w:w w:val="120"/>
        </w:rPr>
        <w:t>pour</w:t>
      </w:r>
      <w:r>
        <w:rPr>
          <w:color w:val="231F20"/>
          <w:spacing w:val="-8"/>
          <w:w w:val="120"/>
        </w:rPr>
        <w:t> </w:t>
      </w:r>
      <w:r>
        <w:rPr>
          <w:color w:val="231F20"/>
          <w:spacing w:val="-2"/>
          <w:w w:val="120"/>
        </w:rPr>
        <w:t>orien- </w:t>
      </w:r>
      <w:r>
        <w:rPr>
          <w:color w:val="231F20"/>
          <w:w w:val="120"/>
        </w:rPr>
        <w:t>ter</w:t>
      </w:r>
      <w:r>
        <w:rPr>
          <w:color w:val="231F20"/>
          <w:spacing w:val="-3"/>
          <w:w w:val="120"/>
        </w:rPr>
        <w:t> </w:t>
      </w:r>
      <w:r>
        <w:rPr>
          <w:color w:val="231F20"/>
          <w:w w:val="120"/>
        </w:rPr>
        <w:t>judicieusement</w:t>
      </w:r>
      <w:r>
        <w:rPr>
          <w:color w:val="231F20"/>
          <w:spacing w:val="-3"/>
          <w:w w:val="120"/>
        </w:rPr>
        <w:t> </w:t>
      </w:r>
      <w:r>
        <w:rPr>
          <w:color w:val="231F20"/>
          <w:w w:val="120"/>
        </w:rPr>
        <w:t>les</w:t>
      </w:r>
      <w:r>
        <w:rPr>
          <w:color w:val="231F20"/>
          <w:spacing w:val="-3"/>
          <w:w w:val="120"/>
        </w:rPr>
        <w:t> </w:t>
      </w:r>
      <w:r>
        <w:rPr>
          <w:color w:val="231F20"/>
          <w:w w:val="120"/>
        </w:rPr>
        <w:t>interventions</w:t>
      </w:r>
      <w:r>
        <w:rPr>
          <w:color w:val="231F20"/>
          <w:spacing w:val="-3"/>
          <w:w w:val="120"/>
        </w:rPr>
        <w:t> </w:t>
      </w:r>
      <w:r>
        <w:rPr>
          <w:color w:val="231F20"/>
          <w:w w:val="120"/>
        </w:rPr>
        <w:t>vers</w:t>
      </w:r>
      <w:r>
        <w:rPr>
          <w:color w:val="231F20"/>
          <w:spacing w:val="-3"/>
          <w:w w:val="120"/>
        </w:rPr>
        <w:t> </w:t>
      </w:r>
      <w:r>
        <w:rPr>
          <w:color w:val="231F20"/>
          <w:w w:val="120"/>
        </w:rPr>
        <w:t>les</w:t>
      </w:r>
      <w:r>
        <w:rPr>
          <w:color w:val="231F20"/>
          <w:spacing w:val="-3"/>
          <w:w w:val="120"/>
        </w:rPr>
        <w:t> </w:t>
      </w:r>
      <w:r>
        <w:rPr>
          <w:color w:val="231F20"/>
          <w:w w:val="120"/>
        </w:rPr>
        <w:t>cibles</w:t>
      </w:r>
      <w:r>
        <w:rPr>
          <w:color w:val="231F20"/>
          <w:spacing w:val="-3"/>
          <w:w w:val="120"/>
        </w:rPr>
        <w:t> </w:t>
      </w:r>
      <w:r>
        <w:rPr>
          <w:color w:val="231F20"/>
          <w:w w:val="120"/>
        </w:rPr>
        <w:t>appropriées.</w:t>
      </w:r>
      <w:r>
        <w:rPr>
          <w:color w:val="231F20"/>
          <w:spacing w:val="-3"/>
          <w:w w:val="120"/>
        </w:rPr>
        <w:t> </w:t>
      </w:r>
      <w:r>
        <w:rPr>
          <w:color w:val="231F20"/>
          <w:w w:val="120"/>
        </w:rPr>
        <w:t>Il</w:t>
      </w:r>
      <w:r>
        <w:rPr>
          <w:color w:val="231F20"/>
          <w:spacing w:val="-3"/>
          <w:w w:val="120"/>
        </w:rPr>
        <w:t> </w:t>
      </w:r>
      <w:r>
        <w:rPr>
          <w:color w:val="231F20"/>
          <w:w w:val="120"/>
        </w:rPr>
        <w:t>faut, entre</w:t>
      </w:r>
      <w:r>
        <w:rPr>
          <w:color w:val="231F20"/>
          <w:spacing w:val="-13"/>
          <w:w w:val="120"/>
        </w:rPr>
        <w:t> </w:t>
      </w:r>
      <w:r>
        <w:rPr>
          <w:color w:val="231F20"/>
          <w:w w:val="120"/>
        </w:rPr>
        <w:t>autres:</w:t>
      </w:r>
    </w:p>
    <w:p>
      <w:pPr>
        <w:pStyle w:val="ListParagraph"/>
        <w:numPr>
          <w:ilvl w:val="0"/>
          <w:numId w:val="90"/>
        </w:numPr>
        <w:tabs>
          <w:tab w:pos="1331" w:val="left" w:leader="none"/>
        </w:tabs>
        <w:spacing w:line="307" w:lineRule="auto" w:before="78" w:after="0"/>
        <w:ind w:left="1330" w:right="495" w:hanging="251"/>
        <w:jc w:val="both"/>
        <w:rPr>
          <w:sz w:val="17"/>
        </w:rPr>
      </w:pPr>
      <w:r>
        <w:rPr>
          <w:color w:val="231F20"/>
          <w:spacing w:val="-2"/>
          <w:w w:val="120"/>
          <w:sz w:val="17"/>
        </w:rPr>
        <w:t>Agréger</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informations</w:t>
      </w:r>
      <w:r>
        <w:rPr>
          <w:color w:val="231F20"/>
          <w:spacing w:val="-9"/>
          <w:w w:val="120"/>
          <w:sz w:val="17"/>
        </w:rPr>
        <w:t> </w:t>
      </w:r>
      <w:r>
        <w:rPr>
          <w:color w:val="231F20"/>
          <w:spacing w:val="-2"/>
          <w:w w:val="120"/>
          <w:sz w:val="17"/>
        </w:rPr>
        <w:t>pour</w:t>
      </w:r>
      <w:r>
        <w:rPr>
          <w:color w:val="231F20"/>
          <w:spacing w:val="-9"/>
          <w:w w:val="120"/>
          <w:sz w:val="17"/>
        </w:rPr>
        <w:t> </w:t>
      </w:r>
      <w:r>
        <w:rPr>
          <w:color w:val="231F20"/>
          <w:spacing w:val="-2"/>
          <w:w w:val="120"/>
          <w:sz w:val="17"/>
        </w:rPr>
        <w:t>fournir</w:t>
      </w:r>
      <w:r>
        <w:rPr>
          <w:color w:val="231F20"/>
          <w:spacing w:val="-9"/>
          <w:w w:val="120"/>
          <w:sz w:val="17"/>
        </w:rPr>
        <w:t> </w:t>
      </w:r>
      <w:r>
        <w:rPr>
          <w:color w:val="231F20"/>
          <w:spacing w:val="-2"/>
          <w:w w:val="120"/>
          <w:sz w:val="17"/>
        </w:rPr>
        <w:t>des</w:t>
      </w:r>
      <w:r>
        <w:rPr>
          <w:color w:val="231F20"/>
          <w:spacing w:val="-9"/>
          <w:w w:val="120"/>
          <w:sz w:val="17"/>
        </w:rPr>
        <w:t> </w:t>
      </w:r>
      <w:r>
        <w:rPr>
          <w:color w:val="231F20"/>
          <w:spacing w:val="-2"/>
          <w:w w:val="120"/>
          <w:sz w:val="17"/>
        </w:rPr>
        <w:t>renseignements</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plus </w:t>
      </w:r>
      <w:r>
        <w:rPr>
          <w:color w:val="231F20"/>
          <w:w w:val="120"/>
          <w:sz w:val="17"/>
        </w:rPr>
        <w:t>complets et précis sur chacune des dimensions mesurées. </w:t>
      </w:r>
      <w:r>
        <w:rPr>
          <w:color w:val="231F20"/>
          <w:w w:val="120"/>
          <w:sz w:val="17"/>
        </w:rPr>
        <w:t>Cette</w:t>
      </w:r>
      <w:r>
        <w:rPr>
          <w:color w:val="231F20"/>
          <w:w w:val="120"/>
          <w:sz w:val="17"/>
        </w:rPr>
        <w:t> analyse</w:t>
      </w:r>
      <w:r>
        <w:rPr>
          <w:color w:val="231F20"/>
          <w:spacing w:val="-15"/>
          <w:w w:val="120"/>
          <w:sz w:val="17"/>
        </w:rPr>
        <w:t> </w:t>
      </w:r>
      <w:r>
        <w:rPr>
          <w:color w:val="231F20"/>
          <w:w w:val="120"/>
          <w:sz w:val="17"/>
        </w:rPr>
        <w:t>recense</w:t>
      </w:r>
      <w:r>
        <w:rPr>
          <w:color w:val="231F20"/>
          <w:spacing w:val="-13"/>
          <w:w w:val="120"/>
          <w:sz w:val="17"/>
        </w:rPr>
        <w:t> </w:t>
      </w:r>
      <w:r>
        <w:rPr>
          <w:color w:val="231F20"/>
          <w:w w:val="120"/>
          <w:sz w:val="17"/>
        </w:rPr>
        <w:t>non</w:t>
      </w:r>
      <w:r>
        <w:rPr>
          <w:color w:val="231F20"/>
          <w:spacing w:val="-13"/>
          <w:w w:val="120"/>
          <w:sz w:val="17"/>
        </w:rPr>
        <w:t> </w:t>
      </w:r>
      <w:r>
        <w:rPr>
          <w:color w:val="231F20"/>
          <w:w w:val="120"/>
          <w:sz w:val="17"/>
        </w:rPr>
        <w:t>seulement</w:t>
      </w:r>
      <w:r>
        <w:rPr>
          <w:color w:val="231F20"/>
          <w:spacing w:val="-12"/>
          <w:w w:val="120"/>
          <w:sz w:val="17"/>
        </w:rPr>
        <w:t> </w:t>
      </w:r>
      <w:r>
        <w:rPr>
          <w:color w:val="231F20"/>
          <w:w w:val="120"/>
          <w:sz w:val="17"/>
        </w:rPr>
        <w:t>les</w:t>
      </w:r>
      <w:r>
        <w:rPr>
          <w:color w:val="231F20"/>
          <w:spacing w:val="-13"/>
          <w:w w:val="120"/>
          <w:sz w:val="17"/>
        </w:rPr>
        <w:t> </w:t>
      </w:r>
      <w:r>
        <w:rPr>
          <w:color w:val="231F20"/>
          <w:w w:val="120"/>
          <w:sz w:val="17"/>
        </w:rPr>
        <w:t>risques</w:t>
      </w:r>
      <w:r>
        <w:rPr>
          <w:color w:val="231F20"/>
          <w:spacing w:val="-13"/>
          <w:w w:val="120"/>
          <w:sz w:val="17"/>
        </w:rPr>
        <w:t> </w:t>
      </w:r>
      <w:r>
        <w:rPr>
          <w:color w:val="231F20"/>
          <w:w w:val="120"/>
          <w:sz w:val="17"/>
        </w:rPr>
        <w:t>psychosociaux</w:t>
      </w:r>
      <w:r>
        <w:rPr>
          <w:color w:val="231F20"/>
          <w:spacing w:val="-13"/>
          <w:w w:val="120"/>
          <w:sz w:val="17"/>
        </w:rPr>
        <w:t> </w:t>
      </w:r>
      <w:r>
        <w:rPr>
          <w:color w:val="231F20"/>
          <w:w w:val="120"/>
          <w:sz w:val="17"/>
        </w:rPr>
        <w:t>les</w:t>
      </w:r>
      <w:r>
        <w:rPr>
          <w:color w:val="231F20"/>
          <w:spacing w:val="-12"/>
          <w:w w:val="120"/>
          <w:sz w:val="17"/>
        </w:rPr>
        <w:t> </w:t>
      </w:r>
      <w:r>
        <w:rPr>
          <w:color w:val="231F20"/>
          <w:w w:val="120"/>
          <w:sz w:val="17"/>
        </w:rPr>
        <w:t>plus fréquents, mais détermine aussi dans quelle mesure ils affectent </w:t>
      </w:r>
      <w:r>
        <w:rPr>
          <w:color w:val="231F20"/>
          <w:spacing w:val="-2"/>
          <w:w w:val="120"/>
          <w:sz w:val="17"/>
        </w:rPr>
        <w:t>les</w:t>
      </w:r>
      <w:r>
        <w:rPr>
          <w:color w:val="231F20"/>
          <w:spacing w:val="-9"/>
          <w:w w:val="120"/>
          <w:sz w:val="17"/>
        </w:rPr>
        <w:t> </w:t>
      </w:r>
      <w:r>
        <w:rPr>
          <w:color w:val="231F20"/>
          <w:spacing w:val="-2"/>
          <w:w w:val="120"/>
          <w:sz w:val="17"/>
        </w:rPr>
        <w:t>employés</w:t>
      </w:r>
      <w:r>
        <w:rPr>
          <w:color w:val="231F20"/>
          <w:spacing w:val="-7"/>
          <w:w w:val="120"/>
          <w:sz w:val="17"/>
        </w:rPr>
        <w:t> </w:t>
      </w:r>
      <w:r>
        <w:rPr>
          <w:color w:val="231F20"/>
          <w:spacing w:val="-2"/>
          <w:w w:val="120"/>
          <w:sz w:val="17"/>
        </w:rPr>
        <w:t>et</w:t>
      </w:r>
      <w:r>
        <w:rPr>
          <w:color w:val="231F20"/>
          <w:spacing w:val="-7"/>
          <w:w w:val="120"/>
          <w:sz w:val="17"/>
        </w:rPr>
        <w:t> </w:t>
      </w:r>
      <w:r>
        <w:rPr>
          <w:color w:val="231F20"/>
          <w:spacing w:val="-2"/>
          <w:w w:val="120"/>
          <w:sz w:val="17"/>
        </w:rPr>
        <w:t>les</w:t>
      </w:r>
      <w:r>
        <w:rPr>
          <w:color w:val="231F20"/>
          <w:spacing w:val="-7"/>
          <w:w w:val="120"/>
          <w:sz w:val="17"/>
        </w:rPr>
        <w:t> </w:t>
      </w:r>
      <w:r>
        <w:rPr>
          <w:color w:val="231F20"/>
          <w:spacing w:val="-2"/>
          <w:w w:val="120"/>
          <w:sz w:val="17"/>
        </w:rPr>
        <w:t>dirigeants</w:t>
      </w:r>
      <w:r>
        <w:rPr>
          <w:color w:val="231F20"/>
          <w:spacing w:val="-7"/>
          <w:w w:val="120"/>
          <w:sz w:val="17"/>
        </w:rPr>
        <w:t> </w:t>
      </w:r>
      <w:r>
        <w:rPr>
          <w:color w:val="231F20"/>
          <w:spacing w:val="-2"/>
          <w:w w:val="120"/>
          <w:sz w:val="17"/>
        </w:rPr>
        <w:t>de</w:t>
      </w:r>
      <w:r>
        <w:rPr>
          <w:color w:val="231F20"/>
          <w:spacing w:val="-7"/>
          <w:w w:val="120"/>
          <w:sz w:val="17"/>
        </w:rPr>
        <w:t> </w:t>
      </w:r>
      <w:r>
        <w:rPr>
          <w:color w:val="231F20"/>
          <w:spacing w:val="-2"/>
          <w:w w:val="120"/>
          <w:sz w:val="17"/>
        </w:rPr>
        <w:t>l’organisation</w:t>
      </w:r>
      <w:r>
        <w:rPr>
          <w:color w:val="231F20"/>
          <w:spacing w:val="-7"/>
          <w:w w:val="120"/>
          <w:sz w:val="17"/>
        </w:rPr>
        <w:t> </w:t>
      </w:r>
      <w:r>
        <w:rPr>
          <w:color w:val="231F20"/>
          <w:spacing w:val="-2"/>
          <w:w w:val="120"/>
          <w:sz w:val="17"/>
        </w:rPr>
        <w:t>et</w:t>
      </w:r>
      <w:r>
        <w:rPr>
          <w:color w:val="231F20"/>
          <w:spacing w:val="-7"/>
          <w:w w:val="120"/>
          <w:sz w:val="17"/>
        </w:rPr>
        <w:t> </w:t>
      </w:r>
      <w:r>
        <w:rPr>
          <w:color w:val="231F20"/>
          <w:spacing w:val="-2"/>
          <w:w w:val="120"/>
          <w:sz w:val="17"/>
        </w:rPr>
        <w:t>occasionnent</w:t>
      </w:r>
      <w:r>
        <w:rPr>
          <w:color w:val="231F20"/>
          <w:spacing w:val="-7"/>
          <w:w w:val="120"/>
          <w:sz w:val="17"/>
        </w:rPr>
        <w:t> </w:t>
      </w:r>
      <w:r>
        <w:rPr>
          <w:color w:val="231F20"/>
          <w:spacing w:val="-2"/>
          <w:w w:val="120"/>
          <w:sz w:val="17"/>
        </w:rPr>
        <w:t>du </w:t>
      </w:r>
      <w:r>
        <w:rPr>
          <w:color w:val="231F20"/>
          <w:w w:val="120"/>
          <w:sz w:val="17"/>
        </w:rPr>
        <w:t>stress</w:t>
      </w:r>
      <w:r>
        <w:rPr>
          <w:color w:val="231F20"/>
          <w:spacing w:val="-13"/>
          <w:w w:val="120"/>
          <w:sz w:val="17"/>
        </w:rPr>
        <w:t> </w:t>
      </w:r>
      <w:r>
        <w:rPr>
          <w:color w:val="231F20"/>
          <w:w w:val="120"/>
          <w:sz w:val="17"/>
        </w:rPr>
        <w:t>professionnel.</w:t>
      </w:r>
    </w:p>
    <w:p>
      <w:pPr>
        <w:pStyle w:val="ListParagraph"/>
        <w:numPr>
          <w:ilvl w:val="0"/>
          <w:numId w:val="90"/>
        </w:numPr>
        <w:tabs>
          <w:tab w:pos="1331" w:val="left" w:leader="none"/>
        </w:tabs>
        <w:spacing w:line="307" w:lineRule="auto" w:before="0" w:after="0"/>
        <w:ind w:left="1330" w:right="490" w:hanging="251"/>
        <w:jc w:val="both"/>
        <w:rPr>
          <w:sz w:val="17"/>
        </w:rPr>
      </w:pPr>
      <w:r>
        <w:rPr>
          <w:color w:val="231F20"/>
          <w:spacing w:val="-4"/>
          <w:w w:val="120"/>
          <w:sz w:val="17"/>
        </w:rPr>
        <w:t>Recenser les situations de stress jugées problématiques en fonction </w:t>
      </w:r>
      <w:r>
        <w:rPr>
          <w:color w:val="231F20"/>
          <w:w w:val="120"/>
          <w:sz w:val="17"/>
        </w:rPr>
        <w:t>du type d’emploi, des caractéristiques des travailleurs et des groupes dans l’organisation.</w:t>
      </w:r>
    </w:p>
    <w:p>
      <w:pPr>
        <w:pStyle w:val="ListParagraph"/>
        <w:numPr>
          <w:ilvl w:val="0"/>
          <w:numId w:val="90"/>
        </w:numPr>
        <w:tabs>
          <w:tab w:pos="1331" w:val="left" w:leader="none"/>
        </w:tabs>
        <w:spacing w:line="307" w:lineRule="auto" w:before="0" w:after="0"/>
        <w:ind w:left="1330" w:right="498" w:hanging="251"/>
        <w:jc w:val="both"/>
        <w:rPr>
          <w:sz w:val="17"/>
        </w:rPr>
      </w:pPr>
      <w:r>
        <w:rPr>
          <w:color w:val="231F20"/>
          <w:w w:val="120"/>
          <w:sz w:val="17"/>
        </w:rPr>
        <w:t>Établir les aspects de la dynamique du stress les plus propices </w:t>
      </w:r>
      <w:r>
        <w:rPr>
          <w:color w:val="231F20"/>
          <w:w w:val="120"/>
          <w:sz w:val="17"/>
        </w:rPr>
        <w:t>à</w:t>
      </w:r>
      <w:r>
        <w:rPr>
          <w:color w:val="231F20"/>
          <w:w w:val="120"/>
          <w:sz w:val="17"/>
        </w:rPr>
        <w:t> être améliorés en fonction de leur incidence sur la santé des </w:t>
      </w:r>
      <w:r>
        <w:rPr>
          <w:color w:val="231F20"/>
          <w:spacing w:val="-2"/>
          <w:w w:val="120"/>
          <w:sz w:val="17"/>
        </w:rPr>
        <w:t>travailleurs.</w:t>
      </w:r>
    </w:p>
    <w:p>
      <w:pPr>
        <w:pStyle w:val="BodyText"/>
        <w:spacing w:before="5"/>
        <w:rPr>
          <w:sz w:val="11"/>
        </w:rPr>
      </w:pPr>
      <w:r>
        <w:rPr/>
        <w:pict>
          <v:group style="position:absolute;margin-left:62.5pt;margin-top:7.774463pt;width:287.5pt;height:209pt;mso-position-horizontal-relative:page;mso-position-vertical-relative:paragraph;z-index:-15622656;mso-wrap-distance-left:0;mso-wrap-distance-right:0" id="docshapegroup1075" coordorigin="1250,155" coordsize="5750,4180">
            <v:shape style="position:absolute;left:1250;top:155;width:5750;height:4180" id="docshape1076" coordorigin="1250,155" coordsize="5750,4180" path="m7000,155l1250,155,1250,700,1250,860,1250,4335,7000,4335,7000,860,7000,700,7000,155xe" filled="true" fillcolor="#e2e3e4" stroked="false">
              <v:path arrowok="t"/>
              <v:fill type="solid"/>
            </v:shape>
            <v:shape style="position:absolute;left:1500;top:1161;width:4312;height:2893" id="docshape1077" coordorigin="1500,1162" coordsize="4312,2893" path="m5812,1162l1500,1162,3664,4055,5812,1162xe" filled="true" fillcolor="#ffffff" stroked="false">
              <v:path arrowok="t"/>
              <v:fill type="solid"/>
            </v:shape>
            <v:shape style="position:absolute;left:2063;top:774;width:3184;height:2581" id="docshape1078" coordorigin="2063,774" coordsize="3184,2581" path="m5246,2855l2063,2855,2063,3355,5246,3355,5246,2855xm5246,2175l2063,2175,2063,2655,5246,2655,5246,2175xm5246,1475l2063,1475,2063,1975,5246,1975,5246,1475xm5246,774l2063,774,2063,1274,5246,1274,5246,774xe" filled="true" fillcolor="#c7c8ca" stroked="false">
              <v:path arrowok="t"/>
              <v:fill type="solid"/>
            </v:shape>
            <v:shape style="position:absolute;left:5246;top:2629;width:899;height:1183" id="docshape1079" coordorigin="5246,2630" coordsize="899,1183" path="m6144,2630l6144,3812,5246,3812e" filled="false" stroked="true" strokeweight=".25pt" strokecolor="#231f20">
              <v:path arrowok="t"/>
              <v:stroke dashstyle="solid"/>
            </v:shape>
            <v:shape style="position:absolute;left:5292;top:1024;width:852;height:1151" id="docshape1080" coordorigin="5293,1024" coordsize="852,1151" path="m5293,1024l6144,1024,6144,2175e" filled="false" stroked="true" strokeweight=".25pt" strokecolor="#231f20">
              <v:path arrowok="t"/>
              <v:stroke dashstyle="solid"/>
            </v:shape>
            <v:shape style="position:absolute;left:5246;top:992;width:57;height:65" id="docshape1081" coordorigin="5246,992" coordsize="57,65" path="m5302,992l5246,1024,5302,1057,5302,992xe" filled="true" fillcolor="#231f20" stroked="false">
              <v:path arrowok="t"/>
              <v:fill type="solid"/>
            </v:shape>
            <v:line style="position:absolute" from="3656,1417" to="3656,1274" stroked="true" strokeweight="1pt" strokecolor="#231f20">
              <v:stroke dashstyle="solid"/>
            </v:line>
            <v:shape style="position:absolute;left:3616;top:1405;width:80;height:70" id="docshape1082" coordorigin="3616,1405" coordsize="80,70" path="m3696,1405l3616,1405,3656,1475,3696,1405xe" filled="true" fillcolor="#231f20" stroked="false">
              <v:path arrowok="t"/>
              <v:fill type="solid"/>
            </v:shape>
            <v:line style="position:absolute" from="3656,2117" to="3656,1975" stroked="true" strokeweight="1pt" strokecolor="#231f20">
              <v:stroke dashstyle="solid"/>
            </v:line>
            <v:shape style="position:absolute;left:3616;top:2105;width:80;height:70" id="docshape1083" coordorigin="3616,2105" coordsize="80,70" path="m3696,2105l3616,2105,3656,2175,3696,2105xe" filled="true" fillcolor="#231f20" stroked="false">
              <v:path arrowok="t"/>
              <v:fill type="solid"/>
            </v:shape>
            <v:line style="position:absolute" from="3656,2797" to="3656,2655" stroked="true" strokeweight="1pt" strokecolor="#231f20">
              <v:stroke dashstyle="solid"/>
            </v:line>
            <v:shape style="position:absolute;left:3616;top:2785;width:80;height:70" id="docshape1084" coordorigin="3616,2785" coordsize="80,70" path="m3696,2785l3616,2785,3656,2855,3696,2785xe" filled="true" fillcolor="#231f20" stroked="false">
              <v:path arrowok="t"/>
              <v:fill type="solid"/>
            </v:shape>
            <v:line style="position:absolute" from="3656,3497" to="3656,3355" stroked="true" strokeweight="1pt" strokecolor="#231f20">
              <v:stroke dashstyle="solid"/>
            </v:line>
            <v:shape style="position:absolute;left:3616;top:3485;width:80;height:70" id="docshape1085" coordorigin="3616,3485" coordsize="80,70" path="m3696,3485l3616,3485,3656,3555,3696,3485xe" filled="true" fillcolor="#231f20" stroked="false">
              <v:path arrowok="t"/>
              <v:fill type="solid"/>
            </v:shape>
            <v:shape style="position:absolute;left:1500;top:328;width:4830;height:1567" type="#_x0000_t202" id="docshape1086" filled="false" stroked="false">
              <v:textbox inset="0,0,0,0">
                <w:txbxContent>
                  <w:p>
                    <w:pPr>
                      <w:spacing w:before="44"/>
                      <w:ind w:left="0" w:right="0" w:firstLine="0"/>
                      <w:jc w:val="left"/>
                      <w:rPr>
                        <w:rFonts w:ascii="Arial"/>
                        <w:b/>
                        <w:sz w:val="17"/>
                      </w:rPr>
                    </w:pPr>
                    <w:r>
                      <w:rPr>
                        <w:rFonts w:ascii="Arial"/>
                        <w:color w:val="231F20"/>
                        <w:w w:val="95"/>
                        <w:sz w:val="17"/>
                      </w:rPr>
                      <w:t>Figure</w:t>
                    </w:r>
                    <w:r>
                      <w:rPr>
                        <w:rFonts w:ascii="Arial"/>
                        <w:color w:val="231F20"/>
                        <w:spacing w:val="-10"/>
                        <w:w w:val="95"/>
                        <w:sz w:val="17"/>
                      </w:rPr>
                      <w:t> </w:t>
                    </w:r>
                    <w:r>
                      <w:rPr>
                        <w:rFonts w:ascii="Arial"/>
                        <w:color w:val="231F20"/>
                        <w:w w:val="95"/>
                        <w:sz w:val="17"/>
                      </w:rPr>
                      <w:t>5.1</w:t>
                    </w:r>
                    <w:r>
                      <w:rPr>
                        <w:rFonts w:ascii="Arial"/>
                        <w:color w:val="231F20"/>
                        <w:spacing w:val="-14"/>
                        <w:w w:val="95"/>
                        <w:sz w:val="17"/>
                      </w:rPr>
                      <w:t> </w:t>
                    </w:r>
                    <w:r>
                      <w:rPr>
                        <w:rFonts w:ascii="Arial"/>
                        <w:i/>
                        <w:color w:val="231F20"/>
                        <w:w w:val="95"/>
                        <w:sz w:val="17"/>
                      </w:rPr>
                      <w:t>/</w:t>
                    </w:r>
                    <w:r>
                      <w:rPr>
                        <w:rFonts w:ascii="Arial"/>
                        <w:i/>
                        <w:color w:val="231F20"/>
                        <w:spacing w:val="26"/>
                        <w:sz w:val="17"/>
                      </w:rPr>
                      <w:t> </w:t>
                    </w:r>
                    <w:r>
                      <w:rPr>
                        <w:rFonts w:ascii="Arial"/>
                        <w:b/>
                        <w:color w:val="231F20"/>
                        <w:w w:val="95"/>
                        <w:sz w:val="17"/>
                      </w:rPr>
                      <w:t>Stades</w:t>
                    </w:r>
                    <w:r>
                      <w:rPr>
                        <w:rFonts w:ascii="Arial"/>
                        <w:b/>
                        <w:color w:val="231F20"/>
                        <w:spacing w:val="-9"/>
                        <w:w w:val="95"/>
                        <w:sz w:val="17"/>
                      </w:rPr>
                      <w:t> </w:t>
                    </w:r>
                    <w:r>
                      <w:rPr>
                        <w:rFonts w:ascii="Arial"/>
                        <w:b/>
                        <w:color w:val="231F20"/>
                        <w:w w:val="95"/>
                        <w:sz w:val="17"/>
                      </w:rPr>
                      <w:t>du</w:t>
                    </w:r>
                    <w:r>
                      <w:rPr>
                        <w:rFonts w:ascii="Arial"/>
                        <w:b/>
                        <w:color w:val="231F20"/>
                        <w:spacing w:val="-10"/>
                        <w:w w:val="95"/>
                        <w:sz w:val="17"/>
                      </w:rPr>
                      <w:t> </w:t>
                    </w:r>
                    <w:r>
                      <w:rPr>
                        <w:rFonts w:ascii="Arial"/>
                        <w:b/>
                        <w:color w:val="231F20"/>
                        <w:w w:val="95"/>
                        <w:sz w:val="17"/>
                      </w:rPr>
                      <w:t>processus</w:t>
                    </w:r>
                    <w:r>
                      <w:rPr>
                        <w:rFonts w:ascii="Arial"/>
                        <w:b/>
                        <w:color w:val="231F20"/>
                        <w:spacing w:val="-9"/>
                        <w:w w:val="95"/>
                        <w:sz w:val="17"/>
                      </w:rPr>
                      <w:t> </w:t>
                    </w:r>
                    <w:r>
                      <w:rPr>
                        <w:rFonts w:ascii="Arial"/>
                        <w:b/>
                        <w:color w:val="231F20"/>
                        <w:w w:val="95"/>
                        <w:sz w:val="17"/>
                      </w:rPr>
                      <w:t>de</w:t>
                    </w:r>
                    <w:r>
                      <w:rPr>
                        <w:rFonts w:ascii="Arial"/>
                        <w:b/>
                        <w:color w:val="231F20"/>
                        <w:spacing w:val="-10"/>
                        <w:w w:val="95"/>
                        <w:sz w:val="17"/>
                      </w:rPr>
                      <w:t> </w:t>
                    </w:r>
                    <w:r>
                      <w:rPr>
                        <w:rFonts w:ascii="Arial"/>
                        <w:b/>
                        <w:color w:val="231F20"/>
                        <w:w w:val="95"/>
                        <w:sz w:val="17"/>
                      </w:rPr>
                      <w:t>diagnostic</w:t>
                    </w:r>
                    <w:r>
                      <w:rPr>
                        <w:rFonts w:ascii="Arial"/>
                        <w:b/>
                        <w:color w:val="231F20"/>
                        <w:spacing w:val="-9"/>
                        <w:w w:val="95"/>
                        <w:sz w:val="17"/>
                      </w:rPr>
                      <w:t> </w:t>
                    </w:r>
                    <w:r>
                      <w:rPr>
                        <w:rFonts w:ascii="Arial"/>
                        <w:b/>
                        <w:color w:val="231F20"/>
                        <w:spacing w:val="-2"/>
                        <w:w w:val="95"/>
                        <w:sz w:val="17"/>
                      </w:rPr>
                      <w:t>organisationnel</w:t>
                    </w:r>
                  </w:p>
                  <w:p>
                    <w:pPr>
                      <w:spacing w:line="240" w:lineRule="auto" w:before="8"/>
                      <w:rPr>
                        <w:rFonts w:ascii="Arial"/>
                        <w:b/>
                        <w:sz w:val="23"/>
                      </w:rPr>
                    </w:pPr>
                  </w:p>
                  <w:p>
                    <w:pPr>
                      <w:spacing w:before="0"/>
                      <w:ind w:left="1364" w:right="1882" w:firstLine="0"/>
                      <w:jc w:val="center"/>
                      <w:rPr>
                        <w:rFonts w:ascii="Arial"/>
                        <w:b/>
                        <w:sz w:val="15"/>
                      </w:rPr>
                    </w:pPr>
                    <w:r>
                      <w:rPr>
                        <w:rFonts w:ascii="Arial"/>
                        <w:b/>
                        <w:color w:val="231F20"/>
                        <w:w w:val="90"/>
                        <w:sz w:val="15"/>
                      </w:rPr>
                      <w:t>Stade</w:t>
                    </w:r>
                    <w:r>
                      <w:rPr>
                        <w:rFonts w:ascii="Arial"/>
                        <w:b/>
                        <w:color w:val="231F20"/>
                        <w:spacing w:val="-9"/>
                        <w:w w:val="90"/>
                        <w:sz w:val="15"/>
                      </w:rPr>
                      <w:t> </w:t>
                    </w:r>
                    <w:r>
                      <w:rPr>
                        <w:rFonts w:ascii="Arial"/>
                        <w:b/>
                        <w:color w:val="231F20"/>
                        <w:spacing w:val="-10"/>
                        <w:sz w:val="15"/>
                      </w:rPr>
                      <w:t>I</w:t>
                    </w:r>
                  </w:p>
                  <w:p>
                    <w:pPr>
                      <w:spacing w:before="8"/>
                      <w:ind w:left="1364" w:right="1882" w:firstLine="0"/>
                      <w:jc w:val="center"/>
                      <w:rPr>
                        <w:rFonts w:ascii="Arial" w:hAnsi="Arial"/>
                        <w:b/>
                        <w:sz w:val="15"/>
                      </w:rPr>
                    </w:pPr>
                    <w:r>
                      <w:rPr>
                        <w:rFonts w:ascii="Arial" w:hAnsi="Arial"/>
                        <w:b/>
                        <w:color w:val="231F20"/>
                        <w:w w:val="90"/>
                        <w:sz w:val="15"/>
                      </w:rPr>
                      <w:t>Collecte</w:t>
                    </w:r>
                    <w:r>
                      <w:rPr>
                        <w:rFonts w:ascii="Arial" w:hAnsi="Arial"/>
                        <w:b/>
                        <w:color w:val="231F20"/>
                        <w:spacing w:val="-8"/>
                        <w:w w:val="90"/>
                        <w:sz w:val="15"/>
                      </w:rPr>
                      <w:t> </w:t>
                    </w:r>
                    <w:r>
                      <w:rPr>
                        <w:rFonts w:ascii="Arial" w:hAnsi="Arial"/>
                        <w:b/>
                        <w:color w:val="231F20"/>
                        <w:w w:val="90"/>
                        <w:sz w:val="15"/>
                      </w:rPr>
                      <w:t>de</w:t>
                    </w:r>
                    <w:r>
                      <w:rPr>
                        <w:rFonts w:ascii="Arial" w:hAnsi="Arial"/>
                        <w:b/>
                        <w:color w:val="231F20"/>
                        <w:spacing w:val="-8"/>
                        <w:w w:val="90"/>
                        <w:sz w:val="15"/>
                      </w:rPr>
                      <w:t> </w:t>
                    </w:r>
                    <w:r>
                      <w:rPr>
                        <w:rFonts w:ascii="Arial" w:hAnsi="Arial"/>
                        <w:b/>
                        <w:color w:val="231F20"/>
                        <w:spacing w:val="-2"/>
                        <w:w w:val="90"/>
                        <w:sz w:val="15"/>
                      </w:rPr>
                      <w:t>l’information</w:t>
                    </w:r>
                  </w:p>
                  <w:p>
                    <w:pPr>
                      <w:spacing w:line="240" w:lineRule="auto" w:before="0"/>
                      <w:rPr>
                        <w:rFonts w:ascii="Arial"/>
                        <w:b/>
                        <w:sz w:val="20"/>
                      </w:rPr>
                    </w:pPr>
                  </w:p>
                  <w:p>
                    <w:pPr>
                      <w:spacing w:before="118"/>
                      <w:ind w:left="1364" w:right="1882" w:firstLine="0"/>
                      <w:jc w:val="center"/>
                      <w:rPr>
                        <w:rFonts w:ascii="Arial"/>
                        <w:b/>
                        <w:sz w:val="15"/>
                      </w:rPr>
                    </w:pPr>
                    <w:r>
                      <w:rPr>
                        <w:rFonts w:ascii="Arial"/>
                        <w:b/>
                        <w:color w:val="231F20"/>
                        <w:w w:val="90"/>
                        <w:sz w:val="15"/>
                      </w:rPr>
                      <w:t>Stade</w:t>
                    </w:r>
                    <w:r>
                      <w:rPr>
                        <w:rFonts w:ascii="Arial"/>
                        <w:b/>
                        <w:color w:val="231F20"/>
                        <w:spacing w:val="-9"/>
                        <w:w w:val="90"/>
                        <w:sz w:val="15"/>
                      </w:rPr>
                      <w:t> </w:t>
                    </w:r>
                    <w:r>
                      <w:rPr>
                        <w:rFonts w:ascii="Arial"/>
                        <w:b/>
                        <w:color w:val="231F20"/>
                        <w:spacing w:val="-5"/>
                        <w:sz w:val="15"/>
                      </w:rPr>
                      <w:t>II</w:t>
                    </w:r>
                  </w:p>
                  <w:p>
                    <w:pPr>
                      <w:spacing w:before="7"/>
                      <w:ind w:left="1364" w:right="1882" w:firstLine="0"/>
                      <w:jc w:val="center"/>
                      <w:rPr>
                        <w:rFonts w:ascii="Arial"/>
                        <w:b/>
                        <w:sz w:val="15"/>
                      </w:rPr>
                    </w:pPr>
                    <w:r>
                      <w:rPr>
                        <w:rFonts w:ascii="Arial"/>
                        <w:b/>
                        <w:color w:val="231F20"/>
                        <w:w w:val="85"/>
                        <w:sz w:val="15"/>
                      </w:rPr>
                      <w:t>Analyse</w:t>
                    </w:r>
                    <w:r>
                      <w:rPr>
                        <w:rFonts w:ascii="Arial"/>
                        <w:b/>
                        <w:color w:val="231F20"/>
                        <w:spacing w:val="1"/>
                        <w:sz w:val="15"/>
                      </w:rPr>
                      <w:t> </w:t>
                    </w:r>
                    <w:r>
                      <w:rPr>
                        <w:rFonts w:ascii="Arial"/>
                        <w:b/>
                        <w:color w:val="231F20"/>
                        <w:w w:val="85"/>
                        <w:sz w:val="15"/>
                      </w:rPr>
                      <w:t>des</w:t>
                    </w:r>
                    <w:r>
                      <w:rPr>
                        <w:rFonts w:ascii="Arial"/>
                        <w:b/>
                        <w:color w:val="231F20"/>
                        <w:spacing w:val="2"/>
                        <w:sz w:val="15"/>
                      </w:rPr>
                      <w:t> </w:t>
                    </w:r>
                    <w:r>
                      <w:rPr>
                        <w:rFonts w:ascii="Arial"/>
                        <w:b/>
                        <w:color w:val="231F20"/>
                        <w:spacing w:val="-2"/>
                        <w:w w:val="85"/>
                        <w:sz w:val="15"/>
                      </w:rPr>
                      <w:t>informations</w:t>
                    </w:r>
                  </w:p>
                </w:txbxContent>
              </v:textbox>
              <w10:wrap type="none"/>
            </v:shape>
            <v:shape style="position:absolute;left:2334;top:2219;width:2661;height:376" type="#_x0000_t202" id="docshape1087" filled="false" stroked="false">
              <v:textbox inset="0,0,0,0">
                <w:txbxContent>
                  <w:p>
                    <w:pPr>
                      <w:spacing w:before="21"/>
                      <w:ind w:left="22" w:right="39" w:firstLine="0"/>
                      <w:jc w:val="center"/>
                      <w:rPr>
                        <w:rFonts w:ascii="Arial"/>
                        <w:b/>
                        <w:sz w:val="15"/>
                      </w:rPr>
                    </w:pPr>
                    <w:r>
                      <w:rPr>
                        <w:rFonts w:ascii="Arial"/>
                        <w:b/>
                        <w:color w:val="231F20"/>
                        <w:w w:val="90"/>
                        <w:sz w:val="15"/>
                      </w:rPr>
                      <w:t>Stade</w:t>
                    </w:r>
                    <w:r>
                      <w:rPr>
                        <w:rFonts w:ascii="Arial"/>
                        <w:b/>
                        <w:color w:val="231F20"/>
                        <w:spacing w:val="-9"/>
                        <w:w w:val="90"/>
                        <w:sz w:val="15"/>
                      </w:rPr>
                      <w:t> </w:t>
                    </w:r>
                    <w:r>
                      <w:rPr>
                        <w:rFonts w:ascii="Arial"/>
                        <w:b/>
                        <w:color w:val="231F20"/>
                        <w:spacing w:val="-5"/>
                        <w:sz w:val="15"/>
                      </w:rPr>
                      <w:t>III</w:t>
                    </w:r>
                  </w:p>
                  <w:p>
                    <w:pPr>
                      <w:spacing w:before="8"/>
                      <w:ind w:left="22" w:right="40" w:firstLine="0"/>
                      <w:jc w:val="center"/>
                      <w:rPr>
                        <w:rFonts w:ascii="Arial" w:hAnsi="Arial"/>
                        <w:b/>
                        <w:sz w:val="15"/>
                      </w:rPr>
                    </w:pPr>
                    <w:r>
                      <w:rPr>
                        <w:rFonts w:ascii="Arial" w:hAnsi="Arial"/>
                        <w:b/>
                        <w:color w:val="231F20"/>
                        <w:w w:val="90"/>
                        <w:sz w:val="15"/>
                      </w:rPr>
                      <w:t>Conception</w:t>
                    </w:r>
                    <w:r>
                      <w:rPr>
                        <w:rFonts w:ascii="Arial" w:hAnsi="Arial"/>
                        <w:b/>
                        <w:color w:val="231F20"/>
                        <w:spacing w:val="-8"/>
                        <w:w w:val="90"/>
                        <w:sz w:val="15"/>
                      </w:rPr>
                      <w:t> </w:t>
                    </w:r>
                    <w:r>
                      <w:rPr>
                        <w:rFonts w:ascii="Arial" w:hAnsi="Arial"/>
                        <w:b/>
                        <w:color w:val="231F20"/>
                        <w:w w:val="90"/>
                        <w:sz w:val="15"/>
                      </w:rPr>
                      <w:t>de</w:t>
                    </w:r>
                    <w:r>
                      <w:rPr>
                        <w:rFonts w:ascii="Arial" w:hAnsi="Arial"/>
                        <w:b/>
                        <w:color w:val="231F20"/>
                        <w:spacing w:val="-8"/>
                        <w:w w:val="90"/>
                        <w:sz w:val="15"/>
                      </w:rPr>
                      <w:t> </w:t>
                    </w:r>
                    <w:r>
                      <w:rPr>
                        <w:rFonts w:ascii="Arial" w:hAnsi="Arial"/>
                        <w:b/>
                        <w:color w:val="231F20"/>
                        <w:w w:val="90"/>
                        <w:sz w:val="15"/>
                      </w:rPr>
                      <w:t>la</w:t>
                    </w:r>
                    <w:r>
                      <w:rPr>
                        <w:rFonts w:ascii="Arial" w:hAnsi="Arial"/>
                        <w:b/>
                        <w:color w:val="231F20"/>
                        <w:spacing w:val="-8"/>
                        <w:w w:val="90"/>
                        <w:sz w:val="15"/>
                      </w:rPr>
                      <w:t> </w:t>
                    </w:r>
                    <w:r>
                      <w:rPr>
                        <w:rFonts w:ascii="Arial" w:hAnsi="Arial"/>
                        <w:b/>
                        <w:color w:val="231F20"/>
                        <w:w w:val="90"/>
                        <w:sz w:val="15"/>
                      </w:rPr>
                      <w:t>stratégie</w:t>
                    </w:r>
                    <w:r>
                      <w:rPr>
                        <w:rFonts w:ascii="Arial" w:hAnsi="Arial"/>
                        <w:b/>
                        <w:color w:val="231F20"/>
                        <w:spacing w:val="-8"/>
                        <w:w w:val="90"/>
                        <w:sz w:val="15"/>
                      </w:rPr>
                      <w:t> </w:t>
                    </w:r>
                    <w:r>
                      <w:rPr>
                        <w:rFonts w:ascii="Arial" w:hAnsi="Arial"/>
                        <w:b/>
                        <w:color w:val="231F20"/>
                        <w:spacing w:val="-2"/>
                        <w:w w:val="90"/>
                        <w:sz w:val="15"/>
                      </w:rPr>
                      <w:t>d’intervention</w:t>
                    </w:r>
                  </w:p>
                </w:txbxContent>
              </v:textbox>
              <w10:wrap type="none"/>
            </v:shape>
            <v:shape style="position:absolute;left:5617;top:2219;width:1073;height:376" type="#_x0000_t202" id="docshape1088" filled="false" stroked="false">
              <v:textbox inset="0,0,0,0">
                <w:txbxContent>
                  <w:p>
                    <w:pPr>
                      <w:spacing w:line="249" w:lineRule="auto" w:before="17"/>
                      <w:ind w:left="0" w:right="0" w:firstLine="256"/>
                      <w:jc w:val="left"/>
                      <w:rPr>
                        <w:rFonts w:ascii="Arial" w:hAnsi="Arial"/>
                        <w:b/>
                        <w:sz w:val="15"/>
                      </w:rPr>
                    </w:pPr>
                    <w:r>
                      <w:rPr>
                        <w:rFonts w:ascii="Arial" w:hAnsi="Arial"/>
                        <w:b/>
                        <w:color w:val="231F20"/>
                        <w:sz w:val="15"/>
                      </w:rPr>
                      <w:t>Stade</w:t>
                    </w:r>
                    <w:r>
                      <w:rPr>
                        <w:rFonts w:ascii="Arial" w:hAnsi="Arial"/>
                        <w:b/>
                        <w:color w:val="231F20"/>
                        <w:spacing w:val="-16"/>
                        <w:sz w:val="15"/>
                      </w:rPr>
                      <w:t> </w:t>
                    </w:r>
                    <w:r>
                      <w:rPr>
                        <w:rFonts w:ascii="Arial" w:hAnsi="Arial"/>
                        <w:b/>
                        <w:color w:val="231F20"/>
                        <w:sz w:val="15"/>
                      </w:rPr>
                      <w:t>VI </w:t>
                    </w:r>
                    <w:r>
                      <w:rPr>
                        <w:rFonts w:ascii="Arial" w:hAnsi="Arial"/>
                        <w:b/>
                        <w:color w:val="231F20"/>
                        <w:w w:val="90"/>
                        <w:sz w:val="15"/>
                      </w:rPr>
                      <w:t>Suivi</w:t>
                    </w:r>
                    <w:r>
                      <w:rPr>
                        <w:rFonts w:ascii="Arial" w:hAnsi="Arial"/>
                        <w:b/>
                        <w:color w:val="231F20"/>
                        <w:spacing w:val="-12"/>
                        <w:w w:val="90"/>
                        <w:sz w:val="15"/>
                      </w:rPr>
                      <w:t> </w:t>
                    </w:r>
                    <w:r>
                      <w:rPr>
                        <w:rFonts w:ascii="Arial" w:hAnsi="Arial"/>
                        <w:b/>
                        <w:color w:val="231F20"/>
                        <w:w w:val="90"/>
                        <w:sz w:val="15"/>
                      </w:rPr>
                      <w:t>et</w:t>
                    </w:r>
                    <w:r>
                      <w:rPr>
                        <w:rFonts w:ascii="Arial" w:hAnsi="Arial"/>
                        <w:b/>
                        <w:color w:val="231F20"/>
                        <w:spacing w:val="-12"/>
                        <w:w w:val="90"/>
                        <w:sz w:val="15"/>
                      </w:rPr>
                      <w:t> </w:t>
                    </w:r>
                    <w:r>
                      <w:rPr>
                        <w:rFonts w:ascii="Arial" w:hAnsi="Arial"/>
                        <w:b/>
                        <w:color w:val="231F20"/>
                        <w:w w:val="90"/>
                        <w:sz w:val="15"/>
                      </w:rPr>
                      <w:t>contrôle</w:t>
                    </w:r>
                  </w:p>
                </w:txbxContent>
              </v:textbox>
              <w10:wrap type="none"/>
            </v:shape>
            <v:shape style="position:absolute;left:2624;top:2899;width:2080;height:376" type="#_x0000_t202" id="docshape1089" filled="false" stroked="false">
              <v:textbox inset="0,0,0,0">
                <w:txbxContent>
                  <w:p>
                    <w:pPr>
                      <w:spacing w:before="21"/>
                      <w:ind w:left="17" w:right="34" w:firstLine="0"/>
                      <w:jc w:val="center"/>
                      <w:rPr>
                        <w:rFonts w:ascii="Arial"/>
                        <w:b/>
                        <w:sz w:val="15"/>
                      </w:rPr>
                    </w:pPr>
                    <w:r>
                      <w:rPr>
                        <w:rFonts w:ascii="Arial"/>
                        <w:b/>
                        <w:color w:val="231F20"/>
                        <w:w w:val="90"/>
                        <w:sz w:val="15"/>
                      </w:rPr>
                      <w:t>Stade</w:t>
                    </w:r>
                    <w:r>
                      <w:rPr>
                        <w:rFonts w:ascii="Arial"/>
                        <w:b/>
                        <w:color w:val="231F20"/>
                        <w:spacing w:val="-9"/>
                        <w:w w:val="90"/>
                        <w:sz w:val="15"/>
                      </w:rPr>
                      <w:t> </w:t>
                    </w:r>
                    <w:r>
                      <w:rPr>
                        <w:rFonts w:ascii="Arial"/>
                        <w:b/>
                        <w:color w:val="231F20"/>
                        <w:spacing w:val="-5"/>
                        <w:sz w:val="15"/>
                      </w:rPr>
                      <w:t>IV</w:t>
                    </w:r>
                  </w:p>
                  <w:p>
                    <w:pPr>
                      <w:spacing w:before="8"/>
                      <w:ind w:left="17" w:right="35" w:firstLine="0"/>
                      <w:jc w:val="center"/>
                      <w:rPr>
                        <w:rFonts w:ascii="Arial" w:hAnsi="Arial"/>
                        <w:b/>
                        <w:sz w:val="15"/>
                      </w:rPr>
                    </w:pPr>
                    <w:r>
                      <w:rPr>
                        <w:rFonts w:ascii="Arial" w:hAnsi="Arial"/>
                        <w:b/>
                        <w:color w:val="231F20"/>
                        <w:w w:val="90"/>
                        <w:sz w:val="15"/>
                      </w:rPr>
                      <w:t>Mise</w:t>
                    </w:r>
                    <w:r>
                      <w:rPr>
                        <w:rFonts w:ascii="Arial" w:hAnsi="Arial"/>
                        <w:b/>
                        <w:color w:val="231F20"/>
                        <w:spacing w:val="-3"/>
                        <w:w w:val="90"/>
                        <w:sz w:val="15"/>
                      </w:rPr>
                      <w:t> </w:t>
                    </w:r>
                    <w:r>
                      <w:rPr>
                        <w:rFonts w:ascii="Arial" w:hAnsi="Arial"/>
                        <w:b/>
                        <w:color w:val="231F20"/>
                        <w:w w:val="90"/>
                        <w:sz w:val="15"/>
                      </w:rPr>
                      <w:t>en</w:t>
                    </w:r>
                    <w:r>
                      <w:rPr>
                        <w:rFonts w:ascii="Arial" w:hAnsi="Arial"/>
                        <w:b/>
                        <w:color w:val="231F20"/>
                        <w:spacing w:val="-3"/>
                        <w:w w:val="90"/>
                        <w:sz w:val="15"/>
                      </w:rPr>
                      <w:t> </w:t>
                    </w:r>
                    <w:r>
                      <w:rPr>
                        <w:rFonts w:ascii="Arial" w:hAnsi="Arial"/>
                        <w:b/>
                        <w:color w:val="231F20"/>
                        <w:w w:val="90"/>
                        <w:sz w:val="15"/>
                      </w:rPr>
                      <w:t>œuvre</w:t>
                    </w:r>
                    <w:r>
                      <w:rPr>
                        <w:rFonts w:ascii="Arial" w:hAnsi="Arial"/>
                        <w:b/>
                        <w:color w:val="231F20"/>
                        <w:spacing w:val="-2"/>
                        <w:w w:val="90"/>
                        <w:sz w:val="15"/>
                      </w:rPr>
                      <w:t> </w:t>
                    </w:r>
                    <w:r>
                      <w:rPr>
                        <w:rFonts w:ascii="Arial" w:hAnsi="Arial"/>
                        <w:b/>
                        <w:color w:val="231F20"/>
                        <w:w w:val="90"/>
                        <w:sz w:val="15"/>
                      </w:rPr>
                      <w:t>de</w:t>
                    </w:r>
                    <w:r>
                      <w:rPr>
                        <w:rFonts w:ascii="Arial" w:hAnsi="Arial"/>
                        <w:b/>
                        <w:color w:val="231F20"/>
                        <w:spacing w:val="-3"/>
                        <w:w w:val="90"/>
                        <w:sz w:val="15"/>
                      </w:rPr>
                      <w:t> </w:t>
                    </w:r>
                    <w:r>
                      <w:rPr>
                        <w:rFonts w:ascii="Arial" w:hAnsi="Arial"/>
                        <w:b/>
                        <w:color w:val="231F20"/>
                        <w:spacing w:val="-2"/>
                        <w:w w:val="90"/>
                        <w:sz w:val="15"/>
                      </w:rPr>
                      <w:t>l’intervention</w:t>
                    </w:r>
                  </w:p>
                </w:txbxContent>
              </v:textbox>
              <w10:wrap type="none"/>
            </v:shape>
            <v:shape style="position:absolute;left:2063;top:3554;width:3184;height:500" type="#_x0000_t202" id="docshape1090" filled="true" fillcolor="#c7c8ca" stroked="false">
              <v:textbox inset="0,0,0,0">
                <w:txbxContent>
                  <w:p>
                    <w:pPr>
                      <w:spacing w:line="249" w:lineRule="auto" w:before="66"/>
                      <w:ind w:left="819" w:right="815" w:firstLine="523"/>
                      <w:jc w:val="left"/>
                      <w:rPr>
                        <w:rFonts w:ascii="Arial" w:hAnsi="Arial"/>
                        <w:b/>
                        <w:color w:val="000000"/>
                        <w:sz w:val="15"/>
                      </w:rPr>
                    </w:pPr>
                    <w:r>
                      <w:rPr>
                        <w:rFonts w:ascii="Arial" w:hAnsi="Arial"/>
                        <w:b/>
                        <w:color w:val="231F20"/>
                        <w:sz w:val="15"/>
                      </w:rPr>
                      <w:t>Stade</w:t>
                    </w:r>
                    <w:r>
                      <w:rPr>
                        <w:rFonts w:ascii="Arial" w:hAnsi="Arial"/>
                        <w:b/>
                        <w:color w:val="231F20"/>
                        <w:spacing w:val="-16"/>
                        <w:sz w:val="15"/>
                      </w:rPr>
                      <w:t> </w:t>
                    </w:r>
                    <w:r>
                      <w:rPr>
                        <w:rFonts w:ascii="Arial" w:hAnsi="Arial"/>
                        <w:b/>
                        <w:color w:val="231F20"/>
                        <w:sz w:val="15"/>
                      </w:rPr>
                      <w:t>V </w:t>
                    </w:r>
                    <w:r>
                      <w:rPr>
                        <w:rFonts w:ascii="Arial" w:hAnsi="Arial"/>
                        <w:b/>
                        <w:color w:val="231F20"/>
                        <w:w w:val="90"/>
                        <w:sz w:val="15"/>
                      </w:rPr>
                      <w:t>Évaluation</w:t>
                    </w:r>
                    <w:r>
                      <w:rPr>
                        <w:rFonts w:ascii="Arial" w:hAnsi="Arial"/>
                        <w:b/>
                        <w:color w:val="231F20"/>
                        <w:spacing w:val="-12"/>
                        <w:w w:val="90"/>
                        <w:sz w:val="15"/>
                      </w:rPr>
                      <w:t> </w:t>
                    </w:r>
                    <w:r>
                      <w:rPr>
                        <w:rFonts w:ascii="Arial" w:hAnsi="Arial"/>
                        <w:b/>
                        <w:color w:val="231F20"/>
                        <w:w w:val="90"/>
                        <w:sz w:val="15"/>
                      </w:rPr>
                      <w:t>des</w:t>
                    </w:r>
                    <w:r>
                      <w:rPr>
                        <w:rFonts w:ascii="Arial" w:hAnsi="Arial"/>
                        <w:b/>
                        <w:color w:val="231F20"/>
                        <w:spacing w:val="-12"/>
                        <w:w w:val="90"/>
                        <w:sz w:val="15"/>
                      </w:rPr>
                      <w:t> </w:t>
                    </w:r>
                    <w:r>
                      <w:rPr>
                        <w:rFonts w:ascii="Arial" w:hAnsi="Arial"/>
                        <w:b/>
                        <w:color w:val="231F20"/>
                        <w:w w:val="90"/>
                        <w:sz w:val="15"/>
                      </w:rPr>
                      <w:t>résultats</w:t>
                    </w:r>
                  </w:p>
                </w:txbxContent>
              </v:textbox>
              <v:fill type="solid"/>
              <w10:wrap type="none"/>
            </v:shape>
            <w10:wrap type="topAndBottom"/>
          </v:group>
        </w:pict>
      </w:r>
    </w:p>
    <w:p>
      <w:pPr>
        <w:spacing w:after="0"/>
        <w:rPr>
          <w:sz w:val="11"/>
        </w:rPr>
        <w:sectPr>
          <w:footerReference w:type="default" r:id="rId316"/>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b/>
          <w:color w:val="231F20"/>
          <w:spacing w:val="-2"/>
          <w:w w:val="115"/>
        </w:rPr>
        <w:t>Stade</w:t>
      </w:r>
      <w:r>
        <w:rPr>
          <w:b/>
          <w:color w:val="231F20"/>
          <w:spacing w:val="-7"/>
          <w:w w:val="115"/>
        </w:rPr>
        <w:t> </w:t>
      </w:r>
      <w:r>
        <w:rPr>
          <w:b/>
          <w:color w:val="231F20"/>
          <w:spacing w:val="-2"/>
          <w:w w:val="115"/>
        </w:rPr>
        <w:t>III.</w:t>
      </w:r>
      <w:r>
        <w:rPr>
          <w:b/>
          <w:color w:val="231F20"/>
          <w:spacing w:val="-7"/>
          <w:w w:val="115"/>
        </w:rPr>
        <w:t> </w:t>
      </w:r>
      <w:r>
        <w:rPr>
          <w:b/>
          <w:color w:val="231F20"/>
          <w:spacing w:val="-2"/>
          <w:w w:val="115"/>
        </w:rPr>
        <w:t>Conception</w:t>
      </w:r>
      <w:r>
        <w:rPr>
          <w:b/>
          <w:color w:val="231F20"/>
          <w:spacing w:val="-7"/>
          <w:w w:val="115"/>
        </w:rPr>
        <w:t> </w:t>
      </w:r>
      <w:r>
        <w:rPr>
          <w:b/>
          <w:color w:val="231F20"/>
          <w:spacing w:val="-2"/>
          <w:w w:val="115"/>
        </w:rPr>
        <w:t>de</w:t>
      </w:r>
      <w:r>
        <w:rPr>
          <w:b/>
          <w:color w:val="231F20"/>
          <w:spacing w:val="-7"/>
          <w:w w:val="115"/>
        </w:rPr>
        <w:t> </w:t>
      </w:r>
      <w:r>
        <w:rPr>
          <w:b/>
          <w:color w:val="231F20"/>
          <w:spacing w:val="-2"/>
          <w:w w:val="115"/>
        </w:rPr>
        <w:t>la</w:t>
      </w:r>
      <w:r>
        <w:rPr>
          <w:b/>
          <w:color w:val="231F20"/>
          <w:spacing w:val="-7"/>
          <w:w w:val="115"/>
        </w:rPr>
        <w:t> </w:t>
      </w:r>
      <w:r>
        <w:rPr>
          <w:b/>
          <w:color w:val="231F20"/>
          <w:spacing w:val="-2"/>
          <w:w w:val="115"/>
        </w:rPr>
        <w:t>stratégie</w:t>
      </w:r>
      <w:r>
        <w:rPr>
          <w:b/>
          <w:color w:val="231F20"/>
          <w:spacing w:val="-7"/>
          <w:w w:val="115"/>
        </w:rPr>
        <w:t> </w:t>
      </w:r>
      <w:r>
        <w:rPr>
          <w:b/>
          <w:color w:val="231F20"/>
          <w:spacing w:val="-2"/>
          <w:w w:val="115"/>
        </w:rPr>
        <w:t>d’intervention</w:t>
      </w:r>
      <w:r>
        <w:rPr>
          <w:b/>
          <w:color w:val="231F20"/>
          <w:spacing w:val="-3"/>
          <w:w w:val="115"/>
        </w:rPr>
        <w:t> </w:t>
      </w:r>
      <w:r>
        <w:rPr>
          <w:color w:val="231F20"/>
          <w:spacing w:val="-2"/>
          <w:w w:val="115"/>
        </w:rPr>
        <w:t>–</w:t>
      </w:r>
      <w:r>
        <w:rPr>
          <w:color w:val="231F20"/>
          <w:spacing w:val="-3"/>
          <w:w w:val="115"/>
        </w:rPr>
        <w:t> </w:t>
      </w:r>
      <w:r>
        <w:rPr>
          <w:color w:val="231F20"/>
          <w:spacing w:val="-2"/>
          <w:w w:val="115"/>
        </w:rPr>
        <w:t>Après</w:t>
      </w:r>
      <w:r>
        <w:rPr>
          <w:color w:val="231F20"/>
          <w:spacing w:val="-3"/>
          <w:w w:val="115"/>
        </w:rPr>
        <w:t> </w:t>
      </w:r>
      <w:r>
        <w:rPr>
          <w:color w:val="231F20"/>
          <w:spacing w:val="-2"/>
          <w:w w:val="115"/>
        </w:rPr>
        <w:t>avoir</w:t>
      </w:r>
      <w:r>
        <w:rPr>
          <w:color w:val="231F20"/>
          <w:spacing w:val="-3"/>
          <w:w w:val="115"/>
        </w:rPr>
        <w:t> </w:t>
      </w:r>
      <w:r>
        <w:rPr>
          <w:color w:val="231F20"/>
          <w:spacing w:val="-2"/>
          <w:w w:val="115"/>
        </w:rPr>
        <w:t>relevé </w:t>
      </w:r>
      <w:r>
        <w:rPr>
          <w:color w:val="231F20"/>
          <w:w w:val="120"/>
        </w:rPr>
        <w:t>les risques psychosociaux les plus représentatifs ayant une incidence </w:t>
      </w:r>
      <w:r>
        <w:rPr>
          <w:color w:val="231F20"/>
          <w:spacing w:val="-2"/>
          <w:w w:val="120"/>
        </w:rPr>
        <w:t>sur</w:t>
      </w:r>
      <w:r>
        <w:rPr>
          <w:color w:val="231F20"/>
          <w:spacing w:val="-3"/>
          <w:w w:val="120"/>
        </w:rPr>
        <w:t> </w:t>
      </w:r>
      <w:r>
        <w:rPr>
          <w:color w:val="231F20"/>
          <w:spacing w:val="-2"/>
          <w:w w:val="120"/>
        </w:rPr>
        <w:t>les</w:t>
      </w:r>
      <w:r>
        <w:rPr>
          <w:color w:val="231F20"/>
          <w:spacing w:val="-3"/>
          <w:w w:val="120"/>
        </w:rPr>
        <w:t> </w:t>
      </w:r>
      <w:r>
        <w:rPr>
          <w:color w:val="231F20"/>
          <w:spacing w:val="-2"/>
          <w:w w:val="120"/>
        </w:rPr>
        <w:t>travailleurs,</w:t>
      </w:r>
      <w:r>
        <w:rPr>
          <w:color w:val="231F20"/>
          <w:spacing w:val="-3"/>
          <w:w w:val="120"/>
        </w:rPr>
        <w:t> </w:t>
      </w:r>
      <w:r>
        <w:rPr>
          <w:color w:val="231F20"/>
          <w:spacing w:val="-2"/>
          <w:w w:val="120"/>
        </w:rPr>
        <w:t>il</w:t>
      </w:r>
      <w:r>
        <w:rPr>
          <w:color w:val="231F20"/>
          <w:spacing w:val="-3"/>
          <w:w w:val="120"/>
        </w:rPr>
        <w:t> </w:t>
      </w:r>
      <w:r>
        <w:rPr>
          <w:color w:val="231F20"/>
          <w:spacing w:val="-2"/>
          <w:w w:val="120"/>
        </w:rPr>
        <w:t>faut</w:t>
      </w:r>
      <w:r>
        <w:rPr>
          <w:color w:val="231F20"/>
          <w:spacing w:val="-3"/>
          <w:w w:val="120"/>
        </w:rPr>
        <w:t> </w:t>
      </w:r>
      <w:r>
        <w:rPr>
          <w:color w:val="231F20"/>
          <w:spacing w:val="-2"/>
          <w:w w:val="120"/>
        </w:rPr>
        <w:t>évaluer</w:t>
      </w:r>
      <w:r>
        <w:rPr>
          <w:color w:val="231F20"/>
          <w:spacing w:val="-3"/>
          <w:w w:val="120"/>
        </w:rPr>
        <w:t> </w:t>
      </w:r>
      <w:r>
        <w:rPr>
          <w:color w:val="231F20"/>
          <w:spacing w:val="-2"/>
          <w:w w:val="120"/>
        </w:rPr>
        <w:t>les</w:t>
      </w:r>
      <w:r>
        <w:rPr>
          <w:color w:val="231F20"/>
          <w:spacing w:val="-3"/>
          <w:w w:val="120"/>
        </w:rPr>
        <w:t> </w:t>
      </w:r>
      <w:r>
        <w:rPr>
          <w:color w:val="231F20"/>
          <w:spacing w:val="-2"/>
          <w:w w:val="120"/>
        </w:rPr>
        <w:t>possibilités</w:t>
      </w:r>
      <w:r>
        <w:rPr>
          <w:color w:val="231F20"/>
          <w:spacing w:val="-3"/>
          <w:w w:val="120"/>
        </w:rPr>
        <w:t> </w:t>
      </w:r>
      <w:r>
        <w:rPr>
          <w:color w:val="231F20"/>
          <w:spacing w:val="-2"/>
          <w:w w:val="120"/>
        </w:rPr>
        <w:t>d’intervention</w:t>
      </w:r>
      <w:r>
        <w:rPr>
          <w:color w:val="231F20"/>
          <w:spacing w:val="-3"/>
          <w:w w:val="120"/>
        </w:rPr>
        <w:t> </w:t>
      </w:r>
      <w:r>
        <w:rPr>
          <w:color w:val="231F20"/>
          <w:spacing w:val="-2"/>
          <w:w w:val="120"/>
        </w:rPr>
        <w:t>permet- </w:t>
      </w:r>
      <w:r>
        <w:rPr>
          <w:color w:val="231F20"/>
          <w:w w:val="120"/>
        </w:rPr>
        <w:t>tant</w:t>
      </w:r>
      <w:r>
        <w:rPr>
          <w:color w:val="231F20"/>
          <w:spacing w:val="-10"/>
          <w:w w:val="120"/>
        </w:rPr>
        <w:t> </w:t>
      </w:r>
      <w:r>
        <w:rPr>
          <w:color w:val="231F20"/>
          <w:w w:val="120"/>
        </w:rPr>
        <w:t>d’atténuer</w:t>
      </w:r>
      <w:r>
        <w:rPr>
          <w:color w:val="231F20"/>
          <w:spacing w:val="-10"/>
          <w:w w:val="120"/>
        </w:rPr>
        <w:t> </w:t>
      </w:r>
      <w:r>
        <w:rPr>
          <w:color w:val="231F20"/>
          <w:w w:val="120"/>
        </w:rPr>
        <w:t>la</w:t>
      </w:r>
      <w:r>
        <w:rPr>
          <w:color w:val="231F20"/>
          <w:spacing w:val="-10"/>
          <w:w w:val="120"/>
        </w:rPr>
        <w:t> </w:t>
      </w:r>
      <w:r>
        <w:rPr>
          <w:color w:val="231F20"/>
          <w:w w:val="120"/>
        </w:rPr>
        <w:t>source</w:t>
      </w:r>
      <w:r>
        <w:rPr>
          <w:color w:val="231F20"/>
          <w:spacing w:val="-10"/>
          <w:w w:val="120"/>
        </w:rPr>
        <w:t> </w:t>
      </w:r>
      <w:r>
        <w:rPr>
          <w:color w:val="231F20"/>
          <w:w w:val="120"/>
        </w:rPr>
        <w:t>des</w:t>
      </w:r>
      <w:r>
        <w:rPr>
          <w:color w:val="231F20"/>
          <w:spacing w:val="-10"/>
          <w:w w:val="120"/>
        </w:rPr>
        <w:t> </w:t>
      </w:r>
      <w:r>
        <w:rPr>
          <w:color w:val="231F20"/>
          <w:w w:val="120"/>
        </w:rPr>
        <w:t>facteurs</w:t>
      </w:r>
      <w:r>
        <w:rPr>
          <w:color w:val="231F20"/>
          <w:spacing w:val="-10"/>
          <w:w w:val="120"/>
        </w:rPr>
        <w:t> </w:t>
      </w:r>
      <w:r>
        <w:rPr>
          <w:color w:val="231F20"/>
          <w:w w:val="120"/>
        </w:rPr>
        <w:t>de</w:t>
      </w:r>
      <w:r>
        <w:rPr>
          <w:color w:val="231F20"/>
          <w:spacing w:val="-10"/>
          <w:w w:val="120"/>
        </w:rPr>
        <w:t> </w:t>
      </w:r>
      <w:r>
        <w:rPr>
          <w:color w:val="231F20"/>
          <w:w w:val="120"/>
        </w:rPr>
        <w:t>risque</w:t>
      </w:r>
      <w:r>
        <w:rPr>
          <w:color w:val="231F20"/>
          <w:spacing w:val="-10"/>
          <w:w w:val="120"/>
        </w:rPr>
        <w:t> </w:t>
      </w:r>
      <w:r>
        <w:rPr>
          <w:color w:val="231F20"/>
          <w:w w:val="120"/>
        </w:rPr>
        <w:t>et</w:t>
      </w:r>
      <w:r>
        <w:rPr>
          <w:color w:val="231F20"/>
          <w:spacing w:val="-10"/>
          <w:w w:val="120"/>
        </w:rPr>
        <w:t> </w:t>
      </w:r>
      <w:r>
        <w:rPr>
          <w:color w:val="231F20"/>
          <w:w w:val="120"/>
        </w:rPr>
        <w:t>leurs</w:t>
      </w:r>
      <w:r>
        <w:rPr>
          <w:color w:val="231F20"/>
          <w:spacing w:val="-10"/>
          <w:w w:val="120"/>
        </w:rPr>
        <w:t> </w:t>
      </w:r>
      <w:r>
        <w:rPr>
          <w:color w:val="231F20"/>
          <w:w w:val="120"/>
        </w:rPr>
        <w:t>effets</w:t>
      </w:r>
      <w:r>
        <w:rPr>
          <w:color w:val="231F20"/>
          <w:spacing w:val="-10"/>
          <w:w w:val="120"/>
        </w:rPr>
        <w:t> </w:t>
      </w:r>
      <w:r>
        <w:rPr>
          <w:color w:val="231F20"/>
          <w:w w:val="120"/>
        </w:rPr>
        <w:t>sur</w:t>
      </w:r>
      <w:r>
        <w:rPr>
          <w:color w:val="231F20"/>
          <w:spacing w:val="-10"/>
          <w:w w:val="120"/>
        </w:rPr>
        <w:t> </w:t>
      </w:r>
      <w:r>
        <w:rPr>
          <w:color w:val="231F20"/>
          <w:w w:val="120"/>
        </w:rPr>
        <w:t>les</w:t>
      </w:r>
      <w:r>
        <w:rPr>
          <w:color w:val="231F20"/>
          <w:spacing w:val="-10"/>
          <w:w w:val="120"/>
        </w:rPr>
        <w:t> </w:t>
      </w:r>
      <w:r>
        <w:rPr>
          <w:color w:val="231F20"/>
          <w:w w:val="120"/>
        </w:rPr>
        <w:t>tra- vailleurs,</w:t>
      </w:r>
      <w:r>
        <w:rPr>
          <w:color w:val="231F20"/>
          <w:spacing w:val="-5"/>
          <w:w w:val="120"/>
        </w:rPr>
        <w:t> </w:t>
      </w:r>
      <w:r>
        <w:rPr>
          <w:color w:val="231F20"/>
          <w:w w:val="120"/>
        </w:rPr>
        <w:t>puis</w:t>
      </w:r>
      <w:r>
        <w:rPr>
          <w:color w:val="231F20"/>
          <w:spacing w:val="-5"/>
          <w:w w:val="120"/>
        </w:rPr>
        <w:t> </w:t>
      </w:r>
      <w:r>
        <w:rPr>
          <w:color w:val="231F20"/>
          <w:w w:val="120"/>
        </w:rPr>
        <w:t>choisir</w:t>
      </w:r>
      <w:r>
        <w:rPr>
          <w:color w:val="231F20"/>
          <w:spacing w:val="-5"/>
          <w:w w:val="120"/>
        </w:rPr>
        <w:t> </w:t>
      </w:r>
      <w:r>
        <w:rPr>
          <w:color w:val="231F20"/>
          <w:w w:val="120"/>
        </w:rPr>
        <w:t>la</w:t>
      </w:r>
      <w:r>
        <w:rPr>
          <w:color w:val="231F20"/>
          <w:spacing w:val="-5"/>
          <w:w w:val="120"/>
        </w:rPr>
        <w:t> </w:t>
      </w:r>
      <w:r>
        <w:rPr>
          <w:color w:val="231F20"/>
          <w:w w:val="120"/>
        </w:rPr>
        <w:t>méthode</w:t>
      </w:r>
      <w:r>
        <w:rPr>
          <w:color w:val="231F20"/>
          <w:spacing w:val="-5"/>
          <w:w w:val="120"/>
        </w:rPr>
        <w:t> </w:t>
      </w:r>
      <w:r>
        <w:rPr>
          <w:color w:val="231F20"/>
          <w:w w:val="120"/>
        </w:rPr>
        <w:t>la</w:t>
      </w:r>
      <w:r>
        <w:rPr>
          <w:color w:val="231F20"/>
          <w:spacing w:val="-5"/>
          <w:w w:val="120"/>
        </w:rPr>
        <w:t> </w:t>
      </w:r>
      <w:r>
        <w:rPr>
          <w:color w:val="231F20"/>
          <w:w w:val="120"/>
        </w:rPr>
        <w:t>plus</w:t>
      </w:r>
      <w:r>
        <w:rPr>
          <w:color w:val="231F20"/>
          <w:spacing w:val="-5"/>
          <w:w w:val="120"/>
        </w:rPr>
        <w:t> </w:t>
      </w:r>
      <w:r>
        <w:rPr>
          <w:color w:val="231F20"/>
          <w:w w:val="120"/>
        </w:rPr>
        <w:t>appropriée.</w:t>
      </w:r>
      <w:r>
        <w:rPr>
          <w:color w:val="231F20"/>
          <w:spacing w:val="-5"/>
          <w:w w:val="120"/>
        </w:rPr>
        <w:t> </w:t>
      </w:r>
      <w:r>
        <w:rPr>
          <w:color w:val="231F20"/>
          <w:w w:val="120"/>
        </w:rPr>
        <w:t>On</w:t>
      </w:r>
      <w:r>
        <w:rPr>
          <w:color w:val="231F20"/>
          <w:spacing w:val="-5"/>
          <w:w w:val="120"/>
        </w:rPr>
        <w:t> </w:t>
      </w:r>
      <w:r>
        <w:rPr>
          <w:color w:val="231F20"/>
          <w:w w:val="120"/>
        </w:rPr>
        <w:t>établit</w:t>
      </w:r>
      <w:r>
        <w:rPr>
          <w:color w:val="231F20"/>
          <w:spacing w:val="-5"/>
          <w:w w:val="120"/>
        </w:rPr>
        <w:t> </w:t>
      </w:r>
      <w:r>
        <w:rPr>
          <w:color w:val="231F20"/>
          <w:w w:val="120"/>
        </w:rPr>
        <w:t>ensuite un</w:t>
      </w:r>
      <w:r>
        <w:rPr>
          <w:color w:val="231F20"/>
          <w:spacing w:val="-11"/>
          <w:w w:val="120"/>
        </w:rPr>
        <w:t> </w:t>
      </w:r>
      <w:r>
        <w:rPr>
          <w:color w:val="231F20"/>
          <w:w w:val="120"/>
        </w:rPr>
        <w:t>calendrier</w:t>
      </w:r>
      <w:r>
        <w:rPr>
          <w:color w:val="231F20"/>
          <w:spacing w:val="-11"/>
          <w:w w:val="120"/>
        </w:rPr>
        <w:t> </w:t>
      </w:r>
      <w:r>
        <w:rPr>
          <w:color w:val="231F20"/>
          <w:w w:val="120"/>
        </w:rPr>
        <w:t>d’interventions</w:t>
      </w:r>
      <w:r>
        <w:rPr>
          <w:color w:val="231F20"/>
          <w:spacing w:val="-11"/>
          <w:w w:val="120"/>
        </w:rPr>
        <w:t> </w:t>
      </w:r>
      <w:r>
        <w:rPr>
          <w:color w:val="231F20"/>
          <w:w w:val="120"/>
        </w:rPr>
        <w:t>précisant,</w:t>
      </w:r>
      <w:r>
        <w:rPr>
          <w:color w:val="231F20"/>
          <w:spacing w:val="-11"/>
          <w:w w:val="120"/>
        </w:rPr>
        <w:t> </w:t>
      </w:r>
      <w:r>
        <w:rPr>
          <w:color w:val="231F20"/>
          <w:w w:val="120"/>
        </w:rPr>
        <w:t>pour</w:t>
      </w:r>
      <w:r>
        <w:rPr>
          <w:color w:val="231F20"/>
          <w:spacing w:val="-11"/>
          <w:w w:val="120"/>
        </w:rPr>
        <w:t> </w:t>
      </w:r>
      <w:r>
        <w:rPr>
          <w:color w:val="231F20"/>
          <w:w w:val="120"/>
        </w:rPr>
        <w:t>chaque</w:t>
      </w:r>
      <w:r>
        <w:rPr>
          <w:color w:val="231F20"/>
          <w:spacing w:val="-11"/>
          <w:w w:val="120"/>
        </w:rPr>
        <w:t> </w:t>
      </w:r>
      <w:r>
        <w:rPr>
          <w:color w:val="231F20"/>
          <w:w w:val="120"/>
        </w:rPr>
        <w:t>activité,</w:t>
      </w:r>
      <w:r>
        <w:rPr>
          <w:color w:val="231F20"/>
          <w:spacing w:val="-11"/>
          <w:w w:val="120"/>
        </w:rPr>
        <w:t> </w:t>
      </w:r>
      <w:r>
        <w:rPr>
          <w:color w:val="231F20"/>
          <w:w w:val="120"/>
        </w:rPr>
        <w:t>le</w:t>
      </w:r>
      <w:r>
        <w:rPr>
          <w:color w:val="231F20"/>
          <w:spacing w:val="-11"/>
          <w:w w:val="120"/>
        </w:rPr>
        <w:t> </w:t>
      </w:r>
      <w:r>
        <w:rPr>
          <w:color w:val="231F20"/>
          <w:w w:val="120"/>
        </w:rPr>
        <w:t>nom</w:t>
      </w:r>
      <w:r>
        <w:rPr>
          <w:color w:val="231F20"/>
          <w:spacing w:val="-11"/>
          <w:w w:val="120"/>
        </w:rPr>
        <w:t> </w:t>
      </w:r>
      <w:r>
        <w:rPr>
          <w:color w:val="231F20"/>
          <w:w w:val="120"/>
        </w:rPr>
        <w:t>de la</w:t>
      </w:r>
      <w:r>
        <w:rPr>
          <w:color w:val="231F20"/>
          <w:spacing w:val="-13"/>
          <w:w w:val="120"/>
        </w:rPr>
        <w:t> </w:t>
      </w:r>
      <w:r>
        <w:rPr>
          <w:color w:val="231F20"/>
          <w:w w:val="120"/>
        </w:rPr>
        <w:t>personne</w:t>
      </w:r>
      <w:r>
        <w:rPr>
          <w:color w:val="231F20"/>
          <w:spacing w:val="-13"/>
          <w:w w:val="120"/>
        </w:rPr>
        <w:t> </w:t>
      </w:r>
      <w:r>
        <w:rPr>
          <w:color w:val="231F20"/>
          <w:w w:val="120"/>
        </w:rPr>
        <w:t>responsable,</w:t>
      </w:r>
      <w:r>
        <w:rPr>
          <w:color w:val="231F20"/>
          <w:spacing w:val="-13"/>
          <w:w w:val="120"/>
        </w:rPr>
        <w:t> </w:t>
      </w:r>
      <w:r>
        <w:rPr>
          <w:color w:val="231F20"/>
          <w:w w:val="120"/>
        </w:rPr>
        <w:t>les</w:t>
      </w:r>
      <w:r>
        <w:rPr>
          <w:color w:val="231F20"/>
          <w:spacing w:val="-12"/>
          <w:w w:val="120"/>
        </w:rPr>
        <w:t> </w:t>
      </w:r>
      <w:r>
        <w:rPr>
          <w:color w:val="231F20"/>
          <w:w w:val="120"/>
        </w:rPr>
        <w:t>échéances</w:t>
      </w:r>
      <w:r>
        <w:rPr>
          <w:color w:val="231F20"/>
          <w:spacing w:val="-13"/>
          <w:w w:val="120"/>
        </w:rPr>
        <w:t> </w:t>
      </w:r>
      <w:r>
        <w:rPr>
          <w:color w:val="231F20"/>
          <w:w w:val="120"/>
        </w:rPr>
        <w:t>et</w:t>
      </w:r>
      <w:r>
        <w:rPr>
          <w:color w:val="231F20"/>
          <w:spacing w:val="-13"/>
          <w:w w:val="120"/>
        </w:rPr>
        <w:t> </w:t>
      </w:r>
      <w:r>
        <w:rPr>
          <w:color w:val="231F20"/>
          <w:w w:val="120"/>
        </w:rPr>
        <w:t>les</w:t>
      </w:r>
      <w:r>
        <w:rPr>
          <w:color w:val="231F20"/>
          <w:spacing w:val="-13"/>
          <w:w w:val="120"/>
        </w:rPr>
        <w:t> </w:t>
      </w:r>
      <w:r>
        <w:rPr>
          <w:color w:val="231F20"/>
          <w:w w:val="120"/>
        </w:rPr>
        <w:t>objectifs.</w:t>
      </w:r>
      <w:r>
        <w:rPr>
          <w:color w:val="231F20"/>
          <w:spacing w:val="-12"/>
          <w:w w:val="120"/>
        </w:rPr>
        <w:t> </w:t>
      </w:r>
      <w:r>
        <w:rPr>
          <w:color w:val="231F20"/>
          <w:w w:val="120"/>
        </w:rPr>
        <w:t>Ensuite,</w:t>
      </w:r>
      <w:r>
        <w:rPr>
          <w:color w:val="231F20"/>
          <w:spacing w:val="-13"/>
          <w:w w:val="120"/>
        </w:rPr>
        <w:t> </w:t>
      </w:r>
      <w:r>
        <w:rPr>
          <w:color w:val="231F20"/>
          <w:w w:val="120"/>
        </w:rPr>
        <w:t>aux</w:t>
      </w:r>
      <w:r>
        <w:rPr>
          <w:color w:val="231F20"/>
          <w:spacing w:val="-13"/>
          <w:w w:val="120"/>
        </w:rPr>
        <w:t> </w:t>
      </w:r>
      <w:r>
        <w:rPr>
          <w:color w:val="231F20"/>
          <w:w w:val="120"/>
        </w:rPr>
        <w:t>fins </w:t>
      </w:r>
      <w:r>
        <w:rPr>
          <w:color w:val="231F20"/>
          <w:w w:val="115"/>
        </w:rPr>
        <w:t>de</w:t>
      </w:r>
      <w:r>
        <w:rPr>
          <w:color w:val="231F20"/>
          <w:spacing w:val="-8"/>
          <w:w w:val="115"/>
        </w:rPr>
        <w:t> </w:t>
      </w:r>
      <w:r>
        <w:rPr>
          <w:color w:val="231F20"/>
          <w:w w:val="115"/>
        </w:rPr>
        <w:t>l’évaluation</w:t>
      </w:r>
      <w:r>
        <w:rPr>
          <w:color w:val="231F20"/>
          <w:spacing w:val="-8"/>
          <w:w w:val="115"/>
        </w:rPr>
        <w:t> </w:t>
      </w:r>
      <w:r>
        <w:rPr>
          <w:color w:val="231F20"/>
          <w:w w:val="115"/>
        </w:rPr>
        <w:t>de</w:t>
      </w:r>
      <w:r>
        <w:rPr>
          <w:color w:val="231F20"/>
          <w:spacing w:val="-8"/>
          <w:w w:val="115"/>
        </w:rPr>
        <w:t> </w:t>
      </w:r>
      <w:r>
        <w:rPr>
          <w:color w:val="231F20"/>
          <w:w w:val="115"/>
        </w:rPr>
        <w:t>l’incidence</w:t>
      </w:r>
      <w:r>
        <w:rPr>
          <w:color w:val="231F20"/>
          <w:spacing w:val="-8"/>
          <w:w w:val="115"/>
        </w:rPr>
        <w:t> </w:t>
      </w:r>
      <w:r>
        <w:rPr>
          <w:color w:val="231F20"/>
          <w:w w:val="115"/>
        </w:rPr>
        <w:t>du</w:t>
      </w:r>
      <w:r>
        <w:rPr>
          <w:color w:val="231F20"/>
          <w:spacing w:val="-8"/>
          <w:w w:val="115"/>
        </w:rPr>
        <w:t> </w:t>
      </w:r>
      <w:r>
        <w:rPr>
          <w:color w:val="231F20"/>
          <w:w w:val="115"/>
        </w:rPr>
        <w:t>programme,</w:t>
      </w:r>
      <w:r>
        <w:rPr>
          <w:color w:val="231F20"/>
          <w:spacing w:val="-8"/>
          <w:w w:val="115"/>
        </w:rPr>
        <w:t> </w:t>
      </w:r>
      <w:r>
        <w:rPr>
          <w:color w:val="231F20"/>
          <w:w w:val="115"/>
        </w:rPr>
        <w:t>on</w:t>
      </w:r>
      <w:r>
        <w:rPr>
          <w:color w:val="231F20"/>
          <w:spacing w:val="-8"/>
          <w:w w:val="115"/>
        </w:rPr>
        <w:t> </w:t>
      </w:r>
      <w:r>
        <w:rPr>
          <w:color w:val="231F20"/>
          <w:w w:val="115"/>
        </w:rPr>
        <w:t>établit</w:t>
      </w:r>
      <w:r>
        <w:rPr>
          <w:color w:val="231F20"/>
          <w:spacing w:val="-8"/>
          <w:w w:val="115"/>
        </w:rPr>
        <w:t> </w:t>
      </w:r>
      <w:r>
        <w:rPr>
          <w:color w:val="231F20"/>
          <w:w w:val="115"/>
        </w:rPr>
        <w:t>des</w:t>
      </w:r>
      <w:r>
        <w:rPr>
          <w:color w:val="231F20"/>
          <w:spacing w:val="-8"/>
          <w:w w:val="115"/>
        </w:rPr>
        <w:t> </w:t>
      </w:r>
      <w:r>
        <w:rPr>
          <w:color w:val="231F20"/>
          <w:w w:val="115"/>
        </w:rPr>
        <w:t>indices</w:t>
      </w:r>
      <w:r>
        <w:rPr>
          <w:color w:val="231F20"/>
          <w:spacing w:val="-8"/>
          <w:w w:val="115"/>
        </w:rPr>
        <w:t> </w:t>
      </w:r>
      <w:r>
        <w:rPr>
          <w:color w:val="231F20"/>
          <w:w w:val="115"/>
        </w:rPr>
        <w:t>objec- </w:t>
      </w:r>
      <w:r>
        <w:rPr>
          <w:color w:val="231F20"/>
          <w:w w:val="120"/>
        </w:rPr>
        <w:t>tifs de gestion qui serviront à vérifier l’évolution de l’incidence des facteurs de risque.</w:t>
      </w:r>
    </w:p>
    <w:p>
      <w:pPr>
        <w:pStyle w:val="BodyText"/>
        <w:spacing w:before="7"/>
        <w:rPr>
          <w:sz w:val="21"/>
        </w:rPr>
      </w:pPr>
    </w:p>
    <w:p>
      <w:pPr>
        <w:pStyle w:val="BodyText"/>
        <w:spacing w:line="307" w:lineRule="auto"/>
        <w:ind w:left="1220" w:right="107"/>
        <w:jc w:val="both"/>
      </w:pPr>
      <w:r>
        <w:rPr>
          <w:b/>
          <w:color w:val="231F20"/>
          <w:spacing w:val="-4"/>
          <w:w w:val="115"/>
        </w:rPr>
        <w:t>Stade</w:t>
      </w:r>
      <w:r>
        <w:rPr>
          <w:b/>
          <w:color w:val="231F20"/>
          <w:spacing w:val="-6"/>
          <w:w w:val="115"/>
        </w:rPr>
        <w:t> </w:t>
      </w:r>
      <w:r>
        <w:rPr>
          <w:b/>
          <w:color w:val="231F20"/>
          <w:spacing w:val="-4"/>
          <w:w w:val="115"/>
        </w:rPr>
        <w:t>IV.</w:t>
      </w:r>
      <w:r>
        <w:rPr>
          <w:b/>
          <w:color w:val="231F20"/>
          <w:spacing w:val="-6"/>
          <w:w w:val="115"/>
        </w:rPr>
        <w:t> </w:t>
      </w:r>
      <w:r>
        <w:rPr>
          <w:b/>
          <w:color w:val="231F20"/>
          <w:spacing w:val="-4"/>
          <w:w w:val="115"/>
        </w:rPr>
        <w:t>Mise</w:t>
      </w:r>
      <w:r>
        <w:rPr>
          <w:b/>
          <w:color w:val="231F20"/>
          <w:spacing w:val="-6"/>
          <w:w w:val="115"/>
        </w:rPr>
        <w:t> </w:t>
      </w:r>
      <w:r>
        <w:rPr>
          <w:b/>
          <w:color w:val="231F20"/>
          <w:spacing w:val="-4"/>
          <w:w w:val="115"/>
        </w:rPr>
        <w:t>en</w:t>
      </w:r>
      <w:r>
        <w:rPr>
          <w:b/>
          <w:color w:val="231F20"/>
          <w:spacing w:val="-6"/>
          <w:w w:val="115"/>
        </w:rPr>
        <w:t> </w:t>
      </w:r>
      <w:r>
        <w:rPr>
          <w:b/>
          <w:color w:val="231F20"/>
          <w:spacing w:val="-4"/>
          <w:w w:val="115"/>
        </w:rPr>
        <w:t>œuvre</w:t>
      </w:r>
      <w:r>
        <w:rPr>
          <w:b/>
          <w:color w:val="231F20"/>
          <w:spacing w:val="-6"/>
          <w:w w:val="115"/>
        </w:rPr>
        <w:t> </w:t>
      </w:r>
      <w:r>
        <w:rPr>
          <w:b/>
          <w:color w:val="231F20"/>
          <w:spacing w:val="-4"/>
          <w:w w:val="115"/>
        </w:rPr>
        <w:t>de</w:t>
      </w:r>
      <w:r>
        <w:rPr>
          <w:b/>
          <w:color w:val="231F20"/>
          <w:spacing w:val="-6"/>
          <w:w w:val="115"/>
        </w:rPr>
        <w:t> </w:t>
      </w:r>
      <w:r>
        <w:rPr>
          <w:b/>
          <w:color w:val="231F20"/>
          <w:spacing w:val="-4"/>
          <w:w w:val="115"/>
        </w:rPr>
        <w:t>l’intervention </w:t>
      </w:r>
      <w:r>
        <w:rPr>
          <w:color w:val="231F20"/>
          <w:spacing w:val="-4"/>
          <w:w w:val="115"/>
        </w:rPr>
        <w:t>– À ce stade, toutes les mesures </w:t>
      </w:r>
      <w:r>
        <w:rPr>
          <w:color w:val="231F20"/>
          <w:w w:val="120"/>
        </w:rPr>
        <w:t>établies</w:t>
      </w:r>
      <w:r>
        <w:rPr>
          <w:color w:val="231F20"/>
          <w:spacing w:val="-7"/>
          <w:w w:val="120"/>
        </w:rPr>
        <w:t> </w:t>
      </w:r>
      <w:r>
        <w:rPr>
          <w:color w:val="231F20"/>
          <w:w w:val="120"/>
        </w:rPr>
        <w:t>dans</w:t>
      </w:r>
      <w:r>
        <w:rPr>
          <w:color w:val="231F20"/>
          <w:spacing w:val="-7"/>
          <w:w w:val="120"/>
        </w:rPr>
        <w:t> </w:t>
      </w:r>
      <w:r>
        <w:rPr>
          <w:color w:val="231F20"/>
          <w:w w:val="120"/>
        </w:rPr>
        <w:t>le</w:t>
      </w:r>
      <w:r>
        <w:rPr>
          <w:color w:val="231F20"/>
          <w:spacing w:val="-7"/>
          <w:w w:val="120"/>
        </w:rPr>
        <w:t> </w:t>
      </w:r>
      <w:r>
        <w:rPr>
          <w:color w:val="231F20"/>
          <w:w w:val="120"/>
        </w:rPr>
        <w:t>plan</w:t>
      </w:r>
      <w:r>
        <w:rPr>
          <w:color w:val="231F20"/>
          <w:spacing w:val="-7"/>
          <w:w w:val="120"/>
        </w:rPr>
        <w:t> </w:t>
      </w:r>
      <w:r>
        <w:rPr>
          <w:color w:val="231F20"/>
          <w:w w:val="120"/>
        </w:rPr>
        <w:t>d’intervention</w:t>
      </w:r>
      <w:r>
        <w:rPr>
          <w:color w:val="231F20"/>
          <w:spacing w:val="-7"/>
          <w:w w:val="120"/>
        </w:rPr>
        <w:t> </w:t>
      </w:r>
      <w:r>
        <w:rPr>
          <w:color w:val="231F20"/>
          <w:w w:val="120"/>
        </w:rPr>
        <w:t>sont</w:t>
      </w:r>
      <w:r>
        <w:rPr>
          <w:color w:val="231F20"/>
          <w:spacing w:val="-7"/>
          <w:w w:val="120"/>
        </w:rPr>
        <w:t> </w:t>
      </w:r>
      <w:r>
        <w:rPr>
          <w:color w:val="231F20"/>
          <w:w w:val="120"/>
        </w:rPr>
        <w:t>déployées</w:t>
      </w:r>
      <w:r>
        <w:rPr>
          <w:color w:val="231F20"/>
          <w:spacing w:val="-7"/>
          <w:w w:val="120"/>
        </w:rPr>
        <w:t> </w:t>
      </w:r>
      <w:r>
        <w:rPr>
          <w:color w:val="231F20"/>
          <w:w w:val="120"/>
        </w:rPr>
        <w:t>afin</w:t>
      </w:r>
      <w:r>
        <w:rPr>
          <w:color w:val="231F20"/>
          <w:spacing w:val="-7"/>
          <w:w w:val="120"/>
        </w:rPr>
        <w:t> </w:t>
      </w:r>
      <w:r>
        <w:rPr>
          <w:color w:val="231F20"/>
          <w:w w:val="120"/>
        </w:rPr>
        <w:t>de</w:t>
      </w:r>
      <w:r>
        <w:rPr>
          <w:color w:val="231F20"/>
          <w:spacing w:val="-7"/>
          <w:w w:val="120"/>
        </w:rPr>
        <w:t> </w:t>
      </w:r>
      <w:r>
        <w:rPr>
          <w:color w:val="231F20"/>
          <w:w w:val="120"/>
        </w:rPr>
        <w:t>maîtriser</w:t>
      </w:r>
      <w:r>
        <w:rPr>
          <w:color w:val="231F20"/>
          <w:spacing w:val="-7"/>
          <w:w w:val="120"/>
        </w:rPr>
        <w:t> </w:t>
      </w:r>
      <w:r>
        <w:rPr>
          <w:color w:val="231F20"/>
          <w:w w:val="120"/>
        </w:rPr>
        <w:t>les facteurs de risque. L’intervention cible les objectifs suivants:</w:t>
      </w:r>
    </w:p>
    <w:p>
      <w:pPr>
        <w:pStyle w:val="ListParagraph"/>
        <w:numPr>
          <w:ilvl w:val="1"/>
          <w:numId w:val="90"/>
        </w:numPr>
        <w:tabs>
          <w:tab w:pos="1721" w:val="left" w:leader="none"/>
        </w:tabs>
        <w:spacing w:line="307" w:lineRule="auto" w:before="79" w:after="0"/>
        <w:ind w:left="1720" w:right="105" w:hanging="251"/>
        <w:jc w:val="both"/>
        <w:rPr>
          <w:sz w:val="17"/>
        </w:rPr>
      </w:pPr>
      <w:r>
        <w:rPr>
          <w:i/>
          <w:color w:val="231F20"/>
          <w:spacing w:val="-2"/>
          <w:w w:val="115"/>
          <w:sz w:val="17"/>
        </w:rPr>
        <w:t>Atténuer</w:t>
      </w:r>
      <w:r>
        <w:rPr>
          <w:i/>
          <w:color w:val="231F20"/>
          <w:spacing w:val="-11"/>
          <w:w w:val="115"/>
          <w:sz w:val="17"/>
        </w:rPr>
        <w:t> </w:t>
      </w:r>
      <w:r>
        <w:rPr>
          <w:i/>
          <w:color w:val="231F20"/>
          <w:spacing w:val="-2"/>
          <w:w w:val="115"/>
          <w:sz w:val="17"/>
        </w:rPr>
        <w:t>l’agent</w:t>
      </w:r>
      <w:r>
        <w:rPr>
          <w:i/>
          <w:color w:val="231F20"/>
          <w:spacing w:val="-10"/>
          <w:w w:val="115"/>
          <w:sz w:val="17"/>
        </w:rPr>
        <w:t> </w:t>
      </w:r>
      <w:r>
        <w:rPr>
          <w:i/>
          <w:color w:val="231F20"/>
          <w:spacing w:val="-2"/>
          <w:w w:val="115"/>
          <w:sz w:val="17"/>
        </w:rPr>
        <w:t>(la</w:t>
      </w:r>
      <w:r>
        <w:rPr>
          <w:i/>
          <w:color w:val="231F20"/>
          <w:spacing w:val="-10"/>
          <w:w w:val="115"/>
          <w:sz w:val="17"/>
        </w:rPr>
        <w:t> </w:t>
      </w:r>
      <w:r>
        <w:rPr>
          <w:i/>
          <w:color w:val="231F20"/>
          <w:spacing w:val="-2"/>
          <w:w w:val="115"/>
          <w:sz w:val="17"/>
        </w:rPr>
        <w:t>source)</w:t>
      </w:r>
      <w:r>
        <w:rPr>
          <w:i/>
          <w:color w:val="231F20"/>
          <w:spacing w:val="-10"/>
          <w:w w:val="115"/>
          <w:sz w:val="17"/>
        </w:rPr>
        <w:t> </w:t>
      </w:r>
      <w:r>
        <w:rPr>
          <w:i/>
          <w:color w:val="231F20"/>
          <w:spacing w:val="-2"/>
          <w:w w:val="115"/>
          <w:sz w:val="17"/>
        </w:rPr>
        <w:t>du</w:t>
      </w:r>
      <w:r>
        <w:rPr>
          <w:i/>
          <w:color w:val="231F20"/>
          <w:spacing w:val="-11"/>
          <w:w w:val="115"/>
          <w:sz w:val="17"/>
        </w:rPr>
        <w:t> </w:t>
      </w:r>
      <w:r>
        <w:rPr>
          <w:i/>
          <w:color w:val="231F20"/>
          <w:spacing w:val="-2"/>
          <w:w w:val="115"/>
          <w:sz w:val="17"/>
        </w:rPr>
        <w:t>risque</w:t>
      </w:r>
      <w:r>
        <w:rPr>
          <w:color w:val="231F20"/>
          <w:spacing w:val="-2"/>
          <w:w w:val="115"/>
          <w:sz w:val="17"/>
        </w:rPr>
        <w:t>.</w:t>
      </w:r>
      <w:r>
        <w:rPr>
          <w:color w:val="231F20"/>
          <w:spacing w:val="-10"/>
          <w:w w:val="115"/>
          <w:sz w:val="17"/>
        </w:rPr>
        <w:t> </w:t>
      </w:r>
      <w:r>
        <w:rPr>
          <w:color w:val="231F20"/>
          <w:spacing w:val="-2"/>
          <w:w w:val="115"/>
          <w:sz w:val="17"/>
        </w:rPr>
        <w:t>Les</w:t>
      </w:r>
      <w:r>
        <w:rPr>
          <w:color w:val="231F20"/>
          <w:spacing w:val="-10"/>
          <w:w w:val="115"/>
          <w:sz w:val="17"/>
        </w:rPr>
        <w:t> </w:t>
      </w:r>
      <w:r>
        <w:rPr>
          <w:color w:val="231F20"/>
          <w:spacing w:val="-2"/>
          <w:w w:val="115"/>
          <w:sz w:val="17"/>
        </w:rPr>
        <w:t>méthodologies</w:t>
      </w:r>
      <w:r>
        <w:rPr>
          <w:color w:val="231F20"/>
          <w:spacing w:val="-10"/>
          <w:w w:val="115"/>
          <w:sz w:val="17"/>
        </w:rPr>
        <w:t> </w:t>
      </w:r>
      <w:r>
        <w:rPr>
          <w:color w:val="231F20"/>
          <w:spacing w:val="-2"/>
          <w:w w:val="115"/>
          <w:sz w:val="17"/>
        </w:rPr>
        <w:t>permettant </w:t>
      </w:r>
      <w:r>
        <w:rPr>
          <w:color w:val="231F20"/>
          <w:w w:val="120"/>
          <w:sz w:val="17"/>
        </w:rPr>
        <w:t>d’éliminer</w:t>
      </w:r>
      <w:r>
        <w:rPr>
          <w:color w:val="231F20"/>
          <w:spacing w:val="-4"/>
          <w:w w:val="120"/>
          <w:sz w:val="17"/>
        </w:rPr>
        <w:t> </w:t>
      </w:r>
      <w:r>
        <w:rPr>
          <w:color w:val="231F20"/>
          <w:w w:val="120"/>
          <w:sz w:val="17"/>
        </w:rPr>
        <w:t>chacun</w:t>
      </w:r>
      <w:r>
        <w:rPr>
          <w:color w:val="231F20"/>
          <w:spacing w:val="-4"/>
          <w:w w:val="120"/>
          <w:sz w:val="17"/>
        </w:rPr>
        <w:t> </w:t>
      </w:r>
      <w:r>
        <w:rPr>
          <w:color w:val="231F20"/>
          <w:w w:val="120"/>
          <w:sz w:val="17"/>
        </w:rPr>
        <w:t>des</w:t>
      </w:r>
      <w:r>
        <w:rPr>
          <w:color w:val="231F20"/>
          <w:spacing w:val="-4"/>
          <w:w w:val="120"/>
          <w:sz w:val="17"/>
        </w:rPr>
        <w:t> </w:t>
      </w:r>
      <w:r>
        <w:rPr>
          <w:color w:val="231F20"/>
          <w:w w:val="120"/>
          <w:sz w:val="17"/>
        </w:rPr>
        <w:t>facteurs</w:t>
      </w:r>
      <w:r>
        <w:rPr>
          <w:color w:val="231F20"/>
          <w:spacing w:val="-4"/>
          <w:w w:val="120"/>
          <w:sz w:val="17"/>
        </w:rPr>
        <w:t> </w:t>
      </w:r>
      <w:r>
        <w:rPr>
          <w:color w:val="231F20"/>
          <w:w w:val="120"/>
          <w:sz w:val="17"/>
        </w:rPr>
        <w:t>de</w:t>
      </w:r>
      <w:r>
        <w:rPr>
          <w:color w:val="231F20"/>
          <w:spacing w:val="-4"/>
          <w:w w:val="120"/>
          <w:sz w:val="17"/>
        </w:rPr>
        <w:t> </w:t>
      </w:r>
      <w:r>
        <w:rPr>
          <w:color w:val="231F20"/>
          <w:w w:val="120"/>
          <w:sz w:val="17"/>
        </w:rPr>
        <w:t>risque</w:t>
      </w:r>
      <w:r>
        <w:rPr>
          <w:color w:val="231F20"/>
          <w:spacing w:val="-4"/>
          <w:w w:val="120"/>
          <w:sz w:val="17"/>
        </w:rPr>
        <w:t> </w:t>
      </w:r>
      <w:r>
        <w:rPr>
          <w:color w:val="231F20"/>
          <w:w w:val="120"/>
          <w:sz w:val="17"/>
        </w:rPr>
        <w:t>sont</w:t>
      </w:r>
      <w:r>
        <w:rPr>
          <w:color w:val="231F20"/>
          <w:spacing w:val="-4"/>
          <w:w w:val="120"/>
          <w:sz w:val="17"/>
        </w:rPr>
        <w:t> </w:t>
      </w:r>
      <w:r>
        <w:rPr>
          <w:color w:val="231F20"/>
          <w:w w:val="120"/>
          <w:sz w:val="17"/>
        </w:rPr>
        <w:t>mises</w:t>
      </w:r>
      <w:r>
        <w:rPr>
          <w:color w:val="231F20"/>
          <w:spacing w:val="-4"/>
          <w:w w:val="120"/>
          <w:sz w:val="17"/>
        </w:rPr>
        <w:t> </w:t>
      </w:r>
      <w:r>
        <w:rPr>
          <w:color w:val="231F20"/>
          <w:w w:val="120"/>
          <w:sz w:val="17"/>
        </w:rPr>
        <w:t>en</w:t>
      </w:r>
      <w:r>
        <w:rPr>
          <w:color w:val="231F20"/>
          <w:spacing w:val="-4"/>
          <w:w w:val="120"/>
          <w:sz w:val="17"/>
        </w:rPr>
        <w:t> </w:t>
      </w:r>
      <w:r>
        <w:rPr>
          <w:color w:val="231F20"/>
          <w:w w:val="120"/>
          <w:sz w:val="17"/>
        </w:rPr>
        <w:t>œuvre,</w:t>
      </w:r>
      <w:r>
        <w:rPr>
          <w:color w:val="231F20"/>
          <w:spacing w:val="-4"/>
          <w:w w:val="120"/>
          <w:sz w:val="17"/>
        </w:rPr>
        <w:t> </w:t>
      </w:r>
      <w:r>
        <w:rPr>
          <w:color w:val="231F20"/>
          <w:w w:val="120"/>
          <w:sz w:val="17"/>
        </w:rPr>
        <w:t>et </w:t>
      </w:r>
      <w:r>
        <w:rPr>
          <w:color w:val="231F20"/>
          <w:w w:val="115"/>
          <w:sz w:val="17"/>
        </w:rPr>
        <w:t>les gestionnaires de proximité sont appelés à s’engager personnel- </w:t>
      </w:r>
      <w:r>
        <w:rPr>
          <w:color w:val="231F20"/>
          <w:w w:val="120"/>
          <w:sz w:val="17"/>
        </w:rPr>
        <w:t>lement sur la voie du changement et à aider à assurer la réussite des buts du programme en gérant les risques psychosociaux.</w:t>
      </w:r>
    </w:p>
    <w:p>
      <w:pPr>
        <w:pStyle w:val="ListParagraph"/>
        <w:numPr>
          <w:ilvl w:val="1"/>
          <w:numId w:val="90"/>
        </w:numPr>
        <w:tabs>
          <w:tab w:pos="1721" w:val="left" w:leader="none"/>
        </w:tabs>
        <w:spacing w:line="307" w:lineRule="auto" w:before="0" w:after="0"/>
        <w:ind w:left="1720" w:right="98" w:hanging="251"/>
        <w:jc w:val="both"/>
        <w:rPr>
          <w:sz w:val="17"/>
        </w:rPr>
      </w:pPr>
      <w:r>
        <w:rPr>
          <w:i/>
          <w:color w:val="231F20"/>
          <w:w w:val="115"/>
          <w:sz w:val="17"/>
        </w:rPr>
        <w:t>Maîtriser les facteurs de risque</w:t>
      </w:r>
      <w:r>
        <w:rPr>
          <w:color w:val="231F20"/>
          <w:w w:val="115"/>
          <w:sz w:val="17"/>
        </w:rPr>
        <w:t>. Après avoir relevé la présence de </w:t>
      </w:r>
      <w:r>
        <w:rPr>
          <w:color w:val="231F20"/>
          <w:w w:val="120"/>
          <w:sz w:val="17"/>
        </w:rPr>
        <w:t>facteurs de risque en milieu de travail, on implante les métho- dologies qui assainiront le mieux le climat de l’organisation, de manière</w:t>
      </w:r>
      <w:r>
        <w:rPr>
          <w:color w:val="231F20"/>
          <w:spacing w:val="-11"/>
          <w:w w:val="120"/>
          <w:sz w:val="17"/>
        </w:rPr>
        <w:t> </w:t>
      </w:r>
      <w:r>
        <w:rPr>
          <w:color w:val="231F20"/>
          <w:w w:val="120"/>
          <w:sz w:val="17"/>
        </w:rPr>
        <w:t>à</w:t>
      </w:r>
      <w:r>
        <w:rPr>
          <w:color w:val="231F20"/>
          <w:spacing w:val="-11"/>
          <w:w w:val="120"/>
          <w:sz w:val="17"/>
        </w:rPr>
        <w:t> </w:t>
      </w:r>
      <w:r>
        <w:rPr>
          <w:color w:val="231F20"/>
          <w:w w:val="120"/>
          <w:sz w:val="17"/>
        </w:rPr>
        <w:t>cultiver</w:t>
      </w:r>
      <w:r>
        <w:rPr>
          <w:color w:val="231F20"/>
          <w:spacing w:val="-11"/>
          <w:w w:val="120"/>
          <w:sz w:val="17"/>
        </w:rPr>
        <w:t> </w:t>
      </w:r>
      <w:r>
        <w:rPr>
          <w:color w:val="231F20"/>
          <w:w w:val="120"/>
          <w:sz w:val="17"/>
        </w:rPr>
        <w:t>le</w:t>
      </w:r>
      <w:r>
        <w:rPr>
          <w:color w:val="231F20"/>
          <w:spacing w:val="-11"/>
          <w:w w:val="120"/>
          <w:sz w:val="17"/>
        </w:rPr>
        <w:t> </w:t>
      </w:r>
      <w:r>
        <w:rPr>
          <w:color w:val="231F20"/>
          <w:w w:val="120"/>
          <w:sz w:val="17"/>
        </w:rPr>
        <w:t>niveau</w:t>
      </w:r>
      <w:r>
        <w:rPr>
          <w:color w:val="231F20"/>
          <w:spacing w:val="-11"/>
          <w:w w:val="120"/>
          <w:sz w:val="17"/>
        </w:rPr>
        <w:t> </w:t>
      </w:r>
      <w:r>
        <w:rPr>
          <w:color w:val="231F20"/>
          <w:w w:val="120"/>
          <w:sz w:val="17"/>
        </w:rPr>
        <w:t>d’engagement,</w:t>
      </w:r>
      <w:r>
        <w:rPr>
          <w:color w:val="231F20"/>
          <w:spacing w:val="-11"/>
          <w:w w:val="120"/>
          <w:sz w:val="17"/>
        </w:rPr>
        <w:t> </w:t>
      </w:r>
      <w:r>
        <w:rPr>
          <w:color w:val="231F20"/>
          <w:w w:val="120"/>
          <w:sz w:val="17"/>
        </w:rPr>
        <w:t>le</w:t>
      </w:r>
      <w:r>
        <w:rPr>
          <w:color w:val="231F20"/>
          <w:spacing w:val="-11"/>
          <w:w w:val="120"/>
          <w:sz w:val="17"/>
        </w:rPr>
        <w:t> </w:t>
      </w:r>
      <w:r>
        <w:rPr>
          <w:color w:val="231F20"/>
          <w:w w:val="120"/>
          <w:sz w:val="17"/>
        </w:rPr>
        <w:t>sentiment</w:t>
      </w:r>
      <w:r>
        <w:rPr>
          <w:color w:val="231F20"/>
          <w:spacing w:val="-11"/>
          <w:w w:val="120"/>
          <w:sz w:val="17"/>
        </w:rPr>
        <w:t> </w:t>
      </w:r>
      <w:r>
        <w:rPr>
          <w:color w:val="231F20"/>
          <w:w w:val="120"/>
          <w:sz w:val="17"/>
        </w:rPr>
        <w:t>d’appar- tenance</w:t>
      </w:r>
      <w:r>
        <w:rPr>
          <w:color w:val="231F20"/>
          <w:w w:val="120"/>
          <w:sz w:val="17"/>
        </w:rPr>
        <w:t> et</w:t>
      </w:r>
      <w:r>
        <w:rPr>
          <w:color w:val="231F20"/>
          <w:w w:val="120"/>
          <w:sz w:val="17"/>
        </w:rPr>
        <w:t> à</w:t>
      </w:r>
      <w:r>
        <w:rPr>
          <w:color w:val="231F20"/>
          <w:w w:val="120"/>
          <w:sz w:val="17"/>
        </w:rPr>
        <w:t> bonifier</w:t>
      </w:r>
      <w:r>
        <w:rPr>
          <w:color w:val="231F20"/>
          <w:w w:val="120"/>
          <w:sz w:val="17"/>
        </w:rPr>
        <w:t> le</w:t>
      </w:r>
      <w:r>
        <w:rPr>
          <w:color w:val="231F20"/>
          <w:w w:val="120"/>
          <w:sz w:val="17"/>
        </w:rPr>
        <w:t> sentiment</w:t>
      </w:r>
      <w:r>
        <w:rPr>
          <w:color w:val="231F20"/>
          <w:w w:val="120"/>
          <w:sz w:val="17"/>
        </w:rPr>
        <w:t> d’accomplissement</w:t>
      </w:r>
      <w:r>
        <w:rPr>
          <w:color w:val="231F20"/>
          <w:w w:val="120"/>
          <w:sz w:val="17"/>
        </w:rPr>
        <w:t> dans l’environnement de travail.</w:t>
      </w:r>
    </w:p>
    <w:p>
      <w:pPr>
        <w:pStyle w:val="ListParagraph"/>
        <w:numPr>
          <w:ilvl w:val="1"/>
          <w:numId w:val="90"/>
        </w:numPr>
        <w:tabs>
          <w:tab w:pos="1721" w:val="left" w:leader="none"/>
        </w:tabs>
        <w:spacing w:line="307" w:lineRule="auto" w:before="0" w:after="0"/>
        <w:ind w:left="1720" w:right="107" w:hanging="251"/>
        <w:jc w:val="both"/>
        <w:rPr>
          <w:sz w:val="17"/>
        </w:rPr>
      </w:pPr>
      <w:r>
        <w:rPr>
          <w:i/>
          <w:color w:val="231F20"/>
          <w:w w:val="115"/>
          <w:sz w:val="17"/>
        </w:rPr>
        <w:t>Développer les aptitudes individuelles</w:t>
      </w:r>
      <w:r>
        <w:rPr>
          <w:color w:val="231F20"/>
          <w:w w:val="115"/>
          <w:sz w:val="17"/>
        </w:rPr>
        <w:t>. Ainsi, les employés auront </w:t>
      </w:r>
      <w:r>
        <w:rPr>
          <w:color w:val="231F20"/>
          <w:spacing w:val="-2"/>
          <w:w w:val="120"/>
          <w:sz w:val="17"/>
        </w:rPr>
        <w:t>plus</w:t>
      </w:r>
      <w:r>
        <w:rPr>
          <w:color w:val="231F20"/>
          <w:spacing w:val="-9"/>
          <w:w w:val="120"/>
          <w:sz w:val="17"/>
        </w:rPr>
        <w:t> </w:t>
      </w:r>
      <w:r>
        <w:rPr>
          <w:color w:val="231F20"/>
          <w:spacing w:val="-2"/>
          <w:w w:val="120"/>
          <w:sz w:val="17"/>
        </w:rPr>
        <w:t>de</w:t>
      </w:r>
      <w:r>
        <w:rPr>
          <w:color w:val="231F20"/>
          <w:spacing w:val="-9"/>
          <w:w w:val="120"/>
          <w:sz w:val="17"/>
        </w:rPr>
        <w:t> </w:t>
      </w:r>
      <w:r>
        <w:rPr>
          <w:color w:val="231F20"/>
          <w:spacing w:val="-2"/>
          <w:w w:val="120"/>
          <w:sz w:val="17"/>
        </w:rPr>
        <w:t>facilité</w:t>
      </w:r>
      <w:r>
        <w:rPr>
          <w:color w:val="231F20"/>
          <w:spacing w:val="-9"/>
          <w:w w:val="120"/>
          <w:sz w:val="17"/>
        </w:rPr>
        <w:t> </w:t>
      </w:r>
      <w:r>
        <w:rPr>
          <w:color w:val="231F20"/>
          <w:spacing w:val="-2"/>
          <w:w w:val="120"/>
          <w:sz w:val="17"/>
        </w:rPr>
        <w:t>à</w:t>
      </w:r>
      <w:r>
        <w:rPr>
          <w:color w:val="231F20"/>
          <w:spacing w:val="-9"/>
          <w:w w:val="120"/>
          <w:sz w:val="17"/>
        </w:rPr>
        <w:t> </w:t>
      </w:r>
      <w:r>
        <w:rPr>
          <w:color w:val="231F20"/>
          <w:spacing w:val="-2"/>
          <w:w w:val="120"/>
          <w:sz w:val="17"/>
        </w:rPr>
        <w:t>s’adapter</w:t>
      </w:r>
      <w:r>
        <w:rPr>
          <w:color w:val="231F20"/>
          <w:spacing w:val="-9"/>
          <w:w w:val="120"/>
          <w:sz w:val="17"/>
        </w:rPr>
        <w:t> </w:t>
      </w:r>
      <w:r>
        <w:rPr>
          <w:color w:val="231F20"/>
          <w:spacing w:val="-2"/>
          <w:w w:val="120"/>
          <w:sz w:val="17"/>
        </w:rPr>
        <w:t>à</w:t>
      </w:r>
      <w:r>
        <w:rPr>
          <w:color w:val="231F20"/>
          <w:spacing w:val="-9"/>
          <w:w w:val="120"/>
          <w:sz w:val="17"/>
        </w:rPr>
        <w:t> </w:t>
      </w:r>
      <w:r>
        <w:rPr>
          <w:color w:val="231F20"/>
          <w:spacing w:val="-2"/>
          <w:w w:val="120"/>
          <w:sz w:val="17"/>
        </w:rPr>
        <w:t>leur</w:t>
      </w:r>
      <w:r>
        <w:rPr>
          <w:color w:val="231F20"/>
          <w:spacing w:val="-9"/>
          <w:w w:val="120"/>
          <w:sz w:val="17"/>
        </w:rPr>
        <w:t> </w:t>
      </w:r>
      <w:r>
        <w:rPr>
          <w:color w:val="231F20"/>
          <w:spacing w:val="-2"/>
          <w:w w:val="120"/>
          <w:sz w:val="17"/>
        </w:rPr>
        <w:t>environnement</w:t>
      </w:r>
      <w:r>
        <w:rPr>
          <w:color w:val="231F20"/>
          <w:spacing w:val="-9"/>
          <w:w w:val="120"/>
          <w:sz w:val="17"/>
        </w:rPr>
        <w:t> </w:t>
      </w:r>
      <w:r>
        <w:rPr>
          <w:color w:val="231F20"/>
          <w:spacing w:val="-2"/>
          <w:w w:val="120"/>
          <w:sz w:val="17"/>
        </w:rPr>
        <w:t>et</w:t>
      </w:r>
      <w:r>
        <w:rPr>
          <w:color w:val="231F20"/>
          <w:spacing w:val="-9"/>
          <w:w w:val="120"/>
          <w:sz w:val="17"/>
        </w:rPr>
        <w:t> </w:t>
      </w:r>
      <w:r>
        <w:rPr>
          <w:color w:val="231F20"/>
          <w:spacing w:val="-2"/>
          <w:w w:val="120"/>
          <w:sz w:val="17"/>
        </w:rPr>
        <w:t>à</w:t>
      </w:r>
      <w:r>
        <w:rPr>
          <w:color w:val="231F20"/>
          <w:spacing w:val="-9"/>
          <w:w w:val="120"/>
          <w:sz w:val="17"/>
        </w:rPr>
        <w:t> </w:t>
      </w:r>
      <w:r>
        <w:rPr>
          <w:color w:val="231F20"/>
          <w:spacing w:val="-2"/>
          <w:w w:val="120"/>
          <w:sz w:val="17"/>
        </w:rPr>
        <w:t>faire</w:t>
      </w:r>
      <w:r>
        <w:rPr>
          <w:color w:val="231F20"/>
          <w:spacing w:val="-9"/>
          <w:w w:val="120"/>
          <w:sz w:val="17"/>
        </w:rPr>
        <w:t> </w:t>
      </w:r>
      <w:r>
        <w:rPr>
          <w:color w:val="231F20"/>
          <w:spacing w:val="-2"/>
          <w:w w:val="120"/>
          <w:sz w:val="17"/>
        </w:rPr>
        <w:t>face</w:t>
      </w:r>
      <w:r>
        <w:rPr>
          <w:color w:val="231F20"/>
          <w:spacing w:val="-9"/>
          <w:w w:val="120"/>
          <w:sz w:val="17"/>
        </w:rPr>
        <w:t> </w:t>
      </w:r>
      <w:r>
        <w:rPr>
          <w:color w:val="231F20"/>
          <w:spacing w:val="-2"/>
          <w:w w:val="120"/>
          <w:sz w:val="17"/>
        </w:rPr>
        <w:t>aux </w:t>
      </w:r>
      <w:r>
        <w:rPr>
          <w:color w:val="231F20"/>
          <w:spacing w:val="-4"/>
          <w:w w:val="120"/>
          <w:sz w:val="17"/>
        </w:rPr>
        <w:t>divers problèmes qui surviennent au quotidien. Ils doivent disposer </w:t>
      </w:r>
      <w:r>
        <w:rPr>
          <w:color w:val="231F20"/>
          <w:w w:val="120"/>
          <w:sz w:val="17"/>
        </w:rPr>
        <w:t>des</w:t>
      </w:r>
      <w:r>
        <w:rPr>
          <w:color w:val="231F20"/>
          <w:spacing w:val="-7"/>
          <w:w w:val="120"/>
          <w:sz w:val="17"/>
        </w:rPr>
        <w:t> </w:t>
      </w:r>
      <w:r>
        <w:rPr>
          <w:color w:val="231F20"/>
          <w:w w:val="120"/>
          <w:sz w:val="17"/>
        </w:rPr>
        <w:t>ressources</w:t>
      </w:r>
      <w:r>
        <w:rPr>
          <w:color w:val="231F20"/>
          <w:spacing w:val="-7"/>
          <w:w w:val="120"/>
          <w:sz w:val="17"/>
        </w:rPr>
        <w:t> </w:t>
      </w:r>
      <w:r>
        <w:rPr>
          <w:color w:val="231F20"/>
          <w:w w:val="120"/>
          <w:sz w:val="17"/>
        </w:rPr>
        <w:t>et</w:t>
      </w:r>
      <w:r>
        <w:rPr>
          <w:color w:val="231F20"/>
          <w:spacing w:val="-7"/>
          <w:w w:val="120"/>
          <w:sz w:val="17"/>
        </w:rPr>
        <w:t> </w:t>
      </w:r>
      <w:r>
        <w:rPr>
          <w:color w:val="231F20"/>
          <w:w w:val="120"/>
          <w:sz w:val="17"/>
        </w:rPr>
        <w:t>des</w:t>
      </w:r>
      <w:r>
        <w:rPr>
          <w:color w:val="231F20"/>
          <w:spacing w:val="-7"/>
          <w:w w:val="120"/>
          <w:sz w:val="17"/>
        </w:rPr>
        <w:t> </w:t>
      </w:r>
      <w:r>
        <w:rPr>
          <w:color w:val="231F20"/>
          <w:w w:val="120"/>
          <w:sz w:val="17"/>
        </w:rPr>
        <w:t>outils</w:t>
      </w:r>
      <w:r>
        <w:rPr>
          <w:color w:val="231F20"/>
          <w:spacing w:val="-7"/>
          <w:w w:val="120"/>
          <w:sz w:val="17"/>
        </w:rPr>
        <w:t> </w:t>
      </w:r>
      <w:r>
        <w:rPr>
          <w:color w:val="231F20"/>
          <w:w w:val="120"/>
          <w:sz w:val="17"/>
        </w:rPr>
        <w:t>pratiques</w:t>
      </w:r>
      <w:r>
        <w:rPr>
          <w:color w:val="231F20"/>
          <w:spacing w:val="-7"/>
          <w:w w:val="120"/>
          <w:sz w:val="17"/>
        </w:rPr>
        <w:t> </w:t>
      </w:r>
      <w:r>
        <w:rPr>
          <w:color w:val="231F20"/>
          <w:w w:val="120"/>
          <w:sz w:val="17"/>
        </w:rPr>
        <w:t>nécessaires</w:t>
      </w:r>
      <w:r>
        <w:rPr>
          <w:color w:val="231F20"/>
          <w:spacing w:val="-7"/>
          <w:w w:val="120"/>
          <w:sz w:val="17"/>
        </w:rPr>
        <w:t> </w:t>
      </w:r>
      <w:r>
        <w:rPr>
          <w:color w:val="231F20"/>
          <w:w w:val="120"/>
          <w:sz w:val="17"/>
        </w:rPr>
        <w:t>à</w:t>
      </w:r>
      <w:r>
        <w:rPr>
          <w:color w:val="231F20"/>
          <w:spacing w:val="-7"/>
          <w:w w:val="120"/>
          <w:sz w:val="17"/>
        </w:rPr>
        <w:t> </w:t>
      </w:r>
      <w:r>
        <w:rPr>
          <w:color w:val="231F20"/>
          <w:w w:val="120"/>
          <w:sz w:val="17"/>
        </w:rPr>
        <w:t>renforcer</w:t>
      </w:r>
      <w:r>
        <w:rPr>
          <w:color w:val="231F20"/>
          <w:spacing w:val="-7"/>
          <w:w w:val="120"/>
          <w:sz w:val="17"/>
        </w:rPr>
        <w:t> </w:t>
      </w:r>
      <w:r>
        <w:rPr>
          <w:color w:val="231F20"/>
          <w:w w:val="120"/>
          <w:sz w:val="17"/>
        </w:rPr>
        <w:t>leur</w:t>
      </w:r>
      <w:r>
        <w:rPr>
          <w:color w:val="231F20"/>
          <w:w w:val="120"/>
          <w:sz w:val="17"/>
        </w:rPr>
        <w:t> capacité</w:t>
      </w:r>
      <w:r>
        <w:rPr>
          <w:color w:val="231F20"/>
          <w:spacing w:val="-9"/>
          <w:w w:val="120"/>
          <w:sz w:val="17"/>
        </w:rPr>
        <w:t> </w:t>
      </w:r>
      <w:r>
        <w:rPr>
          <w:color w:val="231F20"/>
          <w:w w:val="120"/>
          <w:sz w:val="17"/>
        </w:rPr>
        <w:t>à</w:t>
      </w:r>
      <w:r>
        <w:rPr>
          <w:color w:val="231F20"/>
          <w:spacing w:val="-9"/>
          <w:w w:val="120"/>
          <w:sz w:val="17"/>
        </w:rPr>
        <w:t> </w:t>
      </w:r>
      <w:r>
        <w:rPr>
          <w:color w:val="231F20"/>
          <w:w w:val="120"/>
          <w:sz w:val="17"/>
        </w:rPr>
        <w:t>modifier</w:t>
      </w:r>
      <w:r>
        <w:rPr>
          <w:color w:val="231F20"/>
          <w:spacing w:val="-9"/>
          <w:w w:val="120"/>
          <w:sz w:val="17"/>
        </w:rPr>
        <w:t> </w:t>
      </w:r>
      <w:r>
        <w:rPr>
          <w:color w:val="231F20"/>
          <w:w w:val="120"/>
          <w:sz w:val="17"/>
        </w:rPr>
        <w:t>leur</w:t>
      </w:r>
      <w:r>
        <w:rPr>
          <w:color w:val="231F20"/>
          <w:spacing w:val="-9"/>
          <w:w w:val="120"/>
          <w:sz w:val="17"/>
        </w:rPr>
        <w:t> </w:t>
      </w:r>
      <w:r>
        <w:rPr>
          <w:color w:val="231F20"/>
          <w:w w:val="120"/>
          <w:sz w:val="17"/>
        </w:rPr>
        <w:t>comportement</w:t>
      </w:r>
      <w:r>
        <w:rPr>
          <w:color w:val="231F20"/>
          <w:spacing w:val="-9"/>
          <w:w w:val="120"/>
          <w:sz w:val="17"/>
        </w:rPr>
        <w:t> </w:t>
      </w:r>
      <w:r>
        <w:rPr>
          <w:color w:val="231F20"/>
          <w:w w:val="120"/>
          <w:sz w:val="17"/>
        </w:rPr>
        <w:t>et</w:t>
      </w:r>
      <w:r>
        <w:rPr>
          <w:color w:val="231F20"/>
          <w:spacing w:val="-9"/>
          <w:w w:val="120"/>
          <w:sz w:val="17"/>
        </w:rPr>
        <w:t> </w:t>
      </w:r>
      <w:r>
        <w:rPr>
          <w:color w:val="231F20"/>
          <w:w w:val="120"/>
          <w:sz w:val="17"/>
        </w:rPr>
        <w:t>leur</w:t>
      </w:r>
      <w:r>
        <w:rPr>
          <w:color w:val="231F20"/>
          <w:spacing w:val="-9"/>
          <w:w w:val="120"/>
          <w:sz w:val="17"/>
        </w:rPr>
        <w:t> </w:t>
      </w:r>
      <w:r>
        <w:rPr>
          <w:color w:val="231F20"/>
          <w:w w:val="120"/>
          <w:sz w:val="17"/>
        </w:rPr>
        <w:t>environnement,</w:t>
      </w:r>
      <w:r>
        <w:rPr>
          <w:color w:val="231F20"/>
          <w:spacing w:val="-9"/>
          <w:w w:val="120"/>
          <w:sz w:val="17"/>
        </w:rPr>
        <w:t> </w:t>
      </w:r>
      <w:r>
        <w:rPr>
          <w:color w:val="231F20"/>
          <w:w w:val="120"/>
          <w:sz w:val="17"/>
        </w:rPr>
        <w:t>ce qui favorisera l’amélioration de la qualité de vie au travail.</w:t>
      </w:r>
    </w:p>
    <w:p>
      <w:pPr>
        <w:pStyle w:val="BodyText"/>
        <w:spacing w:before="6"/>
        <w:rPr>
          <w:sz w:val="21"/>
        </w:rPr>
      </w:pPr>
    </w:p>
    <w:p>
      <w:pPr>
        <w:pStyle w:val="BodyText"/>
        <w:spacing w:line="307" w:lineRule="auto"/>
        <w:ind w:left="1220" w:right="106"/>
        <w:jc w:val="both"/>
      </w:pPr>
      <w:r>
        <w:rPr>
          <w:b/>
          <w:color w:val="231F20"/>
          <w:w w:val="115"/>
        </w:rPr>
        <w:t>Stade</w:t>
      </w:r>
      <w:r>
        <w:rPr>
          <w:b/>
          <w:color w:val="231F20"/>
          <w:spacing w:val="-4"/>
          <w:w w:val="115"/>
        </w:rPr>
        <w:t> </w:t>
      </w:r>
      <w:r>
        <w:rPr>
          <w:b/>
          <w:color w:val="231F20"/>
          <w:w w:val="115"/>
        </w:rPr>
        <w:t>V.</w:t>
      </w:r>
      <w:r>
        <w:rPr>
          <w:b/>
          <w:color w:val="231F20"/>
          <w:spacing w:val="-4"/>
          <w:w w:val="115"/>
        </w:rPr>
        <w:t> </w:t>
      </w:r>
      <w:r>
        <w:rPr>
          <w:b/>
          <w:color w:val="231F20"/>
          <w:w w:val="115"/>
        </w:rPr>
        <w:t>Évaluation</w:t>
      </w:r>
      <w:r>
        <w:rPr>
          <w:b/>
          <w:color w:val="231F20"/>
          <w:spacing w:val="-4"/>
          <w:w w:val="115"/>
        </w:rPr>
        <w:t> </w:t>
      </w:r>
      <w:r>
        <w:rPr>
          <w:b/>
          <w:color w:val="231F20"/>
          <w:w w:val="115"/>
        </w:rPr>
        <w:t>des</w:t>
      </w:r>
      <w:r>
        <w:rPr>
          <w:b/>
          <w:color w:val="231F20"/>
          <w:spacing w:val="-4"/>
          <w:w w:val="115"/>
        </w:rPr>
        <w:t> </w:t>
      </w:r>
      <w:r>
        <w:rPr>
          <w:b/>
          <w:color w:val="231F20"/>
          <w:w w:val="115"/>
        </w:rPr>
        <w:t>résultats</w:t>
      </w:r>
      <w:r>
        <w:rPr>
          <w:b/>
          <w:color w:val="231F20"/>
          <w:spacing w:val="-4"/>
          <w:w w:val="115"/>
        </w:rPr>
        <w:t> </w:t>
      </w:r>
      <w:r>
        <w:rPr>
          <w:color w:val="231F20"/>
          <w:w w:val="115"/>
        </w:rPr>
        <w:t>– Une fois terminée la mise en œuvre </w:t>
      </w:r>
      <w:r>
        <w:rPr>
          <w:color w:val="231F20"/>
          <w:w w:val="120"/>
        </w:rPr>
        <w:t>du</w:t>
      </w:r>
      <w:r>
        <w:rPr>
          <w:color w:val="231F20"/>
          <w:spacing w:val="-13"/>
          <w:w w:val="120"/>
        </w:rPr>
        <w:t> </w:t>
      </w:r>
      <w:r>
        <w:rPr>
          <w:color w:val="231F20"/>
          <w:w w:val="120"/>
        </w:rPr>
        <w:t>plan</w:t>
      </w:r>
      <w:r>
        <w:rPr>
          <w:color w:val="231F20"/>
          <w:spacing w:val="-13"/>
          <w:w w:val="120"/>
        </w:rPr>
        <w:t> </w:t>
      </w:r>
      <w:r>
        <w:rPr>
          <w:color w:val="231F20"/>
          <w:w w:val="120"/>
        </w:rPr>
        <w:t>d’intervention,</w:t>
      </w:r>
      <w:r>
        <w:rPr>
          <w:color w:val="231F20"/>
          <w:spacing w:val="-13"/>
          <w:w w:val="120"/>
        </w:rPr>
        <w:t> </w:t>
      </w:r>
      <w:r>
        <w:rPr>
          <w:color w:val="231F20"/>
          <w:w w:val="120"/>
        </w:rPr>
        <w:t>et</w:t>
      </w:r>
      <w:r>
        <w:rPr>
          <w:color w:val="231F20"/>
          <w:spacing w:val="-12"/>
          <w:w w:val="120"/>
        </w:rPr>
        <w:t> </w:t>
      </w:r>
      <w:r>
        <w:rPr>
          <w:color w:val="231F20"/>
          <w:w w:val="120"/>
        </w:rPr>
        <w:t>après</w:t>
      </w:r>
      <w:r>
        <w:rPr>
          <w:color w:val="231F20"/>
          <w:spacing w:val="-13"/>
          <w:w w:val="120"/>
        </w:rPr>
        <w:t> </w:t>
      </w:r>
      <w:r>
        <w:rPr>
          <w:color w:val="231F20"/>
          <w:w w:val="120"/>
        </w:rPr>
        <w:t>un</w:t>
      </w:r>
      <w:r>
        <w:rPr>
          <w:color w:val="231F20"/>
          <w:spacing w:val="-13"/>
          <w:w w:val="120"/>
        </w:rPr>
        <w:t> </w:t>
      </w:r>
      <w:r>
        <w:rPr>
          <w:color w:val="231F20"/>
          <w:w w:val="120"/>
        </w:rPr>
        <w:t>certain</w:t>
      </w:r>
      <w:r>
        <w:rPr>
          <w:color w:val="231F20"/>
          <w:spacing w:val="-13"/>
          <w:w w:val="120"/>
        </w:rPr>
        <w:t> </w:t>
      </w:r>
      <w:r>
        <w:rPr>
          <w:color w:val="231F20"/>
          <w:w w:val="120"/>
        </w:rPr>
        <w:t>temps</w:t>
      </w:r>
      <w:r>
        <w:rPr>
          <w:color w:val="231F20"/>
          <w:spacing w:val="-12"/>
          <w:w w:val="120"/>
        </w:rPr>
        <w:t> </w:t>
      </w:r>
      <w:r>
        <w:rPr>
          <w:color w:val="231F20"/>
          <w:w w:val="120"/>
        </w:rPr>
        <w:t>permettant</w:t>
      </w:r>
      <w:r>
        <w:rPr>
          <w:color w:val="231F20"/>
          <w:spacing w:val="-13"/>
          <w:w w:val="120"/>
        </w:rPr>
        <w:t> </w:t>
      </w:r>
      <w:r>
        <w:rPr>
          <w:color w:val="231F20"/>
          <w:w w:val="120"/>
        </w:rPr>
        <w:t>aux</w:t>
      </w:r>
      <w:r>
        <w:rPr>
          <w:color w:val="231F20"/>
          <w:spacing w:val="-13"/>
          <w:w w:val="120"/>
        </w:rPr>
        <w:t> </w:t>
      </w:r>
      <w:r>
        <w:rPr>
          <w:color w:val="231F20"/>
          <w:w w:val="120"/>
        </w:rPr>
        <w:t>actions d’exprimer</w:t>
      </w:r>
      <w:r>
        <w:rPr>
          <w:color w:val="231F20"/>
          <w:spacing w:val="-13"/>
          <w:w w:val="120"/>
        </w:rPr>
        <w:t> </w:t>
      </w:r>
      <w:r>
        <w:rPr>
          <w:color w:val="231F20"/>
          <w:w w:val="120"/>
        </w:rPr>
        <w:t>leur</w:t>
      </w:r>
      <w:r>
        <w:rPr>
          <w:color w:val="231F20"/>
          <w:spacing w:val="-12"/>
          <w:w w:val="120"/>
        </w:rPr>
        <w:t> </w:t>
      </w:r>
      <w:r>
        <w:rPr>
          <w:color w:val="231F20"/>
          <w:w w:val="120"/>
        </w:rPr>
        <w:t>efficacité,</w:t>
      </w:r>
      <w:r>
        <w:rPr>
          <w:color w:val="231F20"/>
          <w:spacing w:val="-13"/>
          <w:w w:val="120"/>
        </w:rPr>
        <w:t> </w:t>
      </w:r>
      <w:r>
        <w:rPr>
          <w:color w:val="231F20"/>
          <w:w w:val="120"/>
        </w:rPr>
        <w:t>il</w:t>
      </w:r>
      <w:r>
        <w:rPr>
          <w:color w:val="231F20"/>
          <w:spacing w:val="-12"/>
          <w:w w:val="120"/>
        </w:rPr>
        <w:t> </w:t>
      </w:r>
      <w:r>
        <w:rPr>
          <w:color w:val="231F20"/>
          <w:w w:val="120"/>
        </w:rPr>
        <w:t>faut</w:t>
      </w:r>
      <w:r>
        <w:rPr>
          <w:color w:val="231F20"/>
          <w:spacing w:val="-13"/>
          <w:w w:val="120"/>
        </w:rPr>
        <w:t> </w:t>
      </w:r>
      <w:r>
        <w:rPr>
          <w:color w:val="231F20"/>
          <w:w w:val="120"/>
        </w:rPr>
        <w:t>mettre</w:t>
      </w:r>
      <w:r>
        <w:rPr>
          <w:color w:val="231F20"/>
          <w:spacing w:val="-12"/>
          <w:w w:val="120"/>
        </w:rPr>
        <w:t> </w:t>
      </w:r>
      <w:r>
        <w:rPr>
          <w:color w:val="231F20"/>
          <w:w w:val="120"/>
        </w:rPr>
        <w:t>en</w:t>
      </w:r>
      <w:r>
        <w:rPr>
          <w:color w:val="231F20"/>
          <w:spacing w:val="-13"/>
          <w:w w:val="120"/>
        </w:rPr>
        <w:t> </w:t>
      </w:r>
      <w:r>
        <w:rPr>
          <w:color w:val="231F20"/>
          <w:w w:val="120"/>
        </w:rPr>
        <w:t>œuvre</w:t>
      </w:r>
      <w:r>
        <w:rPr>
          <w:color w:val="231F20"/>
          <w:spacing w:val="-12"/>
          <w:w w:val="120"/>
        </w:rPr>
        <w:t> </w:t>
      </w:r>
      <w:r>
        <w:rPr>
          <w:color w:val="231F20"/>
          <w:w w:val="120"/>
        </w:rPr>
        <w:t>le</w:t>
      </w:r>
      <w:r>
        <w:rPr>
          <w:color w:val="231F20"/>
          <w:spacing w:val="-13"/>
          <w:w w:val="120"/>
        </w:rPr>
        <w:t> </w:t>
      </w:r>
      <w:r>
        <w:rPr>
          <w:color w:val="231F20"/>
          <w:w w:val="120"/>
        </w:rPr>
        <w:t>stade</w:t>
      </w:r>
      <w:r>
        <w:rPr>
          <w:color w:val="231F20"/>
          <w:spacing w:val="-12"/>
          <w:w w:val="120"/>
        </w:rPr>
        <w:t> </w:t>
      </w:r>
      <w:r>
        <w:rPr>
          <w:color w:val="231F20"/>
          <w:w w:val="120"/>
        </w:rPr>
        <w:t>d’évaluation. </w:t>
      </w:r>
      <w:r>
        <w:rPr>
          <w:color w:val="231F20"/>
          <w:spacing w:val="-2"/>
          <w:w w:val="120"/>
        </w:rPr>
        <w:t>Il</w:t>
      </w:r>
      <w:r>
        <w:rPr>
          <w:color w:val="231F20"/>
          <w:spacing w:val="-5"/>
          <w:w w:val="120"/>
        </w:rPr>
        <w:t> </w:t>
      </w:r>
      <w:r>
        <w:rPr>
          <w:color w:val="231F20"/>
          <w:spacing w:val="-2"/>
          <w:w w:val="120"/>
        </w:rPr>
        <w:t>s’agit</w:t>
      </w:r>
      <w:r>
        <w:rPr>
          <w:color w:val="231F20"/>
          <w:spacing w:val="-5"/>
          <w:w w:val="120"/>
        </w:rPr>
        <w:t> </w:t>
      </w:r>
      <w:r>
        <w:rPr>
          <w:color w:val="231F20"/>
          <w:spacing w:val="-2"/>
          <w:w w:val="120"/>
        </w:rPr>
        <w:t>concrètement</w:t>
      </w:r>
      <w:r>
        <w:rPr>
          <w:color w:val="231F20"/>
          <w:spacing w:val="-5"/>
          <w:w w:val="120"/>
        </w:rPr>
        <w:t> </w:t>
      </w:r>
      <w:r>
        <w:rPr>
          <w:color w:val="231F20"/>
          <w:spacing w:val="-2"/>
          <w:w w:val="120"/>
        </w:rPr>
        <w:t>d’estimer</w:t>
      </w:r>
      <w:r>
        <w:rPr>
          <w:color w:val="231F20"/>
          <w:spacing w:val="-5"/>
          <w:w w:val="120"/>
        </w:rPr>
        <w:t> </w:t>
      </w:r>
      <w:r>
        <w:rPr>
          <w:color w:val="231F20"/>
          <w:spacing w:val="-2"/>
          <w:w w:val="120"/>
        </w:rPr>
        <w:t>les</w:t>
      </w:r>
      <w:r>
        <w:rPr>
          <w:color w:val="231F20"/>
          <w:spacing w:val="-5"/>
          <w:w w:val="120"/>
        </w:rPr>
        <w:t> </w:t>
      </w:r>
      <w:r>
        <w:rPr>
          <w:color w:val="231F20"/>
          <w:spacing w:val="-2"/>
          <w:w w:val="120"/>
        </w:rPr>
        <w:t>résultats</w:t>
      </w:r>
      <w:r>
        <w:rPr>
          <w:color w:val="231F20"/>
          <w:spacing w:val="-5"/>
          <w:w w:val="120"/>
        </w:rPr>
        <w:t> </w:t>
      </w:r>
      <w:r>
        <w:rPr>
          <w:color w:val="231F20"/>
          <w:spacing w:val="-2"/>
          <w:w w:val="120"/>
        </w:rPr>
        <w:t>afin</w:t>
      </w:r>
      <w:r>
        <w:rPr>
          <w:color w:val="231F20"/>
          <w:spacing w:val="-5"/>
          <w:w w:val="120"/>
        </w:rPr>
        <w:t> </w:t>
      </w:r>
      <w:r>
        <w:rPr>
          <w:color w:val="231F20"/>
          <w:spacing w:val="-2"/>
          <w:w w:val="120"/>
        </w:rPr>
        <w:t>de</w:t>
      </w:r>
      <w:r>
        <w:rPr>
          <w:color w:val="231F20"/>
          <w:spacing w:val="-5"/>
          <w:w w:val="120"/>
        </w:rPr>
        <w:t> </w:t>
      </w:r>
      <w:r>
        <w:rPr>
          <w:color w:val="231F20"/>
          <w:spacing w:val="-2"/>
          <w:w w:val="120"/>
        </w:rPr>
        <w:t>mesurer</w:t>
      </w:r>
      <w:r>
        <w:rPr>
          <w:color w:val="231F20"/>
          <w:spacing w:val="-5"/>
          <w:w w:val="120"/>
        </w:rPr>
        <w:t> </w:t>
      </w:r>
      <w:r>
        <w:rPr>
          <w:color w:val="231F20"/>
          <w:spacing w:val="-2"/>
          <w:w w:val="120"/>
        </w:rPr>
        <w:t>et</w:t>
      </w:r>
      <w:r>
        <w:rPr>
          <w:color w:val="231F20"/>
          <w:spacing w:val="-5"/>
          <w:w w:val="120"/>
        </w:rPr>
        <w:t> </w:t>
      </w:r>
      <w:r>
        <w:rPr>
          <w:color w:val="231F20"/>
          <w:spacing w:val="-2"/>
          <w:w w:val="120"/>
        </w:rPr>
        <w:t>de</w:t>
      </w:r>
      <w:r>
        <w:rPr>
          <w:color w:val="231F20"/>
          <w:spacing w:val="-5"/>
          <w:w w:val="120"/>
        </w:rPr>
        <w:t> </w:t>
      </w:r>
      <w:r>
        <w:rPr>
          <w:color w:val="231F20"/>
          <w:spacing w:val="-2"/>
          <w:w w:val="120"/>
        </w:rPr>
        <w:t>quan- </w:t>
      </w:r>
      <w:r>
        <w:rPr>
          <w:color w:val="231F20"/>
          <w:w w:val="120"/>
        </w:rPr>
        <w:t>tifier</w:t>
      </w:r>
      <w:r>
        <w:rPr>
          <w:color w:val="231F20"/>
          <w:spacing w:val="-5"/>
          <w:w w:val="120"/>
        </w:rPr>
        <w:t> </w:t>
      </w:r>
      <w:r>
        <w:rPr>
          <w:color w:val="231F20"/>
          <w:w w:val="120"/>
        </w:rPr>
        <w:t>l’incidence</w:t>
      </w:r>
      <w:r>
        <w:rPr>
          <w:color w:val="231F20"/>
          <w:spacing w:val="-5"/>
          <w:w w:val="120"/>
        </w:rPr>
        <w:t> </w:t>
      </w:r>
      <w:r>
        <w:rPr>
          <w:color w:val="231F20"/>
          <w:w w:val="120"/>
        </w:rPr>
        <w:t>ou</w:t>
      </w:r>
      <w:r>
        <w:rPr>
          <w:color w:val="231F20"/>
          <w:spacing w:val="-5"/>
          <w:w w:val="120"/>
        </w:rPr>
        <w:t> </w:t>
      </w:r>
      <w:r>
        <w:rPr>
          <w:color w:val="231F20"/>
          <w:w w:val="120"/>
        </w:rPr>
        <w:t>l’absence</w:t>
      </w:r>
      <w:r>
        <w:rPr>
          <w:color w:val="231F20"/>
          <w:spacing w:val="-5"/>
          <w:w w:val="120"/>
        </w:rPr>
        <w:t> </w:t>
      </w:r>
      <w:r>
        <w:rPr>
          <w:color w:val="231F20"/>
          <w:w w:val="120"/>
        </w:rPr>
        <w:t>des</w:t>
      </w:r>
      <w:r>
        <w:rPr>
          <w:color w:val="231F20"/>
          <w:spacing w:val="-5"/>
          <w:w w:val="120"/>
        </w:rPr>
        <w:t> </w:t>
      </w:r>
      <w:r>
        <w:rPr>
          <w:color w:val="231F20"/>
          <w:w w:val="120"/>
        </w:rPr>
        <w:t>risques</w:t>
      </w:r>
      <w:r>
        <w:rPr>
          <w:color w:val="231F20"/>
          <w:spacing w:val="-5"/>
          <w:w w:val="120"/>
        </w:rPr>
        <w:t> </w:t>
      </w:r>
      <w:r>
        <w:rPr>
          <w:color w:val="231F20"/>
          <w:w w:val="120"/>
        </w:rPr>
        <w:t>psychosociaux,</w:t>
      </w:r>
      <w:r>
        <w:rPr>
          <w:color w:val="231F20"/>
          <w:spacing w:val="-5"/>
          <w:w w:val="120"/>
        </w:rPr>
        <w:t> </w:t>
      </w:r>
      <w:r>
        <w:rPr>
          <w:color w:val="231F20"/>
          <w:w w:val="120"/>
        </w:rPr>
        <w:t>de</w:t>
      </w:r>
      <w:r>
        <w:rPr>
          <w:color w:val="231F20"/>
          <w:spacing w:val="-5"/>
          <w:w w:val="120"/>
        </w:rPr>
        <w:t> </w:t>
      </w:r>
      <w:r>
        <w:rPr>
          <w:color w:val="231F20"/>
          <w:w w:val="120"/>
        </w:rPr>
        <w:t>surveiller </w:t>
      </w:r>
      <w:r>
        <w:rPr>
          <w:color w:val="231F20"/>
          <w:spacing w:val="-2"/>
          <w:w w:val="120"/>
        </w:rPr>
        <w:t>l’évolution</w:t>
      </w:r>
      <w:r>
        <w:rPr>
          <w:color w:val="231F20"/>
          <w:spacing w:val="-8"/>
          <w:w w:val="120"/>
        </w:rPr>
        <w:t> </w:t>
      </w:r>
      <w:r>
        <w:rPr>
          <w:color w:val="231F20"/>
          <w:spacing w:val="-2"/>
          <w:w w:val="120"/>
        </w:rPr>
        <w:t>des</w:t>
      </w:r>
      <w:r>
        <w:rPr>
          <w:color w:val="231F20"/>
          <w:spacing w:val="-8"/>
          <w:w w:val="120"/>
        </w:rPr>
        <w:t> </w:t>
      </w:r>
      <w:r>
        <w:rPr>
          <w:color w:val="231F20"/>
          <w:spacing w:val="-2"/>
          <w:w w:val="120"/>
        </w:rPr>
        <w:t>facteurs</w:t>
      </w:r>
      <w:r>
        <w:rPr>
          <w:color w:val="231F20"/>
          <w:spacing w:val="-8"/>
          <w:w w:val="120"/>
        </w:rPr>
        <w:t> </w:t>
      </w:r>
      <w:r>
        <w:rPr>
          <w:color w:val="231F20"/>
          <w:spacing w:val="-2"/>
          <w:w w:val="120"/>
        </w:rPr>
        <w:t>de</w:t>
      </w:r>
      <w:r>
        <w:rPr>
          <w:color w:val="231F20"/>
          <w:spacing w:val="-8"/>
          <w:w w:val="120"/>
        </w:rPr>
        <w:t> </w:t>
      </w:r>
      <w:r>
        <w:rPr>
          <w:color w:val="231F20"/>
          <w:spacing w:val="-2"/>
          <w:w w:val="120"/>
        </w:rPr>
        <w:t>risque</w:t>
      </w:r>
      <w:r>
        <w:rPr>
          <w:color w:val="231F20"/>
          <w:spacing w:val="-8"/>
          <w:w w:val="120"/>
        </w:rPr>
        <w:t> </w:t>
      </w:r>
      <w:r>
        <w:rPr>
          <w:color w:val="231F20"/>
          <w:spacing w:val="-2"/>
          <w:w w:val="120"/>
        </w:rPr>
        <w:t>et</w:t>
      </w:r>
      <w:r>
        <w:rPr>
          <w:color w:val="231F20"/>
          <w:spacing w:val="-8"/>
          <w:w w:val="120"/>
        </w:rPr>
        <w:t> </w:t>
      </w:r>
      <w:r>
        <w:rPr>
          <w:color w:val="231F20"/>
          <w:spacing w:val="-2"/>
          <w:w w:val="120"/>
        </w:rPr>
        <w:t>d’évaluer</w:t>
      </w:r>
      <w:r>
        <w:rPr>
          <w:color w:val="231F20"/>
          <w:spacing w:val="-8"/>
          <w:w w:val="120"/>
        </w:rPr>
        <w:t> </w:t>
      </w:r>
      <w:r>
        <w:rPr>
          <w:color w:val="231F20"/>
          <w:spacing w:val="-2"/>
          <w:w w:val="120"/>
        </w:rPr>
        <w:t>l’efficacité</w:t>
      </w:r>
      <w:r>
        <w:rPr>
          <w:color w:val="231F20"/>
          <w:spacing w:val="-8"/>
          <w:w w:val="120"/>
        </w:rPr>
        <w:t> </w:t>
      </w:r>
      <w:r>
        <w:rPr>
          <w:color w:val="231F20"/>
          <w:spacing w:val="-2"/>
          <w:w w:val="120"/>
        </w:rPr>
        <w:t>du</w:t>
      </w:r>
      <w:r>
        <w:rPr>
          <w:color w:val="231F20"/>
          <w:spacing w:val="-8"/>
          <w:w w:val="120"/>
        </w:rPr>
        <w:t> </w:t>
      </w:r>
      <w:r>
        <w:rPr>
          <w:color w:val="231F20"/>
          <w:spacing w:val="-2"/>
          <w:w w:val="120"/>
        </w:rPr>
        <w:t>programme </w:t>
      </w:r>
      <w:r>
        <w:rPr>
          <w:color w:val="231F20"/>
          <w:w w:val="120"/>
        </w:rPr>
        <w:t>de gestion de la santé au travail.</w:t>
      </w:r>
    </w:p>
    <w:p>
      <w:pPr>
        <w:spacing w:after="0" w:line="307" w:lineRule="auto"/>
        <w:jc w:val="both"/>
        <w:sectPr>
          <w:footerReference w:type="default" r:id="rId31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0"/>
        <w:jc w:val="both"/>
      </w:pPr>
      <w:r>
        <w:rPr>
          <w:b/>
          <w:color w:val="231F20"/>
          <w:w w:val="115"/>
        </w:rPr>
        <w:t>Stade</w:t>
      </w:r>
      <w:r>
        <w:rPr>
          <w:b/>
          <w:color w:val="231F20"/>
          <w:spacing w:val="-8"/>
          <w:w w:val="115"/>
        </w:rPr>
        <w:t> </w:t>
      </w:r>
      <w:r>
        <w:rPr>
          <w:b/>
          <w:color w:val="231F20"/>
          <w:w w:val="115"/>
        </w:rPr>
        <w:t>VI.</w:t>
      </w:r>
      <w:r>
        <w:rPr>
          <w:b/>
          <w:color w:val="231F20"/>
          <w:spacing w:val="-8"/>
          <w:w w:val="115"/>
        </w:rPr>
        <w:t> </w:t>
      </w:r>
      <w:r>
        <w:rPr>
          <w:b/>
          <w:color w:val="231F20"/>
          <w:w w:val="115"/>
        </w:rPr>
        <w:t>Suivi</w:t>
      </w:r>
      <w:r>
        <w:rPr>
          <w:b/>
          <w:color w:val="231F20"/>
          <w:spacing w:val="-8"/>
          <w:w w:val="115"/>
        </w:rPr>
        <w:t> </w:t>
      </w:r>
      <w:r>
        <w:rPr>
          <w:b/>
          <w:color w:val="231F20"/>
          <w:w w:val="115"/>
        </w:rPr>
        <w:t>et</w:t>
      </w:r>
      <w:r>
        <w:rPr>
          <w:b/>
          <w:color w:val="231F20"/>
          <w:spacing w:val="-8"/>
          <w:w w:val="115"/>
        </w:rPr>
        <w:t> </w:t>
      </w:r>
      <w:r>
        <w:rPr>
          <w:b/>
          <w:color w:val="231F20"/>
          <w:w w:val="115"/>
        </w:rPr>
        <w:t>contrôle</w:t>
      </w:r>
      <w:r>
        <w:rPr>
          <w:b/>
          <w:color w:val="231F20"/>
          <w:spacing w:val="-8"/>
          <w:w w:val="115"/>
        </w:rPr>
        <w:t> </w:t>
      </w:r>
      <w:r>
        <w:rPr>
          <w:color w:val="231F20"/>
          <w:w w:val="115"/>
        </w:rPr>
        <w:t>–</w:t>
      </w:r>
      <w:r>
        <w:rPr>
          <w:color w:val="231F20"/>
          <w:spacing w:val="-4"/>
          <w:w w:val="115"/>
        </w:rPr>
        <w:t> </w:t>
      </w:r>
      <w:r>
        <w:rPr>
          <w:color w:val="231F20"/>
          <w:w w:val="115"/>
        </w:rPr>
        <w:t>La</w:t>
      </w:r>
      <w:r>
        <w:rPr>
          <w:color w:val="231F20"/>
          <w:spacing w:val="-5"/>
          <w:w w:val="115"/>
        </w:rPr>
        <w:t> </w:t>
      </w:r>
      <w:r>
        <w:rPr>
          <w:color w:val="231F20"/>
          <w:w w:val="115"/>
        </w:rPr>
        <w:t>conception</w:t>
      </w:r>
      <w:r>
        <w:rPr>
          <w:color w:val="231F20"/>
          <w:spacing w:val="-4"/>
          <w:w w:val="115"/>
        </w:rPr>
        <w:t> </w:t>
      </w:r>
      <w:r>
        <w:rPr>
          <w:color w:val="231F20"/>
          <w:w w:val="115"/>
        </w:rPr>
        <w:t>de</w:t>
      </w:r>
      <w:r>
        <w:rPr>
          <w:color w:val="231F20"/>
          <w:spacing w:val="-5"/>
          <w:w w:val="115"/>
        </w:rPr>
        <w:t> </w:t>
      </w:r>
      <w:r>
        <w:rPr>
          <w:color w:val="231F20"/>
          <w:w w:val="115"/>
        </w:rPr>
        <w:t>ce</w:t>
      </w:r>
      <w:r>
        <w:rPr>
          <w:color w:val="231F20"/>
          <w:spacing w:val="-4"/>
          <w:w w:val="115"/>
        </w:rPr>
        <w:t> </w:t>
      </w:r>
      <w:r>
        <w:rPr>
          <w:color w:val="231F20"/>
          <w:w w:val="115"/>
        </w:rPr>
        <w:t>stade</w:t>
      </w:r>
      <w:r>
        <w:rPr>
          <w:color w:val="231F20"/>
          <w:spacing w:val="-5"/>
          <w:w w:val="115"/>
        </w:rPr>
        <w:t> </w:t>
      </w:r>
      <w:r>
        <w:rPr>
          <w:color w:val="231F20"/>
          <w:w w:val="115"/>
        </w:rPr>
        <w:t>se</w:t>
      </w:r>
      <w:r>
        <w:rPr>
          <w:color w:val="231F20"/>
          <w:spacing w:val="-4"/>
          <w:w w:val="115"/>
        </w:rPr>
        <w:t> </w:t>
      </w:r>
      <w:r>
        <w:rPr>
          <w:color w:val="231F20"/>
          <w:w w:val="115"/>
        </w:rPr>
        <w:t>divise</w:t>
      </w:r>
      <w:r>
        <w:rPr>
          <w:color w:val="231F20"/>
          <w:spacing w:val="-5"/>
          <w:w w:val="115"/>
        </w:rPr>
        <w:t> </w:t>
      </w:r>
      <w:r>
        <w:rPr>
          <w:color w:val="231F20"/>
          <w:w w:val="115"/>
        </w:rPr>
        <w:t>en</w:t>
      </w:r>
      <w:r>
        <w:rPr>
          <w:color w:val="231F20"/>
          <w:spacing w:val="-4"/>
          <w:w w:val="115"/>
        </w:rPr>
        <w:t> </w:t>
      </w:r>
      <w:r>
        <w:rPr>
          <w:color w:val="231F20"/>
          <w:w w:val="115"/>
        </w:rPr>
        <w:t>deux </w:t>
      </w:r>
      <w:r>
        <w:rPr>
          <w:color w:val="231F20"/>
          <w:w w:val="120"/>
        </w:rPr>
        <w:t>segments:</w:t>
      </w:r>
      <w:r>
        <w:rPr>
          <w:color w:val="231F20"/>
          <w:spacing w:val="-3"/>
          <w:w w:val="120"/>
        </w:rPr>
        <w:t> </w:t>
      </w:r>
      <w:r>
        <w:rPr>
          <w:color w:val="231F20"/>
          <w:w w:val="120"/>
        </w:rPr>
        <w:t>les</w:t>
      </w:r>
      <w:r>
        <w:rPr>
          <w:color w:val="231F20"/>
          <w:spacing w:val="-3"/>
          <w:w w:val="120"/>
        </w:rPr>
        <w:t> </w:t>
      </w:r>
      <w:r>
        <w:rPr>
          <w:color w:val="231F20"/>
          <w:w w:val="120"/>
        </w:rPr>
        <w:t>contrôles</w:t>
      </w:r>
      <w:r>
        <w:rPr>
          <w:color w:val="231F20"/>
          <w:spacing w:val="-3"/>
          <w:w w:val="120"/>
        </w:rPr>
        <w:t> </w:t>
      </w:r>
      <w:r>
        <w:rPr>
          <w:color w:val="231F20"/>
          <w:w w:val="120"/>
        </w:rPr>
        <w:t>périodiques,</w:t>
      </w:r>
      <w:r>
        <w:rPr>
          <w:color w:val="231F20"/>
          <w:spacing w:val="-3"/>
          <w:w w:val="120"/>
        </w:rPr>
        <w:t> </w:t>
      </w:r>
      <w:r>
        <w:rPr>
          <w:color w:val="231F20"/>
          <w:w w:val="120"/>
        </w:rPr>
        <w:t>qui</w:t>
      </w:r>
      <w:r>
        <w:rPr>
          <w:color w:val="231F20"/>
          <w:spacing w:val="-3"/>
          <w:w w:val="120"/>
        </w:rPr>
        <w:t> </w:t>
      </w:r>
      <w:r>
        <w:rPr>
          <w:color w:val="231F20"/>
          <w:w w:val="120"/>
        </w:rPr>
        <w:t>servent</w:t>
      </w:r>
      <w:r>
        <w:rPr>
          <w:color w:val="231F20"/>
          <w:spacing w:val="-3"/>
          <w:w w:val="120"/>
        </w:rPr>
        <w:t> </w:t>
      </w:r>
      <w:r>
        <w:rPr>
          <w:color w:val="231F20"/>
          <w:w w:val="120"/>
        </w:rPr>
        <w:t>à</w:t>
      </w:r>
      <w:r>
        <w:rPr>
          <w:color w:val="231F20"/>
          <w:spacing w:val="-3"/>
          <w:w w:val="120"/>
        </w:rPr>
        <w:t> </w:t>
      </w:r>
      <w:r>
        <w:rPr>
          <w:color w:val="231F20"/>
          <w:w w:val="120"/>
        </w:rPr>
        <w:t>déterminer</w:t>
      </w:r>
      <w:r>
        <w:rPr>
          <w:color w:val="231F20"/>
          <w:spacing w:val="-3"/>
          <w:w w:val="120"/>
        </w:rPr>
        <w:t> </w:t>
      </w:r>
      <w:r>
        <w:rPr>
          <w:color w:val="231F20"/>
          <w:w w:val="120"/>
        </w:rPr>
        <w:t>la</w:t>
      </w:r>
      <w:r>
        <w:rPr>
          <w:color w:val="231F20"/>
          <w:spacing w:val="-3"/>
          <w:w w:val="120"/>
        </w:rPr>
        <w:t> </w:t>
      </w:r>
      <w:r>
        <w:rPr>
          <w:color w:val="231F20"/>
          <w:w w:val="120"/>
        </w:rPr>
        <w:t>préva- lence ou la réduction des facteurs de risque</w:t>
      </w:r>
      <w:r>
        <w:rPr>
          <w:color w:val="231F20"/>
          <w:spacing w:val="-13"/>
          <w:w w:val="120"/>
        </w:rPr>
        <w:t> </w:t>
      </w:r>
      <w:r>
        <w:rPr>
          <w:color w:val="231F20"/>
          <w:w w:val="120"/>
        </w:rPr>
        <w:t>; le suivi à la fin du pro- gramme, qui sert à établir si les mesures d’atténuation ont permis d’atteindre les objectifs.</w:t>
      </w:r>
    </w:p>
    <w:p>
      <w:pPr>
        <w:pStyle w:val="BodyText"/>
        <w:spacing w:before="8"/>
        <w:rPr>
          <w:sz w:val="21"/>
        </w:rPr>
      </w:pPr>
    </w:p>
    <w:p>
      <w:pPr>
        <w:pStyle w:val="BodyText"/>
        <w:spacing w:line="307" w:lineRule="auto"/>
        <w:ind w:left="830" w:right="497"/>
        <w:jc w:val="both"/>
      </w:pPr>
      <w:r>
        <w:rPr>
          <w:b/>
          <w:color w:val="231F20"/>
          <w:w w:val="115"/>
        </w:rPr>
        <w:t>Mode d’emploi. </w:t>
      </w:r>
      <w:r>
        <w:rPr>
          <w:color w:val="231F20"/>
          <w:w w:val="115"/>
        </w:rPr>
        <w:t>Voici quelques indications afin d’assurer le succès lors </w:t>
      </w:r>
      <w:r>
        <w:rPr>
          <w:color w:val="231F20"/>
          <w:w w:val="120"/>
        </w:rPr>
        <w:t>de</w:t>
      </w:r>
      <w:r>
        <w:rPr>
          <w:color w:val="231F20"/>
          <w:spacing w:val="-9"/>
          <w:w w:val="120"/>
        </w:rPr>
        <w:t> </w:t>
      </w:r>
      <w:r>
        <w:rPr>
          <w:color w:val="231F20"/>
          <w:w w:val="120"/>
        </w:rPr>
        <w:t>l’implantation</w:t>
      </w:r>
      <w:r>
        <w:rPr>
          <w:color w:val="231F20"/>
          <w:spacing w:val="-9"/>
          <w:w w:val="120"/>
        </w:rPr>
        <w:t> </w:t>
      </w:r>
      <w:r>
        <w:rPr>
          <w:color w:val="231F20"/>
          <w:w w:val="120"/>
        </w:rPr>
        <w:t>d’un</w:t>
      </w:r>
      <w:r>
        <w:rPr>
          <w:color w:val="231F20"/>
          <w:spacing w:val="-9"/>
          <w:w w:val="120"/>
        </w:rPr>
        <w:t> </w:t>
      </w:r>
      <w:r>
        <w:rPr>
          <w:color w:val="231F20"/>
          <w:w w:val="120"/>
        </w:rPr>
        <w:t>programme</w:t>
      </w:r>
      <w:r>
        <w:rPr>
          <w:color w:val="231F20"/>
          <w:spacing w:val="-9"/>
          <w:w w:val="120"/>
        </w:rPr>
        <w:t> </w:t>
      </w:r>
      <w:r>
        <w:rPr>
          <w:color w:val="231F20"/>
          <w:w w:val="120"/>
        </w:rPr>
        <w:t>de</w:t>
      </w:r>
      <w:r>
        <w:rPr>
          <w:color w:val="231F20"/>
          <w:spacing w:val="-9"/>
          <w:w w:val="120"/>
        </w:rPr>
        <w:t> </w:t>
      </w:r>
      <w:r>
        <w:rPr>
          <w:color w:val="231F20"/>
          <w:w w:val="120"/>
        </w:rPr>
        <w:t>gestion</w:t>
      </w:r>
      <w:r>
        <w:rPr>
          <w:color w:val="231F20"/>
          <w:spacing w:val="-9"/>
          <w:w w:val="120"/>
        </w:rPr>
        <w:t> </w:t>
      </w:r>
      <w:r>
        <w:rPr>
          <w:color w:val="231F20"/>
          <w:w w:val="120"/>
        </w:rPr>
        <w:t>du</w:t>
      </w:r>
      <w:r>
        <w:rPr>
          <w:color w:val="231F20"/>
          <w:spacing w:val="-9"/>
          <w:w w:val="120"/>
        </w:rPr>
        <w:t> </w:t>
      </w:r>
      <w:r>
        <w:rPr>
          <w:color w:val="231F20"/>
          <w:w w:val="120"/>
        </w:rPr>
        <w:t>stress</w:t>
      </w:r>
      <w:r>
        <w:rPr>
          <w:color w:val="231F20"/>
          <w:spacing w:val="-9"/>
          <w:w w:val="120"/>
        </w:rPr>
        <w:t> </w:t>
      </w:r>
      <w:r>
        <w:rPr>
          <w:color w:val="231F20"/>
          <w:w w:val="120"/>
        </w:rPr>
        <w:t>et</w:t>
      </w:r>
      <w:r>
        <w:rPr>
          <w:color w:val="231F20"/>
          <w:spacing w:val="-9"/>
          <w:w w:val="120"/>
        </w:rPr>
        <w:t> </w:t>
      </w:r>
      <w:r>
        <w:rPr>
          <w:color w:val="231F20"/>
          <w:w w:val="120"/>
        </w:rPr>
        <w:t>de</w:t>
      </w:r>
      <w:r>
        <w:rPr>
          <w:color w:val="231F20"/>
          <w:spacing w:val="-9"/>
          <w:w w:val="120"/>
        </w:rPr>
        <w:t> </w:t>
      </w:r>
      <w:r>
        <w:rPr>
          <w:color w:val="231F20"/>
          <w:w w:val="120"/>
        </w:rPr>
        <w:t>la</w:t>
      </w:r>
      <w:r>
        <w:rPr>
          <w:color w:val="231F20"/>
          <w:spacing w:val="-9"/>
          <w:w w:val="120"/>
        </w:rPr>
        <w:t> </w:t>
      </w:r>
      <w:r>
        <w:rPr>
          <w:color w:val="231F20"/>
          <w:w w:val="120"/>
        </w:rPr>
        <w:t>santé</w:t>
      </w:r>
      <w:r>
        <w:rPr>
          <w:color w:val="231F20"/>
          <w:spacing w:val="-9"/>
          <w:w w:val="120"/>
        </w:rPr>
        <w:t> </w:t>
      </w:r>
      <w:r>
        <w:rPr>
          <w:color w:val="231F20"/>
          <w:w w:val="120"/>
        </w:rPr>
        <w:t>en </w:t>
      </w:r>
      <w:r>
        <w:rPr>
          <w:color w:val="231F20"/>
          <w:w w:val="115"/>
        </w:rPr>
        <w:t>milieu</w:t>
      </w:r>
      <w:r>
        <w:rPr>
          <w:color w:val="231F20"/>
          <w:spacing w:val="-3"/>
          <w:w w:val="115"/>
        </w:rPr>
        <w:t> </w:t>
      </w:r>
      <w:r>
        <w:rPr>
          <w:color w:val="231F20"/>
          <w:w w:val="115"/>
        </w:rPr>
        <w:t>organisationnel.</w:t>
      </w:r>
      <w:r>
        <w:rPr>
          <w:color w:val="231F20"/>
          <w:spacing w:val="-3"/>
          <w:w w:val="115"/>
        </w:rPr>
        <w:t> </w:t>
      </w:r>
      <w:r>
        <w:rPr>
          <w:color w:val="231F20"/>
          <w:w w:val="115"/>
        </w:rPr>
        <w:t>Il</w:t>
      </w:r>
      <w:r>
        <w:rPr>
          <w:color w:val="231F20"/>
          <w:spacing w:val="-3"/>
          <w:w w:val="115"/>
        </w:rPr>
        <w:t> </w:t>
      </w:r>
      <w:r>
        <w:rPr>
          <w:color w:val="231F20"/>
          <w:w w:val="115"/>
        </w:rPr>
        <w:t>ne</w:t>
      </w:r>
      <w:r>
        <w:rPr>
          <w:color w:val="231F20"/>
          <w:spacing w:val="-3"/>
          <w:w w:val="115"/>
        </w:rPr>
        <w:t> </w:t>
      </w:r>
      <w:r>
        <w:rPr>
          <w:color w:val="231F20"/>
          <w:w w:val="115"/>
        </w:rPr>
        <w:t>s’agit</w:t>
      </w:r>
      <w:r>
        <w:rPr>
          <w:color w:val="231F20"/>
          <w:spacing w:val="-3"/>
          <w:w w:val="115"/>
        </w:rPr>
        <w:t> </w:t>
      </w:r>
      <w:r>
        <w:rPr>
          <w:color w:val="231F20"/>
          <w:w w:val="115"/>
        </w:rPr>
        <w:t>pas</w:t>
      </w:r>
      <w:r>
        <w:rPr>
          <w:color w:val="231F20"/>
          <w:spacing w:val="-3"/>
          <w:w w:val="115"/>
        </w:rPr>
        <w:t> </w:t>
      </w:r>
      <w:r>
        <w:rPr>
          <w:color w:val="231F20"/>
          <w:w w:val="115"/>
        </w:rPr>
        <w:t>de</w:t>
      </w:r>
      <w:r>
        <w:rPr>
          <w:color w:val="231F20"/>
          <w:spacing w:val="-3"/>
          <w:w w:val="115"/>
        </w:rPr>
        <w:t> </w:t>
      </w:r>
      <w:r>
        <w:rPr>
          <w:color w:val="231F20"/>
          <w:w w:val="115"/>
        </w:rPr>
        <w:t>règles</w:t>
      </w:r>
      <w:r>
        <w:rPr>
          <w:color w:val="231F20"/>
          <w:spacing w:val="-3"/>
          <w:w w:val="115"/>
        </w:rPr>
        <w:t> </w:t>
      </w:r>
      <w:r>
        <w:rPr>
          <w:color w:val="231F20"/>
          <w:w w:val="115"/>
        </w:rPr>
        <w:t>formelles,</w:t>
      </w:r>
      <w:r>
        <w:rPr>
          <w:color w:val="231F20"/>
          <w:spacing w:val="-3"/>
          <w:w w:val="115"/>
        </w:rPr>
        <w:t> </w:t>
      </w:r>
      <w:r>
        <w:rPr>
          <w:color w:val="231F20"/>
          <w:w w:val="115"/>
        </w:rPr>
        <w:t>mais</w:t>
      </w:r>
      <w:r>
        <w:rPr>
          <w:color w:val="231F20"/>
          <w:spacing w:val="-3"/>
          <w:w w:val="115"/>
        </w:rPr>
        <w:t> </w:t>
      </w:r>
      <w:r>
        <w:rPr>
          <w:color w:val="231F20"/>
          <w:w w:val="115"/>
        </w:rPr>
        <w:t>plutôt</w:t>
      </w:r>
      <w:r>
        <w:rPr>
          <w:color w:val="231F20"/>
          <w:spacing w:val="-3"/>
          <w:w w:val="115"/>
        </w:rPr>
        <w:t> </w:t>
      </w:r>
      <w:r>
        <w:rPr>
          <w:color w:val="231F20"/>
          <w:w w:val="115"/>
        </w:rPr>
        <w:t>de </w:t>
      </w:r>
      <w:r>
        <w:rPr>
          <w:color w:val="231F20"/>
          <w:w w:val="120"/>
        </w:rPr>
        <w:t>quelques éléments à prendre en considération avant d’intervenir.</w:t>
      </w:r>
    </w:p>
    <w:p>
      <w:pPr>
        <w:pStyle w:val="ListParagraph"/>
        <w:numPr>
          <w:ilvl w:val="0"/>
          <w:numId w:val="90"/>
        </w:numPr>
        <w:tabs>
          <w:tab w:pos="1331" w:val="left" w:leader="none"/>
        </w:tabs>
        <w:spacing w:line="307" w:lineRule="auto" w:before="79" w:after="0"/>
        <w:ind w:left="1330" w:right="492" w:hanging="251"/>
        <w:jc w:val="both"/>
        <w:rPr>
          <w:sz w:val="17"/>
        </w:rPr>
      </w:pPr>
      <w:r>
        <w:rPr>
          <w:color w:val="231F20"/>
          <w:w w:val="120"/>
          <w:sz w:val="17"/>
        </w:rPr>
        <w:t>Compter sur la participation active des travailleurs et de leurs </w:t>
      </w:r>
      <w:r>
        <w:rPr>
          <w:color w:val="231F20"/>
          <w:spacing w:val="-2"/>
          <w:w w:val="120"/>
          <w:sz w:val="17"/>
        </w:rPr>
        <w:t>représentants</w:t>
      </w:r>
      <w:r>
        <w:rPr>
          <w:color w:val="231F20"/>
          <w:spacing w:val="-5"/>
          <w:w w:val="120"/>
          <w:sz w:val="17"/>
        </w:rPr>
        <w:t> </w:t>
      </w:r>
      <w:r>
        <w:rPr>
          <w:color w:val="231F20"/>
          <w:spacing w:val="-2"/>
          <w:w w:val="120"/>
          <w:sz w:val="17"/>
        </w:rPr>
        <w:t>à</w:t>
      </w:r>
      <w:r>
        <w:rPr>
          <w:color w:val="231F20"/>
          <w:spacing w:val="-5"/>
          <w:w w:val="120"/>
          <w:sz w:val="17"/>
        </w:rPr>
        <w:t> </w:t>
      </w:r>
      <w:r>
        <w:rPr>
          <w:color w:val="231F20"/>
          <w:spacing w:val="-2"/>
          <w:w w:val="120"/>
          <w:sz w:val="17"/>
        </w:rPr>
        <w:t>la</w:t>
      </w:r>
      <w:r>
        <w:rPr>
          <w:color w:val="231F20"/>
          <w:spacing w:val="-5"/>
          <w:w w:val="120"/>
          <w:sz w:val="17"/>
        </w:rPr>
        <w:t> </w:t>
      </w:r>
      <w:r>
        <w:rPr>
          <w:color w:val="231F20"/>
          <w:spacing w:val="-2"/>
          <w:w w:val="120"/>
          <w:sz w:val="17"/>
        </w:rPr>
        <w:t>définition</w:t>
      </w:r>
      <w:r>
        <w:rPr>
          <w:color w:val="231F20"/>
          <w:spacing w:val="-5"/>
          <w:w w:val="120"/>
          <w:sz w:val="17"/>
        </w:rPr>
        <w:t> </w:t>
      </w:r>
      <w:r>
        <w:rPr>
          <w:color w:val="231F20"/>
          <w:spacing w:val="-2"/>
          <w:w w:val="120"/>
          <w:sz w:val="17"/>
        </w:rPr>
        <w:t>des</w:t>
      </w:r>
      <w:r>
        <w:rPr>
          <w:color w:val="231F20"/>
          <w:spacing w:val="-5"/>
          <w:w w:val="120"/>
          <w:sz w:val="17"/>
        </w:rPr>
        <w:t> </w:t>
      </w:r>
      <w:r>
        <w:rPr>
          <w:color w:val="231F20"/>
          <w:spacing w:val="-2"/>
          <w:w w:val="120"/>
          <w:sz w:val="17"/>
        </w:rPr>
        <w:t>changements</w:t>
      </w:r>
      <w:r>
        <w:rPr>
          <w:color w:val="231F20"/>
          <w:spacing w:val="-5"/>
          <w:w w:val="120"/>
          <w:sz w:val="17"/>
        </w:rPr>
        <w:t> </w:t>
      </w:r>
      <w:r>
        <w:rPr>
          <w:color w:val="231F20"/>
          <w:spacing w:val="-2"/>
          <w:w w:val="120"/>
          <w:sz w:val="17"/>
        </w:rPr>
        <w:t>à</w:t>
      </w:r>
      <w:r>
        <w:rPr>
          <w:color w:val="231F20"/>
          <w:spacing w:val="-5"/>
          <w:w w:val="120"/>
          <w:sz w:val="17"/>
        </w:rPr>
        <w:t> </w:t>
      </w:r>
      <w:r>
        <w:rPr>
          <w:color w:val="231F20"/>
          <w:spacing w:val="-2"/>
          <w:w w:val="120"/>
          <w:sz w:val="17"/>
        </w:rPr>
        <w:t>apporter,</w:t>
      </w:r>
      <w:r>
        <w:rPr>
          <w:color w:val="231F20"/>
          <w:spacing w:val="-5"/>
          <w:w w:val="120"/>
          <w:sz w:val="17"/>
        </w:rPr>
        <w:t> </w:t>
      </w:r>
      <w:r>
        <w:rPr>
          <w:color w:val="231F20"/>
          <w:spacing w:val="-2"/>
          <w:w w:val="120"/>
          <w:sz w:val="17"/>
        </w:rPr>
        <w:t>non</w:t>
      </w:r>
      <w:r>
        <w:rPr>
          <w:color w:val="231F20"/>
          <w:spacing w:val="-5"/>
          <w:w w:val="120"/>
          <w:sz w:val="17"/>
        </w:rPr>
        <w:t> </w:t>
      </w:r>
      <w:r>
        <w:rPr>
          <w:color w:val="231F20"/>
          <w:spacing w:val="-2"/>
          <w:w w:val="120"/>
          <w:sz w:val="17"/>
        </w:rPr>
        <w:t>seu- </w:t>
      </w:r>
      <w:r>
        <w:rPr>
          <w:color w:val="231F20"/>
          <w:w w:val="120"/>
          <w:sz w:val="17"/>
        </w:rPr>
        <w:t>lement de manière à les faire accepter par les travailleurs, mais aussi</w:t>
      </w:r>
      <w:r>
        <w:rPr>
          <w:color w:val="231F20"/>
          <w:spacing w:val="-6"/>
          <w:w w:val="120"/>
          <w:sz w:val="17"/>
        </w:rPr>
        <w:t> </w:t>
      </w:r>
      <w:r>
        <w:rPr>
          <w:color w:val="231F20"/>
          <w:w w:val="120"/>
          <w:sz w:val="17"/>
        </w:rPr>
        <w:t>parce</w:t>
      </w:r>
      <w:r>
        <w:rPr>
          <w:color w:val="231F20"/>
          <w:spacing w:val="-6"/>
          <w:w w:val="120"/>
          <w:sz w:val="17"/>
        </w:rPr>
        <w:t> </w:t>
      </w:r>
      <w:r>
        <w:rPr>
          <w:color w:val="231F20"/>
          <w:w w:val="120"/>
          <w:sz w:val="17"/>
        </w:rPr>
        <w:t>qu’une</w:t>
      </w:r>
      <w:r>
        <w:rPr>
          <w:color w:val="231F20"/>
          <w:spacing w:val="-6"/>
          <w:w w:val="120"/>
          <w:sz w:val="17"/>
        </w:rPr>
        <w:t> </w:t>
      </w:r>
      <w:r>
        <w:rPr>
          <w:color w:val="231F20"/>
          <w:w w:val="120"/>
          <w:sz w:val="17"/>
        </w:rPr>
        <w:t>mise</w:t>
      </w:r>
      <w:r>
        <w:rPr>
          <w:color w:val="231F20"/>
          <w:spacing w:val="-6"/>
          <w:w w:val="120"/>
          <w:sz w:val="17"/>
        </w:rPr>
        <w:t> </w:t>
      </w:r>
      <w:r>
        <w:rPr>
          <w:color w:val="231F20"/>
          <w:w w:val="120"/>
          <w:sz w:val="17"/>
        </w:rPr>
        <w:t>en</w:t>
      </w:r>
      <w:r>
        <w:rPr>
          <w:color w:val="231F20"/>
          <w:spacing w:val="-6"/>
          <w:w w:val="120"/>
          <w:sz w:val="17"/>
        </w:rPr>
        <w:t> </w:t>
      </w:r>
      <w:r>
        <w:rPr>
          <w:color w:val="231F20"/>
          <w:w w:val="120"/>
          <w:sz w:val="17"/>
        </w:rPr>
        <w:t>contraste</w:t>
      </w:r>
      <w:r>
        <w:rPr>
          <w:color w:val="231F20"/>
          <w:spacing w:val="-6"/>
          <w:w w:val="120"/>
          <w:sz w:val="17"/>
        </w:rPr>
        <w:t> </w:t>
      </w:r>
      <w:r>
        <w:rPr>
          <w:color w:val="231F20"/>
          <w:w w:val="120"/>
          <w:sz w:val="17"/>
        </w:rPr>
        <w:t>des</w:t>
      </w:r>
      <w:r>
        <w:rPr>
          <w:color w:val="231F20"/>
          <w:spacing w:val="-6"/>
          <w:w w:val="120"/>
          <w:sz w:val="17"/>
        </w:rPr>
        <w:t> </w:t>
      </w:r>
      <w:r>
        <w:rPr>
          <w:color w:val="231F20"/>
          <w:w w:val="120"/>
          <w:sz w:val="17"/>
        </w:rPr>
        <w:t>opinions</w:t>
      </w:r>
      <w:r>
        <w:rPr>
          <w:color w:val="231F20"/>
          <w:spacing w:val="-6"/>
          <w:w w:val="120"/>
          <w:sz w:val="17"/>
        </w:rPr>
        <w:t> </w:t>
      </w:r>
      <w:r>
        <w:rPr>
          <w:color w:val="231F20"/>
          <w:w w:val="120"/>
          <w:sz w:val="17"/>
        </w:rPr>
        <w:t>aide</w:t>
      </w:r>
      <w:r>
        <w:rPr>
          <w:color w:val="231F20"/>
          <w:spacing w:val="-6"/>
          <w:w w:val="120"/>
          <w:sz w:val="17"/>
        </w:rPr>
        <w:t> </w:t>
      </w:r>
      <w:r>
        <w:rPr>
          <w:color w:val="231F20"/>
          <w:w w:val="120"/>
          <w:sz w:val="17"/>
        </w:rPr>
        <w:t>à</w:t>
      </w:r>
      <w:r>
        <w:rPr>
          <w:color w:val="231F20"/>
          <w:spacing w:val="-6"/>
          <w:w w:val="120"/>
          <w:sz w:val="17"/>
        </w:rPr>
        <w:t> </w:t>
      </w:r>
      <w:r>
        <w:rPr>
          <w:color w:val="231F20"/>
          <w:w w:val="120"/>
          <w:sz w:val="17"/>
        </w:rPr>
        <w:t>prendre la décision la plus appropriée.</w:t>
      </w:r>
    </w:p>
    <w:p>
      <w:pPr>
        <w:pStyle w:val="ListParagraph"/>
        <w:numPr>
          <w:ilvl w:val="0"/>
          <w:numId w:val="90"/>
        </w:numPr>
        <w:tabs>
          <w:tab w:pos="1331" w:val="left" w:leader="none"/>
        </w:tabs>
        <w:spacing w:line="307" w:lineRule="auto" w:before="0" w:after="0"/>
        <w:ind w:left="1330" w:right="492" w:hanging="251"/>
        <w:jc w:val="both"/>
        <w:rPr>
          <w:sz w:val="17"/>
        </w:rPr>
      </w:pPr>
      <w:r>
        <w:rPr>
          <w:color w:val="231F20"/>
          <w:w w:val="120"/>
          <w:sz w:val="17"/>
        </w:rPr>
        <w:t>Éviter</w:t>
      </w:r>
      <w:r>
        <w:rPr>
          <w:color w:val="231F20"/>
          <w:spacing w:val="-7"/>
          <w:w w:val="120"/>
          <w:sz w:val="17"/>
        </w:rPr>
        <w:t> </w:t>
      </w:r>
      <w:r>
        <w:rPr>
          <w:color w:val="231F20"/>
          <w:w w:val="120"/>
          <w:sz w:val="17"/>
        </w:rPr>
        <w:t>d’apporter</w:t>
      </w:r>
      <w:r>
        <w:rPr>
          <w:color w:val="231F20"/>
          <w:spacing w:val="-7"/>
          <w:w w:val="120"/>
          <w:sz w:val="17"/>
        </w:rPr>
        <w:t> </w:t>
      </w:r>
      <w:r>
        <w:rPr>
          <w:color w:val="231F20"/>
          <w:w w:val="120"/>
          <w:sz w:val="17"/>
        </w:rPr>
        <w:t>des</w:t>
      </w:r>
      <w:r>
        <w:rPr>
          <w:color w:val="231F20"/>
          <w:spacing w:val="-7"/>
          <w:w w:val="120"/>
          <w:sz w:val="17"/>
        </w:rPr>
        <w:t> </w:t>
      </w:r>
      <w:r>
        <w:rPr>
          <w:color w:val="231F20"/>
          <w:w w:val="120"/>
          <w:sz w:val="17"/>
        </w:rPr>
        <w:t>changements</w:t>
      </w:r>
      <w:r>
        <w:rPr>
          <w:color w:val="231F20"/>
          <w:spacing w:val="-7"/>
          <w:w w:val="120"/>
          <w:sz w:val="17"/>
        </w:rPr>
        <w:t> </w:t>
      </w:r>
      <w:r>
        <w:rPr>
          <w:color w:val="231F20"/>
          <w:w w:val="120"/>
          <w:sz w:val="17"/>
        </w:rPr>
        <w:t>pendant</w:t>
      </w:r>
      <w:r>
        <w:rPr>
          <w:color w:val="231F20"/>
          <w:spacing w:val="-7"/>
          <w:w w:val="120"/>
          <w:sz w:val="17"/>
        </w:rPr>
        <w:t> </w:t>
      </w:r>
      <w:r>
        <w:rPr>
          <w:color w:val="231F20"/>
          <w:w w:val="120"/>
          <w:sz w:val="17"/>
        </w:rPr>
        <w:t>un</w:t>
      </w:r>
      <w:r>
        <w:rPr>
          <w:color w:val="231F20"/>
          <w:spacing w:val="-7"/>
          <w:w w:val="120"/>
          <w:sz w:val="17"/>
        </w:rPr>
        <w:t> </w:t>
      </w:r>
      <w:r>
        <w:rPr>
          <w:color w:val="231F20"/>
          <w:w w:val="120"/>
          <w:sz w:val="17"/>
        </w:rPr>
        <w:t>conflit</w:t>
      </w:r>
      <w:r>
        <w:rPr>
          <w:color w:val="231F20"/>
          <w:spacing w:val="-7"/>
          <w:w w:val="120"/>
          <w:sz w:val="17"/>
        </w:rPr>
        <w:t> </w:t>
      </w:r>
      <w:r>
        <w:rPr>
          <w:color w:val="231F20"/>
          <w:w w:val="120"/>
          <w:sz w:val="17"/>
        </w:rPr>
        <w:t>entre</w:t>
      </w:r>
      <w:r>
        <w:rPr>
          <w:color w:val="231F20"/>
          <w:spacing w:val="-7"/>
          <w:w w:val="120"/>
          <w:sz w:val="17"/>
        </w:rPr>
        <w:t> </w:t>
      </w:r>
      <w:r>
        <w:rPr>
          <w:color w:val="231F20"/>
          <w:w w:val="120"/>
          <w:sz w:val="17"/>
        </w:rPr>
        <w:t>l’en- treprise et les travailleurs ou lors d’une crise organisationnelle, </w:t>
      </w:r>
      <w:r>
        <w:rPr>
          <w:color w:val="231F20"/>
          <w:spacing w:val="-2"/>
          <w:w w:val="120"/>
          <w:sz w:val="17"/>
        </w:rPr>
        <w:t>deux</w:t>
      </w:r>
      <w:r>
        <w:rPr>
          <w:color w:val="231F20"/>
          <w:spacing w:val="-11"/>
          <w:w w:val="120"/>
          <w:sz w:val="17"/>
        </w:rPr>
        <w:t> </w:t>
      </w:r>
      <w:r>
        <w:rPr>
          <w:color w:val="231F20"/>
          <w:spacing w:val="-2"/>
          <w:w w:val="120"/>
          <w:sz w:val="17"/>
        </w:rPr>
        <w:t>facteurs</w:t>
      </w:r>
      <w:r>
        <w:rPr>
          <w:color w:val="231F20"/>
          <w:spacing w:val="-11"/>
          <w:w w:val="120"/>
          <w:sz w:val="17"/>
        </w:rPr>
        <w:t> </w:t>
      </w:r>
      <w:r>
        <w:rPr>
          <w:color w:val="231F20"/>
          <w:spacing w:val="-2"/>
          <w:w w:val="120"/>
          <w:sz w:val="17"/>
        </w:rPr>
        <w:t>qui</w:t>
      </w:r>
      <w:r>
        <w:rPr>
          <w:color w:val="231F20"/>
          <w:spacing w:val="-10"/>
          <w:w w:val="120"/>
          <w:sz w:val="17"/>
        </w:rPr>
        <w:t> </w:t>
      </w:r>
      <w:r>
        <w:rPr>
          <w:color w:val="231F20"/>
          <w:spacing w:val="-2"/>
          <w:w w:val="120"/>
          <w:sz w:val="17"/>
        </w:rPr>
        <w:t>risquent</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nuire</w:t>
      </w:r>
      <w:r>
        <w:rPr>
          <w:color w:val="231F20"/>
          <w:spacing w:val="-10"/>
          <w:w w:val="120"/>
          <w:sz w:val="17"/>
        </w:rPr>
        <w:t> </w:t>
      </w:r>
      <w:r>
        <w:rPr>
          <w:color w:val="231F20"/>
          <w:spacing w:val="-2"/>
          <w:w w:val="120"/>
          <w:sz w:val="17"/>
        </w:rPr>
        <w:t>à</w:t>
      </w:r>
      <w:r>
        <w:rPr>
          <w:color w:val="231F20"/>
          <w:spacing w:val="-11"/>
          <w:w w:val="120"/>
          <w:sz w:val="17"/>
        </w:rPr>
        <w:t> </w:t>
      </w:r>
      <w:r>
        <w:rPr>
          <w:color w:val="231F20"/>
          <w:spacing w:val="-2"/>
          <w:w w:val="120"/>
          <w:sz w:val="17"/>
        </w:rPr>
        <w:t>la</w:t>
      </w:r>
      <w:r>
        <w:rPr>
          <w:color w:val="231F20"/>
          <w:spacing w:val="-11"/>
          <w:w w:val="120"/>
          <w:sz w:val="17"/>
        </w:rPr>
        <w:t> </w:t>
      </w:r>
      <w:r>
        <w:rPr>
          <w:color w:val="231F20"/>
          <w:spacing w:val="-2"/>
          <w:w w:val="120"/>
          <w:sz w:val="17"/>
        </w:rPr>
        <w:t>mise</w:t>
      </w:r>
      <w:r>
        <w:rPr>
          <w:color w:val="231F20"/>
          <w:spacing w:val="-10"/>
          <w:w w:val="120"/>
          <w:sz w:val="17"/>
        </w:rPr>
        <w:t> </w:t>
      </w:r>
      <w:r>
        <w:rPr>
          <w:color w:val="231F20"/>
          <w:spacing w:val="-2"/>
          <w:w w:val="120"/>
          <w:sz w:val="17"/>
        </w:rPr>
        <w:t>en</w:t>
      </w:r>
      <w:r>
        <w:rPr>
          <w:color w:val="231F20"/>
          <w:spacing w:val="-11"/>
          <w:w w:val="120"/>
          <w:sz w:val="17"/>
        </w:rPr>
        <w:t> </w:t>
      </w:r>
      <w:r>
        <w:rPr>
          <w:color w:val="231F20"/>
          <w:spacing w:val="-2"/>
          <w:w w:val="120"/>
          <w:sz w:val="17"/>
        </w:rPr>
        <w:t>œuvre</w:t>
      </w:r>
      <w:r>
        <w:rPr>
          <w:color w:val="231F20"/>
          <w:spacing w:val="-11"/>
          <w:w w:val="120"/>
          <w:sz w:val="17"/>
        </w:rPr>
        <w:t> </w:t>
      </w:r>
      <w:r>
        <w:rPr>
          <w:color w:val="231F20"/>
          <w:spacing w:val="-2"/>
          <w:w w:val="120"/>
          <w:sz w:val="17"/>
        </w:rPr>
        <w:t>des</w:t>
      </w:r>
      <w:r>
        <w:rPr>
          <w:color w:val="231F20"/>
          <w:spacing w:val="-10"/>
          <w:w w:val="120"/>
          <w:sz w:val="17"/>
        </w:rPr>
        <w:t> </w:t>
      </w:r>
      <w:r>
        <w:rPr>
          <w:color w:val="231F20"/>
          <w:spacing w:val="-2"/>
          <w:w w:val="120"/>
          <w:sz w:val="17"/>
        </w:rPr>
        <w:t>mesures </w:t>
      </w:r>
      <w:r>
        <w:rPr>
          <w:color w:val="231F20"/>
          <w:w w:val="120"/>
          <w:sz w:val="17"/>
        </w:rPr>
        <w:t>et à leur fonctionnement. Il est très important de choisir le bon moment</w:t>
      </w:r>
      <w:r>
        <w:rPr>
          <w:color w:val="231F20"/>
          <w:spacing w:val="-10"/>
          <w:w w:val="120"/>
          <w:sz w:val="17"/>
        </w:rPr>
        <w:t> </w:t>
      </w:r>
      <w:r>
        <w:rPr>
          <w:color w:val="231F20"/>
          <w:w w:val="120"/>
          <w:sz w:val="17"/>
        </w:rPr>
        <w:t>pour</w:t>
      </w:r>
      <w:r>
        <w:rPr>
          <w:color w:val="231F20"/>
          <w:spacing w:val="-10"/>
          <w:w w:val="120"/>
          <w:sz w:val="17"/>
        </w:rPr>
        <w:t> </w:t>
      </w:r>
      <w:r>
        <w:rPr>
          <w:color w:val="231F20"/>
          <w:w w:val="120"/>
          <w:sz w:val="17"/>
        </w:rPr>
        <w:t>mettre</w:t>
      </w:r>
      <w:r>
        <w:rPr>
          <w:color w:val="231F20"/>
          <w:spacing w:val="-10"/>
          <w:w w:val="120"/>
          <w:sz w:val="17"/>
        </w:rPr>
        <w:t> </w:t>
      </w:r>
      <w:r>
        <w:rPr>
          <w:color w:val="231F20"/>
          <w:w w:val="120"/>
          <w:sz w:val="17"/>
        </w:rPr>
        <w:t>en</w:t>
      </w:r>
      <w:r>
        <w:rPr>
          <w:color w:val="231F20"/>
          <w:spacing w:val="-10"/>
          <w:w w:val="120"/>
          <w:sz w:val="17"/>
        </w:rPr>
        <w:t> </w:t>
      </w:r>
      <w:r>
        <w:rPr>
          <w:color w:val="231F20"/>
          <w:w w:val="120"/>
          <w:sz w:val="17"/>
        </w:rPr>
        <w:t>œuvre</w:t>
      </w:r>
      <w:r>
        <w:rPr>
          <w:color w:val="231F20"/>
          <w:spacing w:val="-10"/>
          <w:w w:val="120"/>
          <w:sz w:val="17"/>
        </w:rPr>
        <w:t> </w:t>
      </w:r>
      <w:r>
        <w:rPr>
          <w:color w:val="231F20"/>
          <w:w w:val="120"/>
          <w:sz w:val="17"/>
        </w:rPr>
        <w:t>un</w:t>
      </w:r>
      <w:r>
        <w:rPr>
          <w:color w:val="231F20"/>
          <w:spacing w:val="-10"/>
          <w:w w:val="120"/>
          <w:sz w:val="17"/>
        </w:rPr>
        <w:t> </w:t>
      </w:r>
      <w:r>
        <w:rPr>
          <w:color w:val="231F20"/>
          <w:w w:val="120"/>
          <w:sz w:val="17"/>
        </w:rPr>
        <w:t>changement,</w:t>
      </w:r>
      <w:r>
        <w:rPr>
          <w:color w:val="231F20"/>
          <w:spacing w:val="-10"/>
          <w:w w:val="120"/>
          <w:sz w:val="17"/>
        </w:rPr>
        <w:t> </w:t>
      </w:r>
      <w:r>
        <w:rPr>
          <w:color w:val="231F20"/>
          <w:w w:val="120"/>
          <w:sz w:val="17"/>
        </w:rPr>
        <w:t>afin</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minimiser le risque d’échec.</w:t>
      </w:r>
    </w:p>
    <w:p>
      <w:pPr>
        <w:pStyle w:val="ListParagraph"/>
        <w:numPr>
          <w:ilvl w:val="0"/>
          <w:numId w:val="90"/>
        </w:numPr>
        <w:tabs>
          <w:tab w:pos="1331" w:val="left" w:leader="none"/>
        </w:tabs>
        <w:spacing w:line="307" w:lineRule="auto" w:before="0" w:after="0"/>
        <w:ind w:left="1330" w:right="490" w:hanging="251"/>
        <w:jc w:val="both"/>
        <w:rPr>
          <w:sz w:val="17"/>
        </w:rPr>
      </w:pPr>
      <w:r>
        <w:rPr>
          <w:color w:val="231F20"/>
          <w:spacing w:val="-4"/>
          <w:w w:val="120"/>
          <w:sz w:val="17"/>
        </w:rPr>
        <w:t>Effectuer,</w:t>
      </w:r>
      <w:r>
        <w:rPr>
          <w:color w:val="231F20"/>
          <w:spacing w:val="-5"/>
          <w:w w:val="120"/>
          <w:sz w:val="17"/>
        </w:rPr>
        <w:t> </w:t>
      </w:r>
      <w:r>
        <w:rPr>
          <w:color w:val="231F20"/>
          <w:spacing w:val="-4"/>
          <w:w w:val="120"/>
          <w:sz w:val="17"/>
        </w:rPr>
        <w:t>lorsque</w:t>
      </w:r>
      <w:r>
        <w:rPr>
          <w:color w:val="231F20"/>
          <w:spacing w:val="-5"/>
          <w:w w:val="120"/>
          <w:sz w:val="17"/>
        </w:rPr>
        <w:t> </w:t>
      </w:r>
      <w:r>
        <w:rPr>
          <w:color w:val="231F20"/>
          <w:spacing w:val="-4"/>
          <w:w w:val="120"/>
          <w:sz w:val="17"/>
        </w:rPr>
        <w:t>possible,</w:t>
      </w:r>
      <w:r>
        <w:rPr>
          <w:color w:val="231F20"/>
          <w:spacing w:val="-5"/>
          <w:w w:val="120"/>
          <w:sz w:val="17"/>
        </w:rPr>
        <w:t> </w:t>
      </w:r>
      <w:r>
        <w:rPr>
          <w:color w:val="231F20"/>
          <w:spacing w:val="-4"/>
          <w:w w:val="120"/>
          <w:sz w:val="17"/>
        </w:rPr>
        <w:t>les</w:t>
      </w:r>
      <w:r>
        <w:rPr>
          <w:color w:val="231F20"/>
          <w:spacing w:val="-5"/>
          <w:w w:val="120"/>
          <w:sz w:val="17"/>
        </w:rPr>
        <w:t> </w:t>
      </w:r>
      <w:r>
        <w:rPr>
          <w:color w:val="231F20"/>
          <w:spacing w:val="-4"/>
          <w:w w:val="120"/>
          <w:sz w:val="17"/>
        </w:rPr>
        <w:t>changements</w:t>
      </w:r>
      <w:r>
        <w:rPr>
          <w:color w:val="231F20"/>
          <w:spacing w:val="-5"/>
          <w:w w:val="120"/>
          <w:sz w:val="17"/>
        </w:rPr>
        <w:t> </w:t>
      </w:r>
      <w:r>
        <w:rPr>
          <w:color w:val="231F20"/>
          <w:spacing w:val="-4"/>
          <w:w w:val="120"/>
          <w:sz w:val="17"/>
        </w:rPr>
        <w:t>progressivement,</w:t>
      </w:r>
      <w:r>
        <w:rPr>
          <w:color w:val="231F20"/>
          <w:spacing w:val="-5"/>
          <w:w w:val="120"/>
          <w:sz w:val="17"/>
        </w:rPr>
        <w:t> </w:t>
      </w:r>
      <w:r>
        <w:rPr>
          <w:color w:val="231F20"/>
          <w:spacing w:val="-4"/>
          <w:w w:val="120"/>
          <w:sz w:val="17"/>
        </w:rPr>
        <w:t>sous </w:t>
      </w:r>
      <w:r>
        <w:rPr>
          <w:color w:val="231F20"/>
          <w:spacing w:val="-2"/>
          <w:w w:val="120"/>
          <w:sz w:val="17"/>
        </w:rPr>
        <w:t>forme</w:t>
      </w:r>
      <w:r>
        <w:rPr>
          <w:color w:val="231F20"/>
          <w:spacing w:val="-11"/>
          <w:w w:val="120"/>
          <w:sz w:val="17"/>
        </w:rPr>
        <w:t> </w:t>
      </w:r>
      <w:r>
        <w:rPr>
          <w:color w:val="231F20"/>
          <w:spacing w:val="-2"/>
          <w:w w:val="120"/>
          <w:sz w:val="17"/>
        </w:rPr>
        <w:t>de</w:t>
      </w:r>
      <w:r>
        <w:rPr>
          <w:color w:val="231F20"/>
          <w:spacing w:val="-11"/>
          <w:w w:val="120"/>
          <w:sz w:val="17"/>
        </w:rPr>
        <w:t> </w:t>
      </w:r>
      <w:r>
        <w:rPr>
          <w:color w:val="231F20"/>
          <w:spacing w:val="-2"/>
          <w:w w:val="120"/>
          <w:sz w:val="17"/>
        </w:rPr>
        <w:t>projets</w:t>
      </w:r>
      <w:r>
        <w:rPr>
          <w:color w:val="231F20"/>
          <w:spacing w:val="-11"/>
          <w:w w:val="120"/>
          <w:sz w:val="17"/>
        </w:rPr>
        <w:t> </w:t>
      </w:r>
      <w:r>
        <w:rPr>
          <w:color w:val="231F20"/>
          <w:spacing w:val="-2"/>
          <w:w w:val="120"/>
          <w:sz w:val="17"/>
        </w:rPr>
        <w:t>pilotes.</w:t>
      </w:r>
      <w:r>
        <w:rPr>
          <w:color w:val="231F20"/>
          <w:spacing w:val="-10"/>
          <w:w w:val="120"/>
          <w:sz w:val="17"/>
        </w:rPr>
        <w:t> </w:t>
      </w:r>
      <w:r>
        <w:rPr>
          <w:color w:val="231F20"/>
          <w:spacing w:val="-2"/>
          <w:w w:val="120"/>
          <w:sz w:val="17"/>
        </w:rPr>
        <w:t>On</w:t>
      </w:r>
      <w:r>
        <w:rPr>
          <w:color w:val="231F20"/>
          <w:spacing w:val="-11"/>
          <w:w w:val="120"/>
          <w:sz w:val="17"/>
        </w:rPr>
        <w:t> </w:t>
      </w:r>
      <w:r>
        <w:rPr>
          <w:color w:val="231F20"/>
          <w:spacing w:val="-2"/>
          <w:w w:val="120"/>
          <w:sz w:val="17"/>
        </w:rPr>
        <w:t>peut</w:t>
      </w:r>
      <w:r>
        <w:rPr>
          <w:color w:val="231F20"/>
          <w:spacing w:val="-11"/>
          <w:w w:val="120"/>
          <w:sz w:val="17"/>
        </w:rPr>
        <w:t> </w:t>
      </w:r>
      <w:r>
        <w:rPr>
          <w:color w:val="231F20"/>
          <w:spacing w:val="-2"/>
          <w:w w:val="120"/>
          <w:sz w:val="17"/>
        </w:rPr>
        <w:t>ainsi</w:t>
      </w:r>
      <w:r>
        <w:rPr>
          <w:color w:val="231F20"/>
          <w:spacing w:val="-11"/>
          <w:w w:val="120"/>
          <w:sz w:val="17"/>
        </w:rPr>
        <w:t> </w:t>
      </w:r>
      <w:r>
        <w:rPr>
          <w:color w:val="231F20"/>
          <w:spacing w:val="-2"/>
          <w:w w:val="120"/>
          <w:sz w:val="17"/>
        </w:rPr>
        <w:t>comparer</w:t>
      </w:r>
      <w:r>
        <w:rPr>
          <w:color w:val="231F20"/>
          <w:spacing w:val="-10"/>
          <w:w w:val="120"/>
          <w:sz w:val="17"/>
        </w:rPr>
        <w:t> </w:t>
      </w:r>
      <w:r>
        <w:rPr>
          <w:color w:val="231F20"/>
          <w:spacing w:val="-2"/>
          <w:w w:val="120"/>
          <w:sz w:val="17"/>
        </w:rPr>
        <w:t>les</w:t>
      </w:r>
      <w:r>
        <w:rPr>
          <w:color w:val="231F20"/>
          <w:spacing w:val="-11"/>
          <w:w w:val="120"/>
          <w:sz w:val="17"/>
        </w:rPr>
        <w:t> </w:t>
      </w:r>
      <w:r>
        <w:rPr>
          <w:color w:val="231F20"/>
          <w:spacing w:val="-2"/>
          <w:w w:val="120"/>
          <w:sz w:val="17"/>
        </w:rPr>
        <w:t>deux</w:t>
      </w:r>
      <w:r>
        <w:rPr>
          <w:color w:val="231F20"/>
          <w:spacing w:val="-11"/>
          <w:w w:val="120"/>
          <w:sz w:val="17"/>
        </w:rPr>
        <w:t> </w:t>
      </w:r>
      <w:r>
        <w:rPr>
          <w:color w:val="231F20"/>
          <w:spacing w:val="-2"/>
          <w:w w:val="120"/>
          <w:sz w:val="17"/>
        </w:rPr>
        <w:t>systèmes </w:t>
      </w:r>
      <w:r>
        <w:rPr>
          <w:color w:val="231F20"/>
          <w:w w:val="120"/>
          <w:sz w:val="17"/>
        </w:rPr>
        <w:t>en</w:t>
      </w:r>
      <w:r>
        <w:rPr>
          <w:color w:val="231F20"/>
          <w:spacing w:val="-9"/>
          <w:w w:val="120"/>
          <w:sz w:val="17"/>
        </w:rPr>
        <w:t> </w:t>
      </w:r>
      <w:r>
        <w:rPr>
          <w:color w:val="231F20"/>
          <w:w w:val="120"/>
          <w:sz w:val="17"/>
        </w:rPr>
        <w:t>même</w:t>
      </w:r>
      <w:r>
        <w:rPr>
          <w:color w:val="231F20"/>
          <w:spacing w:val="-9"/>
          <w:w w:val="120"/>
          <w:sz w:val="17"/>
        </w:rPr>
        <w:t> </w:t>
      </w:r>
      <w:r>
        <w:rPr>
          <w:color w:val="231F20"/>
          <w:w w:val="120"/>
          <w:sz w:val="17"/>
        </w:rPr>
        <w:t>temps,</w:t>
      </w:r>
      <w:r>
        <w:rPr>
          <w:color w:val="231F20"/>
          <w:spacing w:val="-9"/>
          <w:w w:val="120"/>
          <w:sz w:val="17"/>
        </w:rPr>
        <w:t> </w:t>
      </w:r>
      <w:r>
        <w:rPr>
          <w:color w:val="231F20"/>
          <w:w w:val="120"/>
          <w:sz w:val="17"/>
        </w:rPr>
        <w:t>mettre</w:t>
      </w:r>
      <w:r>
        <w:rPr>
          <w:color w:val="231F20"/>
          <w:spacing w:val="-9"/>
          <w:w w:val="120"/>
          <w:sz w:val="17"/>
        </w:rPr>
        <w:t> </w:t>
      </w:r>
      <w:r>
        <w:rPr>
          <w:color w:val="231F20"/>
          <w:w w:val="120"/>
          <w:sz w:val="17"/>
        </w:rPr>
        <w:t>à</w:t>
      </w:r>
      <w:r>
        <w:rPr>
          <w:color w:val="231F20"/>
          <w:spacing w:val="-9"/>
          <w:w w:val="120"/>
          <w:sz w:val="17"/>
        </w:rPr>
        <w:t> </w:t>
      </w:r>
      <w:r>
        <w:rPr>
          <w:color w:val="231F20"/>
          <w:w w:val="120"/>
          <w:sz w:val="17"/>
        </w:rPr>
        <w:t>l’essai</w:t>
      </w:r>
      <w:r>
        <w:rPr>
          <w:color w:val="231F20"/>
          <w:spacing w:val="-9"/>
          <w:w w:val="120"/>
          <w:sz w:val="17"/>
        </w:rPr>
        <w:t> </w:t>
      </w:r>
      <w:r>
        <w:rPr>
          <w:color w:val="231F20"/>
          <w:w w:val="120"/>
          <w:sz w:val="17"/>
        </w:rPr>
        <w:t>différents</w:t>
      </w:r>
      <w:r>
        <w:rPr>
          <w:color w:val="231F20"/>
          <w:spacing w:val="-9"/>
          <w:w w:val="120"/>
          <w:sz w:val="17"/>
        </w:rPr>
        <w:t> </w:t>
      </w:r>
      <w:r>
        <w:rPr>
          <w:color w:val="231F20"/>
          <w:w w:val="120"/>
          <w:sz w:val="17"/>
        </w:rPr>
        <w:t>modèles</w:t>
      </w:r>
      <w:r>
        <w:rPr>
          <w:color w:val="231F20"/>
          <w:spacing w:val="-9"/>
          <w:w w:val="120"/>
          <w:sz w:val="17"/>
        </w:rPr>
        <w:t> </w:t>
      </w:r>
      <w:r>
        <w:rPr>
          <w:color w:val="231F20"/>
          <w:w w:val="120"/>
          <w:sz w:val="17"/>
        </w:rPr>
        <w:t>en</w:t>
      </w:r>
      <w:r>
        <w:rPr>
          <w:color w:val="231F20"/>
          <w:spacing w:val="-9"/>
          <w:w w:val="120"/>
          <w:sz w:val="17"/>
        </w:rPr>
        <w:t> </w:t>
      </w:r>
      <w:r>
        <w:rPr>
          <w:color w:val="231F20"/>
          <w:w w:val="120"/>
          <w:sz w:val="17"/>
        </w:rPr>
        <w:t>évitant</w:t>
      </w:r>
      <w:r>
        <w:rPr>
          <w:color w:val="231F20"/>
          <w:spacing w:val="-9"/>
          <w:w w:val="120"/>
          <w:sz w:val="17"/>
        </w:rPr>
        <w:t> </w:t>
      </w:r>
      <w:r>
        <w:rPr>
          <w:color w:val="231F20"/>
          <w:w w:val="120"/>
          <w:sz w:val="17"/>
        </w:rPr>
        <w:t>les coûts excessifs (en cas d’échec) et, en groupes de taille réduite, contrôler expérimentalement les diverses variables associées</w:t>
      </w:r>
      <w:r>
        <w:rPr>
          <w:color w:val="231F20"/>
          <w:spacing w:val="40"/>
          <w:w w:val="120"/>
          <w:sz w:val="17"/>
        </w:rPr>
        <w:t> </w:t>
      </w:r>
      <w:r>
        <w:rPr>
          <w:color w:val="231F20"/>
          <w:w w:val="120"/>
          <w:sz w:val="17"/>
        </w:rPr>
        <w:t>aux nouveaux systèmes de travail, à la modification des canaux d’information, etc. En même temps, les travailleurs qui ne font pas</w:t>
      </w:r>
      <w:r>
        <w:rPr>
          <w:color w:val="231F20"/>
          <w:spacing w:val="-13"/>
          <w:w w:val="120"/>
          <w:sz w:val="17"/>
        </w:rPr>
        <w:t> </w:t>
      </w:r>
      <w:r>
        <w:rPr>
          <w:color w:val="231F20"/>
          <w:w w:val="120"/>
          <w:sz w:val="17"/>
        </w:rPr>
        <w:t>partie</w:t>
      </w:r>
      <w:r>
        <w:rPr>
          <w:color w:val="231F20"/>
          <w:spacing w:val="-13"/>
          <w:w w:val="120"/>
          <w:sz w:val="17"/>
        </w:rPr>
        <w:t> </w:t>
      </w:r>
      <w:r>
        <w:rPr>
          <w:color w:val="231F20"/>
          <w:w w:val="120"/>
          <w:sz w:val="17"/>
        </w:rPr>
        <w:t>du</w:t>
      </w:r>
      <w:r>
        <w:rPr>
          <w:color w:val="231F20"/>
          <w:spacing w:val="-13"/>
          <w:w w:val="120"/>
          <w:sz w:val="17"/>
        </w:rPr>
        <w:t> </w:t>
      </w:r>
      <w:r>
        <w:rPr>
          <w:color w:val="231F20"/>
          <w:w w:val="120"/>
          <w:sz w:val="17"/>
        </w:rPr>
        <w:t>groupe</w:t>
      </w:r>
      <w:r>
        <w:rPr>
          <w:color w:val="231F20"/>
          <w:spacing w:val="-12"/>
          <w:w w:val="120"/>
          <w:sz w:val="17"/>
        </w:rPr>
        <w:t> </w:t>
      </w:r>
      <w:r>
        <w:rPr>
          <w:color w:val="231F20"/>
          <w:w w:val="120"/>
          <w:sz w:val="17"/>
        </w:rPr>
        <w:t>d’étude</w:t>
      </w:r>
      <w:r>
        <w:rPr>
          <w:color w:val="231F20"/>
          <w:spacing w:val="-13"/>
          <w:w w:val="120"/>
          <w:sz w:val="17"/>
        </w:rPr>
        <w:t> </w:t>
      </w:r>
      <w:r>
        <w:rPr>
          <w:color w:val="231F20"/>
          <w:w w:val="120"/>
          <w:sz w:val="17"/>
        </w:rPr>
        <w:t>perçoivent</w:t>
      </w:r>
      <w:r>
        <w:rPr>
          <w:color w:val="231F20"/>
          <w:spacing w:val="-13"/>
          <w:w w:val="120"/>
          <w:sz w:val="17"/>
        </w:rPr>
        <w:t> </w:t>
      </w:r>
      <w:r>
        <w:rPr>
          <w:color w:val="231F20"/>
          <w:w w:val="120"/>
          <w:sz w:val="17"/>
        </w:rPr>
        <w:t>les</w:t>
      </w:r>
      <w:r>
        <w:rPr>
          <w:color w:val="231F20"/>
          <w:spacing w:val="-13"/>
          <w:w w:val="120"/>
          <w:sz w:val="17"/>
        </w:rPr>
        <w:t> </w:t>
      </w:r>
      <w:r>
        <w:rPr>
          <w:color w:val="231F20"/>
          <w:w w:val="120"/>
          <w:sz w:val="17"/>
        </w:rPr>
        <w:t>avantages</w:t>
      </w:r>
      <w:r>
        <w:rPr>
          <w:color w:val="231F20"/>
          <w:spacing w:val="-12"/>
          <w:w w:val="120"/>
          <w:sz w:val="17"/>
        </w:rPr>
        <w:t> </w:t>
      </w:r>
      <w:r>
        <w:rPr>
          <w:color w:val="231F20"/>
          <w:w w:val="120"/>
          <w:sz w:val="17"/>
        </w:rPr>
        <w:t>du</w:t>
      </w:r>
      <w:r>
        <w:rPr>
          <w:color w:val="231F20"/>
          <w:spacing w:val="-13"/>
          <w:w w:val="120"/>
          <w:sz w:val="17"/>
        </w:rPr>
        <w:t> </w:t>
      </w:r>
      <w:r>
        <w:rPr>
          <w:color w:val="231F20"/>
          <w:w w:val="120"/>
          <w:sz w:val="17"/>
        </w:rPr>
        <w:t>nouveau système, ce qui peut avoir un effet motivateur sur l’ensemble des</w:t>
      </w:r>
      <w:r>
        <w:rPr>
          <w:color w:val="231F20"/>
          <w:spacing w:val="-13"/>
          <w:w w:val="120"/>
          <w:sz w:val="17"/>
        </w:rPr>
        <w:t> </w:t>
      </w:r>
      <w:r>
        <w:rPr>
          <w:color w:val="231F20"/>
          <w:w w:val="120"/>
          <w:sz w:val="17"/>
        </w:rPr>
        <w:t>travailleurs.</w:t>
      </w:r>
    </w:p>
    <w:p>
      <w:pPr>
        <w:pStyle w:val="ListParagraph"/>
        <w:numPr>
          <w:ilvl w:val="0"/>
          <w:numId w:val="90"/>
        </w:numPr>
        <w:tabs>
          <w:tab w:pos="1331" w:val="left" w:leader="none"/>
        </w:tabs>
        <w:spacing w:line="307" w:lineRule="auto" w:before="0" w:after="0"/>
        <w:ind w:left="1330" w:right="495" w:hanging="251"/>
        <w:jc w:val="both"/>
        <w:rPr>
          <w:sz w:val="17"/>
        </w:rPr>
      </w:pPr>
      <w:r>
        <w:rPr>
          <w:color w:val="231F20"/>
          <w:spacing w:val="-2"/>
          <w:w w:val="120"/>
          <w:sz w:val="17"/>
        </w:rPr>
        <w:t>Prendre</w:t>
      </w:r>
      <w:r>
        <w:rPr>
          <w:color w:val="231F20"/>
          <w:spacing w:val="-9"/>
          <w:w w:val="120"/>
          <w:sz w:val="17"/>
        </w:rPr>
        <w:t> </w:t>
      </w:r>
      <w:r>
        <w:rPr>
          <w:color w:val="231F20"/>
          <w:spacing w:val="-2"/>
          <w:w w:val="120"/>
          <w:sz w:val="17"/>
        </w:rPr>
        <w:t>en</w:t>
      </w:r>
      <w:r>
        <w:rPr>
          <w:color w:val="231F20"/>
          <w:spacing w:val="-9"/>
          <w:w w:val="120"/>
          <w:sz w:val="17"/>
        </w:rPr>
        <w:t> </w:t>
      </w:r>
      <w:r>
        <w:rPr>
          <w:color w:val="231F20"/>
          <w:spacing w:val="-2"/>
          <w:w w:val="120"/>
          <w:sz w:val="17"/>
        </w:rPr>
        <w:t>considération</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avantages</w:t>
      </w:r>
      <w:r>
        <w:rPr>
          <w:color w:val="231F20"/>
          <w:spacing w:val="-9"/>
          <w:w w:val="120"/>
          <w:sz w:val="17"/>
        </w:rPr>
        <w:t> </w:t>
      </w:r>
      <w:r>
        <w:rPr>
          <w:color w:val="231F20"/>
          <w:spacing w:val="-2"/>
          <w:w w:val="120"/>
          <w:sz w:val="17"/>
        </w:rPr>
        <w:t>et</w:t>
      </w:r>
      <w:r>
        <w:rPr>
          <w:color w:val="231F20"/>
          <w:spacing w:val="-9"/>
          <w:w w:val="120"/>
          <w:sz w:val="17"/>
        </w:rPr>
        <w:t> </w:t>
      </w:r>
      <w:r>
        <w:rPr>
          <w:color w:val="231F20"/>
          <w:spacing w:val="-2"/>
          <w:w w:val="120"/>
          <w:sz w:val="17"/>
        </w:rPr>
        <w:t>les</w:t>
      </w:r>
      <w:r>
        <w:rPr>
          <w:color w:val="231F20"/>
          <w:spacing w:val="-9"/>
          <w:w w:val="120"/>
          <w:sz w:val="17"/>
        </w:rPr>
        <w:t> </w:t>
      </w:r>
      <w:r>
        <w:rPr>
          <w:color w:val="231F20"/>
          <w:spacing w:val="-2"/>
          <w:w w:val="120"/>
          <w:sz w:val="17"/>
        </w:rPr>
        <w:t>inconvénients</w:t>
      </w:r>
      <w:r>
        <w:rPr>
          <w:color w:val="231F20"/>
          <w:spacing w:val="-9"/>
          <w:w w:val="120"/>
          <w:sz w:val="17"/>
        </w:rPr>
        <w:t> </w:t>
      </w:r>
      <w:r>
        <w:rPr>
          <w:color w:val="231F20"/>
          <w:spacing w:val="-2"/>
          <w:w w:val="120"/>
          <w:sz w:val="17"/>
        </w:rPr>
        <w:t>qu’il</w:t>
      </w:r>
      <w:r>
        <w:rPr>
          <w:color w:val="231F20"/>
          <w:spacing w:val="-9"/>
          <w:w w:val="120"/>
          <w:sz w:val="17"/>
        </w:rPr>
        <w:t> </w:t>
      </w:r>
      <w:r>
        <w:rPr>
          <w:color w:val="231F20"/>
          <w:spacing w:val="-2"/>
          <w:w w:val="120"/>
          <w:sz w:val="17"/>
        </w:rPr>
        <w:t>y </w:t>
      </w:r>
      <w:r>
        <w:rPr>
          <w:color w:val="231F20"/>
          <w:spacing w:val="-4"/>
          <w:w w:val="120"/>
          <w:sz w:val="17"/>
        </w:rPr>
        <w:t>ait</w:t>
      </w:r>
      <w:r>
        <w:rPr>
          <w:color w:val="231F20"/>
          <w:spacing w:val="-6"/>
          <w:w w:val="120"/>
          <w:sz w:val="17"/>
        </w:rPr>
        <w:t> </w:t>
      </w:r>
      <w:r>
        <w:rPr>
          <w:color w:val="231F20"/>
          <w:spacing w:val="-4"/>
          <w:w w:val="120"/>
          <w:sz w:val="17"/>
        </w:rPr>
        <w:t>à</w:t>
      </w:r>
      <w:r>
        <w:rPr>
          <w:color w:val="231F20"/>
          <w:spacing w:val="-6"/>
          <w:w w:val="120"/>
          <w:sz w:val="17"/>
        </w:rPr>
        <w:t> </w:t>
      </w:r>
      <w:r>
        <w:rPr>
          <w:color w:val="231F20"/>
          <w:spacing w:val="-4"/>
          <w:w w:val="120"/>
          <w:sz w:val="17"/>
        </w:rPr>
        <w:t>confier</w:t>
      </w:r>
      <w:r>
        <w:rPr>
          <w:color w:val="231F20"/>
          <w:spacing w:val="-6"/>
          <w:w w:val="120"/>
          <w:sz w:val="17"/>
        </w:rPr>
        <w:t> </w:t>
      </w:r>
      <w:r>
        <w:rPr>
          <w:color w:val="231F20"/>
          <w:spacing w:val="-4"/>
          <w:w w:val="120"/>
          <w:sz w:val="17"/>
        </w:rPr>
        <w:t>la</w:t>
      </w:r>
      <w:r>
        <w:rPr>
          <w:color w:val="231F20"/>
          <w:spacing w:val="-6"/>
          <w:w w:val="120"/>
          <w:sz w:val="17"/>
        </w:rPr>
        <w:t> </w:t>
      </w:r>
      <w:r>
        <w:rPr>
          <w:color w:val="231F20"/>
          <w:spacing w:val="-4"/>
          <w:w w:val="120"/>
          <w:sz w:val="17"/>
        </w:rPr>
        <w:t>promotion</w:t>
      </w:r>
      <w:r>
        <w:rPr>
          <w:color w:val="231F20"/>
          <w:spacing w:val="-6"/>
          <w:w w:val="120"/>
          <w:sz w:val="17"/>
        </w:rPr>
        <w:t> </w:t>
      </w:r>
      <w:r>
        <w:rPr>
          <w:color w:val="231F20"/>
          <w:spacing w:val="-4"/>
          <w:w w:val="120"/>
          <w:sz w:val="17"/>
        </w:rPr>
        <w:t>du</w:t>
      </w:r>
      <w:r>
        <w:rPr>
          <w:color w:val="231F20"/>
          <w:spacing w:val="-6"/>
          <w:w w:val="120"/>
          <w:sz w:val="17"/>
        </w:rPr>
        <w:t> </w:t>
      </w:r>
      <w:r>
        <w:rPr>
          <w:color w:val="231F20"/>
          <w:spacing w:val="-4"/>
          <w:w w:val="120"/>
          <w:sz w:val="17"/>
        </w:rPr>
        <w:t>changement</w:t>
      </w:r>
      <w:r>
        <w:rPr>
          <w:color w:val="231F20"/>
          <w:spacing w:val="-6"/>
          <w:w w:val="120"/>
          <w:sz w:val="17"/>
        </w:rPr>
        <w:t> </w:t>
      </w:r>
      <w:r>
        <w:rPr>
          <w:color w:val="231F20"/>
          <w:spacing w:val="-4"/>
          <w:w w:val="120"/>
          <w:sz w:val="17"/>
        </w:rPr>
        <w:t>à</w:t>
      </w:r>
      <w:r>
        <w:rPr>
          <w:color w:val="231F20"/>
          <w:spacing w:val="-6"/>
          <w:w w:val="120"/>
          <w:sz w:val="17"/>
        </w:rPr>
        <w:t> </w:t>
      </w:r>
      <w:r>
        <w:rPr>
          <w:color w:val="231F20"/>
          <w:spacing w:val="-4"/>
          <w:w w:val="120"/>
          <w:sz w:val="17"/>
        </w:rPr>
        <w:t>un</w:t>
      </w:r>
      <w:r>
        <w:rPr>
          <w:color w:val="231F20"/>
          <w:spacing w:val="-6"/>
          <w:w w:val="120"/>
          <w:sz w:val="17"/>
        </w:rPr>
        <w:t> </w:t>
      </w:r>
      <w:r>
        <w:rPr>
          <w:color w:val="231F20"/>
          <w:spacing w:val="-4"/>
          <w:w w:val="120"/>
          <w:sz w:val="17"/>
        </w:rPr>
        <w:t>membre</w:t>
      </w:r>
      <w:r>
        <w:rPr>
          <w:color w:val="231F20"/>
          <w:spacing w:val="-6"/>
          <w:w w:val="120"/>
          <w:sz w:val="17"/>
        </w:rPr>
        <w:t> </w:t>
      </w:r>
      <w:r>
        <w:rPr>
          <w:color w:val="231F20"/>
          <w:spacing w:val="-4"/>
          <w:w w:val="120"/>
          <w:sz w:val="17"/>
        </w:rPr>
        <w:t>de</w:t>
      </w:r>
      <w:r>
        <w:rPr>
          <w:color w:val="231F20"/>
          <w:spacing w:val="-6"/>
          <w:w w:val="120"/>
          <w:sz w:val="17"/>
        </w:rPr>
        <w:t> </w:t>
      </w:r>
      <w:r>
        <w:rPr>
          <w:color w:val="231F20"/>
          <w:spacing w:val="-4"/>
          <w:w w:val="120"/>
          <w:sz w:val="17"/>
        </w:rPr>
        <w:t>l’organi- </w:t>
      </w:r>
      <w:r>
        <w:rPr>
          <w:color w:val="231F20"/>
          <w:spacing w:val="-2"/>
          <w:w w:val="115"/>
          <w:sz w:val="17"/>
        </w:rPr>
        <w:t>sation</w:t>
      </w:r>
      <w:r>
        <w:rPr>
          <w:color w:val="231F20"/>
          <w:spacing w:val="-5"/>
          <w:w w:val="115"/>
          <w:sz w:val="17"/>
        </w:rPr>
        <w:t> </w:t>
      </w:r>
      <w:r>
        <w:rPr>
          <w:color w:val="231F20"/>
          <w:spacing w:val="-2"/>
          <w:w w:val="115"/>
          <w:sz w:val="17"/>
        </w:rPr>
        <w:t>ou</w:t>
      </w:r>
      <w:r>
        <w:rPr>
          <w:color w:val="231F20"/>
          <w:spacing w:val="-5"/>
          <w:w w:val="115"/>
          <w:sz w:val="17"/>
        </w:rPr>
        <w:t> </w:t>
      </w:r>
      <w:r>
        <w:rPr>
          <w:color w:val="231F20"/>
          <w:spacing w:val="-2"/>
          <w:w w:val="115"/>
          <w:sz w:val="17"/>
        </w:rPr>
        <w:t>à</w:t>
      </w:r>
      <w:r>
        <w:rPr>
          <w:color w:val="231F20"/>
          <w:spacing w:val="-5"/>
          <w:w w:val="115"/>
          <w:sz w:val="17"/>
        </w:rPr>
        <w:t> </w:t>
      </w:r>
      <w:r>
        <w:rPr>
          <w:color w:val="231F20"/>
          <w:spacing w:val="-2"/>
          <w:w w:val="115"/>
          <w:sz w:val="17"/>
        </w:rPr>
        <w:t>un</w:t>
      </w:r>
      <w:r>
        <w:rPr>
          <w:color w:val="231F20"/>
          <w:spacing w:val="-5"/>
          <w:w w:val="115"/>
          <w:sz w:val="17"/>
        </w:rPr>
        <w:t> </w:t>
      </w:r>
      <w:r>
        <w:rPr>
          <w:color w:val="231F20"/>
          <w:spacing w:val="-2"/>
          <w:w w:val="115"/>
          <w:sz w:val="17"/>
        </w:rPr>
        <w:t>consultant</w:t>
      </w:r>
      <w:r>
        <w:rPr>
          <w:color w:val="231F20"/>
          <w:spacing w:val="-5"/>
          <w:w w:val="115"/>
          <w:sz w:val="17"/>
        </w:rPr>
        <w:t> </w:t>
      </w:r>
      <w:r>
        <w:rPr>
          <w:color w:val="231F20"/>
          <w:spacing w:val="-2"/>
          <w:w w:val="115"/>
          <w:sz w:val="17"/>
        </w:rPr>
        <w:t>externe.</w:t>
      </w:r>
      <w:r>
        <w:rPr>
          <w:color w:val="231F20"/>
          <w:spacing w:val="-5"/>
          <w:w w:val="115"/>
          <w:sz w:val="17"/>
        </w:rPr>
        <w:t> </w:t>
      </w:r>
      <w:r>
        <w:rPr>
          <w:color w:val="231F20"/>
          <w:spacing w:val="-2"/>
          <w:w w:val="115"/>
          <w:sz w:val="17"/>
        </w:rPr>
        <w:t>Un</w:t>
      </w:r>
      <w:r>
        <w:rPr>
          <w:color w:val="231F20"/>
          <w:spacing w:val="-5"/>
          <w:w w:val="115"/>
          <w:sz w:val="17"/>
        </w:rPr>
        <w:t> </w:t>
      </w:r>
      <w:r>
        <w:rPr>
          <w:color w:val="231F20"/>
          <w:spacing w:val="-2"/>
          <w:w w:val="115"/>
          <w:sz w:val="17"/>
        </w:rPr>
        <w:t>professionnel</w:t>
      </w:r>
      <w:r>
        <w:rPr>
          <w:color w:val="231F20"/>
          <w:spacing w:val="-5"/>
          <w:w w:val="115"/>
          <w:sz w:val="17"/>
        </w:rPr>
        <w:t> </w:t>
      </w:r>
      <w:r>
        <w:rPr>
          <w:color w:val="231F20"/>
          <w:spacing w:val="-2"/>
          <w:w w:val="115"/>
          <w:sz w:val="17"/>
        </w:rPr>
        <w:t>de</w:t>
      </w:r>
      <w:r>
        <w:rPr>
          <w:color w:val="231F20"/>
          <w:spacing w:val="-5"/>
          <w:w w:val="115"/>
          <w:sz w:val="17"/>
        </w:rPr>
        <w:t> </w:t>
      </w:r>
      <w:r>
        <w:rPr>
          <w:color w:val="231F20"/>
          <w:spacing w:val="-2"/>
          <w:w w:val="115"/>
          <w:sz w:val="17"/>
        </w:rPr>
        <w:t>l’organisation </w:t>
      </w:r>
      <w:r>
        <w:rPr>
          <w:color w:val="231F20"/>
          <w:w w:val="120"/>
          <w:sz w:val="17"/>
        </w:rPr>
        <w:t>aura sans doute une meilleure connaissance de ses particularités </w:t>
      </w:r>
      <w:r>
        <w:rPr>
          <w:color w:val="231F20"/>
          <w:spacing w:val="-4"/>
          <w:w w:val="120"/>
          <w:sz w:val="17"/>
        </w:rPr>
        <w:t>qu’un consultant de l’extérieur, mais il est cependant parfois moins </w:t>
      </w:r>
      <w:r>
        <w:rPr>
          <w:color w:val="231F20"/>
          <w:w w:val="120"/>
          <w:sz w:val="17"/>
        </w:rPr>
        <w:t>crédible qu’un agent externe.</w:t>
      </w:r>
    </w:p>
    <w:p>
      <w:pPr>
        <w:pStyle w:val="ListParagraph"/>
        <w:numPr>
          <w:ilvl w:val="0"/>
          <w:numId w:val="90"/>
        </w:numPr>
        <w:tabs>
          <w:tab w:pos="1331" w:val="left" w:leader="none"/>
        </w:tabs>
        <w:spacing w:line="307" w:lineRule="auto" w:before="0" w:after="0"/>
        <w:ind w:left="1330" w:right="492" w:hanging="251"/>
        <w:jc w:val="both"/>
        <w:rPr>
          <w:sz w:val="17"/>
        </w:rPr>
      </w:pPr>
      <w:r>
        <w:rPr>
          <w:color w:val="231F20"/>
          <w:w w:val="120"/>
          <w:sz w:val="17"/>
        </w:rPr>
        <w:t>Contrôler les extrêmes préalablement à la mise en œuvre de la mesure, en essayant d’identifier périodiquement les circons- tances et en comparant les résultats aux hypothèses de départ.</w:t>
      </w:r>
    </w:p>
    <w:p>
      <w:pPr>
        <w:spacing w:after="0" w:line="307" w:lineRule="auto"/>
        <w:jc w:val="both"/>
        <w:rPr>
          <w:sz w:val="17"/>
        </w:rPr>
        <w:sectPr>
          <w:footerReference w:type="default" r:id="rId318"/>
          <w:pgSz w:w="8640" w:h="12960"/>
          <w:pgMar w:footer="424" w:header="0" w:top="520" w:bottom="620" w:left="420" w:right="1140"/>
        </w:sectPr>
      </w:pPr>
    </w:p>
    <w:p>
      <w:pPr>
        <w:spacing w:before="118"/>
        <w:ind w:left="1847" w:right="0" w:firstLine="0"/>
        <w:jc w:val="left"/>
        <w:rPr>
          <w:rFonts w:ascii="Arial" w:hAnsi="Arial"/>
          <w:sz w:val="14"/>
        </w:rPr>
      </w:pPr>
      <w:bookmarkStart w:name=" 5.3.3 / Interventions organisationnelle" w:id="191"/>
      <w:bookmarkEnd w:id="191"/>
      <w:r>
        <w:rPr/>
      </w:r>
      <w:bookmarkStart w:name="_bookmark85" w:id="192"/>
      <w:bookmarkEnd w:id="192"/>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720" w:right="102"/>
        <w:jc w:val="both"/>
      </w:pPr>
      <w:r>
        <w:rPr>
          <w:color w:val="231F20"/>
          <w:w w:val="120"/>
        </w:rPr>
        <w:t>Pour obtenir un résultat optimal, rappelons que les travailleurs ont besoin d’une certaine période d’adaptation à la nouvelle situation et que les mesures mises en œuvre pourraient nécessi- ter quelques ajustements et du temps avant de pleinement faire ressentir leurs effets.</w:t>
      </w:r>
    </w:p>
    <w:p>
      <w:pPr>
        <w:pStyle w:val="BodyText"/>
        <w:spacing w:before="10"/>
        <w:rPr>
          <w:sz w:val="26"/>
        </w:rPr>
      </w:pPr>
    </w:p>
    <w:p>
      <w:pPr>
        <w:pStyle w:val="Heading4"/>
        <w:numPr>
          <w:ilvl w:val="2"/>
          <w:numId w:val="89"/>
        </w:numPr>
        <w:tabs>
          <w:tab w:pos="919" w:val="left" w:leader="none"/>
          <w:tab w:pos="1219" w:val="left" w:leader="none"/>
        </w:tabs>
        <w:spacing w:line="240" w:lineRule="auto" w:before="0" w:after="0"/>
        <w:ind w:left="918" w:right="0" w:hanging="394"/>
        <w:jc w:val="left"/>
      </w:pPr>
      <w:r>
        <w:rPr>
          <w:b w:val="0"/>
          <w:i/>
          <w:color w:val="231F20"/>
          <w:spacing w:val="-10"/>
        </w:rPr>
        <w:t>/</w:t>
      </w:r>
      <w:r>
        <w:rPr>
          <w:b w:val="0"/>
          <w:i/>
          <w:color w:val="231F20"/>
        </w:rPr>
        <w:tab/>
      </w:r>
      <w:r>
        <w:rPr>
          <w:color w:val="231F20"/>
          <w:w w:val="95"/>
        </w:rPr>
        <w:t>Interventions</w:t>
      </w:r>
      <w:r>
        <w:rPr>
          <w:color w:val="231F20"/>
          <w:spacing w:val="-3"/>
        </w:rPr>
        <w:t> </w:t>
      </w:r>
      <w:r>
        <w:rPr>
          <w:color w:val="231F20"/>
          <w:w w:val="95"/>
        </w:rPr>
        <w:t>organisationnelles</w:t>
      </w:r>
      <w:r>
        <w:rPr>
          <w:color w:val="231F20"/>
          <w:spacing w:val="-2"/>
        </w:rPr>
        <w:t> </w:t>
      </w:r>
      <w:r>
        <w:rPr>
          <w:color w:val="231F20"/>
          <w:w w:val="95"/>
        </w:rPr>
        <w:t>en</w:t>
      </w:r>
      <w:r>
        <w:rPr>
          <w:color w:val="231F20"/>
          <w:spacing w:val="-2"/>
        </w:rPr>
        <w:t> </w:t>
      </w:r>
      <w:r>
        <w:rPr>
          <w:color w:val="231F20"/>
          <w:w w:val="95"/>
        </w:rPr>
        <w:t>matière</w:t>
      </w:r>
      <w:r>
        <w:rPr>
          <w:color w:val="231F20"/>
          <w:spacing w:val="-2"/>
        </w:rPr>
        <w:t> </w:t>
      </w:r>
      <w:r>
        <w:rPr>
          <w:color w:val="231F20"/>
          <w:w w:val="95"/>
        </w:rPr>
        <w:t>de</w:t>
      </w:r>
      <w:r>
        <w:rPr>
          <w:color w:val="231F20"/>
          <w:spacing w:val="-2"/>
        </w:rPr>
        <w:t> </w:t>
      </w:r>
      <w:r>
        <w:rPr>
          <w:color w:val="231F20"/>
          <w:spacing w:val="-2"/>
          <w:w w:val="95"/>
        </w:rPr>
        <w:t>stress</w:t>
      </w:r>
    </w:p>
    <w:p>
      <w:pPr>
        <w:pStyle w:val="BodyText"/>
        <w:spacing w:line="307" w:lineRule="auto" w:before="233"/>
        <w:ind w:left="1220" w:right="105"/>
        <w:jc w:val="both"/>
      </w:pPr>
      <w:r>
        <w:rPr>
          <w:color w:val="231F20"/>
          <w:w w:val="120"/>
        </w:rPr>
        <w:t>Les</w:t>
      </w:r>
      <w:r>
        <w:rPr>
          <w:color w:val="231F20"/>
          <w:spacing w:val="-8"/>
          <w:w w:val="120"/>
        </w:rPr>
        <w:t> </w:t>
      </w:r>
      <w:r>
        <w:rPr>
          <w:color w:val="231F20"/>
          <w:w w:val="120"/>
        </w:rPr>
        <w:t>causes</w:t>
      </w:r>
      <w:r>
        <w:rPr>
          <w:color w:val="231F20"/>
          <w:spacing w:val="-8"/>
          <w:w w:val="120"/>
        </w:rPr>
        <w:t> </w:t>
      </w:r>
      <w:r>
        <w:rPr>
          <w:color w:val="231F20"/>
          <w:w w:val="120"/>
        </w:rPr>
        <w:t>courantes</w:t>
      </w:r>
      <w:r>
        <w:rPr>
          <w:color w:val="231F20"/>
          <w:spacing w:val="-8"/>
          <w:w w:val="120"/>
        </w:rPr>
        <w:t> </w:t>
      </w:r>
      <w:r>
        <w:rPr>
          <w:color w:val="231F20"/>
          <w:w w:val="120"/>
        </w:rPr>
        <w:t>du</w:t>
      </w:r>
      <w:r>
        <w:rPr>
          <w:color w:val="231F20"/>
          <w:spacing w:val="-8"/>
          <w:w w:val="120"/>
        </w:rPr>
        <w:t> </w:t>
      </w:r>
      <w:r>
        <w:rPr>
          <w:color w:val="231F20"/>
          <w:w w:val="120"/>
        </w:rPr>
        <w:t>stress</w:t>
      </w:r>
      <w:r>
        <w:rPr>
          <w:color w:val="231F20"/>
          <w:spacing w:val="-8"/>
          <w:w w:val="120"/>
        </w:rPr>
        <w:t> </w:t>
      </w:r>
      <w:r>
        <w:rPr>
          <w:color w:val="231F20"/>
          <w:w w:val="120"/>
        </w:rPr>
        <w:t>professionnel</w:t>
      </w:r>
      <w:r>
        <w:rPr>
          <w:color w:val="231F20"/>
          <w:spacing w:val="-8"/>
          <w:w w:val="120"/>
        </w:rPr>
        <w:t> </w:t>
      </w:r>
      <w:r>
        <w:rPr>
          <w:color w:val="231F20"/>
          <w:w w:val="120"/>
        </w:rPr>
        <w:t>ne</w:t>
      </w:r>
      <w:r>
        <w:rPr>
          <w:color w:val="231F20"/>
          <w:spacing w:val="-8"/>
          <w:w w:val="120"/>
        </w:rPr>
        <w:t> </w:t>
      </w:r>
      <w:r>
        <w:rPr>
          <w:color w:val="231F20"/>
          <w:w w:val="120"/>
        </w:rPr>
        <w:t>se</w:t>
      </w:r>
      <w:r>
        <w:rPr>
          <w:color w:val="231F20"/>
          <w:spacing w:val="-8"/>
          <w:w w:val="120"/>
        </w:rPr>
        <w:t> </w:t>
      </w:r>
      <w:r>
        <w:rPr>
          <w:color w:val="231F20"/>
          <w:w w:val="120"/>
        </w:rPr>
        <w:t>limitent</w:t>
      </w:r>
      <w:r>
        <w:rPr>
          <w:color w:val="231F20"/>
          <w:spacing w:val="-8"/>
          <w:w w:val="120"/>
        </w:rPr>
        <w:t> </w:t>
      </w:r>
      <w:r>
        <w:rPr>
          <w:color w:val="231F20"/>
          <w:w w:val="120"/>
        </w:rPr>
        <w:t>pas</w:t>
      </w:r>
      <w:r>
        <w:rPr>
          <w:color w:val="231F20"/>
          <w:spacing w:val="-8"/>
          <w:w w:val="120"/>
        </w:rPr>
        <w:t> </w:t>
      </w:r>
      <w:r>
        <w:rPr>
          <w:color w:val="231F20"/>
          <w:w w:val="120"/>
        </w:rPr>
        <w:t>exclusi- vement</w:t>
      </w:r>
      <w:r>
        <w:rPr>
          <w:color w:val="231F20"/>
          <w:spacing w:val="-11"/>
          <w:w w:val="120"/>
        </w:rPr>
        <w:t> </w:t>
      </w:r>
      <w:r>
        <w:rPr>
          <w:color w:val="231F20"/>
          <w:w w:val="120"/>
        </w:rPr>
        <w:t>à</w:t>
      </w:r>
      <w:r>
        <w:rPr>
          <w:color w:val="231F20"/>
          <w:spacing w:val="-11"/>
          <w:w w:val="120"/>
        </w:rPr>
        <w:t> </w:t>
      </w:r>
      <w:r>
        <w:rPr>
          <w:color w:val="231F20"/>
          <w:w w:val="120"/>
        </w:rPr>
        <w:t>certaines</w:t>
      </w:r>
      <w:r>
        <w:rPr>
          <w:color w:val="231F20"/>
          <w:spacing w:val="-11"/>
          <w:w w:val="120"/>
        </w:rPr>
        <w:t> </w:t>
      </w:r>
      <w:r>
        <w:rPr>
          <w:color w:val="231F20"/>
          <w:w w:val="120"/>
        </w:rPr>
        <w:t>conditions</w:t>
      </w:r>
      <w:r>
        <w:rPr>
          <w:color w:val="231F20"/>
          <w:spacing w:val="-11"/>
          <w:w w:val="120"/>
        </w:rPr>
        <w:t> </w:t>
      </w:r>
      <w:r>
        <w:rPr>
          <w:color w:val="231F20"/>
          <w:w w:val="120"/>
        </w:rPr>
        <w:t>de</w:t>
      </w:r>
      <w:r>
        <w:rPr>
          <w:color w:val="231F20"/>
          <w:spacing w:val="-11"/>
          <w:w w:val="120"/>
        </w:rPr>
        <w:t> </w:t>
      </w:r>
      <w:r>
        <w:rPr>
          <w:color w:val="231F20"/>
          <w:w w:val="120"/>
        </w:rPr>
        <w:t>travail</w:t>
      </w:r>
      <w:r>
        <w:rPr>
          <w:color w:val="231F20"/>
          <w:spacing w:val="-11"/>
          <w:w w:val="120"/>
        </w:rPr>
        <w:t> </w:t>
      </w:r>
      <w:r>
        <w:rPr>
          <w:color w:val="231F20"/>
          <w:w w:val="120"/>
        </w:rPr>
        <w:t>auxquelles</w:t>
      </w:r>
      <w:r>
        <w:rPr>
          <w:color w:val="231F20"/>
          <w:spacing w:val="-11"/>
          <w:w w:val="120"/>
        </w:rPr>
        <w:t> </w:t>
      </w:r>
      <w:r>
        <w:rPr>
          <w:color w:val="231F20"/>
          <w:w w:val="120"/>
        </w:rPr>
        <w:t>l’individu</w:t>
      </w:r>
      <w:r>
        <w:rPr>
          <w:color w:val="231F20"/>
          <w:spacing w:val="-11"/>
          <w:w w:val="120"/>
        </w:rPr>
        <w:t> </w:t>
      </w:r>
      <w:r>
        <w:rPr>
          <w:color w:val="231F20"/>
          <w:w w:val="120"/>
        </w:rPr>
        <w:t>doit</w:t>
      </w:r>
      <w:r>
        <w:rPr>
          <w:color w:val="231F20"/>
          <w:spacing w:val="-11"/>
          <w:w w:val="120"/>
        </w:rPr>
        <w:t> </w:t>
      </w:r>
      <w:r>
        <w:rPr>
          <w:color w:val="231F20"/>
          <w:w w:val="120"/>
        </w:rPr>
        <w:t>faire </w:t>
      </w:r>
      <w:r>
        <w:rPr>
          <w:color w:val="231F20"/>
          <w:spacing w:val="-2"/>
          <w:w w:val="120"/>
        </w:rPr>
        <w:t>face.</w:t>
      </w:r>
      <w:r>
        <w:rPr>
          <w:color w:val="231F20"/>
          <w:spacing w:val="-10"/>
          <w:w w:val="120"/>
        </w:rPr>
        <w:t> </w:t>
      </w:r>
      <w:r>
        <w:rPr>
          <w:color w:val="231F20"/>
          <w:spacing w:val="-2"/>
          <w:w w:val="120"/>
        </w:rPr>
        <w:t>Dans</w:t>
      </w:r>
      <w:r>
        <w:rPr>
          <w:color w:val="231F20"/>
          <w:spacing w:val="-10"/>
          <w:w w:val="120"/>
        </w:rPr>
        <w:t> </w:t>
      </w:r>
      <w:r>
        <w:rPr>
          <w:color w:val="231F20"/>
          <w:spacing w:val="-2"/>
          <w:w w:val="120"/>
        </w:rPr>
        <w:t>chaque</w:t>
      </w:r>
      <w:r>
        <w:rPr>
          <w:color w:val="231F20"/>
          <w:spacing w:val="-10"/>
          <w:w w:val="120"/>
        </w:rPr>
        <w:t> </w:t>
      </w:r>
      <w:r>
        <w:rPr>
          <w:color w:val="231F20"/>
          <w:spacing w:val="-2"/>
          <w:w w:val="120"/>
        </w:rPr>
        <w:t>domaine</w:t>
      </w:r>
      <w:r>
        <w:rPr>
          <w:color w:val="231F20"/>
          <w:spacing w:val="-10"/>
          <w:w w:val="120"/>
        </w:rPr>
        <w:t> </w:t>
      </w:r>
      <w:r>
        <w:rPr>
          <w:color w:val="231F20"/>
          <w:spacing w:val="-2"/>
          <w:w w:val="120"/>
        </w:rPr>
        <w:t>de</w:t>
      </w:r>
      <w:r>
        <w:rPr>
          <w:color w:val="231F20"/>
          <w:spacing w:val="-10"/>
          <w:w w:val="120"/>
        </w:rPr>
        <w:t> </w:t>
      </w:r>
      <w:r>
        <w:rPr>
          <w:color w:val="231F20"/>
          <w:spacing w:val="-2"/>
          <w:w w:val="120"/>
        </w:rPr>
        <w:t>travail,</w:t>
      </w:r>
      <w:r>
        <w:rPr>
          <w:color w:val="231F20"/>
          <w:spacing w:val="-10"/>
          <w:w w:val="120"/>
        </w:rPr>
        <w:t> </w:t>
      </w:r>
      <w:r>
        <w:rPr>
          <w:color w:val="231F20"/>
          <w:spacing w:val="-2"/>
          <w:w w:val="120"/>
        </w:rPr>
        <w:t>les</w:t>
      </w:r>
      <w:r>
        <w:rPr>
          <w:color w:val="231F20"/>
          <w:spacing w:val="-10"/>
          <w:w w:val="120"/>
        </w:rPr>
        <w:t> </w:t>
      </w:r>
      <w:r>
        <w:rPr>
          <w:color w:val="231F20"/>
          <w:spacing w:val="-2"/>
          <w:w w:val="120"/>
        </w:rPr>
        <w:t>employés</w:t>
      </w:r>
      <w:r>
        <w:rPr>
          <w:color w:val="231F20"/>
          <w:spacing w:val="-10"/>
          <w:w w:val="120"/>
        </w:rPr>
        <w:t> </w:t>
      </w:r>
      <w:r>
        <w:rPr>
          <w:color w:val="231F20"/>
          <w:spacing w:val="-2"/>
          <w:w w:val="120"/>
        </w:rPr>
        <w:t>doivent</w:t>
      </w:r>
      <w:r>
        <w:rPr>
          <w:color w:val="231F20"/>
          <w:spacing w:val="-10"/>
          <w:w w:val="120"/>
        </w:rPr>
        <w:t> </w:t>
      </w:r>
      <w:r>
        <w:rPr>
          <w:color w:val="231F20"/>
          <w:spacing w:val="-2"/>
          <w:w w:val="120"/>
        </w:rPr>
        <w:t>consentir</w:t>
      </w:r>
      <w:r>
        <w:rPr>
          <w:color w:val="231F20"/>
          <w:spacing w:val="-10"/>
          <w:w w:val="120"/>
        </w:rPr>
        <w:t> </w:t>
      </w:r>
      <w:r>
        <w:rPr>
          <w:color w:val="231F20"/>
          <w:spacing w:val="-2"/>
          <w:w w:val="120"/>
        </w:rPr>
        <w:t>un </w:t>
      </w:r>
      <w:r>
        <w:rPr>
          <w:color w:val="231F20"/>
          <w:w w:val="120"/>
        </w:rPr>
        <w:t>effort</w:t>
      </w:r>
      <w:r>
        <w:rPr>
          <w:color w:val="231F20"/>
          <w:spacing w:val="-5"/>
          <w:w w:val="120"/>
        </w:rPr>
        <w:t> </w:t>
      </w:r>
      <w:r>
        <w:rPr>
          <w:color w:val="231F20"/>
          <w:w w:val="120"/>
        </w:rPr>
        <w:t>d’adaptation.</w:t>
      </w:r>
      <w:r>
        <w:rPr>
          <w:color w:val="231F20"/>
          <w:spacing w:val="-5"/>
          <w:w w:val="120"/>
        </w:rPr>
        <w:t> </w:t>
      </w:r>
      <w:r>
        <w:rPr>
          <w:color w:val="231F20"/>
          <w:w w:val="120"/>
        </w:rPr>
        <w:t>L’effort</w:t>
      </w:r>
      <w:r>
        <w:rPr>
          <w:color w:val="231F20"/>
          <w:spacing w:val="-5"/>
          <w:w w:val="120"/>
        </w:rPr>
        <w:t> </w:t>
      </w:r>
      <w:r>
        <w:rPr>
          <w:color w:val="231F20"/>
          <w:w w:val="120"/>
        </w:rPr>
        <w:t>nécessaire</w:t>
      </w:r>
      <w:r>
        <w:rPr>
          <w:color w:val="231F20"/>
          <w:spacing w:val="-5"/>
          <w:w w:val="120"/>
        </w:rPr>
        <w:t> </w:t>
      </w:r>
      <w:r>
        <w:rPr>
          <w:color w:val="231F20"/>
          <w:w w:val="120"/>
        </w:rPr>
        <w:t>s’accroît</w:t>
      </w:r>
      <w:r>
        <w:rPr>
          <w:color w:val="231F20"/>
          <w:spacing w:val="-5"/>
          <w:w w:val="120"/>
        </w:rPr>
        <w:t> </w:t>
      </w:r>
      <w:r>
        <w:rPr>
          <w:color w:val="231F20"/>
          <w:w w:val="120"/>
        </w:rPr>
        <w:t>lorsque</w:t>
      </w:r>
      <w:r>
        <w:rPr>
          <w:color w:val="231F20"/>
          <w:spacing w:val="-5"/>
          <w:w w:val="120"/>
        </w:rPr>
        <w:t> </w:t>
      </w:r>
      <w:r>
        <w:rPr>
          <w:color w:val="231F20"/>
          <w:w w:val="120"/>
        </w:rPr>
        <w:t>les</w:t>
      </w:r>
      <w:r>
        <w:rPr>
          <w:color w:val="231F20"/>
          <w:spacing w:val="-5"/>
          <w:w w:val="120"/>
        </w:rPr>
        <w:t> </w:t>
      </w:r>
      <w:r>
        <w:rPr>
          <w:color w:val="231F20"/>
          <w:w w:val="120"/>
        </w:rPr>
        <w:t>caractéris- tiques</w:t>
      </w:r>
      <w:r>
        <w:rPr>
          <w:color w:val="231F20"/>
          <w:spacing w:val="-10"/>
          <w:w w:val="120"/>
        </w:rPr>
        <w:t> </w:t>
      </w:r>
      <w:r>
        <w:rPr>
          <w:color w:val="231F20"/>
          <w:w w:val="120"/>
        </w:rPr>
        <w:t>ou</w:t>
      </w:r>
      <w:r>
        <w:rPr>
          <w:color w:val="231F20"/>
          <w:spacing w:val="-10"/>
          <w:w w:val="120"/>
        </w:rPr>
        <w:t> </w:t>
      </w:r>
      <w:r>
        <w:rPr>
          <w:color w:val="231F20"/>
          <w:w w:val="120"/>
        </w:rPr>
        <w:t>les</w:t>
      </w:r>
      <w:r>
        <w:rPr>
          <w:color w:val="231F20"/>
          <w:spacing w:val="-10"/>
          <w:w w:val="120"/>
        </w:rPr>
        <w:t> </w:t>
      </w:r>
      <w:r>
        <w:rPr>
          <w:color w:val="231F20"/>
          <w:w w:val="120"/>
        </w:rPr>
        <w:t>conditions</w:t>
      </w:r>
      <w:r>
        <w:rPr>
          <w:color w:val="231F20"/>
          <w:spacing w:val="-10"/>
          <w:w w:val="120"/>
        </w:rPr>
        <w:t> </w:t>
      </w:r>
      <w:r>
        <w:rPr>
          <w:color w:val="231F20"/>
          <w:w w:val="120"/>
        </w:rPr>
        <w:t>d’emploi</w:t>
      </w:r>
      <w:r>
        <w:rPr>
          <w:color w:val="231F20"/>
          <w:spacing w:val="-10"/>
          <w:w w:val="120"/>
        </w:rPr>
        <w:t> </w:t>
      </w:r>
      <w:r>
        <w:rPr>
          <w:color w:val="231F20"/>
          <w:w w:val="120"/>
        </w:rPr>
        <w:t>mettent</w:t>
      </w:r>
      <w:r>
        <w:rPr>
          <w:color w:val="231F20"/>
          <w:spacing w:val="-10"/>
          <w:w w:val="120"/>
        </w:rPr>
        <w:t> </w:t>
      </w:r>
      <w:r>
        <w:rPr>
          <w:color w:val="231F20"/>
          <w:w w:val="120"/>
        </w:rPr>
        <w:t>les</w:t>
      </w:r>
      <w:r>
        <w:rPr>
          <w:color w:val="231F20"/>
          <w:spacing w:val="-10"/>
          <w:w w:val="120"/>
        </w:rPr>
        <w:t> </w:t>
      </w:r>
      <w:r>
        <w:rPr>
          <w:color w:val="231F20"/>
          <w:w w:val="120"/>
        </w:rPr>
        <w:t>ressources</w:t>
      </w:r>
      <w:r>
        <w:rPr>
          <w:color w:val="231F20"/>
          <w:spacing w:val="-10"/>
          <w:w w:val="120"/>
        </w:rPr>
        <w:t> </w:t>
      </w:r>
      <w:r>
        <w:rPr>
          <w:color w:val="231F20"/>
          <w:w w:val="120"/>
        </w:rPr>
        <w:t>de</w:t>
      </w:r>
      <w:r>
        <w:rPr>
          <w:color w:val="231F20"/>
          <w:spacing w:val="-10"/>
          <w:w w:val="120"/>
        </w:rPr>
        <w:t> </w:t>
      </w:r>
      <w:r>
        <w:rPr>
          <w:color w:val="231F20"/>
          <w:w w:val="120"/>
        </w:rPr>
        <w:t>l’employé</w:t>
      </w:r>
      <w:r>
        <w:rPr>
          <w:color w:val="231F20"/>
          <w:spacing w:val="-10"/>
          <w:w w:val="120"/>
        </w:rPr>
        <w:t> </w:t>
      </w:r>
      <w:r>
        <w:rPr>
          <w:color w:val="231F20"/>
          <w:w w:val="120"/>
        </w:rPr>
        <w:t>à </w:t>
      </w:r>
      <w:r>
        <w:rPr>
          <w:color w:val="231F20"/>
          <w:w w:val="115"/>
        </w:rPr>
        <w:t>l’épreuve;</w:t>
      </w:r>
      <w:r>
        <w:rPr>
          <w:color w:val="231F20"/>
          <w:spacing w:val="-10"/>
          <w:w w:val="115"/>
        </w:rPr>
        <w:t> </w:t>
      </w:r>
      <w:r>
        <w:rPr>
          <w:color w:val="231F20"/>
          <w:w w:val="115"/>
        </w:rPr>
        <w:t>il</w:t>
      </w:r>
      <w:r>
        <w:rPr>
          <w:color w:val="231F20"/>
          <w:spacing w:val="-10"/>
          <w:w w:val="115"/>
        </w:rPr>
        <w:t> </w:t>
      </w:r>
      <w:r>
        <w:rPr>
          <w:color w:val="231F20"/>
          <w:w w:val="115"/>
        </w:rPr>
        <w:t>diminue</w:t>
      </w:r>
      <w:r>
        <w:rPr>
          <w:color w:val="231F20"/>
          <w:spacing w:val="-10"/>
          <w:w w:val="115"/>
        </w:rPr>
        <w:t> </w:t>
      </w:r>
      <w:r>
        <w:rPr>
          <w:color w:val="231F20"/>
          <w:w w:val="115"/>
        </w:rPr>
        <w:t>lorsque</w:t>
      </w:r>
      <w:r>
        <w:rPr>
          <w:color w:val="231F20"/>
          <w:spacing w:val="-10"/>
          <w:w w:val="115"/>
        </w:rPr>
        <w:t> </w:t>
      </w:r>
      <w:r>
        <w:rPr>
          <w:color w:val="231F20"/>
          <w:w w:val="115"/>
        </w:rPr>
        <w:t>les</w:t>
      </w:r>
      <w:r>
        <w:rPr>
          <w:color w:val="231F20"/>
          <w:spacing w:val="-10"/>
          <w:w w:val="115"/>
        </w:rPr>
        <w:t> </w:t>
      </w:r>
      <w:r>
        <w:rPr>
          <w:color w:val="231F20"/>
          <w:w w:val="115"/>
        </w:rPr>
        <w:t>exigences</w:t>
      </w:r>
      <w:r>
        <w:rPr>
          <w:color w:val="231F20"/>
          <w:spacing w:val="-10"/>
          <w:w w:val="115"/>
        </w:rPr>
        <w:t> </w:t>
      </w:r>
      <w:r>
        <w:rPr>
          <w:color w:val="231F20"/>
          <w:w w:val="115"/>
        </w:rPr>
        <w:t>sont</w:t>
      </w:r>
      <w:r>
        <w:rPr>
          <w:color w:val="231F20"/>
          <w:spacing w:val="-10"/>
          <w:w w:val="115"/>
        </w:rPr>
        <w:t> </w:t>
      </w:r>
      <w:r>
        <w:rPr>
          <w:color w:val="231F20"/>
          <w:w w:val="115"/>
        </w:rPr>
        <w:t>inférieures</w:t>
      </w:r>
      <w:r>
        <w:rPr>
          <w:color w:val="231F20"/>
          <w:spacing w:val="-10"/>
          <w:w w:val="115"/>
        </w:rPr>
        <w:t> </w:t>
      </w:r>
      <w:r>
        <w:rPr>
          <w:color w:val="231F20"/>
          <w:w w:val="115"/>
        </w:rPr>
        <w:t>aux</w:t>
      </w:r>
      <w:r>
        <w:rPr>
          <w:color w:val="231F20"/>
          <w:spacing w:val="-10"/>
          <w:w w:val="115"/>
        </w:rPr>
        <w:t> </w:t>
      </w:r>
      <w:r>
        <w:rPr>
          <w:color w:val="231F20"/>
          <w:w w:val="115"/>
        </w:rPr>
        <w:t>ressources </w:t>
      </w:r>
      <w:r>
        <w:rPr>
          <w:color w:val="231F20"/>
          <w:w w:val="120"/>
        </w:rPr>
        <w:t>de la personne. Étant donné que les effets des facteurs de stress sont additifs,</w:t>
      </w:r>
      <w:r>
        <w:rPr>
          <w:color w:val="231F20"/>
          <w:spacing w:val="-6"/>
          <w:w w:val="120"/>
        </w:rPr>
        <w:t> </w:t>
      </w:r>
      <w:r>
        <w:rPr>
          <w:color w:val="231F20"/>
          <w:w w:val="120"/>
        </w:rPr>
        <w:t>plus</w:t>
      </w:r>
      <w:r>
        <w:rPr>
          <w:color w:val="231F20"/>
          <w:spacing w:val="-6"/>
          <w:w w:val="120"/>
        </w:rPr>
        <w:t> </w:t>
      </w:r>
      <w:r>
        <w:rPr>
          <w:color w:val="231F20"/>
          <w:w w:val="120"/>
        </w:rPr>
        <w:t>les</w:t>
      </w:r>
      <w:r>
        <w:rPr>
          <w:color w:val="231F20"/>
          <w:spacing w:val="-6"/>
          <w:w w:val="120"/>
        </w:rPr>
        <w:t> </w:t>
      </w:r>
      <w:r>
        <w:rPr>
          <w:color w:val="231F20"/>
          <w:w w:val="120"/>
        </w:rPr>
        <w:t>aspects</w:t>
      </w:r>
      <w:r>
        <w:rPr>
          <w:color w:val="231F20"/>
          <w:spacing w:val="-6"/>
          <w:w w:val="120"/>
        </w:rPr>
        <w:t> </w:t>
      </w:r>
      <w:r>
        <w:rPr>
          <w:color w:val="231F20"/>
          <w:w w:val="120"/>
        </w:rPr>
        <w:t>nécessitant</w:t>
      </w:r>
      <w:r>
        <w:rPr>
          <w:color w:val="231F20"/>
          <w:spacing w:val="-6"/>
          <w:w w:val="120"/>
        </w:rPr>
        <w:t> </w:t>
      </w:r>
      <w:r>
        <w:rPr>
          <w:color w:val="231F20"/>
          <w:w w:val="120"/>
        </w:rPr>
        <w:t>un</w:t>
      </w:r>
      <w:r>
        <w:rPr>
          <w:color w:val="231F20"/>
          <w:spacing w:val="-6"/>
          <w:w w:val="120"/>
        </w:rPr>
        <w:t> </w:t>
      </w:r>
      <w:r>
        <w:rPr>
          <w:color w:val="231F20"/>
          <w:w w:val="120"/>
        </w:rPr>
        <w:t>effort</w:t>
      </w:r>
      <w:r>
        <w:rPr>
          <w:color w:val="231F20"/>
          <w:spacing w:val="-6"/>
          <w:w w:val="120"/>
        </w:rPr>
        <w:t> </w:t>
      </w:r>
      <w:r>
        <w:rPr>
          <w:color w:val="231F20"/>
          <w:w w:val="120"/>
        </w:rPr>
        <w:t>d’adaptation</w:t>
      </w:r>
      <w:r>
        <w:rPr>
          <w:color w:val="231F20"/>
          <w:spacing w:val="-6"/>
          <w:w w:val="120"/>
        </w:rPr>
        <w:t> </w:t>
      </w:r>
      <w:r>
        <w:rPr>
          <w:color w:val="231F20"/>
          <w:w w:val="120"/>
        </w:rPr>
        <w:t>intense</w:t>
      </w:r>
      <w:r>
        <w:rPr>
          <w:color w:val="231F20"/>
          <w:spacing w:val="-6"/>
          <w:w w:val="120"/>
        </w:rPr>
        <w:t> </w:t>
      </w:r>
      <w:r>
        <w:rPr>
          <w:color w:val="231F20"/>
          <w:w w:val="120"/>
        </w:rPr>
        <w:t>sont nombreux,</w:t>
      </w:r>
      <w:r>
        <w:rPr>
          <w:color w:val="231F20"/>
          <w:spacing w:val="-9"/>
          <w:w w:val="120"/>
        </w:rPr>
        <w:t> </w:t>
      </w:r>
      <w:r>
        <w:rPr>
          <w:color w:val="231F20"/>
          <w:w w:val="120"/>
        </w:rPr>
        <w:t>plus</w:t>
      </w:r>
      <w:r>
        <w:rPr>
          <w:color w:val="231F20"/>
          <w:spacing w:val="-9"/>
          <w:w w:val="120"/>
        </w:rPr>
        <w:t> </w:t>
      </w:r>
      <w:r>
        <w:rPr>
          <w:color w:val="231F20"/>
          <w:w w:val="120"/>
        </w:rPr>
        <w:t>le</w:t>
      </w:r>
      <w:r>
        <w:rPr>
          <w:color w:val="231F20"/>
          <w:spacing w:val="-9"/>
          <w:w w:val="120"/>
        </w:rPr>
        <w:t> </w:t>
      </w:r>
      <w:r>
        <w:rPr>
          <w:color w:val="231F20"/>
          <w:w w:val="120"/>
        </w:rPr>
        <w:t>risque</w:t>
      </w:r>
      <w:r>
        <w:rPr>
          <w:color w:val="231F20"/>
          <w:spacing w:val="-9"/>
          <w:w w:val="120"/>
        </w:rPr>
        <w:t> </w:t>
      </w:r>
      <w:r>
        <w:rPr>
          <w:color w:val="231F20"/>
          <w:w w:val="120"/>
        </w:rPr>
        <w:t>est</w:t>
      </w:r>
      <w:r>
        <w:rPr>
          <w:color w:val="231F20"/>
          <w:spacing w:val="-9"/>
          <w:w w:val="120"/>
        </w:rPr>
        <w:t> </w:t>
      </w:r>
      <w:r>
        <w:rPr>
          <w:color w:val="231F20"/>
          <w:w w:val="120"/>
        </w:rPr>
        <w:t>grand</w:t>
      </w:r>
      <w:r>
        <w:rPr>
          <w:color w:val="231F20"/>
          <w:spacing w:val="-9"/>
          <w:w w:val="120"/>
        </w:rPr>
        <w:t> </w:t>
      </w:r>
      <w:r>
        <w:rPr>
          <w:color w:val="231F20"/>
          <w:w w:val="120"/>
        </w:rPr>
        <w:t>d’hypothéquer</w:t>
      </w:r>
      <w:r>
        <w:rPr>
          <w:color w:val="231F20"/>
          <w:spacing w:val="-9"/>
          <w:w w:val="120"/>
        </w:rPr>
        <w:t> </w:t>
      </w:r>
      <w:r>
        <w:rPr>
          <w:color w:val="231F20"/>
          <w:w w:val="120"/>
        </w:rPr>
        <w:t>la</w:t>
      </w:r>
      <w:r>
        <w:rPr>
          <w:color w:val="231F20"/>
          <w:spacing w:val="-9"/>
          <w:w w:val="120"/>
        </w:rPr>
        <w:t> </w:t>
      </w:r>
      <w:r>
        <w:rPr>
          <w:color w:val="231F20"/>
          <w:w w:val="120"/>
        </w:rPr>
        <w:t>capacité</w:t>
      </w:r>
      <w:r>
        <w:rPr>
          <w:color w:val="231F20"/>
          <w:spacing w:val="-9"/>
          <w:w w:val="120"/>
        </w:rPr>
        <w:t> </w:t>
      </w:r>
      <w:r>
        <w:rPr>
          <w:color w:val="231F20"/>
          <w:w w:val="120"/>
        </w:rPr>
        <w:t>d’adapta- tion du travailleur. Ainsi, plus le nombre de stresseurs professionnels augmente, plus le sentiment de menace et le niveau de stress produit grandissent eux aussi.</w:t>
      </w:r>
    </w:p>
    <w:p>
      <w:pPr>
        <w:pStyle w:val="BodyText"/>
        <w:spacing w:before="5"/>
        <w:rPr>
          <w:sz w:val="11"/>
        </w:rPr>
      </w:pPr>
      <w:r>
        <w:rPr/>
        <w:pict>
          <v:group style="position:absolute;margin-left:82pt;margin-top:7.774463pt;width:287.5pt;height:247.75pt;mso-position-horizontal-relative:page;mso-position-vertical-relative:paragraph;z-index:-15622144;mso-wrap-distance-left:0;mso-wrap-distance-right:0" id="docshapegroup1094" coordorigin="1640,155" coordsize="5750,4955">
            <v:rect style="position:absolute;left:1640;top:155;width:5750;height:705" id="docshape1095" filled="true" fillcolor="#e2e3e4" stroked="false">
              <v:fill type="solid"/>
            </v:rect>
            <v:line style="position:absolute" from="1890,703" to="7140,703" stroked="true" strokeweight=".25pt" strokecolor="#231f20">
              <v:stroke dashstyle="shortdot"/>
            </v:line>
            <v:shape style="position:absolute;left:1640;top:780;width:5750;height:4330" id="docshape1096" coordorigin="1640,780" coordsize="5750,4330" path="m7390,780l1640,780,1640,1690,1640,2030,1640,3980,1640,4360,1640,5110,7390,5110,7390,4360,7390,3980,7390,2030,7390,1690,7390,780xe" filled="true" fillcolor="#e2e3e4" stroked="false">
              <v:path arrowok="t"/>
              <v:fill type="solid"/>
            </v:shape>
            <v:shape style="position:absolute;left:1640;top:155;width:5750;height:4955" type="#_x0000_t202" id="docshape1097" filled="false" stroked="false">
              <v:textbox inset="0,0,0,0">
                <w:txbxContent>
                  <w:p>
                    <w:pPr>
                      <w:spacing w:line="240" w:lineRule="auto" w:before="9"/>
                      <w:rPr>
                        <w:sz w:val="18"/>
                      </w:rPr>
                    </w:pPr>
                  </w:p>
                  <w:p>
                    <w:pPr>
                      <w:spacing w:before="0"/>
                      <w:ind w:left="250" w:right="0" w:firstLine="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w:t>
                    </w:r>
                    <w:r>
                      <w:rPr>
                        <w:rFonts w:ascii="Arial" w:hAnsi="Arial"/>
                        <w:color w:val="231F20"/>
                        <w:spacing w:val="-2"/>
                        <w:w w:val="120"/>
                        <w:sz w:val="17"/>
                      </w:rPr>
                      <w:t>intéressant</w:t>
                    </w:r>
                  </w:p>
                  <w:p>
                    <w:pPr>
                      <w:spacing w:line="240" w:lineRule="auto" w:before="5"/>
                      <w:rPr>
                        <w:rFonts w:ascii="Arial"/>
                        <w:sz w:val="26"/>
                      </w:rPr>
                    </w:pPr>
                  </w:p>
                  <w:p>
                    <w:pPr>
                      <w:spacing w:line="307" w:lineRule="auto" w:before="0"/>
                      <w:ind w:left="250" w:right="245" w:firstLine="0"/>
                      <w:jc w:val="both"/>
                      <w:rPr>
                        <w:rFonts w:ascii="Arial" w:hAnsi="Arial"/>
                        <w:sz w:val="17"/>
                      </w:rPr>
                    </w:pPr>
                    <w:r>
                      <w:rPr>
                        <w:rFonts w:ascii="Arial" w:hAnsi="Arial"/>
                        <w:color w:val="231F20"/>
                        <w:sz w:val="17"/>
                      </w:rPr>
                      <w:t>La littérature scientifique fait état de diverses stratégies génériques afin d’intervenir en matière de stress en contexte de travail. Chacune de</w:t>
                    </w:r>
                    <w:r>
                      <w:rPr>
                        <w:rFonts w:ascii="Arial" w:hAnsi="Arial"/>
                        <w:color w:val="231F20"/>
                        <w:spacing w:val="-3"/>
                        <w:sz w:val="17"/>
                      </w:rPr>
                      <w:t> </w:t>
                    </w:r>
                    <w:r>
                      <w:rPr>
                        <w:rFonts w:ascii="Arial" w:hAnsi="Arial"/>
                        <w:color w:val="231F20"/>
                        <w:sz w:val="17"/>
                      </w:rPr>
                      <w:t>ces</w:t>
                    </w:r>
                    <w:r>
                      <w:rPr>
                        <w:rFonts w:ascii="Arial" w:hAnsi="Arial"/>
                        <w:color w:val="231F20"/>
                        <w:spacing w:val="-3"/>
                        <w:sz w:val="17"/>
                      </w:rPr>
                      <w:t> </w:t>
                    </w:r>
                    <w:r>
                      <w:rPr>
                        <w:rFonts w:ascii="Arial" w:hAnsi="Arial"/>
                        <w:color w:val="231F20"/>
                        <w:sz w:val="17"/>
                      </w:rPr>
                      <w:t>stratégies</w:t>
                    </w:r>
                    <w:r>
                      <w:rPr>
                        <w:rFonts w:ascii="Arial" w:hAnsi="Arial"/>
                        <w:color w:val="231F20"/>
                        <w:spacing w:val="-3"/>
                        <w:sz w:val="17"/>
                      </w:rPr>
                      <w:t> </w:t>
                    </w:r>
                    <w:r>
                      <w:rPr>
                        <w:rFonts w:ascii="Arial" w:hAnsi="Arial"/>
                        <w:color w:val="231F20"/>
                        <w:sz w:val="17"/>
                      </w:rPr>
                      <w:t>cible</w:t>
                    </w:r>
                    <w:r>
                      <w:rPr>
                        <w:rFonts w:ascii="Arial" w:hAnsi="Arial"/>
                        <w:color w:val="231F20"/>
                        <w:spacing w:val="-3"/>
                        <w:sz w:val="17"/>
                      </w:rPr>
                      <w:t> </w:t>
                    </w:r>
                    <w:r>
                      <w:rPr>
                        <w:rFonts w:ascii="Arial" w:hAnsi="Arial"/>
                        <w:color w:val="231F20"/>
                        <w:sz w:val="17"/>
                      </w:rPr>
                      <w:t>une</w:t>
                    </w:r>
                    <w:r>
                      <w:rPr>
                        <w:rFonts w:ascii="Arial" w:hAnsi="Arial"/>
                        <w:color w:val="231F20"/>
                        <w:spacing w:val="-3"/>
                        <w:sz w:val="17"/>
                      </w:rPr>
                      <w:t> </w:t>
                    </w:r>
                    <w:r>
                      <w:rPr>
                        <w:rFonts w:ascii="Arial" w:hAnsi="Arial"/>
                        <w:color w:val="231F20"/>
                        <w:sz w:val="17"/>
                      </w:rPr>
                      <w:t>dimension</w:t>
                    </w:r>
                    <w:r>
                      <w:rPr>
                        <w:rFonts w:ascii="Arial" w:hAnsi="Arial"/>
                        <w:color w:val="231F20"/>
                        <w:spacing w:val="-3"/>
                        <w:sz w:val="17"/>
                      </w:rPr>
                      <w:t> </w:t>
                    </w:r>
                    <w:r>
                      <w:rPr>
                        <w:rFonts w:ascii="Arial" w:hAnsi="Arial"/>
                        <w:color w:val="231F20"/>
                        <w:sz w:val="17"/>
                      </w:rPr>
                      <w:t>particulière</w:t>
                    </w:r>
                    <w:r>
                      <w:rPr>
                        <w:rFonts w:ascii="Arial" w:hAnsi="Arial"/>
                        <w:color w:val="231F20"/>
                        <w:spacing w:val="-3"/>
                        <w:sz w:val="17"/>
                      </w:rPr>
                      <w:t> </w:t>
                    </w:r>
                    <w:r>
                      <w:rPr>
                        <w:rFonts w:ascii="Arial" w:hAnsi="Arial"/>
                        <w:color w:val="231F20"/>
                        <w:sz w:val="17"/>
                      </w:rPr>
                      <w:t>de</w:t>
                    </w:r>
                    <w:r>
                      <w:rPr>
                        <w:rFonts w:ascii="Arial" w:hAnsi="Arial"/>
                        <w:color w:val="231F20"/>
                        <w:spacing w:val="-3"/>
                        <w:sz w:val="17"/>
                      </w:rPr>
                      <w:t> </w:t>
                    </w:r>
                    <w:r>
                      <w:rPr>
                        <w:rFonts w:ascii="Arial" w:hAnsi="Arial"/>
                        <w:color w:val="231F20"/>
                        <w:sz w:val="17"/>
                      </w:rPr>
                      <w:t>la</w:t>
                    </w:r>
                    <w:r>
                      <w:rPr>
                        <w:rFonts w:ascii="Arial" w:hAnsi="Arial"/>
                        <w:color w:val="231F20"/>
                        <w:spacing w:val="-3"/>
                        <w:sz w:val="17"/>
                      </w:rPr>
                      <w:t> </w:t>
                    </w:r>
                    <w:r>
                      <w:rPr>
                        <w:rFonts w:ascii="Arial" w:hAnsi="Arial"/>
                        <w:color w:val="231F20"/>
                        <w:sz w:val="17"/>
                      </w:rPr>
                      <w:t>dynamique</w:t>
                    </w:r>
                    <w:r>
                      <w:rPr>
                        <w:rFonts w:ascii="Arial" w:hAnsi="Arial"/>
                        <w:color w:val="231F20"/>
                        <w:spacing w:val="-3"/>
                        <w:sz w:val="17"/>
                      </w:rPr>
                      <w:t> </w:t>
                    </w:r>
                    <w:r>
                      <w:rPr>
                        <w:rFonts w:ascii="Arial" w:hAnsi="Arial"/>
                        <w:color w:val="231F20"/>
                        <w:sz w:val="17"/>
                      </w:rPr>
                      <w:t>du stress professionnel. Ce sont notamment:</w:t>
                    </w:r>
                  </w:p>
                  <w:p>
                    <w:pPr>
                      <w:numPr>
                        <w:ilvl w:val="0"/>
                        <w:numId w:val="91"/>
                      </w:numPr>
                      <w:tabs>
                        <w:tab w:pos="751" w:val="left" w:leader="none"/>
                      </w:tabs>
                      <w:spacing w:line="307" w:lineRule="auto" w:before="80"/>
                      <w:ind w:left="750" w:right="242" w:hanging="251"/>
                      <w:jc w:val="both"/>
                      <w:rPr>
                        <w:rFonts w:ascii="Arial" w:hAnsi="Arial"/>
                        <w:sz w:val="17"/>
                      </w:rPr>
                    </w:pPr>
                    <w:r>
                      <w:rPr>
                        <w:rFonts w:ascii="Arial" w:hAnsi="Arial"/>
                        <w:b/>
                        <w:color w:val="231F20"/>
                        <w:sz w:val="17"/>
                      </w:rPr>
                      <w:t>Les interventions primaires. </w:t>
                    </w:r>
                    <w:r>
                      <w:rPr>
                        <w:rFonts w:ascii="Arial" w:hAnsi="Arial"/>
                        <w:color w:val="231F20"/>
                        <w:sz w:val="17"/>
                      </w:rPr>
                      <w:t>Les interventions primaires en milieu organisationnel cherchent à limiter directement la pré- sence des stresseurs dans l’environnement de travail. Il s’agit d’une</w:t>
                    </w:r>
                    <w:r>
                      <w:rPr>
                        <w:rFonts w:ascii="Arial" w:hAnsi="Arial"/>
                        <w:color w:val="231F20"/>
                        <w:spacing w:val="-8"/>
                        <w:sz w:val="17"/>
                      </w:rPr>
                      <w:t> </w:t>
                    </w:r>
                    <w:r>
                      <w:rPr>
                        <w:rFonts w:ascii="Arial" w:hAnsi="Arial"/>
                        <w:i/>
                        <w:color w:val="231F20"/>
                        <w:sz w:val="17"/>
                      </w:rPr>
                      <w:t>stratégie</w:t>
                    </w:r>
                    <w:r>
                      <w:rPr>
                        <w:rFonts w:ascii="Arial" w:hAnsi="Arial"/>
                        <w:i/>
                        <w:color w:val="231F20"/>
                        <w:spacing w:val="-8"/>
                        <w:sz w:val="17"/>
                      </w:rPr>
                      <w:t> </w:t>
                    </w:r>
                    <w:r>
                      <w:rPr>
                        <w:rFonts w:ascii="Arial" w:hAnsi="Arial"/>
                        <w:i/>
                        <w:color w:val="231F20"/>
                        <w:sz w:val="17"/>
                      </w:rPr>
                      <w:t>préventive</w:t>
                    </w:r>
                    <w:r>
                      <w:rPr>
                        <w:rFonts w:ascii="Arial" w:hAnsi="Arial"/>
                        <w:i/>
                        <w:color w:val="231F20"/>
                        <w:spacing w:val="-8"/>
                        <w:sz w:val="17"/>
                      </w:rPr>
                      <w:t> </w:t>
                    </w:r>
                    <w:r>
                      <w:rPr>
                        <w:rFonts w:ascii="Arial" w:hAnsi="Arial"/>
                        <w:color w:val="231F20"/>
                        <w:sz w:val="17"/>
                      </w:rPr>
                      <w:t>puisqu’on</w:t>
                    </w:r>
                    <w:r>
                      <w:rPr>
                        <w:rFonts w:ascii="Arial" w:hAnsi="Arial"/>
                        <w:color w:val="231F20"/>
                        <w:spacing w:val="-8"/>
                        <w:sz w:val="17"/>
                      </w:rPr>
                      <w:t> </w:t>
                    </w:r>
                    <w:r>
                      <w:rPr>
                        <w:rFonts w:ascii="Arial" w:hAnsi="Arial"/>
                        <w:color w:val="231F20"/>
                        <w:sz w:val="17"/>
                      </w:rPr>
                      <w:t>élimine</w:t>
                    </w:r>
                    <w:r>
                      <w:rPr>
                        <w:rFonts w:ascii="Arial" w:hAnsi="Arial"/>
                        <w:color w:val="231F20"/>
                        <w:spacing w:val="-8"/>
                        <w:sz w:val="17"/>
                      </w:rPr>
                      <w:t> </w:t>
                    </w:r>
                    <w:r>
                      <w:rPr>
                        <w:rFonts w:ascii="Arial" w:hAnsi="Arial"/>
                        <w:color w:val="231F20"/>
                        <w:sz w:val="17"/>
                      </w:rPr>
                      <w:t>à</w:t>
                    </w:r>
                    <w:r>
                      <w:rPr>
                        <w:rFonts w:ascii="Arial" w:hAnsi="Arial"/>
                        <w:color w:val="231F20"/>
                        <w:spacing w:val="-8"/>
                        <w:sz w:val="17"/>
                      </w:rPr>
                      <w:t> </w:t>
                    </w:r>
                    <w:r>
                      <w:rPr>
                        <w:rFonts w:ascii="Arial" w:hAnsi="Arial"/>
                        <w:color w:val="231F20"/>
                        <w:sz w:val="17"/>
                      </w:rPr>
                      <w:t>la</w:t>
                    </w:r>
                    <w:r>
                      <w:rPr>
                        <w:rFonts w:ascii="Arial" w:hAnsi="Arial"/>
                        <w:color w:val="231F20"/>
                        <w:spacing w:val="-8"/>
                        <w:sz w:val="17"/>
                      </w:rPr>
                      <w:t> </w:t>
                    </w:r>
                    <w:r>
                      <w:rPr>
                        <w:rFonts w:ascii="Arial" w:hAnsi="Arial"/>
                        <w:color w:val="231F20"/>
                        <w:sz w:val="17"/>
                      </w:rPr>
                      <w:t>source</w:t>
                    </w:r>
                    <w:r>
                      <w:rPr>
                        <w:rFonts w:ascii="Arial" w:hAnsi="Arial"/>
                        <w:color w:val="231F20"/>
                        <w:spacing w:val="-8"/>
                        <w:sz w:val="17"/>
                      </w:rPr>
                      <w:t> </w:t>
                    </w:r>
                    <w:r>
                      <w:rPr>
                        <w:rFonts w:ascii="Arial" w:hAnsi="Arial"/>
                        <w:color w:val="231F20"/>
                        <w:sz w:val="17"/>
                      </w:rPr>
                      <w:t>les</w:t>
                    </w:r>
                    <w:r>
                      <w:rPr>
                        <w:rFonts w:ascii="Arial" w:hAnsi="Arial"/>
                        <w:color w:val="231F20"/>
                        <w:spacing w:val="-8"/>
                        <w:sz w:val="17"/>
                      </w:rPr>
                      <w:t> </w:t>
                    </w:r>
                    <w:r>
                      <w:rPr>
                        <w:rFonts w:ascii="Arial" w:hAnsi="Arial"/>
                        <w:color w:val="231F20"/>
                        <w:sz w:val="17"/>
                      </w:rPr>
                      <w:t>élé- ments déclenchant le processus de stress. Il s’agit habituelle- ment de la stratégie la plus efficace. À titre d’exemples, la modification de la conception du travail, la réingénierie organi- sationnelle ou la recherche d’équilibre travail-famille sont des interventions de nature primaire.</w:t>
                    </w:r>
                  </w:p>
                  <w:p>
                    <w:pPr>
                      <w:numPr>
                        <w:ilvl w:val="0"/>
                        <w:numId w:val="91"/>
                      </w:numPr>
                      <w:tabs>
                        <w:tab w:pos="751" w:val="left" w:leader="none"/>
                      </w:tabs>
                      <w:spacing w:line="307" w:lineRule="auto" w:before="0"/>
                      <w:ind w:left="750" w:right="244" w:hanging="251"/>
                      <w:jc w:val="both"/>
                      <w:rPr>
                        <w:rFonts w:ascii="Arial" w:hAnsi="Arial"/>
                        <w:sz w:val="17"/>
                      </w:rPr>
                    </w:pPr>
                    <w:r>
                      <w:rPr>
                        <w:rFonts w:ascii="Arial" w:hAnsi="Arial"/>
                        <w:b/>
                        <w:color w:val="231F20"/>
                        <w:w w:val="95"/>
                        <w:sz w:val="17"/>
                      </w:rPr>
                      <w:t>Les interventions secondaires. </w:t>
                    </w:r>
                    <w:r>
                      <w:rPr>
                        <w:rFonts w:ascii="Arial" w:hAnsi="Arial"/>
                        <w:color w:val="231F20"/>
                        <w:w w:val="95"/>
                        <w:sz w:val="17"/>
                      </w:rPr>
                      <w:t>Les interventions secondaires </w:t>
                    </w:r>
                    <w:r>
                      <w:rPr>
                        <w:rFonts w:ascii="Arial" w:hAnsi="Arial"/>
                        <w:color w:val="231F20"/>
                        <w:sz w:val="17"/>
                      </w:rPr>
                      <w:t>concentrent leurs effets sur la perception et l’adaptation au stress professionnel. Il ne s’agit pas d’éliminer les stresseurs,</w:t>
                    </w:r>
                  </w:p>
                </w:txbxContent>
              </v:textbox>
              <w10:wrap type="none"/>
            </v:shape>
            <w10:wrap type="topAndBottom"/>
          </v:group>
        </w:pict>
      </w:r>
    </w:p>
    <w:p>
      <w:pPr>
        <w:spacing w:after="0"/>
        <w:rPr>
          <w:sz w:val="11"/>
        </w:rPr>
        <w:sectPr>
          <w:footerReference w:type="default" r:id="rId31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10"/>
        <w:rPr>
          <w:rFonts w:ascii="Arial"/>
          <w:sz w:val="28"/>
        </w:rPr>
      </w:pPr>
      <w:r>
        <w:rPr/>
        <w:pict>
          <v:shape style="position:absolute;margin-left:62.5pt;margin-top:17.801661pt;width:287.5pt;height:219pt;mso-position-horizontal-relative:page;mso-position-vertical-relative:paragraph;z-index:-15621632;mso-wrap-distance-left:0;mso-wrap-distance-right:0" type="#_x0000_t202" id="docshape1099" filled="true" fillcolor="#e2e3e4" stroked="false">
            <v:textbox inset="0,0,0,0">
              <w:txbxContent>
                <w:p>
                  <w:pPr>
                    <w:pStyle w:val="BodyText"/>
                    <w:spacing w:before="2"/>
                    <w:rPr>
                      <w:rFonts w:ascii="Arial"/>
                      <w:color w:val="000000"/>
                      <w:sz w:val="19"/>
                    </w:rPr>
                  </w:pPr>
                </w:p>
                <w:p>
                  <w:pPr>
                    <w:pStyle w:val="BodyText"/>
                    <w:spacing w:line="307" w:lineRule="auto"/>
                    <w:ind w:left="750" w:right="248"/>
                    <w:jc w:val="both"/>
                    <w:rPr>
                      <w:rFonts w:ascii="Arial" w:hAnsi="Arial"/>
                      <w:color w:val="000000"/>
                    </w:rPr>
                  </w:pPr>
                  <w:r>
                    <w:rPr>
                      <w:rFonts w:ascii="Arial" w:hAnsi="Arial"/>
                      <w:color w:val="231F20"/>
                    </w:rPr>
                    <w:t>mais</w:t>
                  </w:r>
                  <w:r>
                    <w:rPr>
                      <w:rFonts w:ascii="Arial" w:hAnsi="Arial"/>
                      <w:color w:val="231F20"/>
                      <w:spacing w:val="-6"/>
                    </w:rPr>
                    <w:t> </w:t>
                  </w:r>
                  <w:r>
                    <w:rPr>
                      <w:rFonts w:ascii="Arial" w:hAnsi="Arial"/>
                      <w:color w:val="231F20"/>
                    </w:rPr>
                    <w:t>d’en</w:t>
                  </w:r>
                  <w:r>
                    <w:rPr>
                      <w:rFonts w:ascii="Arial" w:hAnsi="Arial"/>
                      <w:color w:val="231F20"/>
                      <w:spacing w:val="-6"/>
                    </w:rPr>
                    <w:t> </w:t>
                  </w:r>
                  <w:r>
                    <w:rPr>
                      <w:rFonts w:ascii="Arial" w:hAnsi="Arial"/>
                      <w:color w:val="231F20"/>
                    </w:rPr>
                    <w:t>limiter</w:t>
                  </w:r>
                  <w:r>
                    <w:rPr>
                      <w:rFonts w:ascii="Arial" w:hAnsi="Arial"/>
                      <w:color w:val="231F20"/>
                      <w:spacing w:val="-6"/>
                    </w:rPr>
                    <w:t> </w:t>
                  </w:r>
                  <w:r>
                    <w:rPr>
                      <w:rFonts w:ascii="Arial" w:hAnsi="Arial"/>
                      <w:color w:val="231F20"/>
                    </w:rPr>
                    <w:t>la</w:t>
                  </w:r>
                  <w:r>
                    <w:rPr>
                      <w:rFonts w:ascii="Arial" w:hAnsi="Arial"/>
                      <w:color w:val="231F20"/>
                      <w:spacing w:val="-6"/>
                    </w:rPr>
                    <w:t> </w:t>
                  </w:r>
                  <w:r>
                    <w:rPr>
                      <w:rFonts w:ascii="Arial" w:hAnsi="Arial"/>
                      <w:color w:val="231F20"/>
                    </w:rPr>
                    <w:t>perception</w:t>
                  </w:r>
                  <w:r>
                    <w:rPr>
                      <w:rFonts w:ascii="Arial" w:hAnsi="Arial"/>
                      <w:color w:val="231F20"/>
                      <w:spacing w:val="-6"/>
                    </w:rPr>
                    <w:t> </w:t>
                  </w:r>
                  <w:r>
                    <w:rPr>
                      <w:rFonts w:ascii="Arial" w:hAnsi="Arial"/>
                      <w:color w:val="231F20"/>
                    </w:rPr>
                    <w:t>ou</w:t>
                  </w:r>
                  <w:r>
                    <w:rPr>
                      <w:rFonts w:ascii="Arial" w:hAnsi="Arial"/>
                      <w:color w:val="231F20"/>
                      <w:spacing w:val="-6"/>
                    </w:rPr>
                    <w:t> </w:t>
                  </w:r>
                  <w:r>
                    <w:rPr>
                      <w:rFonts w:ascii="Arial" w:hAnsi="Arial"/>
                      <w:color w:val="231F20"/>
                    </w:rPr>
                    <w:t>d’améliorer</w:t>
                  </w:r>
                  <w:r>
                    <w:rPr>
                      <w:rFonts w:ascii="Arial" w:hAnsi="Arial"/>
                      <w:color w:val="231F20"/>
                      <w:spacing w:val="-6"/>
                    </w:rPr>
                    <w:t> </w:t>
                  </w:r>
                  <w:r>
                    <w:rPr>
                      <w:rFonts w:ascii="Arial" w:hAnsi="Arial"/>
                      <w:color w:val="231F20"/>
                    </w:rPr>
                    <w:t>l’adaptabilité</w:t>
                  </w:r>
                  <w:r>
                    <w:rPr>
                      <w:rFonts w:ascii="Arial" w:hAnsi="Arial"/>
                      <w:color w:val="231F20"/>
                      <w:spacing w:val="-6"/>
                    </w:rPr>
                    <w:t> </w:t>
                  </w:r>
                  <w:r>
                    <w:rPr>
                      <w:rFonts w:ascii="Arial" w:hAnsi="Arial"/>
                      <w:color w:val="231F20"/>
                    </w:rPr>
                    <w:t>pour </w:t>
                  </w:r>
                  <w:r>
                    <w:rPr>
                      <w:rFonts w:ascii="Arial" w:hAnsi="Arial"/>
                      <w:color w:val="231F20"/>
                      <w:spacing w:val="-2"/>
                    </w:rPr>
                    <w:t>amoindrir</w:t>
                  </w:r>
                  <w:r>
                    <w:rPr>
                      <w:rFonts w:ascii="Arial" w:hAnsi="Arial"/>
                      <w:color w:val="231F20"/>
                      <w:spacing w:val="-7"/>
                    </w:rPr>
                    <w:t> </w:t>
                  </w:r>
                  <w:r>
                    <w:rPr>
                      <w:rFonts w:ascii="Arial" w:hAnsi="Arial"/>
                      <w:color w:val="231F20"/>
                      <w:spacing w:val="-2"/>
                    </w:rPr>
                    <w:t>les</w:t>
                  </w:r>
                  <w:r>
                    <w:rPr>
                      <w:rFonts w:ascii="Arial" w:hAnsi="Arial"/>
                      <w:color w:val="231F20"/>
                      <w:spacing w:val="-7"/>
                    </w:rPr>
                    <w:t> </w:t>
                  </w:r>
                  <w:r>
                    <w:rPr>
                      <w:rFonts w:ascii="Arial" w:hAnsi="Arial"/>
                      <w:color w:val="231F20"/>
                      <w:spacing w:val="-2"/>
                    </w:rPr>
                    <w:t>conséquences.</w:t>
                  </w:r>
                  <w:r>
                    <w:rPr>
                      <w:rFonts w:ascii="Arial" w:hAnsi="Arial"/>
                      <w:color w:val="231F20"/>
                      <w:spacing w:val="-7"/>
                    </w:rPr>
                    <w:t> </w:t>
                  </w:r>
                  <w:r>
                    <w:rPr>
                      <w:rFonts w:ascii="Arial" w:hAnsi="Arial"/>
                      <w:color w:val="231F20"/>
                      <w:spacing w:val="-2"/>
                    </w:rPr>
                    <w:t>Il</w:t>
                  </w:r>
                  <w:r>
                    <w:rPr>
                      <w:rFonts w:ascii="Arial" w:hAnsi="Arial"/>
                      <w:color w:val="231F20"/>
                      <w:spacing w:val="-7"/>
                    </w:rPr>
                    <w:t> </w:t>
                  </w:r>
                  <w:r>
                    <w:rPr>
                      <w:rFonts w:ascii="Arial" w:hAnsi="Arial"/>
                      <w:color w:val="231F20"/>
                      <w:spacing w:val="-2"/>
                    </w:rPr>
                    <w:t>s’agit</w:t>
                  </w:r>
                  <w:r>
                    <w:rPr>
                      <w:rFonts w:ascii="Arial" w:hAnsi="Arial"/>
                      <w:color w:val="231F20"/>
                      <w:spacing w:val="-7"/>
                    </w:rPr>
                    <w:t> </w:t>
                  </w:r>
                  <w:r>
                    <w:rPr>
                      <w:rFonts w:ascii="Arial" w:hAnsi="Arial"/>
                      <w:color w:val="231F20"/>
                      <w:spacing w:val="-2"/>
                    </w:rPr>
                    <w:t>d’une</w:t>
                  </w:r>
                  <w:r>
                    <w:rPr>
                      <w:rFonts w:ascii="Arial" w:hAnsi="Arial"/>
                      <w:color w:val="231F20"/>
                      <w:spacing w:val="-9"/>
                    </w:rPr>
                    <w:t> </w:t>
                  </w:r>
                  <w:r>
                    <w:rPr>
                      <w:rFonts w:ascii="Arial" w:hAnsi="Arial"/>
                      <w:i/>
                      <w:color w:val="231F20"/>
                      <w:spacing w:val="-2"/>
                    </w:rPr>
                    <w:t>stratégie</w:t>
                  </w:r>
                  <w:r>
                    <w:rPr>
                      <w:rFonts w:ascii="Arial" w:hAnsi="Arial"/>
                      <w:i/>
                      <w:color w:val="231F20"/>
                      <w:spacing w:val="-7"/>
                    </w:rPr>
                    <w:t> </w:t>
                  </w:r>
                  <w:r>
                    <w:rPr>
                      <w:rFonts w:ascii="Arial" w:hAnsi="Arial"/>
                      <w:i/>
                      <w:color w:val="231F20"/>
                      <w:spacing w:val="-2"/>
                    </w:rPr>
                    <w:t>palliative</w:t>
                  </w:r>
                  <w:r>
                    <w:rPr>
                      <w:rFonts w:ascii="Arial" w:hAnsi="Arial"/>
                      <w:i/>
                      <w:color w:val="231F20"/>
                      <w:spacing w:val="-7"/>
                    </w:rPr>
                    <w:t> </w:t>
                  </w:r>
                  <w:r>
                    <w:rPr>
                      <w:rFonts w:ascii="Arial" w:hAnsi="Arial"/>
                      <w:color w:val="231F20"/>
                      <w:spacing w:val="-2"/>
                    </w:rPr>
                    <w:t>qui </w:t>
                  </w:r>
                  <w:r>
                    <w:rPr>
                      <w:rFonts w:ascii="Arial" w:hAnsi="Arial"/>
                      <w:color w:val="231F20"/>
                    </w:rPr>
                    <w:t>permet</w:t>
                  </w:r>
                  <w:r>
                    <w:rPr>
                      <w:rFonts w:ascii="Arial" w:hAnsi="Arial"/>
                      <w:color w:val="231F20"/>
                      <w:spacing w:val="-4"/>
                    </w:rPr>
                    <w:t> </w:t>
                  </w:r>
                  <w:r>
                    <w:rPr>
                      <w:rFonts w:ascii="Arial" w:hAnsi="Arial"/>
                      <w:color w:val="231F20"/>
                    </w:rPr>
                    <w:t>d’augmenter</w:t>
                  </w:r>
                  <w:r>
                    <w:rPr>
                      <w:rFonts w:ascii="Arial" w:hAnsi="Arial"/>
                      <w:color w:val="231F20"/>
                      <w:spacing w:val="-4"/>
                    </w:rPr>
                    <w:t> </w:t>
                  </w:r>
                  <w:r>
                    <w:rPr>
                      <w:rFonts w:ascii="Arial" w:hAnsi="Arial"/>
                      <w:color w:val="231F20"/>
                    </w:rPr>
                    <w:t>les</w:t>
                  </w:r>
                  <w:r>
                    <w:rPr>
                      <w:rFonts w:ascii="Arial" w:hAnsi="Arial"/>
                      <w:color w:val="231F20"/>
                      <w:spacing w:val="-4"/>
                    </w:rPr>
                    <w:t> </w:t>
                  </w:r>
                  <w:r>
                    <w:rPr>
                      <w:rFonts w:ascii="Arial" w:hAnsi="Arial"/>
                      <w:color w:val="231F20"/>
                    </w:rPr>
                    <w:t>ressources</w:t>
                  </w:r>
                  <w:r>
                    <w:rPr>
                      <w:rFonts w:ascii="Arial" w:hAnsi="Arial"/>
                      <w:color w:val="231F20"/>
                      <w:spacing w:val="-4"/>
                    </w:rPr>
                    <w:t> </w:t>
                  </w:r>
                  <w:r>
                    <w:rPr>
                      <w:rFonts w:ascii="Arial" w:hAnsi="Arial"/>
                      <w:color w:val="231F20"/>
                    </w:rPr>
                    <w:t>des</w:t>
                  </w:r>
                  <w:r>
                    <w:rPr>
                      <w:rFonts w:ascii="Arial" w:hAnsi="Arial"/>
                      <w:color w:val="231F20"/>
                      <w:spacing w:val="-4"/>
                    </w:rPr>
                    <w:t> </w:t>
                  </w:r>
                  <w:r>
                    <w:rPr>
                      <w:rFonts w:ascii="Arial" w:hAnsi="Arial"/>
                      <w:color w:val="231F20"/>
                    </w:rPr>
                    <w:t>travailleurs</w:t>
                  </w:r>
                  <w:r>
                    <w:rPr>
                      <w:rFonts w:ascii="Arial" w:hAnsi="Arial"/>
                      <w:color w:val="231F20"/>
                      <w:spacing w:val="-4"/>
                    </w:rPr>
                    <w:t> </w:t>
                  </w:r>
                  <w:r>
                    <w:rPr>
                      <w:rFonts w:ascii="Arial" w:hAnsi="Arial"/>
                      <w:color w:val="231F20"/>
                    </w:rPr>
                    <w:t>(évaluation primaire) ou de bonifier leurs stratégies de </w:t>
                  </w:r>
                  <w:r>
                    <w:rPr>
                      <w:rFonts w:ascii="Arial" w:hAnsi="Arial"/>
                      <w:i/>
                      <w:color w:val="231F20"/>
                    </w:rPr>
                    <w:t>coping </w:t>
                  </w:r>
                  <w:r>
                    <w:rPr>
                      <w:rFonts w:ascii="Arial" w:hAnsi="Arial"/>
                      <w:color w:val="231F20"/>
                    </w:rPr>
                    <w:t>(évalua-</w:t>
                  </w:r>
                  <w:r>
                    <w:rPr>
                      <w:rFonts w:ascii="Arial" w:hAnsi="Arial"/>
                      <w:color w:val="231F20"/>
                      <w:spacing w:val="80"/>
                    </w:rPr>
                    <w:t> </w:t>
                  </w:r>
                  <w:r>
                    <w:rPr>
                      <w:rFonts w:ascii="Arial" w:hAnsi="Arial"/>
                      <w:color w:val="231F20"/>
                    </w:rPr>
                    <w:t>tion</w:t>
                  </w:r>
                  <w:r>
                    <w:rPr>
                      <w:rFonts w:ascii="Arial" w:hAnsi="Arial"/>
                      <w:color w:val="231F20"/>
                      <w:spacing w:val="-8"/>
                    </w:rPr>
                    <w:t> </w:t>
                  </w:r>
                  <w:r>
                    <w:rPr>
                      <w:rFonts w:ascii="Arial" w:hAnsi="Arial"/>
                      <w:color w:val="231F20"/>
                    </w:rPr>
                    <w:t>secondaire).</w:t>
                  </w:r>
                  <w:r>
                    <w:rPr>
                      <w:rFonts w:ascii="Arial" w:hAnsi="Arial"/>
                      <w:color w:val="231F20"/>
                      <w:spacing w:val="-8"/>
                    </w:rPr>
                    <w:t> </w:t>
                  </w:r>
                  <w:r>
                    <w:rPr>
                      <w:rFonts w:ascii="Arial" w:hAnsi="Arial"/>
                      <w:color w:val="231F20"/>
                    </w:rPr>
                    <w:t>Une</w:t>
                  </w:r>
                  <w:r>
                    <w:rPr>
                      <w:rFonts w:ascii="Arial" w:hAnsi="Arial"/>
                      <w:color w:val="231F20"/>
                      <w:spacing w:val="-8"/>
                    </w:rPr>
                    <w:t> </w:t>
                  </w:r>
                  <w:r>
                    <w:rPr>
                      <w:rFonts w:ascii="Arial" w:hAnsi="Arial"/>
                      <w:color w:val="231F20"/>
                    </w:rPr>
                    <w:t>amélioration</w:t>
                  </w:r>
                  <w:r>
                    <w:rPr>
                      <w:rFonts w:ascii="Arial" w:hAnsi="Arial"/>
                      <w:color w:val="231F20"/>
                      <w:spacing w:val="-8"/>
                    </w:rPr>
                    <w:t> </w:t>
                  </w:r>
                  <w:r>
                    <w:rPr>
                      <w:rFonts w:ascii="Arial" w:hAnsi="Arial"/>
                      <w:color w:val="231F20"/>
                    </w:rPr>
                    <w:t>des</w:t>
                  </w:r>
                  <w:r>
                    <w:rPr>
                      <w:rFonts w:ascii="Arial" w:hAnsi="Arial"/>
                      <w:color w:val="231F20"/>
                      <w:spacing w:val="-8"/>
                    </w:rPr>
                    <w:t> </w:t>
                  </w:r>
                  <w:r>
                    <w:rPr>
                      <w:rFonts w:ascii="Arial" w:hAnsi="Arial"/>
                      <w:color w:val="231F20"/>
                    </w:rPr>
                    <w:t>compétences,</w:t>
                  </w:r>
                  <w:r>
                    <w:rPr>
                      <w:rFonts w:ascii="Arial" w:hAnsi="Arial"/>
                      <w:color w:val="231F20"/>
                      <w:spacing w:val="-8"/>
                    </w:rPr>
                    <w:t> </w:t>
                  </w:r>
                  <w:r>
                    <w:rPr>
                      <w:rFonts w:ascii="Arial" w:hAnsi="Arial"/>
                      <w:color w:val="231F20"/>
                    </w:rPr>
                    <w:t>une</w:t>
                  </w:r>
                  <w:r>
                    <w:rPr>
                      <w:rFonts w:ascii="Arial" w:hAnsi="Arial"/>
                      <w:color w:val="231F20"/>
                      <w:spacing w:val="-8"/>
                    </w:rPr>
                    <w:t> </w:t>
                  </w:r>
                  <w:r>
                    <w:rPr>
                      <w:rFonts w:ascii="Arial" w:hAnsi="Arial"/>
                      <w:color w:val="231F20"/>
                    </w:rPr>
                    <w:t>meil- </w:t>
                  </w:r>
                  <w:r>
                    <w:rPr>
                      <w:rFonts w:ascii="Arial" w:hAnsi="Arial"/>
                      <w:color w:val="231F20"/>
                      <w:spacing w:val="-2"/>
                    </w:rPr>
                    <w:t>leure</w:t>
                  </w:r>
                  <w:r>
                    <w:rPr>
                      <w:rFonts w:ascii="Arial" w:hAnsi="Arial"/>
                      <w:color w:val="231F20"/>
                      <w:spacing w:val="-7"/>
                    </w:rPr>
                    <w:t> </w:t>
                  </w:r>
                  <w:r>
                    <w:rPr>
                      <w:rFonts w:ascii="Arial" w:hAnsi="Arial"/>
                      <w:color w:val="231F20"/>
                      <w:spacing w:val="-2"/>
                    </w:rPr>
                    <w:t>planification</w:t>
                  </w:r>
                  <w:r>
                    <w:rPr>
                      <w:rFonts w:ascii="Arial" w:hAnsi="Arial"/>
                      <w:color w:val="231F20"/>
                      <w:spacing w:val="-7"/>
                    </w:rPr>
                    <w:t> </w:t>
                  </w:r>
                  <w:r>
                    <w:rPr>
                      <w:rFonts w:ascii="Arial" w:hAnsi="Arial"/>
                      <w:color w:val="231F20"/>
                      <w:spacing w:val="-2"/>
                    </w:rPr>
                    <w:t>des</w:t>
                  </w:r>
                  <w:r>
                    <w:rPr>
                      <w:rFonts w:ascii="Arial" w:hAnsi="Arial"/>
                      <w:color w:val="231F20"/>
                      <w:spacing w:val="-7"/>
                    </w:rPr>
                    <w:t> </w:t>
                  </w:r>
                  <w:r>
                    <w:rPr>
                      <w:rFonts w:ascii="Arial" w:hAnsi="Arial"/>
                      <w:color w:val="231F20"/>
                      <w:spacing w:val="-2"/>
                    </w:rPr>
                    <w:t>tâches</w:t>
                  </w:r>
                  <w:r>
                    <w:rPr>
                      <w:rFonts w:ascii="Arial" w:hAnsi="Arial"/>
                      <w:color w:val="231F20"/>
                      <w:spacing w:val="-7"/>
                    </w:rPr>
                    <w:t> </w:t>
                  </w:r>
                  <w:r>
                    <w:rPr>
                      <w:rFonts w:ascii="Arial" w:hAnsi="Arial"/>
                      <w:color w:val="231F20"/>
                      <w:spacing w:val="-2"/>
                    </w:rPr>
                    <w:t>ou</w:t>
                  </w:r>
                  <w:r>
                    <w:rPr>
                      <w:rFonts w:ascii="Arial" w:hAnsi="Arial"/>
                      <w:color w:val="231F20"/>
                      <w:spacing w:val="-7"/>
                    </w:rPr>
                    <w:t> </w:t>
                  </w:r>
                  <w:r>
                    <w:rPr>
                      <w:rFonts w:ascii="Arial" w:hAnsi="Arial"/>
                      <w:color w:val="231F20"/>
                      <w:spacing w:val="-2"/>
                    </w:rPr>
                    <w:t>un</w:t>
                  </w:r>
                  <w:r>
                    <w:rPr>
                      <w:rFonts w:ascii="Arial" w:hAnsi="Arial"/>
                      <w:color w:val="231F20"/>
                      <w:spacing w:val="-7"/>
                    </w:rPr>
                    <w:t> </w:t>
                  </w:r>
                  <w:r>
                    <w:rPr>
                      <w:rFonts w:ascii="Arial" w:hAnsi="Arial"/>
                      <w:color w:val="231F20"/>
                      <w:spacing w:val="-2"/>
                    </w:rPr>
                    <w:t>soutien</w:t>
                  </w:r>
                  <w:r>
                    <w:rPr>
                      <w:rFonts w:ascii="Arial" w:hAnsi="Arial"/>
                      <w:color w:val="231F20"/>
                      <w:spacing w:val="-7"/>
                    </w:rPr>
                    <w:t> </w:t>
                  </w:r>
                  <w:r>
                    <w:rPr>
                      <w:rFonts w:ascii="Arial" w:hAnsi="Arial"/>
                      <w:color w:val="231F20"/>
                      <w:spacing w:val="-2"/>
                    </w:rPr>
                    <w:t>accru</w:t>
                  </w:r>
                  <w:r>
                    <w:rPr>
                      <w:rFonts w:ascii="Arial" w:hAnsi="Arial"/>
                      <w:color w:val="231F20"/>
                      <w:spacing w:val="-7"/>
                    </w:rPr>
                    <w:t> </w:t>
                  </w:r>
                  <w:r>
                    <w:rPr>
                      <w:rFonts w:ascii="Arial" w:hAnsi="Arial"/>
                      <w:color w:val="231F20"/>
                      <w:spacing w:val="-2"/>
                    </w:rPr>
                    <w:t>du</w:t>
                  </w:r>
                  <w:r>
                    <w:rPr>
                      <w:rFonts w:ascii="Arial" w:hAnsi="Arial"/>
                      <w:color w:val="231F20"/>
                      <w:spacing w:val="-7"/>
                    </w:rPr>
                    <w:t> </w:t>
                  </w:r>
                  <w:r>
                    <w:rPr>
                      <w:rFonts w:ascii="Arial" w:hAnsi="Arial"/>
                      <w:color w:val="231F20"/>
                      <w:spacing w:val="-2"/>
                    </w:rPr>
                    <w:t>superviseur </w:t>
                  </w:r>
                  <w:r>
                    <w:rPr>
                      <w:rFonts w:ascii="Arial" w:hAnsi="Arial"/>
                      <w:color w:val="231F20"/>
                    </w:rPr>
                    <w:t>sont des interventions de nature secondaire.</w:t>
                  </w:r>
                </w:p>
                <w:p>
                  <w:pPr>
                    <w:pStyle w:val="BodyText"/>
                    <w:numPr>
                      <w:ilvl w:val="0"/>
                      <w:numId w:val="92"/>
                    </w:numPr>
                    <w:tabs>
                      <w:tab w:pos="750" w:val="left" w:leader="none"/>
                    </w:tabs>
                    <w:spacing w:line="307" w:lineRule="auto" w:before="0" w:after="0"/>
                    <w:ind w:left="750" w:right="245" w:hanging="251"/>
                    <w:jc w:val="both"/>
                    <w:rPr>
                      <w:rFonts w:ascii="Arial" w:hAnsi="Arial"/>
                      <w:color w:val="000000"/>
                    </w:rPr>
                  </w:pPr>
                  <w:r>
                    <w:rPr>
                      <w:rFonts w:ascii="Arial" w:hAnsi="Arial"/>
                      <w:b/>
                      <w:color w:val="231F20"/>
                      <w:w w:val="95"/>
                    </w:rPr>
                    <w:t>Les</w:t>
                  </w:r>
                  <w:r>
                    <w:rPr>
                      <w:rFonts w:ascii="Arial" w:hAnsi="Arial"/>
                      <w:b/>
                      <w:color w:val="231F20"/>
                      <w:spacing w:val="-2"/>
                      <w:w w:val="95"/>
                    </w:rPr>
                    <w:t> </w:t>
                  </w:r>
                  <w:r>
                    <w:rPr>
                      <w:rFonts w:ascii="Arial" w:hAnsi="Arial"/>
                      <w:b/>
                      <w:color w:val="231F20"/>
                      <w:w w:val="95"/>
                    </w:rPr>
                    <w:t>interventions</w:t>
                  </w:r>
                  <w:r>
                    <w:rPr>
                      <w:rFonts w:ascii="Arial" w:hAnsi="Arial"/>
                      <w:b/>
                      <w:color w:val="231F20"/>
                      <w:spacing w:val="-2"/>
                      <w:w w:val="95"/>
                    </w:rPr>
                    <w:t> </w:t>
                  </w:r>
                  <w:r>
                    <w:rPr>
                      <w:rFonts w:ascii="Arial" w:hAnsi="Arial"/>
                      <w:b/>
                      <w:color w:val="231F20"/>
                      <w:w w:val="95"/>
                    </w:rPr>
                    <w:t>tertiaires. </w:t>
                  </w:r>
                  <w:r>
                    <w:rPr>
                      <w:rFonts w:ascii="Arial" w:hAnsi="Arial"/>
                      <w:color w:val="231F20"/>
                      <w:w w:val="95"/>
                    </w:rPr>
                    <w:t>Les interventions tertiaires sont des </w:t>
                  </w:r>
                  <w:r>
                    <w:rPr>
                      <w:rFonts w:ascii="Arial" w:hAnsi="Arial"/>
                      <w:i/>
                      <w:color w:val="231F20"/>
                    </w:rPr>
                    <w:t>stratégies curatives </w:t>
                  </w:r>
                  <w:r>
                    <w:rPr>
                      <w:rFonts w:ascii="Arial" w:hAnsi="Arial"/>
                      <w:color w:val="231F20"/>
                    </w:rPr>
                    <w:t>qui offrent de l’aide aux travailleurs afin de contrer les effets délétères du stress. Les programmes d’aide </w:t>
                  </w:r>
                  <w:r>
                    <w:rPr>
                      <w:rFonts w:ascii="Arial" w:hAnsi="Arial"/>
                      <w:color w:val="231F20"/>
                      <w:spacing w:val="-2"/>
                    </w:rPr>
                    <w:t>aux</w:t>
                  </w:r>
                  <w:r>
                    <w:rPr>
                      <w:rFonts w:ascii="Arial" w:hAnsi="Arial"/>
                      <w:color w:val="231F20"/>
                      <w:spacing w:val="-10"/>
                    </w:rPr>
                    <w:t> </w:t>
                  </w:r>
                  <w:r>
                    <w:rPr>
                      <w:rFonts w:ascii="Arial" w:hAnsi="Arial"/>
                      <w:color w:val="231F20"/>
                      <w:spacing w:val="-2"/>
                    </w:rPr>
                    <w:t>employés,</w:t>
                  </w:r>
                  <w:r>
                    <w:rPr>
                      <w:rFonts w:ascii="Arial" w:hAnsi="Arial"/>
                      <w:color w:val="231F20"/>
                      <w:spacing w:val="-10"/>
                    </w:rPr>
                    <w:t> </w:t>
                  </w:r>
                  <w:r>
                    <w:rPr>
                      <w:rFonts w:ascii="Arial" w:hAnsi="Arial"/>
                      <w:color w:val="231F20"/>
                      <w:spacing w:val="-2"/>
                    </w:rPr>
                    <w:t>l’assurance</w:t>
                  </w:r>
                  <w:r>
                    <w:rPr>
                      <w:rFonts w:ascii="Arial" w:hAnsi="Arial"/>
                      <w:color w:val="231F20"/>
                      <w:spacing w:val="-10"/>
                    </w:rPr>
                    <w:t> </w:t>
                  </w:r>
                  <w:r>
                    <w:rPr>
                      <w:rFonts w:ascii="Arial" w:hAnsi="Arial"/>
                      <w:color w:val="231F20"/>
                      <w:spacing w:val="-2"/>
                    </w:rPr>
                    <w:t>salaire</w:t>
                  </w:r>
                  <w:r>
                    <w:rPr>
                      <w:rFonts w:ascii="Arial" w:hAnsi="Arial"/>
                      <w:color w:val="231F20"/>
                      <w:spacing w:val="-10"/>
                    </w:rPr>
                    <w:t> </w:t>
                  </w:r>
                  <w:r>
                    <w:rPr>
                      <w:rFonts w:ascii="Arial" w:hAnsi="Arial"/>
                      <w:color w:val="231F20"/>
                      <w:spacing w:val="-2"/>
                    </w:rPr>
                    <w:t>pour</w:t>
                  </w:r>
                  <w:r>
                    <w:rPr>
                      <w:rFonts w:ascii="Arial" w:hAnsi="Arial"/>
                      <w:color w:val="231F20"/>
                      <w:spacing w:val="-10"/>
                    </w:rPr>
                    <w:t> </w:t>
                  </w:r>
                  <w:r>
                    <w:rPr>
                      <w:rFonts w:ascii="Arial" w:hAnsi="Arial"/>
                      <w:color w:val="231F20"/>
                      <w:spacing w:val="-2"/>
                    </w:rPr>
                    <w:t>maladie</w:t>
                  </w:r>
                  <w:r>
                    <w:rPr>
                      <w:rFonts w:ascii="Arial" w:hAnsi="Arial"/>
                      <w:color w:val="231F20"/>
                      <w:spacing w:val="-9"/>
                    </w:rPr>
                    <w:t> </w:t>
                  </w:r>
                  <w:r>
                    <w:rPr>
                      <w:rFonts w:ascii="Arial" w:hAnsi="Arial"/>
                      <w:color w:val="231F20"/>
                      <w:spacing w:val="-2"/>
                    </w:rPr>
                    <w:t>ou</w:t>
                  </w:r>
                  <w:r>
                    <w:rPr>
                      <w:rFonts w:ascii="Arial" w:hAnsi="Arial"/>
                      <w:color w:val="231F20"/>
                      <w:spacing w:val="-10"/>
                    </w:rPr>
                    <w:t> </w:t>
                  </w:r>
                  <w:r>
                    <w:rPr>
                      <w:rFonts w:ascii="Arial" w:hAnsi="Arial"/>
                      <w:color w:val="231F20"/>
                      <w:spacing w:val="-2"/>
                    </w:rPr>
                    <w:t>les</w:t>
                  </w:r>
                  <w:r>
                    <w:rPr>
                      <w:rFonts w:ascii="Arial" w:hAnsi="Arial"/>
                      <w:color w:val="231F20"/>
                      <w:spacing w:val="-10"/>
                    </w:rPr>
                    <w:t> </w:t>
                  </w:r>
                  <w:r>
                    <w:rPr>
                      <w:rFonts w:ascii="Arial" w:hAnsi="Arial"/>
                      <w:color w:val="231F20"/>
                      <w:spacing w:val="-2"/>
                    </w:rPr>
                    <w:t>protocoles </w:t>
                  </w:r>
                  <w:r>
                    <w:rPr>
                      <w:rFonts w:ascii="Arial" w:hAnsi="Arial"/>
                      <w:color w:val="231F20"/>
                    </w:rPr>
                    <w:t>de</w:t>
                  </w:r>
                  <w:r>
                    <w:rPr>
                      <w:rFonts w:ascii="Arial" w:hAnsi="Arial"/>
                      <w:color w:val="231F20"/>
                      <w:spacing w:val="-3"/>
                    </w:rPr>
                    <w:t> </w:t>
                  </w:r>
                  <w:r>
                    <w:rPr>
                      <w:rFonts w:ascii="Arial" w:hAnsi="Arial"/>
                      <w:color w:val="231F20"/>
                    </w:rPr>
                    <w:t>retour</w:t>
                  </w:r>
                  <w:r>
                    <w:rPr>
                      <w:rFonts w:ascii="Arial" w:hAnsi="Arial"/>
                      <w:color w:val="231F20"/>
                      <w:spacing w:val="-3"/>
                    </w:rPr>
                    <w:t> </w:t>
                  </w:r>
                  <w:r>
                    <w:rPr>
                      <w:rFonts w:ascii="Arial" w:hAnsi="Arial"/>
                      <w:color w:val="231F20"/>
                    </w:rPr>
                    <w:t>au</w:t>
                  </w:r>
                  <w:r>
                    <w:rPr>
                      <w:rFonts w:ascii="Arial" w:hAnsi="Arial"/>
                      <w:color w:val="231F20"/>
                      <w:spacing w:val="-3"/>
                    </w:rPr>
                    <w:t> </w:t>
                  </w:r>
                  <w:r>
                    <w:rPr>
                      <w:rFonts w:ascii="Arial" w:hAnsi="Arial"/>
                      <w:color w:val="231F20"/>
                    </w:rPr>
                    <w:t>travail</w:t>
                  </w:r>
                  <w:r>
                    <w:rPr>
                      <w:rFonts w:ascii="Arial" w:hAnsi="Arial"/>
                      <w:color w:val="231F20"/>
                      <w:spacing w:val="-3"/>
                    </w:rPr>
                    <w:t> </w:t>
                  </w:r>
                  <w:r>
                    <w:rPr>
                      <w:rFonts w:ascii="Arial" w:hAnsi="Arial"/>
                      <w:color w:val="231F20"/>
                    </w:rPr>
                    <w:t>à</w:t>
                  </w:r>
                  <w:r>
                    <w:rPr>
                      <w:rFonts w:ascii="Arial" w:hAnsi="Arial"/>
                      <w:color w:val="231F20"/>
                      <w:spacing w:val="-4"/>
                    </w:rPr>
                    <w:t> </w:t>
                  </w:r>
                  <w:r>
                    <w:rPr>
                      <w:rFonts w:ascii="Arial" w:hAnsi="Arial"/>
                      <w:color w:val="231F20"/>
                    </w:rPr>
                    <w:t>la</w:t>
                  </w:r>
                  <w:r>
                    <w:rPr>
                      <w:rFonts w:ascii="Arial" w:hAnsi="Arial"/>
                      <w:color w:val="231F20"/>
                      <w:spacing w:val="-3"/>
                    </w:rPr>
                    <w:t> </w:t>
                  </w:r>
                  <w:r>
                    <w:rPr>
                      <w:rFonts w:ascii="Arial" w:hAnsi="Arial"/>
                      <w:color w:val="231F20"/>
                    </w:rPr>
                    <w:t>suite</w:t>
                  </w:r>
                  <w:r>
                    <w:rPr>
                      <w:rFonts w:ascii="Arial" w:hAnsi="Arial"/>
                      <w:color w:val="231F20"/>
                      <w:spacing w:val="-3"/>
                    </w:rPr>
                    <w:t> </w:t>
                  </w:r>
                  <w:r>
                    <w:rPr>
                      <w:rFonts w:ascii="Arial" w:hAnsi="Arial"/>
                      <w:color w:val="231F20"/>
                    </w:rPr>
                    <w:t>d’un</w:t>
                  </w:r>
                  <w:r>
                    <w:rPr>
                      <w:rFonts w:ascii="Arial" w:hAnsi="Arial"/>
                      <w:color w:val="231F20"/>
                      <w:spacing w:val="-4"/>
                    </w:rPr>
                    <w:t> </w:t>
                  </w:r>
                  <w:r>
                    <w:rPr>
                      <w:rFonts w:ascii="Arial" w:hAnsi="Arial"/>
                      <w:color w:val="231F20"/>
                    </w:rPr>
                    <w:t>problème</w:t>
                  </w:r>
                  <w:r>
                    <w:rPr>
                      <w:rFonts w:ascii="Arial" w:hAnsi="Arial"/>
                      <w:color w:val="231F20"/>
                      <w:spacing w:val="-3"/>
                    </w:rPr>
                    <w:t> </w:t>
                  </w:r>
                  <w:r>
                    <w:rPr>
                      <w:rFonts w:ascii="Arial" w:hAnsi="Arial"/>
                      <w:color w:val="231F20"/>
                    </w:rPr>
                    <w:t>de</w:t>
                  </w:r>
                  <w:r>
                    <w:rPr>
                      <w:rFonts w:ascii="Arial" w:hAnsi="Arial"/>
                      <w:color w:val="231F20"/>
                      <w:spacing w:val="-4"/>
                    </w:rPr>
                    <w:t> </w:t>
                  </w:r>
                  <w:r>
                    <w:rPr>
                      <w:rFonts w:ascii="Arial" w:hAnsi="Arial"/>
                      <w:color w:val="231F20"/>
                    </w:rPr>
                    <w:t>santé</w:t>
                  </w:r>
                  <w:r>
                    <w:rPr>
                      <w:rFonts w:ascii="Arial" w:hAnsi="Arial"/>
                      <w:color w:val="231F20"/>
                      <w:spacing w:val="-3"/>
                    </w:rPr>
                    <w:t> </w:t>
                  </w:r>
                  <w:r>
                    <w:rPr>
                      <w:rFonts w:ascii="Arial" w:hAnsi="Arial"/>
                      <w:color w:val="231F20"/>
                    </w:rPr>
                    <w:t>psycholo- gique sont des interventions tertiaires. Bien que ces stratégies </w:t>
                  </w:r>
                  <w:r>
                    <w:rPr>
                      <w:rFonts w:ascii="Arial" w:hAnsi="Arial"/>
                      <w:color w:val="231F20"/>
                      <w:spacing w:val="-2"/>
                    </w:rPr>
                    <w:t>aident</w:t>
                  </w:r>
                  <w:r>
                    <w:rPr>
                      <w:rFonts w:ascii="Arial" w:hAnsi="Arial"/>
                      <w:color w:val="231F20"/>
                      <w:spacing w:val="-5"/>
                    </w:rPr>
                    <w:t> </w:t>
                  </w:r>
                  <w:r>
                    <w:rPr>
                      <w:rFonts w:ascii="Arial" w:hAnsi="Arial"/>
                      <w:color w:val="231F20"/>
                      <w:spacing w:val="-2"/>
                    </w:rPr>
                    <w:t>les</w:t>
                  </w:r>
                  <w:r>
                    <w:rPr>
                      <w:rFonts w:ascii="Arial" w:hAnsi="Arial"/>
                      <w:color w:val="231F20"/>
                      <w:spacing w:val="-5"/>
                    </w:rPr>
                    <w:t> </w:t>
                  </w:r>
                  <w:r>
                    <w:rPr>
                      <w:rFonts w:ascii="Arial" w:hAnsi="Arial"/>
                      <w:color w:val="231F20"/>
                      <w:spacing w:val="-2"/>
                    </w:rPr>
                    <w:t>travailleurs</w:t>
                  </w:r>
                  <w:r>
                    <w:rPr>
                      <w:rFonts w:ascii="Arial" w:hAnsi="Arial"/>
                      <w:color w:val="231F20"/>
                      <w:spacing w:val="-5"/>
                    </w:rPr>
                    <w:t> </w:t>
                  </w:r>
                  <w:r>
                    <w:rPr>
                      <w:rFonts w:ascii="Arial" w:hAnsi="Arial"/>
                      <w:color w:val="231F20"/>
                      <w:spacing w:val="-2"/>
                    </w:rPr>
                    <w:t>aux</w:t>
                  </w:r>
                  <w:r>
                    <w:rPr>
                      <w:rFonts w:ascii="Arial" w:hAnsi="Arial"/>
                      <w:color w:val="231F20"/>
                      <w:spacing w:val="-5"/>
                    </w:rPr>
                    <w:t> </w:t>
                  </w:r>
                  <w:r>
                    <w:rPr>
                      <w:rFonts w:ascii="Arial" w:hAnsi="Arial"/>
                      <w:color w:val="231F20"/>
                      <w:spacing w:val="-2"/>
                    </w:rPr>
                    <w:t>prises</w:t>
                  </w:r>
                  <w:r>
                    <w:rPr>
                      <w:rFonts w:ascii="Arial" w:hAnsi="Arial"/>
                      <w:color w:val="231F20"/>
                      <w:spacing w:val="-5"/>
                    </w:rPr>
                    <w:t> </w:t>
                  </w:r>
                  <w:r>
                    <w:rPr>
                      <w:rFonts w:ascii="Arial" w:hAnsi="Arial"/>
                      <w:color w:val="231F20"/>
                      <w:spacing w:val="-2"/>
                    </w:rPr>
                    <w:t>avec</w:t>
                  </w:r>
                  <w:r>
                    <w:rPr>
                      <w:rFonts w:ascii="Arial" w:hAnsi="Arial"/>
                      <w:color w:val="231F20"/>
                      <w:spacing w:val="-5"/>
                    </w:rPr>
                    <w:t> </w:t>
                  </w:r>
                  <w:r>
                    <w:rPr>
                      <w:rFonts w:ascii="Arial" w:hAnsi="Arial"/>
                      <w:color w:val="231F20"/>
                      <w:spacing w:val="-2"/>
                    </w:rPr>
                    <w:t>des</w:t>
                  </w:r>
                  <w:r>
                    <w:rPr>
                      <w:rFonts w:ascii="Arial" w:hAnsi="Arial"/>
                      <w:color w:val="231F20"/>
                      <w:spacing w:val="-5"/>
                    </w:rPr>
                    <w:t> </w:t>
                  </w:r>
                  <w:r>
                    <w:rPr>
                      <w:rFonts w:ascii="Arial" w:hAnsi="Arial"/>
                      <w:color w:val="231F20"/>
                      <w:spacing w:val="-2"/>
                    </w:rPr>
                    <w:t>problèmes</w:t>
                  </w:r>
                  <w:r>
                    <w:rPr>
                      <w:rFonts w:ascii="Arial" w:hAnsi="Arial"/>
                      <w:color w:val="231F20"/>
                      <w:spacing w:val="-5"/>
                    </w:rPr>
                    <w:t> </w:t>
                  </w:r>
                  <w:r>
                    <w:rPr>
                      <w:rFonts w:ascii="Arial" w:hAnsi="Arial"/>
                      <w:color w:val="231F20"/>
                      <w:spacing w:val="-2"/>
                    </w:rPr>
                    <w:t>chroniques </w:t>
                  </w:r>
                  <w:r>
                    <w:rPr>
                      <w:rFonts w:ascii="Arial" w:hAnsi="Arial"/>
                      <w:color w:val="231F20"/>
                    </w:rPr>
                    <w:t>de</w:t>
                  </w:r>
                  <w:r>
                    <w:rPr>
                      <w:rFonts w:ascii="Arial" w:hAnsi="Arial"/>
                      <w:color w:val="231F20"/>
                      <w:spacing w:val="-12"/>
                    </w:rPr>
                    <w:t> </w:t>
                  </w:r>
                  <w:r>
                    <w:rPr>
                      <w:rFonts w:ascii="Arial" w:hAnsi="Arial"/>
                      <w:color w:val="231F20"/>
                    </w:rPr>
                    <w:t>stress,</w:t>
                  </w:r>
                  <w:r>
                    <w:rPr>
                      <w:rFonts w:ascii="Arial" w:hAnsi="Arial"/>
                      <w:color w:val="231F20"/>
                      <w:spacing w:val="-12"/>
                    </w:rPr>
                    <w:t> </w:t>
                  </w:r>
                  <w:r>
                    <w:rPr>
                      <w:rFonts w:ascii="Arial" w:hAnsi="Arial"/>
                      <w:color w:val="231F20"/>
                    </w:rPr>
                    <w:t>il</w:t>
                  </w:r>
                  <w:r>
                    <w:rPr>
                      <w:rFonts w:ascii="Arial" w:hAnsi="Arial"/>
                      <w:color w:val="231F20"/>
                      <w:spacing w:val="-12"/>
                    </w:rPr>
                    <w:t> </w:t>
                  </w:r>
                  <w:r>
                    <w:rPr>
                      <w:rFonts w:ascii="Arial" w:hAnsi="Arial"/>
                      <w:color w:val="231F20"/>
                    </w:rPr>
                    <w:t>s’agit</w:t>
                  </w:r>
                  <w:r>
                    <w:rPr>
                      <w:rFonts w:ascii="Arial" w:hAnsi="Arial"/>
                      <w:color w:val="231F20"/>
                      <w:spacing w:val="-12"/>
                    </w:rPr>
                    <w:t> </w:t>
                  </w:r>
                  <w:r>
                    <w:rPr>
                      <w:rFonts w:ascii="Arial" w:hAnsi="Arial"/>
                      <w:color w:val="231F20"/>
                    </w:rPr>
                    <w:t>de</w:t>
                  </w:r>
                  <w:r>
                    <w:rPr>
                      <w:rFonts w:ascii="Arial" w:hAnsi="Arial"/>
                      <w:color w:val="231F20"/>
                      <w:spacing w:val="-12"/>
                    </w:rPr>
                    <w:t> </w:t>
                  </w:r>
                  <w:r>
                    <w:rPr>
                      <w:rFonts w:ascii="Arial" w:hAnsi="Arial"/>
                      <w:color w:val="231F20"/>
                    </w:rPr>
                    <w:t>la</w:t>
                  </w:r>
                  <w:r>
                    <w:rPr>
                      <w:rFonts w:ascii="Arial" w:hAnsi="Arial"/>
                      <w:color w:val="231F20"/>
                      <w:spacing w:val="-11"/>
                    </w:rPr>
                    <w:t> </w:t>
                  </w:r>
                  <w:r>
                    <w:rPr>
                      <w:rFonts w:ascii="Arial" w:hAnsi="Arial"/>
                      <w:color w:val="231F20"/>
                    </w:rPr>
                    <w:t>moins</w:t>
                  </w:r>
                  <w:r>
                    <w:rPr>
                      <w:rFonts w:ascii="Arial" w:hAnsi="Arial"/>
                      <w:color w:val="231F20"/>
                      <w:spacing w:val="-12"/>
                    </w:rPr>
                    <w:t> </w:t>
                  </w:r>
                  <w:r>
                    <w:rPr>
                      <w:rFonts w:ascii="Arial" w:hAnsi="Arial"/>
                      <w:color w:val="231F20"/>
                    </w:rPr>
                    <w:t>efficace</w:t>
                  </w:r>
                  <w:r>
                    <w:rPr>
                      <w:rFonts w:ascii="Arial" w:hAnsi="Arial"/>
                      <w:color w:val="231F20"/>
                      <w:spacing w:val="-12"/>
                    </w:rPr>
                    <w:t> </w:t>
                  </w:r>
                  <w:r>
                    <w:rPr>
                      <w:rFonts w:ascii="Arial" w:hAnsi="Arial"/>
                      <w:color w:val="231F20"/>
                    </w:rPr>
                    <w:t>des</w:t>
                  </w:r>
                  <w:r>
                    <w:rPr>
                      <w:rFonts w:ascii="Arial" w:hAnsi="Arial"/>
                      <w:color w:val="231F20"/>
                      <w:spacing w:val="-12"/>
                    </w:rPr>
                    <w:t> </w:t>
                  </w:r>
                  <w:r>
                    <w:rPr>
                      <w:rFonts w:ascii="Arial" w:hAnsi="Arial"/>
                      <w:color w:val="231F20"/>
                    </w:rPr>
                    <w:t>solutions</w:t>
                  </w:r>
                  <w:r>
                    <w:rPr>
                      <w:rFonts w:ascii="Arial" w:hAnsi="Arial"/>
                      <w:color w:val="231F20"/>
                      <w:spacing w:val="-12"/>
                    </w:rPr>
                    <w:t> </w:t>
                  </w:r>
                  <w:r>
                    <w:rPr>
                      <w:rFonts w:ascii="Arial" w:hAnsi="Arial"/>
                      <w:color w:val="231F20"/>
                    </w:rPr>
                    <w:t>puisque</w:t>
                  </w:r>
                  <w:r>
                    <w:rPr>
                      <w:rFonts w:ascii="Arial" w:hAnsi="Arial"/>
                      <w:color w:val="231F20"/>
                      <w:spacing w:val="-11"/>
                    </w:rPr>
                    <w:t> </w:t>
                  </w:r>
                  <w:r>
                    <w:rPr>
                      <w:rFonts w:ascii="Arial" w:hAnsi="Arial"/>
                      <w:color w:val="231F20"/>
                    </w:rPr>
                    <w:t>son </w:t>
                  </w:r>
                  <w:r>
                    <w:rPr>
                      <w:rFonts w:ascii="Arial" w:hAnsi="Arial"/>
                      <w:color w:val="231F20"/>
                      <w:spacing w:val="-2"/>
                    </w:rPr>
                    <w:t>action</w:t>
                  </w:r>
                  <w:r>
                    <w:rPr>
                      <w:rFonts w:ascii="Arial" w:hAnsi="Arial"/>
                      <w:color w:val="231F20"/>
                      <w:spacing w:val="-8"/>
                    </w:rPr>
                    <w:t> </w:t>
                  </w:r>
                  <w:r>
                    <w:rPr>
                      <w:rFonts w:ascii="Arial" w:hAnsi="Arial"/>
                      <w:color w:val="231F20"/>
                      <w:spacing w:val="-2"/>
                    </w:rPr>
                    <w:t>est</w:t>
                  </w:r>
                  <w:r>
                    <w:rPr>
                      <w:rFonts w:ascii="Arial" w:hAnsi="Arial"/>
                      <w:color w:val="231F20"/>
                      <w:spacing w:val="-8"/>
                    </w:rPr>
                    <w:t> </w:t>
                  </w:r>
                  <w:r>
                    <w:rPr>
                      <w:rFonts w:ascii="Arial" w:hAnsi="Arial"/>
                      <w:color w:val="231F20"/>
                      <w:spacing w:val="-2"/>
                    </w:rPr>
                    <w:t>postérieure</w:t>
                  </w:r>
                  <w:r>
                    <w:rPr>
                      <w:rFonts w:ascii="Arial" w:hAnsi="Arial"/>
                      <w:color w:val="231F20"/>
                      <w:spacing w:val="-8"/>
                    </w:rPr>
                    <w:t> </w:t>
                  </w:r>
                  <w:r>
                    <w:rPr>
                      <w:rFonts w:ascii="Arial" w:hAnsi="Arial"/>
                      <w:color w:val="231F20"/>
                      <w:spacing w:val="-2"/>
                    </w:rPr>
                    <w:t>à</w:t>
                  </w:r>
                  <w:r>
                    <w:rPr>
                      <w:rFonts w:ascii="Arial" w:hAnsi="Arial"/>
                      <w:color w:val="231F20"/>
                      <w:spacing w:val="-8"/>
                    </w:rPr>
                    <w:t> </w:t>
                  </w:r>
                  <w:r>
                    <w:rPr>
                      <w:rFonts w:ascii="Arial" w:hAnsi="Arial"/>
                      <w:color w:val="231F20"/>
                      <w:spacing w:val="-2"/>
                    </w:rPr>
                    <w:t>l’apparition</w:t>
                  </w:r>
                  <w:r>
                    <w:rPr>
                      <w:rFonts w:ascii="Arial" w:hAnsi="Arial"/>
                      <w:color w:val="231F20"/>
                      <w:spacing w:val="-8"/>
                    </w:rPr>
                    <w:t> </w:t>
                  </w:r>
                  <w:r>
                    <w:rPr>
                      <w:rFonts w:ascii="Arial" w:hAnsi="Arial"/>
                      <w:color w:val="231F20"/>
                      <w:spacing w:val="-2"/>
                    </w:rPr>
                    <w:t>des</w:t>
                  </w:r>
                  <w:r>
                    <w:rPr>
                      <w:rFonts w:ascii="Arial" w:hAnsi="Arial"/>
                      <w:color w:val="231F20"/>
                      <w:spacing w:val="-8"/>
                    </w:rPr>
                    <w:t> </w:t>
                  </w:r>
                  <w:r>
                    <w:rPr>
                      <w:rFonts w:ascii="Arial" w:hAnsi="Arial"/>
                      <w:color w:val="231F20"/>
                      <w:spacing w:val="-2"/>
                    </w:rPr>
                    <w:t>conséquences</w:t>
                  </w:r>
                  <w:r>
                    <w:rPr>
                      <w:rFonts w:ascii="Arial" w:hAnsi="Arial"/>
                      <w:color w:val="231F20"/>
                      <w:spacing w:val="-8"/>
                    </w:rPr>
                    <w:t> </w:t>
                  </w:r>
                  <w:r>
                    <w:rPr>
                      <w:rFonts w:ascii="Arial" w:hAnsi="Arial"/>
                      <w:color w:val="231F20"/>
                      <w:spacing w:val="-2"/>
                    </w:rPr>
                    <w:t>du</w:t>
                  </w:r>
                  <w:r>
                    <w:rPr>
                      <w:rFonts w:ascii="Arial" w:hAnsi="Arial"/>
                      <w:color w:val="231F20"/>
                      <w:spacing w:val="-8"/>
                    </w:rPr>
                    <w:t> </w:t>
                  </w:r>
                  <w:r>
                    <w:rPr>
                      <w:rFonts w:ascii="Arial" w:hAnsi="Arial"/>
                      <w:color w:val="231F20"/>
                      <w:spacing w:val="-2"/>
                    </w:rPr>
                    <w:t>stress.</w:t>
                  </w:r>
                </w:p>
              </w:txbxContent>
            </v:textbox>
            <v:fill type="solid"/>
            <w10:wrap type="topAndBottom"/>
          </v:shape>
        </w:pict>
      </w:r>
    </w:p>
    <w:p>
      <w:pPr>
        <w:pStyle w:val="BodyText"/>
        <w:spacing w:before="2"/>
        <w:rPr>
          <w:rFonts w:ascii="Arial"/>
        </w:rPr>
      </w:pPr>
    </w:p>
    <w:p>
      <w:pPr>
        <w:pStyle w:val="BodyText"/>
        <w:spacing w:line="307" w:lineRule="auto" w:before="145"/>
        <w:ind w:left="829" w:right="493"/>
        <w:jc w:val="both"/>
      </w:pPr>
      <w:r>
        <w:rPr>
          <w:color w:val="231F20"/>
          <w:w w:val="120"/>
        </w:rPr>
        <w:t>En ce qui concerne les interventions organisationnelles en matière de gestion</w:t>
      </w:r>
      <w:r>
        <w:rPr>
          <w:color w:val="231F20"/>
          <w:spacing w:val="-9"/>
          <w:w w:val="120"/>
        </w:rPr>
        <w:t> </w:t>
      </w:r>
      <w:r>
        <w:rPr>
          <w:color w:val="231F20"/>
          <w:w w:val="120"/>
        </w:rPr>
        <w:t>du</w:t>
      </w:r>
      <w:r>
        <w:rPr>
          <w:color w:val="231F20"/>
          <w:spacing w:val="-9"/>
          <w:w w:val="120"/>
        </w:rPr>
        <w:t> </w:t>
      </w:r>
      <w:r>
        <w:rPr>
          <w:color w:val="231F20"/>
          <w:w w:val="120"/>
        </w:rPr>
        <w:t>stress</w:t>
      </w:r>
      <w:r>
        <w:rPr>
          <w:color w:val="231F20"/>
          <w:spacing w:val="-9"/>
          <w:w w:val="120"/>
        </w:rPr>
        <w:t> </w:t>
      </w:r>
      <w:r>
        <w:rPr>
          <w:color w:val="231F20"/>
          <w:w w:val="120"/>
        </w:rPr>
        <w:t>professionnel,</w:t>
      </w:r>
      <w:r>
        <w:rPr>
          <w:color w:val="231F20"/>
          <w:spacing w:val="-9"/>
          <w:w w:val="120"/>
        </w:rPr>
        <w:t> </w:t>
      </w:r>
      <w:r>
        <w:rPr>
          <w:color w:val="231F20"/>
          <w:w w:val="120"/>
        </w:rPr>
        <w:t>l’objectif</w:t>
      </w:r>
      <w:r>
        <w:rPr>
          <w:color w:val="231F20"/>
          <w:spacing w:val="-9"/>
          <w:w w:val="120"/>
        </w:rPr>
        <w:t> </w:t>
      </w:r>
      <w:r>
        <w:rPr>
          <w:color w:val="231F20"/>
          <w:w w:val="120"/>
        </w:rPr>
        <w:t>ultime</w:t>
      </w:r>
      <w:r>
        <w:rPr>
          <w:color w:val="231F20"/>
          <w:spacing w:val="-9"/>
          <w:w w:val="120"/>
        </w:rPr>
        <w:t> </w:t>
      </w:r>
      <w:r>
        <w:rPr>
          <w:color w:val="231F20"/>
          <w:w w:val="120"/>
        </w:rPr>
        <w:t>est</w:t>
      </w:r>
      <w:r>
        <w:rPr>
          <w:color w:val="231F20"/>
          <w:spacing w:val="-9"/>
          <w:w w:val="120"/>
        </w:rPr>
        <w:t> </w:t>
      </w:r>
      <w:r>
        <w:rPr>
          <w:color w:val="231F20"/>
          <w:w w:val="120"/>
        </w:rPr>
        <w:t>de</w:t>
      </w:r>
      <w:r>
        <w:rPr>
          <w:color w:val="231F20"/>
          <w:spacing w:val="-9"/>
          <w:w w:val="120"/>
        </w:rPr>
        <w:t> </w:t>
      </w:r>
      <w:r>
        <w:rPr>
          <w:color w:val="231F20"/>
          <w:w w:val="120"/>
        </w:rPr>
        <w:t>réduire</w:t>
      </w:r>
      <w:r>
        <w:rPr>
          <w:color w:val="231F20"/>
          <w:spacing w:val="-9"/>
          <w:w w:val="120"/>
        </w:rPr>
        <w:t> </w:t>
      </w:r>
      <w:r>
        <w:rPr>
          <w:color w:val="231F20"/>
          <w:w w:val="120"/>
        </w:rPr>
        <w:t>au</w:t>
      </w:r>
      <w:r>
        <w:rPr>
          <w:color w:val="231F20"/>
          <w:spacing w:val="-9"/>
          <w:w w:val="120"/>
        </w:rPr>
        <w:t> </w:t>
      </w:r>
      <w:r>
        <w:rPr>
          <w:color w:val="231F20"/>
          <w:w w:val="120"/>
        </w:rPr>
        <w:t>mini- mum l’occurrence de situations qui suscitent des tensions au sein </w:t>
      </w:r>
      <w:r>
        <w:rPr>
          <w:color w:val="231F20"/>
          <w:w w:val="120"/>
        </w:rPr>
        <w:t>de l’entreprise.</w:t>
      </w:r>
      <w:r>
        <w:rPr>
          <w:color w:val="231F20"/>
          <w:spacing w:val="-2"/>
          <w:w w:val="120"/>
        </w:rPr>
        <w:t> </w:t>
      </w:r>
      <w:r>
        <w:rPr>
          <w:color w:val="231F20"/>
          <w:w w:val="120"/>
        </w:rPr>
        <w:t>Nombre</w:t>
      </w:r>
      <w:r>
        <w:rPr>
          <w:color w:val="231F20"/>
          <w:spacing w:val="-2"/>
          <w:w w:val="120"/>
        </w:rPr>
        <w:t> </w:t>
      </w:r>
      <w:r>
        <w:rPr>
          <w:color w:val="231F20"/>
          <w:w w:val="120"/>
        </w:rPr>
        <w:t>de</w:t>
      </w:r>
      <w:r>
        <w:rPr>
          <w:color w:val="231F20"/>
          <w:spacing w:val="-2"/>
          <w:w w:val="120"/>
        </w:rPr>
        <w:t> </w:t>
      </w:r>
      <w:r>
        <w:rPr>
          <w:color w:val="231F20"/>
          <w:w w:val="120"/>
        </w:rPr>
        <w:t>cibles</w:t>
      </w:r>
      <w:r>
        <w:rPr>
          <w:color w:val="231F20"/>
          <w:spacing w:val="-2"/>
          <w:w w:val="120"/>
        </w:rPr>
        <w:t> </w:t>
      </w:r>
      <w:r>
        <w:rPr>
          <w:color w:val="231F20"/>
          <w:w w:val="120"/>
        </w:rPr>
        <w:t>particulières</w:t>
      </w:r>
      <w:r>
        <w:rPr>
          <w:color w:val="231F20"/>
          <w:spacing w:val="-2"/>
          <w:w w:val="120"/>
        </w:rPr>
        <w:t> </w:t>
      </w:r>
      <w:r>
        <w:rPr>
          <w:color w:val="231F20"/>
          <w:w w:val="120"/>
        </w:rPr>
        <w:t>peuvent</w:t>
      </w:r>
      <w:r>
        <w:rPr>
          <w:color w:val="231F20"/>
          <w:spacing w:val="-2"/>
          <w:w w:val="120"/>
        </w:rPr>
        <w:t> </w:t>
      </w:r>
      <w:r>
        <w:rPr>
          <w:color w:val="231F20"/>
          <w:w w:val="120"/>
        </w:rPr>
        <w:t>être</w:t>
      </w:r>
      <w:r>
        <w:rPr>
          <w:color w:val="231F20"/>
          <w:spacing w:val="-2"/>
          <w:w w:val="120"/>
        </w:rPr>
        <w:t> </w:t>
      </w:r>
      <w:r>
        <w:rPr>
          <w:color w:val="231F20"/>
          <w:w w:val="120"/>
        </w:rPr>
        <w:t>utilisées</w:t>
      </w:r>
      <w:r>
        <w:rPr>
          <w:color w:val="231F20"/>
          <w:spacing w:val="-2"/>
          <w:w w:val="120"/>
        </w:rPr>
        <w:t> </w:t>
      </w:r>
      <w:r>
        <w:rPr>
          <w:color w:val="231F20"/>
          <w:w w:val="120"/>
        </w:rPr>
        <w:t>dans cet esprit, dont des mesures qui visent la structure de l’organisation, </w:t>
      </w:r>
      <w:r>
        <w:rPr>
          <w:color w:val="231F20"/>
          <w:spacing w:val="-2"/>
          <w:w w:val="120"/>
        </w:rPr>
        <w:t>les</w:t>
      </w:r>
      <w:r>
        <w:rPr>
          <w:color w:val="231F20"/>
          <w:spacing w:val="-7"/>
          <w:w w:val="120"/>
        </w:rPr>
        <w:t> </w:t>
      </w:r>
      <w:r>
        <w:rPr>
          <w:color w:val="231F20"/>
          <w:spacing w:val="-2"/>
          <w:w w:val="120"/>
        </w:rPr>
        <w:t>styles</w:t>
      </w:r>
      <w:r>
        <w:rPr>
          <w:color w:val="231F20"/>
          <w:spacing w:val="-7"/>
          <w:w w:val="120"/>
        </w:rPr>
        <w:t> </w:t>
      </w:r>
      <w:r>
        <w:rPr>
          <w:color w:val="231F20"/>
          <w:spacing w:val="-2"/>
          <w:w w:val="120"/>
        </w:rPr>
        <w:t>de</w:t>
      </w:r>
      <w:r>
        <w:rPr>
          <w:color w:val="231F20"/>
          <w:spacing w:val="-7"/>
          <w:w w:val="120"/>
        </w:rPr>
        <w:t> </w:t>
      </w:r>
      <w:r>
        <w:rPr>
          <w:color w:val="231F20"/>
          <w:spacing w:val="-2"/>
          <w:w w:val="120"/>
        </w:rPr>
        <w:t>gestion,</w:t>
      </w:r>
      <w:r>
        <w:rPr>
          <w:color w:val="231F20"/>
          <w:spacing w:val="-7"/>
          <w:w w:val="120"/>
        </w:rPr>
        <w:t> </w:t>
      </w:r>
      <w:r>
        <w:rPr>
          <w:color w:val="231F20"/>
          <w:spacing w:val="-2"/>
          <w:w w:val="120"/>
        </w:rPr>
        <w:t>le</w:t>
      </w:r>
      <w:r>
        <w:rPr>
          <w:color w:val="231F20"/>
          <w:spacing w:val="-7"/>
          <w:w w:val="120"/>
        </w:rPr>
        <w:t> </w:t>
      </w:r>
      <w:r>
        <w:rPr>
          <w:color w:val="231F20"/>
          <w:spacing w:val="-2"/>
          <w:w w:val="120"/>
        </w:rPr>
        <w:t>processus</w:t>
      </w:r>
      <w:r>
        <w:rPr>
          <w:color w:val="231F20"/>
          <w:spacing w:val="-7"/>
          <w:w w:val="120"/>
        </w:rPr>
        <w:t> </w:t>
      </w:r>
      <w:r>
        <w:rPr>
          <w:color w:val="231F20"/>
          <w:spacing w:val="-2"/>
          <w:w w:val="120"/>
        </w:rPr>
        <w:t>décisionnel,</w:t>
      </w:r>
      <w:r>
        <w:rPr>
          <w:color w:val="231F20"/>
          <w:spacing w:val="-7"/>
          <w:w w:val="120"/>
        </w:rPr>
        <w:t> </w:t>
      </w:r>
      <w:r>
        <w:rPr>
          <w:color w:val="231F20"/>
          <w:spacing w:val="-2"/>
          <w:w w:val="120"/>
        </w:rPr>
        <w:t>la</w:t>
      </w:r>
      <w:r>
        <w:rPr>
          <w:color w:val="231F20"/>
          <w:spacing w:val="-7"/>
          <w:w w:val="120"/>
        </w:rPr>
        <w:t> </w:t>
      </w:r>
      <w:r>
        <w:rPr>
          <w:color w:val="231F20"/>
          <w:spacing w:val="-2"/>
          <w:w w:val="120"/>
        </w:rPr>
        <w:t>culture</w:t>
      </w:r>
      <w:r>
        <w:rPr>
          <w:color w:val="231F20"/>
          <w:spacing w:val="-7"/>
          <w:w w:val="120"/>
        </w:rPr>
        <w:t> </w:t>
      </w:r>
      <w:r>
        <w:rPr>
          <w:color w:val="231F20"/>
          <w:spacing w:val="-2"/>
          <w:w w:val="120"/>
        </w:rPr>
        <w:t>d’entreprise,</w:t>
      </w:r>
      <w:r>
        <w:rPr>
          <w:color w:val="231F20"/>
          <w:spacing w:val="-7"/>
          <w:w w:val="120"/>
        </w:rPr>
        <w:t> </w:t>
      </w:r>
      <w:r>
        <w:rPr>
          <w:color w:val="231F20"/>
          <w:spacing w:val="-2"/>
          <w:w w:val="120"/>
        </w:rPr>
        <w:t>les </w:t>
      </w:r>
      <w:r>
        <w:rPr>
          <w:color w:val="231F20"/>
          <w:spacing w:val="-4"/>
          <w:w w:val="120"/>
        </w:rPr>
        <w:t>fonctions de travail ou encore, les méthodes d’embauche et de formation. </w:t>
      </w:r>
      <w:r>
        <w:rPr>
          <w:color w:val="231F20"/>
          <w:w w:val="115"/>
        </w:rPr>
        <w:t>De</w:t>
      </w:r>
      <w:r>
        <w:rPr>
          <w:color w:val="231F20"/>
          <w:spacing w:val="-4"/>
          <w:w w:val="115"/>
        </w:rPr>
        <w:t> </w:t>
      </w:r>
      <w:r>
        <w:rPr>
          <w:color w:val="231F20"/>
          <w:w w:val="115"/>
        </w:rPr>
        <w:t>plus,</w:t>
      </w:r>
      <w:r>
        <w:rPr>
          <w:color w:val="231F20"/>
          <w:spacing w:val="-4"/>
          <w:w w:val="115"/>
        </w:rPr>
        <w:t> </w:t>
      </w:r>
      <w:r>
        <w:rPr>
          <w:color w:val="231F20"/>
          <w:w w:val="115"/>
        </w:rPr>
        <w:t>en</w:t>
      </w:r>
      <w:r>
        <w:rPr>
          <w:color w:val="231F20"/>
          <w:spacing w:val="-4"/>
          <w:w w:val="115"/>
        </w:rPr>
        <w:t> </w:t>
      </w:r>
      <w:r>
        <w:rPr>
          <w:color w:val="231F20"/>
          <w:w w:val="115"/>
        </w:rPr>
        <w:t>milieu</w:t>
      </w:r>
      <w:r>
        <w:rPr>
          <w:color w:val="231F20"/>
          <w:spacing w:val="-4"/>
          <w:w w:val="115"/>
        </w:rPr>
        <w:t> </w:t>
      </w:r>
      <w:r>
        <w:rPr>
          <w:color w:val="231F20"/>
          <w:w w:val="115"/>
        </w:rPr>
        <w:t>de</w:t>
      </w:r>
      <w:r>
        <w:rPr>
          <w:color w:val="231F20"/>
          <w:spacing w:val="-4"/>
          <w:w w:val="115"/>
        </w:rPr>
        <w:t> </w:t>
      </w:r>
      <w:r>
        <w:rPr>
          <w:color w:val="231F20"/>
          <w:w w:val="115"/>
        </w:rPr>
        <w:t>travail,</w:t>
      </w:r>
      <w:r>
        <w:rPr>
          <w:color w:val="231F20"/>
          <w:spacing w:val="-4"/>
          <w:w w:val="115"/>
        </w:rPr>
        <w:t> </w:t>
      </w:r>
      <w:r>
        <w:rPr>
          <w:color w:val="231F20"/>
          <w:w w:val="115"/>
        </w:rPr>
        <w:t>il</w:t>
      </w:r>
      <w:r>
        <w:rPr>
          <w:color w:val="231F20"/>
          <w:spacing w:val="-4"/>
          <w:w w:val="115"/>
        </w:rPr>
        <w:t> </w:t>
      </w:r>
      <w:r>
        <w:rPr>
          <w:color w:val="231F20"/>
          <w:w w:val="115"/>
        </w:rPr>
        <w:t>importe</w:t>
      </w:r>
      <w:r>
        <w:rPr>
          <w:color w:val="231F20"/>
          <w:spacing w:val="-4"/>
          <w:w w:val="115"/>
        </w:rPr>
        <w:t> </w:t>
      </w:r>
      <w:r>
        <w:rPr>
          <w:color w:val="231F20"/>
          <w:w w:val="115"/>
        </w:rPr>
        <w:t>de</w:t>
      </w:r>
      <w:r>
        <w:rPr>
          <w:color w:val="231F20"/>
          <w:spacing w:val="-4"/>
          <w:w w:val="115"/>
        </w:rPr>
        <w:t> </w:t>
      </w:r>
      <w:r>
        <w:rPr>
          <w:color w:val="231F20"/>
          <w:w w:val="115"/>
        </w:rPr>
        <w:t>tenir</w:t>
      </w:r>
      <w:r>
        <w:rPr>
          <w:color w:val="231F20"/>
          <w:spacing w:val="-4"/>
          <w:w w:val="115"/>
        </w:rPr>
        <w:t> </w:t>
      </w:r>
      <w:r>
        <w:rPr>
          <w:color w:val="231F20"/>
          <w:w w:val="115"/>
        </w:rPr>
        <w:t>compte</w:t>
      </w:r>
      <w:r>
        <w:rPr>
          <w:color w:val="231F20"/>
          <w:spacing w:val="-4"/>
          <w:w w:val="115"/>
        </w:rPr>
        <w:t> </w:t>
      </w:r>
      <w:r>
        <w:rPr>
          <w:color w:val="231F20"/>
          <w:w w:val="115"/>
        </w:rPr>
        <w:t>des</w:t>
      </w:r>
      <w:r>
        <w:rPr>
          <w:color w:val="231F20"/>
          <w:spacing w:val="-4"/>
          <w:w w:val="115"/>
        </w:rPr>
        <w:t> </w:t>
      </w:r>
      <w:r>
        <w:rPr>
          <w:color w:val="231F20"/>
          <w:w w:val="115"/>
        </w:rPr>
        <w:t>améliorations </w:t>
      </w:r>
      <w:r>
        <w:rPr>
          <w:color w:val="231F20"/>
          <w:w w:val="120"/>
        </w:rPr>
        <w:t>physiques sur les plans de l’ergonomie, de la sécurité et de l’hygiène. Ce sont là des préoccupations particulièrement pertinentes pour les travailleurs.</w:t>
      </w:r>
      <w:r>
        <w:rPr>
          <w:color w:val="231F20"/>
          <w:spacing w:val="-10"/>
          <w:w w:val="120"/>
        </w:rPr>
        <w:t> </w:t>
      </w:r>
      <w:r>
        <w:rPr>
          <w:color w:val="231F20"/>
          <w:w w:val="120"/>
        </w:rPr>
        <w:t>Pour</w:t>
      </w:r>
      <w:r>
        <w:rPr>
          <w:color w:val="231F20"/>
          <w:spacing w:val="-10"/>
          <w:w w:val="120"/>
        </w:rPr>
        <w:t> </w:t>
      </w:r>
      <w:r>
        <w:rPr>
          <w:color w:val="231F20"/>
          <w:w w:val="120"/>
        </w:rPr>
        <w:t>l’entreprise,</w:t>
      </w:r>
      <w:r>
        <w:rPr>
          <w:color w:val="231F20"/>
          <w:spacing w:val="-10"/>
          <w:w w:val="120"/>
        </w:rPr>
        <w:t> </w:t>
      </w:r>
      <w:r>
        <w:rPr>
          <w:color w:val="231F20"/>
          <w:w w:val="120"/>
        </w:rPr>
        <w:t>elles</w:t>
      </w:r>
      <w:r>
        <w:rPr>
          <w:color w:val="231F20"/>
          <w:spacing w:val="-10"/>
          <w:w w:val="120"/>
        </w:rPr>
        <w:t> </w:t>
      </w:r>
      <w:r>
        <w:rPr>
          <w:color w:val="231F20"/>
          <w:w w:val="120"/>
        </w:rPr>
        <w:t>représentent</w:t>
      </w:r>
      <w:r>
        <w:rPr>
          <w:color w:val="231F20"/>
          <w:spacing w:val="-10"/>
          <w:w w:val="120"/>
        </w:rPr>
        <w:t> </w:t>
      </w:r>
      <w:r>
        <w:rPr>
          <w:color w:val="231F20"/>
          <w:w w:val="120"/>
        </w:rPr>
        <w:t>des</w:t>
      </w:r>
      <w:r>
        <w:rPr>
          <w:color w:val="231F20"/>
          <w:spacing w:val="-10"/>
          <w:w w:val="120"/>
        </w:rPr>
        <w:t> </w:t>
      </w:r>
      <w:r>
        <w:rPr>
          <w:color w:val="231F20"/>
          <w:w w:val="120"/>
        </w:rPr>
        <w:t>efforts</w:t>
      </w:r>
      <w:r>
        <w:rPr>
          <w:color w:val="231F20"/>
          <w:spacing w:val="-10"/>
          <w:w w:val="120"/>
        </w:rPr>
        <w:t> </w:t>
      </w:r>
      <w:r>
        <w:rPr>
          <w:color w:val="231F20"/>
          <w:w w:val="120"/>
        </w:rPr>
        <w:t>qui</w:t>
      </w:r>
      <w:r>
        <w:rPr>
          <w:color w:val="231F20"/>
          <w:spacing w:val="-10"/>
          <w:w w:val="120"/>
        </w:rPr>
        <w:t> </w:t>
      </w:r>
      <w:r>
        <w:rPr>
          <w:color w:val="231F20"/>
          <w:w w:val="120"/>
        </w:rPr>
        <w:t>visent</w:t>
      </w:r>
      <w:r>
        <w:rPr>
          <w:color w:val="231F20"/>
          <w:spacing w:val="-10"/>
          <w:w w:val="120"/>
        </w:rPr>
        <w:t> </w:t>
      </w:r>
      <w:r>
        <w:rPr>
          <w:color w:val="231F20"/>
          <w:w w:val="120"/>
        </w:rPr>
        <w:t>à améliorer le bien-être des employés.</w:t>
      </w:r>
    </w:p>
    <w:p>
      <w:pPr>
        <w:pStyle w:val="BodyText"/>
        <w:spacing w:line="307" w:lineRule="auto" w:before="78"/>
        <w:ind w:left="829" w:right="494" w:firstLine="250"/>
        <w:jc w:val="both"/>
      </w:pPr>
      <w:r>
        <w:rPr>
          <w:color w:val="231F20"/>
          <w:w w:val="120"/>
        </w:rPr>
        <w:t>Généralement,</w:t>
      </w:r>
      <w:r>
        <w:rPr>
          <w:color w:val="231F20"/>
          <w:spacing w:val="-13"/>
          <w:w w:val="120"/>
        </w:rPr>
        <w:t> </w:t>
      </w:r>
      <w:r>
        <w:rPr>
          <w:color w:val="231F20"/>
          <w:w w:val="120"/>
        </w:rPr>
        <w:t>les</w:t>
      </w:r>
      <w:r>
        <w:rPr>
          <w:color w:val="231F20"/>
          <w:spacing w:val="-13"/>
          <w:w w:val="120"/>
        </w:rPr>
        <w:t> </w:t>
      </w:r>
      <w:r>
        <w:rPr>
          <w:color w:val="231F20"/>
          <w:w w:val="120"/>
        </w:rPr>
        <w:t>interventions</w:t>
      </w:r>
      <w:r>
        <w:rPr>
          <w:color w:val="231F20"/>
          <w:spacing w:val="-13"/>
          <w:w w:val="120"/>
        </w:rPr>
        <w:t> </w:t>
      </w:r>
      <w:r>
        <w:rPr>
          <w:color w:val="231F20"/>
          <w:w w:val="120"/>
        </w:rPr>
        <w:t>organisationnelles</w:t>
      </w:r>
      <w:r>
        <w:rPr>
          <w:color w:val="231F20"/>
          <w:spacing w:val="-12"/>
          <w:w w:val="120"/>
        </w:rPr>
        <w:t> </w:t>
      </w:r>
      <w:r>
        <w:rPr>
          <w:color w:val="231F20"/>
          <w:w w:val="120"/>
        </w:rPr>
        <w:t>visant</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et le</w:t>
      </w:r>
      <w:r>
        <w:rPr>
          <w:color w:val="231F20"/>
          <w:spacing w:val="-7"/>
          <w:w w:val="120"/>
        </w:rPr>
        <w:t> </w:t>
      </w:r>
      <w:r>
        <w:rPr>
          <w:color w:val="231F20"/>
          <w:w w:val="120"/>
        </w:rPr>
        <w:t>bien-être</w:t>
      </w:r>
      <w:r>
        <w:rPr>
          <w:color w:val="231F20"/>
          <w:spacing w:val="-7"/>
          <w:w w:val="120"/>
        </w:rPr>
        <w:t> </w:t>
      </w:r>
      <w:r>
        <w:rPr>
          <w:color w:val="231F20"/>
          <w:w w:val="120"/>
        </w:rPr>
        <w:t>ont</w:t>
      </w:r>
      <w:r>
        <w:rPr>
          <w:color w:val="231F20"/>
          <w:spacing w:val="-7"/>
          <w:w w:val="120"/>
        </w:rPr>
        <w:t> </w:t>
      </w:r>
      <w:r>
        <w:rPr>
          <w:color w:val="231F20"/>
          <w:w w:val="120"/>
        </w:rPr>
        <w:t>comme</w:t>
      </w:r>
      <w:r>
        <w:rPr>
          <w:color w:val="231F20"/>
          <w:spacing w:val="-7"/>
          <w:w w:val="120"/>
        </w:rPr>
        <w:t> </w:t>
      </w:r>
      <w:r>
        <w:rPr>
          <w:color w:val="231F20"/>
          <w:w w:val="120"/>
        </w:rPr>
        <w:t>objectif</w:t>
      </w:r>
      <w:r>
        <w:rPr>
          <w:color w:val="231F20"/>
          <w:spacing w:val="-7"/>
          <w:w w:val="120"/>
        </w:rPr>
        <w:t> </w:t>
      </w:r>
      <w:r>
        <w:rPr>
          <w:color w:val="231F20"/>
          <w:w w:val="120"/>
        </w:rPr>
        <w:t>de</w:t>
      </w:r>
      <w:r>
        <w:rPr>
          <w:color w:val="231F20"/>
          <w:spacing w:val="-7"/>
          <w:w w:val="120"/>
        </w:rPr>
        <w:t> </w:t>
      </w:r>
      <w:r>
        <w:rPr>
          <w:color w:val="231F20"/>
          <w:w w:val="120"/>
        </w:rPr>
        <w:t>restructurer</w:t>
      </w:r>
      <w:r>
        <w:rPr>
          <w:color w:val="231F20"/>
          <w:spacing w:val="-7"/>
          <w:w w:val="120"/>
        </w:rPr>
        <w:t> </w:t>
      </w:r>
      <w:r>
        <w:rPr>
          <w:color w:val="231F20"/>
          <w:w w:val="120"/>
        </w:rPr>
        <w:t>les</w:t>
      </w:r>
      <w:r>
        <w:rPr>
          <w:color w:val="231F20"/>
          <w:spacing w:val="-7"/>
          <w:w w:val="120"/>
        </w:rPr>
        <w:t> </w:t>
      </w:r>
      <w:r>
        <w:rPr>
          <w:color w:val="231F20"/>
          <w:w w:val="120"/>
        </w:rPr>
        <w:t>procédés</w:t>
      </w:r>
      <w:r>
        <w:rPr>
          <w:color w:val="231F20"/>
          <w:spacing w:val="-7"/>
          <w:w w:val="120"/>
        </w:rPr>
        <w:t> </w:t>
      </w:r>
      <w:r>
        <w:rPr>
          <w:color w:val="231F20"/>
          <w:w w:val="120"/>
        </w:rPr>
        <w:t>de</w:t>
      </w:r>
      <w:r>
        <w:rPr>
          <w:color w:val="231F20"/>
          <w:spacing w:val="-7"/>
          <w:w w:val="120"/>
        </w:rPr>
        <w:t> </w:t>
      </w:r>
      <w:r>
        <w:rPr>
          <w:color w:val="231F20"/>
          <w:w w:val="120"/>
        </w:rPr>
        <w:t>produc- </w:t>
      </w:r>
      <w:r>
        <w:rPr>
          <w:color w:val="231F20"/>
          <w:w w:val="115"/>
        </w:rPr>
        <w:t>tion</w:t>
      </w:r>
      <w:r>
        <w:rPr>
          <w:color w:val="231F20"/>
          <w:spacing w:val="-3"/>
          <w:w w:val="115"/>
        </w:rPr>
        <w:t> </w:t>
      </w:r>
      <w:r>
        <w:rPr>
          <w:color w:val="231F20"/>
          <w:w w:val="115"/>
        </w:rPr>
        <w:t>et</w:t>
      </w:r>
      <w:r>
        <w:rPr>
          <w:color w:val="231F20"/>
          <w:spacing w:val="-3"/>
          <w:w w:val="115"/>
        </w:rPr>
        <w:t> </w:t>
      </w:r>
      <w:r>
        <w:rPr>
          <w:color w:val="231F20"/>
          <w:w w:val="115"/>
        </w:rPr>
        <w:t>les</w:t>
      </w:r>
      <w:r>
        <w:rPr>
          <w:color w:val="231F20"/>
          <w:spacing w:val="-3"/>
          <w:w w:val="115"/>
        </w:rPr>
        <w:t> </w:t>
      </w:r>
      <w:r>
        <w:rPr>
          <w:color w:val="231F20"/>
          <w:w w:val="115"/>
        </w:rPr>
        <w:t>tâches,</w:t>
      </w:r>
      <w:r>
        <w:rPr>
          <w:color w:val="231F20"/>
          <w:spacing w:val="-3"/>
          <w:w w:val="115"/>
        </w:rPr>
        <w:t> </w:t>
      </w:r>
      <w:r>
        <w:rPr>
          <w:color w:val="231F20"/>
          <w:w w:val="115"/>
        </w:rPr>
        <w:t>ce</w:t>
      </w:r>
      <w:r>
        <w:rPr>
          <w:color w:val="231F20"/>
          <w:spacing w:val="-3"/>
          <w:w w:val="115"/>
        </w:rPr>
        <w:t> </w:t>
      </w:r>
      <w:r>
        <w:rPr>
          <w:color w:val="231F20"/>
          <w:w w:val="115"/>
        </w:rPr>
        <w:t>qui</w:t>
      </w:r>
      <w:r>
        <w:rPr>
          <w:color w:val="231F20"/>
          <w:spacing w:val="-3"/>
          <w:w w:val="115"/>
        </w:rPr>
        <w:t> </w:t>
      </w:r>
      <w:r>
        <w:rPr>
          <w:color w:val="231F20"/>
          <w:w w:val="115"/>
        </w:rPr>
        <w:t>permet</w:t>
      </w:r>
      <w:r>
        <w:rPr>
          <w:color w:val="231F20"/>
          <w:spacing w:val="-3"/>
          <w:w w:val="115"/>
        </w:rPr>
        <w:t> </w:t>
      </w:r>
      <w:r>
        <w:rPr>
          <w:color w:val="231F20"/>
          <w:w w:val="115"/>
        </w:rPr>
        <w:t>aux</w:t>
      </w:r>
      <w:r>
        <w:rPr>
          <w:color w:val="231F20"/>
          <w:spacing w:val="-3"/>
          <w:w w:val="115"/>
        </w:rPr>
        <w:t> </w:t>
      </w:r>
      <w:r>
        <w:rPr>
          <w:color w:val="231F20"/>
          <w:w w:val="115"/>
        </w:rPr>
        <w:t>travailleurs</w:t>
      </w:r>
      <w:r>
        <w:rPr>
          <w:color w:val="231F20"/>
          <w:spacing w:val="-3"/>
          <w:w w:val="115"/>
        </w:rPr>
        <w:t> </w:t>
      </w:r>
      <w:r>
        <w:rPr>
          <w:color w:val="231F20"/>
          <w:w w:val="115"/>
        </w:rPr>
        <w:t>de</w:t>
      </w:r>
      <w:r>
        <w:rPr>
          <w:color w:val="231F20"/>
          <w:spacing w:val="-3"/>
          <w:w w:val="115"/>
        </w:rPr>
        <w:t> </w:t>
      </w:r>
      <w:r>
        <w:rPr>
          <w:color w:val="231F20"/>
          <w:w w:val="115"/>
        </w:rPr>
        <w:t>développer</w:t>
      </w:r>
      <w:r>
        <w:rPr>
          <w:color w:val="231F20"/>
          <w:spacing w:val="-3"/>
          <w:w w:val="115"/>
        </w:rPr>
        <w:t> </w:t>
      </w:r>
      <w:r>
        <w:rPr>
          <w:color w:val="231F20"/>
          <w:w w:val="115"/>
        </w:rPr>
        <w:t>leurs</w:t>
      </w:r>
      <w:r>
        <w:rPr>
          <w:color w:val="231F20"/>
          <w:spacing w:val="-3"/>
          <w:w w:val="115"/>
        </w:rPr>
        <w:t> </w:t>
      </w:r>
      <w:r>
        <w:rPr>
          <w:color w:val="231F20"/>
          <w:w w:val="115"/>
        </w:rPr>
        <w:t>com- pétences et d’accroître leur champ de responsabilités. Ces améliorations </w:t>
      </w:r>
      <w:r>
        <w:rPr>
          <w:color w:val="231F20"/>
          <w:w w:val="120"/>
        </w:rPr>
        <w:t>peuvent</w:t>
      </w:r>
      <w:r>
        <w:rPr>
          <w:color w:val="231F20"/>
          <w:spacing w:val="-10"/>
          <w:w w:val="120"/>
        </w:rPr>
        <w:t> </w:t>
      </w:r>
      <w:r>
        <w:rPr>
          <w:color w:val="231F20"/>
          <w:w w:val="120"/>
        </w:rPr>
        <w:t>s’actualiser</w:t>
      </w:r>
      <w:r>
        <w:rPr>
          <w:color w:val="231F20"/>
          <w:spacing w:val="-10"/>
          <w:w w:val="120"/>
        </w:rPr>
        <w:t> </w:t>
      </w:r>
      <w:r>
        <w:rPr>
          <w:color w:val="231F20"/>
          <w:w w:val="120"/>
        </w:rPr>
        <w:t>par</w:t>
      </w:r>
      <w:r>
        <w:rPr>
          <w:color w:val="231F20"/>
          <w:spacing w:val="-10"/>
          <w:w w:val="120"/>
        </w:rPr>
        <w:t> </w:t>
      </w:r>
      <w:r>
        <w:rPr>
          <w:color w:val="231F20"/>
          <w:w w:val="120"/>
        </w:rPr>
        <w:t>divers</w:t>
      </w:r>
      <w:r>
        <w:rPr>
          <w:color w:val="231F20"/>
          <w:spacing w:val="-10"/>
          <w:w w:val="120"/>
        </w:rPr>
        <w:t> </w:t>
      </w:r>
      <w:r>
        <w:rPr>
          <w:color w:val="231F20"/>
          <w:w w:val="120"/>
        </w:rPr>
        <w:t>moyens:</w:t>
      </w:r>
      <w:r>
        <w:rPr>
          <w:color w:val="231F20"/>
          <w:spacing w:val="-10"/>
          <w:w w:val="120"/>
        </w:rPr>
        <w:t> </w:t>
      </w:r>
      <w:r>
        <w:rPr>
          <w:color w:val="231F20"/>
          <w:w w:val="120"/>
        </w:rPr>
        <w:t>les</w:t>
      </w:r>
      <w:r>
        <w:rPr>
          <w:color w:val="231F20"/>
          <w:spacing w:val="-10"/>
          <w:w w:val="120"/>
        </w:rPr>
        <w:t> </w:t>
      </w:r>
      <w:r>
        <w:rPr>
          <w:color w:val="231F20"/>
          <w:w w:val="120"/>
        </w:rPr>
        <w:t>programmes</w:t>
      </w:r>
      <w:r>
        <w:rPr>
          <w:color w:val="231F20"/>
          <w:spacing w:val="-10"/>
          <w:w w:val="120"/>
        </w:rPr>
        <w:t> </w:t>
      </w:r>
      <w:r>
        <w:rPr>
          <w:color w:val="231F20"/>
          <w:w w:val="120"/>
        </w:rPr>
        <w:t>de</w:t>
      </w:r>
      <w:r>
        <w:rPr>
          <w:color w:val="231F20"/>
          <w:spacing w:val="-10"/>
          <w:w w:val="120"/>
        </w:rPr>
        <w:t> </w:t>
      </w:r>
      <w:r>
        <w:rPr>
          <w:color w:val="231F20"/>
          <w:w w:val="120"/>
        </w:rPr>
        <w:t>soutien</w:t>
      </w:r>
      <w:r>
        <w:rPr>
          <w:color w:val="231F20"/>
          <w:spacing w:val="-10"/>
          <w:w w:val="120"/>
        </w:rPr>
        <w:t> </w:t>
      </w:r>
      <w:r>
        <w:rPr>
          <w:color w:val="231F20"/>
          <w:w w:val="120"/>
        </w:rPr>
        <w:t>aux travailleurs,</w:t>
      </w:r>
      <w:r>
        <w:rPr>
          <w:color w:val="231F20"/>
          <w:spacing w:val="-13"/>
          <w:w w:val="120"/>
        </w:rPr>
        <w:t> </w:t>
      </w:r>
      <w:r>
        <w:rPr>
          <w:color w:val="231F20"/>
          <w:w w:val="120"/>
        </w:rPr>
        <w:t>les</w:t>
      </w:r>
      <w:r>
        <w:rPr>
          <w:color w:val="231F20"/>
          <w:spacing w:val="-13"/>
          <w:w w:val="120"/>
        </w:rPr>
        <w:t> </w:t>
      </w:r>
      <w:r>
        <w:rPr>
          <w:color w:val="231F20"/>
          <w:w w:val="120"/>
        </w:rPr>
        <w:t>cercles</w:t>
      </w:r>
      <w:r>
        <w:rPr>
          <w:color w:val="231F20"/>
          <w:spacing w:val="-13"/>
          <w:w w:val="120"/>
        </w:rPr>
        <w:t> </w:t>
      </w:r>
      <w:r>
        <w:rPr>
          <w:color w:val="231F20"/>
          <w:w w:val="120"/>
        </w:rPr>
        <w:t>de</w:t>
      </w:r>
      <w:r>
        <w:rPr>
          <w:color w:val="231F20"/>
          <w:spacing w:val="-12"/>
          <w:w w:val="120"/>
        </w:rPr>
        <w:t> </w:t>
      </w:r>
      <w:r>
        <w:rPr>
          <w:color w:val="231F20"/>
          <w:w w:val="120"/>
        </w:rPr>
        <w:t>qualité,</w:t>
      </w:r>
      <w:r>
        <w:rPr>
          <w:color w:val="231F20"/>
          <w:spacing w:val="-13"/>
          <w:w w:val="120"/>
        </w:rPr>
        <w:t> </w:t>
      </w:r>
      <w:r>
        <w:rPr>
          <w:color w:val="231F20"/>
          <w:w w:val="120"/>
        </w:rPr>
        <w:t>les</w:t>
      </w:r>
      <w:r>
        <w:rPr>
          <w:color w:val="231F20"/>
          <w:spacing w:val="-13"/>
          <w:w w:val="120"/>
        </w:rPr>
        <w:t> </w:t>
      </w:r>
      <w:r>
        <w:rPr>
          <w:color w:val="231F20"/>
          <w:w w:val="120"/>
        </w:rPr>
        <w:t>groupes</w:t>
      </w:r>
      <w:r>
        <w:rPr>
          <w:color w:val="231F20"/>
          <w:spacing w:val="-13"/>
          <w:w w:val="120"/>
        </w:rPr>
        <w:t> </w:t>
      </w:r>
      <w:r>
        <w:rPr>
          <w:color w:val="231F20"/>
          <w:w w:val="120"/>
        </w:rPr>
        <w:t>d’évaluation,</w:t>
      </w:r>
      <w:r>
        <w:rPr>
          <w:color w:val="231F20"/>
          <w:spacing w:val="-12"/>
          <w:w w:val="120"/>
        </w:rPr>
        <w:t> </w:t>
      </w:r>
      <w:r>
        <w:rPr>
          <w:color w:val="231F20"/>
          <w:w w:val="120"/>
        </w:rPr>
        <w:t>les</w:t>
      </w:r>
      <w:r>
        <w:rPr>
          <w:color w:val="231F20"/>
          <w:spacing w:val="-13"/>
          <w:w w:val="120"/>
        </w:rPr>
        <w:t> </w:t>
      </w:r>
      <w:r>
        <w:rPr>
          <w:color w:val="231F20"/>
          <w:w w:val="120"/>
        </w:rPr>
        <w:t>groupes de</w:t>
      </w:r>
      <w:r>
        <w:rPr>
          <w:color w:val="231F20"/>
          <w:spacing w:val="-10"/>
          <w:w w:val="120"/>
        </w:rPr>
        <w:t> </w:t>
      </w:r>
      <w:r>
        <w:rPr>
          <w:color w:val="231F20"/>
          <w:w w:val="120"/>
        </w:rPr>
        <w:t>codéveloppement,</w:t>
      </w:r>
      <w:r>
        <w:rPr>
          <w:color w:val="231F20"/>
          <w:spacing w:val="-10"/>
          <w:w w:val="120"/>
        </w:rPr>
        <w:t> </w:t>
      </w:r>
      <w:r>
        <w:rPr>
          <w:color w:val="231F20"/>
          <w:w w:val="120"/>
        </w:rPr>
        <w:t>la</w:t>
      </w:r>
      <w:r>
        <w:rPr>
          <w:color w:val="231F20"/>
          <w:spacing w:val="-10"/>
          <w:w w:val="120"/>
        </w:rPr>
        <w:t> </w:t>
      </w:r>
      <w:r>
        <w:rPr>
          <w:color w:val="231F20"/>
          <w:w w:val="120"/>
        </w:rPr>
        <w:t>participation</w:t>
      </w:r>
      <w:r>
        <w:rPr>
          <w:color w:val="231F20"/>
          <w:spacing w:val="-10"/>
          <w:w w:val="120"/>
        </w:rPr>
        <w:t> </w:t>
      </w:r>
      <w:r>
        <w:rPr>
          <w:color w:val="231F20"/>
          <w:w w:val="120"/>
        </w:rPr>
        <w:t>active,</w:t>
      </w:r>
      <w:r>
        <w:rPr>
          <w:color w:val="231F20"/>
          <w:spacing w:val="-10"/>
          <w:w w:val="120"/>
        </w:rPr>
        <w:t> </w:t>
      </w:r>
      <w:r>
        <w:rPr>
          <w:color w:val="231F20"/>
          <w:w w:val="120"/>
        </w:rPr>
        <w:t>le</w:t>
      </w:r>
      <w:r>
        <w:rPr>
          <w:color w:val="231F20"/>
          <w:spacing w:val="-10"/>
          <w:w w:val="120"/>
        </w:rPr>
        <w:t> </w:t>
      </w:r>
      <w:r>
        <w:rPr>
          <w:color w:val="231F20"/>
          <w:w w:val="120"/>
        </w:rPr>
        <w:t>travail</w:t>
      </w:r>
      <w:r>
        <w:rPr>
          <w:color w:val="231F20"/>
          <w:spacing w:val="-10"/>
          <w:w w:val="120"/>
        </w:rPr>
        <w:t> </w:t>
      </w:r>
      <w:r>
        <w:rPr>
          <w:color w:val="231F20"/>
          <w:w w:val="120"/>
        </w:rPr>
        <w:t>d’équipe,</w:t>
      </w:r>
      <w:r>
        <w:rPr>
          <w:color w:val="231F20"/>
          <w:spacing w:val="-10"/>
          <w:w w:val="120"/>
        </w:rPr>
        <w:t> </w:t>
      </w:r>
      <w:r>
        <w:rPr>
          <w:color w:val="231F20"/>
          <w:w w:val="120"/>
        </w:rPr>
        <w:t>la</w:t>
      </w:r>
      <w:r>
        <w:rPr>
          <w:color w:val="231F20"/>
          <w:spacing w:val="-10"/>
          <w:w w:val="120"/>
        </w:rPr>
        <w:t> </w:t>
      </w:r>
      <w:r>
        <w:rPr>
          <w:color w:val="231F20"/>
          <w:w w:val="120"/>
        </w:rPr>
        <w:t>soli- darité,</w:t>
      </w:r>
      <w:r>
        <w:rPr>
          <w:color w:val="231F20"/>
          <w:spacing w:val="-10"/>
          <w:w w:val="120"/>
        </w:rPr>
        <w:t> </w:t>
      </w:r>
      <w:r>
        <w:rPr>
          <w:color w:val="231F20"/>
          <w:w w:val="120"/>
        </w:rPr>
        <w:t>le</w:t>
      </w:r>
      <w:r>
        <w:rPr>
          <w:color w:val="231F20"/>
          <w:spacing w:val="-10"/>
          <w:w w:val="120"/>
        </w:rPr>
        <w:t> </w:t>
      </w:r>
      <w:r>
        <w:rPr>
          <w:color w:val="231F20"/>
          <w:w w:val="120"/>
        </w:rPr>
        <w:t>perfectionnement</w:t>
      </w:r>
      <w:r>
        <w:rPr>
          <w:color w:val="231F20"/>
          <w:spacing w:val="-9"/>
          <w:w w:val="120"/>
        </w:rPr>
        <w:t> </w:t>
      </w:r>
      <w:r>
        <w:rPr>
          <w:color w:val="231F20"/>
          <w:w w:val="120"/>
        </w:rPr>
        <w:t>professionnel,</w:t>
      </w:r>
      <w:r>
        <w:rPr>
          <w:color w:val="231F20"/>
          <w:spacing w:val="-10"/>
          <w:w w:val="120"/>
        </w:rPr>
        <w:t> </w:t>
      </w:r>
      <w:r>
        <w:rPr>
          <w:color w:val="231F20"/>
          <w:w w:val="120"/>
        </w:rPr>
        <w:t>la</w:t>
      </w:r>
      <w:r>
        <w:rPr>
          <w:color w:val="231F20"/>
          <w:spacing w:val="-10"/>
          <w:w w:val="120"/>
        </w:rPr>
        <w:t> </w:t>
      </w:r>
      <w:r>
        <w:rPr>
          <w:color w:val="231F20"/>
          <w:w w:val="120"/>
        </w:rPr>
        <w:t>promotion</w:t>
      </w:r>
      <w:r>
        <w:rPr>
          <w:color w:val="231F20"/>
          <w:spacing w:val="-9"/>
          <w:w w:val="120"/>
        </w:rPr>
        <w:t> </w:t>
      </w:r>
      <w:r>
        <w:rPr>
          <w:color w:val="231F20"/>
          <w:w w:val="120"/>
        </w:rPr>
        <w:t>de</w:t>
      </w:r>
      <w:r>
        <w:rPr>
          <w:color w:val="231F20"/>
          <w:spacing w:val="-10"/>
          <w:w w:val="120"/>
        </w:rPr>
        <w:t> </w:t>
      </w:r>
      <w:r>
        <w:rPr>
          <w:color w:val="231F20"/>
          <w:w w:val="120"/>
        </w:rPr>
        <w:t>la</w:t>
      </w:r>
      <w:r>
        <w:rPr>
          <w:color w:val="231F20"/>
          <w:spacing w:val="-9"/>
          <w:w w:val="120"/>
        </w:rPr>
        <w:t> </w:t>
      </w:r>
      <w:r>
        <w:rPr>
          <w:color w:val="231F20"/>
          <w:spacing w:val="-2"/>
          <w:w w:val="120"/>
        </w:rPr>
        <w:t>créativité,</w:t>
      </w:r>
    </w:p>
    <w:p>
      <w:pPr>
        <w:spacing w:after="0" w:line="307" w:lineRule="auto"/>
        <w:jc w:val="both"/>
        <w:sectPr>
          <w:footerReference w:type="default" r:id="rId320"/>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5"/>
        <w:jc w:val="both"/>
      </w:pPr>
      <w:r>
        <w:rPr/>
        <w:pict>
          <v:group style="position:absolute;margin-left:82pt;margin-top:115.185547pt;width:287.5pt;height:359.25pt;mso-position-horizontal-relative:page;mso-position-vertical-relative:paragraph;z-index:-20901376" id="docshapegroup1101" coordorigin="1640,2304" coordsize="5750,7185">
            <v:rect style="position:absolute;left:1640;top:2303;width:5750;height:955" id="docshape1102" filled="true" fillcolor="#e2e3e4" stroked="false">
              <v:fill type="solid"/>
            </v:rect>
            <v:shape style="position:absolute;left:1640;top:3098;width:5750;height:6390" id="docshape1103" coordorigin="1640,3099" coordsize="5750,6390" path="m7390,3099l1640,3099,1640,6409,1640,6609,1640,7819,1640,8159,1640,9489,7390,9489,7390,8159,7390,7819,7390,6609,7390,6409,7390,3099xe" filled="true" fillcolor="#e2e3e4" stroked="false">
              <v:path arrowok="t"/>
              <v:fill type="solid"/>
            </v:shape>
            <v:shape style="position:absolute;left:1890;top:3172;width:5250;height:3156" type="#_x0000_t75" id="docshape1104" stroked="false">
              <v:imagedata r:id="rId322" o:title=""/>
            </v:shape>
            <w10:wrap type="none"/>
          </v:group>
        </w:pict>
      </w:r>
      <w:r>
        <w:rPr>
          <w:color w:val="231F20"/>
          <w:w w:val="115"/>
        </w:rPr>
        <w:t>les</w:t>
      </w:r>
      <w:r>
        <w:rPr>
          <w:color w:val="231F20"/>
          <w:spacing w:val="-12"/>
          <w:w w:val="115"/>
        </w:rPr>
        <w:t> </w:t>
      </w:r>
      <w:r>
        <w:rPr>
          <w:color w:val="231F20"/>
          <w:w w:val="115"/>
        </w:rPr>
        <w:t>méthodes</w:t>
      </w:r>
      <w:r>
        <w:rPr>
          <w:color w:val="231F20"/>
          <w:spacing w:val="-12"/>
          <w:w w:val="115"/>
        </w:rPr>
        <w:t> </w:t>
      </w:r>
      <w:r>
        <w:rPr>
          <w:color w:val="231F20"/>
          <w:w w:val="115"/>
        </w:rPr>
        <w:t>d’amélioration</w:t>
      </w:r>
      <w:r>
        <w:rPr>
          <w:color w:val="231F20"/>
          <w:spacing w:val="-12"/>
          <w:w w:val="115"/>
        </w:rPr>
        <w:t> </w:t>
      </w:r>
      <w:r>
        <w:rPr>
          <w:color w:val="231F20"/>
          <w:w w:val="115"/>
        </w:rPr>
        <w:t>continue.</w:t>
      </w:r>
      <w:r>
        <w:rPr>
          <w:color w:val="231F20"/>
          <w:spacing w:val="-12"/>
          <w:w w:val="115"/>
        </w:rPr>
        <w:t> </w:t>
      </w:r>
      <w:r>
        <w:rPr>
          <w:color w:val="231F20"/>
          <w:w w:val="115"/>
        </w:rPr>
        <w:t>Dolan</w:t>
      </w:r>
      <w:r>
        <w:rPr>
          <w:color w:val="231F20"/>
          <w:spacing w:val="-12"/>
          <w:w w:val="115"/>
        </w:rPr>
        <w:t> </w:t>
      </w:r>
      <w:r>
        <w:rPr>
          <w:color w:val="231F20"/>
          <w:w w:val="115"/>
        </w:rPr>
        <w:t>et</w:t>
      </w:r>
      <w:r>
        <w:rPr>
          <w:color w:val="231F20"/>
          <w:spacing w:val="-12"/>
          <w:w w:val="115"/>
        </w:rPr>
        <w:t> </w:t>
      </w:r>
      <w:r>
        <w:rPr>
          <w:color w:val="231F20"/>
          <w:w w:val="115"/>
        </w:rPr>
        <w:t>collaborateurs15</w:t>
      </w:r>
      <w:r>
        <w:rPr>
          <w:color w:val="231F20"/>
          <w:spacing w:val="-12"/>
          <w:w w:val="115"/>
        </w:rPr>
        <w:t> </w:t>
      </w:r>
      <w:r>
        <w:rPr>
          <w:color w:val="231F20"/>
          <w:w w:val="115"/>
        </w:rPr>
        <w:t>avancent </w:t>
      </w:r>
      <w:r>
        <w:rPr>
          <w:color w:val="231F20"/>
          <w:w w:val="120"/>
        </w:rPr>
        <w:t>que ces changements pourraient s’imbriquer dans des stratégies plus globales</w:t>
      </w:r>
      <w:r>
        <w:rPr>
          <w:color w:val="231F20"/>
          <w:spacing w:val="-13"/>
          <w:w w:val="120"/>
        </w:rPr>
        <w:t> </w:t>
      </w:r>
      <w:r>
        <w:rPr>
          <w:color w:val="231F20"/>
          <w:w w:val="120"/>
        </w:rPr>
        <w:t>visant</w:t>
      </w:r>
      <w:r>
        <w:rPr>
          <w:color w:val="231F20"/>
          <w:spacing w:val="-13"/>
          <w:w w:val="120"/>
        </w:rPr>
        <w:t> </w:t>
      </w:r>
      <w:r>
        <w:rPr>
          <w:color w:val="231F20"/>
          <w:w w:val="120"/>
        </w:rPr>
        <w:t>le</w:t>
      </w:r>
      <w:r>
        <w:rPr>
          <w:color w:val="231F20"/>
          <w:spacing w:val="-10"/>
          <w:w w:val="120"/>
        </w:rPr>
        <w:t> </w:t>
      </w:r>
      <w:r>
        <w:rPr>
          <w:color w:val="231F20"/>
          <w:w w:val="120"/>
        </w:rPr>
        <w:t>développement</w:t>
      </w:r>
      <w:r>
        <w:rPr>
          <w:color w:val="231F20"/>
          <w:spacing w:val="-6"/>
          <w:w w:val="120"/>
        </w:rPr>
        <w:t> </w:t>
      </w:r>
      <w:r>
        <w:rPr>
          <w:color w:val="231F20"/>
          <w:w w:val="120"/>
        </w:rPr>
        <w:t>d’une</w:t>
      </w:r>
      <w:r>
        <w:rPr>
          <w:color w:val="231F20"/>
          <w:spacing w:val="-6"/>
          <w:w w:val="120"/>
        </w:rPr>
        <w:t> </w:t>
      </w:r>
      <w:r>
        <w:rPr>
          <w:color w:val="231F20"/>
          <w:w w:val="120"/>
        </w:rPr>
        <w:t>culture</w:t>
      </w:r>
      <w:r>
        <w:rPr>
          <w:color w:val="231F20"/>
          <w:spacing w:val="-6"/>
          <w:w w:val="120"/>
        </w:rPr>
        <w:t> </w:t>
      </w:r>
      <w:r>
        <w:rPr>
          <w:color w:val="231F20"/>
          <w:w w:val="120"/>
        </w:rPr>
        <w:t>plus</w:t>
      </w:r>
      <w:r>
        <w:rPr>
          <w:color w:val="231F20"/>
          <w:spacing w:val="-6"/>
          <w:w w:val="120"/>
        </w:rPr>
        <w:t> </w:t>
      </w:r>
      <w:r>
        <w:rPr>
          <w:color w:val="231F20"/>
          <w:w w:val="120"/>
        </w:rPr>
        <w:t>«</w:t>
      </w:r>
      <w:r>
        <w:rPr>
          <w:color w:val="231F20"/>
          <w:spacing w:val="-13"/>
          <w:w w:val="120"/>
        </w:rPr>
        <w:t> </w:t>
      </w:r>
      <w:r>
        <w:rPr>
          <w:color w:val="231F20"/>
          <w:w w:val="120"/>
        </w:rPr>
        <w:t>saine»,</w:t>
      </w:r>
      <w:r>
        <w:rPr>
          <w:color w:val="231F20"/>
          <w:spacing w:val="-5"/>
          <w:w w:val="120"/>
        </w:rPr>
        <w:t> </w:t>
      </w:r>
      <w:r>
        <w:rPr>
          <w:color w:val="231F20"/>
          <w:w w:val="120"/>
        </w:rPr>
        <w:t>l’adapta- tion des styles de leadership, la redistribution du pouvoir et de l’auto- rité</w:t>
      </w:r>
      <w:r>
        <w:rPr>
          <w:color w:val="231F20"/>
          <w:spacing w:val="-2"/>
          <w:w w:val="120"/>
        </w:rPr>
        <w:t> </w:t>
      </w:r>
      <w:r>
        <w:rPr>
          <w:color w:val="231F20"/>
          <w:w w:val="120"/>
        </w:rPr>
        <w:t>et</w:t>
      </w:r>
      <w:r>
        <w:rPr>
          <w:color w:val="231F20"/>
          <w:spacing w:val="-2"/>
          <w:w w:val="120"/>
        </w:rPr>
        <w:t> </w:t>
      </w:r>
      <w:r>
        <w:rPr>
          <w:color w:val="231F20"/>
          <w:w w:val="120"/>
        </w:rPr>
        <w:t>la</w:t>
      </w:r>
      <w:r>
        <w:rPr>
          <w:color w:val="231F20"/>
          <w:spacing w:val="-2"/>
          <w:w w:val="120"/>
        </w:rPr>
        <w:t> </w:t>
      </w:r>
      <w:r>
        <w:rPr>
          <w:color w:val="231F20"/>
          <w:w w:val="120"/>
        </w:rPr>
        <w:t>participation</w:t>
      </w:r>
      <w:r>
        <w:rPr>
          <w:color w:val="231F20"/>
          <w:spacing w:val="-2"/>
          <w:w w:val="120"/>
        </w:rPr>
        <w:t> </w:t>
      </w:r>
      <w:r>
        <w:rPr>
          <w:color w:val="231F20"/>
          <w:w w:val="120"/>
        </w:rPr>
        <w:t>responsable</w:t>
      </w:r>
      <w:r>
        <w:rPr>
          <w:color w:val="231F20"/>
          <w:spacing w:val="-2"/>
          <w:w w:val="120"/>
        </w:rPr>
        <w:t> </w:t>
      </w:r>
      <w:r>
        <w:rPr>
          <w:color w:val="231F20"/>
          <w:w w:val="120"/>
        </w:rPr>
        <w:t>et</w:t>
      </w:r>
      <w:r>
        <w:rPr>
          <w:color w:val="231F20"/>
          <w:spacing w:val="-2"/>
          <w:w w:val="120"/>
        </w:rPr>
        <w:t> </w:t>
      </w:r>
      <w:r>
        <w:rPr>
          <w:color w:val="231F20"/>
          <w:w w:val="120"/>
        </w:rPr>
        <w:t>active</w:t>
      </w:r>
      <w:r>
        <w:rPr>
          <w:color w:val="231F20"/>
          <w:spacing w:val="-2"/>
          <w:w w:val="120"/>
        </w:rPr>
        <w:t> </w:t>
      </w:r>
      <w:r>
        <w:rPr>
          <w:color w:val="231F20"/>
          <w:w w:val="120"/>
        </w:rPr>
        <w:t>à</w:t>
      </w:r>
      <w:r>
        <w:rPr>
          <w:color w:val="231F20"/>
          <w:spacing w:val="-2"/>
          <w:w w:val="120"/>
        </w:rPr>
        <w:t> </w:t>
      </w:r>
      <w:r>
        <w:rPr>
          <w:color w:val="231F20"/>
          <w:w w:val="120"/>
        </w:rPr>
        <w:t>la</w:t>
      </w:r>
      <w:r>
        <w:rPr>
          <w:color w:val="231F20"/>
          <w:spacing w:val="-2"/>
          <w:w w:val="120"/>
        </w:rPr>
        <w:t> </w:t>
      </w:r>
      <w:r>
        <w:rPr>
          <w:color w:val="231F20"/>
          <w:w w:val="120"/>
        </w:rPr>
        <w:t>prise</w:t>
      </w:r>
      <w:r>
        <w:rPr>
          <w:color w:val="231F20"/>
          <w:spacing w:val="-2"/>
          <w:w w:val="120"/>
        </w:rPr>
        <w:t> </w:t>
      </w:r>
      <w:r>
        <w:rPr>
          <w:color w:val="231F20"/>
          <w:w w:val="120"/>
        </w:rPr>
        <w:t>de</w:t>
      </w:r>
      <w:r>
        <w:rPr>
          <w:color w:val="231F20"/>
          <w:spacing w:val="-2"/>
          <w:w w:val="120"/>
        </w:rPr>
        <w:t> </w:t>
      </w:r>
      <w:r>
        <w:rPr>
          <w:color w:val="231F20"/>
          <w:w w:val="120"/>
        </w:rPr>
        <w:t>décision,</w:t>
      </w:r>
      <w:r>
        <w:rPr>
          <w:color w:val="231F20"/>
          <w:spacing w:val="-2"/>
          <w:w w:val="120"/>
        </w:rPr>
        <w:t> </w:t>
      </w:r>
      <w:r>
        <w:rPr>
          <w:color w:val="231F20"/>
          <w:w w:val="120"/>
        </w:rPr>
        <w:t>dans le but de développer les communications formelles et informelles à </w:t>
      </w:r>
      <w:r>
        <w:rPr>
          <w:color w:val="231F20"/>
          <w:w w:val="115"/>
        </w:rPr>
        <w:t>l’interne,</w:t>
      </w:r>
      <w:r>
        <w:rPr>
          <w:color w:val="231F20"/>
          <w:spacing w:val="-13"/>
          <w:w w:val="115"/>
        </w:rPr>
        <w:t> </w:t>
      </w:r>
      <w:r>
        <w:rPr>
          <w:color w:val="231F20"/>
          <w:w w:val="115"/>
        </w:rPr>
        <w:t>d’améliorer</w:t>
      </w:r>
      <w:r>
        <w:rPr>
          <w:color w:val="231F20"/>
          <w:spacing w:val="-12"/>
          <w:w w:val="115"/>
        </w:rPr>
        <w:t> </w:t>
      </w:r>
      <w:r>
        <w:rPr>
          <w:color w:val="231F20"/>
          <w:w w:val="115"/>
        </w:rPr>
        <w:t>le</w:t>
      </w:r>
      <w:r>
        <w:rPr>
          <w:color w:val="231F20"/>
          <w:spacing w:val="-12"/>
          <w:w w:val="115"/>
        </w:rPr>
        <w:t> </w:t>
      </w:r>
      <w:r>
        <w:rPr>
          <w:color w:val="231F20"/>
          <w:w w:val="115"/>
        </w:rPr>
        <w:t>climat</w:t>
      </w:r>
      <w:r>
        <w:rPr>
          <w:color w:val="231F20"/>
          <w:spacing w:val="-12"/>
          <w:w w:val="115"/>
        </w:rPr>
        <w:t> </w:t>
      </w:r>
      <w:r>
        <w:rPr>
          <w:color w:val="231F20"/>
          <w:w w:val="115"/>
        </w:rPr>
        <w:t>de</w:t>
      </w:r>
      <w:r>
        <w:rPr>
          <w:color w:val="231F20"/>
          <w:spacing w:val="-13"/>
          <w:w w:val="115"/>
        </w:rPr>
        <w:t> </w:t>
      </w:r>
      <w:r>
        <w:rPr>
          <w:color w:val="231F20"/>
          <w:w w:val="115"/>
        </w:rPr>
        <w:t>travail</w:t>
      </w:r>
      <w:r>
        <w:rPr>
          <w:color w:val="231F20"/>
          <w:spacing w:val="-12"/>
          <w:w w:val="115"/>
        </w:rPr>
        <w:t> </w:t>
      </w:r>
      <w:r>
        <w:rPr>
          <w:color w:val="231F20"/>
          <w:w w:val="115"/>
        </w:rPr>
        <w:t>et</w:t>
      </w:r>
      <w:r>
        <w:rPr>
          <w:color w:val="231F20"/>
          <w:spacing w:val="-12"/>
          <w:w w:val="115"/>
        </w:rPr>
        <w:t> </w:t>
      </w:r>
      <w:r>
        <w:rPr>
          <w:color w:val="231F20"/>
          <w:w w:val="115"/>
        </w:rPr>
        <w:t>d’instaurer</w:t>
      </w:r>
      <w:r>
        <w:rPr>
          <w:color w:val="231F20"/>
          <w:spacing w:val="-12"/>
          <w:w w:val="115"/>
        </w:rPr>
        <w:t> </w:t>
      </w:r>
      <w:r>
        <w:rPr>
          <w:color w:val="231F20"/>
          <w:w w:val="115"/>
        </w:rPr>
        <w:t>un</w:t>
      </w:r>
      <w:r>
        <w:rPr>
          <w:color w:val="231F20"/>
          <w:spacing w:val="-12"/>
          <w:w w:val="115"/>
        </w:rPr>
        <w:t> </w:t>
      </w:r>
      <w:r>
        <w:rPr>
          <w:color w:val="231F20"/>
          <w:w w:val="115"/>
        </w:rPr>
        <w:t>milieu</w:t>
      </w:r>
      <w:r>
        <w:rPr>
          <w:color w:val="231F20"/>
          <w:spacing w:val="-13"/>
          <w:w w:val="115"/>
        </w:rPr>
        <w:t> </w:t>
      </w:r>
      <w:r>
        <w:rPr>
          <w:color w:val="231F20"/>
          <w:w w:val="115"/>
        </w:rPr>
        <w:t>favorable </w:t>
      </w:r>
      <w:r>
        <w:rPr>
          <w:color w:val="231F20"/>
          <w:w w:val="120"/>
        </w:rPr>
        <w:t>au développement des travailleurs au sein de l’entreprise.</w:t>
      </w:r>
    </w:p>
    <w:p>
      <w:pPr>
        <w:pStyle w:val="BodyText"/>
        <w:spacing w:before="5"/>
        <w:rPr>
          <w:sz w:val="32"/>
        </w:rPr>
      </w:pPr>
    </w:p>
    <w:p>
      <w:pPr>
        <w:spacing w:line="307" w:lineRule="auto" w:before="0"/>
        <w:ind w:left="1469" w:right="309" w:firstLine="0"/>
        <w:jc w:val="left"/>
        <w:rPr>
          <w:rFonts w:ascii="Arial" w:hAnsi="Arial"/>
          <w:b/>
          <w:sz w:val="17"/>
        </w:rPr>
      </w:pPr>
      <w:r>
        <w:rPr>
          <w:rFonts w:ascii="Arial" w:hAnsi="Arial"/>
          <w:color w:val="231F20"/>
          <w:sz w:val="17"/>
        </w:rPr>
        <w:t>Fait</w:t>
      </w:r>
      <w:r>
        <w:rPr>
          <w:rFonts w:ascii="Arial" w:hAnsi="Arial"/>
          <w:color w:val="231F20"/>
          <w:spacing w:val="-7"/>
          <w:sz w:val="17"/>
        </w:rPr>
        <w:t> </w:t>
      </w:r>
      <w:r>
        <w:rPr>
          <w:rFonts w:ascii="Arial" w:hAnsi="Arial"/>
          <w:color w:val="231F20"/>
          <w:sz w:val="17"/>
        </w:rPr>
        <w:t>intéressant</w:t>
      </w:r>
      <w:r>
        <w:rPr>
          <w:rFonts w:ascii="Arial" w:hAnsi="Arial"/>
          <w:color w:val="231F20"/>
          <w:spacing w:val="-16"/>
          <w:sz w:val="17"/>
        </w:rPr>
        <w:t> </w:t>
      </w:r>
      <w:r>
        <w:rPr>
          <w:rFonts w:ascii="Arial" w:hAnsi="Arial"/>
          <w:i/>
          <w:color w:val="231F20"/>
          <w:sz w:val="17"/>
        </w:rPr>
        <w:t>/</w:t>
      </w:r>
      <w:r>
        <w:rPr>
          <w:rFonts w:ascii="Arial" w:hAnsi="Arial"/>
          <w:i/>
          <w:color w:val="231F20"/>
          <w:spacing w:val="36"/>
          <w:sz w:val="17"/>
        </w:rPr>
        <w:t> </w:t>
      </w:r>
      <w:r>
        <w:rPr>
          <w:rFonts w:ascii="Arial" w:hAnsi="Arial"/>
          <w:b/>
          <w:color w:val="231F20"/>
          <w:sz w:val="17"/>
        </w:rPr>
        <w:t>La</w:t>
      </w:r>
      <w:r>
        <w:rPr>
          <w:rFonts w:ascii="Arial" w:hAnsi="Arial"/>
          <w:b/>
          <w:color w:val="231F20"/>
          <w:spacing w:val="-11"/>
          <w:sz w:val="17"/>
        </w:rPr>
        <w:t> </w:t>
      </w:r>
      <w:r>
        <w:rPr>
          <w:rFonts w:ascii="Arial" w:hAnsi="Arial"/>
          <w:b/>
          <w:color w:val="231F20"/>
          <w:sz w:val="17"/>
        </w:rPr>
        <w:t>carte</w:t>
      </w:r>
      <w:r>
        <w:rPr>
          <w:rFonts w:ascii="Arial" w:hAnsi="Arial"/>
          <w:b/>
          <w:color w:val="231F20"/>
          <w:spacing w:val="-11"/>
          <w:sz w:val="17"/>
        </w:rPr>
        <w:t> </w:t>
      </w:r>
      <w:r>
        <w:rPr>
          <w:rFonts w:ascii="Arial" w:hAnsi="Arial"/>
          <w:b/>
          <w:color w:val="231F20"/>
          <w:sz w:val="17"/>
        </w:rPr>
        <w:t>du</w:t>
      </w:r>
      <w:r>
        <w:rPr>
          <w:rFonts w:ascii="Arial" w:hAnsi="Arial"/>
          <w:b/>
          <w:color w:val="231F20"/>
          <w:spacing w:val="-11"/>
          <w:sz w:val="17"/>
        </w:rPr>
        <w:t> </w:t>
      </w:r>
      <w:r>
        <w:rPr>
          <w:rFonts w:ascii="Arial" w:hAnsi="Arial"/>
          <w:b/>
          <w:color w:val="231F20"/>
          <w:sz w:val="17"/>
        </w:rPr>
        <w:t>stress</w:t>
      </w:r>
      <w:r>
        <w:rPr>
          <w:rFonts w:ascii="Arial" w:hAnsi="Arial"/>
          <w:b/>
          <w:color w:val="231F20"/>
          <w:position w:val="6"/>
          <w:sz w:val="10"/>
        </w:rPr>
        <w:t>MC</w:t>
      </w:r>
      <w:r>
        <w:rPr>
          <w:rFonts w:ascii="Arial" w:hAnsi="Arial"/>
          <w:b/>
          <w:color w:val="231F20"/>
          <w:spacing w:val="-12"/>
          <w:position w:val="6"/>
          <w:sz w:val="10"/>
        </w:rPr>
        <w:t> </w:t>
      </w:r>
      <w:r>
        <w:rPr>
          <w:rFonts w:ascii="Arial" w:hAnsi="Arial"/>
          <w:b/>
          <w:color w:val="231F20"/>
          <w:sz w:val="17"/>
        </w:rPr>
        <w:t>:</w:t>
      </w:r>
      <w:r>
        <w:rPr>
          <w:rFonts w:ascii="Arial" w:hAnsi="Arial"/>
          <w:b/>
          <w:color w:val="231F20"/>
          <w:spacing w:val="-11"/>
          <w:sz w:val="17"/>
        </w:rPr>
        <w:t> </w:t>
      </w:r>
      <w:r>
        <w:rPr>
          <w:rFonts w:ascii="Arial" w:hAnsi="Arial"/>
          <w:b/>
          <w:color w:val="231F20"/>
          <w:sz w:val="17"/>
        </w:rPr>
        <w:t>un</w:t>
      </w:r>
      <w:r>
        <w:rPr>
          <w:rFonts w:ascii="Arial" w:hAnsi="Arial"/>
          <w:b/>
          <w:color w:val="231F20"/>
          <w:spacing w:val="-11"/>
          <w:sz w:val="17"/>
        </w:rPr>
        <w:t> </w:t>
      </w:r>
      <w:r>
        <w:rPr>
          <w:rFonts w:ascii="Arial" w:hAnsi="Arial"/>
          <w:b/>
          <w:color w:val="231F20"/>
          <w:sz w:val="17"/>
        </w:rPr>
        <w:t>outil</w:t>
      </w:r>
      <w:r>
        <w:rPr>
          <w:rFonts w:ascii="Arial" w:hAnsi="Arial"/>
          <w:b/>
          <w:color w:val="231F20"/>
          <w:spacing w:val="-11"/>
          <w:sz w:val="17"/>
        </w:rPr>
        <w:t> </w:t>
      </w:r>
      <w:r>
        <w:rPr>
          <w:rFonts w:ascii="Arial" w:hAnsi="Arial"/>
          <w:b/>
          <w:color w:val="231F20"/>
          <w:sz w:val="17"/>
        </w:rPr>
        <w:t>pour</w:t>
      </w:r>
      <w:r>
        <w:rPr>
          <w:rFonts w:ascii="Arial" w:hAnsi="Arial"/>
          <w:b/>
          <w:color w:val="231F20"/>
          <w:spacing w:val="-11"/>
          <w:sz w:val="17"/>
        </w:rPr>
        <w:t> </w:t>
      </w:r>
      <w:r>
        <w:rPr>
          <w:rFonts w:ascii="Arial" w:hAnsi="Arial"/>
          <w:b/>
          <w:color w:val="231F20"/>
          <w:sz w:val="17"/>
        </w:rPr>
        <w:t>diagnostiquer le stress chronique</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22"/>
        </w:rPr>
      </w:pPr>
    </w:p>
    <w:p>
      <w:pPr>
        <w:pStyle w:val="BodyText"/>
        <w:spacing w:line="307" w:lineRule="auto"/>
        <w:ind w:left="1470" w:right="353"/>
        <w:jc w:val="both"/>
        <w:rPr>
          <w:rFonts w:ascii="Arial" w:hAnsi="Arial"/>
        </w:rPr>
      </w:pPr>
      <w:r>
        <w:rPr>
          <w:rFonts w:ascii="Arial" w:hAnsi="Arial"/>
          <w:color w:val="231F20"/>
          <w:w w:val="95"/>
        </w:rPr>
        <w:t>Grâce</w:t>
      </w:r>
      <w:r>
        <w:rPr>
          <w:rFonts w:ascii="Arial" w:hAnsi="Arial"/>
          <w:color w:val="231F20"/>
          <w:spacing w:val="-2"/>
          <w:w w:val="95"/>
        </w:rPr>
        <w:t> </w:t>
      </w:r>
      <w:r>
        <w:rPr>
          <w:rFonts w:ascii="Arial" w:hAnsi="Arial"/>
          <w:color w:val="231F20"/>
          <w:w w:val="95"/>
        </w:rPr>
        <w:t>aux</w:t>
      </w:r>
      <w:r>
        <w:rPr>
          <w:rFonts w:ascii="Arial" w:hAnsi="Arial"/>
          <w:color w:val="231F20"/>
          <w:spacing w:val="-2"/>
          <w:w w:val="95"/>
        </w:rPr>
        <w:t> </w:t>
      </w:r>
      <w:r>
        <w:rPr>
          <w:rFonts w:ascii="Arial" w:hAnsi="Arial"/>
          <w:color w:val="231F20"/>
          <w:w w:val="95"/>
        </w:rPr>
        <w:t>cartes</w:t>
      </w:r>
      <w:r>
        <w:rPr>
          <w:rFonts w:ascii="Arial" w:hAnsi="Arial"/>
          <w:color w:val="231F20"/>
          <w:spacing w:val="-2"/>
          <w:w w:val="95"/>
        </w:rPr>
        <w:t> </w:t>
      </w:r>
      <w:r>
        <w:rPr>
          <w:rFonts w:ascii="Arial" w:hAnsi="Arial"/>
          <w:color w:val="231F20"/>
          <w:w w:val="95"/>
        </w:rPr>
        <w:t>incluses</w:t>
      </w:r>
      <w:r>
        <w:rPr>
          <w:rFonts w:ascii="Arial" w:hAnsi="Arial"/>
          <w:color w:val="231F20"/>
          <w:spacing w:val="-2"/>
          <w:w w:val="95"/>
        </w:rPr>
        <w:t> </w:t>
      </w:r>
      <w:r>
        <w:rPr>
          <w:rFonts w:ascii="Arial" w:hAnsi="Arial"/>
          <w:color w:val="231F20"/>
          <w:w w:val="95"/>
        </w:rPr>
        <w:t>dans</w:t>
      </w:r>
      <w:r>
        <w:rPr>
          <w:rFonts w:ascii="Arial" w:hAnsi="Arial"/>
          <w:color w:val="231F20"/>
          <w:spacing w:val="-2"/>
          <w:w w:val="95"/>
        </w:rPr>
        <w:t> </w:t>
      </w:r>
      <w:r>
        <w:rPr>
          <w:rFonts w:ascii="Arial" w:hAnsi="Arial"/>
          <w:color w:val="231F20"/>
          <w:w w:val="95"/>
        </w:rPr>
        <w:t>l’outil</w:t>
      </w:r>
      <w:r>
        <w:rPr>
          <w:rFonts w:ascii="Arial" w:hAnsi="Arial"/>
          <w:color w:val="231F20"/>
          <w:spacing w:val="-2"/>
          <w:w w:val="95"/>
        </w:rPr>
        <w:t> </w:t>
      </w:r>
      <w:r>
        <w:rPr>
          <w:rFonts w:ascii="Arial" w:hAnsi="Arial"/>
          <w:i/>
          <w:color w:val="231F20"/>
          <w:w w:val="95"/>
        </w:rPr>
        <w:t>La</w:t>
      </w:r>
      <w:r>
        <w:rPr>
          <w:rFonts w:ascii="Arial" w:hAnsi="Arial"/>
          <w:i/>
          <w:color w:val="231F20"/>
          <w:spacing w:val="-2"/>
          <w:w w:val="95"/>
        </w:rPr>
        <w:t> </w:t>
      </w:r>
      <w:r>
        <w:rPr>
          <w:rFonts w:ascii="Arial" w:hAnsi="Arial"/>
          <w:i/>
          <w:color w:val="231F20"/>
          <w:w w:val="95"/>
        </w:rPr>
        <w:t>carte</w:t>
      </w:r>
      <w:r>
        <w:rPr>
          <w:rFonts w:ascii="Arial" w:hAnsi="Arial"/>
          <w:i/>
          <w:color w:val="231F20"/>
          <w:spacing w:val="-2"/>
          <w:w w:val="95"/>
        </w:rPr>
        <w:t> </w:t>
      </w:r>
      <w:r>
        <w:rPr>
          <w:rFonts w:ascii="Arial" w:hAnsi="Arial"/>
          <w:i/>
          <w:color w:val="231F20"/>
          <w:w w:val="95"/>
        </w:rPr>
        <w:t>du</w:t>
      </w:r>
      <w:r>
        <w:rPr>
          <w:rFonts w:ascii="Arial" w:hAnsi="Arial"/>
          <w:i/>
          <w:color w:val="231F20"/>
          <w:spacing w:val="-2"/>
          <w:w w:val="95"/>
        </w:rPr>
        <w:t> </w:t>
      </w:r>
      <w:r>
        <w:rPr>
          <w:rFonts w:ascii="Arial" w:hAnsi="Arial"/>
          <w:i/>
          <w:color w:val="231F20"/>
          <w:w w:val="95"/>
        </w:rPr>
        <w:t>stress</w:t>
      </w:r>
      <w:r>
        <w:rPr>
          <w:rFonts w:ascii="Arial" w:hAnsi="Arial"/>
          <w:i/>
          <w:color w:val="231F20"/>
          <w:spacing w:val="-2"/>
          <w:w w:val="95"/>
        </w:rPr>
        <w:t> </w:t>
      </w:r>
      <w:r>
        <w:rPr>
          <w:rFonts w:ascii="Arial" w:hAnsi="Arial"/>
          <w:color w:val="231F20"/>
          <w:w w:val="95"/>
        </w:rPr>
        <w:t>(</w:t>
      </w:r>
      <w:r>
        <w:rPr>
          <w:rFonts w:ascii="Arial" w:hAnsi="Arial"/>
          <w:i/>
          <w:color w:val="231F20"/>
          <w:w w:val="95"/>
        </w:rPr>
        <w:t>Stress</w:t>
      </w:r>
      <w:r>
        <w:rPr>
          <w:rFonts w:ascii="Arial" w:hAnsi="Arial"/>
          <w:i/>
          <w:color w:val="231F20"/>
          <w:spacing w:val="-2"/>
          <w:w w:val="95"/>
        </w:rPr>
        <w:t> </w:t>
      </w:r>
      <w:r>
        <w:rPr>
          <w:rFonts w:ascii="Arial" w:hAnsi="Arial"/>
          <w:i/>
          <w:color w:val="231F20"/>
          <w:w w:val="95"/>
        </w:rPr>
        <w:t>Map</w:t>
      </w:r>
      <w:r>
        <w:rPr>
          <w:rFonts w:ascii="Arial" w:hAnsi="Arial"/>
          <w:color w:val="231F20"/>
          <w:w w:val="95"/>
        </w:rPr>
        <w:t>),</w:t>
      </w:r>
      <w:r>
        <w:rPr>
          <w:rFonts w:ascii="Arial" w:hAnsi="Arial"/>
          <w:color w:val="231F20"/>
          <w:spacing w:val="-2"/>
          <w:w w:val="95"/>
        </w:rPr>
        <w:t> </w:t>
      </w:r>
      <w:r>
        <w:rPr>
          <w:rFonts w:ascii="Arial" w:hAnsi="Arial"/>
          <w:color w:val="231F20"/>
          <w:w w:val="95"/>
        </w:rPr>
        <w:t>un </w:t>
      </w:r>
      <w:r>
        <w:rPr>
          <w:rFonts w:ascii="Arial" w:hAnsi="Arial"/>
          <w:color w:val="231F20"/>
        </w:rPr>
        <w:t>plan peut être conçu conjointement avec le coach-thérapeute pour reconnaître les facteurs clés qui génèrent le stress et les atténuer ou</w:t>
      </w:r>
      <w:r>
        <w:rPr>
          <w:rFonts w:ascii="Arial" w:hAnsi="Arial"/>
          <w:color w:val="231F20"/>
          <w:spacing w:val="40"/>
        </w:rPr>
        <w:t> </w:t>
      </w:r>
      <w:r>
        <w:rPr>
          <w:rFonts w:ascii="Arial" w:hAnsi="Arial"/>
          <w:color w:val="231F20"/>
        </w:rPr>
        <w:t>y</w:t>
      </w:r>
      <w:r>
        <w:rPr>
          <w:rFonts w:ascii="Arial" w:hAnsi="Arial"/>
          <w:color w:val="231F20"/>
          <w:spacing w:val="-5"/>
        </w:rPr>
        <w:t> </w:t>
      </w:r>
      <w:r>
        <w:rPr>
          <w:rFonts w:ascii="Arial" w:hAnsi="Arial"/>
          <w:color w:val="231F20"/>
        </w:rPr>
        <w:t>remédier.</w:t>
      </w:r>
      <w:r>
        <w:rPr>
          <w:rFonts w:ascii="Arial" w:hAnsi="Arial"/>
          <w:color w:val="231F20"/>
          <w:spacing w:val="-5"/>
        </w:rPr>
        <w:t> </w:t>
      </w:r>
      <w:r>
        <w:rPr>
          <w:rFonts w:ascii="Arial" w:hAnsi="Arial"/>
          <w:i/>
          <w:color w:val="231F20"/>
        </w:rPr>
        <w:t>La</w:t>
      </w:r>
      <w:r>
        <w:rPr>
          <w:rFonts w:ascii="Arial" w:hAnsi="Arial"/>
          <w:i/>
          <w:color w:val="231F20"/>
          <w:spacing w:val="-5"/>
        </w:rPr>
        <w:t> </w:t>
      </w:r>
      <w:r>
        <w:rPr>
          <w:rFonts w:ascii="Arial" w:hAnsi="Arial"/>
          <w:i/>
          <w:color w:val="231F20"/>
        </w:rPr>
        <w:t>carte</w:t>
      </w:r>
      <w:r>
        <w:rPr>
          <w:rFonts w:ascii="Arial" w:hAnsi="Arial"/>
          <w:i/>
          <w:color w:val="231F20"/>
          <w:spacing w:val="-5"/>
        </w:rPr>
        <w:t> </w:t>
      </w:r>
      <w:r>
        <w:rPr>
          <w:rFonts w:ascii="Arial" w:hAnsi="Arial"/>
          <w:i/>
          <w:color w:val="231F20"/>
        </w:rPr>
        <w:t>du</w:t>
      </w:r>
      <w:r>
        <w:rPr>
          <w:rFonts w:ascii="Arial" w:hAnsi="Arial"/>
          <w:i/>
          <w:color w:val="231F20"/>
          <w:spacing w:val="-5"/>
        </w:rPr>
        <w:t> </w:t>
      </w:r>
      <w:r>
        <w:rPr>
          <w:rFonts w:ascii="Arial" w:hAnsi="Arial"/>
          <w:i/>
          <w:color w:val="231F20"/>
        </w:rPr>
        <w:t>stress</w:t>
      </w:r>
      <w:r>
        <w:rPr>
          <w:rFonts w:ascii="Arial" w:hAnsi="Arial"/>
          <w:i/>
          <w:color w:val="231F20"/>
          <w:spacing w:val="-5"/>
        </w:rPr>
        <w:t> </w:t>
      </w:r>
      <w:r>
        <w:rPr>
          <w:rFonts w:ascii="Arial" w:hAnsi="Arial"/>
          <w:color w:val="231F20"/>
        </w:rPr>
        <w:t>est</w:t>
      </w:r>
      <w:r>
        <w:rPr>
          <w:rFonts w:ascii="Arial" w:hAnsi="Arial"/>
          <w:color w:val="231F20"/>
          <w:spacing w:val="-5"/>
        </w:rPr>
        <w:t> </w:t>
      </w:r>
      <w:r>
        <w:rPr>
          <w:rFonts w:ascii="Arial" w:hAnsi="Arial"/>
          <w:color w:val="231F20"/>
        </w:rPr>
        <w:t>une</w:t>
      </w:r>
      <w:r>
        <w:rPr>
          <w:rFonts w:ascii="Arial" w:hAnsi="Arial"/>
          <w:color w:val="231F20"/>
          <w:spacing w:val="-5"/>
        </w:rPr>
        <w:t> </w:t>
      </w:r>
      <w:r>
        <w:rPr>
          <w:rFonts w:ascii="Arial" w:hAnsi="Arial"/>
          <w:color w:val="231F20"/>
        </w:rPr>
        <w:t>méthode</w:t>
      </w:r>
      <w:r>
        <w:rPr>
          <w:rFonts w:ascii="Arial" w:hAnsi="Arial"/>
          <w:color w:val="231F20"/>
          <w:spacing w:val="-5"/>
        </w:rPr>
        <w:t> </w:t>
      </w:r>
      <w:r>
        <w:rPr>
          <w:rFonts w:ascii="Arial" w:hAnsi="Arial"/>
          <w:color w:val="231F20"/>
        </w:rPr>
        <w:t>visuelle</w:t>
      </w:r>
      <w:r>
        <w:rPr>
          <w:rFonts w:ascii="Arial" w:hAnsi="Arial"/>
          <w:color w:val="231F20"/>
          <w:spacing w:val="-5"/>
        </w:rPr>
        <w:t> </w:t>
      </w:r>
      <w:r>
        <w:rPr>
          <w:rFonts w:ascii="Arial" w:hAnsi="Arial"/>
          <w:color w:val="231F20"/>
        </w:rPr>
        <w:t>et</w:t>
      </w:r>
      <w:r>
        <w:rPr>
          <w:rFonts w:ascii="Arial" w:hAnsi="Arial"/>
          <w:color w:val="231F20"/>
          <w:spacing w:val="-5"/>
        </w:rPr>
        <w:t> </w:t>
      </w:r>
      <w:r>
        <w:rPr>
          <w:rFonts w:ascii="Arial" w:hAnsi="Arial"/>
          <w:color w:val="231F20"/>
        </w:rPr>
        <w:t>facile,</w:t>
      </w:r>
      <w:r>
        <w:rPr>
          <w:rFonts w:ascii="Arial" w:hAnsi="Arial"/>
          <w:color w:val="231F20"/>
          <w:spacing w:val="-5"/>
        </w:rPr>
        <w:t> </w:t>
      </w:r>
      <w:r>
        <w:rPr>
          <w:rFonts w:ascii="Arial" w:hAnsi="Arial"/>
          <w:color w:val="231F20"/>
        </w:rPr>
        <w:t>voire </w:t>
      </w:r>
      <w:r>
        <w:rPr>
          <w:rFonts w:ascii="Arial" w:hAnsi="Arial"/>
          <w:color w:val="231F20"/>
          <w:spacing w:val="-2"/>
        </w:rPr>
        <w:t>divertissante,</w:t>
      </w:r>
      <w:r>
        <w:rPr>
          <w:rFonts w:ascii="Arial" w:hAnsi="Arial"/>
          <w:color w:val="231F20"/>
          <w:spacing w:val="-6"/>
        </w:rPr>
        <w:t> </w:t>
      </w:r>
      <w:r>
        <w:rPr>
          <w:rFonts w:ascii="Arial" w:hAnsi="Arial"/>
          <w:color w:val="231F20"/>
          <w:spacing w:val="-2"/>
        </w:rPr>
        <w:t>à</w:t>
      </w:r>
      <w:r>
        <w:rPr>
          <w:rFonts w:ascii="Arial" w:hAnsi="Arial"/>
          <w:color w:val="231F20"/>
          <w:spacing w:val="-6"/>
        </w:rPr>
        <w:t> </w:t>
      </w:r>
      <w:r>
        <w:rPr>
          <w:rFonts w:ascii="Arial" w:hAnsi="Arial"/>
          <w:color w:val="231F20"/>
          <w:spacing w:val="-2"/>
        </w:rPr>
        <w:t>utiliser</w:t>
      </w:r>
      <w:r>
        <w:rPr>
          <w:rFonts w:ascii="Arial" w:hAnsi="Arial"/>
          <w:color w:val="231F20"/>
          <w:spacing w:val="-6"/>
        </w:rPr>
        <w:t> </w:t>
      </w:r>
      <w:r>
        <w:rPr>
          <w:rFonts w:ascii="Arial" w:hAnsi="Arial"/>
          <w:color w:val="231F20"/>
          <w:spacing w:val="-2"/>
        </w:rPr>
        <w:t>parce</w:t>
      </w:r>
      <w:r>
        <w:rPr>
          <w:rFonts w:ascii="Arial" w:hAnsi="Arial"/>
          <w:color w:val="231F20"/>
          <w:spacing w:val="-6"/>
        </w:rPr>
        <w:t> </w:t>
      </w:r>
      <w:r>
        <w:rPr>
          <w:rFonts w:ascii="Arial" w:hAnsi="Arial"/>
          <w:color w:val="231F20"/>
          <w:spacing w:val="-2"/>
        </w:rPr>
        <w:t>qu’elle</w:t>
      </w:r>
      <w:r>
        <w:rPr>
          <w:rFonts w:ascii="Arial" w:hAnsi="Arial"/>
          <w:color w:val="231F20"/>
          <w:spacing w:val="-6"/>
        </w:rPr>
        <w:t> </w:t>
      </w:r>
      <w:r>
        <w:rPr>
          <w:rFonts w:ascii="Arial" w:hAnsi="Arial"/>
          <w:color w:val="231F20"/>
          <w:spacing w:val="-2"/>
        </w:rPr>
        <w:t>intègre</w:t>
      </w:r>
      <w:r>
        <w:rPr>
          <w:rFonts w:ascii="Arial" w:hAnsi="Arial"/>
          <w:color w:val="231F20"/>
          <w:spacing w:val="-6"/>
        </w:rPr>
        <w:t> </w:t>
      </w:r>
      <w:r>
        <w:rPr>
          <w:rFonts w:ascii="Arial" w:hAnsi="Arial"/>
          <w:color w:val="231F20"/>
          <w:spacing w:val="-2"/>
        </w:rPr>
        <w:t>des</w:t>
      </w:r>
      <w:r>
        <w:rPr>
          <w:rFonts w:ascii="Arial" w:hAnsi="Arial"/>
          <w:color w:val="231F20"/>
          <w:spacing w:val="-6"/>
        </w:rPr>
        <w:t> </w:t>
      </w:r>
      <w:r>
        <w:rPr>
          <w:rFonts w:ascii="Arial" w:hAnsi="Arial"/>
          <w:color w:val="231F20"/>
          <w:spacing w:val="-2"/>
        </w:rPr>
        <w:t>principes</w:t>
      </w:r>
      <w:r>
        <w:rPr>
          <w:rFonts w:ascii="Arial" w:hAnsi="Arial"/>
          <w:color w:val="231F20"/>
          <w:spacing w:val="-6"/>
        </w:rPr>
        <w:t> </w:t>
      </w:r>
      <w:r>
        <w:rPr>
          <w:rFonts w:ascii="Arial" w:hAnsi="Arial"/>
          <w:color w:val="231F20"/>
          <w:spacing w:val="-2"/>
        </w:rPr>
        <w:t>de ludification (</w:t>
      </w:r>
      <w:r>
        <w:rPr>
          <w:rFonts w:ascii="Arial" w:hAnsi="Arial"/>
          <w:i/>
          <w:color w:val="231F20"/>
          <w:spacing w:val="-2"/>
        </w:rPr>
        <w:t>gamification</w:t>
      </w:r>
      <w:r>
        <w:rPr>
          <w:rFonts w:ascii="Arial" w:hAnsi="Arial"/>
          <w:color w:val="231F20"/>
          <w:spacing w:val="-2"/>
        </w:rPr>
        <w:t>).</w:t>
      </w:r>
    </w:p>
    <w:p>
      <w:pPr>
        <w:pStyle w:val="BodyText"/>
        <w:spacing w:line="307" w:lineRule="auto" w:before="79"/>
        <w:ind w:left="1470" w:right="358" w:firstLine="250"/>
        <w:jc w:val="both"/>
        <w:rPr>
          <w:rFonts w:ascii="Arial" w:hAnsi="Arial"/>
        </w:rPr>
      </w:pPr>
      <w:r>
        <w:rPr>
          <w:rFonts w:ascii="Arial" w:hAnsi="Arial"/>
          <w:i/>
          <w:color w:val="231F20"/>
        </w:rPr>
        <w:t>La</w:t>
      </w:r>
      <w:r>
        <w:rPr>
          <w:rFonts w:ascii="Arial" w:hAnsi="Arial"/>
          <w:i/>
          <w:color w:val="231F20"/>
          <w:spacing w:val="-7"/>
        </w:rPr>
        <w:t> </w:t>
      </w:r>
      <w:r>
        <w:rPr>
          <w:rFonts w:ascii="Arial" w:hAnsi="Arial"/>
          <w:i/>
          <w:color w:val="231F20"/>
        </w:rPr>
        <w:t>carte</w:t>
      </w:r>
      <w:r>
        <w:rPr>
          <w:rFonts w:ascii="Arial" w:hAnsi="Arial"/>
          <w:i/>
          <w:color w:val="231F20"/>
          <w:spacing w:val="-7"/>
        </w:rPr>
        <w:t> </w:t>
      </w:r>
      <w:r>
        <w:rPr>
          <w:rFonts w:ascii="Arial" w:hAnsi="Arial"/>
          <w:i/>
          <w:color w:val="231F20"/>
        </w:rPr>
        <w:t>du</w:t>
      </w:r>
      <w:r>
        <w:rPr>
          <w:rFonts w:ascii="Arial" w:hAnsi="Arial"/>
          <w:i/>
          <w:color w:val="231F20"/>
          <w:spacing w:val="-7"/>
        </w:rPr>
        <w:t> </w:t>
      </w:r>
      <w:r>
        <w:rPr>
          <w:rFonts w:ascii="Arial" w:hAnsi="Arial"/>
          <w:i/>
          <w:color w:val="231F20"/>
        </w:rPr>
        <w:t>stress</w:t>
      </w:r>
      <w:r>
        <w:rPr>
          <w:rFonts w:ascii="Arial" w:hAnsi="Arial"/>
          <w:i/>
          <w:color w:val="231F20"/>
          <w:spacing w:val="-7"/>
        </w:rPr>
        <w:t> </w:t>
      </w:r>
      <w:r>
        <w:rPr>
          <w:rFonts w:ascii="Arial" w:hAnsi="Arial"/>
          <w:color w:val="231F20"/>
        </w:rPr>
        <w:t>comprend</w:t>
      </w:r>
      <w:r>
        <w:rPr>
          <w:rFonts w:ascii="Arial" w:hAnsi="Arial"/>
          <w:color w:val="231F20"/>
          <w:spacing w:val="-7"/>
        </w:rPr>
        <w:t> </w:t>
      </w:r>
      <w:r>
        <w:rPr>
          <w:rFonts w:ascii="Arial" w:hAnsi="Arial"/>
          <w:color w:val="231F20"/>
        </w:rPr>
        <w:t>un</w:t>
      </w:r>
      <w:r>
        <w:rPr>
          <w:rFonts w:ascii="Arial" w:hAnsi="Arial"/>
          <w:color w:val="231F20"/>
          <w:spacing w:val="-7"/>
        </w:rPr>
        <w:t> </w:t>
      </w:r>
      <w:r>
        <w:rPr>
          <w:rFonts w:ascii="Arial" w:hAnsi="Arial"/>
          <w:color w:val="231F20"/>
        </w:rPr>
        <w:t>guide</w:t>
      </w:r>
      <w:r>
        <w:rPr>
          <w:rFonts w:ascii="Arial" w:hAnsi="Arial"/>
          <w:color w:val="231F20"/>
          <w:spacing w:val="-7"/>
        </w:rPr>
        <w:t> </w:t>
      </w:r>
      <w:r>
        <w:rPr>
          <w:rFonts w:ascii="Arial" w:hAnsi="Arial"/>
          <w:color w:val="231F20"/>
        </w:rPr>
        <w:t>qui</w:t>
      </w:r>
      <w:r>
        <w:rPr>
          <w:rFonts w:ascii="Arial" w:hAnsi="Arial"/>
          <w:color w:val="231F20"/>
          <w:spacing w:val="-7"/>
        </w:rPr>
        <w:t> </w:t>
      </w:r>
      <w:r>
        <w:rPr>
          <w:rFonts w:ascii="Arial" w:hAnsi="Arial"/>
          <w:color w:val="231F20"/>
        </w:rPr>
        <w:t>explique</w:t>
      </w:r>
      <w:r>
        <w:rPr>
          <w:rFonts w:ascii="Arial" w:hAnsi="Arial"/>
          <w:color w:val="231F20"/>
          <w:spacing w:val="-7"/>
        </w:rPr>
        <w:t> </w:t>
      </w:r>
      <w:r>
        <w:rPr>
          <w:rFonts w:ascii="Arial" w:hAnsi="Arial"/>
          <w:color w:val="231F20"/>
        </w:rPr>
        <w:t>les</w:t>
      </w:r>
      <w:r>
        <w:rPr>
          <w:rFonts w:ascii="Arial" w:hAnsi="Arial"/>
          <w:color w:val="231F20"/>
          <w:spacing w:val="-7"/>
        </w:rPr>
        <w:t> </w:t>
      </w:r>
      <w:r>
        <w:rPr>
          <w:rFonts w:ascii="Arial" w:hAnsi="Arial"/>
          <w:color w:val="231F20"/>
        </w:rPr>
        <w:t>concepts</w:t>
      </w:r>
      <w:r>
        <w:rPr>
          <w:rFonts w:ascii="Arial" w:hAnsi="Arial"/>
          <w:color w:val="231F20"/>
          <w:spacing w:val="-7"/>
        </w:rPr>
        <w:t> </w:t>
      </w:r>
      <w:r>
        <w:rPr>
          <w:rFonts w:ascii="Arial" w:hAnsi="Arial"/>
          <w:color w:val="231F20"/>
        </w:rPr>
        <w:t>de base du stress chronique et les façons de mesurer et de sélectionner </w:t>
      </w:r>
      <w:r>
        <w:rPr>
          <w:rFonts w:ascii="Arial" w:hAnsi="Arial"/>
          <w:color w:val="231F20"/>
          <w:spacing w:val="-2"/>
        </w:rPr>
        <w:t>les</w:t>
      </w:r>
      <w:r>
        <w:rPr>
          <w:rFonts w:ascii="Arial" w:hAnsi="Arial"/>
          <w:color w:val="231F20"/>
          <w:spacing w:val="-8"/>
        </w:rPr>
        <w:t> </w:t>
      </w:r>
      <w:r>
        <w:rPr>
          <w:rFonts w:ascii="Arial" w:hAnsi="Arial"/>
          <w:color w:val="231F20"/>
          <w:spacing w:val="-2"/>
        </w:rPr>
        <w:t>facteurs</w:t>
      </w:r>
      <w:r>
        <w:rPr>
          <w:rFonts w:ascii="Arial" w:hAnsi="Arial"/>
          <w:color w:val="231F20"/>
          <w:spacing w:val="-8"/>
        </w:rPr>
        <w:t> </w:t>
      </w:r>
      <w:r>
        <w:rPr>
          <w:rFonts w:ascii="Arial" w:hAnsi="Arial"/>
          <w:color w:val="231F20"/>
          <w:spacing w:val="-2"/>
        </w:rPr>
        <w:t>pertinents</w:t>
      </w:r>
      <w:r>
        <w:rPr>
          <w:rFonts w:ascii="Arial" w:hAnsi="Arial"/>
          <w:color w:val="231F20"/>
          <w:spacing w:val="-8"/>
        </w:rPr>
        <w:t> </w:t>
      </w:r>
      <w:r>
        <w:rPr>
          <w:rFonts w:ascii="Arial" w:hAnsi="Arial"/>
          <w:color w:val="231F20"/>
          <w:spacing w:val="-2"/>
        </w:rPr>
        <w:t>dans</w:t>
      </w:r>
      <w:r>
        <w:rPr>
          <w:rFonts w:ascii="Arial" w:hAnsi="Arial"/>
          <w:color w:val="231F20"/>
          <w:spacing w:val="-8"/>
        </w:rPr>
        <w:t> </w:t>
      </w:r>
      <w:r>
        <w:rPr>
          <w:rFonts w:ascii="Arial" w:hAnsi="Arial"/>
          <w:color w:val="231F20"/>
          <w:spacing w:val="-2"/>
        </w:rPr>
        <w:t>un</w:t>
      </w:r>
      <w:r>
        <w:rPr>
          <w:rFonts w:ascii="Arial" w:hAnsi="Arial"/>
          <w:color w:val="231F20"/>
          <w:spacing w:val="-8"/>
        </w:rPr>
        <w:t> </w:t>
      </w:r>
      <w:r>
        <w:rPr>
          <w:rFonts w:ascii="Arial" w:hAnsi="Arial"/>
          <w:color w:val="231F20"/>
          <w:spacing w:val="-2"/>
        </w:rPr>
        <w:t>processus,</w:t>
      </w:r>
      <w:r>
        <w:rPr>
          <w:rFonts w:ascii="Arial" w:hAnsi="Arial"/>
          <w:color w:val="231F20"/>
          <w:spacing w:val="-8"/>
        </w:rPr>
        <w:t> </w:t>
      </w:r>
      <w:r>
        <w:rPr>
          <w:rFonts w:ascii="Arial" w:hAnsi="Arial"/>
          <w:color w:val="231F20"/>
          <w:spacing w:val="-2"/>
        </w:rPr>
        <w:t>étape</w:t>
      </w:r>
      <w:r>
        <w:rPr>
          <w:rFonts w:ascii="Arial" w:hAnsi="Arial"/>
          <w:color w:val="231F20"/>
          <w:spacing w:val="-8"/>
        </w:rPr>
        <w:t> </w:t>
      </w:r>
      <w:r>
        <w:rPr>
          <w:rFonts w:ascii="Arial" w:hAnsi="Arial"/>
          <w:color w:val="231F20"/>
          <w:spacing w:val="-2"/>
        </w:rPr>
        <w:t>par</w:t>
      </w:r>
      <w:r>
        <w:rPr>
          <w:rFonts w:ascii="Arial" w:hAnsi="Arial"/>
          <w:color w:val="231F20"/>
          <w:spacing w:val="-8"/>
        </w:rPr>
        <w:t> </w:t>
      </w:r>
      <w:r>
        <w:rPr>
          <w:rFonts w:ascii="Arial" w:hAnsi="Arial"/>
          <w:color w:val="231F20"/>
          <w:spacing w:val="-2"/>
        </w:rPr>
        <w:t>étape,</w:t>
      </w:r>
      <w:r>
        <w:rPr>
          <w:rFonts w:ascii="Arial" w:hAnsi="Arial"/>
          <w:color w:val="231F20"/>
          <w:spacing w:val="-8"/>
        </w:rPr>
        <w:t> </w:t>
      </w:r>
      <w:r>
        <w:rPr>
          <w:rFonts w:ascii="Arial" w:hAnsi="Arial"/>
          <w:color w:val="231F20"/>
          <w:spacing w:val="-2"/>
        </w:rPr>
        <w:t>de</w:t>
      </w:r>
      <w:r>
        <w:rPr>
          <w:rFonts w:ascii="Arial" w:hAnsi="Arial"/>
          <w:color w:val="231F20"/>
          <w:spacing w:val="-8"/>
        </w:rPr>
        <w:t> </w:t>
      </w:r>
      <w:r>
        <w:rPr>
          <w:rFonts w:ascii="Arial" w:hAnsi="Arial"/>
          <w:color w:val="231F20"/>
          <w:spacing w:val="-2"/>
        </w:rPr>
        <w:t>diagnos- </w:t>
      </w:r>
      <w:r>
        <w:rPr>
          <w:rFonts w:ascii="Arial" w:hAnsi="Arial"/>
          <w:color w:val="231F20"/>
        </w:rPr>
        <w:t>tic. Après avoir rempli un tableau du stress, des spécificités claires, précises et individualisées sont générées.</w:t>
      </w:r>
    </w:p>
    <w:p>
      <w:pPr>
        <w:pStyle w:val="BodyText"/>
        <w:rPr>
          <w:rFonts w:ascii="Arial"/>
          <w:sz w:val="20"/>
        </w:rPr>
      </w:pPr>
    </w:p>
    <w:p>
      <w:pPr>
        <w:pStyle w:val="BodyText"/>
        <w:rPr>
          <w:rFonts w:ascii="Arial"/>
          <w:sz w:val="26"/>
        </w:rPr>
      </w:pPr>
      <w:r>
        <w:rPr/>
        <w:pict>
          <v:shape style="position:absolute;margin-left:82pt;margin-top:16.191113pt;width:287.5pt;height:.1pt;mso-position-horizontal-relative:page;mso-position-vertical-relative:paragraph;z-index:-15621120;mso-wrap-distance-left:0;mso-wrap-distance-right:0" id="docshape1105" coordorigin="1640,324" coordsize="5750,0" path="m1640,324l7390,324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19" w:right="111" w:hanging="406"/>
        <w:jc w:val="left"/>
        <w:rPr>
          <w:rFonts w:ascii="Arial" w:hAnsi="Arial"/>
          <w:sz w:val="12"/>
        </w:rPr>
      </w:pPr>
      <w:r>
        <w:rPr>
          <w:rFonts w:ascii="Arial" w:hAnsi="Arial"/>
          <w:color w:val="231F20"/>
          <w:sz w:val="12"/>
        </w:rPr>
        <w:t>Dolan,</w:t>
      </w:r>
      <w:r>
        <w:rPr>
          <w:rFonts w:ascii="Arial" w:hAnsi="Arial"/>
          <w:color w:val="231F20"/>
          <w:spacing w:val="-1"/>
          <w:sz w:val="12"/>
        </w:rPr>
        <w:t> </w:t>
      </w:r>
      <w:r>
        <w:rPr>
          <w:rFonts w:ascii="Arial" w:hAnsi="Arial"/>
          <w:color w:val="231F20"/>
          <w:sz w:val="12"/>
        </w:rPr>
        <w:t>S.</w:t>
      </w:r>
      <w:r>
        <w:rPr>
          <w:rFonts w:ascii="Arial" w:hAnsi="Arial"/>
          <w:color w:val="231F20"/>
          <w:spacing w:val="-1"/>
          <w:sz w:val="12"/>
        </w:rPr>
        <w:t> </w:t>
      </w:r>
      <w:r>
        <w:rPr>
          <w:rFonts w:ascii="Arial" w:hAnsi="Arial"/>
          <w:color w:val="231F20"/>
          <w:sz w:val="12"/>
        </w:rPr>
        <w:t>L.,</w:t>
      </w:r>
      <w:r>
        <w:rPr>
          <w:rFonts w:ascii="Arial" w:hAnsi="Arial"/>
          <w:color w:val="231F20"/>
          <w:spacing w:val="-1"/>
          <w:sz w:val="12"/>
        </w:rPr>
        <w:t> </w:t>
      </w:r>
      <w:r>
        <w:rPr>
          <w:rFonts w:ascii="Arial" w:hAnsi="Arial"/>
          <w:color w:val="231F20"/>
          <w:sz w:val="12"/>
        </w:rPr>
        <w:t>Martín,</w:t>
      </w:r>
      <w:r>
        <w:rPr>
          <w:rFonts w:ascii="Arial" w:hAnsi="Arial"/>
          <w:color w:val="231F20"/>
          <w:spacing w:val="-1"/>
          <w:sz w:val="12"/>
        </w:rPr>
        <w:t> </w:t>
      </w:r>
      <w:r>
        <w:rPr>
          <w:rFonts w:ascii="Arial" w:hAnsi="Arial"/>
          <w:color w:val="231F20"/>
          <w:sz w:val="12"/>
        </w:rPr>
        <w:t>I.</w:t>
      </w:r>
      <w:r>
        <w:rPr>
          <w:rFonts w:ascii="Arial" w:hAnsi="Arial"/>
          <w:color w:val="231F20"/>
          <w:spacing w:val="-1"/>
          <w:sz w:val="12"/>
        </w:rPr>
        <w:t> </w:t>
      </w:r>
      <w:r>
        <w:rPr>
          <w:rFonts w:ascii="Arial" w:hAnsi="Arial"/>
          <w:color w:val="231F20"/>
          <w:sz w:val="12"/>
        </w:rPr>
        <w:t>et</w:t>
      </w:r>
      <w:r>
        <w:rPr>
          <w:rFonts w:ascii="Arial" w:hAnsi="Arial"/>
          <w:color w:val="231F20"/>
          <w:spacing w:val="-1"/>
          <w:sz w:val="12"/>
        </w:rPr>
        <w:t> </w:t>
      </w:r>
      <w:r>
        <w:rPr>
          <w:rFonts w:ascii="Arial" w:hAnsi="Arial"/>
          <w:color w:val="231F20"/>
          <w:sz w:val="12"/>
        </w:rPr>
        <w:t>Soto,</w:t>
      </w:r>
      <w:r>
        <w:rPr>
          <w:rFonts w:ascii="Arial" w:hAnsi="Arial"/>
          <w:color w:val="231F20"/>
          <w:spacing w:val="-1"/>
          <w:sz w:val="12"/>
        </w:rPr>
        <w:t> </w:t>
      </w:r>
      <w:r>
        <w:rPr>
          <w:rFonts w:ascii="Arial" w:hAnsi="Arial"/>
          <w:color w:val="231F20"/>
          <w:sz w:val="12"/>
        </w:rPr>
        <w:t>E.</w:t>
      </w:r>
      <w:r>
        <w:rPr>
          <w:rFonts w:ascii="Arial" w:hAnsi="Arial"/>
          <w:color w:val="231F20"/>
          <w:spacing w:val="-1"/>
          <w:sz w:val="12"/>
        </w:rPr>
        <w:t> </w:t>
      </w:r>
      <w:r>
        <w:rPr>
          <w:rFonts w:ascii="Arial" w:hAnsi="Arial"/>
          <w:color w:val="231F20"/>
          <w:sz w:val="12"/>
        </w:rPr>
        <w:t>(2004).</w:t>
      </w:r>
      <w:r>
        <w:rPr>
          <w:rFonts w:ascii="Arial" w:hAnsi="Arial"/>
          <w:color w:val="231F20"/>
          <w:spacing w:val="-1"/>
          <w:sz w:val="12"/>
        </w:rPr>
        <w:t> </w:t>
      </w:r>
      <w:r>
        <w:rPr>
          <w:rFonts w:ascii="Arial" w:hAnsi="Arial"/>
          <w:i/>
          <w:color w:val="231F20"/>
          <w:sz w:val="12"/>
        </w:rPr>
        <w:t>Los</w:t>
      </w:r>
      <w:r>
        <w:rPr>
          <w:rFonts w:ascii="Arial" w:hAnsi="Arial"/>
          <w:i/>
          <w:color w:val="231F20"/>
          <w:spacing w:val="-1"/>
          <w:sz w:val="12"/>
        </w:rPr>
        <w:t> </w:t>
      </w:r>
      <w:r>
        <w:rPr>
          <w:rFonts w:ascii="Arial" w:hAnsi="Arial"/>
          <w:i/>
          <w:color w:val="231F20"/>
          <w:sz w:val="12"/>
        </w:rPr>
        <w:t>diez</w:t>
      </w:r>
      <w:r>
        <w:rPr>
          <w:rFonts w:ascii="Arial" w:hAnsi="Arial"/>
          <w:i/>
          <w:color w:val="231F20"/>
          <w:spacing w:val="-1"/>
          <w:sz w:val="12"/>
        </w:rPr>
        <w:t> </w:t>
      </w:r>
      <w:r>
        <w:rPr>
          <w:rFonts w:ascii="Arial" w:hAnsi="Arial"/>
          <w:i/>
          <w:color w:val="231F20"/>
          <w:sz w:val="12"/>
        </w:rPr>
        <w:t>mandamientos</w:t>
      </w:r>
      <w:r>
        <w:rPr>
          <w:rFonts w:ascii="Arial" w:hAnsi="Arial"/>
          <w:i/>
          <w:color w:val="231F20"/>
          <w:spacing w:val="-1"/>
          <w:sz w:val="12"/>
        </w:rPr>
        <w:t> </w:t>
      </w:r>
      <w:r>
        <w:rPr>
          <w:rFonts w:ascii="Arial" w:hAnsi="Arial"/>
          <w:i/>
          <w:color w:val="231F20"/>
          <w:sz w:val="12"/>
        </w:rPr>
        <w:t>para</w:t>
      </w:r>
      <w:r>
        <w:rPr>
          <w:rFonts w:ascii="Arial" w:hAnsi="Arial"/>
          <w:i/>
          <w:color w:val="231F20"/>
          <w:spacing w:val="-1"/>
          <w:sz w:val="12"/>
        </w:rPr>
        <w:t> </w:t>
      </w:r>
      <w:r>
        <w:rPr>
          <w:rFonts w:ascii="Arial" w:hAnsi="Arial"/>
          <w:i/>
          <w:color w:val="231F20"/>
          <w:sz w:val="12"/>
        </w:rPr>
        <w:t>la</w:t>
      </w:r>
      <w:r>
        <w:rPr>
          <w:rFonts w:ascii="Arial" w:hAnsi="Arial"/>
          <w:i/>
          <w:color w:val="231F20"/>
          <w:spacing w:val="-1"/>
          <w:sz w:val="12"/>
        </w:rPr>
        <w:t> </w:t>
      </w:r>
      <w:r>
        <w:rPr>
          <w:rFonts w:ascii="Arial" w:hAnsi="Arial"/>
          <w:i/>
          <w:color w:val="231F20"/>
          <w:sz w:val="12"/>
        </w:rPr>
        <w:t>dirección</w:t>
      </w:r>
      <w:r>
        <w:rPr>
          <w:rFonts w:ascii="Arial" w:hAnsi="Arial"/>
          <w:i/>
          <w:color w:val="231F20"/>
          <w:spacing w:val="-1"/>
          <w:sz w:val="12"/>
        </w:rPr>
        <w:t> </w:t>
      </w:r>
      <w:r>
        <w:rPr>
          <w:rFonts w:ascii="Arial" w:hAnsi="Arial"/>
          <w:i/>
          <w:color w:val="231F20"/>
          <w:sz w:val="12"/>
        </w:rPr>
        <w:t>de</w:t>
      </w:r>
      <w:r>
        <w:rPr>
          <w:rFonts w:ascii="Arial" w:hAnsi="Arial"/>
          <w:i/>
          <w:color w:val="231F20"/>
          <w:spacing w:val="-1"/>
          <w:sz w:val="12"/>
        </w:rPr>
        <w:t> </w:t>
      </w:r>
      <w:r>
        <w:rPr>
          <w:rFonts w:ascii="Arial" w:hAnsi="Arial"/>
          <w:i/>
          <w:color w:val="231F20"/>
          <w:sz w:val="12"/>
        </w:rPr>
        <w:t>personas</w:t>
      </w:r>
      <w:r>
        <w:rPr>
          <w:rFonts w:ascii="Arial" w:hAnsi="Arial"/>
          <w:color w:val="231F20"/>
          <w:sz w:val="12"/>
        </w:rPr>
        <w:t>,</w:t>
      </w:r>
      <w:r>
        <w:rPr>
          <w:rFonts w:ascii="Arial" w:hAnsi="Arial"/>
          <w:color w:val="231F20"/>
          <w:spacing w:val="-1"/>
          <w:sz w:val="12"/>
        </w:rPr>
        <w:t> </w:t>
      </w:r>
      <w:r>
        <w:rPr>
          <w:rFonts w:ascii="Arial" w:hAnsi="Arial"/>
          <w:color w:val="231F20"/>
          <w:sz w:val="12"/>
        </w:rPr>
        <w:t>Barcelone,</w:t>
      </w:r>
      <w:r>
        <w:rPr>
          <w:rFonts w:ascii="Arial" w:hAnsi="Arial"/>
          <w:color w:val="231F20"/>
          <w:spacing w:val="40"/>
          <w:sz w:val="12"/>
        </w:rPr>
        <w:t> </w:t>
      </w:r>
      <w:r>
        <w:rPr>
          <w:rFonts w:ascii="Arial" w:hAnsi="Arial"/>
          <w:color w:val="231F20"/>
          <w:sz w:val="12"/>
        </w:rPr>
        <w:t>Planeta-Agustini, Gestión 2000.</w:t>
      </w:r>
    </w:p>
    <w:p>
      <w:pPr>
        <w:spacing w:after="0" w:line="295" w:lineRule="auto"/>
        <w:jc w:val="left"/>
        <w:rPr>
          <w:rFonts w:ascii="Arial" w:hAnsi="Arial"/>
          <w:sz w:val="12"/>
        </w:rPr>
        <w:sectPr>
          <w:footerReference w:type="default" r:id="rId321"/>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spacing w:before="10"/>
        <w:rPr>
          <w:rFonts w:ascii="Arial"/>
          <w:sz w:val="28"/>
        </w:rPr>
      </w:pPr>
      <w:r>
        <w:rPr/>
        <w:pict>
          <v:shape style="position:absolute;margin-left:62.5pt;margin-top:17.801661pt;width:287.5pt;height:81.5pt;mso-position-horizontal-relative:page;mso-position-vertical-relative:paragraph;z-index:-15620096;mso-wrap-distance-left:0;mso-wrap-distance-right:0" type="#_x0000_t202" id="docshape1107" filled="true" fillcolor="#e2e3e4" stroked="false">
            <v:textbox inset="0,0,0,0">
              <w:txbxContent>
                <w:p>
                  <w:pPr>
                    <w:pStyle w:val="BodyText"/>
                    <w:spacing w:before="2"/>
                    <w:rPr>
                      <w:rFonts w:ascii="Arial"/>
                      <w:color w:val="000000"/>
                      <w:sz w:val="19"/>
                    </w:rPr>
                  </w:pPr>
                </w:p>
                <w:p>
                  <w:pPr>
                    <w:pStyle w:val="BodyText"/>
                    <w:spacing w:line="307" w:lineRule="auto"/>
                    <w:ind w:left="249" w:right="245" w:firstLine="250"/>
                    <w:jc w:val="both"/>
                    <w:rPr>
                      <w:rFonts w:ascii="Arial" w:hAnsi="Arial"/>
                      <w:color w:val="000000"/>
                    </w:rPr>
                  </w:pPr>
                  <w:r>
                    <w:rPr>
                      <w:rFonts w:ascii="Arial" w:hAnsi="Arial"/>
                      <w:color w:val="231F20"/>
                    </w:rPr>
                    <w:t>Pour l’instant, </w:t>
                  </w:r>
                  <w:r>
                    <w:rPr>
                      <w:rFonts w:ascii="Arial" w:hAnsi="Arial"/>
                      <w:i/>
                      <w:color w:val="231F20"/>
                    </w:rPr>
                    <w:t>La carte du stress </w:t>
                  </w:r>
                  <w:r>
                    <w:rPr>
                      <w:rFonts w:ascii="Arial" w:hAnsi="Arial"/>
                      <w:color w:val="231F20"/>
                    </w:rPr>
                    <w:t>n’est disponible qu’en anglais ou en</w:t>
                  </w:r>
                  <w:r>
                    <w:rPr>
                      <w:rFonts w:ascii="Arial" w:hAnsi="Arial"/>
                      <w:color w:val="231F20"/>
                      <w:spacing w:val="-8"/>
                    </w:rPr>
                    <w:t> </w:t>
                  </w:r>
                  <w:r>
                    <w:rPr>
                      <w:rFonts w:ascii="Arial" w:hAnsi="Arial"/>
                      <w:color w:val="231F20"/>
                    </w:rPr>
                    <w:t>espagnol,</w:t>
                  </w:r>
                  <w:r>
                    <w:rPr>
                      <w:rFonts w:ascii="Arial" w:hAnsi="Arial"/>
                      <w:color w:val="231F20"/>
                      <w:spacing w:val="-8"/>
                    </w:rPr>
                    <w:t> </w:t>
                  </w:r>
                  <w:r>
                    <w:rPr>
                      <w:rFonts w:ascii="Arial" w:hAnsi="Arial"/>
                      <w:color w:val="231F20"/>
                    </w:rPr>
                    <w:t>mais</w:t>
                  </w:r>
                  <w:r>
                    <w:rPr>
                      <w:rFonts w:ascii="Arial" w:hAnsi="Arial"/>
                      <w:color w:val="231F20"/>
                      <w:spacing w:val="-8"/>
                    </w:rPr>
                    <w:t> </w:t>
                  </w:r>
                  <w:r>
                    <w:rPr>
                      <w:rFonts w:ascii="Arial" w:hAnsi="Arial"/>
                      <w:color w:val="231F20"/>
                    </w:rPr>
                    <w:t>elle</w:t>
                  </w:r>
                  <w:r>
                    <w:rPr>
                      <w:rFonts w:ascii="Arial" w:hAnsi="Arial"/>
                      <w:color w:val="231F20"/>
                      <w:spacing w:val="-8"/>
                    </w:rPr>
                    <w:t> </w:t>
                  </w:r>
                  <w:r>
                    <w:rPr>
                      <w:rFonts w:ascii="Arial" w:hAnsi="Arial"/>
                      <w:color w:val="231F20"/>
                    </w:rPr>
                    <w:t>sera</w:t>
                  </w:r>
                  <w:r>
                    <w:rPr>
                      <w:rFonts w:ascii="Arial" w:hAnsi="Arial"/>
                      <w:color w:val="231F20"/>
                      <w:spacing w:val="-8"/>
                    </w:rPr>
                    <w:t> </w:t>
                  </w:r>
                  <w:r>
                    <w:rPr>
                      <w:rFonts w:ascii="Arial" w:hAnsi="Arial"/>
                      <w:color w:val="231F20"/>
                    </w:rPr>
                    <w:t>bientôt</w:t>
                  </w:r>
                  <w:r>
                    <w:rPr>
                      <w:rFonts w:ascii="Arial" w:hAnsi="Arial"/>
                      <w:color w:val="231F20"/>
                      <w:spacing w:val="-8"/>
                    </w:rPr>
                    <w:t> </w:t>
                  </w:r>
                  <w:r>
                    <w:rPr>
                      <w:rFonts w:ascii="Arial" w:hAnsi="Arial"/>
                      <w:color w:val="231F20"/>
                    </w:rPr>
                    <w:t>offerte</w:t>
                  </w:r>
                  <w:r>
                    <w:rPr>
                      <w:rFonts w:ascii="Arial" w:hAnsi="Arial"/>
                      <w:color w:val="231F20"/>
                      <w:spacing w:val="-8"/>
                    </w:rPr>
                    <w:t> </w:t>
                  </w:r>
                  <w:r>
                    <w:rPr>
                      <w:rFonts w:ascii="Arial" w:hAnsi="Arial"/>
                      <w:color w:val="231F20"/>
                    </w:rPr>
                    <w:t>dans</w:t>
                  </w:r>
                  <w:r>
                    <w:rPr>
                      <w:rFonts w:ascii="Arial" w:hAnsi="Arial"/>
                      <w:color w:val="231F20"/>
                      <w:spacing w:val="-8"/>
                    </w:rPr>
                    <w:t> </w:t>
                  </w:r>
                  <w:r>
                    <w:rPr>
                      <w:rFonts w:ascii="Arial" w:hAnsi="Arial"/>
                      <w:color w:val="231F20"/>
                    </w:rPr>
                    <w:t>d’autres</w:t>
                  </w:r>
                  <w:r>
                    <w:rPr>
                      <w:rFonts w:ascii="Arial" w:hAnsi="Arial"/>
                      <w:color w:val="231F20"/>
                      <w:spacing w:val="-8"/>
                    </w:rPr>
                    <w:t> </w:t>
                  </w:r>
                  <w:r>
                    <w:rPr>
                      <w:rFonts w:ascii="Arial" w:hAnsi="Arial"/>
                      <w:color w:val="231F20"/>
                    </w:rPr>
                    <w:t>langues,</w:t>
                  </w:r>
                  <w:r>
                    <w:rPr>
                      <w:rFonts w:ascii="Arial" w:hAnsi="Arial"/>
                      <w:color w:val="231F20"/>
                      <w:spacing w:val="-8"/>
                    </w:rPr>
                    <w:t> </w:t>
                  </w:r>
                  <w:r>
                    <w:rPr>
                      <w:rFonts w:ascii="Arial" w:hAnsi="Arial"/>
                      <w:color w:val="231F20"/>
                    </w:rPr>
                    <w:t>dont le</w:t>
                  </w:r>
                  <w:r>
                    <w:rPr>
                      <w:rFonts w:ascii="Arial" w:hAnsi="Arial"/>
                      <w:color w:val="231F20"/>
                      <w:spacing w:val="-5"/>
                    </w:rPr>
                    <w:t> </w:t>
                  </w:r>
                  <w:r>
                    <w:rPr>
                      <w:rFonts w:ascii="Arial" w:hAnsi="Arial"/>
                      <w:color w:val="231F20"/>
                    </w:rPr>
                    <w:t>français.</w:t>
                  </w:r>
                  <w:r>
                    <w:rPr>
                      <w:rFonts w:ascii="Arial" w:hAnsi="Arial"/>
                      <w:color w:val="231F20"/>
                      <w:spacing w:val="-5"/>
                    </w:rPr>
                    <w:t> </w:t>
                  </w:r>
                  <w:r>
                    <w:rPr>
                      <w:rFonts w:ascii="Arial" w:hAnsi="Arial"/>
                      <w:color w:val="231F20"/>
                    </w:rPr>
                    <w:t>Si</w:t>
                  </w:r>
                  <w:r>
                    <w:rPr>
                      <w:rFonts w:ascii="Arial" w:hAnsi="Arial"/>
                      <w:color w:val="231F20"/>
                      <w:spacing w:val="-5"/>
                    </w:rPr>
                    <w:t> </w:t>
                  </w:r>
                  <w:r>
                    <w:rPr>
                      <w:rFonts w:ascii="Arial" w:hAnsi="Arial"/>
                      <w:color w:val="231F20"/>
                    </w:rPr>
                    <w:t>vous</w:t>
                  </w:r>
                  <w:r>
                    <w:rPr>
                      <w:rFonts w:ascii="Arial" w:hAnsi="Arial"/>
                      <w:color w:val="231F20"/>
                      <w:spacing w:val="-5"/>
                    </w:rPr>
                    <w:t> </w:t>
                  </w:r>
                  <w:r>
                    <w:rPr>
                      <w:rFonts w:ascii="Arial" w:hAnsi="Arial"/>
                      <w:color w:val="231F20"/>
                    </w:rPr>
                    <w:t>êtes</w:t>
                  </w:r>
                  <w:r>
                    <w:rPr>
                      <w:rFonts w:ascii="Arial" w:hAnsi="Arial"/>
                      <w:color w:val="231F20"/>
                      <w:spacing w:val="-5"/>
                    </w:rPr>
                    <w:t> </w:t>
                  </w:r>
                  <w:r>
                    <w:rPr>
                      <w:rFonts w:ascii="Arial" w:hAnsi="Arial"/>
                      <w:color w:val="231F20"/>
                    </w:rPr>
                    <w:t>intéressé</w:t>
                  </w:r>
                  <w:r>
                    <w:rPr>
                      <w:rFonts w:ascii="Arial" w:hAnsi="Arial"/>
                      <w:color w:val="231F20"/>
                      <w:spacing w:val="-5"/>
                    </w:rPr>
                    <w:t> </w:t>
                  </w:r>
                  <w:r>
                    <w:rPr>
                      <w:rFonts w:ascii="Arial" w:hAnsi="Arial"/>
                      <w:color w:val="231F20"/>
                    </w:rPr>
                    <w:t>à</w:t>
                  </w:r>
                  <w:r>
                    <w:rPr>
                      <w:rFonts w:ascii="Arial" w:hAnsi="Arial"/>
                      <w:color w:val="231F20"/>
                      <w:spacing w:val="-5"/>
                    </w:rPr>
                    <w:t> </w:t>
                  </w:r>
                  <w:r>
                    <w:rPr>
                      <w:rFonts w:ascii="Arial" w:hAnsi="Arial"/>
                      <w:color w:val="231F20"/>
                    </w:rPr>
                    <w:t>examiner</w:t>
                  </w:r>
                  <w:r>
                    <w:rPr>
                      <w:rFonts w:ascii="Arial" w:hAnsi="Arial"/>
                      <w:color w:val="231F20"/>
                      <w:spacing w:val="-5"/>
                    </w:rPr>
                    <w:t> </w:t>
                  </w:r>
                  <w:r>
                    <w:rPr>
                      <w:rFonts w:ascii="Arial" w:hAnsi="Arial"/>
                      <w:i/>
                      <w:color w:val="231F20"/>
                    </w:rPr>
                    <w:t>La</w:t>
                  </w:r>
                  <w:r>
                    <w:rPr>
                      <w:rFonts w:ascii="Arial" w:hAnsi="Arial"/>
                      <w:i/>
                      <w:color w:val="231F20"/>
                      <w:spacing w:val="-5"/>
                    </w:rPr>
                    <w:t> </w:t>
                  </w:r>
                  <w:r>
                    <w:rPr>
                      <w:rFonts w:ascii="Arial" w:hAnsi="Arial"/>
                      <w:i/>
                      <w:color w:val="231F20"/>
                    </w:rPr>
                    <w:t>carte</w:t>
                  </w:r>
                  <w:r>
                    <w:rPr>
                      <w:rFonts w:ascii="Arial" w:hAnsi="Arial"/>
                      <w:i/>
                      <w:color w:val="231F20"/>
                      <w:spacing w:val="-5"/>
                    </w:rPr>
                    <w:t> </w:t>
                  </w:r>
                  <w:r>
                    <w:rPr>
                      <w:rFonts w:ascii="Arial" w:hAnsi="Arial"/>
                      <w:i/>
                      <w:color w:val="231F20"/>
                    </w:rPr>
                    <w:t>du</w:t>
                  </w:r>
                  <w:r>
                    <w:rPr>
                      <w:rFonts w:ascii="Arial" w:hAnsi="Arial"/>
                      <w:i/>
                      <w:color w:val="231F20"/>
                      <w:spacing w:val="-5"/>
                    </w:rPr>
                    <w:t> </w:t>
                  </w:r>
                  <w:r>
                    <w:rPr>
                      <w:rFonts w:ascii="Arial" w:hAnsi="Arial"/>
                      <w:i/>
                      <w:color w:val="231F20"/>
                    </w:rPr>
                    <w:t>stress</w:t>
                  </w:r>
                  <w:r>
                    <w:rPr>
                      <w:rFonts w:ascii="Arial" w:hAnsi="Arial"/>
                      <w:color w:val="231F20"/>
                    </w:rPr>
                    <w:t>,</w:t>
                  </w:r>
                  <w:r>
                    <w:rPr>
                      <w:rFonts w:ascii="Arial" w:hAnsi="Arial"/>
                      <w:color w:val="231F20"/>
                      <w:spacing w:val="-5"/>
                    </w:rPr>
                    <w:t> </w:t>
                  </w:r>
                  <w:r>
                    <w:rPr>
                      <w:rFonts w:ascii="Arial" w:hAnsi="Arial"/>
                      <w:color w:val="231F20"/>
                    </w:rPr>
                    <w:t>vous pouvez consulter le site suivant</w:t>
                  </w:r>
                  <w:r>
                    <w:rPr>
                      <w:rFonts w:ascii="Arial" w:hAnsi="Arial"/>
                      <w:color w:val="231F20"/>
                      <w:spacing w:val="-12"/>
                    </w:rPr>
                    <w:t> </w:t>
                  </w:r>
                  <w:r>
                    <w:rPr>
                      <w:rFonts w:ascii="Arial" w:hAnsi="Arial"/>
                      <w:color w:val="231F20"/>
                    </w:rPr>
                    <w:t>: </w:t>
                  </w:r>
                  <w:hyperlink r:id="rId324">
                    <w:r>
                      <w:rPr>
                        <w:rFonts w:ascii="Arial" w:hAnsi="Arial"/>
                        <w:color w:val="231F20"/>
                      </w:rPr>
                      <w:t>&lt;www.zinquo</w:t>
                    </w:r>
                  </w:hyperlink>
                  <w:r>
                    <w:rPr>
                      <w:rFonts w:ascii="Arial" w:hAnsi="Arial"/>
                      <w:color w:val="231F20"/>
                    </w:rPr>
                    <w:t>.</w:t>
                  </w:r>
                  <w:hyperlink r:id="rId324">
                    <w:r>
                      <w:rPr>
                        <w:rFonts w:ascii="Arial" w:hAnsi="Arial"/>
                        <w:color w:val="231F20"/>
                      </w:rPr>
                      <w:t>com/tienda-zinquo/</w:t>
                    </w:r>
                  </w:hyperlink>
                  <w:r>
                    <w:rPr>
                      <w:rFonts w:ascii="Arial" w:hAnsi="Arial"/>
                      <w:color w:val="231F20"/>
                    </w:rPr>
                    <w:t> </w:t>
                  </w:r>
                  <w:r>
                    <w:rPr>
                      <w:rFonts w:ascii="Arial" w:hAnsi="Arial"/>
                      <w:color w:val="231F20"/>
                      <w:w w:val="105"/>
                    </w:rPr>
                    <w:t>herramientas/el-mapa-del-estres/&gt;,</w:t>
                  </w:r>
                  <w:r>
                    <w:rPr>
                      <w:rFonts w:ascii="Arial" w:hAnsi="Arial"/>
                      <w:color w:val="231F20"/>
                      <w:spacing w:val="-2"/>
                      <w:w w:val="105"/>
                    </w:rPr>
                    <w:t> </w:t>
                  </w:r>
                  <w:r>
                    <w:rPr>
                      <w:rFonts w:ascii="Arial" w:hAnsi="Arial"/>
                      <w:color w:val="231F20"/>
                      <w:w w:val="105"/>
                    </w:rPr>
                    <w:t>consulté</w:t>
                  </w:r>
                  <w:r>
                    <w:rPr>
                      <w:rFonts w:ascii="Arial" w:hAnsi="Arial"/>
                      <w:color w:val="231F20"/>
                      <w:spacing w:val="-2"/>
                      <w:w w:val="105"/>
                    </w:rPr>
                    <w:t> </w:t>
                  </w:r>
                  <w:r>
                    <w:rPr>
                      <w:rFonts w:ascii="Arial" w:hAnsi="Arial"/>
                      <w:color w:val="231F20"/>
                      <w:w w:val="105"/>
                    </w:rPr>
                    <w:t>le</w:t>
                  </w:r>
                  <w:r>
                    <w:rPr>
                      <w:rFonts w:ascii="Arial" w:hAnsi="Arial"/>
                      <w:color w:val="231F20"/>
                      <w:spacing w:val="-2"/>
                      <w:w w:val="105"/>
                    </w:rPr>
                    <w:t> </w:t>
                  </w:r>
                  <w:r>
                    <w:rPr>
                      <w:rFonts w:ascii="Arial" w:hAnsi="Arial"/>
                      <w:color w:val="231F20"/>
                      <w:w w:val="105"/>
                    </w:rPr>
                    <w:t>22</w:t>
                  </w:r>
                  <w:r>
                    <w:rPr>
                      <w:rFonts w:ascii="Arial" w:hAnsi="Arial"/>
                      <w:color w:val="231F20"/>
                      <w:spacing w:val="-2"/>
                      <w:w w:val="105"/>
                    </w:rPr>
                    <w:t> </w:t>
                  </w:r>
                  <w:r>
                    <w:rPr>
                      <w:rFonts w:ascii="Arial" w:hAnsi="Arial"/>
                      <w:color w:val="231F20"/>
                      <w:w w:val="105"/>
                    </w:rPr>
                    <w:t>octobre</w:t>
                  </w:r>
                  <w:r>
                    <w:rPr>
                      <w:rFonts w:ascii="Arial" w:hAnsi="Arial"/>
                      <w:color w:val="231F20"/>
                      <w:spacing w:val="-2"/>
                      <w:w w:val="105"/>
                    </w:rPr>
                    <w:t> </w:t>
                  </w:r>
                  <w:r>
                    <w:rPr>
                      <w:rFonts w:ascii="Arial" w:hAnsi="Arial"/>
                      <w:color w:val="231F20"/>
                      <w:w w:val="105"/>
                    </w:rPr>
                    <w:t>2021.</w:t>
                  </w:r>
                </w:p>
              </w:txbxContent>
            </v:textbox>
            <v:fill type="solid"/>
            <w10:wrap type="topAndBottom"/>
          </v:shape>
        </w:pict>
      </w:r>
    </w:p>
    <w:p>
      <w:pPr>
        <w:pStyle w:val="BodyText"/>
        <w:spacing w:before="1"/>
        <w:rPr>
          <w:rFonts w:ascii="Arial"/>
        </w:rPr>
      </w:pPr>
    </w:p>
    <w:p>
      <w:pPr>
        <w:pStyle w:val="BodyText"/>
        <w:spacing w:line="307" w:lineRule="auto" w:before="145"/>
        <w:ind w:left="829" w:right="494"/>
        <w:jc w:val="both"/>
      </w:pPr>
      <w:r>
        <w:rPr>
          <w:color w:val="231F20"/>
          <w:w w:val="120"/>
        </w:rPr>
        <w:t>Cela étant dit, comme nous en avons discuté dans la présentation du </w:t>
      </w:r>
      <w:r>
        <w:rPr>
          <w:color w:val="231F20"/>
          <w:spacing w:val="-2"/>
          <w:w w:val="120"/>
        </w:rPr>
        <w:t>processus</w:t>
      </w:r>
      <w:r>
        <w:rPr>
          <w:color w:val="231F20"/>
          <w:spacing w:val="-5"/>
          <w:w w:val="120"/>
        </w:rPr>
        <w:t> </w:t>
      </w:r>
      <w:r>
        <w:rPr>
          <w:color w:val="231F20"/>
          <w:spacing w:val="-2"/>
          <w:w w:val="120"/>
        </w:rPr>
        <w:t>de</w:t>
      </w:r>
      <w:r>
        <w:rPr>
          <w:color w:val="231F20"/>
          <w:spacing w:val="-5"/>
          <w:w w:val="120"/>
        </w:rPr>
        <w:t> </w:t>
      </w:r>
      <w:r>
        <w:rPr>
          <w:color w:val="231F20"/>
          <w:spacing w:val="-2"/>
          <w:w w:val="120"/>
        </w:rPr>
        <w:t>diagnostic</w:t>
      </w:r>
      <w:r>
        <w:rPr>
          <w:color w:val="231F20"/>
          <w:spacing w:val="-5"/>
          <w:w w:val="120"/>
        </w:rPr>
        <w:t> </w:t>
      </w:r>
      <w:r>
        <w:rPr>
          <w:color w:val="231F20"/>
          <w:spacing w:val="-2"/>
          <w:w w:val="120"/>
        </w:rPr>
        <w:t>organisationnel,</w:t>
      </w:r>
      <w:r>
        <w:rPr>
          <w:color w:val="231F20"/>
          <w:spacing w:val="-5"/>
          <w:w w:val="120"/>
        </w:rPr>
        <w:t> </w:t>
      </w:r>
      <w:r>
        <w:rPr>
          <w:color w:val="231F20"/>
          <w:spacing w:val="-2"/>
          <w:w w:val="120"/>
        </w:rPr>
        <w:t>pour</w:t>
      </w:r>
      <w:r>
        <w:rPr>
          <w:color w:val="231F20"/>
          <w:spacing w:val="-5"/>
          <w:w w:val="120"/>
        </w:rPr>
        <w:t> </w:t>
      </w:r>
      <w:r>
        <w:rPr>
          <w:color w:val="231F20"/>
          <w:spacing w:val="-2"/>
          <w:w w:val="120"/>
        </w:rPr>
        <w:t>assurer</w:t>
      </w:r>
      <w:r>
        <w:rPr>
          <w:color w:val="231F20"/>
          <w:spacing w:val="-5"/>
          <w:w w:val="120"/>
        </w:rPr>
        <w:t> </w:t>
      </w:r>
      <w:r>
        <w:rPr>
          <w:color w:val="231F20"/>
          <w:spacing w:val="-2"/>
          <w:w w:val="120"/>
        </w:rPr>
        <w:t>une</w:t>
      </w:r>
      <w:r>
        <w:rPr>
          <w:color w:val="231F20"/>
          <w:spacing w:val="-5"/>
          <w:w w:val="120"/>
        </w:rPr>
        <w:t> </w:t>
      </w:r>
      <w:r>
        <w:rPr>
          <w:color w:val="231F20"/>
          <w:spacing w:val="-2"/>
          <w:w w:val="120"/>
        </w:rPr>
        <w:t>bonne</w:t>
      </w:r>
      <w:r>
        <w:rPr>
          <w:color w:val="231F20"/>
          <w:spacing w:val="-5"/>
          <w:w w:val="120"/>
        </w:rPr>
        <w:t> </w:t>
      </w:r>
      <w:r>
        <w:rPr>
          <w:color w:val="231F20"/>
          <w:spacing w:val="-2"/>
          <w:w w:val="120"/>
        </w:rPr>
        <w:t>gestion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au</w:t>
      </w:r>
      <w:r>
        <w:rPr>
          <w:color w:val="231F20"/>
          <w:spacing w:val="-5"/>
          <w:w w:val="120"/>
        </w:rPr>
        <w:t> </w:t>
      </w:r>
      <w:r>
        <w:rPr>
          <w:color w:val="231F20"/>
          <w:w w:val="120"/>
        </w:rPr>
        <w:t>sein</w:t>
      </w:r>
      <w:r>
        <w:rPr>
          <w:color w:val="231F20"/>
          <w:spacing w:val="-5"/>
          <w:w w:val="120"/>
        </w:rPr>
        <w:t> </w:t>
      </w:r>
      <w:r>
        <w:rPr>
          <w:color w:val="231F20"/>
          <w:w w:val="120"/>
        </w:rPr>
        <w:t>d’une</w:t>
      </w:r>
      <w:r>
        <w:rPr>
          <w:color w:val="231F20"/>
          <w:spacing w:val="-5"/>
          <w:w w:val="120"/>
        </w:rPr>
        <w:t> </w:t>
      </w:r>
      <w:r>
        <w:rPr>
          <w:color w:val="231F20"/>
          <w:w w:val="120"/>
        </w:rPr>
        <w:t>entreprise,</w:t>
      </w:r>
      <w:r>
        <w:rPr>
          <w:color w:val="231F20"/>
          <w:spacing w:val="-5"/>
          <w:w w:val="120"/>
        </w:rPr>
        <w:t> </w:t>
      </w:r>
      <w:r>
        <w:rPr>
          <w:color w:val="231F20"/>
          <w:w w:val="120"/>
        </w:rPr>
        <w:t>il</w:t>
      </w:r>
      <w:r>
        <w:rPr>
          <w:color w:val="231F20"/>
          <w:spacing w:val="-5"/>
          <w:w w:val="120"/>
        </w:rPr>
        <w:t> </w:t>
      </w:r>
      <w:r>
        <w:rPr>
          <w:color w:val="231F20"/>
          <w:w w:val="120"/>
        </w:rPr>
        <w:t>faut</w:t>
      </w:r>
      <w:r>
        <w:rPr>
          <w:color w:val="231F20"/>
          <w:spacing w:val="-5"/>
          <w:w w:val="120"/>
        </w:rPr>
        <w:t> </w:t>
      </w:r>
      <w:r>
        <w:rPr>
          <w:color w:val="231F20"/>
          <w:w w:val="120"/>
        </w:rPr>
        <w:t>d’abord</w:t>
      </w:r>
      <w:r>
        <w:rPr>
          <w:color w:val="231F20"/>
          <w:spacing w:val="-5"/>
          <w:w w:val="120"/>
        </w:rPr>
        <w:t> </w:t>
      </w:r>
      <w:r>
        <w:rPr>
          <w:color w:val="231F20"/>
          <w:w w:val="120"/>
        </w:rPr>
        <w:t>relever</w:t>
      </w:r>
      <w:r>
        <w:rPr>
          <w:color w:val="231F20"/>
          <w:spacing w:val="-5"/>
          <w:w w:val="120"/>
        </w:rPr>
        <w:t> </w:t>
      </w:r>
      <w:r>
        <w:rPr>
          <w:color w:val="231F20"/>
          <w:w w:val="120"/>
        </w:rPr>
        <w:t>les</w:t>
      </w:r>
      <w:r>
        <w:rPr>
          <w:color w:val="231F20"/>
          <w:spacing w:val="-5"/>
          <w:w w:val="120"/>
        </w:rPr>
        <w:t> </w:t>
      </w:r>
      <w:r>
        <w:rPr>
          <w:color w:val="231F20"/>
          <w:w w:val="120"/>
        </w:rPr>
        <w:t>caractéris- tiques</w:t>
      </w:r>
      <w:r>
        <w:rPr>
          <w:color w:val="231F20"/>
          <w:spacing w:val="-5"/>
          <w:w w:val="120"/>
        </w:rPr>
        <w:t> </w:t>
      </w:r>
      <w:r>
        <w:rPr>
          <w:color w:val="231F20"/>
          <w:w w:val="120"/>
        </w:rPr>
        <w:t>particulières</w:t>
      </w:r>
      <w:r>
        <w:rPr>
          <w:color w:val="231F20"/>
          <w:spacing w:val="-5"/>
          <w:w w:val="120"/>
        </w:rPr>
        <w:t> </w:t>
      </w:r>
      <w:r>
        <w:rPr>
          <w:color w:val="231F20"/>
          <w:w w:val="120"/>
        </w:rPr>
        <w:t>qui</w:t>
      </w:r>
      <w:r>
        <w:rPr>
          <w:color w:val="231F20"/>
          <w:spacing w:val="-5"/>
          <w:w w:val="120"/>
        </w:rPr>
        <w:t> </w:t>
      </w:r>
      <w:r>
        <w:rPr>
          <w:color w:val="231F20"/>
          <w:w w:val="120"/>
        </w:rPr>
        <w:t>sont</w:t>
      </w:r>
      <w:r>
        <w:rPr>
          <w:color w:val="231F20"/>
          <w:spacing w:val="-5"/>
          <w:w w:val="120"/>
        </w:rPr>
        <w:t> </w:t>
      </w:r>
      <w:r>
        <w:rPr>
          <w:color w:val="231F20"/>
          <w:w w:val="120"/>
        </w:rPr>
        <w:t>des</w:t>
      </w:r>
      <w:r>
        <w:rPr>
          <w:color w:val="231F20"/>
          <w:spacing w:val="-5"/>
          <w:w w:val="120"/>
        </w:rPr>
        <w:t> </w:t>
      </w:r>
      <w:r>
        <w:rPr>
          <w:color w:val="231F20"/>
          <w:w w:val="120"/>
        </w:rPr>
        <w:t>éléments</w:t>
      </w:r>
      <w:r>
        <w:rPr>
          <w:color w:val="231F20"/>
          <w:spacing w:val="-5"/>
          <w:w w:val="120"/>
        </w:rPr>
        <w:t> </w:t>
      </w:r>
      <w:r>
        <w:rPr>
          <w:color w:val="231F20"/>
          <w:w w:val="120"/>
        </w:rPr>
        <w:t>potentiels</w:t>
      </w:r>
      <w:r>
        <w:rPr>
          <w:color w:val="231F20"/>
          <w:spacing w:val="-5"/>
          <w:w w:val="120"/>
        </w:rPr>
        <w:t> </w:t>
      </w:r>
      <w:r>
        <w:rPr>
          <w:color w:val="231F20"/>
          <w:w w:val="120"/>
        </w:rPr>
        <w:t>de</w:t>
      </w:r>
      <w:r>
        <w:rPr>
          <w:color w:val="231F20"/>
          <w:spacing w:val="-5"/>
          <w:w w:val="120"/>
        </w:rPr>
        <w:t> </w:t>
      </w:r>
      <w:r>
        <w:rPr>
          <w:color w:val="231F20"/>
          <w:w w:val="120"/>
        </w:rPr>
        <w:t>stress.</w:t>
      </w:r>
      <w:r>
        <w:rPr>
          <w:color w:val="231F20"/>
          <w:spacing w:val="-5"/>
          <w:w w:val="120"/>
        </w:rPr>
        <w:t> </w:t>
      </w:r>
      <w:r>
        <w:rPr>
          <w:color w:val="231F20"/>
          <w:w w:val="120"/>
        </w:rPr>
        <w:t>Diverses études</w:t>
      </w:r>
      <w:r>
        <w:rPr>
          <w:color w:val="231F20"/>
          <w:spacing w:val="-9"/>
          <w:w w:val="120"/>
        </w:rPr>
        <w:t> </w:t>
      </w:r>
      <w:r>
        <w:rPr>
          <w:color w:val="231F20"/>
          <w:w w:val="120"/>
        </w:rPr>
        <w:t>ont</w:t>
      </w:r>
      <w:r>
        <w:rPr>
          <w:color w:val="231F20"/>
          <w:spacing w:val="-9"/>
          <w:w w:val="120"/>
        </w:rPr>
        <w:t> </w:t>
      </w:r>
      <w:r>
        <w:rPr>
          <w:color w:val="231F20"/>
          <w:w w:val="120"/>
        </w:rPr>
        <w:t>permis</w:t>
      </w:r>
      <w:r>
        <w:rPr>
          <w:color w:val="231F20"/>
          <w:spacing w:val="-9"/>
          <w:w w:val="120"/>
        </w:rPr>
        <w:t> </w:t>
      </w:r>
      <w:r>
        <w:rPr>
          <w:color w:val="231F20"/>
          <w:w w:val="120"/>
        </w:rPr>
        <w:t>d’établir</w:t>
      </w:r>
      <w:r>
        <w:rPr>
          <w:color w:val="231F20"/>
          <w:spacing w:val="-9"/>
          <w:w w:val="120"/>
        </w:rPr>
        <w:t> </w:t>
      </w:r>
      <w:r>
        <w:rPr>
          <w:color w:val="231F20"/>
          <w:w w:val="120"/>
        </w:rPr>
        <w:t>les</w:t>
      </w:r>
      <w:r>
        <w:rPr>
          <w:color w:val="231F20"/>
          <w:spacing w:val="-9"/>
          <w:w w:val="120"/>
        </w:rPr>
        <w:t> </w:t>
      </w:r>
      <w:r>
        <w:rPr>
          <w:color w:val="231F20"/>
          <w:w w:val="120"/>
        </w:rPr>
        <w:t>facteurs</w:t>
      </w:r>
      <w:r>
        <w:rPr>
          <w:color w:val="231F20"/>
          <w:spacing w:val="-9"/>
          <w:w w:val="120"/>
        </w:rPr>
        <w:t> </w:t>
      </w:r>
      <w:r>
        <w:rPr>
          <w:color w:val="231F20"/>
          <w:w w:val="120"/>
        </w:rPr>
        <w:t>de</w:t>
      </w:r>
      <w:r>
        <w:rPr>
          <w:color w:val="231F20"/>
          <w:spacing w:val="-9"/>
          <w:w w:val="120"/>
        </w:rPr>
        <w:t> </w:t>
      </w:r>
      <w:r>
        <w:rPr>
          <w:color w:val="231F20"/>
          <w:w w:val="120"/>
        </w:rPr>
        <w:t>stress</w:t>
      </w:r>
      <w:r>
        <w:rPr>
          <w:color w:val="231F20"/>
          <w:spacing w:val="-9"/>
          <w:w w:val="120"/>
        </w:rPr>
        <w:t> </w:t>
      </w:r>
      <w:r>
        <w:rPr>
          <w:color w:val="231F20"/>
          <w:w w:val="120"/>
        </w:rPr>
        <w:t>les</w:t>
      </w:r>
      <w:r>
        <w:rPr>
          <w:color w:val="231F20"/>
          <w:spacing w:val="-9"/>
          <w:w w:val="120"/>
        </w:rPr>
        <w:t> </w:t>
      </w:r>
      <w:r>
        <w:rPr>
          <w:color w:val="231F20"/>
          <w:w w:val="120"/>
        </w:rPr>
        <w:t>plus</w:t>
      </w:r>
      <w:r>
        <w:rPr>
          <w:color w:val="231F20"/>
          <w:spacing w:val="-9"/>
          <w:w w:val="120"/>
        </w:rPr>
        <w:t> </w:t>
      </w:r>
      <w:r>
        <w:rPr>
          <w:color w:val="231F20"/>
          <w:w w:val="120"/>
        </w:rPr>
        <w:t>fréquents</w:t>
      </w:r>
      <w:r>
        <w:rPr>
          <w:color w:val="231F20"/>
          <w:spacing w:val="-9"/>
          <w:w w:val="120"/>
        </w:rPr>
        <w:t> </w:t>
      </w:r>
      <w:r>
        <w:rPr>
          <w:color w:val="231F20"/>
          <w:w w:val="120"/>
        </w:rPr>
        <w:t>dans les</w:t>
      </w:r>
      <w:r>
        <w:rPr>
          <w:color w:val="231F20"/>
          <w:spacing w:val="-13"/>
          <w:w w:val="120"/>
        </w:rPr>
        <w:t> </w:t>
      </w:r>
      <w:r>
        <w:rPr>
          <w:color w:val="231F20"/>
          <w:w w:val="120"/>
        </w:rPr>
        <w:t>organisations:</w:t>
      </w:r>
    </w:p>
    <w:p>
      <w:pPr>
        <w:pStyle w:val="ListParagraph"/>
        <w:numPr>
          <w:ilvl w:val="0"/>
          <w:numId w:val="93"/>
        </w:numPr>
        <w:tabs>
          <w:tab w:pos="1330" w:val="left" w:leader="none"/>
        </w:tabs>
        <w:spacing w:line="240" w:lineRule="auto" w:before="79" w:after="0"/>
        <w:ind w:left="1330" w:right="0" w:hanging="251"/>
        <w:jc w:val="left"/>
        <w:rPr>
          <w:sz w:val="17"/>
        </w:rPr>
      </w:pPr>
      <w:r>
        <w:rPr>
          <w:color w:val="231F20"/>
          <w:w w:val="115"/>
          <w:sz w:val="17"/>
        </w:rPr>
        <w:t>Les</w:t>
      </w:r>
      <w:r>
        <w:rPr>
          <w:color w:val="231F20"/>
          <w:spacing w:val="-6"/>
          <w:w w:val="115"/>
          <w:sz w:val="17"/>
        </w:rPr>
        <w:t> </w:t>
      </w:r>
      <w:r>
        <w:rPr>
          <w:color w:val="231F20"/>
          <w:w w:val="115"/>
          <w:sz w:val="17"/>
        </w:rPr>
        <w:t>exigences</w:t>
      </w:r>
      <w:r>
        <w:rPr>
          <w:color w:val="231F20"/>
          <w:spacing w:val="-3"/>
          <w:w w:val="115"/>
          <w:sz w:val="17"/>
        </w:rPr>
        <w:t> </w:t>
      </w:r>
      <w:r>
        <w:rPr>
          <w:color w:val="231F20"/>
          <w:w w:val="115"/>
          <w:sz w:val="17"/>
        </w:rPr>
        <w:t>de</w:t>
      </w:r>
      <w:r>
        <w:rPr>
          <w:color w:val="231F20"/>
          <w:spacing w:val="-3"/>
          <w:w w:val="115"/>
          <w:sz w:val="17"/>
        </w:rPr>
        <w:t> </w:t>
      </w:r>
      <w:r>
        <w:rPr>
          <w:color w:val="231F20"/>
          <w:spacing w:val="-2"/>
          <w:w w:val="115"/>
          <w:sz w:val="17"/>
        </w:rPr>
        <w:t>travail;</w:t>
      </w:r>
    </w:p>
    <w:p>
      <w:pPr>
        <w:pStyle w:val="ListParagraph"/>
        <w:numPr>
          <w:ilvl w:val="0"/>
          <w:numId w:val="93"/>
        </w:numPr>
        <w:tabs>
          <w:tab w:pos="1330" w:val="left" w:leader="none"/>
        </w:tabs>
        <w:spacing w:line="240" w:lineRule="auto" w:before="54" w:after="0"/>
        <w:ind w:left="1330" w:right="0" w:hanging="251"/>
        <w:jc w:val="left"/>
        <w:rPr>
          <w:sz w:val="17"/>
        </w:rPr>
      </w:pPr>
      <w:r>
        <w:rPr>
          <w:color w:val="231F20"/>
          <w:w w:val="115"/>
          <w:sz w:val="17"/>
        </w:rPr>
        <w:t>L’imposition</w:t>
      </w:r>
      <w:r>
        <w:rPr>
          <w:color w:val="231F20"/>
          <w:spacing w:val="1"/>
          <w:w w:val="115"/>
          <w:sz w:val="17"/>
        </w:rPr>
        <w:t> </w:t>
      </w:r>
      <w:r>
        <w:rPr>
          <w:color w:val="231F20"/>
          <w:w w:val="115"/>
          <w:sz w:val="17"/>
        </w:rPr>
        <w:t>rigide</w:t>
      </w:r>
      <w:r>
        <w:rPr>
          <w:color w:val="231F20"/>
          <w:spacing w:val="2"/>
          <w:w w:val="115"/>
          <w:sz w:val="17"/>
        </w:rPr>
        <w:t> </w:t>
      </w:r>
      <w:r>
        <w:rPr>
          <w:color w:val="231F20"/>
          <w:w w:val="115"/>
          <w:sz w:val="17"/>
        </w:rPr>
        <w:t>d’une</w:t>
      </w:r>
      <w:r>
        <w:rPr>
          <w:color w:val="231F20"/>
          <w:spacing w:val="1"/>
          <w:w w:val="115"/>
          <w:sz w:val="17"/>
        </w:rPr>
        <w:t> </w:t>
      </w:r>
      <w:r>
        <w:rPr>
          <w:color w:val="231F20"/>
          <w:w w:val="115"/>
          <w:sz w:val="17"/>
        </w:rPr>
        <w:t>cadence</w:t>
      </w:r>
      <w:r>
        <w:rPr>
          <w:color w:val="231F20"/>
          <w:spacing w:val="2"/>
          <w:w w:val="115"/>
          <w:sz w:val="17"/>
        </w:rPr>
        <w:t> </w:t>
      </w:r>
      <w:r>
        <w:rPr>
          <w:color w:val="231F20"/>
          <w:w w:val="115"/>
          <w:sz w:val="17"/>
        </w:rPr>
        <w:t>de</w:t>
      </w:r>
      <w:r>
        <w:rPr>
          <w:color w:val="231F20"/>
          <w:spacing w:val="2"/>
          <w:w w:val="115"/>
          <w:sz w:val="17"/>
        </w:rPr>
        <w:t> </w:t>
      </w:r>
      <w:r>
        <w:rPr>
          <w:color w:val="231F20"/>
          <w:spacing w:val="-2"/>
          <w:w w:val="115"/>
          <w:sz w:val="17"/>
        </w:rPr>
        <w:t>travail;</w:t>
      </w:r>
    </w:p>
    <w:p>
      <w:pPr>
        <w:pStyle w:val="ListParagraph"/>
        <w:numPr>
          <w:ilvl w:val="0"/>
          <w:numId w:val="93"/>
        </w:numPr>
        <w:tabs>
          <w:tab w:pos="1330" w:val="left" w:leader="none"/>
        </w:tabs>
        <w:spacing w:line="240" w:lineRule="auto" w:before="55" w:after="0"/>
        <w:ind w:left="1330" w:right="0" w:hanging="251"/>
        <w:jc w:val="left"/>
        <w:rPr>
          <w:sz w:val="17"/>
        </w:rPr>
      </w:pPr>
      <w:r>
        <w:rPr>
          <w:color w:val="231F20"/>
          <w:w w:val="115"/>
          <w:sz w:val="17"/>
        </w:rPr>
        <w:t>L’ambiguïté</w:t>
      </w:r>
      <w:r>
        <w:rPr>
          <w:color w:val="231F20"/>
          <w:spacing w:val="-4"/>
          <w:w w:val="115"/>
          <w:sz w:val="17"/>
        </w:rPr>
        <w:t> </w:t>
      </w:r>
      <w:r>
        <w:rPr>
          <w:color w:val="231F20"/>
          <w:w w:val="115"/>
          <w:sz w:val="17"/>
        </w:rPr>
        <w:t>des</w:t>
      </w:r>
      <w:r>
        <w:rPr>
          <w:color w:val="231F20"/>
          <w:spacing w:val="-4"/>
          <w:w w:val="115"/>
          <w:sz w:val="17"/>
        </w:rPr>
        <w:t> </w:t>
      </w:r>
      <w:r>
        <w:rPr>
          <w:color w:val="231F20"/>
          <w:w w:val="115"/>
          <w:sz w:val="17"/>
        </w:rPr>
        <w:t>rôles</w:t>
      </w:r>
      <w:r>
        <w:rPr>
          <w:color w:val="231F20"/>
          <w:spacing w:val="-3"/>
          <w:w w:val="115"/>
          <w:sz w:val="17"/>
        </w:rPr>
        <w:t> </w:t>
      </w:r>
      <w:r>
        <w:rPr>
          <w:color w:val="231F20"/>
          <w:w w:val="115"/>
          <w:sz w:val="17"/>
        </w:rPr>
        <w:t>et</w:t>
      </w:r>
      <w:r>
        <w:rPr>
          <w:color w:val="231F20"/>
          <w:spacing w:val="-4"/>
          <w:w w:val="115"/>
          <w:sz w:val="17"/>
        </w:rPr>
        <w:t> </w:t>
      </w:r>
      <w:r>
        <w:rPr>
          <w:color w:val="231F20"/>
          <w:w w:val="115"/>
          <w:sz w:val="17"/>
        </w:rPr>
        <w:t>les</w:t>
      </w:r>
      <w:r>
        <w:rPr>
          <w:color w:val="231F20"/>
          <w:spacing w:val="-3"/>
          <w:w w:val="115"/>
          <w:sz w:val="17"/>
        </w:rPr>
        <w:t> </w:t>
      </w:r>
      <w:r>
        <w:rPr>
          <w:color w:val="231F20"/>
          <w:w w:val="115"/>
          <w:sz w:val="17"/>
        </w:rPr>
        <w:t>conflits</w:t>
      </w:r>
      <w:r>
        <w:rPr>
          <w:color w:val="231F20"/>
          <w:spacing w:val="-4"/>
          <w:w w:val="115"/>
          <w:sz w:val="17"/>
        </w:rPr>
        <w:t> </w:t>
      </w:r>
      <w:r>
        <w:rPr>
          <w:color w:val="231F20"/>
          <w:w w:val="115"/>
          <w:sz w:val="17"/>
        </w:rPr>
        <w:t>de</w:t>
      </w:r>
      <w:r>
        <w:rPr>
          <w:color w:val="231F20"/>
          <w:spacing w:val="-3"/>
          <w:w w:val="115"/>
          <w:sz w:val="17"/>
        </w:rPr>
        <w:t> </w:t>
      </w:r>
      <w:r>
        <w:rPr>
          <w:color w:val="231F20"/>
          <w:spacing w:val="-2"/>
          <w:w w:val="115"/>
          <w:sz w:val="17"/>
        </w:rPr>
        <w:t>rôles;</w:t>
      </w:r>
    </w:p>
    <w:p>
      <w:pPr>
        <w:pStyle w:val="ListParagraph"/>
        <w:numPr>
          <w:ilvl w:val="0"/>
          <w:numId w:val="93"/>
        </w:numPr>
        <w:tabs>
          <w:tab w:pos="1330" w:val="left" w:leader="none"/>
        </w:tabs>
        <w:spacing w:line="240" w:lineRule="auto" w:before="55" w:after="0"/>
        <w:ind w:left="1330" w:right="0" w:hanging="251"/>
        <w:jc w:val="left"/>
        <w:rPr>
          <w:sz w:val="17"/>
        </w:rPr>
      </w:pPr>
      <w:r>
        <w:rPr>
          <w:color w:val="231F20"/>
          <w:w w:val="115"/>
          <w:sz w:val="17"/>
        </w:rPr>
        <w:t>La</w:t>
      </w:r>
      <w:r>
        <w:rPr>
          <w:color w:val="231F20"/>
          <w:spacing w:val="4"/>
          <w:w w:val="115"/>
          <w:sz w:val="17"/>
        </w:rPr>
        <w:t> </w:t>
      </w:r>
      <w:r>
        <w:rPr>
          <w:color w:val="231F20"/>
          <w:w w:val="115"/>
          <w:sz w:val="17"/>
        </w:rPr>
        <w:t>qualité</w:t>
      </w:r>
      <w:r>
        <w:rPr>
          <w:color w:val="231F20"/>
          <w:spacing w:val="5"/>
          <w:w w:val="115"/>
          <w:sz w:val="17"/>
        </w:rPr>
        <w:t> </w:t>
      </w:r>
      <w:r>
        <w:rPr>
          <w:color w:val="231F20"/>
          <w:w w:val="115"/>
          <w:sz w:val="17"/>
        </w:rPr>
        <w:t>des</w:t>
      </w:r>
      <w:r>
        <w:rPr>
          <w:color w:val="231F20"/>
          <w:spacing w:val="4"/>
          <w:w w:val="115"/>
          <w:sz w:val="17"/>
        </w:rPr>
        <w:t> </w:t>
      </w:r>
      <w:r>
        <w:rPr>
          <w:color w:val="231F20"/>
          <w:w w:val="115"/>
          <w:sz w:val="17"/>
        </w:rPr>
        <w:t>relations</w:t>
      </w:r>
      <w:r>
        <w:rPr>
          <w:color w:val="231F20"/>
          <w:spacing w:val="5"/>
          <w:w w:val="115"/>
          <w:sz w:val="17"/>
        </w:rPr>
        <w:t> </w:t>
      </w:r>
      <w:r>
        <w:rPr>
          <w:color w:val="231F20"/>
          <w:spacing w:val="-2"/>
          <w:w w:val="115"/>
          <w:sz w:val="17"/>
        </w:rPr>
        <w:t>interpersonnelles;</w:t>
      </w:r>
    </w:p>
    <w:p>
      <w:pPr>
        <w:pStyle w:val="ListParagraph"/>
        <w:numPr>
          <w:ilvl w:val="0"/>
          <w:numId w:val="93"/>
        </w:numPr>
        <w:tabs>
          <w:tab w:pos="1330" w:val="left" w:leader="none"/>
        </w:tabs>
        <w:spacing w:line="240" w:lineRule="auto" w:before="54" w:after="0"/>
        <w:ind w:left="1330" w:right="0" w:hanging="251"/>
        <w:jc w:val="left"/>
        <w:rPr>
          <w:sz w:val="17"/>
        </w:rPr>
      </w:pPr>
      <w:r>
        <w:rPr>
          <w:color w:val="231F20"/>
          <w:w w:val="115"/>
          <w:sz w:val="17"/>
        </w:rPr>
        <w:t>Le style</w:t>
      </w:r>
      <w:r>
        <w:rPr>
          <w:color w:val="231F20"/>
          <w:spacing w:val="1"/>
          <w:w w:val="115"/>
          <w:sz w:val="17"/>
        </w:rPr>
        <w:t> </w:t>
      </w:r>
      <w:r>
        <w:rPr>
          <w:color w:val="231F20"/>
          <w:w w:val="115"/>
          <w:sz w:val="17"/>
        </w:rPr>
        <w:t>de</w:t>
      </w:r>
      <w:r>
        <w:rPr>
          <w:color w:val="231F20"/>
          <w:spacing w:val="1"/>
          <w:w w:val="115"/>
          <w:sz w:val="17"/>
        </w:rPr>
        <w:t> </w:t>
      </w:r>
      <w:r>
        <w:rPr>
          <w:color w:val="231F20"/>
          <w:w w:val="115"/>
          <w:sz w:val="17"/>
        </w:rPr>
        <w:t>gestion ou</w:t>
      </w:r>
      <w:r>
        <w:rPr>
          <w:color w:val="231F20"/>
          <w:spacing w:val="1"/>
          <w:w w:val="115"/>
          <w:sz w:val="17"/>
        </w:rPr>
        <w:t> </w:t>
      </w:r>
      <w:r>
        <w:rPr>
          <w:color w:val="231F20"/>
          <w:w w:val="115"/>
          <w:sz w:val="17"/>
        </w:rPr>
        <w:t>de</w:t>
      </w:r>
      <w:r>
        <w:rPr>
          <w:color w:val="231F20"/>
          <w:spacing w:val="1"/>
          <w:w w:val="115"/>
          <w:sz w:val="17"/>
        </w:rPr>
        <w:t> </w:t>
      </w:r>
      <w:r>
        <w:rPr>
          <w:color w:val="231F20"/>
          <w:spacing w:val="-2"/>
          <w:w w:val="115"/>
          <w:sz w:val="17"/>
        </w:rPr>
        <w:t>supervision;</w:t>
      </w:r>
    </w:p>
    <w:p>
      <w:pPr>
        <w:pStyle w:val="ListParagraph"/>
        <w:numPr>
          <w:ilvl w:val="0"/>
          <w:numId w:val="93"/>
        </w:numPr>
        <w:tabs>
          <w:tab w:pos="1330" w:val="left" w:leader="none"/>
        </w:tabs>
        <w:spacing w:line="240" w:lineRule="auto" w:before="55" w:after="0"/>
        <w:ind w:left="1330" w:right="0" w:hanging="251"/>
        <w:jc w:val="left"/>
        <w:rPr>
          <w:sz w:val="17"/>
        </w:rPr>
      </w:pPr>
      <w:r>
        <w:rPr>
          <w:color w:val="231F20"/>
          <w:w w:val="115"/>
          <w:sz w:val="17"/>
        </w:rPr>
        <w:t>Le</w:t>
      </w:r>
      <w:r>
        <w:rPr>
          <w:color w:val="231F20"/>
          <w:spacing w:val="4"/>
          <w:w w:val="115"/>
          <w:sz w:val="17"/>
        </w:rPr>
        <w:t> </w:t>
      </w:r>
      <w:r>
        <w:rPr>
          <w:color w:val="231F20"/>
          <w:w w:val="115"/>
          <w:sz w:val="17"/>
        </w:rPr>
        <w:t>manque</w:t>
      </w:r>
      <w:r>
        <w:rPr>
          <w:color w:val="231F20"/>
          <w:spacing w:val="4"/>
          <w:w w:val="115"/>
          <w:sz w:val="17"/>
        </w:rPr>
        <w:t> </w:t>
      </w:r>
      <w:r>
        <w:rPr>
          <w:color w:val="231F20"/>
          <w:w w:val="115"/>
          <w:sz w:val="17"/>
        </w:rPr>
        <w:t>de</w:t>
      </w:r>
      <w:r>
        <w:rPr>
          <w:color w:val="231F20"/>
          <w:spacing w:val="4"/>
          <w:w w:val="115"/>
          <w:sz w:val="17"/>
        </w:rPr>
        <w:t> </w:t>
      </w:r>
      <w:r>
        <w:rPr>
          <w:color w:val="231F20"/>
          <w:w w:val="115"/>
          <w:sz w:val="17"/>
        </w:rPr>
        <w:t>flexibilité</w:t>
      </w:r>
      <w:r>
        <w:rPr>
          <w:color w:val="231F20"/>
          <w:spacing w:val="5"/>
          <w:w w:val="115"/>
          <w:sz w:val="17"/>
        </w:rPr>
        <w:t> </w:t>
      </w:r>
      <w:r>
        <w:rPr>
          <w:color w:val="231F20"/>
          <w:w w:val="115"/>
          <w:sz w:val="17"/>
        </w:rPr>
        <w:t>dans</w:t>
      </w:r>
      <w:r>
        <w:rPr>
          <w:color w:val="231F20"/>
          <w:spacing w:val="4"/>
          <w:w w:val="115"/>
          <w:sz w:val="17"/>
        </w:rPr>
        <w:t> </w:t>
      </w:r>
      <w:r>
        <w:rPr>
          <w:color w:val="231F20"/>
          <w:spacing w:val="-2"/>
          <w:w w:val="115"/>
          <w:sz w:val="17"/>
        </w:rPr>
        <w:t>l’emploi;</w:t>
      </w:r>
    </w:p>
    <w:p>
      <w:pPr>
        <w:pStyle w:val="ListParagraph"/>
        <w:numPr>
          <w:ilvl w:val="0"/>
          <w:numId w:val="93"/>
        </w:numPr>
        <w:tabs>
          <w:tab w:pos="1330" w:val="left" w:leader="none"/>
        </w:tabs>
        <w:spacing w:line="240" w:lineRule="auto" w:before="54" w:after="0"/>
        <w:ind w:left="1330" w:right="0" w:hanging="251"/>
        <w:jc w:val="left"/>
        <w:rPr>
          <w:sz w:val="17"/>
        </w:rPr>
      </w:pPr>
      <w:r>
        <w:rPr>
          <w:color w:val="231F20"/>
          <w:w w:val="115"/>
          <w:sz w:val="17"/>
        </w:rPr>
        <w:t>Les</w:t>
      </w:r>
      <w:r>
        <w:rPr>
          <w:color w:val="231F20"/>
          <w:spacing w:val="9"/>
          <w:w w:val="115"/>
          <w:sz w:val="17"/>
        </w:rPr>
        <w:t> </w:t>
      </w:r>
      <w:r>
        <w:rPr>
          <w:color w:val="231F20"/>
          <w:w w:val="115"/>
          <w:sz w:val="17"/>
        </w:rPr>
        <w:t>responsabilités</w:t>
      </w:r>
      <w:r>
        <w:rPr>
          <w:color w:val="231F20"/>
          <w:spacing w:val="10"/>
          <w:w w:val="115"/>
          <w:sz w:val="17"/>
        </w:rPr>
        <w:t> </w:t>
      </w:r>
      <w:r>
        <w:rPr>
          <w:color w:val="231F20"/>
          <w:spacing w:val="-2"/>
          <w:w w:val="115"/>
          <w:sz w:val="17"/>
        </w:rPr>
        <w:t>professionnelles;</w:t>
      </w:r>
    </w:p>
    <w:p>
      <w:pPr>
        <w:pStyle w:val="ListParagraph"/>
        <w:numPr>
          <w:ilvl w:val="0"/>
          <w:numId w:val="93"/>
        </w:numPr>
        <w:tabs>
          <w:tab w:pos="1330" w:val="left" w:leader="none"/>
        </w:tabs>
        <w:spacing w:line="240" w:lineRule="auto" w:before="55" w:after="0"/>
        <w:ind w:left="1330" w:right="0" w:hanging="251"/>
        <w:jc w:val="left"/>
        <w:rPr>
          <w:sz w:val="17"/>
        </w:rPr>
      </w:pPr>
      <w:r>
        <w:rPr>
          <w:color w:val="231F20"/>
          <w:w w:val="115"/>
          <w:sz w:val="17"/>
        </w:rPr>
        <w:t>L’insécurité</w:t>
      </w:r>
      <w:r>
        <w:rPr>
          <w:color w:val="231F20"/>
          <w:spacing w:val="-6"/>
          <w:w w:val="115"/>
          <w:sz w:val="17"/>
        </w:rPr>
        <w:t> </w:t>
      </w:r>
      <w:r>
        <w:rPr>
          <w:color w:val="231F20"/>
          <w:w w:val="115"/>
          <w:sz w:val="17"/>
        </w:rPr>
        <w:t>au</w:t>
      </w:r>
      <w:r>
        <w:rPr>
          <w:color w:val="231F20"/>
          <w:spacing w:val="-5"/>
          <w:w w:val="115"/>
          <w:sz w:val="17"/>
        </w:rPr>
        <w:t> </w:t>
      </w:r>
      <w:r>
        <w:rPr>
          <w:color w:val="231F20"/>
          <w:spacing w:val="-2"/>
          <w:w w:val="115"/>
          <w:sz w:val="17"/>
        </w:rPr>
        <w:t>travail;</w:t>
      </w:r>
    </w:p>
    <w:p>
      <w:pPr>
        <w:pStyle w:val="ListParagraph"/>
        <w:numPr>
          <w:ilvl w:val="0"/>
          <w:numId w:val="93"/>
        </w:numPr>
        <w:tabs>
          <w:tab w:pos="1330" w:val="left" w:leader="none"/>
        </w:tabs>
        <w:spacing w:line="240" w:lineRule="auto" w:before="55" w:after="0"/>
        <w:ind w:left="1330" w:right="0" w:hanging="251"/>
        <w:jc w:val="left"/>
        <w:rPr>
          <w:sz w:val="17"/>
        </w:rPr>
      </w:pPr>
      <w:r>
        <w:rPr>
          <w:color w:val="231F20"/>
          <w:w w:val="115"/>
          <w:sz w:val="17"/>
        </w:rPr>
        <w:t>La</w:t>
      </w:r>
      <w:r>
        <w:rPr>
          <w:color w:val="231F20"/>
          <w:spacing w:val="7"/>
          <w:w w:val="115"/>
          <w:sz w:val="17"/>
        </w:rPr>
        <w:t> </w:t>
      </w:r>
      <w:r>
        <w:rPr>
          <w:color w:val="231F20"/>
          <w:w w:val="115"/>
          <w:sz w:val="17"/>
        </w:rPr>
        <w:t>pénibilité</w:t>
      </w:r>
      <w:r>
        <w:rPr>
          <w:color w:val="231F20"/>
          <w:spacing w:val="7"/>
          <w:w w:val="115"/>
          <w:sz w:val="17"/>
        </w:rPr>
        <w:t> </w:t>
      </w:r>
      <w:r>
        <w:rPr>
          <w:color w:val="231F20"/>
          <w:w w:val="115"/>
          <w:sz w:val="17"/>
        </w:rPr>
        <w:t>physique</w:t>
      </w:r>
      <w:r>
        <w:rPr>
          <w:color w:val="231F20"/>
          <w:spacing w:val="8"/>
          <w:w w:val="115"/>
          <w:sz w:val="17"/>
        </w:rPr>
        <w:t> </w:t>
      </w:r>
      <w:r>
        <w:rPr>
          <w:color w:val="231F20"/>
          <w:w w:val="115"/>
          <w:sz w:val="17"/>
        </w:rPr>
        <w:t>ou</w:t>
      </w:r>
      <w:r>
        <w:rPr>
          <w:color w:val="231F20"/>
          <w:spacing w:val="7"/>
          <w:w w:val="115"/>
          <w:sz w:val="17"/>
        </w:rPr>
        <w:t> </w:t>
      </w:r>
      <w:r>
        <w:rPr>
          <w:color w:val="231F20"/>
          <w:w w:val="115"/>
          <w:sz w:val="17"/>
        </w:rPr>
        <w:t>psychologique</w:t>
      </w:r>
      <w:r>
        <w:rPr>
          <w:color w:val="231F20"/>
          <w:spacing w:val="8"/>
          <w:w w:val="115"/>
          <w:sz w:val="17"/>
        </w:rPr>
        <w:t> </w:t>
      </w:r>
      <w:r>
        <w:rPr>
          <w:color w:val="231F20"/>
          <w:w w:val="115"/>
          <w:sz w:val="17"/>
        </w:rPr>
        <w:t>du</w:t>
      </w:r>
      <w:r>
        <w:rPr>
          <w:color w:val="231F20"/>
          <w:spacing w:val="7"/>
          <w:w w:val="115"/>
          <w:sz w:val="17"/>
        </w:rPr>
        <w:t> </w:t>
      </w:r>
      <w:r>
        <w:rPr>
          <w:color w:val="231F20"/>
          <w:spacing w:val="-2"/>
          <w:w w:val="115"/>
          <w:sz w:val="17"/>
        </w:rPr>
        <w:t>travail;</w:t>
      </w:r>
    </w:p>
    <w:p>
      <w:pPr>
        <w:pStyle w:val="ListParagraph"/>
        <w:numPr>
          <w:ilvl w:val="0"/>
          <w:numId w:val="93"/>
        </w:numPr>
        <w:tabs>
          <w:tab w:pos="1330" w:val="left" w:leader="none"/>
        </w:tabs>
        <w:spacing w:line="240" w:lineRule="auto" w:before="54" w:after="0"/>
        <w:ind w:left="1330" w:right="0" w:hanging="251"/>
        <w:jc w:val="left"/>
        <w:rPr>
          <w:sz w:val="17"/>
        </w:rPr>
      </w:pPr>
      <w:r>
        <w:rPr>
          <w:color w:val="231F20"/>
          <w:w w:val="115"/>
          <w:sz w:val="17"/>
        </w:rPr>
        <w:t>La</w:t>
      </w:r>
      <w:r>
        <w:rPr>
          <w:color w:val="231F20"/>
          <w:spacing w:val="3"/>
          <w:w w:val="115"/>
          <w:sz w:val="17"/>
        </w:rPr>
        <w:t> </w:t>
      </w:r>
      <w:r>
        <w:rPr>
          <w:color w:val="231F20"/>
          <w:w w:val="115"/>
          <w:sz w:val="17"/>
        </w:rPr>
        <w:t>dangerosité</w:t>
      </w:r>
      <w:r>
        <w:rPr>
          <w:color w:val="231F20"/>
          <w:spacing w:val="3"/>
          <w:w w:val="115"/>
          <w:sz w:val="17"/>
        </w:rPr>
        <w:t> </w:t>
      </w:r>
      <w:r>
        <w:rPr>
          <w:color w:val="231F20"/>
          <w:w w:val="115"/>
          <w:sz w:val="17"/>
        </w:rPr>
        <w:t>du</w:t>
      </w:r>
      <w:r>
        <w:rPr>
          <w:color w:val="231F20"/>
          <w:spacing w:val="4"/>
          <w:w w:val="115"/>
          <w:sz w:val="17"/>
        </w:rPr>
        <w:t> </w:t>
      </w:r>
      <w:r>
        <w:rPr>
          <w:color w:val="231F20"/>
          <w:spacing w:val="-2"/>
          <w:w w:val="115"/>
          <w:sz w:val="17"/>
        </w:rPr>
        <w:t>travail.</w:t>
      </w:r>
    </w:p>
    <w:p>
      <w:pPr>
        <w:pStyle w:val="BodyText"/>
        <w:spacing w:line="307" w:lineRule="auto" w:before="135"/>
        <w:ind w:left="830" w:right="497"/>
        <w:jc w:val="both"/>
      </w:pPr>
      <w:r>
        <w:rPr>
          <w:color w:val="231F20"/>
          <w:w w:val="115"/>
        </w:rPr>
        <w:t>Voici quelques modalités d’intervention visant l’un ou l’autre de ces </w:t>
      </w:r>
      <w:r>
        <w:rPr>
          <w:color w:val="231F20"/>
          <w:w w:val="115"/>
        </w:rPr>
        <w:t>fac- </w:t>
      </w:r>
      <w:r>
        <w:rPr>
          <w:color w:val="231F20"/>
          <w:spacing w:val="-2"/>
          <w:w w:val="120"/>
        </w:rPr>
        <w:t>teurs</w:t>
      </w:r>
      <w:r>
        <w:rPr>
          <w:color w:val="231F20"/>
          <w:spacing w:val="-8"/>
          <w:w w:val="120"/>
        </w:rPr>
        <w:t> </w:t>
      </w:r>
      <w:r>
        <w:rPr>
          <w:color w:val="231F20"/>
          <w:spacing w:val="-2"/>
          <w:w w:val="120"/>
        </w:rPr>
        <w:t>de</w:t>
      </w:r>
      <w:r>
        <w:rPr>
          <w:color w:val="231F20"/>
          <w:spacing w:val="-8"/>
          <w:w w:val="120"/>
        </w:rPr>
        <w:t> </w:t>
      </w:r>
      <w:r>
        <w:rPr>
          <w:color w:val="231F20"/>
          <w:spacing w:val="-2"/>
          <w:w w:val="120"/>
        </w:rPr>
        <w:t>risque</w:t>
      </w:r>
      <w:r>
        <w:rPr>
          <w:color w:val="231F20"/>
          <w:spacing w:val="-8"/>
          <w:w w:val="120"/>
        </w:rPr>
        <w:t> </w:t>
      </w:r>
      <w:r>
        <w:rPr>
          <w:color w:val="231F20"/>
          <w:spacing w:val="-2"/>
          <w:w w:val="120"/>
        </w:rPr>
        <w:t>et</w:t>
      </w:r>
      <w:r>
        <w:rPr>
          <w:color w:val="231F20"/>
          <w:spacing w:val="-8"/>
          <w:w w:val="120"/>
        </w:rPr>
        <w:t> </w:t>
      </w:r>
      <w:r>
        <w:rPr>
          <w:color w:val="231F20"/>
          <w:spacing w:val="-2"/>
          <w:w w:val="120"/>
        </w:rPr>
        <w:t>qui</w:t>
      </w:r>
      <w:r>
        <w:rPr>
          <w:color w:val="231F20"/>
          <w:spacing w:val="-8"/>
          <w:w w:val="120"/>
        </w:rPr>
        <w:t> </w:t>
      </w:r>
      <w:r>
        <w:rPr>
          <w:color w:val="231F20"/>
          <w:spacing w:val="-2"/>
          <w:w w:val="120"/>
        </w:rPr>
        <w:t>peuvent</w:t>
      </w:r>
      <w:r>
        <w:rPr>
          <w:color w:val="231F20"/>
          <w:spacing w:val="-8"/>
          <w:w w:val="120"/>
        </w:rPr>
        <w:t> </w:t>
      </w:r>
      <w:r>
        <w:rPr>
          <w:color w:val="231F20"/>
          <w:spacing w:val="-2"/>
          <w:w w:val="120"/>
        </w:rPr>
        <w:t>être</w:t>
      </w:r>
      <w:r>
        <w:rPr>
          <w:color w:val="231F20"/>
          <w:spacing w:val="-8"/>
          <w:w w:val="120"/>
        </w:rPr>
        <w:t> </w:t>
      </w:r>
      <w:r>
        <w:rPr>
          <w:color w:val="231F20"/>
          <w:spacing w:val="-2"/>
          <w:w w:val="120"/>
        </w:rPr>
        <w:t>utilisées</w:t>
      </w:r>
      <w:r>
        <w:rPr>
          <w:color w:val="231F20"/>
          <w:spacing w:val="-8"/>
          <w:w w:val="120"/>
        </w:rPr>
        <w:t> </w:t>
      </w:r>
      <w:r>
        <w:rPr>
          <w:color w:val="231F20"/>
          <w:spacing w:val="-2"/>
          <w:w w:val="120"/>
        </w:rPr>
        <w:t>afin</w:t>
      </w:r>
      <w:r>
        <w:rPr>
          <w:color w:val="231F20"/>
          <w:spacing w:val="-8"/>
          <w:w w:val="120"/>
        </w:rPr>
        <w:t> </w:t>
      </w:r>
      <w:r>
        <w:rPr>
          <w:color w:val="231F20"/>
          <w:spacing w:val="-2"/>
          <w:w w:val="120"/>
        </w:rPr>
        <w:t>d’améliorer</w:t>
      </w:r>
      <w:r>
        <w:rPr>
          <w:color w:val="231F20"/>
          <w:spacing w:val="-8"/>
          <w:w w:val="120"/>
        </w:rPr>
        <w:t> </w:t>
      </w:r>
      <w:r>
        <w:rPr>
          <w:color w:val="231F20"/>
          <w:spacing w:val="-2"/>
          <w:w w:val="120"/>
        </w:rPr>
        <w:t>la</w:t>
      </w:r>
      <w:r>
        <w:rPr>
          <w:color w:val="231F20"/>
          <w:spacing w:val="-8"/>
          <w:w w:val="120"/>
        </w:rPr>
        <w:t> </w:t>
      </w:r>
      <w:r>
        <w:rPr>
          <w:color w:val="231F20"/>
          <w:spacing w:val="-2"/>
          <w:w w:val="120"/>
        </w:rPr>
        <w:t>gestion</w:t>
      </w:r>
      <w:r>
        <w:rPr>
          <w:color w:val="231F20"/>
          <w:spacing w:val="-8"/>
          <w:w w:val="120"/>
        </w:rPr>
        <w:t> </w:t>
      </w:r>
      <w:r>
        <w:rPr>
          <w:color w:val="231F20"/>
          <w:spacing w:val="-2"/>
          <w:w w:val="120"/>
        </w:rPr>
        <w:t>du </w:t>
      </w:r>
      <w:r>
        <w:rPr>
          <w:color w:val="231F20"/>
          <w:w w:val="120"/>
        </w:rPr>
        <w:t>stress et du bien-être au travail.</w:t>
      </w:r>
    </w:p>
    <w:p>
      <w:pPr>
        <w:pStyle w:val="BodyText"/>
        <w:spacing w:before="7"/>
        <w:rPr>
          <w:sz w:val="21"/>
        </w:rPr>
      </w:pPr>
    </w:p>
    <w:p>
      <w:pPr>
        <w:pStyle w:val="BodyText"/>
        <w:spacing w:line="307" w:lineRule="auto" w:before="1"/>
        <w:ind w:left="830" w:right="494"/>
        <w:jc w:val="both"/>
      </w:pPr>
      <w:r>
        <w:rPr>
          <w:b/>
          <w:color w:val="231F20"/>
          <w:w w:val="115"/>
        </w:rPr>
        <w:t>Amélioration du contrôle des tâches</w:t>
      </w:r>
      <w:r>
        <w:rPr>
          <w:color w:val="231F20"/>
          <w:w w:val="115"/>
        </w:rPr>
        <w:t>. En ce qui concerne la possibilité </w:t>
      </w:r>
      <w:r>
        <w:rPr>
          <w:color w:val="231F20"/>
          <w:spacing w:val="-2"/>
          <w:w w:val="120"/>
        </w:rPr>
        <w:t>qu’une</w:t>
      </w:r>
      <w:r>
        <w:rPr>
          <w:color w:val="231F20"/>
          <w:spacing w:val="-7"/>
          <w:w w:val="120"/>
        </w:rPr>
        <w:t> </w:t>
      </w:r>
      <w:r>
        <w:rPr>
          <w:color w:val="231F20"/>
          <w:spacing w:val="-2"/>
          <w:w w:val="120"/>
        </w:rPr>
        <w:t>situation</w:t>
      </w:r>
      <w:r>
        <w:rPr>
          <w:color w:val="231F20"/>
          <w:spacing w:val="-7"/>
          <w:w w:val="120"/>
        </w:rPr>
        <w:t> </w:t>
      </w:r>
      <w:r>
        <w:rPr>
          <w:color w:val="231F20"/>
          <w:spacing w:val="-2"/>
          <w:w w:val="120"/>
        </w:rPr>
        <w:t>soit</w:t>
      </w:r>
      <w:r>
        <w:rPr>
          <w:color w:val="231F20"/>
          <w:spacing w:val="-7"/>
          <w:w w:val="120"/>
        </w:rPr>
        <w:t> </w:t>
      </w:r>
      <w:r>
        <w:rPr>
          <w:color w:val="231F20"/>
          <w:spacing w:val="-2"/>
          <w:w w:val="120"/>
        </w:rPr>
        <w:t>perçue</w:t>
      </w:r>
      <w:r>
        <w:rPr>
          <w:color w:val="231F20"/>
          <w:spacing w:val="-7"/>
          <w:w w:val="120"/>
        </w:rPr>
        <w:t> </w:t>
      </w:r>
      <w:r>
        <w:rPr>
          <w:color w:val="231F20"/>
          <w:spacing w:val="-2"/>
          <w:w w:val="120"/>
        </w:rPr>
        <w:t>comme</w:t>
      </w:r>
      <w:r>
        <w:rPr>
          <w:color w:val="231F20"/>
          <w:spacing w:val="-7"/>
          <w:w w:val="120"/>
        </w:rPr>
        <w:t> </w:t>
      </w:r>
      <w:r>
        <w:rPr>
          <w:color w:val="231F20"/>
          <w:spacing w:val="-2"/>
          <w:w w:val="120"/>
        </w:rPr>
        <w:t>une</w:t>
      </w:r>
      <w:r>
        <w:rPr>
          <w:color w:val="231F20"/>
          <w:spacing w:val="-7"/>
          <w:w w:val="120"/>
        </w:rPr>
        <w:t> </w:t>
      </w:r>
      <w:r>
        <w:rPr>
          <w:color w:val="231F20"/>
          <w:spacing w:val="-2"/>
          <w:w w:val="120"/>
        </w:rPr>
        <w:t>menace,</w:t>
      </w:r>
      <w:r>
        <w:rPr>
          <w:color w:val="231F20"/>
          <w:spacing w:val="-7"/>
          <w:w w:val="120"/>
        </w:rPr>
        <w:t> </w:t>
      </w:r>
      <w:r>
        <w:rPr>
          <w:color w:val="231F20"/>
          <w:spacing w:val="-2"/>
          <w:w w:val="120"/>
        </w:rPr>
        <w:t>l’évaluation</w:t>
      </w:r>
      <w:r>
        <w:rPr>
          <w:color w:val="231F20"/>
          <w:spacing w:val="-7"/>
          <w:w w:val="120"/>
        </w:rPr>
        <w:t> </w:t>
      </w:r>
      <w:r>
        <w:rPr>
          <w:color w:val="231F20"/>
          <w:spacing w:val="-2"/>
          <w:w w:val="120"/>
        </w:rPr>
        <w:t>du</w:t>
      </w:r>
      <w:r>
        <w:rPr>
          <w:color w:val="231F20"/>
          <w:spacing w:val="-7"/>
          <w:w w:val="120"/>
        </w:rPr>
        <w:t> </w:t>
      </w:r>
      <w:r>
        <w:rPr>
          <w:color w:val="231F20"/>
          <w:spacing w:val="-2"/>
          <w:w w:val="120"/>
        </w:rPr>
        <w:t>travail- </w:t>
      </w:r>
      <w:r>
        <w:rPr>
          <w:color w:val="231F20"/>
          <w:w w:val="115"/>
        </w:rPr>
        <w:t>leur</w:t>
      </w:r>
      <w:r>
        <w:rPr>
          <w:color w:val="231F20"/>
          <w:spacing w:val="-6"/>
          <w:w w:val="115"/>
        </w:rPr>
        <w:t> </w:t>
      </w:r>
      <w:r>
        <w:rPr>
          <w:color w:val="231F20"/>
          <w:w w:val="115"/>
        </w:rPr>
        <w:t>repose,</w:t>
      </w:r>
      <w:r>
        <w:rPr>
          <w:color w:val="231F20"/>
          <w:spacing w:val="-6"/>
          <w:w w:val="115"/>
        </w:rPr>
        <w:t> </w:t>
      </w:r>
      <w:r>
        <w:rPr>
          <w:color w:val="231F20"/>
          <w:w w:val="115"/>
        </w:rPr>
        <w:t>entre</w:t>
      </w:r>
      <w:r>
        <w:rPr>
          <w:color w:val="231F20"/>
          <w:spacing w:val="-6"/>
          <w:w w:val="115"/>
        </w:rPr>
        <w:t> </w:t>
      </w:r>
      <w:r>
        <w:rPr>
          <w:color w:val="231F20"/>
          <w:w w:val="115"/>
        </w:rPr>
        <w:t>autres,</w:t>
      </w:r>
      <w:r>
        <w:rPr>
          <w:color w:val="231F20"/>
          <w:spacing w:val="-6"/>
          <w:w w:val="115"/>
        </w:rPr>
        <w:t> </w:t>
      </w:r>
      <w:r>
        <w:rPr>
          <w:color w:val="231F20"/>
          <w:w w:val="115"/>
        </w:rPr>
        <w:t>sur</w:t>
      </w:r>
      <w:r>
        <w:rPr>
          <w:color w:val="231F20"/>
          <w:spacing w:val="-6"/>
          <w:w w:val="115"/>
        </w:rPr>
        <w:t> </w:t>
      </w:r>
      <w:r>
        <w:rPr>
          <w:color w:val="231F20"/>
          <w:w w:val="115"/>
        </w:rPr>
        <w:t>sa</w:t>
      </w:r>
      <w:r>
        <w:rPr>
          <w:color w:val="231F20"/>
          <w:spacing w:val="-6"/>
          <w:w w:val="115"/>
        </w:rPr>
        <w:t> </w:t>
      </w:r>
      <w:r>
        <w:rPr>
          <w:color w:val="231F20"/>
          <w:w w:val="115"/>
        </w:rPr>
        <w:t>capacité</w:t>
      </w:r>
      <w:r>
        <w:rPr>
          <w:color w:val="231F20"/>
          <w:spacing w:val="-6"/>
          <w:w w:val="115"/>
        </w:rPr>
        <w:t> </w:t>
      </w:r>
      <w:r>
        <w:rPr>
          <w:color w:val="231F20"/>
          <w:w w:val="115"/>
        </w:rPr>
        <w:t>à</w:t>
      </w:r>
      <w:r>
        <w:rPr>
          <w:color w:val="231F20"/>
          <w:spacing w:val="-6"/>
          <w:w w:val="115"/>
        </w:rPr>
        <w:t> </w:t>
      </w:r>
      <w:r>
        <w:rPr>
          <w:color w:val="231F20"/>
          <w:w w:val="115"/>
        </w:rPr>
        <w:t>contrôler</w:t>
      </w:r>
      <w:r>
        <w:rPr>
          <w:color w:val="231F20"/>
          <w:spacing w:val="-6"/>
          <w:w w:val="115"/>
        </w:rPr>
        <w:t> </w:t>
      </w:r>
      <w:r>
        <w:rPr>
          <w:color w:val="231F20"/>
          <w:w w:val="115"/>
        </w:rPr>
        <w:t>la</w:t>
      </w:r>
      <w:r>
        <w:rPr>
          <w:color w:val="231F20"/>
          <w:spacing w:val="-6"/>
          <w:w w:val="115"/>
        </w:rPr>
        <w:t> </w:t>
      </w:r>
      <w:r>
        <w:rPr>
          <w:color w:val="231F20"/>
          <w:w w:val="115"/>
        </w:rPr>
        <w:t>situation</w:t>
      </w:r>
      <w:r>
        <w:rPr>
          <w:color w:val="231F20"/>
          <w:spacing w:val="-6"/>
          <w:w w:val="115"/>
        </w:rPr>
        <w:t> </w:t>
      </w:r>
      <w:r>
        <w:rPr>
          <w:color w:val="231F20"/>
          <w:w w:val="115"/>
        </w:rPr>
        <w:t>et</w:t>
      </w:r>
      <w:r>
        <w:rPr>
          <w:color w:val="231F20"/>
          <w:spacing w:val="-6"/>
          <w:w w:val="115"/>
        </w:rPr>
        <w:t> </w:t>
      </w:r>
      <w:r>
        <w:rPr>
          <w:color w:val="231F20"/>
          <w:w w:val="115"/>
        </w:rPr>
        <w:t>à</w:t>
      </w:r>
      <w:r>
        <w:rPr>
          <w:color w:val="231F20"/>
          <w:spacing w:val="-6"/>
          <w:w w:val="115"/>
        </w:rPr>
        <w:t> </w:t>
      </w:r>
      <w:r>
        <w:rPr>
          <w:color w:val="231F20"/>
          <w:w w:val="115"/>
        </w:rPr>
        <w:t>y</w:t>
      </w:r>
      <w:r>
        <w:rPr>
          <w:color w:val="231F20"/>
          <w:spacing w:val="-6"/>
          <w:w w:val="115"/>
        </w:rPr>
        <w:t> </w:t>
      </w:r>
      <w:r>
        <w:rPr>
          <w:color w:val="231F20"/>
          <w:w w:val="115"/>
        </w:rPr>
        <w:t>faire </w:t>
      </w:r>
      <w:r>
        <w:rPr>
          <w:color w:val="231F20"/>
          <w:w w:val="120"/>
        </w:rPr>
        <w:t>face.</w:t>
      </w:r>
      <w:r>
        <w:rPr>
          <w:color w:val="231F20"/>
          <w:spacing w:val="-11"/>
          <w:w w:val="120"/>
        </w:rPr>
        <w:t> </w:t>
      </w:r>
      <w:r>
        <w:rPr>
          <w:color w:val="231F20"/>
          <w:w w:val="120"/>
        </w:rPr>
        <w:t>En</w:t>
      </w:r>
      <w:r>
        <w:rPr>
          <w:color w:val="231F20"/>
          <w:spacing w:val="-11"/>
          <w:w w:val="120"/>
        </w:rPr>
        <w:t> </w:t>
      </w:r>
      <w:r>
        <w:rPr>
          <w:color w:val="231F20"/>
          <w:w w:val="120"/>
        </w:rPr>
        <w:t>même</w:t>
      </w:r>
      <w:r>
        <w:rPr>
          <w:color w:val="231F20"/>
          <w:spacing w:val="-11"/>
          <w:w w:val="120"/>
        </w:rPr>
        <w:t> </w:t>
      </w:r>
      <w:r>
        <w:rPr>
          <w:color w:val="231F20"/>
          <w:w w:val="120"/>
        </w:rPr>
        <w:t>temps,</w:t>
      </w:r>
      <w:r>
        <w:rPr>
          <w:color w:val="231F20"/>
          <w:spacing w:val="-11"/>
          <w:w w:val="120"/>
        </w:rPr>
        <w:t> </w:t>
      </w:r>
      <w:r>
        <w:rPr>
          <w:color w:val="231F20"/>
          <w:w w:val="120"/>
        </w:rPr>
        <w:t>la</w:t>
      </w:r>
      <w:r>
        <w:rPr>
          <w:color w:val="231F20"/>
          <w:spacing w:val="-11"/>
          <w:w w:val="120"/>
        </w:rPr>
        <w:t> </w:t>
      </w:r>
      <w:r>
        <w:rPr>
          <w:color w:val="231F20"/>
          <w:w w:val="120"/>
        </w:rPr>
        <w:t>maîtrise</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situation</w:t>
      </w:r>
      <w:r>
        <w:rPr>
          <w:color w:val="231F20"/>
          <w:spacing w:val="-11"/>
          <w:w w:val="120"/>
        </w:rPr>
        <w:t> </w:t>
      </w:r>
      <w:r>
        <w:rPr>
          <w:color w:val="231F20"/>
          <w:w w:val="120"/>
        </w:rPr>
        <w:t>dépend</w:t>
      </w:r>
      <w:r>
        <w:rPr>
          <w:color w:val="231F20"/>
          <w:spacing w:val="-11"/>
          <w:w w:val="120"/>
        </w:rPr>
        <w:t> </w:t>
      </w:r>
      <w:r>
        <w:rPr>
          <w:color w:val="231F20"/>
          <w:w w:val="120"/>
        </w:rPr>
        <w:t>aussi</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pos- </w:t>
      </w:r>
      <w:r>
        <w:rPr>
          <w:color w:val="231F20"/>
          <w:w w:val="115"/>
        </w:rPr>
        <w:t>sibilité</w:t>
      </w:r>
      <w:r>
        <w:rPr>
          <w:color w:val="231F20"/>
          <w:spacing w:val="-1"/>
          <w:w w:val="115"/>
        </w:rPr>
        <w:t> </w:t>
      </w:r>
      <w:r>
        <w:rPr>
          <w:color w:val="231F20"/>
          <w:w w:val="115"/>
        </w:rPr>
        <w:t>réelle</w:t>
      </w:r>
      <w:r>
        <w:rPr>
          <w:color w:val="231F20"/>
          <w:spacing w:val="-1"/>
          <w:w w:val="115"/>
        </w:rPr>
        <w:t> </w:t>
      </w:r>
      <w:r>
        <w:rPr>
          <w:color w:val="231F20"/>
          <w:w w:val="115"/>
        </w:rPr>
        <w:t>qu’a</w:t>
      </w:r>
      <w:r>
        <w:rPr>
          <w:color w:val="231F20"/>
          <w:spacing w:val="-1"/>
          <w:w w:val="115"/>
        </w:rPr>
        <w:t> </w:t>
      </w:r>
      <w:r>
        <w:rPr>
          <w:color w:val="231F20"/>
          <w:w w:val="115"/>
        </w:rPr>
        <w:t>le</w:t>
      </w:r>
      <w:r>
        <w:rPr>
          <w:color w:val="231F20"/>
          <w:spacing w:val="-1"/>
          <w:w w:val="115"/>
        </w:rPr>
        <w:t> </w:t>
      </w:r>
      <w:r>
        <w:rPr>
          <w:color w:val="231F20"/>
          <w:w w:val="115"/>
        </w:rPr>
        <w:t>travailleur</w:t>
      </w:r>
      <w:r>
        <w:rPr>
          <w:color w:val="231F20"/>
          <w:spacing w:val="-1"/>
          <w:w w:val="115"/>
        </w:rPr>
        <w:t> </w:t>
      </w:r>
      <w:r>
        <w:rPr>
          <w:color w:val="231F20"/>
          <w:w w:val="115"/>
        </w:rPr>
        <w:t>d’agir</w:t>
      </w:r>
      <w:r>
        <w:rPr>
          <w:color w:val="231F20"/>
          <w:spacing w:val="-1"/>
          <w:w w:val="115"/>
        </w:rPr>
        <w:t> </w:t>
      </w:r>
      <w:r>
        <w:rPr>
          <w:color w:val="231F20"/>
          <w:w w:val="115"/>
        </w:rPr>
        <w:t>directement</w:t>
      </w:r>
      <w:r>
        <w:rPr>
          <w:color w:val="231F20"/>
          <w:spacing w:val="-1"/>
          <w:w w:val="115"/>
        </w:rPr>
        <w:t> </w:t>
      </w:r>
      <w:r>
        <w:rPr>
          <w:color w:val="231F20"/>
          <w:w w:val="115"/>
        </w:rPr>
        <w:t>sur</w:t>
      </w:r>
      <w:r>
        <w:rPr>
          <w:color w:val="231F20"/>
          <w:spacing w:val="-1"/>
          <w:w w:val="115"/>
        </w:rPr>
        <w:t> </w:t>
      </w:r>
      <w:r>
        <w:rPr>
          <w:color w:val="231F20"/>
          <w:w w:val="115"/>
        </w:rPr>
        <w:t>elle</w:t>
      </w:r>
      <w:r>
        <w:rPr>
          <w:color w:val="231F20"/>
          <w:spacing w:val="-1"/>
          <w:w w:val="115"/>
        </w:rPr>
        <w:t> </w:t>
      </w:r>
      <w:r>
        <w:rPr>
          <w:color w:val="231F20"/>
          <w:w w:val="115"/>
        </w:rPr>
        <w:t>et</w:t>
      </w:r>
      <w:r>
        <w:rPr>
          <w:color w:val="231F20"/>
          <w:spacing w:val="-1"/>
          <w:w w:val="115"/>
        </w:rPr>
        <w:t> </w:t>
      </w:r>
      <w:r>
        <w:rPr>
          <w:color w:val="231F20"/>
          <w:w w:val="115"/>
        </w:rPr>
        <w:t>de</w:t>
      </w:r>
      <w:r>
        <w:rPr>
          <w:color w:val="231F20"/>
          <w:spacing w:val="-1"/>
          <w:w w:val="115"/>
        </w:rPr>
        <w:t> </w:t>
      </w:r>
      <w:r>
        <w:rPr>
          <w:color w:val="231F20"/>
          <w:w w:val="115"/>
        </w:rPr>
        <w:t>la</w:t>
      </w:r>
      <w:r>
        <w:rPr>
          <w:color w:val="231F20"/>
          <w:spacing w:val="-1"/>
          <w:w w:val="115"/>
        </w:rPr>
        <w:t> </w:t>
      </w:r>
      <w:r>
        <w:rPr>
          <w:color w:val="231F20"/>
          <w:w w:val="115"/>
        </w:rPr>
        <w:t>mise</w:t>
      </w:r>
      <w:r>
        <w:rPr>
          <w:color w:val="231F20"/>
          <w:spacing w:val="-1"/>
          <w:w w:val="115"/>
        </w:rPr>
        <w:t> </w:t>
      </w:r>
      <w:r>
        <w:rPr>
          <w:color w:val="231F20"/>
          <w:w w:val="115"/>
        </w:rPr>
        <w:t>à </w:t>
      </w:r>
      <w:r>
        <w:rPr>
          <w:color w:val="231F20"/>
          <w:spacing w:val="-2"/>
          <w:w w:val="120"/>
        </w:rPr>
        <w:t>sa</w:t>
      </w:r>
      <w:r>
        <w:rPr>
          <w:color w:val="231F20"/>
          <w:spacing w:val="-11"/>
          <w:w w:val="120"/>
        </w:rPr>
        <w:t> </w:t>
      </w:r>
      <w:r>
        <w:rPr>
          <w:color w:val="231F20"/>
          <w:spacing w:val="-2"/>
          <w:w w:val="120"/>
        </w:rPr>
        <w:t>disposition</w:t>
      </w:r>
      <w:r>
        <w:rPr>
          <w:color w:val="231F20"/>
          <w:spacing w:val="-11"/>
          <w:w w:val="120"/>
        </w:rPr>
        <w:t> </w:t>
      </w:r>
      <w:r>
        <w:rPr>
          <w:color w:val="231F20"/>
          <w:spacing w:val="-2"/>
          <w:w w:val="120"/>
        </w:rPr>
        <w:t>des</w:t>
      </w:r>
      <w:r>
        <w:rPr>
          <w:color w:val="231F20"/>
          <w:spacing w:val="-11"/>
          <w:w w:val="120"/>
        </w:rPr>
        <w:t> </w:t>
      </w:r>
      <w:r>
        <w:rPr>
          <w:color w:val="231F20"/>
          <w:spacing w:val="-2"/>
          <w:w w:val="120"/>
        </w:rPr>
        <w:t>leviers</w:t>
      </w:r>
      <w:r>
        <w:rPr>
          <w:color w:val="231F20"/>
          <w:spacing w:val="-10"/>
          <w:w w:val="120"/>
        </w:rPr>
        <w:t> </w:t>
      </w:r>
      <w:r>
        <w:rPr>
          <w:color w:val="231F20"/>
          <w:spacing w:val="-2"/>
          <w:w w:val="120"/>
        </w:rPr>
        <w:t>décisionnels</w:t>
      </w:r>
      <w:r>
        <w:rPr>
          <w:color w:val="231F20"/>
          <w:spacing w:val="-11"/>
          <w:w w:val="120"/>
        </w:rPr>
        <w:t> </w:t>
      </w:r>
      <w:r>
        <w:rPr>
          <w:color w:val="231F20"/>
          <w:spacing w:val="-2"/>
          <w:w w:val="120"/>
        </w:rPr>
        <w:t>lui</w:t>
      </w:r>
      <w:r>
        <w:rPr>
          <w:color w:val="231F20"/>
          <w:spacing w:val="-11"/>
          <w:w w:val="120"/>
        </w:rPr>
        <w:t> </w:t>
      </w:r>
      <w:r>
        <w:rPr>
          <w:color w:val="231F20"/>
          <w:spacing w:val="-2"/>
          <w:w w:val="120"/>
        </w:rPr>
        <w:t>permettant</w:t>
      </w:r>
      <w:r>
        <w:rPr>
          <w:color w:val="231F20"/>
          <w:spacing w:val="-11"/>
          <w:w w:val="120"/>
        </w:rPr>
        <w:t> </w:t>
      </w:r>
      <w:r>
        <w:rPr>
          <w:color w:val="231F20"/>
          <w:spacing w:val="-2"/>
          <w:w w:val="120"/>
        </w:rPr>
        <w:t>d’ajuster</w:t>
      </w:r>
      <w:r>
        <w:rPr>
          <w:color w:val="231F20"/>
          <w:spacing w:val="-10"/>
          <w:w w:val="120"/>
        </w:rPr>
        <w:t> </w:t>
      </w:r>
      <w:r>
        <w:rPr>
          <w:color w:val="231F20"/>
          <w:spacing w:val="-2"/>
          <w:w w:val="120"/>
        </w:rPr>
        <w:t>ses</w:t>
      </w:r>
      <w:r>
        <w:rPr>
          <w:color w:val="231F20"/>
          <w:spacing w:val="-11"/>
          <w:w w:val="120"/>
        </w:rPr>
        <w:t> </w:t>
      </w:r>
      <w:r>
        <w:rPr>
          <w:color w:val="231F20"/>
          <w:spacing w:val="-2"/>
          <w:w w:val="120"/>
        </w:rPr>
        <w:t>tâches, </w:t>
      </w:r>
      <w:r>
        <w:rPr>
          <w:color w:val="231F20"/>
          <w:w w:val="120"/>
        </w:rPr>
        <w:t>particulièrement la planification de ces dernières.</w:t>
      </w:r>
    </w:p>
    <w:p>
      <w:pPr>
        <w:pStyle w:val="BodyText"/>
        <w:spacing w:line="307" w:lineRule="auto" w:before="78"/>
        <w:ind w:left="830" w:right="493" w:firstLine="250"/>
        <w:jc w:val="both"/>
      </w:pPr>
      <w:r>
        <w:rPr>
          <w:color w:val="231F20"/>
          <w:w w:val="120"/>
        </w:rPr>
        <w:t>Dans</w:t>
      </w:r>
      <w:r>
        <w:rPr>
          <w:color w:val="231F20"/>
          <w:spacing w:val="-2"/>
          <w:w w:val="120"/>
        </w:rPr>
        <w:t> </w:t>
      </w:r>
      <w:r>
        <w:rPr>
          <w:color w:val="231F20"/>
          <w:w w:val="120"/>
        </w:rPr>
        <w:t>cette</w:t>
      </w:r>
      <w:r>
        <w:rPr>
          <w:color w:val="231F20"/>
          <w:spacing w:val="-2"/>
          <w:w w:val="120"/>
        </w:rPr>
        <w:t> </w:t>
      </w:r>
      <w:r>
        <w:rPr>
          <w:color w:val="231F20"/>
          <w:w w:val="120"/>
        </w:rPr>
        <w:t>perspective,</w:t>
      </w:r>
      <w:r>
        <w:rPr>
          <w:color w:val="231F20"/>
          <w:spacing w:val="-2"/>
          <w:w w:val="120"/>
        </w:rPr>
        <w:t> </w:t>
      </w:r>
      <w:r>
        <w:rPr>
          <w:color w:val="231F20"/>
          <w:w w:val="120"/>
        </w:rPr>
        <w:t>l’une</w:t>
      </w:r>
      <w:r>
        <w:rPr>
          <w:color w:val="231F20"/>
          <w:spacing w:val="-2"/>
          <w:w w:val="120"/>
        </w:rPr>
        <w:t> </w:t>
      </w:r>
      <w:r>
        <w:rPr>
          <w:color w:val="231F20"/>
          <w:w w:val="120"/>
        </w:rPr>
        <w:t>des</w:t>
      </w:r>
      <w:r>
        <w:rPr>
          <w:color w:val="231F20"/>
          <w:spacing w:val="-2"/>
          <w:w w:val="120"/>
        </w:rPr>
        <w:t> </w:t>
      </w:r>
      <w:r>
        <w:rPr>
          <w:color w:val="231F20"/>
          <w:w w:val="120"/>
        </w:rPr>
        <w:t>mesures</w:t>
      </w:r>
      <w:r>
        <w:rPr>
          <w:color w:val="231F20"/>
          <w:spacing w:val="-2"/>
          <w:w w:val="120"/>
        </w:rPr>
        <w:t> </w:t>
      </w:r>
      <w:r>
        <w:rPr>
          <w:color w:val="231F20"/>
          <w:w w:val="120"/>
        </w:rPr>
        <w:t>à</w:t>
      </w:r>
      <w:r>
        <w:rPr>
          <w:color w:val="231F20"/>
          <w:spacing w:val="-2"/>
          <w:w w:val="120"/>
        </w:rPr>
        <w:t> </w:t>
      </w:r>
      <w:r>
        <w:rPr>
          <w:color w:val="231F20"/>
          <w:w w:val="120"/>
        </w:rPr>
        <w:t>prendre</w:t>
      </w:r>
      <w:r>
        <w:rPr>
          <w:color w:val="231F20"/>
          <w:spacing w:val="-2"/>
          <w:w w:val="120"/>
        </w:rPr>
        <w:t> </w:t>
      </w:r>
      <w:r>
        <w:rPr>
          <w:color w:val="231F20"/>
          <w:w w:val="120"/>
        </w:rPr>
        <w:t>consiste</w:t>
      </w:r>
      <w:r>
        <w:rPr>
          <w:color w:val="231F20"/>
          <w:spacing w:val="-2"/>
          <w:w w:val="120"/>
        </w:rPr>
        <w:t> </w:t>
      </w:r>
      <w:r>
        <w:rPr>
          <w:color w:val="231F20"/>
          <w:w w:val="120"/>
        </w:rPr>
        <w:t>à</w:t>
      </w:r>
      <w:r>
        <w:rPr>
          <w:color w:val="231F20"/>
          <w:spacing w:val="-2"/>
          <w:w w:val="120"/>
        </w:rPr>
        <w:t> </w:t>
      </w:r>
      <w:r>
        <w:rPr>
          <w:color w:val="231F20"/>
          <w:w w:val="120"/>
        </w:rPr>
        <w:t>aug- menter</w:t>
      </w:r>
      <w:r>
        <w:rPr>
          <w:color w:val="231F20"/>
          <w:spacing w:val="-8"/>
          <w:w w:val="120"/>
        </w:rPr>
        <w:t> </w:t>
      </w:r>
      <w:r>
        <w:rPr>
          <w:color w:val="231F20"/>
          <w:w w:val="120"/>
        </w:rPr>
        <w:t>le</w:t>
      </w:r>
      <w:r>
        <w:rPr>
          <w:color w:val="231F20"/>
          <w:spacing w:val="-8"/>
          <w:w w:val="120"/>
        </w:rPr>
        <w:t> </w:t>
      </w:r>
      <w:r>
        <w:rPr>
          <w:color w:val="231F20"/>
          <w:w w:val="120"/>
        </w:rPr>
        <w:t>niveau</w:t>
      </w:r>
      <w:r>
        <w:rPr>
          <w:color w:val="231F20"/>
          <w:spacing w:val="-8"/>
          <w:w w:val="120"/>
        </w:rPr>
        <w:t> </w:t>
      </w:r>
      <w:r>
        <w:rPr>
          <w:color w:val="231F20"/>
          <w:w w:val="120"/>
        </w:rPr>
        <w:t>de</w:t>
      </w:r>
      <w:r>
        <w:rPr>
          <w:color w:val="231F20"/>
          <w:spacing w:val="-8"/>
          <w:w w:val="120"/>
        </w:rPr>
        <w:t> </w:t>
      </w:r>
      <w:r>
        <w:rPr>
          <w:color w:val="231F20"/>
          <w:w w:val="120"/>
        </w:rPr>
        <w:t>contrôle</w:t>
      </w:r>
      <w:r>
        <w:rPr>
          <w:color w:val="231F20"/>
          <w:spacing w:val="-8"/>
          <w:w w:val="120"/>
        </w:rPr>
        <w:t> </w:t>
      </w:r>
      <w:r>
        <w:rPr>
          <w:color w:val="231F20"/>
          <w:w w:val="120"/>
        </w:rPr>
        <w:t>exercé</w:t>
      </w:r>
      <w:r>
        <w:rPr>
          <w:color w:val="231F20"/>
          <w:spacing w:val="-8"/>
          <w:w w:val="120"/>
        </w:rPr>
        <w:t> </w:t>
      </w:r>
      <w:r>
        <w:rPr>
          <w:color w:val="231F20"/>
          <w:w w:val="120"/>
        </w:rPr>
        <w:t>par</w:t>
      </w:r>
      <w:r>
        <w:rPr>
          <w:color w:val="231F20"/>
          <w:spacing w:val="-8"/>
          <w:w w:val="120"/>
        </w:rPr>
        <w:t> </w:t>
      </w:r>
      <w:r>
        <w:rPr>
          <w:color w:val="231F20"/>
          <w:w w:val="120"/>
        </w:rPr>
        <w:t>les</w:t>
      </w:r>
      <w:r>
        <w:rPr>
          <w:color w:val="231F20"/>
          <w:spacing w:val="-8"/>
          <w:w w:val="120"/>
        </w:rPr>
        <w:t> </w:t>
      </w:r>
      <w:r>
        <w:rPr>
          <w:color w:val="231F20"/>
          <w:w w:val="120"/>
        </w:rPr>
        <w:t>travailleurs</w:t>
      </w:r>
      <w:r>
        <w:rPr>
          <w:color w:val="231F20"/>
          <w:spacing w:val="-8"/>
          <w:w w:val="120"/>
        </w:rPr>
        <w:t> </w:t>
      </w:r>
      <w:r>
        <w:rPr>
          <w:color w:val="231F20"/>
          <w:w w:val="120"/>
        </w:rPr>
        <w:t>sur</w:t>
      </w:r>
      <w:r>
        <w:rPr>
          <w:color w:val="231F20"/>
          <w:spacing w:val="-8"/>
          <w:w w:val="120"/>
        </w:rPr>
        <w:t> </w:t>
      </w:r>
      <w:r>
        <w:rPr>
          <w:color w:val="231F20"/>
          <w:w w:val="120"/>
        </w:rPr>
        <w:t>leur</w:t>
      </w:r>
      <w:r>
        <w:rPr>
          <w:color w:val="231F20"/>
          <w:spacing w:val="-8"/>
          <w:w w:val="120"/>
        </w:rPr>
        <w:t> </w:t>
      </w:r>
      <w:r>
        <w:rPr>
          <w:color w:val="231F20"/>
          <w:w w:val="120"/>
        </w:rPr>
        <w:t>emploi. </w:t>
      </w:r>
      <w:r>
        <w:rPr>
          <w:color w:val="231F20"/>
          <w:w w:val="115"/>
        </w:rPr>
        <w:t>Une</w:t>
      </w:r>
      <w:r>
        <w:rPr>
          <w:color w:val="231F20"/>
          <w:spacing w:val="-4"/>
          <w:w w:val="115"/>
        </w:rPr>
        <w:t> </w:t>
      </w:r>
      <w:r>
        <w:rPr>
          <w:color w:val="231F20"/>
          <w:w w:val="115"/>
        </w:rPr>
        <w:t>amélioration</w:t>
      </w:r>
      <w:r>
        <w:rPr>
          <w:color w:val="231F20"/>
          <w:spacing w:val="-4"/>
          <w:w w:val="115"/>
        </w:rPr>
        <w:t> </w:t>
      </w:r>
      <w:r>
        <w:rPr>
          <w:color w:val="231F20"/>
          <w:w w:val="115"/>
        </w:rPr>
        <w:t>des</w:t>
      </w:r>
      <w:r>
        <w:rPr>
          <w:color w:val="231F20"/>
          <w:spacing w:val="-4"/>
          <w:w w:val="115"/>
        </w:rPr>
        <w:t> </w:t>
      </w:r>
      <w:r>
        <w:rPr>
          <w:color w:val="231F20"/>
          <w:w w:val="115"/>
        </w:rPr>
        <w:t>balises</w:t>
      </w:r>
      <w:r>
        <w:rPr>
          <w:color w:val="231F20"/>
          <w:spacing w:val="-4"/>
          <w:w w:val="115"/>
        </w:rPr>
        <w:t> </w:t>
      </w:r>
      <w:r>
        <w:rPr>
          <w:color w:val="231F20"/>
          <w:w w:val="115"/>
        </w:rPr>
        <w:t>de</w:t>
      </w:r>
      <w:r>
        <w:rPr>
          <w:color w:val="231F20"/>
          <w:spacing w:val="-4"/>
          <w:w w:val="115"/>
        </w:rPr>
        <w:t> </w:t>
      </w:r>
      <w:r>
        <w:rPr>
          <w:color w:val="231F20"/>
          <w:w w:val="115"/>
        </w:rPr>
        <w:t>la</w:t>
      </w:r>
      <w:r>
        <w:rPr>
          <w:color w:val="231F20"/>
          <w:spacing w:val="-4"/>
          <w:w w:val="115"/>
        </w:rPr>
        <w:t> </w:t>
      </w:r>
      <w:r>
        <w:rPr>
          <w:color w:val="231F20"/>
          <w:w w:val="115"/>
        </w:rPr>
        <w:t>latitude</w:t>
      </w:r>
      <w:r>
        <w:rPr>
          <w:color w:val="231F20"/>
          <w:spacing w:val="-4"/>
          <w:w w:val="115"/>
        </w:rPr>
        <w:t> </w:t>
      </w:r>
      <w:r>
        <w:rPr>
          <w:color w:val="231F20"/>
          <w:w w:val="115"/>
        </w:rPr>
        <w:t>décisionnelle</w:t>
      </w:r>
      <w:r>
        <w:rPr>
          <w:color w:val="231F20"/>
          <w:spacing w:val="-4"/>
          <w:w w:val="115"/>
        </w:rPr>
        <w:t> </w:t>
      </w:r>
      <w:r>
        <w:rPr>
          <w:color w:val="231F20"/>
          <w:w w:val="115"/>
        </w:rPr>
        <w:t>ou</w:t>
      </w:r>
      <w:r>
        <w:rPr>
          <w:color w:val="231F20"/>
          <w:spacing w:val="-4"/>
          <w:w w:val="115"/>
        </w:rPr>
        <w:t> </w:t>
      </w:r>
      <w:r>
        <w:rPr>
          <w:color w:val="231F20"/>
          <w:w w:val="115"/>
        </w:rPr>
        <w:t>une</w:t>
      </w:r>
      <w:r>
        <w:rPr>
          <w:color w:val="231F20"/>
          <w:spacing w:val="-4"/>
          <w:w w:val="115"/>
        </w:rPr>
        <w:t> </w:t>
      </w:r>
      <w:r>
        <w:rPr>
          <w:color w:val="231F20"/>
          <w:w w:val="115"/>
        </w:rPr>
        <w:t>meilleure </w:t>
      </w:r>
      <w:r>
        <w:rPr>
          <w:color w:val="231F20"/>
          <w:w w:val="120"/>
        </w:rPr>
        <w:t>habilitation des travailleurs assure la santé de ces derniers et rehausse leur</w:t>
      </w:r>
      <w:r>
        <w:rPr>
          <w:color w:val="231F20"/>
          <w:spacing w:val="20"/>
          <w:w w:val="120"/>
        </w:rPr>
        <w:t> </w:t>
      </w:r>
      <w:r>
        <w:rPr>
          <w:color w:val="231F20"/>
          <w:w w:val="120"/>
        </w:rPr>
        <w:t>niveau</w:t>
      </w:r>
      <w:r>
        <w:rPr>
          <w:color w:val="231F20"/>
          <w:spacing w:val="20"/>
          <w:w w:val="120"/>
        </w:rPr>
        <w:t> </w:t>
      </w:r>
      <w:r>
        <w:rPr>
          <w:color w:val="231F20"/>
          <w:w w:val="120"/>
        </w:rPr>
        <w:t>de</w:t>
      </w:r>
      <w:r>
        <w:rPr>
          <w:color w:val="231F20"/>
          <w:spacing w:val="21"/>
          <w:w w:val="120"/>
        </w:rPr>
        <w:t> </w:t>
      </w:r>
      <w:r>
        <w:rPr>
          <w:color w:val="231F20"/>
          <w:w w:val="120"/>
        </w:rPr>
        <w:t>satisfaction</w:t>
      </w:r>
      <w:r>
        <w:rPr>
          <w:color w:val="231F20"/>
          <w:spacing w:val="20"/>
          <w:w w:val="120"/>
        </w:rPr>
        <w:t> </w:t>
      </w:r>
      <w:r>
        <w:rPr>
          <w:color w:val="231F20"/>
          <w:w w:val="120"/>
        </w:rPr>
        <w:t>au</w:t>
      </w:r>
      <w:r>
        <w:rPr>
          <w:color w:val="231F20"/>
          <w:spacing w:val="21"/>
          <w:w w:val="120"/>
        </w:rPr>
        <w:t> </w:t>
      </w:r>
      <w:r>
        <w:rPr>
          <w:color w:val="231F20"/>
          <w:w w:val="120"/>
        </w:rPr>
        <w:t>travail.</w:t>
      </w:r>
      <w:r>
        <w:rPr>
          <w:color w:val="231F20"/>
          <w:spacing w:val="20"/>
          <w:w w:val="120"/>
        </w:rPr>
        <w:t> </w:t>
      </w:r>
      <w:r>
        <w:rPr>
          <w:color w:val="231F20"/>
          <w:w w:val="120"/>
        </w:rPr>
        <w:t>Des</w:t>
      </w:r>
      <w:r>
        <w:rPr>
          <w:color w:val="231F20"/>
          <w:spacing w:val="21"/>
          <w:w w:val="120"/>
        </w:rPr>
        <w:t> </w:t>
      </w:r>
      <w:r>
        <w:rPr>
          <w:color w:val="231F20"/>
          <w:w w:val="120"/>
        </w:rPr>
        <w:t>études</w:t>
      </w:r>
      <w:r>
        <w:rPr>
          <w:color w:val="231F20"/>
          <w:spacing w:val="20"/>
          <w:w w:val="120"/>
        </w:rPr>
        <w:t> </w:t>
      </w:r>
      <w:r>
        <w:rPr>
          <w:color w:val="231F20"/>
          <w:w w:val="120"/>
        </w:rPr>
        <w:t>démontrent</w:t>
      </w:r>
      <w:r>
        <w:rPr>
          <w:color w:val="231F20"/>
          <w:spacing w:val="21"/>
          <w:w w:val="120"/>
        </w:rPr>
        <w:t> </w:t>
      </w:r>
      <w:r>
        <w:rPr>
          <w:color w:val="231F20"/>
          <w:w w:val="120"/>
        </w:rPr>
        <w:t>que</w:t>
      </w:r>
      <w:r>
        <w:rPr>
          <w:color w:val="231F20"/>
          <w:spacing w:val="20"/>
          <w:w w:val="120"/>
        </w:rPr>
        <w:t> </w:t>
      </w:r>
      <w:r>
        <w:rPr>
          <w:color w:val="231F20"/>
          <w:spacing w:val="-5"/>
          <w:w w:val="120"/>
        </w:rPr>
        <w:t>ce</w:t>
      </w:r>
    </w:p>
    <w:p>
      <w:pPr>
        <w:spacing w:after="0" w:line="307" w:lineRule="auto"/>
        <w:jc w:val="both"/>
        <w:sectPr>
          <w:footerReference w:type="default" r:id="rId323"/>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color w:val="231F20"/>
          <w:w w:val="120"/>
        </w:rPr>
        <w:t>type de mesure est particulièrement efficace dans les situations qui mettent</w:t>
      </w:r>
      <w:r>
        <w:rPr>
          <w:color w:val="231F20"/>
          <w:spacing w:val="-7"/>
          <w:w w:val="120"/>
        </w:rPr>
        <w:t> </w:t>
      </w:r>
      <w:r>
        <w:rPr>
          <w:color w:val="231F20"/>
          <w:w w:val="120"/>
        </w:rPr>
        <w:t>en</w:t>
      </w:r>
      <w:r>
        <w:rPr>
          <w:color w:val="231F20"/>
          <w:spacing w:val="-7"/>
          <w:w w:val="120"/>
        </w:rPr>
        <w:t> </w:t>
      </w:r>
      <w:r>
        <w:rPr>
          <w:color w:val="231F20"/>
          <w:w w:val="120"/>
        </w:rPr>
        <w:t>jeu</w:t>
      </w:r>
      <w:r>
        <w:rPr>
          <w:color w:val="231F20"/>
          <w:spacing w:val="-6"/>
          <w:w w:val="120"/>
        </w:rPr>
        <w:t> </w:t>
      </w:r>
      <w:r>
        <w:rPr>
          <w:color w:val="231F20"/>
          <w:w w:val="120"/>
        </w:rPr>
        <w:t>de</w:t>
      </w:r>
      <w:r>
        <w:rPr>
          <w:color w:val="231F20"/>
          <w:spacing w:val="-6"/>
          <w:w w:val="120"/>
        </w:rPr>
        <w:t> </w:t>
      </w:r>
      <w:r>
        <w:rPr>
          <w:color w:val="231F20"/>
          <w:w w:val="120"/>
        </w:rPr>
        <w:t>lourdes</w:t>
      </w:r>
      <w:r>
        <w:rPr>
          <w:color w:val="231F20"/>
          <w:spacing w:val="-6"/>
          <w:w w:val="120"/>
        </w:rPr>
        <w:t> </w:t>
      </w:r>
      <w:r>
        <w:rPr>
          <w:color w:val="231F20"/>
          <w:w w:val="120"/>
        </w:rPr>
        <w:t>charges</w:t>
      </w:r>
      <w:r>
        <w:rPr>
          <w:color w:val="231F20"/>
          <w:spacing w:val="-6"/>
          <w:w w:val="120"/>
        </w:rPr>
        <w:t> </w:t>
      </w:r>
      <w:r>
        <w:rPr>
          <w:color w:val="231F20"/>
          <w:w w:val="120"/>
        </w:rPr>
        <w:t>de</w:t>
      </w:r>
      <w:r>
        <w:rPr>
          <w:color w:val="231F20"/>
          <w:spacing w:val="-6"/>
          <w:w w:val="120"/>
        </w:rPr>
        <w:t> </w:t>
      </w:r>
      <w:r>
        <w:rPr>
          <w:color w:val="231F20"/>
          <w:w w:val="120"/>
        </w:rPr>
        <w:t>travail</w:t>
      </w:r>
      <w:r>
        <w:rPr>
          <w:color w:val="231F20"/>
          <w:spacing w:val="-6"/>
          <w:w w:val="120"/>
        </w:rPr>
        <w:t> </w:t>
      </w:r>
      <w:r>
        <w:rPr>
          <w:color w:val="231F20"/>
          <w:w w:val="120"/>
        </w:rPr>
        <w:t>et</w:t>
      </w:r>
      <w:r>
        <w:rPr>
          <w:color w:val="231F20"/>
          <w:spacing w:val="-6"/>
          <w:w w:val="120"/>
        </w:rPr>
        <w:t> </w:t>
      </w:r>
      <w:r>
        <w:rPr>
          <w:color w:val="231F20"/>
          <w:w w:val="120"/>
        </w:rPr>
        <w:t>où</w:t>
      </w:r>
      <w:r>
        <w:rPr>
          <w:color w:val="231F20"/>
          <w:spacing w:val="-7"/>
          <w:w w:val="120"/>
        </w:rPr>
        <w:t> </w:t>
      </w:r>
      <w:r>
        <w:rPr>
          <w:color w:val="231F20"/>
          <w:w w:val="120"/>
        </w:rPr>
        <w:t>la</w:t>
      </w:r>
      <w:r>
        <w:rPr>
          <w:color w:val="231F20"/>
          <w:spacing w:val="-7"/>
          <w:w w:val="120"/>
        </w:rPr>
        <w:t> </w:t>
      </w:r>
      <w:r>
        <w:rPr>
          <w:color w:val="231F20"/>
          <w:w w:val="120"/>
        </w:rPr>
        <w:t>personne</w:t>
      </w:r>
      <w:r>
        <w:rPr>
          <w:color w:val="231F20"/>
          <w:spacing w:val="-7"/>
          <w:w w:val="120"/>
        </w:rPr>
        <w:t> </w:t>
      </w:r>
      <w:r>
        <w:rPr>
          <w:color w:val="231F20"/>
          <w:w w:val="120"/>
        </w:rPr>
        <w:t>n’a</w:t>
      </w:r>
      <w:r>
        <w:rPr>
          <w:color w:val="231F20"/>
          <w:spacing w:val="-6"/>
          <w:w w:val="120"/>
        </w:rPr>
        <w:t> </w:t>
      </w:r>
      <w:r>
        <w:rPr>
          <w:color w:val="231F20"/>
          <w:w w:val="120"/>
        </w:rPr>
        <w:t>guère la</w:t>
      </w:r>
      <w:r>
        <w:rPr>
          <w:color w:val="231F20"/>
          <w:spacing w:val="-8"/>
          <w:w w:val="120"/>
        </w:rPr>
        <w:t> </w:t>
      </w:r>
      <w:r>
        <w:rPr>
          <w:color w:val="231F20"/>
          <w:w w:val="120"/>
        </w:rPr>
        <w:t>possibilité</w:t>
      </w:r>
      <w:r>
        <w:rPr>
          <w:color w:val="231F20"/>
          <w:spacing w:val="-8"/>
          <w:w w:val="120"/>
        </w:rPr>
        <w:t> </w:t>
      </w:r>
      <w:r>
        <w:rPr>
          <w:color w:val="231F20"/>
          <w:w w:val="120"/>
        </w:rPr>
        <w:t>de</w:t>
      </w:r>
      <w:r>
        <w:rPr>
          <w:color w:val="231F20"/>
          <w:spacing w:val="-8"/>
          <w:w w:val="120"/>
        </w:rPr>
        <w:t> </w:t>
      </w:r>
      <w:r>
        <w:rPr>
          <w:color w:val="231F20"/>
          <w:w w:val="120"/>
        </w:rPr>
        <w:t>contrôler</w:t>
      </w:r>
      <w:r>
        <w:rPr>
          <w:color w:val="231F20"/>
          <w:spacing w:val="-8"/>
          <w:w w:val="120"/>
        </w:rPr>
        <w:t> </w:t>
      </w:r>
      <w:r>
        <w:rPr>
          <w:color w:val="231F20"/>
          <w:w w:val="120"/>
        </w:rPr>
        <w:t>les</w:t>
      </w:r>
      <w:r>
        <w:rPr>
          <w:color w:val="231F20"/>
          <w:spacing w:val="-8"/>
          <w:w w:val="120"/>
        </w:rPr>
        <w:t> </w:t>
      </w:r>
      <w:r>
        <w:rPr>
          <w:color w:val="231F20"/>
          <w:w w:val="120"/>
        </w:rPr>
        <w:t>variables</w:t>
      </w:r>
      <w:r>
        <w:rPr>
          <w:color w:val="231F20"/>
          <w:spacing w:val="-8"/>
          <w:w w:val="120"/>
        </w:rPr>
        <w:t> </w:t>
      </w:r>
      <w:r>
        <w:rPr>
          <w:color w:val="231F20"/>
          <w:w w:val="120"/>
        </w:rPr>
        <w:t>qui</w:t>
      </w:r>
      <w:r>
        <w:rPr>
          <w:color w:val="231F20"/>
          <w:spacing w:val="-8"/>
          <w:w w:val="120"/>
        </w:rPr>
        <w:t> </w:t>
      </w:r>
      <w:r>
        <w:rPr>
          <w:color w:val="231F20"/>
          <w:w w:val="120"/>
        </w:rPr>
        <w:t>influent</w:t>
      </w:r>
      <w:r>
        <w:rPr>
          <w:color w:val="231F20"/>
          <w:spacing w:val="-8"/>
          <w:w w:val="120"/>
        </w:rPr>
        <w:t> </w:t>
      </w:r>
      <w:r>
        <w:rPr>
          <w:color w:val="231F20"/>
          <w:w w:val="120"/>
        </w:rPr>
        <w:t>sur</w:t>
      </w:r>
      <w:r>
        <w:rPr>
          <w:color w:val="231F20"/>
          <w:spacing w:val="-8"/>
          <w:w w:val="120"/>
        </w:rPr>
        <w:t> </w:t>
      </w:r>
      <w:r>
        <w:rPr>
          <w:color w:val="231F20"/>
          <w:w w:val="120"/>
        </w:rPr>
        <w:t>le</w:t>
      </w:r>
      <w:r>
        <w:rPr>
          <w:color w:val="231F20"/>
          <w:spacing w:val="-8"/>
          <w:w w:val="120"/>
        </w:rPr>
        <w:t> </w:t>
      </w:r>
      <w:r>
        <w:rPr>
          <w:color w:val="231F20"/>
          <w:w w:val="120"/>
        </w:rPr>
        <w:t>rendement16.</w:t>
      </w:r>
    </w:p>
    <w:p>
      <w:pPr>
        <w:pStyle w:val="BodyText"/>
        <w:spacing w:line="307" w:lineRule="auto" w:before="80"/>
        <w:ind w:left="1220" w:right="105" w:firstLine="250"/>
        <w:jc w:val="both"/>
      </w:pPr>
      <w:r>
        <w:rPr>
          <w:color w:val="231F20"/>
          <w:w w:val="120"/>
        </w:rPr>
        <w:t>Quand nous parlons du contrôle exercé par un travailleur sur son emploi, ce contrôle concerne les divers aspects suivants:</w:t>
      </w:r>
    </w:p>
    <w:p>
      <w:pPr>
        <w:pStyle w:val="ListParagraph"/>
        <w:numPr>
          <w:ilvl w:val="1"/>
          <w:numId w:val="93"/>
        </w:numPr>
        <w:tabs>
          <w:tab w:pos="1721" w:val="left" w:leader="none"/>
        </w:tabs>
        <w:spacing w:line="307" w:lineRule="auto" w:before="79" w:after="0"/>
        <w:ind w:left="1720" w:right="108" w:hanging="251"/>
        <w:jc w:val="both"/>
        <w:rPr>
          <w:sz w:val="17"/>
        </w:rPr>
      </w:pPr>
      <w:r>
        <w:rPr>
          <w:color w:val="231F20"/>
          <w:w w:val="115"/>
          <w:sz w:val="17"/>
        </w:rPr>
        <w:t>Les tâches que le travailleur est censé faire (fonctions, responsabi- </w:t>
      </w:r>
      <w:r>
        <w:rPr>
          <w:color w:val="231F20"/>
          <w:w w:val="120"/>
          <w:sz w:val="17"/>
        </w:rPr>
        <w:t>lités, quantité et qualité des résultats de son travail);</w:t>
      </w:r>
    </w:p>
    <w:p>
      <w:pPr>
        <w:pStyle w:val="ListParagraph"/>
        <w:numPr>
          <w:ilvl w:val="1"/>
          <w:numId w:val="93"/>
        </w:numPr>
        <w:tabs>
          <w:tab w:pos="1721" w:val="left" w:leader="none"/>
        </w:tabs>
        <w:spacing w:line="195" w:lineRule="exact" w:before="0" w:after="0"/>
        <w:ind w:left="1720" w:right="0" w:hanging="251"/>
        <w:jc w:val="both"/>
        <w:rPr>
          <w:sz w:val="17"/>
        </w:rPr>
      </w:pPr>
      <w:r>
        <w:rPr>
          <w:color w:val="231F20"/>
          <w:spacing w:val="-2"/>
          <w:w w:val="115"/>
          <w:sz w:val="17"/>
        </w:rPr>
        <w:t>La</w:t>
      </w:r>
      <w:r>
        <w:rPr>
          <w:color w:val="231F20"/>
          <w:spacing w:val="-18"/>
          <w:w w:val="115"/>
          <w:sz w:val="17"/>
        </w:rPr>
        <w:t> </w:t>
      </w:r>
      <w:r>
        <w:rPr>
          <w:color w:val="231F20"/>
          <w:spacing w:val="-2"/>
          <w:w w:val="115"/>
          <w:sz w:val="17"/>
        </w:rPr>
        <w:t>façon</w:t>
      </w:r>
      <w:r>
        <w:rPr>
          <w:color w:val="231F20"/>
          <w:spacing w:val="-17"/>
          <w:w w:val="115"/>
          <w:sz w:val="17"/>
        </w:rPr>
        <w:t> </w:t>
      </w:r>
      <w:r>
        <w:rPr>
          <w:color w:val="231F20"/>
          <w:spacing w:val="-2"/>
          <w:w w:val="115"/>
          <w:sz w:val="17"/>
        </w:rPr>
        <w:t>d’exécuter</w:t>
      </w:r>
      <w:r>
        <w:rPr>
          <w:color w:val="231F20"/>
          <w:spacing w:val="-17"/>
          <w:w w:val="115"/>
          <w:sz w:val="17"/>
        </w:rPr>
        <w:t> </w:t>
      </w:r>
      <w:r>
        <w:rPr>
          <w:color w:val="231F20"/>
          <w:spacing w:val="-2"/>
          <w:w w:val="115"/>
          <w:sz w:val="17"/>
        </w:rPr>
        <w:t>son</w:t>
      </w:r>
      <w:r>
        <w:rPr>
          <w:color w:val="231F20"/>
          <w:spacing w:val="-17"/>
          <w:w w:val="115"/>
          <w:sz w:val="17"/>
        </w:rPr>
        <w:t> </w:t>
      </w:r>
      <w:r>
        <w:rPr>
          <w:color w:val="231F20"/>
          <w:spacing w:val="-2"/>
          <w:w w:val="115"/>
          <w:sz w:val="17"/>
        </w:rPr>
        <w:t>travail</w:t>
      </w:r>
      <w:r>
        <w:rPr>
          <w:color w:val="231F20"/>
          <w:spacing w:val="-18"/>
          <w:w w:val="115"/>
          <w:sz w:val="17"/>
        </w:rPr>
        <w:t> </w:t>
      </w:r>
      <w:r>
        <w:rPr>
          <w:color w:val="231F20"/>
          <w:spacing w:val="-2"/>
          <w:w w:val="115"/>
          <w:sz w:val="17"/>
        </w:rPr>
        <w:t>ou</w:t>
      </w:r>
      <w:r>
        <w:rPr>
          <w:color w:val="231F20"/>
          <w:spacing w:val="-17"/>
          <w:w w:val="115"/>
          <w:sz w:val="17"/>
        </w:rPr>
        <w:t> </w:t>
      </w:r>
      <w:r>
        <w:rPr>
          <w:color w:val="231F20"/>
          <w:spacing w:val="-2"/>
          <w:w w:val="115"/>
          <w:sz w:val="17"/>
        </w:rPr>
        <w:t>les</w:t>
      </w:r>
      <w:r>
        <w:rPr>
          <w:color w:val="231F20"/>
          <w:spacing w:val="-17"/>
          <w:w w:val="115"/>
          <w:sz w:val="17"/>
        </w:rPr>
        <w:t> </w:t>
      </w:r>
      <w:r>
        <w:rPr>
          <w:color w:val="231F20"/>
          <w:spacing w:val="-2"/>
          <w:w w:val="115"/>
          <w:sz w:val="17"/>
        </w:rPr>
        <w:t>méthodes</w:t>
      </w:r>
      <w:r>
        <w:rPr>
          <w:color w:val="231F20"/>
          <w:spacing w:val="-17"/>
          <w:w w:val="115"/>
          <w:sz w:val="17"/>
        </w:rPr>
        <w:t> </w:t>
      </w:r>
      <w:r>
        <w:rPr>
          <w:color w:val="231F20"/>
          <w:spacing w:val="-2"/>
          <w:w w:val="115"/>
          <w:sz w:val="17"/>
        </w:rPr>
        <w:t>de</w:t>
      </w:r>
      <w:r>
        <w:rPr>
          <w:color w:val="231F20"/>
          <w:spacing w:val="-17"/>
          <w:w w:val="115"/>
          <w:sz w:val="17"/>
        </w:rPr>
        <w:t> </w:t>
      </w:r>
      <w:r>
        <w:rPr>
          <w:color w:val="231F20"/>
          <w:spacing w:val="-2"/>
          <w:w w:val="115"/>
          <w:sz w:val="17"/>
        </w:rPr>
        <w:t>travail</w:t>
      </w:r>
      <w:r>
        <w:rPr>
          <w:color w:val="231F20"/>
          <w:spacing w:val="-18"/>
          <w:w w:val="115"/>
          <w:sz w:val="17"/>
        </w:rPr>
        <w:t> </w:t>
      </w:r>
      <w:r>
        <w:rPr>
          <w:color w:val="231F20"/>
          <w:spacing w:val="-2"/>
          <w:w w:val="115"/>
          <w:sz w:val="17"/>
        </w:rPr>
        <w:t>employées;</w:t>
      </w:r>
    </w:p>
    <w:p>
      <w:pPr>
        <w:pStyle w:val="ListParagraph"/>
        <w:numPr>
          <w:ilvl w:val="1"/>
          <w:numId w:val="93"/>
        </w:numPr>
        <w:tabs>
          <w:tab w:pos="1721" w:val="left" w:leader="none"/>
        </w:tabs>
        <w:spacing w:line="307" w:lineRule="auto" w:before="55" w:after="0"/>
        <w:ind w:left="1720" w:right="108" w:hanging="251"/>
        <w:jc w:val="both"/>
        <w:rPr>
          <w:sz w:val="17"/>
        </w:rPr>
      </w:pPr>
      <w:r>
        <w:rPr>
          <w:color w:val="231F20"/>
          <w:w w:val="120"/>
          <w:sz w:val="17"/>
        </w:rPr>
        <w:t>L’horaire</w:t>
      </w:r>
      <w:r>
        <w:rPr>
          <w:color w:val="231F20"/>
          <w:spacing w:val="-15"/>
          <w:w w:val="120"/>
          <w:sz w:val="17"/>
        </w:rPr>
        <w:t> </w:t>
      </w:r>
      <w:r>
        <w:rPr>
          <w:color w:val="231F20"/>
          <w:w w:val="120"/>
          <w:sz w:val="17"/>
        </w:rPr>
        <w:t>de</w:t>
      </w:r>
      <w:r>
        <w:rPr>
          <w:color w:val="231F20"/>
          <w:spacing w:val="-13"/>
          <w:w w:val="120"/>
          <w:sz w:val="17"/>
        </w:rPr>
        <w:t> </w:t>
      </w:r>
      <w:r>
        <w:rPr>
          <w:color w:val="231F20"/>
          <w:w w:val="120"/>
          <w:sz w:val="17"/>
        </w:rPr>
        <w:t>travail</w:t>
      </w:r>
      <w:r>
        <w:rPr>
          <w:color w:val="231F20"/>
          <w:spacing w:val="-13"/>
          <w:w w:val="120"/>
          <w:sz w:val="17"/>
        </w:rPr>
        <w:t> </w:t>
      </w:r>
      <w:r>
        <w:rPr>
          <w:color w:val="231F20"/>
          <w:w w:val="120"/>
          <w:sz w:val="17"/>
        </w:rPr>
        <w:t>et</w:t>
      </w:r>
      <w:r>
        <w:rPr>
          <w:color w:val="231F20"/>
          <w:spacing w:val="-12"/>
          <w:w w:val="120"/>
          <w:sz w:val="17"/>
        </w:rPr>
        <w:t> </w:t>
      </w:r>
      <w:r>
        <w:rPr>
          <w:color w:val="231F20"/>
          <w:w w:val="120"/>
          <w:sz w:val="17"/>
        </w:rPr>
        <w:t>les</w:t>
      </w:r>
      <w:r>
        <w:rPr>
          <w:color w:val="231F20"/>
          <w:spacing w:val="-13"/>
          <w:w w:val="120"/>
          <w:sz w:val="17"/>
        </w:rPr>
        <w:t> </w:t>
      </w:r>
      <w:r>
        <w:rPr>
          <w:color w:val="231F20"/>
          <w:w w:val="120"/>
          <w:sz w:val="17"/>
        </w:rPr>
        <w:t>congés</w:t>
      </w:r>
      <w:r>
        <w:rPr>
          <w:color w:val="231F20"/>
          <w:spacing w:val="-13"/>
          <w:w w:val="120"/>
          <w:sz w:val="17"/>
        </w:rPr>
        <w:t> </w:t>
      </w:r>
      <w:r>
        <w:rPr>
          <w:color w:val="231F20"/>
          <w:w w:val="120"/>
          <w:sz w:val="17"/>
        </w:rPr>
        <w:t>(autonomie</w:t>
      </w:r>
      <w:r>
        <w:rPr>
          <w:color w:val="231F20"/>
          <w:spacing w:val="-13"/>
          <w:w w:val="120"/>
          <w:sz w:val="17"/>
        </w:rPr>
        <w:t> </w:t>
      </w:r>
      <w:r>
        <w:rPr>
          <w:color w:val="231F20"/>
          <w:w w:val="120"/>
          <w:sz w:val="17"/>
        </w:rPr>
        <w:t>temporelle,</w:t>
      </w:r>
      <w:r>
        <w:rPr>
          <w:color w:val="231F20"/>
          <w:spacing w:val="-12"/>
          <w:w w:val="120"/>
          <w:sz w:val="17"/>
        </w:rPr>
        <w:t> </w:t>
      </w:r>
      <w:r>
        <w:rPr>
          <w:color w:val="231F20"/>
          <w:w w:val="120"/>
          <w:sz w:val="17"/>
        </w:rPr>
        <w:t>cadence</w:t>
      </w:r>
      <w:r>
        <w:rPr>
          <w:color w:val="231F20"/>
          <w:w w:val="120"/>
          <w:sz w:val="17"/>
        </w:rPr>
        <w:t> du travail, choix des quarts, etc.);</w:t>
      </w:r>
    </w:p>
    <w:p>
      <w:pPr>
        <w:pStyle w:val="ListParagraph"/>
        <w:numPr>
          <w:ilvl w:val="1"/>
          <w:numId w:val="93"/>
        </w:numPr>
        <w:tabs>
          <w:tab w:pos="1721" w:val="left" w:leader="none"/>
        </w:tabs>
        <w:spacing w:line="307" w:lineRule="auto" w:before="0" w:after="0"/>
        <w:ind w:left="1720" w:right="104" w:hanging="251"/>
        <w:jc w:val="both"/>
        <w:rPr>
          <w:sz w:val="17"/>
        </w:rPr>
      </w:pPr>
      <w:r>
        <w:rPr>
          <w:color w:val="231F20"/>
          <w:w w:val="120"/>
          <w:sz w:val="17"/>
        </w:rPr>
        <w:t>La</w:t>
      </w:r>
      <w:r>
        <w:rPr>
          <w:color w:val="231F20"/>
          <w:spacing w:val="-2"/>
          <w:w w:val="120"/>
          <w:sz w:val="17"/>
        </w:rPr>
        <w:t> </w:t>
      </w:r>
      <w:r>
        <w:rPr>
          <w:color w:val="231F20"/>
          <w:w w:val="120"/>
          <w:sz w:val="17"/>
        </w:rPr>
        <w:t>participation</w:t>
      </w:r>
      <w:r>
        <w:rPr>
          <w:color w:val="231F20"/>
          <w:spacing w:val="-2"/>
          <w:w w:val="120"/>
          <w:sz w:val="17"/>
        </w:rPr>
        <w:t> </w:t>
      </w:r>
      <w:r>
        <w:rPr>
          <w:color w:val="231F20"/>
          <w:w w:val="120"/>
          <w:sz w:val="17"/>
        </w:rPr>
        <w:t>du</w:t>
      </w:r>
      <w:r>
        <w:rPr>
          <w:color w:val="231F20"/>
          <w:spacing w:val="-2"/>
          <w:w w:val="120"/>
          <w:sz w:val="17"/>
        </w:rPr>
        <w:t> </w:t>
      </w:r>
      <w:r>
        <w:rPr>
          <w:color w:val="231F20"/>
          <w:w w:val="120"/>
          <w:sz w:val="17"/>
        </w:rPr>
        <w:t>travailleur</w:t>
      </w:r>
      <w:r>
        <w:rPr>
          <w:color w:val="231F20"/>
          <w:spacing w:val="-2"/>
          <w:w w:val="120"/>
          <w:sz w:val="17"/>
        </w:rPr>
        <w:t> </w:t>
      </w:r>
      <w:r>
        <w:rPr>
          <w:color w:val="231F20"/>
          <w:w w:val="120"/>
          <w:sz w:val="17"/>
        </w:rPr>
        <w:t>à</w:t>
      </w:r>
      <w:r>
        <w:rPr>
          <w:color w:val="231F20"/>
          <w:spacing w:val="-2"/>
          <w:w w:val="120"/>
          <w:sz w:val="17"/>
        </w:rPr>
        <w:t> </w:t>
      </w:r>
      <w:r>
        <w:rPr>
          <w:color w:val="231F20"/>
          <w:w w:val="120"/>
          <w:sz w:val="17"/>
        </w:rPr>
        <w:t>la</w:t>
      </w:r>
      <w:r>
        <w:rPr>
          <w:color w:val="231F20"/>
          <w:spacing w:val="-2"/>
          <w:w w:val="120"/>
          <w:sz w:val="17"/>
        </w:rPr>
        <w:t> </w:t>
      </w:r>
      <w:r>
        <w:rPr>
          <w:color w:val="231F20"/>
          <w:w w:val="120"/>
          <w:sz w:val="17"/>
        </w:rPr>
        <w:t>prise</w:t>
      </w:r>
      <w:r>
        <w:rPr>
          <w:color w:val="231F20"/>
          <w:spacing w:val="-2"/>
          <w:w w:val="120"/>
          <w:sz w:val="17"/>
        </w:rPr>
        <w:t> </w:t>
      </w:r>
      <w:r>
        <w:rPr>
          <w:color w:val="231F20"/>
          <w:w w:val="120"/>
          <w:sz w:val="17"/>
        </w:rPr>
        <w:t>de</w:t>
      </w:r>
      <w:r>
        <w:rPr>
          <w:color w:val="231F20"/>
          <w:spacing w:val="-2"/>
          <w:w w:val="120"/>
          <w:sz w:val="17"/>
        </w:rPr>
        <w:t> </w:t>
      </w:r>
      <w:r>
        <w:rPr>
          <w:color w:val="231F20"/>
          <w:w w:val="120"/>
          <w:sz w:val="17"/>
        </w:rPr>
        <w:t>décisions</w:t>
      </w:r>
      <w:r>
        <w:rPr>
          <w:color w:val="231F20"/>
          <w:spacing w:val="-2"/>
          <w:w w:val="120"/>
          <w:sz w:val="17"/>
        </w:rPr>
        <w:t> </w:t>
      </w:r>
      <w:r>
        <w:rPr>
          <w:color w:val="231F20"/>
          <w:w w:val="120"/>
          <w:sz w:val="17"/>
        </w:rPr>
        <w:t>concernant les aspects de son travail.</w:t>
      </w:r>
    </w:p>
    <w:p>
      <w:pPr>
        <w:pStyle w:val="BodyText"/>
        <w:spacing w:line="307" w:lineRule="auto" w:before="79"/>
        <w:ind w:left="1220" w:right="103"/>
        <w:jc w:val="both"/>
      </w:pPr>
      <w:r>
        <w:rPr>
          <w:color w:val="231F20"/>
          <w:w w:val="115"/>
        </w:rPr>
        <w:t>Cette amélioration du contrôle discrétionnaire doit s’accompagner d’une </w:t>
      </w:r>
      <w:r>
        <w:rPr>
          <w:color w:val="231F20"/>
          <w:spacing w:val="-2"/>
          <w:w w:val="120"/>
        </w:rPr>
        <w:t>formation</w:t>
      </w:r>
      <w:r>
        <w:rPr>
          <w:color w:val="231F20"/>
          <w:spacing w:val="-8"/>
          <w:w w:val="120"/>
        </w:rPr>
        <w:t> </w:t>
      </w:r>
      <w:r>
        <w:rPr>
          <w:color w:val="231F20"/>
          <w:spacing w:val="-2"/>
          <w:w w:val="120"/>
        </w:rPr>
        <w:t>adéquate</w:t>
      </w:r>
      <w:r>
        <w:rPr>
          <w:color w:val="231F20"/>
          <w:spacing w:val="-8"/>
          <w:w w:val="120"/>
        </w:rPr>
        <w:t> </w:t>
      </w:r>
      <w:r>
        <w:rPr>
          <w:color w:val="231F20"/>
          <w:spacing w:val="-2"/>
          <w:w w:val="120"/>
        </w:rPr>
        <w:t>et</w:t>
      </w:r>
      <w:r>
        <w:rPr>
          <w:color w:val="231F20"/>
          <w:spacing w:val="-8"/>
          <w:w w:val="120"/>
        </w:rPr>
        <w:t> </w:t>
      </w:r>
      <w:r>
        <w:rPr>
          <w:color w:val="231F20"/>
          <w:spacing w:val="-2"/>
          <w:w w:val="120"/>
        </w:rPr>
        <w:t>précise</w:t>
      </w:r>
      <w:r>
        <w:rPr>
          <w:color w:val="231F20"/>
          <w:spacing w:val="-8"/>
          <w:w w:val="120"/>
        </w:rPr>
        <w:t> </w:t>
      </w:r>
      <w:r>
        <w:rPr>
          <w:color w:val="231F20"/>
          <w:spacing w:val="-2"/>
          <w:w w:val="120"/>
        </w:rPr>
        <w:t>offerte</w:t>
      </w:r>
      <w:r>
        <w:rPr>
          <w:color w:val="231F20"/>
          <w:spacing w:val="-8"/>
          <w:w w:val="120"/>
        </w:rPr>
        <w:t> </w:t>
      </w:r>
      <w:r>
        <w:rPr>
          <w:color w:val="231F20"/>
          <w:spacing w:val="-2"/>
          <w:w w:val="120"/>
        </w:rPr>
        <w:t>à</w:t>
      </w:r>
      <w:r>
        <w:rPr>
          <w:color w:val="231F20"/>
          <w:spacing w:val="-8"/>
          <w:w w:val="120"/>
        </w:rPr>
        <w:t> </w:t>
      </w:r>
      <w:r>
        <w:rPr>
          <w:color w:val="231F20"/>
          <w:spacing w:val="-2"/>
          <w:w w:val="120"/>
        </w:rPr>
        <w:t>chaque</w:t>
      </w:r>
      <w:r>
        <w:rPr>
          <w:color w:val="231F20"/>
          <w:spacing w:val="-8"/>
          <w:w w:val="120"/>
        </w:rPr>
        <w:t> </w:t>
      </w:r>
      <w:r>
        <w:rPr>
          <w:color w:val="231F20"/>
          <w:spacing w:val="-2"/>
          <w:w w:val="120"/>
        </w:rPr>
        <w:t>travailleur</w:t>
      </w:r>
      <w:r>
        <w:rPr>
          <w:color w:val="231F20"/>
          <w:spacing w:val="-8"/>
          <w:w w:val="120"/>
        </w:rPr>
        <w:t> </w:t>
      </w:r>
      <w:r>
        <w:rPr>
          <w:color w:val="231F20"/>
          <w:spacing w:val="-2"/>
          <w:w w:val="120"/>
        </w:rPr>
        <w:t>sur</w:t>
      </w:r>
      <w:r>
        <w:rPr>
          <w:color w:val="231F20"/>
          <w:spacing w:val="-8"/>
          <w:w w:val="120"/>
        </w:rPr>
        <w:t> </w:t>
      </w:r>
      <w:r>
        <w:rPr>
          <w:color w:val="231F20"/>
          <w:spacing w:val="-2"/>
          <w:w w:val="120"/>
        </w:rPr>
        <w:t>son</w:t>
      </w:r>
      <w:r>
        <w:rPr>
          <w:color w:val="231F20"/>
          <w:spacing w:val="-8"/>
          <w:w w:val="120"/>
        </w:rPr>
        <w:t> </w:t>
      </w:r>
      <w:r>
        <w:rPr>
          <w:color w:val="231F20"/>
          <w:spacing w:val="-2"/>
          <w:w w:val="120"/>
        </w:rPr>
        <w:t>emploi </w:t>
      </w:r>
      <w:r>
        <w:rPr>
          <w:color w:val="231F20"/>
          <w:w w:val="120"/>
        </w:rPr>
        <w:t>et d’une formation générale favorisant la prise en charge des mesures adoptées (gestion du temps, prise de décision, etc.). Signalons que de donner</w:t>
      </w:r>
      <w:r>
        <w:rPr>
          <w:color w:val="231F20"/>
          <w:spacing w:val="-5"/>
          <w:w w:val="120"/>
        </w:rPr>
        <w:t> </w:t>
      </w:r>
      <w:r>
        <w:rPr>
          <w:color w:val="231F20"/>
          <w:w w:val="120"/>
        </w:rPr>
        <w:t>aux</w:t>
      </w:r>
      <w:r>
        <w:rPr>
          <w:color w:val="231F20"/>
          <w:spacing w:val="-5"/>
          <w:w w:val="120"/>
        </w:rPr>
        <w:t> </w:t>
      </w:r>
      <w:r>
        <w:rPr>
          <w:color w:val="231F20"/>
          <w:w w:val="120"/>
        </w:rPr>
        <w:t>employés</w:t>
      </w:r>
      <w:r>
        <w:rPr>
          <w:color w:val="231F20"/>
          <w:spacing w:val="-5"/>
          <w:w w:val="120"/>
        </w:rPr>
        <w:t> </w:t>
      </w:r>
      <w:r>
        <w:rPr>
          <w:color w:val="231F20"/>
          <w:w w:val="120"/>
        </w:rPr>
        <w:t>une</w:t>
      </w:r>
      <w:r>
        <w:rPr>
          <w:color w:val="231F20"/>
          <w:spacing w:val="-5"/>
          <w:w w:val="120"/>
        </w:rPr>
        <w:t> </w:t>
      </w:r>
      <w:r>
        <w:rPr>
          <w:color w:val="231F20"/>
          <w:w w:val="120"/>
        </w:rPr>
        <w:t>certaine</w:t>
      </w:r>
      <w:r>
        <w:rPr>
          <w:color w:val="231F20"/>
          <w:spacing w:val="-5"/>
          <w:w w:val="120"/>
        </w:rPr>
        <w:t> </w:t>
      </w:r>
      <w:r>
        <w:rPr>
          <w:color w:val="231F20"/>
          <w:w w:val="120"/>
        </w:rPr>
        <w:t>liberté</w:t>
      </w:r>
      <w:r>
        <w:rPr>
          <w:color w:val="231F20"/>
          <w:spacing w:val="-5"/>
          <w:w w:val="120"/>
        </w:rPr>
        <w:t> </w:t>
      </w:r>
      <w:r>
        <w:rPr>
          <w:color w:val="231F20"/>
          <w:w w:val="120"/>
        </w:rPr>
        <w:t>à</w:t>
      </w:r>
      <w:r>
        <w:rPr>
          <w:color w:val="231F20"/>
          <w:spacing w:val="-5"/>
          <w:w w:val="120"/>
        </w:rPr>
        <w:t> </w:t>
      </w:r>
      <w:r>
        <w:rPr>
          <w:color w:val="231F20"/>
          <w:w w:val="120"/>
        </w:rPr>
        <w:t>l’égard</w:t>
      </w:r>
      <w:r>
        <w:rPr>
          <w:color w:val="231F20"/>
          <w:spacing w:val="-5"/>
          <w:w w:val="120"/>
        </w:rPr>
        <w:t> </w:t>
      </w:r>
      <w:r>
        <w:rPr>
          <w:color w:val="231F20"/>
          <w:w w:val="120"/>
        </w:rPr>
        <w:t>de</w:t>
      </w:r>
      <w:r>
        <w:rPr>
          <w:color w:val="231F20"/>
          <w:spacing w:val="-5"/>
          <w:w w:val="120"/>
        </w:rPr>
        <w:t> </w:t>
      </w:r>
      <w:r>
        <w:rPr>
          <w:color w:val="231F20"/>
          <w:w w:val="120"/>
        </w:rPr>
        <w:t>leur</w:t>
      </w:r>
      <w:r>
        <w:rPr>
          <w:color w:val="231F20"/>
          <w:spacing w:val="-5"/>
          <w:w w:val="120"/>
        </w:rPr>
        <w:t> </w:t>
      </w:r>
      <w:r>
        <w:rPr>
          <w:color w:val="231F20"/>
          <w:w w:val="120"/>
        </w:rPr>
        <w:t>travail,</w:t>
      </w:r>
      <w:r>
        <w:rPr>
          <w:color w:val="231F20"/>
          <w:spacing w:val="-5"/>
          <w:w w:val="120"/>
        </w:rPr>
        <w:t> </w:t>
      </w:r>
      <w:r>
        <w:rPr>
          <w:color w:val="231F20"/>
          <w:w w:val="120"/>
        </w:rPr>
        <w:t>sans les</w:t>
      </w:r>
      <w:r>
        <w:rPr>
          <w:color w:val="231F20"/>
          <w:spacing w:val="-13"/>
          <w:w w:val="120"/>
        </w:rPr>
        <w:t> </w:t>
      </w:r>
      <w:r>
        <w:rPr>
          <w:color w:val="231F20"/>
          <w:w w:val="120"/>
        </w:rPr>
        <w:t>y</w:t>
      </w:r>
      <w:r>
        <w:rPr>
          <w:color w:val="231F20"/>
          <w:spacing w:val="-13"/>
          <w:w w:val="120"/>
        </w:rPr>
        <w:t> </w:t>
      </w:r>
      <w:r>
        <w:rPr>
          <w:color w:val="231F20"/>
          <w:w w:val="120"/>
        </w:rPr>
        <w:t>préparer</w:t>
      </w:r>
      <w:r>
        <w:rPr>
          <w:color w:val="231F20"/>
          <w:spacing w:val="-13"/>
          <w:w w:val="120"/>
        </w:rPr>
        <w:t> </w:t>
      </w:r>
      <w:r>
        <w:rPr>
          <w:color w:val="231F20"/>
          <w:w w:val="120"/>
        </w:rPr>
        <w:t>adéquatement,</w:t>
      </w:r>
      <w:r>
        <w:rPr>
          <w:color w:val="231F20"/>
          <w:spacing w:val="-12"/>
          <w:w w:val="120"/>
        </w:rPr>
        <w:t> </w:t>
      </w:r>
      <w:r>
        <w:rPr>
          <w:color w:val="231F20"/>
          <w:w w:val="120"/>
        </w:rPr>
        <w:t>peut</w:t>
      </w:r>
      <w:r>
        <w:rPr>
          <w:color w:val="231F20"/>
          <w:spacing w:val="-13"/>
          <w:w w:val="120"/>
        </w:rPr>
        <w:t> </w:t>
      </w:r>
      <w:r>
        <w:rPr>
          <w:color w:val="231F20"/>
          <w:w w:val="120"/>
        </w:rPr>
        <w:t>devenir</w:t>
      </w:r>
      <w:r>
        <w:rPr>
          <w:color w:val="231F20"/>
          <w:spacing w:val="-13"/>
          <w:w w:val="120"/>
        </w:rPr>
        <w:t> </w:t>
      </w:r>
      <w:r>
        <w:rPr>
          <w:color w:val="231F20"/>
          <w:w w:val="120"/>
        </w:rPr>
        <w:t>en</w:t>
      </w:r>
      <w:r>
        <w:rPr>
          <w:color w:val="231F20"/>
          <w:spacing w:val="-12"/>
          <w:w w:val="120"/>
        </w:rPr>
        <w:t> </w:t>
      </w:r>
      <w:r>
        <w:rPr>
          <w:color w:val="231F20"/>
          <w:w w:val="120"/>
        </w:rPr>
        <w:t>soi</w:t>
      </w:r>
      <w:r>
        <w:rPr>
          <w:color w:val="231F20"/>
          <w:spacing w:val="-13"/>
          <w:w w:val="120"/>
        </w:rPr>
        <w:t> </w:t>
      </w:r>
      <w:r>
        <w:rPr>
          <w:color w:val="231F20"/>
          <w:w w:val="120"/>
        </w:rPr>
        <w:t>une</w:t>
      </w:r>
      <w:r>
        <w:rPr>
          <w:color w:val="231F20"/>
          <w:spacing w:val="-13"/>
          <w:w w:val="120"/>
        </w:rPr>
        <w:t> </w:t>
      </w:r>
      <w:r>
        <w:rPr>
          <w:color w:val="231F20"/>
          <w:w w:val="120"/>
        </w:rPr>
        <w:t>source</w:t>
      </w:r>
      <w:r>
        <w:rPr>
          <w:color w:val="231F20"/>
          <w:spacing w:val="-12"/>
          <w:w w:val="120"/>
        </w:rPr>
        <w:t> </w:t>
      </w:r>
      <w:r>
        <w:rPr>
          <w:color w:val="231F20"/>
          <w:w w:val="120"/>
        </w:rPr>
        <w:t>de</w:t>
      </w:r>
      <w:r>
        <w:rPr>
          <w:color w:val="231F20"/>
          <w:spacing w:val="-13"/>
          <w:w w:val="120"/>
        </w:rPr>
        <w:t> </w:t>
      </w:r>
      <w:r>
        <w:rPr>
          <w:color w:val="231F20"/>
          <w:w w:val="120"/>
        </w:rPr>
        <w:t>stress,</w:t>
      </w:r>
      <w:r>
        <w:rPr>
          <w:color w:val="231F20"/>
          <w:spacing w:val="-13"/>
          <w:w w:val="120"/>
        </w:rPr>
        <w:t> </w:t>
      </w:r>
      <w:r>
        <w:rPr>
          <w:color w:val="231F20"/>
          <w:w w:val="120"/>
        </w:rPr>
        <w:t>et avoir l’effet inverse que celui recherché.</w:t>
      </w:r>
    </w:p>
    <w:p>
      <w:pPr>
        <w:pStyle w:val="BodyText"/>
        <w:spacing w:before="7"/>
        <w:rPr>
          <w:sz w:val="21"/>
        </w:rPr>
      </w:pPr>
    </w:p>
    <w:p>
      <w:pPr>
        <w:pStyle w:val="BodyText"/>
        <w:spacing w:line="307" w:lineRule="auto"/>
        <w:ind w:left="1220" w:right="103"/>
        <w:jc w:val="both"/>
      </w:pPr>
      <w:r>
        <w:rPr>
          <w:b/>
          <w:color w:val="231F20"/>
          <w:spacing w:val="-2"/>
          <w:w w:val="115"/>
        </w:rPr>
        <w:t>Amélioration</w:t>
      </w:r>
      <w:r>
        <w:rPr>
          <w:b/>
          <w:color w:val="231F20"/>
          <w:spacing w:val="-11"/>
          <w:w w:val="115"/>
        </w:rPr>
        <w:t> </w:t>
      </w:r>
      <w:r>
        <w:rPr>
          <w:b/>
          <w:color w:val="231F20"/>
          <w:spacing w:val="-2"/>
          <w:w w:val="115"/>
        </w:rPr>
        <w:t>des</w:t>
      </w:r>
      <w:r>
        <w:rPr>
          <w:b/>
          <w:color w:val="231F20"/>
          <w:spacing w:val="-10"/>
          <w:w w:val="115"/>
        </w:rPr>
        <w:t> </w:t>
      </w:r>
      <w:r>
        <w:rPr>
          <w:b/>
          <w:color w:val="231F20"/>
          <w:spacing w:val="-2"/>
          <w:w w:val="115"/>
        </w:rPr>
        <w:t>systèmes</w:t>
      </w:r>
      <w:r>
        <w:rPr>
          <w:b/>
          <w:color w:val="231F20"/>
          <w:spacing w:val="-10"/>
          <w:w w:val="115"/>
        </w:rPr>
        <w:t> </w:t>
      </w:r>
      <w:r>
        <w:rPr>
          <w:b/>
          <w:color w:val="231F20"/>
          <w:spacing w:val="-2"/>
          <w:w w:val="115"/>
        </w:rPr>
        <w:t>d’information</w:t>
      </w:r>
      <w:r>
        <w:rPr>
          <w:color w:val="231F20"/>
          <w:spacing w:val="-2"/>
          <w:w w:val="115"/>
        </w:rPr>
        <w:t>.</w:t>
      </w:r>
      <w:r>
        <w:rPr>
          <w:color w:val="231F20"/>
          <w:spacing w:val="-7"/>
          <w:w w:val="115"/>
        </w:rPr>
        <w:t> </w:t>
      </w:r>
      <w:r>
        <w:rPr>
          <w:color w:val="231F20"/>
          <w:spacing w:val="-2"/>
          <w:w w:val="115"/>
        </w:rPr>
        <w:t>Comme</w:t>
      </w:r>
      <w:r>
        <w:rPr>
          <w:color w:val="231F20"/>
          <w:spacing w:val="-7"/>
          <w:w w:val="115"/>
        </w:rPr>
        <w:t> </w:t>
      </w:r>
      <w:r>
        <w:rPr>
          <w:color w:val="231F20"/>
          <w:spacing w:val="-2"/>
          <w:w w:val="115"/>
        </w:rPr>
        <w:t>les</w:t>
      </w:r>
      <w:r>
        <w:rPr>
          <w:color w:val="231F20"/>
          <w:spacing w:val="-7"/>
          <w:w w:val="115"/>
        </w:rPr>
        <w:t> </w:t>
      </w:r>
      <w:r>
        <w:rPr>
          <w:color w:val="231F20"/>
          <w:spacing w:val="-2"/>
          <w:w w:val="115"/>
        </w:rPr>
        <w:t>lacunes</w:t>
      </w:r>
      <w:r>
        <w:rPr>
          <w:color w:val="231F20"/>
          <w:spacing w:val="-7"/>
          <w:w w:val="115"/>
        </w:rPr>
        <w:t> </w:t>
      </w:r>
      <w:r>
        <w:rPr>
          <w:color w:val="231F20"/>
          <w:spacing w:val="-2"/>
          <w:w w:val="115"/>
        </w:rPr>
        <w:t>sur</w:t>
      </w:r>
      <w:r>
        <w:rPr>
          <w:color w:val="231F20"/>
          <w:spacing w:val="-7"/>
          <w:w w:val="115"/>
        </w:rPr>
        <w:t> </w:t>
      </w:r>
      <w:r>
        <w:rPr>
          <w:color w:val="231F20"/>
          <w:spacing w:val="-2"/>
          <w:w w:val="115"/>
        </w:rPr>
        <w:t>le</w:t>
      </w:r>
      <w:r>
        <w:rPr>
          <w:color w:val="231F20"/>
          <w:spacing w:val="-7"/>
          <w:w w:val="115"/>
        </w:rPr>
        <w:t> </w:t>
      </w:r>
      <w:r>
        <w:rPr>
          <w:color w:val="231F20"/>
          <w:spacing w:val="-2"/>
          <w:w w:val="115"/>
        </w:rPr>
        <w:t>plan </w:t>
      </w:r>
      <w:r>
        <w:rPr>
          <w:color w:val="231F20"/>
          <w:w w:val="120"/>
        </w:rPr>
        <w:t>de</w:t>
      </w:r>
      <w:r>
        <w:rPr>
          <w:color w:val="231F20"/>
          <w:spacing w:val="-2"/>
          <w:w w:val="120"/>
        </w:rPr>
        <w:t> </w:t>
      </w:r>
      <w:r>
        <w:rPr>
          <w:color w:val="231F20"/>
          <w:w w:val="120"/>
        </w:rPr>
        <w:t>l’information</w:t>
      </w:r>
      <w:r>
        <w:rPr>
          <w:color w:val="231F20"/>
          <w:spacing w:val="-2"/>
          <w:w w:val="120"/>
        </w:rPr>
        <w:t> </w:t>
      </w:r>
      <w:r>
        <w:rPr>
          <w:color w:val="231F20"/>
          <w:w w:val="120"/>
        </w:rPr>
        <w:t>et</w:t>
      </w:r>
      <w:r>
        <w:rPr>
          <w:color w:val="231F20"/>
          <w:spacing w:val="-2"/>
          <w:w w:val="120"/>
        </w:rPr>
        <w:t> </w:t>
      </w:r>
      <w:r>
        <w:rPr>
          <w:color w:val="231F20"/>
          <w:w w:val="120"/>
        </w:rPr>
        <w:t>de</w:t>
      </w:r>
      <w:r>
        <w:rPr>
          <w:color w:val="231F20"/>
          <w:spacing w:val="-2"/>
          <w:w w:val="120"/>
        </w:rPr>
        <w:t> </w:t>
      </w:r>
      <w:r>
        <w:rPr>
          <w:color w:val="231F20"/>
          <w:w w:val="120"/>
        </w:rPr>
        <w:t>la</w:t>
      </w:r>
      <w:r>
        <w:rPr>
          <w:color w:val="231F20"/>
          <w:spacing w:val="-2"/>
          <w:w w:val="120"/>
        </w:rPr>
        <w:t> </w:t>
      </w:r>
      <w:r>
        <w:rPr>
          <w:color w:val="231F20"/>
          <w:w w:val="120"/>
        </w:rPr>
        <w:t>communication</w:t>
      </w:r>
      <w:r>
        <w:rPr>
          <w:color w:val="231F20"/>
          <w:spacing w:val="-2"/>
          <w:w w:val="120"/>
        </w:rPr>
        <w:t> </w:t>
      </w:r>
      <w:r>
        <w:rPr>
          <w:color w:val="231F20"/>
          <w:w w:val="120"/>
        </w:rPr>
        <w:t>peuvent</w:t>
      </w:r>
      <w:r>
        <w:rPr>
          <w:color w:val="231F20"/>
          <w:spacing w:val="-2"/>
          <w:w w:val="120"/>
        </w:rPr>
        <w:t> </w:t>
      </w:r>
      <w:r>
        <w:rPr>
          <w:color w:val="231F20"/>
          <w:w w:val="120"/>
        </w:rPr>
        <w:t>occasionner</w:t>
      </w:r>
      <w:r>
        <w:rPr>
          <w:color w:val="231F20"/>
          <w:spacing w:val="-2"/>
          <w:w w:val="120"/>
        </w:rPr>
        <w:t> </w:t>
      </w:r>
      <w:r>
        <w:rPr>
          <w:color w:val="231F20"/>
          <w:w w:val="120"/>
        </w:rPr>
        <w:t>des</w:t>
      </w:r>
      <w:r>
        <w:rPr>
          <w:color w:val="231F20"/>
          <w:spacing w:val="-2"/>
          <w:w w:val="120"/>
        </w:rPr>
        <w:t> </w:t>
      </w:r>
      <w:r>
        <w:rPr>
          <w:color w:val="231F20"/>
          <w:w w:val="120"/>
        </w:rPr>
        <w:t>pro- blèmes de taille, il importe d’éviter ces problèmes en mettant en place des</w:t>
      </w:r>
      <w:r>
        <w:rPr>
          <w:color w:val="231F20"/>
          <w:spacing w:val="-3"/>
          <w:w w:val="120"/>
        </w:rPr>
        <w:t> </w:t>
      </w:r>
      <w:r>
        <w:rPr>
          <w:color w:val="231F20"/>
          <w:w w:val="120"/>
        </w:rPr>
        <w:t>systèmes</w:t>
      </w:r>
      <w:r>
        <w:rPr>
          <w:color w:val="231F20"/>
          <w:spacing w:val="-3"/>
          <w:w w:val="120"/>
        </w:rPr>
        <w:t> </w:t>
      </w:r>
      <w:r>
        <w:rPr>
          <w:color w:val="231F20"/>
          <w:w w:val="120"/>
        </w:rPr>
        <w:t>d’information</w:t>
      </w:r>
      <w:r>
        <w:rPr>
          <w:color w:val="231F20"/>
          <w:spacing w:val="-3"/>
          <w:w w:val="120"/>
        </w:rPr>
        <w:t> </w:t>
      </w:r>
      <w:r>
        <w:rPr>
          <w:color w:val="231F20"/>
          <w:w w:val="120"/>
        </w:rPr>
        <w:t>et</w:t>
      </w:r>
      <w:r>
        <w:rPr>
          <w:color w:val="231F20"/>
          <w:spacing w:val="-3"/>
          <w:w w:val="120"/>
        </w:rPr>
        <w:t> </w:t>
      </w:r>
      <w:r>
        <w:rPr>
          <w:color w:val="231F20"/>
          <w:w w:val="120"/>
        </w:rPr>
        <w:t>de</w:t>
      </w:r>
      <w:r>
        <w:rPr>
          <w:color w:val="231F20"/>
          <w:spacing w:val="-3"/>
          <w:w w:val="120"/>
        </w:rPr>
        <w:t> </w:t>
      </w:r>
      <w:r>
        <w:rPr>
          <w:color w:val="231F20"/>
          <w:w w:val="120"/>
        </w:rPr>
        <w:t>communication</w:t>
      </w:r>
      <w:r>
        <w:rPr>
          <w:color w:val="231F20"/>
          <w:spacing w:val="-3"/>
          <w:w w:val="120"/>
        </w:rPr>
        <w:t> </w:t>
      </w:r>
      <w:r>
        <w:rPr>
          <w:color w:val="231F20"/>
          <w:w w:val="120"/>
        </w:rPr>
        <w:t>(descendants,</w:t>
      </w:r>
      <w:r>
        <w:rPr>
          <w:color w:val="231F20"/>
          <w:spacing w:val="-3"/>
          <w:w w:val="120"/>
        </w:rPr>
        <w:t> </w:t>
      </w:r>
      <w:r>
        <w:rPr>
          <w:color w:val="231F20"/>
          <w:w w:val="120"/>
        </w:rPr>
        <w:t>ascen- </w:t>
      </w:r>
      <w:r>
        <w:rPr>
          <w:color w:val="231F20"/>
          <w:spacing w:val="-2"/>
          <w:w w:val="120"/>
        </w:rPr>
        <w:t>dants</w:t>
      </w:r>
      <w:r>
        <w:rPr>
          <w:color w:val="231F20"/>
          <w:spacing w:val="-3"/>
          <w:w w:val="120"/>
        </w:rPr>
        <w:t> </w:t>
      </w:r>
      <w:r>
        <w:rPr>
          <w:color w:val="231F20"/>
          <w:spacing w:val="-2"/>
          <w:w w:val="120"/>
        </w:rPr>
        <w:t>et</w:t>
      </w:r>
      <w:r>
        <w:rPr>
          <w:color w:val="231F20"/>
          <w:spacing w:val="-3"/>
          <w:w w:val="120"/>
        </w:rPr>
        <w:t> </w:t>
      </w:r>
      <w:r>
        <w:rPr>
          <w:color w:val="231F20"/>
          <w:spacing w:val="-2"/>
          <w:w w:val="120"/>
        </w:rPr>
        <w:t>horizontaux)</w:t>
      </w:r>
      <w:r>
        <w:rPr>
          <w:color w:val="231F20"/>
          <w:spacing w:val="-3"/>
          <w:w w:val="120"/>
        </w:rPr>
        <w:t> </w:t>
      </w:r>
      <w:r>
        <w:rPr>
          <w:color w:val="231F20"/>
          <w:spacing w:val="-2"/>
          <w:w w:val="120"/>
        </w:rPr>
        <w:t>efficaces,</w:t>
      </w:r>
      <w:r>
        <w:rPr>
          <w:color w:val="231F20"/>
          <w:spacing w:val="-3"/>
          <w:w w:val="120"/>
        </w:rPr>
        <w:t> </w:t>
      </w:r>
      <w:r>
        <w:rPr>
          <w:color w:val="231F20"/>
          <w:spacing w:val="-2"/>
          <w:w w:val="120"/>
        </w:rPr>
        <w:t>non</w:t>
      </w:r>
      <w:r>
        <w:rPr>
          <w:color w:val="231F20"/>
          <w:spacing w:val="-3"/>
          <w:w w:val="120"/>
        </w:rPr>
        <w:t> </w:t>
      </w:r>
      <w:r>
        <w:rPr>
          <w:color w:val="231F20"/>
          <w:spacing w:val="-2"/>
          <w:w w:val="120"/>
        </w:rPr>
        <w:t>seulement</w:t>
      </w:r>
      <w:r>
        <w:rPr>
          <w:color w:val="231F20"/>
          <w:spacing w:val="-3"/>
          <w:w w:val="120"/>
        </w:rPr>
        <w:t> </w:t>
      </w:r>
      <w:r>
        <w:rPr>
          <w:color w:val="231F20"/>
          <w:spacing w:val="-2"/>
          <w:w w:val="120"/>
        </w:rPr>
        <w:t>pour</w:t>
      </w:r>
      <w:r>
        <w:rPr>
          <w:color w:val="231F20"/>
          <w:spacing w:val="-3"/>
          <w:w w:val="120"/>
        </w:rPr>
        <w:t> </w:t>
      </w:r>
      <w:r>
        <w:rPr>
          <w:color w:val="231F20"/>
          <w:spacing w:val="-2"/>
          <w:w w:val="120"/>
        </w:rPr>
        <w:t>favoriser</w:t>
      </w:r>
      <w:r>
        <w:rPr>
          <w:color w:val="231F20"/>
          <w:spacing w:val="-3"/>
          <w:w w:val="120"/>
        </w:rPr>
        <w:t> </w:t>
      </w:r>
      <w:r>
        <w:rPr>
          <w:color w:val="231F20"/>
          <w:spacing w:val="-2"/>
          <w:w w:val="120"/>
        </w:rPr>
        <w:t>la</w:t>
      </w:r>
      <w:r>
        <w:rPr>
          <w:color w:val="231F20"/>
          <w:spacing w:val="-3"/>
          <w:w w:val="120"/>
        </w:rPr>
        <w:t> </w:t>
      </w:r>
      <w:r>
        <w:rPr>
          <w:color w:val="231F20"/>
          <w:spacing w:val="-2"/>
          <w:w w:val="120"/>
        </w:rPr>
        <w:t>produc- </w:t>
      </w:r>
      <w:r>
        <w:rPr>
          <w:color w:val="231F20"/>
          <w:w w:val="120"/>
        </w:rPr>
        <w:t>tivité,</w:t>
      </w:r>
      <w:r>
        <w:rPr>
          <w:color w:val="231F20"/>
          <w:spacing w:val="-5"/>
          <w:w w:val="120"/>
        </w:rPr>
        <w:t> </w:t>
      </w:r>
      <w:r>
        <w:rPr>
          <w:color w:val="231F20"/>
          <w:w w:val="120"/>
        </w:rPr>
        <w:t>mais</w:t>
      </w:r>
      <w:r>
        <w:rPr>
          <w:color w:val="231F20"/>
          <w:spacing w:val="-5"/>
          <w:w w:val="120"/>
        </w:rPr>
        <w:t> </w:t>
      </w:r>
      <w:r>
        <w:rPr>
          <w:color w:val="231F20"/>
          <w:w w:val="120"/>
        </w:rPr>
        <w:t>aussi</w:t>
      </w:r>
      <w:r>
        <w:rPr>
          <w:color w:val="231F20"/>
          <w:spacing w:val="-5"/>
          <w:w w:val="120"/>
        </w:rPr>
        <w:t> </w:t>
      </w:r>
      <w:r>
        <w:rPr>
          <w:color w:val="231F20"/>
          <w:w w:val="120"/>
        </w:rPr>
        <w:t>pour</w:t>
      </w:r>
      <w:r>
        <w:rPr>
          <w:color w:val="231F20"/>
          <w:spacing w:val="-5"/>
          <w:w w:val="120"/>
        </w:rPr>
        <w:t> </w:t>
      </w:r>
      <w:r>
        <w:rPr>
          <w:color w:val="231F20"/>
          <w:w w:val="120"/>
        </w:rPr>
        <w:t>répondre</w:t>
      </w:r>
      <w:r>
        <w:rPr>
          <w:color w:val="231F20"/>
          <w:spacing w:val="-5"/>
          <w:w w:val="120"/>
        </w:rPr>
        <w:t> </w:t>
      </w:r>
      <w:r>
        <w:rPr>
          <w:color w:val="231F20"/>
          <w:w w:val="120"/>
        </w:rPr>
        <w:t>aux</w:t>
      </w:r>
      <w:r>
        <w:rPr>
          <w:color w:val="231F20"/>
          <w:spacing w:val="-5"/>
          <w:w w:val="120"/>
        </w:rPr>
        <w:t> </w:t>
      </w:r>
      <w:r>
        <w:rPr>
          <w:color w:val="231F20"/>
          <w:w w:val="120"/>
        </w:rPr>
        <w:t>besoins</w:t>
      </w:r>
      <w:r>
        <w:rPr>
          <w:color w:val="231F20"/>
          <w:spacing w:val="-5"/>
          <w:w w:val="120"/>
        </w:rPr>
        <w:t> </w:t>
      </w:r>
      <w:r>
        <w:rPr>
          <w:color w:val="231F20"/>
          <w:w w:val="120"/>
        </w:rPr>
        <w:t>des</w:t>
      </w:r>
      <w:r>
        <w:rPr>
          <w:color w:val="231F20"/>
          <w:spacing w:val="-5"/>
          <w:w w:val="120"/>
        </w:rPr>
        <w:t> </w:t>
      </w:r>
      <w:r>
        <w:rPr>
          <w:color w:val="231F20"/>
          <w:w w:val="120"/>
        </w:rPr>
        <w:t>travailleurs</w:t>
      </w:r>
      <w:r>
        <w:rPr>
          <w:color w:val="231F20"/>
          <w:spacing w:val="-5"/>
          <w:w w:val="120"/>
        </w:rPr>
        <w:t> </w:t>
      </w:r>
      <w:r>
        <w:rPr>
          <w:color w:val="231F20"/>
          <w:w w:val="120"/>
        </w:rPr>
        <w:t>et</w:t>
      </w:r>
      <w:r>
        <w:rPr>
          <w:color w:val="231F20"/>
          <w:spacing w:val="-5"/>
          <w:w w:val="120"/>
        </w:rPr>
        <w:t> </w:t>
      </w:r>
      <w:r>
        <w:rPr>
          <w:color w:val="231F20"/>
          <w:w w:val="120"/>
        </w:rPr>
        <w:t>pour</w:t>
      </w:r>
      <w:r>
        <w:rPr>
          <w:color w:val="231F20"/>
          <w:spacing w:val="-5"/>
          <w:w w:val="120"/>
        </w:rPr>
        <w:t> </w:t>
      </w:r>
      <w:r>
        <w:rPr>
          <w:color w:val="231F20"/>
          <w:w w:val="120"/>
        </w:rPr>
        <w:t>les </w:t>
      </w:r>
      <w:r>
        <w:rPr>
          <w:color w:val="231F20"/>
          <w:spacing w:val="-2"/>
          <w:w w:val="120"/>
        </w:rPr>
        <w:t>aider</w:t>
      </w:r>
      <w:r>
        <w:rPr>
          <w:color w:val="231F20"/>
          <w:spacing w:val="-8"/>
          <w:w w:val="120"/>
        </w:rPr>
        <w:t> </w:t>
      </w:r>
      <w:r>
        <w:rPr>
          <w:color w:val="231F20"/>
          <w:spacing w:val="-2"/>
          <w:w w:val="120"/>
        </w:rPr>
        <w:t>à</w:t>
      </w:r>
      <w:r>
        <w:rPr>
          <w:color w:val="231F20"/>
          <w:spacing w:val="-8"/>
          <w:w w:val="120"/>
        </w:rPr>
        <w:t> </w:t>
      </w:r>
      <w:r>
        <w:rPr>
          <w:color w:val="231F20"/>
          <w:spacing w:val="-2"/>
          <w:w w:val="120"/>
        </w:rPr>
        <w:t>s’adapter.</w:t>
      </w:r>
      <w:r>
        <w:rPr>
          <w:color w:val="231F20"/>
          <w:spacing w:val="-8"/>
          <w:w w:val="120"/>
        </w:rPr>
        <w:t> </w:t>
      </w:r>
      <w:r>
        <w:rPr>
          <w:color w:val="231F20"/>
          <w:spacing w:val="-2"/>
          <w:w w:val="120"/>
        </w:rPr>
        <w:t>L’information</w:t>
      </w:r>
      <w:r>
        <w:rPr>
          <w:color w:val="231F20"/>
          <w:spacing w:val="-8"/>
          <w:w w:val="120"/>
        </w:rPr>
        <w:t> </w:t>
      </w:r>
      <w:r>
        <w:rPr>
          <w:color w:val="231F20"/>
          <w:spacing w:val="-2"/>
          <w:w w:val="120"/>
        </w:rPr>
        <w:t>est</w:t>
      </w:r>
      <w:r>
        <w:rPr>
          <w:color w:val="231F20"/>
          <w:spacing w:val="-8"/>
          <w:w w:val="120"/>
        </w:rPr>
        <w:t> </w:t>
      </w:r>
      <w:r>
        <w:rPr>
          <w:color w:val="231F20"/>
          <w:spacing w:val="-2"/>
          <w:w w:val="120"/>
        </w:rPr>
        <w:t>un</w:t>
      </w:r>
      <w:r>
        <w:rPr>
          <w:color w:val="231F20"/>
          <w:spacing w:val="-8"/>
          <w:w w:val="120"/>
        </w:rPr>
        <w:t> </w:t>
      </w:r>
      <w:r>
        <w:rPr>
          <w:color w:val="231F20"/>
          <w:spacing w:val="-2"/>
          <w:w w:val="120"/>
        </w:rPr>
        <w:t>élément</w:t>
      </w:r>
      <w:r>
        <w:rPr>
          <w:color w:val="231F20"/>
          <w:spacing w:val="-8"/>
          <w:w w:val="120"/>
        </w:rPr>
        <w:t> </w:t>
      </w:r>
      <w:r>
        <w:rPr>
          <w:color w:val="231F20"/>
          <w:spacing w:val="-2"/>
          <w:w w:val="120"/>
        </w:rPr>
        <w:t>essentiel</w:t>
      </w:r>
      <w:r>
        <w:rPr>
          <w:color w:val="231F20"/>
          <w:spacing w:val="-8"/>
          <w:w w:val="120"/>
        </w:rPr>
        <w:t> </w:t>
      </w:r>
      <w:r>
        <w:rPr>
          <w:color w:val="231F20"/>
          <w:spacing w:val="-2"/>
          <w:w w:val="120"/>
        </w:rPr>
        <w:t>pour</w:t>
      </w:r>
      <w:r>
        <w:rPr>
          <w:color w:val="231F20"/>
          <w:spacing w:val="-8"/>
          <w:w w:val="120"/>
        </w:rPr>
        <w:t> </w:t>
      </w:r>
      <w:r>
        <w:rPr>
          <w:color w:val="231F20"/>
          <w:spacing w:val="-2"/>
          <w:w w:val="120"/>
        </w:rPr>
        <w:t>procéder</w:t>
      </w:r>
      <w:r>
        <w:rPr>
          <w:color w:val="231F20"/>
          <w:spacing w:val="-8"/>
          <w:w w:val="120"/>
        </w:rPr>
        <w:t> </w:t>
      </w:r>
      <w:r>
        <w:rPr>
          <w:color w:val="231F20"/>
          <w:spacing w:val="-2"/>
          <w:w w:val="120"/>
        </w:rPr>
        <w:t>à </w:t>
      </w:r>
      <w:r>
        <w:rPr>
          <w:color w:val="231F20"/>
          <w:w w:val="120"/>
        </w:rPr>
        <w:t>une</w:t>
      </w:r>
      <w:r>
        <w:rPr>
          <w:color w:val="231F20"/>
          <w:spacing w:val="-1"/>
          <w:w w:val="120"/>
        </w:rPr>
        <w:t> </w:t>
      </w:r>
      <w:r>
        <w:rPr>
          <w:color w:val="231F20"/>
          <w:w w:val="120"/>
        </w:rPr>
        <w:t>juste</w:t>
      </w:r>
      <w:r>
        <w:rPr>
          <w:color w:val="231F20"/>
          <w:spacing w:val="-1"/>
          <w:w w:val="120"/>
        </w:rPr>
        <w:t> </w:t>
      </w:r>
      <w:r>
        <w:rPr>
          <w:color w:val="231F20"/>
          <w:w w:val="120"/>
        </w:rPr>
        <w:t>évaluation</w:t>
      </w:r>
      <w:r>
        <w:rPr>
          <w:color w:val="231F20"/>
          <w:spacing w:val="-1"/>
          <w:w w:val="120"/>
        </w:rPr>
        <w:t> </w:t>
      </w:r>
      <w:r>
        <w:rPr>
          <w:color w:val="231F20"/>
          <w:w w:val="120"/>
        </w:rPr>
        <w:t>de</w:t>
      </w:r>
      <w:r>
        <w:rPr>
          <w:color w:val="231F20"/>
          <w:spacing w:val="-1"/>
          <w:w w:val="120"/>
        </w:rPr>
        <w:t> </w:t>
      </w:r>
      <w:r>
        <w:rPr>
          <w:color w:val="231F20"/>
          <w:w w:val="120"/>
        </w:rPr>
        <w:t>son</w:t>
      </w:r>
      <w:r>
        <w:rPr>
          <w:color w:val="231F20"/>
          <w:spacing w:val="-1"/>
          <w:w w:val="120"/>
        </w:rPr>
        <w:t> </w:t>
      </w:r>
      <w:r>
        <w:rPr>
          <w:color w:val="231F20"/>
          <w:w w:val="120"/>
        </w:rPr>
        <w:t>environnement</w:t>
      </w:r>
      <w:r>
        <w:rPr>
          <w:color w:val="231F20"/>
          <w:spacing w:val="-1"/>
          <w:w w:val="120"/>
        </w:rPr>
        <w:t> </w:t>
      </w:r>
      <w:r>
        <w:rPr>
          <w:color w:val="231F20"/>
          <w:w w:val="120"/>
        </w:rPr>
        <w:t>de</w:t>
      </w:r>
      <w:r>
        <w:rPr>
          <w:color w:val="231F20"/>
          <w:spacing w:val="-1"/>
          <w:w w:val="120"/>
        </w:rPr>
        <w:t> </w:t>
      </w:r>
      <w:r>
        <w:rPr>
          <w:color w:val="231F20"/>
          <w:w w:val="120"/>
        </w:rPr>
        <w:t>travail</w:t>
      </w:r>
      <w:r>
        <w:rPr>
          <w:color w:val="231F20"/>
          <w:spacing w:val="-1"/>
          <w:w w:val="120"/>
        </w:rPr>
        <w:t> </w:t>
      </w:r>
      <w:r>
        <w:rPr>
          <w:color w:val="231F20"/>
          <w:w w:val="120"/>
        </w:rPr>
        <w:t>et</w:t>
      </w:r>
      <w:r>
        <w:rPr>
          <w:color w:val="231F20"/>
          <w:spacing w:val="-1"/>
          <w:w w:val="120"/>
        </w:rPr>
        <w:t> </w:t>
      </w:r>
      <w:r>
        <w:rPr>
          <w:color w:val="231F20"/>
          <w:w w:val="120"/>
        </w:rPr>
        <w:t>ainsi</w:t>
      </w:r>
      <w:r>
        <w:rPr>
          <w:color w:val="231F20"/>
          <w:spacing w:val="-1"/>
          <w:w w:val="120"/>
        </w:rPr>
        <w:t> </w:t>
      </w:r>
      <w:r>
        <w:rPr>
          <w:color w:val="231F20"/>
          <w:w w:val="120"/>
        </w:rPr>
        <w:t>limiter</w:t>
      </w:r>
      <w:r>
        <w:rPr>
          <w:color w:val="231F20"/>
          <w:spacing w:val="-1"/>
          <w:w w:val="120"/>
        </w:rPr>
        <w:t> </w:t>
      </w:r>
      <w:r>
        <w:rPr>
          <w:color w:val="231F20"/>
          <w:w w:val="120"/>
        </w:rPr>
        <w:t>la perception des stresseurs.</w:t>
      </w:r>
    </w:p>
    <w:p>
      <w:pPr>
        <w:pStyle w:val="BodyText"/>
        <w:spacing w:line="307" w:lineRule="auto" w:before="79"/>
        <w:ind w:left="1220" w:right="106" w:firstLine="250"/>
        <w:jc w:val="both"/>
      </w:pPr>
      <w:r>
        <w:rPr>
          <w:color w:val="231F20"/>
          <w:w w:val="115"/>
        </w:rPr>
        <w:t>Une exigence de travail donnée consiste, pour la personne concernée, </w:t>
      </w:r>
      <w:r>
        <w:rPr>
          <w:color w:val="231F20"/>
          <w:w w:val="120"/>
        </w:rPr>
        <w:t>à</w:t>
      </w:r>
      <w:r>
        <w:rPr>
          <w:color w:val="231F20"/>
          <w:spacing w:val="-9"/>
          <w:w w:val="120"/>
        </w:rPr>
        <w:t> </w:t>
      </w:r>
      <w:r>
        <w:rPr>
          <w:color w:val="231F20"/>
          <w:w w:val="120"/>
        </w:rPr>
        <w:t>exécuter</w:t>
      </w:r>
      <w:r>
        <w:rPr>
          <w:color w:val="231F20"/>
          <w:spacing w:val="-9"/>
          <w:w w:val="120"/>
        </w:rPr>
        <w:t> </w:t>
      </w:r>
      <w:r>
        <w:rPr>
          <w:color w:val="231F20"/>
          <w:w w:val="120"/>
        </w:rPr>
        <w:t>une</w:t>
      </w:r>
      <w:r>
        <w:rPr>
          <w:color w:val="231F20"/>
          <w:spacing w:val="-9"/>
          <w:w w:val="120"/>
        </w:rPr>
        <w:t> </w:t>
      </w:r>
      <w:r>
        <w:rPr>
          <w:color w:val="231F20"/>
          <w:w w:val="120"/>
        </w:rPr>
        <w:t>tâche</w:t>
      </w:r>
      <w:r>
        <w:rPr>
          <w:color w:val="231F20"/>
          <w:spacing w:val="-9"/>
          <w:w w:val="120"/>
        </w:rPr>
        <w:t> </w:t>
      </w:r>
      <w:r>
        <w:rPr>
          <w:color w:val="231F20"/>
          <w:w w:val="120"/>
        </w:rPr>
        <w:t>particulière.</w:t>
      </w:r>
      <w:r>
        <w:rPr>
          <w:color w:val="231F20"/>
          <w:spacing w:val="-9"/>
          <w:w w:val="120"/>
        </w:rPr>
        <w:t> </w:t>
      </w:r>
      <w:r>
        <w:rPr>
          <w:color w:val="231F20"/>
          <w:w w:val="120"/>
        </w:rPr>
        <w:t>Les</w:t>
      </w:r>
      <w:r>
        <w:rPr>
          <w:color w:val="231F20"/>
          <w:spacing w:val="-9"/>
          <w:w w:val="120"/>
        </w:rPr>
        <w:t> </w:t>
      </w:r>
      <w:r>
        <w:rPr>
          <w:color w:val="231F20"/>
          <w:w w:val="120"/>
        </w:rPr>
        <w:t>situations</w:t>
      </w:r>
      <w:r>
        <w:rPr>
          <w:color w:val="231F20"/>
          <w:spacing w:val="-9"/>
          <w:w w:val="120"/>
        </w:rPr>
        <w:t> </w:t>
      </w:r>
      <w:r>
        <w:rPr>
          <w:color w:val="231F20"/>
          <w:w w:val="120"/>
        </w:rPr>
        <w:t>qui</w:t>
      </w:r>
      <w:r>
        <w:rPr>
          <w:color w:val="231F20"/>
          <w:spacing w:val="-9"/>
          <w:w w:val="120"/>
        </w:rPr>
        <w:t> </w:t>
      </w:r>
      <w:r>
        <w:rPr>
          <w:color w:val="231F20"/>
          <w:w w:val="120"/>
        </w:rPr>
        <w:t>se</w:t>
      </w:r>
      <w:r>
        <w:rPr>
          <w:color w:val="231F20"/>
          <w:spacing w:val="-9"/>
          <w:w w:val="120"/>
        </w:rPr>
        <w:t> </w:t>
      </w:r>
      <w:r>
        <w:rPr>
          <w:color w:val="231F20"/>
          <w:w w:val="120"/>
        </w:rPr>
        <w:t>caractérisent</w:t>
      </w:r>
      <w:r>
        <w:rPr>
          <w:color w:val="231F20"/>
          <w:spacing w:val="-9"/>
          <w:w w:val="120"/>
        </w:rPr>
        <w:t> </w:t>
      </w:r>
      <w:r>
        <w:rPr>
          <w:color w:val="231F20"/>
          <w:w w:val="120"/>
        </w:rPr>
        <w:t>par </w:t>
      </w:r>
      <w:r>
        <w:rPr>
          <w:color w:val="231F20"/>
          <w:w w:val="115"/>
        </w:rPr>
        <w:t>des</w:t>
      </w:r>
      <w:r>
        <w:rPr>
          <w:color w:val="231F20"/>
          <w:spacing w:val="-11"/>
          <w:w w:val="115"/>
        </w:rPr>
        <w:t> </w:t>
      </w:r>
      <w:r>
        <w:rPr>
          <w:color w:val="231F20"/>
          <w:w w:val="115"/>
        </w:rPr>
        <w:t>attentes</w:t>
      </w:r>
      <w:r>
        <w:rPr>
          <w:color w:val="231F20"/>
          <w:spacing w:val="-11"/>
          <w:w w:val="115"/>
        </w:rPr>
        <w:t> </w:t>
      </w:r>
      <w:r>
        <w:rPr>
          <w:color w:val="231F20"/>
          <w:w w:val="115"/>
        </w:rPr>
        <w:t>mal</w:t>
      </w:r>
      <w:r>
        <w:rPr>
          <w:color w:val="231F20"/>
          <w:spacing w:val="-11"/>
          <w:w w:val="115"/>
        </w:rPr>
        <w:t> </w:t>
      </w:r>
      <w:r>
        <w:rPr>
          <w:color w:val="231F20"/>
          <w:w w:val="115"/>
        </w:rPr>
        <w:t>définies</w:t>
      </w:r>
      <w:r>
        <w:rPr>
          <w:color w:val="231F20"/>
          <w:spacing w:val="-11"/>
          <w:w w:val="115"/>
        </w:rPr>
        <w:t> </w:t>
      </w:r>
      <w:r>
        <w:rPr>
          <w:color w:val="231F20"/>
          <w:w w:val="115"/>
        </w:rPr>
        <w:t>à</w:t>
      </w:r>
      <w:r>
        <w:rPr>
          <w:color w:val="231F20"/>
          <w:spacing w:val="-11"/>
          <w:w w:val="115"/>
        </w:rPr>
        <w:t> </w:t>
      </w:r>
      <w:r>
        <w:rPr>
          <w:color w:val="231F20"/>
          <w:w w:val="115"/>
        </w:rPr>
        <w:t>l’endroit</w:t>
      </w:r>
      <w:r>
        <w:rPr>
          <w:color w:val="231F20"/>
          <w:spacing w:val="-11"/>
          <w:w w:val="115"/>
        </w:rPr>
        <w:t> </w:t>
      </w:r>
      <w:r>
        <w:rPr>
          <w:color w:val="231F20"/>
          <w:w w:val="115"/>
        </w:rPr>
        <w:t>du</w:t>
      </w:r>
      <w:r>
        <w:rPr>
          <w:color w:val="231F20"/>
          <w:spacing w:val="-11"/>
          <w:w w:val="115"/>
        </w:rPr>
        <w:t> </w:t>
      </w:r>
      <w:r>
        <w:rPr>
          <w:color w:val="231F20"/>
          <w:w w:val="115"/>
        </w:rPr>
        <w:t>travailleur,</w:t>
      </w:r>
      <w:r>
        <w:rPr>
          <w:color w:val="231F20"/>
          <w:spacing w:val="-11"/>
          <w:w w:val="115"/>
        </w:rPr>
        <w:t> </w:t>
      </w:r>
      <w:r>
        <w:rPr>
          <w:color w:val="231F20"/>
          <w:w w:val="115"/>
        </w:rPr>
        <w:t>l’ambiguïté</w:t>
      </w:r>
      <w:r>
        <w:rPr>
          <w:color w:val="231F20"/>
          <w:spacing w:val="-11"/>
          <w:w w:val="115"/>
        </w:rPr>
        <w:t> </w:t>
      </w:r>
      <w:r>
        <w:rPr>
          <w:color w:val="231F20"/>
          <w:w w:val="115"/>
        </w:rPr>
        <w:t>de</w:t>
      </w:r>
      <w:r>
        <w:rPr>
          <w:color w:val="231F20"/>
          <w:spacing w:val="-11"/>
          <w:w w:val="115"/>
        </w:rPr>
        <w:t> </w:t>
      </w:r>
      <w:r>
        <w:rPr>
          <w:color w:val="231F20"/>
          <w:w w:val="115"/>
        </w:rPr>
        <w:t>son</w:t>
      </w:r>
      <w:r>
        <w:rPr>
          <w:color w:val="231F20"/>
          <w:spacing w:val="-11"/>
          <w:w w:val="115"/>
        </w:rPr>
        <w:t> </w:t>
      </w:r>
      <w:r>
        <w:rPr>
          <w:color w:val="231F20"/>
          <w:w w:val="115"/>
        </w:rPr>
        <w:t>rôle, </w:t>
      </w:r>
      <w:r>
        <w:rPr>
          <w:color w:val="231F20"/>
          <w:w w:val="120"/>
        </w:rPr>
        <w:t>le</w:t>
      </w:r>
      <w:r>
        <w:rPr>
          <w:color w:val="231F20"/>
          <w:spacing w:val="-8"/>
          <w:w w:val="120"/>
        </w:rPr>
        <w:t> </w:t>
      </w:r>
      <w:r>
        <w:rPr>
          <w:color w:val="231F20"/>
          <w:w w:val="120"/>
        </w:rPr>
        <w:t>conflit</w:t>
      </w:r>
      <w:r>
        <w:rPr>
          <w:color w:val="231F20"/>
          <w:spacing w:val="-8"/>
          <w:w w:val="120"/>
        </w:rPr>
        <w:t> </w:t>
      </w:r>
      <w:r>
        <w:rPr>
          <w:color w:val="231F20"/>
          <w:w w:val="120"/>
        </w:rPr>
        <w:t>de</w:t>
      </w:r>
      <w:r>
        <w:rPr>
          <w:color w:val="231F20"/>
          <w:spacing w:val="-8"/>
          <w:w w:val="120"/>
        </w:rPr>
        <w:t> </w:t>
      </w:r>
      <w:r>
        <w:rPr>
          <w:color w:val="231F20"/>
          <w:w w:val="120"/>
        </w:rPr>
        <w:t>rôle</w:t>
      </w:r>
      <w:r>
        <w:rPr>
          <w:color w:val="231F20"/>
          <w:spacing w:val="-8"/>
          <w:w w:val="120"/>
        </w:rPr>
        <w:t> </w:t>
      </w:r>
      <w:r>
        <w:rPr>
          <w:color w:val="231F20"/>
          <w:w w:val="120"/>
        </w:rPr>
        <w:t>ou</w:t>
      </w:r>
      <w:r>
        <w:rPr>
          <w:color w:val="231F20"/>
          <w:spacing w:val="-8"/>
          <w:w w:val="120"/>
        </w:rPr>
        <w:t> </w:t>
      </w:r>
      <w:r>
        <w:rPr>
          <w:color w:val="231F20"/>
          <w:w w:val="120"/>
        </w:rPr>
        <w:t>le</w:t>
      </w:r>
      <w:r>
        <w:rPr>
          <w:color w:val="231F20"/>
          <w:spacing w:val="-8"/>
          <w:w w:val="120"/>
        </w:rPr>
        <w:t> </w:t>
      </w:r>
      <w:r>
        <w:rPr>
          <w:color w:val="231F20"/>
          <w:w w:val="120"/>
        </w:rPr>
        <w:t>manque</w:t>
      </w:r>
      <w:r>
        <w:rPr>
          <w:color w:val="231F20"/>
          <w:spacing w:val="-8"/>
          <w:w w:val="120"/>
        </w:rPr>
        <w:t> </w:t>
      </w:r>
      <w:r>
        <w:rPr>
          <w:color w:val="231F20"/>
          <w:w w:val="120"/>
        </w:rPr>
        <w:t>de</w:t>
      </w:r>
      <w:r>
        <w:rPr>
          <w:color w:val="231F20"/>
          <w:spacing w:val="-8"/>
          <w:w w:val="120"/>
        </w:rPr>
        <w:t> </w:t>
      </w:r>
      <w:r>
        <w:rPr>
          <w:color w:val="231F20"/>
          <w:w w:val="120"/>
        </w:rPr>
        <w:t>fluidité</w:t>
      </w:r>
      <w:r>
        <w:rPr>
          <w:color w:val="231F20"/>
          <w:spacing w:val="-8"/>
          <w:w w:val="120"/>
        </w:rPr>
        <w:t> </w:t>
      </w:r>
      <w:r>
        <w:rPr>
          <w:color w:val="231F20"/>
          <w:w w:val="120"/>
        </w:rPr>
        <w:t>des</w:t>
      </w:r>
      <w:r>
        <w:rPr>
          <w:color w:val="231F20"/>
          <w:spacing w:val="-8"/>
          <w:w w:val="120"/>
        </w:rPr>
        <w:t> </w:t>
      </w:r>
      <w:r>
        <w:rPr>
          <w:color w:val="231F20"/>
          <w:w w:val="120"/>
        </w:rPr>
        <w:t>communications</w:t>
      </w:r>
      <w:r>
        <w:rPr>
          <w:color w:val="231F20"/>
          <w:spacing w:val="-8"/>
          <w:w w:val="120"/>
        </w:rPr>
        <w:t> </w:t>
      </w:r>
      <w:r>
        <w:rPr>
          <w:color w:val="231F20"/>
          <w:w w:val="120"/>
        </w:rPr>
        <w:t>figurent parmi</w:t>
      </w:r>
      <w:r>
        <w:rPr>
          <w:color w:val="231F20"/>
          <w:spacing w:val="-11"/>
          <w:w w:val="120"/>
        </w:rPr>
        <w:t> </w:t>
      </w:r>
      <w:r>
        <w:rPr>
          <w:color w:val="231F20"/>
          <w:w w:val="120"/>
        </w:rPr>
        <w:t>les</w:t>
      </w:r>
      <w:r>
        <w:rPr>
          <w:color w:val="231F20"/>
          <w:spacing w:val="-11"/>
          <w:w w:val="120"/>
        </w:rPr>
        <w:t> </w:t>
      </w:r>
      <w:r>
        <w:rPr>
          <w:color w:val="231F20"/>
          <w:w w:val="120"/>
        </w:rPr>
        <w:t>principaux</w:t>
      </w:r>
      <w:r>
        <w:rPr>
          <w:color w:val="231F20"/>
          <w:spacing w:val="-11"/>
          <w:w w:val="120"/>
        </w:rPr>
        <w:t> </w:t>
      </w:r>
      <w:r>
        <w:rPr>
          <w:color w:val="231F20"/>
          <w:w w:val="120"/>
        </w:rPr>
        <w:t>agents</w:t>
      </w:r>
      <w:r>
        <w:rPr>
          <w:color w:val="231F20"/>
          <w:spacing w:val="-10"/>
          <w:w w:val="120"/>
        </w:rPr>
        <w:t> </w:t>
      </w:r>
      <w:r>
        <w:rPr>
          <w:color w:val="231F20"/>
          <w:w w:val="120"/>
        </w:rPr>
        <w:t>stressants</w:t>
      </w:r>
      <w:r>
        <w:rPr>
          <w:color w:val="231F20"/>
          <w:spacing w:val="-11"/>
          <w:w w:val="120"/>
        </w:rPr>
        <w:t> </w:t>
      </w:r>
      <w:r>
        <w:rPr>
          <w:color w:val="231F20"/>
          <w:w w:val="120"/>
        </w:rPr>
        <w:t>en</w:t>
      </w:r>
      <w:r>
        <w:rPr>
          <w:color w:val="231F20"/>
          <w:spacing w:val="-11"/>
          <w:w w:val="120"/>
        </w:rPr>
        <w:t> </w:t>
      </w:r>
      <w:r>
        <w:rPr>
          <w:color w:val="231F20"/>
          <w:w w:val="120"/>
        </w:rPr>
        <w:t>milieu</w:t>
      </w:r>
      <w:r>
        <w:rPr>
          <w:color w:val="231F20"/>
          <w:spacing w:val="-11"/>
          <w:w w:val="120"/>
        </w:rPr>
        <w:t> </w:t>
      </w:r>
      <w:r>
        <w:rPr>
          <w:color w:val="231F20"/>
          <w:w w:val="120"/>
        </w:rPr>
        <w:t>de</w:t>
      </w:r>
      <w:r>
        <w:rPr>
          <w:color w:val="231F20"/>
          <w:spacing w:val="-10"/>
          <w:w w:val="120"/>
        </w:rPr>
        <w:t> </w:t>
      </w:r>
      <w:r>
        <w:rPr>
          <w:color w:val="231F20"/>
          <w:w w:val="120"/>
        </w:rPr>
        <w:t>travail.</w:t>
      </w:r>
      <w:r>
        <w:rPr>
          <w:color w:val="231F20"/>
          <w:spacing w:val="-11"/>
          <w:w w:val="120"/>
        </w:rPr>
        <w:t> </w:t>
      </w:r>
      <w:r>
        <w:rPr>
          <w:color w:val="231F20"/>
          <w:w w:val="120"/>
        </w:rPr>
        <w:t>C’est</w:t>
      </w:r>
      <w:r>
        <w:rPr>
          <w:color w:val="231F20"/>
          <w:spacing w:val="-11"/>
          <w:w w:val="120"/>
        </w:rPr>
        <w:t> </w:t>
      </w:r>
      <w:r>
        <w:rPr>
          <w:color w:val="231F20"/>
          <w:spacing w:val="-2"/>
          <w:w w:val="120"/>
        </w:rPr>
        <w:t>quand</w:t>
      </w:r>
    </w:p>
    <w:p>
      <w:pPr>
        <w:pStyle w:val="BodyText"/>
        <w:rPr>
          <w:sz w:val="20"/>
        </w:rPr>
      </w:pPr>
    </w:p>
    <w:p>
      <w:pPr>
        <w:pStyle w:val="BodyText"/>
        <w:rPr>
          <w:sz w:val="28"/>
        </w:rPr>
      </w:pPr>
      <w:r>
        <w:rPr/>
        <w:pict>
          <v:shape style="position:absolute;margin-left:82pt;margin-top:17.321232pt;width:287.5pt;height:.1pt;mso-position-horizontal-relative:page;mso-position-vertical-relative:paragraph;z-index:-15619584;mso-wrap-distance-left:0;mso-wrap-distance-right:0" id="docshape1109" coordorigin="1640,346" coordsize="5750,0" path="m1640,346l7390,346e" filled="false" stroked="true" strokeweight=".25pt" strokecolor="#231f20">
            <v:path arrowok="t"/>
            <v:stroke dashstyle="shortdot"/>
            <w10:wrap type="topAndBottom"/>
          </v:shape>
        </w:pict>
      </w:r>
    </w:p>
    <w:p>
      <w:pPr>
        <w:pStyle w:val="ListParagraph"/>
        <w:numPr>
          <w:ilvl w:val="0"/>
          <w:numId w:val="84"/>
        </w:numPr>
        <w:tabs>
          <w:tab w:pos="1220" w:val="left" w:leader="none"/>
        </w:tabs>
        <w:spacing w:line="295" w:lineRule="auto" w:before="135" w:after="0"/>
        <w:ind w:left="1219" w:right="104" w:hanging="406"/>
        <w:jc w:val="both"/>
        <w:rPr>
          <w:rFonts w:ascii="Arial"/>
          <w:sz w:val="12"/>
        </w:rPr>
      </w:pPr>
      <w:r>
        <w:rPr>
          <w:rFonts w:ascii="Arial"/>
          <w:color w:val="231F20"/>
          <w:sz w:val="12"/>
        </w:rPr>
        <w:t>Par</w:t>
      </w:r>
      <w:r>
        <w:rPr>
          <w:rFonts w:ascii="Arial"/>
          <w:color w:val="231F20"/>
          <w:spacing w:val="-9"/>
          <w:sz w:val="12"/>
        </w:rPr>
        <w:t> </w:t>
      </w:r>
      <w:r>
        <w:rPr>
          <w:rFonts w:ascii="Arial"/>
          <w:color w:val="231F20"/>
          <w:sz w:val="12"/>
        </w:rPr>
        <w:t>exemple: Karasek, R. A. (1979). Job demands, job decision latitude, and mental strain</w:t>
      </w:r>
      <w:r>
        <w:rPr>
          <w:rFonts w:ascii="Arial"/>
          <w:color w:val="231F20"/>
          <w:spacing w:val="-9"/>
          <w:sz w:val="12"/>
        </w:rPr>
        <w:t> </w:t>
      </w:r>
      <w:r>
        <w:rPr>
          <w:rFonts w:ascii="Arial"/>
          <w:color w:val="231F20"/>
          <w:sz w:val="12"/>
        </w:rPr>
        <w:t>: Implications for</w:t>
      </w:r>
      <w:r>
        <w:rPr>
          <w:rFonts w:ascii="Arial"/>
          <w:color w:val="231F20"/>
          <w:spacing w:val="40"/>
          <w:sz w:val="12"/>
        </w:rPr>
        <w:t> </w:t>
      </w:r>
      <w:r>
        <w:rPr>
          <w:rFonts w:ascii="Arial"/>
          <w:color w:val="231F20"/>
          <w:sz w:val="12"/>
        </w:rPr>
        <w:t>job</w:t>
      </w:r>
      <w:r>
        <w:rPr>
          <w:rFonts w:ascii="Arial"/>
          <w:color w:val="231F20"/>
          <w:spacing w:val="-9"/>
          <w:sz w:val="12"/>
        </w:rPr>
        <w:t> </w:t>
      </w:r>
      <w:r>
        <w:rPr>
          <w:rFonts w:ascii="Arial"/>
          <w:color w:val="231F20"/>
          <w:sz w:val="12"/>
        </w:rPr>
        <w:t>redesign,</w:t>
      </w:r>
      <w:r>
        <w:rPr>
          <w:rFonts w:ascii="Arial"/>
          <w:color w:val="231F20"/>
          <w:spacing w:val="-8"/>
          <w:sz w:val="12"/>
        </w:rPr>
        <w:t> </w:t>
      </w:r>
      <w:r>
        <w:rPr>
          <w:rFonts w:ascii="Arial"/>
          <w:i/>
          <w:color w:val="231F20"/>
          <w:sz w:val="12"/>
        </w:rPr>
        <w:t>Administrative</w:t>
      </w:r>
      <w:r>
        <w:rPr>
          <w:rFonts w:ascii="Arial"/>
          <w:i/>
          <w:color w:val="231F20"/>
          <w:spacing w:val="-6"/>
          <w:sz w:val="12"/>
        </w:rPr>
        <w:t> </w:t>
      </w:r>
      <w:r>
        <w:rPr>
          <w:rFonts w:ascii="Arial"/>
          <w:i/>
          <w:color w:val="231F20"/>
          <w:sz w:val="12"/>
        </w:rPr>
        <w:t>Science</w:t>
      </w:r>
      <w:r>
        <w:rPr>
          <w:rFonts w:ascii="Arial"/>
          <w:i/>
          <w:color w:val="231F20"/>
          <w:spacing w:val="-3"/>
          <w:sz w:val="12"/>
        </w:rPr>
        <w:t> </w:t>
      </w:r>
      <w:r>
        <w:rPr>
          <w:rFonts w:ascii="Arial"/>
          <w:i/>
          <w:color w:val="231F20"/>
          <w:sz w:val="12"/>
        </w:rPr>
        <w:t>Quarterly</w:t>
      </w:r>
      <w:r>
        <w:rPr>
          <w:rFonts w:ascii="Arial"/>
          <w:color w:val="231F20"/>
          <w:sz w:val="12"/>
        </w:rPr>
        <w:t>,</w:t>
      </w:r>
      <w:r>
        <w:rPr>
          <w:rFonts w:ascii="Arial"/>
          <w:color w:val="231F20"/>
          <w:spacing w:val="-3"/>
          <w:sz w:val="12"/>
        </w:rPr>
        <w:t> </w:t>
      </w:r>
      <w:r>
        <w:rPr>
          <w:rFonts w:ascii="Arial"/>
          <w:i/>
          <w:color w:val="231F20"/>
          <w:sz w:val="12"/>
        </w:rPr>
        <w:t>24</w:t>
      </w:r>
      <w:r>
        <w:rPr>
          <w:rFonts w:ascii="Arial"/>
          <w:color w:val="231F20"/>
          <w:sz w:val="12"/>
        </w:rPr>
        <w:t>,</w:t>
      </w:r>
      <w:r>
        <w:rPr>
          <w:rFonts w:ascii="Arial"/>
          <w:color w:val="231F20"/>
          <w:spacing w:val="-3"/>
          <w:sz w:val="12"/>
        </w:rPr>
        <w:t> </w:t>
      </w:r>
      <w:r>
        <w:rPr>
          <w:rFonts w:ascii="Arial"/>
          <w:color w:val="231F20"/>
          <w:sz w:val="12"/>
        </w:rPr>
        <w:t>285-306</w:t>
      </w:r>
      <w:r>
        <w:rPr>
          <w:rFonts w:ascii="Arial"/>
          <w:color w:val="231F20"/>
          <w:spacing w:val="-9"/>
          <w:sz w:val="12"/>
        </w:rPr>
        <w:t> </w:t>
      </w:r>
      <w:r>
        <w:rPr>
          <w:rFonts w:ascii="Arial"/>
          <w:color w:val="231F20"/>
          <w:sz w:val="12"/>
        </w:rPr>
        <w:t>;</w:t>
      </w:r>
      <w:r>
        <w:rPr>
          <w:rFonts w:ascii="Arial"/>
          <w:color w:val="231F20"/>
          <w:spacing w:val="-2"/>
          <w:sz w:val="12"/>
        </w:rPr>
        <w:t> </w:t>
      </w:r>
      <w:r>
        <w:rPr>
          <w:rFonts w:ascii="Arial"/>
          <w:color w:val="231F20"/>
          <w:sz w:val="12"/>
        </w:rPr>
        <w:t>Karasek,</w:t>
      </w:r>
      <w:r>
        <w:rPr>
          <w:rFonts w:ascii="Arial"/>
          <w:color w:val="231F20"/>
          <w:spacing w:val="-3"/>
          <w:sz w:val="12"/>
        </w:rPr>
        <w:t> </w:t>
      </w:r>
      <w:r>
        <w:rPr>
          <w:rFonts w:ascii="Arial"/>
          <w:color w:val="231F20"/>
          <w:sz w:val="12"/>
        </w:rPr>
        <w:t>R.</w:t>
      </w:r>
      <w:r>
        <w:rPr>
          <w:rFonts w:ascii="Arial"/>
          <w:color w:val="231F20"/>
          <w:spacing w:val="-3"/>
          <w:sz w:val="12"/>
        </w:rPr>
        <w:t> </w:t>
      </w:r>
      <w:r>
        <w:rPr>
          <w:rFonts w:ascii="Arial"/>
          <w:color w:val="231F20"/>
          <w:sz w:val="12"/>
        </w:rPr>
        <w:t>A.</w:t>
      </w:r>
      <w:r>
        <w:rPr>
          <w:rFonts w:ascii="Arial"/>
          <w:color w:val="231F20"/>
          <w:spacing w:val="-3"/>
          <w:sz w:val="12"/>
        </w:rPr>
        <w:t> </w:t>
      </w:r>
      <w:r>
        <w:rPr>
          <w:rFonts w:ascii="Arial"/>
          <w:color w:val="231F20"/>
          <w:sz w:val="12"/>
        </w:rPr>
        <w:t>(1989).</w:t>
      </w:r>
      <w:r>
        <w:rPr>
          <w:rFonts w:ascii="Arial"/>
          <w:color w:val="231F20"/>
          <w:spacing w:val="-3"/>
          <w:sz w:val="12"/>
        </w:rPr>
        <w:t> </w:t>
      </w:r>
      <w:r>
        <w:rPr>
          <w:rFonts w:ascii="Arial"/>
          <w:color w:val="231F20"/>
          <w:sz w:val="12"/>
        </w:rPr>
        <w:t>Control</w:t>
      </w:r>
      <w:r>
        <w:rPr>
          <w:rFonts w:ascii="Arial"/>
          <w:color w:val="231F20"/>
          <w:spacing w:val="-3"/>
          <w:sz w:val="12"/>
        </w:rPr>
        <w:t> </w:t>
      </w:r>
      <w:r>
        <w:rPr>
          <w:rFonts w:ascii="Arial"/>
          <w:color w:val="231F20"/>
          <w:sz w:val="12"/>
        </w:rPr>
        <w:t>in</w:t>
      </w:r>
      <w:r>
        <w:rPr>
          <w:rFonts w:ascii="Arial"/>
          <w:color w:val="231F20"/>
          <w:spacing w:val="-3"/>
          <w:sz w:val="12"/>
        </w:rPr>
        <w:t> </w:t>
      </w:r>
      <w:r>
        <w:rPr>
          <w:rFonts w:ascii="Arial"/>
          <w:color w:val="231F20"/>
          <w:sz w:val="12"/>
        </w:rPr>
        <w:t>the</w:t>
      </w:r>
      <w:r>
        <w:rPr>
          <w:rFonts w:ascii="Arial"/>
          <w:color w:val="231F20"/>
          <w:spacing w:val="-3"/>
          <w:sz w:val="12"/>
        </w:rPr>
        <w:t> </w:t>
      </w:r>
      <w:r>
        <w:rPr>
          <w:rFonts w:ascii="Arial"/>
          <w:color w:val="231F20"/>
          <w:sz w:val="12"/>
        </w:rPr>
        <w:t>workplace</w:t>
      </w:r>
      <w:r>
        <w:rPr>
          <w:rFonts w:ascii="Arial"/>
          <w:color w:val="231F20"/>
          <w:spacing w:val="40"/>
          <w:sz w:val="12"/>
        </w:rPr>
        <w:t> </w:t>
      </w:r>
      <w:r>
        <w:rPr>
          <w:rFonts w:ascii="Arial"/>
          <w:color w:val="231F20"/>
          <w:sz w:val="12"/>
        </w:rPr>
        <w:t>and its health-related aspects. Dans S. L. Sauter, J. J. Hurrell et C. L. Cooper (dir.), </w:t>
      </w:r>
      <w:r>
        <w:rPr>
          <w:rFonts w:ascii="Arial"/>
          <w:i/>
          <w:color w:val="231F20"/>
          <w:sz w:val="12"/>
        </w:rPr>
        <w:t>Job Control and Worker</w:t>
      </w:r>
      <w:r>
        <w:rPr>
          <w:rFonts w:ascii="Arial"/>
          <w:i/>
          <w:color w:val="231F20"/>
          <w:spacing w:val="40"/>
          <w:sz w:val="12"/>
        </w:rPr>
        <w:t> </w:t>
      </w:r>
      <w:r>
        <w:rPr>
          <w:rFonts w:ascii="Arial"/>
          <w:i/>
          <w:color w:val="231F20"/>
          <w:sz w:val="12"/>
        </w:rPr>
        <w:t>Health</w:t>
      </w:r>
      <w:r>
        <w:rPr>
          <w:rFonts w:ascii="Arial"/>
          <w:color w:val="231F20"/>
          <w:sz w:val="12"/>
        </w:rPr>
        <w:t>, New York, Wiley, p. 129-159.</w:t>
      </w:r>
    </w:p>
    <w:p>
      <w:pPr>
        <w:spacing w:after="0" w:line="295" w:lineRule="auto"/>
        <w:jc w:val="both"/>
        <w:rPr>
          <w:rFonts w:ascii="Arial"/>
          <w:sz w:val="12"/>
        </w:rPr>
        <w:sectPr>
          <w:footerReference w:type="default" r:id="rId325"/>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3"/>
        <w:jc w:val="both"/>
      </w:pPr>
      <w:r>
        <w:rPr>
          <w:color w:val="231F20"/>
          <w:w w:val="120"/>
        </w:rPr>
        <w:t>on</w:t>
      </w:r>
      <w:r>
        <w:rPr>
          <w:color w:val="231F20"/>
          <w:spacing w:val="-13"/>
          <w:w w:val="120"/>
        </w:rPr>
        <w:t> </w:t>
      </w:r>
      <w:r>
        <w:rPr>
          <w:color w:val="231F20"/>
          <w:w w:val="120"/>
        </w:rPr>
        <w:t>ne</w:t>
      </w:r>
      <w:r>
        <w:rPr>
          <w:color w:val="231F20"/>
          <w:spacing w:val="-13"/>
          <w:w w:val="120"/>
        </w:rPr>
        <w:t> </w:t>
      </w:r>
      <w:r>
        <w:rPr>
          <w:color w:val="231F20"/>
          <w:w w:val="120"/>
        </w:rPr>
        <w:t>sait</w:t>
      </w:r>
      <w:r>
        <w:rPr>
          <w:color w:val="231F20"/>
          <w:spacing w:val="-13"/>
          <w:w w:val="120"/>
        </w:rPr>
        <w:t> </w:t>
      </w:r>
      <w:r>
        <w:rPr>
          <w:color w:val="231F20"/>
          <w:w w:val="120"/>
        </w:rPr>
        <w:t>pas</w:t>
      </w:r>
      <w:r>
        <w:rPr>
          <w:color w:val="231F20"/>
          <w:spacing w:val="-12"/>
          <w:w w:val="120"/>
        </w:rPr>
        <w:t> </w:t>
      </w:r>
      <w:r>
        <w:rPr>
          <w:color w:val="231F20"/>
          <w:w w:val="120"/>
        </w:rPr>
        <w:t>exactement</w:t>
      </w:r>
      <w:r>
        <w:rPr>
          <w:color w:val="231F20"/>
          <w:spacing w:val="-13"/>
          <w:w w:val="120"/>
        </w:rPr>
        <w:t> </w:t>
      </w:r>
      <w:r>
        <w:rPr>
          <w:color w:val="231F20"/>
          <w:w w:val="120"/>
        </w:rPr>
        <w:t>quoi</w:t>
      </w:r>
      <w:r>
        <w:rPr>
          <w:color w:val="231F20"/>
          <w:spacing w:val="-13"/>
          <w:w w:val="120"/>
        </w:rPr>
        <w:t> </w:t>
      </w:r>
      <w:r>
        <w:rPr>
          <w:color w:val="231F20"/>
          <w:w w:val="120"/>
        </w:rPr>
        <w:t>faire,</w:t>
      </w:r>
      <w:r>
        <w:rPr>
          <w:color w:val="231F20"/>
          <w:spacing w:val="-13"/>
          <w:w w:val="120"/>
        </w:rPr>
        <w:t> </w:t>
      </w:r>
      <w:r>
        <w:rPr>
          <w:color w:val="231F20"/>
          <w:w w:val="120"/>
        </w:rPr>
        <w:t>comment</w:t>
      </w:r>
      <w:r>
        <w:rPr>
          <w:color w:val="231F20"/>
          <w:spacing w:val="-12"/>
          <w:w w:val="120"/>
        </w:rPr>
        <w:t> </w:t>
      </w:r>
      <w:r>
        <w:rPr>
          <w:color w:val="231F20"/>
          <w:w w:val="120"/>
        </w:rPr>
        <w:t>le</w:t>
      </w:r>
      <w:r>
        <w:rPr>
          <w:color w:val="231F20"/>
          <w:spacing w:val="-13"/>
          <w:w w:val="120"/>
        </w:rPr>
        <w:t> </w:t>
      </w:r>
      <w:r>
        <w:rPr>
          <w:color w:val="231F20"/>
          <w:w w:val="120"/>
        </w:rPr>
        <w:t>faire</w:t>
      </w:r>
      <w:r>
        <w:rPr>
          <w:color w:val="231F20"/>
          <w:spacing w:val="-13"/>
          <w:w w:val="120"/>
        </w:rPr>
        <w:t> </w:t>
      </w:r>
      <w:r>
        <w:rPr>
          <w:color w:val="231F20"/>
          <w:w w:val="120"/>
        </w:rPr>
        <w:t>et</w:t>
      </w:r>
      <w:r>
        <w:rPr>
          <w:color w:val="231F20"/>
          <w:spacing w:val="-13"/>
          <w:w w:val="120"/>
        </w:rPr>
        <w:t> </w:t>
      </w:r>
      <w:r>
        <w:rPr>
          <w:color w:val="231F20"/>
          <w:w w:val="120"/>
        </w:rPr>
        <w:t>quelles</w:t>
      </w:r>
      <w:r>
        <w:rPr>
          <w:color w:val="231F20"/>
          <w:spacing w:val="-12"/>
          <w:w w:val="120"/>
        </w:rPr>
        <w:t> </w:t>
      </w:r>
      <w:r>
        <w:rPr>
          <w:color w:val="231F20"/>
          <w:w w:val="120"/>
        </w:rPr>
        <w:t>sont</w:t>
      </w:r>
      <w:r>
        <w:rPr>
          <w:color w:val="231F20"/>
          <w:spacing w:val="-13"/>
          <w:w w:val="120"/>
        </w:rPr>
        <w:t> </w:t>
      </w:r>
      <w:r>
        <w:rPr>
          <w:color w:val="231F20"/>
          <w:w w:val="120"/>
        </w:rPr>
        <w:t>les </w:t>
      </w:r>
      <w:r>
        <w:rPr>
          <w:color w:val="231F20"/>
          <w:spacing w:val="-2"/>
          <w:w w:val="120"/>
        </w:rPr>
        <w:t>responsabilités</w:t>
      </w:r>
      <w:r>
        <w:rPr>
          <w:color w:val="231F20"/>
          <w:spacing w:val="-8"/>
          <w:w w:val="120"/>
        </w:rPr>
        <w:t> </w:t>
      </w:r>
      <w:r>
        <w:rPr>
          <w:color w:val="231F20"/>
          <w:spacing w:val="-2"/>
          <w:w w:val="120"/>
        </w:rPr>
        <w:t>particulières</w:t>
      </w:r>
      <w:r>
        <w:rPr>
          <w:color w:val="231F20"/>
          <w:spacing w:val="-8"/>
          <w:w w:val="120"/>
        </w:rPr>
        <w:t> </w:t>
      </w:r>
      <w:r>
        <w:rPr>
          <w:color w:val="231F20"/>
          <w:spacing w:val="-2"/>
          <w:w w:val="120"/>
        </w:rPr>
        <w:t>inhérentes</w:t>
      </w:r>
      <w:r>
        <w:rPr>
          <w:color w:val="231F20"/>
          <w:spacing w:val="-8"/>
          <w:w w:val="120"/>
        </w:rPr>
        <w:t> </w:t>
      </w:r>
      <w:r>
        <w:rPr>
          <w:color w:val="231F20"/>
          <w:spacing w:val="-2"/>
          <w:w w:val="120"/>
        </w:rPr>
        <w:t>au</w:t>
      </w:r>
      <w:r>
        <w:rPr>
          <w:color w:val="231F20"/>
          <w:spacing w:val="-8"/>
          <w:w w:val="120"/>
        </w:rPr>
        <w:t> </w:t>
      </w:r>
      <w:r>
        <w:rPr>
          <w:color w:val="231F20"/>
          <w:spacing w:val="-2"/>
          <w:w w:val="120"/>
        </w:rPr>
        <w:t>poste</w:t>
      </w:r>
      <w:r>
        <w:rPr>
          <w:color w:val="231F20"/>
          <w:spacing w:val="-8"/>
          <w:w w:val="120"/>
        </w:rPr>
        <w:t> </w:t>
      </w:r>
      <w:r>
        <w:rPr>
          <w:color w:val="231F20"/>
          <w:spacing w:val="-2"/>
          <w:w w:val="120"/>
        </w:rPr>
        <w:t>que</w:t>
      </w:r>
      <w:r>
        <w:rPr>
          <w:color w:val="231F20"/>
          <w:spacing w:val="-8"/>
          <w:w w:val="120"/>
        </w:rPr>
        <w:t> </w:t>
      </w:r>
      <w:r>
        <w:rPr>
          <w:color w:val="231F20"/>
          <w:spacing w:val="-2"/>
          <w:w w:val="120"/>
        </w:rPr>
        <w:t>s’installent</w:t>
      </w:r>
      <w:r>
        <w:rPr>
          <w:color w:val="231F20"/>
          <w:spacing w:val="-8"/>
          <w:w w:val="120"/>
        </w:rPr>
        <w:t> </w:t>
      </w:r>
      <w:r>
        <w:rPr>
          <w:color w:val="231F20"/>
          <w:spacing w:val="-2"/>
          <w:w w:val="120"/>
        </w:rPr>
        <w:t>une</w:t>
      </w:r>
      <w:r>
        <w:rPr>
          <w:color w:val="231F20"/>
          <w:spacing w:val="-8"/>
          <w:w w:val="120"/>
        </w:rPr>
        <w:t> </w:t>
      </w:r>
      <w:r>
        <w:rPr>
          <w:color w:val="231F20"/>
          <w:spacing w:val="-2"/>
          <w:w w:val="120"/>
        </w:rPr>
        <w:t>sen- </w:t>
      </w:r>
      <w:r>
        <w:rPr>
          <w:color w:val="231F20"/>
          <w:w w:val="120"/>
        </w:rPr>
        <w:t>sation de doute et une perception de menace. Il n’est plus question de </w:t>
      </w:r>
      <w:r>
        <w:rPr>
          <w:color w:val="231F20"/>
          <w:spacing w:val="-2"/>
          <w:w w:val="120"/>
        </w:rPr>
        <w:t>répondre</w:t>
      </w:r>
      <w:r>
        <w:rPr>
          <w:color w:val="231F20"/>
          <w:spacing w:val="-10"/>
          <w:w w:val="120"/>
        </w:rPr>
        <w:t> </w:t>
      </w:r>
      <w:r>
        <w:rPr>
          <w:color w:val="231F20"/>
          <w:spacing w:val="-2"/>
          <w:w w:val="120"/>
        </w:rPr>
        <w:t>à</w:t>
      </w:r>
      <w:r>
        <w:rPr>
          <w:color w:val="231F20"/>
          <w:spacing w:val="-10"/>
          <w:w w:val="120"/>
        </w:rPr>
        <w:t> </w:t>
      </w:r>
      <w:r>
        <w:rPr>
          <w:color w:val="231F20"/>
          <w:spacing w:val="-2"/>
          <w:w w:val="120"/>
        </w:rPr>
        <w:t>une</w:t>
      </w:r>
      <w:r>
        <w:rPr>
          <w:color w:val="231F20"/>
          <w:spacing w:val="-10"/>
          <w:w w:val="120"/>
        </w:rPr>
        <w:t> </w:t>
      </w:r>
      <w:r>
        <w:rPr>
          <w:color w:val="231F20"/>
          <w:spacing w:val="-2"/>
          <w:w w:val="120"/>
        </w:rPr>
        <w:t>demande,</w:t>
      </w:r>
      <w:r>
        <w:rPr>
          <w:color w:val="231F20"/>
          <w:spacing w:val="-10"/>
          <w:w w:val="120"/>
        </w:rPr>
        <w:t> </w:t>
      </w:r>
      <w:r>
        <w:rPr>
          <w:color w:val="231F20"/>
          <w:spacing w:val="-2"/>
          <w:w w:val="120"/>
        </w:rPr>
        <w:t>mais</w:t>
      </w:r>
      <w:r>
        <w:rPr>
          <w:color w:val="231F20"/>
          <w:spacing w:val="-10"/>
          <w:w w:val="120"/>
        </w:rPr>
        <w:t> </w:t>
      </w:r>
      <w:r>
        <w:rPr>
          <w:color w:val="231F20"/>
          <w:spacing w:val="-2"/>
          <w:w w:val="120"/>
        </w:rPr>
        <w:t>bien</w:t>
      </w:r>
      <w:r>
        <w:rPr>
          <w:color w:val="231F20"/>
          <w:spacing w:val="-10"/>
          <w:w w:val="120"/>
        </w:rPr>
        <w:t> </w:t>
      </w:r>
      <w:r>
        <w:rPr>
          <w:color w:val="231F20"/>
          <w:spacing w:val="-2"/>
          <w:w w:val="120"/>
        </w:rPr>
        <w:t>de</w:t>
      </w:r>
      <w:r>
        <w:rPr>
          <w:color w:val="231F20"/>
          <w:spacing w:val="-10"/>
          <w:w w:val="120"/>
        </w:rPr>
        <w:t> </w:t>
      </w:r>
      <w:r>
        <w:rPr>
          <w:color w:val="231F20"/>
          <w:spacing w:val="-2"/>
          <w:w w:val="120"/>
        </w:rPr>
        <w:t>connaître</w:t>
      </w:r>
      <w:r>
        <w:rPr>
          <w:color w:val="231F20"/>
          <w:spacing w:val="-10"/>
          <w:w w:val="120"/>
        </w:rPr>
        <w:t> </w:t>
      </w:r>
      <w:r>
        <w:rPr>
          <w:color w:val="231F20"/>
          <w:spacing w:val="-2"/>
          <w:w w:val="120"/>
        </w:rPr>
        <w:t>la</w:t>
      </w:r>
      <w:r>
        <w:rPr>
          <w:color w:val="231F20"/>
          <w:spacing w:val="-10"/>
          <w:w w:val="120"/>
        </w:rPr>
        <w:t> </w:t>
      </w:r>
      <w:r>
        <w:rPr>
          <w:color w:val="231F20"/>
          <w:spacing w:val="-2"/>
          <w:w w:val="120"/>
        </w:rPr>
        <w:t>nature</w:t>
      </w:r>
      <w:r>
        <w:rPr>
          <w:color w:val="231F20"/>
          <w:spacing w:val="-10"/>
          <w:w w:val="120"/>
        </w:rPr>
        <w:t> </w:t>
      </w:r>
      <w:r>
        <w:rPr>
          <w:color w:val="231F20"/>
          <w:spacing w:val="-2"/>
          <w:w w:val="120"/>
        </w:rPr>
        <w:t>exacte</w:t>
      </w:r>
      <w:r>
        <w:rPr>
          <w:color w:val="231F20"/>
          <w:spacing w:val="-10"/>
          <w:w w:val="120"/>
        </w:rPr>
        <w:t> </w:t>
      </w:r>
      <w:r>
        <w:rPr>
          <w:color w:val="231F20"/>
          <w:spacing w:val="-2"/>
          <w:w w:val="120"/>
        </w:rPr>
        <w:t>de</w:t>
      </w:r>
      <w:r>
        <w:rPr>
          <w:color w:val="231F20"/>
          <w:spacing w:val="-10"/>
          <w:w w:val="120"/>
        </w:rPr>
        <w:t> </w:t>
      </w:r>
      <w:r>
        <w:rPr>
          <w:color w:val="231F20"/>
          <w:spacing w:val="-2"/>
          <w:w w:val="120"/>
        </w:rPr>
        <w:t>cette </w:t>
      </w:r>
      <w:r>
        <w:rPr>
          <w:color w:val="231F20"/>
          <w:w w:val="120"/>
        </w:rPr>
        <w:t>demande. Cette imprécision et la façon de la présenter au travailleur peuvent l’amener à se poser plusieurs questions</w:t>
      </w:r>
      <w:r>
        <w:rPr>
          <w:color w:val="231F20"/>
          <w:spacing w:val="-13"/>
          <w:w w:val="120"/>
        </w:rPr>
        <w:t> </w:t>
      </w:r>
      <w:r>
        <w:rPr>
          <w:color w:val="231F20"/>
          <w:w w:val="120"/>
        </w:rPr>
        <w:t>: Est-ce que je peux </w:t>
      </w:r>
      <w:r>
        <w:rPr>
          <w:color w:val="231F20"/>
          <w:w w:val="115"/>
        </w:rPr>
        <w:t>demander</w:t>
      </w:r>
      <w:r>
        <w:rPr>
          <w:color w:val="231F20"/>
          <w:spacing w:val="-8"/>
          <w:w w:val="115"/>
        </w:rPr>
        <w:t> </w:t>
      </w:r>
      <w:r>
        <w:rPr>
          <w:color w:val="231F20"/>
          <w:w w:val="115"/>
        </w:rPr>
        <w:t>des</w:t>
      </w:r>
      <w:r>
        <w:rPr>
          <w:color w:val="231F20"/>
          <w:spacing w:val="-8"/>
          <w:w w:val="115"/>
        </w:rPr>
        <w:t> </w:t>
      </w:r>
      <w:r>
        <w:rPr>
          <w:color w:val="231F20"/>
          <w:w w:val="115"/>
        </w:rPr>
        <w:t>éclaircissements?</w:t>
      </w:r>
      <w:r>
        <w:rPr>
          <w:color w:val="231F20"/>
          <w:spacing w:val="-8"/>
          <w:w w:val="115"/>
        </w:rPr>
        <w:t> </w:t>
      </w:r>
      <w:r>
        <w:rPr>
          <w:color w:val="231F20"/>
          <w:w w:val="115"/>
        </w:rPr>
        <w:t>Est-ce</w:t>
      </w:r>
      <w:r>
        <w:rPr>
          <w:color w:val="231F20"/>
          <w:spacing w:val="-8"/>
          <w:w w:val="115"/>
        </w:rPr>
        <w:t> </w:t>
      </w:r>
      <w:r>
        <w:rPr>
          <w:color w:val="231F20"/>
          <w:w w:val="115"/>
        </w:rPr>
        <w:t>qu’on</w:t>
      </w:r>
      <w:r>
        <w:rPr>
          <w:color w:val="231F20"/>
          <w:spacing w:val="-8"/>
          <w:w w:val="115"/>
        </w:rPr>
        <w:t> </w:t>
      </w:r>
      <w:r>
        <w:rPr>
          <w:color w:val="231F20"/>
          <w:w w:val="115"/>
        </w:rPr>
        <w:t>va</w:t>
      </w:r>
      <w:r>
        <w:rPr>
          <w:color w:val="231F20"/>
          <w:spacing w:val="-8"/>
          <w:w w:val="115"/>
        </w:rPr>
        <w:t> </w:t>
      </w:r>
      <w:r>
        <w:rPr>
          <w:color w:val="231F20"/>
          <w:w w:val="115"/>
        </w:rPr>
        <w:t>m’en</w:t>
      </w:r>
      <w:r>
        <w:rPr>
          <w:color w:val="231F20"/>
          <w:spacing w:val="-8"/>
          <w:w w:val="115"/>
        </w:rPr>
        <w:t> </w:t>
      </w:r>
      <w:r>
        <w:rPr>
          <w:color w:val="231F20"/>
          <w:w w:val="115"/>
        </w:rPr>
        <w:t>donner?</w:t>
      </w:r>
      <w:r>
        <w:rPr>
          <w:color w:val="231F20"/>
          <w:spacing w:val="-8"/>
          <w:w w:val="115"/>
        </w:rPr>
        <w:t> </w:t>
      </w:r>
      <w:r>
        <w:rPr>
          <w:color w:val="231F20"/>
          <w:w w:val="115"/>
        </w:rPr>
        <w:t>Ces</w:t>
      </w:r>
      <w:r>
        <w:rPr>
          <w:color w:val="231F20"/>
          <w:spacing w:val="-8"/>
          <w:w w:val="115"/>
        </w:rPr>
        <w:t> </w:t>
      </w:r>
      <w:r>
        <w:rPr>
          <w:color w:val="231F20"/>
          <w:w w:val="115"/>
        </w:rPr>
        <w:t>tâches sont-elles</w:t>
      </w:r>
      <w:r>
        <w:rPr>
          <w:color w:val="231F20"/>
          <w:spacing w:val="-13"/>
          <w:w w:val="115"/>
        </w:rPr>
        <w:t> </w:t>
      </w:r>
      <w:r>
        <w:rPr>
          <w:color w:val="231F20"/>
          <w:w w:val="115"/>
        </w:rPr>
        <w:t>contradictoires</w:t>
      </w:r>
      <w:r>
        <w:rPr>
          <w:color w:val="231F20"/>
          <w:spacing w:val="-12"/>
          <w:w w:val="115"/>
        </w:rPr>
        <w:t> </w:t>
      </w:r>
      <w:r>
        <w:rPr>
          <w:color w:val="231F20"/>
          <w:w w:val="115"/>
        </w:rPr>
        <w:t>?</w:t>
      </w:r>
      <w:r>
        <w:rPr>
          <w:color w:val="231F20"/>
          <w:spacing w:val="-12"/>
          <w:w w:val="115"/>
        </w:rPr>
        <w:t> </w:t>
      </w:r>
      <w:r>
        <w:rPr>
          <w:color w:val="231F20"/>
          <w:w w:val="115"/>
        </w:rPr>
        <w:t>Est-ce</w:t>
      </w:r>
      <w:r>
        <w:rPr>
          <w:color w:val="231F20"/>
          <w:spacing w:val="-12"/>
          <w:w w:val="115"/>
        </w:rPr>
        <w:t> </w:t>
      </w:r>
      <w:r>
        <w:rPr>
          <w:color w:val="231F20"/>
          <w:w w:val="115"/>
        </w:rPr>
        <w:t>qu’on</w:t>
      </w:r>
      <w:r>
        <w:rPr>
          <w:color w:val="231F20"/>
          <w:spacing w:val="-9"/>
          <w:w w:val="115"/>
        </w:rPr>
        <w:t> </w:t>
      </w:r>
      <w:r>
        <w:rPr>
          <w:color w:val="231F20"/>
          <w:w w:val="115"/>
        </w:rPr>
        <w:t>m’affecte</w:t>
      </w:r>
      <w:r>
        <w:rPr>
          <w:color w:val="231F20"/>
          <w:spacing w:val="-8"/>
          <w:w w:val="115"/>
        </w:rPr>
        <w:t> </w:t>
      </w:r>
      <w:r>
        <w:rPr>
          <w:color w:val="231F20"/>
          <w:w w:val="115"/>
        </w:rPr>
        <w:t>à</w:t>
      </w:r>
      <w:r>
        <w:rPr>
          <w:color w:val="231F20"/>
          <w:spacing w:val="-8"/>
          <w:w w:val="115"/>
        </w:rPr>
        <w:t> </w:t>
      </w:r>
      <w:r>
        <w:rPr>
          <w:color w:val="231F20"/>
          <w:w w:val="115"/>
        </w:rPr>
        <w:t>des</w:t>
      </w:r>
      <w:r>
        <w:rPr>
          <w:color w:val="231F20"/>
          <w:spacing w:val="-7"/>
          <w:w w:val="115"/>
        </w:rPr>
        <w:t> </w:t>
      </w:r>
      <w:r>
        <w:rPr>
          <w:color w:val="231F20"/>
          <w:w w:val="115"/>
        </w:rPr>
        <w:t>tâches</w:t>
      </w:r>
      <w:r>
        <w:rPr>
          <w:color w:val="231F20"/>
          <w:spacing w:val="-8"/>
          <w:w w:val="115"/>
        </w:rPr>
        <w:t> </w:t>
      </w:r>
      <w:r>
        <w:rPr>
          <w:color w:val="231F20"/>
          <w:w w:val="115"/>
        </w:rPr>
        <w:t>différentes </w:t>
      </w:r>
      <w:r>
        <w:rPr>
          <w:color w:val="231F20"/>
          <w:w w:val="120"/>
        </w:rPr>
        <w:t>en</w:t>
      </w:r>
      <w:r>
        <w:rPr>
          <w:color w:val="231F20"/>
          <w:spacing w:val="-7"/>
          <w:w w:val="120"/>
        </w:rPr>
        <w:t> </w:t>
      </w:r>
      <w:r>
        <w:rPr>
          <w:color w:val="231F20"/>
          <w:w w:val="120"/>
        </w:rPr>
        <w:t>même</w:t>
      </w:r>
      <w:r>
        <w:rPr>
          <w:color w:val="231F20"/>
          <w:spacing w:val="-7"/>
          <w:w w:val="120"/>
        </w:rPr>
        <w:t> </w:t>
      </w:r>
      <w:r>
        <w:rPr>
          <w:color w:val="231F20"/>
          <w:w w:val="120"/>
        </w:rPr>
        <w:t>temps?</w:t>
      </w:r>
      <w:r>
        <w:rPr>
          <w:color w:val="231F20"/>
          <w:spacing w:val="-7"/>
          <w:w w:val="120"/>
        </w:rPr>
        <w:t> </w:t>
      </w:r>
      <w:r>
        <w:rPr>
          <w:color w:val="231F20"/>
          <w:w w:val="120"/>
        </w:rPr>
        <w:t>Est-ce</w:t>
      </w:r>
      <w:r>
        <w:rPr>
          <w:color w:val="231F20"/>
          <w:spacing w:val="-7"/>
          <w:w w:val="120"/>
        </w:rPr>
        <w:t> </w:t>
      </w:r>
      <w:r>
        <w:rPr>
          <w:color w:val="231F20"/>
          <w:w w:val="120"/>
        </w:rPr>
        <w:t>que</w:t>
      </w:r>
      <w:r>
        <w:rPr>
          <w:color w:val="231F20"/>
          <w:spacing w:val="-7"/>
          <w:w w:val="120"/>
        </w:rPr>
        <w:t> </w:t>
      </w:r>
      <w:r>
        <w:rPr>
          <w:color w:val="231F20"/>
          <w:w w:val="120"/>
        </w:rPr>
        <w:t>je</w:t>
      </w:r>
      <w:r>
        <w:rPr>
          <w:color w:val="231F20"/>
          <w:spacing w:val="-7"/>
          <w:w w:val="120"/>
        </w:rPr>
        <w:t> </w:t>
      </w:r>
      <w:r>
        <w:rPr>
          <w:color w:val="231F20"/>
          <w:w w:val="120"/>
        </w:rPr>
        <w:t>vais</w:t>
      </w:r>
      <w:r>
        <w:rPr>
          <w:color w:val="231F20"/>
          <w:spacing w:val="-7"/>
          <w:w w:val="120"/>
        </w:rPr>
        <w:t> </w:t>
      </w:r>
      <w:r>
        <w:rPr>
          <w:color w:val="231F20"/>
          <w:w w:val="120"/>
        </w:rPr>
        <w:t>recevoir</w:t>
      </w:r>
      <w:r>
        <w:rPr>
          <w:color w:val="231F20"/>
          <w:spacing w:val="-7"/>
          <w:w w:val="120"/>
        </w:rPr>
        <w:t> </w:t>
      </w:r>
      <w:r>
        <w:rPr>
          <w:color w:val="231F20"/>
          <w:w w:val="120"/>
        </w:rPr>
        <w:t>des</w:t>
      </w:r>
      <w:r>
        <w:rPr>
          <w:color w:val="231F20"/>
          <w:spacing w:val="-7"/>
          <w:w w:val="120"/>
        </w:rPr>
        <w:t> </w:t>
      </w:r>
      <w:r>
        <w:rPr>
          <w:color w:val="231F20"/>
          <w:w w:val="120"/>
        </w:rPr>
        <w:t>conseils?</w:t>
      </w:r>
      <w:r>
        <w:rPr>
          <w:color w:val="231F20"/>
          <w:spacing w:val="-7"/>
          <w:w w:val="120"/>
        </w:rPr>
        <w:t> </w:t>
      </w:r>
      <w:r>
        <w:rPr>
          <w:color w:val="231F20"/>
          <w:w w:val="120"/>
        </w:rPr>
        <w:t>Ai-je</w:t>
      </w:r>
      <w:r>
        <w:rPr>
          <w:color w:val="231F20"/>
          <w:spacing w:val="-7"/>
          <w:w w:val="120"/>
        </w:rPr>
        <w:t> </w:t>
      </w:r>
      <w:r>
        <w:rPr>
          <w:color w:val="231F20"/>
          <w:w w:val="120"/>
        </w:rPr>
        <w:t>le</w:t>
      </w:r>
      <w:r>
        <w:rPr>
          <w:color w:val="231F20"/>
          <w:spacing w:val="-7"/>
          <w:w w:val="120"/>
        </w:rPr>
        <w:t> </w:t>
      </w:r>
      <w:r>
        <w:rPr>
          <w:color w:val="231F20"/>
          <w:w w:val="120"/>
        </w:rPr>
        <w:t>droit </w:t>
      </w:r>
      <w:r>
        <w:rPr>
          <w:color w:val="231F20"/>
          <w:w w:val="115"/>
        </w:rPr>
        <w:t>d’être</w:t>
      </w:r>
      <w:r>
        <w:rPr>
          <w:color w:val="231F20"/>
          <w:spacing w:val="-13"/>
          <w:w w:val="115"/>
        </w:rPr>
        <w:t> </w:t>
      </w:r>
      <w:r>
        <w:rPr>
          <w:color w:val="231F20"/>
          <w:w w:val="115"/>
        </w:rPr>
        <w:t>en</w:t>
      </w:r>
      <w:r>
        <w:rPr>
          <w:color w:val="231F20"/>
          <w:spacing w:val="-12"/>
          <w:w w:val="115"/>
        </w:rPr>
        <w:t> </w:t>
      </w:r>
      <w:r>
        <w:rPr>
          <w:color w:val="231F20"/>
          <w:w w:val="115"/>
        </w:rPr>
        <w:t>désaccord</w:t>
      </w:r>
      <w:r>
        <w:rPr>
          <w:color w:val="231F20"/>
          <w:spacing w:val="-12"/>
          <w:w w:val="115"/>
        </w:rPr>
        <w:t> </w:t>
      </w:r>
      <w:r>
        <w:rPr>
          <w:color w:val="231F20"/>
          <w:w w:val="115"/>
        </w:rPr>
        <w:t>avec</w:t>
      </w:r>
      <w:r>
        <w:rPr>
          <w:color w:val="231F20"/>
          <w:spacing w:val="-9"/>
          <w:w w:val="115"/>
        </w:rPr>
        <w:t> </w:t>
      </w:r>
      <w:r>
        <w:rPr>
          <w:color w:val="231F20"/>
          <w:w w:val="115"/>
        </w:rPr>
        <w:t>les</w:t>
      </w:r>
      <w:r>
        <w:rPr>
          <w:color w:val="231F20"/>
          <w:spacing w:val="-7"/>
          <w:w w:val="115"/>
        </w:rPr>
        <w:t> </w:t>
      </w:r>
      <w:r>
        <w:rPr>
          <w:color w:val="231F20"/>
          <w:w w:val="115"/>
        </w:rPr>
        <w:t>directives</w:t>
      </w:r>
      <w:r>
        <w:rPr>
          <w:color w:val="231F20"/>
          <w:spacing w:val="-13"/>
          <w:w w:val="115"/>
        </w:rPr>
        <w:t> </w:t>
      </w:r>
      <w:r>
        <w:rPr>
          <w:color w:val="231F20"/>
          <w:w w:val="115"/>
        </w:rPr>
        <w:t>?</w:t>
      </w:r>
      <w:r>
        <w:rPr>
          <w:color w:val="231F20"/>
          <w:spacing w:val="-6"/>
          <w:w w:val="115"/>
        </w:rPr>
        <w:t> </w:t>
      </w:r>
      <w:r>
        <w:rPr>
          <w:color w:val="231F20"/>
          <w:w w:val="115"/>
        </w:rPr>
        <w:t>Deux</w:t>
      </w:r>
      <w:r>
        <w:rPr>
          <w:color w:val="231F20"/>
          <w:spacing w:val="-7"/>
          <w:w w:val="115"/>
        </w:rPr>
        <w:t> </w:t>
      </w:r>
      <w:r>
        <w:rPr>
          <w:color w:val="231F20"/>
          <w:w w:val="115"/>
        </w:rPr>
        <w:t>des</w:t>
      </w:r>
      <w:r>
        <w:rPr>
          <w:color w:val="231F20"/>
          <w:spacing w:val="-7"/>
          <w:w w:val="115"/>
        </w:rPr>
        <w:t> </w:t>
      </w:r>
      <w:r>
        <w:rPr>
          <w:color w:val="231F20"/>
          <w:w w:val="115"/>
        </w:rPr>
        <w:t>stresseurs</w:t>
      </w:r>
      <w:r>
        <w:rPr>
          <w:color w:val="231F20"/>
          <w:spacing w:val="-7"/>
          <w:w w:val="115"/>
        </w:rPr>
        <w:t> </w:t>
      </w:r>
      <w:r>
        <w:rPr>
          <w:color w:val="231F20"/>
          <w:w w:val="115"/>
        </w:rPr>
        <w:t>organisation- </w:t>
      </w:r>
      <w:r>
        <w:rPr>
          <w:color w:val="231F20"/>
          <w:w w:val="120"/>
        </w:rPr>
        <w:t>nels les plus nocifs sont, d’une part, les problèmes qui découlent d’un </w:t>
      </w:r>
      <w:r>
        <w:rPr>
          <w:color w:val="231F20"/>
          <w:spacing w:val="-2"/>
          <w:w w:val="120"/>
        </w:rPr>
        <w:t>manque</w:t>
      </w:r>
      <w:r>
        <w:rPr>
          <w:color w:val="231F20"/>
          <w:spacing w:val="-5"/>
          <w:w w:val="120"/>
        </w:rPr>
        <w:t> </w:t>
      </w:r>
      <w:r>
        <w:rPr>
          <w:color w:val="231F20"/>
          <w:spacing w:val="-2"/>
          <w:w w:val="120"/>
        </w:rPr>
        <w:t>de</w:t>
      </w:r>
      <w:r>
        <w:rPr>
          <w:color w:val="231F20"/>
          <w:spacing w:val="-5"/>
          <w:w w:val="120"/>
        </w:rPr>
        <w:t> </w:t>
      </w:r>
      <w:r>
        <w:rPr>
          <w:color w:val="231F20"/>
          <w:spacing w:val="-2"/>
          <w:w w:val="120"/>
        </w:rPr>
        <w:t>communication</w:t>
      </w:r>
      <w:r>
        <w:rPr>
          <w:color w:val="231F20"/>
          <w:spacing w:val="-5"/>
          <w:w w:val="120"/>
        </w:rPr>
        <w:t> </w:t>
      </w:r>
      <w:r>
        <w:rPr>
          <w:color w:val="231F20"/>
          <w:spacing w:val="-2"/>
          <w:w w:val="120"/>
        </w:rPr>
        <w:t>et</w:t>
      </w:r>
      <w:r>
        <w:rPr>
          <w:color w:val="231F20"/>
          <w:spacing w:val="-5"/>
          <w:w w:val="120"/>
        </w:rPr>
        <w:t> </w:t>
      </w:r>
      <w:r>
        <w:rPr>
          <w:color w:val="231F20"/>
          <w:spacing w:val="-2"/>
          <w:w w:val="120"/>
        </w:rPr>
        <w:t>d’information</w:t>
      </w:r>
      <w:r>
        <w:rPr>
          <w:color w:val="231F20"/>
          <w:spacing w:val="-5"/>
          <w:w w:val="120"/>
        </w:rPr>
        <w:t> </w:t>
      </w:r>
      <w:r>
        <w:rPr>
          <w:color w:val="231F20"/>
          <w:spacing w:val="-2"/>
          <w:w w:val="120"/>
        </w:rPr>
        <w:t>et,</w:t>
      </w:r>
      <w:r>
        <w:rPr>
          <w:color w:val="231F20"/>
          <w:spacing w:val="-5"/>
          <w:w w:val="120"/>
        </w:rPr>
        <w:t> </w:t>
      </w:r>
      <w:r>
        <w:rPr>
          <w:color w:val="231F20"/>
          <w:spacing w:val="-2"/>
          <w:w w:val="120"/>
        </w:rPr>
        <w:t>d’autre</w:t>
      </w:r>
      <w:r>
        <w:rPr>
          <w:color w:val="231F20"/>
          <w:spacing w:val="-5"/>
          <w:w w:val="120"/>
        </w:rPr>
        <w:t> </w:t>
      </w:r>
      <w:r>
        <w:rPr>
          <w:color w:val="231F20"/>
          <w:spacing w:val="-2"/>
          <w:w w:val="120"/>
        </w:rPr>
        <w:t>part,</w:t>
      </w:r>
      <w:r>
        <w:rPr>
          <w:color w:val="231F20"/>
          <w:spacing w:val="-5"/>
          <w:w w:val="120"/>
        </w:rPr>
        <w:t> </w:t>
      </w:r>
      <w:r>
        <w:rPr>
          <w:color w:val="231F20"/>
          <w:spacing w:val="-2"/>
          <w:w w:val="120"/>
        </w:rPr>
        <w:t>l’ambiguïté </w:t>
      </w:r>
      <w:r>
        <w:rPr>
          <w:color w:val="231F20"/>
          <w:w w:val="120"/>
        </w:rPr>
        <w:t>des rôles ou les conflits de rôles qui peuvent en résulter. En outre, ces deux facteurs risquent de compromettre l’efficacité de l’entreprise.</w:t>
      </w:r>
    </w:p>
    <w:p>
      <w:pPr>
        <w:pStyle w:val="BodyText"/>
        <w:spacing w:line="307" w:lineRule="auto" w:before="78"/>
        <w:ind w:left="830" w:right="495" w:firstLine="250"/>
        <w:jc w:val="both"/>
      </w:pPr>
      <w:r>
        <w:rPr>
          <w:color w:val="231F20"/>
          <w:spacing w:val="-2"/>
          <w:w w:val="120"/>
        </w:rPr>
        <w:t>C’est</w:t>
      </w:r>
      <w:r>
        <w:rPr>
          <w:color w:val="231F20"/>
          <w:spacing w:val="-10"/>
          <w:w w:val="120"/>
        </w:rPr>
        <w:t> </w:t>
      </w:r>
      <w:r>
        <w:rPr>
          <w:color w:val="231F20"/>
          <w:spacing w:val="-2"/>
          <w:w w:val="120"/>
        </w:rPr>
        <w:t>pour</w:t>
      </w:r>
      <w:r>
        <w:rPr>
          <w:color w:val="231F20"/>
          <w:spacing w:val="-10"/>
          <w:w w:val="120"/>
        </w:rPr>
        <w:t> </w:t>
      </w:r>
      <w:r>
        <w:rPr>
          <w:color w:val="231F20"/>
          <w:spacing w:val="-2"/>
          <w:w w:val="120"/>
        </w:rPr>
        <w:t>ces</w:t>
      </w:r>
      <w:r>
        <w:rPr>
          <w:color w:val="231F20"/>
          <w:spacing w:val="-10"/>
          <w:w w:val="120"/>
        </w:rPr>
        <w:t> </w:t>
      </w:r>
      <w:r>
        <w:rPr>
          <w:color w:val="231F20"/>
          <w:spacing w:val="-2"/>
          <w:w w:val="120"/>
        </w:rPr>
        <w:t>raisons,</w:t>
      </w:r>
      <w:r>
        <w:rPr>
          <w:color w:val="231F20"/>
          <w:spacing w:val="-10"/>
          <w:w w:val="120"/>
        </w:rPr>
        <w:t> </w:t>
      </w:r>
      <w:r>
        <w:rPr>
          <w:color w:val="231F20"/>
          <w:spacing w:val="-2"/>
          <w:w w:val="120"/>
        </w:rPr>
        <w:t>dans</w:t>
      </w:r>
      <w:r>
        <w:rPr>
          <w:color w:val="231F20"/>
          <w:spacing w:val="-10"/>
          <w:w w:val="120"/>
        </w:rPr>
        <w:t> </w:t>
      </w:r>
      <w:r>
        <w:rPr>
          <w:color w:val="231F20"/>
          <w:spacing w:val="-2"/>
          <w:w w:val="120"/>
        </w:rPr>
        <w:t>une</w:t>
      </w:r>
      <w:r>
        <w:rPr>
          <w:color w:val="231F20"/>
          <w:spacing w:val="-10"/>
          <w:w w:val="120"/>
        </w:rPr>
        <w:t> </w:t>
      </w:r>
      <w:r>
        <w:rPr>
          <w:color w:val="231F20"/>
          <w:spacing w:val="-2"/>
          <w:w w:val="120"/>
        </w:rPr>
        <w:t>perspective</w:t>
      </w:r>
      <w:r>
        <w:rPr>
          <w:color w:val="231F20"/>
          <w:spacing w:val="-10"/>
          <w:w w:val="120"/>
        </w:rPr>
        <w:t> </w:t>
      </w:r>
      <w:r>
        <w:rPr>
          <w:color w:val="231F20"/>
          <w:spacing w:val="-2"/>
          <w:w w:val="120"/>
        </w:rPr>
        <w:t>de</w:t>
      </w:r>
      <w:r>
        <w:rPr>
          <w:color w:val="231F20"/>
          <w:spacing w:val="-10"/>
          <w:w w:val="120"/>
        </w:rPr>
        <w:t> </w:t>
      </w:r>
      <w:r>
        <w:rPr>
          <w:color w:val="231F20"/>
          <w:spacing w:val="-2"/>
          <w:w w:val="120"/>
        </w:rPr>
        <w:t>gestion</w:t>
      </w:r>
      <w:r>
        <w:rPr>
          <w:color w:val="231F20"/>
          <w:spacing w:val="-10"/>
          <w:w w:val="120"/>
        </w:rPr>
        <w:t> </w:t>
      </w:r>
      <w:r>
        <w:rPr>
          <w:color w:val="231F20"/>
          <w:spacing w:val="-2"/>
          <w:w w:val="120"/>
        </w:rPr>
        <w:t>du</w:t>
      </w:r>
      <w:r>
        <w:rPr>
          <w:color w:val="231F20"/>
          <w:spacing w:val="-10"/>
          <w:w w:val="120"/>
        </w:rPr>
        <w:t> </w:t>
      </w:r>
      <w:r>
        <w:rPr>
          <w:color w:val="231F20"/>
          <w:spacing w:val="-2"/>
          <w:w w:val="120"/>
        </w:rPr>
        <w:t>stress</w:t>
      </w:r>
      <w:r>
        <w:rPr>
          <w:color w:val="231F20"/>
          <w:spacing w:val="-10"/>
          <w:w w:val="120"/>
        </w:rPr>
        <w:t> </w:t>
      </w:r>
      <w:r>
        <w:rPr>
          <w:color w:val="231F20"/>
          <w:spacing w:val="-2"/>
          <w:w w:val="120"/>
        </w:rPr>
        <w:t>et</w:t>
      </w:r>
      <w:r>
        <w:rPr>
          <w:color w:val="231F20"/>
          <w:spacing w:val="-10"/>
          <w:w w:val="120"/>
        </w:rPr>
        <w:t> </w:t>
      </w:r>
      <w:r>
        <w:rPr>
          <w:color w:val="231F20"/>
          <w:spacing w:val="-2"/>
          <w:w w:val="120"/>
        </w:rPr>
        <w:t>du </w:t>
      </w:r>
      <w:r>
        <w:rPr>
          <w:color w:val="231F20"/>
          <w:w w:val="120"/>
        </w:rPr>
        <w:t>bien-être au travail, qu’il est essentiel de passer en revue le système d’information</w:t>
      </w:r>
      <w:r>
        <w:rPr>
          <w:color w:val="231F20"/>
          <w:spacing w:val="-1"/>
          <w:w w:val="120"/>
        </w:rPr>
        <w:t> </w:t>
      </w:r>
      <w:r>
        <w:rPr>
          <w:color w:val="231F20"/>
          <w:w w:val="120"/>
        </w:rPr>
        <w:t>de</w:t>
      </w:r>
      <w:r>
        <w:rPr>
          <w:color w:val="231F20"/>
          <w:spacing w:val="-1"/>
          <w:w w:val="120"/>
        </w:rPr>
        <w:t> </w:t>
      </w:r>
      <w:r>
        <w:rPr>
          <w:color w:val="231F20"/>
          <w:w w:val="120"/>
        </w:rPr>
        <w:t>l’entreprise,</w:t>
      </w:r>
      <w:r>
        <w:rPr>
          <w:color w:val="231F20"/>
          <w:spacing w:val="-1"/>
          <w:w w:val="120"/>
        </w:rPr>
        <w:t> </w:t>
      </w:r>
      <w:r>
        <w:rPr>
          <w:color w:val="231F20"/>
          <w:w w:val="120"/>
        </w:rPr>
        <w:t>en</w:t>
      </w:r>
      <w:r>
        <w:rPr>
          <w:color w:val="231F20"/>
          <w:spacing w:val="-1"/>
          <w:w w:val="120"/>
        </w:rPr>
        <w:t> </w:t>
      </w:r>
      <w:r>
        <w:rPr>
          <w:color w:val="231F20"/>
          <w:w w:val="120"/>
        </w:rPr>
        <w:t>portant</w:t>
      </w:r>
      <w:r>
        <w:rPr>
          <w:color w:val="231F20"/>
          <w:spacing w:val="-1"/>
          <w:w w:val="120"/>
        </w:rPr>
        <w:t> </w:t>
      </w:r>
      <w:r>
        <w:rPr>
          <w:color w:val="231F20"/>
          <w:w w:val="120"/>
        </w:rPr>
        <w:t>une</w:t>
      </w:r>
      <w:r>
        <w:rPr>
          <w:color w:val="231F20"/>
          <w:spacing w:val="-1"/>
          <w:w w:val="120"/>
        </w:rPr>
        <w:t> </w:t>
      </w:r>
      <w:r>
        <w:rPr>
          <w:color w:val="231F20"/>
          <w:w w:val="120"/>
        </w:rPr>
        <w:t>attention</w:t>
      </w:r>
      <w:r>
        <w:rPr>
          <w:color w:val="231F20"/>
          <w:spacing w:val="-1"/>
          <w:w w:val="120"/>
        </w:rPr>
        <w:t> </w:t>
      </w:r>
      <w:r>
        <w:rPr>
          <w:color w:val="231F20"/>
          <w:w w:val="120"/>
        </w:rPr>
        <w:t>particulière</w:t>
      </w:r>
      <w:r>
        <w:rPr>
          <w:color w:val="231F20"/>
          <w:spacing w:val="-1"/>
          <w:w w:val="120"/>
        </w:rPr>
        <w:t> </w:t>
      </w:r>
      <w:r>
        <w:rPr>
          <w:color w:val="231F20"/>
          <w:w w:val="120"/>
        </w:rPr>
        <w:t>aux éléments</w:t>
      </w:r>
      <w:r>
        <w:rPr>
          <w:color w:val="231F20"/>
          <w:spacing w:val="-13"/>
          <w:w w:val="120"/>
        </w:rPr>
        <w:t> </w:t>
      </w:r>
      <w:r>
        <w:rPr>
          <w:color w:val="231F20"/>
          <w:w w:val="120"/>
        </w:rPr>
        <w:t>suivants:</w:t>
      </w:r>
    </w:p>
    <w:p>
      <w:pPr>
        <w:pStyle w:val="ListParagraph"/>
        <w:numPr>
          <w:ilvl w:val="0"/>
          <w:numId w:val="94"/>
        </w:numPr>
        <w:tabs>
          <w:tab w:pos="1331" w:val="left" w:leader="none"/>
        </w:tabs>
        <w:spacing w:line="240" w:lineRule="auto" w:before="79" w:after="0"/>
        <w:ind w:left="1330" w:right="0" w:hanging="251"/>
        <w:jc w:val="both"/>
        <w:rPr>
          <w:sz w:val="17"/>
        </w:rPr>
      </w:pPr>
      <w:r>
        <w:rPr>
          <w:color w:val="231F20"/>
          <w:w w:val="115"/>
          <w:sz w:val="17"/>
        </w:rPr>
        <w:t>L’exactitude</w:t>
      </w:r>
      <w:r>
        <w:rPr>
          <w:color w:val="231F20"/>
          <w:spacing w:val="-9"/>
          <w:w w:val="115"/>
          <w:sz w:val="17"/>
        </w:rPr>
        <w:t> </w:t>
      </w:r>
      <w:r>
        <w:rPr>
          <w:color w:val="231F20"/>
          <w:w w:val="115"/>
          <w:sz w:val="17"/>
        </w:rPr>
        <w:t>de</w:t>
      </w:r>
      <w:r>
        <w:rPr>
          <w:color w:val="231F20"/>
          <w:spacing w:val="-8"/>
          <w:w w:val="115"/>
          <w:sz w:val="17"/>
        </w:rPr>
        <w:t> </w:t>
      </w:r>
      <w:r>
        <w:rPr>
          <w:color w:val="231F20"/>
          <w:spacing w:val="-2"/>
          <w:w w:val="115"/>
          <w:sz w:val="17"/>
        </w:rPr>
        <w:t>l’information;</w:t>
      </w:r>
    </w:p>
    <w:p>
      <w:pPr>
        <w:pStyle w:val="ListParagraph"/>
        <w:numPr>
          <w:ilvl w:val="0"/>
          <w:numId w:val="94"/>
        </w:numPr>
        <w:tabs>
          <w:tab w:pos="1331" w:val="left" w:leader="none"/>
        </w:tabs>
        <w:spacing w:line="240" w:lineRule="auto" w:before="55" w:after="0"/>
        <w:ind w:left="1330" w:right="0" w:hanging="251"/>
        <w:jc w:val="both"/>
        <w:rPr>
          <w:sz w:val="17"/>
        </w:rPr>
      </w:pPr>
      <w:r>
        <w:rPr>
          <w:color w:val="231F20"/>
          <w:w w:val="115"/>
          <w:sz w:val="17"/>
        </w:rPr>
        <w:t>La</w:t>
      </w:r>
      <w:r>
        <w:rPr>
          <w:color w:val="231F20"/>
          <w:spacing w:val="4"/>
          <w:w w:val="115"/>
          <w:sz w:val="17"/>
        </w:rPr>
        <w:t> </w:t>
      </w:r>
      <w:r>
        <w:rPr>
          <w:color w:val="231F20"/>
          <w:w w:val="115"/>
          <w:sz w:val="17"/>
        </w:rPr>
        <w:t>cohérence</w:t>
      </w:r>
      <w:r>
        <w:rPr>
          <w:color w:val="231F20"/>
          <w:spacing w:val="4"/>
          <w:w w:val="115"/>
          <w:sz w:val="17"/>
        </w:rPr>
        <w:t> </w:t>
      </w:r>
      <w:r>
        <w:rPr>
          <w:color w:val="231F20"/>
          <w:w w:val="115"/>
          <w:sz w:val="17"/>
        </w:rPr>
        <w:t>de</w:t>
      </w:r>
      <w:r>
        <w:rPr>
          <w:color w:val="231F20"/>
          <w:spacing w:val="5"/>
          <w:w w:val="115"/>
          <w:sz w:val="17"/>
        </w:rPr>
        <w:t> </w:t>
      </w:r>
      <w:r>
        <w:rPr>
          <w:color w:val="231F20"/>
          <w:w w:val="115"/>
          <w:sz w:val="17"/>
        </w:rPr>
        <w:t>l’information</w:t>
      </w:r>
      <w:r>
        <w:rPr>
          <w:color w:val="231F20"/>
          <w:spacing w:val="4"/>
          <w:w w:val="115"/>
          <w:sz w:val="17"/>
        </w:rPr>
        <w:t> </w:t>
      </w:r>
      <w:r>
        <w:rPr>
          <w:color w:val="231F20"/>
          <w:spacing w:val="-2"/>
          <w:w w:val="115"/>
          <w:sz w:val="17"/>
        </w:rPr>
        <w:t>fournie;</w:t>
      </w:r>
    </w:p>
    <w:p>
      <w:pPr>
        <w:pStyle w:val="ListParagraph"/>
        <w:numPr>
          <w:ilvl w:val="0"/>
          <w:numId w:val="94"/>
        </w:numPr>
        <w:tabs>
          <w:tab w:pos="1331" w:val="left" w:leader="none"/>
        </w:tabs>
        <w:spacing w:line="307" w:lineRule="auto" w:before="54" w:after="0"/>
        <w:ind w:left="1330" w:right="1321" w:hanging="251"/>
        <w:jc w:val="left"/>
        <w:rPr>
          <w:sz w:val="17"/>
        </w:rPr>
      </w:pPr>
      <w:r>
        <w:rPr>
          <w:color w:val="231F20"/>
          <w:w w:val="115"/>
          <w:sz w:val="17"/>
        </w:rPr>
        <w:t>La convergence des décisions prises et de l’information </w:t>
      </w:r>
      <w:r>
        <w:rPr>
          <w:color w:val="231F20"/>
          <w:spacing w:val="-2"/>
          <w:w w:val="120"/>
          <w:sz w:val="17"/>
        </w:rPr>
        <w:t>véhiculée;</w:t>
      </w:r>
    </w:p>
    <w:p>
      <w:pPr>
        <w:pStyle w:val="ListParagraph"/>
        <w:numPr>
          <w:ilvl w:val="0"/>
          <w:numId w:val="94"/>
        </w:numPr>
        <w:tabs>
          <w:tab w:pos="1331" w:val="left" w:leader="none"/>
        </w:tabs>
        <w:spacing w:line="307" w:lineRule="auto" w:before="0" w:after="0"/>
        <w:ind w:left="1330" w:right="1137" w:hanging="251"/>
        <w:jc w:val="left"/>
        <w:rPr>
          <w:sz w:val="17"/>
        </w:rPr>
      </w:pPr>
      <w:r>
        <w:rPr>
          <w:color w:val="231F20"/>
          <w:w w:val="115"/>
          <w:sz w:val="17"/>
        </w:rPr>
        <w:t>L’utilisation d’un langage (niveau de langue) qui convient </w:t>
      </w:r>
      <w:r>
        <w:rPr>
          <w:color w:val="231F20"/>
          <w:w w:val="120"/>
          <w:sz w:val="17"/>
        </w:rPr>
        <w:t>au</w:t>
      </w:r>
      <w:r>
        <w:rPr>
          <w:color w:val="231F20"/>
          <w:spacing w:val="-13"/>
          <w:w w:val="120"/>
          <w:sz w:val="17"/>
        </w:rPr>
        <w:t> </w:t>
      </w:r>
      <w:r>
        <w:rPr>
          <w:color w:val="231F20"/>
          <w:w w:val="120"/>
          <w:sz w:val="17"/>
        </w:rPr>
        <w:t>destinataire;</w:t>
      </w:r>
    </w:p>
    <w:p>
      <w:pPr>
        <w:pStyle w:val="ListParagraph"/>
        <w:numPr>
          <w:ilvl w:val="0"/>
          <w:numId w:val="94"/>
        </w:numPr>
        <w:tabs>
          <w:tab w:pos="1331" w:val="left" w:leader="none"/>
        </w:tabs>
        <w:spacing w:line="195" w:lineRule="exact" w:before="0" w:after="0"/>
        <w:ind w:left="1330" w:right="0" w:hanging="251"/>
        <w:jc w:val="left"/>
        <w:rPr>
          <w:sz w:val="17"/>
        </w:rPr>
      </w:pPr>
      <w:r>
        <w:rPr>
          <w:color w:val="231F20"/>
          <w:w w:val="120"/>
          <w:sz w:val="17"/>
        </w:rPr>
        <w:t>La</w:t>
      </w:r>
      <w:r>
        <w:rPr>
          <w:color w:val="231F20"/>
          <w:spacing w:val="-10"/>
          <w:w w:val="120"/>
          <w:sz w:val="17"/>
        </w:rPr>
        <w:t> </w:t>
      </w:r>
      <w:r>
        <w:rPr>
          <w:color w:val="231F20"/>
          <w:w w:val="120"/>
          <w:sz w:val="17"/>
        </w:rPr>
        <w:t>fréquence</w:t>
      </w:r>
      <w:r>
        <w:rPr>
          <w:color w:val="231F20"/>
          <w:spacing w:val="-10"/>
          <w:w w:val="120"/>
          <w:sz w:val="17"/>
        </w:rPr>
        <w:t> </w:t>
      </w:r>
      <w:r>
        <w:rPr>
          <w:color w:val="231F20"/>
          <w:w w:val="120"/>
          <w:sz w:val="17"/>
        </w:rPr>
        <w:t>des</w:t>
      </w:r>
      <w:r>
        <w:rPr>
          <w:color w:val="231F20"/>
          <w:spacing w:val="-9"/>
          <w:w w:val="120"/>
          <w:sz w:val="17"/>
        </w:rPr>
        <w:t> </w:t>
      </w:r>
      <w:r>
        <w:rPr>
          <w:color w:val="231F20"/>
          <w:w w:val="120"/>
          <w:sz w:val="17"/>
        </w:rPr>
        <w:t>communications</w:t>
      </w:r>
      <w:r>
        <w:rPr>
          <w:color w:val="231F20"/>
          <w:spacing w:val="-10"/>
          <w:w w:val="120"/>
          <w:sz w:val="17"/>
        </w:rPr>
        <w:t> </w:t>
      </w:r>
      <w:r>
        <w:rPr>
          <w:color w:val="231F20"/>
          <w:w w:val="120"/>
          <w:sz w:val="17"/>
        </w:rPr>
        <w:t>compte</w:t>
      </w:r>
      <w:r>
        <w:rPr>
          <w:color w:val="231F20"/>
          <w:spacing w:val="-10"/>
          <w:w w:val="120"/>
          <w:sz w:val="17"/>
        </w:rPr>
        <w:t> </w:t>
      </w:r>
      <w:r>
        <w:rPr>
          <w:color w:val="231F20"/>
          <w:w w:val="120"/>
          <w:sz w:val="17"/>
        </w:rPr>
        <w:t>tenu</w:t>
      </w:r>
      <w:r>
        <w:rPr>
          <w:color w:val="231F20"/>
          <w:spacing w:val="-9"/>
          <w:w w:val="120"/>
          <w:sz w:val="17"/>
        </w:rPr>
        <w:t> </w:t>
      </w:r>
      <w:r>
        <w:rPr>
          <w:color w:val="231F20"/>
          <w:w w:val="120"/>
          <w:sz w:val="17"/>
        </w:rPr>
        <w:t>des</w:t>
      </w:r>
      <w:r>
        <w:rPr>
          <w:color w:val="231F20"/>
          <w:spacing w:val="-10"/>
          <w:w w:val="120"/>
          <w:sz w:val="17"/>
        </w:rPr>
        <w:t> </w:t>
      </w:r>
      <w:r>
        <w:rPr>
          <w:color w:val="231F20"/>
          <w:spacing w:val="-2"/>
          <w:w w:val="120"/>
          <w:sz w:val="17"/>
        </w:rPr>
        <w:t>besoins;</w:t>
      </w:r>
    </w:p>
    <w:p>
      <w:pPr>
        <w:pStyle w:val="ListParagraph"/>
        <w:numPr>
          <w:ilvl w:val="0"/>
          <w:numId w:val="94"/>
        </w:numPr>
        <w:tabs>
          <w:tab w:pos="1331" w:val="left" w:leader="none"/>
        </w:tabs>
        <w:spacing w:line="240" w:lineRule="auto" w:before="55" w:after="0"/>
        <w:ind w:left="1330" w:right="0" w:hanging="251"/>
        <w:jc w:val="left"/>
        <w:rPr>
          <w:sz w:val="17"/>
        </w:rPr>
      </w:pPr>
      <w:r>
        <w:rPr>
          <w:color w:val="231F20"/>
          <w:w w:val="115"/>
          <w:sz w:val="17"/>
        </w:rPr>
        <w:t>Le</w:t>
      </w:r>
      <w:r>
        <w:rPr>
          <w:color w:val="231F20"/>
          <w:spacing w:val="7"/>
          <w:w w:val="115"/>
          <w:sz w:val="17"/>
        </w:rPr>
        <w:t> </w:t>
      </w:r>
      <w:r>
        <w:rPr>
          <w:color w:val="231F20"/>
          <w:w w:val="115"/>
          <w:sz w:val="17"/>
        </w:rPr>
        <w:t>choix</w:t>
      </w:r>
      <w:r>
        <w:rPr>
          <w:color w:val="231F20"/>
          <w:spacing w:val="8"/>
          <w:w w:val="115"/>
          <w:sz w:val="17"/>
        </w:rPr>
        <w:t> </w:t>
      </w:r>
      <w:r>
        <w:rPr>
          <w:color w:val="231F20"/>
          <w:w w:val="115"/>
          <w:sz w:val="17"/>
        </w:rPr>
        <w:t>de</w:t>
      </w:r>
      <w:r>
        <w:rPr>
          <w:color w:val="231F20"/>
          <w:spacing w:val="8"/>
          <w:w w:val="115"/>
          <w:sz w:val="17"/>
        </w:rPr>
        <w:t> </w:t>
      </w:r>
      <w:r>
        <w:rPr>
          <w:color w:val="231F20"/>
          <w:w w:val="115"/>
          <w:sz w:val="17"/>
        </w:rPr>
        <w:t>canaux</w:t>
      </w:r>
      <w:r>
        <w:rPr>
          <w:color w:val="231F20"/>
          <w:spacing w:val="8"/>
          <w:w w:val="115"/>
          <w:sz w:val="17"/>
        </w:rPr>
        <w:t> </w:t>
      </w:r>
      <w:r>
        <w:rPr>
          <w:color w:val="231F20"/>
          <w:w w:val="115"/>
          <w:sz w:val="17"/>
        </w:rPr>
        <w:t>de</w:t>
      </w:r>
      <w:r>
        <w:rPr>
          <w:color w:val="231F20"/>
          <w:spacing w:val="7"/>
          <w:w w:val="115"/>
          <w:sz w:val="17"/>
        </w:rPr>
        <w:t> </w:t>
      </w:r>
      <w:r>
        <w:rPr>
          <w:color w:val="231F20"/>
          <w:w w:val="115"/>
          <w:sz w:val="17"/>
        </w:rPr>
        <w:t>communication</w:t>
      </w:r>
      <w:r>
        <w:rPr>
          <w:color w:val="231F20"/>
          <w:spacing w:val="8"/>
          <w:w w:val="115"/>
          <w:sz w:val="17"/>
        </w:rPr>
        <w:t> </w:t>
      </w:r>
      <w:r>
        <w:rPr>
          <w:color w:val="231F20"/>
          <w:spacing w:val="-2"/>
          <w:w w:val="115"/>
          <w:sz w:val="17"/>
        </w:rPr>
        <w:t>adéquats.</w:t>
      </w:r>
    </w:p>
    <w:p>
      <w:pPr>
        <w:pStyle w:val="BodyText"/>
        <w:spacing w:line="307" w:lineRule="auto" w:before="134"/>
        <w:ind w:left="830" w:right="496"/>
        <w:jc w:val="both"/>
      </w:pPr>
      <w:r>
        <w:rPr>
          <w:color w:val="231F20"/>
          <w:w w:val="120"/>
        </w:rPr>
        <w:t>Globalement, un bon système de communication permet à chacun de </w:t>
      </w:r>
      <w:r>
        <w:rPr>
          <w:color w:val="231F20"/>
          <w:spacing w:val="-2"/>
          <w:w w:val="120"/>
        </w:rPr>
        <w:t>comprendre</w:t>
      </w:r>
      <w:r>
        <w:rPr>
          <w:color w:val="231F20"/>
          <w:spacing w:val="-5"/>
          <w:w w:val="120"/>
        </w:rPr>
        <w:t> </w:t>
      </w:r>
      <w:r>
        <w:rPr>
          <w:color w:val="231F20"/>
          <w:spacing w:val="-2"/>
          <w:w w:val="120"/>
        </w:rPr>
        <w:t>exactement</w:t>
      </w:r>
      <w:r>
        <w:rPr>
          <w:color w:val="231F20"/>
          <w:spacing w:val="-5"/>
          <w:w w:val="120"/>
        </w:rPr>
        <w:t> </w:t>
      </w:r>
      <w:r>
        <w:rPr>
          <w:color w:val="231F20"/>
          <w:spacing w:val="-2"/>
          <w:w w:val="120"/>
        </w:rPr>
        <w:t>ce</w:t>
      </w:r>
      <w:r>
        <w:rPr>
          <w:color w:val="231F20"/>
          <w:spacing w:val="-5"/>
          <w:w w:val="120"/>
        </w:rPr>
        <w:t> </w:t>
      </w:r>
      <w:r>
        <w:rPr>
          <w:color w:val="231F20"/>
          <w:spacing w:val="-2"/>
          <w:w w:val="120"/>
        </w:rPr>
        <w:t>qu’on</w:t>
      </w:r>
      <w:r>
        <w:rPr>
          <w:color w:val="231F20"/>
          <w:spacing w:val="-5"/>
          <w:w w:val="120"/>
        </w:rPr>
        <w:t> </w:t>
      </w:r>
      <w:r>
        <w:rPr>
          <w:color w:val="231F20"/>
          <w:spacing w:val="-2"/>
          <w:w w:val="120"/>
        </w:rPr>
        <w:t>attend</w:t>
      </w:r>
      <w:r>
        <w:rPr>
          <w:color w:val="231F20"/>
          <w:spacing w:val="-5"/>
          <w:w w:val="120"/>
        </w:rPr>
        <w:t> </w:t>
      </w:r>
      <w:r>
        <w:rPr>
          <w:color w:val="231F20"/>
          <w:spacing w:val="-2"/>
          <w:w w:val="120"/>
        </w:rPr>
        <w:t>de</w:t>
      </w:r>
      <w:r>
        <w:rPr>
          <w:color w:val="231F20"/>
          <w:spacing w:val="-5"/>
          <w:w w:val="120"/>
        </w:rPr>
        <w:t> </w:t>
      </w:r>
      <w:r>
        <w:rPr>
          <w:color w:val="231F20"/>
          <w:spacing w:val="-2"/>
          <w:w w:val="120"/>
        </w:rPr>
        <w:t>lui</w:t>
      </w:r>
      <w:r>
        <w:rPr>
          <w:color w:val="231F20"/>
          <w:spacing w:val="-5"/>
          <w:w w:val="120"/>
        </w:rPr>
        <w:t> </w:t>
      </w:r>
      <w:r>
        <w:rPr>
          <w:color w:val="231F20"/>
          <w:spacing w:val="-2"/>
          <w:w w:val="120"/>
        </w:rPr>
        <w:t>(les</w:t>
      </w:r>
      <w:r>
        <w:rPr>
          <w:color w:val="231F20"/>
          <w:spacing w:val="-5"/>
          <w:w w:val="120"/>
        </w:rPr>
        <w:t> </w:t>
      </w:r>
      <w:r>
        <w:rPr>
          <w:color w:val="231F20"/>
          <w:spacing w:val="-2"/>
          <w:w w:val="120"/>
        </w:rPr>
        <w:t>tâches</w:t>
      </w:r>
      <w:r>
        <w:rPr>
          <w:color w:val="231F20"/>
          <w:spacing w:val="-5"/>
          <w:w w:val="120"/>
        </w:rPr>
        <w:t> </w:t>
      </w:r>
      <w:r>
        <w:rPr>
          <w:color w:val="231F20"/>
          <w:spacing w:val="-2"/>
          <w:w w:val="120"/>
        </w:rPr>
        <w:t>à</w:t>
      </w:r>
      <w:r>
        <w:rPr>
          <w:color w:val="231F20"/>
          <w:spacing w:val="-5"/>
          <w:w w:val="120"/>
        </w:rPr>
        <w:t> </w:t>
      </w:r>
      <w:r>
        <w:rPr>
          <w:color w:val="231F20"/>
          <w:spacing w:val="-2"/>
          <w:w w:val="120"/>
        </w:rPr>
        <w:t>accomplir</w:t>
      </w:r>
      <w:r>
        <w:rPr>
          <w:color w:val="231F20"/>
          <w:spacing w:val="-5"/>
          <w:w w:val="120"/>
        </w:rPr>
        <w:t> </w:t>
      </w:r>
      <w:r>
        <w:rPr>
          <w:color w:val="231F20"/>
          <w:spacing w:val="-2"/>
          <w:w w:val="120"/>
        </w:rPr>
        <w:t>et </w:t>
      </w:r>
      <w:r>
        <w:rPr>
          <w:color w:val="231F20"/>
          <w:w w:val="120"/>
        </w:rPr>
        <w:t>les objectifs à atteindre) et donne accès aux résultats des travaux déjà réalisés (rétroaction et reconnaissance).</w:t>
      </w:r>
    </w:p>
    <w:p>
      <w:pPr>
        <w:pStyle w:val="BodyText"/>
        <w:spacing w:line="307" w:lineRule="auto" w:before="79"/>
        <w:ind w:left="830" w:right="497" w:firstLine="250"/>
        <w:jc w:val="both"/>
      </w:pPr>
      <w:r>
        <w:rPr>
          <w:color w:val="231F20"/>
          <w:spacing w:val="-2"/>
          <w:w w:val="120"/>
        </w:rPr>
        <w:t>On</w:t>
      </w:r>
      <w:r>
        <w:rPr>
          <w:color w:val="231F20"/>
          <w:spacing w:val="-4"/>
          <w:w w:val="120"/>
        </w:rPr>
        <w:t> </w:t>
      </w:r>
      <w:r>
        <w:rPr>
          <w:color w:val="231F20"/>
          <w:spacing w:val="-2"/>
          <w:w w:val="120"/>
        </w:rPr>
        <w:t>distingue</w:t>
      </w:r>
      <w:r>
        <w:rPr>
          <w:color w:val="231F20"/>
          <w:spacing w:val="-4"/>
          <w:w w:val="120"/>
        </w:rPr>
        <w:t> </w:t>
      </w:r>
      <w:r>
        <w:rPr>
          <w:color w:val="231F20"/>
          <w:spacing w:val="-2"/>
          <w:w w:val="120"/>
        </w:rPr>
        <w:t>deux</w:t>
      </w:r>
      <w:r>
        <w:rPr>
          <w:color w:val="231F20"/>
          <w:spacing w:val="-4"/>
          <w:w w:val="120"/>
        </w:rPr>
        <w:t> </w:t>
      </w:r>
      <w:r>
        <w:rPr>
          <w:color w:val="231F20"/>
          <w:spacing w:val="-2"/>
          <w:w w:val="120"/>
        </w:rPr>
        <w:t>principales</w:t>
      </w:r>
      <w:r>
        <w:rPr>
          <w:color w:val="231F20"/>
          <w:spacing w:val="-4"/>
          <w:w w:val="120"/>
        </w:rPr>
        <w:t> </w:t>
      </w:r>
      <w:r>
        <w:rPr>
          <w:color w:val="231F20"/>
          <w:spacing w:val="-2"/>
          <w:w w:val="120"/>
        </w:rPr>
        <w:t>courroies</w:t>
      </w:r>
      <w:r>
        <w:rPr>
          <w:color w:val="231F20"/>
          <w:spacing w:val="-4"/>
          <w:w w:val="120"/>
        </w:rPr>
        <w:t> </w:t>
      </w:r>
      <w:r>
        <w:rPr>
          <w:color w:val="231F20"/>
          <w:spacing w:val="-2"/>
          <w:w w:val="120"/>
        </w:rPr>
        <w:t>de</w:t>
      </w:r>
      <w:r>
        <w:rPr>
          <w:color w:val="231F20"/>
          <w:spacing w:val="-4"/>
          <w:w w:val="120"/>
        </w:rPr>
        <w:t> </w:t>
      </w:r>
      <w:r>
        <w:rPr>
          <w:color w:val="231F20"/>
          <w:spacing w:val="-2"/>
          <w:w w:val="120"/>
        </w:rPr>
        <w:t>communication.</w:t>
      </w:r>
      <w:r>
        <w:rPr>
          <w:color w:val="231F20"/>
          <w:spacing w:val="-4"/>
          <w:w w:val="120"/>
        </w:rPr>
        <w:t> </w:t>
      </w:r>
      <w:r>
        <w:rPr>
          <w:color w:val="231F20"/>
          <w:spacing w:val="-2"/>
          <w:w w:val="120"/>
        </w:rPr>
        <w:t>La</w:t>
      </w:r>
      <w:r>
        <w:rPr>
          <w:color w:val="231F20"/>
          <w:spacing w:val="-4"/>
          <w:w w:val="120"/>
        </w:rPr>
        <w:t> </w:t>
      </w:r>
      <w:r>
        <w:rPr>
          <w:color w:val="231F20"/>
          <w:spacing w:val="-2"/>
          <w:w w:val="120"/>
        </w:rPr>
        <w:t>com- </w:t>
      </w:r>
      <w:r>
        <w:rPr>
          <w:color w:val="231F20"/>
          <w:w w:val="120"/>
        </w:rPr>
        <w:t>munication horizontale (entre des personnes du même niveau hiérar- chique)</w:t>
      </w:r>
      <w:r>
        <w:rPr>
          <w:color w:val="231F20"/>
          <w:spacing w:val="-3"/>
          <w:w w:val="120"/>
        </w:rPr>
        <w:t> </w:t>
      </w:r>
      <w:r>
        <w:rPr>
          <w:color w:val="231F20"/>
          <w:w w:val="120"/>
        </w:rPr>
        <w:t>et</w:t>
      </w:r>
      <w:r>
        <w:rPr>
          <w:color w:val="231F20"/>
          <w:spacing w:val="-3"/>
          <w:w w:val="120"/>
        </w:rPr>
        <w:t> </w:t>
      </w:r>
      <w:r>
        <w:rPr>
          <w:color w:val="231F20"/>
          <w:w w:val="120"/>
        </w:rPr>
        <w:t>la</w:t>
      </w:r>
      <w:r>
        <w:rPr>
          <w:color w:val="231F20"/>
          <w:spacing w:val="-3"/>
          <w:w w:val="120"/>
        </w:rPr>
        <w:t> </w:t>
      </w:r>
      <w:r>
        <w:rPr>
          <w:color w:val="231F20"/>
          <w:w w:val="120"/>
        </w:rPr>
        <w:t>communication</w:t>
      </w:r>
      <w:r>
        <w:rPr>
          <w:color w:val="231F20"/>
          <w:spacing w:val="-3"/>
          <w:w w:val="120"/>
        </w:rPr>
        <w:t> </w:t>
      </w:r>
      <w:r>
        <w:rPr>
          <w:color w:val="231F20"/>
          <w:w w:val="120"/>
        </w:rPr>
        <w:t>verticale</w:t>
      </w:r>
      <w:r>
        <w:rPr>
          <w:color w:val="231F20"/>
          <w:spacing w:val="-3"/>
          <w:w w:val="120"/>
        </w:rPr>
        <w:t> </w:t>
      </w:r>
      <w:r>
        <w:rPr>
          <w:color w:val="231F20"/>
          <w:w w:val="120"/>
        </w:rPr>
        <w:t>(entre</w:t>
      </w:r>
      <w:r>
        <w:rPr>
          <w:color w:val="231F20"/>
          <w:spacing w:val="-3"/>
          <w:w w:val="120"/>
        </w:rPr>
        <w:t> </w:t>
      </w:r>
      <w:r>
        <w:rPr>
          <w:color w:val="231F20"/>
          <w:w w:val="120"/>
        </w:rPr>
        <w:t>des</w:t>
      </w:r>
      <w:r>
        <w:rPr>
          <w:color w:val="231F20"/>
          <w:spacing w:val="-3"/>
          <w:w w:val="120"/>
        </w:rPr>
        <w:t> </w:t>
      </w:r>
      <w:r>
        <w:rPr>
          <w:color w:val="231F20"/>
          <w:w w:val="120"/>
        </w:rPr>
        <w:t>personnes</w:t>
      </w:r>
      <w:r>
        <w:rPr>
          <w:color w:val="231F20"/>
          <w:spacing w:val="-3"/>
          <w:w w:val="120"/>
        </w:rPr>
        <w:t> </w:t>
      </w:r>
      <w:r>
        <w:rPr>
          <w:color w:val="231F20"/>
          <w:w w:val="120"/>
        </w:rPr>
        <w:t>de</w:t>
      </w:r>
      <w:r>
        <w:rPr>
          <w:color w:val="231F20"/>
          <w:spacing w:val="-3"/>
          <w:w w:val="120"/>
        </w:rPr>
        <w:t> </w:t>
      </w:r>
      <w:r>
        <w:rPr>
          <w:color w:val="231F20"/>
          <w:w w:val="120"/>
        </w:rPr>
        <w:t>niveaux hiérarchiques différents). La communication verticale comprend la communication descendante, d’un niveau hiérarchique supérieur à un </w:t>
      </w:r>
      <w:r>
        <w:rPr>
          <w:color w:val="231F20"/>
          <w:spacing w:val="-2"/>
          <w:w w:val="120"/>
        </w:rPr>
        <w:t>niveau</w:t>
      </w:r>
      <w:r>
        <w:rPr>
          <w:color w:val="231F20"/>
          <w:spacing w:val="-9"/>
          <w:w w:val="120"/>
        </w:rPr>
        <w:t> </w:t>
      </w:r>
      <w:r>
        <w:rPr>
          <w:color w:val="231F20"/>
          <w:spacing w:val="-2"/>
          <w:w w:val="120"/>
        </w:rPr>
        <w:t>inférieur,</w:t>
      </w:r>
      <w:r>
        <w:rPr>
          <w:color w:val="231F20"/>
          <w:spacing w:val="-9"/>
          <w:w w:val="120"/>
        </w:rPr>
        <w:t> </w:t>
      </w:r>
      <w:r>
        <w:rPr>
          <w:color w:val="231F20"/>
          <w:spacing w:val="-2"/>
          <w:w w:val="120"/>
        </w:rPr>
        <w:t>et</w:t>
      </w:r>
      <w:r>
        <w:rPr>
          <w:color w:val="231F20"/>
          <w:spacing w:val="-9"/>
          <w:w w:val="120"/>
        </w:rPr>
        <w:t> </w:t>
      </w:r>
      <w:r>
        <w:rPr>
          <w:color w:val="231F20"/>
          <w:spacing w:val="-2"/>
          <w:w w:val="120"/>
        </w:rPr>
        <w:t>la</w:t>
      </w:r>
      <w:r>
        <w:rPr>
          <w:color w:val="231F20"/>
          <w:spacing w:val="-9"/>
          <w:w w:val="120"/>
        </w:rPr>
        <w:t> </w:t>
      </w:r>
      <w:r>
        <w:rPr>
          <w:color w:val="231F20"/>
          <w:spacing w:val="-2"/>
          <w:w w:val="120"/>
        </w:rPr>
        <w:t>communication</w:t>
      </w:r>
      <w:r>
        <w:rPr>
          <w:color w:val="231F20"/>
          <w:spacing w:val="-9"/>
          <w:w w:val="120"/>
        </w:rPr>
        <w:t> </w:t>
      </w:r>
      <w:r>
        <w:rPr>
          <w:color w:val="231F20"/>
          <w:spacing w:val="-2"/>
          <w:w w:val="120"/>
        </w:rPr>
        <w:t>ascendante,</w:t>
      </w:r>
      <w:r>
        <w:rPr>
          <w:color w:val="231F20"/>
          <w:spacing w:val="-9"/>
          <w:w w:val="120"/>
        </w:rPr>
        <w:t> </w:t>
      </w:r>
      <w:r>
        <w:rPr>
          <w:color w:val="231F20"/>
          <w:spacing w:val="-2"/>
          <w:w w:val="120"/>
        </w:rPr>
        <w:t>dans</w:t>
      </w:r>
      <w:r>
        <w:rPr>
          <w:color w:val="231F20"/>
          <w:spacing w:val="-9"/>
          <w:w w:val="120"/>
        </w:rPr>
        <w:t> </w:t>
      </w:r>
      <w:r>
        <w:rPr>
          <w:color w:val="231F20"/>
          <w:spacing w:val="-2"/>
          <w:w w:val="120"/>
        </w:rPr>
        <w:t>le</w:t>
      </w:r>
      <w:r>
        <w:rPr>
          <w:color w:val="231F20"/>
          <w:spacing w:val="-9"/>
          <w:w w:val="120"/>
        </w:rPr>
        <w:t> </w:t>
      </w:r>
      <w:r>
        <w:rPr>
          <w:color w:val="231F20"/>
          <w:spacing w:val="-2"/>
          <w:w w:val="120"/>
        </w:rPr>
        <w:t>sens</w:t>
      </w:r>
      <w:r>
        <w:rPr>
          <w:color w:val="231F20"/>
          <w:spacing w:val="-9"/>
          <w:w w:val="120"/>
        </w:rPr>
        <w:t> </w:t>
      </w:r>
      <w:r>
        <w:rPr>
          <w:color w:val="231F20"/>
          <w:spacing w:val="-2"/>
          <w:w w:val="120"/>
        </w:rPr>
        <w:t>contraire. </w:t>
      </w:r>
      <w:r>
        <w:rPr>
          <w:color w:val="231F20"/>
          <w:w w:val="120"/>
        </w:rPr>
        <w:t>Ces courroies de transmission d’informations dans l’organisation ont des</w:t>
      </w:r>
      <w:r>
        <w:rPr>
          <w:color w:val="231F20"/>
          <w:spacing w:val="4"/>
          <w:w w:val="120"/>
        </w:rPr>
        <w:t> </w:t>
      </w:r>
      <w:r>
        <w:rPr>
          <w:color w:val="231F20"/>
          <w:w w:val="120"/>
        </w:rPr>
        <w:t>propriétés</w:t>
      </w:r>
      <w:r>
        <w:rPr>
          <w:color w:val="231F20"/>
          <w:spacing w:val="4"/>
          <w:w w:val="120"/>
        </w:rPr>
        <w:t> </w:t>
      </w:r>
      <w:r>
        <w:rPr>
          <w:color w:val="231F20"/>
          <w:w w:val="120"/>
        </w:rPr>
        <w:t>différentes</w:t>
      </w:r>
      <w:r>
        <w:rPr>
          <w:color w:val="231F20"/>
          <w:spacing w:val="4"/>
          <w:w w:val="120"/>
        </w:rPr>
        <w:t> </w:t>
      </w:r>
      <w:r>
        <w:rPr>
          <w:color w:val="231F20"/>
          <w:w w:val="120"/>
        </w:rPr>
        <w:t>et</w:t>
      </w:r>
      <w:r>
        <w:rPr>
          <w:color w:val="231F20"/>
          <w:spacing w:val="4"/>
          <w:w w:val="120"/>
        </w:rPr>
        <w:t> </w:t>
      </w:r>
      <w:r>
        <w:rPr>
          <w:color w:val="231F20"/>
          <w:w w:val="120"/>
        </w:rPr>
        <w:t>permettent</w:t>
      </w:r>
      <w:r>
        <w:rPr>
          <w:color w:val="231F20"/>
          <w:spacing w:val="4"/>
          <w:w w:val="120"/>
        </w:rPr>
        <w:t> </w:t>
      </w:r>
      <w:r>
        <w:rPr>
          <w:color w:val="231F20"/>
          <w:w w:val="120"/>
        </w:rPr>
        <w:t>d’acheminer</w:t>
      </w:r>
      <w:r>
        <w:rPr>
          <w:color w:val="231F20"/>
          <w:spacing w:val="5"/>
          <w:w w:val="120"/>
        </w:rPr>
        <w:t> </w:t>
      </w:r>
      <w:r>
        <w:rPr>
          <w:color w:val="231F20"/>
          <w:w w:val="120"/>
        </w:rPr>
        <w:t>efficacement</w:t>
      </w:r>
      <w:r>
        <w:rPr>
          <w:color w:val="231F20"/>
          <w:spacing w:val="4"/>
          <w:w w:val="120"/>
        </w:rPr>
        <w:t> </w:t>
      </w:r>
      <w:r>
        <w:rPr>
          <w:color w:val="231F20"/>
          <w:spacing w:val="-5"/>
          <w:w w:val="120"/>
        </w:rPr>
        <w:t>des</w:t>
      </w:r>
    </w:p>
    <w:p>
      <w:pPr>
        <w:spacing w:after="0" w:line="307" w:lineRule="auto"/>
        <w:jc w:val="both"/>
        <w:sectPr>
          <w:footerReference w:type="default" r:id="rId326"/>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color w:val="231F20"/>
          <w:spacing w:val="-2"/>
          <w:w w:val="115"/>
        </w:rPr>
        <w:t>informations particulières, mais complémentaires17. Une révision de l’uti- </w:t>
      </w:r>
      <w:r>
        <w:rPr>
          <w:color w:val="231F20"/>
          <w:w w:val="120"/>
        </w:rPr>
        <w:t>lisation</w:t>
      </w:r>
      <w:r>
        <w:rPr>
          <w:color w:val="231F20"/>
          <w:spacing w:val="-13"/>
          <w:w w:val="120"/>
        </w:rPr>
        <w:t> </w:t>
      </w:r>
      <w:r>
        <w:rPr>
          <w:color w:val="231F20"/>
          <w:w w:val="120"/>
        </w:rPr>
        <w:t>de</w:t>
      </w:r>
      <w:r>
        <w:rPr>
          <w:color w:val="231F20"/>
          <w:spacing w:val="-13"/>
          <w:w w:val="120"/>
        </w:rPr>
        <w:t> </w:t>
      </w:r>
      <w:r>
        <w:rPr>
          <w:color w:val="231F20"/>
          <w:w w:val="120"/>
        </w:rPr>
        <w:t>ces</w:t>
      </w:r>
      <w:r>
        <w:rPr>
          <w:color w:val="231F20"/>
          <w:spacing w:val="-13"/>
          <w:w w:val="120"/>
        </w:rPr>
        <w:t> </w:t>
      </w:r>
      <w:r>
        <w:rPr>
          <w:color w:val="231F20"/>
          <w:w w:val="120"/>
        </w:rPr>
        <w:t>courroies</w:t>
      </w:r>
      <w:r>
        <w:rPr>
          <w:color w:val="231F20"/>
          <w:spacing w:val="-12"/>
          <w:w w:val="120"/>
        </w:rPr>
        <w:t> </w:t>
      </w:r>
      <w:r>
        <w:rPr>
          <w:color w:val="231F20"/>
          <w:w w:val="120"/>
        </w:rPr>
        <w:t>en</w:t>
      </w:r>
      <w:r>
        <w:rPr>
          <w:color w:val="231F20"/>
          <w:spacing w:val="-13"/>
          <w:w w:val="120"/>
        </w:rPr>
        <w:t> </w:t>
      </w:r>
      <w:r>
        <w:rPr>
          <w:color w:val="231F20"/>
          <w:w w:val="120"/>
        </w:rPr>
        <w:t>fonction</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2"/>
          <w:w w:val="120"/>
        </w:rPr>
        <w:t> </w:t>
      </w:r>
      <w:r>
        <w:rPr>
          <w:color w:val="231F20"/>
          <w:w w:val="120"/>
        </w:rPr>
        <w:t>nature</w:t>
      </w:r>
      <w:r>
        <w:rPr>
          <w:color w:val="231F20"/>
          <w:spacing w:val="-13"/>
          <w:w w:val="120"/>
        </w:rPr>
        <w:t> </w:t>
      </w:r>
      <w:r>
        <w:rPr>
          <w:color w:val="231F20"/>
          <w:w w:val="120"/>
        </w:rPr>
        <w:t>des</w:t>
      </w:r>
      <w:r>
        <w:rPr>
          <w:color w:val="231F20"/>
          <w:spacing w:val="-13"/>
          <w:w w:val="120"/>
        </w:rPr>
        <w:t> </w:t>
      </w:r>
      <w:r>
        <w:rPr>
          <w:color w:val="231F20"/>
          <w:w w:val="120"/>
        </w:rPr>
        <w:t>informations</w:t>
      </w:r>
      <w:r>
        <w:rPr>
          <w:color w:val="231F20"/>
          <w:spacing w:val="-13"/>
          <w:w w:val="120"/>
        </w:rPr>
        <w:t> </w:t>
      </w:r>
      <w:r>
        <w:rPr>
          <w:color w:val="231F20"/>
          <w:w w:val="120"/>
        </w:rPr>
        <w:t>trans- mises</w:t>
      </w:r>
      <w:r>
        <w:rPr>
          <w:color w:val="231F20"/>
          <w:spacing w:val="-13"/>
          <w:w w:val="120"/>
        </w:rPr>
        <w:t> </w:t>
      </w:r>
      <w:r>
        <w:rPr>
          <w:color w:val="231F20"/>
          <w:w w:val="120"/>
        </w:rPr>
        <w:t>est</w:t>
      </w:r>
      <w:r>
        <w:rPr>
          <w:color w:val="231F20"/>
          <w:spacing w:val="-13"/>
          <w:w w:val="120"/>
        </w:rPr>
        <w:t> </w:t>
      </w:r>
      <w:r>
        <w:rPr>
          <w:color w:val="231F20"/>
          <w:w w:val="120"/>
        </w:rPr>
        <w:t>un</w:t>
      </w:r>
      <w:r>
        <w:rPr>
          <w:color w:val="231F20"/>
          <w:spacing w:val="-13"/>
          <w:w w:val="120"/>
        </w:rPr>
        <w:t> </w:t>
      </w:r>
      <w:r>
        <w:rPr>
          <w:color w:val="231F20"/>
          <w:w w:val="120"/>
        </w:rPr>
        <w:t>exercice</w:t>
      </w:r>
      <w:r>
        <w:rPr>
          <w:color w:val="231F20"/>
          <w:spacing w:val="-12"/>
          <w:w w:val="120"/>
        </w:rPr>
        <w:t> </w:t>
      </w:r>
      <w:r>
        <w:rPr>
          <w:color w:val="231F20"/>
          <w:w w:val="120"/>
        </w:rPr>
        <w:t>primordial</w:t>
      </w:r>
      <w:r>
        <w:rPr>
          <w:color w:val="231F20"/>
          <w:spacing w:val="-13"/>
          <w:w w:val="120"/>
        </w:rPr>
        <w:t> </w:t>
      </w:r>
      <w:r>
        <w:rPr>
          <w:color w:val="231F20"/>
          <w:w w:val="120"/>
        </w:rPr>
        <w:t>afin</w:t>
      </w:r>
      <w:r>
        <w:rPr>
          <w:color w:val="231F20"/>
          <w:spacing w:val="-13"/>
          <w:w w:val="120"/>
        </w:rPr>
        <w:t> </w:t>
      </w:r>
      <w:r>
        <w:rPr>
          <w:color w:val="231F20"/>
          <w:w w:val="120"/>
        </w:rPr>
        <w:t>d’assurer</w:t>
      </w:r>
      <w:r>
        <w:rPr>
          <w:color w:val="231F20"/>
          <w:spacing w:val="-13"/>
          <w:w w:val="120"/>
        </w:rPr>
        <w:t> </w:t>
      </w:r>
      <w:r>
        <w:rPr>
          <w:color w:val="231F20"/>
          <w:w w:val="120"/>
        </w:rPr>
        <w:t>la</w:t>
      </w:r>
      <w:r>
        <w:rPr>
          <w:color w:val="231F20"/>
          <w:spacing w:val="-12"/>
          <w:w w:val="120"/>
        </w:rPr>
        <w:t> </w:t>
      </w:r>
      <w:r>
        <w:rPr>
          <w:color w:val="231F20"/>
          <w:w w:val="120"/>
        </w:rPr>
        <w:t>fluidité</w:t>
      </w:r>
      <w:r>
        <w:rPr>
          <w:color w:val="231F20"/>
          <w:spacing w:val="-13"/>
          <w:w w:val="120"/>
        </w:rPr>
        <w:t> </w:t>
      </w:r>
      <w:r>
        <w:rPr>
          <w:color w:val="231F20"/>
          <w:w w:val="120"/>
        </w:rPr>
        <w:t>et</w:t>
      </w:r>
      <w:r>
        <w:rPr>
          <w:color w:val="231F20"/>
          <w:spacing w:val="-13"/>
          <w:w w:val="120"/>
        </w:rPr>
        <w:t> </w:t>
      </w:r>
      <w:r>
        <w:rPr>
          <w:color w:val="231F20"/>
          <w:w w:val="120"/>
        </w:rPr>
        <w:t>l’exactitude </w:t>
      </w:r>
      <w:r>
        <w:rPr>
          <w:color w:val="231F20"/>
          <w:spacing w:val="-2"/>
          <w:w w:val="120"/>
        </w:rPr>
        <w:t>des</w:t>
      </w:r>
      <w:r>
        <w:rPr>
          <w:color w:val="231F20"/>
          <w:spacing w:val="-13"/>
          <w:w w:val="120"/>
        </w:rPr>
        <w:t> </w:t>
      </w:r>
      <w:r>
        <w:rPr>
          <w:color w:val="231F20"/>
          <w:spacing w:val="-2"/>
          <w:w w:val="120"/>
        </w:rPr>
        <w:t>messages</w:t>
      </w:r>
      <w:r>
        <w:rPr>
          <w:color w:val="231F20"/>
          <w:spacing w:val="-11"/>
          <w:w w:val="120"/>
        </w:rPr>
        <w:t> </w:t>
      </w:r>
      <w:r>
        <w:rPr>
          <w:color w:val="231F20"/>
          <w:spacing w:val="-2"/>
          <w:w w:val="120"/>
        </w:rPr>
        <w:t>qui</w:t>
      </w:r>
      <w:r>
        <w:rPr>
          <w:color w:val="231F20"/>
          <w:spacing w:val="-11"/>
          <w:w w:val="120"/>
        </w:rPr>
        <w:t> </w:t>
      </w:r>
      <w:r>
        <w:rPr>
          <w:color w:val="231F20"/>
          <w:spacing w:val="-2"/>
          <w:w w:val="120"/>
        </w:rPr>
        <w:t>favorisent</w:t>
      </w:r>
      <w:r>
        <w:rPr>
          <w:color w:val="231F20"/>
          <w:spacing w:val="-10"/>
          <w:w w:val="120"/>
        </w:rPr>
        <w:t> </w:t>
      </w:r>
      <w:r>
        <w:rPr>
          <w:color w:val="231F20"/>
          <w:spacing w:val="-2"/>
          <w:w w:val="120"/>
        </w:rPr>
        <w:t>une</w:t>
      </w:r>
      <w:r>
        <w:rPr>
          <w:color w:val="231F20"/>
          <w:spacing w:val="-11"/>
          <w:w w:val="120"/>
        </w:rPr>
        <w:t> </w:t>
      </w:r>
      <w:r>
        <w:rPr>
          <w:color w:val="231F20"/>
          <w:spacing w:val="-2"/>
          <w:w w:val="120"/>
        </w:rPr>
        <w:t>perception</w:t>
      </w:r>
      <w:r>
        <w:rPr>
          <w:color w:val="231F20"/>
          <w:spacing w:val="-11"/>
          <w:w w:val="120"/>
        </w:rPr>
        <w:t> </w:t>
      </w:r>
      <w:r>
        <w:rPr>
          <w:color w:val="231F20"/>
          <w:spacing w:val="-2"/>
          <w:w w:val="120"/>
        </w:rPr>
        <w:t>adéquate</w:t>
      </w:r>
      <w:r>
        <w:rPr>
          <w:color w:val="231F20"/>
          <w:spacing w:val="-11"/>
          <w:w w:val="120"/>
        </w:rPr>
        <w:t> </w:t>
      </w:r>
      <w:r>
        <w:rPr>
          <w:color w:val="231F20"/>
          <w:spacing w:val="-2"/>
          <w:w w:val="120"/>
        </w:rPr>
        <w:t>de</w:t>
      </w:r>
      <w:r>
        <w:rPr>
          <w:color w:val="231F20"/>
          <w:spacing w:val="-10"/>
          <w:w w:val="120"/>
        </w:rPr>
        <w:t> </w:t>
      </w:r>
      <w:r>
        <w:rPr>
          <w:color w:val="231F20"/>
          <w:spacing w:val="-2"/>
          <w:w w:val="120"/>
        </w:rPr>
        <w:t>l’environnement </w:t>
      </w:r>
      <w:r>
        <w:rPr>
          <w:color w:val="231F20"/>
          <w:w w:val="120"/>
        </w:rPr>
        <w:t>de travail pour les employés.</w:t>
      </w:r>
    </w:p>
    <w:p>
      <w:pPr>
        <w:pStyle w:val="BodyText"/>
        <w:spacing w:before="8"/>
        <w:rPr>
          <w:sz w:val="21"/>
        </w:rPr>
      </w:pPr>
    </w:p>
    <w:p>
      <w:pPr>
        <w:pStyle w:val="BodyText"/>
        <w:spacing w:line="307" w:lineRule="auto"/>
        <w:ind w:left="1220" w:right="101"/>
        <w:jc w:val="both"/>
      </w:pPr>
      <w:r>
        <w:rPr>
          <w:b/>
          <w:color w:val="231F20"/>
          <w:spacing w:val="-2"/>
          <w:w w:val="115"/>
        </w:rPr>
        <w:t>Amélioration</w:t>
      </w:r>
      <w:r>
        <w:rPr>
          <w:b/>
          <w:color w:val="231F20"/>
          <w:spacing w:val="-10"/>
          <w:w w:val="115"/>
        </w:rPr>
        <w:t> </w:t>
      </w:r>
      <w:r>
        <w:rPr>
          <w:b/>
          <w:color w:val="231F20"/>
          <w:spacing w:val="-2"/>
          <w:w w:val="115"/>
        </w:rPr>
        <w:t>de</w:t>
      </w:r>
      <w:r>
        <w:rPr>
          <w:b/>
          <w:color w:val="231F20"/>
          <w:spacing w:val="-10"/>
          <w:w w:val="115"/>
        </w:rPr>
        <w:t> </w:t>
      </w:r>
      <w:r>
        <w:rPr>
          <w:b/>
          <w:color w:val="231F20"/>
          <w:spacing w:val="-2"/>
          <w:w w:val="115"/>
        </w:rPr>
        <w:t>la</w:t>
      </w:r>
      <w:r>
        <w:rPr>
          <w:b/>
          <w:color w:val="231F20"/>
          <w:spacing w:val="-10"/>
          <w:w w:val="115"/>
        </w:rPr>
        <w:t> </w:t>
      </w:r>
      <w:r>
        <w:rPr>
          <w:b/>
          <w:color w:val="231F20"/>
          <w:spacing w:val="-2"/>
          <w:w w:val="115"/>
        </w:rPr>
        <w:t>gestion</w:t>
      </w:r>
      <w:r>
        <w:rPr>
          <w:b/>
          <w:color w:val="231F20"/>
          <w:spacing w:val="-10"/>
          <w:w w:val="115"/>
        </w:rPr>
        <w:t> </w:t>
      </w:r>
      <w:r>
        <w:rPr>
          <w:b/>
          <w:color w:val="231F20"/>
          <w:spacing w:val="-2"/>
          <w:w w:val="115"/>
        </w:rPr>
        <w:t>des</w:t>
      </w:r>
      <w:r>
        <w:rPr>
          <w:b/>
          <w:color w:val="231F20"/>
          <w:spacing w:val="-10"/>
          <w:w w:val="115"/>
        </w:rPr>
        <w:t> </w:t>
      </w:r>
      <w:r>
        <w:rPr>
          <w:b/>
          <w:color w:val="231F20"/>
          <w:spacing w:val="-2"/>
          <w:w w:val="115"/>
        </w:rPr>
        <w:t>conflits</w:t>
      </w:r>
      <w:r>
        <w:rPr>
          <w:color w:val="231F20"/>
          <w:spacing w:val="-2"/>
          <w:w w:val="115"/>
        </w:rPr>
        <w:t>.</w:t>
      </w:r>
      <w:r>
        <w:rPr>
          <w:color w:val="231F20"/>
          <w:spacing w:val="-5"/>
          <w:w w:val="115"/>
        </w:rPr>
        <w:t> </w:t>
      </w:r>
      <w:r>
        <w:rPr>
          <w:color w:val="231F20"/>
          <w:spacing w:val="-2"/>
          <w:w w:val="115"/>
        </w:rPr>
        <w:t>Dans</w:t>
      </w:r>
      <w:r>
        <w:rPr>
          <w:color w:val="231F20"/>
          <w:spacing w:val="-5"/>
          <w:w w:val="115"/>
        </w:rPr>
        <w:t> </w:t>
      </w:r>
      <w:r>
        <w:rPr>
          <w:color w:val="231F20"/>
          <w:spacing w:val="-2"/>
          <w:w w:val="115"/>
        </w:rPr>
        <w:t>toute</w:t>
      </w:r>
      <w:r>
        <w:rPr>
          <w:color w:val="231F20"/>
          <w:spacing w:val="-5"/>
          <w:w w:val="115"/>
        </w:rPr>
        <w:t> </w:t>
      </w:r>
      <w:r>
        <w:rPr>
          <w:color w:val="231F20"/>
          <w:spacing w:val="-2"/>
          <w:w w:val="115"/>
        </w:rPr>
        <w:t>entreprise,</w:t>
      </w:r>
      <w:r>
        <w:rPr>
          <w:color w:val="231F20"/>
          <w:spacing w:val="-5"/>
          <w:w w:val="115"/>
        </w:rPr>
        <w:t> </w:t>
      </w:r>
      <w:r>
        <w:rPr>
          <w:color w:val="231F20"/>
          <w:spacing w:val="-2"/>
          <w:w w:val="115"/>
        </w:rPr>
        <w:t>on</w:t>
      </w:r>
      <w:r>
        <w:rPr>
          <w:color w:val="231F20"/>
          <w:spacing w:val="-5"/>
          <w:w w:val="115"/>
        </w:rPr>
        <w:t> </w:t>
      </w:r>
      <w:r>
        <w:rPr>
          <w:color w:val="231F20"/>
          <w:spacing w:val="-2"/>
          <w:w w:val="115"/>
        </w:rPr>
        <w:t>retrouve </w:t>
      </w:r>
      <w:r>
        <w:rPr>
          <w:color w:val="231F20"/>
          <w:spacing w:val="-2"/>
          <w:w w:val="120"/>
        </w:rPr>
        <w:t>des</w:t>
      </w:r>
      <w:r>
        <w:rPr>
          <w:color w:val="231F20"/>
          <w:spacing w:val="-8"/>
          <w:w w:val="120"/>
        </w:rPr>
        <w:t> </w:t>
      </w:r>
      <w:r>
        <w:rPr>
          <w:color w:val="231F20"/>
          <w:spacing w:val="-2"/>
          <w:w w:val="120"/>
        </w:rPr>
        <w:t>personnes</w:t>
      </w:r>
      <w:r>
        <w:rPr>
          <w:color w:val="231F20"/>
          <w:spacing w:val="-8"/>
          <w:w w:val="120"/>
        </w:rPr>
        <w:t> </w:t>
      </w:r>
      <w:r>
        <w:rPr>
          <w:color w:val="231F20"/>
          <w:spacing w:val="-2"/>
          <w:w w:val="120"/>
        </w:rPr>
        <w:t>ou</w:t>
      </w:r>
      <w:r>
        <w:rPr>
          <w:color w:val="231F20"/>
          <w:spacing w:val="-8"/>
          <w:w w:val="120"/>
        </w:rPr>
        <w:t> </w:t>
      </w:r>
      <w:r>
        <w:rPr>
          <w:color w:val="231F20"/>
          <w:spacing w:val="-2"/>
          <w:w w:val="120"/>
        </w:rPr>
        <w:t>des</w:t>
      </w:r>
      <w:r>
        <w:rPr>
          <w:color w:val="231F20"/>
          <w:spacing w:val="-8"/>
          <w:w w:val="120"/>
        </w:rPr>
        <w:t> </w:t>
      </w:r>
      <w:r>
        <w:rPr>
          <w:color w:val="231F20"/>
          <w:spacing w:val="-2"/>
          <w:w w:val="120"/>
        </w:rPr>
        <w:t>groupes</w:t>
      </w:r>
      <w:r>
        <w:rPr>
          <w:color w:val="231F20"/>
          <w:spacing w:val="-8"/>
          <w:w w:val="120"/>
        </w:rPr>
        <w:t> </w:t>
      </w:r>
      <w:r>
        <w:rPr>
          <w:color w:val="231F20"/>
          <w:spacing w:val="-2"/>
          <w:w w:val="120"/>
        </w:rPr>
        <w:t>ayant</w:t>
      </w:r>
      <w:r>
        <w:rPr>
          <w:color w:val="231F20"/>
          <w:spacing w:val="-8"/>
          <w:w w:val="120"/>
        </w:rPr>
        <w:t> </w:t>
      </w:r>
      <w:r>
        <w:rPr>
          <w:color w:val="231F20"/>
          <w:spacing w:val="-2"/>
          <w:w w:val="120"/>
        </w:rPr>
        <w:t>des</w:t>
      </w:r>
      <w:r>
        <w:rPr>
          <w:color w:val="231F20"/>
          <w:spacing w:val="-8"/>
          <w:w w:val="120"/>
        </w:rPr>
        <w:t> </w:t>
      </w:r>
      <w:r>
        <w:rPr>
          <w:color w:val="231F20"/>
          <w:spacing w:val="-2"/>
          <w:w w:val="120"/>
        </w:rPr>
        <w:t>objectifs</w:t>
      </w:r>
      <w:r>
        <w:rPr>
          <w:color w:val="231F20"/>
          <w:spacing w:val="-8"/>
          <w:w w:val="120"/>
        </w:rPr>
        <w:t> </w:t>
      </w:r>
      <w:r>
        <w:rPr>
          <w:color w:val="231F20"/>
          <w:spacing w:val="-2"/>
          <w:w w:val="120"/>
        </w:rPr>
        <w:t>et</w:t>
      </w:r>
      <w:r>
        <w:rPr>
          <w:color w:val="231F20"/>
          <w:spacing w:val="-8"/>
          <w:w w:val="120"/>
        </w:rPr>
        <w:t> </w:t>
      </w:r>
      <w:r>
        <w:rPr>
          <w:color w:val="231F20"/>
          <w:spacing w:val="-2"/>
          <w:w w:val="120"/>
        </w:rPr>
        <w:t>des</w:t>
      </w:r>
      <w:r>
        <w:rPr>
          <w:color w:val="231F20"/>
          <w:spacing w:val="-8"/>
          <w:w w:val="120"/>
        </w:rPr>
        <w:t> </w:t>
      </w:r>
      <w:r>
        <w:rPr>
          <w:color w:val="231F20"/>
          <w:spacing w:val="-2"/>
          <w:w w:val="120"/>
        </w:rPr>
        <w:t>champs</w:t>
      </w:r>
      <w:r>
        <w:rPr>
          <w:color w:val="231F20"/>
          <w:spacing w:val="-8"/>
          <w:w w:val="120"/>
        </w:rPr>
        <w:t> </w:t>
      </w:r>
      <w:r>
        <w:rPr>
          <w:color w:val="231F20"/>
          <w:spacing w:val="-2"/>
          <w:w w:val="120"/>
        </w:rPr>
        <w:t>d’intérêt </w:t>
      </w:r>
      <w:r>
        <w:rPr>
          <w:color w:val="231F20"/>
          <w:w w:val="120"/>
        </w:rPr>
        <w:t>différents</w:t>
      </w:r>
      <w:r>
        <w:rPr>
          <w:color w:val="231F20"/>
          <w:spacing w:val="-1"/>
          <w:w w:val="120"/>
        </w:rPr>
        <w:t> </w:t>
      </w:r>
      <w:r>
        <w:rPr>
          <w:color w:val="231F20"/>
          <w:w w:val="120"/>
        </w:rPr>
        <w:t>et</w:t>
      </w:r>
      <w:r>
        <w:rPr>
          <w:color w:val="231F20"/>
          <w:spacing w:val="-1"/>
          <w:w w:val="120"/>
        </w:rPr>
        <w:t> </w:t>
      </w:r>
      <w:r>
        <w:rPr>
          <w:color w:val="231F20"/>
          <w:w w:val="120"/>
        </w:rPr>
        <w:t>parfois</w:t>
      </w:r>
      <w:r>
        <w:rPr>
          <w:color w:val="231F20"/>
          <w:spacing w:val="-1"/>
          <w:w w:val="120"/>
        </w:rPr>
        <w:t> </w:t>
      </w:r>
      <w:r>
        <w:rPr>
          <w:color w:val="231F20"/>
          <w:w w:val="120"/>
        </w:rPr>
        <w:t>même</w:t>
      </w:r>
      <w:r>
        <w:rPr>
          <w:color w:val="231F20"/>
          <w:spacing w:val="-1"/>
          <w:w w:val="120"/>
        </w:rPr>
        <w:t> </w:t>
      </w:r>
      <w:r>
        <w:rPr>
          <w:color w:val="231F20"/>
          <w:w w:val="120"/>
        </w:rPr>
        <w:t>divergents.</w:t>
      </w:r>
      <w:r>
        <w:rPr>
          <w:color w:val="231F20"/>
          <w:spacing w:val="-1"/>
          <w:w w:val="120"/>
        </w:rPr>
        <w:t> </w:t>
      </w:r>
      <w:r>
        <w:rPr>
          <w:color w:val="231F20"/>
          <w:w w:val="120"/>
        </w:rPr>
        <w:t>Il</w:t>
      </w:r>
      <w:r>
        <w:rPr>
          <w:color w:val="231F20"/>
          <w:spacing w:val="-1"/>
          <w:w w:val="120"/>
        </w:rPr>
        <w:t> </w:t>
      </w:r>
      <w:r>
        <w:rPr>
          <w:color w:val="231F20"/>
          <w:w w:val="120"/>
        </w:rPr>
        <w:t>faut</w:t>
      </w:r>
      <w:r>
        <w:rPr>
          <w:color w:val="231F20"/>
          <w:spacing w:val="-1"/>
          <w:w w:val="120"/>
        </w:rPr>
        <w:t> </w:t>
      </w:r>
      <w:r>
        <w:rPr>
          <w:color w:val="231F20"/>
          <w:w w:val="120"/>
        </w:rPr>
        <w:t>considérer</w:t>
      </w:r>
      <w:r>
        <w:rPr>
          <w:color w:val="231F20"/>
          <w:spacing w:val="-1"/>
          <w:w w:val="120"/>
        </w:rPr>
        <w:t> </w:t>
      </w:r>
      <w:r>
        <w:rPr>
          <w:color w:val="231F20"/>
          <w:w w:val="120"/>
        </w:rPr>
        <w:t>les</w:t>
      </w:r>
      <w:r>
        <w:rPr>
          <w:color w:val="231F20"/>
          <w:spacing w:val="-1"/>
          <w:w w:val="120"/>
        </w:rPr>
        <w:t> </w:t>
      </w:r>
      <w:r>
        <w:rPr>
          <w:color w:val="231F20"/>
          <w:w w:val="120"/>
        </w:rPr>
        <w:t>conflits</w:t>
      </w:r>
      <w:r>
        <w:rPr>
          <w:color w:val="231F20"/>
          <w:spacing w:val="-1"/>
          <w:w w:val="120"/>
        </w:rPr>
        <w:t> </w:t>
      </w:r>
      <w:r>
        <w:rPr>
          <w:color w:val="231F20"/>
          <w:w w:val="120"/>
        </w:rPr>
        <w:t>en milieu de travail davantage comme la norme que comme l’exception. </w:t>
      </w:r>
      <w:r>
        <w:rPr>
          <w:color w:val="231F20"/>
          <w:spacing w:val="-2"/>
          <w:w w:val="120"/>
        </w:rPr>
        <w:t>L’émergence</w:t>
      </w:r>
      <w:r>
        <w:rPr>
          <w:color w:val="231F20"/>
          <w:spacing w:val="-11"/>
          <w:w w:val="120"/>
        </w:rPr>
        <w:t> </w:t>
      </w:r>
      <w:r>
        <w:rPr>
          <w:color w:val="231F20"/>
          <w:spacing w:val="-2"/>
          <w:w w:val="120"/>
        </w:rPr>
        <w:t>d’un</w:t>
      </w:r>
      <w:r>
        <w:rPr>
          <w:color w:val="231F20"/>
          <w:spacing w:val="-11"/>
          <w:w w:val="120"/>
        </w:rPr>
        <w:t> </w:t>
      </w:r>
      <w:r>
        <w:rPr>
          <w:color w:val="231F20"/>
          <w:spacing w:val="-2"/>
          <w:w w:val="120"/>
        </w:rPr>
        <w:t>conflit</w:t>
      </w:r>
      <w:r>
        <w:rPr>
          <w:color w:val="231F20"/>
          <w:spacing w:val="-11"/>
          <w:w w:val="120"/>
        </w:rPr>
        <w:t> </w:t>
      </w:r>
      <w:r>
        <w:rPr>
          <w:color w:val="231F20"/>
          <w:spacing w:val="-2"/>
          <w:w w:val="120"/>
        </w:rPr>
        <w:t>est</w:t>
      </w:r>
      <w:r>
        <w:rPr>
          <w:color w:val="231F20"/>
          <w:spacing w:val="-10"/>
          <w:w w:val="120"/>
        </w:rPr>
        <w:t> </w:t>
      </w:r>
      <w:r>
        <w:rPr>
          <w:color w:val="231F20"/>
          <w:spacing w:val="-2"/>
          <w:w w:val="120"/>
        </w:rPr>
        <w:t>ainsi</w:t>
      </w:r>
      <w:r>
        <w:rPr>
          <w:color w:val="231F20"/>
          <w:spacing w:val="-11"/>
          <w:w w:val="120"/>
        </w:rPr>
        <w:t> </w:t>
      </w:r>
      <w:r>
        <w:rPr>
          <w:color w:val="231F20"/>
          <w:spacing w:val="-2"/>
          <w:w w:val="120"/>
        </w:rPr>
        <w:t>un</w:t>
      </w:r>
      <w:r>
        <w:rPr>
          <w:color w:val="231F20"/>
          <w:spacing w:val="-11"/>
          <w:w w:val="120"/>
        </w:rPr>
        <w:t> </w:t>
      </w:r>
      <w:r>
        <w:rPr>
          <w:color w:val="231F20"/>
          <w:spacing w:val="-2"/>
          <w:w w:val="120"/>
        </w:rPr>
        <w:t>événement</w:t>
      </w:r>
      <w:r>
        <w:rPr>
          <w:color w:val="231F20"/>
          <w:spacing w:val="-11"/>
          <w:w w:val="120"/>
        </w:rPr>
        <w:t> </w:t>
      </w:r>
      <w:r>
        <w:rPr>
          <w:color w:val="231F20"/>
          <w:spacing w:val="-2"/>
          <w:w w:val="120"/>
        </w:rPr>
        <w:t>normal</w:t>
      </w:r>
      <w:r>
        <w:rPr>
          <w:color w:val="231F20"/>
          <w:spacing w:val="-10"/>
          <w:w w:val="120"/>
        </w:rPr>
        <w:t> </w:t>
      </w:r>
      <w:r>
        <w:rPr>
          <w:color w:val="231F20"/>
          <w:spacing w:val="-2"/>
          <w:w w:val="120"/>
        </w:rPr>
        <w:t>et</w:t>
      </w:r>
      <w:r>
        <w:rPr>
          <w:color w:val="231F20"/>
          <w:spacing w:val="-11"/>
          <w:w w:val="120"/>
        </w:rPr>
        <w:t> </w:t>
      </w:r>
      <w:r>
        <w:rPr>
          <w:color w:val="231F20"/>
          <w:spacing w:val="-2"/>
          <w:w w:val="120"/>
        </w:rPr>
        <w:t>usuel,</w:t>
      </w:r>
      <w:r>
        <w:rPr>
          <w:color w:val="231F20"/>
          <w:spacing w:val="-11"/>
          <w:w w:val="120"/>
        </w:rPr>
        <w:t> </w:t>
      </w:r>
      <w:r>
        <w:rPr>
          <w:color w:val="231F20"/>
          <w:spacing w:val="-2"/>
          <w:w w:val="120"/>
        </w:rPr>
        <w:t>d’où</w:t>
      </w:r>
      <w:r>
        <w:rPr>
          <w:color w:val="231F20"/>
          <w:spacing w:val="-11"/>
          <w:w w:val="120"/>
        </w:rPr>
        <w:t> </w:t>
      </w:r>
      <w:r>
        <w:rPr>
          <w:color w:val="231F20"/>
          <w:spacing w:val="-2"/>
          <w:w w:val="120"/>
        </w:rPr>
        <w:t>la </w:t>
      </w:r>
      <w:r>
        <w:rPr>
          <w:color w:val="231F20"/>
          <w:w w:val="115"/>
        </w:rPr>
        <w:t>nécessité de créer les moyens de gérer les épisodes conflictuels afin d’en </w:t>
      </w:r>
      <w:r>
        <w:rPr>
          <w:color w:val="231F20"/>
          <w:w w:val="120"/>
        </w:rPr>
        <w:t>retirer les conséquences constructives qu’ils peuvent générer pour l’organisation. Ces mesures doivent favoriser:</w:t>
      </w:r>
    </w:p>
    <w:p>
      <w:pPr>
        <w:pStyle w:val="ListParagraph"/>
        <w:numPr>
          <w:ilvl w:val="1"/>
          <w:numId w:val="94"/>
        </w:numPr>
        <w:tabs>
          <w:tab w:pos="1721" w:val="left" w:leader="none"/>
        </w:tabs>
        <w:spacing w:line="307" w:lineRule="auto" w:before="78" w:after="0"/>
        <w:ind w:left="1720" w:right="103" w:hanging="251"/>
        <w:jc w:val="both"/>
        <w:rPr>
          <w:sz w:val="17"/>
        </w:rPr>
      </w:pPr>
      <w:r>
        <w:rPr>
          <w:color w:val="231F20"/>
          <w:w w:val="120"/>
          <w:sz w:val="17"/>
        </w:rPr>
        <w:t>La formation des travailleurs en matière de gestion des conflits afin de mieux les outiller quant au développement de relations interpersonnelles constructives au travail;</w:t>
      </w:r>
    </w:p>
    <w:p>
      <w:pPr>
        <w:pStyle w:val="ListParagraph"/>
        <w:numPr>
          <w:ilvl w:val="1"/>
          <w:numId w:val="94"/>
        </w:numPr>
        <w:tabs>
          <w:tab w:pos="1721" w:val="left" w:leader="none"/>
        </w:tabs>
        <w:spacing w:line="307" w:lineRule="auto" w:before="0" w:after="0"/>
        <w:ind w:left="1720" w:right="104" w:hanging="251"/>
        <w:jc w:val="both"/>
        <w:rPr>
          <w:sz w:val="17"/>
        </w:rPr>
      </w:pPr>
      <w:r>
        <w:rPr>
          <w:color w:val="231F20"/>
          <w:spacing w:val="-2"/>
          <w:w w:val="120"/>
          <w:sz w:val="17"/>
        </w:rPr>
        <w:t>Le</w:t>
      </w:r>
      <w:r>
        <w:rPr>
          <w:color w:val="231F20"/>
          <w:spacing w:val="-13"/>
          <w:w w:val="120"/>
          <w:sz w:val="17"/>
        </w:rPr>
        <w:t> </w:t>
      </w:r>
      <w:r>
        <w:rPr>
          <w:color w:val="231F20"/>
          <w:spacing w:val="-2"/>
          <w:w w:val="120"/>
          <w:sz w:val="17"/>
        </w:rPr>
        <w:t>développement</w:t>
      </w:r>
      <w:r>
        <w:rPr>
          <w:color w:val="231F20"/>
          <w:spacing w:val="-11"/>
          <w:w w:val="120"/>
          <w:sz w:val="17"/>
        </w:rPr>
        <w:t> </w:t>
      </w:r>
      <w:r>
        <w:rPr>
          <w:color w:val="231F20"/>
          <w:spacing w:val="-2"/>
          <w:w w:val="120"/>
          <w:sz w:val="17"/>
        </w:rPr>
        <w:t>des</w:t>
      </w:r>
      <w:r>
        <w:rPr>
          <w:color w:val="231F20"/>
          <w:spacing w:val="-11"/>
          <w:w w:val="120"/>
          <w:sz w:val="17"/>
        </w:rPr>
        <w:t> </w:t>
      </w:r>
      <w:r>
        <w:rPr>
          <w:color w:val="231F20"/>
          <w:spacing w:val="-2"/>
          <w:w w:val="120"/>
          <w:sz w:val="17"/>
        </w:rPr>
        <w:t>compétences</w:t>
      </w:r>
      <w:r>
        <w:rPr>
          <w:color w:val="231F20"/>
          <w:spacing w:val="-10"/>
          <w:w w:val="120"/>
          <w:sz w:val="17"/>
        </w:rPr>
        <w:t> </w:t>
      </w:r>
      <w:r>
        <w:rPr>
          <w:color w:val="231F20"/>
          <w:spacing w:val="-2"/>
          <w:w w:val="120"/>
          <w:sz w:val="17"/>
        </w:rPr>
        <w:t>des</w:t>
      </w:r>
      <w:r>
        <w:rPr>
          <w:color w:val="231F20"/>
          <w:spacing w:val="-11"/>
          <w:w w:val="120"/>
          <w:sz w:val="17"/>
        </w:rPr>
        <w:t> </w:t>
      </w:r>
      <w:r>
        <w:rPr>
          <w:color w:val="231F20"/>
          <w:spacing w:val="-2"/>
          <w:w w:val="120"/>
          <w:sz w:val="17"/>
        </w:rPr>
        <w:t>gestionnaires</w:t>
      </w:r>
      <w:r>
        <w:rPr>
          <w:color w:val="231F20"/>
          <w:spacing w:val="-11"/>
          <w:w w:val="120"/>
          <w:sz w:val="17"/>
        </w:rPr>
        <w:t> </w:t>
      </w:r>
      <w:r>
        <w:rPr>
          <w:color w:val="231F20"/>
          <w:spacing w:val="-2"/>
          <w:w w:val="120"/>
          <w:sz w:val="17"/>
        </w:rPr>
        <w:t>sur</w:t>
      </w:r>
      <w:r>
        <w:rPr>
          <w:color w:val="231F20"/>
          <w:spacing w:val="-11"/>
          <w:w w:val="120"/>
          <w:sz w:val="17"/>
        </w:rPr>
        <w:t> </w:t>
      </w:r>
      <w:r>
        <w:rPr>
          <w:color w:val="231F20"/>
          <w:spacing w:val="-2"/>
          <w:w w:val="120"/>
          <w:sz w:val="17"/>
        </w:rPr>
        <w:t>la</w:t>
      </w:r>
      <w:r>
        <w:rPr>
          <w:color w:val="231F20"/>
          <w:spacing w:val="-10"/>
          <w:w w:val="120"/>
          <w:sz w:val="17"/>
        </w:rPr>
        <w:t> </w:t>
      </w:r>
      <w:r>
        <w:rPr>
          <w:color w:val="231F20"/>
          <w:spacing w:val="-2"/>
          <w:w w:val="120"/>
          <w:sz w:val="17"/>
        </w:rPr>
        <w:t>détec- </w:t>
      </w:r>
      <w:r>
        <w:rPr>
          <w:color w:val="231F20"/>
          <w:w w:val="120"/>
          <w:sz w:val="17"/>
        </w:rPr>
        <w:t>tion et l’intervention concernant les situations conflictuelles risquant de nuire à l’efficacité des équipes de travail;</w:t>
      </w:r>
    </w:p>
    <w:p>
      <w:pPr>
        <w:pStyle w:val="ListParagraph"/>
        <w:numPr>
          <w:ilvl w:val="1"/>
          <w:numId w:val="94"/>
        </w:numPr>
        <w:tabs>
          <w:tab w:pos="1721" w:val="left" w:leader="none"/>
        </w:tabs>
        <w:spacing w:line="307" w:lineRule="auto" w:before="0" w:after="0"/>
        <w:ind w:left="1720" w:right="109" w:hanging="251"/>
        <w:jc w:val="both"/>
        <w:rPr>
          <w:sz w:val="17"/>
        </w:rPr>
      </w:pPr>
      <w:r>
        <w:rPr>
          <w:color w:val="231F20"/>
          <w:w w:val="120"/>
          <w:sz w:val="17"/>
        </w:rPr>
        <w:t>L’instauration</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procédures</w:t>
      </w:r>
      <w:r>
        <w:rPr>
          <w:color w:val="231F20"/>
          <w:spacing w:val="-10"/>
          <w:w w:val="120"/>
          <w:sz w:val="17"/>
        </w:rPr>
        <w:t> </w:t>
      </w:r>
      <w:r>
        <w:rPr>
          <w:color w:val="231F20"/>
          <w:w w:val="120"/>
          <w:sz w:val="17"/>
        </w:rPr>
        <w:t>formelles</w:t>
      </w:r>
      <w:r>
        <w:rPr>
          <w:color w:val="231F20"/>
          <w:spacing w:val="-10"/>
          <w:w w:val="120"/>
          <w:sz w:val="17"/>
        </w:rPr>
        <w:t> </w:t>
      </w:r>
      <w:r>
        <w:rPr>
          <w:color w:val="231F20"/>
          <w:w w:val="120"/>
          <w:sz w:val="17"/>
        </w:rPr>
        <w:t>et</w:t>
      </w:r>
      <w:r>
        <w:rPr>
          <w:color w:val="231F20"/>
          <w:spacing w:val="-10"/>
          <w:w w:val="120"/>
          <w:sz w:val="17"/>
        </w:rPr>
        <w:t> </w:t>
      </w:r>
      <w:r>
        <w:rPr>
          <w:color w:val="231F20"/>
          <w:w w:val="120"/>
          <w:sz w:val="17"/>
        </w:rPr>
        <w:t>informelles</w:t>
      </w:r>
      <w:r>
        <w:rPr>
          <w:color w:val="231F20"/>
          <w:spacing w:val="-10"/>
          <w:w w:val="120"/>
          <w:sz w:val="17"/>
        </w:rPr>
        <w:t> </w:t>
      </w:r>
      <w:r>
        <w:rPr>
          <w:color w:val="231F20"/>
          <w:w w:val="120"/>
          <w:sz w:val="17"/>
        </w:rPr>
        <w:t>de</w:t>
      </w:r>
      <w:r>
        <w:rPr>
          <w:color w:val="231F20"/>
          <w:spacing w:val="-10"/>
          <w:w w:val="120"/>
          <w:sz w:val="17"/>
        </w:rPr>
        <w:t> </w:t>
      </w:r>
      <w:r>
        <w:rPr>
          <w:color w:val="231F20"/>
          <w:w w:val="120"/>
          <w:sz w:val="17"/>
        </w:rPr>
        <w:t>gestion, d’arbitrage et de médiation.</w:t>
      </w:r>
    </w:p>
    <w:p>
      <w:pPr>
        <w:pStyle w:val="BodyText"/>
        <w:spacing w:line="307" w:lineRule="auto" w:before="79"/>
        <w:ind w:left="1220" w:right="103"/>
        <w:jc w:val="both"/>
      </w:pPr>
      <w:r>
        <w:rPr>
          <w:color w:val="231F20"/>
          <w:w w:val="120"/>
        </w:rPr>
        <w:t>Les</w:t>
      </w:r>
      <w:r>
        <w:rPr>
          <w:color w:val="231F20"/>
          <w:spacing w:val="-7"/>
          <w:w w:val="120"/>
        </w:rPr>
        <w:t> </w:t>
      </w:r>
      <w:r>
        <w:rPr>
          <w:color w:val="231F20"/>
          <w:w w:val="120"/>
        </w:rPr>
        <w:t>problèmes</w:t>
      </w:r>
      <w:r>
        <w:rPr>
          <w:color w:val="231F20"/>
          <w:spacing w:val="-7"/>
          <w:w w:val="120"/>
        </w:rPr>
        <w:t> </w:t>
      </w:r>
      <w:r>
        <w:rPr>
          <w:color w:val="231F20"/>
          <w:w w:val="120"/>
        </w:rPr>
        <w:t>qui</w:t>
      </w:r>
      <w:r>
        <w:rPr>
          <w:color w:val="231F20"/>
          <w:spacing w:val="-7"/>
          <w:w w:val="120"/>
        </w:rPr>
        <w:t> </w:t>
      </w:r>
      <w:r>
        <w:rPr>
          <w:color w:val="231F20"/>
          <w:w w:val="120"/>
        </w:rPr>
        <w:t>découlent</w:t>
      </w:r>
      <w:r>
        <w:rPr>
          <w:color w:val="231F20"/>
          <w:spacing w:val="-7"/>
          <w:w w:val="120"/>
        </w:rPr>
        <w:t> </w:t>
      </w:r>
      <w:r>
        <w:rPr>
          <w:color w:val="231F20"/>
          <w:w w:val="120"/>
        </w:rPr>
        <w:t>d’une</w:t>
      </w:r>
      <w:r>
        <w:rPr>
          <w:color w:val="231F20"/>
          <w:spacing w:val="-7"/>
          <w:w w:val="120"/>
        </w:rPr>
        <w:t> </w:t>
      </w:r>
      <w:r>
        <w:rPr>
          <w:color w:val="231F20"/>
          <w:w w:val="120"/>
        </w:rPr>
        <w:t>carence</w:t>
      </w:r>
      <w:r>
        <w:rPr>
          <w:color w:val="231F20"/>
          <w:spacing w:val="-7"/>
          <w:w w:val="120"/>
        </w:rPr>
        <w:t> </w:t>
      </w:r>
      <w:r>
        <w:rPr>
          <w:color w:val="231F20"/>
          <w:w w:val="120"/>
        </w:rPr>
        <w:t>dans</w:t>
      </w:r>
      <w:r>
        <w:rPr>
          <w:color w:val="231F20"/>
          <w:spacing w:val="-7"/>
          <w:w w:val="120"/>
        </w:rPr>
        <w:t> </w:t>
      </w:r>
      <w:r>
        <w:rPr>
          <w:color w:val="231F20"/>
          <w:w w:val="120"/>
        </w:rPr>
        <w:t>la</w:t>
      </w:r>
      <w:r>
        <w:rPr>
          <w:color w:val="231F20"/>
          <w:spacing w:val="-7"/>
          <w:w w:val="120"/>
        </w:rPr>
        <w:t> </w:t>
      </w:r>
      <w:r>
        <w:rPr>
          <w:color w:val="231F20"/>
          <w:w w:val="120"/>
        </w:rPr>
        <w:t>définition</w:t>
      </w:r>
      <w:r>
        <w:rPr>
          <w:color w:val="231F20"/>
          <w:spacing w:val="-7"/>
          <w:w w:val="120"/>
        </w:rPr>
        <w:t> </w:t>
      </w:r>
      <w:r>
        <w:rPr>
          <w:color w:val="231F20"/>
          <w:w w:val="120"/>
        </w:rPr>
        <w:t>des</w:t>
      </w:r>
      <w:r>
        <w:rPr>
          <w:color w:val="231F20"/>
          <w:spacing w:val="-7"/>
          <w:w w:val="120"/>
        </w:rPr>
        <w:t> </w:t>
      </w:r>
      <w:r>
        <w:rPr>
          <w:color w:val="231F20"/>
          <w:w w:val="120"/>
        </w:rPr>
        <w:t>rôles des employés sont l’une des principales sources de conflit au sein des </w:t>
      </w:r>
      <w:r>
        <w:rPr>
          <w:color w:val="231F20"/>
          <w:spacing w:val="-2"/>
          <w:w w:val="120"/>
        </w:rPr>
        <w:t>entreprises.</w:t>
      </w:r>
      <w:r>
        <w:rPr>
          <w:color w:val="231F20"/>
          <w:spacing w:val="-10"/>
          <w:w w:val="120"/>
        </w:rPr>
        <w:t> </w:t>
      </w:r>
      <w:r>
        <w:rPr>
          <w:color w:val="231F20"/>
          <w:spacing w:val="-2"/>
          <w:w w:val="120"/>
        </w:rPr>
        <w:t>Pour</w:t>
      </w:r>
      <w:r>
        <w:rPr>
          <w:color w:val="231F20"/>
          <w:spacing w:val="-10"/>
          <w:w w:val="120"/>
        </w:rPr>
        <w:t> </w:t>
      </w:r>
      <w:r>
        <w:rPr>
          <w:color w:val="231F20"/>
          <w:spacing w:val="-2"/>
          <w:w w:val="120"/>
        </w:rPr>
        <w:t>éviter</w:t>
      </w:r>
      <w:r>
        <w:rPr>
          <w:color w:val="231F20"/>
          <w:spacing w:val="-10"/>
          <w:w w:val="120"/>
        </w:rPr>
        <w:t> </w:t>
      </w:r>
      <w:r>
        <w:rPr>
          <w:color w:val="231F20"/>
          <w:spacing w:val="-2"/>
          <w:w w:val="120"/>
        </w:rPr>
        <w:t>une</w:t>
      </w:r>
      <w:r>
        <w:rPr>
          <w:color w:val="231F20"/>
          <w:spacing w:val="-10"/>
          <w:w w:val="120"/>
        </w:rPr>
        <w:t> </w:t>
      </w:r>
      <w:r>
        <w:rPr>
          <w:color w:val="231F20"/>
          <w:spacing w:val="-2"/>
          <w:w w:val="120"/>
        </w:rPr>
        <w:t>telle</w:t>
      </w:r>
      <w:r>
        <w:rPr>
          <w:color w:val="231F20"/>
          <w:spacing w:val="-10"/>
          <w:w w:val="120"/>
        </w:rPr>
        <w:t> </w:t>
      </w:r>
      <w:r>
        <w:rPr>
          <w:color w:val="231F20"/>
          <w:spacing w:val="-2"/>
          <w:w w:val="120"/>
        </w:rPr>
        <w:t>ambiguïté</w:t>
      </w:r>
      <w:r>
        <w:rPr>
          <w:color w:val="231F20"/>
          <w:spacing w:val="-10"/>
          <w:w w:val="120"/>
        </w:rPr>
        <w:t> </w:t>
      </w:r>
      <w:r>
        <w:rPr>
          <w:color w:val="231F20"/>
          <w:spacing w:val="-2"/>
          <w:w w:val="120"/>
        </w:rPr>
        <w:t>des</w:t>
      </w:r>
      <w:r>
        <w:rPr>
          <w:color w:val="231F20"/>
          <w:spacing w:val="-10"/>
          <w:w w:val="120"/>
        </w:rPr>
        <w:t> </w:t>
      </w:r>
      <w:r>
        <w:rPr>
          <w:color w:val="231F20"/>
          <w:spacing w:val="-2"/>
          <w:w w:val="120"/>
        </w:rPr>
        <w:t>rôles,</w:t>
      </w:r>
      <w:r>
        <w:rPr>
          <w:color w:val="231F20"/>
          <w:spacing w:val="-10"/>
          <w:w w:val="120"/>
        </w:rPr>
        <w:t> </w:t>
      </w:r>
      <w:r>
        <w:rPr>
          <w:color w:val="231F20"/>
          <w:spacing w:val="-2"/>
          <w:w w:val="120"/>
        </w:rPr>
        <w:t>les</w:t>
      </w:r>
      <w:r>
        <w:rPr>
          <w:color w:val="231F20"/>
          <w:spacing w:val="-10"/>
          <w:w w:val="120"/>
        </w:rPr>
        <w:t> </w:t>
      </w:r>
      <w:r>
        <w:rPr>
          <w:color w:val="231F20"/>
          <w:spacing w:val="-2"/>
          <w:w w:val="120"/>
        </w:rPr>
        <w:t>conflits</w:t>
      </w:r>
      <w:r>
        <w:rPr>
          <w:color w:val="231F20"/>
          <w:spacing w:val="-10"/>
          <w:w w:val="120"/>
        </w:rPr>
        <w:t> </w:t>
      </w:r>
      <w:r>
        <w:rPr>
          <w:color w:val="231F20"/>
          <w:spacing w:val="-2"/>
          <w:w w:val="120"/>
        </w:rPr>
        <w:t>de</w:t>
      </w:r>
      <w:r>
        <w:rPr>
          <w:color w:val="231F20"/>
          <w:spacing w:val="-10"/>
          <w:w w:val="120"/>
        </w:rPr>
        <w:t> </w:t>
      </w:r>
      <w:r>
        <w:rPr>
          <w:color w:val="231F20"/>
          <w:spacing w:val="-2"/>
          <w:w w:val="120"/>
        </w:rPr>
        <w:t>rôles </w:t>
      </w:r>
      <w:r>
        <w:rPr>
          <w:color w:val="231F20"/>
          <w:w w:val="120"/>
        </w:rPr>
        <w:t>entre</w:t>
      </w:r>
      <w:r>
        <w:rPr>
          <w:color w:val="231F20"/>
          <w:spacing w:val="-7"/>
          <w:w w:val="120"/>
        </w:rPr>
        <w:t> </w:t>
      </w:r>
      <w:r>
        <w:rPr>
          <w:color w:val="231F20"/>
          <w:w w:val="120"/>
        </w:rPr>
        <w:t>individus</w:t>
      </w:r>
      <w:r>
        <w:rPr>
          <w:color w:val="231F20"/>
          <w:spacing w:val="-7"/>
          <w:w w:val="120"/>
        </w:rPr>
        <w:t> </w:t>
      </w:r>
      <w:r>
        <w:rPr>
          <w:color w:val="231F20"/>
          <w:w w:val="120"/>
        </w:rPr>
        <w:t>et</w:t>
      </w:r>
      <w:r>
        <w:rPr>
          <w:color w:val="231F20"/>
          <w:spacing w:val="-7"/>
          <w:w w:val="120"/>
        </w:rPr>
        <w:t> </w:t>
      </w:r>
      <w:r>
        <w:rPr>
          <w:color w:val="231F20"/>
          <w:w w:val="120"/>
        </w:rPr>
        <w:t>les</w:t>
      </w:r>
      <w:r>
        <w:rPr>
          <w:color w:val="231F20"/>
          <w:spacing w:val="-7"/>
          <w:w w:val="120"/>
        </w:rPr>
        <w:t> </w:t>
      </w:r>
      <w:r>
        <w:rPr>
          <w:color w:val="231F20"/>
          <w:w w:val="120"/>
        </w:rPr>
        <w:t>causes</w:t>
      </w:r>
      <w:r>
        <w:rPr>
          <w:color w:val="231F20"/>
          <w:spacing w:val="-7"/>
          <w:w w:val="120"/>
        </w:rPr>
        <w:t> </w:t>
      </w:r>
      <w:r>
        <w:rPr>
          <w:color w:val="231F20"/>
          <w:w w:val="120"/>
        </w:rPr>
        <w:t>qui</w:t>
      </w:r>
      <w:r>
        <w:rPr>
          <w:color w:val="231F20"/>
          <w:spacing w:val="-7"/>
          <w:w w:val="120"/>
        </w:rPr>
        <w:t> </w:t>
      </w:r>
      <w:r>
        <w:rPr>
          <w:color w:val="231F20"/>
          <w:w w:val="120"/>
        </w:rPr>
        <w:t>risquent</w:t>
      </w:r>
      <w:r>
        <w:rPr>
          <w:color w:val="231F20"/>
          <w:spacing w:val="-7"/>
          <w:w w:val="120"/>
        </w:rPr>
        <w:t> </w:t>
      </w:r>
      <w:r>
        <w:rPr>
          <w:color w:val="231F20"/>
          <w:w w:val="120"/>
        </w:rPr>
        <w:t>d’occasionner</w:t>
      </w:r>
      <w:r>
        <w:rPr>
          <w:color w:val="231F20"/>
          <w:spacing w:val="-7"/>
          <w:w w:val="120"/>
        </w:rPr>
        <w:t> </w:t>
      </w:r>
      <w:r>
        <w:rPr>
          <w:color w:val="231F20"/>
          <w:w w:val="120"/>
        </w:rPr>
        <w:t>de</w:t>
      </w:r>
      <w:r>
        <w:rPr>
          <w:color w:val="231F20"/>
          <w:spacing w:val="-7"/>
          <w:w w:val="120"/>
        </w:rPr>
        <w:t> </w:t>
      </w:r>
      <w:r>
        <w:rPr>
          <w:color w:val="231F20"/>
          <w:w w:val="120"/>
        </w:rPr>
        <w:t>tels</w:t>
      </w:r>
      <w:r>
        <w:rPr>
          <w:color w:val="231F20"/>
          <w:spacing w:val="-7"/>
          <w:w w:val="120"/>
        </w:rPr>
        <w:t> </w:t>
      </w:r>
      <w:r>
        <w:rPr>
          <w:color w:val="231F20"/>
          <w:w w:val="120"/>
        </w:rPr>
        <w:t>conflits, il faut chercher à définir clairement et sans équivoque les tâches de chaque</w:t>
      </w:r>
      <w:r>
        <w:rPr>
          <w:color w:val="231F20"/>
          <w:spacing w:val="-6"/>
          <w:w w:val="120"/>
        </w:rPr>
        <w:t> </w:t>
      </w:r>
      <w:r>
        <w:rPr>
          <w:color w:val="231F20"/>
          <w:w w:val="120"/>
        </w:rPr>
        <w:t>personne</w:t>
      </w:r>
      <w:r>
        <w:rPr>
          <w:color w:val="231F20"/>
          <w:spacing w:val="-6"/>
          <w:w w:val="120"/>
        </w:rPr>
        <w:t> </w:t>
      </w:r>
      <w:r>
        <w:rPr>
          <w:color w:val="231F20"/>
          <w:w w:val="120"/>
        </w:rPr>
        <w:t>et</w:t>
      </w:r>
      <w:r>
        <w:rPr>
          <w:color w:val="231F20"/>
          <w:spacing w:val="-6"/>
          <w:w w:val="120"/>
        </w:rPr>
        <w:t> </w:t>
      </w:r>
      <w:r>
        <w:rPr>
          <w:color w:val="231F20"/>
          <w:w w:val="120"/>
        </w:rPr>
        <w:t>son</w:t>
      </w:r>
      <w:r>
        <w:rPr>
          <w:color w:val="231F20"/>
          <w:spacing w:val="-6"/>
          <w:w w:val="120"/>
        </w:rPr>
        <w:t> </w:t>
      </w:r>
      <w:r>
        <w:rPr>
          <w:color w:val="231F20"/>
          <w:w w:val="120"/>
        </w:rPr>
        <w:t>rôle</w:t>
      </w:r>
      <w:r>
        <w:rPr>
          <w:color w:val="231F20"/>
          <w:spacing w:val="-6"/>
          <w:w w:val="120"/>
        </w:rPr>
        <w:t> </w:t>
      </w:r>
      <w:r>
        <w:rPr>
          <w:color w:val="231F20"/>
          <w:w w:val="120"/>
        </w:rPr>
        <w:t>au</w:t>
      </w:r>
      <w:r>
        <w:rPr>
          <w:color w:val="231F20"/>
          <w:spacing w:val="-6"/>
          <w:w w:val="120"/>
        </w:rPr>
        <w:t> </w:t>
      </w:r>
      <w:r>
        <w:rPr>
          <w:color w:val="231F20"/>
          <w:w w:val="120"/>
        </w:rPr>
        <w:t>sein</w:t>
      </w:r>
      <w:r>
        <w:rPr>
          <w:color w:val="231F20"/>
          <w:spacing w:val="-6"/>
          <w:w w:val="120"/>
        </w:rPr>
        <w:t> </w:t>
      </w:r>
      <w:r>
        <w:rPr>
          <w:color w:val="231F20"/>
          <w:w w:val="120"/>
        </w:rPr>
        <w:t>de</w:t>
      </w:r>
      <w:r>
        <w:rPr>
          <w:color w:val="231F20"/>
          <w:spacing w:val="-6"/>
          <w:w w:val="120"/>
        </w:rPr>
        <w:t> </w:t>
      </w:r>
      <w:r>
        <w:rPr>
          <w:color w:val="231F20"/>
          <w:w w:val="120"/>
        </w:rPr>
        <w:t>l’organisation,</w:t>
      </w:r>
      <w:r>
        <w:rPr>
          <w:color w:val="231F20"/>
          <w:spacing w:val="-6"/>
          <w:w w:val="120"/>
        </w:rPr>
        <w:t> </w:t>
      </w:r>
      <w:r>
        <w:rPr>
          <w:color w:val="231F20"/>
          <w:w w:val="120"/>
        </w:rPr>
        <w:t>de</w:t>
      </w:r>
      <w:r>
        <w:rPr>
          <w:color w:val="231F20"/>
          <w:spacing w:val="-6"/>
          <w:w w:val="120"/>
        </w:rPr>
        <w:t> </w:t>
      </w:r>
      <w:r>
        <w:rPr>
          <w:color w:val="231F20"/>
          <w:w w:val="120"/>
        </w:rPr>
        <w:t>même</w:t>
      </w:r>
      <w:r>
        <w:rPr>
          <w:color w:val="231F20"/>
          <w:spacing w:val="-6"/>
          <w:w w:val="120"/>
        </w:rPr>
        <w:t> </w:t>
      </w:r>
      <w:r>
        <w:rPr>
          <w:color w:val="231F20"/>
          <w:w w:val="120"/>
        </w:rPr>
        <w:t>que</w:t>
      </w:r>
      <w:r>
        <w:rPr>
          <w:color w:val="231F20"/>
          <w:spacing w:val="-6"/>
          <w:w w:val="120"/>
        </w:rPr>
        <w:t> </w:t>
      </w:r>
      <w:r>
        <w:rPr>
          <w:color w:val="231F20"/>
          <w:w w:val="120"/>
        </w:rPr>
        <w:t>les </w:t>
      </w:r>
      <w:r>
        <w:rPr>
          <w:color w:val="231F20"/>
          <w:w w:val="115"/>
        </w:rPr>
        <w:t>moyens</w:t>
      </w:r>
      <w:r>
        <w:rPr>
          <w:color w:val="231F20"/>
          <w:spacing w:val="-12"/>
          <w:w w:val="115"/>
        </w:rPr>
        <w:t> </w:t>
      </w:r>
      <w:r>
        <w:rPr>
          <w:color w:val="231F20"/>
          <w:w w:val="115"/>
        </w:rPr>
        <w:t>qu’elle</w:t>
      </w:r>
      <w:r>
        <w:rPr>
          <w:color w:val="231F20"/>
          <w:spacing w:val="-12"/>
          <w:w w:val="115"/>
        </w:rPr>
        <w:t> </w:t>
      </w:r>
      <w:r>
        <w:rPr>
          <w:color w:val="231F20"/>
          <w:w w:val="115"/>
        </w:rPr>
        <w:t>a</w:t>
      </w:r>
      <w:r>
        <w:rPr>
          <w:color w:val="231F20"/>
          <w:spacing w:val="-12"/>
          <w:w w:val="115"/>
        </w:rPr>
        <w:t> </w:t>
      </w:r>
      <w:r>
        <w:rPr>
          <w:color w:val="231F20"/>
          <w:w w:val="115"/>
        </w:rPr>
        <w:t>d’interagir</w:t>
      </w:r>
      <w:r>
        <w:rPr>
          <w:color w:val="231F20"/>
          <w:spacing w:val="-12"/>
          <w:w w:val="115"/>
        </w:rPr>
        <w:t> </w:t>
      </w:r>
      <w:r>
        <w:rPr>
          <w:color w:val="231F20"/>
          <w:w w:val="115"/>
        </w:rPr>
        <w:t>avec</w:t>
      </w:r>
      <w:r>
        <w:rPr>
          <w:color w:val="231F20"/>
          <w:spacing w:val="-12"/>
          <w:w w:val="115"/>
        </w:rPr>
        <w:t> </w:t>
      </w:r>
      <w:r>
        <w:rPr>
          <w:color w:val="231F20"/>
          <w:w w:val="115"/>
        </w:rPr>
        <w:t>les</w:t>
      </w:r>
      <w:r>
        <w:rPr>
          <w:color w:val="231F20"/>
          <w:spacing w:val="-12"/>
          <w:w w:val="115"/>
        </w:rPr>
        <w:t> </w:t>
      </w:r>
      <w:r>
        <w:rPr>
          <w:color w:val="231F20"/>
          <w:w w:val="115"/>
        </w:rPr>
        <w:t>autres</w:t>
      </w:r>
      <w:r>
        <w:rPr>
          <w:color w:val="231F20"/>
          <w:spacing w:val="-12"/>
          <w:w w:val="115"/>
        </w:rPr>
        <w:t> </w:t>
      </w:r>
      <w:r>
        <w:rPr>
          <w:color w:val="231F20"/>
          <w:w w:val="115"/>
        </w:rPr>
        <w:t>et</w:t>
      </w:r>
      <w:r>
        <w:rPr>
          <w:color w:val="231F20"/>
          <w:spacing w:val="-12"/>
          <w:w w:val="115"/>
        </w:rPr>
        <w:t> </w:t>
      </w:r>
      <w:r>
        <w:rPr>
          <w:color w:val="231F20"/>
          <w:w w:val="115"/>
        </w:rPr>
        <w:t>la</w:t>
      </w:r>
      <w:r>
        <w:rPr>
          <w:color w:val="231F20"/>
          <w:spacing w:val="-12"/>
          <w:w w:val="115"/>
        </w:rPr>
        <w:t> </w:t>
      </w:r>
      <w:r>
        <w:rPr>
          <w:color w:val="231F20"/>
          <w:w w:val="115"/>
        </w:rPr>
        <w:t>portée</w:t>
      </w:r>
      <w:r>
        <w:rPr>
          <w:color w:val="231F20"/>
          <w:spacing w:val="-12"/>
          <w:w w:val="115"/>
        </w:rPr>
        <w:t> </w:t>
      </w:r>
      <w:r>
        <w:rPr>
          <w:color w:val="231F20"/>
          <w:w w:val="115"/>
        </w:rPr>
        <w:t>de</w:t>
      </w:r>
      <w:r>
        <w:rPr>
          <w:color w:val="231F20"/>
          <w:spacing w:val="-12"/>
          <w:w w:val="115"/>
        </w:rPr>
        <w:t> </w:t>
      </w:r>
      <w:r>
        <w:rPr>
          <w:color w:val="231F20"/>
          <w:w w:val="115"/>
        </w:rPr>
        <w:t>ces</w:t>
      </w:r>
      <w:r>
        <w:rPr>
          <w:color w:val="231F20"/>
          <w:spacing w:val="-12"/>
          <w:w w:val="115"/>
        </w:rPr>
        <w:t> </w:t>
      </w:r>
      <w:r>
        <w:rPr>
          <w:color w:val="231F20"/>
          <w:w w:val="115"/>
        </w:rPr>
        <w:t>interactions. </w:t>
      </w:r>
      <w:r>
        <w:rPr>
          <w:color w:val="231F20"/>
          <w:w w:val="120"/>
        </w:rPr>
        <w:t>Il est également nécessaire de bien coordonner toutes les activités du personnel</w:t>
      </w:r>
      <w:r>
        <w:rPr>
          <w:color w:val="231F20"/>
          <w:spacing w:val="-8"/>
          <w:w w:val="120"/>
        </w:rPr>
        <w:t> </w:t>
      </w:r>
      <w:r>
        <w:rPr>
          <w:color w:val="231F20"/>
          <w:w w:val="120"/>
        </w:rPr>
        <w:t>et</w:t>
      </w:r>
      <w:r>
        <w:rPr>
          <w:color w:val="231F20"/>
          <w:spacing w:val="-8"/>
          <w:w w:val="120"/>
        </w:rPr>
        <w:t> </w:t>
      </w:r>
      <w:r>
        <w:rPr>
          <w:color w:val="231F20"/>
          <w:w w:val="120"/>
        </w:rPr>
        <w:t>d’assurer</w:t>
      </w:r>
      <w:r>
        <w:rPr>
          <w:color w:val="231F20"/>
          <w:spacing w:val="-8"/>
          <w:w w:val="120"/>
        </w:rPr>
        <w:t> </w:t>
      </w:r>
      <w:r>
        <w:rPr>
          <w:color w:val="231F20"/>
          <w:w w:val="120"/>
        </w:rPr>
        <w:t>la</w:t>
      </w:r>
      <w:r>
        <w:rPr>
          <w:color w:val="231F20"/>
          <w:spacing w:val="-8"/>
          <w:w w:val="120"/>
        </w:rPr>
        <w:t> </w:t>
      </w:r>
      <w:r>
        <w:rPr>
          <w:color w:val="231F20"/>
          <w:w w:val="120"/>
        </w:rPr>
        <w:t>cohérence</w:t>
      </w:r>
      <w:r>
        <w:rPr>
          <w:color w:val="231F20"/>
          <w:spacing w:val="-8"/>
          <w:w w:val="120"/>
        </w:rPr>
        <w:t> </w:t>
      </w:r>
      <w:r>
        <w:rPr>
          <w:color w:val="231F20"/>
          <w:w w:val="120"/>
        </w:rPr>
        <w:t>soutenue</w:t>
      </w:r>
      <w:r>
        <w:rPr>
          <w:color w:val="231F20"/>
          <w:spacing w:val="-8"/>
          <w:w w:val="120"/>
        </w:rPr>
        <w:t> </w:t>
      </w:r>
      <w:r>
        <w:rPr>
          <w:color w:val="231F20"/>
          <w:w w:val="120"/>
        </w:rPr>
        <w:t>des</w:t>
      </w:r>
      <w:r>
        <w:rPr>
          <w:color w:val="231F20"/>
          <w:spacing w:val="-8"/>
          <w:w w:val="120"/>
        </w:rPr>
        <w:t> </w:t>
      </w:r>
      <w:r>
        <w:rPr>
          <w:color w:val="231F20"/>
          <w:w w:val="120"/>
        </w:rPr>
        <w:t>consignes</w:t>
      </w:r>
      <w:r>
        <w:rPr>
          <w:color w:val="231F20"/>
          <w:spacing w:val="-8"/>
          <w:w w:val="120"/>
        </w:rPr>
        <w:t> </w:t>
      </w:r>
      <w:r>
        <w:rPr>
          <w:color w:val="231F20"/>
          <w:w w:val="120"/>
        </w:rPr>
        <w:t>qui</w:t>
      </w:r>
      <w:r>
        <w:rPr>
          <w:color w:val="231F20"/>
          <w:spacing w:val="-8"/>
          <w:w w:val="120"/>
        </w:rPr>
        <w:t> </w:t>
      </w:r>
      <w:r>
        <w:rPr>
          <w:color w:val="231F20"/>
          <w:w w:val="120"/>
        </w:rPr>
        <w:t>lui</w:t>
      </w:r>
      <w:r>
        <w:rPr>
          <w:color w:val="231F20"/>
          <w:spacing w:val="-8"/>
          <w:w w:val="120"/>
        </w:rPr>
        <w:t> </w:t>
      </w:r>
      <w:r>
        <w:rPr>
          <w:color w:val="231F20"/>
          <w:w w:val="120"/>
        </w:rPr>
        <w:t>sont </w:t>
      </w:r>
      <w:r>
        <w:rPr>
          <w:color w:val="231F20"/>
          <w:spacing w:val="-2"/>
          <w:w w:val="120"/>
        </w:rPr>
        <w:t>données.</w:t>
      </w:r>
      <w:r>
        <w:rPr>
          <w:color w:val="231F20"/>
          <w:spacing w:val="-10"/>
          <w:w w:val="120"/>
        </w:rPr>
        <w:t> </w:t>
      </w:r>
      <w:r>
        <w:rPr>
          <w:color w:val="231F20"/>
          <w:spacing w:val="-2"/>
          <w:w w:val="120"/>
        </w:rPr>
        <w:t>À</w:t>
      </w:r>
      <w:r>
        <w:rPr>
          <w:color w:val="231F20"/>
          <w:spacing w:val="-9"/>
          <w:w w:val="120"/>
        </w:rPr>
        <w:t> </w:t>
      </w:r>
      <w:r>
        <w:rPr>
          <w:color w:val="231F20"/>
          <w:spacing w:val="-2"/>
          <w:w w:val="120"/>
        </w:rPr>
        <w:t>cet</w:t>
      </w:r>
      <w:r>
        <w:rPr>
          <w:color w:val="231F20"/>
          <w:spacing w:val="-10"/>
          <w:w w:val="120"/>
        </w:rPr>
        <w:t> </w:t>
      </w:r>
      <w:r>
        <w:rPr>
          <w:color w:val="231F20"/>
          <w:spacing w:val="-2"/>
          <w:w w:val="120"/>
        </w:rPr>
        <w:t>égard,</w:t>
      </w:r>
      <w:r>
        <w:rPr>
          <w:color w:val="231F20"/>
          <w:spacing w:val="-10"/>
          <w:w w:val="120"/>
        </w:rPr>
        <w:t> </w:t>
      </w:r>
      <w:r>
        <w:rPr>
          <w:color w:val="231F20"/>
          <w:spacing w:val="-2"/>
          <w:w w:val="120"/>
        </w:rPr>
        <w:t>la</w:t>
      </w:r>
      <w:r>
        <w:rPr>
          <w:color w:val="231F20"/>
          <w:spacing w:val="-10"/>
          <w:w w:val="120"/>
        </w:rPr>
        <w:t> </w:t>
      </w:r>
      <w:r>
        <w:rPr>
          <w:color w:val="231F20"/>
          <w:spacing w:val="-2"/>
          <w:w w:val="120"/>
        </w:rPr>
        <w:t>mise</w:t>
      </w:r>
      <w:r>
        <w:rPr>
          <w:color w:val="231F20"/>
          <w:spacing w:val="-10"/>
          <w:w w:val="120"/>
        </w:rPr>
        <w:t> </w:t>
      </w:r>
      <w:r>
        <w:rPr>
          <w:color w:val="231F20"/>
          <w:spacing w:val="-2"/>
          <w:w w:val="120"/>
        </w:rPr>
        <w:t>en</w:t>
      </w:r>
      <w:r>
        <w:rPr>
          <w:color w:val="231F20"/>
          <w:spacing w:val="-10"/>
          <w:w w:val="120"/>
        </w:rPr>
        <w:t> </w:t>
      </w:r>
      <w:r>
        <w:rPr>
          <w:color w:val="231F20"/>
          <w:spacing w:val="-2"/>
          <w:w w:val="120"/>
        </w:rPr>
        <w:t>place</w:t>
      </w:r>
      <w:r>
        <w:rPr>
          <w:color w:val="231F20"/>
          <w:spacing w:val="-10"/>
          <w:w w:val="120"/>
        </w:rPr>
        <w:t> </w:t>
      </w:r>
      <w:r>
        <w:rPr>
          <w:color w:val="231F20"/>
          <w:spacing w:val="-2"/>
          <w:w w:val="120"/>
        </w:rPr>
        <w:t>de</w:t>
      </w:r>
      <w:r>
        <w:rPr>
          <w:color w:val="231F20"/>
          <w:spacing w:val="-10"/>
          <w:w w:val="120"/>
        </w:rPr>
        <w:t> </w:t>
      </w:r>
      <w:r>
        <w:rPr>
          <w:color w:val="231F20"/>
          <w:spacing w:val="-2"/>
          <w:w w:val="120"/>
        </w:rPr>
        <w:t>canaux</w:t>
      </w:r>
      <w:r>
        <w:rPr>
          <w:color w:val="231F20"/>
          <w:spacing w:val="-10"/>
          <w:w w:val="120"/>
        </w:rPr>
        <w:t> </w:t>
      </w:r>
      <w:r>
        <w:rPr>
          <w:color w:val="231F20"/>
          <w:spacing w:val="-2"/>
          <w:w w:val="120"/>
        </w:rPr>
        <w:t>d’information</w:t>
      </w:r>
      <w:r>
        <w:rPr>
          <w:color w:val="231F20"/>
          <w:spacing w:val="-10"/>
          <w:w w:val="120"/>
        </w:rPr>
        <w:t> </w:t>
      </w:r>
      <w:r>
        <w:rPr>
          <w:color w:val="231F20"/>
          <w:spacing w:val="-2"/>
          <w:w w:val="120"/>
        </w:rPr>
        <w:t>adéquats </w:t>
      </w:r>
      <w:r>
        <w:rPr>
          <w:color w:val="231F20"/>
          <w:w w:val="120"/>
        </w:rPr>
        <w:t>revêt une importance particulière.</w:t>
      </w:r>
    </w:p>
    <w:p>
      <w:pPr>
        <w:pStyle w:val="BodyText"/>
        <w:spacing w:line="307" w:lineRule="auto" w:before="78"/>
        <w:ind w:left="1220" w:right="105" w:firstLine="250"/>
        <w:jc w:val="both"/>
      </w:pPr>
      <w:r>
        <w:rPr>
          <w:color w:val="231F20"/>
          <w:w w:val="120"/>
        </w:rPr>
        <w:t>Toutefois,</w:t>
      </w:r>
      <w:r>
        <w:rPr>
          <w:color w:val="231F20"/>
          <w:spacing w:val="-8"/>
          <w:w w:val="120"/>
        </w:rPr>
        <w:t> </w:t>
      </w:r>
      <w:r>
        <w:rPr>
          <w:color w:val="231F20"/>
          <w:w w:val="120"/>
        </w:rPr>
        <w:t>vu</w:t>
      </w:r>
      <w:r>
        <w:rPr>
          <w:color w:val="231F20"/>
          <w:spacing w:val="-8"/>
          <w:w w:val="120"/>
        </w:rPr>
        <w:t> </w:t>
      </w:r>
      <w:r>
        <w:rPr>
          <w:color w:val="231F20"/>
          <w:w w:val="120"/>
        </w:rPr>
        <w:t>la</w:t>
      </w:r>
      <w:r>
        <w:rPr>
          <w:color w:val="231F20"/>
          <w:spacing w:val="-9"/>
          <w:w w:val="120"/>
        </w:rPr>
        <w:t> </w:t>
      </w:r>
      <w:r>
        <w:rPr>
          <w:color w:val="231F20"/>
          <w:w w:val="120"/>
        </w:rPr>
        <w:t>nature</w:t>
      </w:r>
      <w:r>
        <w:rPr>
          <w:color w:val="231F20"/>
          <w:spacing w:val="-8"/>
          <w:w w:val="120"/>
        </w:rPr>
        <w:t> </w:t>
      </w:r>
      <w:r>
        <w:rPr>
          <w:color w:val="231F20"/>
          <w:w w:val="120"/>
        </w:rPr>
        <w:t>évolutive</w:t>
      </w:r>
      <w:r>
        <w:rPr>
          <w:color w:val="231F20"/>
          <w:spacing w:val="-9"/>
          <w:w w:val="120"/>
        </w:rPr>
        <w:t> </w:t>
      </w:r>
      <w:r>
        <w:rPr>
          <w:color w:val="231F20"/>
          <w:w w:val="120"/>
        </w:rPr>
        <w:t>des</w:t>
      </w:r>
      <w:r>
        <w:rPr>
          <w:color w:val="231F20"/>
          <w:spacing w:val="-8"/>
          <w:w w:val="120"/>
        </w:rPr>
        <w:t> </w:t>
      </w:r>
      <w:r>
        <w:rPr>
          <w:color w:val="231F20"/>
          <w:w w:val="120"/>
        </w:rPr>
        <w:t>entreprises,</w:t>
      </w:r>
      <w:r>
        <w:rPr>
          <w:color w:val="231F20"/>
          <w:spacing w:val="-9"/>
          <w:w w:val="120"/>
        </w:rPr>
        <w:t> </w:t>
      </w:r>
      <w:r>
        <w:rPr>
          <w:color w:val="231F20"/>
          <w:w w:val="120"/>
        </w:rPr>
        <w:t>il</w:t>
      </w:r>
      <w:r>
        <w:rPr>
          <w:color w:val="231F20"/>
          <w:spacing w:val="-8"/>
          <w:w w:val="120"/>
        </w:rPr>
        <w:t> </w:t>
      </w:r>
      <w:r>
        <w:rPr>
          <w:color w:val="231F20"/>
          <w:w w:val="120"/>
        </w:rPr>
        <w:t>est</w:t>
      </w:r>
      <w:r>
        <w:rPr>
          <w:color w:val="231F20"/>
          <w:spacing w:val="-9"/>
          <w:w w:val="120"/>
        </w:rPr>
        <w:t> </w:t>
      </w:r>
      <w:r>
        <w:rPr>
          <w:color w:val="231F20"/>
          <w:w w:val="120"/>
        </w:rPr>
        <w:t>nécessaire</w:t>
      </w:r>
      <w:r>
        <w:rPr>
          <w:color w:val="231F20"/>
          <w:spacing w:val="-8"/>
          <w:w w:val="120"/>
        </w:rPr>
        <w:t> </w:t>
      </w:r>
      <w:r>
        <w:rPr>
          <w:color w:val="231F20"/>
          <w:w w:val="120"/>
        </w:rPr>
        <w:t>de concevoir</w:t>
      </w:r>
      <w:r>
        <w:rPr>
          <w:color w:val="231F20"/>
          <w:spacing w:val="-3"/>
          <w:w w:val="120"/>
        </w:rPr>
        <w:t> </w:t>
      </w:r>
      <w:r>
        <w:rPr>
          <w:color w:val="231F20"/>
          <w:w w:val="120"/>
        </w:rPr>
        <w:t>des</w:t>
      </w:r>
      <w:r>
        <w:rPr>
          <w:color w:val="231F20"/>
          <w:spacing w:val="-3"/>
          <w:w w:val="120"/>
        </w:rPr>
        <w:t> </w:t>
      </w:r>
      <w:r>
        <w:rPr>
          <w:color w:val="231F20"/>
          <w:w w:val="120"/>
        </w:rPr>
        <w:t>systèmes</w:t>
      </w:r>
      <w:r>
        <w:rPr>
          <w:color w:val="231F20"/>
          <w:spacing w:val="-3"/>
          <w:w w:val="120"/>
        </w:rPr>
        <w:t> </w:t>
      </w:r>
      <w:r>
        <w:rPr>
          <w:color w:val="231F20"/>
          <w:w w:val="120"/>
        </w:rPr>
        <w:t>de</w:t>
      </w:r>
      <w:r>
        <w:rPr>
          <w:color w:val="231F20"/>
          <w:spacing w:val="-3"/>
          <w:w w:val="120"/>
        </w:rPr>
        <w:t> </w:t>
      </w:r>
      <w:r>
        <w:rPr>
          <w:color w:val="231F20"/>
          <w:w w:val="120"/>
        </w:rPr>
        <w:t>règlement</w:t>
      </w:r>
      <w:r>
        <w:rPr>
          <w:color w:val="231F20"/>
          <w:spacing w:val="-3"/>
          <w:w w:val="120"/>
        </w:rPr>
        <w:t> </w:t>
      </w:r>
      <w:r>
        <w:rPr>
          <w:color w:val="231F20"/>
          <w:w w:val="120"/>
        </w:rPr>
        <w:t>des</w:t>
      </w:r>
      <w:r>
        <w:rPr>
          <w:color w:val="231F20"/>
          <w:spacing w:val="-3"/>
          <w:w w:val="120"/>
        </w:rPr>
        <w:t> </w:t>
      </w:r>
      <w:r>
        <w:rPr>
          <w:color w:val="231F20"/>
          <w:w w:val="120"/>
        </w:rPr>
        <w:t>conflits</w:t>
      </w:r>
      <w:r>
        <w:rPr>
          <w:color w:val="231F20"/>
          <w:spacing w:val="-3"/>
          <w:w w:val="120"/>
        </w:rPr>
        <w:t> </w:t>
      </w:r>
      <w:r>
        <w:rPr>
          <w:color w:val="231F20"/>
          <w:w w:val="120"/>
        </w:rPr>
        <w:t>et</w:t>
      </w:r>
      <w:r>
        <w:rPr>
          <w:color w:val="231F20"/>
          <w:spacing w:val="-3"/>
          <w:w w:val="120"/>
        </w:rPr>
        <w:t> </w:t>
      </w:r>
      <w:r>
        <w:rPr>
          <w:color w:val="231F20"/>
          <w:w w:val="120"/>
        </w:rPr>
        <w:t>de</w:t>
      </w:r>
      <w:r>
        <w:rPr>
          <w:color w:val="231F20"/>
          <w:spacing w:val="-3"/>
          <w:w w:val="120"/>
        </w:rPr>
        <w:t> </w:t>
      </w:r>
      <w:r>
        <w:rPr>
          <w:color w:val="231F20"/>
          <w:w w:val="120"/>
        </w:rPr>
        <w:t>mettre</w:t>
      </w:r>
      <w:r>
        <w:rPr>
          <w:color w:val="231F20"/>
          <w:spacing w:val="-3"/>
          <w:w w:val="120"/>
        </w:rPr>
        <w:t> </w:t>
      </w:r>
      <w:r>
        <w:rPr>
          <w:color w:val="231F20"/>
          <w:w w:val="120"/>
        </w:rPr>
        <w:t>au</w:t>
      </w:r>
      <w:r>
        <w:rPr>
          <w:color w:val="231F20"/>
          <w:spacing w:val="-3"/>
          <w:w w:val="120"/>
        </w:rPr>
        <w:t> </w:t>
      </w:r>
      <w:r>
        <w:rPr>
          <w:color w:val="231F20"/>
          <w:w w:val="120"/>
        </w:rPr>
        <w:t>point des</w:t>
      </w:r>
      <w:r>
        <w:rPr>
          <w:color w:val="231F20"/>
          <w:spacing w:val="22"/>
          <w:w w:val="120"/>
        </w:rPr>
        <w:t> </w:t>
      </w:r>
      <w:r>
        <w:rPr>
          <w:color w:val="231F20"/>
          <w:w w:val="120"/>
        </w:rPr>
        <w:t>procédures</w:t>
      </w:r>
      <w:r>
        <w:rPr>
          <w:color w:val="231F20"/>
          <w:spacing w:val="22"/>
          <w:w w:val="120"/>
        </w:rPr>
        <w:t> </w:t>
      </w:r>
      <w:r>
        <w:rPr>
          <w:color w:val="231F20"/>
          <w:w w:val="120"/>
        </w:rPr>
        <w:t>structurelles</w:t>
      </w:r>
      <w:r>
        <w:rPr>
          <w:color w:val="231F20"/>
          <w:spacing w:val="23"/>
          <w:w w:val="120"/>
        </w:rPr>
        <w:t> </w:t>
      </w:r>
      <w:r>
        <w:rPr>
          <w:color w:val="231F20"/>
          <w:w w:val="120"/>
        </w:rPr>
        <w:t>de</w:t>
      </w:r>
      <w:r>
        <w:rPr>
          <w:color w:val="231F20"/>
          <w:spacing w:val="22"/>
          <w:w w:val="120"/>
        </w:rPr>
        <w:t> </w:t>
      </w:r>
      <w:r>
        <w:rPr>
          <w:color w:val="231F20"/>
          <w:w w:val="120"/>
        </w:rPr>
        <w:t>médiation</w:t>
      </w:r>
      <w:r>
        <w:rPr>
          <w:color w:val="231F20"/>
          <w:spacing w:val="22"/>
          <w:w w:val="120"/>
        </w:rPr>
        <w:t> </w:t>
      </w:r>
      <w:r>
        <w:rPr>
          <w:color w:val="231F20"/>
          <w:w w:val="120"/>
        </w:rPr>
        <w:t>et</w:t>
      </w:r>
      <w:r>
        <w:rPr>
          <w:color w:val="231F20"/>
          <w:spacing w:val="23"/>
          <w:w w:val="120"/>
        </w:rPr>
        <w:t> </w:t>
      </w:r>
      <w:r>
        <w:rPr>
          <w:color w:val="231F20"/>
          <w:w w:val="120"/>
        </w:rPr>
        <w:t>d’arbitrage</w:t>
      </w:r>
      <w:r>
        <w:rPr>
          <w:color w:val="231F20"/>
          <w:spacing w:val="22"/>
          <w:w w:val="120"/>
        </w:rPr>
        <w:t> </w:t>
      </w:r>
      <w:r>
        <w:rPr>
          <w:color w:val="231F20"/>
          <w:w w:val="120"/>
        </w:rPr>
        <w:t>des</w:t>
      </w:r>
      <w:r>
        <w:rPr>
          <w:color w:val="231F20"/>
          <w:spacing w:val="22"/>
          <w:w w:val="120"/>
        </w:rPr>
        <w:t> </w:t>
      </w:r>
      <w:r>
        <w:rPr>
          <w:color w:val="231F20"/>
          <w:spacing w:val="-2"/>
          <w:w w:val="120"/>
        </w:rPr>
        <w:t>conflits</w:t>
      </w:r>
    </w:p>
    <w:p>
      <w:pPr>
        <w:pStyle w:val="BodyText"/>
        <w:rPr>
          <w:sz w:val="20"/>
        </w:rPr>
      </w:pPr>
    </w:p>
    <w:p>
      <w:pPr>
        <w:pStyle w:val="BodyText"/>
        <w:spacing w:before="1"/>
        <w:rPr>
          <w:sz w:val="21"/>
        </w:rPr>
      </w:pPr>
      <w:r>
        <w:rPr/>
        <w:pict>
          <v:shape style="position:absolute;margin-left:82pt;margin-top:13.347803pt;width:287.5pt;height:.1pt;mso-position-horizontal-relative:page;mso-position-vertical-relative:paragraph;z-index:-15619072;mso-wrap-distance-left:0;mso-wrap-distance-right:0" id="docshape1112" coordorigin="1640,267" coordsize="5750,0" path="m1640,267l7390,267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19" w:right="108" w:hanging="406"/>
        <w:jc w:val="left"/>
        <w:rPr>
          <w:rFonts w:ascii="Arial" w:hAnsi="Arial"/>
          <w:sz w:val="12"/>
        </w:rPr>
      </w:pPr>
      <w:r>
        <w:rPr>
          <w:rFonts w:ascii="Arial" w:hAnsi="Arial"/>
          <w:color w:val="231F20"/>
          <w:sz w:val="12"/>
        </w:rPr>
        <w:t>Gosselin,</w:t>
      </w:r>
      <w:r>
        <w:rPr>
          <w:rFonts w:ascii="Arial" w:hAnsi="Arial"/>
          <w:color w:val="231F20"/>
          <w:spacing w:val="-9"/>
          <w:sz w:val="12"/>
        </w:rPr>
        <w:t> </w:t>
      </w:r>
      <w:r>
        <w:rPr>
          <w:rFonts w:ascii="Arial" w:hAnsi="Arial"/>
          <w:color w:val="231F20"/>
          <w:sz w:val="12"/>
        </w:rPr>
        <w:t>E.,</w:t>
      </w:r>
      <w:r>
        <w:rPr>
          <w:rFonts w:ascii="Arial" w:hAnsi="Arial"/>
          <w:color w:val="231F20"/>
          <w:spacing w:val="-8"/>
          <w:sz w:val="12"/>
        </w:rPr>
        <w:t> </w:t>
      </w:r>
      <w:r>
        <w:rPr>
          <w:rFonts w:ascii="Arial" w:hAnsi="Arial"/>
          <w:color w:val="231F20"/>
          <w:sz w:val="12"/>
        </w:rPr>
        <w:t>Dolan,</w:t>
      </w:r>
      <w:r>
        <w:rPr>
          <w:rFonts w:ascii="Arial" w:hAnsi="Arial"/>
          <w:color w:val="231F20"/>
          <w:spacing w:val="-8"/>
          <w:sz w:val="12"/>
        </w:rPr>
        <w:t> </w:t>
      </w:r>
      <w:r>
        <w:rPr>
          <w:rFonts w:ascii="Arial" w:hAnsi="Arial"/>
          <w:color w:val="231F20"/>
          <w:sz w:val="12"/>
        </w:rPr>
        <w:t>S.</w:t>
      </w:r>
      <w:r>
        <w:rPr>
          <w:rFonts w:ascii="Arial" w:hAnsi="Arial"/>
          <w:color w:val="231F20"/>
          <w:spacing w:val="-9"/>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Morin,</w:t>
      </w:r>
      <w:r>
        <w:rPr>
          <w:rFonts w:ascii="Arial" w:hAnsi="Arial"/>
          <w:color w:val="231F20"/>
          <w:spacing w:val="-8"/>
          <w:sz w:val="12"/>
        </w:rPr>
        <w:t> </w:t>
      </w:r>
      <w:r>
        <w:rPr>
          <w:rFonts w:ascii="Arial" w:hAnsi="Arial"/>
          <w:color w:val="231F20"/>
          <w:sz w:val="12"/>
        </w:rPr>
        <w:t>D.</w:t>
      </w:r>
      <w:r>
        <w:rPr>
          <w:rFonts w:ascii="Arial" w:hAnsi="Arial"/>
          <w:color w:val="231F20"/>
          <w:spacing w:val="-9"/>
          <w:sz w:val="12"/>
        </w:rPr>
        <w:t> </w:t>
      </w:r>
      <w:r>
        <w:rPr>
          <w:rFonts w:ascii="Arial" w:hAnsi="Arial"/>
          <w:color w:val="231F20"/>
          <w:sz w:val="12"/>
        </w:rPr>
        <w:t>(2017).</w:t>
      </w:r>
      <w:r>
        <w:rPr>
          <w:rFonts w:ascii="Arial" w:hAnsi="Arial"/>
          <w:color w:val="231F20"/>
          <w:spacing w:val="-8"/>
          <w:sz w:val="12"/>
        </w:rPr>
        <w:t> </w:t>
      </w:r>
      <w:r>
        <w:rPr>
          <w:rFonts w:ascii="Arial" w:hAnsi="Arial"/>
          <w:i/>
          <w:color w:val="231F20"/>
          <w:sz w:val="12"/>
        </w:rPr>
        <w:t>Aspects</w:t>
      </w:r>
      <w:r>
        <w:rPr>
          <w:rFonts w:ascii="Arial" w:hAnsi="Arial"/>
          <w:i/>
          <w:color w:val="231F20"/>
          <w:spacing w:val="-9"/>
          <w:sz w:val="12"/>
        </w:rPr>
        <w:t> </w:t>
      </w:r>
      <w:r>
        <w:rPr>
          <w:rFonts w:ascii="Arial" w:hAnsi="Arial"/>
          <w:i/>
          <w:color w:val="231F20"/>
          <w:sz w:val="12"/>
        </w:rPr>
        <w:t>humains</w:t>
      </w:r>
      <w:r>
        <w:rPr>
          <w:rFonts w:ascii="Arial" w:hAnsi="Arial"/>
          <w:i/>
          <w:color w:val="231F20"/>
          <w:spacing w:val="-8"/>
          <w:sz w:val="12"/>
        </w:rPr>
        <w:t> </w:t>
      </w:r>
      <w:r>
        <w:rPr>
          <w:rFonts w:ascii="Arial" w:hAnsi="Arial"/>
          <w:i/>
          <w:color w:val="231F20"/>
          <w:sz w:val="12"/>
        </w:rPr>
        <w:t>des</w:t>
      </w:r>
      <w:r>
        <w:rPr>
          <w:rFonts w:ascii="Arial" w:hAnsi="Arial"/>
          <w:i/>
          <w:color w:val="231F20"/>
          <w:spacing w:val="-8"/>
          <w:sz w:val="12"/>
        </w:rPr>
        <w:t> </w:t>
      </w:r>
      <w:r>
        <w:rPr>
          <w:rFonts w:ascii="Arial" w:hAnsi="Arial"/>
          <w:i/>
          <w:color w:val="231F20"/>
          <w:sz w:val="12"/>
        </w:rPr>
        <w:t>organisations:</w:t>
      </w:r>
      <w:r>
        <w:rPr>
          <w:rFonts w:ascii="Arial" w:hAnsi="Arial"/>
          <w:i/>
          <w:color w:val="231F20"/>
          <w:spacing w:val="-9"/>
          <w:sz w:val="12"/>
        </w:rPr>
        <w:t> </w:t>
      </w:r>
      <w:r>
        <w:rPr>
          <w:rFonts w:ascii="Arial" w:hAnsi="Arial"/>
          <w:i/>
          <w:color w:val="231F20"/>
          <w:sz w:val="12"/>
        </w:rPr>
        <w:t>psychologie</w:t>
      </w:r>
      <w:r>
        <w:rPr>
          <w:rFonts w:ascii="Arial" w:hAnsi="Arial"/>
          <w:i/>
          <w:color w:val="231F20"/>
          <w:spacing w:val="-8"/>
          <w:sz w:val="12"/>
        </w:rPr>
        <w:t> </w:t>
      </w:r>
      <w:r>
        <w:rPr>
          <w:rFonts w:ascii="Arial" w:hAnsi="Arial"/>
          <w:i/>
          <w:color w:val="231F20"/>
          <w:sz w:val="12"/>
        </w:rPr>
        <w:t>du</w:t>
      </w:r>
      <w:r>
        <w:rPr>
          <w:rFonts w:ascii="Arial" w:hAnsi="Arial"/>
          <w:i/>
          <w:color w:val="231F20"/>
          <w:spacing w:val="-8"/>
          <w:sz w:val="12"/>
        </w:rPr>
        <w:t> </w:t>
      </w:r>
      <w:r>
        <w:rPr>
          <w:rFonts w:ascii="Arial" w:hAnsi="Arial"/>
          <w:i/>
          <w:color w:val="231F20"/>
          <w:sz w:val="12"/>
        </w:rPr>
        <w:t>travail</w:t>
      </w:r>
      <w:r>
        <w:rPr>
          <w:rFonts w:ascii="Arial" w:hAnsi="Arial"/>
          <w:i/>
          <w:color w:val="231F20"/>
          <w:spacing w:val="-9"/>
          <w:sz w:val="12"/>
        </w:rPr>
        <w:t> </w:t>
      </w:r>
      <w:r>
        <w:rPr>
          <w:rFonts w:ascii="Arial" w:hAnsi="Arial"/>
          <w:i/>
          <w:color w:val="231F20"/>
          <w:sz w:val="12"/>
        </w:rPr>
        <w:t>et</w:t>
      </w:r>
      <w:r>
        <w:rPr>
          <w:rFonts w:ascii="Arial" w:hAnsi="Arial"/>
          <w:i/>
          <w:color w:val="231F20"/>
          <w:spacing w:val="-8"/>
          <w:sz w:val="12"/>
        </w:rPr>
        <w:t> </w:t>
      </w:r>
      <w:r>
        <w:rPr>
          <w:rFonts w:ascii="Arial" w:hAnsi="Arial"/>
          <w:i/>
          <w:color w:val="231F20"/>
          <w:sz w:val="12"/>
        </w:rPr>
        <w:t>com-</w:t>
      </w:r>
      <w:r>
        <w:rPr>
          <w:rFonts w:ascii="Arial" w:hAnsi="Arial"/>
          <w:i/>
          <w:color w:val="231F20"/>
          <w:spacing w:val="40"/>
          <w:sz w:val="12"/>
        </w:rPr>
        <w:t> </w:t>
      </w:r>
      <w:r>
        <w:rPr>
          <w:rFonts w:ascii="Arial" w:hAnsi="Arial"/>
          <w:i/>
          <w:color w:val="231F20"/>
          <w:sz w:val="12"/>
        </w:rPr>
        <w:t>portement organisationnel</w:t>
      </w:r>
      <w:r>
        <w:rPr>
          <w:rFonts w:ascii="Arial" w:hAnsi="Arial"/>
          <w:color w:val="231F20"/>
          <w:sz w:val="12"/>
        </w:rPr>
        <w:t>, Montréal, Chenelière Éducation.</w:t>
      </w:r>
    </w:p>
    <w:p>
      <w:pPr>
        <w:spacing w:after="0" w:line="295" w:lineRule="auto"/>
        <w:jc w:val="left"/>
        <w:rPr>
          <w:rFonts w:ascii="Arial" w:hAnsi="Arial"/>
          <w:sz w:val="12"/>
        </w:rPr>
        <w:sectPr>
          <w:footerReference w:type="default" r:id="rId327"/>
          <w:pgSz w:w="8640" w:h="12960"/>
          <w:pgMar w:footer="424" w:header="0" w:top="500" w:bottom="620" w:left="420" w:right="1140"/>
        </w:sectPr>
      </w:pPr>
    </w:p>
    <w:p>
      <w:pPr>
        <w:spacing w:before="103"/>
        <w:ind w:left="1028" w:right="698" w:firstLine="0"/>
        <w:jc w:val="center"/>
        <w:rPr>
          <w:rFonts w:ascii="Arial" w:hAnsi="Arial"/>
          <w:sz w:val="14"/>
        </w:rPr>
      </w:pPr>
      <w:bookmarkStart w:name=" 5.3.4 / Gestion des ressources humaines" w:id="193"/>
      <w:bookmarkEnd w:id="193"/>
      <w:r>
        <w:rPr/>
      </w:r>
      <w:bookmarkStart w:name="_bookmark86" w:id="194"/>
      <w:bookmarkEnd w:id="194"/>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7"/>
        <w:jc w:val="both"/>
      </w:pPr>
      <w:r>
        <w:rPr>
          <w:color w:val="231F20"/>
          <w:spacing w:val="-2"/>
          <w:w w:val="120"/>
        </w:rPr>
        <w:t>éventuels.</w:t>
      </w:r>
      <w:r>
        <w:rPr>
          <w:color w:val="231F20"/>
          <w:spacing w:val="-9"/>
          <w:w w:val="120"/>
        </w:rPr>
        <w:t> </w:t>
      </w:r>
      <w:r>
        <w:rPr>
          <w:color w:val="231F20"/>
          <w:spacing w:val="-2"/>
          <w:w w:val="120"/>
        </w:rPr>
        <w:t>En</w:t>
      </w:r>
      <w:r>
        <w:rPr>
          <w:color w:val="231F20"/>
          <w:spacing w:val="-9"/>
          <w:w w:val="120"/>
        </w:rPr>
        <w:t> </w:t>
      </w:r>
      <w:r>
        <w:rPr>
          <w:color w:val="231F20"/>
          <w:spacing w:val="-2"/>
          <w:w w:val="120"/>
        </w:rPr>
        <w:t>outre,</w:t>
      </w:r>
      <w:r>
        <w:rPr>
          <w:color w:val="231F20"/>
          <w:spacing w:val="-9"/>
          <w:w w:val="120"/>
        </w:rPr>
        <w:t> </w:t>
      </w:r>
      <w:r>
        <w:rPr>
          <w:color w:val="231F20"/>
          <w:spacing w:val="-2"/>
          <w:w w:val="120"/>
        </w:rPr>
        <w:t>les</w:t>
      </w:r>
      <w:r>
        <w:rPr>
          <w:color w:val="231F20"/>
          <w:spacing w:val="-9"/>
          <w:w w:val="120"/>
        </w:rPr>
        <w:t> </w:t>
      </w:r>
      <w:r>
        <w:rPr>
          <w:color w:val="231F20"/>
          <w:spacing w:val="-2"/>
          <w:w w:val="120"/>
        </w:rPr>
        <w:t>employés</w:t>
      </w:r>
      <w:r>
        <w:rPr>
          <w:color w:val="231F20"/>
          <w:spacing w:val="-9"/>
          <w:w w:val="120"/>
        </w:rPr>
        <w:t> </w:t>
      </w:r>
      <w:r>
        <w:rPr>
          <w:color w:val="231F20"/>
          <w:spacing w:val="-2"/>
          <w:w w:val="120"/>
        </w:rPr>
        <w:t>doivent</w:t>
      </w:r>
      <w:r>
        <w:rPr>
          <w:color w:val="231F20"/>
          <w:spacing w:val="-9"/>
          <w:w w:val="120"/>
        </w:rPr>
        <w:t> </w:t>
      </w:r>
      <w:r>
        <w:rPr>
          <w:color w:val="231F20"/>
          <w:spacing w:val="-2"/>
          <w:w w:val="120"/>
        </w:rPr>
        <w:t>connaître</w:t>
      </w:r>
      <w:r>
        <w:rPr>
          <w:color w:val="231F20"/>
          <w:spacing w:val="-9"/>
          <w:w w:val="120"/>
        </w:rPr>
        <w:t> </w:t>
      </w:r>
      <w:r>
        <w:rPr>
          <w:color w:val="231F20"/>
          <w:spacing w:val="-2"/>
          <w:w w:val="120"/>
        </w:rPr>
        <w:t>les</w:t>
      </w:r>
      <w:r>
        <w:rPr>
          <w:color w:val="231F20"/>
          <w:spacing w:val="-9"/>
          <w:w w:val="120"/>
        </w:rPr>
        <w:t> </w:t>
      </w:r>
      <w:r>
        <w:rPr>
          <w:color w:val="231F20"/>
          <w:spacing w:val="-2"/>
          <w:w w:val="120"/>
        </w:rPr>
        <w:t>balises</w:t>
      </w:r>
      <w:r>
        <w:rPr>
          <w:color w:val="231F20"/>
          <w:spacing w:val="-9"/>
          <w:w w:val="120"/>
        </w:rPr>
        <w:t> </w:t>
      </w:r>
      <w:r>
        <w:rPr>
          <w:color w:val="231F20"/>
          <w:spacing w:val="-2"/>
          <w:w w:val="120"/>
        </w:rPr>
        <w:t>quant</w:t>
      </w:r>
      <w:r>
        <w:rPr>
          <w:color w:val="231F20"/>
          <w:spacing w:val="-9"/>
          <w:w w:val="120"/>
        </w:rPr>
        <w:t> </w:t>
      </w:r>
      <w:r>
        <w:rPr>
          <w:color w:val="231F20"/>
          <w:spacing w:val="-2"/>
          <w:w w:val="120"/>
        </w:rPr>
        <w:t>à</w:t>
      </w:r>
      <w:r>
        <w:rPr>
          <w:color w:val="231F20"/>
          <w:spacing w:val="-9"/>
          <w:w w:val="120"/>
        </w:rPr>
        <w:t> </w:t>
      </w:r>
      <w:r>
        <w:rPr>
          <w:color w:val="231F20"/>
          <w:spacing w:val="-2"/>
          <w:w w:val="120"/>
        </w:rPr>
        <w:t>la </w:t>
      </w:r>
      <w:r>
        <w:rPr>
          <w:color w:val="231F20"/>
          <w:w w:val="120"/>
        </w:rPr>
        <w:t>manière d’interagir avec les autres, ainsi que les mesures pouvant être utilisées</w:t>
      </w:r>
      <w:r>
        <w:rPr>
          <w:color w:val="231F20"/>
          <w:spacing w:val="-8"/>
          <w:w w:val="120"/>
        </w:rPr>
        <w:t> </w:t>
      </w:r>
      <w:r>
        <w:rPr>
          <w:color w:val="231F20"/>
          <w:w w:val="120"/>
        </w:rPr>
        <w:t>lorsqu’ils</w:t>
      </w:r>
      <w:r>
        <w:rPr>
          <w:color w:val="231F20"/>
          <w:spacing w:val="-8"/>
          <w:w w:val="120"/>
        </w:rPr>
        <w:t> </w:t>
      </w:r>
      <w:r>
        <w:rPr>
          <w:color w:val="231F20"/>
          <w:w w:val="120"/>
        </w:rPr>
        <w:t>considèrent</w:t>
      </w:r>
      <w:r>
        <w:rPr>
          <w:color w:val="231F20"/>
          <w:spacing w:val="-8"/>
          <w:w w:val="120"/>
        </w:rPr>
        <w:t> </w:t>
      </w:r>
      <w:r>
        <w:rPr>
          <w:color w:val="231F20"/>
          <w:w w:val="120"/>
        </w:rPr>
        <w:t>que</w:t>
      </w:r>
      <w:r>
        <w:rPr>
          <w:color w:val="231F20"/>
          <w:spacing w:val="-8"/>
          <w:w w:val="120"/>
        </w:rPr>
        <w:t> </w:t>
      </w:r>
      <w:r>
        <w:rPr>
          <w:color w:val="231F20"/>
          <w:w w:val="120"/>
        </w:rPr>
        <w:t>ces</w:t>
      </w:r>
      <w:r>
        <w:rPr>
          <w:color w:val="231F20"/>
          <w:spacing w:val="-8"/>
          <w:w w:val="120"/>
        </w:rPr>
        <w:t> </w:t>
      </w:r>
      <w:r>
        <w:rPr>
          <w:color w:val="231F20"/>
          <w:w w:val="120"/>
        </w:rPr>
        <w:t>balises</w:t>
      </w:r>
      <w:r>
        <w:rPr>
          <w:color w:val="231F20"/>
          <w:spacing w:val="-8"/>
          <w:w w:val="120"/>
        </w:rPr>
        <w:t> </w:t>
      </w:r>
      <w:r>
        <w:rPr>
          <w:color w:val="231F20"/>
          <w:w w:val="120"/>
        </w:rPr>
        <w:t>n’ont</w:t>
      </w:r>
      <w:r>
        <w:rPr>
          <w:color w:val="231F20"/>
          <w:spacing w:val="-8"/>
          <w:w w:val="120"/>
        </w:rPr>
        <w:t> </w:t>
      </w:r>
      <w:r>
        <w:rPr>
          <w:color w:val="231F20"/>
          <w:w w:val="120"/>
        </w:rPr>
        <w:t>pas</w:t>
      </w:r>
      <w:r>
        <w:rPr>
          <w:color w:val="231F20"/>
          <w:spacing w:val="-8"/>
          <w:w w:val="120"/>
        </w:rPr>
        <w:t> </w:t>
      </w:r>
      <w:r>
        <w:rPr>
          <w:color w:val="231F20"/>
          <w:w w:val="120"/>
        </w:rPr>
        <w:t>été</w:t>
      </w:r>
      <w:r>
        <w:rPr>
          <w:color w:val="231F20"/>
          <w:spacing w:val="-8"/>
          <w:w w:val="120"/>
        </w:rPr>
        <w:t> </w:t>
      </w:r>
      <w:r>
        <w:rPr>
          <w:color w:val="231F20"/>
          <w:w w:val="120"/>
        </w:rPr>
        <w:t>respectées.</w:t>
      </w:r>
    </w:p>
    <w:p>
      <w:pPr>
        <w:pStyle w:val="BodyText"/>
        <w:spacing w:before="8"/>
        <w:rPr>
          <w:sz w:val="21"/>
        </w:rPr>
      </w:pPr>
    </w:p>
    <w:p>
      <w:pPr>
        <w:pStyle w:val="BodyText"/>
        <w:spacing w:line="307" w:lineRule="auto"/>
        <w:ind w:left="830" w:right="495"/>
        <w:jc w:val="both"/>
      </w:pPr>
      <w:r>
        <w:rPr>
          <w:b/>
          <w:color w:val="231F20"/>
          <w:w w:val="115"/>
        </w:rPr>
        <w:t>Amélioration de la socialisation. </w:t>
      </w:r>
      <w:r>
        <w:rPr>
          <w:color w:val="231F20"/>
          <w:w w:val="115"/>
        </w:rPr>
        <w:t>La qualité des relations interperson- </w:t>
      </w:r>
      <w:r>
        <w:rPr>
          <w:color w:val="231F20"/>
          <w:w w:val="120"/>
        </w:rPr>
        <w:t>nelles</w:t>
      </w:r>
      <w:r>
        <w:rPr>
          <w:color w:val="231F20"/>
          <w:spacing w:val="-11"/>
          <w:w w:val="120"/>
        </w:rPr>
        <w:t> </w:t>
      </w:r>
      <w:r>
        <w:rPr>
          <w:color w:val="231F20"/>
          <w:w w:val="120"/>
        </w:rPr>
        <w:t>au</w:t>
      </w:r>
      <w:r>
        <w:rPr>
          <w:color w:val="231F20"/>
          <w:spacing w:val="-11"/>
          <w:w w:val="120"/>
        </w:rPr>
        <w:t> </w:t>
      </w:r>
      <w:r>
        <w:rPr>
          <w:color w:val="231F20"/>
          <w:w w:val="120"/>
        </w:rPr>
        <w:t>travail</w:t>
      </w:r>
      <w:r>
        <w:rPr>
          <w:color w:val="231F20"/>
          <w:spacing w:val="-11"/>
          <w:w w:val="120"/>
        </w:rPr>
        <w:t> </w:t>
      </w:r>
      <w:r>
        <w:rPr>
          <w:color w:val="231F20"/>
          <w:w w:val="120"/>
        </w:rPr>
        <w:t>est</w:t>
      </w:r>
      <w:r>
        <w:rPr>
          <w:color w:val="231F20"/>
          <w:spacing w:val="-11"/>
          <w:w w:val="120"/>
        </w:rPr>
        <w:t> </w:t>
      </w:r>
      <w:r>
        <w:rPr>
          <w:color w:val="231F20"/>
          <w:w w:val="120"/>
        </w:rPr>
        <w:t>parmi</w:t>
      </w:r>
      <w:r>
        <w:rPr>
          <w:color w:val="231F20"/>
          <w:spacing w:val="-11"/>
          <w:w w:val="120"/>
        </w:rPr>
        <w:t> </w:t>
      </w:r>
      <w:r>
        <w:rPr>
          <w:color w:val="231F20"/>
          <w:w w:val="120"/>
        </w:rPr>
        <w:t>les</w:t>
      </w:r>
      <w:r>
        <w:rPr>
          <w:color w:val="231F20"/>
          <w:spacing w:val="-11"/>
          <w:w w:val="120"/>
        </w:rPr>
        <w:t> </w:t>
      </w:r>
      <w:r>
        <w:rPr>
          <w:color w:val="231F20"/>
          <w:w w:val="120"/>
        </w:rPr>
        <w:t>aspects</w:t>
      </w:r>
      <w:r>
        <w:rPr>
          <w:color w:val="231F20"/>
          <w:spacing w:val="-11"/>
          <w:w w:val="120"/>
        </w:rPr>
        <w:t> </w:t>
      </w:r>
      <w:r>
        <w:rPr>
          <w:color w:val="231F20"/>
          <w:w w:val="120"/>
        </w:rPr>
        <w:t>les</w:t>
      </w:r>
      <w:r>
        <w:rPr>
          <w:color w:val="231F20"/>
          <w:spacing w:val="-11"/>
          <w:w w:val="120"/>
        </w:rPr>
        <w:t> </w:t>
      </w:r>
      <w:r>
        <w:rPr>
          <w:color w:val="231F20"/>
          <w:w w:val="120"/>
        </w:rPr>
        <w:t>plus</w:t>
      </w:r>
      <w:r>
        <w:rPr>
          <w:color w:val="231F20"/>
          <w:spacing w:val="-11"/>
          <w:w w:val="120"/>
        </w:rPr>
        <w:t> </w:t>
      </w:r>
      <w:r>
        <w:rPr>
          <w:color w:val="231F20"/>
          <w:w w:val="120"/>
        </w:rPr>
        <w:t>importants</w:t>
      </w:r>
      <w:r>
        <w:rPr>
          <w:color w:val="231F20"/>
          <w:spacing w:val="-11"/>
          <w:w w:val="120"/>
        </w:rPr>
        <w:t> </w:t>
      </w:r>
      <w:r>
        <w:rPr>
          <w:color w:val="231F20"/>
          <w:w w:val="120"/>
        </w:rPr>
        <w:t>des</w:t>
      </w:r>
      <w:r>
        <w:rPr>
          <w:color w:val="231F20"/>
          <w:spacing w:val="-11"/>
          <w:w w:val="120"/>
        </w:rPr>
        <w:t> </w:t>
      </w:r>
      <w:r>
        <w:rPr>
          <w:color w:val="231F20"/>
          <w:w w:val="120"/>
        </w:rPr>
        <w:t>problèmes de stress au sein des organisations. En effet, ces relations peuvent être </w:t>
      </w:r>
      <w:r>
        <w:rPr>
          <w:color w:val="231F20"/>
          <w:spacing w:val="-2"/>
          <w:w w:val="120"/>
        </w:rPr>
        <w:t>une</w:t>
      </w:r>
      <w:r>
        <w:rPr>
          <w:color w:val="231F20"/>
          <w:spacing w:val="-8"/>
          <w:w w:val="120"/>
        </w:rPr>
        <w:t> </w:t>
      </w:r>
      <w:r>
        <w:rPr>
          <w:color w:val="231F20"/>
          <w:spacing w:val="-2"/>
          <w:w w:val="120"/>
        </w:rPr>
        <w:t>source</w:t>
      </w:r>
      <w:r>
        <w:rPr>
          <w:color w:val="231F20"/>
          <w:spacing w:val="-8"/>
          <w:w w:val="120"/>
        </w:rPr>
        <w:t> </w:t>
      </w:r>
      <w:r>
        <w:rPr>
          <w:color w:val="231F20"/>
          <w:spacing w:val="-2"/>
          <w:w w:val="120"/>
        </w:rPr>
        <w:t>de</w:t>
      </w:r>
      <w:r>
        <w:rPr>
          <w:color w:val="231F20"/>
          <w:spacing w:val="-8"/>
          <w:w w:val="120"/>
        </w:rPr>
        <w:t> </w:t>
      </w:r>
      <w:r>
        <w:rPr>
          <w:color w:val="231F20"/>
          <w:spacing w:val="-2"/>
          <w:w w:val="120"/>
        </w:rPr>
        <w:t>stress</w:t>
      </w:r>
      <w:r>
        <w:rPr>
          <w:color w:val="231F20"/>
          <w:spacing w:val="-8"/>
          <w:w w:val="120"/>
        </w:rPr>
        <w:t> </w:t>
      </w:r>
      <w:r>
        <w:rPr>
          <w:color w:val="231F20"/>
          <w:spacing w:val="-2"/>
          <w:w w:val="120"/>
        </w:rPr>
        <w:t>et</w:t>
      </w:r>
      <w:r>
        <w:rPr>
          <w:color w:val="231F20"/>
          <w:spacing w:val="-8"/>
          <w:w w:val="120"/>
        </w:rPr>
        <w:t> </w:t>
      </w:r>
      <w:r>
        <w:rPr>
          <w:color w:val="231F20"/>
          <w:spacing w:val="-2"/>
          <w:w w:val="120"/>
        </w:rPr>
        <w:t>d’insatisfaction,</w:t>
      </w:r>
      <w:r>
        <w:rPr>
          <w:color w:val="231F20"/>
          <w:spacing w:val="-8"/>
          <w:w w:val="120"/>
        </w:rPr>
        <w:t> </w:t>
      </w:r>
      <w:r>
        <w:rPr>
          <w:color w:val="231F20"/>
          <w:spacing w:val="-2"/>
          <w:w w:val="120"/>
        </w:rPr>
        <w:t>car</w:t>
      </w:r>
      <w:r>
        <w:rPr>
          <w:color w:val="231F20"/>
          <w:spacing w:val="-8"/>
          <w:w w:val="120"/>
        </w:rPr>
        <w:t> </w:t>
      </w:r>
      <w:r>
        <w:rPr>
          <w:color w:val="231F20"/>
          <w:spacing w:val="-2"/>
          <w:w w:val="120"/>
        </w:rPr>
        <w:t>elles</w:t>
      </w:r>
      <w:r>
        <w:rPr>
          <w:color w:val="231F20"/>
          <w:spacing w:val="-8"/>
          <w:w w:val="120"/>
        </w:rPr>
        <w:t> </w:t>
      </w:r>
      <w:r>
        <w:rPr>
          <w:color w:val="231F20"/>
          <w:spacing w:val="-2"/>
          <w:w w:val="120"/>
        </w:rPr>
        <w:t>constituent</w:t>
      </w:r>
      <w:r>
        <w:rPr>
          <w:color w:val="231F20"/>
          <w:spacing w:val="-8"/>
          <w:w w:val="120"/>
        </w:rPr>
        <w:t> </w:t>
      </w:r>
      <w:r>
        <w:rPr>
          <w:color w:val="231F20"/>
          <w:spacing w:val="-2"/>
          <w:w w:val="120"/>
        </w:rPr>
        <w:t>l’un</w:t>
      </w:r>
      <w:r>
        <w:rPr>
          <w:color w:val="231F20"/>
          <w:spacing w:val="-8"/>
          <w:w w:val="120"/>
        </w:rPr>
        <w:t> </w:t>
      </w:r>
      <w:r>
        <w:rPr>
          <w:color w:val="231F20"/>
          <w:spacing w:val="-2"/>
          <w:w w:val="120"/>
        </w:rPr>
        <w:t>des</w:t>
      </w:r>
      <w:r>
        <w:rPr>
          <w:color w:val="231F20"/>
          <w:spacing w:val="-8"/>
          <w:w w:val="120"/>
        </w:rPr>
        <w:t> </w:t>
      </w:r>
      <w:r>
        <w:rPr>
          <w:color w:val="231F20"/>
          <w:spacing w:val="-2"/>
          <w:w w:val="120"/>
        </w:rPr>
        <w:t>fac- </w:t>
      </w:r>
      <w:r>
        <w:rPr>
          <w:color w:val="231F20"/>
          <w:w w:val="115"/>
        </w:rPr>
        <w:t>teurs</w:t>
      </w:r>
      <w:r>
        <w:rPr>
          <w:color w:val="231F20"/>
          <w:spacing w:val="-2"/>
          <w:w w:val="115"/>
        </w:rPr>
        <w:t> </w:t>
      </w:r>
      <w:r>
        <w:rPr>
          <w:color w:val="231F20"/>
          <w:w w:val="115"/>
        </w:rPr>
        <w:t>de</w:t>
      </w:r>
      <w:r>
        <w:rPr>
          <w:color w:val="231F20"/>
          <w:spacing w:val="-2"/>
          <w:w w:val="115"/>
        </w:rPr>
        <w:t> </w:t>
      </w:r>
      <w:r>
        <w:rPr>
          <w:color w:val="231F20"/>
          <w:w w:val="115"/>
        </w:rPr>
        <w:t>satisfaction</w:t>
      </w:r>
      <w:r>
        <w:rPr>
          <w:color w:val="231F20"/>
          <w:spacing w:val="-2"/>
          <w:w w:val="115"/>
        </w:rPr>
        <w:t> </w:t>
      </w:r>
      <w:r>
        <w:rPr>
          <w:color w:val="231F20"/>
          <w:w w:val="115"/>
        </w:rPr>
        <w:t>professionnelle</w:t>
      </w:r>
      <w:r>
        <w:rPr>
          <w:color w:val="231F20"/>
          <w:spacing w:val="-2"/>
          <w:w w:val="115"/>
        </w:rPr>
        <w:t> </w:t>
      </w:r>
      <w:r>
        <w:rPr>
          <w:color w:val="231F20"/>
          <w:w w:val="115"/>
        </w:rPr>
        <w:t>les</w:t>
      </w:r>
      <w:r>
        <w:rPr>
          <w:color w:val="231F20"/>
          <w:spacing w:val="-2"/>
          <w:w w:val="115"/>
        </w:rPr>
        <w:t> </w:t>
      </w:r>
      <w:r>
        <w:rPr>
          <w:color w:val="231F20"/>
          <w:w w:val="115"/>
        </w:rPr>
        <w:t>plus</w:t>
      </w:r>
      <w:r>
        <w:rPr>
          <w:color w:val="231F20"/>
          <w:spacing w:val="-2"/>
          <w:w w:val="115"/>
        </w:rPr>
        <w:t> </w:t>
      </w:r>
      <w:r>
        <w:rPr>
          <w:color w:val="231F20"/>
          <w:w w:val="115"/>
        </w:rPr>
        <w:t>appréciables.</w:t>
      </w:r>
      <w:r>
        <w:rPr>
          <w:color w:val="231F20"/>
          <w:spacing w:val="-2"/>
          <w:w w:val="115"/>
        </w:rPr>
        <w:t> </w:t>
      </w:r>
      <w:r>
        <w:rPr>
          <w:color w:val="231F20"/>
          <w:w w:val="115"/>
        </w:rPr>
        <w:t>C’est</w:t>
      </w:r>
      <w:r>
        <w:rPr>
          <w:color w:val="231F20"/>
          <w:spacing w:val="-2"/>
          <w:w w:val="115"/>
        </w:rPr>
        <w:t> </w:t>
      </w:r>
      <w:r>
        <w:rPr>
          <w:color w:val="231F20"/>
          <w:w w:val="115"/>
        </w:rPr>
        <w:t>pourquoi </w:t>
      </w:r>
      <w:r>
        <w:rPr>
          <w:color w:val="231F20"/>
          <w:spacing w:val="-2"/>
          <w:w w:val="120"/>
        </w:rPr>
        <w:t>il</w:t>
      </w:r>
      <w:r>
        <w:rPr>
          <w:color w:val="231F20"/>
          <w:spacing w:val="-11"/>
          <w:w w:val="120"/>
        </w:rPr>
        <w:t> </w:t>
      </w:r>
      <w:r>
        <w:rPr>
          <w:color w:val="231F20"/>
          <w:spacing w:val="-2"/>
          <w:w w:val="120"/>
        </w:rPr>
        <w:t>est</w:t>
      </w:r>
      <w:r>
        <w:rPr>
          <w:color w:val="231F20"/>
          <w:spacing w:val="-11"/>
          <w:w w:val="120"/>
        </w:rPr>
        <w:t> </w:t>
      </w:r>
      <w:r>
        <w:rPr>
          <w:color w:val="231F20"/>
          <w:spacing w:val="-2"/>
          <w:w w:val="120"/>
        </w:rPr>
        <w:t>aujourd’hui</w:t>
      </w:r>
      <w:r>
        <w:rPr>
          <w:color w:val="231F20"/>
          <w:spacing w:val="-11"/>
          <w:w w:val="120"/>
        </w:rPr>
        <w:t> </w:t>
      </w:r>
      <w:r>
        <w:rPr>
          <w:color w:val="231F20"/>
          <w:spacing w:val="-2"/>
          <w:w w:val="120"/>
        </w:rPr>
        <w:t>de</w:t>
      </w:r>
      <w:r>
        <w:rPr>
          <w:color w:val="231F20"/>
          <w:spacing w:val="-10"/>
          <w:w w:val="120"/>
        </w:rPr>
        <w:t> </w:t>
      </w:r>
      <w:r>
        <w:rPr>
          <w:color w:val="231F20"/>
          <w:spacing w:val="-2"/>
          <w:w w:val="120"/>
        </w:rPr>
        <w:t>pratique</w:t>
      </w:r>
      <w:r>
        <w:rPr>
          <w:color w:val="231F20"/>
          <w:spacing w:val="-11"/>
          <w:w w:val="120"/>
        </w:rPr>
        <w:t> </w:t>
      </w:r>
      <w:r>
        <w:rPr>
          <w:color w:val="231F20"/>
          <w:spacing w:val="-2"/>
          <w:w w:val="120"/>
        </w:rPr>
        <w:t>courante</w:t>
      </w:r>
      <w:r>
        <w:rPr>
          <w:color w:val="231F20"/>
          <w:spacing w:val="-11"/>
          <w:w w:val="120"/>
        </w:rPr>
        <w:t> </w:t>
      </w:r>
      <w:r>
        <w:rPr>
          <w:color w:val="231F20"/>
          <w:spacing w:val="-2"/>
          <w:w w:val="120"/>
        </w:rPr>
        <w:t>de</w:t>
      </w:r>
      <w:r>
        <w:rPr>
          <w:color w:val="231F20"/>
          <w:spacing w:val="-11"/>
          <w:w w:val="120"/>
        </w:rPr>
        <w:t> </w:t>
      </w:r>
      <w:r>
        <w:rPr>
          <w:color w:val="231F20"/>
          <w:spacing w:val="-2"/>
          <w:w w:val="120"/>
        </w:rPr>
        <w:t>porter</w:t>
      </w:r>
      <w:r>
        <w:rPr>
          <w:color w:val="231F20"/>
          <w:spacing w:val="-10"/>
          <w:w w:val="120"/>
        </w:rPr>
        <w:t> </w:t>
      </w:r>
      <w:r>
        <w:rPr>
          <w:color w:val="231F20"/>
          <w:spacing w:val="-2"/>
          <w:w w:val="120"/>
        </w:rPr>
        <w:t>une</w:t>
      </w:r>
      <w:r>
        <w:rPr>
          <w:color w:val="231F20"/>
          <w:spacing w:val="-11"/>
          <w:w w:val="120"/>
        </w:rPr>
        <w:t> </w:t>
      </w:r>
      <w:r>
        <w:rPr>
          <w:color w:val="231F20"/>
          <w:spacing w:val="-2"/>
          <w:w w:val="120"/>
        </w:rPr>
        <w:t>attention</w:t>
      </w:r>
      <w:r>
        <w:rPr>
          <w:color w:val="231F20"/>
          <w:spacing w:val="-11"/>
          <w:w w:val="120"/>
        </w:rPr>
        <w:t> </w:t>
      </w:r>
      <w:r>
        <w:rPr>
          <w:color w:val="231F20"/>
          <w:spacing w:val="-2"/>
          <w:w w:val="120"/>
        </w:rPr>
        <w:t>particulière au</w:t>
      </w:r>
      <w:r>
        <w:rPr>
          <w:color w:val="231F20"/>
          <w:spacing w:val="-10"/>
          <w:w w:val="120"/>
        </w:rPr>
        <w:t> </w:t>
      </w:r>
      <w:r>
        <w:rPr>
          <w:color w:val="231F20"/>
          <w:spacing w:val="-2"/>
          <w:w w:val="120"/>
        </w:rPr>
        <w:t>processus</w:t>
      </w:r>
      <w:r>
        <w:rPr>
          <w:color w:val="231F20"/>
          <w:spacing w:val="-10"/>
          <w:w w:val="120"/>
        </w:rPr>
        <w:t> </w:t>
      </w:r>
      <w:r>
        <w:rPr>
          <w:color w:val="231F20"/>
          <w:spacing w:val="-2"/>
          <w:w w:val="120"/>
        </w:rPr>
        <w:t>de</w:t>
      </w:r>
      <w:r>
        <w:rPr>
          <w:color w:val="231F20"/>
          <w:spacing w:val="-10"/>
          <w:w w:val="120"/>
        </w:rPr>
        <w:t> </w:t>
      </w:r>
      <w:r>
        <w:rPr>
          <w:color w:val="231F20"/>
          <w:spacing w:val="-2"/>
          <w:w w:val="120"/>
        </w:rPr>
        <w:t>socialisation</w:t>
      </w:r>
      <w:r>
        <w:rPr>
          <w:color w:val="231F20"/>
          <w:spacing w:val="-10"/>
          <w:w w:val="120"/>
        </w:rPr>
        <w:t> </w:t>
      </w:r>
      <w:r>
        <w:rPr>
          <w:color w:val="231F20"/>
          <w:spacing w:val="-2"/>
          <w:w w:val="120"/>
        </w:rPr>
        <w:t>et</w:t>
      </w:r>
      <w:r>
        <w:rPr>
          <w:color w:val="231F20"/>
          <w:spacing w:val="-10"/>
          <w:w w:val="120"/>
        </w:rPr>
        <w:t> </w:t>
      </w:r>
      <w:r>
        <w:rPr>
          <w:color w:val="231F20"/>
          <w:spacing w:val="-2"/>
          <w:w w:val="120"/>
        </w:rPr>
        <w:t>à</w:t>
      </w:r>
      <w:r>
        <w:rPr>
          <w:color w:val="231F20"/>
          <w:spacing w:val="-10"/>
          <w:w w:val="120"/>
        </w:rPr>
        <w:t> </w:t>
      </w:r>
      <w:r>
        <w:rPr>
          <w:color w:val="231F20"/>
          <w:spacing w:val="-2"/>
          <w:w w:val="120"/>
        </w:rPr>
        <w:t>la</w:t>
      </w:r>
      <w:r>
        <w:rPr>
          <w:color w:val="231F20"/>
          <w:spacing w:val="-10"/>
          <w:w w:val="120"/>
        </w:rPr>
        <w:t> </w:t>
      </w:r>
      <w:r>
        <w:rPr>
          <w:color w:val="231F20"/>
          <w:spacing w:val="-2"/>
          <w:w w:val="120"/>
        </w:rPr>
        <w:t>formation</w:t>
      </w:r>
      <w:r>
        <w:rPr>
          <w:color w:val="231F20"/>
          <w:spacing w:val="-10"/>
          <w:w w:val="120"/>
        </w:rPr>
        <w:t> </w:t>
      </w:r>
      <w:r>
        <w:rPr>
          <w:color w:val="231F20"/>
          <w:spacing w:val="-2"/>
          <w:w w:val="120"/>
        </w:rPr>
        <w:t>sur</w:t>
      </w:r>
      <w:r>
        <w:rPr>
          <w:color w:val="231F20"/>
          <w:spacing w:val="-10"/>
          <w:w w:val="120"/>
        </w:rPr>
        <w:t> </w:t>
      </w:r>
      <w:r>
        <w:rPr>
          <w:color w:val="231F20"/>
          <w:spacing w:val="-2"/>
          <w:w w:val="120"/>
        </w:rPr>
        <w:t>la</w:t>
      </w:r>
      <w:r>
        <w:rPr>
          <w:color w:val="231F20"/>
          <w:spacing w:val="-10"/>
          <w:w w:val="120"/>
        </w:rPr>
        <w:t> </w:t>
      </w:r>
      <w:r>
        <w:rPr>
          <w:color w:val="231F20"/>
          <w:spacing w:val="-2"/>
          <w:w w:val="120"/>
        </w:rPr>
        <w:t>gestion</w:t>
      </w:r>
      <w:r>
        <w:rPr>
          <w:color w:val="231F20"/>
          <w:spacing w:val="-10"/>
          <w:w w:val="120"/>
        </w:rPr>
        <w:t> </w:t>
      </w:r>
      <w:r>
        <w:rPr>
          <w:color w:val="231F20"/>
          <w:spacing w:val="-2"/>
          <w:w w:val="120"/>
        </w:rPr>
        <w:t>des</w:t>
      </w:r>
      <w:r>
        <w:rPr>
          <w:color w:val="231F20"/>
          <w:spacing w:val="-10"/>
          <w:w w:val="120"/>
        </w:rPr>
        <w:t> </w:t>
      </w:r>
      <w:r>
        <w:rPr>
          <w:color w:val="231F20"/>
          <w:spacing w:val="-2"/>
          <w:w w:val="120"/>
        </w:rPr>
        <w:t>relations </w:t>
      </w:r>
      <w:r>
        <w:rPr>
          <w:color w:val="231F20"/>
          <w:w w:val="120"/>
        </w:rPr>
        <w:t>interpersonnelles</w:t>
      </w:r>
      <w:r>
        <w:rPr>
          <w:color w:val="231F20"/>
          <w:spacing w:val="-13"/>
          <w:w w:val="120"/>
        </w:rPr>
        <w:t> </w:t>
      </w:r>
      <w:r>
        <w:rPr>
          <w:color w:val="231F20"/>
          <w:w w:val="120"/>
        </w:rPr>
        <w:t>afin</w:t>
      </w:r>
      <w:r>
        <w:rPr>
          <w:color w:val="231F20"/>
          <w:spacing w:val="-13"/>
          <w:w w:val="120"/>
        </w:rPr>
        <w:t> </w:t>
      </w:r>
      <w:r>
        <w:rPr>
          <w:color w:val="231F20"/>
          <w:w w:val="120"/>
        </w:rPr>
        <w:t>d’éviter</w:t>
      </w:r>
      <w:r>
        <w:rPr>
          <w:color w:val="231F20"/>
          <w:spacing w:val="-13"/>
          <w:w w:val="120"/>
        </w:rPr>
        <w:t> </w:t>
      </w:r>
      <w:r>
        <w:rPr>
          <w:color w:val="231F20"/>
          <w:w w:val="120"/>
        </w:rPr>
        <w:t>que</w:t>
      </w:r>
      <w:r>
        <w:rPr>
          <w:color w:val="231F20"/>
          <w:spacing w:val="-12"/>
          <w:w w:val="120"/>
        </w:rPr>
        <w:t> </w:t>
      </w:r>
      <w:r>
        <w:rPr>
          <w:color w:val="231F20"/>
          <w:w w:val="120"/>
        </w:rPr>
        <w:t>des</w:t>
      </w:r>
      <w:r>
        <w:rPr>
          <w:color w:val="231F20"/>
          <w:spacing w:val="-13"/>
          <w:w w:val="120"/>
        </w:rPr>
        <w:t> </w:t>
      </w:r>
      <w:r>
        <w:rPr>
          <w:color w:val="231F20"/>
          <w:w w:val="120"/>
        </w:rPr>
        <w:t>relations</w:t>
      </w:r>
      <w:r>
        <w:rPr>
          <w:color w:val="231F20"/>
          <w:spacing w:val="-13"/>
          <w:w w:val="120"/>
        </w:rPr>
        <w:t> </w:t>
      </w:r>
      <w:r>
        <w:rPr>
          <w:color w:val="231F20"/>
          <w:w w:val="120"/>
        </w:rPr>
        <w:t>inadéquates</w:t>
      </w:r>
      <w:r>
        <w:rPr>
          <w:color w:val="231F20"/>
          <w:spacing w:val="-13"/>
          <w:w w:val="120"/>
        </w:rPr>
        <w:t> </w:t>
      </w:r>
      <w:r>
        <w:rPr>
          <w:color w:val="231F20"/>
          <w:w w:val="120"/>
        </w:rPr>
        <w:t>deviennent des sources possibles de stress.</w:t>
      </w:r>
    </w:p>
    <w:p>
      <w:pPr>
        <w:pStyle w:val="BodyText"/>
        <w:spacing w:line="307" w:lineRule="auto" w:before="79"/>
        <w:ind w:left="830" w:right="494" w:firstLine="250"/>
        <w:jc w:val="both"/>
      </w:pPr>
      <w:r>
        <w:rPr>
          <w:color w:val="231F20"/>
          <w:w w:val="120"/>
        </w:rPr>
        <w:t>De même, il faut considérer le soutien social comme une ressource </w:t>
      </w:r>
      <w:r>
        <w:rPr>
          <w:color w:val="231F20"/>
          <w:spacing w:val="-2"/>
          <w:w w:val="120"/>
        </w:rPr>
        <w:t>essentielle</w:t>
      </w:r>
      <w:r>
        <w:rPr>
          <w:color w:val="231F20"/>
          <w:spacing w:val="-11"/>
          <w:w w:val="120"/>
        </w:rPr>
        <w:t> </w:t>
      </w:r>
      <w:r>
        <w:rPr>
          <w:color w:val="231F20"/>
          <w:spacing w:val="-2"/>
          <w:w w:val="120"/>
        </w:rPr>
        <w:t>pour</w:t>
      </w:r>
      <w:r>
        <w:rPr>
          <w:color w:val="231F20"/>
          <w:spacing w:val="-11"/>
          <w:w w:val="120"/>
        </w:rPr>
        <w:t> </w:t>
      </w:r>
      <w:r>
        <w:rPr>
          <w:color w:val="231F20"/>
          <w:spacing w:val="-2"/>
          <w:w w:val="120"/>
        </w:rPr>
        <w:t>transiger</w:t>
      </w:r>
      <w:r>
        <w:rPr>
          <w:color w:val="231F20"/>
          <w:spacing w:val="-10"/>
          <w:w w:val="120"/>
        </w:rPr>
        <w:t> </w:t>
      </w:r>
      <w:r>
        <w:rPr>
          <w:color w:val="231F20"/>
          <w:spacing w:val="-2"/>
          <w:w w:val="120"/>
        </w:rPr>
        <w:t>avec</w:t>
      </w:r>
      <w:r>
        <w:rPr>
          <w:color w:val="231F20"/>
          <w:spacing w:val="-4"/>
          <w:w w:val="120"/>
        </w:rPr>
        <w:t> </w:t>
      </w:r>
      <w:r>
        <w:rPr>
          <w:color w:val="231F20"/>
          <w:spacing w:val="-2"/>
          <w:w w:val="120"/>
        </w:rPr>
        <w:t>des</w:t>
      </w:r>
      <w:r>
        <w:rPr>
          <w:color w:val="231F20"/>
          <w:spacing w:val="-4"/>
          <w:w w:val="120"/>
        </w:rPr>
        <w:t> </w:t>
      </w:r>
      <w:r>
        <w:rPr>
          <w:color w:val="231F20"/>
          <w:spacing w:val="-2"/>
          <w:w w:val="120"/>
        </w:rPr>
        <w:t>situations</w:t>
      </w:r>
      <w:r>
        <w:rPr>
          <w:color w:val="231F20"/>
          <w:spacing w:val="-4"/>
          <w:w w:val="120"/>
        </w:rPr>
        <w:t> </w:t>
      </w:r>
      <w:r>
        <w:rPr>
          <w:color w:val="231F20"/>
          <w:spacing w:val="-2"/>
          <w:w w:val="120"/>
        </w:rPr>
        <w:t>stressantes</w:t>
      </w:r>
      <w:r>
        <w:rPr>
          <w:color w:val="231F20"/>
          <w:spacing w:val="-11"/>
          <w:w w:val="120"/>
        </w:rPr>
        <w:t> </w:t>
      </w:r>
      <w:r>
        <w:rPr>
          <w:color w:val="231F20"/>
          <w:spacing w:val="-2"/>
          <w:w w:val="120"/>
        </w:rPr>
        <w:t>:</w:t>
      </w:r>
      <w:r>
        <w:rPr>
          <w:color w:val="231F20"/>
          <w:spacing w:val="-4"/>
          <w:w w:val="120"/>
        </w:rPr>
        <w:t> </w:t>
      </w:r>
      <w:r>
        <w:rPr>
          <w:color w:val="231F20"/>
          <w:spacing w:val="-2"/>
          <w:w w:val="120"/>
        </w:rPr>
        <w:t>il</w:t>
      </w:r>
      <w:r>
        <w:rPr>
          <w:color w:val="231F20"/>
          <w:spacing w:val="-4"/>
          <w:w w:val="120"/>
        </w:rPr>
        <w:t> </w:t>
      </w:r>
      <w:r>
        <w:rPr>
          <w:color w:val="231F20"/>
          <w:spacing w:val="-2"/>
          <w:w w:val="120"/>
        </w:rPr>
        <w:t>est</w:t>
      </w:r>
      <w:r>
        <w:rPr>
          <w:color w:val="231F20"/>
          <w:spacing w:val="-4"/>
          <w:w w:val="120"/>
        </w:rPr>
        <w:t> </w:t>
      </w:r>
      <w:r>
        <w:rPr>
          <w:color w:val="231F20"/>
          <w:spacing w:val="-2"/>
          <w:w w:val="120"/>
        </w:rPr>
        <w:t>démontré </w:t>
      </w:r>
      <w:r>
        <w:rPr>
          <w:color w:val="231F20"/>
          <w:w w:val="120"/>
        </w:rPr>
        <w:t>qu’un</w:t>
      </w:r>
      <w:r>
        <w:rPr>
          <w:color w:val="231F20"/>
          <w:spacing w:val="-12"/>
          <w:w w:val="120"/>
        </w:rPr>
        <w:t> </w:t>
      </w:r>
      <w:r>
        <w:rPr>
          <w:color w:val="231F20"/>
          <w:w w:val="120"/>
        </w:rPr>
        <w:t>climat</w:t>
      </w:r>
      <w:r>
        <w:rPr>
          <w:color w:val="231F20"/>
          <w:spacing w:val="-12"/>
          <w:w w:val="120"/>
        </w:rPr>
        <w:t> </w:t>
      </w:r>
      <w:r>
        <w:rPr>
          <w:color w:val="231F20"/>
          <w:w w:val="120"/>
        </w:rPr>
        <w:t>social</w:t>
      </w:r>
      <w:r>
        <w:rPr>
          <w:color w:val="231F20"/>
          <w:spacing w:val="-12"/>
          <w:w w:val="120"/>
        </w:rPr>
        <w:t> </w:t>
      </w:r>
      <w:r>
        <w:rPr>
          <w:color w:val="231F20"/>
          <w:w w:val="120"/>
        </w:rPr>
        <w:t>positif</w:t>
      </w:r>
      <w:r>
        <w:rPr>
          <w:color w:val="231F20"/>
          <w:spacing w:val="-12"/>
          <w:w w:val="120"/>
        </w:rPr>
        <w:t> </w:t>
      </w:r>
      <w:r>
        <w:rPr>
          <w:color w:val="231F20"/>
          <w:w w:val="120"/>
        </w:rPr>
        <w:t>en</w:t>
      </w:r>
      <w:r>
        <w:rPr>
          <w:color w:val="231F20"/>
          <w:spacing w:val="-12"/>
          <w:w w:val="120"/>
        </w:rPr>
        <w:t> </w:t>
      </w:r>
      <w:r>
        <w:rPr>
          <w:color w:val="231F20"/>
          <w:w w:val="120"/>
        </w:rPr>
        <w:t>milieu</w:t>
      </w:r>
      <w:r>
        <w:rPr>
          <w:color w:val="231F20"/>
          <w:spacing w:val="-12"/>
          <w:w w:val="120"/>
        </w:rPr>
        <w:t> </w:t>
      </w:r>
      <w:r>
        <w:rPr>
          <w:color w:val="231F20"/>
          <w:w w:val="120"/>
        </w:rPr>
        <w:t>de</w:t>
      </w:r>
      <w:r>
        <w:rPr>
          <w:color w:val="231F20"/>
          <w:spacing w:val="-12"/>
          <w:w w:val="120"/>
        </w:rPr>
        <w:t> </w:t>
      </w:r>
      <w:r>
        <w:rPr>
          <w:color w:val="231F20"/>
          <w:w w:val="120"/>
        </w:rPr>
        <w:t>travail</w:t>
      </w:r>
      <w:r>
        <w:rPr>
          <w:color w:val="231F20"/>
          <w:spacing w:val="-12"/>
          <w:w w:val="120"/>
        </w:rPr>
        <w:t> </w:t>
      </w:r>
      <w:r>
        <w:rPr>
          <w:color w:val="231F20"/>
          <w:w w:val="120"/>
        </w:rPr>
        <w:t>atténue</w:t>
      </w:r>
      <w:r>
        <w:rPr>
          <w:color w:val="231F20"/>
          <w:spacing w:val="-12"/>
          <w:w w:val="120"/>
        </w:rPr>
        <w:t> </w:t>
      </w:r>
      <w:r>
        <w:rPr>
          <w:color w:val="231F20"/>
          <w:w w:val="120"/>
        </w:rPr>
        <w:t>l’incidence</w:t>
      </w:r>
      <w:r>
        <w:rPr>
          <w:color w:val="231F20"/>
          <w:spacing w:val="-12"/>
          <w:w w:val="120"/>
        </w:rPr>
        <w:t> </w:t>
      </w:r>
      <w:r>
        <w:rPr>
          <w:color w:val="231F20"/>
          <w:w w:val="120"/>
        </w:rPr>
        <w:t>émo- tionnelle des situations stressantes et l’émergence des </w:t>
      </w:r>
      <w:r>
        <w:rPr>
          <w:color w:val="231F20"/>
          <w:w w:val="120"/>
        </w:rPr>
        <w:t>conséquences physiques et psychologiques pouvant y être associées.</w:t>
      </w:r>
    </w:p>
    <w:p>
      <w:pPr>
        <w:pStyle w:val="BodyText"/>
        <w:spacing w:line="307" w:lineRule="auto" w:before="79"/>
        <w:ind w:left="830" w:right="494" w:firstLine="250"/>
        <w:jc w:val="both"/>
      </w:pPr>
      <w:r>
        <w:rPr>
          <w:color w:val="231F20"/>
          <w:w w:val="115"/>
        </w:rPr>
        <w:t>En</w:t>
      </w:r>
      <w:r>
        <w:rPr>
          <w:color w:val="231F20"/>
          <w:spacing w:val="-5"/>
          <w:w w:val="115"/>
        </w:rPr>
        <w:t> </w:t>
      </w:r>
      <w:r>
        <w:rPr>
          <w:color w:val="231F20"/>
          <w:w w:val="115"/>
        </w:rPr>
        <w:t>ce</w:t>
      </w:r>
      <w:r>
        <w:rPr>
          <w:color w:val="231F20"/>
          <w:spacing w:val="-5"/>
          <w:w w:val="115"/>
        </w:rPr>
        <w:t> </w:t>
      </w:r>
      <w:r>
        <w:rPr>
          <w:color w:val="231F20"/>
          <w:w w:val="115"/>
        </w:rPr>
        <w:t>qui</w:t>
      </w:r>
      <w:r>
        <w:rPr>
          <w:color w:val="231F20"/>
          <w:spacing w:val="-5"/>
          <w:w w:val="115"/>
        </w:rPr>
        <w:t> </w:t>
      </w:r>
      <w:r>
        <w:rPr>
          <w:color w:val="231F20"/>
          <w:w w:val="115"/>
        </w:rPr>
        <w:t>concerne</w:t>
      </w:r>
      <w:r>
        <w:rPr>
          <w:color w:val="231F20"/>
          <w:spacing w:val="-5"/>
          <w:w w:val="115"/>
        </w:rPr>
        <w:t> </w:t>
      </w:r>
      <w:r>
        <w:rPr>
          <w:color w:val="231F20"/>
          <w:w w:val="115"/>
        </w:rPr>
        <w:t>l’adaptation</w:t>
      </w:r>
      <w:r>
        <w:rPr>
          <w:color w:val="231F20"/>
          <w:spacing w:val="-5"/>
          <w:w w:val="115"/>
        </w:rPr>
        <w:t> </w:t>
      </w:r>
      <w:r>
        <w:rPr>
          <w:color w:val="231F20"/>
          <w:w w:val="115"/>
        </w:rPr>
        <w:t>du</w:t>
      </w:r>
      <w:r>
        <w:rPr>
          <w:color w:val="231F20"/>
          <w:spacing w:val="-5"/>
          <w:w w:val="115"/>
        </w:rPr>
        <w:t> </w:t>
      </w:r>
      <w:r>
        <w:rPr>
          <w:color w:val="231F20"/>
          <w:w w:val="115"/>
        </w:rPr>
        <w:t>travailleur</w:t>
      </w:r>
      <w:r>
        <w:rPr>
          <w:color w:val="231F20"/>
          <w:spacing w:val="-5"/>
          <w:w w:val="115"/>
        </w:rPr>
        <w:t> </w:t>
      </w:r>
      <w:r>
        <w:rPr>
          <w:color w:val="231F20"/>
          <w:w w:val="115"/>
        </w:rPr>
        <w:t>à</w:t>
      </w:r>
      <w:r>
        <w:rPr>
          <w:color w:val="231F20"/>
          <w:spacing w:val="-5"/>
          <w:w w:val="115"/>
        </w:rPr>
        <w:t> </w:t>
      </w:r>
      <w:r>
        <w:rPr>
          <w:color w:val="231F20"/>
          <w:w w:val="115"/>
        </w:rPr>
        <w:t>de</w:t>
      </w:r>
      <w:r>
        <w:rPr>
          <w:color w:val="231F20"/>
          <w:spacing w:val="-5"/>
          <w:w w:val="115"/>
        </w:rPr>
        <w:t> </w:t>
      </w:r>
      <w:r>
        <w:rPr>
          <w:color w:val="231F20"/>
          <w:w w:val="115"/>
        </w:rPr>
        <w:t>nouvelles</w:t>
      </w:r>
      <w:r>
        <w:rPr>
          <w:color w:val="231F20"/>
          <w:spacing w:val="-5"/>
          <w:w w:val="115"/>
        </w:rPr>
        <w:t> </w:t>
      </w:r>
      <w:r>
        <w:rPr>
          <w:color w:val="231F20"/>
          <w:w w:val="115"/>
        </w:rPr>
        <w:t>fonctions </w:t>
      </w:r>
      <w:r>
        <w:rPr>
          <w:color w:val="231F20"/>
          <w:w w:val="120"/>
        </w:rPr>
        <w:t>ou à des changements apportés à l’emploi qu’il occupe, soulignons la </w:t>
      </w:r>
      <w:r>
        <w:rPr>
          <w:color w:val="231F20"/>
          <w:w w:val="115"/>
        </w:rPr>
        <w:t>nécessité</w:t>
      </w:r>
      <w:r>
        <w:rPr>
          <w:color w:val="231F20"/>
          <w:spacing w:val="-4"/>
          <w:w w:val="115"/>
        </w:rPr>
        <w:t> </w:t>
      </w:r>
      <w:r>
        <w:rPr>
          <w:color w:val="231F20"/>
          <w:w w:val="115"/>
        </w:rPr>
        <w:t>de</w:t>
      </w:r>
      <w:r>
        <w:rPr>
          <w:color w:val="231F20"/>
          <w:spacing w:val="-4"/>
          <w:w w:val="115"/>
        </w:rPr>
        <w:t> </w:t>
      </w:r>
      <w:r>
        <w:rPr>
          <w:color w:val="231F20"/>
          <w:w w:val="115"/>
        </w:rPr>
        <w:t>lui</w:t>
      </w:r>
      <w:r>
        <w:rPr>
          <w:color w:val="231F20"/>
          <w:spacing w:val="-4"/>
          <w:w w:val="115"/>
        </w:rPr>
        <w:t> </w:t>
      </w:r>
      <w:r>
        <w:rPr>
          <w:color w:val="231F20"/>
          <w:w w:val="115"/>
        </w:rPr>
        <w:t>expliquer</w:t>
      </w:r>
      <w:r>
        <w:rPr>
          <w:color w:val="231F20"/>
          <w:spacing w:val="-4"/>
          <w:w w:val="115"/>
        </w:rPr>
        <w:t> </w:t>
      </w:r>
      <w:r>
        <w:rPr>
          <w:color w:val="231F20"/>
          <w:w w:val="115"/>
        </w:rPr>
        <w:t>clairement</w:t>
      </w:r>
      <w:r>
        <w:rPr>
          <w:color w:val="231F20"/>
          <w:spacing w:val="-4"/>
          <w:w w:val="115"/>
        </w:rPr>
        <w:t> </w:t>
      </w:r>
      <w:r>
        <w:rPr>
          <w:color w:val="231F20"/>
          <w:w w:val="115"/>
        </w:rPr>
        <w:t>ses</w:t>
      </w:r>
      <w:r>
        <w:rPr>
          <w:color w:val="231F20"/>
          <w:spacing w:val="-4"/>
          <w:w w:val="115"/>
        </w:rPr>
        <w:t> </w:t>
      </w:r>
      <w:r>
        <w:rPr>
          <w:color w:val="231F20"/>
          <w:w w:val="115"/>
        </w:rPr>
        <w:t>nouvelles</w:t>
      </w:r>
      <w:r>
        <w:rPr>
          <w:color w:val="231F20"/>
          <w:spacing w:val="-4"/>
          <w:w w:val="115"/>
        </w:rPr>
        <w:t> </w:t>
      </w:r>
      <w:r>
        <w:rPr>
          <w:color w:val="231F20"/>
          <w:w w:val="115"/>
        </w:rPr>
        <w:t>tâches</w:t>
      </w:r>
      <w:r>
        <w:rPr>
          <w:color w:val="231F20"/>
          <w:spacing w:val="-4"/>
          <w:w w:val="115"/>
        </w:rPr>
        <w:t> </w:t>
      </w:r>
      <w:r>
        <w:rPr>
          <w:color w:val="231F20"/>
          <w:w w:val="115"/>
        </w:rPr>
        <w:t>et</w:t>
      </w:r>
      <w:r>
        <w:rPr>
          <w:color w:val="231F20"/>
          <w:spacing w:val="-4"/>
          <w:w w:val="115"/>
        </w:rPr>
        <w:t> </w:t>
      </w:r>
      <w:r>
        <w:rPr>
          <w:color w:val="231F20"/>
          <w:w w:val="115"/>
        </w:rPr>
        <w:t>de</w:t>
      </w:r>
      <w:r>
        <w:rPr>
          <w:color w:val="231F20"/>
          <w:spacing w:val="-4"/>
          <w:w w:val="115"/>
        </w:rPr>
        <w:t> </w:t>
      </w:r>
      <w:r>
        <w:rPr>
          <w:color w:val="231F20"/>
          <w:w w:val="115"/>
        </w:rPr>
        <w:t>lui</w:t>
      </w:r>
      <w:r>
        <w:rPr>
          <w:color w:val="231F20"/>
          <w:spacing w:val="-4"/>
          <w:w w:val="115"/>
        </w:rPr>
        <w:t> </w:t>
      </w:r>
      <w:r>
        <w:rPr>
          <w:color w:val="231F20"/>
          <w:w w:val="115"/>
        </w:rPr>
        <w:t>donner </w:t>
      </w:r>
      <w:r>
        <w:rPr>
          <w:color w:val="231F20"/>
          <w:w w:val="120"/>
        </w:rPr>
        <w:t>la formation nécessaire avant son entrée en poste ou la mise en œuvre des</w:t>
      </w:r>
      <w:r>
        <w:rPr>
          <w:color w:val="231F20"/>
          <w:spacing w:val="-13"/>
          <w:w w:val="120"/>
        </w:rPr>
        <w:t> </w:t>
      </w:r>
      <w:r>
        <w:rPr>
          <w:color w:val="231F20"/>
          <w:w w:val="120"/>
        </w:rPr>
        <w:t>changements.</w:t>
      </w:r>
    </w:p>
    <w:p>
      <w:pPr>
        <w:pStyle w:val="BodyText"/>
        <w:spacing w:line="307" w:lineRule="auto" w:before="79"/>
        <w:ind w:left="830" w:right="492" w:firstLine="250"/>
        <w:jc w:val="both"/>
      </w:pPr>
      <w:r>
        <w:rPr>
          <w:color w:val="231F20"/>
          <w:w w:val="120"/>
        </w:rPr>
        <w:t>Bon</w:t>
      </w:r>
      <w:r>
        <w:rPr>
          <w:color w:val="231F20"/>
          <w:spacing w:val="-3"/>
          <w:w w:val="120"/>
        </w:rPr>
        <w:t> </w:t>
      </w:r>
      <w:r>
        <w:rPr>
          <w:color w:val="231F20"/>
          <w:w w:val="120"/>
        </w:rPr>
        <w:t>nombre</w:t>
      </w:r>
      <w:r>
        <w:rPr>
          <w:color w:val="231F20"/>
          <w:spacing w:val="-3"/>
          <w:w w:val="120"/>
        </w:rPr>
        <w:t> </w:t>
      </w:r>
      <w:r>
        <w:rPr>
          <w:color w:val="231F20"/>
          <w:w w:val="120"/>
        </w:rPr>
        <w:t>des</w:t>
      </w:r>
      <w:r>
        <w:rPr>
          <w:color w:val="231F20"/>
          <w:spacing w:val="-3"/>
          <w:w w:val="120"/>
        </w:rPr>
        <w:t> </w:t>
      </w:r>
      <w:r>
        <w:rPr>
          <w:color w:val="231F20"/>
          <w:w w:val="120"/>
        </w:rPr>
        <w:t>mesures</w:t>
      </w:r>
      <w:r>
        <w:rPr>
          <w:color w:val="231F20"/>
          <w:spacing w:val="-3"/>
          <w:w w:val="120"/>
        </w:rPr>
        <w:t> </w:t>
      </w:r>
      <w:r>
        <w:rPr>
          <w:color w:val="231F20"/>
          <w:w w:val="120"/>
        </w:rPr>
        <w:t>discutées</w:t>
      </w:r>
      <w:r>
        <w:rPr>
          <w:color w:val="231F20"/>
          <w:spacing w:val="-3"/>
          <w:w w:val="120"/>
        </w:rPr>
        <w:t> </w:t>
      </w:r>
      <w:r>
        <w:rPr>
          <w:color w:val="231F20"/>
          <w:w w:val="120"/>
        </w:rPr>
        <w:t>jusqu’à</w:t>
      </w:r>
      <w:r>
        <w:rPr>
          <w:color w:val="231F20"/>
          <w:spacing w:val="-3"/>
          <w:w w:val="120"/>
        </w:rPr>
        <w:t> </w:t>
      </w:r>
      <w:r>
        <w:rPr>
          <w:color w:val="231F20"/>
          <w:w w:val="120"/>
        </w:rPr>
        <w:t>maintenant</w:t>
      </w:r>
      <w:r>
        <w:rPr>
          <w:color w:val="231F20"/>
          <w:spacing w:val="-3"/>
          <w:w w:val="120"/>
        </w:rPr>
        <w:t> </w:t>
      </w:r>
      <w:r>
        <w:rPr>
          <w:color w:val="231F20"/>
          <w:w w:val="120"/>
        </w:rPr>
        <w:t>doivent</w:t>
      </w:r>
      <w:r>
        <w:rPr>
          <w:color w:val="231F20"/>
          <w:spacing w:val="-3"/>
          <w:w w:val="120"/>
        </w:rPr>
        <w:t> </w:t>
      </w:r>
      <w:r>
        <w:rPr>
          <w:color w:val="231F20"/>
          <w:w w:val="120"/>
        </w:rPr>
        <w:t>être accompagnées</w:t>
      </w:r>
      <w:r>
        <w:rPr>
          <w:color w:val="231F20"/>
          <w:spacing w:val="-11"/>
          <w:w w:val="120"/>
        </w:rPr>
        <w:t> </w:t>
      </w:r>
      <w:r>
        <w:rPr>
          <w:color w:val="231F20"/>
          <w:w w:val="120"/>
        </w:rPr>
        <w:t>de</w:t>
      </w:r>
      <w:r>
        <w:rPr>
          <w:color w:val="231F20"/>
          <w:spacing w:val="-11"/>
          <w:w w:val="120"/>
        </w:rPr>
        <w:t> </w:t>
      </w:r>
      <w:r>
        <w:rPr>
          <w:color w:val="231F20"/>
          <w:w w:val="120"/>
        </w:rPr>
        <w:t>programmes</w:t>
      </w:r>
      <w:r>
        <w:rPr>
          <w:color w:val="231F20"/>
          <w:spacing w:val="-11"/>
          <w:w w:val="120"/>
        </w:rPr>
        <w:t> </w:t>
      </w:r>
      <w:r>
        <w:rPr>
          <w:color w:val="231F20"/>
          <w:w w:val="120"/>
        </w:rPr>
        <w:t>de</w:t>
      </w:r>
      <w:r>
        <w:rPr>
          <w:color w:val="231F20"/>
          <w:spacing w:val="-11"/>
          <w:w w:val="120"/>
        </w:rPr>
        <w:t> </w:t>
      </w:r>
      <w:r>
        <w:rPr>
          <w:color w:val="231F20"/>
          <w:w w:val="120"/>
        </w:rPr>
        <w:t>formation</w:t>
      </w:r>
      <w:r>
        <w:rPr>
          <w:color w:val="231F20"/>
          <w:spacing w:val="-11"/>
          <w:w w:val="120"/>
        </w:rPr>
        <w:t> </w:t>
      </w:r>
      <w:r>
        <w:rPr>
          <w:color w:val="231F20"/>
          <w:w w:val="120"/>
        </w:rPr>
        <w:t>du</w:t>
      </w:r>
      <w:r>
        <w:rPr>
          <w:color w:val="231F20"/>
          <w:spacing w:val="-11"/>
          <w:w w:val="120"/>
        </w:rPr>
        <w:t> </w:t>
      </w:r>
      <w:r>
        <w:rPr>
          <w:color w:val="231F20"/>
          <w:w w:val="120"/>
        </w:rPr>
        <w:t>personnel</w:t>
      </w:r>
      <w:r>
        <w:rPr>
          <w:color w:val="231F20"/>
          <w:spacing w:val="-11"/>
          <w:w w:val="120"/>
        </w:rPr>
        <w:t> </w:t>
      </w:r>
      <w:r>
        <w:rPr>
          <w:color w:val="231F20"/>
          <w:w w:val="120"/>
        </w:rPr>
        <w:t>(des</w:t>
      </w:r>
      <w:r>
        <w:rPr>
          <w:color w:val="231F20"/>
          <w:spacing w:val="-11"/>
          <w:w w:val="120"/>
        </w:rPr>
        <w:t> </w:t>
      </w:r>
      <w:r>
        <w:rPr>
          <w:color w:val="231F20"/>
          <w:w w:val="120"/>
        </w:rPr>
        <w:t>gestion- naires comme des travailleurs) sur la façon d’agir dans l’organisation. </w:t>
      </w:r>
      <w:r>
        <w:rPr>
          <w:color w:val="231F20"/>
          <w:spacing w:val="-2"/>
          <w:w w:val="120"/>
        </w:rPr>
        <w:t>L’intervention</w:t>
      </w:r>
      <w:r>
        <w:rPr>
          <w:color w:val="231F20"/>
          <w:spacing w:val="-11"/>
          <w:w w:val="120"/>
        </w:rPr>
        <w:t> </w:t>
      </w:r>
      <w:r>
        <w:rPr>
          <w:color w:val="231F20"/>
          <w:spacing w:val="-2"/>
          <w:w w:val="120"/>
        </w:rPr>
        <w:t>individuelle</w:t>
      </w:r>
      <w:r>
        <w:rPr>
          <w:color w:val="231F20"/>
          <w:spacing w:val="-11"/>
          <w:w w:val="120"/>
        </w:rPr>
        <w:t> </w:t>
      </w:r>
      <w:r>
        <w:rPr>
          <w:color w:val="231F20"/>
          <w:spacing w:val="-2"/>
          <w:w w:val="120"/>
        </w:rPr>
        <w:t>est</w:t>
      </w:r>
      <w:r>
        <w:rPr>
          <w:color w:val="231F20"/>
          <w:spacing w:val="-11"/>
          <w:w w:val="120"/>
        </w:rPr>
        <w:t> </w:t>
      </w:r>
      <w:r>
        <w:rPr>
          <w:color w:val="231F20"/>
          <w:spacing w:val="-2"/>
          <w:w w:val="120"/>
        </w:rPr>
        <w:t>une</w:t>
      </w:r>
      <w:r>
        <w:rPr>
          <w:color w:val="231F20"/>
          <w:spacing w:val="-10"/>
          <w:w w:val="120"/>
        </w:rPr>
        <w:t> </w:t>
      </w:r>
      <w:r>
        <w:rPr>
          <w:color w:val="231F20"/>
          <w:spacing w:val="-2"/>
          <w:w w:val="120"/>
        </w:rPr>
        <w:t>activité</w:t>
      </w:r>
      <w:r>
        <w:rPr>
          <w:color w:val="231F20"/>
          <w:spacing w:val="-11"/>
          <w:w w:val="120"/>
        </w:rPr>
        <w:t> </w:t>
      </w:r>
      <w:r>
        <w:rPr>
          <w:color w:val="231F20"/>
          <w:spacing w:val="-2"/>
          <w:w w:val="120"/>
        </w:rPr>
        <w:t>nécessaire</w:t>
      </w:r>
      <w:r>
        <w:rPr>
          <w:color w:val="231F20"/>
          <w:spacing w:val="-11"/>
          <w:w w:val="120"/>
        </w:rPr>
        <w:t> </w:t>
      </w:r>
      <w:r>
        <w:rPr>
          <w:color w:val="231F20"/>
          <w:spacing w:val="-2"/>
          <w:w w:val="120"/>
        </w:rPr>
        <w:t>et</w:t>
      </w:r>
      <w:r>
        <w:rPr>
          <w:color w:val="231F20"/>
          <w:spacing w:val="-11"/>
          <w:w w:val="120"/>
        </w:rPr>
        <w:t> </w:t>
      </w:r>
      <w:r>
        <w:rPr>
          <w:color w:val="231F20"/>
          <w:spacing w:val="-2"/>
          <w:w w:val="120"/>
        </w:rPr>
        <w:t>complémentaire à</w:t>
      </w:r>
      <w:r>
        <w:rPr>
          <w:color w:val="231F20"/>
          <w:spacing w:val="-6"/>
          <w:w w:val="120"/>
        </w:rPr>
        <w:t> </w:t>
      </w:r>
      <w:r>
        <w:rPr>
          <w:color w:val="231F20"/>
          <w:spacing w:val="-2"/>
          <w:w w:val="120"/>
        </w:rPr>
        <w:t>tout</w:t>
      </w:r>
      <w:r>
        <w:rPr>
          <w:color w:val="231F20"/>
          <w:spacing w:val="-6"/>
          <w:w w:val="120"/>
        </w:rPr>
        <w:t> </w:t>
      </w:r>
      <w:r>
        <w:rPr>
          <w:color w:val="231F20"/>
          <w:spacing w:val="-2"/>
          <w:w w:val="120"/>
        </w:rPr>
        <w:t>changement.</w:t>
      </w:r>
      <w:r>
        <w:rPr>
          <w:color w:val="231F20"/>
          <w:spacing w:val="-6"/>
          <w:w w:val="120"/>
        </w:rPr>
        <w:t> </w:t>
      </w:r>
      <w:r>
        <w:rPr>
          <w:color w:val="231F20"/>
          <w:spacing w:val="-2"/>
          <w:w w:val="120"/>
        </w:rPr>
        <w:t>Elle</w:t>
      </w:r>
      <w:r>
        <w:rPr>
          <w:color w:val="231F20"/>
          <w:spacing w:val="-6"/>
          <w:w w:val="120"/>
        </w:rPr>
        <w:t> </w:t>
      </w:r>
      <w:r>
        <w:rPr>
          <w:color w:val="231F20"/>
          <w:spacing w:val="-2"/>
          <w:w w:val="120"/>
        </w:rPr>
        <w:t>consiste</w:t>
      </w:r>
      <w:r>
        <w:rPr>
          <w:color w:val="231F20"/>
          <w:spacing w:val="-6"/>
          <w:w w:val="120"/>
        </w:rPr>
        <w:t> </w:t>
      </w:r>
      <w:r>
        <w:rPr>
          <w:color w:val="231F20"/>
          <w:spacing w:val="-2"/>
          <w:w w:val="120"/>
        </w:rPr>
        <w:t>à</w:t>
      </w:r>
      <w:r>
        <w:rPr>
          <w:color w:val="231F20"/>
          <w:spacing w:val="-6"/>
          <w:w w:val="120"/>
        </w:rPr>
        <w:t> </w:t>
      </w:r>
      <w:r>
        <w:rPr>
          <w:color w:val="231F20"/>
          <w:spacing w:val="-2"/>
          <w:w w:val="120"/>
        </w:rPr>
        <w:t>doter</w:t>
      </w:r>
      <w:r>
        <w:rPr>
          <w:color w:val="231F20"/>
          <w:spacing w:val="-6"/>
          <w:w w:val="120"/>
        </w:rPr>
        <w:t> </w:t>
      </w:r>
      <w:r>
        <w:rPr>
          <w:color w:val="231F20"/>
          <w:spacing w:val="-2"/>
          <w:w w:val="120"/>
        </w:rPr>
        <w:t>l’individu</w:t>
      </w:r>
      <w:r>
        <w:rPr>
          <w:color w:val="231F20"/>
          <w:spacing w:val="-6"/>
          <w:w w:val="120"/>
        </w:rPr>
        <w:t> </w:t>
      </w:r>
      <w:r>
        <w:rPr>
          <w:color w:val="231F20"/>
          <w:spacing w:val="-2"/>
          <w:w w:val="120"/>
        </w:rPr>
        <w:t>de</w:t>
      </w:r>
      <w:r>
        <w:rPr>
          <w:color w:val="231F20"/>
          <w:spacing w:val="-6"/>
          <w:w w:val="120"/>
        </w:rPr>
        <w:t> </w:t>
      </w:r>
      <w:r>
        <w:rPr>
          <w:color w:val="231F20"/>
          <w:spacing w:val="-2"/>
          <w:w w:val="120"/>
        </w:rPr>
        <w:t>stratégies</w:t>
      </w:r>
      <w:r>
        <w:rPr>
          <w:color w:val="231F20"/>
          <w:spacing w:val="-6"/>
          <w:w w:val="120"/>
        </w:rPr>
        <w:t> </w:t>
      </w:r>
      <w:r>
        <w:rPr>
          <w:color w:val="231F20"/>
          <w:spacing w:val="-2"/>
          <w:w w:val="120"/>
        </w:rPr>
        <w:t>qui</w:t>
      </w:r>
      <w:r>
        <w:rPr>
          <w:color w:val="231F20"/>
          <w:spacing w:val="-6"/>
          <w:w w:val="120"/>
        </w:rPr>
        <w:t> </w:t>
      </w:r>
      <w:r>
        <w:rPr>
          <w:color w:val="231F20"/>
          <w:spacing w:val="-2"/>
          <w:w w:val="120"/>
        </w:rPr>
        <w:t>faci- </w:t>
      </w:r>
      <w:r>
        <w:rPr>
          <w:color w:val="231F20"/>
          <w:w w:val="120"/>
        </w:rPr>
        <w:t>literont son adaptation aux aspects difficilement circonscrits par des mesures</w:t>
      </w:r>
      <w:r>
        <w:rPr>
          <w:color w:val="231F20"/>
          <w:spacing w:val="-13"/>
          <w:w w:val="120"/>
        </w:rPr>
        <w:t> </w:t>
      </w:r>
      <w:r>
        <w:rPr>
          <w:color w:val="231F20"/>
          <w:w w:val="120"/>
        </w:rPr>
        <w:t>organisationnelles.</w:t>
      </w:r>
    </w:p>
    <w:p>
      <w:pPr>
        <w:pStyle w:val="BodyText"/>
        <w:spacing w:before="8"/>
        <w:rPr>
          <w:sz w:val="26"/>
        </w:rPr>
      </w:pPr>
    </w:p>
    <w:p>
      <w:pPr>
        <w:pStyle w:val="Heading4"/>
        <w:numPr>
          <w:ilvl w:val="2"/>
          <w:numId w:val="89"/>
        </w:numPr>
        <w:tabs>
          <w:tab w:pos="529" w:val="left" w:leader="none"/>
          <w:tab w:pos="829" w:val="left" w:leader="none"/>
        </w:tabs>
        <w:spacing w:line="240" w:lineRule="auto" w:before="0" w:after="0"/>
        <w:ind w:left="528" w:right="0" w:hanging="405"/>
        <w:jc w:val="left"/>
      </w:pPr>
      <w:r>
        <w:rPr>
          <w:b w:val="0"/>
          <w:i/>
          <w:color w:val="231F20"/>
          <w:spacing w:val="-10"/>
        </w:rPr>
        <w:t>/</w:t>
      </w:r>
      <w:r>
        <w:rPr>
          <w:b w:val="0"/>
          <w:i/>
          <w:color w:val="231F20"/>
        </w:rPr>
        <w:tab/>
      </w:r>
      <w:r>
        <w:rPr>
          <w:color w:val="231F20"/>
          <w:w w:val="90"/>
        </w:rPr>
        <w:t>Gestion</w:t>
      </w:r>
      <w:r>
        <w:rPr>
          <w:color w:val="231F20"/>
          <w:spacing w:val="7"/>
        </w:rPr>
        <w:t> </w:t>
      </w:r>
      <w:r>
        <w:rPr>
          <w:color w:val="231F20"/>
          <w:w w:val="90"/>
        </w:rPr>
        <w:t>des</w:t>
      </w:r>
      <w:r>
        <w:rPr>
          <w:color w:val="231F20"/>
          <w:spacing w:val="7"/>
        </w:rPr>
        <w:t> </w:t>
      </w:r>
      <w:r>
        <w:rPr>
          <w:color w:val="231F20"/>
          <w:w w:val="90"/>
        </w:rPr>
        <w:t>ressources</w:t>
      </w:r>
      <w:r>
        <w:rPr>
          <w:color w:val="231F20"/>
          <w:spacing w:val="7"/>
        </w:rPr>
        <w:t> </w:t>
      </w:r>
      <w:r>
        <w:rPr>
          <w:color w:val="231F20"/>
          <w:w w:val="90"/>
        </w:rPr>
        <w:t>humaines</w:t>
      </w:r>
      <w:r>
        <w:rPr>
          <w:color w:val="231F20"/>
          <w:spacing w:val="8"/>
        </w:rPr>
        <w:t> </w:t>
      </w:r>
      <w:r>
        <w:rPr>
          <w:color w:val="231F20"/>
          <w:w w:val="90"/>
        </w:rPr>
        <w:t>et</w:t>
      </w:r>
      <w:r>
        <w:rPr>
          <w:color w:val="231F20"/>
          <w:spacing w:val="7"/>
        </w:rPr>
        <w:t> </w:t>
      </w:r>
      <w:r>
        <w:rPr>
          <w:color w:val="231F20"/>
          <w:spacing w:val="-2"/>
          <w:w w:val="90"/>
        </w:rPr>
        <w:t>stress</w:t>
      </w:r>
    </w:p>
    <w:p>
      <w:pPr>
        <w:pStyle w:val="BodyText"/>
        <w:spacing w:line="307" w:lineRule="auto" w:before="233"/>
        <w:ind w:left="830" w:right="496"/>
        <w:jc w:val="both"/>
      </w:pPr>
      <w:r>
        <w:rPr>
          <w:color w:val="231F20"/>
          <w:w w:val="120"/>
        </w:rPr>
        <w:t>La</w:t>
      </w:r>
      <w:r>
        <w:rPr>
          <w:color w:val="231F20"/>
          <w:spacing w:val="-13"/>
          <w:w w:val="120"/>
        </w:rPr>
        <w:t> </w:t>
      </w:r>
      <w:r>
        <w:rPr>
          <w:color w:val="231F20"/>
          <w:w w:val="120"/>
        </w:rPr>
        <w:t>direction</w:t>
      </w:r>
      <w:r>
        <w:rPr>
          <w:color w:val="231F20"/>
          <w:spacing w:val="-12"/>
          <w:w w:val="120"/>
        </w:rPr>
        <w:t> </w:t>
      </w:r>
      <w:r>
        <w:rPr>
          <w:color w:val="231F20"/>
          <w:w w:val="120"/>
        </w:rPr>
        <w:t>des</w:t>
      </w:r>
      <w:r>
        <w:rPr>
          <w:color w:val="231F20"/>
          <w:spacing w:val="-13"/>
          <w:w w:val="120"/>
        </w:rPr>
        <w:t> </w:t>
      </w:r>
      <w:r>
        <w:rPr>
          <w:color w:val="231F20"/>
          <w:w w:val="120"/>
        </w:rPr>
        <w:t>ressources</w:t>
      </w:r>
      <w:r>
        <w:rPr>
          <w:color w:val="231F20"/>
          <w:spacing w:val="-12"/>
          <w:w w:val="120"/>
        </w:rPr>
        <w:t> </w:t>
      </w:r>
      <w:r>
        <w:rPr>
          <w:color w:val="231F20"/>
          <w:w w:val="120"/>
        </w:rPr>
        <w:t>humaines</w:t>
      </w:r>
      <w:r>
        <w:rPr>
          <w:color w:val="231F20"/>
          <w:spacing w:val="-13"/>
          <w:w w:val="120"/>
        </w:rPr>
        <w:t> </w:t>
      </w:r>
      <w:r>
        <w:rPr>
          <w:color w:val="231F20"/>
          <w:w w:val="120"/>
        </w:rPr>
        <w:t>doit</w:t>
      </w:r>
      <w:r>
        <w:rPr>
          <w:color w:val="231F20"/>
          <w:spacing w:val="-12"/>
          <w:w w:val="120"/>
        </w:rPr>
        <w:t> </w:t>
      </w:r>
      <w:r>
        <w:rPr>
          <w:color w:val="231F20"/>
          <w:w w:val="120"/>
        </w:rPr>
        <w:t>mettre</w:t>
      </w:r>
      <w:r>
        <w:rPr>
          <w:color w:val="231F20"/>
          <w:spacing w:val="-13"/>
          <w:w w:val="120"/>
        </w:rPr>
        <w:t> </w:t>
      </w:r>
      <w:r>
        <w:rPr>
          <w:color w:val="231F20"/>
          <w:w w:val="120"/>
        </w:rPr>
        <w:t>en</w:t>
      </w:r>
      <w:r>
        <w:rPr>
          <w:color w:val="231F20"/>
          <w:spacing w:val="-12"/>
          <w:w w:val="120"/>
        </w:rPr>
        <w:t> </w:t>
      </w:r>
      <w:r>
        <w:rPr>
          <w:color w:val="231F20"/>
          <w:w w:val="120"/>
        </w:rPr>
        <w:t>œuvre</w:t>
      </w:r>
      <w:r>
        <w:rPr>
          <w:color w:val="231F20"/>
          <w:spacing w:val="-13"/>
          <w:w w:val="120"/>
        </w:rPr>
        <w:t> </w:t>
      </w:r>
      <w:r>
        <w:rPr>
          <w:color w:val="231F20"/>
          <w:w w:val="120"/>
        </w:rPr>
        <w:t>des</w:t>
      </w:r>
      <w:r>
        <w:rPr>
          <w:color w:val="231F20"/>
          <w:spacing w:val="-12"/>
          <w:w w:val="120"/>
        </w:rPr>
        <w:t> </w:t>
      </w:r>
      <w:r>
        <w:rPr>
          <w:color w:val="231F20"/>
          <w:w w:val="120"/>
        </w:rPr>
        <w:t>mesures de prévention en intervenant au stade de la conception et en tenant compte</w:t>
      </w:r>
      <w:r>
        <w:rPr>
          <w:color w:val="231F20"/>
          <w:spacing w:val="-10"/>
          <w:w w:val="120"/>
        </w:rPr>
        <w:t> </w:t>
      </w:r>
      <w:r>
        <w:rPr>
          <w:color w:val="231F20"/>
          <w:w w:val="120"/>
        </w:rPr>
        <w:t>de</w:t>
      </w:r>
      <w:r>
        <w:rPr>
          <w:color w:val="231F20"/>
          <w:spacing w:val="-10"/>
          <w:w w:val="120"/>
        </w:rPr>
        <w:t> </w:t>
      </w:r>
      <w:r>
        <w:rPr>
          <w:color w:val="231F20"/>
          <w:w w:val="120"/>
        </w:rPr>
        <w:t>tous</w:t>
      </w:r>
      <w:r>
        <w:rPr>
          <w:color w:val="231F20"/>
          <w:spacing w:val="-10"/>
          <w:w w:val="120"/>
        </w:rPr>
        <w:t> </w:t>
      </w:r>
      <w:r>
        <w:rPr>
          <w:color w:val="231F20"/>
          <w:w w:val="120"/>
        </w:rPr>
        <w:t>les</w:t>
      </w:r>
      <w:r>
        <w:rPr>
          <w:color w:val="231F20"/>
          <w:spacing w:val="-10"/>
          <w:w w:val="120"/>
        </w:rPr>
        <w:t> </w:t>
      </w:r>
      <w:r>
        <w:rPr>
          <w:color w:val="231F20"/>
          <w:w w:val="120"/>
        </w:rPr>
        <w:t>éléments</w:t>
      </w:r>
      <w:r>
        <w:rPr>
          <w:color w:val="231F20"/>
          <w:spacing w:val="-10"/>
          <w:w w:val="120"/>
        </w:rPr>
        <w:t> </w:t>
      </w:r>
      <w:r>
        <w:rPr>
          <w:color w:val="231F20"/>
          <w:w w:val="120"/>
        </w:rPr>
        <w:t>du</w:t>
      </w:r>
      <w:r>
        <w:rPr>
          <w:color w:val="231F20"/>
          <w:spacing w:val="-10"/>
          <w:w w:val="120"/>
        </w:rPr>
        <w:t> </w:t>
      </w:r>
      <w:r>
        <w:rPr>
          <w:color w:val="231F20"/>
          <w:w w:val="120"/>
        </w:rPr>
        <w:t>travail,</w:t>
      </w:r>
      <w:r>
        <w:rPr>
          <w:color w:val="231F20"/>
          <w:spacing w:val="-10"/>
          <w:w w:val="120"/>
        </w:rPr>
        <w:t> </w:t>
      </w:r>
      <w:r>
        <w:rPr>
          <w:color w:val="231F20"/>
          <w:w w:val="120"/>
        </w:rPr>
        <w:t>de</w:t>
      </w:r>
      <w:r>
        <w:rPr>
          <w:color w:val="231F20"/>
          <w:spacing w:val="-10"/>
          <w:w w:val="120"/>
        </w:rPr>
        <w:t> </w:t>
      </w:r>
      <w:r>
        <w:rPr>
          <w:color w:val="231F20"/>
          <w:w w:val="120"/>
        </w:rPr>
        <w:t>son</w:t>
      </w:r>
      <w:r>
        <w:rPr>
          <w:color w:val="231F20"/>
          <w:spacing w:val="-10"/>
          <w:w w:val="120"/>
        </w:rPr>
        <w:t> </w:t>
      </w:r>
      <w:r>
        <w:rPr>
          <w:color w:val="231F20"/>
          <w:w w:val="120"/>
        </w:rPr>
        <w:t>environnement</w:t>
      </w:r>
      <w:r>
        <w:rPr>
          <w:color w:val="231F20"/>
          <w:spacing w:val="-10"/>
          <w:w w:val="120"/>
        </w:rPr>
        <w:t> </w:t>
      </w:r>
      <w:r>
        <w:rPr>
          <w:color w:val="231F20"/>
          <w:w w:val="120"/>
        </w:rPr>
        <w:t>physique et social et de ses répercussions possibles sur la santé. À cette fin, un exercice</w:t>
      </w:r>
      <w:r>
        <w:rPr>
          <w:color w:val="231F20"/>
          <w:spacing w:val="-9"/>
          <w:w w:val="120"/>
        </w:rPr>
        <w:t> </w:t>
      </w:r>
      <w:r>
        <w:rPr>
          <w:color w:val="231F20"/>
          <w:w w:val="120"/>
        </w:rPr>
        <w:t>de</w:t>
      </w:r>
      <w:r>
        <w:rPr>
          <w:color w:val="231F20"/>
          <w:spacing w:val="-9"/>
          <w:w w:val="120"/>
        </w:rPr>
        <w:t> </w:t>
      </w:r>
      <w:r>
        <w:rPr>
          <w:color w:val="231F20"/>
          <w:w w:val="120"/>
        </w:rPr>
        <w:t>diagnostic</w:t>
      </w:r>
      <w:r>
        <w:rPr>
          <w:color w:val="231F20"/>
          <w:spacing w:val="-9"/>
          <w:w w:val="120"/>
        </w:rPr>
        <w:t> </w:t>
      </w:r>
      <w:r>
        <w:rPr>
          <w:color w:val="231F20"/>
          <w:w w:val="120"/>
        </w:rPr>
        <w:t>organisationnel</w:t>
      </w:r>
      <w:r>
        <w:rPr>
          <w:color w:val="231F20"/>
          <w:spacing w:val="-9"/>
          <w:w w:val="120"/>
        </w:rPr>
        <w:t> </w:t>
      </w:r>
      <w:r>
        <w:rPr>
          <w:color w:val="231F20"/>
          <w:w w:val="120"/>
        </w:rPr>
        <w:t>cerne</w:t>
      </w:r>
      <w:r>
        <w:rPr>
          <w:color w:val="231F20"/>
          <w:spacing w:val="-9"/>
          <w:w w:val="120"/>
        </w:rPr>
        <w:t> </w:t>
      </w:r>
      <w:r>
        <w:rPr>
          <w:color w:val="231F20"/>
          <w:w w:val="120"/>
        </w:rPr>
        <w:t>les</w:t>
      </w:r>
      <w:r>
        <w:rPr>
          <w:color w:val="231F20"/>
          <w:spacing w:val="-9"/>
          <w:w w:val="120"/>
        </w:rPr>
        <w:t> </w:t>
      </w:r>
      <w:r>
        <w:rPr>
          <w:color w:val="231F20"/>
          <w:w w:val="120"/>
        </w:rPr>
        <w:t>risques</w:t>
      </w:r>
      <w:r>
        <w:rPr>
          <w:color w:val="231F20"/>
          <w:spacing w:val="-9"/>
          <w:w w:val="120"/>
        </w:rPr>
        <w:t> </w:t>
      </w:r>
      <w:r>
        <w:rPr>
          <w:color w:val="231F20"/>
          <w:w w:val="120"/>
        </w:rPr>
        <w:t>psychosociaux auxquels sont soumis les travailleurs et doit porter une attention par- ticulière aux divers aspects du contrôle des tâches et de l’organisation</w:t>
      </w:r>
    </w:p>
    <w:p>
      <w:pPr>
        <w:spacing w:after="0" w:line="307" w:lineRule="auto"/>
        <w:jc w:val="both"/>
        <w:sectPr>
          <w:footerReference w:type="default" r:id="rId328"/>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0"/>
        <w:jc w:val="both"/>
      </w:pPr>
      <w:r>
        <w:rPr>
          <w:color w:val="231F20"/>
          <w:w w:val="120"/>
        </w:rPr>
        <w:t>du travail. Entre autres, il importe de reconsidérer ponctuellement les exigences des emplois, les cadences de travail, l’horaire de travail, l’organisation des tâches, la complexité des processus administratifs, </w:t>
      </w:r>
      <w:r>
        <w:rPr>
          <w:color w:val="231F20"/>
          <w:w w:val="115"/>
        </w:rPr>
        <w:t>l’ambiguïté</w:t>
      </w:r>
      <w:r>
        <w:rPr>
          <w:color w:val="231F20"/>
          <w:spacing w:val="-8"/>
          <w:w w:val="115"/>
        </w:rPr>
        <w:t> </w:t>
      </w:r>
      <w:r>
        <w:rPr>
          <w:color w:val="231F20"/>
          <w:w w:val="115"/>
        </w:rPr>
        <w:t>et</w:t>
      </w:r>
      <w:r>
        <w:rPr>
          <w:color w:val="231F20"/>
          <w:spacing w:val="-8"/>
          <w:w w:val="115"/>
        </w:rPr>
        <w:t> </w:t>
      </w:r>
      <w:r>
        <w:rPr>
          <w:color w:val="231F20"/>
          <w:w w:val="115"/>
        </w:rPr>
        <w:t>les</w:t>
      </w:r>
      <w:r>
        <w:rPr>
          <w:color w:val="231F20"/>
          <w:spacing w:val="-8"/>
          <w:w w:val="115"/>
        </w:rPr>
        <w:t> </w:t>
      </w:r>
      <w:r>
        <w:rPr>
          <w:color w:val="231F20"/>
          <w:w w:val="115"/>
        </w:rPr>
        <w:t>conflits</w:t>
      </w:r>
      <w:r>
        <w:rPr>
          <w:color w:val="231F20"/>
          <w:spacing w:val="-8"/>
          <w:w w:val="115"/>
        </w:rPr>
        <w:t> </w:t>
      </w:r>
      <w:r>
        <w:rPr>
          <w:color w:val="231F20"/>
          <w:w w:val="115"/>
        </w:rPr>
        <w:t>relatifs</w:t>
      </w:r>
      <w:r>
        <w:rPr>
          <w:color w:val="231F20"/>
          <w:spacing w:val="-8"/>
          <w:w w:val="115"/>
        </w:rPr>
        <w:t> </w:t>
      </w:r>
      <w:r>
        <w:rPr>
          <w:color w:val="231F20"/>
          <w:w w:val="115"/>
        </w:rPr>
        <w:t>aux</w:t>
      </w:r>
      <w:r>
        <w:rPr>
          <w:color w:val="231F20"/>
          <w:spacing w:val="-8"/>
          <w:w w:val="115"/>
        </w:rPr>
        <w:t> </w:t>
      </w:r>
      <w:r>
        <w:rPr>
          <w:color w:val="231F20"/>
          <w:w w:val="115"/>
        </w:rPr>
        <w:t>rôles,</w:t>
      </w:r>
      <w:r>
        <w:rPr>
          <w:color w:val="231F20"/>
          <w:spacing w:val="-8"/>
          <w:w w:val="115"/>
        </w:rPr>
        <w:t> </w:t>
      </w:r>
      <w:r>
        <w:rPr>
          <w:color w:val="231F20"/>
          <w:w w:val="115"/>
        </w:rPr>
        <w:t>la</w:t>
      </w:r>
      <w:r>
        <w:rPr>
          <w:color w:val="231F20"/>
          <w:spacing w:val="-8"/>
          <w:w w:val="115"/>
        </w:rPr>
        <w:t> </w:t>
      </w:r>
      <w:r>
        <w:rPr>
          <w:color w:val="231F20"/>
          <w:w w:val="115"/>
        </w:rPr>
        <w:t>sécurité</w:t>
      </w:r>
      <w:r>
        <w:rPr>
          <w:color w:val="231F20"/>
          <w:spacing w:val="-8"/>
          <w:w w:val="115"/>
        </w:rPr>
        <w:t> </w:t>
      </w:r>
      <w:r>
        <w:rPr>
          <w:color w:val="231F20"/>
          <w:w w:val="115"/>
        </w:rPr>
        <w:t>d’emploi,</w:t>
      </w:r>
      <w:r>
        <w:rPr>
          <w:color w:val="231F20"/>
          <w:spacing w:val="-8"/>
          <w:w w:val="115"/>
        </w:rPr>
        <w:t> </w:t>
      </w:r>
      <w:r>
        <w:rPr>
          <w:color w:val="231F20"/>
          <w:w w:val="115"/>
        </w:rPr>
        <w:t>le</w:t>
      </w:r>
      <w:r>
        <w:rPr>
          <w:color w:val="231F20"/>
          <w:spacing w:val="-8"/>
          <w:w w:val="115"/>
        </w:rPr>
        <w:t> </w:t>
      </w:r>
      <w:r>
        <w:rPr>
          <w:color w:val="231F20"/>
          <w:w w:val="115"/>
        </w:rPr>
        <w:t>niveau </w:t>
      </w:r>
      <w:r>
        <w:rPr>
          <w:color w:val="231F20"/>
          <w:w w:val="120"/>
        </w:rPr>
        <w:t>de</w:t>
      </w:r>
      <w:r>
        <w:rPr>
          <w:color w:val="231F20"/>
          <w:spacing w:val="-6"/>
          <w:w w:val="120"/>
        </w:rPr>
        <w:t> </w:t>
      </w:r>
      <w:r>
        <w:rPr>
          <w:color w:val="231F20"/>
          <w:w w:val="120"/>
        </w:rPr>
        <w:t>responsabilité</w:t>
      </w:r>
      <w:r>
        <w:rPr>
          <w:color w:val="231F20"/>
          <w:spacing w:val="-6"/>
          <w:w w:val="120"/>
        </w:rPr>
        <w:t> </w:t>
      </w:r>
      <w:r>
        <w:rPr>
          <w:color w:val="231F20"/>
          <w:w w:val="120"/>
        </w:rPr>
        <w:t>et</w:t>
      </w:r>
      <w:r>
        <w:rPr>
          <w:color w:val="231F20"/>
          <w:spacing w:val="-6"/>
          <w:w w:val="120"/>
        </w:rPr>
        <w:t> </w:t>
      </w:r>
      <w:r>
        <w:rPr>
          <w:color w:val="231F20"/>
          <w:w w:val="120"/>
        </w:rPr>
        <w:t>d’autonomie</w:t>
      </w:r>
      <w:r>
        <w:rPr>
          <w:color w:val="231F20"/>
          <w:spacing w:val="-6"/>
          <w:w w:val="120"/>
        </w:rPr>
        <w:t> </w:t>
      </w:r>
      <w:r>
        <w:rPr>
          <w:color w:val="231F20"/>
          <w:w w:val="120"/>
        </w:rPr>
        <w:t>ainsi</w:t>
      </w:r>
      <w:r>
        <w:rPr>
          <w:color w:val="231F20"/>
          <w:spacing w:val="-6"/>
          <w:w w:val="120"/>
        </w:rPr>
        <w:t> </w:t>
      </w:r>
      <w:r>
        <w:rPr>
          <w:color w:val="231F20"/>
          <w:w w:val="120"/>
        </w:rPr>
        <w:t>que</w:t>
      </w:r>
      <w:r>
        <w:rPr>
          <w:color w:val="231F20"/>
          <w:spacing w:val="-6"/>
          <w:w w:val="120"/>
        </w:rPr>
        <w:t> </w:t>
      </w:r>
      <w:r>
        <w:rPr>
          <w:color w:val="231F20"/>
          <w:w w:val="120"/>
        </w:rPr>
        <w:t>l’efficacité</w:t>
      </w:r>
      <w:r>
        <w:rPr>
          <w:color w:val="231F20"/>
          <w:spacing w:val="-6"/>
          <w:w w:val="120"/>
        </w:rPr>
        <w:t>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gestion</w:t>
      </w:r>
      <w:r>
        <w:rPr>
          <w:color w:val="231F20"/>
          <w:spacing w:val="-6"/>
          <w:w w:val="120"/>
        </w:rPr>
        <w:t> </w:t>
      </w:r>
      <w:r>
        <w:rPr>
          <w:color w:val="231F20"/>
          <w:w w:val="120"/>
        </w:rPr>
        <w:t>des conflits</w:t>
      </w:r>
      <w:r>
        <w:rPr>
          <w:color w:val="231F20"/>
          <w:spacing w:val="-13"/>
          <w:w w:val="120"/>
        </w:rPr>
        <w:t> </w:t>
      </w:r>
      <w:r>
        <w:rPr>
          <w:color w:val="231F20"/>
          <w:w w:val="120"/>
        </w:rPr>
        <w:t>interpersonnels.</w:t>
      </w:r>
    </w:p>
    <w:p>
      <w:pPr>
        <w:pStyle w:val="BodyText"/>
        <w:spacing w:line="307" w:lineRule="auto" w:before="79"/>
        <w:ind w:left="1220" w:right="106" w:firstLine="250"/>
        <w:jc w:val="both"/>
      </w:pPr>
      <w:r>
        <w:rPr>
          <w:color w:val="231F20"/>
          <w:w w:val="120"/>
        </w:rPr>
        <w:t>Plusieurs</w:t>
      </w:r>
      <w:r>
        <w:rPr>
          <w:color w:val="231F20"/>
          <w:spacing w:val="31"/>
          <w:w w:val="120"/>
        </w:rPr>
        <w:t> </w:t>
      </w:r>
      <w:r>
        <w:rPr>
          <w:color w:val="231F20"/>
          <w:w w:val="120"/>
        </w:rPr>
        <w:t>de</w:t>
      </w:r>
      <w:r>
        <w:rPr>
          <w:color w:val="231F20"/>
          <w:spacing w:val="31"/>
          <w:w w:val="120"/>
        </w:rPr>
        <w:t> </w:t>
      </w:r>
      <w:r>
        <w:rPr>
          <w:color w:val="231F20"/>
          <w:w w:val="120"/>
        </w:rPr>
        <w:t>ces</w:t>
      </w:r>
      <w:r>
        <w:rPr>
          <w:color w:val="231F20"/>
          <w:spacing w:val="31"/>
          <w:w w:val="120"/>
        </w:rPr>
        <w:t> </w:t>
      </w:r>
      <w:r>
        <w:rPr>
          <w:color w:val="231F20"/>
          <w:w w:val="120"/>
        </w:rPr>
        <w:t>éléments</w:t>
      </w:r>
      <w:r>
        <w:rPr>
          <w:color w:val="231F20"/>
          <w:spacing w:val="31"/>
          <w:w w:val="120"/>
        </w:rPr>
        <w:t> </w:t>
      </w:r>
      <w:r>
        <w:rPr>
          <w:color w:val="231F20"/>
          <w:w w:val="120"/>
        </w:rPr>
        <w:t>s’inscrivent</w:t>
      </w:r>
      <w:r>
        <w:rPr>
          <w:color w:val="231F20"/>
          <w:spacing w:val="31"/>
          <w:w w:val="120"/>
        </w:rPr>
        <w:t> </w:t>
      </w:r>
      <w:r>
        <w:rPr>
          <w:color w:val="231F20"/>
          <w:w w:val="120"/>
        </w:rPr>
        <w:t>dans</w:t>
      </w:r>
      <w:r>
        <w:rPr>
          <w:color w:val="231F20"/>
          <w:spacing w:val="31"/>
          <w:w w:val="120"/>
        </w:rPr>
        <w:t> </w:t>
      </w:r>
      <w:r>
        <w:rPr>
          <w:color w:val="231F20"/>
          <w:w w:val="120"/>
        </w:rPr>
        <w:t>les</w:t>
      </w:r>
      <w:r>
        <w:rPr>
          <w:color w:val="231F20"/>
          <w:spacing w:val="31"/>
          <w:w w:val="120"/>
        </w:rPr>
        <w:t> </w:t>
      </w:r>
      <w:r>
        <w:rPr>
          <w:color w:val="231F20"/>
          <w:w w:val="120"/>
        </w:rPr>
        <w:t>bonnes</w:t>
      </w:r>
      <w:r>
        <w:rPr>
          <w:color w:val="231F20"/>
          <w:spacing w:val="31"/>
          <w:w w:val="120"/>
        </w:rPr>
        <w:t> </w:t>
      </w:r>
      <w:r>
        <w:rPr>
          <w:color w:val="231F20"/>
          <w:w w:val="120"/>
        </w:rPr>
        <w:t>pratiques et politiques de gestion des ressources humaines, que nous passerons brièvement en revue18.</w:t>
      </w:r>
    </w:p>
    <w:p>
      <w:pPr>
        <w:pStyle w:val="BodyText"/>
        <w:spacing w:before="8"/>
        <w:rPr>
          <w:sz w:val="21"/>
        </w:rPr>
      </w:pPr>
    </w:p>
    <w:p>
      <w:pPr>
        <w:pStyle w:val="BodyText"/>
        <w:spacing w:line="307" w:lineRule="auto"/>
        <w:ind w:left="1220" w:right="104"/>
        <w:jc w:val="both"/>
      </w:pPr>
      <w:r>
        <w:rPr>
          <w:b/>
          <w:color w:val="231F20"/>
          <w:w w:val="115"/>
        </w:rPr>
        <w:t>Améliorer les processus de sélection et de mobilité des employés. </w:t>
      </w:r>
      <w:r>
        <w:rPr>
          <w:color w:val="231F20"/>
          <w:w w:val="115"/>
        </w:rPr>
        <w:t>Les </w:t>
      </w:r>
      <w:r>
        <w:rPr>
          <w:color w:val="231F20"/>
          <w:w w:val="120"/>
        </w:rPr>
        <w:t>processus</w:t>
      </w:r>
      <w:r>
        <w:rPr>
          <w:color w:val="231F20"/>
          <w:spacing w:val="-12"/>
          <w:w w:val="120"/>
        </w:rPr>
        <w:t> </w:t>
      </w:r>
      <w:r>
        <w:rPr>
          <w:color w:val="231F20"/>
          <w:w w:val="120"/>
        </w:rPr>
        <w:t>de</w:t>
      </w:r>
      <w:r>
        <w:rPr>
          <w:color w:val="231F20"/>
          <w:spacing w:val="-12"/>
          <w:w w:val="120"/>
        </w:rPr>
        <w:t> </w:t>
      </w:r>
      <w:r>
        <w:rPr>
          <w:color w:val="231F20"/>
          <w:w w:val="120"/>
        </w:rPr>
        <w:t>sélection</w:t>
      </w:r>
      <w:r>
        <w:rPr>
          <w:color w:val="231F20"/>
          <w:spacing w:val="-12"/>
          <w:w w:val="120"/>
        </w:rPr>
        <w:t> </w:t>
      </w:r>
      <w:r>
        <w:rPr>
          <w:color w:val="231F20"/>
          <w:w w:val="120"/>
        </w:rPr>
        <w:t>et</w:t>
      </w:r>
      <w:r>
        <w:rPr>
          <w:color w:val="231F20"/>
          <w:spacing w:val="-12"/>
          <w:w w:val="120"/>
        </w:rPr>
        <w:t> </w:t>
      </w:r>
      <w:r>
        <w:rPr>
          <w:color w:val="231F20"/>
          <w:w w:val="120"/>
        </w:rPr>
        <w:t>de</w:t>
      </w:r>
      <w:r>
        <w:rPr>
          <w:color w:val="231F20"/>
          <w:spacing w:val="-12"/>
          <w:w w:val="120"/>
        </w:rPr>
        <w:t> </w:t>
      </w:r>
      <w:r>
        <w:rPr>
          <w:color w:val="231F20"/>
          <w:w w:val="120"/>
        </w:rPr>
        <w:t>promotion</w:t>
      </w:r>
      <w:r>
        <w:rPr>
          <w:color w:val="231F20"/>
          <w:spacing w:val="-12"/>
          <w:w w:val="120"/>
        </w:rPr>
        <w:t> </w:t>
      </w:r>
      <w:r>
        <w:rPr>
          <w:color w:val="231F20"/>
          <w:w w:val="120"/>
        </w:rPr>
        <w:t>des</w:t>
      </w:r>
      <w:r>
        <w:rPr>
          <w:color w:val="231F20"/>
          <w:spacing w:val="-12"/>
          <w:w w:val="120"/>
        </w:rPr>
        <w:t> </w:t>
      </w:r>
      <w:r>
        <w:rPr>
          <w:color w:val="231F20"/>
          <w:w w:val="120"/>
        </w:rPr>
        <w:t>employés</w:t>
      </w:r>
      <w:r>
        <w:rPr>
          <w:color w:val="231F20"/>
          <w:spacing w:val="-12"/>
          <w:w w:val="120"/>
        </w:rPr>
        <w:t> </w:t>
      </w:r>
      <w:r>
        <w:rPr>
          <w:color w:val="231F20"/>
          <w:w w:val="120"/>
        </w:rPr>
        <w:t>doivent</w:t>
      </w:r>
      <w:r>
        <w:rPr>
          <w:color w:val="231F20"/>
          <w:spacing w:val="-12"/>
          <w:w w:val="120"/>
        </w:rPr>
        <w:t> </w:t>
      </w:r>
      <w:r>
        <w:rPr>
          <w:color w:val="231F20"/>
          <w:w w:val="120"/>
        </w:rPr>
        <w:t>élargir</w:t>
      </w:r>
      <w:r>
        <w:rPr>
          <w:color w:val="231F20"/>
          <w:spacing w:val="-12"/>
          <w:w w:val="120"/>
        </w:rPr>
        <w:t> </w:t>
      </w:r>
      <w:r>
        <w:rPr>
          <w:color w:val="231F20"/>
          <w:w w:val="120"/>
        </w:rPr>
        <w:t>les critères</w:t>
      </w:r>
      <w:r>
        <w:rPr>
          <w:color w:val="231F20"/>
          <w:spacing w:val="-1"/>
          <w:w w:val="120"/>
        </w:rPr>
        <w:t> </w:t>
      </w:r>
      <w:r>
        <w:rPr>
          <w:color w:val="231F20"/>
          <w:w w:val="120"/>
        </w:rPr>
        <w:t>normalement</w:t>
      </w:r>
      <w:r>
        <w:rPr>
          <w:color w:val="231F20"/>
          <w:spacing w:val="-1"/>
          <w:w w:val="120"/>
        </w:rPr>
        <w:t> </w:t>
      </w:r>
      <w:r>
        <w:rPr>
          <w:color w:val="231F20"/>
          <w:w w:val="120"/>
        </w:rPr>
        <w:t>utilisés</w:t>
      </w:r>
      <w:r>
        <w:rPr>
          <w:color w:val="231F20"/>
          <w:spacing w:val="-1"/>
          <w:w w:val="120"/>
        </w:rPr>
        <w:t> </w:t>
      </w:r>
      <w:r>
        <w:rPr>
          <w:color w:val="231F20"/>
          <w:w w:val="120"/>
        </w:rPr>
        <w:t>aux</w:t>
      </w:r>
      <w:r>
        <w:rPr>
          <w:color w:val="231F20"/>
          <w:spacing w:val="-1"/>
          <w:w w:val="120"/>
        </w:rPr>
        <w:t> </w:t>
      </w:r>
      <w:r>
        <w:rPr>
          <w:color w:val="231F20"/>
          <w:w w:val="120"/>
        </w:rPr>
        <w:t>éléments</w:t>
      </w:r>
      <w:r>
        <w:rPr>
          <w:color w:val="231F20"/>
          <w:spacing w:val="-1"/>
          <w:w w:val="120"/>
        </w:rPr>
        <w:t> </w:t>
      </w:r>
      <w:r>
        <w:rPr>
          <w:color w:val="231F20"/>
          <w:w w:val="120"/>
        </w:rPr>
        <w:t>descriptifs</w:t>
      </w:r>
      <w:r>
        <w:rPr>
          <w:color w:val="231F20"/>
          <w:spacing w:val="-1"/>
          <w:w w:val="120"/>
        </w:rPr>
        <w:t> </w:t>
      </w:r>
      <w:r>
        <w:rPr>
          <w:color w:val="231F20"/>
          <w:w w:val="120"/>
        </w:rPr>
        <w:t>de</w:t>
      </w:r>
      <w:r>
        <w:rPr>
          <w:color w:val="231F20"/>
          <w:spacing w:val="-1"/>
          <w:w w:val="120"/>
        </w:rPr>
        <w:t> </w:t>
      </w:r>
      <w:r>
        <w:rPr>
          <w:color w:val="231F20"/>
          <w:w w:val="120"/>
        </w:rPr>
        <w:t>la</w:t>
      </w:r>
      <w:r>
        <w:rPr>
          <w:color w:val="231F20"/>
          <w:spacing w:val="-1"/>
          <w:w w:val="120"/>
        </w:rPr>
        <w:t> </w:t>
      </w:r>
      <w:r>
        <w:rPr>
          <w:color w:val="231F20"/>
          <w:w w:val="120"/>
        </w:rPr>
        <w:t>dimension </w:t>
      </w:r>
      <w:r>
        <w:rPr>
          <w:color w:val="231F20"/>
          <w:spacing w:val="-2"/>
          <w:w w:val="120"/>
        </w:rPr>
        <w:t>psychosociale</w:t>
      </w:r>
      <w:r>
        <w:rPr>
          <w:color w:val="231F20"/>
          <w:spacing w:val="-7"/>
          <w:w w:val="120"/>
        </w:rPr>
        <w:t> </w:t>
      </w:r>
      <w:r>
        <w:rPr>
          <w:color w:val="231F20"/>
          <w:spacing w:val="-2"/>
          <w:w w:val="120"/>
        </w:rPr>
        <w:t>des</w:t>
      </w:r>
      <w:r>
        <w:rPr>
          <w:color w:val="231F20"/>
          <w:spacing w:val="-7"/>
          <w:w w:val="120"/>
        </w:rPr>
        <w:t> </w:t>
      </w:r>
      <w:r>
        <w:rPr>
          <w:color w:val="231F20"/>
          <w:spacing w:val="-2"/>
          <w:w w:val="120"/>
        </w:rPr>
        <w:t>exigences</w:t>
      </w:r>
      <w:r>
        <w:rPr>
          <w:color w:val="231F20"/>
          <w:spacing w:val="-7"/>
          <w:w w:val="120"/>
        </w:rPr>
        <w:t> </w:t>
      </w:r>
      <w:r>
        <w:rPr>
          <w:color w:val="231F20"/>
          <w:spacing w:val="-2"/>
          <w:w w:val="120"/>
        </w:rPr>
        <w:t>de</w:t>
      </w:r>
      <w:r>
        <w:rPr>
          <w:color w:val="231F20"/>
          <w:spacing w:val="-7"/>
          <w:w w:val="120"/>
        </w:rPr>
        <w:t> </w:t>
      </w:r>
      <w:r>
        <w:rPr>
          <w:color w:val="231F20"/>
          <w:spacing w:val="-2"/>
          <w:w w:val="120"/>
        </w:rPr>
        <w:t>l’emploi.</w:t>
      </w:r>
      <w:r>
        <w:rPr>
          <w:color w:val="231F20"/>
          <w:spacing w:val="-7"/>
          <w:w w:val="120"/>
        </w:rPr>
        <w:t> </w:t>
      </w:r>
      <w:r>
        <w:rPr>
          <w:color w:val="231F20"/>
          <w:spacing w:val="-2"/>
          <w:w w:val="120"/>
        </w:rPr>
        <w:t>Il</w:t>
      </w:r>
      <w:r>
        <w:rPr>
          <w:color w:val="231F20"/>
          <w:spacing w:val="-7"/>
          <w:w w:val="120"/>
        </w:rPr>
        <w:t> </w:t>
      </w:r>
      <w:r>
        <w:rPr>
          <w:color w:val="231F20"/>
          <w:spacing w:val="-2"/>
          <w:w w:val="120"/>
        </w:rPr>
        <w:t>faut</w:t>
      </w:r>
      <w:r>
        <w:rPr>
          <w:color w:val="231F20"/>
          <w:spacing w:val="-7"/>
          <w:w w:val="120"/>
        </w:rPr>
        <w:t> </w:t>
      </w:r>
      <w:r>
        <w:rPr>
          <w:color w:val="231F20"/>
          <w:spacing w:val="-2"/>
          <w:w w:val="120"/>
        </w:rPr>
        <w:t>évaluer</w:t>
      </w:r>
      <w:r>
        <w:rPr>
          <w:color w:val="231F20"/>
          <w:spacing w:val="-7"/>
          <w:w w:val="120"/>
        </w:rPr>
        <w:t> </w:t>
      </w:r>
      <w:r>
        <w:rPr>
          <w:color w:val="231F20"/>
          <w:spacing w:val="-2"/>
          <w:w w:val="120"/>
        </w:rPr>
        <w:t>dès</w:t>
      </w:r>
      <w:r>
        <w:rPr>
          <w:color w:val="231F20"/>
          <w:spacing w:val="-7"/>
          <w:w w:val="120"/>
        </w:rPr>
        <w:t> </w:t>
      </w:r>
      <w:r>
        <w:rPr>
          <w:color w:val="231F20"/>
          <w:spacing w:val="-2"/>
          <w:w w:val="120"/>
        </w:rPr>
        <w:t>le</w:t>
      </w:r>
      <w:r>
        <w:rPr>
          <w:color w:val="231F20"/>
          <w:spacing w:val="-7"/>
          <w:w w:val="120"/>
        </w:rPr>
        <w:t> </w:t>
      </w:r>
      <w:r>
        <w:rPr>
          <w:color w:val="231F20"/>
          <w:spacing w:val="-2"/>
          <w:w w:val="120"/>
        </w:rPr>
        <w:t>départ</w:t>
      </w:r>
      <w:r>
        <w:rPr>
          <w:color w:val="231F20"/>
          <w:spacing w:val="-7"/>
          <w:w w:val="120"/>
        </w:rPr>
        <w:t> </w:t>
      </w:r>
      <w:r>
        <w:rPr>
          <w:color w:val="231F20"/>
          <w:spacing w:val="-2"/>
          <w:w w:val="120"/>
        </w:rPr>
        <w:t>les </w:t>
      </w:r>
      <w:r>
        <w:rPr>
          <w:color w:val="231F20"/>
          <w:w w:val="120"/>
        </w:rPr>
        <w:t>risques</w:t>
      </w:r>
      <w:r>
        <w:rPr>
          <w:color w:val="231F20"/>
          <w:spacing w:val="-6"/>
          <w:w w:val="120"/>
        </w:rPr>
        <w:t> </w:t>
      </w:r>
      <w:r>
        <w:rPr>
          <w:color w:val="231F20"/>
          <w:w w:val="120"/>
        </w:rPr>
        <w:t>pour</w:t>
      </w:r>
      <w:r>
        <w:rPr>
          <w:color w:val="231F20"/>
          <w:spacing w:val="-6"/>
          <w:w w:val="120"/>
        </w:rPr>
        <w:t> </w:t>
      </w:r>
      <w:r>
        <w:rPr>
          <w:color w:val="231F20"/>
          <w:w w:val="120"/>
        </w:rPr>
        <w:t>la</w:t>
      </w:r>
      <w:r>
        <w:rPr>
          <w:color w:val="231F20"/>
          <w:spacing w:val="-6"/>
          <w:w w:val="120"/>
        </w:rPr>
        <w:t> </w:t>
      </w:r>
      <w:r>
        <w:rPr>
          <w:color w:val="231F20"/>
          <w:w w:val="120"/>
        </w:rPr>
        <w:t>santé</w:t>
      </w:r>
      <w:r>
        <w:rPr>
          <w:color w:val="231F20"/>
          <w:spacing w:val="-6"/>
          <w:w w:val="120"/>
        </w:rPr>
        <w:t> </w:t>
      </w:r>
      <w:r>
        <w:rPr>
          <w:color w:val="231F20"/>
          <w:w w:val="120"/>
        </w:rPr>
        <w:t>physique</w:t>
      </w:r>
      <w:r>
        <w:rPr>
          <w:color w:val="231F20"/>
          <w:spacing w:val="-6"/>
          <w:w w:val="120"/>
        </w:rPr>
        <w:t> </w:t>
      </w:r>
      <w:r>
        <w:rPr>
          <w:color w:val="231F20"/>
          <w:w w:val="120"/>
        </w:rPr>
        <w:t>et</w:t>
      </w:r>
      <w:r>
        <w:rPr>
          <w:color w:val="231F20"/>
          <w:spacing w:val="-6"/>
          <w:w w:val="120"/>
        </w:rPr>
        <w:t> </w:t>
      </w:r>
      <w:r>
        <w:rPr>
          <w:color w:val="231F20"/>
          <w:w w:val="120"/>
        </w:rPr>
        <w:t>psychologique</w:t>
      </w:r>
      <w:r>
        <w:rPr>
          <w:color w:val="231F20"/>
          <w:spacing w:val="-6"/>
          <w:w w:val="120"/>
        </w:rPr>
        <w:t> </w:t>
      </w:r>
      <w:r>
        <w:rPr>
          <w:color w:val="231F20"/>
          <w:w w:val="120"/>
        </w:rPr>
        <w:t>auxquels</w:t>
      </w:r>
      <w:r>
        <w:rPr>
          <w:color w:val="231F20"/>
          <w:spacing w:val="-6"/>
          <w:w w:val="120"/>
        </w:rPr>
        <w:t> </w:t>
      </w:r>
      <w:r>
        <w:rPr>
          <w:color w:val="231F20"/>
          <w:w w:val="120"/>
        </w:rPr>
        <w:t>les</w:t>
      </w:r>
      <w:r>
        <w:rPr>
          <w:color w:val="231F20"/>
          <w:spacing w:val="-6"/>
          <w:w w:val="120"/>
        </w:rPr>
        <w:t> </w:t>
      </w:r>
      <w:r>
        <w:rPr>
          <w:color w:val="231F20"/>
          <w:w w:val="120"/>
        </w:rPr>
        <w:t>individus seront</w:t>
      </w:r>
      <w:r>
        <w:rPr>
          <w:color w:val="231F20"/>
          <w:spacing w:val="-13"/>
          <w:w w:val="120"/>
        </w:rPr>
        <w:t> </w:t>
      </w:r>
      <w:r>
        <w:rPr>
          <w:color w:val="231F20"/>
          <w:w w:val="120"/>
        </w:rPr>
        <w:t>exposés</w:t>
      </w:r>
      <w:r>
        <w:rPr>
          <w:color w:val="231F20"/>
          <w:spacing w:val="-13"/>
          <w:w w:val="120"/>
        </w:rPr>
        <w:t> </w:t>
      </w:r>
      <w:r>
        <w:rPr>
          <w:color w:val="231F20"/>
          <w:w w:val="120"/>
        </w:rPr>
        <w:t>et</w:t>
      </w:r>
      <w:r>
        <w:rPr>
          <w:color w:val="231F20"/>
          <w:spacing w:val="-12"/>
          <w:w w:val="120"/>
        </w:rPr>
        <w:t> </w:t>
      </w:r>
      <w:r>
        <w:rPr>
          <w:color w:val="231F20"/>
          <w:w w:val="120"/>
        </w:rPr>
        <w:t>établir</w:t>
      </w:r>
      <w:r>
        <w:rPr>
          <w:color w:val="231F20"/>
          <w:spacing w:val="-13"/>
          <w:w w:val="120"/>
        </w:rPr>
        <w:t> </w:t>
      </w:r>
      <w:r>
        <w:rPr>
          <w:color w:val="231F20"/>
          <w:w w:val="120"/>
        </w:rPr>
        <w:t>les</w:t>
      </w:r>
      <w:r>
        <w:rPr>
          <w:color w:val="231F20"/>
          <w:spacing w:val="-13"/>
          <w:w w:val="120"/>
        </w:rPr>
        <w:t> </w:t>
      </w:r>
      <w:r>
        <w:rPr>
          <w:color w:val="231F20"/>
          <w:w w:val="120"/>
        </w:rPr>
        <w:t>attentes</w:t>
      </w:r>
      <w:r>
        <w:rPr>
          <w:color w:val="231F20"/>
          <w:spacing w:val="-12"/>
          <w:w w:val="120"/>
        </w:rPr>
        <w:t> </w:t>
      </w:r>
      <w:r>
        <w:rPr>
          <w:color w:val="231F20"/>
          <w:w w:val="120"/>
        </w:rPr>
        <w:t>et</w:t>
      </w:r>
      <w:r>
        <w:rPr>
          <w:color w:val="231F20"/>
          <w:spacing w:val="-13"/>
          <w:w w:val="120"/>
        </w:rPr>
        <w:t> </w:t>
      </w:r>
      <w:r>
        <w:rPr>
          <w:color w:val="231F20"/>
          <w:w w:val="120"/>
        </w:rPr>
        <w:t>les</w:t>
      </w:r>
      <w:r>
        <w:rPr>
          <w:color w:val="231F20"/>
          <w:spacing w:val="-13"/>
          <w:w w:val="120"/>
        </w:rPr>
        <w:t> </w:t>
      </w:r>
      <w:r>
        <w:rPr>
          <w:color w:val="231F20"/>
          <w:w w:val="120"/>
        </w:rPr>
        <w:t>besoins</w:t>
      </w:r>
      <w:r>
        <w:rPr>
          <w:color w:val="231F20"/>
          <w:spacing w:val="-12"/>
          <w:w w:val="120"/>
        </w:rPr>
        <w:t> </w:t>
      </w:r>
      <w:r>
        <w:rPr>
          <w:color w:val="231F20"/>
          <w:w w:val="120"/>
        </w:rPr>
        <w:t>personnels</w:t>
      </w:r>
      <w:r>
        <w:rPr>
          <w:color w:val="231F20"/>
          <w:spacing w:val="-13"/>
          <w:w w:val="120"/>
        </w:rPr>
        <w:t> </w:t>
      </w:r>
      <w:r>
        <w:rPr>
          <w:color w:val="231F20"/>
          <w:w w:val="120"/>
        </w:rPr>
        <w:t>de</w:t>
      </w:r>
      <w:r>
        <w:rPr>
          <w:color w:val="231F20"/>
          <w:spacing w:val="-13"/>
          <w:w w:val="120"/>
        </w:rPr>
        <w:t> </w:t>
      </w:r>
      <w:r>
        <w:rPr>
          <w:color w:val="231F20"/>
          <w:w w:val="120"/>
        </w:rPr>
        <w:t>chaque candidat.</w:t>
      </w:r>
      <w:r>
        <w:rPr>
          <w:color w:val="231F20"/>
          <w:spacing w:val="-1"/>
          <w:w w:val="120"/>
        </w:rPr>
        <w:t> </w:t>
      </w:r>
      <w:r>
        <w:rPr>
          <w:color w:val="231F20"/>
          <w:w w:val="120"/>
        </w:rPr>
        <w:t>En</w:t>
      </w:r>
      <w:r>
        <w:rPr>
          <w:color w:val="231F20"/>
          <w:spacing w:val="-1"/>
          <w:w w:val="120"/>
        </w:rPr>
        <w:t> </w:t>
      </w:r>
      <w:r>
        <w:rPr>
          <w:color w:val="231F20"/>
          <w:w w:val="120"/>
        </w:rPr>
        <w:t>outre,</w:t>
      </w:r>
      <w:r>
        <w:rPr>
          <w:color w:val="231F20"/>
          <w:spacing w:val="-1"/>
          <w:w w:val="120"/>
        </w:rPr>
        <w:t> </w:t>
      </w:r>
      <w:r>
        <w:rPr>
          <w:color w:val="231F20"/>
          <w:w w:val="120"/>
        </w:rPr>
        <w:t>dans</w:t>
      </w:r>
      <w:r>
        <w:rPr>
          <w:color w:val="231F20"/>
          <w:spacing w:val="-1"/>
          <w:w w:val="120"/>
        </w:rPr>
        <w:t> </w:t>
      </w:r>
      <w:r>
        <w:rPr>
          <w:color w:val="231F20"/>
          <w:w w:val="120"/>
        </w:rPr>
        <w:t>le</w:t>
      </w:r>
      <w:r>
        <w:rPr>
          <w:color w:val="231F20"/>
          <w:spacing w:val="-1"/>
          <w:w w:val="120"/>
        </w:rPr>
        <w:t> </w:t>
      </w:r>
      <w:r>
        <w:rPr>
          <w:color w:val="231F20"/>
          <w:w w:val="120"/>
        </w:rPr>
        <w:t>but</w:t>
      </w:r>
      <w:r>
        <w:rPr>
          <w:color w:val="231F20"/>
          <w:spacing w:val="-1"/>
          <w:w w:val="120"/>
        </w:rPr>
        <w:t> </w:t>
      </w:r>
      <w:r>
        <w:rPr>
          <w:color w:val="231F20"/>
          <w:w w:val="120"/>
        </w:rPr>
        <w:t>d’éviter</w:t>
      </w:r>
      <w:r>
        <w:rPr>
          <w:color w:val="231F20"/>
          <w:spacing w:val="-1"/>
          <w:w w:val="120"/>
        </w:rPr>
        <w:t> </w:t>
      </w:r>
      <w:r>
        <w:rPr>
          <w:color w:val="231F20"/>
          <w:w w:val="120"/>
        </w:rPr>
        <w:t>que</w:t>
      </w:r>
      <w:r>
        <w:rPr>
          <w:color w:val="231F20"/>
          <w:spacing w:val="-1"/>
          <w:w w:val="120"/>
        </w:rPr>
        <w:t> </w:t>
      </w:r>
      <w:r>
        <w:rPr>
          <w:color w:val="231F20"/>
          <w:w w:val="120"/>
        </w:rPr>
        <w:t>les</w:t>
      </w:r>
      <w:r>
        <w:rPr>
          <w:color w:val="231F20"/>
          <w:spacing w:val="-1"/>
          <w:w w:val="120"/>
        </w:rPr>
        <w:t> </w:t>
      </w:r>
      <w:r>
        <w:rPr>
          <w:color w:val="231F20"/>
          <w:w w:val="120"/>
        </w:rPr>
        <w:t>candidats</w:t>
      </w:r>
      <w:r>
        <w:rPr>
          <w:color w:val="231F20"/>
          <w:spacing w:val="-1"/>
          <w:w w:val="120"/>
        </w:rPr>
        <w:t> </w:t>
      </w:r>
      <w:r>
        <w:rPr>
          <w:color w:val="231F20"/>
          <w:w w:val="120"/>
        </w:rPr>
        <w:t>entretiennent des</w:t>
      </w:r>
      <w:r>
        <w:rPr>
          <w:color w:val="231F20"/>
          <w:spacing w:val="-9"/>
          <w:w w:val="120"/>
        </w:rPr>
        <w:t> </w:t>
      </w:r>
      <w:r>
        <w:rPr>
          <w:color w:val="231F20"/>
          <w:w w:val="120"/>
        </w:rPr>
        <w:t>attentes</w:t>
      </w:r>
      <w:r>
        <w:rPr>
          <w:color w:val="231F20"/>
          <w:spacing w:val="-9"/>
          <w:w w:val="120"/>
        </w:rPr>
        <w:t> </w:t>
      </w:r>
      <w:r>
        <w:rPr>
          <w:color w:val="231F20"/>
          <w:w w:val="120"/>
        </w:rPr>
        <w:t>irréalistes</w:t>
      </w:r>
      <w:r>
        <w:rPr>
          <w:color w:val="231F20"/>
          <w:spacing w:val="-9"/>
          <w:w w:val="120"/>
        </w:rPr>
        <w:t> </w:t>
      </w:r>
      <w:r>
        <w:rPr>
          <w:color w:val="231F20"/>
          <w:w w:val="120"/>
        </w:rPr>
        <w:t>quant</w:t>
      </w:r>
      <w:r>
        <w:rPr>
          <w:color w:val="231F20"/>
          <w:spacing w:val="-9"/>
          <w:w w:val="120"/>
        </w:rPr>
        <w:t> </w:t>
      </w:r>
      <w:r>
        <w:rPr>
          <w:color w:val="231F20"/>
          <w:w w:val="120"/>
        </w:rPr>
        <w:t>à</w:t>
      </w:r>
      <w:r>
        <w:rPr>
          <w:color w:val="231F20"/>
          <w:spacing w:val="-9"/>
          <w:w w:val="120"/>
        </w:rPr>
        <w:t> </w:t>
      </w:r>
      <w:r>
        <w:rPr>
          <w:color w:val="231F20"/>
          <w:w w:val="120"/>
        </w:rPr>
        <w:t>leur</w:t>
      </w:r>
      <w:r>
        <w:rPr>
          <w:color w:val="231F20"/>
          <w:spacing w:val="-9"/>
          <w:w w:val="120"/>
        </w:rPr>
        <w:t> </w:t>
      </w:r>
      <w:r>
        <w:rPr>
          <w:color w:val="231F20"/>
          <w:w w:val="120"/>
        </w:rPr>
        <w:t>futur</w:t>
      </w:r>
      <w:r>
        <w:rPr>
          <w:color w:val="231F20"/>
          <w:spacing w:val="-9"/>
          <w:w w:val="120"/>
        </w:rPr>
        <w:t> </w:t>
      </w:r>
      <w:r>
        <w:rPr>
          <w:color w:val="231F20"/>
          <w:w w:val="120"/>
        </w:rPr>
        <w:t>emploi,</w:t>
      </w:r>
      <w:r>
        <w:rPr>
          <w:color w:val="231F20"/>
          <w:spacing w:val="-9"/>
          <w:w w:val="120"/>
        </w:rPr>
        <w:t> </w:t>
      </w:r>
      <w:r>
        <w:rPr>
          <w:color w:val="231F20"/>
          <w:w w:val="120"/>
        </w:rPr>
        <w:t>il</w:t>
      </w:r>
      <w:r>
        <w:rPr>
          <w:color w:val="231F20"/>
          <w:spacing w:val="-9"/>
          <w:w w:val="120"/>
        </w:rPr>
        <w:t> </w:t>
      </w:r>
      <w:r>
        <w:rPr>
          <w:color w:val="231F20"/>
          <w:w w:val="120"/>
        </w:rPr>
        <w:t>faut</w:t>
      </w:r>
      <w:r>
        <w:rPr>
          <w:color w:val="231F20"/>
          <w:spacing w:val="-9"/>
          <w:w w:val="120"/>
        </w:rPr>
        <w:t> </w:t>
      </w:r>
      <w:r>
        <w:rPr>
          <w:color w:val="231F20"/>
          <w:w w:val="120"/>
        </w:rPr>
        <w:t>les</w:t>
      </w:r>
      <w:r>
        <w:rPr>
          <w:color w:val="231F20"/>
          <w:spacing w:val="-9"/>
          <w:w w:val="120"/>
        </w:rPr>
        <w:t> </w:t>
      </w:r>
      <w:r>
        <w:rPr>
          <w:color w:val="231F20"/>
          <w:w w:val="120"/>
        </w:rPr>
        <w:t>informer</w:t>
      </w:r>
      <w:r>
        <w:rPr>
          <w:color w:val="231F20"/>
          <w:spacing w:val="-9"/>
          <w:w w:val="120"/>
        </w:rPr>
        <w:t> </w:t>
      </w:r>
      <w:r>
        <w:rPr>
          <w:color w:val="231F20"/>
          <w:w w:val="120"/>
        </w:rPr>
        <w:t>des exigences</w:t>
      </w:r>
      <w:r>
        <w:rPr>
          <w:color w:val="231F20"/>
          <w:spacing w:val="-12"/>
          <w:w w:val="120"/>
        </w:rPr>
        <w:t> </w:t>
      </w:r>
      <w:r>
        <w:rPr>
          <w:color w:val="231F20"/>
          <w:w w:val="120"/>
        </w:rPr>
        <w:t>générales</w:t>
      </w:r>
      <w:r>
        <w:rPr>
          <w:color w:val="231F20"/>
          <w:spacing w:val="-12"/>
          <w:w w:val="120"/>
        </w:rPr>
        <w:t> </w:t>
      </w:r>
      <w:r>
        <w:rPr>
          <w:color w:val="231F20"/>
          <w:w w:val="120"/>
        </w:rPr>
        <w:t>de</w:t>
      </w:r>
      <w:r>
        <w:rPr>
          <w:color w:val="231F20"/>
          <w:spacing w:val="-12"/>
          <w:w w:val="120"/>
        </w:rPr>
        <w:t> </w:t>
      </w:r>
      <w:r>
        <w:rPr>
          <w:color w:val="231F20"/>
          <w:w w:val="120"/>
        </w:rPr>
        <w:t>l’organisation</w:t>
      </w:r>
      <w:r>
        <w:rPr>
          <w:color w:val="231F20"/>
          <w:spacing w:val="-12"/>
          <w:w w:val="120"/>
        </w:rPr>
        <w:t> </w:t>
      </w:r>
      <w:r>
        <w:rPr>
          <w:color w:val="231F20"/>
          <w:w w:val="120"/>
        </w:rPr>
        <w:t>à</w:t>
      </w:r>
      <w:r>
        <w:rPr>
          <w:color w:val="231F20"/>
          <w:spacing w:val="-12"/>
          <w:w w:val="120"/>
        </w:rPr>
        <w:t> </w:t>
      </w:r>
      <w:r>
        <w:rPr>
          <w:color w:val="231F20"/>
          <w:w w:val="120"/>
        </w:rPr>
        <w:t>leur</w:t>
      </w:r>
      <w:r>
        <w:rPr>
          <w:color w:val="231F20"/>
          <w:spacing w:val="-12"/>
          <w:w w:val="120"/>
        </w:rPr>
        <w:t> </w:t>
      </w:r>
      <w:r>
        <w:rPr>
          <w:color w:val="231F20"/>
          <w:w w:val="120"/>
        </w:rPr>
        <w:t>endroit</w:t>
      </w:r>
      <w:r>
        <w:rPr>
          <w:color w:val="231F20"/>
          <w:spacing w:val="-12"/>
          <w:w w:val="120"/>
        </w:rPr>
        <w:t> </w:t>
      </w:r>
      <w:r>
        <w:rPr>
          <w:color w:val="231F20"/>
          <w:w w:val="120"/>
        </w:rPr>
        <w:t>et</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philosophie qui sous-tend la gestion des ressources humaines.</w:t>
      </w:r>
    </w:p>
    <w:p>
      <w:pPr>
        <w:pStyle w:val="BodyText"/>
        <w:spacing w:before="7"/>
        <w:rPr>
          <w:sz w:val="21"/>
        </w:rPr>
      </w:pPr>
    </w:p>
    <w:p>
      <w:pPr>
        <w:pStyle w:val="BodyText"/>
        <w:spacing w:line="307" w:lineRule="auto"/>
        <w:ind w:left="1220" w:right="105"/>
        <w:jc w:val="both"/>
      </w:pPr>
      <w:r>
        <w:rPr>
          <w:b/>
          <w:color w:val="231F20"/>
          <w:w w:val="115"/>
        </w:rPr>
        <w:t>Ajuster</w:t>
      </w:r>
      <w:r>
        <w:rPr>
          <w:b/>
          <w:color w:val="231F20"/>
          <w:spacing w:val="-4"/>
          <w:w w:val="115"/>
        </w:rPr>
        <w:t> </w:t>
      </w:r>
      <w:r>
        <w:rPr>
          <w:b/>
          <w:color w:val="231F20"/>
          <w:w w:val="115"/>
        </w:rPr>
        <w:t>la</w:t>
      </w:r>
      <w:r>
        <w:rPr>
          <w:b/>
          <w:color w:val="231F20"/>
          <w:spacing w:val="-4"/>
          <w:w w:val="115"/>
        </w:rPr>
        <w:t> </w:t>
      </w:r>
      <w:r>
        <w:rPr>
          <w:b/>
          <w:color w:val="231F20"/>
          <w:w w:val="115"/>
        </w:rPr>
        <w:t>description</w:t>
      </w:r>
      <w:r>
        <w:rPr>
          <w:b/>
          <w:color w:val="231F20"/>
          <w:spacing w:val="-4"/>
          <w:w w:val="115"/>
        </w:rPr>
        <w:t> </w:t>
      </w:r>
      <w:r>
        <w:rPr>
          <w:b/>
          <w:color w:val="231F20"/>
          <w:w w:val="115"/>
        </w:rPr>
        <w:t>des</w:t>
      </w:r>
      <w:r>
        <w:rPr>
          <w:b/>
          <w:color w:val="231F20"/>
          <w:spacing w:val="-4"/>
          <w:w w:val="115"/>
        </w:rPr>
        <w:t> </w:t>
      </w:r>
      <w:r>
        <w:rPr>
          <w:b/>
          <w:color w:val="231F20"/>
          <w:w w:val="115"/>
        </w:rPr>
        <w:t>tâches. </w:t>
      </w:r>
      <w:r>
        <w:rPr>
          <w:color w:val="231F20"/>
          <w:w w:val="115"/>
        </w:rPr>
        <w:t>La gestion des ressources humaines a pour</w:t>
      </w:r>
      <w:r>
        <w:rPr>
          <w:color w:val="231F20"/>
          <w:spacing w:val="-5"/>
          <w:w w:val="115"/>
        </w:rPr>
        <w:t> </w:t>
      </w:r>
      <w:r>
        <w:rPr>
          <w:color w:val="231F20"/>
          <w:w w:val="115"/>
        </w:rPr>
        <w:t>but</w:t>
      </w:r>
      <w:r>
        <w:rPr>
          <w:color w:val="231F20"/>
          <w:spacing w:val="-5"/>
          <w:w w:val="115"/>
        </w:rPr>
        <w:t> </w:t>
      </w:r>
      <w:r>
        <w:rPr>
          <w:color w:val="231F20"/>
          <w:w w:val="115"/>
        </w:rPr>
        <w:t>d’offrir</w:t>
      </w:r>
      <w:r>
        <w:rPr>
          <w:color w:val="231F20"/>
          <w:spacing w:val="-5"/>
          <w:w w:val="115"/>
        </w:rPr>
        <w:t> </w:t>
      </w:r>
      <w:r>
        <w:rPr>
          <w:color w:val="231F20"/>
          <w:w w:val="115"/>
        </w:rPr>
        <w:t>au</w:t>
      </w:r>
      <w:r>
        <w:rPr>
          <w:color w:val="231F20"/>
          <w:spacing w:val="-5"/>
          <w:w w:val="115"/>
        </w:rPr>
        <w:t> </w:t>
      </w:r>
      <w:r>
        <w:rPr>
          <w:color w:val="231F20"/>
          <w:w w:val="115"/>
        </w:rPr>
        <w:t>personnel</w:t>
      </w:r>
      <w:r>
        <w:rPr>
          <w:color w:val="231F20"/>
          <w:spacing w:val="-5"/>
          <w:w w:val="115"/>
        </w:rPr>
        <w:t> </w:t>
      </w:r>
      <w:r>
        <w:rPr>
          <w:color w:val="231F20"/>
          <w:w w:val="115"/>
        </w:rPr>
        <w:t>un</w:t>
      </w:r>
      <w:r>
        <w:rPr>
          <w:color w:val="231F20"/>
          <w:spacing w:val="-5"/>
          <w:w w:val="115"/>
        </w:rPr>
        <w:t> </w:t>
      </w:r>
      <w:r>
        <w:rPr>
          <w:color w:val="231F20"/>
          <w:w w:val="115"/>
        </w:rPr>
        <w:t>niveau</w:t>
      </w:r>
      <w:r>
        <w:rPr>
          <w:color w:val="231F20"/>
          <w:spacing w:val="-5"/>
          <w:w w:val="115"/>
        </w:rPr>
        <w:t> </w:t>
      </w:r>
      <w:r>
        <w:rPr>
          <w:color w:val="231F20"/>
          <w:w w:val="115"/>
        </w:rPr>
        <w:t>de</w:t>
      </w:r>
      <w:r>
        <w:rPr>
          <w:color w:val="231F20"/>
          <w:spacing w:val="-5"/>
          <w:w w:val="115"/>
        </w:rPr>
        <w:t> </w:t>
      </w:r>
      <w:r>
        <w:rPr>
          <w:color w:val="231F20"/>
          <w:w w:val="115"/>
        </w:rPr>
        <w:t>défi</w:t>
      </w:r>
      <w:r>
        <w:rPr>
          <w:color w:val="231F20"/>
          <w:spacing w:val="-5"/>
          <w:w w:val="115"/>
        </w:rPr>
        <w:t> </w:t>
      </w:r>
      <w:r>
        <w:rPr>
          <w:color w:val="231F20"/>
          <w:w w:val="115"/>
        </w:rPr>
        <w:t>et</w:t>
      </w:r>
      <w:r>
        <w:rPr>
          <w:color w:val="231F20"/>
          <w:spacing w:val="-5"/>
          <w:w w:val="115"/>
        </w:rPr>
        <w:t> </w:t>
      </w:r>
      <w:r>
        <w:rPr>
          <w:color w:val="231F20"/>
          <w:w w:val="115"/>
        </w:rPr>
        <w:t>de</w:t>
      </w:r>
      <w:r>
        <w:rPr>
          <w:color w:val="231F20"/>
          <w:spacing w:val="-5"/>
          <w:w w:val="115"/>
        </w:rPr>
        <w:t> </w:t>
      </w:r>
      <w:r>
        <w:rPr>
          <w:color w:val="231F20"/>
          <w:w w:val="115"/>
        </w:rPr>
        <w:t>complexité</w:t>
      </w:r>
      <w:r>
        <w:rPr>
          <w:color w:val="231F20"/>
          <w:spacing w:val="-5"/>
          <w:w w:val="115"/>
        </w:rPr>
        <w:t> </w:t>
      </w:r>
      <w:r>
        <w:rPr>
          <w:color w:val="231F20"/>
          <w:w w:val="115"/>
        </w:rPr>
        <w:t>adéquat. </w:t>
      </w:r>
      <w:r>
        <w:rPr>
          <w:color w:val="231F20"/>
          <w:spacing w:val="-2"/>
          <w:w w:val="120"/>
        </w:rPr>
        <w:t>Les</w:t>
      </w:r>
      <w:r>
        <w:rPr>
          <w:color w:val="231F20"/>
          <w:spacing w:val="-4"/>
          <w:w w:val="120"/>
        </w:rPr>
        <w:t> </w:t>
      </w:r>
      <w:r>
        <w:rPr>
          <w:color w:val="231F20"/>
          <w:spacing w:val="-2"/>
          <w:w w:val="120"/>
        </w:rPr>
        <w:t>gestionnaires</w:t>
      </w:r>
      <w:r>
        <w:rPr>
          <w:color w:val="231F20"/>
          <w:spacing w:val="-4"/>
          <w:w w:val="120"/>
        </w:rPr>
        <w:t> </w:t>
      </w:r>
      <w:r>
        <w:rPr>
          <w:color w:val="231F20"/>
          <w:spacing w:val="-2"/>
          <w:w w:val="120"/>
        </w:rPr>
        <w:t>des</w:t>
      </w:r>
      <w:r>
        <w:rPr>
          <w:color w:val="231F20"/>
          <w:spacing w:val="-4"/>
          <w:w w:val="120"/>
        </w:rPr>
        <w:t> </w:t>
      </w:r>
      <w:r>
        <w:rPr>
          <w:color w:val="231F20"/>
          <w:spacing w:val="-2"/>
          <w:w w:val="120"/>
        </w:rPr>
        <w:t>ressources</w:t>
      </w:r>
      <w:r>
        <w:rPr>
          <w:color w:val="231F20"/>
          <w:spacing w:val="-4"/>
          <w:w w:val="120"/>
        </w:rPr>
        <w:t> </w:t>
      </w:r>
      <w:r>
        <w:rPr>
          <w:color w:val="231F20"/>
          <w:spacing w:val="-2"/>
          <w:w w:val="120"/>
        </w:rPr>
        <w:t>humaines</w:t>
      </w:r>
      <w:r>
        <w:rPr>
          <w:color w:val="231F20"/>
          <w:spacing w:val="-4"/>
          <w:w w:val="120"/>
        </w:rPr>
        <w:t> </w:t>
      </w:r>
      <w:r>
        <w:rPr>
          <w:color w:val="231F20"/>
          <w:spacing w:val="-2"/>
          <w:w w:val="120"/>
        </w:rPr>
        <w:t>ont</w:t>
      </w:r>
      <w:r>
        <w:rPr>
          <w:color w:val="231F20"/>
          <w:spacing w:val="-4"/>
          <w:w w:val="120"/>
        </w:rPr>
        <w:t> </w:t>
      </w:r>
      <w:r>
        <w:rPr>
          <w:color w:val="231F20"/>
          <w:spacing w:val="-2"/>
          <w:w w:val="120"/>
        </w:rPr>
        <w:t>beau</w:t>
      </w:r>
      <w:r>
        <w:rPr>
          <w:color w:val="231F20"/>
          <w:spacing w:val="-4"/>
          <w:w w:val="120"/>
        </w:rPr>
        <w:t> </w:t>
      </w:r>
      <w:r>
        <w:rPr>
          <w:color w:val="231F20"/>
          <w:spacing w:val="-2"/>
          <w:w w:val="120"/>
        </w:rPr>
        <w:t>avoir</w:t>
      </w:r>
      <w:r>
        <w:rPr>
          <w:color w:val="231F20"/>
          <w:spacing w:val="-4"/>
          <w:w w:val="120"/>
        </w:rPr>
        <w:t> </w:t>
      </w:r>
      <w:r>
        <w:rPr>
          <w:color w:val="231F20"/>
          <w:spacing w:val="-2"/>
          <w:w w:val="120"/>
        </w:rPr>
        <w:t>les</w:t>
      </w:r>
      <w:r>
        <w:rPr>
          <w:color w:val="231F20"/>
          <w:spacing w:val="-4"/>
          <w:w w:val="120"/>
        </w:rPr>
        <w:t> </w:t>
      </w:r>
      <w:r>
        <w:rPr>
          <w:color w:val="231F20"/>
          <w:spacing w:val="-2"/>
          <w:w w:val="120"/>
        </w:rPr>
        <w:t>meilleures </w:t>
      </w:r>
      <w:r>
        <w:rPr>
          <w:color w:val="231F20"/>
          <w:w w:val="120"/>
        </w:rPr>
        <w:t>intentions au moment de redéfinir les tâches dans le cadre d’un pro- gramme</w:t>
      </w:r>
      <w:r>
        <w:rPr>
          <w:color w:val="231F20"/>
          <w:spacing w:val="-3"/>
          <w:w w:val="120"/>
        </w:rPr>
        <w:t> </w:t>
      </w:r>
      <w:r>
        <w:rPr>
          <w:color w:val="231F20"/>
          <w:w w:val="120"/>
        </w:rPr>
        <w:t>d’enrichissement</w:t>
      </w:r>
      <w:r>
        <w:rPr>
          <w:color w:val="231F20"/>
          <w:spacing w:val="-3"/>
          <w:w w:val="120"/>
        </w:rPr>
        <w:t> </w:t>
      </w:r>
      <w:r>
        <w:rPr>
          <w:color w:val="231F20"/>
          <w:w w:val="120"/>
        </w:rPr>
        <w:t>ou</w:t>
      </w:r>
      <w:r>
        <w:rPr>
          <w:color w:val="231F20"/>
          <w:spacing w:val="-3"/>
          <w:w w:val="120"/>
        </w:rPr>
        <w:t> </w:t>
      </w:r>
      <w:r>
        <w:rPr>
          <w:color w:val="231F20"/>
          <w:w w:val="120"/>
        </w:rPr>
        <w:t>de</w:t>
      </w:r>
      <w:r>
        <w:rPr>
          <w:color w:val="231F20"/>
          <w:spacing w:val="-3"/>
          <w:w w:val="120"/>
        </w:rPr>
        <w:t> </w:t>
      </w:r>
      <w:r>
        <w:rPr>
          <w:color w:val="231F20"/>
          <w:w w:val="120"/>
        </w:rPr>
        <w:t>développement,</w:t>
      </w:r>
      <w:r>
        <w:rPr>
          <w:color w:val="231F20"/>
          <w:spacing w:val="-3"/>
          <w:w w:val="120"/>
        </w:rPr>
        <w:t> </w:t>
      </w:r>
      <w:r>
        <w:rPr>
          <w:color w:val="231F20"/>
          <w:w w:val="120"/>
        </w:rPr>
        <w:t>les</w:t>
      </w:r>
      <w:r>
        <w:rPr>
          <w:color w:val="231F20"/>
          <w:spacing w:val="-3"/>
          <w:w w:val="120"/>
        </w:rPr>
        <w:t> </w:t>
      </w:r>
      <w:r>
        <w:rPr>
          <w:color w:val="231F20"/>
          <w:w w:val="120"/>
        </w:rPr>
        <w:t>résultats</w:t>
      </w:r>
      <w:r>
        <w:rPr>
          <w:color w:val="231F20"/>
          <w:spacing w:val="-3"/>
          <w:w w:val="120"/>
        </w:rPr>
        <w:t> </w:t>
      </w:r>
      <w:r>
        <w:rPr>
          <w:color w:val="231F20"/>
          <w:w w:val="120"/>
        </w:rPr>
        <w:t>observés sont parfois irréalistes quand ces nouvelles descriptions sont mises en </w:t>
      </w:r>
      <w:r>
        <w:rPr>
          <w:color w:val="231F20"/>
          <w:w w:val="115"/>
        </w:rPr>
        <w:t>œuvre</w:t>
      </w:r>
      <w:r>
        <w:rPr>
          <w:color w:val="231F20"/>
          <w:spacing w:val="-1"/>
          <w:w w:val="115"/>
        </w:rPr>
        <w:t> </w:t>
      </w:r>
      <w:r>
        <w:rPr>
          <w:color w:val="231F20"/>
          <w:w w:val="115"/>
        </w:rPr>
        <w:t>de</w:t>
      </w:r>
      <w:r>
        <w:rPr>
          <w:color w:val="231F20"/>
          <w:spacing w:val="-1"/>
          <w:w w:val="115"/>
        </w:rPr>
        <w:t> </w:t>
      </w:r>
      <w:r>
        <w:rPr>
          <w:color w:val="231F20"/>
          <w:w w:val="115"/>
        </w:rPr>
        <w:t>façon</w:t>
      </w:r>
      <w:r>
        <w:rPr>
          <w:color w:val="231F20"/>
          <w:spacing w:val="-1"/>
          <w:w w:val="115"/>
        </w:rPr>
        <w:t> </w:t>
      </w:r>
      <w:r>
        <w:rPr>
          <w:color w:val="231F20"/>
          <w:w w:val="115"/>
        </w:rPr>
        <w:t>universelle,</w:t>
      </w:r>
      <w:r>
        <w:rPr>
          <w:color w:val="231F20"/>
          <w:spacing w:val="-1"/>
          <w:w w:val="115"/>
        </w:rPr>
        <w:t> </w:t>
      </w:r>
      <w:r>
        <w:rPr>
          <w:color w:val="231F20"/>
          <w:w w:val="115"/>
        </w:rPr>
        <w:t>sans</w:t>
      </w:r>
      <w:r>
        <w:rPr>
          <w:color w:val="231F20"/>
          <w:spacing w:val="-1"/>
          <w:w w:val="115"/>
        </w:rPr>
        <w:t> </w:t>
      </w:r>
      <w:r>
        <w:rPr>
          <w:color w:val="231F20"/>
          <w:w w:val="115"/>
        </w:rPr>
        <w:t>discrimination,</w:t>
      </w:r>
      <w:r>
        <w:rPr>
          <w:color w:val="231F20"/>
          <w:spacing w:val="-1"/>
          <w:w w:val="115"/>
        </w:rPr>
        <w:t> </w:t>
      </w:r>
      <w:r>
        <w:rPr>
          <w:color w:val="231F20"/>
          <w:w w:val="115"/>
        </w:rPr>
        <w:t>dans</w:t>
      </w:r>
      <w:r>
        <w:rPr>
          <w:color w:val="231F20"/>
          <w:spacing w:val="-1"/>
          <w:w w:val="115"/>
        </w:rPr>
        <w:t> </w:t>
      </w:r>
      <w:r>
        <w:rPr>
          <w:color w:val="231F20"/>
          <w:w w:val="115"/>
        </w:rPr>
        <w:t>l’ensemble</w:t>
      </w:r>
      <w:r>
        <w:rPr>
          <w:color w:val="231F20"/>
          <w:spacing w:val="-1"/>
          <w:w w:val="115"/>
        </w:rPr>
        <w:t> </w:t>
      </w:r>
      <w:r>
        <w:rPr>
          <w:color w:val="231F20"/>
          <w:w w:val="115"/>
        </w:rPr>
        <w:t>de</w:t>
      </w:r>
      <w:r>
        <w:rPr>
          <w:color w:val="231F20"/>
          <w:spacing w:val="-1"/>
          <w:w w:val="115"/>
        </w:rPr>
        <w:t> </w:t>
      </w:r>
      <w:r>
        <w:rPr>
          <w:color w:val="231F20"/>
          <w:w w:val="115"/>
        </w:rPr>
        <w:t>l’or- </w:t>
      </w:r>
      <w:r>
        <w:rPr>
          <w:color w:val="231F20"/>
          <w:spacing w:val="-2"/>
          <w:w w:val="120"/>
        </w:rPr>
        <w:t>ganisation.</w:t>
      </w:r>
      <w:r>
        <w:rPr>
          <w:color w:val="231F20"/>
          <w:spacing w:val="-13"/>
          <w:w w:val="120"/>
        </w:rPr>
        <w:t> </w:t>
      </w:r>
      <w:r>
        <w:rPr>
          <w:color w:val="231F20"/>
          <w:spacing w:val="-2"/>
          <w:w w:val="120"/>
        </w:rPr>
        <w:t>Un</w:t>
      </w:r>
      <w:r>
        <w:rPr>
          <w:color w:val="231F20"/>
          <w:spacing w:val="-11"/>
          <w:w w:val="120"/>
        </w:rPr>
        <w:t> </w:t>
      </w:r>
      <w:r>
        <w:rPr>
          <w:color w:val="231F20"/>
          <w:spacing w:val="-2"/>
          <w:w w:val="120"/>
        </w:rPr>
        <w:t>programme</w:t>
      </w:r>
      <w:r>
        <w:rPr>
          <w:color w:val="231F20"/>
          <w:spacing w:val="-11"/>
          <w:w w:val="120"/>
        </w:rPr>
        <w:t> </w:t>
      </w:r>
      <w:r>
        <w:rPr>
          <w:color w:val="231F20"/>
          <w:spacing w:val="-2"/>
          <w:w w:val="120"/>
        </w:rPr>
        <w:t>d’enrichissement</w:t>
      </w:r>
      <w:r>
        <w:rPr>
          <w:color w:val="231F20"/>
          <w:spacing w:val="-10"/>
          <w:w w:val="120"/>
        </w:rPr>
        <w:t> </w:t>
      </w:r>
      <w:r>
        <w:rPr>
          <w:color w:val="231F20"/>
          <w:spacing w:val="-2"/>
          <w:w w:val="120"/>
        </w:rPr>
        <w:t>des</w:t>
      </w:r>
      <w:r>
        <w:rPr>
          <w:color w:val="231F20"/>
          <w:spacing w:val="-11"/>
          <w:w w:val="120"/>
        </w:rPr>
        <w:t> </w:t>
      </w:r>
      <w:r>
        <w:rPr>
          <w:color w:val="231F20"/>
          <w:spacing w:val="-2"/>
          <w:w w:val="120"/>
        </w:rPr>
        <w:t>tâches</w:t>
      </w:r>
      <w:r>
        <w:rPr>
          <w:color w:val="231F20"/>
          <w:spacing w:val="-11"/>
          <w:w w:val="120"/>
        </w:rPr>
        <w:t> </w:t>
      </w:r>
      <w:r>
        <w:rPr>
          <w:color w:val="231F20"/>
          <w:spacing w:val="-2"/>
          <w:w w:val="120"/>
        </w:rPr>
        <w:t>est,</w:t>
      </w:r>
      <w:r>
        <w:rPr>
          <w:color w:val="231F20"/>
          <w:spacing w:val="-11"/>
          <w:w w:val="120"/>
        </w:rPr>
        <w:t> </w:t>
      </w:r>
      <w:r>
        <w:rPr>
          <w:color w:val="231F20"/>
          <w:spacing w:val="-2"/>
          <w:w w:val="120"/>
        </w:rPr>
        <w:t>par</w:t>
      </w:r>
      <w:r>
        <w:rPr>
          <w:color w:val="231F20"/>
          <w:spacing w:val="-10"/>
          <w:w w:val="120"/>
        </w:rPr>
        <w:t> </w:t>
      </w:r>
      <w:r>
        <w:rPr>
          <w:color w:val="231F20"/>
          <w:spacing w:val="-2"/>
          <w:w w:val="120"/>
        </w:rPr>
        <w:t>exemple, </w:t>
      </w:r>
      <w:r>
        <w:rPr>
          <w:color w:val="231F20"/>
          <w:w w:val="120"/>
        </w:rPr>
        <w:t>un</w:t>
      </w:r>
      <w:r>
        <w:rPr>
          <w:color w:val="231F20"/>
          <w:spacing w:val="-9"/>
          <w:w w:val="120"/>
        </w:rPr>
        <w:t> </w:t>
      </w:r>
      <w:r>
        <w:rPr>
          <w:color w:val="231F20"/>
          <w:w w:val="120"/>
        </w:rPr>
        <w:t>excellent</w:t>
      </w:r>
      <w:r>
        <w:rPr>
          <w:color w:val="231F20"/>
          <w:spacing w:val="-9"/>
          <w:w w:val="120"/>
        </w:rPr>
        <w:t> </w:t>
      </w:r>
      <w:r>
        <w:rPr>
          <w:color w:val="231F20"/>
          <w:w w:val="120"/>
        </w:rPr>
        <w:t>moyen</w:t>
      </w:r>
      <w:r>
        <w:rPr>
          <w:color w:val="231F20"/>
          <w:spacing w:val="-9"/>
          <w:w w:val="120"/>
        </w:rPr>
        <w:t> </w:t>
      </w:r>
      <w:r>
        <w:rPr>
          <w:color w:val="231F20"/>
          <w:w w:val="120"/>
        </w:rPr>
        <w:t>de</w:t>
      </w:r>
      <w:r>
        <w:rPr>
          <w:color w:val="231F20"/>
          <w:spacing w:val="-9"/>
          <w:w w:val="120"/>
        </w:rPr>
        <w:t> </w:t>
      </w:r>
      <w:r>
        <w:rPr>
          <w:color w:val="231F20"/>
          <w:w w:val="120"/>
        </w:rPr>
        <w:t>réduire</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chez</w:t>
      </w:r>
      <w:r>
        <w:rPr>
          <w:color w:val="231F20"/>
          <w:spacing w:val="-9"/>
          <w:w w:val="120"/>
        </w:rPr>
        <w:t> </w:t>
      </w:r>
      <w:r>
        <w:rPr>
          <w:color w:val="231F20"/>
          <w:w w:val="120"/>
        </w:rPr>
        <w:t>les</w:t>
      </w:r>
      <w:r>
        <w:rPr>
          <w:color w:val="231F20"/>
          <w:spacing w:val="-9"/>
          <w:w w:val="120"/>
        </w:rPr>
        <w:t> </w:t>
      </w:r>
      <w:r>
        <w:rPr>
          <w:color w:val="231F20"/>
          <w:w w:val="120"/>
        </w:rPr>
        <w:t>travailleurs</w:t>
      </w:r>
      <w:r>
        <w:rPr>
          <w:color w:val="231F20"/>
          <w:spacing w:val="-9"/>
          <w:w w:val="120"/>
        </w:rPr>
        <w:t> </w:t>
      </w:r>
      <w:r>
        <w:rPr>
          <w:color w:val="231F20"/>
          <w:w w:val="120"/>
        </w:rPr>
        <w:t>qui</w:t>
      </w:r>
      <w:r>
        <w:rPr>
          <w:color w:val="231F20"/>
          <w:spacing w:val="-9"/>
          <w:w w:val="120"/>
        </w:rPr>
        <w:t> </w:t>
      </w:r>
      <w:r>
        <w:rPr>
          <w:color w:val="231F20"/>
          <w:w w:val="120"/>
        </w:rPr>
        <w:t>veulent </w:t>
      </w:r>
      <w:r>
        <w:rPr>
          <w:color w:val="231F20"/>
          <w:spacing w:val="-4"/>
          <w:w w:val="120"/>
        </w:rPr>
        <w:t>assumer davantage de responsabilités et gérer leurs propres activités avec </w:t>
      </w:r>
      <w:r>
        <w:rPr>
          <w:color w:val="231F20"/>
          <w:w w:val="120"/>
        </w:rPr>
        <w:t>une</w:t>
      </w:r>
      <w:r>
        <w:rPr>
          <w:color w:val="231F20"/>
          <w:spacing w:val="-1"/>
          <w:w w:val="120"/>
        </w:rPr>
        <w:t> </w:t>
      </w:r>
      <w:r>
        <w:rPr>
          <w:color w:val="231F20"/>
          <w:w w:val="120"/>
        </w:rPr>
        <w:t>autonomie</w:t>
      </w:r>
      <w:r>
        <w:rPr>
          <w:color w:val="231F20"/>
          <w:spacing w:val="-1"/>
          <w:w w:val="120"/>
        </w:rPr>
        <w:t> </w:t>
      </w:r>
      <w:r>
        <w:rPr>
          <w:color w:val="231F20"/>
          <w:w w:val="120"/>
        </w:rPr>
        <w:t>accrue.</w:t>
      </w:r>
      <w:r>
        <w:rPr>
          <w:color w:val="231F20"/>
          <w:spacing w:val="-1"/>
          <w:w w:val="120"/>
        </w:rPr>
        <w:t> </w:t>
      </w:r>
      <w:r>
        <w:rPr>
          <w:color w:val="231F20"/>
          <w:w w:val="120"/>
        </w:rPr>
        <w:t>Cependant,</w:t>
      </w:r>
      <w:r>
        <w:rPr>
          <w:color w:val="231F20"/>
          <w:spacing w:val="-1"/>
          <w:w w:val="120"/>
        </w:rPr>
        <w:t> </w:t>
      </w:r>
      <w:r>
        <w:rPr>
          <w:color w:val="231F20"/>
          <w:w w:val="120"/>
        </w:rPr>
        <w:t>pour</w:t>
      </w:r>
      <w:r>
        <w:rPr>
          <w:color w:val="231F20"/>
          <w:spacing w:val="-1"/>
          <w:w w:val="120"/>
        </w:rPr>
        <w:t> </w:t>
      </w:r>
      <w:r>
        <w:rPr>
          <w:color w:val="231F20"/>
          <w:w w:val="120"/>
        </w:rPr>
        <w:t>d’autres</w:t>
      </w:r>
      <w:r>
        <w:rPr>
          <w:color w:val="231F20"/>
          <w:spacing w:val="-1"/>
          <w:w w:val="120"/>
        </w:rPr>
        <w:t> </w:t>
      </w:r>
      <w:r>
        <w:rPr>
          <w:color w:val="231F20"/>
          <w:w w:val="120"/>
        </w:rPr>
        <w:t>travailleurs,</w:t>
      </w:r>
      <w:r>
        <w:rPr>
          <w:color w:val="231F20"/>
          <w:spacing w:val="-1"/>
          <w:w w:val="120"/>
        </w:rPr>
        <w:t> </w:t>
      </w:r>
      <w:r>
        <w:rPr>
          <w:color w:val="231F20"/>
          <w:w w:val="120"/>
        </w:rPr>
        <w:t>le</w:t>
      </w:r>
      <w:r>
        <w:rPr>
          <w:color w:val="231F20"/>
          <w:spacing w:val="-1"/>
          <w:w w:val="120"/>
        </w:rPr>
        <w:t> </w:t>
      </w:r>
      <w:r>
        <w:rPr>
          <w:color w:val="231F20"/>
          <w:w w:val="120"/>
        </w:rPr>
        <w:t>même </w:t>
      </w:r>
      <w:r>
        <w:rPr>
          <w:color w:val="231F20"/>
          <w:spacing w:val="-2"/>
          <w:w w:val="120"/>
        </w:rPr>
        <w:t>programme</w:t>
      </w:r>
      <w:r>
        <w:rPr>
          <w:color w:val="231F20"/>
          <w:spacing w:val="-8"/>
          <w:w w:val="120"/>
        </w:rPr>
        <w:t> </w:t>
      </w:r>
      <w:r>
        <w:rPr>
          <w:color w:val="231F20"/>
          <w:spacing w:val="-2"/>
          <w:w w:val="120"/>
        </w:rPr>
        <w:t>peut</w:t>
      </w:r>
      <w:r>
        <w:rPr>
          <w:color w:val="231F20"/>
          <w:spacing w:val="-8"/>
          <w:w w:val="120"/>
        </w:rPr>
        <w:t> </w:t>
      </w:r>
      <w:r>
        <w:rPr>
          <w:color w:val="231F20"/>
          <w:spacing w:val="-2"/>
          <w:w w:val="120"/>
        </w:rPr>
        <w:t>apporter</w:t>
      </w:r>
      <w:r>
        <w:rPr>
          <w:color w:val="231F20"/>
          <w:spacing w:val="-8"/>
          <w:w w:val="120"/>
        </w:rPr>
        <w:t> </w:t>
      </w:r>
      <w:r>
        <w:rPr>
          <w:color w:val="231F20"/>
          <w:spacing w:val="-2"/>
          <w:w w:val="120"/>
        </w:rPr>
        <w:t>des</w:t>
      </w:r>
      <w:r>
        <w:rPr>
          <w:color w:val="231F20"/>
          <w:spacing w:val="-8"/>
          <w:w w:val="120"/>
        </w:rPr>
        <w:t> </w:t>
      </w:r>
      <w:r>
        <w:rPr>
          <w:color w:val="231F20"/>
          <w:spacing w:val="-2"/>
          <w:w w:val="120"/>
        </w:rPr>
        <w:t>conséquences</w:t>
      </w:r>
      <w:r>
        <w:rPr>
          <w:color w:val="231F20"/>
          <w:spacing w:val="-8"/>
          <w:w w:val="120"/>
        </w:rPr>
        <w:t> </w:t>
      </w:r>
      <w:r>
        <w:rPr>
          <w:color w:val="231F20"/>
          <w:spacing w:val="-2"/>
          <w:w w:val="120"/>
        </w:rPr>
        <w:t>préjudiciables</w:t>
      </w:r>
      <w:r>
        <w:rPr>
          <w:color w:val="231F20"/>
          <w:spacing w:val="-8"/>
          <w:w w:val="120"/>
        </w:rPr>
        <w:t> </w:t>
      </w:r>
      <w:r>
        <w:rPr>
          <w:color w:val="231F20"/>
          <w:spacing w:val="-2"/>
          <w:w w:val="120"/>
        </w:rPr>
        <w:t>sur</w:t>
      </w:r>
      <w:r>
        <w:rPr>
          <w:color w:val="231F20"/>
          <w:spacing w:val="-8"/>
          <w:w w:val="120"/>
        </w:rPr>
        <w:t> </w:t>
      </w:r>
      <w:r>
        <w:rPr>
          <w:color w:val="231F20"/>
          <w:spacing w:val="-2"/>
          <w:w w:val="120"/>
        </w:rPr>
        <w:t>leur</w:t>
      </w:r>
      <w:r>
        <w:rPr>
          <w:color w:val="231F20"/>
          <w:spacing w:val="-8"/>
          <w:w w:val="120"/>
        </w:rPr>
        <w:t> </w:t>
      </w:r>
      <w:r>
        <w:rPr>
          <w:color w:val="231F20"/>
          <w:spacing w:val="-2"/>
          <w:w w:val="120"/>
        </w:rPr>
        <w:t>santé </w:t>
      </w:r>
      <w:r>
        <w:rPr>
          <w:color w:val="231F20"/>
          <w:w w:val="115"/>
        </w:rPr>
        <w:t>et</w:t>
      </w:r>
      <w:r>
        <w:rPr>
          <w:color w:val="231F20"/>
          <w:spacing w:val="-4"/>
          <w:w w:val="115"/>
        </w:rPr>
        <w:t> </w:t>
      </w:r>
      <w:r>
        <w:rPr>
          <w:color w:val="231F20"/>
          <w:w w:val="115"/>
        </w:rPr>
        <w:t>leur</w:t>
      </w:r>
      <w:r>
        <w:rPr>
          <w:color w:val="231F20"/>
          <w:spacing w:val="-4"/>
          <w:w w:val="115"/>
        </w:rPr>
        <w:t> </w:t>
      </w:r>
      <w:r>
        <w:rPr>
          <w:color w:val="231F20"/>
          <w:w w:val="115"/>
        </w:rPr>
        <w:t>rendement</w:t>
      </w:r>
      <w:r>
        <w:rPr>
          <w:color w:val="231F20"/>
          <w:spacing w:val="-4"/>
          <w:w w:val="115"/>
        </w:rPr>
        <w:t> </w:t>
      </w:r>
      <w:r>
        <w:rPr>
          <w:color w:val="231F20"/>
          <w:w w:val="115"/>
        </w:rPr>
        <w:t>au</w:t>
      </w:r>
      <w:r>
        <w:rPr>
          <w:color w:val="231F20"/>
          <w:spacing w:val="-4"/>
          <w:w w:val="115"/>
        </w:rPr>
        <w:t> </w:t>
      </w:r>
      <w:r>
        <w:rPr>
          <w:color w:val="231F20"/>
          <w:w w:val="115"/>
        </w:rPr>
        <w:t>travail.</w:t>
      </w:r>
      <w:r>
        <w:rPr>
          <w:color w:val="231F20"/>
          <w:spacing w:val="-4"/>
          <w:w w:val="115"/>
        </w:rPr>
        <w:t> </w:t>
      </w:r>
      <w:r>
        <w:rPr>
          <w:color w:val="231F20"/>
          <w:w w:val="115"/>
        </w:rPr>
        <w:t>On</w:t>
      </w:r>
      <w:r>
        <w:rPr>
          <w:color w:val="231F20"/>
          <w:spacing w:val="-4"/>
          <w:w w:val="115"/>
        </w:rPr>
        <w:t> </w:t>
      </w:r>
      <w:r>
        <w:rPr>
          <w:color w:val="231F20"/>
          <w:w w:val="115"/>
        </w:rPr>
        <w:t>considère</w:t>
      </w:r>
      <w:r>
        <w:rPr>
          <w:color w:val="231F20"/>
          <w:spacing w:val="-4"/>
          <w:w w:val="115"/>
        </w:rPr>
        <w:t> </w:t>
      </w:r>
      <w:r>
        <w:rPr>
          <w:color w:val="231F20"/>
          <w:w w:val="115"/>
        </w:rPr>
        <w:t>de</w:t>
      </w:r>
      <w:r>
        <w:rPr>
          <w:color w:val="231F20"/>
          <w:spacing w:val="-4"/>
          <w:w w:val="115"/>
        </w:rPr>
        <w:t> </w:t>
      </w:r>
      <w:r>
        <w:rPr>
          <w:color w:val="231F20"/>
          <w:w w:val="115"/>
        </w:rPr>
        <w:t>plus</w:t>
      </w:r>
      <w:r>
        <w:rPr>
          <w:color w:val="231F20"/>
          <w:spacing w:val="-4"/>
          <w:w w:val="115"/>
        </w:rPr>
        <w:t> </w:t>
      </w:r>
      <w:r>
        <w:rPr>
          <w:color w:val="231F20"/>
          <w:w w:val="115"/>
        </w:rPr>
        <w:t>en</w:t>
      </w:r>
      <w:r>
        <w:rPr>
          <w:color w:val="231F20"/>
          <w:spacing w:val="-4"/>
          <w:w w:val="115"/>
        </w:rPr>
        <w:t> </w:t>
      </w:r>
      <w:r>
        <w:rPr>
          <w:color w:val="231F20"/>
          <w:w w:val="115"/>
        </w:rPr>
        <w:t>plus</w:t>
      </w:r>
      <w:r>
        <w:rPr>
          <w:color w:val="231F20"/>
          <w:spacing w:val="-4"/>
          <w:w w:val="115"/>
        </w:rPr>
        <w:t> </w:t>
      </w:r>
      <w:r>
        <w:rPr>
          <w:color w:val="231F20"/>
          <w:w w:val="115"/>
        </w:rPr>
        <w:t>que</w:t>
      </w:r>
      <w:r>
        <w:rPr>
          <w:color w:val="231F20"/>
          <w:spacing w:val="-4"/>
          <w:w w:val="115"/>
        </w:rPr>
        <w:t> </w:t>
      </w:r>
      <w:r>
        <w:rPr>
          <w:color w:val="231F20"/>
          <w:w w:val="115"/>
        </w:rPr>
        <w:t>même</w:t>
      </w:r>
      <w:r>
        <w:rPr>
          <w:color w:val="231F20"/>
          <w:spacing w:val="-4"/>
          <w:w w:val="115"/>
        </w:rPr>
        <w:t> </w:t>
      </w:r>
      <w:r>
        <w:rPr>
          <w:color w:val="231F20"/>
          <w:w w:val="115"/>
        </w:rPr>
        <w:t>chez </w:t>
      </w:r>
      <w:r>
        <w:rPr>
          <w:color w:val="231F20"/>
          <w:spacing w:val="-2"/>
          <w:w w:val="120"/>
        </w:rPr>
        <w:t>ceux</w:t>
      </w:r>
      <w:r>
        <w:rPr>
          <w:color w:val="231F20"/>
          <w:spacing w:val="-11"/>
          <w:w w:val="120"/>
        </w:rPr>
        <w:t> </w:t>
      </w:r>
      <w:r>
        <w:rPr>
          <w:color w:val="231F20"/>
          <w:spacing w:val="-2"/>
          <w:w w:val="120"/>
        </w:rPr>
        <w:t>et</w:t>
      </w:r>
      <w:r>
        <w:rPr>
          <w:color w:val="231F20"/>
          <w:spacing w:val="-11"/>
          <w:w w:val="120"/>
        </w:rPr>
        <w:t> </w:t>
      </w:r>
      <w:r>
        <w:rPr>
          <w:color w:val="231F20"/>
          <w:spacing w:val="-2"/>
          <w:w w:val="120"/>
        </w:rPr>
        <w:t>celles</w:t>
      </w:r>
      <w:r>
        <w:rPr>
          <w:color w:val="231F20"/>
          <w:spacing w:val="-11"/>
          <w:w w:val="120"/>
        </w:rPr>
        <w:t> </w:t>
      </w:r>
      <w:r>
        <w:rPr>
          <w:color w:val="231F20"/>
          <w:spacing w:val="-2"/>
          <w:w w:val="120"/>
        </w:rPr>
        <w:t>qui</w:t>
      </w:r>
      <w:r>
        <w:rPr>
          <w:color w:val="231F20"/>
          <w:spacing w:val="-10"/>
          <w:w w:val="120"/>
        </w:rPr>
        <w:t> </w:t>
      </w:r>
      <w:r>
        <w:rPr>
          <w:color w:val="231F20"/>
          <w:spacing w:val="-2"/>
          <w:w w:val="120"/>
        </w:rPr>
        <w:t>aspirent</w:t>
      </w:r>
      <w:r>
        <w:rPr>
          <w:color w:val="231F20"/>
          <w:spacing w:val="-11"/>
          <w:w w:val="120"/>
        </w:rPr>
        <w:t> </w:t>
      </w:r>
      <w:r>
        <w:rPr>
          <w:color w:val="231F20"/>
          <w:spacing w:val="-2"/>
          <w:w w:val="120"/>
        </w:rPr>
        <w:t>à</w:t>
      </w:r>
      <w:r>
        <w:rPr>
          <w:color w:val="231F20"/>
          <w:spacing w:val="-11"/>
          <w:w w:val="120"/>
        </w:rPr>
        <w:t> </w:t>
      </w:r>
      <w:r>
        <w:rPr>
          <w:color w:val="231F20"/>
          <w:spacing w:val="-2"/>
          <w:w w:val="120"/>
        </w:rPr>
        <w:t>davantage</w:t>
      </w:r>
      <w:r>
        <w:rPr>
          <w:color w:val="231F20"/>
          <w:spacing w:val="-11"/>
          <w:w w:val="120"/>
        </w:rPr>
        <w:t> </w:t>
      </w:r>
      <w:r>
        <w:rPr>
          <w:color w:val="231F20"/>
          <w:spacing w:val="-2"/>
          <w:w w:val="120"/>
        </w:rPr>
        <w:t>de</w:t>
      </w:r>
      <w:r>
        <w:rPr>
          <w:color w:val="231F20"/>
          <w:spacing w:val="-10"/>
          <w:w w:val="120"/>
        </w:rPr>
        <w:t> </w:t>
      </w:r>
      <w:r>
        <w:rPr>
          <w:color w:val="231F20"/>
          <w:spacing w:val="-2"/>
          <w:w w:val="120"/>
        </w:rPr>
        <w:t>responsabilités</w:t>
      </w:r>
      <w:r>
        <w:rPr>
          <w:color w:val="231F20"/>
          <w:spacing w:val="-11"/>
          <w:w w:val="120"/>
        </w:rPr>
        <w:t> </w:t>
      </w:r>
      <w:r>
        <w:rPr>
          <w:color w:val="231F20"/>
          <w:spacing w:val="-2"/>
          <w:w w:val="120"/>
        </w:rPr>
        <w:t>et</w:t>
      </w:r>
      <w:r>
        <w:rPr>
          <w:color w:val="231F20"/>
          <w:spacing w:val="-11"/>
          <w:w w:val="120"/>
        </w:rPr>
        <w:t> </w:t>
      </w:r>
      <w:r>
        <w:rPr>
          <w:color w:val="231F20"/>
          <w:spacing w:val="-2"/>
          <w:w w:val="120"/>
        </w:rPr>
        <w:t>d’autonomie, </w:t>
      </w:r>
      <w:r>
        <w:rPr>
          <w:color w:val="231F20"/>
          <w:w w:val="120"/>
        </w:rPr>
        <w:t>le</w:t>
      </w:r>
      <w:r>
        <w:rPr>
          <w:color w:val="231F20"/>
          <w:spacing w:val="-13"/>
          <w:w w:val="120"/>
        </w:rPr>
        <w:t> </w:t>
      </w:r>
      <w:r>
        <w:rPr>
          <w:color w:val="231F20"/>
          <w:w w:val="120"/>
        </w:rPr>
        <w:t>manque</w:t>
      </w:r>
      <w:r>
        <w:rPr>
          <w:color w:val="231F20"/>
          <w:spacing w:val="-13"/>
          <w:w w:val="120"/>
        </w:rPr>
        <w:t> </w:t>
      </w:r>
      <w:r>
        <w:rPr>
          <w:color w:val="231F20"/>
          <w:w w:val="120"/>
        </w:rPr>
        <w:t>de</w:t>
      </w:r>
      <w:r>
        <w:rPr>
          <w:color w:val="231F20"/>
          <w:spacing w:val="-13"/>
          <w:w w:val="120"/>
        </w:rPr>
        <w:t> </w:t>
      </w:r>
      <w:r>
        <w:rPr>
          <w:color w:val="231F20"/>
          <w:w w:val="120"/>
        </w:rPr>
        <w:t>formation</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compétences</w:t>
      </w:r>
      <w:r>
        <w:rPr>
          <w:color w:val="231F20"/>
          <w:spacing w:val="-13"/>
          <w:w w:val="120"/>
        </w:rPr>
        <w:t> </w:t>
      </w:r>
      <w:r>
        <w:rPr>
          <w:color w:val="231F20"/>
          <w:w w:val="120"/>
        </w:rPr>
        <w:t>risque</w:t>
      </w:r>
      <w:r>
        <w:rPr>
          <w:color w:val="231F20"/>
          <w:spacing w:val="-12"/>
          <w:w w:val="120"/>
        </w:rPr>
        <w:t> </w:t>
      </w:r>
      <w:r>
        <w:rPr>
          <w:color w:val="231F20"/>
          <w:w w:val="120"/>
        </w:rPr>
        <w:t>d’occasionner</w:t>
      </w:r>
      <w:r>
        <w:rPr>
          <w:color w:val="231F20"/>
          <w:spacing w:val="-13"/>
          <w:w w:val="120"/>
        </w:rPr>
        <w:t> </w:t>
      </w:r>
      <w:r>
        <w:rPr>
          <w:color w:val="231F20"/>
          <w:w w:val="120"/>
        </w:rPr>
        <w:t>plus</w:t>
      </w:r>
      <w:r>
        <w:rPr>
          <w:color w:val="231F20"/>
          <w:spacing w:val="-13"/>
          <w:w w:val="120"/>
        </w:rPr>
        <w:t> </w:t>
      </w:r>
      <w:r>
        <w:rPr>
          <w:color w:val="231F20"/>
          <w:w w:val="120"/>
        </w:rPr>
        <w:t>de </w:t>
      </w:r>
      <w:r>
        <w:rPr>
          <w:color w:val="231F20"/>
          <w:spacing w:val="-2"/>
          <w:w w:val="120"/>
        </w:rPr>
        <w:t>conséquences</w:t>
      </w:r>
      <w:r>
        <w:rPr>
          <w:color w:val="231F20"/>
          <w:w w:val="120"/>
        </w:rPr>
        <w:t> </w:t>
      </w:r>
      <w:r>
        <w:rPr>
          <w:color w:val="231F20"/>
          <w:spacing w:val="-2"/>
          <w:w w:val="120"/>
        </w:rPr>
        <w:t>nocives</w:t>
      </w:r>
      <w:r>
        <w:rPr>
          <w:color w:val="231F20"/>
          <w:w w:val="120"/>
        </w:rPr>
        <w:t> </w:t>
      </w:r>
      <w:r>
        <w:rPr>
          <w:color w:val="231F20"/>
          <w:spacing w:val="-2"/>
          <w:w w:val="120"/>
        </w:rPr>
        <w:t>que</w:t>
      </w:r>
      <w:r>
        <w:rPr>
          <w:color w:val="231F20"/>
          <w:w w:val="120"/>
        </w:rPr>
        <w:t> </w:t>
      </w:r>
      <w:r>
        <w:rPr>
          <w:color w:val="231F20"/>
          <w:spacing w:val="-2"/>
          <w:w w:val="120"/>
        </w:rPr>
        <w:t>positives.</w:t>
      </w:r>
      <w:r>
        <w:rPr>
          <w:color w:val="231F20"/>
          <w:w w:val="120"/>
        </w:rPr>
        <w:t> </w:t>
      </w:r>
      <w:r>
        <w:rPr>
          <w:color w:val="231F20"/>
          <w:spacing w:val="-2"/>
          <w:w w:val="120"/>
        </w:rPr>
        <w:t>D’autres</w:t>
      </w:r>
      <w:r>
        <w:rPr>
          <w:color w:val="231F20"/>
          <w:spacing w:val="1"/>
          <w:w w:val="120"/>
        </w:rPr>
        <w:t> </w:t>
      </w:r>
      <w:r>
        <w:rPr>
          <w:color w:val="231F20"/>
          <w:spacing w:val="-2"/>
          <w:w w:val="120"/>
        </w:rPr>
        <w:t>facteurs</w:t>
      </w:r>
      <w:r>
        <w:rPr>
          <w:color w:val="231F20"/>
          <w:w w:val="120"/>
        </w:rPr>
        <w:t> </w:t>
      </w:r>
      <w:r>
        <w:rPr>
          <w:color w:val="231F20"/>
          <w:spacing w:val="-2"/>
          <w:w w:val="120"/>
        </w:rPr>
        <w:t>de</w:t>
      </w:r>
      <w:r>
        <w:rPr>
          <w:color w:val="231F20"/>
          <w:w w:val="120"/>
        </w:rPr>
        <w:t> </w:t>
      </w:r>
      <w:r>
        <w:rPr>
          <w:color w:val="231F20"/>
          <w:spacing w:val="-2"/>
          <w:w w:val="120"/>
        </w:rPr>
        <w:t>stress</w:t>
      </w:r>
      <w:r>
        <w:rPr>
          <w:color w:val="231F20"/>
          <w:w w:val="120"/>
        </w:rPr>
        <w:t> </w:t>
      </w:r>
      <w:r>
        <w:rPr>
          <w:color w:val="231F20"/>
          <w:spacing w:val="-2"/>
          <w:w w:val="120"/>
        </w:rPr>
        <w:t>doivent</w:t>
      </w:r>
    </w:p>
    <w:p>
      <w:pPr>
        <w:pStyle w:val="BodyText"/>
        <w:rPr>
          <w:sz w:val="20"/>
        </w:rPr>
      </w:pPr>
    </w:p>
    <w:p>
      <w:pPr>
        <w:pStyle w:val="BodyText"/>
        <w:rPr>
          <w:sz w:val="13"/>
        </w:rPr>
      </w:pPr>
      <w:r>
        <w:rPr/>
        <w:pict>
          <v:shape style="position:absolute;margin-left:82pt;margin-top:8.723828pt;width:287.5pt;height:.1pt;mso-position-horizontal-relative:page;mso-position-vertical-relative:paragraph;z-index:-15618560;mso-wrap-distance-left:0;mso-wrap-distance-right:0" id="docshape1115" coordorigin="1640,174" coordsize="5750,0" path="m1640,174l7390,174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20" w:right="107" w:hanging="407"/>
        <w:jc w:val="left"/>
        <w:rPr>
          <w:rFonts w:ascii="Arial" w:hAnsi="Arial"/>
          <w:sz w:val="12"/>
        </w:rPr>
      </w:pPr>
      <w:r>
        <w:rPr>
          <w:rFonts w:ascii="Arial" w:hAnsi="Arial"/>
          <w:color w:val="231F20"/>
          <w:sz w:val="12"/>
        </w:rPr>
        <w:t>Pour</w:t>
      </w:r>
      <w:r>
        <w:rPr>
          <w:rFonts w:ascii="Arial" w:hAnsi="Arial"/>
          <w:color w:val="231F20"/>
          <w:spacing w:val="-9"/>
          <w:sz w:val="12"/>
        </w:rPr>
        <w:t> </w:t>
      </w:r>
      <w:r>
        <w:rPr>
          <w:rFonts w:ascii="Arial" w:hAnsi="Arial"/>
          <w:color w:val="231F20"/>
          <w:sz w:val="12"/>
        </w:rPr>
        <w:t>plus</w:t>
      </w:r>
      <w:r>
        <w:rPr>
          <w:rFonts w:ascii="Arial" w:hAnsi="Arial"/>
          <w:color w:val="231F20"/>
          <w:spacing w:val="-8"/>
          <w:sz w:val="12"/>
        </w:rPr>
        <w:t> </w:t>
      </w:r>
      <w:r>
        <w:rPr>
          <w:rFonts w:ascii="Arial" w:hAnsi="Arial"/>
          <w:color w:val="231F20"/>
          <w:sz w:val="12"/>
        </w:rPr>
        <w:t>d’information,</w:t>
      </w:r>
      <w:r>
        <w:rPr>
          <w:rFonts w:ascii="Arial" w:hAnsi="Arial"/>
          <w:color w:val="231F20"/>
          <w:spacing w:val="-8"/>
          <w:sz w:val="12"/>
        </w:rPr>
        <w:t> </w:t>
      </w:r>
      <w:r>
        <w:rPr>
          <w:rFonts w:ascii="Arial" w:hAnsi="Arial"/>
          <w:color w:val="231F20"/>
          <w:sz w:val="12"/>
        </w:rPr>
        <w:t>Saba,</w:t>
      </w:r>
      <w:r>
        <w:rPr>
          <w:rFonts w:ascii="Arial" w:hAnsi="Arial"/>
          <w:color w:val="231F20"/>
          <w:spacing w:val="-9"/>
          <w:sz w:val="12"/>
        </w:rPr>
        <w:t> </w:t>
      </w:r>
      <w:r>
        <w:rPr>
          <w:rFonts w:ascii="Arial" w:hAnsi="Arial"/>
          <w:color w:val="231F20"/>
          <w:sz w:val="12"/>
        </w:rPr>
        <w:t>T.</w:t>
      </w:r>
      <w:r>
        <w:rPr>
          <w:rFonts w:ascii="Arial" w:hAnsi="Arial"/>
          <w:color w:val="231F20"/>
          <w:spacing w:val="-8"/>
          <w:sz w:val="12"/>
        </w:rPr>
        <w:t> </w:t>
      </w:r>
      <w:r>
        <w:rPr>
          <w:rFonts w:ascii="Arial" w:hAnsi="Arial"/>
          <w:color w:val="231F20"/>
          <w:sz w:val="12"/>
        </w:rPr>
        <w:t>et</w:t>
      </w:r>
      <w:r>
        <w:rPr>
          <w:rFonts w:ascii="Arial" w:hAnsi="Arial"/>
          <w:color w:val="231F20"/>
          <w:spacing w:val="-8"/>
          <w:sz w:val="12"/>
        </w:rPr>
        <w:t> </w:t>
      </w:r>
      <w:r>
        <w:rPr>
          <w:rFonts w:ascii="Arial" w:hAnsi="Arial"/>
          <w:color w:val="231F20"/>
          <w:sz w:val="12"/>
        </w:rPr>
        <w:t>Dolan,</w:t>
      </w:r>
      <w:r>
        <w:rPr>
          <w:rFonts w:ascii="Arial" w:hAnsi="Arial"/>
          <w:color w:val="231F20"/>
          <w:spacing w:val="-9"/>
          <w:sz w:val="12"/>
        </w:rPr>
        <w:t> </w:t>
      </w:r>
      <w:r>
        <w:rPr>
          <w:rFonts w:ascii="Arial" w:hAnsi="Arial"/>
          <w:color w:val="231F20"/>
          <w:sz w:val="12"/>
        </w:rPr>
        <w:t>S.</w:t>
      </w:r>
      <w:r>
        <w:rPr>
          <w:rFonts w:ascii="Arial" w:hAnsi="Arial"/>
          <w:color w:val="231F20"/>
          <w:spacing w:val="-8"/>
          <w:sz w:val="12"/>
        </w:rPr>
        <w:t> </w:t>
      </w:r>
      <w:r>
        <w:rPr>
          <w:rFonts w:ascii="Arial" w:hAnsi="Arial"/>
          <w:color w:val="231F20"/>
          <w:sz w:val="12"/>
        </w:rPr>
        <w:t>L.</w:t>
      </w:r>
      <w:r>
        <w:rPr>
          <w:rFonts w:ascii="Arial" w:hAnsi="Arial"/>
          <w:color w:val="231F20"/>
          <w:spacing w:val="-9"/>
          <w:sz w:val="12"/>
        </w:rPr>
        <w:t> </w:t>
      </w:r>
      <w:r>
        <w:rPr>
          <w:rFonts w:ascii="Arial" w:hAnsi="Arial"/>
          <w:color w:val="231F20"/>
          <w:sz w:val="12"/>
        </w:rPr>
        <w:t>(2021).</w:t>
      </w:r>
      <w:r>
        <w:rPr>
          <w:rFonts w:ascii="Arial" w:hAnsi="Arial"/>
          <w:color w:val="231F20"/>
          <w:spacing w:val="-8"/>
          <w:sz w:val="12"/>
        </w:rPr>
        <w:t> </w:t>
      </w:r>
      <w:r>
        <w:rPr>
          <w:rFonts w:ascii="Arial" w:hAnsi="Arial"/>
          <w:i/>
          <w:color w:val="231F20"/>
          <w:sz w:val="12"/>
        </w:rPr>
        <w:t>La</w:t>
      </w:r>
      <w:r>
        <w:rPr>
          <w:rFonts w:ascii="Arial" w:hAnsi="Arial"/>
          <w:i/>
          <w:color w:val="231F20"/>
          <w:spacing w:val="-8"/>
          <w:sz w:val="12"/>
        </w:rPr>
        <w:t> </w:t>
      </w:r>
      <w:r>
        <w:rPr>
          <w:rFonts w:ascii="Arial" w:hAnsi="Arial"/>
          <w:i/>
          <w:color w:val="231F20"/>
          <w:sz w:val="12"/>
        </w:rPr>
        <w:t>gestion</w:t>
      </w:r>
      <w:r>
        <w:rPr>
          <w:rFonts w:ascii="Arial" w:hAnsi="Arial"/>
          <w:i/>
          <w:color w:val="231F20"/>
          <w:spacing w:val="-9"/>
          <w:sz w:val="12"/>
        </w:rPr>
        <w:t> </w:t>
      </w:r>
      <w:r>
        <w:rPr>
          <w:rFonts w:ascii="Arial" w:hAnsi="Arial"/>
          <w:i/>
          <w:color w:val="231F20"/>
          <w:sz w:val="12"/>
        </w:rPr>
        <w:t>des</w:t>
      </w:r>
      <w:r>
        <w:rPr>
          <w:rFonts w:ascii="Arial" w:hAnsi="Arial"/>
          <w:i/>
          <w:color w:val="231F20"/>
          <w:spacing w:val="-8"/>
          <w:sz w:val="12"/>
        </w:rPr>
        <w:t> </w:t>
      </w:r>
      <w:r>
        <w:rPr>
          <w:rFonts w:ascii="Arial" w:hAnsi="Arial"/>
          <w:i/>
          <w:color w:val="231F20"/>
          <w:sz w:val="12"/>
        </w:rPr>
        <w:t>ressources</w:t>
      </w:r>
      <w:r>
        <w:rPr>
          <w:rFonts w:ascii="Arial" w:hAnsi="Arial"/>
          <w:i/>
          <w:color w:val="231F20"/>
          <w:spacing w:val="-8"/>
          <w:sz w:val="12"/>
        </w:rPr>
        <w:t> </w:t>
      </w:r>
      <w:r>
        <w:rPr>
          <w:rFonts w:ascii="Arial" w:hAnsi="Arial"/>
          <w:i/>
          <w:color w:val="231F20"/>
          <w:sz w:val="12"/>
        </w:rPr>
        <w:t>humaines</w:t>
      </w:r>
      <w:r>
        <w:rPr>
          <w:rFonts w:ascii="Arial" w:hAnsi="Arial"/>
          <w:color w:val="231F20"/>
          <w:sz w:val="12"/>
        </w:rPr>
        <w:t>,</w:t>
      </w:r>
      <w:r>
        <w:rPr>
          <w:rFonts w:ascii="Arial" w:hAnsi="Arial"/>
          <w:color w:val="231F20"/>
          <w:spacing w:val="-9"/>
          <w:sz w:val="12"/>
        </w:rPr>
        <w:t> </w:t>
      </w:r>
      <w:r>
        <w:rPr>
          <w:rFonts w:ascii="Arial" w:hAnsi="Arial"/>
          <w:color w:val="231F20"/>
          <w:sz w:val="12"/>
        </w:rPr>
        <w:t>6</w:t>
      </w:r>
      <w:r>
        <w:rPr>
          <w:rFonts w:ascii="Arial" w:hAnsi="Arial"/>
          <w:color w:val="231F20"/>
          <w:position w:val="4"/>
          <w:sz w:val="7"/>
        </w:rPr>
        <w:t>e</w:t>
      </w:r>
      <w:r>
        <w:rPr>
          <w:rFonts w:ascii="Arial" w:hAnsi="Arial"/>
          <w:color w:val="231F20"/>
          <w:spacing w:val="-1"/>
          <w:position w:val="4"/>
          <w:sz w:val="7"/>
        </w:rPr>
        <w:t> </w:t>
      </w:r>
      <w:r>
        <w:rPr>
          <w:rFonts w:ascii="Arial" w:hAnsi="Arial"/>
          <w:color w:val="231F20"/>
          <w:sz w:val="12"/>
        </w:rPr>
        <w:t>éd.,</w:t>
      </w:r>
      <w:r>
        <w:rPr>
          <w:rFonts w:ascii="Arial" w:hAnsi="Arial"/>
          <w:color w:val="231F20"/>
          <w:spacing w:val="-8"/>
          <w:sz w:val="12"/>
        </w:rPr>
        <w:t> </w:t>
      </w:r>
      <w:r>
        <w:rPr>
          <w:rFonts w:ascii="Arial" w:hAnsi="Arial"/>
          <w:color w:val="231F20"/>
          <w:sz w:val="12"/>
        </w:rPr>
        <w:t>Montréal,</w:t>
      </w:r>
      <w:r>
        <w:rPr>
          <w:rFonts w:ascii="Arial" w:hAnsi="Arial"/>
          <w:color w:val="231F20"/>
          <w:spacing w:val="40"/>
          <w:sz w:val="12"/>
        </w:rPr>
        <w:t> </w:t>
      </w:r>
      <w:r>
        <w:rPr>
          <w:rFonts w:ascii="Arial" w:hAnsi="Arial"/>
          <w:color w:val="231F20"/>
          <w:sz w:val="12"/>
        </w:rPr>
        <w:t>Pearson</w:t>
      </w:r>
      <w:r>
        <w:rPr>
          <w:rFonts w:ascii="Arial" w:hAnsi="Arial"/>
          <w:color w:val="231F20"/>
          <w:spacing w:val="-9"/>
          <w:sz w:val="12"/>
        </w:rPr>
        <w:t> </w:t>
      </w:r>
      <w:r>
        <w:rPr>
          <w:rFonts w:ascii="Arial" w:hAnsi="Arial"/>
          <w:color w:val="231F20"/>
          <w:sz w:val="12"/>
        </w:rPr>
        <w:t>ERPI.</w:t>
      </w:r>
    </w:p>
    <w:p>
      <w:pPr>
        <w:spacing w:after="0" w:line="295" w:lineRule="auto"/>
        <w:jc w:val="left"/>
        <w:rPr>
          <w:rFonts w:ascii="Arial" w:hAnsi="Arial"/>
          <w:sz w:val="12"/>
        </w:rPr>
        <w:sectPr>
          <w:footerReference w:type="default" r:id="rId32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4"/>
        <w:jc w:val="both"/>
      </w:pPr>
      <w:r>
        <w:rPr>
          <w:color w:val="231F20"/>
          <w:w w:val="120"/>
        </w:rPr>
        <w:t>être pris en considération lors de la définition des tâches, notamment la clarification des rôles, la charge de travail inhérente et le niveau de compétences</w:t>
      </w:r>
      <w:r>
        <w:rPr>
          <w:color w:val="231F20"/>
          <w:spacing w:val="-8"/>
          <w:w w:val="120"/>
        </w:rPr>
        <w:t> </w:t>
      </w:r>
      <w:r>
        <w:rPr>
          <w:color w:val="231F20"/>
          <w:w w:val="120"/>
        </w:rPr>
        <w:t>requis.</w:t>
      </w:r>
      <w:r>
        <w:rPr>
          <w:color w:val="231F20"/>
          <w:spacing w:val="-8"/>
          <w:w w:val="120"/>
        </w:rPr>
        <w:t> </w:t>
      </w:r>
      <w:r>
        <w:rPr>
          <w:color w:val="231F20"/>
          <w:w w:val="120"/>
        </w:rPr>
        <w:t>Il</w:t>
      </w:r>
      <w:r>
        <w:rPr>
          <w:color w:val="231F20"/>
          <w:spacing w:val="-8"/>
          <w:w w:val="120"/>
        </w:rPr>
        <w:t> </w:t>
      </w:r>
      <w:r>
        <w:rPr>
          <w:color w:val="231F20"/>
          <w:w w:val="120"/>
        </w:rPr>
        <w:t>ne</w:t>
      </w:r>
      <w:r>
        <w:rPr>
          <w:color w:val="231F20"/>
          <w:spacing w:val="-8"/>
          <w:w w:val="120"/>
        </w:rPr>
        <w:t> </w:t>
      </w:r>
      <w:r>
        <w:rPr>
          <w:color w:val="231F20"/>
          <w:w w:val="120"/>
        </w:rPr>
        <w:t>fait</w:t>
      </w:r>
      <w:r>
        <w:rPr>
          <w:color w:val="231F20"/>
          <w:spacing w:val="-8"/>
          <w:w w:val="120"/>
        </w:rPr>
        <w:t> </w:t>
      </w:r>
      <w:r>
        <w:rPr>
          <w:color w:val="231F20"/>
          <w:w w:val="120"/>
        </w:rPr>
        <w:t>pas</w:t>
      </w:r>
      <w:r>
        <w:rPr>
          <w:color w:val="231F20"/>
          <w:spacing w:val="-8"/>
          <w:w w:val="120"/>
        </w:rPr>
        <w:t> </w:t>
      </w:r>
      <w:r>
        <w:rPr>
          <w:color w:val="231F20"/>
          <w:w w:val="120"/>
        </w:rPr>
        <w:t>de</w:t>
      </w:r>
      <w:r>
        <w:rPr>
          <w:color w:val="231F20"/>
          <w:spacing w:val="-8"/>
          <w:w w:val="120"/>
        </w:rPr>
        <w:t> </w:t>
      </w:r>
      <w:r>
        <w:rPr>
          <w:color w:val="231F20"/>
          <w:w w:val="120"/>
        </w:rPr>
        <w:t>doute</w:t>
      </w:r>
      <w:r>
        <w:rPr>
          <w:color w:val="231F20"/>
          <w:spacing w:val="-8"/>
          <w:w w:val="120"/>
        </w:rPr>
        <w:t> </w:t>
      </w:r>
      <w:r>
        <w:rPr>
          <w:color w:val="231F20"/>
          <w:w w:val="120"/>
        </w:rPr>
        <w:t>que</w:t>
      </w:r>
      <w:r>
        <w:rPr>
          <w:color w:val="231F20"/>
          <w:spacing w:val="-8"/>
          <w:w w:val="120"/>
        </w:rPr>
        <w:t> </w:t>
      </w:r>
      <w:r>
        <w:rPr>
          <w:color w:val="231F20"/>
          <w:w w:val="120"/>
        </w:rPr>
        <w:t>dans</w:t>
      </w:r>
      <w:r>
        <w:rPr>
          <w:color w:val="231F20"/>
          <w:spacing w:val="-8"/>
          <w:w w:val="120"/>
        </w:rPr>
        <w:t> </w:t>
      </w:r>
      <w:r>
        <w:rPr>
          <w:color w:val="231F20"/>
          <w:w w:val="120"/>
        </w:rPr>
        <w:t>ces</w:t>
      </w:r>
      <w:r>
        <w:rPr>
          <w:color w:val="231F20"/>
          <w:spacing w:val="-8"/>
          <w:w w:val="120"/>
        </w:rPr>
        <w:t> </w:t>
      </w:r>
      <w:r>
        <w:rPr>
          <w:color w:val="231F20"/>
          <w:w w:val="120"/>
        </w:rPr>
        <w:t>trois</w:t>
      </w:r>
      <w:r>
        <w:rPr>
          <w:color w:val="231F20"/>
          <w:spacing w:val="-8"/>
          <w:w w:val="120"/>
        </w:rPr>
        <w:t> </w:t>
      </w:r>
      <w:r>
        <w:rPr>
          <w:color w:val="231F20"/>
          <w:w w:val="120"/>
        </w:rPr>
        <w:t>cas,</w:t>
      </w:r>
      <w:r>
        <w:rPr>
          <w:color w:val="231F20"/>
          <w:spacing w:val="-8"/>
          <w:w w:val="120"/>
        </w:rPr>
        <w:t> </w:t>
      </w:r>
      <w:r>
        <w:rPr>
          <w:color w:val="231F20"/>
          <w:w w:val="120"/>
        </w:rPr>
        <w:t>l’am- </w:t>
      </w:r>
      <w:r>
        <w:rPr>
          <w:color w:val="231F20"/>
          <w:w w:val="115"/>
        </w:rPr>
        <w:t>biguïté</w:t>
      </w:r>
      <w:r>
        <w:rPr>
          <w:color w:val="231F20"/>
          <w:spacing w:val="-4"/>
          <w:w w:val="115"/>
        </w:rPr>
        <w:t> </w:t>
      </w:r>
      <w:r>
        <w:rPr>
          <w:color w:val="231F20"/>
          <w:w w:val="115"/>
        </w:rPr>
        <w:t>des</w:t>
      </w:r>
      <w:r>
        <w:rPr>
          <w:color w:val="231F20"/>
          <w:spacing w:val="-4"/>
          <w:w w:val="115"/>
        </w:rPr>
        <w:t> </w:t>
      </w:r>
      <w:r>
        <w:rPr>
          <w:color w:val="231F20"/>
          <w:w w:val="115"/>
        </w:rPr>
        <w:t>rôles</w:t>
      </w:r>
      <w:r>
        <w:rPr>
          <w:color w:val="231F20"/>
          <w:spacing w:val="-4"/>
          <w:w w:val="115"/>
        </w:rPr>
        <w:t> </w:t>
      </w:r>
      <w:r>
        <w:rPr>
          <w:color w:val="231F20"/>
          <w:w w:val="115"/>
        </w:rPr>
        <w:t>et</w:t>
      </w:r>
      <w:r>
        <w:rPr>
          <w:color w:val="231F20"/>
          <w:spacing w:val="-4"/>
          <w:w w:val="115"/>
        </w:rPr>
        <w:t> </w:t>
      </w:r>
      <w:r>
        <w:rPr>
          <w:color w:val="231F20"/>
          <w:w w:val="115"/>
        </w:rPr>
        <w:t>les</w:t>
      </w:r>
      <w:r>
        <w:rPr>
          <w:color w:val="231F20"/>
          <w:spacing w:val="-4"/>
          <w:w w:val="115"/>
        </w:rPr>
        <w:t> </w:t>
      </w:r>
      <w:r>
        <w:rPr>
          <w:color w:val="231F20"/>
          <w:w w:val="115"/>
        </w:rPr>
        <w:t>conflits</w:t>
      </w:r>
      <w:r>
        <w:rPr>
          <w:color w:val="231F20"/>
          <w:spacing w:val="-4"/>
          <w:w w:val="115"/>
        </w:rPr>
        <w:t> </w:t>
      </w:r>
      <w:r>
        <w:rPr>
          <w:color w:val="231F20"/>
          <w:w w:val="115"/>
        </w:rPr>
        <w:t>de</w:t>
      </w:r>
      <w:r>
        <w:rPr>
          <w:color w:val="231F20"/>
          <w:spacing w:val="-4"/>
          <w:w w:val="115"/>
        </w:rPr>
        <w:t> </w:t>
      </w:r>
      <w:r>
        <w:rPr>
          <w:color w:val="231F20"/>
          <w:w w:val="115"/>
        </w:rPr>
        <w:t>rôles,</w:t>
      </w:r>
      <w:r>
        <w:rPr>
          <w:color w:val="231F20"/>
          <w:spacing w:val="-4"/>
          <w:w w:val="115"/>
        </w:rPr>
        <w:t> </w:t>
      </w:r>
      <w:r>
        <w:rPr>
          <w:color w:val="231F20"/>
          <w:w w:val="115"/>
        </w:rPr>
        <w:t>la</w:t>
      </w:r>
      <w:r>
        <w:rPr>
          <w:color w:val="231F20"/>
          <w:spacing w:val="-4"/>
          <w:w w:val="115"/>
        </w:rPr>
        <w:t> </w:t>
      </w:r>
      <w:r>
        <w:rPr>
          <w:color w:val="231F20"/>
          <w:w w:val="115"/>
        </w:rPr>
        <w:t>surcharge</w:t>
      </w:r>
      <w:r>
        <w:rPr>
          <w:color w:val="231F20"/>
          <w:spacing w:val="-4"/>
          <w:w w:val="115"/>
        </w:rPr>
        <w:t> </w:t>
      </w:r>
      <w:r>
        <w:rPr>
          <w:color w:val="231F20"/>
          <w:w w:val="115"/>
        </w:rPr>
        <w:t>de</w:t>
      </w:r>
      <w:r>
        <w:rPr>
          <w:color w:val="231F20"/>
          <w:spacing w:val="-4"/>
          <w:w w:val="115"/>
        </w:rPr>
        <w:t> </w:t>
      </w:r>
      <w:r>
        <w:rPr>
          <w:color w:val="231F20"/>
          <w:w w:val="115"/>
        </w:rPr>
        <w:t>travail</w:t>
      </w:r>
      <w:r>
        <w:rPr>
          <w:color w:val="231F20"/>
          <w:spacing w:val="-4"/>
          <w:w w:val="115"/>
        </w:rPr>
        <w:t> </w:t>
      </w:r>
      <w:r>
        <w:rPr>
          <w:color w:val="231F20"/>
          <w:w w:val="115"/>
        </w:rPr>
        <w:t>ou</w:t>
      </w:r>
      <w:r>
        <w:rPr>
          <w:color w:val="231F20"/>
          <w:spacing w:val="-4"/>
          <w:w w:val="115"/>
        </w:rPr>
        <w:t> </w:t>
      </w:r>
      <w:r>
        <w:rPr>
          <w:color w:val="231F20"/>
          <w:w w:val="115"/>
        </w:rPr>
        <w:t>la</w:t>
      </w:r>
      <w:r>
        <w:rPr>
          <w:color w:val="231F20"/>
          <w:spacing w:val="-4"/>
          <w:w w:val="115"/>
        </w:rPr>
        <w:t> </w:t>
      </w:r>
      <w:r>
        <w:rPr>
          <w:color w:val="231F20"/>
          <w:w w:val="115"/>
        </w:rPr>
        <w:t>sous- </w:t>
      </w:r>
      <w:r>
        <w:rPr>
          <w:color w:val="231F20"/>
          <w:w w:val="120"/>
        </w:rPr>
        <w:t>utilisation des compétences de l’employé sont de véritables sources</w:t>
      </w:r>
      <w:r>
        <w:rPr>
          <w:color w:val="231F20"/>
          <w:spacing w:val="80"/>
          <w:w w:val="120"/>
        </w:rPr>
        <w:t> </w:t>
      </w:r>
      <w:r>
        <w:rPr>
          <w:color w:val="231F20"/>
          <w:w w:val="120"/>
        </w:rPr>
        <w:t>de stress. Il importe, dans le cadre d’un exercice de redéfinition des tâches, de considérer l’adéquation entre la personne et son emploi et d’éviter d’appliquer une approche universelle qui ne considère pas les caractéristiques des personnes qui occupent les fonctions.</w:t>
      </w:r>
    </w:p>
    <w:p>
      <w:pPr>
        <w:pStyle w:val="BodyText"/>
        <w:spacing w:before="7"/>
        <w:rPr>
          <w:sz w:val="21"/>
        </w:rPr>
      </w:pPr>
    </w:p>
    <w:p>
      <w:pPr>
        <w:pStyle w:val="BodyText"/>
        <w:spacing w:line="307" w:lineRule="auto"/>
        <w:ind w:left="830" w:right="493"/>
        <w:jc w:val="both"/>
      </w:pPr>
      <w:r>
        <w:rPr>
          <w:b/>
          <w:color w:val="231F20"/>
          <w:w w:val="110"/>
        </w:rPr>
        <w:t>Élaborer des plans de carrière plus novateurs. </w:t>
      </w:r>
      <w:r>
        <w:rPr>
          <w:color w:val="231F20"/>
          <w:w w:val="110"/>
        </w:rPr>
        <w:t>Lors de l’élaboration d’un </w:t>
      </w:r>
      <w:r>
        <w:rPr>
          <w:color w:val="231F20"/>
          <w:spacing w:val="-2"/>
          <w:w w:val="120"/>
        </w:rPr>
        <w:t>plan</w:t>
      </w:r>
      <w:r>
        <w:rPr>
          <w:color w:val="231F20"/>
          <w:spacing w:val="-8"/>
          <w:w w:val="120"/>
        </w:rPr>
        <w:t> </w:t>
      </w:r>
      <w:r>
        <w:rPr>
          <w:color w:val="231F20"/>
          <w:spacing w:val="-2"/>
          <w:w w:val="120"/>
        </w:rPr>
        <w:t>de</w:t>
      </w:r>
      <w:r>
        <w:rPr>
          <w:color w:val="231F20"/>
          <w:spacing w:val="-8"/>
          <w:w w:val="120"/>
        </w:rPr>
        <w:t> </w:t>
      </w:r>
      <w:r>
        <w:rPr>
          <w:color w:val="231F20"/>
          <w:spacing w:val="-2"/>
          <w:w w:val="120"/>
        </w:rPr>
        <w:t>carrière,</w:t>
      </w:r>
      <w:r>
        <w:rPr>
          <w:color w:val="231F20"/>
          <w:spacing w:val="-8"/>
          <w:w w:val="120"/>
        </w:rPr>
        <w:t> </w:t>
      </w:r>
      <w:r>
        <w:rPr>
          <w:color w:val="231F20"/>
          <w:spacing w:val="-2"/>
          <w:w w:val="120"/>
        </w:rPr>
        <w:t>il</w:t>
      </w:r>
      <w:r>
        <w:rPr>
          <w:color w:val="231F20"/>
          <w:spacing w:val="-8"/>
          <w:w w:val="120"/>
        </w:rPr>
        <w:t> </w:t>
      </w:r>
      <w:r>
        <w:rPr>
          <w:color w:val="231F20"/>
          <w:spacing w:val="-2"/>
          <w:w w:val="120"/>
        </w:rPr>
        <w:t>est</w:t>
      </w:r>
      <w:r>
        <w:rPr>
          <w:color w:val="231F20"/>
          <w:spacing w:val="-8"/>
          <w:w w:val="120"/>
        </w:rPr>
        <w:t> </w:t>
      </w:r>
      <w:r>
        <w:rPr>
          <w:color w:val="231F20"/>
          <w:spacing w:val="-2"/>
          <w:w w:val="120"/>
        </w:rPr>
        <w:t>essentiel</w:t>
      </w:r>
      <w:r>
        <w:rPr>
          <w:color w:val="231F20"/>
          <w:spacing w:val="-8"/>
          <w:w w:val="120"/>
        </w:rPr>
        <w:t> </w:t>
      </w:r>
      <w:r>
        <w:rPr>
          <w:color w:val="231F20"/>
          <w:spacing w:val="-2"/>
          <w:w w:val="120"/>
        </w:rPr>
        <w:t>de</w:t>
      </w:r>
      <w:r>
        <w:rPr>
          <w:color w:val="231F20"/>
          <w:spacing w:val="-8"/>
          <w:w w:val="120"/>
        </w:rPr>
        <w:t> </w:t>
      </w:r>
      <w:r>
        <w:rPr>
          <w:color w:val="231F20"/>
          <w:spacing w:val="-2"/>
          <w:w w:val="120"/>
        </w:rPr>
        <w:t>décrire</w:t>
      </w:r>
      <w:r>
        <w:rPr>
          <w:color w:val="231F20"/>
          <w:spacing w:val="-8"/>
          <w:w w:val="120"/>
        </w:rPr>
        <w:t> </w:t>
      </w:r>
      <w:r>
        <w:rPr>
          <w:color w:val="231F20"/>
          <w:spacing w:val="-2"/>
          <w:w w:val="120"/>
        </w:rPr>
        <w:t>le</w:t>
      </w:r>
      <w:r>
        <w:rPr>
          <w:color w:val="231F20"/>
          <w:spacing w:val="-8"/>
          <w:w w:val="120"/>
        </w:rPr>
        <w:t> </w:t>
      </w:r>
      <w:r>
        <w:rPr>
          <w:color w:val="231F20"/>
          <w:spacing w:val="-2"/>
          <w:w w:val="120"/>
        </w:rPr>
        <w:t>plus</w:t>
      </w:r>
      <w:r>
        <w:rPr>
          <w:color w:val="231F20"/>
          <w:spacing w:val="-8"/>
          <w:w w:val="120"/>
        </w:rPr>
        <w:t> </w:t>
      </w:r>
      <w:r>
        <w:rPr>
          <w:color w:val="231F20"/>
          <w:spacing w:val="-2"/>
          <w:w w:val="120"/>
        </w:rPr>
        <w:t>clairement</w:t>
      </w:r>
      <w:r>
        <w:rPr>
          <w:color w:val="231F20"/>
          <w:spacing w:val="-8"/>
          <w:w w:val="120"/>
        </w:rPr>
        <w:t> </w:t>
      </w:r>
      <w:r>
        <w:rPr>
          <w:color w:val="231F20"/>
          <w:spacing w:val="-2"/>
          <w:w w:val="120"/>
        </w:rPr>
        <w:t>et</w:t>
      </w:r>
      <w:r>
        <w:rPr>
          <w:color w:val="231F20"/>
          <w:spacing w:val="-8"/>
          <w:w w:val="120"/>
        </w:rPr>
        <w:t> </w:t>
      </w:r>
      <w:r>
        <w:rPr>
          <w:color w:val="231F20"/>
          <w:spacing w:val="-2"/>
          <w:w w:val="120"/>
        </w:rPr>
        <w:t>objective- </w:t>
      </w:r>
      <w:r>
        <w:rPr>
          <w:color w:val="231F20"/>
          <w:w w:val="115"/>
        </w:rPr>
        <w:t>ment</w:t>
      </w:r>
      <w:r>
        <w:rPr>
          <w:color w:val="231F20"/>
          <w:spacing w:val="-5"/>
          <w:w w:val="115"/>
        </w:rPr>
        <w:t> </w:t>
      </w:r>
      <w:r>
        <w:rPr>
          <w:color w:val="231F20"/>
          <w:w w:val="115"/>
        </w:rPr>
        <w:t>les</w:t>
      </w:r>
      <w:r>
        <w:rPr>
          <w:color w:val="231F20"/>
          <w:spacing w:val="-5"/>
          <w:w w:val="115"/>
        </w:rPr>
        <w:t> </w:t>
      </w:r>
      <w:r>
        <w:rPr>
          <w:color w:val="231F20"/>
          <w:w w:val="115"/>
        </w:rPr>
        <w:t>critères</w:t>
      </w:r>
      <w:r>
        <w:rPr>
          <w:color w:val="231F20"/>
          <w:spacing w:val="-5"/>
          <w:w w:val="115"/>
        </w:rPr>
        <w:t> </w:t>
      </w:r>
      <w:r>
        <w:rPr>
          <w:color w:val="231F20"/>
          <w:w w:val="115"/>
        </w:rPr>
        <w:t>de</w:t>
      </w:r>
      <w:r>
        <w:rPr>
          <w:color w:val="231F20"/>
          <w:spacing w:val="-5"/>
          <w:w w:val="115"/>
        </w:rPr>
        <w:t> </w:t>
      </w:r>
      <w:r>
        <w:rPr>
          <w:color w:val="231F20"/>
          <w:w w:val="115"/>
        </w:rPr>
        <w:t>cheminement</w:t>
      </w:r>
      <w:r>
        <w:rPr>
          <w:color w:val="231F20"/>
          <w:spacing w:val="-5"/>
          <w:w w:val="115"/>
        </w:rPr>
        <w:t> </w:t>
      </w:r>
      <w:r>
        <w:rPr>
          <w:color w:val="231F20"/>
          <w:w w:val="115"/>
        </w:rPr>
        <w:t>et</w:t>
      </w:r>
      <w:r>
        <w:rPr>
          <w:color w:val="231F20"/>
          <w:spacing w:val="-5"/>
          <w:w w:val="115"/>
        </w:rPr>
        <w:t> </w:t>
      </w:r>
      <w:r>
        <w:rPr>
          <w:color w:val="231F20"/>
          <w:w w:val="115"/>
        </w:rPr>
        <w:t>de</w:t>
      </w:r>
      <w:r>
        <w:rPr>
          <w:color w:val="231F20"/>
          <w:spacing w:val="-5"/>
          <w:w w:val="115"/>
        </w:rPr>
        <w:t> </w:t>
      </w:r>
      <w:r>
        <w:rPr>
          <w:color w:val="231F20"/>
          <w:w w:val="115"/>
        </w:rPr>
        <w:t>progression</w:t>
      </w:r>
      <w:r>
        <w:rPr>
          <w:color w:val="231F20"/>
          <w:spacing w:val="-5"/>
          <w:w w:val="115"/>
        </w:rPr>
        <w:t> </w:t>
      </w:r>
      <w:r>
        <w:rPr>
          <w:color w:val="231F20"/>
          <w:w w:val="115"/>
        </w:rPr>
        <w:t>professionnelle.</w:t>
      </w:r>
      <w:r>
        <w:rPr>
          <w:color w:val="231F20"/>
          <w:spacing w:val="-5"/>
          <w:w w:val="115"/>
        </w:rPr>
        <w:t> </w:t>
      </w:r>
      <w:r>
        <w:rPr>
          <w:color w:val="231F20"/>
          <w:w w:val="115"/>
        </w:rPr>
        <w:t>C’est </w:t>
      </w:r>
      <w:r>
        <w:rPr>
          <w:color w:val="231F20"/>
          <w:w w:val="120"/>
        </w:rPr>
        <w:t>à</w:t>
      </w:r>
      <w:r>
        <w:rPr>
          <w:color w:val="231F20"/>
          <w:spacing w:val="-7"/>
          <w:w w:val="120"/>
        </w:rPr>
        <w:t> </w:t>
      </w:r>
      <w:r>
        <w:rPr>
          <w:color w:val="231F20"/>
          <w:w w:val="120"/>
        </w:rPr>
        <w:t>bon</w:t>
      </w:r>
      <w:r>
        <w:rPr>
          <w:color w:val="231F20"/>
          <w:spacing w:val="-7"/>
          <w:w w:val="120"/>
        </w:rPr>
        <w:t> </w:t>
      </w:r>
      <w:r>
        <w:rPr>
          <w:color w:val="231F20"/>
          <w:w w:val="120"/>
        </w:rPr>
        <w:t>droit</w:t>
      </w:r>
      <w:r>
        <w:rPr>
          <w:color w:val="231F20"/>
          <w:spacing w:val="-7"/>
          <w:w w:val="120"/>
        </w:rPr>
        <w:t> </w:t>
      </w:r>
      <w:r>
        <w:rPr>
          <w:color w:val="231F20"/>
          <w:w w:val="120"/>
        </w:rPr>
        <w:t>qu’on</w:t>
      </w:r>
      <w:r>
        <w:rPr>
          <w:color w:val="231F20"/>
          <w:spacing w:val="-7"/>
          <w:w w:val="120"/>
        </w:rPr>
        <w:t> </w:t>
      </w:r>
      <w:r>
        <w:rPr>
          <w:color w:val="231F20"/>
          <w:w w:val="120"/>
        </w:rPr>
        <w:t>critique</w:t>
      </w:r>
      <w:r>
        <w:rPr>
          <w:color w:val="231F20"/>
          <w:spacing w:val="-7"/>
          <w:w w:val="120"/>
        </w:rPr>
        <w:t> </w:t>
      </w:r>
      <w:r>
        <w:rPr>
          <w:color w:val="231F20"/>
          <w:w w:val="120"/>
        </w:rPr>
        <w:t>les</w:t>
      </w:r>
      <w:r>
        <w:rPr>
          <w:color w:val="231F20"/>
          <w:spacing w:val="-7"/>
          <w:w w:val="120"/>
        </w:rPr>
        <w:t> </w:t>
      </w:r>
      <w:r>
        <w:rPr>
          <w:color w:val="231F20"/>
          <w:w w:val="120"/>
        </w:rPr>
        <w:t>organisations</w:t>
      </w:r>
      <w:r>
        <w:rPr>
          <w:color w:val="231F20"/>
          <w:spacing w:val="-7"/>
          <w:w w:val="120"/>
        </w:rPr>
        <w:t> </w:t>
      </w:r>
      <w:r>
        <w:rPr>
          <w:color w:val="231F20"/>
          <w:w w:val="120"/>
        </w:rPr>
        <w:t>qui</w:t>
      </w:r>
      <w:r>
        <w:rPr>
          <w:color w:val="231F20"/>
          <w:spacing w:val="-7"/>
          <w:w w:val="120"/>
        </w:rPr>
        <w:t> </w:t>
      </w:r>
      <w:r>
        <w:rPr>
          <w:color w:val="231F20"/>
          <w:w w:val="120"/>
        </w:rPr>
        <w:t>négligent</w:t>
      </w:r>
      <w:r>
        <w:rPr>
          <w:color w:val="231F20"/>
          <w:spacing w:val="-7"/>
          <w:w w:val="120"/>
        </w:rPr>
        <w:t> </w:t>
      </w:r>
      <w:r>
        <w:rPr>
          <w:color w:val="231F20"/>
          <w:w w:val="120"/>
        </w:rPr>
        <w:t>de</w:t>
      </w:r>
      <w:r>
        <w:rPr>
          <w:color w:val="231F20"/>
          <w:spacing w:val="-7"/>
          <w:w w:val="120"/>
        </w:rPr>
        <w:t> </w:t>
      </w:r>
      <w:r>
        <w:rPr>
          <w:color w:val="231F20"/>
          <w:w w:val="120"/>
        </w:rPr>
        <w:t>définir</w:t>
      </w:r>
      <w:r>
        <w:rPr>
          <w:color w:val="231F20"/>
          <w:spacing w:val="-7"/>
          <w:w w:val="120"/>
        </w:rPr>
        <w:t> </w:t>
      </w:r>
      <w:r>
        <w:rPr>
          <w:color w:val="231F20"/>
          <w:w w:val="120"/>
        </w:rPr>
        <w:t>des </w:t>
      </w:r>
      <w:r>
        <w:rPr>
          <w:color w:val="231F20"/>
          <w:w w:val="115"/>
        </w:rPr>
        <w:t>plans</w:t>
      </w:r>
      <w:r>
        <w:rPr>
          <w:color w:val="231F20"/>
          <w:spacing w:val="-5"/>
          <w:w w:val="115"/>
        </w:rPr>
        <w:t> </w:t>
      </w:r>
      <w:r>
        <w:rPr>
          <w:color w:val="231F20"/>
          <w:w w:val="115"/>
        </w:rPr>
        <w:t>de</w:t>
      </w:r>
      <w:r>
        <w:rPr>
          <w:color w:val="231F20"/>
          <w:spacing w:val="-5"/>
          <w:w w:val="115"/>
        </w:rPr>
        <w:t> </w:t>
      </w:r>
      <w:r>
        <w:rPr>
          <w:color w:val="231F20"/>
          <w:w w:val="115"/>
        </w:rPr>
        <w:t>carrière.</w:t>
      </w:r>
      <w:r>
        <w:rPr>
          <w:color w:val="231F20"/>
          <w:spacing w:val="-5"/>
          <w:w w:val="115"/>
        </w:rPr>
        <w:t> </w:t>
      </w:r>
      <w:r>
        <w:rPr>
          <w:color w:val="231F20"/>
          <w:w w:val="115"/>
        </w:rPr>
        <w:t>Pourtant,</w:t>
      </w:r>
      <w:r>
        <w:rPr>
          <w:color w:val="231F20"/>
          <w:spacing w:val="-5"/>
          <w:w w:val="115"/>
        </w:rPr>
        <w:t> </w:t>
      </w:r>
      <w:r>
        <w:rPr>
          <w:color w:val="231F20"/>
          <w:w w:val="115"/>
        </w:rPr>
        <w:t>aucune</w:t>
      </w:r>
      <w:r>
        <w:rPr>
          <w:color w:val="231F20"/>
          <w:spacing w:val="-5"/>
          <w:w w:val="115"/>
        </w:rPr>
        <w:t> </w:t>
      </w:r>
      <w:r>
        <w:rPr>
          <w:color w:val="231F20"/>
          <w:w w:val="115"/>
        </w:rPr>
        <w:t>d’entre</w:t>
      </w:r>
      <w:r>
        <w:rPr>
          <w:color w:val="231F20"/>
          <w:spacing w:val="-5"/>
          <w:w w:val="115"/>
        </w:rPr>
        <w:t> </w:t>
      </w:r>
      <w:r>
        <w:rPr>
          <w:color w:val="231F20"/>
          <w:w w:val="115"/>
        </w:rPr>
        <w:t>elles</w:t>
      </w:r>
      <w:r>
        <w:rPr>
          <w:color w:val="231F20"/>
          <w:spacing w:val="-5"/>
          <w:w w:val="115"/>
        </w:rPr>
        <w:t> </w:t>
      </w:r>
      <w:r>
        <w:rPr>
          <w:color w:val="231F20"/>
          <w:w w:val="115"/>
        </w:rPr>
        <w:t>n’oserait</w:t>
      </w:r>
      <w:r>
        <w:rPr>
          <w:color w:val="231F20"/>
          <w:spacing w:val="-5"/>
          <w:w w:val="115"/>
        </w:rPr>
        <w:t> </w:t>
      </w:r>
      <w:r>
        <w:rPr>
          <w:color w:val="231F20"/>
          <w:w w:val="115"/>
        </w:rPr>
        <w:t>s’abstenir</w:t>
      </w:r>
      <w:r>
        <w:rPr>
          <w:color w:val="231F20"/>
          <w:spacing w:val="-5"/>
          <w:w w:val="115"/>
        </w:rPr>
        <w:t> </w:t>
      </w:r>
      <w:r>
        <w:rPr>
          <w:color w:val="231F20"/>
          <w:w w:val="115"/>
        </w:rPr>
        <w:t>d’éla- </w:t>
      </w:r>
      <w:r>
        <w:rPr>
          <w:color w:val="231F20"/>
          <w:w w:val="120"/>
        </w:rPr>
        <w:t>borer son plan financier ou de production. La possibilité pour les tra- vailleurs</w:t>
      </w:r>
      <w:r>
        <w:rPr>
          <w:color w:val="231F20"/>
          <w:spacing w:val="-9"/>
          <w:w w:val="120"/>
        </w:rPr>
        <w:t> </w:t>
      </w:r>
      <w:r>
        <w:rPr>
          <w:color w:val="231F20"/>
          <w:w w:val="120"/>
        </w:rPr>
        <w:t>de</w:t>
      </w:r>
      <w:r>
        <w:rPr>
          <w:color w:val="231F20"/>
          <w:spacing w:val="-9"/>
          <w:w w:val="120"/>
        </w:rPr>
        <w:t> </w:t>
      </w:r>
      <w:r>
        <w:rPr>
          <w:color w:val="231F20"/>
          <w:w w:val="120"/>
        </w:rPr>
        <w:t>planifier</w:t>
      </w:r>
      <w:r>
        <w:rPr>
          <w:color w:val="231F20"/>
          <w:spacing w:val="-9"/>
          <w:w w:val="120"/>
        </w:rPr>
        <w:t> </w:t>
      </w:r>
      <w:r>
        <w:rPr>
          <w:color w:val="231F20"/>
          <w:w w:val="120"/>
        </w:rPr>
        <w:t>leur</w:t>
      </w:r>
      <w:r>
        <w:rPr>
          <w:color w:val="231F20"/>
          <w:spacing w:val="-9"/>
          <w:w w:val="120"/>
        </w:rPr>
        <w:t> </w:t>
      </w:r>
      <w:r>
        <w:rPr>
          <w:color w:val="231F20"/>
          <w:w w:val="120"/>
        </w:rPr>
        <w:t>carrière</w:t>
      </w:r>
      <w:r>
        <w:rPr>
          <w:color w:val="231F20"/>
          <w:spacing w:val="-9"/>
          <w:w w:val="120"/>
        </w:rPr>
        <w:t> </w:t>
      </w:r>
      <w:r>
        <w:rPr>
          <w:color w:val="231F20"/>
          <w:w w:val="120"/>
        </w:rPr>
        <w:t>sans</w:t>
      </w:r>
      <w:r>
        <w:rPr>
          <w:color w:val="231F20"/>
          <w:spacing w:val="-9"/>
          <w:w w:val="120"/>
        </w:rPr>
        <w:t> </w:t>
      </w:r>
      <w:r>
        <w:rPr>
          <w:color w:val="231F20"/>
          <w:w w:val="120"/>
        </w:rPr>
        <w:t>ambiguïté</w:t>
      </w:r>
      <w:r>
        <w:rPr>
          <w:color w:val="231F20"/>
          <w:spacing w:val="-9"/>
          <w:w w:val="120"/>
        </w:rPr>
        <w:t> </w:t>
      </w:r>
      <w:r>
        <w:rPr>
          <w:color w:val="231F20"/>
          <w:w w:val="120"/>
        </w:rPr>
        <w:t>réduit</w:t>
      </w:r>
      <w:r>
        <w:rPr>
          <w:color w:val="231F20"/>
          <w:spacing w:val="-9"/>
          <w:w w:val="120"/>
        </w:rPr>
        <w:t> </w:t>
      </w:r>
      <w:r>
        <w:rPr>
          <w:color w:val="231F20"/>
          <w:w w:val="120"/>
        </w:rPr>
        <w:t>de</w:t>
      </w:r>
      <w:r>
        <w:rPr>
          <w:color w:val="231F20"/>
          <w:spacing w:val="-9"/>
          <w:w w:val="120"/>
        </w:rPr>
        <w:t> </w:t>
      </w:r>
      <w:r>
        <w:rPr>
          <w:color w:val="231F20"/>
          <w:w w:val="120"/>
        </w:rPr>
        <w:t>beaucoup</w:t>
      </w:r>
      <w:r>
        <w:rPr>
          <w:color w:val="231F20"/>
          <w:spacing w:val="-9"/>
          <w:w w:val="120"/>
        </w:rPr>
        <w:t> </w:t>
      </w:r>
      <w:r>
        <w:rPr>
          <w:color w:val="231F20"/>
          <w:w w:val="120"/>
        </w:rPr>
        <w:t>le </w:t>
      </w:r>
      <w:r>
        <w:rPr>
          <w:color w:val="231F20"/>
          <w:w w:val="115"/>
        </w:rPr>
        <w:t>niveau</w:t>
      </w:r>
      <w:r>
        <w:rPr>
          <w:color w:val="231F20"/>
          <w:spacing w:val="-1"/>
          <w:w w:val="115"/>
        </w:rPr>
        <w:t> </w:t>
      </w:r>
      <w:r>
        <w:rPr>
          <w:color w:val="231F20"/>
          <w:w w:val="115"/>
        </w:rPr>
        <w:t>de</w:t>
      </w:r>
      <w:r>
        <w:rPr>
          <w:color w:val="231F20"/>
          <w:spacing w:val="-1"/>
          <w:w w:val="115"/>
        </w:rPr>
        <w:t> </w:t>
      </w:r>
      <w:r>
        <w:rPr>
          <w:color w:val="231F20"/>
          <w:w w:val="115"/>
        </w:rPr>
        <w:t>stress</w:t>
      </w:r>
      <w:r>
        <w:rPr>
          <w:color w:val="231F20"/>
          <w:spacing w:val="-1"/>
          <w:w w:val="115"/>
        </w:rPr>
        <w:t> </w:t>
      </w:r>
      <w:r>
        <w:rPr>
          <w:color w:val="231F20"/>
          <w:w w:val="115"/>
        </w:rPr>
        <w:t>qui</w:t>
      </w:r>
      <w:r>
        <w:rPr>
          <w:color w:val="231F20"/>
          <w:spacing w:val="-1"/>
          <w:w w:val="115"/>
        </w:rPr>
        <w:t> </w:t>
      </w:r>
      <w:r>
        <w:rPr>
          <w:color w:val="231F20"/>
          <w:w w:val="115"/>
        </w:rPr>
        <w:t>prévaut</w:t>
      </w:r>
      <w:r>
        <w:rPr>
          <w:color w:val="231F20"/>
          <w:spacing w:val="-1"/>
          <w:w w:val="115"/>
        </w:rPr>
        <w:t> </w:t>
      </w:r>
      <w:r>
        <w:rPr>
          <w:color w:val="231F20"/>
          <w:w w:val="115"/>
        </w:rPr>
        <w:t>dans</w:t>
      </w:r>
      <w:r>
        <w:rPr>
          <w:color w:val="231F20"/>
          <w:spacing w:val="-1"/>
          <w:w w:val="115"/>
        </w:rPr>
        <w:t> </w:t>
      </w:r>
      <w:r>
        <w:rPr>
          <w:color w:val="231F20"/>
          <w:w w:val="115"/>
        </w:rPr>
        <w:t>l’organisation.</w:t>
      </w:r>
      <w:r>
        <w:rPr>
          <w:color w:val="231F20"/>
          <w:spacing w:val="-1"/>
          <w:w w:val="115"/>
        </w:rPr>
        <w:t> </w:t>
      </w:r>
      <w:r>
        <w:rPr>
          <w:color w:val="231F20"/>
          <w:w w:val="115"/>
        </w:rPr>
        <w:t>Si</w:t>
      </w:r>
      <w:r>
        <w:rPr>
          <w:color w:val="231F20"/>
          <w:spacing w:val="-1"/>
          <w:w w:val="115"/>
        </w:rPr>
        <w:t> </w:t>
      </w:r>
      <w:r>
        <w:rPr>
          <w:color w:val="231F20"/>
          <w:w w:val="115"/>
        </w:rPr>
        <w:t>les</w:t>
      </w:r>
      <w:r>
        <w:rPr>
          <w:color w:val="231F20"/>
          <w:spacing w:val="-1"/>
          <w:w w:val="115"/>
        </w:rPr>
        <w:t> </w:t>
      </w:r>
      <w:r>
        <w:rPr>
          <w:color w:val="231F20"/>
          <w:w w:val="115"/>
        </w:rPr>
        <w:t>critères</w:t>
      </w:r>
      <w:r>
        <w:rPr>
          <w:color w:val="231F20"/>
          <w:spacing w:val="-1"/>
          <w:w w:val="115"/>
        </w:rPr>
        <w:t> </w:t>
      </w:r>
      <w:r>
        <w:rPr>
          <w:color w:val="231F20"/>
          <w:w w:val="115"/>
        </w:rPr>
        <w:t>de</w:t>
      </w:r>
      <w:r>
        <w:rPr>
          <w:color w:val="231F20"/>
          <w:spacing w:val="-1"/>
          <w:w w:val="115"/>
        </w:rPr>
        <w:t> </w:t>
      </w:r>
      <w:r>
        <w:rPr>
          <w:color w:val="231F20"/>
          <w:w w:val="115"/>
        </w:rPr>
        <w:t>promo- </w:t>
      </w:r>
      <w:r>
        <w:rPr>
          <w:color w:val="231F20"/>
          <w:w w:val="120"/>
        </w:rPr>
        <w:t>tion sont clairement établis et que chaque personne sait ce qu’elle doit faire pour progresser au sein de l’organisation, le risque de stress sera réduit.</w:t>
      </w:r>
      <w:r>
        <w:rPr>
          <w:color w:val="231F20"/>
          <w:spacing w:val="-11"/>
          <w:w w:val="120"/>
        </w:rPr>
        <w:t> </w:t>
      </w:r>
      <w:r>
        <w:rPr>
          <w:color w:val="231F20"/>
          <w:w w:val="120"/>
        </w:rPr>
        <w:t>La</w:t>
      </w:r>
      <w:r>
        <w:rPr>
          <w:color w:val="231F20"/>
          <w:spacing w:val="-11"/>
          <w:w w:val="120"/>
        </w:rPr>
        <w:t> </w:t>
      </w:r>
      <w:r>
        <w:rPr>
          <w:color w:val="231F20"/>
          <w:w w:val="120"/>
        </w:rPr>
        <w:t>direction</w:t>
      </w:r>
      <w:r>
        <w:rPr>
          <w:color w:val="231F20"/>
          <w:spacing w:val="-11"/>
          <w:w w:val="120"/>
        </w:rPr>
        <w:t> </w:t>
      </w:r>
      <w:r>
        <w:rPr>
          <w:color w:val="231F20"/>
          <w:w w:val="120"/>
        </w:rPr>
        <w:t>des</w:t>
      </w:r>
      <w:r>
        <w:rPr>
          <w:color w:val="231F20"/>
          <w:spacing w:val="-11"/>
          <w:w w:val="120"/>
        </w:rPr>
        <w:t> </w:t>
      </w:r>
      <w:r>
        <w:rPr>
          <w:color w:val="231F20"/>
          <w:w w:val="120"/>
        </w:rPr>
        <w:t>ressources</w:t>
      </w:r>
      <w:r>
        <w:rPr>
          <w:color w:val="231F20"/>
          <w:spacing w:val="-11"/>
          <w:w w:val="120"/>
        </w:rPr>
        <w:t> </w:t>
      </w:r>
      <w:r>
        <w:rPr>
          <w:color w:val="231F20"/>
          <w:w w:val="120"/>
        </w:rPr>
        <w:t>humaines</w:t>
      </w:r>
      <w:r>
        <w:rPr>
          <w:color w:val="231F20"/>
          <w:spacing w:val="-11"/>
          <w:w w:val="120"/>
        </w:rPr>
        <w:t> </w:t>
      </w:r>
      <w:r>
        <w:rPr>
          <w:color w:val="231F20"/>
          <w:w w:val="120"/>
        </w:rPr>
        <w:t>doit</w:t>
      </w:r>
      <w:r>
        <w:rPr>
          <w:color w:val="231F20"/>
          <w:spacing w:val="-11"/>
          <w:w w:val="120"/>
        </w:rPr>
        <w:t> </w:t>
      </w:r>
      <w:r>
        <w:rPr>
          <w:color w:val="231F20"/>
          <w:w w:val="120"/>
        </w:rPr>
        <w:t>s’efforcer</w:t>
      </w:r>
      <w:r>
        <w:rPr>
          <w:color w:val="231F20"/>
          <w:spacing w:val="-9"/>
          <w:w w:val="120"/>
        </w:rPr>
        <w:t> </w:t>
      </w:r>
      <w:r>
        <w:rPr>
          <w:color w:val="231F20"/>
          <w:w w:val="120"/>
        </w:rPr>
        <w:t>d’offrir</w:t>
      </w:r>
      <w:r>
        <w:rPr>
          <w:color w:val="231F20"/>
          <w:spacing w:val="-11"/>
          <w:w w:val="120"/>
        </w:rPr>
        <w:t> </w:t>
      </w:r>
      <w:r>
        <w:rPr>
          <w:color w:val="231F20"/>
          <w:w w:val="120"/>
        </w:rPr>
        <w:t>des profils de carrière individualisés comprenant aussi bien des mobilités horizontales que des promotions verticales.</w:t>
      </w:r>
    </w:p>
    <w:p>
      <w:pPr>
        <w:pStyle w:val="BodyText"/>
        <w:spacing w:before="6"/>
        <w:rPr>
          <w:sz w:val="21"/>
        </w:rPr>
      </w:pPr>
    </w:p>
    <w:p>
      <w:pPr>
        <w:pStyle w:val="BodyText"/>
        <w:spacing w:line="307" w:lineRule="auto" w:before="1"/>
        <w:ind w:left="830" w:right="495"/>
        <w:jc w:val="both"/>
      </w:pPr>
      <w:r>
        <w:rPr>
          <w:b/>
          <w:color w:val="231F20"/>
          <w:spacing w:val="-4"/>
          <w:w w:val="115"/>
        </w:rPr>
        <w:t>Soutenir</w:t>
      </w:r>
      <w:r>
        <w:rPr>
          <w:b/>
          <w:color w:val="231F20"/>
          <w:spacing w:val="-6"/>
          <w:w w:val="115"/>
        </w:rPr>
        <w:t> </w:t>
      </w:r>
      <w:r>
        <w:rPr>
          <w:b/>
          <w:color w:val="231F20"/>
          <w:spacing w:val="-4"/>
          <w:w w:val="115"/>
        </w:rPr>
        <w:t>les</w:t>
      </w:r>
      <w:r>
        <w:rPr>
          <w:b/>
          <w:color w:val="231F20"/>
          <w:spacing w:val="-6"/>
          <w:w w:val="115"/>
        </w:rPr>
        <w:t> </w:t>
      </w:r>
      <w:r>
        <w:rPr>
          <w:b/>
          <w:color w:val="231F20"/>
          <w:spacing w:val="-4"/>
          <w:w w:val="115"/>
        </w:rPr>
        <w:t>compétences</w:t>
      </w:r>
      <w:r>
        <w:rPr>
          <w:b/>
          <w:color w:val="231F20"/>
          <w:spacing w:val="-6"/>
          <w:w w:val="115"/>
        </w:rPr>
        <w:t> </w:t>
      </w:r>
      <w:r>
        <w:rPr>
          <w:b/>
          <w:color w:val="231F20"/>
          <w:spacing w:val="-4"/>
          <w:w w:val="115"/>
        </w:rPr>
        <w:t>par</w:t>
      </w:r>
      <w:r>
        <w:rPr>
          <w:b/>
          <w:color w:val="231F20"/>
          <w:spacing w:val="-6"/>
          <w:w w:val="115"/>
        </w:rPr>
        <w:t> </w:t>
      </w:r>
      <w:r>
        <w:rPr>
          <w:b/>
          <w:color w:val="231F20"/>
          <w:spacing w:val="-4"/>
          <w:w w:val="115"/>
        </w:rPr>
        <w:t>la</w:t>
      </w:r>
      <w:r>
        <w:rPr>
          <w:b/>
          <w:color w:val="231F20"/>
          <w:spacing w:val="-6"/>
          <w:w w:val="115"/>
        </w:rPr>
        <w:t> </w:t>
      </w:r>
      <w:r>
        <w:rPr>
          <w:b/>
          <w:color w:val="231F20"/>
          <w:spacing w:val="-4"/>
          <w:w w:val="115"/>
        </w:rPr>
        <w:t>formation</w:t>
      </w:r>
      <w:r>
        <w:rPr>
          <w:b/>
          <w:color w:val="231F20"/>
          <w:spacing w:val="-6"/>
          <w:w w:val="115"/>
        </w:rPr>
        <w:t> </w:t>
      </w:r>
      <w:r>
        <w:rPr>
          <w:b/>
          <w:color w:val="231F20"/>
          <w:spacing w:val="-4"/>
          <w:w w:val="115"/>
        </w:rPr>
        <w:t>du</w:t>
      </w:r>
      <w:r>
        <w:rPr>
          <w:b/>
          <w:color w:val="231F20"/>
          <w:spacing w:val="-6"/>
          <w:w w:val="115"/>
        </w:rPr>
        <w:t> </w:t>
      </w:r>
      <w:r>
        <w:rPr>
          <w:b/>
          <w:color w:val="231F20"/>
          <w:spacing w:val="-4"/>
          <w:w w:val="115"/>
        </w:rPr>
        <w:t>personnel. </w:t>
      </w:r>
      <w:r>
        <w:rPr>
          <w:color w:val="231F20"/>
          <w:spacing w:val="-4"/>
          <w:w w:val="115"/>
        </w:rPr>
        <w:t>Il faut maintenir </w:t>
      </w:r>
      <w:r>
        <w:rPr>
          <w:color w:val="231F20"/>
          <w:w w:val="120"/>
        </w:rPr>
        <w:t>à jour et développer les compétences des employés. Cette pratique se </w:t>
      </w:r>
      <w:r>
        <w:rPr>
          <w:color w:val="231F20"/>
          <w:spacing w:val="-2"/>
          <w:w w:val="120"/>
        </w:rPr>
        <w:t>justifie,</w:t>
      </w:r>
      <w:r>
        <w:rPr>
          <w:color w:val="231F20"/>
          <w:spacing w:val="-7"/>
          <w:w w:val="120"/>
        </w:rPr>
        <w:t> </w:t>
      </w:r>
      <w:r>
        <w:rPr>
          <w:color w:val="231F20"/>
          <w:spacing w:val="-2"/>
          <w:w w:val="120"/>
        </w:rPr>
        <w:t>car</w:t>
      </w:r>
      <w:r>
        <w:rPr>
          <w:color w:val="231F20"/>
          <w:spacing w:val="-8"/>
          <w:w w:val="120"/>
        </w:rPr>
        <w:t> </w:t>
      </w:r>
      <w:r>
        <w:rPr>
          <w:color w:val="231F20"/>
          <w:spacing w:val="-2"/>
          <w:w w:val="120"/>
        </w:rPr>
        <w:t>sans</w:t>
      </w:r>
      <w:r>
        <w:rPr>
          <w:color w:val="231F20"/>
          <w:spacing w:val="-7"/>
          <w:w w:val="120"/>
        </w:rPr>
        <w:t> </w:t>
      </w:r>
      <w:r>
        <w:rPr>
          <w:color w:val="231F20"/>
          <w:spacing w:val="-2"/>
          <w:w w:val="120"/>
        </w:rPr>
        <w:t>formation</w:t>
      </w:r>
      <w:r>
        <w:rPr>
          <w:color w:val="231F20"/>
          <w:spacing w:val="-8"/>
          <w:w w:val="120"/>
        </w:rPr>
        <w:t> </w:t>
      </w:r>
      <w:r>
        <w:rPr>
          <w:color w:val="231F20"/>
          <w:spacing w:val="-2"/>
          <w:w w:val="120"/>
        </w:rPr>
        <w:t>continue,</w:t>
      </w:r>
      <w:r>
        <w:rPr>
          <w:color w:val="231F20"/>
          <w:spacing w:val="-7"/>
          <w:w w:val="120"/>
        </w:rPr>
        <w:t> </w:t>
      </w:r>
      <w:r>
        <w:rPr>
          <w:color w:val="231F20"/>
          <w:spacing w:val="-2"/>
          <w:w w:val="120"/>
        </w:rPr>
        <w:t>l’individu</w:t>
      </w:r>
      <w:r>
        <w:rPr>
          <w:color w:val="231F20"/>
          <w:spacing w:val="-8"/>
          <w:w w:val="120"/>
        </w:rPr>
        <w:t> </w:t>
      </w:r>
      <w:r>
        <w:rPr>
          <w:color w:val="231F20"/>
          <w:spacing w:val="-2"/>
          <w:w w:val="120"/>
        </w:rPr>
        <w:t>en</w:t>
      </w:r>
      <w:r>
        <w:rPr>
          <w:color w:val="231F20"/>
          <w:spacing w:val="-7"/>
          <w:w w:val="120"/>
        </w:rPr>
        <w:t> </w:t>
      </w:r>
      <w:r>
        <w:rPr>
          <w:color w:val="231F20"/>
          <w:spacing w:val="-2"/>
          <w:w w:val="120"/>
        </w:rPr>
        <w:t>viendra</w:t>
      </w:r>
      <w:r>
        <w:rPr>
          <w:color w:val="231F20"/>
          <w:spacing w:val="-8"/>
          <w:w w:val="120"/>
        </w:rPr>
        <w:t> </w:t>
      </w:r>
      <w:r>
        <w:rPr>
          <w:color w:val="231F20"/>
          <w:spacing w:val="-2"/>
          <w:w w:val="120"/>
        </w:rPr>
        <w:t>à</w:t>
      </w:r>
      <w:r>
        <w:rPr>
          <w:color w:val="231F20"/>
          <w:spacing w:val="-7"/>
          <w:w w:val="120"/>
        </w:rPr>
        <w:t> </w:t>
      </w:r>
      <w:r>
        <w:rPr>
          <w:color w:val="231F20"/>
          <w:spacing w:val="-2"/>
          <w:w w:val="120"/>
        </w:rPr>
        <w:t>douter</w:t>
      </w:r>
      <w:r>
        <w:rPr>
          <w:color w:val="231F20"/>
          <w:spacing w:val="-8"/>
          <w:w w:val="120"/>
        </w:rPr>
        <w:t> </w:t>
      </w:r>
      <w:r>
        <w:rPr>
          <w:color w:val="231F20"/>
          <w:spacing w:val="-2"/>
          <w:w w:val="120"/>
        </w:rPr>
        <w:t>de</w:t>
      </w:r>
      <w:r>
        <w:rPr>
          <w:color w:val="231F20"/>
          <w:spacing w:val="-7"/>
          <w:w w:val="120"/>
        </w:rPr>
        <w:t> </w:t>
      </w:r>
      <w:r>
        <w:rPr>
          <w:color w:val="231F20"/>
          <w:spacing w:val="-2"/>
          <w:w w:val="120"/>
        </w:rPr>
        <w:t>sa </w:t>
      </w:r>
      <w:r>
        <w:rPr>
          <w:color w:val="231F20"/>
          <w:w w:val="115"/>
        </w:rPr>
        <w:t>capacité</w:t>
      </w:r>
      <w:r>
        <w:rPr>
          <w:color w:val="231F20"/>
          <w:spacing w:val="-5"/>
          <w:w w:val="115"/>
        </w:rPr>
        <w:t> </w:t>
      </w:r>
      <w:r>
        <w:rPr>
          <w:color w:val="231F20"/>
          <w:w w:val="115"/>
        </w:rPr>
        <w:t>à</w:t>
      </w:r>
      <w:r>
        <w:rPr>
          <w:color w:val="231F20"/>
          <w:spacing w:val="-5"/>
          <w:w w:val="115"/>
        </w:rPr>
        <w:t> </w:t>
      </w:r>
      <w:r>
        <w:rPr>
          <w:color w:val="231F20"/>
          <w:w w:val="115"/>
        </w:rPr>
        <w:t>bien</w:t>
      </w:r>
      <w:r>
        <w:rPr>
          <w:color w:val="231F20"/>
          <w:spacing w:val="-5"/>
          <w:w w:val="115"/>
        </w:rPr>
        <w:t> </w:t>
      </w:r>
      <w:r>
        <w:rPr>
          <w:color w:val="231F20"/>
          <w:w w:val="115"/>
        </w:rPr>
        <w:t>effectuer</w:t>
      </w:r>
      <w:r>
        <w:rPr>
          <w:color w:val="231F20"/>
          <w:spacing w:val="-5"/>
          <w:w w:val="115"/>
        </w:rPr>
        <w:t> </w:t>
      </w:r>
      <w:r>
        <w:rPr>
          <w:color w:val="231F20"/>
          <w:w w:val="115"/>
        </w:rPr>
        <w:t>son</w:t>
      </w:r>
      <w:r>
        <w:rPr>
          <w:color w:val="231F20"/>
          <w:spacing w:val="-5"/>
          <w:w w:val="115"/>
        </w:rPr>
        <w:t> </w:t>
      </w:r>
      <w:r>
        <w:rPr>
          <w:color w:val="231F20"/>
          <w:w w:val="115"/>
        </w:rPr>
        <w:t>travail.</w:t>
      </w:r>
      <w:r>
        <w:rPr>
          <w:color w:val="231F20"/>
          <w:spacing w:val="-5"/>
          <w:w w:val="115"/>
        </w:rPr>
        <w:t> </w:t>
      </w:r>
      <w:r>
        <w:rPr>
          <w:color w:val="231F20"/>
          <w:w w:val="115"/>
        </w:rPr>
        <w:t>Cela</w:t>
      </w:r>
      <w:r>
        <w:rPr>
          <w:color w:val="231F20"/>
          <w:spacing w:val="-5"/>
          <w:w w:val="115"/>
        </w:rPr>
        <w:t> </w:t>
      </w:r>
      <w:r>
        <w:rPr>
          <w:color w:val="231F20"/>
          <w:w w:val="115"/>
        </w:rPr>
        <w:t>prend</w:t>
      </w:r>
      <w:r>
        <w:rPr>
          <w:color w:val="231F20"/>
          <w:spacing w:val="-5"/>
          <w:w w:val="115"/>
        </w:rPr>
        <w:t> </w:t>
      </w:r>
      <w:r>
        <w:rPr>
          <w:color w:val="231F20"/>
          <w:w w:val="115"/>
        </w:rPr>
        <w:t>encore</w:t>
      </w:r>
      <w:r>
        <w:rPr>
          <w:color w:val="231F20"/>
          <w:spacing w:val="-5"/>
          <w:w w:val="115"/>
        </w:rPr>
        <w:t> </w:t>
      </w:r>
      <w:r>
        <w:rPr>
          <w:color w:val="231F20"/>
          <w:w w:val="115"/>
        </w:rPr>
        <w:t>plus</w:t>
      </w:r>
      <w:r>
        <w:rPr>
          <w:color w:val="231F20"/>
          <w:spacing w:val="-5"/>
          <w:w w:val="115"/>
        </w:rPr>
        <w:t> </w:t>
      </w:r>
      <w:r>
        <w:rPr>
          <w:color w:val="231F20"/>
          <w:w w:val="115"/>
        </w:rPr>
        <w:t>d’importance </w:t>
      </w:r>
      <w:r>
        <w:rPr>
          <w:color w:val="231F20"/>
          <w:spacing w:val="-2"/>
          <w:w w:val="120"/>
        </w:rPr>
        <w:t>lorsque</w:t>
      </w:r>
      <w:r>
        <w:rPr>
          <w:color w:val="231F20"/>
          <w:spacing w:val="-9"/>
          <w:w w:val="120"/>
        </w:rPr>
        <w:t> </w:t>
      </w:r>
      <w:r>
        <w:rPr>
          <w:color w:val="231F20"/>
          <w:spacing w:val="-2"/>
          <w:w w:val="120"/>
        </w:rPr>
        <w:t>le</w:t>
      </w:r>
      <w:r>
        <w:rPr>
          <w:color w:val="231F20"/>
          <w:spacing w:val="-9"/>
          <w:w w:val="120"/>
        </w:rPr>
        <w:t> </w:t>
      </w:r>
      <w:r>
        <w:rPr>
          <w:color w:val="231F20"/>
          <w:spacing w:val="-2"/>
          <w:w w:val="120"/>
        </w:rPr>
        <w:t>travailleur</w:t>
      </w:r>
      <w:r>
        <w:rPr>
          <w:color w:val="231F20"/>
          <w:spacing w:val="-9"/>
          <w:w w:val="120"/>
        </w:rPr>
        <w:t> </w:t>
      </w:r>
      <w:r>
        <w:rPr>
          <w:color w:val="231F20"/>
          <w:spacing w:val="-2"/>
          <w:w w:val="120"/>
        </w:rPr>
        <w:t>est</w:t>
      </w:r>
      <w:r>
        <w:rPr>
          <w:color w:val="231F20"/>
          <w:spacing w:val="-10"/>
          <w:w w:val="120"/>
        </w:rPr>
        <w:t> </w:t>
      </w:r>
      <w:r>
        <w:rPr>
          <w:color w:val="231F20"/>
          <w:spacing w:val="-2"/>
          <w:w w:val="120"/>
        </w:rPr>
        <w:t>très</w:t>
      </w:r>
      <w:r>
        <w:rPr>
          <w:color w:val="231F20"/>
          <w:spacing w:val="-9"/>
          <w:w w:val="120"/>
        </w:rPr>
        <w:t> </w:t>
      </w:r>
      <w:r>
        <w:rPr>
          <w:color w:val="231F20"/>
          <w:spacing w:val="-2"/>
          <w:w w:val="120"/>
        </w:rPr>
        <w:t>spécialisé</w:t>
      </w:r>
      <w:r>
        <w:rPr>
          <w:color w:val="231F20"/>
          <w:spacing w:val="-9"/>
          <w:w w:val="120"/>
        </w:rPr>
        <w:t> </w:t>
      </w:r>
      <w:r>
        <w:rPr>
          <w:color w:val="231F20"/>
          <w:spacing w:val="-2"/>
          <w:w w:val="120"/>
        </w:rPr>
        <w:t>et</w:t>
      </w:r>
      <w:r>
        <w:rPr>
          <w:color w:val="231F20"/>
          <w:spacing w:val="-9"/>
          <w:w w:val="120"/>
        </w:rPr>
        <w:t> </w:t>
      </w:r>
      <w:r>
        <w:rPr>
          <w:color w:val="231F20"/>
          <w:spacing w:val="-2"/>
          <w:w w:val="120"/>
        </w:rPr>
        <w:t>qu’il</w:t>
      </w:r>
      <w:r>
        <w:rPr>
          <w:color w:val="231F20"/>
          <w:spacing w:val="-9"/>
          <w:w w:val="120"/>
        </w:rPr>
        <w:t> </w:t>
      </w:r>
      <w:r>
        <w:rPr>
          <w:color w:val="231F20"/>
          <w:spacing w:val="-2"/>
          <w:w w:val="120"/>
        </w:rPr>
        <w:t>travaille</w:t>
      </w:r>
      <w:r>
        <w:rPr>
          <w:color w:val="231F20"/>
          <w:spacing w:val="-10"/>
          <w:w w:val="120"/>
        </w:rPr>
        <w:t> </w:t>
      </w:r>
      <w:r>
        <w:rPr>
          <w:color w:val="231F20"/>
          <w:spacing w:val="-2"/>
          <w:w w:val="120"/>
        </w:rPr>
        <w:t>dans</w:t>
      </w:r>
      <w:r>
        <w:rPr>
          <w:color w:val="231F20"/>
          <w:spacing w:val="-9"/>
          <w:w w:val="120"/>
        </w:rPr>
        <w:t> </w:t>
      </w:r>
      <w:r>
        <w:rPr>
          <w:color w:val="231F20"/>
          <w:spacing w:val="-2"/>
          <w:w w:val="120"/>
        </w:rPr>
        <w:t>un</w:t>
      </w:r>
      <w:r>
        <w:rPr>
          <w:color w:val="231F20"/>
          <w:spacing w:val="-10"/>
          <w:w w:val="120"/>
        </w:rPr>
        <w:t> </w:t>
      </w:r>
      <w:r>
        <w:rPr>
          <w:color w:val="231F20"/>
          <w:spacing w:val="-2"/>
          <w:w w:val="120"/>
        </w:rPr>
        <w:t>domaine </w:t>
      </w:r>
      <w:r>
        <w:rPr>
          <w:color w:val="231F20"/>
          <w:w w:val="120"/>
        </w:rPr>
        <w:t>où les connaissances ont tendance à devenir rapidement obsolètes. La </w:t>
      </w:r>
      <w:r>
        <w:rPr>
          <w:color w:val="231F20"/>
          <w:spacing w:val="-2"/>
          <w:w w:val="120"/>
        </w:rPr>
        <w:t>formation</w:t>
      </w:r>
      <w:r>
        <w:rPr>
          <w:color w:val="231F20"/>
          <w:spacing w:val="-8"/>
          <w:w w:val="120"/>
        </w:rPr>
        <w:t> </w:t>
      </w:r>
      <w:r>
        <w:rPr>
          <w:color w:val="231F20"/>
          <w:spacing w:val="-2"/>
          <w:w w:val="120"/>
        </w:rPr>
        <w:t>comprend</w:t>
      </w:r>
      <w:r>
        <w:rPr>
          <w:color w:val="231F20"/>
          <w:spacing w:val="-8"/>
          <w:w w:val="120"/>
        </w:rPr>
        <w:t> </w:t>
      </w:r>
      <w:r>
        <w:rPr>
          <w:color w:val="231F20"/>
          <w:spacing w:val="-2"/>
          <w:w w:val="120"/>
        </w:rPr>
        <w:t>également</w:t>
      </w:r>
      <w:r>
        <w:rPr>
          <w:color w:val="231F20"/>
          <w:spacing w:val="-8"/>
          <w:w w:val="120"/>
        </w:rPr>
        <w:t> </w:t>
      </w:r>
      <w:r>
        <w:rPr>
          <w:color w:val="231F20"/>
          <w:spacing w:val="-2"/>
          <w:w w:val="120"/>
        </w:rPr>
        <w:t>les</w:t>
      </w:r>
      <w:r>
        <w:rPr>
          <w:color w:val="231F20"/>
          <w:spacing w:val="-8"/>
          <w:w w:val="120"/>
        </w:rPr>
        <w:t> </w:t>
      </w:r>
      <w:r>
        <w:rPr>
          <w:color w:val="231F20"/>
          <w:spacing w:val="-2"/>
          <w:w w:val="120"/>
        </w:rPr>
        <w:t>divers</w:t>
      </w:r>
      <w:r>
        <w:rPr>
          <w:color w:val="231F20"/>
          <w:spacing w:val="-8"/>
          <w:w w:val="120"/>
        </w:rPr>
        <w:t> </w:t>
      </w:r>
      <w:r>
        <w:rPr>
          <w:color w:val="231F20"/>
          <w:spacing w:val="-2"/>
          <w:w w:val="120"/>
        </w:rPr>
        <w:t>programmes</w:t>
      </w:r>
      <w:r>
        <w:rPr>
          <w:color w:val="231F20"/>
          <w:spacing w:val="-8"/>
          <w:w w:val="120"/>
        </w:rPr>
        <w:t> </w:t>
      </w:r>
      <w:r>
        <w:rPr>
          <w:color w:val="231F20"/>
          <w:spacing w:val="-2"/>
          <w:w w:val="120"/>
        </w:rPr>
        <w:t>et</w:t>
      </w:r>
      <w:r>
        <w:rPr>
          <w:color w:val="231F20"/>
          <w:spacing w:val="-8"/>
          <w:w w:val="120"/>
        </w:rPr>
        <w:t> </w:t>
      </w:r>
      <w:r>
        <w:rPr>
          <w:color w:val="231F20"/>
          <w:spacing w:val="-2"/>
          <w:w w:val="120"/>
        </w:rPr>
        <w:t>techniques</w:t>
      </w:r>
      <w:r>
        <w:rPr>
          <w:color w:val="231F20"/>
          <w:spacing w:val="-8"/>
          <w:w w:val="120"/>
        </w:rPr>
        <w:t> </w:t>
      </w:r>
      <w:r>
        <w:rPr>
          <w:color w:val="231F20"/>
          <w:spacing w:val="-2"/>
          <w:w w:val="120"/>
        </w:rPr>
        <w:t>qui </w:t>
      </w:r>
      <w:r>
        <w:rPr>
          <w:color w:val="231F20"/>
          <w:w w:val="120"/>
        </w:rPr>
        <w:t>visent à gérer le stress et à soutenir le bien-être au travail.</w:t>
      </w:r>
    </w:p>
    <w:p>
      <w:pPr>
        <w:pStyle w:val="BodyText"/>
        <w:spacing w:before="7"/>
        <w:rPr>
          <w:sz w:val="21"/>
        </w:rPr>
      </w:pPr>
    </w:p>
    <w:p>
      <w:pPr>
        <w:pStyle w:val="BodyText"/>
        <w:spacing w:line="307" w:lineRule="auto"/>
        <w:ind w:left="830" w:right="492"/>
        <w:jc w:val="both"/>
      </w:pPr>
      <w:r>
        <w:rPr>
          <w:b/>
          <w:color w:val="231F20"/>
          <w:w w:val="120"/>
        </w:rPr>
        <w:t>Revoir</w:t>
      </w:r>
      <w:r>
        <w:rPr>
          <w:b/>
          <w:color w:val="231F20"/>
          <w:spacing w:val="-1"/>
          <w:w w:val="120"/>
        </w:rPr>
        <w:t> </w:t>
      </w:r>
      <w:r>
        <w:rPr>
          <w:b/>
          <w:color w:val="231F20"/>
          <w:w w:val="120"/>
        </w:rPr>
        <w:t>le</w:t>
      </w:r>
      <w:r>
        <w:rPr>
          <w:b/>
          <w:color w:val="231F20"/>
          <w:spacing w:val="-1"/>
          <w:w w:val="120"/>
        </w:rPr>
        <w:t> </w:t>
      </w:r>
      <w:r>
        <w:rPr>
          <w:b/>
          <w:color w:val="231F20"/>
          <w:w w:val="120"/>
        </w:rPr>
        <w:t>système</w:t>
      </w:r>
      <w:r>
        <w:rPr>
          <w:b/>
          <w:color w:val="231F20"/>
          <w:spacing w:val="-1"/>
          <w:w w:val="120"/>
        </w:rPr>
        <w:t> </w:t>
      </w:r>
      <w:r>
        <w:rPr>
          <w:b/>
          <w:color w:val="231F20"/>
          <w:w w:val="120"/>
        </w:rPr>
        <w:t>d’évaluation</w:t>
      </w:r>
      <w:r>
        <w:rPr>
          <w:b/>
          <w:color w:val="231F20"/>
          <w:spacing w:val="-1"/>
          <w:w w:val="120"/>
        </w:rPr>
        <w:t> </w:t>
      </w:r>
      <w:r>
        <w:rPr>
          <w:b/>
          <w:color w:val="231F20"/>
          <w:w w:val="120"/>
        </w:rPr>
        <w:t>du</w:t>
      </w:r>
      <w:r>
        <w:rPr>
          <w:b/>
          <w:color w:val="231F20"/>
          <w:spacing w:val="-1"/>
          <w:w w:val="120"/>
        </w:rPr>
        <w:t> </w:t>
      </w:r>
      <w:r>
        <w:rPr>
          <w:b/>
          <w:color w:val="231F20"/>
          <w:w w:val="120"/>
        </w:rPr>
        <w:t>rendement. </w:t>
      </w:r>
      <w:r>
        <w:rPr>
          <w:color w:val="231F20"/>
          <w:w w:val="120"/>
        </w:rPr>
        <w:t>La tendance actuelle consiste à faire participer les subalternes à l’évaluation de leur propre rendement.</w:t>
      </w:r>
      <w:r>
        <w:rPr>
          <w:color w:val="231F20"/>
          <w:spacing w:val="-13"/>
          <w:w w:val="120"/>
        </w:rPr>
        <w:t> </w:t>
      </w:r>
      <w:r>
        <w:rPr>
          <w:color w:val="231F20"/>
          <w:w w:val="120"/>
        </w:rPr>
        <w:t>Toutes</w:t>
      </w:r>
      <w:r>
        <w:rPr>
          <w:color w:val="231F20"/>
          <w:spacing w:val="-13"/>
          <w:w w:val="120"/>
        </w:rPr>
        <w:t> </w:t>
      </w:r>
      <w:r>
        <w:rPr>
          <w:color w:val="231F20"/>
          <w:w w:val="120"/>
        </w:rPr>
        <w:t>les</w:t>
      </w:r>
      <w:r>
        <w:rPr>
          <w:color w:val="231F20"/>
          <w:spacing w:val="-13"/>
          <w:w w:val="120"/>
        </w:rPr>
        <w:t> </w:t>
      </w:r>
      <w:r>
        <w:rPr>
          <w:color w:val="231F20"/>
          <w:w w:val="120"/>
        </w:rPr>
        <w:t>techniques</w:t>
      </w:r>
      <w:r>
        <w:rPr>
          <w:color w:val="231F20"/>
          <w:spacing w:val="-12"/>
          <w:w w:val="120"/>
        </w:rPr>
        <w:t> </w:t>
      </w:r>
      <w:r>
        <w:rPr>
          <w:color w:val="231F20"/>
          <w:w w:val="120"/>
        </w:rPr>
        <w:t>d’appréciation</w:t>
      </w:r>
      <w:r>
        <w:rPr>
          <w:color w:val="231F20"/>
          <w:spacing w:val="-13"/>
          <w:w w:val="120"/>
        </w:rPr>
        <w:t> </w:t>
      </w:r>
      <w:r>
        <w:rPr>
          <w:color w:val="231F20"/>
          <w:w w:val="120"/>
        </w:rPr>
        <w:t>bilatérales</w:t>
      </w:r>
      <w:r>
        <w:rPr>
          <w:color w:val="231F20"/>
          <w:spacing w:val="-13"/>
          <w:w w:val="120"/>
        </w:rPr>
        <w:t> </w:t>
      </w:r>
      <w:r>
        <w:rPr>
          <w:color w:val="231F20"/>
          <w:w w:val="120"/>
        </w:rPr>
        <w:t>telle</w:t>
      </w:r>
      <w:r>
        <w:rPr>
          <w:color w:val="231F20"/>
          <w:spacing w:val="-13"/>
          <w:w w:val="120"/>
        </w:rPr>
        <w:t> </w:t>
      </w:r>
      <w:r>
        <w:rPr>
          <w:color w:val="231F20"/>
          <w:w w:val="120"/>
        </w:rPr>
        <w:t>la</w:t>
      </w:r>
      <w:r>
        <w:rPr>
          <w:color w:val="231F20"/>
          <w:spacing w:val="-12"/>
          <w:w w:val="120"/>
        </w:rPr>
        <w:t> </w:t>
      </w:r>
      <w:r>
        <w:rPr>
          <w:color w:val="231F20"/>
          <w:w w:val="120"/>
        </w:rPr>
        <w:t>ges- tion</w:t>
      </w:r>
      <w:r>
        <w:rPr>
          <w:color w:val="231F20"/>
          <w:spacing w:val="-3"/>
          <w:w w:val="120"/>
        </w:rPr>
        <w:t> </w:t>
      </w:r>
      <w:r>
        <w:rPr>
          <w:color w:val="231F20"/>
          <w:w w:val="120"/>
        </w:rPr>
        <w:t>par</w:t>
      </w:r>
      <w:r>
        <w:rPr>
          <w:color w:val="231F20"/>
          <w:spacing w:val="-3"/>
          <w:w w:val="120"/>
        </w:rPr>
        <w:t> </w:t>
      </w:r>
      <w:r>
        <w:rPr>
          <w:color w:val="231F20"/>
          <w:w w:val="120"/>
        </w:rPr>
        <w:t>objectifs</w:t>
      </w:r>
      <w:r>
        <w:rPr>
          <w:color w:val="231F20"/>
          <w:spacing w:val="-3"/>
          <w:w w:val="120"/>
        </w:rPr>
        <w:t> </w:t>
      </w:r>
      <w:r>
        <w:rPr>
          <w:color w:val="231F20"/>
          <w:w w:val="120"/>
        </w:rPr>
        <w:t>visent</w:t>
      </w:r>
      <w:r>
        <w:rPr>
          <w:color w:val="231F20"/>
          <w:spacing w:val="-3"/>
          <w:w w:val="120"/>
        </w:rPr>
        <w:t> </w:t>
      </w:r>
      <w:r>
        <w:rPr>
          <w:color w:val="231F20"/>
          <w:w w:val="120"/>
        </w:rPr>
        <w:t>particulièrement</w:t>
      </w:r>
      <w:r>
        <w:rPr>
          <w:color w:val="231F20"/>
          <w:spacing w:val="-3"/>
          <w:w w:val="120"/>
        </w:rPr>
        <w:t> </w:t>
      </w:r>
      <w:r>
        <w:rPr>
          <w:color w:val="231F20"/>
          <w:w w:val="120"/>
        </w:rPr>
        <w:t>à</w:t>
      </w:r>
      <w:r>
        <w:rPr>
          <w:color w:val="231F20"/>
          <w:spacing w:val="-3"/>
          <w:w w:val="120"/>
        </w:rPr>
        <w:t> </w:t>
      </w:r>
      <w:r>
        <w:rPr>
          <w:color w:val="231F20"/>
          <w:w w:val="120"/>
        </w:rPr>
        <w:t>stimuler</w:t>
      </w:r>
      <w:r>
        <w:rPr>
          <w:color w:val="231F20"/>
          <w:spacing w:val="-3"/>
          <w:w w:val="120"/>
        </w:rPr>
        <w:t> </w:t>
      </w:r>
      <w:r>
        <w:rPr>
          <w:color w:val="231F20"/>
          <w:w w:val="120"/>
        </w:rPr>
        <w:t>la</w:t>
      </w:r>
      <w:r>
        <w:rPr>
          <w:color w:val="231F20"/>
          <w:spacing w:val="-3"/>
          <w:w w:val="120"/>
        </w:rPr>
        <w:t> </w:t>
      </w:r>
      <w:r>
        <w:rPr>
          <w:color w:val="231F20"/>
          <w:w w:val="120"/>
        </w:rPr>
        <w:t>motivation</w:t>
      </w:r>
      <w:r>
        <w:rPr>
          <w:color w:val="231F20"/>
          <w:spacing w:val="-3"/>
          <w:w w:val="120"/>
        </w:rPr>
        <w:t> </w:t>
      </w:r>
      <w:r>
        <w:rPr>
          <w:color w:val="231F20"/>
          <w:w w:val="120"/>
        </w:rPr>
        <w:t>indi- viduelle</w:t>
      </w:r>
      <w:r>
        <w:rPr>
          <w:color w:val="231F20"/>
          <w:spacing w:val="-8"/>
          <w:w w:val="120"/>
        </w:rPr>
        <w:t> </w:t>
      </w:r>
      <w:r>
        <w:rPr>
          <w:color w:val="231F20"/>
          <w:w w:val="120"/>
        </w:rPr>
        <w:t>en</w:t>
      </w:r>
      <w:r>
        <w:rPr>
          <w:color w:val="231F20"/>
          <w:spacing w:val="-8"/>
          <w:w w:val="120"/>
        </w:rPr>
        <w:t> </w:t>
      </w:r>
      <w:r>
        <w:rPr>
          <w:color w:val="231F20"/>
          <w:w w:val="120"/>
        </w:rPr>
        <w:t>donnant</w:t>
      </w:r>
      <w:r>
        <w:rPr>
          <w:color w:val="231F20"/>
          <w:spacing w:val="-8"/>
          <w:w w:val="120"/>
        </w:rPr>
        <w:t> </w:t>
      </w:r>
      <w:r>
        <w:rPr>
          <w:color w:val="231F20"/>
          <w:w w:val="120"/>
        </w:rPr>
        <w:t>à</w:t>
      </w:r>
      <w:r>
        <w:rPr>
          <w:color w:val="231F20"/>
          <w:spacing w:val="-8"/>
          <w:w w:val="120"/>
        </w:rPr>
        <w:t> </w:t>
      </w:r>
      <w:r>
        <w:rPr>
          <w:color w:val="231F20"/>
          <w:w w:val="120"/>
        </w:rPr>
        <w:t>la</w:t>
      </w:r>
      <w:r>
        <w:rPr>
          <w:color w:val="231F20"/>
          <w:spacing w:val="-8"/>
          <w:w w:val="120"/>
        </w:rPr>
        <w:t> </w:t>
      </w:r>
      <w:r>
        <w:rPr>
          <w:color w:val="231F20"/>
          <w:w w:val="120"/>
        </w:rPr>
        <w:t>personne</w:t>
      </w:r>
      <w:r>
        <w:rPr>
          <w:color w:val="231F20"/>
          <w:spacing w:val="-8"/>
          <w:w w:val="120"/>
        </w:rPr>
        <w:t> </w:t>
      </w:r>
      <w:r>
        <w:rPr>
          <w:color w:val="231F20"/>
          <w:w w:val="120"/>
        </w:rPr>
        <w:t>l’occasion</w:t>
      </w:r>
      <w:r>
        <w:rPr>
          <w:color w:val="231F20"/>
          <w:spacing w:val="-8"/>
          <w:w w:val="120"/>
        </w:rPr>
        <w:t> </w:t>
      </w:r>
      <w:r>
        <w:rPr>
          <w:color w:val="231F20"/>
          <w:w w:val="120"/>
        </w:rPr>
        <w:t>de</w:t>
      </w:r>
      <w:r>
        <w:rPr>
          <w:color w:val="231F20"/>
          <w:spacing w:val="-8"/>
          <w:w w:val="120"/>
        </w:rPr>
        <w:t> </w:t>
      </w:r>
      <w:r>
        <w:rPr>
          <w:color w:val="231F20"/>
          <w:w w:val="120"/>
        </w:rPr>
        <w:t>participer</w:t>
      </w:r>
      <w:r>
        <w:rPr>
          <w:color w:val="231F20"/>
          <w:spacing w:val="-8"/>
          <w:w w:val="120"/>
        </w:rPr>
        <w:t> </w:t>
      </w:r>
      <w:r>
        <w:rPr>
          <w:color w:val="231F20"/>
          <w:w w:val="120"/>
        </w:rPr>
        <w:t>au</w:t>
      </w:r>
      <w:r>
        <w:rPr>
          <w:color w:val="231F20"/>
          <w:spacing w:val="-8"/>
          <w:w w:val="120"/>
        </w:rPr>
        <w:t> </w:t>
      </w:r>
      <w:r>
        <w:rPr>
          <w:color w:val="231F20"/>
          <w:w w:val="120"/>
        </w:rPr>
        <w:t>processus </w:t>
      </w:r>
      <w:r>
        <w:rPr>
          <w:color w:val="231F20"/>
          <w:spacing w:val="-2"/>
          <w:w w:val="120"/>
        </w:rPr>
        <w:t>d’évaluation,</w:t>
      </w:r>
      <w:r>
        <w:rPr>
          <w:color w:val="231F20"/>
          <w:spacing w:val="-11"/>
          <w:w w:val="120"/>
        </w:rPr>
        <w:t> </w:t>
      </w:r>
      <w:r>
        <w:rPr>
          <w:color w:val="231F20"/>
          <w:spacing w:val="-2"/>
          <w:w w:val="120"/>
        </w:rPr>
        <w:t>ce</w:t>
      </w:r>
      <w:r>
        <w:rPr>
          <w:color w:val="231F20"/>
          <w:spacing w:val="-10"/>
          <w:w w:val="120"/>
        </w:rPr>
        <w:t> </w:t>
      </w:r>
      <w:r>
        <w:rPr>
          <w:color w:val="231F20"/>
          <w:spacing w:val="-2"/>
          <w:w w:val="120"/>
        </w:rPr>
        <w:t>qui</w:t>
      </w:r>
      <w:r>
        <w:rPr>
          <w:color w:val="231F20"/>
          <w:spacing w:val="-11"/>
          <w:w w:val="120"/>
        </w:rPr>
        <w:t> </w:t>
      </w:r>
      <w:r>
        <w:rPr>
          <w:color w:val="231F20"/>
          <w:spacing w:val="-2"/>
          <w:w w:val="120"/>
        </w:rPr>
        <w:t>atténue</w:t>
      </w:r>
      <w:r>
        <w:rPr>
          <w:color w:val="231F20"/>
          <w:spacing w:val="-10"/>
          <w:w w:val="120"/>
        </w:rPr>
        <w:t> </w:t>
      </w:r>
      <w:r>
        <w:rPr>
          <w:color w:val="231F20"/>
          <w:spacing w:val="-2"/>
          <w:w w:val="120"/>
        </w:rPr>
        <w:t>à</w:t>
      </w:r>
      <w:r>
        <w:rPr>
          <w:color w:val="231F20"/>
          <w:spacing w:val="-11"/>
          <w:w w:val="120"/>
        </w:rPr>
        <w:t> </w:t>
      </w:r>
      <w:r>
        <w:rPr>
          <w:color w:val="231F20"/>
          <w:spacing w:val="-2"/>
          <w:w w:val="120"/>
        </w:rPr>
        <w:t>la</w:t>
      </w:r>
      <w:r>
        <w:rPr>
          <w:color w:val="231F20"/>
          <w:spacing w:val="-10"/>
          <w:w w:val="120"/>
        </w:rPr>
        <w:t> </w:t>
      </w:r>
      <w:r>
        <w:rPr>
          <w:color w:val="231F20"/>
          <w:spacing w:val="-2"/>
          <w:w w:val="120"/>
        </w:rPr>
        <w:t>fois</w:t>
      </w:r>
      <w:r>
        <w:rPr>
          <w:color w:val="231F20"/>
          <w:spacing w:val="-11"/>
          <w:w w:val="120"/>
        </w:rPr>
        <w:t> </w:t>
      </w:r>
      <w:r>
        <w:rPr>
          <w:color w:val="231F20"/>
          <w:spacing w:val="-2"/>
          <w:w w:val="120"/>
        </w:rPr>
        <w:t>la</w:t>
      </w:r>
      <w:r>
        <w:rPr>
          <w:color w:val="231F20"/>
          <w:spacing w:val="-10"/>
          <w:w w:val="120"/>
        </w:rPr>
        <w:t> </w:t>
      </w:r>
      <w:r>
        <w:rPr>
          <w:color w:val="231F20"/>
          <w:spacing w:val="-2"/>
          <w:w w:val="120"/>
        </w:rPr>
        <w:t>perception</w:t>
      </w:r>
      <w:r>
        <w:rPr>
          <w:color w:val="231F20"/>
          <w:spacing w:val="-11"/>
          <w:w w:val="120"/>
        </w:rPr>
        <w:t> </w:t>
      </w:r>
      <w:r>
        <w:rPr>
          <w:color w:val="231F20"/>
          <w:spacing w:val="-2"/>
          <w:w w:val="120"/>
        </w:rPr>
        <w:t>que</w:t>
      </w:r>
      <w:r>
        <w:rPr>
          <w:color w:val="231F20"/>
          <w:spacing w:val="-10"/>
          <w:w w:val="120"/>
        </w:rPr>
        <w:t> </w:t>
      </w:r>
      <w:r>
        <w:rPr>
          <w:color w:val="231F20"/>
          <w:spacing w:val="-2"/>
          <w:w w:val="120"/>
        </w:rPr>
        <w:t>les</w:t>
      </w:r>
      <w:r>
        <w:rPr>
          <w:color w:val="231F20"/>
          <w:spacing w:val="-11"/>
          <w:w w:val="120"/>
        </w:rPr>
        <w:t> </w:t>
      </w:r>
      <w:r>
        <w:rPr>
          <w:color w:val="231F20"/>
          <w:spacing w:val="-2"/>
          <w:w w:val="120"/>
        </w:rPr>
        <w:t>jugements</w:t>
      </w:r>
      <w:r>
        <w:rPr>
          <w:color w:val="231F20"/>
          <w:spacing w:val="-10"/>
          <w:w w:val="120"/>
        </w:rPr>
        <w:t> </w:t>
      </w:r>
      <w:r>
        <w:rPr>
          <w:color w:val="231F20"/>
          <w:spacing w:val="-2"/>
          <w:w w:val="120"/>
        </w:rPr>
        <w:t>sont unilatéraux</w:t>
      </w:r>
      <w:r>
        <w:rPr>
          <w:color w:val="231F20"/>
          <w:spacing w:val="-3"/>
          <w:w w:val="120"/>
        </w:rPr>
        <w:t> </w:t>
      </w:r>
      <w:r>
        <w:rPr>
          <w:color w:val="231F20"/>
          <w:spacing w:val="-2"/>
          <w:w w:val="120"/>
        </w:rPr>
        <w:t>et</w:t>
      </w:r>
      <w:r>
        <w:rPr>
          <w:color w:val="231F20"/>
          <w:spacing w:val="-3"/>
          <w:w w:val="120"/>
        </w:rPr>
        <w:t> </w:t>
      </w:r>
      <w:r>
        <w:rPr>
          <w:color w:val="231F20"/>
          <w:spacing w:val="-2"/>
          <w:w w:val="120"/>
        </w:rPr>
        <w:t>les</w:t>
      </w:r>
      <w:r>
        <w:rPr>
          <w:color w:val="231F20"/>
          <w:spacing w:val="-3"/>
          <w:w w:val="120"/>
        </w:rPr>
        <w:t> </w:t>
      </w:r>
      <w:r>
        <w:rPr>
          <w:color w:val="231F20"/>
          <w:spacing w:val="-2"/>
          <w:w w:val="120"/>
        </w:rPr>
        <w:t>sentiments</w:t>
      </w:r>
      <w:r>
        <w:rPr>
          <w:color w:val="231F20"/>
          <w:spacing w:val="-3"/>
          <w:w w:val="120"/>
        </w:rPr>
        <w:t> </w:t>
      </w:r>
      <w:r>
        <w:rPr>
          <w:color w:val="231F20"/>
          <w:spacing w:val="-2"/>
          <w:w w:val="120"/>
        </w:rPr>
        <w:t>d’injustice.</w:t>
      </w:r>
      <w:r>
        <w:rPr>
          <w:color w:val="231F20"/>
          <w:spacing w:val="-3"/>
          <w:w w:val="120"/>
        </w:rPr>
        <w:t> </w:t>
      </w:r>
      <w:r>
        <w:rPr>
          <w:color w:val="231F20"/>
          <w:spacing w:val="-2"/>
          <w:w w:val="120"/>
        </w:rPr>
        <w:t>L’évaluation</w:t>
      </w:r>
      <w:r>
        <w:rPr>
          <w:color w:val="231F20"/>
          <w:spacing w:val="-3"/>
          <w:w w:val="120"/>
        </w:rPr>
        <w:t> </w:t>
      </w:r>
      <w:r>
        <w:rPr>
          <w:color w:val="231F20"/>
          <w:spacing w:val="-2"/>
          <w:w w:val="120"/>
        </w:rPr>
        <w:t>du</w:t>
      </w:r>
      <w:r>
        <w:rPr>
          <w:color w:val="231F20"/>
          <w:spacing w:val="-3"/>
          <w:w w:val="120"/>
        </w:rPr>
        <w:t> </w:t>
      </w:r>
      <w:r>
        <w:rPr>
          <w:color w:val="231F20"/>
          <w:spacing w:val="-2"/>
          <w:w w:val="120"/>
        </w:rPr>
        <w:t>rendement</w:t>
      </w:r>
      <w:r>
        <w:rPr>
          <w:color w:val="231F20"/>
          <w:spacing w:val="-3"/>
          <w:w w:val="120"/>
        </w:rPr>
        <w:t> </w:t>
      </w:r>
      <w:r>
        <w:rPr>
          <w:color w:val="231F20"/>
          <w:spacing w:val="-2"/>
          <w:w w:val="120"/>
        </w:rPr>
        <w:t>des </w:t>
      </w:r>
      <w:r>
        <w:rPr>
          <w:color w:val="231F20"/>
          <w:w w:val="120"/>
        </w:rPr>
        <w:t>employés</w:t>
      </w:r>
      <w:r>
        <w:rPr>
          <w:color w:val="231F20"/>
          <w:spacing w:val="-10"/>
          <w:w w:val="120"/>
        </w:rPr>
        <w:t> </w:t>
      </w:r>
      <w:r>
        <w:rPr>
          <w:color w:val="231F20"/>
          <w:w w:val="120"/>
        </w:rPr>
        <w:t>doit</w:t>
      </w:r>
      <w:r>
        <w:rPr>
          <w:color w:val="231F20"/>
          <w:spacing w:val="-9"/>
          <w:w w:val="120"/>
        </w:rPr>
        <w:t> </w:t>
      </w:r>
      <w:r>
        <w:rPr>
          <w:color w:val="231F20"/>
          <w:w w:val="120"/>
        </w:rPr>
        <w:t>s’inscrire</w:t>
      </w:r>
      <w:r>
        <w:rPr>
          <w:color w:val="231F20"/>
          <w:spacing w:val="-10"/>
          <w:w w:val="120"/>
        </w:rPr>
        <w:t> </w:t>
      </w:r>
      <w:r>
        <w:rPr>
          <w:color w:val="231F20"/>
          <w:w w:val="120"/>
        </w:rPr>
        <w:t>dans</w:t>
      </w:r>
      <w:r>
        <w:rPr>
          <w:color w:val="231F20"/>
          <w:spacing w:val="-9"/>
          <w:w w:val="120"/>
        </w:rPr>
        <w:t> </w:t>
      </w:r>
      <w:r>
        <w:rPr>
          <w:color w:val="231F20"/>
          <w:w w:val="120"/>
        </w:rPr>
        <w:t>la</w:t>
      </w:r>
      <w:r>
        <w:rPr>
          <w:color w:val="231F20"/>
          <w:spacing w:val="-9"/>
          <w:w w:val="120"/>
        </w:rPr>
        <w:t> </w:t>
      </w:r>
      <w:r>
        <w:rPr>
          <w:color w:val="231F20"/>
          <w:w w:val="120"/>
        </w:rPr>
        <w:t>continuité</w:t>
      </w:r>
      <w:r>
        <w:rPr>
          <w:color w:val="231F20"/>
          <w:spacing w:val="-10"/>
          <w:w w:val="120"/>
        </w:rPr>
        <w:t> </w:t>
      </w:r>
      <w:r>
        <w:rPr>
          <w:color w:val="231F20"/>
          <w:w w:val="120"/>
        </w:rPr>
        <w:t>de</w:t>
      </w:r>
      <w:r>
        <w:rPr>
          <w:color w:val="231F20"/>
          <w:spacing w:val="-9"/>
          <w:w w:val="120"/>
        </w:rPr>
        <w:t> </w:t>
      </w:r>
      <w:r>
        <w:rPr>
          <w:color w:val="231F20"/>
          <w:w w:val="120"/>
        </w:rPr>
        <w:t>la</w:t>
      </w:r>
      <w:r>
        <w:rPr>
          <w:color w:val="231F20"/>
          <w:spacing w:val="-10"/>
          <w:w w:val="120"/>
        </w:rPr>
        <w:t> </w:t>
      </w:r>
      <w:r>
        <w:rPr>
          <w:color w:val="231F20"/>
          <w:w w:val="120"/>
        </w:rPr>
        <w:t>gestion</w:t>
      </w:r>
      <w:r>
        <w:rPr>
          <w:color w:val="231F20"/>
          <w:spacing w:val="-9"/>
          <w:w w:val="120"/>
        </w:rPr>
        <w:t> </w:t>
      </w:r>
      <w:r>
        <w:rPr>
          <w:color w:val="231F20"/>
          <w:w w:val="120"/>
        </w:rPr>
        <w:t>des</w:t>
      </w:r>
      <w:r>
        <w:rPr>
          <w:color w:val="231F20"/>
          <w:spacing w:val="-9"/>
          <w:w w:val="120"/>
        </w:rPr>
        <w:t> </w:t>
      </w:r>
      <w:r>
        <w:rPr>
          <w:color w:val="231F20"/>
          <w:w w:val="120"/>
        </w:rPr>
        <w:t>carrières</w:t>
      </w:r>
      <w:r>
        <w:rPr>
          <w:color w:val="231F20"/>
          <w:spacing w:val="-10"/>
          <w:w w:val="120"/>
        </w:rPr>
        <w:t> </w:t>
      </w:r>
      <w:r>
        <w:rPr>
          <w:color w:val="231F20"/>
          <w:spacing w:val="-5"/>
          <w:w w:val="120"/>
        </w:rPr>
        <w:t>et</w:t>
      </w:r>
    </w:p>
    <w:p>
      <w:pPr>
        <w:spacing w:after="0" w:line="307" w:lineRule="auto"/>
        <w:jc w:val="both"/>
        <w:sectPr>
          <w:footerReference w:type="default" r:id="rId330"/>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1"/>
        <w:jc w:val="both"/>
      </w:pPr>
      <w:r>
        <w:rPr>
          <w:color w:val="231F20"/>
          <w:w w:val="120"/>
        </w:rPr>
        <w:t>de la formation des travailleurs pour structurer ce qu’on peut nommer comme étant le développement des ressources humaines. Il faut donc </w:t>
      </w:r>
      <w:r>
        <w:rPr>
          <w:color w:val="231F20"/>
          <w:spacing w:val="-2"/>
          <w:w w:val="120"/>
        </w:rPr>
        <w:t>revoir</w:t>
      </w:r>
      <w:r>
        <w:rPr>
          <w:color w:val="231F20"/>
          <w:spacing w:val="-8"/>
          <w:w w:val="120"/>
        </w:rPr>
        <w:t> </w:t>
      </w:r>
      <w:r>
        <w:rPr>
          <w:color w:val="231F20"/>
          <w:spacing w:val="-2"/>
          <w:w w:val="120"/>
        </w:rPr>
        <w:t>la</w:t>
      </w:r>
      <w:r>
        <w:rPr>
          <w:color w:val="231F20"/>
          <w:spacing w:val="-8"/>
          <w:w w:val="120"/>
        </w:rPr>
        <w:t> </w:t>
      </w:r>
      <w:r>
        <w:rPr>
          <w:color w:val="231F20"/>
          <w:spacing w:val="-2"/>
          <w:w w:val="120"/>
        </w:rPr>
        <w:t>fonction</w:t>
      </w:r>
      <w:r>
        <w:rPr>
          <w:color w:val="231F20"/>
          <w:spacing w:val="-8"/>
          <w:w w:val="120"/>
        </w:rPr>
        <w:t> </w:t>
      </w:r>
      <w:r>
        <w:rPr>
          <w:color w:val="231F20"/>
          <w:spacing w:val="-2"/>
          <w:w w:val="120"/>
        </w:rPr>
        <w:t>de</w:t>
      </w:r>
      <w:r>
        <w:rPr>
          <w:color w:val="231F20"/>
          <w:spacing w:val="-8"/>
          <w:w w:val="120"/>
        </w:rPr>
        <w:t> </w:t>
      </w:r>
      <w:r>
        <w:rPr>
          <w:color w:val="231F20"/>
          <w:spacing w:val="-2"/>
          <w:w w:val="120"/>
        </w:rPr>
        <w:t>l’évaluation</w:t>
      </w:r>
      <w:r>
        <w:rPr>
          <w:color w:val="231F20"/>
          <w:spacing w:val="-8"/>
          <w:w w:val="120"/>
        </w:rPr>
        <w:t> </w:t>
      </w:r>
      <w:r>
        <w:rPr>
          <w:color w:val="231F20"/>
          <w:spacing w:val="-2"/>
          <w:w w:val="120"/>
        </w:rPr>
        <w:t>du</w:t>
      </w:r>
      <w:r>
        <w:rPr>
          <w:color w:val="231F20"/>
          <w:spacing w:val="-8"/>
          <w:w w:val="120"/>
        </w:rPr>
        <w:t> </w:t>
      </w:r>
      <w:r>
        <w:rPr>
          <w:color w:val="231F20"/>
          <w:spacing w:val="-2"/>
          <w:w w:val="120"/>
        </w:rPr>
        <w:t>rendement</w:t>
      </w:r>
      <w:r>
        <w:rPr>
          <w:color w:val="231F20"/>
          <w:spacing w:val="-8"/>
          <w:w w:val="120"/>
        </w:rPr>
        <w:t> </w:t>
      </w:r>
      <w:r>
        <w:rPr>
          <w:color w:val="231F20"/>
          <w:spacing w:val="-2"/>
          <w:w w:val="120"/>
        </w:rPr>
        <w:t>pour</w:t>
      </w:r>
      <w:r>
        <w:rPr>
          <w:color w:val="231F20"/>
          <w:spacing w:val="-8"/>
          <w:w w:val="120"/>
        </w:rPr>
        <w:t> </w:t>
      </w:r>
      <w:r>
        <w:rPr>
          <w:color w:val="231F20"/>
          <w:spacing w:val="-2"/>
          <w:w w:val="120"/>
        </w:rPr>
        <w:t>en</w:t>
      </w:r>
      <w:r>
        <w:rPr>
          <w:color w:val="231F20"/>
          <w:spacing w:val="-8"/>
          <w:w w:val="120"/>
        </w:rPr>
        <w:t> </w:t>
      </w:r>
      <w:r>
        <w:rPr>
          <w:color w:val="231F20"/>
          <w:spacing w:val="-2"/>
          <w:w w:val="120"/>
        </w:rPr>
        <w:t>faire</w:t>
      </w:r>
      <w:r>
        <w:rPr>
          <w:color w:val="231F20"/>
          <w:spacing w:val="-8"/>
          <w:w w:val="120"/>
        </w:rPr>
        <w:t> </w:t>
      </w:r>
      <w:r>
        <w:rPr>
          <w:color w:val="231F20"/>
          <w:spacing w:val="-2"/>
          <w:w w:val="120"/>
        </w:rPr>
        <w:t>un</w:t>
      </w:r>
      <w:r>
        <w:rPr>
          <w:color w:val="231F20"/>
          <w:spacing w:val="-8"/>
          <w:w w:val="120"/>
        </w:rPr>
        <w:t> </w:t>
      </w:r>
      <w:r>
        <w:rPr>
          <w:color w:val="231F20"/>
          <w:spacing w:val="-2"/>
          <w:w w:val="120"/>
        </w:rPr>
        <w:t>moment de</w:t>
      </w:r>
      <w:r>
        <w:rPr>
          <w:color w:val="231F20"/>
          <w:spacing w:val="-8"/>
          <w:w w:val="120"/>
        </w:rPr>
        <w:t> </w:t>
      </w:r>
      <w:r>
        <w:rPr>
          <w:color w:val="231F20"/>
          <w:spacing w:val="-2"/>
          <w:w w:val="120"/>
        </w:rPr>
        <w:t>mise</w:t>
      </w:r>
      <w:r>
        <w:rPr>
          <w:color w:val="231F20"/>
          <w:spacing w:val="-8"/>
          <w:w w:val="120"/>
        </w:rPr>
        <w:t> </w:t>
      </w:r>
      <w:r>
        <w:rPr>
          <w:color w:val="231F20"/>
          <w:spacing w:val="-2"/>
          <w:w w:val="120"/>
        </w:rPr>
        <w:t>au</w:t>
      </w:r>
      <w:r>
        <w:rPr>
          <w:color w:val="231F20"/>
          <w:spacing w:val="-8"/>
          <w:w w:val="120"/>
        </w:rPr>
        <w:t> </w:t>
      </w:r>
      <w:r>
        <w:rPr>
          <w:color w:val="231F20"/>
          <w:spacing w:val="-2"/>
          <w:w w:val="120"/>
        </w:rPr>
        <w:t>point</w:t>
      </w:r>
      <w:r>
        <w:rPr>
          <w:color w:val="231F20"/>
          <w:spacing w:val="-8"/>
          <w:w w:val="120"/>
        </w:rPr>
        <w:t> </w:t>
      </w:r>
      <w:r>
        <w:rPr>
          <w:color w:val="231F20"/>
          <w:spacing w:val="-2"/>
          <w:w w:val="120"/>
        </w:rPr>
        <w:t>afin</w:t>
      </w:r>
      <w:r>
        <w:rPr>
          <w:color w:val="231F20"/>
          <w:spacing w:val="-8"/>
          <w:w w:val="120"/>
        </w:rPr>
        <w:t> </w:t>
      </w:r>
      <w:r>
        <w:rPr>
          <w:color w:val="231F20"/>
          <w:spacing w:val="-2"/>
          <w:w w:val="120"/>
        </w:rPr>
        <w:t>de</w:t>
      </w:r>
      <w:r>
        <w:rPr>
          <w:color w:val="231F20"/>
          <w:spacing w:val="-8"/>
          <w:w w:val="120"/>
        </w:rPr>
        <w:t> </w:t>
      </w:r>
      <w:r>
        <w:rPr>
          <w:color w:val="231F20"/>
          <w:spacing w:val="-2"/>
          <w:w w:val="120"/>
        </w:rPr>
        <w:t>permettre</w:t>
      </w:r>
      <w:r>
        <w:rPr>
          <w:color w:val="231F20"/>
          <w:spacing w:val="-8"/>
          <w:w w:val="120"/>
        </w:rPr>
        <w:t> </w:t>
      </w:r>
      <w:r>
        <w:rPr>
          <w:color w:val="231F20"/>
          <w:spacing w:val="-2"/>
          <w:w w:val="120"/>
        </w:rPr>
        <w:t>aux</w:t>
      </w:r>
      <w:r>
        <w:rPr>
          <w:color w:val="231F20"/>
          <w:spacing w:val="-8"/>
          <w:w w:val="120"/>
        </w:rPr>
        <w:t> </w:t>
      </w:r>
      <w:r>
        <w:rPr>
          <w:color w:val="231F20"/>
          <w:spacing w:val="-2"/>
          <w:w w:val="120"/>
        </w:rPr>
        <w:t>travailleurs</w:t>
      </w:r>
      <w:r>
        <w:rPr>
          <w:color w:val="231F20"/>
          <w:spacing w:val="-8"/>
          <w:w w:val="120"/>
        </w:rPr>
        <w:t> </w:t>
      </w:r>
      <w:r>
        <w:rPr>
          <w:color w:val="231F20"/>
          <w:spacing w:val="-2"/>
          <w:w w:val="120"/>
        </w:rPr>
        <w:t>d’atteindre</w:t>
      </w:r>
      <w:r>
        <w:rPr>
          <w:color w:val="231F20"/>
          <w:spacing w:val="-8"/>
          <w:w w:val="120"/>
        </w:rPr>
        <w:t> </w:t>
      </w:r>
      <w:r>
        <w:rPr>
          <w:color w:val="231F20"/>
          <w:spacing w:val="-2"/>
          <w:w w:val="120"/>
        </w:rPr>
        <w:t>leurs</w:t>
      </w:r>
      <w:r>
        <w:rPr>
          <w:color w:val="231F20"/>
          <w:spacing w:val="-8"/>
          <w:w w:val="120"/>
        </w:rPr>
        <w:t> </w:t>
      </w:r>
      <w:r>
        <w:rPr>
          <w:color w:val="231F20"/>
          <w:spacing w:val="-2"/>
          <w:w w:val="120"/>
        </w:rPr>
        <w:t>aspi- rations et leurs objectifs professionnels. L’évaluation du rendement doit </w:t>
      </w:r>
      <w:r>
        <w:rPr>
          <w:color w:val="231F20"/>
          <w:w w:val="120"/>
        </w:rPr>
        <w:t>devenir</w:t>
      </w:r>
      <w:r>
        <w:rPr>
          <w:color w:val="231F20"/>
          <w:spacing w:val="-3"/>
          <w:w w:val="120"/>
        </w:rPr>
        <w:t> </w:t>
      </w:r>
      <w:r>
        <w:rPr>
          <w:color w:val="231F20"/>
          <w:w w:val="120"/>
        </w:rPr>
        <w:t>un</w:t>
      </w:r>
      <w:r>
        <w:rPr>
          <w:color w:val="231F20"/>
          <w:spacing w:val="-3"/>
          <w:w w:val="120"/>
        </w:rPr>
        <w:t> </w:t>
      </w:r>
      <w:r>
        <w:rPr>
          <w:color w:val="231F20"/>
          <w:w w:val="120"/>
        </w:rPr>
        <w:t>moment</w:t>
      </w:r>
      <w:r>
        <w:rPr>
          <w:color w:val="231F20"/>
          <w:spacing w:val="-3"/>
          <w:w w:val="120"/>
        </w:rPr>
        <w:t> </w:t>
      </w:r>
      <w:r>
        <w:rPr>
          <w:color w:val="231F20"/>
          <w:w w:val="120"/>
        </w:rPr>
        <w:t>privilégié</w:t>
      </w:r>
      <w:r>
        <w:rPr>
          <w:color w:val="231F20"/>
          <w:spacing w:val="-3"/>
          <w:w w:val="120"/>
        </w:rPr>
        <w:t> </w:t>
      </w:r>
      <w:r>
        <w:rPr>
          <w:color w:val="231F20"/>
          <w:w w:val="120"/>
        </w:rPr>
        <w:t>afin</w:t>
      </w:r>
      <w:r>
        <w:rPr>
          <w:color w:val="231F20"/>
          <w:spacing w:val="-3"/>
          <w:w w:val="120"/>
        </w:rPr>
        <w:t> </w:t>
      </w:r>
      <w:r>
        <w:rPr>
          <w:color w:val="231F20"/>
          <w:w w:val="120"/>
        </w:rPr>
        <w:t>d’estimer</w:t>
      </w:r>
      <w:r>
        <w:rPr>
          <w:color w:val="231F20"/>
          <w:spacing w:val="-3"/>
          <w:w w:val="120"/>
        </w:rPr>
        <w:t> </w:t>
      </w:r>
      <w:r>
        <w:rPr>
          <w:color w:val="231F20"/>
          <w:w w:val="120"/>
        </w:rPr>
        <w:t>le</w:t>
      </w:r>
      <w:r>
        <w:rPr>
          <w:color w:val="231F20"/>
          <w:spacing w:val="-3"/>
          <w:w w:val="120"/>
        </w:rPr>
        <w:t> </w:t>
      </w:r>
      <w:r>
        <w:rPr>
          <w:color w:val="231F20"/>
          <w:w w:val="120"/>
        </w:rPr>
        <w:t>niveau</w:t>
      </w:r>
      <w:r>
        <w:rPr>
          <w:color w:val="231F20"/>
          <w:spacing w:val="-3"/>
          <w:w w:val="120"/>
        </w:rPr>
        <w:t> </w:t>
      </w:r>
      <w:r>
        <w:rPr>
          <w:color w:val="231F20"/>
          <w:w w:val="120"/>
        </w:rPr>
        <w:t>de</w:t>
      </w:r>
      <w:r>
        <w:rPr>
          <w:color w:val="231F20"/>
          <w:spacing w:val="-3"/>
          <w:w w:val="120"/>
        </w:rPr>
        <w:t> </w:t>
      </w:r>
      <w:r>
        <w:rPr>
          <w:color w:val="231F20"/>
          <w:w w:val="120"/>
        </w:rPr>
        <w:t>bien-être</w:t>
      </w:r>
      <w:r>
        <w:rPr>
          <w:color w:val="231F20"/>
          <w:spacing w:val="-3"/>
          <w:w w:val="120"/>
        </w:rPr>
        <w:t> </w:t>
      </w:r>
      <w:r>
        <w:rPr>
          <w:color w:val="231F20"/>
          <w:w w:val="120"/>
        </w:rPr>
        <w:t>des travailleurs et d’estimer les modifications susceptibles de maximiser ce</w:t>
      </w:r>
      <w:r>
        <w:rPr>
          <w:color w:val="231F20"/>
          <w:spacing w:val="-13"/>
          <w:w w:val="120"/>
        </w:rPr>
        <w:t> </w:t>
      </w:r>
      <w:r>
        <w:rPr>
          <w:color w:val="231F20"/>
          <w:w w:val="120"/>
        </w:rPr>
        <w:t>dernier.</w:t>
      </w:r>
    </w:p>
    <w:p>
      <w:pPr>
        <w:pStyle w:val="BodyText"/>
        <w:spacing w:before="7"/>
        <w:rPr>
          <w:sz w:val="21"/>
        </w:rPr>
      </w:pPr>
    </w:p>
    <w:p>
      <w:pPr>
        <w:pStyle w:val="BodyText"/>
        <w:spacing w:line="307" w:lineRule="auto"/>
        <w:ind w:left="1220" w:right="106"/>
        <w:jc w:val="both"/>
      </w:pPr>
      <w:r>
        <w:rPr>
          <w:b/>
          <w:color w:val="231F20"/>
          <w:w w:val="115"/>
        </w:rPr>
        <w:t>Réviser les systèmes de rémunération. </w:t>
      </w:r>
      <w:r>
        <w:rPr>
          <w:color w:val="231F20"/>
          <w:w w:val="115"/>
        </w:rPr>
        <w:t>De plus en plus d’organisations </w:t>
      </w:r>
      <w:r>
        <w:rPr>
          <w:color w:val="231F20"/>
          <w:w w:val="120"/>
        </w:rPr>
        <w:t>personnalisent leurs programmes salariaux en fonction des besoins de chaque</w:t>
      </w:r>
      <w:r>
        <w:rPr>
          <w:color w:val="231F20"/>
          <w:spacing w:val="-13"/>
          <w:w w:val="120"/>
        </w:rPr>
        <w:t> </w:t>
      </w:r>
      <w:r>
        <w:rPr>
          <w:color w:val="231F20"/>
          <w:w w:val="120"/>
        </w:rPr>
        <w:t>travailleur.</w:t>
      </w:r>
      <w:r>
        <w:rPr>
          <w:color w:val="231F20"/>
          <w:spacing w:val="-13"/>
          <w:w w:val="120"/>
        </w:rPr>
        <w:t> </w:t>
      </w:r>
      <w:r>
        <w:rPr>
          <w:color w:val="231F20"/>
          <w:w w:val="120"/>
        </w:rPr>
        <w:t>Il</w:t>
      </w:r>
      <w:r>
        <w:rPr>
          <w:color w:val="231F20"/>
          <w:spacing w:val="-13"/>
          <w:w w:val="120"/>
        </w:rPr>
        <w:t> </w:t>
      </w:r>
      <w:r>
        <w:rPr>
          <w:color w:val="231F20"/>
          <w:w w:val="120"/>
        </w:rPr>
        <w:t>faut</w:t>
      </w:r>
      <w:r>
        <w:rPr>
          <w:color w:val="231F20"/>
          <w:spacing w:val="-12"/>
          <w:w w:val="120"/>
        </w:rPr>
        <w:t> </w:t>
      </w:r>
      <w:r>
        <w:rPr>
          <w:color w:val="231F20"/>
          <w:w w:val="120"/>
        </w:rPr>
        <w:t>accentuer</w:t>
      </w:r>
      <w:r>
        <w:rPr>
          <w:color w:val="231F20"/>
          <w:spacing w:val="-13"/>
          <w:w w:val="120"/>
        </w:rPr>
        <w:t> </w:t>
      </w:r>
      <w:r>
        <w:rPr>
          <w:color w:val="231F20"/>
          <w:w w:val="120"/>
        </w:rPr>
        <w:t>encore</w:t>
      </w:r>
      <w:r>
        <w:rPr>
          <w:color w:val="231F20"/>
          <w:spacing w:val="-13"/>
          <w:w w:val="120"/>
        </w:rPr>
        <w:t> </w:t>
      </w:r>
      <w:r>
        <w:rPr>
          <w:color w:val="231F20"/>
          <w:w w:val="120"/>
        </w:rPr>
        <w:t>plus</w:t>
      </w:r>
      <w:r>
        <w:rPr>
          <w:color w:val="231F20"/>
          <w:spacing w:val="-13"/>
          <w:w w:val="120"/>
        </w:rPr>
        <w:t> </w:t>
      </w:r>
      <w:r>
        <w:rPr>
          <w:color w:val="231F20"/>
          <w:w w:val="120"/>
        </w:rPr>
        <w:t>cette</w:t>
      </w:r>
      <w:r>
        <w:rPr>
          <w:color w:val="231F20"/>
          <w:spacing w:val="-12"/>
          <w:w w:val="120"/>
        </w:rPr>
        <w:t> </w:t>
      </w:r>
      <w:r>
        <w:rPr>
          <w:color w:val="231F20"/>
          <w:w w:val="120"/>
        </w:rPr>
        <w:t>tendance.</w:t>
      </w:r>
      <w:r>
        <w:rPr>
          <w:color w:val="231F20"/>
          <w:spacing w:val="-13"/>
          <w:w w:val="120"/>
        </w:rPr>
        <w:t> </w:t>
      </w:r>
      <w:r>
        <w:rPr>
          <w:color w:val="231F20"/>
          <w:w w:val="120"/>
        </w:rPr>
        <w:t>On</w:t>
      </w:r>
      <w:r>
        <w:rPr>
          <w:color w:val="231F20"/>
          <w:spacing w:val="-13"/>
          <w:w w:val="120"/>
        </w:rPr>
        <w:t> </w:t>
      </w:r>
      <w:r>
        <w:rPr>
          <w:color w:val="231F20"/>
          <w:w w:val="120"/>
        </w:rPr>
        <w:t>peut </w:t>
      </w:r>
      <w:r>
        <w:rPr>
          <w:color w:val="231F20"/>
          <w:spacing w:val="-2"/>
          <w:w w:val="120"/>
        </w:rPr>
        <w:t>tirer</w:t>
      </w:r>
      <w:r>
        <w:rPr>
          <w:color w:val="231F20"/>
          <w:spacing w:val="-6"/>
          <w:w w:val="120"/>
        </w:rPr>
        <w:t> </w:t>
      </w:r>
      <w:r>
        <w:rPr>
          <w:color w:val="231F20"/>
          <w:spacing w:val="-2"/>
          <w:w w:val="120"/>
        </w:rPr>
        <w:t>une</w:t>
      </w:r>
      <w:r>
        <w:rPr>
          <w:color w:val="231F20"/>
          <w:spacing w:val="-6"/>
          <w:w w:val="120"/>
        </w:rPr>
        <w:t> </w:t>
      </w:r>
      <w:r>
        <w:rPr>
          <w:color w:val="231F20"/>
          <w:spacing w:val="-2"/>
          <w:w w:val="120"/>
        </w:rPr>
        <w:t>foule</w:t>
      </w:r>
      <w:r>
        <w:rPr>
          <w:color w:val="231F20"/>
          <w:spacing w:val="-6"/>
          <w:w w:val="120"/>
        </w:rPr>
        <w:t> </w:t>
      </w:r>
      <w:r>
        <w:rPr>
          <w:color w:val="231F20"/>
          <w:spacing w:val="-2"/>
          <w:w w:val="120"/>
        </w:rPr>
        <w:t>d’avantages</w:t>
      </w:r>
      <w:r>
        <w:rPr>
          <w:color w:val="231F20"/>
          <w:spacing w:val="-6"/>
          <w:w w:val="120"/>
        </w:rPr>
        <w:t> </w:t>
      </w:r>
      <w:r>
        <w:rPr>
          <w:color w:val="231F20"/>
          <w:spacing w:val="-2"/>
          <w:w w:val="120"/>
        </w:rPr>
        <w:t>des</w:t>
      </w:r>
      <w:r>
        <w:rPr>
          <w:color w:val="231F20"/>
          <w:spacing w:val="-6"/>
          <w:w w:val="120"/>
        </w:rPr>
        <w:t> </w:t>
      </w:r>
      <w:r>
        <w:rPr>
          <w:color w:val="231F20"/>
          <w:spacing w:val="-2"/>
          <w:w w:val="120"/>
        </w:rPr>
        <w:t>théories</w:t>
      </w:r>
      <w:r>
        <w:rPr>
          <w:color w:val="231F20"/>
          <w:spacing w:val="-6"/>
          <w:w w:val="120"/>
        </w:rPr>
        <w:t> </w:t>
      </w:r>
      <w:r>
        <w:rPr>
          <w:color w:val="231F20"/>
          <w:spacing w:val="-2"/>
          <w:w w:val="120"/>
        </w:rPr>
        <w:t>récentes</w:t>
      </w:r>
      <w:r>
        <w:rPr>
          <w:color w:val="231F20"/>
          <w:spacing w:val="-6"/>
          <w:w w:val="120"/>
        </w:rPr>
        <w:t> </w:t>
      </w:r>
      <w:r>
        <w:rPr>
          <w:color w:val="231F20"/>
          <w:spacing w:val="-2"/>
          <w:w w:val="120"/>
        </w:rPr>
        <w:t>qui</w:t>
      </w:r>
      <w:r>
        <w:rPr>
          <w:color w:val="231F20"/>
          <w:spacing w:val="-6"/>
          <w:w w:val="120"/>
        </w:rPr>
        <w:t> </w:t>
      </w:r>
      <w:r>
        <w:rPr>
          <w:color w:val="231F20"/>
          <w:spacing w:val="-2"/>
          <w:w w:val="120"/>
        </w:rPr>
        <w:t>portent</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rému- nération,</w:t>
      </w:r>
      <w:r>
        <w:rPr>
          <w:color w:val="231F20"/>
          <w:spacing w:val="-13"/>
          <w:w w:val="120"/>
        </w:rPr>
        <w:t> </w:t>
      </w:r>
      <w:r>
        <w:rPr>
          <w:color w:val="231F20"/>
          <w:spacing w:val="-2"/>
          <w:w w:val="120"/>
        </w:rPr>
        <w:t>l’équité</w:t>
      </w:r>
      <w:r>
        <w:rPr>
          <w:color w:val="231F20"/>
          <w:spacing w:val="-11"/>
          <w:w w:val="120"/>
        </w:rPr>
        <w:t> </w:t>
      </w:r>
      <w:r>
        <w:rPr>
          <w:color w:val="231F20"/>
          <w:spacing w:val="-2"/>
          <w:w w:val="120"/>
        </w:rPr>
        <w:t>ou</w:t>
      </w:r>
      <w:r>
        <w:rPr>
          <w:color w:val="231F20"/>
          <w:spacing w:val="-11"/>
          <w:w w:val="120"/>
        </w:rPr>
        <w:t> </w:t>
      </w:r>
      <w:r>
        <w:rPr>
          <w:color w:val="231F20"/>
          <w:spacing w:val="-2"/>
          <w:w w:val="120"/>
        </w:rPr>
        <w:t>les</w:t>
      </w:r>
      <w:r>
        <w:rPr>
          <w:color w:val="231F20"/>
          <w:spacing w:val="-10"/>
          <w:w w:val="120"/>
        </w:rPr>
        <w:t> </w:t>
      </w:r>
      <w:r>
        <w:rPr>
          <w:color w:val="231F20"/>
          <w:spacing w:val="-2"/>
          <w:w w:val="120"/>
        </w:rPr>
        <w:t>attentes</w:t>
      </w:r>
      <w:r>
        <w:rPr>
          <w:color w:val="231F20"/>
          <w:spacing w:val="-11"/>
          <w:w w:val="120"/>
        </w:rPr>
        <w:t> </w:t>
      </w:r>
      <w:r>
        <w:rPr>
          <w:color w:val="231F20"/>
          <w:spacing w:val="-2"/>
          <w:w w:val="120"/>
        </w:rPr>
        <w:t>au</w:t>
      </w:r>
      <w:r>
        <w:rPr>
          <w:color w:val="231F20"/>
          <w:spacing w:val="-11"/>
          <w:w w:val="120"/>
        </w:rPr>
        <w:t> </w:t>
      </w:r>
      <w:r>
        <w:rPr>
          <w:color w:val="231F20"/>
          <w:spacing w:val="-2"/>
          <w:w w:val="120"/>
        </w:rPr>
        <w:t>travail19.</w:t>
      </w:r>
      <w:r>
        <w:rPr>
          <w:color w:val="231F20"/>
          <w:spacing w:val="-11"/>
          <w:w w:val="120"/>
        </w:rPr>
        <w:t> </w:t>
      </w:r>
      <w:r>
        <w:rPr>
          <w:color w:val="231F20"/>
          <w:spacing w:val="-2"/>
          <w:w w:val="120"/>
        </w:rPr>
        <w:t>Pour</w:t>
      </w:r>
      <w:r>
        <w:rPr>
          <w:color w:val="231F20"/>
          <w:spacing w:val="-10"/>
          <w:w w:val="120"/>
        </w:rPr>
        <w:t> </w:t>
      </w:r>
      <w:r>
        <w:rPr>
          <w:color w:val="231F20"/>
          <w:spacing w:val="-2"/>
          <w:w w:val="120"/>
        </w:rPr>
        <w:t>ce</w:t>
      </w:r>
      <w:r>
        <w:rPr>
          <w:color w:val="231F20"/>
          <w:spacing w:val="-11"/>
          <w:w w:val="120"/>
        </w:rPr>
        <w:t> </w:t>
      </w:r>
      <w:r>
        <w:rPr>
          <w:color w:val="231F20"/>
          <w:spacing w:val="-2"/>
          <w:w w:val="120"/>
        </w:rPr>
        <w:t>qui</w:t>
      </w:r>
      <w:r>
        <w:rPr>
          <w:color w:val="231F20"/>
          <w:spacing w:val="-11"/>
          <w:w w:val="120"/>
        </w:rPr>
        <w:t> </w:t>
      </w:r>
      <w:r>
        <w:rPr>
          <w:color w:val="231F20"/>
          <w:spacing w:val="-2"/>
          <w:w w:val="120"/>
        </w:rPr>
        <w:t>est</w:t>
      </w:r>
      <w:r>
        <w:rPr>
          <w:color w:val="231F20"/>
          <w:spacing w:val="-11"/>
          <w:w w:val="120"/>
        </w:rPr>
        <w:t> </w:t>
      </w:r>
      <w:r>
        <w:rPr>
          <w:color w:val="231F20"/>
          <w:spacing w:val="-2"/>
          <w:w w:val="120"/>
        </w:rPr>
        <w:t>des</w:t>
      </w:r>
      <w:r>
        <w:rPr>
          <w:color w:val="231F20"/>
          <w:spacing w:val="-10"/>
          <w:w w:val="120"/>
        </w:rPr>
        <w:t> </w:t>
      </w:r>
      <w:r>
        <w:rPr>
          <w:color w:val="231F20"/>
          <w:spacing w:val="-2"/>
          <w:w w:val="120"/>
        </w:rPr>
        <w:t>attentes, les</w:t>
      </w:r>
      <w:r>
        <w:rPr>
          <w:color w:val="231F20"/>
          <w:spacing w:val="-11"/>
          <w:w w:val="120"/>
        </w:rPr>
        <w:t> </w:t>
      </w:r>
      <w:r>
        <w:rPr>
          <w:color w:val="231F20"/>
          <w:spacing w:val="-2"/>
          <w:w w:val="120"/>
        </w:rPr>
        <w:t>gestionnaires</w:t>
      </w:r>
      <w:r>
        <w:rPr>
          <w:color w:val="231F20"/>
          <w:spacing w:val="-11"/>
          <w:w w:val="120"/>
        </w:rPr>
        <w:t> </w:t>
      </w:r>
      <w:r>
        <w:rPr>
          <w:color w:val="231F20"/>
          <w:spacing w:val="-2"/>
          <w:w w:val="120"/>
        </w:rPr>
        <w:t>des</w:t>
      </w:r>
      <w:r>
        <w:rPr>
          <w:color w:val="231F20"/>
          <w:spacing w:val="-11"/>
          <w:w w:val="120"/>
        </w:rPr>
        <w:t> </w:t>
      </w:r>
      <w:r>
        <w:rPr>
          <w:color w:val="231F20"/>
          <w:spacing w:val="-2"/>
          <w:w w:val="120"/>
        </w:rPr>
        <w:t>ressources</w:t>
      </w:r>
      <w:r>
        <w:rPr>
          <w:color w:val="231F20"/>
          <w:spacing w:val="-10"/>
          <w:w w:val="120"/>
        </w:rPr>
        <w:t> </w:t>
      </w:r>
      <w:r>
        <w:rPr>
          <w:color w:val="231F20"/>
          <w:spacing w:val="-2"/>
          <w:w w:val="120"/>
        </w:rPr>
        <w:t>humaines</w:t>
      </w:r>
      <w:r>
        <w:rPr>
          <w:color w:val="231F20"/>
          <w:spacing w:val="-11"/>
          <w:w w:val="120"/>
        </w:rPr>
        <w:t> </w:t>
      </w:r>
      <w:r>
        <w:rPr>
          <w:color w:val="231F20"/>
          <w:spacing w:val="-2"/>
          <w:w w:val="120"/>
        </w:rPr>
        <w:t>soutiennent</w:t>
      </w:r>
      <w:r>
        <w:rPr>
          <w:color w:val="231F20"/>
          <w:spacing w:val="-11"/>
          <w:w w:val="120"/>
        </w:rPr>
        <w:t> </w:t>
      </w:r>
      <w:r>
        <w:rPr>
          <w:color w:val="231F20"/>
          <w:spacing w:val="-2"/>
          <w:w w:val="120"/>
        </w:rPr>
        <w:t>qu’un</w:t>
      </w:r>
      <w:r>
        <w:rPr>
          <w:color w:val="231F20"/>
          <w:spacing w:val="-11"/>
          <w:w w:val="120"/>
        </w:rPr>
        <w:t> </w:t>
      </w:r>
      <w:r>
        <w:rPr>
          <w:color w:val="231F20"/>
          <w:spacing w:val="-2"/>
          <w:w w:val="120"/>
        </w:rPr>
        <w:t>programme salarial</w:t>
      </w:r>
      <w:r>
        <w:rPr>
          <w:color w:val="231F20"/>
          <w:spacing w:val="-4"/>
          <w:w w:val="120"/>
        </w:rPr>
        <w:t> </w:t>
      </w:r>
      <w:r>
        <w:rPr>
          <w:color w:val="231F20"/>
          <w:spacing w:val="-2"/>
          <w:w w:val="120"/>
        </w:rPr>
        <w:t>solide</w:t>
      </w:r>
      <w:r>
        <w:rPr>
          <w:color w:val="231F20"/>
          <w:spacing w:val="-4"/>
          <w:w w:val="120"/>
        </w:rPr>
        <w:t> </w:t>
      </w:r>
      <w:r>
        <w:rPr>
          <w:color w:val="231F20"/>
          <w:spacing w:val="-2"/>
          <w:w w:val="120"/>
        </w:rPr>
        <w:t>établit</w:t>
      </w:r>
      <w:r>
        <w:rPr>
          <w:color w:val="231F20"/>
          <w:spacing w:val="-4"/>
          <w:w w:val="120"/>
        </w:rPr>
        <w:t> </w:t>
      </w:r>
      <w:r>
        <w:rPr>
          <w:color w:val="231F20"/>
          <w:spacing w:val="-2"/>
          <w:w w:val="120"/>
        </w:rPr>
        <w:t>clairement</w:t>
      </w:r>
      <w:r>
        <w:rPr>
          <w:color w:val="231F20"/>
          <w:spacing w:val="-4"/>
          <w:w w:val="120"/>
        </w:rPr>
        <w:t> </w:t>
      </w:r>
      <w:r>
        <w:rPr>
          <w:color w:val="231F20"/>
          <w:spacing w:val="-2"/>
          <w:w w:val="120"/>
        </w:rPr>
        <w:t>le</w:t>
      </w:r>
      <w:r>
        <w:rPr>
          <w:color w:val="231F20"/>
          <w:spacing w:val="-4"/>
          <w:w w:val="120"/>
        </w:rPr>
        <w:t> </w:t>
      </w:r>
      <w:r>
        <w:rPr>
          <w:color w:val="231F20"/>
          <w:spacing w:val="-2"/>
          <w:w w:val="120"/>
        </w:rPr>
        <w:t>rapport</w:t>
      </w:r>
      <w:r>
        <w:rPr>
          <w:color w:val="231F20"/>
          <w:spacing w:val="-4"/>
          <w:w w:val="120"/>
        </w:rPr>
        <w:t> </w:t>
      </w:r>
      <w:r>
        <w:rPr>
          <w:color w:val="231F20"/>
          <w:spacing w:val="-2"/>
          <w:w w:val="120"/>
        </w:rPr>
        <w:t>entre</w:t>
      </w:r>
      <w:r>
        <w:rPr>
          <w:color w:val="231F20"/>
          <w:spacing w:val="-4"/>
          <w:w w:val="120"/>
        </w:rPr>
        <w:t> </w:t>
      </w:r>
      <w:r>
        <w:rPr>
          <w:color w:val="231F20"/>
          <w:spacing w:val="-2"/>
          <w:w w:val="120"/>
        </w:rPr>
        <w:t>l’effort</w:t>
      </w:r>
      <w:r>
        <w:rPr>
          <w:color w:val="231F20"/>
          <w:spacing w:val="-4"/>
          <w:w w:val="120"/>
        </w:rPr>
        <w:t> </w:t>
      </w:r>
      <w:r>
        <w:rPr>
          <w:color w:val="231F20"/>
          <w:spacing w:val="-2"/>
          <w:w w:val="120"/>
        </w:rPr>
        <w:t>et</w:t>
      </w:r>
      <w:r>
        <w:rPr>
          <w:color w:val="231F20"/>
          <w:spacing w:val="-4"/>
          <w:w w:val="120"/>
        </w:rPr>
        <w:t> </w:t>
      </w:r>
      <w:r>
        <w:rPr>
          <w:color w:val="231F20"/>
          <w:spacing w:val="-2"/>
          <w:w w:val="120"/>
        </w:rPr>
        <w:t>le</w:t>
      </w:r>
      <w:r>
        <w:rPr>
          <w:color w:val="231F20"/>
          <w:spacing w:val="-4"/>
          <w:w w:val="120"/>
        </w:rPr>
        <w:t> </w:t>
      </w:r>
      <w:r>
        <w:rPr>
          <w:color w:val="231F20"/>
          <w:spacing w:val="-2"/>
          <w:w w:val="120"/>
        </w:rPr>
        <w:t>rendement. </w:t>
      </w:r>
      <w:r>
        <w:rPr>
          <w:color w:val="231F20"/>
          <w:w w:val="120"/>
        </w:rPr>
        <w:t>Ils</w:t>
      </w:r>
      <w:r>
        <w:rPr>
          <w:color w:val="231F20"/>
          <w:spacing w:val="-11"/>
          <w:w w:val="120"/>
        </w:rPr>
        <w:t> </w:t>
      </w:r>
      <w:r>
        <w:rPr>
          <w:color w:val="231F20"/>
          <w:w w:val="120"/>
        </w:rPr>
        <w:t>doivent</w:t>
      </w:r>
      <w:r>
        <w:rPr>
          <w:color w:val="231F20"/>
          <w:spacing w:val="-11"/>
          <w:w w:val="120"/>
        </w:rPr>
        <w:t> </w:t>
      </w:r>
      <w:r>
        <w:rPr>
          <w:color w:val="231F20"/>
          <w:w w:val="120"/>
        </w:rPr>
        <w:t>veiller</w:t>
      </w:r>
      <w:r>
        <w:rPr>
          <w:color w:val="231F20"/>
          <w:spacing w:val="-11"/>
          <w:w w:val="120"/>
        </w:rPr>
        <w:t> </w:t>
      </w:r>
      <w:r>
        <w:rPr>
          <w:color w:val="231F20"/>
          <w:w w:val="120"/>
        </w:rPr>
        <w:t>à</w:t>
      </w:r>
      <w:r>
        <w:rPr>
          <w:color w:val="231F20"/>
          <w:spacing w:val="-11"/>
          <w:w w:val="120"/>
        </w:rPr>
        <w:t> </w:t>
      </w:r>
      <w:r>
        <w:rPr>
          <w:color w:val="231F20"/>
          <w:w w:val="120"/>
        </w:rPr>
        <w:t>ce</w:t>
      </w:r>
      <w:r>
        <w:rPr>
          <w:color w:val="231F20"/>
          <w:spacing w:val="-11"/>
          <w:w w:val="120"/>
        </w:rPr>
        <w:t> </w:t>
      </w:r>
      <w:r>
        <w:rPr>
          <w:color w:val="231F20"/>
          <w:w w:val="120"/>
        </w:rPr>
        <w:t>que</w:t>
      </w:r>
      <w:r>
        <w:rPr>
          <w:color w:val="231F20"/>
          <w:spacing w:val="-11"/>
          <w:w w:val="120"/>
        </w:rPr>
        <w:t> </w:t>
      </w:r>
      <w:r>
        <w:rPr>
          <w:color w:val="231F20"/>
          <w:w w:val="120"/>
        </w:rPr>
        <w:t>ces</w:t>
      </w:r>
      <w:r>
        <w:rPr>
          <w:color w:val="231F20"/>
          <w:spacing w:val="-11"/>
          <w:w w:val="120"/>
        </w:rPr>
        <w:t> </w:t>
      </w:r>
      <w:r>
        <w:rPr>
          <w:color w:val="231F20"/>
          <w:w w:val="120"/>
        </w:rPr>
        <w:t>relations</w:t>
      </w:r>
      <w:r>
        <w:rPr>
          <w:color w:val="231F20"/>
          <w:spacing w:val="-11"/>
          <w:w w:val="120"/>
        </w:rPr>
        <w:t> </w:t>
      </w:r>
      <w:r>
        <w:rPr>
          <w:color w:val="231F20"/>
          <w:w w:val="120"/>
        </w:rPr>
        <w:t>soient</w:t>
      </w:r>
      <w:r>
        <w:rPr>
          <w:color w:val="231F20"/>
          <w:spacing w:val="-11"/>
          <w:w w:val="120"/>
        </w:rPr>
        <w:t> </w:t>
      </w:r>
      <w:r>
        <w:rPr>
          <w:color w:val="231F20"/>
          <w:w w:val="120"/>
        </w:rPr>
        <w:t>aussi</w:t>
      </w:r>
      <w:r>
        <w:rPr>
          <w:color w:val="231F20"/>
          <w:spacing w:val="-11"/>
          <w:w w:val="120"/>
        </w:rPr>
        <w:t> </w:t>
      </w:r>
      <w:r>
        <w:rPr>
          <w:color w:val="231F20"/>
          <w:w w:val="120"/>
        </w:rPr>
        <w:t>claires</w:t>
      </w:r>
      <w:r>
        <w:rPr>
          <w:color w:val="231F20"/>
          <w:spacing w:val="-11"/>
          <w:w w:val="120"/>
        </w:rPr>
        <w:t> </w:t>
      </w:r>
      <w:r>
        <w:rPr>
          <w:color w:val="231F20"/>
          <w:w w:val="120"/>
        </w:rPr>
        <w:t>et</w:t>
      </w:r>
      <w:r>
        <w:rPr>
          <w:color w:val="231F20"/>
          <w:spacing w:val="-11"/>
          <w:w w:val="120"/>
        </w:rPr>
        <w:t> </w:t>
      </w:r>
      <w:r>
        <w:rPr>
          <w:color w:val="231F20"/>
          <w:w w:val="120"/>
        </w:rPr>
        <w:t>explicites que</w:t>
      </w:r>
      <w:r>
        <w:rPr>
          <w:color w:val="231F20"/>
          <w:spacing w:val="-15"/>
          <w:w w:val="120"/>
        </w:rPr>
        <w:t> </w:t>
      </w:r>
      <w:r>
        <w:rPr>
          <w:color w:val="231F20"/>
          <w:w w:val="120"/>
        </w:rPr>
        <w:t>possible</w:t>
      </w:r>
      <w:r>
        <w:rPr>
          <w:color w:val="231F20"/>
          <w:spacing w:val="-13"/>
          <w:w w:val="120"/>
        </w:rPr>
        <w:t> </w:t>
      </w:r>
      <w:r>
        <w:rPr>
          <w:color w:val="231F20"/>
          <w:w w:val="120"/>
        </w:rPr>
        <w:t>afin</w:t>
      </w:r>
      <w:r>
        <w:rPr>
          <w:color w:val="231F20"/>
          <w:spacing w:val="-13"/>
          <w:w w:val="120"/>
        </w:rPr>
        <w:t> </w:t>
      </w:r>
      <w:r>
        <w:rPr>
          <w:color w:val="231F20"/>
          <w:w w:val="120"/>
        </w:rPr>
        <w:t>d’éviter</w:t>
      </w:r>
      <w:r>
        <w:rPr>
          <w:color w:val="231F20"/>
          <w:spacing w:val="-12"/>
          <w:w w:val="120"/>
        </w:rPr>
        <w:t> </w:t>
      </w:r>
      <w:r>
        <w:rPr>
          <w:color w:val="231F20"/>
          <w:w w:val="120"/>
        </w:rPr>
        <w:t>de</w:t>
      </w:r>
      <w:r>
        <w:rPr>
          <w:color w:val="231F20"/>
          <w:spacing w:val="-13"/>
          <w:w w:val="120"/>
        </w:rPr>
        <w:t> </w:t>
      </w:r>
      <w:r>
        <w:rPr>
          <w:color w:val="231F20"/>
          <w:w w:val="120"/>
        </w:rPr>
        <w:t>causer</w:t>
      </w:r>
      <w:r>
        <w:rPr>
          <w:color w:val="231F20"/>
          <w:spacing w:val="-13"/>
          <w:w w:val="120"/>
        </w:rPr>
        <w:t> </w:t>
      </w:r>
      <w:r>
        <w:rPr>
          <w:color w:val="231F20"/>
          <w:w w:val="120"/>
        </w:rPr>
        <w:t>des</w:t>
      </w:r>
      <w:r>
        <w:rPr>
          <w:color w:val="231F20"/>
          <w:spacing w:val="-13"/>
          <w:w w:val="120"/>
        </w:rPr>
        <w:t> </w:t>
      </w:r>
      <w:r>
        <w:rPr>
          <w:color w:val="231F20"/>
          <w:w w:val="120"/>
        </w:rPr>
        <w:t>tensions.</w:t>
      </w:r>
      <w:r>
        <w:rPr>
          <w:color w:val="231F20"/>
          <w:spacing w:val="-12"/>
          <w:w w:val="120"/>
        </w:rPr>
        <w:t> </w:t>
      </w:r>
      <w:r>
        <w:rPr>
          <w:color w:val="231F20"/>
          <w:w w:val="120"/>
        </w:rPr>
        <w:t>Sur</w:t>
      </w:r>
      <w:r>
        <w:rPr>
          <w:color w:val="231F20"/>
          <w:spacing w:val="-13"/>
          <w:w w:val="120"/>
        </w:rPr>
        <w:t> </w:t>
      </w:r>
      <w:r>
        <w:rPr>
          <w:color w:val="231F20"/>
          <w:w w:val="120"/>
        </w:rPr>
        <w:t>le</w:t>
      </w:r>
      <w:r>
        <w:rPr>
          <w:color w:val="231F20"/>
          <w:spacing w:val="-13"/>
          <w:w w:val="120"/>
        </w:rPr>
        <w:t> </w:t>
      </w:r>
      <w:r>
        <w:rPr>
          <w:color w:val="231F20"/>
          <w:w w:val="120"/>
        </w:rPr>
        <w:t>plan</w:t>
      </w:r>
      <w:r>
        <w:rPr>
          <w:color w:val="231F20"/>
          <w:spacing w:val="-13"/>
          <w:w w:val="120"/>
        </w:rPr>
        <w:t> </w:t>
      </w:r>
      <w:r>
        <w:rPr>
          <w:color w:val="231F20"/>
          <w:w w:val="120"/>
        </w:rPr>
        <w:t>de</w:t>
      </w:r>
      <w:r>
        <w:rPr>
          <w:color w:val="231F20"/>
          <w:spacing w:val="-12"/>
          <w:w w:val="120"/>
        </w:rPr>
        <w:t> </w:t>
      </w:r>
      <w:r>
        <w:rPr>
          <w:color w:val="231F20"/>
          <w:w w:val="120"/>
        </w:rPr>
        <w:t>l’équité, </w:t>
      </w:r>
      <w:r>
        <w:rPr>
          <w:color w:val="231F20"/>
          <w:w w:val="115"/>
        </w:rPr>
        <w:t>la</w:t>
      </w:r>
      <w:r>
        <w:rPr>
          <w:color w:val="231F20"/>
          <w:spacing w:val="-13"/>
          <w:w w:val="115"/>
        </w:rPr>
        <w:t> </w:t>
      </w:r>
      <w:r>
        <w:rPr>
          <w:color w:val="231F20"/>
          <w:w w:val="115"/>
        </w:rPr>
        <w:t>politique</w:t>
      </w:r>
      <w:r>
        <w:rPr>
          <w:color w:val="231F20"/>
          <w:spacing w:val="-12"/>
          <w:w w:val="115"/>
        </w:rPr>
        <w:t> </w:t>
      </w:r>
      <w:r>
        <w:rPr>
          <w:color w:val="231F20"/>
          <w:w w:val="115"/>
        </w:rPr>
        <w:t>salariale</w:t>
      </w:r>
      <w:r>
        <w:rPr>
          <w:color w:val="231F20"/>
          <w:spacing w:val="-12"/>
          <w:w w:val="115"/>
        </w:rPr>
        <w:t> </w:t>
      </w:r>
      <w:r>
        <w:rPr>
          <w:color w:val="231F20"/>
          <w:w w:val="115"/>
        </w:rPr>
        <w:t>de</w:t>
      </w:r>
      <w:r>
        <w:rPr>
          <w:color w:val="231F20"/>
          <w:spacing w:val="-12"/>
          <w:w w:val="115"/>
        </w:rPr>
        <w:t> </w:t>
      </w:r>
      <w:r>
        <w:rPr>
          <w:color w:val="231F20"/>
          <w:w w:val="115"/>
        </w:rPr>
        <w:t>l’entreprise</w:t>
      </w:r>
      <w:r>
        <w:rPr>
          <w:color w:val="231F20"/>
          <w:spacing w:val="-13"/>
          <w:w w:val="115"/>
        </w:rPr>
        <w:t> </w:t>
      </w:r>
      <w:r>
        <w:rPr>
          <w:color w:val="231F20"/>
          <w:w w:val="115"/>
        </w:rPr>
        <w:t>doit</w:t>
      </w:r>
      <w:r>
        <w:rPr>
          <w:color w:val="231F20"/>
          <w:spacing w:val="-12"/>
          <w:w w:val="115"/>
        </w:rPr>
        <w:t> </w:t>
      </w:r>
      <w:r>
        <w:rPr>
          <w:color w:val="231F20"/>
          <w:w w:val="115"/>
        </w:rPr>
        <w:t>être</w:t>
      </w:r>
      <w:r>
        <w:rPr>
          <w:color w:val="231F20"/>
          <w:spacing w:val="-12"/>
          <w:w w:val="115"/>
        </w:rPr>
        <w:t> </w:t>
      </w:r>
      <w:r>
        <w:rPr>
          <w:color w:val="231F20"/>
          <w:w w:val="115"/>
        </w:rPr>
        <w:t>rendue</w:t>
      </w:r>
      <w:r>
        <w:rPr>
          <w:color w:val="231F20"/>
          <w:spacing w:val="-12"/>
          <w:w w:val="115"/>
        </w:rPr>
        <w:t> </w:t>
      </w:r>
      <w:r>
        <w:rPr>
          <w:color w:val="231F20"/>
          <w:w w:val="115"/>
        </w:rPr>
        <w:t>publique.</w:t>
      </w:r>
      <w:r>
        <w:rPr>
          <w:color w:val="231F20"/>
          <w:spacing w:val="-12"/>
          <w:w w:val="115"/>
        </w:rPr>
        <w:t> </w:t>
      </w:r>
      <w:r>
        <w:rPr>
          <w:color w:val="231F20"/>
          <w:w w:val="115"/>
        </w:rPr>
        <w:t>Cela</w:t>
      </w:r>
      <w:r>
        <w:rPr>
          <w:color w:val="231F20"/>
          <w:spacing w:val="-13"/>
          <w:w w:val="115"/>
        </w:rPr>
        <w:t> </w:t>
      </w:r>
      <w:r>
        <w:rPr>
          <w:color w:val="231F20"/>
          <w:w w:val="115"/>
        </w:rPr>
        <w:t>signifie </w:t>
      </w:r>
      <w:r>
        <w:rPr>
          <w:color w:val="231F20"/>
          <w:spacing w:val="-4"/>
          <w:w w:val="120"/>
        </w:rPr>
        <w:t>que la direction communique aux travailleurs les modifications apportées </w:t>
      </w:r>
      <w:r>
        <w:rPr>
          <w:color w:val="231F20"/>
          <w:w w:val="120"/>
        </w:rPr>
        <w:t>à</w:t>
      </w:r>
      <w:r>
        <w:rPr>
          <w:color w:val="231F20"/>
          <w:spacing w:val="-5"/>
          <w:w w:val="120"/>
        </w:rPr>
        <w:t> </w:t>
      </w:r>
      <w:r>
        <w:rPr>
          <w:color w:val="231F20"/>
          <w:w w:val="120"/>
        </w:rPr>
        <w:t>la</w:t>
      </w:r>
      <w:r>
        <w:rPr>
          <w:color w:val="231F20"/>
          <w:spacing w:val="-5"/>
          <w:w w:val="120"/>
        </w:rPr>
        <w:t> </w:t>
      </w:r>
      <w:r>
        <w:rPr>
          <w:color w:val="231F20"/>
          <w:w w:val="120"/>
        </w:rPr>
        <w:t>politique</w:t>
      </w:r>
      <w:r>
        <w:rPr>
          <w:color w:val="231F20"/>
          <w:spacing w:val="-5"/>
          <w:w w:val="120"/>
        </w:rPr>
        <w:t> </w:t>
      </w:r>
      <w:r>
        <w:rPr>
          <w:color w:val="231F20"/>
          <w:w w:val="120"/>
        </w:rPr>
        <w:t>ainsi</w:t>
      </w:r>
      <w:r>
        <w:rPr>
          <w:color w:val="231F20"/>
          <w:spacing w:val="-5"/>
          <w:w w:val="120"/>
        </w:rPr>
        <w:t> </w:t>
      </w:r>
      <w:r>
        <w:rPr>
          <w:color w:val="231F20"/>
          <w:w w:val="120"/>
        </w:rPr>
        <w:t>que</w:t>
      </w:r>
      <w:r>
        <w:rPr>
          <w:color w:val="231F20"/>
          <w:spacing w:val="-5"/>
          <w:w w:val="120"/>
        </w:rPr>
        <w:t> </w:t>
      </w:r>
      <w:r>
        <w:rPr>
          <w:color w:val="231F20"/>
          <w:w w:val="120"/>
        </w:rPr>
        <w:t>les</w:t>
      </w:r>
      <w:r>
        <w:rPr>
          <w:color w:val="231F20"/>
          <w:spacing w:val="-5"/>
          <w:w w:val="120"/>
        </w:rPr>
        <w:t> </w:t>
      </w:r>
      <w:r>
        <w:rPr>
          <w:color w:val="231F20"/>
          <w:w w:val="120"/>
        </w:rPr>
        <w:t>critères</w:t>
      </w:r>
      <w:r>
        <w:rPr>
          <w:color w:val="231F20"/>
          <w:spacing w:val="-5"/>
          <w:w w:val="120"/>
        </w:rPr>
        <w:t> </w:t>
      </w:r>
      <w:r>
        <w:rPr>
          <w:color w:val="231F20"/>
          <w:w w:val="120"/>
        </w:rPr>
        <w:t>employés,</w:t>
      </w:r>
      <w:r>
        <w:rPr>
          <w:color w:val="231F20"/>
          <w:spacing w:val="-5"/>
          <w:w w:val="120"/>
        </w:rPr>
        <w:t> </w:t>
      </w:r>
      <w:r>
        <w:rPr>
          <w:color w:val="231F20"/>
          <w:w w:val="120"/>
        </w:rPr>
        <w:t>au</w:t>
      </w:r>
      <w:r>
        <w:rPr>
          <w:color w:val="231F20"/>
          <w:spacing w:val="-5"/>
          <w:w w:val="120"/>
        </w:rPr>
        <w:t> </w:t>
      </w:r>
      <w:r>
        <w:rPr>
          <w:color w:val="231F20"/>
          <w:w w:val="120"/>
        </w:rPr>
        <w:t>lieu</w:t>
      </w:r>
      <w:r>
        <w:rPr>
          <w:color w:val="231F20"/>
          <w:spacing w:val="-5"/>
          <w:w w:val="120"/>
        </w:rPr>
        <w:t> </w:t>
      </w:r>
      <w:r>
        <w:rPr>
          <w:color w:val="231F20"/>
          <w:w w:val="120"/>
        </w:rPr>
        <w:t>de</w:t>
      </w:r>
      <w:r>
        <w:rPr>
          <w:color w:val="231F20"/>
          <w:spacing w:val="-5"/>
          <w:w w:val="120"/>
        </w:rPr>
        <w:t> </w:t>
      </w:r>
      <w:r>
        <w:rPr>
          <w:color w:val="231F20"/>
          <w:w w:val="120"/>
        </w:rPr>
        <w:t>les</w:t>
      </w:r>
      <w:r>
        <w:rPr>
          <w:color w:val="231F20"/>
          <w:spacing w:val="-5"/>
          <w:w w:val="120"/>
        </w:rPr>
        <w:t> </w:t>
      </w:r>
      <w:r>
        <w:rPr>
          <w:color w:val="231F20"/>
          <w:w w:val="120"/>
        </w:rPr>
        <w:t>garder</w:t>
      </w:r>
      <w:r>
        <w:rPr>
          <w:color w:val="231F20"/>
          <w:spacing w:val="-5"/>
          <w:w w:val="120"/>
        </w:rPr>
        <w:t> </w:t>
      </w:r>
      <w:r>
        <w:rPr>
          <w:color w:val="231F20"/>
          <w:w w:val="120"/>
        </w:rPr>
        <w:t>sous clé. Évidemment, on cherche ainsi à réduire les tensions pouvant être associées</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rémunération</w:t>
      </w:r>
      <w:r>
        <w:rPr>
          <w:color w:val="231F20"/>
          <w:spacing w:val="-12"/>
          <w:w w:val="120"/>
        </w:rPr>
        <w:t> </w:t>
      </w:r>
      <w:r>
        <w:rPr>
          <w:color w:val="231F20"/>
          <w:w w:val="120"/>
        </w:rPr>
        <w:t>par</w:t>
      </w:r>
      <w:r>
        <w:rPr>
          <w:color w:val="231F20"/>
          <w:spacing w:val="-13"/>
          <w:w w:val="120"/>
        </w:rPr>
        <w:t> </w:t>
      </w:r>
      <w:r>
        <w:rPr>
          <w:color w:val="231F20"/>
          <w:w w:val="120"/>
        </w:rPr>
        <w:t>la</w:t>
      </w:r>
      <w:r>
        <w:rPr>
          <w:color w:val="231F20"/>
          <w:spacing w:val="-13"/>
          <w:w w:val="120"/>
        </w:rPr>
        <w:t> </w:t>
      </w:r>
      <w:r>
        <w:rPr>
          <w:color w:val="231F20"/>
          <w:w w:val="120"/>
        </w:rPr>
        <w:t>transparence</w:t>
      </w:r>
      <w:r>
        <w:rPr>
          <w:color w:val="231F20"/>
          <w:spacing w:val="-13"/>
          <w:w w:val="120"/>
        </w:rPr>
        <w:t> </w:t>
      </w:r>
      <w:r>
        <w:rPr>
          <w:color w:val="231F20"/>
          <w:w w:val="120"/>
        </w:rPr>
        <w:t>et</w:t>
      </w:r>
      <w:r>
        <w:rPr>
          <w:color w:val="231F20"/>
          <w:spacing w:val="-12"/>
          <w:w w:val="120"/>
        </w:rPr>
        <w:t> </w:t>
      </w:r>
      <w:r>
        <w:rPr>
          <w:color w:val="231F20"/>
          <w:w w:val="120"/>
        </w:rPr>
        <w:t>l’individualisation</w:t>
      </w:r>
      <w:r>
        <w:rPr>
          <w:color w:val="231F20"/>
          <w:spacing w:val="-13"/>
          <w:w w:val="120"/>
        </w:rPr>
        <w:t> </w:t>
      </w:r>
      <w:r>
        <w:rPr>
          <w:color w:val="231F20"/>
          <w:w w:val="120"/>
        </w:rPr>
        <w:t>du traitement</w:t>
      </w:r>
      <w:r>
        <w:rPr>
          <w:color w:val="231F20"/>
          <w:spacing w:val="-13"/>
          <w:w w:val="120"/>
        </w:rPr>
        <w:t> </w:t>
      </w:r>
      <w:r>
        <w:rPr>
          <w:color w:val="231F20"/>
          <w:w w:val="120"/>
        </w:rPr>
        <w:t>salarial.</w:t>
      </w:r>
    </w:p>
    <w:p>
      <w:pPr>
        <w:pStyle w:val="BodyText"/>
        <w:spacing w:before="6"/>
        <w:rPr>
          <w:sz w:val="21"/>
        </w:rPr>
      </w:pPr>
    </w:p>
    <w:p>
      <w:pPr>
        <w:pStyle w:val="BodyText"/>
        <w:spacing w:line="307" w:lineRule="auto"/>
        <w:ind w:left="1220" w:right="104"/>
        <w:jc w:val="both"/>
      </w:pPr>
      <w:r>
        <w:rPr>
          <w:b/>
          <w:color w:val="231F20"/>
          <w:spacing w:val="-2"/>
          <w:w w:val="115"/>
        </w:rPr>
        <w:t>Reconsidérer</w:t>
      </w:r>
      <w:r>
        <w:rPr>
          <w:b/>
          <w:color w:val="231F20"/>
          <w:spacing w:val="-11"/>
          <w:w w:val="115"/>
        </w:rPr>
        <w:t> </w:t>
      </w:r>
      <w:r>
        <w:rPr>
          <w:b/>
          <w:color w:val="231F20"/>
          <w:spacing w:val="-2"/>
          <w:w w:val="115"/>
        </w:rPr>
        <w:t>le</w:t>
      </w:r>
      <w:r>
        <w:rPr>
          <w:b/>
          <w:color w:val="231F20"/>
          <w:spacing w:val="-10"/>
          <w:w w:val="115"/>
        </w:rPr>
        <w:t> </w:t>
      </w:r>
      <w:r>
        <w:rPr>
          <w:b/>
          <w:color w:val="231F20"/>
          <w:spacing w:val="-2"/>
          <w:w w:val="115"/>
        </w:rPr>
        <w:t>temps</w:t>
      </w:r>
      <w:r>
        <w:rPr>
          <w:b/>
          <w:color w:val="231F20"/>
          <w:spacing w:val="-10"/>
          <w:w w:val="115"/>
        </w:rPr>
        <w:t> </w:t>
      </w:r>
      <w:r>
        <w:rPr>
          <w:b/>
          <w:color w:val="231F20"/>
          <w:spacing w:val="-2"/>
          <w:w w:val="115"/>
        </w:rPr>
        <w:t>de</w:t>
      </w:r>
      <w:r>
        <w:rPr>
          <w:b/>
          <w:color w:val="231F20"/>
          <w:spacing w:val="-10"/>
          <w:w w:val="115"/>
        </w:rPr>
        <w:t> </w:t>
      </w:r>
      <w:r>
        <w:rPr>
          <w:b/>
          <w:color w:val="231F20"/>
          <w:spacing w:val="-2"/>
          <w:w w:val="115"/>
        </w:rPr>
        <w:t>travail.</w:t>
      </w:r>
      <w:r>
        <w:rPr>
          <w:b/>
          <w:color w:val="231F20"/>
          <w:spacing w:val="-11"/>
          <w:w w:val="115"/>
        </w:rPr>
        <w:t> </w:t>
      </w:r>
      <w:r>
        <w:rPr>
          <w:color w:val="231F20"/>
          <w:spacing w:val="-2"/>
          <w:w w:val="115"/>
        </w:rPr>
        <w:t>Il</w:t>
      </w:r>
      <w:r>
        <w:rPr>
          <w:color w:val="231F20"/>
          <w:spacing w:val="-7"/>
          <w:w w:val="115"/>
        </w:rPr>
        <w:t> </w:t>
      </w:r>
      <w:r>
        <w:rPr>
          <w:color w:val="231F20"/>
          <w:spacing w:val="-2"/>
          <w:w w:val="115"/>
        </w:rPr>
        <w:t>est</w:t>
      </w:r>
      <w:r>
        <w:rPr>
          <w:color w:val="231F20"/>
          <w:spacing w:val="-8"/>
          <w:w w:val="115"/>
        </w:rPr>
        <w:t> </w:t>
      </w:r>
      <w:r>
        <w:rPr>
          <w:color w:val="231F20"/>
          <w:spacing w:val="-2"/>
          <w:w w:val="115"/>
        </w:rPr>
        <w:t>de</w:t>
      </w:r>
      <w:r>
        <w:rPr>
          <w:color w:val="231F20"/>
          <w:spacing w:val="-8"/>
          <w:w w:val="115"/>
        </w:rPr>
        <w:t> </w:t>
      </w:r>
      <w:r>
        <w:rPr>
          <w:color w:val="231F20"/>
          <w:spacing w:val="-2"/>
          <w:w w:val="115"/>
        </w:rPr>
        <w:t>plus</w:t>
      </w:r>
      <w:r>
        <w:rPr>
          <w:color w:val="231F20"/>
          <w:spacing w:val="-8"/>
          <w:w w:val="115"/>
        </w:rPr>
        <w:t> </w:t>
      </w:r>
      <w:r>
        <w:rPr>
          <w:color w:val="231F20"/>
          <w:spacing w:val="-2"/>
          <w:w w:val="115"/>
        </w:rPr>
        <w:t>en</w:t>
      </w:r>
      <w:r>
        <w:rPr>
          <w:color w:val="231F20"/>
          <w:spacing w:val="-8"/>
          <w:w w:val="115"/>
        </w:rPr>
        <w:t> </w:t>
      </w:r>
      <w:r>
        <w:rPr>
          <w:color w:val="231F20"/>
          <w:spacing w:val="-2"/>
          <w:w w:val="115"/>
        </w:rPr>
        <w:t>plus</w:t>
      </w:r>
      <w:r>
        <w:rPr>
          <w:color w:val="231F20"/>
          <w:spacing w:val="-8"/>
          <w:w w:val="115"/>
        </w:rPr>
        <w:t> </w:t>
      </w:r>
      <w:r>
        <w:rPr>
          <w:color w:val="231F20"/>
          <w:spacing w:val="-2"/>
          <w:w w:val="115"/>
        </w:rPr>
        <w:t>question</w:t>
      </w:r>
      <w:r>
        <w:rPr>
          <w:color w:val="231F20"/>
          <w:spacing w:val="-8"/>
          <w:w w:val="115"/>
        </w:rPr>
        <w:t> </w:t>
      </w:r>
      <w:r>
        <w:rPr>
          <w:color w:val="231F20"/>
          <w:spacing w:val="-2"/>
          <w:w w:val="115"/>
        </w:rPr>
        <w:t>d’horaires </w:t>
      </w:r>
      <w:r>
        <w:rPr>
          <w:color w:val="231F20"/>
          <w:w w:val="115"/>
        </w:rPr>
        <w:t>de</w:t>
      </w:r>
      <w:r>
        <w:rPr>
          <w:color w:val="231F20"/>
          <w:spacing w:val="-12"/>
          <w:w w:val="115"/>
        </w:rPr>
        <w:t> </w:t>
      </w:r>
      <w:r>
        <w:rPr>
          <w:color w:val="231F20"/>
          <w:w w:val="115"/>
        </w:rPr>
        <w:t>travail</w:t>
      </w:r>
      <w:r>
        <w:rPr>
          <w:color w:val="231F20"/>
          <w:spacing w:val="-12"/>
          <w:w w:val="115"/>
        </w:rPr>
        <w:t> </w:t>
      </w:r>
      <w:r>
        <w:rPr>
          <w:color w:val="231F20"/>
          <w:w w:val="115"/>
        </w:rPr>
        <w:t>variables</w:t>
      </w:r>
      <w:r>
        <w:rPr>
          <w:color w:val="231F20"/>
          <w:spacing w:val="-12"/>
          <w:w w:val="115"/>
        </w:rPr>
        <w:t> </w:t>
      </w:r>
      <w:r>
        <w:rPr>
          <w:color w:val="231F20"/>
          <w:w w:val="115"/>
        </w:rPr>
        <w:t>ou</w:t>
      </w:r>
      <w:r>
        <w:rPr>
          <w:color w:val="231F20"/>
          <w:spacing w:val="-12"/>
          <w:w w:val="115"/>
        </w:rPr>
        <w:t> </w:t>
      </w:r>
      <w:r>
        <w:rPr>
          <w:color w:val="231F20"/>
          <w:w w:val="115"/>
        </w:rPr>
        <w:t>flexibles.</w:t>
      </w:r>
      <w:r>
        <w:rPr>
          <w:color w:val="231F20"/>
          <w:spacing w:val="-12"/>
          <w:w w:val="115"/>
        </w:rPr>
        <w:t> </w:t>
      </w:r>
      <w:r>
        <w:rPr>
          <w:color w:val="231F20"/>
          <w:w w:val="115"/>
        </w:rPr>
        <w:t>Cette</w:t>
      </w:r>
      <w:r>
        <w:rPr>
          <w:color w:val="231F20"/>
          <w:spacing w:val="-12"/>
          <w:w w:val="115"/>
        </w:rPr>
        <w:t> </w:t>
      </w:r>
      <w:r>
        <w:rPr>
          <w:color w:val="231F20"/>
          <w:w w:val="115"/>
        </w:rPr>
        <w:t>approche</w:t>
      </w:r>
      <w:r>
        <w:rPr>
          <w:color w:val="231F20"/>
          <w:spacing w:val="-12"/>
          <w:w w:val="115"/>
        </w:rPr>
        <w:t> </w:t>
      </w:r>
      <w:r>
        <w:rPr>
          <w:color w:val="231F20"/>
          <w:w w:val="115"/>
        </w:rPr>
        <w:t>gagne</w:t>
      </w:r>
      <w:r>
        <w:rPr>
          <w:color w:val="231F20"/>
          <w:spacing w:val="-12"/>
          <w:w w:val="115"/>
        </w:rPr>
        <w:t> </w:t>
      </w:r>
      <w:r>
        <w:rPr>
          <w:color w:val="231F20"/>
          <w:w w:val="115"/>
        </w:rPr>
        <w:t>également</w:t>
      </w:r>
      <w:r>
        <w:rPr>
          <w:color w:val="231F20"/>
          <w:spacing w:val="-12"/>
          <w:w w:val="115"/>
        </w:rPr>
        <w:t> </w:t>
      </w:r>
      <w:r>
        <w:rPr>
          <w:color w:val="231F20"/>
          <w:w w:val="115"/>
        </w:rPr>
        <w:t>en</w:t>
      </w:r>
      <w:r>
        <w:rPr>
          <w:color w:val="231F20"/>
          <w:spacing w:val="-12"/>
          <w:w w:val="115"/>
        </w:rPr>
        <w:t> </w:t>
      </w:r>
      <w:r>
        <w:rPr>
          <w:color w:val="231F20"/>
          <w:w w:val="115"/>
        </w:rPr>
        <w:t>popu- </w:t>
      </w:r>
      <w:r>
        <w:rPr>
          <w:color w:val="231F20"/>
          <w:w w:val="120"/>
        </w:rPr>
        <w:t>larité</w:t>
      </w:r>
      <w:r>
        <w:rPr>
          <w:color w:val="231F20"/>
          <w:spacing w:val="-7"/>
          <w:w w:val="120"/>
        </w:rPr>
        <w:t> </w:t>
      </w:r>
      <w:r>
        <w:rPr>
          <w:color w:val="231F20"/>
          <w:w w:val="120"/>
        </w:rPr>
        <w:t>chez</w:t>
      </w:r>
      <w:r>
        <w:rPr>
          <w:color w:val="231F20"/>
          <w:spacing w:val="-7"/>
          <w:w w:val="120"/>
        </w:rPr>
        <w:t> </w:t>
      </w:r>
      <w:r>
        <w:rPr>
          <w:color w:val="231F20"/>
          <w:w w:val="120"/>
        </w:rPr>
        <w:t>les</w:t>
      </w:r>
      <w:r>
        <w:rPr>
          <w:color w:val="231F20"/>
          <w:spacing w:val="-7"/>
          <w:w w:val="120"/>
        </w:rPr>
        <w:t> </w:t>
      </w:r>
      <w:r>
        <w:rPr>
          <w:color w:val="231F20"/>
          <w:w w:val="120"/>
        </w:rPr>
        <w:t>gestionnaires</w:t>
      </w:r>
      <w:r>
        <w:rPr>
          <w:color w:val="231F20"/>
          <w:spacing w:val="-7"/>
          <w:w w:val="120"/>
        </w:rPr>
        <w:t> </w:t>
      </w:r>
      <w:r>
        <w:rPr>
          <w:color w:val="231F20"/>
          <w:w w:val="120"/>
        </w:rPr>
        <w:t>des</w:t>
      </w:r>
      <w:r>
        <w:rPr>
          <w:color w:val="231F20"/>
          <w:spacing w:val="-7"/>
          <w:w w:val="120"/>
        </w:rPr>
        <w:t> </w:t>
      </w:r>
      <w:r>
        <w:rPr>
          <w:color w:val="231F20"/>
          <w:w w:val="120"/>
        </w:rPr>
        <w:t>ressources</w:t>
      </w:r>
      <w:r>
        <w:rPr>
          <w:color w:val="231F20"/>
          <w:spacing w:val="-7"/>
          <w:w w:val="120"/>
        </w:rPr>
        <w:t> </w:t>
      </w:r>
      <w:r>
        <w:rPr>
          <w:color w:val="231F20"/>
          <w:w w:val="120"/>
        </w:rPr>
        <w:t>humaines.</w:t>
      </w:r>
      <w:r>
        <w:rPr>
          <w:color w:val="231F20"/>
          <w:spacing w:val="-7"/>
          <w:w w:val="120"/>
        </w:rPr>
        <w:t> </w:t>
      </w:r>
      <w:r>
        <w:rPr>
          <w:color w:val="231F20"/>
          <w:w w:val="120"/>
        </w:rPr>
        <w:t>Pour</w:t>
      </w:r>
      <w:r>
        <w:rPr>
          <w:color w:val="231F20"/>
          <w:spacing w:val="-7"/>
          <w:w w:val="120"/>
        </w:rPr>
        <w:t> </w:t>
      </w:r>
      <w:r>
        <w:rPr>
          <w:color w:val="231F20"/>
          <w:w w:val="120"/>
        </w:rPr>
        <w:t>une</w:t>
      </w:r>
      <w:r>
        <w:rPr>
          <w:color w:val="231F20"/>
          <w:spacing w:val="-7"/>
          <w:w w:val="120"/>
        </w:rPr>
        <w:t> </w:t>
      </w:r>
      <w:r>
        <w:rPr>
          <w:color w:val="231F20"/>
          <w:w w:val="120"/>
        </w:rPr>
        <w:t>organi- sation, ce type d’horaire peut résoudre une grande part des problèmes d’assiduité au travail, car il permet à chaque travailleur de choisir les heures d’entrée et de sortie qui lui conviennent le mieux. Ce concept pourrait également s’étendre à un nombre variable d’heures de travail </w:t>
      </w:r>
      <w:r>
        <w:rPr>
          <w:color w:val="231F20"/>
          <w:w w:val="115"/>
        </w:rPr>
        <w:t>par semaine. Globalement, une réflexion se doit d’avoir lieu sur la struc- </w:t>
      </w:r>
      <w:r>
        <w:rPr>
          <w:color w:val="231F20"/>
          <w:w w:val="120"/>
        </w:rPr>
        <w:t>turation</w:t>
      </w:r>
      <w:r>
        <w:rPr>
          <w:color w:val="231F20"/>
          <w:spacing w:val="-1"/>
          <w:w w:val="120"/>
        </w:rPr>
        <w:t> </w:t>
      </w:r>
      <w:r>
        <w:rPr>
          <w:color w:val="231F20"/>
          <w:w w:val="120"/>
        </w:rPr>
        <w:t>du</w:t>
      </w:r>
      <w:r>
        <w:rPr>
          <w:color w:val="231F20"/>
          <w:spacing w:val="-1"/>
          <w:w w:val="120"/>
        </w:rPr>
        <w:t> </w:t>
      </w:r>
      <w:r>
        <w:rPr>
          <w:color w:val="231F20"/>
          <w:w w:val="120"/>
        </w:rPr>
        <w:t>temps</w:t>
      </w:r>
      <w:r>
        <w:rPr>
          <w:color w:val="231F20"/>
          <w:spacing w:val="-1"/>
          <w:w w:val="120"/>
        </w:rPr>
        <w:t> </w:t>
      </w:r>
      <w:r>
        <w:rPr>
          <w:color w:val="231F20"/>
          <w:w w:val="120"/>
        </w:rPr>
        <w:t>de</w:t>
      </w:r>
      <w:r>
        <w:rPr>
          <w:color w:val="231F20"/>
          <w:spacing w:val="-1"/>
          <w:w w:val="120"/>
        </w:rPr>
        <w:t> </w:t>
      </w:r>
      <w:r>
        <w:rPr>
          <w:color w:val="231F20"/>
          <w:w w:val="120"/>
        </w:rPr>
        <w:t>travail</w:t>
      </w:r>
      <w:r>
        <w:rPr>
          <w:color w:val="231F20"/>
          <w:spacing w:val="-1"/>
          <w:w w:val="120"/>
        </w:rPr>
        <w:t> </w:t>
      </w:r>
      <w:r>
        <w:rPr>
          <w:color w:val="231F20"/>
          <w:w w:val="120"/>
        </w:rPr>
        <w:t>en</w:t>
      </w:r>
      <w:r>
        <w:rPr>
          <w:color w:val="231F20"/>
          <w:spacing w:val="-1"/>
          <w:w w:val="120"/>
        </w:rPr>
        <w:t> </w:t>
      </w:r>
      <w:r>
        <w:rPr>
          <w:color w:val="231F20"/>
          <w:w w:val="120"/>
        </w:rPr>
        <w:t>parallèle</w:t>
      </w:r>
      <w:r>
        <w:rPr>
          <w:color w:val="231F20"/>
          <w:spacing w:val="-1"/>
          <w:w w:val="120"/>
        </w:rPr>
        <w:t> </w:t>
      </w:r>
      <w:r>
        <w:rPr>
          <w:color w:val="231F20"/>
          <w:w w:val="120"/>
        </w:rPr>
        <w:t>aux</w:t>
      </w:r>
      <w:r>
        <w:rPr>
          <w:color w:val="231F20"/>
          <w:spacing w:val="-1"/>
          <w:w w:val="120"/>
        </w:rPr>
        <w:t> </w:t>
      </w:r>
      <w:r>
        <w:rPr>
          <w:color w:val="231F20"/>
          <w:w w:val="120"/>
        </w:rPr>
        <w:t>diverses</w:t>
      </w:r>
      <w:r>
        <w:rPr>
          <w:color w:val="231F20"/>
          <w:spacing w:val="-1"/>
          <w:w w:val="120"/>
        </w:rPr>
        <w:t> </w:t>
      </w:r>
      <w:r>
        <w:rPr>
          <w:color w:val="231F20"/>
          <w:w w:val="120"/>
        </w:rPr>
        <w:t>formes</w:t>
      </w:r>
      <w:r>
        <w:rPr>
          <w:color w:val="231F20"/>
          <w:spacing w:val="-1"/>
          <w:w w:val="120"/>
        </w:rPr>
        <w:t> </w:t>
      </w:r>
      <w:r>
        <w:rPr>
          <w:color w:val="231F20"/>
          <w:w w:val="120"/>
        </w:rPr>
        <w:t>possibles d’organisation</w:t>
      </w:r>
      <w:r>
        <w:rPr>
          <w:color w:val="231F20"/>
          <w:spacing w:val="-13"/>
          <w:w w:val="120"/>
        </w:rPr>
        <w:t> </w:t>
      </w:r>
      <w:r>
        <w:rPr>
          <w:color w:val="231F20"/>
          <w:w w:val="120"/>
        </w:rPr>
        <w:t>du</w:t>
      </w:r>
      <w:r>
        <w:rPr>
          <w:color w:val="231F20"/>
          <w:spacing w:val="-13"/>
          <w:w w:val="120"/>
        </w:rPr>
        <w:t> </w:t>
      </w:r>
      <w:r>
        <w:rPr>
          <w:color w:val="231F20"/>
          <w:w w:val="120"/>
        </w:rPr>
        <w:t>travail.</w:t>
      </w:r>
      <w:r>
        <w:rPr>
          <w:color w:val="231F20"/>
          <w:spacing w:val="-13"/>
          <w:w w:val="120"/>
        </w:rPr>
        <w:t> </w:t>
      </w:r>
      <w:r>
        <w:rPr>
          <w:color w:val="231F20"/>
          <w:w w:val="120"/>
        </w:rPr>
        <w:t>Par</w:t>
      </w:r>
      <w:r>
        <w:rPr>
          <w:color w:val="231F20"/>
          <w:spacing w:val="-12"/>
          <w:w w:val="120"/>
        </w:rPr>
        <w:t> </w:t>
      </w:r>
      <w:r>
        <w:rPr>
          <w:color w:val="231F20"/>
          <w:w w:val="120"/>
        </w:rPr>
        <w:t>exemple,</w:t>
      </w:r>
      <w:r>
        <w:rPr>
          <w:color w:val="231F20"/>
          <w:spacing w:val="-13"/>
          <w:w w:val="120"/>
        </w:rPr>
        <w:t> </w:t>
      </w:r>
      <w:r>
        <w:rPr>
          <w:color w:val="231F20"/>
          <w:w w:val="120"/>
        </w:rPr>
        <w:t>le</w:t>
      </w:r>
      <w:r>
        <w:rPr>
          <w:color w:val="231F20"/>
          <w:spacing w:val="-13"/>
          <w:w w:val="120"/>
        </w:rPr>
        <w:t> </w:t>
      </w:r>
      <w:r>
        <w:rPr>
          <w:color w:val="231F20"/>
          <w:w w:val="120"/>
        </w:rPr>
        <w:t>télétravail</w:t>
      </w:r>
      <w:r>
        <w:rPr>
          <w:color w:val="231F20"/>
          <w:spacing w:val="-13"/>
          <w:w w:val="120"/>
        </w:rPr>
        <w:t> </w:t>
      </w:r>
      <w:r>
        <w:rPr>
          <w:color w:val="231F20"/>
          <w:w w:val="120"/>
        </w:rPr>
        <w:t>est</w:t>
      </w:r>
      <w:r>
        <w:rPr>
          <w:color w:val="231F20"/>
          <w:spacing w:val="-12"/>
          <w:w w:val="120"/>
        </w:rPr>
        <w:t> </w:t>
      </w:r>
      <w:r>
        <w:rPr>
          <w:color w:val="231F20"/>
          <w:w w:val="120"/>
        </w:rPr>
        <w:t>assurément</w:t>
      </w:r>
      <w:r>
        <w:rPr>
          <w:color w:val="231F20"/>
          <w:spacing w:val="-13"/>
          <w:w w:val="120"/>
        </w:rPr>
        <w:t> </w:t>
      </w:r>
      <w:r>
        <w:rPr>
          <w:color w:val="231F20"/>
          <w:w w:val="120"/>
        </w:rPr>
        <w:t>une voie</w:t>
      </w:r>
      <w:r>
        <w:rPr>
          <w:color w:val="231F20"/>
          <w:spacing w:val="28"/>
          <w:w w:val="120"/>
        </w:rPr>
        <w:t> </w:t>
      </w:r>
      <w:r>
        <w:rPr>
          <w:color w:val="231F20"/>
          <w:w w:val="120"/>
        </w:rPr>
        <w:t>à</w:t>
      </w:r>
      <w:r>
        <w:rPr>
          <w:color w:val="231F20"/>
          <w:spacing w:val="29"/>
          <w:w w:val="120"/>
        </w:rPr>
        <w:t> </w:t>
      </w:r>
      <w:r>
        <w:rPr>
          <w:color w:val="231F20"/>
          <w:w w:val="120"/>
        </w:rPr>
        <w:t>privilégier</w:t>
      </w:r>
      <w:r>
        <w:rPr>
          <w:color w:val="231F20"/>
          <w:spacing w:val="29"/>
          <w:w w:val="120"/>
        </w:rPr>
        <w:t> </w:t>
      </w:r>
      <w:r>
        <w:rPr>
          <w:color w:val="231F20"/>
          <w:w w:val="120"/>
        </w:rPr>
        <w:t>pour</w:t>
      </w:r>
      <w:r>
        <w:rPr>
          <w:color w:val="231F20"/>
          <w:spacing w:val="28"/>
          <w:w w:val="120"/>
        </w:rPr>
        <w:t> </w:t>
      </w:r>
      <w:r>
        <w:rPr>
          <w:color w:val="231F20"/>
          <w:w w:val="120"/>
        </w:rPr>
        <w:t>un</w:t>
      </w:r>
      <w:r>
        <w:rPr>
          <w:color w:val="231F20"/>
          <w:spacing w:val="29"/>
          <w:w w:val="120"/>
        </w:rPr>
        <w:t> </w:t>
      </w:r>
      <w:r>
        <w:rPr>
          <w:color w:val="231F20"/>
          <w:w w:val="120"/>
        </w:rPr>
        <w:t>nombre</w:t>
      </w:r>
      <w:r>
        <w:rPr>
          <w:color w:val="231F20"/>
          <w:spacing w:val="29"/>
          <w:w w:val="120"/>
        </w:rPr>
        <w:t> </w:t>
      </w:r>
      <w:r>
        <w:rPr>
          <w:color w:val="231F20"/>
          <w:w w:val="120"/>
        </w:rPr>
        <w:t>important</w:t>
      </w:r>
      <w:r>
        <w:rPr>
          <w:color w:val="231F20"/>
          <w:spacing w:val="28"/>
          <w:w w:val="120"/>
        </w:rPr>
        <w:t> </w:t>
      </w:r>
      <w:r>
        <w:rPr>
          <w:color w:val="231F20"/>
          <w:w w:val="120"/>
        </w:rPr>
        <w:t>d’emplois.</w:t>
      </w:r>
      <w:r>
        <w:rPr>
          <w:color w:val="231F20"/>
          <w:spacing w:val="29"/>
          <w:w w:val="120"/>
        </w:rPr>
        <w:t> </w:t>
      </w:r>
      <w:r>
        <w:rPr>
          <w:color w:val="231F20"/>
          <w:w w:val="120"/>
        </w:rPr>
        <w:t>Dans</w:t>
      </w:r>
      <w:r>
        <w:rPr>
          <w:color w:val="231F20"/>
          <w:spacing w:val="29"/>
          <w:w w:val="120"/>
        </w:rPr>
        <w:t> </w:t>
      </w:r>
      <w:r>
        <w:rPr>
          <w:color w:val="231F20"/>
          <w:spacing w:val="-2"/>
          <w:w w:val="120"/>
        </w:rPr>
        <w:t>cette</w:t>
      </w:r>
    </w:p>
    <w:p>
      <w:pPr>
        <w:pStyle w:val="BodyText"/>
        <w:rPr>
          <w:sz w:val="20"/>
        </w:rPr>
      </w:pPr>
    </w:p>
    <w:p>
      <w:pPr>
        <w:pStyle w:val="BodyText"/>
        <w:rPr>
          <w:sz w:val="20"/>
        </w:rPr>
      </w:pPr>
    </w:p>
    <w:p>
      <w:pPr>
        <w:pStyle w:val="BodyText"/>
        <w:spacing w:before="10"/>
        <w:rPr>
          <w:sz w:val="21"/>
        </w:rPr>
      </w:pPr>
      <w:r>
        <w:rPr/>
        <w:pict>
          <v:shape style="position:absolute;margin-left:82pt;margin-top:13.785742pt;width:287.5pt;height:.1pt;mso-position-horizontal-relative:page;mso-position-vertical-relative:paragraph;z-index:-15618048;mso-wrap-distance-left:0;mso-wrap-distance-right:0" id="docshape1118" coordorigin="1640,276" coordsize="5750,0" path="m1640,276l7390,276e" filled="false" stroked="true" strokeweight=".25pt" strokecolor="#231f20">
            <v:path arrowok="t"/>
            <v:stroke dashstyle="shortdot"/>
            <w10:wrap type="topAndBottom"/>
          </v:shape>
        </w:pict>
      </w:r>
    </w:p>
    <w:p>
      <w:pPr>
        <w:pStyle w:val="ListParagraph"/>
        <w:numPr>
          <w:ilvl w:val="0"/>
          <w:numId w:val="84"/>
        </w:numPr>
        <w:tabs>
          <w:tab w:pos="1219" w:val="left" w:leader="none"/>
          <w:tab w:pos="1220" w:val="left" w:leader="none"/>
        </w:tabs>
        <w:spacing w:line="295" w:lineRule="auto" w:before="135" w:after="0"/>
        <w:ind w:left="1219" w:right="107" w:hanging="406"/>
        <w:jc w:val="left"/>
        <w:rPr>
          <w:rFonts w:ascii="Arial" w:hAnsi="Arial"/>
          <w:sz w:val="12"/>
        </w:rPr>
      </w:pPr>
      <w:r>
        <w:rPr>
          <w:rFonts w:ascii="Arial" w:hAnsi="Arial"/>
          <w:color w:val="231F20"/>
          <w:sz w:val="12"/>
        </w:rPr>
        <w:t>Hallée,</w:t>
      </w:r>
      <w:r>
        <w:rPr>
          <w:rFonts w:ascii="Arial" w:hAnsi="Arial"/>
          <w:color w:val="231F20"/>
          <w:spacing w:val="14"/>
          <w:sz w:val="12"/>
        </w:rPr>
        <w:t> </w:t>
      </w:r>
      <w:r>
        <w:rPr>
          <w:rFonts w:ascii="Arial" w:hAnsi="Arial"/>
          <w:color w:val="231F20"/>
          <w:sz w:val="12"/>
        </w:rPr>
        <w:t>Y.,</w:t>
      </w:r>
      <w:r>
        <w:rPr>
          <w:rFonts w:ascii="Arial" w:hAnsi="Arial"/>
          <w:color w:val="231F20"/>
          <w:spacing w:val="14"/>
          <w:sz w:val="12"/>
        </w:rPr>
        <w:t> </w:t>
      </w:r>
      <w:r>
        <w:rPr>
          <w:rFonts w:ascii="Arial" w:hAnsi="Arial"/>
          <w:color w:val="231F20"/>
          <w:sz w:val="12"/>
        </w:rPr>
        <w:t>Michaud,</w:t>
      </w:r>
      <w:r>
        <w:rPr>
          <w:rFonts w:ascii="Arial" w:hAnsi="Arial"/>
          <w:color w:val="231F20"/>
          <w:spacing w:val="14"/>
          <w:sz w:val="12"/>
        </w:rPr>
        <w:t> </w:t>
      </w:r>
      <w:r>
        <w:rPr>
          <w:rFonts w:ascii="Arial" w:hAnsi="Arial"/>
          <w:color w:val="231F20"/>
          <w:sz w:val="12"/>
        </w:rPr>
        <w:t>M.</w:t>
      </w:r>
      <w:r>
        <w:rPr>
          <w:rFonts w:ascii="Arial" w:hAnsi="Arial"/>
          <w:color w:val="231F20"/>
          <w:spacing w:val="14"/>
          <w:sz w:val="12"/>
        </w:rPr>
        <w:t> </w:t>
      </w:r>
      <w:r>
        <w:rPr>
          <w:rFonts w:ascii="Arial" w:hAnsi="Arial"/>
          <w:color w:val="231F20"/>
          <w:sz w:val="12"/>
        </w:rPr>
        <w:t>et</w:t>
      </w:r>
      <w:r>
        <w:rPr>
          <w:rFonts w:ascii="Arial" w:hAnsi="Arial"/>
          <w:color w:val="231F20"/>
          <w:spacing w:val="14"/>
          <w:sz w:val="12"/>
        </w:rPr>
        <w:t> </w:t>
      </w:r>
      <w:r>
        <w:rPr>
          <w:rFonts w:ascii="Arial" w:hAnsi="Arial"/>
          <w:color w:val="231F20"/>
          <w:sz w:val="12"/>
        </w:rPr>
        <w:t>Jalette,</w:t>
      </w:r>
      <w:r>
        <w:rPr>
          <w:rFonts w:ascii="Arial" w:hAnsi="Arial"/>
          <w:color w:val="231F20"/>
          <w:spacing w:val="14"/>
          <w:sz w:val="12"/>
        </w:rPr>
        <w:t> </w:t>
      </w:r>
      <w:r>
        <w:rPr>
          <w:rFonts w:ascii="Arial" w:hAnsi="Arial"/>
          <w:color w:val="231F20"/>
          <w:sz w:val="12"/>
        </w:rPr>
        <w:t>P.</w:t>
      </w:r>
      <w:r>
        <w:rPr>
          <w:rFonts w:ascii="Arial" w:hAnsi="Arial"/>
          <w:color w:val="231F20"/>
          <w:spacing w:val="14"/>
          <w:sz w:val="12"/>
        </w:rPr>
        <w:t> </w:t>
      </w:r>
      <w:r>
        <w:rPr>
          <w:rFonts w:ascii="Arial" w:hAnsi="Arial"/>
          <w:color w:val="231F20"/>
          <w:sz w:val="12"/>
        </w:rPr>
        <w:t>(2021).</w:t>
      </w:r>
      <w:r>
        <w:rPr>
          <w:rFonts w:ascii="Arial" w:hAnsi="Arial"/>
          <w:color w:val="231F20"/>
          <w:spacing w:val="14"/>
          <w:sz w:val="12"/>
        </w:rPr>
        <w:t> </w:t>
      </w:r>
      <w:r>
        <w:rPr>
          <w:rFonts w:ascii="Arial" w:hAnsi="Arial"/>
          <w:i/>
          <w:color w:val="231F20"/>
          <w:sz w:val="12"/>
        </w:rPr>
        <w:t>La</w:t>
      </w:r>
      <w:r>
        <w:rPr>
          <w:rFonts w:ascii="Arial" w:hAnsi="Arial"/>
          <w:i/>
          <w:color w:val="231F20"/>
          <w:spacing w:val="14"/>
          <w:sz w:val="12"/>
        </w:rPr>
        <w:t> </w:t>
      </w:r>
      <w:r>
        <w:rPr>
          <w:rFonts w:ascii="Arial" w:hAnsi="Arial"/>
          <w:i/>
          <w:color w:val="231F20"/>
          <w:sz w:val="12"/>
        </w:rPr>
        <w:t>rémunération</w:t>
      </w:r>
      <w:r>
        <w:rPr>
          <w:rFonts w:ascii="Arial" w:hAnsi="Arial"/>
          <w:i/>
          <w:color w:val="231F20"/>
          <w:spacing w:val="14"/>
          <w:sz w:val="12"/>
        </w:rPr>
        <w:t> </w:t>
      </w:r>
      <w:r>
        <w:rPr>
          <w:rFonts w:ascii="Arial" w:hAnsi="Arial"/>
          <w:i/>
          <w:color w:val="231F20"/>
          <w:sz w:val="12"/>
        </w:rPr>
        <w:t>dans</w:t>
      </w:r>
      <w:r>
        <w:rPr>
          <w:rFonts w:ascii="Arial" w:hAnsi="Arial"/>
          <w:i/>
          <w:color w:val="231F20"/>
          <w:spacing w:val="14"/>
          <w:sz w:val="12"/>
        </w:rPr>
        <w:t> </w:t>
      </w:r>
      <w:r>
        <w:rPr>
          <w:rFonts w:ascii="Arial" w:hAnsi="Arial"/>
          <w:i/>
          <w:color w:val="231F20"/>
          <w:sz w:val="12"/>
        </w:rPr>
        <w:t>tous</w:t>
      </w:r>
      <w:r>
        <w:rPr>
          <w:rFonts w:ascii="Arial" w:hAnsi="Arial"/>
          <w:i/>
          <w:color w:val="231F20"/>
          <w:spacing w:val="14"/>
          <w:sz w:val="12"/>
        </w:rPr>
        <w:t> </w:t>
      </w:r>
      <w:r>
        <w:rPr>
          <w:rFonts w:ascii="Arial" w:hAnsi="Arial"/>
          <w:i/>
          <w:color w:val="231F20"/>
          <w:sz w:val="12"/>
        </w:rPr>
        <w:t>ses</w:t>
      </w:r>
      <w:r>
        <w:rPr>
          <w:rFonts w:ascii="Arial" w:hAnsi="Arial"/>
          <w:i/>
          <w:color w:val="231F20"/>
          <w:spacing w:val="14"/>
          <w:sz w:val="12"/>
        </w:rPr>
        <w:t> </w:t>
      </w:r>
      <w:r>
        <w:rPr>
          <w:rFonts w:ascii="Arial" w:hAnsi="Arial"/>
          <w:i/>
          <w:color w:val="231F20"/>
          <w:sz w:val="12"/>
        </w:rPr>
        <w:t>états</w:t>
      </w:r>
      <w:r>
        <w:rPr>
          <w:rFonts w:ascii="Arial" w:hAnsi="Arial"/>
          <w:color w:val="231F20"/>
          <w:sz w:val="12"/>
        </w:rPr>
        <w:t>,</w:t>
      </w:r>
      <w:r>
        <w:rPr>
          <w:rFonts w:ascii="Arial" w:hAnsi="Arial"/>
          <w:color w:val="231F20"/>
          <w:spacing w:val="14"/>
          <w:sz w:val="12"/>
        </w:rPr>
        <w:t> </w:t>
      </w:r>
      <w:r>
        <w:rPr>
          <w:rFonts w:ascii="Arial" w:hAnsi="Arial"/>
          <w:color w:val="231F20"/>
          <w:sz w:val="12"/>
        </w:rPr>
        <w:t>Québec,</w:t>
      </w:r>
      <w:r>
        <w:rPr>
          <w:rFonts w:ascii="Arial" w:hAnsi="Arial"/>
          <w:color w:val="231F20"/>
          <w:spacing w:val="14"/>
          <w:sz w:val="12"/>
        </w:rPr>
        <w:t> </w:t>
      </w:r>
      <w:r>
        <w:rPr>
          <w:rFonts w:ascii="Arial" w:hAnsi="Arial"/>
          <w:color w:val="231F20"/>
          <w:sz w:val="12"/>
        </w:rPr>
        <w:t>Presses</w:t>
      </w:r>
      <w:r>
        <w:rPr>
          <w:rFonts w:ascii="Arial" w:hAnsi="Arial"/>
          <w:color w:val="231F20"/>
          <w:spacing w:val="14"/>
          <w:sz w:val="12"/>
        </w:rPr>
        <w:t> </w:t>
      </w:r>
      <w:r>
        <w:rPr>
          <w:rFonts w:ascii="Arial" w:hAnsi="Arial"/>
          <w:color w:val="231F20"/>
          <w:sz w:val="12"/>
        </w:rPr>
        <w:t>de</w:t>
      </w:r>
      <w:r>
        <w:rPr>
          <w:rFonts w:ascii="Arial" w:hAnsi="Arial"/>
          <w:color w:val="231F20"/>
          <w:spacing w:val="40"/>
          <w:sz w:val="12"/>
        </w:rPr>
        <w:t> </w:t>
      </w:r>
      <w:r>
        <w:rPr>
          <w:rFonts w:ascii="Arial" w:hAnsi="Arial"/>
          <w:color w:val="231F20"/>
          <w:sz w:val="12"/>
        </w:rPr>
        <w:t>l’Université</w:t>
      </w:r>
      <w:r>
        <w:rPr>
          <w:rFonts w:ascii="Arial" w:hAnsi="Arial"/>
          <w:color w:val="231F20"/>
          <w:spacing w:val="-9"/>
          <w:sz w:val="12"/>
        </w:rPr>
        <w:t> </w:t>
      </w:r>
      <w:r>
        <w:rPr>
          <w:rFonts w:ascii="Arial" w:hAnsi="Arial"/>
          <w:color w:val="231F20"/>
          <w:sz w:val="12"/>
        </w:rPr>
        <w:t>Laval.</w:t>
      </w:r>
    </w:p>
    <w:p>
      <w:pPr>
        <w:spacing w:after="0" w:line="295" w:lineRule="auto"/>
        <w:jc w:val="left"/>
        <w:rPr>
          <w:rFonts w:ascii="Arial" w:hAnsi="Arial"/>
          <w:sz w:val="12"/>
        </w:rPr>
        <w:sectPr>
          <w:footerReference w:type="default" r:id="rId331"/>
          <w:pgSz w:w="8640" w:h="12960"/>
          <w:pgMar w:footer="424" w:header="0" w:top="500" w:bottom="620" w:left="420" w:right="1140"/>
        </w:sectPr>
      </w:pPr>
    </w:p>
    <w:p>
      <w:pPr>
        <w:spacing w:before="103"/>
        <w:ind w:left="1028" w:right="698" w:firstLine="0"/>
        <w:jc w:val="center"/>
        <w:rPr>
          <w:rFonts w:ascii="Arial" w:hAnsi="Arial"/>
          <w:sz w:val="14"/>
        </w:rPr>
      </w:pPr>
      <w:bookmarkStart w:name=" 5.3.5 / Un mode de gestion intégré du s" w:id="195"/>
      <w:bookmarkEnd w:id="195"/>
      <w:r>
        <w:rPr/>
      </w:r>
      <w:bookmarkStart w:name="_bookmark87" w:id="196"/>
      <w:bookmarkEnd w:id="196"/>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spacing w:val="-2"/>
          <w:w w:val="120"/>
        </w:rPr>
        <w:t>logique,</w:t>
      </w:r>
      <w:r>
        <w:rPr>
          <w:color w:val="231F20"/>
          <w:spacing w:val="-8"/>
          <w:w w:val="120"/>
        </w:rPr>
        <w:t> </w:t>
      </w:r>
      <w:r>
        <w:rPr>
          <w:color w:val="231F20"/>
          <w:spacing w:val="-2"/>
          <w:w w:val="120"/>
        </w:rPr>
        <w:t>et</w:t>
      </w:r>
      <w:r>
        <w:rPr>
          <w:color w:val="231F20"/>
          <w:spacing w:val="-8"/>
          <w:w w:val="120"/>
        </w:rPr>
        <w:t> </w:t>
      </w:r>
      <w:r>
        <w:rPr>
          <w:color w:val="231F20"/>
          <w:spacing w:val="-2"/>
          <w:w w:val="120"/>
        </w:rPr>
        <w:t>en</w:t>
      </w:r>
      <w:r>
        <w:rPr>
          <w:color w:val="231F20"/>
          <w:spacing w:val="-8"/>
          <w:w w:val="120"/>
        </w:rPr>
        <w:t> </w:t>
      </w:r>
      <w:r>
        <w:rPr>
          <w:color w:val="231F20"/>
          <w:spacing w:val="-2"/>
          <w:w w:val="120"/>
        </w:rPr>
        <w:t>lien</w:t>
      </w:r>
      <w:r>
        <w:rPr>
          <w:color w:val="231F20"/>
          <w:spacing w:val="-8"/>
          <w:w w:val="120"/>
        </w:rPr>
        <w:t> </w:t>
      </w:r>
      <w:r>
        <w:rPr>
          <w:color w:val="231F20"/>
          <w:spacing w:val="-2"/>
          <w:w w:val="120"/>
        </w:rPr>
        <w:t>avec</w:t>
      </w:r>
      <w:r>
        <w:rPr>
          <w:color w:val="231F20"/>
          <w:spacing w:val="-8"/>
          <w:w w:val="120"/>
        </w:rPr>
        <w:t> </w:t>
      </w:r>
      <w:r>
        <w:rPr>
          <w:color w:val="231F20"/>
          <w:spacing w:val="-2"/>
          <w:w w:val="120"/>
        </w:rPr>
        <w:t>la</w:t>
      </w:r>
      <w:r>
        <w:rPr>
          <w:color w:val="231F20"/>
          <w:spacing w:val="-8"/>
          <w:w w:val="120"/>
        </w:rPr>
        <w:t> </w:t>
      </w:r>
      <w:r>
        <w:rPr>
          <w:color w:val="231F20"/>
          <w:spacing w:val="-2"/>
          <w:w w:val="120"/>
        </w:rPr>
        <w:t>politique</w:t>
      </w:r>
      <w:r>
        <w:rPr>
          <w:color w:val="231F20"/>
          <w:spacing w:val="-8"/>
          <w:w w:val="120"/>
        </w:rPr>
        <w:t> </w:t>
      </w:r>
      <w:r>
        <w:rPr>
          <w:color w:val="231F20"/>
          <w:spacing w:val="-2"/>
          <w:w w:val="120"/>
        </w:rPr>
        <w:t>d’évaluation</w:t>
      </w:r>
      <w:r>
        <w:rPr>
          <w:color w:val="231F20"/>
          <w:spacing w:val="-8"/>
          <w:w w:val="120"/>
        </w:rPr>
        <w:t> </w:t>
      </w:r>
      <w:r>
        <w:rPr>
          <w:color w:val="231F20"/>
          <w:spacing w:val="-2"/>
          <w:w w:val="120"/>
        </w:rPr>
        <w:t>du</w:t>
      </w:r>
      <w:r>
        <w:rPr>
          <w:color w:val="231F20"/>
          <w:spacing w:val="-8"/>
          <w:w w:val="120"/>
        </w:rPr>
        <w:t> </w:t>
      </w:r>
      <w:r>
        <w:rPr>
          <w:color w:val="231F20"/>
          <w:spacing w:val="-2"/>
          <w:w w:val="120"/>
        </w:rPr>
        <w:t>rendement,</w:t>
      </w:r>
      <w:r>
        <w:rPr>
          <w:color w:val="231F20"/>
          <w:spacing w:val="-8"/>
          <w:w w:val="120"/>
        </w:rPr>
        <w:t> </w:t>
      </w:r>
      <w:r>
        <w:rPr>
          <w:color w:val="231F20"/>
          <w:spacing w:val="-2"/>
          <w:w w:val="120"/>
        </w:rPr>
        <w:t>il</w:t>
      </w:r>
      <w:r>
        <w:rPr>
          <w:color w:val="231F20"/>
          <w:spacing w:val="-8"/>
          <w:w w:val="120"/>
        </w:rPr>
        <w:t> </w:t>
      </w:r>
      <w:r>
        <w:rPr>
          <w:color w:val="231F20"/>
          <w:spacing w:val="-2"/>
          <w:w w:val="120"/>
        </w:rPr>
        <w:t>faut</w:t>
      </w:r>
      <w:r>
        <w:rPr>
          <w:color w:val="231F20"/>
          <w:spacing w:val="-8"/>
          <w:w w:val="120"/>
        </w:rPr>
        <w:t> </w:t>
      </w:r>
      <w:r>
        <w:rPr>
          <w:color w:val="231F20"/>
          <w:spacing w:val="-2"/>
          <w:w w:val="120"/>
        </w:rPr>
        <w:t>de </w:t>
      </w:r>
      <w:r>
        <w:rPr>
          <w:color w:val="231F20"/>
          <w:w w:val="120"/>
        </w:rPr>
        <w:t>plus</w:t>
      </w:r>
      <w:r>
        <w:rPr>
          <w:color w:val="231F20"/>
          <w:spacing w:val="-2"/>
          <w:w w:val="120"/>
        </w:rPr>
        <w:t> </w:t>
      </w:r>
      <w:r>
        <w:rPr>
          <w:color w:val="231F20"/>
          <w:w w:val="120"/>
        </w:rPr>
        <w:t>en</w:t>
      </w:r>
      <w:r>
        <w:rPr>
          <w:color w:val="231F20"/>
          <w:spacing w:val="-2"/>
          <w:w w:val="120"/>
        </w:rPr>
        <w:t> </w:t>
      </w:r>
      <w:r>
        <w:rPr>
          <w:color w:val="231F20"/>
          <w:w w:val="120"/>
        </w:rPr>
        <w:t>plus</w:t>
      </w:r>
      <w:r>
        <w:rPr>
          <w:color w:val="231F20"/>
          <w:spacing w:val="-2"/>
          <w:w w:val="120"/>
        </w:rPr>
        <w:t> </w:t>
      </w:r>
      <w:r>
        <w:rPr>
          <w:color w:val="231F20"/>
          <w:w w:val="120"/>
        </w:rPr>
        <w:t>estimer</w:t>
      </w:r>
      <w:r>
        <w:rPr>
          <w:color w:val="231F20"/>
          <w:spacing w:val="-2"/>
          <w:w w:val="120"/>
        </w:rPr>
        <w:t> </w:t>
      </w:r>
      <w:r>
        <w:rPr>
          <w:color w:val="231F20"/>
          <w:w w:val="120"/>
        </w:rPr>
        <w:t>la</w:t>
      </w:r>
      <w:r>
        <w:rPr>
          <w:color w:val="231F20"/>
          <w:spacing w:val="-2"/>
          <w:w w:val="120"/>
        </w:rPr>
        <w:t> </w:t>
      </w:r>
      <w:r>
        <w:rPr>
          <w:color w:val="231F20"/>
          <w:w w:val="120"/>
        </w:rPr>
        <w:t>valeur</w:t>
      </w:r>
      <w:r>
        <w:rPr>
          <w:color w:val="231F20"/>
          <w:spacing w:val="-2"/>
          <w:w w:val="120"/>
        </w:rPr>
        <w:t> </w:t>
      </w:r>
      <w:r>
        <w:rPr>
          <w:color w:val="231F20"/>
          <w:w w:val="120"/>
        </w:rPr>
        <w:t>d’un</w:t>
      </w:r>
      <w:r>
        <w:rPr>
          <w:color w:val="231F20"/>
          <w:spacing w:val="-2"/>
          <w:w w:val="120"/>
        </w:rPr>
        <w:t> </w:t>
      </w:r>
      <w:r>
        <w:rPr>
          <w:color w:val="231F20"/>
          <w:w w:val="120"/>
        </w:rPr>
        <w:t>travailleur</w:t>
      </w:r>
      <w:r>
        <w:rPr>
          <w:color w:val="231F20"/>
          <w:spacing w:val="-2"/>
          <w:w w:val="120"/>
        </w:rPr>
        <w:t> </w:t>
      </w:r>
      <w:r>
        <w:rPr>
          <w:color w:val="231F20"/>
          <w:w w:val="120"/>
        </w:rPr>
        <w:t>en</w:t>
      </w:r>
      <w:r>
        <w:rPr>
          <w:color w:val="231F20"/>
          <w:spacing w:val="-2"/>
          <w:w w:val="120"/>
        </w:rPr>
        <w:t> </w:t>
      </w:r>
      <w:r>
        <w:rPr>
          <w:color w:val="231F20"/>
          <w:w w:val="120"/>
        </w:rPr>
        <w:t>fonction</w:t>
      </w:r>
      <w:r>
        <w:rPr>
          <w:color w:val="231F20"/>
          <w:spacing w:val="-2"/>
          <w:w w:val="120"/>
        </w:rPr>
        <w:t> </w:t>
      </w:r>
      <w:r>
        <w:rPr>
          <w:color w:val="231F20"/>
          <w:w w:val="120"/>
        </w:rPr>
        <w:t>des</w:t>
      </w:r>
      <w:r>
        <w:rPr>
          <w:color w:val="231F20"/>
          <w:spacing w:val="-2"/>
          <w:w w:val="120"/>
        </w:rPr>
        <w:t> </w:t>
      </w:r>
      <w:r>
        <w:rPr>
          <w:color w:val="231F20"/>
          <w:w w:val="120"/>
        </w:rPr>
        <w:t>résultats plutôt</w:t>
      </w:r>
      <w:r>
        <w:rPr>
          <w:color w:val="231F20"/>
          <w:spacing w:val="-10"/>
          <w:w w:val="120"/>
        </w:rPr>
        <w:t> </w:t>
      </w:r>
      <w:r>
        <w:rPr>
          <w:color w:val="231F20"/>
          <w:w w:val="120"/>
        </w:rPr>
        <w:t>que</w:t>
      </w:r>
      <w:r>
        <w:rPr>
          <w:color w:val="231F20"/>
          <w:spacing w:val="-10"/>
          <w:w w:val="120"/>
        </w:rPr>
        <w:t> </w:t>
      </w:r>
      <w:r>
        <w:rPr>
          <w:color w:val="231F20"/>
          <w:w w:val="120"/>
        </w:rPr>
        <w:t>sur</w:t>
      </w:r>
      <w:r>
        <w:rPr>
          <w:color w:val="231F20"/>
          <w:spacing w:val="-9"/>
          <w:w w:val="120"/>
        </w:rPr>
        <w:t> </w:t>
      </w:r>
      <w:r>
        <w:rPr>
          <w:color w:val="231F20"/>
          <w:w w:val="120"/>
        </w:rPr>
        <w:t>la</w:t>
      </w:r>
      <w:r>
        <w:rPr>
          <w:color w:val="231F20"/>
          <w:spacing w:val="-10"/>
          <w:w w:val="120"/>
        </w:rPr>
        <w:t> </w:t>
      </w:r>
      <w:r>
        <w:rPr>
          <w:color w:val="231F20"/>
          <w:w w:val="120"/>
        </w:rPr>
        <w:t>simple</w:t>
      </w:r>
      <w:r>
        <w:rPr>
          <w:color w:val="231F20"/>
          <w:spacing w:val="-9"/>
          <w:w w:val="120"/>
        </w:rPr>
        <w:t> </w:t>
      </w:r>
      <w:r>
        <w:rPr>
          <w:color w:val="231F20"/>
          <w:w w:val="120"/>
        </w:rPr>
        <w:t>base</w:t>
      </w:r>
      <w:r>
        <w:rPr>
          <w:color w:val="231F20"/>
          <w:spacing w:val="-10"/>
          <w:w w:val="120"/>
        </w:rPr>
        <w:t> </w:t>
      </w:r>
      <w:r>
        <w:rPr>
          <w:color w:val="231F20"/>
          <w:w w:val="120"/>
        </w:rPr>
        <w:t>traditionnelle</w:t>
      </w:r>
      <w:r>
        <w:rPr>
          <w:color w:val="231F20"/>
          <w:spacing w:val="-10"/>
          <w:w w:val="120"/>
        </w:rPr>
        <w:t> </w:t>
      </w:r>
      <w:r>
        <w:rPr>
          <w:color w:val="231F20"/>
          <w:w w:val="120"/>
        </w:rPr>
        <w:t>du</w:t>
      </w:r>
      <w:r>
        <w:rPr>
          <w:color w:val="231F20"/>
          <w:spacing w:val="-9"/>
          <w:w w:val="120"/>
        </w:rPr>
        <w:t> </w:t>
      </w:r>
      <w:r>
        <w:rPr>
          <w:color w:val="231F20"/>
          <w:w w:val="120"/>
        </w:rPr>
        <w:t>processus</w:t>
      </w:r>
      <w:r>
        <w:rPr>
          <w:color w:val="231F20"/>
          <w:spacing w:val="-10"/>
          <w:w w:val="120"/>
        </w:rPr>
        <w:t> </w:t>
      </w:r>
      <w:r>
        <w:rPr>
          <w:color w:val="231F20"/>
          <w:w w:val="120"/>
        </w:rPr>
        <w:t>de</w:t>
      </w:r>
      <w:r>
        <w:rPr>
          <w:color w:val="231F20"/>
          <w:spacing w:val="-9"/>
          <w:w w:val="120"/>
        </w:rPr>
        <w:t> </w:t>
      </w:r>
      <w:r>
        <w:rPr>
          <w:color w:val="231F20"/>
          <w:spacing w:val="-2"/>
          <w:w w:val="120"/>
        </w:rPr>
        <w:t>production.</w:t>
      </w:r>
    </w:p>
    <w:p>
      <w:pPr>
        <w:pStyle w:val="BodyText"/>
        <w:spacing w:before="10"/>
        <w:rPr>
          <w:sz w:val="26"/>
        </w:rPr>
      </w:pPr>
    </w:p>
    <w:p>
      <w:pPr>
        <w:pStyle w:val="Heading4"/>
        <w:numPr>
          <w:ilvl w:val="2"/>
          <w:numId w:val="89"/>
        </w:numPr>
        <w:tabs>
          <w:tab w:pos="529" w:val="left" w:leader="none"/>
          <w:tab w:pos="829" w:val="left" w:leader="none"/>
        </w:tabs>
        <w:spacing w:line="290" w:lineRule="auto" w:before="0" w:after="0"/>
        <w:ind w:left="830" w:right="1092" w:hanging="695"/>
        <w:jc w:val="left"/>
      </w:pPr>
      <w:r>
        <w:rPr>
          <w:b w:val="0"/>
          <w:i/>
          <w:color w:val="231F20"/>
          <w:spacing w:val="-10"/>
        </w:rPr>
        <w:t>/</w:t>
      </w:r>
      <w:r>
        <w:rPr>
          <w:b w:val="0"/>
          <w:i/>
          <w:color w:val="231F20"/>
        </w:rPr>
        <w:tab/>
      </w:r>
      <w:r>
        <w:rPr>
          <w:color w:val="231F20"/>
          <w:w w:val="95"/>
        </w:rPr>
        <w:t>Un</w:t>
      </w:r>
      <w:r>
        <w:rPr>
          <w:color w:val="231F20"/>
          <w:spacing w:val="-4"/>
          <w:w w:val="95"/>
        </w:rPr>
        <w:t> </w:t>
      </w:r>
      <w:r>
        <w:rPr>
          <w:color w:val="231F20"/>
          <w:w w:val="95"/>
        </w:rPr>
        <w:t>mode</w:t>
      </w:r>
      <w:r>
        <w:rPr>
          <w:color w:val="231F20"/>
          <w:spacing w:val="-4"/>
          <w:w w:val="95"/>
        </w:rPr>
        <w:t> </w:t>
      </w:r>
      <w:r>
        <w:rPr>
          <w:color w:val="231F20"/>
          <w:w w:val="95"/>
        </w:rPr>
        <w:t>de</w:t>
      </w:r>
      <w:r>
        <w:rPr>
          <w:color w:val="231F20"/>
          <w:spacing w:val="-4"/>
          <w:w w:val="95"/>
        </w:rPr>
        <w:t> </w:t>
      </w:r>
      <w:r>
        <w:rPr>
          <w:color w:val="231F20"/>
          <w:w w:val="95"/>
        </w:rPr>
        <w:t>gestion</w:t>
      </w:r>
      <w:r>
        <w:rPr>
          <w:color w:val="231F20"/>
          <w:spacing w:val="-4"/>
          <w:w w:val="95"/>
        </w:rPr>
        <w:t> </w:t>
      </w:r>
      <w:r>
        <w:rPr>
          <w:color w:val="231F20"/>
          <w:w w:val="95"/>
        </w:rPr>
        <w:t>intégré</w:t>
      </w:r>
      <w:r>
        <w:rPr>
          <w:color w:val="231F20"/>
          <w:spacing w:val="-4"/>
          <w:w w:val="95"/>
        </w:rPr>
        <w:t> </w:t>
      </w:r>
      <w:r>
        <w:rPr>
          <w:color w:val="231F20"/>
          <w:w w:val="95"/>
        </w:rPr>
        <w:t>du</w:t>
      </w:r>
      <w:r>
        <w:rPr>
          <w:color w:val="231F20"/>
          <w:spacing w:val="-4"/>
          <w:w w:val="95"/>
        </w:rPr>
        <w:t> </w:t>
      </w:r>
      <w:r>
        <w:rPr>
          <w:color w:val="231F20"/>
          <w:w w:val="95"/>
        </w:rPr>
        <w:t>stress</w:t>
      </w:r>
      <w:r>
        <w:rPr>
          <w:color w:val="231F20"/>
          <w:spacing w:val="-4"/>
          <w:w w:val="95"/>
        </w:rPr>
        <w:t> </w:t>
      </w:r>
      <w:r>
        <w:rPr>
          <w:color w:val="231F20"/>
          <w:w w:val="95"/>
        </w:rPr>
        <w:t>et</w:t>
      </w:r>
      <w:r>
        <w:rPr>
          <w:color w:val="231F20"/>
          <w:spacing w:val="-4"/>
          <w:w w:val="95"/>
        </w:rPr>
        <w:t> </w:t>
      </w:r>
      <w:r>
        <w:rPr>
          <w:color w:val="231F20"/>
          <w:w w:val="95"/>
        </w:rPr>
        <w:t>du</w:t>
      </w:r>
      <w:r>
        <w:rPr>
          <w:color w:val="231F20"/>
          <w:spacing w:val="-4"/>
          <w:w w:val="95"/>
        </w:rPr>
        <w:t> </w:t>
      </w:r>
      <w:r>
        <w:rPr>
          <w:color w:val="231F20"/>
          <w:w w:val="95"/>
        </w:rPr>
        <w:t>bien-être</w:t>
      </w:r>
      <w:r>
        <w:rPr>
          <w:color w:val="231F20"/>
          <w:spacing w:val="-4"/>
          <w:w w:val="95"/>
        </w:rPr>
        <w:t> </w:t>
      </w:r>
      <w:r>
        <w:rPr>
          <w:color w:val="231F20"/>
          <w:w w:val="95"/>
        </w:rPr>
        <w:t>au</w:t>
      </w:r>
      <w:r>
        <w:rPr>
          <w:color w:val="231F20"/>
          <w:spacing w:val="-4"/>
          <w:w w:val="95"/>
        </w:rPr>
        <w:t> </w:t>
      </w:r>
      <w:r>
        <w:rPr>
          <w:color w:val="231F20"/>
          <w:w w:val="95"/>
        </w:rPr>
        <w:t>travail</w:t>
      </w:r>
      <w:r>
        <w:rPr>
          <w:color w:val="231F20"/>
          <w:spacing w:val="-30"/>
          <w:w w:val="95"/>
        </w:rPr>
        <w:t> </w:t>
      </w:r>
      <w:r>
        <w:rPr>
          <w:color w:val="231F20"/>
          <w:w w:val="95"/>
        </w:rPr>
        <w:t>:</w:t>
      </w:r>
      <w:r>
        <w:rPr>
          <w:color w:val="231F20"/>
          <w:w w:val="95"/>
        </w:rPr>
        <w:t> </w:t>
      </w:r>
      <w:r>
        <w:rPr>
          <w:color w:val="231F20"/>
        </w:rPr>
        <w:t>la gestion par valeurs</w:t>
      </w:r>
    </w:p>
    <w:p>
      <w:pPr>
        <w:pStyle w:val="BodyText"/>
        <w:spacing w:line="307" w:lineRule="auto" w:before="190"/>
        <w:ind w:left="830" w:right="495"/>
        <w:jc w:val="both"/>
      </w:pPr>
      <w:r>
        <w:rPr>
          <w:color w:val="231F20"/>
          <w:w w:val="120"/>
        </w:rPr>
        <w:t>Tous les projets humains, et donc toutes les entreprises, sont régis ou </w:t>
      </w:r>
      <w:r>
        <w:rPr>
          <w:color w:val="231F20"/>
          <w:w w:val="115"/>
        </w:rPr>
        <w:t>dirigés</w:t>
      </w:r>
      <w:r>
        <w:rPr>
          <w:color w:val="231F20"/>
          <w:spacing w:val="-8"/>
          <w:w w:val="115"/>
        </w:rPr>
        <w:t> </w:t>
      </w:r>
      <w:r>
        <w:rPr>
          <w:color w:val="231F20"/>
          <w:w w:val="115"/>
        </w:rPr>
        <w:t>en</w:t>
      </w:r>
      <w:r>
        <w:rPr>
          <w:color w:val="231F20"/>
          <w:spacing w:val="-8"/>
          <w:w w:val="115"/>
        </w:rPr>
        <w:t> </w:t>
      </w:r>
      <w:r>
        <w:rPr>
          <w:color w:val="231F20"/>
          <w:w w:val="115"/>
        </w:rPr>
        <w:t>fonction</w:t>
      </w:r>
      <w:r>
        <w:rPr>
          <w:color w:val="231F20"/>
          <w:spacing w:val="-8"/>
          <w:w w:val="115"/>
        </w:rPr>
        <w:t> </w:t>
      </w:r>
      <w:r>
        <w:rPr>
          <w:color w:val="231F20"/>
          <w:w w:val="115"/>
        </w:rPr>
        <w:t>de</w:t>
      </w:r>
      <w:r>
        <w:rPr>
          <w:color w:val="231F20"/>
          <w:spacing w:val="-8"/>
          <w:w w:val="115"/>
        </w:rPr>
        <w:t> </w:t>
      </w:r>
      <w:r>
        <w:rPr>
          <w:color w:val="231F20"/>
          <w:w w:val="115"/>
        </w:rPr>
        <w:t>certaines</w:t>
      </w:r>
      <w:r>
        <w:rPr>
          <w:color w:val="231F20"/>
          <w:spacing w:val="-8"/>
          <w:w w:val="115"/>
        </w:rPr>
        <w:t> </w:t>
      </w:r>
      <w:r>
        <w:rPr>
          <w:color w:val="231F20"/>
          <w:w w:val="115"/>
        </w:rPr>
        <w:t>valeurs</w:t>
      </w:r>
      <w:r>
        <w:rPr>
          <w:color w:val="231F20"/>
          <w:spacing w:val="-8"/>
          <w:w w:val="115"/>
        </w:rPr>
        <w:t> </w:t>
      </w:r>
      <w:r>
        <w:rPr>
          <w:color w:val="231F20"/>
          <w:w w:val="115"/>
        </w:rPr>
        <w:t>qui,</w:t>
      </w:r>
      <w:r>
        <w:rPr>
          <w:color w:val="231F20"/>
          <w:spacing w:val="-8"/>
          <w:w w:val="115"/>
        </w:rPr>
        <w:t> </w:t>
      </w:r>
      <w:r>
        <w:rPr>
          <w:color w:val="231F20"/>
          <w:w w:val="115"/>
        </w:rPr>
        <w:t>à</w:t>
      </w:r>
      <w:r>
        <w:rPr>
          <w:color w:val="231F20"/>
          <w:spacing w:val="-8"/>
          <w:w w:val="115"/>
        </w:rPr>
        <w:t> </w:t>
      </w:r>
      <w:r>
        <w:rPr>
          <w:color w:val="231F20"/>
          <w:w w:val="115"/>
        </w:rPr>
        <w:t>l’intérieur</w:t>
      </w:r>
      <w:r>
        <w:rPr>
          <w:color w:val="231F20"/>
          <w:spacing w:val="-8"/>
          <w:w w:val="115"/>
        </w:rPr>
        <w:t> </w:t>
      </w:r>
      <w:r>
        <w:rPr>
          <w:color w:val="231F20"/>
          <w:w w:val="115"/>
        </w:rPr>
        <w:t>de</w:t>
      </w:r>
      <w:r>
        <w:rPr>
          <w:color w:val="231F20"/>
          <w:spacing w:val="-8"/>
          <w:w w:val="115"/>
        </w:rPr>
        <w:t> </w:t>
      </w:r>
      <w:r>
        <w:rPr>
          <w:color w:val="231F20"/>
          <w:w w:val="115"/>
        </w:rPr>
        <w:t>l’organisation, </w:t>
      </w:r>
      <w:r>
        <w:rPr>
          <w:color w:val="231F20"/>
          <w:w w:val="120"/>
        </w:rPr>
        <w:t>tendent</w:t>
      </w:r>
      <w:r>
        <w:rPr>
          <w:color w:val="231F20"/>
          <w:spacing w:val="-13"/>
          <w:w w:val="120"/>
        </w:rPr>
        <w:t> </w:t>
      </w:r>
      <w:r>
        <w:rPr>
          <w:color w:val="231F20"/>
          <w:w w:val="120"/>
        </w:rPr>
        <w:t>à</w:t>
      </w:r>
      <w:r>
        <w:rPr>
          <w:color w:val="231F20"/>
          <w:spacing w:val="-12"/>
          <w:w w:val="120"/>
        </w:rPr>
        <w:t> </w:t>
      </w:r>
      <w:r>
        <w:rPr>
          <w:color w:val="231F20"/>
          <w:w w:val="120"/>
        </w:rPr>
        <w:t>être</w:t>
      </w:r>
      <w:r>
        <w:rPr>
          <w:color w:val="231F20"/>
          <w:spacing w:val="-13"/>
          <w:w w:val="120"/>
        </w:rPr>
        <w:t> </w:t>
      </w:r>
      <w:r>
        <w:rPr>
          <w:color w:val="231F20"/>
          <w:w w:val="120"/>
        </w:rPr>
        <w:t>considérées</w:t>
      </w:r>
      <w:r>
        <w:rPr>
          <w:color w:val="231F20"/>
          <w:spacing w:val="-12"/>
          <w:w w:val="120"/>
        </w:rPr>
        <w:t> </w:t>
      </w:r>
      <w:r>
        <w:rPr>
          <w:color w:val="231F20"/>
          <w:w w:val="120"/>
        </w:rPr>
        <w:t>comme</w:t>
      </w:r>
      <w:r>
        <w:rPr>
          <w:color w:val="231F20"/>
          <w:spacing w:val="-13"/>
          <w:w w:val="120"/>
        </w:rPr>
        <w:t> </w:t>
      </w:r>
      <w:r>
        <w:rPr>
          <w:color w:val="231F20"/>
          <w:w w:val="120"/>
        </w:rPr>
        <w:t>des</w:t>
      </w:r>
      <w:r>
        <w:rPr>
          <w:color w:val="231F20"/>
          <w:spacing w:val="-12"/>
          <w:w w:val="120"/>
        </w:rPr>
        <w:t> </w:t>
      </w:r>
      <w:r>
        <w:rPr>
          <w:color w:val="231F20"/>
          <w:w w:val="120"/>
        </w:rPr>
        <w:t>agents</w:t>
      </w:r>
      <w:r>
        <w:rPr>
          <w:color w:val="231F20"/>
          <w:spacing w:val="-13"/>
          <w:w w:val="120"/>
        </w:rPr>
        <w:t> </w:t>
      </w:r>
      <w:r>
        <w:rPr>
          <w:color w:val="231F20"/>
          <w:w w:val="120"/>
        </w:rPr>
        <w:t>d’orientation,</w:t>
      </w:r>
      <w:r>
        <w:rPr>
          <w:color w:val="231F20"/>
          <w:spacing w:val="-12"/>
          <w:w w:val="120"/>
        </w:rPr>
        <w:t> </w:t>
      </w:r>
      <w:r>
        <w:rPr>
          <w:color w:val="231F20"/>
          <w:w w:val="120"/>
        </w:rPr>
        <w:t>de</w:t>
      </w:r>
      <w:r>
        <w:rPr>
          <w:color w:val="231F20"/>
          <w:spacing w:val="-13"/>
          <w:w w:val="120"/>
        </w:rPr>
        <w:t> </w:t>
      </w:r>
      <w:r>
        <w:rPr>
          <w:color w:val="231F20"/>
          <w:w w:val="120"/>
        </w:rPr>
        <w:t>cohésion et de légitimation de l’action. Dans ce cas, l’éthique, ou l’ajustement </w:t>
      </w:r>
      <w:r>
        <w:rPr>
          <w:color w:val="231F20"/>
          <w:spacing w:val="-4"/>
          <w:w w:val="120"/>
        </w:rPr>
        <w:t>interne des valeurs, découle des conversations sur le sujet qui surviennent </w:t>
      </w:r>
      <w:r>
        <w:rPr>
          <w:color w:val="231F20"/>
          <w:w w:val="120"/>
        </w:rPr>
        <w:t>dans chaque organisation, bien que, vues de l’extérieur, bon nombre </w:t>
      </w:r>
      <w:r>
        <w:rPr>
          <w:color w:val="231F20"/>
          <w:w w:val="115"/>
        </w:rPr>
        <w:t>de ces valeurs semblent ambiguës. Bien qu’elles soient parfois explicite- </w:t>
      </w:r>
      <w:r>
        <w:rPr>
          <w:color w:val="231F20"/>
          <w:w w:val="120"/>
        </w:rPr>
        <w:t>ment</w:t>
      </w:r>
      <w:r>
        <w:rPr>
          <w:color w:val="231F20"/>
          <w:spacing w:val="-12"/>
          <w:w w:val="120"/>
        </w:rPr>
        <w:t> </w:t>
      </w:r>
      <w:r>
        <w:rPr>
          <w:color w:val="231F20"/>
          <w:w w:val="120"/>
        </w:rPr>
        <w:t>formulées,</w:t>
      </w:r>
      <w:r>
        <w:rPr>
          <w:color w:val="231F20"/>
          <w:spacing w:val="-12"/>
          <w:w w:val="120"/>
        </w:rPr>
        <w:t> </w:t>
      </w:r>
      <w:r>
        <w:rPr>
          <w:color w:val="231F20"/>
          <w:w w:val="120"/>
        </w:rPr>
        <w:t>dans</w:t>
      </w:r>
      <w:r>
        <w:rPr>
          <w:color w:val="231F20"/>
          <w:spacing w:val="-12"/>
          <w:w w:val="120"/>
        </w:rPr>
        <w:t> </w:t>
      </w:r>
      <w:r>
        <w:rPr>
          <w:color w:val="231F20"/>
          <w:w w:val="120"/>
        </w:rPr>
        <w:t>la</w:t>
      </w:r>
      <w:r>
        <w:rPr>
          <w:color w:val="231F20"/>
          <w:spacing w:val="-12"/>
          <w:w w:val="120"/>
        </w:rPr>
        <w:t> </w:t>
      </w:r>
      <w:r>
        <w:rPr>
          <w:color w:val="231F20"/>
          <w:w w:val="120"/>
        </w:rPr>
        <w:t>majorité</w:t>
      </w:r>
      <w:r>
        <w:rPr>
          <w:color w:val="231F20"/>
          <w:spacing w:val="-12"/>
          <w:w w:val="120"/>
        </w:rPr>
        <w:t> </w:t>
      </w:r>
      <w:r>
        <w:rPr>
          <w:color w:val="231F20"/>
          <w:w w:val="120"/>
        </w:rPr>
        <w:t>des</w:t>
      </w:r>
      <w:r>
        <w:rPr>
          <w:color w:val="231F20"/>
          <w:spacing w:val="-12"/>
          <w:w w:val="120"/>
        </w:rPr>
        <w:t> </w:t>
      </w:r>
      <w:r>
        <w:rPr>
          <w:color w:val="231F20"/>
          <w:w w:val="120"/>
        </w:rPr>
        <w:t>cas,</w:t>
      </w:r>
      <w:r>
        <w:rPr>
          <w:color w:val="231F20"/>
          <w:spacing w:val="-12"/>
          <w:w w:val="120"/>
        </w:rPr>
        <w:t> </w:t>
      </w:r>
      <w:r>
        <w:rPr>
          <w:color w:val="231F20"/>
          <w:w w:val="120"/>
        </w:rPr>
        <w:t>les</w:t>
      </w:r>
      <w:r>
        <w:rPr>
          <w:color w:val="231F20"/>
          <w:spacing w:val="-12"/>
          <w:w w:val="120"/>
        </w:rPr>
        <w:t> </w:t>
      </w:r>
      <w:r>
        <w:rPr>
          <w:color w:val="231F20"/>
          <w:w w:val="120"/>
        </w:rPr>
        <w:t>valeurs</w:t>
      </w:r>
      <w:r>
        <w:rPr>
          <w:color w:val="231F20"/>
          <w:spacing w:val="-12"/>
          <w:w w:val="120"/>
        </w:rPr>
        <w:t> </w:t>
      </w:r>
      <w:r>
        <w:rPr>
          <w:color w:val="231F20"/>
          <w:w w:val="120"/>
        </w:rPr>
        <w:t>organisationnelles </w:t>
      </w:r>
      <w:r>
        <w:rPr>
          <w:color w:val="231F20"/>
          <w:w w:val="115"/>
        </w:rPr>
        <w:t>semblent</w:t>
      </w:r>
      <w:r>
        <w:rPr>
          <w:color w:val="231F20"/>
          <w:spacing w:val="-1"/>
          <w:w w:val="115"/>
        </w:rPr>
        <w:t> </w:t>
      </w:r>
      <w:r>
        <w:rPr>
          <w:color w:val="231F20"/>
          <w:w w:val="115"/>
        </w:rPr>
        <w:t>flotter</w:t>
      </w:r>
      <w:r>
        <w:rPr>
          <w:color w:val="231F20"/>
          <w:spacing w:val="-1"/>
          <w:w w:val="115"/>
        </w:rPr>
        <w:t> </w:t>
      </w:r>
      <w:r>
        <w:rPr>
          <w:color w:val="231F20"/>
          <w:w w:val="115"/>
        </w:rPr>
        <w:t>dans</w:t>
      </w:r>
      <w:r>
        <w:rPr>
          <w:color w:val="231F20"/>
          <w:spacing w:val="-1"/>
          <w:w w:val="115"/>
        </w:rPr>
        <w:t> </w:t>
      </w:r>
      <w:r>
        <w:rPr>
          <w:color w:val="231F20"/>
          <w:w w:val="115"/>
        </w:rPr>
        <w:t>l’atmosphère;</w:t>
      </w:r>
      <w:r>
        <w:rPr>
          <w:color w:val="231F20"/>
          <w:spacing w:val="-1"/>
          <w:w w:val="115"/>
        </w:rPr>
        <w:t> </w:t>
      </w:r>
      <w:r>
        <w:rPr>
          <w:color w:val="231F20"/>
          <w:w w:val="115"/>
        </w:rPr>
        <w:t>comme</w:t>
      </w:r>
      <w:r>
        <w:rPr>
          <w:color w:val="231F20"/>
          <w:spacing w:val="-1"/>
          <w:w w:val="115"/>
        </w:rPr>
        <w:t> </w:t>
      </w:r>
      <w:r>
        <w:rPr>
          <w:color w:val="231F20"/>
          <w:w w:val="115"/>
        </w:rPr>
        <w:t>le</w:t>
      </w:r>
      <w:r>
        <w:rPr>
          <w:color w:val="231F20"/>
          <w:spacing w:val="-1"/>
          <w:w w:val="115"/>
        </w:rPr>
        <w:t> </w:t>
      </w:r>
      <w:r>
        <w:rPr>
          <w:color w:val="231F20"/>
          <w:w w:val="115"/>
        </w:rPr>
        <w:t>disent</w:t>
      </w:r>
      <w:r>
        <w:rPr>
          <w:color w:val="231F20"/>
          <w:spacing w:val="-1"/>
          <w:w w:val="115"/>
        </w:rPr>
        <w:t> </w:t>
      </w:r>
      <w:r>
        <w:rPr>
          <w:color w:val="231F20"/>
          <w:w w:val="115"/>
        </w:rPr>
        <w:t>les</w:t>
      </w:r>
      <w:r>
        <w:rPr>
          <w:color w:val="231F20"/>
          <w:spacing w:val="-1"/>
          <w:w w:val="115"/>
        </w:rPr>
        <w:t> </w:t>
      </w:r>
      <w:r>
        <w:rPr>
          <w:color w:val="231F20"/>
          <w:w w:val="115"/>
        </w:rPr>
        <w:t>théoriciens,</w:t>
      </w:r>
      <w:r>
        <w:rPr>
          <w:color w:val="231F20"/>
          <w:spacing w:val="-1"/>
          <w:w w:val="115"/>
        </w:rPr>
        <w:t> </w:t>
      </w:r>
      <w:r>
        <w:rPr>
          <w:color w:val="231F20"/>
          <w:w w:val="115"/>
        </w:rPr>
        <w:t>elles font</w:t>
      </w:r>
      <w:r>
        <w:rPr>
          <w:color w:val="231F20"/>
          <w:spacing w:val="-13"/>
          <w:w w:val="115"/>
        </w:rPr>
        <w:t> </w:t>
      </w:r>
      <w:r>
        <w:rPr>
          <w:color w:val="231F20"/>
          <w:w w:val="115"/>
        </w:rPr>
        <w:t>alors</w:t>
      </w:r>
      <w:r>
        <w:rPr>
          <w:color w:val="231F20"/>
          <w:spacing w:val="-1"/>
          <w:w w:val="115"/>
        </w:rPr>
        <w:t> </w:t>
      </w:r>
      <w:r>
        <w:rPr>
          <w:color w:val="231F20"/>
          <w:w w:val="115"/>
        </w:rPr>
        <w:t>partie du «</w:t>
      </w:r>
      <w:r>
        <w:rPr>
          <w:color w:val="231F20"/>
          <w:spacing w:val="-13"/>
          <w:w w:val="115"/>
        </w:rPr>
        <w:t> </w:t>
      </w:r>
      <w:r>
        <w:rPr>
          <w:color w:val="231F20"/>
          <w:w w:val="115"/>
        </w:rPr>
        <w:t>climat organisationnel». De toute façon, il n’y a pas </w:t>
      </w:r>
      <w:r>
        <w:rPr>
          <w:color w:val="231F20"/>
          <w:w w:val="120"/>
        </w:rPr>
        <w:t>toujours</w:t>
      </w:r>
      <w:r>
        <w:rPr>
          <w:color w:val="231F20"/>
          <w:spacing w:val="4"/>
          <w:w w:val="120"/>
        </w:rPr>
        <w:t> </w:t>
      </w:r>
      <w:r>
        <w:rPr>
          <w:color w:val="231F20"/>
          <w:w w:val="120"/>
        </w:rPr>
        <w:t>de</w:t>
      </w:r>
      <w:r>
        <w:rPr>
          <w:color w:val="231F20"/>
          <w:spacing w:val="4"/>
          <w:w w:val="120"/>
        </w:rPr>
        <w:t> </w:t>
      </w:r>
      <w:r>
        <w:rPr>
          <w:color w:val="231F20"/>
          <w:w w:val="120"/>
        </w:rPr>
        <w:t>cohérence</w:t>
      </w:r>
      <w:r>
        <w:rPr>
          <w:color w:val="231F20"/>
          <w:spacing w:val="5"/>
          <w:w w:val="120"/>
        </w:rPr>
        <w:t> </w:t>
      </w:r>
      <w:r>
        <w:rPr>
          <w:color w:val="231F20"/>
          <w:w w:val="120"/>
        </w:rPr>
        <w:t>stricte</w:t>
      </w:r>
      <w:r>
        <w:rPr>
          <w:color w:val="231F20"/>
          <w:spacing w:val="4"/>
          <w:w w:val="120"/>
        </w:rPr>
        <w:t> </w:t>
      </w:r>
      <w:r>
        <w:rPr>
          <w:color w:val="231F20"/>
          <w:w w:val="120"/>
        </w:rPr>
        <w:t>entre</w:t>
      </w:r>
      <w:r>
        <w:rPr>
          <w:color w:val="231F20"/>
          <w:spacing w:val="4"/>
          <w:w w:val="120"/>
        </w:rPr>
        <w:t> </w:t>
      </w:r>
      <w:r>
        <w:rPr>
          <w:color w:val="231F20"/>
          <w:w w:val="120"/>
        </w:rPr>
        <w:t>les</w:t>
      </w:r>
      <w:r>
        <w:rPr>
          <w:color w:val="231F20"/>
          <w:spacing w:val="5"/>
          <w:w w:val="120"/>
        </w:rPr>
        <w:t> </w:t>
      </w:r>
      <w:r>
        <w:rPr>
          <w:color w:val="231F20"/>
          <w:w w:val="120"/>
        </w:rPr>
        <w:t>valeurs</w:t>
      </w:r>
      <w:r>
        <w:rPr>
          <w:color w:val="231F20"/>
          <w:spacing w:val="4"/>
          <w:w w:val="120"/>
        </w:rPr>
        <w:t> </w:t>
      </w:r>
      <w:r>
        <w:rPr>
          <w:color w:val="231F20"/>
          <w:w w:val="120"/>
        </w:rPr>
        <w:t>déclarées</w:t>
      </w:r>
      <w:r>
        <w:rPr>
          <w:color w:val="231F20"/>
          <w:spacing w:val="4"/>
          <w:w w:val="120"/>
        </w:rPr>
        <w:t> </w:t>
      </w:r>
      <w:r>
        <w:rPr>
          <w:color w:val="231F20"/>
          <w:w w:val="120"/>
        </w:rPr>
        <w:t>par</w:t>
      </w:r>
      <w:r>
        <w:rPr>
          <w:color w:val="231F20"/>
          <w:spacing w:val="5"/>
          <w:w w:val="120"/>
        </w:rPr>
        <w:t> </w:t>
      </w:r>
      <w:r>
        <w:rPr>
          <w:color w:val="231F20"/>
          <w:w w:val="120"/>
        </w:rPr>
        <w:t>une</w:t>
      </w:r>
      <w:r>
        <w:rPr>
          <w:color w:val="231F20"/>
          <w:spacing w:val="4"/>
          <w:w w:val="120"/>
        </w:rPr>
        <w:t> </w:t>
      </w:r>
      <w:r>
        <w:rPr>
          <w:color w:val="231F20"/>
          <w:spacing w:val="-2"/>
          <w:w w:val="120"/>
        </w:rPr>
        <w:t>orga-</w:t>
      </w:r>
    </w:p>
    <w:p>
      <w:pPr>
        <w:pStyle w:val="BodyText"/>
        <w:spacing w:line="194" w:lineRule="exact"/>
        <w:ind w:left="2830"/>
        <w:jc w:val="both"/>
      </w:pPr>
      <w:r>
        <w:rPr>
          <w:color w:val="231F20"/>
          <w:w w:val="120"/>
        </w:rPr>
        <w:t>nisation</w:t>
      </w:r>
      <w:r>
        <w:rPr>
          <w:color w:val="231F20"/>
          <w:spacing w:val="4"/>
          <w:w w:val="120"/>
        </w:rPr>
        <w:t> </w:t>
      </w:r>
      <w:r>
        <w:rPr>
          <w:color w:val="231F20"/>
          <w:w w:val="120"/>
        </w:rPr>
        <w:t>et</w:t>
      </w:r>
      <w:r>
        <w:rPr>
          <w:color w:val="231F20"/>
          <w:spacing w:val="5"/>
          <w:w w:val="120"/>
        </w:rPr>
        <w:t> </w:t>
      </w:r>
      <w:r>
        <w:rPr>
          <w:color w:val="231F20"/>
          <w:w w:val="120"/>
        </w:rPr>
        <w:t>celles</w:t>
      </w:r>
      <w:r>
        <w:rPr>
          <w:color w:val="231F20"/>
          <w:spacing w:val="5"/>
          <w:w w:val="120"/>
        </w:rPr>
        <w:t> </w:t>
      </w:r>
      <w:r>
        <w:rPr>
          <w:color w:val="231F20"/>
          <w:w w:val="120"/>
        </w:rPr>
        <w:t>qui</w:t>
      </w:r>
      <w:r>
        <w:rPr>
          <w:color w:val="231F20"/>
          <w:spacing w:val="4"/>
          <w:w w:val="120"/>
        </w:rPr>
        <w:t> </w:t>
      </w:r>
      <w:r>
        <w:rPr>
          <w:color w:val="231F20"/>
          <w:w w:val="120"/>
        </w:rPr>
        <w:t>y</w:t>
      </w:r>
      <w:r>
        <w:rPr>
          <w:color w:val="231F20"/>
          <w:spacing w:val="5"/>
          <w:w w:val="120"/>
        </w:rPr>
        <w:t> </w:t>
      </w:r>
      <w:r>
        <w:rPr>
          <w:color w:val="231F20"/>
          <w:w w:val="120"/>
        </w:rPr>
        <w:t>sont</w:t>
      </w:r>
      <w:r>
        <w:rPr>
          <w:color w:val="231F20"/>
          <w:spacing w:val="5"/>
          <w:w w:val="120"/>
        </w:rPr>
        <w:t> </w:t>
      </w:r>
      <w:r>
        <w:rPr>
          <w:color w:val="231F20"/>
          <w:w w:val="120"/>
        </w:rPr>
        <w:t>réellement</w:t>
      </w:r>
      <w:r>
        <w:rPr>
          <w:color w:val="231F20"/>
          <w:spacing w:val="4"/>
          <w:w w:val="120"/>
        </w:rPr>
        <w:t> </w:t>
      </w:r>
      <w:r>
        <w:rPr>
          <w:color w:val="231F20"/>
          <w:spacing w:val="-2"/>
          <w:w w:val="120"/>
        </w:rPr>
        <w:t>obser-</w:t>
      </w:r>
    </w:p>
    <w:p>
      <w:pPr>
        <w:spacing w:after="0" w:line="194" w:lineRule="exact"/>
        <w:jc w:val="both"/>
        <w:sectPr>
          <w:footerReference w:type="default" r:id="rId332"/>
          <w:pgSz w:w="8640" w:h="12960"/>
          <w:pgMar w:footer="424" w:header="0" w:top="520" w:bottom="620" w:left="420" w:right="1140"/>
        </w:sectPr>
      </w:pPr>
    </w:p>
    <w:p>
      <w:pPr>
        <w:spacing w:line="268" w:lineRule="auto" w:before="101"/>
        <w:ind w:left="879" w:right="0" w:firstLine="345"/>
        <w:jc w:val="right"/>
        <w:rPr>
          <w:rFonts w:ascii="Arial" w:hAnsi="Arial"/>
          <w:sz w:val="14"/>
        </w:rPr>
      </w:pPr>
      <w:r>
        <w:rPr>
          <w:rFonts w:ascii="Arial" w:hAnsi="Arial"/>
          <w:color w:val="231F20"/>
          <w:sz w:val="14"/>
        </w:rPr>
        <w:t>La</w:t>
      </w:r>
      <w:r>
        <w:rPr>
          <w:rFonts w:ascii="Arial" w:hAnsi="Arial"/>
          <w:color w:val="231F20"/>
          <w:spacing w:val="-10"/>
          <w:sz w:val="14"/>
        </w:rPr>
        <w:t> </w:t>
      </w:r>
      <w:r>
        <w:rPr>
          <w:rFonts w:ascii="Arial" w:hAnsi="Arial"/>
          <w:color w:val="231F20"/>
          <w:sz w:val="14"/>
        </w:rPr>
        <w:t>gestion</w:t>
      </w:r>
      <w:r>
        <w:rPr>
          <w:rFonts w:ascii="Arial" w:hAnsi="Arial"/>
          <w:color w:val="231F20"/>
          <w:spacing w:val="-10"/>
          <w:sz w:val="14"/>
        </w:rPr>
        <w:t> </w:t>
      </w:r>
      <w:r>
        <w:rPr>
          <w:rFonts w:ascii="Arial" w:hAnsi="Arial"/>
          <w:color w:val="231F20"/>
          <w:sz w:val="14"/>
        </w:rPr>
        <w:t>par</w:t>
      </w:r>
      <w:r>
        <w:rPr>
          <w:rFonts w:ascii="Arial" w:hAnsi="Arial"/>
          <w:color w:val="231F20"/>
          <w:spacing w:val="-10"/>
          <w:sz w:val="14"/>
        </w:rPr>
        <w:t> </w:t>
      </w:r>
      <w:r>
        <w:rPr>
          <w:rFonts w:ascii="Arial" w:hAnsi="Arial"/>
          <w:color w:val="231F20"/>
          <w:sz w:val="14"/>
        </w:rPr>
        <w:t>valeurs</w:t>
      </w:r>
      <w:r>
        <w:rPr>
          <w:rFonts w:ascii="Arial" w:hAnsi="Arial"/>
          <w:color w:val="231F20"/>
          <w:spacing w:val="40"/>
          <w:sz w:val="14"/>
        </w:rPr>
        <w:t> </w:t>
      </w:r>
      <w:r>
        <w:rPr>
          <w:rFonts w:ascii="Arial" w:hAnsi="Arial"/>
          <w:color w:val="231F20"/>
          <w:sz w:val="14"/>
        </w:rPr>
        <w:t>renvoie</w:t>
      </w:r>
      <w:r>
        <w:rPr>
          <w:rFonts w:ascii="Arial" w:hAnsi="Arial"/>
          <w:color w:val="231F20"/>
          <w:spacing w:val="-9"/>
          <w:sz w:val="14"/>
        </w:rPr>
        <w:t> </w:t>
      </w:r>
      <w:r>
        <w:rPr>
          <w:rFonts w:ascii="Arial" w:hAnsi="Arial"/>
          <w:color w:val="231F20"/>
          <w:sz w:val="14"/>
        </w:rPr>
        <w:t>à</w:t>
      </w:r>
      <w:r>
        <w:rPr>
          <w:rFonts w:ascii="Arial" w:hAnsi="Arial"/>
          <w:color w:val="231F20"/>
          <w:spacing w:val="-9"/>
          <w:sz w:val="14"/>
        </w:rPr>
        <w:t> </w:t>
      </w:r>
      <w:r>
        <w:rPr>
          <w:rFonts w:ascii="Arial" w:hAnsi="Arial"/>
          <w:color w:val="231F20"/>
          <w:sz w:val="14"/>
        </w:rPr>
        <w:t>la</w:t>
      </w:r>
      <w:r>
        <w:rPr>
          <w:rFonts w:ascii="Arial" w:hAnsi="Arial"/>
          <w:color w:val="231F20"/>
          <w:spacing w:val="-9"/>
          <w:sz w:val="14"/>
        </w:rPr>
        <w:t> </w:t>
      </w:r>
      <w:r>
        <w:rPr>
          <w:rFonts w:ascii="Arial" w:hAnsi="Arial"/>
          <w:color w:val="231F20"/>
          <w:sz w:val="14"/>
        </w:rPr>
        <w:t>réalisation</w:t>
      </w:r>
      <w:r>
        <w:rPr>
          <w:rFonts w:ascii="Arial" w:hAnsi="Arial"/>
          <w:color w:val="231F20"/>
          <w:spacing w:val="-9"/>
          <w:sz w:val="14"/>
        </w:rPr>
        <w:t> </w:t>
      </w:r>
      <w:r>
        <w:rPr>
          <w:rFonts w:ascii="Arial" w:hAnsi="Arial"/>
          <w:color w:val="231F20"/>
          <w:sz w:val="14"/>
        </w:rPr>
        <w:t>d’un</w:t>
      </w:r>
      <w:r>
        <w:rPr>
          <w:rFonts w:ascii="Arial" w:hAnsi="Arial"/>
          <w:color w:val="231F20"/>
          <w:spacing w:val="40"/>
          <w:sz w:val="14"/>
        </w:rPr>
        <w:t> </w:t>
      </w:r>
      <w:r>
        <w:rPr>
          <w:rFonts w:ascii="Arial" w:hAnsi="Arial"/>
          <w:color w:val="231F20"/>
          <w:sz w:val="14"/>
        </w:rPr>
        <w:t>projet</w:t>
      </w:r>
      <w:r>
        <w:rPr>
          <w:rFonts w:ascii="Arial" w:hAnsi="Arial"/>
          <w:color w:val="231F20"/>
          <w:spacing w:val="-10"/>
          <w:sz w:val="14"/>
        </w:rPr>
        <w:t> </w:t>
      </w:r>
      <w:r>
        <w:rPr>
          <w:rFonts w:ascii="Arial" w:hAnsi="Arial"/>
          <w:color w:val="231F20"/>
          <w:sz w:val="14"/>
        </w:rPr>
        <w:t>d’humanisation</w:t>
      </w:r>
      <w:r>
        <w:rPr>
          <w:rFonts w:ascii="Arial" w:hAnsi="Arial"/>
          <w:color w:val="231F20"/>
          <w:spacing w:val="40"/>
          <w:sz w:val="14"/>
        </w:rPr>
        <w:t> </w:t>
      </w:r>
      <w:r>
        <w:rPr>
          <w:rFonts w:ascii="Arial" w:hAnsi="Arial"/>
          <w:color w:val="231F20"/>
          <w:sz w:val="14"/>
        </w:rPr>
        <w:t>promu consciemment par</w:t>
      </w:r>
      <w:r>
        <w:rPr>
          <w:rFonts w:ascii="Arial" w:hAnsi="Arial"/>
          <w:color w:val="231F20"/>
          <w:spacing w:val="40"/>
          <w:sz w:val="14"/>
        </w:rPr>
        <w:t> </w:t>
      </w:r>
      <w:r>
        <w:rPr>
          <w:rFonts w:ascii="Arial" w:hAnsi="Arial"/>
          <w:color w:val="231F20"/>
          <w:sz w:val="14"/>
        </w:rPr>
        <w:t>les dirigeants d’une</w:t>
      </w:r>
      <w:r>
        <w:rPr>
          <w:rFonts w:ascii="Arial" w:hAnsi="Arial"/>
          <w:color w:val="231F20"/>
          <w:spacing w:val="40"/>
          <w:sz w:val="14"/>
        </w:rPr>
        <w:t> </w:t>
      </w:r>
      <w:r>
        <w:rPr>
          <w:rFonts w:ascii="Arial" w:hAnsi="Arial"/>
          <w:color w:val="231F20"/>
          <w:sz w:val="14"/>
        </w:rPr>
        <w:t>entreprise pour assurer</w:t>
      </w:r>
    </w:p>
    <w:p>
      <w:pPr>
        <w:spacing w:line="268" w:lineRule="auto" w:before="0"/>
        <w:ind w:left="886" w:right="0" w:firstLine="91"/>
        <w:jc w:val="right"/>
        <w:rPr>
          <w:rFonts w:ascii="Arial" w:hAnsi="Arial"/>
          <w:sz w:val="14"/>
        </w:rPr>
      </w:pPr>
      <w:r>
        <w:rPr>
          <w:rFonts w:ascii="Arial" w:hAnsi="Arial"/>
          <w:color w:val="231F20"/>
          <w:spacing w:val="-2"/>
          <w:sz w:val="14"/>
        </w:rPr>
        <w:t>la</w:t>
      </w:r>
      <w:r>
        <w:rPr>
          <w:rFonts w:ascii="Arial" w:hAnsi="Arial"/>
          <w:color w:val="231F20"/>
          <w:spacing w:val="-6"/>
          <w:sz w:val="14"/>
        </w:rPr>
        <w:t> </w:t>
      </w:r>
      <w:r>
        <w:rPr>
          <w:rFonts w:ascii="Arial" w:hAnsi="Arial"/>
          <w:color w:val="231F20"/>
          <w:spacing w:val="-2"/>
          <w:sz w:val="14"/>
        </w:rPr>
        <w:t>congruence</w:t>
      </w:r>
      <w:r>
        <w:rPr>
          <w:rFonts w:ascii="Arial" w:hAnsi="Arial"/>
          <w:color w:val="231F20"/>
          <w:spacing w:val="-6"/>
          <w:sz w:val="14"/>
        </w:rPr>
        <w:t> </w:t>
      </w:r>
      <w:r>
        <w:rPr>
          <w:rFonts w:ascii="Arial" w:hAnsi="Arial"/>
          <w:color w:val="231F20"/>
          <w:spacing w:val="-2"/>
          <w:sz w:val="14"/>
        </w:rPr>
        <w:t>des</w:t>
      </w:r>
      <w:r>
        <w:rPr>
          <w:rFonts w:ascii="Arial" w:hAnsi="Arial"/>
          <w:color w:val="231F20"/>
          <w:spacing w:val="-6"/>
          <w:sz w:val="14"/>
        </w:rPr>
        <w:t> </w:t>
      </w:r>
      <w:r>
        <w:rPr>
          <w:rFonts w:ascii="Arial" w:hAnsi="Arial"/>
          <w:color w:val="231F20"/>
          <w:spacing w:val="-2"/>
          <w:sz w:val="14"/>
        </w:rPr>
        <w:t>valeurs</w:t>
      </w:r>
      <w:r>
        <w:rPr>
          <w:rFonts w:ascii="Arial" w:hAnsi="Arial"/>
          <w:color w:val="231F20"/>
          <w:spacing w:val="40"/>
          <w:sz w:val="14"/>
        </w:rPr>
        <w:t> </w:t>
      </w:r>
      <w:r>
        <w:rPr>
          <w:rFonts w:ascii="Arial" w:hAnsi="Arial"/>
          <w:color w:val="231F20"/>
          <w:sz w:val="14"/>
        </w:rPr>
        <w:t>formelles</w:t>
      </w:r>
      <w:r>
        <w:rPr>
          <w:rFonts w:ascii="Arial" w:hAnsi="Arial"/>
          <w:color w:val="231F20"/>
          <w:spacing w:val="6"/>
          <w:sz w:val="14"/>
        </w:rPr>
        <w:t> </w:t>
      </w:r>
      <w:r>
        <w:rPr>
          <w:rFonts w:ascii="Arial" w:hAnsi="Arial"/>
          <w:color w:val="231F20"/>
          <w:sz w:val="14"/>
        </w:rPr>
        <w:t>de</w:t>
      </w:r>
      <w:r>
        <w:rPr>
          <w:rFonts w:ascii="Arial" w:hAnsi="Arial"/>
          <w:color w:val="231F20"/>
          <w:spacing w:val="7"/>
          <w:sz w:val="14"/>
        </w:rPr>
        <w:t> </w:t>
      </w:r>
      <w:r>
        <w:rPr>
          <w:rFonts w:ascii="Arial" w:hAnsi="Arial"/>
          <w:color w:val="231F20"/>
          <w:spacing w:val="-2"/>
          <w:sz w:val="14"/>
        </w:rPr>
        <w:t>l’organisation.</w:t>
      </w:r>
    </w:p>
    <w:p>
      <w:pPr>
        <w:pStyle w:val="BodyText"/>
        <w:spacing w:line="307" w:lineRule="auto" w:before="54"/>
        <w:ind w:left="200" w:right="496"/>
        <w:jc w:val="both"/>
      </w:pPr>
      <w:r>
        <w:rPr/>
        <w:br w:type="column"/>
      </w:r>
      <w:r>
        <w:rPr>
          <w:color w:val="231F20"/>
          <w:w w:val="120"/>
        </w:rPr>
        <w:t>vées</w:t>
      </w:r>
      <w:r>
        <w:rPr>
          <w:color w:val="231F20"/>
          <w:spacing w:val="-13"/>
          <w:w w:val="120"/>
        </w:rPr>
        <w:t> </w:t>
      </w:r>
      <w:r>
        <w:rPr>
          <w:color w:val="231F20"/>
          <w:w w:val="120"/>
        </w:rPr>
        <w:t>et</w:t>
      </w:r>
      <w:r>
        <w:rPr>
          <w:color w:val="231F20"/>
          <w:spacing w:val="-13"/>
          <w:w w:val="120"/>
        </w:rPr>
        <w:t> </w:t>
      </w:r>
      <w:r>
        <w:rPr>
          <w:color w:val="231F20"/>
          <w:w w:val="120"/>
        </w:rPr>
        <w:t>mises</w:t>
      </w:r>
      <w:r>
        <w:rPr>
          <w:color w:val="231F20"/>
          <w:spacing w:val="-13"/>
          <w:w w:val="120"/>
        </w:rPr>
        <w:t> </w:t>
      </w:r>
      <w:r>
        <w:rPr>
          <w:color w:val="231F20"/>
          <w:w w:val="120"/>
        </w:rPr>
        <w:t>en</w:t>
      </w:r>
      <w:r>
        <w:rPr>
          <w:color w:val="231F20"/>
          <w:spacing w:val="-12"/>
          <w:w w:val="120"/>
        </w:rPr>
        <w:t> </w:t>
      </w:r>
      <w:r>
        <w:rPr>
          <w:color w:val="231F20"/>
          <w:w w:val="120"/>
        </w:rPr>
        <w:t>pratique,</w:t>
      </w:r>
      <w:r>
        <w:rPr>
          <w:color w:val="231F20"/>
          <w:spacing w:val="-13"/>
          <w:w w:val="120"/>
        </w:rPr>
        <w:t> </w:t>
      </w:r>
      <w:r>
        <w:rPr>
          <w:color w:val="231F20"/>
          <w:w w:val="120"/>
        </w:rPr>
        <w:t>constituant</w:t>
      </w:r>
      <w:r>
        <w:rPr>
          <w:color w:val="231F20"/>
          <w:spacing w:val="-13"/>
          <w:w w:val="120"/>
        </w:rPr>
        <w:t> </w:t>
      </w:r>
      <w:r>
        <w:rPr>
          <w:color w:val="231F20"/>
          <w:w w:val="120"/>
        </w:rPr>
        <w:t>ainsi</w:t>
      </w:r>
      <w:r>
        <w:rPr>
          <w:color w:val="231F20"/>
          <w:spacing w:val="-13"/>
          <w:w w:val="120"/>
        </w:rPr>
        <w:t> </w:t>
      </w:r>
      <w:r>
        <w:rPr>
          <w:color w:val="231F20"/>
          <w:w w:val="120"/>
        </w:rPr>
        <w:t>son propre capital ou actif axiologique de valeurs accumulées au fil du temps.</w:t>
      </w:r>
    </w:p>
    <w:p>
      <w:pPr>
        <w:pStyle w:val="BodyText"/>
        <w:spacing w:line="307" w:lineRule="auto" w:before="74"/>
        <w:ind w:left="200" w:right="495" w:firstLine="250"/>
        <w:jc w:val="both"/>
      </w:pPr>
      <w:r>
        <w:rPr>
          <w:color w:val="231F20"/>
          <w:spacing w:val="-2"/>
          <w:w w:val="115"/>
        </w:rPr>
        <w:t>La</w:t>
      </w:r>
      <w:r>
        <w:rPr>
          <w:color w:val="231F20"/>
          <w:spacing w:val="-9"/>
          <w:w w:val="115"/>
        </w:rPr>
        <w:t> </w:t>
      </w:r>
      <w:r>
        <w:rPr>
          <w:color w:val="231F20"/>
          <w:spacing w:val="-2"/>
          <w:w w:val="115"/>
        </w:rPr>
        <w:t>gestion</w:t>
      </w:r>
      <w:r>
        <w:rPr>
          <w:color w:val="231F20"/>
          <w:spacing w:val="-9"/>
          <w:w w:val="115"/>
        </w:rPr>
        <w:t> </w:t>
      </w:r>
      <w:r>
        <w:rPr>
          <w:color w:val="231F20"/>
          <w:spacing w:val="-2"/>
          <w:w w:val="115"/>
        </w:rPr>
        <w:t>par</w:t>
      </w:r>
      <w:r>
        <w:rPr>
          <w:color w:val="231F20"/>
          <w:spacing w:val="-9"/>
          <w:w w:val="115"/>
        </w:rPr>
        <w:t> </w:t>
      </w:r>
      <w:r>
        <w:rPr>
          <w:color w:val="231F20"/>
          <w:spacing w:val="-2"/>
          <w:w w:val="115"/>
        </w:rPr>
        <w:t>valeurs</w:t>
      </w:r>
      <w:r>
        <w:rPr>
          <w:color w:val="231F20"/>
          <w:spacing w:val="-9"/>
          <w:w w:val="115"/>
        </w:rPr>
        <w:t> </w:t>
      </w:r>
      <w:r>
        <w:rPr>
          <w:color w:val="231F20"/>
          <w:spacing w:val="-2"/>
          <w:w w:val="115"/>
        </w:rPr>
        <w:t>(GpV)</w:t>
      </w:r>
      <w:r>
        <w:rPr>
          <w:color w:val="231F20"/>
          <w:spacing w:val="-9"/>
          <w:w w:val="115"/>
        </w:rPr>
        <w:t> </w:t>
      </w:r>
      <w:r>
        <w:rPr>
          <w:color w:val="231F20"/>
          <w:spacing w:val="-2"/>
          <w:w w:val="115"/>
        </w:rPr>
        <w:t>renvoie</w:t>
      </w:r>
      <w:r>
        <w:rPr>
          <w:color w:val="231F20"/>
          <w:spacing w:val="-9"/>
          <w:w w:val="115"/>
        </w:rPr>
        <w:t> </w:t>
      </w:r>
      <w:r>
        <w:rPr>
          <w:color w:val="231F20"/>
          <w:spacing w:val="-2"/>
          <w:w w:val="115"/>
        </w:rPr>
        <w:t>à</w:t>
      </w:r>
      <w:r>
        <w:rPr>
          <w:color w:val="231F20"/>
          <w:spacing w:val="-9"/>
          <w:w w:val="115"/>
        </w:rPr>
        <w:t> </w:t>
      </w:r>
      <w:r>
        <w:rPr>
          <w:color w:val="231F20"/>
          <w:spacing w:val="-2"/>
          <w:w w:val="115"/>
        </w:rPr>
        <w:t>la</w:t>
      </w:r>
      <w:r>
        <w:rPr>
          <w:color w:val="231F20"/>
          <w:spacing w:val="-9"/>
          <w:w w:val="115"/>
        </w:rPr>
        <w:t> </w:t>
      </w:r>
      <w:r>
        <w:rPr>
          <w:color w:val="231F20"/>
          <w:spacing w:val="-2"/>
          <w:w w:val="115"/>
        </w:rPr>
        <w:t>réa- </w:t>
      </w:r>
      <w:r>
        <w:rPr>
          <w:color w:val="231F20"/>
          <w:w w:val="120"/>
        </w:rPr>
        <w:t>lisation</w:t>
      </w:r>
      <w:r>
        <w:rPr>
          <w:color w:val="231F20"/>
          <w:spacing w:val="-7"/>
          <w:w w:val="120"/>
        </w:rPr>
        <w:t> </w:t>
      </w:r>
      <w:r>
        <w:rPr>
          <w:color w:val="231F20"/>
          <w:w w:val="120"/>
        </w:rPr>
        <w:t>d’un</w:t>
      </w:r>
      <w:r>
        <w:rPr>
          <w:color w:val="231F20"/>
          <w:spacing w:val="-7"/>
          <w:w w:val="120"/>
        </w:rPr>
        <w:t> </w:t>
      </w:r>
      <w:r>
        <w:rPr>
          <w:color w:val="231F20"/>
          <w:w w:val="120"/>
        </w:rPr>
        <w:t>projet</w:t>
      </w:r>
      <w:r>
        <w:rPr>
          <w:color w:val="231F20"/>
          <w:spacing w:val="-7"/>
          <w:w w:val="120"/>
        </w:rPr>
        <w:t> </w:t>
      </w:r>
      <w:r>
        <w:rPr>
          <w:color w:val="231F20"/>
          <w:w w:val="120"/>
        </w:rPr>
        <w:t>d’humanisation</w:t>
      </w:r>
      <w:r>
        <w:rPr>
          <w:color w:val="231F20"/>
          <w:spacing w:val="-7"/>
          <w:w w:val="120"/>
        </w:rPr>
        <w:t> </w:t>
      </w:r>
      <w:r>
        <w:rPr>
          <w:color w:val="231F20"/>
          <w:w w:val="120"/>
        </w:rPr>
        <w:t>qui</w:t>
      </w:r>
      <w:r>
        <w:rPr>
          <w:color w:val="231F20"/>
          <w:spacing w:val="-7"/>
          <w:w w:val="120"/>
        </w:rPr>
        <w:t> </w:t>
      </w:r>
      <w:r>
        <w:rPr>
          <w:color w:val="231F20"/>
          <w:w w:val="120"/>
        </w:rPr>
        <w:t>a</w:t>
      </w:r>
      <w:r>
        <w:rPr>
          <w:color w:val="231F20"/>
          <w:spacing w:val="-7"/>
          <w:w w:val="120"/>
        </w:rPr>
        <w:t> </w:t>
      </w:r>
      <w:r>
        <w:rPr>
          <w:color w:val="231F20"/>
          <w:w w:val="120"/>
        </w:rPr>
        <w:t>pour but</w:t>
      </w:r>
      <w:r>
        <w:rPr>
          <w:color w:val="231F20"/>
          <w:spacing w:val="-13"/>
          <w:w w:val="120"/>
        </w:rPr>
        <w:t> </w:t>
      </w:r>
      <w:r>
        <w:rPr>
          <w:color w:val="231F20"/>
          <w:w w:val="120"/>
        </w:rPr>
        <w:t>d’expliciter</w:t>
      </w:r>
      <w:r>
        <w:rPr>
          <w:color w:val="231F20"/>
          <w:spacing w:val="-13"/>
          <w:w w:val="120"/>
        </w:rPr>
        <w:t> </w:t>
      </w:r>
      <w:r>
        <w:rPr>
          <w:color w:val="231F20"/>
          <w:w w:val="120"/>
        </w:rPr>
        <w:t>et</w:t>
      </w:r>
      <w:r>
        <w:rPr>
          <w:color w:val="231F20"/>
          <w:spacing w:val="-13"/>
          <w:w w:val="120"/>
        </w:rPr>
        <w:t> </w:t>
      </w:r>
      <w:r>
        <w:rPr>
          <w:color w:val="231F20"/>
          <w:w w:val="120"/>
        </w:rPr>
        <w:t>de</w:t>
      </w:r>
      <w:r>
        <w:rPr>
          <w:color w:val="231F20"/>
          <w:spacing w:val="-12"/>
          <w:w w:val="120"/>
        </w:rPr>
        <w:t> </w:t>
      </w:r>
      <w:r>
        <w:rPr>
          <w:color w:val="231F20"/>
          <w:w w:val="120"/>
        </w:rPr>
        <w:t>clarifier</w:t>
      </w:r>
      <w:r>
        <w:rPr>
          <w:color w:val="231F20"/>
          <w:spacing w:val="-13"/>
          <w:w w:val="120"/>
        </w:rPr>
        <w:t> </w:t>
      </w:r>
      <w:r>
        <w:rPr>
          <w:color w:val="231F20"/>
          <w:w w:val="120"/>
        </w:rPr>
        <w:t>les</w:t>
      </w:r>
      <w:r>
        <w:rPr>
          <w:color w:val="231F20"/>
          <w:spacing w:val="-13"/>
          <w:w w:val="120"/>
        </w:rPr>
        <w:t> </w:t>
      </w:r>
      <w:r>
        <w:rPr>
          <w:color w:val="231F20"/>
          <w:w w:val="120"/>
        </w:rPr>
        <w:t>valeurs</w:t>
      </w:r>
      <w:r>
        <w:rPr>
          <w:color w:val="231F20"/>
          <w:spacing w:val="-13"/>
          <w:w w:val="120"/>
        </w:rPr>
        <w:t> </w:t>
      </w:r>
      <w:r>
        <w:rPr>
          <w:color w:val="231F20"/>
          <w:w w:val="120"/>
        </w:rPr>
        <w:t>d’une </w:t>
      </w:r>
      <w:r>
        <w:rPr>
          <w:color w:val="231F20"/>
          <w:w w:val="115"/>
        </w:rPr>
        <w:t>organisation.</w:t>
      </w:r>
      <w:r>
        <w:rPr>
          <w:color w:val="231F20"/>
          <w:spacing w:val="-5"/>
          <w:w w:val="115"/>
        </w:rPr>
        <w:t> </w:t>
      </w:r>
      <w:r>
        <w:rPr>
          <w:color w:val="231F20"/>
          <w:w w:val="115"/>
        </w:rPr>
        <w:t>Ce</w:t>
      </w:r>
      <w:r>
        <w:rPr>
          <w:color w:val="231F20"/>
          <w:spacing w:val="-5"/>
          <w:w w:val="115"/>
        </w:rPr>
        <w:t> </w:t>
      </w:r>
      <w:r>
        <w:rPr>
          <w:color w:val="231F20"/>
          <w:w w:val="115"/>
        </w:rPr>
        <w:t>projet</w:t>
      </w:r>
      <w:r>
        <w:rPr>
          <w:color w:val="231F20"/>
          <w:spacing w:val="-5"/>
          <w:w w:val="115"/>
        </w:rPr>
        <w:t> </w:t>
      </w:r>
      <w:r>
        <w:rPr>
          <w:color w:val="231F20"/>
          <w:w w:val="115"/>
        </w:rPr>
        <w:t>est</w:t>
      </w:r>
      <w:r>
        <w:rPr>
          <w:color w:val="231F20"/>
          <w:spacing w:val="-4"/>
          <w:w w:val="115"/>
        </w:rPr>
        <w:t> </w:t>
      </w:r>
      <w:r>
        <w:rPr>
          <w:color w:val="231F20"/>
          <w:w w:val="115"/>
        </w:rPr>
        <w:t>suivi</w:t>
      </w:r>
      <w:r>
        <w:rPr>
          <w:color w:val="231F20"/>
          <w:spacing w:val="-5"/>
          <w:w w:val="115"/>
        </w:rPr>
        <w:t> </w:t>
      </w:r>
      <w:r>
        <w:rPr>
          <w:color w:val="231F20"/>
          <w:w w:val="115"/>
        </w:rPr>
        <w:t>d’actions</w:t>
      </w:r>
      <w:r>
        <w:rPr>
          <w:color w:val="231F20"/>
          <w:spacing w:val="-5"/>
          <w:w w:val="115"/>
        </w:rPr>
        <w:t> </w:t>
      </w:r>
      <w:r>
        <w:rPr>
          <w:color w:val="231F20"/>
          <w:spacing w:val="-2"/>
          <w:w w:val="115"/>
        </w:rPr>
        <w:t>cohé-</w:t>
      </w:r>
    </w:p>
    <w:p>
      <w:pPr>
        <w:spacing w:after="0" w:line="307" w:lineRule="auto"/>
        <w:jc w:val="both"/>
        <w:sectPr>
          <w:type w:val="continuous"/>
          <w:pgSz w:w="8640" w:h="12960"/>
          <w:pgMar w:header="0" w:footer="424" w:top="1220" w:bottom="280" w:left="420" w:right="1140"/>
          <w:cols w:num="2" w:equalWidth="0">
            <w:col w:w="2591" w:space="40"/>
            <w:col w:w="4449"/>
          </w:cols>
        </w:sectPr>
      </w:pPr>
    </w:p>
    <w:p>
      <w:pPr>
        <w:pStyle w:val="BodyText"/>
        <w:spacing w:line="307" w:lineRule="auto" w:before="5"/>
        <w:ind w:left="830" w:right="495"/>
        <w:jc w:val="both"/>
      </w:pPr>
      <w:r>
        <w:rPr>
          <w:color w:val="231F20"/>
          <w:w w:val="120"/>
        </w:rPr>
        <w:t>rentes, également explicites, qui ont pour but de mettre en pratique, </w:t>
      </w:r>
      <w:r>
        <w:rPr>
          <w:color w:val="231F20"/>
          <w:spacing w:val="-2"/>
          <w:w w:val="120"/>
        </w:rPr>
        <w:t>d’évaluer et d’améliorer l’efficience organisationnelle de cette nouvelle </w:t>
      </w:r>
      <w:r>
        <w:rPr>
          <w:color w:val="231F20"/>
          <w:w w:val="120"/>
        </w:rPr>
        <w:t>construction</w:t>
      </w:r>
      <w:r>
        <w:rPr>
          <w:color w:val="231F20"/>
          <w:spacing w:val="-13"/>
          <w:w w:val="120"/>
        </w:rPr>
        <w:t> </w:t>
      </w:r>
      <w:r>
        <w:rPr>
          <w:color w:val="231F20"/>
          <w:w w:val="120"/>
        </w:rPr>
        <w:t>culturelle</w:t>
      </w:r>
      <w:r>
        <w:rPr>
          <w:color w:val="231F20"/>
          <w:spacing w:val="-13"/>
          <w:w w:val="120"/>
        </w:rPr>
        <w:t> </w:t>
      </w:r>
      <w:r>
        <w:rPr>
          <w:color w:val="231F20"/>
          <w:w w:val="120"/>
        </w:rPr>
        <w:t>participative.</w:t>
      </w:r>
      <w:r>
        <w:rPr>
          <w:color w:val="231F20"/>
          <w:spacing w:val="-13"/>
          <w:w w:val="120"/>
        </w:rPr>
        <w:t> </w:t>
      </w:r>
      <w:r>
        <w:rPr>
          <w:color w:val="231F20"/>
          <w:w w:val="120"/>
        </w:rPr>
        <w:t>La</w:t>
      </w:r>
      <w:r>
        <w:rPr>
          <w:color w:val="231F20"/>
          <w:spacing w:val="-12"/>
          <w:w w:val="120"/>
        </w:rPr>
        <w:t> </w:t>
      </w:r>
      <w:r>
        <w:rPr>
          <w:color w:val="231F20"/>
          <w:w w:val="120"/>
        </w:rPr>
        <w:t>valeur</w:t>
      </w:r>
      <w:r>
        <w:rPr>
          <w:color w:val="231F20"/>
          <w:spacing w:val="-13"/>
          <w:w w:val="120"/>
        </w:rPr>
        <w:t> </w:t>
      </w:r>
      <w:r>
        <w:rPr>
          <w:color w:val="231F20"/>
          <w:w w:val="120"/>
        </w:rPr>
        <w:t>fondamentale</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2"/>
          <w:w w:val="120"/>
        </w:rPr>
        <w:t> </w:t>
      </w:r>
      <w:r>
        <w:rPr>
          <w:color w:val="231F20"/>
          <w:w w:val="120"/>
        </w:rPr>
        <w:t>GpV est</w:t>
      </w:r>
      <w:r>
        <w:rPr>
          <w:color w:val="231F20"/>
          <w:spacing w:val="-10"/>
          <w:w w:val="120"/>
        </w:rPr>
        <w:t> </w:t>
      </w:r>
      <w:r>
        <w:rPr>
          <w:color w:val="231F20"/>
          <w:w w:val="120"/>
        </w:rPr>
        <w:t>la</w:t>
      </w:r>
      <w:r>
        <w:rPr>
          <w:color w:val="231F20"/>
          <w:spacing w:val="-10"/>
          <w:w w:val="120"/>
        </w:rPr>
        <w:t> </w:t>
      </w:r>
      <w:r>
        <w:rPr>
          <w:color w:val="231F20"/>
          <w:w w:val="120"/>
        </w:rPr>
        <w:t>confiance.</w:t>
      </w:r>
      <w:r>
        <w:rPr>
          <w:color w:val="231F20"/>
          <w:spacing w:val="-10"/>
          <w:w w:val="120"/>
        </w:rPr>
        <w:t> </w:t>
      </w:r>
      <w:r>
        <w:rPr>
          <w:color w:val="231F20"/>
          <w:w w:val="120"/>
        </w:rPr>
        <w:t>La</w:t>
      </w:r>
      <w:r>
        <w:rPr>
          <w:color w:val="231F20"/>
          <w:spacing w:val="-10"/>
          <w:w w:val="120"/>
        </w:rPr>
        <w:t> </w:t>
      </w:r>
      <w:r>
        <w:rPr>
          <w:color w:val="231F20"/>
          <w:w w:val="120"/>
        </w:rPr>
        <w:t>liberté</w:t>
      </w:r>
      <w:r>
        <w:rPr>
          <w:color w:val="231F20"/>
          <w:spacing w:val="-10"/>
          <w:w w:val="120"/>
        </w:rPr>
        <w:t> </w:t>
      </w:r>
      <w:r>
        <w:rPr>
          <w:color w:val="231F20"/>
          <w:w w:val="120"/>
        </w:rPr>
        <w:t>est</w:t>
      </w:r>
      <w:r>
        <w:rPr>
          <w:color w:val="231F20"/>
          <w:spacing w:val="-10"/>
          <w:w w:val="120"/>
        </w:rPr>
        <w:t> </w:t>
      </w:r>
      <w:r>
        <w:rPr>
          <w:color w:val="231F20"/>
          <w:w w:val="120"/>
        </w:rPr>
        <w:t>l’antidote</w:t>
      </w:r>
      <w:r>
        <w:rPr>
          <w:color w:val="231F20"/>
          <w:spacing w:val="-10"/>
          <w:w w:val="120"/>
        </w:rPr>
        <w:t> </w:t>
      </w:r>
      <w:r>
        <w:rPr>
          <w:color w:val="231F20"/>
          <w:w w:val="120"/>
        </w:rPr>
        <w:t>qui</w:t>
      </w:r>
      <w:r>
        <w:rPr>
          <w:color w:val="231F20"/>
          <w:spacing w:val="-10"/>
          <w:w w:val="120"/>
        </w:rPr>
        <w:t> </w:t>
      </w:r>
      <w:r>
        <w:rPr>
          <w:color w:val="231F20"/>
          <w:w w:val="120"/>
        </w:rPr>
        <w:t>l’empêche</w:t>
      </w:r>
      <w:r>
        <w:rPr>
          <w:color w:val="231F20"/>
          <w:spacing w:val="-10"/>
          <w:w w:val="120"/>
        </w:rPr>
        <w:t> </w:t>
      </w:r>
      <w:r>
        <w:rPr>
          <w:color w:val="231F20"/>
          <w:w w:val="120"/>
        </w:rPr>
        <w:t>de</w:t>
      </w:r>
      <w:r>
        <w:rPr>
          <w:color w:val="231F20"/>
          <w:spacing w:val="-10"/>
          <w:w w:val="120"/>
        </w:rPr>
        <w:t> </w:t>
      </w:r>
      <w:r>
        <w:rPr>
          <w:color w:val="231F20"/>
          <w:w w:val="120"/>
        </w:rPr>
        <w:t>dégénérer</w:t>
      </w:r>
      <w:r>
        <w:rPr>
          <w:color w:val="231F20"/>
          <w:spacing w:val="-10"/>
          <w:w w:val="120"/>
        </w:rPr>
        <w:t> </w:t>
      </w:r>
      <w:r>
        <w:rPr>
          <w:color w:val="231F20"/>
          <w:w w:val="120"/>
        </w:rPr>
        <w:t>en un</w:t>
      </w:r>
      <w:r>
        <w:rPr>
          <w:color w:val="231F20"/>
          <w:spacing w:val="-3"/>
          <w:w w:val="120"/>
        </w:rPr>
        <w:t> </w:t>
      </w:r>
      <w:r>
        <w:rPr>
          <w:color w:val="231F20"/>
          <w:w w:val="120"/>
        </w:rPr>
        <w:t>système</w:t>
      </w:r>
      <w:r>
        <w:rPr>
          <w:color w:val="231F20"/>
          <w:spacing w:val="-3"/>
          <w:w w:val="120"/>
        </w:rPr>
        <w:t> </w:t>
      </w:r>
      <w:r>
        <w:rPr>
          <w:color w:val="231F20"/>
          <w:w w:val="120"/>
        </w:rPr>
        <w:t>coercitif,</w:t>
      </w:r>
      <w:r>
        <w:rPr>
          <w:color w:val="231F20"/>
          <w:spacing w:val="-3"/>
          <w:w w:val="120"/>
        </w:rPr>
        <w:t> </w:t>
      </w:r>
      <w:r>
        <w:rPr>
          <w:color w:val="231F20"/>
          <w:w w:val="120"/>
        </w:rPr>
        <w:t>tandis</w:t>
      </w:r>
      <w:r>
        <w:rPr>
          <w:color w:val="231F20"/>
          <w:spacing w:val="-3"/>
          <w:w w:val="120"/>
        </w:rPr>
        <w:t> </w:t>
      </w:r>
      <w:r>
        <w:rPr>
          <w:color w:val="231F20"/>
          <w:w w:val="120"/>
        </w:rPr>
        <w:t>que</w:t>
      </w:r>
      <w:r>
        <w:rPr>
          <w:color w:val="231F20"/>
          <w:spacing w:val="-3"/>
          <w:w w:val="120"/>
        </w:rPr>
        <w:t> </w:t>
      </w:r>
      <w:r>
        <w:rPr>
          <w:color w:val="231F20"/>
          <w:w w:val="120"/>
        </w:rPr>
        <w:t>l’intégrité</w:t>
      </w:r>
      <w:r>
        <w:rPr>
          <w:color w:val="231F20"/>
          <w:spacing w:val="-3"/>
          <w:w w:val="120"/>
        </w:rPr>
        <w:t> </w:t>
      </w:r>
      <w:r>
        <w:rPr>
          <w:color w:val="231F20"/>
          <w:w w:val="120"/>
        </w:rPr>
        <w:t>et</w:t>
      </w:r>
      <w:r>
        <w:rPr>
          <w:color w:val="231F20"/>
          <w:spacing w:val="-3"/>
          <w:w w:val="120"/>
        </w:rPr>
        <w:t> </w:t>
      </w:r>
      <w:r>
        <w:rPr>
          <w:color w:val="231F20"/>
          <w:w w:val="120"/>
        </w:rPr>
        <w:t>la</w:t>
      </w:r>
      <w:r>
        <w:rPr>
          <w:color w:val="231F20"/>
          <w:spacing w:val="-3"/>
          <w:w w:val="120"/>
        </w:rPr>
        <w:t> </w:t>
      </w:r>
      <w:r>
        <w:rPr>
          <w:color w:val="231F20"/>
          <w:w w:val="120"/>
        </w:rPr>
        <w:t>cohésion</w:t>
      </w:r>
      <w:r>
        <w:rPr>
          <w:color w:val="231F20"/>
          <w:spacing w:val="-3"/>
          <w:w w:val="120"/>
        </w:rPr>
        <w:t> </w:t>
      </w:r>
      <w:r>
        <w:rPr>
          <w:color w:val="231F20"/>
          <w:w w:val="120"/>
        </w:rPr>
        <w:t>sont</w:t>
      </w:r>
      <w:r>
        <w:rPr>
          <w:color w:val="231F20"/>
          <w:spacing w:val="-3"/>
          <w:w w:val="120"/>
        </w:rPr>
        <w:t> </w:t>
      </w:r>
      <w:r>
        <w:rPr>
          <w:color w:val="231F20"/>
          <w:w w:val="120"/>
        </w:rPr>
        <w:t>à</w:t>
      </w:r>
      <w:r>
        <w:rPr>
          <w:color w:val="231F20"/>
          <w:spacing w:val="-3"/>
          <w:w w:val="120"/>
        </w:rPr>
        <w:t> </w:t>
      </w:r>
      <w:r>
        <w:rPr>
          <w:color w:val="231F20"/>
          <w:w w:val="120"/>
        </w:rPr>
        <w:t>la</w:t>
      </w:r>
      <w:r>
        <w:rPr>
          <w:color w:val="231F20"/>
          <w:spacing w:val="-3"/>
          <w:w w:val="120"/>
        </w:rPr>
        <w:t> </w:t>
      </w:r>
      <w:r>
        <w:rPr>
          <w:color w:val="231F20"/>
          <w:w w:val="120"/>
        </w:rPr>
        <w:t>base de son opérationnalisation.</w:t>
      </w:r>
    </w:p>
    <w:p>
      <w:pPr>
        <w:pStyle w:val="BodyText"/>
        <w:spacing w:line="307" w:lineRule="auto" w:before="79"/>
        <w:ind w:left="830" w:right="489" w:firstLine="249"/>
        <w:jc w:val="both"/>
      </w:pPr>
      <w:r>
        <w:rPr>
          <w:color w:val="231F20"/>
          <w:w w:val="120"/>
        </w:rPr>
        <w:t>Dans</w:t>
      </w:r>
      <w:r>
        <w:rPr>
          <w:color w:val="231F20"/>
          <w:spacing w:val="-11"/>
          <w:w w:val="120"/>
        </w:rPr>
        <w:t> </w:t>
      </w:r>
      <w:r>
        <w:rPr>
          <w:color w:val="231F20"/>
          <w:w w:val="120"/>
        </w:rPr>
        <w:t>leur</w:t>
      </w:r>
      <w:r>
        <w:rPr>
          <w:color w:val="231F20"/>
          <w:spacing w:val="-11"/>
          <w:w w:val="120"/>
        </w:rPr>
        <w:t> </w:t>
      </w:r>
      <w:r>
        <w:rPr>
          <w:color w:val="231F20"/>
          <w:w w:val="120"/>
        </w:rPr>
        <w:t>présentation</w:t>
      </w:r>
      <w:r>
        <w:rPr>
          <w:color w:val="231F20"/>
          <w:spacing w:val="-11"/>
          <w:w w:val="120"/>
        </w:rPr>
        <w:t> </w:t>
      </w:r>
      <w:r>
        <w:rPr>
          <w:color w:val="231F20"/>
          <w:w w:val="120"/>
        </w:rPr>
        <w:t>de</w:t>
      </w:r>
      <w:r>
        <w:rPr>
          <w:color w:val="231F20"/>
          <w:spacing w:val="-11"/>
          <w:w w:val="120"/>
        </w:rPr>
        <w:t> </w:t>
      </w:r>
      <w:r>
        <w:rPr>
          <w:color w:val="231F20"/>
          <w:w w:val="120"/>
        </w:rPr>
        <w:t>la</w:t>
      </w:r>
      <w:r>
        <w:rPr>
          <w:color w:val="231F20"/>
          <w:spacing w:val="-11"/>
          <w:w w:val="120"/>
        </w:rPr>
        <w:t> </w:t>
      </w:r>
      <w:r>
        <w:rPr>
          <w:color w:val="231F20"/>
          <w:w w:val="120"/>
        </w:rPr>
        <w:t>GpV,</w:t>
      </w:r>
      <w:r>
        <w:rPr>
          <w:color w:val="231F20"/>
          <w:spacing w:val="-11"/>
          <w:w w:val="120"/>
        </w:rPr>
        <w:t> </w:t>
      </w:r>
      <w:r>
        <w:rPr>
          <w:color w:val="231F20"/>
          <w:w w:val="120"/>
        </w:rPr>
        <w:t>García</w:t>
      </w:r>
      <w:r>
        <w:rPr>
          <w:color w:val="231F20"/>
          <w:spacing w:val="-11"/>
          <w:w w:val="120"/>
        </w:rPr>
        <w:t> </w:t>
      </w:r>
      <w:r>
        <w:rPr>
          <w:color w:val="231F20"/>
          <w:w w:val="120"/>
        </w:rPr>
        <w:t>et</w:t>
      </w:r>
      <w:r>
        <w:rPr>
          <w:color w:val="231F20"/>
          <w:spacing w:val="-11"/>
          <w:w w:val="120"/>
        </w:rPr>
        <w:t> </w:t>
      </w:r>
      <w:r>
        <w:rPr>
          <w:color w:val="231F20"/>
          <w:w w:val="120"/>
        </w:rPr>
        <w:t>Dolan20</w:t>
      </w:r>
      <w:r>
        <w:rPr>
          <w:color w:val="231F20"/>
          <w:spacing w:val="-11"/>
          <w:w w:val="120"/>
        </w:rPr>
        <w:t> </w:t>
      </w:r>
      <w:r>
        <w:rPr>
          <w:color w:val="231F20"/>
          <w:w w:val="120"/>
        </w:rPr>
        <w:t>établissent</w:t>
      </w:r>
      <w:r>
        <w:rPr>
          <w:color w:val="231F20"/>
          <w:spacing w:val="-11"/>
          <w:w w:val="120"/>
        </w:rPr>
        <w:t> </w:t>
      </w:r>
      <w:r>
        <w:rPr>
          <w:color w:val="231F20"/>
          <w:w w:val="120"/>
        </w:rPr>
        <w:t>une distinction</w:t>
      </w:r>
      <w:r>
        <w:rPr>
          <w:color w:val="231F20"/>
          <w:spacing w:val="-13"/>
          <w:w w:val="120"/>
        </w:rPr>
        <w:t> </w:t>
      </w:r>
      <w:r>
        <w:rPr>
          <w:color w:val="231F20"/>
          <w:w w:val="120"/>
        </w:rPr>
        <w:t>claire</w:t>
      </w:r>
      <w:r>
        <w:rPr>
          <w:color w:val="231F20"/>
          <w:spacing w:val="-13"/>
          <w:w w:val="120"/>
        </w:rPr>
        <w:t> </w:t>
      </w:r>
      <w:r>
        <w:rPr>
          <w:color w:val="231F20"/>
          <w:w w:val="120"/>
        </w:rPr>
        <w:t>entre</w:t>
      </w:r>
      <w:r>
        <w:rPr>
          <w:color w:val="231F20"/>
          <w:spacing w:val="-12"/>
          <w:w w:val="120"/>
        </w:rPr>
        <w:t> </w:t>
      </w:r>
      <w:r>
        <w:rPr>
          <w:color w:val="231F20"/>
          <w:w w:val="120"/>
        </w:rPr>
        <w:t>la</w:t>
      </w:r>
      <w:r>
        <w:rPr>
          <w:color w:val="231F20"/>
          <w:spacing w:val="-13"/>
          <w:w w:val="120"/>
        </w:rPr>
        <w:t> </w:t>
      </w:r>
      <w:r>
        <w:rPr>
          <w:color w:val="231F20"/>
          <w:w w:val="120"/>
        </w:rPr>
        <w:t>vision</w:t>
      </w:r>
      <w:r>
        <w:rPr>
          <w:color w:val="231F20"/>
          <w:spacing w:val="-13"/>
          <w:w w:val="120"/>
        </w:rPr>
        <w:t> </w:t>
      </w:r>
      <w:r>
        <w:rPr>
          <w:color w:val="231F20"/>
          <w:w w:val="120"/>
        </w:rPr>
        <w:t>et</w:t>
      </w:r>
      <w:r>
        <w:rPr>
          <w:color w:val="231F20"/>
          <w:spacing w:val="-12"/>
          <w:w w:val="120"/>
        </w:rPr>
        <w:t> </w:t>
      </w:r>
      <w:r>
        <w:rPr>
          <w:color w:val="231F20"/>
          <w:w w:val="120"/>
        </w:rPr>
        <w:t>la</w:t>
      </w:r>
      <w:r>
        <w:rPr>
          <w:color w:val="231F20"/>
          <w:spacing w:val="-13"/>
          <w:w w:val="120"/>
        </w:rPr>
        <w:t> </w:t>
      </w:r>
      <w:r>
        <w:rPr>
          <w:color w:val="231F20"/>
          <w:w w:val="120"/>
        </w:rPr>
        <w:t>mission</w:t>
      </w:r>
      <w:r>
        <w:rPr>
          <w:color w:val="231F20"/>
          <w:spacing w:val="-13"/>
          <w:w w:val="120"/>
        </w:rPr>
        <w:t> </w:t>
      </w:r>
      <w:r>
        <w:rPr>
          <w:color w:val="231F20"/>
          <w:w w:val="120"/>
        </w:rPr>
        <w:t>et</w:t>
      </w:r>
      <w:r>
        <w:rPr>
          <w:color w:val="231F20"/>
          <w:spacing w:val="-12"/>
          <w:w w:val="120"/>
        </w:rPr>
        <w:t> </w:t>
      </w:r>
      <w:r>
        <w:rPr>
          <w:color w:val="231F20"/>
          <w:w w:val="120"/>
        </w:rPr>
        <w:t>insistent</w:t>
      </w:r>
      <w:r>
        <w:rPr>
          <w:color w:val="231F20"/>
          <w:spacing w:val="-13"/>
          <w:w w:val="120"/>
        </w:rPr>
        <w:t> </w:t>
      </w:r>
      <w:r>
        <w:rPr>
          <w:color w:val="231F20"/>
          <w:w w:val="120"/>
        </w:rPr>
        <w:t>sur</w:t>
      </w:r>
      <w:r>
        <w:rPr>
          <w:color w:val="231F20"/>
          <w:spacing w:val="-13"/>
          <w:w w:val="120"/>
        </w:rPr>
        <w:t> </w:t>
      </w:r>
      <w:r>
        <w:rPr>
          <w:color w:val="231F20"/>
          <w:w w:val="120"/>
        </w:rPr>
        <w:t>la</w:t>
      </w:r>
      <w:r>
        <w:rPr>
          <w:color w:val="231F20"/>
          <w:spacing w:val="-12"/>
          <w:w w:val="120"/>
        </w:rPr>
        <w:t> </w:t>
      </w:r>
      <w:r>
        <w:rPr>
          <w:color w:val="231F20"/>
          <w:w w:val="120"/>
        </w:rPr>
        <w:t>nécessité </w:t>
      </w:r>
      <w:r>
        <w:rPr>
          <w:color w:val="231F20"/>
          <w:spacing w:val="-2"/>
          <w:w w:val="120"/>
        </w:rPr>
        <w:t>d’établir</w:t>
      </w:r>
      <w:r>
        <w:rPr>
          <w:color w:val="231F20"/>
          <w:spacing w:val="-4"/>
          <w:w w:val="120"/>
        </w:rPr>
        <w:t> </w:t>
      </w:r>
      <w:r>
        <w:rPr>
          <w:color w:val="231F20"/>
          <w:spacing w:val="-2"/>
          <w:w w:val="120"/>
        </w:rPr>
        <w:t>une</w:t>
      </w:r>
      <w:r>
        <w:rPr>
          <w:color w:val="231F20"/>
          <w:spacing w:val="-4"/>
          <w:w w:val="120"/>
        </w:rPr>
        <w:t> </w:t>
      </w:r>
      <w:r>
        <w:rPr>
          <w:color w:val="231F20"/>
          <w:spacing w:val="-2"/>
          <w:w w:val="120"/>
        </w:rPr>
        <w:t>harmonie</w:t>
      </w:r>
      <w:r>
        <w:rPr>
          <w:color w:val="231F20"/>
          <w:spacing w:val="-4"/>
          <w:w w:val="120"/>
        </w:rPr>
        <w:t> </w:t>
      </w:r>
      <w:r>
        <w:rPr>
          <w:color w:val="231F20"/>
          <w:spacing w:val="-2"/>
          <w:w w:val="120"/>
        </w:rPr>
        <w:t>synergique</w:t>
      </w:r>
      <w:r>
        <w:rPr>
          <w:color w:val="231F20"/>
          <w:spacing w:val="-4"/>
          <w:w w:val="120"/>
        </w:rPr>
        <w:t> </w:t>
      </w:r>
      <w:r>
        <w:rPr>
          <w:color w:val="231F20"/>
          <w:spacing w:val="-2"/>
          <w:w w:val="120"/>
        </w:rPr>
        <w:t>entre</w:t>
      </w:r>
      <w:r>
        <w:rPr>
          <w:color w:val="231F20"/>
          <w:spacing w:val="-4"/>
          <w:w w:val="120"/>
        </w:rPr>
        <w:t> </w:t>
      </w:r>
      <w:r>
        <w:rPr>
          <w:color w:val="231F20"/>
          <w:spacing w:val="-2"/>
          <w:w w:val="120"/>
        </w:rPr>
        <w:t>les</w:t>
      </w:r>
      <w:r>
        <w:rPr>
          <w:color w:val="231F20"/>
          <w:spacing w:val="-4"/>
          <w:w w:val="120"/>
        </w:rPr>
        <w:t> </w:t>
      </w:r>
      <w:r>
        <w:rPr>
          <w:color w:val="231F20"/>
          <w:spacing w:val="-2"/>
          <w:w w:val="120"/>
        </w:rPr>
        <w:t>valeurs</w:t>
      </w:r>
      <w:r>
        <w:rPr>
          <w:color w:val="231F20"/>
          <w:spacing w:val="-4"/>
          <w:w w:val="120"/>
        </w:rPr>
        <w:t> </w:t>
      </w:r>
      <w:r>
        <w:rPr>
          <w:color w:val="231F20"/>
          <w:spacing w:val="-2"/>
          <w:w w:val="120"/>
        </w:rPr>
        <w:t>éthiques,</w:t>
      </w:r>
      <w:r>
        <w:rPr>
          <w:color w:val="231F20"/>
          <w:spacing w:val="-4"/>
          <w:w w:val="120"/>
        </w:rPr>
        <w:t> </w:t>
      </w:r>
      <w:r>
        <w:rPr>
          <w:color w:val="231F20"/>
          <w:spacing w:val="-2"/>
          <w:w w:val="120"/>
        </w:rPr>
        <w:t>les</w:t>
      </w:r>
      <w:r>
        <w:rPr>
          <w:color w:val="231F20"/>
          <w:spacing w:val="-4"/>
          <w:w w:val="120"/>
        </w:rPr>
        <w:t> </w:t>
      </w:r>
      <w:r>
        <w:rPr>
          <w:color w:val="231F20"/>
          <w:spacing w:val="-2"/>
          <w:w w:val="120"/>
        </w:rPr>
        <w:t>valeurs </w:t>
      </w:r>
      <w:r>
        <w:rPr>
          <w:color w:val="231F20"/>
          <w:w w:val="120"/>
        </w:rPr>
        <w:t>de</w:t>
      </w:r>
      <w:r>
        <w:rPr>
          <w:color w:val="231F20"/>
          <w:spacing w:val="42"/>
          <w:w w:val="120"/>
        </w:rPr>
        <w:t> </w:t>
      </w:r>
      <w:r>
        <w:rPr>
          <w:color w:val="231F20"/>
          <w:w w:val="120"/>
        </w:rPr>
        <w:t>contrôle</w:t>
      </w:r>
      <w:r>
        <w:rPr>
          <w:color w:val="231F20"/>
          <w:spacing w:val="42"/>
          <w:w w:val="120"/>
        </w:rPr>
        <w:t> </w:t>
      </w:r>
      <w:r>
        <w:rPr>
          <w:color w:val="231F20"/>
          <w:w w:val="120"/>
        </w:rPr>
        <w:t>des</w:t>
      </w:r>
      <w:r>
        <w:rPr>
          <w:color w:val="231F20"/>
          <w:spacing w:val="42"/>
          <w:w w:val="120"/>
        </w:rPr>
        <w:t> </w:t>
      </w:r>
      <w:r>
        <w:rPr>
          <w:color w:val="231F20"/>
          <w:w w:val="120"/>
        </w:rPr>
        <w:t>compétences</w:t>
      </w:r>
      <w:r>
        <w:rPr>
          <w:color w:val="231F20"/>
          <w:spacing w:val="42"/>
          <w:w w:val="120"/>
        </w:rPr>
        <w:t> </w:t>
      </w:r>
      <w:r>
        <w:rPr>
          <w:color w:val="231F20"/>
          <w:w w:val="120"/>
        </w:rPr>
        <w:t>(valeurs</w:t>
      </w:r>
      <w:r>
        <w:rPr>
          <w:color w:val="231F20"/>
          <w:spacing w:val="42"/>
          <w:w w:val="120"/>
        </w:rPr>
        <w:t> </w:t>
      </w:r>
      <w:r>
        <w:rPr>
          <w:color w:val="231F20"/>
          <w:w w:val="120"/>
        </w:rPr>
        <w:t>praxiques)</w:t>
      </w:r>
      <w:r>
        <w:rPr>
          <w:color w:val="231F20"/>
          <w:spacing w:val="42"/>
          <w:w w:val="120"/>
        </w:rPr>
        <w:t> </w:t>
      </w:r>
      <w:r>
        <w:rPr>
          <w:color w:val="231F20"/>
          <w:w w:val="120"/>
        </w:rPr>
        <w:t>et</w:t>
      </w:r>
      <w:r>
        <w:rPr>
          <w:color w:val="231F20"/>
          <w:spacing w:val="42"/>
          <w:w w:val="120"/>
        </w:rPr>
        <w:t> </w:t>
      </w:r>
      <w:r>
        <w:rPr>
          <w:color w:val="231F20"/>
          <w:w w:val="120"/>
        </w:rPr>
        <w:t>les</w:t>
      </w:r>
      <w:r>
        <w:rPr>
          <w:color w:val="231F20"/>
          <w:spacing w:val="42"/>
          <w:w w:val="120"/>
        </w:rPr>
        <w:t> </w:t>
      </w:r>
      <w:r>
        <w:rPr>
          <w:color w:val="231F20"/>
          <w:w w:val="120"/>
        </w:rPr>
        <w:t>valeurs</w:t>
      </w:r>
      <w:r>
        <w:rPr>
          <w:color w:val="231F20"/>
          <w:spacing w:val="42"/>
          <w:w w:val="120"/>
        </w:rPr>
        <w:t> </w:t>
      </w:r>
      <w:r>
        <w:rPr>
          <w:color w:val="231F20"/>
          <w:spacing w:val="-5"/>
          <w:w w:val="120"/>
        </w:rPr>
        <w:t>de</w:t>
      </w:r>
    </w:p>
    <w:p>
      <w:pPr>
        <w:pStyle w:val="BodyText"/>
        <w:rPr>
          <w:sz w:val="20"/>
        </w:rPr>
      </w:pPr>
    </w:p>
    <w:p>
      <w:pPr>
        <w:pStyle w:val="BodyText"/>
        <w:rPr>
          <w:sz w:val="20"/>
        </w:rPr>
      </w:pPr>
    </w:p>
    <w:p>
      <w:pPr>
        <w:pStyle w:val="BodyText"/>
        <w:spacing w:before="9"/>
        <w:rPr>
          <w:sz w:val="22"/>
        </w:rPr>
      </w:pPr>
      <w:r>
        <w:rPr/>
        <w:pict>
          <v:shape style="position:absolute;margin-left:62.5pt;margin-top:14.33043pt;width:287.5pt;height:.1pt;mso-position-horizontal-relative:page;mso-position-vertical-relative:paragraph;z-index:-15617536;mso-wrap-distance-left:0;mso-wrap-distance-right:0" id="docshape1120" coordorigin="1250,287" coordsize="5750,0" path="m1250,287l7000,287e" filled="false" stroked="true" strokeweight=".25pt" strokecolor="#231f20">
            <v:path arrowok="t"/>
            <v:stroke dashstyle="shortdot"/>
            <w10:wrap type="topAndBottom"/>
          </v:shape>
        </w:pict>
      </w:r>
    </w:p>
    <w:p>
      <w:pPr>
        <w:pStyle w:val="ListParagraph"/>
        <w:numPr>
          <w:ilvl w:val="0"/>
          <w:numId w:val="84"/>
        </w:numPr>
        <w:tabs>
          <w:tab w:pos="829" w:val="left" w:leader="none"/>
          <w:tab w:pos="830" w:val="left" w:leader="none"/>
        </w:tabs>
        <w:spacing w:line="240" w:lineRule="auto" w:before="135" w:after="0"/>
        <w:ind w:left="829" w:right="0" w:hanging="406"/>
        <w:jc w:val="left"/>
        <w:rPr>
          <w:rFonts w:ascii="Arial" w:hAnsi="Arial"/>
          <w:i/>
          <w:sz w:val="12"/>
        </w:rPr>
      </w:pPr>
      <w:r>
        <w:rPr>
          <w:rFonts w:ascii="Arial" w:hAnsi="Arial"/>
          <w:color w:val="231F20"/>
          <w:sz w:val="12"/>
        </w:rPr>
        <w:t>García</w:t>
      </w:r>
      <w:r>
        <w:rPr>
          <w:rFonts w:ascii="Arial" w:hAnsi="Arial"/>
          <w:color w:val="231F20"/>
          <w:spacing w:val="-2"/>
          <w:sz w:val="12"/>
        </w:rPr>
        <w:t> </w:t>
      </w:r>
      <w:r>
        <w:rPr>
          <w:rFonts w:ascii="Arial" w:hAnsi="Arial"/>
          <w:color w:val="231F20"/>
          <w:sz w:val="12"/>
        </w:rPr>
        <w:t>et</w:t>
      </w:r>
      <w:r>
        <w:rPr>
          <w:rFonts w:ascii="Arial" w:hAnsi="Arial"/>
          <w:color w:val="231F20"/>
          <w:spacing w:val="-2"/>
          <w:sz w:val="12"/>
        </w:rPr>
        <w:t> </w:t>
      </w:r>
      <w:r>
        <w:rPr>
          <w:rFonts w:ascii="Arial" w:hAnsi="Arial"/>
          <w:color w:val="231F20"/>
          <w:sz w:val="12"/>
        </w:rPr>
        <w:t>Dolan</w:t>
      </w:r>
      <w:r>
        <w:rPr>
          <w:rFonts w:ascii="Arial" w:hAnsi="Arial"/>
          <w:color w:val="231F20"/>
          <w:spacing w:val="-2"/>
          <w:sz w:val="12"/>
        </w:rPr>
        <w:t> </w:t>
      </w:r>
      <w:r>
        <w:rPr>
          <w:rFonts w:ascii="Arial" w:hAnsi="Arial"/>
          <w:color w:val="231F20"/>
          <w:sz w:val="12"/>
        </w:rPr>
        <w:t>(2003).</w:t>
      </w:r>
      <w:r>
        <w:rPr>
          <w:rFonts w:ascii="Arial" w:hAnsi="Arial"/>
          <w:color w:val="231F20"/>
          <w:spacing w:val="-2"/>
          <w:sz w:val="12"/>
        </w:rPr>
        <w:t> </w:t>
      </w:r>
      <w:r>
        <w:rPr>
          <w:rFonts w:ascii="Arial" w:hAnsi="Arial"/>
          <w:i/>
          <w:color w:val="231F20"/>
          <w:spacing w:val="-2"/>
          <w:sz w:val="12"/>
        </w:rPr>
        <w:t>Ibid.</w:t>
      </w:r>
    </w:p>
    <w:p>
      <w:pPr>
        <w:spacing w:after="0" w:line="240" w:lineRule="auto"/>
        <w:jc w:val="left"/>
        <w:rPr>
          <w:rFonts w:ascii="Arial" w:hAnsi="Arial"/>
          <w:sz w:val="12"/>
        </w:rPr>
        <w:sectPr>
          <w:type w:val="continuous"/>
          <w:pgSz w:w="8640" w:h="12960"/>
          <w:pgMar w:header="0" w:footer="424" w:top="1220" w:bottom="280" w:left="420" w:right="1140"/>
        </w:sectPr>
      </w:pPr>
    </w:p>
    <w:p>
      <w:pPr>
        <w:spacing w:before="118"/>
        <w:ind w:left="1847" w:right="0" w:firstLine="0"/>
        <w:jc w:val="left"/>
        <w:rPr>
          <w:rFonts w:ascii="Arial" w:hAnsi="Arial"/>
          <w:sz w:val="14"/>
        </w:rPr>
      </w:pPr>
      <w:bookmarkStart w:name="Figure 5.2 / Évolution des philosophies " w:id="197"/>
      <w:bookmarkEnd w:id="197"/>
      <w:r>
        <w:rPr/>
      </w:r>
      <w:bookmarkStart w:name="_bookmark88" w:id="198"/>
      <w:bookmarkEnd w:id="198"/>
      <w:r>
        <w:rPr/>
      </w: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8"/>
        <w:jc w:val="both"/>
      </w:pPr>
      <w:r>
        <w:rPr/>
        <w:pict>
          <v:group style="position:absolute;margin-left:82pt;margin-top:90.185547pt;width:287.5pt;height:213.45pt;mso-position-horizontal-relative:page;mso-position-vertical-relative:paragraph;z-index:15840256" id="docshapegroup1122" coordorigin="1640,1804" coordsize="5750,4269">
            <v:shape style="position:absolute;left:1640;top:1803;width:5750;height:4269" id="docshape1123" coordorigin="1640,1804" coordsize="5750,4269" path="m7390,1804l1640,1804,1640,2349,1640,2509,1640,6073,7390,6073,7390,2509,7390,2349,7390,1804xe" filled="true" fillcolor="#e2e3e4" stroked="false">
              <v:path arrowok="t"/>
              <v:fill type="solid"/>
            </v:shape>
            <v:rect style="position:absolute;left:2128;top:2822;width:4515;height:2543" id="docshape1124" filled="true" fillcolor="#ffffff" stroked="false">
              <v:fill type="solid"/>
            </v:rect>
            <v:line style="position:absolute" from="6593,2686" to="2129,2686" stroked="true" strokeweight=".5pt" strokecolor="#231f20">
              <v:stroke dashstyle="solid"/>
            </v:line>
            <v:shape style="position:absolute;left:6583;top:2651;width:61;height:70" id="docshape1125" coordorigin="6583,2651" coordsize="61,70" path="m6583,2651l6583,2721,6644,2686,6583,2651xe" filled="true" fillcolor="#231f20" stroked="false">
              <v:path arrowok="t"/>
              <v:fill type="solid"/>
            </v:shape>
            <v:line style="position:absolute" from="6593,5501" to="2129,5501" stroked="true" strokeweight=".5pt" strokecolor="#231f20">
              <v:stroke dashstyle="solid"/>
            </v:line>
            <v:shape style="position:absolute;left:6583;top:5465;width:61;height:70" id="docshape1126" coordorigin="6583,5466" coordsize="61,70" path="m6583,5466l6583,5536,6644,5501,6583,5466xe" filled="true" fillcolor="#231f20" stroked="false">
              <v:path arrowok="t"/>
              <v:fill type="solid"/>
            </v:shape>
            <v:line style="position:absolute" from="1993,2872" to="1993,5365" stroked="true" strokeweight=".5pt" strokecolor="#231f20">
              <v:stroke dashstyle="solid"/>
            </v:line>
            <v:shape style="position:absolute;left:1957;top:2822;width:70;height:61" id="docshape1127" coordorigin="1958,2822" coordsize="70,61" path="m1993,2822l1958,2883,2028,2883,1993,2822xe" filled="true" fillcolor="#231f20" stroked="false">
              <v:path arrowok="t"/>
              <v:fill type="solid"/>
            </v:shape>
            <v:line style="position:absolute" from="6780,2872" to="6780,5365" stroked="true" strokeweight=".5pt" strokecolor="#231f20">
              <v:stroke dashstyle="solid"/>
            </v:line>
            <v:shape style="position:absolute;left:6744;top:2822;width:70;height:61" id="docshape1128" coordorigin="6745,2822" coordsize="70,61" path="m6780,2822l6745,2883,6815,2883,6780,2822xe" filled="true" fillcolor="#231f20" stroked="false">
              <v:path arrowok="t"/>
              <v:fill type="solid"/>
            </v:shape>
            <v:line style="position:absolute" from="2296,5228" to="5805,3268" stroked="true" strokeweight="2pt" strokecolor="#231f20">
              <v:stroke dashstyle="solid"/>
            </v:line>
            <v:shape style="position:absolute;left:5760;top:3224;width:120;height:105" id="docshape1129" coordorigin="5761,3224" coordsize="120,105" path="m5761,3224l5819,3329,5880,3226,5761,3224xe" filled="true" fillcolor="#231f20" stroked="false">
              <v:path arrowok="t"/>
              <v:fill type="solid"/>
            </v:shape>
            <v:shape style="position:absolute;left:2296;top:3290;width:3855;height:1740" id="docshape1130" coordorigin="2296,3291" coordsize="3855,1740" path="m2296,5030l2537,4240,2775,3806,3152,3575,3812,3394,3939,3365,4062,3341,4180,3322,4294,3308,4404,3298,4510,3292,4611,3291,4709,3293,4803,3299,4893,3308,4979,3320,5062,3336,5141,3354,5217,3375,5289,3398,5358,3424,5423,3451,5485,3481,5544,3512,5600,3544,5653,3578,5702,3612,5793,3683,5873,3756,5942,3829,6002,3900,6052,3967,6093,4030,6126,4086,6139,4111,6151,4133e" filled="false" stroked="true" strokeweight="2pt" strokecolor="#231f20">
              <v:path arrowok="t"/>
              <v:stroke dashstyle="solid"/>
            </v:shape>
            <v:shape style="position:absolute;left:6087;top:4093;width:110;height:120" id="docshape1131" coordorigin="6088,4093" coordsize="110,120" path="m6197,4093l6088,4142,6185,4212,6197,4093xe" filled="true" fillcolor="#231f20" stroked="false">
              <v:path arrowok="t"/>
              <v:fill type="solid"/>
            </v:shape>
            <v:shape style="position:absolute;left:5881;top:2869;width:544;height:544" id="docshape1132" coordorigin="5881,2870" coordsize="544,544" path="m6153,2870l6081,2879,6016,2907,5961,2949,5918,3004,5891,3069,5881,3142,5891,3214,5918,3279,5961,3334,6016,3376,6081,3404,6153,3413,6226,3404,6290,3376,6345,3334,6388,3279,6415,3214,6425,3142,6415,3069,6388,3004,6345,2949,6290,2907,6226,2879,6153,2870xe" filled="true" fillcolor="#636466" stroked="false">
              <v:path arrowok="t"/>
              <v:fill type="solid"/>
            </v:shape>
            <v:shape style="position:absolute;left:2690;top:4584;width:544;height:544" id="docshape1133" coordorigin="2690,4584" coordsize="544,544" path="m2962,4584l2890,4594,2825,4621,2770,4664,2728,4719,2700,4784,2690,4856,2700,4928,2728,4993,2770,5048,2825,5091,2890,5118,2962,5128,3035,5118,3100,5091,3155,5048,3197,4993,3225,4928,3234,4856,3225,4784,3197,4719,3155,4664,3100,4621,3035,4594,2962,4584xe" filled="true" fillcolor="#c7c8ca" stroked="false">
              <v:path arrowok="t"/>
              <v:fill type="solid"/>
            </v:shape>
            <v:shape style="position:absolute;left:4150;top:3769;width:544;height:544" id="docshape1134" coordorigin="4151,3769" coordsize="544,544" path="m4423,3769l4350,3779,4285,3806,4230,3849,4188,3904,4160,3969,4151,4041,4160,4113,4188,4178,4230,4233,4285,4276,4350,4303,4423,4313,4495,4303,4560,4276,4615,4233,4657,4178,4685,4113,4694,4041,4685,3969,4657,3904,4615,3849,4560,3806,4495,3779,4423,3769xe" filled="true" fillcolor="#939598" stroked="false">
              <v:path arrowok="t"/>
              <v:fill type="solid"/>
            </v:shape>
            <v:shape style="position:absolute;left:5991;top:3032;width:391;height:626" type="#_x0000_t202" id="docshape1135" filled="false" stroked="false">
              <v:textbox inset="0,0,0,0">
                <w:txbxContent>
                  <w:p>
                    <w:pPr>
                      <w:spacing w:before="21"/>
                      <w:ind w:left="21" w:right="0" w:firstLine="0"/>
                      <w:jc w:val="left"/>
                      <w:rPr>
                        <w:rFonts w:ascii="Arial"/>
                        <w:b/>
                        <w:sz w:val="15"/>
                      </w:rPr>
                    </w:pPr>
                    <w:r>
                      <w:rPr>
                        <w:rFonts w:ascii="Arial"/>
                        <w:b/>
                        <w:color w:val="FFFFFF"/>
                        <w:spacing w:val="-5"/>
                        <w:sz w:val="15"/>
                      </w:rPr>
                      <w:t>GpV</w:t>
                    </w:r>
                  </w:p>
                  <w:p>
                    <w:pPr>
                      <w:spacing w:line="240" w:lineRule="auto" w:before="6"/>
                      <w:rPr>
                        <w:rFonts w:ascii="Arial"/>
                        <w:b/>
                        <w:sz w:val="22"/>
                      </w:rPr>
                    </w:pPr>
                  </w:p>
                  <w:p>
                    <w:pPr>
                      <w:spacing w:before="0"/>
                      <w:ind w:left="0" w:right="0" w:firstLine="0"/>
                      <w:jc w:val="left"/>
                      <w:rPr>
                        <w:rFonts w:ascii="Arial"/>
                        <w:sz w:val="15"/>
                      </w:rPr>
                    </w:pPr>
                    <w:r>
                      <w:rPr>
                        <w:rFonts w:ascii="Arial"/>
                        <w:color w:val="231F20"/>
                        <w:spacing w:val="-4"/>
                        <w:w w:val="110"/>
                        <w:sz w:val="15"/>
                      </w:rPr>
                      <w:t>2000</w:t>
                    </w:r>
                  </w:p>
                </w:txbxContent>
              </v:textbox>
              <w10:wrap type="none"/>
            </v:shape>
            <v:shape style="position:absolute;left:4277;top:3931;width:310;height:196" type="#_x0000_t202" id="docshape1136" filled="false" stroked="false">
              <v:textbox inset="0,0,0,0">
                <w:txbxContent>
                  <w:p>
                    <w:pPr>
                      <w:spacing w:before="21"/>
                      <w:ind w:left="0" w:right="0" w:firstLine="0"/>
                      <w:jc w:val="left"/>
                      <w:rPr>
                        <w:rFonts w:ascii="Arial"/>
                        <w:b/>
                        <w:sz w:val="15"/>
                      </w:rPr>
                    </w:pPr>
                    <w:r>
                      <w:rPr>
                        <w:rFonts w:ascii="Arial"/>
                        <w:b/>
                        <w:color w:val="231F20"/>
                        <w:spacing w:val="-5"/>
                        <w:w w:val="95"/>
                        <w:sz w:val="15"/>
                      </w:rPr>
                      <w:t>GpO</w:t>
                    </w:r>
                  </w:p>
                </w:txbxContent>
              </v:textbox>
              <w10:wrap type="none"/>
            </v:shape>
            <v:shape style="position:absolute;left:4760;top:4152;width:345;height:192" type="#_x0000_t202" id="docshape1137" filled="false" stroked="false">
              <v:textbox inset="0,0,0,0">
                <w:txbxContent>
                  <w:p>
                    <w:pPr>
                      <w:spacing w:before="18"/>
                      <w:ind w:left="0" w:right="0" w:firstLine="0"/>
                      <w:jc w:val="left"/>
                      <w:rPr>
                        <w:rFonts w:ascii="Arial"/>
                        <w:sz w:val="15"/>
                      </w:rPr>
                    </w:pPr>
                    <w:r>
                      <w:rPr>
                        <w:rFonts w:ascii="Arial"/>
                        <w:color w:val="231F20"/>
                        <w:spacing w:val="-4"/>
                        <w:sz w:val="15"/>
                      </w:rPr>
                      <w:t>1960</w:t>
                    </w:r>
                  </w:p>
                </w:txbxContent>
              </v:textbox>
              <w10:wrap type="none"/>
            </v:shape>
            <v:shape style="position:absolute;left:2849;top:4746;width:247;height:196" type="#_x0000_t202" id="docshape1138" filled="false" stroked="false">
              <v:textbox inset="0,0,0,0">
                <w:txbxContent>
                  <w:p>
                    <w:pPr>
                      <w:spacing w:before="21"/>
                      <w:ind w:left="0" w:right="0" w:firstLine="0"/>
                      <w:jc w:val="left"/>
                      <w:rPr>
                        <w:rFonts w:ascii="Arial"/>
                        <w:b/>
                        <w:sz w:val="15"/>
                      </w:rPr>
                    </w:pPr>
                    <w:r>
                      <w:rPr>
                        <w:rFonts w:ascii="Arial"/>
                        <w:b/>
                        <w:color w:val="231F20"/>
                        <w:spacing w:val="-5"/>
                        <w:w w:val="95"/>
                        <w:sz w:val="15"/>
                      </w:rPr>
                      <w:t>GpI</w:t>
                    </w:r>
                  </w:p>
                </w:txbxContent>
              </v:textbox>
              <w10:wrap type="none"/>
            </v:shape>
            <v:shape style="position:absolute;left:3321;top:4900;width:331;height:192" type="#_x0000_t202" id="docshape1139" filled="false" stroked="false">
              <v:textbox inset="0,0,0,0">
                <w:txbxContent>
                  <w:p>
                    <w:pPr>
                      <w:spacing w:before="18"/>
                      <w:ind w:left="0" w:right="0" w:firstLine="0"/>
                      <w:jc w:val="left"/>
                      <w:rPr>
                        <w:rFonts w:ascii="Arial"/>
                        <w:sz w:val="15"/>
                      </w:rPr>
                    </w:pPr>
                    <w:r>
                      <w:rPr>
                        <w:rFonts w:ascii="Arial"/>
                        <w:color w:val="231F20"/>
                        <w:spacing w:val="-5"/>
                        <w:sz w:val="15"/>
                      </w:rPr>
                      <w:t>1920</w:t>
                    </w:r>
                  </w:p>
                </w:txbxContent>
              </v:textbox>
              <w10:wrap type="none"/>
            </v:shape>
            <v:shape style="position:absolute;left:1640;top:1803;width:5750;height:4269" type="#_x0000_t202" id="docshape1140" filled="false" stroked="false">
              <v:textbox inset="0,0,0,0">
                <w:txbxContent>
                  <w:p>
                    <w:pPr>
                      <w:spacing w:before="216"/>
                      <w:ind w:left="250" w:right="0" w:firstLine="0"/>
                      <w:jc w:val="left"/>
                      <w:rPr>
                        <w:rFonts w:ascii="Arial" w:hAnsi="Arial"/>
                        <w:b/>
                        <w:sz w:val="17"/>
                      </w:rPr>
                    </w:pPr>
                    <w:r>
                      <w:rPr>
                        <w:rFonts w:ascii="Arial" w:hAnsi="Arial"/>
                        <w:color w:val="231F20"/>
                        <w:w w:val="95"/>
                        <w:sz w:val="17"/>
                      </w:rPr>
                      <w:t>Figure</w:t>
                    </w:r>
                    <w:r>
                      <w:rPr>
                        <w:rFonts w:ascii="Arial" w:hAnsi="Arial"/>
                        <w:color w:val="231F20"/>
                        <w:spacing w:val="1"/>
                        <w:sz w:val="17"/>
                      </w:rPr>
                      <w:t> </w:t>
                    </w:r>
                    <w:r>
                      <w:rPr>
                        <w:rFonts w:ascii="Arial" w:hAnsi="Arial"/>
                        <w:color w:val="231F20"/>
                        <w:w w:val="95"/>
                        <w:sz w:val="17"/>
                      </w:rPr>
                      <w:t>5.2</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50"/>
                        <w:sz w:val="17"/>
                      </w:rPr>
                      <w:t> </w:t>
                    </w:r>
                    <w:r>
                      <w:rPr>
                        <w:rFonts w:ascii="Arial" w:hAnsi="Arial"/>
                        <w:b/>
                        <w:color w:val="231F20"/>
                        <w:w w:val="95"/>
                        <w:sz w:val="17"/>
                      </w:rPr>
                      <w:t>Évolution</w:t>
                    </w:r>
                    <w:r>
                      <w:rPr>
                        <w:rFonts w:ascii="Arial" w:hAnsi="Arial"/>
                        <w:b/>
                        <w:color w:val="231F20"/>
                        <w:spacing w:val="-3"/>
                        <w:w w:val="95"/>
                        <w:sz w:val="17"/>
                      </w:rPr>
                      <w:t> </w:t>
                    </w:r>
                    <w:r>
                      <w:rPr>
                        <w:rFonts w:ascii="Arial" w:hAnsi="Arial"/>
                        <w:b/>
                        <w:color w:val="231F20"/>
                        <w:w w:val="95"/>
                        <w:sz w:val="17"/>
                      </w:rPr>
                      <w:t>des</w:t>
                    </w:r>
                    <w:r>
                      <w:rPr>
                        <w:rFonts w:ascii="Arial" w:hAnsi="Arial"/>
                        <w:b/>
                        <w:color w:val="231F20"/>
                        <w:spacing w:val="-2"/>
                        <w:w w:val="95"/>
                        <w:sz w:val="17"/>
                      </w:rPr>
                      <w:t> </w:t>
                    </w:r>
                    <w:r>
                      <w:rPr>
                        <w:rFonts w:ascii="Arial" w:hAnsi="Arial"/>
                        <w:b/>
                        <w:color w:val="231F20"/>
                        <w:w w:val="95"/>
                        <w:sz w:val="17"/>
                      </w:rPr>
                      <w:t>philosophies</w:t>
                    </w:r>
                    <w:r>
                      <w:rPr>
                        <w:rFonts w:ascii="Arial" w:hAnsi="Arial"/>
                        <w:b/>
                        <w:color w:val="231F20"/>
                        <w:spacing w:val="-2"/>
                        <w:w w:val="95"/>
                        <w:sz w:val="17"/>
                      </w:rPr>
                      <w:t> </w:t>
                    </w:r>
                    <w:r>
                      <w:rPr>
                        <w:rFonts w:ascii="Arial" w:hAnsi="Arial"/>
                        <w:b/>
                        <w:color w:val="231F20"/>
                        <w:w w:val="95"/>
                        <w:sz w:val="17"/>
                      </w:rPr>
                      <w:t>de</w:t>
                    </w:r>
                    <w:r>
                      <w:rPr>
                        <w:rFonts w:ascii="Arial" w:hAnsi="Arial"/>
                        <w:b/>
                        <w:color w:val="231F20"/>
                        <w:spacing w:val="-2"/>
                        <w:w w:val="95"/>
                        <w:sz w:val="17"/>
                      </w:rPr>
                      <w:t> gestion</w:t>
                    </w:r>
                  </w:p>
                  <w:p>
                    <w:pPr>
                      <w:spacing w:before="194"/>
                      <w:ind w:left="1851" w:right="0" w:firstLine="0"/>
                      <w:jc w:val="left"/>
                      <w:rPr>
                        <w:rFonts w:ascii="Arial" w:hAnsi="Arial"/>
                        <w:b/>
                        <w:sz w:val="15"/>
                      </w:rPr>
                    </w:pPr>
                    <w:r>
                      <w:rPr>
                        <w:rFonts w:ascii="Arial" w:hAnsi="Arial"/>
                        <w:b/>
                        <w:color w:val="231F20"/>
                        <w:w w:val="85"/>
                        <w:sz w:val="15"/>
                      </w:rPr>
                      <w:t>Gestionnaires</w:t>
                    </w:r>
                    <w:r>
                      <w:rPr>
                        <w:rFonts w:ascii="Arial" w:hAnsi="Arial"/>
                        <w:b/>
                        <w:color w:val="231F20"/>
                        <w:spacing w:val="1"/>
                        <w:sz w:val="15"/>
                      </w:rPr>
                      <w:t> </w:t>
                    </w:r>
                    <w:r>
                      <w:rPr>
                        <w:rFonts w:ascii="Arial" w:hAnsi="Arial"/>
                        <w:b/>
                        <w:color w:val="231F20"/>
                        <w:w w:val="85"/>
                        <w:sz w:val="15"/>
                      </w:rPr>
                      <w:t>–</w:t>
                    </w:r>
                    <w:r>
                      <w:rPr>
                        <w:rFonts w:ascii="Arial" w:hAnsi="Arial"/>
                        <w:b/>
                        <w:color w:val="231F20"/>
                        <w:spacing w:val="1"/>
                        <w:sz w:val="15"/>
                      </w:rPr>
                      <w:t> </w:t>
                    </w:r>
                    <w:r>
                      <w:rPr>
                        <w:rFonts w:ascii="Arial" w:hAnsi="Arial"/>
                        <w:b/>
                        <w:color w:val="231F20"/>
                        <w:spacing w:val="-2"/>
                        <w:w w:val="85"/>
                        <w:sz w:val="15"/>
                      </w:rPr>
                      <w:t>facilitateurs</w:t>
                    </w: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3"/>
                      <w:rPr>
                        <w:rFonts w:ascii="Arial"/>
                        <w:b/>
                        <w:sz w:val="23"/>
                      </w:rPr>
                    </w:pPr>
                  </w:p>
                  <w:p>
                    <w:pPr>
                      <w:spacing w:before="0"/>
                      <w:ind w:left="1870" w:right="0" w:firstLine="0"/>
                      <w:jc w:val="left"/>
                      <w:rPr>
                        <w:rFonts w:ascii="Arial" w:hAnsi="Arial"/>
                        <w:b/>
                        <w:sz w:val="15"/>
                      </w:rPr>
                    </w:pPr>
                    <w:r>
                      <w:rPr>
                        <w:rFonts w:ascii="Arial" w:hAnsi="Arial"/>
                        <w:b/>
                        <w:color w:val="231F20"/>
                        <w:w w:val="90"/>
                        <w:sz w:val="15"/>
                      </w:rPr>
                      <w:t>Autonomie</w:t>
                    </w:r>
                    <w:r>
                      <w:rPr>
                        <w:rFonts w:ascii="Arial" w:hAnsi="Arial"/>
                        <w:b/>
                        <w:color w:val="231F20"/>
                        <w:spacing w:val="8"/>
                        <w:sz w:val="15"/>
                      </w:rPr>
                      <w:t> </w:t>
                    </w:r>
                    <w:r>
                      <w:rPr>
                        <w:rFonts w:ascii="Arial" w:hAnsi="Arial"/>
                        <w:b/>
                        <w:color w:val="231F20"/>
                        <w:spacing w:val="-2"/>
                        <w:sz w:val="15"/>
                      </w:rPr>
                      <w:t>responsabilités</w:t>
                    </w:r>
                  </w:p>
                </w:txbxContent>
              </v:textbox>
              <w10:wrap type="none"/>
            </v:shape>
            <v:shape style="position:absolute;left:3193;top:3166;width:1003;height:367" type="#_x0000_t202" id="docshape1141" filled="true" fillcolor="#c7c8ca" stroked="false">
              <v:textbox inset="0,0,0,0">
                <w:txbxContent>
                  <w:p>
                    <w:pPr>
                      <w:spacing w:before="96"/>
                      <w:ind w:left="149" w:right="0" w:firstLine="0"/>
                      <w:jc w:val="left"/>
                      <w:rPr>
                        <w:rFonts w:ascii="Arial" w:hAnsi="Arial"/>
                        <w:color w:val="000000"/>
                        <w:sz w:val="15"/>
                      </w:rPr>
                    </w:pPr>
                    <w:r>
                      <w:rPr>
                        <w:rFonts w:ascii="Arial" w:hAnsi="Arial"/>
                        <w:color w:val="231F20"/>
                        <w:spacing w:val="-2"/>
                        <w:sz w:val="15"/>
                      </w:rPr>
                      <w:t>Complexité</w:t>
                    </w:r>
                  </w:p>
                </w:txbxContent>
              </v:textbox>
              <v:fill type="solid"/>
              <w10:wrap type="none"/>
            </v:shape>
            <w10:wrap type="none"/>
          </v:group>
        </w:pict>
      </w:r>
      <w:r>
        <w:rPr>
          <w:color w:val="231F20"/>
          <w:spacing w:val="-2"/>
          <w:w w:val="120"/>
        </w:rPr>
        <w:t>développement</w:t>
      </w:r>
      <w:r>
        <w:rPr>
          <w:color w:val="231F20"/>
          <w:spacing w:val="-8"/>
          <w:w w:val="120"/>
        </w:rPr>
        <w:t> </w:t>
      </w:r>
      <w:r>
        <w:rPr>
          <w:color w:val="231F20"/>
          <w:spacing w:val="-2"/>
          <w:w w:val="120"/>
        </w:rPr>
        <w:t>(valeurs</w:t>
      </w:r>
      <w:r>
        <w:rPr>
          <w:color w:val="231F20"/>
          <w:spacing w:val="-8"/>
          <w:w w:val="120"/>
        </w:rPr>
        <w:t> </w:t>
      </w:r>
      <w:r>
        <w:rPr>
          <w:color w:val="231F20"/>
          <w:spacing w:val="-2"/>
          <w:w w:val="120"/>
        </w:rPr>
        <w:t>poïétiques),</w:t>
      </w:r>
      <w:r>
        <w:rPr>
          <w:color w:val="231F20"/>
          <w:spacing w:val="-8"/>
          <w:w w:val="120"/>
        </w:rPr>
        <w:t> </w:t>
      </w:r>
      <w:r>
        <w:rPr>
          <w:color w:val="231F20"/>
          <w:spacing w:val="-2"/>
          <w:w w:val="120"/>
        </w:rPr>
        <w:t>intégrées</w:t>
      </w:r>
      <w:r>
        <w:rPr>
          <w:color w:val="231F20"/>
          <w:spacing w:val="-8"/>
          <w:w w:val="120"/>
        </w:rPr>
        <w:t> </w:t>
      </w:r>
      <w:r>
        <w:rPr>
          <w:color w:val="231F20"/>
          <w:spacing w:val="-2"/>
          <w:w w:val="120"/>
        </w:rPr>
        <w:t>aux</w:t>
      </w:r>
      <w:r>
        <w:rPr>
          <w:color w:val="231F20"/>
          <w:spacing w:val="-8"/>
          <w:w w:val="120"/>
        </w:rPr>
        <w:t> </w:t>
      </w:r>
      <w:r>
        <w:rPr>
          <w:color w:val="231F20"/>
          <w:spacing w:val="-2"/>
          <w:w w:val="120"/>
        </w:rPr>
        <w:t>valeurs</w:t>
      </w:r>
      <w:r>
        <w:rPr>
          <w:color w:val="231F20"/>
          <w:spacing w:val="-8"/>
          <w:w w:val="120"/>
        </w:rPr>
        <w:t> </w:t>
      </w:r>
      <w:r>
        <w:rPr>
          <w:color w:val="231F20"/>
          <w:spacing w:val="-2"/>
          <w:w w:val="120"/>
        </w:rPr>
        <w:t>éthiques</w:t>
      </w:r>
      <w:r>
        <w:rPr>
          <w:color w:val="231F20"/>
          <w:spacing w:val="-8"/>
          <w:w w:val="120"/>
        </w:rPr>
        <w:t> </w:t>
      </w:r>
      <w:r>
        <w:rPr>
          <w:color w:val="231F20"/>
          <w:spacing w:val="-2"/>
          <w:w w:val="120"/>
        </w:rPr>
        <w:t>dans </w:t>
      </w:r>
      <w:r>
        <w:rPr>
          <w:color w:val="231F20"/>
          <w:w w:val="115"/>
        </w:rPr>
        <w:t>un</w:t>
      </w:r>
      <w:r>
        <w:rPr>
          <w:color w:val="231F20"/>
          <w:spacing w:val="-7"/>
          <w:w w:val="115"/>
        </w:rPr>
        <w:t> </w:t>
      </w:r>
      <w:r>
        <w:rPr>
          <w:color w:val="231F20"/>
          <w:w w:val="115"/>
        </w:rPr>
        <w:t>modèle</w:t>
      </w:r>
      <w:r>
        <w:rPr>
          <w:color w:val="231F20"/>
          <w:spacing w:val="-7"/>
          <w:w w:val="115"/>
        </w:rPr>
        <w:t> </w:t>
      </w:r>
      <w:r>
        <w:rPr>
          <w:color w:val="231F20"/>
          <w:w w:val="115"/>
        </w:rPr>
        <w:t>triaxial.</w:t>
      </w:r>
      <w:r>
        <w:rPr>
          <w:color w:val="231F20"/>
          <w:spacing w:val="-7"/>
          <w:w w:val="115"/>
        </w:rPr>
        <w:t> </w:t>
      </w:r>
      <w:r>
        <w:rPr>
          <w:color w:val="231F20"/>
          <w:w w:val="115"/>
        </w:rPr>
        <w:t>L’essence</w:t>
      </w:r>
      <w:r>
        <w:rPr>
          <w:color w:val="231F20"/>
          <w:spacing w:val="-7"/>
          <w:w w:val="115"/>
        </w:rPr>
        <w:t> </w:t>
      </w:r>
      <w:r>
        <w:rPr>
          <w:color w:val="231F20"/>
          <w:w w:val="115"/>
        </w:rPr>
        <w:t>de</w:t>
      </w:r>
      <w:r>
        <w:rPr>
          <w:color w:val="231F20"/>
          <w:spacing w:val="-7"/>
          <w:w w:val="115"/>
        </w:rPr>
        <w:t> </w:t>
      </w:r>
      <w:r>
        <w:rPr>
          <w:color w:val="231F20"/>
          <w:w w:val="115"/>
        </w:rPr>
        <w:t>ce</w:t>
      </w:r>
      <w:r>
        <w:rPr>
          <w:color w:val="231F20"/>
          <w:spacing w:val="-7"/>
          <w:w w:val="115"/>
        </w:rPr>
        <w:t> </w:t>
      </w:r>
      <w:r>
        <w:rPr>
          <w:color w:val="231F20"/>
          <w:w w:val="115"/>
        </w:rPr>
        <w:t>modèle</w:t>
      </w:r>
      <w:r>
        <w:rPr>
          <w:color w:val="231F20"/>
          <w:spacing w:val="-7"/>
          <w:w w:val="115"/>
        </w:rPr>
        <w:t> </w:t>
      </w:r>
      <w:r>
        <w:rPr>
          <w:color w:val="231F20"/>
          <w:w w:val="115"/>
        </w:rPr>
        <w:t>se</w:t>
      </w:r>
      <w:r>
        <w:rPr>
          <w:color w:val="231F20"/>
          <w:spacing w:val="-7"/>
          <w:w w:val="115"/>
        </w:rPr>
        <w:t> </w:t>
      </w:r>
      <w:r>
        <w:rPr>
          <w:color w:val="231F20"/>
          <w:w w:val="115"/>
        </w:rPr>
        <w:t>trouve</w:t>
      </w:r>
      <w:r>
        <w:rPr>
          <w:color w:val="231F20"/>
          <w:spacing w:val="-7"/>
          <w:w w:val="115"/>
        </w:rPr>
        <w:t> </w:t>
      </w:r>
      <w:r>
        <w:rPr>
          <w:color w:val="231F20"/>
          <w:w w:val="115"/>
        </w:rPr>
        <w:t>dans</w:t>
      </w:r>
      <w:r>
        <w:rPr>
          <w:color w:val="231F20"/>
          <w:spacing w:val="-7"/>
          <w:w w:val="115"/>
        </w:rPr>
        <w:t> </w:t>
      </w:r>
      <w:r>
        <w:rPr>
          <w:color w:val="231F20"/>
          <w:w w:val="115"/>
        </w:rPr>
        <w:t>l’édification</w:t>
      </w:r>
      <w:r>
        <w:rPr>
          <w:color w:val="231F20"/>
          <w:spacing w:val="-7"/>
          <w:w w:val="115"/>
        </w:rPr>
        <w:t> </w:t>
      </w:r>
      <w:r>
        <w:rPr>
          <w:color w:val="231F20"/>
          <w:w w:val="115"/>
        </w:rPr>
        <w:t>de </w:t>
      </w:r>
      <w:r>
        <w:rPr>
          <w:color w:val="231F20"/>
          <w:w w:val="120"/>
        </w:rPr>
        <w:t>la</w:t>
      </w:r>
      <w:r>
        <w:rPr>
          <w:color w:val="231F20"/>
          <w:spacing w:val="-13"/>
          <w:w w:val="120"/>
        </w:rPr>
        <w:t> </w:t>
      </w:r>
      <w:r>
        <w:rPr>
          <w:color w:val="231F20"/>
          <w:w w:val="120"/>
        </w:rPr>
        <w:t>confiance</w:t>
      </w:r>
      <w:r>
        <w:rPr>
          <w:color w:val="231F20"/>
          <w:spacing w:val="-12"/>
          <w:w w:val="120"/>
        </w:rPr>
        <w:t> </w:t>
      </w:r>
      <w:r>
        <w:rPr>
          <w:color w:val="231F20"/>
          <w:w w:val="120"/>
        </w:rPr>
        <w:t>en</w:t>
      </w:r>
      <w:r>
        <w:rPr>
          <w:color w:val="231F20"/>
          <w:spacing w:val="-13"/>
          <w:w w:val="120"/>
        </w:rPr>
        <w:t> </w:t>
      </w:r>
      <w:r>
        <w:rPr>
          <w:color w:val="231F20"/>
          <w:w w:val="120"/>
        </w:rPr>
        <w:t>tant</w:t>
      </w:r>
      <w:r>
        <w:rPr>
          <w:color w:val="231F20"/>
          <w:spacing w:val="-12"/>
          <w:w w:val="120"/>
        </w:rPr>
        <w:t> </w:t>
      </w:r>
      <w:r>
        <w:rPr>
          <w:color w:val="231F20"/>
          <w:w w:val="120"/>
        </w:rPr>
        <w:t>que</w:t>
      </w:r>
      <w:r>
        <w:rPr>
          <w:color w:val="231F20"/>
          <w:spacing w:val="-13"/>
          <w:w w:val="120"/>
        </w:rPr>
        <w:t> </w:t>
      </w:r>
      <w:r>
        <w:rPr>
          <w:color w:val="231F20"/>
          <w:w w:val="120"/>
        </w:rPr>
        <w:t>métavaleur</w:t>
      </w:r>
      <w:r>
        <w:rPr>
          <w:color w:val="231F20"/>
          <w:spacing w:val="-12"/>
          <w:w w:val="120"/>
        </w:rPr>
        <w:t> </w:t>
      </w:r>
      <w:r>
        <w:rPr>
          <w:color w:val="231F20"/>
          <w:w w:val="120"/>
        </w:rPr>
        <w:t>centrale.</w:t>
      </w:r>
      <w:r>
        <w:rPr>
          <w:color w:val="231F20"/>
          <w:spacing w:val="-13"/>
          <w:w w:val="120"/>
        </w:rPr>
        <w:t> </w:t>
      </w:r>
      <w:r>
        <w:rPr>
          <w:color w:val="231F20"/>
          <w:w w:val="120"/>
        </w:rPr>
        <w:t>Les</w:t>
      </w:r>
      <w:r>
        <w:rPr>
          <w:color w:val="231F20"/>
          <w:spacing w:val="-12"/>
          <w:w w:val="120"/>
        </w:rPr>
        <w:t> </w:t>
      </w:r>
      <w:r>
        <w:rPr>
          <w:color w:val="231F20"/>
          <w:w w:val="120"/>
        </w:rPr>
        <w:t>auteurs</w:t>
      </w:r>
      <w:r>
        <w:rPr>
          <w:color w:val="231F20"/>
          <w:spacing w:val="-13"/>
          <w:w w:val="120"/>
        </w:rPr>
        <w:t> </w:t>
      </w:r>
      <w:r>
        <w:rPr>
          <w:color w:val="231F20"/>
          <w:w w:val="120"/>
        </w:rPr>
        <w:t>donnent</w:t>
      </w:r>
      <w:r>
        <w:rPr>
          <w:color w:val="231F20"/>
          <w:spacing w:val="-12"/>
          <w:w w:val="120"/>
        </w:rPr>
        <w:t> </w:t>
      </w:r>
      <w:r>
        <w:rPr>
          <w:color w:val="231F20"/>
          <w:w w:val="120"/>
        </w:rPr>
        <w:t>à</w:t>
      </w:r>
      <w:r>
        <w:rPr>
          <w:color w:val="231F20"/>
          <w:spacing w:val="-13"/>
          <w:w w:val="120"/>
        </w:rPr>
        <w:t> </w:t>
      </w:r>
      <w:r>
        <w:rPr>
          <w:color w:val="231F20"/>
          <w:w w:val="120"/>
        </w:rPr>
        <w:t>leur </w:t>
      </w:r>
      <w:r>
        <w:rPr>
          <w:color w:val="231F20"/>
          <w:spacing w:val="-2"/>
          <w:w w:val="120"/>
        </w:rPr>
        <w:t>modèle</w:t>
      </w:r>
      <w:r>
        <w:rPr>
          <w:color w:val="231F20"/>
          <w:spacing w:val="-11"/>
          <w:w w:val="120"/>
        </w:rPr>
        <w:t> </w:t>
      </w:r>
      <w:r>
        <w:rPr>
          <w:color w:val="231F20"/>
          <w:spacing w:val="-2"/>
          <w:w w:val="120"/>
        </w:rPr>
        <w:t>un</w:t>
      </w:r>
      <w:r>
        <w:rPr>
          <w:color w:val="231F20"/>
          <w:spacing w:val="-10"/>
          <w:w w:val="120"/>
        </w:rPr>
        <w:t> </w:t>
      </w:r>
      <w:r>
        <w:rPr>
          <w:color w:val="231F20"/>
          <w:spacing w:val="-2"/>
          <w:w w:val="120"/>
        </w:rPr>
        <w:t>rôle</w:t>
      </w:r>
      <w:r>
        <w:rPr>
          <w:color w:val="231F20"/>
          <w:spacing w:val="-11"/>
          <w:w w:val="120"/>
        </w:rPr>
        <w:t> </w:t>
      </w:r>
      <w:r>
        <w:rPr>
          <w:color w:val="231F20"/>
          <w:spacing w:val="-2"/>
          <w:w w:val="120"/>
        </w:rPr>
        <w:t>plus</w:t>
      </w:r>
      <w:r>
        <w:rPr>
          <w:color w:val="231F20"/>
          <w:spacing w:val="-10"/>
          <w:w w:val="120"/>
        </w:rPr>
        <w:t> </w:t>
      </w:r>
      <w:r>
        <w:rPr>
          <w:color w:val="231F20"/>
          <w:spacing w:val="-2"/>
          <w:w w:val="120"/>
        </w:rPr>
        <w:t>évolué</w:t>
      </w:r>
      <w:r>
        <w:rPr>
          <w:color w:val="231F20"/>
          <w:spacing w:val="-11"/>
          <w:w w:val="120"/>
        </w:rPr>
        <w:t> </w:t>
      </w:r>
      <w:r>
        <w:rPr>
          <w:color w:val="231F20"/>
          <w:spacing w:val="-2"/>
          <w:w w:val="120"/>
        </w:rPr>
        <w:t>et</w:t>
      </w:r>
      <w:r>
        <w:rPr>
          <w:color w:val="231F20"/>
          <w:spacing w:val="-10"/>
          <w:w w:val="120"/>
        </w:rPr>
        <w:t> </w:t>
      </w:r>
      <w:r>
        <w:rPr>
          <w:color w:val="231F20"/>
          <w:spacing w:val="-2"/>
          <w:w w:val="120"/>
        </w:rPr>
        <w:t>plus</w:t>
      </w:r>
      <w:r>
        <w:rPr>
          <w:color w:val="231F20"/>
          <w:spacing w:val="-11"/>
          <w:w w:val="120"/>
        </w:rPr>
        <w:t> </w:t>
      </w:r>
      <w:r>
        <w:rPr>
          <w:color w:val="231F20"/>
          <w:spacing w:val="-2"/>
          <w:w w:val="120"/>
        </w:rPr>
        <w:t>intégrateur</w:t>
      </w:r>
      <w:r>
        <w:rPr>
          <w:color w:val="231F20"/>
          <w:spacing w:val="-10"/>
          <w:w w:val="120"/>
        </w:rPr>
        <w:t> </w:t>
      </w:r>
      <w:r>
        <w:rPr>
          <w:color w:val="231F20"/>
          <w:spacing w:val="-2"/>
          <w:w w:val="120"/>
        </w:rPr>
        <w:t>qu’aux</w:t>
      </w:r>
      <w:r>
        <w:rPr>
          <w:color w:val="231F20"/>
          <w:spacing w:val="-11"/>
          <w:w w:val="120"/>
        </w:rPr>
        <w:t> </w:t>
      </w:r>
      <w:r>
        <w:rPr>
          <w:color w:val="231F20"/>
          <w:spacing w:val="-2"/>
          <w:w w:val="120"/>
        </w:rPr>
        <w:t>modèles</w:t>
      </w:r>
      <w:r>
        <w:rPr>
          <w:color w:val="231F20"/>
          <w:spacing w:val="-10"/>
          <w:w w:val="120"/>
        </w:rPr>
        <w:t> </w:t>
      </w:r>
      <w:r>
        <w:rPr>
          <w:color w:val="231F20"/>
          <w:spacing w:val="-2"/>
          <w:w w:val="120"/>
        </w:rPr>
        <w:t>antérieurs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gestion</w:t>
      </w:r>
      <w:r>
        <w:rPr>
          <w:color w:val="231F20"/>
          <w:spacing w:val="-6"/>
          <w:w w:val="120"/>
        </w:rPr>
        <w:t> </w:t>
      </w:r>
      <w:r>
        <w:rPr>
          <w:color w:val="231F20"/>
          <w:w w:val="120"/>
        </w:rPr>
        <w:t>par</w:t>
      </w:r>
      <w:r>
        <w:rPr>
          <w:color w:val="231F20"/>
          <w:spacing w:val="-6"/>
          <w:w w:val="120"/>
        </w:rPr>
        <w:t> </w:t>
      </w:r>
      <w:r>
        <w:rPr>
          <w:color w:val="231F20"/>
          <w:w w:val="120"/>
        </w:rPr>
        <w:t>objectifs</w:t>
      </w:r>
      <w:r>
        <w:rPr>
          <w:color w:val="231F20"/>
          <w:spacing w:val="-6"/>
          <w:w w:val="120"/>
        </w:rPr>
        <w:t> </w:t>
      </w:r>
      <w:r>
        <w:rPr>
          <w:color w:val="231F20"/>
          <w:w w:val="120"/>
        </w:rPr>
        <w:t>(GpO)</w:t>
      </w:r>
      <w:r>
        <w:rPr>
          <w:color w:val="231F20"/>
          <w:spacing w:val="-6"/>
          <w:w w:val="120"/>
        </w:rPr>
        <w:t> </w:t>
      </w:r>
      <w:r>
        <w:rPr>
          <w:color w:val="231F20"/>
          <w:w w:val="120"/>
        </w:rPr>
        <w:t>et</w:t>
      </w:r>
      <w:r>
        <w:rPr>
          <w:color w:val="231F20"/>
          <w:spacing w:val="-6"/>
          <w:w w:val="120"/>
        </w:rPr>
        <w:t> </w:t>
      </w:r>
      <w:r>
        <w:rPr>
          <w:color w:val="231F20"/>
          <w:w w:val="120"/>
        </w:rPr>
        <w:t>de</w:t>
      </w:r>
      <w:r>
        <w:rPr>
          <w:color w:val="231F20"/>
          <w:spacing w:val="-6"/>
          <w:w w:val="120"/>
        </w:rPr>
        <w:t> </w:t>
      </w:r>
      <w:r>
        <w:rPr>
          <w:color w:val="231F20"/>
          <w:w w:val="120"/>
        </w:rPr>
        <w:t>la</w:t>
      </w:r>
      <w:r>
        <w:rPr>
          <w:color w:val="231F20"/>
          <w:spacing w:val="-6"/>
          <w:w w:val="120"/>
        </w:rPr>
        <w:t> </w:t>
      </w:r>
      <w:r>
        <w:rPr>
          <w:color w:val="231F20"/>
          <w:w w:val="120"/>
        </w:rPr>
        <w:t>gestion</w:t>
      </w:r>
      <w:r>
        <w:rPr>
          <w:color w:val="231F20"/>
          <w:spacing w:val="-6"/>
          <w:w w:val="120"/>
        </w:rPr>
        <w:t> </w:t>
      </w:r>
      <w:r>
        <w:rPr>
          <w:color w:val="231F20"/>
          <w:w w:val="120"/>
        </w:rPr>
        <w:t>par</w:t>
      </w:r>
      <w:r>
        <w:rPr>
          <w:color w:val="231F20"/>
          <w:spacing w:val="-6"/>
          <w:w w:val="120"/>
        </w:rPr>
        <w:t> </w:t>
      </w:r>
      <w:r>
        <w:rPr>
          <w:color w:val="231F20"/>
          <w:w w:val="120"/>
        </w:rPr>
        <w:t>instructions</w:t>
      </w:r>
      <w:r>
        <w:rPr>
          <w:color w:val="231F20"/>
          <w:spacing w:val="-6"/>
          <w:w w:val="120"/>
        </w:rPr>
        <w:t> </w:t>
      </w:r>
      <w:r>
        <w:rPr>
          <w:color w:val="231F20"/>
          <w:w w:val="120"/>
        </w:rPr>
        <w:t>(GpI) (figure</w:t>
      </w:r>
      <w:r>
        <w:rPr>
          <w:color w:val="231F20"/>
          <w:spacing w:val="-13"/>
          <w:w w:val="120"/>
        </w:rPr>
        <w:t> </w:t>
      </w:r>
      <w:r>
        <w:rPr>
          <w:color w:val="231F20"/>
          <w:w w:val="120"/>
        </w:rPr>
        <w:t>5.2).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BodyText"/>
        <w:spacing w:line="307" w:lineRule="auto" w:before="145"/>
        <w:ind w:left="1220" w:right="101"/>
        <w:jc w:val="both"/>
      </w:pPr>
      <w:r>
        <w:rPr/>
        <w:pict>
          <v:shape style="position:absolute;margin-left:343.119385pt;margin-top:-135.442902pt;width:11.8pt;height:56.35pt;mso-position-horizontal-relative:page;mso-position-vertical-relative:paragraph;z-index:15840768" type="#_x0000_t202" id="docshape1142" filled="false" stroked="false">
            <v:textbox inset="0,0,0,0" style="layout-flow:vertical;mso-layout-flow-alt:bottom-to-top">
              <w:txbxContent>
                <w:p>
                  <w:pPr>
                    <w:spacing w:before="41"/>
                    <w:ind w:left="20" w:right="0" w:firstLine="0"/>
                    <w:jc w:val="left"/>
                    <w:rPr>
                      <w:rFonts w:ascii="Arial"/>
                      <w:b/>
                      <w:sz w:val="15"/>
                    </w:rPr>
                  </w:pPr>
                  <w:r>
                    <w:rPr>
                      <w:rFonts w:ascii="Arial"/>
                      <w:b/>
                      <w:color w:val="231F20"/>
                      <w:w w:val="90"/>
                      <w:sz w:val="15"/>
                    </w:rPr>
                    <w:t>Structure</w:t>
                  </w:r>
                  <w:r>
                    <w:rPr>
                      <w:rFonts w:ascii="Arial"/>
                      <w:b/>
                      <w:color w:val="231F20"/>
                      <w:spacing w:val="-1"/>
                      <w:w w:val="90"/>
                      <w:sz w:val="15"/>
                    </w:rPr>
                    <w:t> </w:t>
                  </w:r>
                  <w:r>
                    <w:rPr>
                      <w:rFonts w:ascii="Arial"/>
                      <w:b/>
                      <w:color w:val="231F20"/>
                      <w:spacing w:val="-2"/>
                      <w:w w:val="95"/>
                      <w:sz w:val="15"/>
                    </w:rPr>
                    <w:t>aplatie</w:t>
                  </w:r>
                </w:p>
              </w:txbxContent>
            </v:textbox>
            <w10:wrap type="none"/>
          </v:shape>
        </w:pict>
      </w:r>
      <w:r>
        <w:rPr>
          <w:color w:val="231F20"/>
          <w:w w:val="115"/>
        </w:rPr>
        <w:t>La</w:t>
      </w:r>
      <w:r>
        <w:rPr>
          <w:color w:val="231F20"/>
          <w:spacing w:val="-4"/>
          <w:w w:val="115"/>
        </w:rPr>
        <w:t> </w:t>
      </w:r>
      <w:r>
        <w:rPr>
          <w:color w:val="231F20"/>
          <w:w w:val="115"/>
        </w:rPr>
        <w:t>GpV</w:t>
      </w:r>
      <w:r>
        <w:rPr>
          <w:color w:val="231F20"/>
          <w:spacing w:val="-4"/>
          <w:w w:val="115"/>
        </w:rPr>
        <w:t> </w:t>
      </w:r>
      <w:r>
        <w:rPr>
          <w:color w:val="231F20"/>
          <w:w w:val="115"/>
        </w:rPr>
        <w:t>est</w:t>
      </w:r>
      <w:r>
        <w:rPr>
          <w:color w:val="231F20"/>
          <w:spacing w:val="-4"/>
          <w:w w:val="115"/>
        </w:rPr>
        <w:t> </w:t>
      </w:r>
      <w:r>
        <w:rPr>
          <w:color w:val="231F20"/>
          <w:w w:val="115"/>
        </w:rPr>
        <w:t>une</w:t>
      </w:r>
      <w:r>
        <w:rPr>
          <w:color w:val="231F20"/>
          <w:spacing w:val="-4"/>
          <w:w w:val="115"/>
        </w:rPr>
        <w:t> </w:t>
      </w:r>
      <w:r>
        <w:rPr>
          <w:color w:val="231F20"/>
          <w:w w:val="115"/>
        </w:rPr>
        <w:t>nouvelle</w:t>
      </w:r>
      <w:r>
        <w:rPr>
          <w:color w:val="231F20"/>
          <w:spacing w:val="-4"/>
          <w:w w:val="115"/>
        </w:rPr>
        <w:t> </w:t>
      </w:r>
      <w:r>
        <w:rPr>
          <w:color w:val="231F20"/>
          <w:w w:val="115"/>
        </w:rPr>
        <w:t>proposition</w:t>
      </w:r>
      <w:r>
        <w:rPr>
          <w:color w:val="231F20"/>
          <w:spacing w:val="-4"/>
          <w:w w:val="115"/>
        </w:rPr>
        <w:t> </w:t>
      </w:r>
      <w:r>
        <w:rPr>
          <w:color w:val="231F20"/>
          <w:w w:val="115"/>
        </w:rPr>
        <w:t>génératrice</w:t>
      </w:r>
      <w:r>
        <w:rPr>
          <w:color w:val="231F20"/>
          <w:spacing w:val="-4"/>
          <w:w w:val="115"/>
        </w:rPr>
        <w:t> </w:t>
      </w:r>
      <w:r>
        <w:rPr>
          <w:color w:val="231F20"/>
          <w:w w:val="115"/>
        </w:rPr>
        <w:t>d’action</w:t>
      </w:r>
      <w:r>
        <w:rPr>
          <w:color w:val="231F20"/>
          <w:spacing w:val="-4"/>
          <w:w w:val="115"/>
        </w:rPr>
        <w:t> </w:t>
      </w:r>
      <w:r>
        <w:rPr>
          <w:color w:val="231F20"/>
          <w:w w:val="115"/>
        </w:rPr>
        <w:t>éthique</w:t>
      </w:r>
      <w:r>
        <w:rPr>
          <w:color w:val="231F20"/>
          <w:spacing w:val="-4"/>
          <w:w w:val="115"/>
        </w:rPr>
        <w:t> </w:t>
      </w:r>
      <w:r>
        <w:rPr>
          <w:color w:val="231F20"/>
          <w:w w:val="115"/>
        </w:rPr>
        <w:t>et</w:t>
      </w:r>
      <w:r>
        <w:rPr>
          <w:color w:val="231F20"/>
          <w:spacing w:val="-4"/>
          <w:w w:val="115"/>
        </w:rPr>
        <w:t> </w:t>
      </w:r>
      <w:r>
        <w:rPr>
          <w:color w:val="231F20"/>
          <w:w w:val="115"/>
        </w:rPr>
        <w:t>créa- </w:t>
      </w:r>
      <w:r>
        <w:rPr>
          <w:color w:val="231F20"/>
          <w:spacing w:val="-2"/>
          <w:w w:val="120"/>
        </w:rPr>
        <w:t>tive</w:t>
      </w:r>
      <w:r>
        <w:rPr>
          <w:color w:val="231F20"/>
          <w:spacing w:val="-10"/>
          <w:w w:val="120"/>
        </w:rPr>
        <w:t> </w:t>
      </w:r>
      <w:r>
        <w:rPr>
          <w:color w:val="231F20"/>
          <w:spacing w:val="-2"/>
          <w:w w:val="120"/>
        </w:rPr>
        <w:t>au</w:t>
      </w:r>
      <w:r>
        <w:rPr>
          <w:color w:val="231F20"/>
          <w:spacing w:val="-10"/>
          <w:w w:val="120"/>
        </w:rPr>
        <w:t> </w:t>
      </w:r>
      <w:r>
        <w:rPr>
          <w:color w:val="231F20"/>
          <w:spacing w:val="-2"/>
          <w:w w:val="120"/>
        </w:rPr>
        <w:t>sein</w:t>
      </w:r>
      <w:r>
        <w:rPr>
          <w:color w:val="231F20"/>
          <w:spacing w:val="-10"/>
          <w:w w:val="120"/>
        </w:rPr>
        <w:t> </w:t>
      </w:r>
      <w:r>
        <w:rPr>
          <w:color w:val="231F20"/>
          <w:spacing w:val="-2"/>
          <w:w w:val="120"/>
        </w:rPr>
        <w:t>de</w:t>
      </w:r>
      <w:r>
        <w:rPr>
          <w:color w:val="231F20"/>
          <w:spacing w:val="-10"/>
          <w:w w:val="120"/>
        </w:rPr>
        <w:t> </w:t>
      </w:r>
      <w:r>
        <w:rPr>
          <w:color w:val="231F20"/>
          <w:spacing w:val="-2"/>
          <w:w w:val="120"/>
        </w:rPr>
        <w:t>l’organisation,</w:t>
      </w:r>
      <w:r>
        <w:rPr>
          <w:color w:val="231F20"/>
          <w:spacing w:val="-10"/>
          <w:w w:val="120"/>
        </w:rPr>
        <w:t> </w:t>
      </w:r>
      <w:r>
        <w:rPr>
          <w:color w:val="231F20"/>
          <w:spacing w:val="-2"/>
          <w:w w:val="120"/>
        </w:rPr>
        <w:t>et</w:t>
      </w:r>
      <w:r>
        <w:rPr>
          <w:color w:val="231F20"/>
          <w:spacing w:val="-10"/>
          <w:w w:val="120"/>
        </w:rPr>
        <w:t> </w:t>
      </w:r>
      <w:r>
        <w:rPr>
          <w:color w:val="231F20"/>
          <w:spacing w:val="-2"/>
          <w:w w:val="120"/>
        </w:rPr>
        <w:t>qui</w:t>
      </w:r>
      <w:r>
        <w:rPr>
          <w:color w:val="231F20"/>
          <w:spacing w:val="-10"/>
          <w:w w:val="120"/>
        </w:rPr>
        <w:t> </w:t>
      </w:r>
      <w:r>
        <w:rPr>
          <w:color w:val="231F20"/>
          <w:spacing w:val="-2"/>
          <w:w w:val="120"/>
        </w:rPr>
        <w:t>va</w:t>
      </w:r>
      <w:r>
        <w:rPr>
          <w:color w:val="231F20"/>
          <w:spacing w:val="-10"/>
          <w:w w:val="120"/>
        </w:rPr>
        <w:t> </w:t>
      </w:r>
      <w:r>
        <w:rPr>
          <w:color w:val="231F20"/>
          <w:spacing w:val="-2"/>
          <w:w w:val="120"/>
        </w:rPr>
        <w:t>au-delà</w:t>
      </w:r>
      <w:r>
        <w:rPr>
          <w:color w:val="231F20"/>
          <w:spacing w:val="-10"/>
          <w:w w:val="120"/>
        </w:rPr>
        <w:t> </w:t>
      </w:r>
      <w:r>
        <w:rPr>
          <w:color w:val="231F20"/>
          <w:spacing w:val="-2"/>
          <w:w w:val="120"/>
        </w:rPr>
        <w:t>des</w:t>
      </w:r>
      <w:r>
        <w:rPr>
          <w:color w:val="231F20"/>
          <w:spacing w:val="-10"/>
          <w:w w:val="120"/>
        </w:rPr>
        <w:t> </w:t>
      </w:r>
      <w:r>
        <w:rPr>
          <w:color w:val="231F20"/>
          <w:spacing w:val="-2"/>
          <w:w w:val="120"/>
        </w:rPr>
        <w:t>propositions</w:t>
      </w:r>
      <w:r>
        <w:rPr>
          <w:color w:val="231F20"/>
          <w:spacing w:val="-10"/>
          <w:w w:val="120"/>
        </w:rPr>
        <w:t> </w:t>
      </w:r>
      <w:r>
        <w:rPr>
          <w:color w:val="231F20"/>
          <w:spacing w:val="-2"/>
          <w:w w:val="120"/>
        </w:rPr>
        <w:t>mises</w:t>
      </w:r>
      <w:r>
        <w:rPr>
          <w:color w:val="231F20"/>
          <w:spacing w:val="-10"/>
          <w:w w:val="120"/>
        </w:rPr>
        <w:t> </w:t>
      </w:r>
      <w:r>
        <w:rPr>
          <w:color w:val="231F20"/>
          <w:spacing w:val="-2"/>
          <w:w w:val="120"/>
        </w:rPr>
        <w:t>de l’avant</w:t>
      </w:r>
      <w:r>
        <w:rPr>
          <w:color w:val="231F20"/>
          <w:spacing w:val="-9"/>
          <w:w w:val="120"/>
        </w:rPr>
        <w:t> </w:t>
      </w:r>
      <w:r>
        <w:rPr>
          <w:color w:val="231F20"/>
          <w:spacing w:val="-2"/>
          <w:w w:val="120"/>
        </w:rPr>
        <w:t>par</w:t>
      </w:r>
      <w:r>
        <w:rPr>
          <w:color w:val="231F20"/>
          <w:spacing w:val="-9"/>
          <w:w w:val="120"/>
        </w:rPr>
        <w:t> </w:t>
      </w:r>
      <w:r>
        <w:rPr>
          <w:color w:val="231F20"/>
          <w:spacing w:val="-2"/>
          <w:w w:val="120"/>
        </w:rPr>
        <w:t>la</w:t>
      </w:r>
      <w:r>
        <w:rPr>
          <w:color w:val="231F20"/>
          <w:spacing w:val="-10"/>
          <w:w w:val="120"/>
        </w:rPr>
        <w:t> </w:t>
      </w:r>
      <w:r>
        <w:rPr>
          <w:color w:val="231F20"/>
          <w:spacing w:val="-2"/>
          <w:w w:val="120"/>
        </w:rPr>
        <w:t>GpO</w:t>
      </w:r>
      <w:r>
        <w:rPr>
          <w:color w:val="231F20"/>
          <w:spacing w:val="-9"/>
          <w:w w:val="120"/>
        </w:rPr>
        <w:t> </w:t>
      </w:r>
      <w:r>
        <w:rPr>
          <w:color w:val="231F20"/>
          <w:spacing w:val="-2"/>
          <w:w w:val="120"/>
        </w:rPr>
        <w:t>des</w:t>
      </w:r>
      <w:r>
        <w:rPr>
          <w:color w:val="231F20"/>
          <w:spacing w:val="-9"/>
          <w:w w:val="120"/>
        </w:rPr>
        <w:t> </w:t>
      </w:r>
      <w:r>
        <w:rPr>
          <w:color w:val="231F20"/>
          <w:spacing w:val="-2"/>
          <w:w w:val="120"/>
        </w:rPr>
        <w:t>années</w:t>
      </w:r>
      <w:r>
        <w:rPr>
          <w:color w:val="231F20"/>
          <w:spacing w:val="-10"/>
          <w:w w:val="120"/>
        </w:rPr>
        <w:t> </w:t>
      </w:r>
      <w:r>
        <w:rPr>
          <w:color w:val="231F20"/>
          <w:spacing w:val="-2"/>
          <w:w w:val="120"/>
        </w:rPr>
        <w:t>1960</w:t>
      </w:r>
      <w:r>
        <w:rPr>
          <w:color w:val="231F20"/>
          <w:spacing w:val="-9"/>
          <w:w w:val="120"/>
        </w:rPr>
        <w:t> </w:t>
      </w:r>
      <w:r>
        <w:rPr>
          <w:color w:val="231F20"/>
          <w:spacing w:val="-2"/>
          <w:w w:val="120"/>
        </w:rPr>
        <w:t>et</w:t>
      </w:r>
      <w:r>
        <w:rPr>
          <w:color w:val="231F20"/>
          <w:spacing w:val="-9"/>
          <w:w w:val="120"/>
        </w:rPr>
        <w:t> </w:t>
      </w:r>
      <w:r>
        <w:rPr>
          <w:color w:val="231F20"/>
          <w:spacing w:val="-2"/>
          <w:w w:val="120"/>
        </w:rPr>
        <w:t>par</w:t>
      </w:r>
      <w:r>
        <w:rPr>
          <w:color w:val="231F20"/>
          <w:spacing w:val="-10"/>
          <w:w w:val="120"/>
        </w:rPr>
        <w:t> </w:t>
      </w:r>
      <w:r>
        <w:rPr>
          <w:color w:val="231F20"/>
          <w:spacing w:val="-2"/>
          <w:w w:val="120"/>
        </w:rPr>
        <w:t>la</w:t>
      </w:r>
      <w:r>
        <w:rPr>
          <w:color w:val="231F20"/>
          <w:spacing w:val="-9"/>
          <w:w w:val="120"/>
        </w:rPr>
        <w:t> </w:t>
      </w:r>
      <w:r>
        <w:rPr>
          <w:color w:val="231F20"/>
          <w:spacing w:val="-2"/>
          <w:w w:val="120"/>
        </w:rPr>
        <w:t>GpI</w:t>
      </w:r>
      <w:r>
        <w:rPr>
          <w:color w:val="231F20"/>
          <w:spacing w:val="-9"/>
          <w:w w:val="120"/>
        </w:rPr>
        <w:t> </w:t>
      </w:r>
      <w:r>
        <w:rPr>
          <w:color w:val="231F20"/>
          <w:spacing w:val="-2"/>
          <w:w w:val="120"/>
        </w:rPr>
        <w:t>du</w:t>
      </w:r>
      <w:r>
        <w:rPr>
          <w:color w:val="231F20"/>
          <w:spacing w:val="-10"/>
          <w:w w:val="120"/>
        </w:rPr>
        <w:t> </w:t>
      </w:r>
      <w:r>
        <w:rPr>
          <w:color w:val="231F20"/>
          <w:spacing w:val="-2"/>
          <w:w w:val="120"/>
        </w:rPr>
        <w:t>début</w:t>
      </w:r>
      <w:r>
        <w:rPr>
          <w:color w:val="231F20"/>
          <w:spacing w:val="-9"/>
          <w:w w:val="120"/>
        </w:rPr>
        <w:t> </w:t>
      </w:r>
      <w:r>
        <w:rPr>
          <w:color w:val="231F20"/>
          <w:spacing w:val="-2"/>
          <w:w w:val="120"/>
        </w:rPr>
        <w:t>du</w:t>
      </w:r>
      <w:r>
        <w:rPr>
          <w:color w:val="231F20"/>
          <w:spacing w:val="-9"/>
          <w:w w:val="120"/>
        </w:rPr>
        <w:t> </w:t>
      </w:r>
      <w:r>
        <w:rPr>
          <w:color w:val="231F20"/>
          <w:spacing w:val="-2"/>
          <w:w w:val="120"/>
        </w:rPr>
        <w:t>XX</w:t>
      </w:r>
      <w:r>
        <w:rPr>
          <w:color w:val="231F20"/>
          <w:spacing w:val="-2"/>
          <w:w w:val="120"/>
          <w:position w:val="6"/>
          <w:sz w:val="10"/>
        </w:rPr>
        <w:t>e</w:t>
      </w:r>
      <w:r>
        <w:rPr>
          <w:color w:val="231F20"/>
          <w:spacing w:val="12"/>
          <w:w w:val="120"/>
          <w:position w:val="6"/>
          <w:sz w:val="10"/>
        </w:rPr>
        <w:t> </w:t>
      </w:r>
      <w:r>
        <w:rPr>
          <w:color w:val="231F20"/>
          <w:spacing w:val="-2"/>
          <w:w w:val="120"/>
        </w:rPr>
        <w:t>siècle. </w:t>
      </w:r>
      <w:r>
        <w:rPr>
          <w:color w:val="231F20"/>
          <w:w w:val="120"/>
        </w:rPr>
        <w:t>La</w:t>
      </w:r>
      <w:r>
        <w:rPr>
          <w:color w:val="231F20"/>
          <w:spacing w:val="-1"/>
          <w:w w:val="120"/>
        </w:rPr>
        <w:t> </w:t>
      </w:r>
      <w:r>
        <w:rPr>
          <w:color w:val="231F20"/>
          <w:w w:val="120"/>
        </w:rPr>
        <w:t>GpV</w:t>
      </w:r>
      <w:r>
        <w:rPr>
          <w:color w:val="231F20"/>
          <w:spacing w:val="-1"/>
          <w:w w:val="120"/>
        </w:rPr>
        <w:t> </w:t>
      </w:r>
      <w:r>
        <w:rPr>
          <w:color w:val="231F20"/>
          <w:w w:val="120"/>
        </w:rPr>
        <w:t>propose</w:t>
      </w:r>
      <w:r>
        <w:rPr>
          <w:color w:val="231F20"/>
          <w:spacing w:val="-1"/>
          <w:w w:val="120"/>
        </w:rPr>
        <w:t> </w:t>
      </w:r>
      <w:r>
        <w:rPr>
          <w:color w:val="231F20"/>
          <w:w w:val="120"/>
        </w:rPr>
        <w:t>de</w:t>
      </w:r>
      <w:r>
        <w:rPr>
          <w:color w:val="231F20"/>
          <w:spacing w:val="-1"/>
          <w:w w:val="120"/>
        </w:rPr>
        <w:t> </w:t>
      </w:r>
      <w:r>
        <w:rPr>
          <w:color w:val="231F20"/>
          <w:w w:val="120"/>
        </w:rPr>
        <w:t>passer</w:t>
      </w:r>
      <w:r>
        <w:rPr>
          <w:color w:val="231F20"/>
          <w:spacing w:val="-1"/>
          <w:w w:val="120"/>
        </w:rPr>
        <w:t> </w:t>
      </w:r>
      <w:r>
        <w:rPr>
          <w:color w:val="231F20"/>
          <w:w w:val="120"/>
        </w:rPr>
        <w:t>à</w:t>
      </w:r>
      <w:r>
        <w:rPr>
          <w:color w:val="231F20"/>
          <w:spacing w:val="-1"/>
          <w:w w:val="120"/>
        </w:rPr>
        <w:t> </w:t>
      </w:r>
      <w:r>
        <w:rPr>
          <w:color w:val="231F20"/>
          <w:w w:val="120"/>
        </w:rPr>
        <w:t>une</w:t>
      </w:r>
      <w:r>
        <w:rPr>
          <w:color w:val="231F20"/>
          <w:spacing w:val="-1"/>
          <w:w w:val="120"/>
        </w:rPr>
        <w:t> </w:t>
      </w:r>
      <w:r>
        <w:rPr>
          <w:color w:val="231F20"/>
          <w:w w:val="120"/>
        </w:rPr>
        <w:t>forme</w:t>
      </w:r>
      <w:r>
        <w:rPr>
          <w:color w:val="231F20"/>
          <w:spacing w:val="-1"/>
          <w:w w:val="120"/>
        </w:rPr>
        <w:t> </w:t>
      </w:r>
      <w:r>
        <w:rPr>
          <w:color w:val="231F20"/>
          <w:w w:val="120"/>
        </w:rPr>
        <w:t>de</w:t>
      </w:r>
      <w:r>
        <w:rPr>
          <w:color w:val="231F20"/>
          <w:spacing w:val="-1"/>
          <w:w w:val="120"/>
        </w:rPr>
        <w:t> </w:t>
      </w:r>
      <w:r>
        <w:rPr>
          <w:color w:val="231F20"/>
          <w:w w:val="120"/>
        </w:rPr>
        <w:t>gestion</w:t>
      </w:r>
      <w:r>
        <w:rPr>
          <w:color w:val="231F20"/>
          <w:spacing w:val="-1"/>
          <w:w w:val="120"/>
        </w:rPr>
        <w:t> </w:t>
      </w:r>
      <w:r>
        <w:rPr>
          <w:color w:val="231F20"/>
          <w:w w:val="120"/>
        </w:rPr>
        <w:t>plus</w:t>
      </w:r>
      <w:r>
        <w:rPr>
          <w:color w:val="231F20"/>
          <w:spacing w:val="-1"/>
          <w:w w:val="120"/>
        </w:rPr>
        <w:t> </w:t>
      </w:r>
      <w:r>
        <w:rPr>
          <w:color w:val="231F20"/>
          <w:w w:val="120"/>
        </w:rPr>
        <w:t>efficiente,</w:t>
      </w:r>
      <w:r>
        <w:rPr>
          <w:color w:val="231F20"/>
          <w:spacing w:val="-1"/>
          <w:w w:val="120"/>
        </w:rPr>
        <w:t> </w:t>
      </w:r>
      <w:r>
        <w:rPr>
          <w:color w:val="231F20"/>
          <w:w w:val="120"/>
        </w:rPr>
        <w:t>plus éthique et plus adaptée au contexte actuel de grande complexité et d’incertitude</w:t>
      </w:r>
      <w:r>
        <w:rPr>
          <w:color w:val="231F20"/>
          <w:w w:val="120"/>
        </w:rPr>
        <w:t> qui</w:t>
      </w:r>
      <w:r>
        <w:rPr>
          <w:color w:val="231F20"/>
          <w:w w:val="120"/>
        </w:rPr>
        <w:t> exige</w:t>
      </w:r>
      <w:r>
        <w:rPr>
          <w:color w:val="231F20"/>
          <w:w w:val="120"/>
        </w:rPr>
        <w:t> des</w:t>
      </w:r>
      <w:r>
        <w:rPr>
          <w:color w:val="231F20"/>
          <w:w w:val="120"/>
        </w:rPr>
        <w:t> individus</w:t>
      </w:r>
      <w:r>
        <w:rPr>
          <w:color w:val="231F20"/>
          <w:w w:val="120"/>
        </w:rPr>
        <w:t> un</w:t>
      </w:r>
      <w:r>
        <w:rPr>
          <w:color w:val="231F20"/>
          <w:w w:val="120"/>
        </w:rPr>
        <w:t> niveau</w:t>
      </w:r>
      <w:r>
        <w:rPr>
          <w:color w:val="231F20"/>
          <w:w w:val="120"/>
        </w:rPr>
        <w:t> de</w:t>
      </w:r>
      <w:r>
        <w:rPr>
          <w:color w:val="231F20"/>
          <w:w w:val="120"/>
        </w:rPr>
        <w:t> rendement,</w:t>
      </w:r>
      <w:r>
        <w:rPr>
          <w:color w:val="231F20"/>
          <w:w w:val="120"/>
        </w:rPr>
        <w:t> de </w:t>
      </w:r>
      <w:r>
        <w:rPr>
          <w:color w:val="231F20"/>
          <w:spacing w:val="-2"/>
          <w:w w:val="120"/>
        </w:rPr>
        <w:t>confiance,</w:t>
      </w:r>
      <w:r>
        <w:rPr>
          <w:color w:val="231F20"/>
          <w:spacing w:val="-5"/>
          <w:w w:val="120"/>
        </w:rPr>
        <w:t> </w:t>
      </w:r>
      <w:r>
        <w:rPr>
          <w:color w:val="231F20"/>
          <w:spacing w:val="-2"/>
          <w:w w:val="120"/>
        </w:rPr>
        <w:t>d’engagement</w:t>
      </w:r>
      <w:r>
        <w:rPr>
          <w:color w:val="231F20"/>
          <w:spacing w:val="-5"/>
          <w:w w:val="120"/>
        </w:rPr>
        <w:t> </w:t>
      </w:r>
      <w:r>
        <w:rPr>
          <w:color w:val="231F20"/>
          <w:spacing w:val="-2"/>
          <w:w w:val="120"/>
        </w:rPr>
        <w:t>et</w:t>
      </w:r>
      <w:r>
        <w:rPr>
          <w:color w:val="231F20"/>
          <w:spacing w:val="-5"/>
          <w:w w:val="120"/>
        </w:rPr>
        <w:t> </w:t>
      </w:r>
      <w:r>
        <w:rPr>
          <w:color w:val="231F20"/>
          <w:spacing w:val="-2"/>
          <w:w w:val="120"/>
        </w:rPr>
        <w:t>de</w:t>
      </w:r>
      <w:r>
        <w:rPr>
          <w:color w:val="231F20"/>
          <w:spacing w:val="-5"/>
          <w:w w:val="120"/>
        </w:rPr>
        <w:t> </w:t>
      </w:r>
      <w:r>
        <w:rPr>
          <w:color w:val="231F20"/>
          <w:spacing w:val="-2"/>
          <w:w w:val="120"/>
        </w:rPr>
        <w:t>créativité</w:t>
      </w:r>
      <w:r>
        <w:rPr>
          <w:color w:val="231F20"/>
          <w:spacing w:val="-5"/>
          <w:w w:val="120"/>
        </w:rPr>
        <w:t> </w:t>
      </w:r>
      <w:r>
        <w:rPr>
          <w:color w:val="231F20"/>
          <w:spacing w:val="-2"/>
          <w:w w:val="120"/>
        </w:rPr>
        <w:t>élevés.</w:t>
      </w:r>
      <w:r>
        <w:rPr>
          <w:color w:val="231F20"/>
          <w:spacing w:val="-5"/>
          <w:w w:val="120"/>
        </w:rPr>
        <w:t> </w:t>
      </w:r>
      <w:r>
        <w:rPr>
          <w:color w:val="231F20"/>
          <w:spacing w:val="-2"/>
          <w:w w:val="120"/>
        </w:rPr>
        <w:t>La</w:t>
      </w:r>
      <w:r>
        <w:rPr>
          <w:color w:val="231F20"/>
          <w:spacing w:val="-5"/>
          <w:w w:val="120"/>
        </w:rPr>
        <w:t> </w:t>
      </w:r>
      <w:r>
        <w:rPr>
          <w:color w:val="231F20"/>
          <w:spacing w:val="-2"/>
          <w:w w:val="120"/>
        </w:rPr>
        <w:t>GpV</w:t>
      </w:r>
      <w:r>
        <w:rPr>
          <w:color w:val="231F20"/>
          <w:spacing w:val="-5"/>
          <w:w w:val="120"/>
        </w:rPr>
        <w:t> </w:t>
      </w:r>
      <w:r>
        <w:rPr>
          <w:color w:val="231F20"/>
          <w:spacing w:val="-2"/>
          <w:w w:val="120"/>
        </w:rPr>
        <w:t>ne</w:t>
      </w:r>
      <w:r>
        <w:rPr>
          <w:color w:val="231F20"/>
          <w:spacing w:val="-5"/>
          <w:w w:val="120"/>
        </w:rPr>
        <w:t> </w:t>
      </w:r>
      <w:r>
        <w:rPr>
          <w:color w:val="231F20"/>
          <w:spacing w:val="-2"/>
          <w:w w:val="120"/>
        </w:rPr>
        <w:t>remplace</w:t>
      </w:r>
      <w:r>
        <w:rPr>
          <w:color w:val="231F20"/>
          <w:spacing w:val="-5"/>
          <w:w w:val="120"/>
        </w:rPr>
        <w:t> </w:t>
      </w:r>
      <w:r>
        <w:rPr>
          <w:color w:val="231F20"/>
          <w:spacing w:val="-2"/>
          <w:w w:val="120"/>
        </w:rPr>
        <w:t>ni </w:t>
      </w:r>
      <w:r>
        <w:rPr>
          <w:color w:val="231F20"/>
          <w:w w:val="120"/>
        </w:rPr>
        <w:t>la</w:t>
      </w:r>
      <w:r>
        <w:rPr>
          <w:color w:val="231F20"/>
          <w:spacing w:val="-11"/>
          <w:w w:val="120"/>
        </w:rPr>
        <w:t> </w:t>
      </w:r>
      <w:r>
        <w:rPr>
          <w:color w:val="231F20"/>
          <w:w w:val="120"/>
        </w:rPr>
        <w:t>GpO</w:t>
      </w:r>
      <w:r>
        <w:rPr>
          <w:color w:val="231F20"/>
          <w:spacing w:val="-11"/>
          <w:w w:val="120"/>
        </w:rPr>
        <w:t> </w:t>
      </w:r>
      <w:r>
        <w:rPr>
          <w:color w:val="231F20"/>
          <w:w w:val="120"/>
        </w:rPr>
        <w:t>ni</w:t>
      </w:r>
      <w:r>
        <w:rPr>
          <w:color w:val="231F20"/>
          <w:spacing w:val="-11"/>
          <w:w w:val="120"/>
        </w:rPr>
        <w:t> </w:t>
      </w:r>
      <w:r>
        <w:rPr>
          <w:color w:val="231F20"/>
          <w:w w:val="120"/>
        </w:rPr>
        <w:t>la</w:t>
      </w:r>
      <w:r>
        <w:rPr>
          <w:color w:val="231F20"/>
          <w:spacing w:val="-11"/>
          <w:w w:val="120"/>
        </w:rPr>
        <w:t> </w:t>
      </w:r>
      <w:r>
        <w:rPr>
          <w:color w:val="231F20"/>
          <w:w w:val="120"/>
        </w:rPr>
        <w:t>GpI;</w:t>
      </w:r>
      <w:r>
        <w:rPr>
          <w:color w:val="231F20"/>
          <w:spacing w:val="-11"/>
          <w:w w:val="120"/>
        </w:rPr>
        <w:t> </w:t>
      </w:r>
      <w:r>
        <w:rPr>
          <w:color w:val="231F20"/>
          <w:w w:val="120"/>
        </w:rPr>
        <w:t>elle</w:t>
      </w:r>
      <w:r>
        <w:rPr>
          <w:color w:val="231F20"/>
          <w:spacing w:val="-11"/>
          <w:w w:val="120"/>
        </w:rPr>
        <w:t> </w:t>
      </w:r>
      <w:r>
        <w:rPr>
          <w:color w:val="231F20"/>
          <w:w w:val="120"/>
        </w:rPr>
        <w:t>leur</w:t>
      </w:r>
      <w:r>
        <w:rPr>
          <w:color w:val="231F20"/>
          <w:spacing w:val="-11"/>
          <w:w w:val="120"/>
        </w:rPr>
        <w:t> </w:t>
      </w:r>
      <w:r>
        <w:rPr>
          <w:color w:val="231F20"/>
          <w:w w:val="120"/>
        </w:rPr>
        <w:t>donne</w:t>
      </w:r>
      <w:r>
        <w:rPr>
          <w:color w:val="231F20"/>
          <w:spacing w:val="-11"/>
          <w:w w:val="120"/>
        </w:rPr>
        <w:t> </w:t>
      </w:r>
      <w:r>
        <w:rPr>
          <w:color w:val="231F20"/>
          <w:w w:val="120"/>
        </w:rPr>
        <w:t>plutôt</w:t>
      </w:r>
      <w:r>
        <w:rPr>
          <w:color w:val="231F20"/>
          <w:spacing w:val="-11"/>
          <w:w w:val="120"/>
        </w:rPr>
        <w:t> </w:t>
      </w:r>
      <w:r>
        <w:rPr>
          <w:color w:val="231F20"/>
          <w:w w:val="120"/>
        </w:rPr>
        <w:t>un</w:t>
      </w:r>
      <w:r>
        <w:rPr>
          <w:color w:val="231F20"/>
          <w:spacing w:val="-11"/>
          <w:w w:val="120"/>
        </w:rPr>
        <w:t> </w:t>
      </w:r>
      <w:r>
        <w:rPr>
          <w:color w:val="231F20"/>
          <w:w w:val="120"/>
        </w:rPr>
        <w:t>sens,</w:t>
      </w:r>
      <w:r>
        <w:rPr>
          <w:color w:val="231F20"/>
          <w:spacing w:val="-11"/>
          <w:w w:val="120"/>
        </w:rPr>
        <w:t> </w:t>
      </w:r>
      <w:r>
        <w:rPr>
          <w:color w:val="231F20"/>
          <w:w w:val="120"/>
        </w:rPr>
        <w:t>dans</w:t>
      </w:r>
      <w:r>
        <w:rPr>
          <w:color w:val="231F20"/>
          <w:spacing w:val="-11"/>
          <w:w w:val="120"/>
        </w:rPr>
        <w:t> </w:t>
      </w:r>
      <w:r>
        <w:rPr>
          <w:color w:val="231F20"/>
          <w:w w:val="120"/>
        </w:rPr>
        <w:t>la</w:t>
      </w:r>
      <w:r>
        <w:rPr>
          <w:color w:val="231F20"/>
          <w:spacing w:val="-11"/>
          <w:w w:val="120"/>
        </w:rPr>
        <w:t> </w:t>
      </w:r>
      <w:r>
        <w:rPr>
          <w:color w:val="231F20"/>
          <w:w w:val="120"/>
        </w:rPr>
        <w:t>mesure</w:t>
      </w:r>
      <w:r>
        <w:rPr>
          <w:color w:val="231F20"/>
          <w:spacing w:val="-11"/>
          <w:w w:val="120"/>
        </w:rPr>
        <w:t> </w:t>
      </w:r>
      <w:r>
        <w:rPr>
          <w:color w:val="231F20"/>
          <w:w w:val="120"/>
        </w:rPr>
        <w:t>où</w:t>
      </w:r>
      <w:r>
        <w:rPr>
          <w:color w:val="231F20"/>
          <w:spacing w:val="-11"/>
          <w:w w:val="120"/>
        </w:rPr>
        <w:t> </w:t>
      </w:r>
      <w:r>
        <w:rPr>
          <w:color w:val="231F20"/>
          <w:w w:val="120"/>
        </w:rPr>
        <w:t>elles ne</w:t>
      </w:r>
      <w:r>
        <w:rPr>
          <w:color w:val="231F20"/>
          <w:spacing w:val="-13"/>
          <w:w w:val="120"/>
        </w:rPr>
        <w:t> </w:t>
      </w:r>
      <w:r>
        <w:rPr>
          <w:color w:val="231F20"/>
          <w:w w:val="120"/>
        </w:rPr>
        <w:t>sont</w:t>
      </w:r>
      <w:r>
        <w:rPr>
          <w:color w:val="231F20"/>
          <w:spacing w:val="-13"/>
          <w:w w:val="120"/>
        </w:rPr>
        <w:t> </w:t>
      </w:r>
      <w:r>
        <w:rPr>
          <w:color w:val="231F20"/>
          <w:w w:val="120"/>
        </w:rPr>
        <w:t>pas</w:t>
      </w:r>
      <w:r>
        <w:rPr>
          <w:color w:val="231F20"/>
          <w:spacing w:val="-13"/>
          <w:w w:val="120"/>
        </w:rPr>
        <w:t> </w:t>
      </w:r>
      <w:r>
        <w:rPr>
          <w:color w:val="231F20"/>
          <w:w w:val="120"/>
        </w:rPr>
        <w:t>mises</w:t>
      </w:r>
      <w:r>
        <w:rPr>
          <w:color w:val="231F20"/>
          <w:spacing w:val="-12"/>
          <w:w w:val="120"/>
        </w:rPr>
        <w:t> </w:t>
      </w:r>
      <w:r>
        <w:rPr>
          <w:color w:val="231F20"/>
          <w:w w:val="120"/>
        </w:rPr>
        <w:t>de</w:t>
      </w:r>
      <w:r>
        <w:rPr>
          <w:color w:val="231F20"/>
          <w:spacing w:val="-13"/>
          <w:w w:val="120"/>
        </w:rPr>
        <w:t> </w:t>
      </w:r>
      <w:r>
        <w:rPr>
          <w:color w:val="231F20"/>
          <w:w w:val="120"/>
        </w:rPr>
        <w:t>l’avant</w:t>
      </w:r>
      <w:r>
        <w:rPr>
          <w:color w:val="231F20"/>
          <w:spacing w:val="-13"/>
          <w:w w:val="120"/>
        </w:rPr>
        <w:t> </w:t>
      </w:r>
      <w:r>
        <w:rPr>
          <w:color w:val="231F20"/>
          <w:w w:val="120"/>
        </w:rPr>
        <w:t>d’une</w:t>
      </w:r>
      <w:r>
        <w:rPr>
          <w:color w:val="231F20"/>
          <w:spacing w:val="-13"/>
          <w:w w:val="120"/>
        </w:rPr>
        <w:t> </w:t>
      </w:r>
      <w:r>
        <w:rPr>
          <w:color w:val="231F20"/>
          <w:w w:val="120"/>
        </w:rPr>
        <w:t>façon</w:t>
      </w:r>
      <w:r>
        <w:rPr>
          <w:color w:val="231F20"/>
          <w:spacing w:val="-12"/>
          <w:w w:val="120"/>
        </w:rPr>
        <w:t> </w:t>
      </w:r>
      <w:r>
        <w:rPr>
          <w:color w:val="231F20"/>
          <w:w w:val="120"/>
        </w:rPr>
        <w:t>hégémonique</w:t>
      </w:r>
      <w:r>
        <w:rPr>
          <w:color w:val="231F20"/>
          <w:spacing w:val="-13"/>
          <w:w w:val="120"/>
        </w:rPr>
        <w:t> </w:t>
      </w:r>
      <w:r>
        <w:rPr>
          <w:color w:val="231F20"/>
          <w:w w:val="120"/>
        </w:rPr>
        <w:t>et</w:t>
      </w:r>
      <w:r>
        <w:rPr>
          <w:color w:val="231F20"/>
          <w:spacing w:val="-13"/>
          <w:w w:val="120"/>
        </w:rPr>
        <w:t> </w:t>
      </w:r>
      <w:r>
        <w:rPr>
          <w:color w:val="231F20"/>
          <w:w w:val="120"/>
        </w:rPr>
        <w:t>disproportion- </w:t>
      </w:r>
      <w:r>
        <w:rPr>
          <w:color w:val="231F20"/>
          <w:spacing w:val="-2"/>
          <w:w w:val="120"/>
        </w:rPr>
        <w:t>née.</w:t>
      </w:r>
      <w:r>
        <w:rPr>
          <w:color w:val="231F20"/>
          <w:spacing w:val="-11"/>
          <w:w w:val="120"/>
        </w:rPr>
        <w:t> </w:t>
      </w:r>
      <w:r>
        <w:rPr>
          <w:color w:val="231F20"/>
          <w:spacing w:val="-2"/>
          <w:w w:val="120"/>
        </w:rPr>
        <w:t>Par</w:t>
      </w:r>
      <w:r>
        <w:rPr>
          <w:color w:val="231F20"/>
          <w:spacing w:val="-11"/>
          <w:w w:val="120"/>
        </w:rPr>
        <w:t> </w:t>
      </w:r>
      <w:r>
        <w:rPr>
          <w:color w:val="231F20"/>
          <w:spacing w:val="-2"/>
          <w:w w:val="120"/>
        </w:rPr>
        <w:t>exemple,</w:t>
      </w:r>
      <w:r>
        <w:rPr>
          <w:color w:val="231F20"/>
          <w:spacing w:val="-11"/>
          <w:w w:val="120"/>
        </w:rPr>
        <w:t> </w:t>
      </w:r>
      <w:r>
        <w:rPr>
          <w:color w:val="231F20"/>
          <w:spacing w:val="-2"/>
          <w:w w:val="120"/>
        </w:rPr>
        <w:t>si</w:t>
      </w:r>
      <w:r>
        <w:rPr>
          <w:color w:val="231F20"/>
          <w:spacing w:val="-10"/>
          <w:w w:val="120"/>
        </w:rPr>
        <w:t> </w:t>
      </w:r>
      <w:r>
        <w:rPr>
          <w:color w:val="231F20"/>
          <w:spacing w:val="-2"/>
          <w:w w:val="120"/>
        </w:rPr>
        <w:t>l’agilité</w:t>
      </w:r>
      <w:r>
        <w:rPr>
          <w:color w:val="231F20"/>
          <w:spacing w:val="-11"/>
          <w:w w:val="120"/>
        </w:rPr>
        <w:t> </w:t>
      </w:r>
      <w:r>
        <w:rPr>
          <w:color w:val="231F20"/>
          <w:spacing w:val="-2"/>
          <w:w w:val="120"/>
        </w:rPr>
        <w:t>était</w:t>
      </w:r>
      <w:r>
        <w:rPr>
          <w:color w:val="231F20"/>
          <w:spacing w:val="-11"/>
          <w:w w:val="120"/>
        </w:rPr>
        <w:t> </w:t>
      </w:r>
      <w:r>
        <w:rPr>
          <w:color w:val="231F20"/>
          <w:spacing w:val="-2"/>
          <w:w w:val="120"/>
        </w:rPr>
        <w:t>une</w:t>
      </w:r>
      <w:r>
        <w:rPr>
          <w:color w:val="231F20"/>
          <w:spacing w:val="-11"/>
          <w:w w:val="120"/>
        </w:rPr>
        <w:t> </w:t>
      </w:r>
      <w:r>
        <w:rPr>
          <w:color w:val="231F20"/>
          <w:spacing w:val="-2"/>
          <w:w w:val="120"/>
        </w:rPr>
        <w:t>valeur</w:t>
      </w:r>
      <w:r>
        <w:rPr>
          <w:color w:val="231F20"/>
          <w:spacing w:val="-10"/>
          <w:w w:val="120"/>
        </w:rPr>
        <w:t> </w:t>
      </w:r>
      <w:r>
        <w:rPr>
          <w:color w:val="231F20"/>
          <w:spacing w:val="-2"/>
          <w:w w:val="120"/>
        </w:rPr>
        <w:t>de</w:t>
      </w:r>
      <w:r>
        <w:rPr>
          <w:color w:val="231F20"/>
          <w:spacing w:val="-11"/>
          <w:w w:val="120"/>
        </w:rPr>
        <w:t> </w:t>
      </w:r>
      <w:r>
        <w:rPr>
          <w:color w:val="231F20"/>
          <w:spacing w:val="-2"/>
          <w:w w:val="120"/>
        </w:rPr>
        <w:t>l’entreprise,</w:t>
      </w:r>
      <w:r>
        <w:rPr>
          <w:color w:val="231F20"/>
          <w:spacing w:val="-11"/>
          <w:w w:val="120"/>
        </w:rPr>
        <w:t> </w:t>
      </w:r>
      <w:r>
        <w:rPr>
          <w:color w:val="231F20"/>
          <w:spacing w:val="-2"/>
          <w:w w:val="120"/>
        </w:rPr>
        <w:t>il</w:t>
      </w:r>
      <w:r>
        <w:rPr>
          <w:color w:val="231F20"/>
          <w:spacing w:val="-11"/>
          <w:w w:val="120"/>
        </w:rPr>
        <w:t> </w:t>
      </w:r>
      <w:r>
        <w:rPr>
          <w:color w:val="231F20"/>
          <w:spacing w:val="-2"/>
          <w:w w:val="120"/>
        </w:rPr>
        <w:t>semblerait cohérent</w:t>
      </w:r>
      <w:r>
        <w:rPr>
          <w:color w:val="231F20"/>
          <w:spacing w:val="-5"/>
          <w:w w:val="120"/>
        </w:rPr>
        <w:t> </w:t>
      </w:r>
      <w:r>
        <w:rPr>
          <w:color w:val="231F20"/>
          <w:spacing w:val="-2"/>
          <w:w w:val="120"/>
        </w:rPr>
        <w:t>de</w:t>
      </w:r>
      <w:r>
        <w:rPr>
          <w:color w:val="231F20"/>
          <w:spacing w:val="-5"/>
          <w:w w:val="120"/>
        </w:rPr>
        <w:t> </w:t>
      </w:r>
      <w:r>
        <w:rPr>
          <w:color w:val="231F20"/>
          <w:spacing w:val="-2"/>
          <w:w w:val="120"/>
        </w:rPr>
        <w:t>définir</w:t>
      </w:r>
      <w:r>
        <w:rPr>
          <w:color w:val="231F20"/>
          <w:spacing w:val="-5"/>
          <w:w w:val="120"/>
        </w:rPr>
        <w:t> </w:t>
      </w:r>
      <w:r>
        <w:rPr>
          <w:color w:val="231F20"/>
          <w:spacing w:val="-2"/>
          <w:w w:val="120"/>
        </w:rPr>
        <w:t>comme</w:t>
      </w:r>
      <w:r>
        <w:rPr>
          <w:color w:val="231F20"/>
          <w:spacing w:val="-5"/>
          <w:w w:val="120"/>
        </w:rPr>
        <w:t> </w:t>
      </w:r>
      <w:r>
        <w:rPr>
          <w:color w:val="231F20"/>
          <w:spacing w:val="-2"/>
          <w:w w:val="120"/>
        </w:rPr>
        <w:t>objectif</w:t>
      </w:r>
      <w:r>
        <w:rPr>
          <w:color w:val="231F20"/>
          <w:spacing w:val="-5"/>
          <w:w w:val="120"/>
        </w:rPr>
        <w:t> </w:t>
      </w:r>
      <w:r>
        <w:rPr>
          <w:color w:val="231F20"/>
          <w:spacing w:val="-2"/>
          <w:w w:val="120"/>
        </w:rPr>
        <w:t>annuel</w:t>
      </w:r>
      <w:r>
        <w:rPr>
          <w:color w:val="231F20"/>
          <w:spacing w:val="-5"/>
          <w:w w:val="120"/>
        </w:rPr>
        <w:t> </w:t>
      </w:r>
      <w:r>
        <w:rPr>
          <w:color w:val="231F20"/>
          <w:spacing w:val="-2"/>
          <w:w w:val="120"/>
        </w:rPr>
        <w:t>particulier</w:t>
      </w:r>
      <w:r>
        <w:rPr>
          <w:color w:val="231F20"/>
          <w:spacing w:val="-5"/>
          <w:w w:val="120"/>
        </w:rPr>
        <w:t> </w:t>
      </w:r>
      <w:r>
        <w:rPr>
          <w:color w:val="231F20"/>
          <w:spacing w:val="-2"/>
          <w:w w:val="120"/>
        </w:rPr>
        <w:t>de</w:t>
      </w:r>
      <w:r>
        <w:rPr>
          <w:color w:val="231F20"/>
          <w:spacing w:val="-5"/>
          <w:w w:val="120"/>
        </w:rPr>
        <w:t> </w:t>
      </w:r>
      <w:r>
        <w:rPr>
          <w:color w:val="231F20"/>
          <w:spacing w:val="-2"/>
          <w:w w:val="120"/>
        </w:rPr>
        <w:t>devenir</w:t>
      </w:r>
      <w:r>
        <w:rPr>
          <w:color w:val="231F20"/>
          <w:spacing w:val="-5"/>
          <w:w w:val="120"/>
        </w:rPr>
        <w:t> </w:t>
      </w:r>
      <w:r>
        <w:rPr>
          <w:color w:val="231F20"/>
          <w:spacing w:val="-2"/>
          <w:w w:val="120"/>
        </w:rPr>
        <w:t>de</w:t>
      </w:r>
      <w:r>
        <w:rPr>
          <w:color w:val="231F20"/>
          <w:spacing w:val="-5"/>
          <w:w w:val="120"/>
        </w:rPr>
        <w:t> </w:t>
      </w:r>
      <w:r>
        <w:rPr>
          <w:color w:val="231F20"/>
          <w:spacing w:val="-2"/>
          <w:w w:val="120"/>
        </w:rPr>
        <w:t>plus </w:t>
      </w:r>
      <w:r>
        <w:rPr>
          <w:color w:val="231F20"/>
          <w:w w:val="120"/>
        </w:rPr>
        <w:t>en plus agile. Cet objectif devrait être assorti de consignes détaillées </w:t>
      </w:r>
      <w:r>
        <w:rPr>
          <w:color w:val="231F20"/>
          <w:spacing w:val="-2"/>
          <w:w w:val="120"/>
        </w:rPr>
        <w:t>applicables</w:t>
      </w:r>
      <w:r>
        <w:rPr>
          <w:color w:val="231F20"/>
          <w:spacing w:val="-4"/>
          <w:w w:val="120"/>
        </w:rPr>
        <w:t> </w:t>
      </w:r>
      <w:r>
        <w:rPr>
          <w:color w:val="231F20"/>
          <w:spacing w:val="-2"/>
          <w:w w:val="120"/>
        </w:rPr>
        <w:t>aux contextes</w:t>
      </w:r>
      <w:r>
        <w:rPr>
          <w:color w:val="231F20"/>
          <w:spacing w:val="-4"/>
          <w:w w:val="120"/>
        </w:rPr>
        <w:t> </w:t>
      </w:r>
      <w:r>
        <w:rPr>
          <w:color w:val="231F20"/>
          <w:spacing w:val="-2"/>
          <w:w w:val="120"/>
        </w:rPr>
        <w:t>routiniers ou,</w:t>
      </w:r>
      <w:r>
        <w:rPr>
          <w:color w:val="231F20"/>
          <w:spacing w:val="-4"/>
          <w:w w:val="120"/>
        </w:rPr>
        <w:t> </w:t>
      </w:r>
      <w:r>
        <w:rPr>
          <w:color w:val="231F20"/>
          <w:spacing w:val="-2"/>
          <w:w w:val="120"/>
        </w:rPr>
        <w:t>au contraire, aux cas d’urgence. </w:t>
      </w:r>
      <w:r>
        <w:rPr>
          <w:color w:val="231F20"/>
          <w:w w:val="120"/>
        </w:rPr>
        <w:t>Le</w:t>
      </w:r>
      <w:r>
        <w:rPr>
          <w:color w:val="231F20"/>
          <w:spacing w:val="-4"/>
          <w:w w:val="120"/>
        </w:rPr>
        <w:t> </w:t>
      </w:r>
      <w:r>
        <w:rPr>
          <w:color w:val="231F20"/>
          <w:w w:val="120"/>
        </w:rPr>
        <w:t>problème,</w:t>
      </w:r>
      <w:r>
        <w:rPr>
          <w:color w:val="231F20"/>
          <w:spacing w:val="-4"/>
          <w:w w:val="120"/>
        </w:rPr>
        <w:t> </w:t>
      </w:r>
      <w:r>
        <w:rPr>
          <w:color w:val="231F20"/>
          <w:w w:val="120"/>
        </w:rPr>
        <w:t>c’est</w:t>
      </w:r>
      <w:r>
        <w:rPr>
          <w:color w:val="231F20"/>
          <w:spacing w:val="-4"/>
          <w:w w:val="120"/>
        </w:rPr>
        <w:t> </w:t>
      </w:r>
      <w:r>
        <w:rPr>
          <w:color w:val="231F20"/>
          <w:w w:val="120"/>
        </w:rPr>
        <w:t>que</w:t>
      </w:r>
      <w:r>
        <w:rPr>
          <w:color w:val="231F20"/>
          <w:spacing w:val="-4"/>
          <w:w w:val="120"/>
        </w:rPr>
        <w:t> </w:t>
      </w:r>
      <w:r>
        <w:rPr>
          <w:color w:val="231F20"/>
          <w:w w:val="120"/>
        </w:rPr>
        <w:t>beaucoup</w:t>
      </w:r>
      <w:r>
        <w:rPr>
          <w:color w:val="231F20"/>
          <w:spacing w:val="-4"/>
          <w:w w:val="120"/>
        </w:rPr>
        <w:t> </w:t>
      </w:r>
      <w:r>
        <w:rPr>
          <w:color w:val="231F20"/>
          <w:w w:val="120"/>
        </w:rPr>
        <w:t>de</w:t>
      </w:r>
      <w:r>
        <w:rPr>
          <w:color w:val="231F20"/>
          <w:spacing w:val="-4"/>
          <w:w w:val="120"/>
        </w:rPr>
        <w:t> </w:t>
      </w:r>
      <w:r>
        <w:rPr>
          <w:color w:val="231F20"/>
          <w:w w:val="120"/>
        </w:rPr>
        <w:t>chefs</w:t>
      </w:r>
      <w:r>
        <w:rPr>
          <w:color w:val="231F20"/>
          <w:spacing w:val="-4"/>
          <w:w w:val="120"/>
        </w:rPr>
        <w:t> </w:t>
      </w:r>
      <w:r>
        <w:rPr>
          <w:color w:val="231F20"/>
          <w:w w:val="120"/>
        </w:rPr>
        <w:t>d’entreprise</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dirigeants oublient qu’il est primordial d’aligner les pratiques et les politiques organisationnelles sur les valeurs de l’entreprise.</w:t>
      </w:r>
    </w:p>
    <w:p>
      <w:pPr>
        <w:spacing w:after="0" w:line="307" w:lineRule="auto"/>
        <w:jc w:val="both"/>
        <w:sectPr>
          <w:footerReference w:type="default" r:id="rId333"/>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29" w:right="493" w:firstLine="250"/>
        <w:jc w:val="both"/>
      </w:pPr>
      <w:r>
        <w:rPr>
          <w:color w:val="231F20"/>
          <w:w w:val="125"/>
        </w:rPr>
        <w:t>Il est essentiel que les valeurs se matérialisent par la définition </w:t>
      </w:r>
      <w:r>
        <w:rPr>
          <w:color w:val="231F20"/>
          <w:w w:val="120"/>
        </w:rPr>
        <w:t>d’objectifs</w:t>
      </w:r>
      <w:r>
        <w:rPr>
          <w:color w:val="231F20"/>
          <w:spacing w:val="-2"/>
          <w:w w:val="120"/>
        </w:rPr>
        <w:t> </w:t>
      </w:r>
      <w:r>
        <w:rPr>
          <w:color w:val="231F20"/>
          <w:w w:val="120"/>
        </w:rPr>
        <w:t>stratégiques.</w:t>
      </w:r>
      <w:r>
        <w:rPr>
          <w:color w:val="231F20"/>
          <w:spacing w:val="-2"/>
          <w:w w:val="120"/>
        </w:rPr>
        <w:t> </w:t>
      </w:r>
      <w:r>
        <w:rPr>
          <w:color w:val="231F20"/>
          <w:w w:val="120"/>
        </w:rPr>
        <w:t>Le</w:t>
      </w:r>
      <w:r>
        <w:rPr>
          <w:color w:val="231F20"/>
          <w:spacing w:val="-2"/>
          <w:w w:val="120"/>
        </w:rPr>
        <w:t> </w:t>
      </w:r>
      <w:r>
        <w:rPr>
          <w:color w:val="231F20"/>
          <w:w w:val="120"/>
        </w:rPr>
        <w:t>paradigme</w:t>
      </w:r>
      <w:r>
        <w:rPr>
          <w:color w:val="231F20"/>
          <w:spacing w:val="-2"/>
          <w:w w:val="120"/>
        </w:rPr>
        <w:t> </w:t>
      </w:r>
      <w:r>
        <w:rPr>
          <w:color w:val="231F20"/>
          <w:w w:val="120"/>
        </w:rPr>
        <w:t>technostructurel</w:t>
      </w:r>
      <w:r>
        <w:rPr>
          <w:color w:val="231F20"/>
          <w:spacing w:val="-2"/>
          <w:w w:val="120"/>
        </w:rPr>
        <w:t> </w:t>
      </w:r>
      <w:r>
        <w:rPr>
          <w:color w:val="231F20"/>
          <w:w w:val="120"/>
        </w:rPr>
        <w:t>qui</w:t>
      </w:r>
      <w:r>
        <w:rPr>
          <w:color w:val="231F20"/>
          <w:spacing w:val="-2"/>
          <w:w w:val="120"/>
        </w:rPr>
        <w:t> </w:t>
      </w:r>
      <w:r>
        <w:rPr>
          <w:color w:val="231F20"/>
          <w:w w:val="120"/>
        </w:rPr>
        <w:t>prédomine </w:t>
      </w:r>
      <w:r>
        <w:rPr>
          <w:color w:val="231F20"/>
          <w:w w:val="125"/>
        </w:rPr>
        <w:t>actuellement</w:t>
      </w:r>
      <w:r>
        <w:rPr>
          <w:color w:val="231F20"/>
          <w:spacing w:val="-5"/>
          <w:w w:val="125"/>
        </w:rPr>
        <w:t> </w:t>
      </w:r>
      <w:r>
        <w:rPr>
          <w:color w:val="231F20"/>
          <w:w w:val="125"/>
        </w:rPr>
        <w:t>est</w:t>
      </w:r>
      <w:r>
        <w:rPr>
          <w:color w:val="231F20"/>
          <w:spacing w:val="-5"/>
          <w:w w:val="125"/>
        </w:rPr>
        <w:t> </w:t>
      </w:r>
      <w:r>
        <w:rPr>
          <w:color w:val="231F20"/>
          <w:w w:val="125"/>
        </w:rPr>
        <w:t>trop</w:t>
      </w:r>
      <w:r>
        <w:rPr>
          <w:color w:val="231F20"/>
          <w:spacing w:val="-5"/>
          <w:w w:val="125"/>
        </w:rPr>
        <w:t> </w:t>
      </w:r>
      <w:r>
        <w:rPr>
          <w:color w:val="231F20"/>
          <w:w w:val="125"/>
        </w:rPr>
        <w:t>prosaïque</w:t>
      </w:r>
      <w:r>
        <w:rPr>
          <w:color w:val="231F20"/>
          <w:spacing w:val="-5"/>
          <w:w w:val="125"/>
        </w:rPr>
        <w:t> </w:t>
      </w:r>
      <w:r>
        <w:rPr>
          <w:color w:val="231F20"/>
          <w:w w:val="125"/>
        </w:rPr>
        <w:t>et</w:t>
      </w:r>
      <w:r>
        <w:rPr>
          <w:color w:val="231F20"/>
          <w:spacing w:val="-5"/>
          <w:w w:val="125"/>
        </w:rPr>
        <w:t> </w:t>
      </w:r>
      <w:r>
        <w:rPr>
          <w:color w:val="231F20"/>
          <w:w w:val="125"/>
        </w:rPr>
        <w:t>normatif</w:t>
      </w:r>
      <w:r>
        <w:rPr>
          <w:color w:val="231F20"/>
          <w:spacing w:val="-5"/>
          <w:w w:val="125"/>
        </w:rPr>
        <w:t> </w:t>
      </w:r>
      <w:r>
        <w:rPr>
          <w:color w:val="231F20"/>
          <w:w w:val="125"/>
        </w:rPr>
        <w:t>et</w:t>
      </w:r>
      <w:r>
        <w:rPr>
          <w:color w:val="231F20"/>
          <w:spacing w:val="-5"/>
          <w:w w:val="125"/>
        </w:rPr>
        <w:t> </w:t>
      </w:r>
      <w:r>
        <w:rPr>
          <w:color w:val="231F20"/>
          <w:w w:val="125"/>
        </w:rPr>
        <w:t>très</w:t>
      </w:r>
      <w:r>
        <w:rPr>
          <w:color w:val="231F20"/>
          <w:spacing w:val="-5"/>
          <w:w w:val="125"/>
        </w:rPr>
        <w:t> </w:t>
      </w:r>
      <w:r>
        <w:rPr>
          <w:color w:val="231F20"/>
          <w:w w:val="125"/>
        </w:rPr>
        <w:t>limité</w:t>
      </w:r>
      <w:r>
        <w:rPr>
          <w:color w:val="231F20"/>
          <w:spacing w:val="-5"/>
          <w:w w:val="125"/>
        </w:rPr>
        <w:t> </w:t>
      </w:r>
      <w:r>
        <w:rPr>
          <w:color w:val="231F20"/>
          <w:w w:val="125"/>
        </w:rPr>
        <w:t>pour</w:t>
      </w:r>
      <w:r>
        <w:rPr>
          <w:color w:val="231F20"/>
          <w:spacing w:val="-5"/>
          <w:w w:val="125"/>
        </w:rPr>
        <w:t> </w:t>
      </w:r>
      <w:r>
        <w:rPr>
          <w:color w:val="231F20"/>
          <w:w w:val="125"/>
        </w:rPr>
        <w:t>ce</w:t>
      </w:r>
      <w:r>
        <w:rPr>
          <w:color w:val="231F20"/>
          <w:spacing w:val="-5"/>
          <w:w w:val="125"/>
        </w:rPr>
        <w:t> </w:t>
      </w:r>
      <w:r>
        <w:rPr>
          <w:color w:val="231F20"/>
          <w:w w:val="125"/>
        </w:rPr>
        <w:t>qui </w:t>
      </w:r>
      <w:r>
        <w:rPr>
          <w:color w:val="231F20"/>
          <w:w w:val="120"/>
        </w:rPr>
        <w:t>est</w:t>
      </w:r>
      <w:r>
        <w:rPr>
          <w:color w:val="231F20"/>
          <w:spacing w:val="-4"/>
          <w:w w:val="120"/>
        </w:rPr>
        <w:t> </w:t>
      </w:r>
      <w:r>
        <w:rPr>
          <w:color w:val="231F20"/>
          <w:w w:val="120"/>
        </w:rPr>
        <w:t>de</w:t>
      </w:r>
      <w:r>
        <w:rPr>
          <w:color w:val="231F20"/>
          <w:spacing w:val="-4"/>
          <w:w w:val="120"/>
        </w:rPr>
        <w:t> </w:t>
      </w:r>
      <w:r>
        <w:rPr>
          <w:color w:val="231F20"/>
          <w:w w:val="120"/>
        </w:rPr>
        <w:t>donner</w:t>
      </w:r>
      <w:r>
        <w:rPr>
          <w:color w:val="231F20"/>
          <w:spacing w:val="-4"/>
          <w:w w:val="120"/>
        </w:rPr>
        <w:t> </w:t>
      </w:r>
      <w:r>
        <w:rPr>
          <w:color w:val="231F20"/>
          <w:w w:val="120"/>
        </w:rPr>
        <w:t>tout</w:t>
      </w:r>
      <w:r>
        <w:rPr>
          <w:color w:val="231F20"/>
          <w:spacing w:val="-4"/>
          <w:w w:val="120"/>
        </w:rPr>
        <w:t> </w:t>
      </w:r>
      <w:r>
        <w:rPr>
          <w:color w:val="231F20"/>
          <w:w w:val="120"/>
        </w:rPr>
        <w:t>leur</w:t>
      </w:r>
      <w:r>
        <w:rPr>
          <w:color w:val="231F20"/>
          <w:spacing w:val="-4"/>
          <w:w w:val="120"/>
        </w:rPr>
        <w:t> </w:t>
      </w:r>
      <w:r>
        <w:rPr>
          <w:color w:val="231F20"/>
          <w:w w:val="120"/>
        </w:rPr>
        <w:t>sens</w:t>
      </w:r>
      <w:r>
        <w:rPr>
          <w:color w:val="231F20"/>
          <w:spacing w:val="-4"/>
          <w:w w:val="120"/>
        </w:rPr>
        <w:t> </w:t>
      </w:r>
      <w:r>
        <w:rPr>
          <w:color w:val="231F20"/>
          <w:w w:val="120"/>
        </w:rPr>
        <w:t>aux</w:t>
      </w:r>
      <w:r>
        <w:rPr>
          <w:color w:val="231F20"/>
          <w:spacing w:val="-4"/>
          <w:w w:val="120"/>
        </w:rPr>
        <w:t> </w:t>
      </w:r>
      <w:r>
        <w:rPr>
          <w:color w:val="231F20"/>
          <w:w w:val="120"/>
        </w:rPr>
        <w:t>mesures</w:t>
      </w:r>
      <w:r>
        <w:rPr>
          <w:color w:val="231F20"/>
          <w:spacing w:val="-4"/>
          <w:w w:val="120"/>
        </w:rPr>
        <w:t> </w:t>
      </w:r>
      <w:r>
        <w:rPr>
          <w:color w:val="231F20"/>
          <w:w w:val="120"/>
        </w:rPr>
        <w:t>de</w:t>
      </w:r>
      <w:r>
        <w:rPr>
          <w:color w:val="231F20"/>
          <w:spacing w:val="-4"/>
          <w:w w:val="120"/>
        </w:rPr>
        <w:t> </w:t>
      </w:r>
      <w:r>
        <w:rPr>
          <w:color w:val="231F20"/>
          <w:w w:val="120"/>
        </w:rPr>
        <w:t>rendement</w:t>
      </w:r>
      <w:r>
        <w:rPr>
          <w:color w:val="231F20"/>
          <w:spacing w:val="-4"/>
          <w:w w:val="120"/>
        </w:rPr>
        <w:t> </w:t>
      </w:r>
      <w:r>
        <w:rPr>
          <w:color w:val="231F20"/>
          <w:w w:val="120"/>
        </w:rPr>
        <w:t>organisationnel qui sont aujourd’hui essentielles dans un environnement concurrentiel </w:t>
      </w:r>
      <w:r>
        <w:rPr>
          <w:color w:val="231F20"/>
          <w:w w:val="125"/>
        </w:rPr>
        <w:t>marqué</w:t>
      </w:r>
      <w:r>
        <w:rPr>
          <w:color w:val="231F20"/>
          <w:spacing w:val="-2"/>
          <w:w w:val="125"/>
        </w:rPr>
        <w:t> </w:t>
      </w:r>
      <w:r>
        <w:rPr>
          <w:color w:val="231F20"/>
          <w:w w:val="125"/>
        </w:rPr>
        <w:t>par</w:t>
      </w:r>
      <w:r>
        <w:rPr>
          <w:color w:val="231F20"/>
          <w:spacing w:val="-2"/>
          <w:w w:val="125"/>
        </w:rPr>
        <w:t> </w:t>
      </w:r>
      <w:r>
        <w:rPr>
          <w:color w:val="231F20"/>
          <w:w w:val="125"/>
        </w:rPr>
        <w:t>une</w:t>
      </w:r>
      <w:r>
        <w:rPr>
          <w:color w:val="231F20"/>
          <w:spacing w:val="-2"/>
          <w:w w:val="125"/>
        </w:rPr>
        <w:t> </w:t>
      </w:r>
      <w:r>
        <w:rPr>
          <w:color w:val="231F20"/>
          <w:w w:val="125"/>
        </w:rPr>
        <w:t>complexité</w:t>
      </w:r>
      <w:r>
        <w:rPr>
          <w:color w:val="231F20"/>
          <w:spacing w:val="-2"/>
          <w:w w:val="125"/>
        </w:rPr>
        <w:t> </w:t>
      </w:r>
      <w:r>
        <w:rPr>
          <w:color w:val="231F20"/>
          <w:w w:val="125"/>
        </w:rPr>
        <w:t>hautement</w:t>
      </w:r>
      <w:r>
        <w:rPr>
          <w:color w:val="231F20"/>
          <w:spacing w:val="-2"/>
          <w:w w:val="125"/>
        </w:rPr>
        <w:t> </w:t>
      </w:r>
      <w:r>
        <w:rPr>
          <w:color w:val="231F20"/>
          <w:w w:val="125"/>
        </w:rPr>
        <w:t>adaptative.</w:t>
      </w:r>
    </w:p>
    <w:p>
      <w:pPr>
        <w:pStyle w:val="BodyText"/>
        <w:spacing w:line="307" w:lineRule="auto" w:before="79"/>
        <w:ind w:left="829" w:right="498" w:firstLine="250"/>
        <w:jc w:val="both"/>
      </w:pPr>
      <w:r>
        <w:rPr>
          <w:color w:val="231F20"/>
          <w:spacing w:val="-2"/>
          <w:w w:val="120"/>
        </w:rPr>
        <w:t>Blanchard</w:t>
      </w:r>
      <w:r>
        <w:rPr>
          <w:color w:val="231F20"/>
          <w:spacing w:val="-6"/>
          <w:w w:val="120"/>
        </w:rPr>
        <w:t> </w:t>
      </w:r>
      <w:r>
        <w:rPr>
          <w:color w:val="231F20"/>
          <w:spacing w:val="-2"/>
          <w:w w:val="120"/>
        </w:rPr>
        <w:t>et</w:t>
      </w:r>
      <w:r>
        <w:rPr>
          <w:color w:val="231F20"/>
          <w:spacing w:val="-6"/>
          <w:w w:val="120"/>
        </w:rPr>
        <w:t> </w:t>
      </w:r>
      <w:r>
        <w:rPr>
          <w:color w:val="231F20"/>
          <w:spacing w:val="-2"/>
          <w:w w:val="120"/>
        </w:rPr>
        <w:t>O’Connor21</w:t>
      </w:r>
      <w:r>
        <w:rPr>
          <w:color w:val="231F20"/>
          <w:spacing w:val="-6"/>
          <w:w w:val="120"/>
        </w:rPr>
        <w:t> </w:t>
      </w:r>
      <w:r>
        <w:rPr>
          <w:color w:val="231F20"/>
          <w:spacing w:val="-2"/>
          <w:w w:val="120"/>
        </w:rPr>
        <w:t>mettent</w:t>
      </w:r>
      <w:r>
        <w:rPr>
          <w:color w:val="231F20"/>
          <w:spacing w:val="-6"/>
          <w:w w:val="120"/>
        </w:rPr>
        <w:t> </w:t>
      </w:r>
      <w:r>
        <w:rPr>
          <w:color w:val="231F20"/>
          <w:spacing w:val="-2"/>
          <w:w w:val="120"/>
        </w:rPr>
        <w:t>de</w:t>
      </w:r>
      <w:r>
        <w:rPr>
          <w:color w:val="231F20"/>
          <w:spacing w:val="-6"/>
          <w:w w:val="120"/>
        </w:rPr>
        <w:t> </w:t>
      </w:r>
      <w:r>
        <w:rPr>
          <w:color w:val="231F20"/>
          <w:spacing w:val="-2"/>
          <w:w w:val="120"/>
        </w:rPr>
        <w:t>l’avant</w:t>
      </w:r>
      <w:r>
        <w:rPr>
          <w:color w:val="231F20"/>
          <w:spacing w:val="-6"/>
          <w:w w:val="120"/>
        </w:rPr>
        <w:t> </w:t>
      </w:r>
      <w:r>
        <w:rPr>
          <w:color w:val="231F20"/>
          <w:spacing w:val="-2"/>
          <w:w w:val="120"/>
        </w:rPr>
        <w:t>une</w:t>
      </w:r>
      <w:r>
        <w:rPr>
          <w:color w:val="231F20"/>
          <w:spacing w:val="-6"/>
          <w:w w:val="120"/>
        </w:rPr>
        <w:t> </w:t>
      </w:r>
      <w:r>
        <w:rPr>
          <w:color w:val="231F20"/>
          <w:spacing w:val="-2"/>
          <w:w w:val="120"/>
        </w:rPr>
        <w:t>gestion</w:t>
      </w:r>
      <w:r>
        <w:rPr>
          <w:color w:val="231F20"/>
          <w:spacing w:val="-6"/>
          <w:w w:val="120"/>
        </w:rPr>
        <w:t> </w:t>
      </w:r>
      <w:r>
        <w:rPr>
          <w:color w:val="231F20"/>
          <w:spacing w:val="-2"/>
          <w:w w:val="120"/>
        </w:rPr>
        <w:t>axée</w:t>
      </w:r>
      <w:r>
        <w:rPr>
          <w:color w:val="231F20"/>
          <w:spacing w:val="-6"/>
          <w:w w:val="120"/>
        </w:rPr>
        <w:t> </w:t>
      </w:r>
      <w:r>
        <w:rPr>
          <w:color w:val="231F20"/>
          <w:spacing w:val="-2"/>
          <w:w w:val="120"/>
        </w:rPr>
        <w:t>sur</w:t>
      </w:r>
      <w:r>
        <w:rPr>
          <w:color w:val="231F20"/>
          <w:spacing w:val="-6"/>
          <w:w w:val="120"/>
        </w:rPr>
        <w:t> </w:t>
      </w:r>
      <w:r>
        <w:rPr>
          <w:color w:val="231F20"/>
          <w:spacing w:val="-2"/>
          <w:w w:val="120"/>
        </w:rPr>
        <w:t>les </w:t>
      </w:r>
      <w:r>
        <w:rPr>
          <w:color w:val="231F20"/>
          <w:w w:val="120"/>
        </w:rPr>
        <w:t>valeurs</w:t>
      </w:r>
      <w:r>
        <w:rPr>
          <w:color w:val="231F20"/>
          <w:spacing w:val="-11"/>
          <w:w w:val="120"/>
        </w:rPr>
        <w:t> </w:t>
      </w:r>
      <w:r>
        <w:rPr>
          <w:color w:val="231F20"/>
          <w:w w:val="120"/>
        </w:rPr>
        <w:t>en</w:t>
      </w:r>
      <w:r>
        <w:rPr>
          <w:color w:val="231F20"/>
          <w:spacing w:val="-11"/>
          <w:w w:val="120"/>
        </w:rPr>
        <w:t> </w:t>
      </w:r>
      <w:r>
        <w:rPr>
          <w:color w:val="231F20"/>
          <w:w w:val="120"/>
        </w:rPr>
        <w:t>tant</w:t>
      </w:r>
      <w:r>
        <w:rPr>
          <w:color w:val="231F20"/>
          <w:spacing w:val="-11"/>
          <w:w w:val="120"/>
        </w:rPr>
        <w:t> </w:t>
      </w:r>
      <w:r>
        <w:rPr>
          <w:color w:val="231F20"/>
          <w:w w:val="120"/>
        </w:rPr>
        <w:t>que</w:t>
      </w:r>
      <w:r>
        <w:rPr>
          <w:color w:val="231F20"/>
          <w:spacing w:val="-11"/>
          <w:w w:val="120"/>
        </w:rPr>
        <w:t> </w:t>
      </w:r>
      <w:r>
        <w:rPr>
          <w:color w:val="231F20"/>
          <w:w w:val="120"/>
        </w:rPr>
        <w:t>processus</w:t>
      </w:r>
      <w:r>
        <w:rPr>
          <w:color w:val="231F20"/>
          <w:spacing w:val="-11"/>
          <w:w w:val="120"/>
        </w:rPr>
        <w:t> </w:t>
      </w:r>
      <w:r>
        <w:rPr>
          <w:color w:val="231F20"/>
          <w:w w:val="120"/>
        </w:rPr>
        <w:t>en</w:t>
      </w:r>
      <w:r>
        <w:rPr>
          <w:color w:val="231F20"/>
          <w:spacing w:val="-11"/>
          <w:w w:val="120"/>
        </w:rPr>
        <w:t> </w:t>
      </w:r>
      <w:r>
        <w:rPr>
          <w:color w:val="231F20"/>
          <w:w w:val="120"/>
        </w:rPr>
        <w:t>trois</w:t>
      </w:r>
      <w:r>
        <w:rPr>
          <w:color w:val="231F20"/>
          <w:spacing w:val="-11"/>
          <w:w w:val="120"/>
        </w:rPr>
        <w:t> </w:t>
      </w:r>
      <w:r>
        <w:rPr>
          <w:color w:val="231F20"/>
          <w:w w:val="120"/>
        </w:rPr>
        <w:t>phases:</w:t>
      </w:r>
      <w:r>
        <w:rPr>
          <w:color w:val="231F20"/>
          <w:spacing w:val="-11"/>
          <w:w w:val="120"/>
        </w:rPr>
        <w:t> </w:t>
      </w:r>
      <w:r>
        <w:rPr>
          <w:color w:val="231F20"/>
          <w:w w:val="120"/>
        </w:rPr>
        <w:t>1)</w:t>
      </w:r>
      <w:r>
        <w:rPr>
          <w:color w:val="231F20"/>
          <w:spacing w:val="-11"/>
          <w:w w:val="120"/>
        </w:rPr>
        <w:t> </w:t>
      </w:r>
      <w:r>
        <w:rPr>
          <w:color w:val="231F20"/>
          <w:w w:val="120"/>
        </w:rPr>
        <w:t>préciser</w:t>
      </w:r>
      <w:r>
        <w:rPr>
          <w:color w:val="231F20"/>
          <w:spacing w:val="-11"/>
          <w:w w:val="120"/>
        </w:rPr>
        <w:t> </w:t>
      </w:r>
      <w:r>
        <w:rPr>
          <w:color w:val="231F20"/>
          <w:w w:val="120"/>
        </w:rPr>
        <w:t>les</w:t>
      </w:r>
      <w:r>
        <w:rPr>
          <w:color w:val="231F20"/>
          <w:spacing w:val="-11"/>
          <w:w w:val="120"/>
        </w:rPr>
        <w:t> </w:t>
      </w:r>
      <w:r>
        <w:rPr>
          <w:color w:val="231F20"/>
          <w:w w:val="120"/>
        </w:rPr>
        <w:t>objectifs</w:t>
      </w:r>
      <w:r>
        <w:rPr>
          <w:color w:val="231F20"/>
          <w:spacing w:val="-11"/>
          <w:w w:val="120"/>
        </w:rPr>
        <w:t> </w:t>
      </w:r>
      <w:r>
        <w:rPr>
          <w:color w:val="231F20"/>
          <w:w w:val="120"/>
        </w:rPr>
        <w:t>et les</w:t>
      </w:r>
      <w:r>
        <w:rPr>
          <w:color w:val="231F20"/>
          <w:spacing w:val="-13"/>
          <w:w w:val="120"/>
        </w:rPr>
        <w:t> </w:t>
      </w:r>
      <w:r>
        <w:rPr>
          <w:color w:val="231F20"/>
          <w:w w:val="120"/>
        </w:rPr>
        <w:t>valeurs</w:t>
      </w:r>
      <w:r>
        <w:rPr>
          <w:color w:val="231F20"/>
          <w:spacing w:val="-12"/>
          <w:w w:val="120"/>
        </w:rPr>
        <w:t> </w:t>
      </w:r>
      <w:r>
        <w:rPr>
          <w:color w:val="231F20"/>
          <w:w w:val="120"/>
        </w:rPr>
        <w:t>de</w:t>
      </w:r>
      <w:r>
        <w:rPr>
          <w:color w:val="231F20"/>
          <w:spacing w:val="-12"/>
          <w:w w:val="120"/>
        </w:rPr>
        <w:t> </w:t>
      </w:r>
      <w:r>
        <w:rPr>
          <w:color w:val="231F20"/>
          <w:w w:val="120"/>
        </w:rPr>
        <w:t>l’entreprise;</w:t>
      </w:r>
      <w:r>
        <w:rPr>
          <w:color w:val="231F20"/>
          <w:spacing w:val="-12"/>
          <w:w w:val="120"/>
        </w:rPr>
        <w:t> </w:t>
      </w:r>
      <w:r>
        <w:rPr>
          <w:color w:val="231F20"/>
          <w:w w:val="120"/>
        </w:rPr>
        <w:t>2)</w:t>
      </w:r>
      <w:r>
        <w:rPr>
          <w:color w:val="231F20"/>
          <w:spacing w:val="-13"/>
          <w:w w:val="120"/>
        </w:rPr>
        <w:t> </w:t>
      </w:r>
      <w:r>
        <w:rPr>
          <w:color w:val="231F20"/>
          <w:w w:val="120"/>
        </w:rPr>
        <w:t>communiquer</w:t>
      </w:r>
      <w:r>
        <w:rPr>
          <w:color w:val="231F20"/>
          <w:spacing w:val="-12"/>
          <w:w w:val="120"/>
        </w:rPr>
        <w:t> </w:t>
      </w:r>
      <w:r>
        <w:rPr>
          <w:color w:val="231F20"/>
          <w:w w:val="120"/>
        </w:rPr>
        <w:t>ces</w:t>
      </w:r>
      <w:r>
        <w:rPr>
          <w:color w:val="231F20"/>
          <w:spacing w:val="-12"/>
          <w:w w:val="120"/>
        </w:rPr>
        <w:t> </w:t>
      </w:r>
      <w:r>
        <w:rPr>
          <w:color w:val="231F20"/>
          <w:w w:val="120"/>
        </w:rPr>
        <w:t>objectifs</w:t>
      </w:r>
      <w:r>
        <w:rPr>
          <w:color w:val="231F20"/>
          <w:spacing w:val="-12"/>
          <w:w w:val="120"/>
        </w:rPr>
        <w:t> </w:t>
      </w:r>
      <w:r>
        <w:rPr>
          <w:color w:val="231F20"/>
          <w:w w:val="120"/>
        </w:rPr>
        <w:t>et</w:t>
      </w:r>
      <w:r>
        <w:rPr>
          <w:color w:val="231F20"/>
          <w:spacing w:val="-12"/>
          <w:w w:val="120"/>
        </w:rPr>
        <w:t> </w:t>
      </w:r>
      <w:r>
        <w:rPr>
          <w:color w:val="231F20"/>
          <w:w w:val="120"/>
        </w:rPr>
        <w:t>ces</w:t>
      </w:r>
      <w:r>
        <w:rPr>
          <w:color w:val="231F20"/>
          <w:spacing w:val="-13"/>
          <w:w w:val="120"/>
        </w:rPr>
        <w:t> </w:t>
      </w:r>
      <w:r>
        <w:rPr>
          <w:color w:val="231F20"/>
          <w:spacing w:val="-2"/>
          <w:w w:val="120"/>
        </w:rPr>
        <w:t>valeurs;</w:t>
      </w:r>
    </w:p>
    <w:p>
      <w:pPr>
        <w:pStyle w:val="ListParagraph"/>
        <w:numPr>
          <w:ilvl w:val="0"/>
          <w:numId w:val="95"/>
        </w:numPr>
        <w:tabs>
          <w:tab w:pos="1024" w:val="left" w:leader="none"/>
        </w:tabs>
        <w:spacing w:line="307" w:lineRule="auto" w:before="0" w:after="0"/>
        <w:ind w:left="829" w:right="496" w:firstLine="0"/>
        <w:jc w:val="both"/>
        <w:rPr>
          <w:sz w:val="17"/>
        </w:rPr>
      </w:pPr>
      <w:r>
        <w:rPr>
          <w:color w:val="231F20"/>
          <w:w w:val="120"/>
          <w:sz w:val="17"/>
        </w:rPr>
        <w:t>les</w:t>
      </w:r>
      <w:r>
        <w:rPr>
          <w:color w:val="231F20"/>
          <w:spacing w:val="-13"/>
          <w:w w:val="120"/>
          <w:sz w:val="17"/>
        </w:rPr>
        <w:t> </w:t>
      </w:r>
      <w:r>
        <w:rPr>
          <w:color w:val="231F20"/>
          <w:w w:val="120"/>
          <w:sz w:val="17"/>
        </w:rPr>
        <w:t>harmoniser</w:t>
      </w:r>
      <w:r>
        <w:rPr>
          <w:color w:val="231F20"/>
          <w:spacing w:val="-13"/>
          <w:w w:val="120"/>
          <w:sz w:val="17"/>
        </w:rPr>
        <w:t> </w:t>
      </w:r>
      <w:r>
        <w:rPr>
          <w:color w:val="231F20"/>
          <w:w w:val="120"/>
          <w:sz w:val="17"/>
        </w:rPr>
        <w:t>avec</w:t>
      </w:r>
      <w:r>
        <w:rPr>
          <w:color w:val="231F20"/>
          <w:spacing w:val="-13"/>
          <w:w w:val="120"/>
          <w:sz w:val="17"/>
        </w:rPr>
        <w:t> </w:t>
      </w:r>
      <w:r>
        <w:rPr>
          <w:color w:val="231F20"/>
          <w:w w:val="120"/>
          <w:sz w:val="17"/>
        </w:rPr>
        <w:t>les</w:t>
      </w:r>
      <w:r>
        <w:rPr>
          <w:color w:val="231F20"/>
          <w:spacing w:val="-12"/>
          <w:w w:val="120"/>
          <w:sz w:val="17"/>
        </w:rPr>
        <w:t> </w:t>
      </w:r>
      <w:r>
        <w:rPr>
          <w:color w:val="231F20"/>
          <w:w w:val="120"/>
          <w:sz w:val="17"/>
        </w:rPr>
        <w:t>pratiques.</w:t>
      </w:r>
      <w:r>
        <w:rPr>
          <w:color w:val="231F20"/>
          <w:spacing w:val="-13"/>
          <w:w w:val="120"/>
          <w:sz w:val="17"/>
        </w:rPr>
        <w:t> </w:t>
      </w:r>
      <w:r>
        <w:rPr>
          <w:color w:val="231F20"/>
          <w:w w:val="120"/>
          <w:sz w:val="17"/>
        </w:rPr>
        <w:t>García</w:t>
      </w:r>
      <w:r>
        <w:rPr>
          <w:color w:val="231F20"/>
          <w:spacing w:val="-13"/>
          <w:w w:val="120"/>
          <w:sz w:val="17"/>
        </w:rPr>
        <w:t> </w:t>
      </w:r>
      <w:r>
        <w:rPr>
          <w:color w:val="231F20"/>
          <w:w w:val="120"/>
          <w:sz w:val="17"/>
        </w:rPr>
        <w:t>et</w:t>
      </w:r>
      <w:r>
        <w:rPr>
          <w:color w:val="231F20"/>
          <w:spacing w:val="-13"/>
          <w:w w:val="120"/>
          <w:sz w:val="17"/>
        </w:rPr>
        <w:t> </w:t>
      </w:r>
      <w:r>
        <w:rPr>
          <w:color w:val="231F20"/>
          <w:w w:val="120"/>
          <w:sz w:val="17"/>
        </w:rPr>
        <w:t>Dolan</w:t>
      </w:r>
      <w:r>
        <w:rPr>
          <w:color w:val="231F20"/>
          <w:spacing w:val="-12"/>
          <w:w w:val="120"/>
          <w:sz w:val="17"/>
        </w:rPr>
        <w:t> </w:t>
      </w:r>
      <w:r>
        <w:rPr>
          <w:color w:val="231F20"/>
          <w:w w:val="120"/>
          <w:sz w:val="17"/>
        </w:rPr>
        <w:t>proposent</w:t>
      </w:r>
      <w:r>
        <w:rPr>
          <w:color w:val="231F20"/>
          <w:spacing w:val="-13"/>
          <w:w w:val="120"/>
          <w:sz w:val="17"/>
        </w:rPr>
        <w:t> </w:t>
      </w:r>
      <w:r>
        <w:rPr>
          <w:color w:val="231F20"/>
          <w:w w:val="120"/>
          <w:sz w:val="17"/>
        </w:rPr>
        <w:t>aussi</w:t>
      </w:r>
      <w:r>
        <w:rPr>
          <w:color w:val="231F20"/>
          <w:spacing w:val="-13"/>
          <w:w w:val="120"/>
          <w:sz w:val="17"/>
        </w:rPr>
        <w:t> </w:t>
      </w:r>
      <w:r>
        <w:rPr>
          <w:color w:val="231F20"/>
          <w:w w:val="120"/>
          <w:sz w:val="17"/>
        </w:rPr>
        <w:t>un processus participatif similaire en quatre phases afin d’implanter une gestion par valeurs dans l’organisation:</w:t>
      </w:r>
    </w:p>
    <w:p>
      <w:pPr>
        <w:pStyle w:val="ListParagraph"/>
        <w:numPr>
          <w:ilvl w:val="1"/>
          <w:numId w:val="95"/>
        </w:numPr>
        <w:tabs>
          <w:tab w:pos="1331" w:val="left" w:leader="none"/>
        </w:tabs>
        <w:spacing w:line="240" w:lineRule="auto" w:before="78" w:after="0"/>
        <w:ind w:left="1330" w:right="0" w:hanging="251"/>
        <w:jc w:val="both"/>
        <w:rPr>
          <w:sz w:val="17"/>
        </w:rPr>
      </w:pPr>
      <w:r>
        <w:rPr>
          <w:color w:val="231F20"/>
          <w:w w:val="115"/>
          <w:sz w:val="17"/>
        </w:rPr>
        <w:t>La</w:t>
      </w:r>
      <w:r>
        <w:rPr>
          <w:color w:val="231F20"/>
          <w:spacing w:val="-12"/>
          <w:w w:val="115"/>
          <w:sz w:val="17"/>
        </w:rPr>
        <w:t> </w:t>
      </w:r>
      <w:r>
        <w:rPr>
          <w:color w:val="231F20"/>
          <w:w w:val="115"/>
          <w:sz w:val="17"/>
        </w:rPr>
        <w:t>légitimation</w:t>
      </w:r>
      <w:r>
        <w:rPr>
          <w:color w:val="231F20"/>
          <w:spacing w:val="-12"/>
          <w:w w:val="115"/>
          <w:sz w:val="17"/>
        </w:rPr>
        <w:t> </w:t>
      </w:r>
      <w:r>
        <w:rPr>
          <w:color w:val="231F20"/>
          <w:w w:val="115"/>
          <w:sz w:val="17"/>
        </w:rPr>
        <w:t>du</w:t>
      </w:r>
      <w:r>
        <w:rPr>
          <w:color w:val="231F20"/>
          <w:spacing w:val="-11"/>
          <w:w w:val="115"/>
          <w:sz w:val="17"/>
        </w:rPr>
        <w:t> </w:t>
      </w:r>
      <w:r>
        <w:rPr>
          <w:color w:val="231F20"/>
          <w:w w:val="115"/>
          <w:sz w:val="17"/>
        </w:rPr>
        <w:t>processus</w:t>
      </w:r>
      <w:r>
        <w:rPr>
          <w:color w:val="231F20"/>
          <w:spacing w:val="-12"/>
          <w:w w:val="115"/>
          <w:sz w:val="17"/>
        </w:rPr>
        <w:t> </w:t>
      </w:r>
      <w:r>
        <w:rPr>
          <w:color w:val="231F20"/>
          <w:w w:val="115"/>
          <w:sz w:val="17"/>
        </w:rPr>
        <w:t>par</w:t>
      </w:r>
      <w:r>
        <w:rPr>
          <w:color w:val="231F20"/>
          <w:spacing w:val="-11"/>
          <w:w w:val="115"/>
          <w:sz w:val="17"/>
        </w:rPr>
        <w:t> </w:t>
      </w:r>
      <w:r>
        <w:rPr>
          <w:color w:val="231F20"/>
          <w:w w:val="115"/>
          <w:sz w:val="17"/>
        </w:rPr>
        <w:t>l’équipe</w:t>
      </w:r>
      <w:r>
        <w:rPr>
          <w:color w:val="231F20"/>
          <w:spacing w:val="-12"/>
          <w:w w:val="115"/>
          <w:sz w:val="17"/>
        </w:rPr>
        <w:t> </w:t>
      </w:r>
      <w:r>
        <w:rPr>
          <w:color w:val="231F20"/>
          <w:w w:val="115"/>
          <w:sz w:val="17"/>
        </w:rPr>
        <w:t>de</w:t>
      </w:r>
      <w:r>
        <w:rPr>
          <w:color w:val="231F20"/>
          <w:spacing w:val="-12"/>
          <w:w w:val="115"/>
          <w:sz w:val="17"/>
        </w:rPr>
        <w:t> </w:t>
      </w:r>
      <w:r>
        <w:rPr>
          <w:color w:val="231F20"/>
          <w:w w:val="115"/>
          <w:sz w:val="17"/>
        </w:rPr>
        <w:t>gestion</w:t>
      </w:r>
      <w:r>
        <w:rPr>
          <w:color w:val="231F20"/>
          <w:spacing w:val="-11"/>
          <w:w w:val="115"/>
          <w:sz w:val="17"/>
        </w:rPr>
        <w:t> </w:t>
      </w:r>
      <w:r>
        <w:rPr>
          <w:color w:val="231F20"/>
          <w:w w:val="115"/>
          <w:sz w:val="17"/>
        </w:rPr>
        <w:t>de</w:t>
      </w:r>
      <w:r>
        <w:rPr>
          <w:color w:val="231F20"/>
          <w:spacing w:val="-12"/>
          <w:w w:val="115"/>
          <w:sz w:val="17"/>
        </w:rPr>
        <w:t> </w:t>
      </w:r>
      <w:r>
        <w:rPr>
          <w:color w:val="231F20"/>
          <w:spacing w:val="-2"/>
          <w:w w:val="115"/>
          <w:sz w:val="17"/>
        </w:rPr>
        <w:t>l’entreprise;</w:t>
      </w:r>
    </w:p>
    <w:p>
      <w:pPr>
        <w:pStyle w:val="ListParagraph"/>
        <w:numPr>
          <w:ilvl w:val="1"/>
          <w:numId w:val="95"/>
        </w:numPr>
        <w:tabs>
          <w:tab w:pos="1331" w:val="left" w:leader="none"/>
        </w:tabs>
        <w:spacing w:line="240" w:lineRule="auto" w:before="134" w:after="0"/>
        <w:ind w:left="1330" w:right="0" w:hanging="251"/>
        <w:jc w:val="both"/>
        <w:rPr>
          <w:sz w:val="17"/>
        </w:rPr>
      </w:pPr>
      <w:r>
        <w:rPr>
          <w:color w:val="231F20"/>
          <w:w w:val="115"/>
          <w:sz w:val="17"/>
        </w:rPr>
        <w:t>La</w:t>
      </w:r>
      <w:r>
        <w:rPr>
          <w:color w:val="231F20"/>
          <w:spacing w:val="11"/>
          <w:w w:val="115"/>
          <w:sz w:val="17"/>
        </w:rPr>
        <w:t> </w:t>
      </w:r>
      <w:r>
        <w:rPr>
          <w:color w:val="231F20"/>
          <w:w w:val="115"/>
          <w:sz w:val="17"/>
        </w:rPr>
        <w:t>formulation</w:t>
      </w:r>
      <w:r>
        <w:rPr>
          <w:color w:val="231F20"/>
          <w:spacing w:val="11"/>
          <w:w w:val="115"/>
          <w:sz w:val="17"/>
        </w:rPr>
        <w:t> </w:t>
      </w:r>
      <w:r>
        <w:rPr>
          <w:color w:val="231F20"/>
          <w:w w:val="115"/>
          <w:sz w:val="17"/>
        </w:rPr>
        <w:t>participative</w:t>
      </w:r>
      <w:r>
        <w:rPr>
          <w:color w:val="231F20"/>
          <w:spacing w:val="11"/>
          <w:w w:val="115"/>
          <w:sz w:val="17"/>
        </w:rPr>
        <w:t> </w:t>
      </w:r>
      <w:r>
        <w:rPr>
          <w:color w:val="231F20"/>
          <w:w w:val="115"/>
          <w:sz w:val="17"/>
        </w:rPr>
        <w:t>des</w:t>
      </w:r>
      <w:r>
        <w:rPr>
          <w:color w:val="231F20"/>
          <w:spacing w:val="11"/>
          <w:w w:val="115"/>
          <w:sz w:val="17"/>
        </w:rPr>
        <w:t> </w:t>
      </w:r>
      <w:r>
        <w:rPr>
          <w:color w:val="231F20"/>
          <w:w w:val="115"/>
          <w:sz w:val="17"/>
        </w:rPr>
        <w:t>valeurs</w:t>
      </w:r>
      <w:r>
        <w:rPr>
          <w:color w:val="231F20"/>
          <w:spacing w:val="12"/>
          <w:w w:val="115"/>
          <w:sz w:val="17"/>
        </w:rPr>
        <w:t> </w:t>
      </w:r>
      <w:r>
        <w:rPr>
          <w:color w:val="231F20"/>
          <w:spacing w:val="-2"/>
          <w:w w:val="115"/>
          <w:sz w:val="17"/>
        </w:rPr>
        <w:t>organisationnelles;</w:t>
      </w:r>
    </w:p>
    <w:p>
      <w:pPr>
        <w:pStyle w:val="ListParagraph"/>
        <w:numPr>
          <w:ilvl w:val="1"/>
          <w:numId w:val="95"/>
        </w:numPr>
        <w:tabs>
          <w:tab w:pos="1331" w:val="left" w:leader="none"/>
        </w:tabs>
        <w:spacing w:line="307" w:lineRule="auto" w:before="134" w:after="0"/>
        <w:ind w:left="1330" w:right="498" w:hanging="251"/>
        <w:jc w:val="both"/>
        <w:rPr>
          <w:sz w:val="17"/>
        </w:rPr>
      </w:pPr>
      <w:r>
        <w:rPr>
          <w:color w:val="231F20"/>
          <w:w w:val="120"/>
          <w:sz w:val="17"/>
        </w:rPr>
        <w:t>La</w:t>
      </w:r>
      <w:r>
        <w:rPr>
          <w:color w:val="231F20"/>
          <w:spacing w:val="-12"/>
          <w:w w:val="120"/>
          <w:sz w:val="17"/>
        </w:rPr>
        <w:t> </w:t>
      </w:r>
      <w:r>
        <w:rPr>
          <w:color w:val="231F20"/>
          <w:w w:val="120"/>
          <w:sz w:val="17"/>
        </w:rPr>
        <w:t>mise</w:t>
      </w:r>
      <w:r>
        <w:rPr>
          <w:color w:val="231F20"/>
          <w:spacing w:val="-12"/>
          <w:w w:val="120"/>
          <w:sz w:val="17"/>
        </w:rPr>
        <w:t> </w:t>
      </w:r>
      <w:r>
        <w:rPr>
          <w:color w:val="231F20"/>
          <w:w w:val="120"/>
          <w:sz w:val="17"/>
        </w:rPr>
        <w:t>en</w:t>
      </w:r>
      <w:r>
        <w:rPr>
          <w:color w:val="231F20"/>
          <w:spacing w:val="-12"/>
          <w:w w:val="120"/>
          <w:sz w:val="17"/>
        </w:rPr>
        <w:t> </w:t>
      </w:r>
      <w:r>
        <w:rPr>
          <w:color w:val="231F20"/>
          <w:w w:val="120"/>
          <w:sz w:val="17"/>
        </w:rPr>
        <w:t>action</w:t>
      </w:r>
      <w:r>
        <w:rPr>
          <w:color w:val="231F20"/>
          <w:spacing w:val="-12"/>
          <w:w w:val="120"/>
          <w:sz w:val="17"/>
        </w:rPr>
        <w:t> </w:t>
      </w:r>
      <w:r>
        <w:rPr>
          <w:color w:val="231F20"/>
          <w:w w:val="120"/>
          <w:sz w:val="17"/>
        </w:rPr>
        <w:t>des</w:t>
      </w:r>
      <w:r>
        <w:rPr>
          <w:color w:val="231F20"/>
          <w:spacing w:val="-12"/>
          <w:w w:val="120"/>
          <w:sz w:val="17"/>
        </w:rPr>
        <w:t> </w:t>
      </w:r>
      <w:r>
        <w:rPr>
          <w:color w:val="231F20"/>
          <w:w w:val="120"/>
          <w:sz w:val="17"/>
        </w:rPr>
        <w:t>valeurs</w:t>
      </w:r>
      <w:r>
        <w:rPr>
          <w:color w:val="231F20"/>
          <w:spacing w:val="-12"/>
          <w:w w:val="120"/>
          <w:sz w:val="17"/>
        </w:rPr>
        <w:t> </w:t>
      </w:r>
      <w:r>
        <w:rPr>
          <w:color w:val="231F20"/>
          <w:w w:val="120"/>
          <w:sz w:val="17"/>
        </w:rPr>
        <w:t>par</w:t>
      </w:r>
      <w:r>
        <w:rPr>
          <w:color w:val="231F20"/>
          <w:spacing w:val="-12"/>
          <w:w w:val="120"/>
          <w:sz w:val="17"/>
        </w:rPr>
        <w:t> </w:t>
      </w:r>
      <w:r>
        <w:rPr>
          <w:color w:val="231F20"/>
          <w:w w:val="120"/>
          <w:sz w:val="17"/>
        </w:rPr>
        <w:t>des</w:t>
      </w:r>
      <w:r>
        <w:rPr>
          <w:color w:val="231F20"/>
          <w:spacing w:val="-12"/>
          <w:w w:val="120"/>
          <w:sz w:val="17"/>
        </w:rPr>
        <w:t> </w:t>
      </w:r>
      <w:r>
        <w:rPr>
          <w:color w:val="231F20"/>
          <w:w w:val="120"/>
          <w:sz w:val="17"/>
        </w:rPr>
        <w:t>équipes</w:t>
      </w:r>
      <w:r>
        <w:rPr>
          <w:color w:val="231F20"/>
          <w:spacing w:val="-12"/>
          <w:w w:val="120"/>
          <w:sz w:val="17"/>
        </w:rPr>
        <w:t> </w:t>
      </w:r>
      <w:r>
        <w:rPr>
          <w:color w:val="231F20"/>
          <w:w w:val="120"/>
          <w:sz w:val="17"/>
        </w:rPr>
        <w:t>de</w:t>
      </w:r>
      <w:r>
        <w:rPr>
          <w:color w:val="231F20"/>
          <w:spacing w:val="-12"/>
          <w:w w:val="120"/>
          <w:sz w:val="17"/>
        </w:rPr>
        <w:t> </w:t>
      </w:r>
      <w:r>
        <w:rPr>
          <w:color w:val="231F20"/>
          <w:w w:val="120"/>
          <w:sz w:val="17"/>
        </w:rPr>
        <w:t>projet,</w:t>
      </w:r>
      <w:r>
        <w:rPr>
          <w:color w:val="231F20"/>
          <w:spacing w:val="-12"/>
          <w:w w:val="120"/>
          <w:sz w:val="17"/>
        </w:rPr>
        <w:t> </w:t>
      </w:r>
      <w:r>
        <w:rPr>
          <w:color w:val="231F20"/>
          <w:w w:val="120"/>
          <w:sz w:val="17"/>
        </w:rPr>
        <w:t>une</w:t>
      </w:r>
      <w:r>
        <w:rPr>
          <w:color w:val="231F20"/>
          <w:spacing w:val="-12"/>
          <w:w w:val="120"/>
          <w:sz w:val="17"/>
        </w:rPr>
        <w:t> </w:t>
      </w:r>
      <w:r>
        <w:rPr>
          <w:color w:val="231F20"/>
          <w:w w:val="120"/>
          <w:sz w:val="17"/>
        </w:rPr>
        <w:t>com- munication des valeurs, une sélection selon les valeurs, une for- mation</w:t>
      </w:r>
      <w:r>
        <w:rPr>
          <w:color w:val="231F20"/>
          <w:spacing w:val="-9"/>
          <w:w w:val="120"/>
          <w:sz w:val="17"/>
        </w:rPr>
        <w:t> </w:t>
      </w:r>
      <w:r>
        <w:rPr>
          <w:color w:val="231F20"/>
          <w:w w:val="120"/>
          <w:sz w:val="17"/>
        </w:rPr>
        <w:t>spécialisée</w:t>
      </w:r>
      <w:r>
        <w:rPr>
          <w:color w:val="231F20"/>
          <w:spacing w:val="-9"/>
          <w:w w:val="120"/>
          <w:sz w:val="17"/>
        </w:rPr>
        <w:t> </w:t>
      </w:r>
      <w:r>
        <w:rPr>
          <w:color w:val="231F20"/>
          <w:w w:val="120"/>
          <w:sz w:val="17"/>
        </w:rPr>
        <w:t>sur</w:t>
      </w:r>
      <w:r>
        <w:rPr>
          <w:color w:val="231F20"/>
          <w:spacing w:val="-9"/>
          <w:w w:val="120"/>
          <w:sz w:val="17"/>
        </w:rPr>
        <w:t> </w:t>
      </w:r>
      <w:r>
        <w:rPr>
          <w:color w:val="231F20"/>
          <w:w w:val="120"/>
          <w:sz w:val="17"/>
        </w:rPr>
        <w:t>les</w:t>
      </w:r>
      <w:r>
        <w:rPr>
          <w:color w:val="231F20"/>
          <w:spacing w:val="-9"/>
          <w:w w:val="120"/>
          <w:sz w:val="17"/>
        </w:rPr>
        <w:t> </w:t>
      </w:r>
      <w:r>
        <w:rPr>
          <w:color w:val="231F20"/>
          <w:w w:val="120"/>
          <w:sz w:val="17"/>
        </w:rPr>
        <w:t>valeurs</w:t>
      </w:r>
      <w:r>
        <w:rPr>
          <w:color w:val="231F20"/>
          <w:spacing w:val="-9"/>
          <w:w w:val="120"/>
          <w:sz w:val="17"/>
        </w:rPr>
        <w:t> </w:t>
      </w:r>
      <w:r>
        <w:rPr>
          <w:color w:val="231F20"/>
          <w:w w:val="120"/>
          <w:sz w:val="17"/>
        </w:rPr>
        <w:t>d’avenir</w:t>
      </w:r>
      <w:r>
        <w:rPr>
          <w:color w:val="231F20"/>
          <w:spacing w:val="-9"/>
          <w:w w:val="120"/>
          <w:sz w:val="17"/>
        </w:rPr>
        <w:t> </w:t>
      </w:r>
      <w:r>
        <w:rPr>
          <w:color w:val="231F20"/>
          <w:w w:val="120"/>
          <w:sz w:val="17"/>
        </w:rPr>
        <w:t>et</w:t>
      </w:r>
      <w:r>
        <w:rPr>
          <w:color w:val="231F20"/>
          <w:spacing w:val="-9"/>
          <w:w w:val="120"/>
          <w:sz w:val="17"/>
        </w:rPr>
        <w:t> </w:t>
      </w:r>
      <w:r>
        <w:rPr>
          <w:color w:val="231F20"/>
          <w:w w:val="120"/>
          <w:sz w:val="17"/>
        </w:rPr>
        <w:t>une</w:t>
      </w:r>
      <w:r>
        <w:rPr>
          <w:color w:val="231F20"/>
          <w:spacing w:val="-9"/>
          <w:w w:val="120"/>
          <w:sz w:val="17"/>
        </w:rPr>
        <w:t> </w:t>
      </w:r>
      <w:r>
        <w:rPr>
          <w:color w:val="231F20"/>
          <w:w w:val="120"/>
          <w:sz w:val="17"/>
        </w:rPr>
        <w:t>reconnaissance de la concrétisation de valeurs communes;</w:t>
      </w:r>
    </w:p>
    <w:p>
      <w:pPr>
        <w:pStyle w:val="ListParagraph"/>
        <w:numPr>
          <w:ilvl w:val="1"/>
          <w:numId w:val="95"/>
        </w:numPr>
        <w:tabs>
          <w:tab w:pos="1331" w:val="left" w:leader="none"/>
        </w:tabs>
        <w:spacing w:line="240" w:lineRule="auto" w:before="78" w:after="0"/>
        <w:ind w:left="1330" w:right="0" w:hanging="251"/>
        <w:jc w:val="both"/>
        <w:rPr>
          <w:sz w:val="17"/>
        </w:rPr>
      </w:pPr>
      <w:r>
        <w:rPr>
          <w:color w:val="231F20"/>
          <w:w w:val="115"/>
          <w:sz w:val="17"/>
        </w:rPr>
        <w:t>La</w:t>
      </w:r>
      <w:r>
        <w:rPr>
          <w:color w:val="231F20"/>
          <w:spacing w:val="3"/>
          <w:w w:val="115"/>
          <w:sz w:val="17"/>
        </w:rPr>
        <w:t> </w:t>
      </w:r>
      <w:r>
        <w:rPr>
          <w:color w:val="231F20"/>
          <w:w w:val="115"/>
          <w:sz w:val="17"/>
        </w:rPr>
        <w:t>vérification</w:t>
      </w:r>
      <w:r>
        <w:rPr>
          <w:color w:val="231F20"/>
          <w:spacing w:val="4"/>
          <w:w w:val="115"/>
          <w:sz w:val="17"/>
        </w:rPr>
        <w:t> </w:t>
      </w:r>
      <w:r>
        <w:rPr>
          <w:color w:val="231F20"/>
          <w:w w:val="115"/>
          <w:sz w:val="17"/>
        </w:rPr>
        <w:t>par</w:t>
      </w:r>
      <w:r>
        <w:rPr>
          <w:color w:val="231F20"/>
          <w:spacing w:val="4"/>
          <w:w w:val="115"/>
          <w:sz w:val="17"/>
        </w:rPr>
        <w:t> </w:t>
      </w:r>
      <w:r>
        <w:rPr>
          <w:color w:val="231F20"/>
          <w:w w:val="115"/>
          <w:sz w:val="17"/>
        </w:rPr>
        <w:t>audit</w:t>
      </w:r>
      <w:r>
        <w:rPr>
          <w:color w:val="231F20"/>
          <w:spacing w:val="4"/>
          <w:w w:val="115"/>
          <w:sz w:val="17"/>
        </w:rPr>
        <w:t> </w:t>
      </w:r>
      <w:r>
        <w:rPr>
          <w:color w:val="231F20"/>
          <w:w w:val="115"/>
          <w:sz w:val="17"/>
        </w:rPr>
        <w:t>de</w:t>
      </w:r>
      <w:r>
        <w:rPr>
          <w:color w:val="231F20"/>
          <w:spacing w:val="4"/>
          <w:w w:val="115"/>
          <w:sz w:val="17"/>
        </w:rPr>
        <w:t> </w:t>
      </w:r>
      <w:r>
        <w:rPr>
          <w:color w:val="231F20"/>
          <w:w w:val="115"/>
          <w:sz w:val="17"/>
        </w:rPr>
        <w:t>la</w:t>
      </w:r>
      <w:r>
        <w:rPr>
          <w:color w:val="231F20"/>
          <w:spacing w:val="4"/>
          <w:w w:val="115"/>
          <w:sz w:val="17"/>
        </w:rPr>
        <w:t> </w:t>
      </w:r>
      <w:r>
        <w:rPr>
          <w:color w:val="231F20"/>
          <w:w w:val="115"/>
          <w:sz w:val="17"/>
        </w:rPr>
        <w:t>cohérence</w:t>
      </w:r>
      <w:r>
        <w:rPr>
          <w:color w:val="231F20"/>
          <w:spacing w:val="4"/>
          <w:w w:val="115"/>
          <w:sz w:val="17"/>
        </w:rPr>
        <w:t> </w:t>
      </w:r>
      <w:r>
        <w:rPr>
          <w:color w:val="231F20"/>
          <w:w w:val="115"/>
          <w:sz w:val="17"/>
        </w:rPr>
        <w:t>des</w:t>
      </w:r>
      <w:r>
        <w:rPr>
          <w:color w:val="231F20"/>
          <w:spacing w:val="4"/>
          <w:w w:val="115"/>
          <w:sz w:val="17"/>
        </w:rPr>
        <w:t> </w:t>
      </w:r>
      <w:r>
        <w:rPr>
          <w:color w:val="231F20"/>
          <w:spacing w:val="-2"/>
          <w:w w:val="115"/>
          <w:sz w:val="17"/>
        </w:rPr>
        <w:t>valeurs.</w:t>
      </w:r>
    </w:p>
    <w:p>
      <w:pPr>
        <w:pStyle w:val="BodyText"/>
        <w:spacing w:line="307" w:lineRule="auto" w:before="135"/>
        <w:ind w:left="830" w:right="492"/>
        <w:jc w:val="both"/>
      </w:pPr>
      <w:r>
        <w:rPr>
          <w:color w:val="231F20"/>
          <w:w w:val="120"/>
        </w:rPr>
        <w:t>On peut considérer la GpV comme un nouvel outil de leadership et de </w:t>
      </w:r>
      <w:r>
        <w:rPr>
          <w:color w:val="231F20"/>
          <w:spacing w:val="-2"/>
          <w:w w:val="115"/>
        </w:rPr>
        <w:t>gestion d’entreprise fondé sur l’édification participative d’un bon équilibre </w:t>
      </w:r>
      <w:r>
        <w:rPr>
          <w:color w:val="231F20"/>
          <w:w w:val="120"/>
        </w:rPr>
        <w:t>entre</w:t>
      </w:r>
      <w:r>
        <w:rPr>
          <w:color w:val="231F20"/>
          <w:spacing w:val="-13"/>
          <w:w w:val="120"/>
        </w:rPr>
        <w:t> </w:t>
      </w:r>
      <w:r>
        <w:rPr>
          <w:color w:val="231F20"/>
          <w:w w:val="120"/>
        </w:rPr>
        <w:t>trois</w:t>
      </w:r>
      <w:r>
        <w:rPr>
          <w:color w:val="231F20"/>
          <w:spacing w:val="-13"/>
          <w:w w:val="120"/>
        </w:rPr>
        <w:t> </w:t>
      </w:r>
      <w:r>
        <w:rPr>
          <w:color w:val="231F20"/>
          <w:w w:val="120"/>
        </w:rPr>
        <w:t>classes</w:t>
      </w:r>
      <w:r>
        <w:rPr>
          <w:color w:val="231F20"/>
          <w:spacing w:val="-13"/>
          <w:w w:val="120"/>
        </w:rPr>
        <w:t> </w:t>
      </w:r>
      <w:r>
        <w:rPr>
          <w:color w:val="231F20"/>
          <w:w w:val="120"/>
        </w:rPr>
        <w:t>de</w:t>
      </w:r>
      <w:r>
        <w:rPr>
          <w:color w:val="231F20"/>
          <w:spacing w:val="-12"/>
          <w:w w:val="120"/>
        </w:rPr>
        <w:t> </w:t>
      </w:r>
      <w:r>
        <w:rPr>
          <w:color w:val="231F20"/>
          <w:w w:val="120"/>
        </w:rPr>
        <w:t>valeurs</w:t>
      </w:r>
      <w:r>
        <w:rPr>
          <w:color w:val="231F20"/>
          <w:spacing w:val="-13"/>
          <w:w w:val="120"/>
        </w:rPr>
        <w:t> </w:t>
      </w:r>
      <w:r>
        <w:rPr>
          <w:color w:val="231F20"/>
          <w:w w:val="120"/>
        </w:rPr>
        <w:t>afin</w:t>
      </w:r>
      <w:r>
        <w:rPr>
          <w:color w:val="231F20"/>
          <w:spacing w:val="-13"/>
          <w:w w:val="120"/>
        </w:rPr>
        <w:t> </w:t>
      </w:r>
      <w:r>
        <w:rPr>
          <w:color w:val="231F20"/>
          <w:w w:val="120"/>
        </w:rPr>
        <w:t>de</w:t>
      </w:r>
      <w:r>
        <w:rPr>
          <w:color w:val="231F20"/>
          <w:spacing w:val="-13"/>
          <w:w w:val="120"/>
        </w:rPr>
        <w:t> </w:t>
      </w:r>
      <w:r>
        <w:rPr>
          <w:color w:val="231F20"/>
          <w:w w:val="120"/>
        </w:rPr>
        <w:t>concrétiser</w:t>
      </w:r>
      <w:r>
        <w:rPr>
          <w:color w:val="231F20"/>
          <w:spacing w:val="-12"/>
          <w:w w:val="120"/>
        </w:rPr>
        <w:t> </w:t>
      </w:r>
      <w:r>
        <w:rPr>
          <w:color w:val="231F20"/>
          <w:w w:val="120"/>
        </w:rPr>
        <w:t>sa</w:t>
      </w:r>
      <w:r>
        <w:rPr>
          <w:color w:val="231F20"/>
          <w:spacing w:val="-13"/>
          <w:w w:val="120"/>
        </w:rPr>
        <w:t> </w:t>
      </w:r>
      <w:r>
        <w:rPr>
          <w:color w:val="231F20"/>
          <w:w w:val="120"/>
        </w:rPr>
        <w:t>vision</w:t>
      </w:r>
      <w:r>
        <w:rPr>
          <w:color w:val="231F20"/>
          <w:spacing w:val="-13"/>
          <w:w w:val="120"/>
        </w:rPr>
        <w:t> </w:t>
      </w:r>
      <w:r>
        <w:rPr>
          <w:color w:val="231F20"/>
          <w:w w:val="120"/>
        </w:rPr>
        <w:t>et</w:t>
      </w:r>
      <w:r>
        <w:rPr>
          <w:color w:val="231F20"/>
          <w:spacing w:val="-13"/>
          <w:w w:val="120"/>
        </w:rPr>
        <w:t> </w:t>
      </w:r>
      <w:r>
        <w:rPr>
          <w:color w:val="231F20"/>
          <w:w w:val="120"/>
        </w:rPr>
        <w:t>d’accomplir sa mission (modèle triaxial):</w:t>
      </w:r>
    </w:p>
    <w:p>
      <w:pPr>
        <w:pStyle w:val="ListParagraph"/>
        <w:numPr>
          <w:ilvl w:val="0"/>
          <w:numId w:val="96"/>
        </w:numPr>
        <w:tabs>
          <w:tab w:pos="1331" w:val="left" w:leader="none"/>
        </w:tabs>
        <w:spacing w:line="307" w:lineRule="auto" w:before="78" w:after="0"/>
        <w:ind w:left="1330" w:right="495" w:hanging="251"/>
        <w:jc w:val="both"/>
        <w:rPr>
          <w:sz w:val="17"/>
        </w:rPr>
      </w:pPr>
      <w:r>
        <w:rPr>
          <w:i/>
          <w:color w:val="231F20"/>
          <w:w w:val="115"/>
          <w:sz w:val="17"/>
        </w:rPr>
        <w:t>Les</w:t>
      </w:r>
      <w:r>
        <w:rPr>
          <w:i/>
          <w:color w:val="231F20"/>
          <w:spacing w:val="-6"/>
          <w:w w:val="115"/>
          <w:sz w:val="17"/>
        </w:rPr>
        <w:t> </w:t>
      </w:r>
      <w:r>
        <w:rPr>
          <w:i/>
          <w:color w:val="231F20"/>
          <w:w w:val="115"/>
          <w:sz w:val="17"/>
        </w:rPr>
        <w:t>valeurs</w:t>
      </w:r>
      <w:r>
        <w:rPr>
          <w:i/>
          <w:color w:val="231F20"/>
          <w:spacing w:val="-6"/>
          <w:w w:val="115"/>
          <w:sz w:val="17"/>
        </w:rPr>
        <w:t> </w:t>
      </w:r>
      <w:r>
        <w:rPr>
          <w:i/>
          <w:color w:val="231F20"/>
          <w:w w:val="115"/>
          <w:sz w:val="17"/>
        </w:rPr>
        <w:t>économiques</w:t>
      </w:r>
      <w:r>
        <w:rPr>
          <w:color w:val="231F20"/>
          <w:w w:val="115"/>
          <w:sz w:val="17"/>
        </w:rPr>
        <w:t>,</w:t>
      </w:r>
      <w:r>
        <w:rPr>
          <w:color w:val="231F20"/>
          <w:spacing w:val="-6"/>
          <w:w w:val="115"/>
          <w:sz w:val="17"/>
        </w:rPr>
        <w:t> </w:t>
      </w:r>
      <w:r>
        <w:rPr>
          <w:color w:val="231F20"/>
          <w:w w:val="115"/>
          <w:sz w:val="17"/>
        </w:rPr>
        <w:t>de</w:t>
      </w:r>
      <w:r>
        <w:rPr>
          <w:color w:val="231F20"/>
          <w:spacing w:val="-6"/>
          <w:w w:val="115"/>
          <w:sz w:val="17"/>
        </w:rPr>
        <w:t> </w:t>
      </w:r>
      <w:r>
        <w:rPr>
          <w:color w:val="231F20"/>
          <w:w w:val="115"/>
          <w:sz w:val="17"/>
        </w:rPr>
        <w:t>contrôle</w:t>
      </w:r>
      <w:r>
        <w:rPr>
          <w:color w:val="231F20"/>
          <w:spacing w:val="-6"/>
          <w:w w:val="115"/>
          <w:sz w:val="17"/>
        </w:rPr>
        <w:t> </w:t>
      </w:r>
      <w:r>
        <w:rPr>
          <w:color w:val="231F20"/>
          <w:w w:val="115"/>
          <w:sz w:val="17"/>
        </w:rPr>
        <w:t>ou</w:t>
      </w:r>
      <w:r>
        <w:rPr>
          <w:color w:val="231F20"/>
          <w:spacing w:val="-6"/>
          <w:w w:val="115"/>
          <w:sz w:val="17"/>
        </w:rPr>
        <w:t> </w:t>
      </w:r>
      <w:r>
        <w:rPr>
          <w:color w:val="231F20"/>
          <w:w w:val="115"/>
          <w:sz w:val="17"/>
        </w:rPr>
        <w:t>praxiques,</w:t>
      </w:r>
      <w:r>
        <w:rPr>
          <w:color w:val="231F20"/>
          <w:spacing w:val="-6"/>
          <w:w w:val="115"/>
          <w:sz w:val="17"/>
        </w:rPr>
        <w:t> </w:t>
      </w:r>
      <w:r>
        <w:rPr>
          <w:color w:val="231F20"/>
          <w:w w:val="115"/>
          <w:sz w:val="17"/>
        </w:rPr>
        <w:t>habituellement </w:t>
      </w:r>
      <w:r>
        <w:rPr>
          <w:color w:val="231F20"/>
          <w:w w:val="120"/>
          <w:sz w:val="17"/>
        </w:rPr>
        <w:t>prédominantes, qui sont rarement suffisamment développées</w:t>
      </w:r>
      <w:r>
        <w:rPr>
          <w:color w:val="231F20"/>
          <w:spacing w:val="80"/>
          <w:w w:val="120"/>
          <w:sz w:val="17"/>
        </w:rPr>
        <w:t> </w:t>
      </w:r>
      <w:r>
        <w:rPr>
          <w:color w:val="231F20"/>
          <w:w w:val="120"/>
          <w:sz w:val="17"/>
        </w:rPr>
        <w:t>(p. ex. l’efficacité ou la qualité);</w:t>
      </w:r>
    </w:p>
    <w:p>
      <w:pPr>
        <w:pStyle w:val="ListParagraph"/>
        <w:numPr>
          <w:ilvl w:val="0"/>
          <w:numId w:val="96"/>
        </w:numPr>
        <w:tabs>
          <w:tab w:pos="1331" w:val="left" w:leader="none"/>
        </w:tabs>
        <w:spacing w:line="307" w:lineRule="auto" w:before="79" w:after="0"/>
        <w:ind w:left="1330" w:right="496" w:hanging="251"/>
        <w:jc w:val="both"/>
        <w:rPr>
          <w:sz w:val="17"/>
        </w:rPr>
      </w:pPr>
      <w:r>
        <w:rPr>
          <w:i/>
          <w:color w:val="231F20"/>
          <w:w w:val="120"/>
          <w:sz w:val="17"/>
        </w:rPr>
        <w:t>Les</w:t>
      </w:r>
      <w:r>
        <w:rPr>
          <w:i/>
          <w:color w:val="231F20"/>
          <w:w w:val="120"/>
          <w:sz w:val="17"/>
        </w:rPr>
        <w:t> valeurs</w:t>
      </w:r>
      <w:r>
        <w:rPr>
          <w:i/>
          <w:color w:val="231F20"/>
          <w:w w:val="120"/>
          <w:sz w:val="17"/>
        </w:rPr>
        <w:t> émotionnelles</w:t>
      </w:r>
      <w:r>
        <w:rPr>
          <w:color w:val="231F20"/>
          <w:w w:val="120"/>
          <w:sz w:val="17"/>
        </w:rPr>
        <w:t>,</w:t>
      </w:r>
      <w:r>
        <w:rPr>
          <w:color w:val="231F20"/>
          <w:w w:val="120"/>
          <w:sz w:val="17"/>
        </w:rPr>
        <w:t> développementales,</w:t>
      </w:r>
      <w:r>
        <w:rPr>
          <w:color w:val="231F20"/>
          <w:w w:val="120"/>
          <w:sz w:val="17"/>
        </w:rPr>
        <w:t> poïétiques22, </w:t>
      </w:r>
      <w:r>
        <w:rPr>
          <w:color w:val="231F20"/>
          <w:spacing w:val="-2"/>
          <w:w w:val="120"/>
          <w:sz w:val="17"/>
        </w:rPr>
        <w:t>créatives</w:t>
      </w:r>
      <w:r>
        <w:rPr>
          <w:color w:val="231F20"/>
          <w:spacing w:val="-5"/>
          <w:w w:val="120"/>
          <w:sz w:val="17"/>
        </w:rPr>
        <w:t> </w:t>
      </w:r>
      <w:r>
        <w:rPr>
          <w:color w:val="231F20"/>
          <w:spacing w:val="-2"/>
          <w:w w:val="120"/>
          <w:sz w:val="17"/>
        </w:rPr>
        <w:t>ou</w:t>
      </w:r>
      <w:r>
        <w:rPr>
          <w:color w:val="231F20"/>
          <w:spacing w:val="-5"/>
          <w:w w:val="120"/>
          <w:sz w:val="17"/>
        </w:rPr>
        <w:t> </w:t>
      </w:r>
      <w:r>
        <w:rPr>
          <w:color w:val="231F20"/>
          <w:spacing w:val="-2"/>
          <w:w w:val="120"/>
          <w:sz w:val="17"/>
        </w:rPr>
        <w:t>génératives</w:t>
      </w:r>
      <w:r>
        <w:rPr>
          <w:color w:val="231F20"/>
          <w:spacing w:val="-5"/>
          <w:w w:val="120"/>
          <w:sz w:val="17"/>
        </w:rPr>
        <w:t> </w:t>
      </w:r>
      <w:r>
        <w:rPr>
          <w:color w:val="231F20"/>
          <w:spacing w:val="-2"/>
          <w:w w:val="120"/>
          <w:sz w:val="17"/>
        </w:rPr>
        <w:t>(p.</w:t>
      </w:r>
      <w:r>
        <w:rPr>
          <w:color w:val="231F20"/>
          <w:spacing w:val="-5"/>
          <w:w w:val="120"/>
          <w:sz w:val="17"/>
        </w:rPr>
        <w:t> </w:t>
      </w:r>
      <w:r>
        <w:rPr>
          <w:color w:val="231F20"/>
          <w:spacing w:val="-2"/>
          <w:w w:val="120"/>
          <w:sz w:val="17"/>
        </w:rPr>
        <w:t>ex.</w:t>
      </w:r>
      <w:r>
        <w:rPr>
          <w:color w:val="231F20"/>
          <w:spacing w:val="-5"/>
          <w:w w:val="120"/>
          <w:sz w:val="17"/>
        </w:rPr>
        <w:t> </w:t>
      </w:r>
      <w:r>
        <w:rPr>
          <w:color w:val="231F20"/>
          <w:spacing w:val="-2"/>
          <w:w w:val="120"/>
          <w:sz w:val="17"/>
        </w:rPr>
        <w:t>l’imagination</w:t>
      </w:r>
      <w:r>
        <w:rPr>
          <w:color w:val="231F20"/>
          <w:spacing w:val="-5"/>
          <w:w w:val="120"/>
          <w:sz w:val="17"/>
        </w:rPr>
        <w:t> </w:t>
      </w:r>
      <w:r>
        <w:rPr>
          <w:color w:val="231F20"/>
          <w:spacing w:val="-2"/>
          <w:w w:val="120"/>
          <w:sz w:val="17"/>
        </w:rPr>
        <w:t>ou</w:t>
      </w:r>
      <w:r>
        <w:rPr>
          <w:color w:val="231F20"/>
          <w:spacing w:val="-5"/>
          <w:w w:val="120"/>
          <w:sz w:val="17"/>
        </w:rPr>
        <w:t> </w:t>
      </w:r>
      <w:r>
        <w:rPr>
          <w:color w:val="231F20"/>
          <w:spacing w:val="-2"/>
          <w:w w:val="120"/>
          <w:sz w:val="17"/>
        </w:rPr>
        <w:t>l’attitude</w:t>
      </w:r>
      <w:r>
        <w:rPr>
          <w:color w:val="231F20"/>
          <w:spacing w:val="-5"/>
          <w:w w:val="120"/>
          <w:sz w:val="17"/>
        </w:rPr>
        <w:t> </w:t>
      </w:r>
      <w:r>
        <w:rPr>
          <w:color w:val="231F20"/>
          <w:spacing w:val="-2"/>
          <w:w w:val="120"/>
          <w:sz w:val="17"/>
        </w:rPr>
        <w:t>chaleu- </w:t>
      </w:r>
      <w:r>
        <w:rPr>
          <w:color w:val="231F20"/>
          <w:w w:val="120"/>
          <w:sz w:val="17"/>
        </w:rPr>
        <w:t>reuse), qui sont souvent reléguées à l’arrière-plan au profit d’un productivisme</w:t>
      </w:r>
      <w:r>
        <w:rPr>
          <w:color w:val="231F20"/>
          <w:spacing w:val="-13"/>
          <w:w w:val="120"/>
          <w:sz w:val="17"/>
        </w:rPr>
        <w:t> </w:t>
      </w:r>
      <w:r>
        <w:rPr>
          <w:color w:val="231F20"/>
          <w:w w:val="120"/>
          <w:sz w:val="17"/>
        </w:rPr>
        <w:t>pragmatique;</w:t>
      </w:r>
    </w:p>
    <w:p>
      <w:pPr>
        <w:pStyle w:val="ListParagraph"/>
        <w:numPr>
          <w:ilvl w:val="0"/>
          <w:numId w:val="96"/>
        </w:numPr>
        <w:tabs>
          <w:tab w:pos="1331" w:val="left" w:leader="none"/>
        </w:tabs>
        <w:spacing w:line="307" w:lineRule="auto" w:before="79" w:after="0"/>
        <w:ind w:left="1330" w:right="495" w:hanging="251"/>
        <w:jc w:val="both"/>
        <w:rPr>
          <w:sz w:val="17"/>
        </w:rPr>
      </w:pPr>
      <w:r>
        <w:rPr>
          <w:i/>
          <w:color w:val="231F20"/>
          <w:w w:val="115"/>
          <w:sz w:val="17"/>
        </w:rPr>
        <w:t>Les</w:t>
      </w:r>
      <w:r>
        <w:rPr>
          <w:i/>
          <w:color w:val="231F20"/>
          <w:spacing w:val="-5"/>
          <w:w w:val="115"/>
          <w:sz w:val="17"/>
        </w:rPr>
        <w:t> </w:t>
      </w:r>
      <w:r>
        <w:rPr>
          <w:i/>
          <w:color w:val="231F20"/>
          <w:w w:val="115"/>
          <w:sz w:val="17"/>
        </w:rPr>
        <w:t>valeurs</w:t>
      </w:r>
      <w:r>
        <w:rPr>
          <w:i/>
          <w:color w:val="231F20"/>
          <w:spacing w:val="-5"/>
          <w:w w:val="115"/>
          <w:sz w:val="17"/>
        </w:rPr>
        <w:t> </w:t>
      </w:r>
      <w:r>
        <w:rPr>
          <w:i/>
          <w:color w:val="231F20"/>
          <w:w w:val="115"/>
          <w:sz w:val="17"/>
        </w:rPr>
        <w:t>éthiques</w:t>
      </w:r>
      <w:r>
        <w:rPr>
          <w:i/>
          <w:color w:val="231F20"/>
          <w:spacing w:val="-5"/>
          <w:w w:val="115"/>
          <w:sz w:val="17"/>
        </w:rPr>
        <w:t> </w:t>
      </w:r>
      <w:r>
        <w:rPr>
          <w:color w:val="231F20"/>
          <w:w w:val="115"/>
          <w:sz w:val="17"/>
        </w:rPr>
        <w:t>(p.</w:t>
      </w:r>
      <w:r>
        <w:rPr>
          <w:color w:val="231F20"/>
          <w:spacing w:val="-5"/>
          <w:w w:val="115"/>
          <w:sz w:val="17"/>
        </w:rPr>
        <w:t> </w:t>
      </w:r>
      <w:r>
        <w:rPr>
          <w:color w:val="231F20"/>
          <w:w w:val="115"/>
          <w:sz w:val="17"/>
        </w:rPr>
        <w:t>ex.</w:t>
      </w:r>
      <w:r>
        <w:rPr>
          <w:color w:val="231F20"/>
          <w:spacing w:val="-5"/>
          <w:w w:val="115"/>
          <w:sz w:val="17"/>
        </w:rPr>
        <w:t> </w:t>
      </w:r>
      <w:r>
        <w:rPr>
          <w:color w:val="231F20"/>
          <w:w w:val="115"/>
          <w:sz w:val="17"/>
        </w:rPr>
        <w:t>la</w:t>
      </w:r>
      <w:r>
        <w:rPr>
          <w:color w:val="231F20"/>
          <w:spacing w:val="-5"/>
          <w:w w:val="115"/>
          <w:sz w:val="17"/>
        </w:rPr>
        <w:t> </w:t>
      </w:r>
      <w:r>
        <w:rPr>
          <w:color w:val="231F20"/>
          <w:w w:val="115"/>
          <w:sz w:val="17"/>
        </w:rPr>
        <w:t>générosité</w:t>
      </w:r>
      <w:r>
        <w:rPr>
          <w:color w:val="231F20"/>
          <w:spacing w:val="-5"/>
          <w:w w:val="115"/>
          <w:sz w:val="17"/>
        </w:rPr>
        <w:t> </w:t>
      </w:r>
      <w:r>
        <w:rPr>
          <w:color w:val="231F20"/>
          <w:w w:val="115"/>
          <w:sz w:val="17"/>
        </w:rPr>
        <w:t>ou</w:t>
      </w:r>
      <w:r>
        <w:rPr>
          <w:color w:val="231F20"/>
          <w:spacing w:val="-5"/>
          <w:w w:val="115"/>
          <w:sz w:val="17"/>
        </w:rPr>
        <w:t> </w:t>
      </w:r>
      <w:r>
        <w:rPr>
          <w:color w:val="231F20"/>
          <w:w w:val="115"/>
          <w:sz w:val="17"/>
        </w:rPr>
        <w:t>l’honnêteté),</w:t>
      </w:r>
      <w:r>
        <w:rPr>
          <w:color w:val="231F20"/>
          <w:spacing w:val="-5"/>
          <w:w w:val="115"/>
          <w:sz w:val="17"/>
        </w:rPr>
        <w:t> </w:t>
      </w:r>
      <w:r>
        <w:rPr>
          <w:color w:val="231F20"/>
          <w:w w:val="115"/>
          <w:sz w:val="17"/>
        </w:rPr>
        <w:t>à</w:t>
      </w:r>
      <w:r>
        <w:rPr>
          <w:color w:val="231F20"/>
          <w:spacing w:val="-5"/>
          <w:w w:val="115"/>
          <w:sz w:val="17"/>
        </w:rPr>
        <w:t> </w:t>
      </w:r>
      <w:r>
        <w:rPr>
          <w:color w:val="231F20"/>
          <w:w w:val="115"/>
          <w:sz w:val="17"/>
        </w:rPr>
        <w:t>intégrer </w:t>
      </w:r>
      <w:r>
        <w:rPr>
          <w:color w:val="231F20"/>
          <w:spacing w:val="-2"/>
          <w:w w:val="120"/>
          <w:sz w:val="17"/>
        </w:rPr>
        <w:t>en</w:t>
      </w:r>
      <w:r>
        <w:rPr>
          <w:color w:val="231F20"/>
          <w:spacing w:val="-11"/>
          <w:w w:val="120"/>
          <w:sz w:val="17"/>
        </w:rPr>
        <w:t> </w:t>
      </w:r>
      <w:r>
        <w:rPr>
          <w:color w:val="231F20"/>
          <w:spacing w:val="-2"/>
          <w:w w:val="120"/>
          <w:sz w:val="17"/>
        </w:rPr>
        <w:t>toute</w:t>
      </w:r>
      <w:r>
        <w:rPr>
          <w:color w:val="231F20"/>
          <w:spacing w:val="-11"/>
          <w:w w:val="120"/>
          <w:sz w:val="17"/>
        </w:rPr>
        <w:t> </w:t>
      </w:r>
      <w:r>
        <w:rPr>
          <w:color w:val="231F20"/>
          <w:spacing w:val="-2"/>
          <w:w w:val="120"/>
          <w:sz w:val="17"/>
        </w:rPr>
        <w:t>normalité</w:t>
      </w:r>
      <w:r>
        <w:rPr>
          <w:color w:val="231F20"/>
          <w:spacing w:val="-11"/>
          <w:w w:val="120"/>
          <w:sz w:val="17"/>
        </w:rPr>
        <w:t> </w:t>
      </w:r>
      <w:r>
        <w:rPr>
          <w:color w:val="231F20"/>
          <w:spacing w:val="-2"/>
          <w:w w:val="120"/>
          <w:sz w:val="17"/>
        </w:rPr>
        <w:t>aux</w:t>
      </w:r>
      <w:r>
        <w:rPr>
          <w:color w:val="231F20"/>
          <w:spacing w:val="-10"/>
          <w:w w:val="120"/>
          <w:sz w:val="17"/>
        </w:rPr>
        <w:t> </w:t>
      </w:r>
      <w:r>
        <w:rPr>
          <w:color w:val="231F20"/>
          <w:spacing w:val="-2"/>
          <w:w w:val="120"/>
          <w:sz w:val="17"/>
        </w:rPr>
        <w:t>valeurs</w:t>
      </w:r>
      <w:r>
        <w:rPr>
          <w:color w:val="231F20"/>
          <w:spacing w:val="-11"/>
          <w:w w:val="120"/>
          <w:sz w:val="17"/>
        </w:rPr>
        <w:t> </w:t>
      </w:r>
      <w:r>
        <w:rPr>
          <w:color w:val="231F20"/>
          <w:spacing w:val="-2"/>
          <w:w w:val="120"/>
          <w:sz w:val="17"/>
        </w:rPr>
        <w:t>économiques</w:t>
      </w:r>
      <w:r>
        <w:rPr>
          <w:color w:val="231F20"/>
          <w:spacing w:val="-11"/>
          <w:w w:val="120"/>
          <w:sz w:val="17"/>
        </w:rPr>
        <w:t> </w:t>
      </w:r>
      <w:r>
        <w:rPr>
          <w:color w:val="231F20"/>
          <w:spacing w:val="-2"/>
          <w:w w:val="120"/>
          <w:sz w:val="17"/>
        </w:rPr>
        <w:t>et</w:t>
      </w:r>
      <w:r>
        <w:rPr>
          <w:color w:val="231F20"/>
          <w:spacing w:val="-11"/>
          <w:w w:val="120"/>
          <w:sz w:val="17"/>
        </w:rPr>
        <w:t> </w:t>
      </w:r>
      <w:r>
        <w:rPr>
          <w:color w:val="231F20"/>
          <w:spacing w:val="-2"/>
          <w:w w:val="120"/>
          <w:sz w:val="17"/>
        </w:rPr>
        <w:t>émotionnelles,</w:t>
      </w:r>
      <w:r>
        <w:rPr>
          <w:color w:val="231F20"/>
          <w:spacing w:val="-10"/>
          <w:w w:val="120"/>
          <w:sz w:val="17"/>
        </w:rPr>
        <w:t> </w:t>
      </w:r>
      <w:r>
        <w:rPr>
          <w:color w:val="231F20"/>
          <w:spacing w:val="-2"/>
          <w:w w:val="120"/>
          <w:sz w:val="17"/>
        </w:rPr>
        <w:t>sans </w:t>
      </w:r>
      <w:r>
        <w:rPr>
          <w:color w:val="231F20"/>
          <w:w w:val="120"/>
          <w:sz w:val="17"/>
        </w:rPr>
        <w:t>les enchevêtrer dans des codes séparés ni les considérer comme</w:t>
      </w:r>
    </w:p>
    <w:p>
      <w:pPr>
        <w:pStyle w:val="BodyText"/>
        <w:rPr>
          <w:sz w:val="20"/>
        </w:rPr>
      </w:pPr>
    </w:p>
    <w:p>
      <w:pPr>
        <w:pStyle w:val="BodyText"/>
        <w:rPr>
          <w:sz w:val="20"/>
        </w:rPr>
      </w:pPr>
    </w:p>
    <w:p>
      <w:pPr>
        <w:pStyle w:val="BodyText"/>
        <w:spacing w:before="6"/>
        <w:rPr>
          <w:sz w:val="24"/>
        </w:rPr>
      </w:pPr>
      <w:r>
        <w:rPr/>
        <w:pict>
          <v:shape style="position:absolute;margin-left:62.5pt;margin-top:15.343257pt;width:287.5pt;height:.1pt;mso-position-horizontal-relative:page;mso-position-vertical-relative:paragraph;z-index:-15616000;mso-wrap-distance-left:0;mso-wrap-distance-right:0" id="docshape1144" coordorigin="1250,307" coordsize="5750,0" path="m1250,307l7000,307e" filled="false" stroked="true" strokeweight=".25pt" strokecolor="#231f20">
            <v:path arrowok="t"/>
            <v:stroke dashstyle="shortdot"/>
            <w10:wrap type="topAndBottom"/>
          </v:shape>
        </w:pict>
      </w:r>
    </w:p>
    <w:p>
      <w:pPr>
        <w:pStyle w:val="ListParagraph"/>
        <w:numPr>
          <w:ilvl w:val="0"/>
          <w:numId w:val="84"/>
        </w:numPr>
        <w:tabs>
          <w:tab w:pos="829" w:val="left" w:leader="none"/>
          <w:tab w:pos="830" w:val="left" w:leader="none"/>
        </w:tabs>
        <w:spacing w:line="295" w:lineRule="auto" w:before="135" w:after="0"/>
        <w:ind w:left="424" w:right="1090" w:firstLine="0"/>
        <w:jc w:val="left"/>
        <w:rPr>
          <w:rFonts w:ascii="Arial" w:hAnsi="Arial"/>
          <w:sz w:val="12"/>
        </w:rPr>
      </w:pPr>
      <w:r>
        <w:rPr>
          <w:rFonts w:ascii="Arial" w:hAnsi="Arial"/>
          <w:color w:val="231F20"/>
          <w:sz w:val="12"/>
        </w:rPr>
        <w:t>Blanchard,</w:t>
      </w:r>
      <w:r>
        <w:rPr>
          <w:rFonts w:ascii="Arial" w:hAnsi="Arial"/>
          <w:color w:val="231F20"/>
          <w:spacing w:val="-7"/>
          <w:sz w:val="12"/>
        </w:rPr>
        <w:t> </w:t>
      </w:r>
      <w:r>
        <w:rPr>
          <w:rFonts w:ascii="Arial" w:hAnsi="Arial"/>
          <w:color w:val="231F20"/>
          <w:sz w:val="12"/>
        </w:rPr>
        <w:t>K.</w:t>
      </w:r>
      <w:r>
        <w:rPr>
          <w:rFonts w:ascii="Arial" w:hAnsi="Arial"/>
          <w:color w:val="231F20"/>
          <w:spacing w:val="-7"/>
          <w:sz w:val="12"/>
        </w:rPr>
        <w:t> </w:t>
      </w:r>
      <w:r>
        <w:rPr>
          <w:rFonts w:ascii="Arial" w:hAnsi="Arial"/>
          <w:color w:val="231F20"/>
          <w:sz w:val="12"/>
        </w:rPr>
        <w:t>et</w:t>
      </w:r>
      <w:r>
        <w:rPr>
          <w:rFonts w:ascii="Arial" w:hAnsi="Arial"/>
          <w:color w:val="231F20"/>
          <w:spacing w:val="-7"/>
          <w:sz w:val="12"/>
        </w:rPr>
        <w:t> </w:t>
      </w:r>
      <w:r>
        <w:rPr>
          <w:rFonts w:ascii="Arial" w:hAnsi="Arial"/>
          <w:color w:val="231F20"/>
          <w:sz w:val="12"/>
        </w:rPr>
        <w:t>O’Connor,</w:t>
      </w:r>
      <w:r>
        <w:rPr>
          <w:rFonts w:ascii="Arial" w:hAnsi="Arial"/>
          <w:color w:val="231F20"/>
          <w:spacing w:val="-7"/>
          <w:sz w:val="12"/>
        </w:rPr>
        <w:t> </w:t>
      </w:r>
      <w:r>
        <w:rPr>
          <w:rFonts w:ascii="Arial" w:hAnsi="Arial"/>
          <w:color w:val="231F20"/>
          <w:sz w:val="12"/>
        </w:rPr>
        <w:t>M.</w:t>
      </w:r>
      <w:r>
        <w:rPr>
          <w:rFonts w:ascii="Arial" w:hAnsi="Arial"/>
          <w:color w:val="231F20"/>
          <w:spacing w:val="-7"/>
          <w:sz w:val="12"/>
        </w:rPr>
        <w:t> </w:t>
      </w:r>
      <w:r>
        <w:rPr>
          <w:rFonts w:ascii="Arial" w:hAnsi="Arial"/>
          <w:color w:val="231F20"/>
          <w:sz w:val="12"/>
        </w:rPr>
        <w:t>(2003).</w:t>
      </w:r>
      <w:r>
        <w:rPr>
          <w:rFonts w:ascii="Arial" w:hAnsi="Arial"/>
          <w:color w:val="231F20"/>
          <w:spacing w:val="-7"/>
          <w:sz w:val="12"/>
        </w:rPr>
        <w:t> </w:t>
      </w:r>
      <w:r>
        <w:rPr>
          <w:rFonts w:ascii="Arial" w:hAnsi="Arial"/>
          <w:i/>
          <w:color w:val="231F20"/>
          <w:sz w:val="12"/>
        </w:rPr>
        <w:t>Managing</w:t>
      </w:r>
      <w:r>
        <w:rPr>
          <w:rFonts w:ascii="Arial" w:hAnsi="Arial"/>
          <w:i/>
          <w:color w:val="231F20"/>
          <w:spacing w:val="-7"/>
          <w:sz w:val="12"/>
        </w:rPr>
        <w:t> </w:t>
      </w:r>
      <w:r>
        <w:rPr>
          <w:rFonts w:ascii="Arial" w:hAnsi="Arial"/>
          <w:i/>
          <w:color w:val="231F20"/>
          <w:sz w:val="12"/>
        </w:rPr>
        <w:t>by</w:t>
      </w:r>
      <w:r>
        <w:rPr>
          <w:rFonts w:ascii="Arial" w:hAnsi="Arial"/>
          <w:i/>
          <w:color w:val="231F20"/>
          <w:spacing w:val="-7"/>
          <w:sz w:val="12"/>
        </w:rPr>
        <w:t> </w:t>
      </w:r>
      <w:r>
        <w:rPr>
          <w:rFonts w:ascii="Arial" w:hAnsi="Arial"/>
          <w:i/>
          <w:color w:val="231F20"/>
          <w:sz w:val="12"/>
        </w:rPr>
        <w:t>Values</w:t>
      </w:r>
      <w:r>
        <w:rPr>
          <w:rFonts w:ascii="Arial" w:hAnsi="Arial"/>
          <w:color w:val="231F20"/>
          <w:sz w:val="12"/>
        </w:rPr>
        <w:t>,</w:t>
      </w:r>
      <w:r>
        <w:rPr>
          <w:rFonts w:ascii="Arial" w:hAnsi="Arial"/>
          <w:color w:val="231F20"/>
          <w:spacing w:val="-7"/>
          <w:sz w:val="12"/>
        </w:rPr>
        <w:t> </w:t>
      </w:r>
      <w:r>
        <w:rPr>
          <w:rFonts w:ascii="Arial" w:hAnsi="Arial"/>
          <w:color w:val="231F20"/>
          <w:sz w:val="12"/>
        </w:rPr>
        <w:t>New</w:t>
      </w:r>
      <w:r>
        <w:rPr>
          <w:rFonts w:ascii="Arial" w:hAnsi="Arial"/>
          <w:color w:val="231F20"/>
          <w:spacing w:val="-7"/>
          <w:sz w:val="12"/>
        </w:rPr>
        <w:t> </w:t>
      </w:r>
      <w:r>
        <w:rPr>
          <w:rFonts w:ascii="Arial" w:hAnsi="Arial"/>
          <w:color w:val="231F20"/>
          <w:sz w:val="12"/>
        </w:rPr>
        <w:t>York,</w:t>
      </w:r>
      <w:r>
        <w:rPr>
          <w:rFonts w:ascii="Arial" w:hAnsi="Arial"/>
          <w:color w:val="231F20"/>
          <w:spacing w:val="-7"/>
          <w:sz w:val="12"/>
        </w:rPr>
        <w:t> </w:t>
      </w:r>
      <w:r>
        <w:rPr>
          <w:rFonts w:ascii="Arial" w:hAnsi="Arial"/>
          <w:color w:val="231F20"/>
          <w:sz w:val="12"/>
        </w:rPr>
        <w:t>Berret-Koehler</w:t>
      </w:r>
      <w:r>
        <w:rPr>
          <w:rFonts w:ascii="Arial" w:hAnsi="Arial"/>
          <w:color w:val="231F20"/>
          <w:spacing w:val="-7"/>
          <w:sz w:val="12"/>
        </w:rPr>
        <w:t> </w:t>
      </w:r>
      <w:r>
        <w:rPr>
          <w:rFonts w:ascii="Arial" w:hAnsi="Arial"/>
          <w:color w:val="231F20"/>
          <w:sz w:val="12"/>
        </w:rPr>
        <w:t>Publishers.</w:t>
      </w:r>
      <w:r>
        <w:rPr>
          <w:rFonts w:ascii="Arial" w:hAnsi="Arial"/>
          <w:color w:val="231F20"/>
          <w:spacing w:val="40"/>
          <w:sz w:val="12"/>
        </w:rPr>
        <w:t> </w:t>
      </w:r>
      <w:r>
        <w:rPr>
          <w:rFonts w:ascii="Arial" w:hAnsi="Arial"/>
          <w:color w:val="231F20"/>
          <w:spacing w:val="-6"/>
          <w:sz w:val="12"/>
        </w:rPr>
        <w:t>22</w:t>
      </w:r>
      <w:r>
        <w:rPr>
          <w:rFonts w:ascii="Arial" w:hAnsi="Arial"/>
          <w:color w:val="231F20"/>
          <w:sz w:val="12"/>
        </w:rPr>
        <w:tab/>
        <w:t>Dolan </w:t>
      </w:r>
      <w:r>
        <w:rPr>
          <w:rFonts w:ascii="Arial" w:hAnsi="Arial"/>
          <w:i/>
          <w:color w:val="231F20"/>
          <w:sz w:val="12"/>
        </w:rPr>
        <w:t>et al</w:t>
      </w:r>
      <w:r>
        <w:rPr>
          <w:rFonts w:ascii="Arial" w:hAnsi="Arial"/>
          <w:color w:val="231F20"/>
          <w:sz w:val="12"/>
        </w:rPr>
        <w:t>. (2006). </w:t>
      </w:r>
      <w:r>
        <w:rPr>
          <w:rFonts w:ascii="Arial" w:hAnsi="Arial"/>
          <w:i/>
          <w:color w:val="231F20"/>
          <w:sz w:val="12"/>
        </w:rPr>
        <w:t>Ibid</w:t>
      </w:r>
      <w:r>
        <w:rPr>
          <w:rFonts w:ascii="Arial" w:hAnsi="Arial"/>
          <w:color w:val="231F20"/>
          <w:sz w:val="12"/>
        </w:rPr>
        <w:t>., p. 212-213.</w:t>
      </w:r>
    </w:p>
    <w:p>
      <w:pPr>
        <w:spacing w:after="0" w:line="295" w:lineRule="auto"/>
        <w:jc w:val="left"/>
        <w:rPr>
          <w:rFonts w:ascii="Arial" w:hAnsi="Arial"/>
          <w:sz w:val="12"/>
        </w:rPr>
        <w:sectPr>
          <w:footerReference w:type="default" r:id="rId334"/>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720" w:right="105"/>
        <w:jc w:val="both"/>
      </w:pPr>
      <w:r>
        <w:rPr>
          <w:color w:val="231F20"/>
          <w:w w:val="115"/>
        </w:rPr>
        <w:t>une</w:t>
      </w:r>
      <w:r>
        <w:rPr>
          <w:color w:val="231F20"/>
          <w:spacing w:val="-3"/>
          <w:w w:val="115"/>
        </w:rPr>
        <w:t> </w:t>
      </w:r>
      <w:r>
        <w:rPr>
          <w:color w:val="231F20"/>
          <w:w w:val="115"/>
        </w:rPr>
        <w:t>catégorie</w:t>
      </w:r>
      <w:r>
        <w:rPr>
          <w:color w:val="231F20"/>
          <w:spacing w:val="-3"/>
          <w:w w:val="115"/>
        </w:rPr>
        <w:t> </w:t>
      </w:r>
      <w:r>
        <w:rPr>
          <w:color w:val="231F20"/>
          <w:w w:val="115"/>
        </w:rPr>
        <w:t>en</w:t>
      </w:r>
      <w:r>
        <w:rPr>
          <w:color w:val="231F20"/>
          <w:spacing w:val="-3"/>
          <w:w w:val="115"/>
        </w:rPr>
        <w:t> </w:t>
      </w:r>
      <w:r>
        <w:rPr>
          <w:color w:val="231F20"/>
          <w:w w:val="115"/>
        </w:rPr>
        <w:t>soi</w:t>
      </w:r>
      <w:r>
        <w:rPr>
          <w:color w:val="231F20"/>
          <w:spacing w:val="-3"/>
          <w:w w:val="115"/>
        </w:rPr>
        <w:t> </w:t>
      </w:r>
      <w:r>
        <w:rPr>
          <w:color w:val="231F20"/>
          <w:w w:val="115"/>
        </w:rPr>
        <w:t>pour</w:t>
      </w:r>
      <w:r>
        <w:rPr>
          <w:color w:val="231F20"/>
          <w:spacing w:val="-3"/>
          <w:w w:val="115"/>
        </w:rPr>
        <w:t> </w:t>
      </w:r>
      <w:r>
        <w:rPr>
          <w:color w:val="231F20"/>
          <w:w w:val="115"/>
        </w:rPr>
        <w:t>les</w:t>
      </w:r>
      <w:r>
        <w:rPr>
          <w:color w:val="231F20"/>
          <w:spacing w:val="-3"/>
          <w:w w:val="115"/>
        </w:rPr>
        <w:t> </w:t>
      </w:r>
      <w:r>
        <w:rPr>
          <w:color w:val="231F20"/>
          <w:w w:val="115"/>
        </w:rPr>
        <w:t>éloigner</w:t>
      </w:r>
      <w:r>
        <w:rPr>
          <w:color w:val="231F20"/>
          <w:spacing w:val="-3"/>
          <w:w w:val="115"/>
        </w:rPr>
        <w:t> </w:t>
      </w:r>
      <w:r>
        <w:rPr>
          <w:color w:val="231F20"/>
          <w:w w:val="115"/>
        </w:rPr>
        <w:t>du</w:t>
      </w:r>
      <w:r>
        <w:rPr>
          <w:color w:val="231F20"/>
          <w:spacing w:val="-3"/>
          <w:w w:val="115"/>
        </w:rPr>
        <w:t> </w:t>
      </w:r>
      <w:r>
        <w:rPr>
          <w:color w:val="231F20"/>
          <w:w w:val="115"/>
        </w:rPr>
        <w:t>cœur</w:t>
      </w:r>
      <w:r>
        <w:rPr>
          <w:color w:val="231F20"/>
          <w:spacing w:val="-3"/>
          <w:w w:val="115"/>
        </w:rPr>
        <w:t> </w:t>
      </w:r>
      <w:r>
        <w:rPr>
          <w:color w:val="231F20"/>
          <w:w w:val="115"/>
        </w:rPr>
        <w:t>de</w:t>
      </w:r>
      <w:r>
        <w:rPr>
          <w:color w:val="231F20"/>
          <w:spacing w:val="-3"/>
          <w:w w:val="115"/>
        </w:rPr>
        <w:t> </w:t>
      </w:r>
      <w:r>
        <w:rPr>
          <w:color w:val="231F20"/>
          <w:w w:val="115"/>
        </w:rPr>
        <w:t>l’activité</w:t>
      </w:r>
      <w:r>
        <w:rPr>
          <w:color w:val="231F20"/>
          <w:spacing w:val="-3"/>
          <w:w w:val="115"/>
        </w:rPr>
        <w:t> </w:t>
      </w:r>
      <w:r>
        <w:rPr>
          <w:color w:val="231F20"/>
          <w:w w:val="115"/>
        </w:rPr>
        <w:t>produc- </w:t>
      </w:r>
      <w:r>
        <w:rPr>
          <w:color w:val="231F20"/>
          <w:w w:val="120"/>
        </w:rPr>
        <w:t>tive. Il faut plutôt en faire l’axe central autour duquel devraient graviter les conduites de contrôle et de développement.</w:t>
      </w:r>
    </w:p>
    <w:p>
      <w:pPr>
        <w:pStyle w:val="BodyText"/>
        <w:spacing w:line="307" w:lineRule="auto" w:before="80"/>
        <w:ind w:left="1220" w:right="103"/>
        <w:jc w:val="both"/>
      </w:pPr>
      <w:r>
        <w:rPr>
          <w:color w:val="231F20"/>
          <w:w w:val="120"/>
        </w:rPr>
        <w:t>Essentiellement,</w:t>
      </w:r>
      <w:r>
        <w:rPr>
          <w:color w:val="231F20"/>
          <w:spacing w:val="-13"/>
          <w:w w:val="120"/>
        </w:rPr>
        <w:t> </w:t>
      </w:r>
      <w:r>
        <w:rPr>
          <w:color w:val="231F20"/>
          <w:w w:val="120"/>
        </w:rPr>
        <w:t>la</w:t>
      </w:r>
      <w:r>
        <w:rPr>
          <w:color w:val="231F20"/>
          <w:spacing w:val="-13"/>
          <w:w w:val="120"/>
        </w:rPr>
        <w:t> </w:t>
      </w:r>
      <w:r>
        <w:rPr>
          <w:color w:val="231F20"/>
          <w:w w:val="120"/>
        </w:rPr>
        <w:t>GpV</w:t>
      </w:r>
      <w:r>
        <w:rPr>
          <w:color w:val="231F20"/>
          <w:spacing w:val="-13"/>
          <w:w w:val="120"/>
        </w:rPr>
        <w:t> </w:t>
      </w:r>
      <w:r>
        <w:rPr>
          <w:color w:val="231F20"/>
          <w:w w:val="120"/>
        </w:rPr>
        <w:t>s’emploie</w:t>
      </w:r>
      <w:r>
        <w:rPr>
          <w:color w:val="231F20"/>
          <w:spacing w:val="-12"/>
          <w:w w:val="120"/>
        </w:rPr>
        <w:t> </w:t>
      </w:r>
      <w:r>
        <w:rPr>
          <w:color w:val="231F20"/>
          <w:w w:val="120"/>
        </w:rPr>
        <w:t>à</w:t>
      </w:r>
      <w:r>
        <w:rPr>
          <w:color w:val="231F20"/>
          <w:spacing w:val="-13"/>
          <w:w w:val="120"/>
        </w:rPr>
        <w:t> </w:t>
      </w:r>
      <w:r>
        <w:rPr>
          <w:color w:val="231F20"/>
          <w:w w:val="120"/>
        </w:rPr>
        <w:t>établir</w:t>
      </w:r>
      <w:r>
        <w:rPr>
          <w:color w:val="231F20"/>
          <w:spacing w:val="-13"/>
          <w:w w:val="120"/>
        </w:rPr>
        <w:t> </w:t>
      </w:r>
      <w:r>
        <w:rPr>
          <w:color w:val="231F20"/>
          <w:w w:val="120"/>
        </w:rPr>
        <w:t>un</w:t>
      </w:r>
      <w:r>
        <w:rPr>
          <w:color w:val="231F20"/>
          <w:spacing w:val="-13"/>
          <w:w w:val="120"/>
        </w:rPr>
        <w:t> </w:t>
      </w:r>
      <w:r>
        <w:rPr>
          <w:color w:val="231F20"/>
          <w:w w:val="120"/>
        </w:rPr>
        <w:t>équilibre</w:t>
      </w:r>
      <w:r>
        <w:rPr>
          <w:color w:val="231F20"/>
          <w:spacing w:val="-12"/>
          <w:w w:val="120"/>
        </w:rPr>
        <w:t> </w:t>
      </w:r>
      <w:r>
        <w:rPr>
          <w:color w:val="231F20"/>
          <w:w w:val="120"/>
        </w:rPr>
        <w:t>entre</w:t>
      </w:r>
      <w:r>
        <w:rPr>
          <w:color w:val="231F20"/>
          <w:spacing w:val="-13"/>
          <w:w w:val="120"/>
        </w:rPr>
        <w:t> </w:t>
      </w:r>
      <w:r>
        <w:rPr>
          <w:color w:val="231F20"/>
          <w:w w:val="120"/>
        </w:rPr>
        <w:t>les</w:t>
      </w:r>
      <w:r>
        <w:rPr>
          <w:color w:val="231F20"/>
          <w:spacing w:val="-13"/>
          <w:w w:val="120"/>
        </w:rPr>
        <w:t> </w:t>
      </w:r>
      <w:r>
        <w:rPr>
          <w:color w:val="231F20"/>
          <w:w w:val="120"/>
        </w:rPr>
        <w:t>volets économique,</w:t>
      </w:r>
      <w:r>
        <w:rPr>
          <w:color w:val="231F20"/>
          <w:spacing w:val="-5"/>
          <w:w w:val="120"/>
        </w:rPr>
        <w:t> </w:t>
      </w:r>
      <w:r>
        <w:rPr>
          <w:color w:val="231F20"/>
          <w:w w:val="120"/>
        </w:rPr>
        <w:t>émotionnel</w:t>
      </w:r>
      <w:r>
        <w:rPr>
          <w:color w:val="231F20"/>
          <w:spacing w:val="-5"/>
          <w:w w:val="120"/>
        </w:rPr>
        <w:t> </w:t>
      </w:r>
      <w:r>
        <w:rPr>
          <w:color w:val="231F20"/>
          <w:w w:val="120"/>
        </w:rPr>
        <w:t>et</w:t>
      </w:r>
      <w:r>
        <w:rPr>
          <w:color w:val="231F20"/>
          <w:spacing w:val="-5"/>
          <w:w w:val="120"/>
        </w:rPr>
        <w:t> </w:t>
      </w:r>
      <w:r>
        <w:rPr>
          <w:color w:val="231F20"/>
          <w:w w:val="120"/>
        </w:rPr>
        <w:t>éthique</w:t>
      </w:r>
      <w:r>
        <w:rPr>
          <w:color w:val="231F20"/>
          <w:spacing w:val="-5"/>
          <w:w w:val="120"/>
        </w:rPr>
        <w:t> </w:t>
      </w:r>
      <w:r>
        <w:rPr>
          <w:color w:val="231F20"/>
          <w:w w:val="120"/>
        </w:rPr>
        <w:t>afin</w:t>
      </w:r>
      <w:r>
        <w:rPr>
          <w:color w:val="231F20"/>
          <w:spacing w:val="-5"/>
          <w:w w:val="120"/>
        </w:rPr>
        <w:t> </w:t>
      </w:r>
      <w:r>
        <w:rPr>
          <w:color w:val="231F20"/>
          <w:w w:val="120"/>
        </w:rPr>
        <w:t>de</w:t>
      </w:r>
      <w:r>
        <w:rPr>
          <w:color w:val="231F20"/>
          <w:spacing w:val="-5"/>
          <w:w w:val="120"/>
        </w:rPr>
        <w:t> </w:t>
      </w:r>
      <w:r>
        <w:rPr>
          <w:color w:val="231F20"/>
          <w:w w:val="120"/>
        </w:rPr>
        <w:t>maximiser</w:t>
      </w:r>
      <w:r>
        <w:rPr>
          <w:color w:val="231F20"/>
          <w:spacing w:val="-5"/>
          <w:w w:val="120"/>
        </w:rPr>
        <w:t> </w:t>
      </w:r>
      <w:r>
        <w:rPr>
          <w:color w:val="231F20"/>
          <w:w w:val="120"/>
        </w:rPr>
        <w:t>la</w:t>
      </w:r>
      <w:r>
        <w:rPr>
          <w:color w:val="231F20"/>
          <w:spacing w:val="-5"/>
          <w:w w:val="120"/>
        </w:rPr>
        <w:t> </w:t>
      </w:r>
      <w:r>
        <w:rPr>
          <w:color w:val="231F20"/>
          <w:w w:val="120"/>
        </w:rPr>
        <w:t>santé</w:t>
      </w:r>
      <w:r>
        <w:rPr>
          <w:color w:val="231F20"/>
          <w:spacing w:val="-5"/>
          <w:w w:val="120"/>
        </w:rPr>
        <w:t> </w:t>
      </w:r>
      <w:r>
        <w:rPr>
          <w:color w:val="231F20"/>
          <w:w w:val="120"/>
        </w:rPr>
        <w:t>psycho- logique</w:t>
      </w:r>
      <w:r>
        <w:rPr>
          <w:color w:val="231F20"/>
          <w:spacing w:val="-13"/>
          <w:w w:val="120"/>
        </w:rPr>
        <w:t> </w:t>
      </w:r>
      <w:r>
        <w:rPr>
          <w:color w:val="231F20"/>
          <w:w w:val="120"/>
        </w:rPr>
        <w:t>et</w:t>
      </w:r>
      <w:r>
        <w:rPr>
          <w:color w:val="231F20"/>
          <w:spacing w:val="-13"/>
          <w:w w:val="120"/>
        </w:rPr>
        <w:t> </w:t>
      </w:r>
      <w:r>
        <w:rPr>
          <w:color w:val="231F20"/>
          <w:w w:val="120"/>
        </w:rPr>
        <w:t>le</w:t>
      </w:r>
      <w:r>
        <w:rPr>
          <w:color w:val="231F20"/>
          <w:spacing w:val="-12"/>
          <w:w w:val="120"/>
        </w:rPr>
        <w:t> </w:t>
      </w:r>
      <w:r>
        <w:rPr>
          <w:color w:val="231F20"/>
          <w:w w:val="120"/>
        </w:rPr>
        <w:t>bien-être</w:t>
      </w:r>
      <w:r>
        <w:rPr>
          <w:color w:val="231F20"/>
          <w:spacing w:val="-13"/>
          <w:w w:val="120"/>
        </w:rPr>
        <w:t> </w:t>
      </w:r>
      <w:r>
        <w:rPr>
          <w:color w:val="231F20"/>
          <w:w w:val="120"/>
        </w:rPr>
        <w:t>pour</w:t>
      </w:r>
      <w:r>
        <w:rPr>
          <w:color w:val="231F20"/>
          <w:spacing w:val="-13"/>
          <w:w w:val="120"/>
        </w:rPr>
        <w:t> </w:t>
      </w:r>
      <w:r>
        <w:rPr>
          <w:color w:val="231F20"/>
          <w:w w:val="120"/>
        </w:rPr>
        <w:t>créer</w:t>
      </w:r>
      <w:r>
        <w:rPr>
          <w:color w:val="231F20"/>
          <w:spacing w:val="-12"/>
          <w:w w:val="120"/>
        </w:rPr>
        <w:t> </w:t>
      </w:r>
      <w:r>
        <w:rPr>
          <w:color w:val="231F20"/>
          <w:w w:val="120"/>
        </w:rPr>
        <w:t>un</w:t>
      </w:r>
      <w:r>
        <w:rPr>
          <w:color w:val="231F20"/>
          <w:spacing w:val="-13"/>
          <w:w w:val="120"/>
        </w:rPr>
        <w:t> </w:t>
      </w:r>
      <w:r>
        <w:rPr>
          <w:color w:val="231F20"/>
          <w:w w:val="120"/>
        </w:rPr>
        <w:t>avantage</w:t>
      </w:r>
      <w:r>
        <w:rPr>
          <w:color w:val="231F20"/>
          <w:spacing w:val="-13"/>
          <w:w w:val="120"/>
        </w:rPr>
        <w:t> </w:t>
      </w:r>
      <w:r>
        <w:rPr>
          <w:color w:val="231F20"/>
          <w:w w:val="120"/>
        </w:rPr>
        <w:t>concurrentiel</w:t>
      </w:r>
      <w:r>
        <w:rPr>
          <w:color w:val="231F20"/>
          <w:spacing w:val="-12"/>
          <w:w w:val="120"/>
        </w:rPr>
        <w:t> </w:t>
      </w:r>
      <w:r>
        <w:rPr>
          <w:color w:val="231F20"/>
          <w:w w:val="120"/>
        </w:rPr>
        <w:t>supplémen- taire sur le marché. Cette perspective considère que la déclaration stratégique d’une entreprise – à plus forte raison si elle doit être com- mune</w:t>
      </w:r>
      <w:r>
        <w:rPr>
          <w:color w:val="231F20"/>
          <w:spacing w:val="-7"/>
          <w:w w:val="120"/>
        </w:rPr>
        <w:t> </w:t>
      </w:r>
      <w:r>
        <w:rPr>
          <w:color w:val="231F20"/>
          <w:w w:val="120"/>
        </w:rPr>
        <w:t>–</w:t>
      </w:r>
      <w:r>
        <w:rPr>
          <w:color w:val="231F20"/>
          <w:spacing w:val="-7"/>
          <w:w w:val="120"/>
        </w:rPr>
        <w:t> </w:t>
      </w:r>
      <w:r>
        <w:rPr>
          <w:color w:val="231F20"/>
          <w:w w:val="120"/>
        </w:rPr>
        <w:t>est</w:t>
      </w:r>
      <w:r>
        <w:rPr>
          <w:color w:val="231F20"/>
          <w:spacing w:val="-7"/>
          <w:w w:val="120"/>
        </w:rPr>
        <w:t> </w:t>
      </w:r>
      <w:r>
        <w:rPr>
          <w:color w:val="231F20"/>
          <w:w w:val="120"/>
        </w:rPr>
        <w:t>autant</w:t>
      </w:r>
      <w:r>
        <w:rPr>
          <w:color w:val="231F20"/>
          <w:spacing w:val="-7"/>
          <w:w w:val="120"/>
        </w:rPr>
        <w:t> </w:t>
      </w:r>
      <w:r>
        <w:rPr>
          <w:color w:val="231F20"/>
          <w:w w:val="120"/>
        </w:rPr>
        <w:t>sinon</w:t>
      </w:r>
      <w:r>
        <w:rPr>
          <w:color w:val="231F20"/>
          <w:spacing w:val="-7"/>
          <w:w w:val="120"/>
        </w:rPr>
        <w:t> </w:t>
      </w:r>
      <w:r>
        <w:rPr>
          <w:color w:val="231F20"/>
          <w:w w:val="120"/>
        </w:rPr>
        <w:t>davantage</w:t>
      </w:r>
      <w:r>
        <w:rPr>
          <w:color w:val="231F20"/>
          <w:spacing w:val="-7"/>
          <w:w w:val="120"/>
        </w:rPr>
        <w:t> </w:t>
      </w:r>
      <w:r>
        <w:rPr>
          <w:color w:val="231F20"/>
          <w:w w:val="120"/>
        </w:rPr>
        <w:t>une</w:t>
      </w:r>
      <w:r>
        <w:rPr>
          <w:color w:val="231F20"/>
          <w:spacing w:val="-7"/>
          <w:w w:val="120"/>
        </w:rPr>
        <w:t> </w:t>
      </w:r>
      <w:r>
        <w:rPr>
          <w:color w:val="231F20"/>
          <w:w w:val="120"/>
        </w:rPr>
        <w:t>question</w:t>
      </w:r>
      <w:r>
        <w:rPr>
          <w:color w:val="231F20"/>
          <w:spacing w:val="-7"/>
          <w:w w:val="120"/>
        </w:rPr>
        <w:t> </w:t>
      </w:r>
      <w:r>
        <w:rPr>
          <w:color w:val="231F20"/>
          <w:w w:val="120"/>
        </w:rPr>
        <w:t>de</w:t>
      </w:r>
      <w:r>
        <w:rPr>
          <w:color w:val="231F20"/>
          <w:spacing w:val="-7"/>
          <w:w w:val="120"/>
        </w:rPr>
        <w:t> </w:t>
      </w:r>
      <w:r>
        <w:rPr>
          <w:color w:val="231F20"/>
          <w:w w:val="120"/>
        </w:rPr>
        <w:t>culture</w:t>
      </w:r>
      <w:r>
        <w:rPr>
          <w:color w:val="231F20"/>
          <w:spacing w:val="-7"/>
          <w:w w:val="120"/>
        </w:rPr>
        <w:t> </w:t>
      </w:r>
      <w:r>
        <w:rPr>
          <w:color w:val="231F20"/>
          <w:w w:val="120"/>
        </w:rPr>
        <w:t>d’entreprise que</w:t>
      </w:r>
      <w:r>
        <w:rPr>
          <w:color w:val="231F20"/>
          <w:spacing w:val="-5"/>
          <w:w w:val="120"/>
        </w:rPr>
        <w:t> </w:t>
      </w:r>
      <w:r>
        <w:rPr>
          <w:color w:val="231F20"/>
          <w:w w:val="120"/>
        </w:rPr>
        <w:t>d’analyse</w:t>
      </w:r>
      <w:r>
        <w:rPr>
          <w:color w:val="231F20"/>
          <w:spacing w:val="-5"/>
          <w:w w:val="120"/>
        </w:rPr>
        <w:t> </w:t>
      </w:r>
      <w:r>
        <w:rPr>
          <w:color w:val="231F20"/>
          <w:w w:val="120"/>
        </w:rPr>
        <w:t>de</w:t>
      </w:r>
      <w:r>
        <w:rPr>
          <w:color w:val="231F20"/>
          <w:spacing w:val="-5"/>
          <w:w w:val="120"/>
        </w:rPr>
        <w:t> </w:t>
      </w:r>
      <w:r>
        <w:rPr>
          <w:color w:val="231F20"/>
          <w:w w:val="120"/>
        </w:rPr>
        <w:t>marché.</w:t>
      </w:r>
      <w:r>
        <w:rPr>
          <w:color w:val="231F20"/>
          <w:spacing w:val="-5"/>
          <w:w w:val="120"/>
        </w:rPr>
        <w:t> </w:t>
      </w:r>
      <w:r>
        <w:rPr>
          <w:color w:val="231F20"/>
          <w:w w:val="120"/>
        </w:rPr>
        <w:t>Et,</w:t>
      </w:r>
      <w:r>
        <w:rPr>
          <w:color w:val="231F20"/>
          <w:spacing w:val="-5"/>
          <w:w w:val="120"/>
        </w:rPr>
        <w:t> </w:t>
      </w:r>
      <w:r>
        <w:rPr>
          <w:color w:val="231F20"/>
          <w:w w:val="120"/>
        </w:rPr>
        <w:t>comme</w:t>
      </w:r>
      <w:r>
        <w:rPr>
          <w:color w:val="231F20"/>
          <w:spacing w:val="-5"/>
          <w:w w:val="120"/>
        </w:rPr>
        <w:t> </w:t>
      </w:r>
      <w:r>
        <w:rPr>
          <w:color w:val="231F20"/>
          <w:w w:val="120"/>
        </w:rPr>
        <w:t>certains</w:t>
      </w:r>
      <w:r>
        <w:rPr>
          <w:color w:val="231F20"/>
          <w:spacing w:val="-5"/>
          <w:w w:val="120"/>
        </w:rPr>
        <w:t> </w:t>
      </w:r>
      <w:r>
        <w:rPr>
          <w:color w:val="231F20"/>
          <w:w w:val="120"/>
        </w:rPr>
        <w:t>le</w:t>
      </w:r>
      <w:r>
        <w:rPr>
          <w:color w:val="231F20"/>
          <w:spacing w:val="-5"/>
          <w:w w:val="120"/>
        </w:rPr>
        <w:t> </w:t>
      </w:r>
      <w:r>
        <w:rPr>
          <w:color w:val="231F20"/>
          <w:w w:val="120"/>
        </w:rPr>
        <w:t>proposent,</w:t>
      </w:r>
      <w:r>
        <w:rPr>
          <w:color w:val="231F20"/>
          <w:spacing w:val="-5"/>
          <w:w w:val="120"/>
        </w:rPr>
        <w:t> </w:t>
      </w:r>
      <w:r>
        <w:rPr>
          <w:color w:val="231F20"/>
          <w:w w:val="120"/>
        </w:rPr>
        <w:t>une</w:t>
      </w:r>
      <w:r>
        <w:rPr>
          <w:color w:val="231F20"/>
          <w:spacing w:val="-5"/>
          <w:w w:val="120"/>
        </w:rPr>
        <w:t> </w:t>
      </w:r>
      <w:r>
        <w:rPr>
          <w:color w:val="231F20"/>
          <w:w w:val="120"/>
        </w:rPr>
        <w:t>culture d’entreprise</w:t>
      </w:r>
      <w:r>
        <w:rPr>
          <w:color w:val="231F20"/>
          <w:spacing w:val="-5"/>
          <w:w w:val="120"/>
        </w:rPr>
        <w:t> </w:t>
      </w:r>
      <w:r>
        <w:rPr>
          <w:color w:val="231F20"/>
          <w:w w:val="120"/>
        </w:rPr>
        <w:t>ne</w:t>
      </w:r>
      <w:r>
        <w:rPr>
          <w:color w:val="231F20"/>
          <w:spacing w:val="-5"/>
          <w:w w:val="120"/>
        </w:rPr>
        <w:t> </w:t>
      </w:r>
      <w:r>
        <w:rPr>
          <w:color w:val="231F20"/>
          <w:w w:val="120"/>
        </w:rPr>
        <w:t>peut</w:t>
      </w:r>
      <w:r>
        <w:rPr>
          <w:color w:val="231F20"/>
          <w:spacing w:val="-5"/>
          <w:w w:val="120"/>
        </w:rPr>
        <w:t> </w:t>
      </w:r>
      <w:r>
        <w:rPr>
          <w:color w:val="231F20"/>
          <w:w w:val="120"/>
        </w:rPr>
        <w:t>ni</w:t>
      </w:r>
      <w:r>
        <w:rPr>
          <w:color w:val="231F20"/>
          <w:spacing w:val="-5"/>
          <w:w w:val="120"/>
        </w:rPr>
        <w:t> </w:t>
      </w:r>
      <w:r>
        <w:rPr>
          <w:color w:val="231F20"/>
          <w:w w:val="120"/>
        </w:rPr>
        <w:t>s’inculquer</w:t>
      </w:r>
      <w:r>
        <w:rPr>
          <w:color w:val="231F20"/>
          <w:spacing w:val="-5"/>
          <w:w w:val="120"/>
        </w:rPr>
        <w:t> </w:t>
      </w:r>
      <w:r>
        <w:rPr>
          <w:color w:val="231F20"/>
          <w:w w:val="120"/>
        </w:rPr>
        <w:t>ni</w:t>
      </w:r>
      <w:r>
        <w:rPr>
          <w:color w:val="231F20"/>
          <w:spacing w:val="-5"/>
          <w:w w:val="120"/>
        </w:rPr>
        <w:t> </w:t>
      </w:r>
      <w:r>
        <w:rPr>
          <w:color w:val="231F20"/>
          <w:w w:val="120"/>
        </w:rPr>
        <w:t>s’imposer;</w:t>
      </w:r>
      <w:r>
        <w:rPr>
          <w:color w:val="231F20"/>
          <w:spacing w:val="-5"/>
          <w:w w:val="120"/>
        </w:rPr>
        <w:t> </w:t>
      </w:r>
      <w:r>
        <w:rPr>
          <w:color w:val="231F20"/>
          <w:w w:val="120"/>
        </w:rPr>
        <w:t>elle</w:t>
      </w:r>
      <w:r>
        <w:rPr>
          <w:color w:val="231F20"/>
          <w:spacing w:val="-5"/>
          <w:w w:val="120"/>
        </w:rPr>
        <w:t> </w:t>
      </w:r>
      <w:r>
        <w:rPr>
          <w:color w:val="231F20"/>
          <w:w w:val="120"/>
        </w:rPr>
        <w:t>se</w:t>
      </w:r>
      <w:r>
        <w:rPr>
          <w:color w:val="231F20"/>
          <w:spacing w:val="-5"/>
          <w:w w:val="120"/>
        </w:rPr>
        <w:t> </w:t>
      </w:r>
      <w:r>
        <w:rPr>
          <w:color w:val="231F20"/>
          <w:w w:val="120"/>
        </w:rPr>
        <w:t>construit</w:t>
      </w:r>
      <w:r>
        <w:rPr>
          <w:color w:val="231F20"/>
          <w:spacing w:val="-5"/>
          <w:w w:val="120"/>
        </w:rPr>
        <w:t> </w:t>
      </w:r>
      <w:r>
        <w:rPr>
          <w:color w:val="231F20"/>
          <w:w w:val="120"/>
        </w:rPr>
        <w:t>par</w:t>
      </w:r>
      <w:r>
        <w:rPr>
          <w:color w:val="231F20"/>
          <w:spacing w:val="-5"/>
          <w:w w:val="120"/>
        </w:rPr>
        <w:t> </w:t>
      </w:r>
      <w:r>
        <w:rPr>
          <w:color w:val="231F20"/>
          <w:w w:val="120"/>
        </w:rPr>
        <w:t>le </w:t>
      </w:r>
      <w:r>
        <w:rPr>
          <w:color w:val="231F20"/>
          <w:spacing w:val="-2"/>
          <w:w w:val="120"/>
        </w:rPr>
        <w:t>dialogue</w:t>
      </w:r>
      <w:r>
        <w:rPr>
          <w:color w:val="231F20"/>
          <w:spacing w:val="-5"/>
          <w:w w:val="120"/>
        </w:rPr>
        <w:t> </w:t>
      </w:r>
      <w:r>
        <w:rPr>
          <w:color w:val="231F20"/>
          <w:spacing w:val="-2"/>
          <w:w w:val="120"/>
        </w:rPr>
        <w:t>et</w:t>
      </w:r>
      <w:r>
        <w:rPr>
          <w:color w:val="231F20"/>
          <w:spacing w:val="-5"/>
          <w:w w:val="120"/>
        </w:rPr>
        <w:t> </w:t>
      </w:r>
      <w:r>
        <w:rPr>
          <w:color w:val="231F20"/>
          <w:spacing w:val="-2"/>
          <w:w w:val="120"/>
        </w:rPr>
        <w:t>par</w:t>
      </w:r>
      <w:r>
        <w:rPr>
          <w:color w:val="231F20"/>
          <w:spacing w:val="-5"/>
          <w:w w:val="120"/>
        </w:rPr>
        <w:t> </w:t>
      </w:r>
      <w:r>
        <w:rPr>
          <w:color w:val="231F20"/>
          <w:spacing w:val="-2"/>
          <w:w w:val="120"/>
        </w:rPr>
        <w:t>une</w:t>
      </w:r>
      <w:r>
        <w:rPr>
          <w:color w:val="231F20"/>
          <w:spacing w:val="-5"/>
          <w:w w:val="120"/>
        </w:rPr>
        <w:t> </w:t>
      </w:r>
      <w:r>
        <w:rPr>
          <w:color w:val="231F20"/>
          <w:spacing w:val="-2"/>
          <w:w w:val="120"/>
        </w:rPr>
        <w:t>volonté</w:t>
      </w:r>
      <w:r>
        <w:rPr>
          <w:color w:val="231F20"/>
          <w:spacing w:val="-5"/>
          <w:w w:val="120"/>
        </w:rPr>
        <w:t> </w:t>
      </w:r>
      <w:r>
        <w:rPr>
          <w:color w:val="231F20"/>
          <w:spacing w:val="-2"/>
          <w:w w:val="120"/>
        </w:rPr>
        <w:t>d’apprendre</w:t>
      </w:r>
      <w:r>
        <w:rPr>
          <w:color w:val="231F20"/>
          <w:spacing w:val="-5"/>
          <w:w w:val="120"/>
        </w:rPr>
        <w:t> </w:t>
      </w:r>
      <w:r>
        <w:rPr>
          <w:color w:val="231F20"/>
          <w:spacing w:val="-2"/>
          <w:w w:val="120"/>
        </w:rPr>
        <w:t>que</w:t>
      </w:r>
      <w:r>
        <w:rPr>
          <w:color w:val="231F20"/>
          <w:spacing w:val="-5"/>
          <w:w w:val="120"/>
        </w:rPr>
        <w:t> </w:t>
      </w:r>
      <w:r>
        <w:rPr>
          <w:color w:val="231F20"/>
          <w:spacing w:val="-2"/>
          <w:w w:val="120"/>
        </w:rPr>
        <w:t>partagent</w:t>
      </w:r>
      <w:r>
        <w:rPr>
          <w:color w:val="231F20"/>
          <w:spacing w:val="-5"/>
          <w:w w:val="120"/>
        </w:rPr>
        <w:t> </w:t>
      </w:r>
      <w:r>
        <w:rPr>
          <w:color w:val="231F20"/>
          <w:spacing w:val="-2"/>
          <w:w w:val="120"/>
        </w:rPr>
        <w:t>tous</w:t>
      </w:r>
      <w:r>
        <w:rPr>
          <w:color w:val="231F20"/>
          <w:spacing w:val="-5"/>
          <w:w w:val="120"/>
        </w:rPr>
        <w:t> </w:t>
      </w:r>
      <w:r>
        <w:rPr>
          <w:color w:val="231F20"/>
          <w:spacing w:val="-2"/>
          <w:w w:val="120"/>
        </w:rPr>
        <w:t>les</w:t>
      </w:r>
      <w:r>
        <w:rPr>
          <w:color w:val="231F20"/>
          <w:spacing w:val="-5"/>
          <w:w w:val="120"/>
        </w:rPr>
        <w:t> </w:t>
      </w:r>
      <w:r>
        <w:rPr>
          <w:color w:val="231F20"/>
          <w:spacing w:val="-2"/>
          <w:w w:val="120"/>
        </w:rPr>
        <w:t>membres </w:t>
      </w:r>
      <w:r>
        <w:rPr>
          <w:color w:val="231F20"/>
          <w:w w:val="120"/>
        </w:rPr>
        <w:t>du</w:t>
      </w:r>
      <w:r>
        <w:rPr>
          <w:color w:val="231F20"/>
          <w:spacing w:val="-13"/>
          <w:w w:val="120"/>
        </w:rPr>
        <w:t> </w:t>
      </w:r>
      <w:r>
        <w:rPr>
          <w:color w:val="231F20"/>
          <w:w w:val="120"/>
        </w:rPr>
        <w:t>système.</w:t>
      </w:r>
    </w:p>
    <w:p>
      <w:pPr>
        <w:pStyle w:val="BodyText"/>
        <w:spacing w:before="6"/>
        <w:rPr>
          <w:sz w:val="21"/>
        </w:rPr>
      </w:pPr>
    </w:p>
    <w:p>
      <w:pPr>
        <w:spacing w:line="307" w:lineRule="auto" w:before="0"/>
        <w:ind w:left="1220" w:right="104" w:firstLine="0"/>
        <w:jc w:val="both"/>
        <w:rPr>
          <w:sz w:val="17"/>
        </w:rPr>
      </w:pPr>
      <w:r>
        <w:rPr>
          <w:b/>
          <w:color w:val="231F20"/>
          <w:w w:val="115"/>
          <w:sz w:val="17"/>
        </w:rPr>
        <w:t>Clés pour la réussite de la gestion par valeurs. </w:t>
      </w:r>
      <w:r>
        <w:rPr>
          <w:color w:val="231F20"/>
          <w:w w:val="115"/>
          <w:sz w:val="17"/>
        </w:rPr>
        <w:t>La gestion axée sur les </w:t>
      </w:r>
      <w:r>
        <w:rPr>
          <w:color w:val="231F20"/>
          <w:w w:val="120"/>
          <w:sz w:val="17"/>
        </w:rPr>
        <w:t>valeurs</w:t>
      </w:r>
      <w:r>
        <w:rPr>
          <w:color w:val="231F20"/>
          <w:spacing w:val="-8"/>
          <w:w w:val="120"/>
          <w:sz w:val="17"/>
        </w:rPr>
        <w:t> </w:t>
      </w:r>
      <w:r>
        <w:rPr>
          <w:color w:val="231F20"/>
          <w:w w:val="120"/>
          <w:sz w:val="17"/>
        </w:rPr>
        <w:t>est</w:t>
      </w:r>
      <w:r>
        <w:rPr>
          <w:color w:val="231F20"/>
          <w:spacing w:val="-7"/>
          <w:w w:val="120"/>
          <w:sz w:val="17"/>
        </w:rPr>
        <w:t> </w:t>
      </w:r>
      <w:r>
        <w:rPr>
          <w:color w:val="231F20"/>
          <w:w w:val="120"/>
          <w:sz w:val="17"/>
        </w:rPr>
        <w:t>une</w:t>
      </w:r>
      <w:r>
        <w:rPr>
          <w:color w:val="231F20"/>
          <w:spacing w:val="-7"/>
          <w:w w:val="120"/>
          <w:sz w:val="17"/>
        </w:rPr>
        <w:t> </w:t>
      </w:r>
      <w:r>
        <w:rPr>
          <w:color w:val="231F20"/>
          <w:w w:val="120"/>
          <w:sz w:val="17"/>
        </w:rPr>
        <w:t>réussite</w:t>
      </w:r>
      <w:r>
        <w:rPr>
          <w:color w:val="231F20"/>
          <w:spacing w:val="-7"/>
          <w:w w:val="120"/>
          <w:sz w:val="17"/>
        </w:rPr>
        <w:t> </w:t>
      </w:r>
      <w:r>
        <w:rPr>
          <w:color w:val="231F20"/>
          <w:w w:val="120"/>
          <w:sz w:val="17"/>
        </w:rPr>
        <w:t>lorsque</w:t>
      </w:r>
      <w:r>
        <w:rPr>
          <w:color w:val="231F20"/>
          <w:spacing w:val="-7"/>
          <w:w w:val="120"/>
          <w:sz w:val="17"/>
        </w:rPr>
        <w:t> </w:t>
      </w:r>
      <w:r>
        <w:rPr>
          <w:color w:val="231F20"/>
          <w:w w:val="120"/>
          <w:sz w:val="17"/>
        </w:rPr>
        <w:t>les</w:t>
      </w:r>
      <w:r>
        <w:rPr>
          <w:color w:val="231F20"/>
          <w:spacing w:val="-7"/>
          <w:w w:val="120"/>
          <w:sz w:val="17"/>
        </w:rPr>
        <w:t> </w:t>
      </w:r>
      <w:r>
        <w:rPr>
          <w:color w:val="231F20"/>
          <w:w w:val="120"/>
          <w:sz w:val="17"/>
        </w:rPr>
        <w:t>deux</w:t>
      </w:r>
      <w:r>
        <w:rPr>
          <w:color w:val="231F20"/>
          <w:spacing w:val="-7"/>
          <w:w w:val="120"/>
          <w:sz w:val="17"/>
        </w:rPr>
        <w:t> </w:t>
      </w:r>
      <w:r>
        <w:rPr>
          <w:color w:val="231F20"/>
          <w:w w:val="120"/>
          <w:sz w:val="17"/>
        </w:rPr>
        <w:t>éléments</w:t>
      </w:r>
      <w:r>
        <w:rPr>
          <w:color w:val="231F20"/>
          <w:spacing w:val="-7"/>
          <w:w w:val="120"/>
          <w:sz w:val="17"/>
        </w:rPr>
        <w:t> </w:t>
      </w:r>
      <w:r>
        <w:rPr>
          <w:color w:val="231F20"/>
          <w:w w:val="120"/>
          <w:sz w:val="17"/>
        </w:rPr>
        <w:t>suivants</w:t>
      </w:r>
      <w:r>
        <w:rPr>
          <w:color w:val="231F20"/>
          <w:spacing w:val="-7"/>
          <w:w w:val="120"/>
          <w:sz w:val="17"/>
        </w:rPr>
        <w:t> </w:t>
      </w:r>
      <w:r>
        <w:rPr>
          <w:color w:val="231F20"/>
          <w:w w:val="120"/>
          <w:sz w:val="17"/>
        </w:rPr>
        <w:t>sont</w:t>
      </w:r>
      <w:r>
        <w:rPr>
          <w:color w:val="231F20"/>
          <w:spacing w:val="-7"/>
          <w:w w:val="120"/>
          <w:sz w:val="17"/>
        </w:rPr>
        <w:t> </w:t>
      </w:r>
      <w:r>
        <w:rPr>
          <w:color w:val="231F20"/>
          <w:spacing w:val="-2"/>
          <w:w w:val="120"/>
          <w:sz w:val="17"/>
        </w:rPr>
        <w:t>réunis:</w:t>
      </w:r>
    </w:p>
    <w:p>
      <w:pPr>
        <w:pStyle w:val="ListParagraph"/>
        <w:numPr>
          <w:ilvl w:val="0"/>
          <w:numId w:val="97"/>
        </w:numPr>
        <w:tabs>
          <w:tab w:pos="1721" w:val="left" w:leader="none"/>
        </w:tabs>
        <w:spacing w:line="307" w:lineRule="auto" w:before="79" w:after="0"/>
        <w:ind w:left="1720" w:right="104" w:hanging="251"/>
        <w:jc w:val="both"/>
        <w:rPr>
          <w:sz w:val="17"/>
        </w:rPr>
      </w:pPr>
      <w:r>
        <w:rPr>
          <w:color w:val="231F20"/>
          <w:w w:val="120"/>
          <w:sz w:val="17"/>
        </w:rPr>
        <w:t>Toute l’organisation est régie par des valeurs communes qui </w:t>
      </w:r>
      <w:r>
        <w:rPr>
          <w:color w:val="231F20"/>
          <w:spacing w:val="-2"/>
          <w:w w:val="120"/>
          <w:sz w:val="17"/>
        </w:rPr>
        <w:t>s’expriment</w:t>
      </w:r>
      <w:r>
        <w:rPr>
          <w:color w:val="231F20"/>
          <w:spacing w:val="-5"/>
          <w:w w:val="120"/>
          <w:sz w:val="17"/>
        </w:rPr>
        <w:t> </w:t>
      </w:r>
      <w:r>
        <w:rPr>
          <w:color w:val="231F20"/>
          <w:spacing w:val="-2"/>
          <w:w w:val="120"/>
          <w:sz w:val="17"/>
        </w:rPr>
        <w:t>avec</w:t>
      </w:r>
      <w:r>
        <w:rPr>
          <w:color w:val="231F20"/>
          <w:spacing w:val="-5"/>
          <w:w w:val="120"/>
          <w:sz w:val="17"/>
        </w:rPr>
        <w:t> </w:t>
      </w:r>
      <w:r>
        <w:rPr>
          <w:color w:val="231F20"/>
          <w:spacing w:val="-2"/>
          <w:w w:val="120"/>
          <w:sz w:val="17"/>
        </w:rPr>
        <w:t>cohérence</w:t>
      </w:r>
      <w:r>
        <w:rPr>
          <w:color w:val="231F20"/>
          <w:spacing w:val="-5"/>
          <w:w w:val="120"/>
          <w:sz w:val="17"/>
        </w:rPr>
        <w:t> </w:t>
      </w:r>
      <w:r>
        <w:rPr>
          <w:color w:val="231F20"/>
          <w:spacing w:val="-2"/>
          <w:w w:val="120"/>
          <w:sz w:val="17"/>
        </w:rPr>
        <w:t>dans</w:t>
      </w:r>
      <w:r>
        <w:rPr>
          <w:color w:val="231F20"/>
          <w:spacing w:val="-5"/>
          <w:w w:val="120"/>
          <w:sz w:val="17"/>
        </w:rPr>
        <w:t> </w:t>
      </w:r>
      <w:r>
        <w:rPr>
          <w:color w:val="231F20"/>
          <w:spacing w:val="-2"/>
          <w:w w:val="120"/>
          <w:sz w:val="17"/>
        </w:rPr>
        <w:t>ses</w:t>
      </w:r>
      <w:r>
        <w:rPr>
          <w:color w:val="231F20"/>
          <w:spacing w:val="-5"/>
          <w:w w:val="120"/>
          <w:sz w:val="17"/>
        </w:rPr>
        <w:t> </w:t>
      </w:r>
      <w:r>
        <w:rPr>
          <w:color w:val="231F20"/>
          <w:spacing w:val="-2"/>
          <w:w w:val="120"/>
          <w:sz w:val="17"/>
        </w:rPr>
        <w:t>structures,</w:t>
      </w:r>
      <w:r>
        <w:rPr>
          <w:color w:val="231F20"/>
          <w:spacing w:val="-5"/>
          <w:w w:val="120"/>
          <w:sz w:val="17"/>
        </w:rPr>
        <w:t> </w:t>
      </w:r>
      <w:r>
        <w:rPr>
          <w:color w:val="231F20"/>
          <w:spacing w:val="-2"/>
          <w:w w:val="120"/>
          <w:sz w:val="17"/>
        </w:rPr>
        <w:t>ses</w:t>
      </w:r>
      <w:r>
        <w:rPr>
          <w:color w:val="231F20"/>
          <w:spacing w:val="-5"/>
          <w:w w:val="120"/>
          <w:sz w:val="17"/>
        </w:rPr>
        <w:t> </w:t>
      </w:r>
      <w:r>
        <w:rPr>
          <w:color w:val="231F20"/>
          <w:spacing w:val="-2"/>
          <w:w w:val="120"/>
          <w:sz w:val="17"/>
        </w:rPr>
        <w:t>espaces</w:t>
      </w:r>
      <w:r>
        <w:rPr>
          <w:color w:val="231F20"/>
          <w:spacing w:val="-5"/>
          <w:w w:val="120"/>
          <w:sz w:val="17"/>
        </w:rPr>
        <w:t> </w:t>
      </w:r>
      <w:r>
        <w:rPr>
          <w:color w:val="231F20"/>
          <w:spacing w:val="-2"/>
          <w:w w:val="120"/>
          <w:sz w:val="17"/>
        </w:rPr>
        <w:t>parti- </w:t>
      </w:r>
      <w:r>
        <w:rPr>
          <w:color w:val="231F20"/>
          <w:w w:val="120"/>
          <w:sz w:val="17"/>
        </w:rPr>
        <w:t>culiers,</w:t>
      </w:r>
      <w:r>
        <w:rPr>
          <w:color w:val="231F20"/>
          <w:spacing w:val="-11"/>
          <w:w w:val="120"/>
          <w:sz w:val="17"/>
        </w:rPr>
        <w:t> </w:t>
      </w:r>
      <w:r>
        <w:rPr>
          <w:color w:val="231F20"/>
          <w:w w:val="120"/>
          <w:sz w:val="17"/>
        </w:rPr>
        <w:t>ses</w:t>
      </w:r>
      <w:r>
        <w:rPr>
          <w:color w:val="231F20"/>
          <w:spacing w:val="-11"/>
          <w:w w:val="120"/>
          <w:sz w:val="17"/>
        </w:rPr>
        <w:t> </w:t>
      </w:r>
      <w:r>
        <w:rPr>
          <w:color w:val="231F20"/>
          <w:w w:val="120"/>
          <w:sz w:val="17"/>
        </w:rPr>
        <w:t>procédés</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travail,</w:t>
      </w:r>
      <w:r>
        <w:rPr>
          <w:color w:val="231F20"/>
          <w:spacing w:val="-11"/>
          <w:w w:val="120"/>
          <w:sz w:val="17"/>
        </w:rPr>
        <w:t> </w:t>
      </w:r>
      <w:r>
        <w:rPr>
          <w:color w:val="231F20"/>
          <w:w w:val="120"/>
          <w:sz w:val="17"/>
        </w:rPr>
        <w:t>ses</w:t>
      </w:r>
      <w:r>
        <w:rPr>
          <w:color w:val="231F20"/>
          <w:spacing w:val="-11"/>
          <w:w w:val="120"/>
          <w:sz w:val="17"/>
        </w:rPr>
        <w:t> </w:t>
      </w:r>
      <w:r>
        <w:rPr>
          <w:color w:val="231F20"/>
          <w:w w:val="120"/>
          <w:sz w:val="17"/>
        </w:rPr>
        <w:t>politiques</w:t>
      </w:r>
      <w:r>
        <w:rPr>
          <w:color w:val="231F20"/>
          <w:spacing w:val="-11"/>
          <w:w w:val="120"/>
          <w:sz w:val="17"/>
        </w:rPr>
        <w:t> </w:t>
      </w:r>
      <w:r>
        <w:rPr>
          <w:color w:val="231F20"/>
          <w:w w:val="120"/>
          <w:sz w:val="17"/>
        </w:rPr>
        <w:t>de</w:t>
      </w:r>
      <w:r>
        <w:rPr>
          <w:color w:val="231F20"/>
          <w:spacing w:val="-11"/>
          <w:w w:val="120"/>
          <w:sz w:val="17"/>
        </w:rPr>
        <w:t> </w:t>
      </w:r>
      <w:r>
        <w:rPr>
          <w:color w:val="231F20"/>
          <w:w w:val="120"/>
          <w:sz w:val="17"/>
        </w:rPr>
        <w:t>sélection,</w:t>
      </w:r>
      <w:r>
        <w:rPr>
          <w:color w:val="231F20"/>
          <w:spacing w:val="-11"/>
          <w:w w:val="120"/>
          <w:sz w:val="17"/>
        </w:rPr>
        <w:t> </w:t>
      </w:r>
      <w:r>
        <w:rPr>
          <w:color w:val="231F20"/>
          <w:w w:val="120"/>
          <w:sz w:val="17"/>
        </w:rPr>
        <w:t>la</w:t>
      </w:r>
      <w:r>
        <w:rPr>
          <w:color w:val="231F20"/>
          <w:spacing w:val="-11"/>
          <w:w w:val="120"/>
          <w:sz w:val="17"/>
        </w:rPr>
        <w:t> </w:t>
      </w:r>
      <w:r>
        <w:rPr>
          <w:color w:val="231F20"/>
          <w:w w:val="120"/>
          <w:sz w:val="17"/>
        </w:rPr>
        <w:t>for- mation,</w:t>
      </w:r>
      <w:r>
        <w:rPr>
          <w:color w:val="231F20"/>
          <w:spacing w:val="-11"/>
          <w:w w:val="120"/>
          <w:sz w:val="17"/>
        </w:rPr>
        <w:t> </w:t>
      </w:r>
      <w:r>
        <w:rPr>
          <w:color w:val="231F20"/>
          <w:w w:val="120"/>
          <w:sz w:val="17"/>
        </w:rPr>
        <w:t>les</w:t>
      </w:r>
      <w:r>
        <w:rPr>
          <w:color w:val="231F20"/>
          <w:spacing w:val="-11"/>
          <w:w w:val="120"/>
          <w:sz w:val="17"/>
        </w:rPr>
        <w:t> </w:t>
      </w:r>
      <w:r>
        <w:rPr>
          <w:color w:val="231F20"/>
          <w:w w:val="120"/>
          <w:sz w:val="17"/>
        </w:rPr>
        <w:t>mesures</w:t>
      </w:r>
      <w:r>
        <w:rPr>
          <w:color w:val="231F20"/>
          <w:spacing w:val="-11"/>
          <w:w w:val="120"/>
          <w:sz w:val="17"/>
        </w:rPr>
        <w:t> </w:t>
      </w:r>
      <w:r>
        <w:rPr>
          <w:color w:val="231F20"/>
          <w:w w:val="120"/>
          <w:sz w:val="17"/>
        </w:rPr>
        <w:t>d’encouragement,</w:t>
      </w:r>
      <w:r>
        <w:rPr>
          <w:color w:val="231F20"/>
          <w:spacing w:val="-11"/>
          <w:w w:val="120"/>
          <w:sz w:val="17"/>
        </w:rPr>
        <w:t> </w:t>
      </w:r>
      <w:r>
        <w:rPr>
          <w:color w:val="231F20"/>
          <w:w w:val="120"/>
          <w:sz w:val="17"/>
        </w:rPr>
        <w:t>les</w:t>
      </w:r>
      <w:r>
        <w:rPr>
          <w:color w:val="231F20"/>
          <w:spacing w:val="-11"/>
          <w:w w:val="120"/>
          <w:sz w:val="17"/>
        </w:rPr>
        <w:t> </w:t>
      </w:r>
      <w:r>
        <w:rPr>
          <w:color w:val="231F20"/>
          <w:w w:val="120"/>
          <w:sz w:val="17"/>
        </w:rPr>
        <w:t>promotions,</w:t>
      </w:r>
      <w:r>
        <w:rPr>
          <w:color w:val="231F20"/>
          <w:spacing w:val="-11"/>
          <w:w w:val="120"/>
          <w:sz w:val="17"/>
        </w:rPr>
        <w:t> </w:t>
      </w:r>
      <w:r>
        <w:rPr>
          <w:color w:val="231F20"/>
          <w:w w:val="120"/>
          <w:sz w:val="17"/>
        </w:rPr>
        <w:t>jusqu’à</w:t>
      </w:r>
      <w:r>
        <w:rPr>
          <w:color w:val="231F20"/>
          <w:spacing w:val="-11"/>
          <w:w w:val="120"/>
          <w:sz w:val="17"/>
        </w:rPr>
        <w:t> </w:t>
      </w:r>
      <w:r>
        <w:rPr>
          <w:color w:val="231F20"/>
          <w:w w:val="120"/>
          <w:sz w:val="17"/>
        </w:rPr>
        <w:t>la cessation</w:t>
      </w:r>
      <w:r>
        <w:rPr>
          <w:color w:val="231F20"/>
          <w:spacing w:val="-13"/>
          <w:w w:val="120"/>
          <w:sz w:val="17"/>
        </w:rPr>
        <w:t> </w:t>
      </w:r>
      <w:r>
        <w:rPr>
          <w:color w:val="231F20"/>
          <w:w w:val="120"/>
          <w:sz w:val="17"/>
        </w:rPr>
        <w:t>d’emploi.</w:t>
      </w:r>
    </w:p>
    <w:p>
      <w:pPr>
        <w:pStyle w:val="ListParagraph"/>
        <w:numPr>
          <w:ilvl w:val="0"/>
          <w:numId w:val="97"/>
        </w:numPr>
        <w:tabs>
          <w:tab w:pos="1721" w:val="left" w:leader="none"/>
        </w:tabs>
        <w:spacing w:line="307" w:lineRule="auto" w:before="79" w:after="0"/>
        <w:ind w:left="1720" w:right="107" w:hanging="251"/>
        <w:jc w:val="both"/>
        <w:rPr>
          <w:sz w:val="17"/>
        </w:rPr>
      </w:pPr>
      <w:r>
        <w:rPr>
          <w:color w:val="231F20"/>
          <w:spacing w:val="-2"/>
          <w:w w:val="120"/>
          <w:sz w:val="17"/>
        </w:rPr>
        <w:t>La</w:t>
      </w:r>
      <w:r>
        <w:rPr>
          <w:color w:val="231F20"/>
          <w:spacing w:val="-5"/>
          <w:w w:val="120"/>
          <w:sz w:val="17"/>
        </w:rPr>
        <w:t> </w:t>
      </w:r>
      <w:r>
        <w:rPr>
          <w:color w:val="231F20"/>
          <w:spacing w:val="-2"/>
          <w:w w:val="120"/>
          <w:sz w:val="17"/>
        </w:rPr>
        <w:t>cohérence</w:t>
      </w:r>
      <w:r>
        <w:rPr>
          <w:color w:val="231F20"/>
          <w:spacing w:val="-5"/>
          <w:w w:val="120"/>
          <w:sz w:val="17"/>
        </w:rPr>
        <w:t> </w:t>
      </w:r>
      <w:r>
        <w:rPr>
          <w:color w:val="231F20"/>
          <w:spacing w:val="-2"/>
          <w:w w:val="120"/>
          <w:sz w:val="17"/>
        </w:rPr>
        <w:t>des</w:t>
      </w:r>
      <w:r>
        <w:rPr>
          <w:color w:val="231F20"/>
          <w:spacing w:val="-5"/>
          <w:w w:val="120"/>
          <w:sz w:val="17"/>
        </w:rPr>
        <w:t> </w:t>
      </w:r>
      <w:r>
        <w:rPr>
          <w:color w:val="231F20"/>
          <w:spacing w:val="-2"/>
          <w:w w:val="120"/>
          <w:sz w:val="17"/>
        </w:rPr>
        <w:t>valeurs</w:t>
      </w:r>
      <w:r>
        <w:rPr>
          <w:color w:val="231F20"/>
          <w:spacing w:val="-5"/>
          <w:w w:val="120"/>
          <w:sz w:val="17"/>
        </w:rPr>
        <w:t> </w:t>
      </w:r>
      <w:r>
        <w:rPr>
          <w:color w:val="231F20"/>
          <w:spacing w:val="-2"/>
          <w:w w:val="120"/>
          <w:sz w:val="17"/>
        </w:rPr>
        <w:t>économiques,</w:t>
      </w:r>
      <w:r>
        <w:rPr>
          <w:color w:val="231F20"/>
          <w:spacing w:val="-5"/>
          <w:w w:val="120"/>
          <w:sz w:val="17"/>
        </w:rPr>
        <w:t> </w:t>
      </w:r>
      <w:r>
        <w:rPr>
          <w:color w:val="231F20"/>
          <w:spacing w:val="-2"/>
          <w:w w:val="120"/>
          <w:sz w:val="17"/>
        </w:rPr>
        <w:t>émotionnelles</w:t>
      </w:r>
      <w:r>
        <w:rPr>
          <w:color w:val="231F20"/>
          <w:spacing w:val="-5"/>
          <w:w w:val="120"/>
          <w:sz w:val="17"/>
        </w:rPr>
        <w:t> </w:t>
      </w:r>
      <w:r>
        <w:rPr>
          <w:color w:val="231F20"/>
          <w:spacing w:val="-2"/>
          <w:w w:val="120"/>
          <w:sz w:val="17"/>
        </w:rPr>
        <w:t>et</w:t>
      </w:r>
      <w:r>
        <w:rPr>
          <w:color w:val="231F20"/>
          <w:spacing w:val="-5"/>
          <w:w w:val="120"/>
          <w:sz w:val="17"/>
        </w:rPr>
        <w:t> </w:t>
      </w:r>
      <w:r>
        <w:rPr>
          <w:color w:val="231F20"/>
          <w:spacing w:val="-2"/>
          <w:w w:val="120"/>
          <w:sz w:val="17"/>
        </w:rPr>
        <w:t>éthiques </w:t>
      </w:r>
      <w:r>
        <w:rPr>
          <w:color w:val="231F20"/>
          <w:w w:val="115"/>
          <w:sz w:val="17"/>
        </w:rPr>
        <w:t>génère</w:t>
      </w:r>
      <w:r>
        <w:rPr>
          <w:color w:val="231F20"/>
          <w:spacing w:val="-11"/>
          <w:w w:val="115"/>
          <w:sz w:val="17"/>
        </w:rPr>
        <w:t> </w:t>
      </w:r>
      <w:r>
        <w:rPr>
          <w:color w:val="231F20"/>
          <w:w w:val="115"/>
          <w:sz w:val="17"/>
        </w:rPr>
        <w:t>des</w:t>
      </w:r>
      <w:r>
        <w:rPr>
          <w:color w:val="231F20"/>
          <w:spacing w:val="-11"/>
          <w:w w:val="115"/>
          <w:sz w:val="17"/>
        </w:rPr>
        <w:t> </w:t>
      </w:r>
      <w:r>
        <w:rPr>
          <w:color w:val="231F20"/>
          <w:w w:val="115"/>
          <w:sz w:val="17"/>
        </w:rPr>
        <w:t>synergies</w:t>
      </w:r>
      <w:r>
        <w:rPr>
          <w:color w:val="231F20"/>
          <w:spacing w:val="-11"/>
          <w:w w:val="115"/>
          <w:sz w:val="17"/>
        </w:rPr>
        <w:t> </w:t>
      </w:r>
      <w:r>
        <w:rPr>
          <w:color w:val="231F20"/>
          <w:w w:val="115"/>
          <w:sz w:val="17"/>
        </w:rPr>
        <w:t>qui</w:t>
      </w:r>
      <w:r>
        <w:rPr>
          <w:color w:val="231F20"/>
          <w:spacing w:val="-11"/>
          <w:w w:val="115"/>
          <w:sz w:val="17"/>
        </w:rPr>
        <w:t> </w:t>
      </w:r>
      <w:r>
        <w:rPr>
          <w:color w:val="231F20"/>
          <w:w w:val="115"/>
          <w:sz w:val="17"/>
        </w:rPr>
        <w:t>favorisent</w:t>
      </w:r>
      <w:r>
        <w:rPr>
          <w:color w:val="231F20"/>
          <w:spacing w:val="-11"/>
          <w:w w:val="115"/>
          <w:sz w:val="17"/>
        </w:rPr>
        <w:t> </w:t>
      </w:r>
      <w:r>
        <w:rPr>
          <w:color w:val="231F20"/>
          <w:w w:val="115"/>
          <w:sz w:val="17"/>
        </w:rPr>
        <w:t>le</w:t>
      </w:r>
      <w:r>
        <w:rPr>
          <w:color w:val="231F20"/>
          <w:spacing w:val="-11"/>
          <w:w w:val="115"/>
          <w:sz w:val="17"/>
        </w:rPr>
        <w:t> </w:t>
      </w:r>
      <w:r>
        <w:rPr>
          <w:color w:val="231F20"/>
          <w:w w:val="115"/>
          <w:sz w:val="17"/>
        </w:rPr>
        <w:t>bien-être</w:t>
      </w:r>
      <w:r>
        <w:rPr>
          <w:color w:val="231F20"/>
          <w:spacing w:val="-11"/>
          <w:w w:val="115"/>
          <w:sz w:val="17"/>
        </w:rPr>
        <w:t> </w:t>
      </w:r>
      <w:r>
        <w:rPr>
          <w:color w:val="231F20"/>
          <w:w w:val="115"/>
          <w:sz w:val="17"/>
        </w:rPr>
        <w:t>de</w:t>
      </w:r>
      <w:r>
        <w:rPr>
          <w:color w:val="231F20"/>
          <w:spacing w:val="-11"/>
          <w:w w:val="115"/>
          <w:sz w:val="17"/>
        </w:rPr>
        <w:t> </w:t>
      </w:r>
      <w:r>
        <w:rPr>
          <w:color w:val="231F20"/>
          <w:w w:val="115"/>
          <w:sz w:val="17"/>
        </w:rPr>
        <w:t>tous</w:t>
      </w:r>
      <w:r>
        <w:rPr>
          <w:color w:val="231F20"/>
          <w:spacing w:val="-11"/>
          <w:w w:val="115"/>
          <w:sz w:val="17"/>
        </w:rPr>
        <w:t> </w:t>
      </w:r>
      <w:r>
        <w:rPr>
          <w:color w:val="231F20"/>
          <w:w w:val="115"/>
          <w:sz w:val="17"/>
        </w:rPr>
        <w:t>les</w:t>
      </w:r>
      <w:r>
        <w:rPr>
          <w:color w:val="231F20"/>
          <w:spacing w:val="-11"/>
          <w:w w:val="115"/>
          <w:sz w:val="17"/>
        </w:rPr>
        <w:t> </w:t>
      </w:r>
      <w:r>
        <w:rPr>
          <w:color w:val="231F20"/>
          <w:w w:val="115"/>
          <w:sz w:val="17"/>
        </w:rPr>
        <w:t>membres </w:t>
      </w:r>
      <w:r>
        <w:rPr>
          <w:color w:val="231F20"/>
          <w:w w:val="120"/>
          <w:sz w:val="17"/>
        </w:rPr>
        <w:t>de</w:t>
      </w:r>
      <w:r>
        <w:rPr>
          <w:color w:val="231F20"/>
          <w:spacing w:val="-13"/>
          <w:w w:val="120"/>
          <w:sz w:val="17"/>
        </w:rPr>
        <w:t> </w:t>
      </w:r>
      <w:r>
        <w:rPr>
          <w:color w:val="231F20"/>
          <w:w w:val="120"/>
          <w:sz w:val="17"/>
        </w:rPr>
        <w:t>l’organisation.</w:t>
      </w:r>
    </w:p>
    <w:p>
      <w:pPr>
        <w:pStyle w:val="BodyText"/>
        <w:spacing w:line="307" w:lineRule="auto" w:before="79"/>
        <w:ind w:left="1220" w:right="102"/>
        <w:jc w:val="both"/>
      </w:pPr>
      <w:r>
        <w:rPr>
          <w:color w:val="231F20"/>
          <w:w w:val="120"/>
        </w:rPr>
        <w:t>L’expérience et les connaissances acquises au cours de diverses expé- riences de mise en place et de maintien de la gestion par valeurs nous permettent de dégager trois principes ou clés du succès que doivent </w:t>
      </w:r>
      <w:r>
        <w:rPr>
          <w:color w:val="231F20"/>
          <w:spacing w:val="-4"/>
          <w:w w:val="120"/>
        </w:rPr>
        <w:t>incorporer</w:t>
      </w:r>
      <w:r>
        <w:rPr>
          <w:color w:val="231F20"/>
          <w:spacing w:val="-5"/>
          <w:w w:val="120"/>
        </w:rPr>
        <w:t> </w:t>
      </w:r>
      <w:r>
        <w:rPr>
          <w:color w:val="231F20"/>
          <w:spacing w:val="-4"/>
          <w:w w:val="120"/>
        </w:rPr>
        <w:t>tous</w:t>
      </w:r>
      <w:r>
        <w:rPr>
          <w:color w:val="231F20"/>
          <w:spacing w:val="-5"/>
          <w:w w:val="120"/>
        </w:rPr>
        <w:t> </w:t>
      </w:r>
      <w:r>
        <w:rPr>
          <w:color w:val="231F20"/>
          <w:spacing w:val="-4"/>
          <w:w w:val="120"/>
        </w:rPr>
        <w:t>les</w:t>
      </w:r>
      <w:r>
        <w:rPr>
          <w:color w:val="231F20"/>
          <w:spacing w:val="-5"/>
          <w:w w:val="120"/>
        </w:rPr>
        <w:t> </w:t>
      </w:r>
      <w:r>
        <w:rPr>
          <w:color w:val="231F20"/>
          <w:spacing w:val="-4"/>
          <w:w w:val="120"/>
        </w:rPr>
        <w:t>membres</w:t>
      </w:r>
      <w:r>
        <w:rPr>
          <w:color w:val="231F20"/>
          <w:spacing w:val="-5"/>
          <w:w w:val="120"/>
        </w:rPr>
        <w:t> </w:t>
      </w:r>
      <w:r>
        <w:rPr>
          <w:color w:val="231F20"/>
          <w:spacing w:val="-4"/>
          <w:w w:val="120"/>
        </w:rPr>
        <w:t>de</w:t>
      </w:r>
      <w:r>
        <w:rPr>
          <w:color w:val="231F20"/>
          <w:spacing w:val="-5"/>
          <w:w w:val="120"/>
        </w:rPr>
        <w:t> </w:t>
      </w:r>
      <w:r>
        <w:rPr>
          <w:color w:val="231F20"/>
          <w:spacing w:val="-4"/>
          <w:w w:val="120"/>
        </w:rPr>
        <w:t>l’organisation,</w:t>
      </w:r>
      <w:r>
        <w:rPr>
          <w:color w:val="231F20"/>
          <w:spacing w:val="-5"/>
          <w:w w:val="120"/>
        </w:rPr>
        <w:t> </w:t>
      </w:r>
      <w:r>
        <w:rPr>
          <w:color w:val="231F20"/>
          <w:spacing w:val="-4"/>
          <w:w w:val="120"/>
        </w:rPr>
        <w:t>mais</w:t>
      </w:r>
      <w:r>
        <w:rPr>
          <w:color w:val="231F20"/>
          <w:spacing w:val="-5"/>
          <w:w w:val="120"/>
        </w:rPr>
        <w:t> </w:t>
      </w:r>
      <w:r>
        <w:rPr>
          <w:color w:val="231F20"/>
          <w:spacing w:val="-4"/>
          <w:w w:val="120"/>
        </w:rPr>
        <w:t>plus</w:t>
      </w:r>
      <w:r>
        <w:rPr>
          <w:color w:val="231F20"/>
          <w:spacing w:val="-5"/>
          <w:w w:val="120"/>
        </w:rPr>
        <w:t> </w:t>
      </w:r>
      <w:r>
        <w:rPr>
          <w:color w:val="231F20"/>
          <w:spacing w:val="-4"/>
          <w:w w:val="120"/>
        </w:rPr>
        <w:t>particulièrement </w:t>
      </w:r>
      <w:r>
        <w:rPr>
          <w:color w:val="231F20"/>
          <w:w w:val="120"/>
        </w:rPr>
        <w:t>leurs</w:t>
      </w:r>
      <w:r>
        <w:rPr>
          <w:color w:val="231F20"/>
          <w:spacing w:val="-13"/>
          <w:w w:val="120"/>
        </w:rPr>
        <w:t> </w:t>
      </w:r>
      <w:r>
        <w:rPr>
          <w:color w:val="231F20"/>
          <w:w w:val="120"/>
        </w:rPr>
        <w:t>dirigeants:</w:t>
      </w:r>
    </w:p>
    <w:p>
      <w:pPr>
        <w:pStyle w:val="ListParagraph"/>
        <w:numPr>
          <w:ilvl w:val="0"/>
          <w:numId w:val="98"/>
        </w:numPr>
        <w:tabs>
          <w:tab w:pos="1721" w:val="left" w:leader="none"/>
        </w:tabs>
        <w:spacing w:line="307" w:lineRule="auto" w:before="79" w:after="0"/>
        <w:ind w:left="1720" w:right="107" w:hanging="251"/>
        <w:jc w:val="both"/>
        <w:rPr>
          <w:sz w:val="17"/>
        </w:rPr>
      </w:pPr>
      <w:r>
        <w:rPr>
          <w:i/>
          <w:color w:val="231F20"/>
          <w:spacing w:val="-2"/>
          <w:w w:val="120"/>
          <w:sz w:val="17"/>
        </w:rPr>
        <w:t>L’audace</w:t>
      </w:r>
      <w:r>
        <w:rPr>
          <w:i/>
          <w:color w:val="231F20"/>
          <w:spacing w:val="-6"/>
          <w:w w:val="120"/>
          <w:sz w:val="17"/>
        </w:rPr>
        <w:t> </w:t>
      </w:r>
      <w:r>
        <w:rPr>
          <w:i/>
          <w:color w:val="231F20"/>
          <w:spacing w:val="-2"/>
          <w:w w:val="120"/>
          <w:sz w:val="17"/>
        </w:rPr>
        <w:t>éthique</w:t>
      </w:r>
      <w:r>
        <w:rPr>
          <w:color w:val="231F20"/>
          <w:spacing w:val="-2"/>
          <w:w w:val="120"/>
          <w:sz w:val="17"/>
        </w:rPr>
        <w:t>.</w:t>
      </w:r>
      <w:r>
        <w:rPr>
          <w:color w:val="231F20"/>
          <w:spacing w:val="-6"/>
          <w:w w:val="120"/>
          <w:sz w:val="17"/>
        </w:rPr>
        <w:t> </w:t>
      </w:r>
      <w:r>
        <w:rPr>
          <w:color w:val="231F20"/>
          <w:spacing w:val="-2"/>
          <w:w w:val="120"/>
          <w:sz w:val="17"/>
        </w:rPr>
        <w:t>La</w:t>
      </w:r>
      <w:r>
        <w:rPr>
          <w:color w:val="231F20"/>
          <w:spacing w:val="-6"/>
          <w:w w:val="120"/>
          <w:sz w:val="17"/>
        </w:rPr>
        <w:t> </w:t>
      </w:r>
      <w:r>
        <w:rPr>
          <w:color w:val="231F20"/>
          <w:spacing w:val="-2"/>
          <w:w w:val="120"/>
          <w:sz w:val="17"/>
        </w:rPr>
        <w:t>réflexion</w:t>
      </w:r>
      <w:r>
        <w:rPr>
          <w:color w:val="231F20"/>
          <w:spacing w:val="-6"/>
          <w:w w:val="120"/>
          <w:sz w:val="17"/>
        </w:rPr>
        <w:t> </w:t>
      </w:r>
      <w:r>
        <w:rPr>
          <w:color w:val="231F20"/>
          <w:spacing w:val="-2"/>
          <w:w w:val="120"/>
          <w:sz w:val="17"/>
        </w:rPr>
        <w:t>éthique</w:t>
      </w:r>
      <w:r>
        <w:rPr>
          <w:color w:val="231F20"/>
          <w:spacing w:val="-6"/>
          <w:w w:val="120"/>
          <w:sz w:val="17"/>
        </w:rPr>
        <w:t> </w:t>
      </w:r>
      <w:r>
        <w:rPr>
          <w:color w:val="231F20"/>
          <w:spacing w:val="-2"/>
          <w:w w:val="120"/>
          <w:sz w:val="17"/>
        </w:rPr>
        <w:t>honnête</w:t>
      </w:r>
      <w:r>
        <w:rPr>
          <w:color w:val="231F20"/>
          <w:spacing w:val="-6"/>
          <w:w w:val="120"/>
          <w:sz w:val="17"/>
        </w:rPr>
        <w:t> </w:t>
      </w:r>
      <w:r>
        <w:rPr>
          <w:color w:val="231F20"/>
          <w:spacing w:val="-2"/>
          <w:w w:val="120"/>
          <w:sz w:val="17"/>
        </w:rPr>
        <w:t>et</w:t>
      </w:r>
      <w:r>
        <w:rPr>
          <w:color w:val="231F20"/>
          <w:spacing w:val="-6"/>
          <w:w w:val="120"/>
          <w:sz w:val="17"/>
        </w:rPr>
        <w:t> </w:t>
      </w:r>
      <w:r>
        <w:rPr>
          <w:color w:val="231F20"/>
          <w:spacing w:val="-2"/>
          <w:w w:val="120"/>
          <w:sz w:val="17"/>
        </w:rPr>
        <w:t>transformatrice</w:t>
      </w:r>
      <w:r>
        <w:rPr>
          <w:color w:val="231F20"/>
          <w:spacing w:val="-2"/>
          <w:w w:val="120"/>
          <w:sz w:val="17"/>
        </w:rPr>
        <w:t> </w:t>
      </w:r>
      <w:r>
        <w:rPr>
          <w:color w:val="231F20"/>
          <w:w w:val="120"/>
          <w:sz w:val="17"/>
        </w:rPr>
        <w:t>doit</w:t>
      </w:r>
      <w:r>
        <w:rPr>
          <w:color w:val="231F20"/>
          <w:spacing w:val="-5"/>
          <w:w w:val="120"/>
          <w:sz w:val="17"/>
        </w:rPr>
        <w:t> </w:t>
      </w:r>
      <w:r>
        <w:rPr>
          <w:color w:val="231F20"/>
          <w:w w:val="120"/>
          <w:sz w:val="17"/>
        </w:rPr>
        <w:t>générer</w:t>
      </w:r>
      <w:r>
        <w:rPr>
          <w:color w:val="231F20"/>
          <w:spacing w:val="-5"/>
          <w:w w:val="120"/>
          <w:sz w:val="17"/>
        </w:rPr>
        <w:t> </w:t>
      </w:r>
      <w:r>
        <w:rPr>
          <w:color w:val="231F20"/>
          <w:w w:val="120"/>
          <w:sz w:val="17"/>
        </w:rPr>
        <w:t>un</w:t>
      </w:r>
      <w:r>
        <w:rPr>
          <w:color w:val="231F20"/>
          <w:spacing w:val="-5"/>
          <w:w w:val="120"/>
          <w:sz w:val="17"/>
        </w:rPr>
        <w:t> </w:t>
      </w:r>
      <w:r>
        <w:rPr>
          <w:color w:val="231F20"/>
          <w:w w:val="120"/>
          <w:sz w:val="17"/>
        </w:rPr>
        <w:t>climat</w:t>
      </w:r>
      <w:r>
        <w:rPr>
          <w:color w:val="231F20"/>
          <w:spacing w:val="-5"/>
          <w:w w:val="120"/>
          <w:sz w:val="17"/>
        </w:rPr>
        <w:t> </w:t>
      </w:r>
      <w:r>
        <w:rPr>
          <w:color w:val="231F20"/>
          <w:w w:val="120"/>
          <w:sz w:val="17"/>
        </w:rPr>
        <w:t>d’enthousiasme</w:t>
      </w:r>
      <w:r>
        <w:rPr>
          <w:color w:val="231F20"/>
          <w:spacing w:val="-5"/>
          <w:w w:val="120"/>
          <w:sz w:val="17"/>
        </w:rPr>
        <w:t> </w:t>
      </w:r>
      <w:r>
        <w:rPr>
          <w:color w:val="231F20"/>
          <w:w w:val="120"/>
          <w:sz w:val="17"/>
        </w:rPr>
        <w:t>et</w:t>
      </w:r>
      <w:r>
        <w:rPr>
          <w:color w:val="231F20"/>
          <w:spacing w:val="-5"/>
          <w:w w:val="120"/>
          <w:sz w:val="17"/>
        </w:rPr>
        <w:t> </w:t>
      </w:r>
      <w:r>
        <w:rPr>
          <w:color w:val="231F20"/>
          <w:w w:val="120"/>
          <w:sz w:val="17"/>
        </w:rPr>
        <w:t>de</w:t>
      </w:r>
      <w:r>
        <w:rPr>
          <w:color w:val="231F20"/>
          <w:spacing w:val="-5"/>
          <w:w w:val="120"/>
          <w:sz w:val="17"/>
        </w:rPr>
        <w:t> </w:t>
      </w:r>
      <w:r>
        <w:rPr>
          <w:color w:val="231F20"/>
          <w:w w:val="120"/>
          <w:sz w:val="17"/>
        </w:rPr>
        <w:t>confiance</w:t>
      </w:r>
      <w:r>
        <w:rPr>
          <w:color w:val="231F20"/>
          <w:spacing w:val="-5"/>
          <w:w w:val="120"/>
          <w:sz w:val="17"/>
        </w:rPr>
        <w:t> </w:t>
      </w:r>
      <w:r>
        <w:rPr>
          <w:color w:val="231F20"/>
          <w:w w:val="120"/>
          <w:sz w:val="17"/>
        </w:rPr>
        <w:t>en</w:t>
      </w:r>
      <w:r>
        <w:rPr>
          <w:color w:val="231F20"/>
          <w:spacing w:val="-5"/>
          <w:w w:val="120"/>
          <w:sz w:val="17"/>
        </w:rPr>
        <w:t> </w:t>
      </w:r>
      <w:r>
        <w:rPr>
          <w:color w:val="231F20"/>
          <w:w w:val="120"/>
          <w:sz w:val="17"/>
        </w:rPr>
        <w:t>soi</w:t>
      </w:r>
      <w:r>
        <w:rPr>
          <w:color w:val="231F20"/>
          <w:spacing w:val="-5"/>
          <w:w w:val="120"/>
          <w:sz w:val="17"/>
        </w:rPr>
        <w:t> </w:t>
      </w:r>
      <w:r>
        <w:rPr>
          <w:color w:val="231F20"/>
          <w:w w:val="120"/>
          <w:sz w:val="17"/>
        </w:rPr>
        <w:t>qui amène</w:t>
      </w:r>
      <w:r>
        <w:rPr>
          <w:color w:val="231F20"/>
          <w:spacing w:val="-13"/>
          <w:w w:val="120"/>
          <w:sz w:val="17"/>
        </w:rPr>
        <w:t> </w:t>
      </w:r>
      <w:r>
        <w:rPr>
          <w:color w:val="231F20"/>
          <w:w w:val="120"/>
          <w:sz w:val="17"/>
        </w:rPr>
        <w:t>chacun</w:t>
      </w:r>
      <w:r>
        <w:rPr>
          <w:color w:val="231F20"/>
          <w:spacing w:val="-13"/>
          <w:w w:val="120"/>
          <w:sz w:val="17"/>
        </w:rPr>
        <w:t> </w:t>
      </w:r>
      <w:r>
        <w:rPr>
          <w:color w:val="231F20"/>
          <w:w w:val="120"/>
          <w:sz w:val="17"/>
        </w:rPr>
        <w:t>à</w:t>
      </w:r>
      <w:r>
        <w:rPr>
          <w:color w:val="231F20"/>
          <w:spacing w:val="-13"/>
          <w:w w:val="120"/>
          <w:sz w:val="17"/>
        </w:rPr>
        <w:t> </w:t>
      </w:r>
      <w:r>
        <w:rPr>
          <w:color w:val="231F20"/>
          <w:w w:val="120"/>
          <w:sz w:val="17"/>
        </w:rPr>
        <w:t>s’engager</w:t>
      </w:r>
      <w:r>
        <w:rPr>
          <w:color w:val="231F20"/>
          <w:spacing w:val="-12"/>
          <w:w w:val="120"/>
          <w:sz w:val="17"/>
        </w:rPr>
        <w:t> </w:t>
      </w:r>
      <w:r>
        <w:rPr>
          <w:color w:val="231F20"/>
          <w:w w:val="120"/>
          <w:sz w:val="17"/>
        </w:rPr>
        <w:t>à</w:t>
      </w:r>
      <w:r>
        <w:rPr>
          <w:color w:val="231F20"/>
          <w:spacing w:val="-13"/>
          <w:w w:val="120"/>
          <w:sz w:val="17"/>
        </w:rPr>
        <w:t> </w:t>
      </w:r>
      <w:r>
        <w:rPr>
          <w:color w:val="231F20"/>
          <w:w w:val="120"/>
          <w:sz w:val="17"/>
        </w:rPr>
        <w:t>fond,</w:t>
      </w:r>
      <w:r>
        <w:rPr>
          <w:color w:val="231F20"/>
          <w:spacing w:val="-13"/>
          <w:w w:val="120"/>
          <w:sz w:val="17"/>
        </w:rPr>
        <w:t> </w:t>
      </w:r>
      <w:r>
        <w:rPr>
          <w:color w:val="231F20"/>
          <w:w w:val="120"/>
          <w:sz w:val="17"/>
        </w:rPr>
        <w:t>avec</w:t>
      </w:r>
      <w:r>
        <w:rPr>
          <w:color w:val="231F20"/>
          <w:spacing w:val="-13"/>
          <w:w w:val="120"/>
          <w:sz w:val="17"/>
        </w:rPr>
        <w:t> </w:t>
      </w:r>
      <w:r>
        <w:rPr>
          <w:color w:val="231F20"/>
          <w:w w:val="120"/>
          <w:sz w:val="17"/>
        </w:rPr>
        <w:t>courage</w:t>
      </w:r>
      <w:r>
        <w:rPr>
          <w:color w:val="231F20"/>
          <w:spacing w:val="-12"/>
          <w:w w:val="120"/>
          <w:sz w:val="17"/>
        </w:rPr>
        <w:t> </w:t>
      </w:r>
      <w:r>
        <w:rPr>
          <w:color w:val="231F20"/>
          <w:w w:val="120"/>
          <w:sz w:val="17"/>
        </w:rPr>
        <w:t>et</w:t>
      </w:r>
      <w:r>
        <w:rPr>
          <w:color w:val="231F20"/>
          <w:spacing w:val="-13"/>
          <w:w w:val="120"/>
          <w:sz w:val="17"/>
        </w:rPr>
        <w:t> </w:t>
      </w:r>
      <w:r>
        <w:rPr>
          <w:color w:val="231F20"/>
          <w:w w:val="120"/>
          <w:sz w:val="17"/>
        </w:rPr>
        <w:t>prudence,</w:t>
      </w:r>
      <w:r>
        <w:rPr>
          <w:color w:val="231F20"/>
          <w:spacing w:val="-13"/>
          <w:w w:val="120"/>
          <w:sz w:val="17"/>
        </w:rPr>
        <w:t> </w:t>
      </w:r>
      <w:r>
        <w:rPr>
          <w:color w:val="231F20"/>
          <w:w w:val="120"/>
          <w:sz w:val="17"/>
        </w:rPr>
        <w:t>dans le</w:t>
      </w:r>
      <w:r>
        <w:rPr>
          <w:color w:val="231F20"/>
          <w:spacing w:val="-9"/>
          <w:w w:val="120"/>
          <w:sz w:val="17"/>
        </w:rPr>
        <w:t> </w:t>
      </w:r>
      <w:r>
        <w:rPr>
          <w:color w:val="231F20"/>
          <w:w w:val="120"/>
          <w:sz w:val="17"/>
        </w:rPr>
        <w:t>projet</w:t>
      </w:r>
      <w:r>
        <w:rPr>
          <w:color w:val="231F20"/>
          <w:spacing w:val="-9"/>
          <w:w w:val="120"/>
          <w:sz w:val="17"/>
        </w:rPr>
        <w:t> </w:t>
      </w:r>
      <w:r>
        <w:rPr>
          <w:color w:val="231F20"/>
          <w:w w:val="120"/>
          <w:sz w:val="17"/>
        </w:rPr>
        <w:t>consistant</w:t>
      </w:r>
      <w:r>
        <w:rPr>
          <w:color w:val="231F20"/>
          <w:spacing w:val="-9"/>
          <w:w w:val="120"/>
          <w:sz w:val="17"/>
        </w:rPr>
        <w:t> </w:t>
      </w:r>
      <w:r>
        <w:rPr>
          <w:color w:val="231F20"/>
          <w:w w:val="120"/>
          <w:sz w:val="17"/>
        </w:rPr>
        <w:t>à</w:t>
      </w:r>
      <w:r>
        <w:rPr>
          <w:color w:val="231F20"/>
          <w:spacing w:val="-9"/>
          <w:w w:val="120"/>
          <w:sz w:val="17"/>
        </w:rPr>
        <w:t> </w:t>
      </w:r>
      <w:r>
        <w:rPr>
          <w:color w:val="231F20"/>
          <w:w w:val="120"/>
          <w:sz w:val="17"/>
        </w:rPr>
        <w:t>définir</w:t>
      </w:r>
      <w:r>
        <w:rPr>
          <w:color w:val="231F20"/>
          <w:spacing w:val="-9"/>
          <w:w w:val="120"/>
          <w:sz w:val="17"/>
        </w:rPr>
        <w:t> </w:t>
      </w:r>
      <w:r>
        <w:rPr>
          <w:color w:val="231F20"/>
          <w:w w:val="120"/>
          <w:sz w:val="17"/>
        </w:rPr>
        <w:t>et</w:t>
      </w:r>
      <w:r>
        <w:rPr>
          <w:color w:val="231F20"/>
          <w:spacing w:val="-9"/>
          <w:w w:val="120"/>
          <w:sz w:val="17"/>
        </w:rPr>
        <w:t> </w:t>
      </w:r>
      <w:r>
        <w:rPr>
          <w:color w:val="231F20"/>
          <w:w w:val="120"/>
          <w:sz w:val="17"/>
        </w:rPr>
        <w:t>à</w:t>
      </w:r>
      <w:r>
        <w:rPr>
          <w:color w:val="231F20"/>
          <w:spacing w:val="-9"/>
          <w:w w:val="120"/>
          <w:sz w:val="17"/>
        </w:rPr>
        <w:t> </w:t>
      </w:r>
      <w:r>
        <w:rPr>
          <w:color w:val="231F20"/>
          <w:w w:val="120"/>
          <w:sz w:val="17"/>
        </w:rPr>
        <w:t>mettre</w:t>
      </w:r>
      <w:r>
        <w:rPr>
          <w:color w:val="231F20"/>
          <w:spacing w:val="-9"/>
          <w:w w:val="120"/>
          <w:sz w:val="17"/>
        </w:rPr>
        <w:t> </w:t>
      </w:r>
      <w:r>
        <w:rPr>
          <w:color w:val="231F20"/>
          <w:w w:val="120"/>
          <w:sz w:val="17"/>
        </w:rPr>
        <w:t>en</w:t>
      </w:r>
      <w:r>
        <w:rPr>
          <w:color w:val="231F20"/>
          <w:spacing w:val="-9"/>
          <w:w w:val="120"/>
          <w:sz w:val="17"/>
        </w:rPr>
        <w:t> </w:t>
      </w:r>
      <w:r>
        <w:rPr>
          <w:color w:val="231F20"/>
          <w:w w:val="120"/>
          <w:sz w:val="17"/>
        </w:rPr>
        <w:t>application</w:t>
      </w:r>
      <w:r>
        <w:rPr>
          <w:color w:val="231F20"/>
          <w:spacing w:val="-9"/>
          <w:w w:val="120"/>
          <w:sz w:val="17"/>
        </w:rPr>
        <w:t> </w:t>
      </w:r>
      <w:r>
        <w:rPr>
          <w:color w:val="231F20"/>
          <w:w w:val="120"/>
          <w:sz w:val="17"/>
        </w:rPr>
        <w:t>les</w:t>
      </w:r>
      <w:r>
        <w:rPr>
          <w:color w:val="231F20"/>
          <w:spacing w:val="-9"/>
          <w:w w:val="120"/>
          <w:sz w:val="17"/>
        </w:rPr>
        <w:t> </w:t>
      </w:r>
      <w:r>
        <w:rPr>
          <w:color w:val="231F20"/>
          <w:w w:val="120"/>
          <w:sz w:val="17"/>
        </w:rPr>
        <w:t>valeurs communes à tous.</w:t>
      </w:r>
    </w:p>
    <w:p>
      <w:pPr>
        <w:pStyle w:val="ListParagraph"/>
        <w:numPr>
          <w:ilvl w:val="0"/>
          <w:numId w:val="98"/>
        </w:numPr>
        <w:tabs>
          <w:tab w:pos="1721" w:val="left" w:leader="none"/>
        </w:tabs>
        <w:spacing w:line="307" w:lineRule="auto" w:before="0" w:after="0"/>
        <w:ind w:left="1720" w:right="105" w:hanging="251"/>
        <w:jc w:val="both"/>
        <w:rPr>
          <w:sz w:val="17"/>
        </w:rPr>
      </w:pPr>
      <w:r>
        <w:rPr>
          <w:i/>
          <w:color w:val="231F20"/>
          <w:w w:val="120"/>
          <w:sz w:val="17"/>
        </w:rPr>
        <w:t>Le dialogue imaginatif</w:t>
      </w:r>
      <w:r>
        <w:rPr>
          <w:color w:val="231F20"/>
          <w:w w:val="120"/>
          <w:sz w:val="17"/>
        </w:rPr>
        <w:t>. La libération du talent créatif dans un contexte de participation, d’optimisme et de dialogue doit per- mettre</w:t>
      </w:r>
      <w:r>
        <w:rPr>
          <w:color w:val="231F20"/>
          <w:spacing w:val="-5"/>
          <w:w w:val="120"/>
          <w:sz w:val="17"/>
        </w:rPr>
        <w:t> </w:t>
      </w:r>
      <w:r>
        <w:rPr>
          <w:color w:val="231F20"/>
          <w:w w:val="120"/>
          <w:sz w:val="17"/>
        </w:rPr>
        <w:t>de</w:t>
      </w:r>
      <w:r>
        <w:rPr>
          <w:color w:val="231F20"/>
          <w:spacing w:val="-5"/>
          <w:w w:val="120"/>
          <w:sz w:val="17"/>
        </w:rPr>
        <w:t> </w:t>
      </w:r>
      <w:r>
        <w:rPr>
          <w:color w:val="231F20"/>
          <w:w w:val="120"/>
          <w:sz w:val="17"/>
        </w:rPr>
        <w:t>formuler,</w:t>
      </w:r>
      <w:r>
        <w:rPr>
          <w:color w:val="231F20"/>
          <w:spacing w:val="-5"/>
          <w:w w:val="120"/>
          <w:sz w:val="17"/>
        </w:rPr>
        <w:t> </w:t>
      </w:r>
      <w:r>
        <w:rPr>
          <w:color w:val="231F20"/>
          <w:w w:val="120"/>
          <w:sz w:val="17"/>
        </w:rPr>
        <w:t>d’interpréter</w:t>
      </w:r>
      <w:r>
        <w:rPr>
          <w:color w:val="231F20"/>
          <w:spacing w:val="-5"/>
          <w:w w:val="120"/>
          <w:sz w:val="17"/>
        </w:rPr>
        <w:t> </w:t>
      </w:r>
      <w:r>
        <w:rPr>
          <w:color w:val="231F20"/>
          <w:w w:val="120"/>
          <w:sz w:val="17"/>
        </w:rPr>
        <w:t>et</w:t>
      </w:r>
      <w:r>
        <w:rPr>
          <w:color w:val="231F20"/>
          <w:spacing w:val="-5"/>
          <w:w w:val="120"/>
          <w:sz w:val="17"/>
        </w:rPr>
        <w:t> </w:t>
      </w:r>
      <w:r>
        <w:rPr>
          <w:color w:val="231F20"/>
          <w:w w:val="120"/>
          <w:sz w:val="17"/>
        </w:rPr>
        <w:t>de</w:t>
      </w:r>
      <w:r>
        <w:rPr>
          <w:color w:val="231F20"/>
          <w:spacing w:val="-5"/>
          <w:w w:val="120"/>
          <w:sz w:val="17"/>
        </w:rPr>
        <w:t> </w:t>
      </w:r>
      <w:r>
        <w:rPr>
          <w:color w:val="231F20"/>
          <w:w w:val="120"/>
          <w:sz w:val="17"/>
        </w:rPr>
        <w:t>rechercher</w:t>
      </w:r>
      <w:r>
        <w:rPr>
          <w:color w:val="231F20"/>
          <w:spacing w:val="-5"/>
          <w:w w:val="120"/>
          <w:sz w:val="17"/>
        </w:rPr>
        <w:t> </w:t>
      </w:r>
      <w:r>
        <w:rPr>
          <w:color w:val="231F20"/>
          <w:w w:val="120"/>
          <w:sz w:val="17"/>
        </w:rPr>
        <w:t>des</w:t>
      </w:r>
      <w:r>
        <w:rPr>
          <w:color w:val="231F20"/>
          <w:spacing w:val="-5"/>
          <w:w w:val="120"/>
          <w:sz w:val="17"/>
        </w:rPr>
        <w:t> </w:t>
      </w:r>
      <w:r>
        <w:rPr>
          <w:color w:val="231F20"/>
          <w:w w:val="120"/>
          <w:sz w:val="17"/>
        </w:rPr>
        <w:t>moyens</w:t>
      </w:r>
      <w:r>
        <w:rPr>
          <w:color w:val="231F20"/>
          <w:spacing w:val="-5"/>
          <w:w w:val="120"/>
          <w:sz w:val="17"/>
        </w:rPr>
        <w:t> </w:t>
      </w:r>
      <w:r>
        <w:rPr>
          <w:color w:val="231F20"/>
          <w:w w:val="120"/>
          <w:sz w:val="17"/>
        </w:rPr>
        <w:t>de mettre en application les valeurs communes à tous.</w:t>
      </w:r>
    </w:p>
    <w:p>
      <w:pPr>
        <w:spacing w:after="0" w:line="307" w:lineRule="auto"/>
        <w:jc w:val="both"/>
        <w:rPr>
          <w:sz w:val="17"/>
        </w:rPr>
        <w:sectPr>
          <w:footerReference w:type="default" r:id="rId335"/>
          <w:pgSz w:w="8640" w:h="12960"/>
          <w:pgMar w:footer="424" w:header="0" w:top="500" w:bottom="620" w:left="420" w:right="1140"/>
        </w:sectPr>
      </w:pPr>
    </w:p>
    <w:p>
      <w:pPr>
        <w:spacing w:before="103"/>
        <w:ind w:left="1028" w:right="698" w:firstLine="0"/>
        <w:jc w:val="center"/>
        <w:rPr>
          <w:rFonts w:ascii="Arial" w:hAnsi="Arial"/>
          <w:sz w:val="14"/>
        </w:rPr>
      </w:pPr>
      <w:bookmarkStart w:name=" 5.3.6 / Exemples d’intervention en mati" w:id="199"/>
      <w:bookmarkEnd w:id="199"/>
      <w:r>
        <w:rPr/>
      </w:r>
      <w:bookmarkStart w:name="_bookmark89" w:id="200"/>
      <w:bookmarkEnd w:id="200"/>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99"/>
        </w:numPr>
        <w:tabs>
          <w:tab w:pos="1331" w:val="left" w:leader="none"/>
        </w:tabs>
        <w:spacing w:line="307" w:lineRule="auto" w:before="117" w:after="0"/>
        <w:ind w:left="1330" w:right="493" w:hanging="251"/>
        <w:jc w:val="both"/>
        <w:rPr>
          <w:sz w:val="17"/>
        </w:rPr>
      </w:pPr>
      <w:r>
        <w:rPr>
          <w:i/>
          <w:color w:val="231F20"/>
          <w:w w:val="115"/>
          <w:sz w:val="17"/>
        </w:rPr>
        <w:t>L’intégrité</w:t>
      </w:r>
      <w:r>
        <w:rPr>
          <w:i/>
          <w:color w:val="231F20"/>
          <w:spacing w:val="-3"/>
          <w:w w:val="115"/>
          <w:sz w:val="17"/>
        </w:rPr>
        <w:t> </w:t>
      </w:r>
      <w:r>
        <w:rPr>
          <w:i/>
          <w:color w:val="231F20"/>
          <w:w w:val="115"/>
          <w:sz w:val="17"/>
        </w:rPr>
        <w:t>constante</w:t>
      </w:r>
      <w:r>
        <w:rPr>
          <w:color w:val="231F20"/>
          <w:w w:val="115"/>
          <w:sz w:val="17"/>
        </w:rPr>
        <w:t>.</w:t>
      </w:r>
      <w:r>
        <w:rPr>
          <w:color w:val="231F20"/>
          <w:spacing w:val="-3"/>
          <w:w w:val="115"/>
          <w:sz w:val="17"/>
        </w:rPr>
        <w:t> </w:t>
      </w:r>
      <w:r>
        <w:rPr>
          <w:color w:val="231F20"/>
          <w:w w:val="115"/>
          <w:sz w:val="17"/>
        </w:rPr>
        <w:t>La</w:t>
      </w:r>
      <w:r>
        <w:rPr>
          <w:color w:val="231F20"/>
          <w:spacing w:val="-3"/>
          <w:w w:val="115"/>
          <w:sz w:val="17"/>
        </w:rPr>
        <w:t> </w:t>
      </w:r>
      <w:r>
        <w:rPr>
          <w:color w:val="231F20"/>
          <w:w w:val="115"/>
          <w:sz w:val="17"/>
        </w:rPr>
        <w:t>solidité</w:t>
      </w:r>
      <w:r>
        <w:rPr>
          <w:color w:val="231F20"/>
          <w:spacing w:val="-3"/>
          <w:w w:val="115"/>
          <w:sz w:val="17"/>
        </w:rPr>
        <w:t> </w:t>
      </w:r>
      <w:r>
        <w:rPr>
          <w:color w:val="231F20"/>
          <w:w w:val="115"/>
          <w:sz w:val="17"/>
        </w:rPr>
        <w:t>de</w:t>
      </w:r>
      <w:r>
        <w:rPr>
          <w:color w:val="231F20"/>
          <w:spacing w:val="-3"/>
          <w:w w:val="115"/>
          <w:sz w:val="17"/>
        </w:rPr>
        <w:t> </w:t>
      </w:r>
      <w:r>
        <w:rPr>
          <w:color w:val="231F20"/>
          <w:w w:val="115"/>
          <w:sz w:val="17"/>
        </w:rPr>
        <w:t>la</w:t>
      </w:r>
      <w:r>
        <w:rPr>
          <w:color w:val="231F20"/>
          <w:spacing w:val="-3"/>
          <w:w w:val="115"/>
          <w:sz w:val="17"/>
        </w:rPr>
        <w:t> </w:t>
      </w:r>
      <w:r>
        <w:rPr>
          <w:color w:val="231F20"/>
          <w:w w:val="115"/>
          <w:sz w:val="17"/>
        </w:rPr>
        <w:t>cohérence</w:t>
      </w:r>
      <w:r>
        <w:rPr>
          <w:color w:val="231F20"/>
          <w:spacing w:val="-3"/>
          <w:w w:val="115"/>
          <w:sz w:val="17"/>
        </w:rPr>
        <w:t> </w:t>
      </w:r>
      <w:r>
        <w:rPr>
          <w:color w:val="231F20"/>
          <w:w w:val="115"/>
          <w:sz w:val="17"/>
        </w:rPr>
        <w:t>déclaratoire</w:t>
      </w:r>
      <w:r>
        <w:rPr>
          <w:color w:val="231F20"/>
          <w:spacing w:val="-3"/>
          <w:w w:val="115"/>
          <w:sz w:val="17"/>
        </w:rPr>
        <w:t> </w:t>
      </w:r>
      <w:r>
        <w:rPr>
          <w:color w:val="231F20"/>
          <w:w w:val="115"/>
          <w:sz w:val="17"/>
        </w:rPr>
        <w:t>entre </w:t>
      </w:r>
      <w:r>
        <w:rPr>
          <w:color w:val="231F20"/>
          <w:w w:val="120"/>
          <w:sz w:val="17"/>
        </w:rPr>
        <w:t>ce que les gens disent avoir l’intention de faire et ce qu’ils font réellement, à tous les niveaux, doit permettre d’enclencher, </w:t>
      </w:r>
      <w:r>
        <w:rPr>
          <w:color w:val="231F20"/>
          <w:w w:val="120"/>
          <w:sz w:val="17"/>
        </w:rPr>
        <w:t>de</w:t>
      </w:r>
      <w:r>
        <w:rPr>
          <w:color w:val="231F20"/>
          <w:w w:val="120"/>
          <w:sz w:val="17"/>
        </w:rPr>
        <w:t> </w:t>
      </w:r>
      <w:r>
        <w:rPr>
          <w:color w:val="231F20"/>
          <w:spacing w:val="-4"/>
          <w:w w:val="120"/>
          <w:sz w:val="17"/>
        </w:rPr>
        <w:t>maintenir et d’évaluer périodiquement le projet consistant à définir </w:t>
      </w:r>
      <w:r>
        <w:rPr>
          <w:color w:val="231F20"/>
          <w:w w:val="120"/>
          <w:sz w:val="17"/>
        </w:rPr>
        <w:t>et à mettre en application les valeurs communes à tous.</w:t>
      </w:r>
    </w:p>
    <w:p>
      <w:pPr>
        <w:pStyle w:val="BodyText"/>
        <w:spacing w:before="10"/>
        <w:rPr>
          <w:sz w:val="26"/>
        </w:rPr>
      </w:pPr>
    </w:p>
    <w:p>
      <w:pPr>
        <w:pStyle w:val="Heading4"/>
        <w:numPr>
          <w:ilvl w:val="2"/>
          <w:numId w:val="89"/>
        </w:numPr>
        <w:tabs>
          <w:tab w:pos="529" w:val="left" w:leader="none"/>
          <w:tab w:pos="829" w:val="left" w:leader="none"/>
        </w:tabs>
        <w:spacing w:line="240" w:lineRule="auto" w:before="0" w:after="0"/>
        <w:ind w:left="528" w:right="0" w:hanging="408"/>
        <w:jc w:val="left"/>
      </w:pPr>
      <w:r>
        <w:rPr>
          <w:b w:val="0"/>
          <w:i/>
          <w:color w:val="231F20"/>
          <w:spacing w:val="-10"/>
        </w:rPr>
        <w:t>/</w:t>
      </w:r>
      <w:r>
        <w:rPr>
          <w:b w:val="0"/>
          <w:i/>
          <w:color w:val="231F20"/>
        </w:rPr>
        <w:tab/>
      </w:r>
      <w:r>
        <w:rPr>
          <w:color w:val="231F20"/>
          <w:w w:val="95"/>
        </w:rPr>
        <w:t>Exemples</w:t>
      </w:r>
      <w:r>
        <w:rPr>
          <w:color w:val="231F20"/>
          <w:spacing w:val="-9"/>
          <w:w w:val="95"/>
        </w:rPr>
        <w:t> </w:t>
      </w:r>
      <w:r>
        <w:rPr>
          <w:color w:val="231F20"/>
          <w:w w:val="95"/>
        </w:rPr>
        <w:t>d’intervention</w:t>
      </w:r>
      <w:r>
        <w:rPr>
          <w:color w:val="231F20"/>
          <w:spacing w:val="-9"/>
          <w:w w:val="95"/>
        </w:rPr>
        <w:t> </w:t>
      </w:r>
      <w:r>
        <w:rPr>
          <w:color w:val="231F20"/>
          <w:w w:val="95"/>
        </w:rPr>
        <w:t>en</w:t>
      </w:r>
      <w:r>
        <w:rPr>
          <w:color w:val="231F20"/>
          <w:spacing w:val="-8"/>
          <w:w w:val="95"/>
        </w:rPr>
        <w:t> </w:t>
      </w:r>
      <w:r>
        <w:rPr>
          <w:color w:val="231F20"/>
          <w:w w:val="95"/>
        </w:rPr>
        <w:t>matière</w:t>
      </w:r>
      <w:r>
        <w:rPr>
          <w:color w:val="231F20"/>
          <w:spacing w:val="-9"/>
          <w:w w:val="95"/>
        </w:rPr>
        <w:t> </w:t>
      </w:r>
      <w:r>
        <w:rPr>
          <w:color w:val="231F20"/>
          <w:w w:val="95"/>
        </w:rPr>
        <w:t>de</w:t>
      </w:r>
      <w:r>
        <w:rPr>
          <w:color w:val="231F20"/>
          <w:spacing w:val="-8"/>
          <w:w w:val="95"/>
        </w:rPr>
        <w:t> </w:t>
      </w:r>
      <w:r>
        <w:rPr>
          <w:color w:val="231F20"/>
          <w:w w:val="95"/>
        </w:rPr>
        <w:t>stress</w:t>
      </w:r>
      <w:r>
        <w:rPr>
          <w:color w:val="231F20"/>
          <w:spacing w:val="-9"/>
          <w:w w:val="95"/>
        </w:rPr>
        <w:t> </w:t>
      </w:r>
      <w:r>
        <w:rPr>
          <w:color w:val="231F20"/>
          <w:w w:val="95"/>
        </w:rPr>
        <w:t>dans</w:t>
      </w:r>
      <w:r>
        <w:rPr>
          <w:color w:val="231F20"/>
          <w:spacing w:val="-8"/>
          <w:w w:val="95"/>
        </w:rPr>
        <w:t> </w:t>
      </w:r>
      <w:r>
        <w:rPr>
          <w:color w:val="231F20"/>
          <w:w w:val="95"/>
        </w:rPr>
        <w:t>les</w:t>
      </w:r>
      <w:r>
        <w:rPr>
          <w:color w:val="231F20"/>
          <w:spacing w:val="-9"/>
          <w:w w:val="95"/>
        </w:rPr>
        <w:t> </w:t>
      </w:r>
      <w:r>
        <w:rPr>
          <w:color w:val="231F20"/>
          <w:spacing w:val="-2"/>
          <w:w w:val="95"/>
        </w:rPr>
        <w:t>organisations</w:t>
      </w:r>
    </w:p>
    <w:p>
      <w:pPr>
        <w:pStyle w:val="BodyText"/>
        <w:spacing w:line="307" w:lineRule="auto" w:before="233"/>
        <w:ind w:left="830" w:right="494"/>
        <w:jc w:val="both"/>
      </w:pPr>
      <w:r>
        <w:rPr>
          <w:color w:val="231F20"/>
          <w:spacing w:val="-2"/>
          <w:w w:val="120"/>
        </w:rPr>
        <w:t>Comme</w:t>
      </w:r>
      <w:r>
        <w:rPr>
          <w:color w:val="231F20"/>
          <w:spacing w:val="-11"/>
          <w:w w:val="120"/>
        </w:rPr>
        <w:t> </w:t>
      </w:r>
      <w:r>
        <w:rPr>
          <w:color w:val="231F20"/>
          <w:spacing w:val="-2"/>
          <w:w w:val="120"/>
        </w:rPr>
        <w:t>nous</w:t>
      </w:r>
      <w:r>
        <w:rPr>
          <w:color w:val="231F20"/>
          <w:spacing w:val="-11"/>
          <w:w w:val="120"/>
        </w:rPr>
        <w:t> </w:t>
      </w:r>
      <w:r>
        <w:rPr>
          <w:color w:val="231F20"/>
          <w:spacing w:val="-2"/>
          <w:w w:val="120"/>
        </w:rPr>
        <w:t>venons</w:t>
      </w:r>
      <w:r>
        <w:rPr>
          <w:color w:val="231F20"/>
          <w:spacing w:val="-11"/>
          <w:w w:val="120"/>
        </w:rPr>
        <w:t> </w:t>
      </w:r>
      <w:r>
        <w:rPr>
          <w:color w:val="231F20"/>
          <w:spacing w:val="-2"/>
          <w:w w:val="120"/>
        </w:rPr>
        <w:t>de</w:t>
      </w:r>
      <w:r>
        <w:rPr>
          <w:color w:val="231F20"/>
          <w:spacing w:val="-10"/>
          <w:w w:val="120"/>
        </w:rPr>
        <w:t> </w:t>
      </w:r>
      <w:r>
        <w:rPr>
          <w:color w:val="231F20"/>
          <w:spacing w:val="-2"/>
          <w:w w:val="120"/>
        </w:rPr>
        <w:t>le</w:t>
      </w:r>
      <w:r>
        <w:rPr>
          <w:color w:val="231F20"/>
          <w:spacing w:val="-11"/>
          <w:w w:val="120"/>
        </w:rPr>
        <w:t> </w:t>
      </w:r>
      <w:r>
        <w:rPr>
          <w:color w:val="231F20"/>
          <w:spacing w:val="-2"/>
          <w:w w:val="120"/>
        </w:rPr>
        <w:t>voir,</w:t>
      </w:r>
      <w:r>
        <w:rPr>
          <w:color w:val="231F20"/>
          <w:spacing w:val="-11"/>
          <w:w w:val="120"/>
        </w:rPr>
        <w:t> </w:t>
      </w:r>
      <w:r>
        <w:rPr>
          <w:color w:val="231F20"/>
          <w:spacing w:val="-2"/>
          <w:w w:val="120"/>
        </w:rPr>
        <w:t>de</w:t>
      </w:r>
      <w:r>
        <w:rPr>
          <w:color w:val="231F20"/>
          <w:spacing w:val="-11"/>
          <w:w w:val="120"/>
        </w:rPr>
        <w:t> </w:t>
      </w:r>
      <w:r>
        <w:rPr>
          <w:color w:val="231F20"/>
          <w:spacing w:val="-2"/>
          <w:w w:val="120"/>
        </w:rPr>
        <w:t>nombreuses</w:t>
      </w:r>
      <w:r>
        <w:rPr>
          <w:color w:val="231F20"/>
          <w:spacing w:val="-10"/>
          <w:w w:val="120"/>
        </w:rPr>
        <w:t> </w:t>
      </w:r>
      <w:r>
        <w:rPr>
          <w:color w:val="231F20"/>
          <w:spacing w:val="-2"/>
          <w:w w:val="120"/>
        </w:rPr>
        <w:t>stratégies</w:t>
      </w:r>
      <w:r>
        <w:rPr>
          <w:color w:val="231F20"/>
          <w:spacing w:val="-11"/>
          <w:w w:val="120"/>
        </w:rPr>
        <w:t> </w:t>
      </w:r>
      <w:r>
        <w:rPr>
          <w:color w:val="231F20"/>
          <w:spacing w:val="-2"/>
          <w:w w:val="120"/>
        </w:rPr>
        <w:t>d’interventions </w:t>
      </w:r>
      <w:r>
        <w:rPr>
          <w:color w:val="231F20"/>
          <w:w w:val="120"/>
        </w:rPr>
        <w:t>en matière de stress au travail existent, mais aucune d’entre elles ne </w:t>
      </w:r>
      <w:r>
        <w:rPr>
          <w:color w:val="231F20"/>
          <w:spacing w:val="-4"/>
          <w:w w:val="120"/>
        </w:rPr>
        <w:t>constitue une panacée capable, dans n’importe quel contexte, d’éradiquer </w:t>
      </w:r>
      <w:r>
        <w:rPr>
          <w:color w:val="231F20"/>
          <w:w w:val="120"/>
        </w:rPr>
        <w:t>le problème. Bien que les problématiques organisationnelles de stress </w:t>
      </w:r>
      <w:r>
        <w:rPr>
          <w:color w:val="231F20"/>
          <w:spacing w:val="-2"/>
          <w:w w:val="120"/>
        </w:rPr>
        <w:t>partagent</w:t>
      </w:r>
      <w:r>
        <w:rPr>
          <w:color w:val="231F20"/>
          <w:spacing w:val="-11"/>
          <w:w w:val="120"/>
        </w:rPr>
        <w:t> </w:t>
      </w:r>
      <w:r>
        <w:rPr>
          <w:color w:val="231F20"/>
          <w:spacing w:val="-2"/>
          <w:w w:val="120"/>
        </w:rPr>
        <w:t>souvent</w:t>
      </w:r>
      <w:r>
        <w:rPr>
          <w:color w:val="231F20"/>
          <w:spacing w:val="-11"/>
          <w:w w:val="120"/>
        </w:rPr>
        <w:t> </w:t>
      </w:r>
      <w:r>
        <w:rPr>
          <w:color w:val="231F20"/>
          <w:spacing w:val="-2"/>
          <w:w w:val="120"/>
        </w:rPr>
        <w:t>certains</w:t>
      </w:r>
      <w:r>
        <w:rPr>
          <w:color w:val="231F20"/>
          <w:spacing w:val="-10"/>
          <w:w w:val="120"/>
        </w:rPr>
        <w:t> </w:t>
      </w:r>
      <w:r>
        <w:rPr>
          <w:color w:val="231F20"/>
          <w:spacing w:val="-2"/>
          <w:w w:val="120"/>
        </w:rPr>
        <w:t>dénominateurs</w:t>
      </w:r>
      <w:r>
        <w:rPr>
          <w:color w:val="231F20"/>
          <w:spacing w:val="-11"/>
          <w:w w:val="120"/>
        </w:rPr>
        <w:t> </w:t>
      </w:r>
      <w:r>
        <w:rPr>
          <w:color w:val="231F20"/>
          <w:spacing w:val="-2"/>
          <w:w w:val="120"/>
        </w:rPr>
        <w:t>communs,</w:t>
      </w:r>
      <w:r>
        <w:rPr>
          <w:color w:val="231F20"/>
          <w:spacing w:val="-11"/>
          <w:w w:val="120"/>
        </w:rPr>
        <w:t> </w:t>
      </w:r>
      <w:r>
        <w:rPr>
          <w:color w:val="231F20"/>
          <w:spacing w:val="-2"/>
          <w:w w:val="120"/>
        </w:rPr>
        <w:t>les</w:t>
      </w:r>
      <w:r>
        <w:rPr>
          <w:color w:val="231F20"/>
          <w:spacing w:val="-10"/>
          <w:w w:val="120"/>
        </w:rPr>
        <w:t> </w:t>
      </w:r>
      <w:r>
        <w:rPr>
          <w:color w:val="231F20"/>
          <w:spacing w:val="-2"/>
          <w:w w:val="120"/>
        </w:rPr>
        <w:t>facteurs</w:t>
      </w:r>
      <w:r>
        <w:rPr>
          <w:color w:val="231F20"/>
          <w:spacing w:val="-11"/>
          <w:w w:val="120"/>
        </w:rPr>
        <w:t> </w:t>
      </w:r>
      <w:r>
        <w:rPr>
          <w:color w:val="231F20"/>
          <w:spacing w:val="-2"/>
          <w:w w:val="120"/>
        </w:rPr>
        <w:t>propres </w:t>
      </w:r>
      <w:r>
        <w:rPr>
          <w:color w:val="231F20"/>
          <w:w w:val="120"/>
        </w:rPr>
        <w:t>à chaque organisation jouent un rôle primordial dans la dynamique du stress</w:t>
      </w:r>
      <w:r>
        <w:rPr>
          <w:color w:val="231F20"/>
          <w:spacing w:val="-2"/>
          <w:w w:val="120"/>
        </w:rPr>
        <w:t> </w:t>
      </w:r>
      <w:r>
        <w:rPr>
          <w:color w:val="231F20"/>
          <w:w w:val="120"/>
        </w:rPr>
        <w:t>au</w:t>
      </w:r>
      <w:r>
        <w:rPr>
          <w:color w:val="231F20"/>
          <w:spacing w:val="-2"/>
          <w:w w:val="120"/>
        </w:rPr>
        <w:t> </w:t>
      </w:r>
      <w:r>
        <w:rPr>
          <w:color w:val="231F20"/>
          <w:w w:val="120"/>
        </w:rPr>
        <w:t>travail.</w:t>
      </w:r>
      <w:r>
        <w:rPr>
          <w:color w:val="231F20"/>
          <w:spacing w:val="-2"/>
          <w:w w:val="120"/>
        </w:rPr>
        <w:t> </w:t>
      </w:r>
      <w:r>
        <w:rPr>
          <w:color w:val="231F20"/>
          <w:w w:val="120"/>
        </w:rPr>
        <w:t>Nous</w:t>
      </w:r>
      <w:r>
        <w:rPr>
          <w:color w:val="231F20"/>
          <w:spacing w:val="-2"/>
          <w:w w:val="120"/>
        </w:rPr>
        <w:t> </w:t>
      </w:r>
      <w:r>
        <w:rPr>
          <w:color w:val="231F20"/>
          <w:w w:val="120"/>
        </w:rPr>
        <w:t>présentons</w:t>
      </w:r>
      <w:r>
        <w:rPr>
          <w:color w:val="231F20"/>
          <w:spacing w:val="-2"/>
          <w:w w:val="120"/>
        </w:rPr>
        <w:t> </w:t>
      </w:r>
      <w:r>
        <w:rPr>
          <w:color w:val="231F20"/>
          <w:w w:val="120"/>
        </w:rPr>
        <w:t>dans</w:t>
      </w:r>
      <w:r>
        <w:rPr>
          <w:color w:val="231F20"/>
          <w:spacing w:val="-2"/>
          <w:w w:val="120"/>
        </w:rPr>
        <w:t> </w:t>
      </w:r>
      <w:r>
        <w:rPr>
          <w:color w:val="231F20"/>
          <w:w w:val="120"/>
        </w:rPr>
        <w:t>cette</w:t>
      </w:r>
      <w:r>
        <w:rPr>
          <w:color w:val="231F20"/>
          <w:spacing w:val="-2"/>
          <w:w w:val="120"/>
        </w:rPr>
        <w:t> </w:t>
      </w:r>
      <w:r>
        <w:rPr>
          <w:color w:val="231F20"/>
          <w:w w:val="120"/>
        </w:rPr>
        <w:t>section</w:t>
      </w:r>
      <w:r>
        <w:rPr>
          <w:color w:val="231F20"/>
          <w:spacing w:val="-2"/>
          <w:w w:val="120"/>
        </w:rPr>
        <w:t> </w:t>
      </w:r>
      <w:r>
        <w:rPr>
          <w:color w:val="231F20"/>
          <w:w w:val="120"/>
        </w:rPr>
        <w:t>deux</w:t>
      </w:r>
      <w:r>
        <w:rPr>
          <w:color w:val="231F20"/>
          <w:spacing w:val="-2"/>
          <w:w w:val="120"/>
        </w:rPr>
        <w:t> </w:t>
      </w:r>
      <w:r>
        <w:rPr>
          <w:color w:val="231F20"/>
          <w:w w:val="120"/>
        </w:rPr>
        <w:t>exemples</w:t>
      </w:r>
      <w:r>
        <w:rPr>
          <w:color w:val="231F20"/>
          <w:spacing w:val="-2"/>
          <w:w w:val="120"/>
        </w:rPr>
        <w:t> </w:t>
      </w:r>
      <w:r>
        <w:rPr>
          <w:color w:val="231F20"/>
          <w:w w:val="120"/>
        </w:rPr>
        <w:t>de </w:t>
      </w:r>
      <w:r>
        <w:rPr>
          <w:color w:val="231F20"/>
          <w:w w:val="115"/>
        </w:rPr>
        <w:t>cas concrets d’intervention organisationnelle afin d’améliorer la gestion </w:t>
      </w:r>
      <w:r>
        <w:rPr>
          <w:color w:val="231F20"/>
          <w:w w:val="120"/>
        </w:rPr>
        <w:t>du stress professionnel.</w:t>
      </w:r>
    </w:p>
    <w:p>
      <w:pPr>
        <w:pStyle w:val="BodyText"/>
        <w:spacing w:before="7"/>
        <w:rPr>
          <w:sz w:val="21"/>
        </w:rPr>
      </w:pPr>
    </w:p>
    <w:p>
      <w:pPr>
        <w:pStyle w:val="BodyText"/>
        <w:spacing w:line="307" w:lineRule="auto"/>
        <w:ind w:left="830" w:right="493"/>
        <w:jc w:val="both"/>
      </w:pPr>
      <w:r>
        <w:rPr>
          <w:b/>
          <w:color w:val="231F20"/>
          <w:w w:val="115"/>
        </w:rPr>
        <w:t>Intervention dans une organisation de service</w:t>
      </w:r>
      <w:r>
        <w:rPr>
          <w:color w:val="231F20"/>
          <w:w w:val="115"/>
        </w:rPr>
        <w:t>. Dans une organisation, </w:t>
      </w:r>
      <w:r>
        <w:rPr>
          <w:color w:val="231F20"/>
          <w:spacing w:val="-2"/>
          <w:w w:val="120"/>
        </w:rPr>
        <w:t>la</w:t>
      </w:r>
      <w:r>
        <w:rPr>
          <w:color w:val="231F20"/>
          <w:spacing w:val="-10"/>
          <w:w w:val="120"/>
        </w:rPr>
        <w:t> </w:t>
      </w:r>
      <w:r>
        <w:rPr>
          <w:color w:val="231F20"/>
          <w:spacing w:val="-2"/>
          <w:w w:val="120"/>
        </w:rPr>
        <w:t>directrice</w:t>
      </w:r>
      <w:r>
        <w:rPr>
          <w:color w:val="231F20"/>
          <w:spacing w:val="-10"/>
          <w:w w:val="120"/>
        </w:rPr>
        <w:t> </w:t>
      </w:r>
      <w:r>
        <w:rPr>
          <w:color w:val="231F20"/>
          <w:spacing w:val="-2"/>
          <w:w w:val="120"/>
        </w:rPr>
        <w:t>d’un</w:t>
      </w:r>
      <w:r>
        <w:rPr>
          <w:color w:val="231F20"/>
          <w:spacing w:val="-10"/>
          <w:w w:val="120"/>
        </w:rPr>
        <w:t> </w:t>
      </w:r>
      <w:r>
        <w:rPr>
          <w:color w:val="231F20"/>
          <w:spacing w:val="-2"/>
          <w:w w:val="120"/>
        </w:rPr>
        <w:t>service</w:t>
      </w:r>
      <w:r>
        <w:rPr>
          <w:color w:val="231F20"/>
          <w:spacing w:val="-10"/>
          <w:w w:val="120"/>
        </w:rPr>
        <w:t> </w:t>
      </w:r>
      <w:r>
        <w:rPr>
          <w:color w:val="231F20"/>
          <w:spacing w:val="-2"/>
          <w:w w:val="120"/>
        </w:rPr>
        <w:t>remarque</w:t>
      </w:r>
      <w:r>
        <w:rPr>
          <w:color w:val="231F20"/>
          <w:spacing w:val="-10"/>
          <w:w w:val="120"/>
        </w:rPr>
        <w:t> </w:t>
      </w:r>
      <w:r>
        <w:rPr>
          <w:color w:val="231F20"/>
          <w:spacing w:val="-2"/>
          <w:w w:val="120"/>
        </w:rPr>
        <w:t>une</w:t>
      </w:r>
      <w:r>
        <w:rPr>
          <w:color w:val="231F20"/>
          <w:spacing w:val="-10"/>
          <w:w w:val="120"/>
        </w:rPr>
        <w:t> </w:t>
      </w:r>
      <w:r>
        <w:rPr>
          <w:color w:val="231F20"/>
          <w:spacing w:val="-2"/>
          <w:w w:val="120"/>
        </w:rPr>
        <w:t>augmentation</w:t>
      </w:r>
      <w:r>
        <w:rPr>
          <w:color w:val="231F20"/>
          <w:spacing w:val="-10"/>
          <w:w w:val="120"/>
        </w:rPr>
        <w:t> </w:t>
      </w:r>
      <w:r>
        <w:rPr>
          <w:color w:val="231F20"/>
          <w:spacing w:val="-2"/>
          <w:w w:val="120"/>
        </w:rPr>
        <w:t>des</w:t>
      </w:r>
      <w:r>
        <w:rPr>
          <w:color w:val="231F20"/>
          <w:spacing w:val="-10"/>
          <w:w w:val="120"/>
        </w:rPr>
        <w:t> </w:t>
      </w:r>
      <w:r>
        <w:rPr>
          <w:color w:val="231F20"/>
          <w:spacing w:val="-2"/>
          <w:w w:val="120"/>
        </w:rPr>
        <w:t>tensions</w:t>
      </w:r>
      <w:r>
        <w:rPr>
          <w:color w:val="231F20"/>
          <w:spacing w:val="-10"/>
          <w:w w:val="120"/>
        </w:rPr>
        <w:t> </w:t>
      </w:r>
      <w:r>
        <w:rPr>
          <w:color w:val="231F20"/>
          <w:spacing w:val="-2"/>
          <w:w w:val="120"/>
        </w:rPr>
        <w:t>et</w:t>
      </w:r>
      <w:r>
        <w:rPr>
          <w:color w:val="231F20"/>
          <w:spacing w:val="-10"/>
          <w:w w:val="120"/>
        </w:rPr>
        <w:t> </w:t>
      </w:r>
      <w:r>
        <w:rPr>
          <w:color w:val="231F20"/>
          <w:spacing w:val="-2"/>
          <w:w w:val="120"/>
        </w:rPr>
        <w:t>une </w:t>
      </w:r>
      <w:r>
        <w:rPr>
          <w:color w:val="231F20"/>
          <w:w w:val="115"/>
        </w:rPr>
        <w:t>baisse du moral chez son personnel. Le taux général d’insatisfaction face </w:t>
      </w:r>
      <w:r>
        <w:rPr>
          <w:color w:val="231F20"/>
          <w:w w:val="120"/>
        </w:rPr>
        <w:t>au</w:t>
      </w:r>
      <w:r>
        <w:rPr>
          <w:color w:val="231F20"/>
          <w:spacing w:val="-15"/>
          <w:w w:val="120"/>
        </w:rPr>
        <w:t> </w:t>
      </w:r>
      <w:r>
        <w:rPr>
          <w:color w:val="231F20"/>
          <w:w w:val="120"/>
        </w:rPr>
        <w:t>travail</w:t>
      </w:r>
      <w:r>
        <w:rPr>
          <w:color w:val="231F20"/>
          <w:spacing w:val="-13"/>
          <w:w w:val="120"/>
        </w:rPr>
        <w:t> </w:t>
      </w:r>
      <w:r>
        <w:rPr>
          <w:color w:val="231F20"/>
          <w:w w:val="120"/>
        </w:rPr>
        <w:t>et</w:t>
      </w:r>
      <w:r>
        <w:rPr>
          <w:color w:val="231F20"/>
          <w:spacing w:val="-13"/>
          <w:w w:val="120"/>
        </w:rPr>
        <w:t> </w:t>
      </w:r>
      <w:r>
        <w:rPr>
          <w:color w:val="231F20"/>
          <w:w w:val="120"/>
        </w:rPr>
        <w:t>la</w:t>
      </w:r>
      <w:r>
        <w:rPr>
          <w:color w:val="231F20"/>
          <w:spacing w:val="-12"/>
          <w:w w:val="120"/>
        </w:rPr>
        <w:t> </w:t>
      </w:r>
      <w:r>
        <w:rPr>
          <w:color w:val="231F20"/>
          <w:w w:val="120"/>
        </w:rPr>
        <w:t>prévalence</w:t>
      </w:r>
      <w:r>
        <w:rPr>
          <w:color w:val="231F20"/>
          <w:spacing w:val="-13"/>
          <w:w w:val="120"/>
        </w:rPr>
        <w:t> </w:t>
      </w:r>
      <w:r>
        <w:rPr>
          <w:color w:val="231F20"/>
          <w:w w:val="120"/>
        </w:rPr>
        <w:t>de</w:t>
      </w:r>
      <w:r>
        <w:rPr>
          <w:color w:val="231F20"/>
          <w:spacing w:val="-13"/>
          <w:w w:val="120"/>
        </w:rPr>
        <w:t> </w:t>
      </w:r>
      <w:r>
        <w:rPr>
          <w:color w:val="231F20"/>
          <w:w w:val="120"/>
        </w:rPr>
        <w:t>symptômes</w:t>
      </w:r>
      <w:r>
        <w:rPr>
          <w:color w:val="231F20"/>
          <w:spacing w:val="-13"/>
          <w:w w:val="120"/>
        </w:rPr>
        <w:t> </w:t>
      </w:r>
      <w:r>
        <w:rPr>
          <w:color w:val="231F20"/>
          <w:w w:val="120"/>
        </w:rPr>
        <w:t>physiques</w:t>
      </w:r>
      <w:r>
        <w:rPr>
          <w:color w:val="231F20"/>
          <w:spacing w:val="-12"/>
          <w:w w:val="120"/>
        </w:rPr>
        <w:t> </w:t>
      </w:r>
      <w:r>
        <w:rPr>
          <w:color w:val="231F20"/>
          <w:w w:val="120"/>
        </w:rPr>
        <w:t>tels</w:t>
      </w:r>
      <w:r>
        <w:rPr>
          <w:color w:val="231F20"/>
          <w:spacing w:val="-13"/>
          <w:w w:val="120"/>
        </w:rPr>
        <w:t> </w:t>
      </w:r>
      <w:r>
        <w:rPr>
          <w:color w:val="231F20"/>
          <w:w w:val="120"/>
        </w:rPr>
        <w:t>que</w:t>
      </w:r>
      <w:r>
        <w:rPr>
          <w:color w:val="231F20"/>
          <w:spacing w:val="-13"/>
          <w:w w:val="120"/>
        </w:rPr>
        <w:t> </w:t>
      </w:r>
      <w:r>
        <w:rPr>
          <w:color w:val="231F20"/>
          <w:w w:val="120"/>
        </w:rPr>
        <w:t>les</w:t>
      </w:r>
      <w:r>
        <w:rPr>
          <w:color w:val="231F20"/>
          <w:spacing w:val="-13"/>
          <w:w w:val="120"/>
        </w:rPr>
        <w:t> </w:t>
      </w:r>
      <w:r>
        <w:rPr>
          <w:color w:val="231F20"/>
          <w:w w:val="120"/>
        </w:rPr>
        <w:t>maux</w:t>
      </w:r>
      <w:r>
        <w:rPr>
          <w:color w:val="231F20"/>
          <w:spacing w:val="-12"/>
          <w:w w:val="120"/>
        </w:rPr>
        <w:t> </w:t>
      </w:r>
      <w:r>
        <w:rPr>
          <w:color w:val="231F20"/>
          <w:w w:val="120"/>
        </w:rPr>
        <w:t>de tête</w:t>
      </w:r>
      <w:r>
        <w:rPr>
          <w:color w:val="231F20"/>
          <w:spacing w:val="-13"/>
          <w:w w:val="120"/>
        </w:rPr>
        <w:t> </w:t>
      </w:r>
      <w:r>
        <w:rPr>
          <w:color w:val="231F20"/>
          <w:w w:val="120"/>
        </w:rPr>
        <w:t>semblent</w:t>
      </w:r>
      <w:r>
        <w:rPr>
          <w:color w:val="231F20"/>
          <w:spacing w:val="-13"/>
          <w:w w:val="120"/>
        </w:rPr>
        <w:t> </w:t>
      </w:r>
      <w:r>
        <w:rPr>
          <w:color w:val="231F20"/>
          <w:w w:val="120"/>
        </w:rPr>
        <w:t>aussi</w:t>
      </w:r>
      <w:r>
        <w:rPr>
          <w:color w:val="231F20"/>
          <w:spacing w:val="-13"/>
          <w:w w:val="120"/>
        </w:rPr>
        <w:t> </w:t>
      </w:r>
      <w:r>
        <w:rPr>
          <w:color w:val="231F20"/>
          <w:w w:val="120"/>
        </w:rPr>
        <w:t>être</w:t>
      </w:r>
      <w:r>
        <w:rPr>
          <w:color w:val="231F20"/>
          <w:spacing w:val="-12"/>
          <w:w w:val="120"/>
        </w:rPr>
        <w:t> </w:t>
      </w:r>
      <w:r>
        <w:rPr>
          <w:color w:val="231F20"/>
          <w:w w:val="120"/>
        </w:rPr>
        <w:t>à</w:t>
      </w:r>
      <w:r>
        <w:rPr>
          <w:color w:val="231F20"/>
          <w:spacing w:val="-13"/>
          <w:w w:val="120"/>
        </w:rPr>
        <w:t> </w:t>
      </w:r>
      <w:r>
        <w:rPr>
          <w:color w:val="231F20"/>
          <w:w w:val="120"/>
        </w:rPr>
        <w:t>la</w:t>
      </w:r>
      <w:r>
        <w:rPr>
          <w:color w:val="231F20"/>
          <w:spacing w:val="-13"/>
          <w:w w:val="120"/>
        </w:rPr>
        <w:t> </w:t>
      </w:r>
      <w:r>
        <w:rPr>
          <w:color w:val="231F20"/>
          <w:w w:val="120"/>
        </w:rPr>
        <w:t>hausse.</w:t>
      </w:r>
      <w:r>
        <w:rPr>
          <w:color w:val="231F20"/>
          <w:spacing w:val="-13"/>
          <w:w w:val="120"/>
        </w:rPr>
        <w:t> </w:t>
      </w:r>
      <w:r>
        <w:rPr>
          <w:color w:val="231F20"/>
          <w:w w:val="120"/>
        </w:rPr>
        <w:t>Soupçonnant</w:t>
      </w:r>
      <w:r>
        <w:rPr>
          <w:color w:val="231F20"/>
          <w:spacing w:val="-12"/>
          <w:w w:val="120"/>
        </w:rPr>
        <w:t> </w:t>
      </w:r>
      <w:r>
        <w:rPr>
          <w:color w:val="231F20"/>
          <w:w w:val="120"/>
        </w:rPr>
        <w:t>un</w:t>
      </w:r>
      <w:r>
        <w:rPr>
          <w:color w:val="231F20"/>
          <w:spacing w:val="-13"/>
          <w:w w:val="120"/>
        </w:rPr>
        <w:t> </w:t>
      </w:r>
      <w:r>
        <w:rPr>
          <w:color w:val="231F20"/>
          <w:w w:val="120"/>
        </w:rPr>
        <w:t>problème</w:t>
      </w:r>
      <w:r>
        <w:rPr>
          <w:color w:val="231F20"/>
          <w:spacing w:val="-13"/>
          <w:w w:val="120"/>
        </w:rPr>
        <w:t> </w:t>
      </w:r>
      <w:r>
        <w:rPr>
          <w:color w:val="231F20"/>
          <w:w w:val="120"/>
        </w:rPr>
        <w:t>de</w:t>
      </w:r>
      <w:r>
        <w:rPr>
          <w:color w:val="231F20"/>
          <w:spacing w:val="-13"/>
          <w:w w:val="120"/>
        </w:rPr>
        <w:t> </w:t>
      </w:r>
      <w:r>
        <w:rPr>
          <w:color w:val="231F20"/>
          <w:w w:val="120"/>
        </w:rPr>
        <w:t>stress, la directrice décide de rencontrer les différents groupes de son service pour</w:t>
      </w:r>
      <w:r>
        <w:rPr>
          <w:color w:val="231F20"/>
          <w:spacing w:val="-4"/>
          <w:w w:val="120"/>
        </w:rPr>
        <w:t> </w:t>
      </w:r>
      <w:r>
        <w:rPr>
          <w:color w:val="231F20"/>
          <w:w w:val="120"/>
        </w:rPr>
        <w:t>en</w:t>
      </w:r>
      <w:r>
        <w:rPr>
          <w:color w:val="231F20"/>
          <w:spacing w:val="-4"/>
          <w:w w:val="120"/>
        </w:rPr>
        <w:t> </w:t>
      </w:r>
      <w:r>
        <w:rPr>
          <w:color w:val="231F20"/>
          <w:w w:val="120"/>
        </w:rPr>
        <w:t>savoir</w:t>
      </w:r>
      <w:r>
        <w:rPr>
          <w:color w:val="231F20"/>
          <w:spacing w:val="-4"/>
          <w:w w:val="120"/>
        </w:rPr>
        <w:t> </w:t>
      </w:r>
      <w:r>
        <w:rPr>
          <w:color w:val="231F20"/>
          <w:w w:val="120"/>
        </w:rPr>
        <w:t>plus</w:t>
      </w:r>
      <w:r>
        <w:rPr>
          <w:color w:val="231F20"/>
          <w:spacing w:val="-4"/>
          <w:w w:val="120"/>
        </w:rPr>
        <w:t> </w:t>
      </w:r>
      <w:r>
        <w:rPr>
          <w:color w:val="231F20"/>
          <w:w w:val="120"/>
        </w:rPr>
        <w:t>long.</w:t>
      </w:r>
      <w:r>
        <w:rPr>
          <w:color w:val="231F20"/>
          <w:spacing w:val="-4"/>
          <w:w w:val="120"/>
        </w:rPr>
        <w:t> </w:t>
      </w:r>
      <w:r>
        <w:rPr>
          <w:color w:val="231F20"/>
          <w:w w:val="120"/>
        </w:rPr>
        <w:t>Au</w:t>
      </w:r>
      <w:r>
        <w:rPr>
          <w:color w:val="231F20"/>
          <w:spacing w:val="-4"/>
          <w:w w:val="120"/>
        </w:rPr>
        <w:t> </w:t>
      </w:r>
      <w:r>
        <w:rPr>
          <w:color w:val="231F20"/>
          <w:w w:val="120"/>
        </w:rPr>
        <w:t>cours</w:t>
      </w:r>
      <w:r>
        <w:rPr>
          <w:color w:val="231F20"/>
          <w:spacing w:val="-4"/>
          <w:w w:val="120"/>
        </w:rPr>
        <w:t> </w:t>
      </w:r>
      <w:r>
        <w:rPr>
          <w:color w:val="231F20"/>
          <w:w w:val="120"/>
        </w:rPr>
        <w:t>de</w:t>
      </w:r>
      <w:r>
        <w:rPr>
          <w:color w:val="231F20"/>
          <w:spacing w:val="-4"/>
          <w:w w:val="120"/>
        </w:rPr>
        <w:t> </w:t>
      </w:r>
      <w:r>
        <w:rPr>
          <w:color w:val="231F20"/>
          <w:w w:val="120"/>
        </w:rPr>
        <w:t>ces</w:t>
      </w:r>
      <w:r>
        <w:rPr>
          <w:color w:val="231F20"/>
          <w:spacing w:val="-4"/>
          <w:w w:val="120"/>
        </w:rPr>
        <w:t> </w:t>
      </w:r>
      <w:r>
        <w:rPr>
          <w:color w:val="231F20"/>
          <w:w w:val="120"/>
        </w:rPr>
        <w:t>séances</w:t>
      </w:r>
      <w:r>
        <w:rPr>
          <w:color w:val="231F20"/>
          <w:spacing w:val="-4"/>
          <w:w w:val="120"/>
        </w:rPr>
        <w:t> </w:t>
      </w:r>
      <w:r>
        <w:rPr>
          <w:color w:val="231F20"/>
          <w:w w:val="120"/>
        </w:rPr>
        <w:t>de</w:t>
      </w:r>
      <w:r>
        <w:rPr>
          <w:color w:val="231F20"/>
          <w:spacing w:val="-4"/>
          <w:w w:val="120"/>
        </w:rPr>
        <w:t> </w:t>
      </w:r>
      <w:r>
        <w:rPr>
          <w:color w:val="231F20"/>
          <w:w w:val="120"/>
        </w:rPr>
        <w:t>remue-méninges, chaque</w:t>
      </w:r>
      <w:r>
        <w:rPr>
          <w:color w:val="231F20"/>
          <w:spacing w:val="-10"/>
          <w:w w:val="120"/>
        </w:rPr>
        <w:t> </w:t>
      </w:r>
      <w:r>
        <w:rPr>
          <w:color w:val="231F20"/>
          <w:w w:val="120"/>
        </w:rPr>
        <w:t>employé</w:t>
      </w:r>
      <w:r>
        <w:rPr>
          <w:color w:val="231F20"/>
          <w:spacing w:val="-10"/>
          <w:w w:val="120"/>
        </w:rPr>
        <w:t> </w:t>
      </w:r>
      <w:r>
        <w:rPr>
          <w:color w:val="231F20"/>
          <w:w w:val="120"/>
        </w:rPr>
        <w:t>donne</w:t>
      </w:r>
      <w:r>
        <w:rPr>
          <w:color w:val="231F20"/>
          <w:spacing w:val="-10"/>
          <w:w w:val="120"/>
        </w:rPr>
        <w:t> </w:t>
      </w:r>
      <w:r>
        <w:rPr>
          <w:color w:val="231F20"/>
          <w:w w:val="120"/>
        </w:rPr>
        <w:t>librement</w:t>
      </w:r>
      <w:r>
        <w:rPr>
          <w:color w:val="231F20"/>
          <w:spacing w:val="-10"/>
          <w:w w:val="120"/>
        </w:rPr>
        <w:t> </w:t>
      </w:r>
      <w:r>
        <w:rPr>
          <w:color w:val="231F20"/>
          <w:w w:val="120"/>
        </w:rPr>
        <w:t>son</w:t>
      </w:r>
      <w:r>
        <w:rPr>
          <w:color w:val="231F20"/>
          <w:spacing w:val="-10"/>
          <w:w w:val="120"/>
        </w:rPr>
        <w:t> </w:t>
      </w:r>
      <w:r>
        <w:rPr>
          <w:color w:val="231F20"/>
          <w:w w:val="120"/>
        </w:rPr>
        <w:t>avis</w:t>
      </w:r>
      <w:r>
        <w:rPr>
          <w:color w:val="231F20"/>
          <w:spacing w:val="-10"/>
          <w:w w:val="120"/>
        </w:rPr>
        <w:t> </w:t>
      </w:r>
      <w:r>
        <w:rPr>
          <w:color w:val="231F20"/>
          <w:w w:val="120"/>
        </w:rPr>
        <w:t>sur</w:t>
      </w:r>
      <w:r>
        <w:rPr>
          <w:color w:val="231F20"/>
          <w:spacing w:val="-10"/>
          <w:w w:val="120"/>
        </w:rPr>
        <w:t> </w:t>
      </w:r>
      <w:r>
        <w:rPr>
          <w:color w:val="231F20"/>
          <w:w w:val="120"/>
        </w:rPr>
        <w:t>le</w:t>
      </w:r>
      <w:r>
        <w:rPr>
          <w:color w:val="231F20"/>
          <w:spacing w:val="-10"/>
          <w:w w:val="120"/>
        </w:rPr>
        <w:t> </w:t>
      </w:r>
      <w:r>
        <w:rPr>
          <w:color w:val="231F20"/>
          <w:w w:val="120"/>
        </w:rPr>
        <w:t>stress</w:t>
      </w:r>
      <w:r>
        <w:rPr>
          <w:color w:val="231F20"/>
          <w:spacing w:val="-10"/>
          <w:w w:val="120"/>
        </w:rPr>
        <w:t> </w:t>
      </w:r>
      <w:r>
        <w:rPr>
          <w:color w:val="231F20"/>
          <w:w w:val="120"/>
        </w:rPr>
        <w:t>et</w:t>
      </w:r>
      <w:r>
        <w:rPr>
          <w:color w:val="231F20"/>
          <w:spacing w:val="-10"/>
          <w:w w:val="120"/>
        </w:rPr>
        <w:t> </w:t>
      </w:r>
      <w:r>
        <w:rPr>
          <w:color w:val="231F20"/>
          <w:w w:val="120"/>
        </w:rPr>
        <w:t>ses</w:t>
      </w:r>
      <w:r>
        <w:rPr>
          <w:color w:val="231F20"/>
          <w:spacing w:val="-10"/>
          <w:w w:val="120"/>
        </w:rPr>
        <w:t> </w:t>
      </w:r>
      <w:r>
        <w:rPr>
          <w:color w:val="231F20"/>
          <w:w w:val="120"/>
        </w:rPr>
        <w:t>sources</w:t>
      </w:r>
      <w:r>
        <w:rPr>
          <w:color w:val="231F20"/>
          <w:spacing w:val="-10"/>
          <w:w w:val="120"/>
        </w:rPr>
        <w:t> </w:t>
      </w:r>
      <w:r>
        <w:rPr>
          <w:color w:val="231F20"/>
          <w:w w:val="120"/>
        </w:rPr>
        <w:t>au sein de son équipe de travail, ainsi que sur les mesures à prendre pour régler ce problème.</w:t>
      </w:r>
    </w:p>
    <w:p>
      <w:pPr>
        <w:pStyle w:val="BodyText"/>
        <w:spacing w:line="307" w:lineRule="auto" w:before="79"/>
        <w:ind w:left="830" w:right="492" w:firstLine="250"/>
        <w:jc w:val="both"/>
      </w:pPr>
      <w:r>
        <w:rPr>
          <w:color w:val="231F20"/>
          <w:w w:val="120"/>
        </w:rPr>
        <w:t>Grâce à l’information recueillie au cours de ces réunions et de ren- </w:t>
      </w:r>
      <w:r>
        <w:rPr>
          <w:color w:val="231F20"/>
          <w:w w:val="115"/>
        </w:rPr>
        <w:t>contres</w:t>
      </w:r>
      <w:r>
        <w:rPr>
          <w:color w:val="231F20"/>
          <w:spacing w:val="-13"/>
          <w:w w:val="115"/>
        </w:rPr>
        <w:t> </w:t>
      </w:r>
      <w:r>
        <w:rPr>
          <w:color w:val="231F20"/>
          <w:w w:val="115"/>
        </w:rPr>
        <w:t>avec</w:t>
      </w:r>
      <w:r>
        <w:rPr>
          <w:color w:val="231F20"/>
          <w:spacing w:val="-12"/>
          <w:w w:val="115"/>
        </w:rPr>
        <w:t> </w:t>
      </w:r>
      <w:r>
        <w:rPr>
          <w:color w:val="231F20"/>
          <w:w w:val="115"/>
        </w:rPr>
        <w:t>des</w:t>
      </w:r>
      <w:r>
        <w:rPr>
          <w:color w:val="231F20"/>
          <w:spacing w:val="-12"/>
          <w:w w:val="115"/>
        </w:rPr>
        <w:t> </w:t>
      </w:r>
      <w:r>
        <w:rPr>
          <w:color w:val="231F20"/>
          <w:w w:val="115"/>
        </w:rPr>
        <w:t>cadres</w:t>
      </w:r>
      <w:r>
        <w:rPr>
          <w:color w:val="231F20"/>
          <w:spacing w:val="-12"/>
          <w:w w:val="115"/>
        </w:rPr>
        <w:t> </w:t>
      </w:r>
      <w:r>
        <w:rPr>
          <w:color w:val="231F20"/>
          <w:w w:val="115"/>
        </w:rPr>
        <w:t>intermédiaires,</w:t>
      </w:r>
      <w:r>
        <w:rPr>
          <w:color w:val="231F20"/>
          <w:spacing w:val="-12"/>
          <w:w w:val="115"/>
        </w:rPr>
        <w:t> </w:t>
      </w:r>
      <w:r>
        <w:rPr>
          <w:color w:val="231F20"/>
          <w:w w:val="115"/>
        </w:rPr>
        <w:t>la</w:t>
      </w:r>
      <w:r>
        <w:rPr>
          <w:color w:val="231F20"/>
          <w:spacing w:val="-13"/>
          <w:w w:val="115"/>
        </w:rPr>
        <w:t> </w:t>
      </w:r>
      <w:r>
        <w:rPr>
          <w:color w:val="231F20"/>
          <w:w w:val="115"/>
        </w:rPr>
        <w:t>directrice</w:t>
      </w:r>
      <w:r>
        <w:rPr>
          <w:color w:val="231F20"/>
          <w:spacing w:val="-12"/>
          <w:w w:val="115"/>
        </w:rPr>
        <w:t> </w:t>
      </w:r>
      <w:r>
        <w:rPr>
          <w:color w:val="231F20"/>
          <w:w w:val="115"/>
        </w:rPr>
        <w:t>conclut</w:t>
      </w:r>
      <w:r>
        <w:rPr>
          <w:color w:val="231F20"/>
          <w:spacing w:val="-12"/>
          <w:w w:val="115"/>
        </w:rPr>
        <w:t> </w:t>
      </w:r>
      <w:r>
        <w:rPr>
          <w:color w:val="231F20"/>
          <w:w w:val="115"/>
        </w:rPr>
        <w:t>qu’il</w:t>
      </w:r>
      <w:r>
        <w:rPr>
          <w:color w:val="231F20"/>
          <w:spacing w:val="-12"/>
          <w:w w:val="115"/>
        </w:rPr>
        <w:t> </w:t>
      </w:r>
      <w:r>
        <w:rPr>
          <w:color w:val="231F20"/>
          <w:w w:val="115"/>
        </w:rPr>
        <w:t>y</w:t>
      </w:r>
      <w:r>
        <w:rPr>
          <w:color w:val="231F20"/>
          <w:spacing w:val="-12"/>
          <w:w w:val="115"/>
        </w:rPr>
        <w:t> </w:t>
      </w:r>
      <w:r>
        <w:rPr>
          <w:color w:val="231F20"/>
          <w:w w:val="115"/>
        </w:rPr>
        <w:t>a</w:t>
      </w:r>
      <w:r>
        <w:rPr>
          <w:color w:val="231F20"/>
          <w:spacing w:val="-13"/>
          <w:w w:val="115"/>
        </w:rPr>
        <w:t> </w:t>
      </w:r>
      <w:r>
        <w:rPr>
          <w:color w:val="231F20"/>
          <w:w w:val="115"/>
        </w:rPr>
        <w:t>effec- </w:t>
      </w:r>
      <w:r>
        <w:rPr>
          <w:color w:val="231F20"/>
          <w:w w:val="120"/>
        </w:rPr>
        <w:t>tivement un grave problème et qu’il faut faire quelque chose pour le régler. Comme le domaine du stress en milieu de travail ne lui est pas familier,</w:t>
      </w:r>
      <w:r>
        <w:rPr>
          <w:color w:val="231F20"/>
          <w:spacing w:val="-2"/>
          <w:w w:val="120"/>
        </w:rPr>
        <w:t> </w:t>
      </w:r>
      <w:r>
        <w:rPr>
          <w:color w:val="231F20"/>
          <w:w w:val="120"/>
        </w:rPr>
        <w:t>elle</w:t>
      </w:r>
      <w:r>
        <w:rPr>
          <w:color w:val="231F20"/>
          <w:spacing w:val="-2"/>
          <w:w w:val="120"/>
        </w:rPr>
        <w:t> </w:t>
      </w:r>
      <w:r>
        <w:rPr>
          <w:color w:val="231F20"/>
          <w:w w:val="120"/>
        </w:rPr>
        <w:t>décide</w:t>
      </w:r>
      <w:r>
        <w:rPr>
          <w:color w:val="231F20"/>
          <w:spacing w:val="-2"/>
          <w:w w:val="120"/>
        </w:rPr>
        <w:t> </w:t>
      </w:r>
      <w:r>
        <w:rPr>
          <w:color w:val="231F20"/>
          <w:w w:val="120"/>
        </w:rPr>
        <w:t>de</w:t>
      </w:r>
      <w:r>
        <w:rPr>
          <w:color w:val="231F20"/>
          <w:spacing w:val="-2"/>
          <w:w w:val="120"/>
        </w:rPr>
        <w:t> </w:t>
      </w:r>
      <w:r>
        <w:rPr>
          <w:color w:val="231F20"/>
          <w:w w:val="120"/>
        </w:rPr>
        <w:t>solliciter</w:t>
      </w:r>
      <w:r>
        <w:rPr>
          <w:color w:val="231F20"/>
          <w:spacing w:val="-2"/>
          <w:w w:val="120"/>
        </w:rPr>
        <w:t> </w:t>
      </w:r>
      <w:r>
        <w:rPr>
          <w:color w:val="231F20"/>
          <w:w w:val="120"/>
        </w:rPr>
        <w:t>l’aide</w:t>
      </w:r>
      <w:r>
        <w:rPr>
          <w:color w:val="231F20"/>
          <w:spacing w:val="-2"/>
          <w:w w:val="120"/>
        </w:rPr>
        <w:t> </w:t>
      </w:r>
      <w:r>
        <w:rPr>
          <w:color w:val="231F20"/>
          <w:w w:val="120"/>
        </w:rPr>
        <w:t>d’un</w:t>
      </w:r>
      <w:r>
        <w:rPr>
          <w:color w:val="231F20"/>
          <w:spacing w:val="-2"/>
          <w:w w:val="120"/>
        </w:rPr>
        <w:t> </w:t>
      </w:r>
      <w:r>
        <w:rPr>
          <w:color w:val="231F20"/>
          <w:w w:val="120"/>
        </w:rPr>
        <w:t>consultant</w:t>
      </w:r>
      <w:r>
        <w:rPr>
          <w:color w:val="231F20"/>
          <w:spacing w:val="-2"/>
          <w:w w:val="120"/>
        </w:rPr>
        <w:t> </w:t>
      </w:r>
      <w:r>
        <w:rPr>
          <w:color w:val="231F20"/>
          <w:w w:val="120"/>
        </w:rPr>
        <w:t>spécialisé</w:t>
      </w:r>
      <w:r>
        <w:rPr>
          <w:color w:val="231F20"/>
          <w:spacing w:val="-2"/>
          <w:w w:val="120"/>
        </w:rPr>
        <w:t> </w:t>
      </w:r>
      <w:r>
        <w:rPr>
          <w:color w:val="231F20"/>
          <w:w w:val="120"/>
        </w:rPr>
        <w:t>dans le</w:t>
      </w:r>
      <w:r>
        <w:rPr>
          <w:color w:val="231F20"/>
          <w:spacing w:val="-13"/>
          <w:w w:val="120"/>
        </w:rPr>
        <w:t> </w:t>
      </w:r>
      <w:r>
        <w:rPr>
          <w:color w:val="231F20"/>
          <w:w w:val="120"/>
        </w:rPr>
        <w:t>domaine.</w:t>
      </w:r>
    </w:p>
    <w:p>
      <w:pPr>
        <w:pStyle w:val="BodyText"/>
        <w:spacing w:line="307" w:lineRule="auto" w:before="79"/>
        <w:ind w:left="830" w:right="495" w:firstLine="250"/>
        <w:jc w:val="both"/>
      </w:pPr>
      <w:r>
        <w:rPr>
          <w:color w:val="231F20"/>
          <w:w w:val="115"/>
        </w:rPr>
        <w:t>Après</w:t>
      </w:r>
      <w:r>
        <w:rPr>
          <w:color w:val="231F20"/>
          <w:spacing w:val="-6"/>
          <w:w w:val="115"/>
        </w:rPr>
        <w:t> </w:t>
      </w:r>
      <w:r>
        <w:rPr>
          <w:color w:val="231F20"/>
          <w:w w:val="115"/>
        </w:rPr>
        <w:t>avoir</w:t>
      </w:r>
      <w:r>
        <w:rPr>
          <w:color w:val="231F20"/>
          <w:spacing w:val="-6"/>
          <w:w w:val="115"/>
        </w:rPr>
        <w:t> </w:t>
      </w:r>
      <w:r>
        <w:rPr>
          <w:color w:val="231F20"/>
          <w:w w:val="115"/>
        </w:rPr>
        <w:t>analysé</w:t>
      </w:r>
      <w:r>
        <w:rPr>
          <w:color w:val="231F20"/>
          <w:spacing w:val="-6"/>
          <w:w w:val="115"/>
        </w:rPr>
        <w:t> </w:t>
      </w:r>
      <w:r>
        <w:rPr>
          <w:color w:val="231F20"/>
          <w:w w:val="115"/>
        </w:rPr>
        <w:t>les</w:t>
      </w:r>
      <w:r>
        <w:rPr>
          <w:color w:val="231F20"/>
          <w:spacing w:val="-6"/>
          <w:w w:val="115"/>
        </w:rPr>
        <w:t> </w:t>
      </w:r>
      <w:r>
        <w:rPr>
          <w:color w:val="231F20"/>
          <w:w w:val="115"/>
        </w:rPr>
        <w:t>renseignements</w:t>
      </w:r>
      <w:r>
        <w:rPr>
          <w:color w:val="231F20"/>
          <w:spacing w:val="-6"/>
          <w:w w:val="115"/>
        </w:rPr>
        <w:t> </w:t>
      </w:r>
      <w:r>
        <w:rPr>
          <w:color w:val="231F20"/>
          <w:w w:val="115"/>
        </w:rPr>
        <w:t>recueillis</w:t>
      </w:r>
      <w:r>
        <w:rPr>
          <w:color w:val="231F20"/>
          <w:spacing w:val="-6"/>
          <w:w w:val="115"/>
        </w:rPr>
        <w:t> </w:t>
      </w:r>
      <w:r>
        <w:rPr>
          <w:color w:val="231F20"/>
          <w:w w:val="115"/>
        </w:rPr>
        <w:t>au</w:t>
      </w:r>
      <w:r>
        <w:rPr>
          <w:color w:val="231F20"/>
          <w:spacing w:val="-6"/>
          <w:w w:val="115"/>
        </w:rPr>
        <w:t> </w:t>
      </w:r>
      <w:r>
        <w:rPr>
          <w:color w:val="231F20"/>
          <w:w w:val="115"/>
        </w:rPr>
        <w:t>cours</w:t>
      </w:r>
      <w:r>
        <w:rPr>
          <w:color w:val="231F20"/>
          <w:spacing w:val="-6"/>
          <w:w w:val="115"/>
        </w:rPr>
        <w:t> </w:t>
      </w:r>
      <w:r>
        <w:rPr>
          <w:color w:val="231F20"/>
          <w:w w:val="115"/>
        </w:rPr>
        <w:t>des</w:t>
      </w:r>
      <w:r>
        <w:rPr>
          <w:color w:val="231F20"/>
          <w:spacing w:val="-6"/>
          <w:w w:val="115"/>
        </w:rPr>
        <w:t> </w:t>
      </w:r>
      <w:r>
        <w:rPr>
          <w:color w:val="231F20"/>
          <w:w w:val="115"/>
        </w:rPr>
        <w:t>séances </w:t>
      </w:r>
      <w:r>
        <w:rPr>
          <w:color w:val="231F20"/>
          <w:w w:val="120"/>
        </w:rPr>
        <w:t>de remue-méninges, la directrice et le consultant décident qu’il serait </w:t>
      </w:r>
      <w:r>
        <w:rPr>
          <w:color w:val="231F20"/>
          <w:w w:val="115"/>
        </w:rPr>
        <w:t>utile</w:t>
      </w:r>
      <w:r>
        <w:rPr>
          <w:color w:val="231F20"/>
          <w:spacing w:val="-7"/>
          <w:w w:val="115"/>
        </w:rPr>
        <w:t> </w:t>
      </w:r>
      <w:r>
        <w:rPr>
          <w:color w:val="231F20"/>
          <w:w w:val="115"/>
        </w:rPr>
        <w:t>que</w:t>
      </w:r>
      <w:r>
        <w:rPr>
          <w:color w:val="231F20"/>
          <w:spacing w:val="-7"/>
          <w:w w:val="115"/>
        </w:rPr>
        <w:t> </w:t>
      </w:r>
      <w:r>
        <w:rPr>
          <w:color w:val="231F20"/>
          <w:w w:val="115"/>
        </w:rPr>
        <w:t>celui-ci</w:t>
      </w:r>
      <w:r>
        <w:rPr>
          <w:color w:val="231F20"/>
          <w:spacing w:val="-7"/>
          <w:w w:val="115"/>
        </w:rPr>
        <w:t> </w:t>
      </w:r>
      <w:r>
        <w:rPr>
          <w:color w:val="231F20"/>
          <w:w w:val="115"/>
        </w:rPr>
        <w:t>donne</w:t>
      </w:r>
      <w:r>
        <w:rPr>
          <w:color w:val="231F20"/>
          <w:spacing w:val="-7"/>
          <w:w w:val="115"/>
        </w:rPr>
        <w:t> </w:t>
      </w:r>
      <w:r>
        <w:rPr>
          <w:color w:val="231F20"/>
          <w:w w:val="115"/>
        </w:rPr>
        <w:t>des</w:t>
      </w:r>
      <w:r>
        <w:rPr>
          <w:color w:val="231F20"/>
          <w:spacing w:val="-7"/>
          <w:w w:val="115"/>
        </w:rPr>
        <w:t> </w:t>
      </w:r>
      <w:r>
        <w:rPr>
          <w:color w:val="231F20"/>
          <w:w w:val="115"/>
        </w:rPr>
        <w:t>cours</w:t>
      </w:r>
      <w:r>
        <w:rPr>
          <w:color w:val="231F20"/>
          <w:spacing w:val="-7"/>
          <w:w w:val="115"/>
        </w:rPr>
        <w:t> </w:t>
      </w:r>
      <w:r>
        <w:rPr>
          <w:color w:val="231F20"/>
          <w:w w:val="115"/>
        </w:rPr>
        <w:t>informels</w:t>
      </w:r>
      <w:r>
        <w:rPr>
          <w:color w:val="231F20"/>
          <w:spacing w:val="-7"/>
          <w:w w:val="115"/>
        </w:rPr>
        <w:t> </w:t>
      </w:r>
      <w:r>
        <w:rPr>
          <w:color w:val="231F20"/>
          <w:w w:val="115"/>
        </w:rPr>
        <w:t>sur</w:t>
      </w:r>
      <w:r>
        <w:rPr>
          <w:color w:val="231F20"/>
          <w:spacing w:val="-7"/>
          <w:w w:val="115"/>
        </w:rPr>
        <w:t> </w:t>
      </w:r>
      <w:r>
        <w:rPr>
          <w:color w:val="231F20"/>
          <w:w w:val="115"/>
        </w:rPr>
        <w:t>la</w:t>
      </w:r>
      <w:r>
        <w:rPr>
          <w:color w:val="231F20"/>
          <w:spacing w:val="-7"/>
          <w:w w:val="115"/>
        </w:rPr>
        <w:t> </w:t>
      </w:r>
      <w:r>
        <w:rPr>
          <w:color w:val="231F20"/>
          <w:w w:val="115"/>
        </w:rPr>
        <w:t>sensibilisation</w:t>
      </w:r>
      <w:r>
        <w:rPr>
          <w:color w:val="231F20"/>
          <w:spacing w:val="-7"/>
          <w:w w:val="115"/>
        </w:rPr>
        <w:t> </w:t>
      </w:r>
      <w:r>
        <w:rPr>
          <w:color w:val="231F20"/>
          <w:w w:val="115"/>
        </w:rPr>
        <w:t>au</w:t>
      </w:r>
      <w:r>
        <w:rPr>
          <w:color w:val="231F20"/>
          <w:spacing w:val="-7"/>
          <w:w w:val="115"/>
        </w:rPr>
        <w:t> </w:t>
      </w:r>
      <w:r>
        <w:rPr>
          <w:color w:val="231F20"/>
          <w:w w:val="115"/>
        </w:rPr>
        <w:t>stress </w:t>
      </w:r>
      <w:r>
        <w:rPr>
          <w:color w:val="231F20"/>
          <w:w w:val="120"/>
        </w:rPr>
        <w:t>au</w:t>
      </w:r>
      <w:r>
        <w:rPr>
          <w:color w:val="231F20"/>
          <w:spacing w:val="-9"/>
          <w:w w:val="120"/>
        </w:rPr>
        <w:t> </w:t>
      </w:r>
      <w:r>
        <w:rPr>
          <w:color w:val="231F20"/>
          <w:w w:val="120"/>
        </w:rPr>
        <w:t>travail</w:t>
      </w:r>
      <w:r>
        <w:rPr>
          <w:color w:val="231F20"/>
          <w:spacing w:val="-9"/>
          <w:w w:val="120"/>
        </w:rPr>
        <w:t> </w:t>
      </w:r>
      <w:r>
        <w:rPr>
          <w:color w:val="231F20"/>
          <w:w w:val="120"/>
        </w:rPr>
        <w:t>–</w:t>
      </w:r>
      <w:r>
        <w:rPr>
          <w:color w:val="231F20"/>
          <w:spacing w:val="-9"/>
          <w:w w:val="120"/>
        </w:rPr>
        <w:t> </w:t>
      </w:r>
      <w:r>
        <w:rPr>
          <w:color w:val="231F20"/>
          <w:w w:val="120"/>
        </w:rPr>
        <w:t>ses</w:t>
      </w:r>
      <w:r>
        <w:rPr>
          <w:color w:val="231F20"/>
          <w:spacing w:val="-9"/>
          <w:w w:val="120"/>
        </w:rPr>
        <w:t> </w:t>
      </w:r>
      <w:r>
        <w:rPr>
          <w:color w:val="231F20"/>
          <w:w w:val="120"/>
        </w:rPr>
        <w:t>causes,</w:t>
      </w:r>
      <w:r>
        <w:rPr>
          <w:color w:val="231F20"/>
          <w:spacing w:val="-9"/>
          <w:w w:val="120"/>
        </w:rPr>
        <w:t> </w:t>
      </w:r>
      <w:r>
        <w:rPr>
          <w:color w:val="231F20"/>
          <w:w w:val="120"/>
        </w:rPr>
        <w:t>ses</w:t>
      </w:r>
      <w:r>
        <w:rPr>
          <w:color w:val="231F20"/>
          <w:spacing w:val="-9"/>
          <w:w w:val="120"/>
        </w:rPr>
        <w:t> </w:t>
      </w:r>
      <w:r>
        <w:rPr>
          <w:color w:val="231F20"/>
          <w:w w:val="120"/>
        </w:rPr>
        <w:t>effets,</w:t>
      </w:r>
      <w:r>
        <w:rPr>
          <w:color w:val="231F20"/>
          <w:spacing w:val="-9"/>
          <w:w w:val="120"/>
        </w:rPr>
        <w:t> </w:t>
      </w:r>
      <w:r>
        <w:rPr>
          <w:color w:val="231F20"/>
          <w:w w:val="120"/>
        </w:rPr>
        <w:t>les</w:t>
      </w:r>
      <w:r>
        <w:rPr>
          <w:color w:val="231F20"/>
          <w:spacing w:val="-9"/>
          <w:w w:val="120"/>
        </w:rPr>
        <w:t> </w:t>
      </w:r>
      <w:r>
        <w:rPr>
          <w:color w:val="231F20"/>
          <w:w w:val="120"/>
        </w:rPr>
        <w:t>mesures</w:t>
      </w:r>
      <w:r>
        <w:rPr>
          <w:color w:val="231F20"/>
          <w:spacing w:val="-9"/>
          <w:w w:val="120"/>
        </w:rPr>
        <w:t> </w:t>
      </w:r>
      <w:r>
        <w:rPr>
          <w:color w:val="231F20"/>
          <w:w w:val="120"/>
        </w:rPr>
        <w:t>de</w:t>
      </w:r>
      <w:r>
        <w:rPr>
          <w:color w:val="231F20"/>
          <w:spacing w:val="-9"/>
          <w:w w:val="120"/>
        </w:rPr>
        <w:t> </w:t>
      </w:r>
      <w:r>
        <w:rPr>
          <w:color w:val="231F20"/>
          <w:w w:val="120"/>
        </w:rPr>
        <w:t>prévention</w:t>
      </w:r>
      <w:r>
        <w:rPr>
          <w:color w:val="231F20"/>
          <w:spacing w:val="-9"/>
          <w:w w:val="120"/>
        </w:rPr>
        <w:t> </w:t>
      </w:r>
      <w:r>
        <w:rPr>
          <w:color w:val="231F20"/>
          <w:w w:val="120"/>
        </w:rPr>
        <w:t>–</w:t>
      </w:r>
      <w:r>
        <w:rPr>
          <w:color w:val="231F20"/>
          <w:spacing w:val="-9"/>
          <w:w w:val="120"/>
        </w:rPr>
        <w:t> </w:t>
      </w:r>
      <w:r>
        <w:rPr>
          <w:color w:val="231F20"/>
          <w:w w:val="120"/>
        </w:rPr>
        <w:t>à</w:t>
      </w:r>
      <w:r>
        <w:rPr>
          <w:color w:val="231F20"/>
          <w:spacing w:val="-9"/>
          <w:w w:val="120"/>
        </w:rPr>
        <w:t> </w:t>
      </w:r>
      <w:r>
        <w:rPr>
          <w:color w:val="231F20"/>
          <w:w w:val="120"/>
        </w:rPr>
        <w:t>tous</w:t>
      </w:r>
      <w:r>
        <w:rPr>
          <w:color w:val="231F20"/>
          <w:spacing w:val="-9"/>
          <w:w w:val="120"/>
        </w:rPr>
        <w:t> </w:t>
      </w:r>
      <w:r>
        <w:rPr>
          <w:color w:val="231F20"/>
          <w:w w:val="120"/>
        </w:rPr>
        <w:t>les </w:t>
      </w:r>
      <w:r>
        <w:rPr>
          <w:color w:val="231F20"/>
          <w:spacing w:val="-2"/>
          <w:w w:val="120"/>
        </w:rPr>
        <w:t>travailleurs</w:t>
      </w:r>
      <w:r>
        <w:rPr>
          <w:color w:val="231F20"/>
          <w:spacing w:val="-3"/>
          <w:w w:val="120"/>
        </w:rPr>
        <w:t> </w:t>
      </w:r>
      <w:r>
        <w:rPr>
          <w:color w:val="231F20"/>
          <w:spacing w:val="-2"/>
          <w:w w:val="120"/>
        </w:rPr>
        <w:t>et</w:t>
      </w:r>
      <w:r>
        <w:rPr>
          <w:color w:val="231F20"/>
          <w:spacing w:val="-3"/>
          <w:w w:val="120"/>
        </w:rPr>
        <w:t> </w:t>
      </w:r>
      <w:r>
        <w:rPr>
          <w:color w:val="231F20"/>
          <w:spacing w:val="-2"/>
          <w:w w:val="120"/>
        </w:rPr>
        <w:t>à</w:t>
      </w:r>
      <w:r>
        <w:rPr>
          <w:color w:val="231F20"/>
          <w:spacing w:val="-3"/>
          <w:w w:val="120"/>
        </w:rPr>
        <w:t> </w:t>
      </w:r>
      <w:r>
        <w:rPr>
          <w:color w:val="231F20"/>
          <w:spacing w:val="-2"/>
          <w:w w:val="120"/>
        </w:rPr>
        <w:t>tous</w:t>
      </w:r>
      <w:r>
        <w:rPr>
          <w:color w:val="231F20"/>
          <w:spacing w:val="-3"/>
          <w:w w:val="120"/>
        </w:rPr>
        <w:t> </w:t>
      </w:r>
      <w:r>
        <w:rPr>
          <w:color w:val="231F20"/>
          <w:spacing w:val="-2"/>
          <w:w w:val="120"/>
        </w:rPr>
        <w:t>les</w:t>
      </w:r>
      <w:r>
        <w:rPr>
          <w:color w:val="231F20"/>
          <w:spacing w:val="-3"/>
          <w:w w:val="120"/>
        </w:rPr>
        <w:t> </w:t>
      </w:r>
      <w:r>
        <w:rPr>
          <w:color w:val="231F20"/>
          <w:spacing w:val="-2"/>
          <w:w w:val="120"/>
        </w:rPr>
        <w:t>gestionnaires</w:t>
      </w:r>
      <w:r>
        <w:rPr>
          <w:color w:val="231F20"/>
          <w:spacing w:val="-3"/>
          <w:w w:val="120"/>
        </w:rPr>
        <w:t> </w:t>
      </w:r>
      <w:r>
        <w:rPr>
          <w:color w:val="231F20"/>
          <w:spacing w:val="-2"/>
          <w:w w:val="120"/>
        </w:rPr>
        <w:t>du</w:t>
      </w:r>
      <w:r>
        <w:rPr>
          <w:color w:val="231F20"/>
          <w:spacing w:val="-3"/>
          <w:w w:val="120"/>
        </w:rPr>
        <w:t> </w:t>
      </w:r>
      <w:r>
        <w:rPr>
          <w:color w:val="231F20"/>
          <w:spacing w:val="-2"/>
          <w:w w:val="120"/>
        </w:rPr>
        <w:t>service.</w:t>
      </w:r>
      <w:r>
        <w:rPr>
          <w:color w:val="231F20"/>
          <w:spacing w:val="-3"/>
          <w:w w:val="120"/>
        </w:rPr>
        <w:t> </w:t>
      </w:r>
      <w:r>
        <w:rPr>
          <w:color w:val="231F20"/>
          <w:spacing w:val="-2"/>
          <w:w w:val="120"/>
        </w:rPr>
        <w:t>Ils</w:t>
      </w:r>
      <w:r>
        <w:rPr>
          <w:color w:val="231F20"/>
          <w:spacing w:val="-3"/>
          <w:w w:val="120"/>
        </w:rPr>
        <w:t> </w:t>
      </w:r>
      <w:r>
        <w:rPr>
          <w:color w:val="231F20"/>
          <w:spacing w:val="-2"/>
          <w:w w:val="120"/>
        </w:rPr>
        <w:t>décident</w:t>
      </w:r>
      <w:r>
        <w:rPr>
          <w:color w:val="231F20"/>
          <w:spacing w:val="-3"/>
          <w:w w:val="120"/>
        </w:rPr>
        <w:t> </w:t>
      </w:r>
      <w:r>
        <w:rPr>
          <w:color w:val="231F20"/>
          <w:spacing w:val="-2"/>
          <w:w w:val="120"/>
        </w:rPr>
        <w:t>également </w:t>
      </w:r>
      <w:r>
        <w:rPr>
          <w:color w:val="231F20"/>
          <w:w w:val="120"/>
        </w:rPr>
        <w:t>de</w:t>
      </w:r>
      <w:r>
        <w:rPr>
          <w:color w:val="231F20"/>
          <w:spacing w:val="-2"/>
          <w:w w:val="120"/>
        </w:rPr>
        <w:t> </w:t>
      </w:r>
      <w:r>
        <w:rPr>
          <w:color w:val="231F20"/>
          <w:w w:val="120"/>
        </w:rPr>
        <w:t>réaliser</w:t>
      </w:r>
      <w:r>
        <w:rPr>
          <w:color w:val="231F20"/>
          <w:spacing w:val="-1"/>
          <w:w w:val="120"/>
        </w:rPr>
        <w:t> </w:t>
      </w:r>
      <w:r>
        <w:rPr>
          <w:color w:val="231F20"/>
          <w:w w:val="120"/>
        </w:rPr>
        <w:t>un</w:t>
      </w:r>
      <w:r>
        <w:rPr>
          <w:color w:val="231F20"/>
          <w:spacing w:val="-1"/>
          <w:w w:val="120"/>
        </w:rPr>
        <w:t> </w:t>
      </w:r>
      <w:r>
        <w:rPr>
          <w:color w:val="231F20"/>
          <w:w w:val="120"/>
        </w:rPr>
        <w:t>diagnostic</w:t>
      </w:r>
      <w:r>
        <w:rPr>
          <w:color w:val="231F20"/>
          <w:spacing w:val="-1"/>
          <w:w w:val="120"/>
        </w:rPr>
        <w:t> </w:t>
      </w:r>
      <w:r>
        <w:rPr>
          <w:color w:val="231F20"/>
          <w:w w:val="120"/>
        </w:rPr>
        <w:t>pour</w:t>
      </w:r>
      <w:r>
        <w:rPr>
          <w:color w:val="231F20"/>
          <w:spacing w:val="-1"/>
          <w:w w:val="120"/>
        </w:rPr>
        <w:t> </w:t>
      </w:r>
      <w:r>
        <w:rPr>
          <w:color w:val="231F20"/>
          <w:w w:val="120"/>
        </w:rPr>
        <w:t>faire</w:t>
      </w:r>
      <w:r>
        <w:rPr>
          <w:color w:val="231F20"/>
          <w:spacing w:val="-1"/>
          <w:w w:val="120"/>
        </w:rPr>
        <w:t> </w:t>
      </w:r>
      <w:r>
        <w:rPr>
          <w:color w:val="231F20"/>
          <w:w w:val="120"/>
        </w:rPr>
        <w:t>le</w:t>
      </w:r>
      <w:r>
        <w:rPr>
          <w:color w:val="231F20"/>
          <w:spacing w:val="-1"/>
          <w:w w:val="120"/>
        </w:rPr>
        <w:t> </w:t>
      </w:r>
      <w:r>
        <w:rPr>
          <w:color w:val="231F20"/>
          <w:w w:val="120"/>
        </w:rPr>
        <w:t>portrait</w:t>
      </w:r>
      <w:r>
        <w:rPr>
          <w:color w:val="231F20"/>
          <w:spacing w:val="-1"/>
          <w:w w:val="120"/>
        </w:rPr>
        <w:t> </w:t>
      </w:r>
      <w:r>
        <w:rPr>
          <w:color w:val="231F20"/>
          <w:w w:val="120"/>
        </w:rPr>
        <w:t>des</w:t>
      </w:r>
      <w:r>
        <w:rPr>
          <w:color w:val="231F20"/>
          <w:spacing w:val="-1"/>
          <w:w w:val="120"/>
        </w:rPr>
        <w:t> </w:t>
      </w:r>
      <w:r>
        <w:rPr>
          <w:color w:val="231F20"/>
          <w:w w:val="120"/>
        </w:rPr>
        <w:t>conditions</w:t>
      </w:r>
      <w:r>
        <w:rPr>
          <w:color w:val="231F20"/>
          <w:spacing w:val="-1"/>
          <w:w w:val="120"/>
        </w:rPr>
        <w:t> </w:t>
      </w:r>
      <w:r>
        <w:rPr>
          <w:color w:val="231F20"/>
          <w:w w:val="120"/>
        </w:rPr>
        <w:t>de</w:t>
      </w:r>
      <w:r>
        <w:rPr>
          <w:color w:val="231F20"/>
          <w:spacing w:val="-1"/>
          <w:w w:val="120"/>
        </w:rPr>
        <w:t> </w:t>
      </w:r>
      <w:r>
        <w:rPr>
          <w:color w:val="231F20"/>
          <w:spacing w:val="-2"/>
          <w:w w:val="120"/>
        </w:rPr>
        <w:t>travail</w:t>
      </w:r>
    </w:p>
    <w:p>
      <w:pPr>
        <w:spacing w:after="0" w:line="307" w:lineRule="auto"/>
        <w:jc w:val="both"/>
        <w:sectPr>
          <w:footerReference w:type="default" r:id="rId336"/>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color w:val="231F20"/>
          <w:w w:val="120"/>
        </w:rPr>
        <w:t>problématiques</w:t>
      </w:r>
      <w:r>
        <w:rPr>
          <w:color w:val="231F20"/>
          <w:spacing w:val="-15"/>
          <w:w w:val="120"/>
        </w:rPr>
        <w:t> </w:t>
      </w:r>
      <w:r>
        <w:rPr>
          <w:color w:val="231F20"/>
          <w:w w:val="120"/>
        </w:rPr>
        <w:t>et</w:t>
      </w:r>
      <w:r>
        <w:rPr>
          <w:color w:val="231F20"/>
          <w:spacing w:val="-13"/>
          <w:w w:val="120"/>
        </w:rPr>
        <w:t> </w:t>
      </w:r>
      <w:r>
        <w:rPr>
          <w:color w:val="231F20"/>
          <w:w w:val="120"/>
        </w:rPr>
        <w:t>des</w:t>
      </w:r>
      <w:r>
        <w:rPr>
          <w:color w:val="231F20"/>
          <w:spacing w:val="-13"/>
          <w:w w:val="120"/>
        </w:rPr>
        <w:t> </w:t>
      </w:r>
      <w:r>
        <w:rPr>
          <w:color w:val="231F20"/>
          <w:w w:val="120"/>
        </w:rPr>
        <w:t>plaintes</w:t>
      </w:r>
      <w:r>
        <w:rPr>
          <w:color w:val="231F20"/>
          <w:spacing w:val="-12"/>
          <w:w w:val="120"/>
        </w:rPr>
        <w:t> </w:t>
      </w:r>
      <w:r>
        <w:rPr>
          <w:color w:val="231F20"/>
          <w:w w:val="120"/>
        </w:rPr>
        <w:t>quant</w:t>
      </w:r>
      <w:r>
        <w:rPr>
          <w:color w:val="231F20"/>
          <w:spacing w:val="-13"/>
          <w:w w:val="120"/>
        </w:rPr>
        <w:t> </w:t>
      </w:r>
      <w:r>
        <w:rPr>
          <w:color w:val="231F20"/>
          <w:w w:val="120"/>
        </w:rPr>
        <w:t>à</w:t>
      </w:r>
      <w:r>
        <w:rPr>
          <w:color w:val="231F20"/>
          <w:spacing w:val="-13"/>
          <w:w w:val="120"/>
        </w:rPr>
        <w:t> </w:t>
      </w:r>
      <w:r>
        <w:rPr>
          <w:color w:val="231F20"/>
          <w:w w:val="120"/>
        </w:rPr>
        <w:t>l’état</w:t>
      </w:r>
      <w:r>
        <w:rPr>
          <w:color w:val="231F20"/>
          <w:spacing w:val="-13"/>
          <w:w w:val="120"/>
        </w:rPr>
        <w:t> </w:t>
      </w:r>
      <w:r>
        <w:rPr>
          <w:color w:val="231F20"/>
          <w:w w:val="120"/>
        </w:rPr>
        <w:t>de</w:t>
      </w:r>
      <w:r>
        <w:rPr>
          <w:color w:val="231F20"/>
          <w:spacing w:val="-12"/>
          <w:w w:val="120"/>
        </w:rPr>
        <w:t> </w:t>
      </w:r>
      <w:r>
        <w:rPr>
          <w:color w:val="231F20"/>
          <w:w w:val="120"/>
        </w:rPr>
        <w:t>santé</w:t>
      </w:r>
      <w:r>
        <w:rPr>
          <w:color w:val="231F20"/>
          <w:spacing w:val="-13"/>
          <w:w w:val="120"/>
        </w:rPr>
        <w:t> </w:t>
      </w:r>
      <w:r>
        <w:rPr>
          <w:color w:val="231F20"/>
          <w:w w:val="120"/>
        </w:rPr>
        <w:t>relatif</w:t>
      </w:r>
      <w:r>
        <w:rPr>
          <w:color w:val="231F20"/>
          <w:spacing w:val="-13"/>
          <w:w w:val="120"/>
        </w:rPr>
        <w:t> </w:t>
      </w:r>
      <w:r>
        <w:rPr>
          <w:color w:val="231F20"/>
          <w:w w:val="120"/>
        </w:rPr>
        <w:t>au</w:t>
      </w:r>
      <w:r>
        <w:rPr>
          <w:color w:val="231F20"/>
          <w:spacing w:val="-13"/>
          <w:w w:val="120"/>
        </w:rPr>
        <w:t> </w:t>
      </w:r>
      <w:r>
        <w:rPr>
          <w:color w:val="231F20"/>
          <w:w w:val="120"/>
        </w:rPr>
        <w:t>stress</w:t>
      </w:r>
      <w:r>
        <w:rPr>
          <w:color w:val="231F20"/>
          <w:spacing w:val="-12"/>
          <w:w w:val="120"/>
        </w:rPr>
        <w:t> </w:t>
      </w:r>
      <w:r>
        <w:rPr>
          <w:color w:val="231F20"/>
          <w:w w:val="120"/>
        </w:rPr>
        <w:t>qui sévit</w:t>
      </w:r>
      <w:r>
        <w:rPr>
          <w:color w:val="231F20"/>
          <w:spacing w:val="-8"/>
          <w:w w:val="120"/>
        </w:rPr>
        <w:t> </w:t>
      </w:r>
      <w:r>
        <w:rPr>
          <w:color w:val="231F20"/>
          <w:w w:val="120"/>
        </w:rPr>
        <w:t>dans</w:t>
      </w:r>
      <w:r>
        <w:rPr>
          <w:color w:val="231F20"/>
          <w:spacing w:val="-8"/>
          <w:w w:val="120"/>
        </w:rPr>
        <w:t> </w:t>
      </w:r>
      <w:r>
        <w:rPr>
          <w:color w:val="231F20"/>
          <w:w w:val="120"/>
        </w:rPr>
        <w:t>le</w:t>
      </w:r>
      <w:r>
        <w:rPr>
          <w:color w:val="231F20"/>
          <w:spacing w:val="-8"/>
          <w:w w:val="120"/>
        </w:rPr>
        <w:t> </w:t>
      </w:r>
      <w:r>
        <w:rPr>
          <w:color w:val="231F20"/>
          <w:w w:val="120"/>
        </w:rPr>
        <w:t>service.</w:t>
      </w:r>
      <w:r>
        <w:rPr>
          <w:color w:val="231F20"/>
          <w:spacing w:val="-8"/>
          <w:w w:val="120"/>
        </w:rPr>
        <w:t> </w:t>
      </w:r>
      <w:r>
        <w:rPr>
          <w:color w:val="231F20"/>
          <w:w w:val="120"/>
        </w:rPr>
        <w:t>Le</w:t>
      </w:r>
      <w:r>
        <w:rPr>
          <w:color w:val="231F20"/>
          <w:spacing w:val="-8"/>
          <w:w w:val="120"/>
        </w:rPr>
        <w:t> </w:t>
      </w:r>
      <w:r>
        <w:rPr>
          <w:color w:val="231F20"/>
          <w:w w:val="120"/>
        </w:rPr>
        <w:t>consultant</w:t>
      </w:r>
      <w:r>
        <w:rPr>
          <w:color w:val="231F20"/>
          <w:spacing w:val="-8"/>
          <w:w w:val="120"/>
        </w:rPr>
        <w:t> </w:t>
      </w:r>
      <w:r>
        <w:rPr>
          <w:color w:val="231F20"/>
          <w:w w:val="120"/>
        </w:rPr>
        <w:t>conçoit</w:t>
      </w:r>
      <w:r>
        <w:rPr>
          <w:color w:val="231F20"/>
          <w:spacing w:val="-8"/>
          <w:w w:val="120"/>
        </w:rPr>
        <w:t> </w:t>
      </w:r>
      <w:r>
        <w:rPr>
          <w:color w:val="231F20"/>
          <w:w w:val="120"/>
        </w:rPr>
        <w:t>un</w:t>
      </w:r>
      <w:r>
        <w:rPr>
          <w:color w:val="231F20"/>
          <w:spacing w:val="-8"/>
          <w:w w:val="120"/>
        </w:rPr>
        <w:t> </w:t>
      </w:r>
      <w:r>
        <w:rPr>
          <w:color w:val="231F20"/>
          <w:w w:val="120"/>
        </w:rPr>
        <w:t>sondage</w:t>
      </w:r>
      <w:r>
        <w:rPr>
          <w:color w:val="231F20"/>
          <w:spacing w:val="-8"/>
          <w:w w:val="120"/>
        </w:rPr>
        <w:t> </w:t>
      </w:r>
      <w:r>
        <w:rPr>
          <w:color w:val="231F20"/>
          <w:w w:val="120"/>
        </w:rPr>
        <w:t>à</w:t>
      </w:r>
      <w:r>
        <w:rPr>
          <w:color w:val="231F20"/>
          <w:spacing w:val="-8"/>
          <w:w w:val="120"/>
        </w:rPr>
        <w:t> </w:t>
      </w:r>
      <w:r>
        <w:rPr>
          <w:color w:val="231F20"/>
          <w:w w:val="120"/>
        </w:rPr>
        <w:t>partir</w:t>
      </w:r>
      <w:r>
        <w:rPr>
          <w:color w:val="231F20"/>
          <w:spacing w:val="-8"/>
          <w:w w:val="120"/>
        </w:rPr>
        <w:t> </w:t>
      </w:r>
      <w:r>
        <w:rPr>
          <w:color w:val="231F20"/>
          <w:w w:val="120"/>
        </w:rPr>
        <w:t>des</w:t>
      </w:r>
      <w:r>
        <w:rPr>
          <w:color w:val="231F20"/>
          <w:spacing w:val="-8"/>
          <w:w w:val="120"/>
        </w:rPr>
        <w:t> </w:t>
      </w:r>
      <w:r>
        <w:rPr>
          <w:color w:val="231F20"/>
          <w:w w:val="120"/>
        </w:rPr>
        <w:t>ren- seignements</w:t>
      </w:r>
      <w:r>
        <w:rPr>
          <w:color w:val="231F20"/>
          <w:spacing w:val="-9"/>
          <w:w w:val="120"/>
        </w:rPr>
        <w:t> </w:t>
      </w:r>
      <w:r>
        <w:rPr>
          <w:color w:val="231F20"/>
          <w:w w:val="120"/>
        </w:rPr>
        <w:t>obtenus</w:t>
      </w:r>
      <w:r>
        <w:rPr>
          <w:color w:val="231F20"/>
          <w:spacing w:val="-9"/>
          <w:w w:val="120"/>
        </w:rPr>
        <w:t> </w:t>
      </w:r>
      <w:r>
        <w:rPr>
          <w:color w:val="231F20"/>
          <w:w w:val="120"/>
        </w:rPr>
        <w:t>au</w:t>
      </w:r>
      <w:r>
        <w:rPr>
          <w:color w:val="231F20"/>
          <w:spacing w:val="-9"/>
          <w:w w:val="120"/>
        </w:rPr>
        <w:t> </w:t>
      </w:r>
      <w:r>
        <w:rPr>
          <w:color w:val="231F20"/>
          <w:w w:val="120"/>
        </w:rPr>
        <w:t>cours</w:t>
      </w:r>
      <w:r>
        <w:rPr>
          <w:color w:val="231F20"/>
          <w:spacing w:val="-9"/>
          <w:w w:val="120"/>
        </w:rPr>
        <w:t> </w:t>
      </w:r>
      <w:r>
        <w:rPr>
          <w:color w:val="231F20"/>
          <w:w w:val="120"/>
        </w:rPr>
        <w:t>des</w:t>
      </w:r>
      <w:r>
        <w:rPr>
          <w:color w:val="231F20"/>
          <w:spacing w:val="-9"/>
          <w:w w:val="120"/>
        </w:rPr>
        <w:t> </w:t>
      </w:r>
      <w:r>
        <w:rPr>
          <w:color w:val="231F20"/>
          <w:w w:val="120"/>
        </w:rPr>
        <w:t>rencontres</w:t>
      </w:r>
      <w:r>
        <w:rPr>
          <w:color w:val="231F20"/>
          <w:spacing w:val="-9"/>
          <w:w w:val="120"/>
        </w:rPr>
        <w:t> </w:t>
      </w:r>
      <w:r>
        <w:rPr>
          <w:color w:val="231F20"/>
          <w:w w:val="120"/>
        </w:rPr>
        <w:t>avec</w:t>
      </w:r>
      <w:r>
        <w:rPr>
          <w:color w:val="231F20"/>
          <w:spacing w:val="-9"/>
          <w:w w:val="120"/>
        </w:rPr>
        <w:t> </w:t>
      </w:r>
      <w:r>
        <w:rPr>
          <w:color w:val="231F20"/>
          <w:w w:val="120"/>
        </w:rPr>
        <w:t>les</w:t>
      </w:r>
      <w:r>
        <w:rPr>
          <w:color w:val="231F20"/>
          <w:spacing w:val="-9"/>
          <w:w w:val="120"/>
        </w:rPr>
        <w:t> </w:t>
      </w:r>
      <w:r>
        <w:rPr>
          <w:color w:val="231F20"/>
          <w:w w:val="120"/>
        </w:rPr>
        <w:t>travailleurs</w:t>
      </w:r>
      <w:r>
        <w:rPr>
          <w:color w:val="231F20"/>
          <w:spacing w:val="-9"/>
          <w:w w:val="120"/>
        </w:rPr>
        <w:t> </w:t>
      </w:r>
      <w:r>
        <w:rPr>
          <w:color w:val="231F20"/>
          <w:w w:val="120"/>
        </w:rPr>
        <w:t>et</w:t>
      </w:r>
      <w:r>
        <w:rPr>
          <w:color w:val="231F20"/>
          <w:spacing w:val="-9"/>
          <w:w w:val="120"/>
        </w:rPr>
        <w:t> </w:t>
      </w:r>
      <w:r>
        <w:rPr>
          <w:color w:val="231F20"/>
          <w:w w:val="120"/>
        </w:rPr>
        <w:t>les gestionnaires.</w:t>
      </w:r>
      <w:r>
        <w:rPr>
          <w:color w:val="231F20"/>
          <w:spacing w:val="-4"/>
          <w:w w:val="120"/>
        </w:rPr>
        <w:t> </w:t>
      </w:r>
      <w:r>
        <w:rPr>
          <w:color w:val="231F20"/>
          <w:w w:val="120"/>
        </w:rPr>
        <w:t>Il</w:t>
      </w:r>
      <w:r>
        <w:rPr>
          <w:color w:val="231F20"/>
          <w:spacing w:val="-4"/>
          <w:w w:val="120"/>
        </w:rPr>
        <w:t> </w:t>
      </w:r>
      <w:r>
        <w:rPr>
          <w:color w:val="231F20"/>
          <w:w w:val="120"/>
        </w:rPr>
        <w:t>participe</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distribution</w:t>
      </w:r>
      <w:r>
        <w:rPr>
          <w:color w:val="231F20"/>
          <w:spacing w:val="-4"/>
          <w:w w:val="120"/>
        </w:rPr>
        <w:t> </w:t>
      </w:r>
      <w:r>
        <w:rPr>
          <w:color w:val="231F20"/>
          <w:w w:val="120"/>
        </w:rPr>
        <w:t>et</w:t>
      </w:r>
      <w:r>
        <w:rPr>
          <w:color w:val="231F20"/>
          <w:spacing w:val="-4"/>
          <w:w w:val="120"/>
        </w:rPr>
        <w:t> </w:t>
      </w:r>
      <w:r>
        <w:rPr>
          <w:color w:val="231F20"/>
          <w:w w:val="120"/>
        </w:rPr>
        <w:t>à</w:t>
      </w:r>
      <w:r>
        <w:rPr>
          <w:color w:val="231F20"/>
          <w:spacing w:val="-4"/>
          <w:w w:val="120"/>
        </w:rPr>
        <w:t> </w:t>
      </w:r>
      <w:r>
        <w:rPr>
          <w:color w:val="231F20"/>
          <w:w w:val="120"/>
        </w:rPr>
        <w:t>la</w:t>
      </w:r>
      <w:r>
        <w:rPr>
          <w:color w:val="231F20"/>
          <w:spacing w:val="-4"/>
          <w:w w:val="120"/>
        </w:rPr>
        <w:t> </w:t>
      </w:r>
      <w:r>
        <w:rPr>
          <w:color w:val="231F20"/>
          <w:w w:val="120"/>
        </w:rPr>
        <w:t>collecte</w:t>
      </w:r>
      <w:r>
        <w:rPr>
          <w:color w:val="231F20"/>
          <w:spacing w:val="-4"/>
          <w:w w:val="120"/>
        </w:rPr>
        <w:t> </w:t>
      </w:r>
      <w:r>
        <w:rPr>
          <w:color w:val="231F20"/>
          <w:w w:val="120"/>
        </w:rPr>
        <w:t>des</w:t>
      </w:r>
      <w:r>
        <w:rPr>
          <w:color w:val="231F20"/>
          <w:spacing w:val="-4"/>
          <w:w w:val="120"/>
        </w:rPr>
        <w:t> </w:t>
      </w:r>
      <w:r>
        <w:rPr>
          <w:color w:val="231F20"/>
          <w:w w:val="120"/>
        </w:rPr>
        <w:t>question- </w:t>
      </w:r>
      <w:r>
        <w:rPr>
          <w:color w:val="231F20"/>
          <w:w w:val="115"/>
        </w:rPr>
        <w:t>naires</w:t>
      </w:r>
      <w:r>
        <w:rPr>
          <w:color w:val="231F20"/>
          <w:spacing w:val="-4"/>
          <w:w w:val="115"/>
        </w:rPr>
        <w:t> </w:t>
      </w:r>
      <w:r>
        <w:rPr>
          <w:color w:val="231F20"/>
          <w:w w:val="115"/>
        </w:rPr>
        <w:t>anonymes</w:t>
      </w:r>
      <w:r>
        <w:rPr>
          <w:color w:val="231F20"/>
          <w:spacing w:val="-4"/>
          <w:w w:val="115"/>
        </w:rPr>
        <w:t> </w:t>
      </w:r>
      <w:r>
        <w:rPr>
          <w:color w:val="231F20"/>
          <w:w w:val="115"/>
        </w:rPr>
        <w:t>qui</w:t>
      </w:r>
      <w:r>
        <w:rPr>
          <w:color w:val="231F20"/>
          <w:spacing w:val="-4"/>
          <w:w w:val="115"/>
        </w:rPr>
        <w:t> </w:t>
      </w:r>
      <w:r>
        <w:rPr>
          <w:color w:val="231F20"/>
          <w:w w:val="115"/>
        </w:rPr>
        <w:t>laissent</w:t>
      </w:r>
      <w:r>
        <w:rPr>
          <w:color w:val="231F20"/>
          <w:spacing w:val="-4"/>
          <w:w w:val="115"/>
        </w:rPr>
        <w:t> </w:t>
      </w:r>
      <w:r>
        <w:rPr>
          <w:color w:val="231F20"/>
          <w:w w:val="115"/>
        </w:rPr>
        <w:t>les</w:t>
      </w:r>
      <w:r>
        <w:rPr>
          <w:color w:val="231F20"/>
          <w:spacing w:val="-4"/>
          <w:w w:val="115"/>
        </w:rPr>
        <w:t> </w:t>
      </w:r>
      <w:r>
        <w:rPr>
          <w:color w:val="231F20"/>
          <w:w w:val="115"/>
        </w:rPr>
        <w:t>travailleurs</w:t>
      </w:r>
      <w:r>
        <w:rPr>
          <w:color w:val="231F20"/>
          <w:spacing w:val="-4"/>
          <w:w w:val="115"/>
        </w:rPr>
        <w:t> </w:t>
      </w:r>
      <w:r>
        <w:rPr>
          <w:color w:val="231F20"/>
          <w:w w:val="115"/>
        </w:rPr>
        <w:t>libres</w:t>
      </w:r>
      <w:r>
        <w:rPr>
          <w:color w:val="231F20"/>
          <w:spacing w:val="-4"/>
          <w:w w:val="115"/>
        </w:rPr>
        <w:t> </w:t>
      </w:r>
      <w:r>
        <w:rPr>
          <w:color w:val="231F20"/>
          <w:w w:val="115"/>
        </w:rPr>
        <w:t>de</w:t>
      </w:r>
      <w:r>
        <w:rPr>
          <w:color w:val="231F20"/>
          <w:spacing w:val="-4"/>
          <w:w w:val="115"/>
        </w:rPr>
        <w:t> </w:t>
      </w:r>
      <w:r>
        <w:rPr>
          <w:color w:val="231F20"/>
          <w:w w:val="115"/>
        </w:rPr>
        <w:t>s’exprimer</w:t>
      </w:r>
      <w:r>
        <w:rPr>
          <w:color w:val="231F20"/>
          <w:spacing w:val="-4"/>
          <w:w w:val="115"/>
        </w:rPr>
        <w:t> </w:t>
      </w:r>
      <w:r>
        <w:rPr>
          <w:color w:val="231F20"/>
          <w:w w:val="115"/>
        </w:rPr>
        <w:t>franche- </w:t>
      </w:r>
      <w:r>
        <w:rPr>
          <w:color w:val="231F20"/>
          <w:spacing w:val="-2"/>
          <w:w w:val="120"/>
        </w:rPr>
        <w:t>ment</w:t>
      </w:r>
      <w:r>
        <w:rPr>
          <w:color w:val="231F20"/>
          <w:spacing w:val="-4"/>
          <w:w w:val="120"/>
        </w:rPr>
        <w:t> </w:t>
      </w:r>
      <w:r>
        <w:rPr>
          <w:color w:val="231F20"/>
          <w:spacing w:val="-2"/>
          <w:w w:val="120"/>
        </w:rPr>
        <w:t>et</w:t>
      </w:r>
      <w:r>
        <w:rPr>
          <w:color w:val="231F20"/>
          <w:spacing w:val="-4"/>
          <w:w w:val="120"/>
        </w:rPr>
        <w:t> </w:t>
      </w:r>
      <w:r>
        <w:rPr>
          <w:color w:val="231F20"/>
          <w:spacing w:val="-2"/>
          <w:w w:val="120"/>
        </w:rPr>
        <w:t>ouvertement</w:t>
      </w:r>
      <w:r>
        <w:rPr>
          <w:color w:val="231F20"/>
          <w:spacing w:val="-4"/>
          <w:w w:val="120"/>
        </w:rPr>
        <w:t> </w:t>
      </w:r>
      <w:r>
        <w:rPr>
          <w:color w:val="231F20"/>
          <w:spacing w:val="-2"/>
          <w:w w:val="120"/>
        </w:rPr>
        <w:t>à</w:t>
      </w:r>
      <w:r>
        <w:rPr>
          <w:color w:val="231F20"/>
          <w:spacing w:val="-4"/>
          <w:w w:val="120"/>
        </w:rPr>
        <w:t> </w:t>
      </w:r>
      <w:r>
        <w:rPr>
          <w:color w:val="231F20"/>
          <w:spacing w:val="-2"/>
          <w:w w:val="120"/>
        </w:rPr>
        <w:t>propos</w:t>
      </w:r>
      <w:r>
        <w:rPr>
          <w:color w:val="231F20"/>
          <w:spacing w:val="-4"/>
          <w:w w:val="120"/>
        </w:rPr>
        <w:t> </w:t>
      </w:r>
      <w:r>
        <w:rPr>
          <w:color w:val="231F20"/>
          <w:spacing w:val="-2"/>
          <w:w w:val="120"/>
        </w:rPr>
        <w:t>des</w:t>
      </w:r>
      <w:r>
        <w:rPr>
          <w:color w:val="231F20"/>
          <w:spacing w:val="-4"/>
          <w:w w:val="120"/>
        </w:rPr>
        <w:t> </w:t>
      </w:r>
      <w:r>
        <w:rPr>
          <w:color w:val="231F20"/>
          <w:spacing w:val="-2"/>
          <w:w w:val="120"/>
        </w:rPr>
        <w:t>problèmes.</w:t>
      </w:r>
      <w:r>
        <w:rPr>
          <w:color w:val="231F20"/>
          <w:spacing w:val="-4"/>
          <w:w w:val="120"/>
        </w:rPr>
        <w:t> </w:t>
      </w:r>
      <w:r>
        <w:rPr>
          <w:color w:val="231F20"/>
          <w:spacing w:val="-2"/>
          <w:w w:val="120"/>
        </w:rPr>
        <w:t>Le</w:t>
      </w:r>
      <w:r>
        <w:rPr>
          <w:color w:val="231F20"/>
          <w:spacing w:val="-4"/>
          <w:w w:val="120"/>
        </w:rPr>
        <w:t> </w:t>
      </w:r>
      <w:r>
        <w:rPr>
          <w:color w:val="231F20"/>
          <w:spacing w:val="-2"/>
          <w:w w:val="120"/>
        </w:rPr>
        <w:t>consultant</w:t>
      </w:r>
      <w:r>
        <w:rPr>
          <w:color w:val="231F20"/>
          <w:spacing w:val="-4"/>
          <w:w w:val="120"/>
        </w:rPr>
        <w:t> </w:t>
      </w:r>
      <w:r>
        <w:rPr>
          <w:color w:val="231F20"/>
          <w:spacing w:val="-2"/>
          <w:w w:val="120"/>
        </w:rPr>
        <w:t>aide</w:t>
      </w:r>
      <w:r>
        <w:rPr>
          <w:color w:val="231F20"/>
          <w:spacing w:val="-4"/>
          <w:w w:val="120"/>
        </w:rPr>
        <w:t> </w:t>
      </w:r>
      <w:r>
        <w:rPr>
          <w:color w:val="231F20"/>
          <w:spacing w:val="-2"/>
          <w:w w:val="120"/>
        </w:rPr>
        <w:t>ensuite </w:t>
      </w:r>
      <w:r>
        <w:rPr>
          <w:color w:val="231F20"/>
          <w:w w:val="120"/>
        </w:rPr>
        <w:t>la directrice du service à analyser et à interpréter les données.</w:t>
      </w:r>
    </w:p>
    <w:p>
      <w:pPr>
        <w:pStyle w:val="BodyText"/>
        <w:spacing w:line="307" w:lineRule="auto" w:before="79"/>
        <w:ind w:left="1220" w:right="104" w:firstLine="250"/>
        <w:jc w:val="both"/>
      </w:pPr>
      <w:r>
        <w:rPr>
          <w:color w:val="231F20"/>
          <w:w w:val="120"/>
        </w:rPr>
        <w:t>L’analyse</w:t>
      </w:r>
      <w:r>
        <w:rPr>
          <w:color w:val="231F20"/>
          <w:spacing w:val="-11"/>
          <w:w w:val="120"/>
        </w:rPr>
        <w:t> </w:t>
      </w:r>
      <w:r>
        <w:rPr>
          <w:color w:val="231F20"/>
          <w:w w:val="120"/>
        </w:rPr>
        <w:t>des</w:t>
      </w:r>
      <w:r>
        <w:rPr>
          <w:color w:val="231F20"/>
          <w:spacing w:val="-11"/>
          <w:w w:val="120"/>
        </w:rPr>
        <w:t> </w:t>
      </w:r>
      <w:r>
        <w:rPr>
          <w:color w:val="231F20"/>
          <w:w w:val="120"/>
        </w:rPr>
        <w:t>données</w:t>
      </w:r>
      <w:r>
        <w:rPr>
          <w:color w:val="231F20"/>
          <w:spacing w:val="-11"/>
          <w:w w:val="120"/>
        </w:rPr>
        <w:t> </w:t>
      </w:r>
      <w:r>
        <w:rPr>
          <w:color w:val="231F20"/>
          <w:w w:val="120"/>
        </w:rPr>
        <w:t>de</w:t>
      </w:r>
      <w:r>
        <w:rPr>
          <w:color w:val="231F20"/>
          <w:spacing w:val="-11"/>
          <w:w w:val="120"/>
        </w:rPr>
        <w:t> </w:t>
      </w:r>
      <w:r>
        <w:rPr>
          <w:color w:val="231F20"/>
          <w:w w:val="120"/>
        </w:rPr>
        <w:t>l’étude</w:t>
      </w:r>
      <w:r>
        <w:rPr>
          <w:color w:val="231F20"/>
          <w:spacing w:val="-11"/>
          <w:w w:val="120"/>
        </w:rPr>
        <w:t> </w:t>
      </w:r>
      <w:r>
        <w:rPr>
          <w:color w:val="231F20"/>
          <w:w w:val="120"/>
        </w:rPr>
        <w:t>révèle</w:t>
      </w:r>
      <w:r>
        <w:rPr>
          <w:color w:val="231F20"/>
          <w:spacing w:val="-11"/>
          <w:w w:val="120"/>
        </w:rPr>
        <w:t> </w:t>
      </w:r>
      <w:r>
        <w:rPr>
          <w:color w:val="231F20"/>
          <w:w w:val="120"/>
        </w:rPr>
        <w:t>l’existence</w:t>
      </w:r>
      <w:r>
        <w:rPr>
          <w:color w:val="231F20"/>
          <w:spacing w:val="-11"/>
          <w:w w:val="120"/>
        </w:rPr>
        <w:t> </w:t>
      </w:r>
      <w:r>
        <w:rPr>
          <w:color w:val="231F20"/>
          <w:w w:val="120"/>
        </w:rPr>
        <w:t>de</w:t>
      </w:r>
      <w:r>
        <w:rPr>
          <w:color w:val="231F20"/>
          <w:spacing w:val="-11"/>
          <w:w w:val="120"/>
        </w:rPr>
        <w:t> </w:t>
      </w:r>
      <w:r>
        <w:rPr>
          <w:color w:val="231F20"/>
          <w:w w:val="120"/>
        </w:rPr>
        <w:t>trois</w:t>
      </w:r>
      <w:r>
        <w:rPr>
          <w:color w:val="231F20"/>
          <w:spacing w:val="-11"/>
          <w:w w:val="120"/>
        </w:rPr>
        <w:t> </w:t>
      </w:r>
      <w:r>
        <w:rPr>
          <w:color w:val="231F20"/>
          <w:w w:val="120"/>
        </w:rPr>
        <w:t>types</w:t>
      </w:r>
      <w:r>
        <w:rPr>
          <w:color w:val="231F20"/>
          <w:spacing w:val="-11"/>
          <w:w w:val="120"/>
        </w:rPr>
        <w:t> </w:t>
      </w:r>
      <w:r>
        <w:rPr>
          <w:color w:val="231F20"/>
          <w:w w:val="120"/>
        </w:rPr>
        <w:t>de </w:t>
      </w:r>
      <w:r>
        <w:rPr>
          <w:color w:val="231F20"/>
          <w:spacing w:val="-2"/>
          <w:w w:val="120"/>
        </w:rPr>
        <w:t>conditions</w:t>
      </w:r>
      <w:r>
        <w:rPr>
          <w:color w:val="231F20"/>
          <w:spacing w:val="-11"/>
          <w:w w:val="120"/>
        </w:rPr>
        <w:t> </w:t>
      </w:r>
      <w:r>
        <w:rPr>
          <w:color w:val="231F20"/>
          <w:spacing w:val="-2"/>
          <w:w w:val="120"/>
        </w:rPr>
        <w:t>de</w:t>
      </w:r>
      <w:r>
        <w:rPr>
          <w:color w:val="231F20"/>
          <w:spacing w:val="-11"/>
          <w:w w:val="120"/>
        </w:rPr>
        <w:t> </w:t>
      </w:r>
      <w:r>
        <w:rPr>
          <w:color w:val="231F20"/>
          <w:spacing w:val="-2"/>
          <w:w w:val="120"/>
        </w:rPr>
        <w:t>travail</w:t>
      </w:r>
      <w:r>
        <w:rPr>
          <w:color w:val="231F20"/>
          <w:spacing w:val="-11"/>
          <w:w w:val="120"/>
        </w:rPr>
        <w:t> </w:t>
      </w:r>
      <w:r>
        <w:rPr>
          <w:color w:val="231F20"/>
          <w:spacing w:val="-2"/>
          <w:w w:val="120"/>
        </w:rPr>
        <w:t>liées</w:t>
      </w:r>
      <w:r>
        <w:rPr>
          <w:color w:val="231F20"/>
          <w:spacing w:val="-10"/>
          <w:w w:val="120"/>
        </w:rPr>
        <w:t> </w:t>
      </w:r>
      <w:r>
        <w:rPr>
          <w:color w:val="231F20"/>
          <w:spacing w:val="-2"/>
          <w:w w:val="120"/>
        </w:rPr>
        <w:t>aux</w:t>
      </w:r>
      <w:r>
        <w:rPr>
          <w:color w:val="231F20"/>
          <w:spacing w:val="-11"/>
          <w:w w:val="120"/>
        </w:rPr>
        <w:t> </w:t>
      </w:r>
      <w:r>
        <w:rPr>
          <w:color w:val="231F20"/>
          <w:spacing w:val="-2"/>
          <w:w w:val="120"/>
        </w:rPr>
        <w:t>plaintes</w:t>
      </w:r>
      <w:r>
        <w:rPr>
          <w:color w:val="231F20"/>
          <w:spacing w:val="-11"/>
          <w:w w:val="120"/>
        </w:rPr>
        <w:t> </w:t>
      </w:r>
      <w:r>
        <w:rPr>
          <w:color w:val="231F20"/>
          <w:spacing w:val="-2"/>
          <w:w w:val="120"/>
        </w:rPr>
        <w:t>des</w:t>
      </w:r>
      <w:r>
        <w:rPr>
          <w:color w:val="231F20"/>
          <w:spacing w:val="-11"/>
          <w:w w:val="120"/>
        </w:rPr>
        <w:t> </w:t>
      </w:r>
      <w:r>
        <w:rPr>
          <w:color w:val="231F20"/>
          <w:spacing w:val="-2"/>
          <w:w w:val="120"/>
        </w:rPr>
        <w:t>travailleurs</w:t>
      </w:r>
      <w:r>
        <w:rPr>
          <w:color w:val="231F20"/>
          <w:spacing w:val="-10"/>
          <w:w w:val="120"/>
        </w:rPr>
        <w:t> </w:t>
      </w:r>
      <w:r>
        <w:rPr>
          <w:color w:val="231F20"/>
          <w:spacing w:val="-2"/>
          <w:w w:val="120"/>
        </w:rPr>
        <w:t>relatives</w:t>
      </w:r>
      <w:r>
        <w:rPr>
          <w:color w:val="231F20"/>
          <w:spacing w:val="-11"/>
          <w:w w:val="120"/>
        </w:rPr>
        <w:t> </w:t>
      </w:r>
      <w:r>
        <w:rPr>
          <w:color w:val="231F20"/>
          <w:spacing w:val="-2"/>
          <w:w w:val="120"/>
        </w:rPr>
        <w:t>au</w:t>
      </w:r>
      <w:r>
        <w:rPr>
          <w:color w:val="231F20"/>
          <w:spacing w:val="-11"/>
          <w:w w:val="120"/>
        </w:rPr>
        <w:t> </w:t>
      </w:r>
      <w:r>
        <w:rPr>
          <w:color w:val="231F20"/>
          <w:spacing w:val="-2"/>
          <w:w w:val="120"/>
        </w:rPr>
        <w:t>stress: des</w:t>
      </w:r>
      <w:r>
        <w:rPr>
          <w:color w:val="231F20"/>
          <w:spacing w:val="-10"/>
          <w:w w:val="120"/>
        </w:rPr>
        <w:t> </w:t>
      </w:r>
      <w:r>
        <w:rPr>
          <w:color w:val="231F20"/>
          <w:spacing w:val="-2"/>
          <w:w w:val="120"/>
        </w:rPr>
        <w:t>échéances</w:t>
      </w:r>
      <w:r>
        <w:rPr>
          <w:color w:val="231F20"/>
          <w:spacing w:val="-10"/>
          <w:w w:val="120"/>
        </w:rPr>
        <w:t> </w:t>
      </w:r>
      <w:r>
        <w:rPr>
          <w:color w:val="231F20"/>
          <w:spacing w:val="-2"/>
          <w:w w:val="120"/>
        </w:rPr>
        <w:t>irréalistes,</w:t>
      </w:r>
      <w:r>
        <w:rPr>
          <w:color w:val="231F20"/>
          <w:spacing w:val="-10"/>
          <w:w w:val="120"/>
        </w:rPr>
        <w:t> </w:t>
      </w:r>
      <w:r>
        <w:rPr>
          <w:color w:val="231F20"/>
          <w:spacing w:val="-2"/>
          <w:w w:val="120"/>
        </w:rPr>
        <w:t>un</w:t>
      </w:r>
      <w:r>
        <w:rPr>
          <w:color w:val="231F20"/>
          <w:spacing w:val="-10"/>
          <w:w w:val="120"/>
        </w:rPr>
        <w:t> </w:t>
      </w:r>
      <w:r>
        <w:rPr>
          <w:color w:val="231F20"/>
          <w:spacing w:val="-2"/>
          <w:w w:val="120"/>
        </w:rPr>
        <w:t>faible</w:t>
      </w:r>
      <w:r>
        <w:rPr>
          <w:color w:val="231F20"/>
          <w:spacing w:val="-10"/>
          <w:w w:val="120"/>
        </w:rPr>
        <w:t> </w:t>
      </w:r>
      <w:r>
        <w:rPr>
          <w:color w:val="231F20"/>
          <w:spacing w:val="-2"/>
          <w:w w:val="120"/>
        </w:rPr>
        <w:t>niveau</w:t>
      </w:r>
      <w:r>
        <w:rPr>
          <w:color w:val="231F20"/>
          <w:spacing w:val="-10"/>
          <w:w w:val="120"/>
        </w:rPr>
        <w:t> </w:t>
      </w:r>
      <w:r>
        <w:rPr>
          <w:color w:val="231F20"/>
          <w:spacing w:val="-2"/>
          <w:w w:val="120"/>
        </w:rPr>
        <w:t>de</w:t>
      </w:r>
      <w:r>
        <w:rPr>
          <w:color w:val="231F20"/>
          <w:spacing w:val="-10"/>
          <w:w w:val="120"/>
        </w:rPr>
        <w:t> </w:t>
      </w:r>
      <w:r>
        <w:rPr>
          <w:color w:val="231F20"/>
          <w:spacing w:val="-2"/>
          <w:w w:val="120"/>
        </w:rPr>
        <w:t>soutien</w:t>
      </w:r>
      <w:r>
        <w:rPr>
          <w:color w:val="231F20"/>
          <w:spacing w:val="-10"/>
          <w:w w:val="120"/>
        </w:rPr>
        <w:t> </w:t>
      </w:r>
      <w:r>
        <w:rPr>
          <w:color w:val="231F20"/>
          <w:spacing w:val="-2"/>
          <w:w w:val="120"/>
        </w:rPr>
        <w:t>offert</w:t>
      </w:r>
      <w:r>
        <w:rPr>
          <w:color w:val="231F20"/>
          <w:spacing w:val="-10"/>
          <w:w w:val="120"/>
        </w:rPr>
        <w:t> </w:t>
      </w:r>
      <w:r>
        <w:rPr>
          <w:color w:val="231F20"/>
          <w:spacing w:val="-2"/>
          <w:w w:val="120"/>
        </w:rPr>
        <w:t>par</w:t>
      </w:r>
      <w:r>
        <w:rPr>
          <w:color w:val="231F20"/>
          <w:spacing w:val="-10"/>
          <w:w w:val="120"/>
        </w:rPr>
        <w:t> </w:t>
      </w:r>
      <w:r>
        <w:rPr>
          <w:color w:val="231F20"/>
          <w:spacing w:val="-2"/>
          <w:w w:val="120"/>
        </w:rPr>
        <w:t>les</w:t>
      </w:r>
      <w:r>
        <w:rPr>
          <w:color w:val="231F20"/>
          <w:spacing w:val="-10"/>
          <w:w w:val="120"/>
        </w:rPr>
        <w:t> </w:t>
      </w:r>
      <w:r>
        <w:rPr>
          <w:color w:val="231F20"/>
          <w:spacing w:val="-2"/>
          <w:w w:val="120"/>
        </w:rPr>
        <w:t>super- </w:t>
      </w:r>
      <w:r>
        <w:rPr>
          <w:color w:val="231F20"/>
          <w:w w:val="120"/>
        </w:rPr>
        <w:t>viseurs et un faible niveau de participation des travailleurs à la prise</w:t>
      </w:r>
      <w:r>
        <w:rPr>
          <w:color w:val="231F20"/>
          <w:spacing w:val="40"/>
          <w:w w:val="120"/>
        </w:rPr>
        <w:t> </w:t>
      </w:r>
      <w:r>
        <w:rPr>
          <w:color w:val="231F20"/>
          <w:w w:val="120"/>
        </w:rPr>
        <w:t>de</w:t>
      </w:r>
      <w:r>
        <w:rPr>
          <w:color w:val="231F20"/>
          <w:spacing w:val="-13"/>
          <w:w w:val="120"/>
        </w:rPr>
        <w:t> </w:t>
      </w:r>
      <w:r>
        <w:rPr>
          <w:color w:val="231F20"/>
          <w:w w:val="120"/>
        </w:rPr>
        <w:t>décision.</w:t>
      </w:r>
    </w:p>
    <w:p>
      <w:pPr>
        <w:pStyle w:val="BodyText"/>
        <w:spacing w:line="307" w:lineRule="auto" w:before="79"/>
        <w:ind w:left="1220" w:right="105" w:firstLine="250"/>
        <w:jc w:val="both"/>
      </w:pPr>
      <w:r>
        <w:rPr>
          <w:color w:val="231F20"/>
          <w:w w:val="120"/>
        </w:rPr>
        <w:t>Ayant</w:t>
      </w:r>
      <w:r>
        <w:rPr>
          <w:color w:val="231F20"/>
          <w:spacing w:val="-12"/>
          <w:w w:val="120"/>
        </w:rPr>
        <w:t> </w:t>
      </w:r>
      <w:r>
        <w:rPr>
          <w:color w:val="231F20"/>
          <w:w w:val="120"/>
        </w:rPr>
        <w:t>relevé</w:t>
      </w:r>
      <w:r>
        <w:rPr>
          <w:color w:val="231F20"/>
          <w:spacing w:val="-12"/>
          <w:w w:val="120"/>
        </w:rPr>
        <w:t> </w:t>
      </w:r>
      <w:r>
        <w:rPr>
          <w:color w:val="231F20"/>
          <w:w w:val="120"/>
        </w:rPr>
        <w:t>ces</w:t>
      </w:r>
      <w:r>
        <w:rPr>
          <w:color w:val="231F20"/>
          <w:spacing w:val="-12"/>
          <w:w w:val="120"/>
        </w:rPr>
        <w:t> </w:t>
      </w:r>
      <w:r>
        <w:rPr>
          <w:color w:val="231F20"/>
          <w:w w:val="120"/>
        </w:rPr>
        <w:t>problèmes,</w:t>
      </w:r>
      <w:r>
        <w:rPr>
          <w:color w:val="231F20"/>
          <w:spacing w:val="-12"/>
          <w:w w:val="120"/>
        </w:rPr>
        <w:t> </w:t>
      </w:r>
      <w:r>
        <w:rPr>
          <w:color w:val="231F20"/>
          <w:w w:val="120"/>
        </w:rPr>
        <w:t>la</w:t>
      </w:r>
      <w:r>
        <w:rPr>
          <w:color w:val="231F20"/>
          <w:spacing w:val="-12"/>
          <w:w w:val="120"/>
        </w:rPr>
        <w:t> </w:t>
      </w:r>
      <w:r>
        <w:rPr>
          <w:color w:val="231F20"/>
          <w:w w:val="120"/>
        </w:rPr>
        <w:t>directrice</w:t>
      </w:r>
      <w:r>
        <w:rPr>
          <w:color w:val="231F20"/>
          <w:spacing w:val="-12"/>
          <w:w w:val="120"/>
        </w:rPr>
        <w:t> </w:t>
      </w:r>
      <w:r>
        <w:rPr>
          <w:color w:val="231F20"/>
          <w:w w:val="120"/>
        </w:rPr>
        <w:t>dresse</w:t>
      </w:r>
      <w:r>
        <w:rPr>
          <w:color w:val="231F20"/>
          <w:spacing w:val="-12"/>
          <w:w w:val="120"/>
        </w:rPr>
        <w:t> </w:t>
      </w:r>
      <w:r>
        <w:rPr>
          <w:color w:val="231F20"/>
          <w:w w:val="120"/>
        </w:rPr>
        <w:t>et</w:t>
      </w:r>
      <w:r>
        <w:rPr>
          <w:color w:val="231F20"/>
          <w:spacing w:val="-12"/>
          <w:w w:val="120"/>
        </w:rPr>
        <w:t> </w:t>
      </w:r>
      <w:r>
        <w:rPr>
          <w:color w:val="231F20"/>
          <w:w w:val="120"/>
        </w:rPr>
        <w:t>classe</w:t>
      </w:r>
      <w:r>
        <w:rPr>
          <w:color w:val="231F20"/>
          <w:spacing w:val="-12"/>
          <w:w w:val="120"/>
        </w:rPr>
        <w:t> </w:t>
      </w:r>
      <w:r>
        <w:rPr>
          <w:color w:val="231F20"/>
          <w:w w:val="120"/>
        </w:rPr>
        <w:t>en</w:t>
      </w:r>
      <w:r>
        <w:rPr>
          <w:color w:val="231F20"/>
          <w:spacing w:val="-12"/>
          <w:w w:val="120"/>
        </w:rPr>
        <w:t> </w:t>
      </w:r>
      <w:r>
        <w:rPr>
          <w:color w:val="231F20"/>
          <w:w w:val="120"/>
        </w:rPr>
        <w:t>ordre</w:t>
      </w:r>
      <w:r>
        <w:rPr>
          <w:color w:val="231F20"/>
          <w:spacing w:val="-12"/>
          <w:w w:val="120"/>
        </w:rPr>
        <w:t> </w:t>
      </w:r>
      <w:r>
        <w:rPr>
          <w:color w:val="231F20"/>
          <w:w w:val="120"/>
        </w:rPr>
        <w:t>de </w:t>
      </w:r>
      <w:r>
        <w:rPr>
          <w:color w:val="231F20"/>
          <w:spacing w:val="-2"/>
          <w:w w:val="120"/>
        </w:rPr>
        <w:t>priorité</w:t>
      </w:r>
      <w:r>
        <w:rPr>
          <w:color w:val="231F20"/>
          <w:spacing w:val="-11"/>
          <w:w w:val="120"/>
        </w:rPr>
        <w:t> </w:t>
      </w:r>
      <w:r>
        <w:rPr>
          <w:color w:val="231F20"/>
          <w:spacing w:val="-2"/>
          <w:w w:val="120"/>
        </w:rPr>
        <w:t>une</w:t>
      </w:r>
      <w:r>
        <w:rPr>
          <w:color w:val="231F20"/>
          <w:spacing w:val="-11"/>
          <w:w w:val="120"/>
        </w:rPr>
        <w:t> </w:t>
      </w:r>
      <w:r>
        <w:rPr>
          <w:color w:val="231F20"/>
          <w:spacing w:val="-2"/>
          <w:w w:val="120"/>
        </w:rPr>
        <w:t>liste</w:t>
      </w:r>
      <w:r>
        <w:rPr>
          <w:color w:val="231F20"/>
          <w:spacing w:val="-11"/>
          <w:w w:val="120"/>
        </w:rPr>
        <w:t> </w:t>
      </w:r>
      <w:r>
        <w:rPr>
          <w:color w:val="231F20"/>
          <w:spacing w:val="-2"/>
          <w:w w:val="120"/>
        </w:rPr>
        <w:t>des</w:t>
      </w:r>
      <w:r>
        <w:rPr>
          <w:color w:val="231F20"/>
          <w:spacing w:val="-10"/>
          <w:w w:val="120"/>
        </w:rPr>
        <w:t> </w:t>
      </w:r>
      <w:r>
        <w:rPr>
          <w:color w:val="231F20"/>
          <w:spacing w:val="-2"/>
          <w:w w:val="120"/>
        </w:rPr>
        <w:t>mesures</w:t>
      </w:r>
      <w:r>
        <w:rPr>
          <w:color w:val="231F20"/>
          <w:spacing w:val="-11"/>
          <w:w w:val="120"/>
        </w:rPr>
        <w:t> </w:t>
      </w:r>
      <w:r>
        <w:rPr>
          <w:color w:val="231F20"/>
          <w:spacing w:val="-2"/>
          <w:w w:val="120"/>
        </w:rPr>
        <w:t>correctives</w:t>
      </w:r>
      <w:r>
        <w:rPr>
          <w:color w:val="231F20"/>
          <w:spacing w:val="-11"/>
          <w:w w:val="120"/>
        </w:rPr>
        <w:t> </w:t>
      </w:r>
      <w:r>
        <w:rPr>
          <w:color w:val="231F20"/>
          <w:spacing w:val="-2"/>
          <w:w w:val="120"/>
        </w:rPr>
        <w:t>à</w:t>
      </w:r>
      <w:r>
        <w:rPr>
          <w:color w:val="231F20"/>
          <w:spacing w:val="-11"/>
          <w:w w:val="120"/>
        </w:rPr>
        <w:t> </w:t>
      </w:r>
      <w:r>
        <w:rPr>
          <w:color w:val="231F20"/>
          <w:spacing w:val="-2"/>
          <w:w w:val="120"/>
        </w:rPr>
        <w:t>mettre</w:t>
      </w:r>
      <w:r>
        <w:rPr>
          <w:color w:val="231F20"/>
          <w:spacing w:val="-10"/>
          <w:w w:val="120"/>
        </w:rPr>
        <w:t> </w:t>
      </w:r>
      <w:r>
        <w:rPr>
          <w:color w:val="231F20"/>
          <w:spacing w:val="-2"/>
          <w:w w:val="120"/>
        </w:rPr>
        <w:t>en</w:t>
      </w:r>
      <w:r>
        <w:rPr>
          <w:color w:val="231F20"/>
          <w:spacing w:val="-11"/>
          <w:w w:val="120"/>
        </w:rPr>
        <w:t> </w:t>
      </w:r>
      <w:r>
        <w:rPr>
          <w:color w:val="231F20"/>
          <w:spacing w:val="-2"/>
          <w:w w:val="120"/>
        </w:rPr>
        <w:t>œuvre.</w:t>
      </w:r>
      <w:r>
        <w:rPr>
          <w:color w:val="231F20"/>
          <w:spacing w:val="-11"/>
          <w:w w:val="120"/>
        </w:rPr>
        <w:t> </w:t>
      </w:r>
      <w:r>
        <w:rPr>
          <w:color w:val="231F20"/>
          <w:spacing w:val="-2"/>
          <w:w w:val="120"/>
        </w:rPr>
        <w:t>Les</w:t>
      </w:r>
      <w:r>
        <w:rPr>
          <w:color w:val="231F20"/>
          <w:spacing w:val="-11"/>
          <w:w w:val="120"/>
        </w:rPr>
        <w:t> </w:t>
      </w:r>
      <w:r>
        <w:rPr>
          <w:color w:val="231F20"/>
          <w:spacing w:val="-2"/>
          <w:w w:val="120"/>
        </w:rPr>
        <w:t>mesures </w:t>
      </w:r>
      <w:r>
        <w:rPr>
          <w:color w:val="231F20"/>
          <w:w w:val="120"/>
        </w:rPr>
        <w:t>privilégiées</w:t>
      </w:r>
      <w:r>
        <w:rPr>
          <w:color w:val="231F20"/>
          <w:spacing w:val="-12"/>
          <w:w w:val="120"/>
        </w:rPr>
        <w:t> </w:t>
      </w:r>
      <w:r>
        <w:rPr>
          <w:color w:val="231F20"/>
          <w:w w:val="120"/>
        </w:rPr>
        <w:t>sont</w:t>
      </w:r>
      <w:r>
        <w:rPr>
          <w:color w:val="231F20"/>
          <w:spacing w:val="-12"/>
          <w:w w:val="120"/>
        </w:rPr>
        <w:t> </w:t>
      </w:r>
      <w:r>
        <w:rPr>
          <w:color w:val="231F20"/>
          <w:w w:val="120"/>
        </w:rPr>
        <w:t>: 1) une participation accrue des employés à la plani- </w:t>
      </w:r>
      <w:r>
        <w:rPr>
          <w:color w:val="231F20"/>
          <w:w w:val="115"/>
        </w:rPr>
        <w:t>fication de leur travail, afin d’éviter les échéances irréalistes; 2) une </w:t>
      </w:r>
      <w:r>
        <w:rPr>
          <w:color w:val="231F20"/>
          <w:w w:val="115"/>
        </w:rPr>
        <w:t>aug- </w:t>
      </w:r>
      <w:r>
        <w:rPr>
          <w:color w:val="231F20"/>
          <w:w w:val="120"/>
        </w:rPr>
        <w:t>mentation de la fréquence des rencontres entre les travailleurs et les gestionnaires</w:t>
      </w:r>
      <w:r>
        <w:rPr>
          <w:color w:val="231F20"/>
          <w:spacing w:val="-13"/>
          <w:w w:val="120"/>
        </w:rPr>
        <w:t> </w:t>
      </w:r>
      <w:r>
        <w:rPr>
          <w:color w:val="231F20"/>
          <w:w w:val="120"/>
        </w:rPr>
        <w:t>afin</w:t>
      </w:r>
      <w:r>
        <w:rPr>
          <w:color w:val="231F20"/>
          <w:spacing w:val="-13"/>
          <w:w w:val="120"/>
        </w:rPr>
        <w:t> </w:t>
      </w:r>
      <w:r>
        <w:rPr>
          <w:color w:val="231F20"/>
          <w:w w:val="120"/>
        </w:rPr>
        <w:t>de</w:t>
      </w:r>
      <w:r>
        <w:rPr>
          <w:color w:val="231F20"/>
          <w:spacing w:val="-13"/>
          <w:w w:val="120"/>
        </w:rPr>
        <w:t> </w:t>
      </w:r>
      <w:r>
        <w:rPr>
          <w:color w:val="231F20"/>
          <w:w w:val="120"/>
        </w:rPr>
        <w:t>se</w:t>
      </w:r>
      <w:r>
        <w:rPr>
          <w:color w:val="231F20"/>
          <w:spacing w:val="-12"/>
          <w:w w:val="120"/>
        </w:rPr>
        <w:t> </w:t>
      </w:r>
      <w:r>
        <w:rPr>
          <w:color w:val="231F20"/>
          <w:w w:val="120"/>
        </w:rPr>
        <w:t>tenir</w:t>
      </w:r>
      <w:r>
        <w:rPr>
          <w:color w:val="231F20"/>
          <w:spacing w:val="-13"/>
          <w:w w:val="120"/>
        </w:rPr>
        <w:t> </w:t>
      </w:r>
      <w:r>
        <w:rPr>
          <w:color w:val="231F20"/>
          <w:w w:val="120"/>
        </w:rPr>
        <w:t>au</w:t>
      </w:r>
      <w:r>
        <w:rPr>
          <w:color w:val="231F20"/>
          <w:spacing w:val="-13"/>
          <w:w w:val="120"/>
        </w:rPr>
        <w:t> </w:t>
      </w:r>
      <w:r>
        <w:rPr>
          <w:color w:val="231F20"/>
          <w:w w:val="120"/>
        </w:rPr>
        <w:t>courant</w:t>
      </w:r>
      <w:r>
        <w:rPr>
          <w:color w:val="231F20"/>
          <w:spacing w:val="-13"/>
          <w:w w:val="120"/>
        </w:rPr>
        <w:t> </w:t>
      </w:r>
      <w:r>
        <w:rPr>
          <w:color w:val="231F20"/>
          <w:w w:val="120"/>
        </w:rPr>
        <w:t>des</w:t>
      </w:r>
      <w:r>
        <w:rPr>
          <w:color w:val="231F20"/>
          <w:spacing w:val="-12"/>
          <w:w w:val="120"/>
        </w:rPr>
        <w:t> </w:t>
      </w:r>
      <w:r>
        <w:rPr>
          <w:color w:val="231F20"/>
          <w:w w:val="120"/>
        </w:rPr>
        <w:t>problèmes</w:t>
      </w:r>
      <w:r>
        <w:rPr>
          <w:color w:val="231F20"/>
          <w:spacing w:val="-13"/>
          <w:w w:val="120"/>
        </w:rPr>
        <w:t> </w:t>
      </w:r>
      <w:r>
        <w:rPr>
          <w:color w:val="231F20"/>
          <w:w w:val="120"/>
        </w:rPr>
        <w:t>irrésolus.</w:t>
      </w:r>
      <w:r>
        <w:rPr>
          <w:color w:val="231F20"/>
          <w:spacing w:val="-13"/>
          <w:w w:val="120"/>
        </w:rPr>
        <w:t> </w:t>
      </w:r>
      <w:r>
        <w:rPr>
          <w:color w:val="231F20"/>
          <w:w w:val="120"/>
        </w:rPr>
        <w:t>Résul- </w:t>
      </w:r>
      <w:r>
        <w:rPr>
          <w:color w:val="231F20"/>
          <w:w w:val="115"/>
        </w:rPr>
        <w:t>tats</w:t>
      </w:r>
      <w:r>
        <w:rPr>
          <w:color w:val="231F20"/>
          <w:spacing w:val="-13"/>
          <w:w w:val="115"/>
        </w:rPr>
        <w:t> </w:t>
      </w:r>
      <w:r>
        <w:rPr>
          <w:color w:val="231F20"/>
          <w:w w:val="115"/>
        </w:rPr>
        <w:t>:</w:t>
      </w:r>
      <w:r>
        <w:rPr>
          <w:color w:val="231F20"/>
          <w:spacing w:val="-12"/>
          <w:w w:val="115"/>
        </w:rPr>
        <w:t> </w:t>
      </w:r>
      <w:r>
        <w:rPr>
          <w:color w:val="231F20"/>
          <w:w w:val="115"/>
        </w:rPr>
        <w:t>quelques mois après l’instauration de ces mesures, l’engagement, la </w:t>
      </w:r>
      <w:r>
        <w:rPr>
          <w:color w:val="231F20"/>
          <w:w w:val="120"/>
        </w:rPr>
        <w:t>satisfaction et la motivation des travailleurs s’étaient améliorés et les problèmes physiques ressentis s’étaient significativement estompés.</w:t>
      </w:r>
    </w:p>
    <w:p>
      <w:pPr>
        <w:pStyle w:val="BodyText"/>
        <w:spacing w:before="7"/>
        <w:rPr>
          <w:sz w:val="21"/>
        </w:rPr>
      </w:pPr>
    </w:p>
    <w:p>
      <w:pPr>
        <w:pStyle w:val="BodyText"/>
        <w:spacing w:line="307" w:lineRule="auto"/>
        <w:ind w:left="1220" w:right="101"/>
        <w:jc w:val="both"/>
      </w:pPr>
      <w:r>
        <w:rPr>
          <w:b/>
          <w:color w:val="231F20"/>
          <w:spacing w:val="-2"/>
          <w:w w:val="115"/>
        </w:rPr>
        <w:t>Intervention</w:t>
      </w:r>
      <w:r>
        <w:rPr>
          <w:b/>
          <w:color w:val="231F20"/>
          <w:spacing w:val="-11"/>
          <w:w w:val="115"/>
        </w:rPr>
        <w:t> </w:t>
      </w:r>
      <w:r>
        <w:rPr>
          <w:b/>
          <w:color w:val="231F20"/>
          <w:spacing w:val="-2"/>
          <w:w w:val="115"/>
        </w:rPr>
        <w:t>dans</w:t>
      </w:r>
      <w:r>
        <w:rPr>
          <w:b/>
          <w:color w:val="231F20"/>
          <w:spacing w:val="-10"/>
          <w:w w:val="115"/>
        </w:rPr>
        <w:t> </w:t>
      </w:r>
      <w:r>
        <w:rPr>
          <w:b/>
          <w:color w:val="231F20"/>
          <w:spacing w:val="-2"/>
          <w:w w:val="115"/>
        </w:rPr>
        <w:t>une</w:t>
      </w:r>
      <w:r>
        <w:rPr>
          <w:b/>
          <w:color w:val="231F20"/>
          <w:spacing w:val="-10"/>
          <w:w w:val="115"/>
        </w:rPr>
        <w:t> </w:t>
      </w:r>
      <w:r>
        <w:rPr>
          <w:b/>
          <w:color w:val="231F20"/>
          <w:spacing w:val="-2"/>
          <w:w w:val="115"/>
        </w:rPr>
        <w:t>entreprise</w:t>
      </w:r>
      <w:r>
        <w:rPr>
          <w:b/>
          <w:color w:val="231F20"/>
          <w:spacing w:val="-10"/>
          <w:w w:val="115"/>
        </w:rPr>
        <w:t> </w:t>
      </w:r>
      <w:r>
        <w:rPr>
          <w:b/>
          <w:color w:val="231F20"/>
          <w:spacing w:val="-2"/>
          <w:w w:val="115"/>
        </w:rPr>
        <w:t>de</w:t>
      </w:r>
      <w:r>
        <w:rPr>
          <w:b/>
          <w:color w:val="231F20"/>
          <w:spacing w:val="-11"/>
          <w:w w:val="115"/>
        </w:rPr>
        <w:t> </w:t>
      </w:r>
      <w:r>
        <w:rPr>
          <w:b/>
          <w:color w:val="231F20"/>
          <w:spacing w:val="-2"/>
          <w:w w:val="115"/>
        </w:rPr>
        <w:t>production</w:t>
      </w:r>
      <w:r>
        <w:rPr>
          <w:color w:val="231F20"/>
          <w:spacing w:val="-2"/>
          <w:w w:val="115"/>
        </w:rPr>
        <w:t>.</w:t>
      </w:r>
      <w:r>
        <w:rPr>
          <w:color w:val="231F20"/>
          <w:spacing w:val="-10"/>
          <w:w w:val="115"/>
        </w:rPr>
        <w:t> </w:t>
      </w:r>
      <w:r>
        <w:rPr>
          <w:color w:val="231F20"/>
          <w:spacing w:val="-2"/>
          <w:w w:val="115"/>
        </w:rPr>
        <w:t>Dans</w:t>
      </w:r>
      <w:r>
        <w:rPr>
          <w:color w:val="231F20"/>
          <w:spacing w:val="-10"/>
          <w:w w:val="115"/>
        </w:rPr>
        <w:t> </w:t>
      </w:r>
      <w:r>
        <w:rPr>
          <w:color w:val="231F20"/>
          <w:spacing w:val="-2"/>
          <w:w w:val="115"/>
        </w:rPr>
        <w:t>le</w:t>
      </w:r>
      <w:r>
        <w:rPr>
          <w:color w:val="231F20"/>
          <w:spacing w:val="-10"/>
          <w:w w:val="115"/>
        </w:rPr>
        <w:t> </w:t>
      </w:r>
      <w:r>
        <w:rPr>
          <w:color w:val="231F20"/>
          <w:spacing w:val="-2"/>
          <w:w w:val="115"/>
        </w:rPr>
        <w:t>cadre</w:t>
      </w:r>
      <w:r>
        <w:rPr>
          <w:color w:val="231F20"/>
          <w:spacing w:val="-10"/>
          <w:w w:val="115"/>
        </w:rPr>
        <w:t> </w:t>
      </w:r>
      <w:r>
        <w:rPr>
          <w:color w:val="231F20"/>
          <w:spacing w:val="-2"/>
          <w:w w:val="115"/>
        </w:rPr>
        <w:t>d’un</w:t>
      </w:r>
      <w:r>
        <w:rPr>
          <w:color w:val="231F20"/>
          <w:spacing w:val="-11"/>
          <w:w w:val="115"/>
        </w:rPr>
        <w:t> </w:t>
      </w:r>
      <w:r>
        <w:rPr>
          <w:color w:val="231F20"/>
          <w:spacing w:val="-2"/>
          <w:w w:val="115"/>
        </w:rPr>
        <w:t>audit </w:t>
      </w:r>
      <w:r>
        <w:rPr>
          <w:color w:val="231F20"/>
          <w:w w:val="120"/>
        </w:rPr>
        <w:t>du</w:t>
      </w:r>
      <w:r>
        <w:rPr>
          <w:color w:val="231F20"/>
          <w:spacing w:val="-1"/>
          <w:w w:val="120"/>
        </w:rPr>
        <w:t> </w:t>
      </w:r>
      <w:r>
        <w:rPr>
          <w:color w:val="231F20"/>
          <w:w w:val="120"/>
        </w:rPr>
        <w:t>stress</w:t>
      </w:r>
      <w:r>
        <w:rPr>
          <w:color w:val="231F20"/>
          <w:spacing w:val="-1"/>
          <w:w w:val="120"/>
        </w:rPr>
        <w:t> </w:t>
      </w:r>
      <w:r>
        <w:rPr>
          <w:color w:val="231F20"/>
          <w:w w:val="120"/>
        </w:rPr>
        <w:t>réalisé</w:t>
      </w:r>
      <w:r>
        <w:rPr>
          <w:color w:val="231F20"/>
          <w:spacing w:val="-1"/>
          <w:w w:val="120"/>
        </w:rPr>
        <w:t> </w:t>
      </w:r>
      <w:r>
        <w:rPr>
          <w:color w:val="231F20"/>
          <w:w w:val="120"/>
        </w:rPr>
        <w:t>annuellement</w:t>
      </w:r>
      <w:r>
        <w:rPr>
          <w:color w:val="231F20"/>
          <w:spacing w:val="-1"/>
          <w:w w:val="120"/>
        </w:rPr>
        <w:t> </w:t>
      </w:r>
      <w:r>
        <w:rPr>
          <w:color w:val="231F20"/>
          <w:w w:val="120"/>
        </w:rPr>
        <w:t>à</w:t>
      </w:r>
      <w:r>
        <w:rPr>
          <w:color w:val="231F20"/>
          <w:spacing w:val="-1"/>
          <w:w w:val="120"/>
        </w:rPr>
        <w:t> </w:t>
      </w:r>
      <w:r>
        <w:rPr>
          <w:color w:val="231F20"/>
          <w:w w:val="120"/>
        </w:rPr>
        <w:t>la</w:t>
      </w:r>
      <w:r>
        <w:rPr>
          <w:color w:val="231F20"/>
          <w:spacing w:val="-1"/>
          <w:w w:val="120"/>
        </w:rPr>
        <w:t> </w:t>
      </w:r>
      <w:r>
        <w:rPr>
          <w:color w:val="231F20"/>
          <w:w w:val="120"/>
        </w:rPr>
        <w:t>grandeur</w:t>
      </w:r>
      <w:r>
        <w:rPr>
          <w:color w:val="231F20"/>
          <w:spacing w:val="-1"/>
          <w:w w:val="120"/>
        </w:rPr>
        <w:t> </w:t>
      </w:r>
      <w:r>
        <w:rPr>
          <w:color w:val="231F20"/>
          <w:w w:val="120"/>
        </w:rPr>
        <w:t>de</w:t>
      </w:r>
      <w:r>
        <w:rPr>
          <w:color w:val="231F20"/>
          <w:spacing w:val="-1"/>
          <w:w w:val="120"/>
        </w:rPr>
        <w:t> </w:t>
      </w:r>
      <w:r>
        <w:rPr>
          <w:color w:val="231F20"/>
          <w:w w:val="120"/>
        </w:rPr>
        <w:t>l’entreprise,</w:t>
      </w:r>
      <w:r>
        <w:rPr>
          <w:color w:val="231F20"/>
          <w:spacing w:val="-1"/>
          <w:w w:val="120"/>
        </w:rPr>
        <w:t> </w:t>
      </w:r>
      <w:r>
        <w:rPr>
          <w:color w:val="231F20"/>
          <w:w w:val="120"/>
        </w:rPr>
        <w:t>un</w:t>
      </w:r>
      <w:r>
        <w:rPr>
          <w:color w:val="231F20"/>
          <w:spacing w:val="-1"/>
          <w:w w:val="120"/>
        </w:rPr>
        <w:t> </w:t>
      </w:r>
      <w:r>
        <w:rPr>
          <w:color w:val="231F20"/>
          <w:w w:val="120"/>
        </w:rPr>
        <w:t>cabinet </w:t>
      </w:r>
      <w:r>
        <w:rPr>
          <w:color w:val="231F20"/>
          <w:spacing w:val="-2"/>
          <w:w w:val="120"/>
        </w:rPr>
        <w:t>de</w:t>
      </w:r>
      <w:r>
        <w:rPr>
          <w:color w:val="231F20"/>
          <w:spacing w:val="-8"/>
          <w:w w:val="120"/>
        </w:rPr>
        <w:t> </w:t>
      </w:r>
      <w:r>
        <w:rPr>
          <w:color w:val="231F20"/>
          <w:spacing w:val="-2"/>
          <w:w w:val="120"/>
        </w:rPr>
        <w:t>consultants</w:t>
      </w:r>
      <w:r>
        <w:rPr>
          <w:color w:val="231F20"/>
          <w:spacing w:val="-8"/>
          <w:w w:val="120"/>
        </w:rPr>
        <w:t> </w:t>
      </w:r>
      <w:r>
        <w:rPr>
          <w:color w:val="231F20"/>
          <w:spacing w:val="-2"/>
          <w:w w:val="120"/>
        </w:rPr>
        <w:t>engagé</w:t>
      </w:r>
      <w:r>
        <w:rPr>
          <w:color w:val="231F20"/>
          <w:spacing w:val="-8"/>
          <w:w w:val="120"/>
        </w:rPr>
        <w:t> </w:t>
      </w:r>
      <w:r>
        <w:rPr>
          <w:color w:val="231F20"/>
          <w:spacing w:val="-2"/>
          <w:w w:val="120"/>
        </w:rPr>
        <w:t>par</w:t>
      </w:r>
      <w:r>
        <w:rPr>
          <w:color w:val="231F20"/>
          <w:spacing w:val="-8"/>
          <w:w w:val="120"/>
        </w:rPr>
        <w:t> </w:t>
      </w:r>
      <w:r>
        <w:rPr>
          <w:color w:val="231F20"/>
          <w:spacing w:val="-2"/>
          <w:w w:val="120"/>
        </w:rPr>
        <w:t>une</w:t>
      </w:r>
      <w:r>
        <w:rPr>
          <w:color w:val="231F20"/>
          <w:spacing w:val="-8"/>
          <w:w w:val="120"/>
        </w:rPr>
        <w:t> </w:t>
      </w:r>
      <w:r>
        <w:rPr>
          <w:color w:val="231F20"/>
          <w:spacing w:val="-2"/>
          <w:w w:val="120"/>
        </w:rPr>
        <w:t>usine</w:t>
      </w:r>
      <w:r>
        <w:rPr>
          <w:color w:val="231F20"/>
          <w:spacing w:val="-8"/>
          <w:w w:val="120"/>
        </w:rPr>
        <w:t> </w:t>
      </w:r>
      <w:r>
        <w:rPr>
          <w:color w:val="231F20"/>
          <w:spacing w:val="-2"/>
          <w:w w:val="120"/>
        </w:rPr>
        <w:t>montréalaise</w:t>
      </w:r>
      <w:r>
        <w:rPr>
          <w:color w:val="231F20"/>
          <w:spacing w:val="-8"/>
          <w:w w:val="120"/>
        </w:rPr>
        <w:t> </w:t>
      </w:r>
      <w:r>
        <w:rPr>
          <w:color w:val="231F20"/>
          <w:spacing w:val="-2"/>
          <w:w w:val="120"/>
        </w:rPr>
        <w:t>de</w:t>
      </w:r>
      <w:r>
        <w:rPr>
          <w:color w:val="231F20"/>
          <w:spacing w:val="-8"/>
          <w:w w:val="120"/>
        </w:rPr>
        <w:t> </w:t>
      </w:r>
      <w:r>
        <w:rPr>
          <w:color w:val="231F20"/>
          <w:spacing w:val="-2"/>
          <w:w w:val="120"/>
        </w:rPr>
        <w:t>production</w:t>
      </w:r>
      <w:r>
        <w:rPr>
          <w:color w:val="231F20"/>
          <w:spacing w:val="-8"/>
          <w:w w:val="120"/>
        </w:rPr>
        <w:t> </w:t>
      </w:r>
      <w:r>
        <w:rPr>
          <w:color w:val="231F20"/>
          <w:spacing w:val="-2"/>
          <w:w w:val="120"/>
        </w:rPr>
        <w:t>de</w:t>
      </w:r>
      <w:r>
        <w:rPr>
          <w:color w:val="231F20"/>
          <w:spacing w:val="-8"/>
          <w:w w:val="120"/>
        </w:rPr>
        <w:t> </w:t>
      </w:r>
      <w:r>
        <w:rPr>
          <w:color w:val="231F20"/>
          <w:spacing w:val="-2"/>
          <w:w w:val="120"/>
        </w:rPr>
        <w:t>pâtes </w:t>
      </w:r>
      <w:r>
        <w:rPr>
          <w:color w:val="231F20"/>
          <w:w w:val="120"/>
        </w:rPr>
        <w:t>et papiers de taille moyenne (environ 350 employés) ont notamment découvert que </w:t>
      </w:r>
      <w:r>
        <w:rPr>
          <w:color w:val="231F20"/>
          <w:w w:val="115"/>
        </w:rPr>
        <w:t>11 </w:t>
      </w:r>
      <w:r>
        <w:rPr>
          <w:color w:val="231F20"/>
          <w:w w:val="120"/>
        </w:rPr>
        <w:t>des </w:t>
      </w:r>
      <w:r>
        <w:rPr>
          <w:color w:val="231F20"/>
          <w:w w:val="115"/>
        </w:rPr>
        <w:t>17 </w:t>
      </w:r>
      <w:r>
        <w:rPr>
          <w:color w:val="231F20"/>
          <w:w w:val="120"/>
        </w:rPr>
        <w:t>superviseurs de premier niveau souffraient, à divers degrés, de troubles du système digestif. Après avoir écarté les carences alimentaires et autres causes traditionnellement envisagées, les consultants ont émis l’hypothèse d’un lien entre ces troubles et le </w:t>
      </w:r>
      <w:r>
        <w:rPr>
          <w:color w:val="231F20"/>
          <w:spacing w:val="-2"/>
          <w:w w:val="120"/>
        </w:rPr>
        <w:t>stress</w:t>
      </w:r>
      <w:r>
        <w:rPr>
          <w:color w:val="231F20"/>
          <w:spacing w:val="-5"/>
          <w:w w:val="120"/>
        </w:rPr>
        <w:t> </w:t>
      </w:r>
      <w:r>
        <w:rPr>
          <w:color w:val="231F20"/>
          <w:spacing w:val="-2"/>
          <w:w w:val="120"/>
        </w:rPr>
        <w:t>au</w:t>
      </w:r>
      <w:r>
        <w:rPr>
          <w:color w:val="231F20"/>
          <w:spacing w:val="-5"/>
          <w:w w:val="120"/>
        </w:rPr>
        <w:t> </w:t>
      </w:r>
      <w:r>
        <w:rPr>
          <w:color w:val="231F20"/>
          <w:spacing w:val="-2"/>
          <w:w w:val="120"/>
        </w:rPr>
        <w:t>travail.</w:t>
      </w:r>
      <w:r>
        <w:rPr>
          <w:color w:val="231F20"/>
          <w:spacing w:val="-5"/>
          <w:w w:val="120"/>
        </w:rPr>
        <w:t> </w:t>
      </w:r>
      <w:r>
        <w:rPr>
          <w:color w:val="231F20"/>
          <w:spacing w:val="-2"/>
          <w:w w:val="120"/>
        </w:rPr>
        <w:t>Entre</w:t>
      </w:r>
      <w:r>
        <w:rPr>
          <w:color w:val="231F20"/>
          <w:spacing w:val="-5"/>
          <w:w w:val="120"/>
        </w:rPr>
        <w:t> </w:t>
      </w:r>
      <w:r>
        <w:rPr>
          <w:color w:val="231F20"/>
          <w:spacing w:val="-2"/>
          <w:w w:val="120"/>
        </w:rPr>
        <w:t>autres,</w:t>
      </w:r>
      <w:r>
        <w:rPr>
          <w:color w:val="231F20"/>
          <w:spacing w:val="-5"/>
          <w:w w:val="120"/>
        </w:rPr>
        <w:t> </w:t>
      </w:r>
      <w:r>
        <w:rPr>
          <w:color w:val="231F20"/>
          <w:spacing w:val="-2"/>
          <w:w w:val="120"/>
        </w:rPr>
        <w:t>comme</w:t>
      </w:r>
      <w:r>
        <w:rPr>
          <w:color w:val="231F20"/>
          <w:spacing w:val="-5"/>
          <w:w w:val="120"/>
        </w:rPr>
        <w:t> </w:t>
      </w:r>
      <w:r>
        <w:rPr>
          <w:color w:val="231F20"/>
          <w:spacing w:val="-2"/>
          <w:w w:val="120"/>
        </w:rPr>
        <w:t>dans</w:t>
      </w:r>
      <w:r>
        <w:rPr>
          <w:color w:val="231F20"/>
          <w:spacing w:val="-5"/>
          <w:w w:val="120"/>
        </w:rPr>
        <w:t> </w:t>
      </w:r>
      <w:r>
        <w:rPr>
          <w:color w:val="231F20"/>
          <w:spacing w:val="-2"/>
          <w:w w:val="120"/>
        </w:rPr>
        <w:t>la</w:t>
      </w:r>
      <w:r>
        <w:rPr>
          <w:color w:val="231F20"/>
          <w:spacing w:val="-5"/>
          <w:w w:val="120"/>
        </w:rPr>
        <w:t> </w:t>
      </w:r>
      <w:r>
        <w:rPr>
          <w:color w:val="231F20"/>
          <w:spacing w:val="-2"/>
          <w:w w:val="120"/>
        </w:rPr>
        <w:t>plupart</w:t>
      </w:r>
      <w:r>
        <w:rPr>
          <w:color w:val="231F20"/>
          <w:spacing w:val="-5"/>
          <w:w w:val="120"/>
        </w:rPr>
        <w:t> </w:t>
      </w:r>
      <w:r>
        <w:rPr>
          <w:color w:val="231F20"/>
          <w:spacing w:val="-2"/>
          <w:w w:val="120"/>
        </w:rPr>
        <w:t>des</w:t>
      </w:r>
      <w:r>
        <w:rPr>
          <w:color w:val="231F20"/>
          <w:spacing w:val="-5"/>
          <w:w w:val="120"/>
        </w:rPr>
        <w:t> </w:t>
      </w:r>
      <w:r>
        <w:rPr>
          <w:color w:val="231F20"/>
          <w:spacing w:val="-2"/>
          <w:w w:val="120"/>
        </w:rPr>
        <w:t>entreprises,</w:t>
      </w:r>
      <w:r>
        <w:rPr>
          <w:color w:val="231F20"/>
          <w:spacing w:val="-5"/>
          <w:w w:val="120"/>
        </w:rPr>
        <w:t> </w:t>
      </w:r>
      <w:r>
        <w:rPr>
          <w:color w:val="231F20"/>
          <w:spacing w:val="-2"/>
          <w:w w:val="120"/>
        </w:rPr>
        <w:t>les </w:t>
      </w:r>
      <w:r>
        <w:rPr>
          <w:color w:val="231F20"/>
          <w:w w:val="120"/>
        </w:rPr>
        <w:t>meilleurs</w:t>
      </w:r>
      <w:r>
        <w:rPr>
          <w:color w:val="231F20"/>
          <w:spacing w:val="-5"/>
          <w:w w:val="120"/>
        </w:rPr>
        <w:t> </w:t>
      </w:r>
      <w:r>
        <w:rPr>
          <w:color w:val="231F20"/>
          <w:w w:val="120"/>
        </w:rPr>
        <w:t>employés</w:t>
      </w:r>
      <w:r>
        <w:rPr>
          <w:color w:val="231F20"/>
          <w:spacing w:val="-5"/>
          <w:w w:val="120"/>
        </w:rPr>
        <w:t> </w:t>
      </w:r>
      <w:r>
        <w:rPr>
          <w:color w:val="231F20"/>
          <w:w w:val="120"/>
        </w:rPr>
        <w:t>se</w:t>
      </w:r>
      <w:r>
        <w:rPr>
          <w:color w:val="231F20"/>
          <w:spacing w:val="-5"/>
          <w:w w:val="120"/>
        </w:rPr>
        <w:t> </w:t>
      </w:r>
      <w:r>
        <w:rPr>
          <w:color w:val="231F20"/>
          <w:w w:val="120"/>
        </w:rPr>
        <w:t>voyaient</w:t>
      </w:r>
      <w:r>
        <w:rPr>
          <w:color w:val="231F20"/>
          <w:spacing w:val="-5"/>
          <w:w w:val="120"/>
        </w:rPr>
        <w:t> </w:t>
      </w:r>
      <w:r>
        <w:rPr>
          <w:color w:val="231F20"/>
          <w:w w:val="120"/>
        </w:rPr>
        <w:t>offrir</w:t>
      </w:r>
      <w:r>
        <w:rPr>
          <w:color w:val="231F20"/>
          <w:spacing w:val="-5"/>
          <w:w w:val="120"/>
        </w:rPr>
        <w:t> </w:t>
      </w:r>
      <w:r>
        <w:rPr>
          <w:color w:val="231F20"/>
          <w:w w:val="120"/>
        </w:rPr>
        <w:t>la</w:t>
      </w:r>
      <w:r>
        <w:rPr>
          <w:color w:val="231F20"/>
          <w:spacing w:val="-5"/>
          <w:w w:val="120"/>
        </w:rPr>
        <w:t> </w:t>
      </w:r>
      <w:r>
        <w:rPr>
          <w:color w:val="231F20"/>
          <w:w w:val="120"/>
        </w:rPr>
        <w:t>possibilité</w:t>
      </w:r>
      <w:r>
        <w:rPr>
          <w:color w:val="231F20"/>
          <w:spacing w:val="-5"/>
          <w:w w:val="120"/>
        </w:rPr>
        <w:t> </w:t>
      </w:r>
      <w:r>
        <w:rPr>
          <w:color w:val="231F20"/>
          <w:w w:val="120"/>
        </w:rPr>
        <w:t>de</w:t>
      </w:r>
      <w:r>
        <w:rPr>
          <w:color w:val="231F20"/>
          <w:spacing w:val="-5"/>
          <w:w w:val="120"/>
        </w:rPr>
        <w:t> </w:t>
      </w:r>
      <w:r>
        <w:rPr>
          <w:color w:val="231F20"/>
          <w:w w:val="120"/>
        </w:rPr>
        <w:t>devenir</w:t>
      </w:r>
      <w:r>
        <w:rPr>
          <w:color w:val="231F20"/>
          <w:spacing w:val="-5"/>
          <w:w w:val="120"/>
        </w:rPr>
        <w:t> </w:t>
      </w:r>
      <w:r>
        <w:rPr>
          <w:color w:val="231F20"/>
          <w:w w:val="120"/>
        </w:rPr>
        <w:t>supervi- seurs de premier niveau. La plupart des gens acceptent une promotion </w:t>
      </w:r>
      <w:r>
        <w:rPr>
          <w:color w:val="231F20"/>
          <w:w w:val="115"/>
        </w:rPr>
        <w:t>qu’on</w:t>
      </w:r>
      <w:r>
        <w:rPr>
          <w:color w:val="231F20"/>
          <w:spacing w:val="-8"/>
          <w:w w:val="115"/>
        </w:rPr>
        <w:t> </w:t>
      </w:r>
      <w:r>
        <w:rPr>
          <w:color w:val="231F20"/>
          <w:w w:val="115"/>
        </w:rPr>
        <w:t>leur</w:t>
      </w:r>
      <w:r>
        <w:rPr>
          <w:color w:val="231F20"/>
          <w:spacing w:val="-8"/>
          <w:w w:val="115"/>
        </w:rPr>
        <w:t> </w:t>
      </w:r>
      <w:r>
        <w:rPr>
          <w:color w:val="231F20"/>
          <w:w w:val="115"/>
        </w:rPr>
        <w:t>offre,</w:t>
      </w:r>
      <w:r>
        <w:rPr>
          <w:color w:val="231F20"/>
          <w:spacing w:val="-8"/>
          <w:w w:val="115"/>
        </w:rPr>
        <w:t> </w:t>
      </w:r>
      <w:r>
        <w:rPr>
          <w:color w:val="231F20"/>
          <w:w w:val="115"/>
        </w:rPr>
        <w:t>car</w:t>
      </w:r>
      <w:r>
        <w:rPr>
          <w:color w:val="231F20"/>
          <w:spacing w:val="-8"/>
          <w:w w:val="115"/>
        </w:rPr>
        <w:t> </w:t>
      </w:r>
      <w:r>
        <w:rPr>
          <w:color w:val="231F20"/>
          <w:w w:val="115"/>
        </w:rPr>
        <w:t>elle</w:t>
      </w:r>
      <w:r>
        <w:rPr>
          <w:color w:val="231F20"/>
          <w:spacing w:val="-8"/>
          <w:w w:val="115"/>
        </w:rPr>
        <w:t> </w:t>
      </w:r>
      <w:r>
        <w:rPr>
          <w:color w:val="231F20"/>
          <w:w w:val="115"/>
        </w:rPr>
        <w:t>améliore</w:t>
      </w:r>
      <w:r>
        <w:rPr>
          <w:color w:val="231F20"/>
          <w:spacing w:val="-8"/>
          <w:w w:val="115"/>
        </w:rPr>
        <w:t> </w:t>
      </w:r>
      <w:r>
        <w:rPr>
          <w:color w:val="231F20"/>
          <w:w w:val="115"/>
        </w:rPr>
        <w:t>à</w:t>
      </w:r>
      <w:r>
        <w:rPr>
          <w:color w:val="231F20"/>
          <w:spacing w:val="-8"/>
          <w:w w:val="115"/>
        </w:rPr>
        <w:t> </w:t>
      </w:r>
      <w:r>
        <w:rPr>
          <w:color w:val="231F20"/>
          <w:w w:val="115"/>
        </w:rPr>
        <w:t>la</w:t>
      </w:r>
      <w:r>
        <w:rPr>
          <w:color w:val="231F20"/>
          <w:spacing w:val="-8"/>
          <w:w w:val="115"/>
        </w:rPr>
        <w:t> </w:t>
      </w:r>
      <w:r>
        <w:rPr>
          <w:color w:val="231F20"/>
          <w:w w:val="115"/>
        </w:rPr>
        <w:t>fois</w:t>
      </w:r>
      <w:r>
        <w:rPr>
          <w:color w:val="231F20"/>
          <w:spacing w:val="-8"/>
          <w:w w:val="115"/>
        </w:rPr>
        <w:t> </w:t>
      </w:r>
      <w:r>
        <w:rPr>
          <w:color w:val="231F20"/>
          <w:w w:val="115"/>
        </w:rPr>
        <w:t>leur</w:t>
      </w:r>
      <w:r>
        <w:rPr>
          <w:color w:val="231F20"/>
          <w:spacing w:val="-8"/>
          <w:w w:val="115"/>
        </w:rPr>
        <w:t> </w:t>
      </w:r>
      <w:r>
        <w:rPr>
          <w:color w:val="231F20"/>
          <w:w w:val="115"/>
        </w:rPr>
        <w:t>autonomie</w:t>
      </w:r>
      <w:r>
        <w:rPr>
          <w:color w:val="231F20"/>
          <w:spacing w:val="-8"/>
          <w:w w:val="115"/>
        </w:rPr>
        <w:t> </w:t>
      </w:r>
      <w:r>
        <w:rPr>
          <w:color w:val="231F20"/>
          <w:w w:val="115"/>
        </w:rPr>
        <w:t>et</w:t>
      </w:r>
      <w:r>
        <w:rPr>
          <w:color w:val="231F20"/>
          <w:spacing w:val="-8"/>
          <w:w w:val="115"/>
        </w:rPr>
        <w:t> </w:t>
      </w:r>
      <w:r>
        <w:rPr>
          <w:color w:val="231F20"/>
          <w:w w:val="115"/>
        </w:rPr>
        <w:t>leur</w:t>
      </w:r>
      <w:r>
        <w:rPr>
          <w:color w:val="231F20"/>
          <w:spacing w:val="-8"/>
          <w:w w:val="115"/>
        </w:rPr>
        <w:t> </w:t>
      </w:r>
      <w:r>
        <w:rPr>
          <w:color w:val="231F20"/>
          <w:w w:val="115"/>
        </w:rPr>
        <w:t>bien-être </w:t>
      </w:r>
      <w:r>
        <w:rPr>
          <w:color w:val="231F20"/>
          <w:spacing w:val="-2"/>
          <w:w w:val="120"/>
        </w:rPr>
        <w:t>économique.</w:t>
      </w:r>
      <w:r>
        <w:rPr>
          <w:color w:val="231F20"/>
          <w:spacing w:val="-10"/>
          <w:w w:val="120"/>
        </w:rPr>
        <w:t> </w:t>
      </w:r>
      <w:r>
        <w:rPr>
          <w:color w:val="231F20"/>
          <w:spacing w:val="-2"/>
          <w:w w:val="120"/>
        </w:rPr>
        <w:t>Or</w:t>
      </w:r>
      <w:r>
        <w:rPr>
          <w:color w:val="231F20"/>
          <w:spacing w:val="-10"/>
          <w:w w:val="120"/>
        </w:rPr>
        <w:t> </w:t>
      </w:r>
      <w:r>
        <w:rPr>
          <w:color w:val="231F20"/>
          <w:spacing w:val="-2"/>
          <w:w w:val="120"/>
        </w:rPr>
        <w:t>tout</w:t>
      </w:r>
      <w:r>
        <w:rPr>
          <w:color w:val="231F20"/>
          <w:spacing w:val="-10"/>
          <w:w w:val="120"/>
        </w:rPr>
        <w:t> </w:t>
      </w:r>
      <w:r>
        <w:rPr>
          <w:color w:val="231F20"/>
          <w:spacing w:val="-2"/>
          <w:w w:val="120"/>
        </w:rPr>
        <w:t>le</w:t>
      </w:r>
      <w:r>
        <w:rPr>
          <w:color w:val="231F20"/>
          <w:spacing w:val="-10"/>
          <w:w w:val="120"/>
        </w:rPr>
        <w:t> </w:t>
      </w:r>
      <w:r>
        <w:rPr>
          <w:color w:val="231F20"/>
          <w:spacing w:val="-2"/>
          <w:w w:val="120"/>
        </w:rPr>
        <w:t>monde</w:t>
      </w:r>
      <w:r>
        <w:rPr>
          <w:color w:val="231F20"/>
          <w:spacing w:val="-10"/>
          <w:w w:val="120"/>
        </w:rPr>
        <w:t> </w:t>
      </w:r>
      <w:r>
        <w:rPr>
          <w:color w:val="231F20"/>
          <w:spacing w:val="-2"/>
          <w:w w:val="120"/>
        </w:rPr>
        <w:t>n’est</w:t>
      </w:r>
      <w:r>
        <w:rPr>
          <w:color w:val="231F20"/>
          <w:spacing w:val="-10"/>
          <w:w w:val="120"/>
        </w:rPr>
        <w:t> </w:t>
      </w:r>
      <w:r>
        <w:rPr>
          <w:color w:val="231F20"/>
          <w:spacing w:val="-2"/>
          <w:w w:val="120"/>
        </w:rPr>
        <w:t>pas</w:t>
      </w:r>
      <w:r>
        <w:rPr>
          <w:color w:val="231F20"/>
          <w:spacing w:val="-10"/>
          <w:w w:val="120"/>
        </w:rPr>
        <w:t> </w:t>
      </w:r>
      <w:r>
        <w:rPr>
          <w:color w:val="231F20"/>
          <w:spacing w:val="-2"/>
          <w:w w:val="120"/>
        </w:rPr>
        <w:t>né</w:t>
      </w:r>
      <w:r>
        <w:rPr>
          <w:color w:val="231F20"/>
          <w:spacing w:val="-10"/>
          <w:w w:val="120"/>
        </w:rPr>
        <w:t> </w:t>
      </w:r>
      <w:r>
        <w:rPr>
          <w:color w:val="231F20"/>
          <w:spacing w:val="-2"/>
          <w:w w:val="120"/>
        </w:rPr>
        <w:t>pour</w:t>
      </w:r>
      <w:r>
        <w:rPr>
          <w:color w:val="231F20"/>
          <w:spacing w:val="-10"/>
          <w:w w:val="120"/>
        </w:rPr>
        <w:t> </w:t>
      </w:r>
      <w:r>
        <w:rPr>
          <w:color w:val="231F20"/>
          <w:spacing w:val="-2"/>
          <w:w w:val="120"/>
        </w:rPr>
        <w:t>être</w:t>
      </w:r>
      <w:r>
        <w:rPr>
          <w:color w:val="231F20"/>
          <w:spacing w:val="-10"/>
          <w:w w:val="120"/>
        </w:rPr>
        <w:t> </w:t>
      </w:r>
      <w:r>
        <w:rPr>
          <w:color w:val="231F20"/>
          <w:spacing w:val="-2"/>
          <w:w w:val="120"/>
        </w:rPr>
        <w:t>superviseur,</w:t>
      </w:r>
      <w:r>
        <w:rPr>
          <w:color w:val="231F20"/>
          <w:spacing w:val="-10"/>
          <w:w w:val="120"/>
        </w:rPr>
        <w:t> </w:t>
      </w:r>
      <w:r>
        <w:rPr>
          <w:color w:val="231F20"/>
          <w:spacing w:val="-2"/>
          <w:w w:val="120"/>
        </w:rPr>
        <w:t>surtout </w:t>
      </w:r>
      <w:r>
        <w:rPr>
          <w:color w:val="231F20"/>
          <w:w w:val="120"/>
        </w:rPr>
        <w:t>pas</w:t>
      </w:r>
      <w:r>
        <w:rPr>
          <w:color w:val="231F20"/>
          <w:spacing w:val="-13"/>
          <w:w w:val="120"/>
        </w:rPr>
        <w:t> </w:t>
      </w:r>
      <w:r>
        <w:rPr>
          <w:color w:val="231F20"/>
          <w:w w:val="120"/>
        </w:rPr>
        <w:t>superviseur</w:t>
      </w:r>
      <w:r>
        <w:rPr>
          <w:color w:val="231F20"/>
          <w:spacing w:val="-13"/>
          <w:w w:val="120"/>
        </w:rPr>
        <w:t> </w:t>
      </w:r>
      <w:r>
        <w:rPr>
          <w:color w:val="231F20"/>
          <w:w w:val="120"/>
        </w:rPr>
        <w:t>de</w:t>
      </w:r>
      <w:r>
        <w:rPr>
          <w:color w:val="231F20"/>
          <w:spacing w:val="-13"/>
          <w:w w:val="120"/>
        </w:rPr>
        <w:t> </w:t>
      </w:r>
      <w:r>
        <w:rPr>
          <w:color w:val="231F20"/>
          <w:w w:val="120"/>
        </w:rPr>
        <w:t>premier</w:t>
      </w:r>
      <w:r>
        <w:rPr>
          <w:color w:val="231F20"/>
          <w:spacing w:val="-12"/>
          <w:w w:val="120"/>
        </w:rPr>
        <w:t> </w:t>
      </w:r>
      <w:r>
        <w:rPr>
          <w:color w:val="231F20"/>
          <w:w w:val="120"/>
        </w:rPr>
        <w:t>niveau,</w:t>
      </w:r>
      <w:r>
        <w:rPr>
          <w:color w:val="231F20"/>
          <w:spacing w:val="-10"/>
          <w:w w:val="120"/>
        </w:rPr>
        <w:t> </w:t>
      </w:r>
      <w:r>
        <w:rPr>
          <w:color w:val="231F20"/>
          <w:w w:val="120"/>
        </w:rPr>
        <w:t>un</w:t>
      </w:r>
      <w:r>
        <w:rPr>
          <w:color w:val="231F20"/>
          <w:spacing w:val="-4"/>
          <w:w w:val="120"/>
        </w:rPr>
        <w:t> </w:t>
      </w:r>
      <w:r>
        <w:rPr>
          <w:color w:val="231F20"/>
          <w:w w:val="120"/>
        </w:rPr>
        <w:t>type</w:t>
      </w:r>
      <w:r>
        <w:rPr>
          <w:color w:val="231F20"/>
          <w:spacing w:val="-4"/>
          <w:w w:val="120"/>
        </w:rPr>
        <w:t> </w:t>
      </w:r>
      <w:r>
        <w:rPr>
          <w:color w:val="231F20"/>
          <w:w w:val="120"/>
        </w:rPr>
        <w:t>de</w:t>
      </w:r>
      <w:r>
        <w:rPr>
          <w:color w:val="231F20"/>
          <w:spacing w:val="-4"/>
          <w:w w:val="120"/>
        </w:rPr>
        <w:t> </w:t>
      </w:r>
      <w:r>
        <w:rPr>
          <w:color w:val="231F20"/>
          <w:w w:val="120"/>
        </w:rPr>
        <w:t>poste</w:t>
      </w:r>
      <w:r>
        <w:rPr>
          <w:color w:val="231F20"/>
          <w:spacing w:val="-4"/>
          <w:w w:val="120"/>
        </w:rPr>
        <w:t> </w:t>
      </w:r>
      <w:r>
        <w:rPr>
          <w:color w:val="231F20"/>
          <w:w w:val="115"/>
        </w:rPr>
        <w:t>«</w:t>
      </w:r>
      <w:r>
        <w:rPr>
          <w:color w:val="231F20"/>
          <w:spacing w:val="-13"/>
          <w:w w:val="115"/>
        </w:rPr>
        <w:t> </w:t>
      </w:r>
      <w:r>
        <w:rPr>
          <w:color w:val="231F20"/>
          <w:w w:val="120"/>
        </w:rPr>
        <w:t>sandwich»</w:t>
      </w:r>
      <w:r>
        <w:rPr>
          <w:color w:val="231F20"/>
          <w:spacing w:val="-12"/>
          <w:w w:val="120"/>
        </w:rPr>
        <w:t> </w:t>
      </w:r>
      <w:r>
        <w:rPr>
          <w:color w:val="231F20"/>
          <w:w w:val="120"/>
        </w:rPr>
        <w:t>:</w:t>
      </w:r>
      <w:r>
        <w:rPr>
          <w:color w:val="231F20"/>
          <w:spacing w:val="-4"/>
          <w:w w:val="120"/>
        </w:rPr>
        <w:t> </w:t>
      </w:r>
      <w:r>
        <w:rPr>
          <w:color w:val="231F20"/>
          <w:w w:val="120"/>
        </w:rPr>
        <w:t>d’un </w:t>
      </w:r>
      <w:r>
        <w:rPr>
          <w:color w:val="231F20"/>
          <w:spacing w:val="-2"/>
          <w:w w:val="120"/>
        </w:rPr>
        <w:t>côté,</w:t>
      </w:r>
      <w:r>
        <w:rPr>
          <w:color w:val="231F20"/>
          <w:spacing w:val="-11"/>
          <w:w w:val="120"/>
        </w:rPr>
        <w:t> </w:t>
      </w:r>
      <w:r>
        <w:rPr>
          <w:color w:val="231F20"/>
          <w:spacing w:val="-2"/>
          <w:w w:val="120"/>
        </w:rPr>
        <w:t>les</w:t>
      </w:r>
      <w:r>
        <w:rPr>
          <w:color w:val="231F20"/>
          <w:spacing w:val="-11"/>
          <w:w w:val="120"/>
        </w:rPr>
        <w:t> </w:t>
      </w:r>
      <w:r>
        <w:rPr>
          <w:color w:val="231F20"/>
          <w:spacing w:val="-2"/>
          <w:w w:val="120"/>
        </w:rPr>
        <w:t>cadres</w:t>
      </w:r>
      <w:r>
        <w:rPr>
          <w:color w:val="231F20"/>
          <w:spacing w:val="-8"/>
          <w:w w:val="120"/>
        </w:rPr>
        <w:t> </w:t>
      </w:r>
      <w:r>
        <w:rPr>
          <w:color w:val="231F20"/>
          <w:spacing w:val="-2"/>
          <w:w w:val="120"/>
        </w:rPr>
        <w:t>supérieurs</w:t>
      </w:r>
      <w:r>
        <w:rPr>
          <w:color w:val="231F20"/>
          <w:spacing w:val="-4"/>
          <w:w w:val="120"/>
        </w:rPr>
        <w:t> </w:t>
      </w:r>
      <w:r>
        <w:rPr>
          <w:color w:val="231F20"/>
          <w:spacing w:val="-2"/>
          <w:w w:val="120"/>
        </w:rPr>
        <w:t>considèrent</w:t>
      </w:r>
      <w:r>
        <w:rPr>
          <w:color w:val="231F20"/>
          <w:spacing w:val="-4"/>
          <w:w w:val="120"/>
        </w:rPr>
        <w:t> </w:t>
      </w:r>
      <w:r>
        <w:rPr>
          <w:color w:val="231F20"/>
          <w:spacing w:val="-2"/>
          <w:w w:val="120"/>
        </w:rPr>
        <w:t>le</w:t>
      </w:r>
      <w:r>
        <w:rPr>
          <w:color w:val="231F20"/>
          <w:spacing w:val="-4"/>
          <w:w w:val="120"/>
        </w:rPr>
        <w:t> </w:t>
      </w:r>
      <w:r>
        <w:rPr>
          <w:color w:val="231F20"/>
          <w:spacing w:val="-2"/>
          <w:w w:val="120"/>
        </w:rPr>
        <w:t>titulaire</w:t>
      </w:r>
      <w:r>
        <w:rPr>
          <w:color w:val="231F20"/>
          <w:spacing w:val="-4"/>
          <w:w w:val="120"/>
        </w:rPr>
        <w:t> </w:t>
      </w:r>
      <w:r>
        <w:rPr>
          <w:color w:val="231F20"/>
          <w:spacing w:val="-2"/>
          <w:w w:val="120"/>
        </w:rPr>
        <w:t>comme</w:t>
      </w:r>
      <w:r>
        <w:rPr>
          <w:color w:val="231F20"/>
          <w:spacing w:val="-4"/>
          <w:w w:val="120"/>
        </w:rPr>
        <w:t> </w:t>
      </w:r>
      <w:r>
        <w:rPr>
          <w:color w:val="231F20"/>
          <w:spacing w:val="-2"/>
          <w:w w:val="120"/>
        </w:rPr>
        <w:t>un</w:t>
      </w:r>
      <w:r>
        <w:rPr>
          <w:color w:val="231F20"/>
          <w:spacing w:val="-4"/>
          <w:w w:val="120"/>
        </w:rPr>
        <w:t> </w:t>
      </w:r>
      <w:r>
        <w:rPr>
          <w:color w:val="231F20"/>
          <w:spacing w:val="-2"/>
          <w:w w:val="120"/>
        </w:rPr>
        <w:t>subalterne</w:t>
      </w:r>
      <w:r>
        <w:rPr>
          <w:color w:val="231F20"/>
          <w:spacing w:val="-11"/>
          <w:w w:val="120"/>
        </w:rPr>
        <w:t> </w:t>
      </w:r>
      <w:r>
        <w:rPr>
          <w:color w:val="231F20"/>
          <w:spacing w:val="-2"/>
          <w:w w:val="120"/>
        </w:rPr>
        <w:t>; </w:t>
      </w:r>
      <w:r>
        <w:rPr>
          <w:color w:val="231F20"/>
          <w:w w:val="115"/>
        </w:rPr>
        <w:t>de</w:t>
      </w:r>
      <w:r>
        <w:rPr>
          <w:color w:val="231F20"/>
          <w:spacing w:val="-11"/>
          <w:w w:val="115"/>
        </w:rPr>
        <w:t> </w:t>
      </w:r>
      <w:r>
        <w:rPr>
          <w:color w:val="231F20"/>
          <w:w w:val="115"/>
        </w:rPr>
        <w:t>l’autre, les employés ne voient pas en lui un «</w:t>
      </w:r>
      <w:r>
        <w:rPr>
          <w:color w:val="231F20"/>
          <w:spacing w:val="-13"/>
          <w:w w:val="115"/>
        </w:rPr>
        <w:t> </w:t>
      </w:r>
      <w:r>
        <w:rPr>
          <w:color w:val="231F20"/>
          <w:w w:val="115"/>
        </w:rPr>
        <w:t>véritable» gestionnaire. </w:t>
      </w:r>
      <w:r>
        <w:rPr>
          <w:color w:val="231F20"/>
          <w:w w:val="120"/>
        </w:rPr>
        <w:t>Le</w:t>
      </w:r>
      <w:r>
        <w:rPr>
          <w:color w:val="231F20"/>
          <w:spacing w:val="-12"/>
          <w:w w:val="120"/>
        </w:rPr>
        <w:t> </w:t>
      </w:r>
      <w:r>
        <w:rPr>
          <w:color w:val="231F20"/>
          <w:w w:val="120"/>
        </w:rPr>
        <w:t>travail</w:t>
      </w:r>
      <w:r>
        <w:rPr>
          <w:color w:val="231F20"/>
          <w:spacing w:val="-12"/>
          <w:w w:val="120"/>
        </w:rPr>
        <w:t> </w:t>
      </w:r>
      <w:r>
        <w:rPr>
          <w:color w:val="231F20"/>
          <w:w w:val="120"/>
        </w:rPr>
        <w:t>de</w:t>
      </w:r>
      <w:r>
        <w:rPr>
          <w:color w:val="231F20"/>
          <w:spacing w:val="-12"/>
          <w:w w:val="120"/>
        </w:rPr>
        <w:t> </w:t>
      </w:r>
      <w:r>
        <w:rPr>
          <w:color w:val="231F20"/>
          <w:w w:val="120"/>
        </w:rPr>
        <w:t>superviseur</w:t>
      </w:r>
      <w:r>
        <w:rPr>
          <w:color w:val="231F20"/>
          <w:spacing w:val="-12"/>
          <w:w w:val="120"/>
        </w:rPr>
        <w:t> </w:t>
      </w:r>
      <w:r>
        <w:rPr>
          <w:color w:val="231F20"/>
          <w:w w:val="120"/>
        </w:rPr>
        <w:t>est</w:t>
      </w:r>
      <w:r>
        <w:rPr>
          <w:color w:val="231F20"/>
          <w:spacing w:val="-12"/>
          <w:w w:val="120"/>
        </w:rPr>
        <w:t> </w:t>
      </w:r>
      <w:r>
        <w:rPr>
          <w:color w:val="231F20"/>
          <w:w w:val="120"/>
        </w:rPr>
        <w:t>très</w:t>
      </w:r>
      <w:r>
        <w:rPr>
          <w:color w:val="231F20"/>
          <w:spacing w:val="-12"/>
          <w:w w:val="120"/>
        </w:rPr>
        <w:t> </w:t>
      </w:r>
      <w:r>
        <w:rPr>
          <w:color w:val="231F20"/>
          <w:w w:val="120"/>
        </w:rPr>
        <w:t>difficile,</w:t>
      </w:r>
      <w:r>
        <w:rPr>
          <w:color w:val="231F20"/>
          <w:spacing w:val="-12"/>
          <w:w w:val="120"/>
        </w:rPr>
        <w:t> </w:t>
      </w:r>
      <w:r>
        <w:rPr>
          <w:color w:val="231F20"/>
          <w:w w:val="120"/>
        </w:rPr>
        <w:t>et</w:t>
      </w:r>
      <w:r>
        <w:rPr>
          <w:color w:val="231F20"/>
          <w:spacing w:val="-12"/>
          <w:w w:val="120"/>
        </w:rPr>
        <w:t> </w:t>
      </w:r>
      <w:r>
        <w:rPr>
          <w:color w:val="231F20"/>
          <w:w w:val="120"/>
        </w:rPr>
        <w:t>si</w:t>
      </w:r>
      <w:r>
        <w:rPr>
          <w:color w:val="231F20"/>
          <w:spacing w:val="-12"/>
          <w:w w:val="120"/>
        </w:rPr>
        <w:t> </w:t>
      </w:r>
      <w:r>
        <w:rPr>
          <w:color w:val="231F20"/>
          <w:w w:val="120"/>
        </w:rPr>
        <w:t>l’argent</w:t>
      </w:r>
      <w:r>
        <w:rPr>
          <w:color w:val="231F20"/>
          <w:spacing w:val="-12"/>
          <w:w w:val="120"/>
        </w:rPr>
        <w:t> </w:t>
      </w:r>
      <w:r>
        <w:rPr>
          <w:color w:val="231F20"/>
          <w:w w:val="120"/>
        </w:rPr>
        <w:t>qui</w:t>
      </w:r>
      <w:r>
        <w:rPr>
          <w:color w:val="231F20"/>
          <w:spacing w:val="-12"/>
          <w:w w:val="120"/>
        </w:rPr>
        <w:t> </w:t>
      </w:r>
      <w:r>
        <w:rPr>
          <w:color w:val="231F20"/>
          <w:w w:val="120"/>
        </w:rPr>
        <w:t>accompagne </w:t>
      </w:r>
      <w:r>
        <w:rPr>
          <w:color w:val="231F20"/>
          <w:w w:val="115"/>
        </w:rPr>
        <w:t>la</w:t>
      </w:r>
      <w:r>
        <w:rPr>
          <w:color w:val="231F20"/>
          <w:spacing w:val="-3"/>
          <w:w w:val="115"/>
        </w:rPr>
        <w:t> </w:t>
      </w:r>
      <w:r>
        <w:rPr>
          <w:color w:val="231F20"/>
          <w:w w:val="115"/>
        </w:rPr>
        <w:t>promotion</w:t>
      </w:r>
      <w:r>
        <w:rPr>
          <w:color w:val="231F20"/>
          <w:spacing w:val="-3"/>
          <w:w w:val="115"/>
        </w:rPr>
        <w:t> </w:t>
      </w:r>
      <w:r>
        <w:rPr>
          <w:color w:val="231F20"/>
          <w:w w:val="115"/>
        </w:rPr>
        <w:t>est</w:t>
      </w:r>
      <w:r>
        <w:rPr>
          <w:color w:val="231F20"/>
          <w:spacing w:val="-3"/>
          <w:w w:val="115"/>
        </w:rPr>
        <w:t> </w:t>
      </w:r>
      <w:r>
        <w:rPr>
          <w:color w:val="231F20"/>
          <w:w w:val="115"/>
        </w:rPr>
        <w:t>la</w:t>
      </w:r>
      <w:r>
        <w:rPr>
          <w:color w:val="231F20"/>
          <w:spacing w:val="-3"/>
          <w:w w:val="115"/>
        </w:rPr>
        <w:t> </w:t>
      </w:r>
      <w:r>
        <w:rPr>
          <w:color w:val="231F20"/>
          <w:w w:val="115"/>
        </w:rPr>
        <w:t>seule</w:t>
      </w:r>
      <w:r>
        <w:rPr>
          <w:color w:val="231F20"/>
          <w:spacing w:val="-3"/>
          <w:w w:val="115"/>
        </w:rPr>
        <w:t> </w:t>
      </w:r>
      <w:r>
        <w:rPr>
          <w:color w:val="231F20"/>
          <w:w w:val="115"/>
        </w:rPr>
        <w:t>raison</w:t>
      </w:r>
      <w:r>
        <w:rPr>
          <w:color w:val="231F20"/>
          <w:spacing w:val="-3"/>
          <w:w w:val="115"/>
        </w:rPr>
        <w:t> </w:t>
      </w:r>
      <w:r>
        <w:rPr>
          <w:color w:val="231F20"/>
          <w:w w:val="115"/>
        </w:rPr>
        <w:t>de</w:t>
      </w:r>
      <w:r>
        <w:rPr>
          <w:color w:val="231F20"/>
          <w:spacing w:val="-3"/>
          <w:w w:val="115"/>
        </w:rPr>
        <w:t> </w:t>
      </w:r>
      <w:r>
        <w:rPr>
          <w:color w:val="231F20"/>
          <w:w w:val="115"/>
        </w:rPr>
        <w:t>l’accepter…</w:t>
      </w:r>
      <w:r>
        <w:rPr>
          <w:color w:val="231F20"/>
          <w:spacing w:val="-3"/>
          <w:w w:val="115"/>
        </w:rPr>
        <w:t> </w:t>
      </w:r>
      <w:r>
        <w:rPr>
          <w:color w:val="231F20"/>
          <w:w w:val="115"/>
        </w:rPr>
        <w:t>c’est</w:t>
      </w:r>
      <w:r>
        <w:rPr>
          <w:color w:val="231F20"/>
          <w:spacing w:val="-3"/>
          <w:w w:val="115"/>
        </w:rPr>
        <w:t> </w:t>
      </w:r>
      <w:r>
        <w:rPr>
          <w:color w:val="231F20"/>
          <w:w w:val="115"/>
        </w:rPr>
        <w:t>là</w:t>
      </w:r>
      <w:r>
        <w:rPr>
          <w:color w:val="231F20"/>
          <w:spacing w:val="-3"/>
          <w:w w:val="115"/>
        </w:rPr>
        <w:t> </w:t>
      </w:r>
      <w:r>
        <w:rPr>
          <w:color w:val="231F20"/>
          <w:w w:val="115"/>
        </w:rPr>
        <w:t>que</w:t>
      </w:r>
      <w:r>
        <w:rPr>
          <w:color w:val="231F20"/>
          <w:spacing w:val="-3"/>
          <w:w w:val="115"/>
        </w:rPr>
        <w:t> </w:t>
      </w:r>
      <w:r>
        <w:rPr>
          <w:color w:val="231F20"/>
          <w:w w:val="115"/>
        </w:rPr>
        <w:t>le</w:t>
      </w:r>
      <w:r>
        <w:rPr>
          <w:color w:val="231F20"/>
          <w:spacing w:val="-3"/>
          <w:w w:val="115"/>
        </w:rPr>
        <w:t> </w:t>
      </w:r>
      <w:r>
        <w:rPr>
          <w:color w:val="231F20"/>
          <w:w w:val="115"/>
        </w:rPr>
        <w:t>stress</w:t>
      </w:r>
      <w:r>
        <w:rPr>
          <w:color w:val="231F20"/>
          <w:spacing w:val="-2"/>
          <w:w w:val="115"/>
        </w:rPr>
        <w:t> </w:t>
      </w:r>
      <w:r>
        <w:rPr>
          <w:color w:val="231F20"/>
          <w:spacing w:val="-4"/>
          <w:w w:val="115"/>
        </w:rPr>
        <w:t>entre</w:t>
      </w:r>
    </w:p>
    <w:p>
      <w:pPr>
        <w:spacing w:after="0" w:line="307" w:lineRule="auto"/>
        <w:jc w:val="both"/>
        <w:sectPr>
          <w:footerReference w:type="default" r:id="rId337"/>
          <w:pgSz w:w="8640" w:h="12960"/>
          <w:pgMar w:footer="424" w:header="0" w:top="500" w:bottom="620" w:left="420" w:right="1140"/>
        </w:sectPr>
      </w:pPr>
    </w:p>
    <w:p>
      <w:pPr>
        <w:spacing w:before="103"/>
        <w:ind w:left="1028" w:right="698" w:firstLine="0"/>
        <w:jc w:val="center"/>
        <w:rPr>
          <w:rFonts w:ascii="Arial" w:hAnsi="Arial"/>
          <w:sz w:val="14"/>
        </w:rPr>
      </w:pPr>
      <w:bookmarkStart w:name=" 5.4 / Post-scriptum" w:id="201"/>
      <w:bookmarkEnd w:id="201"/>
      <w:r>
        <w:rPr/>
      </w:r>
      <w:bookmarkStart w:name="_bookmark90" w:id="202"/>
      <w:bookmarkEnd w:id="202"/>
      <w:r>
        <w:rPr/>
      </w: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20"/>
        </w:rPr>
        <w:t>en scène. La plupart des superviseurs de cette usine n’avaient pas été formés</w:t>
      </w:r>
      <w:r>
        <w:rPr>
          <w:color w:val="231F20"/>
          <w:spacing w:val="-3"/>
          <w:w w:val="120"/>
        </w:rPr>
        <w:t> </w:t>
      </w:r>
      <w:r>
        <w:rPr>
          <w:color w:val="231F20"/>
          <w:w w:val="120"/>
        </w:rPr>
        <w:t>à</w:t>
      </w:r>
      <w:r>
        <w:rPr>
          <w:color w:val="231F20"/>
          <w:spacing w:val="-3"/>
          <w:w w:val="120"/>
        </w:rPr>
        <w:t> </w:t>
      </w:r>
      <w:r>
        <w:rPr>
          <w:color w:val="231F20"/>
          <w:w w:val="120"/>
        </w:rPr>
        <w:t>leur</w:t>
      </w:r>
      <w:r>
        <w:rPr>
          <w:color w:val="231F20"/>
          <w:spacing w:val="-3"/>
          <w:w w:val="120"/>
        </w:rPr>
        <w:t> </w:t>
      </w:r>
      <w:r>
        <w:rPr>
          <w:color w:val="231F20"/>
          <w:w w:val="120"/>
        </w:rPr>
        <w:t>nouvelle</w:t>
      </w:r>
      <w:r>
        <w:rPr>
          <w:color w:val="231F20"/>
          <w:spacing w:val="-3"/>
          <w:w w:val="120"/>
        </w:rPr>
        <w:t> </w:t>
      </w:r>
      <w:r>
        <w:rPr>
          <w:color w:val="231F20"/>
          <w:w w:val="120"/>
        </w:rPr>
        <w:t>fonction</w:t>
      </w:r>
      <w:r>
        <w:rPr>
          <w:color w:val="231F20"/>
          <w:spacing w:val="-3"/>
          <w:w w:val="120"/>
        </w:rPr>
        <w:t> </w:t>
      </w:r>
      <w:r>
        <w:rPr>
          <w:color w:val="231F20"/>
          <w:w w:val="120"/>
        </w:rPr>
        <w:t>et</w:t>
      </w:r>
      <w:r>
        <w:rPr>
          <w:color w:val="231F20"/>
          <w:spacing w:val="-3"/>
          <w:w w:val="120"/>
        </w:rPr>
        <w:t> </w:t>
      </w:r>
      <w:r>
        <w:rPr>
          <w:color w:val="231F20"/>
          <w:w w:val="120"/>
        </w:rPr>
        <w:t>ne</w:t>
      </w:r>
      <w:r>
        <w:rPr>
          <w:color w:val="231F20"/>
          <w:spacing w:val="-3"/>
          <w:w w:val="120"/>
        </w:rPr>
        <w:t> </w:t>
      </w:r>
      <w:r>
        <w:rPr>
          <w:color w:val="231F20"/>
          <w:w w:val="120"/>
        </w:rPr>
        <w:t>disposaient</w:t>
      </w:r>
      <w:r>
        <w:rPr>
          <w:color w:val="231F20"/>
          <w:spacing w:val="-3"/>
          <w:w w:val="120"/>
        </w:rPr>
        <w:t> </w:t>
      </w:r>
      <w:r>
        <w:rPr>
          <w:color w:val="231F20"/>
          <w:w w:val="120"/>
        </w:rPr>
        <w:t>pas</w:t>
      </w:r>
      <w:r>
        <w:rPr>
          <w:color w:val="231F20"/>
          <w:spacing w:val="-3"/>
          <w:w w:val="120"/>
        </w:rPr>
        <w:t> </w:t>
      </w:r>
      <w:r>
        <w:rPr>
          <w:color w:val="231F20"/>
          <w:w w:val="120"/>
        </w:rPr>
        <w:t>d’un</w:t>
      </w:r>
      <w:r>
        <w:rPr>
          <w:color w:val="231F20"/>
          <w:spacing w:val="-3"/>
          <w:w w:val="120"/>
        </w:rPr>
        <w:t> </w:t>
      </w:r>
      <w:r>
        <w:rPr>
          <w:color w:val="231F20"/>
          <w:w w:val="120"/>
        </w:rPr>
        <w:t>espace</w:t>
      </w:r>
      <w:r>
        <w:rPr>
          <w:color w:val="231F20"/>
          <w:spacing w:val="-3"/>
          <w:w w:val="120"/>
        </w:rPr>
        <w:t> </w:t>
      </w:r>
      <w:r>
        <w:rPr>
          <w:color w:val="231F20"/>
          <w:w w:val="120"/>
        </w:rPr>
        <w:t>pour </w:t>
      </w:r>
      <w:r>
        <w:rPr>
          <w:color w:val="231F20"/>
          <w:w w:val="115"/>
        </w:rPr>
        <w:t>effectuer</w:t>
      </w:r>
      <w:r>
        <w:rPr>
          <w:color w:val="231F20"/>
          <w:spacing w:val="-5"/>
          <w:w w:val="115"/>
        </w:rPr>
        <w:t> </w:t>
      </w:r>
      <w:r>
        <w:rPr>
          <w:color w:val="231F20"/>
          <w:w w:val="115"/>
        </w:rPr>
        <w:t>leur</w:t>
      </w:r>
      <w:r>
        <w:rPr>
          <w:color w:val="231F20"/>
          <w:spacing w:val="-5"/>
          <w:w w:val="115"/>
        </w:rPr>
        <w:t> </w:t>
      </w:r>
      <w:r>
        <w:rPr>
          <w:color w:val="231F20"/>
          <w:w w:val="115"/>
        </w:rPr>
        <w:t>travail</w:t>
      </w:r>
      <w:r>
        <w:rPr>
          <w:color w:val="231F20"/>
          <w:spacing w:val="-5"/>
          <w:w w:val="115"/>
        </w:rPr>
        <w:t> </w:t>
      </w:r>
      <w:r>
        <w:rPr>
          <w:color w:val="231F20"/>
          <w:w w:val="115"/>
        </w:rPr>
        <w:t>correctement.</w:t>
      </w:r>
      <w:r>
        <w:rPr>
          <w:color w:val="231F20"/>
          <w:spacing w:val="-5"/>
          <w:w w:val="115"/>
        </w:rPr>
        <w:t> </w:t>
      </w:r>
      <w:r>
        <w:rPr>
          <w:color w:val="231F20"/>
          <w:w w:val="115"/>
        </w:rPr>
        <w:t>Les</w:t>
      </w:r>
      <w:r>
        <w:rPr>
          <w:color w:val="231F20"/>
          <w:spacing w:val="-5"/>
          <w:w w:val="115"/>
        </w:rPr>
        <w:t> </w:t>
      </w:r>
      <w:r>
        <w:rPr>
          <w:color w:val="231F20"/>
          <w:w w:val="115"/>
        </w:rPr>
        <w:t>entrevues</w:t>
      </w:r>
      <w:r>
        <w:rPr>
          <w:color w:val="231F20"/>
          <w:spacing w:val="-5"/>
          <w:w w:val="115"/>
        </w:rPr>
        <w:t> </w:t>
      </w:r>
      <w:r>
        <w:rPr>
          <w:color w:val="231F20"/>
          <w:w w:val="115"/>
        </w:rPr>
        <w:t>réalisées</w:t>
      </w:r>
      <w:r>
        <w:rPr>
          <w:color w:val="231F20"/>
          <w:spacing w:val="-5"/>
          <w:w w:val="115"/>
        </w:rPr>
        <w:t> </w:t>
      </w:r>
      <w:r>
        <w:rPr>
          <w:color w:val="231F20"/>
          <w:w w:val="115"/>
        </w:rPr>
        <w:t>par</w:t>
      </w:r>
      <w:r>
        <w:rPr>
          <w:color w:val="231F20"/>
          <w:spacing w:val="-5"/>
          <w:w w:val="115"/>
        </w:rPr>
        <w:t> </w:t>
      </w:r>
      <w:r>
        <w:rPr>
          <w:color w:val="231F20"/>
          <w:w w:val="115"/>
        </w:rPr>
        <w:t>les</w:t>
      </w:r>
      <w:r>
        <w:rPr>
          <w:color w:val="231F20"/>
          <w:spacing w:val="-5"/>
          <w:w w:val="115"/>
        </w:rPr>
        <w:t> </w:t>
      </w:r>
      <w:r>
        <w:rPr>
          <w:color w:val="231F20"/>
          <w:w w:val="115"/>
        </w:rPr>
        <w:t>consul- </w:t>
      </w:r>
      <w:r>
        <w:rPr>
          <w:color w:val="231F20"/>
          <w:w w:val="120"/>
        </w:rPr>
        <w:t>tants les ont amenés à constater que bon nombre de ces superviseurs </w:t>
      </w:r>
      <w:r>
        <w:rPr>
          <w:color w:val="231F20"/>
          <w:w w:val="115"/>
        </w:rPr>
        <w:t>n’accordaient</w:t>
      </w:r>
      <w:r>
        <w:rPr>
          <w:color w:val="231F20"/>
          <w:spacing w:val="-13"/>
          <w:w w:val="115"/>
        </w:rPr>
        <w:t> </w:t>
      </w:r>
      <w:r>
        <w:rPr>
          <w:color w:val="231F20"/>
          <w:w w:val="115"/>
        </w:rPr>
        <w:t>pas</w:t>
      </w:r>
      <w:r>
        <w:rPr>
          <w:color w:val="231F20"/>
          <w:spacing w:val="-12"/>
          <w:w w:val="115"/>
        </w:rPr>
        <w:t> </w:t>
      </w:r>
      <w:r>
        <w:rPr>
          <w:color w:val="231F20"/>
          <w:w w:val="115"/>
        </w:rPr>
        <w:t>beaucoup</w:t>
      </w:r>
      <w:r>
        <w:rPr>
          <w:color w:val="231F20"/>
          <w:spacing w:val="-12"/>
          <w:w w:val="115"/>
        </w:rPr>
        <w:t> </w:t>
      </w:r>
      <w:r>
        <w:rPr>
          <w:color w:val="231F20"/>
          <w:w w:val="115"/>
        </w:rPr>
        <w:t>d’importance</w:t>
      </w:r>
      <w:r>
        <w:rPr>
          <w:color w:val="231F20"/>
          <w:spacing w:val="-12"/>
          <w:w w:val="115"/>
        </w:rPr>
        <w:t> </w:t>
      </w:r>
      <w:r>
        <w:rPr>
          <w:color w:val="231F20"/>
          <w:w w:val="115"/>
        </w:rPr>
        <w:t>à</w:t>
      </w:r>
      <w:r>
        <w:rPr>
          <w:color w:val="231F20"/>
          <w:spacing w:val="-13"/>
          <w:w w:val="115"/>
        </w:rPr>
        <w:t> </w:t>
      </w:r>
      <w:r>
        <w:rPr>
          <w:color w:val="231F20"/>
          <w:w w:val="115"/>
        </w:rPr>
        <w:t>leur</w:t>
      </w:r>
      <w:r>
        <w:rPr>
          <w:color w:val="231F20"/>
          <w:spacing w:val="-12"/>
          <w:w w:val="115"/>
        </w:rPr>
        <w:t> </w:t>
      </w:r>
      <w:r>
        <w:rPr>
          <w:color w:val="231F20"/>
          <w:w w:val="115"/>
        </w:rPr>
        <w:t>promotion</w:t>
      </w:r>
      <w:r>
        <w:rPr>
          <w:color w:val="231F20"/>
          <w:spacing w:val="-12"/>
          <w:w w:val="115"/>
        </w:rPr>
        <w:t> </w:t>
      </w:r>
      <w:r>
        <w:rPr>
          <w:color w:val="231F20"/>
          <w:w w:val="115"/>
        </w:rPr>
        <w:t>ou</w:t>
      </w:r>
      <w:r>
        <w:rPr>
          <w:color w:val="231F20"/>
          <w:spacing w:val="-12"/>
          <w:w w:val="115"/>
        </w:rPr>
        <w:t> </w:t>
      </w:r>
      <w:r>
        <w:rPr>
          <w:color w:val="231F20"/>
          <w:w w:val="115"/>
        </w:rPr>
        <w:t>ne</w:t>
      </w:r>
      <w:r>
        <w:rPr>
          <w:color w:val="231F20"/>
          <w:spacing w:val="-12"/>
          <w:w w:val="115"/>
        </w:rPr>
        <w:t> </w:t>
      </w:r>
      <w:r>
        <w:rPr>
          <w:color w:val="231F20"/>
          <w:w w:val="115"/>
        </w:rPr>
        <w:t>l’avaient pas pleinement désirée. L’argent avait été, pour plusieurs, leur principale </w:t>
      </w:r>
      <w:r>
        <w:rPr>
          <w:color w:val="231F20"/>
          <w:w w:val="120"/>
        </w:rPr>
        <w:t>raison</w:t>
      </w:r>
      <w:r>
        <w:rPr>
          <w:color w:val="231F20"/>
          <w:spacing w:val="-13"/>
          <w:w w:val="120"/>
        </w:rPr>
        <w:t> </w:t>
      </w:r>
      <w:r>
        <w:rPr>
          <w:color w:val="231F20"/>
          <w:w w:val="120"/>
        </w:rPr>
        <w:t>d’accepter</w:t>
      </w:r>
      <w:r>
        <w:rPr>
          <w:color w:val="231F20"/>
          <w:spacing w:val="-13"/>
          <w:w w:val="120"/>
        </w:rPr>
        <w:t> </w:t>
      </w:r>
      <w:r>
        <w:rPr>
          <w:color w:val="231F20"/>
          <w:w w:val="120"/>
        </w:rPr>
        <w:t>le</w:t>
      </w:r>
      <w:r>
        <w:rPr>
          <w:color w:val="231F20"/>
          <w:spacing w:val="-13"/>
          <w:w w:val="120"/>
        </w:rPr>
        <w:t> </w:t>
      </w:r>
      <w:r>
        <w:rPr>
          <w:color w:val="231F20"/>
          <w:w w:val="120"/>
        </w:rPr>
        <w:t>poste.</w:t>
      </w:r>
      <w:r>
        <w:rPr>
          <w:color w:val="231F20"/>
          <w:spacing w:val="-12"/>
          <w:w w:val="120"/>
        </w:rPr>
        <w:t> </w:t>
      </w:r>
      <w:r>
        <w:rPr>
          <w:color w:val="231F20"/>
          <w:w w:val="120"/>
        </w:rPr>
        <w:t>Les</w:t>
      </w:r>
      <w:r>
        <w:rPr>
          <w:color w:val="231F20"/>
          <w:spacing w:val="-13"/>
          <w:w w:val="120"/>
        </w:rPr>
        <w:t> </w:t>
      </w:r>
      <w:r>
        <w:rPr>
          <w:color w:val="231F20"/>
          <w:w w:val="120"/>
        </w:rPr>
        <w:t>consultants</w:t>
      </w:r>
      <w:r>
        <w:rPr>
          <w:color w:val="231F20"/>
          <w:spacing w:val="-13"/>
          <w:w w:val="120"/>
        </w:rPr>
        <w:t> </w:t>
      </w:r>
      <w:r>
        <w:rPr>
          <w:color w:val="231F20"/>
          <w:w w:val="120"/>
        </w:rPr>
        <w:t>sont</w:t>
      </w:r>
      <w:r>
        <w:rPr>
          <w:color w:val="231F20"/>
          <w:spacing w:val="-13"/>
          <w:w w:val="120"/>
        </w:rPr>
        <w:t> </w:t>
      </w:r>
      <w:r>
        <w:rPr>
          <w:color w:val="231F20"/>
          <w:w w:val="120"/>
        </w:rPr>
        <w:t>arrivés</w:t>
      </w:r>
      <w:r>
        <w:rPr>
          <w:color w:val="231F20"/>
          <w:spacing w:val="-12"/>
          <w:w w:val="120"/>
        </w:rPr>
        <w:t> </w:t>
      </w:r>
      <w:r>
        <w:rPr>
          <w:color w:val="231F20"/>
          <w:w w:val="120"/>
        </w:rPr>
        <w:t>à</w:t>
      </w:r>
      <w:r>
        <w:rPr>
          <w:color w:val="231F20"/>
          <w:spacing w:val="-13"/>
          <w:w w:val="120"/>
        </w:rPr>
        <w:t> </w:t>
      </w:r>
      <w:r>
        <w:rPr>
          <w:color w:val="231F20"/>
          <w:w w:val="120"/>
        </w:rPr>
        <w:t>une</w:t>
      </w:r>
      <w:r>
        <w:rPr>
          <w:color w:val="231F20"/>
          <w:spacing w:val="-13"/>
          <w:w w:val="120"/>
        </w:rPr>
        <w:t> </w:t>
      </w:r>
      <w:r>
        <w:rPr>
          <w:color w:val="231F20"/>
          <w:w w:val="120"/>
        </w:rPr>
        <w:t>conclusion </w:t>
      </w:r>
      <w:r>
        <w:rPr>
          <w:color w:val="231F20"/>
          <w:w w:val="115"/>
        </w:rPr>
        <w:t>logique:</w:t>
      </w:r>
      <w:r>
        <w:rPr>
          <w:color w:val="231F20"/>
          <w:spacing w:val="-10"/>
          <w:w w:val="115"/>
        </w:rPr>
        <w:t> </w:t>
      </w:r>
      <w:r>
        <w:rPr>
          <w:color w:val="231F20"/>
          <w:w w:val="115"/>
        </w:rPr>
        <w:t>il</w:t>
      </w:r>
      <w:r>
        <w:rPr>
          <w:color w:val="231F20"/>
          <w:spacing w:val="-10"/>
          <w:w w:val="115"/>
        </w:rPr>
        <w:t> </w:t>
      </w:r>
      <w:r>
        <w:rPr>
          <w:color w:val="231F20"/>
          <w:w w:val="115"/>
        </w:rPr>
        <w:t>n’était</w:t>
      </w:r>
      <w:r>
        <w:rPr>
          <w:color w:val="231F20"/>
          <w:spacing w:val="-10"/>
          <w:w w:val="115"/>
        </w:rPr>
        <w:t> </w:t>
      </w:r>
      <w:r>
        <w:rPr>
          <w:color w:val="231F20"/>
          <w:w w:val="115"/>
        </w:rPr>
        <w:t>pas</w:t>
      </w:r>
      <w:r>
        <w:rPr>
          <w:color w:val="231F20"/>
          <w:spacing w:val="-10"/>
          <w:w w:val="115"/>
        </w:rPr>
        <w:t> </w:t>
      </w:r>
      <w:r>
        <w:rPr>
          <w:color w:val="231F20"/>
          <w:w w:val="115"/>
        </w:rPr>
        <w:t>normal</w:t>
      </w:r>
      <w:r>
        <w:rPr>
          <w:color w:val="231F20"/>
          <w:spacing w:val="-10"/>
          <w:w w:val="115"/>
        </w:rPr>
        <w:t> </w:t>
      </w:r>
      <w:r>
        <w:rPr>
          <w:color w:val="231F20"/>
          <w:w w:val="115"/>
        </w:rPr>
        <w:t>que</w:t>
      </w:r>
      <w:r>
        <w:rPr>
          <w:color w:val="231F20"/>
          <w:spacing w:val="-10"/>
          <w:w w:val="115"/>
        </w:rPr>
        <w:t> </w:t>
      </w:r>
      <w:r>
        <w:rPr>
          <w:color w:val="231F20"/>
          <w:w w:val="115"/>
        </w:rPr>
        <w:t>l’incidence</w:t>
      </w:r>
      <w:r>
        <w:rPr>
          <w:color w:val="231F20"/>
          <w:spacing w:val="-10"/>
          <w:w w:val="115"/>
        </w:rPr>
        <w:t> </w:t>
      </w:r>
      <w:r>
        <w:rPr>
          <w:color w:val="231F20"/>
          <w:w w:val="115"/>
        </w:rPr>
        <w:t>des</w:t>
      </w:r>
      <w:r>
        <w:rPr>
          <w:color w:val="231F20"/>
          <w:spacing w:val="-10"/>
          <w:w w:val="115"/>
        </w:rPr>
        <w:t> </w:t>
      </w:r>
      <w:r>
        <w:rPr>
          <w:color w:val="231F20"/>
          <w:w w:val="115"/>
        </w:rPr>
        <w:t>ulcères</w:t>
      </w:r>
      <w:r>
        <w:rPr>
          <w:color w:val="231F20"/>
          <w:spacing w:val="-10"/>
          <w:w w:val="115"/>
        </w:rPr>
        <w:t> </w:t>
      </w:r>
      <w:r>
        <w:rPr>
          <w:color w:val="231F20"/>
          <w:w w:val="115"/>
        </w:rPr>
        <w:t>gastroduodénaux </w:t>
      </w:r>
      <w:r>
        <w:rPr>
          <w:color w:val="231F20"/>
          <w:w w:val="120"/>
        </w:rPr>
        <w:t>et</w:t>
      </w:r>
      <w:r>
        <w:rPr>
          <w:color w:val="231F20"/>
          <w:spacing w:val="-7"/>
          <w:w w:val="120"/>
        </w:rPr>
        <w:t> </w:t>
      </w:r>
      <w:r>
        <w:rPr>
          <w:color w:val="231F20"/>
          <w:w w:val="120"/>
        </w:rPr>
        <w:t>autres</w:t>
      </w:r>
      <w:r>
        <w:rPr>
          <w:color w:val="231F20"/>
          <w:spacing w:val="-7"/>
          <w:w w:val="120"/>
        </w:rPr>
        <w:t> </w:t>
      </w:r>
      <w:r>
        <w:rPr>
          <w:color w:val="231F20"/>
          <w:w w:val="120"/>
        </w:rPr>
        <w:t>troubles</w:t>
      </w:r>
      <w:r>
        <w:rPr>
          <w:color w:val="231F20"/>
          <w:spacing w:val="-7"/>
          <w:w w:val="120"/>
        </w:rPr>
        <w:t> </w:t>
      </w:r>
      <w:r>
        <w:rPr>
          <w:color w:val="231F20"/>
          <w:w w:val="120"/>
        </w:rPr>
        <w:t>digestifs</w:t>
      </w:r>
      <w:r>
        <w:rPr>
          <w:color w:val="231F20"/>
          <w:spacing w:val="-7"/>
          <w:w w:val="120"/>
        </w:rPr>
        <w:t> </w:t>
      </w:r>
      <w:r>
        <w:rPr>
          <w:color w:val="231F20"/>
          <w:w w:val="120"/>
        </w:rPr>
        <w:t>chez</w:t>
      </w:r>
      <w:r>
        <w:rPr>
          <w:color w:val="231F20"/>
          <w:spacing w:val="-7"/>
          <w:w w:val="120"/>
        </w:rPr>
        <w:t> </w:t>
      </w:r>
      <w:r>
        <w:rPr>
          <w:color w:val="231F20"/>
          <w:w w:val="120"/>
        </w:rPr>
        <w:t>les</w:t>
      </w:r>
      <w:r>
        <w:rPr>
          <w:color w:val="231F20"/>
          <w:spacing w:val="-7"/>
          <w:w w:val="120"/>
        </w:rPr>
        <w:t> </w:t>
      </w:r>
      <w:r>
        <w:rPr>
          <w:color w:val="231F20"/>
          <w:w w:val="120"/>
        </w:rPr>
        <w:t>superviseurs</w:t>
      </w:r>
      <w:r>
        <w:rPr>
          <w:color w:val="231F20"/>
          <w:spacing w:val="-7"/>
          <w:w w:val="120"/>
        </w:rPr>
        <w:t> </w:t>
      </w:r>
      <w:r>
        <w:rPr>
          <w:color w:val="231F20"/>
          <w:w w:val="120"/>
        </w:rPr>
        <w:t>de</w:t>
      </w:r>
      <w:r>
        <w:rPr>
          <w:color w:val="231F20"/>
          <w:spacing w:val="-7"/>
          <w:w w:val="120"/>
        </w:rPr>
        <w:t> </w:t>
      </w:r>
      <w:r>
        <w:rPr>
          <w:color w:val="231F20"/>
          <w:w w:val="120"/>
        </w:rPr>
        <w:t>premier</w:t>
      </w:r>
      <w:r>
        <w:rPr>
          <w:color w:val="231F20"/>
          <w:spacing w:val="-7"/>
          <w:w w:val="120"/>
        </w:rPr>
        <w:t> </w:t>
      </w:r>
      <w:r>
        <w:rPr>
          <w:color w:val="231F20"/>
          <w:w w:val="120"/>
        </w:rPr>
        <w:t>niveau</w:t>
      </w:r>
      <w:r>
        <w:rPr>
          <w:color w:val="231F20"/>
          <w:spacing w:val="-7"/>
          <w:w w:val="120"/>
        </w:rPr>
        <w:t> </w:t>
      </w:r>
      <w:r>
        <w:rPr>
          <w:color w:val="231F20"/>
          <w:w w:val="120"/>
        </w:rPr>
        <w:t>soit si</w:t>
      </w:r>
      <w:r>
        <w:rPr>
          <w:color w:val="231F20"/>
          <w:spacing w:val="-13"/>
          <w:w w:val="120"/>
        </w:rPr>
        <w:t> </w:t>
      </w:r>
      <w:r>
        <w:rPr>
          <w:color w:val="231F20"/>
          <w:w w:val="120"/>
        </w:rPr>
        <w:t>élevée.</w:t>
      </w:r>
    </w:p>
    <w:p>
      <w:pPr>
        <w:pStyle w:val="BodyText"/>
        <w:spacing w:line="307" w:lineRule="auto" w:before="78"/>
        <w:ind w:left="830" w:right="495" w:firstLine="250"/>
        <w:jc w:val="both"/>
      </w:pPr>
      <w:r>
        <w:rPr>
          <w:color w:val="231F20"/>
          <w:w w:val="115"/>
        </w:rPr>
        <w:t>C’est</w:t>
      </w:r>
      <w:r>
        <w:rPr>
          <w:color w:val="231F20"/>
          <w:spacing w:val="-3"/>
          <w:w w:val="115"/>
        </w:rPr>
        <w:t> </w:t>
      </w:r>
      <w:r>
        <w:rPr>
          <w:color w:val="231F20"/>
          <w:w w:val="115"/>
        </w:rPr>
        <w:t>ainsi</w:t>
      </w:r>
      <w:r>
        <w:rPr>
          <w:color w:val="231F20"/>
          <w:spacing w:val="-3"/>
          <w:w w:val="115"/>
        </w:rPr>
        <w:t> </w:t>
      </w:r>
      <w:r>
        <w:rPr>
          <w:color w:val="231F20"/>
          <w:w w:val="115"/>
        </w:rPr>
        <w:t>qu’a</w:t>
      </w:r>
      <w:r>
        <w:rPr>
          <w:color w:val="231F20"/>
          <w:spacing w:val="-3"/>
          <w:w w:val="115"/>
        </w:rPr>
        <w:t> </w:t>
      </w:r>
      <w:r>
        <w:rPr>
          <w:color w:val="231F20"/>
          <w:w w:val="115"/>
        </w:rPr>
        <w:t>été</w:t>
      </w:r>
      <w:r>
        <w:rPr>
          <w:color w:val="231F20"/>
          <w:spacing w:val="-3"/>
          <w:w w:val="115"/>
        </w:rPr>
        <w:t> </w:t>
      </w:r>
      <w:r>
        <w:rPr>
          <w:color w:val="231F20"/>
          <w:w w:val="115"/>
        </w:rPr>
        <w:t>proposé</w:t>
      </w:r>
      <w:r>
        <w:rPr>
          <w:color w:val="231F20"/>
          <w:spacing w:val="-3"/>
          <w:w w:val="115"/>
        </w:rPr>
        <w:t> </w:t>
      </w:r>
      <w:r>
        <w:rPr>
          <w:color w:val="231F20"/>
          <w:w w:val="115"/>
        </w:rPr>
        <w:t>et</w:t>
      </w:r>
      <w:r>
        <w:rPr>
          <w:color w:val="231F20"/>
          <w:spacing w:val="-3"/>
          <w:w w:val="115"/>
        </w:rPr>
        <w:t> </w:t>
      </w:r>
      <w:r>
        <w:rPr>
          <w:color w:val="231F20"/>
          <w:w w:val="115"/>
        </w:rPr>
        <w:t>mis</w:t>
      </w:r>
      <w:r>
        <w:rPr>
          <w:color w:val="231F20"/>
          <w:spacing w:val="-3"/>
          <w:w w:val="115"/>
        </w:rPr>
        <w:t> </w:t>
      </w:r>
      <w:r>
        <w:rPr>
          <w:color w:val="231F20"/>
          <w:w w:val="115"/>
        </w:rPr>
        <w:t>en</w:t>
      </w:r>
      <w:r>
        <w:rPr>
          <w:color w:val="231F20"/>
          <w:spacing w:val="-3"/>
          <w:w w:val="115"/>
        </w:rPr>
        <w:t> </w:t>
      </w:r>
      <w:r>
        <w:rPr>
          <w:color w:val="231F20"/>
          <w:w w:val="115"/>
        </w:rPr>
        <w:t>œuvre</w:t>
      </w:r>
      <w:r>
        <w:rPr>
          <w:color w:val="231F20"/>
          <w:spacing w:val="-3"/>
          <w:w w:val="115"/>
        </w:rPr>
        <w:t> </w:t>
      </w:r>
      <w:r>
        <w:rPr>
          <w:color w:val="231F20"/>
          <w:w w:val="115"/>
        </w:rPr>
        <w:t>une</w:t>
      </w:r>
      <w:r>
        <w:rPr>
          <w:color w:val="231F20"/>
          <w:spacing w:val="-3"/>
          <w:w w:val="115"/>
        </w:rPr>
        <w:t> </w:t>
      </w:r>
      <w:r>
        <w:rPr>
          <w:color w:val="231F20"/>
          <w:w w:val="115"/>
        </w:rPr>
        <w:t>nouvelle</w:t>
      </w:r>
      <w:r>
        <w:rPr>
          <w:color w:val="231F20"/>
          <w:spacing w:val="-3"/>
          <w:w w:val="115"/>
        </w:rPr>
        <w:t> </w:t>
      </w:r>
      <w:r>
        <w:rPr>
          <w:color w:val="231F20"/>
          <w:w w:val="115"/>
        </w:rPr>
        <w:t>politique</w:t>
      </w:r>
      <w:r>
        <w:rPr>
          <w:color w:val="231F20"/>
          <w:spacing w:val="-3"/>
          <w:w w:val="115"/>
        </w:rPr>
        <w:t> </w:t>
      </w:r>
      <w:r>
        <w:rPr>
          <w:color w:val="231F20"/>
          <w:w w:val="115"/>
        </w:rPr>
        <w:t>de </w:t>
      </w:r>
      <w:r>
        <w:rPr>
          <w:color w:val="231F20"/>
          <w:spacing w:val="-2"/>
          <w:w w:val="120"/>
        </w:rPr>
        <w:t>promotion</w:t>
      </w:r>
      <w:r>
        <w:rPr>
          <w:color w:val="231F20"/>
          <w:spacing w:val="-7"/>
          <w:w w:val="120"/>
        </w:rPr>
        <w:t> </w:t>
      </w:r>
      <w:r>
        <w:rPr>
          <w:color w:val="231F20"/>
          <w:spacing w:val="-2"/>
          <w:w w:val="120"/>
        </w:rPr>
        <w:t>comportant</w:t>
      </w:r>
      <w:r>
        <w:rPr>
          <w:color w:val="231F20"/>
          <w:spacing w:val="-7"/>
          <w:w w:val="120"/>
        </w:rPr>
        <w:t> </w:t>
      </w:r>
      <w:r>
        <w:rPr>
          <w:color w:val="231F20"/>
          <w:spacing w:val="-2"/>
          <w:w w:val="120"/>
        </w:rPr>
        <w:t>les</w:t>
      </w:r>
      <w:r>
        <w:rPr>
          <w:color w:val="231F20"/>
          <w:spacing w:val="-7"/>
          <w:w w:val="120"/>
        </w:rPr>
        <w:t> </w:t>
      </w:r>
      <w:r>
        <w:rPr>
          <w:color w:val="231F20"/>
          <w:spacing w:val="-2"/>
          <w:w w:val="120"/>
        </w:rPr>
        <w:t>éléments</w:t>
      </w:r>
      <w:r>
        <w:rPr>
          <w:color w:val="231F20"/>
          <w:spacing w:val="-7"/>
          <w:w w:val="120"/>
        </w:rPr>
        <w:t> </w:t>
      </w:r>
      <w:r>
        <w:rPr>
          <w:color w:val="231F20"/>
          <w:spacing w:val="-2"/>
          <w:w w:val="120"/>
        </w:rPr>
        <w:t>suivants.</w:t>
      </w:r>
      <w:r>
        <w:rPr>
          <w:color w:val="231F20"/>
          <w:spacing w:val="-7"/>
          <w:w w:val="120"/>
        </w:rPr>
        <w:t> </w:t>
      </w:r>
      <w:r>
        <w:rPr>
          <w:color w:val="231F20"/>
          <w:spacing w:val="-2"/>
          <w:w w:val="120"/>
        </w:rPr>
        <w:t>1)</w:t>
      </w:r>
      <w:r>
        <w:rPr>
          <w:color w:val="231F20"/>
          <w:spacing w:val="-7"/>
          <w:w w:val="120"/>
        </w:rPr>
        <w:t> </w:t>
      </w:r>
      <w:r>
        <w:rPr>
          <w:color w:val="231F20"/>
          <w:spacing w:val="-2"/>
          <w:w w:val="120"/>
        </w:rPr>
        <w:t>Si</w:t>
      </w:r>
      <w:r>
        <w:rPr>
          <w:color w:val="231F20"/>
          <w:spacing w:val="-7"/>
          <w:w w:val="120"/>
        </w:rPr>
        <w:t> </w:t>
      </w:r>
      <w:r>
        <w:rPr>
          <w:color w:val="231F20"/>
          <w:spacing w:val="-2"/>
          <w:w w:val="120"/>
        </w:rPr>
        <w:t>un</w:t>
      </w:r>
      <w:r>
        <w:rPr>
          <w:color w:val="231F20"/>
          <w:spacing w:val="-7"/>
          <w:w w:val="120"/>
        </w:rPr>
        <w:t> </w:t>
      </w:r>
      <w:r>
        <w:rPr>
          <w:color w:val="231F20"/>
          <w:spacing w:val="-2"/>
          <w:w w:val="120"/>
        </w:rPr>
        <w:t>travailleur</w:t>
      </w:r>
      <w:r>
        <w:rPr>
          <w:color w:val="231F20"/>
          <w:spacing w:val="-7"/>
          <w:w w:val="120"/>
        </w:rPr>
        <w:t> </w:t>
      </w:r>
      <w:r>
        <w:rPr>
          <w:color w:val="231F20"/>
          <w:spacing w:val="-2"/>
          <w:w w:val="120"/>
        </w:rPr>
        <w:t>fait</w:t>
      </w:r>
      <w:r>
        <w:rPr>
          <w:color w:val="231F20"/>
          <w:spacing w:val="-7"/>
          <w:w w:val="120"/>
        </w:rPr>
        <w:t> </w:t>
      </w:r>
      <w:r>
        <w:rPr>
          <w:color w:val="231F20"/>
          <w:spacing w:val="-2"/>
          <w:w w:val="120"/>
        </w:rPr>
        <w:t>très </w:t>
      </w:r>
      <w:r>
        <w:rPr>
          <w:color w:val="231F20"/>
          <w:w w:val="120"/>
        </w:rPr>
        <w:t>bien</w:t>
      </w:r>
      <w:r>
        <w:rPr>
          <w:color w:val="231F20"/>
          <w:spacing w:val="-13"/>
          <w:w w:val="120"/>
        </w:rPr>
        <w:t> </w:t>
      </w:r>
      <w:r>
        <w:rPr>
          <w:color w:val="231F20"/>
          <w:w w:val="120"/>
        </w:rPr>
        <w:t>son</w:t>
      </w:r>
      <w:r>
        <w:rPr>
          <w:color w:val="231F20"/>
          <w:spacing w:val="-13"/>
          <w:w w:val="120"/>
        </w:rPr>
        <w:t> </w:t>
      </w:r>
      <w:r>
        <w:rPr>
          <w:color w:val="231F20"/>
          <w:w w:val="120"/>
        </w:rPr>
        <w:t>travail,</w:t>
      </w:r>
      <w:r>
        <w:rPr>
          <w:color w:val="231F20"/>
          <w:spacing w:val="-13"/>
          <w:w w:val="120"/>
        </w:rPr>
        <w:t> </w:t>
      </w:r>
      <w:r>
        <w:rPr>
          <w:color w:val="231F20"/>
          <w:w w:val="120"/>
        </w:rPr>
        <w:t>son</w:t>
      </w:r>
      <w:r>
        <w:rPr>
          <w:color w:val="231F20"/>
          <w:spacing w:val="-12"/>
          <w:w w:val="120"/>
        </w:rPr>
        <w:t> </w:t>
      </w:r>
      <w:r>
        <w:rPr>
          <w:color w:val="231F20"/>
          <w:w w:val="120"/>
        </w:rPr>
        <w:t>bien-être</w:t>
      </w:r>
      <w:r>
        <w:rPr>
          <w:color w:val="231F20"/>
          <w:spacing w:val="-13"/>
          <w:w w:val="120"/>
        </w:rPr>
        <w:t> </w:t>
      </w:r>
      <w:r>
        <w:rPr>
          <w:color w:val="231F20"/>
          <w:w w:val="120"/>
        </w:rPr>
        <w:t>économique</w:t>
      </w:r>
      <w:r>
        <w:rPr>
          <w:color w:val="231F20"/>
          <w:spacing w:val="-13"/>
          <w:w w:val="120"/>
        </w:rPr>
        <w:t> </w:t>
      </w:r>
      <w:r>
        <w:rPr>
          <w:color w:val="231F20"/>
          <w:w w:val="120"/>
        </w:rPr>
        <w:t>peut</w:t>
      </w:r>
      <w:r>
        <w:rPr>
          <w:color w:val="231F20"/>
          <w:spacing w:val="-13"/>
          <w:w w:val="120"/>
        </w:rPr>
        <w:t> </w:t>
      </w:r>
      <w:r>
        <w:rPr>
          <w:color w:val="231F20"/>
          <w:w w:val="120"/>
        </w:rPr>
        <w:t>être</w:t>
      </w:r>
      <w:r>
        <w:rPr>
          <w:color w:val="231F20"/>
          <w:spacing w:val="-12"/>
          <w:w w:val="120"/>
        </w:rPr>
        <w:t> </w:t>
      </w:r>
      <w:r>
        <w:rPr>
          <w:color w:val="231F20"/>
          <w:w w:val="120"/>
        </w:rPr>
        <w:t>amélioré</w:t>
      </w:r>
      <w:r>
        <w:rPr>
          <w:color w:val="231F20"/>
          <w:spacing w:val="-13"/>
          <w:w w:val="120"/>
        </w:rPr>
        <w:t> </w:t>
      </w:r>
      <w:r>
        <w:rPr>
          <w:color w:val="231F20"/>
          <w:w w:val="120"/>
        </w:rPr>
        <w:t>au</w:t>
      </w:r>
      <w:r>
        <w:rPr>
          <w:color w:val="231F20"/>
          <w:spacing w:val="-13"/>
          <w:w w:val="120"/>
        </w:rPr>
        <w:t> </w:t>
      </w:r>
      <w:r>
        <w:rPr>
          <w:color w:val="231F20"/>
          <w:w w:val="120"/>
        </w:rPr>
        <w:t>moyen </w:t>
      </w:r>
      <w:r>
        <w:rPr>
          <w:color w:val="231F20"/>
          <w:w w:val="115"/>
        </w:rPr>
        <w:t>d’un</w:t>
      </w:r>
      <w:r>
        <w:rPr>
          <w:color w:val="231F20"/>
          <w:spacing w:val="-5"/>
          <w:w w:val="115"/>
        </w:rPr>
        <w:t> </w:t>
      </w:r>
      <w:r>
        <w:rPr>
          <w:color w:val="231F20"/>
          <w:w w:val="115"/>
        </w:rPr>
        <w:t>régime</w:t>
      </w:r>
      <w:r>
        <w:rPr>
          <w:color w:val="231F20"/>
          <w:spacing w:val="-5"/>
          <w:w w:val="115"/>
        </w:rPr>
        <w:t> </w:t>
      </w:r>
      <w:r>
        <w:rPr>
          <w:color w:val="231F20"/>
          <w:w w:val="115"/>
        </w:rPr>
        <w:t>d’encouragement</w:t>
      </w:r>
      <w:r>
        <w:rPr>
          <w:color w:val="231F20"/>
          <w:spacing w:val="-5"/>
          <w:w w:val="115"/>
        </w:rPr>
        <w:t> </w:t>
      </w:r>
      <w:r>
        <w:rPr>
          <w:color w:val="231F20"/>
          <w:w w:val="115"/>
        </w:rPr>
        <w:t>financier</w:t>
      </w:r>
      <w:r>
        <w:rPr>
          <w:color w:val="231F20"/>
          <w:spacing w:val="-5"/>
          <w:w w:val="115"/>
        </w:rPr>
        <w:t> </w:t>
      </w:r>
      <w:r>
        <w:rPr>
          <w:color w:val="231F20"/>
          <w:w w:val="115"/>
        </w:rPr>
        <w:t>qui</w:t>
      </w:r>
      <w:r>
        <w:rPr>
          <w:color w:val="231F20"/>
          <w:spacing w:val="-5"/>
          <w:w w:val="115"/>
        </w:rPr>
        <w:t> </w:t>
      </w:r>
      <w:r>
        <w:rPr>
          <w:color w:val="231F20"/>
          <w:w w:val="115"/>
        </w:rPr>
        <w:t>ne</w:t>
      </w:r>
      <w:r>
        <w:rPr>
          <w:color w:val="231F20"/>
          <w:spacing w:val="-5"/>
          <w:w w:val="115"/>
        </w:rPr>
        <w:t> </w:t>
      </w:r>
      <w:r>
        <w:rPr>
          <w:color w:val="231F20"/>
          <w:w w:val="115"/>
        </w:rPr>
        <w:t>l’oblige</w:t>
      </w:r>
      <w:r>
        <w:rPr>
          <w:color w:val="231F20"/>
          <w:spacing w:val="-5"/>
          <w:w w:val="115"/>
        </w:rPr>
        <w:t> </w:t>
      </w:r>
      <w:r>
        <w:rPr>
          <w:color w:val="231F20"/>
          <w:w w:val="115"/>
        </w:rPr>
        <w:t>pas</w:t>
      </w:r>
      <w:r>
        <w:rPr>
          <w:color w:val="231F20"/>
          <w:spacing w:val="-5"/>
          <w:w w:val="115"/>
        </w:rPr>
        <w:t> </w:t>
      </w:r>
      <w:r>
        <w:rPr>
          <w:color w:val="231F20"/>
          <w:w w:val="115"/>
        </w:rPr>
        <w:t>à</w:t>
      </w:r>
      <w:r>
        <w:rPr>
          <w:color w:val="231F20"/>
          <w:spacing w:val="-5"/>
          <w:w w:val="115"/>
        </w:rPr>
        <w:t> </w:t>
      </w:r>
      <w:r>
        <w:rPr>
          <w:color w:val="231F20"/>
          <w:w w:val="115"/>
        </w:rPr>
        <w:t>accepter</w:t>
      </w:r>
      <w:r>
        <w:rPr>
          <w:color w:val="231F20"/>
          <w:spacing w:val="-5"/>
          <w:w w:val="115"/>
        </w:rPr>
        <w:t> </w:t>
      </w:r>
      <w:r>
        <w:rPr>
          <w:color w:val="231F20"/>
          <w:w w:val="115"/>
        </w:rPr>
        <w:t>une </w:t>
      </w:r>
      <w:r>
        <w:rPr>
          <w:color w:val="231F20"/>
          <w:spacing w:val="-2"/>
          <w:w w:val="120"/>
        </w:rPr>
        <w:t>promotion</w:t>
      </w:r>
      <w:r>
        <w:rPr>
          <w:color w:val="231F20"/>
          <w:spacing w:val="-11"/>
          <w:w w:val="120"/>
        </w:rPr>
        <w:t> </w:t>
      </w:r>
      <w:r>
        <w:rPr>
          <w:color w:val="231F20"/>
          <w:spacing w:val="-2"/>
          <w:w w:val="120"/>
        </w:rPr>
        <w:t>au</w:t>
      </w:r>
      <w:r>
        <w:rPr>
          <w:color w:val="231F20"/>
          <w:spacing w:val="-11"/>
          <w:w w:val="120"/>
        </w:rPr>
        <w:t> </w:t>
      </w:r>
      <w:r>
        <w:rPr>
          <w:color w:val="231F20"/>
          <w:spacing w:val="-2"/>
          <w:w w:val="120"/>
        </w:rPr>
        <w:t>poste</w:t>
      </w:r>
      <w:r>
        <w:rPr>
          <w:color w:val="231F20"/>
          <w:spacing w:val="-11"/>
          <w:w w:val="120"/>
        </w:rPr>
        <w:t> </w:t>
      </w:r>
      <w:r>
        <w:rPr>
          <w:color w:val="231F20"/>
          <w:spacing w:val="-2"/>
          <w:w w:val="120"/>
        </w:rPr>
        <w:t>de</w:t>
      </w:r>
      <w:r>
        <w:rPr>
          <w:color w:val="231F20"/>
          <w:spacing w:val="-10"/>
          <w:w w:val="120"/>
        </w:rPr>
        <w:t> </w:t>
      </w:r>
      <w:r>
        <w:rPr>
          <w:color w:val="231F20"/>
          <w:spacing w:val="-2"/>
          <w:w w:val="120"/>
        </w:rPr>
        <w:t>superviseur.</w:t>
      </w:r>
      <w:r>
        <w:rPr>
          <w:color w:val="231F20"/>
          <w:spacing w:val="-11"/>
          <w:w w:val="120"/>
        </w:rPr>
        <w:t> </w:t>
      </w:r>
      <w:r>
        <w:rPr>
          <w:color w:val="231F20"/>
          <w:spacing w:val="-2"/>
          <w:w w:val="120"/>
        </w:rPr>
        <w:t>(Cette</w:t>
      </w:r>
      <w:r>
        <w:rPr>
          <w:color w:val="231F20"/>
          <w:spacing w:val="-11"/>
          <w:w w:val="120"/>
        </w:rPr>
        <w:t> </w:t>
      </w:r>
      <w:r>
        <w:rPr>
          <w:color w:val="231F20"/>
          <w:spacing w:val="-2"/>
          <w:w w:val="120"/>
        </w:rPr>
        <w:t>disposition</w:t>
      </w:r>
      <w:r>
        <w:rPr>
          <w:color w:val="231F20"/>
          <w:spacing w:val="-11"/>
          <w:w w:val="120"/>
        </w:rPr>
        <w:t> </w:t>
      </w:r>
      <w:r>
        <w:rPr>
          <w:color w:val="231F20"/>
          <w:spacing w:val="-2"/>
          <w:w w:val="120"/>
        </w:rPr>
        <w:t>visait</w:t>
      </w:r>
      <w:r>
        <w:rPr>
          <w:color w:val="231F20"/>
          <w:spacing w:val="-10"/>
          <w:w w:val="120"/>
        </w:rPr>
        <w:t> </w:t>
      </w:r>
      <w:r>
        <w:rPr>
          <w:color w:val="231F20"/>
          <w:spacing w:val="-2"/>
          <w:w w:val="120"/>
        </w:rPr>
        <w:t>les</w:t>
      </w:r>
      <w:r>
        <w:rPr>
          <w:color w:val="231F20"/>
          <w:spacing w:val="-11"/>
          <w:w w:val="120"/>
        </w:rPr>
        <w:t> </w:t>
      </w:r>
      <w:r>
        <w:rPr>
          <w:color w:val="231F20"/>
          <w:spacing w:val="-2"/>
          <w:w w:val="120"/>
        </w:rPr>
        <w:t>employés </w:t>
      </w:r>
      <w:r>
        <w:rPr>
          <w:color w:val="231F20"/>
          <w:w w:val="120"/>
        </w:rPr>
        <w:t>qu’une</w:t>
      </w:r>
      <w:r>
        <w:rPr>
          <w:color w:val="231F20"/>
          <w:spacing w:val="-7"/>
          <w:w w:val="120"/>
        </w:rPr>
        <w:t> </w:t>
      </w:r>
      <w:r>
        <w:rPr>
          <w:color w:val="231F20"/>
          <w:w w:val="120"/>
        </w:rPr>
        <w:t>telle</w:t>
      </w:r>
      <w:r>
        <w:rPr>
          <w:color w:val="231F20"/>
          <w:spacing w:val="-7"/>
          <w:w w:val="120"/>
        </w:rPr>
        <w:t> </w:t>
      </w:r>
      <w:r>
        <w:rPr>
          <w:color w:val="231F20"/>
          <w:w w:val="120"/>
        </w:rPr>
        <w:t>promotion</w:t>
      </w:r>
      <w:r>
        <w:rPr>
          <w:color w:val="231F20"/>
          <w:spacing w:val="-7"/>
          <w:w w:val="120"/>
        </w:rPr>
        <w:t> </w:t>
      </w:r>
      <w:r>
        <w:rPr>
          <w:color w:val="231F20"/>
          <w:w w:val="120"/>
        </w:rPr>
        <w:t>n’intéressait</w:t>
      </w:r>
      <w:r>
        <w:rPr>
          <w:color w:val="231F20"/>
          <w:spacing w:val="-7"/>
          <w:w w:val="120"/>
        </w:rPr>
        <w:t> </w:t>
      </w:r>
      <w:r>
        <w:rPr>
          <w:color w:val="231F20"/>
          <w:w w:val="120"/>
        </w:rPr>
        <w:t>pas.)</w:t>
      </w:r>
      <w:r>
        <w:rPr>
          <w:color w:val="231F20"/>
          <w:spacing w:val="-7"/>
          <w:w w:val="120"/>
        </w:rPr>
        <w:t> </w:t>
      </w:r>
      <w:r>
        <w:rPr>
          <w:color w:val="231F20"/>
          <w:w w:val="120"/>
        </w:rPr>
        <w:t>2)</w:t>
      </w:r>
      <w:r>
        <w:rPr>
          <w:color w:val="231F20"/>
          <w:spacing w:val="-7"/>
          <w:w w:val="120"/>
        </w:rPr>
        <w:t> </w:t>
      </w:r>
      <w:r>
        <w:rPr>
          <w:color w:val="231F20"/>
          <w:w w:val="120"/>
        </w:rPr>
        <w:t>Si</w:t>
      </w:r>
      <w:r>
        <w:rPr>
          <w:color w:val="231F20"/>
          <w:spacing w:val="-7"/>
          <w:w w:val="120"/>
        </w:rPr>
        <w:t> </w:t>
      </w:r>
      <w:r>
        <w:rPr>
          <w:color w:val="231F20"/>
          <w:w w:val="120"/>
        </w:rPr>
        <w:t>le</w:t>
      </w:r>
      <w:r>
        <w:rPr>
          <w:color w:val="231F20"/>
          <w:spacing w:val="-7"/>
          <w:w w:val="120"/>
        </w:rPr>
        <w:t> </w:t>
      </w:r>
      <w:r>
        <w:rPr>
          <w:color w:val="231F20"/>
          <w:w w:val="120"/>
        </w:rPr>
        <w:t>travailleur</w:t>
      </w:r>
      <w:r>
        <w:rPr>
          <w:color w:val="231F20"/>
          <w:spacing w:val="-7"/>
          <w:w w:val="120"/>
        </w:rPr>
        <w:t> </w:t>
      </w:r>
      <w:r>
        <w:rPr>
          <w:color w:val="231F20"/>
          <w:w w:val="120"/>
        </w:rPr>
        <w:t>désire</w:t>
      </w:r>
      <w:r>
        <w:rPr>
          <w:color w:val="231F20"/>
          <w:spacing w:val="-7"/>
          <w:w w:val="120"/>
        </w:rPr>
        <w:t> </w:t>
      </w:r>
      <w:r>
        <w:rPr>
          <w:color w:val="231F20"/>
          <w:w w:val="120"/>
        </w:rPr>
        <w:t>être promu,</w:t>
      </w:r>
      <w:r>
        <w:rPr>
          <w:color w:val="231F20"/>
          <w:spacing w:val="-10"/>
          <w:w w:val="120"/>
        </w:rPr>
        <w:t> </w:t>
      </w:r>
      <w:r>
        <w:rPr>
          <w:color w:val="231F20"/>
          <w:w w:val="120"/>
        </w:rPr>
        <w:t>il</w:t>
      </w:r>
      <w:r>
        <w:rPr>
          <w:color w:val="231F20"/>
          <w:spacing w:val="-10"/>
          <w:w w:val="120"/>
        </w:rPr>
        <w:t> </w:t>
      </w:r>
      <w:r>
        <w:rPr>
          <w:color w:val="231F20"/>
          <w:w w:val="120"/>
        </w:rPr>
        <w:t>reçoit</w:t>
      </w:r>
      <w:r>
        <w:rPr>
          <w:color w:val="231F20"/>
          <w:spacing w:val="-10"/>
          <w:w w:val="120"/>
        </w:rPr>
        <w:t> </w:t>
      </w:r>
      <w:r>
        <w:rPr>
          <w:color w:val="231F20"/>
          <w:w w:val="120"/>
        </w:rPr>
        <w:t>une</w:t>
      </w:r>
      <w:r>
        <w:rPr>
          <w:color w:val="231F20"/>
          <w:spacing w:val="-10"/>
          <w:w w:val="120"/>
        </w:rPr>
        <w:t> </w:t>
      </w:r>
      <w:r>
        <w:rPr>
          <w:color w:val="231F20"/>
          <w:w w:val="120"/>
        </w:rPr>
        <w:t>formation</w:t>
      </w:r>
      <w:r>
        <w:rPr>
          <w:color w:val="231F20"/>
          <w:spacing w:val="-10"/>
          <w:w w:val="120"/>
        </w:rPr>
        <w:t> </w:t>
      </w:r>
      <w:r>
        <w:rPr>
          <w:color w:val="231F20"/>
          <w:w w:val="120"/>
        </w:rPr>
        <w:t>obligatoire</w:t>
      </w:r>
      <w:r>
        <w:rPr>
          <w:color w:val="231F20"/>
          <w:spacing w:val="-10"/>
          <w:w w:val="120"/>
        </w:rPr>
        <w:t> </w:t>
      </w:r>
      <w:r>
        <w:rPr>
          <w:color w:val="231F20"/>
          <w:w w:val="120"/>
        </w:rPr>
        <w:t>sur</w:t>
      </w:r>
      <w:r>
        <w:rPr>
          <w:color w:val="231F20"/>
          <w:spacing w:val="-10"/>
          <w:w w:val="120"/>
        </w:rPr>
        <w:t> </w:t>
      </w:r>
      <w:r>
        <w:rPr>
          <w:color w:val="231F20"/>
          <w:w w:val="120"/>
        </w:rPr>
        <w:t>l’art</w:t>
      </w:r>
      <w:r>
        <w:rPr>
          <w:color w:val="231F20"/>
          <w:spacing w:val="-10"/>
          <w:w w:val="120"/>
        </w:rPr>
        <w:t> </w:t>
      </w:r>
      <w:r>
        <w:rPr>
          <w:color w:val="231F20"/>
          <w:w w:val="120"/>
        </w:rPr>
        <w:t>de</w:t>
      </w:r>
      <w:r>
        <w:rPr>
          <w:color w:val="231F20"/>
          <w:spacing w:val="-10"/>
          <w:w w:val="120"/>
        </w:rPr>
        <w:t> </w:t>
      </w:r>
      <w:r>
        <w:rPr>
          <w:color w:val="231F20"/>
          <w:w w:val="120"/>
        </w:rPr>
        <w:t>la</w:t>
      </w:r>
      <w:r>
        <w:rPr>
          <w:color w:val="231F20"/>
          <w:spacing w:val="-10"/>
          <w:w w:val="120"/>
        </w:rPr>
        <w:t> </w:t>
      </w:r>
      <w:r>
        <w:rPr>
          <w:color w:val="231F20"/>
          <w:w w:val="120"/>
        </w:rPr>
        <w:t>supervision,</w:t>
      </w:r>
      <w:r>
        <w:rPr>
          <w:color w:val="231F20"/>
          <w:spacing w:val="-10"/>
          <w:w w:val="120"/>
        </w:rPr>
        <w:t> </w:t>
      </w:r>
      <w:r>
        <w:rPr>
          <w:color w:val="231F20"/>
          <w:w w:val="120"/>
        </w:rPr>
        <w:t>de même que de nouveaux outils de travail (bureau, ordinateur, etc.).</w:t>
      </w:r>
    </w:p>
    <w:p>
      <w:pPr>
        <w:pStyle w:val="BodyText"/>
        <w:spacing w:line="307" w:lineRule="auto" w:before="79"/>
        <w:ind w:left="830" w:right="494" w:firstLine="250"/>
        <w:jc w:val="both"/>
      </w:pPr>
      <w:r>
        <w:rPr>
          <w:color w:val="231F20"/>
          <w:w w:val="120"/>
        </w:rPr>
        <w:t>Dans</w:t>
      </w:r>
      <w:r>
        <w:rPr>
          <w:color w:val="231F20"/>
          <w:spacing w:val="-6"/>
          <w:w w:val="120"/>
        </w:rPr>
        <w:t> </w:t>
      </w:r>
      <w:r>
        <w:rPr>
          <w:color w:val="231F20"/>
          <w:w w:val="120"/>
        </w:rPr>
        <w:t>cette</w:t>
      </w:r>
      <w:r>
        <w:rPr>
          <w:color w:val="231F20"/>
          <w:spacing w:val="-6"/>
          <w:w w:val="120"/>
        </w:rPr>
        <w:t> </w:t>
      </w:r>
      <w:r>
        <w:rPr>
          <w:color w:val="231F20"/>
          <w:w w:val="120"/>
        </w:rPr>
        <w:t>entreprise,</w:t>
      </w:r>
      <w:r>
        <w:rPr>
          <w:color w:val="231F20"/>
          <w:spacing w:val="-6"/>
          <w:w w:val="120"/>
        </w:rPr>
        <w:t> </w:t>
      </w:r>
      <w:r>
        <w:rPr>
          <w:color w:val="231F20"/>
          <w:w w:val="120"/>
        </w:rPr>
        <w:t>plusieurs</w:t>
      </w:r>
      <w:r>
        <w:rPr>
          <w:color w:val="231F20"/>
          <w:spacing w:val="-6"/>
          <w:w w:val="120"/>
        </w:rPr>
        <w:t> </w:t>
      </w:r>
      <w:r>
        <w:rPr>
          <w:color w:val="231F20"/>
          <w:w w:val="120"/>
        </w:rPr>
        <w:t>superviseurs</w:t>
      </w:r>
      <w:r>
        <w:rPr>
          <w:color w:val="231F20"/>
          <w:spacing w:val="-6"/>
          <w:w w:val="120"/>
        </w:rPr>
        <w:t> </w:t>
      </w:r>
      <w:r>
        <w:rPr>
          <w:color w:val="231F20"/>
          <w:w w:val="120"/>
        </w:rPr>
        <w:t>ont</w:t>
      </w:r>
      <w:r>
        <w:rPr>
          <w:color w:val="231F20"/>
          <w:spacing w:val="-6"/>
          <w:w w:val="120"/>
        </w:rPr>
        <w:t> </w:t>
      </w:r>
      <w:r>
        <w:rPr>
          <w:color w:val="231F20"/>
          <w:w w:val="120"/>
        </w:rPr>
        <w:t>choisi</w:t>
      </w:r>
      <w:r>
        <w:rPr>
          <w:color w:val="231F20"/>
          <w:spacing w:val="-6"/>
          <w:w w:val="120"/>
        </w:rPr>
        <w:t> </w:t>
      </w:r>
      <w:r>
        <w:rPr>
          <w:color w:val="231F20"/>
          <w:w w:val="120"/>
        </w:rPr>
        <w:t>de</w:t>
      </w:r>
      <w:r>
        <w:rPr>
          <w:color w:val="231F20"/>
          <w:spacing w:val="-6"/>
          <w:w w:val="120"/>
        </w:rPr>
        <w:t> </w:t>
      </w:r>
      <w:r>
        <w:rPr>
          <w:color w:val="231F20"/>
          <w:w w:val="120"/>
        </w:rPr>
        <w:t>retourner à</w:t>
      </w:r>
      <w:r>
        <w:rPr>
          <w:color w:val="231F20"/>
          <w:spacing w:val="-10"/>
          <w:w w:val="120"/>
        </w:rPr>
        <w:t> </w:t>
      </w:r>
      <w:r>
        <w:rPr>
          <w:color w:val="231F20"/>
          <w:w w:val="120"/>
        </w:rPr>
        <w:t>leur</w:t>
      </w:r>
      <w:r>
        <w:rPr>
          <w:color w:val="231F20"/>
          <w:spacing w:val="-10"/>
          <w:w w:val="120"/>
        </w:rPr>
        <w:t> </w:t>
      </w:r>
      <w:r>
        <w:rPr>
          <w:color w:val="231F20"/>
          <w:w w:val="120"/>
        </w:rPr>
        <w:t>ancien</w:t>
      </w:r>
      <w:r>
        <w:rPr>
          <w:color w:val="231F20"/>
          <w:spacing w:val="-10"/>
          <w:w w:val="120"/>
        </w:rPr>
        <w:t> </w:t>
      </w:r>
      <w:r>
        <w:rPr>
          <w:color w:val="231F20"/>
          <w:w w:val="120"/>
        </w:rPr>
        <w:t>poste</w:t>
      </w:r>
      <w:r>
        <w:rPr>
          <w:color w:val="231F20"/>
          <w:spacing w:val="-10"/>
          <w:w w:val="120"/>
        </w:rPr>
        <w:t> </w:t>
      </w:r>
      <w:r>
        <w:rPr>
          <w:color w:val="231F20"/>
          <w:w w:val="120"/>
        </w:rPr>
        <w:t>et</w:t>
      </w:r>
      <w:r>
        <w:rPr>
          <w:color w:val="231F20"/>
          <w:spacing w:val="-10"/>
          <w:w w:val="120"/>
        </w:rPr>
        <w:t> </w:t>
      </w:r>
      <w:r>
        <w:rPr>
          <w:color w:val="231F20"/>
          <w:w w:val="120"/>
        </w:rPr>
        <w:t>d’autres</w:t>
      </w:r>
      <w:r>
        <w:rPr>
          <w:color w:val="231F20"/>
          <w:spacing w:val="-10"/>
          <w:w w:val="120"/>
        </w:rPr>
        <w:t> </w:t>
      </w:r>
      <w:r>
        <w:rPr>
          <w:color w:val="231F20"/>
          <w:w w:val="120"/>
        </w:rPr>
        <w:t>employés</w:t>
      </w:r>
      <w:r>
        <w:rPr>
          <w:color w:val="231F20"/>
          <w:spacing w:val="-10"/>
          <w:w w:val="120"/>
        </w:rPr>
        <w:t> </w:t>
      </w:r>
      <w:r>
        <w:rPr>
          <w:color w:val="231F20"/>
          <w:w w:val="120"/>
        </w:rPr>
        <w:t>ont</w:t>
      </w:r>
      <w:r>
        <w:rPr>
          <w:color w:val="231F20"/>
          <w:spacing w:val="-10"/>
          <w:w w:val="120"/>
        </w:rPr>
        <w:t> </w:t>
      </w:r>
      <w:r>
        <w:rPr>
          <w:color w:val="231F20"/>
          <w:w w:val="120"/>
        </w:rPr>
        <w:t>reçu</w:t>
      </w:r>
      <w:r>
        <w:rPr>
          <w:color w:val="231F20"/>
          <w:spacing w:val="-10"/>
          <w:w w:val="120"/>
        </w:rPr>
        <w:t> </w:t>
      </w:r>
      <w:r>
        <w:rPr>
          <w:color w:val="231F20"/>
          <w:w w:val="120"/>
        </w:rPr>
        <w:t>la</w:t>
      </w:r>
      <w:r>
        <w:rPr>
          <w:color w:val="231F20"/>
          <w:spacing w:val="-10"/>
          <w:w w:val="120"/>
        </w:rPr>
        <w:t> </w:t>
      </w:r>
      <w:r>
        <w:rPr>
          <w:color w:val="231F20"/>
          <w:w w:val="120"/>
        </w:rPr>
        <w:t>formation</w:t>
      </w:r>
      <w:r>
        <w:rPr>
          <w:color w:val="231F20"/>
          <w:spacing w:val="-10"/>
          <w:w w:val="120"/>
        </w:rPr>
        <w:t> </w:t>
      </w:r>
      <w:r>
        <w:rPr>
          <w:color w:val="231F20"/>
          <w:w w:val="120"/>
        </w:rPr>
        <w:t>de</w:t>
      </w:r>
      <w:r>
        <w:rPr>
          <w:color w:val="231F20"/>
          <w:spacing w:val="-10"/>
          <w:w w:val="120"/>
        </w:rPr>
        <w:t> </w:t>
      </w:r>
      <w:r>
        <w:rPr>
          <w:color w:val="231F20"/>
          <w:w w:val="120"/>
        </w:rPr>
        <w:t>super- viseur dans un mode de coaching avec les superviseurs déjà en place. </w:t>
      </w:r>
      <w:r>
        <w:rPr>
          <w:color w:val="231F20"/>
          <w:spacing w:val="-2"/>
          <w:w w:val="120"/>
        </w:rPr>
        <w:t>Résultat</w:t>
      </w:r>
      <w:r>
        <w:rPr>
          <w:color w:val="231F20"/>
          <w:spacing w:val="-11"/>
          <w:w w:val="120"/>
        </w:rPr>
        <w:t> </w:t>
      </w:r>
      <w:r>
        <w:rPr>
          <w:color w:val="231F20"/>
          <w:spacing w:val="-2"/>
          <w:w w:val="120"/>
        </w:rPr>
        <w:t>:</w:t>
      </w:r>
      <w:r>
        <w:rPr>
          <w:color w:val="231F20"/>
          <w:spacing w:val="-11"/>
          <w:w w:val="120"/>
        </w:rPr>
        <w:t> </w:t>
      </w:r>
      <w:r>
        <w:rPr>
          <w:color w:val="231F20"/>
          <w:spacing w:val="-2"/>
          <w:w w:val="120"/>
        </w:rPr>
        <w:t>lors</w:t>
      </w:r>
      <w:r>
        <w:rPr>
          <w:color w:val="231F20"/>
          <w:spacing w:val="-11"/>
          <w:w w:val="120"/>
        </w:rPr>
        <w:t> </w:t>
      </w:r>
      <w:r>
        <w:rPr>
          <w:color w:val="231F20"/>
          <w:spacing w:val="-2"/>
          <w:w w:val="120"/>
        </w:rPr>
        <w:t>d’une</w:t>
      </w:r>
      <w:r>
        <w:rPr>
          <w:color w:val="231F20"/>
          <w:spacing w:val="-10"/>
          <w:w w:val="120"/>
        </w:rPr>
        <w:t> </w:t>
      </w:r>
      <w:r>
        <w:rPr>
          <w:color w:val="231F20"/>
          <w:spacing w:val="-2"/>
          <w:w w:val="120"/>
        </w:rPr>
        <w:t>étude</w:t>
      </w:r>
      <w:r>
        <w:rPr>
          <w:color w:val="231F20"/>
          <w:spacing w:val="-7"/>
          <w:w w:val="120"/>
        </w:rPr>
        <w:t> </w:t>
      </w:r>
      <w:r>
        <w:rPr>
          <w:color w:val="231F20"/>
          <w:spacing w:val="-2"/>
          <w:w w:val="120"/>
        </w:rPr>
        <w:t>de</w:t>
      </w:r>
      <w:r>
        <w:rPr>
          <w:color w:val="231F20"/>
          <w:spacing w:val="-5"/>
          <w:w w:val="120"/>
        </w:rPr>
        <w:t> </w:t>
      </w:r>
      <w:r>
        <w:rPr>
          <w:color w:val="231F20"/>
          <w:spacing w:val="-2"/>
          <w:w w:val="120"/>
        </w:rPr>
        <w:t>suivi</w:t>
      </w:r>
      <w:r>
        <w:rPr>
          <w:color w:val="231F20"/>
          <w:spacing w:val="-5"/>
          <w:w w:val="120"/>
        </w:rPr>
        <w:t> </w:t>
      </w:r>
      <w:r>
        <w:rPr>
          <w:color w:val="231F20"/>
          <w:spacing w:val="-2"/>
          <w:w w:val="120"/>
        </w:rPr>
        <w:t>menée</w:t>
      </w:r>
      <w:r>
        <w:rPr>
          <w:color w:val="231F20"/>
          <w:spacing w:val="-5"/>
          <w:w w:val="120"/>
        </w:rPr>
        <w:t> </w:t>
      </w:r>
      <w:r>
        <w:rPr>
          <w:color w:val="231F20"/>
          <w:spacing w:val="-2"/>
          <w:w w:val="120"/>
        </w:rPr>
        <w:t>deux</w:t>
      </w:r>
      <w:r>
        <w:rPr>
          <w:color w:val="231F20"/>
          <w:spacing w:val="-5"/>
          <w:w w:val="120"/>
        </w:rPr>
        <w:t> </w:t>
      </w:r>
      <w:r>
        <w:rPr>
          <w:color w:val="231F20"/>
          <w:spacing w:val="-2"/>
          <w:w w:val="120"/>
        </w:rPr>
        <w:t>ans</w:t>
      </w:r>
      <w:r>
        <w:rPr>
          <w:color w:val="231F20"/>
          <w:spacing w:val="-5"/>
          <w:w w:val="120"/>
        </w:rPr>
        <w:t> </w:t>
      </w:r>
      <w:r>
        <w:rPr>
          <w:color w:val="231F20"/>
          <w:spacing w:val="-2"/>
          <w:w w:val="120"/>
        </w:rPr>
        <w:t>plus</w:t>
      </w:r>
      <w:r>
        <w:rPr>
          <w:color w:val="231F20"/>
          <w:spacing w:val="-5"/>
          <w:w w:val="120"/>
        </w:rPr>
        <w:t> </w:t>
      </w:r>
      <w:r>
        <w:rPr>
          <w:color w:val="231F20"/>
          <w:spacing w:val="-2"/>
          <w:w w:val="120"/>
        </w:rPr>
        <w:t>tard,</w:t>
      </w:r>
      <w:r>
        <w:rPr>
          <w:color w:val="231F20"/>
          <w:spacing w:val="-5"/>
          <w:w w:val="120"/>
        </w:rPr>
        <w:t> </w:t>
      </w:r>
      <w:r>
        <w:rPr>
          <w:color w:val="231F20"/>
          <w:spacing w:val="-2"/>
          <w:w w:val="120"/>
        </w:rPr>
        <w:t>les</w:t>
      </w:r>
      <w:r>
        <w:rPr>
          <w:color w:val="231F20"/>
          <w:spacing w:val="-5"/>
          <w:w w:val="120"/>
        </w:rPr>
        <w:t> </w:t>
      </w:r>
      <w:r>
        <w:rPr>
          <w:color w:val="231F20"/>
          <w:spacing w:val="-2"/>
          <w:w w:val="120"/>
        </w:rPr>
        <w:t>consul- </w:t>
      </w:r>
      <w:r>
        <w:rPr>
          <w:color w:val="231F20"/>
          <w:w w:val="120"/>
        </w:rPr>
        <w:t>tants ont constaté que seulement 3 des 17 superviseurs avaient encore des problèmes de digestion. La plupart étaient satisfaits des nouvelles politiques mises en place.</w:t>
      </w:r>
    </w:p>
    <w:p>
      <w:pPr>
        <w:pStyle w:val="BodyText"/>
        <w:rPr>
          <w:sz w:val="24"/>
        </w:rPr>
      </w:pPr>
    </w:p>
    <w:p>
      <w:pPr>
        <w:pStyle w:val="Heading2"/>
        <w:numPr>
          <w:ilvl w:val="1"/>
          <w:numId w:val="75"/>
        </w:numPr>
        <w:tabs>
          <w:tab w:pos="521" w:val="left" w:leader="none"/>
          <w:tab w:pos="829" w:val="left" w:leader="none"/>
        </w:tabs>
        <w:spacing w:line="240" w:lineRule="auto" w:before="183" w:after="0"/>
        <w:ind w:left="520" w:right="0" w:hanging="313"/>
        <w:jc w:val="left"/>
      </w:pPr>
      <w:r>
        <w:rPr>
          <w:b w:val="0"/>
          <w:i/>
          <w:color w:val="231F20"/>
          <w:spacing w:val="-10"/>
        </w:rPr>
        <w:t>/</w:t>
      </w:r>
      <w:r>
        <w:rPr>
          <w:b w:val="0"/>
          <w:i/>
          <w:color w:val="231F20"/>
        </w:rPr>
        <w:tab/>
      </w:r>
      <w:r>
        <w:rPr>
          <w:color w:val="231F20"/>
          <w:spacing w:val="-2"/>
          <w:w w:val="95"/>
        </w:rPr>
        <w:t>Post-</w:t>
      </w:r>
      <w:r>
        <w:rPr>
          <w:color w:val="231F20"/>
          <w:spacing w:val="-2"/>
        </w:rPr>
        <w:t>scriptum</w:t>
      </w:r>
    </w:p>
    <w:p>
      <w:pPr>
        <w:pStyle w:val="BodyText"/>
        <w:spacing w:before="9"/>
        <w:rPr>
          <w:rFonts w:ascii="Arial"/>
          <w:b/>
          <w:sz w:val="25"/>
        </w:rPr>
      </w:pPr>
    </w:p>
    <w:p>
      <w:pPr>
        <w:pStyle w:val="BodyText"/>
        <w:spacing w:line="307" w:lineRule="auto" w:before="1"/>
        <w:ind w:left="830" w:right="494"/>
        <w:jc w:val="both"/>
      </w:pPr>
      <w:r>
        <w:rPr>
          <w:color w:val="231F20"/>
          <w:w w:val="115"/>
        </w:rPr>
        <w:t>On</w:t>
      </w:r>
      <w:r>
        <w:rPr>
          <w:color w:val="231F20"/>
          <w:spacing w:val="-5"/>
          <w:w w:val="115"/>
        </w:rPr>
        <w:t> </w:t>
      </w:r>
      <w:r>
        <w:rPr>
          <w:color w:val="231F20"/>
          <w:w w:val="115"/>
        </w:rPr>
        <w:t>constate</w:t>
      </w:r>
      <w:r>
        <w:rPr>
          <w:color w:val="231F20"/>
          <w:spacing w:val="-5"/>
          <w:w w:val="115"/>
        </w:rPr>
        <w:t> </w:t>
      </w:r>
      <w:r>
        <w:rPr>
          <w:color w:val="231F20"/>
          <w:w w:val="115"/>
        </w:rPr>
        <w:t>de</w:t>
      </w:r>
      <w:r>
        <w:rPr>
          <w:color w:val="231F20"/>
          <w:spacing w:val="-5"/>
          <w:w w:val="115"/>
        </w:rPr>
        <w:t> </w:t>
      </w:r>
      <w:r>
        <w:rPr>
          <w:color w:val="231F20"/>
          <w:w w:val="115"/>
        </w:rPr>
        <w:t>plus</w:t>
      </w:r>
      <w:r>
        <w:rPr>
          <w:color w:val="231F20"/>
          <w:spacing w:val="-5"/>
          <w:w w:val="115"/>
        </w:rPr>
        <w:t> </w:t>
      </w:r>
      <w:r>
        <w:rPr>
          <w:color w:val="231F20"/>
          <w:w w:val="115"/>
        </w:rPr>
        <w:t>en</w:t>
      </w:r>
      <w:r>
        <w:rPr>
          <w:color w:val="231F20"/>
          <w:spacing w:val="-5"/>
          <w:w w:val="115"/>
        </w:rPr>
        <w:t> </w:t>
      </w:r>
      <w:r>
        <w:rPr>
          <w:color w:val="231F20"/>
          <w:w w:val="115"/>
        </w:rPr>
        <w:t>plus,</w:t>
      </w:r>
      <w:r>
        <w:rPr>
          <w:color w:val="231F20"/>
          <w:spacing w:val="-5"/>
          <w:w w:val="115"/>
        </w:rPr>
        <w:t> </w:t>
      </w:r>
      <w:r>
        <w:rPr>
          <w:color w:val="231F20"/>
          <w:w w:val="115"/>
        </w:rPr>
        <w:t>au</w:t>
      </w:r>
      <w:r>
        <w:rPr>
          <w:color w:val="231F20"/>
          <w:spacing w:val="-5"/>
          <w:w w:val="115"/>
        </w:rPr>
        <w:t> </w:t>
      </w:r>
      <w:r>
        <w:rPr>
          <w:color w:val="231F20"/>
          <w:w w:val="115"/>
        </w:rPr>
        <w:t>sein</w:t>
      </w:r>
      <w:r>
        <w:rPr>
          <w:color w:val="231F20"/>
          <w:spacing w:val="-5"/>
          <w:w w:val="115"/>
        </w:rPr>
        <w:t> </w:t>
      </w:r>
      <w:r>
        <w:rPr>
          <w:color w:val="231F20"/>
          <w:w w:val="115"/>
        </w:rPr>
        <w:t>des</w:t>
      </w:r>
      <w:r>
        <w:rPr>
          <w:color w:val="231F20"/>
          <w:spacing w:val="-5"/>
          <w:w w:val="115"/>
        </w:rPr>
        <w:t> </w:t>
      </w:r>
      <w:r>
        <w:rPr>
          <w:color w:val="231F20"/>
          <w:w w:val="115"/>
        </w:rPr>
        <w:t>organisations,</w:t>
      </w:r>
      <w:r>
        <w:rPr>
          <w:color w:val="231F20"/>
          <w:spacing w:val="-5"/>
          <w:w w:val="115"/>
        </w:rPr>
        <w:t> </w:t>
      </w:r>
      <w:r>
        <w:rPr>
          <w:color w:val="231F20"/>
          <w:w w:val="115"/>
        </w:rPr>
        <w:t>que</w:t>
      </w:r>
      <w:r>
        <w:rPr>
          <w:color w:val="231F20"/>
          <w:spacing w:val="-5"/>
          <w:w w:val="115"/>
        </w:rPr>
        <w:t> </w:t>
      </w:r>
      <w:r>
        <w:rPr>
          <w:color w:val="231F20"/>
          <w:w w:val="115"/>
        </w:rPr>
        <w:t>les</w:t>
      </w:r>
      <w:r>
        <w:rPr>
          <w:color w:val="231F20"/>
          <w:spacing w:val="-5"/>
          <w:w w:val="115"/>
        </w:rPr>
        <w:t> </w:t>
      </w:r>
      <w:r>
        <w:rPr>
          <w:color w:val="231F20"/>
          <w:w w:val="115"/>
        </w:rPr>
        <w:t>travailleurs </w:t>
      </w:r>
      <w:r>
        <w:rPr>
          <w:color w:val="231F20"/>
          <w:spacing w:val="-2"/>
          <w:w w:val="120"/>
        </w:rPr>
        <w:t>comme</w:t>
      </w:r>
      <w:r>
        <w:rPr>
          <w:color w:val="231F20"/>
          <w:spacing w:val="-5"/>
          <w:w w:val="120"/>
        </w:rPr>
        <w:t> </w:t>
      </w:r>
      <w:r>
        <w:rPr>
          <w:color w:val="231F20"/>
          <w:spacing w:val="-2"/>
          <w:w w:val="120"/>
        </w:rPr>
        <w:t>les</w:t>
      </w:r>
      <w:r>
        <w:rPr>
          <w:color w:val="231F20"/>
          <w:spacing w:val="-5"/>
          <w:w w:val="120"/>
        </w:rPr>
        <w:t> </w:t>
      </w:r>
      <w:r>
        <w:rPr>
          <w:color w:val="231F20"/>
          <w:spacing w:val="-2"/>
          <w:w w:val="120"/>
        </w:rPr>
        <w:t>gestionnaires</w:t>
      </w:r>
      <w:r>
        <w:rPr>
          <w:color w:val="231F20"/>
          <w:spacing w:val="-5"/>
          <w:w w:val="120"/>
        </w:rPr>
        <w:t> </w:t>
      </w:r>
      <w:r>
        <w:rPr>
          <w:color w:val="231F20"/>
          <w:spacing w:val="-2"/>
          <w:w w:val="120"/>
        </w:rPr>
        <w:t>trouvent</w:t>
      </w:r>
      <w:r>
        <w:rPr>
          <w:color w:val="231F20"/>
          <w:spacing w:val="-5"/>
          <w:w w:val="120"/>
        </w:rPr>
        <w:t> </w:t>
      </w:r>
      <w:r>
        <w:rPr>
          <w:color w:val="231F20"/>
          <w:spacing w:val="-2"/>
          <w:w w:val="120"/>
        </w:rPr>
        <w:t>nécessaire</w:t>
      </w:r>
      <w:r>
        <w:rPr>
          <w:color w:val="231F20"/>
          <w:spacing w:val="-5"/>
          <w:w w:val="120"/>
        </w:rPr>
        <w:t> </w:t>
      </w:r>
      <w:r>
        <w:rPr>
          <w:color w:val="231F20"/>
          <w:spacing w:val="-2"/>
          <w:w w:val="120"/>
        </w:rPr>
        <w:t>d’intervenir</w:t>
      </w:r>
      <w:r>
        <w:rPr>
          <w:color w:val="231F20"/>
          <w:spacing w:val="-5"/>
          <w:w w:val="120"/>
        </w:rPr>
        <w:t> </w:t>
      </w:r>
      <w:r>
        <w:rPr>
          <w:color w:val="231F20"/>
          <w:spacing w:val="-2"/>
          <w:w w:val="120"/>
        </w:rPr>
        <w:t>afin</w:t>
      </w:r>
      <w:r>
        <w:rPr>
          <w:color w:val="231F20"/>
          <w:spacing w:val="-5"/>
          <w:w w:val="120"/>
        </w:rPr>
        <w:t> </w:t>
      </w:r>
      <w:r>
        <w:rPr>
          <w:color w:val="231F20"/>
          <w:spacing w:val="-2"/>
          <w:w w:val="120"/>
        </w:rPr>
        <w:t>de</w:t>
      </w:r>
      <w:r>
        <w:rPr>
          <w:color w:val="231F20"/>
          <w:spacing w:val="-5"/>
          <w:w w:val="120"/>
        </w:rPr>
        <w:t> </w:t>
      </w:r>
      <w:r>
        <w:rPr>
          <w:color w:val="231F20"/>
          <w:spacing w:val="-2"/>
          <w:w w:val="120"/>
        </w:rPr>
        <w:t>contrer </w:t>
      </w:r>
      <w:r>
        <w:rPr>
          <w:color w:val="231F20"/>
          <w:w w:val="120"/>
        </w:rPr>
        <w:t>les problèmes de santé psychologique liés au travail. Néanmoins, les </w:t>
      </w:r>
      <w:r>
        <w:rPr>
          <w:color w:val="231F20"/>
          <w:w w:val="115"/>
        </w:rPr>
        <w:t>efforts</w:t>
      </w:r>
      <w:r>
        <w:rPr>
          <w:color w:val="231F20"/>
          <w:spacing w:val="-5"/>
          <w:w w:val="115"/>
        </w:rPr>
        <w:t> </w:t>
      </w:r>
      <w:r>
        <w:rPr>
          <w:color w:val="231F20"/>
          <w:w w:val="115"/>
        </w:rPr>
        <w:t>sont</w:t>
      </w:r>
      <w:r>
        <w:rPr>
          <w:color w:val="231F20"/>
          <w:spacing w:val="-5"/>
          <w:w w:val="115"/>
        </w:rPr>
        <w:t> </w:t>
      </w:r>
      <w:r>
        <w:rPr>
          <w:color w:val="231F20"/>
          <w:w w:val="115"/>
        </w:rPr>
        <w:t>encore</w:t>
      </w:r>
      <w:r>
        <w:rPr>
          <w:color w:val="231F20"/>
          <w:spacing w:val="-5"/>
          <w:w w:val="115"/>
        </w:rPr>
        <w:t> </w:t>
      </w:r>
      <w:r>
        <w:rPr>
          <w:color w:val="231F20"/>
          <w:w w:val="115"/>
        </w:rPr>
        <w:t>trop</w:t>
      </w:r>
      <w:r>
        <w:rPr>
          <w:color w:val="231F20"/>
          <w:spacing w:val="-5"/>
          <w:w w:val="115"/>
        </w:rPr>
        <w:t> </w:t>
      </w:r>
      <w:r>
        <w:rPr>
          <w:color w:val="231F20"/>
          <w:w w:val="115"/>
        </w:rPr>
        <w:t>souvent</w:t>
      </w:r>
      <w:r>
        <w:rPr>
          <w:color w:val="231F20"/>
          <w:spacing w:val="-5"/>
          <w:w w:val="115"/>
        </w:rPr>
        <w:t> </w:t>
      </w:r>
      <w:r>
        <w:rPr>
          <w:color w:val="231F20"/>
          <w:w w:val="115"/>
        </w:rPr>
        <w:t>dirigés</w:t>
      </w:r>
      <w:r>
        <w:rPr>
          <w:color w:val="231F20"/>
          <w:spacing w:val="-5"/>
          <w:w w:val="115"/>
        </w:rPr>
        <w:t> </w:t>
      </w:r>
      <w:r>
        <w:rPr>
          <w:color w:val="231F20"/>
          <w:w w:val="115"/>
        </w:rPr>
        <w:t>vers</w:t>
      </w:r>
      <w:r>
        <w:rPr>
          <w:color w:val="231F20"/>
          <w:spacing w:val="-5"/>
          <w:w w:val="115"/>
        </w:rPr>
        <w:t> </w:t>
      </w:r>
      <w:r>
        <w:rPr>
          <w:color w:val="231F20"/>
          <w:w w:val="115"/>
        </w:rPr>
        <w:t>des</w:t>
      </w:r>
      <w:r>
        <w:rPr>
          <w:color w:val="231F20"/>
          <w:spacing w:val="-5"/>
          <w:w w:val="115"/>
        </w:rPr>
        <w:t> </w:t>
      </w:r>
      <w:r>
        <w:rPr>
          <w:color w:val="231F20"/>
          <w:w w:val="115"/>
        </w:rPr>
        <w:t>cibles</w:t>
      </w:r>
      <w:r>
        <w:rPr>
          <w:color w:val="231F20"/>
          <w:spacing w:val="-5"/>
          <w:w w:val="115"/>
        </w:rPr>
        <w:t> </w:t>
      </w:r>
      <w:r>
        <w:rPr>
          <w:color w:val="231F20"/>
          <w:w w:val="115"/>
        </w:rPr>
        <w:t>individuelles</w:t>
      </w:r>
      <w:r>
        <w:rPr>
          <w:color w:val="231F20"/>
          <w:spacing w:val="-5"/>
          <w:w w:val="115"/>
        </w:rPr>
        <w:t> </w:t>
      </w:r>
      <w:r>
        <w:rPr>
          <w:color w:val="231F20"/>
          <w:w w:val="115"/>
        </w:rPr>
        <w:t>(stra- </w:t>
      </w:r>
      <w:r>
        <w:rPr>
          <w:color w:val="231F20"/>
          <w:w w:val="120"/>
        </w:rPr>
        <w:t>tégies</w:t>
      </w:r>
      <w:r>
        <w:rPr>
          <w:color w:val="231F20"/>
          <w:spacing w:val="-13"/>
          <w:w w:val="120"/>
        </w:rPr>
        <w:t> </w:t>
      </w:r>
      <w:r>
        <w:rPr>
          <w:color w:val="231F20"/>
          <w:w w:val="120"/>
        </w:rPr>
        <w:t>palliatives</w:t>
      </w:r>
      <w:r>
        <w:rPr>
          <w:color w:val="231F20"/>
          <w:spacing w:val="-13"/>
          <w:w w:val="120"/>
        </w:rPr>
        <w:t> </w:t>
      </w:r>
      <w:r>
        <w:rPr>
          <w:color w:val="231F20"/>
          <w:w w:val="120"/>
        </w:rPr>
        <w:t>et</w:t>
      </w:r>
      <w:r>
        <w:rPr>
          <w:color w:val="231F20"/>
          <w:spacing w:val="-13"/>
          <w:w w:val="120"/>
        </w:rPr>
        <w:t> </w:t>
      </w:r>
      <w:r>
        <w:rPr>
          <w:color w:val="231F20"/>
          <w:w w:val="120"/>
        </w:rPr>
        <w:t>curatives)</w:t>
      </w:r>
      <w:r>
        <w:rPr>
          <w:color w:val="231F20"/>
          <w:spacing w:val="-12"/>
          <w:w w:val="120"/>
        </w:rPr>
        <w:t> </w:t>
      </w:r>
      <w:r>
        <w:rPr>
          <w:color w:val="231F20"/>
          <w:w w:val="120"/>
        </w:rPr>
        <w:t>que</w:t>
      </w:r>
      <w:r>
        <w:rPr>
          <w:color w:val="231F20"/>
          <w:spacing w:val="-13"/>
          <w:w w:val="120"/>
        </w:rPr>
        <w:t> </w:t>
      </w:r>
      <w:r>
        <w:rPr>
          <w:color w:val="231F20"/>
          <w:w w:val="120"/>
        </w:rPr>
        <w:t>vers</w:t>
      </w:r>
      <w:r>
        <w:rPr>
          <w:color w:val="231F20"/>
          <w:spacing w:val="-13"/>
          <w:w w:val="120"/>
        </w:rPr>
        <w:t> </w:t>
      </w:r>
      <w:r>
        <w:rPr>
          <w:color w:val="231F20"/>
          <w:w w:val="120"/>
        </w:rPr>
        <w:t>des</w:t>
      </w:r>
      <w:r>
        <w:rPr>
          <w:color w:val="231F20"/>
          <w:spacing w:val="-13"/>
          <w:w w:val="120"/>
        </w:rPr>
        <w:t> </w:t>
      </w:r>
      <w:r>
        <w:rPr>
          <w:color w:val="231F20"/>
          <w:w w:val="120"/>
        </w:rPr>
        <w:t>cibles</w:t>
      </w:r>
      <w:r>
        <w:rPr>
          <w:color w:val="231F20"/>
          <w:spacing w:val="-12"/>
          <w:w w:val="120"/>
        </w:rPr>
        <w:t> </w:t>
      </w:r>
      <w:r>
        <w:rPr>
          <w:color w:val="231F20"/>
          <w:w w:val="120"/>
        </w:rPr>
        <w:t>organisationnelles</w:t>
      </w:r>
      <w:r>
        <w:rPr>
          <w:color w:val="231F20"/>
          <w:spacing w:val="-13"/>
          <w:w w:val="120"/>
        </w:rPr>
        <w:t> </w:t>
      </w:r>
      <w:r>
        <w:rPr>
          <w:color w:val="231F20"/>
          <w:w w:val="120"/>
        </w:rPr>
        <w:t>qui sont les seules qui mettent en place de réelles actions préventives.</w:t>
      </w:r>
    </w:p>
    <w:p>
      <w:pPr>
        <w:pStyle w:val="BodyText"/>
        <w:spacing w:line="307" w:lineRule="auto" w:before="79"/>
        <w:ind w:left="830" w:right="492" w:firstLine="250"/>
        <w:jc w:val="both"/>
      </w:pPr>
      <w:r>
        <w:rPr>
          <w:color w:val="231F20"/>
          <w:w w:val="120"/>
        </w:rPr>
        <w:t>L’engagement</w:t>
      </w:r>
      <w:r>
        <w:rPr>
          <w:color w:val="231F20"/>
          <w:spacing w:val="-13"/>
          <w:w w:val="120"/>
        </w:rPr>
        <w:t> </w:t>
      </w:r>
      <w:r>
        <w:rPr>
          <w:color w:val="231F20"/>
          <w:w w:val="120"/>
        </w:rPr>
        <w:t>d’une</w:t>
      </w:r>
      <w:r>
        <w:rPr>
          <w:color w:val="231F20"/>
          <w:spacing w:val="-13"/>
          <w:w w:val="120"/>
        </w:rPr>
        <w:t> </w:t>
      </w:r>
      <w:r>
        <w:rPr>
          <w:color w:val="231F20"/>
          <w:w w:val="120"/>
        </w:rPr>
        <w:t>organisation</w:t>
      </w:r>
      <w:r>
        <w:rPr>
          <w:color w:val="231F20"/>
          <w:spacing w:val="-13"/>
          <w:w w:val="120"/>
        </w:rPr>
        <w:t> </w:t>
      </w:r>
      <w:r>
        <w:rPr>
          <w:color w:val="231F20"/>
          <w:w w:val="120"/>
        </w:rPr>
        <w:t>à</w:t>
      </w:r>
      <w:r>
        <w:rPr>
          <w:color w:val="231F20"/>
          <w:spacing w:val="-12"/>
          <w:w w:val="120"/>
        </w:rPr>
        <w:t> </w:t>
      </w:r>
      <w:r>
        <w:rPr>
          <w:color w:val="231F20"/>
          <w:w w:val="120"/>
        </w:rPr>
        <w:t>réduire</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et</w:t>
      </w:r>
      <w:r>
        <w:rPr>
          <w:color w:val="231F20"/>
          <w:spacing w:val="-12"/>
          <w:w w:val="120"/>
        </w:rPr>
        <w:t> </w:t>
      </w:r>
      <w:r>
        <w:rPr>
          <w:color w:val="231F20"/>
          <w:w w:val="120"/>
        </w:rPr>
        <w:t>à</w:t>
      </w:r>
      <w:r>
        <w:rPr>
          <w:color w:val="231F20"/>
          <w:spacing w:val="-13"/>
          <w:w w:val="120"/>
        </w:rPr>
        <w:t> </w:t>
      </w:r>
      <w:r>
        <w:rPr>
          <w:color w:val="231F20"/>
          <w:w w:val="120"/>
        </w:rPr>
        <w:t>améliorer</w:t>
      </w:r>
      <w:r>
        <w:rPr>
          <w:color w:val="231F20"/>
          <w:spacing w:val="-13"/>
          <w:w w:val="120"/>
        </w:rPr>
        <w:t> </w:t>
      </w:r>
      <w:r>
        <w:rPr>
          <w:color w:val="231F20"/>
          <w:w w:val="120"/>
        </w:rPr>
        <w:t>le bien-être</w:t>
      </w:r>
      <w:r>
        <w:rPr>
          <w:color w:val="231F20"/>
          <w:spacing w:val="-3"/>
          <w:w w:val="120"/>
        </w:rPr>
        <w:t> </w:t>
      </w:r>
      <w:r>
        <w:rPr>
          <w:color w:val="231F20"/>
          <w:w w:val="120"/>
        </w:rPr>
        <w:t>des</w:t>
      </w:r>
      <w:r>
        <w:rPr>
          <w:color w:val="231F20"/>
          <w:spacing w:val="-3"/>
          <w:w w:val="120"/>
        </w:rPr>
        <w:t> </w:t>
      </w:r>
      <w:r>
        <w:rPr>
          <w:color w:val="231F20"/>
          <w:w w:val="120"/>
        </w:rPr>
        <w:t>travailleurs</w:t>
      </w:r>
      <w:r>
        <w:rPr>
          <w:color w:val="231F20"/>
          <w:spacing w:val="-3"/>
          <w:w w:val="120"/>
        </w:rPr>
        <w:t> </w:t>
      </w:r>
      <w:r>
        <w:rPr>
          <w:color w:val="231F20"/>
          <w:w w:val="120"/>
        </w:rPr>
        <w:t>commence</w:t>
      </w:r>
      <w:r>
        <w:rPr>
          <w:color w:val="231F20"/>
          <w:spacing w:val="-3"/>
          <w:w w:val="120"/>
        </w:rPr>
        <w:t> </w:t>
      </w:r>
      <w:r>
        <w:rPr>
          <w:color w:val="231F20"/>
          <w:w w:val="120"/>
        </w:rPr>
        <w:t>par</w:t>
      </w:r>
      <w:r>
        <w:rPr>
          <w:color w:val="231F20"/>
          <w:spacing w:val="-3"/>
          <w:w w:val="120"/>
        </w:rPr>
        <w:t> </w:t>
      </w:r>
      <w:r>
        <w:rPr>
          <w:color w:val="231F20"/>
          <w:w w:val="120"/>
        </w:rPr>
        <w:t>la</w:t>
      </w:r>
      <w:r>
        <w:rPr>
          <w:color w:val="231F20"/>
          <w:spacing w:val="-3"/>
          <w:w w:val="120"/>
        </w:rPr>
        <w:t> </w:t>
      </w:r>
      <w:r>
        <w:rPr>
          <w:color w:val="231F20"/>
          <w:w w:val="120"/>
        </w:rPr>
        <w:t>planification</w:t>
      </w:r>
      <w:r>
        <w:rPr>
          <w:color w:val="231F20"/>
          <w:spacing w:val="-3"/>
          <w:w w:val="120"/>
        </w:rPr>
        <w:t> </w:t>
      </w:r>
      <w:r>
        <w:rPr>
          <w:color w:val="231F20"/>
          <w:w w:val="120"/>
        </w:rPr>
        <w:t>d’une</w:t>
      </w:r>
      <w:r>
        <w:rPr>
          <w:color w:val="231F20"/>
          <w:spacing w:val="-3"/>
          <w:w w:val="120"/>
        </w:rPr>
        <w:t> </w:t>
      </w:r>
      <w:r>
        <w:rPr>
          <w:color w:val="231F20"/>
          <w:w w:val="120"/>
        </w:rPr>
        <w:t>série</w:t>
      </w:r>
      <w:r>
        <w:rPr>
          <w:color w:val="231F20"/>
          <w:spacing w:val="-3"/>
          <w:w w:val="120"/>
        </w:rPr>
        <w:t> </w:t>
      </w:r>
      <w:r>
        <w:rPr>
          <w:color w:val="231F20"/>
          <w:w w:val="120"/>
        </w:rPr>
        <w:t>de </w:t>
      </w:r>
      <w:r>
        <w:rPr>
          <w:color w:val="231F20"/>
          <w:spacing w:val="-2"/>
          <w:w w:val="120"/>
        </w:rPr>
        <w:t>changements</w:t>
      </w:r>
      <w:r>
        <w:rPr>
          <w:color w:val="231F20"/>
          <w:spacing w:val="-11"/>
          <w:w w:val="120"/>
        </w:rPr>
        <w:t> </w:t>
      </w:r>
      <w:r>
        <w:rPr>
          <w:color w:val="231F20"/>
          <w:spacing w:val="-2"/>
          <w:w w:val="120"/>
        </w:rPr>
        <w:t>organisationnels</w:t>
      </w:r>
      <w:r>
        <w:rPr>
          <w:color w:val="231F20"/>
          <w:spacing w:val="-11"/>
          <w:w w:val="120"/>
        </w:rPr>
        <w:t> </w:t>
      </w:r>
      <w:r>
        <w:rPr>
          <w:color w:val="231F20"/>
          <w:spacing w:val="-2"/>
          <w:w w:val="120"/>
        </w:rPr>
        <w:t>en</w:t>
      </w:r>
      <w:r>
        <w:rPr>
          <w:color w:val="231F20"/>
          <w:spacing w:val="-11"/>
          <w:w w:val="120"/>
        </w:rPr>
        <w:t> </w:t>
      </w:r>
      <w:r>
        <w:rPr>
          <w:color w:val="231F20"/>
          <w:spacing w:val="-2"/>
          <w:w w:val="120"/>
        </w:rPr>
        <w:t>deux</w:t>
      </w:r>
      <w:r>
        <w:rPr>
          <w:color w:val="231F20"/>
          <w:spacing w:val="-10"/>
          <w:w w:val="120"/>
        </w:rPr>
        <w:t> </w:t>
      </w:r>
      <w:r>
        <w:rPr>
          <w:color w:val="231F20"/>
          <w:spacing w:val="-2"/>
          <w:w w:val="120"/>
        </w:rPr>
        <w:t>volets:</w:t>
      </w:r>
      <w:r>
        <w:rPr>
          <w:color w:val="231F20"/>
          <w:spacing w:val="-11"/>
          <w:w w:val="120"/>
        </w:rPr>
        <w:t> </w:t>
      </w:r>
      <w:r>
        <w:rPr>
          <w:color w:val="231F20"/>
          <w:spacing w:val="-2"/>
          <w:w w:val="120"/>
        </w:rPr>
        <w:t>le</w:t>
      </w:r>
      <w:r>
        <w:rPr>
          <w:color w:val="231F20"/>
          <w:spacing w:val="-11"/>
          <w:w w:val="120"/>
        </w:rPr>
        <w:t> </w:t>
      </w:r>
      <w:r>
        <w:rPr>
          <w:color w:val="231F20"/>
          <w:spacing w:val="-2"/>
          <w:w w:val="120"/>
        </w:rPr>
        <w:t>contenu</w:t>
      </w:r>
      <w:r>
        <w:rPr>
          <w:color w:val="231F20"/>
          <w:spacing w:val="-11"/>
          <w:w w:val="120"/>
        </w:rPr>
        <w:t> </w:t>
      </w:r>
      <w:r>
        <w:rPr>
          <w:color w:val="231F20"/>
          <w:spacing w:val="-2"/>
          <w:w w:val="120"/>
        </w:rPr>
        <w:t>du</w:t>
      </w:r>
      <w:r>
        <w:rPr>
          <w:color w:val="231F20"/>
          <w:spacing w:val="-10"/>
          <w:w w:val="120"/>
        </w:rPr>
        <w:t> </w:t>
      </w:r>
      <w:r>
        <w:rPr>
          <w:color w:val="231F20"/>
          <w:spacing w:val="-2"/>
          <w:w w:val="120"/>
        </w:rPr>
        <w:t>changement </w:t>
      </w:r>
      <w:r>
        <w:rPr>
          <w:color w:val="231F20"/>
          <w:w w:val="120"/>
        </w:rPr>
        <w:t>et</w:t>
      </w:r>
      <w:r>
        <w:rPr>
          <w:color w:val="231F20"/>
          <w:spacing w:val="-6"/>
          <w:w w:val="120"/>
        </w:rPr>
        <w:t> </w:t>
      </w:r>
      <w:r>
        <w:rPr>
          <w:color w:val="231F20"/>
          <w:w w:val="120"/>
        </w:rPr>
        <w:t>le</w:t>
      </w:r>
      <w:r>
        <w:rPr>
          <w:color w:val="231F20"/>
          <w:spacing w:val="-6"/>
          <w:w w:val="120"/>
        </w:rPr>
        <w:t> </w:t>
      </w:r>
      <w:r>
        <w:rPr>
          <w:color w:val="231F20"/>
          <w:w w:val="120"/>
        </w:rPr>
        <w:t>processus</w:t>
      </w:r>
      <w:r>
        <w:rPr>
          <w:color w:val="231F20"/>
          <w:spacing w:val="-6"/>
          <w:w w:val="120"/>
        </w:rPr>
        <w:t> </w:t>
      </w:r>
      <w:r>
        <w:rPr>
          <w:color w:val="231F20"/>
          <w:w w:val="120"/>
        </w:rPr>
        <w:t>de</w:t>
      </w:r>
      <w:r>
        <w:rPr>
          <w:color w:val="231F20"/>
          <w:spacing w:val="-6"/>
          <w:w w:val="120"/>
        </w:rPr>
        <w:t> </w:t>
      </w:r>
      <w:r>
        <w:rPr>
          <w:color w:val="231F20"/>
          <w:w w:val="120"/>
        </w:rPr>
        <w:t>changement.</w:t>
      </w:r>
      <w:r>
        <w:rPr>
          <w:color w:val="231F20"/>
          <w:spacing w:val="-6"/>
          <w:w w:val="120"/>
        </w:rPr>
        <w:t> </w:t>
      </w:r>
      <w:r>
        <w:rPr>
          <w:color w:val="231F20"/>
          <w:w w:val="120"/>
        </w:rPr>
        <w:t>En</w:t>
      </w:r>
      <w:r>
        <w:rPr>
          <w:color w:val="231F20"/>
          <w:spacing w:val="-6"/>
          <w:w w:val="120"/>
        </w:rPr>
        <w:t> </w:t>
      </w:r>
      <w:r>
        <w:rPr>
          <w:color w:val="231F20"/>
          <w:w w:val="120"/>
        </w:rPr>
        <w:t>termes</w:t>
      </w:r>
      <w:r>
        <w:rPr>
          <w:color w:val="231F20"/>
          <w:spacing w:val="-6"/>
          <w:w w:val="120"/>
        </w:rPr>
        <w:t> </w:t>
      </w:r>
      <w:r>
        <w:rPr>
          <w:color w:val="231F20"/>
          <w:w w:val="120"/>
        </w:rPr>
        <w:t>clairs,</w:t>
      </w:r>
      <w:r>
        <w:rPr>
          <w:color w:val="231F20"/>
          <w:spacing w:val="-6"/>
          <w:w w:val="120"/>
        </w:rPr>
        <w:t> </w:t>
      </w:r>
      <w:r>
        <w:rPr>
          <w:color w:val="231F20"/>
          <w:w w:val="120"/>
        </w:rPr>
        <w:t>le</w:t>
      </w:r>
      <w:r>
        <w:rPr>
          <w:color w:val="231F20"/>
          <w:spacing w:val="-6"/>
          <w:w w:val="120"/>
        </w:rPr>
        <w:t> </w:t>
      </w:r>
      <w:r>
        <w:rPr>
          <w:color w:val="231F20"/>
          <w:w w:val="120"/>
        </w:rPr>
        <w:t>contenu</w:t>
      </w:r>
      <w:r>
        <w:rPr>
          <w:color w:val="231F20"/>
          <w:spacing w:val="-6"/>
          <w:w w:val="120"/>
        </w:rPr>
        <w:t> </w:t>
      </w:r>
      <w:r>
        <w:rPr>
          <w:color w:val="231F20"/>
          <w:w w:val="120"/>
        </w:rPr>
        <w:t>du</w:t>
      </w:r>
      <w:r>
        <w:rPr>
          <w:color w:val="231F20"/>
          <w:spacing w:val="-6"/>
          <w:w w:val="120"/>
        </w:rPr>
        <w:t> </w:t>
      </w:r>
      <w:r>
        <w:rPr>
          <w:color w:val="231F20"/>
          <w:w w:val="120"/>
        </w:rPr>
        <w:t>change- ment, c’est ce qu’on veut faire</w:t>
      </w:r>
      <w:r>
        <w:rPr>
          <w:color w:val="231F20"/>
          <w:spacing w:val="-30"/>
          <w:w w:val="120"/>
        </w:rPr>
        <w:t> </w:t>
      </w:r>
      <w:r>
        <w:rPr>
          <w:color w:val="231F20"/>
          <w:w w:val="120"/>
        </w:rPr>
        <w:t>; le processus, c’est la façon de le faire.</w:t>
      </w:r>
    </w:p>
    <w:p>
      <w:pPr>
        <w:spacing w:after="0" w:line="307" w:lineRule="auto"/>
        <w:jc w:val="both"/>
        <w:sectPr>
          <w:footerReference w:type="default" r:id="rId338"/>
          <w:pgSz w:w="8640" w:h="12960"/>
          <w:pgMar w:footer="424" w:header="0" w:top="520" w:bottom="620" w:left="420" w:right="1140"/>
        </w:sectPr>
      </w:pPr>
    </w:p>
    <w:p>
      <w:pPr>
        <w:spacing w:before="118"/>
        <w:ind w:left="1847" w:right="0" w:firstLine="0"/>
        <w:jc w:val="left"/>
        <w:rPr>
          <w:rFonts w:ascii="Arial" w:hAnsi="Arial"/>
          <w:sz w:val="14"/>
        </w:rPr>
      </w:pPr>
      <w:r>
        <w:rPr>
          <w:rFonts w:ascii="Arial" w:hAnsi="Arial"/>
          <w:color w:val="231F20"/>
          <w:sz w:val="14"/>
        </w:rPr>
        <w:t>Chapitre</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i/>
          <w:color w:val="231F20"/>
          <w:sz w:val="14"/>
        </w:rPr>
        <w:t>/</w:t>
      </w:r>
      <w:r>
        <w:rPr>
          <w:rFonts w:ascii="Arial" w:hAnsi="Arial"/>
          <w:i/>
          <w:color w:val="231F20"/>
          <w:spacing w:val="-3"/>
          <w:sz w:val="14"/>
        </w:rPr>
        <w:t> </w:t>
      </w:r>
      <w:r>
        <w:rPr>
          <w:rFonts w:ascii="Arial" w:hAnsi="Arial"/>
          <w:color w:val="231F20"/>
          <w:sz w:val="14"/>
        </w:rPr>
        <w:t>Stratégies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gestion</w:t>
      </w:r>
      <w:r>
        <w:rPr>
          <w:rFonts w:ascii="Arial" w:hAnsi="Arial"/>
          <w:color w:val="231F20"/>
          <w:spacing w:val="-3"/>
          <w:sz w:val="14"/>
        </w:rPr>
        <w:t> </w:t>
      </w:r>
      <w:r>
        <w:rPr>
          <w:rFonts w:ascii="Arial" w:hAnsi="Arial"/>
          <w:color w:val="231F20"/>
          <w:sz w:val="14"/>
        </w:rPr>
        <w:t>du</w:t>
      </w:r>
      <w:r>
        <w:rPr>
          <w:rFonts w:ascii="Arial" w:hAnsi="Arial"/>
          <w:color w:val="231F20"/>
          <w:spacing w:val="-3"/>
          <w:sz w:val="14"/>
        </w:rPr>
        <w:t> </w:t>
      </w:r>
      <w:r>
        <w:rPr>
          <w:rFonts w:ascii="Arial" w:hAnsi="Arial"/>
          <w:color w:val="231F20"/>
          <w:sz w:val="14"/>
        </w:rPr>
        <w:t>stress</w:t>
      </w:r>
      <w:r>
        <w:rPr>
          <w:rFonts w:ascii="Arial" w:hAnsi="Arial"/>
          <w:color w:val="231F20"/>
          <w:spacing w:val="-25"/>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l’individu</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pacing w:val="-2"/>
          <w:sz w:val="14"/>
        </w:rPr>
        <w:t>l’organisation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color w:val="231F20"/>
          <w:w w:val="115"/>
        </w:rPr>
        <w:t>Ainsi, pour réduire le stress chez les employés, il est essentiel de réaliser </w:t>
      </w:r>
      <w:r>
        <w:rPr>
          <w:color w:val="231F20"/>
          <w:spacing w:val="-4"/>
          <w:w w:val="120"/>
        </w:rPr>
        <w:t>un diagnostic organisationnel, d’analyser soigneusement les informations </w:t>
      </w:r>
      <w:r>
        <w:rPr>
          <w:color w:val="231F20"/>
          <w:w w:val="120"/>
        </w:rPr>
        <w:t>issues</w:t>
      </w:r>
      <w:r>
        <w:rPr>
          <w:color w:val="231F20"/>
          <w:spacing w:val="-7"/>
          <w:w w:val="120"/>
        </w:rPr>
        <w:t> </w:t>
      </w:r>
      <w:r>
        <w:rPr>
          <w:color w:val="231F20"/>
          <w:w w:val="120"/>
        </w:rPr>
        <w:t>de</w:t>
      </w:r>
      <w:r>
        <w:rPr>
          <w:color w:val="231F20"/>
          <w:spacing w:val="-7"/>
          <w:w w:val="120"/>
        </w:rPr>
        <w:t> </w:t>
      </w:r>
      <w:r>
        <w:rPr>
          <w:color w:val="231F20"/>
          <w:w w:val="120"/>
        </w:rPr>
        <w:t>ce</w:t>
      </w:r>
      <w:r>
        <w:rPr>
          <w:color w:val="231F20"/>
          <w:spacing w:val="-7"/>
          <w:w w:val="120"/>
        </w:rPr>
        <w:t> </w:t>
      </w:r>
      <w:r>
        <w:rPr>
          <w:color w:val="231F20"/>
          <w:w w:val="120"/>
        </w:rPr>
        <w:t>diagnostic,</w:t>
      </w:r>
      <w:r>
        <w:rPr>
          <w:color w:val="231F20"/>
          <w:spacing w:val="-7"/>
          <w:w w:val="120"/>
        </w:rPr>
        <w:t> </w:t>
      </w:r>
      <w:r>
        <w:rPr>
          <w:color w:val="231F20"/>
          <w:w w:val="120"/>
        </w:rPr>
        <w:t>de</w:t>
      </w:r>
      <w:r>
        <w:rPr>
          <w:color w:val="231F20"/>
          <w:spacing w:val="-7"/>
          <w:w w:val="120"/>
        </w:rPr>
        <w:t> </w:t>
      </w:r>
      <w:r>
        <w:rPr>
          <w:color w:val="231F20"/>
          <w:w w:val="120"/>
        </w:rPr>
        <w:t>planifier</w:t>
      </w:r>
      <w:r>
        <w:rPr>
          <w:color w:val="231F20"/>
          <w:spacing w:val="-7"/>
          <w:w w:val="120"/>
        </w:rPr>
        <w:t> </w:t>
      </w:r>
      <w:r>
        <w:rPr>
          <w:color w:val="231F20"/>
          <w:w w:val="120"/>
        </w:rPr>
        <w:t>et</w:t>
      </w:r>
      <w:r>
        <w:rPr>
          <w:color w:val="231F20"/>
          <w:spacing w:val="-7"/>
          <w:w w:val="120"/>
        </w:rPr>
        <w:t> </w:t>
      </w:r>
      <w:r>
        <w:rPr>
          <w:color w:val="231F20"/>
          <w:w w:val="120"/>
        </w:rPr>
        <w:t>de</w:t>
      </w:r>
      <w:r>
        <w:rPr>
          <w:color w:val="231F20"/>
          <w:spacing w:val="-7"/>
          <w:w w:val="120"/>
        </w:rPr>
        <w:t> </w:t>
      </w:r>
      <w:r>
        <w:rPr>
          <w:color w:val="231F20"/>
          <w:w w:val="120"/>
        </w:rPr>
        <w:t>réaliser</w:t>
      </w:r>
      <w:r>
        <w:rPr>
          <w:color w:val="231F20"/>
          <w:spacing w:val="-7"/>
          <w:w w:val="120"/>
        </w:rPr>
        <w:t> </w:t>
      </w:r>
      <w:r>
        <w:rPr>
          <w:color w:val="231F20"/>
          <w:w w:val="120"/>
        </w:rPr>
        <w:t>des</w:t>
      </w:r>
      <w:r>
        <w:rPr>
          <w:color w:val="231F20"/>
          <w:spacing w:val="-7"/>
          <w:w w:val="120"/>
        </w:rPr>
        <w:t> </w:t>
      </w:r>
      <w:r>
        <w:rPr>
          <w:color w:val="231F20"/>
          <w:w w:val="120"/>
        </w:rPr>
        <w:t>changements</w:t>
      </w:r>
      <w:r>
        <w:rPr>
          <w:color w:val="231F20"/>
          <w:spacing w:val="-7"/>
          <w:w w:val="120"/>
        </w:rPr>
        <w:t> </w:t>
      </w:r>
      <w:r>
        <w:rPr>
          <w:color w:val="231F20"/>
          <w:w w:val="120"/>
        </w:rPr>
        <w:t>afin de</w:t>
      </w:r>
      <w:r>
        <w:rPr>
          <w:color w:val="231F20"/>
          <w:spacing w:val="-12"/>
          <w:w w:val="120"/>
        </w:rPr>
        <w:t> </w:t>
      </w:r>
      <w:r>
        <w:rPr>
          <w:color w:val="231F20"/>
          <w:w w:val="120"/>
        </w:rPr>
        <w:t>modifier</w:t>
      </w:r>
      <w:r>
        <w:rPr>
          <w:color w:val="231F20"/>
          <w:spacing w:val="-12"/>
          <w:w w:val="120"/>
        </w:rPr>
        <w:t> </w:t>
      </w:r>
      <w:r>
        <w:rPr>
          <w:color w:val="231F20"/>
          <w:w w:val="120"/>
        </w:rPr>
        <w:t>l’environnement</w:t>
      </w:r>
      <w:r>
        <w:rPr>
          <w:color w:val="231F20"/>
          <w:spacing w:val="-12"/>
          <w:w w:val="120"/>
        </w:rPr>
        <w:t> </w:t>
      </w:r>
      <w:r>
        <w:rPr>
          <w:color w:val="231F20"/>
          <w:w w:val="120"/>
        </w:rPr>
        <w:t>de</w:t>
      </w:r>
      <w:r>
        <w:rPr>
          <w:color w:val="231F20"/>
          <w:spacing w:val="-12"/>
          <w:w w:val="120"/>
        </w:rPr>
        <w:t> </w:t>
      </w:r>
      <w:r>
        <w:rPr>
          <w:color w:val="231F20"/>
          <w:w w:val="120"/>
        </w:rPr>
        <w:t>travail.</w:t>
      </w:r>
      <w:r>
        <w:rPr>
          <w:color w:val="231F20"/>
          <w:spacing w:val="-12"/>
          <w:w w:val="120"/>
        </w:rPr>
        <w:t> </w:t>
      </w:r>
      <w:r>
        <w:rPr>
          <w:color w:val="231F20"/>
          <w:w w:val="120"/>
        </w:rPr>
        <w:t>Bien</w:t>
      </w:r>
      <w:r>
        <w:rPr>
          <w:color w:val="231F20"/>
          <w:spacing w:val="-12"/>
          <w:w w:val="120"/>
        </w:rPr>
        <w:t> </w:t>
      </w:r>
      <w:r>
        <w:rPr>
          <w:color w:val="231F20"/>
          <w:w w:val="120"/>
        </w:rPr>
        <w:t>entendu,</w:t>
      </w:r>
      <w:r>
        <w:rPr>
          <w:color w:val="231F20"/>
          <w:spacing w:val="-12"/>
          <w:w w:val="120"/>
        </w:rPr>
        <w:t> </w:t>
      </w:r>
      <w:r>
        <w:rPr>
          <w:color w:val="231F20"/>
          <w:w w:val="120"/>
        </w:rPr>
        <w:t>il</w:t>
      </w:r>
      <w:r>
        <w:rPr>
          <w:color w:val="231F20"/>
          <w:spacing w:val="-12"/>
          <w:w w:val="120"/>
        </w:rPr>
        <w:t> </w:t>
      </w:r>
      <w:r>
        <w:rPr>
          <w:color w:val="231F20"/>
          <w:w w:val="120"/>
        </w:rPr>
        <w:t>faudra</w:t>
      </w:r>
      <w:r>
        <w:rPr>
          <w:color w:val="231F20"/>
          <w:spacing w:val="-12"/>
          <w:w w:val="120"/>
        </w:rPr>
        <w:t> </w:t>
      </w:r>
      <w:r>
        <w:rPr>
          <w:color w:val="231F20"/>
          <w:w w:val="120"/>
        </w:rPr>
        <w:t>traduire les objectifs généraux par des programmes intégrés concrets, et éviter que</w:t>
      </w:r>
      <w:r>
        <w:rPr>
          <w:color w:val="231F20"/>
          <w:spacing w:val="-8"/>
          <w:w w:val="120"/>
        </w:rPr>
        <w:t> </w:t>
      </w:r>
      <w:r>
        <w:rPr>
          <w:color w:val="231F20"/>
          <w:w w:val="120"/>
        </w:rPr>
        <w:t>les</w:t>
      </w:r>
      <w:r>
        <w:rPr>
          <w:color w:val="231F20"/>
          <w:spacing w:val="-8"/>
          <w:w w:val="120"/>
        </w:rPr>
        <w:t> </w:t>
      </w:r>
      <w:r>
        <w:rPr>
          <w:color w:val="231F20"/>
          <w:w w:val="120"/>
        </w:rPr>
        <w:t>arbres</w:t>
      </w:r>
      <w:r>
        <w:rPr>
          <w:color w:val="231F20"/>
          <w:spacing w:val="-8"/>
          <w:w w:val="120"/>
        </w:rPr>
        <w:t> </w:t>
      </w:r>
      <w:r>
        <w:rPr>
          <w:color w:val="231F20"/>
          <w:w w:val="120"/>
        </w:rPr>
        <w:t>nous</w:t>
      </w:r>
      <w:r>
        <w:rPr>
          <w:color w:val="231F20"/>
          <w:spacing w:val="-8"/>
          <w:w w:val="120"/>
        </w:rPr>
        <w:t> </w:t>
      </w:r>
      <w:r>
        <w:rPr>
          <w:color w:val="231F20"/>
          <w:w w:val="120"/>
        </w:rPr>
        <w:t>empêchent</w:t>
      </w:r>
      <w:r>
        <w:rPr>
          <w:color w:val="231F20"/>
          <w:spacing w:val="-8"/>
          <w:w w:val="120"/>
        </w:rPr>
        <w:t> </w:t>
      </w:r>
      <w:r>
        <w:rPr>
          <w:color w:val="231F20"/>
          <w:w w:val="120"/>
        </w:rPr>
        <w:t>de</w:t>
      </w:r>
      <w:r>
        <w:rPr>
          <w:color w:val="231F20"/>
          <w:spacing w:val="-8"/>
          <w:w w:val="120"/>
        </w:rPr>
        <w:t> </w:t>
      </w:r>
      <w:r>
        <w:rPr>
          <w:color w:val="231F20"/>
          <w:w w:val="120"/>
        </w:rPr>
        <w:t>voir</w:t>
      </w:r>
      <w:r>
        <w:rPr>
          <w:color w:val="231F20"/>
          <w:spacing w:val="-8"/>
          <w:w w:val="120"/>
        </w:rPr>
        <w:t> </w:t>
      </w:r>
      <w:r>
        <w:rPr>
          <w:color w:val="231F20"/>
          <w:w w:val="120"/>
        </w:rPr>
        <w:t>la</w:t>
      </w:r>
      <w:r>
        <w:rPr>
          <w:color w:val="231F20"/>
          <w:spacing w:val="-8"/>
          <w:w w:val="120"/>
        </w:rPr>
        <w:t> </w:t>
      </w:r>
      <w:r>
        <w:rPr>
          <w:color w:val="231F20"/>
          <w:w w:val="120"/>
        </w:rPr>
        <w:t>forêt.</w:t>
      </w:r>
      <w:r>
        <w:rPr>
          <w:color w:val="231F20"/>
          <w:spacing w:val="-8"/>
          <w:w w:val="120"/>
        </w:rPr>
        <w:t> </w:t>
      </w:r>
      <w:r>
        <w:rPr>
          <w:color w:val="231F20"/>
          <w:w w:val="120"/>
        </w:rPr>
        <w:t>En</w:t>
      </w:r>
      <w:r>
        <w:rPr>
          <w:color w:val="231F20"/>
          <w:spacing w:val="-8"/>
          <w:w w:val="120"/>
        </w:rPr>
        <w:t> </w:t>
      </w:r>
      <w:r>
        <w:rPr>
          <w:color w:val="231F20"/>
          <w:w w:val="120"/>
        </w:rPr>
        <w:t>général,</w:t>
      </w:r>
      <w:r>
        <w:rPr>
          <w:color w:val="231F20"/>
          <w:spacing w:val="-8"/>
          <w:w w:val="120"/>
        </w:rPr>
        <w:t> </w:t>
      </w:r>
      <w:r>
        <w:rPr>
          <w:color w:val="231F20"/>
          <w:w w:val="120"/>
        </w:rPr>
        <w:t>la</w:t>
      </w:r>
      <w:r>
        <w:rPr>
          <w:color w:val="231F20"/>
          <w:spacing w:val="-8"/>
          <w:w w:val="120"/>
        </w:rPr>
        <w:t> </w:t>
      </w:r>
      <w:r>
        <w:rPr>
          <w:color w:val="231F20"/>
          <w:w w:val="120"/>
        </w:rPr>
        <w:t>réduction des agents stressants au travail passe par un milieu de travail où les </w:t>
      </w:r>
      <w:r>
        <w:rPr>
          <w:color w:val="231F20"/>
          <w:spacing w:val="-2"/>
          <w:w w:val="120"/>
        </w:rPr>
        <w:t>employés</w:t>
      </w:r>
      <w:r>
        <w:rPr>
          <w:color w:val="231F20"/>
          <w:spacing w:val="-7"/>
          <w:w w:val="120"/>
        </w:rPr>
        <w:t> </w:t>
      </w:r>
      <w:r>
        <w:rPr>
          <w:color w:val="231F20"/>
          <w:spacing w:val="-2"/>
          <w:w w:val="120"/>
        </w:rPr>
        <w:t>ont</w:t>
      </w:r>
      <w:r>
        <w:rPr>
          <w:color w:val="231F20"/>
          <w:spacing w:val="-7"/>
          <w:w w:val="120"/>
        </w:rPr>
        <w:t> </w:t>
      </w:r>
      <w:r>
        <w:rPr>
          <w:color w:val="231F20"/>
          <w:spacing w:val="-2"/>
          <w:w w:val="120"/>
        </w:rPr>
        <w:t>un</w:t>
      </w:r>
      <w:r>
        <w:rPr>
          <w:color w:val="231F20"/>
          <w:spacing w:val="-7"/>
          <w:w w:val="120"/>
        </w:rPr>
        <w:t> </w:t>
      </w:r>
      <w:r>
        <w:rPr>
          <w:color w:val="231F20"/>
          <w:spacing w:val="-2"/>
          <w:w w:val="120"/>
        </w:rPr>
        <w:t>sentiment</w:t>
      </w:r>
      <w:r>
        <w:rPr>
          <w:color w:val="231F20"/>
          <w:spacing w:val="-7"/>
          <w:w w:val="120"/>
        </w:rPr>
        <w:t> </w:t>
      </w:r>
      <w:r>
        <w:rPr>
          <w:color w:val="231F20"/>
          <w:spacing w:val="-2"/>
          <w:w w:val="120"/>
        </w:rPr>
        <w:t>de</w:t>
      </w:r>
      <w:r>
        <w:rPr>
          <w:color w:val="231F20"/>
          <w:spacing w:val="-7"/>
          <w:w w:val="120"/>
        </w:rPr>
        <w:t> </w:t>
      </w:r>
      <w:r>
        <w:rPr>
          <w:color w:val="231F20"/>
          <w:spacing w:val="-2"/>
          <w:w w:val="120"/>
        </w:rPr>
        <w:t>contrôle,</w:t>
      </w:r>
      <w:r>
        <w:rPr>
          <w:color w:val="231F20"/>
          <w:spacing w:val="-7"/>
          <w:w w:val="120"/>
        </w:rPr>
        <w:t> </w:t>
      </w:r>
      <w:r>
        <w:rPr>
          <w:color w:val="231F20"/>
          <w:spacing w:val="-2"/>
          <w:w w:val="120"/>
        </w:rPr>
        <w:t>d’interdépendance,</w:t>
      </w:r>
      <w:r>
        <w:rPr>
          <w:color w:val="231F20"/>
          <w:spacing w:val="-7"/>
          <w:w w:val="120"/>
        </w:rPr>
        <w:t> </w:t>
      </w:r>
      <w:r>
        <w:rPr>
          <w:color w:val="231F20"/>
          <w:spacing w:val="-2"/>
          <w:w w:val="120"/>
        </w:rPr>
        <w:t>où</w:t>
      </w:r>
      <w:r>
        <w:rPr>
          <w:color w:val="231F20"/>
          <w:spacing w:val="-7"/>
          <w:w w:val="120"/>
        </w:rPr>
        <w:t> </w:t>
      </w:r>
      <w:r>
        <w:rPr>
          <w:color w:val="231F20"/>
          <w:spacing w:val="-2"/>
          <w:w w:val="120"/>
        </w:rPr>
        <w:t>le</w:t>
      </w:r>
      <w:r>
        <w:rPr>
          <w:color w:val="231F20"/>
          <w:spacing w:val="-7"/>
          <w:w w:val="120"/>
        </w:rPr>
        <w:t> </w:t>
      </w:r>
      <w:r>
        <w:rPr>
          <w:color w:val="231F20"/>
          <w:spacing w:val="-2"/>
          <w:w w:val="120"/>
        </w:rPr>
        <w:t>rythme </w:t>
      </w:r>
      <w:r>
        <w:rPr>
          <w:color w:val="231F20"/>
          <w:w w:val="120"/>
        </w:rPr>
        <w:t>du</w:t>
      </w:r>
      <w:r>
        <w:rPr>
          <w:color w:val="231F20"/>
          <w:spacing w:val="-8"/>
          <w:w w:val="120"/>
        </w:rPr>
        <w:t> </w:t>
      </w:r>
      <w:r>
        <w:rPr>
          <w:color w:val="231F20"/>
          <w:w w:val="120"/>
        </w:rPr>
        <w:t>travail</w:t>
      </w:r>
      <w:r>
        <w:rPr>
          <w:color w:val="231F20"/>
          <w:spacing w:val="-8"/>
          <w:w w:val="120"/>
        </w:rPr>
        <w:t> </w:t>
      </w:r>
      <w:r>
        <w:rPr>
          <w:color w:val="231F20"/>
          <w:w w:val="120"/>
        </w:rPr>
        <w:t>est</w:t>
      </w:r>
      <w:r>
        <w:rPr>
          <w:color w:val="231F20"/>
          <w:spacing w:val="-8"/>
          <w:w w:val="120"/>
        </w:rPr>
        <w:t> </w:t>
      </w:r>
      <w:r>
        <w:rPr>
          <w:color w:val="231F20"/>
          <w:w w:val="120"/>
        </w:rPr>
        <w:t>raisonnable,</w:t>
      </w:r>
      <w:r>
        <w:rPr>
          <w:color w:val="231F20"/>
          <w:spacing w:val="-8"/>
          <w:w w:val="120"/>
        </w:rPr>
        <w:t> </w:t>
      </w:r>
      <w:r>
        <w:rPr>
          <w:color w:val="231F20"/>
          <w:w w:val="120"/>
        </w:rPr>
        <w:t>où</w:t>
      </w:r>
      <w:r>
        <w:rPr>
          <w:color w:val="231F20"/>
          <w:spacing w:val="-8"/>
          <w:w w:val="120"/>
        </w:rPr>
        <w:t> </w:t>
      </w:r>
      <w:r>
        <w:rPr>
          <w:color w:val="231F20"/>
          <w:w w:val="120"/>
        </w:rPr>
        <w:t>le</w:t>
      </w:r>
      <w:r>
        <w:rPr>
          <w:color w:val="231F20"/>
          <w:spacing w:val="-8"/>
          <w:w w:val="120"/>
        </w:rPr>
        <w:t> </w:t>
      </w:r>
      <w:r>
        <w:rPr>
          <w:color w:val="231F20"/>
          <w:w w:val="120"/>
        </w:rPr>
        <w:t>personnel</w:t>
      </w:r>
      <w:r>
        <w:rPr>
          <w:color w:val="231F20"/>
          <w:spacing w:val="-8"/>
          <w:w w:val="120"/>
        </w:rPr>
        <w:t> </w:t>
      </w:r>
      <w:r>
        <w:rPr>
          <w:color w:val="231F20"/>
          <w:w w:val="120"/>
        </w:rPr>
        <w:t>relève</w:t>
      </w:r>
      <w:r>
        <w:rPr>
          <w:color w:val="231F20"/>
          <w:spacing w:val="-8"/>
          <w:w w:val="120"/>
        </w:rPr>
        <w:t> </w:t>
      </w:r>
      <w:r>
        <w:rPr>
          <w:color w:val="231F20"/>
          <w:w w:val="120"/>
        </w:rPr>
        <w:t>des</w:t>
      </w:r>
      <w:r>
        <w:rPr>
          <w:color w:val="231F20"/>
          <w:spacing w:val="-8"/>
          <w:w w:val="120"/>
        </w:rPr>
        <w:t> </w:t>
      </w:r>
      <w:r>
        <w:rPr>
          <w:color w:val="231F20"/>
          <w:w w:val="120"/>
        </w:rPr>
        <w:t>défis</w:t>
      </w:r>
      <w:r>
        <w:rPr>
          <w:color w:val="231F20"/>
          <w:spacing w:val="-8"/>
          <w:w w:val="120"/>
        </w:rPr>
        <w:t> </w:t>
      </w:r>
      <w:r>
        <w:rPr>
          <w:color w:val="231F20"/>
          <w:w w:val="120"/>
        </w:rPr>
        <w:t>stimulants</w:t>
      </w:r>
      <w:r>
        <w:rPr>
          <w:color w:val="231F20"/>
          <w:spacing w:val="-8"/>
          <w:w w:val="120"/>
        </w:rPr>
        <w:t> </w:t>
      </w:r>
      <w:r>
        <w:rPr>
          <w:color w:val="231F20"/>
          <w:w w:val="120"/>
        </w:rPr>
        <w:t>et motivants, où règne un climat de soutien et de sécurité.</w:t>
      </w:r>
    </w:p>
    <w:p>
      <w:pPr>
        <w:pStyle w:val="BodyText"/>
        <w:spacing w:line="307" w:lineRule="auto" w:before="78"/>
        <w:ind w:left="1220" w:right="104" w:firstLine="250"/>
        <w:jc w:val="both"/>
      </w:pPr>
      <w:r>
        <w:rPr>
          <w:color w:val="231F20"/>
          <w:w w:val="120"/>
        </w:rPr>
        <w:t>Il</w:t>
      </w:r>
      <w:r>
        <w:rPr>
          <w:color w:val="231F20"/>
          <w:spacing w:val="-1"/>
          <w:w w:val="120"/>
        </w:rPr>
        <w:t> </w:t>
      </w:r>
      <w:r>
        <w:rPr>
          <w:color w:val="231F20"/>
          <w:w w:val="120"/>
        </w:rPr>
        <w:t>est</w:t>
      </w:r>
      <w:r>
        <w:rPr>
          <w:color w:val="231F20"/>
          <w:spacing w:val="-1"/>
          <w:w w:val="120"/>
        </w:rPr>
        <w:t> </w:t>
      </w:r>
      <w:r>
        <w:rPr>
          <w:color w:val="231F20"/>
          <w:w w:val="120"/>
        </w:rPr>
        <w:t>relativement</w:t>
      </w:r>
      <w:r>
        <w:rPr>
          <w:color w:val="231F20"/>
          <w:spacing w:val="-1"/>
          <w:w w:val="120"/>
        </w:rPr>
        <w:t> </w:t>
      </w:r>
      <w:r>
        <w:rPr>
          <w:color w:val="231F20"/>
          <w:w w:val="120"/>
        </w:rPr>
        <w:t>facile</w:t>
      </w:r>
      <w:r>
        <w:rPr>
          <w:color w:val="231F20"/>
          <w:spacing w:val="-1"/>
          <w:w w:val="120"/>
        </w:rPr>
        <w:t> </w:t>
      </w:r>
      <w:r>
        <w:rPr>
          <w:color w:val="231F20"/>
          <w:w w:val="120"/>
        </w:rPr>
        <w:t>de</w:t>
      </w:r>
      <w:r>
        <w:rPr>
          <w:color w:val="231F20"/>
          <w:spacing w:val="-1"/>
          <w:w w:val="120"/>
        </w:rPr>
        <w:t> </w:t>
      </w:r>
      <w:r>
        <w:rPr>
          <w:color w:val="231F20"/>
          <w:w w:val="120"/>
        </w:rPr>
        <w:t>développer</w:t>
      </w:r>
      <w:r>
        <w:rPr>
          <w:color w:val="231F20"/>
          <w:spacing w:val="-1"/>
          <w:w w:val="120"/>
        </w:rPr>
        <w:t> </w:t>
      </w:r>
      <w:r>
        <w:rPr>
          <w:color w:val="231F20"/>
          <w:w w:val="120"/>
        </w:rPr>
        <w:t>une</w:t>
      </w:r>
      <w:r>
        <w:rPr>
          <w:color w:val="231F20"/>
          <w:spacing w:val="-1"/>
          <w:w w:val="120"/>
        </w:rPr>
        <w:t> </w:t>
      </w:r>
      <w:r>
        <w:rPr>
          <w:color w:val="231F20"/>
          <w:w w:val="120"/>
        </w:rPr>
        <w:t>stratégie</w:t>
      </w:r>
      <w:r>
        <w:rPr>
          <w:color w:val="231F20"/>
          <w:spacing w:val="-1"/>
          <w:w w:val="120"/>
        </w:rPr>
        <w:t> </w:t>
      </w:r>
      <w:r>
        <w:rPr>
          <w:color w:val="231F20"/>
          <w:w w:val="120"/>
        </w:rPr>
        <w:t>d’intervention </w:t>
      </w:r>
      <w:r>
        <w:rPr>
          <w:color w:val="231F20"/>
          <w:spacing w:val="-2"/>
          <w:w w:val="120"/>
        </w:rPr>
        <w:t>organisationnelle</w:t>
      </w:r>
      <w:r>
        <w:rPr>
          <w:color w:val="231F20"/>
          <w:spacing w:val="-8"/>
          <w:w w:val="120"/>
        </w:rPr>
        <w:t> </w:t>
      </w:r>
      <w:r>
        <w:rPr>
          <w:color w:val="231F20"/>
          <w:spacing w:val="-2"/>
          <w:w w:val="120"/>
        </w:rPr>
        <w:t>inefficace</w:t>
      </w:r>
      <w:r>
        <w:rPr>
          <w:color w:val="231F20"/>
          <w:spacing w:val="-8"/>
          <w:w w:val="120"/>
        </w:rPr>
        <w:t> </w:t>
      </w:r>
      <w:r>
        <w:rPr>
          <w:color w:val="231F20"/>
          <w:spacing w:val="-2"/>
          <w:w w:val="120"/>
        </w:rPr>
        <w:t>qui</w:t>
      </w:r>
      <w:r>
        <w:rPr>
          <w:color w:val="231F20"/>
          <w:spacing w:val="-8"/>
          <w:w w:val="120"/>
        </w:rPr>
        <w:t> </w:t>
      </w:r>
      <w:r>
        <w:rPr>
          <w:color w:val="231F20"/>
          <w:spacing w:val="-2"/>
          <w:w w:val="120"/>
        </w:rPr>
        <w:t>n’aura</w:t>
      </w:r>
      <w:r>
        <w:rPr>
          <w:color w:val="231F20"/>
          <w:spacing w:val="-8"/>
          <w:w w:val="120"/>
        </w:rPr>
        <w:t> </w:t>
      </w:r>
      <w:r>
        <w:rPr>
          <w:color w:val="231F20"/>
          <w:spacing w:val="-2"/>
          <w:w w:val="120"/>
        </w:rPr>
        <w:t>aucune</w:t>
      </w:r>
      <w:r>
        <w:rPr>
          <w:color w:val="231F20"/>
          <w:spacing w:val="-8"/>
          <w:w w:val="120"/>
        </w:rPr>
        <w:t> </w:t>
      </w:r>
      <w:r>
        <w:rPr>
          <w:color w:val="231F20"/>
          <w:spacing w:val="-2"/>
          <w:w w:val="120"/>
        </w:rPr>
        <w:t>retombée</w:t>
      </w:r>
      <w:r>
        <w:rPr>
          <w:color w:val="231F20"/>
          <w:spacing w:val="-8"/>
          <w:w w:val="120"/>
        </w:rPr>
        <w:t> </w:t>
      </w:r>
      <w:r>
        <w:rPr>
          <w:color w:val="231F20"/>
          <w:spacing w:val="-2"/>
          <w:w w:val="120"/>
        </w:rPr>
        <w:t>positive</w:t>
      </w:r>
      <w:r>
        <w:rPr>
          <w:color w:val="231F20"/>
          <w:spacing w:val="-8"/>
          <w:w w:val="120"/>
        </w:rPr>
        <w:t> </w:t>
      </w:r>
      <w:r>
        <w:rPr>
          <w:color w:val="231F20"/>
          <w:spacing w:val="-2"/>
          <w:w w:val="120"/>
        </w:rPr>
        <w:t>pour</w:t>
      </w:r>
      <w:r>
        <w:rPr>
          <w:color w:val="231F20"/>
          <w:spacing w:val="-8"/>
          <w:w w:val="120"/>
        </w:rPr>
        <w:t> </w:t>
      </w:r>
      <w:r>
        <w:rPr>
          <w:color w:val="231F20"/>
          <w:spacing w:val="-2"/>
          <w:w w:val="120"/>
        </w:rPr>
        <w:t>le </w:t>
      </w:r>
      <w:r>
        <w:rPr>
          <w:color w:val="231F20"/>
          <w:w w:val="120"/>
        </w:rPr>
        <w:t>bien-être</w:t>
      </w:r>
      <w:r>
        <w:rPr>
          <w:color w:val="231F20"/>
          <w:spacing w:val="-13"/>
          <w:w w:val="120"/>
        </w:rPr>
        <w:t> </w:t>
      </w:r>
      <w:r>
        <w:rPr>
          <w:color w:val="231F20"/>
          <w:w w:val="120"/>
        </w:rPr>
        <w:t>des</w:t>
      </w:r>
      <w:r>
        <w:rPr>
          <w:color w:val="231F20"/>
          <w:spacing w:val="-13"/>
          <w:w w:val="120"/>
        </w:rPr>
        <w:t> </w:t>
      </w:r>
      <w:r>
        <w:rPr>
          <w:color w:val="231F20"/>
          <w:w w:val="120"/>
        </w:rPr>
        <w:t>travailleurs.</w:t>
      </w:r>
      <w:r>
        <w:rPr>
          <w:color w:val="231F20"/>
          <w:spacing w:val="-13"/>
          <w:w w:val="120"/>
        </w:rPr>
        <w:t> </w:t>
      </w:r>
      <w:r>
        <w:rPr>
          <w:color w:val="231F20"/>
          <w:w w:val="120"/>
        </w:rPr>
        <w:t>On</w:t>
      </w:r>
      <w:r>
        <w:rPr>
          <w:color w:val="231F20"/>
          <w:spacing w:val="-12"/>
          <w:w w:val="120"/>
        </w:rPr>
        <w:t> </w:t>
      </w:r>
      <w:r>
        <w:rPr>
          <w:color w:val="231F20"/>
          <w:w w:val="120"/>
        </w:rPr>
        <w:t>observe</w:t>
      </w:r>
      <w:r>
        <w:rPr>
          <w:color w:val="231F20"/>
          <w:spacing w:val="-13"/>
          <w:w w:val="120"/>
        </w:rPr>
        <w:t> </w:t>
      </w:r>
      <w:r>
        <w:rPr>
          <w:color w:val="231F20"/>
          <w:w w:val="120"/>
        </w:rPr>
        <w:t>que</w:t>
      </w:r>
      <w:r>
        <w:rPr>
          <w:color w:val="231F20"/>
          <w:spacing w:val="-13"/>
          <w:w w:val="120"/>
        </w:rPr>
        <w:t> </w:t>
      </w:r>
      <w:r>
        <w:rPr>
          <w:color w:val="231F20"/>
          <w:w w:val="120"/>
        </w:rPr>
        <w:t>trop</w:t>
      </w:r>
      <w:r>
        <w:rPr>
          <w:color w:val="231F20"/>
          <w:spacing w:val="-13"/>
          <w:w w:val="120"/>
        </w:rPr>
        <w:t> </w:t>
      </w:r>
      <w:r>
        <w:rPr>
          <w:color w:val="231F20"/>
          <w:w w:val="120"/>
        </w:rPr>
        <w:t>souvent</w:t>
      </w:r>
      <w:r>
        <w:rPr>
          <w:color w:val="231F20"/>
          <w:spacing w:val="-12"/>
          <w:w w:val="120"/>
        </w:rPr>
        <w:t> </w:t>
      </w:r>
      <w:r>
        <w:rPr>
          <w:color w:val="231F20"/>
          <w:w w:val="120"/>
        </w:rPr>
        <w:t>ce</w:t>
      </w:r>
      <w:r>
        <w:rPr>
          <w:color w:val="231F20"/>
          <w:spacing w:val="-13"/>
          <w:w w:val="120"/>
        </w:rPr>
        <w:t> </w:t>
      </w:r>
      <w:r>
        <w:rPr>
          <w:color w:val="231F20"/>
          <w:w w:val="120"/>
        </w:rPr>
        <w:t>genre</w:t>
      </w:r>
      <w:r>
        <w:rPr>
          <w:color w:val="231F20"/>
          <w:spacing w:val="-13"/>
          <w:w w:val="120"/>
        </w:rPr>
        <w:t> </w:t>
      </w:r>
      <w:r>
        <w:rPr>
          <w:color w:val="231F20"/>
          <w:w w:val="120"/>
        </w:rPr>
        <w:t>de</w:t>
      </w:r>
      <w:r>
        <w:rPr>
          <w:color w:val="231F20"/>
          <w:spacing w:val="-13"/>
          <w:w w:val="120"/>
        </w:rPr>
        <w:t> </w:t>
      </w:r>
      <w:r>
        <w:rPr>
          <w:color w:val="231F20"/>
          <w:w w:val="120"/>
        </w:rPr>
        <w:t>stra- tégies</w:t>
      </w:r>
      <w:r>
        <w:rPr>
          <w:color w:val="231F20"/>
          <w:spacing w:val="-13"/>
          <w:w w:val="120"/>
        </w:rPr>
        <w:t> </w:t>
      </w:r>
      <w:r>
        <w:rPr>
          <w:color w:val="231F20"/>
          <w:w w:val="120"/>
        </w:rPr>
        <w:t>: engager des efforts considérables à recenser les stresseurs en milieu de travail sans que le diagnostic soit suivi d’une intervention sérieuse</w:t>
      </w:r>
      <w:r>
        <w:rPr>
          <w:color w:val="231F20"/>
          <w:spacing w:val="-13"/>
          <w:w w:val="120"/>
        </w:rPr>
        <w:t> </w:t>
      </w:r>
      <w:r>
        <w:rPr>
          <w:color w:val="231F20"/>
          <w:w w:val="120"/>
        </w:rPr>
        <w:t>; concevoir une intervention d’une intensité ou d’une durée </w:t>
      </w:r>
      <w:r>
        <w:rPr>
          <w:color w:val="231F20"/>
          <w:spacing w:val="-2"/>
          <w:w w:val="120"/>
        </w:rPr>
        <w:t>insuffisante</w:t>
      </w:r>
      <w:r>
        <w:rPr>
          <w:color w:val="231F20"/>
          <w:spacing w:val="-10"/>
          <w:w w:val="120"/>
        </w:rPr>
        <w:t> </w:t>
      </w:r>
      <w:r>
        <w:rPr>
          <w:color w:val="231F20"/>
          <w:spacing w:val="-2"/>
          <w:w w:val="120"/>
        </w:rPr>
        <w:t>ou</w:t>
      </w:r>
      <w:r>
        <w:rPr>
          <w:color w:val="231F20"/>
          <w:spacing w:val="-10"/>
          <w:w w:val="120"/>
        </w:rPr>
        <w:t> </w:t>
      </w:r>
      <w:r>
        <w:rPr>
          <w:color w:val="231F20"/>
          <w:spacing w:val="-2"/>
          <w:w w:val="120"/>
        </w:rPr>
        <w:t>apporter</w:t>
      </w:r>
      <w:r>
        <w:rPr>
          <w:color w:val="231F20"/>
          <w:spacing w:val="-10"/>
          <w:w w:val="120"/>
        </w:rPr>
        <w:t> </w:t>
      </w:r>
      <w:r>
        <w:rPr>
          <w:color w:val="231F20"/>
          <w:spacing w:val="-2"/>
          <w:w w:val="120"/>
        </w:rPr>
        <w:t>des</w:t>
      </w:r>
      <w:r>
        <w:rPr>
          <w:color w:val="231F20"/>
          <w:spacing w:val="-10"/>
          <w:w w:val="120"/>
        </w:rPr>
        <w:t> </w:t>
      </w:r>
      <w:r>
        <w:rPr>
          <w:color w:val="231F20"/>
          <w:spacing w:val="-2"/>
          <w:w w:val="120"/>
        </w:rPr>
        <w:t>changements</w:t>
      </w:r>
      <w:r>
        <w:rPr>
          <w:color w:val="231F20"/>
          <w:spacing w:val="-10"/>
          <w:w w:val="120"/>
        </w:rPr>
        <w:t> </w:t>
      </w:r>
      <w:r>
        <w:rPr>
          <w:color w:val="231F20"/>
          <w:spacing w:val="-2"/>
          <w:w w:val="120"/>
        </w:rPr>
        <w:t>qui</w:t>
      </w:r>
      <w:r>
        <w:rPr>
          <w:color w:val="231F20"/>
          <w:spacing w:val="-10"/>
          <w:w w:val="120"/>
        </w:rPr>
        <w:t> </w:t>
      </w:r>
      <w:r>
        <w:rPr>
          <w:color w:val="231F20"/>
          <w:spacing w:val="-2"/>
          <w:w w:val="120"/>
        </w:rPr>
        <w:t>ont</w:t>
      </w:r>
      <w:r>
        <w:rPr>
          <w:color w:val="231F20"/>
          <w:spacing w:val="-10"/>
          <w:w w:val="120"/>
        </w:rPr>
        <w:t> </w:t>
      </w:r>
      <w:r>
        <w:rPr>
          <w:color w:val="231F20"/>
          <w:spacing w:val="-2"/>
          <w:w w:val="120"/>
        </w:rPr>
        <w:t>pour</w:t>
      </w:r>
      <w:r>
        <w:rPr>
          <w:color w:val="231F20"/>
          <w:spacing w:val="-10"/>
          <w:w w:val="120"/>
        </w:rPr>
        <w:t> </w:t>
      </w:r>
      <w:r>
        <w:rPr>
          <w:color w:val="231F20"/>
          <w:spacing w:val="-2"/>
          <w:w w:val="120"/>
        </w:rPr>
        <w:t>effet</w:t>
      </w:r>
      <w:r>
        <w:rPr>
          <w:color w:val="231F20"/>
          <w:spacing w:val="-10"/>
          <w:w w:val="120"/>
        </w:rPr>
        <w:t> </w:t>
      </w:r>
      <w:r>
        <w:rPr>
          <w:color w:val="231F20"/>
          <w:spacing w:val="-2"/>
          <w:w w:val="120"/>
        </w:rPr>
        <w:t>net</w:t>
      </w:r>
      <w:r>
        <w:rPr>
          <w:color w:val="231F20"/>
          <w:spacing w:val="-10"/>
          <w:w w:val="120"/>
        </w:rPr>
        <w:t> </w:t>
      </w:r>
      <w:r>
        <w:rPr>
          <w:color w:val="231F20"/>
          <w:spacing w:val="-2"/>
          <w:w w:val="120"/>
        </w:rPr>
        <w:t>d’ajouter </w:t>
      </w:r>
      <w:r>
        <w:rPr>
          <w:color w:val="231F20"/>
          <w:w w:val="120"/>
        </w:rPr>
        <w:t>encore</w:t>
      </w:r>
      <w:r>
        <w:rPr>
          <w:color w:val="231F20"/>
          <w:spacing w:val="-11"/>
          <w:w w:val="120"/>
        </w:rPr>
        <w:t> </w:t>
      </w: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charge</w:t>
      </w:r>
      <w:r>
        <w:rPr>
          <w:color w:val="231F20"/>
          <w:spacing w:val="-11"/>
          <w:w w:val="120"/>
        </w:rPr>
        <w:t> </w:t>
      </w:r>
      <w:r>
        <w:rPr>
          <w:color w:val="231F20"/>
          <w:w w:val="120"/>
        </w:rPr>
        <w:t>de</w:t>
      </w:r>
      <w:r>
        <w:rPr>
          <w:color w:val="231F20"/>
          <w:spacing w:val="-11"/>
          <w:w w:val="120"/>
        </w:rPr>
        <w:t> </w:t>
      </w:r>
      <w:r>
        <w:rPr>
          <w:color w:val="231F20"/>
          <w:w w:val="120"/>
        </w:rPr>
        <w:t>travail</w:t>
      </w:r>
      <w:r>
        <w:rPr>
          <w:color w:val="231F20"/>
          <w:spacing w:val="-11"/>
          <w:w w:val="120"/>
        </w:rPr>
        <w:t> </w:t>
      </w:r>
      <w:r>
        <w:rPr>
          <w:color w:val="231F20"/>
          <w:w w:val="120"/>
        </w:rPr>
        <w:t>et</w:t>
      </w:r>
      <w:r>
        <w:rPr>
          <w:color w:val="231F20"/>
          <w:spacing w:val="-11"/>
          <w:w w:val="120"/>
        </w:rPr>
        <w:t> </w:t>
      </w: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confusion</w:t>
      </w:r>
      <w:r>
        <w:rPr>
          <w:color w:val="231F20"/>
          <w:spacing w:val="-11"/>
          <w:w w:val="120"/>
        </w:rPr>
        <w:t> </w:t>
      </w:r>
      <w:r>
        <w:rPr>
          <w:color w:val="231F20"/>
          <w:w w:val="120"/>
        </w:rPr>
        <w:t>des</w:t>
      </w:r>
      <w:r>
        <w:rPr>
          <w:color w:val="231F20"/>
          <w:spacing w:val="-11"/>
          <w:w w:val="120"/>
        </w:rPr>
        <w:t> </w:t>
      </w:r>
      <w:r>
        <w:rPr>
          <w:color w:val="231F20"/>
          <w:w w:val="120"/>
        </w:rPr>
        <w:t>employés.</w:t>
      </w:r>
      <w:r>
        <w:rPr>
          <w:color w:val="231F20"/>
          <w:spacing w:val="-11"/>
          <w:w w:val="120"/>
        </w:rPr>
        <w:t> </w:t>
      </w:r>
      <w:r>
        <w:rPr>
          <w:color w:val="231F20"/>
          <w:w w:val="120"/>
        </w:rPr>
        <w:t>Le</w:t>
      </w:r>
      <w:r>
        <w:rPr>
          <w:color w:val="231F20"/>
          <w:spacing w:val="-11"/>
          <w:w w:val="120"/>
        </w:rPr>
        <w:t> </w:t>
      </w:r>
      <w:r>
        <w:rPr>
          <w:color w:val="231F20"/>
          <w:w w:val="120"/>
        </w:rPr>
        <w:t>change- ment</w:t>
      </w:r>
      <w:r>
        <w:rPr>
          <w:color w:val="231F20"/>
          <w:spacing w:val="-13"/>
          <w:w w:val="120"/>
        </w:rPr>
        <w:t> </w:t>
      </w:r>
      <w:r>
        <w:rPr>
          <w:color w:val="231F20"/>
          <w:w w:val="120"/>
        </w:rPr>
        <w:t>pour</w:t>
      </w:r>
      <w:r>
        <w:rPr>
          <w:color w:val="231F20"/>
          <w:spacing w:val="-13"/>
          <w:w w:val="120"/>
        </w:rPr>
        <w:t> </w:t>
      </w:r>
      <w:r>
        <w:rPr>
          <w:color w:val="231F20"/>
          <w:w w:val="120"/>
        </w:rPr>
        <w:t>le</w:t>
      </w:r>
      <w:r>
        <w:rPr>
          <w:color w:val="231F20"/>
          <w:spacing w:val="-13"/>
          <w:w w:val="120"/>
        </w:rPr>
        <w:t> </w:t>
      </w:r>
      <w:r>
        <w:rPr>
          <w:color w:val="231F20"/>
          <w:w w:val="120"/>
        </w:rPr>
        <w:t>changement</w:t>
      </w:r>
      <w:r>
        <w:rPr>
          <w:color w:val="231F20"/>
          <w:spacing w:val="-12"/>
          <w:w w:val="120"/>
        </w:rPr>
        <w:t> </w:t>
      </w:r>
      <w:r>
        <w:rPr>
          <w:color w:val="231F20"/>
          <w:w w:val="120"/>
        </w:rPr>
        <w:t>n’est</w:t>
      </w:r>
      <w:r>
        <w:rPr>
          <w:color w:val="231F20"/>
          <w:spacing w:val="-13"/>
          <w:w w:val="120"/>
        </w:rPr>
        <w:t> </w:t>
      </w:r>
      <w:r>
        <w:rPr>
          <w:color w:val="231F20"/>
          <w:w w:val="120"/>
        </w:rPr>
        <w:t>pas</w:t>
      </w:r>
      <w:r>
        <w:rPr>
          <w:color w:val="231F20"/>
          <w:spacing w:val="-13"/>
          <w:w w:val="120"/>
        </w:rPr>
        <w:t> </w:t>
      </w:r>
      <w:r>
        <w:rPr>
          <w:color w:val="231F20"/>
          <w:w w:val="120"/>
        </w:rPr>
        <w:t>un</w:t>
      </w:r>
      <w:r>
        <w:rPr>
          <w:color w:val="231F20"/>
          <w:spacing w:val="-13"/>
          <w:w w:val="120"/>
        </w:rPr>
        <w:t> </w:t>
      </w:r>
      <w:r>
        <w:rPr>
          <w:color w:val="231F20"/>
          <w:w w:val="120"/>
        </w:rPr>
        <w:t>but</w:t>
      </w:r>
      <w:r>
        <w:rPr>
          <w:color w:val="231F20"/>
          <w:spacing w:val="-12"/>
          <w:w w:val="120"/>
        </w:rPr>
        <w:t> </w:t>
      </w:r>
      <w:r>
        <w:rPr>
          <w:color w:val="231F20"/>
          <w:w w:val="120"/>
        </w:rPr>
        <w:t>des</w:t>
      </w:r>
      <w:r>
        <w:rPr>
          <w:color w:val="231F20"/>
          <w:spacing w:val="-13"/>
          <w:w w:val="120"/>
        </w:rPr>
        <w:t> </w:t>
      </w:r>
      <w:r>
        <w:rPr>
          <w:color w:val="231F20"/>
          <w:w w:val="120"/>
        </w:rPr>
        <w:t>programmes</w:t>
      </w:r>
      <w:r>
        <w:rPr>
          <w:color w:val="231F20"/>
          <w:spacing w:val="-13"/>
          <w:w w:val="120"/>
        </w:rPr>
        <w:t> </w:t>
      </w:r>
      <w:r>
        <w:rPr>
          <w:color w:val="231F20"/>
          <w:w w:val="120"/>
        </w:rPr>
        <w:t>de</w:t>
      </w:r>
      <w:r>
        <w:rPr>
          <w:color w:val="231F20"/>
          <w:spacing w:val="-13"/>
          <w:w w:val="120"/>
        </w:rPr>
        <w:t> </w:t>
      </w:r>
      <w:r>
        <w:rPr>
          <w:color w:val="231F20"/>
          <w:w w:val="120"/>
        </w:rPr>
        <w:t>réduction </w:t>
      </w:r>
      <w:r>
        <w:rPr>
          <w:color w:val="231F20"/>
          <w:w w:val="115"/>
        </w:rPr>
        <w:t>du</w:t>
      </w:r>
      <w:r>
        <w:rPr>
          <w:color w:val="231F20"/>
          <w:spacing w:val="-9"/>
          <w:w w:val="115"/>
        </w:rPr>
        <w:t> </w:t>
      </w:r>
      <w:r>
        <w:rPr>
          <w:color w:val="231F20"/>
          <w:w w:val="115"/>
        </w:rPr>
        <w:t>stress.</w:t>
      </w:r>
      <w:r>
        <w:rPr>
          <w:color w:val="231F20"/>
          <w:spacing w:val="-9"/>
          <w:w w:val="115"/>
        </w:rPr>
        <w:t> </w:t>
      </w:r>
      <w:r>
        <w:rPr>
          <w:color w:val="231F20"/>
          <w:w w:val="115"/>
        </w:rPr>
        <w:t>Il</w:t>
      </w:r>
      <w:r>
        <w:rPr>
          <w:color w:val="231F20"/>
          <w:spacing w:val="-9"/>
          <w:w w:val="115"/>
        </w:rPr>
        <w:t> </w:t>
      </w:r>
      <w:r>
        <w:rPr>
          <w:color w:val="231F20"/>
          <w:w w:val="115"/>
        </w:rPr>
        <w:t>existe</w:t>
      </w:r>
      <w:r>
        <w:rPr>
          <w:color w:val="231F20"/>
          <w:spacing w:val="-9"/>
          <w:w w:val="115"/>
        </w:rPr>
        <w:t> </w:t>
      </w:r>
      <w:r>
        <w:rPr>
          <w:color w:val="231F20"/>
          <w:w w:val="115"/>
        </w:rPr>
        <w:t>un</w:t>
      </w:r>
      <w:r>
        <w:rPr>
          <w:color w:val="231F20"/>
          <w:spacing w:val="-9"/>
          <w:w w:val="115"/>
        </w:rPr>
        <w:t> </w:t>
      </w:r>
      <w:r>
        <w:rPr>
          <w:color w:val="231F20"/>
          <w:w w:val="115"/>
        </w:rPr>
        <w:t>moyen</w:t>
      </w:r>
      <w:r>
        <w:rPr>
          <w:color w:val="231F20"/>
          <w:spacing w:val="-9"/>
          <w:w w:val="115"/>
        </w:rPr>
        <w:t> </w:t>
      </w:r>
      <w:r>
        <w:rPr>
          <w:color w:val="231F20"/>
          <w:w w:val="115"/>
        </w:rPr>
        <w:t>efficace</w:t>
      </w:r>
      <w:r>
        <w:rPr>
          <w:color w:val="231F20"/>
          <w:spacing w:val="-9"/>
          <w:w w:val="115"/>
        </w:rPr>
        <w:t> </w:t>
      </w:r>
      <w:r>
        <w:rPr>
          <w:color w:val="231F20"/>
          <w:w w:val="115"/>
        </w:rPr>
        <w:t>d’éviter</w:t>
      </w:r>
      <w:r>
        <w:rPr>
          <w:color w:val="231F20"/>
          <w:spacing w:val="-9"/>
          <w:w w:val="115"/>
        </w:rPr>
        <w:t> </w:t>
      </w:r>
      <w:r>
        <w:rPr>
          <w:color w:val="231F20"/>
          <w:w w:val="115"/>
        </w:rPr>
        <w:t>les</w:t>
      </w:r>
      <w:r>
        <w:rPr>
          <w:color w:val="231F20"/>
          <w:spacing w:val="-9"/>
          <w:w w:val="115"/>
        </w:rPr>
        <w:t> </w:t>
      </w:r>
      <w:r>
        <w:rPr>
          <w:color w:val="231F20"/>
          <w:w w:val="115"/>
        </w:rPr>
        <w:t>résultats</w:t>
      </w:r>
      <w:r>
        <w:rPr>
          <w:color w:val="231F20"/>
          <w:spacing w:val="-9"/>
          <w:w w:val="115"/>
        </w:rPr>
        <w:t> </w:t>
      </w:r>
      <w:r>
        <w:rPr>
          <w:color w:val="231F20"/>
          <w:w w:val="115"/>
        </w:rPr>
        <w:t>négatifs:</w:t>
      </w:r>
      <w:r>
        <w:rPr>
          <w:color w:val="231F20"/>
          <w:spacing w:val="-9"/>
          <w:w w:val="115"/>
        </w:rPr>
        <w:t> </w:t>
      </w:r>
      <w:r>
        <w:rPr>
          <w:color w:val="231F20"/>
          <w:w w:val="115"/>
        </w:rPr>
        <w:t>conce- voir</w:t>
      </w:r>
      <w:r>
        <w:rPr>
          <w:color w:val="231F20"/>
          <w:spacing w:val="-13"/>
          <w:w w:val="115"/>
        </w:rPr>
        <w:t> </w:t>
      </w:r>
      <w:r>
        <w:rPr>
          <w:color w:val="231F20"/>
          <w:w w:val="115"/>
        </w:rPr>
        <w:t>un</w:t>
      </w:r>
      <w:r>
        <w:rPr>
          <w:color w:val="231F20"/>
          <w:spacing w:val="-12"/>
          <w:w w:val="115"/>
        </w:rPr>
        <w:t> </w:t>
      </w:r>
      <w:r>
        <w:rPr>
          <w:color w:val="231F20"/>
          <w:w w:val="115"/>
        </w:rPr>
        <w:t>mécanisme</w:t>
      </w:r>
      <w:r>
        <w:rPr>
          <w:color w:val="231F20"/>
          <w:spacing w:val="-12"/>
          <w:w w:val="115"/>
        </w:rPr>
        <w:t> </w:t>
      </w:r>
      <w:r>
        <w:rPr>
          <w:color w:val="231F20"/>
          <w:w w:val="115"/>
        </w:rPr>
        <w:t>d’évaluation</w:t>
      </w:r>
      <w:r>
        <w:rPr>
          <w:color w:val="231F20"/>
          <w:spacing w:val="-12"/>
          <w:w w:val="115"/>
        </w:rPr>
        <w:t> </w:t>
      </w:r>
      <w:r>
        <w:rPr>
          <w:color w:val="231F20"/>
          <w:w w:val="115"/>
        </w:rPr>
        <w:t>objective</w:t>
      </w:r>
      <w:r>
        <w:rPr>
          <w:color w:val="231F20"/>
          <w:spacing w:val="-12"/>
          <w:w w:val="115"/>
        </w:rPr>
        <w:t> </w:t>
      </w:r>
      <w:r>
        <w:rPr>
          <w:color w:val="231F20"/>
          <w:w w:val="115"/>
        </w:rPr>
        <w:t>propre</w:t>
      </w:r>
      <w:r>
        <w:rPr>
          <w:color w:val="231F20"/>
          <w:spacing w:val="-13"/>
          <w:w w:val="115"/>
        </w:rPr>
        <w:t> </w:t>
      </w:r>
      <w:r>
        <w:rPr>
          <w:color w:val="231F20"/>
          <w:w w:val="115"/>
        </w:rPr>
        <w:t>à</w:t>
      </w:r>
      <w:r>
        <w:rPr>
          <w:color w:val="231F20"/>
          <w:spacing w:val="-12"/>
          <w:w w:val="115"/>
        </w:rPr>
        <w:t> </w:t>
      </w:r>
      <w:r>
        <w:rPr>
          <w:color w:val="231F20"/>
          <w:w w:val="115"/>
        </w:rPr>
        <w:t>mesurer</w:t>
      </w:r>
      <w:r>
        <w:rPr>
          <w:color w:val="231F20"/>
          <w:spacing w:val="-12"/>
          <w:w w:val="115"/>
        </w:rPr>
        <w:t> </w:t>
      </w:r>
      <w:r>
        <w:rPr>
          <w:color w:val="231F20"/>
          <w:w w:val="115"/>
        </w:rPr>
        <w:t>avec</w:t>
      </w:r>
      <w:r>
        <w:rPr>
          <w:color w:val="231F20"/>
          <w:spacing w:val="-12"/>
          <w:w w:val="115"/>
        </w:rPr>
        <w:t> </w:t>
      </w:r>
      <w:r>
        <w:rPr>
          <w:color w:val="231F20"/>
          <w:w w:val="115"/>
        </w:rPr>
        <w:t>précision </w:t>
      </w:r>
      <w:r>
        <w:rPr>
          <w:color w:val="231F20"/>
          <w:w w:val="120"/>
        </w:rPr>
        <w:t>les principaux aspects du milieu de travail et les symptômes de stress avant et après l’intervention.</w:t>
      </w:r>
    </w:p>
    <w:p>
      <w:pPr>
        <w:spacing w:after="0" w:line="307" w:lineRule="auto"/>
        <w:jc w:val="both"/>
        <w:sectPr>
          <w:footerReference w:type="default" r:id="rId339"/>
          <w:pgSz w:w="8640" w:h="12960"/>
          <w:pgMar w:footer="424" w:header="0" w:top="500" w:bottom="620" w:left="420" w:right="1140"/>
        </w:sectPr>
      </w:pPr>
    </w:p>
    <w:p>
      <w:pPr>
        <w:pStyle w:val="BodyText"/>
        <w:spacing w:before="4"/>
      </w:pPr>
    </w:p>
    <w:p>
      <w:pPr>
        <w:spacing w:after="0"/>
        <w:sectPr>
          <w:footerReference w:type="default" r:id="rId340"/>
          <w:pgSz w:w="8640" w:h="12960"/>
          <w:pgMar w:footer="0" w:header="0" w:top="1220" w:bottom="280" w:left="420" w:right="1140"/>
        </w:sect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300"/>
        <w:ind w:left="3280"/>
      </w:pPr>
      <w:bookmarkStart w:name="Conclusion" w:id="203"/>
      <w:bookmarkEnd w:id="203"/>
      <w:r>
        <w:rPr>
          <w:b w:val="0"/>
        </w:rPr>
      </w:r>
      <w:bookmarkStart w:name="_bookmark91" w:id="204"/>
      <w:bookmarkEnd w:id="204"/>
      <w:r>
        <w:rPr>
          <w:b w:val="0"/>
        </w:rPr>
      </w:r>
      <w:r>
        <w:rPr>
          <w:color w:val="231F20"/>
          <w:spacing w:val="-2"/>
        </w:rPr>
        <w:t>Conclusion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
        <w:rPr>
          <w:rFonts w:ascii="Arial"/>
          <w:b/>
          <w:sz w:val="24"/>
        </w:rPr>
      </w:pPr>
    </w:p>
    <w:p>
      <w:pPr>
        <w:spacing w:line="312" w:lineRule="auto" w:before="132"/>
        <w:ind w:left="1220" w:right="2393" w:firstLine="0"/>
        <w:jc w:val="left"/>
        <w:rPr>
          <w:rFonts w:ascii="Arial" w:hAnsi="Arial"/>
          <w:sz w:val="14"/>
        </w:rPr>
      </w:pPr>
      <w:r>
        <w:rPr>
          <w:rFonts w:ascii="Arial" w:hAnsi="Arial"/>
          <w:color w:val="231F20"/>
          <w:sz w:val="14"/>
        </w:rPr>
        <w:t>Ce</w:t>
      </w:r>
      <w:r>
        <w:rPr>
          <w:rFonts w:ascii="Arial" w:hAnsi="Arial"/>
          <w:color w:val="231F20"/>
          <w:spacing w:val="-7"/>
          <w:sz w:val="14"/>
        </w:rPr>
        <w:t> </w:t>
      </w:r>
      <w:r>
        <w:rPr>
          <w:rFonts w:ascii="Arial" w:hAnsi="Arial"/>
          <w:color w:val="231F20"/>
          <w:sz w:val="14"/>
        </w:rPr>
        <w:t>n’est</w:t>
      </w:r>
      <w:r>
        <w:rPr>
          <w:rFonts w:ascii="Arial" w:hAnsi="Arial"/>
          <w:color w:val="231F20"/>
          <w:spacing w:val="-7"/>
          <w:sz w:val="14"/>
        </w:rPr>
        <w:t> </w:t>
      </w:r>
      <w:r>
        <w:rPr>
          <w:rFonts w:ascii="Arial" w:hAnsi="Arial"/>
          <w:color w:val="231F20"/>
          <w:sz w:val="14"/>
        </w:rPr>
        <w:t>pas</w:t>
      </w:r>
      <w:r>
        <w:rPr>
          <w:rFonts w:ascii="Arial" w:hAnsi="Arial"/>
          <w:color w:val="231F20"/>
          <w:spacing w:val="-7"/>
          <w:sz w:val="14"/>
        </w:rPr>
        <w:t> </w:t>
      </w:r>
      <w:r>
        <w:rPr>
          <w:rFonts w:ascii="Arial" w:hAnsi="Arial"/>
          <w:color w:val="231F20"/>
          <w:sz w:val="14"/>
        </w:rPr>
        <w:t>le</w:t>
      </w:r>
      <w:r>
        <w:rPr>
          <w:rFonts w:ascii="Arial" w:hAnsi="Arial"/>
          <w:color w:val="231F20"/>
          <w:spacing w:val="-7"/>
          <w:sz w:val="14"/>
        </w:rPr>
        <w:t> </w:t>
      </w:r>
      <w:r>
        <w:rPr>
          <w:rFonts w:ascii="Arial" w:hAnsi="Arial"/>
          <w:color w:val="231F20"/>
          <w:sz w:val="14"/>
        </w:rPr>
        <w:t>stress</w:t>
      </w:r>
      <w:r>
        <w:rPr>
          <w:rFonts w:ascii="Arial" w:hAnsi="Arial"/>
          <w:color w:val="231F20"/>
          <w:spacing w:val="-7"/>
          <w:sz w:val="14"/>
        </w:rPr>
        <w:t> </w:t>
      </w:r>
      <w:r>
        <w:rPr>
          <w:rFonts w:ascii="Arial" w:hAnsi="Arial"/>
          <w:color w:val="231F20"/>
          <w:sz w:val="14"/>
        </w:rPr>
        <w:t>qui</w:t>
      </w:r>
      <w:r>
        <w:rPr>
          <w:rFonts w:ascii="Arial" w:hAnsi="Arial"/>
          <w:color w:val="231F20"/>
          <w:spacing w:val="-7"/>
          <w:sz w:val="14"/>
        </w:rPr>
        <w:t> </w:t>
      </w:r>
      <w:r>
        <w:rPr>
          <w:rFonts w:ascii="Arial" w:hAnsi="Arial"/>
          <w:color w:val="231F20"/>
          <w:sz w:val="14"/>
        </w:rPr>
        <w:t>nous</w:t>
      </w:r>
      <w:r>
        <w:rPr>
          <w:rFonts w:ascii="Arial" w:hAnsi="Arial"/>
          <w:color w:val="231F20"/>
          <w:spacing w:val="-7"/>
          <w:sz w:val="14"/>
        </w:rPr>
        <w:t> </w:t>
      </w:r>
      <w:r>
        <w:rPr>
          <w:rFonts w:ascii="Arial" w:hAnsi="Arial"/>
          <w:color w:val="231F20"/>
          <w:sz w:val="14"/>
        </w:rPr>
        <w:t>tue,</w:t>
      </w:r>
      <w:r>
        <w:rPr>
          <w:rFonts w:ascii="Arial" w:hAnsi="Arial"/>
          <w:color w:val="231F20"/>
          <w:spacing w:val="-7"/>
          <w:sz w:val="14"/>
        </w:rPr>
        <w:t> </w:t>
      </w:r>
      <w:r>
        <w:rPr>
          <w:rFonts w:ascii="Arial" w:hAnsi="Arial"/>
          <w:color w:val="231F20"/>
          <w:sz w:val="14"/>
        </w:rPr>
        <w:t>c’est</w:t>
      </w:r>
      <w:r>
        <w:rPr>
          <w:rFonts w:ascii="Arial" w:hAnsi="Arial"/>
          <w:color w:val="231F20"/>
          <w:spacing w:val="-7"/>
          <w:sz w:val="14"/>
        </w:rPr>
        <w:t> </w:t>
      </w:r>
      <w:r>
        <w:rPr>
          <w:rFonts w:ascii="Arial" w:hAnsi="Arial"/>
          <w:color w:val="231F20"/>
          <w:sz w:val="14"/>
        </w:rPr>
        <w:t>notre</w:t>
      </w:r>
      <w:r>
        <w:rPr>
          <w:rFonts w:ascii="Arial" w:hAnsi="Arial"/>
          <w:color w:val="231F20"/>
          <w:spacing w:val="-7"/>
          <w:sz w:val="14"/>
        </w:rPr>
        <w:t> </w:t>
      </w:r>
      <w:r>
        <w:rPr>
          <w:rFonts w:ascii="Arial" w:hAnsi="Arial"/>
          <w:color w:val="231F20"/>
          <w:sz w:val="14"/>
        </w:rPr>
        <w:t>réaction</w:t>
      </w:r>
      <w:r>
        <w:rPr>
          <w:rFonts w:ascii="Arial" w:hAnsi="Arial"/>
          <w:color w:val="231F20"/>
          <w:spacing w:val="40"/>
          <w:sz w:val="14"/>
        </w:rPr>
        <w:t> </w:t>
      </w:r>
      <w:r>
        <w:rPr>
          <w:rFonts w:ascii="Arial" w:hAnsi="Arial"/>
          <w:color w:val="231F20"/>
          <w:sz w:val="14"/>
        </w:rPr>
        <w:t>au</w:t>
      </w:r>
      <w:r>
        <w:rPr>
          <w:rFonts w:ascii="Arial" w:hAnsi="Arial"/>
          <w:color w:val="231F20"/>
          <w:spacing w:val="-10"/>
          <w:sz w:val="14"/>
        </w:rPr>
        <w:t> </w:t>
      </w:r>
      <w:r>
        <w:rPr>
          <w:rFonts w:ascii="Arial" w:hAnsi="Arial"/>
          <w:color w:val="231F20"/>
          <w:sz w:val="14"/>
        </w:rPr>
        <w:t>stress.</w:t>
      </w:r>
    </w:p>
    <w:p>
      <w:pPr>
        <w:spacing w:before="162"/>
        <w:ind w:left="1220" w:right="0" w:firstLine="0"/>
        <w:jc w:val="left"/>
        <w:rPr>
          <w:rFonts w:ascii="Arial"/>
          <w:sz w:val="14"/>
        </w:rPr>
      </w:pPr>
      <w:r>
        <w:rPr>
          <w:rFonts w:ascii="Arial"/>
          <w:color w:val="231F20"/>
          <w:w w:val="95"/>
          <w:sz w:val="14"/>
        </w:rPr>
        <w:t>Hans</w:t>
      </w:r>
      <w:r>
        <w:rPr>
          <w:rFonts w:ascii="Arial"/>
          <w:color w:val="231F20"/>
          <w:spacing w:val="-6"/>
          <w:w w:val="95"/>
          <w:sz w:val="14"/>
        </w:rPr>
        <w:t> </w:t>
      </w:r>
      <w:r>
        <w:rPr>
          <w:rFonts w:ascii="Arial"/>
          <w:color w:val="231F20"/>
          <w:spacing w:val="-2"/>
          <w:sz w:val="14"/>
        </w:rPr>
        <w:t>SELYE</w:t>
      </w:r>
    </w:p>
    <w:p>
      <w:pPr>
        <w:pStyle w:val="BodyText"/>
        <w:rPr>
          <w:rFonts w:ascii="Arial"/>
          <w:sz w:val="20"/>
        </w:rPr>
      </w:pPr>
    </w:p>
    <w:p>
      <w:pPr>
        <w:pStyle w:val="BodyText"/>
        <w:spacing w:before="6"/>
        <w:rPr>
          <w:rFonts w:ascii="Arial"/>
          <w:sz w:val="18"/>
        </w:rPr>
      </w:pPr>
      <w:r>
        <w:rPr/>
        <w:pict>
          <v:shape style="position:absolute;margin-left:82pt;margin-top:11.885986pt;width:87.5pt;height:.1pt;mso-position-horizontal-relative:page;mso-position-vertical-relative:paragraph;z-index:-15615488;mso-wrap-distance-left:0;mso-wrap-distance-right:0" id="docshape1150" coordorigin="1640,238" coordsize="1750,0" path="m1640,238l3390,238e" filled="false" stroked="true" strokeweight=".25pt" strokecolor="#231f20">
            <v:path arrowok="t"/>
            <v:stroke dashstyle="solid"/>
            <w10:wrap type="topAndBottom"/>
          </v:shape>
        </w:pict>
      </w:r>
    </w:p>
    <w:p>
      <w:pPr>
        <w:pStyle w:val="BodyText"/>
        <w:spacing w:before="7"/>
        <w:rPr>
          <w:rFonts w:ascii="Arial"/>
          <w:sz w:val="29"/>
        </w:rPr>
      </w:pPr>
    </w:p>
    <w:p>
      <w:pPr>
        <w:pStyle w:val="BodyText"/>
        <w:spacing w:line="307" w:lineRule="auto" w:before="1"/>
        <w:ind w:left="1219" w:right="105"/>
        <w:jc w:val="both"/>
      </w:pPr>
      <w:r>
        <w:rPr>
          <w:color w:val="231F20"/>
          <w:w w:val="120"/>
        </w:rPr>
        <w:t>Tout</w:t>
      </w:r>
      <w:r>
        <w:rPr>
          <w:color w:val="231F20"/>
          <w:spacing w:val="-13"/>
          <w:w w:val="120"/>
        </w:rPr>
        <w:t> </w:t>
      </w:r>
      <w:r>
        <w:rPr>
          <w:color w:val="231F20"/>
          <w:w w:val="120"/>
        </w:rPr>
        <w:t>au</w:t>
      </w:r>
      <w:r>
        <w:rPr>
          <w:color w:val="231F20"/>
          <w:spacing w:val="-13"/>
          <w:w w:val="120"/>
        </w:rPr>
        <w:t> </w:t>
      </w:r>
      <w:r>
        <w:rPr>
          <w:color w:val="231F20"/>
          <w:w w:val="120"/>
        </w:rPr>
        <w:t>long</w:t>
      </w:r>
      <w:r>
        <w:rPr>
          <w:color w:val="231F20"/>
          <w:spacing w:val="-13"/>
          <w:w w:val="120"/>
        </w:rPr>
        <w:t> </w:t>
      </w:r>
      <w:r>
        <w:rPr>
          <w:color w:val="231F20"/>
          <w:w w:val="120"/>
        </w:rPr>
        <w:t>de</w:t>
      </w:r>
      <w:r>
        <w:rPr>
          <w:color w:val="231F20"/>
          <w:spacing w:val="-12"/>
          <w:w w:val="120"/>
        </w:rPr>
        <w:t> </w:t>
      </w:r>
      <w:r>
        <w:rPr>
          <w:color w:val="231F20"/>
          <w:w w:val="120"/>
        </w:rPr>
        <w:t>ce</w:t>
      </w:r>
      <w:r>
        <w:rPr>
          <w:color w:val="231F20"/>
          <w:spacing w:val="-13"/>
          <w:w w:val="120"/>
        </w:rPr>
        <w:t> </w:t>
      </w:r>
      <w:r>
        <w:rPr>
          <w:color w:val="231F20"/>
          <w:w w:val="120"/>
        </w:rPr>
        <w:t>livre,</w:t>
      </w:r>
      <w:r>
        <w:rPr>
          <w:color w:val="231F20"/>
          <w:spacing w:val="-13"/>
          <w:w w:val="120"/>
        </w:rPr>
        <w:t> </w:t>
      </w:r>
      <w:r>
        <w:rPr>
          <w:color w:val="231F20"/>
          <w:w w:val="120"/>
        </w:rPr>
        <w:t>vous</w:t>
      </w:r>
      <w:r>
        <w:rPr>
          <w:color w:val="231F20"/>
          <w:spacing w:val="-13"/>
          <w:w w:val="120"/>
        </w:rPr>
        <w:t> </w:t>
      </w:r>
      <w:r>
        <w:rPr>
          <w:color w:val="231F20"/>
          <w:w w:val="120"/>
        </w:rPr>
        <w:t>avez</w:t>
      </w:r>
      <w:r>
        <w:rPr>
          <w:color w:val="231F20"/>
          <w:spacing w:val="-12"/>
          <w:w w:val="120"/>
        </w:rPr>
        <w:t> </w:t>
      </w:r>
      <w:r>
        <w:rPr>
          <w:color w:val="231F20"/>
          <w:w w:val="120"/>
        </w:rPr>
        <w:t>probablement</w:t>
      </w:r>
      <w:r>
        <w:rPr>
          <w:color w:val="231F20"/>
          <w:spacing w:val="-13"/>
          <w:w w:val="120"/>
        </w:rPr>
        <w:t> </w:t>
      </w:r>
      <w:r>
        <w:rPr>
          <w:color w:val="231F20"/>
          <w:w w:val="120"/>
        </w:rPr>
        <w:t>remarqué</w:t>
      </w:r>
      <w:r>
        <w:rPr>
          <w:color w:val="231F20"/>
          <w:spacing w:val="-13"/>
          <w:w w:val="120"/>
        </w:rPr>
        <w:t> </w:t>
      </w:r>
      <w:r>
        <w:rPr>
          <w:color w:val="231F20"/>
          <w:w w:val="120"/>
        </w:rPr>
        <w:t>que</w:t>
      </w:r>
      <w:r>
        <w:rPr>
          <w:color w:val="231F20"/>
          <w:spacing w:val="-13"/>
          <w:w w:val="120"/>
        </w:rPr>
        <w:t> </w:t>
      </w:r>
      <w:r>
        <w:rPr>
          <w:color w:val="231F20"/>
          <w:w w:val="120"/>
        </w:rPr>
        <w:t>le</w:t>
      </w:r>
      <w:r>
        <w:rPr>
          <w:color w:val="231F20"/>
          <w:spacing w:val="-12"/>
          <w:w w:val="120"/>
        </w:rPr>
        <w:t> </w:t>
      </w:r>
      <w:r>
        <w:rPr>
          <w:color w:val="231F20"/>
          <w:w w:val="120"/>
        </w:rPr>
        <w:t>stress </w:t>
      </w:r>
      <w:r>
        <w:rPr>
          <w:color w:val="231F20"/>
          <w:spacing w:val="-2"/>
          <w:w w:val="120"/>
        </w:rPr>
        <w:t>n’est</w:t>
      </w:r>
      <w:r>
        <w:rPr>
          <w:color w:val="231F20"/>
          <w:spacing w:val="-7"/>
          <w:w w:val="120"/>
        </w:rPr>
        <w:t> </w:t>
      </w:r>
      <w:r>
        <w:rPr>
          <w:color w:val="231F20"/>
          <w:spacing w:val="-2"/>
          <w:w w:val="120"/>
        </w:rPr>
        <w:t>pas</w:t>
      </w:r>
      <w:r>
        <w:rPr>
          <w:color w:val="231F20"/>
          <w:spacing w:val="-7"/>
          <w:w w:val="120"/>
        </w:rPr>
        <w:t> </w:t>
      </w:r>
      <w:r>
        <w:rPr>
          <w:color w:val="231F20"/>
          <w:spacing w:val="-2"/>
          <w:w w:val="120"/>
        </w:rPr>
        <w:t>un</w:t>
      </w:r>
      <w:r>
        <w:rPr>
          <w:color w:val="231F20"/>
          <w:spacing w:val="-7"/>
          <w:w w:val="120"/>
        </w:rPr>
        <w:t> </w:t>
      </w:r>
      <w:r>
        <w:rPr>
          <w:color w:val="231F20"/>
          <w:spacing w:val="-2"/>
          <w:w w:val="120"/>
        </w:rPr>
        <w:t>phénomène</w:t>
      </w:r>
      <w:r>
        <w:rPr>
          <w:color w:val="231F20"/>
          <w:spacing w:val="-7"/>
          <w:w w:val="120"/>
        </w:rPr>
        <w:t> </w:t>
      </w:r>
      <w:r>
        <w:rPr>
          <w:color w:val="231F20"/>
          <w:spacing w:val="-2"/>
          <w:w w:val="120"/>
        </w:rPr>
        <w:t>simple</w:t>
      </w:r>
      <w:r>
        <w:rPr>
          <w:color w:val="231F20"/>
          <w:spacing w:val="-7"/>
          <w:w w:val="120"/>
        </w:rPr>
        <w:t> </w:t>
      </w:r>
      <w:r>
        <w:rPr>
          <w:color w:val="231F20"/>
          <w:spacing w:val="-2"/>
          <w:w w:val="120"/>
        </w:rPr>
        <w:t>à</w:t>
      </w:r>
      <w:r>
        <w:rPr>
          <w:color w:val="231F20"/>
          <w:spacing w:val="-7"/>
          <w:w w:val="120"/>
        </w:rPr>
        <w:t> </w:t>
      </w:r>
      <w:r>
        <w:rPr>
          <w:color w:val="231F20"/>
          <w:spacing w:val="-2"/>
          <w:w w:val="120"/>
        </w:rPr>
        <w:t>diagnostiquer</w:t>
      </w:r>
      <w:r>
        <w:rPr>
          <w:color w:val="231F20"/>
          <w:spacing w:val="-7"/>
          <w:w w:val="120"/>
        </w:rPr>
        <w:t> </w:t>
      </w:r>
      <w:r>
        <w:rPr>
          <w:color w:val="231F20"/>
          <w:spacing w:val="-2"/>
          <w:w w:val="120"/>
        </w:rPr>
        <w:t>ni</w:t>
      </w:r>
      <w:r>
        <w:rPr>
          <w:color w:val="231F20"/>
          <w:spacing w:val="-7"/>
          <w:w w:val="120"/>
        </w:rPr>
        <w:t> </w:t>
      </w:r>
      <w:r>
        <w:rPr>
          <w:color w:val="231F20"/>
          <w:spacing w:val="-2"/>
          <w:w w:val="120"/>
        </w:rPr>
        <w:t>à</w:t>
      </w:r>
      <w:r>
        <w:rPr>
          <w:color w:val="231F20"/>
          <w:spacing w:val="-7"/>
          <w:w w:val="120"/>
        </w:rPr>
        <w:t> </w:t>
      </w:r>
      <w:r>
        <w:rPr>
          <w:color w:val="231F20"/>
          <w:spacing w:val="-2"/>
          <w:w w:val="120"/>
        </w:rPr>
        <w:t>gérer.</w:t>
      </w:r>
      <w:r>
        <w:rPr>
          <w:color w:val="231F20"/>
          <w:spacing w:val="-7"/>
          <w:w w:val="120"/>
        </w:rPr>
        <w:t> </w:t>
      </w:r>
      <w:r>
        <w:rPr>
          <w:color w:val="231F20"/>
          <w:spacing w:val="-2"/>
          <w:w w:val="120"/>
        </w:rPr>
        <w:t>Alors</w:t>
      </w:r>
      <w:r>
        <w:rPr>
          <w:color w:val="231F20"/>
          <w:spacing w:val="-7"/>
          <w:w w:val="120"/>
        </w:rPr>
        <w:t> </w:t>
      </w:r>
      <w:r>
        <w:rPr>
          <w:color w:val="231F20"/>
          <w:spacing w:val="-2"/>
          <w:w w:val="120"/>
        </w:rPr>
        <w:t>que</w:t>
      </w:r>
      <w:r>
        <w:rPr>
          <w:color w:val="231F20"/>
          <w:spacing w:val="-7"/>
          <w:w w:val="120"/>
        </w:rPr>
        <w:t> </w:t>
      </w:r>
      <w:r>
        <w:rPr>
          <w:color w:val="231F20"/>
          <w:spacing w:val="-2"/>
          <w:w w:val="120"/>
        </w:rPr>
        <w:t>des </w:t>
      </w:r>
      <w:r>
        <w:rPr>
          <w:color w:val="231F20"/>
          <w:spacing w:val="-4"/>
          <w:w w:val="120"/>
        </w:rPr>
        <w:t>milliers d’érudits l’ont étudié scientifiquement et que des millions de per­ </w:t>
      </w:r>
      <w:r>
        <w:rPr>
          <w:color w:val="231F20"/>
          <w:w w:val="120"/>
        </w:rPr>
        <w:t>sonnes sont préoccupées régulièrement par le stress, il demeure omni­ présent</w:t>
      </w:r>
      <w:r>
        <w:rPr>
          <w:color w:val="231F20"/>
          <w:spacing w:val="-5"/>
          <w:w w:val="120"/>
        </w:rPr>
        <w:t> </w:t>
      </w:r>
      <w:r>
        <w:rPr>
          <w:color w:val="231F20"/>
          <w:w w:val="120"/>
        </w:rPr>
        <w:t>dans</w:t>
      </w:r>
      <w:r>
        <w:rPr>
          <w:color w:val="231F20"/>
          <w:spacing w:val="-5"/>
          <w:w w:val="120"/>
        </w:rPr>
        <w:t> </w:t>
      </w:r>
      <w:r>
        <w:rPr>
          <w:color w:val="231F20"/>
          <w:w w:val="120"/>
        </w:rPr>
        <w:t>la</w:t>
      </w:r>
      <w:r>
        <w:rPr>
          <w:color w:val="231F20"/>
          <w:spacing w:val="-5"/>
          <w:w w:val="120"/>
        </w:rPr>
        <w:t> </w:t>
      </w:r>
      <w:r>
        <w:rPr>
          <w:color w:val="231F20"/>
          <w:w w:val="120"/>
        </w:rPr>
        <w:t>vie</w:t>
      </w:r>
      <w:r>
        <w:rPr>
          <w:color w:val="231F20"/>
          <w:spacing w:val="-5"/>
          <w:w w:val="120"/>
        </w:rPr>
        <w:t> </w:t>
      </w:r>
      <w:r>
        <w:rPr>
          <w:color w:val="231F20"/>
          <w:w w:val="120"/>
        </w:rPr>
        <w:t>quotidienne,</w:t>
      </w:r>
      <w:r>
        <w:rPr>
          <w:color w:val="231F20"/>
          <w:spacing w:val="-5"/>
          <w:w w:val="120"/>
        </w:rPr>
        <w:t> </w:t>
      </w:r>
      <w:r>
        <w:rPr>
          <w:color w:val="231F20"/>
          <w:w w:val="120"/>
        </w:rPr>
        <w:t>mais</w:t>
      </w:r>
      <w:r>
        <w:rPr>
          <w:color w:val="231F20"/>
          <w:spacing w:val="-5"/>
          <w:w w:val="120"/>
        </w:rPr>
        <w:t> </w:t>
      </w:r>
      <w:r>
        <w:rPr>
          <w:color w:val="231F20"/>
          <w:w w:val="120"/>
        </w:rPr>
        <w:t>aussi</w:t>
      </w:r>
      <w:r>
        <w:rPr>
          <w:color w:val="231F20"/>
          <w:spacing w:val="-5"/>
          <w:w w:val="120"/>
        </w:rPr>
        <w:t> </w:t>
      </w:r>
      <w:r>
        <w:rPr>
          <w:color w:val="231F20"/>
          <w:w w:val="120"/>
        </w:rPr>
        <w:t>dans</w:t>
      </w:r>
      <w:r>
        <w:rPr>
          <w:color w:val="231F20"/>
          <w:spacing w:val="-5"/>
          <w:w w:val="120"/>
        </w:rPr>
        <w:t> </w:t>
      </w:r>
      <w:r>
        <w:rPr>
          <w:color w:val="231F20"/>
          <w:w w:val="120"/>
        </w:rPr>
        <w:t>les</w:t>
      </w:r>
      <w:r>
        <w:rPr>
          <w:color w:val="231F20"/>
          <w:spacing w:val="-5"/>
          <w:w w:val="120"/>
        </w:rPr>
        <w:t> </w:t>
      </w:r>
      <w:r>
        <w:rPr>
          <w:color w:val="231F20"/>
          <w:w w:val="120"/>
        </w:rPr>
        <w:t>organisations.</w:t>
      </w:r>
      <w:r>
        <w:rPr>
          <w:color w:val="231F20"/>
          <w:spacing w:val="-5"/>
          <w:w w:val="120"/>
        </w:rPr>
        <w:t> </w:t>
      </w:r>
      <w:r>
        <w:rPr>
          <w:color w:val="231F20"/>
          <w:w w:val="120"/>
        </w:rPr>
        <w:t>Une rapide</w:t>
      </w:r>
      <w:r>
        <w:rPr>
          <w:color w:val="231F20"/>
          <w:spacing w:val="-10"/>
          <w:w w:val="120"/>
        </w:rPr>
        <w:t> </w:t>
      </w:r>
      <w:r>
        <w:rPr>
          <w:color w:val="231F20"/>
          <w:w w:val="120"/>
        </w:rPr>
        <w:t>recherche</w:t>
      </w:r>
      <w:r>
        <w:rPr>
          <w:color w:val="231F20"/>
          <w:spacing w:val="-10"/>
          <w:w w:val="120"/>
        </w:rPr>
        <w:t> </w:t>
      </w:r>
      <w:r>
        <w:rPr>
          <w:color w:val="231F20"/>
          <w:w w:val="120"/>
        </w:rPr>
        <w:t>sur</w:t>
      </w:r>
      <w:r>
        <w:rPr>
          <w:color w:val="231F20"/>
          <w:spacing w:val="-10"/>
          <w:w w:val="120"/>
        </w:rPr>
        <w:t> </w:t>
      </w:r>
      <w:r>
        <w:rPr>
          <w:color w:val="231F20"/>
          <w:w w:val="120"/>
        </w:rPr>
        <w:t>un</w:t>
      </w:r>
      <w:r>
        <w:rPr>
          <w:color w:val="231F20"/>
          <w:spacing w:val="-10"/>
          <w:w w:val="120"/>
        </w:rPr>
        <w:t> </w:t>
      </w:r>
      <w:r>
        <w:rPr>
          <w:color w:val="231F20"/>
          <w:w w:val="120"/>
        </w:rPr>
        <w:t>moteur</w:t>
      </w:r>
      <w:r>
        <w:rPr>
          <w:color w:val="231F20"/>
          <w:spacing w:val="-10"/>
          <w:w w:val="120"/>
        </w:rPr>
        <w:t> </w:t>
      </w:r>
      <w:r>
        <w:rPr>
          <w:color w:val="231F20"/>
          <w:w w:val="120"/>
        </w:rPr>
        <w:t>de</w:t>
      </w:r>
      <w:r>
        <w:rPr>
          <w:color w:val="231F20"/>
          <w:spacing w:val="-10"/>
          <w:w w:val="120"/>
        </w:rPr>
        <w:t> </w:t>
      </w:r>
      <w:r>
        <w:rPr>
          <w:color w:val="231F20"/>
          <w:w w:val="120"/>
        </w:rPr>
        <w:t>recherche</w:t>
      </w:r>
      <w:r>
        <w:rPr>
          <w:color w:val="231F20"/>
          <w:spacing w:val="-10"/>
          <w:w w:val="120"/>
        </w:rPr>
        <w:t> </w:t>
      </w:r>
      <w:r>
        <w:rPr>
          <w:color w:val="231F20"/>
          <w:w w:val="120"/>
        </w:rPr>
        <w:t>permet</w:t>
      </w:r>
      <w:r>
        <w:rPr>
          <w:color w:val="231F20"/>
          <w:spacing w:val="-10"/>
          <w:w w:val="120"/>
        </w:rPr>
        <w:t> </w:t>
      </w:r>
      <w:r>
        <w:rPr>
          <w:color w:val="231F20"/>
          <w:w w:val="120"/>
        </w:rPr>
        <w:t>de</w:t>
      </w:r>
      <w:r>
        <w:rPr>
          <w:color w:val="231F20"/>
          <w:spacing w:val="-10"/>
          <w:w w:val="120"/>
        </w:rPr>
        <w:t> </w:t>
      </w:r>
      <w:r>
        <w:rPr>
          <w:color w:val="231F20"/>
          <w:w w:val="120"/>
        </w:rPr>
        <w:t>constater</w:t>
      </w:r>
      <w:r>
        <w:rPr>
          <w:color w:val="231F20"/>
          <w:spacing w:val="-10"/>
          <w:w w:val="120"/>
        </w:rPr>
        <w:t> </w:t>
      </w:r>
      <w:r>
        <w:rPr>
          <w:color w:val="231F20"/>
          <w:w w:val="120"/>
        </w:rPr>
        <w:t>que</w:t>
      </w:r>
      <w:r>
        <w:rPr>
          <w:color w:val="231F20"/>
          <w:spacing w:val="-10"/>
          <w:w w:val="120"/>
        </w:rPr>
        <w:t> </w:t>
      </w:r>
      <w:r>
        <w:rPr>
          <w:color w:val="231F20"/>
          <w:w w:val="120"/>
        </w:rPr>
        <w:t>le </w:t>
      </w:r>
      <w:r>
        <w:rPr>
          <w:color w:val="231F20"/>
          <w:w w:val="115"/>
        </w:rPr>
        <w:t>mot </w:t>
      </w:r>
      <w:r>
        <w:rPr>
          <w:i/>
          <w:color w:val="231F20"/>
          <w:w w:val="115"/>
        </w:rPr>
        <w:t>stress </w:t>
      </w:r>
      <w:r>
        <w:rPr>
          <w:color w:val="231F20"/>
          <w:w w:val="115"/>
        </w:rPr>
        <w:t>produit plusieurs millions de résultats. Malgré cela, le phéno­ </w:t>
      </w:r>
      <w:r>
        <w:rPr>
          <w:color w:val="231F20"/>
          <w:spacing w:val="-2"/>
          <w:w w:val="120"/>
        </w:rPr>
        <w:t>mène</w:t>
      </w:r>
      <w:r>
        <w:rPr>
          <w:color w:val="231F20"/>
          <w:spacing w:val="-9"/>
          <w:w w:val="120"/>
        </w:rPr>
        <w:t> </w:t>
      </w:r>
      <w:r>
        <w:rPr>
          <w:color w:val="231F20"/>
          <w:spacing w:val="-2"/>
          <w:w w:val="120"/>
        </w:rPr>
        <w:t>du</w:t>
      </w:r>
      <w:r>
        <w:rPr>
          <w:color w:val="231F20"/>
          <w:spacing w:val="-9"/>
          <w:w w:val="120"/>
        </w:rPr>
        <w:t> </w:t>
      </w:r>
      <w:r>
        <w:rPr>
          <w:color w:val="231F20"/>
          <w:spacing w:val="-2"/>
          <w:w w:val="120"/>
        </w:rPr>
        <w:t>stress</w:t>
      </w:r>
      <w:r>
        <w:rPr>
          <w:color w:val="231F20"/>
          <w:spacing w:val="-9"/>
          <w:w w:val="120"/>
        </w:rPr>
        <w:t> </w:t>
      </w:r>
      <w:r>
        <w:rPr>
          <w:color w:val="231F20"/>
          <w:spacing w:val="-2"/>
          <w:w w:val="120"/>
        </w:rPr>
        <w:t>est</w:t>
      </w:r>
      <w:r>
        <w:rPr>
          <w:color w:val="231F20"/>
          <w:spacing w:val="-9"/>
          <w:w w:val="120"/>
        </w:rPr>
        <w:t> </w:t>
      </w:r>
      <w:r>
        <w:rPr>
          <w:color w:val="231F20"/>
          <w:spacing w:val="-2"/>
          <w:w w:val="120"/>
        </w:rPr>
        <w:t>encore</w:t>
      </w:r>
      <w:r>
        <w:rPr>
          <w:color w:val="231F20"/>
          <w:spacing w:val="-9"/>
          <w:w w:val="120"/>
        </w:rPr>
        <w:t> </w:t>
      </w:r>
      <w:r>
        <w:rPr>
          <w:color w:val="231F20"/>
          <w:spacing w:val="-2"/>
          <w:w w:val="120"/>
        </w:rPr>
        <w:t>pernicieux;</w:t>
      </w:r>
      <w:r>
        <w:rPr>
          <w:color w:val="231F20"/>
          <w:spacing w:val="-9"/>
          <w:w w:val="120"/>
        </w:rPr>
        <w:t> </w:t>
      </w:r>
      <w:r>
        <w:rPr>
          <w:color w:val="231F20"/>
          <w:spacing w:val="-2"/>
          <w:w w:val="120"/>
        </w:rPr>
        <w:t>si</w:t>
      </w:r>
      <w:r>
        <w:rPr>
          <w:color w:val="231F20"/>
          <w:spacing w:val="-9"/>
          <w:w w:val="120"/>
        </w:rPr>
        <w:t> </w:t>
      </w:r>
      <w:r>
        <w:rPr>
          <w:color w:val="231F20"/>
          <w:spacing w:val="-2"/>
          <w:w w:val="120"/>
        </w:rPr>
        <w:t>le</w:t>
      </w:r>
      <w:r>
        <w:rPr>
          <w:color w:val="231F20"/>
          <w:spacing w:val="-9"/>
          <w:w w:val="120"/>
        </w:rPr>
        <w:t> </w:t>
      </w:r>
      <w:r>
        <w:rPr>
          <w:color w:val="231F20"/>
          <w:spacing w:val="-2"/>
          <w:w w:val="120"/>
        </w:rPr>
        <w:t>stress</w:t>
      </w:r>
      <w:r>
        <w:rPr>
          <w:color w:val="231F20"/>
          <w:spacing w:val="-9"/>
          <w:w w:val="120"/>
        </w:rPr>
        <w:t> </w:t>
      </w:r>
      <w:r>
        <w:rPr>
          <w:color w:val="231F20"/>
          <w:spacing w:val="-2"/>
          <w:w w:val="120"/>
        </w:rPr>
        <w:t>ponctuel</w:t>
      </w:r>
      <w:r>
        <w:rPr>
          <w:color w:val="231F20"/>
          <w:spacing w:val="-9"/>
          <w:w w:val="120"/>
        </w:rPr>
        <w:t> </w:t>
      </w:r>
      <w:r>
        <w:rPr>
          <w:color w:val="231F20"/>
          <w:spacing w:val="-2"/>
          <w:w w:val="120"/>
        </w:rPr>
        <w:t>et</w:t>
      </w:r>
      <w:r>
        <w:rPr>
          <w:color w:val="231F20"/>
          <w:spacing w:val="-9"/>
          <w:w w:val="120"/>
        </w:rPr>
        <w:t> </w:t>
      </w:r>
      <w:r>
        <w:rPr>
          <w:color w:val="231F20"/>
          <w:spacing w:val="-2"/>
          <w:w w:val="120"/>
        </w:rPr>
        <w:t>aigu</w:t>
      </w:r>
      <w:r>
        <w:rPr>
          <w:color w:val="231F20"/>
          <w:spacing w:val="-9"/>
          <w:w w:val="120"/>
        </w:rPr>
        <w:t> </w:t>
      </w:r>
      <w:r>
        <w:rPr>
          <w:color w:val="231F20"/>
          <w:spacing w:val="-2"/>
          <w:w w:val="120"/>
        </w:rPr>
        <w:t>est</w:t>
      </w:r>
      <w:r>
        <w:rPr>
          <w:color w:val="231F20"/>
          <w:spacing w:val="-9"/>
          <w:w w:val="120"/>
        </w:rPr>
        <w:t> </w:t>
      </w:r>
      <w:r>
        <w:rPr>
          <w:color w:val="231F20"/>
          <w:spacing w:val="-2"/>
          <w:w w:val="120"/>
        </w:rPr>
        <w:t>plus aisé</w:t>
      </w:r>
      <w:r>
        <w:rPr>
          <w:color w:val="231F20"/>
          <w:spacing w:val="-8"/>
          <w:w w:val="120"/>
        </w:rPr>
        <w:t> </w:t>
      </w:r>
      <w:r>
        <w:rPr>
          <w:color w:val="231F20"/>
          <w:spacing w:val="-2"/>
          <w:w w:val="120"/>
        </w:rPr>
        <w:t>à</w:t>
      </w:r>
      <w:r>
        <w:rPr>
          <w:color w:val="231F20"/>
          <w:spacing w:val="-8"/>
          <w:w w:val="120"/>
        </w:rPr>
        <w:t> </w:t>
      </w:r>
      <w:r>
        <w:rPr>
          <w:color w:val="231F20"/>
          <w:spacing w:val="-2"/>
          <w:w w:val="120"/>
        </w:rPr>
        <w:t>détecter</w:t>
      </w:r>
      <w:r>
        <w:rPr>
          <w:color w:val="231F20"/>
          <w:spacing w:val="-8"/>
          <w:w w:val="120"/>
        </w:rPr>
        <w:t> </w:t>
      </w:r>
      <w:r>
        <w:rPr>
          <w:color w:val="231F20"/>
          <w:spacing w:val="-2"/>
          <w:w w:val="120"/>
        </w:rPr>
        <w:t>et</w:t>
      </w:r>
      <w:r>
        <w:rPr>
          <w:color w:val="231F20"/>
          <w:spacing w:val="-8"/>
          <w:w w:val="120"/>
        </w:rPr>
        <w:t> </w:t>
      </w:r>
      <w:r>
        <w:rPr>
          <w:color w:val="231F20"/>
          <w:spacing w:val="-2"/>
          <w:w w:val="120"/>
        </w:rPr>
        <w:t>à</w:t>
      </w:r>
      <w:r>
        <w:rPr>
          <w:color w:val="231F20"/>
          <w:spacing w:val="-8"/>
          <w:w w:val="120"/>
        </w:rPr>
        <w:t> </w:t>
      </w:r>
      <w:r>
        <w:rPr>
          <w:color w:val="231F20"/>
          <w:spacing w:val="-2"/>
          <w:w w:val="120"/>
        </w:rPr>
        <w:t>gérer,</w:t>
      </w:r>
      <w:r>
        <w:rPr>
          <w:color w:val="231F20"/>
          <w:spacing w:val="-8"/>
          <w:w w:val="120"/>
        </w:rPr>
        <w:t> </w:t>
      </w:r>
      <w:r>
        <w:rPr>
          <w:color w:val="231F20"/>
          <w:spacing w:val="-2"/>
          <w:w w:val="120"/>
        </w:rPr>
        <w:t>le</w:t>
      </w:r>
      <w:r>
        <w:rPr>
          <w:color w:val="231F20"/>
          <w:spacing w:val="-8"/>
          <w:w w:val="120"/>
        </w:rPr>
        <w:t> </w:t>
      </w:r>
      <w:r>
        <w:rPr>
          <w:color w:val="231F20"/>
          <w:spacing w:val="-2"/>
          <w:w w:val="120"/>
        </w:rPr>
        <w:t>stress</w:t>
      </w:r>
      <w:r>
        <w:rPr>
          <w:color w:val="231F20"/>
          <w:spacing w:val="-8"/>
          <w:w w:val="120"/>
        </w:rPr>
        <w:t> </w:t>
      </w:r>
      <w:r>
        <w:rPr>
          <w:color w:val="231F20"/>
          <w:spacing w:val="-2"/>
          <w:w w:val="120"/>
        </w:rPr>
        <w:t>chronique</w:t>
      </w:r>
      <w:r>
        <w:rPr>
          <w:color w:val="231F20"/>
          <w:spacing w:val="-8"/>
          <w:w w:val="120"/>
        </w:rPr>
        <w:t> </w:t>
      </w:r>
      <w:r>
        <w:rPr>
          <w:color w:val="231F20"/>
          <w:spacing w:val="-2"/>
          <w:w w:val="120"/>
        </w:rPr>
        <w:t>est</w:t>
      </w:r>
      <w:r>
        <w:rPr>
          <w:color w:val="231F20"/>
          <w:spacing w:val="-8"/>
          <w:w w:val="120"/>
        </w:rPr>
        <w:t> </w:t>
      </w:r>
      <w:r>
        <w:rPr>
          <w:color w:val="231F20"/>
          <w:spacing w:val="-2"/>
          <w:w w:val="120"/>
        </w:rPr>
        <w:t>beaucoup</w:t>
      </w:r>
      <w:r>
        <w:rPr>
          <w:color w:val="231F20"/>
          <w:spacing w:val="-8"/>
          <w:w w:val="120"/>
        </w:rPr>
        <w:t> </w:t>
      </w:r>
      <w:r>
        <w:rPr>
          <w:color w:val="231F20"/>
          <w:spacing w:val="-2"/>
          <w:w w:val="120"/>
        </w:rPr>
        <w:t>plus</w:t>
      </w:r>
      <w:r>
        <w:rPr>
          <w:color w:val="231F20"/>
          <w:spacing w:val="-8"/>
          <w:w w:val="120"/>
        </w:rPr>
        <w:t> </w:t>
      </w:r>
      <w:r>
        <w:rPr>
          <w:color w:val="231F20"/>
          <w:spacing w:val="-2"/>
          <w:w w:val="120"/>
        </w:rPr>
        <w:t>complexe </w:t>
      </w:r>
      <w:r>
        <w:rPr>
          <w:color w:val="231F20"/>
          <w:w w:val="120"/>
        </w:rPr>
        <w:t>à diagnostiquer et ses symptômes sont plus obscurs.</w:t>
      </w:r>
    </w:p>
    <w:p>
      <w:pPr>
        <w:pStyle w:val="BodyText"/>
        <w:spacing w:line="307" w:lineRule="auto" w:before="78"/>
        <w:ind w:left="1219" w:right="105" w:firstLine="250"/>
        <w:jc w:val="both"/>
      </w:pPr>
      <w:r>
        <w:rPr>
          <w:color w:val="231F20"/>
          <w:w w:val="115"/>
        </w:rPr>
        <w:t>Ce</w:t>
      </w:r>
      <w:r>
        <w:rPr>
          <w:color w:val="231F20"/>
          <w:spacing w:val="-9"/>
          <w:w w:val="115"/>
        </w:rPr>
        <w:t> </w:t>
      </w:r>
      <w:r>
        <w:rPr>
          <w:color w:val="231F20"/>
          <w:w w:val="115"/>
        </w:rPr>
        <w:t>livre</w:t>
      </w:r>
      <w:r>
        <w:rPr>
          <w:color w:val="231F20"/>
          <w:spacing w:val="-9"/>
          <w:w w:val="115"/>
        </w:rPr>
        <w:t> </w:t>
      </w:r>
      <w:r>
        <w:rPr>
          <w:color w:val="231F20"/>
          <w:w w:val="115"/>
        </w:rPr>
        <w:t>s’est</w:t>
      </w:r>
      <w:r>
        <w:rPr>
          <w:color w:val="231F20"/>
          <w:spacing w:val="-9"/>
          <w:w w:val="115"/>
        </w:rPr>
        <w:t> </w:t>
      </w:r>
      <w:r>
        <w:rPr>
          <w:color w:val="231F20"/>
          <w:w w:val="115"/>
        </w:rPr>
        <w:t>concentré</w:t>
      </w:r>
      <w:r>
        <w:rPr>
          <w:color w:val="231F20"/>
          <w:spacing w:val="-9"/>
          <w:w w:val="115"/>
        </w:rPr>
        <w:t> </w:t>
      </w:r>
      <w:r>
        <w:rPr>
          <w:color w:val="231F20"/>
          <w:w w:val="115"/>
        </w:rPr>
        <w:t>à</w:t>
      </w:r>
      <w:r>
        <w:rPr>
          <w:color w:val="231F20"/>
          <w:spacing w:val="-9"/>
          <w:w w:val="115"/>
        </w:rPr>
        <w:t> </w:t>
      </w:r>
      <w:r>
        <w:rPr>
          <w:color w:val="231F20"/>
          <w:w w:val="115"/>
        </w:rPr>
        <w:t>la</w:t>
      </w:r>
      <w:r>
        <w:rPr>
          <w:color w:val="231F20"/>
          <w:spacing w:val="-10"/>
          <w:w w:val="115"/>
        </w:rPr>
        <w:t> </w:t>
      </w:r>
      <w:r>
        <w:rPr>
          <w:color w:val="231F20"/>
          <w:w w:val="115"/>
        </w:rPr>
        <w:t>fois</w:t>
      </w:r>
      <w:r>
        <w:rPr>
          <w:color w:val="231F20"/>
          <w:spacing w:val="-9"/>
          <w:w w:val="115"/>
        </w:rPr>
        <w:t> </w:t>
      </w:r>
      <w:r>
        <w:rPr>
          <w:color w:val="231F20"/>
          <w:w w:val="115"/>
        </w:rPr>
        <w:t>sur</w:t>
      </w:r>
      <w:r>
        <w:rPr>
          <w:color w:val="231F20"/>
          <w:spacing w:val="-9"/>
          <w:w w:val="115"/>
        </w:rPr>
        <w:t> </w:t>
      </w:r>
      <w:r>
        <w:rPr>
          <w:color w:val="231F20"/>
          <w:w w:val="115"/>
        </w:rPr>
        <w:t>les</w:t>
      </w:r>
      <w:r>
        <w:rPr>
          <w:color w:val="231F20"/>
          <w:spacing w:val="-9"/>
          <w:w w:val="115"/>
        </w:rPr>
        <w:t> </w:t>
      </w:r>
      <w:r>
        <w:rPr>
          <w:color w:val="231F20"/>
          <w:w w:val="115"/>
        </w:rPr>
        <w:t>symptômes</w:t>
      </w:r>
      <w:r>
        <w:rPr>
          <w:color w:val="231F20"/>
          <w:spacing w:val="-9"/>
          <w:w w:val="115"/>
        </w:rPr>
        <w:t> </w:t>
      </w:r>
      <w:r>
        <w:rPr>
          <w:color w:val="231F20"/>
          <w:w w:val="115"/>
        </w:rPr>
        <w:t>individuels</w:t>
      </w:r>
      <w:r>
        <w:rPr>
          <w:color w:val="231F20"/>
          <w:spacing w:val="-9"/>
          <w:w w:val="115"/>
        </w:rPr>
        <w:t> </w:t>
      </w:r>
      <w:r>
        <w:rPr>
          <w:color w:val="231F20"/>
          <w:w w:val="115"/>
        </w:rPr>
        <w:t>et</w:t>
      </w:r>
      <w:r>
        <w:rPr>
          <w:color w:val="231F20"/>
          <w:spacing w:val="-10"/>
          <w:w w:val="115"/>
        </w:rPr>
        <w:t> </w:t>
      </w:r>
      <w:r>
        <w:rPr>
          <w:color w:val="231F20"/>
          <w:w w:val="115"/>
        </w:rPr>
        <w:t>orga­ </w:t>
      </w:r>
      <w:r>
        <w:rPr>
          <w:color w:val="231F20"/>
          <w:w w:val="120"/>
        </w:rPr>
        <w:t>nisationnels</w:t>
      </w:r>
      <w:r>
        <w:rPr>
          <w:color w:val="231F20"/>
          <w:spacing w:val="-5"/>
          <w:w w:val="120"/>
        </w:rPr>
        <w:t> </w:t>
      </w:r>
      <w:r>
        <w:rPr>
          <w:color w:val="231F20"/>
          <w:w w:val="120"/>
        </w:rPr>
        <w:t>du</w:t>
      </w:r>
      <w:r>
        <w:rPr>
          <w:color w:val="231F20"/>
          <w:spacing w:val="-5"/>
          <w:w w:val="120"/>
        </w:rPr>
        <w:t> </w:t>
      </w:r>
      <w:r>
        <w:rPr>
          <w:color w:val="231F20"/>
          <w:w w:val="120"/>
        </w:rPr>
        <w:t>stress</w:t>
      </w:r>
      <w:r>
        <w:rPr>
          <w:color w:val="231F20"/>
          <w:spacing w:val="-5"/>
          <w:w w:val="120"/>
        </w:rPr>
        <w:t> </w:t>
      </w:r>
      <w:r>
        <w:rPr>
          <w:color w:val="231F20"/>
          <w:w w:val="120"/>
        </w:rPr>
        <w:t>ainsi</w:t>
      </w:r>
      <w:r>
        <w:rPr>
          <w:color w:val="231F20"/>
          <w:spacing w:val="-5"/>
          <w:w w:val="120"/>
        </w:rPr>
        <w:t> </w:t>
      </w:r>
      <w:r>
        <w:rPr>
          <w:color w:val="231F20"/>
          <w:w w:val="120"/>
        </w:rPr>
        <w:t>que</w:t>
      </w:r>
      <w:r>
        <w:rPr>
          <w:color w:val="231F20"/>
          <w:spacing w:val="-5"/>
          <w:w w:val="120"/>
        </w:rPr>
        <w:t> </w:t>
      </w:r>
      <w:r>
        <w:rPr>
          <w:color w:val="231F20"/>
          <w:w w:val="120"/>
        </w:rPr>
        <w:t>sur</w:t>
      </w:r>
      <w:r>
        <w:rPr>
          <w:color w:val="231F20"/>
          <w:spacing w:val="-5"/>
          <w:w w:val="120"/>
        </w:rPr>
        <w:t> </w:t>
      </w:r>
      <w:r>
        <w:rPr>
          <w:color w:val="231F20"/>
          <w:w w:val="120"/>
        </w:rPr>
        <w:t>les</w:t>
      </w:r>
      <w:r>
        <w:rPr>
          <w:color w:val="231F20"/>
          <w:spacing w:val="-5"/>
          <w:w w:val="120"/>
        </w:rPr>
        <w:t> </w:t>
      </w:r>
      <w:r>
        <w:rPr>
          <w:color w:val="231F20"/>
          <w:w w:val="120"/>
        </w:rPr>
        <w:t>principaux</w:t>
      </w:r>
      <w:r>
        <w:rPr>
          <w:color w:val="231F20"/>
          <w:spacing w:val="-5"/>
          <w:w w:val="120"/>
        </w:rPr>
        <w:t> </w:t>
      </w:r>
      <w:r>
        <w:rPr>
          <w:color w:val="231F20"/>
          <w:w w:val="120"/>
        </w:rPr>
        <w:t>outils</w:t>
      </w:r>
      <w:r>
        <w:rPr>
          <w:color w:val="231F20"/>
          <w:spacing w:val="-5"/>
          <w:w w:val="120"/>
        </w:rPr>
        <w:t> </w:t>
      </w:r>
      <w:r>
        <w:rPr>
          <w:color w:val="231F20"/>
          <w:w w:val="120"/>
        </w:rPr>
        <w:t>dont</w:t>
      </w:r>
      <w:r>
        <w:rPr>
          <w:color w:val="231F20"/>
          <w:spacing w:val="-5"/>
          <w:w w:val="120"/>
        </w:rPr>
        <w:t> </w:t>
      </w:r>
      <w:r>
        <w:rPr>
          <w:color w:val="231F20"/>
          <w:w w:val="120"/>
        </w:rPr>
        <w:t>disposent </w:t>
      </w:r>
      <w:r>
        <w:rPr>
          <w:color w:val="231F20"/>
          <w:spacing w:val="-2"/>
          <w:w w:val="120"/>
        </w:rPr>
        <w:t>les</w:t>
      </w:r>
      <w:r>
        <w:rPr>
          <w:color w:val="231F20"/>
          <w:spacing w:val="-6"/>
          <w:w w:val="120"/>
        </w:rPr>
        <w:t> </w:t>
      </w:r>
      <w:r>
        <w:rPr>
          <w:color w:val="231F20"/>
          <w:spacing w:val="-2"/>
          <w:w w:val="120"/>
        </w:rPr>
        <w:t>gestionnaires</w:t>
      </w:r>
      <w:r>
        <w:rPr>
          <w:color w:val="231F20"/>
          <w:spacing w:val="-6"/>
          <w:w w:val="120"/>
        </w:rPr>
        <w:t> </w:t>
      </w:r>
      <w:r>
        <w:rPr>
          <w:color w:val="231F20"/>
          <w:spacing w:val="-2"/>
          <w:w w:val="120"/>
        </w:rPr>
        <w:t>et</w:t>
      </w:r>
      <w:r>
        <w:rPr>
          <w:color w:val="231F20"/>
          <w:spacing w:val="-6"/>
          <w:w w:val="120"/>
        </w:rPr>
        <w:t> </w:t>
      </w:r>
      <w:r>
        <w:rPr>
          <w:color w:val="231F20"/>
          <w:spacing w:val="-2"/>
          <w:w w:val="120"/>
        </w:rPr>
        <w:t>les</w:t>
      </w:r>
      <w:r>
        <w:rPr>
          <w:color w:val="231F20"/>
          <w:spacing w:val="-6"/>
          <w:w w:val="120"/>
        </w:rPr>
        <w:t> </w:t>
      </w:r>
      <w:r>
        <w:rPr>
          <w:color w:val="231F20"/>
          <w:spacing w:val="-2"/>
          <w:w w:val="120"/>
        </w:rPr>
        <w:t>travailleurs</w:t>
      </w:r>
      <w:r>
        <w:rPr>
          <w:color w:val="231F20"/>
          <w:spacing w:val="-6"/>
          <w:w w:val="120"/>
        </w:rPr>
        <w:t> </w:t>
      </w:r>
      <w:r>
        <w:rPr>
          <w:color w:val="231F20"/>
          <w:spacing w:val="-2"/>
          <w:w w:val="120"/>
        </w:rPr>
        <w:t>pour</w:t>
      </w:r>
      <w:r>
        <w:rPr>
          <w:color w:val="231F20"/>
          <w:spacing w:val="-6"/>
          <w:w w:val="120"/>
        </w:rPr>
        <w:t> </w:t>
      </w:r>
      <w:r>
        <w:rPr>
          <w:color w:val="231F20"/>
          <w:spacing w:val="-2"/>
          <w:w w:val="120"/>
        </w:rPr>
        <w:t>le</w:t>
      </w:r>
      <w:r>
        <w:rPr>
          <w:color w:val="231F20"/>
          <w:spacing w:val="-6"/>
          <w:w w:val="120"/>
        </w:rPr>
        <w:t> </w:t>
      </w:r>
      <w:r>
        <w:rPr>
          <w:color w:val="231F20"/>
          <w:spacing w:val="-2"/>
          <w:w w:val="120"/>
        </w:rPr>
        <w:t>contrer.</w:t>
      </w:r>
      <w:r>
        <w:rPr>
          <w:color w:val="231F20"/>
          <w:spacing w:val="-6"/>
          <w:w w:val="120"/>
        </w:rPr>
        <w:t> </w:t>
      </w:r>
      <w:r>
        <w:rPr>
          <w:color w:val="231F20"/>
          <w:spacing w:val="-2"/>
          <w:w w:val="120"/>
        </w:rPr>
        <w:t>L’incertitude</w:t>
      </w:r>
      <w:r>
        <w:rPr>
          <w:color w:val="231F20"/>
          <w:spacing w:val="-6"/>
          <w:w w:val="120"/>
        </w:rPr>
        <w:t> </w:t>
      </w:r>
      <w:r>
        <w:rPr>
          <w:color w:val="231F20"/>
          <w:spacing w:val="-2"/>
          <w:w w:val="120"/>
        </w:rPr>
        <w:t>actuelle </w:t>
      </w:r>
      <w:r>
        <w:rPr>
          <w:color w:val="231F20"/>
          <w:w w:val="120"/>
        </w:rPr>
        <w:t>dans laquelle transigent les acteurs organisationnels, ce que certains </w:t>
      </w:r>
      <w:r>
        <w:rPr>
          <w:color w:val="231F20"/>
          <w:w w:val="115"/>
        </w:rPr>
        <w:t>appellent le monde VUCA (</w:t>
      </w:r>
      <w:r>
        <w:rPr>
          <w:i/>
          <w:color w:val="231F20"/>
          <w:w w:val="115"/>
        </w:rPr>
        <w:t>Volatile, Uncertain, Complex, Ambiguous</w:t>
      </w:r>
      <w:r>
        <w:rPr>
          <w:color w:val="231F20"/>
          <w:w w:val="115"/>
        </w:rPr>
        <w:t>), </w:t>
      </w:r>
      <w:r>
        <w:rPr>
          <w:color w:val="231F20"/>
          <w:w w:val="120"/>
        </w:rPr>
        <w:t>engendre</w:t>
      </w:r>
      <w:r>
        <w:rPr>
          <w:color w:val="231F20"/>
          <w:spacing w:val="-13"/>
          <w:w w:val="120"/>
        </w:rPr>
        <w:t> </w:t>
      </w:r>
      <w:r>
        <w:rPr>
          <w:color w:val="231F20"/>
          <w:w w:val="120"/>
        </w:rPr>
        <w:t>chez</w:t>
      </w:r>
      <w:r>
        <w:rPr>
          <w:color w:val="231F20"/>
          <w:spacing w:val="-13"/>
          <w:w w:val="120"/>
        </w:rPr>
        <w:t> </w:t>
      </w:r>
      <w:r>
        <w:rPr>
          <w:color w:val="231F20"/>
          <w:w w:val="120"/>
        </w:rPr>
        <w:t>plusieurs</w:t>
      </w:r>
      <w:r>
        <w:rPr>
          <w:color w:val="231F20"/>
          <w:spacing w:val="-13"/>
          <w:w w:val="120"/>
        </w:rPr>
        <w:t> </w:t>
      </w:r>
      <w:r>
        <w:rPr>
          <w:color w:val="231F20"/>
          <w:w w:val="120"/>
        </w:rPr>
        <w:t>de</w:t>
      </w:r>
      <w:r>
        <w:rPr>
          <w:color w:val="231F20"/>
          <w:spacing w:val="-12"/>
          <w:w w:val="120"/>
        </w:rPr>
        <w:t> </w:t>
      </w:r>
      <w:r>
        <w:rPr>
          <w:color w:val="231F20"/>
          <w:w w:val="120"/>
        </w:rPr>
        <w:t>l’anxiété</w:t>
      </w:r>
      <w:r>
        <w:rPr>
          <w:color w:val="231F20"/>
          <w:spacing w:val="-13"/>
          <w:w w:val="120"/>
        </w:rPr>
        <w:t> </w:t>
      </w:r>
      <w:r>
        <w:rPr>
          <w:color w:val="231F20"/>
          <w:w w:val="120"/>
        </w:rPr>
        <w:t>et</w:t>
      </w:r>
      <w:r>
        <w:rPr>
          <w:color w:val="231F20"/>
          <w:spacing w:val="-13"/>
          <w:w w:val="120"/>
        </w:rPr>
        <w:t> </w:t>
      </w:r>
      <w:r>
        <w:rPr>
          <w:color w:val="231F20"/>
          <w:w w:val="120"/>
        </w:rPr>
        <w:t>du</w:t>
      </w:r>
      <w:r>
        <w:rPr>
          <w:color w:val="231F20"/>
          <w:spacing w:val="-13"/>
          <w:w w:val="120"/>
        </w:rPr>
        <w:t> </w:t>
      </w:r>
      <w:r>
        <w:rPr>
          <w:color w:val="231F20"/>
          <w:w w:val="120"/>
        </w:rPr>
        <w:t>stress</w:t>
      </w:r>
      <w:r>
        <w:rPr>
          <w:color w:val="231F20"/>
          <w:spacing w:val="-12"/>
          <w:w w:val="120"/>
        </w:rPr>
        <w:t> </w:t>
      </w:r>
      <w:r>
        <w:rPr>
          <w:color w:val="231F20"/>
          <w:w w:val="120"/>
        </w:rPr>
        <w:t>qui</w:t>
      </w:r>
      <w:r>
        <w:rPr>
          <w:color w:val="231F20"/>
          <w:spacing w:val="-13"/>
          <w:w w:val="120"/>
        </w:rPr>
        <w:t> </w:t>
      </w:r>
      <w:r>
        <w:rPr>
          <w:color w:val="231F20"/>
          <w:w w:val="120"/>
        </w:rPr>
        <w:t>contribuent</w:t>
      </w:r>
      <w:r>
        <w:rPr>
          <w:color w:val="231F20"/>
          <w:spacing w:val="-13"/>
          <w:w w:val="120"/>
        </w:rPr>
        <w:t> </w:t>
      </w:r>
      <w:r>
        <w:rPr>
          <w:color w:val="231F20"/>
          <w:w w:val="120"/>
        </w:rPr>
        <w:t>assuré­ ment</w:t>
      </w:r>
      <w:r>
        <w:rPr>
          <w:color w:val="231F20"/>
          <w:spacing w:val="-11"/>
          <w:w w:val="120"/>
        </w:rPr>
        <w:t> </w:t>
      </w:r>
      <w:r>
        <w:rPr>
          <w:color w:val="231F20"/>
          <w:w w:val="120"/>
        </w:rPr>
        <w:t>à</w:t>
      </w:r>
      <w:r>
        <w:rPr>
          <w:color w:val="231F20"/>
          <w:spacing w:val="-11"/>
          <w:w w:val="120"/>
        </w:rPr>
        <w:t> </w:t>
      </w:r>
      <w:r>
        <w:rPr>
          <w:color w:val="231F20"/>
          <w:w w:val="120"/>
        </w:rPr>
        <w:t>une</w:t>
      </w:r>
      <w:r>
        <w:rPr>
          <w:color w:val="231F20"/>
          <w:spacing w:val="-11"/>
          <w:w w:val="120"/>
        </w:rPr>
        <w:t> </w:t>
      </w:r>
      <w:r>
        <w:rPr>
          <w:color w:val="231F20"/>
          <w:w w:val="120"/>
        </w:rPr>
        <w:t>croissance</w:t>
      </w:r>
      <w:r>
        <w:rPr>
          <w:color w:val="231F20"/>
          <w:spacing w:val="-11"/>
          <w:w w:val="120"/>
        </w:rPr>
        <w:t> </w:t>
      </w:r>
      <w:r>
        <w:rPr>
          <w:color w:val="231F20"/>
          <w:w w:val="120"/>
        </w:rPr>
        <w:t>des</w:t>
      </w:r>
      <w:r>
        <w:rPr>
          <w:color w:val="231F20"/>
          <w:spacing w:val="-11"/>
          <w:w w:val="120"/>
        </w:rPr>
        <w:t> </w:t>
      </w:r>
      <w:r>
        <w:rPr>
          <w:color w:val="231F20"/>
          <w:w w:val="120"/>
        </w:rPr>
        <w:t>problématiques</w:t>
      </w:r>
      <w:r>
        <w:rPr>
          <w:color w:val="231F20"/>
          <w:spacing w:val="-11"/>
          <w:w w:val="120"/>
        </w:rPr>
        <w:t> </w:t>
      </w:r>
      <w:r>
        <w:rPr>
          <w:color w:val="231F20"/>
          <w:w w:val="120"/>
        </w:rPr>
        <w:t>de</w:t>
      </w:r>
      <w:r>
        <w:rPr>
          <w:color w:val="231F20"/>
          <w:spacing w:val="-11"/>
          <w:w w:val="120"/>
        </w:rPr>
        <w:t> </w:t>
      </w:r>
      <w:r>
        <w:rPr>
          <w:color w:val="231F20"/>
          <w:w w:val="120"/>
        </w:rPr>
        <w:t>santé</w:t>
      </w:r>
      <w:r>
        <w:rPr>
          <w:color w:val="231F20"/>
          <w:spacing w:val="-11"/>
          <w:w w:val="120"/>
        </w:rPr>
        <w:t> </w:t>
      </w:r>
      <w:r>
        <w:rPr>
          <w:color w:val="231F20"/>
          <w:w w:val="120"/>
        </w:rPr>
        <w:t>psychologique</w:t>
      </w:r>
      <w:r>
        <w:rPr>
          <w:color w:val="231F20"/>
          <w:spacing w:val="-11"/>
          <w:w w:val="120"/>
        </w:rPr>
        <w:t> </w:t>
      </w:r>
      <w:r>
        <w:rPr>
          <w:color w:val="231F20"/>
          <w:w w:val="120"/>
        </w:rPr>
        <w:t>dans les</w:t>
      </w:r>
      <w:r>
        <w:rPr>
          <w:color w:val="231F20"/>
          <w:spacing w:val="-13"/>
          <w:w w:val="120"/>
        </w:rPr>
        <w:t> </w:t>
      </w:r>
      <w:r>
        <w:rPr>
          <w:color w:val="231F20"/>
          <w:w w:val="120"/>
        </w:rPr>
        <w:t>organisations.</w:t>
      </w:r>
      <w:r>
        <w:rPr>
          <w:color w:val="231F20"/>
          <w:spacing w:val="-13"/>
          <w:w w:val="120"/>
        </w:rPr>
        <w:t> </w:t>
      </w:r>
      <w:r>
        <w:rPr>
          <w:color w:val="231F20"/>
          <w:w w:val="120"/>
        </w:rPr>
        <w:t>Les</w:t>
      </w:r>
      <w:r>
        <w:rPr>
          <w:color w:val="231F20"/>
          <w:spacing w:val="-13"/>
          <w:w w:val="120"/>
        </w:rPr>
        <w:t> </w:t>
      </w:r>
      <w:r>
        <w:rPr>
          <w:color w:val="231F20"/>
          <w:w w:val="120"/>
        </w:rPr>
        <w:t>observations</w:t>
      </w:r>
      <w:r>
        <w:rPr>
          <w:color w:val="231F20"/>
          <w:spacing w:val="-12"/>
          <w:w w:val="120"/>
        </w:rPr>
        <w:t> </w:t>
      </w:r>
      <w:r>
        <w:rPr>
          <w:color w:val="231F20"/>
          <w:w w:val="120"/>
        </w:rPr>
        <w:t>du</w:t>
      </w:r>
      <w:r>
        <w:rPr>
          <w:color w:val="231F20"/>
          <w:spacing w:val="-13"/>
          <w:w w:val="120"/>
        </w:rPr>
        <w:t> </w:t>
      </w:r>
      <w:r>
        <w:rPr>
          <w:color w:val="231F20"/>
          <w:w w:val="120"/>
        </w:rPr>
        <w:t>passé</w:t>
      </w:r>
      <w:r>
        <w:rPr>
          <w:color w:val="231F20"/>
          <w:spacing w:val="-13"/>
          <w:w w:val="120"/>
        </w:rPr>
        <w:t> </w:t>
      </w:r>
      <w:r>
        <w:rPr>
          <w:color w:val="231F20"/>
          <w:w w:val="120"/>
        </w:rPr>
        <w:t>illustrent</w:t>
      </w:r>
      <w:r>
        <w:rPr>
          <w:color w:val="231F20"/>
          <w:spacing w:val="-13"/>
          <w:w w:val="120"/>
        </w:rPr>
        <w:t> </w:t>
      </w:r>
      <w:r>
        <w:rPr>
          <w:color w:val="231F20"/>
          <w:w w:val="120"/>
        </w:rPr>
        <w:t>le</w:t>
      </w:r>
      <w:r>
        <w:rPr>
          <w:color w:val="231F20"/>
          <w:spacing w:val="-12"/>
          <w:w w:val="120"/>
        </w:rPr>
        <w:t> </w:t>
      </w:r>
      <w:r>
        <w:rPr>
          <w:color w:val="231F20"/>
          <w:w w:val="120"/>
        </w:rPr>
        <w:t>paradoxe</w:t>
      </w:r>
      <w:r>
        <w:rPr>
          <w:color w:val="231F20"/>
          <w:spacing w:val="-13"/>
          <w:w w:val="120"/>
        </w:rPr>
        <w:t> </w:t>
      </w:r>
      <w:r>
        <w:rPr>
          <w:color w:val="231F20"/>
          <w:w w:val="120"/>
        </w:rPr>
        <w:t>selon lequel,</w:t>
      </w:r>
      <w:r>
        <w:rPr>
          <w:color w:val="231F20"/>
          <w:spacing w:val="-2"/>
          <w:w w:val="120"/>
        </w:rPr>
        <w:t> </w:t>
      </w:r>
      <w:r>
        <w:rPr>
          <w:color w:val="231F20"/>
          <w:w w:val="120"/>
        </w:rPr>
        <w:t>bien</w:t>
      </w:r>
      <w:r>
        <w:rPr>
          <w:color w:val="231F20"/>
          <w:spacing w:val="-2"/>
          <w:w w:val="120"/>
        </w:rPr>
        <w:t> </w:t>
      </w:r>
      <w:r>
        <w:rPr>
          <w:color w:val="231F20"/>
          <w:w w:val="120"/>
        </w:rPr>
        <w:t>que</w:t>
      </w:r>
      <w:r>
        <w:rPr>
          <w:color w:val="231F20"/>
          <w:spacing w:val="-2"/>
          <w:w w:val="120"/>
        </w:rPr>
        <w:t> </w:t>
      </w:r>
      <w:r>
        <w:rPr>
          <w:color w:val="231F20"/>
          <w:w w:val="120"/>
        </w:rPr>
        <w:t>les</w:t>
      </w:r>
      <w:r>
        <w:rPr>
          <w:color w:val="231F20"/>
          <w:spacing w:val="-2"/>
          <w:w w:val="120"/>
        </w:rPr>
        <w:t> </w:t>
      </w:r>
      <w:r>
        <w:rPr>
          <w:color w:val="231F20"/>
          <w:w w:val="120"/>
        </w:rPr>
        <w:t>sociétés</w:t>
      </w:r>
      <w:r>
        <w:rPr>
          <w:color w:val="231F20"/>
          <w:spacing w:val="-2"/>
          <w:w w:val="120"/>
        </w:rPr>
        <w:t> </w:t>
      </w:r>
      <w:r>
        <w:rPr>
          <w:color w:val="231F20"/>
          <w:w w:val="120"/>
        </w:rPr>
        <w:t>modernes</w:t>
      </w:r>
      <w:r>
        <w:rPr>
          <w:color w:val="231F20"/>
          <w:spacing w:val="-2"/>
          <w:w w:val="120"/>
        </w:rPr>
        <w:t> </w:t>
      </w:r>
      <w:r>
        <w:rPr>
          <w:color w:val="231F20"/>
          <w:w w:val="120"/>
        </w:rPr>
        <w:t>s’améliorent</w:t>
      </w:r>
      <w:r>
        <w:rPr>
          <w:color w:val="231F20"/>
          <w:spacing w:val="-2"/>
          <w:w w:val="120"/>
        </w:rPr>
        <w:t> </w:t>
      </w:r>
      <w:r>
        <w:rPr>
          <w:color w:val="231F20"/>
          <w:w w:val="120"/>
        </w:rPr>
        <w:t>dans</w:t>
      </w:r>
      <w:r>
        <w:rPr>
          <w:color w:val="231F20"/>
          <w:spacing w:val="-2"/>
          <w:w w:val="120"/>
        </w:rPr>
        <w:t> </w:t>
      </w:r>
      <w:r>
        <w:rPr>
          <w:color w:val="231F20"/>
          <w:w w:val="120"/>
        </w:rPr>
        <w:t>de</w:t>
      </w:r>
      <w:r>
        <w:rPr>
          <w:color w:val="231F20"/>
          <w:spacing w:val="-2"/>
          <w:w w:val="120"/>
        </w:rPr>
        <w:t> </w:t>
      </w:r>
      <w:r>
        <w:rPr>
          <w:color w:val="231F20"/>
          <w:w w:val="120"/>
        </w:rPr>
        <w:t>nombreux aspects</w:t>
      </w:r>
      <w:r>
        <w:rPr>
          <w:color w:val="231F20"/>
          <w:spacing w:val="-13"/>
          <w:w w:val="120"/>
        </w:rPr>
        <w:t> </w:t>
      </w:r>
      <w:r>
        <w:rPr>
          <w:color w:val="231F20"/>
          <w:w w:val="120"/>
        </w:rPr>
        <w:t>de</w:t>
      </w:r>
      <w:r>
        <w:rPr>
          <w:color w:val="231F20"/>
          <w:spacing w:val="-12"/>
          <w:w w:val="120"/>
        </w:rPr>
        <w:t> </w:t>
      </w:r>
      <w:r>
        <w:rPr>
          <w:color w:val="231F20"/>
          <w:w w:val="120"/>
        </w:rPr>
        <w:t>la</w:t>
      </w:r>
      <w:r>
        <w:rPr>
          <w:color w:val="231F20"/>
          <w:spacing w:val="-13"/>
          <w:w w:val="120"/>
        </w:rPr>
        <w:t> </w:t>
      </w:r>
      <w:r>
        <w:rPr>
          <w:color w:val="231F20"/>
          <w:w w:val="120"/>
        </w:rPr>
        <w:t>vie,</w:t>
      </w:r>
      <w:r>
        <w:rPr>
          <w:color w:val="231F20"/>
          <w:spacing w:val="-13"/>
          <w:w w:val="120"/>
        </w:rPr>
        <w:t> </w:t>
      </w:r>
      <w:r>
        <w:rPr>
          <w:color w:val="231F20"/>
          <w:w w:val="120"/>
        </w:rPr>
        <w:t>le</w:t>
      </w:r>
      <w:r>
        <w:rPr>
          <w:color w:val="231F20"/>
          <w:spacing w:val="-12"/>
          <w:w w:val="120"/>
        </w:rPr>
        <w:t> </w:t>
      </w:r>
      <w:r>
        <w:rPr>
          <w:color w:val="231F20"/>
          <w:w w:val="120"/>
        </w:rPr>
        <w:t>stress</w:t>
      </w:r>
      <w:r>
        <w:rPr>
          <w:color w:val="231F20"/>
          <w:spacing w:val="-13"/>
          <w:w w:val="120"/>
        </w:rPr>
        <w:t> </w:t>
      </w:r>
      <w:r>
        <w:rPr>
          <w:color w:val="231F20"/>
          <w:w w:val="120"/>
        </w:rPr>
        <w:t>affecte</w:t>
      </w:r>
      <w:r>
        <w:rPr>
          <w:color w:val="231F20"/>
          <w:spacing w:val="-12"/>
          <w:w w:val="120"/>
        </w:rPr>
        <w:t> </w:t>
      </w:r>
      <w:r>
        <w:rPr>
          <w:color w:val="231F20"/>
          <w:w w:val="120"/>
        </w:rPr>
        <w:t>encore</w:t>
      </w:r>
      <w:r>
        <w:rPr>
          <w:color w:val="231F20"/>
          <w:spacing w:val="-13"/>
          <w:w w:val="120"/>
        </w:rPr>
        <w:t> </w:t>
      </w:r>
      <w:r>
        <w:rPr>
          <w:color w:val="231F20"/>
          <w:w w:val="120"/>
        </w:rPr>
        <w:t>des</w:t>
      </w:r>
      <w:r>
        <w:rPr>
          <w:color w:val="231F20"/>
          <w:spacing w:val="-13"/>
          <w:w w:val="120"/>
        </w:rPr>
        <w:t> </w:t>
      </w:r>
      <w:r>
        <w:rPr>
          <w:color w:val="231F20"/>
          <w:w w:val="120"/>
        </w:rPr>
        <w:t>millions</w:t>
      </w:r>
      <w:r>
        <w:rPr>
          <w:color w:val="231F20"/>
          <w:spacing w:val="-12"/>
          <w:w w:val="120"/>
        </w:rPr>
        <w:t> </w:t>
      </w:r>
      <w:r>
        <w:rPr>
          <w:color w:val="231F20"/>
          <w:w w:val="120"/>
        </w:rPr>
        <w:t>de</w:t>
      </w:r>
      <w:r>
        <w:rPr>
          <w:color w:val="231F20"/>
          <w:spacing w:val="-13"/>
          <w:w w:val="120"/>
        </w:rPr>
        <w:t> </w:t>
      </w:r>
      <w:r>
        <w:rPr>
          <w:color w:val="231F20"/>
          <w:w w:val="120"/>
        </w:rPr>
        <w:t>personnes</w:t>
      </w:r>
      <w:r>
        <w:rPr>
          <w:color w:val="231F20"/>
          <w:spacing w:val="-12"/>
          <w:w w:val="120"/>
        </w:rPr>
        <w:t> </w:t>
      </w:r>
      <w:r>
        <w:rPr>
          <w:color w:val="231F20"/>
          <w:w w:val="120"/>
        </w:rPr>
        <w:t>quo­ tidiennement.</w:t>
      </w:r>
      <w:r>
        <w:rPr>
          <w:color w:val="231F20"/>
          <w:spacing w:val="-1"/>
          <w:w w:val="120"/>
        </w:rPr>
        <w:t> </w:t>
      </w:r>
      <w:r>
        <w:rPr>
          <w:color w:val="231F20"/>
          <w:w w:val="120"/>
        </w:rPr>
        <w:t>Pourtant,</w:t>
      </w:r>
      <w:r>
        <w:rPr>
          <w:color w:val="231F20"/>
          <w:spacing w:val="-1"/>
          <w:w w:val="120"/>
        </w:rPr>
        <w:t> </w:t>
      </w:r>
      <w:r>
        <w:rPr>
          <w:color w:val="231F20"/>
          <w:w w:val="120"/>
        </w:rPr>
        <w:t>sans</w:t>
      </w:r>
      <w:r>
        <w:rPr>
          <w:color w:val="231F20"/>
          <w:spacing w:val="-1"/>
          <w:w w:val="120"/>
        </w:rPr>
        <w:t> </w:t>
      </w:r>
      <w:r>
        <w:rPr>
          <w:color w:val="231F20"/>
          <w:w w:val="120"/>
        </w:rPr>
        <w:t>avoir</w:t>
      </w:r>
      <w:r>
        <w:rPr>
          <w:color w:val="231F20"/>
          <w:spacing w:val="-1"/>
          <w:w w:val="120"/>
        </w:rPr>
        <w:t> </w:t>
      </w:r>
      <w:r>
        <w:rPr>
          <w:color w:val="231F20"/>
          <w:w w:val="120"/>
        </w:rPr>
        <w:t>complètement</w:t>
      </w:r>
      <w:r>
        <w:rPr>
          <w:color w:val="231F20"/>
          <w:spacing w:val="-1"/>
          <w:w w:val="120"/>
        </w:rPr>
        <w:t> </w:t>
      </w:r>
      <w:r>
        <w:rPr>
          <w:color w:val="231F20"/>
          <w:w w:val="120"/>
        </w:rPr>
        <w:t>démystifié</w:t>
      </w:r>
      <w:r>
        <w:rPr>
          <w:color w:val="231F20"/>
          <w:spacing w:val="-1"/>
          <w:w w:val="120"/>
        </w:rPr>
        <w:t> </w:t>
      </w:r>
      <w:r>
        <w:rPr>
          <w:color w:val="231F20"/>
          <w:w w:val="120"/>
        </w:rPr>
        <w:t>le</w:t>
      </w:r>
      <w:r>
        <w:rPr>
          <w:color w:val="231F20"/>
          <w:spacing w:val="-1"/>
          <w:w w:val="120"/>
        </w:rPr>
        <w:t> </w:t>
      </w:r>
      <w:r>
        <w:rPr>
          <w:color w:val="231F20"/>
          <w:w w:val="120"/>
        </w:rPr>
        <w:t>phéno­ </w:t>
      </w:r>
      <w:r>
        <w:rPr>
          <w:color w:val="231F20"/>
          <w:spacing w:val="-2"/>
          <w:w w:val="120"/>
        </w:rPr>
        <w:t>mène,</w:t>
      </w:r>
      <w:r>
        <w:rPr>
          <w:color w:val="231F20"/>
          <w:spacing w:val="-10"/>
          <w:w w:val="120"/>
        </w:rPr>
        <w:t> </w:t>
      </w:r>
      <w:r>
        <w:rPr>
          <w:color w:val="231F20"/>
          <w:spacing w:val="-2"/>
          <w:w w:val="120"/>
        </w:rPr>
        <w:t>les</w:t>
      </w:r>
      <w:r>
        <w:rPr>
          <w:color w:val="231F20"/>
          <w:spacing w:val="-10"/>
          <w:w w:val="120"/>
        </w:rPr>
        <w:t> </w:t>
      </w:r>
      <w:r>
        <w:rPr>
          <w:color w:val="231F20"/>
          <w:spacing w:val="-2"/>
          <w:w w:val="120"/>
        </w:rPr>
        <w:t>connaissances</w:t>
      </w:r>
      <w:r>
        <w:rPr>
          <w:color w:val="231F20"/>
          <w:spacing w:val="-10"/>
          <w:w w:val="120"/>
        </w:rPr>
        <w:t> </w:t>
      </w:r>
      <w:r>
        <w:rPr>
          <w:color w:val="231F20"/>
          <w:spacing w:val="-2"/>
          <w:w w:val="120"/>
        </w:rPr>
        <w:t>scientifiques</w:t>
      </w:r>
      <w:r>
        <w:rPr>
          <w:color w:val="231F20"/>
          <w:spacing w:val="-10"/>
          <w:w w:val="120"/>
        </w:rPr>
        <w:t> </w:t>
      </w:r>
      <w:r>
        <w:rPr>
          <w:color w:val="231F20"/>
          <w:spacing w:val="-2"/>
          <w:w w:val="120"/>
        </w:rPr>
        <w:t>acquises</w:t>
      </w:r>
      <w:r>
        <w:rPr>
          <w:color w:val="231F20"/>
          <w:spacing w:val="-10"/>
          <w:w w:val="120"/>
        </w:rPr>
        <w:t> </w:t>
      </w:r>
      <w:r>
        <w:rPr>
          <w:color w:val="231F20"/>
          <w:spacing w:val="-2"/>
          <w:w w:val="120"/>
        </w:rPr>
        <w:t>au</w:t>
      </w:r>
      <w:r>
        <w:rPr>
          <w:color w:val="231F20"/>
          <w:spacing w:val="-10"/>
          <w:w w:val="120"/>
        </w:rPr>
        <w:t> </w:t>
      </w:r>
      <w:r>
        <w:rPr>
          <w:color w:val="231F20"/>
          <w:spacing w:val="-2"/>
          <w:w w:val="120"/>
        </w:rPr>
        <w:t>cours</w:t>
      </w:r>
      <w:r>
        <w:rPr>
          <w:color w:val="231F20"/>
          <w:spacing w:val="-9"/>
          <w:w w:val="120"/>
        </w:rPr>
        <w:t> </w:t>
      </w:r>
      <w:r>
        <w:rPr>
          <w:color w:val="231F20"/>
          <w:spacing w:val="-2"/>
          <w:w w:val="120"/>
        </w:rPr>
        <w:t>des</w:t>
      </w:r>
      <w:r>
        <w:rPr>
          <w:color w:val="231F20"/>
          <w:spacing w:val="-10"/>
          <w:w w:val="120"/>
        </w:rPr>
        <w:t> </w:t>
      </w:r>
      <w:r>
        <w:rPr>
          <w:color w:val="231F20"/>
          <w:spacing w:val="-2"/>
          <w:w w:val="120"/>
        </w:rPr>
        <w:t>80</w:t>
      </w:r>
      <w:r>
        <w:rPr>
          <w:color w:val="231F20"/>
          <w:spacing w:val="-10"/>
          <w:w w:val="120"/>
        </w:rPr>
        <w:t> </w:t>
      </w:r>
      <w:r>
        <w:rPr>
          <w:color w:val="231F20"/>
          <w:spacing w:val="-2"/>
          <w:w w:val="120"/>
        </w:rPr>
        <w:t>dernières</w:t>
      </w:r>
    </w:p>
    <w:p>
      <w:pPr>
        <w:spacing w:after="0" w:line="307" w:lineRule="auto"/>
        <w:jc w:val="both"/>
        <w:sectPr>
          <w:footerReference w:type="default" r:id="rId341"/>
          <w:pgSz w:w="8640" w:h="12960"/>
          <w:pgMar w:footer="0" w:header="0"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5"/>
        <w:jc w:val="both"/>
      </w:pPr>
      <w:r>
        <w:rPr>
          <w:color w:val="231F20"/>
          <w:w w:val="120"/>
        </w:rPr>
        <w:t>années</w:t>
      </w:r>
      <w:r>
        <w:rPr>
          <w:color w:val="231F20"/>
          <w:spacing w:val="-11"/>
          <w:w w:val="120"/>
        </w:rPr>
        <w:t> </w:t>
      </w:r>
      <w:r>
        <w:rPr>
          <w:color w:val="231F20"/>
          <w:w w:val="120"/>
        </w:rPr>
        <w:t>nous</w:t>
      </w:r>
      <w:r>
        <w:rPr>
          <w:color w:val="231F20"/>
          <w:spacing w:val="-11"/>
          <w:w w:val="120"/>
        </w:rPr>
        <w:t> </w:t>
      </w:r>
      <w:r>
        <w:rPr>
          <w:color w:val="231F20"/>
          <w:w w:val="120"/>
        </w:rPr>
        <w:t>offrent</w:t>
      </w:r>
      <w:r>
        <w:rPr>
          <w:color w:val="231F20"/>
          <w:spacing w:val="-11"/>
          <w:w w:val="120"/>
        </w:rPr>
        <w:t> </w:t>
      </w:r>
      <w:r>
        <w:rPr>
          <w:color w:val="231F20"/>
          <w:w w:val="120"/>
        </w:rPr>
        <w:t>un</w:t>
      </w:r>
      <w:r>
        <w:rPr>
          <w:color w:val="231F20"/>
          <w:spacing w:val="-11"/>
          <w:w w:val="120"/>
        </w:rPr>
        <w:t> </w:t>
      </w:r>
      <w:r>
        <w:rPr>
          <w:color w:val="231F20"/>
          <w:w w:val="120"/>
        </w:rPr>
        <w:t>éventail</w:t>
      </w:r>
      <w:r>
        <w:rPr>
          <w:color w:val="231F20"/>
          <w:spacing w:val="-11"/>
          <w:w w:val="120"/>
        </w:rPr>
        <w:t> </w:t>
      </w:r>
      <w:r>
        <w:rPr>
          <w:color w:val="231F20"/>
          <w:w w:val="120"/>
        </w:rPr>
        <w:t>de</w:t>
      </w:r>
      <w:r>
        <w:rPr>
          <w:color w:val="231F20"/>
          <w:spacing w:val="-11"/>
          <w:w w:val="120"/>
        </w:rPr>
        <w:t> </w:t>
      </w:r>
      <w:r>
        <w:rPr>
          <w:color w:val="231F20"/>
          <w:w w:val="120"/>
        </w:rPr>
        <w:t>savoirs</w:t>
      </w:r>
      <w:r>
        <w:rPr>
          <w:color w:val="231F20"/>
          <w:spacing w:val="-11"/>
          <w:w w:val="120"/>
        </w:rPr>
        <w:t> </w:t>
      </w:r>
      <w:r>
        <w:rPr>
          <w:color w:val="231F20"/>
          <w:w w:val="120"/>
        </w:rPr>
        <w:t>sur</w:t>
      </w:r>
      <w:r>
        <w:rPr>
          <w:color w:val="231F20"/>
          <w:spacing w:val="-11"/>
          <w:w w:val="120"/>
        </w:rPr>
        <w:t> </w:t>
      </w:r>
      <w:r>
        <w:rPr>
          <w:color w:val="231F20"/>
          <w:w w:val="120"/>
        </w:rPr>
        <w:t>l’étiologie</w:t>
      </w:r>
      <w:r>
        <w:rPr>
          <w:color w:val="231F20"/>
          <w:spacing w:val="-11"/>
          <w:w w:val="120"/>
        </w:rPr>
        <w:t> </w:t>
      </w:r>
      <w:r>
        <w:rPr>
          <w:color w:val="231F20"/>
          <w:w w:val="120"/>
        </w:rPr>
        <w:t>des</w:t>
      </w:r>
      <w:r>
        <w:rPr>
          <w:color w:val="231F20"/>
          <w:spacing w:val="-11"/>
          <w:w w:val="120"/>
        </w:rPr>
        <w:t> </w:t>
      </w:r>
      <w:r>
        <w:rPr>
          <w:color w:val="231F20"/>
          <w:w w:val="120"/>
        </w:rPr>
        <w:t>probléma­ tiques</w:t>
      </w:r>
      <w:r>
        <w:rPr>
          <w:color w:val="231F20"/>
          <w:spacing w:val="-12"/>
          <w:w w:val="120"/>
        </w:rPr>
        <w:t> </w:t>
      </w:r>
      <w:r>
        <w:rPr>
          <w:color w:val="231F20"/>
          <w:w w:val="120"/>
        </w:rPr>
        <w:t>de</w:t>
      </w:r>
      <w:r>
        <w:rPr>
          <w:color w:val="231F20"/>
          <w:spacing w:val="-12"/>
          <w:w w:val="120"/>
        </w:rPr>
        <w:t> </w:t>
      </w:r>
      <w:r>
        <w:rPr>
          <w:color w:val="231F20"/>
          <w:w w:val="120"/>
        </w:rPr>
        <w:t>stress</w:t>
      </w:r>
      <w:r>
        <w:rPr>
          <w:color w:val="231F20"/>
          <w:spacing w:val="-12"/>
          <w:w w:val="120"/>
        </w:rPr>
        <w:t> </w:t>
      </w:r>
      <w:r>
        <w:rPr>
          <w:color w:val="231F20"/>
          <w:w w:val="120"/>
        </w:rPr>
        <w:t>ainsi</w:t>
      </w:r>
      <w:r>
        <w:rPr>
          <w:color w:val="231F20"/>
          <w:spacing w:val="-12"/>
          <w:w w:val="120"/>
        </w:rPr>
        <w:t> </w:t>
      </w:r>
      <w:r>
        <w:rPr>
          <w:color w:val="231F20"/>
          <w:w w:val="120"/>
        </w:rPr>
        <w:t>que</w:t>
      </w:r>
      <w:r>
        <w:rPr>
          <w:color w:val="231F20"/>
          <w:spacing w:val="-12"/>
          <w:w w:val="120"/>
        </w:rPr>
        <w:t> </w:t>
      </w:r>
      <w:r>
        <w:rPr>
          <w:color w:val="231F20"/>
          <w:w w:val="120"/>
        </w:rPr>
        <w:t>sur</w:t>
      </w:r>
      <w:r>
        <w:rPr>
          <w:color w:val="231F20"/>
          <w:spacing w:val="-12"/>
          <w:w w:val="120"/>
        </w:rPr>
        <w:t> </w:t>
      </w:r>
      <w:r>
        <w:rPr>
          <w:color w:val="231F20"/>
          <w:w w:val="120"/>
        </w:rPr>
        <w:t>les</w:t>
      </w:r>
      <w:r>
        <w:rPr>
          <w:color w:val="231F20"/>
          <w:spacing w:val="-12"/>
          <w:w w:val="120"/>
        </w:rPr>
        <w:t> </w:t>
      </w:r>
      <w:r>
        <w:rPr>
          <w:color w:val="231F20"/>
          <w:w w:val="120"/>
        </w:rPr>
        <w:t>actions</w:t>
      </w:r>
      <w:r>
        <w:rPr>
          <w:color w:val="231F20"/>
          <w:spacing w:val="-12"/>
          <w:w w:val="120"/>
        </w:rPr>
        <w:t> </w:t>
      </w:r>
      <w:r>
        <w:rPr>
          <w:color w:val="231F20"/>
          <w:w w:val="120"/>
        </w:rPr>
        <w:t>à</w:t>
      </w:r>
      <w:r>
        <w:rPr>
          <w:color w:val="231F20"/>
          <w:spacing w:val="-12"/>
          <w:w w:val="120"/>
        </w:rPr>
        <w:t> </w:t>
      </w:r>
      <w:r>
        <w:rPr>
          <w:color w:val="231F20"/>
          <w:w w:val="120"/>
        </w:rPr>
        <w:t>entreprendre</w:t>
      </w:r>
      <w:r>
        <w:rPr>
          <w:color w:val="231F20"/>
          <w:spacing w:val="-12"/>
          <w:w w:val="120"/>
        </w:rPr>
        <w:t> </w:t>
      </w:r>
      <w:r>
        <w:rPr>
          <w:color w:val="231F20"/>
          <w:w w:val="120"/>
        </w:rPr>
        <w:t>afin</w:t>
      </w:r>
      <w:r>
        <w:rPr>
          <w:color w:val="231F20"/>
          <w:spacing w:val="-12"/>
          <w:w w:val="120"/>
        </w:rPr>
        <w:t> </w:t>
      </w:r>
      <w:r>
        <w:rPr>
          <w:color w:val="231F20"/>
          <w:w w:val="120"/>
        </w:rPr>
        <w:t>d’en</w:t>
      </w:r>
      <w:r>
        <w:rPr>
          <w:color w:val="231F20"/>
          <w:spacing w:val="-12"/>
          <w:w w:val="120"/>
        </w:rPr>
        <w:t> </w:t>
      </w:r>
      <w:r>
        <w:rPr>
          <w:color w:val="231F20"/>
          <w:w w:val="120"/>
        </w:rPr>
        <w:t>contrer les</w:t>
      </w:r>
      <w:r>
        <w:rPr>
          <w:color w:val="231F20"/>
          <w:spacing w:val="-13"/>
          <w:w w:val="120"/>
        </w:rPr>
        <w:t> </w:t>
      </w:r>
      <w:r>
        <w:rPr>
          <w:color w:val="231F20"/>
          <w:w w:val="120"/>
        </w:rPr>
        <w:t>effets</w:t>
      </w:r>
      <w:r>
        <w:rPr>
          <w:color w:val="231F20"/>
          <w:spacing w:val="-13"/>
          <w:w w:val="120"/>
        </w:rPr>
        <w:t> </w:t>
      </w:r>
      <w:r>
        <w:rPr>
          <w:color w:val="231F20"/>
          <w:w w:val="120"/>
        </w:rPr>
        <w:t>négatifs.</w:t>
      </w:r>
      <w:r>
        <w:rPr>
          <w:color w:val="231F20"/>
          <w:spacing w:val="-13"/>
          <w:w w:val="120"/>
        </w:rPr>
        <w:t> </w:t>
      </w:r>
      <w:r>
        <w:rPr>
          <w:color w:val="231F20"/>
          <w:w w:val="120"/>
        </w:rPr>
        <w:t>L’un</w:t>
      </w:r>
      <w:r>
        <w:rPr>
          <w:color w:val="231F20"/>
          <w:spacing w:val="-12"/>
          <w:w w:val="120"/>
        </w:rPr>
        <w:t> </w:t>
      </w:r>
      <w:r>
        <w:rPr>
          <w:color w:val="231F20"/>
          <w:w w:val="120"/>
        </w:rPr>
        <w:t>des</w:t>
      </w:r>
      <w:r>
        <w:rPr>
          <w:color w:val="231F20"/>
          <w:spacing w:val="-13"/>
          <w:w w:val="120"/>
        </w:rPr>
        <w:t> </w:t>
      </w:r>
      <w:r>
        <w:rPr>
          <w:color w:val="231F20"/>
          <w:w w:val="120"/>
        </w:rPr>
        <w:t>objectifs</w:t>
      </w:r>
      <w:r>
        <w:rPr>
          <w:color w:val="231F20"/>
          <w:spacing w:val="-13"/>
          <w:w w:val="120"/>
        </w:rPr>
        <w:t> </w:t>
      </w:r>
      <w:r>
        <w:rPr>
          <w:color w:val="231F20"/>
          <w:w w:val="120"/>
        </w:rPr>
        <w:t>de</w:t>
      </w:r>
      <w:r>
        <w:rPr>
          <w:color w:val="231F20"/>
          <w:spacing w:val="-13"/>
          <w:w w:val="120"/>
        </w:rPr>
        <w:t> </w:t>
      </w:r>
      <w:r>
        <w:rPr>
          <w:color w:val="231F20"/>
          <w:w w:val="120"/>
        </w:rPr>
        <w:t>ce</w:t>
      </w:r>
      <w:r>
        <w:rPr>
          <w:color w:val="231F20"/>
          <w:spacing w:val="-12"/>
          <w:w w:val="120"/>
        </w:rPr>
        <w:t> </w:t>
      </w:r>
      <w:r>
        <w:rPr>
          <w:color w:val="231F20"/>
          <w:w w:val="120"/>
        </w:rPr>
        <w:t>livre</w:t>
      </w:r>
      <w:r>
        <w:rPr>
          <w:color w:val="231F20"/>
          <w:spacing w:val="-13"/>
          <w:w w:val="120"/>
        </w:rPr>
        <w:t> </w:t>
      </w:r>
      <w:r>
        <w:rPr>
          <w:color w:val="231F20"/>
          <w:w w:val="120"/>
        </w:rPr>
        <w:t>était</w:t>
      </w:r>
      <w:r>
        <w:rPr>
          <w:color w:val="231F20"/>
          <w:spacing w:val="-13"/>
          <w:w w:val="120"/>
        </w:rPr>
        <w:t> </w:t>
      </w:r>
      <w:r>
        <w:rPr>
          <w:color w:val="231F20"/>
          <w:w w:val="120"/>
        </w:rPr>
        <w:t>justement</w:t>
      </w:r>
      <w:r>
        <w:rPr>
          <w:color w:val="231F20"/>
          <w:spacing w:val="-13"/>
          <w:w w:val="120"/>
        </w:rPr>
        <w:t> </w:t>
      </w:r>
      <w:r>
        <w:rPr>
          <w:color w:val="231F20"/>
          <w:w w:val="120"/>
        </w:rPr>
        <w:t>de</w:t>
      </w:r>
      <w:r>
        <w:rPr>
          <w:color w:val="231F20"/>
          <w:spacing w:val="-12"/>
          <w:w w:val="120"/>
        </w:rPr>
        <w:t> </w:t>
      </w:r>
      <w:r>
        <w:rPr>
          <w:color w:val="231F20"/>
          <w:w w:val="120"/>
        </w:rPr>
        <w:t>favo­ riser un meilleur transfert des connaissances du domaine des sciences vers les entreprises.</w:t>
      </w:r>
    </w:p>
    <w:p>
      <w:pPr>
        <w:pStyle w:val="BodyText"/>
        <w:spacing w:line="307" w:lineRule="auto" w:before="79"/>
        <w:ind w:left="830" w:right="495" w:firstLine="250"/>
        <w:jc w:val="both"/>
      </w:pPr>
      <w:r>
        <w:rPr>
          <w:color w:val="231F20"/>
          <w:w w:val="120"/>
        </w:rPr>
        <w:t>Nous nous sommes demandé quelle serait la meilleure façon de </w:t>
      </w:r>
      <w:r>
        <w:rPr>
          <w:color w:val="231F20"/>
          <w:w w:val="115"/>
        </w:rPr>
        <w:t>conclure</w:t>
      </w:r>
      <w:r>
        <w:rPr>
          <w:color w:val="231F20"/>
          <w:spacing w:val="-6"/>
          <w:w w:val="115"/>
        </w:rPr>
        <w:t> </w:t>
      </w:r>
      <w:r>
        <w:rPr>
          <w:color w:val="231F20"/>
          <w:w w:val="115"/>
        </w:rPr>
        <w:t>ce</w:t>
      </w:r>
      <w:r>
        <w:rPr>
          <w:color w:val="231F20"/>
          <w:spacing w:val="-6"/>
          <w:w w:val="115"/>
        </w:rPr>
        <w:t> </w:t>
      </w:r>
      <w:r>
        <w:rPr>
          <w:color w:val="231F20"/>
          <w:w w:val="115"/>
        </w:rPr>
        <w:t>livre</w:t>
      </w:r>
      <w:r>
        <w:rPr>
          <w:color w:val="231F20"/>
          <w:spacing w:val="-6"/>
          <w:w w:val="115"/>
        </w:rPr>
        <w:t> </w:t>
      </w:r>
      <w:r>
        <w:rPr>
          <w:color w:val="231F20"/>
          <w:w w:val="115"/>
        </w:rPr>
        <w:t>et</w:t>
      </w:r>
      <w:r>
        <w:rPr>
          <w:color w:val="231F20"/>
          <w:spacing w:val="-6"/>
          <w:w w:val="115"/>
        </w:rPr>
        <w:t> </w:t>
      </w:r>
      <w:r>
        <w:rPr>
          <w:color w:val="231F20"/>
          <w:w w:val="115"/>
        </w:rPr>
        <w:t>de</w:t>
      </w:r>
      <w:r>
        <w:rPr>
          <w:color w:val="231F20"/>
          <w:spacing w:val="-6"/>
          <w:w w:val="115"/>
        </w:rPr>
        <w:t> </w:t>
      </w:r>
      <w:r>
        <w:rPr>
          <w:color w:val="231F20"/>
          <w:w w:val="115"/>
        </w:rPr>
        <w:t>laisser</w:t>
      </w:r>
      <w:r>
        <w:rPr>
          <w:color w:val="231F20"/>
          <w:spacing w:val="-6"/>
          <w:w w:val="115"/>
        </w:rPr>
        <w:t> </w:t>
      </w:r>
      <w:r>
        <w:rPr>
          <w:color w:val="231F20"/>
          <w:w w:val="115"/>
        </w:rPr>
        <w:t>une</w:t>
      </w:r>
      <w:r>
        <w:rPr>
          <w:color w:val="231F20"/>
          <w:spacing w:val="-6"/>
          <w:w w:val="115"/>
        </w:rPr>
        <w:t> </w:t>
      </w:r>
      <w:r>
        <w:rPr>
          <w:color w:val="231F20"/>
          <w:w w:val="115"/>
        </w:rPr>
        <w:t>empreinte</w:t>
      </w:r>
      <w:r>
        <w:rPr>
          <w:color w:val="231F20"/>
          <w:spacing w:val="-6"/>
          <w:w w:val="115"/>
        </w:rPr>
        <w:t> </w:t>
      </w:r>
      <w:r>
        <w:rPr>
          <w:color w:val="231F20"/>
          <w:w w:val="115"/>
        </w:rPr>
        <w:t>significative</w:t>
      </w:r>
      <w:r>
        <w:rPr>
          <w:color w:val="231F20"/>
          <w:spacing w:val="-6"/>
          <w:w w:val="115"/>
        </w:rPr>
        <w:t> </w:t>
      </w:r>
      <w:r>
        <w:rPr>
          <w:color w:val="231F20"/>
          <w:w w:val="115"/>
        </w:rPr>
        <w:t>dans</w:t>
      </w:r>
      <w:r>
        <w:rPr>
          <w:color w:val="231F20"/>
          <w:spacing w:val="-6"/>
          <w:w w:val="115"/>
        </w:rPr>
        <w:t> </w:t>
      </w:r>
      <w:r>
        <w:rPr>
          <w:color w:val="231F20"/>
          <w:w w:val="115"/>
        </w:rPr>
        <w:t>l’esprit</w:t>
      </w:r>
      <w:r>
        <w:rPr>
          <w:color w:val="231F20"/>
          <w:spacing w:val="-6"/>
          <w:w w:val="115"/>
        </w:rPr>
        <w:t> </w:t>
      </w:r>
      <w:r>
        <w:rPr>
          <w:color w:val="231F20"/>
          <w:w w:val="115"/>
        </w:rPr>
        <w:t>des </w:t>
      </w:r>
      <w:r>
        <w:rPr>
          <w:color w:val="231F20"/>
          <w:w w:val="120"/>
        </w:rPr>
        <w:t>lecteurs.</w:t>
      </w:r>
      <w:r>
        <w:rPr>
          <w:color w:val="231F20"/>
          <w:spacing w:val="-2"/>
          <w:w w:val="120"/>
        </w:rPr>
        <w:t> </w:t>
      </w:r>
      <w:r>
        <w:rPr>
          <w:color w:val="231F20"/>
          <w:w w:val="120"/>
        </w:rPr>
        <w:t>Nous</w:t>
      </w:r>
      <w:r>
        <w:rPr>
          <w:color w:val="231F20"/>
          <w:spacing w:val="-2"/>
          <w:w w:val="120"/>
        </w:rPr>
        <w:t> </w:t>
      </w:r>
      <w:r>
        <w:rPr>
          <w:color w:val="231F20"/>
          <w:w w:val="120"/>
        </w:rPr>
        <w:t>avons</w:t>
      </w:r>
      <w:r>
        <w:rPr>
          <w:color w:val="231F20"/>
          <w:spacing w:val="-2"/>
          <w:w w:val="120"/>
        </w:rPr>
        <w:t> </w:t>
      </w:r>
      <w:r>
        <w:rPr>
          <w:color w:val="231F20"/>
          <w:w w:val="120"/>
        </w:rPr>
        <w:t>considéré</w:t>
      </w:r>
      <w:r>
        <w:rPr>
          <w:color w:val="231F20"/>
          <w:spacing w:val="-2"/>
          <w:w w:val="120"/>
        </w:rPr>
        <w:t> </w:t>
      </w:r>
      <w:r>
        <w:rPr>
          <w:color w:val="231F20"/>
          <w:w w:val="120"/>
        </w:rPr>
        <w:t>que</w:t>
      </w:r>
      <w:r>
        <w:rPr>
          <w:color w:val="231F20"/>
          <w:spacing w:val="-2"/>
          <w:w w:val="120"/>
        </w:rPr>
        <w:t> </w:t>
      </w:r>
      <w:r>
        <w:rPr>
          <w:color w:val="231F20"/>
          <w:w w:val="120"/>
        </w:rPr>
        <w:t>la</w:t>
      </w:r>
      <w:r>
        <w:rPr>
          <w:color w:val="231F20"/>
          <w:spacing w:val="-2"/>
          <w:w w:val="120"/>
        </w:rPr>
        <w:t> </w:t>
      </w:r>
      <w:r>
        <w:rPr>
          <w:color w:val="231F20"/>
          <w:w w:val="120"/>
        </w:rPr>
        <w:t>meilleure</w:t>
      </w:r>
      <w:r>
        <w:rPr>
          <w:color w:val="231F20"/>
          <w:spacing w:val="-2"/>
          <w:w w:val="120"/>
        </w:rPr>
        <w:t> </w:t>
      </w:r>
      <w:r>
        <w:rPr>
          <w:color w:val="231F20"/>
          <w:w w:val="120"/>
        </w:rPr>
        <w:t>façon</w:t>
      </w:r>
      <w:r>
        <w:rPr>
          <w:color w:val="231F20"/>
          <w:spacing w:val="-2"/>
          <w:w w:val="120"/>
        </w:rPr>
        <w:t> </w:t>
      </w:r>
      <w:r>
        <w:rPr>
          <w:color w:val="231F20"/>
          <w:w w:val="120"/>
        </w:rPr>
        <w:t>d’y</w:t>
      </w:r>
      <w:r>
        <w:rPr>
          <w:color w:val="231F20"/>
          <w:spacing w:val="-2"/>
          <w:w w:val="120"/>
        </w:rPr>
        <w:t> </w:t>
      </w:r>
      <w:r>
        <w:rPr>
          <w:color w:val="231F20"/>
          <w:w w:val="120"/>
        </w:rPr>
        <w:t>parvenir</w:t>
      </w:r>
      <w:r>
        <w:rPr>
          <w:color w:val="231F20"/>
          <w:spacing w:val="-2"/>
          <w:w w:val="120"/>
        </w:rPr>
        <w:t> </w:t>
      </w:r>
      <w:r>
        <w:rPr>
          <w:color w:val="231F20"/>
          <w:w w:val="120"/>
        </w:rPr>
        <w:t>est peut­être</w:t>
      </w:r>
      <w:r>
        <w:rPr>
          <w:color w:val="231F20"/>
          <w:spacing w:val="40"/>
          <w:w w:val="120"/>
        </w:rPr>
        <w:t> </w:t>
      </w:r>
      <w:r>
        <w:rPr>
          <w:color w:val="231F20"/>
          <w:w w:val="120"/>
        </w:rPr>
        <w:t>d’offrir</w:t>
      </w:r>
      <w:r>
        <w:rPr>
          <w:color w:val="231F20"/>
          <w:spacing w:val="40"/>
          <w:w w:val="120"/>
        </w:rPr>
        <w:t> </w:t>
      </w:r>
      <w:r>
        <w:rPr>
          <w:color w:val="231F20"/>
          <w:w w:val="120"/>
        </w:rPr>
        <w:t>deux</w:t>
      </w:r>
      <w:r>
        <w:rPr>
          <w:color w:val="231F20"/>
          <w:spacing w:val="40"/>
          <w:w w:val="120"/>
        </w:rPr>
        <w:t> </w:t>
      </w:r>
      <w:r>
        <w:rPr>
          <w:color w:val="231F20"/>
          <w:w w:val="120"/>
        </w:rPr>
        <w:t>perspectives</w:t>
      </w:r>
      <w:r>
        <w:rPr>
          <w:color w:val="231F20"/>
          <w:spacing w:val="40"/>
          <w:w w:val="120"/>
        </w:rPr>
        <w:t> </w:t>
      </w:r>
      <w:r>
        <w:rPr>
          <w:color w:val="231F20"/>
          <w:w w:val="120"/>
        </w:rPr>
        <w:t>synthèses</w:t>
      </w:r>
      <w:r>
        <w:rPr>
          <w:color w:val="231F20"/>
          <w:spacing w:val="-6"/>
          <w:w w:val="120"/>
        </w:rPr>
        <w:t> </w:t>
      </w:r>
      <w:r>
        <w:rPr>
          <w:color w:val="231F20"/>
          <w:w w:val="120"/>
        </w:rPr>
        <w:t>:</w:t>
      </w:r>
      <w:r>
        <w:rPr>
          <w:color w:val="231F20"/>
          <w:spacing w:val="40"/>
          <w:w w:val="120"/>
        </w:rPr>
        <w:t> </w:t>
      </w:r>
      <w:r>
        <w:rPr>
          <w:color w:val="231F20"/>
          <w:w w:val="120"/>
        </w:rPr>
        <w:t>l’une</w:t>
      </w:r>
      <w:r>
        <w:rPr>
          <w:color w:val="231F20"/>
          <w:spacing w:val="40"/>
          <w:w w:val="120"/>
        </w:rPr>
        <w:t> </w:t>
      </w:r>
      <w:r>
        <w:rPr>
          <w:color w:val="231F20"/>
          <w:w w:val="120"/>
        </w:rPr>
        <w:t>rétrospective liée</w:t>
      </w:r>
      <w:r>
        <w:rPr>
          <w:color w:val="231F20"/>
          <w:spacing w:val="-9"/>
          <w:w w:val="120"/>
        </w:rPr>
        <w:t> </w:t>
      </w:r>
      <w:r>
        <w:rPr>
          <w:color w:val="231F20"/>
          <w:w w:val="120"/>
        </w:rPr>
        <w:t>aux</w:t>
      </w:r>
      <w:r>
        <w:rPr>
          <w:color w:val="231F20"/>
          <w:spacing w:val="-8"/>
          <w:w w:val="120"/>
        </w:rPr>
        <w:t> </w:t>
      </w:r>
      <w:r>
        <w:rPr>
          <w:color w:val="231F20"/>
          <w:w w:val="120"/>
        </w:rPr>
        <w:t>leçons</w:t>
      </w:r>
      <w:r>
        <w:rPr>
          <w:color w:val="231F20"/>
          <w:spacing w:val="-8"/>
          <w:w w:val="120"/>
        </w:rPr>
        <w:t> </w:t>
      </w:r>
      <w:r>
        <w:rPr>
          <w:color w:val="231F20"/>
          <w:w w:val="120"/>
        </w:rPr>
        <w:t>du</w:t>
      </w:r>
      <w:r>
        <w:rPr>
          <w:color w:val="231F20"/>
          <w:spacing w:val="-9"/>
          <w:w w:val="120"/>
        </w:rPr>
        <w:t> </w:t>
      </w:r>
      <w:r>
        <w:rPr>
          <w:color w:val="231F20"/>
          <w:w w:val="120"/>
        </w:rPr>
        <w:t>passé,</w:t>
      </w:r>
      <w:r>
        <w:rPr>
          <w:color w:val="231F20"/>
          <w:spacing w:val="-9"/>
          <w:w w:val="120"/>
        </w:rPr>
        <w:t> </w:t>
      </w:r>
      <w:r>
        <w:rPr>
          <w:color w:val="231F20"/>
          <w:w w:val="120"/>
        </w:rPr>
        <w:t>et</w:t>
      </w:r>
      <w:r>
        <w:rPr>
          <w:color w:val="231F20"/>
          <w:spacing w:val="-8"/>
          <w:w w:val="120"/>
        </w:rPr>
        <w:t> </w:t>
      </w:r>
      <w:r>
        <w:rPr>
          <w:color w:val="231F20"/>
          <w:w w:val="120"/>
        </w:rPr>
        <w:t>l’autre</w:t>
      </w:r>
      <w:r>
        <w:rPr>
          <w:color w:val="231F20"/>
          <w:spacing w:val="-8"/>
          <w:w w:val="120"/>
        </w:rPr>
        <w:t> </w:t>
      </w:r>
      <w:r>
        <w:rPr>
          <w:color w:val="231F20"/>
          <w:w w:val="120"/>
        </w:rPr>
        <w:t>prospective</w:t>
      </w:r>
      <w:r>
        <w:rPr>
          <w:color w:val="231F20"/>
          <w:spacing w:val="-9"/>
          <w:w w:val="120"/>
        </w:rPr>
        <w:t> </w:t>
      </w:r>
      <w:r>
        <w:rPr>
          <w:color w:val="231F20"/>
          <w:w w:val="120"/>
        </w:rPr>
        <w:t>concernant</w:t>
      </w:r>
      <w:r>
        <w:rPr>
          <w:color w:val="231F20"/>
          <w:spacing w:val="-8"/>
          <w:w w:val="120"/>
        </w:rPr>
        <w:t> </w:t>
      </w:r>
      <w:r>
        <w:rPr>
          <w:color w:val="231F20"/>
          <w:w w:val="120"/>
        </w:rPr>
        <w:t>les</w:t>
      </w:r>
      <w:r>
        <w:rPr>
          <w:color w:val="231F20"/>
          <w:spacing w:val="-9"/>
          <w:w w:val="120"/>
        </w:rPr>
        <w:t> </w:t>
      </w:r>
      <w:r>
        <w:rPr>
          <w:color w:val="231F20"/>
          <w:w w:val="120"/>
        </w:rPr>
        <w:t>solutions de</w:t>
      </w:r>
      <w:r>
        <w:rPr>
          <w:color w:val="231F20"/>
          <w:spacing w:val="-8"/>
          <w:w w:val="120"/>
        </w:rPr>
        <w:t> </w:t>
      </w:r>
      <w:r>
        <w:rPr>
          <w:color w:val="231F20"/>
          <w:w w:val="120"/>
        </w:rPr>
        <w:t>l’avenir.</w:t>
      </w:r>
      <w:r>
        <w:rPr>
          <w:color w:val="231F20"/>
          <w:spacing w:val="-8"/>
          <w:w w:val="120"/>
        </w:rPr>
        <w:t> </w:t>
      </w:r>
      <w:r>
        <w:rPr>
          <w:color w:val="231F20"/>
          <w:w w:val="120"/>
        </w:rPr>
        <w:t>Dans</w:t>
      </w:r>
      <w:r>
        <w:rPr>
          <w:color w:val="231F20"/>
          <w:spacing w:val="-8"/>
          <w:w w:val="120"/>
        </w:rPr>
        <w:t> </w:t>
      </w:r>
      <w:r>
        <w:rPr>
          <w:color w:val="231F20"/>
          <w:w w:val="120"/>
        </w:rPr>
        <w:t>cette</w:t>
      </w:r>
      <w:r>
        <w:rPr>
          <w:color w:val="231F20"/>
          <w:spacing w:val="-8"/>
          <w:w w:val="120"/>
        </w:rPr>
        <w:t> </w:t>
      </w:r>
      <w:r>
        <w:rPr>
          <w:color w:val="231F20"/>
          <w:w w:val="120"/>
        </w:rPr>
        <w:t>logique,</w:t>
      </w:r>
      <w:r>
        <w:rPr>
          <w:color w:val="231F20"/>
          <w:spacing w:val="-8"/>
          <w:w w:val="120"/>
        </w:rPr>
        <w:t> </w:t>
      </w:r>
      <w:r>
        <w:rPr>
          <w:color w:val="231F20"/>
          <w:w w:val="120"/>
        </w:rPr>
        <w:t>les</w:t>
      </w:r>
      <w:r>
        <w:rPr>
          <w:color w:val="231F20"/>
          <w:spacing w:val="-8"/>
          <w:w w:val="120"/>
        </w:rPr>
        <w:t> </w:t>
      </w:r>
      <w:r>
        <w:rPr>
          <w:color w:val="231F20"/>
          <w:w w:val="120"/>
        </w:rPr>
        <w:t>deux</w:t>
      </w:r>
      <w:r>
        <w:rPr>
          <w:color w:val="231F20"/>
          <w:spacing w:val="-8"/>
          <w:w w:val="120"/>
        </w:rPr>
        <w:t> </w:t>
      </w:r>
      <w:r>
        <w:rPr>
          <w:color w:val="231F20"/>
          <w:w w:val="120"/>
        </w:rPr>
        <w:t>courtes</w:t>
      </w:r>
      <w:r>
        <w:rPr>
          <w:color w:val="231F20"/>
          <w:spacing w:val="-8"/>
          <w:w w:val="120"/>
        </w:rPr>
        <w:t> </w:t>
      </w:r>
      <w:r>
        <w:rPr>
          <w:color w:val="231F20"/>
          <w:w w:val="120"/>
        </w:rPr>
        <w:t>sections</w:t>
      </w:r>
      <w:r>
        <w:rPr>
          <w:color w:val="231F20"/>
          <w:spacing w:val="-8"/>
          <w:w w:val="120"/>
        </w:rPr>
        <w:t> </w:t>
      </w:r>
      <w:r>
        <w:rPr>
          <w:color w:val="231F20"/>
          <w:w w:val="120"/>
        </w:rPr>
        <w:t>qui</w:t>
      </w:r>
      <w:r>
        <w:rPr>
          <w:color w:val="231F20"/>
          <w:spacing w:val="-8"/>
          <w:w w:val="120"/>
        </w:rPr>
        <w:t> </w:t>
      </w:r>
      <w:r>
        <w:rPr>
          <w:color w:val="231F20"/>
          <w:w w:val="120"/>
        </w:rPr>
        <w:t>suivent</w:t>
      </w:r>
      <w:r>
        <w:rPr>
          <w:color w:val="231F20"/>
          <w:spacing w:val="-8"/>
          <w:w w:val="120"/>
        </w:rPr>
        <w:t> </w:t>
      </w:r>
      <w:r>
        <w:rPr>
          <w:color w:val="231F20"/>
          <w:w w:val="120"/>
        </w:rPr>
        <w:t>se </w:t>
      </w:r>
      <w:r>
        <w:rPr>
          <w:color w:val="231F20"/>
          <w:spacing w:val="-2"/>
          <w:w w:val="120"/>
        </w:rPr>
        <w:t>veulent</w:t>
      </w:r>
      <w:r>
        <w:rPr>
          <w:color w:val="231F20"/>
          <w:spacing w:val="-9"/>
          <w:w w:val="120"/>
        </w:rPr>
        <w:t> </w:t>
      </w:r>
      <w:r>
        <w:rPr>
          <w:color w:val="231F20"/>
          <w:spacing w:val="-2"/>
          <w:w w:val="120"/>
        </w:rPr>
        <w:t>réflexives</w:t>
      </w:r>
      <w:r>
        <w:rPr>
          <w:color w:val="231F20"/>
          <w:spacing w:val="-9"/>
          <w:w w:val="120"/>
        </w:rPr>
        <w:t> </w:t>
      </w:r>
      <w:r>
        <w:rPr>
          <w:color w:val="231F20"/>
          <w:spacing w:val="-2"/>
          <w:w w:val="120"/>
        </w:rPr>
        <w:t>afin</w:t>
      </w:r>
      <w:r>
        <w:rPr>
          <w:color w:val="231F20"/>
          <w:spacing w:val="-9"/>
          <w:w w:val="120"/>
        </w:rPr>
        <w:t> </w:t>
      </w:r>
      <w:r>
        <w:rPr>
          <w:color w:val="231F20"/>
          <w:spacing w:val="-2"/>
          <w:w w:val="120"/>
        </w:rPr>
        <w:t>de</w:t>
      </w:r>
      <w:r>
        <w:rPr>
          <w:color w:val="231F20"/>
          <w:spacing w:val="-9"/>
          <w:w w:val="120"/>
        </w:rPr>
        <w:t> </w:t>
      </w:r>
      <w:r>
        <w:rPr>
          <w:color w:val="231F20"/>
          <w:spacing w:val="-2"/>
          <w:w w:val="120"/>
        </w:rPr>
        <w:t>mieux</w:t>
      </w:r>
      <w:r>
        <w:rPr>
          <w:color w:val="231F20"/>
          <w:spacing w:val="-9"/>
          <w:w w:val="120"/>
        </w:rPr>
        <w:t> </w:t>
      </w:r>
      <w:r>
        <w:rPr>
          <w:color w:val="231F20"/>
          <w:spacing w:val="-2"/>
          <w:w w:val="120"/>
        </w:rPr>
        <w:t>comprendre</w:t>
      </w:r>
      <w:r>
        <w:rPr>
          <w:color w:val="231F20"/>
          <w:spacing w:val="-9"/>
          <w:w w:val="120"/>
        </w:rPr>
        <w:t> </w:t>
      </w:r>
      <w:r>
        <w:rPr>
          <w:color w:val="231F20"/>
          <w:spacing w:val="-2"/>
          <w:w w:val="120"/>
        </w:rPr>
        <w:t>le</w:t>
      </w:r>
      <w:r>
        <w:rPr>
          <w:color w:val="231F20"/>
          <w:spacing w:val="-9"/>
          <w:w w:val="120"/>
        </w:rPr>
        <w:t> </w:t>
      </w:r>
      <w:r>
        <w:rPr>
          <w:color w:val="231F20"/>
          <w:spacing w:val="-2"/>
          <w:w w:val="120"/>
        </w:rPr>
        <w:t>chemin</w:t>
      </w:r>
      <w:r>
        <w:rPr>
          <w:color w:val="231F20"/>
          <w:spacing w:val="-9"/>
          <w:w w:val="120"/>
        </w:rPr>
        <w:t> </w:t>
      </w:r>
      <w:r>
        <w:rPr>
          <w:color w:val="231F20"/>
          <w:spacing w:val="-2"/>
          <w:w w:val="120"/>
        </w:rPr>
        <w:t>parcouru</w:t>
      </w:r>
      <w:r>
        <w:rPr>
          <w:color w:val="231F20"/>
          <w:spacing w:val="-9"/>
          <w:w w:val="120"/>
        </w:rPr>
        <w:t> </w:t>
      </w:r>
      <w:r>
        <w:rPr>
          <w:color w:val="231F20"/>
          <w:spacing w:val="-2"/>
          <w:w w:val="120"/>
        </w:rPr>
        <w:t>et</w:t>
      </w:r>
      <w:r>
        <w:rPr>
          <w:color w:val="231F20"/>
          <w:spacing w:val="-9"/>
          <w:w w:val="120"/>
        </w:rPr>
        <w:t> </w:t>
      </w:r>
      <w:r>
        <w:rPr>
          <w:color w:val="231F20"/>
          <w:spacing w:val="-2"/>
          <w:w w:val="120"/>
        </w:rPr>
        <w:t>celui </w:t>
      </w:r>
      <w:r>
        <w:rPr>
          <w:color w:val="231F20"/>
          <w:w w:val="120"/>
        </w:rPr>
        <w:t>à</w:t>
      </w:r>
      <w:r>
        <w:rPr>
          <w:color w:val="231F20"/>
          <w:spacing w:val="-13"/>
          <w:w w:val="120"/>
        </w:rPr>
        <w:t> </w:t>
      </w:r>
      <w:r>
        <w:rPr>
          <w:color w:val="231F20"/>
          <w:w w:val="120"/>
        </w:rPr>
        <w:t>parcourir.</w:t>
      </w:r>
    </w:p>
    <w:p>
      <w:pPr>
        <w:pStyle w:val="BodyText"/>
        <w:rPr>
          <w:sz w:val="24"/>
        </w:rPr>
      </w:pPr>
    </w:p>
    <w:p>
      <w:pPr>
        <w:pStyle w:val="Heading2"/>
        <w:numPr>
          <w:ilvl w:val="1"/>
          <w:numId w:val="100"/>
        </w:numPr>
        <w:tabs>
          <w:tab w:pos="521" w:val="left" w:leader="none"/>
          <w:tab w:pos="829" w:val="left" w:leader="none"/>
        </w:tabs>
        <w:spacing w:line="240" w:lineRule="auto" w:before="184" w:after="0"/>
        <w:ind w:left="520" w:right="0" w:hanging="291"/>
        <w:jc w:val="left"/>
      </w:pPr>
      <w:r>
        <w:rPr>
          <w:b w:val="0"/>
          <w:i/>
          <w:color w:val="231F20"/>
          <w:spacing w:val="-10"/>
        </w:rPr>
        <w:t>/</w:t>
      </w:r>
      <w:r>
        <w:rPr>
          <w:b w:val="0"/>
          <w:i/>
          <w:color w:val="231F20"/>
        </w:rPr>
        <w:tab/>
      </w:r>
      <w:r>
        <w:rPr>
          <w:color w:val="231F20"/>
          <w:w w:val="95"/>
        </w:rPr>
        <w:t>Que</w:t>
      </w:r>
      <w:r>
        <w:rPr>
          <w:color w:val="231F20"/>
          <w:spacing w:val="-5"/>
          <w:w w:val="95"/>
        </w:rPr>
        <w:t> </w:t>
      </w:r>
      <w:r>
        <w:rPr>
          <w:color w:val="231F20"/>
          <w:w w:val="95"/>
        </w:rPr>
        <w:t>peut</w:t>
      </w:r>
      <w:r>
        <w:rPr>
          <w:color w:val="231F20"/>
          <w:spacing w:val="-5"/>
          <w:w w:val="95"/>
        </w:rPr>
        <w:t> </w:t>
      </w:r>
      <w:r>
        <w:rPr>
          <w:color w:val="231F20"/>
          <w:w w:val="95"/>
        </w:rPr>
        <w:t>nous</w:t>
      </w:r>
      <w:r>
        <w:rPr>
          <w:color w:val="231F20"/>
          <w:spacing w:val="-4"/>
          <w:w w:val="95"/>
        </w:rPr>
        <w:t> </w:t>
      </w:r>
      <w:r>
        <w:rPr>
          <w:color w:val="231F20"/>
          <w:w w:val="95"/>
        </w:rPr>
        <w:t>apprendre</w:t>
      </w:r>
      <w:r>
        <w:rPr>
          <w:color w:val="231F20"/>
          <w:spacing w:val="-5"/>
          <w:w w:val="95"/>
        </w:rPr>
        <w:t> </w:t>
      </w:r>
      <w:r>
        <w:rPr>
          <w:color w:val="231F20"/>
          <w:w w:val="95"/>
        </w:rPr>
        <w:t>l’histoire</w:t>
      </w:r>
      <w:r>
        <w:rPr>
          <w:color w:val="231F20"/>
          <w:spacing w:val="-5"/>
          <w:w w:val="95"/>
        </w:rPr>
        <w:t> </w:t>
      </w:r>
      <w:r>
        <w:rPr>
          <w:color w:val="231F20"/>
          <w:w w:val="95"/>
        </w:rPr>
        <w:t>de</w:t>
      </w:r>
      <w:r>
        <w:rPr>
          <w:color w:val="231F20"/>
          <w:spacing w:val="-4"/>
          <w:w w:val="95"/>
        </w:rPr>
        <w:t> </w:t>
      </w:r>
      <w:r>
        <w:rPr>
          <w:color w:val="231F20"/>
          <w:w w:val="95"/>
        </w:rPr>
        <w:t>l’étude</w:t>
      </w:r>
      <w:r>
        <w:rPr>
          <w:color w:val="231F20"/>
          <w:spacing w:val="-5"/>
          <w:w w:val="95"/>
        </w:rPr>
        <w:t> </w:t>
      </w:r>
      <w:r>
        <w:rPr>
          <w:color w:val="231F20"/>
          <w:w w:val="95"/>
        </w:rPr>
        <w:t>du</w:t>
      </w:r>
      <w:r>
        <w:rPr>
          <w:color w:val="231F20"/>
          <w:spacing w:val="-5"/>
          <w:w w:val="95"/>
        </w:rPr>
        <w:t> </w:t>
      </w:r>
      <w:r>
        <w:rPr>
          <w:color w:val="231F20"/>
          <w:w w:val="95"/>
        </w:rPr>
        <w:t>stress</w:t>
      </w:r>
      <w:r>
        <w:rPr>
          <w:color w:val="231F20"/>
          <w:spacing w:val="-32"/>
          <w:w w:val="95"/>
        </w:rPr>
        <w:t> </w:t>
      </w:r>
      <w:r>
        <w:rPr>
          <w:color w:val="231F20"/>
          <w:spacing w:val="-10"/>
          <w:w w:val="95"/>
        </w:rPr>
        <w:t>?</w:t>
      </w:r>
    </w:p>
    <w:p>
      <w:pPr>
        <w:pStyle w:val="BodyText"/>
        <w:spacing w:before="9"/>
        <w:rPr>
          <w:rFonts w:ascii="Arial"/>
          <w:b/>
          <w:sz w:val="25"/>
        </w:rPr>
      </w:pPr>
    </w:p>
    <w:p>
      <w:pPr>
        <w:pStyle w:val="BodyText"/>
        <w:spacing w:line="307" w:lineRule="auto"/>
        <w:ind w:left="830" w:right="495"/>
        <w:jc w:val="both"/>
      </w:pPr>
      <w:r>
        <w:rPr>
          <w:color w:val="231F20"/>
          <w:spacing w:val="-2"/>
          <w:w w:val="120"/>
        </w:rPr>
        <w:t>Un</w:t>
      </w:r>
      <w:r>
        <w:rPr>
          <w:color w:val="231F20"/>
          <w:spacing w:val="-6"/>
          <w:w w:val="120"/>
        </w:rPr>
        <w:t> </w:t>
      </w:r>
      <w:r>
        <w:rPr>
          <w:color w:val="231F20"/>
          <w:spacing w:val="-2"/>
          <w:w w:val="120"/>
        </w:rPr>
        <w:t>des</w:t>
      </w:r>
      <w:r>
        <w:rPr>
          <w:color w:val="231F20"/>
          <w:spacing w:val="-6"/>
          <w:w w:val="120"/>
        </w:rPr>
        <w:t> </w:t>
      </w:r>
      <w:r>
        <w:rPr>
          <w:color w:val="231F20"/>
          <w:spacing w:val="-2"/>
          <w:w w:val="120"/>
        </w:rPr>
        <w:t>objectifs</w:t>
      </w:r>
      <w:r>
        <w:rPr>
          <w:color w:val="231F20"/>
          <w:spacing w:val="-6"/>
          <w:w w:val="120"/>
        </w:rPr>
        <w:t> </w:t>
      </w:r>
      <w:r>
        <w:rPr>
          <w:color w:val="231F20"/>
          <w:spacing w:val="-2"/>
          <w:w w:val="120"/>
        </w:rPr>
        <w:t>de</w:t>
      </w:r>
      <w:r>
        <w:rPr>
          <w:color w:val="231F20"/>
          <w:spacing w:val="-6"/>
          <w:w w:val="120"/>
        </w:rPr>
        <w:t> </w:t>
      </w:r>
      <w:r>
        <w:rPr>
          <w:color w:val="231F20"/>
          <w:spacing w:val="-2"/>
          <w:w w:val="120"/>
        </w:rPr>
        <w:t>ce</w:t>
      </w:r>
      <w:r>
        <w:rPr>
          <w:color w:val="231F20"/>
          <w:spacing w:val="-6"/>
          <w:w w:val="120"/>
        </w:rPr>
        <w:t> </w:t>
      </w:r>
      <w:r>
        <w:rPr>
          <w:color w:val="231F20"/>
          <w:spacing w:val="-2"/>
          <w:w w:val="120"/>
        </w:rPr>
        <w:t>livre</w:t>
      </w:r>
      <w:r>
        <w:rPr>
          <w:color w:val="231F20"/>
          <w:spacing w:val="-6"/>
          <w:w w:val="120"/>
        </w:rPr>
        <w:t> </w:t>
      </w:r>
      <w:r>
        <w:rPr>
          <w:color w:val="231F20"/>
          <w:spacing w:val="-2"/>
          <w:w w:val="120"/>
        </w:rPr>
        <w:t>était</w:t>
      </w:r>
      <w:r>
        <w:rPr>
          <w:color w:val="231F20"/>
          <w:spacing w:val="-6"/>
          <w:w w:val="120"/>
        </w:rPr>
        <w:t> </w:t>
      </w:r>
      <w:r>
        <w:rPr>
          <w:color w:val="231F20"/>
          <w:spacing w:val="-2"/>
          <w:w w:val="120"/>
        </w:rPr>
        <w:t>de</w:t>
      </w:r>
      <w:r>
        <w:rPr>
          <w:color w:val="231F20"/>
          <w:spacing w:val="-6"/>
          <w:w w:val="120"/>
        </w:rPr>
        <w:t> </w:t>
      </w:r>
      <w:r>
        <w:rPr>
          <w:color w:val="231F20"/>
          <w:spacing w:val="-2"/>
          <w:w w:val="120"/>
        </w:rPr>
        <w:t>familiariser</w:t>
      </w:r>
      <w:r>
        <w:rPr>
          <w:color w:val="231F20"/>
          <w:spacing w:val="-6"/>
          <w:w w:val="120"/>
        </w:rPr>
        <w:t> </w:t>
      </w:r>
      <w:r>
        <w:rPr>
          <w:color w:val="231F20"/>
          <w:spacing w:val="-2"/>
          <w:w w:val="120"/>
        </w:rPr>
        <w:t>le</w:t>
      </w:r>
      <w:r>
        <w:rPr>
          <w:color w:val="231F20"/>
          <w:spacing w:val="-6"/>
          <w:w w:val="120"/>
        </w:rPr>
        <w:t> </w:t>
      </w:r>
      <w:r>
        <w:rPr>
          <w:color w:val="231F20"/>
          <w:spacing w:val="-2"/>
          <w:w w:val="120"/>
        </w:rPr>
        <w:t>lecteur</w:t>
      </w:r>
      <w:r>
        <w:rPr>
          <w:color w:val="231F20"/>
          <w:spacing w:val="-6"/>
          <w:w w:val="120"/>
        </w:rPr>
        <w:t> </w:t>
      </w:r>
      <w:r>
        <w:rPr>
          <w:color w:val="231F20"/>
          <w:spacing w:val="-2"/>
          <w:w w:val="120"/>
        </w:rPr>
        <w:t>avec</w:t>
      </w:r>
      <w:r>
        <w:rPr>
          <w:color w:val="231F20"/>
          <w:spacing w:val="-6"/>
          <w:w w:val="120"/>
        </w:rPr>
        <w:t> </w:t>
      </w:r>
      <w:r>
        <w:rPr>
          <w:color w:val="231F20"/>
          <w:spacing w:val="-2"/>
          <w:w w:val="120"/>
        </w:rPr>
        <w:t>le</w:t>
      </w:r>
      <w:r>
        <w:rPr>
          <w:color w:val="231F20"/>
          <w:spacing w:val="-6"/>
          <w:w w:val="120"/>
        </w:rPr>
        <w:t> </w:t>
      </w:r>
      <w:r>
        <w:rPr>
          <w:color w:val="231F20"/>
          <w:spacing w:val="-2"/>
          <w:w w:val="120"/>
        </w:rPr>
        <w:t>bagage </w:t>
      </w:r>
      <w:r>
        <w:rPr>
          <w:color w:val="231F20"/>
          <w:w w:val="120"/>
        </w:rPr>
        <w:t>important de connaissances que nous détenons actuellement sur la </w:t>
      </w:r>
      <w:r>
        <w:rPr>
          <w:color w:val="231F20"/>
          <w:spacing w:val="-2"/>
          <w:w w:val="120"/>
        </w:rPr>
        <w:t>notion</w:t>
      </w:r>
      <w:r>
        <w:rPr>
          <w:color w:val="231F20"/>
          <w:spacing w:val="-9"/>
          <w:w w:val="120"/>
        </w:rPr>
        <w:t> </w:t>
      </w:r>
      <w:r>
        <w:rPr>
          <w:color w:val="231F20"/>
          <w:spacing w:val="-2"/>
          <w:w w:val="120"/>
        </w:rPr>
        <w:t>de</w:t>
      </w:r>
      <w:r>
        <w:rPr>
          <w:color w:val="231F20"/>
          <w:spacing w:val="-9"/>
          <w:w w:val="120"/>
        </w:rPr>
        <w:t> </w:t>
      </w:r>
      <w:r>
        <w:rPr>
          <w:i/>
          <w:color w:val="231F20"/>
          <w:spacing w:val="-2"/>
          <w:w w:val="120"/>
        </w:rPr>
        <w:t>stress</w:t>
      </w:r>
      <w:r>
        <w:rPr>
          <w:color w:val="231F20"/>
          <w:spacing w:val="-2"/>
          <w:w w:val="120"/>
        </w:rPr>
        <w:t>.</w:t>
      </w:r>
      <w:r>
        <w:rPr>
          <w:color w:val="231F20"/>
          <w:spacing w:val="-9"/>
          <w:w w:val="120"/>
        </w:rPr>
        <w:t> </w:t>
      </w:r>
      <w:r>
        <w:rPr>
          <w:color w:val="231F20"/>
          <w:spacing w:val="-2"/>
          <w:w w:val="120"/>
        </w:rPr>
        <w:t>Nous</w:t>
      </w:r>
      <w:r>
        <w:rPr>
          <w:color w:val="231F20"/>
          <w:spacing w:val="-9"/>
          <w:w w:val="120"/>
        </w:rPr>
        <w:t> </w:t>
      </w:r>
      <w:r>
        <w:rPr>
          <w:color w:val="231F20"/>
          <w:spacing w:val="-2"/>
          <w:w w:val="120"/>
        </w:rPr>
        <w:t>espérons</w:t>
      </w:r>
      <w:r>
        <w:rPr>
          <w:color w:val="231F20"/>
          <w:spacing w:val="-9"/>
          <w:w w:val="120"/>
        </w:rPr>
        <w:t> </w:t>
      </w:r>
      <w:r>
        <w:rPr>
          <w:color w:val="231F20"/>
          <w:spacing w:val="-2"/>
          <w:w w:val="120"/>
        </w:rPr>
        <w:t>que</w:t>
      </w:r>
      <w:r>
        <w:rPr>
          <w:color w:val="231F20"/>
          <w:spacing w:val="-9"/>
          <w:w w:val="120"/>
        </w:rPr>
        <w:t> </w:t>
      </w:r>
      <w:r>
        <w:rPr>
          <w:color w:val="231F20"/>
          <w:spacing w:val="-2"/>
          <w:w w:val="120"/>
        </w:rPr>
        <w:t>le</w:t>
      </w:r>
      <w:r>
        <w:rPr>
          <w:color w:val="231F20"/>
          <w:spacing w:val="-9"/>
          <w:w w:val="120"/>
        </w:rPr>
        <w:t> </w:t>
      </w:r>
      <w:r>
        <w:rPr>
          <w:color w:val="231F20"/>
          <w:spacing w:val="-2"/>
          <w:w w:val="120"/>
        </w:rPr>
        <w:t>lecteur</w:t>
      </w:r>
      <w:r>
        <w:rPr>
          <w:color w:val="231F20"/>
          <w:spacing w:val="-9"/>
          <w:w w:val="120"/>
        </w:rPr>
        <w:t> </w:t>
      </w:r>
      <w:r>
        <w:rPr>
          <w:color w:val="231F20"/>
          <w:spacing w:val="-2"/>
          <w:w w:val="120"/>
        </w:rPr>
        <w:t>se</w:t>
      </w:r>
      <w:r>
        <w:rPr>
          <w:color w:val="231F20"/>
          <w:spacing w:val="-9"/>
          <w:w w:val="120"/>
        </w:rPr>
        <w:t> </w:t>
      </w:r>
      <w:r>
        <w:rPr>
          <w:color w:val="231F20"/>
          <w:spacing w:val="-2"/>
          <w:w w:val="120"/>
        </w:rPr>
        <w:t>souviendra</w:t>
      </w:r>
      <w:r>
        <w:rPr>
          <w:color w:val="231F20"/>
          <w:spacing w:val="-9"/>
          <w:w w:val="120"/>
        </w:rPr>
        <w:t> </w:t>
      </w:r>
      <w:r>
        <w:rPr>
          <w:color w:val="231F20"/>
          <w:spacing w:val="-2"/>
          <w:w w:val="120"/>
        </w:rPr>
        <w:t>que</w:t>
      </w:r>
      <w:r>
        <w:rPr>
          <w:color w:val="231F20"/>
          <w:spacing w:val="-9"/>
          <w:w w:val="120"/>
        </w:rPr>
        <w:t> </w:t>
      </w:r>
      <w:r>
        <w:rPr>
          <w:color w:val="231F20"/>
          <w:spacing w:val="-2"/>
          <w:w w:val="120"/>
        </w:rPr>
        <w:t>le</w:t>
      </w:r>
      <w:r>
        <w:rPr>
          <w:color w:val="231F20"/>
          <w:spacing w:val="-9"/>
          <w:w w:val="120"/>
        </w:rPr>
        <w:t> </w:t>
      </w:r>
      <w:r>
        <w:rPr>
          <w:color w:val="231F20"/>
          <w:spacing w:val="-2"/>
          <w:w w:val="120"/>
        </w:rPr>
        <w:t>stress </w:t>
      </w:r>
      <w:r>
        <w:rPr>
          <w:color w:val="231F20"/>
          <w:w w:val="120"/>
        </w:rPr>
        <w:t>peut</w:t>
      </w:r>
      <w:r>
        <w:rPr>
          <w:color w:val="231F20"/>
          <w:spacing w:val="-3"/>
          <w:w w:val="120"/>
        </w:rPr>
        <w:t> </w:t>
      </w:r>
      <w:r>
        <w:rPr>
          <w:color w:val="231F20"/>
          <w:w w:val="120"/>
        </w:rPr>
        <w:t>être envisagé sous divers angles</w:t>
      </w:r>
      <w:r>
        <w:rPr>
          <w:color w:val="231F20"/>
          <w:spacing w:val="-13"/>
          <w:w w:val="120"/>
        </w:rPr>
        <w:t> </w:t>
      </w:r>
      <w:r>
        <w:rPr>
          <w:color w:val="231F20"/>
          <w:w w:val="120"/>
        </w:rPr>
        <w:t>: physiologique, psychologique, managérial, professionnel et personnel. Le stress peut également être </w:t>
      </w:r>
      <w:r>
        <w:rPr>
          <w:color w:val="231F20"/>
          <w:w w:val="115"/>
        </w:rPr>
        <w:t>étudié</w:t>
      </w:r>
      <w:r>
        <w:rPr>
          <w:color w:val="231F20"/>
          <w:spacing w:val="-10"/>
          <w:w w:val="115"/>
        </w:rPr>
        <w:t> </w:t>
      </w:r>
      <w:r>
        <w:rPr>
          <w:color w:val="231F20"/>
          <w:w w:val="115"/>
        </w:rPr>
        <w:t>à différents niveaux</w:t>
      </w:r>
      <w:r>
        <w:rPr>
          <w:color w:val="231F20"/>
          <w:spacing w:val="-13"/>
          <w:w w:val="115"/>
        </w:rPr>
        <w:t> </w:t>
      </w:r>
      <w:r>
        <w:rPr>
          <w:color w:val="231F20"/>
          <w:w w:val="115"/>
        </w:rPr>
        <w:t>: individuel, de groupe, organisationnel, com­ </w:t>
      </w:r>
      <w:r>
        <w:rPr>
          <w:color w:val="231F20"/>
          <w:w w:val="120"/>
        </w:rPr>
        <w:t>munautaire ou sociétal. L’accent principal de ce livre était de retracer l’évolution</w:t>
      </w:r>
      <w:r>
        <w:rPr>
          <w:color w:val="231F20"/>
          <w:spacing w:val="-3"/>
          <w:w w:val="120"/>
        </w:rPr>
        <w:t> </w:t>
      </w:r>
      <w:r>
        <w:rPr>
          <w:color w:val="231F20"/>
          <w:w w:val="120"/>
        </w:rPr>
        <w:t>des</w:t>
      </w:r>
      <w:r>
        <w:rPr>
          <w:color w:val="231F20"/>
          <w:spacing w:val="-3"/>
          <w:w w:val="120"/>
        </w:rPr>
        <w:t> </w:t>
      </w:r>
      <w:r>
        <w:rPr>
          <w:color w:val="231F20"/>
          <w:w w:val="120"/>
        </w:rPr>
        <w:t>principales</w:t>
      </w:r>
      <w:r>
        <w:rPr>
          <w:color w:val="231F20"/>
          <w:spacing w:val="-3"/>
          <w:w w:val="120"/>
        </w:rPr>
        <w:t> </w:t>
      </w:r>
      <w:r>
        <w:rPr>
          <w:color w:val="231F20"/>
          <w:w w:val="120"/>
        </w:rPr>
        <w:t>théories</w:t>
      </w:r>
      <w:r>
        <w:rPr>
          <w:color w:val="231F20"/>
          <w:spacing w:val="-3"/>
          <w:w w:val="120"/>
        </w:rPr>
        <w:t> </w:t>
      </w:r>
      <w:r>
        <w:rPr>
          <w:color w:val="231F20"/>
          <w:w w:val="120"/>
        </w:rPr>
        <w:t>du</w:t>
      </w:r>
      <w:r>
        <w:rPr>
          <w:color w:val="231F20"/>
          <w:spacing w:val="-3"/>
          <w:w w:val="120"/>
        </w:rPr>
        <w:t> </w:t>
      </w:r>
      <w:r>
        <w:rPr>
          <w:color w:val="231F20"/>
          <w:w w:val="120"/>
        </w:rPr>
        <w:t>stress</w:t>
      </w:r>
      <w:r>
        <w:rPr>
          <w:color w:val="231F20"/>
          <w:spacing w:val="-3"/>
          <w:w w:val="120"/>
        </w:rPr>
        <w:t> </w:t>
      </w:r>
      <w:r>
        <w:rPr>
          <w:color w:val="231F20"/>
          <w:w w:val="120"/>
        </w:rPr>
        <w:t>et</w:t>
      </w:r>
      <w:r>
        <w:rPr>
          <w:color w:val="231F20"/>
          <w:spacing w:val="-3"/>
          <w:w w:val="120"/>
        </w:rPr>
        <w:t> </w:t>
      </w:r>
      <w:r>
        <w:rPr>
          <w:color w:val="231F20"/>
          <w:w w:val="120"/>
        </w:rPr>
        <w:t>leurs</w:t>
      </w:r>
      <w:r>
        <w:rPr>
          <w:color w:val="231F20"/>
          <w:spacing w:val="-3"/>
          <w:w w:val="120"/>
        </w:rPr>
        <w:t> </w:t>
      </w:r>
      <w:r>
        <w:rPr>
          <w:color w:val="231F20"/>
          <w:w w:val="120"/>
        </w:rPr>
        <w:t>explications</w:t>
      </w:r>
      <w:r>
        <w:rPr>
          <w:color w:val="231F20"/>
          <w:spacing w:val="-3"/>
          <w:w w:val="120"/>
        </w:rPr>
        <w:t> </w:t>
      </w:r>
      <w:r>
        <w:rPr>
          <w:color w:val="231F20"/>
          <w:w w:val="120"/>
        </w:rPr>
        <w:t>de</w:t>
      </w:r>
      <w:r>
        <w:rPr>
          <w:color w:val="231F20"/>
          <w:spacing w:val="-3"/>
          <w:w w:val="120"/>
        </w:rPr>
        <w:t> </w:t>
      </w:r>
      <w:r>
        <w:rPr>
          <w:color w:val="231F20"/>
          <w:w w:val="120"/>
        </w:rPr>
        <w:t>la dynamique de l’apparition de ses conséquences, particulièrement en contexte</w:t>
      </w:r>
      <w:r>
        <w:rPr>
          <w:color w:val="231F20"/>
          <w:spacing w:val="-6"/>
          <w:w w:val="120"/>
        </w:rPr>
        <w:t> </w:t>
      </w:r>
      <w:r>
        <w:rPr>
          <w:color w:val="231F20"/>
          <w:w w:val="120"/>
        </w:rPr>
        <w:t>professionnel.</w:t>
      </w:r>
      <w:r>
        <w:rPr>
          <w:color w:val="231F20"/>
          <w:spacing w:val="-6"/>
          <w:w w:val="120"/>
        </w:rPr>
        <w:t> </w:t>
      </w:r>
      <w:r>
        <w:rPr>
          <w:color w:val="231F20"/>
          <w:w w:val="120"/>
        </w:rPr>
        <w:t>Initialement,</w:t>
      </w:r>
      <w:r>
        <w:rPr>
          <w:color w:val="231F20"/>
          <w:spacing w:val="-6"/>
          <w:w w:val="120"/>
        </w:rPr>
        <w:t> </w:t>
      </w:r>
      <w:r>
        <w:rPr>
          <w:color w:val="231F20"/>
          <w:w w:val="120"/>
        </w:rPr>
        <w:t>nous</w:t>
      </w:r>
      <w:r>
        <w:rPr>
          <w:color w:val="231F20"/>
          <w:spacing w:val="-6"/>
          <w:w w:val="120"/>
        </w:rPr>
        <w:t> </w:t>
      </w:r>
      <w:r>
        <w:rPr>
          <w:color w:val="231F20"/>
          <w:w w:val="120"/>
        </w:rPr>
        <w:t>avons</w:t>
      </w:r>
      <w:r>
        <w:rPr>
          <w:color w:val="231F20"/>
          <w:spacing w:val="-6"/>
          <w:w w:val="120"/>
        </w:rPr>
        <w:t> </w:t>
      </w:r>
      <w:r>
        <w:rPr>
          <w:color w:val="231F20"/>
          <w:w w:val="120"/>
        </w:rPr>
        <w:t>fait</w:t>
      </w:r>
      <w:r>
        <w:rPr>
          <w:color w:val="231F20"/>
          <w:spacing w:val="-6"/>
          <w:w w:val="120"/>
        </w:rPr>
        <w:t> </w:t>
      </w:r>
      <w:r>
        <w:rPr>
          <w:color w:val="231F20"/>
          <w:w w:val="120"/>
        </w:rPr>
        <w:t>état</w:t>
      </w:r>
      <w:r>
        <w:rPr>
          <w:color w:val="231F20"/>
          <w:spacing w:val="-6"/>
          <w:w w:val="120"/>
        </w:rPr>
        <w:t> </w:t>
      </w:r>
      <w:r>
        <w:rPr>
          <w:color w:val="231F20"/>
          <w:w w:val="120"/>
        </w:rPr>
        <w:t>des</w:t>
      </w:r>
      <w:r>
        <w:rPr>
          <w:color w:val="231F20"/>
          <w:spacing w:val="-6"/>
          <w:w w:val="120"/>
        </w:rPr>
        <w:t> </w:t>
      </w:r>
      <w:r>
        <w:rPr>
          <w:color w:val="231F20"/>
          <w:w w:val="120"/>
        </w:rPr>
        <w:t>questions concernant</w:t>
      </w:r>
      <w:r>
        <w:rPr>
          <w:color w:val="231F20"/>
          <w:spacing w:val="-7"/>
          <w:w w:val="120"/>
        </w:rPr>
        <w:t> </w:t>
      </w:r>
      <w:r>
        <w:rPr>
          <w:color w:val="231F20"/>
          <w:w w:val="120"/>
        </w:rPr>
        <w:t>les</w:t>
      </w:r>
      <w:r>
        <w:rPr>
          <w:color w:val="231F20"/>
          <w:spacing w:val="-7"/>
          <w:w w:val="120"/>
        </w:rPr>
        <w:t> </w:t>
      </w:r>
      <w:r>
        <w:rPr>
          <w:color w:val="231F20"/>
          <w:w w:val="120"/>
        </w:rPr>
        <w:t>définitions</w:t>
      </w:r>
      <w:r>
        <w:rPr>
          <w:color w:val="231F20"/>
          <w:spacing w:val="-7"/>
          <w:w w:val="120"/>
        </w:rPr>
        <w:t> </w:t>
      </w:r>
      <w:r>
        <w:rPr>
          <w:color w:val="231F20"/>
          <w:w w:val="120"/>
        </w:rPr>
        <w:t>du</w:t>
      </w:r>
      <w:r>
        <w:rPr>
          <w:color w:val="231F20"/>
          <w:spacing w:val="-7"/>
          <w:w w:val="120"/>
        </w:rPr>
        <w:t> </w:t>
      </w:r>
      <w:r>
        <w:rPr>
          <w:color w:val="231F20"/>
          <w:w w:val="120"/>
        </w:rPr>
        <w:t>stress,</w:t>
      </w:r>
      <w:r>
        <w:rPr>
          <w:color w:val="231F20"/>
          <w:spacing w:val="-7"/>
          <w:w w:val="120"/>
        </w:rPr>
        <w:t> </w:t>
      </w:r>
      <w:r>
        <w:rPr>
          <w:color w:val="231F20"/>
          <w:w w:val="120"/>
        </w:rPr>
        <w:t>les</w:t>
      </w:r>
      <w:r>
        <w:rPr>
          <w:color w:val="231F20"/>
          <w:spacing w:val="-7"/>
          <w:w w:val="120"/>
        </w:rPr>
        <w:t> </w:t>
      </w:r>
      <w:r>
        <w:rPr>
          <w:color w:val="231F20"/>
          <w:w w:val="120"/>
        </w:rPr>
        <w:t>origines</w:t>
      </w:r>
      <w:r>
        <w:rPr>
          <w:color w:val="231F20"/>
          <w:spacing w:val="-7"/>
          <w:w w:val="120"/>
        </w:rPr>
        <w:t> </w:t>
      </w:r>
      <w:r>
        <w:rPr>
          <w:color w:val="231F20"/>
          <w:w w:val="120"/>
        </w:rPr>
        <w:t>du</w:t>
      </w:r>
      <w:r>
        <w:rPr>
          <w:color w:val="231F20"/>
          <w:spacing w:val="-7"/>
          <w:w w:val="120"/>
        </w:rPr>
        <w:t> </w:t>
      </w:r>
      <w:r>
        <w:rPr>
          <w:color w:val="231F20"/>
          <w:w w:val="120"/>
        </w:rPr>
        <w:t>concept</w:t>
      </w:r>
      <w:r>
        <w:rPr>
          <w:color w:val="231F20"/>
          <w:spacing w:val="-7"/>
          <w:w w:val="120"/>
        </w:rPr>
        <w:t> </w:t>
      </w:r>
      <w:r>
        <w:rPr>
          <w:color w:val="231F20"/>
          <w:w w:val="120"/>
        </w:rPr>
        <w:t>et</w:t>
      </w:r>
      <w:r>
        <w:rPr>
          <w:color w:val="231F20"/>
          <w:spacing w:val="-7"/>
          <w:w w:val="120"/>
        </w:rPr>
        <w:t> </w:t>
      </w:r>
      <w:r>
        <w:rPr>
          <w:color w:val="231F20"/>
          <w:w w:val="120"/>
        </w:rPr>
        <w:t>son</w:t>
      </w:r>
      <w:r>
        <w:rPr>
          <w:color w:val="231F20"/>
          <w:spacing w:val="-7"/>
          <w:w w:val="120"/>
        </w:rPr>
        <w:t> </w:t>
      </w:r>
      <w:r>
        <w:rPr>
          <w:color w:val="231F20"/>
          <w:w w:val="120"/>
        </w:rPr>
        <w:t>étio­ </w:t>
      </w:r>
      <w:r>
        <w:rPr>
          <w:color w:val="231F20"/>
          <w:w w:val="115"/>
        </w:rPr>
        <w:t>logie</w:t>
      </w:r>
      <w:r>
        <w:rPr>
          <w:color w:val="231F20"/>
          <w:spacing w:val="-8"/>
          <w:w w:val="115"/>
        </w:rPr>
        <w:t> </w:t>
      </w:r>
      <w:r>
        <w:rPr>
          <w:color w:val="231F20"/>
          <w:w w:val="115"/>
        </w:rPr>
        <w:t>depuis</w:t>
      </w:r>
      <w:r>
        <w:rPr>
          <w:color w:val="231F20"/>
          <w:spacing w:val="-8"/>
          <w:w w:val="115"/>
        </w:rPr>
        <w:t> </w:t>
      </w:r>
      <w:r>
        <w:rPr>
          <w:color w:val="231F20"/>
          <w:w w:val="115"/>
        </w:rPr>
        <w:t>les</w:t>
      </w:r>
      <w:r>
        <w:rPr>
          <w:color w:val="231F20"/>
          <w:spacing w:val="-8"/>
          <w:w w:val="115"/>
        </w:rPr>
        <w:t> </w:t>
      </w:r>
      <w:r>
        <w:rPr>
          <w:color w:val="231F20"/>
          <w:w w:val="115"/>
        </w:rPr>
        <w:t>phases</w:t>
      </w:r>
      <w:r>
        <w:rPr>
          <w:color w:val="231F20"/>
          <w:spacing w:val="-8"/>
          <w:w w:val="115"/>
        </w:rPr>
        <w:t> </w:t>
      </w:r>
      <w:r>
        <w:rPr>
          <w:color w:val="231F20"/>
          <w:w w:val="115"/>
        </w:rPr>
        <w:t>bénignes</w:t>
      </w:r>
      <w:r>
        <w:rPr>
          <w:color w:val="231F20"/>
          <w:spacing w:val="-8"/>
          <w:w w:val="115"/>
        </w:rPr>
        <w:t> </w:t>
      </w:r>
      <w:r>
        <w:rPr>
          <w:color w:val="231F20"/>
          <w:w w:val="115"/>
        </w:rPr>
        <w:t>initiales</w:t>
      </w:r>
      <w:r>
        <w:rPr>
          <w:color w:val="231F20"/>
          <w:spacing w:val="-8"/>
          <w:w w:val="115"/>
        </w:rPr>
        <w:t> </w:t>
      </w:r>
      <w:r>
        <w:rPr>
          <w:color w:val="231F20"/>
          <w:w w:val="115"/>
        </w:rPr>
        <w:t>jusqu’aux</w:t>
      </w:r>
      <w:r>
        <w:rPr>
          <w:color w:val="231F20"/>
          <w:spacing w:val="-8"/>
          <w:w w:val="115"/>
        </w:rPr>
        <w:t> </w:t>
      </w:r>
      <w:r>
        <w:rPr>
          <w:color w:val="231F20"/>
          <w:w w:val="115"/>
        </w:rPr>
        <w:t>conséquences</w:t>
      </w:r>
      <w:r>
        <w:rPr>
          <w:color w:val="231F20"/>
          <w:spacing w:val="-8"/>
          <w:w w:val="115"/>
        </w:rPr>
        <w:t> </w:t>
      </w:r>
      <w:r>
        <w:rPr>
          <w:color w:val="231F20"/>
          <w:w w:val="115"/>
        </w:rPr>
        <w:t>les</w:t>
      </w:r>
      <w:r>
        <w:rPr>
          <w:color w:val="231F20"/>
          <w:spacing w:val="-8"/>
          <w:w w:val="115"/>
        </w:rPr>
        <w:t> </w:t>
      </w:r>
      <w:r>
        <w:rPr>
          <w:color w:val="231F20"/>
          <w:w w:val="115"/>
        </w:rPr>
        <w:t>plus </w:t>
      </w:r>
      <w:r>
        <w:rPr>
          <w:color w:val="231F20"/>
          <w:spacing w:val="-2"/>
          <w:w w:val="120"/>
        </w:rPr>
        <w:t>graves.</w:t>
      </w:r>
      <w:r>
        <w:rPr>
          <w:color w:val="231F20"/>
          <w:spacing w:val="-11"/>
          <w:w w:val="120"/>
        </w:rPr>
        <w:t> </w:t>
      </w:r>
      <w:r>
        <w:rPr>
          <w:color w:val="231F20"/>
          <w:spacing w:val="-2"/>
          <w:w w:val="120"/>
        </w:rPr>
        <w:t>Nous</w:t>
      </w:r>
      <w:r>
        <w:rPr>
          <w:color w:val="231F20"/>
          <w:spacing w:val="-11"/>
          <w:w w:val="120"/>
        </w:rPr>
        <w:t> </w:t>
      </w:r>
      <w:r>
        <w:rPr>
          <w:color w:val="231F20"/>
          <w:spacing w:val="-2"/>
          <w:w w:val="120"/>
        </w:rPr>
        <w:t>avons</w:t>
      </w:r>
      <w:r>
        <w:rPr>
          <w:color w:val="231F20"/>
          <w:spacing w:val="-11"/>
          <w:w w:val="120"/>
        </w:rPr>
        <w:t> </w:t>
      </w:r>
      <w:r>
        <w:rPr>
          <w:color w:val="231F20"/>
          <w:spacing w:val="-2"/>
          <w:w w:val="120"/>
        </w:rPr>
        <w:t>également</w:t>
      </w:r>
      <w:r>
        <w:rPr>
          <w:color w:val="231F20"/>
          <w:spacing w:val="-10"/>
          <w:w w:val="120"/>
        </w:rPr>
        <w:t> </w:t>
      </w:r>
      <w:r>
        <w:rPr>
          <w:color w:val="231F20"/>
          <w:spacing w:val="-2"/>
          <w:w w:val="120"/>
        </w:rPr>
        <w:t>présenté</w:t>
      </w:r>
      <w:r>
        <w:rPr>
          <w:color w:val="231F20"/>
          <w:spacing w:val="-11"/>
          <w:w w:val="120"/>
        </w:rPr>
        <w:t> </w:t>
      </w:r>
      <w:r>
        <w:rPr>
          <w:color w:val="231F20"/>
          <w:spacing w:val="-2"/>
          <w:w w:val="120"/>
        </w:rPr>
        <w:t>le</w:t>
      </w:r>
      <w:r>
        <w:rPr>
          <w:color w:val="231F20"/>
          <w:spacing w:val="-11"/>
          <w:w w:val="120"/>
        </w:rPr>
        <w:t> </w:t>
      </w:r>
      <w:r>
        <w:rPr>
          <w:color w:val="231F20"/>
          <w:spacing w:val="-2"/>
          <w:w w:val="120"/>
        </w:rPr>
        <w:t>rôle</w:t>
      </w:r>
      <w:r>
        <w:rPr>
          <w:color w:val="231F20"/>
          <w:spacing w:val="-11"/>
          <w:w w:val="120"/>
        </w:rPr>
        <w:t> </w:t>
      </w:r>
      <w:r>
        <w:rPr>
          <w:color w:val="231F20"/>
          <w:spacing w:val="-2"/>
          <w:w w:val="120"/>
        </w:rPr>
        <w:t>de</w:t>
      </w:r>
      <w:r>
        <w:rPr>
          <w:color w:val="231F20"/>
          <w:spacing w:val="-10"/>
          <w:w w:val="120"/>
        </w:rPr>
        <w:t> </w:t>
      </w:r>
      <w:r>
        <w:rPr>
          <w:color w:val="231F20"/>
          <w:spacing w:val="-2"/>
          <w:w w:val="120"/>
        </w:rPr>
        <w:t>l’environnement</w:t>
      </w:r>
      <w:r>
        <w:rPr>
          <w:color w:val="231F20"/>
          <w:spacing w:val="-11"/>
          <w:w w:val="120"/>
        </w:rPr>
        <w:t> </w:t>
      </w:r>
      <w:r>
        <w:rPr>
          <w:color w:val="231F20"/>
          <w:spacing w:val="-2"/>
          <w:w w:val="120"/>
        </w:rPr>
        <w:t>et</w:t>
      </w:r>
      <w:r>
        <w:rPr>
          <w:color w:val="231F20"/>
          <w:spacing w:val="-11"/>
          <w:w w:val="120"/>
        </w:rPr>
        <w:t> </w:t>
      </w:r>
      <w:r>
        <w:rPr>
          <w:color w:val="231F20"/>
          <w:spacing w:val="-2"/>
          <w:w w:val="120"/>
        </w:rPr>
        <w:t>des interactions</w:t>
      </w:r>
      <w:r>
        <w:rPr>
          <w:color w:val="231F20"/>
          <w:spacing w:val="-7"/>
          <w:w w:val="120"/>
        </w:rPr>
        <w:t> </w:t>
      </w:r>
      <w:r>
        <w:rPr>
          <w:color w:val="231F20"/>
          <w:spacing w:val="-2"/>
          <w:w w:val="120"/>
        </w:rPr>
        <w:t>dans</w:t>
      </w:r>
      <w:r>
        <w:rPr>
          <w:color w:val="231F20"/>
          <w:spacing w:val="-7"/>
          <w:w w:val="120"/>
        </w:rPr>
        <w:t> </w:t>
      </w:r>
      <w:r>
        <w:rPr>
          <w:color w:val="231F20"/>
          <w:spacing w:val="-2"/>
          <w:w w:val="120"/>
        </w:rPr>
        <w:t>cette</w:t>
      </w:r>
      <w:r>
        <w:rPr>
          <w:color w:val="231F20"/>
          <w:spacing w:val="-7"/>
          <w:w w:val="120"/>
        </w:rPr>
        <w:t> </w:t>
      </w:r>
      <w:r>
        <w:rPr>
          <w:color w:val="231F20"/>
          <w:spacing w:val="-2"/>
          <w:w w:val="120"/>
        </w:rPr>
        <w:t>compréhension</w:t>
      </w:r>
      <w:r>
        <w:rPr>
          <w:color w:val="231F20"/>
          <w:spacing w:val="-7"/>
          <w:w w:val="120"/>
        </w:rPr>
        <w:t> </w:t>
      </w:r>
      <w:r>
        <w:rPr>
          <w:color w:val="231F20"/>
          <w:spacing w:val="-2"/>
          <w:w w:val="120"/>
        </w:rPr>
        <w:t>générale.</w:t>
      </w:r>
      <w:r>
        <w:rPr>
          <w:color w:val="231F20"/>
          <w:spacing w:val="-7"/>
          <w:w w:val="120"/>
        </w:rPr>
        <w:t> </w:t>
      </w:r>
      <w:r>
        <w:rPr>
          <w:color w:val="231F20"/>
          <w:spacing w:val="-2"/>
          <w:w w:val="120"/>
        </w:rPr>
        <w:t>Finalement,</w:t>
      </w:r>
      <w:r>
        <w:rPr>
          <w:color w:val="231F20"/>
          <w:spacing w:val="-7"/>
          <w:w w:val="120"/>
        </w:rPr>
        <w:t> </w:t>
      </w:r>
      <w:r>
        <w:rPr>
          <w:color w:val="231F20"/>
          <w:spacing w:val="-2"/>
          <w:w w:val="120"/>
        </w:rPr>
        <w:t>nous</w:t>
      </w:r>
      <w:r>
        <w:rPr>
          <w:color w:val="231F20"/>
          <w:spacing w:val="-7"/>
          <w:w w:val="120"/>
        </w:rPr>
        <w:t> </w:t>
      </w:r>
      <w:r>
        <w:rPr>
          <w:color w:val="231F20"/>
          <w:spacing w:val="-2"/>
          <w:w w:val="120"/>
        </w:rPr>
        <w:t>avons </w:t>
      </w:r>
      <w:r>
        <w:rPr>
          <w:color w:val="231F20"/>
          <w:w w:val="120"/>
        </w:rPr>
        <w:t>passé</w:t>
      </w:r>
      <w:r>
        <w:rPr>
          <w:color w:val="231F20"/>
          <w:spacing w:val="-15"/>
          <w:w w:val="120"/>
        </w:rPr>
        <w:t> </w:t>
      </w:r>
      <w:r>
        <w:rPr>
          <w:color w:val="231F20"/>
          <w:w w:val="120"/>
        </w:rPr>
        <w:t>un</w:t>
      </w:r>
      <w:r>
        <w:rPr>
          <w:color w:val="231F20"/>
          <w:spacing w:val="-13"/>
          <w:w w:val="120"/>
        </w:rPr>
        <w:t> </w:t>
      </w:r>
      <w:r>
        <w:rPr>
          <w:color w:val="231F20"/>
          <w:w w:val="120"/>
        </w:rPr>
        <w:t>certain</w:t>
      </w:r>
      <w:r>
        <w:rPr>
          <w:color w:val="231F20"/>
          <w:spacing w:val="-13"/>
          <w:w w:val="120"/>
        </w:rPr>
        <w:t> </w:t>
      </w:r>
      <w:r>
        <w:rPr>
          <w:color w:val="231F20"/>
          <w:w w:val="120"/>
        </w:rPr>
        <w:t>temps</w:t>
      </w:r>
      <w:r>
        <w:rPr>
          <w:color w:val="231F20"/>
          <w:spacing w:val="-12"/>
          <w:w w:val="120"/>
        </w:rPr>
        <w:t> </w:t>
      </w:r>
      <w:r>
        <w:rPr>
          <w:color w:val="231F20"/>
          <w:w w:val="120"/>
        </w:rPr>
        <w:t>à</w:t>
      </w:r>
      <w:r>
        <w:rPr>
          <w:color w:val="231F20"/>
          <w:spacing w:val="-13"/>
          <w:w w:val="120"/>
        </w:rPr>
        <w:t> </w:t>
      </w:r>
      <w:r>
        <w:rPr>
          <w:color w:val="231F20"/>
          <w:w w:val="120"/>
        </w:rPr>
        <w:t>décortiquer</w:t>
      </w:r>
      <w:r>
        <w:rPr>
          <w:color w:val="231F20"/>
          <w:spacing w:val="-13"/>
          <w:w w:val="120"/>
        </w:rPr>
        <w:t> </w:t>
      </w:r>
      <w:r>
        <w:rPr>
          <w:color w:val="231F20"/>
          <w:w w:val="120"/>
        </w:rPr>
        <w:t>les</w:t>
      </w:r>
      <w:r>
        <w:rPr>
          <w:color w:val="231F20"/>
          <w:spacing w:val="-13"/>
          <w:w w:val="120"/>
        </w:rPr>
        <w:t> </w:t>
      </w:r>
      <w:r>
        <w:rPr>
          <w:color w:val="231F20"/>
          <w:w w:val="120"/>
        </w:rPr>
        <w:t>divers</w:t>
      </w:r>
      <w:r>
        <w:rPr>
          <w:color w:val="231F20"/>
          <w:spacing w:val="-12"/>
          <w:w w:val="120"/>
        </w:rPr>
        <w:t> </w:t>
      </w:r>
      <w:r>
        <w:rPr>
          <w:color w:val="231F20"/>
          <w:w w:val="120"/>
        </w:rPr>
        <w:t>leviers</w:t>
      </w:r>
      <w:r>
        <w:rPr>
          <w:color w:val="231F20"/>
          <w:spacing w:val="-13"/>
          <w:w w:val="120"/>
        </w:rPr>
        <w:t> </w:t>
      </w:r>
      <w:r>
        <w:rPr>
          <w:color w:val="231F20"/>
          <w:w w:val="120"/>
        </w:rPr>
        <w:t>étant</w:t>
      </w:r>
      <w:r>
        <w:rPr>
          <w:color w:val="231F20"/>
          <w:spacing w:val="-13"/>
          <w:w w:val="120"/>
        </w:rPr>
        <w:t> </w:t>
      </w:r>
      <w:r>
        <w:rPr>
          <w:color w:val="231F20"/>
          <w:w w:val="120"/>
        </w:rPr>
        <w:t>à</w:t>
      </w:r>
      <w:r>
        <w:rPr>
          <w:color w:val="231F20"/>
          <w:spacing w:val="-13"/>
          <w:w w:val="120"/>
        </w:rPr>
        <w:t> </w:t>
      </w:r>
      <w:r>
        <w:rPr>
          <w:color w:val="231F20"/>
          <w:w w:val="120"/>
        </w:rPr>
        <w:t>la</w:t>
      </w:r>
      <w:r>
        <w:rPr>
          <w:color w:val="231F20"/>
          <w:spacing w:val="-12"/>
          <w:w w:val="120"/>
        </w:rPr>
        <w:t> </w:t>
      </w:r>
      <w:r>
        <w:rPr>
          <w:color w:val="231F20"/>
          <w:w w:val="120"/>
        </w:rPr>
        <w:t>disposi­ tion</w:t>
      </w:r>
      <w:r>
        <w:rPr>
          <w:color w:val="231F20"/>
          <w:spacing w:val="-13"/>
          <w:w w:val="120"/>
        </w:rPr>
        <w:t> </w:t>
      </w:r>
      <w:r>
        <w:rPr>
          <w:color w:val="231F20"/>
          <w:w w:val="120"/>
        </w:rPr>
        <w:t>de</w:t>
      </w:r>
      <w:r>
        <w:rPr>
          <w:color w:val="231F20"/>
          <w:spacing w:val="-13"/>
          <w:w w:val="120"/>
        </w:rPr>
        <w:t> </w:t>
      </w:r>
      <w:r>
        <w:rPr>
          <w:color w:val="231F20"/>
          <w:w w:val="120"/>
        </w:rPr>
        <w:t>l’individu</w:t>
      </w:r>
      <w:r>
        <w:rPr>
          <w:color w:val="231F20"/>
          <w:spacing w:val="-13"/>
          <w:w w:val="120"/>
        </w:rPr>
        <w:t> </w:t>
      </w:r>
      <w:r>
        <w:rPr>
          <w:color w:val="231F20"/>
          <w:w w:val="120"/>
        </w:rPr>
        <w:t>et</w:t>
      </w:r>
      <w:r>
        <w:rPr>
          <w:color w:val="231F20"/>
          <w:spacing w:val="-12"/>
          <w:w w:val="120"/>
        </w:rPr>
        <w:t> </w:t>
      </w:r>
      <w:r>
        <w:rPr>
          <w:color w:val="231F20"/>
          <w:w w:val="120"/>
        </w:rPr>
        <w:t>de</w:t>
      </w:r>
      <w:r>
        <w:rPr>
          <w:color w:val="231F20"/>
          <w:spacing w:val="-13"/>
          <w:w w:val="120"/>
        </w:rPr>
        <w:t> </w:t>
      </w:r>
      <w:r>
        <w:rPr>
          <w:color w:val="231F20"/>
          <w:w w:val="120"/>
        </w:rPr>
        <w:t>l’organisation</w:t>
      </w:r>
      <w:r>
        <w:rPr>
          <w:color w:val="231F20"/>
          <w:spacing w:val="-13"/>
          <w:w w:val="120"/>
        </w:rPr>
        <w:t> </w:t>
      </w:r>
      <w:r>
        <w:rPr>
          <w:color w:val="231F20"/>
          <w:w w:val="120"/>
        </w:rPr>
        <w:t>afin</w:t>
      </w:r>
      <w:r>
        <w:rPr>
          <w:color w:val="231F20"/>
          <w:spacing w:val="-13"/>
          <w:w w:val="120"/>
        </w:rPr>
        <w:t> </w:t>
      </w:r>
      <w:r>
        <w:rPr>
          <w:color w:val="231F20"/>
          <w:w w:val="120"/>
        </w:rPr>
        <w:t>de</w:t>
      </w:r>
      <w:r>
        <w:rPr>
          <w:color w:val="231F20"/>
          <w:spacing w:val="-12"/>
          <w:w w:val="120"/>
        </w:rPr>
        <w:t> </w:t>
      </w:r>
      <w:r>
        <w:rPr>
          <w:color w:val="231F20"/>
          <w:w w:val="120"/>
        </w:rPr>
        <w:t>gérer</w:t>
      </w:r>
      <w:r>
        <w:rPr>
          <w:color w:val="231F20"/>
          <w:spacing w:val="-13"/>
          <w:w w:val="120"/>
        </w:rPr>
        <w:t> </w:t>
      </w:r>
      <w:r>
        <w:rPr>
          <w:color w:val="231F20"/>
          <w:w w:val="120"/>
        </w:rPr>
        <w:t>le</w:t>
      </w:r>
      <w:r>
        <w:rPr>
          <w:color w:val="231F20"/>
          <w:spacing w:val="-13"/>
          <w:w w:val="120"/>
        </w:rPr>
        <w:t> </w:t>
      </w:r>
      <w:r>
        <w:rPr>
          <w:color w:val="231F20"/>
          <w:w w:val="120"/>
        </w:rPr>
        <w:t>stress;</w:t>
      </w:r>
      <w:r>
        <w:rPr>
          <w:color w:val="231F20"/>
          <w:spacing w:val="-13"/>
          <w:w w:val="120"/>
        </w:rPr>
        <w:t> </w:t>
      </w:r>
      <w:r>
        <w:rPr>
          <w:color w:val="231F20"/>
          <w:w w:val="120"/>
        </w:rPr>
        <w:t>c’est­à­dire </w:t>
      </w:r>
      <w:r>
        <w:rPr>
          <w:color w:val="231F20"/>
          <w:w w:val="115"/>
        </w:rPr>
        <w:t>de</w:t>
      </w:r>
      <w:r>
        <w:rPr>
          <w:color w:val="231F20"/>
          <w:spacing w:val="-8"/>
          <w:w w:val="115"/>
        </w:rPr>
        <w:t> </w:t>
      </w:r>
      <w:r>
        <w:rPr>
          <w:color w:val="231F20"/>
          <w:w w:val="115"/>
        </w:rPr>
        <w:t>le</w:t>
      </w:r>
      <w:r>
        <w:rPr>
          <w:color w:val="231F20"/>
          <w:spacing w:val="-8"/>
          <w:w w:val="115"/>
        </w:rPr>
        <w:t> </w:t>
      </w:r>
      <w:r>
        <w:rPr>
          <w:color w:val="231F20"/>
          <w:w w:val="115"/>
        </w:rPr>
        <w:t>ramener</w:t>
      </w:r>
      <w:r>
        <w:rPr>
          <w:color w:val="231F20"/>
          <w:spacing w:val="-8"/>
          <w:w w:val="115"/>
        </w:rPr>
        <w:t> </w:t>
      </w:r>
      <w:r>
        <w:rPr>
          <w:color w:val="231F20"/>
          <w:w w:val="115"/>
        </w:rPr>
        <w:t>à</w:t>
      </w:r>
      <w:r>
        <w:rPr>
          <w:color w:val="231F20"/>
          <w:spacing w:val="-8"/>
          <w:w w:val="115"/>
        </w:rPr>
        <w:t> </w:t>
      </w:r>
      <w:r>
        <w:rPr>
          <w:color w:val="231F20"/>
          <w:w w:val="115"/>
        </w:rPr>
        <w:t>des</w:t>
      </w:r>
      <w:r>
        <w:rPr>
          <w:color w:val="231F20"/>
          <w:spacing w:val="-8"/>
          <w:w w:val="115"/>
        </w:rPr>
        <w:t> </w:t>
      </w:r>
      <w:r>
        <w:rPr>
          <w:color w:val="231F20"/>
          <w:w w:val="115"/>
        </w:rPr>
        <w:t>niveaux</w:t>
      </w:r>
      <w:r>
        <w:rPr>
          <w:color w:val="231F20"/>
          <w:spacing w:val="-8"/>
          <w:w w:val="115"/>
        </w:rPr>
        <w:t> </w:t>
      </w:r>
      <w:r>
        <w:rPr>
          <w:color w:val="231F20"/>
          <w:w w:val="115"/>
        </w:rPr>
        <w:t>en</w:t>
      </w:r>
      <w:r>
        <w:rPr>
          <w:color w:val="231F20"/>
          <w:spacing w:val="-8"/>
          <w:w w:val="115"/>
        </w:rPr>
        <w:t> </w:t>
      </w:r>
      <w:r>
        <w:rPr>
          <w:color w:val="231F20"/>
          <w:w w:val="115"/>
        </w:rPr>
        <w:t>deçà</w:t>
      </w:r>
      <w:r>
        <w:rPr>
          <w:color w:val="231F20"/>
          <w:spacing w:val="-8"/>
          <w:w w:val="115"/>
        </w:rPr>
        <w:t> </w:t>
      </w:r>
      <w:r>
        <w:rPr>
          <w:color w:val="231F20"/>
          <w:w w:val="115"/>
        </w:rPr>
        <w:t>de</w:t>
      </w:r>
      <w:r>
        <w:rPr>
          <w:color w:val="231F20"/>
          <w:spacing w:val="-8"/>
          <w:w w:val="115"/>
        </w:rPr>
        <w:t> </w:t>
      </w:r>
      <w:r>
        <w:rPr>
          <w:color w:val="231F20"/>
          <w:w w:val="115"/>
        </w:rPr>
        <w:t>la</w:t>
      </w:r>
      <w:r>
        <w:rPr>
          <w:color w:val="231F20"/>
          <w:spacing w:val="-8"/>
          <w:w w:val="115"/>
        </w:rPr>
        <w:t> </w:t>
      </w:r>
      <w:r>
        <w:rPr>
          <w:color w:val="231F20"/>
          <w:w w:val="115"/>
        </w:rPr>
        <w:t>capacité</w:t>
      </w:r>
      <w:r>
        <w:rPr>
          <w:color w:val="231F20"/>
          <w:spacing w:val="-8"/>
          <w:w w:val="115"/>
        </w:rPr>
        <w:t> </w:t>
      </w:r>
      <w:r>
        <w:rPr>
          <w:color w:val="231F20"/>
          <w:w w:val="115"/>
        </w:rPr>
        <w:t>d’adaptation,</w:t>
      </w:r>
      <w:r>
        <w:rPr>
          <w:color w:val="231F20"/>
          <w:spacing w:val="-8"/>
          <w:w w:val="115"/>
        </w:rPr>
        <w:t> </w:t>
      </w:r>
      <w:r>
        <w:rPr>
          <w:color w:val="231F20"/>
          <w:w w:val="115"/>
        </w:rPr>
        <w:t>niveau</w:t>
      </w:r>
      <w:r>
        <w:rPr>
          <w:color w:val="231F20"/>
          <w:spacing w:val="-8"/>
          <w:w w:val="115"/>
        </w:rPr>
        <w:t> </w:t>
      </w:r>
      <w:r>
        <w:rPr>
          <w:color w:val="231F20"/>
          <w:w w:val="115"/>
        </w:rPr>
        <w:t>de </w:t>
      </w:r>
      <w:r>
        <w:rPr>
          <w:color w:val="231F20"/>
          <w:w w:val="120"/>
        </w:rPr>
        <w:t>stress qui n’aura alors que peu d’incidence sur le bien­être et la santé de la personne.</w:t>
      </w:r>
    </w:p>
    <w:p>
      <w:pPr>
        <w:pStyle w:val="BodyText"/>
        <w:spacing w:line="307" w:lineRule="auto" w:before="77"/>
        <w:ind w:left="830" w:right="498" w:firstLine="250"/>
        <w:jc w:val="both"/>
      </w:pPr>
      <w:r>
        <w:rPr>
          <w:color w:val="231F20"/>
          <w:w w:val="115"/>
        </w:rPr>
        <w:t>Comme</w:t>
      </w:r>
      <w:r>
        <w:rPr>
          <w:color w:val="231F20"/>
          <w:spacing w:val="-12"/>
          <w:w w:val="115"/>
        </w:rPr>
        <w:t> </w:t>
      </w:r>
      <w:r>
        <w:rPr>
          <w:color w:val="231F20"/>
          <w:w w:val="115"/>
        </w:rPr>
        <w:t>nous</w:t>
      </w:r>
      <w:r>
        <w:rPr>
          <w:color w:val="231F20"/>
          <w:spacing w:val="-12"/>
          <w:w w:val="115"/>
        </w:rPr>
        <w:t> </w:t>
      </w:r>
      <w:r>
        <w:rPr>
          <w:color w:val="231F20"/>
          <w:w w:val="115"/>
        </w:rPr>
        <w:t>l’avons</w:t>
      </w:r>
      <w:r>
        <w:rPr>
          <w:color w:val="231F20"/>
          <w:spacing w:val="-12"/>
          <w:w w:val="115"/>
        </w:rPr>
        <w:t> </w:t>
      </w:r>
      <w:r>
        <w:rPr>
          <w:color w:val="231F20"/>
          <w:w w:val="115"/>
        </w:rPr>
        <w:t>mentionné</w:t>
      </w:r>
      <w:r>
        <w:rPr>
          <w:color w:val="231F20"/>
          <w:spacing w:val="-12"/>
          <w:w w:val="115"/>
        </w:rPr>
        <w:t> </w:t>
      </w:r>
      <w:r>
        <w:rPr>
          <w:color w:val="231F20"/>
          <w:w w:val="115"/>
        </w:rPr>
        <w:t>à</w:t>
      </w:r>
      <w:r>
        <w:rPr>
          <w:color w:val="231F20"/>
          <w:spacing w:val="-12"/>
          <w:w w:val="115"/>
        </w:rPr>
        <w:t> </w:t>
      </w:r>
      <w:r>
        <w:rPr>
          <w:color w:val="231F20"/>
          <w:w w:val="115"/>
        </w:rPr>
        <w:t>quelques</w:t>
      </w:r>
      <w:r>
        <w:rPr>
          <w:color w:val="231F20"/>
          <w:spacing w:val="-12"/>
          <w:w w:val="115"/>
        </w:rPr>
        <w:t> </w:t>
      </w:r>
      <w:r>
        <w:rPr>
          <w:color w:val="231F20"/>
          <w:w w:val="115"/>
        </w:rPr>
        <w:t>reprises</w:t>
      </w:r>
      <w:r>
        <w:rPr>
          <w:color w:val="231F20"/>
          <w:spacing w:val="-12"/>
          <w:w w:val="115"/>
        </w:rPr>
        <w:t> </w:t>
      </w:r>
      <w:r>
        <w:rPr>
          <w:color w:val="231F20"/>
          <w:w w:val="115"/>
        </w:rPr>
        <w:t>dans</w:t>
      </w:r>
      <w:r>
        <w:rPr>
          <w:color w:val="231F20"/>
          <w:spacing w:val="-12"/>
          <w:w w:val="115"/>
        </w:rPr>
        <w:t> </w:t>
      </w:r>
      <w:r>
        <w:rPr>
          <w:color w:val="231F20"/>
          <w:w w:val="115"/>
        </w:rPr>
        <w:t>ce</w:t>
      </w:r>
      <w:r>
        <w:rPr>
          <w:color w:val="231F20"/>
          <w:spacing w:val="-12"/>
          <w:w w:val="115"/>
        </w:rPr>
        <w:t> </w:t>
      </w:r>
      <w:r>
        <w:rPr>
          <w:color w:val="231F20"/>
          <w:w w:val="115"/>
        </w:rPr>
        <w:t>livre,</w:t>
      </w:r>
      <w:r>
        <w:rPr>
          <w:color w:val="231F20"/>
          <w:spacing w:val="-12"/>
          <w:w w:val="115"/>
        </w:rPr>
        <w:t> </w:t>
      </w:r>
      <w:r>
        <w:rPr>
          <w:color w:val="231F20"/>
          <w:w w:val="115"/>
        </w:rPr>
        <w:t>nous </w:t>
      </w:r>
      <w:r>
        <w:rPr>
          <w:color w:val="231F20"/>
          <w:w w:val="120"/>
        </w:rPr>
        <w:t>détenons</w:t>
      </w:r>
      <w:r>
        <w:rPr>
          <w:color w:val="231F20"/>
          <w:spacing w:val="-10"/>
          <w:w w:val="120"/>
        </w:rPr>
        <w:t> </w:t>
      </w:r>
      <w:r>
        <w:rPr>
          <w:color w:val="231F20"/>
          <w:w w:val="120"/>
        </w:rPr>
        <w:t>maintenant</w:t>
      </w:r>
      <w:r>
        <w:rPr>
          <w:color w:val="231F20"/>
          <w:spacing w:val="-10"/>
          <w:w w:val="120"/>
        </w:rPr>
        <w:t> </w:t>
      </w:r>
      <w:r>
        <w:rPr>
          <w:color w:val="231F20"/>
          <w:w w:val="120"/>
        </w:rPr>
        <w:t>les</w:t>
      </w:r>
      <w:r>
        <w:rPr>
          <w:color w:val="231F20"/>
          <w:spacing w:val="-10"/>
          <w:w w:val="120"/>
        </w:rPr>
        <w:t> </w:t>
      </w:r>
      <w:r>
        <w:rPr>
          <w:color w:val="231F20"/>
          <w:w w:val="120"/>
        </w:rPr>
        <w:t>connaissances</w:t>
      </w:r>
      <w:r>
        <w:rPr>
          <w:color w:val="231F20"/>
          <w:spacing w:val="-10"/>
          <w:w w:val="120"/>
        </w:rPr>
        <w:t> </w:t>
      </w:r>
      <w:r>
        <w:rPr>
          <w:color w:val="231F20"/>
          <w:w w:val="120"/>
        </w:rPr>
        <w:t>afin</w:t>
      </w:r>
      <w:r>
        <w:rPr>
          <w:color w:val="231F20"/>
          <w:spacing w:val="-10"/>
          <w:w w:val="120"/>
        </w:rPr>
        <w:t> </w:t>
      </w:r>
      <w:r>
        <w:rPr>
          <w:color w:val="231F20"/>
          <w:w w:val="120"/>
        </w:rPr>
        <w:t>d’éradiquer</w:t>
      </w:r>
      <w:r>
        <w:rPr>
          <w:color w:val="231F20"/>
          <w:spacing w:val="-10"/>
          <w:w w:val="120"/>
        </w:rPr>
        <w:t> </w:t>
      </w:r>
      <w:r>
        <w:rPr>
          <w:color w:val="231F20"/>
          <w:w w:val="120"/>
        </w:rPr>
        <w:t>une</w:t>
      </w:r>
      <w:r>
        <w:rPr>
          <w:color w:val="231F20"/>
          <w:spacing w:val="-10"/>
          <w:w w:val="120"/>
        </w:rPr>
        <w:t> </w:t>
      </w:r>
      <w:r>
        <w:rPr>
          <w:color w:val="231F20"/>
          <w:w w:val="120"/>
        </w:rPr>
        <w:t>bonne</w:t>
      </w:r>
      <w:r>
        <w:rPr>
          <w:color w:val="231F20"/>
          <w:spacing w:val="-10"/>
          <w:w w:val="120"/>
        </w:rPr>
        <w:t> </w:t>
      </w:r>
      <w:r>
        <w:rPr>
          <w:color w:val="231F20"/>
          <w:w w:val="120"/>
        </w:rPr>
        <w:t>part </w:t>
      </w:r>
      <w:r>
        <w:rPr>
          <w:color w:val="231F20"/>
          <w:spacing w:val="-4"/>
          <w:w w:val="120"/>
        </w:rPr>
        <w:t>du stress de l’environnement organisationnel ou de nos vies personnelles. </w:t>
      </w:r>
      <w:r>
        <w:rPr>
          <w:color w:val="231F20"/>
          <w:spacing w:val="-2"/>
          <w:w w:val="120"/>
        </w:rPr>
        <w:t>Notre</w:t>
      </w:r>
      <w:r>
        <w:rPr>
          <w:color w:val="231F20"/>
          <w:spacing w:val="-16"/>
          <w:w w:val="120"/>
        </w:rPr>
        <w:t> </w:t>
      </w:r>
      <w:r>
        <w:rPr>
          <w:color w:val="231F20"/>
          <w:spacing w:val="-2"/>
          <w:w w:val="120"/>
        </w:rPr>
        <w:t>compréhension</w:t>
      </w:r>
      <w:r>
        <w:rPr>
          <w:color w:val="231F20"/>
          <w:spacing w:val="-16"/>
          <w:w w:val="120"/>
        </w:rPr>
        <w:t> </w:t>
      </w:r>
      <w:r>
        <w:rPr>
          <w:color w:val="231F20"/>
          <w:spacing w:val="-2"/>
          <w:w w:val="120"/>
        </w:rPr>
        <w:t>demeure</w:t>
      </w:r>
      <w:r>
        <w:rPr>
          <w:color w:val="231F20"/>
          <w:spacing w:val="-16"/>
          <w:w w:val="120"/>
        </w:rPr>
        <w:t> </w:t>
      </w:r>
      <w:r>
        <w:rPr>
          <w:color w:val="231F20"/>
          <w:spacing w:val="-2"/>
          <w:w w:val="120"/>
        </w:rPr>
        <w:t>bien</w:t>
      </w:r>
      <w:r>
        <w:rPr>
          <w:color w:val="231F20"/>
          <w:spacing w:val="-15"/>
          <w:w w:val="120"/>
        </w:rPr>
        <w:t> </w:t>
      </w:r>
      <w:r>
        <w:rPr>
          <w:color w:val="231F20"/>
          <w:spacing w:val="-2"/>
          <w:w w:val="120"/>
        </w:rPr>
        <w:t>sûr</w:t>
      </w:r>
      <w:r>
        <w:rPr>
          <w:color w:val="231F20"/>
          <w:spacing w:val="-16"/>
          <w:w w:val="120"/>
        </w:rPr>
        <w:t> </w:t>
      </w:r>
      <w:r>
        <w:rPr>
          <w:color w:val="231F20"/>
          <w:spacing w:val="-2"/>
          <w:w w:val="120"/>
        </w:rPr>
        <w:t>imparfaite,</w:t>
      </w:r>
      <w:r>
        <w:rPr>
          <w:color w:val="231F20"/>
          <w:spacing w:val="-16"/>
          <w:w w:val="120"/>
        </w:rPr>
        <w:t> </w:t>
      </w:r>
      <w:r>
        <w:rPr>
          <w:color w:val="231F20"/>
          <w:spacing w:val="-2"/>
          <w:w w:val="120"/>
        </w:rPr>
        <w:t>mais</w:t>
      </w:r>
      <w:r>
        <w:rPr>
          <w:color w:val="231F20"/>
          <w:spacing w:val="-16"/>
          <w:w w:val="120"/>
        </w:rPr>
        <w:t> </w:t>
      </w:r>
      <w:r>
        <w:rPr>
          <w:color w:val="231F20"/>
          <w:spacing w:val="-2"/>
          <w:w w:val="120"/>
        </w:rPr>
        <w:t>nos</w:t>
      </w:r>
      <w:r>
        <w:rPr>
          <w:color w:val="231F20"/>
          <w:spacing w:val="-15"/>
          <w:w w:val="120"/>
        </w:rPr>
        <w:t> </w:t>
      </w:r>
      <w:r>
        <w:rPr>
          <w:color w:val="231F20"/>
          <w:spacing w:val="-2"/>
          <w:w w:val="120"/>
        </w:rPr>
        <w:t>explications</w:t>
      </w:r>
    </w:p>
    <w:p>
      <w:pPr>
        <w:spacing w:after="0" w:line="307" w:lineRule="auto"/>
        <w:jc w:val="both"/>
        <w:sectPr>
          <w:footerReference w:type="default" r:id="rId342"/>
          <w:pgSz w:w="8640" w:h="12960"/>
          <w:pgMar w:footer="424" w:header="0" w:top="520" w:bottom="620" w:left="420" w:right="1140"/>
        </w:sectPr>
      </w:pPr>
    </w:p>
    <w:p>
      <w:pPr>
        <w:spacing w:before="118"/>
        <w:ind w:left="1808" w:right="698" w:firstLine="0"/>
        <w:jc w:val="center"/>
        <w:rPr>
          <w:rFonts w:ascii="Arial"/>
          <w:sz w:val="14"/>
        </w:rPr>
      </w:pPr>
      <w:r>
        <w:rPr>
          <w:rFonts w:ascii="Arial"/>
          <w:color w:val="231F20"/>
          <w:spacing w:val="-2"/>
          <w:sz w:val="14"/>
        </w:rPr>
        <w:t>Conclusion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4"/>
        <w:jc w:val="both"/>
      </w:pPr>
      <w:r>
        <w:rPr>
          <w:color w:val="231F20"/>
          <w:w w:val="120"/>
        </w:rPr>
        <w:t>actuelles du phénomène du stress sont suffisamment avancées afin de permettre</w:t>
      </w:r>
      <w:r>
        <w:rPr>
          <w:color w:val="231F20"/>
          <w:spacing w:val="-9"/>
          <w:w w:val="120"/>
        </w:rPr>
        <w:t> </w:t>
      </w:r>
      <w:r>
        <w:rPr>
          <w:color w:val="231F20"/>
          <w:w w:val="120"/>
        </w:rPr>
        <w:t>à</w:t>
      </w:r>
      <w:r>
        <w:rPr>
          <w:color w:val="231F20"/>
          <w:spacing w:val="-9"/>
          <w:w w:val="120"/>
        </w:rPr>
        <w:t> </w:t>
      </w:r>
      <w:r>
        <w:rPr>
          <w:color w:val="231F20"/>
          <w:w w:val="120"/>
        </w:rPr>
        <w:t>tous</w:t>
      </w:r>
      <w:r>
        <w:rPr>
          <w:color w:val="231F20"/>
          <w:spacing w:val="-9"/>
          <w:w w:val="120"/>
        </w:rPr>
        <w:t> </w:t>
      </w:r>
      <w:r>
        <w:rPr>
          <w:color w:val="231F20"/>
          <w:w w:val="120"/>
        </w:rPr>
        <w:t>d’avoir</w:t>
      </w:r>
      <w:r>
        <w:rPr>
          <w:color w:val="231F20"/>
          <w:spacing w:val="-9"/>
          <w:w w:val="120"/>
        </w:rPr>
        <w:t> </w:t>
      </w:r>
      <w:r>
        <w:rPr>
          <w:color w:val="231F20"/>
          <w:w w:val="120"/>
        </w:rPr>
        <w:t>une</w:t>
      </w:r>
      <w:r>
        <w:rPr>
          <w:color w:val="231F20"/>
          <w:spacing w:val="-9"/>
          <w:w w:val="120"/>
        </w:rPr>
        <w:t> </w:t>
      </w:r>
      <w:r>
        <w:rPr>
          <w:color w:val="231F20"/>
          <w:w w:val="120"/>
        </w:rPr>
        <w:t>vie</w:t>
      </w:r>
      <w:r>
        <w:rPr>
          <w:color w:val="231F20"/>
          <w:spacing w:val="-9"/>
          <w:w w:val="120"/>
        </w:rPr>
        <w:t> </w:t>
      </w:r>
      <w:r>
        <w:rPr>
          <w:color w:val="231F20"/>
          <w:w w:val="120"/>
        </w:rPr>
        <w:t>bien</w:t>
      </w:r>
      <w:r>
        <w:rPr>
          <w:color w:val="231F20"/>
          <w:spacing w:val="-9"/>
          <w:w w:val="120"/>
        </w:rPr>
        <w:t> </w:t>
      </w:r>
      <w:r>
        <w:rPr>
          <w:color w:val="231F20"/>
          <w:w w:val="120"/>
        </w:rPr>
        <w:t>plus</w:t>
      </w:r>
      <w:r>
        <w:rPr>
          <w:color w:val="231F20"/>
          <w:spacing w:val="-9"/>
          <w:w w:val="120"/>
        </w:rPr>
        <w:t> </w:t>
      </w:r>
      <w:r>
        <w:rPr>
          <w:color w:val="231F20"/>
          <w:w w:val="120"/>
        </w:rPr>
        <w:t>sereine</w:t>
      </w:r>
      <w:r>
        <w:rPr>
          <w:color w:val="231F20"/>
          <w:spacing w:val="-9"/>
          <w:w w:val="120"/>
        </w:rPr>
        <w:t> </w:t>
      </w:r>
      <w:r>
        <w:rPr>
          <w:color w:val="231F20"/>
          <w:w w:val="120"/>
        </w:rPr>
        <w:t>que</w:t>
      </w:r>
      <w:r>
        <w:rPr>
          <w:color w:val="231F20"/>
          <w:spacing w:val="-9"/>
          <w:w w:val="120"/>
        </w:rPr>
        <w:t> </w:t>
      </w:r>
      <w:r>
        <w:rPr>
          <w:color w:val="231F20"/>
          <w:w w:val="120"/>
        </w:rPr>
        <w:t>la</w:t>
      </w:r>
      <w:r>
        <w:rPr>
          <w:color w:val="231F20"/>
          <w:spacing w:val="-9"/>
          <w:w w:val="120"/>
        </w:rPr>
        <w:t> </w:t>
      </w:r>
      <w:r>
        <w:rPr>
          <w:color w:val="231F20"/>
          <w:w w:val="120"/>
        </w:rPr>
        <w:t>plupart</w:t>
      </w:r>
      <w:r>
        <w:rPr>
          <w:color w:val="231F20"/>
          <w:spacing w:val="-9"/>
          <w:w w:val="120"/>
        </w:rPr>
        <w:t> </w:t>
      </w:r>
      <w:r>
        <w:rPr>
          <w:color w:val="231F20"/>
          <w:w w:val="120"/>
        </w:rPr>
        <w:t>d’entre nous</w:t>
      </w:r>
      <w:r>
        <w:rPr>
          <w:color w:val="231F20"/>
          <w:spacing w:val="-13"/>
          <w:w w:val="120"/>
        </w:rPr>
        <w:t> </w:t>
      </w:r>
      <w:r>
        <w:rPr>
          <w:color w:val="231F20"/>
          <w:w w:val="120"/>
        </w:rPr>
        <w:t>l’avons</w:t>
      </w:r>
      <w:r>
        <w:rPr>
          <w:color w:val="231F20"/>
          <w:spacing w:val="-13"/>
          <w:w w:val="120"/>
        </w:rPr>
        <w:t> </w:t>
      </w:r>
      <w:r>
        <w:rPr>
          <w:color w:val="231F20"/>
          <w:w w:val="120"/>
        </w:rPr>
        <w:t>actuellement.</w:t>
      </w:r>
      <w:r>
        <w:rPr>
          <w:color w:val="231F20"/>
          <w:spacing w:val="-13"/>
          <w:w w:val="120"/>
        </w:rPr>
        <w:t> </w:t>
      </w:r>
      <w:r>
        <w:rPr>
          <w:color w:val="231F20"/>
          <w:w w:val="120"/>
        </w:rPr>
        <w:t>Nous</w:t>
      </w:r>
      <w:r>
        <w:rPr>
          <w:color w:val="231F20"/>
          <w:spacing w:val="-12"/>
          <w:w w:val="120"/>
        </w:rPr>
        <w:t> </w:t>
      </w:r>
      <w:r>
        <w:rPr>
          <w:color w:val="231F20"/>
          <w:w w:val="120"/>
        </w:rPr>
        <w:t>espérons</w:t>
      </w:r>
      <w:r>
        <w:rPr>
          <w:color w:val="231F20"/>
          <w:spacing w:val="-13"/>
          <w:w w:val="120"/>
        </w:rPr>
        <w:t> </w:t>
      </w:r>
      <w:r>
        <w:rPr>
          <w:color w:val="231F20"/>
          <w:w w:val="120"/>
        </w:rPr>
        <w:t>sincèrement</w:t>
      </w:r>
      <w:r>
        <w:rPr>
          <w:color w:val="231F20"/>
          <w:spacing w:val="-13"/>
          <w:w w:val="120"/>
        </w:rPr>
        <w:t> </w:t>
      </w:r>
      <w:r>
        <w:rPr>
          <w:color w:val="231F20"/>
          <w:w w:val="120"/>
        </w:rPr>
        <w:t>avoir</w:t>
      </w:r>
      <w:r>
        <w:rPr>
          <w:color w:val="231F20"/>
          <w:spacing w:val="-13"/>
          <w:w w:val="120"/>
        </w:rPr>
        <w:t> </w:t>
      </w:r>
      <w:r>
        <w:rPr>
          <w:color w:val="231F20"/>
          <w:w w:val="120"/>
        </w:rPr>
        <w:t>convaincu certains gestionnaires et dirigeants d’entreprise d’agir promptement afin</w:t>
      </w:r>
      <w:r>
        <w:rPr>
          <w:color w:val="231F20"/>
          <w:spacing w:val="-3"/>
          <w:w w:val="120"/>
        </w:rPr>
        <w:t> </w:t>
      </w:r>
      <w:r>
        <w:rPr>
          <w:color w:val="231F20"/>
          <w:w w:val="120"/>
        </w:rPr>
        <w:t>d’offrir</w:t>
      </w:r>
      <w:r>
        <w:rPr>
          <w:color w:val="231F20"/>
          <w:spacing w:val="-3"/>
          <w:w w:val="120"/>
        </w:rPr>
        <w:t> </w:t>
      </w:r>
      <w:r>
        <w:rPr>
          <w:color w:val="231F20"/>
          <w:w w:val="120"/>
        </w:rPr>
        <w:t>des</w:t>
      </w:r>
      <w:r>
        <w:rPr>
          <w:color w:val="231F20"/>
          <w:spacing w:val="-3"/>
          <w:w w:val="120"/>
        </w:rPr>
        <w:t> </w:t>
      </w:r>
      <w:r>
        <w:rPr>
          <w:color w:val="231F20"/>
          <w:w w:val="120"/>
        </w:rPr>
        <w:t>environnements</w:t>
      </w:r>
      <w:r>
        <w:rPr>
          <w:color w:val="231F20"/>
          <w:spacing w:val="-3"/>
          <w:w w:val="120"/>
        </w:rPr>
        <w:t> </w:t>
      </w:r>
      <w:r>
        <w:rPr>
          <w:color w:val="231F20"/>
          <w:w w:val="120"/>
        </w:rPr>
        <w:t>de</w:t>
      </w:r>
      <w:r>
        <w:rPr>
          <w:color w:val="231F20"/>
          <w:spacing w:val="-3"/>
          <w:w w:val="120"/>
        </w:rPr>
        <w:t> </w:t>
      </w:r>
      <w:r>
        <w:rPr>
          <w:color w:val="231F20"/>
          <w:w w:val="120"/>
        </w:rPr>
        <w:t>travail</w:t>
      </w:r>
      <w:r>
        <w:rPr>
          <w:color w:val="231F20"/>
          <w:spacing w:val="-3"/>
          <w:w w:val="120"/>
        </w:rPr>
        <w:t> </w:t>
      </w:r>
      <w:r>
        <w:rPr>
          <w:color w:val="231F20"/>
          <w:w w:val="120"/>
        </w:rPr>
        <w:t>à</w:t>
      </w:r>
      <w:r>
        <w:rPr>
          <w:color w:val="231F20"/>
          <w:spacing w:val="-3"/>
          <w:w w:val="120"/>
        </w:rPr>
        <w:t> </w:t>
      </w:r>
      <w:r>
        <w:rPr>
          <w:color w:val="231F20"/>
          <w:w w:val="120"/>
        </w:rPr>
        <w:t>leurs</w:t>
      </w:r>
      <w:r>
        <w:rPr>
          <w:color w:val="231F20"/>
          <w:spacing w:val="-3"/>
          <w:w w:val="120"/>
        </w:rPr>
        <w:t> </w:t>
      </w:r>
      <w:r>
        <w:rPr>
          <w:color w:val="231F20"/>
          <w:w w:val="120"/>
        </w:rPr>
        <w:t>employés</w:t>
      </w:r>
      <w:r>
        <w:rPr>
          <w:color w:val="231F20"/>
          <w:spacing w:val="-3"/>
          <w:w w:val="120"/>
        </w:rPr>
        <w:t> </w:t>
      </w:r>
      <w:r>
        <w:rPr>
          <w:color w:val="231F20"/>
          <w:w w:val="120"/>
        </w:rPr>
        <w:t>qui</w:t>
      </w:r>
      <w:r>
        <w:rPr>
          <w:color w:val="231F20"/>
          <w:spacing w:val="-3"/>
          <w:w w:val="120"/>
        </w:rPr>
        <w:t> </w:t>
      </w:r>
      <w:r>
        <w:rPr>
          <w:color w:val="231F20"/>
          <w:w w:val="120"/>
        </w:rPr>
        <w:t>seront plus respectueux de leur capacité à s’adapter aux exigences du travail. Nous espérons qu’ils comprennent maintenant que d’intervenir afin d’améliorer la santé psychologique de la main­d’œuvre n’est pas une dépense,</w:t>
      </w:r>
      <w:r>
        <w:rPr>
          <w:color w:val="231F20"/>
          <w:spacing w:val="-13"/>
          <w:w w:val="120"/>
        </w:rPr>
        <w:t> </w:t>
      </w:r>
      <w:r>
        <w:rPr>
          <w:color w:val="231F20"/>
          <w:w w:val="120"/>
        </w:rPr>
        <w:t>mais</w:t>
      </w:r>
      <w:r>
        <w:rPr>
          <w:color w:val="231F20"/>
          <w:spacing w:val="-13"/>
          <w:w w:val="120"/>
        </w:rPr>
        <w:t> </w:t>
      </w:r>
      <w:r>
        <w:rPr>
          <w:color w:val="231F20"/>
          <w:w w:val="120"/>
        </w:rPr>
        <w:t>un</w:t>
      </w:r>
      <w:r>
        <w:rPr>
          <w:color w:val="231F20"/>
          <w:spacing w:val="-13"/>
          <w:w w:val="120"/>
        </w:rPr>
        <w:t> </w:t>
      </w:r>
      <w:r>
        <w:rPr>
          <w:color w:val="231F20"/>
          <w:w w:val="120"/>
        </w:rPr>
        <w:t>investissement</w:t>
      </w:r>
      <w:r>
        <w:rPr>
          <w:color w:val="231F20"/>
          <w:spacing w:val="-12"/>
          <w:w w:val="120"/>
        </w:rPr>
        <w:t> </w:t>
      </w:r>
      <w:r>
        <w:rPr>
          <w:color w:val="231F20"/>
          <w:w w:val="120"/>
        </w:rPr>
        <w:t>qui</w:t>
      </w:r>
      <w:r>
        <w:rPr>
          <w:color w:val="231F20"/>
          <w:spacing w:val="-13"/>
          <w:w w:val="120"/>
        </w:rPr>
        <w:t> </w:t>
      </w:r>
      <w:r>
        <w:rPr>
          <w:color w:val="231F20"/>
          <w:w w:val="120"/>
        </w:rPr>
        <w:t>accroît</w:t>
      </w:r>
      <w:r>
        <w:rPr>
          <w:color w:val="231F20"/>
          <w:spacing w:val="-13"/>
          <w:w w:val="120"/>
        </w:rPr>
        <w:t> </w:t>
      </w:r>
      <w:r>
        <w:rPr>
          <w:color w:val="231F20"/>
          <w:w w:val="120"/>
        </w:rPr>
        <w:t>la</w:t>
      </w:r>
      <w:r>
        <w:rPr>
          <w:color w:val="231F20"/>
          <w:spacing w:val="-13"/>
          <w:w w:val="120"/>
        </w:rPr>
        <w:t> </w:t>
      </w:r>
      <w:r>
        <w:rPr>
          <w:color w:val="231F20"/>
          <w:w w:val="120"/>
        </w:rPr>
        <w:t>rentabilité</w:t>
      </w:r>
      <w:r>
        <w:rPr>
          <w:color w:val="231F20"/>
          <w:spacing w:val="-12"/>
          <w:w w:val="120"/>
        </w:rPr>
        <w:t> </w:t>
      </w:r>
      <w:r>
        <w:rPr>
          <w:color w:val="231F20"/>
          <w:w w:val="120"/>
        </w:rPr>
        <w:t>et</w:t>
      </w:r>
      <w:r>
        <w:rPr>
          <w:color w:val="231F20"/>
          <w:spacing w:val="-13"/>
          <w:w w:val="120"/>
        </w:rPr>
        <w:t> </w:t>
      </w:r>
      <w:r>
        <w:rPr>
          <w:color w:val="231F20"/>
          <w:w w:val="120"/>
        </w:rPr>
        <w:t>la</w:t>
      </w:r>
      <w:r>
        <w:rPr>
          <w:color w:val="231F20"/>
          <w:spacing w:val="-13"/>
          <w:w w:val="120"/>
        </w:rPr>
        <w:t> </w:t>
      </w:r>
      <w:r>
        <w:rPr>
          <w:color w:val="231F20"/>
          <w:w w:val="120"/>
        </w:rPr>
        <w:t>pérennité des entreprises. Nous espérons qu’ils chercheront dès maintenant à </w:t>
      </w:r>
      <w:r>
        <w:rPr>
          <w:color w:val="231F20"/>
          <w:spacing w:val="-2"/>
          <w:w w:val="120"/>
        </w:rPr>
        <w:t>innover</w:t>
      </w:r>
      <w:r>
        <w:rPr>
          <w:color w:val="231F20"/>
          <w:spacing w:val="-9"/>
          <w:w w:val="120"/>
        </w:rPr>
        <w:t> </w:t>
      </w:r>
      <w:r>
        <w:rPr>
          <w:color w:val="231F20"/>
          <w:spacing w:val="-2"/>
          <w:w w:val="120"/>
        </w:rPr>
        <w:t>en</w:t>
      </w:r>
      <w:r>
        <w:rPr>
          <w:color w:val="231F20"/>
          <w:spacing w:val="-9"/>
          <w:w w:val="120"/>
        </w:rPr>
        <w:t> </w:t>
      </w:r>
      <w:r>
        <w:rPr>
          <w:color w:val="231F20"/>
          <w:spacing w:val="-2"/>
          <w:w w:val="120"/>
        </w:rPr>
        <w:t>proposant</w:t>
      </w:r>
      <w:r>
        <w:rPr>
          <w:color w:val="231F20"/>
          <w:spacing w:val="-9"/>
          <w:w w:val="120"/>
        </w:rPr>
        <w:t> </w:t>
      </w:r>
      <w:r>
        <w:rPr>
          <w:color w:val="231F20"/>
          <w:spacing w:val="-2"/>
          <w:w w:val="120"/>
        </w:rPr>
        <w:t>des</w:t>
      </w:r>
      <w:r>
        <w:rPr>
          <w:color w:val="231F20"/>
          <w:spacing w:val="-9"/>
          <w:w w:val="120"/>
        </w:rPr>
        <w:t> </w:t>
      </w:r>
      <w:r>
        <w:rPr>
          <w:color w:val="231F20"/>
          <w:spacing w:val="-2"/>
          <w:w w:val="120"/>
        </w:rPr>
        <w:t>modes</w:t>
      </w:r>
      <w:r>
        <w:rPr>
          <w:color w:val="231F20"/>
          <w:spacing w:val="-9"/>
          <w:w w:val="120"/>
        </w:rPr>
        <w:t> </w:t>
      </w:r>
      <w:r>
        <w:rPr>
          <w:color w:val="231F20"/>
          <w:spacing w:val="-2"/>
          <w:w w:val="120"/>
        </w:rPr>
        <w:t>d’organisation</w:t>
      </w:r>
      <w:r>
        <w:rPr>
          <w:color w:val="231F20"/>
          <w:spacing w:val="-9"/>
          <w:w w:val="120"/>
        </w:rPr>
        <w:t> </w:t>
      </w:r>
      <w:r>
        <w:rPr>
          <w:color w:val="231F20"/>
          <w:spacing w:val="-2"/>
          <w:w w:val="120"/>
        </w:rPr>
        <w:t>du</w:t>
      </w:r>
      <w:r>
        <w:rPr>
          <w:color w:val="231F20"/>
          <w:spacing w:val="-9"/>
          <w:w w:val="120"/>
        </w:rPr>
        <w:t> </w:t>
      </w:r>
      <w:r>
        <w:rPr>
          <w:color w:val="231F20"/>
          <w:spacing w:val="-2"/>
          <w:w w:val="120"/>
        </w:rPr>
        <w:t>travail</w:t>
      </w:r>
      <w:r>
        <w:rPr>
          <w:color w:val="231F20"/>
          <w:spacing w:val="-9"/>
          <w:w w:val="120"/>
        </w:rPr>
        <w:t> </w:t>
      </w:r>
      <w:r>
        <w:rPr>
          <w:color w:val="231F20"/>
          <w:spacing w:val="-2"/>
          <w:w w:val="120"/>
        </w:rPr>
        <w:t>plus</w:t>
      </w:r>
      <w:r>
        <w:rPr>
          <w:color w:val="231F20"/>
          <w:spacing w:val="-9"/>
          <w:w w:val="120"/>
        </w:rPr>
        <w:t> </w:t>
      </w:r>
      <w:r>
        <w:rPr>
          <w:color w:val="231F20"/>
          <w:spacing w:val="-2"/>
          <w:w w:val="120"/>
        </w:rPr>
        <w:t>novateurs </w:t>
      </w:r>
      <w:r>
        <w:rPr>
          <w:color w:val="231F20"/>
          <w:w w:val="120"/>
        </w:rPr>
        <w:t>et</w:t>
      </w:r>
      <w:r>
        <w:rPr>
          <w:color w:val="231F20"/>
          <w:spacing w:val="-6"/>
          <w:w w:val="120"/>
        </w:rPr>
        <w:t> </w:t>
      </w:r>
      <w:r>
        <w:rPr>
          <w:color w:val="231F20"/>
          <w:w w:val="120"/>
        </w:rPr>
        <w:t>humains</w:t>
      </w:r>
      <w:r>
        <w:rPr>
          <w:color w:val="231F20"/>
          <w:spacing w:val="-6"/>
          <w:w w:val="120"/>
        </w:rPr>
        <w:t> </w:t>
      </w:r>
      <w:r>
        <w:rPr>
          <w:color w:val="231F20"/>
          <w:w w:val="120"/>
        </w:rPr>
        <w:t>qui</w:t>
      </w:r>
      <w:r>
        <w:rPr>
          <w:color w:val="231F20"/>
          <w:spacing w:val="-6"/>
          <w:w w:val="120"/>
        </w:rPr>
        <w:t> </w:t>
      </w:r>
      <w:r>
        <w:rPr>
          <w:color w:val="231F20"/>
          <w:w w:val="120"/>
        </w:rPr>
        <w:t>favorisent</w:t>
      </w:r>
      <w:r>
        <w:rPr>
          <w:color w:val="231F20"/>
          <w:spacing w:val="-6"/>
          <w:w w:val="120"/>
        </w:rPr>
        <w:t> </w:t>
      </w:r>
      <w:r>
        <w:rPr>
          <w:color w:val="231F20"/>
          <w:w w:val="120"/>
        </w:rPr>
        <w:t>la</w:t>
      </w:r>
      <w:r>
        <w:rPr>
          <w:color w:val="231F20"/>
          <w:spacing w:val="-6"/>
          <w:w w:val="120"/>
        </w:rPr>
        <w:t> </w:t>
      </w:r>
      <w:r>
        <w:rPr>
          <w:color w:val="231F20"/>
          <w:w w:val="120"/>
        </w:rPr>
        <w:t>rencontre</w:t>
      </w:r>
      <w:r>
        <w:rPr>
          <w:color w:val="231F20"/>
          <w:spacing w:val="-6"/>
          <w:w w:val="120"/>
        </w:rPr>
        <w:t> </w:t>
      </w:r>
      <w:r>
        <w:rPr>
          <w:color w:val="231F20"/>
          <w:w w:val="120"/>
        </w:rPr>
        <w:t>des</w:t>
      </w:r>
      <w:r>
        <w:rPr>
          <w:color w:val="231F20"/>
          <w:spacing w:val="-6"/>
          <w:w w:val="120"/>
        </w:rPr>
        <w:t> </w:t>
      </w:r>
      <w:r>
        <w:rPr>
          <w:color w:val="231F20"/>
          <w:w w:val="120"/>
        </w:rPr>
        <w:t>besoins</w:t>
      </w:r>
      <w:r>
        <w:rPr>
          <w:color w:val="231F20"/>
          <w:spacing w:val="-6"/>
          <w:w w:val="120"/>
        </w:rPr>
        <w:t> </w:t>
      </w:r>
      <w:r>
        <w:rPr>
          <w:color w:val="231F20"/>
          <w:w w:val="120"/>
        </w:rPr>
        <w:t>et</w:t>
      </w:r>
      <w:r>
        <w:rPr>
          <w:color w:val="231F20"/>
          <w:spacing w:val="-6"/>
          <w:w w:val="120"/>
        </w:rPr>
        <w:t> </w:t>
      </w:r>
      <w:r>
        <w:rPr>
          <w:color w:val="231F20"/>
          <w:w w:val="120"/>
        </w:rPr>
        <w:t>des</w:t>
      </w:r>
      <w:r>
        <w:rPr>
          <w:color w:val="231F20"/>
          <w:spacing w:val="-6"/>
          <w:w w:val="120"/>
        </w:rPr>
        <w:t> </w:t>
      </w:r>
      <w:r>
        <w:rPr>
          <w:color w:val="231F20"/>
          <w:w w:val="120"/>
        </w:rPr>
        <w:t>aspirations</w:t>
      </w:r>
      <w:r>
        <w:rPr>
          <w:color w:val="231F20"/>
          <w:spacing w:val="-6"/>
          <w:w w:val="120"/>
        </w:rPr>
        <w:t> </w:t>
      </w:r>
      <w:r>
        <w:rPr>
          <w:color w:val="231F20"/>
          <w:w w:val="120"/>
        </w:rPr>
        <w:t>de leurs</w:t>
      </w:r>
      <w:r>
        <w:rPr>
          <w:color w:val="231F20"/>
          <w:spacing w:val="-13"/>
          <w:w w:val="120"/>
        </w:rPr>
        <w:t> </w:t>
      </w:r>
      <w:r>
        <w:rPr>
          <w:color w:val="231F20"/>
          <w:w w:val="120"/>
        </w:rPr>
        <w:t>travailleurs.</w:t>
      </w:r>
    </w:p>
    <w:p>
      <w:pPr>
        <w:pStyle w:val="BodyText"/>
        <w:spacing w:line="307" w:lineRule="auto" w:before="78"/>
        <w:ind w:left="1220" w:right="100" w:firstLine="250"/>
        <w:jc w:val="both"/>
      </w:pPr>
      <w:r>
        <w:rPr>
          <w:color w:val="231F20"/>
          <w:w w:val="115"/>
        </w:rPr>
        <w:t>Nous sommes un peu idéalistes, mais pas pour autant naïfs! Bien que </w:t>
      </w:r>
      <w:r>
        <w:rPr>
          <w:color w:val="231F20"/>
          <w:w w:val="120"/>
        </w:rPr>
        <w:t>de plus en plus d’entreprises emboîtent le pas vers une prévention du stress et une promotion de la santé psychologique au travail, certains gestionnaires</w:t>
      </w:r>
      <w:r>
        <w:rPr>
          <w:color w:val="231F20"/>
          <w:spacing w:val="-1"/>
          <w:w w:val="120"/>
        </w:rPr>
        <w:t> </w:t>
      </w:r>
      <w:r>
        <w:rPr>
          <w:color w:val="231F20"/>
          <w:w w:val="120"/>
        </w:rPr>
        <w:t>productivistes</w:t>
      </w:r>
      <w:r>
        <w:rPr>
          <w:color w:val="231F20"/>
          <w:spacing w:val="-1"/>
          <w:w w:val="120"/>
        </w:rPr>
        <w:t> </w:t>
      </w:r>
      <w:r>
        <w:rPr>
          <w:color w:val="231F20"/>
          <w:w w:val="120"/>
        </w:rPr>
        <w:t>et</w:t>
      </w:r>
      <w:r>
        <w:rPr>
          <w:color w:val="231F20"/>
          <w:spacing w:val="-1"/>
          <w:w w:val="120"/>
        </w:rPr>
        <w:t> </w:t>
      </w:r>
      <w:r>
        <w:rPr>
          <w:color w:val="231F20"/>
          <w:w w:val="120"/>
        </w:rPr>
        <w:t>passéistes</w:t>
      </w:r>
      <w:r>
        <w:rPr>
          <w:color w:val="231F20"/>
          <w:spacing w:val="-1"/>
          <w:w w:val="120"/>
        </w:rPr>
        <w:t> </w:t>
      </w:r>
      <w:r>
        <w:rPr>
          <w:color w:val="231F20"/>
          <w:w w:val="120"/>
        </w:rPr>
        <w:t>continueront</w:t>
      </w:r>
      <w:r>
        <w:rPr>
          <w:color w:val="231F20"/>
          <w:spacing w:val="-1"/>
          <w:w w:val="120"/>
        </w:rPr>
        <w:t> </w:t>
      </w:r>
      <w:r>
        <w:rPr>
          <w:color w:val="231F20"/>
          <w:w w:val="120"/>
        </w:rPr>
        <w:t>d’appliquer</w:t>
      </w:r>
      <w:r>
        <w:rPr>
          <w:color w:val="231F20"/>
          <w:spacing w:val="-1"/>
          <w:w w:val="120"/>
        </w:rPr>
        <w:t> </w:t>
      </w:r>
      <w:r>
        <w:rPr>
          <w:color w:val="231F20"/>
          <w:w w:val="120"/>
        </w:rPr>
        <w:t>des techniques</w:t>
      </w:r>
      <w:r>
        <w:rPr>
          <w:color w:val="231F20"/>
          <w:spacing w:val="-2"/>
          <w:w w:val="120"/>
        </w:rPr>
        <w:t> </w:t>
      </w:r>
      <w:r>
        <w:rPr>
          <w:color w:val="231F20"/>
          <w:w w:val="120"/>
        </w:rPr>
        <w:t>de</w:t>
      </w:r>
      <w:r>
        <w:rPr>
          <w:color w:val="231F20"/>
          <w:spacing w:val="-2"/>
          <w:w w:val="120"/>
        </w:rPr>
        <w:t> </w:t>
      </w:r>
      <w:r>
        <w:rPr>
          <w:color w:val="231F20"/>
          <w:w w:val="120"/>
        </w:rPr>
        <w:t>production</w:t>
      </w:r>
      <w:r>
        <w:rPr>
          <w:color w:val="231F20"/>
          <w:spacing w:val="-2"/>
          <w:w w:val="120"/>
        </w:rPr>
        <w:t> </w:t>
      </w:r>
      <w:r>
        <w:rPr>
          <w:color w:val="231F20"/>
          <w:w w:val="120"/>
        </w:rPr>
        <w:t>à</w:t>
      </w:r>
      <w:r>
        <w:rPr>
          <w:color w:val="231F20"/>
          <w:spacing w:val="-2"/>
          <w:w w:val="120"/>
        </w:rPr>
        <w:t> </w:t>
      </w:r>
      <w:r>
        <w:rPr>
          <w:color w:val="231F20"/>
          <w:w w:val="120"/>
        </w:rPr>
        <w:t>courte</w:t>
      </w:r>
      <w:r>
        <w:rPr>
          <w:color w:val="231F20"/>
          <w:spacing w:val="-2"/>
          <w:w w:val="120"/>
        </w:rPr>
        <w:t> </w:t>
      </w:r>
      <w:r>
        <w:rPr>
          <w:color w:val="231F20"/>
          <w:w w:val="120"/>
        </w:rPr>
        <w:t>vue</w:t>
      </w:r>
      <w:r>
        <w:rPr>
          <w:color w:val="231F20"/>
          <w:spacing w:val="-2"/>
          <w:w w:val="120"/>
        </w:rPr>
        <w:t> </w:t>
      </w:r>
      <w:r>
        <w:rPr>
          <w:color w:val="231F20"/>
          <w:w w:val="120"/>
        </w:rPr>
        <w:t>afin</w:t>
      </w:r>
      <w:r>
        <w:rPr>
          <w:color w:val="231F20"/>
          <w:spacing w:val="-2"/>
          <w:w w:val="120"/>
        </w:rPr>
        <w:t> </w:t>
      </w:r>
      <w:r>
        <w:rPr>
          <w:color w:val="231F20"/>
          <w:w w:val="120"/>
        </w:rPr>
        <w:t>de</w:t>
      </w:r>
      <w:r>
        <w:rPr>
          <w:color w:val="231F20"/>
          <w:spacing w:val="-2"/>
          <w:w w:val="120"/>
        </w:rPr>
        <w:t> </w:t>
      </w:r>
      <w:r>
        <w:rPr>
          <w:color w:val="231F20"/>
          <w:w w:val="120"/>
        </w:rPr>
        <w:t>maximiser</w:t>
      </w:r>
      <w:r>
        <w:rPr>
          <w:color w:val="231F20"/>
          <w:spacing w:val="-2"/>
          <w:w w:val="120"/>
        </w:rPr>
        <w:t> </w:t>
      </w:r>
      <w:r>
        <w:rPr>
          <w:color w:val="231F20"/>
          <w:w w:val="120"/>
        </w:rPr>
        <w:t>le</w:t>
      </w:r>
      <w:r>
        <w:rPr>
          <w:color w:val="231F20"/>
          <w:spacing w:val="-2"/>
          <w:w w:val="120"/>
        </w:rPr>
        <w:t> </w:t>
      </w:r>
      <w:r>
        <w:rPr>
          <w:color w:val="231F20"/>
          <w:w w:val="120"/>
        </w:rPr>
        <w:t>rendement et</w:t>
      </w:r>
      <w:r>
        <w:rPr>
          <w:color w:val="231F20"/>
          <w:spacing w:val="-13"/>
          <w:w w:val="120"/>
        </w:rPr>
        <w:t> </w:t>
      </w:r>
      <w:r>
        <w:rPr>
          <w:color w:val="231F20"/>
          <w:w w:val="120"/>
        </w:rPr>
        <w:t>la</w:t>
      </w:r>
      <w:r>
        <w:rPr>
          <w:color w:val="231F20"/>
          <w:spacing w:val="-13"/>
          <w:w w:val="120"/>
        </w:rPr>
        <w:t> </w:t>
      </w:r>
      <w:r>
        <w:rPr>
          <w:color w:val="231F20"/>
          <w:w w:val="120"/>
        </w:rPr>
        <w:t>productivité</w:t>
      </w:r>
      <w:r>
        <w:rPr>
          <w:color w:val="231F20"/>
          <w:spacing w:val="-13"/>
          <w:w w:val="120"/>
        </w:rPr>
        <w:t> </w:t>
      </w:r>
      <w:r>
        <w:rPr>
          <w:color w:val="231F20"/>
          <w:w w:val="120"/>
        </w:rPr>
        <w:t>des</w:t>
      </w:r>
      <w:r>
        <w:rPr>
          <w:color w:val="231F20"/>
          <w:spacing w:val="-12"/>
          <w:w w:val="120"/>
        </w:rPr>
        <w:t> </w:t>
      </w:r>
      <w:r>
        <w:rPr>
          <w:color w:val="231F20"/>
          <w:w w:val="120"/>
        </w:rPr>
        <w:t>entreprises.</w:t>
      </w:r>
      <w:r>
        <w:rPr>
          <w:color w:val="231F20"/>
          <w:spacing w:val="-13"/>
          <w:w w:val="120"/>
        </w:rPr>
        <w:t> </w:t>
      </w:r>
      <w:r>
        <w:rPr>
          <w:color w:val="231F20"/>
          <w:w w:val="120"/>
        </w:rPr>
        <w:t>L’application</w:t>
      </w:r>
      <w:r>
        <w:rPr>
          <w:color w:val="231F20"/>
          <w:spacing w:val="-13"/>
          <w:w w:val="120"/>
        </w:rPr>
        <w:t> </w:t>
      </w:r>
      <w:r>
        <w:rPr>
          <w:color w:val="231F20"/>
          <w:w w:val="120"/>
        </w:rPr>
        <w:t>de</w:t>
      </w:r>
      <w:r>
        <w:rPr>
          <w:color w:val="231F20"/>
          <w:spacing w:val="-13"/>
          <w:w w:val="120"/>
        </w:rPr>
        <w:t> </w:t>
      </w:r>
      <w:r>
        <w:rPr>
          <w:color w:val="231F20"/>
          <w:w w:val="120"/>
        </w:rPr>
        <w:t>ces</w:t>
      </w:r>
      <w:r>
        <w:rPr>
          <w:color w:val="231F20"/>
          <w:spacing w:val="-12"/>
          <w:w w:val="120"/>
        </w:rPr>
        <w:t> </w:t>
      </w:r>
      <w:r>
        <w:rPr>
          <w:color w:val="231F20"/>
          <w:w w:val="120"/>
        </w:rPr>
        <w:t>stratégies</w:t>
      </w:r>
      <w:r>
        <w:rPr>
          <w:color w:val="231F20"/>
          <w:spacing w:val="-13"/>
          <w:w w:val="120"/>
        </w:rPr>
        <w:t> </w:t>
      </w:r>
      <w:r>
        <w:rPr>
          <w:color w:val="231F20"/>
          <w:w w:val="120"/>
        </w:rPr>
        <w:t>de</w:t>
      </w:r>
      <w:r>
        <w:rPr>
          <w:color w:val="231F20"/>
          <w:spacing w:val="-13"/>
          <w:w w:val="120"/>
        </w:rPr>
        <w:t> </w:t>
      </w:r>
      <w:r>
        <w:rPr>
          <w:color w:val="231F20"/>
          <w:w w:val="120"/>
        </w:rPr>
        <w:t>pro­ duction</w:t>
      </w:r>
      <w:r>
        <w:rPr>
          <w:color w:val="231F20"/>
          <w:spacing w:val="-11"/>
          <w:w w:val="120"/>
        </w:rPr>
        <w:t> </w:t>
      </w:r>
      <w:r>
        <w:rPr>
          <w:color w:val="231F20"/>
          <w:w w:val="120"/>
        </w:rPr>
        <w:t>se</w:t>
      </w:r>
      <w:r>
        <w:rPr>
          <w:color w:val="231F20"/>
          <w:spacing w:val="-11"/>
          <w:w w:val="120"/>
        </w:rPr>
        <w:t> </w:t>
      </w:r>
      <w:r>
        <w:rPr>
          <w:color w:val="231F20"/>
          <w:w w:val="120"/>
        </w:rPr>
        <w:t>heurtera</w:t>
      </w:r>
      <w:r>
        <w:rPr>
          <w:color w:val="231F20"/>
          <w:spacing w:val="-11"/>
          <w:w w:val="120"/>
        </w:rPr>
        <w:t> </w:t>
      </w:r>
      <w:r>
        <w:rPr>
          <w:color w:val="231F20"/>
          <w:w w:val="120"/>
        </w:rPr>
        <w:t>cependant,</w:t>
      </w:r>
      <w:r>
        <w:rPr>
          <w:color w:val="231F20"/>
          <w:spacing w:val="-11"/>
          <w:w w:val="120"/>
        </w:rPr>
        <w:t> </w:t>
      </w:r>
      <w:r>
        <w:rPr>
          <w:color w:val="231F20"/>
          <w:w w:val="120"/>
        </w:rPr>
        <w:t>de</w:t>
      </w:r>
      <w:r>
        <w:rPr>
          <w:color w:val="231F20"/>
          <w:spacing w:val="-11"/>
          <w:w w:val="120"/>
        </w:rPr>
        <w:t> </w:t>
      </w:r>
      <w:r>
        <w:rPr>
          <w:color w:val="231F20"/>
          <w:w w:val="120"/>
        </w:rPr>
        <w:t>plus</w:t>
      </w:r>
      <w:r>
        <w:rPr>
          <w:color w:val="231F20"/>
          <w:spacing w:val="-11"/>
          <w:w w:val="120"/>
        </w:rPr>
        <w:t> </w:t>
      </w:r>
      <w:r>
        <w:rPr>
          <w:color w:val="231F20"/>
          <w:w w:val="120"/>
        </w:rPr>
        <w:t>en</w:t>
      </w:r>
      <w:r>
        <w:rPr>
          <w:color w:val="231F20"/>
          <w:spacing w:val="-11"/>
          <w:w w:val="120"/>
        </w:rPr>
        <w:t> </w:t>
      </w:r>
      <w:r>
        <w:rPr>
          <w:color w:val="231F20"/>
          <w:w w:val="120"/>
        </w:rPr>
        <w:t>plus,</w:t>
      </w:r>
      <w:r>
        <w:rPr>
          <w:color w:val="231F20"/>
          <w:spacing w:val="-11"/>
          <w:w w:val="120"/>
        </w:rPr>
        <w:t> </w:t>
      </w:r>
      <w:r>
        <w:rPr>
          <w:color w:val="231F20"/>
          <w:w w:val="120"/>
        </w:rPr>
        <w:t>à</w:t>
      </w:r>
      <w:r>
        <w:rPr>
          <w:color w:val="231F20"/>
          <w:spacing w:val="-11"/>
          <w:w w:val="120"/>
        </w:rPr>
        <w:t> </w:t>
      </w:r>
      <w:r>
        <w:rPr>
          <w:color w:val="231F20"/>
          <w:w w:val="120"/>
        </w:rPr>
        <w:t>la</w:t>
      </w:r>
      <w:r>
        <w:rPr>
          <w:color w:val="231F20"/>
          <w:spacing w:val="-11"/>
          <w:w w:val="120"/>
        </w:rPr>
        <w:t> </w:t>
      </w:r>
      <w:r>
        <w:rPr>
          <w:color w:val="231F20"/>
          <w:w w:val="120"/>
        </w:rPr>
        <w:t>volonté</w:t>
      </w:r>
      <w:r>
        <w:rPr>
          <w:color w:val="231F20"/>
          <w:spacing w:val="-11"/>
          <w:w w:val="120"/>
        </w:rPr>
        <w:t> </w:t>
      </w:r>
      <w:r>
        <w:rPr>
          <w:color w:val="231F20"/>
          <w:w w:val="120"/>
        </w:rPr>
        <w:t>d’une</w:t>
      </w:r>
      <w:r>
        <w:rPr>
          <w:color w:val="231F20"/>
          <w:spacing w:val="-11"/>
          <w:w w:val="120"/>
        </w:rPr>
        <w:t> </w:t>
      </w:r>
      <w:r>
        <w:rPr>
          <w:color w:val="231F20"/>
          <w:w w:val="120"/>
        </w:rPr>
        <w:t>main­ d’œuvre de mieux en mieux informée et possédant des possibilités </w:t>
      </w:r>
      <w:r>
        <w:rPr>
          <w:color w:val="231F20"/>
          <w:spacing w:val="-2"/>
          <w:w w:val="120"/>
        </w:rPr>
        <w:t>d’emploi</w:t>
      </w:r>
      <w:r>
        <w:rPr>
          <w:color w:val="231F20"/>
          <w:spacing w:val="-10"/>
          <w:w w:val="120"/>
        </w:rPr>
        <w:t> </w:t>
      </w:r>
      <w:r>
        <w:rPr>
          <w:color w:val="231F20"/>
          <w:spacing w:val="-2"/>
          <w:w w:val="120"/>
        </w:rPr>
        <w:t>plus</w:t>
      </w:r>
      <w:r>
        <w:rPr>
          <w:color w:val="231F20"/>
          <w:spacing w:val="-10"/>
          <w:w w:val="120"/>
        </w:rPr>
        <w:t> </w:t>
      </w:r>
      <w:r>
        <w:rPr>
          <w:color w:val="231F20"/>
          <w:spacing w:val="-2"/>
          <w:w w:val="120"/>
        </w:rPr>
        <w:t>nombreuses.</w:t>
      </w:r>
      <w:r>
        <w:rPr>
          <w:color w:val="231F20"/>
          <w:spacing w:val="-10"/>
          <w:w w:val="120"/>
        </w:rPr>
        <w:t> </w:t>
      </w:r>
      <w:r>
        <w:rPr>
          <w:color w:val="231F20"/>
          <w:spacing w:val="-2"/>
          <w:w w:val="120"/>
        </w:rPr>
        <w:t>Nous</w:t>
      </w:r>
      <w:r>
        <w:rPr>
          <w:color w:val="231F20"/>
          <w:spacing w:val="-10"/>
          <w:w w:val="120"/>
        </w:rPr>
        <w:t> </w:t>
      </w:r>
      <w:r>
        <w:rPr>
          <w:color w:val="231F20"/>
          <w:spacing w:val="-2"/>
          <w:w w:val="120"/>
        </w:rPr>
        <w:t>espérons</w:t>
      </w:r>
      <w:r>
        <w:rPr>
          <w:color w:val="231F20"/>
          <w:spacing w:val="-10"/>
          <w:w w:val="120"/>
        </w:rPr>
        <w:t> </w:t>
      </w:r>
      <w:r>
        <w:rPr>
          <w:color w:val="231F20"/>
          <w:spacing w:val="-2"/>
          <w:w w:val="120"/>
        </w:rPr>
        <w:t>que</w:t>
      </w:r>
      <w:r>
        <w:rPr>
          <w:color w:val="231F20"/>
          <w:spacing w:val="-10"/>
          <w:w w:val="120"/>
        </w:rPr>
        <w:t> </w:t>
      </w:r>
      <w:r>
        <w:rPr>
          <w:color w:val="231F20"/>
          <w:spacing w:val="-2"/>
          <w:w w:val="120"/>
        </w:rPr>
        <w:t>les</w:t>
      </w:r>
      <w:r>
        <w:rPr>
          <w:color w:val="231F20"/>
          <w:spacing w:val="-10"/>
          <w:w w:val="120"/>
        </w:rPr>
        <w:t> </w:t>
      </w:r>
      <w:r>
        <w:rPr>
          <w:color w:val="231F20"/>
          <w:spacing w:val="-2"/>
          <w:w w:val="120"/>
        </w:rPr>
        <w:t>travailleurs</w:t>
      </w:r>
      <w:r>
        <w:rPr>
          <w:color w:val="231F20"/>
          <w:spacing w:val="-10"/>
          <w:w w:val="120"/>
        </w:rPr>
        <w:t> </w:t>
      </w:r>
      <w:r>
        <w:rPr>
          <w:color w:val="231F20"/>
          <w:spacing w:val="-2"/>
          <w:w w:val="120"/>
        </w:rPr>
        <w:t>qui</w:t>
      </w:r>
      <w:r>
        <w:rPr>
          <w:color w:val="231F20"/>
          <w:spacing w:val="-10"/>
          <w:w w:val="120"/>
        </w:rPr>
        <w:t> </w:t>
      </w:r>
      <w:r>
        <w:rPr>
          <w:color w:val="231F20"/>
          <w:spacing w:val="-2"/>
          <w:w w:val="120"/>
        </w:rPr>
        <w:t>auront </w:t>
      </w:r>
      <w:r>
        <w:rPr>
          <w:color w:val="231F20"/>
          <w:w w:val="120"/>
        </w:rPr>
        <w:t>lu</w:t>
      </w:r>
      <w:r>
        <w:rPr>
          <w:color w:val="231F20"/>
          <w:spacing w:val="-13"/>
          <w:w w:val="120"/>
        </w:rPr>
        <w:t> </w:t>
      </w:r>
      <w:r>
        <w:rPr>
          <w:color w:val="231F20"/>
          <w:w w:val="120"/>
        </w:rPr>
        <w:t>ce</w:t>
      </w:r>
      <w:r>
        <w:rPr>
          <w:color w:val="231F20"/>
          <w:spacing w:val="-13"/>
          <w:w w:val="120"/>
        </w:rPr>
        <w:t> </w:t>
      </w:r>
      <w:r>
        <w:rPr>
          <w:color w:val="231F20"/>
          <w:w w:val="120"/>
        </w:rPr>
        <w:t>livre</w:t>
      </w:r>
      <w:r>
        <w:rPr>
          <w:color w:val="231F20"/>
          <w:spacing w:val="-13"/>
          <w:w w:val="120"/>
        </w:rPr>
        <w:t> </w:t>
      </w:r>
      <w:r>
        <w:rPr>
          <w:color w:val="231F20"/>
          <w:w w:val="120"/>
        </w:rPr>
        <w:t>cesseront</w:t>
      </w:r>
      <w:r>
        <w:rPr>
          <w:color w:val="231F20"/>
          <w:spacing w:val="-12"/>
          <w:w w:val="120"/>
        </w:rPr>
        <w:t> </w:t>
      </w:r>
      <w:r>
        <w:rPr>
          <w:color w:val="231F20"/>
          <w:w w:val="120"/>
        </w:rPr>
        <w:t>d’accepter</w:t>
      </w:r>
      <w:r>
        <w:rPr>
          <w:color w:val="231F20"/>
          <w:spacing w:val="-13"/>
          <w:w w:val="120"/>
        </w:rPr>
        <w:t> </w:t>
      </w:r>
      <w:r>
        <w:rPr>
          <w:color w:val="231F20"/>
          <w:w w:val="120"/>
        </w:rPr>
        <w:t>de</w:t>
      </w:r>
      <w:r>
        <w:rPr>
          <w:color w:val="231F20"/>
          <w:spacing w:val="-13"/>
          <w:w w:val="120"/>
        </w:rPr>
        <w:t> </w:t>
      </w:r>
      <w:r>
        <w:rPr>
          <w:color w:val="231F20"/>
          <w:w w:val="120"/>
        </w:rPr>
        <w:t>travailler</w:t>
      </w:r>
      <w:r>
        <w:rPr>
          <w:color w:val="231F20"/>
          <w:spacing w:val="-13"/>
          <w:w w:val="120"/>
        </w:rPr>
        <w:t> </w:t>
      </w:r>
      <w:r>
        <w:rPr>
          <w:color w:val="231F20"/>
          <w:w w:val="120"/>
        </w:rPr>
        <w:t>pour</w:t>
      </w:r>
      <w:r>
        <w:rPr>
          <w:color w:val="231F20"/>
          <w:spacing w:val="-12"/>
          <w:w w:val="120"/>
        </w:rPr>
        <w:t> </w:t>
      </w:r>
      <w:r>
        <w:rPr>
          <w:color w:val="231F20"/>
          <w:w w:val="120"/>
        </w:rPr>
        <w:t>des</w:t>
      </w:r>
      <w:r>
        <w:rPr>
          <w:color w:val="231F20"/>
          <w:spacing w:val="-13"/>
          <w:w w:val="120"/>
        </w:rPr>
        <w:t> </w:t>
      </w:r>
      <w:r>
        <w:rPr>
          <w:color w:val="231F20"/>
          <w:w w:val="120"/>
        </w:rPr>
        <w:t>entreprises</w:t>
      </w:r>
      <w:r>
        <w:rPr>
          <w:color w:val="231F20"/>
          <w:spacing w:val="-13"/>
          <w:w w:val="120"/>
        </w:rPr>
        <w:t> </w:t>
      </w:r>
      <w:r>
        <w:rPr>
          <w:color w:val="231F20"/>
          <w:w w:val="120"/>
        </w:rPr>
        <w:t>stricte­ ment</w:t>
      </w:r>
      <w:r>
        <w:rPr>
          <w:color w:val="231F20"/>
          <w:spacing w:val="-7"/>
          <w:w w:val="120"/>
        </w:rPr>
        <w:t> </w:t>
      </w:r>
      <w:r>
        <w:rPr>
          <w:color w:val="231F20"/>
          <w:w w:val="120"/>
        </w:rPr>
        <w:t>intéressées</w:t>
      </w:r>
      <w:r>
        <w:rPr>
          <w:color w:val="231F20"/>
          <w:spacing w:val="-7"/>
          <w:w w:val="120"/>
        </w:rPr>
        <w:t> </w:t>
      </w:r>
      <w:r>
        <w:rPr>
          <w:color w:val="231F20"/>
          <w:w w:val="120"/>
        </w:rPr>
        <w:t>à</w:t>
      </w:r>
      <w:r>
        <w:rPr>
          <w:color w:val="231F20"/>
          <w:spacing w:val="-7"/>
          <w:w w:val="120"/>
        </w:rPr>
        <w:t> </w:t>
      </w:r>
      <w:r>
        <w:rPr>
          <w:color w:val="231F20"/>
          <w:w w:val="120"/>
        </w:rPr>
        <w:t>leur</w:t>
      </w:r>
      <w:r>
        <w:rPr>
          <w:color w:val="231F20"/>
          <w:spacing w:val="-7"/>
          <w:w w:val="120"/>
        </w:rPr>
        <w:t> </w:t>
      </w:r>
      <w:r>
        <w:rPr>
          <w:color w:val="231F20"/>
          <w:w w:val="120"/>
        </w:rPr>
        <w:t>capacité</w:t>
      </w:r>
      <w:r>
        <w:rPr>
          <w:color w:val="231F20"/>
          <w:spacing w:val="-7"/>
          <w:w w:val="120"/>
        </w:rPr>
        <w:t> </w:t>
      </w:r>
      <w:r>
        <w:rPr>
          <w:color w:val="231F20"/>
          <w:w w:val="120"/>
        </w:rPr>
        <w:t>productive</w:t>
      </w:r>
      <w:r>
        <w:rPr>
          <w:color w:val="231F20"/>
          <w:spacing w:val="-7"/>
          <w:w w:val="120"/>
        </w:rPr>
        <w:t> </w:t>
      </w:r>
      <w:r>
        <w:rPr>
          <w:color w:val="231F20"/>
          <w:w w:val="120"/>
        </w:rPr>
        <w:t>et</w:t>
      </w:r>
      <w:r>
        <w:rPr>
          <w:color w:val="231F20"/>
          <w:spacing w:val="-7"/>
          <w:w w:val="120"/>
        </w:rPr>
        <w:t> </w:t>
      </w:r>
      <w:r>
        <w:rPr>
          <w:color w:val="231F20"/>
          <w:w w:val="120"/>
        </w:rPr>
        <w:t>ignorant</w:t>
      </w:r>
      <w:r>
        <w:rPr>
          <w:color w:val="231F20"/>
          <w:spacing w:val="-7"/>
          <w:w w:val="120"/>
        </w:rPr>
        <w:t> </w:t>
      </w:r>
      <w:r>
        <w:rPr>
          <w:color w:val="231F20"/>
          <w:w w:val="120"/>
        </w:rPr>
        <w:t>leur</w:t>
      </w:r>
      <w:r>
        <w:rPr>
          <w:color w:val="231F20"/>
          <w:spacing w:val="-7"/>
          <w:w w:val="120"/>
        </w:rPr>
        <w:t> </w:t>
      </w:r>
      <w:r>
        <w:rPr>
          <w:color w:val="231F20"/>
          <w:w w:val="120"/>
        </w:rPr>
        <w:t>mieux­être. </w:t>
      </w:r>
      <w:r>
        <w:rPr>
          <w:color w:val="231F20"/>
          <w:w w:val="115"/>
        </w:rPr>
        <w:t>Étant</w:t>
      </w:r>
      <w:r>
        <w:rPr>
          <w:color w:val="231F20"/>
          <w:spacing w:val="-8"/>
          <w:w w:val="115"/>
        </w:rPr>
        <w:t> </w:t>
      </w:r>
      <w:r>
        <w:rPr>
          <w:color w:val="231F20"/>
          <w:w w:val="115"/>
        </w:rPr>
        <w:t>sensibilisés</w:t>
      </w:r>
      <w:r>
        <w:rPr>
          <w:color w:val="231F20"/>
          <w:spacing w:val="-8"/>
          <w:w w:val="115"/>
        </w:rPr>
        <w:t> </w:t>
      </w:r>
      <w:r>
        <w:rPr>
          <w:color w:val="231F20"/>
          <w:w w:val="115"/>
        </w:rPr>
        <w:t>aux</w:t>
      </w:r>
      <w:r>
        <w:rPr>
          <w:color w:val="231F20"/>
          <w:spacing w:val="-8"/>
          <w:w w:val="115"/>
        </w:rPr>
        <w:t> </w:t>
      </w:r>
      <w:r>
        <w:rPr>
          <w:color w:val="231F20"/>
          <w:w w:val="115"/>
        </w:rPr>
        <w:t>dangers</w:t>
      </w:r>
      <w:r>
        <w:rPr>
          <w:color w:val="231F20"/>
          <w:spacing w:val="-8"/>
          <w:w w:val="115"/>
        </w:rPr>
        <w:t> </w:t>
      </w:r>
      <w:r>
        <w:rPr>
          <w:color w:val="231F20"/>
          <w:w w:val="115"/>
        </w:rPr>
        <w:t>du</w:t>
      </w:r>
      <w:r>
        <w:rPr>
          <w:color w:val="231F20"/>
          <w:spacing w:val="-8"/>
          <w:w w:val="115"/>
        </w:rPr>
        <w:t> </w:t>
      </w:r>
      <w:r>
        <w:rPr>
          <w:color w:val="231F20"/>
          <w:w w:val="115"/>
        </w:rPr>
        <w:t>stress</w:t>
      </w:r>
      <w:r>
        <w:rPr>
          <w:color w:val="231F20"/>
          <w:spacing w:val="-8"/>
          <w:w w:val="115"/>
        </w:rPr>
        <w:t> </w:t>
      </w:r>
      <w:r>
        <w:rPr>
          <w:color w:val="231F20"/>
          <w:w w:val="115"/>
        </w:rPr>
        <w:t>chronique</w:t>
      </w:r>
      <w:r>
        <w:rPr>
          <w:color w:val="231F20"/>
          <w:spacing w:val="-8"/>
          <w:w w:val="115"/>
        </w:rPr>
        <w:t> </w:t>
      </w:r>
      <w:r>
        <w:rPr>
          <w:color w:val="231F20"/>
          <w:w w:val="115"/>
        </w:rPr>
        <w:t>et</w:t>
      </w:r>
      <w:r>
        <w:rPr>
          <w:color w:val="231F20"/>
          <w:spacing w:val="-8"/>
          <w:w w:val="115"/>
        </w:rPr>
        <w:t> </w:t>
      </w:r>
      <w:r>
        <w:rPr>
          <w:color w:val="231F20"/>
          <w:w w:val="115"/>
        </w:rPr>
        <w:t>informés</w:t>
      </w:r>
      <w:r>
        <w:rPr>
          <w:color w:val="231F20"/>
          <w:spacing w:val="-8"/>
          <w:w w:val="115"/>
        </w:rPr>
        <w:t> </w:t>
      </w:r>
      <w:r>
        <w:rPr>
          <w:color w:val="231F20"/>
          <w:w w:val="115"/>
        </w:rPr>
        <w:t>des</w:t>
      </w:r>
      <w:r>
        <w:rPr>
          <w:color w:val="231F20"/>
          <w:spacing w:val="-8"/>
          <w:w w:val="115"/>
        </w:rPr>
        <w:t> </w:t>
      </w:r>
      <w:r>
        <w:rPr>
          <w:color w:val="231F20"/>
          <w:w w:val="115"/>
        </w:rPr>
        <w:t>moyens </w:t>
      </w:r>
      <w:r>
        <w:rPr>
          <w:color w:val="231F20"/>
          <w:w w:val="120"/>
        </w:rPr>
        <w:t>individuels</w:t>
      </w:r>
      <w:r>
        <w:rPr>
          <w:color w:val="231F20"/>
          <w:spacing w:val="-10"/>
          <w:w w:val="120"/>
        </w:rPr>
        <w:t> </w:t>
      </w:r>
      <w:r>
        <w:rPr>
          <w:color w:val="231F20"/>
          <w:w w:val="120"/>
        </w:rPr>
        <w:t>dont</w:t>
      </w:r>
      <w:r>
        <w:rPr>
          <w:color w:val="231F20"/>
          <w:spacing w:val="-10"/>
          <w:w w:val="120"/>
        </w:rPr>
        <w:t> </w:t>
      </w:r>
      <w:r>
        <w:rPr>
          <w:color w:val="231F20"/>
          <w:w w:val="120"/>
        </w:rPr>
        <w:t>ils</w:t>
      </w:r>
      <w:r>
        <w:rPr>
          <w:color w:val="231F20"/>
          <w:spacing w:val="-10"/>
          <w:w w:val="120"/>
        </w:rPr>
        <w:t> </w:t>
      </w:r>
      <w:r>
        <w:rPr>
          <w:color w:val="231F20"/>
          <w:w w:val="120"/>
        </w:rPr>
        <w:t>disposent</w:t>
      </w:r>
      <w:r>
        <w:rPr>
          <w:color w:val="231F20"/>
          <w:spacing w:val="-10"/>
          <w:w w:val="120"/>
        </w:rPr>
        <w:t> </w:t>
      </w:r>
      <w:r>
        <w:rPr>
          <w:color w:val="231F20"/>
          <w:w w:val="120"/>
        </w:rPr>
        <w:t>pour</w:t>
      </w:r>
      <w:r>
        <w:rPr>
          <w:color w:val="231F20"/>
          <w:spacing w:val="-10"/>
          <w:w w:val="120"/>
        </w:rPr>
        <w:t> </w:t>
      </w:r>
      <w:r>
        <w:rPr>
          <w:color w:val="231F20"/>
          <w:w w:val="120"/>
        </w:rPr>
        <w:t>s’en</w:t>
      </w:r>
      <w:r>
        <w:rPr>
          <w:color w:val="231F20"/>
          <w:spacing w:val="-10"/>
          <w:w w:val="120"/>
        </w:rPr>
        <w:t> </w:t>
      </w:r>
      <w:r>
        <w:rPr>
          <w:color w:val="231F20"/>
          <w:w w:val="120"/>
        </w:rPr>
        <w:t>prémunir,</w:t>
      </w:r>
      <w:r>
        <w:rPr>
          <w:color w:val="231F20"/>
          <w:spacing w:val="-10"/>
          <w:w w:val="120"/>
        </w:rPr>
        <w:t> </w:t>
      </w:r>
      <w:r>
        <w:rPr>
          <w:color w:val="231F20"/>
          <w:w w:val="120"/>
        </w:rPr>
        <w:t>ces</w:t>
      </w:r>
      <w:r>
        <w:rPr>
          <w:color w:val="231F20"/>
          <w:spacing w:val="-10"/>
          <w:w w:val="120"/>
        </w:rPr>
        <w:t> </w:t>
      </w:r>
      <w:r>
        <w:rPr>
          <w:color w:val="231F20"/>
          <w:w w:val="120"/>
        </w:rPr>
        <w:t>travailleurs</w:t>
      </w:r>
      <w:r>
        <w:rPr>
          <w:color w:val="231F20"/>
          <w:spacing w:val="-10"/>
          <w:w w:val="120"/>
        </w:rPr>
        <w:t> </w:t>
      </w:r>
      <w:r>
        <w:rPr>
          <w:color w:val="231F20"/>
          <w:w w:val="120"/>
        </w:rPr>
        <w:t>com­ </w:t>
      </w:r>
      <w:r>
        <w:rPr>
          <w:color w:val="231F20"/>
          <w:spacing w:val="-2"/>
          <w:w w:val="120"/>
        </w:rPr>
        <w:t>prendront</w:t>
      </w:r>
      <w:r>
        <w:rPr>
          <w:color w:val="231F20"/>
          <w:spacing w:val="-8"/>
          <w:w w:val="120"/>
        </w:rPr>
        <w:t> </w:t>
      </w:r>
      <w:r>
        <w:rPr>
          <w:color w:val="231F20"/>
          <w:spacing w:val="-2"/>
          <w:w w:val="120"/>
        </w:rPr>
        <w:t>que</w:t>
      </w:r>
      <w:r>
        <w:rPr>
          <w:color w:val="231F20"/>
          <w:spacing w:val="-8"/>
          <w:w w:val="120"/>
        </w:rPr>
        <w:t> </w:t>
      </w:r>
      <w:r>
        <w:rPr>
          <w:color w:val="231F20"/>
          <w:spacing w:val="-2"/>
          <w:w w:val="120"/>
        </w:rPr>
        <w:t>leur</w:t>
      </w:r>
      <w:r>
        <w:rPr>
          <w:color w:val="231F20"/>
          <w:spacing w:val="-8"/>
          <w:w w:val="120"/>
        </w:rPr>
        <w:t> </w:t>
      </w:r>
      <w:r>
        <w:rPr>
          <w:color w:val="231F20"/>
          <w:spacing w:val="-2"/>
          <w:w w:val="120"/>
        </w:rPr>
        <w:t>plein</w:t>
      </w:r>
      <w:r>
        <w:rPr>
          <w:color w:val="231F20"/>
          <w:spacing w:val="-8"/>
          <w:w w:val="120"/>
        </w:rPr>
        <w:t> </w:t>
      </w:r>
      <w:r>
        <w:rPr>
          <w:color w:val="231F20"/>
          <w:spacing w:val="-2"/>
          <w:w w:val="120"/>
        </w:rPr>
        <w:t>potentiel</w:t>
      </w:r>
      <w:r>
        <w:rPr>
          <w:color w:val="231F20"/>
          <w:spacing w:val="-8"/>
          <w:w w:val="120"/>
        </w:rPr>
        <w:t> </w:t>
      </w:r>
      <w:r>
        <w:rPr>
          <w:color w:val="231F20"/>
          <w:spacing w:val="-2"/>
          <w:w w:val="120"/>
        </w:rPr>
        <w:t>ne</w:t>
      </w:r>
      <w:r>
        <w:rPr>
          <w:color w:val="231F20"/>
          <w:spacing w:val="-8"/>
          <w:w w:val="120"/>
        </w:rPr>
        <w:t> </w:t>
      </w:r>
      <w:r>
        <w:rPr>
          <w:color w:val="231F20"/>
          <w:spacing w:val="-2"/>
          <w:w w:val="120"/>
        </w:rPr>
        <w:t>peut</w:t>
      </w:r>
      <w:r>
        <w:rPr>
          <w:color w:val="231F20"/>
          <w:spacing w:val="-8"/>
          <w:w w:val="120"/>
        </w:rPr>
        <w:t> </w:t>
      </w:r>
      <w:r>
        <w:rPr>
          <w:color w:val="231F20"/>
          <w:spacing w:val="-2"/>
          <w:w w:val="120"/>
        </w:rPr>
        <w:t>s’exprimer</w:t>
      </w:r>
      <w:r>
        <w:rPr>
          <w:color w:val="231F20"/>
          <w:spacing w:val="-8"/>
          <w:w w:val="120"/>
        </w:rPr>
        <w:t> </w:t>
      </w:r>
      <w:r>
        <w:rPr>
          <w:color w:val="231F20"/>
          <w:spacing w:val="-2"/>
          <w:w w:val="120"/>
        </w:rPr>
        <w:t>que</w:t>
      </w:r>
      <w:r>
        <w:rPr>
          <w:color w:val="231F20"/>
          <w:spacing w:val="-8"/>
          <w:w w:val="120"/>
        </w:rPr>
        <w:t> </w:t>
      </w:r>
      <w:r>
        <w:rPr>
          <w:color w:val="231F20"/>
          <w:spacing w:val="-2"/>
          <w:w w:val="120"/>
        </w:rPr>
        <w:t>dans</w:t>
      </w:r>
      <w:r>
        <w:rPr>
          <w:color w:val="231F20"/>
          <w:spacing w:val="-8"/>
          <w:w w:val="120"/>
        </w:rPr>
        <w:t> </w:t>
      </w:r>
      <w:r>
        <w:rPr>
          <w:color w:val="231F20"/>
          <w:spacing w:val="-2"/>
          <w:w w:val="120"/>
        </w:rPr>
        <w:t>la</w:t>
      </w:r>
      <w:r>
        <w:rPr>
          <w:color w:val="231F20"/>
          <w:spacing w:val="-8"/>
          <w:w w:val="120"/>
        </w:rPr>
        <w:t> </w:t>
      </w:r>
      <w:r>
        <w:rPr>
          <w:color w:val="231F20"/>
          <w:spacing w:val="-2"/>
          <w:w w:val="120"/>
        </w:rPr>
        <w:t>mesure </w:t>
      </w:r>
      <w:r>
        <w:rPr>
          <w:color w:val="231F20"/>
          <w:w w:val="115"/>
        </w:rPr>
        <w:t>où leur contexte de travail leur offre de réelles possibilités d’épanouisse­ ment.</w:t>
      </w:r>
      <w:r>
        <w:rPr>
          <w:color w:val="231F20"/>
          <w:spacing w:val="-6"/>
          <w:w w:val="115"/>
        </w:rPr>
        <w:t> </w:t>
      </w:r>
      <w:r>
        <w:rPr>
          <w:color w:val="231F20"/>
          <w:w w:val="115"/>
        </w:rPr>
        <w:t>Par­delà</w:t>
      </w:r>
      <w:r>
        <w:rPr>
          <w:color w:val="231F20"/>
          <w:spacing w:val="-6"/>
          <w:w w:val="115"/>
        </w:rPr>
        <w:t> </w:t>
      </w:r>
      <w:r>
        <w:rPr>
          <w:color w:val="231F20"/>
          <w:w w:val="115"/>
        </w:rPr>
        <w:t>la</w:t>
      </w:r>
      <w:r>
        <w:rPr>
          <w:color w:val="231F20"/>
          <w:spacing w:val="-6"/>
          <w:w w:val="115"/>
        </w:rPr>
        <w:t> </w:t>
      </w:r>
      <w:r>
        <w:rPr>
          <w:color w:val="231F20"/>
          <w:w w:val="115"/>
        </w:rPr>
        <w:t>gestion</w:t>
      </w:r>
      <w:r>
        <w:rPr>
          <w:color w:val="231F20"/>
          <w:spacing w:val="-6"/>
          <w:w w:val="115"/>
        </w:rPr>
        <w:t> </w:t>
      </w:r>
      <w:r>
        <w:rPr>
          <w:color w:val="231F20"/>
          <w:w w:val="115"/>
        </w:rPr>
        <w:t>de</w:t>
      </w:r>
      <w:r>
        <w:rPr>
          <w:color w:val="231F20"/>
          <w:spacing w:val="-6"/>
          <w:w w:val="115"/>
        </w:rPr>
        <w:t> </w:t>
      </w:r>
      <w:r>
        <w:rPr>
          <w:color w:val="231F20"/>
          <w:w w:val="115"/>
        </w:rPr>
        <w:t>leur</w:t>
      </w:r>
      <w:r>
        <w:rPr>
          <w:color w:val="231F20"/>
          <w:spacing w:val="-6"/>
          <w:w w:val="115"/>
        </w:rPr>
        <w:t> </w:t>
      </w:r>
      <w:r>
        <w:rPr>
          <w:color w:val="231F20"/>
          <w:w w:val="115"/>
        </w:rPr>
        <w:t>stress</w:t>
      </w:r>
      <w:r>
        <w:rPr>
          <w:color w:val="231F20"/>
          <w:spacing w:val="-6"/>
          <w:w w:val="115"/>
        </w:rPr>
        <w:t> </w:t>
      </w:r>
      <w:r>
        <w:rPr>
          <w:color w:val="231F20"/>
          <w:w w:val="115"/>
        </w:rPr>
        <w:t>à</w:t>
      </w:r>
      <w:r>
        <w:rPr>
          <w:color w:val="231F20"/>
          <w:spacing w:val="-6"/>
          <w:w w:val="115"/>
        </w:rPr>
        <w:t> </w:t>
      </w:r>
      <w:r>
        <w:rPr>
          <w:color w:val="231F20"/>
          <w:w w:val="115"/>
        </w:rPr>
        <w:t>partir</w:t>
      </w:r>
      <w:r>
        <w:rPr>
          <w:color w:val="231F20"/>
          <w:spacing w:val="-6"/>
          <w:w w:val="115"/>
        </w:rPr>
        <w:t> </w:t>
      </w:r>
      <w:r>
        <w:rPr>
          <w:color w:val="231F20"/>
          <w:w w:val="115"/>
        </w:rPr>
        <w:t>des</w:t>
      </w:r>
      <w:r>
        <w:rPr>
          <w:color w:val="231F20"/>
          <w:spacing w:val="-6"/>
          <w:w w:val="115"/>
        </w:rPr>
        <w:t> </w:t>
      </w:r>
      <w:r>
        <w:rPr>
          <w:color w:val="231F20"/>
          <w:w w:val="115"/>
        </w:rPr>
        <w:t>stratégies</w:t>
      </w:r>
      <w:r>
        <w:rPr>
          <w:color w:val="231F20"/>
          <w:spacing w:val="-6"/>
          <w:w w:val="115"/>
        </w:rPr>
        <w:t> </w:t>
      </w:r>
      <w:r>
        <w:rPr>
          <w:color w:val="231F20"/>
          <w:w w:val="115"/>
        </w:rPr>
        <w:t>individuelles </w:t>
      </w:r>
      <w:r>
        <w:rPr>
          <w:color w:val="231F20"/>
          <w:w w:val="120"/>
        </w:rPr>
        <w:t>présentées, ils seront mieux équipés, nous l’espérons, pour évaluer les risques psychosociaux de leur environnement actuel de travail et au besoin,</w:t>
      </w:r>
      <w:r>
        <w:rPr>
          <w:color w:val="231F20"/>
          <w:spacing w:val="-7"/>
          <w:w w:val="120"/>
        </w:rPr>
        <w:t> </w:t>
      </w:r>
      <w:r>
        <w:rPr>
          <w:color w:val="231F20"/>
          <w:w w:val="120"/>
        </w:rPr>
        <w:t>migrer</w:t>
      </w:r>
      <w:r>
        <w:rPr>
          <w:color w:val="231F20"/>
          <w:spacing w:val="-7"/>
          <w:w w:val="120"/>
        </w:rPr>
        <w:t> </w:t>
      </w:r>
      <w:r>
        <w:rPr>
          <w:color w:val="231F20"/>
          <w:w w:val="120"/>
        </w:rPr>
        <w:t>vers</w:t>
      </w:r>
      <w:r>
        <w:rPr>
          <w:color w:val="231F20"/>
          <w:spacing w:val="-7"/>
          <w:w w:val="120"/>
        </w:rPr>
        <w:t> </w:t>
      </w:r>
      <w:r>
        <w:rPr>
          <w:color w:val="231F20"/>
          <w:w w:val="120"/>
        </w:rPr>
        <w:t>des</w:t>
      </w:r>
      <w:r>
        <w:rPr>
          <w:color w:val="231F20"/>
          <w:spacing w:val="-7"/>
          <w:w w:val="120"/>
        </w:rPr>
        <w:t> </w:t>
      </w:r>
      <w:r>
        <w:rPr>
          <w:color w:val="231F20"/>
          <w:w w:val="120"/>
        </w:rPr>
        <w:t>entreprises</w:t>
      </w:r>
      <w:r>
        <w:rPr>
          <w:color w:val="231F20"/>
          <w:spacing w:val="-7"/>
          <w:w w:val="120"/>
        </w:rPr>
        <w:t> </w:t>
      </w:r>
      <w:r>
        <w:rPr>
          <w:color w:val="231F20"/>
          <w:w w:val="120"/>
        </w:rPr>
        <w:t>qui</w:t>
      </w:r>
      <w:r>
        <w:rPr>
          <w:color w:val="231F20"/>
          <w:spacing w:val="-7"/>
          <w:w w:val="120"/>
        </w:rPr>
        <w:t> </w:t>
      </w:r>
      <w:r>
        <w:rPr>
          <w:color w:val="231F20"/>
          <w:w w:val="120"/>
        </w:rPr>
        <w:t>mettront</w:t>
      </w:r>
      <w:r>
        <w:rPr>
          <w:color w:val="231F20"/>
          <w:spacing w:val="-7"/>
          <w:w w:val="120"/>
        </w:rPr>
        <w:t> </w:t>
      </w:r>
      <w:r>
        <w:rPr>
          <w:color w:val="231F20"/>
          <w:w w:val="120"/>
        </w:rPr>
        <w:t>en</w:t>
      </w:r>
      <w:r>
        <w:rPr>
          <w:color w:val="231F20"/>
          <w:spacing w:val="-7"/>
          <w:w w:val="120"/>
        </w:rPr>
        <w:t> </w:t>
      </w:r>
      <w:r>
        <w:rPr>
          <w:color w:val="231F20"/>
          <w:w w:val="120"/>
        </w:rPr>
        <w:t>place</w:t>
      </w:r>
      <w:r>
        <w:rPr>
          <w:color w:val="231F20"/>
          <w:spacing w:val="-7"/>
          <w:w w:val="120"/>
        </w:rPr>
        <w:t> </w:t>
      </w:r>
      <w:r>
        <w:rPr>
          <w:color w:val="231F20"/>
          <w:w w:val="120"/>
        </w:rPr>
        <w:t>les</w:t>
      </w:r>
      <w:r>
        <w:rPr>
          <w:color w:val="231F20"/>
          <w:spacing w:val="-7"/>
          <w:w w:val="120"/>
        </w:rPr>
        <w:t> </w:t>
      </w:r>
      <w:r>
        <w:rPr>
          <w:color w:val="231F20"/>
          <w:w w:val="120"/>
        </w:rPr>
        <w:t>conditions propices à leur actualisation.</w:t>
      </w:r>
    </w:p>
    <w:p>
      <w:pPr>
        <w:pStyle w:val="BodyText"/>
        <w:rPr>
          <w:sz w:val="24"/>
        </w:rPr>
      </w:pPr>
    </w:p>
    <w:p>
      <w:pPr>
        <w:pStyle w:val="Heading2"/>
        <w:numPr>
          <w:ilvl w:val="1"/>
          <w:numId w:val="100"/>
        </w:numPr>
        <w:tabs>
          <w:tab w:pos="911" w:val="left" w:leader="none"/>
          <w:tab w:pos="1219" w:val="left" w:leader="none"/>
        </w:tabs>
        <w:spacing w:line="240" w:lineRule="auto" w:before="181" w:after="0"/>
        <w:ind w:left="910" w:right="0" w:hanging="314"/>
        <w:jc w:val="left"/>
      </w:pPr>
      <w:r>
        <w:rPr>
          <w:b w:val="0"/>
          <w:i/>
          <w:color w:val="231F20"/>
          <w:spacing w:val="-10"/>
        </w:rPr>
        <w:t>/</w:t>
      </w:r>
      <w:r>
        <w:rPr>
          <w:b w:val="0"/>
          <w:i/>
          <w:color w:val="231F20"/>
        </w:rPr>
        <w:tab/>
      </w:r>
      <w:r>
        <w:rPr>
          <w:color w:val="231F20"/>
          <w:w w:val="95"/>
        </w:rPr>
        <w:t>Que</w:t>
      </w:r>
      <w:r>
        <w:rPr>
          <w:color w:val="231F20"/>
          <w:spacing w:val="-13"/>
          <w:w w:val="95"/>
        </w:rPr>
        <w:t> </w:t>
      </w:r>
      <w:r>
        <w:rPr>
          <w:color w:val="231F20"/>
          <w:w w:val="95"/>
        </w:rPr>
        <w:t>nous</w:t>
      </w:r>
      <w:r>
        <w:rPr>
          <w:color w:val="231F20"/>
          <w:spacing w:val="-13"/>
          <w:w w:val="95"/>
        </w:rPr>
        <w:t> </w:t>
      </w:r>
      <w:r>
        <w:rPr>
          <w:color w:val="231F20"/>
          <w:w w:val="95"/>
        </w:rPr>
        <w:t>réserve</w:t>
      </w:r>
      <w:r>
        <w:rPr>
          <w:color w:val="231F20"/>
          <w:spacing w:val="-13"/>
          <w:w w:val="95"/>
        </w:rPr>
        <w:t> </w:t>
      </w:r>
      <w:r>
        <w:rPr>
          <w:color w:val="231F20"/>
          <w:w w:val="95"/>
        </w:rPr>
        <w:t>l’avenir</w:t>
      </w:r>
      <w:r>
        <w:rPr>
          <w:color w:val="231F20"/>
          <w:spacing w:val="-36"/>
          <w:w w:val="95"/>
        </w:rPr>
        <w:t> </w:t>
      </w:r>
      <w:r>
        <w:rPr>
          <w:color w:val="231F20"/>
          <w:spacing w:val="-10"/>
          <w:w w:val="95"/>
        </w:rPr>
        <w:t>?</w:t>
      </w:r>
    </w:p>
    <w:p>
      <w:pPr>
        <w:pStyle w:val="BodyText"/>
        <w:spacing w:before="9"/>
        <w:rPr>
          <w:rFonts w:ascii="Arial"/>
          <w:b/>
          <w:sz w:val="25"/>
        </w:rPr>
      </w:pPr>
    </w:p>
    <w:p>
      <w:pPr>
        <w:pStyle w:val="BodyText"/>
        <w:spacing w:line="307" w:lineRule="auto"/>
        <w:ind w:left="1220" w:right="107"/>
        <w:jc w:val="both"/>
      </w:pPr>
      <w:r>
        <w:rPr>
          <w:color w:val="231F20"/>
          <w:w w:val="120"/>
        </w:rPr>
        <w:t>De</w:t>
      </w:r>
      <w:r>
        <w:rPr>
          <w:color w:val="231F20"/>
          <w:spacing w:val="-6"/>
          <w:w w:val="120"/>
        </w:rPr>
        <w:t> </w:t>
      </w:r>
      <w:r>
        <w:rPr>
          <w:color w:val="231F20"/>
          <w:w w:val="120"/>
        </w:rPr>
        <w:t>nombreux</w:t>
      </w:r>
      <w:r>
        <w:rPr>
          <w:color w:val="231F20"/>
          <w:spacing w:val="-6"/>
          <w:w w:val="120"/>
        </w:rPr>
        <w:t> </w:t>
      </w:r>
      <w:r>
        <w:rPr>
          <w:color w:val="231F20"/>
          <w:w w:val="120"/>
        </w:rPr>
        <w:t>travailleurs</w:t>
      </w:r>
      <w:r>
        <w:rPr>
          <w:color w:val="231F20"/>
          <w:spacing w:val="-6"/>
          <w:w w:val="120"/>
        </w:rPr>
        <w:t> </w:t>
      </w:r>
      <w:r>
        <w:rPr>
          <w:color w:val="231F20"/>
          <w:w w:val="120"/>
        </w:rPr>
        <w:t>s’inquiètent</w:t>
      </w:r>
      <w:r>
        <w:rPr>
          <w:color w:val="231F20"/>
          <w:spacing w:val="-6"/>
          <w:w w:val="120"/>
        </w:rPr>
        <w:t> </w:t>
      </w:r>
      <w:r>
        <w:rPr>
          <w:color w:val="231F20"/>
          <w:w w:val="120"/>
        </w:rPr>
        <w:t>de</w:t>
      </w:r>
      <w:r>
        <w:rPr>
          <w:color w:val="231F20"/>
          <w:spacing w:val="-6"/>
          <w:w w:val="120"/>
        </w:rPr>
        <w:t> </w:t>
      </w:r>
      <w:r>
        <w:rPr>
          <w:color w:val="231F20"/>
          <w:w w:val="120"/>
        </w:rPr>
        <w:t>plus</w:t>
      </w:r>
      <w:r>
        <w:rPr>
          <w:color w:val="231F20"/>
          <w:spacing w:val="-6"/>
          <w:w w:val="120"/>
        </w:rPr>
        <w:t> </w:t>
      </w:r>
      <w:r>
        <w:rPr>
          <w:color w:val="231F20"/>
          <w:w w:val="120"/>
        </w:rPr>
        <w:t>en</w:t>
      </w:r>
      <w:r>
        <w:rPr>
          <w:color w:val="231F20"/>
          <w:spacing w:val="-6"/>
          <w:w w:val="120"/>
        </w:rPr>
        <w:t> </w:t>
      </w:r>
      <w:r>
        <w:rPr>
          <w:color w:val="231F20"/>
          <w:w w:val="120"/>
        </w:rPr>
        <w:t>plus</w:t>
      </w:r>
      <w:r>
        <w:rPr>
          <w:color w:val="231F20"/>
          <w:spacing w:val="-6"/>
          <w:w w:val="120"/>
        </w:rPr>
        <w:t> </w:t>
      </w:r>
      <w:r>
        <w:rPr>
          <w:color w:val="231F20"/>
          <w:w w:val="120"/>
        </w:rPr>
        <w:t>pour</w:t>
      </w:r>
      <w:r>
        <w:rPr>
          <w:color w:val="231F20"/>
          <w:spacing w:val="-6"/>
          <w:w w:val="120"/>
        </w:rPr>
        <w:t> </w:t>
      </w:r>
      <w:r>
        <w:rPr>
          <w:color w:val="231F20"/>
          <w:w w:val="120"/>
        </w:rPr>
        <w:t>leur</w:t>
      </w:r>
      <w:r>
        <w:rPr>
          <w:color w:val="231F20"/>
          <w:spacing w:val="-6"/>
          <w:w w:val="120"/>
        </w:rPr>
        <w:t> </w:t>
      </w:r>
      <w:r>
        <w:rPr>
          <w:color w:val="231F20"/>
          <w:w w:val="120"/>
        </w:rPr>
        <w:t>avenir. Nous</w:t>
      </w:r>
      <w:r>
        <w:rPr>
          <w:color w:val="231F20"/>
          <w:spacing w:val="-13"/>
          <w:w w:val="120"/>
        </w:rPr>
        <w:t> </w:t>
      </w:r>
      <w:r>
        <w:rPr>
          <w:color w:val="231F20"/>
          <w:w w:val="120"/>
        </w:rPr>
        <w:t>faisons</w:t>
      </w:r>
      <w:r>
        <w:rPr>
          <w:color w:val="231F20"/>
          <w:spacing w:val="-13"/>
          <w:w w:val="120"/>
        </w:rPr>
        <w:t> </w:t>
      </w:r>
      <w:r>
        <w:rPr>
          <w:color w:val="231F20"/>
          <w:w w:val="120"/>
        </w:rPr>
        <w:t>tous</w:t>
      </w:r>
      <w:r>
        <w:rPr>
          <w:color w:val="231F20"/>
          <w:spacing w:val="-12"/>
          <w:w w:val="120"/>
        </w:rPr>
        <w:t> </w:t>
      </w:r>
      <w:r>
        <w:rPr>
          <w:color w:val="231F20"/>
          <w:w w:val="120"/>
        </w:rPr>
        <w:t>face</w:t>
      </w:r>
      <w:r>
        <w:rPr>
          <w:color w:val="231F20"/>
          <w:spacing w:val="-13"/>
          <w:w w:val="120"/>
        </w:rPr>
        <w:t> </w:t>
      </w:r>
      <w:r>
        <w:rPr>
          <w:color w:val="231F20"/>
          <w:w w:val="120"/>
        </w:rPr>
        <w:t>à</w:t>
      </w:r>
      <w:r>
        <w:rPr>
          <w:color w:val="231F20"/>
          <w:spacing w:val="-13"/>
          <w:w w:val="120"/>
        </w:rPr>
        <w:t> </w:t>
      </w:r>
      <w:r>
        <w:rPr>
          <w:color w:val="231F20"/>
          <w:w w:val="120"/>
        </w:rPr>
        <w:t>des</w:t>
      </w:r>
      <w:r>
        <w:rPr>
          <w:color w:val="231F20"/>
          <w:spacing w:val="-12"/>
          <w:w w:val="120"/>
        </w:rPr>
        <w:t> </w:t>
      </w:r>
      <w:r>
        <w:rPr>
          <w:color w:val="231F20"/>
          <w:w w:val="120"/>
        </w:rPr>
        <w:t>défis,</w:t>
      </w:r>
      <w:r>
        <w:rPr>
          <w:color w:val="231F20"/>
          <w:spacing w:val="-13"/>
          <w:w w:val="120"/>
        </w:rPr>
        <w:t> </w:t>
      </w:r>
      <w:r>
        <w:rPr>
          <w:color w:val="231F20"/>
          <w:w w:val="120"/>
        </w:rPr>
        <w:t>quels</w:t>
      </w:r>
      <w:r>
        <w:rPr>
          <w:color w:val="231F20"/>
          <w:spacing w:val="-13"/>
          <w:w w:val="120"/>
        </w:rPr>
        <w:t> </w:t>
      </w:r>
      <w:r>
        <w:rPr>
          <w:color w:val="231F20"/>
          <w:w w:val="120"/>
        </w:rPr>
        <w:t>que</w:t>
      </w:r>
      <w:r>
        <w:rPr>
          <w:color w:val="231F20"/>
          <w:spacing w:val="-12"/>
          <w:w w:val="120"/>
        </w:rPr>
        <w:t> </w:t>
      </w:r>
      <w:r>
        <w:rPr>
          <w:color w:val="231F20"/>
          <w:w w:val="120"/>
        </w:rPr>
        <w:t>soient</w:t>
      </w:r>
      <w:r>
        <w:rPr>
          <w:color w:val="231F20"/>
          <w:spacing w:val="-13"/>
          <w:w w:val="120"/>
        </w:rPr>
        <w:t> </w:t>
      </w:r>
      <w:r>
        <w:rPr>
          <w:color w:val="231F20"/>
          <w:w w:val="120"/>
        </w:rPr>
        <w:t>notre</w:t>
      </w:r>
      <w:r>
        <w:rPr>
          <w:color w:val="231F20"/>
          <w:spacing w:val="-13"/>
          <w:w w:val="120"/>
        </w:rPr>
        <w:t> </w:t>
      </w:r>
      <w:r>
        <w:rPr>
          <w:color w:val="231F20"/>
          <w:w w:val="120"/>
        </w:rPr>
        <w:t>âge,</w:t>
      </w:r>
      <w:r>
        <w:rPr>
          <w:color w:val="231F20"/>
          <w:spacing w:val="-12"/>
          <w:w w:val="120"/>
        </w:rPr>
        <w:t> </w:t>
      </w:r>
      <w:r>
        <w:rPr>
          <w:color w:val="231F20"/>
          <w:w w:val="120"/>
        </w:rPr>
        <w:t>notre</w:t>
      </w:r>
      <w:r>
        <w:rPr>
          <w:color w:val="231F20"/>
          <w:spacing w:val="-13"/>
          <w:w w:val="120"/>
        </w:rPr>
        <w:t> </w:t>
      </w:r>
      <w:r>
        <w:rPr>
          <w:color w:val="231F20"/>
          <w:w w:val="120"/>
        </w:rPr>
        <w:t>sec­ teur</w:t>
      </w:r>
      <w:r>
        <w:rPr>
          <w:color w:val="231F20"/>
          <w:spacing w:val="-12"/>
          <w:w w:val="120"/>
        </w:rPr>
        <w:t> </w:t>
      </w:r>
      <w:r>
        <w:rPr>
          <w:color w:val="231F20"/>
          <w:w w:val="120"/>
        </w:rPr>
        <w:t>d’activités</w:t>
      </w:r>
      <w:r>
        <w:rPr>
          <w:color w:val="231F20"/>
          <w:spacing w:val="-11"/>
          <w:w w:val="120"/>
        </w:rPr>
        <w:t> </w:t>
      </w:r>
      <w:r>
        <w:rPr>
          <w:color w:val="231F20"/>
          <w:w w:val="120"/>
        </w:rPr>
        <w:t>ou</w:t>
      </w:r>
      <w:r>
        <w:rPr>
          <w:color w:val="231F20"/>
          <w:spacing w:val="-11"/>
          <w:w w:val="120"/>
        </w:rPr>
        <w:t> </w:t>
      </w:r>
      <w:r>
        <w:rPr>
          <w:color w:val="231F20"/>
          <w:w w:val="120"/>
        </w:rPr>
        <w:t>notre</w:t>
      </w:r>
      <w:r>
        <w:rPr>
          <w:color w:val="231F20"/>
          <w:spacing w:val="-12"/>
          <w:w w:val="120"/>
        </w:rPr>
        <w:t> </w:t>
      </w:r>
      <w:r>
        <w:rPr>
          <w:color w:val="231F20"/>
          <w:w w:val="120"/>
        </w:rPr>
        <w:t>occupation.</w:t>
      </w:r>
      <w:r>
        <w:rPr>
          <w:color w:val="231F20"/>
          <w:spacing w:val="-11"/>
          <w:w w:val="120"/>
        </w:rPr>
        <w:t> </w:t>
      </w:r>
      <w:r>
        <w:rPr>
          <w:color w:val="231F20"/>
          <w:w w:val="120"/>
        </w:rPr>
        <w:t>Bien</w:t>
      </w:r>
      <w:r>
        <w:rPr>
          <w:color w:val="231F20"/>
          <w:spacing w:val="-11"/>
          <w:w w:val="120"/>
        </w:rPr>
        <w:t> </w:t>
      </w:r>
      <w:r>
        <w:rPr>
          <w:color w:val="231F20"/>
          <w:w w:val="120"/>
        </w:rPr>
        <w:t>que</w:t>
      </w:r>
      <w:r>
        <w:rPr>
          <w:color w:val="231F20"/>
          <w:spacing w:val="-12"/>
          <w:w w:val="120"/>
        </w:rPr>
        <w:t> </w:t>
      </w:r>
      <w:r>
        <w:rPr>
          <w:color w:val="231F20"/>
          <w:w w:val="120"/>
        </w:rPr>
        <w:t>le</w:t>
      </w:r>
      <w:r>
        <w:rPr>
          <w:color w:val="231F20"/>
          <w:spacing w:val="-11"/>
          <w:w w:val="120"/>
        </w:rPr>
        <w:t> </w:t>
      </w:r>
      <w:r>
        <w:rPr>
          <w:color w:val="231F20"/>
          <w:w w:val="120"/>
        </w:rPr>
        <w:t>stress</w:t>
      </w:r>
      <w:r>
        <w:rPr>
          <w:color w:val="231F20"/>
          <w:spacing w:val="-11"/>
          <w:w w:val="120"/>
        </w:rPr>
        <w:t> </w:t>
      </w:r>
      <w:r>
        <w:rPr>
          <w:color w:val="231F20"/>
          <w:w w:val="120"/>
        </w:rPr>
        <w:t>professionnel,</w:t>
      </w:r>
      <w:r>
        <w:rPr>
          <w:color w:val="231F20"/>
          <w:spacing w:val="-12"/>
          <w:w w:val="120"/>
        </w:rPr>
        <w:t> </w:t>
      </w:r>
      <w:r>
        <w:rPr>
          <w:color w:val="231F20"/>
          <w:spacing w:val="-5"/>
          <w:w w:val="120"/>
        </w:rPr>
        <w:t>et</w:t>
      </w:r>
    </w:p>
    <w:p>
      <w:pPr>
        <w:spacing w:after="0" w:line="307" w:lineRule="auto"/>
        <w:jc w:val="both"/>
        <w:sectPr>
          <w:footerReference w:type="default" r:id="rId343"/>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0"/>
        <w:jc w:val="both"/>
      </w:pPr>
      <w:r>
        <w:rPr>
          <w:color w:val="231F20"/>
          <w:w w:val="120"/>
        </w:rPr>
        <w:t>de façon plus générale le stress dans la vie, soit en croissance, il serait inapproprié</w:t>
      </w:r>
      <w:r>
        <w:rPr>
          <w:color w:val="231F20"/>
          <w:spacing w:val="-13"/>
          <w:w w:val="120"/>
        </w:rPr>
        <w:t> </w:t>
      </w:r>
      <w:r>
        <w:rPr>
          <w:color w:val="231F20"/>
          <w:w w:val="120"/>
        </w:rPr>
        <w:t>de</w:t>
      </w:r>
      <w:r>
        <w:rPr>
          <w:color w:val="231F20"/>
          <w:spacing w:val="-13"/>
          <w:w w:val="120"/>
        </w:rPr>
        <w:t> </w:t>
      </w:r>
      <w:r>
        <w:rPr>
          <w:color w:val="231F20"/>
          <w:w w:val="120"/>
        </w:rPr>
        <w:t>céder</w:t>
      </w:r>
      <w:r>
        <w:rPr>
          <w:color w:val="231F20"/>
          <w:spacing w:val="-13"/>
          <w:w w:val="120"/>
        </w:rPr>
        <w:t> </w:t>
      </w:r>
      <w:r>
        <w:rPr>
          <w:color w:val="231F20"/>
          <w:w w:val="120"/>
        </w:rPr>
        <w:t>à</w:t>
      </w:r>
      <w:r>
        <w:rPr>
          <w:color w:val="231F20"/>
          <w:spacing w:val="-12"/>
          <w:w w:val="120"/>
        </w:rPr>
        <w:t> </w:t>
      </w:r>
      <w:r>
        <w:rPr>
          <w:color w:val="231F20"/>
          <w:w w:val="120"/>
        </w:rPr>
        <w:t>la</w:t>
      </w:r>
      <w:r>
        <w:rPr>
          <w:color w:val="231F20"/>
          <w:spacing w:val="-13"/>
          <w:w w:val="120"/>
        </w:rPr>
        <w:t> </w:t>
      </w:r>
      <w:r>
        <w:rPr>
          <w:color w:val="231F20"/>
          <w:w w:val="120"/>
        </w:rPr>
        <w:t>panique</w:t>
      </w:r>
      <w:r>
        <w:rPr>
          <w:color w:val="231F20"/>
          <w:spacing w:val="-13"/>
          <w:w w:val="120"/>
        </w:rPr>
        <w:t> </w:t>
      </w:r>
      <w:r>
        <w:rPr>
          <w:color w:val="231F20"/>
          <w:w w:val="120"/>
        </w:rPr>
        <w:t>et</w:t>
      </w:r>
      <w:r>
        <w:rPr>
          <w:color w:val="231F20"/>
          <w:spacing w:val="-13"/>
          <w:w w:val="120"/>
        </w:rPr>
        <w:t> </w:t>
      </w:r>
      <w:r>
        <w:rPr>
          <w:color w:val="231F20"/>
          <w:w w:val="120"/>
        </w:rPr>
        <w:t>d’envisager</w:t>
      </w:r>
      <w:r>
        <w:rPr>
          <w:color w:val="231F20"/>
          <w:spacing w:val="-12"/>
          <w:w w:val="120"/>
        </w:rPr>
        <w:t> </w:t>
      </w:r>
      <w:r>
        <w:rPr>
          <w:color w:val="231F20"/>
          <w:w w:val="120"/>
        </w:rPr>
        <w:t>un</w:t>
      </w:r>
      <w:r>
        <w:rPr>
          <w:color w:val="231F20"/>
          <w:spacing w:val="-13"/>
          <w:w w:val="120"/>
        </w:rPr>
        <w:t> </w:t>
      </w:r>
      <w:r>
        <w:rPr>
          <w:color w:val="231F20"/>
          <w:w w:val="120"/>
        </w:rPr>
        <w:t>avenir</w:t>
      </w:r>
      <w:r>
        <w:rPr>
          <w:color w:val="231F20"/>
          <w:spacing w:val="-13"/>
          <w:w w:val="120"/>
        </w:rPr>
        <w:t> </w:t>
      </w:r>
      <w:r>
        <w:rPr>
          <w:color w:val="231F20"/>
          <w:w w:val="120"/>
        </w:rPr>
        <w:t>organisation­ </w:t>
      </w:r>
      <w:r>
        <w:rPr>
          <w:color w:val="231F20"/>
          <w:w w:val="115"/>
        </w:rPr>
        <w:t>nel</w:t>
      </w:r>
      <w:r>
        <w:rPr>
          <w:color w:val="231F20"/>
          <w:spacing w:val="-10"/>
          <w:w w:val="115"/>
        </w:rPr>
        <w:t> </w:t>
      </w:r>
      <w:r>
        <w:rPr>
          <w:color w:val="231F20"/>
          <w:spacing w:val="3"/>
          <w:w w:val="108"/>
        </w:rPr>
        <w:t>c</w:t>
      </w:r>
      <w:r>
        <w:rPr>
          <w:color w:val="231F20"/>
          <w:spacing w:val="-2"/>
          <w:w w:val="115"/>
        </w:rPr>
        <w:t>a</w:t>
      </w:r>
      <w:r>
        <w:rPr>
          <w:color w:val="231F20"/>
          <w:spacing w:val="-1"/>
          <w:w w:val="120"/>
        </w:rPr>
        <w:t>tas</w:t>
      </w:r>
      <w:r>
        <w:rPr>
          <w:color w:val="231F20"/>
          <w:spacing w:val="-1"/>
          <w:w w:val="124"/>
        </w:rPr>
        <w:t>t</w:t>
      </w:r>
      <w:r>
        <w:rPr>
          <w:color w:val="231F20"/>
          <w:spacing w:val="-2"/>
          <w:w w:val="124"/>
        </w:rPr>
        <w:t>r</w:t>
      </w:r>
      <w:r>
        <w:rPr>
          <w:color w:val="231F20"/>
          <w:spacing w:val="-1"/>
          <w:w w:val="117"/>
        </w:rPr>
        <w:t>op</w:t>
      </w:r>
      <w:r>
        <w:rPr>
          <w:color w:val="231F20"/>
          <w:spacing w:val="-1"/>
          <w:w w:val="116"/>
        </w:rPr>
        <w:t>hiq</w:t>
      </w:r>
      <w:r>
        <w:rPr>
          <w:color w:val="231F20"/>
          <w:spacing w:val="-1"/>
          <w:w w:val="120"/>
        </w:rPr>
        <w:t>ue</w:t>
      </w:r>
      <w:r>
        <w:rPr>
          <w:color w:val="231F20"/>
          <w:spacing w:val="-1"/>
          <w:w w:val="59"/>
        </w:rPr>
        <w:t>1</w:t>
      </w:r>
      <w:r>
        <w:rPr>
          <w:color w:val="231F20"/>
          <w:spacing w:val="1"/>
          <w:w w:val="120"/>
        </w:rPr>
        <w:t>.</w:t>
      </w:r>
      <w:r>
        <w:rPr>
          <w:color w:val="231F20"/>
          <w:spacing w:val="-9"/>
          <w:w w:val="114"/>
        </w:rPr>
        <w:t> </w:t>
      </w:r>
      <w:r>
        <w:rPr>
          <w:color w:val="231F20"/>
          <w:w w:val="115"/>
        </w:rPr>
        <w:t>Bien</w:t>
      </w:r>
      <w:r>
        <w:rPr>
          <w:color w:val="231F20"/>
          <w:spacing w:val="-10"/>
          <w:w w:val="115"/>
        </w:rPr>
        <w:t> </w:t>
      </w:r>
      <w:r>
        <w:rPr>
          <w:color w:val="231F20"/>
          <w:w w:val="115"/>
        </w:rPr>
        <w:t>sûr,</w:t>
      </w:r>
      <w:r>
        <w:rPr>
          <w:color w:val="231F20"/>
          <w:spacing w:val="-10"/>
          <w:w w:val="115"/>
        </w:rPr>
        <w:t> </w:t>
      </w:r>
      <w:r>
        <w:rPr>
          <w:color w:val="231F20"/>
          <w:w w:val="115"/>
        </w:rPr>
        <w:t>l’état</w:t>
      </w:r>
      <w:r>
        <w:rPr>
          <w:color w:val="231F20"/>
          <w:spacing w:val="-10"/>
          <w:w w:val="115"/>
        </w:rPr>
        <w:t> </w:t>
      </w:r>
      <w:r>
        <w:rPr>
          <w:color w:val="231F20"/>
          <w:w w:val="115"/>
        </w:rPr>
        <w:t>psychologique</w:t>
      </w:r>
      <w:r>
        <w:rPr>
          <w:color w:val="231F20"/>
          <w:spacing w:val="-10"/>
          <w:w w:val="115"/>
        </w:rPr>
        <w:t> </w:t>
      </w:r>
      <w:r>
        <w:rPr>
          <w:color w:val="231F20"/>
          <w:w w:val="115"/>
        </w:rPr>
        <w:t>et</w:t>
      </w:r>
      <w:r>
        <w:rPr>
          <w:color w:val="231F20"/>
          <w:spacing w:val="-10"/>
          <w:w w:val="115"/>
        </w:rPr>
        <w:t> </w:t>
      </w:r>
      <w:r>
        <w:rPr>
          <w:color w:val="231F20"/>
          <w:w w:val="115"/>
        </w:rPr>
        <w:t>la</w:t>
      </w:r>
      <w:r>
        <w:rPr>
          <w:color w:val="231F20"/>
          <w:spacing w:val="-10"/>
          <w:w w:val="115"/>
        </w:rPr>
        <w:t> </w:t>
      </w:r>
      <w:r>
        <w:rPr>
          <w:color w:val="231F20"/>
          <w:w w:val="115"/>
        </w:rPr>
        <w:t>santé</w:t>
      </w:r>
      <w:r>
        <w:rPr>
          <w:color w:val="231F20"/>
          <w:spacing w:val="-10"/>
          <w:w w:val="115"/>
        </w:rPr>
        <w:t> </w:t>
      </w:r>
      <w:r>
        <w:rPr>
          <w:color w:val="231F20"/>
          <w:w w:val="115"/>
        </w:rPr>
        <w:t>qui</w:t>
      </w:r>
      <w:r>
        <w:rPr>
          <w:color w:val="231F20"/>
          <w:spacing w:val="-10"/>
          <w:w w:val="115"/>
        </w:rPr>
        <w:t> </w:t>
      </w:r>
      <w:r>
        <w:rPr>
          <w:color w:val="231F20"/>
          <w:w w:val="115"/>
        </w:rPr>
        <w:t>l’accom­ </w:t>
      </w:r>
      <w:r>
        <w:rPr>
          <w:color w:val="231F20"/>
          <w:w w:val="120"/>
        </w:rPr>
        <w:t>pagne</w:t>
      </w:r>
      <w:r>
        <w:rPr>
          <w:color w:val="231F20"/>
          <w:spacing w:val="-12"/>
          <w:w w:val="120"/>
        </w:rPr>
        <w:t> </w:t>
      </w:r>
      <w:r>
        <w:rPr>
          <w:color w:val="231F20"/>
          <w:w w:val="120"/>
        </w:rPr>
        <w:t>sont</w:t>
      </w:r>
      <w:r>
        <w:rPr>
          <w:color w:val="231F20"/>
          <w:spacing w:val="-12"/>
          <w:w w:val="120"/>
        </w:rPr>
        <w:t> </w:t>
      </w:r>
      <w:r>
        <w:rPr>
          <w:color w:val="231F20"/>
          <w:w w:val="120"/>
        </w:rPr>
        <w:t>fragiles,</w:t>
      </w:r>
      <w:r>
        <w:rPr>
          <w:color w:val="231F20"/>
          <w:spacing w:val="-12"/>
          <w:w w:val="120"/>
        </w:rPr>
        <w:t> </w:t>
      </w:r>
      <w:r>
        <w:rPr>
          <w:color w:val="231F20"/>
          <w:w w:val="120"/>
        </w:rPr>
        <w:t>mais</w:t>
      </w:r>
      <w:r>
        <w:rPr>
          <w:color w:val="231F20"/>
          <w:spacing w:val="-12"/>
          <w:w w:val="120"/>
        </w:rPr>
        <w:t> </w:t>
      </w:r>
      <w:r>
        <w:rPr>
          <w:color w:val="231F20"/>
          <w:w w:val="120"/>
        </w:rPr>
        <w:t>les</w:t>
      </w:r>
      <w:r>
        <w:rPr>
          <w:color w:val="231F20"/>
          <w:spacing w:val="-12"/>
          <w:w w:val="120"/>
        </w:rPr>
        <w:t> </w:t>
      </w:r>
      <w:r>
        <w:rPr>
          <w:color w:val="231F20"/>
          <w:w w:val="120"/>
        </w:rPr>
        <w:t>personnes</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systèmes</w:t>
      </w:r>
      <w:r>
        <w:rPr>
          <w:color w:val="231F20"/>
          <w:spacing w:val="-12"/>
          <w:w w:val="120"/>
        </w:rPr>
        <w:t> </w:t>
      </w:r>
      <w:r>
        <w:rPr>
          <w:color w:val="231F20"/>
          <w:w w:val="120"/>
        </w:rPr>
        <w:t>organisationnels sont</w:t>
      </w:r>
      <w:r>
        <w:rPr>
          <w:color w:val="231F20"/>
          <w:spacing w:val="-10"/>
          <w:w w:val="120"/>
        </w:rPr>
        <w:t> </w:t>
      </w:r>
      <w:r>
        <w:rPr>
          <w:color w:val="231F20"/>
          <w:w w:val="120"/>
        </w:rPr>
        <w:t>résilients,</w:t>
      </w:r>
      <w:r>
        <w:rPr>
          <w:color w:val="231F20"/>
          <w:spacing w:val="-10"/>
          <w:w w:val="120"/>
        </w:rPr>
        <w:t> </w:t>
      </w:r>
      <w:r>
        <w:rPr>
          <w:color w:val="231F20"/>
          <w:w w:val="120"/>
        </w:rPr>
        <w:t>et</w:t>
      </w:r>
      <w:r>
        <w:rPr>
          <w:color w:val="231F20"/>
          <w:spacing w:val="-10"/>
          <w:w w:val="120"/>
        </w:rPr>
        <w:t> </w:t>
      </w:r>
      <w:r>
        <w:rPr>
          <w:color w:val="231F20"/>
          <w:w w:val="120"/>
        </w:rPr>
        <w:t>nous</w:t>
      </w:r>
      <w:r>
        <w:rPr>
          <w:color w:val="231F20"/>
          <w:spacing w:val="-10"/>
          <w:w w:val="120"/>
        </w:rPr>
        <w:t> </w:t>
      </w:r>
      <w:r>
        <w:rPr>
          <w:color w:val="231F20"/>
          <w:w w:val="120"/>
        </w:rPr>
        <w:t>sommes</w:t>
      </w:r>
      <w:r>
        <w:rPr>
          <w:color w:val="231F20"/>
          <w:spacing w:val="-10"/>
          <w:w w:val="120"/>
        </w:rPr>
        <w:t> </w:t>
      </w:r>
      <w:r>
        <w:rPr>
          <w:color w:val="231F20"/>
          <w:w w:val="120"/>
        </w:rPr>
        <w:t>persuadés</w:t>
      </w:r>
      <w:r>
        <w:rPr>
          <w:color w:val="231F20"/>
          <w:spacing w:val="-10"/>
          <w:w w:val="120"/>
        </w:rPr>
        <w:t> </w:t>
      </w:r>
      <w:r>
        <w:rPr>
          <w:color w:val="231F20"/>
          <w:w w:val="120"/>
        </w:rPr>
        <w:t>qu’il</w:t>
      </w:r>
      <w:r>
        <w:rPr>
          <w:color w:val="231F20"/>
          <w:spacing w:val="-10"/>
          <w:w w:val="120"/>
        </w:rPr>
        <w:t> </w:t>
      </w:r>
      <w:r>
        <w:rPr>
          <w:color w:val="231F20"/>
          <w:w w:val="120"/>
        </w:rPr>
        <w:t>sera</w:t>
      </w:r>
      <w:r>
        <w:rPr>
          <w:color w:val="231F20"/>
          <w:spacing w:val="-10"/>
          <w:w w:val="120"/>
        </w:rPr>
        <w:t> </w:t>
      </w:r>
      <w:r>
        <w:rPr>
          <w:color w:val="231F20"/>
          <w:w w:val="120"/>
        </w:rPr>
        <w:t>possible</w:t>
      </w:r>
      <w:r>
        <w:rPr>
          <w:color w:val="231F20"/>
          <w:spacing w:val="-10"/>
          <w:w w:val="120"/>
        </w:rPr>
        <w:t> </w:t>
      </w:r>
      <w:r>
        <w:rPr>
          <w:color w:val="231F20"/>
          <w:w w:val="120"/>
        </w:rPr>
        <w:t>de</w:t>
      </w:r>
      <w:r>
        <w:rPr>
          <w:color w:val="231F20"/>
          <w:spacing w:val="-10"/>
          <w:w w:val="120"/>
        </w:rPr>
        <w:t> </w:t>
      </w:r>
      <w:r>
        <w:rPr>
          <w:color w:val="231F20"/>
          <w:w w:val="120"/>
        </w:rPr>
        <w:t>créer</w:t>
      </w:r>
      <w:r>
        <w:rPr>
          <w:color w:val="231F20"/>
          <w:spacing w:val="-10"/>
          <w:w w:val="120"/>
        </w:rPr>
        <w:t> </w:t>
      </w:r>
      <w:r>
        <w:rPr>
          <w:color w:val="231F20"/>
          <w:w w:val="120"/>
        </w:rPr>
        <w:t>le </w:t>
      </w:r>
      <w:r>
        <w:rPr>
          <w:color w:val="231F20"/>
          <w:w w:val="115"/>
        </w:rPr>
        <w:t>juste</w:t>
      </w:r>
      <w:r>
        <w:rPr>
          <w:color w:val="231F20"/>
          <w:spacing w:val="-9"/>
          <w:w w:val="115"/>
        </w:rPr>
        <w:t> </w:t>
      </w:r>
      <w:r>
        <w:rPr>
          <w:color w:val="231F20"/>
          <w:w w:val="115"/>
        </w:rPr>
        <w:t>équilibre</w:t>
      </w:r>
      <w:r>
        <w:rPr>
          <w:color w:val="231F20"/>
          <w:spacing w:val="-9"/>
          <w:w w:val="115"/>
        </w:rPr>
        <w:t> </w:t>
      </w:r>
      <w:r>
        <w:rPr>
          <w:color w:val="231F20"/>
          <w:w w:val="115"/>
        </w:rPr>
        <w:t>avant</w:t>
      </w:r>
      <w:r>
        <w:rPr>
          <w:color w:val="231F20"/>
          <w:spacing w:val="-9"/>
          <w:w w:val="115"/>
        </w:rPr>
        <w:t> </w:t>
      </w:r>
      <w:r>
        <w:rPr>
          <w:color w:val="231F20"/>
          <w:w w:val="115"/>
        </w:rPr>
        <w:t>que</w:t>
      </w:r>
      <w:r>
        <w:rPr>
          <w:color w:val="231F20"/>
          <w:spacing w:val="-9"/>
          <w:w w:val="115"/>
        </w:rPr>
        <w:t> </w:t>
      </w:r>
      <w:r>
        <w:rPr>
          <w:color w:val="231F20"/>
          <w:w w:val="115"/>
        </w:rPr>
        <w:t>se</w:t>
      </w:r>
      <w:r>
        <w:rPr>
          <w:color w:val="231F20"/>
          <w:spacing w:val="-9"/>
          <w:w w:val="115"/>
        </w:rPr>
        <w:t> </w:t>
      </w:r>
      <w:r>
        <w:rPr>
          <w:color w:val="231F20"/>
          <w:w w:val="115"/>
        </w:rPr>
        <w:t>produise</w:t>
      </w:r>
      <w:r>
        <w:rPr>
          <w:color w:val="231F20"/>
          <w:spacing w:val="-9"/>
          <w:w w:val="115"/>
        </w:rPr>
        <w:t> </w:t>
      </w:r>
      <w:r>
        <w:rPr>
          <w:color w:val="231F20"/>
          <w:w w:val="115"/>
        </w:rPr>
        <w:t>l’irréparable.</w:t>
      </w:r>
      <w:r>
        <w:rPr>
          <w:color w:val="231F20"/>
          <w:spacing w:val="-9"/>
          <w:w w:val="115"/>
        </w:rPr>
        <w:t> </w:t>
      </w:r>
      <w:r>
        <w:rPr>
          <w:color w:val="231F20"/>
          <w:w w:val="115"/>
        </w:rPr>
        <w:t>Nous</w:t>
      </w:r>
      <w:r>
        <w:rPr>
          <w:color w:val="231F20"/>
          <w:spacing w:val="-9"/>
          <w:w w:val="115"/>
        </w:rPr>
        <w:t> </w:t>
      </w:r>
      <w:r>
        <w:rPr>
          <w:color w:val="231F20"/>
          <w:w w:val="115"/>
        </w:rPr>
        <w:t>sommes</w:t>
      </w:r>
      <w:r>
        <w:rPr>
          <w:color w:val="231F20"/>
          <w:spacing w:val="-9"/>
          <w:w w:val="115"/>
        </w:rPr>
        <w:t> </w:t>
      </w:r>
      <w:r>
        <w:rPr>
          <w:color w:val="231F20"/>
          <w:w w:val="115"/>
        </w:rPr>
        <w:t>convain­ </w:t>
      </w:r>
      <w:r>
        <w:rPr>
          <w:color w:val="231F20"/>
          <w:w w:val="120"/>
        </w:rPr>
        <w:t>cus</w:t>
      </w:r>
      <w:r>
        <w:rPr>
          <w:color w:val="231F20"/>
          <w:spacing w:val="-12"/>
          <w:w w:val="120"/>
        </w:rPr>
        <w:t> </w:t>
      </w:r>
      <w:r>
        <w:rPr>
          <w:color w:val="231F20"/>
          <w:w w:val="120"/>
        </w:rPr>
        <w:t>que</w:t>
      </w:r>
      <w:r>
        <w:rPr>
          <w:color w:val="231F20"/>
          <w:spacing w:val="-12"/>
          <w:w w:val="120"/>
        </w:rPr>
        <w:t> </w:t>
      </w:r>
      <w:r>
        <w:rPr>
          <w:color w:val="231F20"/>
          <w:w w:val="120"/>
        </w:rPr>
        <w:t>les</w:t>
      </w:r>
      <w:r>
        <w:rPr>
          <w:color w:val="231F20"/>
          <w:spacing w:val="-12"/>
          <w:w w:val="120"/>
        </w:rPr>
        <w:t> </w:t>
      </w:r>
      <w:r>
        <w:rPr>
          <w:color w:val="231F20"/>
          <w:w w:val="120"/>
        </w:rPr>
        <w:t>travailleurs</w:t>
      </w:r>
      <w:r>
        <w:rPr>
          <w:color w:val="231F20"/>
          <w:spacing w:val="-12"/>
          <w:w w:val="120"/>
        </w:rPr>
        <w:t> </w:t>
      </w:r>
      <w:r>
        <w:rPr>
          <w:color w:val="231F20"/>
          <w:w w:val="120"/>
        </w:rPr>
        <w:t>et</w:t>
      </w:r>
      <w:r>
        <w:rPr>
          <w:color w:val="231F20"/>
          <w:spacing w:val="-12"/>
          <w:w w:val="120"/>
        </w:rPr>
        <w:t> </w:t>
      </w:r>
      <w:r>
        <w:rPr>
          <w:color w:val="231F20"/>
          <w:w w:val="120"/>
        </w:rPr>
        <w:t>les</w:t>
      </w:r>
      <w:r>
        <w:rPr>
          <w:color w:val="231F20"/>
          <w:spacing w:val="-12"/>
          <w:w w:val="120"/>
        </w:rPr>
        <w:t> </w:t>
      </w:r>
      <w:r>
        <w:rPr>
          <w:color w:val="231F20"/>
          <w:w w:val="120"/>
        </w:rPr>
        <w:t>organisations</w:t>
      </w:r>
      <w:r>
        <w:rPr>
          <w:color w:val="231F20"/>
          <w:spacing w:val="-12"/>
          <w:w w:val="120"/>
        </w:rPr>
        <w:t> </w:t>
      </w:r>
      <w:r>
        <w:rPr>
          <w:color w:val="231F20"/>
          <w:w w:val="120"/>
        </w:rPr>
        <w:t>qui</w:t>
      </w:r>
      <w:r>
        <w:rPr>
          <w:color w:val="231F20"/>
          <w:spacing w:val="-12"/>
          <w:w w:val="120"/>
        </w:rPr>
        <w:t> </w:t>
      </w:r>
      <w:r>
        <w:rPr>
          <w:color w:val="231F20"/>
          <w:w w:val="120"/>
        </w:rPr>
        <w:t>les</w:t>
      </w:r>
      <w:r>
        <w:rPr>
          <w:color w:val="231F20"/>
          <w:spacing w:val="-12"/>
          <w:w w:val="120"/>
        </w:rPr>
        <w:t> </w:t>
      </w:r>
      <w:r>
        <w:rPr>
          <w:color w:val="231F20"/>
          <w:w w:val="120"/>
        </w:rPr>
        <w:t>emploient</w:t>
      </w:r>
      <w:r>
        <w:rPr>
          <w:color w:val="231F20"/>
          <w:spacing w:val="-12"/>
          <w:w w:val="120"/>
        </w:rPr>
        <w:t> </w:t>
      </w:r>
      <w:r>
        <w:rPr>
          <w:color w:val="231F20"/>
          <w:w w:val="120"/>
        </w:rPr>
        <w:t>trouveront les moyens de créer un environnement maximisant leur collaboration, </w:t>
      </w:r>
      <w:r>
        <w:rPr>
          <w:color w:val="231F20"/>
          <w:spacing w:val="-2"/>
          <w:w w:val="115"/>
        </w:rPr>
        <w:t>ce</w:t>
      </w:r>
      <w:r>
        <w:rPr>
          <w:color w:val="231F20"/>
          <w:spacing w:val="-7"/>
          <w:w w:val="115"/>
        </w:rPr>
        <w:t> </w:t>
      </w:r>
      <w:r>
        <w:rPr>
          <w:color w:val="231F20"/>
          <w:spacing w:val="-2"/>
          <w:w w:val="115"/>
        </w:rPr>
        <w:t>livre</w:t>
      </w:r>
      <w:r>
        <w:rPr>
          <w:color w:val="231F20"/>
          <w:spacing w:val="-7"/>
          <w:w w:val="115"/>
        </w:rPr>
        <w:t> </w:t>
      </w:r>
      <w:r>
        <w:rPr>
          <w:color w:val="231F20"/>
          <w:spacing w:val="-2"/>
          <w:w w:val="115"/>
        </w:rPr>
        <w:t>cherchant</w:t>
      </w:r>
      <w:r>
        <w:rPr>
          <w:color w:val="231F20"/>
          <w:spacing w:val="-7"/>
          <w:w w:val="115"/>
        </w:rPr>
        <w:t> </w:t>
      </w:r>
      <w:r>
        <w:rPr>
          <w:color w:val="231F20"/>
          <w:spacing w:val="-2"/>
          <w:w w:val="115"/>
        </w:rPr>
        <w:t>simplement</w:t>
      </w:r>
      <w:r>
        <w:rPr>
          <w:color w:val="231F20"/>
          <w:spacing w:val="-7"/>
          <w:w w:val="115"/>
        </w:rPr>
        <w:t> </w:t>
      </w:r>
      <w:r>
        <w:rPr>
          <w:color w:val="231F20"/>
          <w:spacing w:val="-2"/>
          <w:w w:val="115"/>
        </w:rPr>
        <w:t>à</w:t>
      </w:r>
      <w:r>
        <w:rPr>
          <w:color w:val="231F20"/>
          <w:spacing w:val="-7"/>
          <w:w w:val="115"/>
        </w:rPr>
        <w:t> </w:t>
      </w:r>
      <w:r>
        <w:rPr>
          <w:color w:val="231F20"/>
          <w:spacing w:val="-2"/>
          <w:w w:val="115"/>
        </w:rPr>
        <w:t>faciliter</w:t>
      </w:r>
      <w:r>
        <w:rPr>
          <w:color w:val="231F20"/>
          <w:spacing w:val="-7"/>
          <w:w w:val="115"/>
        </w:rPr>
        <w:t> </w:t>
      </w:r>
      <w:r>
        <w:rPr>
          <w:color w:val="231F20"/>
          <w:spacing w:val="-2"/>
          <w:w w:val="115"/>
        </w:rPr>
        <w:t>la</w:t>
      </w:r>
      <w:r>
        <w:rPr>
          <w:color w:val="231F20"/>
          <w:spacing w:val="-7"/>
          <w:w w:val="115"/>
        </w:rPr>
        <w:t> </w:t>
      </w:r>
      <w:r>
        <w:rPr>
          <w:color w:val="231F20"/>
          <w:spacing w:val="-2"/>
          <w:w w:val="115"/>
        </w:rPr>
        <w:t>prise</w:t>
      </w:r>
      <w:r>
        <w:rPr>
          <w:color w:val="231F20"/>
          <w:spacing w:val="-7"/>
          <w:w w:val="115"/>
        </w:rPr>
        <w:t> </w:t>
      </w:r>
      <w:r>
        <w:rPr>
          <w:color w:val="231F20"/>
          <w:spacing w:val="-2"/>
          <w:w w:val="115"/>
        </w:rPr>
        <w:t>de</w:t>
      </w:r>
      <w:r>
        <w:rPr>
          <w:color w:val="231F20"/>
          <w:spacing w:val="-7"/>
          <w:w w:val="115"/>
        </w:rPr>
        <w:t> </w:t>
      </w:r>
      <w:r>
        <w:rPr>
          <w:color w:val="231F20"/>
          <w:spacing w:val="-2"/>
          <w:w w:val="115"/>
        </w:rPr>
        <w:t>conscience</w:t>
      </w:r>
      <w:r>
        <w:rPr>
          <w:color w:val="231F20"/>
          <w:spacing w:val="-7"/>
          <w:w w:val="115"/>
        </w:rPr>
        <w:t> </w:t>
      </w:r>
      <w:r>
        <w:rPr>
          <w:color w:val="231F20"/>
          <w:spacing w:val="-2"/>
          <w:w w:val="115"/>
        </w:rPr>
        <w:t>de</w:t>
      </w:r>
      <w:r>
        <w:rPr>
          <w:color w:val="231F20"/>
          <w:spacing w:val="-7"/>
          <w:w w:val="115"/>
        </w:rPr>
        <w:t> </w:t>
      </w:r>
      <w:r>
        <w:rPr>
          <w:color w:val="231F20"/>
          <w:spacing w:val="-2"/>
          <w:w w:val="115"/>
        </w:rPr>
        <w:t>l’urgence </w:t>
      </w:r>
      <w:r>
        <w:rPr>
          <w:color w:val="231F20"/>
          <w:w w:val="115"/>
        </w:rPr>
        <w:t>d’agir.</w:t>
      </w:r>
      <w:r>
        <w:rPr>
          <w:color w:val="231F20"/>
          <w:spacing w:val="-8"/>
          <w:w w:val="115"/>
        </w:rPr>
        <w:t> </w:t>
      </w:r>
      <w:r>
        <w:rPr>
          <w:color w:val="231F20"/>
          <w:w w:val="115"/>
        </w:rPr>
        <w:t>Aussi</w:t>
      </w:r>
      <w:r>
        <w:rPr>
          <w:color w:val="231F20"/>
          <w:spacing w:val="-8"/>
          <w:w w:val="115"/>
        </w:rPr>
        <w:t> </w:t>
      </w:r>
      <w:r>
        <w:rPr>
          <w:color w:val="231F20"/>
          <w:w w:val="115"/>
        </w:rPr>
        <w:t>simple</w:t>
      </w:r>
      <w:r>
        <w:rPr>
          <w:color w:val="231F20"/>
          <w:spacing w:val="-8"/>
          <w:w w:val="115"/>
        </w:rPr>
        <w:t> </w:t>
      </w:r>
      <w:r>
        <w:rPr>
          <w:color w:val="231F20"/>
          <w:w w:val="115"/>
        </w:rPr>
        <w:t>que</w:t>
      </w:r>
      <w:r>
        <w:rPr>
          <w:color w:val="231F20"/>
          <w:spacing w:val="-8"/>
          <w:w w:val="115"/>
        </w:rPr>
        <w:t> </w:t>
      </w:r>
      <w:r>
        <w:rPr>
          <w:color w:val="231F20"/>
          <w:w w:val="115"/>
        </w:rPr>
        <w:t>cela</w:t>
      </w:r>
      <w:r>
        <w:rPr>
          <w:color w:val="231F20"/>
          <w:spacing w:val="-8"/>
          <w:w w:val="115"/>
        </w:rPr>
        <w:t> </w:t>
      </w:r>
      <w:r>
        <w:rPr>
          <w:color w:val="231F20"/>
          <w:w w:val="115"/>
        </w:rPr>
        <w:t>puisse</w:t>
      </w:r>
      <w:r>
        <w:rPr>
          <w:color w:val="231F20"/>
          <w:spacing w:val="-8"/>
          <w:w w:val="115"/>
        </w:rPr>
        <w:t> </w:t>
      </w:r>
      <w:r>
        <w:rPr>
          <w:color w:val="231F20"/>
          <w:w w:val="115"/>
        </w:rPr>
        <w:t>paraître,</w:t>
      </w:r>
      <w:r>
        <w:rPr>
          <w:color w:val="231F20"/>
          <w:spacing w:val="-8"/>
          <w:w w:val="115"/>
        </w:rPr>
        <w:t> </w:t>
      </w:r>
      <w:r>
        <w:rPr>
          <w:color w:val="231F20"/>
          <w:w w:val="115"/>
        </w:rPr>
        <w:t>la</w:t>
      </w:r>
      <w:r>
        <w:rPr>
          <w:color w:val="231F20"/>
          <w:spacing w:val="-8"/>
          <w:w w:val="115"/>
        </w:rPr>
        <w:t> </w:t>
      </w:r>
      <w:r>
        <w:rPr>
          <w:color w:val="231F20"/>
          <w:w w:val="115"/>
        </w:rPr>
        <w:t>meilleure</w:t>
      </w:r>
      <w:r>
        <w:rPr>
          <w:color w:val="231F20"/>
          <w:spacing w:val="-8"/>
          <w:w w:val="115"/>
        </w:rPr>
        <w:t> </w:t>
      </w:r>
      <w:r>
        <w:rPr>
          <w:color w:val="231F20"/>
          <w:w w:val="115"/>
        </w:rPr>
        <w:t>façon</w:t>
      </w:r>
      <w:r>
        <w:rPr>
          <w:color w:val="231F20"/>
          <w:spacing w:val="-8"/>
          <w:w w:val="115"/>
        </w:rPr>
        <w:t> </w:t>
      </w:r>
      <w:r>
        <w:rPr>
          <w:color w:val="231F20"/>
          <w:w w:val="115"/>
        </w:rPr>
        <w:t>de</w:t>
      </w:r>
      <w:r>
        <w:rPr>
          <w:color w:val="231F20"/>
          <w:spacing w:val="-8"/>
          <w:w w:val="115"/>
        </w:rPr>
        <w:t> </w:t>
      </w:r>
      <w:r>
        <w:rPr>
          <w:color w:val="231F20"/>
          <w:w w:val="115"/>
        </w:rPr>
        <w:t>contrer </w:t>
      </w:r>
      <w:r>
        <w:rPr>
          <w:color w:val="231F20"/>
          <w:w w:val="120"/>
        </w:rPr>
        <w:t>le stress est de simplement comprendre les raisons pour </w:t>
      </w:r>
      <w:r>
        <w:rPr>
          <w:color w:val="231F20"/>
          <w:w w:val="120"/>
        </w:rPr>
        <w:t>lesquelles </w:t>
      </w:r>
      <w:r>
        <w:rPr>
          <w:color w:val="231F20"/>
          <w:spacing w:val="-2"/>
          <w:w w:val="120"/>
        </w:rPr>
        <w:t>nous</w:t>
      </w:r>
      <w:r>
        <w:rPr>
          <w:color w:val="231F20"/>
          <w:spacing w:val="-11"/>
          <w:w w:val="120"/>
        </w:rPr>
        <w:t> </w:t>
      </w:r>
      <w:r>
        <w:rPr>
          <w:color w:val="231F20"/>
          <w:spacing w:val="-2"/>
          <w:w w:val="120"/>
        </w:rPr>
        <w:t>sommes</w:t>
      </w:r>
      <w:r>
        <w:rPr>
          <w:color w:val="231F20"/>
          <w:spacing w:val="-11"/>
          <w:w w:val="120"/>
        </w:rPr>
        <w:t> </w:t>
      </w:r>
      <w:r>
        <w:rPr>
          <w:color w:val="231F20"/>
          <w:spacing w:val="-2"/>
          <w:w w:val="120"/>
        </w:rPr>
        <w:t>stressés,</w:t>
      </w:r>
      <w:r>
        <w:rPr>
          <w:color w:val="231F20"/>
          <w:spacing w:val="-11"/>
          <w:w w:val="120"/>
        </w:rPr>
        <w:t> </w:t>
      </w:r>
      <w:r>
        <w:rPr>
          <w:color w:val="231F20"/>
          <w:spacing w:val="-2"/>
          <w:w w:val="120"/>
        </w:rPr>
        <w:t>puis</w:t>
      </w:r>
      <w:r>
        <w:rPr>
          <w:color w:val="231F20"/>
          <w:spacing w:val="-10"/>
          <w:w w:val="120"/>
        </w:rPr>
        <w:t> </w:t>
      </w:r>
      <w:r>
        <w:rPr>
          <w:color w:val="231F20"/>
          <w:spacing w:val="-2"/>
          <w:w w:val="120"/>
        </w:rPr>
        <w:t>de</w:t>
      </w:r>
      <w:r>
        <w:rPr>
          <w:color w:val="231F20"/>
          <w:spacing w:val="-11"/>
          <w:w w:val="120"/>
        </w:rPr>
        <w:t> </w:t>
      </w:r>
      <w:r>
        <w:rPr>
          <w:color w:val="231F20"/>
          <w:spacing w:val="-2"/>
          <w:w w:val="120"/>
        </w:rPr>
        <w:t>se</w:t>
      </w:r>
      <w:r>
        <w:rPr>
          <w:color w:val="231F20"/>
          <w:spacing w:val="-11"/>
          <w:w w:val="120"/>
        </w:rPr>
        <w:t> </w:t>
      </w:r>
      <w:r>
        <w:rPr>
          <w:color w:val="231F20"/>
          <w:spacing w:val="-2"/>
          <w:w w:val="120"/>
        </w:rPr>
        <w:t>questionner</w:t>
      </w:r>
      <w:r>
        <w:rPr>
          <w:color w:val="231F20"/>
          <w:spacing w:val="-11"/>
          <w:w w:val="120"/>
        </w:rPr>
        <w:t> </w:t>
      </w:r>
      <w:r>
        <w:rPr>
          <w:color w:val="231F20"/>
          <w:spacing w:val="-2"/>
          <w:w w:val="120"/>
        </w:rPr>
        <w:t>sur</w:t>
      </w:r>
      <w:r>
        <w:rPr>
          <w:color w:val="231F20"/>
          <w:spacing w:val="-10"/>
          <w:w w:val="120"/>
        </w:rPr>
        <w:t> </w:t>
      </w:r>
      <w:r>
        <w:rPr>
          <w:color w:val="231F20"/>
          <w:spacing w:val="-2"/>
          <w:w w:val="120"/>
        </w:rPr>
        <w:t>les</w:t>
      </w:r>
      <w:r>
        <w:rPr>
          <w:color w:val="231F20"/>
          <w:spacing w:val="-11"/>
          <w:w w:val="120"/>
        </w:rPr>
        <w:t> </w:t>
      </w:r>
      <w:r>
        <w:rPr>
          <w:color w:val="231F20"/>
          <w:spacing w:val="-2"/>
          <w:w w:val="120"/>
        </w:rPr>
        <w:t>meilleures</w:t>
      </w:r>
      <w:r>
        <w:rPr>
          <w:color w:val="231F20"/>
          <w:spacing w:val="-11"/>
          <w:w w:val="120"/>
        </w:rPr>
        <w:t> </w:t>
      </w:r>
      <w:r>
        <w:rPr>
          <w:color w:val="231F20"/>
          <w:spacing w:val="-2"/>
          <w:w w:val="120"/>
        </w:rPr>
        <w:t>solutions </w:t>
      </w:r>
      <w:r>
        <w:rPr>
          <w:color w:val="231F20"/>
          <w:w w:val="120"/>
        </w:rPr>
        <w:t>pour y faire face. Il faut nourrir une attitude qui soutient l’idée que les problèmes ont des solutions, et ceux qui possèdent cette attitude sont déjà sur la bonne voie pour développer la résilience.</w:t>
      </w:r>
    </w:p>
    <w:p>
      <w:pPr>
        <w:pStyle w:val="BodyText"/>
        <w:spacing w:line="307" w:lineRule="auto" w:before="78"/>
        <w:ind w:left="830" w:right="492" w:firstLine="250"/>
        <w:jc w:val="both"/>
      </w:pPr>
      <w:r>
        <w:rPr>
          <w:color w:val="231F20"/>
          <w:spacing w:val="-2"/>
          <w:w w:val="120"/>
        </w:rPr>
        <w:t>La</w:t>
      </w:r>
      <w:r>
        <w:rPr>
          <w:color w:val="231F20"/>
          <w:spacing w:val="-7"/>
          <w:w w:val="120"/>
        </w:rPr>
        <w:t> </w:t>
      </w:r>
      <w:r>
        <w:rPr>
          <w:color w:val="231F20"/>
          <w:spacing w:val="-2"/>
          <w:w w:val="120"/>
        </w:rPr>
        <w:t>résilience</w:t>
      </w:r>
      <w:r>
        <w:rPr>
          <w:color w:val="231F20"/>
          <w:spacing w:val="-7"/>
          <w:w w:val="120"/>
        </w:rPr>
        <w:t> </w:t>
      </w:r>
      <w:r>
        <w:rPr>
          <w:color w:val="231F20"/>
          <w:spacing w:val="-2"/>
          <w:w w:val="120"/>
        </w:rPr>
        <w:t>est</w:t>
      </w:r>
      <w:r>
        <w:rPr>
          <w:color w:val="231F20"/>
          <w:spacing w:val="-6"/>
          <w:w w:val="120"/>
        </w:rPr>
        <w:t> </w:t>
      </w:r>
      <w:r>
        <w:rPr>
          <w:color w:val="231F20"/>
          <w:spacing w:val="-2"/>
          <w:w w:val="120"/>
        </w:rPr>
        <w:t>notre</w:t>
      </w:r>
      <w:r>
        <w:rPr>
          <w:color w:val="231F20"/>
          <w:spacing w:val="-6"/>
          <w:w w:val="120"/>
        </w:rPr>
        <w:t> </w:t>
      </w:r>
      <w:r>
        <w:rPr>
          <w:color w:val="231F20"/>
          <w:spacing w:val="-2"/>
          <w:w w:val="120"/>
        </w:rPr>
        <w:t>capacité</w:t>
      </w:r>
      <w:r>
        <w:rPr>
          <w:color w:val="231F20"/>
          <w:spacing w:val="-6"/>
          <w:w w:val="120"/>
        </w:rPr>
        <w:t> </w:t>
      </w:r>
      <w:r>
        <w:rPr>
          <w:color w:val="231F20"/>
          <w:spacing w:val="-2"/>
          <w:w w:val="120"/>
        </w:rPr>
        <w:t>à</w:t>
      </w:r>
      <w:r>
        <w:rPr>
          <w:color w:val="231F20"/>
          <w:spacing w:val="-7"/>
          <w:w w:val="120"/>
        </w:rPr>
        <w:t> </w:t>
      </w:r>
      <w:r>
        <w:rPr>
          <w:color w:val="231F20"/>
          <w:spacing w:val="-2"/>
          <w:w w:val="120"/>
        </w:rPr>
        <w:t>nous</w:t>
      </w:r>
      <w:r>
        <w:rPr>
          <w:color w:val="231F20"/>
          <w:spacing w:val="-7"/>
          <w:w w:val="120"/>
        </w:rPr>
        <w:t> </w:t>
      </w:r>
      <w:r>
        <w:rPr>
          <w:color w:val="231F20"/>
          <w:spacing w:val="-2"/>
          <w:w w:val="120"/>
        </w:rPr>
        <w:t>adapter</w:t>
      </w:r>
      <w:r>
        <w:rPr>
          <w:color w:val="231F20"/>
          <w:spacing w:val="-7"/>
          <w:w w:val="120"/>
        </w:rPr>
        <w:t> </w:t>
      </w:r>
      <w:r>
        <w:rPr>
          <w:color w:val="231F20"/>
          <w:spacing w:val="-2"/>
          <w:w w:val="120"/>
        </w:rPr>
        <w:t>et</w:t>
      </w:r>
      <w:r>
        <w:rPr>
          <w:color w:val="231F20"/>
          <w:spacing w:val="-7"/>
          <w:w w:val="120"/>
        </w:rPr>
        <w:t> </w:t>
      </w:r>
      <w:r>
        <w:rPr>
          <w:color w:val="231F20"/>
          <w:spacing w:val="-2"/>
          <w:w w:val="120"/>
        </w:rPr>
        <w:t>à</w:t>
      </w:r>
      <w:r>
        <w:rPr>
          <w:color w:val="231F20"/>
          <w:spacing w:val="-6"/>
          <w:w w:val="120"/>
        </w:rPr>
        <w:t> </w:t>
      </w:r>
      <w:r>
        <w:rPr>
          <w:color w:val="231F20"/>
          <w:spacing w:val="-2"/>
          <w:w w:val="120"/>
        </w:rPr>
        <w:t>rebondir</w:t>
      </w:r>
      <w:r>
        <w:rPr>
          <w:color w:val="231F20"/>
          <w:spacing w:val="-7"/>
          <w:w w:val="120"/>
        </w:rPr>
        <w:t> </w:t>
      </w:r>
      <w:r>
        <w:rPr>
          <w:color w:val="231F20"/>
          <w:spacing w:val="-2"/>
          <w:w w:val="120"/>
        </w:rPr>
        <w:t>lorsqu’on fait</w:t>
      </w:r>
      <w:r>
        <w:rPr>
          <w:color w:val="231F20"/>
          <w:spacing w:val="-7"/>
          <w:w w:val="120"/>
        </w:rPr>
        <w:t> </w:t>
      </w:r>
      <w:r>
        <w:rPr>
          <w:color w:val="231F20"/>
          <w:spacing w:val="-2"/>
          <w:w w:val="120"/>
        </w:rPr>
        <w:t>face</w:t>
      </w:r>
      <w:r>
        <w:rPr>
          <w:color w:val="231F20"/>
          <w:spacing w:val="-7"/>
          <w:w w:val="120"/>
        </w:rPr>
        <w:t> </w:t>
      </w:r>
      <w:r>
        <w:rPr>
          <w:color w:val="231F20"/>
          <w:spacing w:val="-2"/>
          <w:w w:val="120"/>
        </w:rPr>
        <w:t>à</w:t>
      </w:r>
      <w:r>
        <w:rPr>
          <w:color w:val="231F20"/>
          <w:spacing w:val="-7"/>
          <w:w w:val="120"/>
        </w:rPr>
        <w:t> </w:t>
      </w:r>
      <w:r>
        <w:rPr>
          <w:color w:val="231F20"/>
          <w:spacing w:val="-2"/>
          <w:w w:val="120"/>
        </w:rPr>
        <w:t>l’adversité.</w:t>
      </w:r>
      <w:r>
        <w:rPr>
          <w:color w:val="231F20"/>
          <w:spacing w:val="-7"/>
          <w:w w:val="120"/>
        </w:rPr>
        <w:t> </w:t>
      </w:r>
      <w:r>
        <w:rPr>
          <w:color w:val="231F20"/>
          <w:spacing w:val="-2"/>
          <w:w w:val="120"/>
        </w:rPr>
        <w:t>Les</w:t>
      </w:r>
      <w:r>
        <w:rPr>
          <w:color w:val="231F20"/>
          <w:spacing w:val="-7"/>
          <w:w w:val="120"/>
        </w:rPr>
        <w:t> </w:t>
      </w:r>
      <w:r>
        <w:rPr>
          <w:color w:val="231F20"/>
          <w:spacing w:val="-2"/>
          <w:w w:val="120"/>
        </w:rPr>
        <w:t>personnes</w:t>
      </w:r>
      <w:r>
        <w:rPr>
          <w:color w:val="231F20"/>
          <w:spacing w:val="-7"/>
          <w:w w:val="120"/>
        </w:rPr>
        <w:t> </w:t>
      </w:r>
      <w:r>
        <w:rPr>
          <w:color w:val="231F20"/>
          <w:spacing w:val="-2"/>
          <w:w w:val="120"/>
        </w:rPr>
        <w:t>résilientes</w:t>
      </w:r>
      <w:r>
        <w:rPr>
          <w:color w:val="231F20"/>
          <w:spacing w:val="-7"/>
          <w:w w:val="120"/>
        </w:rPr>
        <w:t> </w:t>
      </w:r>
      <w:r>
        <w:rPr>
          <w:color w:val="231F20"/>
          <w:spacing w:val="-2"/>
          <w:w w:val="120"/>
        </w:rPr>
        <w:t>ne</w:t>
      </w:r>
      <w:r>
        <w:rPr>
          <w:color w:val="231F20"/>
          <w:spacing w:val="-7"/>
          <w:w w:val="120"/>
        </w:rPr>
        <w:t> </w:t>
      </w:r>
      <w:r>
        <w:rPr>
          <w:color w:val="231F20"/>
          <w:spacing w:val="-2"/>
          <w:w w:val="120"/>
        </w:rPr>
        <w:t>s’attardent</w:t>
      </w:r>
      <w:r>
        <w:rPr>
          <w:color w:val="231F20"/>
          <w:spacing w:val="-7"/>
          <w:w w:val="120"/>
        </w:rPr>
        <w:t> </w:t>
      </w:r>
      <w:r>
        <w:rPr>
          <w:color w:val="231F20"/>
          <w:spacing w:val="-2"/>
          <w:w w:val="120"/>
        </w:rPr>
        <w:t>pas</w:t>
      </w:r>
      <w:r>
        <w:rPr>
          <w:color w:val="231F20"/>
          <w:spacing w:val="-7"/>
          <w:w w:val="120"/>
        </w:rPr>
        <w:t> </w:t>
      </w:r>
      <w:r>
        <w:rPr>
          <w:color w:val="231F20"/>
          <w:spacing w:val="-2"/>
          <w:w w:val="120"/>
        </w:rPr>
        <w:t>à</w:t>
      </w:r>
      <w:r>
        <w:rPr>
          <w:color w:val="231F20"/>
          <w:spacing w:val="-7"/>
          <w:w w:val="120"/>
        </w:rPr>
        <w:t> </w:t>
      </w:r>
      <w:r>
        <w:rPr>
          <w:color w:val="231F20"/>
          <w:spacing w:val="-2"/>
          <w:w w:val="120"/>
        </w:rPr>
        <w:t>leurs </w:t>
      </w:r>
      <w:r>
        <w:rPr>
          <w:color w:val="231F20"/>
          <w:w w:val="120"/>
        </w:rPr>
        <w:t>échecs ou à leurs insuccès, ils analysent la situation, apprennent </w:t>
      </w:r>
      <w:r>
        <w:rPr>
          <w:color w:val="231F20"/>
          <w:w w:val="120"/>
        </w:rPr>
        <w:t>de leurs erreurs, puis avancent. Les personnes résilientes considèrent une difficulté comme un défi et non comme un événement paralysant. Ils considèrent leurs échecs et leurs erreurs comme des leçons à tirer et comme des occasions de croissance. Les personnes résilientes font </w:t>
      </w:r>
      <w:r>
        <w:rPr>
          <w:color w:val="231F20"/>
          <w:w w:val="115"/>
        </w:rPr>
        <w:t>preuve</w:t>
      </w:r>
      <w:r>
        <w:rPr>
          <w:color w:val="231F20"/>
          <w:spacing w:val="-6"/>
          <w:w w:val="115"/>
        </w:rPr>
        <w:t> </w:t>
      </w:r>
      <w:r>
        <w:rPr>
          <w:color w:val="231F20"/>
          <w:w w:val="115"/>
        </w:rPr>
        <w:t>d’engagement</w:t>
      </w:r>
      <w:r>
        <w:rPr>
          <w:color w:val="231F20"/>
          <w:spacing w:val="-6"/>
          <w:w w:val="115"/>
        </w:rPr>
        <w:t> </w:t>
      </w:r>
      <w:r>
        <w:rPr>
          <w:color w:val="231F20"/>
          <w:w w:val="115"/>
        </w:rPr>
        <w:t>et</w:t>
      </w:r>
      <w:r>
        <w:rPr>
          <w:color w:val="231F20"/>
          <w:spacing w:val="-6"/>
          <w:w w:val="115"/>
        </w:rPr>
        <w:t> </w:t>
      </w:r>
      <w:r>
        <w:rPr>
          <w:color w:val="231F20"/>
          <w:w w:val="115"/>
        </w:rPr>
        <w:t>investissent</w:t>
      </w:r>
      <w:r>
        <w:rPr>
          <w:color w:val="231F20"/>
          <w:spacing w:val="-6"/>
          <w:w w:val="115"/>
        </w:rPr>
        <w:t> </w:t>
      </w:r>
      <w:r>
        <w:rPr>
          <w:color w:val="231F20"/>
          <w:w w:val="115"/>
        </w:rPr>
        <w:t>leur</w:t>
      </w:r>
      <w:r>
        <w:rPr>
          <w:color w:val="231F20"/>
          <w:spacing w:val="-6"/>
          <w:w w:val="115"/>
        </w:rPr>
        <w:t> </w:t>
      </w:r>
      <w:r>
        <w:rPr>
          <w:color w:val="231F20"/>
          <w:w w:val="115"/>
        </w:rPr>
        <w:t>énergie</w:t>
      </w:r>
      <w:r>
        <w:rPr>
          <w:color w:val="231F20"/>
          <w:spacing w:val="-6"/>
          <w:w w:val="115"/>
        </w:rPr>
        <w:t> </w:t>
      </w:r>
      <w:r>
        <w:rPr>
          <w:color w:val="231F20"/>
          <w:w w:val="115"/>
        </w:rPr>
        <w:t>là</w:t>
      </w:r>
      <w:r>
        <w:rPr>
          <w:color w:val="231F20"/>
          <w:spacing w:val="-6"/>
          <w:w w:val="115"/>
        </w:rPr>
        <w:t> </w:t>
      </w:r>
      <w:r>
        <w:rPr>
          <w:color w:val="231F20"/>
          <w:w w:val="115"/>
        </w:rPr>
        <w:t>où</w:t>
      </w:r>
      <w:r>
        <w:rPr>
          <w:color w:val="231F20"/>
          <w:spacing w:val="-6"/>
          <w:w w:val="115"/>
        </w:rPr>
        <w:t> </w:t>
      </w:r>
      <w:r>
        <w:rPr>
          <w:color w:val="231F20"/>
          <w:w w:val="115"/>
        </w:rPr>
        <w:t>elles</w:t>
      </w:r>
      <w:r>
        <w:rPr>
          <w:color w:val="231F20"/>
          <w:spacing w:val="-6"/>
          <w:w w:val="115"/>
        </w:rPr>
        <w:t> </w:t>
      </w:r>
      <w:r>
        <w:rPr>
          <w:color w:val="231F20"/>
          <w:w w:val="115"/>
        </w:rPr>
        <w:t>peuvent</w:t>
      </w:r>
      <w:r>
        <w:rPr>
          <w:color w:val="231F20"/>
          <w:spacing w:val="-6"/>
          <w:w w:val="115"/>
        </w:rPr>
        <w:t> </w:t>
      </w:r>
      <w:r>
        <w:rPr>
          <w:color w:val="231F20"/>
          <w:w w:val="115"/>
        </w:rPr>
        <w:t>avoir </w:t>
      </w:r>
      <w:r>
        <w:rPr>
          <w:color w:val="231F20"/>
          <w:w w:val="120"/>
        </w:rPr>
        <w:t>le plus d’effet2.</w:t>
      </w:r>
    </w:p>
    <w:p>
      <w:pPr>
        <w:pStyle w:val="BodyText"/>
        <w:spacing w:line="307" w:lineRule="auto" w:before="78"/>
        <w:ind w:left="830" w:right="498" w:firstLine="250"/>
        <w:jc w:val="both"/>
      </w:pPr>
      <w:r>
        <w:rPr>
          <w:color w:val="231F20"/>
          <w:w w:val="120"/>
        </w:rPr>
        <w:t>Les recherches sur la résilience considèrent qu’il est l’un des meil­ </w:t>
      </w:r>
      <w:r>
        <w:rPr>
          <w:color w:val="231F20"/>
          <w:spacing w:val="-2"/>
          <w:w w:val="120"/>
        </w:rPr>
        <w:t>leurs</w:t>
      </w:r>
      <w:r>
        <w:rPr>
          <w:color w:val="231F20"/>
          <w:spacing w:val="-5"/>
          <w:w w:val="120"/>
        </w:rPr>
        <w:t> </w:t>
      </w:r>
      <w:r>
        <w:rPr>
          <w:color w:val="231F20"/>
          <w:spacing w:val="-2"/>
          <w:w w:val="120"/>
        </w:rPr>
        <w:t>remparts</w:t>
      </w:r>
      <w:r>
        <w:rPr>
          <w:color w:val="231F20"/>
          <w:spacing w:val="-5"/>
          <w:w w:val="120"/>
        </w:rPr>
        <w:t> </w:t>
      </w:r>
      <w:r>
        <w:rPr>
          <w:color w:val="231F20"/>
          <w:spacing w:val="-2"/>
          <w:w w:val="120"/>
        </w:rPr>
        <w:t>contre</w:t>
      </w:r>
      <w:r>
        <w:rPr>
          <w:color w:val="231F20"/>
          <w:spacing w:val="-5"/>
          <w:w w:val="120"/>
        </w:rPr>
        <w:t> </w:t>
      </w:r>
      <w:r>
        <w:rPr>
          <w:color w:val="231F20"/>
          <w:spacing w:val="-2"/>
          <w:w w:val="120"/>
        </w:rPr>
        <w:t>le</w:t>
      </w:r>
      <w:r>
        <w:rPr>
          <w:color w:val="231F20"/>
          <w:spacing w:val="-5"/>
          <w:w w:val="120"/>
        </w:rPr>
        <w:t> </w:t>
      </w:r>
      <w:r>
        <w:rPr>
          <w:color w:val="231F20"/>
          <w:spacing w:val="-2"/>
          <w:w w:val="120"/>
        </w:rPr>
        <w:t>stress</w:t>
      </w:r>
      <w:r>
        <w:rPr>
          <w:color w:val="231F20"/>
          <w:spacing w:val="-5"/>
          <w:w w:val="120"/>
        </w:rPr>
        <w:t> </w:t>
      </w:r>
      <w:r>
        <w:rPr>
          <w:color w:val="231F20"/>
          <w:spacing w:val="-2"/>
          <w:w w:val="120"/>
        </w:rPr>
        <w:t>et</w:t>
      </w:r>
      <w:r>
        <w:rPr>
          <w:color w:val="231F20"/>
          <w:spacing w:val="-5"/>
          <w:w w:val="120"/>
        </w:rPr>
        <w:t> </w:t>
      </w:r>
      <w:r>
        <w:rPr>
          <w:color w:val="231F20"/>
          <w:spacing w:val="-2"/>
          <w:w w:val="120"/>
        </w:rPr>
        <w:t>soulignent</w:t>
      </w:r>
      <w:r>
        <w:rPr>
          <w:color w:val="231F20"/>
          <w:spacing w:val="-5"/>
          <w:w w:val="120"/>
        </w:rPr>
        <w:t> </w:t>
      </w:r>
      <w:r>
        <w:rPr>
          <w:color w:val="231F20"/>
          <w:spacing w:val="-2"/>
          <w:w w:val="120"/>
        </w:rPr>
        <w:t>que</w:t>
      </w:r>
      <w:r>
        <w:rPr>
          <w:color w:val="231F20"/>
          <w:spacing w:val="-5"/>
          <w:w w:val="120"/>
        </w:rPr>
        <w:t> </w:t>
      </w:r>
      <w:r>
        <w:rPr>
          <w:color w:val="231F20"/>
          <w:spacing w:val="-2"/>
          <w:w w:val="120"/>
        </w:rPr>
        <w:t>les</w:t>
      </w:r>
      <w:r>
        <w:rPr>
          <w:color w:val="231F20"/>
          <w:spacing w:val="-5"/>
          <w:w w:val="120"/>
        </w:rPr>
        <w:t> </w:t>
      </w:r>
      <w:r>
        <w:rPr>
          <w:color w:val="231F20"/>
          <w:spacing w:val="-2"/>
          <w:w w:val="120"/>
        </w:rPr>
        <w:t>personnes</w:t>
      </w:r>
      <w:r>
        <w:rPr>
          <w:color w:val="231F20"/>
          <w:spacing w:val="-5"/>
          <w:w w:val="120"/>
        </w:rPr>
        <w:t> </w:t>
      </w:r>
      <w:r>
        <w:rPr>
          <w:color w:val="231F20"/>
          <w:spacing w:val="-2"/>
          <w:w w:val="120"/>
        </w:rPr>
        <w:t>résilientes </w:t>
      </w:r>
      <w:r>
        <w:rPr>
          <w:color w:val="231F20"/>
          <w:w w:val="115"/>
        </w:rPr>
        <w:t>sont capables d’entrevoir des solutions aux situations complexes3. </w:t>
      </w:r>
      <w:r>
        <w:rPr>
          <w:color w:val="231F20"/>
          <w:w w:val="115"/>
        </w:rPr>
        <w:t>Voici </w:t>
      </w:r>
      <w:r>
        <w:rPr>
          <w:color w:val="231F20"/>
          <w:w w:val="120"/>
        </w:rPr>
        <w:t>quelques caractéristiques des personnes résilientes:</w:t>
      </w:r>
    </w:p>
    <w:p>
      <w:pPr>
        <w:pStyle w:val="ListParagraph"/>
        <w:numPr>
          <w:ilvl w:val="2"/>
          <w:numId w:val="100"/>
        </w:numPr>
        <w:tabs>
          <w:tab w:pos="1331" w:val="left" w:leader="none"/>
        </w:tabs>
        <w:spacing w:line="307" w:lineRule="auto" w:before="80" w:after="0"/>
        <w:ind w:left="1330" w:right="494" w:hanging="251"/>
        <w:jc w:val="both"/>
        <w:rPr>
          <w:sz w:val="17"/>
        </w:rPr>
      </w:pPr>
      <w:r>
        <w:rPr>
          <w:color w:val="231F20"/>
          <w:w w:val="120"/>
          <w:sz w:val="17"/>
        </w:rPr>
        <w:t>Les personnes résilientes ont une image positive de l’avenir. Autrement dit, elles maintiennent une perspective optimiste et envisagent que le meilleur est à venir;</w:t>
      </w:r>
    </w:p>
    <w:p>
      <w:pPr>
        <w:pStyle w:val="BodyText"/>
        <w:rPr>
          <w:sz w:val="20"/>
        </w:rPr>
      </w:pPr>
    </w:p>
    <w:p>
      <w:pPr>
        <w:pStyle w:val="BodyText"/>
        <w:rPr>
          <w:sz w:val="20"/>
        </w:rPr>
      </w:pPr>
    </w:p>
    <w:p>
      <w:pPr>
        <w:pStyle w:val="BodyText"/>
        <w:rPr>
          <w:sz w:val="20"/>
        </w:rPr>
      </w:pPr>
    </w:p>
    <w:p>
      <w:pPr>
        <w:pStyle w:val="BodyText"/>
        <w:spacing w:before="9"/>
        <w:rPr>
          <w:sz w:val="15"/>
        </w:rPr>
      </w:pPr>
      <w:r>
        <w:rPr/>
        <w:pict>
          <v:shape style="position:absolute;margin-left:62.5pt;margin-top:10.317181pt;width:287.5pt;height:.1pt;mso-position-horizontal-relative:page;mso-position-vertical-relative:paragraph;z-index:-15614976;mso-wrap-distance-left:0;mso-wrap-distance-right:0" id="docshape1154" coordorigin="1250,206" coordsize="5750,0" path="m1250,206l7000,206e" filled="false" stroked="true" strokeweight=".25pt" strokecolor="#231f20">
            <v:path arrowok="t"/>
            <v:stroke dashstyle="shortdot"/>
            <w10:wrap type="topAndBottom"/>
          </v:shape>
        </w:pict>
      </w:r>
    </w:p>
    <w:p>
      <w:pPr>
        <w:pStyle w:val="ListParagraph"/>
        <w:numPr>
          <w:ilvl w:val="0"/>
          <w:numId w:val="101"/>
        </w:numPr>
        <w:tabs>
          <w:tab w:pos="830" w:val="left" w:leader="none"/>
        </w:tabs>
        <w:spacing w:line="295" w:lineRule="auto" w:before="135" w:after="0"/>
        <w:ind w:left="829" w:right="496" w:hanging="328"/>
        <w:jc w:val="both"/>
        <w:rPr>
          <w:rFonts w:ascii="Arial"/>
          <w:sz w:val="12"/>
        </w:rPr>
      </w:pPr>
      <w:r>
        <w:rPr>
          <w:rFonts w:ascii="Arial"/>
          <w:color w:val="231F20"/>
          <w:sz w:val="12"/>
        </w:rPr>
        <w:t>Raich, M., Dolan, S. L., Ulrich, D. et Cisullo, C. (2020). The cyber-organization and the new world of work:</w:t>
      </w:r>
      <w:r>
        <w:rPr>
          <w:rFonts w:ascii="Arial"/>
          <w:color w:val="231F20"/>
          <w:spacing w:val="40"/>
          <w:sz w:val="12"/>
        </w:rPr>
        <w:t> </w:t>
      </w:r>
      <w:r>
        <w:rPr>
          <w:rFonts w:ascii="Arial"/>
          <w:color w:val="231F20"/>
          <w:sz w:val="12"/>
        </w:rPr>
        <w:t>Advocating a twin governance and collaborative intelligence solution for overcoming a constant disruptive</w:t>
      </w:r>
      <w:r>
        <w:rPr>
          <w:rFonts w:ascii="Arial"/>
          <w:color w:val="231F20"/>
          <w:spacing w:val="40"/>
          <w:sz w:val="12"/>
        </w:rPr>
        <w:t> </w:t>
      </w:r>
      <w:r>
        <w:rPr>
          <w:rFonts w:ascii="Arial"/>
          <w:color w:val="231F20"/>
          <w:sz w:val="12"/>
        </w:rPr>
        <w:t>business context, </w:t>
      </w:r>
      <w:r>
        <w:rPr>
          <w:rFonts w:ascii="Arial"/>
          <w:i/>
          <w:color w:val="231F20"/>
          <w:sz w:val="12"/>
        </w:rPr>
        <w:t>European Business Review</w:t>
      </w:r>
      <w:r>
        <w:rPr>
          <w:rFonts w:ascii="Arial"/>
          <w:color w:val="231F20"/>
          <w:sz w:val="12"/>
        </w:rPr>
        <w:t>, mars-avril.</w:t>
      </w:r>
    </w:p>
    <w:p>
      <w:pPr>
        <w:pStyle w:val="ListParagraph"/>
        <w:numPr>
          <w:ilvl w:val="0"/>
          <w:numId w:val="101"/>
        </w:numPr>
        <w:tabs>
          <w:tab w:pos="830" w:val="left" w:leader="none"/>
        </w:tabs>
        <w:spacing w:line="295" w:lineRule="auto" w:before="1" w:after="0"/>
        <w:ind w:left="829" w:right="498" w:hanging="328"/>
        <w:jc w:val="both"/>
        <w:rPr>
          <w:rFonts w:ascii="Arial"/>
          <w:sz w:val="12"/>
        </w:rPr>
      </w:pPr>
      <w:r>
        <w:rPr>
          <w:rFonts w:ascii="Arial"/>
          <w:color w:val="231F20"/>
          <w:sz w:val="12"/>
        </w:rPr>
        <w:t>Kobassa, S. (1979). Personality and resistance to illness, </w:t>
      </w:r>
      <w:r>
        <w:rPr>
          <w:rFonts w:ascii="Arial"/>
          <w:i/>
          <w:color w:val="231F20"/>
          <w:sz w:val="12"/>
        </w:rPr>
        <w:t>American Journal of Community Psychology</w:t>
      </w:r>
      <w:r>
        <w:rPr>
          <w:rFonts w:ascii="Arial"/>
          <w:color w:val="231F20"/>
          <w:sz w:val="12"/>
        </w:rPr>
        <w:t>, </w:t>
      </w:r>
      <w:r>
        <w:rPr>
          <w:rFonts w:ascii="Arial"/>
          <w:i/>
          <w:color w:val="231F20"/>
          <w:sz w:val="12"/>
        </w:rPr>
        <w:t>7</w:t>
      </w:r>
      <w:r>
        <w:rPr>
          <w:rFonts w:ascii="Arial"/>
          <w:color w:val="231F20"/>
          <w:sz w:val="12"/>
        </w:rPr>
        <w:t>,</w:t>
      </w:r>
      <w:r>
        <w:rPr>
          <w:rFonts w:ascii="Arial"/>
          <w:color w:val="231F20"/>
          <w:spacing w:val="40"/>
          <w:sz w:val="12"/>
        </w:rPr>
        <w:t> </w:t>
      </w:r>
      <w:r>
        <w:rPr>
          <w:rFonts w:ascii="Arial"/>
          <w:color w:val="231F20"/>
          <w:spacing w:val="-2"/>
          <w:sz w:val="12"/>
        </w:rPr>
        <w:t>413-423.</w:t>
      </w:r>
    </w:p>
    <w:p>
      <w:pPr>
        <w:pStyle w:val="ListParagraph"/>
        <w:numPr>
          <w:ilvl w:val="0"/>
          <w:numId w:val="101"/>
        </w:numPr>
        <w:tabs>
          <w:tab w:pos="830" w:val="left" w:leader="none"/>
        </w:tabs>
        <w:spacing w:line="240" w:lineRule="auto" w:before="0" w:after="0"/>
        <w:ind w:left="829" w:right="0" w:hanging="329"/>
        <w:jc w:val="both"/>
        <w:rPr>
          <w:rFonts w:ascii="Arial"/>
          <w:sz w:val="12"/>
        </w:rPr>
      </w:pPr>
      <w:r>
        <w:rPr>
          <w:rFonts w:ascii="Arial"/>
          <w:color w:val="231F20"/>
          <w:spacing w:val="-2"/>
          <w:sz w:val="12"/>
        </w:rPr>
        <w:t>Garti,</w:t>
      </w:r>
      <w:r>
        <w:rPr>
          <w:rFonts w:ascii="Arial"/>
          <w:color w:val="231F20"/>
          <w:spacing w:val="-5"/>
          <w:sz w:val="12"/>
        </w:rPr>
        <w:t> </w:t>
      </w:r>
      <w:r>
        <w:rPr>
          <w:rFonts w:ascii="Arial"/>
          <w:color w:val="231F20"/>
          <w:spacing w:val="-2"/>
          <w:sz w:val="12"/>
        </w:rPr>
        <w:t>A.</w:t>
      </w:r>
      <w:r>
        <w:rPr>
          <w:rFonts w:ascii="Arial"/>
          <w:color w:val="231F20"/>
          <w:spacing w:val="-5"/>
          <w:sz w:val="12"/>
        </w:rPr>
        <w:t> </w:t>
      </w:r>
      <w:r>
        <w:rPr>
          <w:rFonts w:ascii="Arial"/>
          <w:color w:val="231F20"/>
          <w:spacing w:val="-2"/>
          <w:sz w:val="12"/>
        </w:rPr>
        <w:t>et</w:t>
      </w:r>
      <w:r>
        <w:rPr>
          <w:rFonts w:ascii="Arial"/>
          <w:color w:val="231F20"/>
          <w:spacing w:val="-5"/>
          <w:sz w:val="12"/>
        </w:rPr>
        <w:t> </w:t>
      </w:r>
      <w:r>
        <w:rPr>
          <w:rFonts w:ascii="Arial"/>
          <w:color w:val="231F20"/>
          <w:spacing w:val="-2"/>
          <w:sz w:val="12"/>
        </w:rPr>
        <w:t>Dolan,</w:t>
      </w:r>
      <w:r>
        <w:rPr>
          <w:rFonts w:ascii="Arial"/>
          <w:color w:val="231F20"/>
          <w:spacing w:val="-5"/>
          <w:sz w:val="12"/>
        </w:rPr>
        <w:t> </w:t>
      </w:r>
      <w:r>
        <w:rPr>
          <w:rFonts w:ascii="Arial"/>
          <w:color w:val="231F20"/>
          <w:spacing w:val="-2"/>
          <w:sz w:val="12"/>
        </w:rPr>
        <w:t>S.</w:t>
      </w:r>
      <w:r>
        <w:rPr>
          <w:rFonts w:ascii="Arial"/>
          <w:color w:val="231F20"/>
          <w:spacing w:val="-5"/>
          <w:sz w:val="12"/>
        </w:rPr>
        <w:t> </w:t>
      </w:r>
      <w:r>
        <w:rPr>
          <w:rFonts w:ascii="Arial"/>
          <w:color w:val="231F20"/>
          <w:spacing w:val="-2"/>
          <w:sz w:val="12"/>
        </w:rPr>
        <w:t>L.</w:t>
      </w:r>
      <w:r>
        <w:rPr>
          <w:rFonts w:ascii="Arial"/>
          <w:color w:val="231F20"/>
          <w:spacing w:val="-5"/>
          <w:sz w:val="12"/>
        </w:rPr>
        <w:t> </w:t>
      </w:r>
      <w:r>
        <w:rPr>
          <w:rFonts w:ascii="Arial"/>
          <w:color w:val="231F20"/>
          <w:spacing w:val="-2"/>
          <w:sz w:val="12"/>
        </w:rPr>
        <w:t>(2021).</w:t>
      </w:r>
      <w:r>
        <w:rPr>
          <w:rFonts w:ascii="Arial"/>
          <w:color w:val="231F20"/>
          <w:spacing w:val="-5"/>
          <w:sz w:val="12"/>
        </w:rPr>
        <w:t> </w:t>
      </w:r>
      <w:r>
        <w:rPr>
          <w:rFonts w:ascii="Arial"/>
          <w:color w:val="231F20"/>
          <w:spacing w:val="-2"/>
          <w:sz w:val="12"/>
        </w:rPr>
        <w:t>Using</w:t>
      </w:r>
      <w:r>
        <w:rPr>
          <w:rFonts w:ascii="Arial"/>
          <w:color w:val="231F20"/>
          <w:spacing w:val="-4"/>
          <w:sz w:val="12"/>
        </w:rPr>
        <w:t> </w:t>
      </w:r>
      <w:r>
        <w:rPr>
          <w:rFonts w:ascii="Arial"/>
          <w:color w:val="231F20"/>
          <w:spacing w:val="-2"/>
          <w:sz w:val="12"/>
        </w:rPr>
        <w:t>the</w:t>
      </w:r>
      <w:r>
        <w:rPr>
          <w:rFonts w:ascii="Arial"/>
          <w:color w:val="231F20"/>
          <w:spacing w:val="-5"/>
          <w:sz w:val="12"/>
        </w:rPr>
        <w:t> </w:t>
      </w:r>
      <w:r>
        <w:rPr>
          <w:rFonts w:ascii="Arial"/>
          <w:color w:val="231F20"/>
          <w:spacing w:val="-2"/>
          <w:sz w:val="12"/>
        </w:rPr>
        <w:t>triaxial</w:t>
      </w:r>
      <w:r>
        <w:rPr>
          <w:rFonts w:ascii="Arial"/>
          <w:color w:val="231F20"/>
          <w:spacing w:val="-5"/>
          <w:sz w:val="12"/>
        </w:rPr>
        <w:t> </w:t>
      </w:r>
      <w:r>
        <w:rPr>
          <w:rFonts w:ascii="Arial"/>
          <w:color w:val="231F20"/>
          <w:spacing w:val="-2"/>
          <w:sz w:val="12"/>
        </w:rPr>
        <w:t>model</w:t>
      </w:r>
      <w:r>
        <w:rPr>
          <w:rFonts w:ascii="Arial"/>
          <w:color w:val="231F20"/>
          <w:spacing w:val="-5"/>
          <w:sz w:val="12"/>
        </w:rPr>
        <w:t> </w:t>
      </w:r>
      <w:r>
        <w:rPr>
          <w:rFonts w:ascii="Arial"/>
          <w:color w:val="231F20"/>
          <w:spacing w:val="-2"/>
          <w:sz w:val="12"/>
        </w:rPr>
        <w:t>of</w:t>
      </w:r>
      <w:r>
        <w:rPr>
          <w:rFonts w:ascii="Arial"/>
          <w:color w:val="231F20"/>
          <w:spacing w:val="-5"/>
          <w:sz w:val="12"/>
        </w:rPr>
        <w:t> </w:t>
      </w:r>
      <w:r>
        <w:rPr>
          <w:rFonts w:ascii="Arial"/>
          <w:color w:val="231F20"/>
          <w:spacing w:val="-2"/>
          <w:sz w:val="12"/>
        </w:rPr>
        <w:t>values</w:t>
      </w:r>
      <w:r>
        <w:rPr>
          <w:rFonts w:ascii="Arial"/>
          <w:color w:val="231F20"/>
          <w:spacing w:val="-5"/>
          <w:sz w:val="12"/>
        </w:rPr>
        <w:t> </w:t>
      </w:r>
      <w:r>
        <w:rPr>
          <w:rFonts w:ascii="Arial"/>
          <w:color w:val="231F20"/>
          <w:spacing w:val="-2"/>
          <w:sz w:val="12"/>
        </w:rPr>
        <w:t>to</w:t>
      </w:r>
      <w:r>
        <w:rPr>
          <w:rFonts w:ascii="Arial"/>
          <w:color w:val="231F20"/>
          <w:spacing w:val="-5"/>
          <w:sz w:val="12"/>
        </w:rPr>
        <w:t> </w:t>
      </w:r>
      <w:r>
        <w:rPr>
          <w:rFonts w:ascii="Arial"/>
          <w:color w:val="231F20"/>
          <w:spacing w:val="-2"/>
          <w:sz w:val="12"/>
        </w:rPr>
        <w:t>build</w:t>
      </w:r>
      <w:r>
        <w:rPr>
          <w:rFonts w:ascii="Arial"/>
          <w:color w:val="231F20"/>
          <w:spacing w:val="-4"/>
          <w:sz w:val="12"/>
        </w:rPr>
        <w:t> </w:t>
      </w:r>
      <w:r>
        <w:rPr>
          <w:rFonts w:ascii="Arial"/>
          <w:color w:val="231F20"/>
          <w:spacing w:val="-2"/>
          <w:sz w:val="12"/>
        </w:rPr>
        <w:t>resilience</w:t>
      </w:r>
      <w:r>
        <w:rPr>
          <w:rFonts w:ascii="Arial"/>
          <w:color w:val="231F20"/>
          <w:spacing w:val="-5"/>
          <w:sz w:val="12"/>
        </w:rPr>
        <w:t> </w:t>
      </w:r>
      <w:r>
        <w:rPr>
          <w:rFonts w:ascii="Arial"/>
          <w:color w:val="231F20"/>
          <w:spacing w:val="-2"/>
          <w:sz w:val="12"/>
        </w:rPr>
        <w:t>in</w:t>
      </w:r>
      <w:r>
        <w:rPr>
          <w:rFonts w:ascii="Arial"/>
          <w:color w:val="231F20"/>
          <w:spacing w:val="-5"/>
          <w:sz w:val="12"/>
        </w:rPr>
        <w:t> </w:t>
      </w:r>
      <w:r>
        <w:rPr>
          <w:rFonts w:ascii="Arial"/>
          <w:color w:val="231F20"/>
          <w:spacing w:val="-2"/>
          <w:sz w:val="12"/>
        </w:rPr>
        <w:t>a</w:t>
      </w:r>
      <w:r>
        <w:rPr>
          <w:rFonts w:ascii="Arial"/>
          <w:color w:val="231F20"/>
          <w:spacing w:val="-5"/>
          <w:sz w:val="12"/>
        </w:rPr>
        <w:t> </w:t>
      </w:r>
      <w:r>
        <w:rPr>
          <w:rFonts w:ascii="Arial"/>
          <w:color w:val="231F20"/>
          <w:spacing w:val="-2"/>
          <w:sz w:val="12"/>
        </w:rPr>
        <w:t>COVID-19</w:t>
      </w:r>
      <w:r>
        <w:rPr>
          <w:rFonts w:ascii="Arial"/>
          <w:color w:val="231F20"/>
          <w:spacing w:val="-5"/>
          <w:sz w:val="12"/>
        </w:rPr>
        <w:t> </w:t>
      </w:r>
      <w:r>
        <w:rPr>
          <w:rFonts w:ascii="Arial"/>
          <w:color w:val="231F20"/>
          <w:spacing w:val="-2"/>
          <w:sz w:val="12"/>
        </w:rPr>
        <w:t>VUCA</w:t>
      </w:r>
      <w:r>
        <w:rPr>
          <w:rFonts w:ascii="Arial"/>
          <w:color w:val="231F20"/>
          <w:spacing w:val="-5"/>
          <w:sz w:val="12"/>
        </w:rPr>
        <w:t> </w:t>
      </w:r>
      <w:r>
        <w:rPr>
          <w:rFonts w:ascii="Arial"/>
          <w:color w:val="231F20"/>
          <w:spacing w:val="-2"/>
          <w:sz w:val="12"/>
        </w:rPr>
        <w:t>World,</w:t>
      </w:r>
    </w:p>
    <w:p>
      <w:pPr>
        <w:spacing w:before="32"/>
        <w:ind w:left="829" w:right="0" w:firstLine="0"/>
        <w:jc w:val="both"/>
        <w:rPr>
          <w:rFonts w:ascii="Arial"/>
          <w:sz w:val="12"/>
        </w:rPr>
      </w:pPr>
      <w:r>
        <w:rPr>
          <w:rFonts w:ascii="Arial"/>
          <w:i/>
          <w:color w:val="231F20"/>
          <w:spacing w:val="-2"/>
          <w:w w:val="95"/>
          <w:sz w:val="12"/>
        </w:rPr>
        <w:t>European</w:t>
      </w:r>
      <w:r>
        <w:rPr>
          <w:rFonts w:ascii="Arial"/>
          <w:i/>
          <w:color w:val="231F20"/>
          <w:spacing w:val="5"/>
          <w:sz w:val="12"/>
        </w:rPr>
        <w:t> </w:t>
      </w:r>
      <w:r>
        <w:rPr>
          <w:rFonts w:ascii="Arial"/>
          <w:i/>
          <w:color w:val="231F20"/>
          <w:spacing w:val="-2"/>
          <w:w w:val="95"/>
          <w:sz w:val="12"/>
        </w:rPr>
        <w:t>Business</w:t>
      </w:r>
      <w:r>
        <w:rPr>
          <w:rFonts w:ascii="Arial"/>
          <w:i/>
          <w:color w:val="231F20"/>
          <w:spacing w:val="6"/>
          <w:sz w:val="12"/>
        </w:rPr>
        <w:t> </w:t>
      </w:r>
      <w:r>
        <w:rPr>
          <w:rFonts w:ascii="Arial"/>
          <w:i/>
          <w:color w:val="231F20"/>
          <w:spacing w:val="-2"/>
          <w:w w:val="95"/>
          <w:sz w:val="12"/>
        </w:rPr>
        <w:t>Review</w:t>
      </w:r>
      <w:r>
        <w:rPr>
          <w:rFonts w:ascii="Arial"/>
          <w:color w:val="231F20"/>
          <w:spacing w:val="-2"/>
          <w:w w:val="95"/>
          <w:sz w:val="12"/>
        </w:rPr>
        <w:t>,</w:t>
      </w:r>
      <w:r>
        <w:rPr>
          <w:rFonts w:ascii="Arial"/>
          <w:color w:val="231F20"/>
          <w:spacing w:val="5"/>
          <w:sz w:val="12"/>
        </w:rPr>
        <w:t> </w:t>
      </w:r>
      <w:r>
        <w:rPr>
          <w:rFonts w:ascii="Arial"/>
          <w:color w:val="231F20"/>
          <w:spacing w:val="-2"/>
          <w:w w:val="95"/>
          <w:sz w:val="12"/>
        </w:rPr>
        <w:t>janvier.</w:t>
      </w:r>
    </w:p>
    <w:p>
      <w:pPr>
        <w:spacing w:after="0"/>
        <w:jc w:val="both"/>
        <w:rPr>
          <w:rFonts w:ascii="Arial"/>
          <w:sz w:val="12"/>
        </w:rPr>
        <w:sectPr>
          <w:footerReference w:type="default" r:id="rId344"/>
          <w:pgSz w:w="8640" w:h="12960"/>
          <w:pgMar w:footer="424" w:header="0" w:top="520" w:bottom="620" w:left="420" w:right="1140"/>
        </w:sectPr>
      </w:pPr>
    </w:p>
    <w:p>
      <w:pPr>
        <w:spacing w:before="118"/>
        <w:ind w:left="1808" w:right="698" w:firstLine="0"/>
        <w:jc w:val="center"/>
        <w:rPr>
          <w:rFonts w:ascii="Arial"/>
          <w:sz w:val="14"/>
        </w:rPr>
      </w:pPr>
      <w:r>
        <w:rPr>
          <w:rFonts w:ascii="Arial"/>
          <w:color w:val="231F20"/>
          <w:spacing w:val="-2"/>
          <w:sz w:val="14"/>
        </w:rPr>
        <w:t>Conclusion</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1"/>
          <w:numId w:val="101"/>
        </w:numPr>
        <w:tabs>
          <w:tab w:pos="1721" w:val="left" w:leader="none"/>
        </w:tabs>
        <w:spacing w:line="307" w:lineRule="auto" w:before="122" w:after="0"/>
        <w:ind w:left="1720" w:right="98" w:hanging="251"/>
        <w:jc w:val="both"/>
        <w:rPr>
          <w:sz w:val="17"/>
        </w:rPr>
      </w:pPr>
      <w:r>
        <w:rPr>
          <w:color w:val="231F20"/>
          <w:w w:val="125"/>
          <w:sz w:val="17"/>
        </w:rPr>
        <w:t>Les</w:t>
      </w:r>
      <w:r>
        <w:rPr>
          <w:color w:val="231F20"/>
          <w:w w:val="125"/>
          <w:sz w:val="17"/>
        </w:rPr>
        <w:t> personnes</w:t>
      </w:r>
      <w:r>
        <w:rPr>
          <w:color w:val="231F20"/>
          <w:w w:val="125"/>
          <w:sz w:val="17"/>
        </w:rPr>
        <w:t> résilientes</w:t>
      </w:r>
      <w:r>
        <w:rPr>
          <w:color w:val="231F20"/>
          <w:w w:val="125"/>
          <w:sz w:val="17"/>
        </w:rPr>
        <w:t> poursuivent des</w:t>
      </w:r>
      <w:r>
        <w:rPr>
          <w:color w:val="231F20"/>
          <w:w w:val="125"/>
          <w:sz w:val="17"/>
        </w:rPr>
        <w:t> objectifs précis</w:t>
      </w:r>
      <w:r>
        <w:rPr>
          <w:color w:val="231F20"/>
          <w:w w:val="125"/>
          <w:sz w:val="17"/>
        </w:rPr>
        <w:t> et mettent tout en œuvre pour les atteindre;</w:t>
      </w:r>
    </w:p>
    <w:p>
      <w:pPr>
        <w:pStyle w:val="ListParagraph"/>
        <w:numPr>
          <w:ilvl w:val="1"/>
          <w:numId w:val="101"/>
        </w:numPr>
        <w:tabs>
          <w:tab w:pos="1721" w:val="left" w:leader="none"/>
        </w:tabs>
        <w:spacing w:line="307" w:lineRule="auto" w:before="0" w:after="0"/>
        <w:ind w:left="1720" w:right="104" w:hanging="251"/>
        <w:jc w:val="both"/>
        <w:rPr>
          <w:sz w:val="17"/>
        </w:rPr>
      </w:pPr>
      <w:r>
        <w:rPr>
          <w:color w:val="231F20"/>
          <w:w w:val="120"/>
          <w:sz w:val="17"/>
        </w:rPr>
        <w:t>Les personnes résilientes sont empathiques et bienveillantes. Cependant,</w:t>
      </w:r>
      <w:r>
        <w:rPr>
          <w:color w:val="231F20"/>
          <w:spacing w:val="-3"/>
          <w:w w:val="120"/>
          <w:sz w:val="17"/>
        </w:rPr>
        <w:t> </w:t>
      </w:r>
      <w:r>
        <w:rPr>
          <w:color w:val="231F20"/>
          <w:w w:val="120"/>
          <w:sz w:val="17"/>
        </w:rPr>
        <w:t>elles</w:t>
      </w:r>
      <w:r>
        <w:rPr>
          <w:color w:val="231F20"/>
          <w:spacing w:val="-3"/>
          <w:w w:val="120"/>
          <w:sz w:val="17"/>
        </w:rPr>
        <w:t> </w:t>
      </w:r>
      <w:r>
        <w:rPr>
          <w:color w:val="231F20"/>
          <w:w w:val="120"/>
          <w:sz w:val="17"/>
        </w:rPr>
        <w:t>ne</w:t>
      </w:r>
      <w:r>
        <w:rPr>
          <w:color w:val="231F20"/>
          <w:spacing w:val="-3"/>
          <w:w w:val="120"/>
          <w:sz w:val="17"/>
        </w:rPr>
        <w:t> </w:t>
      </w:r>
      <w:r>
        <w:rPr>
          <w:color w:val="231F20"/>
          <w:w w:val="120"/>
          <w:sz w:val="17"/>
        </w:rPr>
        <w:t>perdent</w:t>
      </w:r>
      <w:r>
        <w:rPr>
          <w:color w:val="231F20"/>
          <w:spacing w:val="-3"/>
          <w:w w:val="120"/>
          <w:sz w:val="17"/>
        </w:rPr>
        <w:t> </w:t>
      </w:r>
      <w:r>
        <w:rPr>
          <w:color w:val="231F20"/>
          <w:w w:val="120"/>
          <w:sz w:val="17"/>
        </w:rPr>
        <w:t>pas</w:t>
      </w:r>
      <w:r>
        <w:rPr>
          <w:color w:val="231F20"/>
          <w:spacing w:val="-3"/>
          <w:w w:val="120"/>
          <w:sz w:val="17"/>
        </w:rPr>
        <w:t> </w:t>
      </w:r>
      <w:r>
        <w:rPr>
          <w:color w:val="231F20"/>
          <w:w w:val="120"/>
          <w:sz w:val="17"/>
        </w:rPr>
        <w:t>de</w:t>
      </w:r>
      <w:r>
        <w:rPr>
          <w:color w:val="231F20"/>
          <w:spacing w:val="-3"/>
          <w:w w:val="120"/>
          <w:sz w:val="17"/>
        </w:rPr>
        <w:t> </w:t>
      </w:r>
      <w:r>
        <w:rPr>
          <w:color w:val="231F20"/>
          <w:w w:val="120"/>
          <w:sz w:val="17"/>
        </w:rPr>
        <w:t>temps</w:t>
      </w:r>
      <w:r>
        <w:rPr>
          <w:color w:val="231F20"/>
          <w:spacing w:val="-3"/>
          <w:w w:val="120"/>
          <w:sz w:val="17"/>
        </w:rPr>
        <w:t> </w:t>
      </w:r>
      <w:r>
        <w:rPr>
          <w:color w:val="231F20"/>
          <w:w w:val="120"/>
          <w:sz w:val="17"/>
        </w:rPr>
        <w:t>à</w:t>
      </w:r>
      <w:r>
        <w:rPr>
          <w:color w:val="231F20"/>
          <w:spacing w:val="-3"/>
          <w:w w:val="120"/>
          <w:sz w:val="17"/>
        </w:rPr>
        <w:t> </w:t>
      </w:r>
      <w:r>
        <w:rPr>
          <w:color w:val="231F20"/>
          <w:w w:val="120"/>
          <w:sz w:val="17"/>
        </w:rPr>
        <w:t>s’inquiéter</w:t>
      </w:r>
      <w:r>
        <w:rPr>
          <w:color w:val="231F20"/>
          <w:spacing w:val="-3"/>
          <w:w w:val="120"/>
          <w:sz w:val="17"/>
        </w:rPr>
        <w:t> </w:t>
      </w:r>
      <w:r>
        <w:rPr>
          <w:color w:val="231F20"/>
          <w:w w:val="120"/>
          <w:sz w:val="17"/>
        </w:rPr>
        <w:t>de</w:t>
      </w:r>
      <w:r>
        <w:rPr>
          <w:color w:val="231F20"/>
          <w:spacing w:val="-3"/>
          <w:w w:val="120"/>
          <w:sz w:val="17"/>
        </w:rPr>
        <w:t> </w:t>
      </w:r>
      <w:r>
        <w:rPr>
          <w:color w:val="231F20"/>
          <w:w w:val="120"/>
          <w:sz w:val="17"/>
        </w:rPr>
        <w:t>ce</w:t>
      </w:r>
      <w:r>
        <w:rPr>
          <w:color w:val="231F20"/>
          <w:spacing w:val="-3"/>
          <w:w w:val="120"/>
          <w:sz w:val="17"/>
        </w:rPr>
        <w:t> </w:t>
      </w:r>
      <w:r>
        <w:rPr>
          <w:color w:val="231F20"/>
          <w:w w:val="120"/>
          <w:sz w:val="17"/>
        </w:rPr>
        <w:t>que les</w:t>
      </w:r>
      <w:r>
        <w:rPr>
          <w:color w:val="231F20"/>
          <w:spacing w:val="-15"/>
          <w:w w:val="120"/>
          <w:sz w:val="17"/>
        </w:rPr>
        <w:t> </w:t>
      </w:r>
      <w:r>
        <w:rPr>
          <w:color w:val="231F20"/>
          <w:w w:val="120"/>
          <w:sz w:val="17"/>
        </w:rPr>
        <w:t>autres</w:t>
      </w:r>
      <w:r>
        <w:rPr>
          <w:color w:val="231F20"/>
          <w:spacing w:val="-13"/>
          <w:w w:val="120"/>
          <w:sz w:val="17"/>
        </w:rPr>
        <w:t> </w:t>
      </w:r>
      <w:r>
        <w:rPr>
          <w:color w:val="231F20"/>
          <w:w w:val="120"/>
          <w:sz w:val="17"/>
        </w:rPr>
        <w:t>pensent</w:t>
      </w:r>
      <w:r>
        <w:rPr>
          <w:color w:val="231F20"/>
          <w:spacing w:val="-13"/>
          <w:w w:val="120"/>
          <w:sz w:val="17"/>
        </w:rPr>
        <w:t> </w:t>
      </w:r>
      <w:r>
        <w:rPr>
          <w:color w:val="231F20"/>
          <w:w w:val="120"/>
          <w:sz w:val="17"/>
        </w:rPr>
        <w:t>d’elles.</w:t>
      </w:r>
      <w:r>
        <w:rPr>
          <w:color w:val="231F20"/>
          <w:spacing w:val="-12"/>
          <w:w w:val="120"/>
          <w:sz w:val="17"/>
        </w:rPr>
        <w:t> </w:t>
      </w:r>
      <w:r>
        <w:rPr>
          <w:color w:val="231F20"/>
          <w:w w:val="120"/>
          <w:sz w:val="17"/>
        </w:rPr>
        <w:t>Elles</w:t>
      </w:r>
      <w:r>
        <w:rPr>
          <w:color w:val="231F20"/>
          <w:spacing w:val="-13"/>
          <w:w w:val="120"/>
          <w:sz w:val="17"/>
        </w:rPr>
        <w:t> </w:t>
      </w:r>
      <w:r>
        <w:rPr>
          <w:color w:val="231F20"/>
          <w:w w:val="120"/>
          <w:sz w:val="17"/>
        </w:rPr>
        <w:t>entretiennent</w:t>
      </w:r>
      <w:r>
        <w:rPr>
          <w:color w:val="231F20"/>
          <w:spacing w:val="-13"/>
          <w:w w:val="120"/>
          <w:sz w:val="17"/>
        </w:rPr>
        <w:t> </w:t>
      </w:r>
      <w:r>
        <w:rPr>
          <w:color w:val="231F20"/>
          <w:w w:val="120"/>
          <w:sz w:val="17"/>
        </w:rPr>
        <w:t>des</w:t>
      </w:r>
      <w:r>
        <w:rPr>
          <w:color w:val="231F20"/>
          <w:spacing w:val="-13"/>
          <w:w w:val="120"/>
          <w:sz w:val="17"/>
        </w:rPr>
        <w:t> </w:t>
      </w:r>
      <w:r>
        <w:rPr>
          <w:color w:val="231F20"/>
          <w:w w:val="120"/>
          <w:sz w:val="17"/>
        </w:rPr>
        <w:t>relations</w:t>
      </w:r>
      <w:r>
        <w:rPr>
          <w:color w:val="231F20"/>
          <w:spacing w:val="-12"/>
          <w:w w:val="120"/>
          <w:sz w:val="17"/>
        </w:rPr>
        <w:t> </w:t>
      </w:r>
      <w:r>
        <w:rPr>
          <w:color w:val="231F20"/>
          <w:w w:val="120"/>
          <w:sz w:val="17"/>
        </w:rPr>
        <w:t>saines, mais ne cèdent pas à la pression des pairs;</w:t>
      </w:r>
    </w:p>
    <w:p>
      <w:pPr>
        <w:pStyle w:val="ListParagraph"/>
        <w:numPr>
          <w:ilvl w:val="1"/>
          <w:numId w:val="101"/>
        </w:numPr>
        <w:tabs>
          <w:tab w:pos="1721" w:val="left" w:leader="none"/>
        </w:tabs>
        <w:spacing w:line="307" w:lineRule="auto" w:before="0" w:after="0"/>
        <w:ind w:left="1720" w:right="103" w:hanging="251"/>
        <w:jc w:val="both"/>
        <w:rPr>
          <w:sz w:val="17"/>
        </w:rPr>
      </w:pPr>
      <w:r>
        <w:rPr>
          <w:color w:val="231F20"/>
          <w:w w:val="120"/>
          <w:sz w:val="17"/>
        </w:rPr>
        <w:t>Les personnes résilientes ne se considèrent jamais comme des victimes. Elles consacrent leur temps et leur énergie à changer les</w:t>
      </w:r>
      <w:r>
        <w:rPr>
          <w:color w:val="231F20"/>
          <w:spacing w:val="-15"/>
          <w:w w:val="120"/>
          <w:sz w:val="17"/>
        </w:rPr>
        <w:t> </w:t>
      </w:r>
      <w:r>
        <w:rPr>
          <w:color w:val="231F20"/>
          <w:w w:val="120"/>
          <w:sz w:val="17"/>
        </w:rPr>
        <w:t>choses</w:t>
      </w:r>
      <w:r>
        <w:rPr>
          <w:color w:val="231F20"/>
          <w:spacing w:val="-13"/>
          <w:w w:val="120"/>
          <w:sz w:val="17"/>
        </w:rPr>
        <w:t> </w:t>
      </w:r>
      <w:r>
        <w:rPr>
          <w:color w:val="231F20"/>
          <w:w w:val="120"/>
          <w:sz w:val="17"/>
        </w:rPr>
        <w:t>qu’elles</w:t>
      </w:r>
      <w:r>
        <w:rPr>
          <w:color w:val="231F20"/>
          <w:spacing w:val="-13"/>
          <w:w w:val="120"/>
          <w:sz w:val="17"/>
        </w:rPr>
        <w:t> </w:t>
      </w:r>
      <w:r>
        <w:rPr>
          <w:color w:val="231F20"/>
          <w:w w:val="120"/>
          <w:sz w:val="17"/>
        </w:rPr>
        <w:t>contrôlent</w:t>
      </w:r>
      <w:r>
        <w:rPr>
          <w:color w:val="231F20"/>
          <w:spacing w:val="-12"/>
          <w:w w:val="120"/>
          <w:sz w:val="17"/>
        </w:rPr>
        <w:t> </w:t>
      </w:r>
      <w:r>
        <w:rPr>
          <w:color w:val="231F20"/>
          <w:w w:val="120"/>
          <w:sz w:val="17"/>
        </w:rPr>
        <w:t>et</w:t>
      </w:r>
      <w:r>
        <w:rPr>
          <w:color w:val="231F20"/>
          <w:spacing w:val="-13"/>
          <w:w w:val="120"/>
          <w:sz w:val="17"/>
        </w:rPr>
        <w:t> </w:t>
      </w:r>
      <w:r>
        <w:rPr>
          <w:color w:val="231F20"/>
          <w:w w:val="120"/>
          <w:sz w:val="17"/>
        </w:rPr>
        <w:t>pratiquent</w:t>
      </w:r>
      <w:r>
        <w:rPr>
          <w:color w:val="231F20"/>
          <w:spacing w:val="-13"/>
          <w:w w:val="120"/>
          <w:sz w:val="17"/>
        </w:rPr>
        <w:t> </w:t>
      </w:r>
      <w:r>
        <w:rPr>
          <w:color w:val="231F20"/>
          <w:w w:val="120"/>
          <w:sz w:val="17"/>
        </w:rPr>
        <w:t>le</w:t>
      </w:r>
      <w:r>
        <w:rPr>
          <w:color w:val="231F20"/>
          <w:spacing w:val="-13"/>
          <w:w w:val="120"/>
          <w:sz w:val="17"/>
        </w:rPr>
        <w:t> </w:t>
      </w:r>
      <w:r>
        <w:rPr>
          <w:color w:val="231F20"/>
          <w:w w:val="120"/>
          <w:sz w:val="17"/>
        </w:rPr>
        <w:t>lâcher­prise</w:t>
      </w:r>
      <w:r>
        <w:rPr>
          <w:color w:val="231F20"/>
          <w:spacing w:val="-12"/>
          <w:w w:val="120"/>
          <w:sz w:val="17"/>
        </w:rPr>
        <w:t> </w:t>
      </w:r>
      <w:r>
        <w:rPr>
          <w:color w:val="231F20"/>
          <w:w w:val="120"/>
          <w:sz w:val="17"/>
        </w:rPr>
        <w:t>lorsque des éléments sont hors de leur portée.</w:t>
      </w:r>
    </w:p>
    <w:p>
      <w:pPr>
        <w:pStyle w:val="BodyText"/>
        <w:spacing w:line="307" w:lineRule="auto" w:before="78"/>
        <w:ind w:left="1219" w:right="103"/>
        <w:jc w:val="both"/>
      </w:pPr>
      <w:r>
        <w:rPr>
          <w:color w:val="231F20"/>
          <w:w w:val="120"/>
        </w:rPr>
        <w:t>Il</w:t>
      </w:r>
      <w:r>
        <w:rPr>
          <w:color w:val="231F20"/>
          <w:spacing w:val="-12"/>
          <w:w w:val="120"/>
        </w:rPr>
        <w:t> </w:t>
      </w:r>
      <w:r>
        <w:rPr>
          <w:color w:val="231F20"/>
          <w:w w:val="120"/>
        </w:rPr>
        <w:t>est</w:t>
      </w:r>
      <w:r>
        <w:rPr>
          <w:color w:val="231F20"/>
          <w:spacing w:val="-12"/>
          <w:w w:val="120"/>
        </w:rPr>
        <w:t> </w:t>
      </w:r>
      <w:r>
        <w:rPr>
          <w:color w:val="231F20"/>
          <w:w w:val="120"/>
        </w:rPr>
        <w:t>donc</w:t>
      </w:r>
      <w:r>
        <w:rPr>
          <w:color w:val="231F20"/>
          <w:spacing w:val="-12"/>
          <w:w w:val="120"/>
        </w:rPr>
        <w:t> </w:t>
      </w:r>
      <w:r>
        <w:rPr>
          <w:color w:val="231F20"/>
          <w:w w:val="120"/>
        </w:rPr>
        <w:t>possible</w:t>
      </w:r>
      <w:r>
        <w:rPr>
          <w:color w:val="231F20"/>
          <w:spacing w:val="-12"/>
          <w:w w:val="120"/>
        </w:rPr>
        <w:t> </w:t>
      </w:r>
      <w:r>
        <w:rPr>
          <w:color w:val="231F20"/>
          <w:w w:val="120"/>
        </w:rPr>
        <w:t>de</w:t>
      </w:r>
      <w:r>
        <w:rPr>
          <w:color w:val="231F20"/>
          <w:spacing w:val="-12"/>
          <w:w w:val="120"/>
        </w:rPr>
        <w:t> </w:t>
      </w:r>
      <w:r>
        <w:rPr>
          <w:color w:val="231F20"/>
          <w:w w:val="120"/>
        </w:rPr>
        <w:t>nourrir</w:t>
      </w:r>
      <w:r>
        <w:rPr>
          <w:color w:val="231F20"/>
          <w:spacing w:val="-12"/>
          <w:w w:val="120"/>
        </w:rPr>
        <w:t> </w:t>
      </w:r>
      <w:r>
        <w:rPr>
          <w:color w:val="231F20"/>
          <w:w w:val="120"/>
        </w:rPr>
        <w:t>un</w:t>
      </w:r>
      <w:r>
        <w:rPr>
          <w:color w:val="231F20"/>
          <w:spacing w:val="-12"/>
          <w:w w:val="120"/>
        </w:rPr>
        <w:t> </w:t>
      </w:r>
      <w:r>
        <w:rPr>
          <w:color w:val="231F20"/>
          <w:w w:val="120"/>
        </w:rPr>
        <w:t>certain</w:t>
      </w:r>
      <w:r>
        <w:rPr>
          <w:color w:val="231F20"/>
          <w:spacing w:val="-12"/>
          <w:w w:val="120"/>
        </w:rPr>
        <w:t> </w:t>
      </w:r>
      <w:r>
        <w:rPr>
          <w:color w:val="231F20"/>
          <w:w w:val="120"/>
        </w:rPr>
        <w:t>optimisme</w:t>
      </w:r>
      <w:r>
        <w:rPr>
          <w:color w:val="231F20"/>
          <w:spacing w:val="-12"/>
          <w:w w:val="120"/>
        </w:rPr>
        <w:t> </w:t>
      </w:r>
      <w:r>
        <w:rPr>
          <w:color w:val="231F20"/>
          <w:w w:val="120"/>
        </w:rPr>
        <w:t>quant</w:t>
      </w:r>
      <w:r>
        <w:rPr>
          <w:color w:val="231F20"/>
          <w:spacing w:val="-12"/>
          <w:w w:val="120"/>
        </w:rPr>
        <w:t> </w:t>
      </w:r>
      <w:r>
        <w:rPr>
          <w:color w:val="231F20"/>
          <w:w w:val="120"/>
        </w:rPr>
        <w:t>à</w:t>
      </w:r>
      <w:r>
        <w:rPr>
          <w:color w:val="231F20"/>
          <w:spacing w:val="-12"/>
          <w:w w:val="120"/>
        </w:rPr>
        <w:t> </w:t>
      </w:r>
      <w:r>
        <w:rPr>
          <w:color w:val="231F20"/>
          <w:w w:val="120"/>
        </w:rPr>
        <w:t>l’avenir</w:t>
      </w:r>
      <w:r>
        <w:rPr>
          <w:color w:val="231F20"/>
          <w:spacing w:val="-12"/>
          <w:w w:val="120"/>
        </w:rPr>
        <w:t> </w:t>
      </w:r>
      <w:r>
        <w:rPr>
          <w:color w:val="231F20"/>
          <w:w w:val="120"/>
        </w:rPr>
        <w:t>des organisations.</w:t>
      </w:r>
      <w:r>
        <w:rPr>
          <w:color w:val="231F20"/>
          <w:spacing w:val="-4"/>
          <w:w w:val="120"/>
        </w:rPr>
        <w:t> </w:t>
      </w:r>
      <w:r>
        <w:rPr>
          <w:color w:val="231F20"/>
          <w:w w:val="120"/>
        </w:rPr>
        <w:t>Les</w:t>
      </w:r>
      <w:r>
        <w:rPr>
          <w:color w:val="231F20"/>
          <w:spacing w:val="-4"/>
          <w:w w:val="120"/>
        </w:rPr>
        <w:t> </w:t>
      </w:r>
      <w:r>
        <w:rPr>
          <w:color w:val="231F20"/>
          <w:w w:val="120"/>
        </w:rPr>
        <w:t>changements</w:t>
      </w:r>
      <w:r>
        <w:rPr>
          <w:color w:val="231F20"/>
          <w:spacing w:val="-4"/>
          <w:w w:val="120"/>
        </w:rPr>
        <w:t> </w:t>
      </w:r>
      <w:r>
        <w:rPr>
          <w:color w:val="231F20"/>
          <w:w w:val="120"/>
        </w:rPr>
        <w:t>seront</w:t>
      </w:r>
      <w:r>
        <w:rPr>
          <w:color w:val="231F20"/>
          <w:spacing w:val="-4"/>
          <w:w w:val="120"/>
        </w:rPr>
        <w:t> </w:t>
      </w:r>
      <w:r>
        <w:rPr>
          <w:color w:val="231F20"/>
          <w:w w:val="120"/>
        </w:rPr>
        <w:t>progressifs,</w:t>
      </w:r>
      <w:r>
        <w:rPr>
          <w:color w:val="231F20"/>
          <w:spacing w:val="-4"/>
          <w:w w:val="120"/>
        </w:rPr>
        <w:t> </w:t>
      </w:r>
      <w:r>
        <w:rPr>
          <w:color w:val="231F20"/>
          <w:w w:val="120"/>
        </w:rPr>
        <w:t>mais</w:t>
      </w:r>
      <w:r>
        <w:rPr>
          <w:color w:val="231F20"/>
          <w:spacing w:val="-4"/>
          <w:w w:val="120"/>
        </w:rPr>
        <w:t> </w:t>
      </w:r>
      <w:r>
        <w:rPr>
          <w:color w:val="231F20"/>
          <w:w w:val="120"/>
        </w:rPr>
        <w:t>il</w:t>
      </w:r>
      <w:r>
        <w:rPr>
          <w:color w:val="231F20"/>
          <w:spacing w:val="-4"/>
          <w:w w:val="120"/>
        </w:rPr>
        <w:t> </w:t>
      </w:r>
      <w:r>
        <w:rPr>
          <w:color w:val="231F20"/>
          <w:w w:val="120"/>
        </w:rPr>
        <w:t>est</w:t>
      </w:r>
      <w:r>
        <w:rPr>
          <w:color w:val="231F20"/>
          <w:spacing w:val="-4"/>
          <w:w w:val="120"/>
        </w:rPr>
        <w:t> </w:t>
      </w:r>
      <w:r>
        <w:rPr>
          <w:color w:val="231F20"/>
          <w:w w:val="120"/>
        </w:rPr>
        <w:t>possible </w:t>
      </w:r>
      <w:r>
        <w:rPr>
          <w:color w:val="231F20"/>
          <w:spacing w:val="-2"/>
          <w:w w:val="120"/>
        </w:rPr>
        <w:t>d’imaginer</w:t>
      </w:r>
      <w:r>
        <w:rPr>
          <w:color w:val="231F20"/>
          <w:spacing w:val="-11"/>
          <w:w w:val="120"/>
        </w:rPr>
        <w:t> </w:t>
      </w:r>
      <w:r>
        <w:rPr>
          <w:color w:val="231F20"/>
          <w:spacing w:val="-2"/>
          <w:w w:val="120"/>
        </w:rPr>
        <w:t>des</w:t>
      </w:r>
      <w:r>
        <w:rPr>
          <w:color w:val="231F20"/>
          <w:spacing w:val="-11"/>
          <w:w w:val="120"/>
        </w:rPr>
        <w:t> </w:t>
      </w:r>
      <w:r>
        <w:rPr>
          <w:color w:val="231F20"/>
          <w:spacing w:val="-2"/>
          <w:w w:val="120"/>
        </w:rPr>
        <w:t>organisations</w:t>
      </w:r>
      <w:r>
        <w:rPr>
          <w:color w:val="231F20"/>
          <w:spacing w:val="-11"/>
          <w:w w:val="120"/>
        </w:rPr>
        <w:t> </w:t>
      </w:r>
      <w:r>
        <w:rPr>
          <w:color w:val="231F20"/>
          <w:spacing w:val="-2"/>
          <w:w w:val="120"/>
        </w:rPr>
        <w:t>d’un</w:t>
      </w:r>
      <w:r>
        <w:rPr>
          <w:color w:val="231F20"/>
          <w:spacing w:val="-10"/>
          <w:w w:val="120"/>
        </w:rPr>
        <w:t> </w:t>
      </w:r>
      <w:r>
        <w:rPr>
          <w:color w:val="231F20"/>
          <w:spacing w:val="-2"/>
          <w:w w:val="120"/>
        </w:rPr>
        <w:t>type</w:t>
      </w:r>
      <w:r>
        <w:rPr>
          <w:color w:val="231F20"/>
          <w:spacing w:val="-11"/>
          <w:w w:val="120"/>
        </w:rPr>
        <w:t> </w:t>
      </w:r>
      <w:r>
        <w:rPr>
          <w:color w:val="231F20"/>
          <w:spacing w:val="-2"/>
          <w:w w:val="120"/>
        </w:rPr>
        <w:t>nouveau</w:t>
      </w:r>
      <w:r>
        <w:rPr>
          <w:color w:val="231F20"/>
          <w:spacing w:val="-11"/>
          <w:w w:val="120"/>
        </w:rPr>
        <w:t> </w:t>
      </w:r>
      <w:r>
        <w:rPr>
          <w:color w:val="231F20"/>
          <w:spacing w:val="-2"/>
          <w:w w:val="120"/>
        </w:rPr>
        <w:t>qui</w:t>
      </w:r>
      <w:r>
        <w:rPr>
          <w:color w:val="231F20"/>
          <w:spacing w:val="-11"/>
          <w:w w:val="120"/>
        </w:rPr>
        <w:t> </w:t>
      </w:r>
      <w:r>
        <w:rPr>
          <w:color w:val="231F20"/>
          <w:spacing w:val="-2"/>
          <w:w w:val="120"/>
        </w:rPr>
        <w:t>émergeront</w:t>
      </w:r>
      <w:r>
        <w:rPr>
          <w:color w:val="231F20"/>
          <w:spacing w:val="-10"/>
          <w:w w:val="120"/>
        </w:rPr>
        <w:t> </w:t>
      </w:r>
      <w:r>
        <w:rPr>
          <w:color w:val="231F20"/>
          <w:spacing w:val="-2"/>
          <w:w w:val="120"/>
        </w:rPr>
        <w:t>au</w:t>
      </w:r>
      <w:r>
        <w:rPr>
          <w:color w:val="231F20"/>
          <w:spacing w:val="-11"/>
          <w:w w:val="120"/>
        </w:rPr>
        <w:t> </w:t>
      </w:r>
      <w:r>
        <w:rPr>
          <w:color w:val="231F20"/>
          <w:spacing w:val="-2"/>
          <w:w w:val="120"/>
        </w:rPr>
        <w:t>cours des</w:t>
      </w:r>
      <w:r>
        <w:rPr>
          <w:color w:val="231F20"/>
          <w:spacing w:val="-11"/>
          <w:w w:val="120"/>
        </w:rPr>
        <w:t> </w:t>
      </w:r>
      <w:r>
        <w:rPr>
          <w:color w:val="231F20"/>
          <w:spacing w:val="-2"/>
          <w:w w:val="120"/>
        </w:rPr>
        <w:t>prochaines</w:t>
      </w:r>
      <w:r>
        <w:rPr>
          <w:color w:val="231F20"/>
          <w:spacing w:val="-11"/>
          <w:w w:val="120"/>
        </w:rPr>
        <w:t> </w:t>
      </w:r>
      <w:r>
        <w:rPr>
          <w:color w:val="231F20"/>
          <w:spacing w:val="-2"/>
          <w:w w:val="120"/>
        </w:rPr>
        <w:t>années,</w:t>
      </w:r>
      <w:r>
        <w:rPr>
          <w:color w:val="231F20"/>
          <w:spacing w:val="-10"/>
          <w:w w:val="120"/>
        </w:rPr>
        <w:t> </w:t>
      </w:r>
      <w:r>
        <w:rPr>
          <w:color w:val="231F20"/>
          <w:spacing w:val="-2"/>
          <w:w w:val="120"/>
        </w:rPr>
        <w:t>un</w:t>
      </w:r>
      <w:r>
        <w:rPr>
          <w:color w:val="231F20"/>
          <w:spacing w:val="-11"/>
          <w:w w:val="120"/>
        </w:rPr>
        <w:t> </w:t>
      </w:r>
      <w:r>
        <w:rPr>
          <w:color w:val="231F20"/>
          <w:spacing w:val="-2"/>
          <w:w w:val="120"/>
        </w:rPr>
        <w:t>type</w:t>
      </w:r>
      <w:r>
        <w:rPr>
          <w:color w:val="231F20"/>
          <w:spacing w:val="-11"/>
          <w:w w:val="120"/>
        </w:rPr>
        <w:t> </w:t>
      </w:r>
      <w:r>
        <w:rPr>
          <w:color w:val="231F20"/>
          <w:spacing w:val="-2"/>
          <w:w w:val="120"/>
        </w:rPr>
        <w:t>d’organisation</w:t>
      </w:r>
      <w:r>
        <w:rPr>
          <w:color w:val="231F20"/>
          <w:spacing w:val="-10"/>
          <w:w w:val="120"/>
        </w:rPr>
        <w:t> </w:t>
      </w:r>
      <w:r>
        <w:rPr>
          <w:color w:val="231F20"/>
          <w:spacing w:val="-2"/>
          <w:w w:val="120"/>
        </w:rPr>
        <w:t>fondé</w:t>
      </w:r>
      <w:r>
        <w:rPr>
          <w:color w:val="231F20"/>
          <w:spacing w:val="-11"/>
          <w:w w:val="120"/>
        </w:rPr>
        <w:t> </w:t>
      </w:r>
      <w:r>
        <w:rPr>
          <w:color w:val="231F20"/>
          <w:spacing w:val="-2"/>
          <w:w w:val="120"/>
        </w:rPr>
        <w:t>sur</w:t>
      </w:r>
      <w:r>
        <w:rPr>
          <w:color w:val="231F20"/>
          <w:spacing w:val="-11"/>
          <w:w w:val="120"/>
        </w:rPr>
        <w:t> </w:t>
      </w:r>
      <w:r>
        <w:rPr>
          <w:color w:val="231F20"/>
          <w:spacing w:val="-2"/>
          <w:w w:val="120"/>
        </w:rPr>
        <w:t>un</w:t>
      </w:r>
      <w:r>
        <w:rPr>
          <w:color w:val="231F20"/>
          <w:spacing w:val="-10"/>
          <w:w w:val="120"/>
        </w:rPr>
        <w:t> </w:t>
      </w:r>
      <w:r>
        <w:rPr>
          <w:color w:val="231F20"/>
          <w:spacing w:val="-2"/>
          <w:w w:val="120"/>
        </w:rPr>
        <w:t>nouveau</w:t>
      </w:r>
      <w:r>
        <w:rPr>
          <w:color w:val="231F20"/>
          <w:spacing w:val="-11"/>
          <w:w w:val="120"/>
        </w:rPr>
        <w:t> </w:t>
      </w:r>
      <w:r>
        <w:rPr>
          <w:color w:val="231F20"/>
          <w:spacing w:val="-2"/>
          <w:w w:val="120"/>
        </w:rPr>
        <w:t>par­ tenariat</w:t>
      </w:r>
      <w:r>
        <w:rPr>
          <w:color w:val="231F20"/>
          <w:spacing w:val="-11"/>
          <w:w w:val="120"/>
        </w:rPr>
        <w:t> </w:t>
      </w:r>
      <w:r>
        <w:rPr>
          <w:color w:val="231F20"/>
          <w:spacing w:val="-2"/>
          <w:w w:val="120"/>
        </w:rPr>
        <w:t>entre</w:t>
      </w:r>
      <w:r>
        <w:rPr>
          <w:color w:val="231F20"/>
          <w:spacing w:val="-11"/>
          <w:w w:val="120"/>
        </w:rPr>
        <w:t> </w:t>
      </w:r>
      <w:r>
        <w:rPr>
          <w:color w:val="231F20"/>
          <w:spacing w:val="-2"/>
          <w:w w:val="120"/>
        </w:rPr>
        <w:t>les</w:t>
      </w:r>
      <w:r>
        <w:rPr>
          <w:color w:val="231F20"/>
          <w:spacing w:val="-11"/>
          <w:w w:val="120"/>
        </w:rPr>
        <w:t> </w:t>
      </w:r>
      <w:r>
        <w:rPr>
          <w:color w:val="231F20"/>
          <w:spacing w:val="-2"/>
          <w:w w:val="120"/>
        </w:rPr>
        <w:t>travailleurs</w:t>
      </w:r>
      <w:r>
        <w:rPr>
          <w:color w:val="231F20"/>
          <w:spacing w:val="-10"/>
          <w:w w:val="120"/>
        </w:rPr>
        <w:t> </w:t>
      </w:r>
      <w:r>
        <w:rPr>
          <w:color w:val="231F20"/>
          <w:spacing w:val="-2"/>
          <w:w w:val="120"/>
        </w:rPr>
        <w:t>et</w:t>
      </w:r>
      <w:r>
        <w:rPr>
          <w:color w:val="231F20"/>
          <w:spacing w:val="-11"/>
          <w:w w:val="120"/>
        </w:rPr>
        <w:t> </w:t>
      </w:r>
      <w:r>
        <w:rPr>
          <w:color w:val="231F20"/>
          <w:spacing w:val="-2"/>
          <w:w w:val="120"/>
        </w:rPr>
        <w:t>les</w:t>
      </w:r>
      <w:r>
        <w:rPr>
          <w:color w:val="231F20"/>
          <w:spacing w:val="-11"/>
          <w:w w:val="120"/>
        </w:rPr>
        <w:t> </w:t>
      </w:r>
      <w:r>
        <w:rPr>
          <w:color w:val="231F20"/>
          <w:spacing w:val="-2"/>
          <w:w w:val="120"/>
        </w:rPr>
        <w:t>entreprises.</w:t>
      </w:r>
      <w:r>
        <w:rPr>
          <w:color w:val="231F20"/>
          <w:spacing w:val="-11"/>
          <w:w w:val="120"/>
        </w:rPr>
        <w:t> </w:t>
      </w:r>
      <w:r>
        <w:rPr>
          <w:color w:val="231F20"/>
          <w:spacing w:val="-2"/>
          <w:w w:val="120"/>
        </w:rPr>
        <w:t>Nous</w:t>
      </w:r>
      <w:r>
        <w:rPr>
          <w:color w:val="231F20"/>
          <w:spacing w:val="-10"/>
          <w:w w:val="120"/>
        </w:rPr>
        <w:t> </w:t>
      </w:r>
      <w:r>
        <w:rPr>
          <w:color w:val="231F20"/>
          <w:spacing w:val="-2"/>
          <w:w w:val="120"/>
        </w:rPr>
        <w:t>avons</w:t>
      </w:r>
      <w:r>
        <w:rPr>
          <w:color w:val="231F20"/>
          <w:spacing w:val="-11"/>
          <w:w w:val="120"/>
        </w:rPr>
        <w:t> </w:t>
      </w:r>
      <w:r>
        <w:rPr>
          <w:color w:val="231F20"/>
          <w:spacing w:val="-2"/>
          <w:w w:val="120"/>
        </w:rPr>
        <w:t>confiance</w:t>
      </w:r>
      <w:r>
        <w:rPr>
          <w:color w:val="231F20"/>
          <w:spacing w:val="-11"/>
          <w:w w:val="120"/>
        </w:rPr>
        <w:t> </w:t>
      </w:r>
      <w:r>
        <w:rPr>
          <w:color w:val="231F20"/>
          <w:spacing w:val="-2"/>
          <w:w w:val="120"/>
        </w:rPr>
        <w:t>que les</w:t>
      </w:r>
      <w:r>
        <w:rPr>
          <w:color w:val="231F20"/>
          <w:spacing w:val="-6"/>
          <w:w w:val="120"/>
        </w:rPr>
        <w:t> </w:t>
      </w:r>
      <w:r>
        <w:rPr>
          <w:color w:val="231F20"/>
          <w:spacing w:val="-2"/>
          <w:w w:val="120"/>
        </w:rPr>
        <w:t>organisations</w:t>
      </w:r>
      <w:r>
        <w:rPr>
          <w:color w:val="231F20"/>
          <w:spacing w:val="-6"/>
          <w:w w:val="120"/>
        </w:rPr>
        <w:t> </w:t>
      </w:r>
      <w:r>
        <w:rPr>
          <w:color w:val="231F20"/>
          <w:spacing w:val="-2"/>
          <w:w w:val="120"/>
        </w:rPr>
        <w:t>réaliseront</w:t>
      </w:r>
      <w:r>
        <w:rPr>
          <w:color w:val="231F20"/>
          <w:spacing w:val="-6"/>
          <w:w w:val="120"/>
        </w:rPr>
        <w:t> </w:t>
      </w:r>
      <w:r>
        <w:rPr>
          <w:color w:val="231F20"/>
          <w:spacing w:val="-2"/>
          <w:w w:val="120"/>
        </w:rPr>
        <w:t>tout</w:t>
      </w:r>
      <w:r>
        <w:rPr>
          <w:color w:val="231F20"/>
          <w:spacing w:val="-6"/>
          <w:w w:val="120"/>
        </w:rPr>
        <w:t> </w:t>
      </w:r>
      <w:r>
        <w:rPr>
          <w:color w:val="231F20"/>
          <w:spacing w:val="-2"/>
          <w:w w:val="120"/>
        </w:rPr>
        <w:t>le</w:t>
      </w:r>
      <w:r>
        <w:rPr>
          <w:color w:val="231F20"/>
          <w:spacing w:val="-6"/>
          <w:w w:val="120"/>
        </w:rPr>
        <w:t> </w:t>
      </w:r>
      <w:r>
        <w:rPr>
          <w:color w:val="231F20"/>
          <w:spacing w:val="-2"/>
          <w:w w:val="120"/>
        </w:rPr>
        <w:t>potentiel</w:t>
      </w:r>
      <w:r>
        <w:rPr>
          <w:color w:val="231F20"/>
          <w:spacing w:val="-6"/>
          <w:w w:val="120"/>
        </w:rPr>
        <w:t> </w:t>
      </w:r>
      <w:r>
        <w:rPr>
          <w:color w:val="231F20"/>
          <w:spacing w:val="-2"/>
          <w:w w:val="120"/>
        </w:rPr>
        <w:t>humain</w:t>
      </w:r>
      <w:r>
        <w:rPr>
          <w:color w:val="231F20"/>
          <w:spacing w:val="-6"/>
          <w:w w:val="120"/>
        </w:rPr>
        <w:t> </w:t>
      </w:r>
      <w:r>
        <w:rPr>
          <w:color w:val="231F20"/>
          <w:spacing w:val="-2"/>
          <w:w w:val="120"/>
        </w:rPr>
        <w:t>perdu</w:t>
      </w:r>
      <w:r>
        <w:rPr>
          <w:color w:val="231F20"/>
          <w:spacing w:val="-6"/>
          <w:w w:val="120"/>
        </w:rPr>
        <w:t> </w:t>
      </w:r>
      <w:r>
        <w:rPr>
          <w:color w:val="231F20"/>
          <w:spacing w:val="-2"/>
          <w:w w:val="120"/>
        </w:rPr>
        <w:t>en</w:t>
      </w:r>
      <w:r>
        <w:rPr>
          <w:color w:val="231F20"/>
          <w:spacing w:val="-6"/>
          <w:w w:val="120"/>
        </w:rPr>
        <w:t> </w:t>
      </w:r>
      <w:r>
        <w:rPr>
          <w:color w:val="231F20"/>
          <w:spacing w:val="-2"/>
          <w:w w:val="120"/>
        </w:rPr>
        <w:t>raison</w:t>
      </w:r>
      <w:r>
        <w:rPr>
          <w:color w:val="231F20"/>
          <w:spacing w:val="-6"/>
          <w:w w:val="120"/>
        </w:rPr>
        <w:t> </w:t>
      </w:r>
      <w:r>
        <w:rPr>
          <w:color w:val="231F20"/>
          <w:spacing w:val="-2"/>
          <w:w w:val="120"/>
        </w:rPr>
        <w:t>des </w:t>
      </w:r>
      <w:r>
        <w:rPr>
          <w:color w:val="231F20"/>
          <w:w w:val="120"/>
        </w:rPr>
        <w:t>conditions</w:t>
      </w:r>
      <w:r>
        <w:rPr>
          <w:color w:val="231F20"/>
          <w:spacing w:val="-7"/>
          <w:w w:val="120"/>
        </w:rPr>
        <w:t> </w:t>
      </w:r>
      <w:r>
        <w:rPr>
          <w:color w:val="231F20"/>
          <w:w w:val="120"/>
        </w:rPr>
        <w:t>actuelles</w:t>
      </w:r>
      <w:r>
        <w:rPr>
          <w:color w:val="231F20"/>
          <w:spacing w:val="-7"/>
          <w:w w:val="120"/>
        </w:rPr>
        <w:t> </w:t>
      </w:r>
      <w:r>
        <w:rPr>
          <w:color w:val="231F20"/>
          <w:w w:val="120"/>
        </w:rPr>
        <w:t>minant</w:t>
      </w:r>
      <w:r>
        <w:rPr>
          <w:color w:val="231F20"/>
          <w:spacing w:val="-7"/>
          <w:w w:val="120"/>
        </w:rPr>
        <w:t> </w:t>
      </w:r>
      <w:r>
        <w:rPr>
          <w:color w:val="231F20"/>
          <w:w w:val="120"/>
        </w:rPr>
        <w:t>la</w:t>
      </w:r>
      <w:r>
        <w:rPr>
          <w:color w:val="231F20"/>
          <w:spacing w:val="-7"/>
          <w:w w:val="120"/>
        </w:rPr>
        <w:t> </w:t>
      </w:r>
      <w:r>
        <w:rPr>
          <w:color w:val="231F20"/>
          <w:w w:val="120"/>
        </w:rPr>
        <w:t>santé</w:t>
      </w:r>
      <w:r>
        <w:rPr>
          <w:color w:val="231F20"/>
          <w:spacing w:val="-7"/>
          <w:w w:val="120"/>
        </w:rPr>
        <w:t> </w:t>
      </w:r>
      <w:r>
        <w:rPr>
          <w:color w:val="231F20"/>
          <w:w w:val="120"/>
        </w:rPr>
        <w:t>psychologique</w:t>
      </w:r>
      <w:r>
        <w:rPr>
          <w:color w:val="231F20"/>
          <w:spacing w:val="-7"/>
          <w:w w:val="120"/>
        </w:rPr>
        <w:t> </w:t>
      </w:r>
      <w:r>
        <w:rPr>
          <w:color w:val="231F20"/>
          <w:w w:val="120"/>
        </w:rPr>
        <w:t>des</w:t>
      </w:r>
      <w:r>
        <w:rPr>
          <w:color w:val="231F20"/>
          <w:spacing w:val="-7"/>
          <w:w w:val="120"/>
        </w:rPr>
        <w:t> </w:t>
      </w:r>
      <w:r>
        <w:rPr>
          <w:color w:val="231F20"/>
          <w:w w:val="120"/>
        </w:rPr>
        <w:t>travailleurs.</w:t>
      </w:r>
      <w:r>
        <w:rPr>
          <w:color w:val="231F20"/>
          <w:spacing w:val="-7"/>
          <w:w w:val="120"/>
        </w:rPr>
        <w:t> </w:t>
      </w:r>
      <w:r>
        <w:rPr>
          <w:color w:val="231F20"/>
          <w:w w:val="120"/>
        </w:rPr>
        <w:t>De plus</w:t>
      </w:r>
      <w:r>
        <w:rPr>
          <w:color w:val="231F20"/>
          <w:spacing w:val="-13"/>
          <w:w w:val="120"/>
        </w:rPr>
        <w:t> </w:t>
      </w:r>
      <w:r>
        <w:rPr>
          <w:color w:val="231F20"/>
          <w:w w:val="120"/>
        </w:rPr>
        <w:t>en</w:t>
      </w:r>
      <w:r>
        <w:rPr>
          <w:color w:val="231F20"/>
          <w:spacing w:val="-13"/>
          <w:w w:val="120"/>
        </w:rPr>
        <w:t> </w:t>
      </w:r>
      <w:r>
        <w:rPr>
          <w:color w:val="231F20"/>
          <w:w w:val="120"/>
        </w:rPr>
        <w:t>plus</w:t>
      </w:r>
      <w:r>
        <w:rPr>
          <w:color w:val="231F20"/>
          <w:spacing w:val="-12"/>
          <w:w w:val="120"/>
        </w:rPr>
        <w:t> </w:t>
      </w:r>
      <w:r>
        <w:rPr>
          <w:color w:val="231F20"/>
          <w:w w:val="120"/>
        </w:rPr>
        <w:t>d’entreprises</w:t>
      </w:r>
      <w:r>
        <w:rPr>
          <w:color w:val="231F20"/>
          <w:spacing w:val="-13"/>
          <w:w w:val="120"/>
        </w:rPr>
        <w:t> </w:t>
      </w:r>
      <w:r>
        <w:rPr>
          <w:color w:val="231F20"/>
          <w:w w:val="120"/>
        </w:rPr>
        <w:t>emprunteront</w:t>
      </w:r>
      <w:r>
        <w:rPr>
          <w:color w:val="231F20"/>
          <w:spacing w:val="-13"/>
          <w:w w:val="120"/>
        </w:rPr>
        <w:t> </w:t>
      </w:r>
      <w:r>
        <w:rPr>
          <w:color w:val="231F20"/>
          <w:w w:val="120"/>
        </w:rPr>
        <w:t>assurément</w:t>
      </w:r>
      <w:r>
        <w:rPr>
          <w:color w:val="231F20"/>
          <w:spacing w:val="-12"/>
          <w:w w:val="120"/>
        </w:rPr>
        <w:t> </w:t>
      </w:r>
      <w:r>
        <w:rPr>
          <w:color w:val="231F20"/>
          <w:w w:val="120"/>
        </w:rPr>
        <w:t>la</w:t>
      </w:r>
      <w:r>
        <w:rPr>
          <w:color w:val="231F20"/>
          <w:spacing w:val="-13"/>
          <w:w w:val="120"/>
        </w:rPr>
        <w:t> </w:t>
      </w:r>
      <w:r>
        <w:rPr>
          <w:color w:val="231F20"/>
          <w:w w:val="120"/>
        </w:rPr>
        <w:t>voie</w:t>
      </w:r>
      <w:r>
        <w:rPr>
          <w:color w:val="231F20"/>
          <w:spacing w:val="-13"/>
          <w:w w:val="120"/>
        </w:rPr>
        <w:t> </w:t>
      </w:r>
      <w:r>
        <w:rPr>
          <w:color w:val="231F20"/>
          <w:w w:val="120"/>
        </w:rPr>
        <w:t>du</w:t>
      </w:r>
      <w:r>
        <w:rPr>
          <w:color w:val="231F20"/>
          <w:spacing w:val="-12"/>
          <w:w w:val="120"/>
        </w:rPr>
        <w:t> </w:t>
      </w:r>
      <w:r>
        <w:rPr>
          <w:color w:val="231F20"/>
          <w:w w:val="120"/>
        </w:rPr>
        <w:t>bien­être comme gage de ressources humaines satisfaites et comme levier à un </w:t>
      </w:r>
      <w:r>
        <w:rPr>
          <w:color w:val="231F20"/>
          <w:spacing w:val="-2"/>
          <w:w w:val="120"/>
        </w:rPr>
        <w:t>accroissement</w:t>
      </w:r>
      <w:r>
        <w:rPr>
          <w:color w:val="231F20"/>
          <w:spacing w:val="-10"/>
          <w:w w:val="120"/>
        </w:rPr>
        <w:t> </w:t>
      </w:r>
      <w:r>
        <w:rPr>
          <w:color w:val="231F20"/>
          <w:spacing w:val="-2"/>
          <w:w w:val="120"/>
        </w:rPr>
        <w:t>de</w:t>
      </w:r>
      <w:r>
        <w:rPr>
          <w:color w:val="231F20"/>
          <w:spacing w:val="-11"/>
          <w:w w:val="120"/>
        </w:rPr>
        <w:t> </w:t>
      </w:r>
      <w:r>
        <w:rPr>
          <w:color w:val="231F20"/>
          <w:spacing w:val="-2"/>
          <w:w w:val="120"/>
        </w:rPr>
        <w:t>la</w:t>
      </w:r>
      <w:r>
        <w:rPr>
          <w:color w:val="231F20"/>
          <w:spacing w:val="-10"/>
          <w:w w:val="120"/>
        </w:rPr>
        <w:t> </w:t>
      </w:r>
      <w:r>
        <w:rPr>
          <w:color w:val="231F20"/>
          <w:spacing w:val="-2"/>
          <w:w w:val="120"/>
        </w:rPr>
        <w:t>productivité.</w:t>
      </w:r>
      <w:r>
        <w:rPr>
          <w:color w:val="231F20"/>
          <w:spacing w:val="-10"/>
          <w:w w:val="120"/>
        </w:rPr>
        <w:t> </w:t>
      </w:r>
      <w:r>
        <w:rPr>
          <w:color w:val="231F20"/>
          <w:spacing w:val="-2"/>
          <w:w w:val="120"/>
        </w:rPr>
        <w:t>Entre­temps,</w:t>
      </w:r>
      <w:r>
        <w:rPr>
          <w:color w:val="231F20"/>
          <w:spacing w:val="-11"/>
          <w:w w:val="120"/>
        </w:rPr>
        <w:t> </w:t>
      </w:r>
      <w:r>
        <w:rPr>
          <w:color w:val="231F20"/>
          <w:spacing w:val="-2"/>
          <w:w w:val="120"/>
        </w:rPr>
        <w:t>il</w:t>
      </w:r>
      <w:r>
        <w:rPr>
          <w:color w:val="231F20"/>
          <w:spacing w:val="-10"/>
          <w:w w:val="120"/>
        </w:rPr>
        <w:t> </w:t>
      </w:r>
      <w:r>
        <w:rPr>
          <w:color w:val="231F20"/>
          <w:spacing w:val="-2"/>
          <w:w w:val="120"/>
        </w:rPr>
        <w:t>faut</w:t>
      </w:r>
      <w:r>
        <w:rPr>
          <w:color w:val="231F20"/>
          <w:spacing w:val="-10"/>
          <w:w w:val="120"/>
        </w:rPr>
        <w:t> </w:t>
      </w:r>
      <w:r>
        <w:rPr>
          <w:color w:val="231F20"/>
          <w:spacing w:val="-2"/>
          <w:w w:val="120"/>
        </w:rPr>
        <w:t>compter</w:t>
      </w:r>
      <w:r>
        <w:rPr>
          <w:color w:val="231F20"/>
          <w:spacing w:val="-11"/>
          <w:w w:val="120"/>
        </w:rPr>
        <w:t> </w:t>
      </w:r>
      <w:r>
        <w:rPr>
          <w:color w:val="231F20"/>
          <w:spacing w:val="-2"/>
          <w:w w:val="120"/>
        </w:rPr>
        <w:t>sur</w:t>
      </w:r>
      <w:r>
        <w:rPr>
          <w:color w:val="231F20"/>
          <w:spacing w:val="-10"/>
          <w:w w:val="120"/>
        </w:rPr>
        <w:t> </w:t>
      </w:r>
      <w:r>
        <w:rPr>
          <w:color w:val="231F20"/>
          <w:spacing w:val="-2"/>
          <w:w w:val="120"/>
        </w:rPr>
        <w:t>la</w:t>
      </w:r>
      <w:r>
        <w:rPr>
          <w:color w:val="231F20"/>
          <w:spacing w:val="-10"/>
          <w:w w:val="120"/>
        </w:rPr>
        <w:t> </w:t>
      </w:r>
      <w:r>
        <w:rPr>
          <w:color w:val="231F20"/>
          <w:spacing w:val="-2"/>
          <w:w w:val="120"/>
        </w:rPr>
        <w:t>rési­ </w:t>
      </w:r>
      <w:r>
        <w:rPr>
          <w:color w:val="231F20"/>
          <w:w w:val="120"/>
        </w:rPr>
        <w:t>lience des travailleurs en attendant le moment où tout cela se réalisera </w:t>
      </w:r>
      <w:r>
        <w:rPr>
          <w:color w:val="231F20"/>
          <w:w w:val="115"/>
        </w:rPr>
        <w:t>concrètement. Bien que cela puisse être difficile, la capacité d’adaptation </w:t>
      </w:r>
      <w:r>
        <w:rPr>
          <w:color w:val="231F20"/>
          <w:w w:val="120"/>
        </w:rPr>
        <w:t>de l’humain demeure son meilleur atout contre l’adversité. D’ailleurs, </w:t>
      </w:r>
      <w:r>
        <w:rPr>
          <w:color w:val="231F20"/>
          <w:spacing w:val="-2"/>
          <w:w w:val="120"/>
        </w:rPr>
        <w:t>plusieurs</w:t>
      </w:r>
      <w:r>
        <w:rPr>
          <w:color w:val="231F20"/>
          <w:spacing w:val="-10"/>
          <w:w w:val="120"/>
        </w:rPr>
        <w:t> </w:t>
      </w:r>
      <w:r>
        <w:rPr>
          <w:color w:val="231F20"/>
          <w:spacing w:val="-2"/>
          <w:w w:val="120"/>
        </w:rPr>
        <w:t>chercheurs4</w:t>
      </w:r>
      <w:r>
        <w:rPr>
          <w:color w:val="231F20"/>
          <w:spacing w:val="-10"/>
          <w:w w:val="120"/>
        </w:rPr>
        <w:t> </w:t>
      </w:r>
      <w:r>
        <w:rPr>
          <w:color w:val="231F20"/>
          <w:spacing w:val="-2"/>
          <w:w w:val="120"/>
        </w:rPr>
        <w:t>conviennent</w:t>
      </w:r>
      <w:r>
        <w:rPr>
          <w:color w:val="231F20"/>
          <w:spacing w:val="-10"/>
          <w:w w:val="120"/>
        </w:rPr>
        <w:t> </w:t>
      </w:r>
      <w:r>
        <w:rPr>
          <w:color w:val="231F20"/>
          <w:spacing w:val="-2"/>
          <w:w w:val="120"/>
        </w:rPr>
        <w:t>que</w:t>
      </w:r>
      <w:r>
        <w:rPr>
          <w:color w:val="231F20"/>
          <w:spacing w:val="-10"/>
          <w:w w:val="120"/>
        </w:rPr>
        <w:t> </w:t>
      </w:r>
      <w:r>
        <w:rPr>
          <w:color w:val="231F20"/>
          <w:spacing w:val="-2"/>
          <w:w w:val="120"/>
        </w:rPr>
        <w:t>la</w:t>
      </w:r>
      <w:r>
        <w:rPr>
          <w:color w:val="231F20"/>
          <w:spacing w:val="-10"/>
          <w:w w:val="120"/>
        </w:rPr>
        <w:t> </w:t>
      </w:r>
      <w:r>
        <w:rPr>
          <w:color w:val="231F20"/>
          <w:spacing w:val="-2"/>
          <w:w w:val="120"/>
        </w:rPr>
        <w:t>résilience</w:t>
      </w:r>
      <w:r>
        <w:rPr>
          <w:color w:val="231F20"/>
          <w:spacing w:val="-10"/>
          <w:w w:val="120"/>
        </w:rPr>
        <w:t> </w:t>
      </w:r>
      <w:r>
        <w:rPr>
          <w:color w:val="231F20"/>
          <w:spacing w:val="-2"/>
          <w:w w:val="120"/>
        </w:rPr>
        <w:t>est</w:t>
      </w:r>
      <w:r>
        <w:rPr>
          <w:color w:val="231F20"/>
          <w:spacing w:val="-10"/>
          <w:w w:val="120"/>
        </w:rPr>
        <w:t> </w:t>
      </w:r>
      <w:r>
        <w:rPr>
          <w:color w:val="231F20"/>
          <w:spacing w:val="-2"/>
          <w:w w:val="120"/>
        </w:rPr>
        <w:t>peut­être</w:t>
      </w:r>
      <w:r>
        <w:rPr>
          <w:color w:val="231F20"/>
          <w:spacing w:val="-10"/>
          <w:w w:val="120"/>
        </w:rPr>
        <w:t> </w:t>
      </w:r>
      <w:r>
        <w:rPr>
          <w:color w:val="231F20"/>
          <w:spacing w:val="-2"/>
          <w:w w:val="120"/>
        </w:rPr>
        <w:t>la</w:t>
      </w:r>
      <w:r>
        <w:rPr>
          <w:color w:val="231F20"/>
          <w:spacing w:val="-10"/>
          <w:w w:val="120"/>
        </w:rPr>
        <w:t> </w:t>
      </w:r>
      <w:r>
        <w:rPr>
          <w:color w:val="231F20"/>
          <w:spacing w:val="-2"/>
          <w:w w:val="120"/>
        </w:rPr>
        <w:t>meil­ </w:t>
      </w:r>
      <w:r>
        <w:rPr>
          <w:color w:val="231F20"/>
          <w:w w:val="120"/>
        </w:rPr>
        <w:t>leure stratégie pour lutter contre le stress aujourd’hui en attendant que se</w:t>
      </w:r>
      <w:r>
        <w:rPr>
          <w:color w:val="231F20"/>
          <w:spacing w:val="-8"/>
          <w:w w:val="120"/>
        </w:rPr>
        <w:t> </w:t>
      </w:r>
      <w:r>
        <w:rPr>
          <w:color w:val="231F20"/>
          <w:w w:val="120"/>
        </w:rPr>
        <w:t>prépare</w:t>
      </w:r>
      <w:r>
        <w:rPr>
          <w:color w:val="231F20"/>
          <w:spacing w:val="-8"/>
          <w:w w:val="120"/>
        </w:rPr>
        <w:t> </w:t>
      </w:r>
      <w:r>
        <w:rPr>
          <w:color w:val="231F20"/>
          <w:w w:val="120"/>
        </w:rPr>
        <w:t>l’avenir.</w:t>
      </w:r>
      <w:r>
        <w:rPr>
          <w:color w:val="231F20"/>
          <w:spacing w:val="-8"/>
          <w:w w:val="120"/>
        </w:rPr>
        <w:t> </w:t>
      </w:r>
      <w:r>
        <w:rPr>
          <w:color w:val="231F20"/>
          <w:w w:val="120"/>
        </w:rPr>
        <w:t>Cependant,</w:t>
      </w:r>
      <w:r>
        <w:rPr>
          <w:color w:val="231F20"/>
          <w:spacing w:val="-8"/>
          <w:w w:val="120"/>
        </w:rPr>
        <w:t> </w:t>
      </w:r>
      <w:r>
        <w:rPr>
          <w:color w:val="231F20"/>
          <w:w w:val="120"/>
        </w:rPr>
        <w:t>la</w:t>
      </w:r>
      <w:r>
        <w:rPr>
          <w:color w:val="231F20"/>
          <w:spacing w:val="-8"/>
          <w:w w:val="120"/>
        </w:rPr>
        <w:t> </w:t>
      </w:r>
      <w:r>
        <w:rPr>
          <w:color w:val="231F20"/>
          <w:w w:val="120"/>
        </w:rPr>
        <w:t>résilience</w:t>
      </w:r>
      <w:r>
        <w:rPr>
          <w:color w:val="231F20"/>
          <w:spacing w:val="-8"/>
          <w:w w:val="120"/>
        </w:rPr>
        <w:t> </w:t>
      </w:r>
      <w:r>
        <w:rPr>
          <w:color w:val="231F20"/>
          <w:w w:val="120"/>
        </w:rPr>
        <w:t>n’est</w:t>
      </w:r>
      <w:r>
        <w:rPr>
          <w:color w:val="231F20"/>
          <w:spacing w:val="-8"/>
          <w:w w:val="120"/>
        </w:rPr>
        <w:t> </w:t>
      </w:r>
      <w:r>
        <w:rPr>
          <w:color w:val="231F20"/>
          <w:w w:val="120"/>
        </w:rPr>
        <w:t>pas</w:t>
      </w:r>
      <w:r>
        <w:rPr>
          <w:color w:val="231F20"/>
          <w:spacing w:val="-8"/>
          <w:w w:val="120"/>
        </w:rPr>
        <w:t> </w:t>
      </w:r>
      <w:r>
        <w:rPr>
          <w:color w:val="231F20"/>
          <w:w w:val="120"/>
        </w:rPr>
        <w:t>sans</w:t>
      </w:r>
      <w:r>
        <w:rPr>
          <w:color w:val="231F20"/>
          <w:spacing w:val="-8"/>
          <w:w w:val="120"/>
        </w:rPr>
        <w:t> </w:t>
      </w:r>
      <w:r>
        <w:rPr>
          <w:color w:val="231F20"/>
          <w:w w:val="120"/>
        </w:rPr>
        <w:t>limites,</w:t>
      </w:r>
      <w:r>
        <w:rPr>
          <w:color w:val="231F20"/>
          <w:spacing w:val="-8"/>
          <w:w w:val="120"/>
        </w:rPr>
        <w:t> </w:t>
      </w:r>
      <w:r>
        <w:rPr>
          <w:color w:val="231F20"/>
          <w:w w:val="120"/>
        </w:rPr>
        <w:t>et</w:t>
      </w:r>
      <w:r>
        <w:rPr>
          <w:color w:val="231F20"/>
          <w:spacing w:val="-8"/>
          <w:w w:val="120"/>
        </w:rPr>
        <w:t> </w:t>
      </w:r>
      <w:r>
        <w:rPr>
          <w:color w:val="231F20"/>
          <w:w w:val="120"/>
        </w:rPr>
        <w:t>la situation se détériorera si rien n’est fait prochainement.</w:t>
      </w:r>
    </w:p>
    <w:p>
      <w:pPr>
        <w:pStyle w:val="BodyText"/>
        <w:spacing w:line="307" w:lineRule="auto" w:before="78"/>
        <w:ind w:left="1219" w:right="102" w:firstLine="250"/>
        <w:jc w:val="both"/>
      </w:pPr>
      <w:r>
        <w:rPr>
          <w:color w:val="231F20"/>
          <w:spacing w:val="-2"/>
          <w:w w:val="120"/>
        </w:rPr>
        <w:t>Somme</w:t>
      </w:r>
      <w:r>
        <w:rPr>
          <w:color w:val="231F20"/>
          <w:spacing w:val="-7"/>
          <w:w w:val="120"/>
        </w:rPr>
        <w:t> </w:t>
      </w:r>
      <w:r>
        <w:rPr>
          <w:color w:val="231F20"/>
          <w:spacing w:val="-2"/>
          <w:w w:val="120"/>
        </w:rPr>
        <w:t>toute,</w:t>
      </w:r>
      <w:r>
        <w:rPr>
          <w:color w:val="231F20"/>
          <w:spacing w:val="-7"/>
          <w:w w:val="120"/>
        </w:rPr>
        <w:t> </w:t>
      </w:r>
      <w:r>
        <w:rPr>
          <w:color w:val="231F20"/>
          <w:spacing w:val="-2"/>
          <w:w w:val="120"/>
        </w:rPr>
        <w:t>nous</w:t>
      </w:r>
      <w:r>
        <w:rPr>
          <w:color w:val="231F20"/>
          <w:spacing w:val="-7"/>
          <w:w w:val="120"/>
        </w:rPr>
        <w:t> </w:t>
      </w:r>
      <w:r>
        <w:rPr>
          <w:color w:val="231F20"/>
          <w:spacing w:val="-2"/>
          <w:w w:val="120"/>
        </w:rPr>
        <w:t>espérons</w:t>
      </w:r>
      <w:r>
        <w:rPr>
          <w:color w:val="231F20"/>
          <w:spacing w:val="-7"/>
          <w:w w:val="120"/>
        </w:rPr>
        <w:t> </w:t>
      </w:r>
      <w:r>
        <w:rPr>
          <w:color w:val="231F20"/>
          <w:spacing w:val="-2"/>
          <w:w w:val="120"/>
        </w:rPr>
        <w:t>que</w:t>
      </w:r>
      <w:r>
        <w:rPr>
          <w:color w:val="231F20"/>
          <w:spacing w:val="-7"/>
          <w:w w:val="120"/>
        </w:rPr>
        <w:t> </w:t>
      </w:r>
      <w:r>
        <w:rPr>
          <w:color w:val="231F20"/>
          <w:spacing w:val="-2"/>
          <w:w w:val="120"/>
        </w:rPr>
        <w:t>ce</w:t>
      </w:r>
      <w:r>
        <w:rPr>
          <w:color w:val="231F20"/>
          <w:spacing w:val="-7"/>
          <w:w w:val="120"/>
        </w:rPr>
        <w:t> </w:t>
      </w:r>
      <w:r>
        <w:rPr>
          <w:color w:val="231F20"/>
          <w:spacing w:val="-2"/>
          <w:w w:val="120"/>
        </w:rPr>
        <w:t>livre</w:t>
      </w:r>
      <w:r>
        <w:rPr>
          <w:color w:val="231F20"/>
          <w:spacing w:val="-7"/>
          <w:w w:val="120"/>
        </w:rPr>
        <w:t> </w:t>
      </w:r>
      <w:r>
        <w:rPr>
          <w:color w:val="231F20"/>
          <w:spacing w:val="-2"/>
          <w:w w:val="120"/>
        </w:rPr>
        <w:t>sensibilisera</w:t>
      </w:r>
      <w:r>
        <w:rPr>
          <w:color w:val="231F20"/>
          <w:spacing w:val="-7"/>
          <w:w w:val="120"/>
        </w:rPr>
        <w:t> </w:t>
      </w:r>
      <w:r>
        <w:rPr>
          <w:color w:val="231F20"/>
          <w:spacing w:val="-2"/>
          <w:w w:val="120"/>
        </w:rPr>
        <w:t>les</w:t>
      </w:r>
      <w:r>
        <w:rPr>
          <w:color w:val="231F20"/>
          <w:spacing w:val="-7"/>
          <w:w w:val="120"/>
        </w:rPr>
        <w:t> </w:t>
      </w:r>
      <w:r>
        <w:rPr>
          <w:color w:val="231F20"/>
          <w:spacing w:val="-2"/>
          <w:w w:val="120"/>
        </w:rPr>
        <w:t>décideurs</w:t>
      </w:r>
      <w:r>
        <w:rPr>
          <w:color w:val="231F20"/>
          <w:spacing w:val="-7"/>
          <w:w w:val="120"/>
        </w:rPr>
        <w:t> </w:t>
      </w:r>
      <w:r>
        <w:rPr>
          <w:color w:val="231F20"/>
          <w:spacing w:val="-2"/>
          <w:w w:val="120"/>
        </w:rPr>
        <w:t>à l’importance</w:t>
      </w:r>
      <w:r>
        <w:rPr>
          <w:color w:val="231F20"/>
          <w:spacing w:val="-10"/>
          <w:w w:val="120"/>
        </w:rPr>
        <w:t> </w:t>
      </w:r>
      <w:r>
        <w:rPr>
          <w:color w:val="231F20"/>
          <w:spacing w:val="-2"/>
          <w:w w:val="120"/>
        </w:rPr>
        <w:t>de</w:t>
      </w:r>
      <w:r>
        <w:rPr>
          <w:color w:val="231F20"/>
          <w:spacing w:val="-10"/>
          <w:w w:val="120"/>
        </w:rPr>
        <w:t> </w:t>
      </w:r>
      <w:r>
        <w:rPr>
          <w:color w:val="231F20"/>
          <w:spacing w:val="-2"/>
          <w:w w:val="120"/>
        </w:rPr>
        <w:t>faire</w:t>
      </w:r>
      <w:r>
        <w:rPr>
          <w:color w:val="231F20"/>
          <w:spacing w:val="-10"/>
          <w:w w:val="120"/>
        </w:rPr>
        <w:t> </w:t>
      </w:r>
      <w:r>
        <w:rPr>
          <w:color w:val="231F20"/>
          <w:spacing w:val="-2"/>
          <w:w w:val="120"/>
        </w:rPr>
        <w:t>une</w:t>
      </w:r>
      <w:r>
        <w:rPr>
          <w:color w:val="231F20"/>
          <w:spacing w:val="-10"/>
          <w:w w:val="120"/>
        </w:rPr>
        <w:t> </w:t>
      </w:r>
      <w:r>
        <w:rPr>
          <w:color w:val="231F20"/>
          <w:spacing w:val="-2"/>
          <w:w w:val="120"/>
        </w:rPr>
        <w:t>réelle</w:t>
      </w:r>
      <w:r>
        <w:rPr>
          <w:color w:val="231F20"/>
          <w:spacing w:val="-10"/>
          <w:w w:val="120"/>
        </w:rPr>
        <w:t> </w:t>
      </w:r>
      <w:r>
        <w:rPr>
          <w:color w:val="231F20"/>
          <w:spacing w:val="-2"/>
          <w:w w:val="120"/>
        </w:rPr>
        <w:t>lutte</w:t>
      </w:r>
      <w:r>
        <w:rPr>
          <w:color w:val="231F20"/>
          <w:spacing w:val="-10"/>
          <w:w w:val="120"/>
        </w:rPr>
        <w:t> </w:t>
      </w:r>
      <w:r>
        <w:rPr>
          <w:color w:val="231F20"/>
          <w:spacing w:val="-2"/>
          <w:w w:val="120"/>
        </w:rPr>
        <w:t>au</w:t>
      </w:r>
      <w:r>
        <w:rPr>
          <w:color w:val="231F20"/>
          <w:spacing w:val="-10"/>
          <w:w w:val="120"/>
        </w:rPr>
        <w:t> </w:t>
      </w:r>
      <w:r>
        <w:rPr>
          <w:color w:val="231F20"/>
          <w:spacing w:val="-2"/>
          <w:w w:val="120"/>
        </w:rPr>
        <w:t>stress</w:t>
      </w:r>
      <w:r>
        <w:rPr>
          <w:color w:val="231F20"/>
          <w:spacing w:val="-10"/>
          <w:w w:val="120"/>
        </w:rPr>
        <w:t> </w:t>
      </w:r>
      <w:r>
        <w:rPr>
          <w:color w:val="231F20"/>
          <w:spacing w:val="-2"/>
          <w:w w:val="120"/>
        </w:rPr>
        <w:t>dans</w:t>
      </w:r>
      <w:r>
        <w:rPr>
          <w:color w:val="231F20"/>
          <w:spacing w:val="-10"/>
          <w:w w:val="120"/>
        </w:rPr>
        <w:t> </w:t>
      </w:r>
      <w:r>
        <w:rPr>
          <w:color w:val="231F20"/>
          <w:spacing w:val="-2"/>
          <w:w w:val="120"/>
        </w:rPr>
        <w:t>une</w:t>
      </w:r>
      <w:r>
        <w:rPr>
          <w:color w:val="231F20"/>
          <w:spacing w:val="-10"/>
          <w:w w:val="120"/>
        </w:rPr>
        <w:t> </w:t>
      </w:r>
      <w:r>
        <w:rPr>
          <w:color w:val="231F20"/>
          <w:spacing w:val="-2"/>
          <w:w w:val="120"/>
        </w:rPr>
        <w:t>perspective</w:t>
      </w:r>
      <w:r>
        <w:rPr>
          <w:color w:val="231F20"/>
          <w:spacing w:val="-10"/>
          <w:w w:val="120"/>
        </w:rPr>
        <w:t> </w:t>
      </w:r>
      <w:r>
        <w:rPr>
          <w:color w:val="231F20"/>
          <w:spacing w:val="-2"/>
          <w:w w:val="120"/>
        </w:rPr>
        <w:t>orga­ </w:t>
      </w:r>
      <w:r>
        <w:rPr>
          <w:color w:val="231F20"/>
          <w:w w:val="120"/>
        </w:rPr>
        <w:t>nisationnelle et sociétale. Comme nous l’avons fait dans le passé pour </w:t>
      </w:r>
      <w:r>
        <w:rPr>
          <w:color w:val="231F20"/>
          <w:w w:val="115"/>
        </w:rPr>
        <w:t>d’autres enjeux sociaux, il faut encadrer la gestion du stress afin d’éradi­ </w:t>
      </w:r>
      <w:r>
        <w:rPr>
          <w:color w:val="231F20"/>
          <w:w w:val="120"/>
        </w:rPr>
        <w:t>quer</w:t>
      </w:r>
      <w:r>
        <w:rPr>
          <w:color w:val="231F20"/>
          <w:spacing w:val="-5"/>
          <w:w w:val="120"/>
        </w:rPr>
        <w:t> </w:t>
      </w:r>
      <w:r>
        <w:rPr>
          <w:color w:val="231F20"/>
          <w:w w:val="120"/>
        </w:rPr>
        <w:t>les</w:t>
      </w:r>
      <w:r>
        <w:rPr>
          <w:color w:val="231F20"/>
          <w:spacing w:val="-5"/>
          <w:w w:val="120"/>
        </w:rPr>
        <w:t> </w:t>
      </w:r>
      <w:r>
        <w:rPr>
          <w:color w:val="231F20"/>
          <w:w w:val="120"/>
        </w:rPr>
        <w:t>importantes</w:t>
      </w:r>
      <w:r>
        <w:rPr>
          <w:color w:val="231F20"/>
          <w:spacing w:val="-5"/>
          <w:w w:val="120"/>
        </w:rPr>
        <w:t> </w:t>
      </w:r>
      <w:r>
        <w:rPr>
          <w:color w:val="231F20"/>
          <w:w w:val="120"/>
        </w:rPr>
        <w:t>conséquences</w:t>
      </w:r>
      <w:r>
        <w:rPr>
          <w:color w:val="231F20"/>
          <w:spacing w:val="-5"/>
          <w:w w:val="120"/>
        </w:rPr>
        <w:t> </w:t>
      </w:r>
      <w:r>
        <w:rPr>
          <w:color w:val="231F20"/>
          <w:w w:val="120"/>
        </w:rPr>
        <w:t>que</w:t>
      </w:r>
      <w:r>
        <w:rPr>
          <w:color w:val="231F20"/>
          <w:spacing w:val="-5"/>
          <w:w w:val="120"/>
        </w:rPr>
        <w:t> </w:t>
      </w:r>
      <w:r>
        <w:rPr>
          <w:color w:val="231F20"/>
          <w:w w:val="120"/>
        </w:rPr>
        <w:t>cela</w:t>
      </w:r>
      <w:r>
        <w:rPr>
          <w:color w:val="231F20"/>
          <w:spacing w:val="-5"/>
          <w:w w:val="120"/>
        </w:rPr>
        <w:t> </w:t>
      </w:r>
      <w:r>
        <w:rPr>
          <w:color w:val="231F20"/>
          <w:w w:val="120"/>
        </w:rPr>
        <w:t>occasionne,</w:t>
      </w:r>
      <w:r>
        <w:rPr>
          <w:color w:val="231F20"/>
          <w:spacing w:val="-5"/>
          <w:w w:val="120"/>
        </w:rPr>
        <w:t> </w:t>
      </w:r>
      <w:r>
        <w:rPr>
          <w:color w:val="231F20"/>
          <w:w w:val="120"/>
        </w:rPr>
        <w:t>et</w:t>
      </w:r>
      <w:r>
        <w:rPr>
          <w:color w:val="231F20"/>
          <w:spacing w:val="-5"/>
          <w:w w:val="120"/>
        </w:rPr>
        <w:t> </w:t>
      </w:r>
      <w:r>
        <w:rPr>
          <w:color w:val="231F20"/>
          <w:w w:val="120"/>
        </w:rPr>
        <w:t>cela</w:t>
      </w:r>
      <w:r>
        <w:rPr>
          <w:color w:val="231F20"/>
          <w:spacing w:val="-5"/>
          <w:w w:val="120"/>
        </w:rPr>
        <w:t> </w:t>
      </w:r>
      <w:r>
        <w:rPr>
          <w:color w:val="231F20"/>
          <w:w w:val="120"/>
        </w:rPr>
        <w:t>pour</w:t>
      </w:r>
      <w:r>
        <w:rPr>
          <w:color w:val="231F20"/>
          <w:spacing w:val="-5"/>
          <w:w w:val="120"/>
        </w:rPr>
        <w:t> </w:t>
      </w:r>
      <w:r>
        <w:rPr>
          <w:color w:val="231F20"/>
          <w:w w:val="120"/>
        </w:rPr>
        <w:t>le mieux­être des travailleurs, des organisations et de la société.</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w:pict>
          <v:shape style="position:absolute;margin-left:82pt;margin-top:8.797559pt;width:287.5pt;height:.1pt;mso-position-horizontal-relative:page;mso-position-vertical-relative:paragraph;z-index:-15614464;mso-wrap-distance-left:0;mso-wrap-distance-right:0" id="docshape1156" coordorigin="1640,176" coordsize="5750,0" path="m1640,176l7390,176e" filled="false" stroked="true" strokeweight=".25pt" strokecolor="#231f20">
            <v:path arrowok="t"/>
            <v:stroke dashstyle="shortdot"/>
            <w10:wrap type="topAndBottom"/>
          </v:shape>
        </w:pict>
      </w:r>
    </w:p>
    <w:p>
      <w:pPr>
        <w:pStyle w:val="ListParagraph"/>
        <w:numPr>
          <w:ilvl w:val="0"/>
          <w:numId w:val="101"/>
        </w:numPr>
        <w:tabs>
          <w:tab w:pos="1219" w:val="left" w:leader="none"/>
          <w:tab w:pos="1220" w:val="left" w:leader="none"/>
        </w:tabs>
        <w:spacing w:line="295" w:lineRule="auto" w:before="135" w:after="0"/>
        <w:ind w:left="1219" w:right="108" w:hanging="328"/>
        <w:jc w:val="left"/>
        <w:rPr>
          <w:rFonts w:ascii="Arial"/>
          <w:sz w:val="12"/>
        </w:rPr>
      </w:pPr>
      <w:r>
        <w:rPr>
          <w:rFonts w:ascii="Arial"/>
          <w:color w:val="231F20"/>
          <w:sz w:val="12"/>
        </w:rPr>
        <w:t>Kalisch, R. </w:t>
      </w:r>
      <w:r>
        <w:rPr>
          <w:rFonts w:ascii="Arial"/>
          <w:i/>
          <w:color w:val="231F20"/>
          <w:sz w:val="12"/>
        </w:rPr>
        <w:t>et al</w:t>
      </w:r>
      <w:r>
        <w:rPr>
          <w:rFonts w:ascii="Arial"/>
          <w:color w:val="231F20"/>
          <w:sz w:val="12"/>
        </w:rPr>
        <w:t>. (2017). The resilience framework as a strategy to combat stress-related disorders, </w:t>
      </w:r>
      <w:r>
        <w:rPr>
          <w:rFonts w:ascii="Arial"/>
          <w:i/>
          <w:color w:val="231F20"/>
          <w:sz w:val="12"/>
        </w:rPr>
        <w:t>Nature</w:t>
      </w:r>
      <w:r>
        <w:rPr>
          <w:rFonts w:ascii="Arial"/>
          <w:i/>
          <w:color w:val="231F20"/>
          <w:spacing w:val="40"/>
          <w:w w:val="105"/>
          <w:sz w:val="12"/>
        </w:rPr>
        <w:t> </w:t>
      </w:r>
      <w:r>
        <w:rPr>
          <w:rFonts w:ascii="Arial"/>
          <w:i/>
          <w:color w:val="231F20"/>
          <w:w w:val="105"/>
          <w:sz w:val="12"/>
        </w:rPr>
        <w:t>Human Behavior</w:t>
      </w:r>
      <w:r>
        <w:rPr>
          <w:rFonts w:ascii="Arial"/>
          <w:color w:val="231F20"/>
          <w:w w:val="105"/>
          <w:sz w:val="12"/>
        </w:rPr>
        <w:t>, </w:t>
      </w:r>
      <w:r>
        <w:rPr>
          <w:rFonts w:ascii="Arial"/>
          <w:i/>
          <w:color w:val="231F20"/>
          <w:w w:val="105"/>
          <w:sz w:val="12"/>
        </w:rPr>
        <w:t>1</w:t>
      </w:r>
      <w:r>
        <w:rPr>
          <w:rFonts w:ascii="Arial"/>
          <w:color w:val="231F20"/>
          <w:w w:val="105"/>
          <w:sz w:val="12"/>
        </w:rPr>
        <w:t>, 784-790.</w:t>
      </w:r>
    </w:p>
    <w:p>
      <w:pPr>
        <w:spacing w:after="0" w:line="295" w:lineRule="auto"/>
        <w:jc w:val="left"/>
        <w:rPr>
          <w:rFonts w:ascii="Arial"/>
          <w:sz w:val="12"/>
        </w:rPr>
        <w:sectPr>
          <w:footerReference w:type="default" r:id="rId345"/>
          <w:pgSz w:w="8640" w:h="12960"/>
          <w:pgMar w:footer="424" w:header="0" w:top="500" w:bottom="620" w:left="420" w:right="1140"/>
        </w:sectPr>
      </w:pPr>
    </w:p>
    <w:p>
      <w:pPr>
        <w:pStyle w:val="BodyText"/>
        <w:spacing w:before="4"/>
        <w:rPr>
          <w:rFonts w:ascii="Arial"/>
        </w:rPr>
      </w:pPr>
    </w:p>
    <w:p>
      <w:pPr>
        <w:spacing w:after="0"/>
        <w:rPr>
          <w:rFonts w:ascii="Arial"/>
        </w:rPr>
        <w:sectPr>
          <w:footerReference w:type="default" r:id="rId346"/>
          <w:pgSz w:w="8640" w:h="12960"/>
          <w:pgMar w:footer="0" w:header="0" w:top="1220" w:bottom="280" w:left="420" w:right="1140"/>
        </w:sectPr>
      </w:pPr>
    </w:p>
    <w:p>
      <w:pPr>
        <w:pStyle w:val="BodyText"/>
        <w:rPr>
          <w:rFonts w:ascii="Arial"/>
          <w:sz w:val="18"/>
        </w:rPr>
      </w:pPr>
    </w:p>
    <w:p>
      <w:pPr>
        <w:pStyle w:val="Heading3"/>
        <w:rPr>
          <w:i/>
        </w:rPr>
      </w:pPr>
      <w:bookmarkStart w:name="Annexe /" w:id="205"/>
      <w:bookmarkEnd w:id="205"/>
      <w:r>
        <w:rPr/>
      </w:r>
      <w:bookmarkStart w:name="Stress, estime de soi, valeurs et bien-ê" w:id="206"/>
      <w:bookmarkEnd w:id="206"/>
      <w:r>
        <w:rPr/>
      </w:r>
      <w:bookmarkStart w:name="_bookmark92" w:id="207"/>
      <w:bookmarkEnd w:id="207"/>
      <w:r>
        <w:rPr/>
      </w:r>
      <w:r>
        <w:rPr>
          <w:color w:val="231F20"/>
          <w:spacing w:val="11"/>
          <w:w w:val="105"/>
        </w:rPr>
        <w:t>Annexe</w:t>
      </w:r>
      <w:r>
        <w:rPr>
          <w:color w:val="231F20"/>
          <w:spacing w:val="4"/>
          <w:w w:val="105"/>
        </w:rPr>
        <w:t> </w:t>
      </w:r>
      <w:r>
        <w:rPr>
          <w:i/>
          <w:color w:val="231F20"/>
          <w:spacing w:val="-10"/>
          <w:w w:val="105"/>
        </w:rPr>
        <w:t>/</w:t>
      </w:r>
    </w:p>
    <w:p>
      <w:pPr>
        <w:pStyle w:val="BodyText"/>
        <w:rPr>
          <w:rFonts w:ascii="Arial"/>
          <w:i/>
          <w:sz w:val="26"/>
        </w:rPr>
      </w:pPr>
    </w:p>
    <w:p>
      <w:pPr>
        <w:pStyle w:val="BodyText"/>
        <w:spacing w:before="3"/>
        <w:rPr>
          <w:rFonts w:ascii="Arial"/>
          <w:i/>
          <w:sz w:val="31"/>
        </w:rPr>
      </w:pPr>
    </w:p>
    <w:p>
      <w:pPr>
        <w:pStyle w:val="Heading1"/>
        <w:spacing w:line="237" w:lineRule="auto"/>
        <w:ind w:left="1996" w:right="883"/>
        <w:jc w:val="center"/>
        <w:rPr>
          <w:b w:val="0"/>
        </w:rPr>
      </w:pPr>
      <w:r>
        <w:rPr>
          <w:color w:val="231F20"/>
          <w:w w:val="90"/>
        </w:rPr>
        <w:t>Stress, estime de soi, </w:t>
      </w:r>
      <w:r>
        <w:rPr>
          <w:color w:val="231F20"/>
          <w:w w:val="90"/>
        </w:rPr>
        <w:t>valeurs </w:t>
      </w:r>
      <w:r>
        <w:rPr>
          <w:color w:val="231F20"/>
        </w:rPr>
        <w:t>et</w:t>
      </w:r>
      <w:r>
        <w:rPr>
          <w:color w:val="231F20"/>
          <w:spacing w:val="-31"/>
        </w:rPr>
        <w:t> </w:t>
      </w:r>
      <w:r>
        <w:rPr>
          <w:color w:val="231F20"/>
        </w:rPr>
        <w:t>bien-être</w:t>
      </w:r>
      <w:r>
        <w:rPr>
          <w:color w:val="231F20"/>
          <w:spacing w:val="-32"/>
        </w:rPr>
        <w:t> </w:t>
      </w:r>
      <w:r>
        <w:rPr>
          <w:color w:val="231F20"/>
        </w:rPr>
        <w:t>psychologique </w:t>
      </w:r>
      <w:r>
        <w:rPr>
          <w:color w:val="231F20"/>
          <w:w w:val="95"/>
        </w:rPr>
        <w:t>en contexte de COVID-19</w:t>
      </w:r>
      <w:r>
        <w:rPr>
          <w:b w:val="0"/>
          <w:color w:val="231F20"/>
          <w:w w:val="95"/>
        </w:rPr>
        <w:t>1</w:t>
      </w:r>
    </w:p>
    <w:p>
      <w:pPr>
        <w:pStyle w:val="BodyText"/>
        <w:rPr>
          <w:rFonts w:ascii="Arial"/>
          <w:sz w:val="20"/>
        </w:rPr>
      </w:pPr>
    </w:p>
    <w:p>
      <w:pPr>
        <w:pStyle w:val="BodyText"/>
        <w:rPr>
          <w:rFonts w:ascii="Arial"/>
          <w:sz w:val="20"/>
        </w:rPr>
      </w:pPr>
    </w:p>
    <w:p>
      <w:pPr>
        <w:pStyle w:val="BodyText"/>
        <w:spacing w:before="4"/>
        <w:rPr>
          <w:rFonts w:ascii="Arial"/>
          <w:sz w:val="16"/>
        </w:rPr>
      </w:pPr>
      <w:r>
        <w:rPr/>
        <w:pict>
          <v:shape style="position:absolute;margin-left:82pt;margin-top:10.630579pt;width:87.5pt;height:.1pt;mso-position-horizontal-relative:page;mso-position-vertical-relative:paragraph;z-index:-15613952;mso-wrap-distance-left:0;mso-wrap-distance-right:0" id="docshape1157" coordorigin="1640,213" coordsize="1750,0" path="m1640,213l3390,213e" filled="false" stroked="true" strokeweight=".25pt" strokecolor="#231f20">
            <v:path arrowok="t"/>
            <v:stroke dashstyle="solid"/>
            <w10:wrap type="topAndBottom"/>
          </v:shape>
        </w:pict>
      </w:r>
    </w:p>
    <w:p>
      <w:pPr>
        <w:pStyle w:val="BodyText"/>
        <w:spacing w:before="1"/>
        <w:rPr>
          <w:rFonts w:ascii="Arial"/>
        </w:rPr>
      </w:pPr>
    </w:p>
    <w:p>
      <w:pPr>
        <w:pStyle w:val="BodyText"/>
        <w:spacing w:line="307" w:lineRule="auto" w:before="145"/>
        <w:ind w:left="1220" w:right="105"/>
        <w:jc w:val="both"/>
      </w:pPr>
      <w:r>
        <w:rPr>
          <w:color w:val="231F20"/>
          <w:w w:val="120"/>
        </w:rPr>
        <w:t>Au</w:t>
      </w:r>
      <w:r>
        <w:rPr>
          <w:color w:val="231F20"/>
          <w:spacing w:val="-2"/>
          <w:w w:val="120"/>
        </w:rPr>
        <w:t> </w:t>
      </w:r>
      <w:r>
        <w:rPr>
          <w:color w:val="231F20"/>
          <w:w w:val="120"/>
        </w:rPr>
        <w:t>cours</w:t>
      </w:r>
      <w:r>
        <w:rPr>
          <w:color w:val="231F20"/>
          <w:spacing w:val="-2"/>
          <w:w w:val="120"/>
        </w:rPr>
        <w:t> </w:t>
      </w:r>
      <w:r>
        <w:rPr>
          <w:color w:val="231F20"/>
          <w:w w:val="120"/>
        </w:rPr>
        <w:t>des</w:t>
      </w:r>
      <w:r>
        <w:rPr>
          <w:color w:val="231F20"/>
          <w:spacing w:val="-2"/>
          <w:w w:val="120"/>
        </w:rPr>
        <w:t> </w:t>
      </w:r>
      <w:r>
        <w:rPr>
          <w:color w:val="231F20"/>
          <w:w w:val="120"/>
        </w:rPr>
        <w:t>dernières</w:t>
      </w:r>
      <w:r>
        <w:rPr>
          <w:color w:val="231F20"/>
          <w:spacing w:val="-2"/>
          <w:w w:val="120"/>
        </w:rPr>
        <w:t> </w:t>
      </w:r>
      <w:r>
        <w:rPr>
          <w:color w:val="231F20"/>
          <w:w w:val="120"/>
        </w:rPr>
        <w:t>années,</w:t>
      </w:r>
      <w:r>
        <w:rPr>
          <w:color w:val="231F20"/>
          <w:spacing w:val="-2"/>
          <w:w w:val="120"/>
        </w:rPr>
        <w:t> </w:t>
      </w:r>
      <w:r>
        <w:rPr>
          <w:color w:val="231F20"/>
          <w:w w:val="120"/>
        </w:rPr>
        <w:t>nous</w:t>
      </w:r>
      <w:r>
        <w:rPr>
          <w:color w:val="231F20"/>
          <w:spacing w:val="-1"/>
          <w:w w:val="120"/>
        </w:rPr>
        <w:t> </w:t>
      </w:r>
      <w:r>
        <w:rPr>
          <w:color w:val="231F20"/>
          <w:w w:val="120"/>
        </w:rPr>
        <w:t>avons</w:t>
      </w:r>
      <w:r>
        <w:rPr>
          <w:color w:val="231F20"/>
          <w:spacing w:val="-2"/>
          <w:w w:val="120"/>
        </w:rPr>
        <w:t> </w:t>
      </w:r>
      <w:r>
        <w:rPr>
          <w:color w:val="231F20"/>
          <w:w w:val="120"/>
        </w:rPr>
        <w:t>publié</w:t>
      </w:r>
      <w:r>
        <w:rPr>
          <w:color w:val="231F20"/>
          <w:spacing w:val="-2"/>
          <w:w w:val="120"/>
        </w:rPr>
        <w:t> </w:t>
      </w:r>
      <w:r>
        <w:rPr>
          <w:color w:val="231F20"/>
          <w:w w:val="120"/>
        </w:rPr>
        <w:t>divers</w:t>
      </w:r>
      <w:r>
        <w:rPr>
          <w:color w:val="231F20"/>
          <w:spacing w:val="-2"/>
          <w:w w:val="120"/>
        </w:rPr>
        <w:t> </w:t>
      </w:r>
      <w:r>
        <w:rPr>
          <w:color w:val="231F20"/>
          <w:w w:val="120"/>
        </w:rPr>
        <w:t>livres</w:t>
      </w:r>
      <w:r>
        <w:rPr>
          <w:color w:val="231F20"/>
          <w:spacing w:val="-2"/>
          <w:w w:val="120"/>
        </w:rPr>
        <w:t> </w:t>
      </w:r>
      <w:r>
        <w:rPr>
          <w:color w:val="231F20"/>
          <w:w w:val="120"/>
        </w:rPr>
        <w:t>traitant </w:t>
      </w:r>
      <w:r>
        <w:rPr>
          <w:color w:val="231F20"/>
          <w:spacing w:val="-2"/>
          <w:w w:val="120"/>
        </w:rPr>
        <w:t>du</w:t>
      </w:r>
      <w:r>
        <w:rPr>
          <w:color w:val="231F20"/>
          <w:spacing w:val="-11"/>
          <w:w w:val="120"/>
        </w:rPr>
        <w:t> </w:t>
      </w:r>
      <w:r>
        <w:rPr>
          <w:color w:val="231F20"/>
          <w:spacing w:val="-2"/>
          <w:w w:val="120"/>
        </w:rPr>
        <w:t>stress,</w:t>
      </w:r>
      <w:r>
        <w:rPr>
          <w:color w:val="231F20"/>
          <w:spacing w:val="-11"/>
          <w:w w:val="120"/>
        </w:rPr>
        <w:t> </w:t>
      </w:r>
      <w:r>
        <w:rPr>
          <w:color w:val="231F20"/>
          <w:spacing w:val="-2"/>
          <w:w w:val="120"/>
        </w:rPr>
        <w:t>de</w:t>
      </w:r>
      <w:r>
        <w:rPr>
          <w:color w:val="231F20"/>
          <w:spacing w:val="-11"/>
          <w:w w:val="120"/>
        </w:rPr>
        <w:t> </w:t>
      </w:r>
      <w:r>
        <w:rPr>
          <w:color w:val="231F20"/>
          <w:spacing w:val="-2"/>
          <w:w w:val="120"/>
        </w:rPr>
        <w:t>l’estime</w:t>
      </w:r>
      <w:r>
        <w:rPr>
          <w:color w:val="231F20"/>
          <w:spacing w:val="-10"/>
          <w:w w:val="120"/>
        </w:rPr>
        <w:t> </w:t>
      </w:r>
      <w:r>
        <w:rPr>
          <w:color w:val="231F20"/>
          <w:spacing w:val="-2"/>
          <w:w w:val="120"/>
        </w:rPr>
        <w:t>de</w:t>
      </w:r>
      <w:r>
        <w:rPr>
          <w:color w:val="231F20"/>
          <w:spacing w:val="-10"/>
          <w:w w:val="120"/>
        </w:rPr>
        <w:t> </w:t>
      </w:r>
      <w:r>
        <w:rPr>
          <w:color w:val="231F20"/>
          <w:spacing w:val="-2"/>
          <w:w w:val="120"/>
        </w:rPr>
        <w:t>soi</w:t>
      </w:r>
      <w:r>
        <w:rPr>
          <w:color w:val="231F20"/>
          <w:spacing w:val="-6"/>
          <w:w w:val="120"/>
        </w:rPr>
        <w:t> </w:t>
      </w:r>
      <w:r>
        <w:rPr>
          <w:color w:val="231F20"/>
          <w:spacing w:val="-2"/>
          <w:w w:val="120"/>
        </w:rPr>
        <w:t>et</w:t>
      </w:r>
      <w:r>
        <w:rPr>
          <w:color w:val="231F20"/>
          <w:spacing w:val="-6"/>
          <w:w w:val="120"/>
        </w:rPr>
        <w:t> </w:t>
      </w:r>
      <w:r>
        <w:rPr>
          <w:color w:val="231F20"/>
          <w:spacing w:val="-2"/>
          <w:w w:val="120"/>
        </w:rPr>
        <w:t>de</w:t>
      </w:r>
      <w:r>
        <w:rPr>
          <w:color w:val="231F20"/>
          <w:spacing w:val="-6"/>
          <w:w w:val="120"/>
        </w:rPr>
        <w:t> </w:t>
      </w:r>
      <w:r>
        <w:rPr>
          <w:color w:val="231F20"/>
          <w:spacing w:val="-2"/>
          <w:w w:val="120"/>
        </w:rPr>
        <w:t>la</w:t>
      </w:r>
      <w:r>
        <w:rPr>
          <w:color w:val="231F20"/>
          <w:spacing w:val="-6"/>
          <w:w w:val="120"/>
        </w:rPr>
        <w:t> </w:t>
      </w:r>
      <w:r>
        <w:rPr>
          <w:color w:val="231F20"/>
          <w:spacing w:val="-2"/>
          <w:w w:val="120"/>
        </w:rPr>
        <w:t>santé</w:t>
      </w:r>
      <w:r>
        <w:rPr>
          <w:color w:val="231F20"/>
          <w:spacing w:val="-6"/>
          <w:w w:val="120"/>
        </w:rPr>
        <w:t> </w:t>
      </w:r>
      <w:r>
        <w:rPr>
          <w:color w:val="231F20"/>
          <w:spacing w:val="-2"/>
          <w:w w:val="120"/>
        </w:rPr>
        <w:t>au</w:t>
      </w:r>
      <w:r>
        <w:rPr>
          <w:color w:val="231F20"/>
          <w:spacing w:val="-6"/>
          <w:w w:val="120"/>
        </w:rPr>
        <w:t> </w:t>
      </w:r>
      <w:r>
        <w:rPr>
          <w:color w:val="231F20"/>
          <w:spacing w:val="-2"/>
          <w:w w:val="120"/>
        </w:rPr>
        <w:t>travail</w:t>
      </w:r>
      <w:r>
        <w:rPr>
          <w:color w:val="231F20"/>
          <w:spacing w:val="-6"/>
          <w:w w:val="120"/>
        </w:rPr>
        <w:t> </w:t>
      </w:r>
      <w:r>
        <w:rPr>
          <w:color w:val="231F20"/>
          <w:spacing w:val="-2"/>
          <w:w w:val="120"/>
        </w:rPr>
        <w:t>(Dolan,</w:t>
      </w:r>
      <w:r>
        <w:rPr>
          <w:color w:val="231F20"/>
          <w:spacing w:val="-6"/>
          <w:w w:val="120"/>
        </w:rPr>
        <w:t> </w:t>
      </w:r>
      <w:r>
        <w:rPr>
          <w:color w:val="231F20"/>
          <w:spacing w:val="-2"/>
          <w:w w:val="120"/>
        </w:rPr>
        <w:t>2007</w:t>
      </w:r>
      <w:r>
        <w:rPr>
          <w:color w:val="231F20"/>
          <w:spacing w:val="-11"/>
          <w:w w:val="120"/>
        </w:rPr>
        <w:t> </w:t>
      </w:r>
      <w:r>
        <w:rPr>
          <w:color w:val="231F20"/>
          <w:spacing w:val="-2"/>
          <w:w w:val="120"/>
        </w:rPr>
        <w:t>;</w:t>
      </w:r>
      <w:r>
        <w:rPr>
          <w:color w:val="231F20"/>
          <w:spacing w:val="-6"/>
          <w:w w:val="120"/>
        </w:rPr>
        <w:t> </w:t>
      </w:r>
      <w:r>
        <w:rPr>
          <w:color w:val="231F20"/>
          <w:spacing w:val="-2"/>
          <w:w w:val="120"/>
        </w:rPr>
        <w:t>Dolan </w:t>
      </w:r>
      <w:r>
        <w:rPr>
          <w:color w:val="231F20"/>
          <w:w w:val="115"/>
        </w:rPr>
        <w:t>et</w:t>
      </w:r>
      <w:r>
        <w:rPr>
          <w:color w:val="231F20"/>
          <w:spacing w:val="-13"/>
          <w:w w:val="115"/>
        </w:rPr>
        <w:t> </w:t>
      </w:r>
      <w:r>
        <w:rPr>
          <w:color w:val="231F20"/>
          <w:w w:val="115"/>
        </w:rPr>
        <w:t>Arsenault,</w:t>
      </w:r>
      <w:r>
        <w:rPr>
          <w:color w:val="231F20"/>
          <w:spacing w:val="-4"/>
          <w:w w:val="115"/>
        </w:rPr>
        <w:t> </w:t>
      </w:r>
      <w:r>
        <w:rPr>
          <w:color w:val="231F20"/>
          <w:w w:val="115"/>
        </w:rPr>
        <w:t>1980, 2008</w:t>
      </w:r>
      <w:r>
        <w:rPr>
          <w:color w:val="231F20"/>
          <w:spacing w:val="-13"/>
          <w:w w:val="115"/>
        </w:rPr>
        <w:t> </w:t>
      </w:r>
      <w:r>
        <w:rPr>
          <w:color w:val="231F20"/>
          <w:w w:val="115"/>
        </w:rPr>
        <w:t>; Dolan, García et Diez-Piñol, 2015). Ces livres, </w:t>
      </w:r>
      <w:r>
        <w:rPr>
          <w:color w:val="231F20"/>
          <w:spacing w:val="-2"/>
          <w:w w:val="120"/>
        </w:rPr>
        <w:t>écrits</w:t>
      </w:r>
      <w:r>
        <w:rPr>
          <w:color w:val="231F20"/>
          <w:spacing w:val="-5"/>
          <w:w w:val="120"/>
        </w:rPr>
        <w:t> </w:t>
      </w:r>
      <w:r>
        <w:rPr>
          <w:color w:val="231F20"/>
          <w:spacing w:val="-2"/>
          <w:w w:val="120"/>
        </w:rPr>
        <w:t>dans</w:t>
      </w:r>
      <w:r>
        <w:rPr>
          <w:color w:val="231F20"/>
          <w:spacing w:val="-5"/>
          <w:w w:val="120"/>
        </w:rPr>
        <w:t> </w:t>
      </w:r>
      <w:r>
        <w:rPr>
          <w:color w:val="231F20"/>
          <w:spacing w:val="-2"/>
          <w:w w:val="120"/>
        </w:rPr>
        <w:t>différentes</w:t>
      </w:r>
      <w:r>
        <w:rPr>
          <w:color w:val="231F20"/>
          <w:spacing w:val="-5"/>
          <w:w w:val="120"/>
        </w:rPr>
        <w:t> </w:t>
      </w:r>
      <w:r>
        <w:rPr>
          <w:color w:val="231F20"/>
          <w:spacing w:val="-2"/>
          <w:w w:val="120"/>
        </w:rPr>
        <w:t>langues,</w:t>
      </w:r>
      <w:r>
        <w:rPr>
          <w:color w:val="231F20"/>
          <w:spacing w:val="-5"/>
          <w:w w:val="120"/>
        </w:rPr>
        <w:t> </w:t>
      </w:r>
      <w:r>
        <w:rPr>
          <w:color w:val="231F20"/>
          <w:spacing w:val="-2"/>
          <w:w w:val="120"/>
        </w:rPr>
        <w:t>s’adressaient</w:t>
      </w:r>
      <w:r>
        <w:rPr>
          <w:color w:val="231F20"/>
          <w:spacing w:val="-5"/>
          <w:w w:val="120"/>
        </w:rPr>
        <w:t> </w:t>
      </w:r>
      <w:r>
        <w:rPr>
          <w:color w:val="231F20"/>
          <w:spacing w:val="-2"/>
          <w:w w:val="120"/>
        </w:rPr>
        <w:t>prioritairement</w:t>
      </w:r>
      <w:r>
        <w:rPr>
          <w:color w:val="231F20"/>
          <w:spacing w:val="-5"/>
          <w:w w:val="120"/>
        </w:rPr>
        <w:t> </w:t>
      </w:r>
      <w:r>
        <w:rPr>
          <w:color w:val="231F20"/>
          <w:spacing w:val="-2"/>
          <w:w w:val="120"/>
        </w:rPr>
        <w:t>aux</w:t>
      </w:r>
      <w:r>
        <w:rPr>
          <w:color w:val="231F20"/>
          <w:spacing w:val="-5"/>
          <w:w w:val="120"/>
        </w:rPr>
        <w:t> </w:t>
      </w:r>
      <w:r>
        <w:rPr>
          <w:color w:val="231F20"/>
          <w:spacing w:val="-2"/>
          <w:w w:val="120"/>
        </w:rPr>
        <w:t>travail- leurs</w:t>
      </w:r>
      <w:r>
        <w:rPr>
          <w:color w:val="231F20"/>
          <w:spacing w:val="-13"/>
          <w:w w:val="120"/>
        </w:rPr>
        <w:t> </w:t>
      </w:r>
      <w:r>
        <w:rPr>
          <w:color w:val="231F20"/>
          <w:spacing w:val="-2"/>
          <w:w w:val="120"/>
        </w:rPr>
        <w:t>qui</w:t>
      </w:r>
      <w:r>
        <w:rPr>
          <w:color w:val="231F20"/>
          <w:spacing w:val="-11"/>
          <w:w w:val="120"/>
        </w:rPr>
        <w:t> </w:t>
      </w:r>
      <w:r>
        <w:rPr>
          <w:color w:val="231F20"/>
          <w:spacing w:val="-2"/>
          <w:w w:val="120"/>
        </w:rPr>
        <w:t>souffraient</w:t>
      </w:r>
      <w:r>
        <w:rPr>
          <w:color w:val="231F20"/>
          <w:spacing w:val="-11"/>
          <w:w w:val="120"/>
        </w:rPr>
        <w:t> </w:t>
      </w:r>
      <w:r>
        <w:rPr>
          <w:color w:val="231F20"/>
          <w:spacing w:val="-2"/>
          <w:w w:val="120"/>
        </w:rPr>
        <w:t>de</w:t>
      </w:r>
      <w:r>
        <w:rPr>
          <w:color w:val="231F20"/>
          <w:spacing w:val="-10"/>
          <w:w w:val="120"/>
        </w:rPr>
        <w:t> </w:t>
      </w:r>
      <w:r>
        <w:rPr>
          <w:color w:val="231F20"/>
          <w:spacing w:val="-2"/>
          <w:w w:val="120"/>
        </w:rPr>
        <w:t>stress,</w:t>
      </w:r>
      <w:r>
        <w:rPr>
          <w:color w:val="231F20"/>
          <w:spacing w:val="-11"/>
          <w:w w:val="120"/>
        </w:rPr>
        <w:t> </w:t>
      </w:r>
      <w:r>
        <w:rPr>
          <w:color w:val="231F20"/>
          <w:spacing w:val="-2"/>
          <w:w w:val="120"/>
        </w:rPr>
        <w:t>de</w:t>
      </w:r>
      <w:r>
        <w:rPr>
          <w:color w:val="231F20"/>
          <w:spacing w:val="-11"/>
          <w:w w:val="120"/>
        </w:rPr>
        <w:t> </w:t>
      </w:r>
      <w:r>
        <w:rPr>
          <w:color w:val="231F20"/>
          <w:spacing w:val="-2"/>
          <w:w w:val="120"/>
        </w:rPr>
        <w:t>dépression,</w:t>
      </w:r>
      <w:r>
        <w:rPr>
          <w:color w:val="231F20"/>
          <w:spacing w:val="-11"/>
          <w:w w:val="120"/>
        </w:rPr>
        <w:t> </w:t>
      </w:r>
      <w:r>
        <w:rPr>
          <w:color w:val="231F20"/>
          <w:spacing w:val="-2"/>
          <w:w w:val="120"/>
        </w:rPr>
        <w:t>d’épuisement</w:t>
      </w:r>
      <w:r>
        <w:rPr>
          <w:color w:val="231F20"/>
          <w:spacing w:val="-10"/>
          <w:w w:val="120"/>
        </w:rPr>
        <w:t> </w:t>
      </w:r>
      <w:r>
        <w:rPr>
          <w:color w:val="231F20"/>
          <w:spacing w:val="-2"/>
          <w:w w:val="120"/>
        </w:rPr>
        <w:t>professionnel </w:t>
      </w:r>
      <w:r>
        <w:rPr>
          <w:color w:val="231F20"/>
          <w:w w:val="120"/>
        </w:rPr>
        <w:t>ou d’autres troubles psychologiques.</w:t>
      </w:r>
    </w:p>
    <w:p>
      <w:pPr>
        <w:pStyle w:val="BodyText"/>
        <w:spacing w:line="307" w:lineRule="auto" w:before="79"/>
        <w:ind w:left="1220" w:right="102" w:firstLine="250"/>
        <w:jc w:val="both"/>
      </w:pPr>
      <w:r>
        <w:rPr>
          <w:color w:val="231F20"/>
          <w:w w:val="120"/>
        </w:rPr>
        <w:t>Rappelez-vous</w:t>
      </w:r>
      <w:r>
        <w:rPr>
          <w:color w:val="231F20"/>
          <w:spacing w:val="-13"/>
          <w:w w:val="120"/>
        </w:rPr>
        <w:t> </w:t>
      </w:r>
      <w:r>
        <w:rPr>
          <w:color w:val="231F20"/>
          <w:w w:val="120"/>
        </w:rPr>
        <w:t>il</w:t>
      </w:r>
      <w:r>
        <w:rPr>
          <w:color w:val="231F20"/>
          <w:spacing w:val="-13"/>
          <w:w w:val="120"/>
        </w:rPr>
        <w:t> </w:t>
      </w:r>
      <w:r>
        <w:rPr>
          <w:color w:val="231F20"/>
          <w:w w:val="120"/>
        </w:rPr>
        <w:t>y</w:t>
      </w:r>
      <w:r>
        <w:rPr>
          <w:color w:val="231F20"/>
          <w:spacing w:val="-13"/>
          <w:w w:val="120"/>
        </w:rPr>
        <w:t> </w:t>
      </w:r>
      <w:r>
        <w:rPr>
          <w:color w:val="231F20"/>
          <w:w w:val="120"/>
        </w:rPr>
        <w:t>a</w:t>
      </w:r>
      <w:r>
        <w:rPr>
          <w:color w:val="231F20"/>
          <w:spacing w:val="-12"/>
          <w:w w:val="120"/>
        </w:rPr>
        <w:t> </w:t>
      </w:r>
      <w:r>
        <w:rPr>
          <w:color w:val="231F20"/>
          <w:w w:val="120"/>
        </w:rPr>
        <w:t>quelques</w:t>
      </w:r>
      <w:r>
        <w:rPr>
          <w:color w:val="231F20"/>
          <w:spacing w:val="-13"/>
          <w:w w:val="120"/>
        </w:rPr>
        <w:t> </w:t>
      </w:r>
      <w:r>
        <w:rPr>
          <w:color w:val="231F20"/>
          <w:w w:val="120"/>
        </w:rPr>
        <w:t>décennies,</w:t>
      </w:r>
      <w:r>
        <w:rPr>
          <w:color w:val="231F20"/>
          <w:spacing w:val="-13"/>
          <w:w w:val="120"/>
        </w:rPr>
        <w:t> </w:t>
      </w:r>
      <w:r>
        <w:rPr>
          <w:color w:val="231F20"/>
          <w:w w:val="120"/>
        </w:rPr>
        <w:t>à</w:t>
      </w:r>
      <w:r>
        <w:rPr>
          <w:color w:val="231F20"/>
          <w:spacing w:val="-13"/>
          <w:w w:val="120"/>
        </w:rPr>
        <w:t> </w:t>
      </w:r>
      <w:r>
        <w:rPr>
          <w:color w:val="231F20"/>
          <w:w w:val="120"/>
        </w:rPr>
        <w:t>l’instar</w:t>
      </w:r>
      <w:r>
        <w:rPr>
          <w:color w:val="231F20"/>
          <w:spacing w:val="-12"/>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situation</w:t>
      </w:r>
      <w:r>
        <w:rPr>
          <w:color w:val="231F20"/>
          <w:spacing w:val="-13"/>
          <w:w w:val="120"/>
        </w:rPr>
        <w:t> </w:t>
      </w:r>
      <w:r>
        <w:rPr>
          <w:color w:val="231F20"/>
          <w:w w:val="120"/>
        </w:rPr>
        <w:t>qui </w:t>
      </w:r>
      <w:r>
        <w:rPr>
          <w:color w:val="231F20"/>
          <w:spacing w:val="-2"/>
          <w:w w:val="120"/>
        </w:rPr>
        <w:t>prévalait</w:t>
      </w:r>
      <w:r>
        <w:rPr>
          <w:color w:val="231F20"/>
          <w:spacing w:val="-8"/>
          <w:w w:val="120"/>
        </w:rPr>
        <w:t> </w:t>
      </w:r>
      <w:r>
        <w:rPr>
          <w:color w:val="231F20"/>
          <w:spacing w:val="-2"/>
          <w:w w:val="120"/>
        </w:rPr>
        <w:t>au</w:t>
      </w:r>
      <w:r>
        <w:rPr>
          <w:color w:val="231F20"/>
          <w:spacing w:val="-8"/>
          <w:w w:val="120"/>
        </w:rPr>
        <w:t> </w:t>
      </w:r>
      <w:r>
        <w:rPr>
          <w:color w:val="231F20"/>
          <w:spacing w:val="-2"/>
          <w:w w:val="120"/>
        </w:rPr>
        <w:t>début</w:t>
      </w:r>
      <w:r>
        <w:rPr>
          <w:color w:val="231F20"/>
          <w:spacing w:val="-8"/>
          <w:w w:val="120"/>
        </w:rPr>
        <w:t> </w:t>
      </w:r>
      <w:r>
        <w:rPr>
          <w:color w:val="231F20"/>
          <w:spacing w:val="-2"/>
          <w:w w:val="120"/>
        </w:rPr>
        <w:t>de</w:t>
      </w:r>
      <w:r>
        <w:rPr>
          <w:color w:val="231F20"/>
          <w:spacing w:val="-8"/>
          <w:w w:val="120"/>
        </w:rPr>
        <w:t> </w:t>
      </w:r>
      <w:r>
        <w:rPr>
          <w:color w:val="231F20"/>
          <w:spacing w:val="-2"/>
          <w:w w:val="120"/>
        </w:rPr>
        <w:t>la</w:t>
      </w:r>
      <w:r>
        <w:rPr>
          <w:color w:val="231F20"/>
          <w:spacing w:val="-8"/>
          <w:w w:val="120"/>
        </w:rPr>
        <w:t> </w:t>
      </w:r>
      <w:r>
        <w:rPr>
          <w:color w:val="231F20"/>
          <w:spacing w:val="-2"/>
          <w:w w:val="120"/>
        </w:rPr>
        <w:t>pandémie</w:t>
      </w:r>
      <w:r>
        <w:rPr>
          <w:color w:val="231F20"/>
          <w:spacing w:val="-8"/>
          <w:w w:val="120"/>
        </w:rPr>
        <w:t> </w:t>
      </w:r>
      <w:r>
        <w:rPr>
          <w:color w:val="231F20"/>
          <w:spacing w:val="-2"/>
          <w:w w:val="120"/>
        </w:rPr>
        <w:t>de</w:t>
      </w:r>
      <w:r>
        <w:rPr>
          <w:color w:val="231F20"/>
          <w:spacing w:val="-8"/>
          <w:w w:val="120"/>
        </w:rPr>
        <w:t> </w:t>
      </w:r>
      <w:r>
        <w:rPr>
          <w:color w:val="231F20"/>
          <w:spacing w:val="-2"/>
          <w:w w:val="120"/>
        </w:rPr>
        <w:t>COVID-19,</w:t>
      </w:r>
      <w:r>
        <w:rPr>
          <w:color w:val="231F20"/>
          <w:spacing w:val="-8"/>
          <w:w w:val="120"/>
        </w:rPr>
        <w:t> </w:t>
      </w:r>
      <w:r>
        <w:rPr>
          <w:color w:val="231F20"/>
          <w:spacing w:val="-2"/>
          <w:w w:val="120"/>
        </w:rPr>
        <w:t>il</w:t>
      </w:r>
      <w:r>
        <w:rPr>
          <w:color w:val="231F20"/>
          <w:spacing w:val="-8"/>
          <w:w w:val="120"/>
        </w:rPr>
        <w:t> </w:t>
      </w:r>
      <w:r>
        <w:rPr>
          <w:color w:val="231F20"/>
          <w:spacing w:val="-2"/>
          <w:w w:val="120"/>
        </w:rPr>
        <w:t>n’y</w:t>
      </w:r>
      <w:r>
        <w:rPr>
          <w:color w:val="231F20"/>
          <w:spacing w:val="-8"/>
          <w:w w:val="120"/>
        </w:rPr>
        <w:t> </w:t>
      </w:r>
      <w:r>
        <w:rPr>
          <w:color w:val="231F20"/>
          <w:spacing w:val="-2"/>
          <w:w w:val="120"/>
        </w:rPr>
        <w:t>avait</w:t>
      </w:r>
      <w:r>
        <w:rPr>
          <w:color w:val="231F20"/>
          <w:spacing w:val="-8"/>
          <w:w w:val="120"/>
        </w:rPr>
        <w:t> </w:t>
      </w:r>
      <w:r>
        <w:rPr>
          <w:color w:val="231F20"/>
          <w:spacing w:val="-2"/>
          <w:w w:val="120"/>
        </w:rPr>
        <w:t>pas</w:t>
      </w:r>
      <w:r>
        <w:rPr>
          <w:color w:val="231F20"/>
          <w:spacing w:val="-8"/>
          <w:w w:val="120"/>
        </w:rPr>
        <w:t> </w:t>
      </w:r>
      <w:r>
        <w:rPr>
          <w:color w:val="231F20"/>
          <w:spacing w:val="-2"/>
          <w:w w:val="120"/>
        </w:rPr>
        <w:t>(ou</w:t>
      </w:r>
      <w:r>
        <w:rPr>
          <w:color w:val="231F20"/>
          <w:spacing w:val="-8"/>
          <w:w w:val="120"/>
        </w:rPr>
        <w:t> </w:t>
      </w:r>
      <w:r>
        <w:rPr>
          <w:color w:val="231F20"/>
          <w:spacing w:val="-2"/>
          <w:w w:val="120"/>
        </w:rPr>
        <w:t>très </w:t>
      </w:r>
      <w:r>
        <w:rPr>
          <w:color w:val="231F20"/>
          <w:w w:val="120"/>
        </w:rPr>
        <w:t>peu)</w:t>
      </w:r>
      <w:r>
        <w:rPr>
          <w:color w:val="231F20"/>
          <w:spacing w:val="-1"/>
          <w:w w:val="120"/>
        </w:rPr>
        <w:t> </w:t>
      </w:r>
      <w:r>
        <w:rPr>
          <w:color w:val="231F20"/>
          <w:w w:val="120"/>
        </w:rPr>
        <w:t>de</w:t>
      </w:r>
      <w:r>
        <w:rPr>
          <w:color w:val="231F20"/>
          <w:spacing w:val="-1"/>
          <w:w w:val="120"/>
        </w:rPr>
        <w:t> </w:t>
      </w:r>
      <w:r>
        <w:rPr>
          <w:color w:val="231F20"/>
          <w:w w:val="120"/>
        </w:rPr>
        <w:t>mesures</w:t>
      </w:r>
      <w:r>
        <w:rPr>
          <w:color w:val="231F20"/>
          <w:spacing w:val="-1"/>
          <w:w w:val="120"/>
        </w:rPr>
        <w:t> </w:t>
      </w:r>
      <w:r>
        <w:rPr>
          <w:color w:val="231F20"/>
          <w:w w:val="120"/>
        </w:rPr>
        <w:t>fiables</w:t>
      </w:r>
      <w:r>
        <w:rPr>
          <w:color w:val="231F20"/>
          <w:spacing w:val="-1"/>
          <w:w w:val="120"/>
        </w:rPr>
        <w:t> </w:t>
      </w:r>
      <w:r>
        <w:rPr>
          <w:color w:val="231F20"/>
          <w:w w:val="120"/>
        </w:rPr>
        <w:t>et</w:t>
      </w:r>
      <w:r>
        <w:rPr>
          <w:color w:val="231F20"/>
          <w:spacing w:val="-1"/>
          <w:w w:val="120"/>
        </w:rPr>
        <w:t> </w:t>
      </w:r>
      <w:r>
        <w:rPr>
          <w:color w:val="231F20"/>
          <w:w w:val="120"/>
        </w:rPr>
        <w:t>valables</w:t>
      </w:r>
      <w:r>
        <w:rPr>
          <w:color w:val="231F20"/>
          <w:spacing w:val="-1"/>
          <w:w w:val="120"/>
        </w:rPr>
        <w:t> </w:t>
      </w:r>
      <w:r>
        <w:rPr>
          <w:color w:val="231F20"/>
          <w:w w:val="120"/>
        </w:rPr>
        <w:t>pour</w:t>
      </w:r>
      <w:r>
        <w:rPr>
          <w:color w:val="231F20"/>
          <w:spacing w:val="-1"/>
          <w:w w:val="120"/>
        </w:rPr>
        <w:t> </w:t>
      </w:r>
      <w:r>
        <w:rPr>
          <w:color w:val="231F20"/>
          <w:w w:val="120"/>
        </w:rPr>
        <w:t>détecter</w:t>
      </w:r>
      <w:r>
        <w:rPr>
          <w:color w:val="231F20"/>
          <w:spacing w:val="-1"/>
          <w:w w:val="120"/>
        </w:rPr>
        <w:t> </w:t>
      </w:r>
      <w:r>
        <w:rPr>
          <w:color w:val="231F20"/>
          <w:w w:val="120"/>
        </w:rPr>
        <w:t>le</w:t>
      </w:r>
      <w:r>
        <w:rPr>
          <w:color w:val="231F20"/>
          <w:spacing w:val="-1"/>
          <w:w w:val="120"/>
        </w:rPr>
        <w:t> </w:t>
      </w:r>
      <w:r>
        <w:rPr>
          <w:color w:val="231F20"/>
          <w:w w:val="120"/>
        </w:rPr>
        <w:t>stress</w:t>
      </w:r>
      <w:r>
        <w:rPr>
          <w:color w:val="231F20"/>
          <w:spacing w:val="-1"/>
          <w:w w:val="120"/>
        </w:rPr>
        <w:t> </w:t>
      </w:r>
      <w:r>
        <w:rPr>
          <w:color w:val="231F20"/>
          <w:w w:val="120"/>
        </w:rPr>
        <w:t>chronique</w:t>
      </w:r>
      <w:r>
        <w:rPr>
          <w:color w:val="231F20"/>
          <w:spacing w:val="-1"/>
          <w:w w:val="120"/>
        </w:rPr>
        <w:t> </w:t>
      </w:r>
      <w:r>
        <w:rPr>
          <w:color w:val="231F20"/>
          <w:w w:val="120"/>
        </w:rPr>
        <w:t>et cerner</w:t>
      </w:r>
      <w:r>
        <w:rPr>
          <w:color w:val="231F20"/>
          <w:spacing w:val="-9"/>
          <w:w w:val="120"/>
        </w:rPr>
        <w:t> </w:t>
      </w:r>
      <w:r>
        <w:rPr>
          <w:color w:val="231F20"/>
          <w:w w:val="120"/>
        </w:rPr>
        <w:t>son</w:t>
      </w:r>
      <w:r>
        <w:rPr>
          <w:color w:val="231F20"/>
          <w:spacing w:val="-9"/>
          <w:w w:val="120"/>
        </w:rPr>
        <w:t> </w:t>
      </w:r>
      <w:r>
        <w:rPr>
          <w:color w:val="231F20"/>
          <w:w w:val="120"/>
        </w:rPr>
        <w:t>effet</w:t>
      </w:r>
      <w:r>
        <w:rPr>
          <w:color w:val="231F20"/>
          <w:spacing w:val="-9"/>
          <w:w w:val="120"/>
        </w:rPr>
        <w:t> </w:t>
      </w:r>
      <w:r>
        <w:rPr>
          <w:color w:val="231F20"/>
          <w:w w:val="120"/>
        </w:rPr>
        <w:t>psychologique</w:t>
      </w:r>
      <w:r>
        <w:rPr>
          <w:color w:val="231F20"/>
          <w:spacing w:val="-9"/>
          <w:w w:val="120"/>
        </w:rPr>
        <w:t> </w:t>
      </w:r>
      <w:r>
        <w:rPr>
          <w:color w:val="231F20"/>
          <w:w w:val="120"/>
        </w:rPr>
        <w:t>et</w:t>
      </w:r>
      <w:r>
        <w:rPr>
          <w:color w:val="231F20"/>
          <w:spacing w:val="-9"/>
          <w:w w:val="120"/>
        </w:rPr>
        <w:t> </w:t>
      </w:r>
      <w:r>
        <w:rPr>
          <w:color w:val="231F20"/>
          <w:w w:val="120"/>
        </w:rPr>
        <w:t>physique</w:t>
      </w:r>
      <w:r>
        <w:rPr>
          <w:color w:val="231F20"/>
          <w:spacing w:val="-9"/>
          <w:w w:val="120"/>
        </w:rPr>
        <w:t> </w:t>
      </w:r>
      <w:r>
        <w:rPr>
          <w:color w:val="231F20"/>
          <w:w w:val="120"/>
        </w:rPr>
        <w:t>sur</w:t>
      </w:r>
      <w:r>
        <w:rPr>
          <w:color w:val="231F20"/>
          <w:spacing w:val="-9"/>
          <w:w w:val="120"/>
        </w:rPr>
        <w:t> </w:t>
      </w:r>
      <w:r>
        <w:rPr>
          <w:color w:val="231F20"/>
          <w:w w:val="120"/>
        </w:rPr>
        <w:t>la</w:t>
      </w:r>
      <w:r>
        <w:rPr>
          <w:color w:val="231F20"/>
          <w:spacing w:val="-9"/>
          <w:w w:val="120"/>
        </w:rPr>
        <w:t> </w:t>
      </w:r>
      <w:r>
        <w:rPr>
          <w:color w:val="231F20"/>
          <w:w w:val="120"/>
        </w:rPr>
        <w:t>santé</w:t>
      </w:r>
      <w:r>
        <w:rPr>
          <w:color w:val="231F20"/>
          <w:spacing w:val="-9"/>
          <w:w w:val="120"/>
        </w:rPr>
        <w:t> </w:t>
      </w:r>
      <w:r>
        <w:rPr>
          <w:color w:val="231F20"/>
          <w:w w:val="120"/>
        </w:rPr>
        <w:t>des</w:t>
      </w:r>
      <w:r>
        <w:rPr>
          <w:color w:val="231F20"/>
          <w:spacing w:val="-9"/>
          <w:w w:val="120"/>
        </w:rPr>
        <w:t> </w:t>
      </w:r>
      <w:r>
        <w:rPr>
          <w:color w:val="231F20"/>
          <w:w w:val="120"/>
        </w:rPr>
        <w:t>travailleurs. À</w:t>
      </w:r>
      <w:r>
        <w:rPr>
          <w:color w:val="231F20"/>
          <w:spacing w:val="-2"/>
          <w:w w:val="120"/>
        </w:rPr>
        <w:t> </w:t>
      </w:r>
      <w:r>
        <w:rPr>
          <w:color w:val="231F20"/>
          <w:w w:val="120"/>
        </w:rPr>
        <w:t>partir</w:t>
      </w:r>
      <w:r>
        <w:rPr>
          <w:color w:val="231F20"/>
          <w:spacing w:val="-2"/>
          <w:w w:val="120"/>
        </w:rPr>
        <w:t> </w:t>
      </w:r>
      <w:r>
        <w:rPr>
          <w:color w:val="231F20"/>
          <w:w w:val="120"/>
        </w:rPr>
        <w:t>des</w:t>
      </w:r>
      <w:r>
        <w:rPr>
          <w:color w:val="231F20"/>
          <w:spacing w:val="-5"/>
          <w:w w:val="120"/>
        </w:rPr>
        <w:t> </w:t>
      </w:r>
      <w:r>
        <w:rPr>
          <w:color w:val="231F20"/>
          <w:w w:val="120"/>
        </w:rPr>
        <w:t>années</w:t>
      </w:r>
      <w:r>
        <w:rPr>
          <w:color w:val="231F20"/>
          <w:spacing w:val="-5"/>
          <w:w w:val="120"/>
        </w:rPr>
        <w:t> </w:t>
      </w:r>
      <w:r>
        <w:rPr>
          <w:color w:val="231F20"/>
          <w:w w:val="120"/>
        </w:rPr>
        <w:t>1980,</w:t>
      </w:r>
      <w:r>
        <w:rPr>
          <w:color w:val="231F20"/>
          <w:spacing w:val="-5"/>
          <w:w w:val="120"/>
        </w:rPr>
        <w:t> </w:t>
      </w:r>
      <w:r>
        <w:rPr>
          <w:color w:val="231F20"/>
          <w:w w:val="120"/>
        </w:rPr>
        <w:t>l’objectif</w:t>
      </w:r>
      <w:r>
        <w:rPr>
          <w:color w:val="231F20"/>
          <w:spacing w:val="-5"/>
          <w:w w:val="120"/>
        </w:rPr>
        <w:t> </w:t>
      </w:r>
      <w:r>
        <w:rPr>
          <w:color w:val="231F20"/>
          <w:w w:val="120"/>
        </w:rPr>
        <w:t>de</w:t>
      </w:r>
      <w:r>
        <w:rPr>
          <w:color w:val="231F20"/>
          <w:spacing w:val="-5"/>
          <w:w w:val="120"/>
        </w:rPr>
        <w:t> </w:t>
      </w:r>
      <w:r>
        <w:rPr>
          <w:color w:val="231F20"/>
          <w:w w:val="120"/>
        </w:rPr>
        <w:t>la</w:t>
      </w:r>
      <w:r>
        <w:rPr>
          <w:color w:val="231F20"/>
          <w:spacing w:val="-5"/>
          <w:w w:val="120"/>
        </w:rPr>
        <w:t> </w:t>
      </w:r>
      <w:r>
        <w:rPr>
          <w:color w:val="231F20"/>
          <w:w w:val="120"/>
        </w:rPr>
        <w:t>recherche</w:t>
      </w:r>
      <w:r>
        <w:rPr>
          <w:color w:val="231F20"/>
          <w:spacing w:val="-5"/>
          <w:w w:val="120"/>
        </w:rPr>
        <w:t> </w:t>
      </w:r>
      <w:r>
        <w:rPr>
          <w:color w:val="231F20"/>
          <w:w w:val="120"/>
        </w:rPr>
        <w:t>était</w:t>
      </w:r>
      <w:r>
        <w:rPr>
          <w:color w:val="231F20"/>
          <w:spacing w:val="-5"/>
          <w:w w:val="120"/>
        </w:rPr>
        <w:t> </w:t>
      </w:r>
      <w:r>
        <w:rPr>
          <w:color w:val="231F20"/>
          <w:w w:val="120"/>
        </w:rPr>
        <w:t>de</w:t>
      </w:r>
      <w:r>
        <w:rPr>
          <w:color w:val="231F20"/>
          <w:spacing w:val="-5"/>
          <w:w w:val="120"/>
        </w:rPr>
        <w:t> </w:t>
      </w:r>
      <w:r>
        <w:rPr>
          <w:color w:val="231F20"/>
          <w:w w:val="120"/>
        </w:rPr>
        <w:t>développer des</w:t>
      </w:r>
      <w:r>
        <w:rPr>
          <w:color w:val="231F20"/>
          <w:spacing w:val="-13"/>
          <w:w w:val="120"/>
        </w:rPr>
        <w:t> </w:t>
      </w:r>
      <w:r>
        <w:rPr>
          <w:color w:val="231F20"/>
          <w:w w:val="120"/>
        </w:rPr>
        <w:t>modèles</w:t>
      </w:r>
      <w:r>
        <w:rPr>
          <w:color w:val="231F20"/>
          <w:spacing w:val="-13"/>
          <w:w w:val="120"/>
        </w:rPr>
        <w:t> </w:t>
      </w:r>
      <w:r>
        <w:rPr>
          <w:color w:val="231F20"/>
          <w:w w:val="120"/>
        </w:rPr>
        <w:t>et</w:t>
      </w:r>
      <w:r>
        <w:rPr>
          <w:color w:val="231F20"/>
          <w:spacing w:val="-13"/>
          <w:w w:val="120"/>
        </w:rPr>
        <w:t> </w:t>
      </w:r>
      <w:r>
        <w:rPr>
          <w:color w:val="231F20"/>
          <w:w w:val="120"/>
        </w:rPr>
        <w:t>des</w:t>
      </w:r>
      <w:r>
        <w:rPr>
          <w:color w:val="231F20"/>
          <w:spacing w:val="-12"/>
          <w:w w:val="120"/>
        </w:rPr>
        <w:t> </w:t>
      </w:r>
      <w:r>
        <w:rPr>
          <w:color w:val="231F20"/>
          <w:w w:val="120"/>
        </w:rPr>
        <w:t>mesures</w:t>
      </w:r>
      <w:r>
        <w:rPr>
          <w:color w:val="231F20"/>
          <w:spacing w:val="-13"/>
          <w:w w:val="120"/>
        </w:rPr>
        <w:t> </w:t>
      </w:r>
      <w:r>
        <w:rPr>
          <w:color w:val="231F20"/>
          <w:w w:val="120"/>
        </w:rPr>
        <w:t>fiables</w:t>
      </w:r>
      <w:r>
        <w:rPr>
          <w:color w:val="231F20"/>
          <w:spacing w:val="-13"/>
          <w:w w:val="120"/>
        </w:rPr>
        <w:t> </w:t>
      </w:r>
      <w:r>
        <w:rPr>
          <w:color w:val="231F20"/>
          <w:w w:val="120"/>
        </w:rPr>
        <w:t>qui</w:t>
      </w:r>
      <w:r>
        <w:rPr>
          <w:color w:val="231F20"/>
          <w:spacing w:val="-13"/>
          <w:w w:val="120"/>
        </w:rPr>
        <w:t> </w:t>
      </w:r>
      <w:r>
        <w:rPr>
          <w:color w:val="231F20"/>
          <w:w w:val="120"/>
        </w:rPr>
        <w:t>permettraient</w:t>
      </w:r>
      <w:r>
        <w:rPr>
          <w:color w:val="231F20"/>
          <w:spacing w:val="-12"/>
          <w:w w:val="120"/>
        </w:rPr>
        <w:t> </w:t>
      </w:r>
      <w:r>
        <w:rPr>
          <w:color w:val="231F20"/>
          <w:w w:val="120"/>
        </w:rPr>
        <w:t>une</w:t>
      </w:r>
      <w:r>
        <w:rPr>
          <w:color w:val="231F20"/>
          <w:spacing w:val="-13"/>
          <w:w w:val="120"/>
        </w:rPr>
        <w:t> </w:t>
      </w:r>
      <w:r>
        <w:rPr>
          <w:color w:val="231F20"/>
          <w:w w:val="120"/>
        </w:rPr>
        <w:t>véritable</w:t>
      </w:r>
      <w:r>
        <w:rPr>
          <w:color w:val="231F20"/>
          <w:spacing w:val="-13"/>
          <w:w w:val="120"/>
        </w:rPr>
        <w:t> </w:t>
      </w:r>
      <w:r>
        <w:rPr>
          <w:color w:val="231F20"/>
          <w:w w:val="120"/>
        </w:rPr>
        <w:t>com- </w:t>
      </w:r>
      <w:r>
        <w:rPr>
          <w:color w:val="231F20"/>
          <w:w w:val="115"/>
        </w:rPr>
        <w:t>préhension</w:t>
      </w:r>
      <w:r>
        <w:rPr>
          <w:color w:val="231F20"/>
          <w:spacing w:val="-13"/>
          <w:w w:val="115"/>
        </w:rPr>
        <w:t> </w:t>
      </w:r>
      <w:r>
        <w:rPr>
          <w:color w:val="231F20"/>
          <w:w w:val="115"/>
        </w:rPr>
        <w:t>de</w:t>
      </w:r>
      <w:r>
        <w:rPr>
          <w:color w:val="231F20"/>
          <w:spacing w:val="-12"/>
          <w:w w:val="115"/>
        </w:rPr>
        <w:t> </w:t>
      </w:r>
      <w:r>
        <w:rPr>
          <w:color w:val="231F20"/>
          <w:w w:val="115"/>
        </w:rPr>
        <w:t>ce</w:t>
      </w:r>
      <w:r>
        <w:rPr>
          <w:color w:val="231F20"/>
          <w:spacing w:val="-9"/>
          <w:w w:val="115"/>
        </w:rPr>
        <w:t> </w:t>
      </w:r>
      <w:r>
        <w:rPr>
          <w:color w:val="231F20"/>
          <w:w w:val="115"/>
        </w:rPr>
        <w:t>qui</w:t>
      </w:r>
      <w:r>
        <w:rPr>
          <w:color w:val="231F20"/>
          <w:spacing w:val="-1"/>
          <w:w w:val="115"/>
        </w:rPr>
        <w:t> </w:t>
      </w:r>
      <w:r>
        <w:rPr>
          <w:color w:val="231F20"/>
          <w:w w:val="115"/>
        </w:rPr>
        <w:t>a</w:t>
      </w:r>
      <w:r>
        <w:rPr>
          <w:color w:val="231F20"/>
          <w:spacing w:val="-1"/>
          <w:w w:val="115"/>
        </w:rPr>
        <w:t> </w:t>
      </w:r>
      <w:r>
        <w:rPr>
          <w:color w:val="231F20"/>
          <w:w w:val="115"/>
        </w:rPr>
        <w:t>été</w:t>
      </w:r>
      <w:r>
        <w:rPr>
          <w:color w:val="231F20"/>
          <w:spacing w:val="-1"/>
          <w:w w:val="115"/>
        </w:rPr>
        <w:t> </w:t>
      </w:r>
      <w:r>
        <w:rPr>
          <w:color w:val="231F20"/>
          <w:w w:val="115"/>
        </w:rPr>
        <w:t>décrit</w:t>
      </w:r>
      <w:r>
        <w:rPr>
          <w:color w:val="231F20"/>
          <w:spacing w:val="-1"/>
          <w:w w:val="115"/>
        </w:rPr>
        <w:t> </w:t>
      </w:r>
      <w:r>
        <w:rPr>
          <w:color w:val="231F20"/>
          <w:w w:val="115"/>
        </w:rPr>
        <w:t>comme</w:t>
      </w:r>
      <w:r>
        <w:rPr>
          <w:color w:val="231F20"/>
          <w:spacing w:val="-1"/>
          <w:w w:val="115"/>
        </w:rPr>
        <w:t> </w:t>
      </w:r>
      <w:r>
        <w:rPr>
          <w:color w:val="231F20"/>
          <w:w w:val="115"/>
        </w:rPr>
        <w:t>la</w:t>
      </w:r>
      <w:r>
        <w:rPr>
          <w:color w:val="231F20"/>
          <w:spacing w:val="-1"/>
          <w:w w:val="115"/>
        </w:rPr>
        <w:t> </w:t>
      </w:r>
      <w:r>
        <w:rPr>
          <w:color w:val="231F20"/>
          <w:w w:val="115"/>
        </w:rPr>
        <w:t>«</w:t>
      </w:r>
      <w:r>
        <w:rPr>
          <w:color w:val="231F20"/>
          <w:spacing w:val="-13"/>
          <w:w w:val="115"/>
        </w:rPr>
        <w:t> </w:t>
      </w:r>
      <w:r>
        <w:rPr>
          <w:color w:val="231F20"/>
          <w:w w:val="115"/>
        </w:rPr>
        <w:t>pandémie cachée</w:t>
      </w:r>
      <w:r>
        <w:rPr>
          <w:color w:val="231F20"/>
          <w:spacing w:val="-13"/>
          <w:w w:val="115"/>
        </w:rPr>
        <w:t> </w:t>
      </w:r>
      <w:r>
        <w:rPr>
          <w:color w:val="231F20"/>
          <w:w w:val="115"/>
        </w:rPr>
        <w:t>». De</w:t>
      </w:r>
      <w:r>
        <w:rPr>
          <w:color w:val="231F20"/>
          <w:spacing w:val="-1"/>
          <w:w w:val="115"/>
        </w:rPr>
        <w:t> </w:t>
      </w:r>
      <w:r>
        <w:rPr>
          <w:color w:val="231F20"/>
          <w:w w:val="115"/>
        </w:rPr>
        <w:t>toute </w:t>
      </w:r>
      <w:r>
        <w:rPr>
          <w:color w:val="231F20"/>
          <w:w w:val="120"/>
        </w:rPr>
        <w:t>évidence, les signes et les symptômes de stress aigu sont aujourd’hui </w:t>
      </w:r>
      <w:r>
        <w:rPr>
          <w:color w:val="231F20"/>
          <w:spacing w:val="-2"/>
          <w:w w:val="120"/>
        </w:rPr>
        <w:t>relativement</w:t>
      </w:r>
      <w:r>
        <w:rPr>
          <w:color w:val="231F20"/>
          <w:spacing w:val="-10"/>
          <w:w w:val="120"/>
        </w:rPr>
        <w:t> </w:t>
      </w:r>
      <w:r>
        <w:rPr>
          <w:color w:val="231F20"/>
          <w:spacing w:val="-2"/>
          <w:w w:val="120"/>
        </w:rPr>
        <w:t>simples</w:t>
      </w:r>
      <w:r>
        <w:rPr>
          <w:color w:val="231F20"/>
          <w:spacing w:val="-10"/>
          <w:w w:val="120"/>
        </w:rPr>
        <w:t> </w:t>
      </w:r>
      <w:r>
        <w:rPr>
          <w:color w:val="231F20"/>
          <w:spacing w:val="-2"/>
          <w:w w:val="120"/>
        </w:rPr>
        <w:t>à</w:t>
      </w:r>
      <w:r>
        <w:rPr>
          <w:color w:val="231F20"/>
          <w:spacing w:val="-10"/>
          <w:w w:val="120"/>
        </w:rPr>
        <w:t> </w:t>
      </w:r>
      <w:r>
        <w:rPr>
          <w:color w:val="231F20"/>
          <w:spacing w:val="-2"/>
          <w:w w:val="120"/>
        </w:rPr>
        <w:t>déceler,</w:t>
      </w:r>
      <w:r>
        <w:rPr>
          <w:color w:val="231F20"/>
          <w:spacing w:val="-10"/>
          <w:w w:val="120"/>
        </w:rPr>
        <w:t> </w:t>
      </w:r>
      <w:r>
        <w:rPr>
          <w:color w:val="231F20"/>
          <w:spacing w:val="-2"/>
          <w:w w:val="120"/>
        </w:rPr>
        <w:t>ce</w:t>
      </w:r>
      <w:r>
        <w:rPr>
          <w:color w:val="231F20"/>
          <w:spacing w:val="-10"/>
          <w:w w:val="120"/>
        </w:rPr>
        <w:t> </w:t>
      </w:r>
      <w:r>
        <w:rPr>
          <w:color w:val="231F20"/>
          <w:spacing w:val="-2"/>
          <w:w w:val="120"/>
        </w:rPr>
        <w:t>qui</w:t>
      </w:r>
      <w:r>
        <w:rPr>
          <w:color w:val="231F20"/>
          <w:spacing w:val="-10"/>
          <w:w w:val="120"/>
        </w:rPr>
        <w:t> </w:t>
      </w:r>
      <w:r>
        <w:rPr>
          <w:color w:val="231F20"/>
          <w:spacing w:val="-2"/>
          <w:w w:val="120"/>
        </w:rPr>
        <w:t>n’est</w:t>
      </w:r>
      <w:r>
        <w:rPr>
          <w:color w:val="231F20"/>
          <w:spacing w:val="-10"/>
          <w:w w:val="120"/>
        </w:rPr>
        <w:t> </w:t>
      </w:r>
      <w:r>
        <w:rPr>
          <w:color w:val="231F20"/>
          <w:spacing w:val="-2"/>
          <w:w w:val="120"/>
        </w:rPr>
        <w:t>toujours</w:t>
      </w:r>
      <w:r>
        <w:rPr>
          <w:color w:val="231F20"/>
          <w:spacing w:val="-10"/>
          <w:w w:val="120"/>
        </w:rPr>
        <w:t> </w:t>
      </w:r>
      <w:r>
        <w:rPr>
          <w:color w:val="231F20"/>
          <w:spacing w:val="-2"/>
          <w:w w:val="120"/>
        </w:rPr>
        <w:t>pas</w:t>
      </w:r>
      <w:r>
        <w:rPr>
          <w:color w:val="231F20"/>
          <w:spacing w:val="-10"/>
          <w:w w:val="120"/>
        </w:rPr>
        <w:t> </w:t>
      </w:r>
      <w:r>
        <w:rPr>
          <w:color w:val="231F20"/>
          <w:spacing w:val="-2"/>
          <w:w w:val="120"/>
        </w:rPr>
        <w:t>le</w:t>
      </w:r>
      <w:r>
        <w:rPr>
          <w:color w:val="231F20"/>
          <w:spacing w:val="-10"/>
          <w:w w:val="120"/>
        </w:rPr>
        <w:t> </w:t>
      </w:r>
      <w:r>
        <w:rPr>
          <w:color w:val="231F20"/>
          <w:spacing w:val="-2"/>
          <w:w w:val="120"/>
        </w:rPr>
        <w:t>cas</w:t>
      </w:r>
      <w:r>
        <w:rPr>
          <w:color w:val="231F20"/>
          <w:spacing w:val="-10"/>
          <w:w w:val="120"/>
        </w:rPr>
        <w:t> </w:t>
      </w:r>
      <w:r>
        <w:rPr>
          <w:color w:val="231F20"/>
          <w:spacing w:val="-2"/>
          <w:w w:val="120"/>
        </w:rPr>
        <w:t>des</w:t>
      </w:r>
      <w:r>
        <w:rPr>
          <w:color w:val="231F20"/>
          <w:spacing w:val="-10"/>
          <w:w w:val="120"/>
        </w:rPr>
        <w:t> </w:t>
      </w:r>
      <w:r>
        <w:rPr>
          <w:color w:val="231F20"/>
          <w:spacing w:val="-2"/>
          <w:w w:val="120"/>
        </w:rPr>
        <w:t>symp- tômes</w:t>
      </w:r>
      <w:r>
        <w:rPr>
          <w:color w:val="231F20"/>
          <w:spacing w:val="-11"/>
          <w:w w:val="120"/>
        </w:rPr>
        <w:t> </w:t>
      </w:r>
      <w:r>
        <w:rPr>
          <w:color w:val="231F20"/>
          <w:spacing w:val="-2"/>
          <w:w w:val="120"/>
        </w:rPr>
        <w:t>associés</w:t>
      </w:r>
      <w:r>
        <w:rPr>
          <w:color w:val="231F20"/>
          <w:spacing w:val="-10"/>
          <w:w w:val="120"/>
        </w:rPr>
        <w:t> </w:t>
      </w:r>
      <w:r>
        <w:rPr>
          <w:color w:val="231F20"/>
          <w:spacing w:val="-2"/>
          <w:w w:val="120"/>
        </w:rPr>
        <w:t>au</w:t>
      </w:r>
      <w:r>
        <w:rPr>
          <w:color w:val="231F20"/>
          <w:spacing w:val="-11"/>
          <w:w w:val="120"/>
        </w:rPr>
        <w:t> </w:t>
      </w:r>
      <w:r>
        <w:rPr>
          <w:color w:val="231F20"/>
          <w:spacing w:val="-2"/>
          <w:w w:val="120"/>
        </w:rPr>
        <w:t>stress</w:t>
      </w:r>
      <w:r>
        <w:rPr>
          <w:color w:val="231F20"/>
          <w:spacing w:val="-10"/>
          <w:w w:val="120"/>
        </w:rPr>
        <w:t> </w:t>
      </w:r>
      <w:r>
        <w:rPr>
          <w:color w:val="231F20"/>
          <w:spacing w:val="-2"/>
          <w:w w:val="120"/>
        </w:rPr>
        <w:t>chronique</w:t>
      </w:r>
      <w:r>
        <w:rPr>
          <w:color w:val="231F20"/>
          <w:spacing w:val="-11"/>
          <w:w w:val="120"/>
        </w:rPr>
        <w:t> </w:t>
      </w:r>
      <w:r>
        <w:rPr>
          <w:color w:val="231F20"/>
          <w:spacing w:val="-2"/>
          <w:w w:val="120"/>
        </w:rPr>
        <w:t>qui</w:t>
      </w:r>
      <w:r>
        <w:rPr>
          <w:color w:val="231F20"/>
          <w:spacing w:val="-10"/>
          <w:w w:val="120"/>
        </w:rPr>
        <w:t> </w:t>
      </w:r>
      <w:r>
        <w:rPr>
          <w:color w:val="231F20"/>
          <w:spacing w:val="-2"/>
          <w:w w:val="120"/>
        </w:rPr>
        <w:t>sont</w:t>
      </w:r>
      <w:r>
        <w:rPr>
          <w:color w:val="231F20"/>
          <w:spacing w:val="-11"/>
          <w:w w:val="120"/>
        </w:rPr>
        <w:t> </w:t>
      </w:r>
      <w:r>
        <w:rPr>
          <w:color w:val="231F20"/>
          <w:spacing w:val="-2"/>
          <w:w w:val="120"/>
        </w:rPr>
        <w:t>plus</w:t>
      </w:r>
      <w:r>
        <w:rPr>
          <w:color w:val="231F20"/>
          <w:spacing w:val="-10"/>
          <w:w w:val="120"/>
        </w:rPr>
        <w:t> </w:t>
      </w:r>
      <w:r>
        <w:rPr>
          <w:color w:val="231F20"/>
          <w:spacing w:val="-2"/>
          <w:w w:val="120"/>
        </w:rPr>
        <w:t>ambigus,</w:t>
      </w:r>
      <w:r>
        <w:rPr>
          <w:color w:val="231F20"/>
          <w:spacing w:val="-11"/>
          <w:w w:val="120"/>
        </w:rPr>
        <w:t> </w:t>
      </w:r>
      <w:r>
        <w:rPr>
          <w:color w:val="231F20"/>
          <w:spacing w:val="-2"/>
          <w:w w:val="120"/>
        </w:rPr>
        <w:t>comme</w:t>
      </w:r>
      <w:r>
        <w:rPr>
          <w:color w:val="231F20"/>
          <w:spacing w:val="-10"/>
          <w:w w:val="120"/>
        </w:rPr>
        <w:t> </w:t>
      </w:r>
      <w:r>
        <w:rPr>
          <w:color w:val="231F20"/>
          <w:spacing w:val="-2"/>
          <w:w w:val="120"/>
        </w:rPr>
        <w:t>le</w:t>
      </w:r>
      <w:r>
        <w:rPr>
          <w:color w:val="231F20"/>
          <w:spacing w:val="-11"/>
          <w:w w:val="120"/>
        </w:rPr>
        <w:t> </w:t>
      </w:r>
      <w:r>
        <w:rPr>
          <w:color w:val="231F20"/>
          <w:spacing w:val="-2"/>
          <w:w w:val="120"/>
        </w:rPr>
        <w:t>sont </w:t>
      </w:r>
      <w:r>
        <w:rPr>
          <w:color w:val="231F20"/>
          <w:w w:val="115"/>
        </w:rPr>
        <w:t>les</w:t>
      </w:r>
      <w:r>
        <w:rPr>
          <w:color w:val="231F20"/>
          <w:spacing w:val="-1"/>
          <w:w w:val="115"/>
        </w:rPr>
        <w:t> </w:t>
      </w:r>
      <w:r>
        <w:rPr>
          <w:color w:val="231F20"/>
          <w:w w:val="115"/>
        </w:rPr>
        <w:t>symptômes</w:t>
      </w:r>
      <w:r>
        <w:rPr>
          <w:color w:val="231F20"/>
          <w:spacing w:val="-1"/>
          <w:w w:val="115"/>
        </w:rPr>
        <w:t> </w:t>
      </w:r>
      <w:r>
        <w:rPr>
          <w:color w:val="231F20"/>
          <w:w w:val="115"/>
        </w:rPr>
        <w:t>des</w:t>
      </w:r>
      <w:r>
        <w:rPr>
          <w:color w:val="231F20"/>
          <w:spacing w:val="-1"/>
          <w:w w:val="115"/>
        </w:rPr>
        <w:t> </w:t>
      </w:r>
      <w:r>
        <w:rPr>
          <w:color w:val="231F20"/>
          <w:w w:val="115"/>
        </w:rPr>
        <w:t>personnes</w:t>
      </w:r>
      <w:r>
        <w:rPr>
          <w:color w:val="231F20"/>
          <w:spacing w:val="-1"/>
          <w:w w:val="115"/>
        </w:rPr>
        <w:t> </w:t>
      </w:r>
      <w:r>
        <w:rPr>
          <w:color w:val="231F20"/>
          <w:w w:val="115"/>
        </w:rPr>
        <w:t>infectées</w:t>
      </w:r>
      <w:r>
        <w:rPr>
          <w:color w:val="231F20"/>
          <w:spacing w:val="-1"/>
          <w:w w:val="115"/>
        </w:rPr>
        <w:t> </w:t>
      </w:r>
      <w:r>
        <w:rPr>
          <w:color w:val="231F20"/>
          <w:w w:val="115"/>
        </w:rPr>
        <w:t>par</w:t>
      </w:r>
      <w:r>
        <w:rPr>
          <w:color w:val="231F20"/>
          <w:spacing w:val="-1"/>
          <w:w w:val="115"/>
        </w:rPr>
        <w:t> </w:t>
      </w:r>
      <w:r>
        <w:rPr>
          <w:color w:val="231F20"/>
          <w:w w:val="115"/>
        </w:rPr>
        <w:t>la</w:t>
      </w:r>
      <w:r>
        <w:rPr>
          <w:color w:val="231F20"/>
          <w:spacing w:val="-1"/>
          <w:w w:val="115"/>
        </w:rPr>
        <w:t> </w:t>
      </w:r>
      <w:r>
        <w:rPr>
          <w:color w:val="231F20"/>
          <w:w w:val="115"/>
        </w:rPr>
        <w:t>COVID-19</w:t>
      </w:r>
      <w:r>
        <w:rPr>
          <w:color w:val="231F20"/>
          <w:spacing w:val="-1"/>
          <w:w w:val="115"/>
        </w:rPr>
        <w:t> </w:t>
      </w:r>
      <w:r>
        <w:rPr>
          <w:color w:val="231F20"/>
          <w:w w:val="115"/>
        </w:rPr>
        <w:t>qui</w:t>
      </w:r>
      <w:r>
        <w:rPr>
          <w:color w:val="231F20"/>
          <w:spacing w:val="-1"/>
          <w:w w:val="115"/>
        </w:rPr>
        <w:t> </w:t>
      </w:r>
      <w:r>
        <w:rPr>
          <w:color w:val="231F20"/>
          <w:w w:val="115"/>
        </w:rPr>
        <w:t>sont</w:t>
      </w:r>
      <w:r>
        <w:rPr>
          <w:color w:val="231F20"/>
          <w:spacing w:val="-1"/>
          <w:w w:val="115"/>
        </w:rPr>
        <w:t> </w:t>
      </w:r>
      <w:r>
        <w:rPr>
          <w:color w:val="231F20"/>
          <w:w w:val="115"/>
        </w:rPr>
        <w:t>parfois </w:t>
      </w:r>
      <w:r>
        <w:rPr>
          <w:color w:val="231F20"/>
          <w:w w:val="120"/>
        </w:rPr>
        <w:t>asymptomatiques.</w:t>
      </w:r>
      <w:r>
        <w:rPr>
          <w:color w:val="231F20"/>
          <w:spacing w:val="-7"/>
          <w:w w:val="120"/>
        </w:rPr>
        <w:t> </w:t>
      </w:r>
      <w:r>
        <w:rPr>
          <w:color w:val="231F20"/>
          <w:w w:val="120"/>
        </w:rPr>
        <w:t>Lorsque</w:t>
      </w:r>
      <w:r>
        <w:rPr>
          <w:color w:val="231F20"/>
          <w:spacing w:val="-7"/>
          <w:w w:val="120"/>
        </w:rPr>
        <w:t> </w:t>
      </w:r>
      <w:r>
        <w:rPr>
          <w:color w:val="231F20"/>
          <w:w w:val="120"/>
        </w:rPr>
        <w:t>les</w:t>
      </w:r>
      <w:r>
        <w:rPr>
          <w:color w:val="231F20"/>
          <w:spacing w:val="-7"/>
          <w:w w:val="120"/>
        </w:rPr>
        <w:t> </w:t>
      </w:r>
      <w:r>
        <w:rPr>
          <w:color w:val="231F20"/>
          <w:w w:val="120"/>
        </w:rPr>
        <w:t>manifestations</w:t>
      </w:r>
      <w:r>
        <w:rPr>
          <w:color w:val="231F20"/>
          <w:spacing w:val="-7"/>
          <w:w w:val="120"/>
        </w:rPr>
        <w:t> </w:t>
      </w:r>
      <w:r>
        <w:rPr>
          <w:color w:val="231F20"/>
          <w:w w:val="120"/>
        </w:rPr>
        <w:t>de</w:t>
      </w:r>
      <w:r>
        <w:rPr>
          <w:color w:val="231F20"/>
          <w:spacing w:val="-7"/>
          <w:w w:val="120"/>
        </w:rPr>
        <w:t> </w:t>
      </w:r>
      <w:r>
        <w:rPr>
          <w:color w:val="231F20"/>
          <w:w w:val="120"/>
        </w:rPr>
        <w:t>ce</w:t>
      </w:r>
      <w:r>
        <w:rPr>
          <w:color w:val="231F20"/>
          <w:spacing w:val="-7"/>
          <w:w w:val="120"/>
        </w:rPr>
        <w:t> </w:t>
      </w:r>
      <w:r>
        <w:rPr>
          <w:color w:val="231F20"/>
          <w:w w:val="120"/>
        </w:rPr>
        <w:t>virus</w:t>
      </w:r>
      <w:r>
        <w:rPr>
          <w:color w:val="231F20"/>
          <w:spacing w:val="-7"/>
          <w:w w:val="120"/>
        </w:rPr>
        <w:t> </w:t>
      </w:r>
      <w:r>
        <w:rPr>
          <w:color w:val="231F20"/>
          <w:w w:val="120"/>
        </w:rPr>
        <w:t>apparaissent, la</w:t>
      </w:r>
      <w:r>
        <w:rPr>
          <w:color w:val="231F20"/>
          <w:spacing w:val="-7"/>
          <w:w w:val="120"/>
        </w:rPr>
        <w:t> </w:t>
      </w:r>
      <w:r>
        <w:rPr>
          <w:color w:val="231F20"/>
          <w:w w:val="120"/>
        </w:rPr>
        <w:t>maladie</w:t>
      </w:r>
      <w:r>
        <w:rPr>
          <w:color w:val="231F20"/>
          <w:spacing w:val="-7"/>
          <w:w w:val="120"/>
        </w:rPr>
        <w:t> </w:t>
      </w:r>
      <w:r>
        <w:rPr>
          <w:color w:val="231F20"/>
          <w:w w:val="120"/>
        </w:rPr>
        <w:t>est</w:t>
      </w:r>
      <w:r>
        <w:rPr>
          <w:color w:val="231F20"/>
          <w:spacing w:val="-7"/>
          <w:w w:val="120"/>
        </w:rPr>
        <w:t> </w:t>
      </w:r>
      <w:r>
        <w:rPr>
          <w:color w:val="231F20"/>
          <w:w w:val="120"/>
        </w:rPr>
        <w:t>parfois</w:t>
      </w:r>
      <w:r>
        <w:rPr>
          <w:color w:val="231F20"/>
          <w:spacing w:val="-7"/>
          <w:w w:val="120"/>
        </w:rPr>
        <w:t> </w:t>
      </w:r>
      <w:r>
        <w:rPr>
          <w:color w:val="231F20"/>
          <w:w w:val="120"/>
        </w:rPr>
        <w:t>à</w:t>
      </w:r>
      <w:r>
        <w:rPr>
          <w:color w:val="231F20"/>
          <w:spacing w:val="-7"/>
          <w:w w:val="120"/>
        </w:rPr>
        <w:t> </w:t>
      </w:r>
      <w:r>
        <w:rPr>
          <w:color w:val="231F20"/>
          <w:w w:val="120"/>
        </w:rPr>
        <w:t>un</w:t>
      </w:r>
      <w:r>
        <w:rPr>
          <w:color w:val="231F20"/>
          <w:spacing w:val="-7"/>
          <w:w w:val="120"/>
        </w:rPr>
        <w:t> </w:t>
      </w:r>
      <w:r>
        <w:rPr>
          <w:color w:val="231F20"/>
          <w:w w:val="120"/>
        </w:rPr>
        <w:t>stade</w:t>
      </w:r>
      <w:r>
        <w:rPr>
          <w:color w:val="231F20"/>
          <w:spacing w:val="-7"/>
          <w:w w:val="120"/>
        </w:rPr>
        <w:t> </w:t>
      </w:r>
      <w:r>
        <w:rPr>
          <w:color w:val="231F20"/>
          <w:w w:val="120"/>
        </w:rPr>
        <w:t>avancé</w:t>
      </w:r>
      <w:r>
        <w:rPr>
          <w:color w:val="231F20"/>
          <w:spacing w:val="-7"/>
          <w:w w:val="120"/>
        </w:rPr>
        <w:t> </w:t>
      </w:r>
      <w:r>
        <w:rPr>
          <w:color w:val="231F20"/>
          <w:w w:val="120"/>
        </w:rPr>
        <w:t>et</w:t>
      </w:r>
      <w:r>
        <w:rPr>
          <w:color w:val="231F20"/>
          <w:spacing w:val="-7"/>
          <w:w w:val="120"/>
        </w:rPr>
        <w:t> </w:t>
      </w:r>
      <w:r>
        <w:rPr>
          <w:color w:val="231F20"/>
          <w:w w:val="120"/>
        </w:rPr>
        <w:t>les</w:t>
      </w:r>
      <w:r>
        <w:rPr>
          <w:color w:val="231F20"/>
          <w:spacing w:val="-7"/>
          <w:w w:val="120"/>
        </w:rPr>
        <w:t> </w:t>
      </w:r>
      <w:r>
        <w:rPr>
          <w:color w:val="231F20"/>
          <w:w w:val="120"/>
        </w:rPr>
        <w:t>risques</w:t>
      </w:r>
      <w:r>
        <w:rPr>
          <w:color w:val="231F20"/>
          <w:spacing w:val="-7"/>
          <w:w w:val="120"/>
        </w:rPr>
        <w:t> </w:t>
      </w:r>
      <w:r>
        <w:rPr>
          <w:color w:val="231F20"/>
          <w:w w:val="120"/>
        </w:rPr>
        <w:t>pour</w:t>
      </w:r>
      <w:r>
        <w:rPr>
          <w:color w:val="231F20"/>
          <w:spacing w:val="-7"/>
          <w:w w:val="120"/>
        </w:rPr>
        <w:t> </w:t>
      </w:r>
      <w:r>
        <w:rPr>
          <w:color w:val="231F20"/>
          <w:w w:val="120"/>
        </w:rPr>
        <w:t>la</w:t>
      </w:r>
      <w:r>
        <w:rPr>
          <w:color w:val="231F20"/>
          <w:spacing w:val="-7"/>
          <w:w w:val="120"/>
        </w:rPr>
        <w:t> </w:t>
      </w:r>
      <w:r>
        <w:rPr>
          <w:color w:val="231F20"/>
          <w:w w:val="120"/>
        </w:rPr>
        <w:t>santé</w:t>
      </w:r>
      <w:r>
        <w:rPr>
          <w:color w:val="231F20"/>
          <w:spacing w:val="-7"/>
          <w:w w:val="120"/>
        </w:rPr>
        <w:t> </w:t>
      </w:r>
      <w:r>
        <w:rPr>
          <w:color w:val="231F20"/>
          <w:w w:val="120"/>
        </w:rPr>
        <w:t>sont alors</w:t>
      </w:r>
      <w:r>
        <w:rPr>
          <w:color w:val="231F20"/>
          <w:spacing w:val="-2"/>
          <w:w w:val="120"/>
        </w:rPr>
        <w:t> </w:t>
      </w:r>
      <w:r>
        <w:rPr>
          <w:color w:val="231F20"/>
          <w:w w:val="120"/>
        </w:rPr>
        <w:t>accrus.</w:t>
      </w:r>
      <w:r>
        <w:rPr>
          <w:color w:val="231F20"/>
          <w:spacing w:val="-2"/>
          <w:w w:val="120"/>
        </w:rPr>
        <w:t> </w:t>
      </w:r>
      <w:r>
        <w:rPr>
          <w:color w:val="231F20"/>
          <w:w w:val="120"/>
        </w:rPr>
        <w:t>Il</w:t>
      </w:r>
      <w:r>
        <w:rPr>
          <w:color w:val="231F20"/>
          <w:spacing w:val="-2"/>
          <w:w w:val="120"/>
        </w:rPr>
        <w:t> </w:t>
      </w:r>
      <w:r>
        <w:rPr>
          <w:color w:val="231F20"/>
          <w:w w:val="120"/>
        </w:rPr>
        <w:t>en</w:t>
      </w:r>
      <w:r>
        <w:rPr>
          <w:color w:val="231F20"/>
          <w:spacing w:val="-2"/>
          <w:w w:val="120"/>
        </w:rPr>
        <w:t> </w:t>
      </w:r>
      <w:r>
        <w:rPr>
          <w:color w:val="231F20"/>
          <w:w w:val="120"/>
        </w:rPr>
        <w:t>va</w:t>
      </w:r>
      <w:r>
        <w:rPr>
          <w:color w:val="231F20"/>
          <w:spacing w:val="-2"/>
          <w:w w:val="120"/>
        </w:rPr>
        <w:t> </w:t>
      </w:r>
      <w:r>
        <w:rPr>
          <w:color w:val="231F20"/>
          <w:w w:val="120"/>
        </w:rPr>
        <w:t>de</w:t>
      </w:r>
      <w:r>
        <w:rPr>
          <w:color w:val="231F20"/>
          <w:spacing w:val="-2"/>
          <w:w w:val="120"/>
        </w:rPr>
        <w:t> </w:t>
      </w:r>
      <w:r>
        <w:rPr>
          <w:color w:val="231F20"/>
          <w:w w:val="120"/>
        </w:rPr>
        <w:t>même</w:t>
      </w:r>
      <w:r>
        <w:rPr>
          <w:color w:val="231F20"/>
          <w:spacing w:val="-2"/>
          <w:w w:val="120"/>
        </w:rPr>
        <w:t> </w:t>
      </w:r>
      <w:r>
        <w:rPr>
          <w:color w:val="231F20"/>
          <w:w w:val="120"/>
        </w:rPr>
        <w:t>pour</w:t>
      </w:r>
      <w:r>
        <w:rPr>
          <w:color w:val="231F20"/>
          <w:spacing w:val="-2"/>
          <w:w w:val="120"/>
        </w:rPr>
        <w:t> </w:t>
      </w:r>
      <w:r>
        <w:rPr>
          <w:color w:val="231F20"/>
          <w:w w:val="120"/>
        </w:rPr>
        <w:t>le</w:t>
      </w:r>
      <w:r>
        <w:rPr>
          <w:color w:val="231F20"/>
          <w:spacing w:val="-2"/>
          <w:w w:val="120"/>
        </w:rPr>
        <w:t> </w:t>
      </w:r>
      <w:r>
        <w:rPr>
          <w:color w:val="231F20"/>
          <w:w w:val="120"/>
        </w:rPr>
        <w:t>stress</w:t>
      </w:r>
      <w:r>
        <w:rPr>
          <w:color w:val="231F20"/>
          <w:spacing w:val="-2"/>
          <w:w w:val="120"/>
        </w:rPr>
        <w:t> </w:t>
      </w:r>
      <w:r>
        <w:rPr>
          <w:color w:val="231F20"/>
          <w:w w:val="120"/>
        </w:rPr>
        <w:t>chronique,</w:t>
      </w:r>
      <w:r>
        <w:rPr>
          <w:color w:val="231F20"/>
          <w:spacing w:val="-2"/>
          <w:w w:val="120"/>
        </w:rPr>
        <w:t> </w:t>
      </w:r>
      <w:r>
        <w:rPr>
          <w:color w:val="231F20"/>
          <w:w w:val="120"/>
        </w:rPr>
        <w:t>au</w:t>
      </w:r>
      <w:r>
        <w:rPr>
          <w:color w:val="231F20"/>
          <w:spacing w:val="-2"/>
          <w:w w:val="120"/>
        </w:rPr>
        <w:t> </w:t>
      </w:r>
      <w:r>
        <w:rPr>
          <w:color w:val="231F20"/>
          <w:w w:val="120"/>
        </w:rPr>
        <w:t>moment</w:t>
      </w:r>
      <w:r>
        <w:rPr>
          <w:color w:val="231F20"/>
          <w:spacing w:val="-2"/>
          <w:w w:val="120"/>
        </w:rPr>
        <w:t> </w:t>
      </w:r>
      <w:r>
        <w:rPr>
          <w:color w:val="231F20"/>
          <w:w w:val="120"/>
        </w:rPr>
        <w:t>où les symptômes apparaissent clairement (cela peut arriver des mois, voire des années plus tard), les interventions deviennent complexes et </w:t>
      </w:r>
      <w:r>
        <w:rPr>
          <w:color w:val="231F20"/>
          <w:w w:val="115"/>
        </w:rPr>
        <w:t>leur efficacité diminue. Cela a mené à la production de milliers d’articles </w:t>
      </w:r>
      <w:r>
        <w:rPr>
          <w:color w:val="231F20"/>
          <w:w w:val="120"/>
        </w:rPr>
        <w:t>qui</w:t>
      </w:r>
      <w:r>
        <w:rPr>
          <w:color w:val="231F20"/>
          <w:spacing w:val="23"/>
          <w:w w:val="120"/>
        </w:rPr>
        <w:t> </w:t>
      </w:r>
      <w:r>
        <w:rPr>
          <w:color w:val="231F20"/>
          <w:w w:val="120"/>
        </w:rPr>
        <w:t>cherchaient</w:t>
      </w:r>
      <w:r>
        <w:rPr>
          <w:color w:val="231F20"/>
          <w:spacing w:val="23"/>
          <w:w w:val="120"/>
        </w:rPr>
        <w:t> </w:t>
      </w:r>
      <w:r>
        <w:rPr>
          <w:color w:val="231F20"/>
          <w:w w:val="120"/>
        </w:rPr>
        <w:t>à</w:t>
      </w:r>
      <w:r>
        <w:rPr>
          <w:color w:val="231F20"/>
          <w:spacing w:val="23"/>
          <w:w w:val="120"/>
        </w:rPr>
        <w:t> </w:t>
      </w:r>
      <w:r>
        <w:rPr>
          <w:color w:val="231F20"/>
          <w:w w:val="120"/>
        </w:rPr>
        <w:t>modéliser</w:t>
      </w:r>
      <w:r>
        <w:rPr>
          <w:color w:val="231F20"/>
          <w:spacing w:val="23"/>
          <w:w w:val="120"/>
        </w:rPr>
        <w:t> </w:t>
      </w:r>
      <w:r>
        <w:rPr>
          <w:color w:val="231F20"/>
          <w:w w:val="120"/>
        </w:rPr>
        <w:t>et</w:t>
      </w:r>
      <w:r>
        <w:rPr>
          <w:color w:val="231F20"/>
          <w:spacing w:val="23"/>
          <w:w w:val="120"/>
        </w:rPr>
        <w:t> </w:t>
      </w:r>
      <w:r>
        <w:rPr>
          <w:color w:val="231F20"/>
          <w:w w:val="120"/>
        </w:rPr>
        <w:t>à</w:t>
      </w:r>
      <w:r>
        <w:rPr>
          <w:color w:val="231F20"/>
          <w:spacing w:val="23"/>
          <w:w w:val="120"/>
        </w:rPr>
        <w:t> </w:t>
      </w:r>
      <w:r>
        <w:rPr>
          <w:color w:val="231F20"/>
          <w:w w:val="120"/>
        </w:rPr>
        <w:t>mesurer</w:t>
      </w:r>
      <w:r>
        <w:rPr>
          <w:color w:val="231F20"/>
          <w:spacing w:val="23"/>
          <w:w w:val="120"/>
        </w:rPr>
        <w:t> </w:t>
      </w:r>
      <w:r>
        <w:rPr>
          <w:color w:val="231F20"/>
          <w:w w:val="120"/>
        </w:rPr>
        <w:t>le</w:t>
      </w:r>
      <w:r>
        <w:rPr>
          <w:color w:val="231F20"/>
          <w:spacing w:val="24"/>
          <w:w w:val="120"/>
        </w:rPr>
        <w:t> </w:t>
      </w:r>
      <w:r>
        <w:rPr>
          <w:color w:val="231F20"/>
          <w:w w:val="120"/>
        </w:rPr>
        <w:t>stress</w:t>
      </w:r>
      <w:r>
        <w:rPr>
          <w:color w:val="231F20"/>
          <w:spacing w:val="23"/>
          <w:w w:val="120"/>
        </w:rPr>
        <w:t> </w:t>
      </w:r>
      <w:r>
        <w:rPr>
          <w:color w:val="231F20"/>
          <w:w w:val="120"/>
        </w:rPr>
        <w:t>chronique</w:t>
      </w:r>
      <w:r>
        <w:rPr>
          <w:color w:val="231F20"/>
          <w:spacing w:val="23"/>
          <w:w w:val="120"/>
        </w:rPr>
        <w:t> </w:t>
      </w:r>
      <w:r>
        <w:rPr>
          <w:color w:val="231F20"/>
          <w:w w:val="120"/>
        </w:rPr>
        <w:t>en</w:t>
      </w:r>
      <w:r>
        <w:rPr>
          <w:color w:val="231F20"/>
          <w:spacing w:val="23"/>
          <w:w w:val="120"/>
        </w:rPr>
        <w:t> </w:t>
      </w:r>
      <w:r>
        <w:rPr>
          <w:color w:val="231F20"/>
          <w:spacing w:val="-5"/>
          <w:w w:val="120"/>
        </w:rPr>
        <w:t>vue</w:t>
      </w:r>
    </w:p>
    <w:p>
      <w:pPr>
        <w:pStyle w:val="BodyText"/>
        <w:rPr>
          <w:sz w:val="20"/>
        </w:rPr>
      </w:pPr>
    </w:p>
    <w:p>
      <w:pPr>
        <w:pStyle w:val="BodyText"/>
        <w:rPr>
          <w:sz w:val="20"/>
        </w:rPr>
      </w:pPr>
      <w:r>
        <w:rPr/>
        <w:pict>
          <v:shape style="position:absolute;margin-left:82pt;margin-top:12.714207pt;width:287.5pt;height:.1pt;mso-position-horizontal-relative:page;mso-position-vertical-relative:paragraph;z-index:-15613440;mso-wrap-distance-left:0;mso-wrap-distance-right:0" id="docshape1158" coordorigin="1640,254" coordsize="5750,0" path="m1640,254l7390,254e" filled="false" stroked="true" strokeweight=".25pt" strokecolor="#231f20">
            <v:path arrowok="t"/>
            <v:stroke dashstyle="shortdot"/>
            <w10:wrap type="topAndBottom"/>
          </v:shape>
        </w:pict>
      </w:r>
    </w:p>
    <w:p>
      <w:pPr>
        <w:spacing w:line="295" w:lineRule="auto" w:before="135"/>
        <w:ind w:left="1219" w:right="107" w:hanging="328"/>
        <w:jc w:val="both"/>
        <w:rPr>
          <w:rFonts w:ascii="Arial" w:hAnsi="Arial"/>
          <w:sz w:val="12"/>
        </w:rPr>
      </w:pPr>
      <w:r>
        <w:rPr>
          <w:rFonts w:ascii="Arial" w:hAnsi="Arial"/>
          <w:color w:val="231F20"/>
          <w:sz w:val="12"/>
        </w:rPr>
        <w:t>1</w:t>
      </w:r>
      <w:r>
        <w:rPr>
          <w:rFonts w:ascii="Arial" w:hAnsi="Arial"/>
          <w:color w:val="231F20"/>
          <w:spacing w:val="80"/>
          <w:sz w:val="12"/>
        </w:rPr>
        <w:t>  </w:t>
      </w:r>
      <w:r>
        <w:rPr>
          <w:rFonts w:ascii="Arial" w:hAnsi="Arial"/>
          <w:color w:val="231F20"/>
          <w:sz w:val="12"/>
        </w:rPr>
        <w:t>Cette annexe est tirée, traduite et adaptée de Dolan, S. L. et Garcia Sanchez, S. (2020). Covid-19, stress,</w:t>
      </w:r>
      <w:r>
        <w:rPr>
          <w:rFonts w:ascii="Arial" w:hAnsi="Arial"/>
          <w:color w:val="231F20"/>
          <w:spacing w:val="40"/>
          <w:sz w:val="12"/>
        </w:rPr>
        <w:t> </w:t>
      </w:r>
      <w:r>
        <w:rPr>
          <w:rFonts w:ascii="Arial" w:hAnsi="Arial"/>
          <w:color w:val="231F20"/>
          <w:sz w:val="12"/>
        </w:rPr>
        <w:t>self-esteem, values, and psychological well-being: How to assess risks of becoming depressed, anxious, or</w:t>
      </w:r>
      <w:r>
        <w:rPr>
          <w:rFonts w:ascii="Arial" w:hAnsi="Arial"/>
          <w:color w:val="231F20"/>
          <w:spacing w:val="40"/>
          <w:sz w:val="12"/>
        </w:rPr>
        <w:t> </w:t>
      </w:r>
      <w:r>
        <w:rPr>
          <w:rFonts w:ascii="Arial" w:hAnsi="Arial"/>
          <w:color w:val="231F20"/>
          <w:sz w:val="12"/>
        </w:rPr>
        <w:t>suicidal</w:t>
      </w:r>
      <w:r>
        <w:rPr>
          <w:rFonts w:ascii="Arial" w:hAnsi="Arial"/>
          <w:color w:val="231F20"/>
          <w:spacing w:val="-23"/>
          <w:sz w:val="12"/>
        </w:rPr>
        <w:t> </w:t>
      </w:r>
      <w:r>
        <w:rPr>
          <w:rFonts w:ascii="Arial" w:hAnsi="Arial"/>
          <w:color w:val="231F20"/>
          <w:sz w:val="12"/>
        </w:rPr>
        <w:t>?,</w:t>
      </w:r>
      <w:r>
        <w:rPr>
          <w:rFonts w:ascii="Arial" w:hAnsi="Arial"/>
          <w:color w:val="231F20"/>
          <w:spacing w:val="-4"/>
          <w:sz w:val="12"/>
        </w:rPr>
        <w:t> </w:t>
      </w:r>
      <w:r>
        <w:rPr>
          <w:rFonts w:ascii="Arial" w:hAnsi="Arial"/>
          <w:i/>
          <w:color w:val="231F20"/>
          <w:sz w:val="12"/>
        </w:rPr>
        <w:t>European</w:t>
      </w:r>
      <w:r>
        <w:rPr>
          <w:rFonts w:ascii="Arial" w:hAnsi="Arial"/>
          <w:i/>
          <w:color w:val="231F20"/>
          <w:spacing w:val="-4"/>
          <w:sz w:val="12"/>
        </w:rPr>
        <w:t> </w:t>
      </w:r>
      <w:r>
        <w:rPr>
          <w:rFonts w:ascii="Arial" w:hAnsi="Arial"/>
          <w:i/>
          <w:color w:val="231F20"/>
          <w:sz w:val="12"/>
        </w:rPr>
        <w:t>Business</w:t>
      </w:r>
      <w:r>
        <w:rPr>
          <w:rFonts w:ascii="Arial" w:hAnsi="Arial"/>
          <w:i/>
          <w:color w:val="231F20"/>
          <w:spacing w:val="-4"/>
          <w:sz w:val="12"/>
        </w:rPr>
        <w:t> </w:t>
      </w:r>
      <w:r>
        <w:rPr>
          <w:rFonts w:ascii="Arial" w:hAnsi="Arial"/>
          <w:i/>
          <w:color w:val="231F20"/>
          <w:sz w:val="12"/>
        </w:rPr>
        <w:t>Review</w:t>
      </w:r>
      <w:r>
        <w:rPr>
          <w:rFonts w:ascii="Arial" w:hAnsi="Arial"/>
          <w:color w:val="231F20"/>
          <w:sz w:val="12"/>
        </w:rPr>
        <w:t>,</w:t>
      </w:r>
      <w:r>
        <w:rPr>
          <w:rFonts w:ascii="Arial" w:hAnsi="Arial"/>
          <w:color w:val="231F20"/>
          <w:spacing w:val="-4"/>
          <w:sz w:val="12"/>
        </w:rPr>
        <w:t> </w:t>
      </w:r>
      <w:r>
        <w:rPr>
          <w:rFonts w:ascii="Arial" w:hAnsi="Arial"/>
          <w:color w:val="231F20"/>
          <w:sz w:val="12"/>
        </w:rPr>
        <w:t>13</w:t>
      </w:r>
      <w:r>
        <w:rPr>
          <w:rFonts w:ascii="Arial" w:hAnsi="Arial"/>
          <w:color w:val="231F20"/>
          <w:spacing w:val="-4"/>
          <w:sz w:val="12"/>
        </w:rPr>
        <w:t> </w:t>
      </w:r>
      <w:r>
        <w:rPr>
          <w:rFonts w:ascii="Arial" w:hAnsi="Arial"/>
          <w:color w:val="231F20"/>
          <w:sz w:val="12"/>
        </w:rPr>
        <w:t>mai</w:t>
      </w:r>
      <w:r>
        <w:rPr>
          <w:rFonts w:ascii="Arial" w:hAnsi="Arial"/>
          <w:color w:val="231F20"/>
          <w:spacing w:val="-4"/>
          <w:sz w:val="12"/>
        </w:rPr>
        <w:t> </w:t>
      </w:r>
      <w:r>
        <w:rPr>
          <w:rFonts w:ascii="Arial" w:hAnsi="Arial"/>
          <w:color w:val="231F20"/>
          <w:sz w:val="12"/>
        </w:rPr>
        <w:t>2020.</w:t>
      </w:r>
    </w:p>
    <w:p>
      <w:pPr>
        <w:spacing w:after="0" w:line="295" w:lineRule="auto"/>
        <w:jc w:val="both"/>
        <w:rPr>
          <w:rFonts w:ascii="Arial" w:hAnsi="Arial"/>
          <w:sz w:val="12"/>
        </w:rPr>
        <w:sectPr>
          <w:footerReference w:type="default" r:id="rId347"/>
          <w:pgSz w:w="8640" w:h="12960"/>
          <w:pgMar w:footer="0" w:header="0" w:top="1220" w:bottom="28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3"/>
        <w:jc w:val="both"/>
      </w:pPr>
      <w:r>
        <w:rPr>
          <w:color w:val="231F20"/>
          <w:w w:val="120"/>
        </w:rPr>
        <w:t>d’intervenir</w:t>
      </w:r>
      <w:r>
        <w:rPr>
          <w:color w:val="231F20"/>
          <w:spacing w:val="-4"/>
          <w:w w:val="120"/>
        </w:rPr>
        <w:t> </w:t>
      </w:r>
      <w:r>
        <w:rPr>
          <w:color w:val="231F20"/>
          <w:w w:val="120"/>
        </w:rPr>
        <w:t>et</w:t>
      </w:r>
      <w:r>
        <w:rPr>
          <w:color w:val="231F20"/>
          <w:spacing w:val="-4"/>
          <w:w w:val="120"/>
        </w:rPr>
        <w:t> </w:t>
      </w:r>
      <w:r>
        <w:rPr>
          <w:color w:val="231F20"/>
          <w:w w:val="120"/>
        </w:rPr>
        <w:t>de</w:t>
      </w:r>
      <w:r>
        <w:rPr>
          <w:color w:val="231F20"/>
          <w:spacing w:val="-4"/>
          <w:w w:val="120"/>
        </w:rPr>
        <w:t> </w:t>
      </w:r>
      <w:r>
        <w:rPr>
          <w:color w:val="231F20"/>
          <w:w w:val="120"/>
        </w:rPr>
        <w:t>prévenir</w:t>
      </w:r>
      <w:r>
        <w:rPr>
          <w:color w:val="231F20"/>
          <w:spacing w:val="-4"/>
          <w:w w:val="120"/>
        </w:rPr>
        <w:t> </w:t>
      </w:r>
      <w:r>
        <w:rPr>
          <w:color w:val="231F20"/>
          <w:w w:val="120"/>
        </w:rPr>
        <w:t>la</w:t>
      </w:r>
      <w:r>
        <w:rPr>
          <w:color w:val="231F20"/>
          <w:spacing w:val="-4"/>
          <w:w w:val="120"/>
        </w:rPr>
        <w:t> </w:t>
      </w:r>
      <w:r>
        <w:rPr>
          <w:color w:val="231F20"/>
          <w:w w:val="120"/>
        </w:rPr>
        <w:t>dépression,</w:t>
      </w:r>
      <w:r>
        <w:rPr>
          <w:color w:val="231F20"/>
          <w:spacing w:val="-4"/>
          <w:w w:val="120"/>
        </w:rPr>
        <w:t> </w:t>
      </w:r>
      <w:r>
        <w:rPr>
          <w:color w:val="231F20"/>
          <w:w w:val="120"/>
        </w:rPr>
        <w:t>l’anxiété</w:t>
      </w:r>
      <w:r>
        <w:rPr>
          <w:color w:val="231F20"/>
          <w:spacing w:val="-4"/>
          <w:w w:val="120"/>
        </w:rPr>
        <w:t> </w:t>
      </w:r>
      <w:r>
        <w:rPr>
          <w:color w:val="231F20"/>
          <w:w w:val="120"/>
        </w:rPr>
        <w:t>ou</w:t>
      </w:r>
      <w:r>
        <w:rPr>
          <w:color w:val="231F20"/>
          <w:spacing w:val="-4"/>
          <w:w w:val="120"/>
        </w:rPr>
        <w:t> </w:t>
      </w:r>
      <w:r>
        <w:rPr>
          <w:color w:val="231F20"/>
          <w:w w:val="120"/>
        </w:rPr>
        <w:t>même</w:t>
      </w:r>
      <w:r>
        <w:rPr>
          <w:color w:val="231F20"/>
          <w:spacing w:val="-4"/>
          <w:w w:val="120"/>
        </w:rPr>
        <w:t> </w:t>
      </w:r>
      <w:r>
        <w:rPr>
          <w:color w:val="231F20"/>
          <w:w w:val="120"/>
        </w:rPr>
        <w:t>le</w:t>
      </w:r>
      <w:r>
        <w:rPr>
          <w:color w:val="231F20"/>
          <w:spacing w:val="-4"/>
          <w:w w:val="120"/>
        </w:rPr>
        <w:t> </w:t>
      </w:r>
      <w:r>
        <w:rPr>
          <w:color w:val="231F20"/>
          <w:w w:val="120"/>
        </w:rPr>
        <w:t>suicide. </w:t>
      </w:r>
      <w:r>
        <w:rPr>
          <w:color w:val="231F20"/>
          <w:spacing w:val="-2"/>
          <w:w w:val="120"/>
        </w:rPr>
        <w:t>Cela</w:t>
      </w:r>
      <w:r>
        <w:rPr>
          <w:color w:val="231F20"/>
          <w:spacing w:val="-11"/>
          <w:w w:val="120"/>
        </w:rPr>
        <w:t> </w:t>
      </w:r>
      <w:r>
        <w:rPr>
          <w:color w:val="231F20"/>
          <w:spacing w:val="-2"/>
          <w:w w:val="120"/>
        </w:rPr>
        <w:t>a</w:t>
      </w:r>
      <w:r>
        <w:rPr>
          <w:color w:val="231F20"/>
          <w:spacing w:val="-11"/>
          <w:w w:val="120"/>
        </w:rPr>
        <w:t> </w:t>
      </w:r>
      <w:r>
        <w:rPr>
          <w:color w:val="231F20"/>
          <w:spacing w:val="-2"/>
          <w:w w:val="120"/>
        </w:rPr>
        <w:t>également</w:t>
      </w:r>
      <w:r>
        <w:rPr>
          <w:color w:val="231F20"/>
          <w:spacing w:val="-11"/>
          <w:w w:val="120"/>
        </w:rPr>
        <w:t> </w:t>
      </w:r>
      <w:r>
        <w:rPr>
          <w:color w:val="231F20"/>
          <w:spacing w:val="-2"/>
          <w:w w:val="120"/>
        </w:rPr>
        <w:t>conduit</w:t>
      </w:r>
      <w:r>
        <w:rPr>
          <w:color w:val="231F20"/>
          <w:spacing w:val="-5"/>
          <w:w w:val="120"/>
        </w:rPr>
        <w:t> </w:t>
      </w:r>
      <w:r>
        <w:rPr>
          <w:color w:val="231F20"/>
          <w:spacing w:val="-2"/>
          <w:w w:val="120"/>
        </w:rPr>
        <w:t>à</w:t>
      </w:r>
      <w:r>
        <w:rPr>
          <w:color w:val="231F20"/>
          <w:spacing w:val="-3"/>
          <w:w w:val="120"/>
        </w:rPr>
        <w:t> </w:t>
      </w:r>
      <w:r>
        <w:rPr>
          <w:color w:val="231F20"/>
          <w:spacing w:val="-2"/>
          <w:w w:val="120"/>
        </w:rPr>
        <w:t>l’émergence</w:t>
      </w:r>
      <w:r>
        <w:rPr>
          <w:color w:val="231F20"/>
          <w:spacing w:val="-4"/>
          <w:w w:val="120"/>
        </w:rPr>
        <w:t> </w:t>
      </w:r>
      <w:r>
        <w:rPr>
          <w:color w:val="231F20"/>
          <w:spacing w:val="-2"/>
          <w:w w:val="120"/>
        </w:rPr>
        <w:t>de</w:t>
      </w:r>
      <w:r>
        <w:rPr>
          <w:color w:val="231F20"/>
          <w:spacing w:val="-4"/>
          <w:w w:val="120"/>
        </w:rPr>
        <w:t> </w:t>
      </w:r>
      <w:r>
        <w:rPr>
          <w:color w:val="231F20"/>
          <w:spacing w:val="-2"/>
          <w:w w:val="120"/>
        </w:rPr>
        <w:t>nouveaux</w:t>
      </w:r>
      <w:r>
        <w:rPr>
          <w:color w:val="231F20"/>
          <w:spacing w:val="-4"/>
          <w:w w:val="120"/>
        </w:rPr>
        <w:t> </w:t>
      </w:r>
      <w:r>
        <w:rPr>
          <w:color w:val="231F20"/>
          <w:spacing w:val="-2"/>
          <w:w w:val="120"/>
        </w:rPr>
        <w:t>«</w:t>
      </w:r>
      <w:r>
        <w:rPr>
          <w:color w:val="231F20"/>
          <w:spacing w:val="-11"/>
          <w:w w:val="120"/>
        </w:rPr>
        <w:t> </w:t>
      </w:r>
      <w:r>
        <w:rPr>
          <w:color w:val="231F20"/>
          <w:spacing w:val="-2"/>
          <w:w w:val="120"/>
        </w:rPr>
        <w:t>mots</w:t>
      </w:r>
      <w:r>
        <w:rPr>
          <w:color w:val="231F20"/>
          <w:spacing w:val="-4"/>
          <w:w w:val="120"/>
        </w:rPr>
        <w:t> </w:t>
      </w:r>
      <w:r>
        <w:rPr>
          <w:color w:val="231F20"/>
          <w:spacing w:val="-2"/>
          <w:w w:val="120"/>
        </w:rPr>
        <w:t>à</w:t>
      </w:r>
      <w:r>
        <w:rPr>
          <w:color w:val="231F20"/>
          <w:spacing w:val="-4"/>
          <w:w w:val="120"/>
        </w:rPr>
        <w:t> </w:t>
      </w:r>
      <w:r>
        <w:rPr>
          <w:color w:val="231F20"/>
          <w:spacing w:val="-2"/>
          <w:w w:val="120"/>
        </w:rPr>
        <w:t>la</w:t>
      </w:r>
      <w:r>
        <w:rPr>
          <w:color w:val="231F20"/>
          <w:spacing w:val="-4"/>
          <w:w w:val="120"/>
        </w:rPr>
        <w:t> </w:t>
      </w:r>
      <w:r>
        <w:rPr>
          <w:color w:val="231F20"/>
          <w:spacing w:val="-2"/>
          <w:w w:val="120"/>
        </w:rPr>
        <w:t>mode» </w:t>
      </w:r>
      <w:r>
        <w:rPr>
          <w:color w:val="231F20"/>
          <w:w w:val="120"/>
        </w:rPr>
        <w:t>et</w:t>
      </w:r>
      <w:r>
        <w:rPr>
          <w:color w:val="231F20"/>
          <w:spacing w:val="-7"/>
          <w:w w:val="120"/>
        </w:rPr>
        <w:t> </w:t>
      </w:r>
      <w:r>
        <w:rPr>
          <w:color w:val="231F20"/>
          <w:w w:val="120"/>
        </w:rPr>
        <w:t>de</w:t>
      </w:r>
      <w:r>
        <w:rPr>
          <w:color w:val="231F20"/>
          <w:spacing w:val="-7"/>
          <w:w w:val="120"/>
        </w:rPr>
        <w:t> </w:t>
      </w:r>
      <w:r>
        <w:rPr>
          <w:color w:val="231F20"/>
          <w:w w:val="120"/>
        </w:rPr>
        <w:t>nouveaux</w:t>
      </w:r>
      <w:r>
        <w:rPr>
          <w:color w:val="231F20"/>
          <w:spacing w:val="-7"/>
          <w:w w:val="120"/>
        </w:rPr>
        <w:t> </w:t>
      </w:r>
      <w:r>
        <w:rPr>
          <w:color w:val="231F20"/>
          <w:w w:val="120"/>
        </w:rPr>
        <w:t>syndromes</w:t>
      </w:r>
      <w:r>
        <w:rPr>
          <w:color w:val="231F20"/>
          <w:spacing w:val="-7"/>
          <w:w w:val="120"/>
        </w:rPr>
        <w:t> </w:t>
      </w:r>
      <w:r>
        <w:rPr>
          <w:color w:val="231F20"/>
          <w:w w:val="120"/>
        </w:rPr>
        <w:t>dans</w:t>
      </w:r>
      <w:r>
        <w:rPr>
          <w:color w:val="231F20"/>
          <w:spacing w:val="-7"/>
          <w:w w:val="120"/>
        </w:rPr>
        <w:t> </w:t>
      </w:r>
      <w:r>
        <w:rPr>
          <w:color w:val="231F20"/>
          <w:w w:val="120"/>
        </w:rPr>
        <w:t>ce</w:t>
      </w:r>
      <w:r>
        <w:rPr>
          <w:color w:val="231F20"/>
          <w:spacing w:val="-7"/>
          <w:w w:val="120"/>
        </w:rPr>
        <w:t> </w:t>
      </w:r>
      <w:r>
        <w:rPr>
          <w:color w:val="231F20"/>
          <w:w w:val="120"/>
        </w:rPr>
        <w:t>domaine,</w:t>
      </w:r>
      <w:r>
        <w:rPr>
          <w:color w:val="231F20"/>
          <w:spacing w:val="-7"/>
          <w:w w:val="120"/>
        </w:rPr>
        <w:t> </w:t>
      </w:r>
      <w:r>
        <w:rPr>
          <w:color w:val="231F20"/>
          <w:w w:val="120"/>
        </w:rPr>
        <w:t>comme</w:t>
      </w:r>
      <w:r>
        <w:rPr>
          <w:color w:val="231F20"/>
          <w:spacing w:val="-7"/>
          <w:w w:val="120"/>
        </w:rPr>
        <w:t> </w:t>
      </w:r>
      <w:r>
        <w:rPr>
          <w:color w:val="231F20"/>
          <w:w w:val="120"/>
        </w:rPr>
        <w:t>l’épuisement</w:t>
      </w:r>
      <w:r>
        <w:rPr>
          <w:color w:val="231F20"/>
          <w:spacing w:val="-7"/>
          <w:w w:val="120"/>
        </w:rPr>
        <w:t> </w:t>
      </w:r>
      <w:r>
        <w:rPr>
          <w:color w:val="231F20"/>
          <w:w w:val="120"/>
        </w:rPr>
        <w:t>pro- fessionnel,</w:t>
      </w:r>
      <w:r>
        <w:rPr>
          <w:color w:val="231F20"/>
          <w:spacing w:val="-5"/>
          <w:w w:val="120"/>
        </w:rPr>
        <w:t> </w:t>
      </w:r>
      <w:r>
        <w:rPr>
          <w:color w:val="231F20"/>
          <w:w w:val="120"/>
        </w:rPr>
        <w:t>les</w:t>
      </w:r>
      <w:r>
        <w:rPr>
          <w:color w:val="231F20"/>
          <w:spacing w:val="-5"/>
          <w:w w:val="120"/>
        </w:rPr>
        <w:t> </w:t>
      </w:r>
      <w:r>
        <w:rPr>
          <w:color w:val="231F20"/>
          <w:w w:val="120"/>
        </w:rPr>
        <w:t>personnalités</w:t>
      </w:r>
      <w:r>
        <w:rPr>
          <w:color w:val="231F20"/>
          <w:spacing w:val="-5"/>
          <w:w w:val="120"/>
        </w:rPr>
        <w:t> </w:t>
      </w:r>
      <w:r>
        <w:rPr>
          <w:color w:val="231F20"/>
          <w:w w:val="120"/>
        </w:rPr>
        <w:t>sujettes</w:t>
      </w:r>
      <w:r>
        <w:rPr>
          <w:color w:val="231F20"/>
          <w:spacing w:val="-5"/>
          <w:w w:val="120"/>
        </w:rPr>
        <w:t> </w:t>
      </w:r>
      <w:r>
        <w:rPr>
          <w:color w:val="231F20"/>
          <w:w w:val="120"/>
        </w:rPr>
        <w:t>au</w:t>
      </w:r>
      <w:r>
        <w:rPr>
          <w:color w:val="231F20"/>
          <w:spacing w:val="-5"/>
          <w:w w:val="120"/>
        </w:rPr>
        <w:t> </w:t>
      </w:r>
      <w:r>
        <w:rPr>
          <w:color w:val="231F20"/>
          <w:w w:val="120"/>
        </w:rPr>
        <w:t>stress,</w:t>
      </w:r>
      <w:r>
        <w:rPr>
          <w:color w:val="231F20"/>
          <w:spacing w:val="-5"/>
          <w:w w:val="120"/>
        </w:rPr>
        <w:t> </w:t>
      </w:r>
      <w:r>
        <w:rPr>
          <w:color w:val="231F20"/>
          <w:w w:val="120"/>
        </w:rPr>
        <w:t>etc.</w:t>
      </w:r>
      <w:r>
        <w:rPr>
          <w:color w:val="231F20"/>
          <w:spacing w:val="-5"/>
          <w:w w:val="120"/>
        </w:rPr>
        <w:t> </w:t>
      </w:r>
      <w:r>
        <w:rPr>
          <w:color w:val="231F20"/>
          <w:w w:val="120"/>
        </w:rPr>
        <w:t>De</w:t>
      </w:r>
      <w:r>
        <w:rPr>
          <w:color w:val="231F20"/>
          <w:spacing w:val="-5"/>
          <w:w w:val="120"/>
        </w:rPr>
        <w:t> </w:t>
      </w:r>
      <w:r>
        <w:rPr>
          <w:color w:val="231F20"/>
          <w:w w:val="120"/>
        </w:rPr>
        <w:t>même,</w:t>
      </w:r>
      <w:r>
        <w:rPr>
          <w:color w:val="231F20"/>
          <w:spacing w:val="-5"/>
          <w:w w:val="120"/>
        </w:rPr>
        <w:t> </w:t>
      </w:r>
      <w:r>
        <w:rPr>
          <w:color w:val="231F20"/>
          <w:w w:val="120"/>
        </w:rPr>
        <w:t>plusieurs concepts empruntés à la psychologie positive ont été introduits pour faire face au stress aigu ou chronique tels que la résilience et la pleine conscience</w:t>
      </w:r>
      <w:r>
        <w:rPr>
          <w:color w:val="231F20"/>
          <w:spacing w:val="-13"/>
          <w:w w:val="120"/>
        </w:rPr>
        <w:t> </w:t>
      </w:r>
      <w:r>
        <w:rPr>
          <w:color w:val="231F20"/>
          <w:w w:val="120"/>
        </w:rPr>
        <w:t>(</w:t>
      </w:r>
      <w:r>
        <w:rPr>
          <w:i/>
          <w:color w:val="231F20"/>
          <w:w w:val="120"/>
        </w:rPr>
        <w:t>mindfulness</w:t>
      </w:r>
      <w:r>
        <w:rPr>
          <w:color w:val="231F20"/>
          <w:w w:val="120"/>
        </w:rPr>
        <w:t>).</w:t>
      </w:r>
    </w:p>
    <w:p>
      <w:pPr>
        <w:pStyle w:val="BodyText"/>
        <w:spacing w:line="307" w:lineRule="auto" w:before="79"/>
        <w:ind w:left="830" w:right="490" w:firstLine="250"/>
        <w:jc w:val="both"/>
      </w:pPr>
      <w:r>
        <w:rPr>
          <w:color w:val="231F20"/>
          <w:w w:val="120"/>
        </w:rPr>
        <w:t>Nous avons humblement contribué à ces avancées en insistant sur </w:t>
      </w:r>
      <w:r>
        <w:rPr>
          <w:color w:val="231F20"/>
          <w:spacing w:val="-2"/>
          <w:w w:val="120"/>
        </w:rPr>
        <w:t>deux</w:t>
      </w:r>
      <w:r>
        <w:rPr>
          <w:color w:val="231F20"/>
          <w:spacing w:val="-5"/>
          <w:w w:val="120"/>
        </w:rPr>
        <w:t> </w:t>
      </w:r>
      <w:r>
        <w:rPr>
          <w:color w:val="231F20"/>
          <w:spacing w:val="-2"/>
          <w:w w:val="120"/>
        </w:rPr>
        <w:t>éléments</w:t>
      </w:r>
      <w:r>
        <w:rPr>
          <w:color w:val="231F20"/>
          <w:spacing w:val="-5"/>
          <w:w w:val="120"/>
        </w:rPr>
        <w:t> </w:t>
      </w:r>
      <w:r>
        <w:rPr>
          <w:color w:val="231F20"/>
          <w:spacing w:val="-2"/>
          <w:w w:val="120"/>
        </w:rPr>
        <w:t>qui</w:t>
      </w:r>
      <w:r>
        <w:rPr>
          <w:color w:val="231F20"/>
          <w:spacing w:val="-5"/>
          <w:w w:val="120"/>
        </w:rPr>
        <w:t> </w:t>
      </w:r>
      <w:r>
        <w:rPr>
          <w:color w:val="231F20"/>
          <w:spacing w:val="-2"/>
          <w:w w:val="120"/>
        </w:rPr>
        <w:t>permettent</w:t>
      </w:r>
      <w:r>
        <w:rPr>
          <w:color w:val="231F20"/>
          <w:spacing w:val="-5"/>
          <w:w w:val="120"/>
        </w:rPr>
        <w:t> </w:t>
      </w:r>
      <w:r>
        <w:rPr>
          <w:color w:val="231F20"/>
          <w:spacing w:val="-2"/>
          <w:w w:val="120"/>
        </w:rPr>
        <w:t>de</w:t>
      </w:r>
      <w:r>
        <w:rPr>
          <w:color w:val="231F20"/>
          <w:spacing w:val="-5"/>
          <w:w w:val="120"/>
        </w:rPr>
        <w:t> </w:t>
      </w:r>
      <w:r>
        <w:rPr>
          <w:color w:val="231F20"/>
          <w:spacing w:val="-2"/>
          <w:w w:val="120"/>
        </w:rPr>
        <w:t>déterminer</w:t>
      </w:r>
      <w:r>
        <w:rPr>
          <w:color w:val="231F20"/>
          <w:spacing w:val="-5"/>
          <w:w w:val="120"/>
        </w:rPr>
        <w:t> </w:t>
      </w:r>
      <w:r>
        <w:rPr>
          <w:color w:val="231F20"/>
          <w:spacing w:val="-2"/>
          <w:w w:val="120"/>
        </w:rPr>
        <w:t>si</w:t>
      </w:r>
      <w:r>
        <w:rPr>
          <w:color w:val="231F20"/>
          <w:spacing w:val="-5"/>
          <w:w w:val="120"/>
        </w:rPr>
        <w:t> </w:t>
      </w:r>
      <w:r>
        <w:rPr>
          <w:color w:val="231F20"/>
          <w:spacing w:val="-2"/>
          <w:w w:val="120"/>
        </w:rPr>
        <w:t>un</w:t>
      </w:r>
      <w:r>
        <w:rPr>
          <w:color w:val="231F20"/>
          <w:spacing w:val="-5"/>
          <w:w w:val="120"/>
        </w:rPr>
        <w:t> </w:t>
      </w:r>
      <w:r>
        <w:rPr>
          <w:color w:val="231F20"/>
          <w:spacing w:val="-2"/>
          <w:w w:val="120"/>
        </w:rPr>
        <w:t>travailleur</w:t>
      </w:r>
      <w:r>
        <w:rPr>
          <w:color w:val="231F20"/>
          <w:spacing w:val="-5"/>
          <w:w w:val="120"/>
        </w:rPr>
        <w:t> </w:t>
      </w:r>
      <w:r>
        <w:rPr>
          <w:color w:val="231F20"/>
          <w:spacing w:val="-2"/>
          <w:w w:val="120"/>
        </w:rPr>
        <w:t>possède</w:t>
      </w:r>
      <w:r>
        <w:rPr>
          <w:color w:val="231F20"/>
          <w:spacing w:val="-5"/>
          <w:w w:val="120"/>
        </w:rPr>
        <w:t> </w:t>
      </w:r>
      <w:r>
        <w:rPr>
          <w:color w:val="231F20"/>
          <w:spacing w:val="-2"/>
          <w:w w:val="120"/>
        </w:rPr>
        <w:t>les ressources</w:t>
      </w:r>
      <w:r>
        <w:rPr>
          <w:color w:val="231F20"/>
          <w:spacing w:val="-13"/>
          <w:w w:val="120"/>
        </w:rPr>
        <w:t> </w:t>
      </w:r>
      <w:r>
        <w:rPr>
          <w:color w:val="231F20"/>
          <w:spacing w:val="-2"/>
          <w:w w:val="120"/>
        </w:rPr>
        <w:t>psychologiques</w:t>
      </w:r>
      <w:r>
        <w:rPr>
          <w:color w:val="231F20"/>
          <w:spacing w:val="-11"/>
          <w:w w:val="120"/>
        </w:rPr>
        <w:t> </w:t>
      </w:r>
      <w:r>
        <w:rPr>
          <w:color w:val="231F20"/>
          <w:spacing w:val="-2"/>
          <w:w w:val="120"/>
        </w:rPr>
        <w:t>pour</w:t>
      </w:r>
      <w:r>
        <w:rPr>
          <w:color w:val="231F20"/>
          <w:spacing w:val="-11"/>
          <w:w w:val="120"/>
        </w:rPr>
        <w:t> </w:t>
      </w:r>
      <w:r>
        <w:rPr>
          <w:color w:val="231F20"/>
          <w:spacing w:val="-2"/>
          <w:w w:val="120"/>
        </w:rPr>
        <w:t>atténuer</w:t>
      </w:r>
      <w:r>
        <w:rPr>
          <w:color w:val="231F20"/>
          <w:spacing w:val="-10"/>
          <w:w w:val="120"/>
        </w:rPr>
        <w:t> </w:t>
      </w:r>
      <w:r>
        <w:rPr>
          <w:color w:val="231F20"/>
          <w:spacing w:val="-2"/>
          <w:w w:val="120"/>
        </w:rPr>
        <w:t>ou,</w:t>
      </w:r>
      <w:r>
        <w:rPr>
          <w:color w:val="231F20"/>
          <w:spacing w:val="-11"/>
          <w:w w:val="120"/>
        </w:rPr>
        <w:t> </w:t>
      </w:r>
      <w:r>
        <w:rPr>
          <w:color w:val="231F20"/>
          <w:spacing w:val="-2"/>
          <w:w w:val="120"/>
        </w:rPr>
        <w:t>au</w:t>
      </w:r>
      <w:r>
        <w:rPr>
          <w:color w:val="231F20"/>
          <w:spacing w:val="-11"/>
          <w:w w:val="120"/>
        </w:rPr>
        <w:t> </w:t>
      </w:r>
      <w:r>
        <w:rPr>
          <w:color w:val="231F20"/>
          <w:spacing w:val="-2"/>
          <w:w w:val="120"/>
        </w:rPr>
        <w:t>contraire,</w:t>
      </w:r>
      <w:r>
        <w:rPr>
          <w:color w:val="231F20"/>
          <w:spacing w:val="-11"/>
          <w:w w:val="120"/>
        </w:rPr>
        <w:t> </w:t>
      </w:r>
      <w:r>
        <w:rPr>
          <w:color w:val="231F20"/>
          <w:spacing w:val="-2"/>
          <w:w w:val="120"/>
        </w:rPr>
        <w:t>pour</w:t>
      </w:r>
      <w:r>
        <w:rPr>
          <w:color w:val="231F20"/>
          <w:spacing w:val="-10"/>
          <w:w w:val="120"/>
        </w:rPr>
        <w:t> </w:t>
      </w:r>
      <w:r>
        <w:rPr>
          <w:color w:val="231F20"/>
          <w:spacing w:val="-2"/>
          <w:w w:val="120"/>
        </w:rPr>
        <w:t>exacerber </w:t>
      </w:r>
      <w:r>
        <w:rPr>
          <w:color w:val="231F20"/>
          <w:w w:val="120"/>
        </w:rPr>
        <w:t>les</w:t>
      </w:r>
      <w:r>
        <w:rPr>
          <w:color w:val="231F20"/>
          <w:spacing w:val="-7"/>
          <w:w w:val="120"/>
        </w:rPr>
        <w:t> </w:t>
      </w:r>
      <w:r>
        <w:rPr>
          <w:color w:val="231F20"/>
          <w:w w:val="120"/>
        </w:rPr>
        <w:t>effets</w:t>
      </w:r>
      <w:r>
        <w:rPr>
          <w:color w:val="231F20"/>
          <w:spacing w:val="-7"/>
          <w:w w:val="120"/>
        </w:rPr>
        <w:t> </w:t>
      </w:r>
      <w:r>
        <w:rPr>
          <w:color w:val="231F20"/>
          <w:w w:val="120"/>
        </w:rPr>
        <w:t>du</w:t>
      </w:r>
      <w:r>
        <w:rPr>
          <w:color w:val="231F20"/>
          <w:spacing w:val="-7"/>
          <w:w w:val="120"/>
        </w:rPr>
        <w:t> </w:t>
      </w:r>
      <w:r>
        <w:rPr>
          <w:color w:val="231F20"/>
          <w:w w:val="120"/>
        </w:rPr>
        <w:t>stress;</w:t>
      </w:r>
      <w:r>
        <w:rPr>
          <w:color w:val="231F20"/>
          <w:spacing w:val="-7"/>
          <w:w w:val="120"/>
        </w:rPr>
        <w:t> </w:t>
      </w:r>
      <w:r>
        <w:rPr>
          <w:color w:val="231F20"/>
          <w:w w:val="120"/>
        </w:rPr>
        <w:t>plus</w:t>
      </w:r>
      <w:r>
        <w:rPr>
          <w:color w:val="231F20"/>
          <w:spacing w:val="-7"/>
          <w:w w:val="120"/>
        </w:rPr>
        <w:t> </w:t>
      </w:r>
      <w:r>
        <w:rPr>
          <w:color w:val="231F20"/>
          <w:w w:val="120"/>
        </w:rPr>
        <w:t>précisément,</w:t>
      </w:r>
      <w:r>
        <w:rPr>
          <w:color w:val="231F20"/>
          <w:spacing w:val="-7"/>
          <w:w w:val="120"/>
        </w:rPr>
        <w:t> </w:t>
      </w:r>
      <w:r>
        <w:rPr>
          <w:color w:val="231F20"/>
          <w:w w:val="120"/>
        </w:rPr>
        <w:t>nous</w:t>
      </w:r>
      <w:r>
        <w:rPr>
          <w:color w:val="231F20"/>
          <w:spacing w:val="-7"/>
          <w:w w:val="120"/>
        </w:rPr>
        <w:t> </w:t>
      </w:r>
      <w:r>
        <w:rPr>
          <w:color w:val="231F20"/>
          <w:w w:val="120"/>
        </w:rPr>
        <w:t>avons</w:t>
      </w:r>
      <w:r>
        <w:rPr>
          <w:color w:val="231F20"/>
          <w:spacing w:val="-7"/>
          <w:w w:val="120"/>
        </w:rPr>
        <w:t> </w:t>
      </w:r>
      <w:r>
        <w:rPr>
          <w:color w:val="231F20"/>
          <w:w w:val="120"/>
        </w:rPr>
        <w:t>observé</w:t>
      </w:r>
      <w:r>
        <w:rPr>
          <w:color w:val="231F20"/>
          <w:spacing w:val="-7"/>
          <w:w w:val="120"/>
        </w:rPr>
        <w:t> </w:t>
      </w:r>
      <w:r>
        <w:rPr>
          <w:color w:val="231F20"/>
          <w:w w:val="120"/>
        </w:rPr>
        <w:t>au</w:t>
      </w:r>
      <w:r>
        <w:rPr>
          <w:color w:val="231F20"/>
          <w:spacing w:val="-7"/>
          <w:w w:val="120"/>
        </w:rPr>
        <w:t> </w:t>
      </w:r>
      <w:r>
        <w:rPr>
          <w:color w:val="231F20"/>
          <w:w w:val="120"/>
        </w:rPr>
        <w:t>fil</w:t>
      </w:r>
      <w:r>
        <w:rPr>
          <w:color w:val="231F20"/>
          <w:spacing w:val="-7"/>
          <w:w w:val="120"/>
        </w:rPr>
        <w:t> </w:t>
      </w:r>
      <w:r>
        <w:rPr>
          <w:color w:val="231F20"/>
          <w:w w:val="120"/>
        </w:rPr>
        <w:t>des</w:t>
      </w:r>
      <w:r>
        <w:rPr>
          <w:color w:val="231F20"/>
          <w:spacing w:val="-7"/>
          <w:w w:val="120"/>
        </w:rPr>
        <w:t> </w:t>
      </w:r>
      <w:r>
        <w:rPr>
          <w:color w:val="231F20"/>
          <w:w w:val="120"/>
        </w:rPr>
        <w:t>ans </w:t>
      </w:r>
      <w:r>
        <w:rPr>
          <w:color w:val="231F20"/>
          <w:w w:val="115"/>
        </w:rPr>
        <w:t>que</w:t>
      </w:r>
      <w:r>
        <w:rPr>
          <w:color w:val="231F20"/>
          <w:spacing w:val="-7"/>
          <w:w w:val="115"/>
        </w:rPr>
        <w:t> </w:t>
      </w:r>
      <w:r>
        <w:rPr>
          <w:color w:val="231F20"/>
          <w:w w:val="115"/>
        </w:rPr>
        <w:t>dans</w:t>
      </w:r>
      <w:r>
        <w:rPr>
          <w:color w:val="231F20"/>
          <w:spacing w:val="-7"/>
          <w:w w:val="115"/>
        </w:rPr>
        <w:t> </w:t>
      </w:r>
      <w:r>
        <w:rPr>
          <w:color w:val="231F20"/>
          <w:w w:val="115"/>
        </w:rPr>
        <w:t>la</w:t>
      </w:r>
      <w:r>
        <w:rPr>
          <w:color w:val="231F20"/>
          <w:spacing w:val="-7"/>
          <w:w w:val="115"/>
        </w:rPr>
        <w:t> </w:t>
      </w:r>
      <w:r>
        <w:rPr>
          <w:color w:val="231F20"/>
          <w:w w:val="115"/>
        </w:rPr>
        <w:t>grande</w:t>
      </w:r>
      <w:r>
        <w:rPr>
          <w:color w:val="231F20"/>
          <w:spacing w:val="-7"/>
          <w:w w:val="115"/>
        </w:rPr>
        <w:t> </w:t>
      </w:r>
      <w:r>
        <w:rPr>
          <w:color w:val="231F20"/>
          <w:w w:val="115"/>
        </w:rPr>
        <w:t>majorité</w:t>
      </w:r>
      <w:r>
        <w:rPr>
          <w:color w:val="231F20"/>
          <w:spacing w:val="-7"/>
          <w:w w:val="115"/>
        </w:rPr>
        <w:t> </w:t>
      </w:r>
      <w:r>
        <w:rPr>
          <w:color w:val="231F20"/>
          <w:w w:val="115"/>
        </w:rPr>
        <w:t>des</w:t>
      </w:r>
      <w:r>
        <w:rPr>
          <w:color w:val="231F20"/>
          <w:spacing w:val="-7"/>
          <w:w w:val="115"/>
        </w:rPr>
        <w:t> </w:t>
      </w:r>
      <w:r>
        <w:rPr>
          <w:color w:val="231F20"/>
          <w:w w:val="115"/>
        </w:rPr>
        <w:t>cas,</w:t>
      </w:r>
      <w:r>
        <w:rPr>
          <w:color w:val="231F20"/>
          <w:spacing w:val="-7"/>
          <w:w w:val="115"/>
        </w:rPr>
        <w:t> </w:t>
      </w:r>
      <w:r>
        <w:rPr>
          <w:color w:val="231F20"/>
          <w:w w:val="115"/>
        </w:rPr>
        <w:t>le</w:t>
      </w:r>
      <w:r>
        <w:rPr>
          <w:color w:val="231F20"/>
          <w:spacing w:val="-7"/>
          <w:w w:val="115"/>
        </w:rPr>
        <w:t> </w:t>
      </w:r>
      <w:r>
        <w:rPr>
          <w:color w:val="231F20"/>
          <w:w w:val="115"/>
        </w:rPr>
        <w:t>stress</w:t>
      </w:r>
      <w:r>
        <w:rPr>
          <w:color w:val="231F20"/>
          <w:spacing w:val="-7"/>
          <w:w w:val="115"/>
        </w:rPr>
        <w:t> </w:t>
      </w:r>
      <w:r>
        <w:rPr>
          <w:color w:val="231F20"/>
          <w:w w:val="115"/>
        </w:rPr>
        <w:t>lié</w:t>
      </w:r>
      <w:r>
        <w:rPr>
          <w:color w:val="231F20"/>
          <w:spacing w:val="-7"/>
          <w:w w:val="115"/>
        </w:rPr>
        <w:t> </w:t>
      </w:r>
      <w:r>
        <w:rPr>
          <w:color w:val="231F20"/>
          <w:w w:val="115"/>
        </w:rPr>
        <w:t>au</w:t>
      </w:r>
      <w:r>
        <w:rPr>
          <w:color w:val="231F20"/>
          <w:spacing w:val="-7"/>
          <w:w w:val="115"/>
        </w:rPr>
        <w:t> </w:t>
      </w:r>
      <w:r>
        <w:rPr>
          <w:color w:val="231F20"/>
          <w:w w:val="115"/>
        </w:rPr>
        <w:t>travail</w:t>
      </w:r>
      <w:r>
        <w:rPr>
          <w:color w:val="231F20"/>
          <w:spacing w:val="-7"/>
          <w:w w:val="115"/>
        </w:rPr>
        <w:t> </w:t>
      </w:r>
      <w:r>
        <w:rPr>
          <w:color w:val="231F20"/>
          <w:w w:val="115"/>
        </w:rPr>
        <w:t>est</w:t>
      </w:r>
      <w:r>
        <w:rPr>
          <w:color w:val="231F20"/>
          <w:spacing w:val="-7"/>
          <w:w w:val="115"/>
        </w:rPr>
        <w:t> </w:t>
      </w:r>
      <w:r>
        <w:rPr>
          <w:color w:val="231F20"/>
          <w:w w:val="115"/>
        </w:rPr>
        <w:t>issu</w:t>
      </w:r>
      <w:r>
        <w:rPr>
          <w:color w:val="231F20"/>
          <w:spacing w:val="-7"/>
          <w:w w:val="115"/>
        </w:rPr>
        <w:t> </w:t>
      </w:r>
      <w:r>
        <w:rPr>
          <w:color w:val="231F20"/>
          <w:w w:val="115"/>
        </w:rPr>
        <w:t>de</w:t>
      </w:r>
      <w:r>
        <w:rPr>
          <w:color w:val="231F20"/>
          <w:spacing w:val="-7"/>
          <w:w w:val="115"/>
        </w:rPr>
        <w:t> </w:t>
      </w:r>
      <w:r>
        <w:rPr>
          <w:color w:val="231F20"/>
          <w:w w:val="115"/>
        </w:rPr>
        <w:t>notre </w:t>
      </w:r>
      <w:r>
        <w:rPr>
          <w:color w:val="231F20"/>
          <w:w w:val="120"/>
        </w:rPr>
        <w:t>façon de percevoir ce qui se passe. Cette interprétation cognitive de la situation</w:t>
      </w:r>
      <w:r>
        <w:rPr>
          <w:color w:val="231F20"/>
          <w:spacing w:val="-12"/>
          <w:w w:val="120"/>
        </w:rPr>
        <w:t> </w:t>
      </w:r>
      <w:r>
        <w:rPr>
          <w:color w:val="231F20"/>
          <w:w w:val="120"/>
        </w:rPr>
        <w:t>dépend</w:t>
      </w:r>
      <w:r>
        <w:rPr>
          <w:color w:val="231F20"/>
          <w:spacing w:val="-12"/>
          <w:w w:val="120"/>
        </w:rPr>
        <w:t> </w:t>
      </w:r>
      <w:r>
        <w:rPr>
          <w:color w:val="231F20"/>
          <w:w w:val="120"/>
        </w:rPr>
        <w:t>principalement</w:t>
      </w:r>
      <w:r>
        <w:rPr>
          <w:color w:val="231F20"/>
          <w:spacing w:val="-12"/>
          <w:w w:val="120"/>
        </w:rPr>
        <w:t> </w:t>
      </w:r>
      <w:r>
        <w:rPr>
          <w:color w:val="231F20"/>
          <w:w w:val="120"/>
        </w:rPr>
        <w:t>de</w:t>
      </w:r>
      <w:r>
        <w:rPr>
          <w:color w:val="231F20"/>
          <w:spacing w:val="-12"/>
          <w:w w:val="120"/>
        </w:rPr>
        <w:t> </w:t>
      </w:r>
      <w:r>
        <w:rPr>
          <w:color w:val="231F20"/>
          <w:w w:val="120"/>
        </w:rPr>
        <w:t>deux</w:t>
      </w:r>
      <w:r>
        <w:rPr>
          <w:color w:val="231F20"/>
          <w:spacing w:val="-12"/>
          <w:w w:val="120"/>
        </w:rPr>
        <w:t> </w:t>
      </w:r>
      <w:r>
        <w:rPr>
          <w:color w:val="231F20"/>
          <w:w w:val="120"/>
        </w:rPr>
        <w:t>variables</w:t>
      </w:r>
      <w:r>
        <w:rPr>
          <w:color w:val="231F20"/>
          <w:spacing w:val="-12"/>
          <w:w w:val="120"/>
        </w:rPr>
        <w:t> </w:t>
      </w:r>
      <w:r>
        <w:rPr>
          <w:color w:val="231F20"/>
          <w:w w:val="120"/>
        </w:rPr>
        <w:t>indépendantes,</w:t>
      </w:r>
      <w:r>
        <w:rPr>
          <w:color w:val="231F20"/>
          <w:spacing w:val="-12"/>
          <w:w w:val="120"/>
        </w:rPr>
        <w:t> </w:t>
      </w:r>
      <w:r>
        <w:rPr>
          <w:color w:val="231F20"/>
          <w:w w:val="120"/>
        </w:rPr>
        <w:t>mais </w:t>
      </w:r>
      <w:r>
        <w:rPr>
          <w:color w:val="231F20"/>
          <w:spacing w:val="-4"/>
          <w:w w:val="120"/>
        </w:rPr>
        <w:t>qui</w:t>
      </w:r>
      <w:r>
        <w:rPr>
          <w:color w:val="231F20"/>
          <w:spacing w:val="-5"/>
          <w:w w:val="120"/>
        </w:rPr>
        <w:t> </w:t>
      </w:r>
      <w:r>
        <w:rPr>
          <w:color w:val="231F20"/>
          <w:spacing w:val="-4"/>
          <w:w w:val="120"/>
        </w:rPr>
        <w:t>agissent</w:t>
      </w:r>
      <w:r>
        <w:rPr>
          <w:color w:val="231F20"/>
          <w:spacing w:val="-5"/>
          <w:w w:val="120"/>
        </w:rPr>
        <w:t> </w:t>
      </w:r>
      <w:r>
        <w:rPr>
          <w:color w:val="231F20"/>
          <w:spacing w:val="-4"/>
          <w:w w:val="120"/>
        </w:rPr>
        <w:t>concurremment:</w:t>
      </w:r>
      <w:r>
        <w:rPr>
          <w:color w:val="231F20"/>
          <w:spacing w:val="-5"/>
          <w:w w:val="120"/>
        </w:rPr>
        <w:t> </w:t>
      </w:r>
      <w:r>
        <w:rPr>
          <w:color w:val="231F20"/>
          <w:spacing w:val="-4"/>
          <w:w w:val="120"/>
        </w:rPr>
        <w:t>1)</w:t>
      </w:r>
      <w:r>
        <w:rPr>
          <w:color w:val="231F20"/>
          <w:spacing w:val="-5"/>
          <w:w w:val="120"/>
        </w:rPr>
        <w:t> </w:t>
      </w:r>
      <w:r>
        <w:rPr>
          <w:color w:val="231F20"/>
          <w:spacing w:val="-4"/>
          <w:w w:val="120"/>
        </w:rPr>
        <w:t>notre</w:t>
      </w:r>
      <w:r>
        <w:rPr>
          <w:color w:val="231F20"/>
          <w:spacing w:val="-5"/>
          <w:w w:val="120"/>
        </w:rPr>
        <w:t> </w:t>
      </w:r>
      <w:r>
        <w:rPr>
          <w:color w:val="231F20"/>
          <w:spacing w:val="-4"/>
          <w:w w:val="120"/>
        </w:rPr>
        <w:t>évaluation</w:t>
      </w:r>
      <w:r>
        <w:rPr>
          <w:color w:val="231F20"/>
          <w:spacing w:val="-5"/>
          <w:w w:val="120"/>
        </w:rPr>
        <w:t> </w:t>
      </w:r>
      <w:r>
        <w:rPr>
          <w:color w:val="231F20"/>
          <w:spacing w:val="-4"/>
          <w:w w:val="120"/>
        </w:rPr>
        <w:t>de</w:t>
      </w:r>
      <w:r>
        <w:rPr>
          <w:color w:val="231F20"/>
          <w:spacing w:val="-5"/>
          <w:w w:val="120"/>
        </w:rPr>
        <w:t> </w:t>
      </w:r>
      <w:r>
        <w:rPr>
          <w:color w:val="231F20"/>
          <w:spacing w:val="-4"/>
          <w:w w:val="120"/>
        </w:rPr>
        <w:t>notre</w:t>
      </w:r>
      <w:r>
        <w:rPr>
          <w:color w:val="231F20"/>
          <w:spacing w:val="-5"/>
          <w:w w:val="120"/>
        </w:rPr>
        <w:t> </w:t>
      </w:r>
      <w:r>
        <w:rPr>
          <w:color w:val="231F20"/>
          <w:spacing w:val="-4"/>
          <w:w w:val="120"/>
        </w:rPr>
        <w:t>niveau</w:t>
      </w:r>
      <w:r>
        <w:rPr>
          <w:color w:val="231F20"/>
          <w:spacing w:val="-5"/>
          <w:w w:val="120"/>
        </w:rPr>
        <w:t> </w:t>
      </w:r>
      <w:r>
        <w:rPr>
          <w:color w:val="231F20"/>
          <w:spacing w:val="-4"/>
          <w:w w:val="120"/>
        </w:rPr>
        <w:t>d’estime </w:t>
      </w:r>
      <w:r>
        <w:rPr>
          <w:color w:val="231F20"/>
          <w:w w:val="120"/>
        </w:rPr>
        <w:t>de</w:t>
      </w:r>
      <w:r>
        <w:rPr>
          <w:color w:val="231F20"/>
          <w:spacing w:val="-11"/>
          <w:w w:val="120"/>
        </w:rPr>
        <w:t> </w:t>
      </w:r>
      <w:r>
        <w:rPr>
          <w:color w:val="231F20"/>
          <w:w w:val="120"/>
        </w:rPr>
        <w:t>soi</w:t>
      </w:r>
      <w:r>
        <w:rPr>
          <w:color w:val="231F20"/>
          <w:spacing w:val="-11"/>
          <w:w w:val="120"/>
        </w:rPr>
        <w:t> </w:t>
      </w:r>
      <w:r>
        <w:rPr>
          <w:color w:val="231F20"/>
          <w:w w:val="120"/>
        </w:rPr>
        <w:t>(qui</w:t>
      </w:r>
      <w:r>
        <w:rPr>
          <w:color w:val="231F20"/>
          <w:spacing w:val="-11"/>
          <w:w w:val="120"/>
        </w:rPr>
        <w:t> </w:t>
      </w:r>
      <w:r>
        <w:rPr>
          <w:color w:val="231F20"/>
          <w:w w:val="120"/>
        </w:rPr>
        <w:t>dans</w:t>
      </w:r>
      <w:r>
        <w:rPr>
          <w:color w:val="231F20"/>
          <w:spacing w:val="-11"/>
          <w:w w:val="120"/>
        </w:rPr>
        <w:t> </w:t>
      </w:r>
      <w:r>
        <w:rPr>
          <w:color w:val="231F20"/>
          <w:w w:val="120"/>
        </w:rPr>
        <w:t>de</w:t>
      </w:r>
      <w:r>
        <w:rPr>
          <w:color w:val="231F20"/>
          <w:spacing w:val="-11"/>
          <w:w w:val="120"/>
        </w:rPr>
        <w:t> </w:t>
      </w:r>
      <w:r>
        <w:rPr>
          <w:color w:val="231F20"/>
          <w:w w:val="120"/>
        </w:rPr>
        <w:t>nombreux</w:t>
      </w:r>
      <w:r>
        <w:rPr>
          <w:color w:val="231F20"/>
          <w:spacing w:val="-11"/>
          <w:w w:val="120"/>
        </w:rPr>
        <w:t> </w:t>
      </w:r>
      <w:r>
        <w:rPr>
          <w:color w:val="231F20"/>
          <w:w w:val="120"/>
        </w:rPr>
        <w:t>cas</w:t>
      </w:r>
      <w:r>
        <w:rPr>
          <w:color w:val="231F20"/>
          <w:spacing w:val="-11"/>
          <w:w w:val="120"/>
        </w:rPr>
        <w:t> </w:t>
      </w:r>
      <w:r>
        <w:rPr>
          <w:color w:val="231F20"/>
          <w:w w:val="120"/>
        </w:rPr>
        <w:t>est</w:t>
      </w:r>
      <w:r>
        <w:rPr>
          <w:color w:val="231F20"/>
          <w:spacing w:val="-11"/>
          <w:w w:val="120"/>
        </w:rPr>
        <w:t> </w:t>
      </w:r>
      <w:r>
        <w:rPr>
          <w:color w:val="231F20"/>
          <w:w w:val="120"/>
        </w:rPr>
        <w:t>implicite,</w:t>
      </w:r>
      <w:r>
        <w:rPr>
          <w:color w:val="231F20"/>
          <w:spacing w:val="-11"/>
          <w:w w:val="120"/>
        </w:rPr>
        <w:t> </w:t>
      </w:r>
      <w:r>
        <w:rPr>
          <w:color w:val="231F20"/>
          <w:w w:val="120"/>
        </w:rPr>
        <w:t>donc</w:t>
      </w:r>
      <w:r>
        <w:rPr>
          <w:color w:val="231F20"/>
          <w:spacing w:val="-11"/>
          <w:w w:val="120"/>
        </w:rPr>
        <w:t> </w:t>
      </w:r>
      <w:r>
        <w:rPr>
          <w:color w:val="231F20"/>
          <w:w w:val="120"/>
        </w:rPr>
        <w:t>nous</w:t>
      </w:r>
      <w:r>
        <w:rPr>
          <w:color w:val="231F20"/>
          <w:spacing w:val="-11"/>
          <w:w w:val="120"/>
        </w:rPr>
        <w:t> </w:t>
      </w:r>
      <w:r>
        <w:rPr>
          <w:color w:val="231F20"/>
          <w:w w:val="120"/>
        </w:rPr>
        <w:t>n’en</w:t>
      </w:r>
      <w:r>
        <w:rPr>
          <w:color w:val="231F20"/>
          <w:spacing w:val="-11"/>
          <w:w w:val="120"/>
        </w:rPr>
        <w:t> </w:t>
      </w:r>
      <w:r>
        <w:rPr>
          <w:color w:val="231F20"/>
          <w:w w:val="120"/>
        </w:rPr>
        <w:t>sommes </w:t>
      </w:r>
      <w:r>
        <w:rPr>
          <w:color w:val="231F20"/>
          <w:spacing w:val="-2"/>
          <w:w w:val="120"/>
        </w:rPr>
        <w:t>pas</w:t>
      </w:r>
      <w:r>
        <w:rPr>
          <w:color w:val="231F20"/>
          <w:spacing w:val="-5"/>
          <w:w w:val="120"/>
        </w:rPr>
        <w:t> </w:t>
      </w:r>
      <w:r>
        <w:rPr>
          <w:color w:val="231F20"/>
          <w:spacing w:val="-2"/>
          <w:w w:val="120"/>
        </w:rPr>
        <w:t>toujours</w:t>
      </w:r>
      <w:r>
        <w:rPr>
          <w:color w:val="231F20"/>
          <w:spacing w:val="-5"/>
          <w:w w:val="120"/>
        </w:rPr>
        <w:t> </w:t>
      </w:r>
      <w:r>
        <w:rPr>
          <w:color w:val="231F20"/>
          <w:spacing w:val="-2"/>
          <w:w w:val="120"/>
        </w:rPr>
        <w:t>pleinement</w:t>
      </w:r>
      <w:r>
        <w:rPr>
          <w:color w:val="231F20"/>
          <w:spacing w:val="-5"/>
          <w:w w:val="120"/>
        </w:rPr>
        <w:t> </w:t>
      </w:r>
      <w:r>
        <w:rPr>
          <w:color w:val="231F20"/>
          <w:spacing w:val="-2"/>
          <w:w w:val="120"/>
        </w:rPr>
        <w:t>conscients),</w:t>
      </w:r>
      <w:r>
        <w:rPr>
          <w:color w:val="231F20"/>
          <w:spacing w:val="-5"/>
          <w:w w:val="120"/>
        </w:rPr>
        <w:t> </w:t>
      </w:r>
      <w:r>
        <w:rPr>
          <w:color w:val="231F20"/>
          <w:spacing w:val="-2"/>
          <w:w w:val="120"/>
        </w:rPr>
        <w:t>et</w:t>
      </w:r>
      <w:r>
        <w:rPr>
          <w:color w:val="231F20"/>
          <w:spacing w:val="-5"/>
          <w:w w:val="120"/>
        </w:rPr>
        <w:t> </w:t>
      </w:r>
      <w:r>
        <w:rPr>
          <w:color w:val="231F20"/>
          <w:spacing w:val="-2"/>
          <w:w w:val="120"/>
        </w:rPr>
        <w:t>2)</w:t>
      </w:r>
      <w:r>
        <w:rPr>
          <w:color w:val="231F20"/>
          <w:spacing w:val="-5"/>
          <w:w w:val="120"/>
        </w:rPr>
        <w:t> </w:t>
      </w:r>
      <w:r>
        <w:rPr>
          <w:color w:val="231F20"/>
          <w:spacing w:val="-2"/>
          <w:w w:val="120"/>
        </w:rPr>
        <w:t>l’adéquation</w:t>
      </w:r>
      <w:r>
        <w:rPr>
          <w:color w:val="231F20"/>
          <w:spacing w:val="-5"/>
          <w:w w:val="120"/>
        </w:rPr>
        <w:t> </w:t>
      </w:r>
      <w:r>
        <w:rPr>
          <w:color w:val="231F20"/>
          <w:spacing w:val="-2"/>
          <w:w w:val="120"/>
        </w:rPr>
        <w:t>entre</w:t>
      </w:r>
      <w:r>
        <w:rPr>
          <w:color w:val="231F20"/>
          <w:spacing w:val="-5"/>
          <w:w w:val="120"/>
        </w:rPr>
        <w:t> </w:t>
      </w:r>
      <w:r>
        <w:rPr>
          <w:color w:val="231F20"/>
          <w:spacing w:val="-2"/>
          <w:w w:val="120"/>
        </w:rPr>
        <w:t>nos</w:t>
      </w:r>
      <w:r>
        <w:rPr>
          <w:color w:val="231F20"/>
          <w:spacing w:val="-5"/>
          <w:w w:val="120"/>
        </w:rPr>
        <w:t> </w:t>
      </w:r>
      <w:r>
        <w:rPr>
          <w:color w:val="231F20"/>
          <w:spacing w:val="-2"/>
          <w:w w:val="120"/>
        </w:rPr>
        <w:t>valeurs </w:t>
      </w:r>
      <w:r>
        <w:rPr>
          <w:color w:val="231F20"/>
          <w:w w:val="115"/>
        </w:rPr>
        <w:t>et</w:t>
      </w:r>
      <w:r>
        <w:rPr>
          <w:color w:val="231F20"/>
          <w:spacing w:val="-13"/>
          <w:w w:val="115"/>
        </w:rPr>
        <w:t> </w:t>
      </w:r>
      <w:r>
        <w:rPr>
          <w:color w:val="231F20"/>
          <w:w w:val="115"/>
        </w:rPr>
        <w:t>nos</w:t>
      </w:r>
      <w:r>
        <w:rPr>
          <w:color w:val="231F20"/>
          <w:spacing w:val="-12"/>
          <w:w w:val="115"/>
        </w:rPr>
        <w:t> </w:t>
      </w:r>
      <w:r>
        <w:rPr>
          <w:color w:val="231F20"/>
          <w:w w:val="115"/>
        </w:rPr>
        <w:t>comportements</w:t>
      </w:r>
      <w:r>
        <w:rPr>
          <w:color w:val="231F20"/>
          <w:spacing w:val="-12"/>
          <w:w w:val="115"/>
        </w:rPr>
        <w:t> </w:t>
      </w:r>
      <w:r>
        <w:rPr>
          <w:color w:val="231F20"/>
          <w:w w:val="115"/>
        </w:rPr>
        <w:t>(Bao</w:t>
      </w:r>
      <w:r>
        <w:rPr>
          <w:color w:val="231F20"/>
          <w:spacing w:val="-12"/>
          <w:w w:val="115"/>
        </w:rPr>
        <w:t> </w:t>
      </w:r>
      <w:r>
        <w:rPr>
          <w:i/>
          <w:color w:val="231F20"/>
          <w:w w:val="115"/>
        </w:rPr>
        <w:t>et</w:t>
      </w:r>
      <w:r>
        <w:rPr>
          <w:i/>
          <w:color w:val="231F20"/>
          <w:spacing w:val="-13"/>
          <w:w w:val="115"/>
        </w:rPr>
        <w:t> </w:t>
      </w:r>
      <w:r>
        <w:rPr>
          <w:i/>
          <w:color w:val="231F20"/>
          <w:w w:val="115"/>
        </w:rPr>
        <w:t>al</w:t>
      </w:r>
      <w:r>
        <w:rPr>
          <w:color w:val="231F20"/>
          <w:w w:val="115"/>
        </w:rPr>
        <w:t>.,</w:t>
      </w:r>
      <w:r>
        <w:rPr>
          <w:color w:val="231F20"/>
          <w:spacing w:val="-12"/>
          <w:w w:val="115"/>
        </w:rPr>
        <w:t> </w:t>
      </w:r>
      <w:r>
        <w:rPr>
          <w:color w:val="231F20"/>
          <w:w w:val="115"/>
        </w:rPr>
        <w:t>2013;</w:t>
      </w:r>
      <w:r>
        <w:rPr>
          <w:color w:val="231F20"/>
          <w:spacing w:val="-12"/>
          <w:w w:val="115"/>
        </w:rPr>
        <w:t> </w:t>
      </w:r>
      <w:r>
        <w:rPr>
          <w:color w:val="231F20"/>
          <w:w w:val="115"/>
        </w:rPr>
        <w:t>Dolan,</w:t>
      </w:r>
      <w:r>
        <w:rPr>
          <w:color w:val="231F20"/>
          <w:spacing w:val="-12"/>
          <w:w w:val="115"/>
        </w:rPr>
        <w:t> </w:t>
      </w:r>
      <w:r>
        <w:rPr>
          <w:color w:val="231F20"/>
          <w:w w:val="115"/>
        </w:rPr>
        <w:t>2016).</w:t>
      </w:r>
      <w:r>
        <w:rPr>
          <w:color w:val="231F20"/>
          <w:spacing w:val="-12"/>
          <w:w w:val="115"/>
        </w:rPr>
        <w:t> </w:t>
      </w:r>
      <w:r>
        <w:rPr>
          <w:color w:val="231F20"/>
          <w:w w:val="115"/>
        </w:rPr>
        <w:t>Nous</w:t>
      </w:r>
      <w:r>
        <w:rPr>
          <w:color w:val="231F20"/>
          <w:spacing w:val="-13"/>
          <w:w w:val="115"/>
        </w:rPr>
        <w:t> </w:t>
      </w:r>
      <w:r>
        <w:rPr>
          <w:color w:val="231F20"/>
          <w:w w:val="115"/>
        </w:rPr>
        <w:t>soutenons</w:t>
      </w:r>
      <w:r>
        <w:rPr>
          <w:color w:val="231F20"/>
          <w:spacing w:val="-12"/>
          <w:w w:val="115"/>
        </w:rPr>
        <w:t> </w:t>
      </w:r>
      <w:r>
        <w:rPr>
          <w:color w:val="231F20"/>
          <w:w w:val="115"/>
        </w:rPr>
        <w:t>que </w:t>
      </w:r>
      <w:r>
        <w:rPr>
          <w:color w:val="231F20"/>
          <w:w w:val="120"/>
        </w:rPr>
        <w:t>les communautés de professionnels qui souhaitent aider les victimes de stress ont besoin d’un modèle d’intervention clair et de mesures </w:t>
      </w:r>
      <w:r>
        <w:rPr>
          <w:color w:val="231F20"/>
          <w:spacing w:val="-2"/>
          <w:w w:val="120"/>
        </w:rPr>
        <w:t>d’évaluation fiables et simples pour comprendre rapidement la situation </w:t>
      </w:r>
      <w:r>
        <w:rPr>
          <w:color w:val="231F20"/>
          <w:w w:val="120"/>
        </w:rPr>
        <w:t>et d’intervenir. Par analogie, ces enjeux sont fort semblables à ceux occasionnés</w:t>
      </w:r>
      <w:r>
        <w:rPr>
          <w:color w:val="231F20"/>
          <w:spacing w:val="-8"/>
          <w:w w:val="120"/>
        </w:rPr>
        <w:t> </w:t>
      </w:r>
      <w:r>
        <w:rPr>
          <w:color w:val="231F20"/>
          <w:w w:val="120"/>
        </w:rPr>
        <w:t>par</w:t>
      </w:r>
      <w:r>
        <w:rPr>
          <w:color w:val="231F20"/>
          <w:spacing w:val="-8"/>
          <w:w w:val="120"/>
        </w:rPr>
        <w:t> </w:t>
      </w:r>
      <w:r>
        <w:rPr>
          <w:color w:val="231F20"/>
          <w:w w:val="120"/>
        </w:rPr>
        <w:t>la</w:t>
      </w:r>
      <w:r>
        <w:rPr>
          <w:color w:val="231F20"/>
          <w:spacing w:val="-8"/>
          <w:w w:val="120"/>
        </w:rPr>
        <w:t> </w:t>
      </w:r>
      <w:r>
        <w:rPr>
          <w:color w:val="231F20"/>
          <w:w w:val="120"/>
        </w:rPr>
        <w:t>situation</w:t>
      </w:r>
      <w:r>
        <w:rPr>
          <w:color w:val="231F20"/>
          <w:spacing w:val="-8"/>
          <w:w w:val="120"/>
        </w:rPr>
        <w:t> </w:t>
      </w:r>
      <w:r>
        <w:rPr>
          <w:color w:val="231F20"/>
          <w:w w:val="120"/>
        </w:rPr>
        <w:t>de</w:t>
      </w:r>
      <w:r>
        <w:rPr>
          <w:color w:val="231F20"/>
          <w:spacing w:val="-8"/>
          <w:w w:val="120"/>
        </w:rPr>
        <w:t> </w:t>
      </w:r>
      <w:r>
        <w:rPr>
          <w:color w:val="231F20"/>
          <w:w w:val="120"/>
        </w:rPr>
        <w:t>COVID-19.</w:t>
      </w:r>
    </w:p>
    <w:p>
      <w:pPr>
        <w:pStyle w:val="BodyText"/>
        <w:rPr>
          <w:sz w:val="24"/>
        </w:rPr>
      </w:pPr>
    </w:p>
    <w:p>
      <w:pPr>
        <w:pStyle w:val="Heading2"/>
        <w:spacing w:line="247" w:lineRule="auto" w:before="182"/>
        <w:ind w:left="830" w:right="1045"/>
      </w:pPr>
      <w:r>
        <w:rPr>
          <w:color w:val="231F20"/>
          <w:w w:val="95"/>
        </w:rPr>
        <w:t>Prospectives</w:t>
      </w:r>
      <w:r>
        <w:rPr>
          <w:color w:val="231F20"/>
          <w:spacing w:val="-8"/>
          <w:w w:val="95"/>
        </w:rPr>
        <w:t> </w:t>
      </w:r>
      <w:r>
        <w:rPr>
          <w:color w:val="231F20"/>
          <w:w w:val="95"/>
        </w:rPr>
        <w:t>quant</w:t>
      </w:r>
      <w:r>
        <w:rPr>
          <w:color w:val="231F20"/>
          <w:spacing w:val="-8"/>
          <w:w w:val="95"/>
        </w:rPr>
        <w:t> </w:t>
      </w:r>
      <w:r>
        <w:rPr>
          <w:color w:val="231F20"/>
          <w:w w:val="95"/>
        </w:rPr>
        <w:t>à</w:t>
      </w:r>
      <w:r>
        <w:rPr>
          <w:color w:val="231F20"/>
          <w:spacing w:val="-8"/>
          <w:w w:val="95"/>
        </w:rPr>
        <w:t> </w:t>
      </w:r>
      <w:r>
        <w:rPr>
          <w:color w:val="231F20"/>
          <w:w w:val="95"/>
        </w:rPr>
        <w:t>l’importance</w:t>
      </w:r>
      <w:r>
        <w:rPr>
          <w:color w:val="231F20"/>
          <w:spacing w:val="-8"/>
          <w:w w:val="95"/>
        </w:rPr>
        <w:t> </w:t>
      </w:r>
      <w:r>
        <w:rPr>
          <w:color w:val="231F20"/>
          <w:w w:val="95"/>
        </w:rPr>
        <w:t>de</w:t>
      </w:r>
      <w:r>
        <w:rPr>
          <w:color w:val="231F20"/>
          <w:spacing w:val="-8"/>
          <w:w w:val="95"/>
        </w:rPr>
        <w:t> </w:t>
      </w:r>
      <w:r>
        <w:rPr>
          <w:color w:val="231F20"/>
          <w:w w:val="95"/>
        </w:rPr>
        <w:t>l’estime</w:t>
      </w:r>
      <w:r>
        <w:rPr>
          <w:color w:val="231F20"/>
          <w:spacing w:val="-8"/>
          <w:w w:val="95"/>
        </w:rPr>
        <w:t> </w:t>
      </w:r>
      <w:r>
        <w:rPr>
          <w:color w:val="231F20"/>
          <w:w w:val="95"/>
        </w:rPr>
        <w:t>de</w:t>
      </w:r>
      <w:r>
        <w:rPr>
          <w:color w:val="231F20"/>
          <w:spacing w:val="-8"/>
          <w:w w:val="95"/>
        </w:rPr>
        <w:t> </w:t>
      </w:r>
      <w:r>
        <w:rPr>
          <w:color w:val="231F20"/>
          <w:w w:val="95"/>
        </w:rPr>
        <w:t>soi </w:t>
      </w:r>
      <w:r>
        <w:rPr>
          <w:color w:val="231F20"/>
        </w:rPr>
        <w:t>dans l’étiologie du stress</w:t>
      </w:r>
    </w:p>
    <w:p>
      <w:pPr>
        <w:pStyle w:val="BodyText"/>
        <w:spacing w:before="3"/>
        <w:rPr>
          <w:rFonts w:ascii="Arial"/>
          <w:b/>
          <w:sz w:val="25"/>
        </w:rPr>
      </w:pPr>
    </w:p>
    <w:p>
      <w:pPr>
        <w:pStyle w:val="BodyText"/>
        <w:spacing w:line="307" w:lineRule="auto"/>
        <w:ind w:left="830" w:right="496"/>
        <w:jc w:val="both"/>
      </w:pPr>
      <w:r>
        <w:rPr>
          <w:color w:val="231F20"/>
          <w:w w:val="115"/>
        </w:rPr>
        <w:t>Il</w:t>
      </w:r>
      <w:r>
        <w:rPr>
          <w:color w:val="231F20"/>
          <w:spacing w:val="-2"/>
          <w:w w:val="115"/>
        </w:rPr>
        <w:t> </w:t>
      </w:r>
      <w:r>
        <w:rPr>
          <w:color w:val="231F20"/>
          <w:w w:val="115"/>
        </w:rPr>
        <w:t>existe</w:t>
      </w:r>
      <w:r>
        <w:rPr>
          <w:color w:val="231F20"/>
          <w:spacing w:val="-2"/>
          <w:w w:val="115"/>
        </w:rPr>
        <w:t> </w:t>
      </w:r>
      <w:r>
        <w:rPr>
          <w:color w:val="231F20"/>
          <w:w w:val="115"/>
        </w:rPr>
        <w:t>de</w:t>
      </w:r>
      <w:r>
        <w:rPr>
          <w:color w:val="231F20"/>
          <w:spacing w:val="-2"/>
          <w:w w:val="115"/>
        </w:rPr>
        <w:t> </w:t>
      </w:r>
      <w:r>
        <w:rPr>
          <w:color w:val="231F20"/>
          <w:w w:val="115"/>
        </w:rPr>
        <w:t>nombreuses</w:t>
      </w:r>
      <w:r>
        <w:rPr>
          <w:color w:val="231F20"/>
          <w:spacing w:val="-2"/>
          <w:w w:val="115"/>
        </w:rPr>
        <w:t> </w:t>
      </w:r>
      <w:r>
        <w:rPr>
          <w:color w:val="231F20"/>
          <w:w w:val="115"/>
        </w:rPr>
        <w:t>recherches</w:t>
      </w:r>
      <w:r>
        <w:rPr>
          <w:color w:val="231F20"/>
          <w:spacing w:val="-2"/>
          <w:w w:val="115"/>
        </w:rPr>
        <w:t> </w:t>
      </w:r>
      <w:r>
        <w:rPr>
          <w:color w:val="231F20"/>
          <w:w w:val="115"/>
        </w:rPr>
        <w:t>qui</w:t>
      </w:r>
      <w:r>
        <w:rPr>
          <w:color w:val="231F20"/>
          <w:spacing w:val="-2"/>
          <w:w w:val="115"/>
        </w:rPr>
        <w:t> </w:t>
      </w:r>
      <w:r>
        <w:rPr>
          <w:color w:val="231F20"/>
          <w:w w:val="115"/>
        </w:rPr>
        <w:t>abordent</w:t>
      </w:r>
      <w:r>
        <w:rPr>
          <w:color w:val="231F20"/>
          <w:spacing w:val="-2"/>
          <w:w w:val="115"/>
        </w:rPr>
        <w:t> </w:t>
      </w:r>
      <w:r>
        <w:rPr>
          <w:color w:val="231F20"/>
          <w:w w:val="115"/>
        </w:rPr>
        <w:t>l’importance</w:t>
      </w:r>
      <w:r>
        <w:rPr>
          <w:color w:val="231F20"/>
          <w:spacing w:val="-2"/>
          <w:w w:val="115"/>
        </w:rPr>
        <w:t> </w:t>
      </w:r>
      <w:r>
        <w:rPr>
          <w:color w:val="231F20"/>
          <w:w w:val="115"/>
        </w:rPr>
        <w:t>des</w:t>
      </w:r>
      <w:r>
        <w:rPr>
          <w:color w:val="231F20"/>
          <w:spacing w:val="-2"/>
          <w:w w:val="115"/>
        </w:rPr>
        <w:t> </w:t>
      </w:r>
      <w:r>
        <w:rPr>
          <w:color w:val="231F20"/>
          <w:w w:val="115"/>
        </w:rPr>
        <w:t>valeurs et</w:t>
      </w:r>
      <w:r>
        <w:rPr>
          <w:color w:val="231F20"/>
          <w:spacing w:val="-7"/>
          <w:w w:val="115"/>
        </w:rPr>
        <w:t> </w:t>
      </w:r>
      <w:r>
        <w:rPr>
          <w:color w:val="231F20"/>
          <w:w w:val="115"/>
        </w:rPr>
        <w:t>de</w:t>
      </w:r>
      <w:r>
        <w:rPr>
          <w:color w:val="231F20"/>
          <w:spacing w:val="-7"/>
          <w:w w:val="115"/>
        </w:rPr>
        <w:t> </w:t>
      </w:r>
      <w:r>
        <w:rPr>
          <w:color w:val="231F20"/>
          <w:w w:val="115"/>
        </w:rPr>
        <w:t>l’estime</w:t>
      </w:r>
      <w:r>
        <w:rPr>
          <w:color w:val="231F20"/>
          <w:spacing w:val="-7"/>
          <w:w w:val="115"/>
        </w:rPr>
        <w:t> </w:t>
      </w:r>
      <w:r>
        <w:rPr>
          <w:color w:val="231F20"/>
          <w:w w:val="115"/>
        </w:rPr>
        <w:t>de</w:t>
      </w:r>
      <w:r>
        <w:rPr>
          <w:color w:val="231F20"/>
          <w:spacing w:val="-7"/>
          <w:w w:val="115"/>
        </w:rPr>
        <w:t> </w:t>
      </w:r>
      <w:r>
        <w:rPr>
          <w:color w:val="231F20"/>
          <w:w w:val="115"/>
        </w:rPr>
        <w:t>soi</w:t>
      </w:r>
      <w:r>
        <w:rPr>
          <w:color w:val="231F20"/>
          <w:spacing w:val="-7"/>
          <w:w w:val="115"/>
        </w:rPr>
        <w:t> </w:t>
      </w:r>
      <w:r>
        <w:rPr>
          <w:color w:val="231F20"/>
          <w:w w:val="115"/>
        </w:rPr>
        <w:t>dans</w:t>
      </w:r>
      <w:r>
        <w:rPr>
          <w:color w:val="231F20"/>
          <w:spacing w:val="-7"/>
          <w:w w:val="115"/>
        </w:rPr>
        <w:t> </w:t>
      </w:r>
      <w:r>
        <w:rPr>
          <w:color w:val="231F20"/>
          <w:w w:val="115"/>
        </w:rPr>
        <w:t>tous</w:t>
      </w:r>
      <w:r>
        <w:rPr>
          <w:color w:val="231F20"/>
          <w:spacing w:val="-7"/>
          <w:w w:val="115"/>
        </w:rPr>
        <w:t> </w:t>
      </w:r>
      <w:r>
        <w:rPr>
          <w:color w:val="231F20"/>
          <w:w w:val="115"/>
        </w:rPr>
        <w:t>les</w:t>
      </w:r>
      <w:r>
        <w:rPr>
          <w:color w:val="231F20"/>
          <w:spacing w:val="-7"/>
          <w:w w:val="115"/>
        </w:rPr>
        <w:t> </w:t>
      </w:r>
      <w:r>
        <w:rPr>
          <w:color w:val="231F20"/>
          <w:w w:val="115"/>
        </w:rPr>
        <w:t>aspects</w:t>
      </w:r>
      <w:r>
        <w:rPr>
          <w:color w:val="231F20"/>
          <w:spacing w:val="-7"/>
          <w:w w:val="115"/>
        </w:rPr>
        <w:t> </w:t>
      </w:r>
      <w:r>
        <w:rPr>
          <w:color w:val="231F20"/>
          <w:w w:val="115"/>
        </w:rPr>
        <w:t>de</w:t>
      </w:r>
      <w:r>
        <w:rPr>
          <w:color w:val="231F20"/>
          <w:spacing w:val="-7"/>
          <w:w w:val="115"/>
        </w:rPr>
        <w:t> </w:t>
      </w:r>
      <w:r>
        <w:rPr>
          <w:color w:val="231F20"/>
          <w:w w:val="115"/>
        </w:rPr>
        <w:t>l’activité</w:t>
      </w:r>
      <w:r>
        <w:rPr>
          <w:color w:val="231F20"/>
          <w:spacing w:val="-7"/>
          <w:w w:val="115"/>
        </w:rPr>
        <w:t> </w:t>
      </w:r>
      <w:r>
        <w:rPr>
          <w:color w:val="231F20"/>
          <w:w w:val="115"/>
        </w:rPr>
        <w:t>humaine,</w:t>
      </w:r>
      <w:r>
        <w:rPr>
          <w:color w:val="231F20"/>
          <w:spacing w:val="-7"/>
          <w:w w:val="115"/>
        </w:rPr>
        <w:t> </w:t>
      </w:r>
      <w:r>
        <w:rPr>
          <w:color w:val="231F20"/>
          <w:w w:val="115"/>
        </w:rPr>
        <w:t>y</w:t>
      </w:r>
      <w:r>
        <w:rPr>
          <w:color w:val="231F20"/>
          <w:spacing w:val="-7"/>
          <w:w w:val="115"/>
        </w:rPr>
        <w:t> </w:t>
      </w:r>
      <w:r>
        <w:rPr>
          <w:color w:val="231F20"/>
          <w:w w:val="115"/>
        </w:rPr>
        <w:t>compris </w:t>
      </w:r>
      <w:r>
        <w:rPr>
          <w:color w:val="231F20"/>
          <w:w w:val="120"/>
        </w:rPr>
        <w:t>dans</w:t>
      </w:r>
      <w:r>
        <w:rPr>
          <w:color w:val="231F20"/>
          <w:spacing w:val="-13"/>
          <w:w w:val="120"/>
        </w:rPr>
        <w:t> </w:t>
      </w:r>
      <w:r>
        <w:rPr>
          <w:color w:val="231F20"/>
          <w:w w:val="120"/>
        </w:rPr>
        <w:t>le</w:t>
      </w:r>
      <w:r>
        <w:rPr>
          <w:color w:val="231F20"/>
          <w:spacing w:val="-13"/>
          <w:w w:val="120"/>
        </w:rPr>
        <w:t> </w:t>
      </w:r>
      <w:r>
        <w:rPr>
          <w:color w:val="231F20"/>
          <w:w w:val="120"/>
        </w:rPr>
        <w:t>contexte</w:t>
      </w:r>
      <w:r>
        <w:rPr>
          <w:color w:val="231F20"/>
          <w:spacing w:val="-13"/>
          <w:w w:val="120"/>
        </w:rPr>
        <w:t> </w:t>
      </w:r>
      <w:r>
        <w:rPr>
          <w:color w:val="231F20"/>
          <w:w w:val="120"/>
        </w:rPr>
        <w:t>professionnel.</w:t>
      </w:r>
      <w:r>
        <w:rPr>
          <w:color w:val="231F20"/>
          <w:spacing w:val="-12"/>
          <w:w w:val="120"/>
        </w:rPr>
        <w:t> </w:t>
      </w:r>
      <w:r>
        <w:rPr>
          <w:color w:val="231F20"/>
          <w:w w:val="120"/>
        </w:rPr>
        <w:t>Des</w:t>
      </w:r>
      <w:r>
        <w:rPr>
          <w:color w:val="231F20"/>
          <w:spacing w:val="-13"/>
          <w:w w:val="120"/>
        </w:rPr>
        <w:t> </w:t>
      </w:r>
      <w:r>
        <w:rPr>
          <w:color w:val="231F20"/>
          <w:w w:val="120"/>
        </w:rPr>
        <w:t>études,</w:t>
      </w:r>
      <w:r>
        <w:rPr>
          <w:color w:val="231F20"/>
          <w:spacing w:val="-13"/>
          <w:w w:val="120"/>
        </w:rPr>
        <w:t> </w:t>
      </w:r>
      <w:r>
        <w:rPr>
          <w:color w:val="231F20"/>
          <w:w w:val="120"/>
        </w:rPr>
        <w:t>dans</w:t>
      </w:r>
      <w:r>
        <w:rPr>
          <w:color w:val="231F20"/>
          <w:spacing w:val="-13"/>
          <w:w w:val="120"/>
        </w:rPr>
        <w:t> </w:t>
      </w:r>
      <w:r>
        <w:rPr>
          <w:color w:val="231F20"/>
          <w:w w:val="120"/>
        </w:rPr>
        <w:t>de</w:t>
      </w:r>
      <w:r>
        <w:rPr>
          <w:color w:val="231F20"/>
          <w:spacing w:val="-12"/>
          <w:w w:val="120"/>
        </w:rPr>
        <w:t> </w:t>
      </w:r>
      <w:r>
        <w:rPr>
          <w:color w:val="231F20"/>
          <w:w w:val="120"/>
        </w:rPr>
        <w:t>nombreux</w:t>
      </w:r>
      <w:r>
        <w:rPr>
          <w:color w:val="231F20"/>
          <w:spacing w:val="-13"/>
          <w:w w:val="120"/>
        </w:rPr>
        <w:t> </w:t>
      </w:r>
      <w:r>
        <w:rPr>
          <w:color w:val="231F20"/>
          <w:w w:val="120"/>
        </w:rPr>
        <w:t>pays,</w:t>
      </w:r>
      <w:r>
        <w:rPr>
          <w:color w:val="231F20"/>
          <w:spacing w:val="-13"/>
          <w:w w:val="120"/>
        </w:rPr>
        <w:t> </w:t>
      </w:r>
      <w:r>
        <w:rPr>
          <w:color w:val="231F20"/>
          <w:w w:val="120"/>
        </w:rPr>
        <w:t>ont </w:t>
      </w:r>
      <w:r>
        <w:rPr>
          <w:color w:val="231F20"/>
          <w:spacing w:val="-2"/>
          <w:w w:val="120"/>
        </w:rPr>
        <w:t>associé</w:t>
      </w:r>
      <w:r>
        <w:rPr>
          <w:color w:val="231F20"/>
          <w:spacing w:val="-6"/>
          <w:w w:val="120"/>
        </w:rPr>
        <w:t> </w:t>
      </w:r>
      <w:r>
        <w:rPr>
          <w:color w:val="231F20"/>
          <w:spacing w:val="-2"/>
          <w:w w:val="120"/>
        </w:rPr>
        <w:t>l’estime</w:t>
      </w:r>
      <w:r>
        <w:rPr>
          <w:color w:val="231F20"/>
          <w:spacing w:val="-6"/>
          <w:w w:val="120"/>
        </w:rPr>
        <w:t> </w:t>
      </w:r>
      <w:r>
        <w:rPr>
          <w:color w:val="231F20"/>
          <w:spacing w:val="-2"/>
          <w:w w:val="120"/>
        </w:rPr>
        <w:t>de</w:t>
      </w:r>
      <w:r>
        <w:rPr>
          <w:color w:val="231F20"/>
          <w:spacing w:val="-6"/>
          <w:w w:val="120"/>
        </w:rPr>
        <w:t> </w:t>
      </w:r>
      <w:r>
        <w:rPr>
          <w:color w:val="231F20"/>
          <w:spacing w:val="-2"/>
          <w:w w:val="120"/>
        </w:rPr>
        <w:t>soi</w:t>
      </w:r>
      <w:r>
        <w:rPr>
          <w:color w:val="231F20"/>
          <w:spacing w:val="-6"/>
          <w:w w:val="120"/>
        </w:rPr>
        <w:t> </w:t>
      </w:r>
      <w:r>
        <w:rPr>
          <w:color w:val="231F20"/>
          <w:spacing w:val="-2"/>
          <w:w w:val="120"/>
        </w:rPr>
        <w:t>à</w:t>
      </w:r>
      <w:r>
        <w:rPr>
          <w:color w:val="231F20"/>
          <w:spacing w:val="-6"/>
          <w:w w:val="120"/>
        </w:rPr>
        <w:t> </w:t>
      </w:r>
      <w:r>
        <w:rPr>
          <w:color w:val="231F20"/>
          <w:spacing w:val="-2"/>
          <w:w w:val="120"/>
        </w:rPr>
        <w:t>la</w:t>
      </w:r>
      <w:r>
        <w:rPr>
          <w:color w:val="231F20"/>
          <w:spacing w:val="-6"/>
          <w:w w:val="120"/>
        </w:rPr>
        <w:t> </w:t>
      </w:r>
      <w:r>
        <w:rPr>
          <w:color w:val="231F20"/>
          <w:spacing w:val="-2"/>
          <w:w w:val="120"/>
        </w:rPr>
        <w:t>santé</w:t>
      </w:r>
      <w:r>
        <w:rPr>
          <w:color w:val="231F20"/>
          <w:spacing w:val="-6"/>
          <w:w w:val="120"/>
        </w:rPr>
        <w:t> </w:t>
      </w:r>
      <w:r>
        <w:rPr>
          <w:color w:val="231F20"/>
          <w:spacing w:val="-2"/>
          <w:w w:val="120"/>
        </w:rPr>
        <w:t>et</w:t>
      </w:r>
      <w:r>
        <w:rPr>
          <w:color w:val="231F20"/>
          <w:spacing w:val="-6"/>
          <w:w w:val="120"/>
        </w:rPr>
        <w:t> </w:t>
      </w:r>
      <w:r>
        <w:rPr>
          <w:color w:val="231F20"/>
          <w:spacing w:val="-2"/>
          <w:w w:val="120"/>
        </w:rPr>
        <w:t>au</w:t>
      </w:r>
      <w:r>
        <w:rPr>
          <w:color w:val="231F20"/>
          <w:spacing w:val="-6"/>
          <w:w w:val="120"/>
        </w:rPr>
        <w:t> </w:t>
      </w:r>
      <w:r>
        <w:rPr>
          <w:color w:val="231F20"/>
          <w:spacing w:val="-2"/>
          <w:w w:val="120"/>
        </w:rPr>
        <w:t>bien-être</w:t>
      </w:r>
      <w:r>
        <w:rPr>
          <w:color w:val="231F20"/>
          <w:spacing w:val="-6"/>
          <w:w w:val="120"/>
        </w:rPr>
        <w:t> </w:t>
      </w:r>
      <w:r>
        <w:rPr>
          <w:color w:val="231F20"/>
          <w:spacing w:val="-2"/>
          <w:w w:val="120"/>
        </w:rPr>
        <w:t>psychologique.</w:t>
      </w:r>
      <w:r>
        <w:rPr>
          <w:color w:val="231F20"/>
          <w:spacing w:val="-6"/>
          <w:w w:val="120"/>
        </w:rPr>
        <w:t> </w:t>
      </w:r>
      <w:r>
        <w:rPr>
          <w:color w:val="231F20"/>
          <w:spacing w:val="-2"/>
          <w:w w:val="120"/>
        </w:rPr>
        <w:t>Cet</w:t>
      </w:r>
      <w:r>
        <w:rPr>
          <w:color w:val="231F20"/>
          <w:spacing w:val="-6"/>
          <w:w w:val="120"/>
        </w:rPr>
        <w:t> </w:t>
      </w:r>
      <w:r>
        <w:rPr>
          <w:color w:val="231F20"/>
          <w:spacing w:val="-2"/>
          <w:w w:val="120"/>
        </w:rPr>
        <w:t>effet </w:t>
      </w:r>
      <w:r>
        <w:rPr>
          <w:color w:val="231F20"/>
          <w:w w:val="120"/>
        </w:rPr>
        <w:t>peut être interprété par l’augmentation des ressources personnelles et </w:t>
      </w:r>
      <w:r>
        <w:rPr>
          <w:color w:val="231F20"/>
          <w:w w:val="115"/>
        </w:rPr>
        <w:t>une</w:t>
      </w:r>
      <w:r>
        <w:rPr>
          <w:color w:val="231F20"/>
          <w:spacing w:val="-2"/>
          <w:w w:val="115"/>
        </w:rPr>
        <w:t> </w:t>
      </w:r>
      <w:r>
        <w:rPr>
          <w:color w:val="231F20"/>
          <w:w w:val="115"/>
        </w:rPr>
        <w:t>gestion</w:t>
      </w:r>
      <w:r>
        <w:rPr>
          <w:color w:val="231F20"/>
          <w:spacing w:val="-2"/>
          <w:w w:val="115"/>
        </w:rPr>
        <w:t> </w:t>
      </w:r>
      <w:r>
        <w:rPr>
          <w:color w:val="231F20"/>
          <w:w w:val="115"/>
        </w:rPr>
        <w:t>active</w:t>
      </w:r>
      <w:r>
        <w:rPr>
          <w:color w:val="231F20"/>
          <w:spacing w:val="-2"/>
          <w:w w:val="115"/>
        </w:rPr>
        <w:t> </w:t>
      </w:r>
      <w:r>
        <w:rPr>
          <w:color w:val="231F20"/>
          <w:w w:val="115"/>
        </w:rPr>
        <w:t>des</w:t>
      </w:r>
      <w:r>
        <w:rPr>
          <w:color w:val="231F20"/>
          <w:spacing w:val="-2"/>
          <w:w w:val="115"/>
        </w:rPr>
        <w:t> </w:t>
      </w:r>
      <w:r>
        <w:rPr>
          <w:color w:val="231F20"/>
          <w:w w:val="115"/>
        </w:rPr>
        <w:t>problèmes</w:t>
      </w:r>
      <w:r>
        <w:rPr>
          <w:color w:val="231F20"/>
          <w:spacing w:val="-2"/>
          <w:w w:val="115"/>
        </w:rPr>
        <w:t> </w:t>
      </w:r>
      <w:r>
        <w:rPr>
          <w:color w:val="231F20"/>
          <w:w w:val="115"/>
        </w:rPr>
        <w:t>de</w:t>
      </w:r>
      <w:r>
        <w:rPr>
          <w:color w:val="231F20"/>
          <w:spacing w:val="-2"/>
          <w:w w:val="115"/>
        </w:rPr>
        <w:t> </w:t>
      </w:r>
      <w:r>
        <w:rPr>
          <w:color w:val="231F20"/>
          <w:w w:val="115"/>
        </w:rPr>
        <w:t>la</w:t>
      </w:r>
      <w:r>
        <w:rPr>
          <w:color w:val="231F20"/>
          <w:spacing w:val="-2"/>
          <w:w w:val="115"/>
        </w:rPr>
        <w:t> </w:t>
      </w:r>
      <w:r>
        <w:rPr>
          <w:color w:val="231F20"/>
          <w:w w:val="115"/>
        </w:rPr>
        <w:t>vie.</w:t>
      </w:r>
      <w:r>
        <w:rPr>
          <w:color w:val="231F20"/>
          <w:spacing w:val="-2"/>
          <w:w w:val="115"/>
        </w:rPr>
        <w:t> </w:t>
      </w:r>
      <w:r>
        <w:rPr>
          <w:color w:val="231F20"/>
          <w:w w:val="115"/>
        </w:rPr>
        <w:t>De</w:t>
      </w:r>
      <w:r>
        <w:rPr>
          <w:color w:val="231F20"/>
          <w:spacing w:val="-2"/>
          <w:w w:val="115"/>
        </w:rPr>
        <w:t> </w:t>
      </w:r>
      <w:r>
        <w:rPr>
          <w:color w:val="231F20"/>
          <w:w w:val="115"/>
        </w:rPr>
        <w:t>plus,</w:t>
      </w:r>
      <w:r>
        <w:rPr>
          <w:color w:val="231F20"/>
          <w:spacing w:val="-2"/>
          <w:w w:val="115"/>
        </w:rPr>
        <w:t> </w:t>
      </w:r>
      <w:r>
        <w:rPr>
          <w:color w:val="231F20"/>
          <w:w w:val="115"/>
        </w:rPr>
        <w:t>il</w:t>
      </w:r>
      <w:r>
        <w:rPr>
          <w:color w:val="231F20"/>
          <w:spacing w:val="-2"/>
          <w:w w:val="115"/>
        </w:rPr>
        <w:t> </w:t>
      </w:r>
      <w:r>
        <w:rPr>
          <w:color w:val="231F20"/>
          <w:w w:val="115"/>
        </w:rPr>
        <w:t>semble</w:t>
      </w:r>
      <w:r>
        <w:rPr>
          <w:color w:val="231F20"/>
          <w:spacing w:val="-2"/>
          <w:w w:val="115"/>
        </w:rPr>
        <w:t> </w:t>
      </w:r>
      <w:r>
        <w:rPr>
          <w:color w:val="231F20"/>
          <w:w w:val="115"/>
        </w:rPr>
        <w:t>y</w:t>
      </w:r>
      <w:r>
        <w:rPr>
          <w:color w:val="231F20"/>
          <w:spacing w:val="-2"/>
          <w:w w:val="115"/>
        </w:rPr>
        <w:t> </w:t>
      </w:r>
      <w:r>
        <w:rPr>
          <w:color w:val="231F20"/>
          <w:w w:val="115"/>
        </w:rPr>
        <w:t>avoir</w:t>
      </w:r>
      <w:r>
        <w:rPr>
          <w:color w:val="231F20"/>
          <w:spacing w:val="-2"/>
          <w:w w:val="115"/>
        </w:rPr>
        <w:t> </w:t>
      </w:r>
      <w:r>
        <w:rPr>
          <w:color w:val="231F20"/>
          <w:w w:val="115"/>
        </w:rPr>
        <w:t>une forte</w:t>
      </w:r>
      <w:r>
        <w:rPr>
          <w:color w:val="231F20"/>
          <w:spacing w:val="-7"/>
          <w:w w:val="115"/>
        </w:rPr>
        <w:t> </w:t>
      </w:r>
      <w:r>
        <w:rPr>
          <w:color w:val="231F20"/>
          <w:w w:val="115"/>
        </w:rPr>
        <w:t>incidence</w:t>
      </w:r>
      <w:r>
        <w:rPr>
          <w:color w:val="231F20"/>
          <w:spacing w:val="-7"/>
          <w:w w:val="115"/>
        </w:rPr>
        <w:t> </w:t>
      </w:r>
      <w:r>
        <w:rPr>
          <w:color w:val="231F20"/>
          <w:w w:val="115"/>
        </w:rPr>
        <w:t>de</w:t>
      </w:r>
      <w:r>
        <w:rPr>
          <w:color w:val="231F20"/>
          <w:spacing w:val="-7"/>
          <w:w w:val="115"/>
        </w:rPr>
        <w:t> </w:t>
      </w:r>
      <w:r>
        <w:rPr>
          <w:color w:val="231F20"/>
          <w:w w:val="115"/>
        </w:rPr>
        <w:t>l’estime</w:t>
      </w:r>
      <w:r>
        <w:rPr>
          <w:color w:val="231F20"/>
          <w:spacing w:val="-7"/>
          <w:w w:val="115"/>
        </w:rPr>
        <w:t> </w:t>
      </w:r>
      <w:r>
        <w:rPr>
          <w:color w:val="231F20"/>
          <w:w w:val="115"/>
        </w:rPr>
        <w:t>de</w:t>
      </w:r>
      <w:r>
        <w:rPr>
          <w:color w:val="231F20"/>
          <w:spacing w:val="-7"/>
          <w:w w:val="115"/>
        </w:rPr>
        <w:t> </w:t>
      </w:r>
      <w:r>
        <w:rPr>
          <w:color w:val="231F20"/>
          <w:w w:val="115"/>
        </w:rPr>
        <w:t>soi</w:t>
      </w:r>
      <w:r>
        <w:rPr>
          <w:color w:val="231F20"/>
          <w:spacing w:val="-7"/>
          <w:w w:val="115"/>
        </w:rPr>
        <w:t> </w:t>
      </w:r>
      <w:r>
        <w:rPr>
          <w:color w:val="231F20"/>
          <w:w w:val="115"/>
        </w:rPr>
        <w:t>sur</w:t>
      </w:r>
      <w:r>
        <w:rPr>
          <w:color w:val="231F20"/>
          <w:spacing w:val="-7"/>
          <w:w w:val="115"/>
        </w:rPr>
        <w:t> </w:t>
      </w:r>
      <w:r>
        <w:rPr>
          <w:color w:val="231F20"/>
          <w:w w:val="115"/>
        </w:rPr>
        <w:t>la</w:t>
      </w:r>
      <w:r>
        <w:rPr>
          <w:color w:val="231F20"/>
          <w:spacing w:val="-7"/>
          <w:w w:val="115"/>
        </w:rPr>
        <w:t> </w:t>
      </w:r>
      <w:r>
        <w:rPr>
          <w:color w:val="231F20"/>
          <w:w w:val="115"/>
        </w:rPr>
        <w:t>résistance</w:t>
      </w:r>
      <w:r>
        <w:rPr>
          <w:color w:val="231F20"/>
          <w:spacing w:val="-7"/>
          <w:w w:val="115"/>
        </w:rPr>
        <w:t> </w:t>
      </w:r>
      <w:r>
        <w:rPr>
          <w:color w:val="231F20"/>
          <w:w w:val="115"/>
        </w:rPr>
        <w:t>au</w:t>
      </w:r>
      <w:r>
        <w:rPr>
          <w:color w:val="231F20"/>
          <w:spacing w:val="-7"/>
          <w:w w:val="115"/>
        </w:rPr>
        <w:t> </w:t>
      </w:r>
      <w:r>
        <w:rPr>
          <w:color w:val="231F20"/>
          <w:w w:val="115"/>
        </w:rPr>
        <w:t>stress</w:t>
      </w:r>
      <w:r>
        <w:rPr>
          <w:color w:val="231F20"/>
          <w:spacing w:val="-7"/>
          <w:w w:val="115"/>
        </w:rPr>
        <w:t> </w:t>
      </w:r>
      <w:r>
        <w:rPr>
          <w:color w:val="231F20"/>
          <w:w w:val="115"/>
        </w:rPr>
        <w:t>en</w:t>
      </w:r>
      <w:r>
        <w:rPr>
          <w:color w:val="231F20"/>
          <w:spacing w:val="-7"/>
          <w:w w:val="115"/>
        </w:rPr>
        <w:t> </w:t>
      </w:r>
      <w:r>
        <w:rPr>
          <w:color w:val="231F20"/>
          <w:w w:val="115"/>
        </w:rPr>
        <w:t>provenance </w:t>
      </w:r>
      <w:r>
        <w:rPr>
          <w:color w:val="231F20"/>
          <w:spacing w:val="-2"/>
          <w:w w:val="120"/>
        </w:rPr>
        <w:t>de</w:t>
      </w:r>
      <w:r>
        <w:rPr>
          <w:color w:val="231F20"/>
          <w:spacing w:val="-8"/>
          <w:w w:val="120"/>
        </w:rPr>
        <w:t> </w:t>
      </w:r>
      <w:r>
        <w:rPr>
          <w:color w:val="231F20"/>
          <w:spacing w:val="-2"/>
          <w:w w:val="120"/>
        </w:rPr>
        <w:t>diverses</w:t>
      </w:r>
      <w:r>
        <w:rPr>
          <w:color w:val="231F20"/>
          <w:spacing w:val="-8"/>
          <w:w w:val="120"/>
        </w:rPr>
        <w:t> </w:t>
      </w:r>
      <w:r>
        <w:rPr>
          <w:color w:val="231F20"/>
          <w:spacing w:val="-2"/>
          <w:w w:val="120"/>
        </w:rPr>
        <w:t>circonstances.</w:t>
      </w:r>
      <w:r>
        <w:rPr>
          <w:color w:val="231F20"/>
          <w:spacing w:val="-8"/>
          <w:w w:val="120"/>
        </w:rPr>
        <w:t> </w:t>
      </w:r>
      <w:r>
        <w:rPr>
          <w:color w:val="231F20"/>
          <w:spacing w:val="-2"/>
          <w:w w:val="120"/>
        </w:rPr>
        <w:t>Une</w:t>
      </w:r>
      <w:r>
        <w:rPr>
          <w:color w:val="231F20"/>
          <w:spacing w:val="-8"/>
          <w:w w:val="120"/>
        </w:rPr>
        <w:t> </w:t>
      </w:r>
      <w:r>
        <w:rPr>
          <w:color w:val="231F20"/>
          <w:spacing w:val="-2"/>
          <w:w w:val="120"/>
        </w:rPr>
        <w:t>forte</w:t>
      </w:r>
      <w:r>
        <w:rPr>
          <w:color w:val="231F20"/>
          <w:spacing w:val="-8"/>
          <w:w w:val="120"/>
        </w:rPr>
        <w:t> </w:t>
      </w:r>
      <w:r>
        <w:rPr>
          <w:color w:val="231F20"/>
          <w:spacing w:val="-2"/>
          <w:w w:val="120"/>
        </w:rPr>
        <w:t>estime</w:t>
      </w:r>
      <w:r>
        <w:rPr>
          <w:color w:val="231F20"/>
          <w:spacing w:val="-8"/>
          <w:w w:val="120"/>
        </w:rPr>
        <w:t> </w:t>
      </w:r>
      <w:r>
        <w:rPr>
          <w:color w:val="231F20"/>
          <w:spacing w:val="-2"/>
          <w:w w:val="120"/>
        </w:rPr>
        <w:t>de</w:t>
      </w:r>
      <w:r>
        <w:rPr>
          <w:color w:val="231F20"/>
          <w:spacing w:val="-8"/>
          <w:w w:val="120"/>
        </w:rPr>
        <w:t> </w:t>
      </w:r>
      <w:r>
        <w:rPr>
          <w:color w:val="231F20"/>
          <w:spacing w:val="-2"/>
          <w:w w:val="120"/>
        </w:rPr>
        <w:t>soi</w:t>
      </w:r>
      <w:r>
        <w:rPr>
          <w:color w:val="231F20"/>
          <w:spacing w:val="-8"/>
          <w:w w:val="120"/>
        </w:rPr>
        <w:t> </w:t>
      </w:r>
      <w:r>
        <w:rPr>
          <w:color w:val="231F20"/>
          <w:spacing w:val="-2"/>
          <w:w w:val="120"/>
        </w:rPr>
        <w:t>est</w:t>
      </w:r>
      <w:r>
        <w:rPr>
          <w:color w:val="231F20"/>
          <w:spacing w:val="-8"/>
          <w:w w:val="120"/>
        </w:rPr>
        <w:t> </w:t>
      </w:r>
      <w:r>
        <w:rPr>
          <w:color w:val="231F20"/>
          <w:spacing w:val="-2"/>
          <w:w w:val="120"/>
        </w:rPr>
        <w:t>considérée</w:t>
      </w:r>
      <w:r>
        <w:rPr>
          <w:color w:val="231F20"/>
          <w:spacing w:val="-8"/>
          <w:w w:val="120"/>
        </w:rPr>
        <w:t> </w:t>
      </w:r>
      <w:r>
        <w:rPr>
          <w:color w:val="231F20"/>
          <w:spacing w:val="-2"/>
          <w:w w:val="120"/>
        </w:rPr>
        <w:t>comme </w:t>
      </w:r>
      <w:r>
        <w:rPr>
          <w:color w:val="231F20"/>
          <w:w w:val="120"/>
        </w:rPr>
        <w:t>un</w:t>
      </w:r>
      <w:r>
        <w:rPr>
          <w:color w:val="231F20"/>
          <w:spacing w:val="-13"/>
          <w:w w:val="120"/>
        </w:rPr>
        <w:t> </w:t>
      </w:r>
      <w:r>
        <w:rPr>
          <w:color w:val="231F20"/>
          <w:w w:val="120"/>
        </w:rPr>
        <w:t>aspect</w:t>
      </w:r>
      <w:r>
        <w:rPr>
          <w:color w:val="231F20"/>
          <w:spacing w:val="-13"/>
          <w:w w:val="120"/>
        </w:rPr>
        <w:t> </w:t>
      </w:r>
      <w:r>
        <w:rPr>
          <w:color w:val="231F20"/>
          <w:w w:val="120"/>
        </w:rPr>
        <w:t>fondamental</w:t>
      </w:r>
      <w:r>
        <w:rPr>
          <w:color w:val="231F20"/>
          <w:spacing w:val="-13"/>
          <w:w w:val="120"/>
        </w:rPr>
        <w:t> </w:t>
      </w:r>
      <w:r>
        <w:rPr>
          <w:color w:val="231F20"/>
          <w:w w:val="120"/>
        </w:rPr>
        <w:t>du</w:t>
      </w:r>
      <w:r>
        <w:rPr>
          <w:color w:val="231F20"/>
          <w:spacing w:val="-12"/>
          <w:w w:val="120"/>
        </w:rPr>
        <w:t> </w:t>
      </w:r>
      <w:r>
        <w:rPr>
          <w:color w:val="231F20"/>
          <w:w w:val="120"/>
        </w:rPr>
        <w:t>bien-être</w:t>
      </w:r>
      <w:r>
        <w:rPr>
          <w:color w:val="231F20"/>
          <w:spacing w:val="-13"/>
          <w:w w:val="120"/>
        </w:rPr>
        <w:t> </w:t>
      </w:r>
      <w:r>
        <w:rPr>
          <w:color w:val="231F20"/>
          <w:w w:val="120"/>
        </w:rPr>
        <w:t>personnel,</w:t>
      </w:r>
      <w:r>
        <w:rPr>
          <w:color w:val="231F20"/>
          <w:spacing w:val="-13"/>
          <w:w w:val="120"/>
        </w:rPr>
        <w:t> </w:t>
      </w:r>
      <w:r>
        <w:rPr>
          <w:color w:val="231F20"/>
          <w:w w:val="120"/>
        </w:rPr>
        <w:t>du</w:t>
      </w:r>
      <w:r>
        <w:rPr>
          <w:color w:val="231F20"/>
          <w:spacing w:val="-13"/>
          <w:w w:val="120"/>
        </w:rPr>
        <w:t> </w:t>
      </w:r>
      <w:r>
        <w:rPr>
          <w:color w:val="231F20"/>
          <w:w w:val="120"/>
        </w:rPr>
        <w:t>bonheur</w:t>
      </w:r>
      <w:r>
        <w:rPr>
          <w:color w:val="231F20"/>
          <w:spacing w:val="-12"/>
          <w:w w:val="120"/>
        </w:rPr>
        <w:t> </w:t>
      </w:r>
      <w:r>
        <w:rPr>
          <w:color w:val="231F20"/>
          <w:w w:val="120"/>
        </w:rPr>
        <w:t>et</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capa- cité</w:t>
      </w:r>
      <w:r>
        <w:rPr>
          <w:color w:val="231F20"/>
          <w:spacing w:val="-7"/>
          <w:w w:val="120"/>
        </w:rPr>
        <w:t> </w:t>
      </w:r>
      <w:r>
        <w:rPr>
          <w:color w:val="231F20"/>
          <w:w w:val="120"/>
        </w:rPr>
        <w:t>adaptative.</w:t>
      </w:r>
      <w:r>
        <w:rPr>
          <w:color w:val="231F20"/>
          <w:spacing w:val="-7"/>
          <w:w w:val="120"/>
        </w:rPr>
        <w:t> </w:t>
      </w:r>
      <w:r>
        <w:rPr>
          <w:color w:val="231F20"/>
          <w:w w:val="120"/>
        </w:rPr>
        <w:t>Les</w:t>
      </w:r>
      <w:r>
        <w:rPr>
          <w:color w:val="231F20"/>
          <w:spacing w:val="-7"/>
          <w:w w:val="120"/>
        </w:rPr>
        <w:t> </w:t>
      </w:r>
      <w:r>
        <w:rPr>
          <w:color w:val="231F20"/>
          <w:w w:val="120"/>
        </w:rPr>
        <w:t>personnes</w:t>
      </w:r>
      <w:r>
        <w:rPr>
          <w:color w:val="231F20"/>
          <w:spacing w:val="-7"/>
          <w:w w:val="120"/>
        </w:rPr>
        <w:t> </w:t>
      </w:r>
      <w:r>
        <w:rPr>
          <w:color w:val="231F20"/>
          <w:w w:val="120"/>
        </w:rPr>
        <w:t>ayant</w:t>
      </w:r>
      <w:r>
        <w:rPr>
          <w:color w:val="231F20"/>
          <w:spacing w:val="-7"/>
          <w:w w:val="120"/>
        </w:rPr>
        <w:t> </w:t>
      </w:r>
      <w:r>
        <w:rPr>
          <w:color w:val="231F20"/>
          <w:w w:val="120"/>
        </w:rPr>
        <w:t>une</w:t>
      </w:r>
      <w:r>
        <w:rPr>
          <w:color w:val="231F20"/>
          <w:spacing w:val="-7"/>
          <w:w w:val="120"/>
        </w:rPr>
        <w:t> </w:t>
      </w:r>
      <w:r>
        <w:rPr>
          <w:color w:val="231F20"/>
          <w:w w:val="120"/>
        </w:rPr>
        <w:t>plus</w:t>
      </w:r>
      <w:r>
        <w:rPr>
          <w:color w:val="231F20"/>
          <w:spacing w:val="-7"/>
          <w:w w:val="120"/>
        </w:rPr>
        <w:t> </w:t>
      </w:r>
      <w:r>
        <w:rPr>
          <w:color w:val="231F20"/>
          <w:w w:val="120"/>
        </w:rPr>
        <w:t>grande</w:t>
      </w:r>
      <w:r>
        <w:rPr>
          <w:color w:val="231F20"/>
          <w:spacing w:val="-7"/>
          <w:w w:val="120"/>
        </w:rPr>
        <w:t> </w:t>
      </w:r>
      <w:r>
        <w:rPr>
          <w:color w:val="231F20"/>
          <w:w w:val="120"/>
        </w:rPr>
        <w:t>estime</w:t>
      </w:r>
      <w:r>
        <w:rPr>
          <w:color w:val="231F20"/>
          <w:spacing w:val="-7"/>
          <w:w w:val="120"/>
        </w:rPr>
        <w:t> </w:t>
      </w:r>
      <w:r>
        <w:rPr>
          <w:color w:val="231F20"/>
          <w:w w:val="120"/>
        </w:rPr>
        <w:t>de</w:t>
      </w:r>
      <w:r>
        <w:rPr>
          <w:color w:val="231F20"/>
          <w:spacing w:val="-7"/>
          <w:w w:val="120"/>
        </w:rPr>
        <w:t> </w:t>
      </w:r>
      <w:r>
        <w:rPr>
          <w:color w:val="231F20"/>
          <w:w w:val="120"/>
        </w:rPr>
        <w:t>soi</w:t>
      </w:r>
      <w:r>
        <w:rPr>
          <w:color w:val="231F20"/>
          <w:spacing w:val="-7"/>
          <w:w w:val="120"/>
        </w:rPr>
        <w:t> </w:t>
      </w:r>
      <w:r>
        <w:rPr>
          <w:color w:val="231F20"/>
          <w:w w:val="120"/>
        </w:rPr>
        <w:t>sont </w:t>
      </w:r>
      <w:r>
        <w:rPr>
          <w:color w:val="231F20"/>
          <w:spacing w:val="-2"/>
          <w:w w:val="120"/>
        </w:rPr>
        <w:t>plus</w:t>
      </w:r>
      <w:r>
        <w:rPr>
          <w:color w:val="231F20"/>
          <w:spacing w:val="-11"/>
          <w:w w:val="120"/>
        </w:rPr>
        <w:t> </w:t>
      </w:r>
      <w:r>
        <w:rPr>
          <w:color w:val="231F20"/>
          <w:spacing w:val="-2"/>
          <w:w w:val="120"/>
        </w:rPr>
        <w:t>satisfaites</w:t>
      </w:r>
      <w:r>
        <w:rPr>
          <w:color w:val="231F20"/>
          <w:spacing w:val="-11"/>
          <w:w w:val="120"/>
        </w:rPr>
        <w:t> </w:t>
      </w:r>
      <w:r>
        <w:rPr>
          <w:color w:val="231F20"/>
          <w:spacing w:val="-2"/>
          <w:w w:val="120"/>
        </w:rPr>
        <w:t>de</w:t>
      </w:r>
      <w:r>
        <w:rPr>
          <w:color w:val="231F20"/>
          <w:spacing w:val="-11"/>
          <w:w w:val="120"/>
        </w:rPr>
        <w:t> </w:t>
      </w:r>
      <w:r>
        <w:rPr>
          <w:color w:val="231F20"/>
          <w:spacing w:val="-2"/>
          <w:w w:val="120"/>
        </w:rPr>
        <w:t>leur</w:t>
      </w:r>
      <w:r>
        <w:rPr>
          <w:color w:val="231F20"/>
          <w:spacing w:val="-10"/>
          <w:w w:val="120"/>
        </w:rPr>
        <w:t> </w:t>
      </w:r>
      <w:r>
        <w:rPr>
          <w:color w:val="231F20"/>
          <w:spacing w:val="-2"/>
          <w:w w:val="120"/>
        </w:rPr>
        <w:t>vie,</w:t>
      </w:r>
      <w:r>
        <w:rPr>
          <w:color w:val="231F20"/>
          <w:spacing w:val="-11"/>
          <w:w w:val="120"/>
        </w:rPr>
        <w:t> </w:t>
      </w:r>
      <w:r>
        <w:rPr>
          <w:color w:val="231F20"/>
          <w:spacing w:val="-2"/>
          <w:w w:val="120"/>
        </w:rPr>
        <w:t>ont</w:t>
      </w:r>
      <w:r>
        <w:rPr>
          <w:color w:val="231F20"/>
          <w:spacing w:val="-11"/>
          <w:w w:val="120"/>
        </w:rPr>
        <w:t> </w:t>
      </w:r>
      <w:r>
        <w:rPr>
          <w:color w:val="231F20"/>
          <w:spacing w:val="-2"/>
          <w:w w:val="120"/>
        </w:rPr>
        <w:t>moins</w:t>
      </w:r>
      <w:r>
        <w:rPr>
          <w:color w:val="231F20"/>
          <w:spacing w:val="-11"/>
          <w:w w:val="120"/>
        </w:rPr>
        <w:t> </w:t>
      </w:r>
      <w:r>
        <w:rPr>
          <w:color w:val="231F20"/>
          <w:spacing w:val="-2"/>
          <w:w w:val="120"/>
        </w:rPr>
        <w:t>de</w:t>
      </w:r>
      <w:r>
        <w:rPr>
          <w:color w:val="231F20"/>
          <w:spacing w:val="-10"/>
          <w:w w:val="120"/>
        </w:rPr>
        <w:t> </w:t>
      </w:r>
      <w:r>
        <w:rPr>
          <w:color w:val="231F20"/>
          <w:spacing w:val="-2"/>
          <w:w w:val="120"/>
        </w:rPr>
        <w:t>problèmes</w:t>
      </w:r>
      <w:r>
        <w:rPr>
          <w:color w:val="231F20"/>
          <w:spacing w:val="-11"/>
          <w:w w:val="120"/>
        </w:rPr>
        <w:t> </w:t>
      </w:r>
      <w:r>
        <w:rPr>
          <w:color w:val="231F20"/>
          <w:spacing w:val="-2"/>
          <w:w w:val="120"/>
        </w:rPr>
        <w:t>interpersonnels,</w:t>
      </w:r>
      <w:r>
        <w:rPr>
          <w:color w:val="231F20"/>
          <w:spacing w:val="-11"/>
          <w:w w:val="120"/>
        </w:rPr>
        <w:t> </w:t>
      </w:r>
      <w:r>
        <w:rPr>
          <w:color w:val="231F20"/>
          <w:spacing w:val="-2"/>
          <w:w w:val="120"/>
        </w:rPr>
        <w:t>réus- </w:t>
      </w:r>
      <w:r>
        <w:rPr>
          <w:color w:val="231F20"/>
          <w:w w:val="120"/>
        </w:rPr>
        <w:t>sissent mieux et sont moins susceptibles de développer des problèmes</w:t>
      </w:r>
    </w:p>
    <w:p>
      <w:pPr>
        <w:spacing w:after="0" w:line="307" w:lineRule="auto"/>
        <w:jc w:val="both"/>
        <w:sectPr>
          <w:footerReference w:type="default" r:id="rId348"/>
          <w:pgSz w:w="8640" w:h="12960"/>
          <w:pgMar w:footer="424" w:header="0" w:top="520" w:bottom="620" w:left="420" w:right="1140"/>
        </w:sectPr>
      </w:pPr>
    </w:p>
    <w:p>
      <w:pPr>
        <w:spacing w:before="118"/>
        <w:ind w:left="1246" w:right="0" w:firstLine="0"/>
        <w:jc w:val="both"/>
        <w:rPr>
          <w:rFonts w:ascii="Arial" w:hAnsi="Arial"/>
          <w:sz w:val="14"/>
        </w:rPr>
      </w:pPr>
      <w:r>
        <w:rPr>
          <w:rFonts w:ascii="Arial" w:hAnsi="Arial"/>
          <w:color w:val="231F20"/>
          <w:sz w:val="14"/>
        </w:rPr>
        <w:t>Annexe</w:t>
      </w:r>
      <w:r>
        <w:rPr>
          <w:rFonts w:ascii="Arial" w:hAnsi="Arial"/>
          <w:color w:val="231F20"/>
          <w:spacing w:val="-6"/>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estime</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5"/>
          <w:sz w:val="14"/>
        </w:rPr>
        <w:t> </w:t>
      </w:r>
      <w:r>
        <w:rPr>
          <w:rFonts w:ascii="Arial" w:hAnsi="Arial"/>
          <w:color w:val="231F20"/>
          <w:sz w:val="14"/>
        </w:rPr>
        <w:t>valeurs</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bien-être</w:t>
      </w:r>
      <w:r>
        <w:rPr>
          <w:rFonts w:ascii="Arial" w:hAnsi="Arial"/>
          <w:color w:val="231F20"/>
          <w:spacing w:val="-5"/>
          <w:sz w:val="14"/>
        </w:rPr>
        <w:t> </w:t>
      </w:r>
      <w:r>
        <w:rPr>
          <w:rFonts w:ascii="Arial" w:hAnsi="Arial"/>
          <w:color w:val="231F20"/>
          <w:sz w:val="14"/>
        </w:rPr>
        <w:t>psychologique</w:t>
      </w:r>
      <w:r>
        <w:rPr>
          <w:rFonts w:ascii="Arial" w:hAnsi="Arial"/>
          <w:color w:val="231F20"/>
          <w:spacing w:val="-6"/>
          <w:sz w:val="14"/>
        </w:rPr>
        <w:t> </w:t>
      </w:r>
      <w:r>
        <w:rPr>
          <w:rFonts w:ascii="Arial" w:hAnsi="Arial"/>
          <w:color w:val="231F20"/>
          <w:sz w:val="14"/>
        </w:rPr>
        <w:t>en</w:t>
      </w:r>
      <w:r>
        <w:rPr>
          <w:rFonts w:ascii="Arial" w:hAnsi="Arial"/>
          <w:color w:val="231F20"/>
          <w:spacing w:val="-5"/>
          <w:sz w:val="14"/>
        </w:rPr>
        <w:t> </w:t>
      </w:r>
      <w:r>
        <w:rPr>
          <w:rFonts w:ascii="Arial" w:hAnsi="Arial"/>
          <w:color w:val="231F20"/>
          <w:sz w:val="14"/>
        </w:rPr>
        <w:t>contexte</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COVID-</w:t>
      </w:r>
      <w:r>
        <w:rPr>
          <w:rFonts w:ascii="Arial" w:hAnsi="Arial"/>
          <w:color w:val="231F20"/>
          <w:spacing w:val="-5"/>
          <w:sz w:val="14"/>
        </w:rPr>
        <w:t>19</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3"/>
        <w:jc w:val="both"/>
      </w:pPr>
      <w:r>
        <w:rPr>
          <w:color w:val="231F20"/>
          <w:w w:val="120"/>
        </w:rPr>
        <w:t>psychologiques</w:t>
      </w:r>
      <w:r>
        <w:rPr>
          <w:color w:val="231F20"/>
          <w:spacing w:val="-8"/>
          <w:w w:val="120"/>
        </w:rPr>
        <w:t> </w:t>
      </w:r>
      <w:r>
        <w:rPr>
          <w:color w:val="231F20"/>
          <w:w w:val="120"/>
        </w:rPr>
        <w:t>ainsi</w:t>
      </w:r>
      <w:r>
        <w:rPr>
          <w:color w:val="231F20"/>
          <w:spacing w:val="-8"/>
          <w:w w:val="120"/>
        </w:rPr>
        <w:t> </w:t>
      </w:r>
      <w:r>
        <w:rPr>
          <w:color w:val="231F20"/>
          <w:w w:val="120"/>
        </w:rPr>
        <w:t>que</w:t>
      </w:r>
      <w:r>
        <w:rPr>
          <w:color w:val="231F20"/>
          <w:spacing w:val="-8"/>
          <w:w w:val="120"/>
        </w:rPr>
        <w:t> </w:t>
      </w:r>
      <w:r>
        <w:rPr>
          <w:color w:val="231F20"/>
          <w:w w:val="120"/>
        </w:rPr>
        <w:t>diverses</w:t>
      </w:r>
      <w:r>
        <w:rPr>
          <w:color w:val="231F20"/>
          <w:spacing w:val="-8"/>
          <w:w w:val="120"/>
        </w:rPr>
        <w:t> </w:t>
      </w:r>
      <w:r>
        <w:rPr>
          <w:color w:val="231F20"/>
          <w:w w:val="120"/>
        </w:rPr>
        <w:t>maladies</w:t>
      </w:r>
      <w:r>
        <w:rPr>
          <w:color w:val="231F20"/>
          <w:spacing w:val="-8"/>
          <w:w w:val="120"/>
        </w:rPr>
        <w:t> </w:t>
      </w:r>
      <w:r>
        <w:rPr>
          <w:color w:val="231F20"/>
          <w:w w:val="120"/>
        </w:rPr>
        <w:t>physiques.</w:t>
      </w:r>
      <w:r>
        <w:rPr>
          <w:color w:val="231F20"/>
          <w:spacing w:val="-8"/>
          <w:w w:val="120"/>
        </w:rPr>
        <w:t> </w:t>
      </w:r>
      <w:r>
        <w:rPr>
          <w:color w:val="231F20"/>
          <w:w w:val="120"/>
        </w:rPr>
        <w:t>L’estime</w:t>
      </w:r>
      <w:r>
        <w:rPr>
          <w:color w:val="231F20"/>
          <w:spacing w:val="-8"/>
          <w:w w:val="120"/>
        </w:rPr>
        <w:t> </w:t>
      </w:r>
      <w:r>
        <w:rPr>
          <w:color w:val="231F20"/>
          <w:w w:val="120"/>
        </w:rPr>
        <w:t>de</w:t>
      </w:r>
      <w:r>
        <w:rPr>
          <w:color w:val="231F20"/>
          <w:spacing w:val="-8"/>
          <w:w w:val="120"/>
        </w:rPr>
        <w:t> </w:t>
      </w:r>
      <w:r>
        <w:rPr>
          <w:color w:val="231F20"/>
          <w:w w:val="120"/>
        </w:rPr>
        <w:t>soi est</w:t>
      </w:r>
      <w:r>
        <w:rPr>
          <w:color w:val="231F20"/>
          <w:spacing w:val="-5"/>
          <w:w w:val="120"/>
        </w:rPr>
        <w:t> </w:t>
      </w:r>
      <w:r>
        <w:rPr>
          <w:color w:val="231F20"/>
          <w:w w:val="120"/>
        </w:rPr>
        <w:t>associée</w:t>
      </w:r>
      <w:r>
        <w:rPr>
          <w:color w:val="231F20"/>
          <w:spacing w:val="-5"/>
          <w:w w:val="120"/>
        </w:rPr>
        <w:t> </w:t>
      </w:r>
      <w:r>
        <w:rPr>
          <w:color w:val="231F20"/>
          <w:w w:val="120"/>
        </w:rPr>
        <w:t>à</w:t>
      </w:r>
      <w:r>
        <w:rPr>
          <w:color w:val="231F20"/>
          <w:spacing w:val="-5"/>
          <w:w w:val="120"/>
        </w:rPr>
        <w:t> </w:t>
      </w:r>
      <w:r>
        <w:rPr>
          <w:color w:val="231F20"/>
          <w:w w:val="120"/>
        </w:rPr>
        <w:t>l’évaluation</w:t>
      </w:r>
      <w:r>
        <w:rPr>
          <w:color w:val="231F20"/>
          <w:spacing w:val="-5"/>
          <w:w w:val="120"/>
        </w:rPr>
        <w:t> </w:t>
      </w:r>
      <w:r>
        <w:rPr>
          <w:color w:val="231F20"/>
          <w:w w:val="120"/>
        </w:rPr>
        <w:t>positive</w:t>
      </w:r>
      <w:r>
        <w:rPr>
          <w:color w:val="231F20"/>
          <w:spacing w:val="-5"/>
          <w:w w:val="120"/>
        </w:rPr>
        <w:t> </w:t>
      </w:r>
      <w:r>
        <w:rPr>
          <w:color w:val="231F20"/>
          <w:w w:val="120"/>
        </w:rPr>
        <w:t>ou</w:t>
      </w:r>
      <w:r>
        <w:rPr>
          <w:color w:val="231F20"/>
          <w:spacing w:val="-5"/>
          <w:w w:val="120"/>
        </w:rPr>
        <w:t> </w:t>
      </w:r>
      <w:r>
        <w:rPr>
          <w:color w:val="231F20"/>
          <w:w w:val="120"/>
        </w:rPr>
        <w:t>négative</w:t>
      </w:r>
      <w:r>
        <w:rPr>
          <w:color w:val="231F20"/>
          <w:spacing w:val="-5"/>
          <w:w w:val="120"/>
        </w:rPr>
        <w:t> </w:t>
      </w:r>
      <w:r>
        <w:rPr>
          <w:color w:val="231F20"/>
          <w:w w:val="120"/>
        </w:rPr>
        <w:t>que</w:t>
      </w:r>
      <w:r>
        <w:rPr>
          <w:color w:val="231F20"/>
          <w:spacing w:val="-5"/>
          <w:w w:val="120"/>
        </w:rPr>
        <w:t> </w:t>
      </w:r>
      <w:r>
        <w:rPr>
          <w:color w:val="231F20"/>
          <w:w w:val="120"/>
        </w:rPr>
        <w:t>les</w:t>
      </w:r>
      <w:r>
        <w:rPr>
          <w:color w:val="231F20"/>
          <w:spacing w:val="-5"/>
          <w:w w:val="120"/>
        </w:rPr>
        <w:t> </w:t>
      </w:r>
      <w:r>
        <w:rPr>
          <w:color w:val="231F20"/>
          <w:w w:val="120"/>
        </w:rPr>
        <w:t>gens</w:t>
      </w:r>
      <w:r>
        <w:rPr>
          <w:color w:val="231F20"/>
          <w:spacing w:val="-5"/>
          <w:w w:val="120"/>
        </w:rPr>
        <w:t> </w:t>
      </w:r>
      <w:r>
        <w:rPr>
          <w:color w:val="231F20"/>
          <w:w w:val="120"/>
        </w:rPr>
        <w:t>ont</w:t>
      </w:r>
      <w:r>
        <w:rPr>
          <w:color w:val="231F20"/>
          <w:spacing w:val="-5"/>
          <w:w w:val="120"/>
        </w:rPr>
        <w:t> </w:t>
      </w:r>
      <w:r>
        <w:rPr>
          <w:color w:val="231F20"/>
          <w:w w:val="120"/>
        </w:rPr>
        <w:t>d’eux- mêmes.</w:t>
      </w:r>
      <w:r>
        <w:rPr>
          <w:color w:val="231F20"/>
          <w:spacing w:val="-13"/>
          <w:w w:val="120"/>
        </w:rPr>
        <w:t> </w:t>
      </w:r>
      <w:r>
        <w:rPr>
          <w:color w:val="231F20"/>
          <w:w w:val="120"/>
        </w:rPr>
        <w:t>L’estime</w:t>
      </w:r>
      <w:r>
        <w:rPr>
          <w:color w:val="231F20"/>
          <w:spacing w:val="-13"/>
          <w:w w:val="120"/>
        </w:rPr>
        <w:t> </w:t>
      </w:r>
      <w:r>
        <w:rPr>
          <w:color w:val="231F20"/>
          <w:w w:val="120"/>
        </w:rPr>
        <w:t>de</w:t>
      </w:r>
      <w:r>
        <w:rPr>
          <w:color w:val="231F20"/>
          <w:spacing w:val="-13"/>
          <w:w w:val="120"/>
        </w:rPr>
        <w:t> </w:t>
      </w:r>
      <w:r>
        <w:rPr>
          <w:color w:val="231F20"/>
          <w:w w:val="120"/>
        </w:rPr>
        <w:t>soi</w:t>
      </w:r>
      <w:r>
        <w:rPr>
          <w:color w:val="231F20"/>
          <w:spacing w:val="-12"/>
          <w:w w:val="120"/>
        </w:rPr>
        <w:t> </w:t>
      </w:r>
      <w:r>
        <w:rPr>
          <w:color w:val="231F20"/>
          <w:w w:val="120"/>
        </w:rPr>
        <w:t>semble</w:t>
      </w:r>
      <w:r>
        <w:rPr>
          <w:color w:val="231F20"/>
          <w:spacing w:val="-13"/>
          <w:w w:val="120"/>
        </w:rPr>
        <w:t> </w:t>
      </w:r>
      <w:r>
        <w:rPr>
          <w:color w:val="231F20"/>
          <w:w w:val="120"/>
        </w:rPr>
        <w:t>être</w:t>
      </w:r>
      <w:r>
        <w:rPr>
          <w:color w:val="231F20"/>
          <w:spacing w:val="-13"/>
          <w:w w:val="120"/>
        </w:rPr>
        <w:t> </w:t>
      </w:r>
      <w:r>
        <w:rPr>
          <w:color w:val="231F20"/>
          <w:w w:val="120"/>
        </w:rPr>
        <w:t>associée</w:t>
      </w:r>
      <w:r>
        <w:rPr>
          <w:color w:val="231F20"/>
          <w:spacing w:val="-13"/>
          <w:w w:val="120"/>
        </w:rPr>
        <w:t> </w:t>
      </w:r>
      <w:r>
        <w:rPr>
          <w:color w:val="231F20"/>
          <w:w w:val="120"/>
        </w:rPr>
        <w:t>à</w:t>
      </w:r>
      <w:r>
        <w:rPr>
          <w:color w:val="231F20"/>
          <w:spacing w:val="-12"/>
          <w:w w:val="120"/>
        </w:rPr>
        <w:t> </w:t>
      </w:r>
      <w:r>
        <w:rPr>
          <w:color w:val="231F20"/>
          <w:w w:val="120"/>
        </w:rPr>
        <w:t>des</w:t>
      </w:r>
      <w:r>
        <w:rPr>
          <w:color w:val="231F20"/>
          <w:spacing w:val="-13"/>
          <w:w w:val="120"/>
        </w:rPr>
        <w:t> </w:t>
      </w:r>
      <w:r>
        <w:rPr>
          <w:color w:val="231F20"/>
          <w:w w:val="120"/>
        </w:rPr>
        <w:t>facteurs</w:t>
      </w:r>
      <w:r>
        <w:rPr>
          <w:color w:val="231F20"/>
          <w:spacing w:val="-13"/>
          <w:w w:val="120"/>
        </w:rPr>
        <w:t> </w:t>
      </w:r>
      <w:r>
        <w:rPr>
          <w:color w:val="231F20"/>
          <w:w w:val="120"/>
        </w:rPr>
        <w:t>de</w:t>
      </w:r>
      <w:r>
        <w:rPr>
          <w:color w:val="231F20"/>
          <w:spacing w:val="-13"/>
          <w:w w:val="120"/>
        </w:rPr>
        <w:t> </w:t>
      </w:r>
      <w:r>
        <w:rPr>
          <w:color w:val="231F20"/>
          <w:w w:val="120"/>
        </w:rPr>
        <w:t>stress</w:t>
      </w:r>
      <w:r>
        <w:rPr>
          <w:color w:val="231F20"/>
          <w:spacing w:val="-12"/>
          <w:w w:val="120"/>
        </w:rPr>
        <w:t> </w:t>
      </w:r>
      <w:r>
        <w:rPr>
          <w:color w:val="231F20"/>
          <w:w w:val="120"/>
        </w:rPr>
        <w:t>liés </w:t>
      </w:r>
      <w:r>
        <w:rPr>
          <w:color w:val="231F20"/>
          <w:w w:val="115"/>
        </w:rPr>
        <w:t>aux</w:t>
      </w:r>
      <w:r>
        <w:rPr>
          <w:color w:val="231F20"/>
          <w:spacing w:val="-7"/>
          <w:w w:val="115"/>
        </w:rPr>
        <w:t> </w:t>
      </w:r>
      <w:r>
        <w:rPr>
          <w:color w:val="231F20"/>
          <w:w w:val="115"/>
        </w:rPr>
        <w:t>émotions.</w:t>
      </w:r>
      <w:r>
        <w:rPr>
          <w:color w:val="231F20"/>
          <w:spacing w:val="-7"/>
          <w:w w:val="115"/>
        </w:rPr>
        <w:t> </w:t>
      </w:r>
      <w:r>
        <w:rPr>
          <w:color w:val="231F20"/>
          <w:w w:val="115"/>
        </w:rPr>
        <w:t>Il</w:t>
      </w:r>
      <w:r>
        <w:rPr>
          <w:color w:val="231F20"/>
          <w:spacing w:val="-7"/>
          <w:w w:val="115"/>
        </w:rPr>
        <w:t> </w:t>
      </w:r>
      <w:r>
        <w:rPr>
          <w:color w:val="231F20"/>
          <w:w w:val="115"/>
        </w:rPr>
        <w:t>est</w:t>
      </w:r>
      <w:r>
        <w:rPr>
          <w:color w:val="231F20"/>
          <w:spacing w:val="-7"/>
          <w:w w:val="115"/>
        </w:rPr>
        <w:t> </w:t>
      </w:r>
      <w:r>
        <w:rPr>
          <w:color w:val="231F20"/>
          <w:w w:val="115"/>
        </w:rPr>
        <w:t>encore</w:t>
      </w:r>
      <w:r>
        <w:rPr>
          <w:color w:val="231F20"/>
          <w:spacing w:val="-7"/>
          <w:w w:val="115"/>
        </w:rPr>
        <w:t> </w:t>
      </w:r>
      <w:r>
        <w:rPr>
          <w:color w:val="231F20"/>
          <w:w w:val="115"/>
        </w:rPr>
        <w:t>tôt</w:t>
      </w:r>
      <w:r>
        <w:rPr>
          <w:color w:val="231F20"/>
          <w:spacing w:val="-7"/>
          <w:w w:val="115"/>
        </w:rPr>
        <w:t> </w:t>
      </w:r>
      <w:r>
        <w:rPr>
          <w:color w:val="231F20"/>
          <w:w w:val="115"/>
        </w:rPr>
        <w:t>pour</w:t>
      </w:r>
      <w:r>
        <w:rPr>
          <w:color w:val="231F20"/>
          <w:spacing w:val="-7"/>
          <w:w w:val="115"/>
        </w:rPr>
        <w:t> </w:t>
      </w:r>
      <w:r>
        <w:rPr>
          <w:color w:val="231F20"/>
          <w:w w:val="115"/>
        </w:rPr>
        <w:t>spéculer,</w:t>
      </w:r>
      <w:r>
        <w:rPr>
          <w:color w:val="231F20"/>
          <w:spacing w:val="-7"/>
          <w:w w:val="115"/>
        </w:rPr>
        <w:t> </w:t>
      </w:r>
      <w:r>
        <w:rPr>
          <w:color w:val="231F20"/>
          <w:w w:val="115"/>
        </w:rPr>
        <w:t>mais</w:t>
      </w:r>
      <w:r>
        <w:rPr>
          <w:color w:val="231F20"/>
          <w:spacing w:val="-7"/>
          <w:w w:val="115"/>
        </w:rPr>
        <w:t> </w:t>
      </w:r>
      <w:r>
        <w:rPr>
          <w:color w:val="231F20"/>
          <w:w w:val="115"/>
        </w:rPr>
        <w:t>il</w:t>
      </w:r>
      <w:r>
        <w:rPr>
          <w:color w:val="231F20"/>
          <w:spacing w:val="-7"/>
          <w:w w:val="115"/>
        </w:rPr>
        <w:t> </w:t>
      </w:r>
      <w:r>
        <w:rPr>
          <w:color w:val="231F20"/>
          <w:w w:val="115"/>
        </w:rPr>
        <w:t>est</w:t>
      </w:r>
      <w:r>
        <w:rPr>
          <w:color w:val="231F20"/>
          <w:spacing w:val="-7"/>
          <w:w w:val="115"/>
        </w:rPr>
        <w:t> </w:t>
      </w:r>
      <w:r>
        <w:rPr>
          <w:color w:val="231F20"/>
          <w:w w:val="115"/>
        </w:rPr>
        <w:t>possible</w:t>
      </w:r>
      <w:r>
        <w:rPr>
          <w:color w:val="231F20"/>
          <w:spacing w:val="-7"/>
          <w:w w:val="115"/>
        </w:rPr>
        <w:t> </w:t>
      </w:r>
      <w:r>
        <w:rPr>
          <w:color w:val="231F20"/>
          <w:w w:val="115"/>
        </w:rPr>
        <w:t>de</w:t>
      </w:r>
      <w:r>
        <w:rPr>
          <w:color w:val="231F20"/>
          <w:spacing w:val="-7"/>
          <w:w w:val="115"/>
        </w:rPr>
        <w:t> </w:t>
      </w:r>
      <w:r>
        <w:rPr>
          <w:color w:val="231F20"/>
          <w:w w:val="115"/>
        </w:rPr>
        <w:t>consi- </w:t>
      </w:r>
      <w:r>
        <w:rPr>
          <w:color w:val="231F20"/>
          <w:w w:val="120"/>
        </w:rPr>
        <w:t>dérer que les personnes qui seront les plus affectées par la crise de </w:t>
      </w:r>
      <w:r>
        <w:rPr>
          <w:color w:val="231F20"/>
          <w:w w:val="115"/>
        </w:rPr>
        <w:t>COVID-19</w:t>
      </w:r>
      <w:r>
        <w:rPr>
          <w:color w:val="231F20"/>
          <w:spacing w:val="-3"/>
          <w:w w:val="115"/>
        </w:rPr>
        <w:t> </w:t>
      </w:r>
      <w:r>
        <w:rPr>
          <w:color w:val="231F20"/>
          <w:w w:val="115"/>
        </w:rPr>
        <w:t>sont</w:t>
      </w:r>
      <w:r>
        <w:rPr>
          <w:color w:val="231F20"/>
          <w:spacing w:val="-3"/>
          <w:w w:val="115"/>
        </w:rPr>
        <w:t> </w:t>
      </w:r>
      <w:r>
        <w:rPr>
          <w:color w:val="231F20"/>
          <w:w w:val="115"/>
        </w:rPr>
        <w:t>celles</w:t>
      </w:r>
      <w:r>
        <w:rPr>
          <w:color w:val="231F20"/>
          <w:spacing w:val="-3"/>
          <w:w w:val="115"/>
        </w:rPr>
        <w:t> </w:t>
      </w:r>
      <w:r>
        <w:rPr>
          <w:color w:val="231F20"/>
          <w:w w:val="115"/>
        </w:rPr>
        <w:t>qui</w:t>
      </w:r>
      <w:r>
        <w:rPr>
          <w:color w:val="231F20"/>
          <w:spacing w:val="-3"/>
          <w:w w:val="115"/>
        </w:rPr>
        <w:t> </w:t>
      </w:r>
      <w:r>
        <w:rPr>
          <w:color w:val="231F20"/>
          <w:w w:val="115"/>
        </w:rPr>
        <w:t>ont</w:t>
      </w:r>
      <w:r>
        <w:rPr>
          <w:color w:val="231F20"/>
          <w:spacing w:val="-3"/>
          <w:w w:val="115"/>
        </w:rPr>
        <w:t> </w:t>
      </w:r>
      <w:r>
        <w:rPr>
          <w:color w:val="231F20"/>
          <w:w w:val="115"/>
        </w:rPr>
        <w:t>une</w:t>
      </w:r>
      <w:r>
        <w:rPr>
          <w:color w:val="231F20"/>
          <w:spacing w:val="-3"/>
          <w:w w:val="115"/>
        </w:rPr>
        <w:t> </w:t>
      </w:r>
      <w:r>
        <w:rPr>
          <w:color w:val="231F20"/>
          <w:w w:val="115"/>
        </w:rPr>
        <w:t>estime</w:t>
      </w:r>
      <w:r>
        <w:rPr>
          <w:color w:val="231F20"/>
          <w:spacing w:val="-3"/>
          <w:w w:val="115"/>
        </w:rPr>
        <w:t> </w:t>
      </w:r>
      <w:r>
        <w:rPr>
          <w:color w:val="231F20"/>
          <w:w w:val="115"/>
        </w:rPr>
        <w:t>de</w:t>
      </w:r>
      <w:r>
        <w:rPr>
          <w:color w:val="231F20"/>
          <w:spacing w:val="-3"/>
          <w:w w:val="115"/>
        </w:rPr>
        <w:t> </w:t>
      </w:r>
      <w:r>
        <w:rPr>
          <w:color w:val="231F20"/>
          <w:w w:val="115"/>
        </w:rPr>
        <w:t>soi</w:t>
      </w:r>
      <w:r>
        <w:rPr>
          <w:color w:val="231F20"/>
          <w:spacing w:val="-3"/>
          <w:w w:val="115"/>
        </w:rPr>
        <w:t> </w:t>
      </w:r>
      <w:r>
        <w:rPr>
          <w:color w:val="231F20"/>
          <w:w w:val="115"/>
        </w:rPr>
        <w:t>relativement</w:t>
      </w:r>
      <w:r>
        <w:rPr>
          <w:color w:val="231F20"/>
          <w:spacing w:val="-3"/>
          <w:w w:val="115"/>
        </w:rPr>
        <w:t> </w:t>
      </w:r>
      <w:r>
        <w:rPr>
          <w:color w:val="231F20"/>
          <w:w w:val="115"/>
        </w:rPr>
        <w:t>faible,</w:t>
      </w:r>
      <w:r>
        <w:rPr>
          <w:color w:val="231F20"/>
          <w:spacing w:val="-3"/>
          <w:w w:val="115"/>
        </w:rPr>
        <w:t> </w:t>
      </w:r>
      <w:r>
        <w:rPr>
          <w:color w:val="231F20"/>
          <w:w w:val="115"/>
        </w:rPr>
        <w:t>alors </w:t>
      </w:r>
      <w:r>
        <w:rPr>
          <w:color w:val="231F20"/>
          <w:w w:val="120"/>
        </w:rPr>
        <w:t>que</w:t>
      </w:r>
      <w:r>
        <w:rPr>
          <w:color w:val="231F20"/>
          <w:spacing w:val="-4"/>
          <w:w w:val="120"/>
        </w:rPr>
        <w:t> </w:t>
      </w:r>
      <w:r>
        <w:rPr>
          <w:color w:val="231F20"/>
          <w:w w:val="120"/>
        </w:rPr>
        <w:t>celles</w:t>
      </w:r>
      <w:r>
        <w:rPr>
          <w:color w:val="231F20"/>
          <w:spacing w:val="-4"/>
          <w:w w:val="120"/>
        </w:rPr>
        <w:t> </w:t>
      </w:r>
      <w:r>
        <w:rPr>
          <w:color w:val="231F20"/>
          <w:w w:val="120"/>
        </w:rPr>
        <w:t>qui</w:t>
      </w:r>
      <w:r>
        <w:rPr>
          <w:color w:val="231F20"/>
          <w:spacing w:val="-4"/>
          <w:w w:val="120"/>
        </w:rPr>
        <w:t> </w:t>
      </w:r>
      <w:r>
        <w:rPr>
          <w:color w:val="231F20"/>
          <w:w w:val="120"/>
        </w:rPr>
        <w:t>possèdent</w:t>
      </w:r>
      <w:r>
        <w:rPr>
          <w:color w:val="231F20"/>
          <w:spacing w:val="-4"/>
          <w:w w:val="120"/>
        </w:rPr>
        <w:t> </w:t>
      </w:r>
      <w:r>
        <w:rPr>
          <w:color w:val="231F20"/>
          <w:w w:val="120"/>
        </w:rPr>
        <w:t>une</w:t>
      </w:r>
      <w:r>
        <w:rPr>
          <w:color w:val="231F20"/>
          <w:spacing w:val="-4"/>
          <w:w w:val="120"/>
        </w:rPr>
        <w:t> </w:t>
      </w:r>
      <w:r>
        <w:rPr>
          <w:color w:val="231F20"/>
          <w:w w:val="120"/>
        </w:rPr>
        <w:t>estime</w:t>
      </w:r>
      <w:r>
        <w:rPr>
          <w:color w:val="231F20"/>
          <w:spacing w:val="-4"/>
          <w:w w:val="120"/>
        </w:rPr>
        <w:t> </w:t>
      </w:r>
      <w:r>
        <w:rPr>
          <w:color w:val="231F20"/>
          <w:w w:val="120"/>
        </w:rPr>
        <w:t>de</w:t>
      </w:r>
      <w:r>
        <w:rPr>
          <w:color w:val="231F20"/>
          <w:spacing w:val="-4"/>
          <w:w w:val="120"/>
        </w:rPr>
        <w:t> </w:t>
      </w:r>
      <w:r>
        <w:rPr>
          <w:color w:val="231F20"/>
          <w:w w:val="120"/>
        </w:rPr>
        <w:t>soi</w:t>
      </w:r>
      <w:r>
        <w:rPr>
          <w:color w:val="231F20"/>
          <w:spacing w:val="-4"/>
          <w:w w:val="120"/>
        </w:rPr>
        <w:t> </w:t>
      </w:r>
      <w:r>
        <w:rPr>
          <w:color w:val="231F20"/>
          <w:w w:val="120"/>
        </w:rPr>
        <w:t>plus</w:t>
      </w:r>
      <w:r>
        <w:rPr>
          <w:color w:val="231F20"/>
          <w:spacing w:val="-4"/>
          <w:w w:val="120"/>
        </w:rPr>
        <w:t> </w:t>
      </w:r>
      <w:r>
        <w:rPr>
          <w:color w:val="231F20"/>
          <w:w w:val="120"/>
        </w:rPr>
        <w:t>robuste</w:t>
      </w:r>
      <w:r>
        <w:rPr>
          <w:color w:val="231F20"/>
          <w:spacing w:val="-4"/>
          <w:w w:val="120"/>
        </w:rPr>
        <w:t> </w:t>
      </w:r>
      <w:r>
        <w:rPr>
          <w:color w:val="231F20"/>
          <w:w w:val="120"/>
        </w:rPr>
        <w:t>subiront</w:t>
      </w:r>
      <w:r>
        <w:rPr>
          <w:color w:val="231F20"/>
          <w:spacing w:val="-4"/>
          <w:w w:val="120"/>
        </w:rPr>
        <w:t> </w:t>
      </w:r>
      <w:r>
        <w:rPr>
          <w:color w:val="231F20"/>
          <w:w w:val="120"/>
        </w:rPr>
        <w:t>moins </w:t>
      </w:r>
      <w:r>
        <w:rPr>
          <w:color w:val="231F20"/>
          <w:spacing w:val="-2"/>
          <w:w w:val="120"/>
        </w:rPr>
        <w:t>de</w:t>
      </w:r>
      <w:r>
        <w:rPr>
          <w:color w:val="231F20"/>
          <w:spacing w:val="-8"/>
          <w:w w:val="120"/>
        </w:rPr>
        <w:t> </w:t>
      </w:r>
      <w:r>
        <w:rPr>
          <w:color w:val="231F20"/>
          <w:spacing w:val="-2"/>
          <w:w w:val="120"/>
        </w:rPr>
        <w:t>séquelles</w:t>
      </w:r>
      <w:r>
        <w:rPr>
          <w:color w:val="231F20"/>
          <w:spacing w:val="-8"/>
          <w:w w:val="120"/>
        </w:rPr>
        <w:t> </w:t>
      </w:r>
      <w:r>
        <w:rPr>
          <w:color w:val="231F20"/>
          <w:spacing w:val="-2"/>
          <w:w w:val="120"/>
        </w:rPr>
        <w:t>face</w:t>
      </w:r>
      <w:r>
        <w:rPr>
          <w:color w:val="231F20"/>
          <w:spacing w:val="-8"/>
          <w:w w:val="120"/>
        </w:rPr>
        <w:t> </w:t>
      </w:r>
      <w:r>
        <w:rPr>
          <w:color w:val="231F20"/>
          <w:spacing w:val="-2"/>
          <w:w w:val="120"/>
        </w:rPr>
        <w:t>à</w:t>
      </w:r>
      <w:r>
        <w:rPr>
          <w:color w:val="231F20"/>
          <w:spacing w:val="-8"/>
          <w:w w:val="120"/>
        </w:rPr>
        <w:t> </w:t>
      </w:r>
      <w:r>
        <w:rPr>
          <w:color w:val="231F20"/>
          <w:spacing w:val="-2"/>
          <w:w w:val="120"/>
        </w:rPr>
        <w:t>cette</w:t>
      </w:r>
      <w:r>
        <w:rPr>
          <w:color w:val="231F20"/>
          <w:spacing w:val="-8"/>
          <w:w w:val="120"/>
        </w:rPr>
        <w:t> </w:t>
      </w:r>
      <w:r>
        <w:rPr>
          <w:color w:val="231F20"/>
          <w:spacing w:val="-2"/>
          <w:w w:val="120"/>
        </w:rPr>
        <w:t>crise.</w:t>
      </w:r>
      <w:r>
        <w:rPr>
          <w:color w:val="231F20"/>
          <w:spacing w:val="-8"/>
          <w:w w:val="120"/>
        </w:rPr>
        <w:t> </w:t>
      </w:r>
      <w:r>
        <w:rPr>
          <w:color w:val="231F20"/>
          <w:spacing w:val="-2"/>
          <w:w w:val="120"/>
        </w:rPr>
        <w:t>Nous</w:t>
      </w:r>
      <w:r>
        <w:rPr>
          <w:color w:val="231F20"/>
          <w:spacing w:val="-8"/>
          <w:w w:val="120"/>
        </w:rPr>
        <w:t> </w:t>
      </w:r>
      <w:r>
        <w:rPr>
          <w:color w:val="231F20"/>
          <w:spacing w:val="-2"/>
          <w:w w:val="120"/>
        </w:rPr>
        <w:t>prédisons</w:t>
      </w:r>
      <w:r>
        <w:rPr>
          <w:color w:val="231F20"/>
          <w:spacing w:val="-8"/>
          <w:w w:val="120"/>
        </w:rPr>
        <w:t> </w:t>
      </w:r>
      <w:r>
        <w:rPr>
          <w:color w:val="231F20"/>
          <w:spacing w:val="-2"/>
          <w:w w:val="120"/>
        </w:rPr>
        <w:t>que</w:t>
      </w:r>
      <w:r>
        <w:rPr>
          <w:color w:val="231F20"/>
          <w:spacing w:val="-8"/>
          <w:w w:val="120"/>
        </w:rPr>
        <w:t> </w:t>
      </w:r>
      <w:r>
        <w:rPr>
          <w:color w:val="231F20"/>
          <w:spacing w:val="-2"/>
          <w:w w:val="120"/>
        </w:rPr>
        <w:t>les</w:t>
      </w:r>
      <w:r>
        <w:rPr>
          <w:color w:val="231F20"/>
          <w:spacing w:val="-8"/>
          <w:w w:val="120"/>
        </w:rPr>
        <w:t> </w:t>
      </w:r>
      <w:r>
        <w:rPr>
          <w:color w:val="231F20"/>
          <w:spacing w:val="-2"/>
          <w:w w:val="120"/>
        </w:rPr>
        <w:t>recherches</w:t>
      </w:r>
      <w:r>
        <w:rPr>
          <w:color w:val="231F20"/>
          <w:spacing w:val="-8"/>
          <w:w w:val="120"/>
        </w:rPr>
        <w:t> </w:t>
      </w:r>
      <w:r>
        <w:rPr>
          <w:color w:val="231F20"/>
          <w:spacing w:val="-2"/>
          <w:w w:val="120"/>
        </w:rPr>
        <w:t>futures </w:t>
      </w:r>
      <w:r>
        <w:rPr>
          <w:color w:val="231F20"/>
          <w:w w:val="120"/>
        </w:rPr>
        <w:t>soutiendront cette hypothèse.</w:t>
      </w:r>
    </w:p>
    <w:p>
      <w:pPr>
        <w:pStyle w:val="BodyText"/>
        <w:spacing w:line="307" w:lineRule="auto" w:before="79"/>
        <w:ind w:left="1220" w:right="102" w:firstLine="250"/>
        <w:jc w:val="both"/>
      </w:pPr>
      <w:r>
        <w:rPr>
          <w:color w:val="231F20"/>
          <w:w w:val="120"/>
        </w:rPr>
        <w:t>Être</w:t>
      </w:r>
      <w:r>
        <w:rPr>
          <w:color w:val="231F20"/>
          <w:spacing w:val="-11"/>
          <w:w w:val="120"/>
        </w:rPr>
        <w:t> </w:t>
      </w:r>
      <w:r>
        <w:rPr>
          <w:color w:val="231F20"/>
          <w:w w:val="120"/>
        </w:rPr>
        <w:t>séparé</w:t>
      </w:r>
      <w:r>
        <w:rPr>
          <w:color w:val="231F20"/>
          <w:spacing w:val="-11"/>
          <w:w w:val="120"/>
        </w:rPr>
        <w:t> </w:t>
      </w:r>
      <w:r>
        <w:rPr>
          <w:color w:val="231F20"/>
          <w:w w:val="120"/>
        </w:rPr>
        <w:t>de</w:t>
      </w:r>
      <w:r>
        <w:rPr>
          <w:color w:val="231F20"/>
          <w:spacing w:val="-11"/>
          <w:w w:val="120"/>
        </w:rPr>
        <w:t> </w:t>
      </w:r>
      <w:r>
        <w:rPr>
          <w:color w:val="231F20"/>
          <w:w w:val="120"/>
        </w:rPr>
        <w:t>sa</w:t>
      </w:r>
      <w:r>
        <w:rPr>
          <w:color w:val="231F20"/>
          <w:spacing w:val="-11"/>
          <w:w w:val="120"/>
        </w:rPr>
        <w:t> </w:t>
      </w:r>
      <w:r>
        <w:rPr>
          <w:color w:val="231F20"/>
          <w:w w:val="120"/>
        </w:rPr>
        <w:t>famille</w:t>
      </w:r>
      <w:r>
        <w:rPr>
          <w:color w:val="231F20"/>
          <w:spacing w:val="-11"/>
          <w:w w:val="120"/>
        </w:rPr>
        <w:t> </w:t>
      </w:r>
      <w:r>
        <w:rPr>
          <w:color w:val="231F20"/>
          <w:w w:val="120"/>
        </w:rPr>
        <w:t>et</w:t>
      </w:r>
      <w:r>
        <w:rPr>
          <w:color w:val="231F20"/>
          <w:spacing w:val="-11"/>
          <w:w w:val="120"/>
        </w:rPr>
        <w:t> </w:t>
      </w:r>
      <w:r>
        <w:rPr>
          <w:color w:val="231F20"/>
          <w:w w:val="120"/>
        </w:rPr>
        <w:t>de</w:t>
      </w:r>
      <w:r>
        <w:rPr>
          <w:color w:val="231F20"/>
          <w:spacing w:val="-11"/>
          <w:w w:val="120"/>
        </w:rPr>
        <w:t> </w:t>
      </w:r>
      <w:r>
        <w:rPr>
          <w:color w:val="231F20"/>
          <w:w w:val="120"/>
        </w:rPr>
        <w:t>ses</w:t>
      </w:r>
      <w:r>
        <w:rPr>
          <w:color w:val="231F20"/>
          <w:spacing w:val="-11"/>
          <w:w w:val="120"/>
        </w:rPr>
        <w:t> </w:t>
      </w:r>
      <w:r>
        <w:rPr>
          <w:color w:val="231F20"/>
          <w:w w:val="120"/>
        </w:rPr>
        <w:t>amis,</w:t>
      </w:r>
      <w:r>
        <w:rPr>
          <w:color w:val="231F20"/>
          <w:spacing w:val="-11"/>
          <w:w w:val="120"/>
        </w:rPr>
        <w:t> </w:t>
      </w:r>
      <w:r>
        <w:rPr>
          <w:color w:val="231F20"/>
          <w:w w:val="120"/>
        </w:rPr>
        <w:t>être</w:t>
      </w:r>
      <w:r>
        <w:rPr>
          <w:color w:val="231F20"/>
          <w:spacing w:val="-11"/>
          <w:w w:val="120"/>
        </w:rPr>
        <w:t> </w:t>
      </w:r>
      <w:r>
        <w:rPr>
          <w:color w:val="231F20"/>
          <w:w w:val="120"/>
        </w:rPr>
        <w:t>constamment</w:t>
      </w:r>
      <w:r>
        <w:rPr>
          <w:color w:val="231F20"/>
          <w:spacing w:val="-11"/>
          <w:w w:val="120"/>
        </w:rPr>
        <w:t> </w:t>
      </w:r>
      <w:r>
        <w:rPr>
          <w:color w:val="231F20"/>
          <w:w w:val="120"/>
        </w:rPr>
        <w:t>isolé</w:t>
      </w:r>
      <w:r>
        <w:rPr>
          <w:color w:val="231F20"/>
          <w:spacing w:val="-11"/>
          <w:w w:val="120"/>
        </w:rPr>
        <w:t> </w:t>
      </w:r>
      <w:r>
        <w:rPr>
          <w:color w:val="231F20"/>
          <w:w w:val="120"/>
        </w:rPr>
        <w:t>dans sa</w:t>
      </w:r>
      <w:r>
        <w:rPr>
          <w:color w:val="231F20"/>
          <w:spacing w:val="-1"/>
          <w:w w:val="120"/>
        </w:rPr>
        <w:t> </w:t>
      </w:r>
      <w:r>
        <w:rPr>
          <w:color w:val="231F20"/>
          <w:w w:val="120"/>
        </w:rPr>
        <w:t>demeure,</w:t>
      </w:r>
      <w:r>
        <w:rPr>
          <w:color w:val="231F20"/>
          <w:spacing w:val="-1"/>
          <w:w w:val="120"/>
        </w:rPr>
        <w:t> </w:t>
      </w:r>
      <w:r>
        <w:rPr>
          <w:color w:val="231F20"/>
          <w:w w:val="120"/>
        </w:rPr>
        <w:t>perdre</w:t>
      </w:r>
      <w:r>
        <w:rPr>
          <w:color w:val="231F20"/>
          <w:spacing w:val="-1"/>
          <w:w w:val="120"/>
        </w:rPr>
        <w:t> </w:t>
      </w:r>
      <w:r>
        <w:rPr>
          <w:color w:val="231F20"/>
          <w:w w:val="120"/>
        </w:rPr>
        <w:t>son</w:t>
      </w:r>
      <w:r>
        <w:rPr>
          <w:color w:val="231F20"/>
          <w:spacing w:val="-1"/>
          <w:w w:val="120"/>
        </w:rPr>
        <w:t> </w:t>
      </w:r>
      <w:r>
        <w:rPr>
          <w:color w:val="231F20"/>
          <w:w w:val="120"/>
        </w:rPr>
        <w:t>emploi,</w:t>
      </w:r>
      <w:r>
        <w:rPr>
          <w:color w:val="231F20"/>
          <w:spacing w:val="-1"/>
          <w:w w:val="120"/>
        </w:rPr>
        <w:t> </w:t>
      </w:r>
      <w:r>
        <w:rPr>
          <w:color w:val="231F20"/>
          <w:w w:val="120"/>
        </w:rPr>
        <w:t>faire</w:t>
      </w:r>
      <w:r>
        <w:rPr>
          <w:color w:val="231F20"/>
          <w:spacing w:val="-1"/>
          <w:w w:val="120"/>
        </w:rPr>
        <w:t> </w:t>
      </w:r>
      <w:r>
        <w:rPr>
          <w:color w:val="231F20"/>
          <w:w w:val="120"/>
        </w:rPr>
        <w:t>face</w:t>
      </w:r>
      <w:r>
        <w:rPr>
          <w:color w:val="231F20"/>
          <w:spacing w:val="-1"/>
          <w:w w:val="120"/>
        </w:rPr>
        <w:t> </w:t>
      </w:r>
      <w:r>
        <w:rPr>
          <w:color w:val="231F20"/>
          <w:w w:val="120"/>
        </w:rPr>
        <w:t>à</w:t>
      </w:r>
      <w:r>
        <w:rPr>
          <w:color w:val="231F20"/>
          <w:spacing w:val="-1"/>
          <w:w w:val="120"/>
        </w:rPr>
        <w:t> </w:t>
      </w:r>
      <w:r>
        <w:rPr>
          <w:color w:val="231F20"/>
          <w:w w:val="120"/>
        </w:rPr>
        <w:t>une</w:t>
      </w:r>
      <w:r>
        <w:rPr>
          <w:color w:val="231F20"/>
          <w:spacing w:val="-1"/>
          <w:w w:val="120"/>
        </w:rPr>
        <w:t> </w:t>
      </w:r>
      <w:r>
        <w:rPr>
          <w:color w:val="231F20"/>
          <w:w w:val="120"/>
        </w:rPr>
        <w:t>crise</w:t>
      </w:r>
      <w:r>
        <w:rPr>
          <w:color w:val="231F20"/>
          <w:spacing w:val="-1"/>
          <w:w w:val="120"/>
        </w:rPr>
        <w:t> </w:t>
      </w:r>
      <w:r>
        <w:rPr>
          <w:color w:val="231F20"/>
          <w:w w:val="120"/>
        </w:rPr>
        <w:t>économique</w:t>
      </w:r>
      <w:r>
        <w:rPr>
          <w:color w:val="231F20"/>
          <w:spacing w:val="-1"/>
          <w:w w:val="120"/>
        </w:rPr>
        <w:t> </w:t>
      </w:r>
      <w:r>
        <w:rPr>
          <w:color w:val="231F20"/>
          <w:w w:val="120"/>
        </w:rPr>
        <w:t>pro- bable et craindre pour sa propre vie et celles de ses proches entraînent assurément</w:t>
      </w:r>
      <w:r>
        <w:rPr>
          <w:color w:val="231F20"/>
          <w:spacing w:val="-12"/>
          <w:w w:val="120"/>
        </w:rPr>
        <w:t> </w:t>
      </w:r>
      <w:r>
        <w:rPr>
          <w:color w:val="231F20"/>
          <w:w w:val="120"/>
        </w:rPr>
        <w:t>une</w:t>
      </w:r>
      <w:r>
        <w:rPr>
          <w:color w:val="231F20"/>
          <w:spacing w:val="-12"/>
          <w:w w:val="120"/>
        </w:rPr>
        <w:t> </w:t>
      </w:r>
      <w:r>
        <w:rPr>
          <w:color w:val="231F20"/>
          <w:w w:val="120"/>
        </w:rPr>
        <w:t>incidence</w:t>
      </w:r>
      <w:r>
        <w:rPr>
          <w:color w:val="231F20"/>
          <w:spacing w:val="-12"/>
          <w:w w:val="120"/>
        </w:rPr>
        <w:t> </w:t>
      </w:r>
      <w:r>
        <w:rPr>
          <w:color w:val="231F20"/>
          <w:w w:val="120"/>
        </w:rPr>
        <w:t>majeure</w:t>
      </w:r>
      <w:r>
        <w:rPr>
          <w:color w:val="231F20"/>
          <w:spacing w:val="-12"/>
          <w:w w:val="120"/>
        </w:rPr>
        <w:t> </w:t>
      </w:r>
      <w:r>
        <w:rPr>
          <w:color w:val="231F20"/>
          <w:w w:val="120"/>
        </w:rPr>
        <w:t>sur</w:t>
      </w:r>
      <w:r>
        <w:rPr>
          <w:color w:val="231F20"/>
          <w:spacing w:val="-12"/>
          <w:w w:val="120"/>
        </w:rPr>
        <w:t> </w:t>
      </w:r>
      <w:r>
        <w:rPr>
          <w:color w:val="231F20"/>
          <w:w w:val="120"/>
        </w:rPr>
        <w:t>la</w:t>
      </w:r>
      <w:r>
        <w:rPr>
          <w:color w:val="231F20"/>
          <w:spacing w:val="-12"/>
          <w:w w:val="120"/>
        </w:rPr>
        <w:t> </w:t>
      </w:r>
      <w:r>
        <w:rPr>
          <w:color w:val="231F20"/>
          <w:w w:val="120"/>
        </w:rPr>
        <w:t>santé</w:t>
      </w:r>
      <w:r>
        <w:rPr>
          <w:color w:val="231F20"/>
          <w:spacing w:val="-12"/>
          <w:w w:val="120"/>
        </w:rPr>
        <w:t> </w:t>
      </w:r>
      <w:r>
        <w:rPr>
          <w:color w:val="231F20"/>
          <w:w w:val="120"/>
        </w:rPr>
        <w:t>psychologique</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plu- </w:t>
      </w:r>
      <w:r>
        <w:rPr>
          <w:color w:val="231F20"/>
          <w:spacing w:val="-2"/>
          <w:w w:val="120"/>
        </w:rPr>
        <w:t>part</w:t>
      </w:r>
      <w:r>
        <w:rPr>
          <w:color w:val="231F20"/>
          <w:spacing w:val="-10"/>
          <w:w w:val="120"/>
        </w:rPr>
        <w:t> </w:t>
      </w:r>
      <w:r>
        <w:rPr>
          <w:color w:val="231F20"/>
          <w:spacing w:val="-2"/>
          <w:w w:val="120"/>
        </w:rPr>
        <w:t>des</w:t>
      </w:r>
      <w:r>
        <w:rPr>
          <w:color w:val="231F20"/>
          <w:spacing w:val="-10"/>
          <w:w w:val="120"/>
        </w:rPr>
        <w:t> </w:t>
      </w:r>
      <w:r>
        <w:rPr>
          <w:color w:val="231F20"/>
          <w:spacing w:val="-2"/>
          <w:w w:val="120"/>
        </w:rPr>
        <w:t>personnes.</w:t>
      </w:r>
      <w:r>
        <w:rPr>
          <w:color w:val="231F20"/>
          <w:spacing w:val="-10"/>
          <w:w w:val="120"/>
        </w:rPr>
        <w:t> </w:t>
      </w:r>
      <w:r>
        <w:rPr>
          <w:color w:val="231F20"/>
          <w:spacing w:val="-2"/>
          <w:w w:val="120"/>
        </w:rPr>
        <w:t>Jamais</w:t>
      </w:r>
      <w:r>
        <w:rPr>
          <w:color w:val="231F20"/>
          <w:spacing w:val="-10"/>
          <w:w w:val="120"/>
        </w:rPr>
        <w:t> </w:t>
      </w:r>
      <w:r>
        <w:rPr>
          <w:color w:val="231F20"/>
          <w:spacing w:val="-2"/>
          <w:w w:val="120"/>
        </w:rPr>
        <w:t>dans</w:t>
      </w:r>
      <w:r>
        <w:rPr>
          <w:color w:val="231F20"/>
          <w:spacing w:val="-10"/>
          <w:w w:val="120"/>
        </w:rPr>
        <w:t> </w:t>
      </w:r>
      <w:r>
        <w:rPr>
          <w:color w:val="231F20"/>
          <w:spacing w:val="-2"/>
          <w:w w:val="120"/>
        </w:rPr>
        <w:t>l’histoire</w:t>
      </w:r>
      <w:r>
        <w:rPr>
          <w:color w:val="231F20"/>
          <w:spacing w:val="-10"/>
          <w:w w:val="120"/>
        </w:rPr>
        <w:t> </w:t>
      </w:r>
      <w:r>
        <w:rPr>
          <w:color w:val="231F20"/>
          <w:spacing w:val="-2"/>
          <w:w w:val="120"/>
        </w:rPr>
        <w:t>moderne</w:t>
      </w:r>
      <w:r>
        <w:rPr>
          <w:color w:val="231F20"/>
          <w:spacing w:val="-10"/>
          <w:w w:val="120"/>
        </w:rPr>
        <w:t> </w:t>
      </w:r>
      <w:r>
        <w:rPr>
          <w:color w:val="231F20"/>
          <w:spacing w:val="-2"/>
          <w:w w:val="120"/>
        </w:rPr>
        <w:t>les</w:t>
      </w:r>
      <w:r>
        <w:rPr>
          <w:color w:val="231F20"/>
          <w:spacing w:val="-10"/>
          <w:w w:val="120"/>
        </w:rPr>
        <w:t> </w:t>
      </w:r>
      <w:r>
        <w:rPr>
          <w:color w:val="231F20"/>
          <w:spacing w:val="-2"/>
          <w:w w:val="120"/>
        </w:rPr>
        <w:t>gens</w:t>
      </w:r>
      <w:r>
        <w:rPr>
          <w:color w:val="231F20"/>
          <w:spacing w:val="-10"/>
          <w:w w:val="120"/>
        </w:rPr>
        <w:t> </w:t>
      </w:r>
      <w:r>
        <w:rPr>
          <w:color w:val="231F20"/>
          <w:spacing w:val="-2"/>
          <w:w w:val="120"/>
        </w:rPr>
        <w:t>n’avaient</w:t>
      </w:r>
      <w:r>
        <w:rPr>
          <w:color w:val="231F20"/>
          <w:spacing w:val="-10"/>
          <w:w w:val="120"/>
        </w:rPr>
        <w:t> </w:t>
      </w:r>
      <w:r>
        <w:rPr>
          <w:color w:val="231F20"/>
          <w:spacing w:val="-2"/>
          <w:w w:val="120"/>
        </w:rPr>
        <w:t>été </w:t>
      </w:r>
      <w:r>
        <w:rPr>
          <w:color w:val="231F20"/>
          <w:w w:val="120"/>
        </w:rPr>
        <w:t>soumis</w:t>
      </w:r>
      <w:r>
        <w:rPr>
          <w:color w:val="231F20"/>
          <w:spacing w:val="-5"/>
          <w:w w:val="120"/>
        </w:rPr>
        <w:t> </w:t>
      </w:r>
      <w:r>
        <w:rPr>
          <w:color w:val="231F20"/>
          <w:w w:val="120"/>
        </w:rPr>
        <w:t>collectivement</w:t>
      </w:r>
      <w:r>
        <w:rPr>
          <w:color w:val="231F20"/>
          <w:spacing w:val="-5"/>
          <w:w w:val="120"/>
        </w:rPr>
        <w:t> </w:t>
      </w:r>
      <w:r>
        <w:rPr>
          <w:color w:val="231F20"/>
          <w:w w:val="120"/>
        </w:rPr>
        <w:t>à</w:t>
      </w:r>
      <w:r>
        <w:rPr>
          <w:color w:val="231F20"/>
          <w:spacing w:val="-5"/>
          <w:w w:val="120"/>
        </w:rPr>
        <w:t> </w:t>
      </w:r>
      <w:r>
        <w:rPr>
          <w:color w:val="231F20"/>
          <w:w w:val="120"/>
        </w:rPr>
        <w:t>un</w:t>
      </w:r>
      <w:r>
        <w:rPr>
          <w:color w:val="231F20"/>
          <w:spacing w:val="-5"/>
          <w:w w:val="120"/>
        </w:rPr>
        <w:t> </w:t>
      </w:r>
      <w:r>
        <w:rPr>
          <w:color w:val="231F20"/>
          <w:w w:val="120"/>
        </w:rPr>
        <w:t>tel</w:t>
      </w:r>
      <w:r>
        <w:rPr>
          <w:color w:val="231F20"/>
          <w:spacing w:val="-5"/>
          <w:w w:val="120"/>
        </w:rPr>
        <w:t> </w:t>
      </w:r>
      <w:r>
        <w:rPr>
          <w:color w:val="231F20"/>
          <w:w w:val="120"/>
        </w:rPr>
        <w:t>amalgame</w:t>
      </w:r>
      <w:r>
        <w:rPr>
          <w:color w:val="231F20"/>
          <w:spacing w:val="-5"/>
          <w:w w:val="120"/>
        </w:rPr>
        <w:t> </w:t>
      </w:r>
      <w:r>
        <w:rPr>
          <w:color w:val="231F20"/>
          <w:w w:val="120"/>
        </w:rPr>
        <w:t>de</w:t>
      </w:r>
      <w:r>
        <w:rPr>
          <w:color w:val="231F20"/>
          <w:spacing w:val="-5"/>
          <w:w w:val="120"/>
        </w:rPr>
        <w:t> </w:t>
      </w:r>
      <w:r>
        <w:rPr>
          <w:color w:val="231F20"/>
          <w:w w:val="120"/>
        </w:rPr>
        <w:t>stresseurs</w:t>
      </w:r>
      <w:r>
        <w:rPr>
          <w:color w:val="231F20"/>
          <w:spacing w:val="-5"/>
          <w:w w:val="120"/>
        </w:rPr>
        <w:t> </w:t>
      </w:r>
      <w:r>
        <w:rPr>
          <w:color w:val="231F20"/>
          <w:w w:val="120"/>
        </w:rPr>
        <w:t>sur</w:t>
      </w:r>
      <w:r>
        <w:rPr>
          <w:color w:val="231F20"/>
          <w:spacing w:val="-5"/>
          <w:w w:val="120"/>
        </w:rPr>
        <w:t> </w:t>
      </w:r>
      <w:r>
        <w:rPr>
          <w:color w:val="231F20"/>
          <w:w w:val="120"/>
        </w:rPr>
        <w:t>une</w:t>
      </w:r>
      <w:r>
        <w:rPr>
          <w:color w:val="231F20"/>
          <w:spacing w:val="-5"/>
          <w:w w:val="120"/>
        </w:rPr>
        <w:t> </w:t>
      </w:r>
      <w:r>
        <w:rPr>
          <w:color w:val="231F20"/>
          <w:w w:val="120"/>
        </w:rPr>
        <w:t>période aussi</w:t>
      </w:r>
      <w:r>
        <w:rPr>
          <w:color w:val="231F20"/>
          <w:spacing w:val="-13"/>
          <w:w w:val="120"/>
        </w:rPr>
        <w:t> </w:t>
      </w:r>
      <w:r>
        <w:rPr>
          <w:color w:val="231F20"/>
          <w:w w:val="120"/>
        </w:rPr>
        <w:t>courte.</w:t>
      </w:r>
      <w:r>
        <w:rPr>
          <w:color w:val="231F20"/>
          <w:spacing w:val="-13"/>
          <w:w w:val="120"/>
        </w:rPr>
        <w:t> </w:t>
      </w:r>
      <w:r>
        <w:rPr>
          <w:color w:val="231F20"/>
          <w:w w:val="120"/>
        </w:rPr>
        <w:t>Quelles</w:t>
      </w:r>
      <w:r>
        <w:rPr>
          <w:color w:val="231F20"/>
          <w:spacing w:val="-13"/>
          <w:w w:val="120"/>
        </w:rPr>
        <w:t> </w:t>
      </w:r>
      <w:r>
        <w:rPr>
          <w:color w:val="231F20"/>
          <w:w w:val="120"/>
        </w:rPr>
        <w:t>sont</w:t>
      </w:r>
      <w:r>
        <w:rPr>
          <w:color w:val="231F20"/>
          <w:spacing w:val="-12"/>
          <w:w w:val="120"/>
        </w:rPr>
        <w:t> </w:t>
      </w:r>
      <w:r>
        <w:rPr>
          <w:color w:val="231F20"/>
          <w:w w:val="120"/>
        </w:rPr>
        <w:t>les</w:t>
      </w:r>
      <w:r>
        <w:rPr>
          <w:color w:val="231F20"/>
          <w:spacing w:val="-13"/>
          <w:w w:val="120"/>
        </w:rPr>
        <w:t> </w:t>
      </w:r>
      <w:r>
        <w:rPr>
          <w:color w:val="231F20"/>
          <w:w w:val="120"/>
        </w:rPr>
        <w:t>ressources</w:t>
      </w:r>
      <w:r>
        <w:rPr>
          <w:color w:val="231F20"/>
          <w:spacing w:val="-13"/>
          <w:w w:val="120"/>
        </w:rPr>
        <w:t> </w:t>
      </w:r>
      <w:r>
        <w:rPr>
          <w:color w:val="231F20"/>
          <w:w w:val="120"/>
        </w:rPr>
        <w:t>individuelles</w:t>
      </w:r>
      <w:r>
        <w:rPr>
          <w:color w:val="231F20"/>
          <w:spacing w:val="-13"/>
          <w:w w:val="120"/>
        </w:rPr>
        <w:t> </w:t>
      </w:r>
      <w:r>
        <w:rPr>
          <w:color w:val="231F20"/>
          <w:w w:val="120"/>
        </w:rPr>
        <w:t>qui</w:t>
      </w:r>
      <w:r>
        <w:rPr>
          <w:color w:val="231F20"/>
          <w:spacing w:val="-12"/>
          <w:w w:val="120"/>
        </w:rPr>
        <w:t> </w:t>
      </w:r>
      <w:r>
        <w:rPr>
          <w:color w:val="231F20"/>
          <w:w w:val="120"/>
        </w:rPr>
        <w:t>permettent</w:t>
      </w:r>
      <w:r>
        <w:rPr>
          <w:color w:val="231F20"/>
          <w:spacing w:val="-13"/>
          <w:w w:val="120"/>
        </w:rPr>
        <w:t> </w:t>
      </w:r>
      <w:r>
        <w:rPr>
          <w:color w:val="231F20"/>
          <w:w w:val="120"/>
        </w:rPr>
        <w:t>de traverser sans trop de heurts une telle situation? Encore une fois, nous soutenons que beaucoup moins de personnes qui ont une haute estime d’elle-même</w:t>
      </w:r>
      <w:r>
        <w:rPr>
          <w:color w:val="231F20"/>
          <w:spacing w:val="-11"/>
          <w:w w:val="120"/>
        </w:rPr>
        <w:t> </w:t>
      </w:r>
      <w:r>
        <w:rPr>
          <w:color w:val="231F20"/>
          <w:w w:val="120"/>
        </w:rPr>
        <w:t>et</w:t>
      </w:r>
      <w:r>
        <w:rPr>
          <w:color w:val="231F20"/>
          <w:spacing w:val="-11"/>
          <w:w w:val="120"/>
        </w:rPr>
        <w:t> </w:t>
      </w:r>
      <w:r>
        <w:rPr>
          <w:color w:val="231F20"/>
          <w:w w:val="120"/>
        </w:rPr>
        <w:t>qui</w:t>
      </w:r>
      <w:r>
        <w:rPr>
          <w:color w:val="231F20"/>
          <w:spacing w:val="-11"/>
          <w:w w:val="120"/>
        </w:rPr>
        <w:t> </w:t>
      </w:r>
      <w:r>
        <w:rPr>
          <w:color w:val="231F20"/>
          <w:w w:val="120"/>
        </w:rPr>
        <w:t>vivent</w:t>
      </w:r>
      <w:r>
        <w:rPr>
          <w:color w:val="231F20"/>
          <w:spacing w:val="-11"/>
          <w:w w:val="120"/>
        </w:rPr>
        <w:t> </w:t>
      </w:r>
      <w:r>
        <w:rPr>
          <w:color w:val="231F20"/>
          <w:w w:val="120"/>
        </w:rPr>
        <w:t>en</w:t>
      </w:r>
      <w:r>
        <w:rPr>
          <w:color w:val="231F20"/>
          <w:spacing w:val="-11"/>
          <w:w w:val="120"/>
        </w:rPr>
        <w:t> </w:t>
      </w:r>
      <w:r>
        <w:rPr>
          <w:color w:val="231F20"/>
          <w:w w:val="120"/>
        </w:rPr>
        <w:t>accord</w:t>
      </w:r>
      <w:r>
        <w:rPr>
          <w:color w:val="231F20"/>
          <w:spacing w:val="-11"/>
          <w:w w:val="120"/>
        </w:rPr>
        <w:t> </w:t>
      </w:r>
      <w:r>
        <w:rPr>
          <w:color w:val="231F20"/>
          <w:w w:val="120"/>
        </w:rPr>
        <w:t>avec</w:t>
      </w:r>
      <w:r>
        <w:rPr>
          <w:color w:val="231F20"/>
          <w:spacing w:val="-11"/>
          <w:w w:val="120"/>
        </w:rPr>
        <w:t> </w:t>
      </w:r>
      <w:r>
        <w:rPr>
          <w:color w:val="231F20"/>
          <w:w w:val="120"/>
        </w:rPr>
        <w:t>leurs</w:t>
      </w:r>
      <w:r>
        <w:rPr>
          <w:color w:val="231F20"/>
          <w:spacing w:val="-11"/>
          <w:w w:val="120"/>
        </w:rPr>
        <w:t> </w:t>
      </w:r>
      <w:r>
        <w:rPr>
          <w:color w:val="231F20"/>
          <w:w w:val="120"/>
        </w:rPr>
        <w:t>valeurs</w:t>
      </w:r>
      <w:r>
        <w:rPr>
          <w:color w:val="231F20"/>
          <w:spacing w:val="-11"/>
          <w:w w:val="120"/>
        </w:rPr>
        <w:t> </w:t>
      </w:r>
      <w:r>
        <w:rPr>
          <w:color w:val="231F20"/>
          <w:w w:val="120"/>
        </w:rPr>
        <w:t>seront</w:t>
      </w:r>
      <w:r>
        <w:rPr>
          <w:color w:val="231F20"/>
          <w:spacing w:val="-11"/>
          <w:w w:val="120"/>
        </w:rPr>
        <w:t> </w:t>
      </w:r>
      <w:r>
        <w:rPr>
          <w:color w:val="231F20"/>
          <w:w w:val="120"/>
        </w:rPr>
        <w:t>celles</w:t>
      </w:r>
      <w:r>
        <w:rPr>
          <w:color w:val="231F20"/>
          <w:spacing w:val="-11"/>
          <w:w w:val="120"/>
        </w:rPr>
        <w:t> </w:t>
      </w:r>
      <w:r>
        <w:rPr>
          <w:color w:val="231F20"/>
          <w:w w:val="120"/>
        </w:rPr>
        <w:t>qui succomberont.</w:t>
      </w:r>
      <w:r>
        <w:rPr>
          <w:color w:val="231F20"/>
          <w:spacing w:val="-8"/>
          <w:w w:val="120"/>
        </w:rPr>
        <w:t> </w:t>
      </w:r>
      <w:r>
        <w:rPr>
          <w:color w:val="231F20"/>
          <w:w w:val="120"/>
        </w:rPr>
        <w:t>Dans</w:t>
      </w:r>
      <w:r>
        <w:rPr>
          <w:color w:val="231F20"/>
          <w:spacing w:val="-8"/>
          <w:w w:val="120"/>
        </w:rPr>
        <w:t> </w:t>
      </w:r>
      <w:r>
        <w:rPr>
          <w:color w:val="231F20"/>
          <w:w w:val="120"/>
        </w:rPr>
        <w:t>le</w:t>
      </w:r>
      <w:r>
        <w:rPr>
          <w:color w:val="231F20"/>
          <w:spacing w:val="-8"/>
          <w:w w:val="120"/>
        </w:rPr>
        <w:t> </w:t>
      </w:r>
      <w:r>
        <w:rPr>
          <w:color w:val="231F20"/>
          <w:w w:val="120"/>
        </w:rPr>
        <w:t>cas</w:t>
      </w:r>
      <w:r>
        <w:rPr>
          <w:color w:val="231F20"/>
          <w:spacing w:val="-8"/>
          <w:w w:val="120"/>
        </w:rPr>
        <w:t> </w:t>
      </w:r>
      <w:r>
        <w:rPr>
          <w:color w:val="231F20"/>
          <w:w w:val="120"/>
        </w:rPr>
        <w:t>contraire,</w:t>
      </w:r>
      <w:r>
        <w:rPr>
          <w:color w:val="231F20"/>
          <w:spacing w:val="-8"/>
          <w:w w:val="120"/>
        </w:rPr>
        <w:t> </w:t>
      </w:r>
      <w:r>
        <w:rPr>
          <w:color w:val="231F20"/>
          <w:w w:val="120"/>
        </w:rPr>
        <w:t>les</w:t>
      </w:r>
      <w:r>
        <w:rPr>
          <w:color w:val="231F20"/>
          <w:spacing w:val="-8"/>
          <w:w w:val="120"/>
        </w:rPr>
        <w:t> </w:t>
      </w:r>
      <w:r>
        <w:rPr>
          <w:color w:val="231F20"/>
          <w:w w:val="120"/>
        </w:rPr>
        <w:t>effets</w:t>
      </w:r>
      <w:r>
        <w:rPr>
          <w:color w:val="231F20"/>
          <w:spacing w:val="-8"/>
          <w:w w:val="120"/>
        </w:rPr>
        <w:t> </w:t>
      </w:r>
      <w:r>
        <w:rPr>
          <w:color w:val="231F20"/>
          <w:w w:val="120"/>
        </w:rPr>
        <w:t>des</w:t>
      </w:r>
      <w:r>
        <w:rPr>
          <w:color w:val="231F20"/>
          <w:spacing w:val="-8"/>
          <w:w w:val="120"/>
        </w:rPr>
        <w:t> </w:t>
      </w:r>
      <w:r>
        <w:rPr>
          <w:color w:val="231F20"/>
          <w:w w:val="120"/>
        </w:rPr>
        <w:t>réponses</w:t>
      </w:r>
      <w:r>
        <w:rPr>
          <w:color w:val="231F20"/>
          <w:spacing w:val="-8"/>
          <w:w w:val="120"/>
        </w:rPr>
        <w:t> </w:t>
      </w:r>
      <w:r>
        <w:rPr>
          <w:color w:val="231F20"/>
          <w:w w:val="120"/>
        </w:rPr>
        <w:t>inadaptées aux</w:t>
      </w:r>
      <w:r>
        <w:rPr>
          <w:color w:val="231F20"/>
          <w:spacing w:val="-4"/>
          <w:w w:val="120"/>
        </w:rPr>
        <w:t> </w:t>
      </w:r>
      <w:r>
        <w:rPr>
          <w:color w:val="231F20"/>
          <w:w w:val="120"/>
        </w:rPr>
        <w:t>situations</w:t>
      </w:r>
      <w:r>
        <w:rPr>
          <w:color w:val="231F20"/>
          <w:spacing w:val="-4"/>
          <w:w w:val="120"/>
        </w:rPr>
        <w:t> </w:t>
      </w:r>
      <w:r>
        <w:rPr>
          <w:color w:val="231F20"/>
          <w:w w:val="120"/>
        </w:rPr>
        <w:t>stressantes</w:t>
      </w:r>
      <w:r>
        <w:rPr>
          <w:color w:val="231F20"/>
          <w:spacing w:val="-4"/>
          <w:w w:val="120"/>
        </w:rPr>
        <w:t> </w:t>
      </w:r>
      <w:r>
        <w:rPr>
          <w:color w:val="231F20"/>
          <w:w w:val="120"/>
        </w:rPr>
        <w:t>peuvent</w:t>
      </w:r>
      <w:r>
        <w:rPr>
          <w:color w:val="231F20"/>
          <w:spacing w:val="-4"/>
          <w:w w:val="120"/>
        </w:rPr>
        <w:t> </w:t>
      </w:r>
      <w:r>
        <w:rPr>
          <w:color w:val="231F20"/>
          <w:w w:val="120"/>
        </w:rPr>
        <w:t>être</w:t>
      </w:r>
      <w:r>
        <w:rPr>
          <w:color w:val="231F20"/>
          <w:spacing w:val="-4"/>
          <w:w w:val="120"/>
        </w:rPr>
        <w:t> </w:t>
      </w:r>
      <w:r>
        <w:rPr>
          <w:color w:val="231F20"/>
          <w:w w:val="120"/>
        </w:rPr>
        <w:t>aggravés</w:t>
      </w:r>
      <w:r>
        <w:rPr>
          <w:color w:val="231F20"/>
          <w:spacing w:val="-4"/>
          <w:w w:val="120"/>
        </w:rPr>
        <w:t> </w:t>
      </w:r>
      <w:r>
        <w:rPr>
          <w:color w:val="231F20"/>
          <w:w w:val="120"/>
        </w:rPr>
        <w:t>lorsque</w:t>
      </w:r>
      <w:r>
        <w:rPr>
          <w:color w:val="231F20"/>
          <w:spacing w:val="-4"/>
          <w:w w:val="120"/>
        </w:rPr>
        <w:t> </w:t>
      </w:r>
      <w:r>
        <w:rPr>
          <w:color w:val="231F20"/>
          <w:w w:val="120"/>
        </w:rPr>
        <w:t>les</w:t>
      </w:r>
      <w:r>
        <w:rPr>
          <w:color w:val="231F20"/>
          <w:spacing w:val="-4"/>
          <w:w w:val="120"/>
        </w:rPr>
        <w:t> </w:t>
      </w:r>
      <w:r>
        <w:rPr>
          <w:color w:val="231F20"/>
          <w:w w:val="120"/>
        </w:rPr>
        <w:t>facteurs</w:t>
      </w:r>
      <w:r>
        <w:rPr>
          <w:color w:val="231F20"/>
          <w:spacing w:val="-4"/>
          <w:w w:val="120"/>
        </w:rPr>
        <w:t> </w:t>
      </w:r>
      <w:r>
        <w:rPr>
          <w:color w:val="231F20"/>
          <w:w w:val="120"/>
        </w:rPr>
        <w:t>de </w:t>
      </w:r>
      <w:r>
        <w:rPr>
          <w:color w:val="231F20"/>
          <w:spacing w:val="-2"/>
          <w:w w:val="120"/>
        </w:rPr>
        <w:t>stress</w:t>
      </w:r>
      <w:r>
        <w:rPr>
          <w:color w:val="231F20"/>
          <w:spacing w:val="-4"/>
          <w:w w:val="120"/>
        </w:rPr>
        <w:t> </w:t>
      </w:r>
      <w:r>
        <w:rPr>
          <w:color w:val="231F20"/>
          <w:spacing w:val="-2"/>
          <w:w w:val="120"/>
        </w:rPr>
        <w:t>sont</w:t>
      </w:r>
      <w:r>
        <w:rPr>
          <w:color w:val="231F20"/>
          <w:spacing w:val="-4"/>
          <w:w w:val="120"/>
        </w:rPr>
        <w:t> </w:t>
      </w:r>
      <w:r>
        <w:rPr>
          <w:color w:val="231F20"/>
          <w:spacing w:val="-2"/>
          <w:w w:val="120"/>
        </w:rPr>
        <w:t>perçus</w:t>
      </w:r>
      <w:r>
        <w:rPr>
          <w:color w:val="231F20"/>
          <w:spacing w:val="-4"/>
          <w:w w:val="120"/>
        </w:rPr>
        <w:t> </w:t>
      </w:r>
      <w:r>
        <w:rPr>
          <w:color w:val="231F20"/>
          <w:spacing w:val="-2"/>
          <w:w w:val="120"/>
        </w:rPr>
        <w:t>comme</w:t>
      </w:r>
      <w:r>
        <w:rPr>
          <w:color w:val="231F20"/>
          <w:spacing w:val="-4"/>
          <w:w w:val="120"/>
        </w:rPr>
        <w:t> </w:t>
      </w:r>
      <w:r>
        <w:rPr>
          <w:color w:val="231F20"/>
          <w:spacing w:val="-2"/>
          <w:w w:val="120"/>
        </w:rPr>
        <w:t>menaçants</w:t>
      </w:r>
      <w:r>
        <w:rPr>
          <w:color w:val="231F20"/>
          <w:spacing w:val="-4"/>
          <w:w w:val="120"/>
        </w:rPr>
        <w:t> </w:t>
      </w:r>
      <w:r>
        <w:rPr>
          <w:color w:val="231F20"/>
          <w:spacing w:val="-2"/>
          <w:w w:val="120"/>
        </w:rPr>
        <w:t>et</w:t>
      </w:r>
      <w:r>
        <w:rPr>
          <w:color w:val="231F20"/>
          <w:spacing w:val="-4"/>
          <w:w w:val="120"/>
        </w:rPr>
        <w:t> </w:t>
      </w:r>
      <w:r>
        <w:rPr>
          <w:color w:val="231F20"/>
          <w:spacing w:val="-2"/>
          <w:w w:val="120"/>
        </w:rPr>
        <w:t>incontrôlables,</w:t>
      </w:r>
      <w:r>
        <w:rPr>
          <w:color w:val="231F20"/>
          <w:spacing w:val="-4"/>
          <w:w w:val="120"/>
        </w:rPr>
        <w:t> </w:t>
      </w:r>
      <w:r>
        <w:rPr>
          <w:color w:val="231F20"/>
          <w:spacing w:val="-2"/>
          <w:w w:val="120"/>
        </w:rPr>
        <w:t>comme</w:t>
      </w:r>
      <w:r>
        <w:rPr>
          <w:color w:val="231F20"/>
          <w:spacing w:val="-4"/>
          <w:w w:val="120"/>
        </w:rPr>
        <w:t> </w:t>
      </w:r>
      <w:r>
        <w:rPr>
          <w:color w:val="231F20"/>
          <w:spacing w:val="-2"/>
          <w:w w:val="120"/>
        </w:rPr>
        <w:t>dans</w:t>
      </w:r>
      <w:r>
        <w:rPr>
          <w:color w:val="231F20"/>
          <w:spacing w:val="-4"/>
          <w:w w:val="120"/>
        </w:rPr>
        <w:t> </w:t>
      </w:r>
      <w:r>
        <w:rPr>
          <w:color w:val="231F20"/>
          <w:spacing w:val="-2"/>
          <w:w w:val="120"/>
        </w:rPr>
        <w:t>une </w:t>
      </w:r>
      <w:r>
        <w:rPr>
          <w:color w:val="231F20"/>
          <w:w w:val="120"/>
        </w:rPr>
        <w:t>situation</w:t>
      </w:r>
      <w:r>
        <w:rPr>
          <w:color w:val="231F20"/>
          <w:spacing w:val="-13"/>
          <w:w w:val="120"/>
        </w:rPr>
        <w:t> </w:t>
      </w:r>
      <w:r>
        <w:rPr>
          <w:color w:val="231F20"/>
          <w:w w:val="120"/>
        </w:rPr>
        <w:t>pandémique.</w:t>
      </w:r>
      <w:r>
        <w:rPr>
          <w:color w:val="231F20"/>
          <w:spacing w:val="-13"/>
          <w:w w:val="120"/>
        </w:rPr>
        <w:t> </w:t>
      </w:r>
      <w:r>
        <w:rPr>
          <w:color w:val="231F20"/>
          <w:w w:val="120"/>
        </w:rPr>
        <w:t>Conformément</w:t>
      </w:r>
      <w:r>
        <w:rPr>
          <w:color w:val="231F20"/>
          <w:spacing w:val="-13"/>
          <w:w w:val="120"/>
        </w:rPr>
        <w:t> </w:t>
      </w:r>
      <w:r>
        <w:rPr>
          <w:color w:val="231F20"/>
          <w:w w:val="120"/>
        </w:rPr>
        <w:t>à</w:t>
      </w:r>
      <w:r>
        <w:rPr>
          <w:color w:val="231F20"/>
          <w:spacing w:val="-12"/>
          <w:w w:val="120"/>
        </w:rPr>
        <w:t> </w:t>
      </w:r>
      <w:r>
        <w:rPr>
          <w:color w:val="231F20"/>
          <w:w w:val="120"/>
        </w:rPr>
        <w:t>notre</w:t>
      </w:r>
      <w:r>
        <w:rPr>
          <w:color w:val="231F20"/>
          <w:spacing w:val="-13"/>
          <w:w w:val="120"/>
        </w:rPr>
        <w:t> </w:t>
      </w:r>
      <w:r>
        <w:rPr>
          <w:color w:val="231F20"/>
          <w:w w:val="120"/>
        </w:rPr>
        <w:t>modèle</w:t>
      </w:r>
      <w:r>
        <w:rPr>
          <w:color w:val="231F20"/>
          <w:spacing w:val="-13"/>
          <w:w w:val="120"/>
        </w:rPr>
        <w:t> </w:t>
      </w:r>
      <w:r>
        <w:rPr>
          <w:color w:val="231F20"/>
          <w:w w:val="120"/>
        </w:rPr>
        <w:t>cognitif</w:t>
      </w:r>
      <w:r>
        <w:rPr>
          <w:color w:val="231F20"/>
          <w:spacing w:val="-13"/>
          <w:w w:val="120"/>
        </w:rPr>
        <w:t> </w:t>
      </w:r>
      <w:r>
        <w:rPr>
          <w:color w:val="231F20"/>
          <w:w w:val="120"/>
        </w:rPr>
        <w:t>du</w:t>
      </w:r>
      <w:r>
        <w:rPr>
          <w:color w:val="231F20"/>
          <w:spacing w:val="-12"/>
          <w:w w:val="120"/>
        </w:rPr>
        <w:t> </w:t>
      </w:r>
      <w:r>
        <w:rPr>
          <w:color w:val="231F20"/>
          <w:w w:val="120"/>
        </w:rPr>
        <w:t>stress, l’estime de soi est associée à l’adaptation aux situations stressantes en modulant</w:t>
      </w:r>
      <w:r>
        <w:rPr>
          <w:color w:val="231F20"/>
          <w:spacing w:val="-11"/>
          <w:w w:val="120"/>
        </w:rPr>
        <w:t> </w:t>
      </w:r>
      <w:r>
        <w:rPr>
          <w:color w:val="231F20"/>
          <w:w w:val="120"/>
        </w:rPr>
        <w:t>l’effet</w:t>
      </w:r>
      <w:r>
        <w:rPr>
          <w:color w:val="231F20"/>
          <w:spacing w:val="-11"/>
          <w:w w:val="120"/>
        </w:rPr>
        <w:t> </w:t>
      </w:r>
      <w:r>
        <w:rPr>
          <w:color w:val="231F20"/>
          <w:w w:val="120"/>
        </w:rPr>
        <w:t>de</w:t>
      </w:r>
      <w:r>
        <w:rPr>
          <w:color w:val="231F20"/>
          <w:spacing w:val="-11"/>
          <w:w w:val="120"/>
        </w:rPr>
        <w:t> </w:t>
      </w:r>
      <w:r>
        <w:rPr>
          <w:color w:val="231F20"/>
          <w:w w:val="120"/>
        </w:rPr>
        <w:t>l’évaluation</w:t>
      </w:r>
      <w:r>
        <w:rPr>
          <w:color w:val="231F20"/>
          <w:spacing w:val="-11"/>
          <w:w w:val="120"/>
        </w:rPr>
        <w:t> </w:t>
      </w:r>
      <w:r>
        <w:rPr>
          <w:color w:val="231F20"/>
          <w:w w:val="120"/>
        </w:rPr>
        <w:t>au</w:t>
      </w:r>
      <w:r>
        <w:rPr>
          <w:color w:val="231F20"/>
          <w:spacing w:val="-11"/>
          <w:w w:val="120"/>
        </w:rPr>
        <w:t> </w:t>
      </w:r>
      <w:r>
        <w:rPr>
          <w:color w:val="231F20"/>
          <w:w w:val="120"/>
        </w:rPr>
        <w:t>cours</w:t>
      </w:r>
      <w:r>
        <w:rPr>
          <w:color w:val="231F20"/>
          <w:spacing w:val="-11"/>
          <w:w w:val="120"/>
        </w:rPr>
        <w:t> </w:t>
      </w:r>
      <w:r>
        <w:rPr>
          <w:color w:val="231F20"/>
          <w:w w:val="120"/>
        </w:rPr>
        <w:t>du</w:t>
      </w:r>
      <w:r>
        <w:rPr>
          <w:color w:val="231F20"/>
          <w:spacing w:val="-11"/>
          <w:w w:val="120"/>
        </w:rPr>
        <w:t> </w:t>
      </w:r>
      <w:r>
        <w:rPr>
          <w:color w:val="231F20"/>
          <w:w w:val="120"/>
        </w:rPr>
        <w:t>processus</w:t>
      </w:r>
      <w:r>
        <w:rPr>
          <w:color w:val="231F20"/>
          <w:spacing w:val="-11"/>
          <w:w w:val="120"/>
        </w:rPr>
        <w:t> </w:t>
      </w:r>
      <w:r>
        <w:rPr>
          <w:color w:val="231F20"/>
          <w:w w:val="120"/>
        </w:rPr>
        <w:t>d’adaptation.</w:t>
      </w:r>
      <w:r>
        <w:rPr>
          <w:color w:val="231F20"/>
          <w:spacing w:val="-11"/>
          <w:w w:val="120"/>
        </w:rPr>
        <w:t> </w:t>
      </w:r>
      <w:r>
        <w:rPr>
          <w:color w:val="231F20"/>
          <w:w w:val="120"/>
        </w:rPr>
        <w:t>La recherche a rapporté systématiquement que les personnes ayant une faible</w:t>
      </w:r>
      <w:r>
        <w:rPr>
          <w:color w:val="231F20"/>
          <w:spacing w:val="-4"/>
          <w:w w:val="120"/>
        </w:rPr>
        <w:t> </w:t>
      </w:r>
      <w:r>
        <w:rPr>
          <w:color w:val="231F20"/>
          <w:w w:val="120"/>
        </w:rPr>
        <w:t>estime</w:t>
      </w:r>
      <w:r>
        <w:rPr>
          <w:color w:val="231F20"/>
          <w:spacing w:val="-4"/>
          <w:w w:val="120"/>
        </w:rPr>
        <w:t> </w:t>
      </w:r>
      <w:r>
        <w:rPr>
          <w:color w:val="231F20"/>
          <w:w w:val="120"/>
        </w:rPr>
        <w:t>de</w:t>
      </w:r>
      <w:r>
        <w:rPr>
          <w:color w:val="231F20"/>
          <w:spacing w:val="-4"/>
          <w:w w:val="120"/>
        </w:rPr>
        <w:t> </w:t>
      </w:r>
      <w:r>
        <w:rPr>
          <w:color w:val="231F20"/>
          <w:w w:val="120"/>
        </w:rPr>
        <w:t>soi</w:t>
      </w:r>
      <w:r>
        <w:rPr>
          <w:color w:val="231F20"/>
          <w:spacing w:val="-4"/>
          <w:w w:val="120"/>
        </w:rPr>
        <w:t> </w:t>
      </w:r>
      <w:r>
        <w:rPr>
          <w:color w:val="231F20"/>
          <w:w w:val="120"/>
        </w:rPr>
        <w:t>amplifient</w:t>
      </w:r>
      <w:r>
        <w:rPr>
          <w:color w:val="231F20"/>
          <w:spacing w:val="-4"/>
          <w:w w:val="120"/>
        </w:rPr>
        <w:t> </w:t>
      </w:r>
      <w:r>
        <w:rPr>
          <w:color w:val="231F20"/>
          <w:w w:val="120"/>
        </w:rPr>
        <w:t>les</w:t>
      </w:r>
      <w:r>
        <w:rPr>
          <w:color w:val="231F20"/>
          <w:spacing w:val="-4"/>
          <w:w w:val="120"/>
        </w:rPr>
        <w:t> </w:t>
      </w:r>
      <w:r>
        <w:rPr>
          <w:color w:val="231F20"/>
          <w:w w:val="120"/>
        </w:rPr>
        <w:t>effets</w:t>
      </w:r>
      <w:r>
        <w:rPr>
          <w:color w:val="231F20"/>
          <w:spacing w:val="-4"/>
          <w:w w:val="120"/>
        </w:rPr>
        <w:t> </w:t>
      </w:r>
      <w:r>
        <w:rPr>
          <w:color w:val="231F20"/>
          <w:w w:val="120"/>
        </w:rPr>
        <w:t>négatifs</w:t>
      </w:r>
      <w:r>
        <w:rPr>
          <w:color w:val="231F20"/>
          <w:spacing w:val="-4"/>
          <w:w w:val="120"/>
        </w:rPr>
        <w:t> </w:t>
      </w:r>
      <w:r>
        <w:rPr>
          <w:color w:val="231F20"/>
          <w:w w:val="120"/>
        </w:rPr>
        <w:t>sur</w:t>
      </w:r>
      <w:r>
        <w:rPr>
          <w:color w:val="231F20"/>
          <w:spacing w:val="-4"/>
          <w:w w:val="120"/>
        </w:rPr>
        <w:t> </w:t>
      </w:r>
      <w:r>
        <w:rPr>
          <w:color w:val="231F20"/>
          <w:w w:val="120"/>
        </w:rPr>
        <w:t>les</w:t>
      </w:r>
      <w:r>
        <w:rPr>
          <w:color w:val="231F20"/>
          <w:spacing w:val="-4"/>
          <w:w w:val="120"/>
        </w:rPr>
        <w:t> </w:t>
      </w:r>
      <w:r>
        <w:rPr>
          <w:color w:val="231F20"/>
          <w:w w:val="120"/>
        </w:rPr>
        <w:t>résultats,</w:t>
      </w:r>
      <w:r>
        <w:rPr>
          <w:color w:val="231F20"/>
          <w:spacing w:val="-4"/>
          <w:w w:val="120"/>
        </w:rPr>
        <w:t> </w:t>
      </w:r>
      <w:r>
        <w:rPr>
          <w:color w:val="231F20"/>
          <w:w w:val="120"/>
        </w:rPr>
        <w:t>alors que celles ayant une meilleure estime de soi font des évaluations plus nuancées des stresseurs pour en atténuer les incidences négatives. En d’autres</w:t>
      </w:r>
      <w:r>
        <w:rPr>
          <w:color w:val="231F20"/>
          <w:spacing w:val="-4"/>
          <w:w w:val="120"/>
        </w:rPr>
        <w:t> </w:t>
      </w:r>
      <w:r>
        <w:rPr>
          <w:color w:val="231F20"/>
          <w:w w:val="120"/>
        </w:rPr>
        <w:t>termes,</w:t>
      </w:r>
      <w:r>
        <w:rPr>
          <w:color w:val="231F20"/>
          <w:spacing w:val="-4"/>
          <w:w w:val="120"/>
        </w:rPr>
        <w:t> </w:t>
      </w:r>
      <w:r>
        <w:rPr>
          <w:color w:val="231F20"/>
          <w:w w:val="120"/>
        </w:rPr>
        <w:t>une</w:t>
      </w:r>
      <w:r>
        <w:rPr>
          <w:color w:val="231F20"/>
          <w:spacing w:val="-4"/>
          <w:w w:val="120"/>
        </w:rPr>
        <w:t> </w:t>
      </w:r>
      <w:r>
        <w:rPr>
          <w:color w:val="231F20"/>
          <w:w w:val="120"/>
        </w:rPr>
        <w:t>estime</w:t>
      </w:r>
      <w:r>
        <w:rPr>
          <w:color w:val="231F20"/>
          <w:spacing w:val="-4"/>
          <w:w w:val="120"/>
        </w:rPr>
        <w:t> </w:t>
      </w:r>
      <w:r>
        <w:rPr>
          <w:color w:val="231F20"/>
          <w:w w:val="120"/>
        </w:rPr>
        <w:t>de</w:t>
      </w:r>
      <w:r>
        <w:rPr>
          <w:color w:val="231F20"/>
          <w:spacing w:val="-4"/>
          <w:w w:val="120"/>
        </w:rPr>
        <w:t> </w:t>
      </w:r>
      <w:r>
        <w:rPr>
          <w:color w:val="231F20"/>
          <w:w w:val="120"/>
        </w:rPr>
        <w:t>soi</w:t>
      </w:r>
      <w:r>
        <w:rPr>
          <w:color w:val="231F20"/>
          <w:spacing w:val="-4"/>
          <w:w w:val="120"/>
        </w:rPr>
        <w:t> </w:t>
      </w:r>
      <w:r>
        <w:rPr>
          <w:color w:val="231F20"/>
          <w:w w:val="120"/>
        </w:rPr>
        <w:t>élevée</w:t>
      </w:r>
      <w:r>
        <w:rPr>
          <w:color w:val="231F20"/>
          <w:spacing w:val="-4"/>
          <w:w w:val="120"/>
        </w:rPr>
        <w:t> </w:t>
      </w:r>
      <w:r>
        <w:rPr>
          <w:color w:val="231F20"/>
          <w:w w:val="120"/>
        </w:rPr>
        <w:t>limite</w:t>
      </w:r>
      <w:r>
        <w:rPr>
          <w:color w:val="231F20"/>
          <w:spacing w:val="-4"/>
          <w:w w:val="120"/>
        </w:rPr>
        <w:t> </w:t>
      </w:r>
      <w:r>
        <w:rPr>
          <w:color w:val="231F20"/>
          <w:w w:val="120"/>
        </w:rPr>
        <w:t>et</w:t>
      </w:r>
      <w:r>
        <w:rPr>
          <w:color w:val="231F20"/>
          <w:spacing w:val="-4"/>
          <w:w w:val="120"/>
        </w:rPr>
        <w:t> </w:t>
      </w:r>
      <w:r>
        <w:rPr>
          <w:color w:val="231F20"/>
          <w:w w:val="120"/>
        </w:rPr>
        <w:t>oriente</w:t>
      </w:r>
      <w:r>
        <w:rPr>
          <w:color w:val="231F20"/>
          <w:spacing w:val="-4"/>
          <w:w w:val="120"/>
        </w:rPr>
        <w:t> </w:t>
      </w:r>
      <w:r>
        <w:rPr>
          <w:color w:val="231F20"/>
          <w:w w:val="120"/>
        </w:rPr>
        <w:t>la</w:t>
      </w:r>
      <w:r>
        <w:rPr>
          <w:color w:val="231F20"/>
          <w:spacing w:val="-4"/>
          <w:w w:val="120"/>
        </w:rPr>
        <w:t> </w:t>
      </w:r>
      <w:r>
        <w:rPr>
          <w:color w:val="231F20"/>
          <w:w w:val="120"/>
        </w:rPr>
        <w:t>teneur</w:t>
      </w:r>
      <w:r>
        <w:rPr>
          <w:color w:val="231F20"/>
          <w:spacing w:val="-4"/>
          <w:w w:val="120"/>
        </w:rPr>
        <w:t> </w:t>
      </w:r>
      <w:r>
        <w:rPr>
          <w:color w:val="231F20"/>
          <w:w w:val="120"/>
        </w:rPr>
        <w:t>des évaluations cognitives des facteurs de stress et en réduit l’effet sur le vécu</w:t>
      </w:r>
      <w:r>
        <w:rPr>
          <w:color w:val="231F20"/>
          <w:spacing w:val="-13"/>
          <w:w w:val="120"/>
        </w:rPr>
        <w:t> </w:t>
      </w:r>
      <w:r>
        <w:rPr>
          <w:color w:val="231F20"/>
          <w:w w:val="120"/>
        </w:rPr>
        <w:t>quotidien.</w:t>
      </w:r>
    </w:p>
    <w:p>
      <w:pPr>
        <w:pStyle w:val="BodyText"/>
        <w:rPr>
          <w:sz w:val="24"/>
        </w:rPr>
      </w:pPr>
    </w:p>
    <w:p>
      <w:pPr>
        <w:pStyle w:val="Heading2"/>
        <w:spacing w:line="247" w:lineRule="auto" w:before="180"/>
        <w:ind w:left="1220" w:right="782"/>
      </w:pPr>
      <w:r>
        <w:rPr>
          <w:color w:val="231F20"/>
          <w:w w:val="95"/>
        </w:rPr>
        <w:t>Prospectives</w:t>
      </w:r>
      <w:r>
        <w:rPr>
          <w:color w:val="231F20"/>
          <w:spacing w:val="-8"/>
          <w:w w:val="95"/>
        </w:rPr>
        <w:t> </w:t>
      </w:r>
      <w:r>
        <w:rPr>
          <w:color w:val="231F20"/>
          <w:w w:val="95"/>
        </w:rPr>
        <w:t>quant</w:t>
      </w:r>
      <w:r>
        <w:rPr>
          <w:color w:val="231F20"/>
          <w:spacing w:val="-8"/>
          <w:w w:val="95"/>
        </w:rPr>
        <w:t> </w:t>
      </w:r>
      <w:r>
        <w:rPr>
          <w:color w:val="231F20"/>
          <w:w w:val="95"/>
        </w:rPr>
        <w:t>à</w:t>
      </w:r>
      <w:r>
        <w:rPr>
          <w:color w:val="231F20"/>
          <w:spacing w:val="-8"/>
          <w:w w:val="95"/>
        </w:rPr>
        <w:t> </w:t>
      </w:r>
      <w:r>
        <w:rPr>
          <w:color w:val="231F20"/>
          <w:w w:val="95"/>
        </w:rPr>
        <w:t>l’importance</w:t>
      </w:r>
      <w:r>
        <w:rPr>
          <w:color w:val="231F20"/>
          <w:spacing w:val="-8"/>
          <w:w w:val="95"/>
        </w:rPr>
        <w:t> </w:t>
      </w:r>
      <w:r>
        <w:rPr>
          <w:color w:val="231F20"/>
          <w:w w:val="95"/>
        </w:rPr>
        <w:t>de</w:t>
      </w:r>
      <w:r>
        <w:rPr>
          <w:color w:val="231F20"/>
          <w:spacing w:val="-8"/>
          <w:w w:val="95"/>
        </w:rPr>
        <w:t> </w:t>
      </w:r>
      <w:r>
        <w:rPr>
          <w:color w:val="231F20"/>
          <w:w w:val="95"/>
        </w:rPr>
        <w:t>la</w:t>
      </w:r>
      <w:r>
        <w:rPr>
          <w:color w:val="231F20"/>
          <w:spacing w:val="-8"/>
          <w:w w:val="95"/>
        </w:rPr>
        <w:t> </w:t>
      </w:r>
      <w:r>
        <w:rPr>
          <w:color w:val="231F20"/>
          <w:w w:val="95"/>
        </w:rPr>
        <w:t>congruence </w:t>
      </w:r>
      <w:r>
        <w:rPr>
          <w:color w:val="231F20"/>
        </w:rPr>
        <w:t>des</w:t>
      </w:r>
      <w:r>
        <w:rPr>
          <w:color w:val="231F20"/>
          <w:spacing w:val="-16"/>
        </w:rPr>
        <w:t> </w:t>
      </w:r>
      <w:r>
        <w:rPr>
          <w:color w:val="231F20"/>
        </w:rPr>
        <w:t>valeurs</w:t>
      </w:r>
      <w:r>
        <w:rPr>
          <w:color w:val="231F20"/>
          <w:spacing w:val="-16"/>
        </w:rPr>
        <w:t> </w:t>
      </w:r>
      <w:r>
        <w:rPr>
          <w:color w:val="231F20"/>
        </w:rPr>
        <w:t>dans</w:t>
      </w:r>
      <w:r>
        <w:rPr>
          <w:color w:val="231F20"/>
          <w:spacing w:val="-16"/>
        </w:rPr>
        <w:t> </w:t>
      </w:r>
      <w:r>
        <w:rPr>
          <w:color w:val="231F20"/>
        </w:rPr>
        <w:t>l’étiologie</w:t>
      </w:r>
      <w:r>
        <w:rPr>
          <w:color w:val="231F20"/>
          <w:spacing w:val="-16"/>
        </w:rPr>
        <w:t> </w:t>
      </w:r>
      <w:r>
        <w:rPr>
          <w:color w:val="231F20"/>
        </w:rPr>
        <w:t>du</w:t>
      </w:r>
      <w:r>
        <w:rPr>
          <w:color w:val="231F20"/>
          <w:spacing w:val="-16"/>
        </w:rPr>
        <w:t> </w:t>
      </w:r>
      <w:r>
        <w:rPr>
          <w:color w:val="231F20"/>
        </w:rPr>
        <w:t>stress</w:t>
      </w:r>
    </w:p>
    <w:p>
      <w:pPr>
        <w:pStyle w:val="BodyText"/>
        <w:spacing w:before="3"/>
        <w:rPr>
          <w:rFonts w:ascii="Arial"/>
          <w:b/>
          <w:sz w:val="25"/>
        </w:rPr>
      </w:pPr>
    </w:p>
    <w:p>
      <w:pPr>
        <w:pStyle w:val="BodyText"/>
        <w:spacing w:line="307" w:lineRule="auto"/>
        <w:ind w:left="1220" w:right="107"/>
        <w:jc w:val="both"/>
      </w:pPr>
      <w:r>
        <w:rPr>
          <w:color w:val="231F20"/>
          <w:w w:val="115"/>
        </w:rPr>
        <w:t>Pourquoi</w:t>
      </w:r>
      <w:r>
        <w:rPr>
          <w:color w:val="231F20"/>
          <w:spacing w:val="-13"/>
          <w:w w:val="115"/>
        </w:rPr>
        <w:t> </w:t>
      </w:r>
      <w:r>
        <w:rPr>
          <w:color w:val="231F20"/>
          <w:w w:val="115"/>
        </w:rPr>
        <w:t>faut-il</w:t>
      </w:r>
      <w:r>
        <w:rPr>
          <w:color w:val="231F20"/>
          <w:spacing w:val="-12"/>
          <w:w w:val="115"/>
        </w:rPr>
        <w:t> </w:t>
      </w:r>
      <w:r>
        <w:rPr>
          <w:color w:val="231F20"/>
          <w:w w:val="115"/>
        </w:rPr>
        <w:t>se</w:t>
      </w:r>
      <w:r>
        <w:rPr>
          <w:color w:val="231F20"/>
          <w:spacing w:val="-12"/>
          <w:w w:val="115"/>
        </w:rPr>
        <w:t> </w:t>
      </w:r>
      <w:r>
        <w:rPr>
          <w:color w:val="231F20"/>
          <w:w w:val="115"/>
        </w:rPr>
        <w:t>soucier</w:t>
      </w:r>
      <w:r>
        <w:rPr>
          <w:color w:val="231F20"/>
          <w:spacing w:val="-12"/>
          <w:w w:val="115"/>
        </w:rPr>
        <w:t> </w:t>
      </w:r>
      <w:r>
        <w:rPr>
          <w:color w:val="231F20"/>
          <w:w w:val="115"/>
        </w:rPr>
        <w:t>de</w:t>
      </w:r>
      <w:r>
        <w:rPr>
          <w:color w:val="231F20"/>
          <w:spacing w:val="-13"/>
          <w:w w:val="115"/>
        </w:rPr>
        <w:t> </w:t>
      </w:r>
      <w:r>
        <w:rPr>
          <w:color w:val="231F20"/>
          <w:w w:val="115"/>
        </w:rPr>
        <w:t>la</w:t>
      </w:r>
      <w:r>
        <w:rPr>
          <w:color w:val="231F20"/>
          <w:spacing w:val="-12"/>
          <w:w w:val="115"/>
        </w:rPr>
        <w:t> </w:t>
      </w:r>
      <w:r>
        <w:rPr>
          <w:color w:val="231F20"/>
          <w:w w:val="115"/>
        </w:rPr>
        <w:t>congruence</w:t>
      </w:r>
      <w:r>
        <w:rPr>
          <w:color w:val="231F20"/>
          <w:spacing w:val="-12"/>
          <w:w w:val="115"/>
        </w:rPr>
        <w:t> </w:t>
      </w:r>
      <w:r>
        <w:rPr>
          <w:color w:val="231F20"/>
          <w:w w:val="115"/>
        </w:rPr>
        <w:t>des</w:t>
      </w:r>
      <w:r>
        <w:rPr>
          <w:color w:val="231F20"/>
          <w:spacing w:val="-12"/>
          <w:w w:val="115"/>
        </w:rPr>
        <w:t> </w:t>
      </w:r>
      <w:r>
        <w:rPr>
          <w:color w:val="231F20"/>
          <w:w w:val="115"/>
        </w:rPr>
        <w:t>valeurs</w:t>
      </w:r>
      <w:r>
        <w:rPr>
          <w:color w:val="231F20"/>
          <w:spacing w:val="-12"/>
          <w:w w:val="115"/>
        </w:rPr>
        <w:t> </w:t>
      </w:r>
      <w:r>
        <w:rPr>
          <w:color w:val="231F20"/>
          <w:w w:val="115"/>
        </w:rPr>
        <w:t>individuelles?</w:t>
      </w:r>
      <w:r>
        <w:rPr>
          <w:color w:val="231F20"/>
          <w:spacing w:val="-13"/>
          <w:w w:val="115"/>
        </w:rPr>
        <w:t> </w:t>
      </w:r>
      <w:r>
        <w:rPr>
          <w:color w:val="231F20"/>
          <w:w w:val="115"/>
        </w:rPr>
        <w:t>Les </w:t>
      </w:r>
      <w:r>
        <w:rPr>
          <w:color w:val="231F20"/>
          <w:w w:val="120"/>
        </w:rPr>
        <w:t>observations</w:t>
      </w:r>
      <w:r>
        <w:rPr>
          <w:color w:val="231F20"/>
          <w:spacing w:val="-8"/>
          <w:w w:val="120"/>
        </w:rPr>
        <w:t> </w:t>
      </w:r>
      <w:r>
        <w:rPr>
          <w:color w:val="231F20"/>
          <w:w w:val="120"/>
        </w:rPr>
        <w:t>cumulées</w:t>
      </w:r>
      <w:r>
        <w:rPr>
          <w:color w:val="231F20"/>
          <w:spacing w:val="-8"/>
          <w:w w:val="120"/>
        </w:rPr>
        <w:t> </w:t>
      </w:r>
      <w:r>
        <w:rPr>
          <w:color w:val="231F20"/>
          <w:w w:val="120"/>
        </w:rPr>
        <w:t>au</w:t>
      </w:r>
      <w:r>
        <w:rPr>
          <w:color w:val="231F20"/>
          <w:spacing w:val="-8"/>
          <w:w w:val="120"/>
        </w:rPr>
        <w:t> </w:t>
      </w:r>
      <w:r>
        <w:rPr>
          <w:color w:val="231F20"/>
          <w:w w:val="120"/>
        </w:rPr>
        <w:t>cours</w:t>
      </w:r>
      <w:r>
        <w:rPr>
          <w:color w:val="231F20"/>
          <w:spacing w:val="-8"/>
          <w:w w:val="120"/>
        </w:rPr>
        <w:t> </w:t>
      </w:r>
      <w:r>
        <w:rPr>
          <w:color w:val="231F20"/>
          <w:w w:val="120"/>
        </w:rPr>
        <w:t>des</w:t>
      </w:r>
      <w:r>
        <w:rPr>
          <w:color w:val="231F20"/>
          <w:spacing w:val="-8"/>
          <w:w w:val="120"/>
        </w:rPr>
        <w:t> </w:t>
      </w:r>
      <w:r>
        <w:rPr>
          <w:color w:val="231F20"/>
          <w:w w:val="120"/>
        </w:rPr>
        <w:t>35</w:t>
      </w:r>
      <w:r>
        <w:rPr>
          <w:color w:val="231F20"/>
          <w:spacing w:val="-8"/>
          <w:w w:val="120"/>
        </w:rPr>
        <w:t> </w:t>
      </w:r>
      <w:r>
        <w:rPr>
          <w:color w:val="231F20"/>
          <w:w w:val="120"/>
        </w:rPr>
        <w:t>dernières</w:t>
      </w:r>
      <w:r>
        <w:rPr>
          <w:color w:val="231F20"/>
          <w:spacing w:val="-8"/>
          <w:w w:val="120"/>
        </w:rPr>
        <w:t> </w:t>
      </w:r>
      <w:r>
        <w:rPr>
          <w:color w:val="231F20"/>
          <w:w w:val="120"/>
        </w:rPr>
        <w:t>années</w:t>
      </w:r>
      <w:r>
        <w:rPr>
          <w:color w:val="231F20"/>
          <w:spacing w:val="-8"/>
          <w:w w:val="120"/>
        </w:rPr>
        <w:t> </w:t>
      </w:r>
      <w:r>
        <w:rPr>
          <w:color w:val="231F20"/>
          <w:w w:val="120"/>
        </w:rPr>
        <w:t>sur</w:t>
      </w:r>
      <w:r>
        <w:rPr>
          <w:color w:val="231F20"/>
          <w:spacing w:val="-8"/>
          <w:w w:val="120"/>
        </w:rPr>
        <w:t> </w:t>
      </w:r>
      <w:r>
        <w:rPr>
          <w:color w:val="231F20"/>
          <w:w w:val="120"/>
        </w:rPr>
        <w:t>les</w:t>
      </w:r>
      <w:r>
        <w:rPr>
          <w:color w:val="231F20"/>
          <w:spacing w:val="-8"/>
          <w:w w:val="120"/>
        </w:rPr>
        <w:t> </w:t>
      </w:r>
      <w:r>
        <w:rPr>
          <w:color w:val="231F20"/>
          <w:w w:val="120"/>
        </w:rPr>
        <w:t>valeurs </w:t>
      </w:r>
      <w:r>
        <w:rPr>
          <w:color w:val="231F20"/>
          <w:spacing w:val="-2"/>
          <w:w w:val="115"/>
        </w:rPr>
        <w:t>(García</w:t>
      </w:r>
      <w:r>
        <w:rPr>
          <w:color w:val="231F20"/>
          <w:spacing w:val="-10"/>
          <w:w w:val="115"/>
        </w:rPr>
        <w:t> </w:t>
      </w:r>
      <w:r>
        <w:rPr>
          <w:color w:val="231F20"/>
          <w:spacing w:val="-2"/>
          <w:w w:val="115"/>
        </w:rPr>
        <w:t>et</w:t>
      </w:r>
      <w:r>
        <w:rPr>
          <w:color w:val="231F20"/>
          <w:spacing w:val="-10"/>
          <w:w w:val="115"/>
        </w:rPr>
        <w:t> </w:t>
      </w:r>
      <w:r>
        <w:rPr>
          <w:color w:val="231F20"/>
          <w:spacing w:val="-2"/>
          <w:w w:val="115"/>
        </w:rPr>
        <w:t>Dolan,</w:t>
      </w:r>
      <w:r>
        <w:rPr>
          <w:color w:val="231F20"/>
          <w:spacing w:val="-10"/>
          <w:w w:val="115"/>
        </w:rPr>
        <w:t> </w:t>
      </w:r>
      <w:r>
        <w:rPr>
          <w:color w:val="231F20"/>
          <w:spacing w:val="-2"/>
          <w:w w:val="115"/>
        </w:rPr>
        <w:t>1997</w:t>
      </w:r>
      <w:r>
        <w:rPr>
          <w:color w:val="231F20"/>
          <w:spacing w:val="-33"/>
          <w:w w:val="115"/>
        </w:rPr>
        <w:t> </w:t>
      </w:r>
      <w:r>
        <w:rPr>
          <w:color w:val="231F20"/>
          <w:spacing w:val="-2"/>
          <w:w w:val="115"/>
        </w:rPr>
        <w:t>;</w:t>
      </w:r>
      <w:r>
        <w:rPr>
          <w:color w:val="231F20"/>
          <w:spacing w:val="-10"/>
          <w:w w:val="115"/>
        </w:rPr>
        <w:t> </w:t>
      </w:r>
      <w:r>
        <w:rPr>
          <w:color w:val="231F20"/>
          <w:spacing w:val="-2"/>
          <w:w w:val="115"/>
        </w:rPr>
        <w:t>Dolan,</w:t>
      </w:r>
      <w:r>
        <w:rPr>
          <w:color w:val="231F20"/>
          <w:spacing w:val="-10"/>
          <w:w w:val="115"/>
        </w:rPr>
        <w:t> </w:t>
      </w:r>
      <w:r>
        <w:rPr>
          <w:color w:val="231F20"/>
          <w:spacing w:val="-2"/>
          <w:w w:val="115"/>
        </w:rPr>
        <w:t>Garcia</w:t>
      </w:r>
      <w:r>
        <w:rPr>
          <w:color w:val="231F20"/>
          <w:spacing w:val="-10"/>
          <w:w w:val="115"/>
        </w:rPr>
        <w:t> </w:t>
      </w:r>
      <w:r>
        <w:rPr>
          <w:color w:val="231F20"/>
          <w:spacing w:val="-2"/>
          <w:w w:val="115"/>
        </w:rPr>
        <w:t>et</w:t>
      </w:r>
      <w:r>
        <w:rPr>
          <w:color w:val="231F20"/>
          <w:spacing w:val="-10"/>
          <w:w w:val="115"/>
        </w:rPr>
        <w:t> </w:t>
      </w:r>
      <w:r>
        <w:rPr>
          <w:color w:val="231F20"/>
          <w:spacing w:val="-2"/>
          <w:w w:val="115"/>
        </w:rPr>
        <w:t>Richley,</w:t>
      </w:r>
      <w:r>
        <w:rPr>
          <w:color w:val="231F20"/>
          <w:spacing w:val="-10"/>
          <w:w w:val="115"/>
        </w:rPr>
        <w:t> </w:t>
      </w:r>
      <w:r>
        <w:rPr>
          <w:color w:val="231F20"/>
          <w:spacing w:val="-2"/>
          <w:w w:val="115"/>
        </w:rPr>
        <w:t>2006</w:t>
      </w:r>
      <w:r>
        <w:rPr>
          <w:color w:val="231F20"/>
          <w:spacing w:val="-33"/>
          <w:w w:val="115"/>
        </w:rPr>
        <w:t> </w:t>
      </w:r>
      <w:r>
        <w:rPr>
          <w:color w:val="231F20"/>
          <w:spacing w:val="-2"/>
          <w:w w:val="115"/>
        </w:rPr>
        <w:t>;</w:t>
      </w:r>
      <w:r>
        <w:rPr>
          <w:color w:val="231F20"/>
          <w:spacing w:val="-10"/>
          <w:w w:val="115"/>
        </w:rPr>
        <w:t> </w:t>
      </w:r>
      <w:r>
        <w:rPr>
          <w:color w:val="231F20"/>
          <w:spacing w:val="-2"/>
          <w:w w:val="115"/>
        </w:rPr>
        <w:t>Dolan</w:t>
      </w:r>
      <w:r>
        <w:rPr>
          <w:color w:val="231F20"/>
          <w:spacing w:val="-10"/>
          <w:w w:val="115"/>
        </w:rPr>
        <w:t> </w:t>
      </w:r>
      <w:r>
        <w:rPr>
          <w:color w:val="231F20"/>
          <w:spacing w:val="-2"/>
          <w:w w:val="115"/>
        </w:rPr>
        <w:t>2011,</w:t>
      </w:r>
      <w:r>
        <w:rPr>
          <w:color w:val="231F20"/>
          <w:spacing w:val="-10"/>
          <w:w w:val="115"/>
        </w:rPr>
        <w:t> </w:t>
      </w:r>
      <w:r>
        <w:rPr>
          <w:color w:val="231F20"/>
          <w:spacing w:val="-2"/>
          <w:w w:val="115"/>
        </w:rPr>
        <w:t>2020</w:t>
      </w:r>
      <w:r>
        <w:rPr>
          <w:color w:val="231F20"/>
          <w:spacing w:val="-33"/>
          <w:w w:val="115"/>
        </w:rPr>
        <w:t> </w:t>
      </w:r>
      <w:r>
        <w:rPr>
          <w:color w:val="231F20"/>
          <w:spacing w:val="-10"/>
          <w:w w:val="115"/>
        </w:rPr>
        <w:t>;</w:t>
      </w:r>
    </w:p>
    <w:p>
      <w:pPr>
        <w:spacing w:after="0" w:line="307" w:lineRule="auto"/>
        <w:jc w:val="both"/>
        <w:sectPr>
          <w:footerReference w:type="default" r:id="rId349"/>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2"/>
        <w:jc w:val="both"/>
      </w:pPr>
      <w:r>
        <w:rPr>
          <w:color w:val="231F20"/>
          <w:w w:val="120"/>
        </w:rPr>
        <w:t>Garcia,</w:t>
      </w:r>
      <w:r>
        <w:rPr>
          <w:color w:val="231F20"/>
          <w:spacing w:val="-9"/>
          <w:w w:val="120"/>
        </w:rPr>
        <w:t> </w:t>
      </w:r>
      <w:r>
        <w:rPr>
          <w:color w:val="231F20"/>
          <w:w w:val="120"/>
        </w:rPr>
        <w:t>2018)</w:t>
      </w:r>
      <w:r>
        <w:rPr>
          <w:color w:val="231F20"/>
          <w:spacing w:val="-9"/>
          <w:w w:val="120"/>
        </w:rPr>
        <w:t> </w:t>
      </w:r>
      <w:r>
        <w:rPr>
          <w:color w:val="231F20"/>
          <w:w w:val="120"/>
        </w:rPr>
        <w:t>indiquent</w:t>
      </w:r>
      <w:r>
        <w:rPr>
          <w:color w:val="231F20"/>
          <w:spacing w:val="-9"/>
          <w:w w:val="120"/>
        </w:rPr>
        <w:t> </w:t>
      </w:r>
      <w:r>
        <w:rPr>
          <w:color w:val="231F20"/>
          <w:w w:val="120"/>
        </w:rPr>
        <w:t>que</w:t>
      </w:r>
      <w:r>
        <w:rPr>
          <w:color w:val="231F20"/>
          <w:spacing w:val="-9"/>
          <w:w w:val="120"/>
        </w:rPr>
        <w:t> </w:t>
      </w:r>
      <w:r>
        <w:rPr>
          <w:color w:val="231F20"/>
          <w:w w:val="120"/>
        </w:rPr>
        <w:t>si</w:t>
      </w:r>
      <w:r>
        <w:rPr>
          <w:color w:val="231F20"/>
          <w:spacing w:val="-9"/>
          <w:w w:val="120"/>
        </w:rPr>
        <w:t> </w:t>
      </w:r>
      <w:r>
        <w:rPr>
          <w:color w:val="231F20"/>
          <w:w w:val="120"/>
        </w:rPr>
        <w:t>nous</w:t>
      </w:r>
      <w:r>
        <w:rPr>
          <w:color w:val="231F20"/>
          <w:spacing w:val="-9"/>
          <w:w w:val="120"/>
        </w:rPr>
        <w:t> </w:t>
      </w:r>
      <w:r>
        <w:rPr>
          <w:color w:val="231F20"/>
          <w:w w:val="120"/>
        </w:rPr>
        <w:t>n’alignons</w:t>
      </w:r>
      <w:r>
        <w:rPr>
          <w:color w:val="231F20"/>
          <w:spacing w:val="-9"/>
          <w:w w:val="120"/>
        </w:rPr>
        <w:t> </w:t>
      </w:r>
      <w:r>
        <w:rPr>
          <w:color w:val="231F20"/>
          <w:w w:val="120"/>
        </w:rPr>
        <w:t>pas</w:t>
      </w:r>
      <w:r>
        <w:rPr>
          <w:color w:val="231F20"/>
          <w:spacing w:val="-9"/>
          <w:w w:val="120"/>
        </w:rPr>
        <w:t> </w:t>
      </w:r>
      <w:r>
        <w:rPr>
          <w:color w:val="231F20"/>
          <w:w w:val="120"/>
        </w:rPr>
        <w:t>nos</w:t>
      </w:r>
      <w:r>
        <w:rPr>
          <w:color w:val="231F20"/>
          <w:spacing w:val="-9"/>
          <w:w w:val="120"/>
        </w:rPr>
        <w:t> </w:t>
      </w:r>
      <w:r>
        <w:rPr>
          <w:color w:val="231F20"/>
          <w:w w:val="120"/>
        </w:rPr>
        <w:t>comportements </w:t>
      </w:r>
      <w:r>
        <w:rPr>
          <w:color w:val="231F20"/>
          <w:spacing w:val="-4"/>
          <w:w w:val="120"/>
        </w:rPr>
        <w:t>sur</w:t>
      </w:r>
      <w:r>
        <w:rPr>
          <w:color w:val="231F20"/>
          <w:spacing w:val="-6"/>
          <w:w w:val="120"/>
        </w:rPr>
        <w:t> </w:t>
      </w:r>
      <w:r>
        <w:rPr>
          <w:color w:val="231F20"/>
          <w:spacing w:val="-4"/>
          <w:w w:val="120"/>
        </w:rPr>
        <w:t>nos</w:t>
      </w:r>
      <w:r>
        <w:rPr>
          <w:color w:val="231F20"/>
          <w:spacing w:val="-6"/>
          <w:w w:val="120"/>
        </w:rPr>
        <w:t> </w:t>
      </w:r>
      <w:r>
        <w:rPr>
          <w:color w:val="231F20"/>
          <w:spacing w:val="-4"/>
          <w:w w:val="120"/>
        </w:rPr>
        <w:t>valeurs</w:t>
      </w:r>
      <w:r>
        <w:rPr>
          <w:color w:val="231F20"/>
          <w:spacing w:val="-6"/>
          <w:w w:val="120"/>
        </w:rPr>
        <w:t> </w:t>
      </w:r>
      <w:r>
        <w:rPr>
          <w:color w:val="231F20"/>
          <w:spacing w:val="-4"/>
          <w:w w:val="120"/>
        </w:rPr>
        <w:t>fondamentales,</w:t>
      </w:r>
      <w:r>
        <w:rPr>
          <w:color w:val="231F20"/>
          <w:spacing w:val="-6"/>
          <w:w w:val="120"/>
        </w:rPr>
        <w:t> </w:t>
      </w:r>
      <w:r>
        <w:rPr>
          <w:color w:val="231F20"/>
          <w:spacing w:val="-4"/>
          <w:w w:val="120"/>
        </w:rPr>
        <w:t>l’ambiguïté</w:t>
      </w:r>
      <w:r>
        <w:rPr>
          <w:color w:val="231F20"/>
          <w:spacing w:val="-6"/>
          <w:w w:val="120"/>
        </w:rPr>
        <w:t> </w:t>
      </w:r>
      <w:r>
        <w:rPr>
          <w:color w:val="231F20"/>
          <w:spacing w:val="-4"/>
          <w:w w:val="120"/>
        </w:rPr>
        <w:t>et</w:t>
      </w:r>
      <w:r>
        <w:rPr>
          <w:color w:val="231F20"/>
          <w:spacing w:val="-6"/>
          <w:w w:val="120"/>
        </w:rPr>
        <w:t> </w:t>
      </w:r>
      <w:r>
        <w:rPr>
          <w:color w:val="231F20"/>
          <w:spacing w:val="-4"/>
          <w:w w:val="120"/>
        </w:rPr>
        <w:t>l’incongruité</w:t>
      </w:r>
      <w:r>
        <w:rPr>
          <w:color w:val="231F20"/>
          <w:spacing w:val="-6"/>
          <w:w w:val="120"/>
        </w:rPr>
        <w:t> </w:t>
      </w:r>
      <w:r>
        <w:rPr>
          <w:color w:val="231F20"/>
          <w:spacing w:val="-4"/>
          <w:w w:val="120"/>
        </w:rPr>
        <w:t>issues</w:t>
      </w:r>
      <w:r>
        <w:rPr>
          <w:color w:val="231F20"/>
          <w:spacing w:val="-6"/>
          <w:w w:val="120"/>
        </w:rPr>
        <w:t> </w:t>
      </w:r>
      <w:r>
        <w:rPr>
          <w:color w:val="231F20"/>
          <w:spacing w:val="-4"/>
          <w:w w:val="120"/>
        </w:rPr>
        <w:t>de</w:t>
      </w:r>
      <w:r>
        <w:rPr>
          <w:color w:val="231F20"/>
          <w:spacing w:val="-6"/>
          <w:w w:val="120"/>
        </w:rPr>
        <w:t> </w:t>
      </w:r>
      <w:r>
        <w:rPr>
          <w:color w:val="231F20"/>
          <w:spacing w:val="-4"/>
          <w:w w:val="120"/>
        </w:rPr>
        <w:t>cette </w:t>
      </w:r>
      <w:r>
        <w:rPr>
          <w:color w:val="231F20"/>
          <w:w w:val="120"/>
        </w:rPr>
        <w:t>dissonance</w:t>
      </w:r>
      <w:r>
        <w:rPr>
          <w:color w:val="231F20"/>
          <w:spacing w:val="-8"/>
          <w:w w:val="120"/>
        </w:rPr>
        <w:t> </w:t>
      </w:r>
      <w:r>
        <w:rPr>
          <w:color w:val="231F20"/>
          <w:w w:val="120"/>
        </w:rPr>
        <w:t>conduisent</w:t>
      </w:r>
      <w:r>
        <w:rPr>
          <w:color w:val="231F20"/>
          <w:spacing w:val="-8"/>
          <w:w w:val="120"/>
        </w:rPr>
        <w:t> </w:t>
      </w:r>
      <w:r>
        <w:rPr>
          <w:color w:val="231F20"/>
          <w:w w:val="120"/>
        </w:rPr>
        <w:t>à</w:t>
      </w:r>
      <w:r>
        <w:rPr>
          <w:color w:val="231F20"/>
          <w:spacing w:val="-8"/>
          <w:w w:val="120"/>
        </w:rPr>
        <w:t> </w:t>
      </w:r>
      <w:r>
        <w:rPr>
          <w:color w:val="231F20"/>
          <w:w w:val="120"/>
        </w:rPr>
        <w:t>une</w:t>
      </w:r>
      <w:r>
        <w:rPr>
          <w:color w:val="231F20"/>
          <w:spacing w:val="-8"/>
          <w:w w:val="120"/>
        </w:rPr>
        <w:t> </w:t>
      </w:r>
      <w:r>
        <w:rPr>
          <w:color w:val="231F20"/>
          <w:w w:val="120"/>
        </w:rPr>
        <w:t>moindre</w:t>
      </w:r>
      <w:r>
        <w:rPr>
          <w:color w:val="231F20"/>
          <w:spacing w:val="-8"/>
          <w:w w:val="120"/>
        </w:rPr>
        <w:t> </w:t>
      </w:r>
      <w:r>
        <w:rPr>
          <w:color w:val="231F20"/>
          <w:w w:val="120"/>
        </w:rPr>
        <w:t>résistance</w:t>
      </w:r>
      <w:r>
        <w:rPr>
          <w:color w:val="231F20"/>
          <w:spacing w:val="-8"/>
          <w:w w:val="120"/>
        </w:rPr>
        <w:t> </w:t>
      </w:r>
      <w:r>
        <w:rPr>
          <w:color w:val="231F20"/>
          <w:w w:val="120"/>
        </w:rPr>
        <w:t>au</w:t>
      </w:r>
      <w:r>
        <w:rPr>
          <w:color w:val="231F20"/>
          <w:spacing w:val="-8"/>
          <w:w w:val="120"/>
        </w:rPr>
        <w:t> </w:t>
      </w:r>
      <w:r>
        <w:rPr>
          <w:color w:val="231F20"/>
          <w:w w:val="120"/>
        </w:rPr>
        <w:t>stress</w:t>
      </w:r>
      <w:r>
        <w:rPr>
          <w:color w:val="231F20"/>
          <w:spacing w:val="-8"/>
          <w:w w:val="120"/>
        </w:rPr>
        <w:t> </w:t>
      </w:r>
      <w:r>
        <w:rPr>
          <w:color w:val="231F20"/>
          <w:w w:val="120"/>
        </w:rPr>
        <w:t>et,</w:t>
      </w:r>
      <w:r>
        <w:rPr>
          <w:color w:val="231F20"/>
          <w:spacing w:val="-8"/>
          <w:w w:val="120"/>
        </w:rPr>
        <w:t> </w:t>
      </w:r>
      <w:r>
        <w:rPr>
          <w:color w:val="231F20"/>
          <w:w w:val="120"/>
        </w:rPr>
        <w:t>par</w:t>
      </w:r>
      <w:r>
        <w:rPr>
          <w:color w:val="231F20"/>
          <w:spacing w:val="-8"/>
          <w:w w:val="120"/>
        </w:rPr>
        <w:t> </w:t>
      </w:r>
      <w:r>
        <w:rPr>
          <w:color w:val="231F20"/>
          <w:w w:val="120"/>
        </w:rPr>
        <w:t>consé- quent,</w:t>
      </w:r>
      <w:r>
        <w:rPr>
          <w:color w:val="231F20"/>
          <w:spacing w:val="-2"/>
          <w:w w:val="120"/>
        </w:rPr>
        <w:t> </w:t>
      </w:r>
      <w:r>
        <w:rPr>
          <w:color w:val="231F20"/>
          <w:w w:val="120"/>
        </w:rPr>
        <w:t>à</w:t>
      </w:r>
      <w:r>
        <w:rPr>
          <w:color w:val="231F20"/>
          <w:spacing w:val="-2"/>
          <w:w w:val="120"/>
        </w:rPr>
        <w:t> </w:t>
      </w:r>
      <w:r>
        <w:rPr>
          <w:color w:val="231F20"/>
          <w:w w:val="120"/>
        </w:rPr>
        <w:t>davantage</w:t>
      </w:r>
      <w:r>
        <w:rPr>
          <w:color w:val="231F20"/>
          <w:spacing w:val="-2"/>
          <w:w w:val="120"/>
        </w:rPr>
        <w:t> </w:t>
      </w:r>
      <w:r>
        <w:rPr>
          <w:color w:val="231F20"/>
          <w:w w:val="120"/>
        </w:rPr>
        <w:t>de</w:t>
      </w:r>
      <w:r>
        <w:rPr>
          <w:color w:val="231F20"/>
          <w:spacing w:val="-2"/>
          <w:w w:val="120"/>
        </w:rPr>
        <w:t> </w:t>
      </w:r>
      <w:r>
        <w:rPr>
          <w:color w:val="231F20"/>
          <w:w w:val="120"/>
        </w:rPr>
        <w:t>symptômes</w:t>
      </w:r>
      <w:r>
        <w:rPr>
          <w:color w:val="231F20"/>
          <w:spacing w:val="-2"/>
          <w:w w:val="120"/>
        </w:rPr>
        <w:t> </w:t>
      </w:r>
      <w:r>
        <w:rPr>
          <w:color w:val="231F20"/>
          <w:w w:val="120"/>
        </w:rPr>
        <w:t>physiques</w:t>
      </w:r>
      <w:r>
        <w:rPr>
          <w:color w:val="231F20"/>
          <w:spacing w:val="-2"/>
          <w:w w:val="120"/>
        </w:rPr>
        <w:t> </w:t>
      </w:r>
      <w:r>
        <w:rPr>
          <w:color w:val="231F20"/>
          <w:w w:val="120"/>
        </w:rPr>
        <w:t>et</w:t>
      </w:r>
      <w:r>
        <w:rPr>
          <w:color w:val="231F20"/>
          <w:spacing w:val="-2"/>
          <w:w w:val="120"/>
        </w:rPr>
        <w:t> </w:t>
      </w:r>
      <w:r>
        <w:rPr>
          <w:color w:val="231F20"/>
          <w:w w:val="120"/>
        </w:rPr>
        <w:t>psychologiques</w:t>
      </w:r>
      <w:r>
        <w:rPr>
          <w:color w:val="231F20"/>
          <w:spacing w:val="-2"/>
          <w:w w:val="120"/>
        </w:rPr>
        <w:t> </w:t>
      </w:r>
      <w:r>
        <w:rPr>
          <w:color w:val="231F20"/>
          <w:w w:val="120"/>
        </w:rPr>
        <w:t>y</w:t>
      </w:r>
      <w:r>
        <w:rPr>
          <w:color w:val="231F20"/>
          <w:spacing w:val="-2"/>
          <w:w w:val="120"/>
        </w:rPr>
        <w:t> </w:t>
      </w:r>
      <w:r>
        <w:rPr>
          <w:color w:val="231F20"/>
          <w:w w:val="120"/>
        </w:rPr>
        <w:t>étant associés</w:t>
      </w:r>
      <w:r>
        <w:rPr>
          <w:color w:val="231F20"/>
          <w:spacing w:val="-13"/>
          <w:w w:val="120"/>
        </w:rPr>
        <w:t> </w:t>
      </w:r>
      <w:r>
        <w:rPr>
          <w:color w:val="231F20"/>
          <w:w w:val="120"/>
        </w:rPr>
        <w:t>(Bao</w:t>
      </w:r>
      <w:r>
        <w:rPr>
          <w:color w:val="231F20"/>
          <w:spacing w:val="-10"/>
          <w:w w:val="120"/>
        </w:rPr>
        <w:t> </w:t>
      </w:r>
      <w:r>
        <w:rPr>
          <w:i/>
          <w:color w:val="231F20"/>
          <w:w w:val="120"/>
        </w:rPr>
        <w:t>et</w:t>
      </w:r>
      <w:r>
        <w:rPr>
          <w:i/>
          <w:color w:val="231F20"/>
          <w:spacing w:val="-3"/>
          <w:w w:val="120"/>
        </w:rPr>
        <w:t> </w:t>
      </w:r>
      <w:r>
        <w:rPr>
          <w:i/>
          <w:color w:val="231F20"/>
          <w:w w:val="120"/>
        </w:rPr>
        <w:t>al</w:t>
      </w:r>
      <w:r>
        <w:rPr>
          <w:color w:val="231F20"/>
          <w:w w:val="120"/>
        </w:rPr>
        <w:t>.,</w:t>
      </w:r>
      <w:r>
        <w:rPr>
          <w:color w:val="231F20"/>
          <w:spacing w:val="-3"/>
          <w:w w:val="120"/>
        </w:rPr>
        <w:t> </w:t>
      </w:r>
      <w:r>
        <w:rPr>
          <w:color w:val="231F20"/>
          <w:w w:val="120"/>
        </w:rPr>
        <w:t>2013</w:t>
      </w:r>
      <w:r>
        <w:rPr>
          <w:color w:val="231F20"/>
          <w:spacing w:val="-13"/>
          <w:w w:val="120"/>
        </w:rPr>
        <w:t> </w:t>
      </w:r>
      <w:r>
        <w:rPr>
          <w:color w:val="231F20"/>
          <w:w w:val="120"/>
        </w:rPr>
        <w:t>;</w:t>
      </w:r>
      <w:r>
        <w:rPr>
          <w:color w:val="231F20"/>
          <w:spacing w:val="-3"/>
          <w:w w:val="120"/>
        </w:rPr>
        <w:t> </w:t>
      </w:r>
      <w:r>
        <w:rPr>
          <w:color w:val="231F20"/>
          <w:w w:val="120"/>
        </w:rPr>
        <w:t>Dolan,</w:t>
      </w:r>
      <w:r>
        <w:rPr>
          <w:color w:val="231F20"/>
          <w:spacing w:val="-3"/>
          <w:w w:val="120"/>
        </w:rPr>
        <w:t> </w:t>
      </w:r>
      <w:r>
        <w:rPr>
          <w:color w:val="231F20"/>
          <w:w w:val="120"/>
        </w:rPr>
        <w:t>2016).</w:t>
      </w:r>
      <w:r>
        <w:rPr>
          <w:color w:val="231F20"/>
          <w:spacing w:val="-3"/>
          <w:w w:val="120"/>
        </w:rPr>
        <w:t> </w:t>
      </w:r>
      <w:r>
        <w:rPr>
          <w:color w:val="231F20"/>
          <w:w w:val="120"/>
        </w:rPr>
        <w:t>Encore</w:t>
      </w:r>
      <w:r>
        <w:rPr>
          <w:color w:val="231F20"/>
          <w:spacing w:val="-3"/>
          <w:w w:val="120"/>
        </w:rPr>
        <w:t> </w:t>
      </w:r>
      <w:r>
        <w:rPr>
          <w:color w:val="231F20"/>
          <w:w w:val="120"/>
        </w:rPr>
        <w:t>une</w:t>
      </w:r>
      <w:r>
        <w:rPr>
          <w:color w:val="231F20"/>
          <w:spacing w:val="-3"/>
          <w:w w:val="120"/>
        </w:rPr>
        <w:t> </w:t>
      </w:r>
      <w:r>
        <w:rPr>
          <w:color w:val="231F20"/>
          <w:w w:val="120"/>
        </w:rPr>
        <w:t>fois,</w:t>
      </w:r>
      <w:r>
        <w:rPr>
          <w:color w:val="231F20"/>
          <w:spacing w:val="-3"/>
          <w:w w:val="120"/>
        </w:rPr>
        <w:t> </w:t>
      </w:r>
      <w:r>
        <w:rPr>
          <w:color w:val="231F20"/>
          <w:w w:val="120"/>
        </w:rPr>
        <w:t>bien</w:t>
      </w:r>
      <w:r>
        <w:rPr>
          <w:color w:val="231F20"/>
          <w:spacing w:val="-3"/>
          <w:w w:val="120"/>
        </w:rPr>
        <w:t> </w:t>
      </w:r>
      <w:r>
        <w:rPr>
          <w:color w:val="231F20"/>
          <w:w w:val="120"/>
        </w:rPr>
        <w:t>que</w:t>
      </w:r>
      <w:r>
        <w:rPr>
          <w:color w:val="231F20"/>
          <w:spacing w:val="-3"/>
          <w:w w:val="120"/>
        </w:rPr>
        <w:t> </w:t>
      </w:r>
      <w:r>
        <w:rPr>
          <w:color w:val="231F20"/>
          <w:w w:val="120"/>
        </w:rPr>
        <w:t>les recherches</w:t>
      </w:r>
      <w:r>
        <w:rPr>
          <w:color w:val="231F20"/>
          <w:spacing w:val="-9"/>
          <w:w w:val="120"/>
        </w:rPr>
        <w:t> </w:t>
      </w:r>
      <w:r>
        <w:rPr>
          <w:color w:val="231F20"/>
          <w:w w:val="120"/>
        </w:rPr>
        <w:t>sur</w:t>
      </w:r>
      <w:r>
        <w:rPr>
          <w:color w:val="231F20"/>
          <w:spacing w:val="-9"/>
          <w:w w:val="120"/>
        </w:rPr>
        <w:t> </w:t>
      </w:r>
      <w:r>
        <w:rPr>
          <w:color w:val="231F20"/>
          <w:w w:val="120"/>
        </w:rPr>
        <w:t>la</w:t>
      </w:r>
      <w:r>
        <w:rPr>
          <w:color w:val="231F20"/>
          <w:spacing w:val="-9"/>
          <w:w w:val="120"/>
        </w:rPr>
        <w:t> </w:t>
      </w:r>
      <w:r>
        <w:rPr>
          <w:color w:val="231F20"/>
          <w:w w:val="120"/>
        </w:rPr>
        <w:t>congruence</w:t>
      </w:r>
      <w:r>
        <w:rPr>
          <w:color w:val="231F20"/>
          <w:spacing w:val="-9"/>
          <w:w w:val="120"/>
        </w:rPr>
        <w:t> </w:t>
      </w:r>
      <w:r>
        <w:rPr>
          <w:color w:val="231F20"/>
          <w:w w:val="120"/>
        </w:rPr>
        <w:t>des</w:t>
      </w:r>
      <w:r>
        <w:rPr>
          <w:color w:val="231F20"/>
          <w:spacing w:val="-9"/>
          <w:w w:val="120"/>
        </w:rPr>
        <w:t> </w:t>
      </w:r>
      <w:r>
        <w:rPr>
          <w:color w:val="231F20"/>
          <w:w w:val="120"/>
        </w:rPr>
        <w:t>valeurs</w:t>
      </w:r>
      <w:r>
        <w:rPr>
          <w:color w:val="231F20"/>
          <w:spacing w:val="-9"/>
          <w:w w:val="120"/>
        </w:rPr>
        <w:t> </w:t>
      </w:r>
      <w:r>
        <w:rPr>
          <w:color w:val="231F20"/>
          <w:w w:val="120"/>
        </w:rPr>
        <w:t>et</w:t>
      </w:r>
      <w:r>
        <w:rPr>
          <w:color w:val="231F20"/>
          <w:spacing w:val="-9"/>
          <w:w w:val="120"/>
        </w:rPr>
        <w:t> </w:t>
      </w:r>
      <w:r>
        <w:rPr>
          <w:color w:val="231F20"/>
          <w:w w:val="120"/>
        </w:rPr>
        <w:t>le</w:t>
      </w:r>
      <w:r>
        <w:rPr>
          <w:color w:val="231F20"/>
          <w:spacing w:val="-9"/>
          <w:w w:val="120"/>
        </w:rPr>
        <w:t> </w:t>
      </w:r>
      <w:r>
        <w:rPr>
          <w:color w:val="231F20"/>
          <w:w w:val="120"/>
        </w:rPr>
        <w:t>stress</w:t>
      </w:r>
      <w:r>
        <w:rPr>
          <w:color w:val="231F20"/>
          <w:spacing w:val="-9"/>
          <w:w w:val="120"/>
        </w:rPr>
        <w:t> </w:t>
      </w:r>
      <w:r>
        <w:rPr>
          <w:color w:val="231F20"/>
          <w:w w:val="120"/>
        </w:rPr>
        <w:t>soient</w:t>
      </w:r>
      <w:r>
        <w:rPr>
          <w:color w:val="231F20"/>
          <w:spacing w:val="-9"/>
          <w:w w:val="120"/>
        </w:rPr>
        <w:t> </w:t>
      </w:r>
      <w:r>
        <w:rPr>
          <w:color w:val="231F20"/>
          <w:w w:val="120"/>
        </w:rPr>
        <w:t>encore</w:t>
      </w:r>
      <w:r>
        <w:rPr>
          <w:color w:val="231F20"/>
          <w:spacing w:val="-9"/>
          <w:w w:val="120"/>
        </w:rPr>
        <w:t> </w:t>
      </w:r>
      <w:r>
        <w:rPr>
          <w:color w:val="231F20"/>
          <w:w w:val="120"/>
        </w:rPr>
        <w:t>limi- tées, les résultats indiquent que la connaissance de nos valeurs et une adéquation avec nos comportements sont un gage d’une moindre sen- sibilité et d’une meilleure gestion des stresseurs (Lamiani, Dordoni et </w:t>
      </w:r>
      <w:r>
        <w:rPr>
          <w:color w:val="231F20"/>
          <w:w w:val="115"/>
        </w:rPr>
        <w:t>Argentero, 2017). Nous avons d’ailleurs développé au fil des années une </w:t>
      </w:r>
      <w:r>
        <w:rPr>
          <w:color w:val="231F20"/>
          <w:w w:val="120"/>
        </w:rPr>
        <w:t>méthodologie et des outils pour évaluer l’incongruence des valeurs à l’aide</w:t>
      </w:r>
      <w:r>
        <w:rPr>
          <w:color w:val="231F20"/>
          <w:spacing w:val="-2"/>
          <w:w w:val="120"/>
        </w:rPr>
        <w:t> </w:t>
      </w:r>
      <w:r>
        <w:rPr>
          <w:color w:val="231F20"/>
          <w:w w:val="120"/>
        </w:rPr>
        <w:t>de</w:t>
      </w:r>
      <w:r>
        <w:rPr>
          <w:color w:val="231F20"/>
          <w:spacing w:val="-2"/>
          <w:w w:val="120"/>
        </w:rPr>
        <w:t> </w:t>
      </w:r>
      <w:r>
        <w:rPr>
          <w:color w:val="231F20"/>
          <w:w w:val="120"/>
        </w:rPr>
        <w:t>divers</w:t>
      </w:r>
      <w:r>
        <w:rPr>
          <w:color w:val="231F20"/>
          <w:spacing w:val="-2"/>
          <w:w w:val="120"/>
        </w:rPr>
        <w:t> </w:t>
      </w:r>
      <w:r>
        <w:rPr>
          <w:color w:val="231F20"/>
          <w:w w:val="120"/>
        </w:rPr>
        <w:t>axes</w:t>
      </w:r>
      <w:r>
        <w:rPr>
          <w:color w:val="231F20"/>
          <w:spacing w:val="-2"/>
          <w:w w:val="120"/>
        </w:rPr>
        <w:t> </w:t>
      </w:r>
      <w:r>
        <w:rPr>
          <w:color w:val="231F20"/>
          <w:w w:val="120"/>
        </w:rPr>
        <w:t>(modèle</w:t>
      </w:r>
      <w:r>
        <w:rPr>
          <w:color w:val="231F20"/>
          <w:spacing w:val="-2"/>
          <w:w w:val="120"/>
        </w:rPr>
        <w:t> </w:t>
      </w:r>
      <w:r>
        <w:rPr>
          <w:color w:val="231F20"/>
          <w:w w:val="120"/>
        </w:rPr>
        <w:t>triaxial).</w:t>
      </w:r>
      <w:r>
        <w:rPr>
          <w:color w:val="231F20"/>
          <w:spacing w:val="-2"/>
          <w:w w:val="120"/>
        </w:rPr>
        <w:t> </w:t>
      </w:r>
      <w:r>
        <w:rPr>
          <w:color w:val="231F20"/>
          <w:w w:val="120"/>
        </w:rPr>
        <w:t>En</w:t>
      </w:r>
      <w:r>
        <w:rPr>
          <w:color w:val="231F20"/>
          <w:spacing w:val="-2"/>
          <w:w w:val="120"/>
        </w:rPr>
        <w:t> </w:t>
      </w:r>
      <w:r>
        <w:rPr>
          <w:color w:val="231F20"/>
          <w:w w:val="120"/>
        </w:rPr>
        <w:t>utilisant</w:t>
      </w:r>
      <w:r>
        <w:rPr>
          <w:color w:val="231F20"/>
          <w:spacing w:val="-2"/>
          <w:w w:val="120"/>
        </w:rPr>
        <w:t> </w:t>
      </w:r>
      <w:r>
        <w:rPr>
          <w:color w:val="231F20"/>
          <w:w w:val="120"/>
        </w:rPr>
        <w:t>ce</w:t>
      </w:r>
      <w:r>
        <w:rPr>
          <w:color w:val="231F20"/>
          <w:spacing w:val="-2"/>
          <w:w w:val="120"/>
        </w:rPr>
        <w:t> </w:t>
      </w:r>
      <w:r>
        <w:rPr>
          <w:color w:val="231F20"/>
          <w:w w:val="120"/>
        </w:rPr>
        <w:t>dernier,</w:t>
      </w:r>
      <w:r>
        <w:rPr>
          <w:color w:val="231F20"/>
          <w:spacing w:val="-2"/>
          <w:w w:val="120"/>
        </w:rPr>
        <w:t> </w:t>
      </w:r>
      <w:r>
        <w:rPr>
          <w:color w:val="231F20"/>
          <w:w w:val="120"/>
        </w:rPr>
        <w:t>les</w:t>
      </w:r>
      <w:r>
        <w:rPr>
          <w:color w:val="231F20"/>
          <w:spacing w:val="-2"/>
          <w:w w:val="120"/>
        </w:rPr>
        <w:t> </w:t>
      </w:r>
      <w:r>
        <w:rPr>
          <w:color w:val="231F20"/>
          <w:w w:val="120"/>
        </w:rPr>
        <w:t>gens peuvent</w:t>
      </w:r>
      <w:r>
        <w:rPr>
          <w:color w:val="231F20"/>
          <w:spacing w:val="-13"/>
          <w:w w:val="120"/>
        </w:rPr>
        <w:t> </w:t>
      </w:r>
      <w:r>
        <w:rPr>
          <w:color w:val="231F20"/>
          <w:w w:val="120"/>
        </w:rPr>
        <w:t>découvrir</w:t>
      </w:r>
      <w:r>
        <w:rPr>
          <w:color w:val="231F20"/>
          <w:spacing w:val="-13"/>
          <w:w w:val="120"/>
        </w:rPr>
        <w:t> </w:t>
      </w:r>
      <w:r>
        <w:rPr>
          <w:color w:val="231F20"/>
          <w:w w:val="120"/>
        </w:rPr>
        <w:t>quelles</w:t>
      </w:r>
      <w:r>
        <w:rPr>
          <w:color w:val="231F20"/>
          <w:spacing w:val="-13"/>
          <w:w w:val="120"/>
        </w:rPr>
        <w:t> </w:t>
      </w:r>
      <w:r>
        <w:rPr>
          <w:color w:val="231F20"/>
          <w:w w:val="120"/>
        </w:rPr>
        <w:t>sont</w:t>
      </w:r>
      <w:r>
        <w:rPr>
          <w:color w:val="231F20"/>
          <w:spacing w:val="-12"/>
          <w:w w:val="120"/>
        </w:rPr>
        <w:t> </w:t>
      </w:r>
      <w:r>
        <w:rPr>
          <w:color w:val="231F20"/>
          <w:w w:val="120"/>
        </w:rPr>
        <w:t>leurs</w:t>
      </w:r>
      <w:r>
        <w:rPr>
          <w:color w:val="231F20"/>
          <w:spacing w:val="-13"/>
          <w:w w:val="120"/>
        </w:rPr>
        <w:t> </w:t>
      </w:r>
      <w:r>
        <w:rPr>
          <w:color w:val="231F20"/>
          <w:w w:val="120"/>
        </w:rPr>
        <w:t>valeurs</w:t>
      </w:r>
      <w:r>
        <w:rPr>
          <w:color w:val="231F20"/>
          <w:spacing w:val="-13"/>
          <w:w w:val="120"/>
        </w:rPr>
        <w:t> </w:t>
      </w:r>
      <w:r>
        <w:rPr>
          <w:color w:val="231F20"/>
          <w:w w:val="120"/>
        </w:rPr>
        <w:t>fondamentales</w:t>
      </w:r>
      <w:r>
        <w:rPr>
          <w:color w:val="231F20"/>
          <w:spacing w:val="-13"/>
          <w:w w:val="120"/>
        </w:rPr>
        <w:t> </w:t>
      </w:r>
      <w:r>
        <w:rPr>
          <w:color w:val="231F20"/>
          <w:w w:val="120"/>
        </w:rPr>
        <w:t>et</w:t>
      </w:r>
      <w:r>
        <w:rPr>
          <w:color w:val="231F20"/>
          <w:spacing w:val="-12"/>
          <w:w w:val="120"/>
        </w:rPr>
        <w:t> </w:t>
      </w:r>
      <w:r>
        <w:rPr>
          <w:color w:val="231F20"/>
          <w:w w:val="120"/>
        </w:rPr>
        <w:t>comment </w:t>
      </w:r>
      <w:r>
        <w:rPr>
          <w:color w:val="231F20"/>
          <w:spacing w:val="-2"/>
          <w:w w:val="120"/>
        </w:rPr>
        <w:t>celles-ci</w:t>
      </w:r>
      <w:r>
        <w:rPr>
          <w:color w:val="231F20"/>
          <w:spacing w:val="-11"/>
          <w:w w:val="120"/>
        </w:rPr>
        <w:t> </w:t>
      </w:r>
      <w:r>
        <w:rPr>
          <w:color w:val="231F20"/>
          <w:spacing w:val="-2"/>
          <w:w w:val="120"/>
        </w:rPr>
        <w:t>sont</w:t>
      </w:r>
      <w:r>
        <w:rPr>
          <w:color w:val="231F20"/>
          <w:spacing w:val="-10"/>
          <w:w w:val="120"/>
        </w:rPr>
        <w:t> </w:t>
      </w:r>
      <w:r>
        <w:rPr>
          <w:color w:val="231F20"/>
          <w:spacing w:val="-2"/>
          <w:w w:val="120"/>
        </w:rPr>
        <w:t>structurées</w:t>
      </w:r>
      <w:r>
        <w:rPr>
          <w:color w:val="231F20"/>
          <w:spacing w:val="-11"/>
          <w:w w:val="120"/>
        </w:rPr>
        <w:t> </w:t>
      </w:r>
      <w:r>
        <w:rPr>
          <w:color w:val="231F20"/>
          <w:spacing w:val="-2"/>
          <w:w w:val="120"/>
        </w:rPr>
        <w:t>selon</w:t>
      </w:r>
      <w:r>
        <w:rPr>
          <w:color w:val="231F20"/>
          <w:spacing w:val="-10"/>
          <w:w w:val="120"/>
        </w:rPr>
        <w:t> </w:t>
      </w:r>
      <w:r>
        <w:rPr>
          <w:color w:val="231F20"/>
          <w:spacing w:val="-2"/>
          <w:w w:val="120"/>
        </w:rPr>
        <w:t>divers</w:t>
      </w:r>
      <w:r>
        <w:rPr>
          <w:color w:val="231F20"/>
          <w:spacing w:val="-11"/>
          <w:w w:val="120"/>
        </w:rPr>
        <w:t> </w:t>
      </w:r>
      <w:r>
        <w:rPr>
          <w:color w:val="231F20"/>
          <w:spacing w:val="-2"/>
          <w:w w:val="120"/>
        </w:rPr>
        <w:t>axes.</w:t>
      </w:r>
      <w:r>
        <w:rPr>
          <w:color w:val="231F20"/>
          <w:spacing w:val="-10"/>
          <w:w w:val="120"/>
        </w:rPr>
        <w:t> </w:t>
      </w:r>
      <w:r>
        <w:rPr>
          <w:color w:val="231F20"/>
          <w:spacing w:val="-2"/>
          <w:w w:val="120"/>
        </w:rPr>
        <w:t>Nos</w:t>
      </w:r>
      <w:r>
        <w:rPr>
          <w:color w:val="231F20"/>
          <w:spacing w:val="-11"/>
          <w:w w:val="120"/>
        </w:rPr>
        <w:t> </w:t>
      </w:r>
      <w:r>
        <w:rPr>
          <w:color w:val="231F20"/>
          <w:spacing w:val="-2"/>
          <w:w w:val="120"/>
        </w:rPr>
        <w:t>recherches</w:t>
      </w:r>
      <w:r>
        <w:rPr>
          <w:color w:val="231F20"/>
          <w:spacing w:val="-10"/>
          <w:w w:val="120"/>
        </w:rPr>
        <w:t> </w:t>
      </w:r>
      <w:r>
        <w:rPr>
          <w:color w:val="231F20"/>
          <w:spacing w:val="-2"/>
          <w:w w:val="120"/>
        </w:rPr>
        <w:t>montrent</w:t>
      </w:r>
      <w:r>
        <w:rPr>
          <w:color w:val="231F20"/>
          <w:spacing w:val="-11"/>
          <w:w w:val="120"/>
        </w:rPr>
        <w:t> </w:t>
      </w:r>
      <w:r>
        <w:rPr>
          <w:color w:val="231F20"/>
          <w:spacing w:val="-2"/>
          <w:w w:val="120"/>
        </w:rPr>
        <w:t>que </w:t>
      </w:r>
      <w:r>
        <w:rPr>
          <w:color w:val="231F20"/>
          <w:w w:val="115"/>
        </w:rPr>
        <w:t>si</w:t>
      </w:r>
      <w:r>
        <w:rPr>
          <w:color w:val="231F20"/>
          <w:spacing w:val="-5"/>
          <w:w w:val="115"/>
        </w:rPr>
        <w:t> </w:t>
      </w:r>
      <w:r>
        <w:rPr>
          <w:color w:val="231F20"/>
          <w:w w:val="115"/>
        </w:rPr>
        <w:t>vous</w:t>
      </w:r>
      <w:r>
        <w:rPr>
          <w:color w:val="231F20"/>
          <w:spacing w:val="-5"/>
          <w:w w:val="115"/>
        </w:rPr>
        <w:t> </w:t>
      </w:r>
      <w:r>
        <w:rPr>
          <w:color w:val="231F20"/>
          <w:w w:val="115"/>
        </w:rPr>
        <w:t>n’avez</w:t>
      </w:r>
      <w:r>
        <w:rPr>
          <w:color w:val="231F20"/>
          <w:spacing w:val="-5"/>
          <w:w w:val="115"/>
        </w:rPr>
        <w:t> </w:t>
      </w:r>
      <w:r>
        <w:rPr>
          <w:color w:val="231F20"/>
          <w:w w:val="115"/>
        </w:rPr>
        <w:t>pas</w:t>
      </w:r>
      <w:r>
        <w:rPr>
          <w:color w:val="231F20"/>
          <w:spacing w:val="-5"/>
          <w:w w:val="115"/>
        </w:rPr>
        <w:t> </w:t>
      </w:r>
      <w:r>
        <w:rPr>
          <w:color w:val="231F20"/>
          <w:w w:val="115"/>
        </w:rPr>
        <w:t>un</w:t>
      </w:r>
      <w:r>
        <w:rPr>
          <w:color w:val="231F20"/>
          <w:spacing w:val="-5"/>
          <w:w w:val="115"/>
        </w:rPr>
        <w:t> </w:t>
      </w:r>
      <w:r>
        <w:rPr>
          <w:color w:val="231F20"/>
          <w:w w:val="115"/>
        </w:rPr>
        <w:t>minimum</w:t>
      </w:r>
      <w:r>
        <w:rPr>
          <w:color w:val="231F20"/>
          <w:spacing w:val="-5"/>
          <w:w w:val="115"/>
        </w:rPr>
        <w:t> </w:t>
      </w:r>
      <w:r>
        <w:rPr>
          <w:color w:val="231F20"/>
          <w:w w:val="115"/>
        </w:rPr>
        <w:t>de</w:t>
      </w:r>
      <w:r>
        <w:rPr>
          <w:color w:val="231F20"/>
          <w:spacing w:val="-5"/>
          <w:w w:val="115"/>
        </w:rPr>
        <w:t> </w:t>
      </w:r>
      <w:r>
        <w:rPr>
          <w:color w:val="231F20"/>
          <w:w w:val="115"/>
        </w:rPr>
        <w:t>valeurs</w:t>
      </w:r>
      <w:r>
        <w:rPr>
          <w:color w:val="231F20"/>
          <w:spacing w:val="-5"/>
          <w:w w:val="115"/>
        </w:rPr>
        <w:t> </w:t>
      </w:r>
      <w:r>
        <w:rPr>
          <w:color w:val="231F20"/>
          <w:w w:val="115"/>
        </w:rPr>
        <w:t>dans</w:t>
      </w:r>
      <w:r>
        <w:rPr>
          <w:color w:val="231F20"/>
          <w:spacing w:val="-5"/>
          <w:w w:val="115"/>
        </w:rPr>
        <w:t> </w:t>
      </w:r>
      <w:r>
        <w:rPr>
          <w:color w:val="231F20"/>
          <w:w w:val="115"/>
        </w:rPr>
        <w:t>chacun</w:t>
      </w:r>
      <w:r>
        <w:rPr>
          <w:color w:val="231F20"/>
          <w:spacing w:val="-5"/>
          <w:w w:val="115"/>
        </w:rPr>
        <w:t> </w:t>
      </w:r>
      <w:r>
        <w:rPr>
          <w:color w:val="231F20"/>
          <w:w w:val="115"/>
        </w:rPr>
        <w:t>des</w:t>
      </w:r>
      <w:r>
        <w:rPr>
          <w:color w:val="231F20"/>
          <w:spacing w:val="-5"/>
          <w:w w:val="115"/>
        </w:rPr>
        <w:t> </w:t>
      </w:r>
      <w:r>
        <w:rPr>
          <w:color w:val="231F20"/>
          <w:w w:val="115"/>
        </w:rPr>
        <w:t>axes,</w:t>
      </w:r>
      <w:r>
        <w:rPr>
          <w:color w:val="231F20"/>
          <w:spacing w:val="-5"/>
          <w:w w:val="115"/>
        </w:rPr>
        <w:t> </w:t>
      </w:r>
      <w:r>
        <w:rPr>
          <w:color w:val="231F20"/>
          <w:w w:val="115"/>
        </w:rPr>
        <w:t>ce</w:t>
      </w:r>
      <w:r>
        <w:rPr>
          <w:color w:val="231F20"/>
          <w:spacing w:val="-5"/>
          <w:w w:val="115"/>
        </w:rPr>
        <w:t> </w:t>
      </w:r>
      <w:r>
        <w:rPr>
          <w:color w:val="231F20"/>
          <w:w w:val="115"/>
        </w:rPr>
        <w:t>désé- </w:t>
      </w:r>
      <w:r>
        <w:rPr>
          <w:color w:val="231F20"/>
          <w:spacing w:val="-2"/>
          <w:w w:val="120"/>
        </w:rPr>
        <w:t>quilibre</w:t>
      </w:r>
      <w:r>
        <w:rPr>
          <w:color w:val="231F20"/>
          <w:spacing w:val="-10"/>
          <w:w w:val="120"/>
        </w:rPr>
        <w:t> </w:t>
      </w:r>
      <w:r>
        <w:rPr>
          <w:color w:val="231F20"/>
          <w:spacing w:val="-2"/>
          <w:w w:val="120"/>
        </w:rPr>
        <w:t>génère</w:t>
      </w:r>
      <w:r>
        <w:rPr>
          <w:color w:val="231F20"/>
          <w:spacing w:val="-10"/>
          <w:w w:val="120"/>
        </w:rPr>
        <w:t> </w:t>
      </w:r>
      <w:r>
        <w:rPr>
          <w:color w:val="231F20"/>
          <w:spacing w:val="-2"/>
          <w:w w:val="120"/>
        </w:rPr>
        <w:t>une</w:t>
      </w:r>
      <w:r>
        <w:rPr>
          <w:color w:val="231F20"/>
          <w:spacing w:val="-10"/>
          <w:w w:val="120"/>
        </w:rPr>
        <w:t> </w:t>
      </w:r>
      <w:r>
        <w:rPr>
          <w:color w:val="231F20"/>
          <w:spacing w:val="-2"/>
          <w:w w:val="120"/>
        </w:rPr>
        <w:t>incongruence.</w:t>
      </w:r>
      <w:r>
        <w:rPr>
          <w:color w:val="231F20"/>
          <w:spacing w:val="-10"/>
          <w:w w:val="120"/>
        </w:rPr>
        <w:t> </w:t>
      </w:r>
      <w:r>
        <w:rPr>
          <w:color w:val="231F20"/>
          <w:spacing w:val="-2"/>
          <w:w w:val="120"/>
        </w:rPr>
        <w:t>De</w:t>
      </w:r>
      <w:r>
        <w:rPr>
          <w:color w:val="231F20"/>
          <w:spacing w:val="-10"/>
          <w:w w:val="120"/>
        </w:rPr>
        <w:t> </w:t>
      </w:r>
      <w:r>
        <w:rPr>
          <w:color w:val="231F20"/>
          <w:spacing w:val="-2"/>
          <w:w w:val="120"/>
        </w:rPr>
        <w:t>plus,</w:t>
      </w:r>
      <w:r>
        <w:rPr>
          <w:color w:val="231F20"/>
          <w:spacing w:val="-10"/>
          <w:w w:val="120"/>
        </w:rPr>
        <w:t> </w:t>
      </w:r>
      <w:r>
        <w:rPr>
          <w:color w:val="231F20"/>
          <w:spacing w:val="-2"/>
          <w:w w:val="120"/>
        </w:rPr>
        <w:t>si</w:t>
      </w:r>
      <w:r>
        <w:rPr>
          <w:color w:val="231F20"/>
          <w:spacing w:val="-10"/>
          <w:w w:val="120"/>
        </w:rPr>
        <w:t> </w:t>
      </w:r>
      <w:r>
        <w:rPr>
          <w:color w:val="231F20"/>
          <w:spacing w:val="-2"/>
          <w:w w:val="120"/>
        </w:rPr>
        <w:t>notre</w:t>
      </w:r>
      <w:r>
        <w:rPr>
          <w:color w:val="231F20"/>
          <w:spacing w:val="-10"/>
          <w:w w:val="120"/>
        </w:rPr>
        <w:t> </w:t>
      </w:r>
      <w:r>
        <w:rPr>
          <w:color w:val="231F20"/>
          <w:spacing w:val="-2"/>
          <w:w w:val="120"/>
        </w:rPr>
        <w:t>conduite</w:t>
      </w:r>
      <w:r>
        <w:rPr>
          <w:color w:val="231F20"/>
          <w:spacing w:val="-10"/>
          <w:w w:val="120"/>
        </w:rPr>
        <w:t> </w:t>
      </w:r>
      <w:r>
        <w:rPr>
          <w:color w:val="231F20"/>
          <w:spacing w:val="-2"/>
          <w:w w:val="120"/>
        </w:rPr>
        <w:t>quotidienne </w:t>
      </w:r>
      <w:r>
        <w:rPr>
          <w:color w:val="231F20"/>
          <w:spacing w:val="-4"/>
          <w:w w:val="120"/>
        </w:rPr>
        <w:t>n’est pas alignée sur nos valeurs fondamentales, cette incongruité conduit </w:t>
      </w:r>
      <w:r>
        <w:rPr>
          <w:color w:val="231F20"/>
          <w:w w:val="120"/>
        </w:rPr>
        <w:t>au</w:t>
      </w:r>
      <w:r>
        <w:rPr>
          <w:color w:val="231F20"/>
          <w:spacing w:val="-13"/>
          <w:w w:val="120"/>
        </w:rPr>
        <w:t> </w:t>
      </w:r>
      <w:r>
        <w:rPr>
          <w:color w:val="231F20"/>
          <w:w w:val="120"/>
        </w:rPr>
        <w:t>stress,</w:t>
      </w:r>
      <w:r>
        <w:rPr>
          <w:color w:val="231F20"/>
          <w:spacing w:val="-12"/>
          <w:w w:val="120"/>
        </w:rPr>
        <w:t> </w:t>
      </w:r>
      <w:r>
        <w:rPr>
          <w:color w:val="231F20"/>
          <w:w w:val="120"/>
        </w:rPr>
        <w:t>à</w:t>
      </w:r>
      <w:r>
        <w:rPr>
          <w:color w:val="231F20"/>
          <w:spacing w:val="-13"/>
          <w:w w:val="120"/>
        </w:rPr>
        <w:t> </w:t>
      </w:r>
      <w:r>
        <w:rPr>
          <w:color w:val="231F20"/>
          <w:w w:val="120"/>
        </w:rPr>
        <w:t>la</w:t>
      </w:r>
      <w:r>
        <w:rPr>
          <w:color w:val="231F20"/>
          <w:spacing w:val="-12"/>
          <w:w w:val="120"/>
        </w:rPr>
        <w:t> </w:t>
      </w:r>
      <w:r>
        <w:rPr>
          <w:color w:val="231F20"/>
          <w:w w:val="120"/>
        </w:rPr>
        <w:t>dépression,</w:t>
      </w:r>
      <w:r>
        <w:rPr>
          <w:color w:val="231F20"/>
          <w:spacing w:val="-13"/>
          <w:w w:val="120"/>
        </w:rPr>
        <w:t> </w:t>
      </w:r>
      <w:r>
        <w:rPr>
          <w:color w:val="231F20"/>
          <w:w w:val="120"/>
        </w:rPr>
        <w:t>à</w:t>
      </w:r>
      <w:r>
        <w:rPr>
          <w:color w:val="231F20"/>
          <w:spacing w:val="-12"/>
          <w:w w:val="120"/>
        </w:rPr>
        <w:t> </w:t>
      </w:r>
      <w:r>
        <w:rPr>
          <w:color w:val="231F20"/>
          <w:w w:val="120"/>
        </w:rPr>
        <w:t>l’anxiété</w:t>
      </w:r>
      <w:r>
        <w:rPr>
          <w:color w:val="231F20"/>
          <w:spacing w:val="-13"/>
          <w:w w:val="120"/>
        </w:rPr>
        <w:t> </w:t>
      </w:r>
      <w:r>
        <w:rPr>
          <w:color w:val="231F20"/>
          <w:w w:val="120"/>
        </w:rPr>
        <w:t>et</w:t>
      </w:r>
      <w:r>
        <w:rPr>
          <w:color w:val="231F20"/>
          <w:spacing w:val="-12"/>
          <w:w w:val="120"/>
        </w:rPr>
        <w:t> </w:t>
      </w:r>
      <w:r>
        <w:rPr>
          <w:color w:val="231F20"/>
          <w:w w:val="120"/>
        </w:rPr>
        <w:t>à</w:t>
      </w:r>
      <w:r>
        <w:rPr>
          <w:color w:val="231F20"/>
          <w:spacing w:val="-13"/>
          <w:w w:val="120"/>
        </w:rPr>
        <w:t> </w:t>
      </w:r>
      <w:r>
        <w:rPr>
          <w:color w:val="231F20"/>
          <w:w w:val="120"/>
        </w:rPr>
        <w:t>d’autres</w:t>
      </w:r>
      <w:r>
        <w:rPr>
          <w:color w:val="231F20"/>
          <w:spacing w:val="-12"/>
          <w:w w:val="120"/>
        </w:rPr>
        <w:t> </w:t>
      </w:r>
      <w:r>
        <w:rPr>
          <w:color w:val="231F20"/>
          <w:w w:val="120"/>
        </w:rPr>
        <w:t>symptômes</w:t>
      </w:r>
      <w:r>
        <w:rPr>
          <w:color w:val="231F20"/>
          <w:spacing w:val="-13"/>
          <w:w w:val="120"/>
        </w:rPr>
        <w:t> </w:t>
      </w:r>
      <w:r>
        <w:rPr>
          <w:color w:val="231F20"/>
          <w:w w:val="120"/>
        </w:rPr>
        <w:t>psycholo- </w:t>
      </w:r>
      <w:r>
        <w:rPr>
          <w:color w:val="231F20"/>
          <w:w w:val="115"/>
        </w:rPr>
        <w:t>giques (Dolan, 2020). De plus amples informations sur le modèle triaxial et sa pertinence pour la crise de COVID-19 peuvent être consultées dans un</w:t>
      </w:r>
      <w:r>
        <w:rPr>
          <w:color w:val="231F20"/>
          <w:spacing w:val="-10"/>
          <w:w w:val="115"/>
        </w:rPr>
        <w:t> </w:t>
      </w:r>
      <w:r>
        <w:rPr>
          <w:color w:val="231F20"/>
          <w:w w:val="115"/>
        </w:rPr>
        <w:t>récent</w:t>
      </w:r>
      <w:r>
        <w:rPr>
          <w:color w:val="231F20"/>
          <w:spacing w:val="-10"/>
          <w:w w:val="115"/>
        </w:rPr>
        <w:t> </w:t>
      </w:r>
      <w:r>
        <w:rPr>
          <w:color w:val="231F20"/>
          <w:w w:val="115"/>
        </w:rPr>
        <w:t>article</w:t>
      </w:r>
      <w:r>
        <w:rPr>
          <w:color w:val="231F20"/>
          <w:spacing w:val="-10"/>
          <w:w w:val="115"/>
        </w:rPr>
        <w:t> </w:t>
      </w:r>
      <w:r>
        <w:rPr>
          <w:color w:val="231F20"/>
          <w:w w:val="115"/>
        </w:rPr>
        <w:t>que</w:t>
      </w:r>
      <w:r>
        <w:rPr>
          <w:color w:val="231F20"/>
          <w:spacing w:val="-10"/>
          <w:w w:val="115"/>
        </w:rPr>
        <w:t> </w:t>
      </w:r>
      <w:r>
        <w:rPr>
          <w:color w:val="231F20"/>
          <w:w w:val="115"/>
        </w:rPr>
        <w:t>nous</w:t>
      </w:r>
      <w:r>
        <w:rPr>
          <w:color w:val="231F20"/>
          <w:spacing w:val="-10"/>
          <w:w w:val="115"/>
        </w:rPr>
        <w:t> </w:t>
      </w:r>
      <w:r>
        <w:rPr>
          <w:color w:val="231F20"/>
          <w:w w:val="115"/>
        </w:rPr>
        <w:t>avons</w:t>
      </w:r>
      <w:r>
        <w:rPr>
          <w:color w:val="231F20"/>
          <w:spacing w:val="-10"/>
          <w:w w:val="115"/>
        </w:rPr>
        <w:t> </w:t>
      </w:r>
      <w:r>
        <w:rPr>
          <w:color w:val="231F20"/>
          <w:w w:val="115"/>
        </w:rPr>
        <w:t>publié</w:t>
      </w:r>
      <w:r>
        <w:rPr>
          <w:color w:val="231F20"/>
          <w:spacing w:val="-10"/>
          <w:w w:val="115"/>
        </w:rPr>
        <w:t> </w:t>
      </w:r>
      <w:r>
        <w:rPr>
          <w:color w:val="231F20"/>
          <w:w w:val="115"/>
        </w:rPr>
        <w:t>(Garti</w:t>
      </w:r>
      <w:r>
        <w:rPr>
          <w:color w:val="231F20"/>
          <w:spacing w:val="-10"/>
          <w:w w:val="115"/>
        </w:rPr>
        <w:t> </w:t>
      </w:r>
      <w:r>
        <w:rPr>
          <w:color w:val="231F20"/>
          <w:w w:val="115"/>
        </w:rPr>
        <w:t>et</w:t>
      </w:r>
      <w:r>
        <w:rPr>
          <w:color w:val="231F20"/>
          <w:spacing w:val="-10"/>
          <w:w w:val="115"/>
        </w:rPr>
        <w:t> </w:t>
      </w:r>
      <w:r>
        <w:rPr>
          <w:color w:val="231F20"/>
          <w:w w:val="115"/>
        </w:rPr>
        <w:t>Dolan,</w:t>
      </w:r>
      <w:r>
        <w:rPr>
          <w:color w:val="231F20"/>
          <w:spacing w:val="-10"/>
          <w:w w:val="115"/>
        </w:rPr>
        <w:t> </w:t>
      </w:r>
      <w:r>
        <w:rPr>
          <w:color w:val="231F20"/>
          <w:w w:val="115"/>
        </w:rPr>
        <w:t>2019;</w:t>
      </w:r>
      <w:r>
        <w:rPr>
          <w:color w:val="231F20"/>
          <w:spacing w:val="-10"/>
          <w:w w:val="115"/>
        </w:rPr>
        <w:t> </w:t>
      </w:r>
      <w:r>
        <w:rPr>
          <w:color w:val="231F20"/>
          <w:w w:val="115"/>
        </w:rPr>
        <w:t>Dolan</w:t>
      </w:r>
      <w:r>
        <w:rPr>
          <w:color w:val="231F20"/>
          <w:spacing w:val="-13"/>
          <w:w w:val="115"/>
        </w:rPr>
        <w:t> </w:t>
      </w:r>
      <w:r>
        <w:rPr>
          <w:i/>
          <w:color w:val="231F20"/>
          <w:w w:val="115"/>
        </w:rPr>
        <w:t>et</w:t>
      </w:r>
      <w:r>
        <w:rPr>
          <w:i/>
          <w:color w:val="231F20"/>
          <w:spacing w:val="-9"/>
          <w:w w:val="115"/>
        </w:rPr>
        <w:t> </w:t>
      </w:r>
      <w:r>
        <w:rPr>
          <w:i/>
          <w:color w:val="231F20"/>
          <w:w w:val="115"/>
        </w:rPr>
        <w:t>al</w:t>
      </w:r>
      <w:r>
        <w:rPr>
          <w:color w:val="231F20"/>
          <w:w w:val="115"/>
        </w:rPr>
        <w:t>., </w:t>
      </w:r>
      <w:r>
        <w:rPr>
          <w:color w:val="231F20"/>
          <w:w w:val="120"/>
        </w:rPr>
        <w:t>2020). Ainsi, une classification combinée de l’estime de soi et de la </w:t>
      </w:r>
      <w:r>
        <w:rPr>
          <w:color w:val="231F20"/>
          <w:spacing w:val="-2"/>
          <w:w w:val="120"/>
        </w:rPr>
        <w:t>congruence</w:t>
      </w:r>
      <w:r>
        <w:rPr>
          <w:color w:val="231F20"/>
          <w:spacing w:val="-11"/>
          <w:w w:val="120"/>
        </w:rPr>
        <w:t> </w:t>
      </w:r>
      <w:r>
        <w:rPr>
          <w:color w:val="231F20"/>
          <w:spacing w:val="-2"/>
          <w:w w:val="120"/>
        </w:rPr>
        <w:t>des</w:t>
      </w:r>
      <w:r>
        <w:rPr>
          <w:color w:val="231F20"/>
          <w:spacing w:val="-11"/>
          <w:w w:val="120"/>
        </w:rPr>
        <w:t> </w:t>
      </w:r>
      <w:r>
        <w:rPr>
          <w:color w:val="231F20"/>
          <w:spacing w:val="-2"/>
          <w:w w:val="120"/>
        </w:rPr>
        <w:t>valeurs</w:t>
      </w:r>
      <w:r>
        <w:rPr>
          <w:color w:val="231F20"/>
          <w:spacing w:val="-10"/>
          <w:w w:val="120"/>
        </w:rPr>
        <w:t> </w:t>
      </w:r>
      <w:r>
        <w:rPr>
          <w:color w:val="231F20"/>
          <w:spacing w:val="-2"/>
          <w:w w:val="120"/>
        </w:rPr>
        <w:t>peut</w:t>
      </w:r>
      <w:r>
        <w:rPr>
          <w:color w:val="231F20"/>
          <w:spacing w:val="-11"/>
          <w:w w:val="120"/>
        </w:rPr>
        <w:t> </w:t>
      </w:r>
      <w:r>
        <w:rPr>
          <w:color w:val="231F20"/>
          <w:spacing w:val="-2"/>
          <w:w w:val="120"/>
        </w:rPr>
        <w:t>aider</w:t>
      </w:r>
      <w:r>
        <w:rPr>
          <w:color w:val="231F20"/>
          <w:spacing w:val="-11"/>
          <w:w w:val="120"/>
        </w:rPr>
        <w:t> </w:t>
      </w:r>
      <w:r>
        <w:rPr>
          <w:color w:val="231F20"/>
          <w:spacing w:val="-2"/>
          <w:w w:val="120"/>
        </w:rPr>
        <w:t>à</w:t>
      </w:r>
      <w:r>
        <w:rPr>
          <w:color w:val="231F20"/>
          <w:spacing w:val="-10"/>
          <w:w w:val="120"/>
        </w:rPr>
        <w:t> </w:t>
      </w:r>
      <w:r>
        <w:rPr>
          <w:color w:val="231F20"/>
          <w:spacing w:val="-2"/>
          <w:w w:val="120"/>
        </w:rPr>
        <w:t>cartographier</w:t>
      </w:r>
      <w:r>
        <w:rPr>
          <w:color w:val="231F20"/>
          <w:spacing w:val="-11"/>
          <w:w w:val="120"/>
        </w:rPr>
        <w:t> </w:t>
      </w:r>
      <w:r>
        <w:rPr>
          <w:color w:val="231F20"/>
          <w:spacing w:val="-2"/>
          <w:w w:val="120"/>
        </w:rPr>
        <w:t>la</w:t>
      </w:r>
      <w:r>
        <w:rPr>
          <w:color w:val="231F20"/>
          <w:spacing w:val="-11"/>
          <w:w w:val="120"/>
        </w:rPr>
        <w:t> </w:t>
      </w:r>
      <w:r>
        <w:rPr>
          <w:color w:val="231F20"/>
          <w:spacing w:val="-2"/>
          <w:w w:val="120"/>
        </w:rPr>
        <w:t>probabilité</w:t>
      </w:r>
      <w:r>
        <w:rPr>
          <w:color w:val="231F20"/>
          <w:spacing w:val="-10"/>
          <w:w w:val="120"/>
        </w:rPr>
        <w:t> </w:t>
      </w:r>
      <w:r>
        <w:rPr>
          <w:color w:val="231F20"/>
          <w:spacing w:val="-2"/>
          <w:w w:val="120"/>
        </w:rPr>
        <w:t>de</w:t>
      </w:r>
      <w:r>
        <w:rPr>
          <w:color w:val="231F20"/>
          <w:spacing w:val="-11"/>
          <w:w w:val="120"/>
        </w:rPr>
        <w:t> </w:t>
      </w:r>
      <w:r>
        <w:rPr>
          <w:color w:val="231F20"/>
          <w:spacing w:val="-2"/>
          <w:w w:val="120"/>
        </w:rPr>
        <w:t>main- tenir</w:t>
      </w:r>
      <w:r>
        <w:rPr>
          <w:color w:val="231F20"/>
          <w:spacing w:val="-10"/>
          <w:w w:val="120"/>
        </w:rPr>
        <w:t> </w:t>
      </w:r>
      <w:r>
        <w:rPr>
          <w:color w:val="231F20"/>
          <w:spacing w:val="-2"/>
          <w:w w:val="120"/>
        </w:rPr>
        <w:t>une</w:t>
      </w:r>
      <w:r>
        <w:rPr>
          <w:color w:val="231F20"/>
          <w:spacing w:val="-10"/>
          <w:w w:val="120"/>
        </w:rPr>
        <w:t> </w:t>
      </w:r>
      <w:r>
        <w:rPr>
          <w:color w:val="231F20"/>
          <w:spacing w:val="-2"/>
          <w:w w:val="120"/>
        </w:rPr>
        <w:t>bonne</w:t>
      </w:r>
      <w:r>
        <w:rPr>
          <w:color w:val="231F20"/>
          <w:spacing w:val="-10"/>
          <w:w w:val="120"/>
        </w:rPr>
        <w:t> </w:t>
      </w:r>
      <w:r>
        <w:rPr>
          <w:color w:val="231F20"/>
          <w:spacing w:val="-2"/>
          <w:w w:val="120"/>
        </w:rPr>
        <w:t>santé</w:t>
      </w:r>
      <w:r>
        <w:rPr>
          <w:color w:val="231F20"/>
          <w:spacing w:val="-10"/>
          <w:w w:val="120"/>
        </w:rPr>
        <w:t> </w:t>
      </w:r>
      <w:r>
        <w:rPr>
          <w:color w:val="231F20"/>
          <w:spacing w:val="-2"/>
          <w:w w:val="120"/>
        </w:rPr>
        <w:t>psychologique</w:t>
      </w:r>
      <w:r>
        <w:rPr>
          <w:color w:val="231F20"/>
          <w:spacing w:val="-10"/>
          <w:w w:val="120"/>
        </w:rPr>
        <w:t> </w:t>
      </w:r>
      <w:r>
        <w:rPr>
          <w:color w:val="231F20"/>
          <w:spacing w:val="-2"/>
          <w:w w:val="120"/>
        </w:rPr>
        <w:t>et</w:t>
      </w:r>
      <w:r>
        <w:rPr>
          <w:color w:val="231F20"/>
          <w:spacing w:val="-10"/>
          <w:w w:val="120"/>
        </w:rPr>
        <w:t> </w:t>
      </w:r>
      <w:r>
        <w:rPr>
          <w:color w:val="231F20"/>
          <w:spacing w:val="-2"/>
          <w:w w:val="120"/>
        </w:rPr>
        <w:t>d’avoir</w:t>
      </w:r>
      <w:r>
        <w:rPr>
          <w:color w:val="231F20"/>
          <w:spacing w:val="-10"/>
          <w:w w:val="120"/>
        </w:rPr>
        <w:t> </w:t>
      </w:r>
      <w:r>
        <w:rPr>
          <w:color w:val="231F20"/>
          <w:spacing w:val="-2"/>
          <w:w w:val="120"/>
        </w:rPr>
        <w:t>un</w:t>
      </w:r>
      <w:r>
        <w:rPr>
          <w:color w:val="231F20"/>
          <w:spacing w:val="-10"/>
          <w:w w:val="120"/>
        </w:rPr>
        <w:t> </w:t>
      </w:r>
      <w:r>
        <w:rPr>
          <w:color w:val="231F20"/>
          <w:spacing w:val="-2"/>
          <w:w w:val="120"/>
        </w:rPr>
        <w:t>sentiment</w:t>
      </w:r>
      <w:r>
        <w:rPr>
          <w:color w:val="231F20"/>
          <w:spacing w:val="-10"/>
          <w:w w:val="120"/>
        </w:rPr>
        <w:t> </w:t>
      </w:r>
      <w:r>
        <w:rPr>
          <w:color w:val="231F20"/>
          <w:spacing w:val="-2"/>
          <w:w w:val="120"/>
        </w:rPr>
        <w:t>de</w:t>
      </w:r>
      <w:r>
        <w:rPr>
          <w:color w:val="231F20"/>
          <w:spacing w:val="-10"/>
          <w:w w:val="120"/>
        </w:rPr>
        <w:t> </w:t>
      </w:r>
      <w:r>
        <w:rPr>
          <w:color w:val="231F20"/>
          <w:spacing w:val="-2"/>
          <w:w w:val="120"/>
        </w:rPr>
        <w:t>bien-être </w:t>
      </w:r>
      <w:r>
        <w:rPr>
          <w:color w:val="231F20"/>
          <w:w w:val="120"/>
        </w:rPr>
        <w:t>psychologique.</w:t>
      </w:r>
      <w:r>
        <w:rPr>
          <w:color w:val="231F20"/>
          <w:spacing w:val="-6"/>
          <w:w w:val="120"/>
        </w:rPr>
        <w:t> </w:t>
      </w:r>
      <w:r>
        <w:rPr>
          <w:color w:val="231F20"/>
          <w:w w:val="120"/>
        </w:rPr>
        <w:t>La</w:t>
      </w:r>
      <w:r>
        <w:rPr>
          <w:color w:val="231F20"/>
          <w:spacing w:val="-6"/>
          <w:w w:val="120"/>
        </w:rPr>
        <w:t> </w:t>
      </w:r>
      <w:r>
        <w:rPr>
          <w:color w:val="231F20"/>
          <w:w w:val="120"/>
        </w:rPr>
        <w:t>figure</w:t>
      </w:r>
      <w:r>
        <w:rPr>
          <w:color w:val="231F20"/>
          <w:spacing w:val="-6"/>
          <w:w w:val="120"/>
        </w:rPr>
        <w:t> </w:t>
      </w:r>
      <w:r>
        <w:rPr>
          <w:color w:val="231F20"/>
          <w:w w:val="120"/>
        </w:rPr>
        <w:t>A.1</w:t>
      </w:r>
      <w:r>
        <w:rPr>
          <w:color w:val="231F20"/>
          <w:spacing w:val="-6"/>
          <w:w w:val="120"/>
        </w:rPr>
        <w:t> </w:t>
      </w:r>
      <w:r>
        <w:rPr>
          <w:color w:val="231F20"/>
          <w:w w:val="120"/>
        </w:rPr>
        <w:t>illustre</w:t>
      </w:r>
      <w:r>
        <w:rPr>
          <w:color w:val="231F20"/>
          <w:spacing w:val="-6"/>
          <w:w w:val="120"/>
        </w:rPr>
        <w:t> </w:t>
      </w:r>
      <w:r>
        <w:rPr>
          <w:color w:val="231F20"/>
          <w:w w:val="120"/>
        </w:rPr>
        <w:t>cette</w:t>
      </w:r>
      <w:r>
        <w:rPr>
          <w:color w:val="231F20"/>
          <w:spacing w:val="-6"/>
          <w:w w:val="120"/>
        </w:rPr>
        <w:t> </w:t>
      </w:r>
      <w:r>
        <w:rPr>
          <w:color w:val="231F20"/>
          <w:w w:val="120"/>
        </w:rPr>
        <w:t>classification.</w:t>
      </w:r>
    </w:p>
    <w:p>
      <w:pPr>
        <w:pStyle w:val="BodyText"/>
        <w:spacing w:line="307" w:lineRule="auto" w:before="76"/>
        <w:ind w:left="830" w:right="492" w:firstLine="250"/>
        <w:jc w:val="both"/>
      </w:pPr>
      <w:r>
        <w:rPr>
          <w:color w:val="231F20"/>
          <w:w w:val="120"/>
        </w:rPr>
        <w:t>La façon usuelle d’évaluer l’estime de soi est de combiner un outil papier-crayon valide à d’autres méthodes d’évaluation qui peuvent inclure</w:t>
      </w:r>
      <w:r>
        <w:rPr>
          <w:color w:val="231F20"/>
          <w:spacing w:val="-4"/>
          <w:w w:val="120"/>
        </w:rPr>
        <w:t> </w:t>
      </w:r>
      <w:r>
        <w:rPr>
          <w:color w:val="231F20"/>
          <w:w w:val="120"/>
        </w:rPr>
        <w:t>des</w:t>
      </w:r>
      <w:r>
        <w:rPr>
          <w:color w:val="231F20"/>
          <w:spacing w:val="-4"/>
          <w:w w:val="120"/>
        </w:rPr>
        <w:t> </w:t>
      </w:r>
      <w:r>
        <w:rPr>
          <w:color w:val="231F20"/>
          <w:w w:val="120"/>
        </w:rPr>
        <w:t>tests</w:t>
      </w:r>
      <w:r>
        <w:rPr>
          <w:color w:val="231F20"/>
          <w:spacing w:val="-4"/>
          <w:w w:val="120"/>
        </w:rPr>
        <w:t> </w:t>
      </w:r>
      <w:r>
        <w:rPr>
          <w:color w:val="231F20"/>
          <w:w w:val="120"/>
        </w:rPr>
        <w:t>projectifs</w:t>
      </w:r>
      <w:r>
        <w:rPr>
          <w:color w:val="231F20"/>
          <w:spacing w:val="-4"/>
          <w:w w:val="120"/>
        </w:rPr>
        <w:t> </w:t>
      </w:r>
      <w:r>
        <w:rPr>
          <w:color w:val="231F20"/>
          <w:w w:val="120"/>
        </w:rPr>
        <w:t>et</w:t>
      </w:r>
      <w:r>
        <w:rPr>
          <w:color w:val="231F20"/>
          <w:spacing w:val="-4"/>
          <w:w w:val="120"/>
        </w:rPr>
        <w:t> </w:t>
      </w:r>
      <w:r>
        <w:rPr>
          <w:color w:val="231F20"/>
          <w:w w:val="120"/>
        </w:rPr>
        <w:t>des</w:t>
      </w:r>
      <w:r>
        <w:rPr>
          <w:color w:val="231F20"/>
          <w:spacing w:val="-4"/>
          <w:w w:val="120"/>
        </w:rPr>
        <w:t> </w:t>
      </w:r>
      <w:r>
        <w:rPr>
          <w:color w:val="231F20"/>
          <w:w w:val="120"/>
        </w:rPr>
        <w:t>observations.</w:t>
      </w:r>
      <w:r>
        <w:rPr>
          <w:color w:val="231F20"/>
          <w:spacing w:val="-4"/>
          <w:w w:val="120"/>
        </w:rPr>
        <w:t> </w:t>
      </w:r>
      <w:r>
        <w:rPr>
          <w:color w:val="231F20"/>
          <w:w w:val="120"/>
        </w:rPr>
        <w:t>Il</w:t>
      </w:r>
      <w:r>
        <w:rPr>
          <w:color w:val="231F20"/>
          <w:spacing w:val="-4"/>
          <w:w w:val="120"/>
        </w:rPr>
        <w:t> </w:t>
      </w:r>
      <w:r>
        <w:rPr>
          <w:color w:val="231F20"/>
          <w:w w:val="120"/>
        </w:rPr>
        <w:t>existe</w:t>
      </w:r>
      <w:r>
        <w:rPr>
          <w:color w:val="231F20"/>
          <w:spacing w:val="-4"/>
          <w:w w:val="120"/>
        </w:rPr>
        <w:t> </w:t>
      </w:r>
      <w:r>
        <w:rPr>
          <w:color w:val="231F20"/>
          <w:w w:val="120"/>
        </w:rPr>
        <w:t>plusieurs</w:t>
      </w:r>
      <w:r>
        <w:rPr>
          <w:color w:val="231F20"/>
          <w:spacing w:val="-4"/>
          <w:w w:val="120"/>
        </w:rPr>
        <w:t> </w:t>
      </w:r>
      <w:r>
        <w:rPr>
          <w:color w:val="231F20"/>
          <w:w w:val="120"/>
        </w:rPr>
        <w:t>types </w:t>
      </w:r>
      <w:r>
        <w:rPr>
          <w:color w:val="231F20"/>
          <w:spacing w:val="-2"/>
          <w:w w:val="120"/>
        </w:rPr>
        <w:t>d’évaluations validées avec diverses populations particulières, certaines </w:t>
      </w:r>
      <w:r>
        <w:rPr>
          <w:color w:val="231F20"/>
          <w:w w:val="120"/>
        </w:rPr>
        <w:t>avec</w:t>
      </w:r>
      <w:r>
        <w:rPr>
          <w:color w:val="231F20"/>
          <w:spacing w:val="-13"/>
          <w:w w:val="120"/>
        </w:rPr>
        <w:t> </w:t>
      </w:r>
      <w:r>
        <w:rPr>
          <w:color w:val="231F20"/>
          <w:w w:val="120"/>
        </w:rPr>
        <w:t>des</w:t>
      </w:r>
      <w:r>
        <w:rPr>
          <w:color w:val="231F20"/>
          <w:spacing w:val="-13"/>
          <w:w w:val="120"/>
        </w:rPr>
        <w:t> </w:t>
      </w:r>
      <w:r>
        <w:rPr>
          <w:color w:val="231F20"/>
          <w:w w:val="120"/>
        </w:rPr>
        <w:t>enfants</w:t>
      </w:r>
      <w:r>
        <w:rPr>
          <w:color w:val="231F20"/>
          <w:spacing w:val="-13"/>
          <w:w w:val="120"/>
        </w:rPr>
        <w:t> </w:t>
      </w:r>
      <w:r>
        <w:rPr>
          <w:color w:val="231F20"/>
          <w:w w:val="120"/>
        </w:rPr>
        <w:t>ou</w:t>
      </w:r>
      <w:r>
        <w:rPr>
          <w:color w:val="231F20"/>
          <w:spacing w:val="-12"/>
          <w:w w:val="120"/>
        </w:rPr>
        <w:t> </w:t>
      </w:r>
      <w:r>
        <w:rPr>
          <w:color w:val="231F20"/>
          <w:w w:val="120"/>
        </w:rPr>
        <w:t>des</w:t>
      </w:r>
      <w:r>
        <w:rPr>
          <w:color w:val="231F20"/>
          <w:spacing w:val="-13"/>
          <w:w w:val="120"/>
        </w:rPr>
        <w:t> </w:t>
      </w:r>
      <w:r>
        <w:rPr>
          <w:color w:val="231F20"/>
          <w:w w:val="120"/>
        </w:rPr>
        <w:t>adolescents,</w:t>
      </w:r>
      <w:r>
        <w:rPr>
          <w:color w:val="231F20"/>
          <w:spacing w:val="-13"/>
          <w:w w:val="120"/>
        </w:rPr>
        <w:t> </w:t>
      </w:r>
      <w:r>
        <w:rPr>
          <w:color w:val="231F20"/>
          <w:w w:val="120"/>
        </w:rPr>
        <w:t>mais</w:t>
      </w:r>
      <w:r>
        <w:rPr>
          <w:color w:val="231F20"/>
          <w:spacing w:val="-13"/>
          <w:w w:val="120"/>
        </w:rPr>
        <w:t> </w:t>
      </w:r>
      <w:r>
        <w:rPr>
          <w:color w:val="231F20"/>
          <w:w w:val="120"/>
        </w:rPr>
        <w:t>d’autres</w:t>
      </w:r>
      <w:r>
        <w:rPr>
          <w:color w:val="231F20"/>
          <w:spacing w:val="-12"/>
          <w:w w:val="120"/>
        </w:rPr>
        <w:t> </w:t>
      </w:r>
      <w:r>
        <w:rPr>
          <w:color w:val="231F20"/>
          <w:w w:val="120"/>
        </w:rPr>
        <w:t>ciblant</w:t>
      </w:r>
      <w:r>
        <w:rPr>
          <w:color w:val="231F20"/>
          <w:spacing w:val="-13"/>
          <w:w w:val="120"/>
        </w:rPr>
        <w:t> </w:t>
      </w:r>
      <w:r>
        <w:rPr>
          <w:color w:val="231F20"/>
          <w:w w:val="120"/>
        </w:rPr>
        <w:t>les</w:t>
      </w:r>
      <w:r>
        <w:rPr>
          <w:color w:val="231F20"/>
          <w:spacing w:val="-13"/>
          <w:w w:val="120"/>
        </w:rPr>
        <w:t> </w:t>
      </w:r>
      <w:r>
        <w:rPr>
          <w:color w:val="231F20"/>
          <w:w w:val="120"/>
        </w:rPr>
        <w:t>adultes</w:t>
      </w:r>
      <w:r>
        <w:rPr>
          <w:color w:val="231F20"/>
          <w:spacing w:val="-13"/>
          <w:w w:val="120"/>
        </w:rPr>
        <w:t> </w:t>
      </w:r>
      <w:r>
        <w:rPr>
          <w:color w:val="231F20"/>
          <w:w w:val="120"/>
        </w:rPr>
        <w:t>en </w:t>
      </w:r>
      <w:r>
        <w:rPr>
          <w:color w:val="231F20"/>
          <w:spacing w:val="-2"/>
          <w:w w:val="120"/>
        </w:rPr>
        <w:t>milieu</w:t>
      </w:r>
      <w:r>
        <w:rPr>
          <w:color w:val="231F20"/>
          <w:spacing w:val="-4"/>
          <w:w w:val="120"/>
        </w:rPr>
        <w:t> </w:t>
      </w:r>
      <w:r>
        <w:rPr>
          <w:color w:val="231F20"/>
          <w:spacing w:val="-2"/>
          <w:w w:val="120"/>
        </w:rPr>
        <w:t>de</w:t>
      </w:r>
      <w:r>
        <w:rPr>
          <w:color w:val="231F20"/>
          <w:spacing w:val="-4"/>
          <w:w w:val="120"/>
        </w:rPr>
        <w:t> </w:t>
      </w:r>
      <w:r>
        <w:rPr>
          <w:color w:val="231F20"/>
          <w:spacing w:val="-2"/>
          <w:w w:val="120"/>
        </w:rPr>
        <w:t>travail.</w:t>
      </w:r>
      <w:r>
        <w:rPr>
          <w:color w:val="231F20"/>
          <w:spacing w:val="-4"/>
          <w:w w:val="120"/>
        </w:rPr>
        <w:t> </w:t>
      </w:r>
      <w:r>
        <w:rPr>
          <w:color w:val="231F20"/>
          <w:spacing w:val="-2"/>
          <w:w w:val="120"/>
        </w:rPr>
        <w:t>Nous</w:t>
      </w:r>
      <w:r>
        <w:rPr>
          <w:color w:val="231F20"/>
          <w:spacing w:val="-4"/>
          <w:w w:val="120"/>
        </w:rPr>
        <w:t> </w:t>
      </w:r>
      <w:r>
        <w:rPr>
          <w:color w:val="231F20"/>
          <w:spacing w:val="-2"/>
          <w:w w:val="120"/>
        </w:rPr>
        <w:t>fournissons,</w:t>
      </w:r>
      <w:r>
        <w:rPr>
          <w:color w:val="231F20"/>
          <w:spacing w:val="-4"/>
          <w:w w:val="120"/>
        </w:rPr>
        <w:t> </w:t>
      </w:r>
      <w:r>
        <w:rPr>
          <w:color w:val="231F20"/>
          <w:spacing w:val="-2"/>
          <w:w w:val="120"/>
        </w:rPr>
        <w:t>plus</w:t>
      </w:r>
      <w:r>
        <w:rPr>
          <w:color w:val="231F20"/>
          <w:spacing w:val="-4"/>
          <w:w w:val="120"/>
        </w:rPr>
        <w:t> </w:t>
      </w:r>
      <w:r>
        <w:rPr>
          <w:color w:val="231F20"/>
          <w:spacing w:val="-2"/>
          <w:w w:val="120"/>
        </w:rPr>
        <w:t>loin,</w:t>
      </w:r>
      <w:r>
        <w:rPr>
          <w:color w:val="231F20"/>
          <w:spacing w:val="-4"/>
          <w:w w:val="120"/>
        </w:rPr>
        <w:t> </w:t>
      </w:r>
      <w:r>
        <w:rPr>
          <w:color w:val="231F20"/>
          <w:spacing w:val="-2"/>
          <w:w w:val="120"/>
        </w:rPr>
        <w:t>une</w:t>
      </w:r>
      <w:r>
        <w:rPr>
          <w:color w:val="231F20"/>
          <w:spacing w:val="-4"/>
          <w:w w:val="120"/>
        </w:rPr>
        <w:t> </w:t>
      </w:r>
      <w:r>
        <w:rPr>
          <w:color w:val="231F20"/>
          <w:spacing w:val="-2"/>
          <w:w w:val="120"/>
        </w:rPr>
        <w:t>autoévaluation</w:t>
      </w:r>
      <w:r>
        <w:rPr>
          <w:color w:val="231F20"/>
          <w:spacing w:val="-4"/>
          <w:w w:val="120"/>
        </w:rPr>
        <w:t> </w:t>
      </w:r>
      <w:r>
        <w:rPr>
          <w:color w:val="231F20"/>
          <w:spacing w:val="-2"/>
          <w:w w:val="120"/>
        </w:rPr>
        <w:t>rapide </w:t>
      </w:r>
      <w:r>
        <w:rPr>
          <w:color w:val="231F20"/>
          <w:w w:val="120"/>
        </w:rPr>
        <w:t>de l’estime de soi qui peut être simplement remplie afin d’obtenir une </w:t>
      </w:r>
      <w:r>
        <w:rPr>
          <w:color w:val="231F20"/>
          <w:w w:val="115"/>
        </w:rPr>
        <w:t>estimation</w:t>
      </w:r>
      <w:r>
        <w:rPr>
          <w:color w:val="231F20"/>
          <w:spacing w:val="-1"/>
          <w:w w:val="115"/>
        </w:rPr>
        <w:t> </w:t>
      </w:r>
      <w:r>
        <w:rPr>
          <w:color w:val="231F20"/>
          <w:w w:val="115"/>
        </w:rPr>
        <w:t>de</w:t>
      </w:r>
      <w:r>
        <w:rPr>
          <w:color w:val="231F20"/>
          <w:spacing w:val="-1"/>
          <w:w w:val="115"/>
        </w:rPr>
        <w:t> </w:t>
      </w:r>
      <w:r>
        <w:rPr>
          <w:color w:val="231F20"/>
          <w:w w:val="115"/>
        </w:rPr>
        <w:t>son</w:t>
      </w:r>
      <w:r>
        <w:rPr>
          <w:color w:val="231F20"/>
          <w:spacing w:val="-1"/>
          <w:w w:val="115"/>
        </w:rPr>
        <w:t> </w:t>
      </w:r>
      <w:r>
        <w:rPr>
          <w:color w:val="231F20"/>
          <w:w w:val="115"/>
        </w:rPr>
        <w:t>niveau</w:t>
      </w:r>
      <w:r>
        <w:rPr>
          <w:color w:val="231F20"/>
          <w:spacing w:val="-1"/>
          <w:w w:val="115"/>
        </w:rPr>
        <w:t> </w:t>
      </w:r>
      <w:r>
        <w:rPr>
          <w:color w:val="231F20"/>
          <w:w w:val="115"/>
        </w:rPr>
        <w:t>d’estime</w:t>
      </w:r>
      <w:r>
        <w:rPr>
          <w:color w:val="231F20"/>
          <w:spacing w:val="-1"/>
          <w:w w:val="115"/>
        </w:rPr>
        <w:t> </w:t>
      </w:r>
      <w:r>
        <w:rPr>
          <w:color w:val="231F20"/>
          <w:w w:val="115"/>
        </w:rPr>
        <w:t>de</w:t>
      </w:r>
      <w:r>
        <w:rPr>
          <w:color w:val="231F20"/>
          <w:spacing w:val="-1"/>
          <w:w w:val="115"/>
        </w:rPr>
        <w:t> </w:t>
      </w:r>
      <w:r>
        <w:rPr>
          <w:color w:val="231F20"/>
          <w:w w:val="115"/>
        </w:rPr>
        <w:t>soi.</w:t>
      </w:r>
      <w:r>
        <w:rPr>
          <w:color w:val="231F20"/>
          <w:spacing w:val="-1"/>
          <w:w w:val="115"/>
        </w:rPr>
        <w:t> </w:t>
      </w:r>
      <w:r>
        <w:rPr>
          <w:color w:val="231F20"/>
          <w:w w:val="115"/>
        </w:rPr>
        <w:t>Nous</w:t>
      </w:r>
      <w:r>
        <w:rPr>
          <w:color w:val="231F20"/>
          <w:spacing w:val="-1"/>
          <w:w w:val="115"/>
        </w:rPr>
        <w:t> </w:t>
      </w:r>
      <w:r>
        <w:rPr>
          <w:color w:val="231F20"/>
          <w:w w:val="115"/>
        </w:rPr>
        <w:t>avons</w:t>
      </w:r>
      <w:r>
        <w:rPr>
          <w:color w:val="231F20"/>
          <w:spacing w:val="-1"/>
          <w:w w:val="115"/>
        </w:rPr>
        <w:t> </w:t>
      </w:r>
      <w:r>
        <w:rPr>
          <w:color w:val="231F20"/>
          <w:w w:val="115"/>
        </w:rPr>
        <w:t>développé</w:t>
      </w:r>
      <w:r>
        <w:rPr>
          <w:color w:val="231F20"/>
          <w:spacing w:val="-1"/>
          <w:w w:val="115"/>
        </w:rPr>
        <w:t> </w:t>
      </w:r>
      <w:r>
        <w:rPr>
          <w:color w:val="231F20"/>
          <w:w w:val="115"/>
        </w:rPr>
        <w:t>cet</w:t>
      </w:r>
      <w:r>
        <w:rPr>
          <w:color w:val="231F20"/>
          <w:spacing w:val="-1"/>
          <w:w w:val="115"/>
        </w:rPr>
        <w:t> </w:t>
      </w:r>
      <w:r>
        <w:rPr>
          <w:color w:val="231F20"/>
          <w:w w:val="115"/>
        </w:rPr>
        <w:t>outil en</w:t>
      </w:r>
      <w:r>
        <w:rPr>
          <w:color w:val="231F20"/>
          <w:spacing w:val="-7"/>
          <w:w w:val="115"/>
        </w:rPr>
        <w:t> </w:t>
      </w:r>
      <w:r>
        <w:rPr>
          <w:color w:val="231F20"/>
          <w:w w:val="115"/>
        </w:rPr>
        <w:t>nous</w:t>
      </w:r>
      <w:r>
        <w:rPr>
          <w:color w:val="231F20"/>
          <w:spacing w:val="-7"/>
          <w:w w:val="115"/>
        </w:rPr>
        <w:t> </w:t>
      </w:r>
      <w:r>
        <w:rPr>
          <w:color w:val="231F20"/>
          <w:w w:val="115"/>
        </w:rPr>
        <w:t>basant</w:t>
      </w:r>
      <w:r>
        <w:rPr>
          <w:color w:val="231F20"/>
          <w:spacing w:val="-7"/>
          <w:w w:val="115"/>
        </w:rPr>
        <w:t> </w:t>
      </w:r>
      <w:r>
        <w:rPr>
          <w:color w:val="231F20"/>
          <w:w w:val="115"/>
        </w:rPr>
        <w:t>sur</w:t>
      </w:r>
      <w:r>
        <w:rPr>
          <w:color w:val="231F20"/>
          <w:spacing w:val="-7"/>
          <w:w w:val="115"/>
        </w:rPr>
        <w:t> </w:t>
      </w:r>
      <w:r>
        <w:rPr>
          <w:color w:val="231F20"/>
          <w:w w:val="115"/>
        </w:rPr>
        <w:t>l’</w:t>
      </w:r>
      <w:r>
        <w:rPr>
          <w:i/>
          <w:color w:val="231F20"/>
          <w:w w:val="115"/>
        </w:rPr>
        <w:t>Échelle</w:t>
      </w:r>
      <w:r>
        <w:rPr>
          <w:i/>
          <w:color w:val="231F20"/>
          <w:spacing w:val="-7"/>
          <w:w w:val="115"/>
        </w:rPr>
        <w:t> </w:t>
      </w:r>
      <w:r>
        <w:rPr>
          <w:i/>
          <w:color w:val="231F20"/>
          <w:w w:val="115"/>
        </w:rPr>
        <w:t>de</w:t>
      </w:r>
      <w:r>
        <w:rPr>
          <w:i/>
          <w:color w:val="231F20"/>
          <w:spacing w:val="-7"/>
          <w:w w:val="115"/>
        </w:rPr>
        <w:t> </w:t>
      </w:r>
      <w:r>
        <w:rPr>
          <w:i/>
          <w:color w:val="231F20"/>
          <w:w w:val="115"/>
        </w:rPr>
        <w:t>Rosenberg</w:t>
      </w:r>
      <w:r>
        <w:rPr>
          <w:color w:val="231F20"/>
          <w:w w:val="115"/>
        </w:rPr>
        <w:t>,</w:t>
      </w:r>
      <w:r>
        <w:rPr>
          <w:color w:val="231F20"/>
          <w:spacing w:val="-7"/>
          <w:w w:val="115"/>
        </w:rPr>
        <w:t> </w:t>
      </w:r>
      <w:r>
        <w:rPr>
          <w:color w:val="231F20"/>
          <w:w w:val="115"/>
        </w:rPr>
        <w:t>une</w:t>
      </w:r>
      <w:r>
        <w:rPr>
          <w:color w:val="231F20"/>
          <w:spacing w:val="-7"/>
          <w:w w:val="115"/>
        </w:rPr>
        <w:t> </w:t>
      </w:r>
      <w:r>
        <w:rPr>
          <w:color w:val="231F20"/>
          <w:w w:val="115"/>
        </w:rPr>
        <w:t>référence</w:t>
      </w:r>
      <w:r>
        <w:rPr>
          <w:color w:val="231F20"/>
          <w:spacing w:val="-7"/>
          <w:w w:val="115"/>
        </w:rPr>
        <w:t> </w:t>
      </w:r>
      <w:r>
        <w:rPr>
          <w:color w:val="231F20"/>
          <w:w w:val="115"/>
        </w:rPr>
        <w:t>dans</w:t>
      </w:r>
      <w:r>
        <w:rPr>
          <w:color w:val="231F20"/>
          <w:spacing w:val="-7"/>
          <w:w w:val="115"/>
        </w:rPr>
        <w:t> </w:t>
      </w:r>
      <w:r>
        <w:rPr>
          <w:color w:val="231F20"/>
          <w:w w:val="115"/>
        </w:rPr>
        <w:t>le</w:t>
      </w:r>
      <w:r>
        <w:rPr>
          <w:color w:val="231F20"/>
          <w:spacing w:val="-7"/>
          <w:w w:val="115"/>
        </w:rPr>
        <w:t> </w:t>
      </w:r>
      <w:r>
        <w:rPr>
          <w:color w:val="231F20"/>
          <w:w w:val="115"/>
        </w:rPr>
        <w:t>domaine du travail social. Bien que l’outil original utilise une échelle d’évaluation </w:t>
      </w:r>
      <w:r>
        <w:rPr>
          <w:color w:val="231F20"/>
          <w:w w:val="120"/>
        </w:rPr>
        <w:t>en</w:t>
      </w:r>
      <w:r>
        <w:rPr>
          <w:color w:val="231F20"/>
          <w:spacing w:val="-13"/>
          <w:w w:val="120"/>
        </w:rPr>
        <w:t> </w:t>
      </w:r>
      <w:r>
        <w:rPr>
          <w:color w:val="231F20"/>
          <w:w w:val="120"/>
        </w:rPr>
        <w:t>quatre</w:t>
      </w:r>
      <w:r>
        <w:rPr>
          <w:color w:val="231F20"/>
          <w:spacing w:val="-13"/>
          <w:w w:val="120"/>
        </w:rPr>
        <w:t> </w:t>
      </w:r>
      <w:r>
        <w:rPr>
          <w:color w:val="231F20"/>
          <w:w w:val="120"/>
        </w:rPr>
        <w:t>points,</w:t>
      </w:r>
      <w:r>
        <w:rPr>
          <w:color w:val="231F20"/>
          <w:spacing w:val="-13"/>
          <w:w w:val="120"/>
        </w:rPr>
        <w:t> </w:t>
      </w:r>
      <w:r>
        <w:rPr>
          <w:color w:val="231F20"/>
          <w:w w:val="120"/>
        </w:rPr>
        <w:t>nous</w:t>
      </w:r>
      <w:r>
        <w:rPr>
          <w:color w:val="231F20"/>
          <w:spacing w:val="-12"/>
          <w:w w:val="120"/>
        </w:rPr>
        <w:t> </w:t>
      </w:r>
      <w:r>
        <w:rPr>
          <w:color w:val="231F20"/>
          <w:w w:val="120"/>
        </w:rPr>
        <w:t>proposons</w:t>
      </w:r>
      <w:r>
        <w:rPr>
          <w:color w:val="231F20"/>
          <w:spacing w:val="-13"/>
          <w:w w:val="120"/>
        </w:rPr>
        <w:t> </w:t>
      </w:r>
      <w:r>
        <w:rPr>
          <w:color w:val="231F20"/>
          <w:w w:val="120"/>
        </w:rPr>
        <w:t>un</w:t>
      </w:r>
      <w:r>
        <w:rPr>
          <w:color w:val="231F20"/>
          <w:spacing w:val="-13"/>
          <w:w w:val="120"/>
        </w:rPr>
        <w:t> </w:t>
      </w:r>
      <w:r>
        <w:rPr>
          <w:color w:val="231F20"/>
          <w:w w:val="120"/>
        </w:rPr>
        <w:t>format</w:t>
      </w:r>
      <w:r>
        <w:rPr>
          <w:color w:val="231F20"/>
          <w:spacing w:val="-13"/>
          <w:w w:val="120"/>
        </w:rPr>
        <w:t> </w:t>
      </w:r>
      <w:r>
        <w:rPr>
          <w:color w:val="231F20"/>
          <w:w w:val="120"/>
        </w:rPr>
        <w:t>de</w:t>
      </w:r>
      <w:r>
        <w:rPr>
          <w:color w:val="231F20"/>
          <w:spacing w:val="-12"/>
          <w:w w:val="120"/>
        </w:rPr>
        <w:t> </w:t>
      </w:r>
      <w:r>
        <w:rPr>
          <w:color w:val="231F20"/>
          <w:w w:val="120"/>
        </w:rPr>
        <w:t>réponse</w:t>
      </w:r>
      <w:r>
        <w:rPr>
          <w:color w:val="231F20"/>
          <w:spacing w:val="-13"/>
          <w:w w:val="120"/>
        </w:rPr>
        <w:t> </w:t>
      </w:r>
      <w:r>
        <w:rPr>
          <w:color w:val="231F20"/>
          <w:w w:val="120"/>
        </w:rPr>
        <w:t>plus</w:t>
      </w:r>
      <w:r>
        <w:rPr>
          <w:color w:val="231F20"/>
          <w:spacing w:val="-13"/>
          <w:w w:val="120"/>
        </w:rPr>
        <w:t> </w:t>
      </w:r>
      <w:r>
        <w:rPr>
          <w:color w:val="231F20"/>
          <w:w w:val="120"/>
        </w:rPr>
        <w:t>convivial</w:t>
      </w:r>
      <w:r>
        <w:rPr>
          <w:color w:val="231F20"/>
          <w:spacing w:val="-13"/>
          <w:w w:val="120"/>
        </w:rPr>
        <w:t> </w:t>
      </w:r>
      <w:r>
        <w:rPr>
          <w:color w:val="231F20"/>
          <w:w w:val="120"/>
        </w:rPr>
        <w:t>et simple où chacun répond aux questions dans un format dichotomique (oui/non). Nous sommes conscients que ce questionnaire ne propose qu’une</w:t>
      </w:r>
      <w:r>
        <w:rPr>
          <w:color w:val="231F20"/>
          <w:spacing w:val="-13"/>
          <w:w w:val="120"/>
        </w:rPr>
        <w:t> </w:t>
      </w:r>
      <w:r>
        <w:rPr>
          <w:color w:val="231F20"/>
          <w:w w:val="120"/>
        </w:rPr>
        <w:t>simple</w:t>
      </w:r>
      <w:r>
        <w:rPr>
          <w:color w:val="231F20"/>
          <w:spacing w:val="-12"/>
          <w:w w:val="120"/>
        </w:rPr>
        <w:t> </w:t>
      </w:r>
      <w:r>
        <w:rPr>
          <w:color w:val="231F20"/>
          <w:w w:val="120"/>
        </w:rPr>
        <w:t>évaluation</w:t>
      </w:r>
      <w:r>
        <w:rPr>
          <w:color w:val="231F20"/>
          <w:spacing w:val="-13"/>
          <w:w w:val="120"/>
        </w:rPr>
        <w:t> </w:t>
      </w:r>
      <w:r>
        <w:rPr>
          <w:color w:val="231F20"/>
          <w:w w:val="120"/>
        </w:rPr>
        <w:t>globale</w:t>
      </w:r>
      <w:r>
        <w:rPr>
          <w:color w:val="231F20"/>
          <w:spacing w:val="-12"/>
          <w:w w:val="120"/>
        </w:rPr>
        <w:t> </w:t>
      </w:r>
      <w:r>
        <w:rPr>
          <w:color w:val="231F20"/>
          <w:w w:val="120"/>
        </w:rPr>
        <w:t>de</w:t>
      </w:r>
      <w:r>
        <w:rPr>
          <w:color w:val="231F20"/>
          <w:spacing w:val="-13"/>
          <w:w w:val="120"/>
        </w:rPr>
        <w:t> </w:t>
      </w:r>
      <w:r>
        <w:rPr>
          <w:color w:val="231F20"/>
          <w:w w:val="120"/>
        </w:rPr>
        <w:t>son</w:t>
      </w:r>
      <w:r>
        <w:rPr>
          <w:color w:val="231F20"/>
          <w:spacing w:val="-12"/>
          <w:w w:val="120"/>
        </w:rPr>
        <w:t> </w:t>
      </w:r>
      <w:r>
        <w:rPr>
          <w:color w:val="231F20"/>
          <w:w w:val="120"/>
        </w:rPr>
        <w:t>estime</w:t>
      </w:r>
      <w:r>
        <w:rPr>
          <w:color w:val="231F20"/>
          <w:spacing w:val="-12"/>
          <w:w w:val="120"/>
        </w:rPr>
        <w:t> </w:t>
      </w:r>
      <w:r>
        <w:rPr>
          <w:color w:val="231F20"/>
          <w:w w:val="120"/>
        </w:rPr>
        <w:t>de</w:t>
      </w:r>
      <w:r>
        <w:rPr>
          <w:color w:val="231F20"/>
          <w:spacing w:val="-13"/>
          <w:w w:val="120"/>
        </w:rPr>
        <w:t> </w:t>
      </w:r>
      <w:r>
        <w:rPr>
          <w:color w:val="231F20"/>
          <w:w w:val="120"/>
        </w:rPr>
        <w:t>soi,</w:t>
      </w:r>
      <w:r>
        <w:rPr>
          <w:color w:val="231F20"/>
          <w:spacing w:val="-12"/>
          <w:w w:val="120"/>
        </w:rPr>
        <w:t> </w:t>
      </w:r>
      <w:r>
        <w:rPr>
          <w:color w:val="231F20"/>
          <w:w w:val="120"/>
        </w:rPr>
        <w:t>et</w:t>
      </w:r>
      <w:r>
        <w:rPr>
          <w:color w:val="231F20"/>
          <w:spacing w:val="-13"/>
          <w:w w:val="120"/>
        </w:rPr>
        <w:t> </w:t>
      </w:r>
      <w:r>
        <w:rPr>
          <w:color w:val="231F20"/>
          <w:w w:val="120"/>
        </w:rPr>
        <w:t>que</w:t>
      </w:r>
      <w:r>
        <w:rPr>
          <w:color w:val="231F20"/>
          <w:spacing w:val="-12"/>
          <w:w w:val="120"/>
        </w:rPr>
        <w:t> </w:t>
      </w:r>
      <w:r>
        <w:rPr>
          <w:color w:val="231F20"/>
          <w:w w:val="120"/>
        </w:rPr>
        <w:t>sa</w:t>
      </w:r>
      <w:r>
        <w:rPr>
          <w:color w:val="231F20"/>
          <w:spacing w:val="-13"/>
          <w:w w:val="120"/>
        </w:rPr>
        <w:t> </w:t>
      </w:r>
      <w:r>
        <w:rPr>
          <w:color w:val="231F20"/>
          <w:spacing w:val="-2"/>
          <w:w w:val="120"/>
        </w:rPr>
        <w:t>validité</w:t>
      </w:r>
    </w:p>
    <w:p>
      <w:pPr>
        <w:spacing w:after="0" w:line="307" w:lineRule="auto"/>
        <w:jc w:val="both"/>
        <w:sectPr>
          <w:footerReference w:type="default" r:id="rId350"/>
          <w:pgSz w:w="8640" w:h="12960"/>
          <w:pgMar w:footer="424" w:header="0" w:top="520" w:bottom="620" w:left="420" w:right="1140"/>
        </w:sectPr>
      </w:pPr>
    </w:p>
    <w:p>
      <w:pPr>
        <w:spacing w:before="118"/>
        <w:ind w:left="1246" w:right="0" w:firstLine="0"/>
        <w:jc w:val="left"/>
        <w:rPr>
          <w:rFonts w:ascii="Arial" w:hAnsi="Arial"/>
          <w:sz w:val="14"/>
        </w:rPr>
      </w:pPr>
      <w:r>
        <w:rPr/>
        <w:pict>
          <v:shape style="position:absolute;margin-left:334.484711pt;margin-top:252.067505pt;width:11.8pt;height:66.9pt;mso-position-horizontal-relative:page;mso-position-vertical-relative:page;z-index:15844864" type="#_x0000_t202" id="docshape1163" filled="false" stroked="false">
            <v:textbox inset="0,0,0,0" style="layout-flow:vertical">
              <w:txbxContent>
                <w:p>
                  <w:pPr>
                    <w:spacing w:before="41"/>
                    <w:ind w:left="20" w:right="0" w:firstLine="0"/>
                    <w:jc w:val="left"/>
                    <w:rPr>
                      <w:rFonts w:ascii="Arial"/>
                      <w:b/>
                      <w:sz w:val="15"/>
                    </w:rPr>
                  </w:pPr>
                  <w:r>
                    <w:rPr>
                      <w:rFonts w:ascii="Arial"/>
                      <w:b/>
                      <w:color w:val="231F20"/>
                      <w:w w:val="90"/>
                      <w:sz w:val="15"/>
                    </w:rPr>
                    <w:t>Bonne</w:t>
                  </w:r>
                  <w:r>
                    <w:rPr>
                      <w:rFonts w:ascii="Arial"/>
                      <w:b/>
                      <w:color w:val="231F20"/>
                      <w:spacing w:val="-5"/>
                      <w:w w:val="90"/>
                      <w:sz w:val="15"/>
                    </w:rPr>
                    <w:t> </w:t>
                  </w:r>
                  <w:r>
                    <w:rPr>
                      <w:rFonts w:ascii="Arial"/>
                      <w:b/>
                      <w:color w:val="231F20"/>
                      <w:w w:val="90"/>
                      <w:sz w:val="15"/>
                    </w:rPr>
                    <w:t>estime</w:t>
                  </w:r>
                  <w:r>
                    <w:rPr>
                      <w:rFonts w:ascii="Arial"/>
                      <w:b/>
                      <w:color w:val="231F20"/>
                      <w:spacing w:val="-5"/>
                      <w:w w:val="90"/>
                      <w:sz w:val="15"/>
                    </w:rPr>
                    <w:t> </w:t>
                  </w:r>
                  <w:r>
                    <w:rPr>
                      <w:rFonts w:ascii="Arial"/>
                      <w:b/>
                      <w:color w:val="231F20"/>
                      <w:w w:val="90"/>
                      <w:sz w:val="15"/>
                    </w:rPr>
                    <w:t>de</w:t>
                  </w:r>
                  <w:r>
                    <w:rPr>
                      <w:rFonts w:ascii="Arial"/>
                      <w:b/>
                      <w:color w:val="231F20"/>
                      <w:spacing w:val="-5"/>
                      <w:w w:val="90"/>
                      <w:sz w:val="15"/>
                    </w:rPr>
                    <w:t> soi</w:t>
                  </w:r>
                </w:p>
              </w:txbxContent>
            </v:textbox>
            <w10:wrap type="none"/>
          </v:shape>
        </w:pict>
      </w:r>
      <w:r>
        <w:rPr/>
        <w:pict>
          <v:shape style="position:absolute;margin-left:105.235298pt;margin-top:252.998642pt;width:11.8pt;height:65.05pt;mso-position-horizontal-relative:page;mso-position-vertical-relative:page;z-index:15845376" type="#_x0000_t202" id="docshape1164" filled="false" stroked="false">
            <v:textbox inset="0,0,0,0" style="layout-flow:vertical;mso-layout-flow-alt:bottom-to-top">
              <w:txbxContent>
                <w:p>
                  <w:pPr>
                    <w:spacing w:before="41"/>
                    <w:ind w:left="20" w:right="0" w:firstLine="0"/>
                    <w:jc w:val="left"/>
                    <w:rPr>
                      <w:rFonts w:ascii="Arial"/>
                      <w:b/>
                      <w:sz w:val="15"/>
                    </w:rPr>
                  </w:pPr>
                  <w:r>
                    <w:rPr>
                      <w:rFonts w:ascii="Arial"/>
                      <w:b/>
                      <w:color w:val="231F20"/>
                      <w:w w:val="90"/>
                      <w:sz w:val="15"/>
                    </w:rPr>
                    <w:t>Faible</w:t>
                  </w:r>
                  <w:r>
                    <w:rPr>
                      <w:rFonts w:ascii="Arial"/>
                      <w:b/>
                      <w:color w:val="231F20"/>
                      <w:spacing w:val="-9"/>
                      <w:w w:val="90"/>
                      <w:sz w:val="15"/>
                    </w:rPr>
                    <w:t> </w:t>
                  </w:r>
                  <w:r>
                    <w:rPr>
                      <w:rFonts w:ascii="Arial"/>
                      <w:b/>
                      <w:color w:val="231F20"/>
                      <w:w w:val="90"/>
                      <w:sz w:val="15"/>
                    </w:rPr>
                    <w:t>estime</w:t>
                  </w:r>
                  <w:r>
                    <w:rPr>
                      <w:rFonts w:ascii="Arial"/>
                      <w:b/>
                      <w:color w:val="231F20"/>
                      <w:spacing w:val="-9"/>
                      <w:w w:val="90"/>
                      <w:sz w:val="15"/>
                    </w:rPr>
                    <w:t> </w:t>
                  </w:r>
                  <w:r>
                    <w:rPr>
                      <w:rFonts w:ascii="Arial"/>
                      <w:b/>
                      <w:color w:val="231F20"/>
                      <w:w w:val="90"/>
                      <w:sz w:val="15"/>
                    </w:rPr>
                    <w:t>de</w:t>
                  </w:r>
                  <w:r>
                    <w:rPr>
                      <w:rFonts w:ascii="Arial"/>
                      <w:b/>
                      <w:color w:val="231F20"/>
                      <w:spacing w:val="-8"/>
                      <w:w w:val="90"/>
                      <w:sz w:val="15"/>
                    </w:rPr>
                    <w:t> </w:t>
                  </w:r>
                  <w:r>
                    <w:rPr>
                      <w:rFonts w:ascii="Arial"/>
                      <w:b/>
                      <w:color w:val="231F20"/>
                      <w:spacing w:val="-5"/>
                      <w:w w:val="90"/>
                      <w:sz w:val="15"/>
                    </w:rPr>
                    <w:t>soi</w:t>
                  </w:r>
                </w:p>
              </w:txbxContent>
            </v:textbox>
            <w10:wrap type="none"/>
          </v:shape>
        </w:pict>
      </w:r>
      <w:bookmarkStart w:name="Figure A.1 / Modèle bidimensionnel de la" w:id="208"/>
      <w:bookmarkEnd w:id="208"/>
      <w:r>
        <w:rPr/>
      </w:r>
      <w:bookmarkStart w:name="_bookmark93" w:id="209"/>
      <w:bookmarkEnd w:id="209"/>
      <w:r>
        <w:rPr/>
      </w:r>
      <w:r>
        <w:rPr>
          <w:rFonts w:ascii="Arial" w:hAnsi="Arial"/>
          <w:color w:val="231F20"/>
          <w:sz w:val="14"/>
        </w:rPr>
        <w:t>Annexe</w:t>
      </w:r>
      <w:r>
        <w:rPr>
          <w:rFonts w:ascii="Arial" w:hAnsi="Arial"/>
          <w:color w:val="231F20"/>
          <w:spacing w:val="-6"/>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estime</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5"/>
          <w:sz w:val="14"/>
        </w:rPr>
        <w:t> </w:t>
      </w:r>
      <w:r>
        <w:rPr>
          <w:rFonts w:ascii="Arial" w:hAnsi="Arial"/>
          <w:color w:val="231F20"/>
          <w:sz w:val="14"/>
        </w:rPr>
        <w:t>valeurs</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bien-être</w:t>
      </w:r>
      <w:r>
        <w:rPr>
          <w:rFonts w:ascii="Arial" w:hAnsi="Arial"/>
          <w:color w:val="231F20"/>
          <w:spacing w:val="-5"/>
          <w:sz w:val="14"/>
        </w:rPr>
        <w:t> </w:t>
      </w:r>
      <w:r>
        <w:rPr>
          <w:rFonts w:ascii="Arial" w:hAnsi="Arial"/>
          <w:color w:val="231F20"/>
          <w:sz w:val="14"/>
        </w:rPr>
        <w:t>psychologique</w:t>
      </w:r>
      <w:r>
        <w:rPr>
          <w:rFonts w:ascii="Arial" w:hAnsi="Arial"/>
          <w:color w:val="231F20"/>
          <w:spacing w:val="-6"/>
          <w:sz w:val="14"/>
        </w:rPr>
        <w:t> </w:t>
      </w:r>
      <w:r>
        <w:rPr>
          <w:rFonts w:ascii="Arial" w:hAnsi="Arial"/>
          <w:color w:val="231F20"/>
          <w:sz w:val="14"/>
        </w:rPr>
        <w:t>en</w:t>
      </w:r>
      <w:r>
        <w:rPr>
          <w:rFonts w:ascii="Arial" w:hAnsi="Arial"/>
          <w:color w:val="231F20"/>
          <w:spacing w:val="-5"/>
          <w:sz w:val="14"/>
        </w:rPr>
        <w:t> </w:t>
      </w:r>
      <w:r>
        <w:rPr>
          <w:rFonts w:ascii="Arial" w:hAnsi="Arial"/>
          <w:color w:val="231F20"/>
          <w:sz w:val="14"/>
        </w:rPr>
        <w:t>contexte</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COVID-</w:t>
      </w:r>
      <w:r>
        <w:rPr>
          <w:rFonts w:ascii="Arial" w:hAnsi="Arial"/>
          <w:color w:val="231F20"/>
          <w:spacing w:val="-5"/>
          <w:sz w:val="14"/>
        </w:rPr>
        <w:t>19</w:t>
      </w:r>
    </w:p>
    <w:p>
      <w:pPr>
        <w:pStyle w:val="BodyText"/>
        <w:rPr>
          <w:rFonts w:ascii="Arial"/>
          <w:sz w:val="20"/>
        </w:rPr>
      </w:pPr>
    </w:p>
    <w:p>
      <w:pPr>
        <w:pStyle w:val="BodyText"/>
        <w:rPr>
          <w:rFonts w:ascii="Arial"/>
          <w:sz w:val="20"/>
        </w:rPr>
      </w:pPr>
    </w:p>
    <w:p>
      <w:pPr>
        <w:pStyle w:val="BodyText"/>
        <w:rPr>
          <w:rFonts w:ascii="Arial"/>
          <w:sz w:val="18"/>
        </w:rPr>
      </w:pPr>
    </w:p>
    <w:p>
      <w:pPr>
        <w:pStyle w:val="BodyText"/>
        <w:spacing w:line="307" w:lineRule="auto" w:before="145"/>
        <w:ind w:left="1220" w:right="101"/>
        <w:jc w:val="both"/>
      </w:pPr>
      <w:r>
        <w:rPr/>
        <w:pict>
          <v:group style="position:absolute;margin-left:82pt;margin-top:52.685547pt;width:287.5pt;height:293.25pt;mso-position-horizontal-relative:page;mso-position-vertical-relative:paragraph;z-index:15844352" id="docshapegroup1165" coordorigin="1640,1054" coordsize="5750,5865">
            <v:shape style="position:absolute;left:1640;top:1053;width:5750;height:5865" id="docshape1166" coordorigin="1640,1054" coordsize="5750,5865" path="m7390,1054l1640,1054,1640,1849,1640,2009,1640,6919,7390,6919,7390,2009,7390,1849,7390,1054xe" filled="true" fillcolor="#e2e3e4" stroked="false">
              <v:path arrowok="t"/>
              <v:fill type="solid"/>
            </v:shape>
            <v:shape style="position:absolute;left:2387;top:2146;width:4243;height:4243" id="docshape1167" coordorigin="2387,2146" coordsize="4243,4243" path="m4508,2146l2387,4267,4508,6389,6630,4267,4508,2146xe" filled="true" fillcolor="#ffffff" stroked="false">
              <v:path arrowok="t"/>
              <v:fill type="solid"/>
            </v:shape>
            <v:line style="position:absolute" from="4508,2196" to="4508,6339" stroked="true" strokeweight=".5pt" strokecolor="#231f20">
              <v:stroke dashstyle="solid"/>
            </v:line>
            <v:shape style="position:absolute;left:4473;top:2146;width:70;height:4243" id="docshape1168" coordorigin="4473,2146" coordsize="70,4243" path="m4543,6328l4473,6328,4508,6389,4543,6328xm4543,2206l4508,2146,4473,2206,4543,2206xe" filled="true" fillcolor="#231f20" stroked="false">
              <v:path arrowok="t"/>
              <v:fill type="solid"/>
            </v:shape>
            <v:line style="position:absolute" from="6580,4267" to="2437,4267" stroked="true" strokeweight=".5pt" strokecolor="#231f20">
              <v:stroke dashstyle="solid"/>
            </v:line>
            <v:shape style="position:absolute;left:2387;top:4232;width:4243;height:70" id="docshape1169" coordorigin="2387,4232" coordsize="4243,70" path="m2447,4232l2387,4267,2447,4302,2447,4232xm6630,4267l6569,4232,6569,4302,6630,4267xe" filled="true" fillcolor="#231f20" stroked="false">
              <v:path arrowok="t"/>
              <v:fill type="solid"/>
            </v:shape>
            <v:shape style="position:absolute;left:1640;top:1053;width:5750;height:5865" type="#_x0000_t202" id="docshape1170" filled="false" stroked="false">
              <v:textbox inset="0,0,0,0">
                <w:txbxContent>
                  <w:p>
                    <w:pPr>
                      <w:spacing w:line="307" w:lineRule="auto" w:before="215"/>
                      <w:ind w:left="250" w:right="622" w:firstLine="0"/>
                      <w:jc w:val="left"/>
                      <w:rPr>
                        <w:rFonts w:ascii="Arial" w:hAnsi="Arial"/>
                        <w:b/>
                        <w:sz w:val="17"/>
                      </w:rPr>
                    </w:pPr>
                    <w:r>
                      <w:rPr>
                        <w:rFonts w:ascii="Arial" w:hAnsi="Arial"/>
                        <w:color w:val="231F20"/>
                        <w:w w:val="95"/>
                        <w:sz w:val="17"/>
                      </w:rPr>
                      <w:t>Figure A.1</w:t>
                    </w:r>
                    <w:r>
                      <w:rPr>
                        <w:rFonts w:ascii="Arial" w:hAnsi="Arial"/>
                        <w:color w:val="231F20"/>
                        <w:spacing w:val="-10"/>
                        <w:w w:val="95"/>
                        <w:sz w:val="17"/>
                      </w:rPr>
                      <w:t> </w:t>
                    </w:r>
                    <w:r>
                      <w:rPr>
                        <w:rFonts w:ascii="Arial" w:hAnsi="Arial"/>
                        <w:i/>
                        <w:color w:val="231F20"/>
                        <w:w w:val="95"/>
                        <w:sz w:val="17"/>
                      </w:rPr>
                      <w:t>/</w:t>
                    </w:r>
                    <w:r>
                      <w:rPr>
                        <w:rFonts w:ascii="Arial" w:hAnsi="Arial"/>
                        <w:i/>
                        <w:color w:val="231F20"/>
                        <w:spacing w:val="40"/>
                        <w:sz w:val="17"/>
                      </w:rPr>
                      <w:t> </w:t>
                    </w:r>
                    <w:r>
                      <w:rPr>
                        <w:rFonts w:ascii="Arial" w:hAnsi="Arial"/>
                        <w:b/>
                        <w:color w:val="231F20"/>
                        <w:w w:val="95"/>
                        <w:sz w:val="17"/>
                      </w:rPr>
                      <w:t>Modèle</w:t>
                    </w:r>
                    <w:r>
                      <w:rPr>
                        <w:rFonts w:ascii="Arial" w:hAnsi="Arial"/>
                        <w:b/>
                        <w:color w:val="231F20"/>
                        <w:spacing w:val="-3"/>
                        <w:w w:val="95"/>
                        <w:sz w:val="17"/>
                      </w:rPr>
                      <w:t> </w:t>
                    </w:r>
                    <w:r>
                      <w:rPr>
                        <w:rFonts w:ascii="Arial" w:hAnsi="Arial"/>
                        <w:b/>
                        <w:color w:val="231F20"/>
                        <w:w w:val="95"/>
                        <w:sz w:val="17"/>
                      </w:rPr>
                      <w:t>bidimensionnel</w:t>
                    </w:r>
                    <w:r>
                      <w:rPr>
                        <w:rFonts w:ascii="Arial" w:hAnsi="Arial"/>
                        <w:b/>
                        <w:color w:val="231F20"/>
                        <w:spacing w:val="-3"/>
                        <w:w w:val="95"/>
                        <w:sz w:val="17"/>
                      </w:rPr>
                      <w:t> </w:t>
                    </w:r>
                    <w:r>
                      <w:rPr>
                        <w:rFonts w:ascii="Arial" w:hAnsi="Arial"/>
                        <w:b/>
                        <w:color w:val="231F20"/>
                        <w:w w:val="95"/>
                        <w:sz w:val="17"/>
                      </w:rPr>
                      <w:t>de</w:t>
                    </w:r>
                    <w:r>
                      <w:rPr>
                        <w:rFonts w:ascii="Arial" w:hAnsi="Arial"/>
                        <w:b/>
                        <w:color w:val="231F20"/>
                        <w:spacing w:val="-3"/>
                        <w:w w:val="95"/>
                        <w:sz w:val="17"/>
                      </w:rPr>
                      <w:t> </w:t>
                    </w:r>
                    <w:r>
                      <w:rPr>
                        <w:rFonts w:ascii="Arial" w:hAnsi="Arial"/>
                        <w:b/>
                        <w:color w:val="231F20"/>
                        <w:w w:val="95"/>
                        <w:sz w:val="17"/>
                      </w:rPr>
                      <w:t>la</w:t>
                    </w:r>
                    <w:r>
                      <w:rPr>
                        <w:rFonts w:ascii="Arial" w:hAnsi="Arial"/>
                        <w:b/>
                        <w:color w:val="231F20"/>
                        <w:spacing w:val="-3"/>
                        <w:w w:val="95"/>
                        <w:sz w:val="17"/>
                      </w:rPr>
                      <w:t> </w:t>
                    </w:r>
                    <w:r>
                      <w:rPr>
                        <w:rFonts w:ascii="Arial" w:hAnsi="Arial"/>
                        <w:b/>
                        <w:color w:val="231F20"/>
                        <w:w w:val="95"/>
                        <w:sz w:val="17"/>
                      </w:rPr>
                      <w:t>santé</w:t>
                    </w:r>
                    <w:r>
                      <w:rPr>
                        <w:rFonts w:ascii="Arial" w:hAnsi="Arial"/>
                        <w:b/>
                        <w:color w:val="231F20"/>
                        <w:spacing w:val="-3"/>
                        <w:w w:val="95"/>
                        <w:sz w:val="17"/>
                      </w:rPr>
                      <w:t> </w:t>
                    </w:r>
                    <w:r>
                      <w:rPr>
                        <w:rFonts w:ascii="Arial" w:hAnsi="Arial"/>
                        <w:b/>
                        <w:color w:val="231F20"/>
                        <w:w w:val="95"/>
                        <w:sz w:val="17"/>
                      </w:rPr>
                      <w:t>psychologique </w:t>
                    </w:r>
                    <w:r>
                      <w:rPr>
                        <w:rFonts w:ascii="Arial" w:hAnsi="Arial"/>
                        <w:b/>
                        <w:color w:val="231F20"/>
                        <w:sz w:val="17"/>
                      </w:rPr>
                      <w:t>et du bien-être</w:t>
                    </w:r>
                  </w:p>
                  <w:p>
                    <w:pPr>
                      <w:spacing w:before="136"/>
                      <w:ind w:left="276" w:right="287" w:firstLine="0"/>
                      <w:jc w:val="center"/>
                      <w:rPr>
                        <w:rFonts w:ascii="Arial"/>
                        <w:b/>
                        <w:sz w:val="15"/>
                      </w:rPr>
                    </w:pPr>
                    <w:r>
                      <w:rPr>
                        <w:rFonts w:ascii="Arial"/>
                        <w:b/>
                        <w:color w:val="231F20"/>
                        <w:w w:val="85"/>
                        <w:sz w:val="15"/>
                      </w:rPr>
                      <w:t>Congruence</w:t>
                    </w:r>
                    <w:r>
                      <w:rPr>
                        <w:rFonts w:ascii="Arial"/>
                        <w:b/>
                        <w:color w:val="231F20"/>
                        <w:spacing w:val="5"/>
                        <w:sz w:val="15"/>
                      </w:rPr>
                      <w:t> </w:t>
                    </w:r>
                    <w:r>
                      <w:rPr>
                        <w:rFonts w:ascii="Arial"/>
                        <w:b/>
                        <w:color w:val="231F20"/>
                        <w:w w:val="85"/>
                        <w:sz w:val="15"/>
                      </w:rPr>
                      <w:t>des</w:t>
                    </w:r>
                    <w:r>
                      <w:rPr>
                        <w:rFonts w:ascii="Arial"/>
                        <w:b/>
                        <w:color w:val="231F20"/>
                        <w:spacing w:val="6"/>
                        <w:sz w:val="15"/>
                      </w:rPr>
                      <w:t> </w:t>
                    </w:r>
                    <w:r>
                      <w:rPr>
                        <w:rFonts w:ascii="Arial"/>
                        <w:b/>
                        <w:color w:val="231F20"/>
                        <w:spacing w:val="-2"/>
                        <w:w w:val="85"/>
                        <w:sz w:val="15"/>
                      </w:rPr>
                      <w:t>valeurs</w:t>
                    </w: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0"/>
                      <w:rPr>
                        <w:rFonts w:ascii="Arial"/>
                        <w:b/>
                        <w:sz w:val="20"/>
                      </w:rPr>
                    </w:pPr>
                  </w:p>
                  <w:p>
                    <w:pPr>
                      <w:spacing w:line="240" w:lineRule="auto" w:before="6"/>
                      <w:rPr>
                        <w:rFonts w:ascii="Arial"/>
                        <w:b/>
                        <w:sz w:val="20"/>
                      </w:rPr>
                    </w:pPr>
                  </w:p>
                  <w:p>
                    <w:pPr>
                      <w:spacing w:before="0"/>
                      <w:ind w:left="276" w:right="287" w:firstLine="0"/>
                      <w:jc w:val="center"/>
                      <w:rPr>
                        <w:rFonts w:ascii="Arial"/>
                        <w:b/>
                        <w:sz w:val="15"/>
                      </w:rPr>
                    </w:pPr>
                    <w:r>
                      <w:rPr>
                        <w:rFonts w:ascii="Arial"/>
                        <w:b/>
                        <w:color w:val="231F20"/>
                        <w:spacing w:val="-2"/>
                        <w:w w:val="90"/>
                        <w:sz w:val="15"/>
                      </w:rPr>
                      <w:t>Incongruence</w:t>
                    </w:r>
                    <w:r>
                      <w:rPr>
                        <w:rFonts w:ascii="Arial"/>
                        <w:b/>
                        <w:color w:val="231F20"/>
                        <w:spacing w:val="-3"/>
                        <w:sz w:val="15"/>
                      </w:rPr>
                      <w:t> </w:t>
                    </w:r>
                    <w:r>
                      <w:rPr>
                        <w:rFonts w:ascii="Arial"/>
                        <w:b/>
                        <w:color w:val="231F20"/>
                        <w:spacing w:val="-2"/>
                        <w:w w:val="90"/>
                        <w:sz w:val="15"/>
                      </w:rPr>
                      <w:t>des</w:t>
                    </w:r>
                    <w:r>
                      <w:rPr>
                        <w:rFonts w:ascii="Arial"/>
                        <w:b/>
                        <w:color w:val="231F20"/>
                        <w:spacing w:val="-1"/>
                        <w:sz w:val="15"/>
                      </w:rPr>
                      <w:t> </w:t>
                    </w:r>
                    <w:r>
                      <w:rPr>
                        <w:rFonts w:ascii="Arial"/>
                        <w:b/>
                        <w:color w:val="231F20"/>
                        <w:spacing w:val="-2"/>
                        <w:w w:val="90"/>
                        <w:sz w:val="15"/>
                      </w:rPr>
                      <w:t>valeurs</w:t>
                    </w:r>
                  </w:p>
                </w:txbxContent>
              </v:textbox>
              <w10:wrap type="none"/>
            </v:shape>
            <v:shape style="position:absolute;left:4708;top:4460;width:1248;height:1248" type="#_x0000_t202" id="docshape1171" filled="true" fillcolor="#c7c8ca" stroked="false">
              <v:textbox inset="0,0,0,0">
                <w:txbxContent>
                  <w:p>
                    <w:pPr>
                      <w:spacing w:before="93"/>
                      <w:ind w:left="0" w:right="0" w:firstLine="0"/>
                      <w:jc w:val="center"/>
                      <w:rPr>
                        <w:rFonts w:ascii="Arial"/>
                        <w:b/>
                        <w:color w:val="000000"/>
                        <w:sz w:val="24"/>
                      </w:rPr>
                    </w:pPr>
                    <w:r>
                      <w:rPr>
                        <w:rFonts w:ascii="Arial"/>
                        <w:b/>
                        <w:color w:val="FFFFFF"/>
                        <w:w w:val="79"/>
                        <w:sz w:val="24"/>
                      </w:rPr>
                      <w:t>C</w:t>
                    </w:r>
                  </w:p>
                  <w:p>
                    <w:pPr>
                      <w:spacing w:line="249" w:lineRule="auto" w:before="49"/>
                      <w:ind w:left="169" w:right="167" w:firstLine="0"/>
                      <w:jc w:val="center"/>
                      <w:rPr>
                        <w:rFonts w:ascii="Arial" w:hAnsi="Arial"/>
                        <w:color w:val="000000"/>
                        <w:sz w:val="15"/>
                      </w:rPr>
                    </w:pPr>
                    <w:r>
                      <w:rPr>
                        <w:rFonts w:ascii="Arial" w:hAnsi="Arial"/>
                        <w:color w:val="231F20"/>
                        <w:sz w:val="15"/>
                      </w:rPr>
                      <w:t>État</w:t>
                    </w:r>
                    <w:r>
                      <w:rPr>
                        <w:rFonts w:ascii="Arial" w:hAnsi="Arial"/>
                        <w:color w:val="231F20"/>
                        <w:spacing w:val="-13"/>
                        <w:sz w:val="15"/>
                      </w:rPr>
                      <w:t> </w:t>
                    </w:r>
                    <w:r>
                      <w:rPr>
                        <w:rFonts w:ascii="Arial" w:hAnsi="Arial"/>
                        <w:color w:val="231F20"/>
                        <w:sz w:val="15"/>
                      </w:rPr>
                      <w:t>modéré de</w:t>
                    </w:r>
                    <w:r>
                      <w:rPr>
                        <w:rFonts w:ascii="Arial" w:hAnsi="Arial"/>
                        <w:color w:val="231F20"/>
                        <w:spacing w:val="-13"/>
                        <w:sz w:val="15"/>
                      </w:rPr>
                      <w:t> </w:t>
                    </w:r>
                    <w:r>
                      <w:rPr>
                        <w:rFonts w:ascii="Arial" w:hAnsi="Arial"/>
                        <w:color w:val="231F20"/>
                        <w:sz w:val="15"/>
                      </w:rPr>
                      <w:t>santé </w:t>
                    </w:r>
                    <w:r>
                      <w:rPr>
                        <w:rFonts w:ascii="Arial" w:hAnsi="Arial"/>
                        <w:color w:val="231F20"/>
                        <w:spacing w:val="-2"/>
                        <w:w w:val="95"/>
                        <w:sz w:val="15"/>
                      </w:rPr>
                      <w:t>psychologique</w:t>
                    </w:r>
                    <w:r>
                      <w:rPr>
                        <w:rFonts w:ascii="Arial" w:hAnsi="Arial"/>
                        <w:color w:val="231F20"/>
                        <w:sz w:val="15"/>
                      </w:rPr>
                      <w:t> </w:t>
                    </w:r>
                    <w:r>
                      <w:rPr>
                        <w:rFonts w:ascii="Arial" w:hAnsi="Arial"/>
                        <w:color w:val="231F20"/>
                        <w:w w:val="90"/>
                        <w:sz w:val="15"/>
                      </w:rPr>
                      <w:t>et</w:t>
                    </w:r>
                    <w:r>
                      <w:rPr>
                        <w:rFonts w:ascii="Arial" w:hAnsi="Arial"/>
                        <w:color w:val="231F20"/>
                        <w:spacing w:val="-5"/>
                        <w:sz w:val="15"/>
                      </w:rPr>
                      <w:t> </w:t>
                    </w:r>
                    <w:r>
                      <w:rPr>
                        <w:rFonts w:ascii="Arial" w:hAnsi="Arial"/>
                        <w:color w:val="231F20"/>
                        <w:w w:val="90"/>
                        <w:sz w:val="15"/>
                      </w:rPr>
                      <w:t>de</w:t>
                    </w:r>
                    <w:r>
                      <w:rPr>
                        <w:rFonts w:ascii="Arial" w:hAnsi="Arial"/>
                        <w:color w:val="231F20"/>
                        <w:spacing w:val="-4"/>
                        <w:sz w:val="15"/>
                      </w:rPr>
                      <w:t> </w:t>
                    </w:r>
                    <w:r>
                      <w:rPr>
                        <w:rFonts w:ascii="Arial" w:hAnsi="Arial"/>
                        <w:color w:val="231F20"/>
                        <w:w w:val="90"/>
                        <w:sz w:val="15"/>
                      </w:rPr>
                      <w:t>bien-</w:t>
                    </w:r>
                    <w:r>
                      <w:rPr>
                        <w:rFonts w:ascii="Arial" w:hAnsi="Arial"/>
                        <w:color w:val="231F20"/>
                        <w:spacing w:val="-4"/>
                        <w:w w:val="90"/>
                        <w:sz w:val="15"/>
                      </w:rPr>
                      <w:t>être</w:t>
                    </w:r>
                  </w:p>
                </w:txbxContent>
              </v:textbox>
              <v:fill type="solid"/>
              <w10:wrap type="none"/>
            </v:shape>
            <v:shape style="position:absolute;left:3061;top:4460;width:1248;height:1248" type="#_x0000_t202" id="docshape1172" filled="true" fillcolor="#c7c8ca" stroked="false">
              <v:textbox inset="0,0,0,0">
                <w:txbxContent>
                  <w:p>
                    <w:pPr>
                      <w:spacing w:before="93"/>
                      <w:ind w:left="0" w:right="0" w:firstLine="0"/>
                      <w:jc w:val="center"/>
                      <w:rPr>
                        <w:rFonts w:ascii="Arial"/>
                        <w:b/>
                        <w:color w:val="000000"/>
                        <w:sz w:val="24"/>
                      </w:rPr>
                    </w:pPr>
                    <w:r>
                      <w:rPr>
                        <w:rFonts w:ascii="Arial"/>
                        <w:b/>
                        <w:color w:val="FFFFFF"/>
                        <w:w w:val="93"/>
                        <w:sz w:val="24"/>
                      </w:rPr>
                      <w:t>D</w:t>
                    </w:r>
                  </w:p>
                  <w:p>
                    <w:pPr>
                      <w:spacing w:line="249" w:lineRule="auto" w:before="49"/>
                      <w:ind w:left="169" w:right="167" w:firstLine="0"/>
                      <w:jc w:val="center"/>
                      <w:rPr>
                        <w:rFonts w:ascii="Arial" w:hAnsi="Arial"/>
                        <w:color w:val="000000"/>
                        <w:sz w:val="15"/>
                      </w:rPr>
                    </w:pPr>
                    <w:r>
                      <w:rPr>
                        <w:rFonts w:ascii="Arial" w:hAnsi="Arial"/>
                        <w:color w:val="231F20"/>
                        <w:sz w:val="15"/>
                      </w:rPr>
                      <w:t>Mauvais</w:t>
                    </w:r>
                    <w:r>
                      <w:rPr>
                        <w:rFonts w:ascii="Arial" w:hAnsi="Arial"/>
                        <w:color w:val="231F20"/>
                        <w:spacing w:val="-13"/>
                        <w:sz w:val="15"/>
                      </w:rPr>
                      <w:t> </w:t>
                    </w:r>
                    <w:r>
                      <w:rPr>
                        <w:rFonts w:ascii="Arial" w:hAnsi="Arial"/>
                        <w:color w:val="231F20"/>
                        <w:sz w:val="15"/>
                      </w:rPr>
                      <w:t>état de</w:t>
                    </w:r>
                    <w:r>
                      <w:rPr>
                        <w:rFonts w:ascii="Arial" w:hAnsi="Arial"/>
                        <w:color w:val="231F20"/>
                        <w:spacing w:val="-13"/>
                        <w:sz w:val="15"/>
                      </w:rPr>
                      <w:t> </w:t>
                    </w:r>
                    <w:r>
                      <w:rPr>
                        <w:rFonts w:ascii="Arial" w:hAnsi="Arial"/>
                        <w:color w:val="231F20"/>
                        <w:sz w:val="15"/>
                      </w:rPr>
                      <w:t>santé </w:t>
                    </w:r>
                    <w:r>
                      <w:rPr>
                        <w:rFonts w:ascii="Arial" w:hAnsi="Arial"/>
                        <w:color w:val="231F20"/>
                        <w:spacing w:val="-2"/>
                        <w:w w:val="95"/>
                        <w:sz w:val="15"/>
                      </w:rPr>
                      <w:t>psychologique</w:t>
                    </w:r>
                    <w:r>
                      <w:rPr>
                        <w:rFonts w:ascii="Arial" w:hAnsi="Arial"/>
                        <w:color w:val="231F20"/>
                        <w:sz w:val="15"/>
                      </w:rPr>
                      <w:t> </w:t>
                    </w:r>
                    <w:r>
                      <w:rPr>
                        <w:rFonts w:ascii="Arial" w:hAnsi="Arial"/>
                        <w:color w:val="231F20"/>
                        <w:w w:val="90"/>
                        <w:sz w:val="15"/>
                      </w:rPr>
                      <w:t>et</w:t>
                    </w:r>
                    <w:r>
                      <w:rPr>
                        <w:rFonts w:ascii="Arial" w:hAnsi="Arial"/>
                        <w:color w:val="231F20"/>
                        <w:spacing w:val="-5"/>
                        <w:sz w:val="15"/>
                      </w:rPr>
                      <w:t> </w:t>
                    </w:r>
                    <w:r>
                      <w:rPr>
                        <w:rFonts w:ascii="Arial" w:hAnsi="Arial"/>
                        <w:color w:val="231F20"/>
                        <w:w w:val="90"/>
                        <w:sz w:val="15"/>
                      </w:rPr>
                      <w:t>de</w:t>
                    </w:r>
                    <w:r>
                      <w:rPr>
                        <w:rFonts w:ascii="Arial" w:hAnsi="Arial"/>
                        <w:color w:val="231F20"/>
                        <w:spacing w:val="-4"/>
                        <w:sz w:val="15"/>
                      </w:rPr>
                      <w:t> </w:t>
                    </w:r>
                    <w:r>
                      <w:rPr>
                        <w:rFonts w:ascii="Arial" w:hAnsi="Arial"/>
                        <w:color w:val="231F20"/>
                        <w:w w:val="90"/>
                        <w:sz w:val="15"/>
                      </w:rPr>
                      <w:t>bien-</w:t>
                    </w:r>
                    <w:r>
                      <w:rPr>
                        <w:rFonts w:ascii="Arial" w:hAnsi="Arial"/>
                        <w:color w:val="231F20"/>
                        <w:spacing w:val="-4"/>
                        <w:w w:val="90"/>
                        <w:sz w:val="15"/>
                      </w:rPr>
                      <w:t>être</w:t>
                    </w:r>
                  </w:p>
                </w:txbxContent>
              </v:textbox>
              <v:fill type="solid"/>
              <w10:wrap type="none"/>
            </v:shape>
            <v:shape style="position:absolute;left:4708;top:2807;width:1248;height:1248" type="#_x0000_t202" id="docshape1173" filled="true" fillcolor="#c7c8ca" stroked="false">
              <v:textbox inset="0,0,0,0">
                <w:txbxContent>
                  <w:p>
                    <w:pPr>
                      <w:spacing w:before="93"/>
                      <w:ind w:left="0" w:right="0" w:firstLine="0"/>
                      <w:jc w:val="center"/>
                      <w:rPr>
                        <w:rFonts w:ascii="Arial"/>
                        <w:b/>
                        <w:color w:val="000000"/>
                        <w:sz w:val="24"/>
                      </w:rPr>
                    </w:pPr>
                    <w:r>
                      <w:rPr>
                        <w:rFonts w:ascii="Arial"/>
                        <w:b/>
                        <w:color w:val="FFFFFF"/>
                        <w:w w:val="90"/>
                        <w:sz w:val="24"/>
                      </w:rPr>
                      <w:t>A</w:t>
                    </w:r>
                  </w:p>
                  <w:p>
                    <w:pPr>
                      <w:spacing w:line="249" w:lineRule="auto" w:before="49"/>
                      <w:ind w:left="361" w:right="359" w:firstLine="0"/>
                      <w:jc w:val="center"/>
                      <w:rPr>
                        <w:rFonts w:ascii="Arial" w:hAnsi="Arial"/>
                        <w:color w:val="000000"/>
                        <w:sz w:val="15"/>
                      </w:rPr>
                    </w:pPr>
                    <w:r>
                      <w:rPr>
                        <w:rFonts w:ascii="Arial" w:hAnsi="Arial"/>
                        <w:color w:val="231F20"/>
                        <w:spacing w:val="-4"/>
                        <w:sz w:val="15"/>
                      </w:rPr>
                      <w:t>Bon</w:t>
                    </w:r>
                    <w:r>
                      <w:rPr>
                        <w:rFonts w:ascii="Arial" w:hAnsi="Arial"/>
                        <w:color w:val="231F20"/>
                        <w:spacing w:val="-13"/>
                        <w:sz w:val="15"/>
                      </w:rPr>
                      <w:t> </w:t>
                    </w:r>
                    <w:r>
                      <w:rPr>
                        <w:rFonts w:ascii="Arial" w:hAnsi="Arial"/>
                        <w:color w:val="231F20"/>
                        <w:spacing w:val="-4"/>
                        <w:sz w:val="15"/>
                      </w:rPr>
                      <w:t>état</w:t>
                    </w:r>
                    <w:r>
                      <w:rPr>
                        <w:rFonts w:ascii="Arial" w:hAnsi="Arial"/>
                        <w:color w:val="231F20"/>
                        <w:sz w:val="15"/>
                      </w:rPr>
                      <w:t> </w:t>
                    </w:r>
                    <w:r>
                      <w:rPr>
                        <w:rFonts w:ascii="Arial" w:hAnsi="Arial"/>
                        <w:color w:val="231F20"/>
                        <w:w w:val="90"/>
                        <w:sz w:val="15"/>
                      </w:rPr>
                      <w:t>de</w:t>
                    </w:r>
                    <w:r>
                      <w:rPr>
                        <w:rFonts w:ascii="Arial" w:hAnsi="Arial"/>
                        <w:color w:val="231F20"/>
                        <w:spacing w:val="-4"/>
                        <w:w w:val="90"/>
                        <w:sz w:val="15"/>
                      </w:rPr>
                      <w:t> </w:t>
                    </w:r>
                    <w:r>
                      <w:rPr>
                        <w:rFonts w:ascii="Arial" w:hAnsi="Arial"/>
                        <w:color w:val="231F20"/>
                        <w:spacing w:val="-4"/>
                        <w:w w:val="95"/>
                        <w:sz w:val="15"/>
                      </w:rPr>
                      <w:t>santé</w:t>
                    </w:r>
                  </w:p>
                  <w:p>
                    <w:pPr>
                      <w:spacing w:line="249" w:lineRule="auto" w:before="1"/>
                      <w:ind w:left="169" w:right="167" w:firstLine="0"/>
                      <w:jc w:val="center"/>
                      <w:rPr>
                        <w:rFonts w:ascii="Arial" w:hAnsi="Arial"/>
                        <w:color w:val="000000"/>
                        <w:sz w:val="15"/>
                      </w:rPr>
                    </w:pPr>
                    <w:r>
                      <w:rPr>
                        <w:rFonts w:ascii="Arial" w:hAnsi="Arial"/>
                        <w:color w:val="231F20"/>
                        <w:spacing w:val="-2"/>
                        <w:w w:val="95"/>
                        <w:sz w:val="15"/>
                      </w:rPr>
                      <w:t>psychologique</w:t>
                    </w:r>
                    <w:r>
                      <w:rPr>
                        <w:rFonts w:ascii="Arial" w:hAnsi="Arial"/>
                        <w:color w:val="231F20"/>
                        <w:sz w:val="15"/>
                      </w:rPr>
                      <w:t> </w:t>
                    </w:r>
                    <w:r>
                      <w:rPr>
                        <w:rFonts w:ascii="Arial" w:hAnsi="Arial"/>
                        <w:color w:val="231F20"/>
                        <w:w w:val="90"/>
                        <w:sz w:val="15"/>
                      </w:rPr>
                      <w:t>et</w:t>
                    </w:r>
                    <w:r>
                      <w:rPr>
                        <w:rFonts w:ascii="Arial" w:hAnsi="Arial"/>
                        <w:color w:val="231F20"/>
                        <w:spacing w:val="-5"/>
                        <w:sz w:val="15"/>
                      </w:rPr>
                      <w:t> </w:t>
                    </w:r>
                    <w:r>
                      <w:rPr>
                        <w:rFonts w:ascii="Arial" w:hAnsi="Arial"/>
                        <w:color w:val="231F20"/>
                        <w:w w:val="90"/>
                        <w:sz w:val="15"/>
                      </w:rPr>
                      <w:t>de</w:t>
                    </w:r>
                    <w:r>
                      <w:rPr>
                        <w:rFonts w:ascii="Arial" w:hAnsi="Arial"/>
                        <w:color w:val="231F20"/>
                        <w:spacing w:val="-4"/>
                        <w:sz w:val="15"/>
                      </w:rPr>
                      <w:t> </w:t>
                    </w:r>
                    <w:r>
                      <w:rPr>
                        <w:rFonts w:ascii="Arial" w:hAnsi="Arial"/>
                        <w:color w:val="231F20"/>
                        <w:w w:val="90"/>
                        <w:sz w:val="15"/>
                      </w:rPr>
                      <w:t>bien-</w:t>
                    </w:r>
                    <w:r>
                      <w:rPr>
                        <w:rFonts w:ascii="Arial" w:hAnsi="Arial"/>
                        <w:color w:val="231F20"/>
                        <w:spacing w:val="-4"/>
                        <w:w w:val="90"/>
                        <w:sz w:val="15"/>
                      </w:rPr>
                      <w:t>être</w:t>
                    </w:r>
                  </w:p>
                </w:txbxContent>
              </v:textbox>
              <v:fill type="solid"/>
              <w10:wrap type="none"/>
            </v:shape>
            <v:shape style="position:absolute;left:3061;top:2807;width:1248;height:1248" type="#_x0000_t202" id="docshape1174" filled="true" fillcolor="#c7c8ca" stroked="false">
              <v:textbox inset="0,0,0,0">
                <w:txbxContent>
                  <w:p>
                    <w:pPr>
                      <w:spacing w:before="93"/>
                      <w:ind w:left="0" w:right="0" w:firstLine="0"/>
                      <w:jc w:val="center"/>
                      <w:rPr>
                        <w:rFonts w:ascii="Arial"/>
                        <w:b/>
                        <w:color w:val="000000"/>
                        <w:sz w:val="24"/>
                      </w:rPr>
                    </w:pPr>
                    <w:r>
                      <w:rPr>
                        <w:rFonts w:ascii="Arial"/>
                        <w:b/>
                        <w:color w:val="FFFFFF"/>
                        <w:w w:val="85"/>
                        <w:sz w:val="24"/>
                      </w:rPr>
                      <w:t>B</w:t>
                    </w:r>
                  </w:p>
                  <w:p>
                    <w:pPr>
                      <w:spacing w:line="249" w:lineRule="auto" w:before="49"/>
                      <w:ind w:left="169" w:right="167" w:firstLine="0"/>
                      <w:jc w:val="center"/>
                      <w:rPr>
                        <w:rFonts w:ascii="Arial" w:hAnsi="Arial"/>
                        <w:color w:val="000000"/>
                        <w:sz w:val="15"/>
                      </w:rPr>
                    </w:pPr>
                    <w:r>
                      <w:rPr>
                        <w:rFonts w:ascii="Arial" w:hAnsi="Arial"/>
                        <w:color w:val="231F20"/>
                        <w:sz w:val="15"/>
                      </w:rPr>
                      <w:t>État</w:t>
                    </w:r>
                    <w:r>
                      <w:rPr>
                        <w:rFonts w:ascii="Arial" w:hAnsi="Arial"/>
                        <w:color w:val="231F20"/>
                        <w:spacing w:val="-13"/>
                        <w:sz w:val="15"/>
                      </w:rPr>
                      <w:t> </w:t>
                    </w:r>
                    <w:r>
                      <w:rPr>
                        <w:rFonts w:ascii="Arial" w:hAnsi="Arial"/>
                        <w:color w:val="231F20"/>
                        <w:sz w:val="15"/>
                      </w:rPr>
                      <w:t>modéré de</w:t>
                    </w:r>
                    <w:r>
                      <w:rPr>
                        <w:rFonts w:ascii="Arial" w:hAnsi="Arial"/>
                        <w:color w:val="231F20"/>
                        <w:spacing w:val="-13"/>
                        <w:sz w:val="15"/>
                      </w:rPr>
                      <w:t> </w:t>
                    </w:r>
                    <w:r>
                      <w:rPr>
                        <w:rFonts w:ascii="Arial" w:hAnsi="Arial"/>
                        <w:color w:val="231F20"/>
                        <w:sz w:val="15"/>
                      </w:rPr>
                      <w:t>santé </w:t>
                    </w:r>
                    <w:r>
                      <w:rPr>
                        <w:rFonts w:ascii="Arial" w:hAnsi="Arial"/>
                        <w:color w:val="231F20"/>
                        <w:spacing w:val="-2"/>
                        <w:w w:val="95"/>
                        <w:sz w:val="15"/>
                      </w:rPr>
                      <w:t>psychologique</w:t>
                    </w:r>
                    <w:r>
                      <w:rPr>
                        <w:rFonts w:ascii="Arial" w:hAnsi="Arial"/>
                        <w:color w:val="231F20"/>
                        <w:sz w:val="15"/>
                      </w:rPr>
                      <w:t> </w:t>
                    </w:r>
                    <w:r>
                      <w:rPr>
                        <w:rFonts w:ascii="Arial" w:hAnsi="Arial"/>
                        <w:color w:val="231F20"/>
                        <w:w w:val="90"/>
                        <w:sz w:val="15"/>
                      </w:rPr>
                      <w:t>et</w:t>
                    </w:r>
                    <w:r>
                      <w:rPr>
                        <w:rFonts w:ascii="Arial" w:hAnsi="Arial"/>
                        <w:color w:val="231F20"/>
                        <w:spacing w:val="-5"/>
                        <w:sz w:val="15"/>
                      </w:rPr>
                      <w:t> </w:t>
                    </w:r>
                    <w:r>
                      <w:rPr>
                        <w:rFonts w:ascii="Arial" w:hAnsi="Arial"/>
                        <w:color w:val="231F20"/>
                        <w:w w:val="90"/>
                        <w:sz w:val="15"/>
                      </w:rPr>
                      <w:t>de</w:t>
                    </w:r>
                    <w:r>
                      <w:rPr>
                        <w:rFonts w:ascii="Arial" w:hAnsi="Arial"/>
                        <w:color w:val="231F20"/>
                        <w:spacing w:val="-4"/>
                        <w:sz w:val="15"/>
                      </w:rPr>
                      <w:t> </w:t>
                    </w:r>
                    <w:r>
                      <w:rPr>
                        <w:rFonts w:ascii="Arial" w:hAnsi="Arial"/>
                        <w:color w:val="231F20"/>
                        <w:w w:val="90"/>
                        <w:sz w:val="15"/>
                      </w:rPr>
                      <w:t>bien-</w:t>
                    </w:r>
                    <w:r>
                      <w:rPr>
                        <w:rFonts w:ascii="Arial" w:hAnsi="Arial"/>
                        <w:color w:val="231F20"/>
                        <w:spacing w:val="-4"/>
                        <w:w w:val="90"/>
                        <w:sz w:val="15"/>
                      </w:rPr>
                      <w:t>être</w:t>
                    </w:r>
                  </w:p>
                </w:txbxContent>
              </v:textbox>
              <v:fill type="solid"/>
              <w10:wrap type="none"/>
            </v:shape>
            <w10:wrap type="none"/>
          </v:group>
        </w:pict>
      </w:r>
      <w:r>
        <w:rPr>
          <w:color w:val="231F20"/>
          <w:w w:val="120"/>
        </w:rPr>
        <w:t>demeure à être démontrée, nous estimons néanmoins qu’il permet d’obtenir une appréciation de l’état de son estime de soi personnelle. Cette échelle est présentée ci-après.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pStyle w:val="BodyText"/>
        <w:spacing w:line="307" w:lineRule="auto" w:before="145"/>
        <w:ind w:left="1220" w:right="104"/>
        <w:jc w:val="both"/>
      </w:pPr>
      <w:r>
        <w:rPr>
          <w:b/>
          <w:color w:val="231F20"/>
          <w:w w:val="115"/>
        </w:rPr>
        <w:t>Quadrant</w:t>
      </w:r>
      <w:r>
        <w:rPr>
          <w:b/>
          <w:color w:val="231F20"/>
          <w:spacing w:val="-1"/>
          <w:w w:val="115"/>
        </w:rPr>
        <w:t> </w:t>
      </w:r>
      <w:r>
        <w:rPr>
          <w:b/>
          <w:color w:val="231F20"/>
          <w:w w:val="115"/>
        </w:rPr>
        <w:t>A</w:t>
      </w:r>
      <w:r>
        <w:rPr>
          <w:color w:val="231F20"/>
          <w:w w:val="115"/>
        </w:rPr>
        <w:t>. Les personnes positionnées dans ce quadrant affichent une </w:t>
      </w:r>
      <w:r>
        <w:rPr>
          <w:color w:val="231F20"/>
          <w:spacing w:val="-2"/>
          <w:w w:val="120"/>
        </w:rPr>
        <w:t>estime</w:t>
      </w:r>
      <w:r>
        <w:rPr>
          <w:color w:val="231F20"/>
          <w:spacing w:val="-9"/>
          <w:w w:val="120"/>
        </w:rPr>
        <w:t> </w:t>
      </w:r>
      <w:r>
        <w:rPr>
          <w:color w:val="231F20"/>
          <w:spacing w:val="-2"/>
          <w:w w:val="120"/>
        </w:rPr>
        <w:t>de</w:t>
      </w:r>
      <w:r>
        <w:rPr>
          <w:color w:val="231F20"/>
          <w:spacing w:val="-9"/>
          <w:w w:val="120"/>
        </w:rPr>
        <w:t> </w:t>
      </w:r>
      <w:r>
        <w:rPr>
          <w:color w:val="231F20"/>
          <w:spacing w:val="-2"/>
          <w:w w:val="120"/>
        </w:rPr>
        <w:t>soi</w:t>
      </w:r>
      <w:r>
        <w:rPr>
          <w:color w:val="231F20"/>
          <w:spacing w:val="-9"/>
          <w:w w:val="120"/>
        </w:rPr>
        <w:t> </w:t>
      </w:r>
      <w:r>
        <w:rPr>
          <w:color w:val="231F20"/>
          <w:spacing w:val="-2"/>
          <w:w w:val="120"/>
        </w:rPr>
        <w:t>relativement</w:t>
      </w:r>
      <w:r>
        <w:rPr>
          <w:color w:val="231F20"/>
          <w:spacing w:val="-9"/>
          <w:w w:val="120"/>
        </w:rPr>
        <w:t> </w:t>
      </w:r>
      <w:r>
        <w:rPr>
          <w:color w:val="231F20"/>
          <w:spacing w:val="-2"/>
          <w:w w:val="120"/>
        </w:rPr>
        <w:t>élevée</w:t>
      </w:r>
      <w:r>
        <w:rPr>
          <w:color w:val="231F20"/>
          <w:spacing w:val="-9"/>
          <w:w w:val="120"/>
        </w:rPr>
        <w:t> </w:t>
      </w:r>
      <w:r>
        <w:rPr>
          <w:color w:val="231F20"/>
          <w:spacing w:val="-2"/>
          <w:w w:val="120"/>
        </w:rPr>
        <w:t>et</w:t>
      </w:r>
      <w:r>
        <w:rPr>
          <w:color w:val="231F20"/>
          <w:spacing w:val="-9"/>
          <w:w w:val="120"/>
        </w:rPr>
        <w:t> </w:t>
      </w:r>
      <w:r>
        <w:rPr>
          <w:color w:val="231F20"/>
          <w:spacing w:val="-2"/>
          <w:w w:val="120"/>
        </w:rPr>
        <w:t>un</w:t>
      </w:r>
      <w:r>
        <w:rPr>
          <w:color w:val="231F20"/>
          <w:spacing w:val="-9"/>
          <w:w w:val="120"/>
        </w:rPr>
        <w:t> </w:t>
      </w:r>
      <w:r>
        <w:rPr>
          <w:color w:val="231F20"/>
          <w:spacing w:val="-2"/>
          <w:w w:val="120"/>
        </w:rPr>
        <w:t>niveau</w:t>
      </w:r>
      <w:r>
        <w:rPr>
          <w:color w:val="231F20"/>
          <w:spacing w:val="-9"/>
          <w:w w:val="120"/>
        </w:rPr>
        <w:t> </w:t>
      </w:r>
      <w:r>
        <w:rPr>
          <w:color w:val="231F20"/>
          <w:spacing w:val="-2"/>
          <w:w w:val="120"/>
        </w:rPr>
        <w:t>élevé</w:t>
      </w:r>
      <w:r>
        <w:rPr>
          <w:color w:val="231F20"/>
          <w:spacing w:val="-9"/>
          <w:w w:val="120"/>
        </w:rPr>
        <w:t> </w:t>
      </w:r>
      <w:r>
        <w:rPr>
          <w:color w:val="231F20"/>
          <w:spacing w:val="-2"/>
          <w:w w:val="120"/>
        </w:rPr>
        <w:t>de</w:t>
      </w:r>
      <w:r>
        <w:rPr>
          <w:color w:val="231F20"/>
          <w:spacing w:val="-9"/>
          <w:w w:val="120"/>
        </w:rPr>
        <w:t> </w:t>
      </w:r>
      <w:r>
        <w:rPr>
          <w:color w:val="231F20"/>
          <w:spacing w:val="-2"/>
          <w:w w:val="120"/>
        </w:rPr>
        <w:t>congruence</w:t>
      </w:r>
      <w:r>
        <w:rPr>
          <w:color w:val="231F20"/>
          <w:spacing w:val="-9"/>
          <w:w w:val="120"/>
        </w:rPr>
        <w:t> </w:t>
      </w:r>
      <w:r>
        <w:rPr>
          <w:color w:val="231F20"/>
          <w:spacing w:val="-2"/>
          <w:w w:val="120"/>
        </w:rPr>
        <w:t>entre leurs</w:t>
      </w:r>
      <w:r>
        <w:rPr>
          <w:color w:val="231F20"/>
          <w:spacing w:val="-9"/>
          <w:w w:val="120"/>
        </w:rPr>
        <w:t> </w:t>
      </w:r>
      <w:r>
        <w:rPr>
          <w:color w:val="231F20"/>
          <w:spacing w:val="-2"/>
          <w:w w:val="120"/>
        </w:rPr>
        <w:t>valeurs.</w:t>
      </w:r>
      <w:r>
        <w:rPr>
          <w:color w:val="231F20"/>
          <w:spacing w:val="-9"/>
          <w:w w:val="120"/>
        </w:rPr>
        <w:t> </w:t>
      </w:r>
      <w:r>
        <w:rPr>
          <w:color w:val="231F20"/>
          <w:spacing w:val="-2"/>
          <w:w w:val="120"/>
        </w:rPr>
        <w:t>Ces</w:t>
      </w:r>
      <w:r>
        <w:rPr>
          <w:color w:val="231F20"/>
          <w:spacing w:val="-9"/>
          <w:w w:val="120"/>
        </w:rPr>
        <w:t> </w:t>
      </w:r>
      <w:r>
        <w:rPr>
          <w:color w:val="231F20"/>
          <w:spacing w:val="-2"/>
          <w:w w:val="120"/>
        </w:rPr>
        <w:t>personnes</w:t>
      </w:r>
      <w:r>
        <w:rPr>
          <w:color w:val="231F20"/>
          <w:spacing w:val="-9"/>
          <w:w w:val="120"/>
        </w:rPr>
        <w:t> </w:t>
      </w:r>
      <w:r>
        <w:rPr>
          <w:color w:val="231F20"/>
          <w:spacing w:val="-2"/>
          <w:w w:val="120"/>
        </w:rPr>
        <w:t>sont</w:t>
      </w:r>
      <w:r>
        <w:rPr>
          <w:color w:val="231F20"/>
          <w:spacing w:val="-9"/>
          <w:w w:val="120"/>
        </w:rPr>
        <w:t> </w:t>
      </w:r>
      <w:r>
        <w:rPr>
          <w:color w:val="231F20"/>
          <w:spacing w:val="-2"/>
          <w:w w:val="120"/>
        </w:rPr>
        <w:t>dans</w:t>
      </w:r>
      <w:r>
        <w:rPr>
          <w:color w:val="231F20"/>
          <w:spacing w:val="-9"/>
          <w:w w:val="120"/>
        </w:rPr>
        <w:t> </w:t>
      </w:r>
      <w:r>
        <w:rPr>
          <w:color w:val="231F20"/>
          <w:spacing w:val="-2"/>
          <w:w w:val="120"/>
        </w:rPr>
        <w:t>un</w:t>
      </w:r>
      <w:r>
        <w:rPr>
          <w:color w:val="231F20"/>
          <w:spacing w:val="-9"/>
          <w:w w:val="120"/>
        </w:rPr>
        <w:t> </w:t>
      </w:r>
      <w:r>
        <w:rPr>
          <w:color w:val="231F20"/>
          <w:spacing w:val="-2"/>
          <w:w w:val="120"/>
        </w:rPr>
        <w:t>excellent</w:t>
      </w:r>
      <w:r>
        <w:rPr>
          <w:color w:val="231F20"/>
          <w:spacing w:val="-9"/>
          <w:w w:val="120"/>
        </w:rPr>
        <w:t> </w:t>
      </w:r>
      <w:r>
        <w:rPr>
          <w:color w:val="231F20"/>
          <w:spacing w:val="-2"/>
          <w:w w:val="120"/>
        </w:rPr>
        <w:t>état</w:t>
      </w:r>
      <w:r>
        <w:rPr>
          <w:color w:val="231F20"/>
          <w:spacing w:val="-9"/>
          <w:w w:val="120"/>
        </w:rPr>
        <w:t> </w:t>
      </w:r>
      <w:r>
        <w:rPr>
          <w:color w:val="231F20"/>
          <w:spacing w:val="-2"/>
          <w:w w:val="120"/>
        </w:rPr>
        <w:t>de</w:t>
      </w:r>
      <w:r>
        <w:rPr>
          <w:color w:val="231F20"/>
          <w:spacing w:val="-9"/>
          <w:w w:val="120"/>
        </w:rPr>
        <w:t> </w:t>
      </w:r>
      <w:r>
        <w:rPr>
          <w:color w:val="231F20"/>
          <w:spacing w:val="-2"/>
          <w:w w:val="120"/>
        </w:rPr>
        <w:t>bien-être</w:t>
      </w:r>
      <w:r>
        <w:rPr>
          <w:color w:val="231F20"/>
          <w:spacing w:val="-9"/>
          <w:w w:val="120"/>
        </w:rPr>
        <w:t> </w:t>
      </w:r>
      <w:r>
        <w:rPr>
          <w:color w:val="231F20"/>
          <w:spacing w:val="-2"/>
          <w:w w:val="120"/>
        </w:rPr>
        <w:t>psy- </w:t>
      </w:r>
      <w:r>
        <w:rPr>
          <w:color w:val="231F20"/>
          <w:w w:val="120"/>
        </w:rPr>
        <w:t>chologique</w:t>
      </w:r>
      <w:r>
        <w:rPr>
          <w:color w:val="231F20"/>
          <w:spacing w:val="-9"/>
          <w:w w:val="120"/>
        </w:rPr>
        <w:t> </w:t>
      </w:r>
      <w:r>
        <w:rPr>
          <w:color w:val="231F20"/>
          <w:w w:val="120"/>
        </w:rPr>
        <w:t>et</w:t>
      </w:r>
      <w:r>
        <w:rPr>
          <w:color w:val="231F20"/>
          <w:spacing w:val="-9"/>
          <w:w w:val="120"/>
        </w:rPr>
        <w:t> </w:t>
      </w:r>
      <w:r>
        <w:rPr>
          <w:color w:val="231F20"/>
          <w:w w:val="120"/>
        </w:rPr>
        <w:t>la</w:t>
      </w:r>
      <w:r>
        <w:rPr>
          <w:color w:val="231F20"/>
          <w:spacing w:val="-9"/>
          <w:w w:val="120"/>
        </w:rPr>
        <w:t> </w:t>
      </w:r>
      <w:r>
        <w:rPr>
          <w:color w:val="231F20"/>
          <w:w w:val="120"/>
        </w:rPr>
        <w:t>probabilité</w:t>
      </w:r>
      <w:r>
        <w:rPr>
          <w:color w:val="231F20"/>
          <w:spacing w:val="-9"/>
          <w:w w:val="120"/>
        </w:rPr>
        <w:t> </w:t>
      </w:r>
      <w:r>
        <w:rPr>
          <w:color w:val="231F20"/>
          <w:w w:val="120"/>
        </w:rPr>
        <w:t>pour</w:t>
      </w:r>
      <w:r>
        <w:rPr>
          <w:color w:val="231F20"/>
          <w:spacing w:val="-9"/>
          <w:w w:val="120"/>
        </w:rPr>
        <w:t> </w:t>
      </w:r>
      <w:r>
        <w:rPr>
          <w:color w:val="231F20"/>
          <w:w w:val="120"/>
        </w:rPr>
        <w:t>les</w:t>
      </w:r>
      <w:r>
        <w:rPr>
          <w:color w:val="231F20"/>
          <w:spacing w:val="-9"/>
          <w:w w:val="120"/>
        </w:rPr>
        <w:t> </w:t>
      </w:r>
      <w:r>
        <w:rPr>
          <w:color w:val="231F20"/>
          <w:w w:val="120"/>
        </w:rPr>
        <w:t>personnes</w:t>
      </w:r>
      <w:r>
        <w:rPr>
          <w:color w:val="231F20"/>
          <w:spacing w:val="-9"/>
          <w:w w:val="120"/>
        </w:rPr>
        <w:t> </w:t>
      </w:r>
      <w:r>
        <w:rPr>
          <w:color w:val="231F20"/>
          <w:w w:val="120"/>
        </w:rPr>
        <w:t>de</w:t>
      </w:r>
      <w:r>
        <w:rPr>
          <w:color w:val="231F20"/>
          <w:spacing w:val="-9"/>
          <w:w w:val="120"/>
        </w:rPr>
        <w:t> </w:t>
      </w:r>
      <w:r>
        <w:rPr>
          <w:color w:val="231F20"/>
          <w:w w:val="120"/>
        </w:rPr>
        <w:t>ce</w:t>
      </w:r>
      <w:r>
        <w:rPr>
          <w:color w:val="231F20"/>
          <w:spacing w:val="-9"/>
          <w:w w:val="120"/>
        </w:rPr>
        <w:t> </w:t>
      </w:r>
      <w:r>
        <w:rPr>
          <w:color w:val="231F20"/>
          <w:w w:val="120"/>
        </w:rPr>
        <w:t>groupe</w:t>
      </w:r>
      <w:r>
        <w:rPr>
          <w:color w:val="231F20"/>
          <w:spacing w:val="-9"/>
          <w:w w:val="120"/>
        </w:rPr>
        <w:t> </w:t>
      </w:r>
      <w:r>
        <w:rPr>
          <w:color w:val="231F20"/>
          <w:w w:val="120"/>
        </w:rPr>
        <w:t>de</w:t>
      </w:r>
      <w:r>
        <w:rPr>
          <w:color w:val="231F20"/>
          <w:spacing w:val="-9"/>
          <w:w w:val="120"/>
        </w:rPr>
        <w:t> </w:t>
      </w:r>
      <w:r>
        <w:rPr>
          <w:color w:val="231F20"/>
          <w:w w:val="120"/>
        </w:rPr>
        <w:t>souffrir </w:t>
      </w:r>
      <w:r>
        <w:rPr>
          <w:color w:val="231F20"/>
          <w:w w:val="115"/>
        </w:rPr>
        <w:t>de</w:t>
      </w:r>
      <w:r>
        <w:rPr>
          <w:color w:val="231F20"/>
          <w:spacing w:val="-10"/>
          <w:w w:val="115"/>
        </w:rPr>
        <w:t> </w:t>
      </w:r>
      <w:r>
        <w:rPr>
          <w:color w:val="231F20"/>
          <w:w w:val="115"/>
        </w:rPr>
        <w:t>longs</w:t>
      </w:r>
      <w:r>
        <w:rPr>
          <w:color w:val="231F20"/>
          <w:spacing w:val="-10"/>
          <w:w w:val="115"/>
        </w:rPr>
        <w:t> </w:t>
      </w:r>
      <w:r>
        <w:rPr>
          <w:color w:val="231F20"/>
          <w:w w:val="115"/>
        </w:rPr>
        <w:t>épisodes</w:t>
      </w:r>
      <w:r>
        <w:rPr>
          <w:color w:val="231F20"/>
          <w:spacing w:val="-10"/>
          <w:w w:val="115"/>
        </w:rPr>
        <w:t> </w:t>
      </w:r>
      <w:r>
        <w:rPr>
          <w:color w:val="231F20"/>
          <w:w w:val="115"/>
        </w:rPr>
        <w:t>dépressifs</w:t>
      </w:r>
      <w:r>
        <w:rPr>
          <w:color w:val="231F20"/>
          <w:spacing w:val="-10"/>
          <w:w w:val="115"/>
        </w:rPr>
        <w:t> </w:t>
      </w:r>
      <w:r>
        <w:rPr>
          <w:color w:val="231F20"/>
          <w:w w:val="115"/>
        </w:rPr>
        <w:t>ou</w:t>
      </w:r>
      <w:r>
        <w:rPr>
          <w:color w:val="231F20"/>
          <w:spacing w:val="-10"/>
          <w:w w:val="115"/>
        </w:rPr>
        <w:t> </w:t>
      </w:r>
      <w:r>
        <w:rPr>
          <w:color w:val="231F20"/>
          <w:w w:val="115"/>
        </w:rPr>
        <w:t>d’anxiété</w:t>
      </w:r>
      <w:r>
        <w:rPr>
          <w:color w:val="231F20"/>
          <w:spacing w:val="-10"/>
          <w:w w:val="115"/>
        </w:rPr>
        <w:t> </w:t>
      </w:r>
      <w:r>
        <w:rPr>
          <w:color w:val="231F20"/>
          <w:w w:val="115"/>
        </w:rPr>
        <w:t>est</w:t>
      </w:r>
      <w:r>
        <w:rPr>
          <w:color w:val="231F20"/>
          <w:spacing w:val="-10"/>
          <w:w w:val="115"/>
        </w:rPr>
        <w:t> </w:t>
      </w:r>
      <w:r>
        <w:rPr>
          <w:color w:val="231F20"/>
          <w:w w:val="115"/>
        </w:rPr>
        <w:t>très</w:t>
      </w:r>
      <w:r>
        <w:rPr>
          <w:color w:val="231F20"/>
          <w:spacing w:val="-10"/>
          <w:w w:val="115"/>
        </w:rPr>
        <w:t> </w:t>
      </w:r>
      <w:r>
        <w:rPr>
          <w:color w:val="231F20"/>
          <w:w w:val="115"/>
        </w:rPr>
        <w:t>faible.</w:t>
      </w:r>
      <w:r>
        <w:rPr>
          <w:color w:val="231F20"/>
          <w:spacing w:val="-10"/>
          <w:w w:val="115"/>
        </w:rPr>
        <w:t> </w:t>
      </w:r>
      <w:r>
        <w:rPr>
          <w:color w:val="231F20"/>
          <w:w w:val="115"/>
        </w:rPr>
        <w:t>Nous</w:t>
      </w:r>
      <w:r>
        <w:rPr>
          <w:color w:val="231F20"/>
          <w:spacing w:val="-10"/>
          <w:w w:val="115"/>
        </w:rPr>
        <w:t> </w:t>
      </w:r>
      <w:r>
        <w:rPr>
          <w:color w:val="231F20"/>
          <w:w w:val="115"/>
        </w:rPr>
        <w:t>considérons </w:t>
      </w:r>
      <w:r>
        <w:rPr>
          <w:color w:val="231F20"/>
          <w:w w:val="120"/>
        </w:rPr>
        <w:t>que ces personnes possèdent une bonne résilience psychologique.</w:t>
      </w:r>
    </w:p>
    <w:p>
      <w:pPr>
        <w:pStyle w:val="BodyText"/>
        <w:spacing w:before="7"/>
        <w:rPr>
          <w:sz w:val="21"/>
        </w:rPr>
      </w:pPr>
    </w:p>
    <w:p>
      <w:pPr>
        <w:pStyle w:val="BodyText"/>
        <w:spacing w:line="307" w:lineRule="auto"/>
        <w:ind w:left="1220" w:right="105"/>
        <w:jc w:val="both"/>
      </w:pPr>
      <w:r>
        <w:rPr>
          <w:b/>
          <w:color w:val="231F20"/>
          <w:w w:val="115"/>
        </w:rPr>
        <w:t>Quadrants</w:t>
      </w:r>
      <w:r>
        <w:rPr>
          <w:b/>
          <w:color w:val="231F20"/>
          <w:spacing w:val="-13"/>
          <w:w w:val="115"/>
        </w:rPr>
        <w:t> </w:t>
      </w:r>
      <w:r>
        <w:rPr>
          <w:b/>
          <w:color w:val="231F20"/>
          <w:w w:val="115"/>
        </w:rPr>
        <w:t>B</w:t>
      </w:r>
      <w:r>
        <w:rPr>
          <w:b/>
          <w:color w:val="231F20"/>
          <w:spacing w:val="-12"/>
          <w:w w:val="115"/>
        </w:rPr>
        <w:t> </w:t>
      </w:r>
      <w:r>
        <w:rPr>
          <w:b/>
          <w:color w:val="231F20"/>
          <w:w w:val="115"/>
        </w:rPr>
        <w:t>et</w:t>
      </w:r>
      <w:r>
        <w:rPr>
          <w:b/>
          <w:color w:val="231F20"/>
          <w:spacing w:val="-12"/>
          <w:w w:val="115"/>
        </w:rPr>
        <w:t> </w:t>
      </w:r>
      <w:r>
        <w:rPr>
          <w:b/>
          <w:color w:val="231F20"/>
          <w:w w:val="115"/>
        </w:rPr>
        <w:t>C</w:t>
      </w:r>
      <w:r>
        <w:rPr>
          <w:color w:val="231F20"/>
          <w:w w:val="115"/>
        </w:rPr>
        <w:t>.</w:t>
      </w:r>
      <w:r>
        <w:rPr>
          <w:color w:val="231F20"/>
          <w:spacing w:val="-12"/>
          <w:w w:val="115"/>
        </w:rPr>
        <w:t> </w:t>
      </w:r>
      <w:r>
        <w:rPr>
          <w:color w:val="231F20"/>
          <w:w w:val="115"/>
        </w:rPr>
        <w:t>Les</w:t>
      </w:r>
      <w:r>
        <w:rPr>
          <w:color w:val="231F20"/>
          <w:spacing w:val="-13"/>
          <w:w w:val="115"/>
        </w:rPr>
        <w:t> </w:t>
      </w:r>
      <w:r>
        <w:rPr>
          <w:color w:val="231F20"/>
          <w:w w:val="115"/>
        </w:rPr>
        <w:t>personnes</w:t>
      </w:r>
      <w:r>
        <w:rPr>
          <w:color w:val="231F20"/>
          <w:spacing w:val="-12"/>
          <w:w w:val="115"/>
        </w:rPr>
        <w:t> </w:t>
      </w:r>
      <w:r>
        <w:rPr>
          <w:color w:val="231F20"/>
          <w:w w:val="115"/>
        </w:rPr>
        <w:t>qui</w:t>
      </w:r>
      <w:r>
        <w:rPr>
          <w:color w:val="231F20"/>
          <w:spacing w:val="-12"/>
          <w:w w:val="115"/>
        </w:rPr>
        <w:t> </w:t>
      </w:r>
      <w:r>
        <w:rPr>
          <w:color w:val="231F20"/>
          <w:w w:val="115"/>
        </w:rPr>
        <w:t>se</w:t>
      </w:r>
      <w:r>
        <w:rPr>
          <w:color w:val="231F20"/>
          <w:spacing w:val="-12"/>
          <w:w w:val="115"/>
        </w:rPr>
        <w:t> </w:t>
      </w:r>
      <w:r>
        <w:rPr>
          <w:color w:val="231F20"/>
          <w:w w:val="115"/>
        </w:rPr>
        <w:t>retrouvent</w:t>
      </w:r>
      <w:r>
        <w:rPr>
          <w:color w:val="231F20"/>
          <w:spacing w:val="-12"/>
          <w:w w:val="115"/>
        </w:rPr>
        <w:t> </w:t>
      </w:r>
      <w:r>
        <w:rPr>
          <w:color w:val="231F20"/>
          <w:w w:val="115"/>
        </w:rPr>
        <w:t>dans</w:t>
      </w:r>
      <w:r>
        <w:rPr>
          <w:color w:val="231F20"/>
          <w:spacing w:val="-12"/>
          <w:w w:val="115"/>
        </w:rPr>
        <w:t> </w:t>
      </w:r>
      <w:r>
        <w:rPr>
          <w:color w:val="231F20"/>
          <w:w w:val="115"/>
        </w:rPr>
        <w:t>ces</w:t>
      </w:r>
      <w:r>
        <w:rPr>
          <w:color w:val="231F20"/>
          <w:spacing w:val="-11"/>
          <w:w w:val="115"/>
        </w:rPr>
        <w:t> </w:t>
      </w:r>
      <w:r>
        <w:rPr>
          <w:color w:val="231F20"/>
          <w:w w:val="115"/>
        </w:rPr>
        <w:t>quadrants</w:t>
      </w:r>
      <w:r>
        <w:rPr>
          <w:color w:val="231F20"/>
          <w:spacing w:val="-11"/>
          <w:w w:val="115"/>
        </w:rPr>
        <w:t> </w:t>
      </w:r>
      <w:r>
        <w:rPr>
          <w:color w:val="231F20"/>
          <w:w w:val="115"/>
        </w:rPr>
        <w:t>ont </w:t>
      </w:r>
      <w:r>
        <w:rPr>
          <w:color w:val="231F20"/>
          <w:w w:val="120"/>
        </w:rPr>
        <w:t>un</w:t>
      </w:r>
      <w:r>
        <w:rPr>
          <w:color w:val="231F20"/>
          <w:spacing w:val="-10"/>
          <w:w w:val="120"/>
        </w:rPr>
        <w:t> </w:t>
      </w:r>
      <w:r>
        <w:rPr>
          <w:color w:val="231F20"/>
          <w:w w:val="120"/>
        </w:rPr>
        <w:t>niveau</w:t>
      </w:r>
      <w:r>
        <w:rPr>
          <w:color w:val="231F20"/>
          <w:spacing w:val="-10"/>
          <w:w w:val="120"/>
        </w:rPr>
        <w:t> </w:t>
      </w:r>
      <w:r>
        <w:rPr>
          <w:color w:val="231F20"/>
          <w:w w:val="120"/>
        </w:rPr>
        <w:t>moyen</w:t>
      </w:r>
      <w:r>
        <w:rPr>
          <w:color w:val="231F20"/>
          <w:spacing w:val="-10"/>
          <w:w w:val="120"/>
        </w:rPr>
        <w:t> </w:t>
      </w:r>
      <w:r>
        <w:rPr>
          <w:color w:val="231F20"/>
          <w:w w:val="120"/>
        </w:rPr>
        <w:t>de</w:t>
      </w:r>
      <w:r>
        <w:rPr>
          <w:color w:val="231F20"/>
          <w:spacing w:val="-10"/>
          <w:w w:val="120"/>
        </w:rPr>
        <w:t> </w:t>
      </w:r>
      <w:r>
        <w:rPr>
          <w:color w:val="231F20"/>
          <w:w w:val="120"/>
        </w:rPr>
        <w:t>santé</w:t>
      </w:r>
      <w:r>
        <w:rPr>
          <w:color w:val="231F20"/>
          <w:spacing w:val="-10"/>
          <w:w w:val="120"/>
        </w:rPr>
        <w:t> </w:t>
      </w:r>
      <w:r>
        <w:rPr>
          <w:color w:val="231F20"/>
          <w:w w:val="120"/>
        </w:rPr>
        <w:t>et</w:t>
      </w:r>
      <w:r>
        <w:rPr>
          <w:color w:val="231F20"/>
          <w:spacing w:val="-10"/>
          <w:w w:val="120"/>
        </w:rPr>
        <w:t> </w:t>
      </w:r>
      <w:r>
        <w:rPr>
          <w:color w:val="231F20"/>
          <w:w w:val="120"/>
        </w:rPr>
        <w:t>de</w:t>
      </w:r>
      <w:r>
        <w:rPr>
          <w:color w:val="231F20"/>
          <w:spacing w:val="-10"/>
          <w:w w:val="120"/>
        </w:rPr>
        <w:t> </w:t>
      </w:r>
      <w:r>
        <w:rPr>
          <w:color w:val="231F20"/>
          <w:w w:val="120"/>
        </w:rPr>
        <w:t>bien-être</w:t>
      </w:r>
      <w:r>
        <w:rPr>
          <w:color w:val="231F20"/>
          <w:spacing w:val="-10"/>
          <w:w w:val="120"/>
        </w:rPr>
        <w:t> </w:t>
      </w:r>
      <w:r>
        <w:rPr>
          <w:color w:val="231F20"/>
          <w:w w:val="120"/>
        </w:rPr>
        <w:t>psychologique.</w:t>
      </w:r>
      <w:r>
        <w:rPr>
          <w:color w:val="231F20"/>
          <w:spacing w:val="-10"/>
          <w:w w:val="120"/>
        </w:rPr>
        <w:t> </w:t>
      </w:r>
      <w:r>
        <w:rPr>
          <w:color w:val="231F20"/>
          <w:w w:val="120"/>
        </w:rPr>
        <w:t>Cela</w:t>
      </w:r>
      <w:r>
        <w:rPr>
          <w:color w:val="231F20"/>
          <w:spacing w:val="-10"/>
          <w:w w:val="120"/>
        </w:rPr>
        <w:t> </w:t>
      </w:r>
      <w:r>
        <w:rPr>
          <w:color w:val="231F20"/>
          <w:w w:val="120"/>
        </w:rPr>
        <w:t>est</w:t>
      </w:r>
      <w:r>
        <w:rPr>
          <w:color w:val="231F20"/>
          <w:spacing w:val="-10"/>
          <w:w w:val="120"/>
        </w:rPr>
        <w:t> </w:t>
      </w:r>
      <w:r>
        <w:rPr>
          <w:color w:val="231F20"/>
          <w:w w:val="120"/>
        </w:rPr>
        <w:t>occa- sionné par un déficit dans une dimension qui est partiellement com- pensée par un excès dans l’autre dimension. La probabilité pour les personnes</w:t>
      </w:r>
      <w:r>
        <w:rPr>
          <w:color w:val="231F20"/>
          <w:spacing w:val="-7"/>
          <w:w w:val="120"/>
        </w:rPr>
        <w:t> </w:t>
      </w:r>
      <w:r>
        <w:rPr>
          <w:color w:val="231F20"/>
          <w:w w:val="120"/>
        </w:rPr>
        <w:t>de</w:t>
      </w:r>
      <w:r>
        <w:rPr>
          <w:color w:val="231F20"/>
          <w:spacing w:val="-6"/>
          <w:w w:val="120"/>
        </w:rPr>
        <w:t> </w:t>
      </w:r>
      <w:r>
        <w:rPr>
          <w:color w:val="231F20"/>
          <w:w w:val="120"/>
        </w:rPr>
        <w:t>ce</w:t>
      </w:r>
      <w:r>
        <w:rPr>
          <w:color w:val="231F20"/>
          <w:spacing w:val="-7"/>
          <w:w w:val="120"/>
        </w:rPr>
        <w:t> </w:t>
      </w:r>
      <w:r>
        <w:rPr>
          <w:color w:val="231F20"/>
          <w:w w:val="120"/>
        </w:rPr>
        <w:t>groupe</w:t>
      </w:r>
      <w:r>
        <w:rPr>
          <w:color w:val="231F20"/>
          <w:spacing w:val="-6"/>
          <w:w w:val="120"/>
        </w:rPr>
        <w:t> </w:t>
      </w:r>
      <w:r>
        <w:rPr>
          <w:color w:val="231F20"/>
          <w:w w:val="120"/>
        </w:rPr>
        <w:t>de</w:t>
      </w:r>
      <w:r>
        <w:rPr>
          <w:color w:val="231F20"/>
          <w:spacing w:val="-6"/>
          <w:w w:val="120"/>
        </w:rPr>
        <w:t> </w:t>
      </w:r>
      <w:r>
        <w:rPr>
          <w:color w:val="231F20"/>
          <w:w w:val="120"/>
        </w:rPr>
        <w:t>développer</w:t>
      </w:r>
      <w:r>
        <w:rPr>
          <w:color w:val="231F20"/>
          <w:spacing w:val="-7"/>
          <w:w w:val="120"/>
        </w:rPr>
        <w:t> </w:t>
      </w:r>
      <w:r>
        <w:rPr>
          <w:color w:val="231F20"/>
          <w:w w:val="120"/>
        </w:rPr>
        <w:t>des</w:t>
      </w:r>
      <w:r>
        <w:rPr>
          <w:color w:val="231F20"/>
          <w:spacing w:val="-6"/>
          <w:w w:val="120"/>
        </w:rPr>
        <w:t> </w:t>
      </w:r>
      <w:r>
        <w:rPr>
          <w:color w:val="231F20"/>
          <w:w w:val="120"/>
        </w:rPr>
        <w:t>symptômes</w:t>
      </w:r>
      <w:r>
        <w:rPr>
          <w:color w:val="231F20"/>
          <w:spacing w:val="-6"/>
          <w:w w:val="120"/>
        </w:rPr>
        <w:t> </w:t>
      </w:r>
      <w:r>
        <w:rPr>
          <w:color w:val="231F20"/>
          <w:w w:val="120"/>
        </w:rPr>
        <w:t>de</w:t>
      </w:r>
      <w:r>
        <w:rPr>
          <w:color w:val="231F20"/>
          <w:spacing w:val="-7"/>
          <w:w w:val="120"/>
        </w:rPr>
        <w:t> </w:t>
      </w:r>
      <w:r>
        <w:rPr>
          <w:color w:val="231F20"/>
          <w:w w:val="120"/>
        </w:rPr>
        <w:t>dépression</w:t>
      </w:r>
      <w:r>
        <w:rPr>
          <w:color w:val="231F20"/>
          <w:spacing w:val="-6"/>
          <w:w w:val="120"/>
        </w:rPr>
        <w:t> </w:t>
      </w:r>
      <w:r>
        <w:rPr>
          <w:color w:val="231F20"/>
          <w:spacing w:val="-5"/>
          <w:w w:val="120"/>
        </w:rPr>
        <w:t>et</w:t>
      </w:r>
    </w:p>
    <w:p>
      <w:pPr>
        <w:spacing w:after="0" w:line="307" w:lineRule="auto"/>
        <w:jc w:val="both"/>
        <w:sectPr>
          <w:footerReference w:type="default" r:id="rId351"/>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4"/>
        <w:jc w:val="both"/>
      </w:pPr>
      <w:r>
        <w:rPr>
          <w:color w:val="231F20"/>
          <w:w w:val="120"/>
        </w:rPr>
        <w:t>d’anxiété est cependant parfois atténuée par d’autres facteurs person- nels</w:t>
      </w:r>
      <w:r>
        <w:rPr>
          <w:color w:val="231F20"/>
          <w:spacing w:val="-4"/>
          <w:w w:val="120"/>
        </w:rPr>
        <w:t> </w:t>
      </w:r>
      <w:r>
        <w:rPr>
          <w:color w:val="231F20"/>
          <w:w w:val="120"/>
        </w:rPr>
        <w:t>ou</w:t>
      </w:r>
      <w:r>
        <w:rPr>
          <w:color w:val="231F20"/>
          <w:spacing w:val="-4"/>
          <w:w w:val="120"/>
        </w:rPr>
        <w:t> </w:t>
      </w:r>
      <w:r>
        <w:rPr>
          <w:color w:val="231F20"/>
          <w:w w:val="120"/>
        </w:rPr>
        <w:t>contextuels</w:t>
      </w:r>
      <w:r>
        <w:rPr>
          <w:color w:val="231F20"/>
          <w:spacing w:val="-4"/>
          <w:w w:val="120"/>
        </w:rPr>
        <w:t> </w:t>
      </w:r>
      <w:r>
        <w:rPr>
          <w:color w:val="231F20"/>
          <w:w w:val="120"/>
        </w:rPr>
        <w:t>(p.</w:t>
      </w:r>
      <w:r>
        <w:rPr>
          <w:color w:val="231F20"/>
          <w:spacing w:val="-4"/>
          <w:w w:val="120"/>
        </w:rPr>
        <w:t> </w:t>
      </w:r>
      <w:r>
        <w:rPr>
          <w:color w:val="231F20"/>
          <w:w w:val="120"/>
        </w:rPr>
        <w:t>ex.</w:t>
      </w:r>
      <w:r>
        <w:rPr>
          <w:color w:val="231F20"/>
          <w:spacing w:val="-4"/>
          <w:w w:val="120"/>
        </w:rPr>
        <w:t> </w:t>
      </w:r>
      <w:r>
        <w:rPr>
          <w:color w:val="231F20"/>
          <w:w w:val="120"/>
        </w:rPr>
        <w:t>existence</w:t>
      </w:r>
      <w:r>
        <w:rPr>
          <w:color w:val="231F20"/>
          <w:spacing w:val="-4"/>
          <w:w w:val="120"/>
        </w:rPr>
        <w:t> </w:t>
      </w:r>
      <w:r>
        <w:rPr>
          <w:color w:val="231F20"/>
          <w:w w:val="120"/>
        </w:rPr>
        <w:t>de</w:t>
      </w:r>
      <w:r>
        <w:rPr>
          <w:color w:val="231F20"/>
          <w:spacing w:val="-4"/>
          <w:w w:val="120"/>
        </w:rPr>
        <w:t> </w:t>
      </w:r>
      <w:r>
        <w:rPr>
          <w:color w:val="231F20"/>
          <w:w w:val="120"/>
        </w:rPr>
        <w:t>réseaux</w:t>
      </w:r>
      <w:r>
        <w:rPr>
          <w:color w:val="231F20"/>
          <w:spacing w:val="-4"/>
          <w:w w:val="120"/>
        </w:rPr>
        <w:t> </w:t>
      </w:r>
      <w:r>
        <w:rPr>
          <w:color w:val="231F20"/>
          <w:w w:val="120"/>
        </w:rPr>
        <w:t>de</w:t>
      </w:r>
      <w:r>
        <w:rPr>
          <w:color w:val="231F20"/>
          <w:spacing w:val="-4"/>
          <w:w w:val="120"/>
        </w:rPr>
        <w:t> </w:t>
      </w:r>
      <w:r>
        <w:rPr>
          <w:color w:val="231F20"/>
          <w:w w:val="120"/>
        </w:rPr>
        <w:t>soutien,</w:t>
      </w:r>
      <w:r>
        <w:rPr>
          <w:color w:val="231F20"/>
          <w:spacing w:val="-4"/>
          <w:w w:val="120"/>
        </w:rPr>
        <w:t> </w:t>
      </w:r>
      <w:r>
        <w:rPr>
          <w:color w:val="231F20"/>
          <w:w w:val="120"/>
        </w:rPr>
        <w:t>ampleur</w:t>
      </w:r>
      <w:r>
        <w:rPr>
          <w:color w:val="231F20"/>
          <w:spacing w:val="-4"/>
          <w:w w:val="120"/>
        </w:rPr>
        <w:t> </w:t>
      </w:r>
      <w:r>
        <w:rPr>
          <w:color w:val="231F20"/>
          <w:w w:val="120"/>
        </w:rPr>
        <w:t>de l’exposition aux stresseurs).</w:t>
      </w:r>
    </w:p>
    <w:p>
      <w:pPr>
        <w:pStyle w:val="BodyText"/>
        <w:spacing w:before="8"/>
        <w:rPr>
          <w:sz w:val="21"/>
        </w:rPr>
      </w:pPr>
    </w:p>
    <w:p>
      <w:pPr>
        <w:pStyle w:val="BodyText"/>
        <w:spacing w:line="307" w:lineRule="auto"/>
        <w:ind w:left="830" w:right="493"/>
        <w:jc w:val="both"/>
      </w:pPr>
      <w:r>
        <w:rPr>
          <w:b/>
          <w:color w:val="231F20"/>
          <w:w w:val="115"/>
        </w:rPr>
        <w:t>Quadrant</w:t>
      </w:r>
      <w:r>
        <w:rPr>
          <w:b/>
          <w:color w:val="231F20"/>
          <w:spacing w:val="-1"/>
          <w:w w:val="115"/>
        </w:rPr>
        <w:t> </w:t>
      </w:r>
      <w:r>
        <w:rPr>
          <w:b/>
          <w:color w:val="231F20"/>
          <w:w w:val="115"/>
        </w:rPr>
        <w:t>D</w:t>
      </w:r>
      <w:r>
        <w:rPr>
          <w:color w:val="231F20"/>
          <w:w w:val="115"/>
        </w:rPr>
        <w:t>. Les personnes qui se retrouvent dans cette section du croi- </w:t>
      </w:r>
      <w:r>
        <w:rPr>
          <w:color w:val="231F20"/>
          <w:w w:val="120"/>
        </w:rPr>
        <w:t>sement</w:t>
      </w:r>
      <w:r>
        <w:rPr>
          <w:color w:val="231F20"/>
          <w:spacing w:val="-12"/>
          <w:w w:val="120"/>
        </w:rPr>
        <w:t> </w:t>
      </w:r>
      <w:r>
        <w:rPr>
          <w:color w:val="231F20"/>
          <w:w w:val="120"/>
        </w:rPr>
        <w:t>des</w:t>
      </w:r>
      <w:r>
        <w:rPr>
          <w:color w:val="231F20"/>
          <w:spacing w:val="-12"/>
          <w:w w:val="120"/>
        </w:rPr>
        <w:t> </w:t>
      </w:r>
      <w:r>
        <w:rPr>
          <w:color w:val="231F20"/>
          <w:w w:val="120"/>
        </w:rPr>
        <w:t>deux</w:t>
      </w:r>
      <w:r>
        <w:rPr>
          <w:color w:val="231F20"/>
          <w:spacing w:val="-12"/>
          <w:w w:val="120"/>
        </w:rPr>
        <w:t> </w:t>
      </w:r>
      <w:r>
        <w:rPr>
          <w:color w:val="231F20"/>
          <w:w w:val="120"/>
        </w:rPr>
        <w:t>dimensions</w:t>
      </w:r>
      <w:r>
        <w:rPr>
          <w:color w:val="231F20"/>
          <w:spacing w:val="-12"/>
          <w:w w:val="120"/>
        </w:rPr>
        <w:t> </w:t>
      </w:r>
      <w:r>
        <w:rPr>
          <w:color w:val="231F20"/>
          <w:w w:val="120"/>
        </w:rPr>
        <w:t>sont</w:t>
      </w:r>
      <w:r>
        <w:rPr>
          <w:color w:val="231F20"/>
          <w:spacing w:val="-12"/>
          <w:w w:val="120"/>
        </w:rPr>
        <w:t> </w:t>
      </w:r>
      <w:r>
        <w:rPr>
          <w:color w:val="231F20"/>
          <w:w w:val="120"/>
        </w:rPr>
        <w:t>en</w:t>
      </w:r>
      <w:r>
        <w:rPr>
          <w:color w:val="231F20"/>
          <w:spacing w:val="-12"/>
          <w:w w:val="120"/>
        </w:rPr>
        <w:t> </w:t>
      </w:r>
      <w:r>
        <w:rPr>
          <w:color w:val="231F20"/>
          <w:w w:val="120"/>
        </w:rPr>
        <w:t>zone</w:t>
      </w:r>
      <w:r>
        <w:rPr>
          <w:color w:val="231F20"/>
          <w:spacing w:val="-12"/>
          <w:w w:val="120"/>
        </w:rPr>
        <w:t> </w:t>
      </w:r>
      <w:r>
        <w:rPr>
          <w:color w:val="231F20"/>
          <w:w w:val="120"/>
        </w:rPr>
        <w:t>de</w:t>
      </w:r>
      <w:r>
        <w:rPr>
          <w:color w:val="231F20"/>
          <w:spacing w:val="-12"/>
          <w:w w:val="120"/>
        </w:rPr>
        <w:t> </w:t>
      </w:r>
      <w:r>
        <w:rPr>
          <w:color w:val="231F20"/>
          <w:w w:val="120"/>
        </w:rPr>
        <w:t>risque.</w:t>
      </w:r>
      <w:r>
        <w:rPr>
          <w:color w:val="231F20"/>
          <w:spacing w:val="-12"/>
          <w:w w:val="120"/>
        </w:rPr>
        <w:t> </w:t>
      </w:r>
      <w:r>
        <w:rPr>
          <w:color w:val="231F20"/>
          <w:w w:val="120"/>
        </w:rPr>
        <w:t>Nous</w:t>
      </w:r>
      <w:r>
        <w:rPr>
          <w:color w:val="231F20"/>
          <w:spacing w:val="-12"/>
          <w:w w:val="120"/>
        </w:rPr>
        <w:t> </w:t>
      </w:r>
      <w:r>
        <w:rPr>
          <w:color w:val="231F20"/>
          <w:w w:val="120"/>
        </w:rPr>
        <w:t>estimons</w:t>
      </w:r>
      <w:r>
        <w:rPr>
          <w:color w:val="231F20"/>
          <w:spacing w:val="-12"/>
          <w:w w:val="120"/>
        </w:rPr>
        <w:t> </w:t>
      </w:r>
      <w:r>
        <w:rPr>
          <w:color w:val="231F20"/>
          <w:w w:val="120"/>
        </w:rPr>
        <w:t>que </w:t>
      </w:r>
      <w:r>
        <w:rPr>
          <w:color w:val="231F20"/>
          <w:spacing w:val="-4"/>
          <w:w w:val="120"/>
        </w:rPr>
        <w:t>les personnes classées dans ce groupe peuvent manifester des symptômes </w:t>
      </w:r>
      <w:r>
        <w:rPr>
          <w:color w:val="231F20"/>
          <w:spacing w:val="-2"/>
          <w:w w:val="120"/>
        </w:rPr>
        <w:t>d’anxiété</w:t>
      </w:r>
      <w:r>
        <w:rPr>
          <w:color w:val="231F20"/>
          <w:spacing w:val="-5"/>
          <w:w w:val="120"/>
        </w:rPr>
        <w:t> </w:t>
      </w:r>
      <w:r>
        <w:rPr>
          <w:color w:val="231F20"/>
          <w:spacing w:val="-2"/>
          <w:w w:val="120"/>
        </w:rPr>
        <w:t>et</w:t>
      </w:r>
      <w:r>
        <w:rPr>
          <w:color w:val="231F20"/>
          <w:spacing w:val="-5"/>
          <w:w w:val="120"/>
        </w:rPr>
        <w:t> </w:t>
      </w:r>
      <w:r>
        <w:rPr>
          <w:color w:val="231F20"/>
          <w:spacing w:val="-2"/>
          <w:w w:val="120"/>
        </w:rPr>
        <w:t>de</w:t>
      </w:r>
      <w:r>
        <w:rPr>
          <w:color w:val="231F20"/>
          <w:spacing w:val="-5"/>
          <w:w w:val="120"/>
        </w:rPr>
        <w:t> </w:t>
      </w:r>
      <w:r>
        <w:rPr>
          <w:color w:val="231F20"/>
          <w:spacing w:val="-2"/>
          <w:w w:val="120"/>
        </w:rPr>
        <w:t>dépression</w:t>
      </w:r>
      <w:r>
        <w:rPr>
          <w:color w:val="231F20"/>
          <w:spacing w:val="-5"/>
          <w:w w:val="120"/>
        </w:rPr>
        <w:t> </w:t>
      </w:r>
      <w:r>
        <w:rPr>
          <w:color w:val="231F20"/>
          <w:spacing w:val="-2"/>
          <w:w w:val="120"/>
        </w:rPr>
        <w:t>pouvant</w:t>
      </w:r>
      <w:r>
        <w:rPr>
          <w:color w:val="231F20"/>
          <w:spacing w:val="-5"/>
          <w:w w:val="120"/>
        </w:rPr>
        <w:t> </w:t>
      </w:r>
      <w:r>
        <w:rPr>
          <w:color w:val="231F20"/>
          <w:spacing w:val="-2"/>
          <w:w w:val="120"/>
        </w:rPr>
        <w:t>mener</w:t>
      </w:r>
      <w:r>
        <w:rPr>
          <w:color w:val="231F20"/>
          <w:spacing w:val="-5"/>
          <w:w w:val="120"/>
        </w:rPr>
        <w:t> </w:t>
      </w:r>
      <w:r>
        <w:rPr>
          <w:color w:val="231F20"/>
          <w:spacing w:val="-2"/>
          <w:w w:val="120"/>
        </w:rPr>
        <w:t>à</w:t>
      </w:r>
      <w:r>
        <w:rPr>
          <w:color w:val="231F20"/>
          <w:spacing w:val="-5"/>
          <w:w w:val="120"/>
        </w:rPr>
        <w:t> </w:t>
      </w:r>
      <w:r>
        <w:rPr>
          <w:color w:val="231F20"/>
          <w:spacing w:val="-2"/>
          <w:w w:val="120"/>
        </w:rPr>
        <w:t>certaines</w:t>
      </w:r>
      <w:r>
        <w:rPr>
          <w:color w:val="231F20"/>
          <w:spacing w:val="-5"/>
          <w:w w:val="120"/>
        </w:rPr>
        <w:t> </w:t>
      </w:r>
      <w:r>
        <w:rPr>
          <w:color w:val="231F20"/>
          <w:spacing w:val="-2"/>
          <w:w w:val="120"/>
        </w:rPr>
        <w:t>psychopathologies </w:t>
      </w:r>
      <w:r>
        <w:rPr>
          <w:color w:val="231F20"/>
          <w:w w:val="120"/>
        </w:rPr>
        <w:t>plus importantes. Un faible niveau d’estime de soi couplé à un niveau </w:t>
      </w:r>
      <w:r>
        <w:rPr>
          <w:color w:val="231F20"/>
          <w:spacing w:val="-2"/>
          <w:w w:val="120"/>
        </w:rPr>
        <w:t>élevé</w:t>
      </w:r>
      <w:r>
        <w:rPr>
          <w:color w:val="231F20"/>
          <w:spacing w:val="-10"/>
          <w:w w:val="120"/>
        </w:rPr>
        <w:t> </w:t>
      </w:r>
      <w:r>
        <w:rPr>
          <w:color w:val="231F20"/>
          <w:spacing w:val="-2"/>
          <w:w w:val="120"/>
        </w:rPr>
        <w:t>d’incongruence</w:t>
      </w:r>
      <w:r>
        <w:rPr>
          <w:color w:val="231F20"/>
          <w:spacing w:val="-10"/>
          <w:w w:val="120"/>
        </w:rPr>
        <w:t> </w:t>
      </w:r>
      <w:r>
        <w:rPr>
          <w:color w:val="231F20"/>
          <w:spacing w:val="-2"/>
          <w:w w:val="120"/>
        </w:rPr>
        <w:t>des</w:t>
      </w:r>
      <w:r>
        <w:rPr>
          <w:color w:val="231F20"/>
          <w:spacing w:val="-10"/>
          <w:w w:val="120"/>
        </w:rPr>
        <w:t> </w:t>
      </w:r>
      <w:r>
        <w:rPr>
          <w:color w:val="231F20"/>
          <w:spacing w:val="-2"/>
          <w:w w:val="120"/>
        </w:rPr>
        <w:t>valeurs</w:t>
      </w:r>
      <w:r>
        <w:rPr>
          <w:color w:val="231F20"/>
          <w:spacing w:val="-10"/>
          <w:w w:val="120"/>
        </w:rPr>
        <w:t> </w:t>
      </w:r>
      <w:r>
        <w:rPr>
          <w:color w:val="231F20"/>
          <w:spacing w:val="-2"/>
          <w:w w:val="120"/>
        </w:rPr>
        <w:t>est</w:t>
      </w:r>
      <w:r>
        <w:rPr>
          <w:color w:val="231F20"/>
          <w:spacing w:val="-10"/>
          <w:w w:val="120"/>
        </w:rPr>
        <w:t> </w:t>
      </w:r>
      <w:r>
        <w:rPr>
          <w:color w:val="231F20"/>
          <w:spacing w:val="-2"/>
          <w:w w:val="120"/>
        </w:rPr>
        <w:t>un</w:t>
      </w:r>
      <w:r>
        <w:rPr>
          <w:color w:val="231F20"/>
          <w:spacing w:val="-10"/>
          <w:w w:val="120"/>
        </w:rPr>
        <w:t> </w:t>
      </w:r>
      <w:r>
        <w:rPr>
          <w:color w:val="231F20"/>
          <w:spacing w:val="-2"/>
          <w:w w:val="120"/>
        </w:rPr>
        <w:t>cocktail</w:t>
      </w:r>
      <w:r>
        <w:rPr>
          <w:color w:val="231F20"/>
          <w:spacing w:val="-10"/>
          <w:w w:val="120"/>
        </w:rPr>
        <w:t> </w:t>
      </w:r>
      <w:r>
        <w:rPr>
          <w:color w:val="231F20"/>
          <w:spacing w:val="-2"/>
          <w:w w:val="120"/>
        </w:rPr>
        <w:t>dangereux</w:t>
      </w:r>
      <w:r>
        <w:rPr>
          <w:color w:val="231F20"/>
          <w:spacing w:val="-10"/>
          <w:w w:val="120"/>
        </w:rPr>
        <w:t> </w:t>
      </w:r>
      <w:r>
        <w:rPr>
          <w:color w:val="231F20"/>
          <w:spacing w:val="-2"/>
          <w:w w:val="120"/>
        </w:rPr>
        <w:t>pour</w:t>
      </w:r>
      <w:r>
        <w:rPr>
          <w:color w:val="231F20"/>
          <w:spacing w:val="-10"/>
          <w:w w:val="120"/>
        </w:rPr>
        <w:t> </w:t>
      </w:r>
      <w:r>
        <w:rPr>
          <w:color w:val="231F20"/>
          <w:spacing w:val="-2"/>
          <w:w w:val="120"/>
        </w:rPr>
        <w:t>la</w:t>
      </w:r>
      <w:r>
        <w:rPr>
          <w:color w:val="231F20"/>
          <w:spacing w:val="-10"/>
          <w:w w:val="120"/>
        </w:rPr>
        <w:t> </w:t>
      </w:r>
      <w:r>
        <w:rPr>
          <w:color w:val="231F20"/>
          <w:spacing w:val="-2"/>
          <w:w w:val="120"/>
        </w:rPr>
        <w:t>santé </w:t>
      </w:r>
      <w:r>
        <w:rPr>
          <w:color w:val="231F20"/>
          <w:w w:val="120"/>
        </w:rPr>
        <w:t>et</w:t>
      </w:r>
      <w:r>
        <w:rPr>
          <w:color w:val="231F20"/>
          <w:spacing w:val="-5"/>
          <w:w w:val="120"/>
        </w:rPr>
        <w:t> </w:t>
      </w:r>
      <w:r>
        <w:rPr>
          <w:color w:val="231F20"/>
          <w:w w:val="120"/>
        </w:rPr>
        <w:t>le</w:t>
      </w:r>
      <w:r>
        <w:rPr>
          <w:color w:val="231F20"/>
          <w:spacing w:val="-5"/>
          <w:w w:val="120"/>
        </w:rPr>
        <w:t> </w:t>
      </w:r>
      <w:r>
        <w:rPr>
          <w:color w:val="231F20"/>
          <w:w w:val="120"/>
        </w:rPr>
        <w:t>bien-être</w:t>
      </w:r>
      <w:r>
        <w:rPr>
          <w:color w:val="231F20"/>
          <w:spacing w:val="-5"/>
          <w:w w:val="120"/>
        </w:rPr>
        <w:t> </w:t>
      </w:r>
      <w:r>
        <w:rPr>
          <w:color w:val="231F20"/>
          <w:w w:val="120"/>
        </w:rPr>
        <w:t>psychologique,</w:t>
      </w:r>
      <w:r>
        <w:rPr>
          <w:color w:val="231F20"/>
          <w:spacing w:val="-5"/>
          <w:w w:val="120"/>
        </w:rPr>
        <w:t> </w:t>
      </w:r>
      <w:r>
        <w:rPr>
          <w:color w:val="231F20"/>
          <w:w w:val="120"/>
        </w:rPr>
        <w:t>tant</w:t>
      </w:r>
      <w:r>
        <w:rPr>
          <w:color w:val="231F20"/>
          <w:spacing w:val="-5"/>
          <w:w w:val="120"/>
        </w:rPr>
        <w:t> </w:t>
      </w:r>
      <w:r>
        <w:rPr>
          <w:color w:val="231F20"/>
          <w:w w:val="120"/>
        </w:rPr>
        <w:t>dans</w:t>
      </w:r>
      <w:r>
        <w:rPr>
          <w:color w:val="231F20"/>
          <w:spacing w:val="-5"/>
          <w:w w:val="120"/>
        </w:rPr>
        <w:t> </w:t>
      </w:r>
      <w:r>
        <w:rPr>
          <w:color w:val="231F20"/>
          <w:w w:val="120"/>
        </w:rPr>
        <w:t>l’environnement</w:t>
      </w:r>
      <w:r>
        <w:rPr>
          <w:color w:val="231F20"/>
          <w:spacing w:val="-5"/>
          <w:w w:val="120"/>
        </w:rPr>
        <w:t> </w:t>
      </w:r>
      <w:r>
        <w:rPr>
          <w:color w:val="231F20"/>
          <w:w w:val="120"/>
        </w:rPr>
        <w:t>de</w:t>
      </w:r>
      <w:r>
        <w:rPr>
          <w:color w:val="231F20"/>
          <w:spacing w:val="-5"/>
          <w:w w:val="120"/>
        </w:rPr>
        <w:t> </w:t>
      </w:r>
      <w:r>
        <w:rPr>
          <w:color w:val="231F20"/>
          <w:w w:val="120"/>
        </w:rPr>
        <w:t>travail</w:t>
      </w:r>
      <w:r>
        <w:rPr>
          <w:color w:val="231F20"/>
          <w:spacing w:val="-5"/>
          <w:w w:val="120"/>
        </w:rPr>
        <w:t> </w:t>
      </w:r>
      <w:r>
        <w:rPr>
          <w:color w:val="231F20"/>
          <w:w w:val="120"/>
        </w:rPr>
        <w:t>que dans la sphère personnelle.</w:t>
      </w:r>
    </w:p>
    <w:p>
      <w:pPr>
        <w:pStyle w:val="BodyText"/>
        <w:rPr>
          <w:sz w:val="24"/>
        </w:rPr>
      </w:pPr>
    </w:p>
    <w:p>
      <w:pPr>
        <w:pStyle w:val="Heading2"/>
        <w:spacing w:before="184"/>
        <w:ind w:left="830"/>
        <w:jc w:val="both"/>
      </w:pPr>
      <w:r>
        <w:rPr>
          <w:color w:val="231F20"/>
          <w:w w:val="95"/>
        </w:rPr>
        <w:t>Questionnaire</w:t>
      </w:r>
      <w:r>
        <w:rPr>
          <w:color w:val="231F20"/>
          <w:spacing w:val="-1"/>
          <w:w w:val="95"/>
        </w:rPr>
        <w:t> </w:t>
      </w:r>
      <w:r>
        <w:rPr>
          <w:color w:val="231F20"/>
          <w:w w:val="95"/>
        </w:rPr>
        <w:t>d’autoévaluation</w:t>
      </w:r>
      <w:r>
        <w:rPr>
          <w:color w:val="231F20"/>
          <w:spacing w:val="-1"/>
          <w:w w:val="95"/>
        </w:rPr>
        <w:t> </w:t>
      </w:r>
      <w:r>
        <w:rPr>
          <w:color w:val="231F20"/>
          <w:w w:val="95"/>
        </w:rPr>
        <w:t>rapide</w:t>
      </w:r>
      <w:r>
        <w:rPr>
          <w:color w:val="231F20"/>
          <w:spacing w:val="-3"/>
        </w:rPr>
        <w:t> </w:t>
      </w:r>
      <w:r>
        <w:rPr>
          <w:color w:val="231F20"/>
          <w:w w:val="95"/>
        </w:rPr>
        <w:t>de</w:t>
      </w:r>
      <w:r>
        <w:rPr>
          <w:color w:val="231F20"/>
          <w:spacing w:val="-1"/>
          <w:w w:val="95"/>
        </w:rPr>
        <w:t> </w:t>
      </w:r>
      <w:r>
        <w:rPr>
          <w:color w:val="231F20"/>
          <w:w w:val="95"/>
        </w:rPr>
        <w:t>l’estime</w:t>
      </w:r>
      <w:r>
        <w:rPr>
          <w:color w:val="231F20"/>
          <w:spacing w:val="-3"/>
        </w:rPr>
        <w:t> </w:t>
      </w:r>
      <w:r>
        <w:rPr>
          <w:color w:val="231F20"/>
          <w:w w:val="95"/>
        </w:rPr>
        <w:t>de</w:t>
      </w:r>
      <w:r>
        <w:rPr>
          <w:color w:val="231F20"/>
          <w:spacing w:val="-1"/>
          <w:w w:val="95"/>
        </w:rPr>
        <w:t> </w:t>
      </w:r>
      <w:r>
        <w:rPr>
          <w:color w:val="231F20"/>
          <w:spacing w:val="-5"/>
          <w:w w:val="95"/>
        </w:rPr>
        <w:t>soi</w:t>
      </w:r>
    </w:p>
    <w:p>
      <w:pPr>
        <w:pStyle w:val="BodyText"/>
        <w:spacing w:before="9"/>
        <w:rPr>
          <w:rFonts w:ascii="Arial"/>
          <w:b/>
          <w:sz w:val="25"/>
        </w:rPr>
      </w:pPr>
    </w:p>
    <w:p>
      <w:pPr>
        <w:pStyle w:val="BodyText"/>
        <w:spacing w:line="307" w:lineRule="auto"/>
        <w:ind w:left="830" w:right="495"/>
        <w:jc w:val="both"/>
      </w:pPr>
      <w:r>
        <w:rPr>
          <w:color w:val="231F20"/>
          <w:w w:val="120"/>
        </w:rPr>
        <w:t>Pour chacune des questions décrivant vos sentiments, vos émotions et vos</w:t>
      </w:r>
      <w:r>
        <w:rPr>
          <w:color w:val="231F20"/>
          <w:spacing w:val="-13"/>
          <w:w w:val="120"/>
        </w:rPr>
        <w:t> </w:t>
      </w:r>
      <w:r>
        <w:rPr>
          <w:color w:val="231F20"/>
          <w:w w:val="120"/>
        </w:rPr>
        <w:t>actions,</w:t>
      </w:r>
      <w:r>
        <w:rPr>
          <w:color w:val="231F20"/>
          <w:spacing w:val="-13"/>
          <w:w w:val="120"/>
        </w:rPr>
        <w:t> </w:t>
      </w:r>
      <w:r>
        <w:rPr>
          <w:color w:val="231F20"/>
          <w:w w:val="120"/>
        </w:rPr>
        <w:t>cochez</w:t>
      </w:r>
      <w:r>
        <w:rPr>
          <w:color w:val="231F20"/>
          <w:spacing w:val="-13"/>
          <w:w w:val="120"/>
        </w:rPr>
        <w:t> </w:t>
      </w:r>
      <w:r>
        <w:rPr>
          <w:color w:val="231F20"/>
          <w:w w:val="120"/>
        </w:rPr>
        <w:t>simplement</w:t>
      </w:r>
      <w:r>
        <w:rPr>
          <w:color w:val="231F20"/>
          <w:spacing w:val="-12"/>
          <w:w w:val="120"/>
        </w:rPr>
        <w:t> </w:t>
      </w:r>
      <w:r>
        <w:rPr>
          <w:color w:val="231F20"/>
          <w:w w:val="120"/>
        </w:rPr>
        <w:t>l’option</w:t>
      </w:r>
      <w:r>
        <w:rPr>
          <w:color w:val="231F20"/>
          <w:spacing w:val="-13"/>
          <w:w w:val="120"/>
        </w:rPr>
        <w:t> </w:t>
      </w:r>
      <w:r>
        <w:rPr>
          <w:color w:val="231F20"/>
          <w:w w:val="120"/>
        </w:rPr>
        <w:t>oui</w:t>
      </w:r>
      <w:r>
        <w:rPr>
          <w:color w:val="231F20"/>
          <w:spacing w:val="-13"/>
          <w:w w:val="120"/>
        </w:rPr>
        <w:t> </w:t>
      </w:r>
      <w:r>
        <w:rPr>
          <w:color w:val="231F20"/>
          <w:w w:val="120"/>
        </w:rPr>
        <w:t>ou</w:t>
      </w:r>
      <w:r>
        <w:rPr>
          <w:color w:val="231F20"/>
          <w:spacing w:val="-13"/>
          <w:w w:val="120"/>
        </w:rPr>
        <w:t> </w:t>
      </w:r>
      <w:r>
        <w:rPr>
          <w:color w:val="231F20"/>
          <w:w w:val="120"/>
        </w:rPr>
        <w:t>non.</w:t>
      </w:r>
      <w:r>
        <w:rPr>
          <w:color w:val="231F20"/>
          <w:spacing w:val="-12"/>
          <w:w w:val="120"/>
        </w:rPr>
        <w:t> </w:t>
      </w:r>
      <w:r>
        <w:rPr>
          <w:color w:val="231F20"/>
          <w:w w:val="120"/>
        </w:rPr>
        <w:t>Parfois,</w:t>
      </w:r>
      <w:r>
        <w:rPr>
          <w:color w:val="231F20"/>
          <w:spacing w:val="-13"/>
          <w:w w:val="120"/>
        </w:rPr>
        <w:t> </w:t>
      </w:r>
      <w:r>
        <w:rPr>
          <w:color w:val="231F20"/>
          <w:w w:val="120"/>
        </w:rPr>
        <w:t>y</w:t>
      </w:r>
      <w:r>
        <w:rPr>
          <w:color w:val="231F20"/>
          <w:spacing w:val="-13"/>
          <w:w w:val="120"/>
        </w:rPr>
        <w:t> </w:t>
      </w:r>
      <w:r>
        <w:rPr>
          <w:color w:val="231F20"/>
          <w:w w:val="120"/>
        </w:rPr>
        <w:t>répondre </w:t>
      </w:r>
      <w:r>
        <w:rPr>
          <w:color w:val="231F20"/>
          <w:w w:val="115"/>
        </w:rPr>
        <w:t>ne</w:t>
      </w:r>
      <w:r>
        <w:rPr>
          <w:color w:val="231F20"/>
          <w:spacing w:val="-4"/>
          <w:w w:val="115"/>
        </w:rPr>
        <w:t> </w:t>
      </w:r>
      <w:r>
        <w:rPr>
          <w:color w:val="231F20"/>
          <w:w w:val="115"/>
        </w:rPr>
        <w:t>sera</w:t>
      </w:r>
      <w:r>
        <w:rPr>
          <w:color w:val="231F20"/>
          <w:spacing w:val="-4"/>
          <w:w w:val="115"/>
        </w:rPr>
        <w:t> </w:t>
      </w:r>
      <w:r>
        <w:rPr>
          <w:color w:val="231F20"/>
          <w:w w:val="115"/>
        </w:rPr>
        <w:t>pas</w:t>
      </w:r>
      <w:r>
        <w:rPr>
          <w:color w:val="231F20"/>
          <w:spacing w:val="-4"/>
          <w:w w:val="115"/>
        </w:rPr>
        <w:t> </w:t>
      </w:r>
      <w:r>
        <w:rPr>
          <w:color w:val="231F20"/>
          <w:w w:val="115"/>
        </w:rPr>
        <w:t>facile,</w:t>
      </w:r>
      <w:r>
        <w:rPr>
          <w:color w:val="231F20"/>
          <w:spacing w:val="-4"/>
          <w:w w:val="115"/>
        </w:rPr>
        <w:t> </w:t>
      </w:r>
      <w:r>
        <w:rPr>
          <w:color w:val="231F20"/>
          <w:w w:val="115"/>
        </w:rPr>
        <w:t>mais</w:t>
      </w:r>
      <w:r>
        <w:rPr>
          <w:color w:val="231F20"/>
          <w:spacing w:val="-4"/>
          <w:w w:val="115"/>
        </w:rPr>
        <w:t> </w:t>
      </w:r>
      <w:r>
        <w:rPr>
          <w:color w:val="231F20"/>
          <w:w w:val="115"/>
        </w:rPr>
        <w:t>choisissez</w:t>
      </w:r>
      <w:r>
        <w:rPr>
          <w:color w:val="231F20"/>
          <w:spacing w:val="-4"/>
          <w:w w:val="115"/>
        </w:rPr>
        <w:t> </w:t>
      </w:r>
      <w:r>
        <w:rPr>
          <w:color w:val="231F20"/>
          <w:w w:val="115"/>
        </w:rPr>
        <w:t>quand</w:t>
      </w:r>
      <w:r>
        <w:rPr>
          <w:color w:val="231F20"/>
          <w:spacing w:val="-4"/>
          <w:w w:val="115"/>
        </w:rPr>
        <w:t> </w:t>
      </w:r>
      <w:r>
        <w:rPr>
          <w:color w:val="231F20"/>
          <w:w w:val="115"/>
        </w:rPr>
        <w:t>même</w:t>
      </w:r>
      <w:r>
        <w:rPr>
          <w:color w:val="231F20"/>
          <w:spacing w:val="-4"/>
          <w:w w:val="115"/>
        </w:rPr>
        <w:t> </w:t>
      </w:r>
      <w:r>
        <w:rPr>
          <w:color w:val="231F20"/>
          <w:w w:val="115"/>
        </w:rPr>
        <w:t>si</w:t>
      </w:r>
      <w:r>
        <w:rPr>
          <w:color w:val="231F20"/>
          <w:spacing w:val="-4"/>
          <w:w w:val="115"/>
        </w:rPr>
        <w:t> </w:t>
      </w:r>
      <w:r>
        <w:rPr>
          <w:color w:val="231F20"/>
          <w:w w:val="115"/>
        </w:rPr>
        <w:t>c’est</w:t>
      </w:r>
      <w:r>
        <w:rPr>
          <w:color w:val="231F20"/>
          <w:spacing w:val="-4"/>
          <w:w w:val="115"/>
        </w:rPr>
        <w:t> </w:t>
      </w:r>
      <w:r>
        <w:rPr>
          <w:color w:val="231F20"/>
          <w:w w:val="115"/>
        </w:rPr>
        <w:t>plutôt</w:t>
      </w:r>
      <w:r>
        <w:rPr>
          <w:color w:val="231F20"/>
          <w:spacing w:val="-4"/>
          <w:w w:val="115"/>
        </w:rPr>
        <w:t> </w:t>
      </w:r>
      <w:r>
        <w:rPr>
          <w:color w:val="231F20"/>
          <w:w w:val="115"/>
        </w:rPr>
        <w:t>un</w:t>
      </w:r>
      <w:r>
        <w:rPr>
          <w:color w:val="231F20"/>
          <w:spacing w:val="-4"/>
          <w:w w:val="115"/>
        </w:rPr>
        <w:t> </w:t>
      </w:r>
      <w:r>
        <w:rPr>
          <w:color w:val="231F20"/>
          <w:w w:val="115"/>
        </w:rPr>
        <w:t>oui</w:t>
      </w:r>
      <w:r>
        <w:rPr>
          <w:color w:val="231F20"/>
          <w:spacing w:val="-4"/>
          <w:w w:val="115"/>
        </w:rPr>
        <w:t> </w:t>
      </w:r>
      <w:r>
        <w:rPr>
          <w:color w:val="231F20"/>
          <w:w w:val="115"/>
        </w:rPr>
        <w:t>(tout </w:t>
      </w:r>
      <w:r>
        <w:rPr>
          <w:color w:val="231F20"/>
          <w:w w:val="120"/>
        </w:rPr>
        <w:t>à fait en accord) ou plutôt un non (tout à fait en désaccord).</w:t>
      </w:r>
    </w:p>
    <w:p>
      <w:pPr>
        <w:pStyle w:val="BodyText"/>
        <w:spacing w:before="2"/>
        <w:rPr>
          <w:sz w:val="9"/>
        </w:rPr>
      </w:pPr>
    </w:p>
    <w:tbl>
      <w:tblPr>
        <w:tblW w:w="0" w:type="auto"/>
        <w:jc w:val="left"/>
        <w:tblInd w:w="83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4786"/>
        <w:gridCol w:w="480"/>
        <w:gridCol w:w="480"/>
      </w:tblGrid>
      <w:tr>
        <w:trPr>
          <w:trHeight w:val="269" w:hRule="atLeast"/>
        </w:trPr>
        <w:tc>
          <w:tcPr>
            <w:tcW w:w="4786" w:type="dxa"/>
            <w:tcBorders>
              <w:top w:val="nil"/>
              <w:left w:val="nil"/>
              <w:right w:val="nil"/>
            </w:tcBorders>
          </w:tcPr>
          <w:p>
            <w:pPr>
              <w:pStyle w:val="TableParagraph"/>
              <w:spacing w:before="60"/>
              <w:ind w:left="480"/>
              <w:rPr>
                <w:b/>
                <w:sz w:val="14"/>
              </w:rPr>
            </w:pPr>
            <w:r>
              <w:rPr>
                <w:b/>
                <w:color w:val="231F20"/>
                <w:spacing w:val="-2"/>
                <w:sz w:val="14"/>
              </w:rPr>
              <w:t>Questions</w:t>
            </w:r>
          </w:p>
        </w:tc>
        <w:tc>
          <w:tcPr>
            <w:tcW w:w="480" w:type="dxa"/>
            <w:tcBorders>
              <w:top w:val="nil"/>
              <w:left w:val="nil"/>
              <w:right w:val="single" w:sz="4" w:space="0" w:color="FFFFFF"/>
            </w:tcBorders>
            <w:shd w:val="clear" w:color="auto" w:fill="E2E3E4"/>
          </w:tcPr>
          <w:p>
            <w:pPr>
              <w:pStyle w:val="TableParagraph"/>
              <w:spacing w:before="60"/>
              <w:ind w:left="126"/>
              <w:rPr>
                <w:b/>
                <w:sz w:val="14"/>
              </w:rPr>
            </w:pPr>
            <w:r>
              <w:rPr>
                <w:b/>
                <w:color w:val="231F20"/>
                <w:spacing w:val="-5"/>
                <w:sz w:val="14"/>
              </w:rPr>
              <w:t>Oui</w:t>
            </w:r>
          </w:p>
        </w:tc>
        <w:tc>
          <w:tcPr>
            <w:tcW w:w="480" w:type="dxa"/>
            <w:tcBorders>
              <w:top w:val="nil"/>
              <w:left w:val="single" w:sz="4" w:space="0" w:color="FFFFFF"/>
              <w:right w:val="nil"/>
            </w:tcBorders>
            <w:shd w:val="clear" w:color="auto" w:fill="E2E3E4"/>
          </w:tcPr>
          <w:p>
            <w:pPr>
              <w:pStyle w:val="TableParagraph"/>
              <w:spacing w:before="60"/>
              <w:ind w:left="104"/>
              <w:rPr>
                <w:b/>
                <w:sz w:val="14"/>
              </w:rPr>
            </w:pPr>
            <w:r>
              <w:rPr>
                <w:b/>
                <w:color w:val="231F20"/>
                <w:spacing w:val="-5"/>
                <w:sz w:val="14"/>
              </w:rPr>
              <w:t>Non</w:t>
            </w:r>
          </w:p>
        </w:tc>
      </w:tr>
      <w:tr>
        <w:trPr>
          <w:trHeight w:val="444" w:hRule="atLeast"/>
        </w:trPr>
        <w:tc>
          <w:tcPr>
            <w:tcW w:w="4786" w:type="dxa"/>
            <w:tcBorders>
              <w:left w:val="nil"/>
              <w:bottom w:val="single" w:sz="4" w:space="0" w:color="E2E3E4"/>
              <w:right w:val="nil"/>
            </w:tcBorders>
          </w:tcPr>
          <w:p>
            <w:pPr>
              <w:pStyle w:val="TableParagraph"/>
              <w:spacing w:line="268" w:lineRule="auto" w:before="57"/>
              <w:ind w:left="480" w:hanging="290"/>
              <w:rPr>
                <w:sz w:val="14"/>
              </w:rPr>
            </w:pPr>
            <w:r>
              <w:rPr>
                <w:b/>
                <w:color w:val="231F20"/>
                <w:sz w:val="14"/>
              </w:rPr>
              <w:t>1.</w:t>
            </w:r>
            <w:r>
              <w:rPr>
                <w:b/>
                <w:color w:val="231F20"/>
                <w:spacing w:val="71"/>
                <w:w w:val="150"/>
                <w:sz w:val="14"/>
              </w:rPr>
              <w:t> </w:t>
            </w:r>
            <w:r>
              <w:rPr>
                <w:color w:val="231F20"/>
                <w:sz w:val="14"/>
              </w:rPr>
              <w:t>Je</w:t>
            </w:r>
            <w:r>
              <w:rPr>
                <w:color w:val="231F20"/>
                <w:spacing w:val="-10"/>
                <w:sz w:val="14"/>
              </w:rPr>
              <w:t> </w:t>
            </w:r>
            <w:r>
              <w:rPr>
                <w:color w:val="231F20"/>
                <w:sz w:val="14"/>
              </w:rPr>
              <w:t>sens</w:t>
            </w:r>
            <w:r>
              <w:rPr>
                <w:color w:val="231F20"/>
                <w:spacing w:val="-10"/>
                <w:sz w:val="14"/>
              </w:rPr>
              <w:t> </w:t>
            </w:r>
            <w:r>
              <w:rPr>
                <w:color w:val="231F20"/>
                <w:sz w:val="14"/>
              </w:rPr>
              <w:t>que</w:t>
            </w:r>
            <w:r>
              <w:rPr>
                <w:color w:val="231F20"/>
                <w:spacing w:val="-10"/>
                <w:sz w:val="14"/>
              </w:rPr>
              <w:t> </w:t>
            </w:r>
            <w:r>
              <w:rPr>
                <w:color w:val="231F20"/>
                <w:sz w:val="14"/>
              </w:rPr>
              <w:t>je</w:t>
            </w:r>
            <w:r>
              <w:rPr>
                <w:color w:val="231F20"/>
                <w:spacing w:val="-9"/>
                <w:sz w:val="14"/>
              </w:rPr>
              <w:t> </w:t>
            </w:r>
            <w:r>
              <w:rPr>
                <w:color w:val="231F20"/>
                <w:sz w:val="14"/>
              </w:rPr>
              <w:t>suis</w:t>
            </w:r>
            <w:r>
              <w:rPr>
                <w:color w:val="231F20"/>
                <w:spacing w:val="-10"/>
                <w:sz w:val="14"/>
              </w:rPr>
              <w:t> </w:t>
            </w:r>
            <w:r>
              <w:rPr>
                <w:color w:val="231F20"/>
                <w:sz w:val="14"/>
              </w:rPr>
              <w:t>une</w:t>
            </w:r>
            <w:r>
              <w:rPr>
                <w:color w:val="231F20"/>
                <w:spacing w:val="-10"/>
                <w:sz w:val="14"/>
              </w:rPr>
              <w:t> </w:t>
            </w:r>
            <w:r>
              <w:rPr>
                <w:color w:val="231F20"/>
                <w:sz w:val="14"/>
              </w:rPr>
              <w:t>personne</w:t>
            </w:r>
            <w:r>
              <w:rPr>
                <w:color w:val="231F20"/>
                <w:spacing w:val="-10"/>
                <w:sz w:val="14"/>
              </w:rPr>
              <w:t> </w:t>
            </w:r>
            <w:r>
              <w:rPr>
                <w:color w:val="231F20"/>
                <w:sz w:val="14"/>
              </w:rPr>
              <w:t>de</w:t>
            </w:r>
            <w:r>
              <w:rPr>
                <w:color w:val="231F20"/>
                <w:spacing w:val="-9"/>
                <w:sz w:val="14"/>
              </w:rPr>
              <w:t> </w:t>
            </w:r>
            <w:r>
              <w:rPr>
                <w:color w:val="231F20"/>
                <w:sz w:val="14"/>
              </w:rPr>
              <w:t>valeur.</w:t>
            </w:r>
            <w:r>
              <w:rPr>
                <w:color w:val="231F20"/>
                <w:spacing w:val="-10"/>
                <w:sz w:val="14"/>
              </w:rPr>
              <w:t> </w:t>
            </w:r>
            <w:r>
              <w:rPr>
                <w:color w:val="231F20"/>
                <w:sz w:val="14"/>
              </w:rPr>
              <w:t>Je</w:t>
            </w:r>
            <w:r>
              <w:rPr>
                <w:color w:val="231F20"/>
                <w:spacing w:val="-10"/>
                <w:sz w:val="14"/>
              </w:rPr>
              <w:t> </w:t>
            </w:r>
            <w:r>
              <w:rPr>
                <w:color w:val="231F20"/>
                <w:sz w:val="14"/>
              </w:rPr>
              <w:t>suis</w:t>
            </w:r>
            <w:r>
              <w:rPr>
                <w:color w:val="231F20"/>
                <w:spacing w:val="-9"/>
                <w:sz w:val="14"/>
              </w:rPr>
              <w:t> </w:t>
            </w:r>
            <w:r>
              <w:rPr>
                <w:color w:val="231F20"/>
                <w:sz w:val="14"/>
              </w:rPr>
              <w:t>aussi</w:t>
            </w:r>
            <w:r>
              <w:rPr>
                <w:color w:val="231F20"/>
                <w:spacing w:val="-10"/>
                <w:sz w:val="14"/>
              </w:rPr>
              <w:t> </w:t>
            </w:r>
            <w:r>
              <w:rPr>
                <w:color w:val="231F20"/>
                <w:sz w:val="14"/>
              </w:rPr>
              <w:t>bon</w:t>
            </w:r>
            <w:r>
              <w:rPr>
                <w:color w:val="231F20"/>
                <w:spacing w:val="-10"/>
                <w:sz w:val="14"/>
              </w:rPr>
              <w:t> </w:t>
            </w:r>
            <w:r>
              <w:rPr>
                <w:color w:val="231F20"/>
                <w:sz w:val="14"/>
              </w:rPr>
              <w:t>que</w:t>
            </w:r>
            <w:r>
              <w:rPr>
                <w:color w:val="231F20"/>
                <w:spacing w:val="40"/>
                <w:sz w:val="14"/>
              </w:rPr>
              <w:t> </w:t>
            </w:r>
            <w:r>
              <w:rPr>
                <w:color w:val="231F20"/>
                <w:sz w:val="14"/>
              </w:rPr>
              <w:t>n’importe qui d’autre.</w:t>
            </w:r>
          </w:p>
        </w:tc>
        <w:tc>
          <w:tcPr>
            <w:tcW w:w="480" w:type="dxa"/>
            <w:tcBorders>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2.</w:t>
            </w:r>
            <w:r>
              <w:rPr>
                <w:b/>
                <w:color w:val="231F20"/>
                <w:spacing w:val="32"/>
                <w:sz w:val="14"/>
              </w:rPr>
              <w:t>  </w:t>
            </w:r>
            <w:r>
              <w:rPr>
                <w:color w:val="231F20"/>
                <w:sz w:val="14"/>
              </w:rPr>
              <w:t>Je</w:t>
            </w:r>
            <w:r>
              <w:rPr>
                <w:color w:val="231F20"/>
                <w:spacing w:val="-8"/>
                <w:sz w:val="14"/>
              </w:rPr>
              <w:t> </w:t>
            </w:r>
            <w:r>
              <w:rPr>
                <w:color w:val="231F20"/>
                <w:sz w:val="14"/>
              </w:rPr>
              <w:t>sens</w:t>
            </w:r>
            <w:r>
              <w:rPr>
                <w:color w:val="231F20"/>
                <w:spacing w:val="-7"/>
                <w:sz w:val="14"/>
              </w:rPr>
              <w:t> </w:t>
            </w:r>
            <w:r>
              <w:rPr>
                <w:color w:val="231F20"/>
                <w:sz w:val="14"/>
              </w:rPr>
              <w:t>qu’il</w:t>
            </w:r>
            <w:r>
              <w:rPr>
                <w:color w:val="231F20"/>
                <w:spacing w:val="-8"/>
                <w:sz w:val="14"/>
              </w:rPr>
              <w:t> </w:t>
            </w:r>
            <w:r>
              <w:rPr>
                <w:color w:val="231F20"/>
                <w:sz w:val="14"/>
              </w:rPr>
              <w:t>y</w:t>
            </w:r>
            <w:r>
              <w:rPr>
                <w:color w:val="231F20"/>
                <w:spacing w:val="-8"/>
                <w:sz w:val="14"/>
              </w:rPr>
              <w:t> </w:t>
            </w:r>
            <w:r>
              <w:rPr>
                <w:color w:val="231F20"/>
                <w:sz w:val="14"/>
              </w:rPr>
              <w:t>a</w:t>
            </w:r>
            <w:r>
              <w:rPr>
                <w:color w:val="231F20"/>
                <w:spacing w:val="-7"/>
                <w:sz w:val="14"/>
              </w:rPr>
              <w:t> </w:t>
            </w:r>
            <w:r>
              <w:rPr>
                <w:color w:val="231F20"/>
                <w:sz w:val="14"/>
              </w:rPr>
              <w:t>beaucoup</w:t>
            </w:r>
            <w:r>
              <w:rPr>
                <w:color w:val="231F20"/>
                <w:spacing w:val="-8"/>
                <w:sz w:val="14"/>
              </w:rPr>
              <w:t> </w:t>
            </w:r>
            <w:r>
              <w:rPr>
                <w:color w:val="231F20"/>
                <w:sz w:val="14"/>
              </w:rPr>
              <w:t>de</w:t>
            </w:r>
            <w:r>
              <w:rPr>
                <w:color w:val="231F20"/>
                <w:spacing w:val="-7"/>
                <w:sz w:val="14"/>
              </w:rPr>
              <w:t> </w:t>
            </w:r>
            <w:r>
              <w:rPr>
                <w:color w:val="231F20"/>
                <w:sz w:val="14"/>
              </w:rPr>
              <w:t>bonnes</w:t>
            </w:r>
            <w:r>
              <w:rPr>
                <w:color w:val="231F20"/>
                <w:spacing w:val="-8"/>
                <w:sz w:val="14"/>
              </w:rPr>
              <w:t> </w:t>
            </w:r>
            <w:r>
              <w:rPr>
                <w:color w:val="231F20"/>
                <w:sz w:val="14"/>
              </w:rPr>
              <w:t>choses</w:t>
            </w:r>
            <w:r>
              <w:rPr>
                <w:color w:val="231F20"/>
                <w:spacing w:val="-8"/>
                <w:sz w:val="14"/>
              </w:rPr>
              <w:t> </w:t>
            </w:r>
            <w:r>
              <w:rPr>
                <w:color w:val="231F20"/>
                <w:sz w:val="14"/>
              </w:rPr>
              <w:t>en</w:t>
            </w:r>
            <w:r>
              <w:rPr>
                <w:color w:val="231F20"/>
                <w:spacing w:val="-7"/>
                <w:sz w:val="14"/>
              </w:rPr>
              <w:t> </w:t>
            </w:r>
            <w:r>
              <w:rPr>
                <w:color w:val="231F20"/>
                <w:spacing w:val="-4"/>
                <w:sz w:val="14"/>
              </w:rPr>
              <w:t>moi.</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3.</w:t>
            </w:r>
            <w:r>
              <w:rPr>
                <w:b/>
                <w:color w:val="231F20"/>
                <w:spacing w:val="32"/>
                <w:sz w:val="14"/>
              </w:rPr>
              <w:t>  </w:t>
            </w:r>
            <w:r>
              <w:rPr>
                <w:color w:val="231F20"/>
                <w:sz w:val="14"/>
              </w:rPr>
              <w:t>Je</w:t>
            </w:r>
            <w:r>
              <w:rPr>
                <w:color w:val="231F20"/>
                <w:spacing w:val="-7"/>
                <w:sz w:val="14"/>
              </w:rPr>
              <w:t> </w:t>
            </w:r>
            <w:r>
              <w:rPr>
                <w:color w:val="231F20"/>
                <w:sz w:val="14"/>
              </w:rPr>
              <w:t>sens</w:t>
            </w:r>
            <w:r>
              <w:rPr>
                <w:color w:val="231F20"/>
                <w:spacing w:val="-8"/>
                <w:sz w:val="14"/>
              </w:rPr>
              <w:t> </w:t>
            </w:r>
            <w:r>
              <w:rPr>
                <w:color w:val="231F20"/>
                <w:sz w:val="14"/>
              </w:rPr>
              <w:t>que</w:t>
            </w:r>
            <w:r>
              <w:rPr>
                <w:color w:val="231F20"/>
                <w:spacing w:val="-7"/>
                <w:sz w:val="14"/>
              </w:rPr>
              <w:t> </w:t>
            </w:r>
            <w:r>
              <w:rPr>
                <w:color w:val="231F20"/>
                <w:sz w:val="14"/>
              </w:rPr>
              <w:t>j’échoue</w:t>
            </w:r>
            <w:r>
              <w:rPr>
                <w:color w:val="231F20"/>
                <w:spacing w:val="-8"/>
                <w:sz w:val="14"/>
              </w:rPr>
              <w:t> </w:t>
            </w:r>
            <w:r>
              <w:rPr>
                <w:color w:val="231F20"/>
                <w:spacing w:val="-2"/>
                <w:sz w:val="14"/>
              </w:rPr>
              <w:t>beaucoup.</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4786" w:type="dxa"/>
            <w:tcBorders>
              <w:top w:val="single" w:sz="4" w:space="0" w:color="E2E3E4"/>
              <w:left w:val="nil"/>
              <w:bottom w:val="single" w:sz="4" w:space="0" w:color="E2E3E4"/>
              <w:right w:val="nil"/>
            </w:tcBorders>
          </w:tcPr>
          <w:p>
            <w:pPr>
              <w:pStyle w:val="TableParagraph"/>
              <w:spacing w:line="268" w:lineRule="auto" w:before="55"/>
              <w:ind w:left="480" w:right="718" w:hanging="290"/>
              <w:rPr>
                <w:sz w:val="14"/>
              </w:rPr>
            </w:pPr>
            <w:r>
              <w:rPr>
                <w:b/>
                <w:color w:val="231F20"/>
                <w:sz w:val="14"/>
              </w:rPr>
              <w:t>4.</w:t>
            </w:r>
            <w:r>
              <w:rPr>
                <w:b/>
                <w:color w:val="231F20"/>
                <w:spacing w:val="80"/>
                <w:w w:val="150"/>
                <w:sz w:val="14"/>
              </w:rPr>
              <w:t> </w:t>
            </w:r>
            <w:r>
              <w:rPr>
                <w:color w:val="231F20"/>
                <w:sz w:val="14"/>
              </w:rPr>
              <w:t>Je</w:t>
            </w:r>
            <w:r>
              <w:rPr>
                <w:color w:val="231F20"/>
                <w:spacing w:val="-7"/>
                <w:sz w:val="14"/>
              </w:rPr>
              <w:t> </w:t>
            </w:r>
            <w:r>
              <w:rPr>
                <w:color w:val="231F20"/>
                <w:sz w:val="14"/>
              </w:rPr>
              <w:t>peux</w:t>
            </w:r>
            <w:r>
              <w:rPr>
                <w:color w:val="231F20"/>
                <w:spacing w:val="-7"/>
                <w:sz w:val="14"/>
              </w:rPr>
              <w:t> </w:t>
            </w:r>
            <w:r>
              <w:rPr>
                <w:color w:val="231F20"/>
                <w:sz w:val="14"/>
              </w:rPr>
              <w:t>faire</w:t>
            </w:r>
            <w:r>
              <w:rPr>
                <w:color w:val="231F20"/>
                <w:spacing w:val="-7"/>
                <w:sz w:val="14"/>
              </w:rPr>
              <w:t> </w:t>
            </w:r>
            <w:r>
              <w:rPr>
                <w:color w:val="231F20"/>
                <w:sz w:val="14"/>
              </w:rPr>
              <w:t>les</w:t>
            </w:r>
            <w:r>
              <w:rPr>
                <w:color w:val="231F20"/>
                <w:spacing w:val="-7"/>
                <w:sz w:val="14"/>
              </w:rPr>
              <w:t> </w:t>
            </w:r>
            <w:r>
              <w:rPr>
                <w:color w:val="231F20"/>
                <w:sz w:val="14"/>
              </w:rPr>
              <w:t>choses</w:t>
            </w:r>
            <w:r>
              <w:rPr>
                <w:color w:val="231F20"/>
                <w:spacing w:val="-7"/>
                <w:sz w:val="14"/>
              </w:rPr>
              <w:t> </w:t>
            </w:r>
            <w:r>
              <w:rPr>
                <w:color w:val="231F20"/>
                <w:sz w:val="14"/>
              </w:rPr>
              <w:t>aussi</w:t>
            </w:r>
            <w:r>
              <w:rPr>
                <w:color w:val="231F20"/>
                <w:spacing w:val="-7"/>
                <w:sz w:val="14"/>
              </w:rPr>
              <w:t> </w:t>
            </w:r>
            <w:r>
              <w:rPr>
                <w:color w:val="231F20"/>
                <w:sz w:val="14"/>
              </w:rPr>
              <w:t>bien</w:t>
            </w:r>
            <w:r>
              <w:rPr>
                <w:color w:val="231F20"/>
                <w:spacing w:val="-7"/>
                <w:sz w:val="14"/>
              </w:rPr>
              <w:t> </w:t>
            </w:r>
            <w:r>
              <w:rPr>
                <w:color w:val="231F20"/>
                <w:sz w:val="14"/>
              </w:rPr>
              <w:t>que</w:t>
            </w:r>
            <w:r>
              <w:rPr>
                <w:color w:val="231F20"/>
                <w:spacing w:val="-7"/>
                <w:sz w:val="14"/>
              </w:rPr>
              <w:t> </w:t>
            </w:r>
            <w:r>
              <w:rPr>
                <w:color w:val="231F20"/>
                <w:sz w:val="14"/>
              </w:rPr>
              <w:t>la</w:t>
            </w:r>
            <w:r>
              <w:rPr>
                <w:color w:val="231F20"/>
                <w:spacing w:val="-7"/>
                <w:sz w:val="14"/>
              </w:rPr>
              <w:t> </w:t>
            </w:r>
            <w:r>
              <w:rPr>
                <w:color w:val="231F20"/>
                <w:sz w:val="14"/>
              </w:rPr>
              <w:t>plupart</w:t>
            </w:r>
            <w:r>
              <w:rPr>
                <w:color w:val="231F20"/>
                <w:spacing w:val="-7"/>
                <w:sz w:val="14"/>
              </w:rPr>
              <w:t> </w:t>
            </w:r>
            <w:r>
              <w:rPr>
                <w:color w:val="231F20"/>
                <w:sz w:val="14"/>
              </w:rPr>
              <w:t>des</w:t>
            </w:r>
            <w:r>
              <w:rPr>
                <w:color w:val="231F20"/>
                <w:spacing w:val="40"/>
                <w:sz w:val="14"/>
              </w:rPr>
              <w:t> </w:t>
            </w:r>
            <w:r>
              <w:rPr>
                <w:color w:val="231F20"/>
                <w:sz w:val="14"/>
              </w:rPr>
              <w:t>autres</w:t>
            </w:r>
            <w:r>
              <w:rPr>
                <w:color w:val="231F20"/>
                <w:spacing w:val="-10"/>
                <w:sz w:val="14"/>
              </w:rPr>
              <w:t> </w:t>
            </w:r>
            <w:r>
              <w:rPr>
                <w:color w:val="231F20"/>
                <w:sz w:val="14"/>
              </w:rPr>
              <w:t>personnes.</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5.</w:t>
            </w:r>
            <w:r>
              <w:rPr>
                <w:b/>
                <w:color w:val="231F20"/>
                <w:spacing w:val="39"/>
                <w:sz w:val="14"/>
              </w:rPr>
              <w:t>  </w:t>
            </w:r>
            <w:r>
              <w:rPr>
                <w:color w:val="231F20"/>
                <w:sz w:val="14"/>
              </w:rPr>
              <w:t>Je</w:t>
            </w:r>
            <w:r>
              <w:rPr>
                <w:color w:val="231F20"/>
                <w:spacing w:val="-3"/>
                <w:sz w:val="14"/>
              </w:rPr>
              <w:t> </w:t>
            </w:r>
            <w:r>
              <w:rPr>
                <w:color w:val="231F20"/>
                <w:sz w:val="14"/>
              </w:rPr>
              <w:t>n’ai</w:t>
            </w:r>
            <w:r>
              <w:rPr>
                <w:color w:val="231F20"/>
                <w:spacing w:val="-4"/>
                <w:sz w:val="14"/>
              </w:rPr>
              <w:t> </w:t>
            </w:r>
            <w:r>
              <w:rPr>
                <w:color w:val="231F20"/>
                <w:sz w:val="14"/>
              </w:rPr>
              <w:t>pas</w:t>
            </w:r>
            <w:r>
              <w:rPr>
                <w:color w:val="231F20"/>
                <w:spacing w:val="-4"/>
                <w:sz w:val="14"/>
              </w:rPr>
              <w:t> </w:t>
            </w:r>
            <w:r>
              <w:rPr>
                <w:color w:val="231F20"/>
                <w:sz w:val="14"/>
              </w:rPr>
              <w:t>de</w:t>
            </w:r>
            <w:r>
              <w:rPr>
                <w:color w:val="231F20"/>
                <w:spacing w:val="-5"/>
                <w:sz w:val="14"/>
              </w:rPr>
              <w:t> </w:t>
            </w:r>
            <w:r>
              <w:rPr>
                <w:color w:val="231F20"/>
                <w:sz w:val="14"/>
              </w:rPr>
              <w:t>quoi</w:t>
            </w:r>
            <w:r>
              <w:rPr>
                <w:color w:val="231F20"/>
                <w:spacing w:val="-4"/>
                <w:sz w:val="14"/>
              </w:rPr>
              <w:t> </w:t>
            </w:r>
            <w:r>
              <w:rPr>
                <w:color w:val="231F20"/>
                <w:sz w:val="14"/>
              </w:rPr>
              <w:t>être</w:t>
            </w:r>
            <w:r>
              <w:rPr>
                <w:color w:val="231F20"/>
                <w:spacing w:val="-4"/>
                <w:sz w:val="14"/>
              </w:rPr>
              <w:t> fier.</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6.</w:t>
            </w:r>
            <w:r>
              <w:rPr>
                <w:b/>
                <w:color w:val="231F20"/>
                <w:spacing w:val="42"/>
                <w:sz w:val="14"/>
              </w:rPr>
              <w:t>  </w:t>
            </w:r>
            <w:r>
              <w:rPr>
                <w:color w:val="231F20"/>
                <w:sz w:val="14"/>
              </w:rPr>
              <w:t>J’aimerais</w:t>
            </w:r>
            <w:r>
              <w:rPr>
                <w:color w:val="231F20"/>
                <w:spacing w:val="-2"/>
                <w:sz w:val="14"/>
              </w:rPr>
              <w:t> </w:t>
            </w:r>
            <w:r>
              <w:rPr>
                <w:color w:val="231F20"/>
                <w:sz w:val="14"/>
              </w:rPr>
              <w:t>avoir</w:t>
            </w:r>
            <w:r>
              <w:rPr>
                <w:color w:val="231F20"/>
                <w:spacing w:val="-3"/>
                <w:sz w:val="14"/>
              </w:rPr>
              <w:t> </w:t>
            </w:r>
            <w:r>
              <w:rPr>
                <w:color w:val="231F20"/>
                <w:sz w:val="14"/>
              </w:rPr>
              <w:t>plus</w:t>
            </w:r>
            <w:r>
              <w:rPr>
                <w:color w:val="231F20"/>
                <w:spacing w:val="-3"/>
                <w:sz w:val="14"/>
              </w:rPr>
              <w:t> </w:t>
            </w:r>
            <w:r>
              <w:rPr>
                <w:color w:val="231F20"/>
                <w:sz w:val="14"/>
              </w:rPr>
              <w:t>de</w:t>
            </w:r>
            <w:r>
              <w:rPr>
                <w:color w:val="231F20"/>
                <w:spacing w:val="-4"/>
                <w:sz w:val="14"/>
              </w:rPr>
              <w:t> </w:t>
            </w:r>
            <w:r>
              <w:rPr>
                <w:color w:val="231F20"/>
                <w:sz w:val="14"/>
              </w:rPr>
              <w:t>respect</w:t>
            </w:r>
            <w:r>
              <w:rPr>
                <w:color w:val="231F20"/>
                <w:spacing w:val="-3"/>
                <w:sz w:val="14"/>
              </w:rPr>
              <w:t> </w:t>
            </w:r>
            <w:r>
              <w:rPr>
                <w:color w:val="231F20"/>
                <w:sz w:val="14"/>
              </w:rPr>
              <w:t>pour</w:t>
            </w:r>
            <w:r>
              <w:rPr>
                <w:color w:val="231F20"/>
                <w:spacing w:val="-3"/>
                <w:sz w:val="14"/>
              </w:rPr>
              <w:t> </w:t>
            </w:r>
            <w:r>
              <w:rPr>
                <w:color w:val="231F20"/>
                <w:sz w:val="14"/>
              </w:rPr>
              <w:t>moi-</w:t>
            </w:r>
            <w:r>
              <w:rPr>
                <w:color w:val="231F20"/>
                <w:spacing w:val="-2"/>
                <w:sz w:val="14"/>
              </w:rPr>
              <w:t>même.</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w w:val="105"/>
                <w:sz w:val="14"/>
              </w:rPr>
              <w:t>7.</w:t>
            </w:r>
            <w:r>
              <w:rPr>
                <w:b/>
                <w:color w:val="231F20"/>
                <w:spacing w:val="65"/>
                <w:w w:val="105"/>
                <w:sz w:val="14"/>
              </w:rPr>
              <w:t> </w:t>
            </w:r>
            <w:r>
              <w:rPr>
                <w:color w:val="231F20"/>
                <w:w w:val="105"/>
                <w:sz w:val="14"/>
              </w:rPr>
              <w:t>Je</w:t>
            </w:r>
            <w:r>
              <w:rPr>
                <w:color w:val="231F20"/>
                <w:spacing w:val="-10"/>
                <w:w w:val="105"/>
                <w:sz w:val="14"/>
              </w:rPr>
              <w:t> </w:t>
            </w:r>
            <w:r>
              <w:rPr>
                <w:color w:val="231F20"/>
                <w:w w:val="105"/>
                <w:sz w:val="14"/>
              </w:rPr>
              <w:t>me</w:t>
            </w:r>
            <w:r>
              <w:rPr>
                <w:color w:val="231F20"/>
                <w:spacing w:val="-10"/>
                <w:w w:val="105"/>
                <w:sz w:val="14"/>
              </w:rPr>
              <w:t> </w:t>
            </w:r>
            <w:r>
              <w:rPr>
                <w:color w:val="231F20"/>
                <w:w w:val="105"/>
                <w:sz w:val="14"/>
              </w:rPr>
              <w:t>sens</w:t>
            </w:r>
            <w:r>
              <w:rPr>
                <w:color w:val="231F20"/>
                <w:spacing w:val="-10"/>
                <w:w w:val="105"/>
                <w:sz w:val="14"/>
              </w:rPr>
              <w:t> </w:t>
            </w:r>
            <w:r>
              <w:rPr>
                <w:color w:val="231F20"/>
                <w:w w:val="105"/>
                <w:sz w:val="14"/>
              </w:rPr>
              <w:t>parfois</w:t>
            </w:r>
            <w:r>
              <w:rPr>
                <w:color w:val="231F20"/>
                <w:spacing w:val="-10"/>
                <w:w w:val="105"/>
                <w:sz w:val="14"/>
              </w:rPr>
              <w:t> </w:t>
            </w:r>
            <w:r>
              <w:rPr>
                <w:color w:val="231F20"/>
                <w:spacing w:val="-2"/>
                <w:w w:val="105"/>
                <w:sz w:val="14"/>
              </w:rPr>
              <w:t>inutile.</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8.</w:t>
            </w:r>
            <w:r>
              <w:rPr>
                <w:b/>
                <w:color w:val="231F20"/>
                <w:spacing w:val="35"/>
                <w:sz w:val="14"/>
              </w:rPr>
              <w:t>  </w:t>
            </w:r>
            <w:r>
              <w:rPr>
                <w:color w:val="231F20"/>
                <w:sz w:val="14"/>
              </w:rPr>
              <w:t>Parfois</w:t>
            </w:r>
            <w:r>
              <w:rPr>
                <w:color w:val="231F20"/>
                <w:spacing w:val="-6"/>
                <w:sz w:val="14"/>
              </w:rPr>
              <w:t> </w:t>
            </w:r>
            <w:r>
              <w:rPr>
                <w:color w:val="231F20"/>
                <w:sz w:val="14"/>
              </w:rPr>
              <w:t>je</w:t>
            </w:r>
            <w:r>
              <w:rPr>
                <w:color w:val="231F20"/>
                <w:spacing w:val="-7"/>
                <w:sz w:val="14"/>
              </w:rPr>
              <w:t> </w:t>
            </w:r>
            <w:r>
              <w:rPr>
                <w:color w:val="231F20"/>
                <w:sz w:val="14"/>
              </w:rPr>
              <w:t>pense</w:t>
            </w:r>
            <w:r>
              <w:rPr>
                <w:color w:val="231F20"/>
                <w:spacing w:val="-6"/>
                <w:sz w:val="14"/>
              </w:rPr>
              <w:t> </w:t>
            </w:r>
            <w:r>
              <w:rPr>
                <w:color w:val="231F20"/>
                <w:sz w:val="14"/>
              </w:rPr>
              <w:t>que</w:t>
            </w:r>
            <w:r>
              <w:rPr>
                <w:color w:val="231F20"/>
                <w:spacing w:val="-6"/>
                <w:sz w:val="14"/>
              </w:rPr>
              <w:t> </w:t>
            </w:r>
            <w:r>
              <w:rPr>
                <w:color w:val="231F20"/>
                <w:sz w:val="14"/>
              </w:rPr>
              <w:t>je</w:t>
            </w:r>
            <w:r>
              <w:rPr>
                <w:color w:val="231F20"/>
                <w:spacing w:val="-7"/>
                <w:sz w:val="14"/>
              </w:rPr>
              <w:t> </w:t>
            </w:r>
            <w:r>
              <w:rPr>
                <w:color w:val="231F20"/>
                <w:sz w:val="14"/>
              </w:rPr>
              <w:t>ne</w:t>
            </w:r>
            <w:r>
              <w:rPr>
                <w:color w:val="231F20"/>
                <w:spacing w:val="-6"/>
                <w:sz w:val="14"/>
              </w:rPr>
              <w:t> </w:t>
            </w:r>
            <w:r>
              <w:rPr>
                <w:color w:val="231F20"/>
                <w:sz w:val="14"/>
              </w:rPr>
              <w:t>suis</w:t>
            </w:r>
            <w:r>
              <w:rPr>
                <w:color w:val="231F20"/>
                <w:spacing w:val="-6"/>
                <w:sz w:val="14"/>
              </w:rPr>
              <w:t> </w:t>
            </w:r>
            <w:r>
              <w:rPr>
                <w:color w:val="231F20"/>
                <w:sz w:val="14"/>
              </w:rPr>
              <w:t>pas</w:t>
            </w:r>
            <w:r>
              <w:rPr>
                <w:color w:val="231F20"/>
                <w:spacing w:val="-7"/>
                <w:sz w:val="14"/>
              </w:rPr>
              <w:t> </w:t>
            </w:r>
            <w:r>
              <w:rPr>
                <w:color w:val="231F20"/>
                <w:sz w:val="14"/>
              </w:rPr>
              <w:t>bon</w:t>
            </w:r>
            <w:r>
              <w:rPr>
                <w:color w:val="231F20"/>
                <w:spacing w:val="-6"/>
                <w:sz w:val="14"/>
              </w:rPr>
              <w:t> </w:t>
            </w:r>
            <w:r>
              <w:rPr>
                <w:color w:val="231F20"/>
                <w:sz w:val="14"/>
              </w:rPr>
              <w:t>du</w:t>
            </w:r>
            <w:r>
              <w:rPr>
                <w:color w:val="231F20"/>
                <w:spacing w:val="-7"/>
                <w:sz w:val="14"/>
              </w:rPr>
              <w:t> </w:t>
            </w:r>
            <w:r>
              <w:rPr>
                <w:color w:val="231F20"/>
                <w:spacing w:val="-4"/>
                <w:sz w:val="14"/>
              </w:rPr>
              <w:t>tout.</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9.</w:t>
            </w:r>
            <w:r>
              <w:rPr>
                <w:b/>
                <w:color w:val="231F20"/>
                <w:spacing w:val="41"/>
                <w:sz w:val="14"/>
              </w:rPr>
              <w:t>  </w:t>
            </w:r>
            <w:r>
              <w:rPr>
                <w:color w:val="231F20"/>
                <w:sz w:val="14"/>
              </w:rPr>
              <w:t>Je</w:t>
            </w:r>
            <w:r>
              <w:rPr>
                <w:color w:val="231F20"/>
                <w:spacing w:val="-3"/>
                <w:sz w:val="14"/>
              </w:rPr>
              <w:t> </w:t>
            </w:r>
            <w:r>
              <w:rPr>
                <w:color w:val="231F20"/>
                <w:spacing w:val="-2"/>
                <w:sz w:val="14"/>
              </w:rPr>
              <w:t>m’aime.</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264" w:hRule="atLeast"/>
        </w:trPr>
        <w:tc>
          <w:tcPr>
            <w:tcW w:w="4786" w:type="dxa"/>
            <w:tcBorders>
              <w:top w:val="single" w:sz="4" w:space="0" w:color="E2E3E4"/>
              <w:left w:val="nil"/>
              <w:right w:val="nil"/>
            </w:tcBorders>
          </w:tcPr>
          <w:p>
            <w:pPr>
              <w:pStyle w:val="TableParagraph"/>
              <w:spacing w:before="55"/>
              <w:ind w:left="99"/>
              <w:rPr>
                <w:sz w:val="14"/>
              </w:rPr>
            </w:pPr>
            <w:r>
              <w:rPr>
                <w:b/>
                <w:color w:val="231F20"/>
                <w:w w:val="105"/>
                <w:sz w:val="14"/>
              </w:rPr>
              <w:t>10.</w:t>
            </w:r>
            <w:r>
              <w:rPr>
                <w:b/>
                <w:color w:val="231F20"/>
                <w:spacing w:val="29"/>
                <w:w w:val="105"/>
                <w:sz w:val="14"/>
              </w:rPr>
              <w:t>  </w:t>
            </w:r>
            <w:r>
              <w:rPr>
                <w:color w:val="231F20"/>
                <w:w w:val="105"/>
                <w:sz w:val="14"/>
              </w:rPr>
              <w:t>Je</w:t>
            </w:r>
            <w:r>
              <w:rPr>
                <w:color w:val="231F20"/>
                <w:spacing w:val="-10"/>
                <w:w w:val="105"/>
                <w:sz w:val="14"/>
              </w:rPr>
              <w:t> </w:t>
            </w:r>
            <w:r>
              <w:rPr>
                <w:color w:val="231F20"/>
                <w:w w:val="105"/>
                <w:sz w:val="14"/>
              </w:rPr>
              <w:t>suis</w:t>
            </w:r>
            <w:r>
              <w:rPr>
                <w:color w:val="231F20"/>
                <w:spacing w:val="-10"/>
                <w:w w:val="105"/>
                <w:sz w:val="14"/>
              </w:rPr>
              <w:t> </w:t>
            </w:r>
            <w:r>
              <w:rPr>
                <w:color w:val="231F20"/>
                <w:w w:val="105"/>
                <w:sz w:val="14"/>
              </w:rPr>
              <w:t>content</w:t>
            </w:r>
            <w:r>
              <w:rPr>
                <w:color w:val="231F20"/>
                <w:spacing w:val="-10"/>
                <w:w w:val="105"/>
                <w:sz w:val="14"/>
              </w:rPr>
              <w:t> </w:t>
            </w:r>
            <w:r>
              <w:rPr>
                <w:color w:val="231F20"/>
                <w:w w:val="105"/>
                <w:sz w:val="14"/>
              </w:rPr>
              <w:t>de</w:t>
            </w:r>
            <w:r>
              <w:rPr>
                <w:color w:val="231F20"/>
                <w:spacing w:val="-10"/>
                <w:w w:val="105"/>
                <w:sz w:val="14"/>
              </w:rPr>
              <w:t> </w:t>
            </w:r>
            <w:r>
              <w:rPr>
                <w:color w:val="231F20"/>
                <w:spacing w:val="-4"/>
                <w:w w:val="105"/>
                <w:sz w:val="14"/>
              </w:rPr>
              <w:t>moi.</w:t>
            </w:r>
          </w:p>
        </w:tc>
        <w:tc>
          <w:tcPr>
            <w:tcW w:w="480" w:type="dxa"/>
            <w:tcBorders>
              <w:top w:val="single" w:sz="4" w:space="0" w:color="FFFFFF"/>
              <w:left w:val="nil"/>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right w:val="nil"/>
            </w:tcBorders>
            <w:shd w:val="clear" w:color="auto" w:fill="E2E3E4"/>
          </w:tcPr>
          <w:p>
            <w:pPr>
              <w:pStyle w:val="TableParagraph"/>
              <w:rPr>
                <w:rFonts w:ascii="Times New Roman"/>
                <w:sz w:val="14"/>
              </w:rPr>
            </w:pPr>
          </w:p>
        </w:tc>
      </w:tr>
    </w:tbl>
    <w:p>
      <w:pPr>
        <w:spacing w:line="268" w:lineRule="auto" w:before="65"/>
        <w:ind w:left="829" w:right="500" w:firstLine="0"/>
        <w:jc w:val="left"/>
        <w:rPr>
          <w:rFonts w:ascii="Arial" w:hAnsi="Arial"/>
          <w:sz w:val="14"/>
        </w:rPr>
      </w:pPr>
      <w:r>
        <w:rPr/>
        <w:pict>
          <v:group style="position:absolute;margin-left:62.5pt;margin-top:40.67572pt;width:287.3pt;height:.25pt;mso-position-horizontal-relative:page;mso-position-vertical-relative:paragraph;z-index:-15611392;mso-wrap-distance-left:0;mso-wrap-distance-right:0" id="docshapegroup1176" coordorigin="1250,814" coordsize="5746,5">
            <v:line style="position:absolute" from="1250,816" to="1650,816" stroked="true" strokeweight=".25pt" strokecolor="#231f20">
              <v:stroke dashstyle="solid"/>
            </v:line>
            <v:line style="position:absolute" from="1650,816" to="6036,816" stroked="true" strokeweight=".25pt" strokecolor="#231f20">
              <v:stroke dashstyle="solid"/>
            </v:line>
            <v:line style="position:absolute" from="6036,816" to="6516,816" stroked="true" strokeweight=".25pt" strokecolor="#231f20">
              <v:stroke dashstyle="solid"/>
            </v:line>
            <v:line style="position:absolute" from="6516,816" to="6996,816" stroked="true" strokeweight=".25pt" strokecolor="#231f20">
              <v:stroke dashstyle="solid"/>
            </v:line>
            <w10:wrap type="topAndBottom"/>
          </v:group>
        </w:pict>
      </w:r>
      <w:r>
        <w:rPr>
          <w:rFonts w:ascii="Arial" w:hAnsi="Arial"/>
          <w:color w:val="231F20"/>
          <w:sz w:val="14"/>
        </w:rPr>
        <w:t>Inversez</w:t>
      </w:r>
      <w:r>
        <w:rPr>
          <w:rFonts w:ascii="Arial" w:hAnsi="Arial"/>
          <w:color w:val="231F20"/>
          <w:spacing w:val="-3"/>
          <w:sz w:val="14"/>
        </w:rPr>
        <w:t> </w:t>
      </w:r>
      <w:r>
        <w:rPr>
          <w:rFonts w:ascii="Arial" w:hAnsi="Arial"/>
          <w:color w:val="231F20"/>
          <w:sz w:val="14"/>
        </w:rPr>
        <w:t>le</w:t>
      </w:r>
      <w:r>
        <w:rPr>
          <w:rFonts w:ascii="Arial" w:hAnsi="Arial"/>
          <w:color w:val="231F20"/>
          <w:spacing w:val="-3"/>
          <w:sz w:val="14"/>
        </w:rPr>
        <w:t> </w:t>
      </w:r>
      <w:r>
        <w:rPr>
          <w:rFonts w:ascii="Arial" w:hAnsi="Arial"/>
          <w:color w:val="231F20"/>
          <w:sz w:val="14"/>
        </w:rPr>
        <w:t>score</w:t>
      </w:r>
      <w:r>
        <w:rPr>
          <w:rFonts w:ascii="Arial" w:hAnsi="Arial"/>
          <w:color w:val="231F20"/>
          <w:spacing w:val="-3"/>
          <w:sz w:val="14"/>
        </w:rPr>
        <w:t> </w:t>
      </w:r>
      <w:r>
        <w:rPr>
          <w:rFonts w:ascii="Arial" w:hAnsi="Arial"/>
          <w:color w:val="231F20"/>
          <w:sz w:val="14"/>
        </w:rPr>
        <w:t>pour</w:t>
      </w:r>
      <w:r>
        <w:rPr>
          <w:rFonts w:ascii="Arial" w:hAnsi="Arial"/>
          <w:color w:val="231F20"/>
          <w:spacing w:val="-3"/>
          <w:sz w:val="14"/>
        </w:rPr>
        <w:t> </w:t>
      </w:r>
      <w:r>
        <w:rPr>
          <w:rFonts w:ascii="Arial" w:hAnsi="Arial"/>
          <w:color w:val="231F20"/>
          <w:sz w:val="14"/>
        </w:rPr>
        <w:t>les</w:t>
      </w:r>
      <w:r>
        <w:rPr>
          <w:rFonts w:ascii="Arial" w:hAnsi="Arial"/>
          <w:color w:val="231F20"/>
          <w:spacing w:val="-3"/>
          <w:sz w:val="14"/>
        </w:rPr>
        <w:t> </w:t>
      </w:r>
      <w:r>
        <w:rPr>
          <w:rFonts w:ascii="Arial" w:hAnsi="Arial"/>
          <w:color w:val="231F20"/>
          <w:sz w:val="14"/>
        </w:rPr>
        <w:t>questions</w:t>
      </w:r>
      <w:r>
        <w:rPr>
          <w:rFonts w:ascii="Arial" w:hAnsi="Arial"/>
          <w:color w:val="231F20"/>
          <w:spacing w:val="-3"/>
          <w:sz w:val="14"/>
        </w:rPr>
        <w:t> </w:t>
      </w:r>
      <w:r>
        <w:rPr>
          <w:rFonts w:ascii="Arial" w:hAnsi="Arial"/>
          <w:color w:val="231F20"/>
          <w:sz w:val="14"/>
        </w:rPr>
        <w:t>3,</w:t>
      </w:r>
      <w:r>
        <w:rPr>
          <w:rFonts w:ascii="Arial" w:hAnsi="Arial"/>
          <w:color w:val="231F20"/>
          <w:spacing w:val="-3"/>
          <w:sz w:val="14"/>
        </w:rPr>
        <w:t> </w:t>
      </w:r>
      <w:r>
        <w:rPr>
          <w:rFonts w:ascii="Arial" w:hAnsi="Arial"/>
          <w:color w:val="231F20"/>
          <w:sz w:val="14"/>
        </w:rPr>
        <w:t>5,</w:t>
      </w:r>
      <w:r>
        <w:rPr>
          <w:rFonts w:ascii="Arial" w:hAnsi="Arial"/>
          <w:color w:val="231F20"/>
          <w:spacing w:val="-3"/>
          <w:sz w:val="14"/>
        </w:rPr>
        <w:t> </w:t>
      </w:r>
      <w:r>
        <w:rPr>
          <w:rFonts w:ascii="Arial" w:hAnsi="Arial"/>
          <w:color w:val="231F20"/>
          <w:sz w:val="14"/>
        </w:rPr>
        <w:t>6,</w:t>
      </w:r>
      <w:r>
        <w:rPr>
          <w:rFonts w:ascii="Arial" w:hAnsi="Arial"/>
          <w:color w:val="231F20"/>
          <w:spacing w:val="-3"/>
          <w:sz w:val="14"/>
        </w:rPr>
        <w:t> </w:t>
      </w:r>
      <w:r>
        <w:rPr>
          <w:rFonts w:ascii="Arial" w:hAnsi="Arial"/>
          <w:color w:val="231F20"/>
          <w:sz w:val="14"/>
        </w:rPr>
        <w:t>7,</w:t>
      </w:r>
      <w:r>
        <w:rPr>
          <w:rFonts w:ascii="Arial" w:hAnsi="Arial"/>
          <w:color w:val="231F20"/>
          <w:spacing w:val="-3"/>
          <w:sz w:val="14"/>
        </w:rPr>
        <w:t> </w:t>
      </w:r>
      <w:r>
        <w:rPr>
          <w:rFonts w:ascii="Arial" w:hAnsi="Arial"/>
          <w:color w:val="231F20"/>
          <w:sz w:val="14"/>
        </w:rPr>
        <w:t>8</w:t>
      </w:r>
      <w:r>
        <w:rPr>
          <w:rFonts w:ascii="Arial" w:hAnsi="Arial"/>
          <w:color w:val="231F20"/>
          <w:spacing w:val="-3"/>
          <w:sz w:val="14"/>
        </w:rPr>
        <w:t> </w:t>
      </w:r>
      <w:r>
        <w:rPr>
          <w:rFonts w:ascii="Arial" w:hAnsi="Arial"/>
          <w:color w:val="231F20"/>
          <w:sz w:val="14"/>
        </w:rPr>
        <w:t>(si</w:t>
      </w:r>
      <w:r>
        <w:rPr>
          <w:rFonts w:ascii="Arial" w:hAnsi="Arial"/>
          <w:color w:val="231F20"/>
          <w:spacing w:val="-3"/>
          <w:sz w:val="14"/>
        </w:rPr>
        <w:t> </w:t>
      </w:r>
      <w:r>
        <w:rPr>
          <w:rFonts w:ascii="Arial" w:hAnsi="Arial"/>
          <w:color w:val="231F20"/>
          <w:sz w:val="14"/>
        </w:rPr>
        <w:t>vous</w:t>
      </w:r>
      <w:r>
        <w:rPr>
          <w:rFonts w:ascii="Arial" w:hAnsi="Arial"/>
          <w:color w:val="231F20"/>
          <w:spacing w:val="-3"/>
          <w:sz w:val="14"/>
        </w:rPr>
        <w:t> </w:t>
      </w:r>
      <w:r>
        <w:rPr>
          <w:rFonts w:ascii="Arial" w:hAnsi="Arial"/>
          <w:color w:val="231F20"/>
          <w:sz w:val="14"/>
        </w:rPr>
        <w:t>avez</w:t>
      </w:r>
      <w:r>
        <w:rPr>
          <w:rFonts w:ascii="Arial" w:hAnsi="Arial"/>
          <w:color w:val="231F20"/>
          <w:spacing w:val="-3"/>
          <w:sz w:val="14"/>
        </w:rPr>
        <w:t> </w:t>
      </w:r>
      <w:r>
        <w:rPr>
          <w:rFonts w:ascii="Arial" w:hAnsi="Arial"/>
          <w:color w:val="231F20"/>
          <w:sz w:val="14"/>
        </w:rPr>
        <w:t>répondu</w:t>
      </w:r>
      <w:r>
        <w:rPr>
          <w:rFonts w:ascii="Arial" w:hAnsi="Arial"/>
          <w:color w:val="231F20"/>
          <w:spacing w:val="-3"/>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oui»</w:t>
      </w:r>
      <w:r>
        <w:rPr>
          <w:rFonts w:ascii="Arial" w:hAnsi="Arial"/>
          <w:color w:val="231F20"/>
          <w:spacing w:val="-3"/>
          <w:sz w:val="14"/>
        </w:rPr>
        <w:t> </w:t>
      </w:r>
      <w:r>
        <w:rPr>
          <w:rFonts w:ascii="Arial" w:hAnsi="Arial"/>
          <w:color w:val="231F20"/>
          <w:sz w:val="14"/>
        </w:rPr>
        <w:t>–</w:t>
      </w:r>
      <w:r>
        <w:rPr>
          <w:rFonts w:ascii="Arial" w:hAnsi="Arial"/>
          <w:color w:val="231F20"/>
          <w:spacing w:val="-3"/>
          <w:sz w:val="14"/>
        </w:rPr>
        <w:t> </w:t>
      </w:r>
      <w:r>
        <w:rPr>
          <w:rFonts w:ascii="Arial" w:hAnsi="Arial"/>
          <w:color w:val="231F20"/>
          <w:sz w:val="14"/>
        </w:rPr>
        <w:t>placez</w:t>
      </w:r>
      <w:r>
        <w:rPr>
          <w:rFonts w:ascii="Arial" w:hAnsi="Arial"/>
          <w:color w:val="231F20"/>
          <w:spacing w:val="-3"/>
          <w:sz w:val="14"/>
        </w:rPr>
        <w:t> </w:t>
      </w:r>
      <w:r>
        <w:rPr>
          <w:rFonts w:ascii="Arial" w:hAnsi="Arial"/>
          <w:color w:val="231F20"/>
          <w:sz w:val="14"/>
        </w:rPr>
        <w:t>un</w:t>
      </w:r>
      <w:r>
        <w:rPr>
          <w:rFonts w:ascii="Arial" w:hAnsi="Arial"/>
          <w:color w:val="231F20"/>
          <w:spacing w:val="-3"/>
          <w:sz w:val="14"/>
        </w:rPr>
        <w:t> </w:t>
      </w:r>
      <w:r>
        <w:rPr>
          <w:rFonts w:ascii="Arial" w:hAnsi="Arial"/>
          <w:color w:val="231F20"/>
          <w:sz w:val="14"/>
        </w:rPr>
        <w:t>X</w:t>
      </w:r>
      <w:r>
        <w:rPr>
          <w:rFonts w:ascii="Arial" w:hAnsi="Arial"/>
          <w:color w:val="231F20"/>
          <w:spacing w:val="40"/>
          <w:sz w:val="14"/>
        </w:rPr>
        <w:t> </w:t>
      </w:r>
      <w:r>
        <w:rPr>
          <w:rFonts w:ascii="Arial" w:hAnsi="Arial"/>
          <w:color w:val="231F20"/>
          <w:sz w:val="14"/>
        </w:rPr>
        <w:t>dans</w:t>
      </w:r>
      <w:r>
        <w:rPr>
          <w:rFonts w:ascii="Arial" w:hAnsi="Arial"/>
          <w:color w:val="231F20"/>
          <w:spacing w:val="-10"/>
          <w:sz w:val="14"/>
        </w:rPr>
        <w:t> </w:t>
      </w:r>
      <w:r>
        <w:rPr>
          <w:rFonts w:ascii="Arial" w:hAnsi="Arial"/>
          <w:color w:val="231F20"/>
          <w:sz w:val="14"/>
        </w:rPr>
        <w:t>la</w:t>
      </w:r>
      <w:r>
        <w:rPr>
          <w:rFonts w:ascii="Arial" w:hAnsi="Arial"/>
          <w:color w:val="231F20"/>
          <w:spacing w:val="-6"/>
          <w:sz w:val="14"/>
        </w:rPr>
        <w:t> </w:t>
      </w:r>
      <w:r>
        <w:rPr>
          <w:rFonts w:ascii="Arial" w:hAnsi="Arial"/>
          <w:color w:val="231F20"/>
          <w:sz w:val="14"/>
        </w:rPr>
        <w:t>colonne</w:t>
      </w:r>
      <w:r>
        <w:rPr>
          <w:rFonts w:ascii="Arial" w:hAnsi="Arial"/>
          <w:color w:val="231F20"/>
          <w:spacing w:val="-7"/>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non»,</w:t>
      </w:r>
      <w:r>
        <w:rPr>
          <w:rFonts w:ascii="Arial" w:hAnsi="Arial"/>
          <w:color w:val="231F20"/>
          <w:spacing w:val="-7"/>
          <w:sz w:val="14"/>
        </w:rPr>
        <w:t> </w:t>
      </w:r>
      <w:r>
        <w:rPr>
          <w:rFonts w:ascii="Arial" w:hAnsi="Arial"/>
          <w:color w:val="231F20"/>
          <w:sz w:val="14"/>
        </w:rPr>
        <w:t>et</w:t>
      </w:r>
      <w:r>
        <w:rPr>
          <w:rFonts w:ascii="Arial" w:hAnsi="Arial"/>
          <w:color w:val="231F20"/>
          <w:spacing w:val="-7"/>
          <w:sz w:val="14"/>
        </w:rPr>
        <w:t> </w:t>
      </w:r>
      <w:r>
        <w:rPr>
          <w:rFonts w:ascii="Arial" w:hAnsi="Arial"/>
          <w:color w:val="231F20"/>
          <w:sz w:val="14"/>
        </w:rPr>
        <w:t>si</w:t>
      </w:r>
      <w:r>
        <w:rPr>
          <w:rFonts w:ascii="Arial" w:hAnsi="Arial"/>
          <w:color w:val="231F20"/>
          <w:spacing w:val="-7"/>
          <w:sz w:val="14"/>
        </w:rPr>
        <w:t> </w:t>
      </w:r>
      <w:r>
        <w:rPr>
          <w:rFonts w:ascii="Arial" w:hAnsi="Arial"/>
          <w:color w:val="231F20"/>
          <w:sz w:val="14"/>
        </w:rPr>
        <w:t>vous</w:t>
      </w:r>
      <w:r>
        <w:rPr>
          <w:rFonts w:ascii="Arial" w:hAnsi="Arial"/>
          <w:color w:val="231F20"/>
          <w:spacing w:val="-7"/>
          <w:sz w:val="14"/>
        </w:rPr>
        <w:t> </w:t>
      </w:r>
      <w:r>
        <w:rPr>
          <w:rFonts w:ascii="Arial" w:hAnsi="Arial"/>
          <w:color w:val="231F20"/>
          <w:sz w:val="14"/>
        </w:rPr>
        <w:t>avez</w:t>
      </w:r>
      <w:r>
        <w:rPr>
          <w:rFonts w:ascii="Arial" w:hAnsi="Arial"/>
          <w:color w:val="231F20"/>
          <w:spacing w:val="-7"/>
          <w:sz w:val="14"/>
        </w:rPr>
        <w:t> </w:t>
      </w:r>
      <w:r>
        <w:rPr>
          <w:rFonts w:ascii="Arial" w:hAnsi="Arial"/>
          <w:color w:val="231F20"/>
          <w:sz w:val="14"/>
        </w:rPr>
        <w:t>marqué</w:t>
      </w:r>
      <w:r>
        <w:rPr>
          <w:rFonts w:ascii="Arial" w:hAnsi="Arial"/>
          <w:color w:val="231F20"/>
          <w:spacing w:val="-7"/>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non»</w:t>
      </w:r>
      <w:r>
        <w:rPr>
          <w:rFonts w:ascii="Arial" w:hAnsi="Arial"/>
          <w:color w:val="231F20"/>
          <w:spacing w:val="-7"/>
          <w:sz w:val="14"/>
        </w:rPr>
        <w:t> </w:t>
      </w:r>
      <w:r>
        <w:rPr>
          <w:rFonts w:ascii="Arial" w:hAnsi="Arial"/>
          <w:color w:val="231F20"/>
          <w:sz w:val="14"/>
        </w:rPr>
        <w:t>–</w:t>
      </w:r>
      <w:r>
        <w:rPr>
          <w:rFonts w:ascii="Arial" w:hAnsi="Arial"/>
          <w:color w:val="231F20"/>
          <w:spacing w:val="-7"/>
          <w:sz w:val="14"/>
        </w:rPr>
        <w:t> </w:t>
      </w:r>
      <w:r>
        <w:rPr>
          <w:rFonts w:ascii="Arial" w:hAnsi="Arial"/>
          <w:color w:val="231F20"/>
          <w:sz w:val="14"/>
        </w:rPr>
        <w:t>placez</w:t>
      </w:r>
      <w:r>
        <w:rPr>
          <w:rFonts w:ascii="Arial" w:hAnsi="Arial"/>
          <w:color w:val="231F20"/>
          <w:spacing w:val="-7"/>
          <w:sz w:val="14"/>
        </w:rPr>
        <w:t> </w:t>
      </w:r>
      <w:r>
        <w:rPr>
          <w:rFonts w:ascii="Arial" w:hAnsi="Arial"/>
          <w:color w:val="231F20"/>
          <w:sz w:val="14"/>
        </w:rPr>
        <w:t>un</w:t>
      </w:r>
      <w:r>
        <w:rPr>
          <w:rFonts w:ascii="Arial" w:hAnsi="Arial"/>
          <w:color w:val="231F20"/>
          <w:spacing w:val="-7"/>
          <w:sz w:val="14"/>
        </w:rPr>
        <w:t> </w:t>
      </w:r>
      <w:r>
        <w:rPr>
          <w:rFonts w:ascii="Arial" w:hAnsi="Arial"/>
          <w:color w:val="231F20"/>
          <w:sz w:val="14"/>
        </w:rPr>
        <w:t>X</w:t>
      </w:r>
      <w:r>
        <w:rPr>
          <w:rFonts w:ascii="Arial" w:hAnsi="Arial"/>
          <w:color w:val="231F20"/>
          <w:spacing w:val="-7"/>
          <w:sz w:val="14"/>
        </w:rPr>
        <w:t> </w:t>
      </w:r>
      <w:r>
        <w:rPr>
          <w:rFonts w:ascii="Arial" w:hAnsi="Arial"/>
          <w:color w:val="231F20"/>
          <w:sz w:val="14"/>
        </w:rPr>
        <w:t>dans</w:t>
      </w:r>
      <w:r>
        <w:rPr>
          <w:rFonts w:ascii="Arial" w:hAnsi="Arial"/>
          <w:color w:val="231F20"/>
          <w:spacing w:val="-7"/>
          <w:sz w:val="14"/>
        </w:rPr>
        <w:t> </w:t>
      </w:r>
      <w:r>
        <w:rPr>
          <w:rFonts w:ascii="Arial" w:hAnsi="Arial"/>
          <w:color w:val="231F20"/>
          <w:sz w:val="14"/>
        </w:rPr>
        <w:t>la</w:t>
      </w:r>
      <w:r>
        <w:rPr>
          <w:rFonts w:ascii="Arial" w:hAnsi="Arial"/>
          <w:color w:val="231F20"/>
          <w:spacing w:val="-7"/>
          <w:sz w:val="14"/>
        </w:rPr>
        <w:t> </w:t>
      </w:r>
      <w:r>
        <w:rPr>
          <w:rFonts w:ascii="Arial" w:hAnsi="Arial"/>
          <w:color w:val="231F20"/>
          <w:sz w:val="14"/>
        </w:rPr>
        <w:t>colonne</w:t>
      </w:r>
      <w:r>
        <w:rPr>
          <w:rFonts w:ascii="Arial" w:hAnsi="Arial"/>
          <w:color w:val="231F20"/>
          <w:spacing w:val="-7"/>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oui».</w:t>
      </w:r>
      <w:r>
        <w:rPr>
          <w:rFonts w:ascii="Arial" w:hAnsi="Arial"/>
          <w:color w:val="231F20"/>
          <w:spacing w:val="40"/>
          <w:sz w:val="14"/>
        </w:rPr>
        <w:t> </w:t>
      </w:r>
      <w:r>
        <w:rPr>
          <w:rFonts w:ascii="Arial" w:hAnsi="Arial"/>
          <w:color w:val="231F20"/>
          <w:sz w:val="14"/>
        </w:rPr>
        <w:t>L’échelle</w:t>
      </w:r>
      <w:r>
        <w:rPr>
          <w:rFonts w:ascii="Arial" w:hAnsi="Arial"/>
          <w:color w:val="231F20"/>
          <w:spacing w:val="-3"/>
          <w:sz w:val="14"/>
        </w:rPr>
        <w:t> </w:t>
      </w:r>
      <w:r>
        <w:rPr>
          <w:rFonts w:ascii="Arial" w:hAnsi="Arial"/>
          <w:color w:val="231F20"/>
          <w:sz w:val="14"/>
        </w:rPr>
        <w:t>va</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1</w:t>
      </w:r>
      <w:r>
        <w:rPr>
          <w:rFonts w:ascii="Arial" w:hAnsi="Arial"/>
          <w:color w:val="231F20"/>
          <w:spacing w:val="-3"/>
          <w:sz w:val="14"/>
        </w:rPr>
        <w:t> </w:t>
      </w:r>
      <w:r>
        <w:rPr>
          <w:rFonts w:ascii="Arial" w:hAnsi="Arial"/>
          <w:color w:val="231F20"/>
          <w:sz w:val="14"/>
        </w:rPr>
        <w:t>à</w:t>
      </w:r>
      <w:r>
        <w:rPr>
          <w:rFonts w:ascii="Arial" w:hAnsi="Arial"/>
          <w:color w:val="231F20"/>
          <w:spacing w:val="-3"/>
          <w:sz w:val="14"/>
        </w:rPr>
        <w:t> </w:t>
      </w:r>
      <w:r>
        <w:rPr>
          <w:rFonts w:ascii="Arial" w:hAnsi="Arial"/>
          <w:color w:val="231F20"/>
          <w:sz w:val="14"/>
        </w:rPr>
        <w:t>10.</w:t>
      </w:r>
      <w:r>
        <w:rPr>
          <w:rFonts w:ascii="Arial" w:hAnsi="Arial"/>
          <w:color w:val="231F20"/>
          <w:spacing w:val="-3"/>
          <w:sz w:val="14"/>
        </w:rPr>
        <w:t> </w:t>
      </w:r>
      <w:r>
        <w:rPr>
          <w:rFonts w:ascii="Arial" w:hAnsi="Arial"/>
          <w:color w:val="231F20"/>
          <w:sz w:val="14"/>
        </w:rPr>
        <w:t>Si</w:t>
      </w:r>
      <w:r>
        <w:rPr>
          <w:rFonts w:ascii="Arial" w:hAnsi="Arial"/>
          <w:color w:val="231F20"/>
          <w:spacing w:val="-3"/>
          <w:sz w:val="14"/>
        </w:rPr>
        <w:t> </w:t>
      </w:r>
      <w:r>
        <w:rPr>
          <w:rFonts w:ascii="Arial" w:hAnsi="Arial"/>
          <w:color w:val="231F20"/>
          <w:sz w:val="14"/>
        </w:rPr>
        <w:t>vous</w:t>
      </w:r>
      <w:r>
        <w:rPr>
          <w:rFonts w:ascii="Arial" w:hAnsi="Arial"/>
          <w:color w:val="231F20"/>
          <w:spacing w:val="-3"/>
          <w:sz w:val="14"/>
        </w:rPr>
        <w:t> </w:t>
      </w:r>
      <w:r>
        <w:rPr>
          <w:rFonts w:ascii="Arial" w:hAnsi="Arial"/>
          <w:color w:val="231F20"/>
          <w:sz w:val="14"/>
        </w:rPr>
        <w:t>avez</w:t>
      </w:r>
      <w:r>
        <w:rPr>
          <w:rFonts w:ascii="Arial" w:hAnsi="Arial"/>
          <w:color w:val="231F20"/>
          <w:spacing w:val="-3"/>
          <w:sz w:val="14"/>
        </w:rPr>
        <w:t> </w:t>
      </w:r>
      <w:r>
        <w:rPr>
          <w:rFonts w:ascii="Arial" w:hAnsi="Arial"/>
          <w:color w:val="231F20"/>
          <w:sz w:val="14"/>
        </w:rPr>
        <w:t>accumulé</w:t>
      </w:r>
      <w:r>
        <w:rPr>
          <w:rFonts w:ascii="Arial" w:hAnsi="Arial"/>
          <w:color w:val="231F20"/>
          <w:spacing w:val="-3"/>
          <w:sz w:val="14"/>
        </w:rPr>
        <w:t> </w:t>
      </w:r>
      <w:r>
        <w:rPr>
          <w:rFonts w:ascii="Arial" w:hAnsi="Arial"/>
          <w:color w:val="231F20"/>
          <w:sz w:val="14"/>
        </w:rPr>
        <w:t>un</w:t>
      </w:r>
      <w:r>
        <w:rPr>
          <w:rFonts w:ascii="Arial" w:hAnsi="Arial"/>
          <w:color w:val="231F20"/>
          <w:spacing w:val="-3"/>
          <w:sz w:val="14"/>
        </w:rPr>
        <w:t> </w:t>
      </w:r>
      <w:r>
        <w:rPr>
          <w:rFonts w:ascii="Arial" w:hAnsi="Arial"/>
          <w:color w:val="231F20"/>
          <w:sz w:val="14"/>
        </w:rPr>
        <w:t>total</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6</w:t>
      </w:r>
      <w:r>
        <w:rPr>
          <w:rFonts w:ascii="Arial" w:hAnsi="Arial"/>
          <w:color w:val="231F20"/>
          <w:spacing w:val="-3"/>
          <w:sz w:val="14"/>
        </w:rPr>
        <w:t> </w:t>
      </w:r>
      <w:r>
        <w:rPr>
          <w:rFonts w:ascii="Arial" w:hAnsi="Arial"/>
          <w:color w:val="231F20"/>
          <w:sz w:val="14"/>
        </w:rPr>
        <w:t>et</w:t>
      </w:r>
      <w:r>
        <w:rPr>
          <w:rFonts w:ascii="Arial" w:hAnsi="Arial"/>
          <w:color w:val="231F20"/>
          <w:spacing w:val="-3"/>
          <w:sz w:val="14"/>
        </w:rPr>
        <w:t> </w:t>
      </w:r>
      <w:r>
        <w:rPr>
          <w:rFonts w:ascii="Arial" w:hAnsi="Arial"/>
          <w:color w:val="231F20"/>
          <w:sz w:val="14"/>
        </w:rPr>
        <w:t>plus</w:t>
      </w:r>
      <w:r>
        <w:rPr>
          <w:rFonts w:ascii="Arial" w:hAnsi="Arial"/>
          <w:color w:val="231F20"/>
          <w:spacing w:val="-3"/>
          <w:sz w:val="14"/>
        </w:rPr>
        <w:t> </w:t>
      </w:r>
      <w:r>
        <w:rPr>
          <w:rFonts w:ascii="Arial" w:hAnsi="Arial"/>
          <w:color w:val="231F20"/>
          <w:sz w:val="14"/>
        </w:rPr>
        <w:t>de</w:t>
      </w:r>
      <w:r>
        <w:rPr>
          <w:rFonts w:ascii="Arial" w:hAnsi="Arial"/>
          <w:color w:val="231F20"/>
          <w:spacing w:val="-3"/>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non»,</w:t>
      </w:r>
      <w:r>
        <w:rPr>
          <w:rFonts w:ascii="Arial" w:hAnsi="Arial"/>
          <w:color w:val="231F20"/>
          <w:spacing w:val="-3"/>
          <w:sz w:val="14"/>
        </w:rPr>
        <w:t> </w:t>
      </w:r>
      <w:r>
        <w:rPr>
          <w:rFonts w:ascii="Arial" w:hAnsi="Arial"/>
          <w:color w:val="231F20"/>
          <w:sz w:val="14"/>
        </w:rPr>
        <w:t>cela</w:t>
      </w:r>
      <w:r>
        <w:rPr>
          <w:rFonts w:ascii="Arial" w:hAnsi="Arial"/>
          <w:color w:val="231F20"/>
          <w:spacing w:val="-3"/>
          <w:sz w:val="14"/>
        </w:rPr>
        <w:t> </w:t>
      </w:r>
      <w:r>
        <w:rPr>
          <w:rFonts w:ascii="Arial" w:hAnsi="Arial"/>
          <w:color w:val="231F20"/>
          <w:sz w:val="14"/>
        </w:rPr>
        <w:t>suggère</w:t>
      </w:r>
      <w:r>
        <w:rPr>
          <w:rFonts w:ascii="Arial" w:hAnsi="Arial"/>
          <w:color w:val="231F20"/>
          <w:spacing w:val="40"/>
          <w:sz w:val="14"/>
        </w:rPr>
        <w:t> </w:t>
      </w:r>
      <w:r>
        <w:rPr>
          <w:rFonts w:ascii="Arial" w:hAnsi="Arial"/>
          <w:color w:val="231F20"/>
          <w:sz w:val="14"/>
        </w:rPr>
        <w:t>une faible estime de soi.</w:t>
      </w:r>
    </w:p>
    <w:p>
      <w:pPr>
        <w:spacing w:line="295" w:lineRule="auto" w:before="137"/>
        <w:ind w:left="830" w:right="500" w:firstLine="0"/>
        <w:jc w:val="left"/>
        <w:rPr>
          <w:rFonts w:ascii="Arial" w:hAnsi="Arial"/>
          <w:sz w:val="12"/>
        </w:rPr>
      </w:pPr>
      <w:r>
        <w:rPr>
          <w:rFonts w:ascii="Arial" w:hAnsi="Arial"/>
          <w:color w:val="231F20"/>
          <w:sz w:val="12"/>
        </w:rPr>
        <w:t>Source</w:t>
      </w:r>
      <w:r>
        <w:rPr>
          <w:rFonts w:ascii="Arial" w:hAnsi="Arial"/>
          <w:color w:val="231F20"/>
          <w:spacing w:val="-18"/>
          <w:sz w:val="12"/>
        </w:rPr>
        <w:t> </w:t>
      </w:r>
      <w:r>
        <w:rPr>
          <w:rFonts w:ascii="Arial" w:hAnsi="Arial"/>
          <w:color w:val="231F20"/>
          <w:sz w:val="12"/>
        </w:rPr>
        <w:t>: Adapté de Rosenberg (1965), </w:t>
      </w:r>
      <w:hyperlink r:id="rId353">
        <w:r>
          <w:rPr>
            <w:rFonts w:ascii="Arial" w:hAnsi="Arial"/>
            <w:color w:val="231F20"/>
            <w:sz w:val="12"/>
          </w:rPr>
          <w:t>&lt;http:/</w:t>
        </w:r>
      </w:hyperlink>
      <w:r>
        <w:rPr>
          <w:rFonts w:ascii="Arial" w:hAnsi="Arial"/>
          <w:color w:val="231F20"/>
          <w:sz w:val="12"/>
        </w:rPr>
        <w:t>/</w:t>
      </w:r>
      <w:hyperlink r:id="rId353">
        <w:r>
          <w:rPr>
            <w:rFonts w:ascii="Arial" w:hAnsi="Arial"/>
            <w:color w:val="231F20"/>
            <w:sz w:val="12"/>
          </w:rPr>
          <w:t>www.socialworkerstoolbox.com/rosenberg-self-esteem-</w:t>
        </w:r>
      </w:hyperlink>
      <w:r>
        <w:rPr>
          <w:rFonts w:ascii="Arial" w:hAnsi="Arial"/>
          <w:color w:val="231F20"/>
          <w:spacing w:val="40"/>
          <w:w w:val="105"/>
          <w:sz w:val="12"/>
        </w:rPr>
        <w:t> </w:t>
      </w:r>
      <w:r>
        <w:rPr>
          <w:rFonts w:ascii="Arial" w:hAnsi="Arial"/>
          <w:color w:val="231F20"/>
          <w:w w:val="105"/>
          <w:sz w:val="12"/>
        </w:rPr>
        <w:t>scale/&gt;,</w:t>
      </w:r>
      <w:r>
        <w:rPr>
          <w:rFonts w:ascii="Arial" w:hAnsi="Arial"/>
          <w:color w:val="231F20"/>
          <w:spacing w:val="-6"/>
          <w:w w:val="105"/>
          <w:sz w:val="12"/>
        </w:rPr>
        <w:t> </w:t>
      </w:r>
      <w:r>
        <w:rPr>
          <w:rFonts w:ascii="Arial" w:hAnsi="Arial"/>
          <w:color w:val="231F20"/>
          <w:w w:val="105"/>
          <w:sz w:val="12"/>
        </w:rPr>
        <w:t>consulté</w:t>
      </w:r>
      <w:r>
        <w:rPr>
          <w:rFonts w:ascii="Arial" w:hAnsi="Arial"/>
          <w:color w:val="231F20"/>
          <w:spacing w:val="-6"/>
          <w:w w:val="105"/>
          <w:sz w:val="12"/>
        </w:rPr>
        <w:t> </w:t>
      </w:r>
      <w:r>
        <w:rPr>
          <w:rFonts w:ascii="Arial" w:hAnsi="Arial"/>
          <w:color w:val="231F20"/>
          <w:w w:val="105"/>
          <w:sz w:val="12"/>
        </w:rPr>
        <w:t>le</w:t>
      </w:r>
      <w:r>
        <w:rPr>
          <w:rFonts w:ascii="Arial" w:hAnsi="Arial"/>
          <w:color w:val="231F20"/>
          <w:spacing w:val="-6"/>
          <w:w w:val="105"/>
          <w:sz w:val="12"/>
        </w:rPr>
        <w:t> </w:t>
      </w:r>
      <w:r>
        <w:rPr>
          <w:rFonts w:ascii="Arial" w:hAnsi="Arial"/>
          <w:color w:val="231F20"/>
          <w:w w:val="105"/>
          <w:sz w:val="12"/>
        </w:rPr>
        <w:t>22</w:t>
      </w:r>
      <w:r>
        <w:rPr>
          <w:rFonts w:ascii="Arial" w:hAnsi="Arial"/>
          <w:color w:val="231F20"/>
          <w:spacing w:val="-6"/>
          <w:w w:val="105"/>
          <w:sz w:val="12"/>
        </w:rPr>
        <w:t> </w:t>
      </w:r>
      <w:r>
        <w:rPr>
          <w:rFonts w:ascii="Arial" w:hAnsi="Arial"/>
          <w:color w:val="231F20"/>
          <w:w w:val="105"/>
          <w:sz w:val="12"/>
        </w:rPr>
        <w:t>octobre</w:t>
      </w:r>
      <w:r>
        <w:rPr>
          <w:rFonts w:ascii="Arial" w:hAnsi="Arial"/>
          <w:color w:val="231F20"/>
          <w:spacing w:val="-6"/>
          <w:w w:val="105"/>
          <w:sz w:val="12"/>
        </w:rPr>
        <w:t> </w:t>
      </w:r>
      <w:r>
        <w:rPr>
          <w:rFonts w:ascii="Arial" w:hAnsi="Arial"/>
          <w:color w:val="231F20"/>
          <w:w w:val="105"/>
          <w:sz w:val="12"/>
        </w:rPr>
        <w:t>2021.</w:t>
      </w:r>
      <w:r>
        <w:rPr>
          <w:rFonts w:ascii="Arial" w:hAnsi="Arial"/>
          <w:color w:val="231F20"/>
          <w:spacing w:val="-6"/>
          <w:w w:val="105"/>
          <w:sz w:val="12"/>
        </w:rPr>
        <w:t> </w:t>
      </w:r>
      <w:r>
        <w:rPr>
          <w:rFonts w:ascii="Arial" w:hAnsi="Arial"/>
          <w:color w:val="231F20"/>
          <w:w w:val="105"/>
          <w:sz w:val="12"/>
        </w:rPr>
        <w:t>Utilisé</w:t>
      </w:r>
      <w:r>
        <w:rPr>
          <w:rFonts w:ascii="Arial" w:hAnsi="Arial"/>
          <w:color w:val="231F20"/>
          <w:spacing w:val="-6"/>
          <w:w w:val="105"/>
          <w:sz w:val="12"/>
        </w:rPr>
        <w:t> </w:t>
      </w:r>
      <w:r>
        <w:rPr>
          <w:rFonts w:ascii="Arial" w:hAnsi="Arial"/>
          <w:color w:val="231F20"/>
          <w:w w:val="105"/>
          <w:sz w:val="12"/>
        </w:rPr>
        <w:t>avec</w:t>
      </w:r>
      <w:r>
        <w:rPr>
          <w:rFonts w:ascii="Arial" w:hAnsi="Arial"/>
          <w:color w:val="231F20"/>
          <w:spacing w:val="-6"/>
          <w:w w:val="105"/>
          <w:sz w:val="12"/>
        </w:rPr>
        <w:t> </w:t>
      </w:r>
      <w:r>
        <w:rPr>
          <w:rFonts w:ascii="Arial" w:hAnsi="Arial"/>
          <w:color w:val="231F20"/>
          <w:w w:val="105"/>
          <w:sz w:val="12"/>
        </w:rPr>
        <w:t>autorisation.</w:t>
      </w:r>
    </w:p>
    <w:p>
      <w:pPr>
        <w:spacing w:after="0" w:line="295" w:lineRule="auto"/>
        <w:jc w:val="left"/>
        <w:rPr>
          <w:rFonts w:ascii="Arial" w:hAnsi="Arial"/>
          <w:sz w:val="12"/>
        </w:rPr>
        <w:sectPr>
          <w:footerReference w:type="default" r:id="rId352"/>
          <w:pgSz w:w="8640" w:h="12960"/>
          <w:pgMar w:footer="424" w:header="0" w:top="520" w:bottom="620" w:left="420" w:right="1140"/>
        </w:sectPr>
      </w:pPr>
    </w:p>
    <w:p>
      <w:pPr>
        <w:spacing w:before="118"/>
        <w:ind w:left="1246" w:right="0" w:firstLine="0"/>
        <w:jc w:val="both"/>
        <w:rPr>
          <w:rFonts w:ascii="Arial" w:hAnsi="Arial"/>
          <w:sz w:val="14"/>
        </w:rPr>
      </w:pPr>
      <w:r>
        <w:rPr>
          <w:rFonts w:ascii="Arial" w:hAnsi="Arial"/>
          <w:color w:val="231F20"/>
          <w:sz w:val="14"/>
        </w:rPr>
        <w:t>Annexe</w:t>
      </w:r>
      <w:r>
        <w:rPr>
          <w:rFonts w:ascii="Arial" w:hAnsi="Arial"/>
          <w:color w:val="231F20"/>
          <w:spacing w:val="-6"/>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estime</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5"/>
          <w:sz w:val="14"/>
        </w:rPr>
        <w:t> </w:t>
      </w:r>
      <w:r>
        <w:rPr>
          <w:rFonts w:ascii="Arial" w:hAnsi="Arial"/>
          <w:color w:val="231F20"/>
          <w:sz w:val="14"/>
        </w:rPr>
        <w:t>valeurs</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bien-être</w:t>
      </w:r>
      <w:r>
        <w:rPr>
          <w:rFonts w:ascii="Arial" w:hAnsi="Arial"/>
          <w:color w:val="231F20"/>
          <w:spacing w:val="-5"/>
          <w:sz w:val="14"/>
        </w:rPr>
        <w:t> </w:t>
      </w:r>
      <w:r>
        <w:rPr>
          <w:rFonts w:ascii="Arial" w:hAnsi="Arial"/>
          <w:color w:val="231F20"/>
          <w:sz w:val="14"/>
        </w:rPr>
        <w:t>psychologique</w:t>
      </w:r>
      <w:r>
        <w:rPr>
          <w:rFonts w:ascii="Arial" w:hAnsi="Arial"/>
          <w:color w:val="231F20"/>
          <w:spacing w:val="-6"/>
          <w:sz w:val="14"/>
        </w:rPr>
        <w:t> </w:t>
      </w:r>
      <w:r>
        <w:rPr>
          <w:rFonts w:ascii="Arial" w:hAnsi="Arial"/>
          <w:color w:val="231F20"/>
          <w:sz w:val="14"/>
        </w:rPr>
        <w:t>en</w:t>
      </w:r>
      <w:r>
        <w:rPr>
          <w:rFonts w:ascii="Arial" w:hAnsi="Arial"/>
          <w:color w:val="231F20"/>
          <w:spacing w:val="-5"/>
          <w:sz w:val="14"/>
        </w:rPr>
        <w:t> </w:t>
      </w:r>
      <w:r>
        <w:rPr>
          <w:rFonts w:ascii="Arial" w:hAnsi="Arial"/>
          <w:color w:val="231F20"/>
          <w:sz w:val="14"/>
        </w:rPr>
        <w:t>contexte</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COVID-</w:t>
      </w:r>
      <w:r>
        <w:rPr>
          <w:rFonts w:ascii="Arial" w:hAnsi="Arial"/>
          <w:color w:val="231F20"/>
          <w:spacing w:val="-5"/>
          <w:sz w:val="14"/>
        </w:rPr>
        <w:t>19</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99"/>
        <w:jc w:val="both"/>
      </w:pPr>
      <w:r>
        <w:rPr>
          <w:color w:val="231F20"/>
          <w:w w:val="120"/>
        </w:rPr>
        <w:t>De même, l’évaluation de la congruence (ou de l’incongruence) des valeurs</w:t>
      </w:r>
      <w:r>
        <w:rPr>
          <w:color w:val="231F20"/>
          <w:spacing w:val="-6"/>
          <w:w w:val="120"/>
        </w:rPr>
        <w:t> </w:t>
      </w:r>
      <w:r>
        <w:rPr>
          <w:color w:val="231F20"/>
          <w:w w:val="120"/>
        </w:rPr>
        <w:t>est</w:t>
      </w:r>
      <w:r>
        <w:rPr>
          <w:color w:val="231F20"/>
          <w:spacing w:val="-6"/>
          <w:w w:val="120"/>
        </w:rPr>
        <w:t> </w:t>
      </w:r>
      <w:r>
        <w:rPr>
          <w:color w:val="231F20"/>
          <w:w w:val="120"/>
        </w:rPr>
        <w:t>également</w:t>
      </w:r>
      <w:r>
        <w:rPr>
          <w:color w:val="231F20"/>
          <w:spacing w:val="-6"/>
          <w:w w:val="120"/>
        </w:rPr>
        <w:t> </w:t>
      </w:r>
      <w:r>
        <w:rPr>
          <w:color w:val="231F20"/>
          <w:w w:val="120"/>
        </w:rPr>
        <w:t>complexe.</w:t>
      </w:r>
      <w:r>
        <w:rPr>
          <w:color w:val="231F20"/>
          <w:spacing w:val="-6"/>
          <w:w w:val="120"/>
        </w:rPr>
        <w:t> </w:t>
      </w:r>
      <w:r>
        <w:rPr>
          <w:color w:val="231F20"/>
          <w:w w:val="120"/>
        </w:rPr>
        <w:t>Dans</w:t>
      </w:r>
      <w:r>
        <w:rPr>
          <w:color w:val="231F20"/>
          <w:spacing w:val="-6"/>
          <w:w w:val="120"/>
        </w:rPr>
        <w:t> </w:t>
      </w:r>
      <w:r>
        <w:rPr>
          <w:color w:val="231F20"/>
          <w:w w:val="120"/>
        </w:rPr>
        <w:t>le</w:t>
      </w:r>
      <w:r>
        <w:rPr>
          <w:color w:val="231F20"/>
          <w:spacing w:val="-6"/>
          <w:w w:val="120"/>
        </w:rPr>
        <w:t> </w:t>
      </w:r>
      <w:r>
        <w:rPr>
          <w:color w:val="231F20"/>
          <w:w w:val="120"/>
        </w:rPr>
        <w:t>domaine</w:t>
      </w:r>
      <w:r>
        <w:rPr>
          <w:color w:val="231F20"/>
          <w:spacing w:val="-6"/>
          <w:w w:val="120"/>
        </w:rPr>
        <w:t> </w:t>
      </w:r>
      <w:r>
        <w:rPr>
          <w:color w:val="231F20"/>
          <w:w w:val="120"/>
        </w:rPr>
        <w:t>des</w:t>
      </w:r>
      <w:r>
        <w:rPr>
          <w:color w:val="231F20"/>
          <w:spacing w:val="-6"/>
          <w:w w:val="120"/>
        </w:rPr>
        <w:t> </w:t>
      </w:r>
      <w:r>
        <w:rPr>
          <w:color w:val="231F20"/>
          <w:w w:val="120"/>
        </w:rPr>
        <w:t>valeurs,</w:t>
      </w:r>
      <w:r>
        <w:rPr>
          <w:color w:val="231F20"/>
          <w:spacing w:val="-6"/>
          <w:w w:val="120"/>
        </w:rPr>
        <w:t> </w:t>
      </w:r>
      <w:r>
        <w:rPr>
          <w:color w:val="231F20"/>
          <w:w w:val="120"/>
        </w:rPr>
        <w:t>il</w:t>
      </w:r>
      <w:r>
        <w:rPr>
          <w:color w:val="231F20"/>
          <w:spacing w:val="-6"/>
          <w:w w:val="120"/>
        </w:rPr>
        <w:t> </w:t>
      </w:r>
      <w:r>
        <w:rPr>
          <w:color w:val="231F20"/>
          <w:w w:val="120"/>
        </w:rPr>
        <w:t>existe </w:t>
      </w:r>
      <w:r>
        <w:rPr>
          <w:color w:val="231F20"/>
          <w:spacing w:val="-2"/>
          <w:w w:val="120"/>
        </w:rPr>
        <w:t>aussi</w:t>
      </w:r>
      <w:r>
        <w:rPr>
          <w:color w:val="231F20"/>
          <w:spacing w:val="-9"/>
          <w:w w:val="120"/>
        </w:rPr>
        <w:t> </w:t>
      </w:r>
      <w:r>
        <w:rPr>
          <w:color w:val="231F20"/>
          <w:spacing w:val="-2"/>
          <w:w w:val="120"/>
        </w:rPr>
        <w:t>diverses</w:t>
      </w:r>
      <w:r>
        <w:rPr>
          <w:color w:val="231F20"/>
          <w:spacing w:val="-9"/>
          <w:w w:val="120"/>
        </w:rPr>
        <w:t> </w:t>
      </w:r>
      <w:r>
        <w:rPr>
          <w:color w:val="231F20"/>
          <w:spacing w:val="-2"/>
          <w:w w:val="120"/>
        </w:rPr>
        <w:t>conceptions</w:t>
      </w:r>
      <w:r>
        <w:rPr>
          <w:color w:val="231F20"/>
          <w:spacing w:val="-9"/>
          <w:w w:val="120"/>
        </w:rPr>
        <w:t> </w:t>
      </w:r>
      <w:r>
        <w:rPr>
          <w:color w:val="231F20"/>
          <w:spacing w:val="-2"/>
          <w:w w:val="120"/>
        </w:rPr>
        <w:t>quant</w:t>
      </w:r>
      <w:r>
        <w:rPr>
          <w:color w:val="231F20"/>
          <w:spacing w:val="-9"/>
          <w:w w:val="120"/>
        </w:rPr>
        <w:t> </w:t>
      </w:r>
      <w:r>
        <w:rPr>
          <w:color w:val="231F20"/>
          <w:spacing w:val="-2"/>
          <w:w w:val="120"/>
        </w:rPr>
        <w:t>à</w:t>
      </w:r>
      <w:r>
        <w:rPr>
          <w:color w:val="231F20"/>
          <w:spacing w:val="-9"/>
          <w:w w:val="120"/>
        </w:rPr>
        <w:t> </w:t>
      </w:r>
      <w:r>
        <w:rPr>
          <w:color w:val="231F20"/>
          <w:spacing w:val="-2"/>
          <w:w w:val="120"/>
        </w:rPr>
        <w:t>la</w:t>
      </w:r>
      <w:r>
        <w:rPr>
          <w:color w:val="231F20"/>
          <w:spacing w:val="-9"/>
          <w:w w:val="120"/>
        </w:rPr>
        <w:t> </w:t>
      </w:r>
      <w:r>
        <w:rPr>
          <w:color w:val="231F20"/>
          <w:spacing w:val="-2"/>
          <w:w w:val="120"/>
        </w:rPr>
        <w:t>définition,</w:t>
      </w:r>
      <w:r>
        <w:rPr>
          <w:color w:val="231F20"/>
          <w:spacing w:val="-9"/>
          <w:w w:val="120"/>
        </w:rPr>
        <w:t> </w:t>
      </w:r>
      <w:r>
        <w:rPr>
          <w:color w:val="231F20"/>
          <w:spacing w:val="-2"/>
          <w:w w:val="120"/>
        </w:rPr>
        <w:t>la</w:t>
      </w:r>
      <w:r>
        <w:rPr>
          <w:color w:val="231F20"/>
          <w:spacing w:val="-9"/>
          <w:w w:val="120"/>
        </w:rPr>
        <w:t> </w:t>
      </w:r>
      <w:r>
        <w:rPr>
          <w:color w:val="231F20"/>
          <w:spacing w:val="-2"/>
          <w:w w:val="120"/>
        </w:rPr>
        <w:t>mesure</w:t>
      </w:r>
      <w:r>
        <w:rPr>
          <w:color w:val="231F20"/>
          <w:spacing w:val="-9"/>
          <w:w w:val="120"/>
        </w:rPr>
        <w:t> </w:t>
      </w:r>
      <w:r>
        <w:rPr>
          <w:color w:val="231F20"/>
          <w:spacing w:val="-2"/>
          <w:w w:val="120"/>
        </w:rPr>
        <w:t>et</w:t>
      </w:r>
      <w:r>
        <w:rPr>
          <w:color w:val="231F20"/>
          <w:spacing w:val="-9"/>
          <w:w w:val="120"/>
        </w:rPr>
        <w:t> </w:t>
      </w:r>
      <w:r>
        <w:rPr>
          <w:color w:val="231F20"/>
          <w:spacing w:val="-2"/>
          <w:w w:val="120"/>
        </w:rPr>
        <w:t>les</w:t>
      </w:r>
      <w:r>
        <w:rPr>
          <w:color w:val="231F20"/>
          <w:spacing w:val="-9"/>
          <w:w w:val="120"/>
        </w:rPr>
        <w:t> </w:t>
      </w:r>
      <w:r>
        <w:rPr>
          <w:color w:val="231F20"/>
          <w:spacing w:val="-2"/>
          <w:w w:val="120"/>
        </w:rPr>
        <w:t>implica- tions</w:t>
      </w:r>
      <w:r>
        <w:rPr>
          <w:color w:val="231F20"/>
          <w:spacing w:val="-9"/>
          <w:w w:val="120"/>
        </w:rPr>
        <w:t> </w:t>
      </w:r>
      <w:r>
        <w:rPr>
          <w:color w:val="231F20"/>
          <w:spacing w:val="-2"/>
          <w:w w:val="120"/>
        </w:rPr>
        <w:t>concrètes</w:t>
      </w:r>
      <w:r>
        <w:rPr>
          <w:color w:val="231F20"/>
          <w:spacing w:val="-9"/>
          <w:w w:val="120"/>
        </w:rPr>
        <w:t> </w:t>
      </w:r>
      <w:r>
        <w:rPr>
          <w:color w:val="231F20"/>
          <w:spacing w:val="-2"/>
          <w:w w:val="120"/>
        </w:rPr>
        <w:t>des</w:t>
      </w:r>
      <w:r>
        <w:rPr>
          <w:color w:val="231F20"/>
          <w:spacing w:val="-9"/>
          <w:w w:val="120"/>
        </w:rPr>
        <w:t> </w:t>
      </w:r>
      <w:r>
        <w:rPr>
          <w:color w:val="231F20"/>
          <w:spacing w:val="-2"/>
          <w:w w:val="120"/>
        </w:rPr>
        <w:t>valeurs.</w:t>
      </w:r>
      <w:r>
        <w:rPr>
          <w:color w:val="231F20"/>
          <w:spacing w:val="-9"/>
          <w:w w:val="120"/>
        </w:rPr>
        <w:t> </w:t>
      </w:r>
      <w:r>
        <w:rPr>
          <w:color w:val="231F20"/>
          <w:spacing w:val="-2"/>
          <w:w w:val="120"/>
        </w:rPr>
        <w:t>L’évolution</w:t>
      </w:r>
      <w:r>
        <w:rPr>
          <w:color w:val="231F20"/>
          <w:spacing w:val="-9"/>
          <w:w w:val="120"/>
        </w:rPr>
        <w:t> </w:t>
      </w:r>
      <w:r>
        <w:rPr>
          <w:color w:val="231F20"/>
          <w:spacing w:val="-2"/>
          <w:w w:val="120"/>
        </w:rPr>
        <w:t>de</w:t>
      </w:r>
      <w:r>
        <w:rPr>
          <w:color w:val="231F20"/>
          <w:spacing w:val="-9"/>
          <w:w w:val="120"/>
        </w:rPr>
        <w:t> </w:t>
      </w:r>
      <w:r>
        <w:rPr>
          <w:color w:val="231F20"/>
          <w:spacing w:val="-2"/>
          <w:w w:val="120"/>
        </w:rPr>
        <w:t>nos</w:t>
      </w:r>
      <w:r>
        <w:rPr>
          <w:color w:val="231F20"/>
          <w:spacing w:val="-9"/>
          <w:w w:val="120"/>
        </w:rPr>
        <w:t> </w:t>
      </w:r>
      <w:r>
        <w:rPr>
          <w:color w:val="231F20"/>
          <w:spacing w:val="-2"/>
          <w:w w:val="120"/>
        </w:rPr>
        <w:t>recherches</w:t>
      </w:r>
      <w:r>
        <w:rPr>
          <w:color w:val="231F20"/>
          <w:spacing w:val="-9"/>
          <w:w w:val="120"/>
        </w:rPr>
        <w:t> </w:t>
      </w:r>
      <w:r>
        <w:rPr>
          <w:color w:val="231F20"/>
          <w:spacing w:val="-2"/>
          <w:w w:val="120"/>
        </w:rPr>
        <w:t>nous</w:t>
      </w:r>
      <w:r>
        <w:rPr>
          <w:color w:val="231F20"/>
          <w:spacing w:val="-9"/>
          <w:w w:val="120"/>
        </w:rPr>
        <w:t> </w:t>
      </w:r>
      <w:r>
        <w:rPr>
          <w:color w:val="231F20"/>
          <w:spacing w:val="-2"/>
          <w:w w:val="120"/>
        </w:rPr>
        <w:t>a</w:t>
      </w:r>
      <w:r>
        <w:rPr>
          <w:color w:val="231F20"/>
          <w:spacing w:val="-9"/>
          <w:w w:val="120"/>
        </w:rPr>
        <w:t> </w:t>
      </w:r>
      <w:r>
        <w:rPr>
          <w:color w:val="231F20"/>
          <w:spacing w:val="-2"/>
          <w:w w:val="120"/>
        </w:rPr>
        <w:t>permis </w:t>
      </w:r>
      <w:r>
        <w:rPr>
          <w:color w:val="231F20"/>
          <w:w w:val="115"/>
        </w:rPr>
        <w:t>de</w:t>
      </w:r>
      <w:r>
        <w:rPr>
          <w:color w:val="231F20"/>
          <w:spacing w:val="-13"/>
          <w:w w:val="115"/>
        </w:rPr>
        <w:t> </w:t>
      </w:r>
      <w:r>
        <w:rPr>
          <w:color w:val="231F20"/>
          <w:w w:val="115"/>
        </w:rPr>
        <w:t>circonscrire</w:t>
      </w:r>
      <w:r>
        <w:rPr>
          <w:color w:val="231F20"/>
          <w:spacing w:val="-12"/>
          <w:w w:val="115"/>
        </w:rPr>
        <w:t> </w:t>
      </w:r>
      <w:r>
        <w:rPr>
          <w:color w:val="231F20"/>
          <w:w w:val="115"/>
        </w:rPr>
        <w:t>le</w:t>
      </w:r>
      <w:r>
        <w:rPr>
          <w:color w:val="231F20"/>
          <w:spacing w:val="-11"/>
          <w:w w:val="115"/>
        </w:rPr>
        <w:t> </w:t>
      </w:r>
      <w:r>
        <w:rPr>
          <w:color w:val="231F20"/>
          <w:w w:val="115"/>
        </w:rPr>
        <w:t>concept</w:t>
      </w:r>
      <w:r>
        <w:rPr>
          <w:color w:val="231F20"/>
          <w:spacing w:val="-6"/>
          <w:w w:val="115"/>
        </w:rPr>
        <w:t> </w:t>
      </w:r>
      <w:r>
        <w:rPr>
          <w:color w:val="231F20"/>
          <w:w w:val="115"/>
        </w:rPr>
        <w:t>de</w:t>
      </w:r>
      <w:r>
        <w:rPr>
          <w:color w:val="231F20"/>
          <w:spacing w:val="-6"/>
          <w:w w:val="115"/>
        </w:rPr>
        <w:t> </w:t>
      </w:r>
      <w:r>
        <w:rPr>
          <w:i/>
          <w:color w:val="231F20"/>
          <w:w w:val="115"/>
        </w:rPr>
        <w:t>valeurs</w:t>
      </w:r>
      <w:r>
        <w:rPr>
          <w:i/>
          <w:color w:val="231F20"/>
          <w:spacing w:val="-6"/>
          <w:w w:val="115"/>
        </w:rPr>
        <w:t> </w:t>
      </w:r>
      <w:r>
        <w:rPr>
          <w:color w:val="231F20"/>
          <w:w w:val="115"/>
        </w:rPr>
        <w:t>(Dolan</w:t>
      </w:r>
      <w:r>
        <w:rPr>
          <w:color w:val="231F20"/>
          <w:spacing w:val="-6"/>
          <w:w w:val="115"/>
        </w:rPr>
        <w:t> </w:t>
      </w:r>
      <w:r>
        <w:rPr>
          <w:i/>
          <w:color w:val="231F20"/>
          <w:w w:val="115"/>
        </w:rPr>
        <w:t>et</w:t>
      </w:r>
      <w:r>
        <w:rPr>
          <w:i/>
          <w:color w:val="231F20"/>
          <w:spacing w:val="-6"/>
          <w:w w:val="115"/>
        </w:rPr>
        <w:t> </w:t>
      </w:r>
      <w:r>
        <w:rPr>
          <w:i/>
          <w:color w:val="231F20"/>
          <w:w w:val="115"/>
        </w:rPr>
        <w:t>al</w:t>
      </w:r>
      <w:r>
        <w:rPr>
          <w:color w:val="231F20"/>
          <w:w w:val="115"/>
        </w:rPr>
        <w:t>.,</w:t>
      </w:r>
      <w:r>
        <w:rPr>
          <w:color w:val="231F20"/>
          <w:spacing w:val="-6"/>
          <w:w w:val="115"/>
        </w:rPr>
        <w:t> </w:t>
      </w:r>
      <w:r>
        <w:rPr>
          <w:color w:val="231F20"/>
          <w:w w:val="115"/>
        </w:rPr>
        <w:t>2006</w:t>
      </w:r>
      <w:r>
        <w:rPr>
          <w:color w:val="231F20"/>
          <w:spacing w:val="-13"/>
          <w:w w:val="115"/>
        </w:rPr>
        <w:t> </w:t>
      </w:r>
      <w:r>
        <w:rPr>
          <w:color w:val="231F20"/>
          <w:w w:val="115"/>
        </w:rPr>
        <w:t>;</w:t>
      </w:r>
      <w:r>
        <w:rPr>
          <w:color w:val="231F20"/>
          <w:spacing w:val="-5"/>
          <w:w w:val="115"/>
        </w:rPr>
        <w:t> </w:t>
      </w:r>
      <w:r>
        <w:rPr>
          <w:color w:val="231F20"/>
          <w:w w:val="115"/>
        </w:rPr>
        <w:t>Garcia</w:t>
      </w:r>
      <w:r>
        <w:rPr>
          <w:color w:val="231F20"/>
          <w:spacing w:val="-6"/>
          <w:w w:val="115"/>
        </w:rPr>
        <w:t> </w:t>
      </w:r>
      <w:r>
        <w:rPr>
          <w:color w:val="231F20"/>
          <w:w w:val="115"/>
        </w:rPr>
        <w:t>et</w:t>
      </w:r>
      <w:r>
        <w:rPr>
          <w:color w:val="231F20"/>
          <w:spacing w:val="-6"/>
          <w:w w:val="115"/>
        </w:rPr>
        <w:t> </w:t>
      </w:r>
      <w:r>
        <w:rPr>
          <w:color w:val="231F20"/>
          <w:w w:val="115"/>
        </w:rPr>
        <w:t>Dolan, 1997), d’établir une méthodologie (Dolan, 2011) ainsi que des outils afin </w:t>
      </w:r>
      <w:r>
        <w:rPr>
          <w:color w:val="231F20"/>
          <w:w w:val="120"/>
        </w:rPr>
        <w:t>d’estimer</w:t>
      </w:r>
      <w:r>
        <w:rPr>
          <w:color w:val="231F20"/>
          <w:spacing w:val="-12"/>
          <w:w w:val="120"/>
        </w:rPr>
        <w:t> </w:t>
      </w:r>
      <w:r>
        <w:rPr>
          <w:color w:val="231F20"/>
          <w:w w:val="120"/>
        </w:rPr>
        <w:t>le</w:t>
      </w:r>
      <w:r>
        <w:rPr>
          <w:color w:val="231F20"/>
          <w:spacing w:val="-12"/>
          <w:w w:val="120"/>
        </w:rPr>
        <w:t> </w:t>
      </w:r>
      <w:r>
        <w:rPr>
          <w:color w:val="231F20"/>
          <w:w w:val="120"/>
        </w:rPr>
        <w:t>concept</w:t>
      </w:r>
      <w:r>
        <w:rPr>
          <w:color w:val="231F20"/>
          <w:spacing w:val="-12"/>
          <w:w w:val="120"/>
        </w:rPr>
        <w:t> </w:t>
      </w:r>
      <w:r>
        <w:rPr>
          <w:color w:val="231F20"/>
          <w:w w:val="120"/>
        </w:rPr>
        <w:t>(Dolan,</w:t>
      </w:r>
      <w:r>
        <w:rPr>
          <w:color w:val="231F20"/>
          <w:spacing w:val="-12"/>
          <w:w w:val="120"/>
        </w:rPr>
        <w:t> </w:t>
      </w:r>
      <w:r>
        <w:rPr>
          <w:color w:val="231F20"/>
          <w:w w:val="120"/>
        </w:rPr>
        <w:t>2020).</w:t>
      </w:r>
      <w:r>
        <w:rPr>
          <w:color w:val="231F20"/>
          <w:spacing w:val="-12"/>
          <w:w w:val="120"/>
        </w:rPr>
        <w:t> </w:t>
      </w:r>
      <w:r>
        <w:rPr>
          <w:color w:val="231F20"/>
          <w:w w:val="120"/>
        </w:rPr>
        <w:t>D’ailleurs,</w:t>
      </w:r>
      <w:r>
        <w:rPr>
          <w:color w:val="231F20"/>
          <w:spacing w:val="-12"/>
          <w:w w:val="120"/>
        </w:rPr>
        <w:t> </w:t>
      </w:r>
      <w:r>
        <w:rPr>
          <w:color w:val="231F20"/>
          <w:w w:val="120"/>
        </w:rPr>
        <w:t>tels</w:t>
      </w:r>
      <w:r>
        <w:rPr>
          <w:color w:val="231F20"/>
          <w:spacing w:val="-12"/>
          <w:w w:val="120"/>
        </w:rPr>
        <w:t> </w:t>
      </w:r>
      <w:r>
        <w:rPr>
          <w:color w:val="231F20"/>
          <w:w w:val="120"/>
        </w:rPr>
        <w:t>étaient</w:t>
      </w:r>
      <w:r>
        <w:rPr>
          <w:color w:val="231F20"/>
          <w:spacing w:val="-12"/>
          <w:w w:val="120"/>
        </w:rPr>
        <w:t> </w:t>
      </w:r>
      <w:r>
        <w:rPr>
          <w:color w:val="231F20"/>
          <w:w w:val="120"/>
        </w:rPr>
        <w:t>les</w:t>
      </w:r>
      <w:r>
        <w:rPr>
          <w:color w:val="231F20"/>
          <w:spacing w:val="-12"/>
          <w:w w:val="120"/>
        </w:rPr>
        <w:t> </w:t>
      </w:r>
      <w:r>
        <w:rPr>
          <w:color w:val="231F20"/>
          <w:w w:val="120"/>
        </w:rPr>
        <w:t>principes </w:t>
      </w:r>
      <w:r>
        <w:rPr>
          <w:color w:val="231F20"/>
          <w:spacing w:val="-2"/>
          <w:w w:val="120"/>
        </w:rPr>
        <w:t>fondamentaux</w:t>
      </w:r>
      <w:r>
        <w:rPr>
          <w:color w:val="231F20"/>
          <w:spacing w:val="-3"/>
          <w:w w:val="120"/>
        </w:rPr>
        <w:t> </w:t>
      </w:r>
      <w:r>
        <w:rPr>
          <w:color w:val="231F20"/>
          <w:spacing w:val="-2"/>
          <w:w w:val="120"/>
        </w:rPr>
        <w:t>nécessaires</w:t>
      </w:r>
      <w:r>
        <w:rPr>
          <w:color w:val="231F20"/>
          <w:spacing w:val="-3"/>
          <w:w w:val="120"/>
        </w:rPr>
        <w:t> </w:t>
      </w:r>
      <w:r>
        <w:rPr>
          <w:color w:val="231F20"/>
          <w:spacing w:val="-2"/>
          <w:w w:val="120"/>
        </w:rPr>
        <w:t>pour</w:t>
      </w:r>
      <w:r>
        <w:rPr>
          <w:color w:val="231F20"/>
          <w:spacing w:val="-3"/>
          <w:w w:val="120"/>
        </w:rPr>
        <w:t> </w:t>
      </w:r>
      <w:r>
        <w:rPr>
          <w:color w:val="231F20"/>
          <w:spacing w:val="-2"/>
          <w:w w:val="120"/>
        </w:rPr>
        <w:t>le</w:t>
      </w:r>
      <w:r>
        <w:rPr>
          <w:color w:val="231F20"/>
          <w:spacing w:val="-3"/>
          <w:w w:val="120"/>
        </w:rPr>
        <w:t> </w:t>
      </w:r>
      <w:r>
        <w:rPr>
          <w:color w:val="231F20"/>
          <w:spacing w:val="-2"/>
          <w:w w:val="120"/>
        </w:rPr>
        <w:t>développement</w:t>
      </w:r>
      <w:r>
        <w:rPr>
          <w:color w:val="231F20"/>
          <w:spacing w:val="-3"/>
          <w:w w:val="120"/>
        </w:rPr>
        <w:t> </w:t>
      </w:r>
      <w:r>
        <w:rPr>
          <w:color w:val="231F20"/>
          <w:spacing w:val="-2"/>
          <w:w w:val="120"/>
        </w:rPr>
        <w:t>de la</w:t>
      </w:r>
      <w:r>
        <w:rPr>
          <w:color w:val="231F20"/>
          <w:spacing w:val="-3"/>
          <w:w w:val="120"/>
        </w:rPr>
        <w:t> </w:t>
      </w:r>
      <w:r>
        <w:rPr>
          <w:color w:val="231F20"/>
          <w:spacing w:val="-2"/>
          <w:w w:val="120"/>
        </w:rPr>
        <w:t>communauté du </w:t>
      </w:r>
      <w:r>
        <w:rPr>
          <w:color w:val="231F20"/>
          <w:w w:val="120"/>
        </w:rPr>
        <w:t>coaching</w:t>
      </w:r>
      <w:r>
        <w:rPr>
          <w:color w:val="231F20"/>
          <w:spacing w:val="-8"/>
          <w:w w:val="120"/>
        </w:rPr>
        <w:t> </w:t>
      </w:r>
      <w:r>
        <w:rPr>
          <w:color w:val="231F20"/>
          <w:w w:val="120"/>
        </w:rPr>
        <w:t>par</w:t>
      </w:r>
      <w:r>
        <w:rPr>
          <w:color w:val="231F20"/>
          <w:spacing w:val="-8"/>
          <w:w w:val="120"/>
        </w:rPr>
        <w:t> </w:t>
      </w:r>
      <w:r>
        <w:rPr>
          <w:color w:val="231F20"/>
          <w:w w:val="120"/>
        </w:rPr>
        <w:t>les</w:t>
      </w:r>
      <w:r>
        <w:rPr>
          <w:color w:val="231F20"/>
          <w:spacing w:val="-8"/>
          <w:w w:val="120"/>
        </w:rPr>
        <w:t> </w:t>
      </w:r>
      <w:r>
        <w:rPr>
          <w:color w:val="231F20"/>
          <w:w w:val="120"/>
        </w:rPr>
        <w:t>valeurs</w:t>
      </w:r>
      <w:r>
        <w:rPr>
          <w:color w:val="231F20"/>
          <w:spacing w:val="-8"/>
          <w:w w:val="120"/>
        </w:rPr>
        <w:t> </w:t>
      </w:r>
      <w:r>
        <w:rPr>
          <w:color w:val="231F20"/>
          <w:w w:val="120"/>
        </w:rPr>
        <w:t>qui</w:t>
      </w:r>
      <w:r>
        <w:rPr>
          <w:color w:val="231F20"/>
          <w:spacing w:val="-8"/>
          <w:w w:val="120"/>
        </w:rPr>
        <w:t> </w:t>
      </w:r>
      <w:r>
        <w:rPr>
          <w:color w:val="231F20"/>
          <w:w w:val="120"/>
        </w:rPr>
        <w:t>jusqu’à</w:t>
      </w:r>
      <w:r>
        <w:rPr>
          <w:color w:val="231F20"/>
          <w:spacing w:val="-8"/>
          <w:w w:val="120"/>
        </w:rPr>
        <w:t> </w:t>
      </w:r>
      <w:r>
        <w:rPr>
          <w:color w:val="231F20"/>
          <w:w w:val="120"/>
        </w:rPr>
        <w:t>aujourd’hui</w:t>
      </w:r>
      <w:r>
        <w:rPr>
          <w:color w:val="231F20"/>
          <w:spacing w:val="-8"/>
          <w:w w:val="120"/>
        </w:rPr>
        <w:t> </w:t>
      </w:r>
      <w:r>
        <w:rPr>
          <w:color w:val="231F20"/>
          <w:w w:val="120"/>
        </w:rPr>
        <w:t>enseigne</w:t>
      </w:r>
      <w:r>
        <w:rPr>
          <w:color w:val="231F20"/>
          <w:spacing w:val="-8"/>
          <w:w w:val="120"/>
        </w:rPr>
        <w:t> </w:t>
      </w:r>
      <w:r>
        <w:rPr>
          <w:color w:val="231F20"/>
          <w:w w:val="120"/>
        </w:rPr>
        <w:t>et</w:t>
      </w:r>
      <w:r>
        <w:rPr>
          <w:color w:val="231F20"/>
          <w:spacing w:val="-8"/>
          <w:w w:val="120"/>
        </w:rPr>
        <w:t> </w:t>
      </w:r>
      <w:r>
        <w:rPr>
          <w:color w:val="231F20"/>
          <w:w w:val="120"/>
        </w:rPr>
        <w:t>certifie</w:t>
      </w:r>
      <w:r>
        <w:rPr>
          <w:color w:val="231F20"/>
          <w:spacing w:val="-8"/>
          <w:w w:val="120"/>
        </w:rPr>
        <w:t> </w:t>
      </w:r>
      <w:r>
        <w:rPr>
          <w:color w:val="231F20"/>
          <w:w w:val="120"/>
        </w:rPr>
        <w:t>les personnes</w:t>
      </w:r>
      <w:r>
        <w:rPr>
          <w:color w:val="231F20"/>
          <w:spacing w:val="-1"/>
          <w:w w:val="120"/>
        </w:rPr>
        <w:t> </w:t>
      </w:r>
      <w:r>
        <w:rPr>
          <w:color w:val="231F20"/>
          <w:w w:val="120"/>
        </w:rPr>
        <w:t>à</w:t>
      </w:r>
      <w:r>
        <w:rPr>
          <w:color w:val="231F20"/>
          <w:spacing w:val="-1"/>
          <w:w w:val="120"/>
        </w:rPr>
        <w:t> </w:t>
      </w:r>
      <w:r>
        <w:rPr>
          <w:color w:val="231F20"/>
          <w:w w:val="120"/>
        </w:rPr>
        <w:t>comprendre</w:t>
      </w:r>
      <w:r>
        <w:rPr>
          <w:color w:val="231F20"/>
          <w:spacing w:val="-1"/>
          <w:w w:val="120"/>
        </w:rPr>
        <w:t> </w:t>
      </w:r>
      <w:r>
        <w:rPr>
          <w:color w:val="231F20"/>
          <w:w w:val="120"/>
        </w:rPr>
        <w:t>et</w:t>
      </w:r>
      <w:r>
        <w:rPr>
          <w:color w:val="231F20"/>
          <w:spacing w:val="-1"/>
          <w:w w:val="120"/>
        </w:rPr>
        <w:t> </w:t>
      </w:r>
      <w:r>
        <w:rPr>
          <w:color w:val="231F20"/>
          <w:w w:val="120"/>
        </w:rPr>
        <w:t>à</w:t>
      </w:r>
      <w:r>
        <w:rPr>
          <w:color w:val="231F20"/>
          <w:spacing w:val="-1"/>
          <w:w w:val="120"/>
        </w:rPr>
        <w:t> </w:t>
      </w:r>
      <w:r>
        <w:rPr>
          <w:color w:val="231F20"/>
          <w:w w:val="120"/>
        </w:rPr>
        <w:t>détecter</w:t>
      </w:r>
      <w:r>
        <w:rPr>
          <w:color w:val="231F20"/>
          <w:spacing w:val="-1"/>
          <w:w w:val="120"/>
        </w:rPr>
        <w:t> </w:t>
      </w:r>
      <w:r>
        <w:rPr>
          <w:color w:val="231F20"/>
          <w:w w:val="120"/>
        </w:rPr>
        <w:t>ce</w:t>
      </w:r>
      <w:r>
        <w:rPr>
          <w:color w:val="231F20"/>
          <w:spacing w:val="-1"/>
          <w:w w:val="120"/>
        </w:rPr>
        <w:t> </w:t>
      </w:r>
      <w:r>
        <w:rPr>
          <w:color w:val="231F20"/>
          <w:w w:val="120"/>
        </w:rPr>
        <w:t>qui</w:t>
      </w:r>
      <w:r>
        <w:rPr>
          <w:color w:val="231F20"/>
          <w:spacing w:val="-1"/>
          <w:w w:val="120"/>
        </w:rPr>
        <w:t> </w:t>
      </w:r>
      <w:r>
        <w:rPr>
          <w:color w:val="231F20"/>
          <w:w w:val="120"/>
        </w:rPr>
        <w:t>est</w:t>
      </w:r>
      <w:r>
        <w:rPr>
          <w:color w:val="231F20"/>
          <w:spacing w:val="-1"/>
          <w:w w:val="120"/>
        </w:rPr>
        <w:t> </w:t>
      </w:r>
      <w:r>
        <w:rPr>
          <w:color w:val="231F20"/>
          <w:w w:val="120"/>
        </w:rPr>
        <w:t>important</w:t>
      </w:r>
      <w:r>
        <w:rPr>
          <w:color w:val="231F20"/>
          <w:spacing w:val="-1"/>
          <w:w w:val="120"/>
        </w:rPr>
        <w:t> </w:t>
      </w:r>
      <w:r>
        <w:rPr>
          <w:color w:val="231F20"/>
          <w:w w:val="120"/>
        </w:rPr>
        <w:t>pour</w:t>
      </w:r>
      <w:r>
        <w:rPr>
          <w:color w:val="231F20"/>
          <w:spacing w:val="-1"/>
          <w:w w:val="120"/>
        </w:rPr>
        <w:t> </w:t>
      </w:r>
      <w:r>
        <w:rPr>
          <w:color w:val="231F20"/>
          <w:w w:val="120"/>
        </w:rPr>
        <w:t>elles</w:t>
      </w:r>
      <w:r>
        <w:rPr>
          <w:color w:val="231F20"/>
          <w:spacing w:val="-1"/>
          <w:w w:val="120"/>
        </w:rPr>
        <w:t> </w:t>
      </w:r>
      <w:r>
        <w:rPr>
          <w:color w:val="231F20"/>
          <w:w w:val="120"/>
        </w:rPr>
        <w:t>et </w:t>
      </w:r>
      <w:r>
        <w:rPr>
          <w:color w:val="231F20"/>
          <w:spacing w:val="-2"/>
          <w:w w:val="120"/>
        </w:rPr>
        <w:t>les</w:t>
      </w:r>
      <w:r>
        <w:rPr>
          <w:color w:val="231F20"/>
          <w:spacing w:val="-10"/>
          <w:w w:val="120"/>
        </w:rPr>
        <w:t> </w:t>
      </w:r>
      <w:r>
        <w:rPr>
          <w:color w:val="231F20"/>
          <w:spacing w:val="-2"/>
          <w:w w:val="120"/>
        </w:rPr>
        <w:t>aident</w:t>
      </w:r>
      <w:r>
        <w:rPr>
          <w:color w:val="231F20"/>
          <w:spacing w:val="-10"/>
          <w:w w:val="120"/>
        </w:rPr>
        <w:t> </w:t>
      </w:r>
      <w:r>
        <w:rPr>
          <w:color w:val="231F20"/>
          <w:spacing w:val="-2"/>
          <w:w w:val="120"/>
        </w:rPr>
        <w:t>à</w:t>
      </w:r>
      <w:r>
        <w:rPr>
          <w:color w:val="231F20"/>
          <w:spacing w:val="-10"/>
          <w:w w:val="120"/>
        </w:rPr>
        <w:t> </w:t>
      </w:r>
      <w:r>
        <w:rPr>
          <w:color w:val="231F20"/>
          <w:spacing w:val="-2"/>
          <w:w w:val="120"/>
        </w:rPr>
        <w:t>aligner</w:t>
      </w:r>
      <w:r>
        <w:rPr>
          <w:color w:val="231F20"/>
          <w:spacing w:val="-10"/>
          <w:w w:val="120"/>
        </w:rPr>
        <w:t> </w:t>
      </w:r>
      <w:r>
        <w:rPr>
          <w:color w:val="231F20"/>
          <w:spacing w:val="-2"/>
          <w:w w:val="120"/>
        </w:rPr>
        <w:t>leurs</w:t>
      </w:r>
      <w:r>
        <w:rPr>
          <w:color w:val="231F20"/>
          <w:spacing w:val="-10"/>
          <w:w w:val="120"/>
        </w:rPr>
        <w:t> </w:t>
      </w:r>
      <w:r>
        <w:rPr>
          <w:color w:val="231F20"/>
          <w:spacing w:val="-2"/>
          <w:w w:val="120"/>
        </w:rPr>
        <w:t>conduites</w:t>
      </w:r>
      <w:r>
        <w:rPr>
          <w:color w:val="231F20"/>
          <w:spacing w:val="-10"/>
          <w:w w:val="120"/>
        </w:rPr>
        <w:t> </w:t>
      </w:r>
      <w:r>
        <w:rPr>
          <w:color w:val="231F20"/>
          <w:spacing w:val="-2"/>
          <w:w w:val="120"/>
        </w:rPr>
        <w:t>avec</w:t>
      </w:r>
      <w:r>
        <w:rPr>
          <w:color w:val="231F20"/>
          <w:spacing w:val="-10"/>
          <w:w w:val="120"/>
        </w:rPr>
        <w:t> </w:t>
      </w:r>
      <w:r>
        <w:rPr>
          <w:color w:val="231F20"/>
          <w:spacing w:val="-2"/>
          <w:w w:val="120"/>
        </w:rPr>
        <w:t>leurs</w:t>
      </w:r>
      <w:r>
        <w:rPr>
          <w:color w:val="231F20"/>
          <w:spacing w:val="-10"/>
          <w:w w:val="120"/>
        </w:rPr>
        <w:t> </w:t>
      </w:r>
      <w:r>
        <w:rPr>
          <w:color w:val="231F20"/>
          <w:spacing w:val="-2"/>
          <w:w w:val="120"/>
        </w:rPr>
        <w:t>valeurs.</w:t>
      </w:r>
      <w:r>
        <w:rPr>
          <w:color w:val="231F20"/>
          <w:spacing w:val="-10"/>
          <w:w w:val="120"/>
        </w:rPr>
        <w:t> </w:t>
      </w:r>
      <w:r>
        <w:rPr>
          <w:color w:val="231F20"/>
          <w:spacing w:val="-2"/>
          <w:w w:val="120"/>
        </w:rPr>
        <w:t>Pour</w:t>
      </w:r>
      <w:r>
        <w:rPr>
          <w:color w:val="231F20"/>
          <w:spacing w:val="-10"/>
          <w:w w:val="120"/>
        </w:rPr>
        <w:t> </w:t>
      </w:r>
      <w:r>
        <w:rPr>
          <w:color w:val="231F20"/>
          <w:spacing w:val="-2"/>
          <w:w w:val="120"/>
        </w:rPr>
        <w:t>ce</w:t>
      </w:r>
      <w:r>
        <w:rPr>
          <w:color w:val="231F20"/>
          <w:spacing w:val="-10"/>
          <w:w w:val="120"/>
        </w:rPr>
        <w:t> </w:t>
      </w:r>
      <w:r>
        <w:rPr>
          <w:color w:val="231F20"/>
          <w:spacing w:val="-2"/>
          <w:w w:val="120"/>
        </w:rPr>
        <w:t>faire,</w:t>
      </w:r>
      <w:r>
        <w:rPr>
          <w:color w:val="231F20"/>
          <w:spacing w:val="-10"/>
          <w:w w:val="120"/>
        </w:rPr>
        <w:t> </w:t>
      </w:r>
      <w:r>
        <w:rPr>
          <w:color w:val="231F20"/>
          <w:spacing w:val="-2"/>
          <w:w w:val="120"/>
        </w:rPr>
        <w:t>nous </w:t>
      </w:r>
      <w:r>
        <w:rPr>
          <w:color w:val="231F20"/>
          <w:w w:val="120"/>
        </w:rPr>
        <w:t>appliquons des méthodes ludiques et faciles à utiliser, basées sur des </w:t>
      </w:r>
      <w:r>
        <w:rPr>
          <w:color w:val="231F20"/>
          <w:w w:val="115"/>
        </w:rPr>
        <w:t>techniques et des principes de </w:t>
      </w:r>
      <w:r>
        <w:rPr>
          <w:i/>
          <w:color w:val="231F20"/>
          <w:w w:val="115"/>
        </w:rPr>
        <w:t>gamification </w:t>
      </w:r>
      <w:r>
        <w:rPr>
          <w:color w:val="231F20"/>
          <w:w w:val="115"/>
        </w:rPr>
        <w:t>(Garti et Dolan, 2014). Nous </w:t>
      </w:r>
      <w:r>
        <w:rPr>
          <w:color w:val="231F20"/>
          <w:w w:val="120"/>
        </w:rPr>
        <w:t>utilisons</w:t>
      </w:r>
      <w:r>
        <w:rPr>
          <w:color w:val="231F20"/>
          <w:w w:val="120"/>
        </w:rPr>
        <w:t> également</w:t>
      </w:r>
      <w:r>
        <w:rPr>
          <w:color w:val="231F20"/>
          <w:w w:val="120"/>
        </w:rPr>
        <w:t> un</w:t>
      </w:r>
      <w:r>
        <w:rPr>
          <w:color w:val="231F20"/>
          <w:w w:val="120"/>
        </w:rPr>
        <w:t> jeu</w:t>
      </w:r>
      <w:r>
        <w:rPr>
          <w:color w:val="231F20"/>
          <w:w w:val="120"/>
        </w:rPr>
        <w:t> de</w:t>
      </w:r>
      <w:r>
        <w:rPr>
          <w:color w:val="231F20"/>
          <w:w w:val="120"/>
        </w:rPr>
        <w:t> cartes/outil</w:t>
      </w:r>
      <w:r>
        <w:rPr>
          <w:color w:val="231F20"/>
          <w:w w:val="120"/>
        </w:rPr>
        <w:t> appelé</w:t>
      </w:r>
      <w:r>
        <w:rPr>
          <w:color w:val="231F20"/>
          <w:spacing w:val="-10"/>
          <w:w w:val="120"/>
        </w:rPr>
        <w:t> </w:t>
      </w:r>
      <w:r>
        <w:rPr>
          <w:color w:val="231F20"/>
          <w:w w:val="120"/>
        </w:rPr>
        <w:t>:</w:t>
      </w:r>
      <w:r>
        <w:rPr>
          <w:color w:val="231F20"/>
          <w:w w:val="120"/>
        </w:rPr>
        <w:t> «</w:t>
      </w:r>
      <w:r>
        <w:rPr>
          <w:color w:val="231F20"/>
          <w:spacing w:val="-10"/>
          <w:w w:val="120"/>
        </w:rPr>
        <w:t> </w:t>
      </w:r>
      <w:r>
        <w:rPr>
          <w:i/>
          <w:color w:val="231F20"/>
          <w:w w:val="120"/>
        </w:rPr>
        <w:t>La</w:t>
      </w:r>
      <w:r>
        <w:rPr>
          <w:i/>
          <w:color w:val="231F20"/>
          <w:w w:val="120"/>
        </w:rPr>
        <w:t> valeur</w:t>
      </w:r>
      <w:r>
        <w:rPr>
          <w:i/>
          <w:color w:val="231F20"/>
          <w:w w:val="120"/>
        </w:rPr>
        <w:t> des valeurs</w:t>
      </w:r>
      <w:r>
        <w:rPr>
          <w:i/>
          <w:color w:val="231F20"/>
          <w:spacing w:val="40"/>
          <w:w w:val="120"/>
        </w:rPr>
        <w:t> </w:t>
      </w:r>
      <w:r>
        <w:rPr>
          <w:i/>
          <w:color w:val="231F20"/>
          <w:w w:val="120"/>
        </w:rPr>
        <w:t>TM</w:t>
      </w:r>
      <w:r>
        <w:rPr>
          <w:i/>
          <w:color w:val="231F20"/>
          <w:spacing w:val="-8"/>
          <w:w w:val="120"/>
        </w:rPr>
        <w:t> </w:t>
      </w:r>
      <w:r>
        <w:rPr>
          <w:color w:val="231F20"/>
          <w:w w:val="120"/>
        </w:rPr>
        <w:t>»</w:t>
      </w:r>
      <w:r>
        <w:rPr>
          <w:color w:val="231F20"/>
          <w:spacing w:val="40"/>
          <w:w w:val="120"/>
        </w:rPr>
        <w:t> </w:t>
      </w:r>
      <w:r>
        <w:rPr>
          <w:color w:val="231F20"/>
          <w:w w:val="120"/>
        </w:rPr>
        <w:t>(voir</w:t>
      </w:r>
      <w:r>
        <w:rPr>
          <w:color w:val="231F20"/>
          <w:spacing w:val="40"/>
          <w:w w:val="120"/>
        </w:rPr>
        <w:t> </w:t>
      </w:r>
      <w:r>
        <w:rPr>
          <w:color w:val="231F20"/>
          <w:w w:val="120"/>
        </w:rPr>
        <w:t>&lt;</w:t>
      </w:r>
      <w:hyperlink r:id="rId355">
        <w:r>
          <w:rPr>
            <w:color w:val="231F20"/>
            <w:w w:val="120"/>
          </w:rPr>
          <w:t>www.learning-about-values.com&gt;</w:t>
        </w:r>
      </w:hyperlink>
      <w:r>
        <w:rPr>
          <w:color w:val="231F20"/>
          <w:spacing w:val="40"/>
          <w:w w:val="120"/>
        </w:rPr>
        <w:t> </w:t>
      </w:r>
      <w:r>
        <w:rPr>
          <w:color w:val="231F20"/>
          <w:w w:val="120"/>
        </w:rPr>
        <w:t>[consulté</w:t>
      </w:r>
      <w:r>
        <w:rPr>
          <w:color w:val="231F20"/>
          <w:spacing w:val="40"/>
          <w:w w:val="120"/>
        </w:rPr>
        <w:t> </w:t>
      </w:r>
      <w:r>
        <w:rPr>
          <w:color w:val="231F20"/>
          <w:w w:val="120"/>
        </w:rPr>
        <w:t>le </w:t>
      </w:r>
      <w:r>
        <w:rPr>
          <w:color w:val="231F20"/>
          <w:w w:val="110"/>
        </w:rPr>
        <w:t>22</w:t>
      </w:r>
      <w:r>
        <w:rPr>
          <w:color w:val="231F20"/>
          <w:spacing w:val="-5"/>
          <w:w w:val="110"/>
        </w:rPr>
        <w:t> </w:t>
      </w:r>
      <w:r>
        <w:rPr>
          <w:color w:val="231F20"/>
          <w:w w:val="110"/>
        </w:rPr>
        <w:t>octobre</w:t>
      </w:r>
      <w:r>
        <w:rPr>
          <w:color w:val="231F20"/>
          <w:spacing w:val="-5"/>
          <w:w w:val="110"/>
        </w:rPr>
        <w:t> </w:t>
      </w:r>
      <w:r>
        <w:rPr>
          <w:color w:val="231F20"/>
          <w:w w:val="110"/>
        </w:rPr>
        <w:t>2021]</w:t>
      </w:r>
      <w:r>
        <w:rPr>
          <w:color w:val="231F20"/>
          <w:spacing w:val="-5"/>
          <w:w w:val="110"/>
        </w:rPr>
        <w:t> </w:t>
      </w:r>
      <w:r>
        <w:rPr>
          <w:color w:val="231F20"/>
          <w:w w:val="110"/>
        </w:rPr>
        <w:t>ou</w:t>
      </w:r>
      <w:r>
        <w:rPr>
          <w:color w:val="231F20"/>
          <w:spacing w:val="-5"/>
          <w:w w:val="110"/>
        </w:rPr>
        <w:t> </w:t>
      </w:r>
      <w:r>
        <w:rPr>
          <w:color w:val="231F20"/>
          <w:w w:val="110"/>
        </w:rPr>
        <w:t>Juego</w:t>
      </w:r>
      <w:r>
        <w:rPr>
          <w:color w:val="231F20"/>
          <w:spacing w:val="-5"/>
          <w:w w:val="110"/>
        </w:rPr>
        <w:t> </w:t>
      </w:r>
      <w:r>
        <w:rPr>
          <w:color w:val="231F20"/>
          <w:w w:val="110"/>
        </w:rPr>
        <w:t>El</w:t>
      </w:r>
      <w:r>
        <w:rPr>
          <w:color w:val="231F20"/>
          <w:spacing w:val="-5"/>
          <w:w w:val="110"/>
        </w:rPr>
        <w:t> </w:t>
      </w:r>
      <w:r>
        <w:rPr>
          <w:color w:val="231F20"/>
          <w:w w:val="110"/>
        </w:rPr>
        <w:t>Valor</w:t>
      </w:r>
      <w:r>
        <w:rPr>
          <w:color w:val="231F20"/>
          <w:spacing w:val="-5"/>
          <w:w w:val="110"/>
        </w:rPr>
        <w:t> </w:t>
      </w:r>
      <w:r>
        <w:rPr>
          <w:color w:val="231F20"/>
          <w:w w:val="110"/>
        </w:rPr>
        <w:t>de</w:t>
      </w:r>
      <w:r>
        <w:rPr>
          <w:color w:val="231F20"/>
          <w:spacing w:val="-5"/>
          <w:w w:val="110"/>
        </w:rPr>
        <w:t> </w:t>
      </w:r>
      <w:r>
        <w:rPr>
          <w:color w:val="231F20"/>
          <w:w w:val="110"/>
        </w:rPr>
        <w:t>los</w:t>
      </w:r>
      <w:r>
        <w:rPr>
          <w:color w:val="231F20"/>
          <w:spacing w:val="-5"/>
          <w:w w:val="110"/>
        </w:rPr>
        <w:t> </w:t>
      </w:r>
      <w:r>
        <w:rPr>
          <w:color w:val="231F20"/>
          <w:w w:val="110"/>
        </w:rPr>
        <w:t>Valores</w:t>
      </w:r>
      <w:r>
        <w:rPr>
          <w:color w:val="231F20"/>
          <w:spacing w:val="-5"/>
          <w:w w:val="110"/>
        </w:rPr>
        <w:t> </w:t>
      </w:r>
      <w:r>
        <w:rPr>
          <w:color w:val="231F20"/>
          <w:w w:val="110"/>
        </w:rPr>
        <w:t>–</w:t>
      </w:r>
      <w:r>
        <w:rPr>
          <w:color w:val="231F20"/>
          <w:spacing w:val="-5"/>
          <w:w w:val="110"/>
        </w:rPr>
        <w:t> </w:t>
      </w:r>
      <w:r>
        <w:rPr>
          <w:color w:val="231F20"/>
          <w:w w:val="110"/>
        </w:rPr>
        <w:t>Zinquo).</w:t>
      </w:r>
      <w:r>
        <w:rPr>
          <w:color w:val="231F20"/>
          <w:spacing w:val="-5"/>
          <w:w w:val="110"/>
        </w:rPr>
        <w:t> </w:t>
      </w:r>
      <w:r>
        <w:rPr>
          <w:color w:val="231F20"/>
          <w:w w:val="110"/>
        </w:rPr>
        <w:t>Afin</w:t>
      </w:r>
      <w:r>
        <w:rPr>
          <w:color w:val="231F20"/>
          <w:spacing w:val="-5"/>
          <w:w w:val="110"/>
        </w:rPr>
        <w:t> </w:t>
      </w:r>
      <w:r>
        <w:rPr>
          <w:color w:val="231F20"/>
          <w:w w:val="110"/>
        </w:rPr>
        <w:t>d’adapter </w:t>
      </w:r>
      <w:r>
        <w:rPr>
          <w:color w:val="231F20"/>
          <w:w w:val="115"/>
        </w:rPr>
        <w:t>ces</w:t>
      </w:r>
      <w:r>
        <w:rPr>
          <w:color w:val="231F20"/>
          <w:spacing w:val="-13"/>
          <w:w w:val="115"/>
        </w:rPr>
        <w:t> </w:t>
      </w:r>
      <w:r>
        <w:rPr>
          <w:color w:val="231F20"/>
          <w:w w:val="115"/>
        </w:rPr>
        <w:t>outils</w:t>
      </w:r>
      <w:r>
        <w:rPr>
          <w:color w:val="231F20"/>
          <w:spacing w:val="-12"/>
          <w:w w:val="115"/>
        </w:rPr>
        <w:t> </w:t>
      </w:r>
      <w:r>
        <w:rPr>
          <w:color w:val="231F20"/>
          <w:w w:val="115"/>
        </w:rPr>
        <w:t>à</w:t>
      </w:r>
      <w:r>
        <w:rPr>
          <w:color w:val="231F20"/>
          <w:spacing w:val="-12"/>
          <w:w w:val="115"/>
        </w:rPr>
        <w:t> </w:t>
      </w:r>
      <w:r>
        <w:rPr>
          <w:color w:val="231F20"/>
          <w:w w:val="115"/>
        </w:rPr>
        <w:t>la</w:t>
      </w:r>
      <w:r>
        <w:rPr>
          <w:color w:val="231F20"/>
          <w:spacing w:val="-12"/>
          <w:w w:val="115"/>
        </w:rPr>
        <w:t> </w:t>
      </w:r>
      <w:r>
        <w:rPr>
          <w:color w:val="231F20"/>
          <w:w w:val="115"/>
        </w:rPr>
        <w:t>réalité</w:t>
      </w:r>
      <w:r>
        <w:rPr>
          <w:color w:val="231F20"/>
          <w:spacing w:val="-13"/>
          <w:w w:val="115"/>
        </w:rPr>
        <w:t> </w:t>
      </w:r>
      <w:r>
        <w:rPr>
          <w:color w:val="231F20"/>
          <w:w w:val="115"/>
        </w:rPr>
        <w:t>virtuelle</w:t>
      </w:r>
      <w:r>
        <w:rPr>
          <w:color w:val="231F20"/>
          <w:spacing w:val="-12"/>
          <w:w w:val="115"/>
        </w:rPr>
        <w:t> </w:t>
      </w:r>
      <w:r>
        <w:rPr>
          <w:color w:val="231F20"/>
          <w:w w:val="115"/>
        </w:rPr>
        <w:t>du</w:t>
      </w:r>
      <w:r>
        <w:rPr>
          <w:color w:val="231F20"/>
          <w:spacing w:val="-12"/>
          <w:w w:val="115"/>
        </w:rPr>
        <w:t> </w:t>
      </w:r>
      <w:r>
        <w:rPr>
          <w:color w:val="231F20"/>
          <w:w w:val="115"/>
        </w:rPr>
        <w:t>contexte</w:t>
      </w:r>
      <w:r>
        <w:rPr>
          <w:color w:val="231F20"/>
          <w:spacing w:val="-12"/>
          <w:w w:val="115"/>
        </w:rPr>
        <w:t> </w:t>
      </w:r>
      <w:r>
        <w:rPr>
          <w:color w:val="231F20"/>
          <w:w w:val="115"/>
        </w:rPr>
        <w:t>de</w:t>
      </w:r>
      <w:r>
        <w:rPr>
          <w:color w:val="231F20"/>
          <w:spacing w:val="-12"/>
          <w:w w:val="115"/>
        </w:rPr>
        <w:t> </w:t>
      </w:r>
      <w:r>
        <w:rPr>
          <w:color w:val="231F20"/>
          <w:w w:val="115"/>
        </w:rPr>
        <w:t>COVID-19,</w:t>
      </w:r>
      <w:r>
        <w:rPr>
          <w:color w:val="231F20"/>
          <w:spacing w:val="-13"/>
          <w:w w:val="115"/>
        </w:rPr>
        <w:t> </w:t>
      </w:r>
      <w:r>
        <w:rPr>
          <w:color w:val="231F20"/>
          <w:w w:val="115"/>
        </w:rPr>
        <w:t>nous</w:t>
      </w:r>
      <w:r>
        <w:rPr>
          <w:color w:val="231F20"/>
          <w:spacing w:val="-12"/>
          <w:w w:val="115"/>
        </w:rPr>
        <w:t> </w:t>
      </w:r>
      <w:r>
        <w:rPr>
          <w:color w:val="231F20"/>
          <w:w w:val="115"/>
        </w:rPr>
        <w:t>avons</w:t>
      </w:r>
      <w:r>
        <w:rPr>
          <w:color w:val="231F20"/>
          <w:spacing w:val="-12"/>
          <w:w w:val="115"/>
        </w:rPr>
        <w:t> </w:t>
      </w:r>
      <w:r>
        <w:rPr>
          <w:color w:val="231F20"/>
          <w:w w:val="115"/>
        </w:rPr>
        <w:t>déve- </w:t>
      </w:r>
      <w:r>
        <w:rPr>
          <w:color w:val="231F20"/>
          <w:spacing w:val="-4"/>
          <w:w w:val="120"/>
        </w:rPr>
        <w:t>loppé</w:t>
      </w:r>
      <w:r>
        <w:rPr>
          <w:color w:val="231F20"/>
          <w:spacing w:val="-6"/>
          <w:w w:val="120"/>
        </w:rPr>
        <w:t> </w:t>
      </w:r>
      <w:r>
        <w:rPr>
          <w:color w:val="231F20"/>
          <w:spacing w:val="-4"/>
          <w:w w:val="120"/>
        </w:rPr>
        <w:t>une</w:t>
      </w:r>
      <w:r>
        <w:rPr>
          <w:color w:val="231F20"/>
          <w:spacing w:val="-6"/>
          <w:w w:val="120"/>
        </w:rPr>
        <w:t> </w:t>
      </w:r>
      <w:r>
        <w:rPr>
          <w:color w:val="231F20"/>
          <w:spacing w:val="-4"/>
          <w:w w:val="120"/>
        </w:rPr>
        <w:t>évaluation</w:t>
      </w:r>
      <w:r>
        <w:rPr>
          <w:color w:val="231F20"/>
          <w:spacing w:val="-6"/>
          <w:w w:val="120"/>
        </w:rPr>
        <w:t> </w:t>
      </w:r>
      <w:r>
        <w:rPr>
          <w:color w:val="231F20"/>
          <w:spacing w:val="-4"/>
          <w:w w:val="120"/>
        </w:rPr>
        <w:t>simple</w:t>
      </w:r>
      <w:r>
        <w:rPr>
          <w:color w:val="231F20"/>
          <w:spacing w:val="-6"/>
          <w:w w:val="120"/>
        </w:rPr>
        <w:t> </w:t>
      </w:r>
      <w:r>
        <w:rPr>
          <w:color w:val="231F20"/>
          <w:spacing w:val="-4"/>
          <w:w w:val="120"/>
        </w:rPr>
        <w:t>basée</w:t>
      </w:r>
      <w:r>
        <w:rPr>
          <w:color w:val="231F20"/>
          <w:spacing w:val="-6"/>
          <w:w w:val="120"/>
        </w:rPr>
        <w:t> </w:t>
      </w:r>
      <w:r>
        <w:rPr>
          <w:color w:val="231F20"/>
          <w:spacing w:val="-4"/>
          <w:w w:val="120"/>
        </w:rPr>
        <w:t>sur</w:t>
      </w:r>
      <w:r>
        <w:rPr>
          <w:color w:val="231F20"/>
          <w:spacing w:val="-6"/>
          <w:w w:val="120"/>
        </w:rPr>
        <w:t> </w:t>
      </w:r>
      <w:r>
        <w:rPr>
          <w:color w:val="231F20"/>
          <w:spacing w:val="-4"/>
          <w:w w:val="120"/>
        </w:rPr>
        <w:t>dix</w:t>
      </w:r>
      <w:r>
        <w:rPr>
          <w:color w:val="231F20"/>
          <w:spacing w:val="-6"/>
          <w:w w:val="120"/>
        </w:rPr>
        <w:t> </w:t>
      </w:r>
      <w:r>
        <w:rPr>
          <w:color w:val="231F20"/>
          <w:spacing w:val="-4"/>
          <w:w w:val="120"/>
        </w:rPr>
        <w:t>questions</w:t>
      </w:r>
      <w:r>
        <w:rPr>
          <w:color w:val="231F20"/>
          <w:spacing w:val="-6"/>
          <w:w w:val="120"/>
        </w:rPr>
        <w:t> </w:t>
      </w:r>
      <w:r>
        <w:rPr>
          <w:color w:val="231F20"/>
          <w:spacing w:val="-4"/>
          <w:w w:val="120"/>
        </w:rPr>
        <w:t>(voir</w:t>
      </w:r>
      <w:r>
        <w:rPr>
          <w:color w:val="231F20"/>
          <w:spacing w:val="-6"/>
          <w:w w:val="120"/>
        </w:rPr>
        <w:t> </w:t>
      </w:r>
      <w:r>
        <w:rPr>
          <w:color w:val="231F20"/>
          <w:spacing w:val="-4"/>
          <w:w w:val="120"/>
        </w:rPr>
        <w:t>le</w:t>
      </w:r>
      <w:r>
        <w:rPr>
          <w:color w:val="231F20"/>
          <w:spacing w:val="-6"/>
          <w:w w:val="120"/>
        </w:rPr>
        <w:t> </w:t>
      </w:r>
      <w:r>
        <w:rPr>
          <w:color w:val="231F20"/>
          <w:spacing w:val="-4"/>
          <w:w w:val="120"/>
        </w:rPr>
        <w:t>questionnaire </w:t>
      </w:r>
      <w:r>
        <w:rPr>
          <w:color w:val="231F20"/>
          <w:w w:val="120"/>
        </w:rPr>
        <w:t>suivant).</w:t>
      </w:r>
      <w:r>
        <w:rPr>
          <w:color w:val="231F20"/>
          <w:spacing w:val="-8"/>
          <w:w w:val="120"/>
        </w:rPr>
        <w:t> </w:t>
      </w:r>
      <w:r>
        <w:rPr>
          <w:color w:val="231F20"/>
          <w:w w:val="120"/>
        </w:rPr>
        <w:t>Imaginez</w:t>
      </w:r>
      <w:r>
        <w:rPr>
          <w:color w:val="231F20"/>
          <w:spacing w:val="-8"/>
          <w:w w:val="120"/>
        </w:rPr>
        <w:t> </w:t>
      </w:r>
      <w:r>
        <w:rPr>
          <w:color w:val="231F20"/>
          <w:w w:val="120"/>
        </w:rPr>
        <w:t>que</w:t>
      </w:r>
      <w:r>
        <w:rPr>
          <w:color w:val="231F20"/>
          <w:spacing w:val="-8"/>
          <w:w w:val="120"/>
        </w:rPr>
        <w:t> </w:t>
      </w:r>
      <w:r>
        <w:rPr>
          <w:color w:val="231F20"/>
          <w:w w:val="120"/>
        </w:rPr>
        <w:t>l’évaluation</w:t>
      </w:r>
      <w:r>
        <w:rPr>
          <w:color w:val="231F20"/>
          <w:spacing w:val="-8"/>
          <w:w w:val="120"/>
        </w:rPr>
        <w:t> </w:t>
      </w:r>
      <w:r>
        <w:rPr>
          <w:color w:val="231F20"/>
          <w:w w:val="120"/>
        </w:rPr>
        <w:t>soit</w:t>
      </w:r>
      <w:r>
        <w:rPr>
          <w:color w:val="231F20"/>
          <w:spacing w:val="-8"/>
          <w:w w:val="120"/>
        </w:rPr>
        <w:t> </w:t>
      </w:r>
      <w:r>
        <w:rPr>
          <w:color w:val="231F20"/>
          <w:w w:val="120"/>
        </w:rPr>
        <w:t>menée</w:t>
      </w:r>
      <w:r>
        <w:rPr>
          <w:color w:val="231F20"/>
          <w:spacing w:val="-8"/>
          <w:w w:val="120"/>
        </w:rPr>
        <w:t> </w:t>
      </w:r>
      <w:r>
        <w:rPr>
          <w:color w:val="231F20"/>
          <w:w w:val="120"/>
        </w:rPr>
        <w:t>par</w:t>
      </w:r>
      <w:r>
        <w:rPr>
          <w:color w:val="231F20"/>
          <w:spacing w:val="-8"/>
          <w:w w:val="120"/>
        </w:rPr>
        <w:t> </w:t>
      </w:r>
      <w:r>
        <w:rPr>
          <w:color w:val="231F20"/>
          <w:w w:val="120"/>
        </w:rPr>
        <w:t>un</w:t>
      </w:r>
      <w:r>
        <w:rPr>
          <w:color w:val="231F20"/>
          <w:spacing w:val="-8"/>
          <w:w w:val="120"/>
        </w:rPr>
        <w:t> </w:t>
      </w:r>
      <w:r>
        <w:rPr>
          <w:color w:val="231F20"/>
          <w:w w:val="120"/>
        </w:rPr>
        <w:t>coach</w:t>
      </w:r>
      <w:r>
        <w:rPr>
          <w:color w:val="231F20"/>
          <w:spacing w:val="-8"/>
          <w:w w:val="120"/>
        </w:rPr>
        <w:t> </w:t>
      </w:r>
      <w:r>
        <w:rPr>
          <w:color w:val="231F20"/>
          <w:w w:val="120"/>
        </w:rPr>
        <w:t>virtuel,</w:t>
      </w:r>
      <w:r>
        <w:rPr>
          <w:color w:val="231F20"/>
          <w:spacing w:val="-8"/>
          <w:w w:val="120"/>
        </w:rPr>
        <w:t> </w:t>
      </w:r>
      <w:r>
        <w:rPr>
          <w:color w:val="231F20"/>
          <w:w w:val="120"/>
        </w:rPr>
        <w:t>un thérapeute, un psychologue ou un autre professionnel de la santé sous </w:t>
      </w:r>
      <w:r>
        <w:rPr>
          <w:color w:val="231F20"/>
          <w:w w:val="115"/>
        </w:rPr>
        <w:t>la</w:t>
      </w:r>
      <w:r>
        <w:rPr>
          <w:color w:val="231F20"/>
          <w:spacing w:val="-13"/>
          <w:w w:val="115"/>
        </w:rPr>
        <w:t> </w:t>
      </w:r>
      <w:r>
        <w:rPr>
          <w:color w:val="231F20"/>
          <w:w w:val="115"/>
        </w:rPr>
        <w:t>forme</w:t>
      </w:r>
      <w:r>
        <w:rPr>
          <w:color w:val="231F20"/>
          <w:spacing w:val="-12"/>
          <w:w w:val="115"/>
        </w:rPr>
        <w:t> </w:t>
      </w:r>
      <w:r>
        <w:rPr>
          <w:color w:val="231F20"/>
          <w:w w:val="115"/>
        </w:rPr>
        <w:t>d’un</w:t>
      </w:r>
      <w:r>
        <w:rPr>
          <w:color w:val="231F20"/>
          <w:spacing w:val="-12"/>
          <w:w w:val="115"/>
        </w:rPr>
        <w:t> </w:t>
      </w:r>
      <w:r>
        <w:rPr>
          <w:color w:val="231F20"/>
          <w:w w:val="115"/>
        </w:rPr>
        <w:t>entretien.</w:t>
      </w:r>
      <w:r>
        <w:rPr>
          <w:color w:val="231F20"/>
          <w:spacing w:val="-12"/>
          <w:w w:val="115"/>
        </w:rPr>
        <w:t> </w:t>
      </w:r>
      <w:r>
        <w:rPr>
          <w:color w:val="231F20"/>
          <w:w w:val="115"/>
        </w:rPr>
        <w:t>C’est</w:t>
      </w:r>
      <w:r>
        <w:rPr>
          <w:color w:val="231F20"/>
          <w:spacing w:val="-13"/>
          <w:w w:val="115"/>
        </w:rPr>
        <w:t> </w:t>
      </w:r>
      <w:r>
        <w:rPr>
          <w:color w:val="231F20"/>
          <w:w w:val="115"/>
        </w:rPr>
        <w:t>l’enquêteur</w:t>
      </w:r>
      <w:r>
        <w:rPr>
          <w:color w:val="231F20"/>
          <w:spacing w:val="-12"/>
          <w:w w:val="115"/>
        </w:rPr>
        <w:t> </w:t>
      </w:r>
      <w:r>
        <w:rPr>
          <w:color w:val="231F20"/>
          <w:w w:val="115"/>
        </w:rPr>
        <w:t>qui</w:t>
      </w:r>
      <w:r>
        <w:rPr>
          <w:color w:val="231F20"/>
          <w:spacing w:val="-12"/>
          <w:w w:val="115"/>
        </w:rPr>
        <w:t> </w:t>
      </w:r>
      <w:r>
        <w:rPr>
          <w:color w:val="231F20"/>
          <w:w w:val="115"/>
        </w:rPr>
        <w:t>garde</w:t>
      </w:r>
      <w:r>
        <w:rPr>
          <w:color w:val="231F20"/>
          <w:spacing w:val="-12"/>
          <w:w w:val="115"/>
        </w:rPr>
        <w:t> </w:t>
      </w:r>
      <w:r>
        <w:rPr>
          <w:color w:val="231F20"/>
          <w:w w:val="115"/>
        </w:rPr>
        <w:t>le</w:t>
      </w:r>
      <w:r>
        <w:rPr>
          <w:color w:val="231F20"/>
          <w:spacing w:val="-12"/>
          <w:w w:val="115"/>
        </w:rPr>
        <w:t> </w:t>
      </w:r>
      <w:r>
        <w:rPr>
          <w:color w:val="231F20"/>
          <w:w w:val="115"/>
        </w:rPr>
        <w:t>modèle</w:t>
      </w:r>
      <w:r>
        <w:rPr>
          <w:color w:val="231F20"/>
          <w:spacing w:val="-13"/>
          <w:w w:val="115"/>
        </w:rPr>
        <w:t> </w:t>
      </w:r>
      <w:r>
        <w:rPr>
          <w:color w:val="231F20"/>
          <w:w w:val="115"/>
        </w:rPr>
        <w:t>d’évaluation </w:t>
      </w:r>
      <w:r>
        <w:rPr>
          <w:color w:val="231F20"/>
          <w:w w:val="120"/>
        </w:rPr>
        <w:t>à</w:t>
      </w:r>
      <w:r>
        <w:rPr>
          <w:color w:val="231F20"/>
          <w:spacing w:val="-3"/>
          <w:w w:val="120"/>
        </w:rPr>
        <w:t> </w:t>
      </w:r>
      <w:r>
        <w:rPr>
          <w:color w:val="231F20"/>
          <w:w w:val="120"/>
        </w:rPr>
        <w:t>portée</w:t>
      </w:r>
      <w:r>
        <w:rPr>
          <w:color w:val="231F20"/>
          <w:spacing w:val="-3"/>
          <w:w w:val="120"/>
        </w:rPr>
        <w:t> </w:t>
      </w:r>
      <w:r>
        <w:rPr>
          <w:color w:val="231F20"/>
          <w:w w:val="120"/>
        </w:rPr>
        <w:t>de</w:t>
      </w:r>
      <w:r>
        <w:rPr>
          <w:color w:val="231F20"/>
          <w:spacing w:val="-3"/>
          <w:w w:val="120"/>
        </w:rPr>
        <w:t> </w:t>
      </w:r>
      <w:r>
        <w:rPr>
          <w:color w:val="231F20"/>
          <w:w w:val="120"/>
        </w:rPr>
        <w:t>main</w:t>
      </w:r>
      <w:r>
        <w:rPr>
          <w:color w:val="231F20"/>
          <w:spacing w:val="-3"/>
          <w:w w:val="120"/>
        </w:rPr>
        <w:t> </w:t>
      </w:r>
      <w:r>
        <w:rPr>
          <w:color w:val="231F20"/>
          <w:w w:val="120"/>
        </w:rPr>
        <w:t>et</w:t>
      </w:r>
      <w:r>
        <w:rPr>
          <w:color w:val="231F20"/>
          <w:spacing w:val="-3"/>
          <w:w w:val="120"/>
        </w:rPr>
        <w:t> </w:t>
      </w:r>
      <w:r>
        <w:rPr>
          <w:color w:val="231F20"/>
          <w:w w:val="120"/>
        </w:rPr>
        <w:t>note</w:t>
      </w:r>
      <w:r>
        <w:rPr>
          <w:color w:val="231F20"/>
          <w:spacing w:val="-3"/>
          <w:w w:val="120"/>
        </w:rPr>
        <w:t> </w:t>
      </w:r>
      <w:r>
        <w:rPr>
          <w:color w:val="231F20"/>
          <w:w w:val="120"/>
        </w:rPr>
        <w:t>la</w:t>
      </w:r>
      <w:r>
        <w:rPr>
          <w:color w:val="231F20"/>
          <w:spacing w:val="-3"/>
          <w:w w:val="120"/>
        </w:rPr>
        <w:t> </w:t>
      </w:r>
      <w:r>
        <w:rPr>
          <w:color w:val="231F20"/>
          <w:w w:val="120"/>
        </w:rPr>
        <w:t>réponse</w:t>
      </w:r>
      <w:r>
        <w:rPr>
          <w:color w:val="231F20"/>
          <w:spacing w:val="-3"/>
          <w:w w:val="120"/>
        </w:rPr>
        <w:t> </w:t>
      </w:r>
      <w:r>
        <w:rPr>
          <w:color w:val="231F20"/>
          <w:w w:val="120"/>
        </w:rPr>
        <w:t>dans</w:t>
      </w:r>
      <w:r>
        <w:rPr>
          <w:color w:val="231F20"/>
          <w:spacing w:val="-3"/>
          <w:w w:val="120"/>
        </w:rPr>
        <w:t> </w:t>
      </w:r>
      <w:r>
        <w:rPr>
          <w:color w:val="231F20"/>
          <w:w w:val="120"/>
        </w:rPr>
        <w:t>les</w:t>
      </w:r>
      <w:r>
        <w:rPr>
          <w:color w:val="231F20"/>
          <w:spacing w:val="-3"/>
          <w:w w:val="120"/>
        </w:rPr>
        <w:t> </w:t>
      </w:r>
      <w:r>
        <w:rPr>
          <w:color w:val="231F20"/>
          <w:w w:val="120"/>
        </w:rPr>
        <w:t>colonnes</w:t>
      </w:r>
      <w:r>
        <w:rPr>
          <w:color w:val="231F20"/>
          <w:spacing w:val="-3"/>
          <w:w w:val="120"/>
        </w:rPr>
        <w:t> </w:t>
      </w:r>
      <w:r>
        <w:rPr>
          <w:color w:val="231F20"/>
          <w:w w:val="120"/>
        </w:rPr>
        <w:t>correspondantes. Sur la base de cet entretien, le diagnostic peut être posé en quelques minutes. Nous soutenons que la beauté de cette évaluation réside dans sa</w:t>
      </w:r>
      <w:r>
        <w:rPr>
          <w:color w:val="231F20"/>
          <w:spacing w:val="-13"/>
          <w:w w:val="120"/>
        </w:rPr>
        <w:t> </w:t>
      </w:r>
      <w:r>
        <w:rPr>
          <w:color w:val="231F20"/>
          <w:w w:val="120"/>
        </w:rPr>
        <w:t>simplicité.</w:t>
      </w:r>
    </w:p>
    <w:p>
      <w:pPr>
        <w:pStyle w:val="BodyText"/>
        <w:rPr>
          <w:sz w:val="24"/>
        </w:rPr>
      </w:pPr>
    </w:p>
    <w:p>
      <w:pPr>
        <w:pStyle w:val="Heading2"/>
        <w:spacing w:line="247" w:lineRule="auto" w:before="180"/>
        <w:ind w:left="1220" w:right="1441"/>
      </w:pPr>
      <w:r>
        <w:rPr>
          <w:color w:val="231F20"/>
          <w:w w:val="95"/>
        </w:rPr>
        <w:t>Évaluation</w:t>
      </w:r>
      <w:r>
        <w:rPr>
          <w:color w:val="231F20"/>
          <w:spacing w:val="-7"/>
          <w:w w:val="95"/>
        </w:rPr>
        <w:t> </w:t>
      </w:r>
      <w:r>
        <w:rPr>
          <w:color w:val="231F20"/>
          <w:w w:val="95"/>
        </w:rPr>
        <w:t>rapide</w:t>
      </w:r>
      <w:r>
        <w:rPr>
          <w:color w:val="231F20"/>
          <w:spacing w:val="-7"/>
          <w:w w:val="95"/>
        </w:rPr>
        <w:t> </w:t>
      </w:r>
      <w:r>
        <w:rPr>
          <w:color w:val="231F20"/>
          <w:w w:val="95"/>
        </w:rPr>
        <w:t>des</w:t>
      </w:r>
      <w:r>
        <w:rPr>
          <w:color w:val="231F20"/>
          <w:spacing w:val="-7"/>
          <w:w w:val="95"/>
        </w:rPr>
        <w:t> </w:t>
      </w:r>
      <w:r>
        <w:rPr>
          <w:color w:val="231F20"/>
          <w:w w:val="95"/>
        </w:rPr>
        <w:t>valeurs</w:t>
      </w:r>
      <w:r>
        <w:rPr>
          <w:color w:val="231F20"/>
          <w:spacing w:val="-7"/>
          <w:w w:val="95"/>
        </w:rPr>
        <w:t> </w:t>
      </w:r>
      <w:r>
        <w:rPr>
          <w:color w:val="231F20"/>
          <w:w w:val="95"/>
        </w:rPr>
        <w:t>fondamentales </w:t>
      </w:r>
      <w:r>
        <w:rPr>
          <w:color w:val="231F20"/>
        </w:rPr>
        <w:t>et de la congruence</w:t>
      </w:r>
    </w:p>
    <w:p>
      <w:pPr>
        <w:pStyle w:val="BodyText"/>
        <w:spacing w:before="4"/>
        <w:rPr>
          <w:rFonts w:ascii="Arial"/>
          <w:b/>
          <w:sz w:val="25"/>
        </w:rPr>
      </w:pPr>
    </w:p>
    <w:p>
      <w:pPr>
        <w:pStyle w:val="BodyText"/>
        <w:spacing w:line="307" w:lineRule="auto"/>
        <w:ind w:left="1220" w:right="103"/>
        <w:jc w:val="both"/>
      </w:pPr>
      <w:r>
        <w:rPr>
          <w:color w:val="231F20"/>
          <w:w w:val="120"/>
        </w:rPr>
        <w:t>Pour chacune des questions concernant votre connaissance de vous- même, cochez simplement l’option oui ou non. Parfois, y répondre ne sera pas facile, mais choisissez quand même si c’est plutôt un oui ou plutôt un non.</w:t>
      </w:r>
    </w:p>
    <w:p>
      <w:pPr>
        <w:pStyle w:val="BodyText"/>
        <w:spacing w:before="10" w:after="1"/>
        <w:rPr>
          <w:sz w:val="8"/>
        </w:rPr>
      </w:pPr>
    </w:p>
    <w:tbl>
      <w:tblPr>
        <w:tblW w:w="0" w:type="auto"/>
        <w:jc w:val="left"/>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4786"/>
        <w:gridCol w:w="480"/>
        <w:gridCol w:w="480"/>
      </w:tblGrid>
      <w:tr>
        <w:trPr>
          <w:trHeight w:val="269" w:hRule="atLeast"/>
        </w:trPr>
        <w:tc>
          <w:tcPr>
            <w:tcW w:w="4786" w:type="dxa"/>
            <w:tcBorders>
              <w:top w:val="nil"/>
              <w:left w:val="nil"/>
              <w:right w:val="nil"/>
            </w:tcBorders>
          </w:tcPr>
          <w:p>
            <w:pPr>
              <w:pStyle w:val="TableParagraph"/>
              <w:spacing w:before="60"/>
              <w:ind w:left="480"/>
              <w:rPr>
                <w:b/>
                <w:sz w:val="14"/>
              </w:rPr>
            </w:pPr>
            <w:r>
              <w:rPr>
                <w:b/>
                <w:color w:val="231F20"/>
                <w:spacing w:val="-2"/>
                <w:sz w:val="14"/>
              </w:rPr>
              <w:t>Questions</w:t>
            </w:r>
          </w:p>
        </w:tc>
        <w:tc>
          <w:tcPr>
            <w:tcW w:w="480" w:type="dxa"/>
            <w:tcBorders>
              <w:top w:val="nil"/>
              <w:left w:val="nil"/>
              <w:right w:val="single" w:sz="4" w:space="0" w:color="FFFFFF"/>
            </w:tcBorders>
            <w:shd w:val="clear" w:color="auto" w:fill="E2E3E4"/>
          </w:tcPr>
          <w:p>
            <w:pPr>
              <w:pStyle w:val="TableParagraph"/>
              <w:spacing w:before="60"/>
              <w:ind w:left="126"/>
              <w:rPr>
                <w:b/>
                <w:sz w:val="14"/>
              </w:rPr>
            </w:pPr>
            <w:r>
              <w:rPr>
                <w:b/>
                <w:color w:val="231F20"/>
                <w:spacing w:val="-5"/>
                <w:sz w:val="14"/>
              </w:rPr>
              <w:t>Oui</w:t>
            </w:r>
          </w:p>
        </w:tc>
        <w:tc>
          <w:tcPr>
            <w:tcW w:w="480" w:type="dxa"/>
            <w:tcBorders>
              <w:top w:val="nil"/>
              <w:left w:val="single" w:sz="4" w:space="0" w:color="FFFFFF"/>
              <w:right w:val="nil"/>
            </w:tcBorders>
            <w:shd w:val="clear" w:color="auto" w:fill="E2E3E4"/>
          </w:tcPr>
          <w:p>
            <w:pPr>
              <w:pStyle w:val="TableParagraph"/>
              <w:spacing w:before="60"/>
              <w:ind w:left="104"/>
              <w:rPr>
                <w:b/>
                <w:sz w:val="14"/>
              </w:rPr>
            </w:pPr>
            <w:r>
              <w:rPr>
                <w:b/>
                <w:color w:val="231F20"/>
                <w:spacing w:val="-5"/>
                <w:sz w:val="14"/>
              </w:rPr>
              <w:t>Non</w:t>
            </w:r>
          </w:p>
        </w:tc>
      </w:tr>
      <w:tr>
        <w:trPr>
          <w:trHeight w:val="444" w:hRule="atLeast"/>
        </w:trPr>
        <w:tc>
          <w:tcPr>
            <w:tcW w:w="4786" w:type="dxa"/>
            <w:tcBorders>
              <w:left w:val="nil"/>
              <w:bottom w:val="single" w:sz="4" w:space="0" w:color="E2E3E4"/>
              <w:right w:val="nil"/>
            </w:tcBorders>
          </w:tcPr>
          <w:p>
            <w:pPr>
              <w:pStyle w:val="TableParagraph"/>
              <w:spacing w:line="268" w:lineRule="auto" w:before="57"/>
              <w:ind w:left="480" w:right="360" w:hanging="290"/>
              <w:rPr>
                <w:sz w:val="14"/>
              </w:rPr>
            </w:pPr>
            <w:r>
              <w:rPr>
                <w:b/>
                <w:color w:val="231F20"/>
                <w:sz w:val="14"/>
              </w:rPr>
              <w:t>1.</w:t>
            </w:r>
            <w:r>
              <w:rPr>
                <w:b/>
                <w:color w:val="231F20"/>
                <w:spacing w:val="80"/>
                <w:w w:val="150"/>
                <w:sz w:val="14"/>
              </w:rPr>
              <w:t> </w:t>
            </w:r>
            <w:r>
              <w:rPr>
                <w:color w:val="231F20"/>
                <w:sz w:val="14"/>
              </w:rPr>
              <w:t>Parmi les centaines de valeurs qui sont importantes pour vous,</w:t>
            </w:r>
            <w:r>
              <w:rPr>
                <w:color w:val="231F20"/>
                <w:spacing w:val="40"/>
                <w:sz w:val="14"/>
              </w:rPr>
              <w:t> </w:t>
            </w:r>
            <w:r>
              <w:rPr>
                <w:color w:val="231F20"/>
                <w:sz w:val="14"/>
              </w:rPr>
              <w:t>pouvez-vous</w:t>
            </w:r>
            <w:r>
              <w:rPr>
                <w:color w:val="231F20"/>
                <w:spacing w:val="-4"/>
                <w:sz w:val="14"/>
              </w:rPr>
              <w:t> </w:t>
            </w:r>
            <w:r>
              <w:rPr>
                <w:color w:val="231F20"/>
                <w:sz w:val="14"/>
              </w:rPr>
              <w:t>nommer</w:t>
            </w:r>
            <w:r>
              <w:rPr>
                <w:color w:val="231F20"/>
                <w:spacing w:val="-4"/>
                <w:sz w:val="14"/>
              </w:rPr>
              <w:t> </w:t>
            </w:r>
            <w:r>
              <w:rPr>
                <w:color w:val="231F20"/>
                <w:sz w:val="14"/>
              </w:rPr>
              <w:t>clairement</w:t>
            </w:r>
            <w:r>
              <w:rPr>
                <w:color w:val="231F20"/>
                <w:spacing w:val="-3"/>
                <w:sz w:val="14"/>
              </w:rPr>
              <w:t> </w:t>
            </w:r>
            <w:r>
              <w:rPr>
                <w:color w:val="231F20"/>
                <w:sz w:val="14"/>
              </w:rPr>
              <w:t>vos</w:t>
            </w:r>
            <w:r>
              <w:rPr>
                <w:color w:val="231F20"/>
                <w:spacing w:val="-4"/>
                <w:sz w:val="14"/>
              </w:rPr>
              <w:t> </w:t>
            </w:r>
            <w:r>
              <w:rPr>
                <w:color w:val="231F20"/>
                <w:sz w:val="14"/>
              </w:rPr>
              <w:t>5</w:t>
            </w:r>
            <w:r>
              <w:rPr>
                <w:color w:val="231F20"/>
                <w:spacing w:val="-3"/>
                <w:sz w:val="14"/>
              </w:rPr>
              <w:t> </w:t>
            </w:r>
            <w:r>
              <w:rPr>
                <w:color w:val="231F20"/>
                <w:sz w:val="14"/>
              </w:rPr>
              <w:t>valeurs</w:t>
            </w:r>
            <w:r>
              <w:rPr>
                <w:color w:val="231F20"/>
                <w:spacing w:val="-4"/>
                <w:sz w:val="14"/>
              </w:rPr>
              <w:t> </w:t>
            </w:r>
            <w:r>
              <w:rPr>
                <w:color w:val="231F20"/>
                <w:spacing w:val="-2"/>
                <w:sz w:val="14"/>
              </w:rPr>
              <w:t>fondamentales?</w:t>
            </w:r>
          </w:p>
        </w:tc>
        <w:tc>
          <w:tcPr>
            <w:tcW w:w="480" w:type="dxa"/>
            <w:tcBorders>
              <w:left w:val="nil"/>
              <w:bottom w:val="single" w:sz="4" w:space="0" w:color="FFFFFF"/>
              <w:right w:val="single" w:sz="4" w:space="0" w:color="FFFFFF"/>
            </w:tcBorders>
            <w:shd w:val="clear" w:color="auto" w:fill="E2E3E4"/>
          </w:tcPr>
          <w:p>
            <w:pPr>
              <w:pStyle w:val="TableParagraph"/>
              <w:rPr>
                <w:rFonts w:ascii="Times New Roman"/>
                <w:sz w:val="16"/>
              </w:rPr>
            </w:pPr>
          </w:p>
        </w:tc>
        <w:tc>
          <w:tcPr>
            <w:tcW w:w="480" w:type="dxa"/>
            <w:tcBorders>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441" w:hRule="atLeast"/>
        </w:trPr>
        <w:tc>
          <w:tcPr>
            <w:tcW w:w="4786" w:type="dxa"/>
            <w:tcBorders>
              <w:top w:val="single" w:sz="4" w:space="0" w:color="E2E3E4"/>
              <w:left w:val="nil"/>
              <w:bottom w:val="single" w:sz="4" w:space="0" w:color="E2E3E4"/>
              <w:right w:val="nil"/>
            </w:tcBorders>
          </w:tcPr>
          <w:p>
            <w:pPr>
              <w:pStyle w:val="TableParagraph"/>
              <w:spacing w:line="268" w:lineRule="auto" w:before="55"/>
              <w:ind w:left="480" w:right="249" w:hanging="290"/>
              <w:rPr>
                <w:sz w:val="14"/>
              </w:rPr>
            </w:pPr>
            <w:r>
              <w:rPr>
                <w:b/>
                <w:color w:val="231F20"/>
                <w:sz w:val="14"/>
              </w:rPr>
              <w:t>2.</w:t>
            </w:r>
            <w:r>
              <w:rPr>
                <w:b/>
                <w:color w:val="231F20"/>
                <w:spacing w:val="80"/>
                <w:w w:val="150"/>
                <w:sz w:val="14"/>
              </w:rPr>
              <w:t> </w:t>
            </w:r>
            <w:r>
              <w:rPr>
                <w:color w:val="231F20"/>
                <w:sz w:val="14"/>
              </w:rPr>
              <w:t>Êtes-vous</w:t>
            </w:r>
            <w:r>
              <w:rPr>
                <w:color w:val="231F20"/>
                <w:spacing w:val="-1"/>
                <w:sz w:val="14"/>
              </w:rPr>
              <w:t> </w:t>
            </w:r>
            <w:r>
              <w:rPr>
                <w:color w:val="231F20"/>
                <w:sz w:val="14"/>
              </w:rPr>
              <w:t>capable</w:t>
            </w:r>
            <w:r>
              <w:rPr>
                <w:color w:val="231F20"/>
                <w:spacing w:val="-1"/>
                <w:sz w:val="14"/>
              </w:rPr>
              <w:t> </w:t>
            </w:r>
            <w:r>
              <w:rPr>
                <w:color w:val="231F20"/>
                <w:sz w:val="14"/>
              </w:rPr>
              <w:t>de</w:t>
            </w:r>
            <w:r>
              <w:rPr>
                <w:color w:val="231F20"/>
                <w:spacing w:val="-1"/>
                <w:sz w:val="14"/>
              </w:rPr>
              <w:t> </w:t>
            </w:r>
            <w:r>
              <w:rPr>
                <w:color w:val="231F20"/>
                <w:sz w:val="14"/>
              </w:rPr>
              <w:t>placer</w:t>
            </w:r>
            <w:r>
              <w:rPr>
                <w:color w:val="231F20"/>
                <w:spacing w:val="-1"/>
                <w:sz w:val="14"/>
              </w:rPr>
              <w:t> </w:t>
            </w:r>
            <w:r>
              <w:rPr>
                <w:color w:val="231F20"/>
                <w:sz w:val="14"/>
              </w:rPr>
              <w:t>clairement</w:t>
            </w:r>
            <w:r>
              <w:rPr>
                <w:color w:val="231F20"/>
                <w:spacing w:val="-1"/>
                <w:sz w:val="14"/>
              </w:rPr>
              <w:t> </w:t>
            </w:r>
            <w:r>
              <w:rPr>
                <w:color w:val="231F20"/>
                <w:sz w:val="14"/>
              </w:rPr>
              <w:t>5</w:t>
            </w:r>
            <w:r>
              <w:rPr>
                <w:color w:val="231F20"/>
                <w:spacing w:val="-1"/>
                <w:sz w:val="14"/>
              </w:rPr>
              <w:t> </w:t>
            </w:r>
            <w:r>
              <w:rPr>
                <w:color w:val="231F20"/>
                <w:sz w:val="14"/>
              </w:rPr>
              <w:t>valeurs</w:t>
            </w:r>
            <w:r>
              <w:rPr>
                <w:color w:val="231F20"/>
                <w:spacing w:val="-1"/>
                <w:sz w:val="14"/>
              </w:rPr>
              <w:t> </w:t>
            </w:r>
            <w:r>
              <w:rPr>
                <w:color w:val="231F20"/>
                <w:sz w:val="14"/>
              </w:rPr>
              <w:t>fondamentales</w:t>
            </w:r>
            <w:r>
              <w:rPr>
                <w:color w:val="231F20"/>
                <w:spacing w:val="40"/>
                <w:sz w:val="14"/>
              </w:rPr>
              <w:t> </w:t>
            </w:r>
            <w:r>
              <w:rPr>
                <w:color w:val="231F20"/>
                <w:sz w:val="14"/>
              </w:rPr>
              <w:t>dans une</w:t>
            </w:r>
            <w:r>
              <w:rPr>
                <w:color w:val="231F20"/>
                <w:spacing w:val="1"/>
                <w:sz w:val="14"/>
              </w:rPr>
              <w:t> </w:t>
            </w:r>
            <w:r>
              <w:rPr>
                <w:color w:val="231F20"/>
                <w:sz w:val="14"/>
              </w:rPr>
              <w:t>hiérarchie</w:t>
            </w:r>
            <w:r>
              <w:rPr>
                <w:color w:val="231F20"/>
                <w:spacing w:val="1"/>
                <w:sz w:val="14"/>
              </w:rPr>
              <w:t> </w:t>
            </w:r>
            <w:r>
              <w:rPr>
                <w:color w:val="231F20"/>
                <w:sz w:val="14"/>
              </w:rPr>
              <w:t>de</w:t>
            </w:r>
            <w:r>
              <w:rPr>
                <w:color w:val="231F20"/>
                <w:spacing w:val="1"/>
                <w:sz w:val="14"/>
              </w:rPr>
              <w:t> </w:t>
            </w:r>
            <w:r>
              <w:rPr>
                <w:color w:val="231F20"/>
                <w:sz w:val="14"/>
              </w:rPr>
              <w:t>la</w:t>
            </w:r>
            <w:r>
              <w:rPr>
                <w:color w:val="231F20"/>
                <w:spacing w:val="1"/>
                <w:sz w:val="14"/>
              </w:rPr>
              <w:t> </w:t>
            </w:r>
            <w:r>
              <w:rPr>
                <w:color w:val="231F20"/>
                <w:sz w:val="14"/>
              </w:rPr>
              <w:t>plus</w:t>
            </w:r>
            <w:r>
              <w:rPr>
                <w:color w:val="231F20"/>
                <w:spacing w:val="1"/>
                <w:sz w:val="14"/>
              </w:rPr>
              <w:t> </w:t>
            </w:r>
            <w:r>
              <w:rPr>
                <w:color w:val="231F20"/>
                <w:sz w:val="14"/>
              </w:rPr>
              <w:t>importante</w:t>
            </w:r>
            <w:r>
              <w:rPr>
                <w:color w:val="231F20"/>
                <w:spacing w:val="1"/>
                <w:sz w:val="14"/>
              </w:rPr>
              <w:t> </w:t>
            </w:r>
            <w:r>
              <w:rPr>
                <w:color w:val="231F20"/>
                <w:sz w:val="14"/>
              </w:rPr>
              <w:t>à</w:t>
            </w:r>
            <w:r>
              <w:rPr>
                <w:color w:val="231F20"/>
                <w:spacing w:val="1"/>
                <w:sz w:val="14"/>
              </w:rPr>
              <w:t> </w:t>
            </w:r>
            <w:r>
              <w:rPr>
                <w:color w:val="231F20"/>
                <w:sz w:val="14"/>
              </w:rPr>
              <w:t>la moins</w:t>
            </w:r>
            <w:r>
              <w:rPr>
                <w:color w:val="231F20"/>
                <w:spacing w:val="1"/>
                <w:sz w:val="14"/>
              </w:rPr>
              <w:t> </w:t>
            </w:r>
            <w:r>
              <w:rPr>
                <w:color w:val="231F20"/>
                <w:sz w:val="14"/>
              </w:rPr>
              <w:t>importante</w:t>
            </w:r>
            <w:r>
              <w:rPr>
                <w:color w:val="231F20"/>
                <w:spacing w:val="-24"/>
                <w:sz w:val="14"/>
              </w:rPr>
              <w:t> </w:t>
            </w:r>
            <w:r>
              <w:rPr>
                <w:color w:val="231F20"/>
                <w:spacing w:val="-10"/>
                <w:sz w:val="14"/>
              </w:rPr>
              <w:t>?</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6"/>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r>
        <w:trPr>
          <w:trHeight w:val="261" w:hRule="atLeast"/>
        </w:trPr>
        <w:tc>
          <w:tcPr>
            <w:tcW w:w="4786" w:type="dxa"/>
            <w:tcBorders>
              <w:top w:val="single" w:sz="4" w:space="0" w:color="E2E3E4"/>
              <w:left w:val="nil"/>
              <w:bottom w:val="single" w:sz="4" w:space="0" w:color="E2E3E4"/>
              <w:right w:val="nil"/>
            </w:tcBorders>
          </w:tcPr>
          <w:p>
            <w:pPr>
              <w:pStyle w:val="TableParagraph"/>
              <w:spacing w:before="55"/>
              <w:ind w:left="190"/>
              <w:rPr>
                <w:sz w:val="14"/>
              </w:rPr>
            </w:pPr>
            <w:r>
              <w:rPr>
                <w:b/>
                <w:color w:val="231F20"/>
                <w:sz w:val="14"/>
              </w:rPr>
              <w:t>3.</w:t>
            </w:r>
            <w:r>
              <w:rPr>
                <w:b/>
                <w:color w:val="231F20"/>
                <w:spacing w:val="36"/>
                <w:sz w:val="14"/>
              </w:rPr>
              <w:t>  </w:t>
            </w:r>
            <w:r>
              <w:rPr>
                <w:color w:val="231F20"/>
                <w:sz w:val="14"/>
              </w:rPr>
              <w:t>Vous</w:t>
            </w:r>
            <w:r>
              <w:rPr>
                <w:color w:val="231F20"/>
                <w:spacing w:val="-6"/>
                <w:sz w:val="14"/>
              </w:rPr>
              <w:t> </w:t>
            </w:r>
            <w:r>
              <w:rPr>
                <w:color w:val="231F20"/>
                <w:sz w:val="14"/>
              </w:rPr>
              <w:t>sentez-vous</w:t>
            </w:r>
            <w:r>
              <w:rPr>
                <w:color w:val="231F20"/>
                <w:spacing w:val="-6"/>
                <w:sz w:val="14"/>
              </w:rPr>
              <w:t> </w:t>
            </w:r>
            <w:r>
              <w:rPr>
                <w:color w:val="231F20"/>
                <w:sz w:val="14"/>
              </w:rPr>
              <w:t>ambigu</w:t>
            </w:r>
            <w:r>
              <w:rPr>
                <w:color w:val="231F20"/>
                <w:spacing w:val="-6"/>
                <w:sz w:val="14"/>
              </w:rPr>
              <w:t> </w:t>
            </w:r>
            <w:r>
              <w:rPr>
                <w:color w:val="231F20"/>
                <w:sz w:val="14"/>
              </w:rPr>
              <w:t>sur</w:t>
            </w:r>
            <w:r>
              <w:rPr>
                <w:color w:val="231F20"/>
                <w:spacing w:val="-6"/>
                <w:sz w:val="14"/>
              </w:rPr>
              <w:t> </w:t>
            </w:r>
            <w:r>
              <w:rPr>
                <w:color w:val="231F20"/>
                <w:sz w:val="14"/>
              </w:rPr>
              <w:t>vos</w:t>
            </w:r>
            <w:r>
              <w:rPr>
                <w:color w:val="231F20"/>
                <w:spacing w:val="-6"/>
                <w:sz w:val="14"/>
              </w:rPr>
              <w:t> </w:t>
            </w:r>
            <w:r>
              <w:rPr>
                <w:color w:val="231F20"/>
                <w:sz w:val="14"/>
              </w:rPr>
              <w:t>valeurs</w:t>
            </w:r>
            <w:r>
              <w:rPr>
                <w:color w:val="231F20"/>
                <w:spacing w:val="-6"/>
                <w:sz w:val="14"/>
              </w:rPr>
              <w:t> </w:t>
            </w:r>
            <w:r>
              <w:rPr>
                <w:color w:val="231F20"/>
                <w:spacing w:val="-2"/>
                <w:sz w:val="14"/>
              </w:rPr>
              <w:t>fondamentales?</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6"/>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6"/>
              </w:rPr>
            </w:pPr>
          </w:p>
        </w:tc>
      </w:tr>
    </w:tbl>
    <w:p>
      <w:pPr>
        <w:spacing w:after="0"/>
        <w:rPr>
          <w:rFonts w:ascii="Times New Roman"/>
          <w:sz w:val="16"/>
        </w:rPr>
        <w:sectPr>
          <w:footerReference w:type="default" r:id="rId354"/>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rPr>
      </w:pPr>
    </w:p>
    <w:tbl>
      <w:tblPr>
        <w:tblW w:w="0" w:type="auto"/>
        <w:jc w:val="left"/>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top w:w="0" w:type="dxa"/>
          <w:left w:w="0" w:type="dxa"/>
          <w:bottom w:w="0" w:type="dxa"/>
          <w:right w:w="0" w:type="dxa"/>
        </w:tblCellMar>
        <w:tblLook w:val="01E0"/>
      </w:tblPr>
      <w:tblGrid>
        <w:gridCol w:w="4786"/>
        <w:gridCol w:w="480"/>
        <w:gridCol w:w="480"/>
      </w:tblGrid>
      <w:tr>
        <w:trPr>
          <w:trHeight w:val="441" w:hRule="atLeast"/>
        </w:trPr>
        <w:tc>
          <w:tcPr>
            <w:tcW w:w="4786" w:type="dxa"/>
            <w:tcBorders>
              <w:left w:val="nil"/>
              <w:right w:val="nil"/>
            </w:tcBorders>
          </w:tcPr>
          <w:p>
            <w:pPr>
              <w:pStyle w:val="TableParagraph"/>
              <w:spacing w:line="268" w:lineRule="auto" w:before="55"/>
              <w:ind w:left="480" w:right="360" w:hanging="290"/>
              <w:rPr>
                <w:sz w:val="14"/>
              </w:rPr>
            </w:pPr>
            <w:r>
              <w:rPr>
                <w:b/>
                <w:color w:val="231F20"/>
                <w:sz w:val="14"/>
              </w:rPr>
              <w:t>4.</w:t>
            </w:r>
            <w:r>
              <w:rPr>
                <w:b/>
                <w:color w:val="231F20"/>
                <w:spacing w:val="80"/>
                <w:w w:val="150"/>
                <w:sz w:val="14"/>
              </w:rPr>
              <w:t> </w:t>
            </w:r>
            <w:r>
              <w:rPr>
                <w:color w:val="231F20"/>
                <w:sz w:val="14"/>
              </w:rPr>
              <w:t>Lorsqu’il y a un conflit entre certaines de vos valeurs</w:t>
            </w:r>
            <w:r>
              <w:rPr>
                <w:color w:val="231F20"/>
                <w:spacing w:val="40"/>
                <w:sz w:val="14"/>
              </w:rPr>
              <w:t> </w:t>
            </w:r>
            <w:r>
              <w:rPr>
                <w:color w:val="231F20"/>
                <w:sz w:val="14"/>
              </w:rPr>
              <w:t>fondamentales,</w:t>
            </w:r>
            <w:r>
              <w:rPr>
                <w:color w:val="231F20"/>
                <w:spacing w:val="-4"/>
                <w:sz w:val="14"/>
              </w:rPr>
              <w:t> </w:t>
            </w:r>
            <w:r>
              <w:rPr>
                <w:color w:val="231F20"/>
                <w:sz w:val="14"/>
              </w:rPr>
              <w:t>êtes-vous</w:t>
            </w:r>
            <w:r>
              <w:rPr>
                <w:color w:val="231F20"/>
                <w:spacing w:val="-4"/>
                <w:sz w:val="14"/>
              </w:rPr>
              <w:t> </w:t>
            </w:r>
            <w:r>
              <w:rPr>
                <w:color w:val="231F20"/>
                <w:sz w:val="14"/>
              </w:rPr>
              <w:t>capable</w:t>
            </w:r>
            <w:r>
              <w:rPr>
                <w:color w:val="231F20"/>
                <w:spacing w:val="-4"/>
                <w:sz w:val="14"/>
              </w:rPr>
              <w:t> </w:t>
            </w:r>
            <w:r>
              <w:rPr>
                <w:color w:val="231F20"/>
                <w:sz w:val="14"/>
              </w:rPr>
              <w:t>de</w:t>
            </w:r>
            <w:r>
              <w:rPr>
                <w:color w:val="231F20"/>
                <w:spacing w:val="-4"/>
                <w:sz w:val="14"/>
              </w:rPr>
              <w:t> </w:t>
            </w:r>
            <w:r>
              <w:rPr>
                <w:color w:val="231F20"/>
                <w:sz w:val="14"/>
              </w:rPr>
              <w:t>le</w:t>
            </w:r>
            <w:r>
              <w:rPr>
                <w:color w:val="231F20"/>
                <w:spacing w:val="-4"/>
                <w:sz w:val="14"/>
              </w:rPr>
              <w:t> </w:t>
            </w:r>
            <w:r>
              <w:rPr>
                <w:color w:val="231F20"/>
                <w:sz w:val="14"/>
              </w:rPr>
              <w:t>résoudre</w:t>
            </w:r>
            <w:r>
              <w:rPr>
                <w:color w:val="231F20"/>
                <w:spacing w:val="-4"/>
                <w:sz w:val="14"/>
              </w:rPr>
              <w:t> </w:t>
            </w:r>
            <w:r>
              <w:rPr>
                <w:color w:val="231F20"/>
                <w:sz w:val="14"/>
              </w:rPr>
              <w:t>rapidement?</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621" w:hRule="atLeast"/>
        </w:trPr>
        <w:tc>
          <w:tcPr>
            <w:tcW w:w="4786" w:type="dxa"/>
            <w:tcBorders>
              <w:left w:val="nil"/>
              <w:right w:val="nil"/>
            </w:tcBorders>
          </w:tcPr>
          <w:p>
            <w:pPr>
              <w:pStyle w:val="TableParagraph"/>
              <w:spacing w:line="268" w:lineRule="auto" w:before="55"/>
              <w:ind w:left="480" w:right="529" w:hanging="290"/>
              <w:rPr>
                <w:sz w:val="14"/>
              </w:rPr>
            </w:pPr>
            <w:r>
              <w:rPr>
                <w:b/>
                <w:color w:val="231F20"/>
                <w:sz w:val="14"/>
              </w:rPr>
              <w:t>5.</w:t>
            </w:r>
            <w:r>
              <w:rPr>
                <w:b/>
                <w:color w:val="231F20"/>
                <w:spacing w:val="80"/>
                <w:w w:val="150"/>
                <w:sz w:val="14"/>
              </w:rPr>
              <w:t> </w:t>
            </w:r>
            <w:r>
              <w:rPr>
                <w:color w:val="231F20"/>
                <w:sz w:val="14"/>
              </w:rPr>
              <w:t>Dans</w:t>
            </w:r>
            <w:r>
              <w:rPr>
                <w:color w:val="231F20"/>
                <w:spacing w:val="-3"/>
                <w:sz w:val="14"/>
              </w:rPr>
              <w:t> </w:t>
            </w:r>
            <w:r>
              <w:rPr>
                <w:color w:val="231F20"/>
                <w:sz w:val="14"/>
              </w:rPr>
              <w:t>l’ensemble,</w:t>
            </w:r>
            <w:r>
              <w:rPr>
                <w:color w:val="231F20"/>
                <w:spacing w:val="-3"/>
                <w:sz w:val="14"/>
              </w:rPr>
              <w:t> </w:t>
            </w:r>
            <w:r>
              <w:rPr>
                <w:color w:val="231F20"/>
                <w:sz w:val="14"/>
              </w:rPr>
              <w:t>avez-vous</w:t>
            </w:r>
            <w:r>
              <w:rPr>
                <w:color w:val="231F20"/>
                <w:spacing w:val="-3"/>
                <w:sz w:val="14"/>
              </w:rPr>
              <w:t> </w:t>
            </w:r>
            <w:r>
              <w:rPr>
                <w:color w:val="231F20"/>
                <w:sz w:val="14"/>
              </w:rPr>
              <w:t>le</w:t>
            </w:r>
            <w:r>
              <w:rPr>
                <w:color w:val="231F20"/>
                <w:spacing w:val="-3"/>
                <w:sz w:val="14"/>
              </w:rPr>
              <w:t> </w:t>
            </w:r>
            <w:r>
              <w:rPr>
                <w:color w:val="231F20"/>
                <w:sz w:val="14"/>
              </w:rPr>
              <w:t>sentiment</w:t>
            </w:r>
            <w:r>
              <w:rPr>
                <w:color w:val="231F20"/>
                <w:spacing w:val="-3"/>
                <w:sz w:val="14"/>
              </w:rPr>
              <w:t> </w:t>
            </w:r>
            <w:r>
              <w:rPr>
                <w:color w:val="231F20"/>
                <w:sz w:val="14"/>
              </w:rPr>
              <w:t>que</w:t>
            </w:r>
            <w:r>
              <w:rPr>
                <w:color w:val="231F20"/>
                <w:spacing w:val="-3"/>
                <w:sz w:val="14"/>
              </w:rPr>
              <w:t> </w:t>
            </w:r>
            <w:r>
              <w:rPr>
                <w:color w:val="231F20"/>
                <w:sz w:val="14"/>
              </w:rPr>
              <w:t>votre</w:t>
            </w:r>
            <w:r>
              <w:rPr>
                <w:color w:val="231F20"/>
                <w:spacing w:val="-3"/>
                <w:sz w:val="14"/>
              </w:rPr>
              <w:t> </w:t>
            </w:r>
            <w:r>
              <w:rPr>
                <w:color w:val="231F20"/>
                <w:sz w:val="14"/>
              </w:rPr>
              <w:t>conduite</w:t>
            </w:r>
            <w:r>
              <w:rPr>
                <w:color w:val="231F20"/>
                <w:spacing w:val="40"/>
                <w:sz w:val="14"/>
              </w:rPr>
              <w:t> </w:t>
            </w:r>
            <w:r>
              <w:rPr>
                <w:color w:val="231F20"/>
                <w:sz w:val="14"/>
              </w:rPr>
              <w:t>et vos comportements au quotidien (travail et maison)</w:t>
            </w:r>
            <w:r>
              <w:rPr>
                <w:color w:val="231F20"/>
                <w:spacing w:val="40"/>
                <w:sz w:val="14"/>
              </w:rPr>
              <w:t> </w:t>
            </w:r>
            <w:r>
              <w:rPr>
                <w:color w:val="231F20"/>
                <w:sz w:val="14"/>
              </w:rPr>
              <w:t>correspondent à vos valeurs</w:t>
            </w:r>
            <w:r>
              <w:rPr>
                <w:color w:val="231F20"/>
                <w:spacing w:val="-18"/>
                <w:sz w:val="14"/>
              </w:rPr>
              <w:t> </w:t>
            </w:r>
            <w:r>
              <w:rPr>
                <w:color w:val="231F20"/>
                <w:sz w:val="14"/>
              </w:rPr>
              <w:t>?</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4786" w:type="dxa"/>
            <w:tcBorders>
              <w:left w:val="nil"/>
              <w:right w:val="nil"/>
            </w:tcBorders>
          </w:tcPr>
          <w:p>
            <w:pPr>
              <w:pStyle w:val="TableParagraph"/>
              <w:spacing w:line="268" w:lineRule="auto" w:before="55"/>
              <w:ind w:left="480" w:right="147" w:hanging="290"/>
              <w:rPr>
                <w:sz w:val="14"/>
              </w:rPr>
            </w:pPr>
            <w:r>
              <w:rPr>
                <w:b/>
                <w:color w:val="231F20"/>
                <w:sz w:val="14"/>
              </w:rPr>
              <w:t>6.</w:t>
            </w:r>
            <w:r>
              <w:rPr>
                <w:b/>
                <w:color w:val="231F20"/>
                <w:spacing w:val="80"/>
                <w:w w:val="150"/>
                <w:sz w:val="14"/>
              </w:rPr>
              <w:t> </w:t>
            </w:r>
            <w:r>
              <w:rPr>
                <w:color w:val="231F20"/>
                <w:sz w:val="14"/>
              </w:rPr>
              <w:t>Vos</w:t>
            </w:r>
            <w:r>
              <w:rPr>
                <w:color w:val="231F20"/>
                <w:spacing w:val="-5"/>
                <w:sz w:val="14"/>
              </w:rPr>
              <w:t> </w:t>
            </w:r>
            <w:r>
              <w:rPr>
                <w:color w:val="231F20"/>
                <w:sz w:val="14"/>
              </w:rPr>
              <w:t>valeurs</w:t>
            </w:r>
            <w:r>
              <w:rPr>
                <w:color w:val="231F20"/>
                <w:spacing w:val="-5"/>
                <w:sz w:val="14"/>
              </w:rPr>
              <w:t> </w:t>
            </w:r>
            <w:r>
              <w:rPr>
                <w:color w:val="231F20"/>
                <w:sz w:val="14"/>
              </w:rPr>
              <w:t>fondamentales</w:t>
            </w:r>
            <w:r>
              <w:rPr>
                <w:color w:val="231F20"/>
                <w:spacing w:val="-5"/>
                <w:sz w:val="14"/>
              </w:rPr>
              <w:t> </w:t>
            </w:r>
            <w:r>
              <w:rPr>
                <w:color w:val="231F20"/>
                <w:sz w:val="14"/>
              </w:rPr>
              <w:t>vous</w:t>
            </w:r>
            <w:r>
              <w:rPr>
                <w:color w:val="231F20"/>
                <w:spacing w:val="-5"/>
                <w:sz w:val="14"/>
              </w:rPr>
              <w:t> </w:t>
            </w:r>
            <w:r>
              <w:rPr>
                <w:color w:val="231F20"/>
                <w:sz w:val="14"/>
              </w:rPr>
              <w:t>servent-elles</w:t>
            </w:r>
            <w:r>
              <w:rPr>
                <w:color w:val="231F20"/>
                <w:spacing w:val="-5"/>
                <w:sz w:val="14"/>
              </w:rPr>
              <w:t> </w:t>
            </w:r>
            <w:r>
              <w:rPr>
                <w:color w:val="231F20"/>
                <w:sz w:val="14"/>
              </w:rPr>
              <w:t>de</w:t>
            </w:r>
            <w:r>
              <w:rPr>
                <w:color w:val="231F20"/>
                <w:spacing w:val="-5"/>
                <w:sz w:val="14"/>
              </w:rPr>
              <w:t> </w:t>
            </w:r>
            <w:r>
              <w:rPr>
                <w:color w:val="231F20"/>
                <w:sz w:val="14"/>
              </w:rPr>
              <w:t>la</w:t>
            </w:r>
            <w:r>
              <w:rPr>
                <w:color w:val="231F20"/>
                <w:spacing w:val="-5"/>
                <w:sz w:val="14"/>
              </w:rPr>
              <w:t> </w:t>
            </w:r>
            <w:r>
              <w:rPr>
                <w:color w:val="231F20"/>
                <w:sz w:val="14"/>
              </w:rPr>
              <w:t>même</w:t>
            </w:r>
            <w:r>
              <w:rPr>
                <w:color w:val="231F20"/>
                <w:spacing w:val="-5"/>
                <w:sz w:val="14"/>
              </w:rPr>
              <w:t> </w:t>
            </w:r>
            <w:r>
              <w:rPr>
                <w:color w:val="231F20"/>
                <w:sz w:val="14"/>
              </w:rPr>
              <w:t>manière</w:t>
            </w:r>
            <w:r>
              <w:rPr>
                <w:color w:val="231F20"/>
                <w:spacing w:val="40"/>
                <w:sz w:val="14"/>
              </w:rPr>
              <w:t> </w:t>
            </w:r>
            <w:r>
              <w:rPr>
                <w:color w:val="231F20"/>
                <w:sz w:val="14"/>
              </w:rPr>
              <w:t>à la maison et au travail?</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4786" w:type="dxa"/>
            <w:tcBorders>
              <w:left w:val="nil"/>
              <w:right w:val="nil"/>
            </w:tcBorders>
          </w:tcPr>
          <w:p>
            <w:pPr>
              <w:pStyle w:val="TableParagraph"/>
              <w:spacing w:line="268" w:lineRule="auto" w:before="55"/>
              <w:ind w:left="480" w:right="393" w:hanging="290"/>
              <w:rPr>
                <w:sz w:val="14"/>
              </w:rPr>
            </w:pPr>
            <w:r>
              <w:rPr>
                <w:b/>
                <w:color w:val="231F20"/>
                <w:sz w:val="14"/>
              </w:rPr>
              <w:t>7.</w:t>
            </w:r>
            <w:r>
              <w:rPr>
                <w:b/>
                <w:color w:val="231F20"/>
                <w:spacing w:val="80"/>
                <w:w w:val="150"/>
                <w:sz w:val="14"/>
              </w:rPr>
              <w:t> </w:t>
            </w:r>
            <w:r>
              <w:rPr>
                <w:color w:val="231F20"/>
                <w:sz w:val="14"/>
              </w:rPr>
              <w:t>Votre</w:t>
            </w:r>
            <w:r>
              <w:rPr>
                <w:color w:val="231F20"/>
                <w:spacing w:val="-2"/>
                <w:sz w:val="14"/>
              </w:rPr>
              <w:t> </w:t>
            </w:r>
            <w:r>
              <w:rPr>
                <w:color w:val="231F20"/>
                <w:sz w:val="14"/>
              </w:rPr>
              <w:t>comportement</w:t>
            </w:r>
            <w:r>
              <w:rPr>
                <w:color w:val="231F20"/>
                <w:spacing w:val="-2"/>
                <w:sz w:val="14"/>
              </w:rPr>
              <w:t> </w:t>
            </w:r>
            <w:r>
              <w:rPr>
                <w:color w:val="231F20"/>
                <w:sz w:val="14"/>
              </w:rPr>
              <w:t>en</w:t>
            </w:r>
            <w:r>
              <w:rPr>
                <w:color w:val="231F20"/>
                <w:spacing w:val="-2"/>
                <w:sz w:val="14"/>
              </w:rPr>
              <w:t> </w:t>
            </w:r>
            <w:r>
              <w:rPr>
                <w:color w:val="231F20"/>
                <w:sz w:val="14"/>
              </w:rPr>
              <w:t>période</w:t>
            </w:r>
            <w:r>
              <w:rPr>
                <w:color w:val="231F20"/>
                <w:spacing w:val="-2"/>
                <w:sz w:val="14"/>
              </w:rPr>
              <w:t> </w:t>
            </w:r>
            <w:r>
              <w:rPr>
                <w:color w:val="231F20"/>
                <w:sz w:val="14"/>
              </w:rPr>
              <w:t>de</w:t>
            </w:r>
            <w:r>
              <w:rPr>
                <w:color w:val="231F20"/>
                <w:spacing w:val="-2"/>
                <w:sz w:val="14"/>
              </w:rPr>
              <w:t> </w:t>
            </w:r>
            <w:r>
              <w:rPr>
                <w:color w:val="231F20"/>
                <w:sz w:val="14"/>
              </w:rPr>
              <w:t>crise</w:t>
            </w:r>
            <w:r>
              <w:rPr>
                <w:color w:val="231F20"/>
                <w:spacing w:val="-2"/>
                <w:sz w:val="14"/>
              </w:rPr>
              <w:t> </w:t>
            </w:r>
            <w:r>
              <w:rPr>
                <w:color w:val="231F20"/>
                <w:sz w:val="14"/>
              </w:rPr>
              <w:t>(comme</w:t>
            </w:r>
            <w:r>
              <w:rPr>
                <w:color w:val="231F20"/>
                <w:spacing w:val="-2"/>
                <w:sz w:val="14"/>
              </w:rPr>
              <w:t> </w:t>
            </w:r>
            <w:r>
              <w:rPr>
                <w:color w:val="231F20"/>
                <w:sz w:val="14"/>
              </w:rPr>
              <w:t>la</w:t>
            </w:r>
            <w:r>
              <w:rPr>
                <w:color w:val="231F20"/>
                <w:spacing w:val="-2"/>
                <w:sz w:val="14"/>
              </w:rPr>
              <w:t> </w:t>
            </w:r>
            <w:r>
              <w:rPr>
                <w:color w:val="231F20"/>
                <w:sz w:val="14"/>
              </w:rPr>
              <w:t>pandémie)</w:t>
            </w:r>
            <w:r>
              <w:rPr>
                <w:color w:val="231F20"/>
                <w:spacing w:val="40"/>
                <w:sz w:val="14"/>
              </w:rPr>
              <w:t> </w:t>
            </w:r>
            <w:r>
              <w:rPr>
                <w:color w:val="231F20"/>
                <w:sz w:val="14"/>
              </w:rPr>
              <w:t>est-il guidé par vos valeurs fondamentales?</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621" w:hRule="atLeast"/>
        </w:trPr>
        <w:tc>
          <w:tcPr>
            <w:tcW w:w="4786" w:type="dxa"/>
            <w:tcBorders>
              <w:left w:val="nil"/>
              <w:right w:val="nil"/>
            </w:tcBorders>
          </w:tcPr>
          <w:p>
            <w:pPr>
              <w:pStyle w:val="TableParagraph"/>
              <w:spacing w:line="268" w:lineRule="auto" w:before="55"/>
              <w:ind w:left="480" w:right="690" w:hanging="290"/>
              <w:rPr>
                <w:sz w:val="14"/>
              </w:rPr>
            </w:pPr>
            <w:r>
              <w:rPr>
                <w:b/>
                <w:color w:val="231F20"/>
                <w:sz w:val="14"/>
              </w:rPr>
              <w:t>8.</w:t>
            </w:r>
            <w:r>
              <w:rPr>
                <w:b/>
                <w:color w:val="231F20"/>
                <w:spacing w:val="80"/>
                <w:w w:val="150"/>
                <w:sz w:val="14"/>
              </w:rPr>
              <w:t> </w:t>
            </w:r>
            <w:r>
              <w:rPr>
                <w:color w:val="231F20"/>
                <w:sz w:val="14"/>
              </w:rPr>
              <w:t>Continuez-vous</w:t>
            </w:r>
            <w:r>
              <w:rPr>
                <w:color w:val="231F20"/>
                <w:spacing w:val="-6"/>
                <w:sz w:val="14"/>
              </w:rPr>
              <w:t> </w:t>
            </w:r>
            <w:r>
              <w:rPr>
                <w:color w:val="231F20"/>
                <w:sz w:val="14"/>
              </w:rPr>
              <w:t>à</w:t>
            </w:r>
            <w:r>
              <w:rPr>
                <w:color w:val="231F20"/>
                <w:spacing w:val="-6"/>
                <w:sz w:val="14"/>
              </w:rPr>
              <w:t> </w:t>
            </w:r>
            <w:r>
              <w:rPr>
                <w:color w:val="231F20"/>
                <w:sz w:val="14"/>
              </w:rPr>
              <w:t>changer</w:t>
            </w:r>
            <w:r>
              <w:rPr>
                <w:color w:val="231F20"/>
                <w:spacing w:val="-6"/>
                <w:sz w:val="14"/>
              </w:rPr>
              <w:t> </w:t>
            </w:r>
            <w:r>
              <w:rPr>
                <w:color w:val="231F20"/>
                <w:sz w:val="14"/>
              </w:rPr>
              <w:t>vos</w:t>
            </w:r>
            <w:r>
              <w:rPr>
                <w:color w:val="231F20"/>
                <w:spacing w:val="-6"/>
                <w:sz w:val="14"/>
              </w:rPr>
              <w:t> </w:t>
            </w:r>
            <w:r>
              <w:rPr>
                <w:color w:val="231F20"/>
                <w:sz w:val="14"/>
              </w:rPr>
              <w:t>valeurs</w:t>
            </w:r>
            <w:r>
              <w:rPr>
                <w:color w:val="231F20"/>
                <w:spacing w:val="-6"/>
                <w:sz w:val="14"/>
              </w:rPr>
              <w:t> </w:t>
            </w:r>
            <w:r>
              <w:rPr>
                <w:color w:val="231F20"/>
                <w:sz w:val="14"/>
              </w:rPr>
              <w:t>fondamentales</w:t>
            </w:r>
            <w:r>
              <w:rPr>
                <w:color w:val="231F20"/>
                <w:spacing w:val="-6"/>
                <w:sz w:val="14"/>
              </w:rPr>
              <w:t> </w:t>
            </w:r>
            <w:r>
              <w:rPr>
                <w:color w:val="231F20"/>
                <w:sz w:val="14"/>
              </w:rPr>
              <w:t>pour</w:t>
            </w:r>
            <w:r>
              <w:rPr>
                <w:color w:val="231F20"/>
                <w:spacing w:val="40"/>
                <w:sz w:val="14"/>
              </w:rPr>
              <w:t> </w:t>
            </w:r>
            <w:r>
              <w:rPr>
                <w:color w:val="231F20"/>
                <w:sz w:val="14"/>
              </w:rPr>
              <w:t>satisfaire votre entourage (votre partenaire, votre famille</w:t>
            </w:r>
            <w:r>
              <w:rPr>
                <w:color w:val="231F20"/>
                <w:spacing w:val="80"/>
                <w:sz w:val="14"/>
              </w:rPr>
              <w:t> </w:t>
            </w:r>
            <w:r>
              <w:rPr>
                <w:color w:val="231F20"/>
                <w:sz w:val="14"/>
              </w:rPr>
              <w:t>et vos proches)</w:t>
            </w:r>
            <w:r>
              <w:rPr>
                <w:color w:val="231F20"/>
                <w:spacing w:val="-20"/>
                <w:sz w:val="14"/>
              </w:rPr>
              <w:t> </w:t>
            </w:r>
            <w:r>
              <w:rPr>
                <w:color w:val="231F20"/>
                <w:sz w:val="14"/>
              </w:rPr>
              <w:t>?</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441" w:hRule="atLeast"/>
        </w:trPr>
        <w:tc>
          <w:tcPr>
            <w:tcW w:w="4786" w:type="dxa"/>
            <w:tcBorders>
              <w:left w:val="nil"/>
              <w:right w:val="nil"/>
            </w:tcBorders>
          </w:tcPr>
          <w:p>
            <w:pPr>
              <w:pStyle w:val="TableParagraph"/>
              <w:spacing w:line="268" w:lineRule="auto" w:before="55"/>
              <w:ind w:left="480" w:right="360" w:hanging="290"/>
              <w:rPr>
                <w:sz w:val="14"/>
              </w:rPr>
            </w:pPr>
            <w:r>
              <w:rPr>
                <w:b/>
                <w:color w:val="231F20"/>
                <w:sz w:val="14"/>
              </w:rPr>
              <w:t>9.</w:t>
            </w:r>
            <w:r>
              <w:rPr>
                <w:b/>
                <w:color w:val="231F20"/>
                <w:spacing w:val="80"/>
                <w:w w:val="150"/>
                <w:sz w:val="14"/>
              </w:rPr>
              <w:t> </w:t>
            </w:r>
            <w:r>
              <w:rPr>
                <w:color w:val="231F20"/>
                <w:sz w:val="14"/>
              </w:rPr>
              <w:t>Continuez-vous</w:t>
            </w:r>
            <w:r>
              <w:rPr>
                <w:color w:val="231F20"/>
                <w:spacing w:val="-6"/>
                <w:sz w:val="14"/>
              </w:rPr>
              <w:t> </w:t>
            </w:r>
            <w:r>
              <w:rPr>
                <w:color w:val="231F20"/>
                <w:sz w:val="14"/>
              </w:rPr>
              <w:t>à</w:t>
            </w:r>
            <w:r>
              <w:rPr>
                <w:color w:val="231F20"/>
                <w:spacing w:val="-6"/>
                <w:sz w:val="14"/>
              </w:rPr>
              <w:t> </w:t>
            </w:r>
            <w:r>
              <w:rPr>
                <w:color w:val="231F20"/>
                <w:sz w:val="14"/>
              </w:rPr>
              <w:t>changer</w:t>
            </w:r>
            <w:r>
              <w:rPr>
                <w:color w:val="231F20"/>
                <w:spacing w:val="-6"/>
                <w:sz w:val="14"/>
              </w:rPr>
              <w:t> </w:t>
            </w:r>
            <w:r>
              <w:rPr>
                <w:color w:val="231F20"/>
                <w:sz w:val="14"/>
              </w:rPr>
              <w:t>vos</w:t>
            </w:r>
            <w:r>
              <w:rPr>
                <w:color w:val="231F20"/>
                <w:spacing w:val="-6"/>
                <w:sz w:val="14"/>
              </w:rPr>
              <w:t> </w:t>
            </w:r>
            <w:r>
              <w:rPr>
                <w:color w:val="231F20"/>
                <w:sz w:val="14"/>
              </w:rPr>
              <w:t>valeurs</w:t>
            </w:r>
            <w:r>
              <w:rPr>
                <w:color w:val="231F20"/>
                <w:spacing w:val="-6"/>
                <w:sz w:val="14"/>
              </w:rPr>
              <w:t> </w:t>
            </w:r>
            <w:r>
              <w:rPr>
                <w:color w:val="231F20"/>
                <w:sz w:val="14"/>
              </w:rPr>
              <w:t>fondamentales</w:t>
            </w:r>
            <w:r>
              <w:rPr>
                <w:color w:val="231F20"/>
                <w:spacing w:val="-6"/>
                <w:sz w:val="14"/>
              </w:rPr>
              <w:t> </w:t>
            </w:r>
            <w:r>
              <w:rPr>
                <w:color w:val="231F20"/>
                <w:sz w:val="14"/>
              </w:rPr>
              <w:t>pour</w:t>
            </w:r>
            <w:r>
              <w:rPr>
                <w:color w:val="231F20"/>
                <w:spacing w:val="40"/>
                <w:sz w:val="14"/>
              </w:rPr>
              <w:t> </w:t>
            </w:r>
            <w:r>
              <w:rPr>
                <w:color w:val="231F20"/>
                <w:sz w:val="14"/>
              </w:rPr>
              <w:t>satisfaire vos patrons et vos collègues de travail?</w:t>
            </w:r>
          </w:p>
        </w:tc>
        <w:tc>
          <w:tcPr>
            <w:tcW w:w="480" w:type="dxa"/>
            <w:tcBorders>
              <w:top w:val="single" w:sz="4" w:space="0" w:color="FFFFFF"/>
              <w:left w:val="nil"/>
              <w:bottom w:val="single" w:sz="4" w:space="0" w:color="FFFFFF"/>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pPr>
              <w:pStyle w:val="TableParagraph"/>
              <w:rPr>
                <w:rFonts w:ascii="Times New Roman"/>
                <w:sz w:val="14"/>
              </w:rPr>
            </w:pPr>
          </w:p>
        </w:tc>
      </w:tr>
      <w:tr>
        <w:trPr>
          <w:trHeight w:val="624" w:hRule="atLeast"/>
        </w:trPr>
        <w:tc>
          <w:tcPr>
            <w:tcW w:w="4786" w:type="dxa"/>
            <w:tcBorders>
              <w:left w:val="nil"/>
              <w:bottom w:val="single" w:sz="2" w:space="0" w:color="231F20"/>
              <w:right w:val="nil"/>
            </w:tcBorders>
          </w:tcPr>
          <w:p>
            <w:pPr>
              <w:pStyle w:val="TableParagraph"/>
              <w:spacing w:line="268" w:lineRule="auto" w:before="55"/>
              <w:ind w:left="480" w:right="416" w:hanging="381"/>
              <w:rPr>
                <w:sz w:val="14"/>
              </w:rPr>
            </w:pPr>
            <w:r>
              <w:rPr>
                <w:b/>
                <w:color w:val="231F20"/>
                <w:sz w:val="14"/>
              </w:rPr>
              <w:t>10.</w:t>
            </w:r>
            <w:r>
              <w:rPr>
                <w:b/>
                <w:color w:val="231F20"/>
                <w:spacing w:val="80"/>
                <w:w w:val="150"/>
                <w:sz w:val="14"/>
              </w:rPr>
              <w:t> </w:t>
            </w:r>
            <w:r>
              <w:rPr>
                <w:color w:val="231F20"/>
                <w:sz w:val="14"/>
              </w:rPr>
              <w:t>Seriez-vous</w:t>
            </w:r>
            <w:r>
              <w:rPr>
                <w:color w:val="231F20"/>
                <w:spacing w:val="-5"/>
                <w:sz w:val="14"/>
              </w:rPr>
              <w:t> </w:t>
            </w:r>
            <w:r>
              <w:rPr>
                <w:color w:val="231F20"/>
                <w:sz w:val="14"/>
              </w:rPr>
              <w:t>d’accord</w:t>
            </w:r>
            <w:r>
              <w:rPr>
                <w:color w:val="231F20"/>
                <w:spacing w:val="-5"/>
                <w:sz w:val="14"/>
              </w:rPr>
              <w:t> </w:t>
            </w:r>
            <w:r>
              <w:rPr>
                <w:color w:val="231F20"/>
                <w:sz w:val="14"/>
              </w:rPr>
              <w:t>pour</w:t>
            </w:r>
            <w:r>
              <w:rPr>
                <w:color w:val="231F20"/>
                <w:spacing w:val="-5"/>
                <w:sz w:val="14"/>
              </w:rPr>
              <w:t> </w:t>
            </w:r>
            <w:r>
              <w:rPr>
                <w:color w:val="231F20"/>
                <w:sz w:val="14"/>
              </w:rPr>
              <w:t>dire</w:t>
            </w:r>
            <w:r>
              <w:rPr>
                <w:color w:val="231F20"/>
                <w:spacing w:val="-5"/>
                <w:sz w:val="14"/>
              </w:rPr>
              <w:t> </w:t>
            </w:r>
            <w:r>
              <w:rPr>
                <w:color w:val="231F20"/>
                <w:sz w:val="14"/>
              </w:rPr>
              <w:t>que</w:t>
            </w:r>
            <w:r>
              <w:rPr>
                <w:color w:val="231F20"/>
                <w:spacing w:val="-5"/>
                <w:sz w:val="14"/>
              </w:rPr>
              <w:t> </w:t>
            </w:r>
            <w:r>
              <w:rPr>
                <w:color w:val="231F20"/>
                <w:sz w:val="14"/>
              </w:rPr>
              <w:t>vos</w:t>
            </w:r>
            <w:r>
              <w:rPr>
                <w:color w:val="231F20"/>
                <w:spacing w:val="-5"/>
                <w:sz w:val="14"/>
              </w:rPr>
              <w:t> </w:t>
            </w:r>
            <w:r>
              <w:rPr>
                <w:color w:val="231F20"/>
                <w:sz w:val="14"/>
              </w:rPr>
              <w:t>valeurs</w:t>
            </w:r>
            <w:r>
              <w:rPr>
                <w:color w:val="231F20"/>
                <w:spacing w:val="-5"/>
                <w:sz w:val="14"/>
              </w:rPr>
              <w:t> </w:t>
            </w:r>
            <w:r>
              <w:rPr>
                <w:color w:val="231F20"/>
                <w:sz w:val="14"/>
              </w:rPr>
              <w:t>fondamentales</w:t>
            </w:r>
            <w:r>
              <w:rPr>
                <w:color w:val="231F20"/>
                <w:spacing w:val="40"/>
                <w:sz w:val="14"/>
              </w:rPr>
              <w:t> </w:t>
            </w:r>
            <w:r>
              <w:rPr>
                <w:color w:val="231F20"/>
                <w:sz w:val="14"/>
              </w:rPr>
              <w:t>et la conduite correspondante sont vraiment significatives et</w:t>
            </w:r>
            <w:r>
              <w:rPr>
                <w:color w:val="231F20"/>
                <w:spacing w:val="40"/>
                <w:sz w:val="14"/>
              </w:rPr>
              <w:t> </w:t>
            </w:r>
            <w:r>
              <w:rPr>
                <w:color w:val="231F20"/>
                <w:sz w:val="14"/>
              </w:rPr>
              <w:t>donnent du sens à votre vie?</w:t>
            </w:r>
          </w:p>
        </w:tc>
        <w:tc>
          <w:tcPr>
            <w:tcW w:w="480" w:type="dxa"/>
            <w:tcBorders>
              <w:top w:val="single" w:sz="4" w:space="0" w:color="FFFFFF"/>
              <w:left w:val="nil"/>
              <w:bottom w:val="single" w:sz="2" w:space="0" w:color="231F20"/>
              <w:right w:val="single" w:sz="4" w:space="0" w:color="FFFFFF"/>
            </w:tcBorders>
            <w:shd w:val="clear" w:color="auto" w:fill="E2E3E4"/>
          </w:tcPr>
          <w:p>
            <w:pPr>
              <w:pStyle w:val="TableParagraph"/>
              <w:rPr>
                <w:rFonts w:ascii="Times New Roman"/>
                <w:sz w:val="14"/>
              </w:rPr>
            </w:pPr>
          </w:p>
        </w:tc>
        <w:tc>
          <w:tcPr>
            <w:tcW w:w="480" w:type="dxa"/>
            <w:tcBorders>
              <w:top w:val="single" w:sz="4" w:space="0" w:color="FFFFFF"/>
              <w:left w:val="single" w:sz="4" w:space="0" w:color="FFFFFF"/>
              <w:bottom w:val="single" w:sz="2" w:space="0" w:color="231F20"/>
              <w:right w:val="nil"/>
            </w:tcBorders>
            <w:shd w:val="clear" w:color="auto" w:fill="E2E3E4"/>
          </w:tcPr>
          <w:p>
            <w:pPr>
              <w:pStyle w:val="TableParagraph"/>
              <w:rPr>
                <w:rFonts w:ascii="Times New Roman"/>
                <w:sz w:val="14"/>
              </w:rPr>
            </w:pPr>
          </w:p>
        </w:tc>
      </w:tr>
    </w:tbl>
    <w:p>
      <w:pPr>
        <w:spacing w:line="268" w:lineRule="auto" w:before="62"/>
        <w:ind w:left="829" w:right="601" w:firstLine="0"/>
        <w:jc w:val="left"/>
        <w:rPr>
          <w:rFonts w:ascii="Arial" w:hAnsi="Arial"/>
          <w:sz w:val="14"/>
        </w:rPr>
      </w:pPr>
      <w:r>
        <w:rPr/>
        <w:pict>
          <v:group style="position:absolute;margin-left:62.5pt;margin-top:31.513721pt;width:287.3pt;height:.25pt;mso-position-horizontal-relative:page;mso-position-vertical-relative:paragraph;z-index:-15610880;mso-wrap-distance-left:0;mso-wrap-distance-right:0" id="docshapegroup1179" coordorigin="1250,630" coordsize="5746,5">
            <v:line style="position:absolute" from="1250,633" to="1650,633" stroked="true" strokeweight=".25pt" strokecolor="#231f20">
              <v:stroke dashstyle="solid"/>
            </v:line>
            <v:line style="position:absolute" from="1650,633" to="6036,633" stroked="true" strokeweight=".25pt" strokecolor="#231f20">
              <v:stroke dashstyle="solid"/>
            </v:line>
            <v:line style="position:absolute" from="6036,633" to="6516,633" stroked="true" strokeweight=".25pt" strokecolor="#231f20">
              <v:stroke dashstyle="solid"/>
            </v:line>
            <v:line style="position:absolute" from="6516,633" to="6996,633" stroked="true" strokeweight=".25pt" strokecolor="#231f20">
              <v:stroke dashstyle="solid"/>
            </v:line>
            <w10:wrap type="topAndBottom"/>
          </v:group>
        </w:pict>
      </w:r>
      <w:r>
        <w:rPr>
          <w:rFonts w:ascii="Arial" w:hAnsi="Arial"/>
          <w:color w:val="231F20"/>
          <w:sz w:val="14"/>
        </w:rPr>
        <w:t>L’échelle</w:t>
      </w:r>
      <w:r>
        <w:rPr>
          <w:rFonts w:ascii="Arial" w:hAnsi="Arial"/>
          <w:color w:val="231F20"/>
          <w:spacing w:val="-8"/>
          <w:sz w:val="14"/>
        </w:rPr>
        <w:t> </w:t>
      </w:r>
      <w:r>
        <w:rPr>
          <w:rFonts w:ascii="Arial" w:hAnsi="Arial"/>
          <w:color w:val="231F20"/>
          <w:sz w:val="14"/>
        </w:rPr>
        <w:t>va</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1</w:t>
      </w:r>
      <w:r>
        <w:rPr>
          <w:rFonts w:ascii="Arial" w:hAnsi="Arial"/>
          <w:color w:val="231F20"/>
          <w:spacing w:val="-7"/>
          <w:sz w:val="14"/>
        </w:rPr>
        <w:t> </w:t>
      </w:r>
      <w:r>
        <w:rPr>
          <w:rFonts w:ascii="Arial" w:hAnsi="Arial"/>
          <w:color w:val="231F20"/>
          <w:sz w:val="14"/>
        </w:rPr>
        <w:t>à</w:t>
      </w:r>
      <w:r>
        <w:rPr>
          <w:rFonts w:ascii="Arial" w:hAnsi="Arial"/>
          <w:color w:val="231F20"/>
          <w:spacing w:val="-7"/>
          <w:sz w:val="14"/>
        </w:rPr>
        <w:t> </w:t>
      </w:r>
      <w:r>
        <w:rPr>
          <w:rFonts w:ascii="Arial" w:hAnsi="Arial"/>
          <w:color w:val="231F20"/>
          <w:sz w:val="14"/>
        </w:rPr>
        <w:t>10.</w:t>
      </w:r>
      <w:r>
        <w:rPr>
          <w:rFonts w:ascii="Arial" w:hAnsi="Arial"/>
          <w:color w:val="231F20"/>
          <w:spacing w:val="-7"/>
          <w:sz w:val="14"/>
        </w:rPr>
        <w:t> </w:t>
      </w:r>
      <w:r>
        <w:rPr>
          <w:rFonts w:ascii="Arial" w:hAnsi="Arial"/>
          <w:color w:val="231F20"/>
          <w:sz w:val="14"/>
        </w:rPr>
        <w:t>Si</w:t>
      </w:r>
      <w:r>
        <w:rPr>
          <w:rFonts w:ascii="Arial" w:hAnsi="Arial"/>
          <w:color w:val="231F20"/>
          <w:spacing w:val="-7"/>
          <w:sz w:val="14"/>
        </w:rPr>
        <w:t> </w:t>
      </w:r>
      <w:r>
        <w:rPr>
          <w:rFonts w:ascii="Arial" w:hAnsi="Arial"/>
          <w:color w:val="231F20"/>
          <w:sz w:val="14"/>
        </w:rPr>
        <w:t>vous</w:t>
      </w:r>
      <w:r>
        <w:rPr>
          <w:rFonts w:ascii="Arial" w:hAnsi="Arial"/>
          <w:color w:val="231F20"/>
          <w:spacing w:val="-7"/>
          <w:sz w:val="14"/>
        </w:rPr>
        <w:t> </w:t>
      </w:r>
      <w:r>
        <w:rPr>
          <w:rFonts w:ascii="Arial" w:hAnsi="Arial"/>
          <w:color w:val="231F20"/>
          <w:sz w:val="14"/>
        </w:rPr>
        <w:t>avez</w:t>
      </w:r>
      <w:r>
        <w:rPr>
          <w:rFonts w:ascii="Arial" w:hAnsi="Arial"/>
          <w:color w:val="231F20"/>
          <w:spacing w:val="-7"/>
          <w:sz w:val="14"/>
        </w:rPr>
        <w:t> </w:t>
      </w:r>
      <w:r>
        <w:rPr>
          <w:rFonts w:ascii="Arial" w:hAnsi="Arial"/>
          <w:color w:val="231F20"/>
          <w:sz w:val="14"/>
        </w:rPr>
        <w:t>accumulé</w:t>
      </w:r>
      <w:r>
        <w:rPr>
          <w:rFonts w:ascii="Arial" w:hAnsi="Arial"/>
          <w:color w:val="231F20"/>
          <w:spacing w:val="-7"/>
          <w:sz w:val="14"/>
        </w:rPr>
        <w:t> </w:t>
      </w:r>
      <w:r>
        <w:rPr>
          <w:rFonts w:ascii="Arial" w:hAnsi="Arial"/>
          <w:color w:val="231F20"/>
          <w:sz w:val="14"/>
        </w:rPr>
        <w:t>un</w:t>
      </w:r>
      <w:r>
        <w:rPr>
          <w:rFonts w:ascii="Arial" w:hAnsi="Arial"/>
          <w:color w:val="231F20"/>
          <w:spacing w:val="-7"/>
          <w:sz w:val="14"/>
        </w:rPr>
        <w:t> </w:t>
      </w:r>
      <w:r>
        <w:rPr>
          <w:rFonts w:ascii="Arial" w:hAnsi="Arial"/>
          <w:color w:val="231F20"/>
          <w:sz w:val="14"/>
        </w:rPr>
        <w:t>total</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6</w:t>
      </w:r>
      <w:r>
        <w:rPr>
          <w:rFonts w:ascii="Arial" w:hAnsi="Arial"/>
          <w:color w:val="231F20"/>
          <w:spacing w:val="-7"/>
          <w:sz w:val="14"/>
        </w:rPr>
        <w:t> </w:t>
      </w:r>
      <w:r>
        <w:rPr>
          <w:rFonts w:ascii="Arial" w:hAnsi="Arial"/>
          <w:color w:val="231F20"/>
          <w:sz w:val="14"/>
        </w:rPr>
        <w:t>et</w:t>
      </w:r>
      <w:r>
        <w:rPr>
          <w:rFonts w:ascii="Arial" w:hAnsi="Arial"/>
          <w:color w:val="231F20"/>
          <w:spacing w:val="-7"/>
          <w:sz w:val="14"/>
        </w:rPr>
        <w:t> </w:t>
      </w:r>
      <w:r>
        <w:rPr>
          <w:rFonts w:ascii="Arial" w:hAnsi="Arial"/>
          <w:color w:val="231F20"/>
          <w:sz w:val="14"/>
        </w:rPr>
        <w:t>plus</w:t>
      </w:r>
      <w:r>
        <w:rPr>
          <w:rFonts w:ascii="Arial" w:hAnsi="Arial"/>
          <w:color w:val="231F20"/>
          <w:spacing w:val="-7"/>
          <w:sz w:val="14"/>
        </w:rPr>
        <w:t> </w:t>
      </w:r>
      <w:r>
        <w:rPr>
          <w:rFonts w:ascii="Arial" w:hAnsi="Arial"/>
          <w:color w:val="231F20"/>
          <w:sz w:val="14"/>
        </w:rPr>
        <w:t>de</w:t>
      </w:r>
      <w:r>
        <w:rPr>
          <w:rFonts w:ascii="Arial" w:hAnsi="Arial"/>
          <w:color w:val="231F20"/>
          <w:spacing w:val="-7"/>
          <w:sz w:val="14"/>
        </w:rPr>
        <w:t> </w:t>
      </w:r>
      <w:r>
        <w:rPr>
          <w:rFonts w:ascii="Arial" w:hAnsi="Arial"/>
          <w:color w:val="231F20"/>
          <w:sz w:val="14"/>
        </w:rPr>
        <w:t>«</w:t>
      </w:r>
      <w:r>
        <w:rPr>
          <w:rFonts w:ascii="Arial" w:hAnsi="Arial"/>
          <w:color w:val="231F20"/>
          <w:spacing w:val="-26"/>
          <w:sz w:val="14"/>
        </w:rPr>
        <w:t> </w:t>
      </w:r>
      <w:r>
        <w:rPr>
          <w:rFonts w:ascii="Arial" w:hAnsi="Arial"/>
          <w:color w:val="231F20"/>
          <w:sz w:val="14"/>
        </w:rPr>
        <w:t>non»,</w:t>
      </w:r>
      <w:r>
        <w:rPr>
          <w:rFonts w:ascii="Arial" w:hAnsi="Arial"/>
          <w:color w:val="231F20"/>
          <w:spacing w:val="-7"/>
          <w:sz w:val="14"/>
        </w:rPr>
        <w:t> </w:t>
      </w:r>
      <w:r>
        <w:rPr>
          <w:rFonts w:ascii="Arial" w:hAnsi="Arial"/>
          <w:color w:val="231F20"/>
          <w:sz w:val="14"/>
        </w:rPr>
        <w:t>cela</w:t>
      </w:r>
      <w:r>
        <w:rPr>
          <w:rFonts w:ascii="Arial" w:hAnsi="Arial"/>
          <w:color w:val="231F20"/>
          <w:spacing w:val="-7"/>
          <w:sz w:val="14"/>
        </w:rPr>
        <w:t> </w:t>
      </w:r>
      <w:r>
        <w:rPr>
          <w:rFonts w:ascii="Arial" w:hAnsi="Arial"/>
          <w:color w:val="231F20"/>
          <w:sz w:val="14"/>
        </w:rPr>
        <w:t>suggère</w:t>
      </w:r>
      <w:r>
        <w:rPr>
          <w:rFonts w:ascii="Arial" w:hAnsi="Arial"/>
          <w:color w:val="231F20"/>
          <w:spacing w:val="40"/>
          <w:sz w:val="14"/>
        </w:rPr>
        <w:t> </w:t>
      </w:r>
      <w:r>
        <w:rPr>
          <w:rFonts w:ascii="Arial" w:hAnsi="Arial"/>
          <w:color w:val="231F20"/>
          <w:sz w:val="14"/>
        </w:rPr>
        <w:t>un niveau relativement élevé d’incongruence des valeurs (modifié à partir des concepts</w:t>
      </w:r>
      <w:r>
        <w:rPr>
          <w:rFonts w:ascii="Arial" w:hAnsi="Arial"/>
          <w:color w:val="231F20"/>
          <w:spacing w:val="40"/>
          <w:sz w:val="14"/>
        </w:rPr>
        <w:t> </w:t>
      </w:r>
      <w:r>
        <w:rPr>
          <w:rFonts w:ascii="Arial" w:hAnsi="Arial"/>
          <w:color w:val="231F20"/>
          <w:sz w:val="14"/>
        </w:rPr>
        <w:t>développés par Dolan, Garcia et Richley [2006] et Dolan [2011, 2020]).</w:t>
      </w:r>
    </w:p>
    <w:p>
      <w:pPr>
        <w:pStyle w:val="BodyText"/>
        <w:rPr>
          <w:rFonts w:ascii="Arial"/>
          <w:sz w:val="20"/>
        </w:rPr>
      </w:pPr>
    </w:p>
    <w:p>
      <w:pPr>
        <w:pStyle w:val="BodyText"/>
        <w:spacing w:before="1"/>
        <w:rPr>
          <w:rFonts w:ascii="Arial"/>
          <w:sz w:val="28"/>
        </w:rPr>
      </w:pPr>
    </w:p>
    <w:p>
      <w:pPr>
        <w:pStyle w:val="Heading2"/>
        <w:ind w:left="830"/>
      </w:pPr>
      <w:r>
        <w:rPr>
          <w:color w:val="231F20"/>
          <w:spacing w:val="-2"/>
        </w:rPr>
        <w:t>Conclusion</w:t>
      </w:r>
    </w:p>
    <w:p>
      <w:pPr>
        <w:pStyle w:val="BodyText"/>
        <w:spacing w:before="9"/>
        <w:rPr>
          <w:rFonts w:ascii="Arial"/>
          <w:b/>
          <w:sz w:val="25"/>
        </w:rPr>
      </w:pPr>
    </w:p>
    <w:p>
      <w:pPr>
        <w:pStyle w:val="BodyText"/>
        <w:spacing w:line="307" w:lineRule="auto"/>
        <w:ind w:left="830" w:right="492"/>
        <w:jc w:val="both"/>
      </w:pPr>
      <w:r>
        <w:rPr>
          <w:color w:val="231F20"/>
          <w:w w:val="120"/>
        </w:rPr>
        <w:t>Dans</w:t>
      </w:r>
      <w:r>
        <w:rPr>
          <w:color w:val="231F20"/>
          <w:spacing w:val="-11"/>
          <w:w w:val="120"/>
        </w:rPr>
        <w:t> </w:t>
      </w:r>
      <w:r>
        <w:rPr>
          <w:color w:val="231F20"/>
          <w:w w:val="120"/>
        </w:rPr>
        <w:t>les</w:t>
      </w:r>
      <w:r>
        <w:rPr>
          <w:color w:val="231F20"/>
          <w:spacing w:val="-11"/>
          <w:w w:val="120"/>
        </w:rPr>
        <w:t> </w:t>
      </w:r>
      <w:r>
        <w:rPr>
          <w:color w:val="231F20"/>
          <w:w w:val="120"/>
        </w:rPr>
        <w:t>hôpitaux</w:t>
      </w:r>
      <w:r>
        <w:rPr>
          <w:color w:val="231F20"/>
          <w:spacing w:val="-11"/>
          <w:w w:val="120"/>
        </w:rPr>
        <w:t> </w:t>
      </w:r>
      <w:r>
        <w:rPr>
          <w:color w:val="231F20"/>
          <w:w w:val="120"/>
        </w:rPr>
        <w:t>du</w:t>
      </w:r>
      <w:r>
        <w:rPr>
          <w:color w:val="231F20"/>
          <w:spacing w:val="-11"/>
          <w:w w:val="120"/>
        </w:rPr>
        <w:t> </w:t>
      </w:r>
      <w:r>
        <w:rPr>
          <w:color w:val="231F20"/>
          <w:w w:val="120"/>
        </w:rPr>
        <w:t>monde</w:t>
      </w:r>
      <w:r>
        <w:rPr>
          <w:color w:val="231F20"/>
          <w:spacing w:val="-11"/>
          <w:w w:val="120"/>
        </w:rPr>
        <w:t> </w:t>
      </w:r>
      <w:r>
        <w:rPr>
          <w:color w:val="231F20"/>
          <w:w w:val="120"/>
        </w:rPr>
        <w:t>entier,</w:t>
      </w:r>
      <w:r>
        <w:rPr>
          <w:color w:val="231F20"/>
          <w:spacing w:val="-11"/>
          <w:w w:val="120"/>
        </w:rPr>
        <w:t> </w:t>
      </w:r>
      <w:r>
        <w:rPr>
          <w:color w:val="231F20"/>
          <w:w w:val="120"/>
        </w:rPr>
        <w:t>médecins,</w:t>
      </w:r>
      <w:r>
        <w:rPr>
          <w:color w:val="231F20"/>
          <w:spacing w:val="-11"/>
          <w:w w:val="120"/>
        </w:rPr>
        <w:t> </w:t>
      </w:r>
      <w:r>
        <w:rPr>
          <w:color w:val="231F20"/>
          <w:w w:val="120"/>
        </w:rPr>
        <w:t>infirmières</w:t>
      </w:r>
      <w:r>
        <w:rPr>
          <w:color w:val="231F20"/>
          <w:spacing w:val="-11"/>
          <w:w w:val="120"/>
        </w:rPr>
        <w:t> </w:t>
      </w:r>
      <w:r>
        <w:rPr>
          <w:color w:val="231F20"/>
          <w:w w:val="120"/>
        </w:rPr>
        <w:t>et</w:t>
      </w:r>
      <w:r>
        <w:rPr>
          <w:color w:val="231F20"/>
          <w:spacing w:val="-11"/>
          <w:w w:val="120"/>
        </w:rPr>
        <w:t> </w:t>
      </w:r>
      <w:r>
        <w:rPr>
          <w:color w:val="231F20"/>
          <w:w w:val="120"/>
        </w:rPr>
        <w:t>autres</w:t>
      </w:r>
      <w:r>
        <w:rPr>
          <w:color w:val="231F20"/>
          <w:spacing w:val="-11"/>
          <w:w w:val="120"/>
        </w:rPr>
        <w:t> </w:t>
      </w:r>
      <w:r>
        <w:rPr>
          <w:color w:val="231F20"/>
          <w:w w:val="120"/>
        </w:rPr>
        <w:t>per- sonnels</w:t>
      </w:r>
      <w:r>
        <w:rPr>
          <w:color w:val="231F20"/>
          <w:spacing w:val="-12"/>
          <w:w w:val="120"/>
        </w:rPr>
        <w:t> </w:t>
      </w:r>
      <w:r>
        <w:rPr>
          <w:color w:val="231F20"/>
          <w:w w:val="120"/>
        </w:rPr>
        <w:t>de</w:t>
      </w:r>
      <w:r>
        <w:rPr>
          <w:color w:val="231F20"/>
          <w:spacing w:val="-12"/>
          <w:w w:val="120"/>
        </w:rPr>
        <w:t> </w:t>
      </w:r>
      <w:r>
        <w:rPr>
          <w:color w:val="231F20"/>
          <w:w w:val="120"/>
        </w:rPr>
        <w:t>la</w:t>
      </w:r>
      <w:r>
        <w:rPr>
          <w:color w:val="231F20"/>
          <w:spacing w:val="-12"/>
          <w:w w:val="120"/>
        </w:rPr>
        <w:t> </w:t>
      </w:r>
      <w:r>
        <w:rPr>
          <w:color w:val="231F20"/>
          <w:w w:val="120"/>
        </w:rPr>
        <w:t>santé</w:t>
      </w:r>
      <w:r>
        <w:rPr>
          <w:color w:val="231F20"/>
          <w:spacing w:val="-12"/>
          <w:w w:val="120"/>
        </w:rPr>
        <w:t> </w:t>
      </w:r>
      <w:r>
        <w:rPr>
          <w:color w:val="231F20"/>
          <w:w w:val="120"/>
        </w:rPr>
        <w:t>ont</w:t>
      </w:r>
      <w:r>
        <w:rPr>
          <w:color w:val="231F20"/>
          <w:spacing w:val="-12"/>
          <w:w w:val="120"/>
        </w:rPr>
        <w:t> </w:t>
      </w:r>
      <w:r>
        <w:rPr>
          <w:color w:val="231F20"/>
          <w:w w:val="120"/>
        </w:rPr>
        <w:t>eu</w:t>
      </w:r>
      <w:r>
        <w:rPr>
          <w:color w:val="231F20"/>
          <w:spacing w:val="-12"/>
          <w:w w:val="120"/>
        </w:rPr>
        <w:t> </w:t>
      </w:r>
      <w:r>
        <w:rPr>
          <w:color w:val="231F20"/>
          <w:w w:val="120"/>
        </w:rPr>
        <w:t>à</w:t>
      </w:r>
      <w:r>
        <w:rPr>
          <w:color w:val="231F20"/>
          <w:spacing w:val="-12"/>
          <w:w w:val="120"/>
        </w:rPr>
        <w:t> </w:t>
      </w:r>
      <w:r>
        <w:rPr>
          <w:color w:val="231F20"/>
          <w:w w:val="120"/>
        </w:rPr>
        <w:t>combattre</w:t>
      </w:r>
      <w:r>
        <w:rPr>
          <w:color w:val="231F20"/>
          <w:spacing w:val="-12"/>
          <w:w w:val="120"/>
        </w:rPr>
        <w:t> </w:t>
      </w:r>
      <w:r>
        <w:rPr>
          <w:color w:val="231F20"/>
          <w:w w:val="120"/>
        </w:rPr>
        <w:t>un</w:t>
      </w:r>
      <w:r>
        <w:rPr>
          <w:color w:val="231F20"/>
          <w:spacing w:val="-12"/>
          <w:w w:val="120"/>
        </w:rPr>
        <w:t> </w:t>
      </w:r>
      <w:r>
        <w:rPr>
          <w:color w:val="231F20"/>
          <w:w w:val="120"/>
        </w:rPr>
        <w:t>ennemi</w:t>
      </w:r>
      <w:r>
        <w:rPr>
          <w:color w:val="231F20"/>
          <w:spacing w:val="-12"/>
          <w:w w:val="120"/>
        </w:rPr>
        <w:t> </w:t>
      </w:r>
      <w:r>
        <w:rPr>
          <w:color w:val="231F20"/>
          <w:w w:val="120"/>
        </w:rPr>
        <w:t>qui</w:t>
      </w:r>
      <w:r>
        <w:rPr>
          <w:color w:val="231F20"/>
          <w:spacing w:val="-12"/>
          <w:w w:val="120"/>
        </w:rPr>
        <w:t> </w:t>
      </w:r>
      <w:r>
        <w:rPr>
          <w:color w:val="231F20"/>
          <w:w w:val="120"/>
        </w:rPr>
        <w:t>a</w:t>
      </w:r>
      <w:r>
        <w:rPr>
          <w:color w:val="231F20"/>
          <w:spacing w:val="-12"/>
          <w:w w:val="120"/>
        </w:rPr>
        <w:t> </w:t>
      </w:r>
      <w:r>
        <w:rPr>
          <w:color w:val="231F20"/>
          <w:w w:val="120"/>
        </w:rPr>
        <w:t>tué</w:t>
      </w:r>
      <w:r>
        <w:rPr>
          <w:color w:val="231F20"/>
          <w:spacing w:val="-12"/>
          <w:w w:val="120"/>
        </w:rPr>
        <w:t> </w:t>
      </w:r>
      <w:r>
        <w:rPr>
          <w:color w:val="231F20"/>
          <w:w w:val="120"/>
        </w:rPr>
        <w:t>des</w:t>
      </w:r>
      <w:r>
        <w:rPr>
          <w:color w:val="231F20"/>
          <w:spacing w:val="-12"/>
          <w:w w:val="120"/>
        </w:rPr>
        <w:t> </w:t>
      </w:r>
      <w:r>
        <w:rPr>
          <w:color w:val="231F20"/>
          <w:w w:val="120"/>
        </w:rPr>
        <w:t>centaines de milliers de personnes. Et comme pour toute guerre, la lutte contre</w:t>
      </w:r>
      <w:r>
        <w:rPr>
          <w:color w:val="231F20"/>
          <w:spacing w:val="40"/>
          <w:w w:val="120"/>
        </w:rPr>
        <w:t> </w:t>
      </w:r>
      <w:r>
        <w:rPr>
          <w:color w:val="231F20"/>
          <w:w w:val="120"/>
        </w:rPr>
        <w:t>la COVID-19 entraînera non seulement des pertes directes, mais aura également un effet important sur l’état psychologique de bon nombre de</w:t>
      </w:r>
      <w:r>
        <w:rPr>
          <w:color w:val="231F20"/>
          <w:spacing w:val="-13"/>
          <w:w w:val="120"/>
        </w:rPr>
        <w:t> </w:t>
      </w:r>
      <w:r>
        <w:rPr>
          <w:color w:val="231F20"/>
          <w:w w:val="120"/>
        </w:rPr>
        <w:t>survivants.</w:t>
      </w:r>
    </w:p>
    <w:p>
      <w:pPr>
        <w:pStyle w:val="BodyText"/>
        <w:spacing w:line="307" w:lineRule="auto" w:before="79"/>
        <w:ind w:left="830" w:right="494" w:firstLine="250"/>
        <w:jc w:val="both"/>
      </w:pPr>
      <w:r>
        <w:rPr>
          <w:color w:val="231F20"/>
          <w:w w:val="120"/>
        </w:rPr>
        <w:t>Il</w:t>
      </w:r>
      <w:r>
        <w:rPr>
          <w:color w:val="231F20"/>
          <w:spacing w:val="-4"/>
          <w:w w:val="120"/>
        </w:rPr>
        <w:t> </w:t>
      </w:r>
      <w:r>
        <w:rPr>
          <w:color w:val="231F20"/>
          <w:w w:val="120"/>
        </w:rPr>
        <w:t>faudra</w:t>
      </w:r>
      <w:r>
        <w:rPr>
          <w:color w:val="231F20"/>
          <w:spacing w:val="-4"/>
          <w:w w:val="120"/>
        </w:rPr>
        <w:t> </w:t>
      </w:r>
      <w:r>
        <w:rPr>
          <w:color w:val="231F20"/>
          <w:w w:val="120"/>
        </w:rPr>
        <w:t>des</w:t>
      </w:r>
      <w:r>
        <w:rPr>
          <w:color w:val="231F20"/>
          <w:spacing w:val="-4"/>
          <w:w w:val="120"/>
        </w:rPr>
        <w:t> </w:t>
      </w:r>
      <w:r>
        <w:rPr>
          <w:color w:val="231F20"/>
          <w:w w:val="120"/>
        </w:rPr>
        <w:t>années</w:t>
      </w:r>
      <w:r>
        <w:rPr>
          <w:color w:val="231F20"/>
          <w:spacing w:val="-4"/>
          <w:w w:val="120"/>
        </w:rPr>
        <w:t> </w:t>
      </w:r>
      <w:r>
        <w:rPr>
          <w:color w:val="231F20"/>
          <w:w w:val="120"/>
        </w:rPr>
        <w:t>avant</w:t>
      </w:r>
      <w:r>
        <w:rPr>
          <w:color w:val="231F20"/>
          <w:spacing w:val="-4"/>
          <w:w w:val="120"/>
        </w:rPr>
        <w:t> </w:t>
      </w:r>
      <w:r>
        <w:rPr>
          <w:color w:val="231F20"/>
          <w:w w:val="120"/>
        </w:rPr>
        <w:t>que</w:t>
      </w:r>
      <w:r>
        <w:rPr>
          <w:color w:val="231F20"/>
          <w:spacing w:val="-4"/>
          <w:w w:val="120"/>
        </w:rPr>
        <w:t> </w:t>
      </w:r>
      <w:r>
        <w:rPr>
          <w:color w:val="231F20"/>
          <w:w w:val="120"/>
        </w:rPr>
        <w:t>le</w:t>
      </w:r>
      <w:r>
        <w:rPr>
          <w:color w:val="231F20"/>
          <w:spacing w:val="-4"/>
          <w:w w:val="120"/>
        </w:rPr>
        <w:t> </w:t>
      </w:r>
      <w:r>
        <w:rPr>
          <w:color w:val="231F20"/>
          <w:w w:val="120"/>
        </w:rPr>
        <w:t>bilan</w:t>
      </w:r>
      <w:r>
        <w:rPr>
          <w:color w:val="231F20"/>
          <w:spacing w:val="-4"/>
          <w:w w:val="120"/>
        </w:rPr>
        <w:t> </w:t>
      </w:r>
      <w:r>
        <w:rPr>
          <w:color w:val="231F20"/>
          <w:w w:val="120"/>
        </w:rPr>
        <w:t>de</w:t>
      </w:r>
      <w:r>
        <w:rPr>
          <w:color w:val="231F20"/>
          <w:spacing w:val="-4"/>
          <w:w w:val="120"/>
        </w:rPr>
        <w:t> </w:t>
      </w:r>
      <w:r>
        <w:rPr>
          <w:color w:val="231F20"/>
          <w:w w:val="120"/>
        </w:rPr>
        <w:t>la</w:t>
      </w:r>
      <w:r>
        <w:rPr>
          <w:color w:val="231F20"/>
          <w:spacing w:val="-4"/>
          <w:w w:val="120"/>
        </w:rPr>
        <w:t> </w:t>
      </w:r>
      <w:r>
        <w:rPr>
          <w:color w:val="231F20"/>
          <w:w w:val="120"/>
        </w:rPr>
        <w:t>santé</w:t>
      </w:r>
      <w:r>
        <w:rPr>
          <w:color w:val="231F20"/>
          <w:spacing w:val="-4"/>
          <w:w w:val="120"/>
        </w:rPr>
        <w:t> </w:t>
      </w:r>
      <w:r>
        <w:rPr>
          <w:color w:val="231F20"/>
          <w:w w:val="120"/>
        </w:rPr>
        <w:t>mentale</w:t>
      </w:r>
      <w:r>
        <w:rPr>
          <w:color w:val="231F20"/>
          <w:spacing w:val="-4"/>
          <w:w w:val="120"/>
        </w:rPr>
        <w:t> </w:t>
      </w:r>
      <w:r>
        <w:rPr>
          <w:color w:val="231F20"/>
          <w:w w:val="120"/>
        </w:rPr>
        <w:t>associé</w:t>
      </w:r>
      <w:r>
        <w:rPr>
          <w:color w:val="231F20"/>
          <w:spacing w:val="-4"/>
          <w:w w:val="120"/>
        </w:rPr>
        <w:t> </w:t>
      </w:r>
      <w:r>
        <w:rPr>
          <w:color w:val="231F20"/>
          <w:w w:val="120"/>
        </w:rPr>
        <w:t>à </w:t>
      </w:r>
      <w:r>
        <w:rPr>
          <w:color w:val="231F20"/>
          <w:spacing w:val="-2"/>
          <w:w w:val="120"/>
        </w:rPr>
        <w:t>cette</w:t>
      </w:r>
      <w:r>
        <w:rPr>
          <w:color w:val="231F20"/>
          <w:spacing w:val="-10"/>
          <w:w w:val="120"/>
        </w:rPr>
        <w:t> </w:t>
      </w:r>
      <w:r>
        <w:rPr>
          <w:color w:val="231F20"/>
          <w:spacing w:val="-2"/>
          <w:w w:val="120"/>
        </w:rPr>
        <w:t>pandémie</w:t>
      </w:r>
      <w:r>
        <w:rPr>
          <w:color w:val="231F20"/>
          <w:spacing w:val="-10"/>
          <w:w w:val="120"/>
        </w:rPr>
        <w:t> </w:t>
      </w:r>
      <w:r>
        <w:rPr>
          <w:color w:val="231F20"/>
          <w:spacing w:val="-2"/>
          <w:w w:val="120"/>
        </w:rPr>
        <w:t>soit</w:t>
      </w:r>
      <w:r>
        <w:rPr>
          <w:color w:val="231F20"/>
          <w:spacing w:val="-10"/>
          <w:w w:val="120"/>
        </w:rPr>
        <w:t> </w:t>
      </w:r>
      <w:r>
        <w:rPr>
          <w:color w:val="231F20"/>
          <w:spacing w:val="-2"/>
          <w:w w:val="120"/>
        </w:rPr>
        <w:t>pleinement</w:t>
      </w:r>
      <w:r>
        <w:rPr>
          <w:color w:val="231F20"/>
          <w:spacing w:val="-10"/>
          <w:w w:val="120"/>
        </w:rPr>
        <w:t> </w:t>
      </w:r>
      <w:r>
        <w:rPr>
          <w:color w:val="231F20"/>
          <w:spacing w:val="-2"/>
          <w:w w:val="120"/>
        </w:rPr>
        <w:t>compris,</w:t>
      </w:r>
      <w:r>
        <w:rPr>
          <w:color w:val="231F20"/>
          <w:spacing w:val="-10"/>
          <w:w w:val="120"/>
        </w:rPr>
        <w:t> </w:t>
      </w:r>
      <w:r>
        <w:rPr>
          <w:color w:val="231F20"/>
          <w:spacing w:val="-2"/>
          <w:w w:val="120"/>
        </w:rPr>
        <w:t>mais</w:t>
      </w:r>
      <w:r>
        <w:rPr>
          <w:color w:val="231F20"/>
          <w:spacing w:val="-10"/>
          <w:w w:val="120"/>
        </w:rPr>
        <w:t> </w:t>
      </w:r>
      <w:r>
        <w:rPr>
          <w:color w:val="231F20"/>
          <w:spacing w:val="-2"/>
          <w:w w:val="120"/>
        </w:rPr>
        <w:t>certaines</w:t>
      </w:r>
      <w:r>
        <w:rPr>
          <w:color w:val="231F20"/>
          <w:spacing w:val="-10"/>
          <w:w w:val="120"/>
        </w:rPr>
        <w:t> </w:t>
      </w:r>
      <w:r>
        <w:rPr>
          <w:color w:val="231F20"/>
          <w:spacing w:val="-2"/>
          <w:w w:val="120"/>
        </w:rPr>
        <w:t>données</w:t>
      </w:r>
      <w:r>
        <w:rPr>
          <w:color w:val="231F20"/>
          <w:spacing w:val="-10"/>
          <w:w w:val="120"/>
        </w:rPr>
        <w:t> </w:t>
      </w:r>
      <w:r>
        <w:rPr>
          <w:color w:val="231F20"/>
          <w:spacing w:val="-2"/>
          <w:w w:val="120"/>
        </w:rPr>
        <w:t>initiales </w:t>
      </w:r>
      <w:r>
        <w:rPr>
          <w:color w:val="231F20"/>
          <w:w w:val="120"/>
        </w:rPr>
        <w:t>brossent</w:t>
      </w:r>
      <w:r>
        <w:rPr>
          <w:color w:val="231F20"/>
          <w:spacing w:val="-1"/>
          <w:w w:val="120"/>
        </w:rPr>
        <w:t> </w:t>
      </w:r>
      <w:r>
        <w:rPr>
          <w:color w:val="231F20"/>
          <w:w w:val="120"/>
        </w:rPr>
        <w:t>déjà</w:t>
      </w:r>
      <w:r>
        <w:rPr>
          <w:color w:val="231F20"/>
          <w:spacing w:val="-1"/>
          <w:w w:val="120"/>
        </w:rPr>
        <w:t> </w:t>
      </w:r>
      <w:r>
        <w:rPr>
          <w:color w:val="231F20"/>
          <w:w w:val="120"/>
        </w:rPr>
        <w:t>un</w:t>
      </w:r>
      <w:r>
        <w:rPr>
          <w:color w:val="231F20"/>
          <w:spacing w:val="-1"/>
          <w:w w:val="120"/>
        </w:rPr>
        <w:t> </w:t>
      </w:r>
      <w:r>
        <w:rPr>
          <w:color w:val="231F20"/>
          <w:w w:val="120"/>
        </w:rPr>
        <w:t>sombre</w:t>
      </w:r>
      <w:r>
        <w:rPr>
          <w:color w:val="231F20"/>
          <w:spacing w:val="-1"/>
          <w:w w:val="120"/>
        </w:rPr>
        <w:t> </w:t>
      </w:r>
      <w:r>
        <w:rPr>
          <w:color w:val="231F20"/>
          <w:w w:val="120"/>
        </w:rPr>
        <w:t>tableau.</w:t>
      </w:r>
      <w:r>
        <w:rPr>
          <w:color w:val="231F20"/>
          <w:spacing w:val="-1"/>
          <w:w w:val="120"/>
        </w:rPr>
        <w:t> </w:t>
      </w:r>
      <w:r>
        <w:rPr>
          <w:color w:val="231F20"/>
          <w:w w:val="120"/>
        </w:rPr>
        <w:t>Une</w:t>
      </w:r>
      <w:r>
        <w:rPr>
          <w:color w:val="231F20"/>
          <w:spacing w:val="-1"/>
          <w:w w:val="120"/>
        </w:rPr>
        <w:t> </w:t>
      </w:r>
      <w:r>
        <w:rPr>
          <w:color w:val="231F20"/>
          <w:w w:val="120"/>
        </w:rPr>
        <w:t>étude</w:t>
      </w:r>
      <w:r>
        <w:rPr>
          <w:color w:val="231F20"/>
          <w:spacing w:val="-1"/>
          <w:w w:val="120"/>
        </w:rPr>
        <w:t> </w:t>
      </w:r>
      <w:r>
        <w:rPr>
          <w:color w:val="231F20"/>
          <w:w w:val="120"/>
        </w:rPr>
        <w:t>publiée</w:t>
      </w:r>
      <w:r>
        <w:rPr>
          <w:color w:val="231F20"/>
          <w:spacing w:val="-1"/>
          <w:w w:val="120"/>
        </w:rPr>
        <w:t> </w:t>
      </w:r>
      <w:r>
        <w:rPr>
          <w:color w:val="231F20"/>
          <w:w w:val="120"/>
        </w:rPr>
        <w:t>dans</w:t>
      </w:r>
      <w:r>
        <w:rPr>
          <w:color w:val="231F20"/>
          <w:spacing w:val="-1"/>
          <w:w w:val="120"/>
        </w:rPr>
        <w:t> </w:t>
      </w:r>
      <w:r>
        <w:rPr>
          <w:color w:val="231F20"/>
          <w:w w:val="120"/>
        </w:rPr>
        <w:t>le</w:t>
      </w:r>
      <w:r>
        <w:rPr>
          <w:color w:val="231F20"/>
          <w:spacing w:val="-1"/>
          <w:w w:val="120"/>
        </w:rPr>
        <w:t> </w:t>
      </w:r>
      <w:r>
        <w:rPr>
          <w:i/>
          <w:color w:val="231F20"/>
          <w:w w:val="120"/>
        </w:rPr>
        <w:t>Journal</w:t>
      </w:r>
      <w:r>
        <w:rPr>
          <w:i/>
          <w:color w:val="231F20"/>
          <w:spacing w:val="-1"/>
          <w:w w:val="120"/>
        </w:rPr>
        <w:t> </w:t>
      </w:r>
      <w:r>
        <w:rPr>
          <w:i/>
          <w:color w:val="231F20"/>
          <w:w w:val="120"/>
        </w:rPr>
        <w:t>of </w:t>
      </w:r>
      <w:r>
        <w:rPr>
          <w:i/>
          <w:color w:val="231F20"/>
          <w:spacing w:val="-2"/>
          <w:w w:val="115"/>
        </w:rPr>
        <w:t>the</w:t>
      </w:r>
      <w:r>
        <w:rPr>
          <w:i/>
          <w:color w:val="231F20"/>
          <w:spacing w:val="-10"/>
          <w:w w:val="115"/>
        </w:rPr>
        <w:t> </w:t>
      </w:r>
      <w:r>
        <w:rPr>
          <w:i/>
          <w:color w:val="231F20"/>
          <w:spacing w:val="-2"/>
          <w:w w:val="115"/>
        </w:rPr>
        <w:t>American</w:t>
      </w:r>
      <w:r>
        <w:rPr>
          <w:i/>
          <w:color w:val="231F20"/>
          <w:spacing w:val="-10"/>
          <w:w w:val="115"/>
        </w:rPr>
        <w:t> </w:t>
      </w:r>
      <w:r>
        <w:rPr>
          <w:i/>
          <w:color w:val="231F20"/>
          <w:spacing w:val="-2"/>
          <w:w w:val="115"/>
        </w:rPr>
        <w:t>Medical</w:t>
      </w:r>
      <w:r>
        <w:rPr>
          <w:i/>
          <w:color w:val="231F20"/>
          <w:spacing w:val="-10"/>
          <w:w w:val="115"/>
        </w:rPr>
        <w:t> </w:t>
      </w:r>
      <w:r>
        <w:rPr>
          <w:i/>
          <w:color w:val="231F20"/>
          <w:spacing w:val="-2"/>
          <w:w w:val="115"/>
        </w:rPr>
        <w:t>Association</w:t>
      </w:r>
      <w:r>
        <w:rPr>
          <w:i/>
          <w:color w:val="231F20"/>
          <w:spacing w:val="-10"/>
          <w:w w:val="115"/>
        </w:rPr>
        <w:t> </w:t>
      </w:r>
      <w:r>
        <w:rPr>
          <w:color w:val="231F20"/>
          <w:spacing w:val="-2"/>
          <w:w w:val="115"/>
        </w:rPr>
        <w:t>(JAMA)</w:t>
      </w:r>
      <w:r>
        <w:rPr>
          <w:color w:val="231F20"/>
          <w:spacing w:val="-10"/>
          <w:w w:val="115"/>
        </w:rPr>
        <w:t> </w:t>
      </w:r>
      <w:r>
        <w:rPr>
          <w:color w:val="231F20"/>
          <w:spacing w:val="-2"/>
          <w:w w:val="115"/>
        </w:rPr>
        <w:t>par</w:t>
      </w:r>
      <w:r>
        <w:rPr>
          <w:color w:val="231F20"/>
          <w:spacing w:val="-10"/>
          <w:w w:val="115"/>
        </w:rPr>
        <w:t> </w:t>
      </w:r>
      <w:r>
        <w:rPr>
          <w:color w:val="231F20"/>
          <w:spacing w:val="-2"/>
          <w:w w:val="115"/>
        </w:rPr>
        <w:t>Jianbo</w:t>
      </w:r>
      <w:r>
        <w:rPr>
          <w:color w:val="231F20"/>
          <w:spacing w:val="-10"/>
          <w:w w:val="115"/>
        </w:rPr>
        <w:t> </w:t>
      </w:r>
      <w:r>
        <w:rPr>
          <w:i/>
          <w:color w:val="231F20"/>
          <w:spacing w:val="-2"/>
          <w:w w:val="115"/>
        </w:rPr>
        <w:t>et</w:t>
      </w:r>
      <w:r>
        <w:rPr>
          <w:i/>
          <w:color w:val="231F20"/>
          <w:spacing w:val="-10"/>
          <w:w w:val="115"/>
        </w:rPr>
        <w:t> </w:t>
      </w:r>
      <w:r>
        <w:rPr>
          <w:i/>
          <w:color w:val="231F20"/>
          <w:spacing w:val="-2"/>
          <w:w w:val="115"/>
        </w:rPr>
        <w:t>al</w:t>
      </w:r>
      <w:r>
        <w:rPr>
          <w:color w:val="231F20"/>
          <w:spacing w:val="-2"/>
          <w:w w:val="115"/>
        </w:rPr>
        <w:t>.</w:t>
      </w:r>
      <w:r>
        <w:rPr>
          <w:color w:val="231F20"/>
          <w:spacing w:val="-10"/>
          <w:w w:val="115"/>
        </w:rPr>
        <w:t> </w:t>
      </w:r>
      <w:r>
        <w:rPr>
          <w:color w:val="231F20"/>
          <w:spacing w:val="-2"/>
          <w:w w:val="115"/>
        </w:rPr>
        <w:t>(2020)</w:t>
      </w:r>
      <w:r>
        <w:rPr>
          <w:color w:val="231F20"/>
          <w:spacing w:val="-10"/>
          <w:w w:val="115"/>
        </w:rPr>
        <w:t> </w:t>
      </w:r>
      <w:r>
        <w:rPr>
          <w:color w:val="231F20"/>
          <w:spacing w:val="-2"/>
          <w:w w:val="115"/>
        </w:rPr>
        <w:t>a</w:t>
      </w:r>
      <w:r>
        <w:rPr>
          <w:color w:val="231F20"/>
          <w:spacing w:val="-10"/>
          <w:w w:val="115"/>
        </w:rPr>
        <w:t> </w:t>
      </w:r>
      <w:r>
        <w:rPr>
          <w:color w:val="231F20"/>
          <w:spacing w:val="-2"/>
          <w:w w:val="115"/>
        </w:rPr>
        <w:t>révélé </w:t>
      </w:r>
      <w:r>
        <w:rPr>
          <w:color w:val="231F20"/>
          <w:w w:val="120"/>
        </w:rPr>
        <w:t>que, parmi </w:t>
      </w:r>
      <w:r>
        <w:rPr>
          <w:color w:val="231F20"/>
          <w:w w:val="115"/>
        </w:rPr>
        <w:t>1 </w:t>
      </w:r>
      <w:r>
        <w:rPr>
          <w:color w:val="231F20"/>
          <w:w w:val="120"/>
        </w:rPr>
        <w:t>257 travailleurs de la santé travaillant avec des patients </w:t>
      </w:r>
      <w:r>
        <w:rPr>
          <w:color w:val="231F20"/>
          <w:w w:val="115"/>
        </w:rPr>
        <w:t>atteints</w:t>
      </w:r>
      <w:r>
        <w:rPr>
          <w:color w:val="231F20"/>
          <w:spacing w:val="-13"/>
          <w:w w:val="115"/>
        </w:rPr>
        <w:t> </w:t>
      </w:r>
      <w:r>
        <w:rPr>
          <w:color w:val="231F20"/>
          <w:w w:val="115"/>
        </w:rPr>
        <w:t>de la COVID-19 en Chine, 50,4</w:t>
      </w:r>
      <w:r>
        <w:rPr>
          <w:color w:val="231F20"/>
          <w:spacing w:val="-13"/>
          <w:w w:val="115"/>
        </w:rPr>
        <w:t> </w:t>
      </w:r>
      <w:r>
        <w:rPr>
          <w:color w:val="231F20"/>
          <w:w w:val="115"/>
        </w:rPr>
        <w:t>% ont signalé des symptômes de dépression,</w:t>
      </w:r>
      <w:r>
        <w:rPr>
          <w:color w:val="231F20"/>
          <w:spacing w:val="-8"/>
          <w:w w:val="115"/>
        </w:rPr>
        <w:t> </w:t>
      </w:r>
      <w:r>
        <w:rPr>
          <w:color w:val="231F20"/>
          <w:w w:val="115"/>
        </w:rPr>
        <w:t>44,6%</w:t>
      </w:r>
      <w:r>
        <w:rPr>
          <w:color w:val="231F20"/>
          <w:spacing w:val="-8"/>
          <w:w w:val="115"/>
        </w:rPr>
        <w:t> </w:t>
      </w:r>
      <w:r>
        <w:rPr>
          <w:color w:val="231F20"/>
          <w:w w:val="115"/>
        </w:rPr>
        <w:t>des</w:t>
      </w:r>
      <w:r>
        <w:rPr>
          <w:color w:val="231F20"/>
          <w:spacing w:val="-8"/>
          <w:w w:val="115"/>
        </w:rPr>
        <w:t> </w:t>
      </w:r>
      <w:r>
        <w:rPr>
          <w:color w:val="231F20"/>
          <w:w w:val="115"/>
        </w:rPr>
        <w:t>symptômes</w:t>
      </w:r>
      <w:r>
        <w:rPr>
          <w:color w:val="231F20"/>
          <w:spacing w:val="-8"/>
          <w:w w:val="115"/>
        </w:rPr>
        <w:t> </w:t>
      </w:r>
      <w:r>
        <w:rPr>
          <w:color w:val="231F20"/>
          <w:w w:val="115"/>
        </w:rPr>
        <w:t>d’anxiété,</w:t>
      </w:r>
      <w:r>
        <w:rPr>
          <w:color w:val="231F20"/>
          <w:spacing w:val="-8"/>
          <w:w w:val="115"/>
        </w:rPr>
        <w:t> </w:t>
      </w:r>
      <w:r>
        <w:rPr>
          <w:color w:val="231F20"/>
          <w:w w:val="115"/>
        </w:rPr>
        <w:t>34%</w:t>
      </w:r>
      <w:r>
        <w:rPr>
          <w:color w:val="231F20"/>
          <w:spacing w:val="-8"/>
          <w:w w:val="115"/>
        </w:rPr>
        <w:t> </w:t>
      </w:r>
      <w:r>
        <w:rPr>
          <w:color w:val="231F20"/>
          <w:w w:val="115"/>
        </w:rPr>
        <w:t>de</w:t>
      </w:r>
      <w:r>
        <w:rPr>
          <w:color w:val="231F20"/>
          <w:spacing w:val="-8"/>
          <w:w w:val="115"/>
        </w:rPr>
        <w:t> </w:t>
      </w:r>
      <w:r>
        <w:rPr>
          <w:color w:val="231F20"/>
          <w:w w:val="115"/>
        </w:rPr>
        <w:t>l’insomnie</w:t>
      </w:r>
      <w:r>
        <w:rPr>
          <w:color w:val="231F20"/>
          <w:spacing w:val="-8"/>
          <w:w w:val="115"/>
        </w:rPr>
        <w:t> </w:t>
      </w:r>
      <w:r>
        <w:rPr>
          <w:color w:val="231F20"/>
          <w:w w:val="115"/>
        </w:rPr>
        <w:t>et</w:t>
      </w:r>
      <w:r>
        <w:rPr>
          <w:color w:val="231F20"/>
          <w:spacing w:val="-8"/>
          <w:w w:val="115"/>
        </w:rPr>
        <w:t> </w:t>
      </w:r>
      <w:r>
        <w:rPr>
          <w:color w:val="231F20"/>
          <w:w w:val="115"/>
        </w:rPr>
        <w:t>71,5% de la détresse. Les infirmières et les autres travailleurs de première ligne figuraient parmi ceux qui présentaient les symptômes les plus graves. De </w:t>
      </w:r>
      <w:r>
        <w:rPr>
          <w:color w:val="231F20"/>
          <w:w w:val="120"/>
        </w:rPr>
        <w:t>toute</w:t>
      </w:r>
      <w:r>
        <w:rPr>
          <w:color w:val="231F20"/>
          <w:spacing w:val="-13"/>
          <w:w w:val="120"/>
        </w:rPr>
        <w:t> </w:t>
      </w:r>
      <w:r>
        <w:rPr>
          <w:color w:val="231F20"/>
          <w:w w:val="120"/>
        </w:rPr>
        <w:t>évidence,</w:t>
      </w:r>
      <w:r>
        <w:rPr>
          <w:color w:val="231F20"/>
          <w:spacing w:val="-13"/>
          <w:w w:val="120"/>
        </w:rPr>
        <w:t> </w:t>
      </w:r>
      <w:r>
        <w:rPr>
          <w:color w:val="231F20"/>
          <w:w w:val="120"/>
        </w:rPr>
        <w:t>la</w:t>
      </w:r>
      <w:r>
        <w:rPr>
          <w:color w:val="231F20"/>
          <w:spacing w:val="-13"/>
          <w:w w:val="120"/>
        </w:rPr>
        <w:t> </w:t>
      </w:r>
      <w:r>
        <w:rPr>
          <w:color w:val="231F20"/>
          <w:w w:val="120"/>
        </w:rPr>
        <w:t>COVID-19</w:t>
      </w:r>
      <w:r>
        <w:rPr>
          <w:color w:val="231F20"/>
          <w:spacing w:val="-12"/>
          <w:w w:val="120"/>
        </w:rPr>
        <w:t> </w:t>
      </w:r>
      <w:r>
        <w:rPr>
          <w:color w:val="231F20"/>
          <w:w w:val="120"/>
        </w:rPr>
        <w:t>représente</w:t>
      </w:r>
      <w:r>
        <w:rPr>
          <w:color w:val="231F20"/>
          <w:spacing w:val="-13"/>
          <w:w w:val="120"/>
        </w:rPr>
        <w:t> </w:t>
      </w:r>
      <w:r>
        <w:rPr>
          <w:color w:val="231F20"/>
          <w:w w:val="120"/>
        </w:rPr>
        <w:t>un</w:t>
      </w:r>
      <w:r>
        <w:rPr>
          <w:color w:val="231F20"/>
          <w:spacing w:val="-13"/>
          <w:w w:val="120"/>
        </w:rPr>
        <w:t> </w:t>
      </w:r>
      <w:r>
        <w:rPr>
          <w:color w:val="231F20"/>
          <w:w w:val="120"/>
        </w:rPr>
        <w:t>stress</w:t>
      </w:r>
      <w:r>
        <w:rPr>
          <w:color w:val="231F20"/>
          <w:spacing w:val="-13"/>
          <w:w w:val="120"/>
        </w:rPr>
        <w:t> </w:t>
      </w:r>
      <w:r>
        <w:rPr>
          <w:color w:val="231F20"/>
          <w:w w:val="120"/>
        </w:rPr>
        <w:t>réel</w:t>
      </w:r>
      <w:r>
        <w:rPr>
          <w:color w:val="231F20"/>
          <w:spacing w:val="-12"/>
          <w:w w:val="120"/>
        </w:rPr>
        <w:t> </w:t>
      </w:r>
      <w:r>
        <w:rPr>
          <w:color w:val="231F20"/>
          <w:w w:val="120"/>
        </w:rPr>
        <w:t>et</w:t>
      </w:r>
      <w:r>
        <w:rPr>
          <w:color w:val="231F20"/>
          <w:spacing w:val="-13"/>
          <w:w w:val="120"/>
        </w:rPr>
        <w:t> </w:t>
      </w:r>
      <w:r>
        <w:rPr>
          <w:color w:val="231F20"/>
          <w:w w:val="120"/>
        </w:rPr>
        <w:t>intense,</w:t>
      </w:r>
      <w:r>
        <w:rPr>
          <w:color w:val="231F20"/>
          <w:spacing w:val="-13"/>
          <w:w w:val="120"/>
        </w:rPr>
        <w:t> </w:t>
      </w:r>
      <w:r>
        <w:rPr>
          <w:color w:val="231F20"/>
          <w:w w:val="120"/>
        </w:rPr>
        <w:t>car</w:t>
      </w:r>
      <w:r>
        <w:rPr>
          <w:color w:val="231F20"/>
          <w:spacing w:val="-13"/>
          <w:w w:val="120"/>
        </w:rPr>
        <w:t> </w:t>
      </w:r>
      <w:r>
        <w:rPr>
          <w:color w:val="231F20"/>
          <w:w w:val="120"/>
        </w:rPr>
        <w:t>les travailleurs</w:t>
      </w:r>
      <w:r>
        <w:rPr>
          <w:color w:val="231F20"/>
          <w:spacing w:val="-13"/>
          <w:w w:val="120"/>
        </w:rPr>
        <w:t> </w:t>
      </w:r>
      <w:r>
        <w:rPr>
          <w:color w:val="231F20"/>
          <w:w w:val="120"/>
        </w:rPr>
        <w:t>de</w:t>
      </w:r>
      <w:r>
        <w:rPr>
          <w:color w:val="231F20"/>
          <w:spacing w:val="-13"/>
          <w:w w:val="120"/>
        </w:rPr>
        <w:t> </w:t>
      </w:r>
      <w:r>
        <w:rPr>
          <w:color w:val="231F20"/>
          <w:w w:val="120"/>
        </w:rPr>
        <w:t>la</w:t>
      </w:r>
      <w:r>
        <w:rPr>
          <w:color w:val="231F20"/>
          <w:spacing w:val="-13"/>
          <w:w w:val="120"/>
        </w:rPr>
        <w:t> </w:t>
      </w:r>
      <w:r>
        <w:rPr>
          <w:color w:val="231F20"/>
          <w:w w:val="120"/>
        </w:rPr>
        <w:t>santé</w:t>
      </w:r>
      <w:r>
        <w:rPr>
          <w:color w:val="231F20"/>
          <w:spacing w:val="-12"/>
          <w:w w:val="120"/>
        </w:rPr>
        <w:t> </w:t>
      </w:r>
      <w:r>
        <w:rPr>
          <w:color w:val="231F20"/>
          <w:w w:val="120"/>
        </w:rPr>
        <w:t>font</w:t>
      </w:r>
      <w:r>
        <w:rPr>
          <w:color w:val="231F20"/>
          <w:spacing w:val="-13"/>
          <w:w w:val="120"/>
        </w:rPr>
        <w:t> </w:t>
      </w:r>
      <w:r>
        <w:rPr>
          <w:color w:val="231F20"/>
          <w:w w:val="120"/>
        </w:rPr>
        <w:t>face</w:t>
      </w:r>
      <w:r>
        <w:rPr>
          <w:color w:val="231F20"/>
          <w:spacing w:val="-13"/>
          <w:w w:val="120"/>
        </w:rPr>
        <w:t> </w:t>
      </w:r>
      <w:r>
        <w:rPr>
          <w:color w:val="231F20"/>
          <w:w w:val="120"/>
        </w:rPr>
        <w:t>à</w:t>
      </w:r>
      <w:r>
        <w:rPr>
          <w:color w:val="231F20"/>
          <w:spacing w:val="-13"/>
          <w:w w:val="120"/>
        </w:rPr>
        <w:t> </w:t>
      </w:r>
      <w:r>
        <w:rPr>
          <w:color w:val="231F20"/>
          <w:w w:val="120"/>
        </w:rPr>
        <w:t>une</w:t>
      </w:r>
      <w:r>
        <w:rPr>
          <w:color w:val="231F20"/>
          <w:spacing w:val="-12"/>
          <w:w w:val="120"/>
        </w:rPr>
        <w:t> </w:t>
      </w:r>
      <w:r>
        <w:rPr>
          <w:color w:val="231F20"/>
          <w:w w:val="120"/>
        </w:rPr>
        <w:t>situation</w:t>
      </w:r>
      <w:r>
        <w:rPr>
          <w:color w:val="231F20"/>
          <w:spacing w:val="-13"/>
          <w:w w:val="120"/>
        </w:rPr>
        <w:t> </w:t>
      </w:r>
      <w:r>
        <w:rPr>
          <w:color w:val="231F20"/>
          <w:w w:val="120"/>
        </w:rPr>
        <w:t>inusitée,</w:t>
      </w:r>
      <w:r>
        <w:rPr>
          <w:color w:val="231F20"/>
          <w:spacing w:val="-13"/>
          <w:w w:val="120"/>
        </w:rPr>
        <w:t> </w:t>
      </w:r>
      <w:r>
        <w:rPr>
          <w:color w:val="231F20"/>
          <w:w w:val="120"/>
        </w:rPr>
        <w:t>sans</w:t>
      </w:r>
      <w:r>
        <w:rPr>
          <w:color w:val="231F20"/>
          <w:spacing w:val="-13"/>
          <w:w w:val="120"/>
        </w:rPr>
        <w:t> </w:t>
      </w:r>
      <w:r>
        <w:rPr>
          <w:color w:val="231F20"/>
          <w:w w:val="120"/>
        </w:rPr>
        <w:t>précédent. Ainsi,</w:t>
      </w:r>
      <w:r>
        <w:rPr>
          <w:color w:val="231F20"/>
          <w:spacing w:val="-10"/>
          <w:w w:val="120"/>
        </w:rPr>
        <w:t> </w:t>
      </w:r>
      <w:r>
        <w:rPr>
          <w:color w:val="231F20"/>
          <w:w w:val="120"/>
        </w:rPr>
        <w:t>nous</w:t>
      </w:r>
      <w:r>
        <w:rPr>
          <w:color w:val="231F20"/>
          <w:spacing w:val="-10"/>
          <w:w w:val="120"/>
        </w:rPr>
        <w:t> </w:t>
      </w:r>
      <w:r>
        <w:rPr>
          <w:color w:val="231F20"/>
          <w:w w:val="120"/>
        </w:rPr>
        <w:t>avons</w:t>
      </w:r>
      <w:r>
        <w:rPr>
          <w:color w:val="231F20"/>
          <w:spacing w:val="-10"/>
          <w:w w:val="120"/>
        </w:rPr>
        <w:t> </w:t>
      </w:r>
      <w:r>
        <w:rPr>
          <w:color w:val="231F20"/>
          <w:w w:val="120"/>
        </w:rPr>
        <w:t>des</w:t>
      </w:r>
      <w:r>
        <w:rPr>
          <w:color w:val="231F20"/>
          <w:spacing w:val="-10"/>
          <w:w w:val="120"/>
        </w:rPr>
        <w:t> </w:t>
      </w:r>
      <w:r>
        <w:rPr>
          <w:color w:val="231F20"/>
          <w:w w:val="120"/>
        </w:rPr>
        <w:t>données</w:t>
      </w:r>
      <w:r>
        <w:rPr>
          <w:color w:val="231F20"/>
          <w:spacing w:val="-10"/>
          <w:w w:val="120"/>
        </w:rPr>
        <w:t> </w:t>
      </w:r>
      <w:r>
        <w:rPr>
          <w:color w:val="231F20"/>
          <w:w w:val="120"/>
        </w:rPr>
        <w:t>précoces</w:t>
      </w:r>
      <w:r>
        <w:rPr>
          <w:color w:val="231F20"/>
          <w:spacing w:val="-9"/>
          <w:w w:val="120"/>
        </w:rPr>
        <w:t> </w:t>
      </w:r>
      <w:r>
        <w:rPr>
          <w:color w:val="231F20"/>
          <w:w w:val="120"/>
        </w:rPr>
        <w:t>et</w:t>
      </w:r>
      <w:r>
        <w:rPr>
          <w:color w:val="231F20"/>
          <w:spacing w:val="-10"/>
          <w:w w:val="120"/>
        </w:rPr>
        <w:t> </w:t>
      </w:r>
      <w:r>
        <w:rPr>
          <w:color w:val="231F20"/>
          <w:w w:val="120"/>
        </w:rPr>
        <w:t>partielles</w:t>
      </w:r>
      <w:r>
        <w:rPr>
          <w:color w:val="231F20"/>
          <w:spacing w:val="-10"/>
          <w:w w:val="120"/>
        </w:rPr>
        <w:t> </w:t>
      </w:r>
      <w:r>
        <w:rPr>
          <w:color w:val="231F20"/>
          <w:w w:val="120"/>
        </w:rPr>
        <w:t>sur</w:t>
      </w:r>
      <w:r>
        <w:rPr>
          <w:color w:val="231F20"/>
          <w:spacing w:val="-10"/>
          <w:w w:val="120"/>
        </w:rPr>
        <w:t> </w:t>
      </w:r>
      <w:r>
        <w:rPr>
          <w:color w:val="231F20"/>
          <w:w w:val="120"/>
        </w:rPr>
        <w:t>les</w:t>
      </w:r>
      <w:r>
        <w:rPr>
          <w:color w:val="231F20"/>
          <w:spacing w:val="-10"/>
          <w:w w:val="120"/>
        </w:rPr>
        <w:t> </w:t>
      </w:r>
      <w:r>
        <w:rPr>
          <w:color w:val="231F20"/>
          <w:spacing w:val="-2"/>
          <w:w w:val="120"/>
        </w:rPr>
        <w:t>symptômes</w:t>
      </w:r>
    </w:p>
    <w:p>
      <w:pPr>
        <w:spacing w:after="0" w:line="307" w:lineRule="auto"/>
        <w:jc w:val="both"/>
        <w:sectPr>
          <w:footerReference w:type="default" r:id="rId356"/>
          <w:pgSz w:w="8640" w:h="12960"/>
          <w:pgMar w:footer="424" w:header="0" w:top="520" w:bottom="620" w:left="420" w:right="1140"/>
        </w:sectPr>
      </w:pPr>
    </w:p>
    <w:p>
      <w:pPr>
        <w:spacing w:before="118"/>
        <w:ind w:left="1246" w:right="0" w:firstLine="0"/>
        <w:jc w:val="both"/>
        <w:rPr>
          <w:rFonts w:ascii="Arial" w:hAnsi="Arial"/>
          <w:sz w:val="14"/>
        </w:rPr>
      </w:pPr>
      <w:r>
        <w:rPr>
          <w:rFonts w:ascii="Arial" w:hAnsi="Arial"/>
          <w:color w:val="231F20"/>
          <w:sz w:val="14"/>
        </w:rPr>
        <w:t>Annexe</w:t>
      </w:r>
      <w:r>
        <w:rPr>
          <w:rFonts w:ascii="Arial" w:hAnsi="Arial"/>
          <w:color w:val="231F20"/>
          <w:spacing w:val="-6"/>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estime</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5"/>
          <w:sz w:val="14"/>
        </w:rPr>
        <w:t> </w:t>
      </w:r>
      <w:r>
        <w:rPr>
          <w:rFonts w:ascii="Arial" w:hAnsi="Arial"/>
          <w:color w:val="231F20"/>
          <w:sz w:val="14"/>
        </w:rPr>
        <w:t>valeurs</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bien-être</w:t>
      </w:r>
      <w:r>
        <w:rPr>
          <w:rFonts w:ascii="Arial" w:hAnsi="Arial"/>
          <w:color w:val="231F20"/>
          <w:spacing w:val="-5"/>
          <w:sz w:val="14"/>
        </w:rPr>
        <w:t> </w:t>
      </w:r>
      <w:r>
        <w:rPr>
          <w:rFonts w:ascii="Arial" w:hAnsi="Arial"/>
          <w:color w:val="231F20"/>
          <w:sz w:val="14"/>
        </w:rPr>
        <w:t>psychologique</w:t>
      </w:r>
      <w:r>
        <w:rPr>
          <w:rFonts w:ascii="Arial" w:hAnsi="Arial"/>
          <w:color w:val="231F20"/>
          <w:spacing w:val="-6"/>
          <w:sz w:val="14"/>
        </w:rPr>
        <w:t> </w:t>
      </w:r>
      <w:r>
        <w:rPr>
          <w:rFonts w:ascii="Arial" w:hAnsi="Arial"/>
          <w:color w:val="231F20"/>
          <w:sz w:val="14"/>
        </w:rPr>
        <w:t>en</w:t>
      </w:r>
      <w:r>
        <w:rPr>
          <w:rFonts w:ascii="Arial" w:hAnsi="Arial"/>
          <w:color w:val="231F20"/>
          <w:spacing w:val="-5"/>
          <w:sz w:val="14"/>
        </w:rPr>
        <w:t> </w:t>
      </w:r>
      <w:r>
        <w:rPr>
          <w:rFonts w:ascii="Arial" w:hAnsi="Arial"/>
          <w:color w:val="231F20"/>
          <w:sz w:val="14"/>
        </w:rPr>
        <w:t>contexte</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COVID-</w:t>
      </w:r>
      <w:r>
        <w:rPr>
          <w:rFonts w:ascii="Arial" w:hAnsi="Arial"/>
          <w:color w:val="231F20"/>
          <w:spacing w:val="-5"/>
          <w:sz w:val="14"/>
        </w:rPr>
        <w:t>19</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22"/>
        <w:ind w:left="1220" w:right="105"/>
        <w:jc w:val="both"/>
      </w:pPr>
      <w:r>
        <w:rPr>
          <w:color w:val="231F20"/>
          <w:w w:val="120"/>
        </w:rPr>
        <w:t>des maladies, mais nous n’avons pas de données sur les personnes qui </w:t>
      </w:r>
      <w:r>
        <w:rPr>
          <w:color w:val="231F20"/>
          <w:spacing w:val="-2"/>
          <w:w w:val="120"/>
        </w:rPr>
        <w:t>sont résilientes face à cette situation ou les caractéristiques personnelles qui</w:t>
      </w:r>
      <w:r>
        <w:rPr>
          <w:color w:val="231F20"/>
          <w:spacing w:val="-6"/>
          <w:w w:val="120"/>
        </w:rPr>
        <w:t> </w:t>
      </w:r>
      <w:r>
        <w:rPr>
          <w:color w:val="231F20"/>
          <w:spacing w:val="-2"/>
          <w:w w:val="120"/>
        </w:rPr>
        <w:t>permettent</w:t>
      </w:r>
      <w:r>
        <w:rPr>
          <w:color w:val="231F20"/>
          <w:spacing w:val="-6"/>
          <w:w w:val="120"/>
        </w:rPr>
        <w:t> </w:t>
      </w:r>
      <w:r>
        <w:rPr>
          <w:color w:val="231F20"/>
          <w:spacing w:val="-2"/>
          <w:w w:val="120"/>
        </w:rPr>
        <w:t>d’atténuer</w:t>
      </w:r>
      <w:r>
        <w:rPr>
          <w:color w:val="231F20"/>
          <w:spacing w:val="-6"/>
          <w:w w:val="120"/>
        </w:rPr>
        <w:t> </w:t>
      </w:r>
      <w:r>
        <w:rPr>
          <w:color w:val="231F20"/>
          <w:spacing w:val="-2"/>
          <w:w w:val="120"/>
        </w:rPr>
        <w:t>l’incidence</w:t>
      </w:r>
      <w:r>
        <w:rPr>
          <w:color w:val="231F20"/>
          <w:spacing w:val="-6"/>
          <w:w w:val="120"/>
        </w:rPr>
        <w:t> </w:t>
      </w:r>
      <w:r>
        <w:rPr>
          <w:color w:val="231F20"/>
          <w:spacing w:val="-2"/>
          <w:w w:val="120"/>
        </w:rPr>
        <w:t>négative</w:t>
      </w:r>
      <w:r>
        <w:rPr>
          <w:color w:val="231F20"/>
          <w:spacing w:val="-6"/>
          <w:w w:val="120"/>
        </w:rPr>
        <w:t> </w:t>
      </w:r>
      <w:r>
        <w:rPr>
          <w:color w:val="231F20"/>
          <w:spacing w:val="-2"/>
          <w:w w:val="120"/>
        </w:rPr>
        <w:t>sur</w:t>
      </w:r>
      <w:r>
        <w:rPr>
          <w:color w:val="231F20"/>
          <w:spacing w:val="-6"/>
          <w:w w:val="120"/>
        </w:rPr>
        <w:t> </w:t>
      </w:r>
      <w:r>
        <w:rPr>
          <w:color w:val="231F20"/>
          <w:spacing w:val="-2"/>
          <w:w w:val="120"/>
        </w:rPr>
        <w:t>la</w:t>
      </w:r>
      <w:r>
        <w:rPr>
          <w:color w:val="231F20"/>
          <w:spacing w:val="-6"/>
          <w:w w:val="120"/>
        </w:rPr>
        <w:t> </w:t>
      </w:r>
      <w:r>
        <w:rPr>
          <w:color w:val="231F20"/>
          <w:spacing w:val="-2"/>
          <w:w w:val="120"/>
        </w:rPr>
        <w:t>santé</w:t>
      </w:r>
      <w:r>
        <w:rPr>
          <w:color w:val="231F20"/>
          <w:spacing w:val="-6"/>
          <w:w w:val="120"/>
        </w:rPr>
        <w:t> </w:t>
      </w:r>
      <w:r>
        <w:rPr>
          <w:color w:val="231F20"/>
          <w:spacing w:val="-2"/>
          <w:w w:val="120"/>
        </w:rPr>
        <w:t>et</w:t>
      </w:r>
      <w:r>
        <w:rPr>
          <w:color w:val="231F20"/>
          <w:spacing w:val="-6"/>
          <w:w w:val="120"/>
        </w:rPr>
        <w:t> </w:t>
      </w:r>
      <w:r>
        <w:rPr>
          <w:color w:val="231F20"/>
          <w:spacing w:val="-2"/>
          <w:w w:val="120"/>
        </w:rPr>
        <w:t>le</w:t>
      </w:r>
      <w:r>
        <w:rPr>
          <w:color w:val="231F20"/>
          <w:spacing w:val="-6"/>
          <w:w w:val="120"/>
        </w:rPr>
        <w:t> </w:t>
      </w:r>
      <w:r>
        <w:rPr>
          <w:color w:val="231F20"/>
          <w:spacing w:val="-2"/>
          <w:w w:val="120"/>
        </w:rPr>
        <w:t>bien-être </w:t>
      </w:r>
      <w:r>
        <w:rPr>
          <w:color w:val="231F20"/>
          <w:w w:val="120"/>
        </w:rPr>
        <w:t>psychologique. Nous prétendons que les travailleurs qui présenteront une</w:t>
      </w:r>
      <w:r>
        <w:rPr>
          <w:color w:val="231F20"/>
          <w:spacing w:val="-7"/>
          <w:w w:val="120"/>
        </w:rPr>
        <w:t> </w:t>
      </w:r>
      <w:r>
        <w:rPr>
          <w:color w:val="231F20"/>
          <w:w w:val="120"/>
        </w:rPr>
        <w:t>symptomatologie</w:t>
      </w:r>
      <w:r>
        <w:rPr>
          <w:color w:val="231F20"/>
          <w:spacing w:val="-7"/>
          <w:w w:val="120"/>
        </w:rPr>
        <w:t> </w:t>
      </w:r>
      <w:r>
        <w:rPr>
          <w:color w:val="231F20"/>
          <w:w w:val="120"/>
        </w:rPr>
        <w:t>moins</w:t>
      </w:r>
      <w:r>
        <w:rPr>
          <w:color w:val="231F20"/>
          <w:spacing w:val="-7"/>
          <w:w w:val="120"/>
        </w:rPr>
        <w:t> </w:t>
      </w:r>
      <w:r>
        <w:rPr>
          <w:color w:val="231F20"/>
          <w:w w:val="120"/>
        </w:rPr>
        <w:t>grave</w:t>
      </w:r>
      <w:r>
        <w:rPr>
          <w:color w:val="231F20"/>
          <w:spacing w:val="-7"/>
          <w:w w:val="120"/>
        </w:rPr>
        <w:t> </w:t>
      </w:r>
      <w:r>
        <w:rPr>
          <w:color w:val="231F20"/>
          <w:w w:val="120"/>
        </w:rPr>
        <w:t>sont</w:t>
      </w:r>
      <w:r>
        <w:rPr>
          <w:color w:val="231F20"/>
          <w:spacing w:val="-7"/>
          <w:w w:val="120"/>
        </w:rPr>
        <w:t> </w:t>
      </w:r>
      <w:r>
        <w:rPr>
          <w:color w:val="231F20"/>
          <w:w w:val="120"/>
        </w:rPr>
        <w:t>ceux</w:t>
      </w:r>
      <w:r>
        <w:rPr>
          <w:color w:val="231F20"/>
          <w:spacing w:val="-7"/>
          <w:w w:val="120"/>
        </w:rPr>
        <w:t> </w:t>
      </w:r>
      <w:r>
        <w:rPr>
          <w:color w:val="231F20"/>
          <w:w w:val="120"/>
        </w:rPr>
        <w:t>qui</w:t>
      </w:r>
      <w:r>
        <w:rPr>
          <w:color w:val="231F20"/>
          <w:spacing w:val="-7"/>
          <w:w w:val="120"/>
        </w:rPr>
        <w:t> </w:t>
      </w:r>
      <w:r>
        <w:rPr>
          <w:color w:val="231F20"/>
          <w:w w:val="120"/>
        </w:rPr>
        <w:t>ont</w:t>
      </w:r>
      <w:r>
        <w:rPr>
          <w:color w:val="231F20"/>
          <w:spacing w:val="-7"/>
          <w:w w:val="120"/>
        </w:rPr>
        <w:t> </w:t>
      </w:r>
      <w:r>
        <w:rPr>
          <w:color w:val="231F20"/>
          <w:w w:val="120"/>
        </w:rPr>
        <w:t>une</w:t>
      </w:r>
      <w:r>
        <w:rPr>
          <w:color w:val="231F20"/>
          <w:spacing w:val="-7"/>
          <w:w w:val="120"/>
        </w:rPr>
        <w:t> </w:t>
      </w:r>
      <w:r>
        <w:rPr>
          <w:color w:val="231F20"/>
          <w:w w:val="120"/>
        </w:rPr>
        <w:t>grande</w:t>
      </w:r>
      <w:r>
        <w:rPr>
          <w:color w:val="231F20"/>
          <w:spacing w:val="-7"/>
          <w:w w:val="120"/>
        </w:rPr>
        <w:t> </w:t>
      </w:r>
      <w:r>
        <w:rPr>
          <w:color w:val="231F20"/>
          <w:w w:val="120"/>
        </w:rPr>
        <w:t>valeur </w:t>
      </w:r>
      <w:r>
        <w:rPr>
          <w:color w:val="231F20"/>
          <w:spacing w:val="-2"/>
          <w:w w:val="120"/>
        </w:rPr>
        <w:t>de</w:t>
      </w:r>
      <w:r>
        <w:rPr>
          <w:color w:val="231F20"/>
          <w:spacing w:val="-8"/>
          <w:w w:val="120"/>
        </w:rPr>
        <w:t> </w:t>
      </w:r>
      <w:r>
        <w:rPr>
          <w:color w:val="231F20"/>
          <w:spacing w:val="-2"/>
          <w:w w:val="120"/>
        </w:rPr>
        <w:t>dévouement</w:t>
      </w:r>
      <w:r>
        <w:rPr>
          <w:color w:val="231F20"/>
          <w:spacing w:val="-8"/>
          <w:w w:val="120"/>
        </w:rPr>
        <w:t> </w:t>
      </w:r>
      <w:r>
        <w:rPr>
          <w:color w:val="231F20"/>
          <w:spacing w:val="-2"/>
          <w:w w:val="120"/>
        </w:rPr>
        <w:t>à</w:t>
      </w:r>
      <w:r>
        <w:rPr>
          <w:color w:val="231F20"/>
          <w:spacing w:val="-8"/>
          <w:w w:val="120"/>
        </w:rPr>
        <w:t> </w:t>
      </w:r>
      <w:r>
        <w:rPr>
          <w:color w:val="231F20"/>
          <w:spacing w:val="-2"/>
          <w:w w:val="120"/>
        </w:rPr>
        <w:t>la</w:t>
      </w:r>
      <w:r>
        <w:rPr>
          <w:color w:val="231F20"/>
          <w:spacing w:val="-8"/>
          <w:w w:val="120"/>
        </w:rPr>
        <w:t> </w:t>
      </w:r>
      <w:r>
        <w:rPr>
          <w:color w:val="231F20"/>
          <w:spacing w:val="-2"/>
          <w:w w:val="120"/>
        </w:rPr>
        <w:t>profession,</w:t>
      </w:r>
      <w:r>
        <w:rPr>
          <w:color w:val="231F20"/>
          <w:spacing w:val="-8"/>
          <w:w w:val="120"/>
        </w:rPr>
        <w:t> </w:t>
      </w:r>
      <w:r>
        <w:rPr>
          <w:color w:val="231F20"/>
          <w:spacing w:val="-2"/>
          <w:w w:val="120"/>
        </w:rPr>
        <w:t>au</w:t>
      </w:r>
      <w:r>
        <w:rPr>
          <w:color w:val="231F20"/>
          <w:spacing w:val="-8"/>
          <w:w w:val="120"/>
        </w:rPr>
        <w:t> </w:t>
      </w:r>
      <w:r>
        <w:rPr>
          <w:color w:val="231F20"/>
          <w:spacing w:val="-2"/>
          <w:w w:val="120"/>
        </w:rPr>
        <w:t>don</w:t>
      </w:r>
      <w:r>
        <w:rPr>
          <w:color w:val="231F20"/>
          <w:spacing w:val="-8"/>
          <w:w w:val="120"/>
        </w:rPr>
        <w:t> </w:t>
      </w:r>
      <w:r>
        <w:rPr>
          <w:color w:val="231F20"/>
          <w:spacing w:val="-2"/>
          <w:w w:val="120"/>
        </w:rPr>
        <w:t>de</w:t>
      </w:r>
      <w:r>
        <w:rPr>
          <w:color w:val="231F20"/>
          <w:spacing w:val="-8"/>
          <w:w w:val="120"/>
        </w:rPr>
        <w:t> </w:t>
      </w:r>
      <w:r>
        <w:rPr>
          <w:color w:val="231F20"/>
          <w:spacing w:val="-2"/>
          <w:w w:val="120"/>
        </w:rPr>
        <w:t>soi</w:t>
      </w:r>
      <w:r>
        <w:rPr>
          <w:color w:val="231F20"/>
          <w:spacing w:val="-8"/>
          <w:w w:val="120"/>
        </w:rPr>
        <w:t> </w:t>
      </w:r>
      <w:r>
        <w:rPr>
          <w:color w:val="231F20"/>
          <w:spacing w:val="-2"/>
          <w:w w:val="120"/>
        </w:rPr>
        <w:t>pour</w:t>
      </w:r>
      <w:r>
        <w:rPr>
          <w:color w:val="231F20"/>
          <w:spacing w:val="-8"/>
          <w:w w:val="120"/>
        </w:rPr>
        <w:t> </w:t>
      </w:r>
      <w:r>
        <w:rPr>
          <w:color w:val="231F20"/>
          <w:spacing w:val="-2"/>
          <w:w w:val="120"/>
        </w:rPr>
        <w:t>prodiguer</w:t>
      </w:r>
      <w:r>
        <w:rPr>
          <w:color w:val="231F20"/>
          <w:spacing w:val="-8"/>
          <w:w w:val="120"/>
        </w:rPr>
        <w:t> </w:t>
      </w:r>
      <w:r>
        <w:rPr>
          <w:color w:val="231F20"/>
          <w:spacing w:val="-2"/>
          <w:w w:val="120"/>
        </w:rPr>
        <w:t>des</w:t>
      </w:r>
      <w:r>
        <w:rPr>
          <w:color w:val="231F20"/>
          <w:spacing w:val="-8"/>
          <w:w w:val="120"/>
        </w:rPr>
        <w:t> </w:t>
      </w:r>
      <w:r>
        <w:rPr>
          <w:color w:val="231F20"/>
          <w:spacing w:val="-2"/>
          <w:w w:val="120"/>
        </w:rPr>
        <w:t>soins</w:t>
      </w:r>
      <w:r>
        <w:rPr>
          <w:color w:val="231F20"/>
          <w:spacing w:val="-8"/>
          <w:w w:val="120"/>
        </w:rPr>
        <w:t> </w:t>
      </w:r>
      <w:r>
        <w:rPr>
          <w:color w:val="231F20"/>
          <w:spacing w:val="-2"/>
          <w:w w:val="120"/>
        </w:rPr>
        <w:t>et </w:t>
      </w:r>
      <w:r>
        <w:rPr>
          <w:color w:val="231F20"/>
          <w:w w:val="120"/>
        </w:rPr>
        <w:t>des</w:t>
      </w:r>
      <w:r>
        <w:rPr>
          <w:color w:val="231F20"/>
          <w:spacing w:val="-13"/>
          <w:w w:val="120"/>
        </w:rPr>
        <w:t> </w:t>
      </w:r>
      <w:r>
        <w:rPr>
          <w:color w:val="231F20"/>
          <w:w w:val="120"/>
        </w:rPr>
        <w:t>valeurs</w:t>
      </w:r>
      <w:r>
        <w:rPr>
          <w:color w:val="231F20"/>
          <w:spacing w:val="-13"/>
          <w:w w:val="120"/>
        </w:rPr>
        <w:t> </w:t>
      </w:r>
      <w:r>
        <w:rPr>
          <w:color w:val="231F20"/>
          <w:w w:val="120"/>
        </w:rPr>
        <w:t>socioéthiques</w:t>
      </w:r>
      <w:r>
        <w:rPr>
          <w:color w:val="231F20"/>
          <w:spacing w:val="-13"/>
          <w:w w:val="120"/>
        </w:rPr>
        <w:t> </w:t>
      </w:r>
      <w:r>
        <w:rPr>
          <w:color w:val="231F20"/>
          <w:w w:val="120"/>
        </w:rPr>
        <w:t>similaires.</w:t>
      </w:r>
      <w:r>
        <w:rPr>
          <w:color w:val="231F20"/>
          <w:spacing w:val="-12"/>
          <w:w w:val="120"/>
        </w:rPr>
        <w:t> </w:t>
      </w:r>
      <w:r>
        <w:rPr>
          <w:color w:val="231F20"/>
          <w:w w:val="120"/>
        </w:rPr>
        <w:t>Leurs</w:t>
      </w:r>
      <w:r>
        <w:rPr>
          <w:color w:val="231F20"/>
          <w:spacing w:val="-13"/>
          <w:w w:val="120"/>
        </w:rPr>
        <w:t> </w:t>
      </w:r>
      <w:r>
        <w:rPr>
          <w:color w:val="231F20"/>
          <w:w w:val="120"/>
        </w:rPr>
        <w:t>valeurs</w:t>
      </w:r>
      <w:r>
        <w:rPr>
          <w:color w:val="231F20"/>
          <w:spacing w:val="-13"/>
          <w:w w:val="120"/>
        </w:rPr>
        <w:t> </w:t>
      </w:r>
      <w:r>
        <w:rPr>
          <w:color w:val="231F20"/>
          <w:w w:val="120"/>
        </w:rPr>
        <w:t>et</w:t>
      </w:r>
      <w:r>
        <w:rPr>
          <w:color w:val="231F20"/>
          <w:spacing w:val="-13"/>
          <w:w w:val="120"/>
        </w:rPr>
        <w:t> </w:t>
      </w:r>
      <w:r>
        <w:rPr>
          <w:color w:val="231F20"/>
          <w:w w:val="120"/>
        </w:rPr>
        <w:t>leur</w:t>
      </w:r>
      <w:r>
        <w:rPr>
          <w:color w:val="231F20"/>
          <w:spacing w:val="-12"/>
          <w:w w:val="120"/>
        </w:rPr>
        <w:t> </w:t>
      </w:r>
      <w:r>
        <w:rPr>
          <w:color w:val="231F20"/>
          <w:w w:val="120"/>
        </w:rPr>
        <w:t>conduite</w:t>
      </w:r>
      <w:r>
        <w:rPr>
          <w:color w:val="231F20"/>
          <w:spacing w:val="-13"/>
          <w:w w:val="120"/>
        </w:rPr>
        <w:t> </w:t>
      </w:r>
      <w:r>
        <w:rPr>
          <w:color w:val="231F20"/>
          <w:w w:val="120"/>
        </w:rPr>
        <w:t>sont </w:t>
      </w:r>
      <w:r>
        <w:rPr>
          <w:color w:val="231F20"/>
          <w:spacing w:val="-2"/>
          <w:w w:val="120"/>
        </w:rPr>
        <w:t>alors</w:t>
      </w:r>
      <w:r>
        <w:rPr>
          <w:color w:val="231F20"/>
          <w:spacing w:val="-4"/>
          <w:w w:val="120"/>
        </w:rPr>
        <w:t> </w:t>
      </w:r>
      <w:r>
        <w:rPr>
          <w:color w:val="231F20"/>
          <w:spacing w:val="-2"/>
          <w:w w:val="120"/>
        </w:rPr>
        <w:t>très</w:t>
      </w:r>
      <w:r>
        <w:rPr>
          <w:color w:val="231F20"/>
          <w:spacing w:val="-4"/>
          <w:w w:val="120"/>
        </w:rPr>
        <w:t> </w:t>
      </w:r>
      <w:r>
        <w:rPr>
          <w:color w:val="231F20"/>
          <w:spacing w:val="-2"/>
          <w:w w:val="120"/>
        </w:rPr>
        <w:t>cohérentes.</w:t>
      </w:r>
      <w:r>
        <w:rPr>
          <w:color w:val="231F20"/>
          <w:spacing w:val="-4"/>
          <w:w w:val="120"/>
        </w:rPr>
        <w:t> </w:t>
      </w:r>
      <w:r>
        <w:rPr>
          <w:color w:val="231F20"/>
          <w:spacing w:val="-2"/>
          <w:w w:val="120"/>
        </w:rPr>
        <w:t>Nous</w:t>
      </w:r>
      <w:r>
        <w:rPr>
          <w:color w:val="231F20"/>
          <w:spacing w:val="-4"/>
          <w:w w:val="120"/>
        </w:rPr>
        <w:t> </w:t>
      </w:r>
      <w:r>
        <w:rPr>
          <w:color w:val="231F20"/>
          <w:spacing w:val="-2"/>
          <w:w w:val="120"/>
        </w:rPr>
        <w:t>soutenons</w:t>
      </w:r>
      <w:r>
        <w:rPr>
          <w:color w:val="231F20"/>
          <w:spacing w:val="-4"/>
          <w:w w:val="120"/>
        </w:rPr>
        <w:t> </w:t>
      </w:r>
      <w:r>
        <w:rPr>
          <w:color w:val="231F20"/>
          <w:spacing w:val="-2"/>
          <w:w w:val="120"/>
        </w:rPr>
        <w:t>également</w:t>
      </w:r>
      <w:r>
        <w:rPr>
          <w:color w:val="231F20"/>
          <w:spacing w:val="-4"/>
          <w:w w:val="120"/>
        </w:rPr>
        <w:t> </w:t>
      </w:r>
      <w:r>
        <w:rPr>
          <w:color w:val="231F20"/>
          <w:spacing w:val="-2"/>
          <w:w w:val="120"/>
        </w:rPr>
        <w:t>que</w:t>
      </w:r>
      <w:r>
        <w:rPr>
          <w:color w:val="231F20"/>
          <w:spacing w:val="-4"/>
          <w:w w:val="120"/>
        </w:rPr>
        <w:t> </w:t>
      </w:r>
      <w:r>
        <w:rPr>
          <w:color w:val="231F20"/>
          <w:spacing w:val="-2"/>
          <w:w w:val="120"/>
        </w:rPr>
        <w:t>très</w:t>
      </w:r>
      <w:r>
        <w:rPr>
          <w:color w:val="231F20"/>
          <w:spacing w:val="-4"/>
          <w:w w:val="120"/>
        </w:rPr>
        <w:t> </w:t>
      </w:r>
      <w:r>
        <w:rPr>
          <w:color w:val="231F20"/>
          <w:spacing w:val="-2"/>
          <w:w w:val="120"/>
        </w:rPr>
        <w:t>probablement, conjointement, ces personnes bénéficient d’un niveau élevé d’estime </w:t>
      </w:r>
      <w:r>
        <w:rPr>
          <w:color w:val="231F20"/>
          <w:spacing w:val="-2"/>
          <w:w w:val="120"/>
        </w:rPr>
        <w:t>de </w:t>
      </w:r>
      <w:r>
        <w:rPr>
          <w:color w:val="231F20"/>
          <w:w w:val="120"/>
        </w:rPr>
        <w:t>soi. À ce stade, ce ne sont que des hypothèses, mais nous considérons que</w:t>
      </w:r>
      <w:r>
        <w:rPr>
          <w:color w:val="231F20"/>
          <w:spacing w:val="-12"/>
          <w:w w:val="120"/>
        </w:rPr>
        <w:t> </w:t>
      </w:r>
      <w:r>
        <w:rPr>
          <w:color w:val="231F20"/>
          <w:w w:val="120"/>
        </w:rPr>
        <w:t>les</w:t>
      </w:r>
      <w:r>
        <w:rPr>
          <w:color w:val="231F20"/>
          <w:spacing w:val="-12"/>
          <w:w w:val="120"/>
        </w:rPr>
        <w:t> </w:t>
      </w:r>
      <w:r>
        <w:rPr>
          <w:color w:val="231F20"/>
          <w:w w:val="120"/>
        </w:rPr>
        <w:t>recherches</w:t>
      </w:r>
      <w:r>
        <w:rPr>
          <w:color w:val="231F20"/>
          <w:spacing w:val="-12"/>
          <w:w w:val="120"/>
        </w:rPr>
        <w:t> </w:t>
      </w:r>
      <w:r>
        <w:rPr>
          <w:color w:val="231F20"/>
          <w:w w:val="120"/>
        </w:rPr>
        <w:t>à</w:t>
      </w:r>
      <w:r>
        <w:rPr>
          <w:color w:val="231F20"/>
          <w:spacing w:val="-12"/>
          <w:w w:val="120"/>
        </w:rPr>
        <w:t> </w:t>
      </w:r>
      <w:r>
        <w:rPr>
          <w:color w:val="231F20"/>
          <w:w w:val="120"/>
        </w:rPr>
        <w:t>venir</w:t>
      </w:r>
      <w:r>
        <w:rPr>
          <w:color w:val="231F20"/>
          <w:spacing w:val="-12"/>
          <w:w w:val="120"/>
        </w:rPr>
        <w:t> </w:t>
      </w:r>
      <w:r>
        <w:rPr>
          <w:color w:val="231F20"/>
          <w:w w:val="120"/>
        </w:rPr>
        <w:t>permettront</w:t>
      </w:r>
      <w:r>
        <w:rPr>
          <w:color w:val="231F20"/>
          <w:spacing w:val="-12"/>
          <w:w w:val="120"/>
        </w:rPr>
        <w:t> </w:t>
      </w:r>
      <w:r>
        <w:rPr>
          <w:color w:val="231F20"/>
          <w:w w:val="120"/>
        </w:rPr>
        <w:t>de</w:t>
      </w:r>
      <w:r>
        <w:rPr>
          <w:color w:val="231F20"/>
          <w:spacing w:val="-12"/>
          <w:w w:val="120"/>
        </w:rPr>
        <w:t> </w:t>
      </w:r>
      <w:r>
        <w:rPr>
          <w:color w:val="231F20"/>
          <w:w w:val="120"/>
        </w:rPr>
        <w:t>valider</w:t>
      </w:r>
      <w:r>
        <w:rPr>
          <w:color w:val="231F20"/>
          <w:spacing w:val="-12"/>
          <w:w w:val="120"/>
        </w:rPr>
        <w:t> </w:t>
      </w:r>
      <w:r>
        <w:rPr>
          <w:color w:val="231F20"/>
          <w:w w:val="120"/>
        </w:rPr>
        <w:t>ces</w:t>
      </w:r>
      <w:r>
        <w:rPr>
          <w:color w:val="231F20"/>
          <w:spacing w:val="-12"/>
          <w:w w:val="120"/>
        </w:rPr>
        <w:t> </w:t>
      </w:r>
      <w:r>
        <w:rPr>
          <w:color w:val="231F20"/>
          <w:w w:val="120"/>
        </w:rPr>
        <w:t>intuitions</w:t>
      </w:r>
      <w:r>
        <w:rPr>
          <w:color w:val="231F20"/>
          <w:spacing w:val="-12"/>
          <w:w w:val="120"/>
        </w:rPr>
        <w:t> </w:t>
      </w:r>
      <w:r>
        <w:rPr>
          <w:color w:val="231F20"/>
          <w:spacing w:val="-2"/>
          <w:w w:val="120"/>
        </w:rPr>
        <w:t>initiales.</w:t>
      </w:r>
    </w:p>
    <w:p>
      <w:pPr>
        <w:pStyle w:val="BodyText"/>
        <w:spacing w:line="307" w:lineRule="auto" w:before="78"/>
        <w:ind w:left="1219" w:right="102" w:firstLine="250"/>
        <w:jc w:val="both"/>
      </w:pPr>
      <w:r>
        <w:rPr>
          <w:color w:val="231F20"/>
          <w:w w:val="115"/>
        </w:rPr>
        <w:t>En ce qui concerne la population en général, un récent article de Pfefferbaum et North (2020) publié dans le </w:t>
      </w:r>
      <w:r>
        <w:rPr>
          <w:i/>
          <w:color w:val="231F20"/>
          <w:w w:val="115"/>
        </w:rPr>
        <w:t>New England Journal of Medicine</w:t>
      </w:r>
      <w:r>
        <w:rPr>
          <w:color w:val="231F20"/>
          <w:w w:val="115"/>
        </w:rPr>
        <w:t>, conclut que des millions de personnes sont touchées par les retombées</w:t>
      </w:r>
      <w:r>
        <w:rPr>
          <w:color w:val="231F20"/>
          <w:spacing w:val="-13"/>
          <w:w w:val="115"/>
        </w:rPr>
        <w:t> </w:t>
      </w:r>
      <w:r>
        <w:rPr>
          <w:color w:val="231F20"/>
          <w:w w:val="115"/>
        </w:rPr>
        <w:t>psychologiques</w:t>
      </w:r>
      <w:r>
        <w:rPr>
          <w:color w:val="231F20"/>
          <w:spacing w:val="-12"/>
          <w:w w:val="115"/>
        </w:rPr>
        <w:t> </w:t>
      </w:r>
      <w:r>
        <w:rPr>
          <w:color w:val="231F20"/>
          <w:w w:val="115"/>
        </w:rPr>
        <w:t>de</w:t>
      </w:r>
      <w:r>
        <w:rPr>
          <w:color w:val="231F20"/>
          <w:spacing w:val="-12"/>
          <w:w w:val="115"/>
        </w:rPr>
        <w:t> </w:t>
      </w:r>
      <w:r>
        <w:rPr>
          <w:color w:val="231F20"/>
          <w:w w:val="115"/>
        </w:rPr>
        <w:t>la</w:t>
      </w:r>
      <w:r>
        <w:rPr>
          <w:color w:val="231F20"/>
          <w:spacing w:val="-12"/>
          <w:w w:val="115"/>
        </w:rPr>
        <w:t> </w:t>
      </w:r>
      <w:r>
        <w:rPr>
          <w:color w:val="231F20"/>
          <w:w w:val="115"/>
        </w:rPr>
        <w:t>pandémie</w:t>
      </w:r>
      <w:r>
        <w:rPr>
          <w:color w:val="231F20"/>
          <w:spacing w:val="-13"/>
          <w:w w:val="115"/>
        </w:rPr>
        <w:t> </w:t>
      </w:r>
      <w:r>
        <w:rPr>
          <w:color w:val="231F20"/>
          <w:w w:val="115"/>
        </w:rPr>
        <w:t>de</w:t>
      </w:r>
      <w:r>
        <w:rPr>
          <w:color w:val="231F20"/>
          <w:spacing w:val="-12"/>
          <w:w w:val="115"/>
        </w:rPr>
        <w:t> </w:t>
      </w:r>
      <w:r>
        <w:rPr>
          <w:color w:val="231F20"/>
          <w:w w:val="115"/>
        </w:rPr>
        <w:t>COVID-19,</w:t>
      </w:r>
      <w:r>
        <w:rPr>
          <w:color w:val="231F20"/>
          <w:spacing w:val="-12"/>
          <w:w w:val="115"/>
        </w:rPr>
        <w:t> </w:t>
      </w:r>
      <w:r>
        <w:rPr>
          <w:color w:val="231F20"/>
          <w:w w:val="115"/>
        </w:rPr>
        <w:t>et</w:t>
      </w:r>
      <w:r>
        <w:rPr>
          <w:color w:val="231F20"/>
          <w:spacing w:val="-12"/>
          <w:w w:val="115"/>
        </w:rPr>
        <w:t> </w:t>
      </w:r>
      <w:r>
        <w:rPr>
          <w:color w:val="231F20"/>
          <w:w w:val="115"/>
        </w:rPr>
        <w:t>qu’un</w:t>
      </w:r>
      <w:r>
        <w:rPr>
          <w:color w:val="231F20"/>
          <w:spacing w:val="-12"/>
          <w:w w:val="115"/>
        </w:rPr>
        <w:t> </w:t>
      </w:r>
      <w:r>
        <w:rPr>
          <w:color w:val="231F20"/>
          <w:w w:val="115"/>
        </w:rPr>
        <w:t>nombre important de personnes peuvent éprouver de la détresse émotionnelle et courir un risque accru de développer des troubles psychologiques tels</w:t>
      </w:r>
      <w:r>
        <w:rPr>
          <w:color w:val="231F20"/>
          <w:spacing w:val="40"/>
          <w:w w:val="115"/>
        </w:rPr>
        <w:t> </w:t>
      </w:r>
      <w:r>
        <w:rPr>
          <w:color w:val="231F20"/>
          <w:w w:val="115"/>
        </w:rPr>
        <w:t>que</w:t>
      </w:r>
      <w:r>
        <w:rPr>
          <w:color w:val="231F20"/>
          <w:spacing w:val="-2"/>
          <w:w w:val="115"/>
        </w:rPr>
        <w:t> </w:t>
      </w:r>
      <w:r>
        <w:rPr>
          <w:color w:val="231F20"/>
          <w:w w:val="115"/>
        </w:rPr>
        <w:t>la</w:t>
      </w:r>
      <w:r>
        <w:rPr>
          <w:color w:val="231F20"/>
          <w:spacing w:val="-2"/>
          <w:w w:val="115"/>
        </w:rPr>
        <w:t> </w:t>
      </w:r>
      <w:r>
        <w:rPr>
          <w:color w:val="231F20"/>
          <w:w w:val="115"/>
        </w:rPr>
        <w:t>dépression</w:t>
      </w:r>
      <w:r>
        <w:rPr>
          <w:color w:val="231F20"/>
          <w:spacing w:val="-2"/>
          <w:w w:val="115"/>
        </w:rPr>
        <w:t> </w:t>
      </w:r>
      <w:r>
        <w:rPr>
          <w:color w:val="231F20"/>
          <w:w w:val="115"/>
        </w:rPr>
        <w:t>et</w:t>
      </w:r>
      <w:r>
        <w:rPr>
          <w:color w:val="231F20"/>
          <w:spacing w:val="-2"/>
          <w:w w:val="115"/>
        </w:rPr>
        <w:t> </w:t>
      </w:r>
      <w:r>
        <w:rPr>
          <w:color w:val="231F20"/>
          <w:w w:val="115"/>
        </w:rPr>
        <w:t>l’anxiété.</w:t>
      </w:r>
      <w:r>
        <w:rPr>
          <w:color w:val="231F20"/>
          <w:spacing w:val="-2"/>
          <w:w w:val="115"/>
        </w:rPr>
        <w:t> </w:t>
      </w:r>
      <w:r>
        <w:rPr>
          <w:color w:val="231F20"/>
          <w:w w:val="115"/>
        </w:rPr>
        <w:t>À</w:t>
      </w:r>
      <w:r>
        <w:rPr>
          <w:color w:val="231F20"/>
          <w:spacing w:val="-2"/>
          <w:w w:val="115"/>
        </w:rPr>
        <w:t> </w:t>
      </w:r>
      <w:r>
        <w:rPr>
          <w:color w:val="231F20"/>
          <w:w w:val="115"/>
        </w:rPr>
        <w:t>la</w:t>
      </w:r>
      <w:r>
        <w:rPr>
          <w:color w:val="231F20"/>
          <w:spacing w:val="-2"/>
          <w:w w:val="115"/>
        </w:rPr>
        <w:t> </w:t>
      </w:r>
      <w:r>
        <w:rPr>
          <w:color w:val="231F20"/>
          <w:w w:val="115"/>
        </w:rPr>
        <w:t>suite</w:t>
      </w:r>
      <w:r>
        <w:rPr>
          <w:color w:val="231F20"/>
          <w:spacing w:val="-2"/>
          <w:w w:val="115"/>
        </w:rPr>
        <w:t> </w:t>
      </w:r>
      <w:r>
        <w:rPr>
          <w:color w:val="231F20"/>
          <w:w w:val="115"/>
        </w:rPr>
        <w:t>de</w:t>
      </w:r>
      <w:r>
        <w:rPr>
          <w:color w:val="231F20"/>
          <w:spacing w:val="-2"/>
          <w:w w:val="115"/>
        </w:rPr>
        <w:t> </w:t>
      </w:r>
      <w:r>
        <w:rPr>
          <w:color w:val="231F20"/>
          <w:w w:val="115"/>
        </w:rPr>
        <w:t>leurs</w:t>
      </w:r>
      <w:r>
        <w:rPr>
          <w:color w:val="231F20"/>
          <w:spacing w:val="-2"/>
          <w:w w:val="115"/>
        </w:rPr>
        <w:t> </w:t>
      </w:r>
      <w:r>
        <w:rPr>
          <w:color w:val="231F20"/>
          <w:w w:val="115"/>
        </w:rPr>
        <w:t>études</w:t>
      </w:r>
      <w:r>
        <w:rPr>
          <w:color w:val="231F20"/>
          <w:spacing w:val="-2"/>
          <w:w w:val="115"/>
        </w:rPr>
        <w:t> </w:t>
      </w:r>
      <w:r>
        <w:rPr>
          <w:color w:val="231F20"/>
          <w:w w:val="115"/>
        </w:rPr>
        <w:t>sur</w:t>
      </w:r>
      <w:r>
        <w:rPr>
          <w:color w:val="231F20"/>
          <w:spacing w:val="-2"/>
          <w:w w:val="115"/>
        </w:rPr>
        <w:t> </w:t>
      </w:r>
      <w:r>
        <w:rPr>
          <w:color w:val="231F20"/>
          <w:w w:val="115"/>
        </w:rPr>
        <w:t>les</w:t>
      </w:r>
      <w:r>
        <w:rPr>
          <w:color w:val="231F20"/>
          <w:spacing w:val="-2"/>
          <w:w w:val="115"/>
        </w:rPr>
        <w:t> </w:t>
      </w:r>
      <w:r>
        <w:rPr>
          <w:color w:val="231F20"/>
          <w:w w:val="115"/>
        </w:rPr>
        <w:t>survivants de catastrophes, notamment les attaques terroristes du 11 septembre et l’ouragan Katrina, ils appellent les travailleurs de la santé à surveiller les besoins psychosociaux de leurs patients ainsi que d’eux-mêmes et de leurs collègues soignants pendant cette période. Un examen récent des effets sur les personnes mises en quarantaine et les prestataires de soins de santé lors d’épidémies antérieures a révélé la présence de stress, de dépression, d’insomnie, de peur, de colère et d’ennui, entre autres pro- blèmes. Chose intéressante, le coauteur de l’étude, le D</w:t>
      </w:r>
      <w:r>
        <w:rPr>
          <w:color w:val="231F20"/>
          <w:w w:val="115"/>
          <w:position w:val="6"/>
          <w:sz w:val="10"/>
        </w:rPr>
        <w:t>r</w:t>
      </w:r>
      <w:r>
        <w:rPr>
          <w:color w:val="231F20"/>
          <w:spacing w:val="29"/>
          <w:w w:val="115"/>
          <w:position w:val="6"/>
          <w:sz w:val="10"/>
        </w:rPr>
        <w:t> </w:t>
      </w:r>
      <w:r>
        <w:rPr>
          <w:color w:val="231F20"/>
          <w:w w:val="115"/>
        </w:rPr>
        <w:t>North, souligne également qu’un grand nombre de personnes ne développent pas de troubles psychologiques, car elles semblent être résilientes. Nous consi- dérons qu’une plus grande proportion de personnes résilientes dans ces contextes se retrouvent chez les personnes qui ont un niveau d’estime de soi relativement élevé et une bonne congruence des valeurs.</w:t>
      </w:r>
    </w:p>
    <w:p>
      <w:pPr>
        <w:pStyle w:val="BodyText"/>
        <w:spacing w:line="307" w:lineRule="auto" w:before="76"/>
        <w:ind w:left="1219" w:right="102" w:firstLine="250"/>
        <w:jc w:val="both"/>
      </w:pPr>
      <w:r>
        <w:rPr>
          <w:color w:val="231F20"/>
          <w:spacing w:val="-2"/>
          <w:w w:val="120"/>
        </w:rPr>
        <w:t>Ce</w:t>
      </w:r>
      <w:r>
        <w:rPr>
          <w:color w:val="231F20"/>
          <w:spacing w:val="-10"/>
          <w:w w:val="120"/>
        </w:rPr>
        <w:t> </w:t>
      </w:r>
      <w:r>
        <w:rPr>
          <w:color w:val="231F20"/>
          <w:spacing w:val="-2"/>
          <w:w w:val="120"/>
        </w:rPr>
        <w:t>que</w:t>
      </w:r>
      <w:r>
        <w:rPr>
          <w:color w:val="231F20"/>
          <w:spacing w:val="-10"/>
          <w:w w:val="120"/>
        </w:rPr>
        <w:t> </w:t>
      </w:r>
      <w:r>
        <w:rPr>
          <w:color w:val="231F20"/>
          <w:spacing w:val="-2"/>
          <w:w w:val="120"/>
        </w:rPr>
        <w:t>les</w:t>
      </w:r>
      <w:r>
        <w:rPr>
          <w:color w:val="231F20"/>
          <w:spacing w:val="-10"/>
          <w:w w:val="120"/>
        </w:rPr>
        <w:t> </w:t>
      </w:r>
      <w:r>
        <w:rPr>
          <w:color w:val="231F20"/>
          <w:spacing w:val="-2"/>
          <w:w w:val="120"/>
        </w:rPr>
        <w:t>coachs,</w:t>
      </w:r>
      <w:r>
        <w:rPr>
          <w:color w:val="231F20"/>
          <w:spacing w:val="-10"/>
          <w:w w:val="120"/>
        </w:rPr>
        <w:t> </w:t>
      </w:r>
      <w:r>
        <w:rPr>
          <w:color w:val="231F20"/>
          <w:spacing w:val="-2"/>
          <w:w w:val="120"/>
        </w:rPr>
        <w:t>thérapeutes,</w:t>
      </w:r>
      <w:r>
        <w:rPr>
          <w:color w:val="231F20"/>
          <w:spacing w:val="-10"/>
          <w:w w:val="120"/>
        </w:rPr>
        <w:t> </w:t>
      </w:r>
      <w:r>
        <w:rPr>
          <w:color w:val="231F20"/>
          <w:spacing w:val="-2"/>
          <w:w w:val="120"/>
        </w:rPr>
        <w:t>psychologues</w:t>
      </w:r>
      <w:r>
        <w:rPr>
          <w:color w:val="231F20"/>
          <w:spacing w:val="-10"/>
          <w:w w:val="120"/>
        </w:rPr>
        <w:t> </w:t>
      </w:r>
      <w:r>
        <w:rPr>
          <w:color w:val="231F20"/>
          <w:spacing w:val="-2"/>
          <w:w w:val="120"/>
        </w:rPr>
        <w:t>et</w:t>
      </w:r>
      <w:r>
        <w:rPr>
          <w:color w:val="231F20"/>
          <w:spacing w:val="-10"/>
          <w:w w:val="120"/>
        </w:rPr>
        <w:t> </w:t>
      </w:r>
      <w:r>
        <w:rPr>
          <w:color w:val="231F20"/>
          <w:spacing w:val="-2"/>
          <w:w w:val="120"/>
        </w:rPr>
        <w:t>autres</w:t>
      </w:r>
      <w:r>
        <w:rPr>
          <w:color w:val="231F20"/>
          <w:spacing w:val="-10"/>
          <w:w w:val="120"/>
        </w:rPr>
        <w:t> </w:t>
      </w:r>
      <w:r>
        <w:rPr>
          <w:color w:val="231F20"/>
          <w:spacing w:val="-2"/>
          <w:w w:val="120"/>
        </w:rPr>
        <w:t>professionnels </w:t>
      </w:r>
      <w:r>
        <w:rPr>
          <w:color w:val="231F20"/>
          <w:w w:val="120"/>
        </w:rPr>
        <w:t>de</w:t>
      </w:r>
      <w:r>
        <w:rPr>
          <w:color w:val="231F20"/>
          <w:spacing w:val="-9"/>
          <w:w w:val="120"/>
        </w:rPr>
        <w:t> </w:t>
      </w:r>
      <w:r>
        <w:rPr>
          <w:color w:val="231F20"/>
          <w:w w:val="120"/>
        </w:rPr>
        <w:t>la</w:t>
      </w:r>
      <w:r>
        <w:rPr>
          <w:color w:val="231F20"/>
          <w:spacing w:val="-9"/>
          <w:w w:val="120"/>
        </w:rPr>
        <w:t> </w:t>
      </w:r>
      <w:r>
        <w:rPr>
          <w:color w:val="231F20"/>
          <w:w w:val="120"/>
        </w:rPr>
        <w:t>santé</w:t>
      </w:r>
      <w:r>
        <w:rPr>
          <w:color w:val="231F20"/>
          <w:spacing w:val="-9"/>
          <w:w w:val="120"/>
        </w:rPr>
        <w:t> </w:t>
      </w:r>
      <w:r>
        <w:rPr>
          <w:color w:val="231F20"/>
          <w:w w:val="120"/>
        </w:rPr>
        <w:t>doivent</w:t>
      </w:r>
      <w:r>
        <w:rPr>
          <w:color w:val="231F20"/>
          <w:spacing w:val="-9"/>
          <w:w w:val="120"/>
        </w:rPr>
        <w:t> </w:t>
      </w:r>
      <w:r>
        <w:rPr>
          <w:color w:val="231F20"/>
          <w:w w:val="120"/>
        </w:rPr>
        <w:t>faire,</w:t>
      </w:r>
      <w:r>
        <w:rPr>
          <w:color w:val="231F20"/>
          <w:spacing w:val="-9"/>
          <w:w w:val="120"/>
        </w:rPr>
        <w:t> </w:t>
      </w:r>
      <w:r>
        <w:rPr>
          <w:color w:val="231F20"/>
          <w:w w:val="120"/>
        </w:rPr>
        <w:t>c’est</w:t>
      </w:r>
      <w:r>
        <w:rPr>
          <w:color w:val="231F20"/>
          <w:spacing w:val="-9"/>
          <w:w w:val="120"/>
        </w:rPr>
        <w:t> </w:t>
      </w:r>
      <w:r>
        <w:rPr>
          <w:color w:val="231F20"/>
          <w:w w:val="120"/>
        </w:rPr>
        <w:t>pouvoir</w:t>
      </w:r>
      <w:r>
        <w:rPr>
          <w:color w:val="231F20"/>
          <w:spacing w:val="-9"/>
          <w:w w:val="120"/>
        </w:rPr>
        <w:t> </w:t>
      </w:r>
      <w:r>
        <w:rPr>
          <w:color w:val="231F20"/>
          <w:w w:val="120"/>
        </w:rPr>
        <w:t>diagnostiquer</w:t>
      </w:r>
      <w:r>
        <w:rPr>
          <w:color w:val="231F20"/>
          <w:spacing w:val="-9"/>
          <w:w w:val="120"/>
        </w:rPr>
        <w:t> </w:t>
      </w:r>
      <w:r>
        <w:rPr>
          <w:color w:val="231F20"/>
          <w:w w:val="120"/>
        </w:rPr>
        <w:t>à</w:t>
      </w:r>
      <w:r>
        <w:rPr>
          <w:color w:val="231F20"/>
          <w:spacing w:val="-9"/>
          <w:w w:val="120"/>
        </w:rPr>
        <w:t> </w:t>
      </w:r>
      <w:r>
        <w:rPr>
          <w:color w:val="231F20"/>
          <w:w w:val="120"/>
        </w:rPr>
        <w:t>temps</w:t>
      </w:r>
      <w:r>
        <w:rPr>
          <w:color w:val="231F20"/>
          <w:spacing w:val="-9"/>
          <w:w w:val="120"/>
        </w:rPr>
        <w:t> </w:t>
      </w:r>
      <w:r>
        <w:rPr>
          <w:color w:val="231F20"/>
          <w:w w:val="120"/>
        </w:rPr>
        <w:t>et</w:t>
      </w:r>
      <w:r>
        <w:rPr>
          <w:color w:val="231F20"/>
          <w:spacing w:val="-9"/>
          <w:w w:val="120"/>
        </w:rPr>
        <w:t> </w:t>
      </w:r>
      <w:r>
        <w:rPr>
          <w:color w:val="231F20"/>
          <w:w w:val="120"/>
        </w:rPr>
        <w:t>évaluer rapidement</w:t>
      </w:r>
      <w:r>
        <w:rPr>
          <w:color w:val="231F20"/>
          <w:spacing w:val="-9"/>
          <w:w w:val="120"/>
        </w:rPr>
        <w:t> </w:t>
      </w:r>
      <w:r>
        <w:rPr>
          <w:color w:val="231F20"/>
          <w:w w:val="120"/>
        </w:rPr>
        <w:t>l’état</w:t>
      </w:r>
      <w:r>
        <w:rPr>
          <w:color w:val="231F20"/>
          <w:spacing w:val="-9"/>
          <w:w w:val="120"/>
        </w:rPr>
        <w:t> </w:t>
      </w:r>
      <w:r>
        <w:rPr>
          <w:color w:val="231F20"/>
          <w:w w:val="120"/>
        </w:rPr>
        <w:t>émotionnel</w:t>
      </w:r>
      <w:r>
        <w:rPr>
          <w:color w:val="231F20"/>
          <w:spacing w:val="-9"/>
          <w:w w:val="120"/>
        </w:rPr>
        <w:t> </w:t>
      </w:r>
      <w:r>
        <w:rPr>
          <w:color w:val="231F20"/>
          <w:w w:val="120"/>
        </w:rPr>
        <w:t>d’une</w:t>
      </w:r>
      <w:r>
        <w:rPr>
          <w:color w:val="231F20"/>
          <w:spacing w:val="-9"/>
          <w:w w:val="120"/>
        </w:rPr>
        <w:t> </w:t>
      </w:r>
      <w:r>
        <w:rPr>
          <w:color w:val="231F20"/>
          <w:w w:val="120"/>
        </w:rPr>
        <w:t>personne</w:t>
      </w:r>
      <w:r>
        <w:rPr>
          <w:color w:val="231F20"/>
          <w:spacing w:val="-9"/>
          <w:w w:val="120"/>
        </w:rPr>
        <w:t> </w:t>
      </w:r>
      <w:r>
        <w:rPr>
          <w:color w:val="231F20"/>
          <w:w w:val="120"/>
        </w:rPr>
        <w:t>grâce</w:t>
      </w:r>
      <w:r>
        <w:rPr>
          <w:color w:val="231F20"/>
          <w:spacing w:val="-9"/>
          <w:w w:val="120"/>
        </w:rPr>
        <w:t> </w:t>
      </w:r>
      <w:r>
        <w:rPr>
          <w:color w:val="231F20"/>
          <w:w w:val="120"/>
        </w:rPr>
        <w:t>à</w:t>
      </w:r>
      <w:r>
        <w:rPr>
          <w:color w:val="231F20"/>
          <w:spacing w:val="-9"/>
          <w:w w:val="120"/>
        </w:rPr>
        <w:t> </w:t>
      </w:r>
      <w:r>
        <w:rPr>
          <w:color w:val="231F20"/>
          <w:w w:val="120"/>
        </w:rPr>
        <w:t>des</w:t>
      </w:r>
      <w:r>
        <w:rPr>
          <w:color w:val="231F20"/>
          <w:spacing w:val="-9"/>
          <w:w w:val="120"/>
        </w:rPr>
        <w:t> </w:t>
      </w:r>
      <w:r>
        <w:rPr>
          <w:color w:val="231F20"/>
          <w:w w:val="120"/>
        </w:rPr>
        <w:t>outils</w:t>
      </w:r>
      <w:r>
        <w:rPr>
          <w:color w:val="231F20"/>
          <w:spacing w:val="-9"/>
          <w:w w:val="120"/>
        </w:rPr>
        <w:t> </w:t>
      </w:r>
      <w:r>
        <w:rPr>
          <w:color w:val="231F20"/>
          <w:w w:val="120"/>
        </w:rPr>
        <w:t>simples et conviviaux permettant d’estimer les niveaux combinés d’estime de </w:t>
      </w:r>
      <w:r>
        <w:rPr>
          <w:color w:val="231F20"/>
          <w:spacing w:val="-2"/>
          <w:w w:val="120"/>
        </w:rPr>
        <w:t>soi</w:t>
      </w:r>
      <w:r>
        <w:rPr>
          <w:color w:val="231F20"/>
          <w:spacing w:val="-7"/>
          <w:w w:val="120"/>
        </w:rPr>
        <w:t> </w:t>
      </w:r>
      <w:r>
        <w:rPr>
          <w:color w:val="231F20"/>
          <w:spacing w:val="-2"/>
          <w:w w:val="120"/>
        </w:rPr>
        <w:t>et</w:t>
      </w:r>
      <w:r>
        <w:rPr>
          <w:color w:val="231F20"/>
          <w:spacing w:val="-7"/>
          <w:w w:val="120"/>
        </w:rPr>
        <w:t> </w:t>
      </w:r>
      <w:r>
        <w:rPr>
          <w:color w:val="231F20"/>
          <w:spacing w:val="-2"/>
          <w:w w:val="120"/>
        </w:rPr>
        <w:t>de</w:t>
      </w:r>
      <w:r>
        <w:rPr>
          <w:color w:val="231F20"/>
          <w:spacing w:val="-7"/>
          <w:w w:val="120"/>
        </w:rPr>
        <w:t> </w:t>
      </w:r>
      <w:r>
        <w:rPr>
          <w:color w:val="231F20"/>
          <w:spacing w:val="-2"/>
          <w:w w:val="120"/>
        </w:rPr>
        <w:t>congruence</w:t>
      </w:r>
      <w:r>
        <w:rPr>
          <w:color w:val="231F20"/>
          <w:spacing w:val="-7"/>
          <w:w w:val="120"/>
        </w:rPr>
        <w:t> </w:t>
      </w:r>
      <w:r>
        <w:rPr>
          <w:color w:val="231F20"/>
          <w:spacing w:val="-2"/>
          <w:w w:val="120"/>
        </w:rPr>
        <w:t>des</w:t>
      </w:r>
      <w:r>
        <w:rPr>
          <w:color w:val="231F20"/>
          <w:spacing w:val="-7"/>
          <w:w w:val="120"/>
        </w:rPr>
        <w:t> </w:t>
      </w:r>
      <w:r>
        <w:rPr>
          <w:color w:val="231F20"/>
          <w:spacing w:val="-2"/>
          <w:w w:val="120"/>
        </w:rPr>
        <w:t>valeurs.</w:t>
      </w:r>
      <w:r>
        <w:rPr>
          <w:color w:val="231F20"/>
          <w:spacing w:val="-7"/>
          <w:w w:val="120"/>
        </w:rPr>
        <w:t> </w:t>
      </w:r>
      <w:r>
        <w:rPr>
          <w:color w:val="231F20"/>
          <w:spacing w:val="-2"/>
          <w:w w:val="120"/>
        </w:rPr>
        <w:t>Pendant,</w:t>
      </w:r>
      <w:r>
        <w:rPr>
          <w:color w:val="231F20"/>
          <w:spacing w:val="-7"/>
          <w:w w:val="120"/>
        </w:rPr>
        <w:t> </w:t>
      </w:r>
      <w:r>
        <w:rPr>
          <w:color w:val="231F20"/>
          <w:spacing w:val="-2"/>
          <w:w w:val="120"/>
        </w:rPr>
        <w:t>et</w:t>
      </w:r>
      <w:r>
        <w:rPr>
          <w:color w:val="231F20"/>
          <w:spacing w:val="-7"/>
          <w:w w:val="120"/>
        </w:rPr>
        <w:t> </w:t>
      </w:r>
      <w:r>
        <w:rPr>
          <w:color w:val="231F20"/>
          <w:spacing w:val="-2"/>
          <w:w w:val="120"/>
        </w:rPr>
        <w:t>aussi</w:t>
      </w:r>
      <w:r>
        <w:rPr>
          <w:color w:val="231F20"/>
          <w:spacing w:val="-7"/>
          <w:w w:val="120"/>
        </w:rPr>
        <w:t> </w:t>
      </w:r>
      <w:r>
        <w:rPr>
          <w:color w:val="231F20"/>
          <w:spacing w:val="-2"/>
          <w:w w:val="120"/>
        </w:rPr>
        <w:t>après</w:t>
      </w:r>
      <w:r>
        <w:rPr>
          <w:color w:val="231F20"/>
          <w:spacing w:val="-7"/>
          <w:w w:val="120"/>
        </w:rPr>
        <w:t> </w:t>
      </w:r>
      <w:r>
        <w:rPr>
          <w:color w:val="231F20"/>
          <w:spacing w:val="-2"/>
          <w:w w:val="120"/>
        </w:rPr>
        <w:t>cette</w:t>
      </w:r>
      <w:r>
        <w:rPr>
          <w:color w:val="231F20"/>
          <w:spacing w:val="-7"/>
          <w:w w:val="120"/>
        </w:rPr>
        <w:t> </w:t>
      </w:r>
      <w:r>
        <w:rPr>
          <w:color w:val="231F20"/>
          <w:spacing w:val="-2"/>
          <w:w w:val="120"/>
        </w:rPr>
        <w:t>pandémie, </w:t>
      </w:r>
      <w:r>
        <w:rPr>
          <w:color w:val="231F20"/>
          <w:w w:val="115"/>
        </w:rPr>
        <w:t>il</w:t>
      </w:r>
      <w:r>
        <w:rPr>
          <w:color w:val="231F20"/>
          <w:spacing w:val="-5"/>
          <w:w w:val="115"/>
        </w:rPr>
        <w:t> </w:t>
      </w:r>
      <w:r>
        <w:rPr>
          <w:color w:val="231F20"/>
          <w:w w:val="115"/>
        </w:rPr>
        <w:t>sera</w:t>
      </w:r>
      <w:r>
        <w:rPr>
          <w:color w:val="231F20"/>
          <w:spacing w:val="-5"/>
          <w:w w:val="115"/>
        </w:rPr>
        <w:t> </w:t>
      </w:r>
      <w:r>
        <w:rPr>
          <w:color w:val="231F20"/>
          <w:w w:val="115"/>
        </w:rPr>
        <w:t>primordial</w:t>
      </w:r>
      <w:r>
        <w:rPr>
          <w:color w:val="231F20"/>
          <w:spacing w:val="-5"/>
          <w:w w:val="115"/>
        </w:rPr>
        <w:t> </w:t>
      </w:r>
      <w:r>
        <w:rPr>
          <w:color w:val="231F20"/>
          <w:w w:val="115"/>
        </w:rPr>
        <w:t>de</w:t>
      </w:r>
      <w:r>
        <w:rPr>
          <w:color w:val="231F20"/>
          <w:spacing w:val="-5"/>
          <w:w w:val="115"/>
        </w:rPr>
        <w:t> </w:t>
      </w:r>
      <w:r>
        <w:rPr>
          <w:color w:val="231F20"/>
          <w:w w:val="115"/>
        </w:rPr>
        <w:t>renforcer</w:t>
      </w:r>
      <w:r>
        <w:rPr>
          <w:color w:val="231F20"/>
          <w:spacing w:val="-5"/>
          <w:w w:val="115"/>
        </w:rPr>
        <w:t> </w:t>
      </w:r>
      <w:r>
        <w:rPr>
          <w:color w:val="231F20"/>
          <w:w w:val="115"/>
        </w:rPr>
        <w:t>l’estime</w:t>
      </w:r>
      <w:r>
        <w:rPr>
          <w:color w:val="231F20"/>
          <w:spacing w:val="-5"/>
          <w:w w:val="115"/>
        </w:rPr>
        <w:t> </w:t>
      </w:r>
      <w:r>
        <w:rPr>
          <w:color w:val="231F20"/>
          <w:w w:val="115"/>
        </w:rPr>
        <w:t>de</w:t>
      </w:r>
      <w:r>
        <w:rPr>
          <w:color w:val="231F20"/>
          <w:spacing w:val="-5"/>
          <w:w w:val="115"/>
        </w:rPr>
        <w:t> </w:t>
      </w:r>
      <w:r>
        <w:rPr>
          <w:color w:val="231F20"/>
          <w:w w:val="115"/>
        </w:rPr>
        <w:t>soi</w:t>
      </w:r>
      <w:r>
        <w:rPr>
          <w:color w:val="231F20"/>
          <w:spacing w:val="-5"/>
          <w:w w:val="115"/>
        </w:rPr>
        <w:t> </w:t>
      </w:r>
      <w:r>
        <w:rPr>
          <w:color w:val="231F20"/>
          <w:w w:val="115"/>
        </w:rPr>
        <w:t>et</w:t>
      </w:r>
      <w:r>
        <w:rPr>
          <w:color w:val="231F20"/>
          <w:spacing w:val="-5"/>
          <w:w w:val="115"/>
        </w:rPr>
        <w:t> </w:t>
      </w:r>
      <w:r>
        <w:rPr>
          <w:color w:val="231F20"/>
          <w:w w:val="115"/>
        </w:rPr>
        <w:t>la</w:t>
      </w:r>
      <w:r>
        <w:rPr>
          <w:color w:val="231F20"/>
          <w:spacing w:val="-5"/>
          <w:w w:val="115"/>
        </w:rPr>
        <w:t> </w:t>
      </w:r>
      <w:r>
        <w:rPr>
          <w:color w:val="231F20"/>
          <w:w w:val="115"/>
        </w:rPr>
        <w:t>prise</w:t>
      </w:r>
      <w:r>
        <w:rPr>
          <w:color w:val="231F20"/>
          <w:spacing w:val="-5"/>
          <w:w w:val="115"/>
        </w:rPr>
        <w:t> </w:t>
      </w:r>
      <w:r>
        <w:rPr>
          <w:color w:val="231F20"/>
          <w:w w:val="115"/>
        </w:rPr>
        <w:t>de</w:t>
      </w:r>
      <w:r>
        <w:rPr>
          <w:color w:val="231F20"/>
          <w:spacing w:val="-5"/>
          <w:w w:val="115"/>
        </w:rPr>
        <w:t> </w:t>
      </w:r>
      <w:r>
        <w:rPr>
          <w:color w:val="231F20"/>
          <w:w w:val="115"/>
        </w:rPr>
        <w:t>conscience</w:t>
      </w:r>
      <w:r>
        <w:rPr>
          <w:color w:val="231F20"/>
          <w:spacing w:val="-5"/>
          <w:w w:val="115"/>
        </w:rPr>
        <w:t> </w:t>
      </w:r>
      <w:r>
        <w:rPr>
          <w:color w:val="231F20"/>
          <w:w w:val="115"/>
        </w:rPr>
        <w:t>par </w:t>
      </w:r>
      <w:r>
        <w:rPr>
          <w:color w:val="231F20"/>
          <w:spacing w:val="-2"/>
          <w:w w:val="120"/>
        </w:rPr>
        <w:t>les</w:t>
      </w:r>
      <w:r>
        <w:rPr>
          <w:color w:val="231F20"/>
          <w:spacing w:val="-10"/>
          <w:w w:val="120"/>
        </w:rPr>
        <w:t> </w:t>
      </w:r>
      <w:r>
        <w:rPr>
          <w:color w:val="231F20"/>
          <w:spacing w:val="-2"/>
          <w:w w:val="120"/>
        </w:rPr>
        <w:t>personnes</w:t>
      </w:r>
      <w:r>
        <w:rPr>
          <w:color w:val="231F20"/>
          <w:spacing w:val="-10"/>
          <w:w w:val="120"/>
        </w:rPr>
        <w:t> </w:t>
      </w:r>
      <w:r>
        <w:rPr>
          <w:color w:val="231F20"/>
          <w:spacing w:val="-2"/>
          <w:w w:val="120"/>
        </w:rPr>
        <w:t>de</w:t>
      </w:r>
      <w:r>
        <w:rPr>
          <w:color w:val="231F20"/>
          <w:spacing w:val="-10"/>
          <w:w w:val="120"/>
        </w:rPr>
        <w:t> </w:t>
      </w:r>
      <w:r>
        <w:rPr>
          <w:color w:val="231F20"/>
          <w:spacing w:val="-2"/>
          <w:w w:val="120"/>
        </w:rPr>
        <w:t>leurs</w:t>
      </w:r>
      <w:r>
        <w:rPr>
          <w:color w:val="231F20"/>
          <w:spacing w:val="-10"/>
          <w:w w:val="120"/>
        </w:rPr>
        <w:t> </w:t>
      </w:r>
      <w:r>
        <w:rPr>
          <w:color w:val="231F20"/>
          <w:spacing w:val="-2"/>
          <w:w w:val="120"/>
        </w:rPr>
        <w:t>valeurs</w:t>
      </w:r>
      <w:r>
        <w:rPr>
          <w:color w:val="231F20"/>
          <w:spacing w:val="-10"/>
          <w:w w:val="120"/>
        </w:rPr>
        <w:t> </w:t>
      </w:r>
      <w:r>
        <w:rPr>
          <w:color w:val="231F20"/>
          <w:spacing w:val="-2"/>
          <w:w w:val="120"/>
        </w:rPr>
        <w:t>fondamentales</w:t>
      </w:r>
      <w:r>
        <w:rPr>
          <w:color w:val="231F20"/>
          <w:spacing w:val="-10"/>
          <w:w w:val="120"/>
        </w:rPr>
        <w:t> </w:t>
      </w:r>
      <w:r>
        <w:rPr>
          <w:color w:val="231F20"/>
          <w:spacing w:val="-2"/>
          <w:w w:val="120"/>
        </w:rPr>
        <w:t>(ce</w:t>
      </w:r>
      <w:r>
        <w:rPr>
          <w:color w:val="231F20"/>
          <w:spacing w:val="-10"/>
          <w:w w:val="120"/>
        </w:rPr>
        <w:t> </w:t>
      </w:r>
      <w:r>
        <w:rPr>
          <w:color w:val="231F20"/>
          <w:spacing w:val="-2"/>
          <w:w w:val="120"/>
        </w:rPr>
        <w:t>qui</w:t>
      </w:r>
      <w:r>
        <w:rPr>
          <w:color w:val="231F20"/>
          <w:spacing w:val="-10"/>
          <w:w w:val="120"/>
        </w:rPr>
        <w:t> </w:t>
      </w:r>
      <w:r>
        <w:rPr>
          <w:color w:val="231F20"/>
          <w:spacing w:val="-2"/>
          <w:w w:val="120"/>
        </w:rPr>
        <w:t>est</w:t>
      </w:r>
      <w:r>
        <w:rPr>
          <w:color w:val="231F20"/>
          <w:spacing w:val="-10"/>
          <w:w w:val="120"/>
        </w:rPr>
        <w:t> </w:t>
      </w:r>
      <w:r>
        <w:rPr>
          <w:color w:val="231F20"/>
          <w:spacing w:val="-2"/>
          <w:w w:val="120"/>
        </w:rPr>
        <w:t>vraiment</w:t>
      </w:r>
      <w:r>
        <w:rPr>
          <w:color w:val="231F20"/>
          <w:spacing w:val="-10"/>
          <w:w w:val="120"/>
        </w:rPr>
        <w:t> </w:t>
      </w:r>
      <w:r>
        <w:rPr>
          <w:color w:val="231F20"/>
          <w:spacing w:val="-2"/>
          <w:w w:val="120"/>
        </w:rPr>
        <w:t>impor- </w:t>
      </w:r>
      <w:r>
        <w:rPr>
          <w:color w:val="231F20"/>
          <w:w w:val="120"/>
        </w:rPr>
        <w:t>tant</w:t>
      </w:r>
      <w:r>
        <w:rPr>
          <w:color w:val="231F20"/>
          <w:spacing w:val="-10"/>
          <w:w w:val="120"/>
        </w:rPr>
        <w:t> </w:t>
      </w:r>
      <w:r>
        <w:rPr>
          <w:color w:val="231F20"/>
          <w:w w:val="120"/>
        </w:rPr>
        <w:t>pour</w:t>
      </w:r>
      <w:r>
        <w:rPr>
          <w:color w:val="231F20"/>
          <w:spacing w:val="-10"/>
          <w:w w:val="120"/>
        </w:rPr>
        <w:t> </w:t>
      </w:r>
      <w:r>
        <w:rPr>
          <w:color w:val="231F20"/>
          <w:w w:val="120"/>
        </w:rPr>
        <w:t>elles</w:t>
      </w:r>
      <w:r>
        <w:rPr>
          <w:color w:val="231F20"/>
          <w:spacing w:val="-10"/>
          <w:w w:val="120"/>
        </w:rPr>
        <w:t> </w:t>
      </w:r>
      <w:r>
        <w:rPr>
          <w:color w:val="231F20"/>
          <w:w w:val="120"/>
        </w:rPr>
        <w:t>en</w:t>
      </w:r>
      <w:r>
        <w:rPr>
          <w:color w:val="231F20"/>
          <w:spacing w:val="-10"/>
          <w:w w:val="120"/>
        </w:rPr>
        <w:t> </w:t>
      </w:r>
      <w:r>
        <w:rPr>
          <w:color w:val="231F20"/>
          <w:w w:val="120"/>
        </w:rPr>
        <w:t>fonction</w:t>
      </w:r>
      <w:r>
        <w:rPr>
          <w:color w:val="231F20"/>
          <w:spacing w:val="-10"/>
          <w:w w:val="120"/>
        </w:rPr>
        <w:t> </w:t>
      </w:r>
      <w:r>
        <w:rPr>
          <w:color w:val="231F20"/>
          <w:w w:val="120"/>
        </w:rPr>
        <w:t>de</w:t>
      </w:r>
      <w:r>
        <w:rPr>
          <w:color w:val="231F20"/>
          <w:spacing w:val="-10"/>
          <w:w w:val="120"/>
        </w:rPr>
        <w:t> </w:t>
      </w:r>
      <w:r>
        <w:rPr>
          <w:color w:val="231F20"/>
          <w:w w:val="120"/>
        </w:rPr>
        <w:t>leurs</w:t>
      </w:r>
      <w:r>
        <w:rPr>
          <w:color w:val="231F20"/>
          <w:spacing w:val="-10"/>
          <w:w w:val="120"/>
        </w:rPr>
        <w:t> </w:t>
      </w:r>
      <w:r>
        <w:rPr>
          <w:color w:val="231F20"/>
          <w:w w:val="120"/>
        </w:rPr>
        <w:t>objectifs</w:t>
      </w:r>
      <w:r>
        <w:rPr>
          <w:color w:val="231F20"/>
          <w:spacing w:val="-10"/>
          <w:w w:val="120"/>
        </w:rPr>
        <w:t> </w:t>
      </w:r>
      <w:r>
        <w:rPr>
          <w:color w:val="231F20"/>
          <w:w w:val="120"/>
        </w:rPr>
        <w:t>réalistes).</w:t>
      </w:r>
      <w:r>
        <w:rPr>
          <w:color w:val="231F20"/>
          <w:spacing w:val="-10"/>
          <w:w w:val="120"/>
        </w:rPr>
        <w:t> </w:t>
      </w:r>
      <w:r>
        <w:rPr>
          <w:color w:val="231F20"/>
          <w:w w:val="120"/>
        </w:rPr>
        <w:t>Afin</w:t>
      </w:r>
      <w:r>
        <w:rPr>
          <w:color w:val="231F20"/>
          <w:spacing w:val="-10"/>
          <w:w w:val="120"/>
        </w:rPr>
        <w:t> </w:t>
      </w:r>
      <w:r>
        <w:rPr>
          <w:color w:val="231F20"/>
          <w:w w:val="120"/>
        </w:rPr>
        <w:t>de</w:t>
      </w:r>
      <w:r>
        <w:rPr>
          <w:color w:val="231F20"/>
          <w:spacing w:val="-10"/>
          <w:w w:val="120"/>
        </w:rPr>
        <w:t> </w:t>
      </w:r>
      <w:r>
        <w:rPr>
          <w:color w:val="231F20"/>
          <w:w w:val="120"/>
        </w:rPr>
        <w:t>terminer ce</w:t>
      </w:r>
      <w:r>
        <w:rPr>
          <w:color w:val="231F20"/>
          <w:spacing w:val="4"/>
          <w:w w:val="120"/>
        </w:rPr>
        <w:t> </w:t>
      </w:r>
      <w:r>
        <w:rPr>
          <w:color w:val="231F20"/>
          <w:w w:val="120"/>
        </w:rPr>
        <w:t>texte</w:t>
      </w:r>
      <w:r>
        <w:rPr>
          <w:color w:val="231F20"/>
          <w:spacing w:val="4"/>
          <w:w w:val="120"/>
        </w:rPr>
        <w:t> </w:t>
      </w:r>
      <w:r>
        <w:rPr>
          <w:color w:val="231F20"/>
          <w:w w:val="120"/>
        </w:rPr>
        <w:t>sur</w:t>
      </w:r>
      <w:r>
        <w:rPr>
          <w:color w:val="231F20"/>
          <w:spacing w:val="5"/>
          <w:w w:val="120"/>
        </w:rPr>
        <w:t> </w:t>
      </w:r>
      <w:r>
        <w:rPr>
          <w:color w:val="231F20"/>
          <w:w w:val="120"/>
        </w:rPr>
        <w:t>une</w:t>
      </w:r>
      <w:r>
        <w:rPr>
          <w:color w:val="231F20"/>
          <w:spacing w:val="4"/>
          <w:w w:val="120"/>
        </w:rPr>
        <w:t> </w:t>
      </w:r>
      <w:r>
        <w:rPr>
          <w:color w:val="231F20"/>
          <w:w w:val="120"/>
        </w:rPr>
        <w:t>note</w:t>
      </w:r>
      <w:r>
        <w:rPr>
          <w:color w:val="231F20"/>
          <w:spacing w:val="4"/>
          <w:w w:val="120"/>
        </w:rPr>
        <w:t> </w:t>
      </w:r>
      <w:r>
        <w:rPr>
          <w:color w:val="231F20"/>
          <w:w w:val="120"/>
        </w:rPr>
        <w:t>positive</w:t>
      </w:r>
      <w:r>
        <w:rPr>
          <w:color w:val="231F20"/>
          <w:spacing w:val="5"/>
          <w:w w:val="120"/>
        </w:rPr>
        <w:t> </w:t>
      </w:r>
      <w:r>
        <w:rPr>
          <w:color w:val="231F20"/>
          <w:w w:val="120"/>
        </w:rPr>
        <w:t>et</w:t>
      </w:r>
      <w:r>
        <w:rPr>
          <w:color w:val="231F20"/>
          <w:spacing w:val="4"/>
          <w:w w:val="120"/>
        </w:rPr>
        <w:t> </w:t>
      </w:r>
      <w:r>
        <w:rPr>
          <w:color w:val="231F20"/>
          <w:w w:val="120"/>
        </w:rPr>
        <w:t>pratique,</w:t>
      </w:r>
      <w:r>
        <w:rPr>
          <w:color w:val="231F20"/>
          <w:spacing w:val="5"/>
          <w:w w:val="120"/>
        </w:rPr>
        <w:t> </w:t>
      </w:r>
      <w:r>
        <w:rPr>
          <w:color w:val="231F20"/>
          <w:w w:val="120"/>
        </w:rPr>
        <w:t>nous</w:t>
      </w:r>
      <w:r>
        <w:rPr>
          <w:color w:val="231F20"/>
          <w:spacing w:val="4"/>
          <w:w w:val="120"/>
        </w:rPr>
        <w:t> </w:t>
      </w:r>
      <w:r>
        <w:rPr>
          <w:color w:val="231F20"/>
          <w:w w:val="120"/>
        </w:rPr>
        <w:t>proposons</w:t>
      </w:r>
      <w:r>
        <w:rPr>
          <w:color w:val="231F20"/>
          <w:spacing w:val="4"/>
          <w:w w:val="120"/>
        </w:rPr>
        <w:t> </w:t>
      </w:r>
      <w:r>
        <w:rPr>
          <w:color w:val="231F20"/>
          <w:w w:val="120"/>
        </w:rPr>
        <w:t>une</w:t>
      </w:r>
      <w:r>
        <w:rPr>
          <w:color w:val="231F20"/>
          <w:spacing w:val="5"/>
          <w:w w:val="120"/>
        </w:rPr>
        <w:t> </w:t>
      </w:r>
      <w:r>
        <w:rPr>
          <w:color w:val="231F20"/>
          <w:w w:val="120"/>
        </w:rPr>
        <w:t>liste</w:t>
      </w:r>
      <w:r>
        <w:rPr>
          <w:color w:val="231F20"/>
          <w:spacing w:val="4"/>
          <w:w w:val="120"/>
        </w:rPr>
        <w:t> </w:t>
      </w:r>
      <w:r>
        <w:rPr>
          <w:color w:val="231F20"/>
          <w:spacing w:val="-5"/>
          <w:w w:val="120"/>
        </w:rPr>
        <w:t>de</w:t>
      </w:r>
    </w:p>
    <w:p>
      <w:pPr>
        <w:spacing w:after="0" w:line="307" w:lineRule="auto"/>
        <w:jc w:val="both"/>
        <w:sectPr>
          <w:footerReference w:type="default" r:id="rId357"/>
          <w:pgSz w:w="8640" w:h="12960"/>
          <w:pgMar w:footer="424" w:header="0" w:top="500" w:bottom="620" w:left="420" w:right="1140"/>
        </w:sectPr>
      </w:pPr>
    </w:p>
    <w:p>
      <w:pPr>
        <w:spacing w:before="103"/>
        <w:ind w:left="1028" w:right="698" w:firstLine="0"/>
        <w:jc w:val="center"/>
        <w:rPr>
          <w:rFonts w:ascii="Arial" w:hAnsi="Arial"/>
          <w:sz w:val="14"/>
        </w:rPr>
      </w:pPr>
      <w:r>
        <w:rPr>
          <w:rFonts w:ascii="Arial" w:hAnsi="Arial"/>
          <w:color w:val="231F20"/>
          <w:sz w:val="14"/>
        </w:rPr>
        <w:t>Stress,</w:t>
      </w:r>
      <w:r>
        <w:rPr>
          <w:rFonts w:ascii="Arial" w:hAnsi="Arial"/>
          <w:color w:val="231F20"/>
          <w:spacing w:val="-6"/>
          <w:sz w:val="14"/>
        </w:rPr>
        <w:t> </w:t>
      </w:r>
      <w:r>
        <w:rPr>
          <w:rFonts w:ascii="Arial" w:hAnsi="Arial"/>
          <w:color w:val="231F20"/>
          <w:sz w:val="14"/>
        </w:rPr>
        <w:t>santé</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performance</w:t>
      </w:r>
      <w:r>
        <w:rPr>
          <w:rFonts w:ascii="Arial" w:hAnsi="Arial"/>
          <w:color w:val="231F20"/>
          <w:spacing w:val="-6"/>
          <w:sz w:val="14"/>
        </w:rPr>
        <w:t> </w:t>
      </w:r>
      <w:r>
        <w:rPr>
          <w:rFonts w:ascii="Arial" w:hAnsi="Arial"/>
          <w:color w:val="231F20"/>
          <w:sz w:val="14"/>
        </w:rPr>
        <w:t>au</w:t>
      </w:r>
      <w:r>
        <w:rPr>
          <w:rFonts w:ascii="Arial" w:hAnsi="Arial"/>
          <w:color w:val="231F20"/>
          <w:spacing w:val="-5"/>
          <w:sz w:val="14"/>
        </w:rPr>
        <w:t> </w:t>
      </w:r>
      <w:r>
        <w:rPr>
          <w:rFonts w:ascii="Arial" w:hAnsi="Arial"/>
          <w:color w:val="231F20"/>
          <w:spacing w:val="-2"/>
          <w:sz w:val="14"/>
        </w:rPr>
        <w:t>travail</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line="307" w:lineRule="auto" w:before="117"/>
        <w:ind w:left="830" w:right="497"/>
        <w:jc w:val="both"/>
      </w:pPr>
      <w:r>
        <w:rPr>
          <w:color w:val="231F20"/>
          <w:w w:val="120"/>
        </w:rPr>
        <w:t>conseils</w:t>
      </w:r>
      <w:r>
        <w:rPr>
          <w:color w:val="231F20"/>
          <w:spacing w:val="-13"/>
          <w:w w:val="120"/>
        </w:rPr>
        <w:t> </w:t>
      </w:r>
      <w:r>
        <w:rPr>
          <w:color w:val="231F20"/>
          <w:w w:val="120"/>
        </w:rPr>
        <w:t>qui</w:t>
      </w:r>
      <w:r>
        <w:rPr>
          <w:color w:val="231F20"/>
          <w:spacing w:val="-13"/>
          <w:w w:val="120"/>
        </w:rPr>
        <w:t> </w:t>
      </w:r>
      <w:r>
        <w:rPr>
          <w:color w:val="231F20"/>
          <w:w w:val="120"/>
        </w:rPr>
        <w:t>peuvent</w:t>
      </w:r>
      <w:r>
        <w:rPr>
          <w:color w:val="231F20"/>
          <w:spacing w:val="-13"/>
          <w:w w:val="120"/>
        </w:rPr>
        <w:t> </w:t>
      </w:r>
      <w:r>
        <w:rPr>
          <w:color w:val="231F20"/>
          <w:w w:val="120"/>
        </w:rPr>
        <w:t>être</w:t>
      </w:r>
      <w:r>
        <w:rPr>
          <w:color w:val="231F20"/>
          <w:spacing w:val="-12"/>
          <w:w w:val="120"/>
        </w:rPr>
        <w:t> </w:t>
      </w:r>
      <w:r>
        <w:rPr>
          <w:color w:val="231F20"/>
          <w:w w:val="120"/>
        </w:rPr>
        <w:t>déployés</w:t>
      </w:r>
      <w:r>
        <w:rPr>
          <w:color w:val="231F20"/>
          <w:spacing w:val="-13"/>
          <w:w w:val="120"/>
        </w:rPr>
        <w:t> </w:t>
      </w:r>
      <w:r>
        <w:rPr>
          <w:color w:val="231F20"/>
          <w:w w:val="120"/>
        </w:rPr>
        <w:t>simplement.</w:t>
      </w:r>
      <w:r>
        <w:rPr>
          <w:color w:val="231F20"/>
          <w:spacing w:val="-13"/>
          <w:w w:val="120"/>
        </w:rPr>
        <w:t> </w:t>
      </w:r>
      <w:r>
        <w:rPr>
          <w:color w:val="231F20"/>
          <w:w w:val="120"/>
        </w:rPr>
        <w:t>Ceux-ci</w:t>
      </w:r>
      <w:r>
        <w:rPr>
          <w:color w:val="231F20"/>
          <w:spacing w:val="-13"/>
          <w:w w:val="120"/>
        </w:rPr>
        <w:t> </w:t>
      </w:r>
      <w:r>
        <w:rPr>
          <w:color w:val="231F20"/>
          <w:w w:val="120"/>
        </w:rPr>
        <w:t>ne</w:t>
      </w:r>
      <w:r>
        <w:rPr>
          <w:color w:val="231F20"/>
          <w:spacing w:val="-12"/>
          <w:w w:val="120"/>
        </w:rPr>
        <w:t> </w:t>
      </w:r>
      <w:r>
        <w:rPr>
          <w:color w:val="231F20"/>
          <w:w w:val="120"/>
        </w:rPr>
        <w:t>représentent pas une panacée, mais mettent de l’avant l’entraide nécessaire au sou- tien</w:t>
      </w:r>
      <w:r>
        <w:rPr>
          <w:color w:val="231F20"/>
          <w:spacing w:val="-6"/>
          <w:w w:val="120"/>
        </w:rPr>
        <w:t> </w:t>
      </w:r>
      <w:r>
        <w:rPr>
          <w:color w:val="231F20"/>
          <w:w w:val="120"/>
        </w:rPr>
        <w:t>collectif.</w:t>
      </w:r>
      <w:r>
        <w:rPr>
          <w:color w:val="231F20"/>
          <w:spacing w:val="-5"/>
          <w:w w:val="120"/>
        </w:rPr>
        <w:t> </w:t>
      </w:r>
      <w:r>
        <w:rPr>
          <w:color w:val="231F20"/>
          <w:w w:val="120"/>
        </w:rPr>
        <w:t>Naturellement,</w:t>
      </w:r>
      <w:r>
        <w:rPr>
          <w:color w:val="231F20"/>
          <w:spacing w:val="-6"/>
          <w:w w:val="120"/>
        </w:rPr>
        <w:t> </w:t>
      </w:r>
      <w:r>
        <w:rPr>
          <w:color w:val="231F20"/>
          <w:w w:val="120"/>
        </w:rPr>
        <w:t>ces</w:t>
      </w:r>
      <w:r>
        <w:rPr>
          <w:color w:val="231F20"/>
          <w:spacing w:val="-6"/>
          <w:w w:val="120"/>
        </w:rPr>
        <w:t> </w:t>
      </w:r>
      <w:r>
        <w:rPr>
          <w:color w:val="231F20"/>
          <w:w w:val="120"/>
        </w:rPr>
        <w:t>conseils</w:t>
      </w:r>
      <w:r>
        <w:rPr>
          <w:color w:val="231F20"/>
          <w:spacing w:val="-5"/>
          <w:w w:val="120"/>
        </w:rPr>
        <w:t> </w:t>
      </w:r>
      <w:r>
        <w:rPr>
          <w:color w:val="231F20"/>
          <w:w w:val="120"/>
        </w:rPr>
        <w:t>aideront</w:t>
      </w:r>
      <w:r>
        <w:rPr>
          <w:color w:val="231F20"/>
          <w:spacing w:val="-5"/>
          <w:w w:val="120"/>
        </w:rPr>
        <w:t> </w:t>
      </w:r>
      <w:r>
        <w:rPr>
          <w:color w:val="231F20"/>
          <w:w w:val="120"/>
        </w:rPr>
        <w:t>particulièrement</w:t>
      </w:r>
      <w:r>
        <w:rPr>
          <w:color w:val="231F20"/>
          <w:spacing w:val="-6"/>
          <w:w w:val="120"/>
        </w:rPr>
        <w:t> </w:t>
      </w:r>
      <w:r>
        <w:rPr>
          <w:color w:val="231F20"/>
          <w:w w:val="120"/>
        </w:rPr>
        <w:t>les personnes situées dans le quadrant D du modèle bidimensionnel, mais pourront</w:t>
      </w:r>
      <w:r>
        <w:rPr>
          <w:color w:val="231F20"/>
          <w:spacing w:val="-10"/>
          <w:w w:val="120"/>
        </w:rPr>
        <w:t> </w:t>
      </w:r>
      <w:r>
        <w:rPr>
          <w:color w:val="231F20"/>
          <w:w w:val="120"/>
        </w:rPr>
        <w:t>aussi</w:t>
      </w:r>
      <w:r>
        <w:rPr>
          <w:color w:val="231F20"/>
          <w:spacing w:val="-10"/>
          <w:w w:val="120"/>
        </w:rPr>
        <w:t> </w:t>
      </w:r>
      <w:r>
        <w:rPr>
          <w:color w:val="231F20"/>
          <w:w w:val="120"/>
        </w:rPr>
        <w:t>être</w:t>
      </w:r>
      <w:r>
        <w:rPr>
          <w:color w:val="231F20"/>
          <w:spacing w:val="-10"/>
          <w:w w:val="120"/>
        </w:rPr>
        <w:t> </w:t>
      </w:r>
      <w:r>
        <w:rPr>
          <w:color w:val="231F20"/>
          <w:w w:val="120"/>
        </w:rPr>
        <w:t>utiles</w:t>
      </w:r>
      <w:r>
        <w:rPr>
          <w:color w:val="231F20"/>
          <w:spacing w:val="-10"/>
          <w:w w:val="120"/>
        </w:rPr>
        <w:t> </w:t>
      </w:r>
      <w:r>
        <w:rPr>
          <w:color w:val="231F20"/>
          <w:w w:val="120"/>
        </w:rPr>
        <w:t>à</w:t>
      </w:r>
      <w:r>
        <w:rPr>
          <w:color w:val="231F20"/>
          <w:spacing w:val="-10"/>
          <w:w w:val="120"/>
        </w:rPr>
        <w:t> </w:t>
      </w:r>
      <w:r>
        <w:rPr>
          <w:color w:val="231F20"/>
          <w:w w:val="120"/>
        </w:rPr>
        <w:t>toutes</w:t>
      </w:r>
      <w:r>
        <w:rPr>
          <w:color w:val="231F20"/>
          <w:spacing w:val="-10"/>
          <w:w w:val="120"/>
        </w:rPr>
        <w:t> </w:t>
      </w:r>
      <w:r>
        <w:rPr>
          <w:color w:val="231F20"/>
          <w:w w:val="120"/>
        </w:rPr>
        <w:t>les</w:t>
      </w:r>
      <w:r>
        <w:rPr>
          <w:color w:val="231F20"/>
          <w:spacing w:val="-10"/>
          <w:w w:val="120"/>
        </w:rPr>
        <w:t> </w:t>
      </w:r>
      <w:r>
        <w:rPr>
          <w:color w:val="231F20"/>
          <w:w w:val="120"/>
        </w:rPr>
        <w:t>personnes</w:t>
      </w:r>
      <w:r>
        <w:rPr>
          <w:color w:val="231F20"/>
          <w:spacing w:val="-10"/>
          <w:w w:val="120"/>
        </w:rPr>
        <w:t> </w:t>
      </w:r>
      <w:r>
        <w:rPr>
          <w:color w:val="231F20"/>
          <w:w w:val="120"/>
        </w:rPr>
        <w:t>devant</w:t>
      </w:r>
      <w:r>
        <w:rPr>
          <w:color w:val="231F20"/>
          <w:spacing w:val="-10"/>
          <w:w w:val="120"/>
        </w:rPr>
        <w:t> </w:t>
      </w:r>
      <w:r>
        <w:rPr>
          <w:color w:val="231F20"/>
          <w:w w:val="120"/>
        </w:rPr>
        <w:t>transiger</w:t>
      </w:r>
      <w:r>
        <w:rPr>
          <w:color w:val="231F20"/>
          <w:spacing w:val="-10"/>
          <w:w w:val="120"/>
        </w:rPr>
        <w:t> </w:t>
      </w:r>
      <w:r>
        <w:rPr>
          <w:color w:val="231F20"/>
          <w:w w:val="120"/>
        </w:rPr>
        <w:t>avec</w:t>
      </w:r>
      <w:r>
        <w:rPr>
          <w:color w:val="231F20"/>
          <w:spacing w:val="-10"/>
          <w:w w:val="120"/>
        </w:rPr>
        <w:t> </w:t>
      </w:r>
      <w:r>
        <w:rPr>
          <w:color w:val="231F20"/>
          <w:w w:val="120"/>
        </w:rPr>
        <w:t>la situation</w:t>
      </w:r>
      <w:r>
        <w:rPr>
          <w:color w:val="231F20"/>
          <w:spacing w:val="-13"/>
          <w:w w:val="120"/>
        </w:rPr>
        <w:t> </w:t>
      </w:r>
      <w:r>
        <w:rPr>
          <w:color w:val="231F20"/>
          <w:w w:val="120"/>
        </w:rPr>
        <w:t>actuelle.</w:t>
      </w:r>
    </w:p>
    <w:p>
      <w:pPr>
        <w:pStyle w:val="BodyText"/>
        <w:rPr>
          <w:sz w:val="24"/>
        </w:rPr>
      </w:pPr>
    </w:p>
    <w:p>
      <w:pPr>
        <w:pStyle w:val="Heading2"/>
        <w:spacing w:line="247" w:lineRule="auto" w:before="185"/>
        <w:ind w:left="830" w:right="500"/>
      </w:pPr>
      <w:r>
        <w:rPr>
          <w:color w:val="231F20"/>
          <w:w w:val="95"/>
        </w:rPr>
        <w:t>Conseils</w:t>
      </w:r>
      <w:r>
        <w:rPr>
          <w:color w:val="231F20"/>
          <w:spacing w:val="-7"/>
          <w:w w:val="95"/>
        </w:rPr>
        <w:t> </w:t>
      </w:r>
      <w:r>
        <w:rPr>
          <w:color w:val="231F20"/>
          <w:w w:val="95"/>
        </w:rPr>
        <w:t>pour</w:t>
      </w:r>
      <w:r>
        <w:rPr>
          <w:color w:val="231F20"/>
          <w:spacing w:val="-7"/>
          <w:w w:val="95"/>
        </w:rPr>
        <w:t> </w:t>
      </w:r>
      <w:r>
        <w:rPr>
          <w:color w:val="231F20"/>
          <w:w w:val="95"/>
        </w:rPr>
        <w:t>renforcer</w:t>
      </w:r>
      <w:r>
        <w:rPr>
          <w:color w:val="231F20"/>
          <w:spacing w:val="-7"/>
          <w:w w:val="95"/>
        </w:rPr>
        <w:t> </w:t>
      </w:r>
      <w:r>
        <w:rPr>
          <w:color w:val="231F20"/>
          <w:w w:val="95"/>
        </w:rPr>
        <w:t>l’estime</w:t>
      </w:r>
      <w:r>
        <w:rPr>
          <w:color w:val="231F20"/>
          <w:spacing w:val="-7"/>
          <w:w w:val="95"/>
        </w:rPr>
        <w:t> </w:t>
      </w:r>
      <w:r>
        <w:rPr>
          <w:color w:val="231F20"/>
          <w:w w:val="95"/>
        </w:rPr>
        <w:t>de</w:t>
      </w:r>
      <w:r>
        <w:rPr>
          <w:color w:val="231F20"/>
          <w:spacing w:val="-7"/>
          <w:w w:val="95"/>
        </w:rPr>
        <w:t> </w:t>
      </w:r>
      <w:r>
        <w:rPr>
          <w:color w:val="231F20"/>
          <w:w w:val="95"/>
        </w:rPr>
        <w:t>soi</w:t>
      </w:r>
      <w:r>
        <w:rPr>
          <w:color w:val="231F20"/>
          <w:spacing w:val="-7"/>
          <w:w w:val="95"/>
        </w:rPr>
        <w:t> </w:t>
      </w:r>
      <w:r>
        <w:rPr>
          <w:color w:val="231F20"/>
          <w:w w:val="95"/>
        </w:rPr>
        <w:t>et</w:t>
      </w:r>
      <w:r>
        <w:rPr>
          <w:color w:val="231F20"/>
          <w:spacing w:val="-7"/>
          <w:w w:val="95"/>
        </w:rPr>
        <w:t> </w:t>
      </w:r>
      <w:r>
        <w:rPr>
          <w:color w:val="231F20"/>
          <w:w w:val="95"/>
        </w:rPr>
        <w:t>améliorer </w:t>
      </w:r>
      <w:r>
        <w:rPr>
          <w:color w:val="231F20"/>
        </w:rPr>
        <w:t>l’incongruité des valeurs</w:t>
      </w:r>
    </w:p>
    <w:p>
      <w:pPr>
        <w:pStyle w:val="BodyText"/>
        <w:spacing w:before="2" w:after="1"/>
        <w:rPr>
          <w:rFonts w:ascii="Arial"/>
          <w:b/>
          <w:sz w:val="24"/>
        </w:rPr>
      </w:pPr>
    </w:p>
    <w:p>
      <w:pPr>
        <w:pStyle w:val="BodyText"/>
        <w:spacing w:line="20" w:lineRule="exact"/>
        <w:ind w:left="827"/>
        <w:rPr>
          <w:rFonts w:ascii="Arial"/>
          <w:sz w:val="2"/>
        </w:rPr>
      </w:pPr>
      <w:r>
        <w:rPr>
          <w:rFonts w:ascii="Arial"/>
          <w:sz w:val="2"/>
        </w:rPr>
        <w:pict>
          <v:group style="width:287.5pt;height:.25pt;mso-position-horizontal-relative:char;mso-position-vertical-relative:line" id="docshapegroup1182" coordorigin="0,0" coordsize="5750,5">
            <v:line style="position:absolute" from="0,3" to="2875,3" stroked="true" strokeweight=".25pt" strokecolor="#231f20">
              <v:stroke dashstyle="solid"/>
            </v:line>
            <v:line style="position:absolute" from="2875,3" to="5750,3" stroked="true" strokeweight=".25pt" strokecolor="#231f20">
              <v:stroke dashstyle="solid"/>
            </v:line>
          </v:group>
        </w:pict>
      </w:r>
      <w:r>
        <w:rPr>
          <w:rFonts w:ascii="Arial"/>
          <w:sz w:val="2"/>
        </w:rPr>
      </w:r>
    </w:p>
    <w:p>
      <w:pPr>
        <w:spacing w:after="0" w:line="20" w:lineRule="exact"/>
        <w:rPr>
          <w:rFonts w:ascii="Arial"/>
          <w:sz w:val="2"/>
        </w:rPr>
        <w:sectPr>
          <w:footerReference w:type="default" r:id="rId358"/>
          <w:pgSz w:w="8640" w:h="12960"/>
          <w:pgMar w:footer="424" w:header="0" w:top="520" w:bottom="620" w:left="420" w:right="1140"/>
        </w:sectPr>
      </w:pPr>
    </w:p>
    <w:p>
      <w:pPr>
        <w:spacing w:line="268" w:lineRule="auto" w:before="43"/>
        <w:ind w:left="830" w:right="722" w:firstLine="0"/>
        <w:jc w:val="left"/>
        <w:rPr>
          <w:rFonts w:ascii="Arial" w:hAnsi="Arial"/>
          <w:b/>
          <w:sz w:val="14"/>
        </w:rPr>
      </w:pPr>
      <w:r>
        <w:rPr/>
        <w:pict>
          <v:group style="position:absolute;margin-left:62.5pt;margin-top:21.590908pt;width:287.5pt;height:.25pt;mso-position-horizontal-relative:page;mso-position-vertical-relative:paragraph;z-index:15847936" id="docshapegroup1183" coordorigin="1250,432" coordsize="5750,5">
            <v:line style="position:absolute" from="1250,434" to="4125,434" stroked="true" strokeweight=".25pt" strokecolor="#231f20">
              <v:stroke dashstyle="solid"/>
            </v:line>
            <v:line style="position:absolute" from="4125,434" to="7000,434" stroked="true" strokeweight=".25pt" strokecolor="#231f20">
              <v:stroke dashstyle="solid"/>
            </v:line>
            <w10:wrap type="none"/>
          </v:group>
        </w:pict>
      </w:r>
      <w:r>
        <w:rPr>
          <w:rFonts w:ascii="Arial" w:hAnsi="Arial"/>
          <w:b/>
          <w:color w:val="231F20"/>
          <w:spacing w:val="-2"/>
          <w:w w:val="95"/>
          <w:sz w:val="14"/>
        </w:rPr>
        <w:t>Conseils</w:t>
      </w:r>
      <w:r>
        <w:rPr>
          <w:rFonts w:ascii="Arial" w:hAnsi="Arial"/>
          <w:b/>
          <w:color w:val="231F20"/>
          <w:spacing w:val="-7"/>
          <w:w w:val="95"/>
          <w:sz w:val="14"/>
        </w:rPr>
        <w:t> </w:t>
      </w:r>
      <w:r>
        <w:rPr>
          <w:rFonts w:ascii="Arial" w:hAnsi="Arial"/>
          <w:b/>
          <w:color w:val="231F20"/>
          <w:spacing w:val="-2"/>
          <w:w w:val="95"/>
          <w:sz w:val="14"/>
        </w:rPr>
        <w:t>pour</w:t>
      </w:r>
      <w:r>
        <w:rPr>
          <w:rFonts w:ascii="Arial" w:hAnsi="Arial"/>
          <w:b/>
          <w:color w:val="231F20"/>
          <w:spacing w:val="-6"/>
          <w:w w:val="95"/>
          <w:sz w:val="14"/>
        </w:rPr>
        <w:t> </w:t>
      </w:r>
      <w:r>
        <w:rPr>
          <w:rFonts w:ascii="Arial" w:hAnsi="Arial"/>
          <w:b/>
          <w:color w:val="231F20"/>
          <w:spacing w:val="-2"/>
          <w:w w:val="95"/>
          <w:sz w:val="14"/>
        </w:rPr>
        <w:t>accroître</w:t>
      </w:r>
      <w:r>
        <w:rPr>
          <w:rFonts w:ascii="Arial" w:hAnsi="Arial"/>
          <w:b/>
          <w:color w:val="231F20"/>
          <w:spacing w:val="40"/>
          <w:sz w:val="14"/>
        </w:rPr>
        <w:t> </w:t>
      </w:r>
      <w:r>
        <w:rPr>
          <w:rFonts w:ascii="Arial" w:hAnsi="Arial"/>
          <w:b/>
          <w:color w:val="231F20"/>
          <w:sz w:val="14"/>
        </w:rPr>
        <w:t>l’estime de soi</w:t>
      </w:r>
    </w:p>
    <w:p>
      <w:pPr>
        <w:pStyle w:val="ListParagraph"/>
        <w:numPr>
          <w:ilvl w:val="0"/>
          <w:numId w:val="102"/>
        </w:numPr>
        <w:tabs>
          <w:tab w:pos="1011" w:val="left" w:leader="none"/>
        </w:tabs>
        <w:spacing w:line="268" w:lineRule="auto" w:before="91" w:after="0"/>
        <w:ind w:left="1010" w:right="351" w:hanging="181"/>
        <w:jc w:val="left"/>
        <w:rPr>
          <w:rFonts w:ascii="Arial" w:hAnsi="Arial"/>
          <w:sz w:val="14"/>
        </w:rPr>
      </w:pPr>
      <w:r>
        <w:rPr>
          <w:rFonts w:ascii="Arial" w:hAnsi="Arial"/>
          <w:color w:val="231F20"/>
          <w:sz w:val="14"/>
        </w:rPr>
        <w:t>Arrêtez d’être trop critique </w:t>
      </w:r>
      <w:r>
        <w:rPr>
          <w:rFonts w:ascii="Arial" w:hAnsi="Arial"/>
          <w:color w:val="231F20"/>
          <w:sz w:val="14"/>
        </w:rPr>
        <w:t>envers</w:t>
      </w:r>
      <w:r>
        <w:rPr>
          <w:rFonts w:ascii="Arial" w:hAnsi="Arial"/>
          <w:color w:val="231F20"/>
          <w:spacing w:val="40"/>
          <w:sz w:val="14"/>
        </w:rPr>
        <w:t> </w:t>
      </w:r>
      <w:r>
        <w:rPr>
          <w:rFonts w:ascii="Arial" w:hAnsi="Arial"/>
          <w:color w:val="231F20"/>
          <w:spacing w:val="-2"/>
          <w:sz w:val="14"/>
        </w:rPr>
        <w:t>vous-même.</w:t>
      </w:r>
    </w:p>
    <w:p>
      <w:pPr>
        <w:pStyle w:val="ListParagraph"/>
        <w:numPr>
          <w:ilvl w:val="0"/>
          <w:numId w:val="102"/>
        </w:numPr>
        <w:tabs>
          <w:tab w:pos="1011" w:val="left" w:leader="none"/>
        </w:tabs>
        <w:spacing w:line="160" w:lineRule="exact" w:before="0" w:after="0"/>
        <w:ind w:left="1010" w:right="0" w:hanging="182"/>
        <w:jc w:val="left"/>
        <w:rPr>
          <w:rFonts w:ascii="Arial" w:hAnsi="Arial"/>
          <w:sz w:val="14"/>
        </w:rPr>
      </w:pPr>
      <w:r>
        <w:rPr>
          <w:rFonts w:ascii="Arial" w:hAnsi="Arial"/>
          <w:color w:val="231F20"/>
          <w:w w:val="95"/>
          <w:sz w:val="14"/>
        </w:rPr>
        <w:t>Ne</w:t>
      </w:r>
      <w:r>
        <w:rPr>
          <w:rFonts w:ascii="Arial" w:hAnsi="Arial"/>
          <w:color w:val="231F20"/>
          <w:spacing w:val="2"/>
          <w:sz w:val="14"/>
        </w:rPr>
        <w:t> </w:t>
      </w:r>
      <w:r>
        <w:rPr>
          <w:rFonts w:ascii="Arial" w:hAnsi="Arial"/>
          <w:color w:val="231F20"/>
          <w:w w:val="95"/>
          <w:sz w:val="14"/>
        </w:rPr>
        <w:t>vous</w:t>
      </w:r>
      <w:r>
        <w:rPr>
          <w:rFonts w:ascii="Arial" w:hAnsi="Arial"/>
          <w:color w:val="231F20"/>
          <w:spacing w:val="2"/>
          <w:sz w:val="14"/>
        </w:rPr>
        <w:t> </w:t>
      </w:r>
      <w:r>
        <w:rPr>
          <w:rFonts w:ascii="Arial" w:hAnsi="Arial"/>
          <w:color w:val="231F20"/>
          <w:w w:val="95"/>
          <w:sz w:val="14"/>
        </w:rPr>
        <w:t>comparez</w:t>
      </w:r>
      <w:r>
        <w:rPr>
          <w:rFonts w:ascii="Arial" w:hAnsi="Arial"/>
          <w:color w:val="231F20"/>
          <w:spacing w:val="2"/>
          <w:sz w:val="14"/>
        </w:rPr>
        <w:t> </w:t>
      </w:r>
      <w:r>
        <w:rPr>
          <w:rFonts w:ascii="Arial" w:hAnsi="Arial"/>
          <w:color w:val="231F20"/>
          <w:w w:val="95"/>
          <w:sz w:val="14"/>
        </w:rPr>
        <w:t>pas</w:t>
      </w:r>
      <w:r>
        <w:rPr>
          <w:rFonts w:ascii="Arial" w:hAnsi="Arial"/>
          <w:color w:val="231F20"/>
          <w:spacing w:val="3"/>
          <w:sz w:val="14"/>
        </w:rPr>
        <w:t> </w:t>
      </w:r>
      <w:r>
        <w:rPr>
          <w:rFonts w:ascii="Arial" w:hAnsi="Arial"/>
          <w:color w:val="231F20"/>
          <w:w w:val="95"/>
          <w:sz w:val="14"/>
        </w:rPr>
        <w:t>aux</w:t>
      </w:r>
      <w:r>
        <w:rPr>
          <w:rFonts w:ascii="Arial" w:hAnsi="Arial"/>
          <w:color w:val="231F20"/>
          <w:spacing w:val="2"/>
          <w:sz w:val="14"/>
        </w:rPr>
        <w:t> </w:t>
      </w:r>
      <w:r>
        <w:rPr>
          <w:rFonts w:ascii="Arial" w:hAnsi="Arial"/>
          <w:color w:val="231F20"/>
          <w:spacing w:val="-2"/>
          <w:w w:val="95"/>
          <w:sz w:val="14"/>
        </w:rPr>
        <w:t>autres.</w:t>
      </w:r>
    </w:p>
    <w:p>
      <w:pPr>
        <w:pStyle w:val="ListParagraph"/>
        <w:numPr>
          <w:ilvl w:val="0"/>
          <w:numId w:val="102"/>
        </w:numPr>
        <w:tabs>
          <w:tab w:pos="1011" w:val="left" w:leader="none"/>
        </w:tabs>
        <w:spacing w:line="240" w:lineRule="auto" w:before="19" w:after="0"/>
        <w:ind w:left="1010" w:right="0" w:hanging="182"/>
        <w:jc w:val="left"/>
        <w:rPr>
          <w:rFonts w:ascii="Arial" w:hAnsi="Arial"/>
          <w:sz w:val="14"/>
        </w:rPr>
      </w:pPr>
      <w:r>
        <w:rPr>
          <w:rFonts w:ascii="Arial" w:hAnsi="Arial"/>
          <w:color w:val="231F20"/>
          <w:sz w:val="14"/>
        </w:rPr>
        <w:t>Entourez-vous</w:t>
      </w:r>
      <w:r>
        <w:rPr>
          <w:rFonts w:ascii="Arial" w:hAnsi="Arial"/>
          <w:color w:val="231F20"/>
          <w:spacing w:val="-9"/>
          <w:sz w:val="14"/>
        </w:rPr>
        <w:t> </w:t>
      </w:r>
      <w:r>
        <w:rPr>
          <w:rFonts w:ascii="Arial" w:hAnsi="Arial"/>
          <w:color w:val="231F20"/>
          <w:sz w:val="14"/>
        </w:rPr>
        <w:t>de</w:t>
      </w:r>
      <w:r>
        <w:rPr>
          <w:rFonts w:ascii="Arial" w:hAnsi="Arial"/>
          <w:color w:val="231F20"/>
          <w:spacing w:val="-8"/>
          <w:sz w:val="14"/>
        </w:rPr>
        <w:t> </w:t>
      </w:r>
      <w:r>
        <w:rPr>
          <w:rFonts w:ascii="Arial" w:hAnsi="Arial"/>
          <w:color w:val="231F20"/>
          <w:sz w:val="14"/>
        </w:rPr>
        <w:t>personnes</w:t>
      </w:r>
      <w:r>
        <w:rPr>
          <w:rFonts w:ascii="Arial" w:hAnsi="Arial"/>
          <w:color w:val="231F20"/>
          <w:spacing w:val="-9"/>
          <w:sz w:val="14"/>
        </w:rPr>
        <w:t> </w:t>
      </w:r>
      <w:r>
        <w:rPr>
          <w:rFonts w:ascii="Arial" w:hAnsi="Arial"/>
          <w:color w:val="231F20"/>
          <w:spacing w:val="-2"/>
          <w:sz w:val="14"/>
        </w:rPr>
        <w:t>positives.</w:t>
      </w:r>
    </w:p>
    <w:p>
      <w:pPr>
        <w:pStyle w:val="ListParagraph"/>
        <w:numPr>
          <w:ilvl w:val="0"/>
          <w:numId w:val="102"/>
        </w:numPr>
        <w:tabs>
          <w:tab w:pos="1011" w:val="left" w:leader="none"/>
        </w:tabs>
        <w:spacing w:line="268" w:lineRule="auto" w:before="19" w:after="0"/>
        <w:ind w:left="1010" w:right="34" w:hanging="181"/>
        <w:jc w:val="left"/>
        <w:rPr>
          <w:rFonts w:ascii="Arial" w:hAnsi="Arial"/>
          <w:sz w:val="14"/>
        </w:rPr>
      </w:pPr>
      <w:r>
        <w:rPr>
          <w:rFonts w:ascii="Arial" w:hAnsi="Arial"/>
          <w:color w:val="231F20"/>
          <w:sz w:val="14"/>
        </w:rPr>
        <w:t>Arrêtez de donner autant </w:t>
      </w:r>
      <w:r>
        <w:rPr>
          <w:rFonts w:ascii="Arial" w:hAnsi="Arial"/>
          <w:color w:val="231F20"/>
          <w:sz w:val="14"/>
        </w:rPr>
        <w:t>d’importance</w:t>
      </w:r>
      <w:r>
        <w:rPr>
          <w:rFonts w:ascii="Arial" w:hAnsi="Arial"/>
          <w:color w:val="231F20"/>
          <w:spacing w:val="40"/>
          <w:sz w:val="14"/>
        </w:rPr>
        <w:t> </w:t>
      </w:r>
      <w:r>
        <w:rPr>
          <w:rFonts w:ascii="Arial" w:hAnsi="Arial"/>
          <w:color w:val="231F20"/>
          <w:sz w:val="14"/>
        </w:rPr>
        <w:t>aux opinions d’autrui.</w:t>
      </w:r>
    </w:p>
    <w:p>
      <w:pPr>
        <w:pStyle w:val="ListParagraph"/>
        <w:numPr>
          <w:ilvl w:val="0"/>
          <w:numId w:val="102"/>
        </w:numPr>
        <w:tabs>
          <w:tab w:pos="1011" w:val="left" w:leader="none"/>
        </w:tabs>
        <w:spacing w:line="268" w:lineRule="auto" w:before="0" w:after="0"/>
        <w:ind w:left="1010" w:right="98" w:hanging="181"/>
        <w:jc w:val="left"/>
        <w:rPr>
          <w:rFonts w:ascii="Arial" w:hAnsi="Arial"/>
          <w:sz w:val="14"/>
        </w:rPr>
      </w:pPr>
      <w:r>
        <w:rPr>
          <w:rFonts w:ascii="Arial" w:hAnsi="Arial"/>
          <w:color w:val="231F20"/>
          <w:sz w:val="14"/>
        </w:rPr>
        <w:t>Ne</w:t>
      </w:r>
      <w:r>
        <w:rPr>
          <w:rFonts w:ascii="Arial" w:hAnsi="Arial"/>
          <w:color w:val="231F20"/>
          <w:spacing w:val="-10"/>
          <w:sz w:val="14"/>
        </w:rPr>
        <w:t> </w:t>
      </w:r>
      <w:r>
        <w:rPr>
          <w:rFonts w:ascii="Arial" w:hAnsi="Arial"/>
          <w:color w:val="231F20"/>
          <w:sz w:val="14"/>
        </w:rPr>
        <w:t>vous</w:t>
      </w:r>
      <w:r>
        <w:rPr>
          <w:rFonts w:ascii="Arial" w:hAnsi="Arial"/>
          <w:color w:val="231F20"/>
          <w:spacing w:val="-10"/>
          <w:sz w:val="14"/>
        </w:rPr>
        <w:t> </w:t>
      </w:r>
      <w:r>
        <w:rPr>
          <w:rFonts w:ascii="Arial" w:hAnsi="Arial"/>
          <w:color w:val="231F20"/>
          <w:sz w:val="14"/>
        </w:rPr>
        <w:t>reprochez</w:t>
      </w:r>
      <w:r>
        <w:rPr>
          <w:rFonts w:ascii="Arial" w:hAnsi="Arial"/>
          <w:color w:val="231F20"/>
          <w:spacing w:val="-10"/>
          <w:sz w:val="14"/>
        </w:rPr>
        <w:t> </w:t>
      </w:r>
      <w:r>
        <w:rPr>
          <w:rFonts w:ascii="Arial" w:hAnsi="Arial"/>
          <w:color w:val="231F20"/>
          <w:sz w:val="14"/>
        </w:rPr>
        <w:t>pas</w:t>
      </w:r>
      <w:r>
        <w:rPr>
          <w:rFonts w:ascii="Arial" w:hAnsi="Arial"/>
          <w:color w:val="231F20"/>
          <w:spacing w:val="-9"/>
          <w:sz w:val="14"/>
        </w:rPr>
        <w:t> </w:t>
      </w:r>
      <w:r>
        <w:rPr>
          <w:rFonts w:ascii="Arial" w:hAnsi="Arial"/>
          <w:color w:val="231F20"/>
          <w:sz w:val="14"/>
        </w:rPr>
        <w:t>d’avoir</w:t>
      </w:r>
      <w:r>
        <w:rPr>
          <w:rFonts w:ascii="Arial" w:hAnsi="Arial"/>
          <w:color w:val="231F20"/>
          <w:spacing w:val="-10"/>
          <w:sz w:val="14"/>
        </w:rPr>
        <w:t> </w:t>
      </w:r>
      <w:r>
        <w:rPr>
          <w:rFonts w:ascii="Arial" w:hAnsi="Arial"/>
          <w:color w:val="231F20"/>
          <w:sz w:val="14"/>
        </w:rPr>
        <w:t>commis</w:t>
      </w:r>
      <w:r>
        <w:rPr>
          <w:rFonts w:ascii="Arial" w:hAnsi="Arial"/>
          <w:color w:val="231F20"/>
          <w:spacing w:val="40"/>
          <w:sz w:val="14"/>
        </w:rPr>
        <w:t> </w:t>
      </w:r>
      <w:r>
        <w:rPr>
          <w:rFonts w:ascii="Arial" w:hAnsi="Arial"/>
          <w:color w:val="231F20"/>
          <w:sz w:val="14"/>
        </w:rPr>
        <w:t>des</w:t>
      </w:r>
      <w:r>
        <w:rPr>
          <w:rFonts w:ascii="Arial" w:hAnsi="Arial"/>
          <w:color w:val="231F20"/>
          <w:spacing w:val="-10"/>
          <w:sz w:val="14"/>
        </w:rPr>
        <w:t> </w:t>
      </w:r>
      <w:r>
        <w:rPr>
          <w:rFonts w:ascii="Arial" w:hAnsi="Arial"/>
          <w:color w:val="231F20"/>
          <w:sz w:val="14"/>
        </w:rPr>
        <w:t>erreurs.</w:t>
      </w:r>
    </w:p>
    <w:p>
      <w:pPr>
        <w:pStyle w:val="ListParagraph"/>
        <w:numPr>
          <w:ilvl w:val="0"/>
          <w:numId w:val="102"/>
        </w:numPr>
        <w:tabs>
          <w:tab w:pos="1011" w:val="left" w:leader="none"/>
        </w:tabs>
        <w:spacing w:line="268" w:lineRule="auto" w:before="0" w:after="0"/>
        <w:ind w:left="1010" w:right="583" w:hanging="181"/>
        <w:jc w:val="left"/>
        <w:rPr>
          <w:rFonts w:ascii="Arial" w:hAnsi="Arial"/>
          <w:sz w:val="14"/>
        </w:rPr>
      </w:pPr>
      <w:r>
        <w:rPr>
          <w:rFonts w:ascii="Arial" w:hAnsi="Arial"/>
          <w:color w:val="231F20"/>
          <w:w w:val="95"/>
          <w:sz w:val="14"/>
        </w:rPr>
        <w:t>Chassez</w:t>
      </w:r>
      <w:r>
        <w:rPr>
          <w:rFonts w:ascii="Arial" w:hAnsi="Arial"/>
          <w:color w:val="231F20"/>
          <w:spacing w:val="-7"/>
          <w:w w:val="95"/>
          <w:sz w:val="14"/>
        </w:rPr>
        <w:t> </w:t>
      </w:r>
      <w:r>
        <w:rPr>
          <w:rFonts w:ascii="Arial" w:hAnsi="Arial"/>
          <w:color w:val="231F20"/>
          <w:w w:val="95"/>
          <w:sz w:val="14"/>
        </w:rPr>
        <w:t>les</w:t>
      </w:r>
      <w:r>
        <w:rPr>
          <w:rFonts w:ascii="Arial" w:hAnsi="Arial"/>
          <w:color w:val="231F20"/>
          <w:spacing w:val="-7"/>
          <w:w w:val="95"/>
          <w:sz w:val="14"/>
        </w:rPr>
        <w:t> </w:t>
      </w:r>
      <w:r>
        <w:rPr>
          <w:rFonts w:ascii="Arial" w:hAnsi="Arial"/>
          <w:color w:val="231F20"/>
          <w:w w:val="95"/>
          <w:sz w:val="14"/>
        </w:rPr>
        <w:t>pensées</w:t>
      </w:r>
      <w:r>
        <w:rPr>
          <w:rFonts w:ascii="Arial" w:hAnsi="Arial"/>
          <w:color w:val="231F20"/>
          <w:spacing w:val="-7"/>
          <w:w w:val="95"/>
          <w:sz w:val="14"/>
        </w:rPr>
        <w:t> </w:t>
      </w:r>
      <w:r>
        <w:rPr>
          <w:rFonts w:ascii="Arial" w:hAnsi="Arial"/>
          <w:color w:val="231F20"/>
          <w:w w:val="95"/>
          <w:sz w:val="14"/>
        </w:rPr>
        <w:t>négatives</w:t>
      </w:r>
      <w:r>
        <w:rPr>
          <w:rFonts w:ascii="Arial" w:hAnsi="Arial"/>
          <w:color w:val="231F20"/>
          <w:spacing w:val="40"/>
          <w:sz w:val="14"/>
        </w:rPr>
        <w:t> </w:t>
      </w:r>
      <w:r>
        <w:rPr>
          <w:rFonts w:ascii="Arial" w:hAnsi="Arial"/>
          <w:color w:val="231F20"/>
          <w:spacing w:val="-2"/>
          <w:sz w:val="14"/>
        </w:rPr>
        <w:t>répétitives.</w:t>
      </w:r>
    </w:p>
    <w:p>
      <w:pPr>
        <w:pStyle w:val="ListParagraph"/>
        <w:numPr>
          <w:ilvl w:val="0"/>
          <w:numId w:val="102"/>
        </w:numPr>
        <w:tabs>
          <w:tab w:pos="1011" w:val="left" w:leader="none"/>
        </w:tabs>
        <w:spacing w:line="268" w:lineRule="auto" w:before="0" w:after="0"/>
        <w:ind w:left="1010" w:right="0" w:hanging="181"/>
        <w:jc w:val="left"/>
        <w:rPr>
          <w:rFonts w:ascii="Arial" w:hAnsi="Arial"/>
          <w:sz w:val="14"/>
        </w:rPr>
      </w:pPr>
      <w:r>
        <w:rPr>
          <w:rFonts w:ascii="Arial" w:hAnsi="Arial"/>
          <w:color w:val="231F20"/>
          <w:sz w:val="14"/>
        </w:rPr>
        <w:t>Répétez-vous</w:t>
      </w:r>
      <w:r>
        <w:rPr>
          <w:rFonts w:ascii="Arial" w:hAnsi="Arial"/>
          <w:color w:val="231F20"/>
          <w:spacing w:val="-10"/>
          <w:sz w:val="14"/>
        </w:rPr>
        <w:t> </w:t>
      </w:r>
      <w:r>
        <w:rPr>
          <w:rFonts w:ascii="Arial" w:hAnsi="Arial"/>
          <w:color w:val="231F20"/>
          <w:sz w:val="14"/>
        </w:rPr>
        <w:t>des</w:t>
      </w:r>
      <w:r>
        <w:rPr>
          <w:rFonts w:ascii="Arial" w:hAnsi="Arial"/>
          <w:color w:val="231F20"/>
          <w:spacing w:val="-10"/>
          <w:sz w:val="14"/>
        </w:rPr>
        <w:t> </w:t>
      </w:r>
      <w:r>
        <w:rPr>
          <w:rFonts w:ascii="Arial" w:hAnsi="Arial"/>
          <w:color w:val="231F20"/>
          <w:sz w:val="14"/>
        </w:rPr>
        <w:t>affirmations</w:t>
      </w:r>
      <w:r>
        <w:rPr>
          <w:rFonts w:ascii="Arial" w:hAnsi="Arial"/>
          <w:color w:val="231F20"/>
          <w:spacing w:val="-10"/>
          <w:sz w:val="14"/>
        </w:rPr>
        <w:t> </w:t>
      </w:r>
      <w:r>
        <w:rPr>
          <w:rFonts w:ascii="Arial" w:hAnsi="Arial"/>
          <w:color w:val="231F20"/>
          <w:sz w:val="14"/>
        </w:rPr>
        <w:t>positives</w:t>
      </w:r>
      <w:r>
        <w:rPr>
          <w:rFonts w:ascii="Arial" w:hAnsi="Arial"/>
          <w:color w:val="231F20"/>
          <w:spacing w:val="40"/>
          <w:sz w:val="14"/>
        </w:rPr>
        <w:t> </w:t>
      </w:r>
      <w:r>
        <w:rPr>
          <w:rFonts w:ascii="Arial" w:hAnsi="Arial"/>
          <w:color w:val="231F20"/>
          <w:spacing w:val="-2"/>
          <w:sz w:val="14"/>
        </w:rPr>
        <w:t>quotidiennement.</w:t>
      </w:r>
    </w:p>
    <w:p>
      <w:pPr>
        <w:spacing w:line="268" w:lineRule="auto" w:before="43"/>
        <w:ind w:left="261" w:right="1609" w:firstLine="0"/>
        <w:jc w:val="left"/>
        <w:rPr>
          <w:rFonts w:ascii="Arial" w:hAnsi="Arial"/>
          <w:b/>
          <w:sz w:val="14"/>
        </w:rPr>
      </w:pPr>
      <w:r>
        <w:rPr/>
        <w:br w:type="column"/>
      </w:r>
      <w:r>
        <w:rPr>
          <w:rFonts w:ascii="Arial" w:hAnsi="Arial"/>
          <w:b/>
          <w:color w:val="231F20"/>
          <w:sz w:val="14"/>
        </w:rPr>
        <w:t>Conseils</w:t>
      </w:r>
      <w:r>
        <w:rPr>
          <w:rFonts w:ascii="Arial" w:hAnsi="Arial"/>
          <w:b/>
          <w:color w:val="231F20"/>
          <w:spacing w:val="-2"/>
          <w:sz w:val="14"/>
        </w:rPr>
        <w:t> </w:t>
      </w:r>
      <w:r>
        <w:rPr>
          <w:rFonts w:ascii="Arial" w:hAnsi="Arial"/>
          <w:b/>
          <w:color w:val="231F20"/>
          <w:sz w:val="14"/>
        </w:rPr>
        <w:t>pour</w:t>
      </w:r>
      <w:r>
        <w:rPr>
          <w:rFonts w:ascii="Arial" w:hAnsi="Arial"/>
          <w:b/>
          <w:color w:val="231F20"/>
          <w:spacing w:val="-2"/>
          <w:sz w:val="14"/>
        </w:rPr>
        <w:t> </w:t>
      </w:r>
      <w:r>
        <w:rPr>
          <w:rFonts w:ascii="Arial" w:hAnsi="Arial"/>
          <w:b/>
          <w:color w:val="231F20"/>
          <w:sz w:val="14"/>
        </w:rPr>
        <w:t>améliorer</w:t>
      </w:r>
      <w:r>
        <w:rPr>
          <w:rFonts w:ascii="Arial" w:hAnsi="Arial"/>
          <w:b/>
          <w:color w:val="231F20"/>
          <w:spacing w:val="40"/>
          <w:sz w:val="14"/>
        </w:rPr>
        <w:t> </w:t>
      </w:r>
      <w:r>
        <w:rPr>
          <w:rFonts w:ascii="Arial" w:hAnsi="Arial"/>
          <w:b/>
          <w:color w:val="231F20"/>
          <w:spacing w:val="-2"/>
          <w:w w:val="95"/>
          <w:sz w:val="14"/>
        </w:rPr>
        <w:t>la</w:t>
      </w:r>
      <w:r>
        <w:rPr>
          <w:rFonts w:ascii="Arial" w:hAnsi="Arial"/>
          <w:b/>
          <w:color w:val="231F20"/>
          <w:spacing w:val="-7"/>
          <w:w w:val="95"/>
          <w:sz w:val="14"/>
        </w:rPr>
        <w:t> </w:t>
      </w:r>
      <w:r>
        <w:rPr>
          <w:rFonts w:ascii="Arial" w:hAnsi="Arial"/>
          <w:b/>
          <w:color w:val="231F20"/>
          <w:spacing w:val="-2"/>
          <w:w w:val="95"/>
          <w:sz w:val="14"/>
        </w:rPr>
        <w:t>congruence</w:t>
      </w:r>
      <w:r>
        <w:rPr>
          <w:rFonts w:ascii="Arial" w:hAnsi="Arial"/>
          <w:b/>
          <w:color w:val="231F20"/>
          <w:spacing w:val="-6"/>
          <w:w w:val="95"/>
          <w:sz w:val="14"/>
        </w:rPr>
        <w:t> </w:t>
      </w:r>
      <w:r>
        <w:rPr>
          <w:rFonts w:ascii="Arial" w:hAnsi="Arial"/>
          <w:b/>
          <w:color w:val="231F20"/>
          <w:spacing w:val="-2"/>
          <w:w w:val="95"/>
          <w:sz w:val="14"/>
        </w:rPr>
        <w:t>des</w:t>
      </w:r>
      <w:r>
        <w:rPr>
          <w:rFonts w:ascii="Arial" w:hAnsi="Arial"/>
          <w:b/>
          <w:color w:val="231F20"/>
          <w:spacing w:val="-6"/>
          <w:w w:val="95"/>
          <w:sz w:val="14"/>
        </w:rPr>
        <w:t> </w:t>
      </w:r>
      <w:r>
        <w:rPr>
          <w:rFonts w:ascii="Arial" w:hAnsi="Arial"/>
          <w:b/>
          <w:color w:val="231F20"/>
          <w:spacing w:val="-2"/>
          <w:w w:val="95"/>
          <w:sz w:val="14"/>
        </w:rPr>
        <w:t>valeurs</w:t>
      </w:r>
    </w:p>
    <w:p>
      <w:pPr>
        <w:pStyle w:val="ListParagraph"/>
        <w:numPr>
          <w:ilvl w:val="0"/>
          <w:numId w:val="103"/>
        </w:numPr>
        <w:tabs>
          <w:tab w:pos="442" w:val="left" w:leader="none"/>
        </w:tabs>
        <w:spacing w:line="268" w:lineRule="auto" w:before="91" w:after="0"/>
        <w:ind w:left="441" w:right="852" w:hanging="181"/>
        <w:jc w:val="left"/>
        <w:rPr>
          <w:rFonts w:ascii="Arial" w:hAnsi="Arial"/>
          <w:sz w:val="14"/>
        </w:rPr>
      </w:pPr>
      <w:r>
        <w:rPr>
          <w:rFonts w:ascii="Arial" w:hAnsi="Arial"/>
          <w:color w:val="231F20"/>
          <w:sz w:val="14"/>
        </w:rPr>
        <w:t>Établissez cinq de vos valeurs</w:t>
      </w:r>
      <w:r>
        <w:rPr>
          <w:rFonts w:ascii="Arial" w:hAnsi="Arial"/>
          <w:color w:val="231F20"/>
          <w:spacing w:val="40"/>
          <w:sz w:val="14"/>
        </w:rPr>
        <w:t> </w:t>
      </w:r>
      <w:r>
        <w:rPr>
          <w:rFonts w:ascii="Arial" w:hAnsi="Arial"/>
          <w:color w:val="231F20"/>
          <w:sz w:val="14"/>
        </w:rPr>
        <w:t>fondamentales,</w:t>
      </w:r>
      <w:r>
        <w:rPr>
          <w:rFonts w:ascii="Arial" w:hAnsi="Arial"/>
          <w:color w:val="231F20"/>
          <w:spacing w:val="-7"/>
          <w:sz w:val="14"/>
        </w:rPr>
        <w:t> </w:t>
      </w:r>
      <w:r>
        <w:rPr>
          <w:rFonts w:ascii="Arial" w:hAnsi="Arial"/>
          <w:color w:val="231F20"/>
          <w:sz w:val="14"/>
        </w:rPr>
        <w:t>placez-les</w:t>
      </w:r>
      <w:r>
        <w:rPr>
          <w:rFonts w:ascii="Arial" w:hAnsi="Arial"/>
          <w:color w:val="231F20"/>
          <w:spacing w:val="-7"/>
          <w:sz w:val="14"/>
        </w:rPr>
        <w:t> </w:t>
      </w:r>
      <w:r>
        <w:rPr>
          <w:rFonts w:ascii="Arial" w:hAnsi="Arial"/>
          <w:color w:val="231F20"/>
          <w:sz w:val="14"/>
        </w:rPr>
        <w:t>dans</w:t>
      </w:r>
      <w:r>
        <w:rPr>
          <w:rFonts w:ascii="Arial" w:hAnsi="Arial"/>
          <w:color w:val="231F20"/>
          <w:spacing w:val="-7"/>
          <w:sz w:val="14"/>
        </w:rPr>
        <w:t> </w:t>
      </w:r>
      <w:r>
        <w:rPr>
          <w:rFonts w:ascii="Arial" w:hAnsi="Arial"/>
          <w:color w:val="231F20"/>
          <w:sz w:val="14"/>
        </w:rPr>
        <w:t>une</w:t>
      </w:r>
      <w:r>
        <w:rPr>
          <w:rFonts w:ascii="Arial" w:hAnsi="Arial"/>
          <w:color w:val="231F20"/>
          <w:spacing w:val="40"/>
          <w:sz w:val="14"/>
        </w:rPr>
        <w:t> </w:t>
      </w:r>
      <w:r>
        <w:rPr>
          <w:rFonts w:ascii="Arial" w:hAnsi="Arial"/>
          <w:color w:val="231F20"/>
          <w:sz w:val="14"/>
        </w:rPr>
        <w:t>hiérarchie</w:t>
      </w:r>
      <w:r>
        <w:rPr>
          <w:rFonts w:ascii="Arial" w:hAnsi="Arial"/>
          <w:color w:val="231F20"/>
          <w:spacing w:val="-10"/>
          <w:sz w:val="14"/>
        </w:rPr>
        <w:t> </w:t>
      </w:r>
      <w:r>
        <w:rPr>
          <w:rFonts w:ascii="Arial" w:hAnsi="Arial"/>
          <w:color w:val="231F20"/>
          <w:sz w:val="14"/>
        </w:rPr>
        <w:t>et</w:t>
      </w:r>
      <w:r>
        <w:rPr>
          <w:rFonts w:ascii="Arial" w:hAnsi="Arial"/>
          <w:color w:val="231F20"/>
          <w:spacing w:val="-10"/>
          <w:sz w:val="14"/>
        </w:rPr>
        <w:t> </w:t>
      </w:r>
      <w:r>
        <w:rPr>
          <w:rFonts w:ascii="Arial" w:hAnsi="Arial"/>
          <w:color w:val="231F20"/>
          <w:sz w:val="14"/>
        </w:rPr>
        <w:t>demandez-vous</w:t>
      </w:r>
      <w:r>
        <w:rPr>
          <w:rFonts w:ascii="Arial" w:hAnsi="Arial"/>
          <w:color w:val="231F20"/>
          <w:spacing w:val="-10"/>
          <w:sz w:val="14"/>
        </w:rPr>
        <w:t> </w:t>
      </w:r>
      <w:r>
        <w:rPr>
          <w:rFonts w:ascii="Arial" w:hAnsi="Arial"/>
          <w:color w:val="231F20"/>
          <w:sz w:val="14"/>
        </w:rPr>
        <w:t>si</w:t>
      </w:r>
      <w:r>
        <w:rPr>
          <w:rFonts w:ascii="Arial" w:hAnsi="Arial"/>
          <w:color w:val="231F20"/>
          <w:spacing w:val="-9"/>
          <w:sz w:val="14"/>
        </w:rPr>
        <w:t> </w:t>
      </w:r>
      <w:r>
        <w:rPr>
          <w:rFonts w:ascii="Arial" w:hAnsi="Arial"/>
          <w:color w:val="231F20"/>
          <w:sz w:val="14"/>
        </w:rPr>
        <w:t>vous</w:t>
      </w:r>
      <w:r>
        <w:rPr>
          <w:rFonts w:ascii="Arial" w:hAnsi="Arial"/>
          <w:color w:val="231F20"/>
          <w:spacing w:val="40"/>
          <w:sz w:val="14"/>
        </w:rPr>
        <w:t> </w:t>
      </w:r>
      <w:r>
        <w:rPr>
          <w:rFonts w:ascii="Arial" w:hAnsi="Arial"/>
          <w:color w:val="231F20"/>
          <w:sz w:val="14"/>
        </w:rPr>
        <w:t>menez votre vie quotidienne en</w:t>
      </w:r>
      <w:r>
        <w:rPr>
          <w:rFonts w:ascii="Arial" w:hAnsi="Arial"/>
          <w:color w:val="231F20"/>
          <w:spacing w:val="40"/>
          <w:sz w:val="14"/>
        </w:rPr>
        <w:t> </w:t>
      </w:r>
      <w:r>
        <w:rPr>
          <w:rFonts w:ascii="Arial" w:hAnsi="Arial"/>
          <w:color w:val="231F20"/>
          <w:sz w:val="14"/>
        </w:rPr>
        <w:t>congruence avec cette hiérarchie.</w:t>
      </w:r>
    </w:p>
    <w:p>
      <w:pPr>
        <w:pStyle w:val="ListParagraph"/>
        <w:numPr>
          <w:ilvl w:val="0"/>
          <w:numId w:val="103"/>
        </w:numPr>
        <w:tabs>
          <w:tab w:pos="442" w:val="left" w:leader="none"/>
        </w:tabs>
        <w:spacing w:line="268" w:lineRule="auto" w:before="0" w:after="0"/>
        <w:ind w:left="441" w:right="790" w:hanging="181"/>
        <w:jc w:val="left"/>
        <w:rPr>
          <w:rFonts w:ascii="Arial" w:hAnsi="Arial"/>
          <w:sz w:val="14"/>
        </w:rPr>
      </w:pPr>
      <w:r>
        <w:rPr>
          <w:rFonts w:ascii="Arial" w:hAnsi="Arial"/>
          <w:color w:val="231F20"/>
          <w:sz w:val="14"/>
        </w:rPr>
        <w:t>Assurez-vous</w:t>
      </w:r>
      <w:r>
        <w:rPr>
          <w:rFonts w:ascii="Arial" w:hAnsi="Arial"/>
          <w:color w:val="231F20"/>
          <w:spacing w:val="-10"/>
          <w:sz w:val="14"/>
        </w:rPr>
        <w:t> </w:t>
      </w:r>
      <w:r>
        <w:rPr>
          <w:rFonts w:ascii="Arial" w:hAnsi="Arial"/>
          <w:color w:val="231F20"/>
          <w:sz w:val="14"/>
        </w:rPr>
        <w:t>que</w:t>
      </w:r>
      <w:r>
        <w:rPr>
          <w:rFonts w:ascii="Arial" w:hAnsi="Arial"/>
          <w:color w:val="231F20"/>
          <w:spacing w:val="-10"/>
          <w:sz w:val="14"/>
        </w:rPr>
        <w:t> </w:t>
      </w:r>
      <w:r>
        <w:rPr>
          <w:rFonts w:ascii="Arial" w:hAnsi="Arial"/>
          <w:color w:val="231F20"/>
          <w:sz w:val="14"/>
        </w:rPr>
        <w:t>vous</w:t>
      </w:r>
      <w:r>
        <w:rPr>
          <w:rFonts w:ascii="Arial" w:hAnsi="Arial"/>
          <w:color w:val="231F20"/>
          <w:spacing w:val="-10"/>
          <w:sz w:val="14"/>
        </w:rPr>
        <w:t> </w:t>
      </w:r>
      <w:r>
        <w:rPr>
          <w:rFonts w:ascii="Arial" w:hAnsi="Arial"/>
          <w:color w:val="231F20"/>
          <w:sz w:val="14"/>
        </w:rPr>
        <w:t>avez</w:t>
      </w:r>
      <w:r>
        <w:rPr>
          <w:rFonts w:ascii="Arial" w:hAnsi="Arial"/>
          <w:color w:val="231F20"/>
          <w:spacing w:val="-9"/>
          <w:sz w:val="14"/>
        </w:rPr>
        <w:t> </w:t>
      </w:r>
      <w:r>
        <w:rPr>
          <w:rFonts w:ascii="Arial" w:hAnsi="Arial"/>
          <w:color w:val="231F20"/>
          <w:sz w:val="14"/>
        </w:rPr>
        <w:t>des</w:t>
      </w:r>
      <w:r>
        <w:rPr>
          <w:rFonts w:ascii="Arial" w:hAnsi="Arial"/>
          <w:color w:val="231F20"/>
          <w:spacing w:val="-10"/>
          <w:sz w:val="14"/>
        </w:rPr>
        <w:t> </w:t>
      </w:r>
      <w:r>
        <w:rPr>
          <w:rFonts w:ascii="Arial" w:hAnsi="Arial"/>
          <w:color w:val="231F20"/>
          <w:sz w:val="14"/>
        </w:rPr>
        <w:t>buts</w:t>
      </w:r>
      <w:r>
        <w:rPr>
          <w:rFonts w:ascii="Arial" w:hAnsi="Arial"/>
          <w:color w:val="231F20"/>
          <w:spacing w:val="40"/>
          <w:sz w:val="14"/>
        </w:rPr>
        <w:t> </w:t>
      </w:r>
      <w:r>
        <w:rPr>
          <w:rFonts w:ascii="Arial" w:hAnsi="Arial"/>
          <w:color w:val="231F20"/>
          <w:sz w:val="14"/>
        </w:rPr>
        <w:t>et des objectifs réalistes et que les</w:t>
      </w:r>
      <w:r>
        <w:rPr>
          <w:rFonts w:ascii="Arial" w:hAnsi="Arial"/>
          <w:color w:val="231F20"/>
          <w:spacing w:val="40"/>
          <w:sz w:val="14"/>
        </w:rPr>
        <w:t> </w:t>
      </w:r>
      <w:r>
        <w:rPr>
          <w:rFonts w:ascii="Arial" w:hAnsi="Arial"/>
          <w:color w:val="231F20"/>
          <w:sz w:val="14"/>
        </w:rPr>
        <w:t>valeurs</w:t>
      </w:r>
      <w:r>
        <w:rPr>
          <w:rFonts w:ascii="Arial" w:hAnsi="Arial"/>
          <w:color w:val="231F20"/>
          <w:spacing w:val="-10"/>
          <w:sz w:val="14"/>
        </w:rPr>
        <w:t> </w:t>
      </w:r>
      <w:r>
        <w:rPr>
          <w:rFonts w:ascii="Arial" w:hAnsi="Arial"/>
          <w:color w:val="231F20"/>
          <w:sz w:val="14"/>
        </w:rPr>
        <w:t>sélectionnées</w:t>
      </w:r>
      <w:r>
        <w:rPr>
          <w:rFonts w:ascii="Arial" w:hAnsi="Arial"/>
          <w:color w:val="231F20"/>
          <w:spacing w:val="-10"/>
          <w:sz w:val="14"/>
        </w:rPr>
        <w:t> </w:t>
      </w:r>
      <w:r>
        <w:rPr>
          <w:rFonts w:ascii="Arial" w:hAnsi="Arial"/>
          <w:color w:val="231F20"/>
          <w:sz w:val="14"/>
        </w:rPr>
        <w:t>précédemment</w:t>
      </w:r>
      <w:r>
        <w:rPr>
          <w:rFonts w:ascii="Arial" w:hAnsi="Arial"/>
          <w:color w:val="231F20"/>
          <w:spacing w:val="40"/>
          <w:sz w:val="14"/>
        </w:rPr>
        <w:t> </w:t>
      </w:r>
      <w:r>
        <w:rPr>
          <w:rFonts w:ascii="Arial" w:hAnsi="Arial"/>
          <w:color w:val="231F20"/>
          <w:sz w:val="14"/>
        </w:rPr>
        <w:t>sont alignées sur ces derniers.</w:t>
      </w:r>
    </w:p>
    <w:p>
      <w:pPr>
        <w:pStyle w:val="ListParagraph"/>
        <w:numPr>
          <w:ilvl w:val="0"/>
          <w:numId w:val="103"/>
        </w:numPr>
        <w:tabs>
          <w:tab w:pos="442" w:val="left" w:leader="none"/>
        </w:tabs>
        <w:spacing w:line="268" w:lineRule="auto" w:before="0" w:after="0"/>
        <w:ind w:left="441" w:right="548" w:hanging="181"/>
        <w:jc w:val="left"/>
        <w:rPr>
          <w:rFonts w:ascii="Arial" w:hAnsi="Arial"/>
          <w:sz w:val="14"/>
        </w:rPr>
      </w:pPr>
      <w:r>
        <w:rPr>
          <w:rFonts w:ascii="Arial" w:hAnsi="Arial"/>
          <w:color w:val="231F20"/>
          <w:w w:val="105"/>
          <w:sz w:val="14"/>
        </w:rPr>
        <w:t>Prenez</w:t>
      </w:r>
      <w:r>
        <w:rPr>
          <w:rFonts w:ascii="Arial" w:hAnsi="Arial"/>
          <w:color w:val="231F20"/>
          <w:spacing w:val="-11"/>
          <w:w w:val="105"/>
          <w:sz w:val="14"/>
        </w:rPr>
        <w:t> </w:t>
      </w:r>
      <w:r>
        <w:rPr>
          <w:rFonts w:ascii="Arial" w:hAnsi="Arial"/>
          <w:color w:val="231F20"/>
          <w:w w:val="105"/>
          <w:sz w:val="14"/>
        </w:rPr>
        <w:t>conscience</w:t>
      </w:r>
      <w:r>
        <w:rPr>
          <w:rFonts w:ascii="Arial" w:hAnsi="Arial"/>
          <w:color w:val="231F20"/>
          <w:spacing w:val="-10"/>
          <w:w w:val="105"/>
          <w:sz w:val="14"/>
        </w:rPr>
        <w:t> </w:t>
      </w:r>
      <w:r>
        <w:rPr>
          <w:rFonts w:ascii="Arial" w:hAnsi="Arial"/>
          <w:color w:val="231F20"/>
          <w:w w:val="105"/>
          <w:sz w:val="14"/>
        </w:rPr>
        <w:t>que</w:t>
      </w:r>
      <w:r>
        <w:rPr>
          <w:rFonts w:ascii="Arial" w:hAnsi="Arial"/>
          <w:color w:val="231F20"/>
          <w:spacing w:val="-10"/>
          <w:w w:val="105"/>
          <w:sz w:val="14"/>
        </w:rPr>
        <w:t> </w:t>
      </w:r>
      <w:r>
        <w:rPr>
          <w:rFonts w:ascii="Arial" w:hAnsi="Arial"/>
          <w:color w:val="231F20"/>
          <w:w w:val="105"/>
          <w:sz w:val="14"/>
        </w:rPr>
        <w:t>les</w:t>
      </w:r>
      <w:r>
        <w:rPr>
          <w:rFonts w:ascii="Arial" w:hAnsi="Arial"/>
          <w:color w:val="231F20"/>
          <w:spacing w:val="-10"/>
          <w:w w:val="105"/>
          <w:sz w:val="14"/>
        </w:rPr>
        <w:t> </w:t>
      </w:r>
      <w:r>
        <w:rPr>
          <w:rFonts w:ascii="Arial" w:hAnsi="Arial"/>
          <w:color w:val="231F20"/>
          <w:w w:val="105"/>
          <w:sz w:val="14"/>
        </w:rPr>
        <w:t>valeurs</w:t>
      </w:r>
      <w:r>
        <w:rPr>
          <w:rFonts w:ascii="Arial" w:hAnsi="Arial"/>
          <w:color w:val="231F20"/>
          <w:spacing w:val="-11"/>
          <w:w w:val="105"/>
          <w:sz w:val="14"/>
        </w:rPr>
        <w:t> </w:t>
      </w:r>
      <w:r>
        <w:rPr>
          <w:rFonts w:ascii="Arial" w:hAnsi="Arial"/>
          <w:color w:val="231F20"/>
          <w:w w:val="105"/>
          <w:sz w:val="14"/>
        </w:rPr>
        <w:t>sont dynamiques, qu’elles peuvent changer </w:t>
      </w:r>
      <w:r>
        <w:rPr>
          <w:rFonts w:ascii="Arial" w:hAnsi="Arial"/>
          <w:color w:val="231F20"/>
          <w:sz w:val="14"/>
        </w:rPr>
        <w:t>dans</w:t>
      </w:r>
      <w:r>
        <w:rPr>
          <w:rFonts w:ascii="Arial" w:hAnsi="Arial"/>
          <w:color w:val="231F20"/>
          <w:spacing w:val="-10"/>
          <w:sz w:val="14"/>
        </w:rPr>
        <w:t> </w:t>
      </w:r>
      <w:r>
        <w:rPr>
          <w:rFonts w:ascii="Arial" w:hAnsi="Arial"/>
          <w:color w:val="231F20"/>
          <w:sz w:val="14"/>
        </w:rPr>
        <w:t>différents</w:t>
      </w:r>
      <w:r>
        <w:rPr>
          <w:rFonts w:ascii="Arial" w:hAnsi="Arial"/>
          <w:color w:val="231F20"/>
          <w:spacing w:val="-10"/>
          <w:sz w:val="14"/>
        </w:rPr>
        <w:t> </w:t>
      </w:r>
      <w:r>
        <w:rPr>
          <w:rFonts w:ascii="Arial" w:hAnsi="Arial"/>
          <w:color w:val="231F20"/>
          <w:sz w:val="14"/>
        </w:rPr>
        <w:t>contextes</w:t>
      </w:r>
      <w:r>
        <w:rPr>
          <w:rFonts w:ascii="Arial" w:hAnsi="Arial"/>
          <w:color w:val="231F20"/>
          <w:spacing w:val="-26"/>
          <w:sz w:val="14"/>
        </w:rPr>
        <w:t> </w:t>
      </w:r>
      <w:r>
        <w:rPr>
          <w:rFonts w:ascii="Arial" w:hAnsi="Arial"/>
          <w:color w:val="231F20"/>
          <w:sz w:val="14"/>
        </w:rPr>
        <w:t>;</w:t>
      </w:r>
      <w:r>
        <w:rPr>
          <w:rFonts w:ascii="Arial" w:hAnsi="Arial"/>
          <w:color w:val="231F20"/>
          <w:spacing w:val="-10"/>
          <w:sz w:val="14"/>
        </w:rPr>
        <w:t> </w:t>
      </w:r>
      <w:r>
        <w:rPr>
          <w:rFonts w:ascii="Arial" w:hAnsi="Arial"/>
          <w:color w:val="231F20"/>
          <w:sz w:val="14"/>
        </w:rPr>
        <w:t>n’en</w:t>
      </w:r>
      <w:r>
        <w:rPr>
          <w:rFonts w:ascii="Arial" w:hAnsi="Arial"/>
          <w:color w:val="231F20"/>
          <w:spacing w:val="-9"/>
          <w:sz w:val="14"/>
        </w:rPr>
        <w:t> </w:t>
      </w:r>
      <w:r>
        <w:rPr>
          <w:rFonts w:ascii="Arial" w:hAnsi="Arial"/>
          <w:color w:val="231F20"/>
          <w:sz w:val="14"/>
        </w:rPr>
        <w:t>soyez</w:t>
      </w:r>
      <w:r>
        <w:rPr>
          <w:rFonts w:ascii="Arial" w:hAnsi="Arial"/>
          <w:color w:val="231F20"/>
          <w:spacing w:val="-10"/>
          <w:sz w:val="14"/>
        </w:rPr>
        <w:t> </w:t>
      </w:r>
      <w:r>
        <w:rPr>
          <w:rFonts w:ascii="Arial" w:hAnsi="Arial"/>
          <w:color w:val="231F20"/>
          <w:sz w:val="14"/>
        </w:rPr>
        <w:t>pas</w:t>
      </w:r>
      <w:r>
        <w:rPr>
          <w:rFonts w:ascii="Arial" w:hAnsi="Arial"/>
          <w:color w:val="231F20"/>
          <w:w w:val="105"/>
          <w:sz w:val="14"/>
        </w:rPr>
        <w:t> dérangé, faites le diagnostic pour le ici</w:t>
      </w:r>
      <w:r>
        <w:rPr>
          <w:rFonts w:ascii="Arial" w:hAnsi="Arial"/>
          <w:color w:val="231F20"/>
          <w:w w:val="105"/>
          <w:sz w:val="14"/>
        </w:rPr>
        <w:t> et</w:t>
      </w:r>
      <w:r>
        <w:rPr>
          <w:rFonts w:ascii="Arial" w:hAnsi="Arial"/>
          <w:color w:val="231F20"/>
          <w:spacing w:val="-11"/>
          <w:w w:val="105"/>
          <w:sz w:val="14"/>
        </w:rPr>
        <w:t> </w:t>
      </w:r>
      <w:r>
        <w:rPr>
          <w:rFonts w:ascii="Arial" w:hAnsi="Arial"/>
          <w:color w:val="231F20"/>
          <w:w w:val="105"/>
          <w:sz w:val="14"/>
        </w:rPr>
        <w:t>maintenant.</w:t>
      </w:r>
    </w:p>
    <w:p>
      <w:pPr>
        <w:pStyle w:val="ListParagraph"/>
        <w:numPr>
          <w:ilvl w:val="0"/>
          <w:numId w:val="103"/>
        </w:numPr>
        <w:tabs>
          <w:tab w:pos="442" w:val="left" w:leader="none"/>
        </w:tabs>
        <w:spacing w:line="268" w:lineRule="auto" w:before="0" w:after="0"/>
        <w:ind w:left="441" w:right="497" w:hanging="181"/>
        <w:jc w:val="left"/>
        <w:rPr>
          <w:rFonts w:ascii="Arial" w:hAnsi="Arial"/>
          <w:sz w:val="14"/>
        </w:rPr>
      </w:pPr>
      <w:r>
        <w:rPr>
          <w:rFonts w:ascii="Arial" w:hAnsi="Arial"/>
          <w:color w:val="231F20"/>
          <w:sz w:val="14"/>
        </w:rPr>
        <w:t>Assurez-vous</w:t>
      </w:r>
      <w:r>
        <w:rPr>
          <w:rFonts w:ascii="Arial" w:hAnsi="Arial"/>
          <w:color w:val="231F20"/>
          <w:spacing w:val="-10"/>
          <w:sz w:val="14"/>
        </w:rPr>
        <w:t> </w:t>
      </w:r>
      <w:r>
        <w:rPr>
          <w:rFonts w:ascii="Arial" w:hAnsi="Arial"/>
          <w:color w:val="231F20"/>
          <w:sz w:val="14"/>
        </w:rPr>
        <w:t>que</w:t>
      </w:r>
      <w:r>
        <w:rPr>
          <w:rFonts w:ascii="Arial" w:hAnsi="Arial"/>
          <w:color w:val="231F20"/>
          <w:spacing w:val="-10"/>
          <w:sz w:val="14"/>
        </w:rPr>
        <w:t> </w:t>
      </w:r>
      <w:r>
        <w:rPr>
          <w:rFonts w:ascii="Arial" w:hAnsi="Arial"/>
          <w:color w:val="231F20"/>
          <w:sz w:val="14"/>
        </w:rPr>
        <w:t>les</w:t>
      </w:r>
      <w:r>
        <w:rPr>
          <w:rFonts w:ascii="Arial" w:hAnsi="Arial"/>
          <w:color w:val="231F20"/>
          <w:spacing w:val="-10"/>
          <w:sz w:val="14"/>
        </w:rPr>
        <w:t> </w:t>
      </w:r>
      <w:r>
        <w:rPr>
          <w:rFonts w:ascii="Arial" w:hAnsi="Arial"/>
          <w:color w:val="231F20"/>
          <w:sz w:val="14"/>
        </w:rPr>
        <w:t>cinq</w:t>
      </w:r>
      <w:r>
        <w:rPr>
          <w:rFonts w:ascii="Arial" w:hAnsi="Arial"/>
          <w:color w:val="231F20"/>
          <w:spacing w:val="-9"/>
          <w:sz w:val="14"/>
        </w:rPr>
        <w:t> </w:t>
      </w:r>
      <w:r>
        <w:rPr>
          <w:rFonts w:ascii="Arial" w:hAnsi="Arial"/>
          <w:color w:val="231F20"/>
          <w:sz w:val="14"/>
        </w:rPr>
        <w:t>valeurs</w:t>
      </w:r>
      <w:r>
        <w:rPr>
          <w:rFonts w:ascii="Arial" w:hAnsi="Arial"/>
          <w:color w:val="231F20"/>
          <w:spacing w:val="-10"/>
          <w:sz w:val="14"/>
        </w:rPr>
        <w:t> </w:t>
      </w:r>
      <w:r>
        <w:rPr>
          <w:rFonts w:ascii="Arial" w:hAnsi="Arial"/>
          <w:color w:val="231F20"/>
          <w:sz w:val="14"/>
        </w:rPr>
        <w:t>établies</w:t>
      </w:r>
      <w:r>
        <w:rPr>
          <w:rFonts w:ascii="Arial" w:hAnsi="Arial"/>
          <w:color w:val="231F20"/>
          <w:spacing w:val="40"/>
          <w:sz w:val="14"/>
        </w:rPr>
        <w:t> </w:t>
      </w:r>
      <w:r>
        <w:rPr>
          <w:rFonts w:ascii="Arial" w:hAnsi="Arial"/>
          <w:color w:val="231F20"/>
          <w:sz w:val="14"/>
        </w:rPr>
        <w:t>précédemment sont très clairement</w:t>
      </w:r>
      <w:r>
        <w:rPr>
          <w:rFonts w:ascii="Arial" w:hAnsi="Arial"/>
          <w:color w:val="231F20"/>
          <w:spacing w:val="40"/>
          <w:sz w:val="14"/>
        </w:rPr>
        <w:t> </w:t>
      </w:r>
      <w:r>
        <w:rPr>
          <w:rFonts w:ascii="Arial" w:hAnsi="Arial"/>
          <w:color w:val="231F20"/>
          <w:sz w:val="14"/>
        </w:rPr>
        <w:t>définies pour vous.</w:t>
      </w:r>
    </w:p>
    <w:p>
      <w:pPr>
        <w:pStyle w:val="ListParagraph"/>
        <w:numPr>
          <w:ilvl w:val="0"/>
          <w:numId w:val="103"/>
        </w:numPr>
        <w:tabs>
          <w:tab w:pos="442" w:val="left" w:leader="none"/>
        </w:tabs>
        <w:spacing w:line="160" w:lineRule="exact" w:before="0" w:after="0"/>
        <w:ind w:left="441" w:right="0" w:hanging="181"/>
        <w:jc w:val="left"/>
        <w:rPr>
          <w:rFonts w:ascii="Arial" w:hAnsi="Arial"/>
          <w:sz w:val="14"/>
        </w:rPr>
      </w:pPr>
      <w:r>
        <w:rPr>
          <w:rFonts w:ascii="Arial" w:hAnsi="Arial"/>
          <w:color w:val="231F20"/>
          <w:w w:val="95"/>
          <w:sz w:val="14"/>
        </w:rPr>
        <w:t>Assurez-vous</w:t>
      </w:r>
      <w:r>
        <w:rPr>
          <w:rFonts w:ascii="Arial" w:hAnsi="Arial"/>
          <w:color w:val="231F20"/>
          <w:spacing w:val="2"/>
          <w:sz w:val="14"/>
        </w:rPr>
        <w:t> </w:t>
      </w:r>
      <w:r>
        <w:rPr>
          <w:rFonts w:ascii="Arial" w:hAnsi="Arial"/>
          <w:color w:val="231F20"/>
          <w:w w:val="95"/>
          <w:sz w:val="14"/>
        </w:rPr>
        <w:t>qu’en</w:t>
      </w:r>
      <w:r>
        <w:rPr>
          <w:rFonts w:ascii="Arial" w:hAnsi="Arial"/>
          <w:color w:val="231F20"/>
          <w:spacing w:val="2"/>
          <w:sz w:val="14"/>
        </w:rPr>
        <w:t> </w:t>
      </w:r>
      <w:r>
        <w:rPr>
          <w:rFonts w:ascii="Arial" w:hAnsi="Arial"/>
          <w:color w:val="231F20"/>
          <w:w w:val="95"/>
          <w:sz w:val="14"/>
        </w:rPr>
        <w:t>cas</w:t>
      </w:r>
      <w:r>
        <w:rPr>
          <w:rFonts w:ascii="Arial" w:hAnsi="Arial"/>
          <w:color w:val="231F20"/>
          <w:spacing w:val="3"/>
          <w:sz w:val="14"/>
        </w:rPr>
        <w:t> </w:t>
      </w:r>
      <w:r>
        <w:rPr>
          <w:rFonts w:ascii="Arial" w:hAnsi="Arial"/>
          <w:color w:val="231F20"/>
          <w:w w:val="95"/>
          <w:sz w:val="14"/>
        </w:rPr>
        <w:t>de</w:t>
      </w:r>
      <w:r>
        <w:rPr>
          <w:rFonts w:ascii="Arial" w:hAnsi="Arial"/>
          <w:color w:val="231F20"/>
          <w:spacing w:val="2"/>
          <w:sz w:val="14"/>
        </w:rPr>
        <w:t> </w:t>
      </w:r>
      <w:r>
        <w:rPr>
          <w:rFonts w:ascii="Arial" w:hAnsi="Arial"/>
          <w:color w:val="231F20"/>
          <w:spacing w:val="-2"/>
          <w:w w:val="95"/>
          <w:sz w:val="14"/>
        </w:rPr>
        <w:t>conflit</w:t>
      </w:r>
    </w:p>
    <w:p>
      <w:pPr>
        <w:spacing w:line="268" w:lineRule="auto" w:before="16"/>
        <w:ind w:left="441" w:right="448" w:firstLine="0"/>
        <w:jc w:val="left"/>
        <w:rPr>
          <w:rFonts w:ascii="Arial" w:hAnsi="Arial"/>
          <w:sz w:val="14"/>
        </w:rPr>
      </w:pPr>
      <w:r>
        <w:rPr>
          <w:rFonts w:ascii="Arial" w:hAnsi="Arial"/>
          <w:color w:val="231F20"/>
          <w:sz w:val="14"/>
        </w:rPr>
        <w:t>vous</w:t>
      </w:r>
      <w:r>
        <w:rPr>
          <w:rFonts w:ascii="Arial" w:hAnsi="Arial"/>
          <w:color w:val="231F20"/>
          <w:spacing w:val="-9"/>
          <w:sz w:val="14"/>
        </w:rPr>
        <w:t> </w:t>
      </w:r>
      <w:r>
        <w:rPr>
          <w:rFonts w:ascii="Arial" w:hAnsi="Arial"/>
          <w:color w:val="231F20"/>
          <w:sz w:val="14"/>
        </w:rPr>
        <w:t>vous</w:t>
      </w:r>
      <w:r>
        <w:rPr>
          <w:rFonts w:ascii="Arial" w:hAnsi="Arial"/>
          <w:color w:val="231F20"/>
          <w:spacing w:val="-9"/>
          <w:sz w:val="14"/>
        </w:rPr>
        <w:t> </w:t>
      </w:r>
      <w:r>
        <w:rPr>
          <w:rFonts w:ascii="Arial" w:hAnsi="Arial"/>
          <w:color w:val="231F20"/>
          <w:sz w:val="14"/>
        </w:rPr>
        <w:t>comportez</w:t>
      </w:r>
      <w:r>
        <w:rPr>
          <w:rFonts w:ascii="Arial" w:hAnsi="Arial"/>
          <w:color w:val="231F20"/>
          <w:spacing w:val="-9"/>
          <w:sz w:val="14"/>
        </w:rPr>
        <w:t> </w:t>
      </w:r>
      <w:r>
        <w:rPr>
          <w:rFonts w:ascii="Arial" w:hAnsi="Arial"/>
          <w:color w:val="231F20"/>
          <w:sz w:val="14"/>
        </w:rPr>
        <w:t>selon</w:t>
      </w:r>
      <w:r>
        <w:rPr>
          <w:rFonts w:ascii="Arial" w:hAnsi="Arial"/>
          <w:color w:val="231F20"/>
          <w:spacing w:val="-9"/>
          <w:sz w:val="14"/>
        </w:rPr>
        <w:t> </w:t>
      </w:r>
      <w:r>
        <w:rPr>
          <w:rFonts w:ascii="Arial" w:hAnsi="Arial"/>
          <w:color w:val="231F20"/>
          <w:sz w:val="14"/>
        </w:rPr>
        <w:t>la</w:t>
      </w:r>
      <w:r>
        <w:rPr>
          <w:rFonts w:ascii="Arial" w:hAnsi="Arial"/>
          <w:color w:val="231F20"/>
          <w:spacing w:val="-9"/>
          <w:sz w:val="14"/>
        </w:rPr>
        <w:t> </w:t>
      </w:r>
      <w:r>
        <w:rPr>
          <w:rFonts w:ascii="Arial" w:hAnsi="Arial"/>
          <w:color w:val="231F20"/>
          <w:sz w:val="14"/>
        </w:rPr>
        <w:t>hiérarchie</w:t>
      </w:r>
      <w:r>
        <w:rPr>
          <w:rFonts w:ascii="Arial" w:hAnsi="Arial"/>
          <w:color w:val="231F20"/>
          <w:spacing w:val="40"/>
          <w:sz w:val="14"/>
        </w:rPr>
        <w:t> </w:t>
      </w:r>
      <w:r>
        <w:rPr>
          <w:rFonts w:ascii="Arial" w:hAnsi="Arial"/>
          <w:color w:val="231F20"/>
          <w:sz w:val="14"/>
        </w:rPr>
        <w:t>que vous avez établie.</w:t>
      </w:r>
    </w:p>
    <w:p>
      <w:pPr>
        <w:spacing w:after="0" w:line="268" w:lineRule="auto"/>
        <w:jc w:val="left"/>
        <w:rPr>
          <w:rFonts w:ascii="Arial" w:hAnsi="Arial"/>
          <w:sz w:val="14"/>
        </w:rPr>
        <w:sectPr>
          <w:type w:val="continuous"/>
          <w:pgSz w:w="8640" w:h="12960"/>
          <w:pgMar w:header="0" w:footer="424" w:top="1220" w:bottom="280" w:left="420" w:right="1140"/>
          <w:cols w:num="2" w:equalWidth="0">
            <w:col w:w="3484" w:space="40"/>
            <w:col w:w="3556"/>
          </w:cols>
        </w:sectPr>
      </w:pPr>
    </w:p>
    <w:p>
      <w:pPr>
        <w:pStyle w:val="BodyText"/>
        <w:spacing w:before="3"/>
        <w:rPr>
          <w:rFonts w:ascii="Arial"/>
          <w:sz w:val="2"/>
        </w:rPr>
      </w:pPr>
    </w:p>
    <w:p>
      <w:pPr>
        <w:pStyle w:val="BodyText"/>
        <w:spacing w:line="20" w:lineRule="exact"/>
        <w:ind w:left="827"/>
        <w:rPr>
          <w:rFonts w:ascii="Arial"/>
          <w:sz w:val="2"/>
        </w:rPr>
      </w:pPr>
      <w:r>
        <w:rPr>
          <w:rFonts w:ascii="Arial"/>
          <w:sz w:val="2"/>
        </w:rPr>
        <w:pict>
          <v:group style="width:287.5pt;height:.25pt;mso-position-horizontal-relative:char;mso-position-vertical-relative:line" id="docshapegroup1184" coordorigin="0,0" coordsize="5750,5">
            <v:line style="position:absolute" from="0,2" to="2875,2" stroked="true" strokeweight=".25pt" strokecolor="#231f20">
              <v:stroke dashstyle="solid"/>
            </v:line>
            <v:line style="position:absolute" from="2875,2" to="5750,2" stroked="true" strokeweight=".25pt" strokecolor="#231f20">
              <v:stroke dashstyle="solid"/>
            </v:line>
          </v:group>
        </w:pict>
      </w:r>
      <w:r>
        <w:rPr>
          <w:rFonts w:ascii="Arial"/>
          <w:sz w:val="2"/>
        </w:rPr>
      </w:r>
    </w:p>
    <w:p>
      <w:pPr>
        <w:pStyle w:val="BodyText"/>
        <w:spacing w:before="3"/>
        <w:rPr>
          <w:rFonts w:ascii="Arial"/>
          <w:sz w:val="26"/>
        </w:rPr>
      </w:pPr>
    </w:p>
    <w:p>
      <w:pPr>
        <w:pStyle w:val="Heading2"/>
        <w:spacing w:before="157"/>
        <w:ind w:left="830"/>
      </w:pPr>
      <w:r>
        <w:rPr>
          <w:color w:val="231F20"/>
          <w:spacing w:val="-2"/>
        </w:rPr>
        <w:t>Références</w:t>
      </w:r>
    </w:p>
    <w:p>
      <w:pPr>
        <w:spacing w:line="283" w:lineRule="auto" w:before="264"/>
        <w:ind w:left="1080" w:right="496" w:hanging="251"/>
        <w:jc w:val="both"/>
        <w:rPr>
          <w:rFonts w:ascii="Arial"/>
          <w:sz w:val="14"/>
        </w:rPr>
      </w:pPr>
      <w:r>
        <w:rPr>
          <w:rFonts w:ascii="Arial"/>
          <w:color w:val="231F20"/>
          <w:sz w:val="14"/>
        </w:rPr>
        <w:t>Bao,</w:t>
      </w:r>
      <w:r>
        <w:rPr>
          <w:rFonts w:ascii="Arial"/>
          <w:color w:val="231F20"/>
          <w:spacing w:val="-2"/>
          <w:sz w:val="14"/>
        </w:rPr>
        <w:t> </w:t>
      </w:r>
      <w:r>
        <w:rPr>
          <w:rFonts w:ascii="Arial"/>
          <w:color w:val="231F20"/>
          <w:sz w:val="14"/>
        </w:rPr>
        <w:t>Y.,</w:t>
      </w:r>
      <w:r>
        <w:rPr>
          <w:rFonts w:ascii="Arial"/>
          <w:color w:val="231F20"/>
          <w:spacing w:val="-2"/>
          <w:sz w:val="14"/>
        </w:rPr>
        <w:t> </w:t>
      </w:r>
      <w:r>
        <w:rPr>
          <w:rFonts w:ascii="Arial"/>
          <w:color w:val="231F20"/>
          <w:sz w:val="14"/>
        </w:rPr>
        <w:t>Vedina,</w:t>
      </w:r>
      <w:r>
        <w:rPr>
          <w:rFonts w:ascii="Arial"/>
          <w:color w:val="231F20"/>
          <w:spacing w:val="-2"/>
          <w:sz w:val="14"/>
        </w:rPr>
        <w:t> </w:t>
      </w:r>
      <w:r>
        <w:rPr>
          <w:rFonts w:ascii="Arial"/>
          <w:color w:val="231F20"/>
          <w:sz w:val="14"/>
        </w:rPr>
        <w:t>R.,</w:t>
      </w:r>
      <w:r>
        <w:rPr>
          <w:rFonts w:ascii="Arial"/>
          <w:color w:val="231F20"/>
          <w:spacing w:val="-2"/>
          <w:sz w:val="14"/>
        </w:rPr>
        <w:t> </w:t>
      </w:r>
      <w:r>
        <w:rPr>
          <w:rFonts w:ascii="Arial"/>
          <w:color w:val="231F20"/>
          <w:sz w:val="14"/>
        </w:rPr>
        <w:t>Moodie,</w:t>
      </w:r>
      <w:r>
        <w:rPr>
          <w:rFonts w:ascii="Arial"/>
          <w:color w:val="231F20"/>
          <w:spacing w:val="-2"/>
          <w:sz w:val="14"/>
        </w:rPr>
        <w:t> </w:t>
      </w:r>
      <w:r>
        <w:rPr>
          <w:rFonts w:ascii="Arial"/>
          <w:color w:val="231F20"/>
          <w:sz w:val="14"/>
        </w:rPr>
        <w:t>S.</w:t>
      </w:r>
      <w:r>
        <w:rPr>
          <w:rFonts w:ascii="Arial"/>
          <w:color w:val="231F20"/>
          <w:spacing w:val="-2"/>
          <w:sz w:val="14"/>
        </w:rPr>
        <w:t> </w:t>
      </w:r>
      <w:r>
        <w:rPr>
          <w:rFonts w:ascii="Arial"/>
          <w:color w:val="231F20"/>
          <w:sz w:val="14"/>
        </w:rPr>
        <w:t>et</w:t>
      </w:r>
      <w:r>
        <w:rPr>
          <w:rFonts w:ascii="Arial"/>
          <w:color w:val="231F20"/>
          <w:spacing w:val="-2"/>
          <w:sz w:val="14"/>
        </w:rPr>
        <w:t> </w:t>
      </w:r>
      <w:r>
        <w:rPr>
          <w:rFonts w:ascii="Arial"/>
          <w:color w:val="231F20"/>
          <w:sz w:val="14"/>
        </w:rPr>
        <w:t>Dolan,</w:t>
      </w:r>
      <w:r>
        <w:rPr>
          <w:rFonts w:ascii="Arial"/>
          <w:color w:val="231F20"/>
          <w:spacing w:val="-2"/>
          <w:sz w:val="14"/>
        </w:rPr>
        <w:t> </w:t>
      </w:r>
      <w:r>
        <w:rPr>
          <w:rFonts w:ascii="Arial"/>
          <w:color w:val="231F20"/>
          <w:sz w:val="14"/>
        </w:rPr>
        <w:t>S.</w:t>
      </w:r>
      <w:r>
        <w:rPr>
          <w:rFonts w:ascii="Arial"/>
          <w:color w:val="231F20"/>
          <w:spacing w:val="-2"/>
          <w:sz w:val="14"/>
        </w:rPr>
        <w:t> </w:t>
      </w:r>
      <w:r>
        <w:rPr>
          <w:rFonts w:ascii="Arial"/>
          <w:color w:val="231F20"/>
          <w:sz w:val="14"/>
        </w:rPr>
        <w:t>L.</w:t>
      </w:r>
      <w:r>
        <w:rPr>
          <w:rFonts w:ascii="Arial"/>
          <w:color w:val="231F20"/>
          <w:spacing w:val="-2"/>
          <w:sz w:val="14"/>
        </w:rPr>
        <w:t> </w:t>
      </w:r>
      <w:r>
        <w:rPr>
          <w:rFonts w:ascii="Arial"/>
          <w:color w:val="231F20"/>
          <w:sz w:val="14"/>
        </w:rPr>
        <w:t>(2013).</w:t>
      </w:r>
      <w:r>
        <w:rPr>
          <w:rFonts w:ascii="Arial"/>
          <w:color w:val="231F20"/>
          <w:spacing w:val="-2"/>
          <w:sz w:val="14"/>
        </w:rPr>
        <w:t> </w:t>
      </w:r>
      <w:r>
        <w:rPr>
          <w:rFonts w:ascii="Arial"/>
          <w:color w:val="231F20"/>
          <w:sz w:val="14"/>
        </w:rPr>
        <w:t>The</w:t>
      </w:r>
      <w:r>
        <w:rPr>
          <w:rFonts w:ascii="Arial"/>
          <w:color w:val="231F20"/>
          <w:spacing w:val="-2"/>
          <w:sz w:val="14"/>
        </w:rPr>
        <w:t> </w:t>
      </w:r>
      <w:r>
        <w:rPr>
          <w:rFonts w:ascii="Arial"/>
          <w:color w:val="231F20"/>
          <w:sz w:val="14"/>
        </w:rPr>
        <w:t>relationship</w:t>
      </w:r>
      <w:r>
        <w:rPr>
          <w:rFonts w:ascii="Arial"/>
          <w:color w:val="231F20"/>
          <w:spacing w:val="-2"/>
          <w:sz w:val="14"/>
        </w:rPr>
        <w:t> </w:t>
      </w:r>
      <w:r>
        <w:rPr>
          <w:rFonts w:ascii="Arial"/>
          <w:color w:val="231F20"/>
          <w:sz w:val="14"/>
        </w:rPr>
        <w:t>between</w:t>
      </w:r>
      <w:r>
        <w:rPr>
          <w:rFonts w:ascii="Arial"/>
          <w:color w:val="231F20"/>
          <w:spacing w:val="-2"/>
          <w:sz w:val="14"/>
        </w:rPr>
        <w:t> </w:t>
      </w:r>
      <w:r>
        <w:rPr>
          <w:rFonts w:ascii="Arial"/>
          <w:color w:val="231F20"/>
          <w:sz w:val="14"/>
        </w:rPr>
        <w:t>value</w:t>
      </w:r>
      <w:r>
        <w:rPr>
          <w:rFonts w:ascii="Arial"/>
          <w:color w:val="231F20"/>
          <w:spacing w:val="-2"/>
          <w:sz w:val="14"/>
        </w:rPr>
        <w:t> </w:t>
      </w:r>
      <w:r>
        <w:rPr>
          <w:rFonts w:ascii="Arial"/>
          <w:color w:val="231F20"/>
          <w:sz w:val="14"/>
        </w:rPr>
        <w:t>incon-</w:t>
      </w:r>
      <w:r>
        <w:rPr>
          <w:rFonts w:ascii="Arial"/>
          <w:color w:val="231F20"/>
          <w:spacing w:val="40"/>
          <w:sz w:val="14"/>
        </w:rPr>
        <w:t> </w:t>
      </w:r>
      <w:r>
        <w:rPr>
          <w:rFonts w:ascii="Arial"/>
          <w:color w:val="231F20"/>
          <w:sz w:val="14"/>
        </w:rPr>
        <w:t>gruence and individual and organizational well-being outcomes</w:t>
      </w:r>
      <w:r>
        <w:rPr>
          <w:rFonts w:ascii="Arial"/>
          <w:color w:val="231F20"/>
          <w:spacing w:val="-10"/>
          <w:sz w:val="14"/>
        </w:rPr>
        <w:t> </w:t>
      </w:r>
      <w:r>
        <w:rPr>
          <w:rFonts w:ascii="Arial"/>
          <w:color w:val="231F20"/>
          <w:sz w:val="14"/>
        </w:rPr>
        <w:t>: An exploratory study</w:t>
      </w:r>
      <w:r>
        <w:rPr>
          <w:rFonts w:ascii="Arial"/>
          <w:color w:val="231F20"/>
          <w:spacing w:val="40"/>
          <w:sz w:val="14"/>
        </w:rPr>
        <w:t> </w:t>
      </w:r>
      <w:r>
        <w:rPr>
          <w:rFonts w:ascii="Arial"/>
          <w:color w:val="231F20"/>
          <w:sz w:val="14"/>
        </w:rPr>
        <w:t>among Catalan nurses, </w:t>
      </w:r>
      <w:r>
        <w:rPr>
          <w:rFonts w:ascii="Arial"/>
          <w:i/>
          <w:color w:val="231F20"/>
          <w:sz w:val="14"/>
        </w:rPr>
        <w:t>Journal of Advanced Nursing</w:t>
      </w:r>
      <w:r>
        <w:rPr>
          <w:rFonts w:ascii="Arial"/>
          <w:color w:val="231F20"/>
          <w:sz w:val="14"/>
        </w:rPr>
        <w:t>, </w:t>
      </w:r>
      <w:r>
        <w:rPr>
          <w:rFonts w:ascii="Arial"/>
          <w:i/>
          <w:color w:val="231F20"/>
          <w:sz w:val="14"/>
        </w:rPr>
        <w:t>69</w:t>
      </w:r>
      <w:r>
        <w:rPr>
          <w:rFonts w:ascii="Arial"/>
          <w:color w:val="231F20"/>
          <w:sz w:val="14"/>
        </w:rPr>
        <w:t>(3), 631-641.</w:t>
      </w:r>
    </w:p>
    <w:p>
      <w:pPr>
        <w:spacing w:before="80"/>
        <w:ind w:left="830" w:right="0" w:firstLine="0"/>
        <w:jc w:val="both"/>
        <w:rPr>
          <w:rFonts w:ascii="Arial"/>
          <w:sz w:val="14"/>
        </w:rPr>
      </w:pPr>
      <w:r>
        <w:rPr>
          <w:rFonts w:ascii="Arial"/>
          <w:color w:val="231F20"/>
          <w:w w:val="95"/>
          <w:sz w:val="14"/>
        </w:rPr>
        <w:t>Dolan,</w:t>
      </w:r>
      <w:r>
        <w:rPr>
          <w:rFonts w:ascii="Arial"/>
          <w:color w:val="231F20"/>
          <w:spacing w:val="4"/>
          <w:sz w:val="14"/>
        </w:rPr>
        <w:t> </w:t>
      </w:r>
      <w:r>
        <w:rPr>
          <w:rFonts w:ascii="Arial"/>
          <w:color w:val="231F20"/>
          <w:w w:val="95"/>
          <w:sz w:val="14"/>
        </w:rPr>
        <w:t>S.</w:t>
      </w:r>
      <w:r>
        <w:rPr>
          <w:rFonts w:ascii="Arial"/>
          <w:color w:val="231F20"/>
          <w:spacing w:val="4"/>
          <w:sz w:val="14"/>
        </w:rPr>
        <w:t> </w:t>
      </w:r>
      <w:r>
        <w:rPr>
          <w:rFonts w:ascii="Arial"/>
          <w:color w:val="231F20"/>
          <w:w w:val="95"/>
          <w:sz w:val="14"/>
        </w:rPr>
        <w:t>L.</w:t>
      </w:r>
      <w:r>
        <w:rPr>
          <w:rFonts w:ascii="Arial"/>
          <w:color w:val="231F20"/>
          <w:spacing w:val="4"/>
          <w:sz w:val="14"/>
        </w:rPr>
        <w:t> </w:t>
      </w:r>
      <w:r>
        <w:rPr>
          <w:rFonts w:ascii="Arial"/>
          <w:color w:val="231F20"/>
          <w:w w:val="95"/>
          <w:sz w:val="14"/>
        </w:rPr>
        <w:t>(2020).</w:t>
      </w:r>
      <w:r>
        <w:rPr>
          <w:rFonts w:ascii="Arial"/>
          <w:color w:val="231F20"/>
          <w:spacing w:val="4"/>
          <w:sz w:val="14"/>
        </w:rPr>
        <w:t> </w:t>
      </w:r>
      <w:r>
        <w:rPr>
          <w:rFonts w:ascii="Arial"/>
          <w:i/>
          <w:color w:val="231F20"/>
          <w:w w:val="95"/>
          <w:sz w:val="14"/>
        </w:rPr>
        <w:t>The</w:t>
      </w:r>
      <w:r>
        <w:rPr>
          <w:rFonts w:ascii="Arial"/>
          <w:i/>
          <w:color w:val="231F20"/>
          <w:spacing w:val="4"/>
          <w:sz w:val="14"/>
        </w:rPr>
        <w:t> </w:t>
      </w:r>
      <w:r>
        <w:rPr>
          <w:rFonts w:ascii="Arial"/>
          <w:i/>
          <w:color w:val="231F20"/>
          <w:w w:val="95"/>
          <w:sz w:val="14"/>
        </w:rPr>
        <w:t>Secrets</w:t>
      </w:r>
      <w:r>
        <w:rPr>
          <w:rFonts w:ascii="Arial"/>
          <w:i/>
          <w:color w:val="231F20"/>
          <w:spacing w:val="4"/>
          <w:sz w:val="14"/>
        </w:rPr>
        <w:t> </w:t>
      </w:r>
      <w:r>
        <w:rPr>
          <w:rFonts w:ascii="Arial"/>
          <w:i/>
          <w:color w:val="231F20"/>
          <w:w w:val="95"/>
          <w:sz w:val="14"/>
        </w:rPr>
        <w:t>of</w:t>
      </w:r>
      <w:r>
        <w:rPr>
          <w:rFonts w:ascii="Arial"/>
          <w:i/>
          <w:color w:val="231F20"/>
          <w:spacing w:val="5"/>
          <w:sz w:val="14"/>
        </w:rPr>
        <w:t> </w:t>
      </w:r>
      <w:r>
        <w:rPr>
          <w:rFonts w:ascii="Arial"/>
          <w:i/>
          <w:color w:val="231F20"/>
          <w:w w:val="95"/>
          <w:sz w:val="14"/>
        </w:rPr>
        <w:t>Coaching</w:t>
      </w:r>
      <w:r>
        <w:rPr>
          <w:rFonts w:ascii="Arial"/>
          <w:i/>
          <w:color w:val="231F20"/>
          <w:spacing w:val="4"/>
          <w:sz w:val="14"/>
        </w:rPr>
        <w:t> </w:t>
      </w:r>
      <w:r>
        <w:rPr>
          <w:rFonts w:ascii="Arial"/>
          <w:i/>
          <w:color w:val="231F20"/>
          <w:w w:val="95"/>
          <w:sz w:val="14"/>
        </w:rPr>
        <w:t>and</w:t>
      </w:r>
      <w:r>
        <w:rPr>
          <w:rFonts w:ascii="Arial"/>
          <w:i/>
          <w:color w:val="231F20"/>
          <w:spacing w:val="4"/>
          <w:sz w:val="14"/>
        </w:rPr>
        <w:t> </w:t>
      </w:r>
      <w:r>
        <w:rPr>
          <w:rFonts w:ascii="Arial"/>
          <w:i/>
          <w:color w:val="231F20"/>
          <w:w w:val="95"/>
          <w:sz w:val="14"/>
        </w:rPr>
        <w:t>Leading</w:t>
      </w:r>
      <w:r>
        <w:rPr>
          <w:rFonts w:ascii="Arial"/>
          <w:i/>
          <w:color w:val="231F20"/>
          <w:spacing w:val="4"/>
          <w:sz w:val="14"/>
        </w:rPr>
        <w:t> </w:t>
      </w:r>
      <w:r>
        <w:rPr>
          <w:rFonts w:ascii="Arial"/>
          <w:i/>
          <w:color w:val="231F20"/>
          <w:w w:val="95"/>
          <w:sz w:val="14"/>
        </w:rPr>
        <w:t>by</w:t>
      </w:r>
      <w:r>
        <w:rPr>
          <w:rFonts w:ascii="Arial"/>
          <w:i/>
          <w:color w:val="231F20"/>
          <w:spacing w:val="4"/>
          <w:sz w:val="14"/>
        </w:rPr>
        <w:t> </w:t>
      </w:r>
      <w:r>
        <w:rPr>
          <w:rFonts w:ascii="Arial"/>
          <w:i/>
          <w:color w:val="231F20"/>
          <w:w w:val="95"/>
          <w:sz w:val="14"/>
        </w:rPr>
        <w:t>Values</w:t>
      </w:r>
      <w:r>
        <w:rPr>
          <w:rFonts w:ascii="Arial"/>
          <w:color w:val="231F20"/>
          <w:w w:val="95"/>
          <w:sz w:val="14"/>
        </w:rPr>
        <w:t>,</w:t>
      </w:r>
      <w:r>
        <w:rPr>
          <w:rFonts w:ascii="Arial"/>
          <w:color w:val="231F20"/>
          <w:spacing w:val="4"/>
          <w:sz w:val="14"/>
        </w:rPr>
        <w:t> </w:t>
      </w:r>
      <w:r>
        <w:rPr>
          <w:rFonts w:ascii="Arial"/>
          <w:color w:val="231F20"/>
          <w:w w:val="95"/>
          <w:sz w:val="14"/>
        </w:rPr>
        <w:t>London,</w:t>
      </w:r>
      <w:r>
        <w:rPr>
          <w:rFonts w:ascii="Arial"/>
          <w:color w:val="231F20"/>
          <w:spacing w:val="4"/>
          <w:sz w:val="14"/>
        </w:rPr>
        <w:t> </w:t>
      </w:r>
      <w:r>
        <w:rPr>
          <w:rFonts w:ascii="Arial"/>
          <w:color w:val="231F20"/>
          <w:spacing w:val="-2"/>
          <w:w w:val="95"/>
          <w:sz w:val="14"/>
        </w:rPr>
        <w:t>Routledge.</w:t>
      </w:r>
    </w:p>
    <w:p>
      <w:pPr>
        <w:spacing w:line="283" w:lineRule="auto" w:before="109"/>
        <w:ind w:left="1080" w:right="497" w:hanging="250"/>
        <w:jc w:val="both"/>
        <w:rPr>
          <w:rFonts w:ascii="Arial"/>
          <w:sz w:val="14"/>
        </w:rPr>
      </w:pPr>
      <w:r>
        <w:rPr>
          <w:rFonts w:ascii="Arial"/>
          <w:color w:val="231F20"/>
          <w:sz w:val="14"/>
        </w:rPr>
        <w:t>Dolan,</w:t>
      </w:r>
      <w:r>
        <w:rPr>
          <w:rFonts w:ascii="Arial"/>
          <w:color w:val="231F20"/>
          <w:spacing w:val="-10"/>
          <w:sz w:val="14"/>
        </w:rPr>
        <w:t> </w:t>
      </w:r>
      <w:r>
        <w:rPr>
          <w:rFonts w:ascii="Arial"/>
          <w:color w:val="231F20"/>
          <w:sz w:val="14"/>
        </w:rPr>
        <w:t>S.</w:t>
      </w:r>
      <w:r>
        <w:rPr>
          <w:rFonts w:ascii="Arial"/>
          <w:color w:val="231F20"/>
          <w:spacing w:val="-5"/>
          <w:sz w:val="14"/>
        </w:rPr>
        <w:t> </w:t>
      </w:r>
      <w:r>
        <w:rPr>
          <w:rFonts w:ascii="Arial"/>
          <w:color w:val="231F20"/>
          <w:sz w:val="14"/>
        </w:rPr>
        <w:t>L. (2016). Reflections on leadership, coaching and values</w:t>
      </w:r>
      <w:r>
        <w:rPr>
          <w:rFonts w:ascii="Arial"/>
          <w:color w:val="231F20"/>
          <w:spacing w:val="-10"/>
          <w:sz w:val="14"/>
        </w:rPr>
        <w:t> </w:t>
      </w:r>
      <w:r>
        <w:rPr>
          <w:rFonts w:ascii="Arial"/>
          <w:color w:val="231F20"/>
          <w:sz w:val="14"/>
        </w:rPr>
        <w:t>: A framework for under-</w:t>
      </w:r>
      <w:r>
        <w:rPr>
          <w:rFonts w:ascii="Arial"/>
          <w:color w:val="231F20"/>
          <w:spacing w:val="40"/>
          <w:sz w:val="14"/>
        </w:rPr>
        <w:t> </w:t>
      </w:r>
      <w:r>
        <w:rPr>
          <w:rFonts w:ascii="Arial"/>
          <w:color w:val="231F20"/>
          <w:sz w:val="14"/>
        </w:rPr>
        <w:t>standing the consequences of value congruence and incongruence in organizations and</w:t>
      </w:r>
      <w:r>
        <w:rPr>
          <w:rFonts w:ascii="Arial"/>
          <w:color w:val="231F20"/>
          <w:spacing w:val="40"/>
          <w:sz w:val="14"/>
        </w:rPr>
        <w:t> </w:t>
      </w:r>
      <w:r>
        <w:rPr>
          <w:rFonts w:ascii="Arial"/>
          <w:color w:val="231F20"/>
          <w:sz w:val="14"/>
        </w:rPr>
        <w:t>a call to enhance value alignment, </w:t>
      </w:r>
      <w:r>
        <w:rPr>
          <w:rFonts w:ascii="Arial"/>
          <w:i/>
          <w:color w:val="231F20"/>
          <w:sz w:val="14"/>
        </w:rPr>
        <w:t>The Study of Organizations and Human Resource</w:t>
      </w:r>
      <w:r>
        <w:rPr>
          <w:rFonts w:ascii="Arial"/>
          <w:i/>
          <w:color w:val="231F20"/>
          <w:spacing w:val="40"/>
          <w:sz w:val="14"/>
        </w:rPr>
        <w:t> </w:t>
      </w:r>
      <w:r>
        <w:rPr>
          <w:rFonts w:ascii="Arial"/>
          <w:i/>
          <w:color w:val="231F20"/>
          <w:sz w:val="14"/>
        </w:rPr>
        <w:t>Management Quarterly</w:t>
      </w:r>
      <w:r>
        <w:rPr>
          <w:rFonts w:ascii="Arial"/>
          <w:color w:val="231F20"/>
          <w:sz w:val="14"/>
        </w:rPr>
        <w:t>, </w:t>
      </w:r>
      <w:r>
        <w:rPr>
          <w:rFonts w:ascii="Arial"/>
          <w:i/>
          <w:color w:val="231F20"/>
          <w:sz w:val="14"/>
        </w:rPr>
        <w:t>1</w:t>
      </w:r>
      <w:r>
        <w:rPr>
          <w:rFonts w:ascii="Arial"/>
          <w:color w:val="231F20"/>
          <w:sz w:val="14"/>
        </w:rPr>
        <w:t>(2), 56-74.</w:t>
      </w:r>
    </w:p>
    <w:p>
      <w:pPr>
        <w:spacing w:line="283" w:lineRule="auto" w:before="80"/>
        <w:ind w:left="1080" w:right="496" w:hanging="251"/>
        <w:jc w:val="both"/>
        <w:rPr>
          <w:rFonts w:ascii="Arial"/>
          <w:sz w:val="14"/>
        </w:rPr>
      </w:pPr>
      <w:r>
        <w:rPr>
          <w:rFonts w:ascii="Arial"/>
          <w:color w:val="231F20"/>
          <w:w w:val="95"/>
          <w:sz w:val="14"/>
        </w:rPr>
        <w:t>Dolan,</w:t>
      </w:r>
      <w:r>
        <w:rPr>
          <w:rFonts w:ascii="Arial"/>
          <w:color w:val="231F20"/>
          <w:spacing w:val="-8"/>
          <w:w w:val="95"/>
          <w:sz w:val="14"/>
        </w:rPr>
        <w:t> </w:t>
      </w:r>
      <w:r>
        <w:rPr>
          <w:rFonts w:ascii="Arial"/>
          <w:color w:val="231F20"/>
          <w:w w:val="95"/>
          <w:sz w:val="14"/>
        </w:rPr>
        <w:t>S.</w:t>
      </w:r>
      <w:r>
        <w:rPr>
          <w:rFonts w:ascii="Arial"/>
          <w:color w:val="231F20"/>
          <w:spacing w:val="-8"/>
          <w:w w:val="95"/>
          <w:sz w:val="14"/>
        </w:rPr>
        <w:t> </w:t>
      </w:r>
      <w:r>
        <w:rPr>
          <w:rFonts w:ascii="Arial"/>
          <w:color w:val="231F20"/>
          <w:w w:val="95"/>
          <w:sz w:val="14"/>
        </w:rPr>
        <w:t>L.</w:t>
      </w:r>
      <w:r>
        <w:rPr>
          <w:rFonts w:ascii="Arial"/>
          <w:color w:val="231F20"/>
          <w:spacing w:val="-8"/>
          <w:w w:val="95"/>
          <w:sz w:val="14"/>
        </w:rPr>
        <w:t> </w:t>
      </w:r>
      <w:r>
        <w:rPr>
          <w:rFonts w:ascii="Arial"/>
          <w:color w:val="231F20"/>
          <w:w w:val="95"/>
          <w:sz w:val="14"/>
        </w:rPr>
        <w:t>(2011).</w:t>
      </w:r>
      <w:r>
        <w:rPr>
          <w:rFonts w:ascii="Arial"/>
          <w:color w:val="231F20"/>
          <w:spacing w:val="-8"/>
          <w:w w:val="95"/>
          <w:sz w:val="14"/>
        </w:rPr>
        <w:t> </w:t>
      </w:r>
      <w:r>
        <w:rPr>
          <w:rFonts w:ascii="Arial"/>
          <w:i/>
          <w:color w:val="231F20"/>
          <w:w w:val="95"/>
          <w:sz w:val="14"/>
        </w:rPr>
        <w:t>Coaching</w:t>
      </w:r>
      <w:r>
        <w:rPr>
          <w:rFonts w:ascii="Arial"/>
          <w:i/>
          <w:color w:val="231F20"/>
          <w:spacing w:val="-7"/>
          <w:w w:val="95"/>
          <w:sz w:val="14"/>
        </w:rPr>
        <w:t> </w:t>
      </w:r>
      <w:r>
        <w:rPr>
          <w:rFonts w:ascii="Arial"/>
          <w:i/>
          <w:color w:val="231F20"/>
          <w:w w:val="95"/>
          <w:sz w:val="14"/>
        </w:rPr>
        <w:t>by</w:t>
      </w:r>
      <w:r>
        <w:rPr>
          <w:rFonts w:ascii="Arial"/>
          <w:i/>
          <w:color w:val="231F20"/>
          <w:spacing w:val="-8"/>
          <w:w w:val="95"/>
          <w:sz w:val="14"/>
        </w:rPr>
        <w:t> </w:t>
      </w:r>
      <w:r>
        <w:rPr>
          <w:rFonts w:ascii="Arial"/>
          <w:i/>
          <w:color w:val="231F20"/>
          <w:w w:val="95"/>
          <w:sz w:val="14"/>
        </w:rPr>
        <w:t>Values</w:t>
      </w:r>
      <w:r>
        <w:rPr>
          <w:rFonts w:ascii="Arial"/>
          <w:i/>
          <w:color w:val="231F20"/>
          <w:spacing w:val="-8"/>
          <w:w w:val="95"/>
          <w:sz w:val="14"/>
        </w:rPr>
        <w:t> </w:t>
      </w:r>
      <w:r>
        <w:rPr>
          <w:rFonts w:ascii="Arial"/>
          <w:i/>
          <w:color w:val="231F20"/>
          <w:w w:val="95"/>
          <w:sz w:val="14"/>
        </w:rPr>
        <w:t>;</w:t>
      </w:r>
      <w:r>
        <w:rPr>
          <w:rFonts w:ascii="Arial"/>
          <w:i/>
          <w:color w:val="231F20"/>
          <w:spacing w:val="-8"/>
          <w:w w:val="95"/>
          <w:sz w:val="14"/>
        </w:rPr>
        <w:t> </w:t>
      </w:r>
      <w:r>
        <w:rPr>
          <w:rFonts w:ascii="Arial"/>
          <w:i/>
          <w:color w:val="231F20"/>
          <w:w w:val="95"/>
          <w:sz w:val="14"/>
        </w:rPr>
        <w:t>How</w:t>
      </w:r>
      <w:r>
        <w:rPr>
          <w:rFonts w:ascii="Arial"/>
          <w:i/>
          <w:color w:val="231F20"/>
          <w:spacing w:val="-8"/>
          <w:w w:val="95"/>
          <w:sz w:val="14"/>
        </w:rPr>
        <w:t> </w:t>
      </w:r>
      <w:r>
        <w:rPr>
          <w:rFonts w:ascii="Arial"/>
          <w:i/>
          <w:color w:val="231F20"/>
          <w:w w:val="95"/>
          <w:sz w:val="14"/>
        </w:rPr>
        <w:t>to</w:t>
      </w:r>
      <w:r>
        <w:rPr>
          <w:rFonts w:ascii="Arial"/>
          <w:i/>
          <w:color w:val="231F20"/>
          <w:spacing w:val="-7"/>
          <w:w w:val="95"/>
          <w:sz w:val="14"/>
        </w:rPr>
        <w:t> </w:t>
      </w:r>
      <w:r>
        <w:rPr>
          <w:rFonts w:ascii="Arial"/>
          <w:i/>
          <w:color w:val="231F20"/>
          <w:w w:val="95"/>
          <w:sz w:val="14"/>
        </w:rPr>
        <w:t>Succeed</w:t>
      </w:r>
      <w:r>
        <w:rPr>
          <w:rFonts w:ascii="Arial"/>
          <w:i/>
          <w:color w:val="231F20"/>
          <w:spacing w:val="-8"/>
          <w:w w:val="95"/>
          <w:sz w:val="14"/>
        </w:rPr>
        <w:t> </w:t>
      </w:r>
      <w:r>
        <w:rPr>
          <w:rFonts w:ascii="Arial"/>
          <w:i/>
          <w:color w:val="231F20"/>
          <w:w w:val="95"/>
          <w:sz w:val="14"/>
        </w:rPr>
        <w:t>in</w:t>
      </w:r>
      <w:r>
        <w:rPr>
          <w:rFonts w:ascii="Arial"/>
          <w:i/>
          <w:color w:val="231F20"/>
          <w:spacing w:val="-8"/>
          <w:w w:val="95"/>
          <w:sz w:val="14"/>
        </w:rPr>
        <w:t> </w:t>
      </w:r>
      <w:r>
        <w:rPr>
          <w:rFonts w:ascii="Arial"/>
          <w:i/>
          <w:color w:val="231F20"/>
          <w:w w:val="95"/>
          <w:sz w:val="14"/>
        </w:rPr>
        <w:t>the</w:t>
      </w:r>
      <w:r>
        <w:rPr>
          <w:rFonts w:ascii="Arial"/>
          <w:i/>
          <w:color w:val="231F20"/>
          <w:spacing w:val="-8"/>
          <w:w w:val="95"/>
          <w:sz w:val="14"/>
        </w:rPr>
        <w:t> </w:t>
      </w:r>
      <w:r>
        <w:rPr>
          <w:rFonts w:ascii="Arial"/>
          <w:i/>
          <w:color w:val="231F20"/>
          <w:w w:val="95"/>
          <w:sz w:val="14"/>
        </w:rPr>
        <w:t>Life</w:t>
      </w:r>
      <w:r>
        <w:rPr>
          <w:rFonts w:ascii="Arial"/>
          <w:i/>
          <w:color w:val="231F20"/>
          <w:spacing w:val="-6"/>
          <w:w w:val="95"/>
          <w:sz w:val="14"/>
        </w:rPr>
        <w:t> </w:t>
      </w:r>
      <w:r>
        <w:rPr>
          <w:rFonts w:ascii="Arial"/>
          <w:i/>
          <w:color w:val="231F20"/>
          <w:w w:val="95"/>
          <w:sz w:val="14"/>
        </w:rPr>
        <w:t>of</w:t>
      </w:r>
      <w:r>
        <w:rPr>
          <w:rFonts w:ascii="Arial"/>
          <w:i/>
          <w:color w:val="231F20"/>
          <w:spacing w:val="-7"/>
          <w:w w:val="95"/>
          <w:sz w:val="14"/>
        </w:rPr>
        <w:t> </w:t>
      </w:r>
      <w:r>
        <w:rPr>
          <w:rFonts w:ascii="Arial"/>
          <w:i/>
          <w:color w:val="231F20"/>
          <w:w w:val="95"/>
          <w:sz w:val="14"/>
        </w:rPr>
        <w:t>Business</w:t>
      </w:r>
      <w:r>
        <w:rPr>
          <w:rFonts w:ascii="Arial"/>
          <w:i/>
          <w:color w:val="231F20"/>
          <w:spacing w:val="-6"/>
          <w:w w:val="95"/>
          <w:sz w:val="14"/>
        </w:rPr>
        <w:t> </w:t>
      </w:r>
      <w:r>
        <w:rPr>
          <w:rFonts w:ascii="Arial"/>
          <w:i/>
          <w:color w:val="231F20"/>
          <w:w w:val="95"/>
          <w:sz w:val="14"/>
        </w:rPr>
        <w:t>and</w:t>
      </w:r>
      <w:r>
        <w:rPr>
          <w:rFonts w:ascii="Arial"/>
          <w:i/>
          <w:color w:val="231F20"/>
          <w:spacing w:val="-7"/>
          <w:w w:val="95"/>
          <w:sz w:val="14"/>
        </w:rPr>
        <w:t> </w:t>
      </w:r>
      <w:r>
        <w:rPr>
          <w:rFonts w:ascii="Arial"/>
          <w:i/>
          <w:color w:val="231F20"/>
          <w:w w:val="95"/>
          <w:sz w:val="14"/>
        </w:rPr>
        <w:t>the</w:t>
      </w:r>
      <w:r>
        <w:rPr>
          <w:rFonts w:ascii="Arial"/>
          <w:i/>
          <w:color w:val="231F20"/>
          <w:spacing w:val="-7"/>
          <w:w w:val="95"/>
          <w:sz w:val="14"/>
        </w:rPr>
        <w:t> </w:t>
      </w:r>
      <w:r>
        <w:rPr>
          <w:rFonts w:ascii="Arial"/>
          <w:i/>
          <w:color w:val="231F20"/>
          <w:w w:val="95"/>
          <w:sz w:val="14"/>
        </w:rPr>
        <w:t>Business</w:t>
      </w:r>
      <w:r>
        <w:rPr>
          <w:rFonts w:ascii="Arial"/>
          <w:i/>
          <w:color w:val="231F20"/>
          <w:spacing w:val="40"/>
          <w:sz w:val="14"/>
        </w:rPr>
        <w:t> </w:t>
      </w:r>
      <w:r>
        <w:rPr>
          <w:rFonts w:ascii="Arial"/>
          <w:i/>
          <w:color w:val="231F20"/>
          <w:sz w:val="14"/>
        </w:rPr>
        <w:t>of Life</w:t>
      </w:r>
      <w:r>
        <w:rPr>
          <w:rFonts w:ascii="Arial"/>
          <w:color w:val="231F20"/>
          <w:sz w:val="14"/>
        </w:rPr>
        <w:t>, iUniverse.</w:t>
      </w:r>
    </w:p>
    <w:p>
      <w:pPr>
        <w:spacing w:after="0" w:line="283" w:lineRule="auto"/>
        <w:jc w:val="both"/>
        <w:rPr>
          <w:rFonts w:ascii="Arial"/>
          <w:sz w:val="14"/>
        </w:rPr>
        <w:sectPr>
          <w:type w:val="continuous"/>
          <w:pgSz w:w="8640" w:h="12960"/>
          <w:pgMar w:header="0" w:footer="424" w:top="1220" w:bottom="280" w:left="420" w:right="1140"/>
        </w:sectPr>
      </w:pPr>
    </w:p>
    <w:p>
      <w:pPr>
        <w:spacing w:before="118"/>
        <w:ind w:left="1246" w:right="0" w:firstLine="0"/>
        <w:jc w:val="left"/>
        <w:rPr>
          <w:rFonts w:ascii="Arial" w:hAnsi="Arial"/>
          <w:sz w:val="14"/>
        </w:rPr>
      </w:pPr>
      <w:r>
        <w:rPr>
          <w:rFonts w:ascii="Arial" w:hAnsi="Arial"/>
          <w:color w:val="231F20"/>
          <w:sz w:val="14"/>
        </w:rPr>
        <w:t>Annexe</w:t>
      </w:r>
      <w:r>
        <w:rPr>
          <w:rFonts w:ascii="Arial" w:hAnsi="Arial"/>
          <w:color w:val="231F20"/>
          <w:spacing w:val="-6"/>
          <w:sz w:val="14"/>
        </w:rPr>
        <w:t> </w:t>
      </w:r>
      <w:r>
        <w:rPr>
          <w:rFonts w:ascii="Arial" w:hAnsi="Arial"/>
          <w:i/>
          <w:color w:val="231F20"/>
          <w:sz w:val="14"/>
        </w:rPr>
        <w:t>/</w:t>
      </w:r>
      <w:r>
        <w:rPr>
          <w:rFonts w:ascii="Arial" w:hAnsi="Arial"/>
          <w:i/>
          <w:color w:val="231F20"/>
          <w:spacing w:val="-5"/>
          <w:sz w:val="14"/>
        </w:rPr>
        <w:t> </w:t>
      </w:r>
      <w:r>
        <w:rPr>
          <w:rFonts w:ascii="Arial" w:hAnsi="Arial"/>
          <w:color w:val="231F20"/>
          <w:sz w:val="14"/>
        </w:rPr>
        <w:t>Stress,</w:t>
      </w:r>
      <w:r>
        <w:rPr>
          <w:rFonts w:ascii="Arial" w:hAnsi="Arial"/>
          <w:color w:val="231F20"/>
          <w:spacing w:val="-5"/>
          <w:sz w:val="14"/>
        </w:rPr>
        <w:t> </w:t>
      </w:r>
      <w:r>
        <w:rPr>
          <w:rFonts w:ascii="Arial" w:hAnsi="Arial"/>
          <w:color w:val="231F20"/>
          <w:sz w:val="14"/>
        </w:rPr>
        <w:t>estime</w:t>
      </w:r>
      <w:r>
        <w:rPr>
          <w:rFonts w:ascii="Arial" w:hAnsi="Arial"/>
          <w:color w:val="231F20"/>
          <w:spacing w:val="-5"/>
          <w:sz w:val="14"/>
        </w:rPr>
        <w:t> </w:t>
      </w:r>
      <w:r>
        <w:rPr>
          <w:rFonts w:ascii="Arial" w:hAnsi="Arial"/>
          <w:color w:val="231F20"/>
          <w:sz w:val="14"/>
        </w:rPr>
        <w:t>de</w:t>
      </w:r>
      <w:r>
        <w:rPr>
          <w:rFonts w:ascii="Arial" w:hAnsi="Arial"/>
          <w:color w:val="231F20"/>
          <w:spacing w:val="-6"/>
          <w:sz w:val="14"/>
        </w:rPr>
        <w:t> </w:t>
      </w:r>
      <w:r>
        <w:rPr>
          <w:rFonts w:ascii="Arial" w:hAnsi="Arial"/>
          <w:color w:val="231F20"/>
          <w:sz w:val="14"/>
        </w:rPr>
        <w:t>soi,</w:t>
      </w:r>
      <w:r>
        <w:rPr>
          <w:rFonts w:ascii="Arial" w:hAnsi="Arial"/>
          <w:color w:val="231F20"/>
          <w:spacing w:val="-5"/>
          <w:sz w:val="14"/>
        </w:rPr>
        <w:t> </w:t>
      </w:r>
      <w:r>
        <w:rPr>
          <w:rFonts w:ascii="Arial" w:hAnsi="Arial"/>
          <w:color w:val="231F20"/>
          <w:sz w:val="14"/>
        </w:rPr>
        <w:t>valeurs</w:t>
      </w:r>
      <w:r>
        <w:rPr>
          <w:rFonts w:ascii="Arial" w:hAnsi="Arial"/>
          <w:color w:val="231F20"/>
          <w:spacing w:val="-5"/>
          <w:sz w:val="14"/>
        </w:rPr>
        <w:t> </w:t>
      </w:r>
      <w:r>
        <w:rPr>
          <w:rFonts w:ascii="Arial" w:hAnsi="Arial"/>
          <w:color w:val="231F20"/>
          <w:sz w:val="14"/>
        </w:rPr>
        <w:t>et</w:t>
      </w:r>
      <w:r>
        <w:rPr>
          <w:rFonts w:ascii="Arial" w:hAnsi="Arial"/>
          <w:color w:val="231F20"/>
          <w:spacing w:val="-5"/>
          <w:sz w:val="14"/>
        </w:rPr>
        <w:t> </w:t>
      </w:r>
      <w:r>
        <w:rPr>
          <w:rFonts w:ascii="Arial" w:hAnsi="Arial"/>
          <w:color w:val="231F20"/>
          <w:sz w:val="14"/>
        </w:rPr>
        <w:t>bien-être</w:t>
      </w:r>
      <w:r>
        <w:rPr>
          <w:rFonts w:ascii="Arial" w:hAnsi="Arial"/>
          <w:color w:val="231F20"/>
          <w:spacing w:val="-5"/>
          <w:sz w:val="14"/>
        </w:rPr>
        <w:t> </w:t>
      </w:r>
      <w:r>
        <w:rPr>
          <w:rFonts w:ascii="Arial" w:hAnsi="Arial"/>
          <w:color w:val="231F20"/>
          <w:sz w:val="14"/>
        </w:rPr>
        <w:t>psychologique</w:t>
      </w:r>
      <w:r>
        <w:rPr>
          <w:rFonts w:ascii="Arial" w:hAnsi="Arial"/>
          <w:color w:val="231F20"/>
          <w:spacing w:val="-6"/>
          <w:sz w:val="14"/>
        </w:rPr>
        <w:t> </w:t>
      </w:r>
      <w:r>
        <w:rPr>
          <w:rFonts w:ascii="Arial" w:hAnsi="Arial"/>
          <w:color w:val="231F20"/>
          <w:sz w:val="14"/>
        </w:rPr>
        <w:t>en</w:t>
      </w:r>
      <w:r>
        <w:rPr>
          <w:rFonts w:ascii="Arial" w:hAnsi="Arial"/>
          <w:color w:val="231F20"/>
          <w:spacing w:val="-5"/>
          <w:sz w:val="14"/>
        </w:rPr>
        <w:t> </w:t>
      </w:r>
      <w:r>
        <w:rPr>
          <w:rFonts w:ascii="Arial" w:hAnsi="Arial"/>
          <w:color w:val="231F20"/>
          <w:sz w:val="14"/>
        </w:rPr>
        <w:t>contexte</w:t>
      </w:r>
      <w:r>
        <w:rPr>
          <w:rFonts w:ascii="Arial" w:hAnsi="Arial"/>
          <w:color w:val="231F20"/>
          <w:spacing w:val="-5"/>
          <w:sz w:val="14"/>
        </w:rPr>
        <w:t> </w:t>
      </w:r>
      <w:r>
        <w:rPr>
          <w:rFonts w:ascii="Arial" w:hAnsi="Arial"/>
          <w:color w:val="231F20"/>
          <w:sz w:val="14"/>
        </w:rPr>
        <w:t>de</w:t>
      </w:r>
      <w:r>
        <w:rPr>
          <w:rFonts w:ascii="Arial" w:hAnsi="Arial"/>
          <w:color w:val="231F20"/>
          <w:spacing w:val="-5"/>
          <w:sz w:val="14"/>
        </w:rPr>
        <w:t> </w:t>
      </w:r>
      <w:r>
        <w:rPr>
          <w:rFonts w:ascii="Arial" w:hAnsi="Arial"/>
          <w:color w:val="231F20"/>
          <w:sz w:val="14"/>
        </w:rPr>
        <w:t>COVID-</w:t>
      </w:r>
      <w:r>
        <w:rPr>
          <w:rFonts w:ascii="Arial" w:hAnsi="Arial"/>
          <w:color w:val="231F20"/>
          <w:spacing w:val="-5"/>
          <w:sz w:val="14"/>
        </w:rPr>
        <w:t>19</w:t>
      </w:r>
    </w:p>
    <w:p>
      <w:pPr>
        <w:pStyle w:val="BodyText"/>
        <w:rPr>
          <w:rFonts w:ascii="Arial"/>
          <w:sz w:val="20"/>
        </w:rPr>
      </w:pPr>
    </w:p>
    <w:p>
      <w:pPr>
        <w:pStyle w:val="BodyText"/>
        <w:rPr>
          <w:rFonts w:ascii="Arial"/>
          <w:sz w:val="20"/>
        </w:rPr>
      </w:pPr>
    </w:p>
    <w:p>
      <w:pPr>
        <w:pStyle w:val="BodyText"/>
        <w:rPr>
          <w:rFonts w:ascii="Arial"/>
          <w:sz w:val="20"/>
        </w:rPr>
      </w:pPr>
    </w:p>
    <w:p>
      <w:pPr>
        <w:spacing w:before="149"/>
        <w:ind w:left="1219" w:right="0" w:firstLine="0"/>
        <w:jc w:val="left"/>
        <w:rPr>
          <w:rFonts w:ascii="Arial"/>
          <w:sz w:val="14"/>
        </w:rPr>
      </w:pPr>
      <w:r>
        <w:rPr>
          <w:rFonts w:ascii="Arial"/>
          <w:color w:val="231F20"/>
          <w:w w:val="95"/>
          <w:sz w:val="14"/>
        </w:rPr>
        <w:t>Dolan,</w:t>
      </w:r>
      <w:r>
        <w:rPr>
          <w:rFonts w:ascii="Arial"/>
          <w:color w:val="231F20"/>
          <w:spacing w:val="8"/>
          <w:sz w:val="14"/>
        </w:rPr>
        <w:t> </w:t>
      </w:r>
      <w:r>
        <w:rPr>
          <w:rFonts w:ascii="Arial"/>
          <w:color w:val="231F20"/>
          <w:w w:val="95"/>
          <w:sz w:val="14"/>
        </w:rPr>
        <w:t>S.</w:t>
      </w:r>
      <w:r>
        <w:rPr>
          <w:rFonts w:ascii="Arial"/>
          <w:color w:val="231F20"/>
          <w:spacing w:val="9"/>
          <w:sz w:val="14"/>
        </w:rPr>
        <w:t> </w:t>
      </w:r>
      <w:r>
        <w:rPr>
          <w:rFonts w:ascii="Arial"/>
          <w:color w:val="231F20"/>
          <w:w w:val="95"/>
          <w:sz w:val="14"/>
        </w:rPr>
        <w:t>L.</w:t>
      </w:r>
      <w:r>
        <w:rPr>
          <w:rFonts w:ascii="Arial"/>
          <w:color w:val="231F20"/>
          <w:spacing w:val="8"/>
          <w:sz w:val="14"/>
        </w:rPr>
        <w:t> </w:t>
      </w:r>
      <w:r>
        <w:rPr>
          <w:rFonts w:ascii="Arial"/>
          <w:color w:val="231F20"/>
          <w:w w:val="95"/>
          <w:sz w:val="14"/>
        </w:rPr>
        <w:t>(2007).</w:t>
      </w:r>
      <w:r>
        <w:rPr>
          <w:rFonts w:ascii="Arial"/>
          <w:color w:val="231F20"/>
          <w:spacing w:val="9"/>
          <w:sz w:val="14"/>
        </w:rPr>
        <w:t> </w:t>
      </w:r>
      <w:r>
        <w:rPr>
          <w:rFonts w:ascii="Arial"/>
          <w:i/>
          <w:color w:val="231F20"/>
          <w:w w:val="95"/>
          <w:sz w:val="14"/>
        </w:rPr>
        <w:t>Stress,</w:t>
      </w:r>
      <w:r>
        <w:rPr>
          <w:rFonts w:ascii="Arial"/>
          <w:i/>
          <w:color w:val="231F20"/>
          <w:spacing w:val="8"/>
          <w:sz w:val="14"/>
        </w:rPr>
        <w:t> </w:t>
      </w:r>
      <w:r>
        <w:rPr>
          <w:rFonts w:ascii="Arial"/>
          <w:i/>
          <w:color w:val="231F20"/>
          <w:w w:val="95"/>
          <w:sz w:val="14"/>
        </w:rPr>
        <w:t>Self-Esteem,</w:t>
      </w:r>
      <w:r>
        <w:rPr>
          <w:rFonts w:ascii="Arial"/>
          <w:i/>
          <w:color w:val="231F20"/>
          <w:spacing w:val="9"/>
          <w:sz w:val="14"/>
        </w:rPr>
        <w:t> </w:t>
      </w:r>
      <w:r>
        <w:rPr>
          <w:rFonts w:ascii="Arial"/>
          <w:i/>
          <w:color w:val="231F20"/>
          <w:w w:val="95"/>
          <w:sz w:val="14"/>
        </w:rPr>
        <w:t>Health</w:t>
      </w:r>
      <w:r>
        <w:rPr>
          <w:rFonts w:ascii="Arial"/>
          <w:i/>
          <w:color w:val="231F20"/>
          <w:spacing w:val="9"/>
          <w:sz w:val="14"/>
        </w:rPr>
        <w:t> </w:t>
      </w:r>
      <w:r>
        <w:rPr>
          <w:rFonts w:ascii="Arial"/>
          <w:i/>
          <w:color w:val="231F20"/>
          <w:w w:val="95"/>
          <w:sz w:val="14"/>
        </w:rPr>
        <w:t>and</w:t>
      </w:r>
      <w:r>
        <w:rPr>
          <w:rFonts w:ascii="Arial"/>
          <w:i/>
          <w:color w:val="231F20"/>
          <w:spacing w:val="8"/>
          <w:sz w:val="14"/>
        </w:rPr>
        <w:t> </w:t>
      </w:r>
      <w:r>
        <w:rPr>
          <w:rFonts w:ascii="Arial"/>
          <w:i/>
          <w:color w:val="231F20"/>
          <w:w w:val="95"/>
          <w:sz w:val="14"/>
        </w:rPr>
        <w:t>Work</w:t>
      </w:r>
      <w:r>
        <w:rPr>
          <w:rFonts w:ascii="Arial"/>
          <w:color w:val="231F20"/>
          <w:w w:val="95"/>
          <w:sz w:val="14"/>
        </w:rPr>
        <w:t>,</w:t>
      </w:r>
      <w:r>
        <w:rPr>
          <w:rFonts w:ascii="Arial"/>
          <w:color w:val="231F20"/>
          <w:spacing w:val="9"/>
          <w:sz w:val="14"/>
        </w:rPr>
        <w:t> </w:t>
      </w:r>
      <w:r>
        <w:rPr>
          <w:rFonts w:ascii="Arial"/>
          <w:color w:val="231F20"/>
          <w:w w:val="95"/>
          <w:sz w:val="14"/>
        </w:rPr>
        <w:t>Londres,</w:t>
      </w:r>
      <w:r>
        <w:rPr>
          <w:rFonts w:ascii="Arial"/>
          <w:color w:val="231F20"/>
          <w:spacing w:val="8"/>
          <w:sz w:val="14"/>
        </w:rPr>
        <w:t> </w:t>
      </w:r>
      <w:r>
        <w:rPr>
          <w:rFonts w:ascii="Arial"/>
          <w:color w:val="231F20"/>
          <w:w w:val="95"/>
          <w:sz w:val="14"/>
        </w:rPr>
        <w:t>Palgrave</w:t>
      </w:r>
      <w:r>
        <w:rPr>
          <w:rFonts w:ascii="Arial"/>
          <w:color w:val="231F20"/>
          <w:spacing w:val="9"/>
          <w:sz w:val="14"/>
        </w:rPr>
        <w:t> </w:t>
      </w:r>
      <w:r>
        <w:rPr>
          <w:rFonts w:ascii="Arial"/>
          <w:color w:val="231F20"/>
          <w:spacing w:val="-2"/>
          <w:w w:val="95"/>
          <w:sz w:val="14"/>
        </w:rPr>
        <w:t>Macmillan.</w:t>
      </w:r>
    </w:p>
    <w:p>
      <w:pPr>
        <w:spacing w:line="283" w:lineRule="auto" w:before="109"/>
        <w:ind w:left="1470" w:right="108" w:hanging="251"/>
        <w:jc w:val="both"/>
        <w:rPr>
          <w:rFonts w:ascii="Arial" w:hAnsi="Arial"/>
          <w:sz w:val="14"/>
        </w:rPr>
      </w:pPr>
      <w:r>
        <w:rPr>
          <w:rFonts w:ascii="Arial" w:hAnsi="Arial"/>
          <w:color w:val="231F20"/>
          <w:sz w:val="14"/>
        </w:rPr>
        <w:t>Dolan,</w:t>
      </w:r>
      <w:r>
        <w:rPr>
          <w:rFonts w:ascii="Arial" w:hAnsi="Arial"/>
          <w:color w:val="231F20"/>
          <w:spacing w:val="-10"/>
          <w:sz w:val="14"/>
        </w:rPr>
        <w:t> </w:t>
      </w:r>
      <w:r>
        <w:rPr>
          <w:rFonts w:ascii="Arial" w:hAnsi="Arial"/>
          <w:color w:val="231F20"/>
          <w:sz w:val="14"/>
        </w:rPr>
        <w:t>S.</w:t>
      </w:r>
      <w:r>
        <w:rPr>
          <w:rFonts w:ascii="Arial" w:hAnsi="Arial"/>
          <w:color w:val="231F20"/>
          <w:spacing w:val="-10"/>
          <w:sz w:val="14"/>
        </w:rPr>
        <w:t> </w:t>
      </w:r>
      <w:r>
        <w:rPr>
          <w:rFonts w:ascii="Arial" w:hAnsi="Arial"/>
          <w:color w:val="231F20"/>
          <w:sz w:val="14"/>
        </w:rPr>
        <w:t>L.</w:t>
      </w:r>
      <w:r>
        <w:rPr>
          <w:rFonts w:ascii="Arial" w:hAnsi="Arial"/>
          <w:color w:val="231F20"/>
          <w:spacing w:val="-10"/>
          <w:sz w:val="14"/>
        </w:rPr>
        <w:t> </w:t>
      </w:r>
      <w:r>
        <w:rPr>
          <w:rFonts w:ascii="Arial" w:hAnsi="Arial"/>
          <w:color w:val="231F20"/>
          <w:sz w:val="14"/>
        </w:rPr>
        <w:t>et</w:t>
      </w:r>
      <w:r>
        <w:rPr>
          <w:rFonts w:ascii="Arial" w:hAnsi="Arial"/>
          <w:color w:val="231F20"/>
          <w:spacing w:val="-9"/>
          <w:sz w:val="14"/>
        </w:rPr>
        <w:t> </w:t>
      </w:r>
      <w:r>
        <w:rPr>
          <w:rFonts w:ascii="Arial" w:hAnsi="Arial"/>
          <w:color w:val="231F20"/>
          <w:sz w:val="14"/>
        </w:rPr>
        <w:t>Arsenault,</w:t>
      </w:r>
      <w:r>
        <w:rPr>
          <w:rFonts w:ascii="Arial" w:hAnsi="Arial"/>
          <w:color w:val="231F20"/>
          <w:spacing w:val="-10"/>
          <w:sz w:val="14"/>
        </w:rPr>
        <w:t> </w:t>
      </w:r>
      <w:r>
        <w:rPr>
          <w:rFonts w:ascii="Arial" w:hAnsi="Arial"/>
          <w:color w:val="231F20"/>
          <w:sz w:val="14"/>
        </w:rPr>
        <w:t>A.</w:t>
      </w:r>
      <w:r>
        <w:rPr>
          <w:rFonts w:ascii="Arial" w:hAnsi="Arial"/>
          <w:color w:val="231F20"/>
          <w:spacing w:val="-10"/>
          <w:sz w:val="14"/>
        </w:rPr>
        <w:t> </w:t>
      </w:r>
      <w:r>
        <w:rPr>
          <w:rFonts w:ascii="Arial" w:hAnsi="Arial"/>
          <w:color w:val="231F20"/>
          <w:sz w:val="14"/>
        </w:rPr>
        <w:t>(2010).</w:t>
      </w:r>
      <w:r>
        <w:rPr>
          <w:rFonts w:ascii="Arial" w:hAnsi="Arial"/>
          <w:color w:val="231F20"/>
          <w:spacing w:val="-10"/>
          <w:sz w:val="14"/>
        </w:rPr>
        <w:t> </w:t>
      </w:r>
      <w:r>
        <w:rPr>
          <w:rFonts w:ascii="Arial" w:hAnsi="Arial"/>
          <w:i/>
          <w:color w:val="231F20"/>
          <w:sz w:val="14"/>
        </w:rPr>
        <w:t>Stress,</w:t>
      </w:r>
      <w:r>
        <w:rPr>
          <w:rFonts w:ascii="Arial" w:hAnsi="Arial"/>
          <w:i/>
          <w:color w:val="231F20"/>
          <w:spacing w:val="-9"/>
          <w:sz w:val="14"/>
        </w:rPr>
        <w:t> </w:t>
      </w:r>
      <w:r>
        <w:rPr>
          <w:rFonts w:ascii="Arial" w:hAnsi="Arial"/>
          <w:i/>
          <w:color w:val="231F20"/>
          <w:sz w:val="14"/>
        </w:rPr>
        <w:t>estime</w:t>
      </w:r>
      <w:r>
        <w:rPr>
          <w:rFonts w:ascii="Arial" w:hAnsi="Arial"/>
          <w:i/>
          <w:color w:val="231F20"/>
          <w:spacing w:val="-10"/>
          <w:sz w:val="14"/>
        </w:rPr>
        <w:t> </w:t>
      </w:r>
      <w:r>
        <w:rPr>
          <w:rFonts w:ascii="Arial" w:hAnsi="Arial"/>
          <w:i/>
          <w:color w:val="231F20"/>
          <w:sz w:val="14"/>
        </w:rPr>
        <w:t>de</w:t>
      </w:r>
      <w:r>
        <w:rPr>
          <w:rFonts w:ascii="Arial" w:hAnsi="Arial"/>
          <w:i/>
          <w:color w:val="231F20"/>
          <w:spacing w:val="-10"/>
          <w:sz w:val="14"/>
        </w:rPr>
        <w:t> </w:t>
      </w:r>
      <w:r>
        <w:rPr>
          <w:rFonts w:ascii="Arial" w:hAnsi="Arial"/>
          <w:i/>
          <w:color w:val="231F20"/>
          <w:sz w:val="14"/>
        </w:rPr>
        <w:t>soi,</w:t>
      </w:r>
      <w:r>
        <w:rPr>
          <w:rFonts w:ascii="Arial" w:hAnsi="Arial"/>
          <w:i/>
          <w:color w:val="231F20"/>
          <w:spacing w:val="-9"/>
          <w:sz w:val="14"/>
        </w:rPr>
        <w:t> </w:t>
      </w:r>
      <w:r>
        <w:rPr>
          <w:rFonts w:ascii="Arial" w:hAnsi="Arial"/>
          <w:i/>
          <w:color w:val="231F20"/>
          <w:sz w:val="14"/>
        </w:rPr>
        <w:t>santé</w:t>
      </w:r>
      <w:r>
        <w:rPr>
          <w:rFonts w:ascii="Arial" w:hAnsi="Arial"/>
          <w:i/>
          <w:color w:val="231F20"/>
          <w:spacing w:val="-10"/>
          <w:sz w:val="14"/>
        </w:rPr>
        <w:t> </w:t>
      </w:r>
      <w:r>
        <w:rPr>
          <w:rFonts w:ascii="Arial" w:hAnsi="Arial"/>
          <w:i/>
          <w:color w:val="231F20"/>
          <w:sz w:val="14"/>
        </w:rPr>
        <w:t>et</w:t>
      </w:r>
      <w:r>
        <w:rPr>
          <w:rFonts w:ascii="Arial" w:hAnsi="Arial"/>
          <w:i/>
          <w:color w:val="231F20"/>
          <w:spacing w:val="-10"/>
          <w:sz w:val="14"/>
        </w:rPr>
        <w:t> </w:t>
      </w:r>
      <w:r>
        <w:rPr>
          <w:rFonts w:ascii="Arial" w:hAnsi="Arial"/>
          <w:i/>
          <w:color w:val="231F20"/>
          <w:sz w:val="14"/>
        </w:rPr>
        <w:t>travail</w:t>
      </w:r>
      <w:r>
        <w:rPr>
          <w:rFonts w:ascii="Arial" w:hAnsi="Arial"/>
          <w:color w:val="231F20"/>
          <w:sz w:val="14"/>
        </w:rPr>
        <w:t>,</w:t>
      </w:r>
      <w:r>
        <w:rPr>
          <w:rFonts w:ascii="Arial" w:hAnsi="Arial"/>
          <w:color w:val="231F20"/>
          <w:spacing w:val="-10"/>
          <w:sz w:val="14"/>
        </w:rPr>
        <w:t> </w:t>
      </w:r>
      <w:r>
        <w:rPr>
          <w:rFonts w:ascii="Arial" w:hAnsi="Arial"/>
          <w:color w:val="231F20"/>
          <w:sz w:val="14"/>
        </w:rPr>
        <w:t>Québec,</w:t>
      </w:r>
      <w:r>
        <w:rPr>
          <w:rFonts w:ascii="Arial" w:hAnsi="Arial"/>
          <w:color w:val="231F20"/>
          <w:spacing w:val="-9"/>
          <w:sz w:val="14"/>
        </w:rPr>
        <w:t> </w:t>
      </w:r>
      <w:r>
        <w:rPr>
          <w:rFonts w:ascii="Arial" w:hAnsi="Arial"/>
          <w:color w:val="231F20"/>
          <w:sz w:val="14"/>
        </w:rPr>
        <w:t>Presses</w:t>
      </w:r>
      <w:r>
        <w:rPr>
          <w:rFonts w:ascii="Arial" w:hAnsi="Arial"/>
          <w:color w:val="231F20"/>
          <w:spacing w:val="-10"/>
          <w:sz w:val="14"/>
        </w:rPr>
        <w:t> </w:t>
      </w:r>
      <w:r>
        <w:rPr>
          <w:rFonts w:ascii="Arial" w:hAnsi="Arial"/>
          <w:color w:val="231F20"/>
          <w:sz w:val="14"/>
        </w:rPr>
        <w:t>de</w:t>
      </w:r>
      <w:r>
        <w:rPr>
          <w:rFonts w:ascii="Arial" w:hAnsi="Arial"/>
          <w:color w:val="231F20"/>
          <w:spacing w:val="40"/>
          <w:sz w:val="14"/>
        </w:rPr>
        <w:t> </w:t>
      </w:r>
      <w:r>
        <w:rPr>
          <w:rFonts w:ascii="Arial" w:hAnsi="Arial"/>
          <w:color w:val="231F20"/>
          <w:sz w:val="14"/>
        </w:rPr>
        <w:t>l’Université du Québec.</w:t>
      </w:r>
    </w:p>
    <w:p>
      <w:pPr>
        <w:spacing w:line="283" w:lineRule="auto" w:before="81"/>
        <w:ind w:left="1470" w:right="105" w:hanging="251"/>
        <w:jc w:val="both"/>
        <w:rPr>
          <w:rFonts w:ascii="Arial" w:hAnsi="Arial"/>
          <w:sz w:val="14"/>
        </w:rPr>
      </w:pPr>
      <w:r>
        <w:rPr>
          <w:rFonts w:ascii="Arial" w:hAnsi="Arial"/>
          <w:color w:val="231F20"/>
          <w:sz w:val="14"/>
        </w:rPr>
        <w:t>Dolan, S. L. et Arsenault, A. (1980). </w:t>
      </w:r>
      <w:r>
        <w:rPr>
          <w:rFonts w:ascii="Arial" w:hAnsi="Arial"/>
          <w:i/>
          <w:color w:val="231F20"/>
          <w:sz w:val="14"/>
        </w:rPr>
        <w:t>Stress, santé et rendement au travail </w:t>
      </w:r>
      <w:r>
        <w:rPr>
          <w:rFonts w:ascii="Arial" w:hAnsi="Arial"/>
          <w:color w:val="231F20"/>
          <w:sz w:val="14"/>
        </w:rPr>
        <w:t>(préface par Hans</w:t>
      </w:r>
      <w:r>
        <w:rPr>
          <w:rFonts w:ascii="Arial" w:hAnsi="Arial"/>
          <w:color w:val="231F20"/>
          <w:spacing w:val="40"/>
          <w:sz w:val="14"/>
        </w:rPr>
        <w:t> </w:t>
      </w:r>
      <w:r>
        <w:rPr>
          <w:rFonts w:ascii="Arial" w:hAnsi="Arial"/>
          <w:color w:val="231F20"/>
          <w:sz w:val="14"/>
        </w:rPr>
        <w:t>Selye), Montréal, ERI, Université de Montréal.</w:t>
      </w:r>
    </w:p>
    <w:p>
      <w:pPr>
        <w:spacing w:line="283" w:lineRule="auto" w:before="80"/>
        <w:ind w:left="1470" w:right="108" w:hanging="251"/>
        <w:jc w:val="both"/>
        <w:rPr>
          <w:rFonts w:ascii="Arial" w:hAnsi="Arial"/>
          <w:sz w:val="14"/>
        </w:rPr>
      </w:pPr>
      <w:r>
        <w:rPr>
          <w:rFonts w:ascii="Arial" w:hAnsi="Arial"/>
          <w:color w:val="231F20"/>
          <w:sz w:val="14"/>
        </w:rPr>
        <w:t>Dolan,</w:t>
      </w:r>
      <w:r>
        <w:rPr>
          <w:rFonts w:ascii="Arial" w:hAnsi="Arial"/>
          <w:color w:val="231F20"/>
          <w:spacing w:val="-10"/>
          <w:sz w:val="14"/>
        </w:rPr>
        <w:t> </w:t>
      </w:r>
      <w:r>
        <w:rPr>
          <w:rFonts w:ascii="Arial" w:hAnsi="Arial"/>
          <w:color w:val="231F20"/>
          <w:sz w:val="14"/>
        </w:rPr>
        <w:t>S.</w:t>
      </w:r>
      <w:r>
        <w:rPr>
          <w:rFonts w:ascii="Arial" w:hAnsi="Arial"/>
          <w:color w:val="231F20"/>
          <w:spacing w:val="-10"/>
          <w:sz w:val="14"/>
        </w:rPr>
        <w:t> </w:t>
      </w:r>
      <w:r>
        <w:rPr>
          <w:rFonts w:ascii="Arial" w:hAnsi="Arial"/>
          <w:color w:val="231F20"/>
          <w:sz w:val="14"/>
        </w:rPr>
        <w:t>L.,</w:t>
      </w:r>
      <w:r>
        <w:rPr>
          <w:rFonts w:ascii="Arial" w:hAnsi="Arial"/>
          <w:color w:val="231F20"/>
          <w:spacing w:val="-10"/>
          <w:sz w:val="14"/>
        </w:rPr>
        <w:t> </w:t>
      </w:r>
      <w:r>
        <w:rPr>
          <w:rFonts w:ascii="Arial" w:hAnsi="Arial"/>
          <w:color w:val="231F20"/>
          <w:sz w:val="14"/>
        </w:rPr>
        <w:t>García,</w:t>
      </w:r>
      <w:r>
        <w:rPr>
          <w:rFonts w:ascii="Arial" w:hAnsi="Arial"/>
          <w:color w:val="231F20"/>
          <w:spacing w:val="-9"/>
          <w:sz w:val="14"/>
        </w:rPr>
        <w:t> </w:t>
      </w:r>
      <w:r>
        <w:rPr>
          <w:rFonts w:ascii="Arial" w:hAnsi="Arial"/>
          <w:color w:val="231F20"/>
          <w:sz w:val="14"/>
        </w:rPr>
        <w:t>S.</w:t>
      </w:r>
      <w:r>
        <w:rPr>
          <w:rFonts w:ascii="Arial" w:hAnsi="Arial"/>
          <w:color w:val="231F20"/>
          <w:spacing w:val="-10"/>
          <w:sz w:val="14"/>
        </w:rPr>
        <w:t> </w:t>
      </w:r>
      <w:r>
        <w:rPr>
          <w:rFonts w:ascii="Arial" w:hAnsi="Arial"/>
          <w:color w:val="231F20"/>
          <w:sz w:val="14"/>
        </w:rPr>
        <w:t>et</w:t>
      </w:r>
      <w:r>
        <w:rPr>
          <w:rFonts w:ascii="Arial" w:hAnsi="Arial"/>
          <w:color w:val="231F20"/>
          <w:spacing w:val="-10"/>
          <w:sz w:val="14"/>
        </w:rPr>
        <w:t> </w:t>
      </w:r>
      <w:r>
        <w:rPr>
          <w:rFonts w:ascii="Arial" w:hAnsi="Arial"/>
          <w:color w:val="231F20"/>
          <w:sz w:val="14"/>
        </w:rPr>
        <w:t>Diez-Piñol,</w:t>
      </w:r>
      <w:r>
        <w:rPr>
          <w:rFonts w:ascii="Arial" w:hAnsi="Arial"/>
          <w:color w:val="231F20"/>
          <w:spacing w:val="-10"/>
          <w:sz w:val="14"/>
        </w:rPr>
        <w:t> </w:t>
      </w:r>
      <w:r>
        <w:rPr>
          <w:rFonts w:ascii="Arial" w:hAnsi="Arial"/>
          <w:color w:val="231F20"/>
          <w:sz w:val="14"/>
        </w:rPr>
        <w:t>M.</w:t>
      </w:r>
      <w:r>
        <w:rPr>
          <w:rFonts w:ascii="Arial" w:hAnsi="Arial"/>
          <w:color w:val="231F20"/>
          <w:spacing w:val="-9"/>
          <w:sz w:val="14"/>
        </w:rPr>
        <w:t> </w:t>
      </w:r>
      <w:r>
        <w:rPr>
          <w:rFonts w:ascii="Arial" w:hAnsi="Arial"/>
          <w:color w:val="231F20"/>
          <w:sz w:val="14"/>
        </w:rPr>
        <w:t>(2015).</w:t>
      </w:r>
      <w:r>
        <w:rPr>
          <w:rFonts w:ascii="Arial" w:hAnsi="Arial"/>
          <w:color w:val="231F20"/>
          <w:spacing w:val="-10"/>
          <w:sz w:val="14"/>
        </w:rPr>
        <w:t> </w:t>
      </w:r>
      <w:r>
        <w:rPr>
          <w:rFonts w:ascii="Arial" w:hAnsi="Arial"/>
          <w:i/>
          <w:color w:val="231F20"/>
          <w:sz w:val="14"/>
        </w:rPr>
        <w:t>Autoestima,</w:t>
      </w:r>
      <w:r>
        <w:rPr>
          <w:rFonts w:ascii="Arial" w:hAnsi="Arial"/>
          <w:i/>
          <w:color w:val="231F20"/>
          <w:spacing w:val="-10"/>
          <w:sz w:val="14"/>
        </w:rPr>
        <w:t> </w:t>
      </w:r>
      <w:r>
        <w:rPr>
          <w:rFonts w:ascii="Arial" w:hAnsi="Arial"/>
          <w:i/>
          <w:color w:val="231F20"/>
          <w:sz w:val="14"/>
        </w:rPr>
        <w:t>estres</w:t>
      </w:r>
      <w:r>
        <w:rPr>
          <w:rFonts w:ascii="Arial" w:hAnsi="Arial"/>
          <w:i/>
          <w:color w:val="231F20"/>
          <w:spacing w:val="-9"/>
          <w:sz w:val="14"/>
        </w:rPr>
        <w:t> </w:t>
      </w:r>
      <w:r>
        <w:rPr>
          <w:rFonts w:ascii="Arial" w:hAnsi="Arial"/>
          <w:i/>
          <w:color w:val="231F20"/>
          <w:sz w:val="14"/>
        </w:rPr>
        <w:t>y</w:t>
      </w:r>
      <w:r>
        <w:rPr>
          <w:rFonts w:ascii="Arial" w:hAnsi="Arial"/>
          <w:i/>
          <w:color w:val="231F20"/>
          <w:spacing w:val="-10"/>
          <w:sz w:val="14"/>
        </w:rPr>
        <w:t> </w:t>
      </w:r>
      <w:r>
        <w:rPr>
          <w:rFonts w:ascii="Arial" w:hAnsi="Arial"/>
          <w:i/>
          <w:color w:val="231F20"/>
          <w:sz w:val="14"/>
        </w:rPr>
        <w:t>trabajo</w:t>
      </w:r>
      <w:r>
        <w:rPr>
          <w:rFonts w:ascii="Arial" w:hAnsi="Arial"/>
          <w:color w:val="231F20"/>
          <w:sz w:val="14"/>
        </w:rPr>
        <w:t>,</w:t>
      </w:r>
      <w:r>
        <w:rPr>
          <w:rFonts w:ascii="Arial" w:hAnsi="Arial"/>
          <w:color w:val="231F20"/>
          <w:spacing w:val="-10"/>
          <w:sz w:val="14"/>
        </w:rPr>
        <w:t> </w:t>
      </w:r>
      <w:r>
        <w:rPr>
          <w:rFonts w:ascii="Arial" w:hAnsi="Arial"/>
          <w:color w:val="231F20"/>
          <w:sz w:val="14"/>
        </w:rPr>
        <w:t>Madrid,</w:t>
      </w:r>
      <w:r>
        <w:rPr>
          <w:rFonts w:ascii="Arial" w:hAnsi="Arial"/>
          <w:color w:val="231F20"/>
          <w:spacing w:val="-10"/>
          <w:sz w:val="14"/>
        </w:rPr>
        <w:t> </w:t>
      </w:r>
      <w:r>
        <w:rPr>
          <w:rFonts w:ascii="Arial" w:hAnsi="Arial"/>
          <w:color w:val="231F20"/>
          <w:sz w:val="14"/>
        </w:rPr>
        <w:t>McGraw</w:t>
      </w:r>
      <w:r>
        <w:rPr>
          <w:rFonts w:ascii="Arial" w:hAnsi="Arial"/>
          <w:color w:val="231F20"/>
          <w:spacing w:val="40"/>
          <w:sz w:val="14"/>
        </w:rPr>
        <w:t> </w:t>
      </w:r>
      <w:r>
        <w:rPr>
          <w:rFonts w:ascii="Arial" w:hAnsi="Arial"/>
          <w:color w:val="231F20"/>
          <w:spacing w:val="-2"/>
          <w:sz w:val="14"/>
        </w:rPr>
        <w:t>Hill.</w:t>
      </w:r>
    </w:p>
    <w:p>
      <w:pPr>
        <w:spacing w:line="283" w:lineRule="auto" w:before="80"/>
        <w:ind w:left="1470" w:right="105" w:hanging="251"/>
        <w:jc w:val="both"/>
        <w:rPr>
          <w:rFonts w:ascii="Arial" w:hAnsi="Arial"/>
          <w:sz w:val="14"/>
        </w:rPr>
      </w:pPr>
      <w:r>
        <w:rPr>
          <w:rFonts w:ascii="Arial" w:hAnsi="Arial"/>
          <w:color w:val="231F20"/>
          <w:spacing w:val="-2"/>
          <w:sz w:val="14"/>
        </w:rPr>
        <w:t>Dolan,</w:t>
      </w:r>
      <w:r>
        <w:rPr>
          <w:rFonts w:ascii="Arial" w:hAnsi="Arial"/>
          <w:color w:val="231F20"/>
          <w:spacing w:val="-8"/>
          <w:sz w:val="14"/>
        </w:rPr>
        <w:t> </w:t>
      </w:r>
      <w:r>
        <w:rPr>
          <w:rFonts w:ascii="Arial" w:hAnsi="Arial"/>
          <w:color w:val="231F20"/>
          <w:spacing w:val="-2"/>
          <w:sz w:val="14"/>
        </w:rPr>
        <w:t>S.</w:t>
      </w:r>
      <w:r>
        <w:rPr>
          <w:rFonts w:ascii="Arial" w:hAnsi="Arial"/>
          <w:color w:val="231F20"/>
          <w:spacing w:val="-8"/>
          <w:sz w:val="14"/>
        </w:rPr>
        <w:t> </w:t>
      </w:r>
      <w:r>
        <w:rPr>
          <w:rFonts w:ascii="Arial" w:hAnsi="Arial"/>
          <w:color w:val="231F20"/>
          <w:spacing w:val="-2"/>
          <w:sz w:val="14"/>
        </w:rPr>
        <w:t>L.,</w:t>
      </w:r>
      <w:r>
        <w:rPr>
          <w:rFonts w:ascii="Arial" w:hAnsi="Arial"/>
          <w:color w:val="231F20"/>
          <w:spacing w:val="-8"/>
          <w:sz w:val="14"/>
        </w:rPr>
        <w:t> </w:t>
      </w:r>
      <w:r>
        <w:rPr>
          <w:rFonts w:ascii="Arial" w:hAnsi="Arial"/>
          <w:color w:val="231F20"/>
          <w:spacing w:val="-2"/>
          <w:sz w:val="14"/>
        </w:rPr>
        <w:t>García,</w:t>
      </w:r>
      <w:r>
        <w:rPr>
          <w:rFonts w:ascii="Arial" w:hAnsi="Arial"/>
          <w:color w:val="231F20"/>
          <w:spacing w:val="-7"/>
          <w:sz w:val="14"/>
        </w:rPr>
        <w:t> </w:t>
      </w:r>
      <w:r>
        <w:rPr>
          <w:rFonts w:ascii="Arial" w:hAnsi="Arial"/>
          <w:color w:val="231F20"/>
          <w:spacing w:val="-2"/>
          <w:sz w:val="14"/>
        </w:rPr>
        <w:t>S.</w:t>
      </w:r>
      <w:r>
        <w:rPr>
          <w:rFonts w:ascii="Arial" w:hAnsi="Arial"/>
          <w:color w:val="231F20"/>
          <w:spacing w:val="-8"/>
          <w:sz w:val="14"/>
        </w:rPr>
        <w:t> </w:t>
      </w:r>
      <w:r>
        <w:rPr>
          <w:rFonts w:ascii="Arial" w:hAnsi="Arial"/>
          <w:color w:val="231F20"/>
          <w:spacing w:val="-2"/>
          <w:sz w:val="14"/>
        </w:rPr>
        <w:t>et</w:t>
      </w:r>
      <w:r>
        <w:rPr>
          <w:rFonts w:ascii="Arial" w:hAnsi="Arial"/>
          <w:color w:val="231F20"/>
          <w:spacing w:val="-8"/>
          <w:sz w:val="14"/>
        </w:rPr>
        <w:t> </w:t>
      </w:r>
      <w:r>
        <w:rPr>
          <w:rFonts w:ascii="Arial" w:hAnsi="Arial"/>
          <w:color w:val="231F20"/>
          <w:spacing w:val="-2"/>
          <w:sz w:val="14"/>
        </w:rPr>
        <w:t>Richley,</w:t>
      </w:r>
      <w:r>
        <w:rPr>
          <w:rFonts w:ascii="Arial" w:hAnsi="Arial"/>
          <w:color w:val="231F20"/>
          <w:spacing w:val="-4"/>
          <w:sz w:val="14"/>
        </w:rPr>
        <w:t> </w:t>
      </w:r>
      <w:r>
        <w:rPr>
          <w:rFonts w:ascii="Arial" w:hAnsi="Arial"/>
          <w:color w:val="231F20"/>
          <w:spacing w:val="-2"/>
          <w:sz w:val="14"/>
        </w:rPr>
        <w:t>B.</w:t>
      </w:r>
      <w:r>
        <w:rPr>
          <w:rFonts w:ascii="Arial" w:hAnsi="Arial"/>
          <w:color w:val="231F20"/>
          <w:spacing w:val="-5"/>
          <w:sz w:val="14"/>
        </w:rPr>
        <w:t> </w:t>
      </w:r>
      <w:r>
        <w:rPr>
          <w:rFonts w:ascii="Arial" w:hAnsi="Arial"/>
          <w:color w:val="231F20"/>
          <w:spacing w:val="-2"/>
          <w:sz w:val="14"/>
        </w:rPr>
        <w:t>(2006).</w:t>
      </w:r>
      <w:r>
        <w:rPr>
          <w:rFonts w:ascii="Arial" w:hAnsi="Arial"/>
          <w:color w:val="231F20"/>
          <w:spacing w:val="-5"/>
          <w:sz w:val="14"/>
        </w:rPr>
        <w:t> </w:t>
      </w:r>
      <w:r>
        <w:rPr>
          <w:rFonts w:ascii="Arial" w:hAnsi="Arial"/>
          <w:i/>
          <w:color w:val="231F20"/>
          <w:spacing w:val="-2"/>
          <w:sz w:val="14"/>
        </w:rPr>
        <w:t>Managing</w:t>
      </w:r>
      <w:r>
        <w:rPr>
          <w:rFonts w:ascii="Arial" w:hAnsi="Arial"/>
          <w:i/>
          <w:color w:val="231F20"/>
          <w:spacing w:val="-5"/>
          <w:sz w:val="14"/>
        </w:rPr>
        <w:t> </w:t>
      </w:r>
      <w:r>
        <w:rPr>
          <w:rFonts w:ascii="Arial" w:hAnsi="Arial"/>
          <w:i/>
          <w:color w:val="231F20"/>
          <w:spacing w:val="-2"/>
          <w:sz w:val="14"/>
        </w:rPr>
        <w:t>by</w:t>
      </w:r>
      <w:r>
        <w:rPr>
          <w:rFonts w:ascii="Arial" w:hAnsi="Arial"/>
          <w:i/>
          <w:color w:val="231F20"/>
          <w:spacing w:val="-5"/>
          <w:sz w:val="14"/>
        </w:rPr>
        <w:t> </w:t>
      </w:r>
      <w:r>
        <w:rPr>
          <w:rFonts w:ascii="Arial" w:hAnsi="Arial"/>
          <w:i/>
          <w:color w:val="231F20"/>
          <w:spacing w:val="-2"/>
          <w:sz w:val="14"/>
        </w:rPr>
        <w:t>Values</w:t>
      </w:r>
      <w:r>
        <w:rPr>
          <w:rFonts w:ascii="Arial" w:hAnsi="Arial"/>
          <w:i/>
          <w:color w:val="231F20"/>
          <w:spacing w:val="-8"/>
          <w:sz w:val="14"/>
        </w:rPr>
        <w:t> </w:t>
      </w:r>
      <w:r>
        <w:rPr>
          <w:rFonts w:ascii="Arial" w:hAnsi="Arial"/>
          <w:i/>
          <w:color w:val="231F20"/>
          <w:spacing w:val="-2"/>
          <w:sz w:val="14"/>
        </w:rPr>
        <w:t>:</w:t>
      </w:r>
      <w:r>
        <w:rPr>
          <w:rFonts w:ascii="Arial" w:hAnsi="Arial"/>
          <w:i/>
          <w:color w:val="231F20"/>
          <w:spacing w:val="-5"/>
          <w:sz w:val="14"/>
        </w:rPr>
        <w:t> </w:t>
      </w:r>
      <w:r>
        <w:rPr>
          <w:rFonts w:ascii="Arial" w:hAnsi="Arial"/>
          <w:i/>
          <w:color w:val="231F20"/>
          <w:spacing w:val="-2"/>
          <w:sz w:val="14"/>
        </w:rPr>
        <w:t>A</w:t>
      </w:r>
      <w:r>
        <w:rPr>
          <w:rFonts w:ascii="Arial" w:hAnsi="Arial"/>
          <w:i/>
          <w:color w:val="231F20"/>
          <w:spacing w:val="-5"/>
          <w:sz w:val="14"/>
        </w:rPr>
        <w:t> </w:t>
      </w:r>
      <w:r>
        <w:rPr>
          <w:rFonts w:ascii="Arial" w:hAnsi="Arial"/>
          <w:i/>
          <w:color w:val="231F20"/>
          <w:spacing w:val="-2"/>
          <w:sz w:val="14"/>
        </w:rPr>
        <w:t>Corporate</w:t>
      </w:r>
      <w:r>
        <w:rPr>
          <w:rFonts w:ascii="Arial" w:hAnsi="Arial"/>
          <w:i/>
          <w:color w:val="231F20"/>
          <w:spacing w:val="-5"/>
          <w:sz w:val="14"/>
        </w:rPr>
        <w:t> </w:t>
      </w:r>
      <w:r>
        <w:rPr>
          <w:rFonts w:ascii="Arial" w:hAnsi="Arial"/>
          <w:i/>
          <w:color w:val="231F20"/>
          <w:spacing w:val="-2"/>
          <w:sz w:val="14"/>
        </w:rPr>
        <w:t>Guide</w:t>
      </w:r>
      <w:r>
        <w:rPr>
          <w:rFonts w:ascii="Arial" w:hAnsi="Arial"/>
          <w:i/>
          <w:color w:val="231F20"/>
          <w:spacing w:val="-5"/>
          <w:sz w:val="14"/>
        </w:rPr>
        <w:t> </w:t>
      </w:r>
      <w:r>
        <w:rPr>
          <w:rFonts w:ascii="Arial" w:hAnsi="Arial"/>
          <w:i/>
          <w:color w:val="231F20"/>
          <w:spacing w:val="-2"/>
          <w:sz w:val="14"/>
        </w:rPr>
        <w:t>to</w:t>
      </w:r>
      <w:r>
        <w:rPr>
          <w:rFonts w:ascii="Arial" w:hAnsi="Arial"/>
          <w:i/>
          <w:color w:val="231F20"/>
          <w:spacing w:val="-5"/>
          <w:sz w:val="14"/>
        </w:rPr>
        <w:t> </w:t>
      </w:r>
      <w:r>
        <w:rPr>
          <w:rFonts w:ascii="Arial" w:hAnsi="Arial"/>
          <w:i/>
          <w:color w:val="231F20"/>
          <w:spacing w:val="-2"/>
          <w:sz w:val="14"/>
        </w:rPr>
        <w:t>Living,</w:t>
      </w:r>
      <w:r>
        <w:rPr>
          <w:rFonts w:ascii="Arial" w:hAnsi="Arial"/>
          <w:i/>
          <w:color w:val="231F20"/>
          <w:spacing w:val="40"/>
          <w:sz w:val="14"/>
        </w:rPr>
        <w:t> </w:t>
      </w:r>
      <w:r>
        <w:rPr>
          <w:rFonts w:ascii="Arial" w:hAnsi="Arial"/>
          <w:i/>
          <w:color w:val="231F20"/>
          <w:sz w:val="14"/>
        </w:rPr>
        <w:t>Being Alive and Making a Living in the XXI Century</w:t>
      </w:r>
      <w:r>
        <w:rPr>
          <w:rFonts w:ascii="Arial" w:hAnsi="Arial"/>
          <w:color w:val="231F20"/>
          <w:sz w:val="14"/>
        </w:rPr>
        <w:t>, Londres, Palgrave-Macmillan.</w:t>
      </w:r>
    </w:p>
    <w:p>
      <w:pPr>
        <w:spacing w:line="283" w:lineRule="auto" w:before="80"/>
        <w:ind w:left="1470" w:right="106" w:hanging="251"/>
        <w:jc w:val="both"/>
        <w:rPr>
          <w:rFonts w:ascii="Arial" w:hAnsi="Arial"/>
          <w:sz w:val="14"/>
        </w:rPr>
      </w:pPr>
      <w:r>
        <w:rPr>
          <w:rFonts w:ascii="Arial" w:hAnsi="Arial"/>
          <w:color w:val="231F20"/>
          <w:spacing w:val="-2"/>
          <w:sz w:val="14"/>
        </w:rPr>
        <w:t>Dolan, S. L., Raich, M., Garti, A. et Landau, A. (2020). “The COVID-19 Crisis” as an opportunity</w:t>
      </w:r>
      <w:r>
        <w:rPr>
          <w:rFonts w:ascii="Arial" w:hAnsi="Arial"/>
          <w:color w:val="231F20"/>
          <w:spacing w:val="40"/>
          <w:sz w:val="14"/>
        </w:rPr>
        <w:t> </w:t>
      </w:r>
      <w:r>
        <w:rPr>
          <w:rFonts w:ascii="Arial" w:hAnsi="Arial"/>
          <w:color w:val="231F20"/>
          <w:sz w:val="14"/>
        </w:rPr>
        <w:t>for introspection</w:t>
      </w:r>
      <w:r>
        <w:rPr>
          <w:rFonts w:ascii="Arial" w:hAnsi="Arial"/>
          <w:color w:val="231F20"/>
          <w:spacing w:val="-10"/>
          <w:sz w:val="14"/>
        </w:rPr>
        <w:t> </w:t>
      </w:r>
      <w:r>
        <w:rPr>
          <w:rFonts w:ascii="Arial" w:hAnsi="Arial"/>
          <w:color w:val="231F20"/>
          <w:sz w:val="14"/>
        </w:rPr>
        <w:t>: A multi-level reflection on values, needs, trust and leadership in the</w:t>
      </w:r>
      <w:r>
        <w:rPr>
          <w:rFonts w:ascii="Arial" w:hAnsi="Arial"/>
          <w:color w:val="231F20"/>
          <w:spacing w:val="40"/>
          <w:sz w:val="14"/>
        </w:rPr>
        <w:t> </w:t>
      </w:r>
      <w:r>
        <w:rPr>
          <w:rFonts w:ascii="Arial" w:hAnsi="Arial"/>
          <w:color w:val="231F20"/>
          <w:sz w:val="14"/>
        </w:rPr>
        <w:t>future, </w:t>
      </w:r>
      <w:r>
        <w:rPr>
          <w:rFonts w:ascii="Arial" w:hAnsi="Arial"/>
          <w:i/>
          <w:color w:val="231F20"/>
          <w:sz w:val="14"/>
        </w:rPr>
        <w:t>The European Business Review</w:t>
      </w:r>
      <w:r>
        <w:rPr>
          <w:rFonts w:ascii="Arial" w:hAnsi="Arial"/>
          <w:color w:val="231F20"/>
          <w:sz w:val="14"/>
        </w:rPr>
        <w:t>, avril.</w:t>
      </w:r>
    </w:p>
    <w:p>
      <w:pPr>
        <w:spacing w:line="283" w:lineRule="auto" w:before="80"/>
        <w:ind w:left="1470" w:right="111" w:hanging="251"/>
        <w:jc w:val="both"/>
        <w:rPr>
          <w:rFonts w:ascii="Arial" w:hAnsi="Arial"/>
          <w:sz w:val="14"/>
        </w:rPr>
      </w:pPr>
      <w:r>
        <w:rPr>
          <w:rFonts w:ascii="Arial" w:hAnsi="Arial"/>
          <w:color w:val="231F20"/>
          <w:sz w:val="14"/>
        </w:rPr>
        <w:t>García,</w:t>
      </w:r>
      <w:r>
        <w:rPr>
          <w:rFonts w:ascii="Arial" w:hAnsi="Arial"/>
          <w:color w:val="231F20"/>
          <w:spacing w:val="-7"/>
          <w:sz w:val="14"/>
        </w:rPr>
        <w:t> </w:t>
      </w:r>
      <w:r>
        <w:rPr>
          <w:rFonts w:ascii="Arial" w:hAnsi="Arial"/>
          <w:color w:val="231F20"/>
          <w:sz w:val="14"/>
        </w:rPr>
        <w:t>S. (2018). </w:t>
      </w:r>
      <w:r>
        <w:rPr>
          <w:rFonts w:ascii="Arial" w:hAnsi="Arial"/>
          <w:i/>
          <w:color w:val="231F20"/>
          <w:sz w:val="14"/>
        </w:rPr>
        <w:t>Inteligencia de Valores</w:t>
      </w:r>
      <w:r>
        <w:rPr>
          <w:rFonts w:ascii="Arial" w:hAnsi="Arial"/>
          <w:i/>
          <w:color w:val="231F20"/>
          <w:spacing w:val="-10"/>
          <w:sz w:val="14"/>
        </w:rPr>
        <w:t> </w:t>
      </w:r>
      <w:r>
        <w:rPr>
          <w:rFonts w:ascii="Arial" w:hAnsi="Arial"/>
          <w:i/>
          <w:color w:val="231F20"/>
          <w:sz w:val="14"/>
        </w:rPr>
        <w:t>: Un buen paso hacia dentro y tres hacia delante</w:t>
      </w:r>
      <w:r>
        <w:rPr>
          <w:rFonts w:ascii="Arial" w:hAnsi="Arial"/>
          <w:color w:val="231F20"/>
          <w:sz w:val="14"/>
        </w:rPr>
        <w:t>,</w:t>
      </w:r>
      <w:r>
        <w:rPr>
          <w:rFonts w:ascii="Arial" w:hAnsi="Arial"/>
          <w:color w:val="231F20"/>
          <w:spacing w:val="40"/>
          <w:sz w:val="14"/>
        </w:rPr>
        <w:t> </w:t>
      </w:r>
      <w:r>
        <w:rPr>
          <w:rFonts w:ascii="Arial" w:hAnsi="Arial"/>
          <w:color w:val="231F20"/>
          <w:sz w:val="14"/>
        </w:rPr>
        <w:t>Alicante,</w:t>
      </w:r>
      <w:r>
        <w:rPr>
          <w:rFonts w:ascii="Arial" w:hAnsi="Arial"/>
          <w:color w:val="231F20"/>
          <w:spacing w:val="-10"/>
          <w:sz w:val="14"/>
        </w:rPr>
        <w:t> </w:t>
      </w:r>
      <w:r>
        <w:rPr>
          <w:rFonts w:ascii="Arial" w:hAnsi="Arial"/>
          <w:color w:val="231F20"/>
          <w:sz w:val="14"/>
        </w:rPr>
        <w:t>ECU.</w:t>
      </w:r>
    </w:p>
    <w:p>
      <w:pPr>
        <w:spacing w:before="80"/>
        <w:ind w:left="1219" w:right="0" w:firstLine="0"/>
        <w:jc w:val="left"/>
        <w:rPr>
          <w:rFonts w:ascii="Arial" w:hAnsi="Arial"/>
          <w:sz w:val="14"/>
        </w:rPr>
      </w:pPr>
      <w:r>
        <w:rPr>
          <w:rFonts w:ascii="Arial" w:hAnsi="Arial"/>
          <w:color w:val="231F20"/>
          <w:w w:val="95"/>
          <w:sz w:val="14"/>
        </w:rPr>
        <w:t>García,</w:t>
      </w:r>
      <w:r>
        <w:rPr>
          <w:rFonts w:ascii="Arial" w:hAnsi="Arial"/>
          <w:color w:val="231F20"/>
          <w:spacing w:val="3"/>
          <w:sz w:val="14"/>
        </w:rPr>
        <w:t> </w:t>
      </w:r>
      <w:r>
        <w:rPr>
          <w:rFonts w:ascii="Arial" w:hAnsi="Arial"/>
          <w:color w:val="231F20"/>
          <w:w w:val="95"/>
          <w:sz w:val="14"/>
        </w:rPr>
        <w:t>S.</w:t>
      </w:r>
      <w:r>
        <w:rPr>
          <w:rFonts w:ascii="Arial" w:hAnsi="Arial"/>
          <w:color w:val="231F20"/>
          <w:spacing w:val="4"/>
          <w:sz w:val="14"/>
        </w:rPr>
        <w:t> </w:t>
      </w:r>
      <w:r>
        <w:rPr>
          <w:rFonts w:ascii="Arial" w:hAnsi="Arial"/>
          <w:color w:val="231F20"/>
          <w:w w:val="95"/>
          <w:sz w:val="14"/>
        </w:rPr>
        <w:t>et</w:t>
      </w:r>
      <w:r>
        <w:rPr>
          <w:rFonts w:ascii="Arial" w:hAnsi="Arial"/>
          <w:color w:val="231F20"/>
          <w:spacing w:val="4"/>
          <w:sz w:val="14"/>
        </w:rPr>
        <w:t> </w:t>
      </w:r>
      <w:r>
        <w:rPr>
          <w:rFonts w:ascii="Arial" w:hAnsi="Arial"/>
          <w:color w:val="231F20"/>
          <w:w w:val="95"/>
          <w:sz w:val="14"/>
        </w:rPr>
        <w:t>Dolan,</w:t>
      </w:r>
      <w:r>
        <w:rPr>
          <w:rFonts w:ascii="Arial" w:hAnsi="Arial"/>
          <w:color w:val="231F20"/>
          <w:spacing w:val="4"/>
          <w:sz w:val="14"/>
        </w:rPr>
        <w:t> </w:t>
      </w:r>
      <w:r>
        <w:rPr>
          <w:rFonts w:ascii="Arial" w:hAnsi="Arial"/>
          <w:color w:val="231F20"/>
          <w:w w:val="95"/>
          <w:sz w:val="14"/>
        </w:rPr>
        <w:t>S.</w:t>
      </w:r>
      <w:r>
        <w:rPr>
          <w:rFonts w:ascii="Arial" w:hAnsi="Arial"/>
          <w:color w:val="231F20"/>
          <w:spacing w:val="4"/>
          <w:sz w:val="14"/>
        </w:rPr>
        <w:t> </w:t>
      </w:r>
      <w:r>
        <w:rPr>
          <w:rFonts w:ascii="Arial" w:hAnsi="Arial"/>
          <w:color w:val="231F20"/>
          <w:w w:val="95"/>
          <w:sz w:val="14"/>
        </w:rPr>
        <w:t>L.</w:t>
      </w:r>
      <w:r>
        <w:rPr>
          <w:rFonts w:ascii="Arial" w:hAnsi="Arial"/>
          <w:color w:val="231F20"/>
          <w:spacing w:val="4"/>
          <w:sz w:val="14"/>
        </w:rPr>
        <w:t> </w:t>
      </w:r>
      <w:r>
        <w:rPr>
          <w:rFonts w:ascii="Arial" w:hAnsi="Arial"/>
          <w:color w:val="231F20"/>
          <w:w w:val="95"/>
          <w:sz w:val="14"/>
        </w:rPr>
        <w:t>(1997).</w:t>
      </w:r>
      <w:r>
        <w:rPr>
          <w:rFonts w:ascii="Arial" w:hAnsi="Arial"/>
          <w:color w:val="231F20"/>
          <w:spacing w:val="4"/>
          <w:sz w:val="14"/>
        </w:rPr>
        <w:t> </w:t>
      </w:r>
      <w:r>
        <w:rPr>
          <w:rFonts w:ascii="Arial" w:hAnsi="Arial"/>
          <w:i/>
          <w:color w:val="231F20"/>
          <w:w w:val="95"/>
          <w:sz w:val="14"/>
        </w:rPr>
        <w:t>La</w:t>
      </w:r>
      <w:r>
        <w:rPr>
          <w:rFonts w:ascii="Arial" w:hAnsi="Arial"/>
          <w:i/>
          <w:color w:val="231F20"/>
          <w:spacing w:val="3"/>
          <w:sz w:val="14"/>
        </w:rPr>
        <w:t> </w:t>
      </w:r>
      <w:r>
        <w:rPr>
          <w:rFonts w:ascii="Arial" w:hAnsi="Arial"/>
          <w:i/>
          <w:color w:val="231F20"/>
          <w:w w:val="95"/>
          <w:sz w:val="14"/>
        </w:rPr>
        <w:t>dirección</w:t>
      </w:r>
      <w:r>
        <w:rPr>
          <w:rFonts w:ascii="Arial" w:hAnsi="Arial"/>
          <w:i/>
          <w:color w:val="231F20"/>
          <w:spacing w:val="4"/>
          <w:sz w:val="14"/>
        </w:rPr>
        <w:t> </w:t>
      </w:r>
      <w:r>
        <w:rPr>
          <w:rFonts w:ascii="Arial" w:hAnsi="Arial"/>
          <w:i/>
          <w:color w:val="231F20"/>
          <w:w w:val="95"/>
          <w:sz w:val="14"/>
        </w:rPr>
        <w:t>por</w:t>
      </w:r>
      <w:r>
        <w:rPr>
          <w:rFonts w:ascii="Arial" w:hAnsi="Arial"/>
          <w:i/>
          <w:color w:val="231F20"/>
          <w:spacing w:val="4"/>
          <w:sz w:val="14"/>
        </w:rPr>
        <w:t> </w:t>
      </w:r>
      <w:r>
        <w:rPr>
          <w:rFonts w:ascii="Arial" w:hAnsi="Arial"/>
          <w:i/>
          <w:color w:val="231F20"/>
          <w:w w:val="95"/>
          <w:sz w:val="14"/>
        </w:rPr>
        <w:t>valores</w:t>
      </w:r>
      <w:r>
        <w:rPr>
          <w:rFonts w:ascii="Arial" w:hAnsi="Arial"/>
          <w:color w:val="231F20"/>
          <w:w w:val="95"/>
          <w:sz w:val="14"/>
        </w:rPr>
        <w:t>,</w:t>
      </w:r>
      <w:r>
        <w:rPr>
          <w:rFonts w:ascii="Arial" w:hAnsi="Arial"/>
          <w:color w:val="231F20"/>
          <w:spacing w:val="4"/>
          <w:sz w:val="14"/>
        </w:rPr>
        <w:t> </w:t>
      </w:r>
      <w:r>
        <w:rPr>
          <w:rFonts w:ascii="Arial" w:hAnsi="Arial"/>
          <w:color w:val="231F20"/>
          <w:w w:val="95"/>
          <w:sz w:val="14"/>
        </w:rPr>
        <w:t>Madrid,</w:t>
      </w:r>
      <w:r>
        <w:rPr>
          <w:rFonts w:ascii="Arial" w:hAnsi="Arial"/>
          <w:color w:val="231F20"/>
          <w:spacing w:val="4"/>
          <w:sz w:val="14"/>
        </w:rPr>
        <w:t> </w:t>
      </w:r>
      <w:r>
        <w:rPr>
          <w:rFonts w:ascii="Arial" w:hAnsi="Arial"/>
          <w:color w:val="231F20"/>
          <w:w w:val="95"/>
          <w:sz w:val="14"/>
        </w:rPr>
        <w:t>McGraw</w:t>
      </w:r>
      <w:r>
        <w:rPr>
          <w:rFonts w:ascii="Arial" w:hAnsi="Arial"/>
          <w:color w:val="231F20"/>
          <w:spacing w:val="4"/>
          <w:sz w:val="14"/>
        </w:rPr>
        <w:t> </w:t>
      </w:r>
      <w:r>
        <w:rPr>
          <w:rFonts w:ascii="Arial" w:hAnsi="Arial"/>
          <w:color w:val="231F20"/>
          <w:spacing w:val="-2"/>
          <w:w w:val="95"/>
          <w:sz w:val="14"/>
        </w:rPr>
        <w:t>Hill.</w:t>
      </w:r>
    </w:p>
    <w:p>
      <w:pPr>
        <w:spacing w:line="283" w:lineRule="auto" w:before="109"/>
        <w:ind w:left="1470" w:right="107" w:hanging="251"/>
        <w:jc w:val="both"/>
        <w:rPr>
          <w:rFonts w:ascii="Arial" w:hAnsi="Arial"/>
          <w:sz w:val="14"/>
        </w:rPr>
      </w:pPr>
      <w:r>
        <w:rPr>
          <w:rFonts w:ascii="Arial" w:hAnsi="Arial"/>
          <w:color w:val="231F20"/>
          <w:sz w:val="14"/>
        </w:rPr>
        <w:t>Garti,</w:t>
      </w:r>
      <w:r>
        <w:rPr>
          <w:rFonts w:ascii="Arial" w:hAnsi="Arial"/>
          <w:color w:val="231F20"/>
          <w:spacing w:val="-10"/>
          <w:sz w:val="14"/>
        </w:rPr>
        <w:t> </w:t>
      </w:r>
      <w:r>
        <w:rPr>
          <w:rFonts w:ascii="Arial" w:hAnsi="Arial"/>
          <w:color w:val="231F20"/>
          <w:sz w:val="14"/>
        </w:rPr>
        <w:t>A.</w:t>
      </w:r>
      <w:r>
        <w:rPr>
          <w:rFonts w:ascii="Arial" w:hAnsi="Arial"/>
          <w:color w:val="231F20"/>
          <w:spacing w:val="-3"/>
          <w:sz w:val="14"/>
        </w:rPr>
        <w:t> </w:t>
      </w:r>
      <w:r>
        <w:rPr>
          <w:rFonts w:ascii="Arial" w:hAnsi="Arial"/>
          <w:color w:val="231F20"/>
          <w:sz w:val="14"/>
        </w:rPr>
        <w:t>et Dolan, S. L. (2019). “Managing by values” (MBV)</w:t>
      </w:r>
      <w:r>
        <w:rPr>
          <w:rFonts w:ascii="Arial" w:hAnsi="Arial"/>
          <w:color w:val="231F20"/>
          <w:spacing w:val="-10"/>
          <w:sz w:val="14"/>
        </w:rPr>
        <w:t> </w:t>
      </w:r>
      <w:r>
        <w:rPr>
          <w:rFonts w:ascii="Arial" w:hAnsi="Arial"/>
          <w:color w:val="231F20"/>
          <w:sz w:val="14"/>
        </w:rPr>
        <w:t>: Innovative tools for successful</w:t>
      </w:r>
      <w:r>
        <w:rPr>
          <w:rFonts w:ascii="Arial" w:hAnsi="Arial"/>
          <w:color w:val="231F20"/>
          <w:spacing w:val="40"/>
          <w:sz w:val="14"/>
        </w:rPr>
        <w:t> </w:t>
      </w:r>
      <w:r>
        <w:rPr>
          <w:rFonts w:ascii="Arial" w:hAnsi="Arial"/>
          <w:color w:val="231F20"/>
          <w:sz w:val="14"/>
        </w:rPr>
        <w:t>micro behavioural conduct, </w:t>
      </w:r>
      <w:r>
        <w:rPr>
          <w:rFonts w:ascii="Arial" w:hAnsi="Arial"/>
          <w:i/>
          <w:color w:val="231F20"/>
          <w:sz w:val="14"/>
        </w:rPr>
        <w:t>The European Business Review</w:t>
      </w:r>
      <w:r>
        <w:rPr>
          <w:rFonts w:ascii="Arial" w:hAnsi="Arial"/>
          <w:color w:val="231F20"/>
          <w:sz w:val="14"/>
        </w:rPr>
        <w:t>, novembre.</w:t>
      </w:r>
    </w:p>
    <w:p>
      <w:pPr>
        <w:spacing w:line="283" w:lineRule="auto" w:before="80"/>
        <w:ind w:left="1469" w:right="104" w:hanging="250"/>
        <w:jc w:val="both"/>
        <w:rPr>
          <w:rFonts w:ascii="Arial" w:hAnsi="Arial"/>
          <w:sz w:val="14"/>
        </w:rPr>
      </w:pPr>
      <w:r>
        <w:rPr>
          <w:rFonts w:ascii="Arial" w:hAnsi="Arial"/>
          <w:color w:val="231F20"/>
          <w:sz w:val="14"/>
        </w:rPr>
        <w:t>Garti, A. et Dolan, S. L. (2014). Children’s gamification and storytelling as tools for under-</w:t>
      </w:r>
      <w:r>
        <w:rPr>
          <w:rFonts w:ascii="Arial" w:hAnsi="Arial"/>
          <w:color w:val="231F20"/>
          <w:spacing w:val="40"/>
          <w:sz w:val="14"/>
        </w:rPr>
        <w:t> </w:t>
      </w:r>
      <w:r>
        <w:rPr>
          <w:rFonts w:ascii="Arial" w:hAnsi="Arial"/>
          <w:color w:val="231F20"/>
          <w:sz w:val="14"/>
        </w:rPr>
        <w:t>standing</w:t>
      </w:r>
      <w:r>
        <w:rPr>
          <w:rFonts w:ascii="Arial" w:hAnsi="Arial"/>
          <w:color w:val="231F20"/>
          <w:spacing w:val="-8"/>
          <w:sz w:val="14"/>
        </w:rPr>
        <w:t> </w:t>
      </w:r>
      <w:r>
        <w:rPr>
          <w:rFonts w:ascii="Arial" w:hAnsi="Arial"/>
          <w:color w:val="231F20"/>
          <w:sz w:val="14"/>
        </w:rPr>
        <w:t>and instilling values</w:t>
      </w:r>
      <w:r>
        <w:rPr>
          <w:rFonts w:ascii="Arial" w:hAnsi="Arial"/>
          <w:color w:val="231F20"/>
          <w:spacing w:val="-10"/>
          <w:sz w:val="14"/>
        </w:rPr>
        <w:t> </w:t>
      </w:r>
      <w:r>
        <w:rPr>
          <w:rFonts w:ascii="Arial" w:hAnsi="Arial"/>
          <w:color w:val="231F20"/>
          <w:sz w:val="14"/>
        </w:rPr>
        <w:t>: A guide for coaches, educators and parents in the use of</w:t>
      </w:r>
      <w:r>
        <w:rPr>
          <w:rFonts w:ascii="Arial" w:hAnsi="Arial"/>
          <w:color w:val="231F20"/>
          <w:spacing w:val="40"/>
          <w:sz w:val="14"/>
        </w:rPr>
        <w:t> </w:t>
      </w:r>
      <w:r>
        <w:rPr>
          <w:rFonts w:ascii="Arial" w:hAnsi="Arial"/>
          <w:color w:val="231F20"/>
          <w:sz w:val="14"/>
        </w:rPr>
        <w:t>“value of values” and “magic carpet and the islands of values”, </w:t>
      </w:r>
      <w:r>
        <w:rPr>
          <w:rFonts w:ascii="Arial" w:hAnsi="Arial"/>
          <w:i/>
          <w:color w:val="231F20"/>
          <w:sz w:val="14"/>
        </w:rPr>
        <w:t>ESADE Business School</w:t>
      </w:r>
      <w:r>
        <w:rPr>
          <w:rFonts w:ascii="Arial" w:hAnsi="Arial"/>
          <w:i/>
          <w:color w:val="231F20"/>
          <w:spacing w:val="40"/>
          <w:sz w:val="14"/>
        </w:rPr>
        <w:t> </w:t>
      </w:r>
      <w:r>
        <w:rPr>
          <w:rFonts w:ascii="Arial" w:hAnsi="Arial"/>
          <w:i/>
          <w:color w:val="231F20"/>
          <w:spacing w:val="-2"/>
          <w:sz w:val="14"/>
        </w:rPr>
        <w:t>Research Paper</w:t>
      </w:r>
      <w:r>
        <w:rPr>
          <w:rFonts w:ascii="Arial" w:hAnsi="Arial"/>
          <w:color w:val="231F20"/>
          <w:spacing w:val="-2"/>
          <w:sz w:val="14"/>
        </w:rPr>
        <w:t>, n</w:t>
      </w:r>
      <w:r>
        <w:rPr>
          <w:rFonts w:ascii="Arial" w:hAnsi="Arial"/>
          <w:color w:val="231F20"/>
          <w:spacing w:val="-2"/>
          <w:position w:val="5"/>
          <w:sz w:val="8"/>
        </w:rPr>
        <w:t>o</w:t>
      </w:r>
      <w:r>
        <w:rPr>
          <w:rFonts w:ascii="Arial" w:hAnsi="Arial"/>
          <w:color w:val="231F20"/>
          <w:spacing w:val="15"/>
          <w:position w:val="5"/>
          <w:sz w:val="8"/>
        </w:rPr>
        <w:t> </w:t>
      </w:r>
      <w:r>
        <w:rPr>
          <w:rFonts w:ascii="Arial" w:hAnsi="Arial"/>
          <w:color w:val="231F20"/>
          <w:spacing w:val="-2"/>
          <w:sz w:val="14"/>
        </w:rPr>
        <w:t>254, &lt;https://papers.ssrn.com/sol3/papers.cfm?abstract_id=2413816&gt;,</w:t>
      </w:r>
      <w:r>
        <w:rPr>
          <w:rFonts w:ascii="Arial" w:hAnsi="Arial"/>
          <w:color w:val="231F20"/>
          <w:spacing w:val="40"/>
          <w:sz w:val="14"/>
        </w:rPr>
        <w:t> </w:t>
      </w:r>
      <w:r>
        <w:rPr>
          <w:rFonts w:ascii="Arial" w:hAnsi="Arial"/>
          <w:color w:val="231F20"/>
          <w:sz w:val="14"/>
        </w:rPr>
        <w:t>consulté le 22 octobre 2021.</w:t>
      </w:r>
    </w:p>
    <w:p>
      <w:pPr>
        <w:spacing w:line="283" w:lineRule="auto" w:before="80"/>
        <w:ind w:left="1469" w:right="105" w:hanging="250"/>
        <w:jc w:val="both"/>
        <w:rPr>
          <w:rFonts w:ascii="Arial"/>
          <w:sz w:val="14"/>
        </w:rPr>
      </w:pPr>
      <w:r>
        <w:rPr>
          <w:rFonts w:ascii="Arial"/>
          <w:color w:val="231F20"/>
          <w:sz w:val="14"/>
        </w:rPr>
        <w:t>Jianbo,</w:t>
      </w:r>
      <w:r>
        <w:rPr>
          <w:rFonts w:ascii="Arial"/>
          <w:color w:val="231F20"/>
          <w:spacing w:val="35"/>
          <w:sz w:val="14"/>
        </w:rPr>
        <w:t> </w:t>
      </w:r>
      <w:r>
        <w:rPr>
          <w:rFonts w:ascii="Arial"/>
          <w:color w:val="231F20"/>
          <w:sz w:val="14"/>
        </w:rPr>
        <w:t>L.,</w:t>
      </w:r>
      <w:r>
        <w:rPr>
          <w:rFonts w:ascii="Arial"/>
          <w:color w:val="231F20"/>
          <w:spacing w:val="35"/>
          <w:sz w:val="14"/>
        </w:rPr>
        <w:t> </w:t>
      </w:r>
      <w:r>
        <w:rPr>
          <w:rFonts w:ascii="Arial"/>
          <w:color w:val="231F20"/>
          <w:sz w:val="14"/>
        </w:rPr>
        <w:t>Simeng,</w:t>
      </w:r>
      <w:r>
        <w:rPr>
          <w:rFonts w:ascii="Arial"/>
          <w:color w:val="231F20"/>
          <w:spacing w:val="35"/>
          <w:sz w:val="14"/>
        </w:rPr>
        <w:t> </w:t>
      </w:r>
      <w:r>
        <w:rPr>
          <w:rFonts w:ascii="Arial"/>
          <w:color w:val="231F20"/>
          <w:sz w:val="14"/>
        </w:rPr>
        <w:t>M.</w:t>
      </w:r>
      <w:r>
        <w:rPr>
          <w:rFonts w:ascii="Arial"/>
          <w:color w:val="231F20"/>
          <w:spacing w:val="35"/>
          <w:sz w:val="14"/>
        </w:rPr>
        <w:t> </w:t>
      </w:r>
      <w:r>
        <w:rPr>
          <w:rFonts w:ascii="Arial"/>
          <w:color w:val="231F20"/>
          <w:sz w:val="14"/>
        </w:rPr>
        <w:t>et</w:t>
      </w:r>
      <w:r>
        <w:rPr>
          <w:rFonts w:ascii="Arial"/>
          <w:color w:val="231F20"/>
          <w:spacing w:val="35"/>
          <w:sz w:val="14"/>
        </w:rPr>
        <w:t> </w:t>
      </w:r>
      <w:r>
        <w:rPr>
          <w:rFonts w:ascii="Arial"/>
          <w:color w:val="231F20"/>
          <w:sz w:val="14"/>
        </w:rPr>
        <w:t>Ying,</w:t>
      </w:r>
      <w:r>
        <w:rPr>
          <w:rFonts w:ascii="Arial"/>
          <w:color w:val="231F20"/>
          <w:spacing w:val="35"/>
          <w:sz w:val="14"/>
        </w:rPr>
        <w:t> </w:t>
      </w:r>
      <w:r>
        <w:rPr>
          <w:rFonts w:ascii="Arial"/>
          <w:color w:val="231F20"/>
          <w:sz w:val="14"/>
        </w:rPr>
        <w:t>W.</w:t>
      </w:r>
      <w:r>
        <w:rPr>
          <w:rFonts w:ascii="Arial"/>
          <w:color w:val="231F20"/>
          <w:spacing w:val="35"/>
          <w:sz w:val="14"/>
        </w:rPr>
        <w:t> </w:t>
      </w:r>
      <w:r>
        <w:rPr>
          <w:rFonts w:ascii="Arial"/>
          <w:color w:val="231F20"/>
          <w:sz w:val="14"/>
        </w:rPr>
        <w:t>(2020).</w:t>
      </w:r>
      <w:r>
        <w:rPr>
          <w:rFonts w:ascii="Arial"/>
          <w:color w:val="231F20"/>
          <w:spacing w:val="35"/>
          <w:sz w:val="14"/>
        </w:rPr>
        <w:t> </w:t>
      </w:r>
      <w:r>
        <w:rPr>
          <w:rFonts w:ascii="Arial"/>
          <w:color w:val="231F20"/>
          <w:sz w:val="14"/>
        </w:rPr>
        <w:t>Factors</w:t>
      </w:r>
      <w:r>
        <w:rPr>
          <w:rFonts w:ascii="Arial"/>
          <w:color w:val="231F20"/>
          <w:spacing w:val="35"/>
          <w:sz w:val="14"/>
        </w:rPr>
        <w:t> </w:t>
      </w:r>
      <w:r>
        <w:rPr>
          <w:rFonts w:ascii="Arial"/>
          <w:color w:val="231F20"/>
          <w:sz w:val="14"/>
        </w:rPr>
        <w:t>associated</w:t>
      </w:r>
      <w:r>
        <w:rPr>
          <w:rFonts w:ascii="Arial"/>
          <w:color w:val="231F20"/>
          <w:spacing w:val="35"/>
          <w:sz w:val="14"/>
        </w:rPr>
        <w:t> </w:t>
      </w:r>
      <w:r>
        <w:rPr>
          <w:rFonts w:ascii="Arial"/>
          <w:color w:val="231F20"/>
          <w:sz w:val="14"/>
        </w:rPr>
        <w:t>with</w:t>
      </w:r>
      <w:r>
        <w:rPr>
          <w:rFonts w:ascii="Arial"/>
          <w:color w:val="231F20"/>
          <w:spacing w:val="35"/>
          <w:sz w:val="14"/>
        </w:rPr>
        <w:t> </w:t>
      </w:r>
      <w:r>
        <w:rPr>
          <w:rFonts w:ascii="Arial"/>
          <w:color w:val="231F20"/>
          <w:sz w:val="14"/>
        </w:rPr>
        <w:t>mental</w:t>
      </w:r>
      <w:r>
        <w:rPr>
          <w:rFonts w:ascii="Arial"/>
          <w:color w:val="231F20"/>
          <w:spacing w:val="35"/>
          <w:sz w:val="14"/>
        </w:rPr>
        <w:t> </w:t>
      </w:r>
      <w:r>
        <w:rPr>
          <w:rFonts w:ascii="Arial"/>
          <w:color w:val="231F20"/>
          <w:sz w:val="14"/>
        </w:rPr>
        <w:t>health</w:t>
      </w:r>
      <w:r>
        <w:rPr>
          <w:rFonts w:ascii="Arial"/>
          <w:color w:val="231F20"/>
          <w:spacing w:val="35"/>
          <w:sz w:val="14"/>
        </w:rPr>
        <w:t> </w:t>
      </w:r>
      <w:r>
        <w:rPr>
          <w:rFonts w:ascii="Arial"/>
          <w:color w:val="231F20"/>
          <w:sz w:val="14"/>
        </w:rPr>
        <w:t>out-</w:t>
      </w:r>
      <w:r>
        <w:rPr>
          <w:rFonts w:ascii="Arial"/>
          <w:color w:val="231F20"/>
          <w:spacing w:val="40"/>
          <w:sz w:val="14"/>
        </w:rPr>
        <w:t> </w:t>
      </w:r>
      <w:r>
        <w:rPr>
          <w:rFonts w:ascii="Arial"/>
          <w:color w:val="231F20"/>
          <w:sz w:val="14"/>
        </w:rPr>
        <w:t>comes</w:t>
      </w:r>
      <w:r>
        <w:rPr>
          <w:rFonts w:ascii="Arial"/>
          <w:color w:val="231F20"/>
          <w:spacing w:val="8"/>
          <w:sz w:val="14"/>
        </w:rPr>
        <w:t> </w:t>
      </w:r>
      <w:r>
        <w:rPr>
          <w:rFonts w:ascii="Arial"/>
          <w:color w:val="231F20"/>
          <w:sz w:val="14"/>
        </w:rPr>
        <w:t>among</w:t>
      </w:r>
      <w:r>
        <w:rPr>
          <w:rFonts w:ascii="Arial"/>
          <w:color w:val="231F20"/>
          <w:spacing w:val="8"/>
          <w:sz w:val="14"/>
        </w:rPr>
        <w:t> </w:t>
      </w:r>
      <w:r>
        <w:rPr>
          <w:rFonts w:ascii="Arial"/>
          <w:color w:val="231F20"/>
          <w:sz w:val="14"/>
        </w:rPr>
        <w:t>health</w:t>
      </w:r>
      <w:r>
        <w:rPr>
          <w:rFonts w:ascii="Arial"/>
          <w:color w:val="231F20"/>
          <w:spacing w:val="8"/>
          <w:sz w:val="14"/>
        </w:rPr>
        <w:t> </w:t>
      </w:r>
      <w:r>
        <w:rPr>
          <w:rFonts w:ascii="Arial"/>
          <w:color w:val="231F20"/>
          <w:sz w:val="14"/>
        </w:rPr>
        <w:t>care</w:t>
      </w:r>
      <w:r>
        <w:rPr>
          <w:rFonts w:ascii="Arial"/>
          <w:color w:val="231F20"/>
          <w:spacing w:val="9"/>
          <w:sz w:val="14"/>
        </w:rPr>
        <w:t> </w:t>
      </w:r>
      <w:r>
        <w:rPr>
          <w:rFonts w:ascii="Arial"/>
          <w:color w:val="231F20"/>
          <w:sz w:val="14"/>
        </w:rPr>
        <w:t>workers</w:t>
      </w:r>
      <w:r>
        <w:rPr>
          <w:rFonts w:ascii="Arial"/>
          <w:color w:val="231F20"/>
          <w:spacing w:val="8"/>
          <w:sz w:val="14"/>
        </w:rPr>
        <w:t> </w:t>
      </w:r>
      <w:r>
        <w:rPr>
          <w:rFonts w:ascii="Arial"/>
          <w:color w:val="231F20"/>
          <w:sz w:val="14"/>
        </w:rPr>
        <w:t>exposed</w:t>
      </w:r>
      <w:r>
        <w:rPr>
          <w:rFonts w:ascii="Arial"/>
          <w:color w:val="231F20"/>
          <w:spacing w:val="8"/>
          <w:sz w:val="14"/>
        </w:rPr>
        <w:t> </w:t>
      </w:r>
      <w:r>
        <w:rPr>
          <w:rFonts w:ascii="Arial"/>
          <w:color w:val="231F20"/>
          <w:sz w:val="14"/>
        </w:rPr>
        <w:t>to</w:t>
      </w:r>
      <w:r>
        <w:rPr>
          <w:rFonts w:ascii="Arial"/>
          <w:color w:val="231F20"/>
          <w:spacing w:val="8"/>
          <w:sz w:val="14"/>
        </w:rPr>
        <w:t> </w:t>
      </w:r>
      <w:r>
        <w:rPr>
          <w:rFonts w:ascii="Arial"/>
          <w:color w:val="231F20"/>
          <w:sz w:val="14"/>
        </w:rPr>
        <w:t>Coronavirus</w:t>
      </w:r>
      <w:r>
        <w:rPr>
          <w:rFonts w:ascii="Arial"/>
          <w:color w:val="231F20"/>
          <w:spacing w:val="8"/>
          <w:sz w:val="14"/>
        </w:rPr>
        <w:t> </w:t>
      </w:r>
      <w:r>
        <w:rPr>
          <w:rFonts w:ascii="Arial"/>
          <w:color w:val="231F20"/>
          <w:sz w:val="14"/>
        </w:rPr>
        <w:t>disease</w:t>
      </w:r>
      <w:r>
        <w:rPr>
          <w:rFonts w:ascii="Arial"/>
          <w:color w:val="231F20"/>
          <w:spacing w:val="9"/>
          <w:sz w:val="14"/>
        </w:rPr>
        <w:t> </w:t>
      </w:r>
      <w:r>
        <w:rPr>
          <w:rFonts w:ascii="Arial"/>
          <w:color w:val="231F20"/>
          <w:sz w:val="14"/>
        </w:rPr>
        <w:t>2019,</w:t>
      </w:r>
      <w:r>
        <w:rPr>
          <w:rFonts w:ascii="Arial"/>
          <w:color w:val="231F20"/>
          <w:spacing w:val="8"/>
          <w:sz w:val="14"/>
        </w:rPr>
        <w:t> </w:t>
      </w:r>
      <w:r>
        <w:rPr>
          <w:rFonts w:ascii="Arial"/>
          <w:i/>
          <w:color w:val="231F20"/>
          <w:sz w:val="14"/>
        </w:rPr>
        <w:t>JAMA</w:t>
      </w:r>
      <w:r>
        <w:rPr>
          <w:rFonts w:ascii="Arial"/>
          <w:color w:val="231F20"/>
          <w:sz w:val="14"/>
        </w:rPr>
        <w:t>,</w:t>
      </w:r>
      <w:r>
        <w:rPr>
          <w:rFonts w:ascii="Arial"/>
          <w:color w:val="231F20"/>
          <w:spacing w:val="7"/>
          <w:sz w:val="14"/>
        </w:rPr>
        <w:t> </w:t>
      </w:r>
      <w:r>
        <w:rPr>
          <w:rFonts w:ascii="Arial"/>
          <w:i/>
          <w:color w:val="231F20"/>
          <w:spacing w:val="-2"/>
          <w:sz w:val="14"/>
        </w:rPr>
        <w:t>3</w:t>
      </w:r>
      <w:r>
        <w:rPr>
          <w:rFonts w:ascii="Arial"/>
          <w:color w:val="231F20"/>
          <w:spacing w:val="-2"/>
          <w:sz w:val="14"/>
        </w:rPr>
        <w:t>(3),</w:t>
      </w:r>
    </w:p>
    <w:p>
      <w:pPr>
        <w:spacing w:line="283" w:lineRule="auto" w:before="0"/>
        <w:ind w:left="1469" w:right="107" w:firstLine="0"/>
        <w:jc w:val="both"/>
        <w:rPr>
          <w:rFonts w:ascii="Arial" w:hAnsi="Arial"/>
          <w:sz w:val="14"/>
        </w:rPr>
      </w:pPr>
      <w:r>
        <w:rPr>
          <w:rFonts w:ascii="Arial" w:hAnsi="Arial"/>
          <w:color w:val="231F20"/>
          <w:spacing w:val="-2"/>
          <w:w w:val="105"/>
          <w:sz w:val="14"/>
        </w:rPr>
        <w:t>&lt;https://jamanetwork.com/journals/jamanetworkopen/fullarticle/2763229&gt;, consulté le</w:t>
      </w:r>
      <w:r>
        <w:rPr>
          <w:rFonts w:ascii="Arial" w:hAnsi="Arial"/>
          <w:color w:val="231F20"/>
          <w:w w:val="105"/>
          <w:sz w:val="14"/>
        </w:rPr>
        <w:t> 22 octobre 2021.</w:t>
      </w:r>
    </w:p>
    <w:p>
      <w:pPr>
        <w:spacing w:line="283" w:lineRule="auto" w:before="80"/>
        <w:ind w:left="1469" w:right="106" w:hanging="251"/>
        <w:jc w:val="both"/>
        <w:rPr>
          <w:rFonts w:ascii="Arial"/>
          <w:sz w:val="14"/>
        </w:rPr>
      </w:pPr>
      <w:r>
        <w:rPr>
          <w:rFonts w:ascii="Arial"/>
          <w:color w:val="231F20"/>
          <w:sz w:val="14"/>
        </w:rPr>
        <w:t>Lamiani, G., Dordoni, P. et Argentero, P. (2017). Value congruence and depressive symp-</w:t>
      </w:r>
      <w:r>
        <w:rPr>
          <w:rFonts w:ascii="Arial"/>
          <w:color w:val="231F20"/>
          <w:spacing w:val="40"/>
          <w:sz w:val="14"/>
        </w:rPr>
        <w:t> </w:t>
      </w:r>
      <w:r>
        <w:rPr>
          <w:rFonts w:ascii="Arial"/>
          <w:color w:val="231F20"/>
          <w:sz w:val="14"/>
        </w:rPr>
        <w:t>toms</w:t>
      </w:r>
      <w:r>
        <w:rPr>
          <w:rFonts w:ascii="Arial"/>
          <w:color w:val="231F20"/>
          <w:spacing w:val="-10"/>
          <w:sz w:val="14"/>
        </w:rPr>
        <w:t> </w:t>
      </w:r>
      <w:r>
        <w:rPr>
          <w:rFonts w:ascii="Arial"/>
          <w:color w:val="231F20"/>
          <w:sz w:val="14"/>
        </w:rPr>
        <w:t>among</w:t>
      </w:r>
      <w:r>
        <w:rPr>
          <w:rFonts w:ascii="Arial"/>
          <w:color w:val="231F20"/>
          <w:spacing w:val="-10"/>
          <w:sz w:val="14"/>
        </w:rPr>
        <w:t> </w:t>
      </w:r>
      <w:r>
        <w:rPr>
          <w:rFonts w:ascii="Arial"/>
          <w:color w:val="231F20"/>
          <w:sz w:val="14"/>
        </w:rPr>
        <w:t>critical</w:t>
      </w:r>
      <w:r>
        <w:rPr>
          <w:rFonts w:ascii="Arial"/>
          <w:color w:val="231F20"/>
          <w:spacing w:val="-10"/>
          <w:sz w:val="14"/>
        </w:rPr>
        <w:t> </w:t>
      </w:r>
      <w:r>
        <w:rPr>
          <w:rFonts w:ascii="Arial"/>
          <w:color w:val="231F20"/>
          <w:sz w:val="14"/>
        </w:rPr>
        <w:t>care</w:t>
      </w:r>
      <w:r>
        <w:rPr>
          <w:rFonts w:ascii="Arial"/>
          <w:color w:val="231F20"/>
          <w:spacing w:val="-6"/>
          <w:sz w:val="14"/>
        </w:rPr>
        <w:t> </w:t>
      </w:r>
      <w:r>
        <w:rPr>
          <w:rFonts w:ascii="Arial"/>
          <w:color w:val="231F20"/>
          <w:sz w:val="14"/>
        </w:rPr>
        <w:t>clinicians</w:t>
      </w:r>
      <w:r>
        <w:rPr>
          <w:rFonts w:ascii="Arial"/>
          <w:color w:val="231F20"/>
          <w:spacing w:val="-10"/>
          <w:sz w:val="14"/>
        </w:rPr>
        <w:t> </w:t>
      </w:r>
      <w:r>
        <w:rPr>
          <w:rFonts w:ascii="Arial"/>
          <w:color w:val="231F20"/>
          <w:sz w:val="14"/>
        </w:rPr>
        <w:t>:</w:t>
      </w:r>
      <w:r>
        <w:rPr>
          <w:rFonts w:ascii="Arial"/>
          <w:color w:val="231F20"/>
          <w:spacing w:val="-5"/>
          <w:sz w:val="14"/>
        </w:rPr>
        <w:t> </w:t>
      </w:r>
      <w:r>
        <w:rPr>
          <w:rFonts w:ascii="Arial"/>
          <w:color w:val="231F20"/>
          <w:sz w:val="14"/>
        </w:rPr>
        <w:t>The</w:t>
      </w:r>
      <w:r>
        <w:rPr>
          <w:rFonts w:ascii="Arial"/>
          <w:color w:val="231F20"/>
          <w:spacing w:val="-6"/>
          <w:sz w:val="14"/>
        </w:rPr>
        <w:t> </w:t>
      </w:r>
      <w:r>
        <w:rPr>
          <w:rFonts w:ascii="Arial"/>
          <w:color w:val="231F20"/>
          <w:sz w:val="14"/>
        </w:rPr>
        <w:t>mediating</w:t>
      </w:r>
      <w:r>
        <w:rPr>
          <w:rFonts w:ascii="Arial"/>
          <w:color w:val="231F20"/>
          <w:spacing w:val="-6"/>
          <w:sz w:val="14"/>
        </w:rPr>
        <w:t> </w:t>
      </w:r>
      <w:r>
        <w:rPr>
          <w:rFonts w:ascii="Arial"/>
          <w:color w:val="231F20"/>
          <w:sz w:val="14"/>
        </w:rPr>
        <w:t>role</w:t>
      </w:r>
      <w:r>
        <w:rPr>
          <w:rFonts w:ascii="Arial"/>
          <w:color w:val="231F20"/>
          <w:spacing w:val="-6"/>
          <w:sz w:val="14"/>
        </w:rPr>
        <w:t> </w:t>
      </w:r>
      <w:r>
        <w:rPr>
          <w:rFonts w:ascii="Arial"/>
          <w:color w:val="231F20"/>
          <w:sz w:val="14"/>
        </w:rPr>
        <w:t>of</w:t>
      </w:r>
      <w:r>
        <w:rPr>
          <w:rFonts w:ascii="Arial"/>
          <w:color w:val="231F20"/>
          <w:spacing w:val="-6"/>
          <w:sz w:val="14"/>
        </w:rPr>
        <w:t> </w:t>
      </w:r>
      <w:r>
        <w:rPr>
          <w:rFonts w:ascii="Arial"/>
          <w:color w:val="231F20"/>
          <w:sz w:val="14"/>
        </w:rPr>
        <w:t>moral</w:t>
      </w:r>
      <w:r>
        <w:rPr>
          <w:rFonts w:ascii="Arial"/>
          <w:color w:val="231F20"/>
          <w:spacing w:val="-6"/>
          <w:sz w:val="14"/>
        </w:rPr>
        <w:t> </w:t>
      </w:r>
      <w:r>
        <w:rPr>
          <w:rFonts w:ascii="Arial"/>
          <w:color w:val="231F20"/>
          <w:sz w:val="14"/>
        </w:rPr>
        <w:t>distress,</w:t>
      </w:r>
      <w:r>
        <w:rPr>
          <w:rFonts w:ascii="Arial"/>
          <w:color w:val="231F20"/>
          <w:spacing w:val="-6"/>
          <w:sz w:val="14"/>
        </w:rPr>
        <w:t> </w:t>
      </w:r>
      <w:r>
        <w:rPr>
          <w:rFonts w:ascii="Arial"/>
          <w:i/>
          <w:color w:val="231F20"/>
          <w:sz w:val="14"/>
        </w:rPr>
        <w:t>Stress</w:t>
      </w:r>
      <w:r>
        <w:rPr>
          <w:rFonts w:ascii="Arial"/>
          <w:i/>
          <w:color w:val="231F20"/>
          <w:spacing w:val="-6"/>
          <w:sz w:val="14"/>
        </w:rPr>
        <w:t> </w:t>
      </w:r>
      <w:r>
        <w:rPr>
          <w:rFonts w:ascii="Arial"/>
          <w:i/>
          <w:color w:val="231F20"/>
          <w:sz w:val="14"/>
        </w:rPr>
        <w:t>&amp;</w:t>
      </w:r>
      <w:r>
        <w:rPr>
          <w:rFonts w:ascii="Arial"/>
          <w:i/>
          <w:color w:val="231F20"/>
          <w:spacing w:val="-6"/>
          <w:sz w:val="14"/>
        </w:rPr>
        <w:t> </w:t>
      </w:r>
      <w:r>
        <w:rPr>
          <w:rFonts w:ascii="Arial"/>
          <w:i/>
          <w:color w:val="231F20"/>
          <w:sz w:val="14"/>
        </w:rPr>
        <w:t>Health</w:t>
      </w:r>
      <w:r>
        <w:rPr>
          <w:rFonts w:ascii="Arial"/>
          <w:color w:val="231F20"/>
          <w:sz w:val="14"/>
        </w:rPr>
        <w:t>,</w:t>
      </w:r>
      <w:r>
        <w:rPr>
          <w:rFonts w:ascii="Arial"/>
          <w:color w:val="231F20"/>
          <w:spacing w:val="40"/>
          <w:sz w:val="14"/>
        </w:rPr>
        <w:t> </w:t>
      </w:r>
      <w:r>
        <w:rPr>
          <w:rFonts w:ascii="Arial"/>
          <w:i/>
          <w:color w:val="231F20"/>
          <w:sz w:val="14"/>
        </w:rPr>
        <w:t>34</w:t>
      </w:r>
      <w:r>
        <w:rPr>
          <w:rFonts w:ascii="Arial"/>
          <w:color w:val="231F20"/>
          <w:sz w:val="14"/>
        </w:rPr>
        <w:t>(1),</w:t>
      </w:r>
      <w:r>
        <w:rPr>
          <w:rFonts w:ascii="Arial"/>
          <w:color w:val="231F20"/>
          <w:spacing w:val="-10"/>
          <w:sz w:val="14"/>
        </w:rPr>
        <w:t> </w:t>
      </w:r>
      <w:r>
        <w:rPr>
          <w:rFonts w:ascii="Arial"/>
          <w:color w:val="231F20"/>
          <w:sz w:val="14"/>
        </w:rPr>
        <w:t>135-142.</w:t>
      </w:r>
    </w:p>
    <w:p>
      <w:pPr>
        <w:spacing w:line="283" w:lineRule="auto" w:before="81"/>
        <w:ind w:left="1469" w:right="101" w:hanging="251"/>
        <w:jc w:val="both"/>
        <w:rPr>
          <w:rFonts w:ascii="Arial" w:hAnsi="Arial"/>
          <w:sz w:val="14"/>
        </w:rPr>
      </w:pPr>
      <w:r>
        <w:rPr>
          <w:rFonts w:ascii="Arial" w:hAnsi="Arial"/>
          <w:color w:val="231F20"/>
          <w:w w:val="105"/>
          <w:sz w:val="14"/>
        </w:rPr>
        <w:t>Pfefferbaum, B. et North, C. S. (2020). Mental health and the Covid-19 pandemic. </w:t>
      </w:r>
      <w:r>
        <w:rPr>
          <w:rFonts w:ascii="Arial" w:hAnsi="Arial"/>
          <w:i/>
          <w:color w:val="231F20"/>
          <w:w w:val="105"/>
          <w:sz w:val="14"/>
        </w:rPr>
        <w:t>The New England Journal of Medicine</w:t>
      </w:r>
      <w:r>
        <w:rPr>
          <w:rFonts w:ascii="Arial" w:hAnsi="Arial"/>
          <w:color w:val="231F20"/>
          <w:w w:val="105"/>
          <w:sz w:val="14"/>
        </w:rPr>
        <w:t>, avril, &lt;https://</w:t>
      </w:r>
      <w:hyperlink r:id="rId360">
        <w:r>
          <w:rPr>
            <w:rFonts w:ascii="Arial" w:hAnsi="Arial"/>
            <w:color w:val="231F20"/>
            <w:w w:val="105"/>
            <w:sz w:val="14"/>
          </w:rPr>
          <w:t>www.nejm.org/doi/full/10.1056/</w:t>
        </w:r>
      </w:hyperlink>
      <w:r>
        <w:rPr>
          <w:rFonts w:ascii="Arial" w:hAnsi="Arial"/>
          <w:color w:val="231F20"/>
          <w:w w:val="105"/>
          <w:sz w:val="14"/>
        </w:rPr>
        <w:t> NEJMp2008017&gt;, consulté le 22 octobre 2021.</w:t>
      </w:r>
    </w:p>
    <w:p>
      <w:pPr>
        <w:spacing w:line="283" w:lineRule="auto" w:before="80"/>
        <w:ind w:left="1469" w:right="105" w:hanging="251"/>
        <w:jc w:val="both"/>
        <w:rPr>
          <w:rFonts w:ascii="Arial"/>
          <w:sz w:val="14"/>
        </w:rPr>
      </w:pPr>
      <w:r>
        <w:rPr>
          <w:rFonts w:ascii="Arial"/>
          <w:color w:val="231F20"/>
          <w:sz w:val="14"/>
        </w:rPr>
        <w:t>Rosenberg,</w:t>
      </w:r>
      <w:r>
        <w:rPr>
          <w:rFonts w:ascii="Arial"/>
          <w:color w:val="231F20"/>
          <w:spacing w:val="-10"/>
          <w:sz w:val="14"/>
        </w:rPr>
        <w:t> </w:t>
      </w:r>
      <w:r>
        <w:rPr>
          <w:rFonts w:ascii="Arial"/>
          <w:color w:val="231F20"/>
          <w:sz w:val="14"/>
        </w:rPr>
        <w:t>M.</w:t>
      </w:r>
      <w:r>
        <w:rPr>
          <w:rFonts w:ascii="Arial"/>
          <w:color w:val="231F20"/>
          <w:spacing w:val="-10"/>
          <w:sz w:val="14"/>
        </w:rPr>
        <w:t> </w:t>
      </w:r>
      <w:r>
        <w:rPr>
          <w:rFonts w:ascii="Arial"/>
          <w:color w:val="231F20"/>
          <w:sz w:val="14"/>
        </w:rPr>
        <w:t>(1965).</w:t>
      </w:r>
      <w:r>
        <w:rPr>
          <w:rFonts w:ascii="Arial"/>
          <w:color w:val="231F20"/>
          <w:spacing w:val="-10"/>
          <w:sz w:val="14"/>
        </w:rPr>
        <w:t> </w:t>
      </w:r>
      <w:r>
        <w:rPr>
          <w:rFonts w:ascii="Arial"/>
          <w:i/>
          <w:color w:val="231F20"/>
          <w:sz w:val="14"/>
        </w:rPr>
        <w:t>Society</w:t>
      </w:r>
      <w:r>
        <w:rPr>
          <w:rFonts w:ascii="Arial"/>
          <w:i/>
          <w:color w:val="231F20"/>
          <w:spacing w:val="-9"/>
          <w:sz w:val="14"/>
        </w:rPr>
        <w:t> </w:t>
      </w:r>
      <w:r>
        <w:rPr>
          <w:rFonts w:ascii="Arial"/>
          <w:i/>
          <w:color w:val="231F20"/>
          <w:sz w:val="14"/>
        </w:rPr>
        <w:t>and</w:t>
      </w:r>
      <w:r>
        <w:rPr>
          <w:rFonts w:ascii="Arial"/>
          <w:i/>
          <w:color w:val="231F20"/>
          <w:spacing w:val="-10"/>
          <w:sz w:val="14"/>
        </w:rPr>
        <w:t> </w:t>
      </w:r>
      <w:r>
        <w:rPr>
          <w:rFonts w:ascii="Arial"/>
          <w:i/>
          <w:color w:val="231F20"/>
          <w:sz w:val="14"/>
        </w:rPr>
        <w:t>the</w:t>
      </w:r>
      <w:r>
        <w:rPr>
          <w:rFonts w:ascii="Arial"/>
          <w:i/>
          <w:color w:val="231F20"/>
          <w:spacing w:val="-10"/>
          <w:sz w:val="14"/>
        </w:rPr>
        <w:t> </w:t>
      </w:r>
      <w:r>
        <w:rPr>
          <w:rFonts w:ascii="Arial"/>
          <w:i/>
          <w:color w:val="231F20"/>
          <w:sz w:val="14"/>
        </w:rPr>
        <w:t>Adolescent</w:t>
      </w:r>
      <w:r>
        <w:rPr>
          <w:rFonts w:ascii="Arial"/>
          <w:i/>
          <w:color w:val="231F20"/>
          <w:spacing w:val="-10"/>
          <w:sz w:val="14"/>
        </w:rPr>
        <w:t> </w:t>
      </w:r>
      <w:r>
        <w:rPr>
          <w:rFonts w:ascii="Arial"/>
          <w:i/>
          <w:color w:val="231F20"/>
          <w:sz w:val="14"/>
        </w:rPr>
        <w:t>Self-Image</w:t>
      </w:r>
      <w:r>
        <w:rPr>
          <w:rFonts w:ascii="Arial"/>
          <w:color w:val="231F20"/>
          <w:sz w:val="14"/>
        </w:rPr>
        <w:t>,</w:t>
      </w:r>
      <w:r>
        <w:rPr>
          <w:rFonts w:ascii="Arial"/>
          <w:color w:val="231F20"/>
          <w:spacing w:val="-9"/>
          <w:sz w:val="14"/>
        </w:rPr>
        <w:t> </w:t>
      </w:r>
      <w:r>
        <w:rPr>
          <w:rFonts w:ascii="Arial"/>
          <w:color w:val="231F20"/>
          <w:sz w:val="14"/>
        </w:rPr>
        <w:t>Princeton,</w:t>
      </w:r>
      <w:r>
        <w:rPr>
          <w:rFonts w:ascii="Arial"/>
          <w:color w:val="231F20"/>
          <w:spacing w:val="-10"/>
          <w:sz w:val="14"/>
        </w:rPr>
        <w:t> </w:t>
      </w:r>
      <w:r>
        <w:rPr>
          <w:rFonts w:ascii="Arial"/>
          <w:color w:val="231F20"/>
          <w:sz w:val="14"/>
        </w:rPr>
        <w:t>Princeton</w:t>
      </w:r>
      <w:r>
        <w:rPr>
          <w:rFonts w:ascii="Arial"/>
          <w:color w:val="231F20"/>
          <w:spacing w:val="-10"/>
          <w:sz w:val="14"/>
        </w:rPr>
        <w:t> </w:t>
      </w:r>
      <w:r>
        <w:rPr>
          <w:rFonts w:ascii="Arial"/>
          <w:color w:val="231F20"/>
          <w:sz w:val="14"/>
        </w:rPr>
        <w:t>University</w:t>
      </w:r>
      <w:r>
        <w:rPr>
          <w:rFonts w:ascii="Arial"/>
          <w:color w:val="231F20"/>
          <w:spacing w:val="40"/>
          <w:sz w:val="14"/>
        </w:rPr>
        <w:t> </w:t>
      </w:r>
      <w:r>
        <w:rPr>
          <w:rFonts w:ascii="Arial"/>
          <w:color w:val="231F20"/>
          <w:spacing w:val="-2"/>
          <w:sz w:val="14"/>
        </w:rPr>
        <w:t>Press.</w:t>
      </w:r>
    </w:p>
    <w:sectPr>
      <w:footerReference w:type="default" r:id="rId359"/>
      <w:pgSz w:w="8640" w:h="12960"/>
      <w:pgMar w:footer="424" w:header="0" w:top="500" w:bottom="620" w:left="42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Antiqua-BoldItalic">
    <w:altName w:val="BookAntiqua-BoldItalic"/>
    <w:charset w:val="0"/>
    <w:family w:val="roman"/>
    <w:pitch w:val="variable"/>
  </w:font>
  <w:font w:name="Wingdings">
    <w:altName w:val="Wingdings"/>
    <w:charset w:val="2"/>
    <w:family w:val="auto"/>
    <w:pitch w:val="variable"/>
  </w:font>
  <w:font w:name="Arial-BoldItalicMT">
    <w:altName w:val="Arial-BoldItalicMT"/>
    <w:charset w:val="0"/>
    <w:family w:val="swiss"/>
    <w:pitch w:val="variable"/>
  </w:font>
  <w:font w:name="Helvetica Neue Condensed">
    <w:altName w:val="Helvetica Neue Condensed"/>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027496pt;margin-top:615.817017pt;width:6.45pt;height:11.95pt;mso-position-horizontal-relative:page;mso-position-vertical-relative:page;z-index:-21009408" type="#_x0000_t202" id="docshape19" filled="false" stroked="false">
          <v:textbox inset="0,0,0,0">
            <w:txbxContent>
              <w:p>
                <w:pPr>
                  <w:spacing w:before="52"/>
                  <w:ind w:left="20" w:right="0" w:firstLine="0"/>
                  <w:jc w:val="left"/>
                  <w:rPr>
                    <w:rFonts w:ascii="Arial"/>
                    <w:sz w:val="14"/>
                  </w:rPr>
                </w:pPr>
                <w:r>
                  <w:rPr>
                    <w:rFonts w:ascii="Arial"/>
                    <w:color w:val="231F20"/>
                    <w:w w:val="95"/>
                    <w:sz w:val="14"/>
                  </w:rPr>
                  <w:t>X</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130997pt;margin-top:615.817017pt;width:9.2pt;height:11.95pt;mso-position-horizontal-relative:page;mso-position-vertical-relative:page;z-index:-20965376" type="#_x0000_t202" id="docshape683" filled="false" stroked="false">
          <v:textbox inset="0,0,0,0">
            <w:txbxContent>
              <w:p>
                <w:pPr>
                  <w:spacing w:before="52"/>
                  <w:ind w:left="20" w:right="0" w:firstLine="0"/>
                  <w:jc w:val="left"/>
                  <w:rPr>
                    <w:rFonts w:ascii="Arial"/>
                    <w:sz w:val="14"/>
                  </w:rPr>
                </w:pPr>
                <w:r>
                  <w:rPr>
                    <w:rFonts w:ascii="Arial"/>
                    <w:color w:val="231F20"/>
                    <w:spacing w:val="-5"/>
                    <w:sz w:val="14"/>
                  </w:rPr>
                  <w:t>91</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93497pt;margin-top:615.817017pt;width:10.050pt;height:11.95pt;mso-position-horizontal-relative:page;mso-position-vertical-relative:page;z-index:-20964864" type="#_x0000_t202" id="docshape707" filled="false" stroked="false">
          <v:textbox inset="0,0,0,0">
            <w:txbxContent>
              <w:p>
                <w:pPr>
                  <w:spacing w:before="52"/>
                  <w:ind w:left="20" w:right="0" w:firstLine="0"/>
                  <w:jc w:val="left"/>
                  <w:rPr>
                    <w:rFonts w:ascii="Arial"/>
                    <w:sz w:val="14"/>
                  </w:rPr>
                </w:pPr>
                <w:r>
                  <w:rPr>
                    <w:rFonts w:ascii="Arial"/>
                    <w:color w:val="231F20"/>
                    <w:spacing w:val="-5"/>
                    <w:w w:val="105"/>
                    <w:sz w:val="14"/>
                  </w:rPr>
                  <w:t>92</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03995pt;margin-top:615.817017pt;width:10.050pt;height:11.95pt;mso-position-horizontal-relative:page;mso-position-vertical-relative:page;z-index:-20964352" type="#_x0000_t202" id="docshape713" filled="false" stroked="false">
          <v:textbox inset="0,0,0,0">
            <w:txbxContent>
              <w:p>
                <w:pPr>
                  <w:spacing w:before="52"/>
                  <w:ind w:left="20" w:right="0" w:firstLine="0"/>
                  <w:jc w:val="left"/>
                  <w:rPr>
                    <w:rFonts w:ascii="Arial"/>
                    <w:sz w:val="14"/>
                  </w:rPr>
                </w:pPr>
                <w:r>
                  <w:rPr>
                    <w:rFonts w:ascii="Arial"/>
                    <w:color w:val="231F20"/>
                    <w:spacing w:val="-5"/>
                    <w:w w:val="105"/>
                    <w:sz w:val="14"/>
                  </w:rPr>
                  <w:t>93</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41498pt;margin-top:615.817017pt;width:10.65pt;height:11.95pt;mso-position-horizontal-relative:page;mso-position-vertical-relative:page;z-index:-20963840" type="#_x0000_t202" id="docshape714" filled="false" stroked="false">
          <v:textbox inset="0,0,0,0">
            <w:txbxContent>
              <w:p>
                <w:pPr>
                  <w:spacing w:before="52"/>
                  <w:ind w:left="20" w:right="0" w:firstLine="0"/>
                  <w:jc w:val="left"/>
                  <w:rPr>
                    <w:rFonts w:ascii="Arial"/>
                    <w:sz w:val="14"/>
                  </w:rPr>
                </w:pPr>
                <w:r>
                  <w:rPr>
                    <w:rFonts w:ascii="Arial"/>
                    <w:color w:val="231F20"/>
                    <w:spacing w:val="-5"/>
                    <w:w w:val="110"/>
                    <w:sz w:val="14"/>
                  </w:rPr>
                  <w:t>94</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65497pt;margin-top:615.817017pt;width:10.2pt;height:11.95pt;mso-position-horizontal-relative:page;mso-position-vertical-relative:page;z-index:-20963328" type="#_x0000_t202" id="docshape716" filled="false" stroked="false">
          <v:textbox inset="0,0,0,0">
            <w:txbxContent>
              <w:p>
                <w:pPr>
                  <w:spacing w:before="52"/>
                  <w:ind w:left="20" w:right="0" w:firstLine="0"/>
                  <w:jc w:val="left"/>
                  <w:rPr>
                    <w:rFonts w:ascii="Arial"/>
                    <w:sz w:val="14"/>
                  </w:rPr>
                </w:pPr>
                <w:r>
                  <w:rPr>
                    <w:rFonts w:ascii="Arial"/>
                    <w:color w:val="231F20"/>
                    <w:spacing w:val="-5"/>
                    <w:w w:val="105"/>
                    <w:sz w:val="14"/>
                  </w:rPr>
                  <w:t>95</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75pt;margin-top:615.817017pt;width:10.75pt;height:11.95pt;mso-position-horizontal-relative:page;mso-position-vertical-relative:page;z-index:-20962816" type="#_x0000_t202" id="docshape719" filled="false" stroked="false">
          <v:textbox inset="0,0,0,0">
            <w:txbxContent>
              <w:p>
                <w:pPr>
                  <w:spacing w:before="52"/>
                  <w:ind w:left="20" w:right="0" w:firstLine="0"/>
                  <w:jc w:val="left"/>
                  <w:rPr>
                    <w:rFonts w:ascii="Arial"/>
                    <w:sz w:val="14"/>
                  </w:rPr>
                </w:pPr>
                <w:r>
                  <w:rPr>
                    <w:rFonts w:ascii="Arial"/>
                    <w:color w:val="231F20"/>
                    <w:spacing w:val="-5"/>
                    <w:w w:val="110"/>
                    <w:sz w:val="14"/>
                  </w:rPr>
                  <w:t>96</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819504pt;margin-top:615.817017pt;width:9.75pt;height:11.95pt;mso-position-horizontal-relative:page;mso-position-vertical-relative:page;z-index:-20962304" type="#_x0000_t202" id="docshape720" filled="false" stroked="false">
          <v:textbox inset="0,0,0,0">
            <w:txbxContent>
              <w:p>
                <w:pPr>
                  <w:spacing w:before="52"/>
                  <w:ind w:left="20" w:right="0" w:firstLine="0"/>
                  <w:jc w:val="left"/>
                  <w:rPr>
                    <w:rFonts w:ascii="Arial"/>
                    <w:sz w:val="14"/>
                  </w:rPr>
                </w:pPr>
                <w:r>
                  <w:rPr>
                    <w:rFonts w:ascii="Arial"/>
                    <w:color w:val="231F20"/>
                    <w:spacing w:val="-5"/>
                    <w:sz w:val="14"/>
                  </w:rPr>
                  <w:t>97</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47pt;margin-top:615.817017pt;width:10.85pt;height:11.95pt;mso-position-horizontal-relative:page;mso-position-vertical-relative:page;z-index:-20961792" type="#_x0000_t202" id="docshape737" filled="false" stroked="false">
          <v:textbox inset="0,0,0,0">
            <w:txbxContent>
              <w:p>
                <w:pPr>
                  <w:spacing w:before="52"/>
                  <w:ind w:left="20" w:right="0" w:firstLine="0"/>
                  <w:jc w:val="left"/>
                  <w:rPr>
                    <w:rFonts w:ascii="Arial"/>
                    <w:sz w:val="14"/>
                  </w:rPr>
                </w:pPr>
                <w:r>
                  <w:rPr>
                    <w:rFonts w:ascii="Arial"/>
                    <w:color w:val="231F20"/>
                    <w:spacing w:val="-5"/>
                    <w:w w:val="115"/>
                    <w:sz w:val="14"/>
                  </w:rPr>
                  <w:t>98</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410004pt;margin-top:615.817017pt;width:10.65pt;height:11.95pt;mso-position-horizontal-relative:page;mso-position-vertical-relative:page;z-index:-20961280" type="#_x0000_t202" id="docshape738" filled="false" stroked="false">
          <v:textbox inset="0,0,0,0">
            <w:txbxContent>
              <w:p>
                <w:pPr>
                  <w:spacing w:before="52"/>
                  <w:ind w:left="20" w:right="0" w:firstLine="0"/>
                  <w:jc w:val="left"/>
                  <w:rPr>
                    <w:rFonts w:ascii="Arial"/>
                    <w:sz w:val="14"/>
                  </w:rPr>
                </w:pPr>
                <w:r>
                  <w:rPr>
                    <w:rFonts w:ascii="Arial"/>
                    <w:color w:val="231F20"/>
                    <w:spacing w:val="-5"/>
                    <w:w w:val="110"/>
                    <w:sz w:val="14"/>
                  </w:rPr>
                  <w:t>99</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037598pt;margin-top:615.817017pt;width:14.45pt;height:11.95pt;mso-position-horizontal-relative:page;mso-position-vertical-relative:page;z-index:-20960768" type="#_x0000_t202" id="docshape740" filled="false" stroked="false">
          <v:textbox inset="0,0,0,0">
            <w:txbxContent>
              <w:p>
                <w:pPr>
                  <w:spacing w:before="52"/>
                  <w:ind w:left="20" w:right="0" w:firstLine="0"/>
                  <w:jc w:val="left"/>
                  <w:rPr>
                    <w:rFonts w:ascii="Arial"/>
                    <w:sz w:val="14"/>
                  </w:rPr>
                </w:pPr>
                <w:r>
                  <w:rPr>
                    <w:rFonts w:ascii="Arial"/>
                    <w:color w:val="231F20"/>
                    <w:spacing w:val="-5"/>
                    <w:w w:val="105"/>
                    <w:sz w:val="14"/>
                  </w:rPr>
                  <w:t>100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328506pt;margin-top:615.817017pt;width:5.85pt;height:11.95pt;mso-position-horizontal-relative:page;mso-position-vertical-relative:page;z-index:-21007872" type="#_x0000_t202" id="docshape21" filled="false" stroked="false">
          <v:textbox inset="0,0,0,0">
            <w:txbxContent>
              <w:p>
                <w:pPr>
                  <w:spacing w:before="52"/>
                  <w:ind w:left="20" w:right="0" w:firstLine="0"/>
                  <w:jc w:val="left"/>
                  <w:rPr>
                    <w:rFonts w:ascii="Arial"/>
                    <w:sz w:val="14"/>
                  </w:rPr>
                </w:pPr>
                <w:r>
                  <w:rPr>
                    <w:rFonts w:ascii="Arial"/>
                    <w:color w:val="231F20"/>
                    <w:w w:val="98"/>
                    <w:sz w:val="14"/>
                  </w:rPr>
                  <w:t>2</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79095pt;margin-top:615.817017pt;width:12.5pt;height:11.95pt;mso-position-horizontal-relative:page;mso-position-vertical-relative:page;z-index:-20960256" type="#_x0000_t202" id="docshape742" filled="false" stroked="false">
          <v:textbox inset="0,0,0,0">
            <w:txbxContent>
              <w:p>
                <w:pPr>
                  <w:spacing w:before="52"/>
                  <w:ind w:left="20" w:right="0" w:firstLine="0"/>
                  <w:jc w:val="left"/>
                  <w:rPr>
                    <w:rFonts w:ascii="Arial"/>
                    <w:sz w:val="14"/>
                  </w:rPr>
                </w:pPr>
                <w:r>
                  <w:rPr>
                    <w:rFonts w:ascii="Arial"/>
                    <w:color w:val="231F20"/>
                    <w:spacing w:val="-6"/>
                    <w:sz w:val="14"/>
                  </w:rPr>
                  <w:t>101</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541595pt;margin-top:615.817017pt;width:13.35pt;height:11.95pt;mso-position-horizontal-relative:page;mso-position-vertical-relative:page;z-index:-20959744" type="#_x0000_t202" id="docshape743" filled="false" stroked="false">
          <v:textbox inset="0,0,0,0">
            <w:txbxContent>
              <w:p>
                <w:pPr>
                  <w:spacing w:before="52"/>
                  <w:ind w:left="20" w:right="0" w:firstLine="0"/>
                  <w:jc w:val="left"/>
                  <w:rPr>
                    <w:rFonts w:ascii="Arial"/>
                    <w:sz w:val="14"/>
                  </w:rPr>
                </w:pPr>
                <w:r>
                  <w:rPr>
                    <w:rFonts w:ascii="Arial"/>
                    <w:color w:val="231F20"/>
                    <w:spacing w:val="-5"/>
                    <w:sz w:val="14"/>
                  </w:rPr>
                  <w:t>102</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87097pt;margin-top:615.817017pt;width:13.2pt;height:11.95pt;mso-position-horizontal-relative:page;mso-position-vertical-relative:page;z-index:-20959232" type="#_x0000_t202" id="docshape745" filled="false" stroked="false">
          <v:textbox inset="0,0,0,0">
            <w:txbxContent>
              <w:p>
                <w:pPr>
                  <w:spacing w:before="52"/>
                  <w:ind w:left="20" w:right="0" w:firstLine="0"/>
                  <w:jc w:val="left"/>
                  <w:rPr>
                    <w:rFonts w:ascii="Arial"/>
                    <w:sz w:val="14"/>
                  </w:rPr>
                </w:pPr>
                <w:r>
                  <w:rPr>
                    <w:rFonts w:ascii="Arial"/>
                    <w:color w:val="231F20"/>
                    <w:spacing w:val="-5"/>
                    <w:sz w:val="14"/>
                  </w:rPr>
                  <w:t>103</w:t>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89597pt;margin-top:615.817017pt;width:13.95pt;height:11.95pt;mso-position-horizontal-relative:page;mso-position-vertical-relative:page;z-index:-20958720" type="#_x0000_t202" id="docshape746" filled="false" stroked="false">
          <v:textbox inset="0,0,0,0">
            <w:txbxContent>
              <w:p>
                <w:pPr>
                  <w:spacing w:before="52"/>
                  <w:ind w:left="20" w:right="0" w:firstLine="0"/>
                  <w:jc w:val="left"/>
                  <w:rPr>
                    <w:rFonts w:ascii="Arial"/>
                    <w:sz w:val="14"/>
                  </w:rPr>
                </w:pPr>
                <w:r>
                  <w:rPr>
                    <w:rFonts w:ascii="Arial"/>
                    <w:color w:val="231F20"/>
                    <w:spacing w:val="-5"/>
                    <w:sz w:val="14"/>
                  </w:rPr>
                  <w:t>104</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13596pt;margin-top:615.817017pt;width:13.5pt;height:11.95pt;mso-position-horizontal-relative:page;mso-position-vertical-relative:page;z-index:-20958208" type="#_x0000_t202" id="docshape747" filled="false" stroked="false">
          <v:textbox inset="0,0,0,0">
            <w:txbxContent>
              <w:p>
                <w:pPr>
                  <w:spacing w:before="52"/>
                  <w:ind w:left="20" w:right="0" w:firstLine="0"/>
                  <w:jc w:val="left"/>
                  <w:rPr>
                    <w:rFonts w:ascii="Arial"/>
                    <w:sz w:val="14"/>
                  </w:rPr>
                </w:pPr>
                <w:r>
                  <w:rPr>
                    <w:rFonts w:ascii="Arial"/>
                    <w:color w:val="231F20"/>
                    <w:spacing w:val="-5"/>
                    <w:sz w:val="14"/>
                  </w:rPr>
                  <w:t>105</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23099pt;margin-top:615.817017pt;width:14.1pt;height:11.95pt;mso-position-horizontal-relative:page;mso-position-vertical-relative:page;z-index:-20957696" type="#_x0000_t202" id="docshape748" filled="false" stroked="false">
          <v:textbox inset="0,0,0,0">
            <w:txbxContent>
              <w:p>
                <w:pPr>
                  <w:spacing w:before="52"/>
                  <w:ind w:left="20" w:right="0" w:firstLine="0"/>
                  <w:jc w:val="left"/>
                  <w:rPr>
                    <w:rFonts w:ascii="Arial"/>
                    <w:sz w:val="14"/>
                  </w:rPr>
                </w:pPr>
                <w:r>
                  <w:rPr>
                    <w:rFonts w:ascii="Arial"/>
                    <w:color w:val="231F20"/>
                    <w:spacing w:val="-5"/>
                    <w:w w:val="105"/>
                    <w:sz w:val="14"/>
                  </w:rPr>
                  <w:t>106</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85104pt;margin-top:615.817017pt;width:13pt;height:11.95pt;mso-position-horizontal-relative:page;mso-position-vertical-relative:page;z-index:-20957184" type="#_x0000_t202" id="docshape749" filled="false" stroked="false">
          <v:textbox inset="0,0,0,0">
            <w:txbxContent>
              <w:p>
                <w:pPr>
                  <w:spacing w:before="52"/>
                  <w:ind w:left="20" w:right="0" w:firstLine="0"/>
                  <w:jc w:val="left"/>
                  <w:rPr>
                    <w:rFonts w:ascii="Arial"/>
                    <w:sz w:val="14"/>
                  </w:rPr>
                </w:pPr>
                <w:r>
                  <w:rPr>
                    <w:rFonts w:ascii="Arial"/>
                    <w:color w:val="231F20"/>
                    <w:spacing w:val="-5"/>
                    <w:sz w:val="14"/>
                  </w:rPr>
                  <w:t>107</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195099pt;margin-top:615.817017pt;width:14.15pt;height:11.95pt;mso-position-horizontal-relative:page;mso-position-vertical-relative:page;z-index:-20956672" type="#_x0000_t202" id="docshape754" filled="false" stroked="false">
          <v:textbox inset="0,0,0,0">
            <w:txbxContent>
              <w:p>
                <w:pPr>
                  <w:spacing w:before="52"/>
                  <w:ind w:left="20" w:right="0" w:firstLine="0"/>
                  <w:jc w:val="left"/>
                  <w:rPr>
                    <w:rFonts w:ascii="Arial"/>
                    <w:sz w:val="14"/>
                  </w:rPr>
                </w:pPr>
                <w:r>
                  <w:rPr>
                    <w:rFonts w:ascii="Arial"/>
                    <w:color w:val="231F20"/>
                    <w:spacing w:val="-5"/>
                    <w:w w:val="105"/>
                    <w:sz w:val="14"/>
                  </w:rPr>
                  <w:t>108</w:t>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723099pt;margin-top:615.817017pt;width:14.1pt;height:11.95pt;mso-position-horizontal-relative:page;mso-position-vertical-relative:page;z-index:-20956160" type="#_x0000_t202" id="docshape756" filled="false" stroked="false">
          <v:textbox inset="0,0,0,0">
            <w:txbxContent>
              <w:p>
                <w:pPr>
                  <w:spacing w:before="52"/>
                  <w:ind w:left="20" w:right="0" w:firstLine="0"/>
                  <w:jc w:val="left"/>
                  <w:rPr>
                    <w:rFonts w:ascii="Arial"/>
                    <w:sz w:val="14"/>
                  </w:rPr>
                </w:pPr>
                <w:r>
                  <w:rPr>
                    <w:rFonts w:ascii="Arial"/>
                    <w:color w:val="231F20"/>
                    <w:spacing w:val="-5"/>
                    <w:w w:val="105"/>
                    <w:sz w:val="14"/>
                  </w:rPr>
                  <w:t>109</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944107pt;margin-top:615.817017pt;width:12.65pt;height:11.95pt;mso-position-horizontal-relative:page;mso-position-vertical-relative:page;z-index:-20955648" type="#_x0000_t202" id="docshape757" filled="false" stroked="false">
          <v:textbox inset="0,0,0,0">
            <w:txbxContent>
              <w:p>
                <w:pPr>
                  <w:spacing w:before="52"/>
                  <w:ind w:left="20" w:right="0" w:firstLine="0"/>
                  <w:jc w:val="left"/>
                  <w:rPr>
                    <w:rFonts w:ascii="Arial"/>
                    <w:sz w:val="14"/>
                  </w:rPr>
                </w:pPr>
                <w:r>
                  <w:rPr>
                    <w:rFonts w:ascii="Arial"/>
                    <w:color w:val="231F20"/>
                    <w:spacing w:val="-5"/>
                    <w:w w:val="95"/>
                    <w:sz w:val="14"/>
                  </w:rPr>
                  <w:t>110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856598pt;margin-top:615.817017pt;width:5.8pt;height:11.95pt;mso-position-horizontal-relative:page;mso-position-vertical-relative:page;z-index:-21007360" type="#_x0000_t202" id="docshape22" filled="false" stroked="false">
          <v:textbox inset="0,0,0,0">
            <w:txbxContent>
              <w:p>
                <w:pPr>
                  <w:spacing w:before="52"/>
                  <w:ind w:left="20" w:right="0" w:firstLine="0"/>
                  <w:jc w:val="left"/>
                  <w:rPr>
                    <w:rFonts w:ascii="Arial"/>
                    <w:sz w:val="14"/>
                  </w:rPr>
                </w:pPr>
                <w:r>
                  <w:rPr>
                    <w:rFonts w:ascii="Arial"/>
                    <w:color w:val="231F20"/>
                    <w:w w:val="97"/>
                    <w:sz w:val="14"/>
                  </w:rPr>
                  <w:t>3</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350601pt;margin-top:615.817017pt;width:10.8pt;height:11.95pt;mso-position-horizontal-relative:page;mso-position-vertical-relative:page;z-index:-20955136" type="#_x0000_t202" id="docshape758" filled="false" stroked="false">
          <v:textbox inset="0,0,0,0">
            <w:txbxContent>
              <w:p>
                <w:pPr>
                  <w:spacing w:before="52"/>
                  <w:ind w:left="20" w:right="0" w:firstLine="0"/>
                  <w:jc w:val="left"/>
                  <w:rPr>
                    <w:rFonts w:ascii="Arial"/>
                    <w:sz w:val="14"/>
                  </w:rPr>
                </w:pPr>
                <w:r>
                  <w:rPr>
                    <w:rFonts w:ascii="Arial"/>
                    <w:color w:val="231F20"/>
                    <w:spacing w:val="-5"/>
                    <w:w w:val="80"/>
                    <w:sz w:val="14"/>
                  </w:rPr>
                  <w:t>111</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395599pt;margin-top:615.817017pt;width:11.75pt;height:11.95pt;mso-position-horizontal-relative:page;mso-position-vertical-relative:page;z-index:-20954624" type="#_x0000_t202" id="docshape761" filled="false" stroked="false">
          <v:textbox inset="0,0,0,0">
            <w:txbxContent>
              <w:p>
                <w:pPr>
                  <w:spacing w:before="52"/>
                  <w:ind w:left="20" w:right="0" w:firstLine="0"/>
                  <w:jc w:val="left"/>
                  <w:rPr>
                    <w:rFonts w:ascii="Arial"/>
                    <w:sz w:val="14"/>
                  </w:rPr>
                </w:pPr>
                <w:r>
                  <w:rPr>
                    <w:rFonts w:ascii="Arial"/>
                    <w:color w:val="231F20"/>
                    <w:spacing w:val="-5"/>
                    <w:w w:val="90"/>
                    <w:sz w:val="14"/>
                  </w:rPr>
                  <w:t>112</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923599pt;margin-top:615.817017pt;width:11.7pt;height:11.95pt;mso-position-horizontal-relative:page;mso-position-vertical-relative:page;z-index:-20954112" type="#_x0000_t202" id="docshape767" filled="false" stroked="false">
          <v:textbox inset="0,0,0,0">
            <w:txbxContent>
              <w:p>
                <w:pPr>
                  <w:spacing w:before="52"/>
                  <w:ind w:left="20" w:right="0" w:firstLine="0"/>
                  <w:jc w:val="left"/>
                  <w:rPr>
                    <w:rFonts w:ascii="Arial"/>
                    <w:sz w:val="14"/>
                  </w:rPr>
                </w:pPr>
                <w:r>
                  <w:rPr>
                    <w:rFonts w:ascii="Arial"/>
                    <w:color w:val="231F20"/>
                    <w:spacing w:val="-5"/>
                    <w:w w:val="90"/>
                    <w:sz w:val="14"/>
                  </w:rPr>
                  <w:t>113</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196106pt;margin-top:615.817017pt;width:12.15pt;height:11.95pt;mso-position-horizontal-relative:page;mso-position-vertical-relative:page;z-index:-20953600" type="#_x0000_t202" id="docshape769" filled="false" stroked="false">
          <v:textbox inset="0,0,0,0">
            <w:txbxContent>
              <w:p>
                <w:pPr>
                  <w:spacing w:before="52"/>
                  <w:ind w:left="20" w:right="0" w:firstLine="0"/>
                  <w:jc w:val="left"/>
                  <w:rPr>
                    <w:rFonts w:ascii="Arial"/>
                    <w:sz w:val="14"/>
                  </w:rPr>
                </w:pPr>
                <w:r>
                  <w:rPr>
                    <w:rFonts w:ascii="Arial"/>
                    <w:color w:val="231F20"/>
                    <w:spacing w:val="-5"/>
                    <w:w w:val="95"/>
                    <w:sz w:val="14"/>
                  </w:rPr>
                  <w:t>114</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920105pt;margin-top:615.817017pt;width:11.7pt;height:11.95pt;mso-position-horizontal-relative:page;mso-position-vertical-relative:page;z-index:-20953088" type="#_x0000_t202" id="docshape771" filled="false" stroked="false">
          <v:textbox inset="0,0,0,0">
            <w:txbxContent>
              <w:p>
                <w:pPr>
                  <w:spacing w:before="52"/>
                  <w:ind w:left="20" w:right="0" w:firstLine="0"/>
                  <w:jc w:val="left"/>
                  <w:rPr>
                    <w:rFonts w:ascii="Arial"/>
                    <w:sz w:val="14"/>
                  </w:rPr>
                </w:pPr>
                <w:r>
                  <w:rPr>
                    <w:rFonts w:ascii="Arial"/>
                    <w:color w:val="231F20"/>
                    <w:spacing w:val="-5"/>
                    <w:w w:val="90"/>
                    <w:sz w:val="14"/>
                  </w:rPr>
                  <w:t>115</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129593pt;margin-top:615.817017pt;width:12.25pt;height:11.95pt;mso-position-horizontal-relative:page;mso-position-vertical-relative:page;z-index:-20952576" type="#_x0000_t202" id="docshape776" filled="false" stroked="false">
          <v:textbox inset="0,0,0,0">
            <w:txbxContent>
              <w:p>
                <w:pPr>
                  <w:spacing w:before="52"/>
                  <w:ind w:left="20" w:right="0" w:firstLine="0"/>
                  <w:jc w:val="left"/>
                  <w:rPr>
                    <w:rFonts w:ascii="Arial"/>
                    <w:sz w:val="14"/>
                  </w:rPr>
                </w:pPr>
                <w:r>
                  <w:rPr>
                    <w:rFonts w:ascii="Arial"/>
                    <w:color w:val="231F20"/>
                    <w:spacing w:val="-5"/>
                    <w:w w:val="95"/>
                    <w:sz w:val="14"/>
                  </w:rPr>
                  <w:t>116</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004105pt;margin-top:615.817017pt;width:11.5pt;height:11.95pt;mso-position-horizontal-relative:page;mso-position-vertical-relative:page;z-index:-20952064" type="#_x0000_t202" id="docshape778" filled="false" stroked="false">
          <v:textbox inset="0,0,0,0">
            <w:txbxContent>
              <w:p>
                <w:pPr>
                  <w:spacing w:before="52"/>
                  <w:ind w:left="20" w:right="0" w:firstLine="0"/>
                  <w:jc w:val="left"/>
                  <w:rPr>
                    <w:rFonts w:ascii="Arial"/>
                    <w:sz w:val="14"/>
                  </w:rPr>
                </w:pPr>
                <w:r>
                  <w:rPr>
                    <w:rFonts w:ascii="Arial"/>
                    <w:color w:val="231F20"/>
                    <w:spacing w:val="-5"/>
                    <w:w w:val="85"/>
                    <w:sz w:val="14"/>
                  </w:rPr>
                  <w:t>117</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101593pt;margin-top:615.817017pt;width:12.3pt;height:11.95pt;mso-position-horizontal-relative:page;mso-position-vertical-relative:page;z-index:-20951552" type="#_x0000_t202" id="docshape799" filled="false" stroked="false">
          <v:textbox inset="0,0,0,0">
            <w:txbxContent>
              <w:p>
                <w:pPr>
                  <w:spacing w:before="52"/>
                  <w:ind w:left="20" w:right="0" w:firstLine="0"/>
                  <w:jc w:val="left"/>
                  <w:rPr>
                    <w:rFonts w:ascii="Arial"/>
                    <w:sz w:val="14"/>
                  </w:rPr>
                </w:pPr>
                <w:r>
                  <w:rPr>
                    <w:rFonts w:ascii="Arial"/>
                    <w:color w:val="231F20"/>
                    <w:spacing w:val="-5"/>
                    <w:w w:val="95"/>
                    <w:sz w:val="14"/>
                  </w:rPr>
                  <w:t>118</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29593pt;margin-top:615.817017pt;width:12.25pt;height:11.95pt;mso-position-horizontal-relative:page;mso-position-vertical-relative:page;z-index:-20951040" type="#_x0000_t202" id="docshape802" filled="false" stroked="false">
          <v:textbox inset="0,0,0,0">
            <w:txbxContent>
              <w:p>
                <w:pPr>
                  <w:spacing w:before="52"/>
                  <w:ind w:left="20" w:right="0" w:firstLine="0"/>
                  <w:jc w:val="left"/>
                  <w:rPr>
                    <w:rFonts w:ascii="Arial"/>
                    <w:sz w:val="14"/>
                  </w:rPr>
                </w:pPr>
                <w:r>
                  <w:rPr>
                    <w:rFonts w:ascii="Arial"/>
                    <w:color w:val="231F20"/>
                    <w:spacing w:val="-5"/>
                    <w:w w:val="95"/>
                    <w:sz w:val="14"/>
                  </w:rPr>
                  <w:t>119</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89105pt;margin-top:615.817017pt;width:13.55pt;height:11.95pt;mso-position-horizontal-relative:page;mso-position-vertical-relative:page;z-index:-20950528" type="#_x0000_t202" id="docshape805" filled="false" stroked="false">
          <v:textbox inset="0,0,0,0">
            <w:txbxContent>
              <w:p>
                <w:pPr>
                  <w:spacing w:before="52"/>
                  <w:ind w:left="20" w:right="0" w:firstLine="0"/>
                  <w:jc w:val="left"/>
                  <w:rPr>
                    <w:rFonts w:ascii="Arial"/>
                    <w:sz w:val="14"/>
                  </w:rPr>
                </w:pPr>
                <w:r>
                  <w:rPr>
                    <w:rFonts w:ascii="Arial"/>
                    <w:color w:val="231F20"/>
                    <w:spacing w:val="-5"/>
                    <w:sz w:val="14"/>
                  </w:rPr>
                  <w:t>120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128998pt;margin-top:615.817017pt;width:6.25pt;height:11.95pt;mso-position-horizontal-relative:page;mso-position-vertical-relative:page;z-index:-21006848" type="#_x0000_t202" id="docshape23" filled="false" stroked="false">
          <v:textbox inset="0,0,0,0">
            <w:txbxContent>
              <w:p>
                <w:pPr>
                  <w:spacing w:before="52"/>
                  <w:ind w:left="20" w:right="0" w:firstLine="0"/>
                  <w:jc w:val="left"/>
                  <w:rPr>
                    <w:rFonts w:ascii="Arial"/>
                    <w:sz w:val="14"/>
                  </w:rPr>
                </w:pPr>
                <w:r>
                  <w:rPr>
                    <w:rFonts w:ascii="Arial"/>
                    <w:color w:val="231F20"/>
                    <w:w w:val="108"/>
                    <w:sz w:val="14"/>
                  </w:rPr>
                  <w:t>4</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895599pt;margin-top:615.817017pt;width:11.75pt;height:11.95pt;mso-position-horizontal-relative:page;mso-position-vertical-relative:page;z-index:-20950016" type="#_x0000_t202" id="docshape808" filled="false" stroked="false">
          <v:textbox inset="0,0,0,0">
            <w:txbxContent>
              <w:p>
                <w:pPr>
                  <w:spacing w:before="52"/>
                  <w:ind w:left="20" w:right="0" w:firstLine="0"/>
                  <w:jc w:val="left"/>
                  <w:rPr>
                    <w:rFonts w:ascii="Arial"/>
                    <w:sz w:val="14"/>
                  </w:rPr>
                </w:pPr>
                <w:r>
                  <w:rPr>
                    <w:rFonts w:ascii="Arial"/>
                    <w:color w:val="231F20"/>
                    <w:spacing w:val="-5"/>
                    <w:w w:val="90"/>
                    <w:sz w:val="14"/>
                  </w:rPr>
                  <w:t>121</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93594pt;margin-top:615.817017pt;width:12.85pt;height:11.95pt;mso-position-horizontal-relative:page;mso-position-vertical-relative:page;z-index:-20949504" type="#_x0000_t202" id="docshape811" filled="false" stroked="false">
          <v:textbox inset="0,0,0,0">
            <w:txbxContent>
              <w:p>
                <w:pPr>
                  <w:spacing w:before="52"/>
                  <w:ind w:left="20" w:right="0" w:firstLine="0"/>
                  <w:jc w:val="left"/>
                  <w:rPr>
                    <w:rFonts w:ascii="Arial"/>
                    <w:sz w:val="14"/>
                  </w:rPr>
                </w:pPr>
                <w:r>
                  <w:rPr>
                    <w:rFonts w:ascii="Arial"/>
                    <w:color w:val="231F20"/>
                    <w:spacing w:val="-5"/>
                    <w:sz w:val="14"/>
                  </w:rPr>
                  <w:t>124</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65103pt;margin-top:615.817017pt;width:12.6pt;height:11.95pt;mso-position-horizontal-relative:page;mso-position-vertical-relative:page;z-index:-20948992" type="#_x0000_t202" id="docshape813" filled="false" stroked="false">
          <v:textbox inset="0,0,0,0">
            <w:txbxContent>
              <w:p>
                <w:pPr>
                  <w:spacing w:before="52"/>
                  <w:ind w:left="20" w:right="0" w:firstLine="0"/>
                  <w:jc w:val="left"/>
                  <w:rPr>
                    <w:rFonts w:ascii="Arial"/>
                    <w:sz w:val="14"/>
                  </w:rPr>
                </w:pPr>
                <w:r>
                  <w:rPr>
                    <w:rFonts w:ascii="Arial"/>
                    <w:color w:val="231F20"/>
                    <w:spacing w:val="-5"/>
                    <w:w w:val="95"/>
                    <w:sz w:val="14"/>
                  </w:rPr>
                  <w:t>125</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09503pt;margin-top:615.817017pt;width:13.05pt;height:11.95pt;mso-position-horizontal-relative:page;mso-position-vertical-relative:page;z-index:-20948480" type="#_x0000_t202" id="docshape815" filled="false" stroked="false">
          <v:textbox inset="0,0,0,0">
            <w:txbxContent>
              <w:p>
                <w:pPr>
                  <w:spacing w:before="52"/>
                  <w:ind w:left="20" w:right="0" w:firstLine="0"/>
                  <w:jc w:val="left"/>
                  <w:rPr>
                    <w:rFonts w:ascii="Arial"/>
                    <w:sz w:val="14"/>
                  </w:rPr>
                </w:pPr>
                <w:r>
                  <w:rPr>
                    <w:rFonts w:ascii="Arial"/>
                    <w:color w:val="231F20"/>
                    <w:spacing w:val="-5"/>
                    <w:sz w:val="14"/>
                  </w:rPr>
                  <w:t>126</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584106pt;margin-top:615.817017pt;width:12.3pt;height:11.95pt;mso-position-horizontal-relative:page;mso-position-vertical-relative:page;z-index:-20947968" type="#_x0000_t202" id="docshape817" filled="false" stroked="false">
          <v:textbox inset="0,0,0,0">
            <w:txbxContent>
              <w:p>
                <w:pPr>
                  <w:spacing w:before="52"/>
                  <w:ind w:left="20" w:right="0" w:firstLine="0"/>
                  <w:jc w:val="left"/>
                  <w:rPr>
                    <w:rFonts w:ascii="Arial"/>
                    <w:sz w:val="14"/>
                  </w:rPr>
                </w:pPr>
                <w:r>
                  <w:rPr>
                    <w:rFonts w:ascii="Arial"/>
                    <w:color w:val="231F20"/>
                    <w:spacing w:val="-5"/>
                    <w:w w:val="95"/>
                    <w:sz w:val="14"/>
                  </w:rPr>
                  <w:t>127</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46606pt;margin-top:615.817017pt;width:13.25pt;height:11.95pt;mso-position-horizontal-relative:page;mso-position-vertical-relative:page;z-index:-20947456" type="#_x0000_t202" id="docshape819" filled="false" stroked="false">
          <v:textbox inset="0,0,0,0">
            <w:txbxContent>
              <w:p>
                <w:pPr>
                  <w:spacing w:before="52"/>
                  <w:ind w:left="20" w:right="0" w:firstLine="0"/>
                  <w:jc w:val="left"/>
                  <w:rPr>
                    <w:rFonts w:ascii="Arial"/>
                    <w:sz w:val="14"/>
                  </w:rPr>
                </w:pPr>
                <w:r>
                  <w:rPr>
                    <w:rFonts w:ascii="Arial"/>
                    <w:color w:val="231F20"/>
                    <w:spacing w:val="-5"/>
                    <w:sz w:val="14"/>
                  </w:rPr>
                  <w:t>128</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745pt;margin-top:615.817017pt;width:13.2pt;height:11.95pt;mso-position-horizontal-relative:page;mso-position-vertical-relative:page;z-index:-20946944" type="#_x0000_t202" id="docshape820" filled="false" stroked="false">
          <v:textbox inset="0,0,0,0">
            <w:txbxContent>
              <w:p>
                <w:pPr>
                  <w:spacing w:before="52"/>
                  <w:ind w:left="20" w:right="0" w:firstLine="0"/>
                  <w:jc w:val="left"/>
                  <w:rPr>
                    <w:rFonts w:ascii="Arial"/>
                    <w:sz w:val="14"/>
                  </w:rPr>
                </w:pPr>
                <w:r>
                  <w:rPr>
                    <w:rFonts w:ascii="Arial"/>
                    <w:color w:val="231F20"/>
                    <w:spacing w:val="-5"/>
                    <w:sz w:val="14"/>
                  </w:rPr>
                  <w:t>129</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517105pt;margin-top:615.817017pt;width:13.5pt;height:11.95pt;mso-position-horizontal-relative:page;mso-position-vertical-relative:page;z-index:-20946432" type="#_x0000_t202" id="docshape822" filled="false" stroked="false">
          <v:textbox inset="0,0,0,0">
            <w:txbxContent>
              <w:p>
                <w:pPr>
                  <w:spacing w:before="52"/>
                  <w:ind w:left="20" w:right="0" w:firstLine="0"/>
                  <w:jc w:val="left"/>
                  <w:rPr>
                    <w:rFonts w:ascii="Arial"/>
                    <w:sz w:val="14"/>
                  </w:rPr>
                </w:pPr>
                <w:r>
                  <w:rPr>
                    <w:rFonts w:ascii="Arial"/>
                    <w:color w:val="231F20"/>
                    <w:spacing w:val="-5"/>
                    <w:sz w:val="14"/>
                  </w:rPr>
                  <w:t>130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852997pt;margin-top:615.817017pt;width:5.8pt;height:11.95pt;mso-position-horizontal-relative:page;mso-position-vertical-relative:page;z-index:-21006336" type="#_x0000_t202" id="docshape24" filled="false" stroked="false">
          <v:textbox inset="0,0,0,0">
            <w:txbxContent>
              <w:p>
                <w:pPr>
                  <w:spacing w:before="52"/>
                  <w:ind w:left="20" w:right="0" w:firstLine="0"/>
                  <w:jc w:val="left"/>
                  <w:rPr>
                    <w:rFonts w:ascii="Arial"/>
                    <w:sz w:val="14"/>
                  </w:rPr>
                </w:pPr>
                <w:r>
                  <w:rPr>
                    <w:rFonts w:ascii="Arial"/>
                    <w:color w:val="231F20"/>
                    <w:w w:val="97"/>
                    <w:sz w:val="14"/>
                  </w:rPr>
                  <w:t>5</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923599pt;margin-top:615.817017pt;width:11.7pt;height:11.95pt;mso-position-horizontal-relative:page;mso-position-vertical-relative:page;z-index:-20945920" type="#_x0000_t202" id="docshape824" filled="false" stroked="false">
          <v:textbox inset="0,0,0,0">
            <w:txbxContent>
              <w:p>
                <w:pPr>
                  <w:spacing w:before="52"/>
                  <w:ind w:left="20" w:right="0" w:firstLine="0"/>
                  <w:jc w:val="left"/>
                  <w:rPr>
                    <w:rFonts w:ascii="Arial"/>
                    <w:sz w:val="14"/>
                  </w:rPr>
                </w:pPr>
                <w:r>
                  <w:rPr>
                    <w:rFonts w:ascii="Arial"/>
                    <w:color w:val="231F20"/>
                    <w:spacing w:val="-5"/>
                    <w:w w:val="90"/>
                    <w:sz w:val="14"/>
                  </w:rPr>
                  <w:t>131</w:t>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038605pt;margin-top:615.817017pt;width:12.3pt;height:11.95pt;mso-position-horizontal-relative:page;mso-position-vertical-relative:page;z-index:-20945408" type="#_x0000_t202" id="docshape825" filled="false" stroked="false">
          <v:textbox inset="0,0,0,0">
            <w:txbxContent>
              <w:p>
                <w:pPr>
                  <w:spacing w:before="52"/>
                  <w:ind w:left="20" w:right="0" w:firstLine="0"/>
                  <w:jc w:val="left"/>
                  <w:rPr>
                    <w:rFonts w:ascii="Arial"/>
                    <w:sz w:val="14"/>
                  </w:rPr>
                </w:pPr>
                <w:r>
                  <w:rPr>
                    <w:rFonts w:ascii="Arial"/>
                    <w:color w:val="231F20"/>
                    <w:spacing w:val="-5"/>
                    <w:w w:val="95"/>
                    <w:sz w:val="14"/>
                  </w:rPr>
                  <w:t>132</w:t>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96597pt;margin-top:615.817017pt;width:12.55pt;height:11.95pt;mso-position-horizontal-relative:page;mso-position-vertical-relative:page;z-index:-20944896" type="#_x0000_t202" id="docshape826" filled="false" stroked="false">
          <v:textbox inset="0,0,0,0">
            <w:txbxContent>
              <w:p>
                <w:pPr>
                  <w:spacing w:before="52"/>
                  <w:ind w:left="20" w:right="0" w:firstLine="0"/>
                  <w:jc w:val="left"/>
                  <w:rPr>
                    <w:rFonts w:ascii="Arial"/>
                    <w:sz w:val="14"/>
                  </w:rPr>
                </w:pPr>
                <w:r>
                  <w:rPr>
                    <w:rFonts w:ascii="Arial"/>
                    <w:color w:val="231F20"/>
                    <w:spacing w:val="-5"/>
                    <w:w w:val="95"/>
                    <w:sz w:val="14"/>
                  </w:rPr>
                  <w:t>133</w:t>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69104pt;margin-top:615.817017pt;width:13pt;height:11.95pt;mso-position-horizontal-relative:page;mso-position-vertical-relative:page;z-index:-20944384" type="#_x0000_t202" id="docshape827" filled="false" stroked="false">
          <v:textbox inset="0,0,0,0">
            <w:txbxContent>
              <w:p>
                <w:pPr>
                  <w:spacing w:before="52"/>
                  <w:ind w:left="20" w:right="0" w:firstLine="0"/>
                  <w:jc w:val="left"/>
                  <w:rPr>
                    <w:rFonts w:ascii="Arial"/>
                    <w:sz w:val="14"/>
                  </w:rPr>
                </w:pPr>
                <w:r>
                  <w:rPr>
                    <w:rFonts w:ascii="Arial"/>
                    <w:color w:val="231F20"/>
                    <w:spacing w:val="-5"/>
                    <w:sz w:val="14"/>
                  </w:rPr>
                  <w:t>134</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93103pt;margin-top:615.817017pt;width:12.55pt;height:11.95pt;mso-position-horizontal-relative:page;mso-position-vertical-relative:page;z-index:-20943872" type="#_x0000_t202" id="docshape833" filled="false" stroked="false">
          <v:textbox inset="0,0,0,0">
            <w:txbxContent>
              <w:p>
                <w:pPr>
                  <w:spacing w:before="52"/>
                  <w:ind w:left="20" w:right="0" w:firstLine="0"/>
                  <w:jc w:val="left"/>
                  <w:rPr>
                    <w:rFonts w:ascii="Arial"/>
                    <w:sz w:val="14"/>
                  </w:rPr>
                </w:pPr>
                <w:r>
                  <w:rPr>
                    <w:rFonts w:ascii="Arial"/>
                    <w:color w:val="231F20"/>
                    <w:spacing w:val="-5"/>
                    <w:w w:val="95"/>
                    <w:sz w:val="14"/>
                  </w:rPr>
                  <w:t>135</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02606pt;margin-top:615.817017pt;width:13.1pt;height:11.95pt;mso-position-horizontal-relative:page;mso-position-vertical-relative:page;z-index:-20943360" type="#_x0000_t202" id="docshape838" filled="false" stroked="false">
          <v:textbox inset="0,0,0,0">
            <w:txbxContent>
              <w:p>
                <w:pPr>
                  <w:spacing w:before="52"/>
                  <w:ind w:left="20" w:right="0" w:firstLine="0"/>
                  <w:jc w:val="left"/>
                  <w:rPr>
                    <w:rFonts w:ascii="Arial"/>
                    <w:sz w:val="14"/>
                  </w:rPr>
                </w:pPr>
                <w:r>
                  <w:rPr>
                    <w:rFonts w:ascii="Arial"/>
                    <w:color w:val="231F20"/>
                    <w:spacing w:val="-5"/>
                    <w:sz w:val="14"/>
                  </w:rPr>
                  <w:t>136</w:t>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29593pt;margin-top:615.817017pt;width:12.15pt;height:11.95pt;mso-position-horizontal-relative:page;mso-position-vertical-relative:page;z-index:-20942848" type="#_x0000_t202" id="docshape880" filled="false" stroked="false">
          <v:textbox inset="0,0,0,0">
            <w:txbxContent>
              <w:p>
                <w:pPr>
                  <w:spacing w:before="52"/>
                  <w:ind w:left="20" w:right="0" w:firstLine="0"/>
                  <w:jc w:val="left"/>
                  <w:rPr>
                    <w:rFonts w:ascii="Arial"/>
                    <w:sz w:val="14"/>
                  </w:rPr>
                </w:pPr>
                <w:r>
                  <w:rPr>
                    <w:rFonts w:ascii="Arial"/>
                    <w:color w:val="231F20"/>
                    <w:spacing w:val="-5"/>
                    <w:w w:val="95"/>
                    <w:sz w:val="14"/>
                  </w:rPr>
                  <w:t>137</w:t>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74606pt;margin-top:615.817017pt;width:13.2pt;height:11.95pt;mso-position-horizontal-relative:page;mso-position-vertical-relative:page;z-index:-20942336" type="#_x0000_t202" id="docshape882" filled="false" stroked="false">
          <v:textbox inset="0,0,0,0">
            <w:txbxContent>
              <w:p>
                <w:pPr>
                  <w:spacing w:before="52"/>
                  <w:ind w:left="20" w:right="0" w:firstLine="0"/>
                  <w:jc w:val="left"/>
                  <w:rPr>
                    <w:rFonts w:ascii="Arial"/>
                    <w:sz w:val="14"/>
                  </w:rPr>
                </w:pPr>
                <w:r>
                  <w:rPr>
                    <w:rFonts w:ascii="Arial"/>
                    <w:color w:val="231F20"/>
                    <w:spacing w:val="-5"/>
                    <w:sz w:val="14"/>
                  </w:rPr>
                  <w:t>138</w:t>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37595pt;margin-top:615.817017pt;width:13pt;height:11.95pt;mso-position-horizontal-relative:page;mso-position-vertical-relative:page;z-index:-20941824" type="#_x0000_t202" id="docshape886" filled="false" stroked="false">
          <v:textbox inset="0,0,0,0">
            <w:txbxContent>
              <w:p>
                <w:pPr>
                  <w:spacing w:before="52"/>
                  <w:ind w:left="20" w:right="0" w:firstLine="0"/>
                  <w:jc w:val="left"/>
                  <w:rPr>
                    <w:rFonts w:ascii="Arial"/>
                    <w:sz w:val="14"/>
                  </w:rPr>
                </w:pPr>
                <w:r>
                  <w:rPr>
                    <w:rFonts w:ascii="Arial"/>
                    <w:color w:val="231F20"/>
                    <w:spacing w:val="-5"/>
                    <w:sz w:val="14"/>
                  </w:rPr>
                  <w:t>139</w:t>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89597pt;margin-top:615.817017pt;width:13.95pt;height:11.95pt;mso-position-horizontal-relative:page;mso-position-vertical-relative:page;z-index:-20941312" type="#_x0000_t202" id="docshape888" filled="false" stroked="false">
          <v:textbox inset="0,0,0,0">
            <w:txbxContent>
              <w:p>
                <w:pPr>
                  <w:spacing w:before="52"/>
                  <w:ind w:left="20" w:right="0" w:firstLine="0"/>
                  <w:jc w:val="left"/>
                  <w:rPr>
                    <w:rFonts w:ascii="Arial"/>
                    <w:sz w:val="14"/>
                  </w:rPr>
                </w:pPr>
                <w:r>
                  <w:rPr>
                    <w:rFonts w:ascii="Arial"/>
                    <w:color w:val="231F20"/>
                    <w:spacing w:val="-5"/>
                    <w:sz w:val="14"/>
                  </w:rPr>
                  <w:t>140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0625pt;margin-top:615.817017pt;width:6.4pt;height:11.95pt;mso-position-horizontal-relative:page;mso-position-vertical-relative:page;z-index:-21005824" type="#_x0000_t202" id="docshape25" filled="false" stroked="false">
          <v:textbox inset="0,0,0,0">
            <w:txbxContent>
              <w:p>
                <w:pPr>
                  <w:spacing w:before="52"/>
                  <w:ind w:left="20" w:right="0" w:firstLine="0"/>
                  <w:jc w:val="left"/>
                  <w:rPr>
                    <w:rFonts w:ascii="Arial"/>
                    <w:sz w:val="14"/>
                  </w:rPr>
                </w:pPr>
                <w:r>
                  <w:rPr>
                    <w:rFonts w:ascii="Arial"/>
                    <w:color w:val="231F20"/>
                    <w:w w:val="112"/>
                    <w:sz w:val="14"/>
                  </w:rPr>
                  <w:t>6</w:t>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766098pt;margin-top:615.817017pt;width:11.85pt;height:11.95pt;mso-position-horizontal-relative:page;mso-position-vertical-relative:page;z-index:-20940800" type="#_x0000_t202" id="docshape911" filled="false" stroked="false">
          <v:textbox inset="0,0,0,0">
            <w:txbxContent>
              <w:p>
                <w:pPr>
                  <w:spacing w:before="52"/>
                  <w:ind w:left="20" w:right="0" w:firstLine="0"/>
                  <w:jc w:val="left"/>
                  <w:rPr>
                    <w:rFonts w:ascii="Arial"/>
                    <w:sz w:val="14"/>
                  </w:rPr>
                </w:pPr>
                <w:r>
                  <w:rPr>
                    <w:rFonts w:ascii="Arial"/>
                    <w:color w:val="231F20"/>
                    <w:spacing w:val="-6"/>
                    <w:w w:val="95"/>
                    <w:sz w:val="14"/>
                  </w:rPr>
                  <w:t>141</w:t>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76093pt;margin-top:615.817017pt;width:12.9pt;height:11.95pt;mso-position-horizontal-relative:page;mso-position-vertical-relative:page;z-index:-20940288" type="#_x0000_t202" id="docshape913" filled="false" stroked="false">
          <v:textbox inset="0,0,0,0">
            <w:txbxContent>
              <w:p>
                <w:pPr>
                  <w:spacing w:before="52"/>
                  <w:ind w:left="20" w:right="0" w:firstLine="0"/>
                  <w:jc w:val="left"/>
                  <w:rPr>
                    <w:rFonts w:ascii="Arial"/>
                    <w:sz w:val="14"/>
                  </w:rPr>
                </w:pPr>
                <w:r>
                  <w:rPr>
                    <w:rFonts w:ascii="Arial"/>
                    <w:color w:val="231F20"/>
                    <w:spacing w:val="-5"/>
                    <w:sz w:val="14"/>
                  </w:rPr>
                  <w:t>142</w:t>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69104pt;margin-top:615.817017pt;width:13pt;height:11.95pt;mso-position-horizontal-relative:page;mso-position-vertical-relative:page;z-index:-20939776" type="#_x0000_t202" id="docshape936" filled="false" stroked="false">
          <v:textbox inset="0,0,0,0">
            <w:txbxContent>
              <w:p>
                <w:pPr>
                  <w:spacing w:before="52"/>
                  <w:ind w:left="20" w:right="0" w:firstLine="0"/>
                  <w:jc w:val="left"/>
                  <w:rPr>
                    <w:rFonts w:ascii="Arial"/>
                    <w:sz w:val="14"/>
                  </w:rPr>
                </w:pPr>
                <w:r>
                  <w:rPr>
                    <w:rFonts w:ascii="Arial"/>
                    <w:color w:val="231F20"/>
                    <w:spacing w:val="-5"/>
                    <w:sz w:val="14"/>
                  </w:rPr>
                  <w:t>143</w:t>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71603pt;margin-top:615.817017pt;width:13.6pt;height:11.95pt;mso-position-horizontal-relative:page;mso-position-vertical-relative:page;z-index:-20939264" type="#_x0000_t202" id="docshape938" filled="false" stroked="false">
          <v:textbox inset="0,0,0,0">
            <w:txbxContent>
              <w:p>
                <w:pPr>
                  <w:spacing w:before="52"/>
                  <w:ind w:left="20" w:right="0" w:firstLine="0"/>
                  <w:jc w:val="left"/>
                  <w:rPr>
                    <w:rFonts w:ascii="Arial"/>
                    <w:sz w:val="14"/>
                  </w:rPr>
                </w:pPr>
                <w:r>
                  <w:rPr>
                    <w:rFonts w:ascii="Arial"/>
                    <w:color w:val="231F20"/>
                    <w:spacing w:val="-5"/>
                    <w:sz w:val="14"/>
                  </w:rPr>
                  <w:t>144</w:t>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65594pt;margin-top:615.817017pt;width:13pt;height:11.95pt;mso-position-horizontal-relative:page;mso-position-vertical-relative:page;z-index:-20938752" type="#_x0000_t202" id="docshape940" filled="false" stroked="false">
          <v:textbox inset="0,0,0,0">
            <w:txbxContent>
              <w:p>
                <w:pPr>
                  <w:spacing w:before="52"/>
                  <w:ind w:left="20" w:right="0" w:firstLine="0"/>
                  <w:jc w:val="left"/>
                  <w:rPr>
                    <w:rFonts w:ascii="Arial"/>
                    <w:sz w:val="14"/>
                  </w:rPr>
                </w:pPr>
                <w:r>
                  <w:rPr>
                    <w:rFonts w:ascii="Arial"/>
                    <w:color w:val="231F20"/>
                    <w:spacing w:val="-5"/>
                    <w:sz w:val="14"/>
                  </w:rPr>
                  <w:t>145</w:t>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75098pt;margin-top:615.817017pt;width:13.55pt;height:11.95pt;mso-position-horizontal-relative:page;mso-position-vertical-relative:page;z-index:-20938240" type="#_x0000_t202" id="docshape954" filled="false" stroked="false">
          <v:textbox inset="0,0,0,0">
            <w:txbxContent>
              <w:p>
                <w:pPr>
                  <w:spacing w:before="52"/>
                  <w:ind w:left="20" w:right="0" w:firstLine="0"/>
                  <w:jc w:val="left"/>
                  <w:rPr>
                    <w:rFonts w:ascii="Arial"/>
                    <w:sz w:val="14"/>
                  </w:rPr>
                </w:pPr>
                <w:r>
                  <w:rPr>
                    <w:rFonts w:ascii="Arial"/>
                    <w:color w:val="231F20"/>
                    <w:spacing w:val="-5"/>
                    <w:sz w:val="14"/>
                  </w:rPr>
                  <w:t>146</w:t>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021pt;margin-top:615.817017pt;width:12.6pt;height:11.95pt;mso-position-horizontal-relative:page;mso-position-vertical-relative:page;z-index:-20937728" type="#_x0000_t202" id="docshape957" filled="false" stroked="false">
          <v:textbox inset="0,0,0,0">
            <w:txbxContent>
              <w:p>
                <w:pPr>
                  <w:spacing w:before="52"/>
                  <w:ind w:left="20" w:right="0" w:firstLine="0"/>
                  <w:jc w:val="left"/>
                  <w:rPr>
                    <w:rFonts w:ascii="Arial"/>
                    <w:sz w:val="14"/>
                  </w:rPr>
                </w:pPr>
                <w:r>
                  <w:rPr>
                    <w:rFonts w:ascii="Arial"/>
                    <w:color w:val="231F20"/>
                    <w:spacing w:val="-5"/>
                    <w:sz w:val="14"/>
                  </w:rPr>
                  <w:t>147</w:t>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47098pt;margin-top:615.817017pt;width:13.65pt;height:11.95pt;mso-position-horizontal-relative:page;mso-position-vertical-relative:page;z-index:-20937216" type="#_x0000_t202" id="docshape959" filled="false" stroked="false">
          <v:textbox inset="0,0,0,0">
            <w:txbxContent>
              <w:p>
                <w:pPr>
                  <w:spacing w:before="52"/>
                  <w:ind w:left="20" w:right="0" w:firstLine="0"/>
                  <w:jc w:val="left"/>
                  <w:rPr>
                    <w:rFonts w:ascii="Arial"/>
                    <w:sz w:val="14"/>
                  </w:rPr>
                </w:pPr>
                <w:r>
                  <w:rPr>
                    <w:rFonts w:ascii="Arial"/>
                    <w:color w:val="231F20"/>
                    <w:spacing w:val="-5"/>
                    <w:sz w:val="14"/>
                  </w:rPr>
                  <w:t>148</w:t>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44998pt;margin-top:615.817017pt;width:13.3pt;height:11.95pt;mso-position-horizontal-relative:page;mso-position-vertical-relative:page;z-index:-20936704" type="#_x0000_t202" id="docshape961" filled="false" stroked="false">
          <v:textbox inset="0,0,0,0">
            <w:txbxContent>
              <w:p>
                <w:pPr>
                  <w:spacing w:before="52"/>
                  <w:ind w:left="20" w:right="0" w:firstLine="0"/>
                  <w:jc w:val="left"/>
                  <w:rPr>
                    <w:rFonts w:ascii="Arial"/>
                    <w:sz w:val="14"/>
                  </w:rPr>
                </w:pPr>
                <w:r>
                  <w:rPr>
                    <w:rFonts w:ascii="Arial"/>
                    <w:color w:val="231F20"/>
                    <w:spacing w:val="-5"/>
                    <w:sz w:val="14"/>
                  </w:rPr>
                  <w:t>149</w:t>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513596pt;margin-top:615.817017pt;width:13.5pt;height:11.95pt;mso-position-horizontal-relative:page;mso-position-vertical-relative:page;z-index:-20936192" type="#_x0000_t202" id="docshape963" filled="false" stroked="false">
          <v:textbox inset="0,0,0,0">
            <w:txbxContent>
              <w:p>
                <w:pPr>
                  <w:spacing w:before="52"/>
                  <w:ind w:left="20" w:right="0" w:firstLine="0"/>
                  <w:jc w:val="left"/>
                  <w:rPr>
                    <w:rFonts w:ascii="Arial"/>
                    <w:sz w:val="14"/>
                  </w:rPr>
                </w:pPr>
                <w:r>
                  <w:rPr>
                    <w:rFonts w:ascii="Arial"/>
                    <w:color w:val="231F20"/>
                    <w:spacing w:val="-5"/>
                    <w:sz w:val="14"/>
                  </w:rPr>
                  <w:t>150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936996pt;margin-top:615.817017pt;width:5.65pt;height:11.95pt;mso-position-horizontal-relative:page;mso-position-vertical-relative:page;z-index:-21005312" type="#_x0000_t202" id="docshape26" filled="false" stroked="false">
          <v:textbox inset="0,0,0,0">
            <w:txbxContent>
              <w:p>
                <w:pPr>
                  <w:spacing w:before="52"/>
                  <w:ind w:left="20" w:right="0" w:firstLine="0"/>
                  <w:jc w:val="left"/>
                  <w:rPr>
                    <w:rFonts w:ascii="Arial"/>
                    <w:sz w:val="14"/>
                  </w:rPr>
                </w:pPr>
                <w:r>
                  <w:rPr>
                    <w:rFonts w:ascii="Arial"/>
                    <w:color w:val="231F20"/>
                    <w:w w:val="93"/>
                    <w:sz w:val="14"/>
                  </w:rPr>
                  <w:t>7</w:t>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955093pt;margin-top:615.817017pt;width:11.55pt;height:11.95pt;mso-position-horizontal-relative:page;mso-position-vertical-relative:page;z-index:-20935680" type="#_x0000_t202" id="docshape964" filled="false" stroked="false">
          <v:textbox inset="0,0,0,0">
            <w:txbxContent>
              <w:p>
                <w:pPr>
                  <w:spacing w:before="52"/>
                  <w:ind w:left="20" w:right="0" w:firstLine="0"/>
                  <w:jc w:val="left"/>
                  <w:rPr>
                    <w:rFonts w:ascii="Arial"/>
                    <w:sz w:val="14"/>
                  </w:rPr>
                </w:pPr>
                <w:r>
                  <w:rPr>
                    <w:rFonts w:ascii="Arial"/>
                    <w:color w:val="231F20"/>
                    <w:spacing w:val="-5"/>
                    <w:w w:val="90"/>
                    <w:sz w:val="14"/>
                  </w:rPr>
                  <w:t>151</w:t>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965103pt;margin-top:615.817017pt;width:12.6pt;height:11.95pt;mso-position-horizontal-relative:page;mso-position-vertical-relative:page;z-index:-20935168" type="#_x0000_t202" id="docshape968" filled="false" stroked="false">
          <v:textbox inset="0,0,0,0">
            <w:txbxContent>
              <w:p>
                <w:pPr>
                  <w:spacing w:before="52"/>
                  <w:ind w:left="20" w:right="0" w:firstLine="0"/>
                  <w:jc w:val="left"/>
                  <w:rPr>
                    <w:rFonts w:ascii="Arial"/>
                    <w:sz w:val="14"/>
                  </w:rPr>
                </w:pPr>
                <w:r>
                  <w:rPr>
                    <w:rFonts w:ascii="Arial"/>
                    <w:color w:val="231F20"/>
                    <w:spacing w:val="-5"/>
                    <w:w w:val="95"/>
                    <w:sz w:val="14"/>
                  </w:rPr>
                  <w:t>152</w:t>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93103pt;margin-top:615.817017pt;width:12.55pt;height:11.95pt;mso-position-horizontal-relative:page;mso-position-vertical-relative:page;z-index:-20934656" type="#_x0000_t202" id="docshape970" filled="false" stroked="false">
          <v:textbox inset="0,0,0,0">
            <w:txbxContent>
              <w:p>
                <w:pPr>
                  <w:spacing w:before="52"/>
                  <w:ind w:left="20" w:right="0" w:firstLine="0"/>
                  <w:jc w:val="left"/>
                  <w:rPr>
                    <w:rFonts w:ascii="Arial"/>
                    <w:sz w:val="14"/>
                  </w:rPr>
                </w:pPr>
                <w:r>
                  <w:rPr>
                    <w:rFonts w:ascii="Arial"/>
                    <w:color w:val="231F20"/>
                    <w:spacing w:val="-5"/>
                    <w:w w:val="95"/>
                    <w:sz w:val="14"/>
                  </w:rPr>
                  <w:t>153</w:t>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65594pt;margin-top:615.817017pt;width:13pt;height:11.95pt;mso-position-horizontal-relative:page;mso-position-vertical-relative:page;z-index:-20934144" type="#_x0000_t202" id="docshape972" filled="false" stroked="false">
          <v:textbox inset="0,0,0,0">
            <w:txbxContent>
              <w:p>
                <w:pPr>
                  <w:spacing w:before="52"/>
                  <w:ind w:left="20" w:right="0" w:firstLine="0"/>
                  <w:jc w:val="left"/>
                  <w:rPr>
                    <w:rFonts w:ascii="Arial"/>
                    <w:sz w:val="14"/>
                  </w:rPr>
                </w:pPr>
                <w:r>
                  <w:rPr>
                    <w:rFonts w:ascii="Arial"/>
                    <w:color w:val="231F20"/>
                    <w:spacing w:val="-5"/>
                    <w:sz w:val="14"/>
                  </w:rPr>
                  <w:t>154</w:t>
                </w:r>
              </w:p>
            </w:txbxContent>
          </v:textbox>
          <w10:wrap type="none"/>
        </v:shape>
      </w:pict>
    </w: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89594pt;margin-top:615.817017pt;width:12.55pt;height:11.95pt;mso-position-horizontal-relative:page;mso-position-vertical-relative:page;z-index:-20933632" type="#_x0000_t202" id="docshape974" filled="false" stroked="false">
          <v:textbox inset="0,0,0,0">
            <w:txbxContent>
              <w:p>
                <w:pPr>
                  <w:spacing w:before="52"/>
                  <w:ind w:left="20" w:right="0" w:firstLine="0"/>
                  <w:jc w:val="left"/>
                  <w:rPr>
                    <w:rFonts w:ascii="Arial"/>
                    <w:sz w:val="14"/>
                  </w:rPr>
                </w:pPr>
                <w:r>
                  <w:rPr>
                    <w:rFonts w:ascii="Arial"/>
                    <w:color w:val="231F20"/>
                    <w:spacing w:val="-5"/>
                    <w:w w:val="95"/>
                    <w:sz w:val="14"/>
                  </w:rPr>
                  <w:t>155</w:t>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99097pt;margin-top:615.817017pt;width:13.15pt;height:11.95pt;mso-position-horizontal-relative:page;mso-position-vertical-relative:page;z-index:-20933120" type="#_x0000_t202" id="docshape979" filled="false" stroked="false">
          <v:textbox inset="0,0,0,0">
            <w:txbxContent>
              <w:p>
                <w:pPr>
                  <w:spacing w:before="52"/>
                  <w:ind w:left="20" w:right="0" w:firstLine="0"/>
                  <w:jc w:val="left"/>
                  <w:rPr>
                    <w:rFonts w:ascii="Arial"/>
                    <w:sz w:val="14"/>
                  </w:rPr>
                </w:pPr>
                <w:r>
                  <w:rPr>
                    <w:rFonts w:ascii="Arial"/>
                    <w:color w:val="231F20"/>
                    <w:spacing w:val="-5"/>
                    <w:sz w:val="14"/>
                  </w:rPr>
                  <w:t>156</w:t>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08597pt;margin-top:615.817017pt;width:12.25pt;height:11.95pt;mso-position-horizontal-relative:page;mso-position-vertical-relative:page;z-index:-20932608" type="#_x0000_t202" id="docshape989" filled="false" stroked="false">
          <v:textbox inset="0,0,0,0">
            <w:txbxContent>
              <w:p>
                <w:pPr>
                  <w:spacing w:before="52"/>
                  <w:ind w:left="20" w:right="0" w:firstLine="0"/>
                  <w:jc w:val="left"/>
                  <w:rPr>
                    <w:rFonts w:ascii="Arial"/>
                    <w:sz w:val="14"/>
                  </w:rPr>
                </w:pPr>
                <w:r>
                  <w:rPr>
                    <w:rFonts w:ascii="Arial"/>
                    <w:color w:val="231F20"/>
                    <w:spacing w:val="-5"/>
                    <w:w w:val="95"/>
                    <w:sz w:val="14"/>
                  </w:rPr>
                  <w:t>157</w:t>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71097pt;margin-top:615.817017pt;width:13.2pt;height:11.95pt;mso-position-horizontal-relative:page;mso-position-vertical-relative:page;z-index:-20932096" type="#_x0000_t202" id="docshape991" filled="false" stroked="false">
          <v:textbox inset="0,0,0,0">
            <w:txbxContent>
              <w:p>
                <w:pPr>
                  <w:spacing w:before="52"/>
                  <w:ind w:left="20" w:right="0" w:firstLine="0"/>
                  <w:jc w:val="left"/>
                  <w:rPr>
                    <w:rFonts w:ascii="Arial"/>
                    <w:sz w:val="14"/>
                  </w:rPr>
                </w:pPr>
                <w:r>
                  <w:rPr>
                    <w:rFonts w:ascii="Arial"/>
                    <w:color w:val="231F20"/>
                    <w:spacing w:val="-5"/>
                    <w:sz w:val="14"/>
                  </w:rPr>
                  <w:t>158</w:t>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51602pt;margin-top:615.817017pt;width:12.9pt;height:11.95pt;mso-position-horizontal-relative:page;mso-position-vertical-relative:page;z-index:-20931584" type="#_x0000_t202" id="docshape993" filled="false" stroked="false">
          <v:textbox inset="0,0,0,0">
            <w:txbxContent>
              <w:p>
                <w:pPr>
                  <w:spacing w:before="52"/>
                  <w:ind w:left="20" w:right="0" w:firstLine="0"/>
                  <w:jc w:val="left"/>
                  <w:rPr>
                    <w:rFonts w:ascii="Arial"/>
                    <w:sz w:val="14"/>
                  </w:rPr>
                </w:pPr>
                <w:r>
                  <w:rPr>
                    <w:rFonts w:ascii="Arial"/>
                    <w:color w:val="231F20"/>
                    <w:spacing w:val="-5"/>
                    <w:sz w:val="14"/>
                  </w:rPr>
                  <w:t>159</w:t>
                </w:r>
              </w:p>
            </w:txbxContent>
          </v:textbox>
          <w10:wrap type="none"/>
        </v:shape>
      </w:pic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23099pt;margin-top:615.817017pt;width:14.1pt;height:11.95pt;mso-position-horizontal-relative:page;mso-position-vertical-relative:page;z-index:-20931072" type="#_x0000_t202" id="docshape994" filled="false" stroked="false">
          <v:textbox inset="0,0,0,0">
            <w:txbxContent>
              <w:p>
                <w:pPr>
                  <w:spacing w:before="52"/>
                  <w:ind w:left="20" w:right="0" w:firstLine="0"/>
                  <w:jc w:val="left"/>
                  <w:rPr>
                    <w:rFonts w:ascii="Arial"/>
                    <w:sz w:val="14"/>
                  </w:rPr>
                </w:pPr>
                <w:r>
                  <w:rPr>
                    <w:rFonts w:ascii="Arial"/>
                    <w:color w:val="231F20"/>
                    <w:spacing w:val="-5"/>
                    <w:w w:val="105"/>
                    <w:sz w:val="14"/>
                  </w:rPr>
                  <w:t>160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0345pt;margin-top:615.817017pt;width:6.45pt;height:11.95pt;mso-position-horizontal-relative:page;mso-position-vertical-relative:page;z-index:-21004800" type="#_x0000_t202" id="docshape27" filled="false" stroked="false">
          <v:textbox inset="0,0,0,0">
            <w:txbxContent>
              <w:p>
                <w:pPr>
                  <w:spacing w:before="52"/>
                  <w:ind w:left="20" w:right="0" w:firstLine="0"/>
                  <w:jc w:val="left"/>
                  <w:rPr>
                    <w:rFonts w:ascii="Arial"/>
                    <w:sz w:val="14"/>
                  </w:rPr>
                </w:pPr>
                <w:r>
                  <w:rPr>
                    <w:rFonts w:ascii="Arial"/>
                    <w:color w:val="231F20"/>
                    <w:w w:val="113"/>
                    <w:sz w:val="14"/>
                  </w:rPr>
                  <w:t>8</w:t>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716995pt;margin-top:615.817017pt;width:11.9pt;height:11.95pt;mso-position-horizontal-relative:page;mso-position-vertical-relative:page;z-index:-20930560" type="#_x0000_t202" id="docshape996" filled="false" stroked="false">
          <v:textbox inset="0,0,0,0">
            <w:txbxContent>
              <w:p>
                <w:pPr>
                  <w:spacing w:before="52"/>
                  <w:ind w:left="20" w:right="0" w:firstLine="0"/>
                  <w:jc w:val="left"/>
                  <w:rPr>
                    <w:rFonts w:ascii="Arial"/>
                    <w:sz w:val="14"/>
                  </w:rPr>
                </w:pPr>
                <w:r>
                  <w:rPr>
                    <w:rFonts w:ascii="Arial"/>
                    <w:color w:val="231F20"/>
                    <w:spacing w:val="-6"/>
                    <w:w w:val="95"/>
                    <w:sz w:val="14"/>
                  </w:rPr>
                  <w:t>161</w:t>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09503pt;margin-top:615.817017pt;width:13.05pt;height:11.95pt;mso-position-horizontal-relative:page;mso-position-vertical-relative:page;z-index:-20930048" type="#_x0000_t202" id="docshape1000" filled="false" stroked="false">
          <v:textbox inset="0,0,0,0">
            <w:txbxContent>
              <w:p>
                <w:pPr>
                  <w:spacing w:before="52"/>
                  <w:ind w:left="20" w:right="0" w:firstLine="0"/>
                  <w:jc w:val="left"/>
                  <w:rPr>
                    <w:rFonts w:ascii="Arial"/>
                    <w:sz w:val="14"/>
                  </w:rPr>
                </w:pPr>
                <w:r>
                  <w:rPr>
                    <w:rFonts w:ascii="Arial"/>
                    <w:color w:val="231F20"/>
                    <w:spacing w:val="-5"/>
                    <w:sz w:val="14"/>
                  </w:rPr>
                  <w:t>162</w:t>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02606pt;margin-top:615.817017pt;width:13.1pt;height:11.95pt;mso-position-horizontal-relative:page;mso-position-vertical-relative:page;z-index:-20929536" type="#_x0000_t202" id="docshape1002" filled="false" stroked="false">
          <v:textbox inset="0,0,0,0">
            <w:txbxContent>
              <w:p>
                <w:pPr>
                  <w:spacing w:before="52"/>
                  <w:ind w:left="20" w:right="0" w:firstLine="0"/>
                  <w:jc w:val="left"/>
                  <w:rPr>
                    <w:rFonts w:ascii="Arial"/>
                    <w:sz w:val="14"/>
                  </w:rPr>
                </w:pPr>
                <w:r>
                  <w:rPr>
                    <w:rFonts w:ascii="Arial"/>
                    <w:color w:val="231F20"/>
                    <w:spacing w:val="-5"/>
                    <w:sz w:val="14"/>
                  </w:rPr>
                  <w:t>163</w:t>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75098pt;margin-top:615.817017pt;width:13.55pt;height:11.95pt;mso-position-horizontal-relative:page;mso-position-vertical-relative:page;z-index:-20929024" type="#_x0000_t202" id="docshape1004" filled="false" stroked="false">
          <v:textbox inset="0,0,0,0">
            <w:txbxContent>
              <w:p>
                <w:pPr>
                  <w:spacing w:before="52"/>
                  <w:ind w:left="20" w:right="0" w:firstLine="0"/>
                  <w:jc w:val="left"/>
                  <w:rPr>
                    <w:rFonts w:ascii="Arial"/>
                    <w:sz w:val="14"/>
                  </w:rPr>
                </w:pPr>
                <w:r>
                  <w:rPr>
                    <w:rFonts w:ascii="Arial"/>
                    <w:color w:val="231F20"/>
                    <w:spacing w:val="-5"/>
                    <w:sz w:val="14"/>
                  </w:rPr>
                  <w:t>164</w:t>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99097pt;margin-top:615.817017pt;width:13.15pt;height:11.95pt;mso-position-horizontal-relative:page;mso-position-vertical-relative:page;z-index:-20928512" type="#_x0000_t202" id="docshape1006" filled="false" stroked="false">
          <v:textbox inset="0,0,0,0">
            <w:txbxContent>
              <w:p>
                <w:pPr>
                  <w:spacing w:before="52"/>
                  <w:ind w:left="20" w:right="0" w:firstLine="0"/>
                  <w:jc w:val="left"/>
                  <w:rPr>
                    <w:rFonts w:ascii="Arial"/>
                    <w:sz w:val="14"/>
                  </w:rPr>
                </w:pPr>
                <w:r>
                  <w:rPr>
                    <w:rFonts w:ascii="Arial"/>
                    <w:color w:val="231F20"/>
                    <w:spacing w:val="-5"/>
                    <w:sz w:val="14"/>
                  </w:rPr>
                  <w:t>165</w:t>
                </w:r>
              </w:p>
            </w:txbxContent>
          </v:textbox>
          <w10:wrap type="none"/>
        </v:shape>
      </w:pic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08493pt;margin-top:615.817017pt;width:13.7pt;height:11.95pt;mso-position-horizontal-relative:page;mso-position-vertical-relative:page;z-index:-20928000" type="#_x0000_t202" id="docshape1007" filled="false" stroked="false">
          <v:textbox inset="0,0,0,0">
            <w:txbxContent>
              <w:p>
                <w:pPr>
                  <w:spacing w:before="52"/>
                  <w:ind w:left="20" w:right="0" w:firstLine="0"/>
                  <w:jc w:val="left"/>
                  <w:rPr>
                    <w:rFonts w:ascii="Arial"/>
                    <w:sz w:val="14"/>
                  </w:rPr>
                </w:pPr>
                <w:r>
                  <w:rPr>
                    <w:rFonts w:ascii="Arial"/>
                    <w:color w:val="231F20"/>
                    <w:spacing w:val="-5"/>
                    <w:sz w:val="14"/>
                  </w:rPr>
                  <w:t>166</w:t>
                </w:r>
              </w:p>
            </w:txbxContent>
          </v:textbox>
          <w10:wrap type="none"/>
        </v:shape>
      </w:pict>
    </w: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335602pt;margin-top:615.817017pt;width:12.75pt;height:11.95pt;mso-position-horizontal-relative:page;mso-position-vertical-relative:page;z-index:-20927488" type="#_x0000_t202" id="docshape1010" filled="false" stroked="false">
          <v:textbox inset="0,0,0,0">
            <w:txbxContent>
              <w:p>
                <w:pPr>
                  <w:spacing w:before="52"/>
                  <w:ind w:left="20" w:right="0" w:firstLine="0"/>
                  <w:jc w:val="left"/>
                  <w:rPr>
                    <w:rFonts w:ascii="Arial"/>
                    <w:sz w:val="14"/>
                  </w:rPr>
                </w:pPr>
                <w:r>
                  <w:rPr>
                    <w:rFonts w:ascii="Arial"/>
                    <w:color w:val="231F20"/>
                    <w:spacing w:val="-5"/>
                    <w:sz w:val="14"/>
                  </w:rPr>
                  <w:t>167</w:t>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38060pt;margin-top:615.817017pt;width:13.75pt;height:11.95pt;mso-position-horizontal-relative:page;mso-position-vertical-relative:page;z-index:-20926976" type="#_x0000_t202" id="docshape1011" filled="false" stroked="false">
          <v:textbox inset="0,0,0,0">
            <w:txbxContent>
              <w:p>
                <w:pPr>
                  <w:spacing w:before="52"/>
                  <w:ind w:left="20" w:right="0" w:firstLine="0"/>
                  <w:jc w:val="left"/>
                  <w:rPr>
                    <w:rFonts w:ascii="Arial"/>
                    <w:sz w:val="14"/>
                  </w:rPr>
                </w:pPr>
                <w:r>
                  <w:rPr>
                    <w:rFonts w:ascii="Arial"/>
                    <w:color w:val="231F20"/>
                    <w:spacing w:val="-5"/>
                    <w:sz w:val="14"/>
                  </w:rPr>
                  <w:t>168</w:t>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9785pt;margin-top:615.817017pt;width:13.45pt;height:11.95pt;mso-position-horizontal-relative:page;mso-position-vertical-relative:page;z-index:-20926464" type="#_x0000_t202" id="docshape1012" filled="false" stroked="false">
          <v:textbox inset="0,0,0,0">
            <w:txbxContent>
              <w:p>
                <w:pPr>
                  <w:spacing w:before="52"/>
                  <w:ind w:left="20" w:right="0" w:firstLine="0"/>
                  <w:jc w:val="left"/>
                  <w:rPr>
                    <w:rFonts w:ascii="Arial"/>
                    <w:sz w:val="14"/>
                  </w:rPr>
                </w:pPr>
                <w:r>
                  <w:rPr>
                    <w:rFonts w:ascii="Arial"/>
                    <w:color w:val="231F20"/>
                    <w:spacing w:val="-5"/>
                    <w:sz w:val="14"/>
                  </w:rPr>
                  <w:t>169</w:t>
                </w:r>
              </w:p>
            </w:txbxContent>
          </v:textbox>
          <w10:wrap type="none"/>
        </v:shape>
      </w:pict>
    </w: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5625pt;margin-top:615.817017pt;width:6.4pt;height:11.95pt;mso-position-horizontal-relative:page;mso-position-vertical-relative:page;z-index:-21004288" type="#_x0000_t202" id="docshape28" filled="false" stroked="false">
          <v:textbox inset="0,0,0,0">
            <w:txbxContent>
              <w:p>
                <w:pPr>
                  <w:spacing w:before="52"/>
                  <w:ind w:left="20" w:right="0" w:firstLine="0"/>
                  <w:jc w:val="left"/>
                  <w:rPr>
                    <w:rFonts w:ascii="Arial"/>
                    <w:sz w:val="14"/>
                  </w:rPr>
                </w:pPr>
                <w:r>
                  <w:rPr>
                    <w:rFonts w:ascii="Arial"/>
                    <w:color w:val="231F20"/>
                    <w:w w:val="112"/>
                    <w:sz w:val="14"/>
                  </w:rPr>
                  <w:t>9</w:t>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049103pt;margin-top:615.817017pt;width:12.45pt;height:11.95pt;mso-position-horizontal-relative:page;mso-position-vertical-relative:page;z-index:-20925952" type="#_x0000_t202" id="docshape1015" filled="false" stroked="false">
          <v:textbox inset="0,0,0,0">
            <w:txbxContent>
              <w:p>
                <w:pPr>
                  <w:spacing w:before="52"/>
                  <w:ind w:left="20" w:right="0" w:firstLine="0"/>
                  <w:jc w:val="left"/>
                  <w:rPr>
                    <w:rFonts w:ascii="Arial"/>
                    <w:sz w:val="14"/>
                  </w:rPr>
                </w:pPr>
                <w:r>
                  <w:rPr>
                    <w:rFonts w:ascii="Arial"/>
                    <w:color w:val="231F20"/>
                    <w:spacing w:val="-5"/>
                    <w:w w:val="95"/>
                    <w:sz w:val="14"/>
                  </w:rPr>
                  <w:t>172</w:t>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577103pt;margin-top:615.817017pt;width:12.35pt;height:11.95pt;mso-position-horizontal-relative:page;mso-position-vertical-relative:page;z-index:-20925440" type="#_x0000_t202" id="docshape1017" filled="false" stroked="false">
          <v:textbox inset="0,0,0,0">
            <w:txbxContent>
              <w:p>
                <w:pPr>
                  <w:spacing w:before="52"/>
                  <w:ind w:left="20" w:right="0" w:firstLine="0"/>
                  <w:jc w:val="left"/>
                  <w:rPr>
                    <w:rFonts w:ascii="Arial"/>
                    <w:sz w:val="14"/>
                  </w:rPr>
                </w:pPr>
                <w:r>
                  <w:rPr>
                    <w:rFonts w:ascii="Arial"/>
                    <w:color w:val="231F20"/>
                    <w:spacing w:val="-5"/>
                    <w:w w:val="95"/>
                    <w:sz w:val="14"/>
                  </w:rPr>
                  <w:t>173</w:t>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937103pt;margin-top:615.817017pt;width:12.5pt;height:11.95pt;mso-position-horizontal-relative:page;mso-position-vertical-relative:page;z-index:-20924928" type="#_x0000_t202" id="docshape1018" filled="false" stroked="false">
          <v:textbox inset="0,0,0,0">
            <w:txbxContent>
              <w:p>
                <w:pPr>
                  <w:spacing w:before="52"/>
                  <w:ind w:left="20" w:right="0" w:firstLine="0"/>
                  <w:jc w:val="left"/>
                  <w:rPr>
                    <w:rFonts w:ascii="Arial"/>
                    <w:sz w:val="14"/>
                  </w:rPr>
                </w:pPr>
                <w:r>
                  <w:rPr>
                    <w:rFonts w:ascii="Arial"/>
                    <w:color w:val="231F20"/>
                    <w:spacing w:val="-6"/>
                    <w:sz w:val="14"/>
                  </w:rPr>
                  <w:t>174</w:t>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573593pt;margin-top:615.817017pt;width:12.4pt;height:11.95pt;mso-position-horizontal-relative:page;mso-position-vertical-relative:page;z-index:-20924416" type="#_x0000_t202" id="docshape1020" filled="false" stroked="false">
          <v:textbox inset="0,0,0,0">
            <w:txbxContent>
              <w:p>
                <w:pPr>
                  <w:spacing w:before="52"/>
                  <w:ind w:left="20" w:right="0" w:firstLine="0"/>
                  <w:jc w:val="left"/>
                  <w:rPr>
                    <w:rFonts w:ascii="Arial"/>
                    <w:sz w:val="14"/>
                  </w:rPr>
                </w:pPr>
                <w:r>
                  <w:rPr>
                    <w:rFonts w:ascii="Arial"/>
                    <w:color w:val="231F20"/>
                    <w:spacing w:val="-5"/>
                    <w:w w:val="95"/>
                    <w:sz w:val="14"/>
                  </w:rPr>
                  <w:t>175</w:t>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81810pt;margin-top:615.817017pt;width:12.8pt;height:11.95pt;mso-position-horizontal-relative:page;mso-position-vertical-relative:page;z-index:-20923904" type="#_x0000_t202" id="docshape1021" filled="false" stroked="false">
          <v:textbox inset="0,0,0,0">
            <w:txbxContent>
              <w:p>
                <w:pPr>
                  <w:spacing w:before="52"/>
                  <w:ind w:left="20" w:right="0" w:firstLine="0"/>
                  <w:jc w:val="left"/>
                  <w:rPr>
                    <w:rFonts w:ascii="Arial"/>
                    <w:sz w:val="14"/>
                  </w:rPr>
                </w:pPr>
                <w:r>
                  <w:rPr>
                    <w:rFonts w:ascii="Arial"/>
                    <w:color w:val="231F20"/>
                    <w:spacing w:val="-5"/>
                    <w:sz w:val="14"/>
                  </w:rPr>
                  <w:t>176</w:t>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22604pt;margin-top:615.817017pt;width:12.3pt;height:11.95pt;mso-position-horizontal-relative:page;mso-position-vertical-relative:page;z-index:-20923392" type="#_x0000_t202" id="docshape1025" filled="false" stroked="false">
          <v:textbox inset="0,0,0,0">
            <w:txbxContent>
              <w:p>
                <w:pPr>
                  <w:spacing w:before="52"/>
                  <w:ind w:left="20" w:right="0" w:firstLine="0"/>
                  <w:jc w:val="left"/>
                  <w:rPr>
                    <w:rFonts w:ascii="Arial"/>
                    <w:sz w:val="14"/>
                  </w:rPr>
                </w:pPr>
                <w:r>
                  <w:rPr>
                    <w:rFonts w:ascii="Arial"/>
                    <w:color w:val="231F20"/>
                    <w:spacing w:val="-5"/>
                    <w:w w:val="95"/>
                    <w:sz w:val="14"/>
                  </w:rPr>
                  <w:t>177</w:t>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55096pt;margin-top:615.817017pt;width:13pt;height:11.95pt;mso-position-horizontal-relative:page;mso-position-vertical-relative:page;z-index:-20922880" type="#_x0000_t202" id="docshape1034" filled="false" stroked="false">
          <v:textbox inset="0,0,0,0">
            <w:txbxContent>
              <w:p>
                <w:pPr>
                  <w:spacing w:before="52"/>
                  <w:ind w:left="20" w:right="0" w:firstLine="0"/>
                  <w:jc w:val="left"/>
                  <w:rPr>
                    <w:rFonts w:ascii="Arial"/>
                    <w:sz w:val="14"/>
                  </w:rPr>
                </w:pPr>
                <w:r>
                  <w:rPr>
                    <w:rFonts w:ascii="Arial"/>
                    <w:color w:val="231F20"/>
                    <w:spacing w:val="-5"/>
                    <w:sz w:val="14"/>
                  </w:rPr>
                  <w:t>178</w:t>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83096pt;margin-top:615.817017pt;width:12.95pt;height:11.95pt;mso-position-horizontal-relative:page;mso-position-vertical-relative:page;z-index:-20922368" type="#_x0000_t202" id="docshape1036" filled="false" stroked="false">
          <v:textbox inset="0,0,0,0">
            <w:txbxContent>
              <w:p>
                <w:pPr>
                  <w:spacing w:before="52"/>
                  <w:ind w:left="20" w:right="0" w:firstLine="0"/>
                  <w:jc w:val="left"/>
                  <w:rPr>
                    <w:rFonts w:ascii="Arial"/>
                    <w:sz w:val="14"/>
                  </w:rPr>
                </w:pPr>
                <w:r>
                  <w:rPr>
                    <w:rFonts w:ascii="Arial"/>
                    <w:color w:val="231F20"/>
                    <w:spacing w:val="-5"/>
                    <w:sz w:val="14"/>
                  </w:rPr>
                  <w:t>179</w:t>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195099pt;margin-top:615.817017pt;width:14.15pt;height:11.95pt;mso-position-horizontal-relative:page;mso-position-vertical-relative:page;z-index:-20921856" type="#_x0000_t202" id="docshape1038" filled="false" stroked="false">
          <v:textbox inset="0,0,0,0">
            <w:txbxContent>
              <w:p>
                <w:pPr>
                  <w:spacing w:before="52"/>
                  <w:ind w:left="20" w:right="0" w:firstLine="0"/>
                  <w:jc w:val="left"/>
                  <w:rPr>
                    <w:rFonts w:ascii="Arial"/>
                    <w:sz w:val="14"/>
                  </w:rPr>
                </w:pPr>
                <w:r>
                  <w:rPr>
                    <w:rFonts w:ascii="Arial"/>
                    <w:color w:val="231F20"/>
                    <w:spacing w:val="-5"/>
                    <w:w w:val="105"/>
                    <w:sz w:val="14"/>
                  </w:rPr>
                  <w:t>180</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410599pt;margin-top:615.817017pt;width:9.7pt;height:11.95pt;mso-position-horizontal-relative:page;mso-position-vertical-relative:page;z-index:-21003776" type="#_x0000_t202" id="docshape29" filled="false" stroked="false">
          <v:textbox inset="0,0,0,0">
            <w:txbxContent>
              <w:p>
                <w:pPr>
                  <w:spacing w:before="52"/>
                  <w:ind w:left="20" w:right="0" w:firstLine="0"/>
                  <w:jc w:val="left"/>
                  <w:rPr>
                    <w:rFonts w:ascii="Arial"/>
                    <w:sz w:val="14"/>
                  </w:rPr>
                </w:pPr>
                <w:r>
                  <w:rPr>
                    <w:rFonts w:ascii="Arial"/>
                    <w:color w:val="231F20"/>
                    <w:spacing w:val="-5"/>
                    <w:sz w:val="14"/>
                  </w:rPr>
                  <w:t>10</w:t>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36597pt;margin-top:615.817017pt;width:12.2pt;height:11.95pt;mso-position-horizontal-relative:page;mso-position-vertical-relative:page;z-index:-20921344" type="#_x0000_t202" id="docshape1043" filled="false" stroked="false">
          <v:textbox inset="0,0,0,0">
            <w:txbxContent>
              <w:p>
                <w:pPr>
                  <w:spacing w:before="52"/>
                  <w:ind w:left="20" w:right="0" w:firstLine="0"/>
                  <w:jc w:val="left"/>
                  <w:rPr>
                    <w:rFonts w:ascii="Arial"/>
                    <w:sz w:val="14"/>
                  </w:rPr>
                </w:pPr>
                <w:r>
                  <w:rPr>
                    <w:rFonts w:ascii="Arial"/>
                    <w:color w:val="231F20"/>
                    <w:spacing w:val="-5"/>
                    <w:w w:val="95"/>
                    <w:sz w:val="14"/>
                  </w:rPr>
                  <w:t>181</w:t>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81503pt;margin-top:615.817017pt;width:13.1pt;height:11.95pt;mso-position-horizontal-relative:page;mso-position-vertical-relative:page;z-index:-20920832" type="#_x0000_t202" id="docshape1045" filled="false" stroked="false">
          <v:textbox inset="0,0,0,0">
            <w:txbxContent>
              <w:p>
                <w:pPr>
                  <w:spacing w:before="52"/>
                  <w:ind w:left="20" w:right="0" w:firstLine="0"/>
                  <w:jc w:val="left"/>
                  <w:rPr>
                    <w:rFonts w:ascii="Arial"/>
                    <w:sz w:val="14"/>
                  </w:rPr>
                </w:pPr>
                <w:r>
                  <w:rPr>
                    <w:rFonts w:ascii="Arial"/>
                    <w:color w:val="231F20"/>
                    <w:spacing w:val="-5"/>
                    <w:sz w:val="14"/>
                  </w:rPr>
                  <w:t>182</w:t>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74606pt;margin-top:615.817017pt;width:13.2pt;height:11.95pt;mso-position-horizontal-relative:page;mso-position-vertical-relative:page;z-index:-20920320" type="#_x0000_t202" id="docshape1046" filled="false" stroked="false">
          <v:textbox inset="0,0,0,0">
            <w:txbxContent>
              <w:p>
                <w:pPr>
                  <w:spacing w:before="52"/>
                  <w:ind w:left="20" w:right="0" w:firstLine="0"/>
                  <w:jc w:val="left"/>
                  <w:rPr>
                    <w:rFonts w:ascii="Arial"/>
                    <w:sz w:val="14"/>
                  </w:rPr>
                </w:pPr>
                <w:r>
                  <w:rPr>
                    <w:rFonts w:ascii="Arial"/>
                    <w:color w:val="231F20"/>
                    <w:spacing w:val="-5"/>
                    <w:sz w:val="14"/>
                  </w:rPr>
                  <w:t>183</w:t>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47098pt;margin-top:615.817017pt;width:13.65pt;height:11.95pt;mso-position-horizontal-relative:page;mso-position-vertical-relative:page;z-index:-20919808" type="#_x0000_t202" id="docshape1051" filled="false" stroked="false">
          <v:textbox inset="0,0,0,0">
            <w:txbxContent>
              <w:p>
                <w:pPr>
                  <w:spacing w:before="52"/>
                  <w:ind w:left="20" w:right="0" w:firstLine="0"/>
                  <w:jc w:val="left"/>
                  <w:rPr>
                    <w:rFonts w:ascii="Arial"/>
                    <w:sz w:val="14"/>
                  </w:rPr>
                </w:pPr>
                <w:r>
                  <w:rPr>
                    <w:rFonts w:ascii="Arial"/>
                    <w:color w:val="231F20"/>
                    <w:spacing w:val="-5"/>
                    <w:sz w:val="14"/>
                  </w:rPr>
                  <w:t>184</w:t>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71097pt;margin-top:615.817017pt;width:13.2pt;height:11.95pt;mso-position-horizontal-relative:page;mso-position-vertical-relative:page;z-index:-20919296" type="#_x0000_t202" id="docshape1052" filled="false" stroked="false">
          <v:textbox inset="0,0,0,0">
            <w:txbxContent>
              <w:p>
                <w:pPr>
                  <w:spacing w:before="52"/>
                  <w:ind w:left="20" w:right="0" w:firstLine="0"/>
                  <w:jc w:val="left"/>
                  <w:rPr>
                    <w:rFonts w:ascii="Arial"/>
                    <w:sz w:val="14"/>
                  </w:rPr>
                </w:pPr>
                <w:r>
                  <w:rPr>
                    <w:rFonts w:ascii="Arial"/>
                    <w:color w:val="231F20"/>
                    <w:spacing w:val="-5"/>
                    <w:sz w:val="14"/>
                  </w:rPr>
                  <w:t>185</w:t>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38060pt;margin-top:615.817017pt;width:13.75pt;height:11.95pt;mso-position-horizontal-relative:page;mso-position-vertical-relative:page;z-index:-20918784" type="#_x0000_t202" id="docshape1056" filled="false" stroked="false">
          <v:textbox inset="0,0,0,0">
            <w:txbxContent>
              <w:p>
                <w:pPr>
                  <w:spacing w:before="52"/>
                  <w:ind w:left="20" w:right="0" w:firstLine="0"/>
                  <w:jc w:val="left"/>
                  <w:rPr>
                    <w:rFonts w:ascii="Arial"/>
                    <w:sz w:val="14"/>
                  </w:rPr>
                </w:pPr>
                <w:r>
                  <w:rPr>
                    <w:rFonts w:ascii="Arial"/>
                    <w:color w:val="231F20"/>
                    <w:spacing w:val="-5"/>
                    <w:sz w:val="14"/>
                  </w:rPr>
                  <w:t>186</w:t>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324997pt;margin-top:615.817017pt;width:12.75pt;height:11.95pt;mso-position-horizontal-relative:page;mso-position-vertical-relative:page;z-index:-20918272" type="#_x0000_t202" id="docshape1058" filled="false" stroked="false">
          <v:textbox inset="0,0,0,0">
            <w:txbxContent>
              <w:p>
                <w:pPr>
                  <w:spacing w:before="52"/>
                  <w:ind w:left="20" w:right="0" w:firstLine="0"/>
                  <w:jc w:val="left"/>
                  <w:rPr>
                    <w:rFonts w:ascii="Arial"/>
                    <w:sz w:val="14"/>
                  </w:rPr>
                </w:pPr>
                <w:r>
                  <w:rPr>
                    <w:rFonts w:ascii="Arial"/>
                    <w:color w:val="231F20"/>
                    <w:spacing w:val="-5"/>
                    <w:sz w:val="14"/>
                  </w:rPr>
                  <w:t>187</w:t>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3526pt;margin-top:615.817017pt;width:13.8pt;height:11.95pt;mso-position-horizontal-relative:page;mso-position-vertical-relative:page;z-index:-20917760" type="#_x0000_t202" id="docshape1060" filled="false" stroked="false">
          <v:textbox inset="0,0,0,0">
            <w:txbxContent>
              <w:p>
                <w:pPr>
                  <w:spacing w:before="52"/>
                  <w:ind w:left="20" w:right="0" w:firstLine="0"/>
                  <w:jc w:val="left"/>
                  <w:rPr>
                    <w:rFonts w:ascii="Arial"/>
                    <w:sz w:val="14"/>
                  </w:rPr>
                </w:pPr>
                <w:r>
                  <w:rPr>
                    <w:rFonts w:ascii="Arial"/>
                    <w:color w:val="231F20"/>
                    <w:spacing w:val="-5"/>
                    <w:sz w:val="14"/>
                  </w:rPr>
                  <w:t>188</w:t>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915497pt;margin-top:615.817017pt;width:13.6pt;height:11.95pt;mso-position-horizontal-relative:page;mso-position-vertical-relative:page;z-index:-20917248" type="#_x0000_t202" id="docshape1061" filled="false" stroked="false">
          <v:textbox inset="0,0,0,0">
            <w:txbxContent>
              <w:p>
                <w:pPr>
                  <w:spacing w:before="52"/>
                  <w:ind w:left="20" w:right="0" w:firstLine="0"/>
                  <w:jc w:val="left"/>
                  <w:rPr>
                    <w:rFonts w:ascii="Arial"/>
                    <w:sz w:val="14"/>
                  </w:rPr>
                </w:pPr>
                <w:r>
                  <w:rPr>
                    <w:rFonts w:ascii="Arial"/>
                    <w:color w:val="231F20"/>
                    <w:spacing w:val="-5"/>
                    <w:sz w:val="14"/>
                  </w:rPr>
                  <w:t>189</w:t>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23099pt;margin-top:615.817017pt;width:14.1pt;height:11.95pt;mso-position-horizontal-relative:page;mso-position-vertical-relative:page;z-index:-20916736" type="#_x0000_t202" id="docshape1062" filled="false" stroked="false">
          <v:textbox inset="0,0,0,0">
            <w:txbxContent>
              <w:p>
                <w:pPr>
                  <w:spacing w:before="52"/>
                  <w:ind w:left="20" w:right="0" w:firstLine="0"/>
                  <w:jc w:val="left"/>
                  <w:rPr>
                    <w:rFonts w:ascii="Arial"/>
                    <w:sz w:val="14"/>
                  </w:rPr>
                </w:pPr>
                <w:r>
                  <w:rPr>
                    <w:rFonts w:ascii="Arial"/>
                    <w:color w:val="231F20"/>
                    <w:spacing w:val="-5"/>
                    <w:w w:val="105"/>
                    <w:sz w:val="14"/>
                  </w:rPr>
                  <w:t>190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817093pt;margin-top:615.817017pt;width:7.9pt;height:11.95pt;mso-position-horizontal-relative:page;mso-position-vertical-relative:page;z-index:-21003264" type="#_x0000_t202" id="docshape30" filled="false" stroked="false">
          <v:textbox inset="0,0,0,0">
            <w:txbxContent>
              <w:p>
                <w:pPr>
                  <w:spacing w:before="52"/>
                  <w:ind w:left="20" w:right="0" w:firstLine="0"/>
                  <w:jc w:val="left"/>
                  <w:rPr>
                    <w:rFonts w:ascii="Arial"/>
                    <w:sz w:val="14"/>
                  </w:rPr>
                </w:pPr>
                <w:r>
                  <w:rPr>
                    <w:rFonts w:ascii="Arial"/>
                    <w:color w:val="231F20"/>
                    <w:spacing w:val="-5"/>
                    <w:w w:val="85"/>
                    <w:sz w:val="14"/>
                  </w:rPr>
                  <w:t>11</w:t>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664597pt;margin-top:615.817017pt;width:12.15pt;height:11.95pt;mso-position-horizontal-relative:page;mso-position-vertical-relative:page;z-index:-20916224" type="#_x0000_t202" id="docshape1063" filled="false" stroked="false">
          <v:textbox inset="0,0,0,0">
            <w:txbxContent>
              <w:p>
                <w:pPr>
                  <w:spacing w:before="52"/>
                  <w:ind w:left="20" w:right="0" w:firstLine="0"/>
                  <w:jc w:val="left"/>
                  <w:rPr>
                    <w:rFonts w:ascii="Arial"/>
                    <w:sz w:val="14"/>
                  </w:rPr>
                </w:pPr>
                <w:r>
                  <w:rPr>
                    <w:rFonts w:ascii="Arial"/>
                    <w:color w:val="231F20"/>
                    <w:spacing w:val="-5"/>
                    <w:w w:val="95"/>
                    <w:sz w:val="14"/>
                  </w:rPr>
                  <w:t>191</w:t>
                </w:r>
              </w:p>
            </w:txbxContent>
          </v:textbox>
          <w10:wrap type="none"/>
        </v:shape>
      </w:pict>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27097pt;margin-top:615.817017pt;width:12.95pt;height:11.95pt;mso-position-horizontal-relative:page;mso-position-vertical-relative:page;z-index:-20915712" type="#_x0000_t202" id="docshape1064" filled="false" stroked="false">
          <v:textbox inset="0,0,0,0">
            <w:txbxContent>
              <w:p>
                <w:pPr>
                  <w:spacing w:before="52"/>
                  <w:ind w:left="20" w:right="0" w:firstLine="0"/>
                  <w:jc w:val="left"/>
                  <w:rPr>
                    <w:rFonts w:ascii="Arial"/>
                    <w:sz w:val="14"/>
                  </w:rPr>
                </w:pPr>
                <w:r>
                  <w:rPr>
                    <w:rFonts w:ascii="Arial"/>
                    <w:color w:val="231F20"/>
                    <w:spacing w:val="-5"/>
                    <w:sz w:val="14"/>
                  </w:rPr>
                  <w:t>192</w:t>
                </w:r>
              </w:p>
            </w:txbxContent>
          </v:textbox>
          <w10:wrap type="none"/>
        </v:shape>
      </w:pic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237595pt;margin-top:615.817017pt;width:13pt;height:11.95pt;mso-position-horizontal-relative:page;mso-position-vertical-relative:page;z-index:-20915200" type="#_x0000_t202" id="docshape1065" filled="false" stroked="false">
          <v:textbox inset="0,0,0,0">
            <w:txbxContent>
              <w:p>
                <w:pPr>
                  <w:spacing w:before="52"/>
                  <w:ind w:left="20" w:right="0" w:firstLine="0"/>
                  <w:jc w:val="left"/>
                  <w:rPr>
                    <w:rFonts w:ascii="Arial"/>
                    <w:sz w:val="14"/>
                  </w:rPr>
                </w:pPr>
                <w:r>
                  <w:rPr>
                    <w:rFonts w:ascii="Arial"/>
                    <w:color w:val="231F20"/>
                    <w:spacing w:val="-5"/>
                    <w:sz w:val="14"/>
                  </w:rPr>
                  <w:t>193</w:t>
                </w:r>
              </w:p>
            </w:txbxContent>
          </v:textbox>
          <w10:wrap type="none"/>
        </v:shape>
      </w:pict>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75098pt;margin-top:615.817017pt;width:13.55pt;height:11.95pt;mso-position-horizontal-relative:page;mso-position-vertical-relative:page;z-index:-20914688" type="#_x0000_t202" id="docshape1070" filled="false" stroked="false">
          <v:textbox inset="0,0,0,0">
            <w:txbxContent>
              <w:p>
                <w:pPr>
                  <w:spacing w:before="52"/>
                  <w:ind w:left="20" w:right="0" w:firstLine="0"/>
                  <w:jc w:val="left"/>
                  <w:rPr>
                    <w:rFonts w:ascii="Arial"/>
                    <w:sz w:val="14"/>
                  </w:rPr>
                </w:pPr>
                <w:r>
                  <w:rPr>
                    <w:rFonts w:ascii="Arial"/>
                    <w:color w:val="231F20"/>
                    <w:spacing w:val="-5"/>
                    <w:sz w:val="14"/>
                  </w:rPr>
                  <w:t>194</w:t>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99097pt;margin-top:615.817017pt;width:13.15pt;height:11.95pt;mso-position-horizontal-relative:page;mso-position-vertical-relative:page;z-index:-20914176" type="#_x0000_t202" id="docshape1072" filled="false" stroked="false">
          <v:textbox inset="0,0,0,0">
            <w:txbxContent>
              <w:p>
                <w:pPr>
                  <w:spacing w:before="52"/>
                  <w:ind w:left="20" w:right="0" w:firstLine="0"/>
                  <w:jc w:val="left"/>
                  <w:rPr>
                    <w:rFonts w:ascii="Arial"/>
                    <w:sz w:val="14"/>
                  </w:rPr>
                </w:pPr>
                <w:r>
                  <w:rPr>
                    <w:rFonts w:ascii="Arial"/>
                    <w:color w:val="231F20"/>
                    <w:spacing w:val="-5"/>
                    <w:sz w:val="14"/>
                  </w:rPr>
                  <w:t>195</w:t>
                </w:r>
              </w:p>
            </w:txbxContent>
          </v:textbox>
          <w10:wrap type="none"/>
        </v:shape>
      </w:pic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08493pt;margin-top:615.817017pt;width:13.7pt;height:11.95pt;mso-position-horizontal-relative:page;mso-position-vertical-relative:page;z-index:-20913664" type="#_x0000_t202" id="docshape1074" filled="false" stroked="false">
          <v:textbox inset="0,0,0,0">
            <w:txbxContent>
              <w:p>
                <w:pPr>
                  <w:spacing w:before="52"/>
                  <w:ind w:left="20" w:right="0" w:firstLine="0"/>
                  <w:jc w:val="left"/>
                  <w:rPr>
                    <w:rFonts w:ascii="Arial"/>
                    <w:sz w:val="14"/>
                  </w:rPr>
                </w:pPr>
                <w:r>
                  <w:rPr>
                    <w:rFonts w:ascii="Arial"/>
                    <w:color w:val="231F20"/>
                    <w:spacing w:val="-5"/>
                    <w:sz w:val="14"/>
                  </w:rPr>
                  <w:t>196</w:t>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352997pt;margin-top:615.817017pt;width:12.7pt;height:11.95pt;mso-position-horizontal-relative:page;mso-position-vertical-relative:page;z-index:-20913152" type="#_x0000_t202" id="docshape1091" filled="false" stroked="false">
          <v:textbox inset="0,0,0,0">
            <w:txbxContent>
              <w:p>
                <w:pPr>
                  <w:spacing w:before="52"/>
                  <w:ind w:left="20" w:right="0" w:firstLine="0"/>
                  <w:jc w:val="left"/>
                  <w:rPr>
                    <w:rFonts w:ascii="Arial"/>
                    <w:sz w:val="14"/>
                  </w:rPr>
                </w:pPr>
                <w:r>
                  <w:rPr>
                    <w:rFonts w:ascii="Arial"/>
                    <w:color w:val="231F20"/>
                    <w:spacing w:val="-5"/>
                    <w:sz w:val="14"/>
                  </w:rPr>
                  <w:t>197</w:t>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38060pt;margin-top:615.817017pt;width:13.75pt;height:11.95pt;mso-position-horizontal-relative:page;mso-position-vertical-relative:page;z-index:-20912640" type="#_x0000_t202" id="docshape1092" filled="false" stroked="false">
          <v:textbox inset="0,0,0,0">
            <w:txbxContent>
              <w:p>
                <w:pPr>
                  <w:spacing w:before="52"/>
                  <w:ind w:left="20" w:right="0" w:firstLine="0"/>
                  <w:jc w:val="left"/>
                  <w:rPr>
                    <w:rFonts w:ascii="Arial"/>
                    <w:sz w:val="14"/>
                  </w:rPr>
                </w:pPr>
                <w:r>
                  <w:rPr>
                    <w:rFonts w:ascii="Arial"/>
                    <w:color w:val="231F20"/>
                    <w:spacing w:val="-5"/>
                    <w:sz w:val="14"/>
                  </w:rPr>
                  <w:t>198</w:t>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943497pt;margin-top:615.817017pt;width:13.55pt;height:11.95pt;mso-position-horizontal-relative:page;mso-position-vertical-relative:page;z-index:-20912128" type="#_x0000_t202" id="docshape1093" filled="false" stroked="false">
          <v:textbox inset="0,0,0,0">
            <w:txbxContent>
              <w:p>
                <w:pPr>
                  <w:spacing w:before="52"/>
                  <w:ind w:left="20" w:right="0" w:firstLine="0"/>
                  <w:jc w:val="left"/>
                  <w:rPr>
                    <w:rFonts w:ascii="Arial"/>
                    <w:sz w:val="14"/>
                  </w:rPr>
                </w:pPr>
                <w:r>
                  <w:rPr>
                    <w:rFonts w:ascii="Arial"/>
                    <w:color w:val="231F20"/>
                    <w:spacing w:val="-5"/>
                    <w:sz w:val="14"/>
                  </w:rPr>
                  <w:t>199</w:t>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582596pt;margin-top:615.817017pt;width:15.35pt;height:11.95pt;mso-position-horizontal-relative:page;mso-position-vertical-relative:page;z-index:-20911616" type="#_x0000_t202" id="docshape1098" filled="false" stroked="false">
          <v:textbox inset="0,0,0,0">
            <w:txbxContent>
              <w:p>
                <w:pPr>
                  <w:spacing w:before="52"/>
                  <w:ind w:left="20" w:right="0" w:firstLine="0"/>
                  <w:jc w:val="left"/>
                  <w:rPr>
                    <w:rFonts w:ascii="Arial"/>
                    <w:sz w:val="14"/>
                  </w:rPr>
                </w:pPr>
                <w:r>
                  <w:rPr>
                    <w:rFonts w:ascii="Arial"/>
                    <w:color w:val="231F20"/>
                    <w:spacing w:val="-5"/>
                    <w:w w:val="115"/>
                    <w:sz w:val="14"/>
                  </w:rPr>
                  <w:t>200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862pt;margin-top:615.817017pt;width:8.8pt;height:11.95pt;mso-position-horizontal-relative:page;mso-position-vertical-relative:page;z-index:-21002752" type="#_x0000_t202" id="docshape32" filled="false" stroked="false">
          <v:textbox inset="0,0,0,0">
            <w:txbxContent>
              <w:p>
                <w:pPr>
                  <w:spacing w:before="52"/>
                  <w:ind w:left="20" w:right="0" w:firstLine="0"/>
                  <w:jc w:val="left"/>
                  <w:rPr>
                    <w:rFonts w:ascii="Arial"/>
                    <w:sz w:val="14"/>
                  </w:rPr>
                </w:pPr>
                <w:r>
                  <w:rPr>
                    <w:rFonts w:ascii="Arial"/>
                    <w:color w:val="231F20"/>
                    <w:spacing w:val="-5"/>
                    <w:w w:val="95"/>
                    <w:sz w:val="14"/>
                  </w:rPr>
                  <w:t>12</w:t>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24002pt;margin-top:615.817017pt;width:13.4pt;height:11.95pt;mso-position-horizontal-relative:page;mso-position-vertical-relative:page;z-index:-20911104" type="#_x0000_t202" id="docshape1100" filled="false" stroked="false">
          <v:textbox inset="0,0,0,0">
            <w:txbxContent>
              <w:p>
                <w:pPr>
                  <w:spacing w:before="52"/>
                  <w:ind w:left="20" w:right="0" w:firstLine="0"/>
                  <w:jc w:val="left"/>
                  <w:rPr>
                    <w:rFonts w:ascii="Arial"/>
                    <w:sz w:val="14"/>
                  </w:rPr>
                </w:pPr>
                <w:r>
                  <w:rPr>
                    <w:rFonts w:ascii="Arial"/>
                    <w:color w:val="231F20"/>
                    <w:spacing w:val="-5"/>
                    <w:sz w:val="14"/>
                  </w:rPr>
                  <w:t>201</w:t>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086502pt;margin-top:615.817017pt;width:14.25pt;height:11.95pt;mso-position-horizontal-relative:page;mso-position-vertical-relative:page;z-index:-20910592" type="#_x0000_t202" id="docshape1106" filled="false" stroked="false">
          <v:textbox inset="0,0,0,0">
            <w:txbxContent>
              <w:p>
                <w:pPr>
                  <w:spacing w:before="52"/>
                  <w:ind w:left="20" w:right="0" w:firstLine="0"/>
                  <w:jc w:val="left"/>
                  <w:rPr>
                    <w:rFonts w:ascii="Arial"/>
                    <w:sz w:val="14"/>
                  </w:rPr>
                </w:pPr>
                <w:r>
                  <w:rPr>
                    <w:rFonts w:ascii="Arial"/>
                    <w:color w:val="231F20"/>
                    <w:spacing w:val="-5"/>
                    <w:w w:val="105"/>
                    <w:sz w:val="14"/>
                  </w:rPr>
                  <w:t>202</w:t>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632004pt;margin-top:615.817017pt;width:14.1pt;height:11.95pt;mso-position-horizontal-relative:page;mso-position-vertical-relative:page;z-index:-20910080" type="#_x0000_t202" id="docshape1108" filled="false" stroked="false">
          <v:textbox inset="0,0,0,0">
            <w:txbxContent>
              <w:p>
                <w:pPr>
                  <w:spacing w:before="52"/>
                  <w:ind w:left="20" w:right="0" w:firstLine="0"/>
                  <w:jc w:val="left"/>
                  <w:rPr>
                    <w:rFonts w:ascii="Arial"/>
                    <w:sz w:val="14"/>
                  </w:rPr>
                </w:pPr>
                <w:r>
                  <w:rPr>
                    <w:rFonts w:ascii="Arial"/>
                    <w:color w:val="231F20"/>
                    <w:spacing w:val="-5"/>
                    <w:w w:val="105"/>
                    <w:sz w:val="14"/>
                  </w:rPr>
                  <w:t>203</w:t>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834595pt;margin-top:615.817017pt;width:14.85pt;height:11.95pt;mso-position-horizontal-relative:page;mso-position-vertical-relative:page;z-index:-20909568" type="#_x0000_t202" id="docshape1110" filled="false" stroked="false">
          <v:textbox inset="0,0,0,0">
            <w:txbxContent>
              <w:p>
                <w:pPr>
                  <w:spacing w:before="52"/>
                  <w:ind w:left="20" w:right="0" w:firstLine="0"/>
                  <w:jc w:val="left"/>
                  <w:rPr>
                    <w:rFonts w:ascii="Arial"/>
                    <w:sz w:val="14"/>
                  </w:rPr>
                </w:pPr>
                <w:r>
                  <w:rPr>
                    <w:rFonts w:ascii="Arial"/>
                    <w:color w:val="231F20"/>
                    <w:spacing w:val="-5"/>
                    <w:w w:val="110"/>
                    <w:sz w:val="14"/>
                  </w:rPr>
                  <w:t>204</w:t>
                </w:r>
              </w:p>
            </w:txbxContent>
          </v:textbox>
          <w10:wrap type="none"/>
        </v:shape>
      </w:pic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558594pt;margin-top:615.817017pt;width:14.4pt;height:11.95pt;mso-position-horizontal-relative:page;mso-position-vertical-relative:page;z-index:-20909056" type="#_x0000_t202" id="docshape1111" filled="false" stroked="false">
          <v:textbox inset="0,0,0,0">
            <w:txbxContent>
              <w:p>
                <w:pPr>
                  <w:spacing w:before="52"/>
                  <w:ind w:left="20" w:right="0" w:firstLine="0"/>
                  <w:jc w:val="left"/>
                  <w:rPr>
                    <w:rFonts w:ascii="Arial"/>
                    <w:sz w:val="14"/>
                  </w:rPr>
                </w:pPr>
                <w:r>
                  <w:rPr>
                    <w:rFonts w:ascii="Arial"/>
                    <w:color w:val="231F20"/>
                    <w:spacing w:val="-5"/>
                    <w:w w:val="105"/>
                    <w:sz w:val="14"/>
                  </w:rPr>
                  <w:t>205</w:t>
                </w:r>
              </w:p>
            </w:txbxContent>
          </v:textbox>
          <w10:wrap type="none"/>
        </v:shape>
      </w:pict>
    </w: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768005pt;margin-top:615.817017pt;width:15pt;height:11.95pt;mso-position-horizontal-relative:page;mso-position-vertical-relative:page;z-index:-20908544" type="#_x0000_t202" id="docshape1113" filled="false" stroked="false">
          <v:textbox inset="0,0,0,0">
            <w:txbxContent>
              <w:p>
                <w:pPr>
                  <w:spacing w:before="52"/>
                  <w:ind w:left="20" w:right="0" w:firstLine="0"/>
                  <w:jc w:val="left"/>
                  <w:rPr>
                    <w:rFonts w:ascii="Arial"/>
                    <w:sz w:val="14"/>
                  </w:rPr>
                </w:pPr>
                <w:r>
                  <w:rPr>
                    <w:rFonts w:ascii="Arial"/>
                    <w:color w:val="231F20"/>
                    <w:spacing w:val="-5"/>
                    <w:w w:val="110"/>
                    <w:sz w:val="14"/>
                  </w:rPr>
                  <w:t>206</w:t>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729996pt;margin-top:615.817017pt;width:13.9pt;height:11.95pt;mso-position-horizontal-relative:page;mso-position-vertical-relative:page;z-index:-20908032" type="#_x0000_t202" id="docshape1114" filled="false" stroked="false">
          <v:textbox inset="0,0,0,0">
            <w:txbxContent>
              <w:p>
                <w:pPr>
                  <w:spacing w:before="52"/>
                  <w:ind w:left="20" w:right="0" w:firstLine="0"/>
                  <w:jc w:val="left"/>
                  <w:rPr>
                    <w:rFonts w:ascii="Arial"/>
                    <w:sz w:val="14"/>
                  </w:rPr>
                </w:pPr>
                <w:r>
                  <w:rPr>
                    <w:rFonts w:ascii="Arial"/>
                    <w:color w:val="231F20"/>
                    <w:spacing w:val="-5"/>
                    <w:w w:val="105"/>
                    <w:sz w:val="14"/>
                  </w:rPr>
                  <w:t>207</w:t>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740097pt;margin-top:615.817017pt;width:15.05pt;height:11.95pt;mso-position-horizontal-relative:page;mso-position-vertical-relative:page;z-index:-20907520" type="#_x0000_t202" id="docshape1116" filled="false" stroked="false">
          <v:textbox inset="0,0,0,0">
            <w:txbxContent>
              <w:p>
                <w:pPr>
                  <w:spacing w:before="52"/>
                  <w:ind w:left="20" w:right="0" w:firstLine="0"/>
                  <w:jc w:val="left"/>
                  <w:rPr>
                    <w:rFonts w:ascii="Arial"/>
                    <w:sz w:val="14"/>
                  </w:rPr>
                </w:pPr>
                <w:r>
                  <w:rPr>
                    <w:rFonts w:ascii="Arial"/>
                    <w:color w:val="231F20"/>
                    <w:spacing w:val="-5"/>
                    <w:w w:val="110"/>
                    <w:sz w:val="14"/>
                  </w:rPr>
                  <w:t>208</w:t>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268005pt;margin-top:615.817017pt;width:15pt;height:11.95pt;mso-position-horizontal-relative:page;mso-position-vertical-relative:page;z-index:-20907008" type="#_x0000_t202" id="docshape1117" filled="false" stroked="false">
          <v:textbox inset="0,0,0,0">
            <w:txbxContent>
              <w:p>
                <w:pPr>
                  <w:spacing w:before="52"/>
                  <w:ind w:left="20" w:right="0" w:firstLine="0"/>
                  <w:jc w:val="left"/>
                  <w:rPr>
                    <w:rFonts w:ascii="Arial"/>
                    <w:sz w:val="14"/>
                  </w:rPr>
                </w:pPr>
                <w:r>
                  <w:rPr>
                    <w:rFonts w:ascii="Arial"/>
                    <w:color w:val="231F20"/>
                    <w:spacing w:val="-5"/>
                    <w:w w:val="110"/>
                    <w:sz w:val="14"/>
                  </w:rPr>
                  <w:t>209</w:t>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89105pt;margin-top:615.817017pt;width:13.55pt;height:11.95pt;mso-position-horizontal-relative:page;mso-position-vertical-relative:page;z-index:-20906496" type="#_x0000_t202" id="docshape1119" filled="false" stroked="false">
          <v:textbox inset="0,0,0,0">
            <w:txbxContent>
              <w:p>
                <w:pPr>
                  <w:spacing w:before="52"/>
                  <w:ind w:left="20" w:right="0" w:firstLine="0"/>
                  <w:jc w:val="left"/>
                  <w:rPr>
                    <w:rFonts w:ascii="Arial"/>
                    <w:sz w:val="14"/>
                  </w:rPr>
                </w:pPr>
                <w:r>
                  <w:rPr>
                    <w:rFonts w:ascii="Arial"/>
                    <w:color w:val="231F20"/>
                    <w:spacing w:val="-5"/>
                    <w:sz w:val="14"/>
                  </w:rPr>
                  <w:t>210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895599pt;margin-top:615.817017pt;width:11.75pt;height:11.95pt;mso-position-horizontal-relative:page;mso-position-vertical-relative:page;z-index:-20905984" type="#_x0000_t202" id="docshape1121" filled="false" stroked="false">
          <v:textbox inset="0,0,0,0">
            <w:txbxContent>
              <w:p>
                <w:pPr>
                  <w:spacing w:before="52"/>
                  <w:ind w:left="20" w:right="0" w:firstLine="0"/>
                  <w:jc w:val="left"/>
                  <w:rPr>
                    <w:rFonts w:ascii="Arial"/>
                    <w:sz w:val="14"/>
                  </w:rPr>
                </w:pPr>
                <w:r>
                  <w:rPr>
                    <w:rFonts w:ascii="Arial"/>
                    <w:color w:val="231F20"/>
                    <w:spacing w:val="-5"/>
                    <w:w w:val="90"/>
                    <w:sz w:val="14"/>
                  </w:rPr>
                  <w:t>211</w:t>
                </w:r>
              </w:p>
            </w:txbxContent>
          </v:textbox>
          <w10:wrap type="none"/>
        </v:shape>
      </w:pict>
    </w: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940598pt;margin-top:615.817017pt;width:12.65pt;height:11.95pt;mso-position-horizontal-relative:page;mso-position-vertical-relative:page;z-index:-20905472" type="#_x0000_t202" id="docshape1143" filled="false" stroked="false">
          <v:textbox inset="0,0,0,0">
            <w:txbxContent>
              <w:p>
                <w:pPr>
                  <w:spacing w:before="52"/>
                  <w:ind w:left="20" w:right="0" w:firstLine="0"/>
                  <w:jc w:val="left"/>
                  <w:rPr>
                    <w:rFonts w:ascii="Arial"/>
                    <w:sz w:val="14"/>
                  </w:rPr>
                </w:pPr>
                <w:r>
                  <w:rPr>
                    <w:rFonts w:ascii="Arial"/>
                    <w:color w:val="231F20"/>
                    <w:spacing w:val="-5"/>
                    <w:w w:val="95"/>
                    <w:sz w:val="14"/>
                  </w:rPr>
                  <w:t>212</w:t>
                </w:r>
              </w:p>
            </w:txbxContent>
          </v:textbox>
          <w10:wrap type="none"/>
        </v:shape>
      </w:pict>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68597pt;margin-top:615.817017pt;width:12.6pt;height:11.95pt;mso-position-horizontal-relative:page;mso-position-vertical-relative:page;z-index:-20904960" type="#_x0000_t202" id="docshape1145" filled="false" stroked="false">
          <v:textbox inset="0,0,0,0">
            <w:txbxContent>
              <w:p>
                <w:pPr>
                  <w:spacing w:before="52"/>
                  <w:ind w:left="20" w:right="0" w:firstLine="0"/>
                  <w:jc w:val="left"/>
                  <w:rPr>
                    <w:rFonts w:ascii="Arial"/>
                    <w:sz w:val="14"/>
                  </w:rPr>
                </w:pPr>
                <w:r>
                  <w:rPr>
                    <w:rFonts w:ascii="Arial"/>
                    <w:color w:val="231F20"/>
                    <w:spacing w:val="-5"/>
                    <w:w w:val="95"/>
                    <w:sz w:val="14"/>
                  </w:rPr>
                  <w:t>213</w:t>
                </w:r>
              </w:p>
            </w:txbxContent>
          </v:textbox>
          <w10:wrap type="none"/>
        </v:shape>
      </w:pic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741104pt;margin-top:615.817017pt;width:13.05pt;height:11.95pt;mso-position-horizontal-relative:page;mso-position-vertical-relative:page;z-index:-20904448" type="#_x0000_t202" id="docshape1146" filled="false" stroked="false">
          <v:textbox inset="0,0,0,0">
            <w:txbxContent>
              <w:p>
                <w:pPr>
                  <w:spacing w:before="52"/>
                  <w:ind w:left="20" w:right="0" w:firstLine="0"/>
                  <w:jc w:val="left"/>
                  <w:rPr>
                    <w:rFonts w:ascii="Arial"/>
                    <w:sz w:val="14"/>
                  </w:rPr>
                </w:pPr>
                <w:r>
                  <w:rPr>
                    <w:rFonts w:ascii="Arial"/>
                    <w:color w:val="231F20"/>
                    <w:spacing w:val="-5"/>
                    <w:sz w:val="14"/>
                  </w:rPr>
                  <w:t>214</w:t>
                </w:r>
              </w:p>
            </w:txbxContent>
          </v:textbox>
          <w10:wrap type="none"/>
        </v:shape>
      </w:pict>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65103pt;margin-top:615.817017pt;width:12.6pt;height:11.95pt;mso-position-horizontal-relative:page;mso-position-vertical-relative:page;z-index:-20903936" type="#_x0000_t202" id="docshape1147" filled="false" stroked="false">
          <v:textbox inset="0,0,0,0">
            <w:txbxContent>
              <w:p>
                <w:pPr>
                  <w:spacing w:before="52"/>
                  <w:ind w:left="20" w:right="0" w:firstLine="0"/>
                  <w:jc w:val="left"/>
                  <w:rPr>
                    <w:rFonts w:ascii="Arial"/>
                    <w:sz w:val="14"/>
                  </w:rPr>
                </w:pPr>
                <w:r>
                  <w:rPr>
                    <w:rFonts w:ascii="Arial"/>
                    <w:color w:val="231F20"/>
                    <w:spacing w:val="-5"/>
                    <w:w w:val="95"/>
                    <w:sz w:val="14"/>
                  </w:rPr>
                  <w:t>215</w:t>
                </w:r>
              </w:p>
            </w:txbxContent>
          </v:textbox>
          <w10:wrap type="none"/>
        </v:shape>
      </w:pict>
    </w: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6745pt;margin-top:615.817017pt;width:13.2pt;height:11.95pt;mso-position-horizontal-relative:page;mso-position-vertical-relative:page;z-index:-20903424" type="#_x0000_t202" id="docshape1148" filled="false" stroked="false">
          <v:textbox inset="0,0,0,0">
            <w:txbxContent>
              <w:p>
                <w:pPr>
                  <w:spacing w:before="52"/>
                  <w:ind w:left="20" w:right="0" w:firstLine="0"/>
                  <w:jc w:val="left"/>
                  <w:rPr>
                    <w:rFonts w:ascii="Arial"/>
                    <w:sz w:val="14"/>
                  </w:rPr>
                </w:pPr>
                <w:r>
                  <w:rPr>
                    <w:rFonts w:ascii="Arial"/>
                    <w:color w:val="231F20"/>
                    <w:spacing w:val="-5"/>
                    <w:sz w:val="14"/>
                  </w:rPr>
                  <w:t>216</w:t>
                </w:r>
              </w:p>
            </w:txbxContent>
          </v:textbox>
          <w10:wrap type="none"/>
        </v:shape>
      </w:pic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549103pt;margin-top:615.817017pt;width:12.45pt;height:11.95pt;mso-position-horizontal-relative:page;mso-position-vertical-relative:page;z-index:-20902912" type="#_x0000_t202" id="docshape1149" filled="false" stroked="false">
          <v:textbox inset="0,0,0,0">
            <w:txbxContent>
              <w:p>
                <w:pPr>
                  <w:spacing w:before="52"/>
                  <w:ind w:left="20" w:right="0" w:firstLine="0"/>
                  <w:jc w:val="left"/>
                  <w:rPr>
                    <w:rFonts w:ascii="Arial"/>
                    <w:sz w:val="14"/>
                  </w:rPr>
                </w:pPr>
                <w:r>
                  <w:rPr>
                    <w:rFonts w:ascii="Arial"/>
                    <w:color w:val="231F20"/>
                    <w:spacing w:val="-5"/>
                    <w:w w:val="95"/>
                    <w:sz w:val="14"/>
                  </w:rPr>
                  <w:t>217</w:t>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034103pt;margin-top:615.817017pt;width:14.45pt;height:11.95pt;mso-position-horizontal-relative:page;mso-position-vertical-relative:page;z-index:-20902400" type="#_x0000_t202" id="docshape1151" filled="false" stroked="false">
          <v:textbox inset="0,0,0,0">
            <w:txbxContent>
              <w:p>
                <w:pPr>
                  <w:spacing w:before="52"/>
                  <w:ind w:left="20" w:right="0" w:firstLine="0"/>
                  <w:jc w:val="left"/>
                  <w:rPr>
                    <w:rFonts w:ascii="Arial"/>
                    <w:sz w:val="14"/>
                  </w:rPr>
                </w:pPr>
                <w:r>
                  <w:rPr>
                    <w:rFonts w:ascii="Arial"/>
                    <w:color w:val="231F20"/>
                    <w:spacing w:val="-5"/>
                    <w:w w:val="105"/>
                    <w:sz w:val="14"/>
                  </w:rPr>
                  <w:t>220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662598pt;margin-top:615.817017pt;width:9.2pt;height:11.95pt;mso-position-horizontal-relative:page;mso-position-vertical-relative:page;z-index:-21002240" type="#_x0000_t202" id="docshape35" filled="false" stroked="false">
          <v:textbox inset="0,0,0,0">
            <w:txbxContent>
              <w:p>
                <w:pPr>
                  <w:spacing w:before="52"/>
                  <w:ind w:left="20" w:right="0" w:firstLine="0"/>
                  <w:jc w:val="left"/>
                  <w:rPr>
                    <w:rFonts w:ascii="Arial"/>
                    <w:sz w:val="14"/>
                  </w:rPr>
                </w:pPr>
                <w:r>
                  <w:rPr>
                    <w:rFonts w:ascii="Arial"/>
                    <w:color w:val="231F20"/>
                    <w:spacing w:val="-5"/>
                    <w:sz w:val="14"/>
                  </w:rPr>
                  <w:t>14</w:t>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40598pt;margin-top:615.817017pt;width:12.65pt;height:11.95pt;mso-position-horizontal-relative:page;mso-position-vertical-relative:page;z-index:-20901888" type="#_x0000_t202" id="docshape1152" filled="false" stroked="false">
          <v:textbox inset="0,0,0,0">
            <w:txbxContent>
              <w:p>
                <w:pPr>
                  <w:spacing w:before="52"/>
                  <w:ind w:left="20" w:right="0" w:firstLine="0"/>
                  <w:jc w:val="left"/>
                  <w:rPr>
                    <w:rFonts w:ascii="Arial"/>
                    <w:sz w:val="14"/>
                  </w:rPr>
                </w:pPr>
                <w:r>
                  <w:rPr>
                    <w:rFonts w:ascii="Arial"/>
                    <w:color w:val="231F20"/>
                    <w:spacing w:val="-5"/>
                    <w:w w:val="95"/>
                    <w:sz w:val="14"/>
                  </w:rPr>
                  <w:t>221</w:t>
                </w:r>
              </w:p>
            </w:txbxContent>
          </v:textbox>
          <w10:wrap type="none"/>
        </v:shape>
      </w:pict>
    </w: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485504pt;margin-top:615.817017pt;width:13.55pt;height:11.95pt;mso-position-horizontal-relative:page;mso-position-vertical-relative:page;z-index:-20901376" type="#_x0000_t202" id="docshape1153" filled="false" stroked="false">
          <v:textbox inset="0,0,0,0">
            <w:txbxContent>
              <w:p>
                <w:pPr>
                  <w:spacing w:before="52"/>
                  <w:ind w:left="20" w:right="0" w:firstLine="0"/>
                  <w:jc w:val="left"/>
                  <w:rPr>
                    <w:rFonts w:ascii="Arial"/>
                    <w:sz w:val="14"/>
                  </w:rPr>
                </w:pPr>
                <w:r>
                  <w:rPr>
                    <w:rFonts w:ascii="Arial"/>
                    <w:color w:val="231F20"/>
                    <w:spacing w:val="-5"/>
                    <w:sz w:val="14"/>
                  </w:rPr>
                  <w:t>222</w:t>
                </w:r>
              </w:p>
            </w:txbxContent>
          </v:textbox>
          <w10:wrap type="none"/>
        </v:shape>
      </w:pic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13596pt;margin-top:615.817017pt;width:13.5pt;height:11.95pt;mso-position-horizontal-relative:page;mso-position-vertical-relative:page;z-index:-20900864" type="#_x0000_t202" id="docshape1155" filled="false" stroked="false">
          <v:textbox inset="0,0,0,0">
            <w:txbxContent>
              <w:p>
                <w:pPr>
                  <w:spacing w:before="52"/>
                  <w:ind w:left="20" w:right="0" w:firstLine="0"/>
                  <w:jc w:val="left"/>
                  <w:rPr>
                    <w:rFonts w:ascii="Arial"/>
                    <w:sz w:val="14"/>
                  </w:rPr>
                </w:pPr>
                <w:r>
                  <w:rPr>
                    <w:rFonts w:ascii="Arial"/>
                    <w:color w:val="231F20"/>
                    <w:spacing w:val="-5"/>
                    <w:sz w:val="14"/>
                  </w:rPr>
                  <w:t>223</w:t>
                </w:r>
              </w:p>
            </w:txbxContent>
          </v:textbox>
          <w10:wrap type="none"/>
        </v:shape>
      </w:pict>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254501pt;margin-top:615.817017pt;width:13.95pt;height:11.95pt;mso-position-horizontal-relative:page;mso-position-vertical-relative:page;z-index:-20900352" type="#_x0000_t202" id="docshape1159" filled="false" stroked="false">
          <v:textbox inset="0,0,0,0">
            <w:txbxContent>
              <w:p>
                <w:pPr>
                  <w:spacing w:before="52"/>
                  <w:ind w:left="20" w:right="0" w:firstLine="0"/>
                  <w:jc w:val="left"/>
                  <w:rPr>
                    <w:rFonts w:ascii="Arial"/>
                    <w:sz w:val="14"/>
                  </w:rPr>
                </w:pPr>
                <w:r>
                  <w:rPr>
                    <w:rFonts w:ascii="Arial"/>
                    <w:color w:val="231F20"/>
                    <w:spacing w:val="-5"/>
                    <w:w w:val="105"/>
                    <w:sz w:val="14"/>
                  </w:rPr>
                  <w:t>226</w:t>
                </w:r>
              </w:p>
            </w:txbxContent>
          </v:textbox>
          <w10:wrap type="none"/>
        </v:shape>
      </w:pict>
    </w: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28998pt;margin-top:615.817017pt;width:13.2pt;height:11.95pt;mso-position-horizontal-relative:page;mso-position-vertical-relative:page;z-index:-20899840" type="#_x0000_t202" id="docshape1160" filled="false" stroked="false">
          <v:textbox inset="0,0,0,0">
            <w:txbxContent>
              <w:p>
                <w:pPr>
                  <w:spacing w:before="52"/>
                  <w:ind w:left="20" w:right="0" w:firstLine="0"/>
                  <w:jc w:val="left"/>
                  <w:rPr>
                    <w:rFonts w:ascii="Arial"/>
                    <w:sz w:val="14"/>
                  </w:rPr>
                </w:pPr>
                <w:r>
                  <w:rPr>
                    <w:rFonts w:ascii="Arial"/>
                    <w:color w:val="231F20"/>
                    <w:spacing w:val="-5"/>
                    <w:sz w:val="14"/>
                  </w:rPr>
                  <w:t>227</w:t>
                </w:r>
              </w:p>
            </w:txbxContent>
          </v:textbox>
          <w10:wrap type="none"/>
        </v:shape>
      </w:pict>
    </w: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191498pt;margin-top:615.817017pt;width:14.15pt;height:11.95pt;mso-position-horizontal-relative:page;mso-position-vertical-relative:page;z-index:-20899328" type="#_x0000_t202" id="docshape1161" filled="false" stroked="false">
          <v:textbox inset="0,0,0,0">
            <w:txbxContent>
              <w:p>
                <w:pPr>
                  <w:spacing w:before="52"/>
                  <w:ind w:left="20" w:right="0" w:firstLine="0"/>
                  <w:jc w:val="left"/>
                  <w:rPr>
                    <w:rFonts w:ascii="Arial"/>
                    <w:sz w:val="14"/>
                  </w:rPr>
                </w:pPr>
                <w:r>
                  <w:rPr>
                    <w:rFonts w:ascii="Arial"/>
                    <w:color w:val="231F20"/>
                    <w:spacing w:val="-5"/>
                    <w:w w:val="105"/>
                    <w:sz w:val="14"/>
                  </w:rPr>
                  <w:t>228</w:t>
                </w:r>
              </w:p>
            </w:txbxContent>
          </v:textbox>
          <w10:wrap type="none"/>
        </v:shape>
      </w:pic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719498pt;margin-top:615.817017pt;width:14.1pt;height:11.95pt;mso-position-horizontal-relative:page;mso-position-vertical-relative:page;z-index:-20898816" type="#_x0000_t202" id="docshape1162" filled="false" stroked="false">
          <v:textbox inset="0,0,0,0">
            <w:txbxContent>
              <w:p>
                <w:pPr>
                  <w:spacing w:before="52"/>
                  <w:ind w:left="20" w:right="0" w:firstLine="0"/>
                  <w:jc w:val="left"/>
                  <w:rPr>
                    <w:rFonts w:ascii="Arial"/>
                    <w:sz w:val="14"/>
                  </w:rPr>
                </w:pPr>
                <w:r>
                  <w:rPr>
                    <w:rFonts w:ascii="Arial"/>
                    <w:color w:val="231F20"/>
                    <w:spacing w:val="-5"/>
                    <w:w w:val="105"/>
                    <w:sz w:val="14"/>
                  </w:rPr>
                  <w:t>229</w:t>
                </w:r>
              </w:p>
            </w:txbxContent>
          </v:textbox>
          <w10:wrap type="none"/>
        </v:shape>
      </w:pict>
    </w: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062103pt;margin-top:615.817017pt;width:14.4pt;height:11.95pt;mso-position-horizontal-relative:page;mso-position-vertical-relative:page;z-index:-20898304" type="#_x0000_t202" id="docshape1175" filled="false" stroked="false">
          <v:textbox inset="0,0,0,0">
            <w:txbxContent>
              <w:p>
                <w:pPr>
                  <w:spacing w:before="52"/>
                  <w:ind w:left="20" w:right="0" w:firstLine="0"/>
                  <w:jc w:val="left"/>
                  <w:rPr>
                    <w:rFonts w:ascii="Arial"/>
                    <w:sz w:val="14"/>
                  </w:rPr>
                </w:pPr>
                <w:r>
                  <w:rPr>
                    <w:rFonts w:ascii="Arial"/>
                    <w:color w:val="231F20"/>
                    <w:spacing w:val="-5"/>
                    <w:w w:val="105"/>
                    <w:sz w:val="14"/>
                  </w:rPr>
                  <w:t>230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386597pt;margin-top:615.817017pt;width:8.75pt;height:11.95pt;mso-position-horizontal-relative:page;mso-position-vertical-relative:page;z-index:-21001728" type="#_x0000_t202" id="docshape37" filled="false" stroked="false">
          <v:textbox inset="0,0,0,0">
            <w:txbxContent>
              <w:p>
                <w:pPr>
                  <w:spacing w:before="52"/>
                  <w:ind w:left="20" w:right="0" w:firstLine="0"/>
                  <w:jc w:val="left"/>
                  <w:rPr>
                    <w:rFonts w:ascii="Arial"/>
                    <w:sz w:val="14"/>
                  </w:rPr>
                </w:pPr>
                <w:r>
                  <w:rPr>
                    <w:rFonts w:ascii="Arial"/>
                    <w:color w:val="231F20"/>
                    <w:spacing w:val="-5"/>
                    <w:w w:val="95"/>
                    <w:sz w:val="14"/>
                  </w:rPr>
                  <w:t>15</w:t>
                </w:r>
              </w:p>
            </w:txbxContent>
          </v:textbox>
          <w10:wrap type="none"/>
        </v:shape>
      </w:pic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468597pt;margin-top:615.817017pt;width:12.6pt;height:11.95pt;mso-position-horizontal-relative:page;mso-position-vertical-relative:page;z-index:-20897792" type="#_x0000_t202" id="docshape1177" filled="false" stroked="false">
          <v:textbox inset="0,0,0,0">
            <w:txbxContent>
              <w:p>
                <w:pPr>
                  <w:spacing w:before="52"/>
                  <w:ind w:left="20" w:right="0" w:firstLine="0"/>
                  <w:jc w:val="left"/>
                  <w:rPr>
                    <w:rFonts w:ascii="Arial"/>
                    <w:sz w:val="14"/>
                  </w:rPr>
                </w:pPr>
                <w:r>
                  <w:rPr>
                    <w:rFonts w:ascii="Arial"/>
                    <w:color w:val="231F20"/>
                    <w:spacing w:val="-5"/>
                    <w:w w:val="95"/>
                    <w:sz w:val="14"/>
                  </w:rPr>
                  <w:t>231</w:t>
                </w:r>
              </w:p>
            </w:txbxContent>
          </v:textbox>
          <w10:wrap type="none"/>
        </v:shape>
      </w:pic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583496pt;margin-top:615.817017pt;width:13.2pt;height:11.95pt;mso-position-horizontal-relative:page;mso-position-vertical-relative:page;z-index:-20897280" type="#_x0000_t202" id="docshape1178" filled="false" stroked="false">
          <v:textbox inset="0,0,0,0">
            <w:txbxContent>
              <w:p>
                <w:pPr>
                  <w:spacing w:before="52"/>
                  <w:ind w:left="20" w:right="0" w:firstLine="0"/>
                  <w:jc w:val="left"/>
                  <w:rPr>
                    <w:rFonts w:ascii="Arial"/>
                    <w:sz w:val="14"/>
                  </w:rPr>
                </w:pPr>
                <w:r>
                  <w:rPr>
                    <w:rFonts w:ascii="Arial"/>
                    <w:color w:val="231F20"/>
                    <w:spacing w:val="-5"/>
                    <w:sz w:val="14"/>
                  </w:rPr>
                  <w:t>232</w:t>
                </w:r>
              </w:p>
            </w:txbxContent>
          </v:textbox>
          <w10:wrap type="none"/>
        </v:shape>
      </w:pict>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41595pt;margin-top:615.817017pt;width:13.45pt;height:11.95pt;mso-position-horizontal-relative:page;mso-position-vertical-relative:page;z-index:-20896768" type="#_x0000_t202" id="docshape1180" filled="false" stroked="false">
          <v:textbox inset="0,0,0,0">
            <w:txbxContent>
              <w:p>
                <w:pPr>
                  <w:spacing w:before="52"/>
                  <w:ind w:left="20" w:right="0" w:firstLine="0"/>
                  <w:jc w:val="left"/>
                  <w:rPr>
                    <w:rFonts w:ascii="Arial"/>
                    <w:sz w:val="14"/>
                  </w:rPr>
                </w:pPr>
                <w:r>
                  <w:rPr>
                    <w:rFonts w:ascii="Arial"/>
                    <w:color w:val="231F20"/>
                    <w:spacing w:val="-5"/>
                    <w:sz w:val="14"/>
                  </w:rPr>
                  <w:t>233</w:t>
                </w:r>
              </w:p>
            </w:txbxContent>
          </v:textbox>
          <w10:wrap type="none"/>
        </v:shape>
      </w:pict>
    </w: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314102pt;margin-top:615.817017pt;width:13.9pt;height:11.95pt;mso-position-horizontal-relative:page;mso-position-vertical-relative:page;z-index:-20896256" type="#_x0000_t202" id="docshape1181" filled="false" stroked="false">
          <v:textbox inset="0,0,0,0">
            <w:txbxContent>
              <w:p>
                <w:pPr>
                  <w:spacing w:before="52"/>
                  <w:ind w:left="20" w:right="0" w:firstLine="0"/>
                  <w:jc w:val="left"/>
                  <w:rPr>
                    <w:rFonts w:ascii="Arial"/>
                    <w:sz w:val="14"/>
                  </w:rPr>
                </w:pPr>
                <w:r>
                  <w:rPr>
                    <w:rFonts w:ascii="Arial"/>
                    <w:color w:val="231F20"/>
                    <w:spacing w:val="-5"/>
                    <w:sz w:val="14"/>
                  </w:rPr>
                  <w:t>234</w:t>
                </w:r>
              </w:p>
            </w:txbxContent>
          </v:textbox>
          <w10:wrap type="none"/>
        </v:shape>
      </w:pic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038101pt;margin-top:615.817017pt;width:13.45pt;height:11.95pt;mso-position-horizontal-relative:page;mso-position-vertical-relative:page;z-index:-20895744" type="#_x0000_t202" id="docshape1185" filled="false" stroked="false">
          <v:textbox inset="0,0,0,0">
            <w:txbxContent>
              <w:p>
                <w:pPr>
                  <w:spacing w:before="52"/>
                  <w:ind w:left="20" w:right="0" w:firstLine="0"/>
                  <w:jc w:val="left"/>
                  <w:rPr>
                    <w:rFonts w:ascii="Arial"/>
                    <w:sz w:val="14"/>
                  </w:rPr>
                </w:pPr>
                <w:r>
                  <w:rPr>
                    <w:rFonts w:ascii="Arial"/>
                    <w:color w:val="231F20"/>
                    <w:spacing w:val="-5"/>
                    <w:sz w:val="14"/>
                  </w:rPr>
                  <w:t>235</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595993pt;margin-top:615.817017pt;width:9.35pt;height:11.95pt;mso-position-horizontal-relative:page;mso-position-vertical-relative:page;z-index:-21001216" type="#_x0000_t202" id="docshape42" filled="false" stroked="false">
          <v:textbox inset="0,0,0,0">
            <w:txbxContent>
              <w:p>
                <w:pPr>
                  <w:spacing w:before="52"/>
                  <w:ind w:left="20" w:right="0" w:firstLine="0"/>
                  <w:jc w:val="left"/>
                  <w:rPr>
                    <w:rFonts w:ascii="Arial"/>
                    <w:sz w:val="14"/>
                  </w:rPr>
                </w:pPr>
                <w:r>
                  <w:rPr>
                    <w:rFonts w:ascii="Arial"/>
                    <w:color w:val="231F20"/>
                    <w:spacing w:val="-5"/>
                    <w:sz w:val="14"/>
                  </w:rPr>
                  <w:t>16</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470596pt;margin-top:615.817017pt;width:8.6pt;height:11.95pt;mso-position-horizontal-relative:page;mso-position-vertical-relative:page;z-index:-21000704" type="#_x0000_t202" id="docshape44" filled="false" stroked="false">
          <v:textbox inset="0,0,0,0">
            <w:txbxContent>
              <w:p>
                <w:pPr>
                  <w:spacing w:before="52"/>
                  <w:ind w:left="20" w:right="0" w:firstLine="0"/>
                  <w:jc w:val="left"/>
                  <w:rPr>
                    <w:rFonts w:ascii="Arial"/>
                    <w:sz w:val="14"/>
                  </w:rPr>
                </w:pPr>
                <w:r>
                  <w:rPr>
                    <w:rFonts w:ascii="Arial"/>
                    <w:color w:val="231F20"/>
                    <w:spacing w:val="-5"/>
                    <w:w w:val="95"/>
                    <w:sz w:val="14"/>
                  </w:rPr>
                  <w:t>17</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56810pt;margin-top:615.817017pt;width:9.4pt;height:11.95pt;mso-position-horizontal-relative:page;mso-position-vertical-relative:page;z-index:-21000192" type="#_x0000_t202" id="docshape50" filled="false" stroked="false">
          <v:textbox inset="0,0,0,0">
            <w:txbxContent>
              <w:p>
                <w:pPr>
                  <w:spacing w:before="52"/>
                  <w:ind w:left="20" w:right="0" w:firstLine="0"/>
                  <w:jc w:val="left"/>
                  <w:rPr>
                    <w:rFonts w:ascii="Arial"/>
                    <w:sz w:val="14"/>
                  </w:rPr>
                </w:pPr>
                <w:r>
                  <w:rPr>
                    <w:rFonts w:ascii="Arial"/>
                    <w:color w:val="231F20"/>
                    <w:spacing w:val="-5"/>
                    <w:sz w:val="14"/>
                  </w:rPr>
                  <w:t>18</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95993pt;margin-top:615.817017pt;width:9.35pt;height:11.95pt;mso-position-horizontal-relative:page;mso-position-vertical-relative:page;z-index:-20999680" type="#_x0000_t202" id="docshape80" filled="false" stroked="false">
          <v:textbox inset="0,0,0,0">
            <w:txbxContent>
              <w:p>
                <w:pPr>
                  <w:spacing w:before="52"/>
                  <w:ind w:left="20" w:right="0" w:firstLine="0"/>
                  <w:jc w:val="left"/>
                  <w:rPr>
                    <w:rFonts w:ascii="Arial"/>
                    <w:sz w:val="14"/>
                  </w:rPr>
                </w:pPr>
                <w:r>
                  <w:rPr>
                    <w:rFonts w:ascii="Arial"/>
                    <w:color w:val="231F20"/>
                    <w:spacing w:val="-5"/>
                    <w:sz w:val="14"/>
                  </w:rPr>
                  <w:t>19</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55505pt;margin-top:615.817017pt;width:10.6pt;height:11.95pt;mso-position-horizontal-relative:page;mso-position-vertical-relative:page;z-index:-20999168" type="#_x0000_t202" id="docshape83" filled="false" stroked="false">
          <v:textbox inset="0,0,0,0">
            <w:txbxContent>
              <w:p>
                <w:pPr>
                  <w:spacing w:before="52"/>
                  <w:ind w:left="20" w:right="0" w:firstLine="0"/>
                  <w:jc w:val="left"/>
                  <w:rPr>
                    <w:rFonts w:ascii="Arial"/>
                    <w:sz w:val="14"/>
                  </w:rPr>
                </w:pPr>
                <w:r>
                  <w:rPr>
                    <w:rFonts w:ascii="Arial"/>
                    <w:color w:val="231F20"/>
                    <w:spacing w:val="-5"/>
                    <w:w w:val="110"/>
                    <w:sz w:val="14"/>
                  </w:rPr>
                  <w:t>20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362pt;margin-top:615.817017pt;width:8.8pt;height:11.95pt;mso-position-horizontal-relative:page;mso-position-vertical-relative:page;z-index:-20998656" type="#_x0000_t202" id="docshape85" filled="false" stroked="false">
          <v:textbox inset="0,0,0,0">
            <w:txbxContent>
              <w:p>
                <w:pPr>
                  <w:spacing w:before="52"/>
                  <w:ind w:left="20" w:right="0" w:firstLine="0"/>
                  <w:jc w:val="left"/>
                  <w:rPr>
                    <w:rFonts w:ascii="Arial"/>
                    <w:sz w:val="14"/>
                  </w:rPr>
                </w:pPr>
                <w:r>
                  <w:rPr>
                    <w:rFonts w:ascii="Arial"/>
                    <w:color w:val="231F20"/>
                    <w:spacing w:val="-5"/>
                    <w:w w:val="95"/>
                    <w:sz w:val="14"/>
                  </w:rPr>
                  <w:t>21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406998pt;margin-top:615.817017pt;width:9.7pt;height:11.95pt;mso-position-horizontal-relative:page;mso-position-vertical-relative:page;z-index:-20998144" type="#_x0000_t202" id="docshape90" filled="false" stroked="false">
          <v:textbox inset="0,0,0,0">
            <w:txbxContent>
              <w:p>
                <w:pPr>
                  <w:spacing w:before="52"/>
                  <w:ind w:left="20" w:right="0" w:firstLine="0"/>
                  <w:jc w:val="left"/>
                  <w:rPr>
                    <w:rFonts w:ascii="Arial"/>
                    <w:sz w:val="14"/>
                  </w:rPr>
                </w:pPr>
                <w:r>
                  <w:rPr>
                    <w:rFonts w:ascii="Arial"/>
                    <w:color w:val="231F20"/>
                    <w:spacing w:val="-5"/>
                    <w:sz w:val="14"/>
                  </w:rPr>
                  <w:t>22</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35104pt;margin-top:615.817017pt;width:9.65pt;height:11.95pt;mso-position-horizontal-relative:page;mso-position-vertical-relative:page;z-index:-20997632" type="#_x0000_t202" id="docshape92" filled="false" stroked="false">
          <v:textbox inset="0,0,0,0">
            <w:txbxContent>
              <w:p>
                <w:pPr>
                  <w:spacing w:before="52"/>
                  <w:ind w:left="20" w:right="0" w:firstLine="0"/>
                  <w:jc w:val="left"/>
                  <w:rPr>
                    <w:rFonts w:ascii="Arial"/>
                    <w:sz w:val="14"/>
                  </w:rPr>
                </w:pPr>
                <w:r>
                  <w:rPr>
                    <w:rFonts w:ascii="Arial"/>
                    <w:color w:val="231F20"/>
                    <w:spacing w:val="-5"/>
                    <w:sz w:val="14"/>
                  </w:rPr>
                  <w:t>23</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260101pt;margin-top:615.817017pt;width:9.9pt;height:11.95pt;mso-position-horizontal-relative:page;mso-position-vertical-relative:page;z-index:-20997120" type="#_x0000_t202" id="docshape94" filled="false" stroked="false">
          <v:textbox inset="0,0,0,0">
            <w:txbxContent>
              <w:p>
                <w:pPr>
                  <w:spacing w:before="52"/>
                  <w:ind w:left="20" w:right="0" w:firstLine="0"/>
                  <w:jc w:val="left"/>
                  <w:rPr>
                    <w:rFonts w:ascii="Arial"/>
                    <w:sz w:val="14"/>
                  </w:rPr>
                </w:pPr>
                <w:r>
                  <w:rPr>
                    <w:rFonts w:ascii="Arial"/>
                    <w:color w:val="231F20"/>
                    <w:spacing w:val="-5"/>
                    <w:w w:val="105"/>
                    <w:sz w:val="14"/>
                  </w:rPr>
                  <w:t>24</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31503pt;margin-top:615.817017pt;width:9.65pt;height:11.95pt;mso-position-horizontal-relative:page;mso-position-vertical-relative:page;z-index:-20996608" type="#_x0000_t202" id="docshape96" filled="false" stroked="false">
          <v:textbox inset="0,0,0,0">
            <w:txbxContent>
              <w:p>
                <w:pPr>
                  <w:spacing w:before="52"/>
                  <w:ind w:left="20" w:right="0" w:firstLine="0"/>
                  <w:jc w:val="left"/>
                  <w:rPr>
                    <w:rFonts w:ascii="Arial"/>
                    <w:sz w:val="14"/>
                  </w:rPr>
                </w:pPr>
                <w:r>
                  <w:rPr>
                    <w:rFonts w:ascii="Arial"/>
                    <w:color w:val="231F20"/>
                    <w:spacing w:val="-5"/>
                    <w:sz w:val="14"/>
                  </w:rPr>
                  <w:t>25</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75995pt;margin-top:615.817017pt;width:10.1pt;height:11.95pt;mso-position-horizontal-relative:page;mso-position-vertical-relative:page;z-index:-20996096" type="#_x0000_t202" id="docshape98" filled="false" stroked="false">
          <v:textbox inset="0,0,0,0">
            <w:txbxContent>
              <w:p>
                <w:pPr>
                  <w:spacing w:before="52"/>
                  <w:ind w:left="20" w:right="0" w:firstLine="0"/>
                  <w:jc w:val="left"/>
                  <w:rPr>
                    <w:rFonts w:ascii="Arial"/>
                    <w:sz w:val="14"/>
                  </w:rPr>
                </w:pPr>
                <w:r>
                  <w:rPr>
                    <w:rFonts w:ascii="Arial"/>
                    <w:color w:val="231F20"/>
                    <w:spacing w:val="-5"/>
                    <w:w w:val="105"/>
                    <w:sz w:val="14"/>
                  </w:rPr>
                  <w:t>26</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50507pt;margin-top:615.817017pt;width:9.35pt;height:11.95pt;mso-position-horizontal-relative:page;mso-position-vertical-relative:page;z-index:-20995584" type="#_x0000_t202" id="docshape100" filled="false" stroked="false">
          <v:textbox inset="0,0,0,0">
            <w:txbxContent>
              <w:p>
                <w:pPr>
                  <w:spacing w:before="52"/>
                  <w:ind w:left="20" w:right="0" w:firstLine="0"/>
                  <w:jc w:val="left"/>
                  <w:rPr>
                    <w:rFonts w:ascii="Arial"/>
                    <w:sz w:val="14"/>
                  </w:rPr>
                </w:pPr>
                <w:r>
                  <w:rPr>
                    <w:rFonts w:ascii="Arial"/>
                    <w:color w:val="231F20"/>
                    <w:spacing w:val="-5"/>
                    <w:sz w:val="14"/>
                  </w:rPr>
                  <w:t>27</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13007pt;margin-top:615.817017pt;width:10.3pt;height:11.95pt;mso-position-horizontal-relative:page;mso-position-vertical-relative:page;z-index:-20995072" type="#_x0000_t202" id="docshape105" filled="false" stroked="false">
          <v:textbox inset="0,0,0,0">
            <w:txbxContent>
              <w:p>
                <w:pPr>
                  <w:spacing w:before="52"/>
                  <w:ind w:left="20" w:right="0" w:firstLine="0"/>
                  <w:jc w:val="left"/>
                  <w:rPr>
                    <w:rFonts w:ascii="Arial"/>
                    <w:sz w:val="14"/>
                  </w:rPr>
                </w:pPr>
                <w:r>
                  <w:rPr>
                    <w:rFonts w:ascii="Arial"/>
                    <w:color w:val="231F20"/>
                    <w:spacing w:val="-5"/>
                    <w:w w:val="105"/>
                    <w:sz w:val="14"/>
                  </w:rPr>
                  <w:t>28</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41006pt;margin-top:615.817017pt;width:10.25pt;height:11.95pt;mso-position-horizontal-relative:page;mso-position-vertical-relative:page;z-index:-20994560" type="#_x0000_t202" id="docshape108" filled="false" stroked="false">
          <v:textbox inset="0,0,0,0">
            <w:txbxContent>
              <w:p>
                <w:pPr>
                  <w:spacing w:before="52"/>
                  <w:ind w:left="20" w:right="0" w:firstLine="0"/>
                  <w:jc w:val="left"/>
                  <w:rPr>
                    <w:rFonts w:ascii="Arial"/>
                    <w:sz w:val="14"/>
                  </w:rPr>
                </w:pPr>
                <w:r>
                  <w:rPr>
                    <w:rFonts w:ascii="Arial"/>
                    <w:color w:val="231F20"/>
                    <w:spacing w:val="-5"/>
                    <w:w w:val="105"/>
                    <w:sz w:val="14"/>
                  </w:rPr>
                  <w:t>29</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83597pt;margin-top:615.817017pt;width:10.55pt;height:11.95pt;mso-position-horizontal-relative:page;mso-position-vertical-relative:page;z-index:-20994048" type="#_x0000_t202" id="docshape110" filled="false" stroked="false">
          <v:textbox inset="0,0,0,0">
            <w:txbxContent>
              <w:p>
                <w:pPr>
                  <w:spacing w:before="52"/>
                  <w:ind w:left="20" w:right="0" w:firstLine="0"/>
                  <w:jc w:val="left"/>
                  <w:rPr>
                    <w:rFonts w:ascii="Arial"/>
                    <w:sz w:val="14"/>
                  </w:rPr>
                </w:pPr>
                <w:r>
                  <w:rPr>
                    <w:rFonts w:ascii="Arial"/>
                    <w:color w:val="231F20"/>
                    <w:spacing w:val="-5"/>
                    <w:w w:val="110"/>
                    <w:sz w:val="14"/>
                  </w:rPr>
                  <w:t>30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390106pt;margin-top:615.817017pt;width:8.75pt;height:11.95pt;mso-position-horizontal-relative:page;mso-position-vertical-relative:page;z-index:-20993536" type="#_x0000_t202" id="docshape111" filled="false" stroked="false">
          <v:textbox inset="0,0,0,0">
            <w:txbxContent>
              <w:p>
                <w:pPr>
                  <w:spacing w:before="52"/>
                  <w:ind w:left="20" w:right="0" w:firstLine="0"/>
                  <w:jc w:val="left"/>
                  <w:rPr>
                    <w:rFonts w:ascii="Arial"/>
                    <w:sz w:val="14"/>
                  </w:rPr>
                </w:pPr>
                <w:r>
                  <w:rPr>
                    <w:rFonts w:ascii="Arial"/>
                    <w:color w:val="231F20"/>
                    <w:spacing w:val="-5"/>
                    <w:w w:val="95"/>
                    <w:sz w:val="14"/>
                  </w:rPr>
                  <w:t>31</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505005pt;margin-top:615.817017pt;width:9.35pt;height:11.95pt;mso-position-horizontal-relative:page;mso-position-vertical-relative:page;z-index:-20993024" type="#_x0000_t202" id="docshape113" filled="false" stroked="false">
          <v:textbox inset="0,0,0,0">
            <w:txbxContent>
              <w:p>
                <w:pPr>
                  <w:spacing w:before="52"/>
                  <w:ind w:left="20" w:right="0" w:firstLine="0"/>
                  <w:jc w:val="left"/>
                  <w:rPr>
                    <w:rFonts w:ascii="Arial"/>
                    <w:sz w:val="14"/>
                  </w:rPr>
                </w:pPr>
                <w:r>
                  <w:rPr>
                    <w:rFonts w:ascii="Arial"/>
                    <w:color w:val="231F20"/>
                    <w:spacing w:val="-5"/>
                    <w:sz w:val="14"/>
                  </w:rPr>
                  <w:t>32</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63104pt;margin-top:615.817017pt;width:9.6pt;height:11.95pt;mso-position-horizontal-relative:page;mso-position-vertical-relative:page;z-index:-20992512" type="#_x0000_t202" id="docshape114" filled="false" stroked="false">
          <v:textbox inset="0,0,0,0">
            <w:txbxContent>
              <w:p>
                <w:pPr>
                  <w:spacing w:before="52"/>
                  <w:ind w:left="20" w:right="0" w:firstLine="0"/>
                  <w:jc w:val="left"/>
                  <w:rPr>
                    <w:rFonts w:ascii="Arial"/>
                    <w:sz w:val="14"/>
                  </w:rPr>
                </w:pPr>
                <w:r>
                  <w:rPr>
                    <w:rFonts w:ascii="Arial"/>
                    <w:color w:val="231F20"/>
                    <w:spacing w:val="-5"/>
                    <w:sz w:val="14"/>
                  </w:rPr>
                  <w:t>33</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235596pt;margin-top:615.817017pt;width:10.050pt;height:11.95pt;mso-position-horizontal-relative:page;mso-position-vertical-relative:page;z-index:-20992000" type="#_x0000_t202" id="docshape116" filled="false" stroked="false">
          <v:textbox inset="0,0,0,0">
            <w:txbxContent>
              <w:p>
                <w:pPr>
                  <w:spacing w:before="52"/>
                  <w:ind w:left="20" w:right="0" w:firstLine="0"/>
                  <w:jc w:val="left"/>
                  <w:rPr>
                    <w:rFonts w:ascii="Arial"/>
                    <w:sz w:val="14"/>
                  </w:rPr>
                </w:pPr>
                <w:r>
                  <w:rPr>
                    <w:rFonts w:ascii="Arial"/>
                    <w:color w:val="231F20"/>
                    <w:spacing w:val="-5"/>
                    <w:w w:val="105"/>
                    <w:sz w:val="14"/>
                  </w:rPr>
                  <w:t>34</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59595pt;margin-top:615.817017pt;width:9.6pt;height:11.95pt;mso-position-horizontal-relative:page;mso-position-vertical-relative:page;z-index:-20991488" type="#_x0000_t202" id="docshape119" filled="false" stroked="false">
          <v:textbox inset="0,0,0,0">
            <w:txbxContent>
              <w:p>
                <w:pPr>
                  <w:spacing w:before="52"/>
                  <w:ind w:left="20" w:right="0" w:firstLine="0"/>
                  <w:jc w:val="left"/>
                  <w:rPr>
                    <w:rFonts w:ascii="Arial"/>
                    <w:sz w:val="14"/>
                  </w:rPr>
                </w:pPr>
                <w:r>
                  <w:rPr>
                    <w:rFonts w:ascii="Arial"/>
                    <w:color w:val="231F20"/>
                    <w:spacing w:val="-5"/>
                    <w:sz w:val="14"/>
                  </w:rPr>
                  <w:t>35</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69098pt;margin-top:615.817017pt;width:10.2pt;height:11.95pt;mso-position-horizontal-relative:page;mso-position-vertical-relative:page;z-index:-20990976" type="#_x0000_t202" id="docshape121" filled="false" stroked="false">
          <v:textbox inset="0,0,0,0">
            <w:txbxContent>
              <w:p>
                <w:pPr>
                  <w:spacing w:before="52"/>
                  <w:ind w:left="20" w:right="0" w:firstLine="0"/>
                  <w:jc w:val="left"/>
                  <w:rPr>
                    <w:rFonts w:ascii="Arial"/>
                    <w:sz w:val="14"/>
                  </w:rPr>
                </w:pPr>
                <w:r>
                  <w:rPr>
                    <w:rFonts w:ascii="Arial"/>
                    <w:color w:val="231F20"/>
                    <w:spacing w:val="-5"/>
                    <w:w w:val="105"/>
                    <w:sz w:val="14"/>
                  </w:rPr>
                  <w:t>36</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41098pt;margin-top:615.817017pt;width:10.25pt;height:11.95pt;mso-position-horizontal-relative:page;mso-position-vertical-relative:page;z-index:-20990464" type="#_x0000_t202" id="docshape124" filled="false" stroked="false">
          <v:textbox inset="0,0,0,0">
            <w:txbxContent>
              <w:p>
                <w:pPr>
                  <w:spacing w:before="52"/>
                  <w:ind w:left="20" w:right="0" w:firstLine="0"/>
                  <w:jc w:val="left"/>
                  <w:rPr>
                    <w:rFonts w:ascii="Arial"/>
                    <w:sz w:val="14"/>
                  </w:rPr>
                </w:pPr>
                <w:r>
                  <w:rPr>
                    <w:rFonts w:ascii="Arial"/>
                    <w:color w:val="231F20"/>
                    <w:spacing w:val="-5"/>
                    <w:w w:val="105"/>
                    <w:sz w:val="14"/>
                  </w:rPr>
                  <w:t>38</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03995pt;margin-top:615.817017pt;width:10.050pt;height:11.95pt;mso-position-horizontal-relative:page;mso-position-vertical-relative:page;z-index:-20989952" type="#_x0000_t202" id="docshape130" filled="false" stroked="false">
          <v:textbox inset="0,0,0,0">
            <w:txbxContent>
              <w:p>
                <w:pPr>
                  <w:spacing w:before="52"/>
                  <w:ind w:left="20" w:right="0" w:firstLine="0"/>
                  <w:jc w:val="left"/>
                  <w:rPr>
                    <w:rFonts w:ascii="Arial"/>
                    <w:sz w:val="14"/>
                  </w:rPr>
                </w:pPr>
                <w:r>
                  <w:rPr>
                    <w:rFonts w:ascii="Arial"/>
                    <w:color w:val="231F20"/>
                    <w:spacing w:val="-5"/>
                    <w:w w:val="105"/>
                    <w:sz w:val="14"/>
                  </w:rPr>
                  <w:t>39</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756104pt;margin-top:615.817017pt;width:11pt;height:11.95pt;mso-position-horizontal-relative:page;mso-position-vertical-relative:page;z-index:-20989440" type="#_x0000_t202" id="docshape134" filled="false" stroked="false">
          <v:textbox inset="0,0,0,0">
            <w:txbxContent>
              <w:p>
                <w:pPr>
                  <w:spacing w:before="52"/>
                  <w:ind w:left="20" w:right="0" w:firstLine="0"/>
                  <w:jc w:val="left"/>
                  <w:rPr>
                    <w:rFonts w:ascii="Arial"/>
                    <w:sz w:val="14"/>
                  </w:rPr>
                </w:pPr>
                <w:r>
                  <w:rPr>
                    <w:rFonts w:ascii="Arial"/>
                    <w:color w:val="231F20"/>
                    <w:spacing w:val="-5"/>
                    <w:w w:val="115"/>
                    <w:sz w:val="14"/>
                  </w:rPr>
                  <w:t>40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232498pt;margin-top:615.817017pt;width:8.9pt;height:11.95pt;mso-position-horizontal-relative:page;mso-position-vertical-relative:page;z-index:-20988928" type="#_x0000_t202" id="docshape136" filled="false" stroked="false">
          <v:textbox inset="0,0,0,0">
            <w:txbxContent>
              <w:p>
                <w:pPr>
                  <w:spacing w:before="52"/>
                  <w:ind w:left="20" w:right="0" w:firstLine="0"/>
                  <w:jc w:val="left"/>
                  <w:rPr>
                    <w:rFonts w:ascii="Arial"/>
                    <w:sz w:val="14"/>
                  </w:rPr>
                </w:pPr>
                <w:r>
                  <w:rPr>
                    <w:rFonts w:ascii="Arial"/>
                    <w:color w:val="231F20"/>
                    <w:spacing w:val="-5"/>
                    <w:sz w:val="14"/>
                  </w:rPr>
                  <w:t>41</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242493pt;margin-top:615.817017pt;width:9.950pt;height:11.95pt;mso-position-horizontal-relative:page;mso-position-vertical-relative:page;z-index:-20988416" type="#_x0000_t202" id="docshape148" filled="false" stroked="false">
          <v:textbox inset="0,0,0,0">
            <w:txbxContent>
              <w:p>
                <w:pPr>
                  <w:spacing w:before="52"/>
                  <w:ind w:left="20" w:right="0" w:firstLine="0"/>
                  <w:jc w:val="left"/>
                  <w:rPr>
                    <w:rFonts w:ascii="Arial"/>
                    <w:sz w:val="14"/>
                  </w:rPr>
                </w:pPr>
                <w:r>
                  <w:rPr>
                    <w:rFonts w:ascii="Arial"/>
                    <w:color w:val="231F20"/>
                    <w:spacing w:val="-5"/>
                    <w:w w:val="105"/>
                    <w:sz w:val="14"/>
                  </w:rPr>
                  <w:t>42</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35596pt;margin-top:615.817017pt;width:10.050pt;height:11.95pt;mso-position-horizontal-relative:page;mso-position-vertical-relative:page;z-index:-20987904" type="#_x0000_t202" id="docshape149" filled="false" stroked="false">
          <v:textbox inset="0,0,0,0">
            <w:txbxContent>
              <w:p>
                <w:pPr>
                  <w:spacing w:before="52"/>
                  <w:ind w:left="20" w:right="0" w:firstLine="0"/>
                  <w:jc w:val="left"/>
                  <w:rPr>
                    <w:rFonts w:ascii="Arial"/>
                    <w:sz w:val="14"/>
                  </w:rPr>
                </w:pPr>
                <w:r>
                  <w:rPr>
                    <w:rFonts w:ascii="Arial"/>
                    <w:color w:val="231F20"/>
                    <w:spacing w:val="-5"/>
                    <w:w w:val="105"/>
                    <w:sz w:val="14"/>
                  </w:rPr>
                  <w:t>43</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38095pt;margin-top:615.817017pt;width:10.8pt;height:11.95pt;mso-position-horizontal-relative:page;mso-position-vertical-relative:page;z-index:-20987392" type="#_x0000_t202" id="docshape153" filled="false" stroked="false">
          <v:textbox inset="0,0,0,0">
            <w:txbxContent>
              <w:p>
                <w:pPr>
                  <w:spacing w:before="52"/>
                  <w:ind w:left="20" w:right="0" w:firstLine="0"/>
                  <w:jc w:val="left"/>
                  <w:rPr>
                    <w:rFonts w:ascii="Arial"/>
                    <w:sz w:val="14"/>
                  </w:rPr>
                </w:pPr>
                <w:r>
                  <w:rPr>
                    <w:rFonts w:ascii="Arial"/>
                    <w:color w:val="231F20"/>
                    <w:spacing w:val="-5"/>
                    <w:w w:val="110"/>
                    <w:sz w:val="14"/>
                  </w:rPr>
                  <w:t>44</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32101pt;margin-top:615.817017pt;width:10.050pt;height:11.95pt;mso-position-horizontal-relative:page;mso-position-vertical-relative:page;z-index:-20986880" type="#_x0000_t202" id="docshape155" filled="false" stroked="false">
          <v:textbox inset="0,0,0,0">
            <w:txbxContent>
              <w:p>
                <w:pPr>
                  <w:spacing w:before="52"/>
                  <w:ind w:left="20" w:right="0" w:firstLine="0"/>
                  <w:jc w:val="left"/>
                  <w:rPr>
                    <w:rFonts w:ascii="Arial"/>
                    <w:sz w:val="14"/>
                  </w:rPr>
                </w:pPr>
                <w:r>
                  <w:rPr>
                    <w:rFonts w:ascii="Arial"/>
                    <w:color w:val="231F20"/>
                    <w:spacing w:val="-5"/>
                    <w:w w:val="105"/>
                    <w:sz w:val="14"/>
                  </w:rPr>
                  <w:t>45</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41498pt;margin-top:615.817017pt;width:10.65pt;height:11.95pt;mso-position-horizontal-relative:page;mso-position-vertical-relative:page;z-index:-20986368" type="#_x0000_t202" id="docshape161" filled="false" stroked="false">
          <v:textbox inset="0,0,0,0">
            <w:txbxContent>
              <w:p>
                <w:pPr>
                  <w:spacing w:before="52"/>
                  <w:ind w:left="20" w:right="0" w:firstLine="0"/>
                  <w:jc w:val="left"/>
                  <w:rPr>
                    <w:rFonts w:ascii="Arial"/>
                    <w:sz w:val="14"/>
                  </w:rPr>
                </w:pPr>
                <w:r>
                  <w:rPr>
                    <w:rFonts w:ascii="Arial"/>
                    <w:color w:val="231F20"/>
                    <w:spacing w:val="-5"/>
                    <w:w w:val="110"/>
                    <w:sz w:val="14"/>
                  </w:rPr>
                  <w:t>46</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868607pt;margin-top:615.817017pt;width:9.7pt;height:11.95pt;mso-position-horizontal-relative:page;mso-position-vertical-relative:page;z-index:-20985856" type="#_x0000_t202" id="docshape162" filled="false" stroked="false">
          <v:textbox inset="0,0,0,0">
            <w:txbxContent>
              <w:p>
                <w:pPr>
                  <w:spacing w:before="52"/>
                  <w:ind w:left="20" w:right="0" w:firstLine="0"/>
                  <w:jc w:val="left"/>
                  <w:rPr>
                    <w:rFonts w:ascii="Arial"/>
                    <w:sz w:val="14"/>
                  </w:rPr>
                </w:pPr>
                <w:r>
                  <w:rPr>
                    <w:rFonts w:ascii="Arial"/>
                    <w:color w:val="231F20"/>
                    <w:spacing w:val="-5"/>
                    <w:sz w:val="14"/>
                  </w:rPr>
                  <w:t>47</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13605pt;margin-top:615.817017pt;width:10.7pt;height:11.95pt;mso-position-horizontal-relative:page;mso-position-vertical-relative:page;z-index:-20985344" type="#_x0000_t202" id="docshape188" filled="false" stroked="false">
          <v:textbox inset="0,0,0,0">
            <w:txbxContent>
              <w:p>
                <w:pPr>
                  <w:spacing w:before="52"/>
                  <w:ind w:left="20" w:right="0" w:firstLine="0"/>
                  <w:jc w:val="left"/>
                  <w:rPr>
                    <w:rFonts w:ascii="Arial"/>
                    <w:sz w:val="14"/>
                  </w:rPr>
                </w:pPr>
                <w:r>
                  <w:rPr>
                    <w:rFonts w:ascii="Arial"/>
                    <w:color w:val="231F20"/>
                    <w:spacing w:val="-5"/>
                    <w:w w:val="110"/>
                    <w:sz w:val="14"/>
                  </w:rPr>
                  <w:t>48</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79996pt;margin-top:615.817017pt;width:10.55pt;height:11.95pt;mso-position-horizontal-relative:page;mso-position-vertical-relative:page;z-index:-20984832" type="#_x0000_t202" id="docshape467" filled="false" stroked="false">
          <v:textbox inset="0,0,0,0">
            <w:txbxContent>
              <w:p>
                <w:pPr>
                  <w:spacing w:before="52"/>
                  <w:ind w:left="20" w:right="0" w:firstLine="0"/>
                  <w:jc w:val="left"/>
                  <w:rPr>
                    <w:rFonts w:ascii="Arial"/>
                    <w:sz w:val="14"/>
                  </w:rPr>
                </w:pPr>
                <w:r>
                  <w:rPr>
                    <w:rFonts w:ascii="Arial"/>
                    <w:color w:val="231F20"/>
                    <w:spacing w:val="-5"/>
                    <w:w w:val="110"/>
                    <w:sz w:val="14"/>
                  </w:rPr>
                  <w:t>50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421494pt;margin-top:615.817017pt;width:8.6pt;height:11.95pt;mso-position-horizontal-relative:page;mso-position-vertical-relative:page;z-index:-20984320" type="#_x0000_t202" id="docshape468" filled="false" stroked="false">
          <v:textbox inset="0,0,0,0">
            <w:txbxContent>
              <w:p>
                <w:pPr>
                  <w:spacing w:before="52"/>
                  <w:ind w:left="20" w:right="0" w:firstLine="0"/>
                  <w:jc w:val="left"/>
                  <w:rPr>
                    <w:rFonts w:ascii="Arial"/>
                    <w:sz w:val="14"/>
                  </w:rPr>
                </w:pPr>
                <w:r>
                  <w:rPr>
                    <w:rFonts w:ascii="Arial"/>
                    <w:color w:val="231F20"/>
                    <w:spacing w:val="-5"/>
                    <w:w w:val="95"/>
                    <w:sz w:val="14"/>
                  </w:rPr>
                  <w:t>51</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431503pt;margin-top:615.817017pt;width:9.65pt;height:11.95pt;mso-position-horizontal-relative:page;mso-position-vertical-relative:page;z-index:-20983808" type="#_x0000_t202" id="docshape479" filled="false" stroked="false">
          <v:textbox inset="0,0,0,0">
            <w:txbxContent>
              <w:p>
                <w:pPr>
                  <w:spacing w:before="52"/>
                  <w:ind w:left="20" w:right="0" w:firstLine="0"/>
                  <w:jc w:val="left"/>
                  <w:rPr>
                    <w:rFonts w:ascii="Arial"/>
                    <w:sz w:val="14"/>
                  </w:rPr>
                </w:pPr>
                <w:r>
                  <w:rPr>
                    <w:rFonts w:ascii="Arial"/>
                    <w:color w:val="231F20"/>
                    <w:spacing w:val="-5"/>
                    <w:sz w:val="14"/>
                  </w:rPr>
                  <w:t>52</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59595pt;margin-top:615.817017pt;width:9.6pt;height:11.95pt;mso-position-horizontal-relative:page;mso-position-vertical-relative:page;z-index:-20983296" type="#_x0000_t202" id="docshape483" filled="false" stroked="false">
          <v:textbox inset="0,0,0,0">
            <w:txbxContent>
              <w:p>
                <w:pPr>
                  <w:spacing w:before="52"/>
                  <w:ind w:left="20" w:right="0" w:firstLine="0"/>
                  <w:jc w:val="left"/>
                  <w:rPr>
                    <w:rFonts w:ascii="Arial"/>
                    <w:sz w:val="14"/>
                  </w:rPr>
                </w:pPr>
                <w:r>
                  <w:rPr>
                    <w:rFonts w:ascii="Arial"/>
                    <w:color w:val="231F20"/>
                    <w:spacing w:val="-5"/>
                    <w:sz w:val="14"/>
                  </w:rPr>
                  <w:t>53</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232101pt;margin-top:615.817017pt;width:10.050pt;height:11.95pt;mso-position-horizontal-relative:page;mso-position-vertical-relative:page;z-index:-20982784" type="#_x0000_t202" id="docshape486" filled="false" stroked="false">
          <v:textbox inset="0,0,0,0">
            <w:txbxContent>
              <w:p>
                <w:pPr>
                  <w:spacing w:before="52"/>
                  <w:ind w:left="20" w:right="0" w:firstLine="0"/>
                  <w:jc w:val="left"/>
                  <w:rPr>
                    <w:rFonts w:ascii="Arial"/>
                    <w:sz w:val="14"/>
                  </w:rPr>
                </w:pPr>
                <w:r>
                  <w:rPr>
                    <w:rFonts w:ascii="Arial"/>
                    <w:color w:val="231F20"/>
                    <w:spacing w:val="-5"/>
                    <w:w w:val="105"/>
                    <w:sz w:val="14"/>
                  </w:rPr>
                  <w:t>54</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561pt;margin-top:615.817017pt;width:9.6pt;height:11.95pt;mso-position-horizontal-relative:page;mso-position-vertical-relative:page;z-index:-20982272" type="#_x0000_t202" id="docshape515" filled="false" stroked="false">
          <v:textbox inset="0,0,0,0">
            <w:txbxContent>
              <w:p>
                <w:pPr>
                  <w:spacing w:before="52"/>
                  <w:ind w:left="20" w:right="0" w:firstLine="0"/>
                  <w:jc w:val="left"/>
                  <w:rPr>
                    <w:rFonts w:ascii="Arial"/>
                    <w:sz w:val="14"/>
                  </w:rPr>
                </w:pPr>
                <w:r>
                  <w:rPr>
                    <w:rFonts w:ascii="Arial"/>
                    <w:color w:val="231F20"/>
                    <w:spacing w:val="-5"/>
                    <w:sz w:val="14"/>
                  </w:rPr>
                  <w:t>55</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65497pt;margin-top:615.817017pt;width:10.2pt;height:11.95pt;mso-position-horizontal-relative:page;mso-position-vertical-relative:page;z-index:-20981760" type="#_x0000_t202" id="docshape518" filled="false" stroked="false">
          <v:textbox inset="0,0,0,0">
            <w:txbxContent>
              <w:p>
                <w:pPr>
                  <w:spacing w:before="52"/>
                  <w:ind w:left="20" w:right="0" w:firstLine="0"/>
                  <w:jc w:val="left"/>
                  <w:rPr>
                    <w:rFonts w:ascii="Arial"/>
                    <w:sz w:val="14"/>
                  </w:rPr>
                </w:pPr>
                <w:r>
                  <w:rPr>
                    <w:rFonts w:ascii="Arial"/>
                    <w:color w:val="231F20"/>
                    <w:spacing w:val="-5"/>
                    <w:w w:val="105"/>
                    <w:sz w:val="14"/>
                  </w:rPr>
                  <w:t>56</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74997pt;margin-top:615.817017pt;width:9.3pt;height:11.95pt;mso-position-horizontal-relative:page;mso-position-vertical-relative:page;z-index:-20981248" type="#_x0000_t202" id="docshape520" filled="false" stroked="false">
          <v:textbox inset="0,0,0,0">
            <w:txbxContent>
              <w:p>
                <w:pPr>
                  <w:spacing w:before="52"/>
                  <w:ind w:left="20" w:right="0" w:firstLine="0"/>
                  <w:jc w:val="left"/>
                  <w:rPr>
                    <w:rFonts w:ascii="Arial"/>
                    <w:sz w:val="14"/>
                  </w:rPr>
                </w:pPr>
                <w:r>
                  <w:rPr>
                    <w:rFonts w:ascii="Arial"/>
                    <w:color w:val="231F20"/>
                    <w:spacing w:val="-5"/>
                    <w:sz w:val="14"/>
                  </w:rPr>
                  <w:t>57</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37497pt;margin-top:615.817017pt;width:10.25pt;height:11.95pt;mso-position-horizontal-relative:page;mso-position-vertical-relative:page;z-index:-20980736" type="#_x0000_t202" id="docshape522" filled="false" stroked="false">
          <v:textbox inset="0,0,0,0">
            <w:txbxContent>
              <w:p>
                <w:pPr>
                  <w:spacing w:before="52"/>
                  <w:ind w:left="20" w:right="0" w:firstLine="0"/>
                  <w:jc w:val="left"/>
                  <w:rPr>
                    <w:rFonts w:ascii="Arial"/>
                    <w:sz w:val="14"/>
                  </w:rPr>
                </w:pPr>
                <w:r>
                  <w:rPr>
                    <w:rFonts w:ascii="Arial"/>
                    <w:color w:val="231F20"/>
                    <w:spacing w:val="-5"/>
                    <w:w w:val="105"/>
                    <w:sz w:val="14"/>
                  </w:rPr>
                  <w:t>58</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689499pt;margin-top:615.817017pt;width:11.15pt;height:11.95pt;mso-position-horizontal-relative:page;mso-position-vertical-relative:page;z-index:-20980224" type="#_x0000_t202" id="docshape551" filled="false" stroked="false">
          <v:textbox inset="0,0,0,0">
            <w:txbxContent>
              <w:p>
                <w:pPr>
                  <w:spacing w:before="52"/>
                  <w:ind w:left="20" w:right="0" w:firstLine="0"/>
                  <w:jc w:val="left"/>
                  <w:rPr>
                    <w:rFonts w:ascii="Arial"/>
                    <w:sz w:val="14"/>
                  </w:rPr>
                </w:pPr>
                <w:r>
                  <w:rPr>
                    <w:rFonts w:ascii="Arial"/>
                    <w:color w:val="231F20"/>
                    <w:spacing w:val="-5"/>
                    <w:w w:val="115"/>
                    <w:sz w:val="14"/>
                  </w:rPr>
                  <w:t>60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183502pt;margin-top:615.817017pt;width:9pt;height:11.95pt;mso-position-horizontal-relative:page;mso-position-vertical-relative:page;z-index:-20979712" type="#_x0000_t202" id="docshape553" filled="false" stroked="false">
          <v:textbox inset="0,0,0,0">
            <w:txbxContent>
              <w:p>
                <w:pPr>
                  <w:spacing w:before="52"/>
                  <w:ind w:left="20" w:right="0" w:firstLine="0"/>
                  <w:jc w:val="left"/>
                  <w:rPr>
                    <w:rFonts w:ascii="Arial"/>
                    <w:sz w:val="14"/>
                  </w:rPr>
                </w:pPr>
                <w:r>
                  <w:rPr>
                    <w:rFonts w:ascii="Arial"/>
                    <w:color w:val="231F20"/>
                    <w:spacing w:val="-5"/>
                    <w:sz w:val="14"/>
                  </w:rPr>
                  <w:t>61</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75995pt;margin-top:615.817017pt;width:10.1pt;height:11.95pt;mso-position-horizontal-relative:page;mso-position-vertical-relative:page;z-index:-20979200" type="#_x0000_t202" id="docshape577" filled="false" stroked="false">
          <v:textbox inset="0,0,0,0">
            <w:txbxContent>
              <w:p>
                <w:pPr>
                  <w:spacing w:before="52"/>
                  <w:ind w:left="20" w:right="0" w:firstLine="0"/>
                  <w:jc w:val="left"/>
                  <w:rPr>
                    <w:rFonts w:ascii="Arial"/>
                    <w:sz w:val="14"/>
                  </w:rPr>
                </w:pPr>
                <w:r>
                  <w:rPr>
                    <w:rFonts w:ascii="Arial"/>
                    <w:color w:val="231F20"/>
                    <w:spacing w:val="-5"/>
                    <w:w w:val="105"/>
                    <w:sz w:val="14"/>
                  </w:rPr>
                  <w:t>62</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69098pt;margin-top:615.817017pt;width:10.2pt;height:11.95pt;mso-position-horizontal-relative:page;mso-position-vertical-relative:page;z-index:-20978688" type="#_x0000_t202" id="docshape589" filled="false" stroked="false">
          <v:textbox inset="0,0,0,0">
            <w:txbxContent>
              <w:p>
                <w:pPr>
                  <w:spacing w:before="52"/>
                  <w:ind w:left="20" w:right="0" w:firstLine="0"/>
                  <w:jc w:val="left"/>
                  <w:rPr>
                    <w:rFonts w:ascii="Arial"/>
                    <w:sz w:val="14"/>
                  </w:rPr>
                </w:pPr>
                <w:r>
                  <w:rPr>
                    <w:rFonts w:ascii="Arial"/>
                    <w:color w:val="231F20"/>
                    <w:spacing w:val="-5"/>
                    <w:w w:val="105"/>
                    <w:sz w:val="14"/>
                  </w:rPr>
                  <w:t>63</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41498pt;margin-top:615.817017pt;width:10.65pt;height:11.95pt;mso-position-horizontal-relative:page;mso-position-vertical-relative:page;z-index:-20978176" type="#_x0000_t202" id="docshape591" filled="false" stroked="false">
          <v:textbox inset="0,0,0,0">
            <w:txbxContent>
              <w:p>
                <w:pPr>
                  <w:spacing w:before="52"/>
                  <w:ind w:left="20" w:right="0" w:firstLine="0"/>
                  <w:jc w:val="left"/>
                  <w:rPr>
                    <w:rFonts w:ascii="Arial"/>
                    <w:sz w:val="14"/>
                  </w:rPr>
                </w:pPr>
                <w:r>
                  <w:rPr>
                    <w:rFonts w:ascii="Arial"/>
                    <w:color w:val="231F20"/>
                    <w:spacing w:val="-5"/>
                    <w:w w:val="110"/>
                    <w:sz w:val="14"/>
                  </w:rPr>
                  <w:t>64</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65497pt;margin-top:615.817017pt;width:10.2pt;height:11.95pt;mso-position-horizontal-relative:page;mso-position-vertical-relative:page;z-index:-20977664" type="#_x0000_t202" id="docshape592" filled="false" stroked="false">
          <v:textbox inset="0,0,0,0">
            <w:txbxContent>
              <w:p>
                <w:pPr>
                  <w:spacing w:before="52"/>
                  <w:ind w:left="20" w:right="0" w:firstLine="0"/>
                  <w:jc w:val="left"/>
                  <w:rPr>
                    <w:rFonts w:ascii="Arial"/>
                    <w:sz w:val="14"/>
                  </w:rPr>
                </w:pPr>
                <w:r>
                  <w:rPr>
                    <w:rFonts w:ascii="Arial"/>
                    <w:color w:val="231F20"/>
                    <w:spacing w:val="-5"/>
                    <w:w w:val="105"/>
                    <w:sz w:val="14"/>
                  </w:rPr>
                  <w:t>65</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75pt;margin-top:615.817017pt;width:10.75pt;height:11.95pt;mso-position-horizontal-relative:page;mso-position-vertical-relative:page;z-index:-20977152" type="#_x0000_t202" id="docshape593" filled="false" stroked="false">
          <v:textbox inset="0,0,0,0">
            <w:txbxContent>
              <w:p>
                <w:pPr>
                  <w:spacing w:before="52"/>
                  <w:ind w:left="20" w:right="0" w:firstLine="0"/>
                  <w:jc w:val="left"/>
                  <w:rPr>
                    <w:rFonts w:ascii="Arial"/>
                    <w:sz w:val="14"/>
                  </w:rPr>
                </w:pPr>
                <w:r>
                  <w:rPr>
                    <w:rFonts w:ascii="Arial"/>
                    <w:color w:val="231F20"/>
                    <w:spacing w:val="-5"/>
                    <w:w w:val="110"/>
                    <w:sz w:val="14"/>
                  </w:rPr>
                  <w:t>66</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802002pt;margin-top:615.817017pt;width:9.8pt;height:11.95pt;mso-position-horizontal-relative:page;mso-position-vertical-relative:page;z-index:-20976640" type="#_x0000_t202" id="docshape594" filled="false" stroked="false">
          <v:textbox inset="0,0,0,0">
            <w:txbxContent>
              <w:p>
                <w:pPr>
                  <w:spacing w:before="52"/>
                  <w:ind w:left="20" w:right="0" w:firstLine="0"/>
                  <w:jc w:val="left"/>
                  <w:rPr>
                    <w:rFonts w:ascii="Arial"/>
                    <w:sz w:val="14"/>
                  </w:rPr>
                </w:pPr>
                <w:r>
                  <w:rPr>
                    <w:rFonts w:ascii="Arial"/>
                    <w:color w:val="231F20"/>
                    <w:spacing w:val="-5"/>
                    <w:sz w:val="14"/>
                  </w:rPr>
                  <w:t>67</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47pt;margin-top:615.817017pt;width:10.85pt;height:11.95pt;mso-position-horizontal-relative:page;mso-position-vertical-relative:page;z-index:-20976128" type="#_x0000_t202" id="docshape595" filled="false" stroked="false">
          <v:textbox inset="0,0,0,0">
            <w:txbxContent>
              <w:p>
                <w:pPr>
                  <w:spacing w:before="52"/>
                  <w:ind w:left="20" w:right="0" w:firstLine="0"/>
                  <w:jc w:val="left"/>
                  <w:rPr>
                    <w:rFonts w:ascii="Arial"/>
                    <w:sz w:val="14"/>
                  </w:rPr>
                </w:pPr>
                <w:r>
                  <w:rPr>
                    <w:rFonts w:ascii="Arial"/>
                    <w:color w:val="231F20"/>
                    <w:spacing w:val="-5"/>
                    <w:w w:val="115"/>
                    <w:sz w:val="14"/>
                  </w:rPr>
                  <w:t>68</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445007pt;margin-top:615.817017pt;width:10.5pt;height:11.95pt;mso-position-horizontal-relative:page;mso-position-vertical-relative:page;z-index:-20975616" type="#_x0000_t202" id="docshape596" filled="false" stroked="false">
          <v:textbox inset="0,0,0,0">
            <w:txbxContent>
              <w:p>
                <w:pPr>
                  <w:spacing w:before="52"/>
                  <w:ind w:left="20" w:right="0" w:firstLine="0"/>
                  <w:jc w:val="left"/>
                  <w:rPr>
                    <w:rFonts w:ascii="Arial"/>
                    <w:sz w:val="14"/>
                  </w:rPr>
                </w:pPr>
                <w:r>
                  <w:rPr>
                    <w:rFonts w:ascii="Arial"/>
                    <w:color w:val="231F20"/>
                    <w:spacing w:val="-5"/>
                    <w:w w:val="110"/>
                    <w:sz w:val="14"/>
                  </w:rPr>
                  <w:t>69</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098999pt;margin-top:615.817017pt;width:10.25pt;height:11.95pt;mso-position-horizontal-relative:page;mso-position-vertical-relative:page;z-index:-20975104" type="#_x0000_t202" id="docshape597" filled="false" stroked="false">
          <v:textbox inset="0,0,0,0">
            <w:txbxContent>
              <w:p>
                <w:pPr>
                  <w:spacing w:before="52"/>
                  <w:ind w:left="20" w:right="0" w:firstLine="0"/>
                  <w:jc w:val="left"/>
                  <w:rPr>
                    <w:rFonts w:ascii="Arial"/>
                    <w:sz w:val="14"/>
                  </w:rPr>
                </w:pPr>
                <w:r>
                  <w:rPr>
                    <w:rFonts w:ascii="Arial"/>
                    <w:color w:val="231F20"/>
                    <w:spacing w:val="-5"/>
                    <w:w w:val="105"/>
                    <w:sz w:val="14"/>
                  </w:rPr>
                  <w:t>70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435593pt;margin-top:615.817017pt;width:8.7pt;height:11.95pt;mso-position-horizontal-relative:page;mso-position-vertical-relative:page;z-index:-20974592" type="#_x0000_t202" id="docshape598" filled="false" stroked="false">
          <v:textbox inset="0,0,0,0">
            <w:txbxContent>
              <w:p>
                <w:pPr>
                  <w:spacing w:before="52"/>
                  <w:ind w:left="20" w:right="0" w:firstLine="0"/>
                  <w:jc w:val="left"/>
                  <w:rPr>
                    <w:rFonts w:ascii="Arial"/>
                    <w:sz w:val="14"/>
                  </w:rPr>
                </w:pPr>
                <w:r>
                  <w:rPr>
                    <w:rFonts w:ascii="Arial"/>
                    <w:color w:val="231F20"/>
                    <w:spacing w:val="-5"/>
                    <w:w w:val="95"/>
                    <w:sz w:val="14"/>
                  </w:rPr>
                  <w:t>71</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515503pt;margin-top:615.817017pt;width:9.5pt;height:11.95pt;mso-position-horizontal-relative:page;mso-position-vertical-relative:page;z-index:-20974080" type="#_x0000_t202" id="docshape604" filled="false" stroked="false">
          <v:textbox inset="0,0,0,0">
            <w:txbxContent>
              <w:p>
                <w:pPr>
                  <w:spacing w:before="52"/>
                  <w:ind w:left="20" w:right="0" w:firstLine="0"/>
                  <w:jc w:val="left"/>
                  <w:rPr>
                    <w:rFonts w:ascii="Arial"/>
                    <w:sz w:val="14"/>
                  </w:rPr>
                </w:pPr>
                <w:r>
                  <w:rPr>
                    <w:rFonts w:ascii="Arial"/>
                    <w:color w:val="231F20"/>
                    <w:spacing w:val="-5"/>
                    <w:sz w:val="14"/>
                  </w:rPr>
                  <w:t>72</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43594pt;margin-top:615.817017pt;width:9.450pt;height:11.95pt;mso-position-horizontal-relative:page;mso-position-vertical-relative:page;z-index:-20973568" type="#_x0000_t202" id="docshape607" filled="false" stroked="false">
          <v:textbox inset="0,0,0,0">
            <w:txbxContent>
              <w:p>
                <w:pPr>
                  <w:spacing w:before="52"/>
                  <w:ind w:left="20" w:right="0" w:firstLine="0"/>
                  <w:jc w:val="left"/>
                  <w:rPr>
                    <w:rFonts w:ascii="Arial"/>
                    <w:sz w:val="14"/>
                  </w:rPr>
                </w:pPr>
                <w:r>
                  <w:rPr>
                    <w:rFonts w:ascii="Arial"/>
                    <w:color w:val="231F20"/>
                    <w:spacing w:val="-5"/>
                    <w:sz w:val="14"/>
                  </w:rPr>
                  <w:t>73</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403595pt;margin-top:615.817017pt;width:9.550pt;height:11.95pt;mso-position-horizontal-relative:page;mso-position-vertical-relative:page;z-index:-20973056" type="#_x0000_t202" id="docshape610" filled="false" stroked="false">
          <v:textbox inset="0,0,0,0">
            <w:txbxContent>
              <w:p>
                <w:pPr>
                  <w:spacing w:before="52"/>
                  <w:ind w:left="20" w:right="0" w:firstLine="0"/>
                  <w:jc w:val="left"/>
                  <w:rPr>
                    <w:rFonts w:ascii="Arial"/>
                    <w:sz w:val="14"/>
                  </w:rPr>
                </w:pPr>
                <w:r>
                  <w:rPr>
                    <w:rFonts w:ascii="Arial"/>
                    <w:color w:val="231F20"/>
                    <w:spacing w:val="-5"/>
                    <w:sz w:val="14"/>
                  </w:rPr>
                  <w:t>74</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401pt;margin-top:615.817017pt;width:9.450pt;height:11.95pt;mso-position-horizontal-relative:page;mso-position-vertical-relative:page;z-index:-20972544" type="#_x0000_t202" id="docshape614" filled="false" stroked="false">
          <v:textbox inset="0,0,0,0">
            <w:txbxContent>
              <w:p>
                <w:pPr>
                  <w:spacing w:before="52"/>
                  <w:ind w:left="20" w:right="0" w:firstLine="0"/>
                  <w:jc w:val="left"/>
                  <w:rPr>
                    <w:rFonts w:ascii="Arial"/>
                    <w:sz w:val="14"/>
                  </w:rPr>
                </w:pPr>
                <w:r>
                  <w:rPr>
                    <w:rFonts w:ascii="Arial"/>
                    <w:color w:val="231F20"/>
                    <w:spacing w:val="-5"/>
                    <w:sz w:val="14"/>
                  </w:rPr>
                  <w:t>75</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2845pt;margin-top:615.817017pt;width:9.9pt;height:11.95pt;mso-position-horizontal-relative:page;mso-position-vertical-relative:page;z-index:-20972032" type="#_x0000_t202" id="docshape623" filled="false" stroked="false">
          <v:textbox inset="0,0,0,0">
            <w:txbxContent>
              <w:p>
                <w:pPr>
                  <w:spacing w:before="52"/>
                  <w:ind w:left="20" w:right="0" w:firstLine="0"/>
                  <w:jc w:val="left"/>
                  <w:rPr>
                    <w:rFonts w:ascii="Arial"/>
                    <w:sz w:val="14"/>
                  </w:rPr>
                </w:pPr>
                <w:r>
                  <w:rPr>
                    <w:rFonts w:ascii="Arial"/>
                    <w:color w:val="231F20"/>
                    <w:spacing w:val="-5"/>
                    <w:sz w:val="14"/>
                  </w:rPr>
                  <w:t>76</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89096pt;margin-top:615.817017pt;width:9.4pt;height:11.95pt;mso-position-horizontal-relative:page;mso-position-vertical-relative:page;z-index:-20971520" type="#_x0000_t202" id="docshape624" filled="false" stroked="false">
          <v:textbox inset="0,0,0,0">
            <w:txbxContent>
              <w:p>
                <w:pPr>
                  <w:spacing w:before="52"/>
                  <w:ind w:left="20" w:right="0" w:firstLine="0"/>
                  <w:jc w:val="left"/>
                  <w:rPr>
                    <w:rFonts w:ascii="Arial"/>
                    <w:sz w:val="14"/>
                  </w:rPr>
                </w:pPr>
                <w:r>
                  <w:rPr>
                    <w:rFonts w:ascii="Arial"/>
                    <w:color w:val="231F20"/>
                    <w:spacing w:val="-5"/>
                    <w:sz w:val="14"/>
                  </w:rPr>
                  <w:t>77</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661499pt;margin-top:615.817017pt;width:11.2pt;height:11.95pt;mso-position-horizontal-relative:page;mso-position-vertical-relative:page;z-index:-20971008" type="#_x0000_t202" id="docshape626" filled="false" stroked="false">
          <v:textbox inset="0,0,0,0">
            <w:txbxContent>
              <w:p>
                <w:pPr>
                  <w:spacing w:before="52"/>
                  <w:ind w:left="20" w:right="0" w:firstLine="0"/>
                  <w:jc w:val="left"/>
                  <w:rPr>
                    <w:rFonts w:ascii="Arial"/>
                    <w:sz w:val="14"/>
                  </w:rPr>
                </w:pPr>
                <w:r>
                  <w:rPr>
                    <w:rFonts w:ascii="Arial"/>
                    <w:color w:val="231F20"/>
                    <w:spacing w:val="-5"/>
                    <w:w w:val="115"/>
                    <w:sz w:val="14"/>
                  </w:rPr>
                  <w:t>80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102997pt;margin-top:615.817017pt;width:9.25pt;height:11.95pt;mso-position-horizontal-relative:page;mso-position-vertical-relative:page;z-index:-20970496" type="#_x0000_t202" id="docshape644" filled="false" stroked="false">
          <v:textbox inset="0,0,0,0">
            <w:txbxContent>
              <w:p>
                <w:pPr>
                  <w:spacing w:before="52"/>
                  <w:ind w:left="20" w:right="0" w:firstLine="0"/>
                  <w:jc w:val="left"/>
                  <w:rPr>
                    <w:rFonts w:ascii="Arial"/>
                    <w:sz w:val="14"/>
                  </w:rPr>
                </w:pPr>
                <w:r>
                  <w:rPr>
                    <w:rFonts w:ascii="Arial"/>
                    <w:color w:val="231F20"/>
                    <w:spacing w:val="-5"/>
                    <w:sz w:val="14"/>
                  </w:rPr>
                  <w:t>81</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147995pt;margin-top:615.817017pt;width:10.15pt;height:11.95pt;mso-position-horizontal-relative:page;mso-position-vertical-relative:page;z-index:-20969984" type="#_x0000_t202" id="docshape653" filled="false" stroked="false">
          <v:textbox inset="0,0,0,0">
            <w:txbxContent>
              <w:p>
                <w:pPr>
                  <w:spacing w:before="52"/>
                  <w:ind w:left="20" w:right="0" w:firstLine="0"/>
                  <w:jc w:val="left"/>
                  <w:rPr>
                    <w:rFonts w:ascii="Arial"/>
                    <w:sz w:val="14"/>
                  </w:rPr>
                </w:pPr>
                <w:r>
                  <w:rPr>
                    <w:rFonts w:ascii="Arial"/>
                    <w:color w:val="231F20"/>
                    <w:spacing w:val="-5"/>
                    <w:w w:val="105"/>
                    <w:sz w:val="14"/>
                  </w:rPr>
                  <w:t>82</w:t>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41098pt;margin-top:615.817017pt;width:10.25pt;height:11.95pt;mso-position-horizontal-relative:page;mso-position-vertical-relative:page;z-index:-20969472" type="#_x0000_t202" id="docshape655" filled="false" stroked="false">
          <v:textbox inset="0,0,0,0">
            <w:txbxContent>
              <w:p>
                <w:pPr>
                  <w:spacing w:before="52"/>
                  <w:ind w:left="20" w:right="0" w:firstLine="0"/>
                  <w:jc w:val="left"/>
                  <w:rPr>
                    <w:rFonts w:ascii="Arial"/>
                    <w:sz w:val="14"/>
                  </w:rPr>
                </w:pPr>
                <w:r>
                  <w:rPr>
                    <w:rFonts w:ascii="Arial"/>
                    <w:color w:val="231F20"/>
                    <w:spacing w:val="-5"/>
                    <w:w w:val="105"/>
                    <w:sz w:val="14"/>
                  </w:rPr>
                  <w:t>83</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913605pt;margin-top:615.817017pt;width:10.7pt;height:11.95pt;mso-position-horizontal-relative:page;mso-position-vertical-relative:page;z-index:-20968960" type="#_x0000_t202" id="docshape657" filled="false" stroked="false">
          <v:textbox inset="0,0,0,0">
            <w:txbxContent>
              <w:p>
                <w:pPr>
                  <w:spacing w:before="52"/>
                  <w:ind w:left="20" w:right="0" w:firstLine="0"/>
                  <w:jc w:val="left"/>
                  <w:rPr>
                    <w:rFonts w:ascii="Arial"/>
                    <w:sz w:val="14"/>
                  </w:rPr>
                </w:pPr>
                <w:r>
                  <w:rPr>
                    <w:rFonts w:ascii="Arial"/>
                    <w:color w:val="231F20"/>
                    <w:spacing w:val="-5"/>
                    <w:w w:val="110"/>
                    <w:sz w:val="14"/>
                  </w:rPr>
                  <w:t>84</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637497pt;margin-top:615.817017pt;width:10.25pt;height:11.95pt;mso-position-horizontal-relative:page;mso-position-vertical-relative:page;z-index:-20968448" type="#_x0000_t202" id="docshape658" filled="false" stroked="false">
          <v:textbox inset="0,0,0,0">
            <w:txbxContent>
              <w:p>
                <w:pPr>
                  <w:spacing w:before="52"/>
                  <w:ind w:left="20" w:right="0" w:firstLine="0"/>
                  <w:jc w:val="left"/>
                  <w:rPr>
                    <w:rFonts w:ascii="Arial"/>
                    <w:sz w:val="14"/>
                  </w:rPr>
                </w:pPr>
                <w:r>
                  <w:rPr>
                    <w:rFonts w:ascii="Arial"/>
                    <w:color w:val="231F20"/>
                    <w:spacing w:val="-5"/>
                    <w:w w:val="105"/>
                    <w:sz w:val="14"/>
                  </w:rPr>
                  <w:t>85</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47pt;margin-top:615.817017pt;width:10.85pt;height:11.95pt;mso-position-horizontal-relative:page;mso-position-vertical-relative:page;z-index:-20967936" type="#_x0000_t202" id="docshape659" filled="false" stroked="false">
          <v:textbox inset="0,0,0,0">
            <w:txbxContent>
              <w:p>
                <w:pPr>
                  <w:spacing w:before="52"/>
                  <w:ind w:left="20" w:right="0" w:firstLine="0"/>
                  <w:jc w:val="left"/>
                  <w:rPr>
                    <w:rFonts w:ascii="Arial"/>
                    <w:sz w:val="14"/>
                  </w:rPr>
                </w:pPr>
                <w:r>
                  <w:rPr>
                    <w:rFonts w:ascii="Arial"/>
                    <w:color w:val="231F20"/>
                    <w:spacing w:val="-5"/>
                    <w:w w:val="115"/>
                    <w:sz w:val="14"/>
                  </w:rPr>
                  <w:t>86</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91504pt;margin-top:615.817017pt;width:9.8pt;height:11.95pt;mso-position-horizontal-relative:page;mso-position-vertical-relative:page;z-index:-20967424" type="#_x0000_t202" id="docshape661" filled="false" stroked="false">
          <v:textbox inset="0,0,0,0">
            <w:txbxContent>
              <w:p>
                <w:pPr>
                  <w:spacing w:before="52"/>
                  <w:ind w:left="20" w:right="0" w:firstLine="0"/>
                  <w:jc w:val="left"/>
                  <w:rPr>
                    <w:rFonts w:ascii="Arial"/>
                    <w:sz w:val="14"/>
                  </w:rPr>
                </w:pPr>
                <w:r>
                  <w:rPr>
                    <w:rFonts w:ascii="Arial"/>
                    <w:color w:val="231F20"/>
                    <w:spacing w:val="-5"/>
                    <w:w w:val="105"/>
                    <w:sz w:val="14"/>
                  </w:rPr>
                  <w:t>87</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819pt;margin-top:615.817017pt;width:10.9pt;height:11.95pt;mso-position-horizontal-relative:page;mso-position-vertical-relative:page;z-index:-20966912" type="#_x0000_t202" id="docshape674" filled="false" stroked="false">
          <v:textbox inset="0,0,0,0">
            <w:txbxContent>
              <w:p>
                <w:pPr>
                  <w:spacing w:before="52"/>
                  <w:ind w:left="20" w:right="0" w:firstLine="0"/>
                  <w:jc w:val="left"/>
                  <w:rPr>
                    <w:rFonts w:ascii="Arial"/>
                    <w:sz w:val="14"/>
                  </w:rPr>
                </w:pPr>
                <w:r>
                  <w:rPr>
                    <w:rFonts w:ascii="Arial"/>
                    <w:color w:val="231F20"/>
                    <w:spacing w:val="-5"/>
                    <w:w w:val="115"/>
                    <w:sz w:val="14"/>
                  </w:rPr>
                  <w:t>88</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382004pt;margin-top:615.817017pt;width:10.7pt;height:11.95pt;mso-position-horizontal-relative:page;mso-position-vertical-relative:page;z-index:-20966400" type="#_x0000_t202" id="docshape675" filled="false" stroked="false">
          <v:textbox inset="0,0,0,0">
            <w:txbxContent>
              <w:p>
                <w:pPr>
                  <w:spacing w:before="52"/>
                  <w:ind w:left="20" w:right="0" w:firstLine="0"/>
                  <w:jc w:val="left"/>
                  <w:rPr>
                    <w:rFonts w:ascii="Arial"/>
                    <w:sz w:val="14"/>
                  </w:rPr>
                </w:pPr>
                <w:r>
                  <w:rPr>
                    <w:rFonts w:ascii="Arial"/>
                    <w:color w:val="231F20"/>
                    <w:spacing w:val="-5"/>
                    <w:w w:val="115"/>
                    <w:sz w:val="14"/>
                  </w:rPr>
                  <w:t>89</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0.689499pt;margin-top:615.817017pt;width:11.15pt;height:11.95pt;mso-position-horizontal-relative:page;mso-position-vertical-relative:page;z-index:-20965888" type="#_x0000_t202" id="docshape676" filled="false" stroked="false">
          <v:textbox inset="0,0,0,0">
            <w:txbxContent>
              <w:p>
                <w:pPr>
                  <w:spacing w:before="52"/>
                  <w:ind w:left="20" w:right="0" w:firstLine="0"/>
                  <w:jc w:val="left"/>
                  <w:rPr>
                    <w:rFonts w:ascii="Arial"/>
                    <w:sz w:val="14"/>
                  </w:rPr>
                </w:pPr>
                <w:r>
                  <w:rPr>
                    <w:rFonts w:ascii="Arial"/>
                    <w:color w:val="231F20"/>
                    <w:spacing w:val="-5"/>
                    <w:w w:val="115"/>
                    <w:sz w:val="14"/>
                  </w:rPr>
                  <w:t>90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6"/>
      <w:numFmt w:val="decimal"/>
      <w:lvlText w:val="%1"/>
      <w:lvlJc w:val="left"/>
      <w:pPr>
        <w:ind w:left="829" w:hanging="328"/>
        <w:jc w:val="right"/>
      </w:pPr>
      <w:rPr>
        <w:rFonts w:hint="default" w:ascii="Arial" w:hAnsi="Arial" w:eastAsia="Arial" w:cs="Arial"/>
        <w:b w:val="0"/>
        <w:bCs w:val="0"/>
        <w:i w:val="0"/>
        <w:iCs w:val="0"/>
        <w:color w:val="231F20"/>
        <w:w w:val="116"/>
        <w:sz w:val="12"/>
        <w:szCs w:val="12"/>
        <w:lang w:val="en-gb" w:eastAsia="en-US" w:bidi="ar-SA"/>
      </w:rPr>
    </w:lvl>
    <w:lvl w:ilvl="1">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3">
      <w:start w:val="0"/>
      <w:numFmt w:val="bullet"/>
      <w:lvlText w:val="•"/>
      <w:lvlJc w:val="left"/>
      <w:pPr>
        <w:ind w:left="2390" w:hanging="251"/>
      </w:pPr>
      <w:rPr>
        <w:rFonts w:hint="default"/>
        <w:lang w:val="en-gb" w:eastAsia="en-US" w:bidi="ar-SA"/>
      </w:rPr>
    </w:lvl>
    <w:lvl w:ilvl="4">
      <w:start w:val="0"/>
      <w:numFmt w:val="bullet"/>
      <w:lvlText w:val="•"/>
      <w:lvlJc w:val="left"/>
      <w:pPr>
        <w:ind w:left="3060" w:hanging="251"/>
      </w:pPr>
      <w:rPr>
        <w:rFonts w:hint="default"/>
        <w:lang w:val="en-gb" w:eastAsia="en-US" w:bidi="ar-SA"/>
      </w:rPr>
    </w:lvl>
    <w:lvl w:ilvl="5">
      <w:start w:val="0"/>
      <w:numFmt w:val="bullet"/>
      <w:lvlText w:val="•"/>
      <w:lvlJc w:val="left"/>
      <w:pPr>
        <w:ind w:left="3730" w:hanging="251"/>
      </w:pPr>
      <w:rPr>
        <w:rFonts w:hint="default"/>
        <w:lang w:val="en-gb" w:eastAsia="en-US" w:bidi="ar-SA"/>
      </w:rPr>
    </w:lvl>
    <w:lvl w:ilvl="6">
      <w:start w:val="0"/>
      <w:numFmt w:val="bullet"/>
      <w:lvlText w:val="•"/>
      <w:lvlJc w:val="left"/>
      <w:pPr>
        <w:ind w:left="4400" w:hanging="251"/>
      </w:pPr>
      <w:rPr>
        <w:rFonts w:hint="default"/>
        <w:lang w:val="en-gb" w:eastAsia="en-US" w:bidi="ar-SA"/>
      </w:rPr>
    </w:lvl>
    <w:lvl w:ilvl="7">
      <w:start w:val="0"/>
      <w:numFmt w:val="bullet"/>
      <w:lvlText w:val="•"/>
      <w:lvlJc w:val="left"/>
      <w:pPr>
        <w:ind w:left="5070" w:hanging="251"/>
      </w:pPr>
      <w:rPr>
        <w:rFonts w:hint="default"/>
        <w:lang w:val="en-gb" w:eastAsia="en-US" w:bidi="ar-SA"/>
      </w:rPr>
    </w:lvl>
    <w:lvl w:ilvl="8">
      <w:start w:val="0"/>
      <w:numFmt w:val="bullet"/>
      <w:lvlText w:val="•"/>
      <w:lvlJc w:val="left"/>
      <w:pPr>
        <w:ind w:left="5740" w:hanging="251"/>
      </w:pPr>
      <w:rPr>
        <w:rFonts w:hint="default"/>
        <w:lang w:val="en-gb" w:eastAsia="en-US" w:bidi="ar-SA"/>
      </w:rPr>
    </w:lvl>
  </w:abstractNum>
  <w:abstractNum w:abstractNumId="102">
    <w:multiLevelType w:val="hybridMultilevel"/>
    <w:lvl w:ilvl="0">
      <w:start w:val="0"/>
      <w:numFmt w:val="bullet"/>
      <w:lvlText w:val="•"/>
      <w:lvlJc w:val="left"/>
      <w:pPr>
        <w:ind w:left="441"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751" w:hanging="181"/>
      </w:pPr>
      <w:rPr>
        <w:rFonts w:hint="default"/>
        <w:lang w:val="en-gb" w:eastAsia="en-US" w:bidi="ar-SA"/>
      </w:rPr>
    </w:lvl>
    <w:lvl w:ilvl="2">
      <w:start w:val="0"/>
      <w:numFmt w:val="bullet"/>
      <w:lvlText w:val="•"/>
      <w:lvlJc w:val="left"/>
      <w:pPr>
        <w:ind w:left="1063" w:hanging="181"/>
      </w:pPr>
      <w:rPr>
        <w:rFonts w:hint="default"/>
        <w:lang w:val="en-gb" w:eastAsia="en-US" w:bidi="ar-SA"/>
      </w:rPr>
    </w:lvl>
    <w:lvl w:ilvl="3">
      <w:start w:val="0"/>
      <w:numFmt w:val="bullet"/>
      <w:lvlText w:val="•"/>
      <w:lvlJc w:val="left"/>
      <w:pPr>
        <w:ind w:left="1374" w:hanging="181"/>
      </w:pPr>
      <w:rPr>
        <w:rFonts w:hint="default"/>
        <w:lang w:val="en-gb" w:eastAsia="en-US" w:bidi="ar-SA"/>
      </w:rPr>
    </w:lvl>
    <w:lvl w:ilvl="4">
      <w:start w:val="0"/>
      <w:numFmt w:val="bullet"/>
      <w:lvlText w:val="•"/>
      <w:lvlJc w:val="left"/>
      <w:pPr>
        <w:ind w:left="1686" w:hanging="181"/>
      </w:pPr>
      <w:rPr>
        <w:rFonts w:hint="default"/>
        <w:lang w:val="en-gb" w:eastAsia="en-US" w:bidi="ar-SA"/>
      </w:rPr>
    </w:lvl>
    <w:lvl w:ilvl="5">
      <w:start w:val="0"/>
      <w:numFmt w:val="bullet"/>
      <w:lvlText w:val="•"/>
      <w:lvlJc w:val="left"/>
      <w:pPr>
        <w:ind w:left="1998" w:hanging="181"/>
      </w:pPr>
      <w:rPr>
        <w:rFonts w:hint="default"/>
        <w:lang w:val="en-gb" w:eastAsia="en-US" w:bidi="ar-SA"/>
      </w:rPr>
    </w:lvl>
    <w:lvl w:ilvl="6">
      <w:start w:val="0"/>
      <w:numFmt w:val="bullet"/>
      <w:lvlText w:val="•"/>
      <w:lvlJc w:val="left"/>
      <w:pPr>
        <w:ind w:left="2309" w:hanging="181"/>
      </w:pPr>
      <w:rPr>
        <w:rFonts w:hint="default"/>
        <w:lang w:val="en-gb" w:eastAsia="en-US" w:bidi="ar-SA"/>
      </w:rPr>
    </w:lvl>
    <w:lvl w:ilvl="7">
      <w:start w:val="0"/>
      <w:numFmt w:val="bullet"/>
      <w:lvlText w:val="•"/>
      <w:lvlJc w:val="left"/>
      <w:pPr>
        <w:ind w:left="2621" w:hanging="181"/>
      </w:pPr>
      <w:rPr>
        <w:rFonts w:hint="default"/>
        <w:lang w:val="en-gb" w:eastAsia="en-US" w:bidi="ar-SA"/>
      </w:rPr>
    </w:lvl>
    <w:lvl w:ilvl="8">
      <w:start w:val="0"/>
      <w:numFmt w:val="bullet"/>
      <w:lvlText w:val="•"/>
      <w:lvlJc w:val="left"/>
      <w:pPr>
        <w:ind w:left="2932" w:hanging="181"/>
      </w:pPr>
      <w:rPr>
        <w:rFonts w:hint="default"/>
        <w:lang w:val="en-gb" w:eastAsia="en-US" w:bidi="ar-SA"/>
      </w:rPr>
    </w:lvl>
  </w:abstractNum>
  <w:abstractNum w:abstractNumId="101">
    <w:multiLevelType w:val="hybridMultilevel"/>
    <w:lvl w:ilvl="0">
      <w:start w:val="0"/>
      <w:numFmt w:val="bullet"/>
      <w:lvlText w:val="•"/>
      <w:lvlJc w:val="left"/>
      <w:pPr>
        <w:ind w:left="101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1266" w:hanging="181"/>
      </w:pPr>
      <w:rPr>
        <w:rFonts w:hint="default"/>
        <w:lang w:val="en-gb" w:eastAsia="en-US" w:bidi="ar-SA"/>
      </w:rPr>
    </w:lvl>
    <w:lvl w:ilvl="2">
      <w:start w:val="0"/>
      <w:numFmt w:val="bullet"/>
      <w:lvlText w:val="•"/>
      <w:lvlJc w:val="left"/>
      <w:pPr>
        <w:ind w:left="1512" w:hanging="181"/>
      </w:pPr>
      <w:rPr>
        <w:rFonts w:hint="default"/>
        <w:lang w:val="en-gb" w:eastAsia="en-US" w:bidi="ar-SA"/>
      </w:rPr>
    </w:lvl>
    <w:lvl w:ilvl="3">
      <w:start w:val="0"/>
      <w:numFmt w:val="bullet"/>
      <w:lvlText w:val="•"/>
      <w:lvlJc w:val="left"/>
      <w:pPr>
        <w:ind w:left="1759" w:hanging="181"/>
      </w:pPr>
      <w:rPr>
        <w:rFonts w:hint="default"/>
        <w:lang w:val="en-gb" w:eastAsia="en-US" w:bidi="ar-SA"/>
      </w:rPr>
    </w:lvl>
    <w:lvl w:ilvl="4">
      <w:start w:val="0"/>
      <w:numFmt w:val="bullet"/>
      <w:lvlText w:val="•"/>
      <w:lvlJc w:val="left"/>
      <w:pPr>
        <w:ind w:left="2005" w:hanging="181"/>
      </w:pPr>
      <w:rPr>
        <w:rFonts w:hint="default"/>
        <w:lang w:val="en-gb" w:eastAsia="en-US" w:bidi="ar-SA"/>
      </w:rPr>
    </w:lvl>
    <w:lvl w:ilvl="5">
      <w:start w:val="0"/>
      <w:numFmt w:val="bullet"/>
      <w:lvlText w:val="•"/>
      <w:lvlJc w:val="left"/>
      <w:pPr>
        <w:ind w:left="2251" w:hanging="181"/>
      </w:pPr>
      <w:rPr>
        <w:rFonts w:hint="default"/>
        <w:lang w:val="en-gb" w:eastAsia="en-US" w:bidi="ar-SA"/>
      </w:rPr>
    </w:lvl>
    <w:lvl w:ilvl="6">
      <w:start w:val="0"/>
      <w:numFmt w:val="bullet"/>
      <w:lvlText w:val="•"/>
      <w:lvlJc w:val="left"/>
      <w:pPr>
        <w:ind w:left="2498" w:hanging="181"/>
      </w:pPr>
      <w:rPr>
        <w:rFonts w:hint="default"/>
        <w:lang w:val="en-gb" w:eastAsia="en-US" w:bidi="ar-SA"/>
      </w:rPr>
    </w:lvl>
    <w:lvl w:ilvl="7">
      <w:start w:val="0"/>
      <w:numFmt w:val="bullet"/>
      <w:lvlText w:val="•"/>
      <w:lvlJc w:val="left"/>
      <w:pPr>
        <w:ind w:left="2744" w:hanging="181"/>
      </w:pPr>
      <w:rPr>
        <w:rFonts w:hint="default"/>
        <w:lang w:val="en-gb" w:eastAsia="en-US" w:bidi="ar-SA"/>
      </w:rPr>
    </w:lvl>
    <w:lvl w:ilvl="8">
      <w:start w:val="0"/>
      <w:numFmt w:val="bullet"/>
      <w:lvlText w:val="•"/>
      <w:lvlJc w:val="left"/>
      <w:pPr>
        <w:ind w:left="2991" w:hanging="181"/>
      </w:pPr>
      <w:rPr>
        <w:rFonts w:hint="default"/>
        <w:lang w:val="en-gb" w:eastAsia="en-US" w:bidi="ar-SA"/>
      </w:rPr>
    </w:lvl>
  </w:abstractNum>
  <w:abstractNum w:abstractNumId="100">
    <w:multiLevelType w:val="hybridMultilevel"/>
    <w:lvl w:ilvl="0">
      <w:start w:val="1"/>
      <w:numFmt w:val="decimal"/>
      <w:lvlText w:val="%1"/>
      <w:lvlJc w:val="left"/>
      <w:pPr>
        <w:ind w:left="829" w:hanging="328"/>
        <w:jc w:val="right"/>
      </w:pPr>
      <w:rPr>
        <w:rFonts w:hint="default" w:ascii="Arial" w:hAnsi="Arial" w:eastAsia="Arial" w:cs="Arial"/>
        <w:b w:val="0"/>
        <w:bCs w:val="0"/>
        <w:i w:val="0"/>
        <w:iCs w:val="0"/>
        <w:color w:val="231F20"/>
        <w:w w:val="116"/>
        <w:sz w:val="12"/>
        <w:szCs w:val="12"/>
        <w:lang w:val="en-gb" w:eastAsia="en-US" w:bidi="ar-SA"/>
      </w:rPr>
    </w:lvl>
    <w:lvl w:ilvl="1">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99">
    <w:multiLevelType w:val="hybridMultilevel"/>
    <w:lvl w:ilvl="0">
      <w:start w:val="3"/>
      <w:numFmt w:val="upperLetter"/>
      <w:lvlText w:val="%1"/>
      <w:lvlJc w:val="left"/>
      <w:pPr>
        <w:ind w:left="520" w:hanging="290"/>
        <w:jc w:val="left"/>
      </w:pPr>
      <w:rPr>
        <w:rFonts w:hint="default"/>
        <w:lang w:val="en-gb" w:eastAsia="en-US" w:bidi="ar-SA"/>
      </w:rPr>
    </w:lvl>
    <w:lvl w:ilvl="1">
      <w:start w:val="1"/>
      <w:numFmt w:val="decimal"/>
      <w:lvlText w:val="%1.%2"/>
      <w:lvlJc w:val="left"/>
      <w:pPr>
        <w:ind w:left="520" w:hanging="290"/>
        <w:jc w:val="right"/>
      </w:pPr>
      <w:rPr>
        <w:rFonts w:hint="default" w:ascii="Arial" w:hAnsi="Arial" w:eastAsia="Arial" w:cs="Arial"/>
        <w:b w:val="0"/>
        <w:bCs w:val="0"/>
        <w:i w:val="0"/>
        <w:iCs w:val="0"/>
        <w:color w:val="231F20"/>
        <w:w w:val="76"/>
        <w:sz w:val="21"/>
        <w:szCs w:val="21"/>
        <w:lang w:val="en-gb" w:eastAsia="en-US" w:bidi="ar-SA"/>
      </w:rPr>
    </w:lvl>
    <w:lvl w:ilvl="2">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3">
      <w:start w:val="0"/>
      <w:numFmt w:val="bullet"/>
      <w:lvlText w:val="•"/>
      <w:lvlJc w:val="left"/>
      <w:pPr>
        <w:ind w:left="2615" w:hanging="251"/>
      </w:pPr>
      <w:rPr>
        <w:rFonts w:hint="default"/>
        <w:lang w:val="en-gb" w:eastAsia="en-US" w:bidi="ar-SA"/>
      </w:rPr>
    </w:lvl>
    <w:lvl w:ilvl="4">
      <w:start w:val="0"/>
      <w:numFmt w:val="bullet"/>
      <w:lvlText w:val="•"/>
      <w:lvlJc w:val="left"/>
      <w:pPr>
        <w:ind w:left="3253" w:hanging="251"/>
      </w:pPr>
      <w:rPr>
        <w:rFonts w:hint="default"/>
        <w:lang w:val="en-gb" w:eastAsia="en-US" w:bidi="ar-SA"/>
      </w:rPr>
    </w:lvl>
    <w:lvl w:ilvl="5">
      <w:start w:val="0"/>
      <w:numFmt w:val="bullet"/>
      <w:lvlText w:val="•"/>
      <w:lvlJc w:val="left"/>
      <w:pPr>
        <w:ind w:left="3891" w:hanging="251"/>
      </w:pPr>
      <w:rPr>
        <w:rFonts w:hint="default"/>
        <w:lang w:val="en-gb" w:eastAsia="en-US" w:bidi="ar-SA"/>
      </w:rPr>
    </w:lvl>
    <w:lvl w:ilvl="6">
      <w:start w:val="0"/>
      <w:numFmt w:val="bullet"/>
      <w:lvlText w:val="•"/>
      <w:lvlJc w:val="left"/>
      <w:pPr>
        <w:ind w:left="4528" w:hanging="251"/>
      </w:pPr>
      <w:rPr>
        <w:rFonts w:hint="default"/>
        <w:lang w:val="en-gb" w:eastAsia="en-US" w:bidi="ar-SA"/>
      </w:rPr>
    </w:lvl>
    <w:lvl w:ilvl="7">
      <w:start w:val="0"/>
      <w:numFmt w:val="bullet"/>
      <w:lvlText w:val="•"/>
      <w:lvlJc w:val="left"/>
      <w:pPr>
        <w:ind w:left="5166" w:hanging="251"/>
      </w:pPr>
      <w:rPr>
        <w:rFonts w:hint="default"/>
        <w:lang w:val="en-gb" w:eastAsia="en-US" w:bidi="ar-SA"/>
      </w:rPr>
    </w:lvl>
    <w:lvl w:ilvl="8">
      <w:start w:val="0"/>
      <w:numFmt w:val="bullet"/>
      <w:lvlText w:val="•"/>
      <w:lvlJc w:val="left"/>
      <w:pPr>
        <w:ind w:left="5804" w:hanging="251"/>
      </w:pPr>
      <w:rPr>
        <w:rFonts w:hint="default"/>
        <w:lang w:val="en-gb" w:eastAsia="en-US" w:bidi="ar-SA"/>
      </w:rPr>
    </w:lvl>
  </w:abstractNum>
  <w:abstractNum w:abstractNumId="98">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97">
    <w:multiLevelType w:val="hybridMultilevel"/>
    <w:lvl w:ilvl="0">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96">
    <w:multiLevelType w:val="hybridMultilevel"/>
    <w:lvl w:ilvl="0">
      <w:start w:val="1"/>
      <w:numFmt w:val="decimal"/>
      <w:lvlText w:val="%1"/>
      <w:lvlJc w:val="left"/>
      <w:pPr>
        <w:ind w:left="172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95">
    <w:multiLevelType w:val="hybridMultilevel"/>
    <w:lvl w:ilvl="0">
      <w:start w:val="1"/>
      <w:numFmt w:val="decimal"/>
      <w:lvlText w:val="%1"/>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94">
    <w:multiLevelType w:val="hybridMultilevel"/>
    <w:lvl w:ilvl="0">
      <w:start w:val="3"/>
      <w:numFmt w:val="decimal"/>
      <w:lvlText w:val="%1)"/>
      <w:lvlJc w:val="left"/>
      <w:pPr>
        <w:ind w:left="829" w:hanging="194"/>
        <w:jc w:val="left"/>
      </w:pPr>
      <w:rPr>
        <w:rFonts w:hint="default" w:ascii="Times New Roman" w:hAnsi="Times New Roman" w:eastAsia="Times New Roman" w:cs="Times New Roman"/>
        <w:b w:val="0"/>
        <w:bCs w:val="0"/>
        <w:i w:val="0"/>
        <w:iCs w:val="0"/>
        <w:color w:val="231F20"/>
        <w:w w:val="107"/>
        <w:sz w:val="17"/>
        <w:szCs w:val="17"/>
        <w:lang w:val="en-gb" w:eastAsia="en-US" w:bidi="ar-SA"/>
      </w:rPr>
    </w:lvl>
    <w:lvl w:ilvl="1">
      <w:start w:val="1"/>
      <w:numFmt w:val="decimal"/>
      <w:lvlText w:val="%2"/>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2">
      <w:start w:val="0"/>
      <w:numFmt w:val="bullet"/>
      <w:lvlText w:val="•"/>
      <w:lvlJc w:val="left"/>
      <w:pPr>
        <w:ind w:left="1977" w:hanging="251"/>
      </w:pPr>
      <w:rPr>
        <w:rFonts w:hint="default"/>
        <w:lang w:val="en-gb" w:eastAsia="en-US" w:bidi="ar-SA"/>
      </w:rPr>
    </w:lvl>
    <w:lvl w:ilvl="3">
      <w:start w:val="0"/>
      <w:numFmt w:val="bullet"/>
      <w:lvlText w:val="•"/>
      <w:lvlJc w:val="left"/>
      <w:pPr>
        <w:ind w:left="2615" w:hanging="251"/>
      </w:pPr>
      <w:rPr>
        <w:rFonts w:hint="default"/>
        <w:lang w:val="en-gb" w:eastAsia="en-US" w:bidi="ar-SA"/>
      </w:rPr>
    </w:lvl>
    <w:lvl w:ilvl="4">
      <w:start w:val="0"/>
      <w:numFmt w:val="bullet"/>
      <w:lvlText w:val="•"/>
      <w:lvlJc w:val="left"/>
      <w:pPr>
        <w:ind w:left="3253" w:hanging="251"/>
      </w:pPr>
      <w:rPr>
        <w:rFonts w:hint="default"/>
        <w:lang w:val="en-gb" w:eastAsia="en-US" w:bidi="ar-SA"/>
      </w:rPr>
    </w:lvl>
    <w:lvl w:ilvl="5">
      <w:start w:val="0"/>
      <w:numFmt w:val="bullet"/>
      <w:lvlText w:val="•"/>
      <w:lvlJc w:val="left"/>
      <w:pPr>
        <w:ind w:left="3891" w:hanging="251"/>
      </w:pPr>
      <w:rPr>
        <w:rFonts w:hint="default"/>
        <w:lang w:val="en-gb" w:eastAsia="en-US" w:bidi="ar-SA"/>
      </w:rPr>
    </w:lvl>
    <w:lvl w:ilvl="6">
      <w:start w:val="0"/>
      <w:numFmt w:val="bullet"/>
      <w:lvlText w:val="•"/>
      <w:lvlJc w:val="left"/>
      <w:pPr>
        <w:ind w:left="4528" w:hanging="251"/>
      </w:pPr>
      <w:rPr>
        <w:rFonts w:hint="default"/>
        <w:lang w:val="en-gb" w:eastAsia="en-US" w:bidi="ar-SA"/>
      </w:rPr>
    </w:lvl>
    <w:lvl w:ilvl="7">
      <w:start w:val="0"/>
      <w:numFmt w:val="bullet"/>
      <w:lvlText w:val="•"/>
      <w:lvlJc w:val="left"/>
      <w:pPr>
        <w:ind w:left="5166" w:hanging="251"/>
      </w:pPr>
      <w:rPr>
        <w:rFonts w:hint="default"/>
        <w:lang w:val="en-gb" w:eastAsia="en-US" w:bidi="ar-SA"/>
      </w:rPr>
    </w:lvl>
    <w:lvl w:ilvl="8">
      <w:start w:val="0"/>
      <w:numFmt w:val="bullet"/>
      <w:lvlText w:val="•"/>
      <w:lvlJc w:val="left"/>
      <w:pPr>
        <w:ind w:left="5804" w:hanging="251"/>
      </w:pPr>
      <w:rPr>
        <w:rFonts w:hint="default"/>
        <w:lang w:val="en-gb" w:eastAsia="en-US" w:bidi="ar-SA"/>
      </w:rPr>
    </w:lvl>
  </w:abstractNum>
  <w:abstractNum w:abstractNumId="93">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92">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91">
    <w:multiLevelType w:val="hybridMultilevel"/>
    <w:lvl w:ilvl="0">
      <w:start w:val="0"/>
      <w:numFmt w:val="bullet"/>
      <w:lvlText w:val="•"/>
      <w:lvlJc w:val="left"/>
      <w:pPr>
        <w:ind w:left="750" w:hanging="251"/>
      </w:pPr>
      <w:rPr>
        <w:rFonts w:hint="default" w:ascii="Arial" w:hAnsi="Arial" w:eastAsia="Arial" w:cs="Arial"/>
        <w:b/>
        <w:bCs/>
        <w:i w:val="0"/>
        <w:iCs w:val="0"/>
        <w:color w:val="231F20"/>
        <w:w w:val="107"/>
        <w:sz w:val="17"/>
        <w:szCs w:val="17"/>
        <w:lang w:val="en-gb" w:eastAsia="en-US" w:bidi="ar-SA"/>
      </w:rPr>
    </w:lvl>
    <w:lvl w:ilvl="1">
      <w:start w:val="0"/>
      <w:numFmt w:val="bullet"/>
      <w:lvlText w:val="•"/>
      <w:lvlJc w:val="left"/>
      <w:pPr>
        <w:ind w:left="1259" w:hanging="251"/>
      </w:pPr>
      <w:rPr>
        <w:rFonts w:hint="default"/>
        <w:lang w:val="en-gb" w:eastAsia="en-US" w:bidi="ar-SA"/>
      </w:rPr>
    </w:lvl>
    <w:lvl w:ilvl="2">
      <w:start w:val="0"/>
      <w:numFmt w:val="bullet"/>
      <w:lvlText w:val="•"/>
      <w:lvlJc w:val="left"/>
      <w:pPr>
        <w:ind w:left="1758" w:hanging="251"/>
      </w:pPr>
      <w:rPr>
        <w:rFonts w:hint="default"/>
        <w:lang w:val="en-gb" w:eastAsia="en-US" w:bidi="ar-SA"/>
      </w:rPr>
    </w:lvl>
    <w:lvl w:ilvl="3">
      <w:start w:val="0"/>
      <w:numFmt w:val="bullet"/>
      <w:lvlText w:val="•"/>
      <w:lvlJc w:val="left"/>
      <w:pPr>
        <w:ind w:left="2257" w:hanging="251"/>
      </w:pPr>
      <w:rPr>
        <w:rFonts w:hint="default"/>
        <w:lang w:val="en-gb" w:eastAsia="en-US" w:bidi="ar-SA"/>
      </w:rPr>
    </w:lvl>
    <w:lvl w:ilvl="4">
      <w:start w:val="0"/>
      <w:numFmt w:val="bullet"/>
      <w:lvlText w:val="•"/>
      <w:lvlJc w:val="left"/>
      <w:pPr>
        <w:ind w:left="2756" w:hanging="251"/>
      </w:pPr>
      <w:rPr>
        <w:rFonts w:hint="default"/>
        <w:lang w:val="en-gb" w:eastAsia="en-US" w:bidi="ar-SA"/>
      </w:rPr>
    </w:lvl>
    <w:lvl w:ilvl="5">
      <w:start w:val="0"/>
      <w:numFmt w:val="bullet"/>
      <w:lvlText w:val="•"/>
      <w:lvlJc w:val="left"/>
      <w:pPr>
        <w:ind w:left="3255" w:hanging="251"/>
      </w:pPr>
      <w:rPr>
        <w:rFonts w:hint="default"/>
        <w:lang w:val="en-gb" w:eastAsia="en-US" w:bidi="ar-SA"/>
      </w:rPr>
    </w:lvl>
    <w:lvl w:ilvl="6">
      <w:start w:val="0"/>
      <w:numFmt w:val="bullet"/>
      <w:lvlText w:val="•"/>
      <w:lvlJc w:val="left"/>
      <w:pPr>
        <w:ind w:left="3754" w:hanging="251"/>
      </w:pPr>
      <w:rPr>
        <w:rFonts w:hint="default"/>
        <w:lang w:val="en-gb" w:eastAsia="en-US" w:bidi="ar-SA"/>
      </w:rPr>
    </w:lvl>
    <w:lvl w:ilvl="7">
      <w:start w:val="0"/>
      <w:numFmt w:val="bullet"/>
      <w:lvlText w:val="•"/>
      <w:lvlJc w:val="left"/>
      <w:pPr>
        <w:ind w:left="4253" w:hanging="251"/>
      </w:pPr>
      <w:rPr>
        <w:rFonts w:hint="default"/>
        <w:lang w:val="en-gb" w:eastAsia="en-US" w:bidi="ar-SA"/>
      </w:rPr>
    </w:lvl>
    <w:lvl w:ilvl="8">
      <w:start w:val="0"/>
      <w:numFmt w:val="bullet"/>
      <w:lvlText w:val="•"/>
      <w:lvlJc w:val="left"/>
      <w:pPr>
        <w:ind w:left="4752" w:hanging="251"/>
      </w:pPr>
      <w:rPr>
        <w:rFonts w:hint="default"/>
        <w:lang w:val="en-gb" w:eastAsia="en-US" w:bidi="ar-SA"/>
      </w:rPr>
    </w:lvl>
  </w:abstractNum>
  <w:abstractNum w:abstractNumId="90">
    <w:multiLevelType w:val="hybridMultilevel"/>
    <w:lvl w:ilvl="0">
      <w:start w:val="0"/>
      <w:numFmt w:val="bullet"/>
      <w:lvlText w:val="•"/>
      <w:lvlJc w:val="left"/>
      <w:pPr>
        <w:ind w:left="750" w:hanging="251"/>
      </w:pPr>
      <w:rPr>
        <w:rFonts w:hint="default" w:ascii="Arial" w:hAnsi="Arial" w:eastAsia="Arial" w:cs="Arial"/>
        <w:b/>
        <w:bCs/>
        <w:i w:val="0"/>
        <w:iCs w:val="0"/>
        <w:color w:val="231F20"/>
        <w:w w:val="107"/>
        <w:sz w:val="17"/>
        <w:szCs w:val="17"/>
        <w:lang w:val="en-gb" w:eastAsia="en-US" w:bidi="ar-SA"/>
      </w:rPr>
    </w:lvl>
    <w:lvl w:ilvl="1">
      <w:start w:val="0"/>
      <w:numFmt w:val="bullet"/>
      <w:lvlText w:val="•"/>
      <w:lvlJc w:val="left"/>
      <w:pPr>
        <w:ind w:left="1259" w:hanging="251"/>
      </w:pPr>
      <w:rPr>
        <w:rFonts w:hint="default"/>
        <w:lang w:val="en-gb" w:eastAsia="en-US" w:bidi="ar-SA"/>
      </w:rPr>
    </w:lvl>
    <w:lvl w:ilvl="2">
      <w:start w:val="0"/>
      <w:numFmt w:val="bullet"/>
      <w:lvlText w:val="•"/>
      <w:lvlJc w:val="left"/>
      <w:pPr>
        <w:ind w:left="1758" w:hanging="251"/>
      </w:pPr>
      <w:rPr>
        <w:rFonts w:hint="default"/>
        <w:lang w:val="en-gb" w:eastAsia="en-US" w:bidi="ar-SA"/>
      </w:rPr>
    </w:lvl>
    <w:lvl w:ilvl="3">
      <w:start w:val="0"/>
      <w:numFmt w:val="bullet"/>
      <w:lvlText w:val="•"/>
      <w:lvlJc w:val="left"/>
      <w:pPr>
        <w:ind w:left="2257" w:hanging="251"/>
      </w:pPr>
      <w:rPr>
        <w:rFonts w:hint="default"/>
        <w:lang w:val="en-gb" w:eastAsia="en-US" w:bidi="ar-SA"/>
      </w:rPr>
    </w:lvl>
    <w:lvl w:ilvl="4">
      <w:start w:val="0"/>
      <w:numFmt w:val="bullet"/>
      <w:lvlText w:val="•"/>
      <w:lvlJc w:val="left"/>
      <w:pPr>
        <w:ind w:left="2756" w:hanging="251"/>
      </w:pPr>
      <w:rPr>
        <w:rFonts w:hint="default"/>
        <w:lang w:val="en-gb" w:eastAsia="en-US" w:bidi="ar-SA"/>
      </w:rPr>
    </w:lvl>
    <w:lvl w:ilvl="5">
      <w:start w:val="0"/>
      <w:numFmt w:val="bullet"/>
      <w:lvlText w:val="•"/>
      <w:lvlJc w:val="left"/>
      <w:pPr>
        <w:ind w:left="3255" w:hanging="251"/>
      </w:pPr>
      <w:rPr>
        <w:rFonts w:hint="default"/>
        <w:lang w:val="en-gb" w:eastAsia="en-US" w:bidi="ar-SA"/>
      </w:rPr>
    </w:lvl>
    <w:lvl w:ilvl="6">
      <w:start w:val="0"/>
      <w:numFmt w:val="bullet"/>
      <w:lvlText w:val="•"/>
      <w:lvlJc w:val="left"/>
      <w:pPr>
        <w:ind w:left="3754" w:hanging="251"/>
      </w:pPr>
      <w:rPr>
        <w:rFonts w:hint="default"/>
        <w:lang w:val="en-gb" w:eastAsia="en-US" w:bidi="ar-SA"/>
      </w:rPr>
    </w:lvl>
    <w:lvl w:ilvl="7">
      <w:start w:val="0"/>
      <w:numFmt w:val="bullet"/>
      <w:lvlText w:val="•"/>
      <w:lvlJc w:val="left"/>
      <w:pPr>
        <w:ind w:left="4253" w:hanging="251"/>
      </w:pPr>
      <w:rPr>
        <w:rFonts w:hint="default"/>
        <w:lang w:val="en-gb" w:eastAsia="en-US" w:bidi="ar-SA"/>
      </w:rPr>
    </w:lvl>
    <w:lvl w:ilvl="8">
      <w:start w:val="0"/>
      <w:numFmt w:val="bullet"/>
      <w:lvlText w:val="•"/>
      <w:lvlJc w:val="left"/>
      <w:pPr>
        <w:ind w:left="4752" w:hanging="251"/>
      </w:pPr>
      <w:rPr>
        <w:rFonts w:hint="default"/>
        <w:lang w:val="en-gb" w:eastAsia="en-US" w:bidi="ar-SA"/>
      </w:rPr>
    </w:lvl>
  </w:abstractNum>
  <w:abstractNum w:abstractNumId="89">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88">
    <w:multiLevelType w:val="hybridMultilevel"/>
    <w:lvl w:ilvl="0">
      <w:start w:val="5"/>
      <w:numFmt w:val="decimal"/>
      <w:lvlText w:val="%1"/>
      <w:lvlJc w:val="left"/>
      <w:pPr>
        <w:ind w:left="918" w:hanging="375"/>
        <w:jc w:val="left"/>
      </w:pPr>
      <w:rPr>
        <w:rFonts w:hint="default"/>
        <w:lang w:val="en-gb" w:eastAsia="en-US" w:bidi="ar-SA"/>
      </w:rPr>
    </w:lvl>
    <w:lvl w:ilvl="1">
      <w:start w:val="3"/>
      <w:numFmt w:val="decimal"/>
      <w:lvlText w:val="%1.%2"/>
      <w:lvlJc w:val="left"/>
      <w:pPr>
        <w:ind w:left="918" w:hanging="375"/>
        <w:jc w:val="left"/>
      </w:pPr>
      <w:rPr>
        <w:rFonts w:hint="default"/>
        <w:lang w:val="en-gb" w:eastAsia="en-US" w:bidi="ar-SA"/>
      </w:rPr>
    </w:lvl>
    <w:lvl w:ilvl="2">
      <w:start w:val="1"/>
      <w:numFmt w:val="decimal"/>
      <w:lvlText w:val="%1.%2.%3"/>
      <w:lvlJc w:val="left"/>
      <w:pPr>
        <w:ind w:left="918" w:hanging="375"/>
        <w:jc w:val="right"/>
      </w:pPr>
      <w:rPr>
        <w:rFonts w:hint="default" w:ascii="Arial" w:hAnsi="Arial" w:eastAsia="Arial" w:cs="Arial"/>
        <w:b w:val="0"/>
        <w:bCs w:val="0"/>
        <w:i w:val="0"/>
        <w:iCs w:val="0"/>
        <w:color w:val="231F20"/>
        <w:w w:val="85"/>
        <w:sz w:val="18"/>
        <w:szCs w:val="18"/>
        <w:lang w:val="en-gb" w:eastAsia="en-US" w:bidi="ar-SA"/>
      </w:rPr>
    </w:lvl>
    <w:lvl w:ilvl="3">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4">
      <w:start w:val="0"/>
      <w:numFmt w:val="bullet"/>
      <w:lvlText w:val="•"/>
      <w:lvlJc w:val="left"/>
      <w:pPr>
        <w:ind w:left="3060" w:hanging="251"/>
      </w:pPr>
      <w:rPr>
        <w:rFonts w:hint="default"/>
        <w:lang w:val="en-gb" w:eastAsia="en-US" w:bidi="ar-SA"/>
      </w:rPr>
    </w:lvl>
    <w:lvl w:ilvl="5">
      <w:start w:val="0"/>
      <w:numFmt w:val="bullet"/>
      <w:lvlText w:val="•"/>
      <w:lvlJc w:val="left"/>
      <w:pPr>
        <w:ind w:left="3730" w:hanging="251"/>
      </w:pPr>
      <w:rPr>
        <w:rFonts w:hint="default"/>
        <w:lang w:val="en-gb" w:eastAsia="en-US" w:bidi="ar-SA"/>
      </w:rPr>
    </w:lvl>
    <w:lvl w:ilvl="6">
      <w:start w:val="0"/>
      <w:numFmt w:val="bullet"/>
      <w:lvlText w:val="•"/>
      <w:lvlJc w:val="left"/>
      <w:pPr>
        <w:ind w:left="4400" w:hanging="251"/>
      </w:pPr>
      <w:rPr>
        <w:rFonts w:hint="default"/>
        <w:lang w:val="en-gb" w:eastAsia="en-US" w:bidi="ar-SA"/>
      </w:rPr>
    </w:lvl>
    <w:lvl w:ilvl="7">
      <w:start w:val="0"/>
      <w:numFmt w:val="bullet"/>
      <w:lvlText w:val="•"/>
      <w:lvlJc w:val="left"/>
      <w:pPr>
        <w:ind w:left="5070" w:hanging="251"/>
      </w:pPr>
      <w:rPr>
        <w:rFonts w:hint="default"/>
        <w:lang w:val="en-gb" w:eastAsia="en-US" w:bidi="ar-SA"/>
      </w:rPr>
    </w:lvl>
    <w:lvl w:ilvl="8">
      <w:start w:val="0"/>
      <w:numFmt w:val="bullet"/>
      <w:lvlText w:val="•"/>
      <w:lvlJc w:val="left"/>
      <w:pPr>
        <w:ind w:left="5740" w:hanging="251"/>
      </w:pPr>
      <w:rPr>
        <w:rFonts w:hint="default"/>
        <w:lang w:val="en-gb" w:eastAsia="en-US" w:bidi="ar-SA"/>
      </w:rPr>
    </w:lvl>
  </w:abstractNum>
  <w:abstractNum w:abstractNumId="87">
    <w:multiLevelType w:val="hybridMultilevel"/>
    <w:lvl w:ilvl="0">
      <w:start w:val="1"/>
      <w:numFmt w:val="decimal"/>
      <w:lvlText w:val="%1)"/>
      <w:lvlJc w:val="left"/>
      <w:pPr>
        <w:ind w:left="830" w:hanging="178"/>
        <w:jc w:val="left"/>
      </w:pPr>
      <w:rPr>
        <w:rFonts w:hint="default" w:ascii="Times New Roman" w:hAnsi="Times New Roman" w:eastAsia="Times New Roman" w:cs="Times New Roman"/>
        <w:b w:val="0"/>
        <w:bCs w:val="0"/>
        <w:i w:val="0"/>
        <w:iCs w:val="0"/>
        <w:color w:val="231F20"/>
        <w:w w:val="92"/>
        <w:sz w:val="17"/>
        <w:szCs w:val="17"/>
        <w:lang w:val="en-gb" w:eastAsia="en-US" w:bidi="ar-SA"/>
      </w:rPr>
    </w:lvl>
    <w:lvl w:ilvl="1">
      <w:start w:val="1"/>
      <w:numFmt w:val="lowerLetter"/>
      <w:lvlText w:val="%2)"/>
      <w:lvlJc w:val="left"/>
      <w:pPr>
        <w:ind w:left="1720" w:hanging="251"/>
        <w:jc w:val="right"/>
      </w:pPr>
      <w:rPr>
        <w:rFonts w:hint="default" w:ascii="Arial" w:hAnsi="Arial" w:eastAsia="Arial" w:cs="Arial"/>
        <w:b w:val="0"/>
        <w:bCs w:val="0"/>
        <w:i w:val="0"/>
        <w:iCs w:val="0"/>
        <w:color w:val="231F20"/>
        <w:w w:val="96"/>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86">
    <w:multiLevelType w:val="hybridMultilevel"/>
    <w:lvl w:ilvl="0">
      <w:start w:val="1"/>
      <w:numFmt w:val="decimal"/>
      <w:lvlText w:val="%1"/>
      <w:lvlJc w:val="left"/>
      <w:pPr>
        <w:ind w:left="172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85">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84">
    <w:multiLevelType w:val="hybridMultilevel"/>
    <w:lvl w:ilvl="0">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83">
    <w:multiLevelType w:val="hybridMultilevel"/>
    <w:lvl w:ilvl="0">
      <w:start w:val="9"/>
      <w:numFmt w:val="decimal"/>
      <w:lvlText w:val="%1"/>
      <w:lvlJc w:val="left"/>
      <w:pPr>
        <w:ind w:left="1219" w:hanging="328"/>
        <w:jc w:val="right"/>
      </w:pPr>
      <w:rPr>
        <w:rFonts w:hint="default" w:ascii="Arial" w:hAnsi="Arial" w:eastAsia="Arial" w:cs="Arial"/>
        <w:b w:val="0"/>
        <w:bCs w:val="0"/>
        <w:i w:val="0"/>
        <w:iCs w:val="0"/>
        <w:color w:val="231F20"/>
        <w:w w:val="116"/>
        <w:sz w:val="12"/>
        <w:szCs w:val="12"/>
        <w:lang w:val="en-gb" w:eastAsia="en-US" w:bidi="ar-SA"/>
      </w:rPr>
    </w:lvl>
    <w:lvl w:ilvl="1">
      <w:start w:val="1"/>
      <w:numFmt w:val="decimal"/>
      <w:lvlText w:val="%2"/>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2">
      <w:start w:val="0"/>
      <w:numFmt w:val="bullet"/>
      <w:lvlText w:val="•"/>
      <w:lvlJc w:val="left"/>
      <w:pPr>
        <w:ind w:left="1977" w:hanging="251"/>
      </w:pPr>
      <w:rPr>
        <w:rFonts w:hint="default"/>
        <w:lang w:val="en-gb" w:eastAsia="en-US" w:bidi="ar-SA"/>
      </w:rPr>
    </w:lvl>
    <w:lvl w:ilvl="3">
      <w:start w:val="0"/>
      <w:numFmt w:val="bullet"/>
      <w:lvlText w:val="•"/>
      <w:lvlJc w:val="left"/>
      <w:pPr>
        <w:ind w:left="2615" w:hanging="251"/>
      </w:pPr>
      <w:rPr>
        <w:rFonts w:hint="default"/>
        <w:lang w:val="en-gb" w:eastAsia="en-US" w:bidi="ar-SA"/>
      </w:rPr>
    </w:lvl>
    <w:lvl w:ilvl="4">
      <w:start w:val="0"/>
      <w:numFmt w:val="bullet"/>
      <w:lvlText w:val="•"/>
      <w:lvlJc w:val="left"/>
      <w:pPr>
        <w:ind w:left="3253" w:hanging="251"/>
      </w:pPr>
      <w:rPr>
        <w:rFonts w:hint="default"/>
        <w:lang w:val="en-gb" w:eastAsia="en-US" w:bidi="ar-SA"/>
      </w:rPr>
    </w:lvl>
    <w:lvl w:ilvl="5">
      <w:start w:val="0"/>
      <w:numFmt w:val="bullet"/>
      <w:lvlText w:val="•"/>
      <w:lvlJc w:val="left"/>
      <w:pPr>
        <w:ind w:left="3891" w:hanging="251"/>
      </w:pPr>
      <w:rPr>
        <w:rFonts w:hint="default"/>
        <w:lang w:val="en-gb" w:eastAsia="en-US" w:bidi="ar-SA"/>
      </w:rPr>
    </w:lvl>
    <w:lvl w:ilvl="6">
      <w:start w:val="0"/>
      <w:numFmt w:val="bullet"/>
      <w:lvlText w:val="•"/>
      <w:lvlJc w:val="left"/>
      <w:pPr>
        <w:ind w:left="4528" w:hanging="251"/>
      </w:pPr>
      <w:rPr>
        <w:rFonts w:hint="default"/>
        <w:lang w:val="en-gb" w:eastAsia="en-US" w:bidi="ar-SA"/>
      </w:rPr>
    </w:lvl>
    <w:lvl w:ilvl="7">
      <w:start w:val="0"/>
      <w:numFmt w:val="bullet"/>
      <w:lvlText w:val="•"/>
      <w:lvlJc w:val="left"/>
      <w:pPr>
        <w:ind w:left="5166" w:hanging="251"/>
      </w:pPr>
      <w:rPr>
        <w:rFonts w:hint="default"/>
        <w:lang w:val="en-gb" w:eastAsia="en-US" w:bidi="ar-SA"/>
      </w:rPr>
    </w:lvl>
    <w:lvl w:ilvl="8">
      <w:start w:val="0"/>
      <w:numFmt w:val="bullet"/>
      <w:lvlText w:val="•"/>
      <w:lvlJc w:val="left"/>
      <w:pPr>
        <w:ind w:left="5804" w:hanging="251"/>
      </w:pPr>
      <w:rPr>
        <w:rFonts w:hint="default"/>
        <w:lang w:val="en-gb" w:eastAsia="en-US" w:bidi="ar-SA"/>
      </w:rPr>
    </w:lvl>
  </w:abstractNum>
  <w:abstractNum w:abstractNumId="82">
    <w:multiLevelType w:val="hybridMultilevel"/>
    <w:lvl w:ilvl="0">
      <w:start w:val="1"/>
      <w:numFmt w:val="decimal"/>
      <w:lvlText w:val="%1"/>
      <w:lvlJc w:val="left"/>
      <w:pPr>
        <w:ind w:left="172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81">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80">
    <w:multiLevelType w:val="hybridMultilevel"/>
    <w:lvl w:ilvl="0">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79">
    <w:multiLevelType w:val="hybridMultilevel"/>
    <w:lvl w:ilvl="0">
      <w:start w:val="1"/>
      <w:numFmt w:val="decimal"/>
      <w:lvlText w:val="%1."/>
      <w:lvlJc w:val="left"/>
      <w:pPr>
        <w:ind w:left="1400" w:hanging="181"/>
        <w:jc w:val="left"/>
      </w:pPr>
      <w:rPr>
        <w:rFonts w:hint="default" w:ascii="Arial" w:hAnsi="Arial" w:eastAsia="Arial" w:cs="Arial"/>
        <w:b w:val="0"/>
        <w:bCs w:val="0"/>
        <w:i w:val="0"/>
        <w:iCs w:val="0"/>
        <w:color w:val="231F20"/>
        <w:spacing w:val="-2"/>
        <w:w w:val="75"/>
        <w:sz w:val="14"/>
        <w:szCs w:val="14"/>
        <w:lang w:val="en-gb" w:eastAsia="en-US" w:bidi="ar-SA"/>
      </w:rPr>
    </w:lvl>
    <w:lvl w:ilvl="1">
      <w:start w:val="0"/>
      <w:numFmt w:val="bullet"/>
      <w:lvlText w:val="•"/>
      <w:lvlJc w:val="left"/>
      <w:pPr>
        <w:ind w:left="1968" w:hanging="181"/>
      </w:pPr>
      <w:rPr>
        <w:rFonts w:hint="default"/>
        <w:lang w:val="en-gb" w:eastAsia="en-US" w:bidi="ar-SA"/>
      </w:rPr>
    </w:lvl>
    <w:lvl w:ilvl="2">
      <w:start w:val="0"/>
      <w:numFmt w:val="bullet"/>
      <w:lvlText w:val="•"/>
      <w:lvlJc w:val="left"/>
      <w:pPr>
        <w:ind w:left="2536" w:hanging="181"/>
      </w:pPr>
      <w:rPr>
        <w:rFonts w:hint="default"/>
        <w:lang w:val="en-gb" w:eastAsia="en-US" w:bidi="ar-SA"/>
      </w:rPr>
    </w:lvl>
    <w:lvl w:ilvl="3">
      <w:start w:val="0"/>
      <w:numFmt w:val="bullet"/>
      <w:lvlText w:val="•"/>
      <w:lvlJc w:val="left"/>
      <w:pPr>
        <w:ind w:left="3104" w:hanging="181"/>
      </w:pPr>
      <w:rPr>
        <w:rFonts w:hint="default"/>
        <w:lang w:val="en-gb" w:eastAsia="en-US" w:bidi="ar-SA"/>
      </w:rPr>
    </w:lvl>
    <w:lvl w:ilvl="4">
      <w:start w:val="0"/>
      <w:numFmt w:val="bullet"/>
      <w:lvlText w:val="•"/>
      <w:lvlJc w:val="left"/>
      <w:pPr>
        <w:ind w:left="3672" w:hanging="181"/>
      </w:pPr>
      <w:rPr>
        <w:rFonts w:hint="default"/>
        <w:lang w:val="en-gb" w:eastAsia="en-US" w:bidi="ar-SA"/>
      </w:rPr>
    </w:lvl>
    <w:lvl w:ilvl="5">
      <w:start w:val="0"/>
      <w:numFmt w:val="bullet"/>
      <w:lvlText w:val="•"/>
      <w:lvlJc w:val="left"/>
      <w:pPr>
        <w:ind w:left="4240" w:hanging="181"/>
      </w:pPr>
      <w:rPr>
        <w:rFonts w:hint="default"/>
        <w:lang w:val="en-gb" w:eastAsia="en-US" w:bidi="ar-SA"/>
      </w:rPr>
    </w:lvl>
    <w:lvl w:ilvl="6">
      <w:start w:val="0"/>
      <w:numFmt w:val="bullet"/>
      <w:lvlText w:val="•"/>
      <w:lvlJc w:val="left"/>
      <w:pPr>
        <w:ind w:left="4808" w:hanging="181"/>
      </w:pPr>
      <w:rPr>
        <w:rFonts w:hint="default"/>
        <w:lang w:val="en-gb" w:eastAsia="en-US" w:bidi="ar-SA"/>
      </w:rPr>
    </w:lvl>
    <w:lvl w:ilvl="7">
      <w:start w:val="0"/>
      <w:numFmt w:val="bullet"/>
      <w:lvlText w:val="•"/>
      <w:lvlJc w:val="left"/>
      <w:pPr>
        <w:ind w:left="5376" w:hanging="181"/>
      </w:pPr>
      <w:rPr>
        <w:rFonts w:hint="default"/>
        <w:lang w:val="en-gb" w:eastAsia="en-US" w:bidi="ar-SA"/>
      </w:rPr>
    </w:lvl>
    <w:lvl w:ilvl="8">
      <w:start w:val="0"/>
      <w:numFmt w:val="bullet"/>
      <w:lvlText w:val="•"/>
      <w:lvlJc w:val="left"/>
      <w:pPr>
        <w:ind w:left="5944" w:hanging="181"/>
      </w:pPr>
      <w:rPr>
        <w:rFonts w:hint="default"/>
        <w:lang w:val="en-gb" w:eastAsia="en-US" w:bidi="ar-SA"/>
      </w:rPr>
    </w:lvl>
  </w:abstractNum>
  <w:abstractNum w:abstractNumId="78">
    <w:multiLevelType w:val="hybridMultilevel"/>
    <w:lvl w:ilvl="0">
      <w:start w:val="1"/>
      <w:numFmt w:val="decimal"/>
      <w:lvlText w:val="%1."/>
      <w:lvlJc w:val="left"/>
      <w:pPr>
        <w:ind w:left="1400" w:hanging="181"/>
        <w:jc w:val="left"/>
      </w:pPr>
      <w:rPr>
        <w:rFonts w:hint="default" w:ascii="Arial" w:hAnsi="Arial" w:eastAsia="Arial" w:cs="Arial"/>
        <w:b w:val="0"/>
        <w:bCs w:val="0"/>
        <w:i w:val="0"/>
        <w:iCs w:val="0"/>
        <w:color w:val="231F20"/>
        <w:spacing w:val="-2"/>
        <w:w w:val="85"/>
        <w:sz w:val="14"/>
        <w:szCs w:val="14"/>
        <w:lang w:val="en-gb" w:eastAsia="en-US" w:bidi="ar-SA"/>
      </w:rPr>
    </w:lvl>
    <w:lvl w:ilvl="1">
      <w:start w:val="0"/>
      <w:numFmt w:val="bullet"/>
      <w:lvlText w:val="•"/>
      <w:lvlJc w:val="left"/>
      <w:pPr>
        <w:ind w:left="1968" w:hanging="181"/>
      </w:pPr>
      <w:rPr>
        <w:rFonts w:hint="default"/>
        <w:lang w:val="en-gb" w:eastAsia="en-US" w:bidi="ar-SA"/>
      </w:rPr>
    </w:lvl>
    <w:lvl w:ilvl="2">
      <w:start w:val="0"/>
      <w:numFmt w:val="bullet"/>
      <w:lvlText w:val="•"/>
      <w:lvlJc w:val="left"/>
      <w:pPr>
        <w:ind w:left="2536" w:hanging="181"/>
      </w:pPr>
      <w:rPr>
        <w:rFonts w:hint="default"/>
        <w:lang w:val="en-gb" w:eastAsia="en-US" w:bidi="ar-SA"/>
      </w:rPr>
    </w:lvl>
    <w:lvl w:ilvl="3">
      <w:start w:val="0"/>
      <w:numFmt w:val="bullet"/>
      <w:lvlText w:val="•"/>
      <w:lvlJc w:val="left"/>
      <w:pPr>
        <w:ind w:left="3104" w:hanging="181"/>
      </w:pPr>
      <w:rPr>
        <w:rFonts w:hint="default"/>
        <w:lang w:val="en-gb" w:eastAsia="en-US" w:bidi="ar-SA"/>
      </w:rPr>
    </w:lvl>
    <w:lvl w:ilvl="4">
      <w:start w:val="0"/>
      <w:numFmt w:val="bullet"/>
      <w:lvlText w:val="•"/>
      <w:lvlJc w:val="left"/>
      <w:pPr>
        <w:ind w:left="3672" w:hanging="181"/>
      </w:pPr>
      <w:rPr>
        <w:rFonts w:hint="default"/>
        <w:lang w:val="en-gb" w:eastAsia="en-US" w:bidi="ar-SA"/>
      </w:rPr>
    </w:lvl>
    <w:lvl w:ilvl="5">
      <w:start w:val="0"/>
      <w:numFmt w:val="bullet"/>
      <w:lvlText w:val="•"/>
      <w:lvlJc w:val="left"/>
      <w:pPr>
        <w:ind w:left="4240" w:hanging="181"/>
      </w:pPr>
      <w:rPr>
        <w:rFonts w:hint="default"/>
        <w:lang w:val="en-gb" w:eastAsia="en-US" w:bidi="ar-SA"/>
      </w:rPr>
    </w:lvl>
    <w:lvl w:ilvl="6">
      <w:start w:val="0"/>
      <w:numFmt w:val="bullet"/>
      <w:lvlText w:val="•"/>
      <w:lvlJc w:val="left"/>
      <w:pPr>
        <w:ind w:left="4808" w:hanging="181"/>
      </w:pPr>
      <w:rPr>
        <w:rFonts w:hint="default"/>
        <w:lang w:val="en-gb" w:eastAsia="en-US" w:bidi="ar-SA"/>
      </w:rPr>
    </w:lvl>
    <w:lvl w:ilvl="7">
      <w:start w:val="0"/>
      <w:numFmt w:val="bullet"/>
      <w:lvlText w:val="•"/>
      <w:lvlJc w:val="left"/>
      <w:pPr>
        <w:ind w:left="5376" w:hanging="181"/>
      </w:pPr>
      <w:rPr>
        <w:rFonts w:hint="default"/>
        <w:lang w:val="en-gb" w:eastAsia="en-US" w:bidi="ar-SA"/>
      </w:rPr>
    </w:lvl>
    <w:lvl w:ilvl="8">
      <w:start w:val="0"/>
      <w:numFmt w:val="bullet"/>
      <w:lvlText w:val="•"/>
      <w:lvlJc w:val="left"/>
      <w:pPr>
        <w:ind w:left="5944" w:hanging="181"/>
      </w:pPr>
      <w:rPr>
        <w:rFonts w:hint="default"/>
        <w:lang w:val="en-gb" w:eastAsia="en-US" w:bidi="ar-SA"/>
      </w:rPr>
    </w:lvl>
  </w:abstractNum>
  <w:abstractNum w:abstractNumId="77">
    <w:multiLevelType w:val="hybridMultilevel"/>
    <w:lvl w:ilvl="0">
      <w:start w:val="1"/>
      <w:numFmt w:val="decimal"/>
      <w:lvlText w:val="%1."/>
      <w:lvlJc w:val="left"/>
      <w:pPr>
        <w:ind w:left="1400" w:hanging="181"/>
        <w:jc w:val="left"/>
      </w:pPr>
      <w:rPr>
        <w:rFonts w:hint="default" w:ascii="Arial" w:hAnsi="Arial" w:eastAsia="Arial" w:cs="Arial"/>
        <w:b w:val="0"/>
        <w:bCs w:val="0"/>
        <w:i w:val="0"/>
        <w:iCs w:val="0"/>
        <w:color w:val="231F20"/>
        <w:spacing w:val="-2"/>
        <w:w w:val="75"/>
        <w:sz w:val="14"/>
        <w:szCs w:val="14"/>
        <w:lang w:val="en-gb" w:eastAsia="en-US" w:bidi="ar-SA"/>
      </w:rPr>
    </w:lvl>
    <w:lvl w:ilvl="1">
      <w:start w:val="0"/>
      <w:numFmt w:val="bullet"/>
      <w:lvlText w:val="•"/>
      <w:lvlJc w:val="left"/>
      <w:pPr>
        <w:ind w:left="1968" w:hanging="181"/>
      </w:pPr>
      <w:rPr>
        <w:rFonts w:hint="default"/>
        <w:lang w:val="en-gb" w:eastAsia="en-US" w:bidi="ar-SA"/>
      </w:rPr>
    </w:lvl>
    <w:lvl w:ilvl="2">
      <w:start w:val="0"/>
      <w:numFmt w:val="bullet"/>
      <w:lvlText w:val="•"/>
      <w:lvlJc w:val="left"/>
      <w:pPr>
        <w:ind w:left="2536" w:hanging="181"/>
      </w:pPr>
      <w:rPr>
        <w:rFonts w:hint="default"/>
        <w:lang w:val="en-gb" w:eastAsia="en-US" w:bidi="ar-SA"/>
      </w:rPr>
    </w:lvl>
    <w:lvl w:ilvl="3">
      <w:start w:val="0"/>
      <w:numFmt w:val="bullet"/>
      <w:lvlText w:val="•"/>
      <w:lvlJc w:val="left"/>
      <w:pPr>
        <w:ind w:left="3104" w:hanging="181"/>
      </w:pPr>
      <w:rPr>
        <w:rFonts w:hint="default"/>
        <w:lang w:val="en-gb" w:eastAsia="en-US" w:bidi="ar-SA"/>
      </w:rPr>
    </w:lvl>
    <w:lvl w:ilvl="4">
      <w:start w:val="0"/>
      <w:numFmt w:val="bullet"/>
      <w:lvlText w:val="•"/>
      <w:lvlJc w:val="left"/>
      <w:pPr>
        <w:ind w:left="3672" w:hanging="181"/>
      </w:pPr>
      <w:rPr>
        <w:rFonts w:hint="default"/>
        <w:lang w:val="en-gb" w:eastAsia="en-US" w:bidi="ar-SA"/>
      </w:rPr>
    </w:lvl>
    <w:lvl w:ilvl="5">
      <w:start w:val="0"/>
      <w:numFmt w:val="bullet"/>
      <w:lvlText w:val="•"/>
      <w:lvlJc w:val="left"/>
      <w:pPr>
        <w:ind w:left="4240" w:hanging="181"/>
      </w:pPr>
      <w:rPr>
        <w:rFonts w:hint="default"/>
        <w:lang w:val="en-gb" w:eastAsia="en-US" w:bidi="ar-SA"/>
      </w:rPr>
    </w:lvl>
    <w:lvl w:ilvl="6">
      <w:start w:val="0"/>
      <w:numFmt w:val="bullet"/>
      <w:lvlText w:val="•"/>
      <w:lvlJc w:val="left"/>
      <w:pPr>
        <w:ind w:left="4808" w:hanging="181"/>
      </w:pPr>
      <w:rPr>
        <w:rFonts w:hint="default"/>
        <w:lang w:val="en-gb" w:eastAsia="en-US" w:bidi="ar-SA"/>
      </w:rPr>
    </w:lvl>
    <w:lvl w:ilvl="7">
      <w:start w:val="0"/>
      <w:numFmt w:val="bullet"/>
      <w:lvlText w:val="•"/>
      <w:lvlJc w:val="left"/>
      <w:pPr>
        <w:ind w:left="5376" w:hanging="181"/>
      </w:pPr>
      <w:rPr>
        <w:rFonts w:hint="default"/>
        <w:lang w:val="en-gb" w:eastAsia="en-US" w:bidi="ar-SA"/>
      </w:rPr>
    </w:lvl>
    <w:lvl w:ilvl="8">
      <w:start w:val="0"/>
      <w:numFmt w:val="bullet"/>
      <w:lvlText w:val="•"/>
      <w:lvlJc w:val="left"/>
      <w:pPr>
        <w:ind w:left="5944" w:hanging="181"/>
      </w:pPr>
      <w:rPr>
        <w:rFonts w:hint="default"/>
        <w:lang w:val="en-gb" w:eastAsia="en-US" w:bidi="ar-SA"/>
      </w:rPr>
    </w:lvl>
  </w:abstractNum>
  <w:abstractNum w:abstractNumId="76">
    <w:multiLevelType w:val="hybridMultilevel"/>
    <w:lvl w:ilvl="0">
      <w:start w:val="5"/>
      <w:numFmt w:val="decimal"/>
      <w:lvlText w:val="%1"/>
      <w:lvlJc w:val="left"/>
      <w:pPr>
        <w:ind w:left="829" w:hanging="328"/>
        <w:jc w:val="right"/>
      </w:pPr>
      <w:rPr>
        <w:rFonts w:hint="default" w:ascii="Arial" w:hAnsi="Arial" w:eastAsia="Arial" w:cs="Arial"/>
        <w:b w:val="0"/>
        <w:bCs w:val="0"/>
        <w:i w:val="0"/>
        <w:iCs w:val="0"/>
        <w:color w:val="231F20"/>
        <w:w w:val="116"/>
        <w:sz w:val="12"/>
        <w:szCs w:val="12"/>
        <w:lang w:val="en-gb" w:eastAsia="en-US" w:bidi="ar-SA"/>
      </w:rPr>
    </w:lvl>
    <w:lvl w:ilvl="1">
      <w:start w:val="1"/>
      <w:numFmt w:val="decimal"/>
      <w:lvlText w:val="%2."/>
      <w:lvlJc w:val="left"/>
      <w:pPr>
        <w:ind w:left="1330" w:hanging="251"/>
        <w:jc w:val="left"/>
      </w:pPr>
      <w:rPr>
        <w:rFonts w:hint="default" w:ascii="Arial" w:hAnsi="Arial" w:eastAsia="Arial" w:cs="Arial"/>
        <w:b w:val="0"/>
        <w:bCs w:val="0"/>
        <w:i w:val="0"/>
        <w:iCs w:val="0"/>
        <w:color w:val="231F20"/>
        <w:spacing w:val="-2"/>
        <w:w w:val="75"/>
        <w:sz w:val="17"/>
        <w:szCs w:val="17"/>
        <w:lang w:val="en-gb" w:eastAsia="en-US" w:bidi="ar-SA"/>
      </w:rPr>
    </w:lvl>
    <w:lvl w:ilvl="2">
      <w:start w:val="1"/>
      <w:numFmt w:val="decimal"/>
      <w:lvlText w:val="%3."/>
      <w:lvlJc w:val="left"/>
      <w:pPr>
        <w:ind w:left="1400" w:hanging="181"/>
        <w:jc w:val="left"/>
      </w:pPr>
      <w:rPr>
        <w:rFonts w:hint="default" w:ascii="Arial" w:hAnsi="Arial" w:eastAsia="Arial" w:cs="Arial"/>
        <w:b w:val="0"/>
        <w:bCs w:val="0"/>
        <w:i w:val="0"/>
        <w:iCs w:val="0"/>
        <w:color w:val="231F20"/>
        <w:spacing w:val="-2"/>
        <w:w w:val="75"/>
        <w:sz w:val="14"/>
        <w:szCs w:val="14"/>
        <w:lang w:val="en-gb" w:eastAsia="en-US" w:bidi="ar-SA"/>
      </w:rPr>
    </w:lvl>
    <w:lvl w:ilvl="3">
      <w:start w:val="0"/>
      <w:numFmt w:val="bullet"/>
      <w:lvlText w:val="•"/>
      <w:lvlJc w:val="left"/>
      <w:pPr>
        <w:ind w:left="2110" w:hanging="181"/>
      </w:pPr>
      <w:rPr>
        <w:rFonts w:hint="default"/>
        <w:lang w:val="en-gb" w:eastAsia="en-US" w:bidi="ar-SA"/>
      </w:rPr>
    </w:lvl>
    <w:lvl w:ilvl="4">
      <w:start w:val="0"/>
      <w:numFmt w:val="bullet"/>
      <w:lvlText w:val="•"/>
      <w:lvlJc w:val="left"/>
      <w:pPr>
        <w:ind w:left="2820" w:hanging="181"/>
      </w:pPr>
      <w:rPr>
        <w:rFonts w:hint="default"/>
        <w:lang w:val="en-gb" w:eastAsia="en-US" w:bidi="ar-SA"/>
      </w:rPr>
    </w:lvl>
    <w:lvl w:ilvl="5">
      <w:start w:val="0"/>
      <w:numFmt w:val="bullet"/>
      <w:lvlText w:val="•"/>
      <w:lvlJc w:val="left"/>
      <w:pPr>
        <w:ind w:left="3530" w:hanging="181"/>
      </w:pPr>
      <w:rPr>
        <w:rFonts w:hint="default"/>
        <w:lang w:val="en-gb" w:eastAsia="en-US" w:bidi="ar-SA"/>
      </w:rPr>
    </w:lvl>
    <w:lvl w:ilvl="6">
      <w:start w:val="0"/>
      <w:numFmt w:val="bullet"/>
      <w:lvlText w:val="•"/>
      <w:lvlJc w:val="left"/>
      <w:pPr>
        <w:ind w:left="4240" w:hanging="181"/>
      </w:pPr>
      <w:rPr>
        <w:rFonts w:hint="default"/>
        <w:lang w:val="en-gb" w:eastAsia="en-US" w:bidi="ar-SA"/>
      </w:rPr>
    </w:lvl>
    <w:lvl w:ilvl="7">
      <w:start w:val="0"/>
      <w:numFmt w:val="bullet"/>
      <w:lvlText w:val="•"/>
      <w:lvlJc w:val="left"/>
      <w:pPr>
        <w:ind w:left="4950" w:hanging="181"/>
      </w:pPr>
      <w:rPr>
        <w:rFonts w:hint="default"/>
        <w:lang w:val="en-gb" w:eastAsia="en-US" w:bidi="ar-SA"/>
      </w:rPr>
    </w:lvl>
    <w:lvl w:ilvl="8">
      <w:start w:val="0"/>
      <w:numFmt w:val="bullet"/>
      <w:lvlText w:val="•"/>
      <w:lvlJc w:val="left"/>
      <w:pPr>
        <w:ind w:left="5660" w:hanging="181"/>
      </w:pPr>
      <w:rPr>
        <w:rFonts w:hint="default"/>
        <w:lang w:val="en-gb" w:eastAsia="en-US" w:bidi="ar-SA"/>
      </w:rPr>
    </w:lvl>
  </w:abstractNum>
  <w:abstractNum w:abstractNumId="75">
    <w:multiLevelType w:val="hybridMultilevel"/>
    <w:lvl w:ilvl="0">
      <w:start w:val="5"/>
      <w:numFmt w:val="decimal"/>
      <w:lvlText w:val="%1"/>
      <w:lvlJc w:val="left"/>
      <w:pPr>
        <w:ind w:left="528" w:hanging="376"/>
        <w:jc w:val="left"/>
      </w:pPr>
      <w:rPr>
        <w:rFonts w:hint="default"/>
        <w:lang w:val="en-gb" w:eastAsia="en-US" w:bidi="ar-SA"/>
      </w:rPr>
    </w:lvl>
    <w:lvl w:ilvl="1">
      <w:start w:val="2"/>
      <w:numFmt w:val="decimal"/>
      <w:lvlText w:val="%1.%2"/>
      <w:lvlJc w:val="left"/>
      <w:pPr>
        <w:ind w:left="528" w:hanging="376"/>
        <w:jc w:val="left"/>
      </w:pPr>
      <w:rPr>
        <w:rFonts w:hint="default"/>
        <w:lang w:val="en-gb" w:eastAsia="en-US" w:bidi="ar-SA"/>
      </w:rPr>
    </w:lvl>
    <w:lvl w:ilvl="2">
      <w:start w:val="1"/>
      <w:numFmt w:val="decimal"/>
      <w:lvlText w:val="%1.%2.%3"/>
      <w:lvlJc w:val="left"/>
      <w:pPr>
        <w:ind w:left="528" w:hanging="376"/>
        <w:jc w:val="right"/>
      </w:pPr>
      <w:rPr>
        <w:rFonts w:hint="default" w:ascii="Arial" w:hAnsi="Arial" w:eastAsia="Arial" w:cs="Arial"/>
        <w:b w:val="0"/>
        <w:bCs w:val="0"/>
        <w:i w:val="0"/>
        <w:iCs w:val="0"/>
        <w:color w:val="231F20"/>
        <w:w w:val="85"/>
        <w:sz w:val="18"/>
        <w:szCs w:val="18"/>
        <w:lang w:val="en-gb" w:eastAsia="en-US" w:bidi="ar-SA"/>
      </w:rPr>
    </w:lvl>
    <w:lvl w:ilvl="3">
      <w:start w:val="1"/>
      <w:numFmt w:val="decimal"/>
      <w:lvlText w:val="%4."/>
      <w:lvlJc w:val="left"/>
      <w:pPr>
        <w:ind w:left="1760" w:hanging="190"/>
        <w:jc w:val="right"/>
      </w:pPr>
      <w:rPr>
        <w:rFonts w:hint="default" w:ascii="Arial" w:hAnsi="Arial" w:eastAsia="Arial" w:cs="Arial"/>
        <w:b w:val="0"/>
        <w:bCs w:val="0"/>
        <w:i w:val="0"/>
        <w:iCs w:val="0"/>
        <w:color w:val="231F20"/>
        <w:spacing w:val="-2"/>
        <w:w w:val="75"/>
        <w:sz w:val="17"/>
        <w:szCs w:val="17"/>
        <w:lang w:val="en-gb" w:eastAsia="en-US" w:bidi="ar-SA"/>
      </w:rPr>
    </w:lvl>
    <w:lvl w:ilvl="4">
      <w:start w:val="0"/>
      <w:numFmt w:val="bullet"/>
      <w:lvlText w:val="•"/>
      <w:lvlJc w:val="left"/>
      <w:pPr>
        <w:ind w:left="3533" w:hanging="190"/>
      </w:pPr>
      <w:rPr>
        <w:rFonts w:hint="default"/>
        <w:lang w:val="en-gb" w:eastAsia="en-US" w:bidi="ar-SA"/>
      </w:rPr>
    </w:lvl>
    <w:lvl w:ilvl="5">
      <w:start w:val="0"/>
      <w:numFmt w:val="bullet"/>
      <w:lvlText w:val="•"/>
      <w:lvlJc w:val="left"/>
      <w:pPr>
        <w:ind w:left="4124" w:hanging="190"/>
      </w:pPr>
      <w:rPr>
        <w:rFonts w:hint="default"/>
        <w:lang w:val="en-gb" w:eastAsia="en-US" w:bidi="ar-SA"/>
      </w:rPr>
    </w:lvl>
    <w:lvl w:ilvl="6">
      <w:start w:val="0"/>
      <w:numFmt w:val="bullet"/>
      <w:lvlText w:val="•"/>
      <w:lvlJc w:val="left"/>
      <w:pPr>
        <w:ind w:left="4715" w:hanging="190"/>
      </w:pPr>
      <w:rPr>
        <w:rFonts w:hint="default"/>
        <w:lang w:val="en-gb" w:eastAsia="en-US" w:bidi="ar-SA"/>
      </w:rPr>
    </w:lvl>
    <w:lvl w:ilvl="7">
      <w:start w:val="0"/>
      <w:numFmt w:val="bullet"/>
      <w:lvlText w:val="•"/>
      <w:lvlJc w:val="left"/>
      <w:pPr>
        <w:ind w:left="5306" w:hanging="190"/>
      </w:pPr>
      <w:rPr>
        <w:rFonts w:hint="default"/>
        <w:lang w:val="en-gb" w:eastAsia="en-US" w:bidi="ar-SA"/>
      </w:rPr>
    </w:lvl>
    <w:lvl w:ilvl="8">
      <w:start w:val="0"/>
      <w:numFmt w:val="bullet"/>
      <w:lvlText w:val="•"/>
      <w:lvlJc w:val="left"/>
      <w:pPr>
        <w:ind w:left="5897" w:hanging="190"/>
      </w:pPr>
      <w:rPr>
        <w:rFonts w:hint="default"/>
        <w:lang w:val="en-gb" w:eastAsia="en-US" w:bidi="ar-SA"/>
      </w:rPr>
    </w:lvl>
  </w:abstractNum>
  <w:abstractNum w:abstractNumId="74">
    <w:multiLevelType w:val="hybridMultilevel"/>
    <w:lvl w:ilvl="0">
      <w:start w:val="5"/>
      <w:numFmt w:val="decimal"/>
      <w:lvlText w:val="%1"/>
      <w:lvlJc w:val="left"/>
      <w:pPr>
        <w:ind w:left="910" w:hanging="277"/>
        <w:jc w:val="left"/>
      </w:pPr>
      <w:rPr>
        <w:rFonts w:hint="default"/>
        <w:lang w:val="en-gb" w:eastAsia="en-US" w:bidi="ar-SA"/>
      </w:rPr>
    </w:lvl>
    <w:lvl w:ilvl="1">
      <w:start w:val="1"/>
      <w:numFmt w:val="decimal"/>
      <w:lvlText w:val="%1.%2"/>
      <w:lvlJc w:val="left"/>
      <w:pPr>
        <w:ind w:left="910" w:hanging="277"/>
        <w:jc w:val="right"/>
      </w:pPr>
      <w:rPr>
        <w:rFonts w:hint="default" w:ascii="Arial" w:hAnsi="Arial" w:eastAsia="Arial" w:cs="Arial"/>
        <w:b w:val="0"/>
        <w:bCs w:val="0"/>
        <w:i w:val="0"/>
        <w:iCs w:val="0"/>
        <w:color w:val="231F20"/>
        <w:w w:val="81"/>
        <w:sz w:val="21"/>
        <w:szCs w:val="21"/>
        <w:lang w:val="en-gb" w:eastAsia="en-US" w:bidi="ar-SA"/>
      </w:rPr>
    </w:lvl>
    <w:lvl w:ilvl="2">
      <w:start w:val="1"/>
      <w:numFmt w:val="decimal"/>
      <w:lvlText w:val="%3"/>
      <w:lvlJc w:val="left"/>
      <w:pPr>
        <w:ind w:left="1219" w:hanging="328"/>
        <w:jc w:val="right"/>
      </w:pPr>
      <w:rPr>
        <w:rFonts w:hint="default" w:ascii="Arial" w:hAnsi="Arial" w:eastAsia="Arial" w:cs="Arial"/>
        <w:b w:val="0"/>
        <w:bCs w:val="0"/>
        <w:i w:val="0"/>
        <w:iCs w:val="0"/>
        <w:color w:val="231F20"/>
        <w:w w:val="116"/>
        <w:sz w:val="12"/>
        <w:szCs w:val="12"/>
        <w:lang w:val="en-gb" w:eastAsia="en-US" w:bidi="ar-SA"/>
      </w:rPr>
    </w:lvl>
    <w:lvl w:ilvl="3">
      <w:start w:val="0"/>
      <w:numFmt w:val="bullet"/>
      <w:lvlText w:val="•"/>
      <w:lvlJc w:val="left"/>
      <w:pPr>
        <w:ind w:left="2522" w:hanging="328"/>
      </w:pPr>
      <w:rPr>
        <w:rFonts w:hint="default"/>
        <w:lang w:val="en-gb" w:eastAsia="en-US" w:bidi="ar-SA"/>
      </w:rPr>
    </w:lvl>
    <w:lvl w:ilvl="4">
      <w:start w:val="0"/>
      <w:numFmt w:val="bullet"/>
      <w:lvlText w:val="•"/>
      <w:lvlJc w:val="left"/>
      <w:pPr>
        <w:ind w:left="3173" w:hanging="328"/>
      </w:pPr>
      <w:rPr>
        <w:rFonts w:hint="default"/>
        <w:lang w:val="en-gb" w:eastAsia="en-US" w:bidi="ar-SA"/>
      </w:rPr>
    </w:lvl>
    <w:lvl w:ilvl="5">
      <w:start w:val="0"/>
      <w:numFmt w:val="bullet"/>
      <w:lvlText w:val="•"/>
      <w:lvlJc w:val="left"/>
      <w:pPr>
        <w:ind w:left="3824" w:hanging="328"/>
      </w:pPr>
      <w:rPr>
        <w:rFonts w:hint="default"/>
        <w:lang w:val="en-gb" w:eastAsia="en-US" w:bidi="ar-SA"/>
      </w:rPr>
    </w:lvl>
    <w:lvl w:ilvl="6">
      <w:start w:val="0"/>
      <w:numFmt w:val="bullet"/>
      <w:lvlText w:val="•"/>
      <w:lvlJc w:val="left"/>
      <w:pPr>
        <w:ind w:left="4475" w:hanging="328"/>
      </w:pPr>
      <w:rPr>
        <w:rFonts w:hint="default"/>
        <w:lang w:val="en-gb" w:eastAsia="en-US" w:bidi="ar-SA"/>
      </w:rPr>
    </w:lvl>
    <w:lvl w:ilvl="7">
      <w:start w:val="0"/>
      <w:numFmt w:val="bullet"/>
      <w:lvlText w:val="•"/>
      <w:lvlJc w:val="left"/>
      <w:pPr>
        <w:ind w:left="5126" w:hanging="328"/>
      </w:pPr>
      <w:rPr>
        <w:rFonts w:hint="default"/>
        <w:lang w:val="en-gb" w:eastAsia="en-US" w:bidi="ar-SA"/>
      </w:rPr>
    </w:lvl>
    <w:lvl w:ilvl="8">
      <w:start w:val="0"/>
      <w:numFmt w:val="bullet"/>
      <w:lvlText w:val="•"/>
      <w:lvlJc w:val="left"/>
      <w:pPr>
        <w:ind w:left="5777" w:hanging="328"/>
      </w:pPr>
      <w:rPr>
        <w:rFonts w:hint="default"/>
        <w:lang w:val="en-gb" w:eastAsia="en-US" w:bidi="ar-SA"/>
      </w:rPr>
    </w:lvl>
  </w:abstractNum>
  <w:abstractNum w:abstractNumId="73">
    <w:multiLevelType w:val="hybridMultilevel"/>
    <w:lvl w:ilvl="0">
      <w:start w:val="10"/>
      <w:numFmt w:val="decimal"/>
      <w:lvlText w:val="%1."/>
      <w:lvlJc w:val="left"/>
      <w:pPr>
        <w:ind w:left="1310" w:hanging="381"/>
        <w:jc w:val="left"/>
      </w:pPr>
      <w:rPr>
        <w:rFonts w:hint="default" w:ascii="Arial" w:hAnsi="Arial" w:eastAsia="Arial" w:cs="Arial"/>
        <w:b/>
        <w:bCs/>
        <w:i w:val="0"/>
        <w:iCs w:val="0"/>
        <w:color w:val="231F20"/>
        <w:w w:val="113"/>
        <w:sz w:val="14"/>
        <w:szCs w:val="14"/>
        <w:lang w:val="en-gb" w:eastAsia="en-US" w:bidi="ar-SA"/>
      </w:rPr>
    </w:lvl>
    <w:lvl w:ilvl="1">
      <w:start w:val="0"/>
      <w:numFmt w:val="bullet"/>
      <w:lvlText w:val="•"/>
      <w:lvlJc w:val="left"/>
      <w:pPr>
        <w:ind w:left="1896" w:hanging="381"/>
      </w:pPr>
      <w:rPr>
        <w:rFonts w:hint="default"/>
        <w:lang w:val="en-gb" w:eastAsia="en-US" w:bidi="ar-SA"/>
      </w:rPr>
    </w:lvl>
    <w:lvl w:ilvl="2">
      <w:start w:val="0"/>
      <w:numFmt w:val="bullet"/>
      <w:lvlText w:val="•"/>
      <w:lvlJc w:val="left"/>
      <w:pPr>
        <w:ind w:left="2472" w:hanging="381"/>
      </w:pPr>
      <w:rPr>
        <w:rFonts w:hint="default"/>
        <w:lang w:val="en-gb" w:eastAsia="en-US" w:bidi="ar-SA"/>
      </w:rPr>
    </w:lvl>
    <w:lvl w:ilvl="3">
      <w:start w:val="0"/>
      <w:numFmt w:val="bullet"/>
      <w:lvlText w:val="•"/>
      <w:lvlJc w:val="left"/>
      <w:pPr>
        <w:ind w:left="3048" w:hanging="381"/>
      </w:pPr>
      <w:rPr>
        <w:rFonts w:hint="default"/>
        <w:lang w:val="en-gb" w:eastAsia="en-US" w:bidi="ar-SA"/>
      </w:rPr>
    </w:lvl>
    <w:lvl w:ilvl="4">
      <w:start w:val="0"/>
      <w:numFmt w:val="bullet"/>
      <w:lvlText w:val="•"/>
      <w:lvlJc w:val="left"/>
      <w:pPr>
        <w:ind w:left="3624" w:hanging="381"/>
      </w:pPr>
      <w:rPr>
        <w:rFonts w:hint="default"/>
        <w:lang w:val="en-gb" w:eastAsia="en-US" w:bidi="ar-SA"/>
      </w:rPr>
    </w:lvl>
    <w:lvl w:ilvl="5">
      <w:start w:val="0"/>
      <w:numFmt w:val="bullet"/>
      <w:lvlText w:val="•"/>
      <w:lvlJc w:val="left"/>
      <w:pPr>
        <w:ind w:left="4200" w:hanging="381"/>
      </w:pPr>
      <w:rPr>
        <w:rFonts w:hint="default"/>
        <w:lang w:val="en-gb" w:eastAsia="en-US" w:bidi="ar-SA"/>
      </w:rPr>
    </w:lvl>
    <w:lvl w:ilvl="6">
      <w:start w:val="0"/>
      <w:numFmt w:val="bullet"/>
      <w:lvlText w:val="•"/>
      <w:lvlJc w:val="left"/>
      <w:pPr>
        <w:ind w:left="4776" w:hanging="381"/>
      </w:pPr>
      <w:rPr>
        <w:rFonts w:hint="default"/>
        <w:lang w:val="en-gb" w:eastAsia="en-US" w:bidi="ar-SA"/>
      </w:rPr>
    </w:lvl>
    <w:lvl w:ilvl="7">
      <w:start w:val="0"/>
      <w:numFmt w:val="bullet"/>
      <w:lvlText w:val="•"/>
      <w:lvlJc w:val="left"/>
      <w:pPr>
        <w:ind w:left="5352" w:hanging="381"/>
      </w:pPr>
      <w:rPr>
        <w:rFonts w:hint="default"/>
        <w:lang w:val="en-gb" w:eastAsia="en-US" w:bidi="ar-SA"/>
      </w:rPr>
    </w:lvl>
    <w:lvl w:ilvl="8">
      <w:start w:val="0"/>
      <w:numFmt w:val="bullet"/>
      <w:lvlText w:val="•"/>
      <w:lvlJc w:val="left"/>
      <w:pPr>
        <w:ind w:left="5928" w:hanging="381"/>
      </w:pPr>
      <w:rPr>
        <w:rFonts w:hint="default"/>
        <w:lang w:val="en-gb" w:eastAsia="en-US" w:bidi="ar-SA"/>
      </w:rPr>
    </w:lvl>
  </w:abstractNum>
  <w:abstractNum w:abstractNumId="72">
    <w:multiLevelType w:val="hybridMultilevel"/>
    <w:lvl w:ilvl="0">
      <w:start w:val="4"/>
      <w:numFmt w:val="decimal"/>
      <w:lvlText w:val="%1"/>
      <w:lvlJc w:val="left"/>
      <w:pPr>
        <w:ind w:left="918" w:hanging="400"/>
        <w:jc w:val="left"/>
      </w:pPr>
      <w:rPr>
        <w:rFonts w:hint="default"/>
        <w:lang w:val="en-gb" w:eastAsia="en-US" w:bidi="ar-SA"/>
      </w:rPr>
    </w:lvl>
    <w:lvl w:ilvl="1">
      <w:start w:val="8"/>
      <w:numFmt w:val="decimal"/>
      <w:lvlText w:val="%1.%2"/>
      <w:lvlJc w:val="left"/>
      <w:pPr>
        <w:ind w:left="918" w:hanging="400"/>
        <w:jc w:val="left"/>
      </w:pPr>
      <w:rPr>
        <w:rFonts w:hint="default"/>
        <w:lang w:val="en-gb" w:eastAsia="en-US" w:bidi="ar-SA"/>
      </w:rPr>
    </w:lvl>
    <w:lvl w:ilvl="2">
      <w:start w:val="1"/>
      <w:numFmt w:val="decimal"/>
      <w:lvlText w:val="%1.%2.%3"/>
      <w:lvlJc w:val="left"/>
      <w:pPr>
        <w:ind w:left="918" w:hanging="400"/>
        <w:jc w:val="right"/>
      </w:pPr>
      <w:rPr>
        <w:rFonts w:hint="default" w:ascii="Arial" w:hAnsi="Arial" w:eastAsia="Arial" w:cs="Arial"/>
        <w:b w:val="0"/>
        <w:bCs w:val="0"/>
        <w:i w:val="0"/>
        <w:iCs w:val="0"/>
        <w:color w:val="231F20"/>
        <w:w w:val="91"/>
        <w:sz w:val="18"/>
        <w:szCs w:val="18"/>
        <w:lang w:val="en-gb" w:eastAsia="en-US" w:bidi="ar-SA"/>
      </w:rPr>
    </w:lvl>
    <w:lvl w:ilvl="3">
      <w:start w:val="0"/>
      <w:numFmt w:val="bullet"/>
      <w:lvlText w:val="•"/>
      <w:lvlJc w:val="left"/>
      <w:pPr>
        <w:ind w:left="2768" w:hanging="400"/>
      </w:pPr>
      <w:rPr>
        <w:rFonts w:hint="default"/>
        <w:lang w:val="en-gb" w:eastAsia="en-US" w:bidi="ar-SA"/>
      </w:rPr>
    </w:lvl>
    <w:lvl w:ilvl="4">
      <w:start w:val="0"/>
      <w:numFmt w:val="bullet"/>
      <w:lvlText w:val="•"/>
      <w:lvlJc w:val="left"/>
      <w:pPr>
        <w:ind w:left="3384" w:hanging="400"/>
      </w:pPr>
      <w:rPr>
        <w:rFonts w:hint="default"/>
        <w:lang w:val="en-gb" w:eastAsia="en-US" w:bidi="ar-SA"/>
      </w:rPr>
    </w:lvl>
    <w:lvl w:ilvl="5">
      <w:start w:val="0"/>
      <w:numFmt w:val="bullet"/>
      <w:lvlText w:val="•"/>
      <w:lvlJc w:val="left"/>
      <w:pPr>
        <w:ind w:left="4000" w:hanging="400"/>
      </w:pPr>
      <w:rPr>
        <w:rFonts w:hint="default"/>
        <w:lang w:val="en-gb" w:eastAsia="en-US" w:bidi="ar-SA"/>
      </w:rPr>
    </w:lvl>
    <w:lvl w:ilvl="6">
      <w:start w:val="0"/>
      <w:numFmt w:val="bullet"/>
      <w:lvlText w:val="•"/>
      <w:lvlJc w:val="left"/>
      <w:pPr>
        <w:ind w:left="4616" w:hanging="400"/>
      </w:pPr>
      <w:rPr>
        <w:rFonts w:hint="default"/>
        <w:lang w:val="en-gb" w:eastAsia="en-US" w:bidi="ar-SA"/>
      </w:rPr>
    </w:lvl>
    <w:lvl w:ilvl="7">
      <w:start w:val="0"/>
      <w:numFmt w:val="bullet"/>
      <w:lvlText w:val="•"/>
      <w:lvlJc w:val="left"/>
      <w:pPr>
        <w:ind w:left="5232" w:hanging="400"/>
      </w:pPr>
      <w:rPr>
        <w:rFonts w:hint="default"/>
        <w:lang w:val="en-gb" w:eastAsia="en-US" w:bidi="ar-SA"/>
      </w:rPr>
    </w:lvl>
    <w:lvl w:ilvl="8">
      <w:start w:val="0"/>
      <w:numFmt w:val="bullet"/>
      <w:lvlText w:val="•"/>
      <w:lvlJc w:val="left"/>
      <w:pPr>
        <w:ind w:left="5848" w:hanging="400"/>
      </w:pPr>
      <w:rPr>
        <w:rFonts w:hint="default"/>
        <w:lang w:val="en-gb" w:eastAsia="en-US" w:bidi="ar-SA"/>
      </w:rPr>
    </w:lvl>
  </w:abstractNum>
  <w:abstractNum w:abstractNumId="71">
    <w:multiLevelType w:val="hybridMultilevel"/>
    <w:lvl w:ilvl="0">
      <w:start w:val="8"/>
      <w:numFmt w:val="decimal"/>
      <w:lvlText w:val="%1"/>
      <w:lvlJc w:val="left"/>
      <w:pPr>
        <w:ind w:left="1720" w:hanging="251"/>
        <w:jc w:val="left"/>
      </w:pPr>
      <w:rPr>
        <w:rFonts w:hint="default" w:ascii="Arial" w:hAnsi="Arial" w:eastAsia="Arial" w:cs="Arial"/>
        <w:b w:val="0"/>
        <w:bCs w:val="0"/>
        <w:i w:val="0"/>
        <w:iCs w:val="0"/>
        <w:color w:val="231F20"/>
        <w:w w:val="113"/>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70">
    <w:multiLevelType w:val="hybridMultilevel"/>
    <w:lvl w:ilvl="0">
      <w:start w:val="1"/>
      <w:numFmt w:val="decimal"/>
      <w:lvlText w:val="%1"/>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69">
    <w:multiLevelType w:val="hybridMultilevel"/>
    <w:lvl w:ilvl="0">
      <w:start w:val="1"/>
      <w:numFmt w:val="lowerLetter"/>
      <w:lvlText w:val="%1)"/>
      <w:lvlJc w:val="left"/>
      <w:pPr>
        <w:ind w:left="1720" w:hanging="251"/>
        <w:jc w:val="right"/>
      </w:pPr>
      <w:rPr>
        <w:rFonts w:hint="default" w:ascii="Arial" w:hAnsi="Arial" w:eastAsia="Arial" w:cs="Arial"/>
        <w:b w:val="0"/>
        <w:bCs w:val="0"/>
        <w:i w:val="0"/>
        <w:iCs w:val="0"/>
        <w:color w:val="231F20"/>
        <w:w w:val="96"/>
        <w:sz w:val="17"/>
        <w:szCs w:val="17"/>
        <w:lang w:val="en-gb" w:eastAsia="en-US" w:bidi="ar-SA"/>
      </w:rPr>
    </w:lvl>
    <w:lvl w:ilvl="1">
      <w:start w:val="1"/>
      <w:numFmt w:val="decimal"/>
      <w:lvlText w:val="%2."/>
      <w:lvlJc w:val="left"/>
      <w:pPr>
        <w:ind w:left="1626" w:hanging="157"/>
        <w:jc w:val="right"/>
      </w:pPr>
      <w:rPr>
        <w:rFonts w:hint="default" w:ascii="Arial" w:hAnsi="Arial" w:eastAsia="Arial" w:cs="Arial"/>
        <w:b/>
        <w:bCs/>
        <w:i w:val="0"/>
        <w:iCs w:val="0"/>
        <w:color w:val="231F20"/>
        <w:spacing w:val="-2"/>
        <w:w w:val="77"/>
        <w:sz w:val="17"/>
        <w:szCs w:val="17"/>
        <w:lang w:val="en-gb" w:eastAsia="en-US" w:bidi="ar-SA"/>
      </w:rPr>
    </w:lvl>
    <w:lvl w:ilvl="2">
      <w:start w:val="0"/>
      <w:numFmt w:val="bullet"/>
      <w:lvlText w:val="•"/>
      <w:lvlJc w:val="left"/>
      <w:pPr>
        <w:ind w:left="2315" w:hanging="157"/>
      </w:pPr>
      <w:rPr>
        <w:rFonts w:hint="default"/>
        <w:lang w:val="en-gb" w:eastAsia="en-US" w:bidi="ar-SA"/>
      </w:rPr>
    </w:lvl>
    <w:lvl w:ilvl="3">
      <w:start w:val="0"/>
      <w:numFmt w:val="bullet"/>
      <w:lvlText w:val="•"/>
      <w:lvlJc w:val="left"/>
      <w:pPr>
        <w:ind w:left="2911" w:hanging="157"/>
      </w:pPr>
      <w:rPr>
        <w:rFonts w:hint="default"/>
        <w:lang w:val="en-gb" w:eastAsia="en-US" w:bidi="ar-SA"/>
      </w:rPr>
    </w:lvl>
    <w:lvl w:ilvl="4">
      <w:start w:val="0"/>
      <w:numFmt w:val="bullet"/>
      <w:lvlText w:val="•"/>
      <w:lvlJc w:val="left"/>
      <w:pPr>
        <w:ind w:left="3506" w:hanging="157"/>
      </w:pPr>
      <w:rPr>
        <w:rFonts w:hint="default"/>
        <w:lang w:val="en-gb" w:eastAsia="en-US" w:bidi="ar-SA"/>
      </w:rPr>
    </w:lvl>
    <w:lvl w:ilvl="5">
      <w:start w:val="0"/>
      <w:numFmt w:val="bullet"/>
      <w:lvlText w:val="•"/>
      <w:lvlJc w:val="left"/>
      <w:pPr>
        <w:ind w:left="4102" w:hanging="157"/>
      </w:pPr>
      <w:rPr>
        <w:rFonts w:hint="default"/>
        <w:lang w:val="en-gb" w:eastAsia="en-US" w:bidi="ar-SA"/>
      </w:rPr>
    </w:lvl>
    <w:lvl w:ilvl="6">
      <w:start w:val="0"/>
      <w:numFmt w:val="bullet"/>
      <w:lvlText w:val="•"/>
      <w:lvlJc w:val="left"/>
      <w:pPr>
        <w:ind w:left="4697" w:hanging="157"/>
      </w:pPr>
      <w:rPr>
        <w:rFonts w:hint="default"/>
        <w:lang w:val="en-gb" w:eastAsia="en-US" w:bidi="ar-SA"/>
      </w:rPr>
    </w:lvl>
    <w:lvl w:ilvl="7">
      <w:start w:val="0"/>
      <w:numFmt w:val="bullet"/>
      <w:lvlText w:val="•"/>
      <w:lvlJc w:val="left"/>
      <w:pPr>
        <w:ind w:left="5293" w:hanging="157"/>
      </w:pPr>
      <w:rPr>
        <w:rFonts w:hint="default"/>
        <w:lang w:val="en-gb" w:eastAsia="en-US" w:bidi="ar-SA"/>
      </w:rPr>
    </w:lvl>
    <w:lvl w:ilvl="8">
      <w:start w:val="0"/>
      <w:numFmt w:val="bullet"/>
      <w:lvlText w:val="•"/>
      <w:lvlJc w:val="left"/>
      <w:pPr>
        <w:ind w:left="5888" w:hanging="157"/>
      </w:pPr>
      <w:rPr>
        <w:rFonts w:hint="default"/>
        <w:lang w:val="en-gb" w:eastAsia="en-US" w:bidi="ar-SA"/>
      </w:rPr>
    </w:lvl>
  </w:abstractNum>
  <w:abstractNum w:abstractNumId="68">
    <w:multiLevelType w:val="hybridMultilevel"/>
    <w:lvl w:ilvl="0">
      <w:start w:val="1"/>
      <w:numFmt w:val="lowerLetter"/>
      <w:lvlText w:val="%1)"/>
      <w:lvlJc w:val="left"/>
      <w:pPr>
        <w:ind w:left="1330" w:hanging="251"/>
        <w:jc w:val="left"/>
      </w:pPr>
      <w:rPr>
        <w:rFonts w:hint="default" w:ascii="Arial" w:hAnsi="Arial" w:eastAsia="Arial" w:cs="Arial"/>
        <w:b w:val="0"/>
        <w:bCs w:val="0"/>
        <w:i w:val="0"/>
        <w:iCs w:val="0"/>
        <w:color w:val="231F20"/>
        <w:w w:val="96"/>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67">
    <w:multiLevelType w:val="hybridMultilevel"/>
    <w:lvl w:ilvl="0">
      <w:start w:val="2"/>
      <w:numFmt w:val="decimal"/>
      <w:lvlText w:val="%1"/>
      <w:lvlJc w:val="left"/>
      <w:pPr>
        <w:ind w:left="1330" w:hanging="251"/>
        <w:jc w:val="left"/>
      </w:pPr>
      <w:rPr>
        <w:rFonts w:hint="default" w:ascii="Arial" w:hAnsi="Arial" w:eastAsia="Arial" w:cs="Arial"/>
        <w:b w:val="0"/>
        <w:bCs w:val="0"/>
        <w:i w:val="0"/>
        <w:iCs w:val="0"/>
        <w:color w:val="231F20"/>
        <w:w w:val="98"/>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66">
    <w:multiLevelType w:val="hybridMultilevel"/>
    <w:lvl w:ilvl="0">
      <w:start w:val="1"/>
      <w:numFmt w:val="decimal"/>
      <w:lvlText w:val="%1"/>
      <w:lvlJc w:val="left"/>
      <w:pPr>
        <w:ind w:left="172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65">
    <w:multiLevelType w:val="hybridMultilevel"/>
    <w:lvl w:ilvl="0">
      <w:start w:val="4"/>
      <w:numFmt w:val="decimal"/>
      <w:lvlText w:val="%1"/>
      <w:lvlJc w:val="left"/>
      <w:pPr>
        <w:ind w:left="918" w:hanging="397"/>
        <w:jc w:val="left"/>
      </w:pPr>
      <w:rPr>
        <w:rFonts w:hint="default"/>
        <w:lang w:val="en-gb" w:eastAsia="en-US" w:bidi="ar-SA"/>
      </w:rPr>
    </w:lvl>
    <w:lvl w:ilvl="1">
      <w:start w:val="4"/>
      <w:numFmt w:val="decimal"/>
      <w:lvlText w:val="%1.%2"/>
      <w:lvlJc w:val="left"/>
      <w:pPr>
        <w:ind w:left="918" w:hanging="397"/>
        <w:jc w:val="left"/>
      </w:pPr>
      <w:rPr>
        <w:rFonts w:hint="default"/>
        <w:lang w:val="en-gb" w:eastAsia="en-US" w:bidi="ar-SA"/>
      </w:rPr>
    </w:lvl>
    <w:lvl w:ilvl="2">
      <w:start w:val="1"/>
      <w:numFmt w:val="decimal"/>
      <w:lvlText w:val="%1.%2.%3"/>
      <w:lvlJc w:val="left"/>
      <w:pPr>
        <w:ind w:left="918" w:hanging="397"/>
        <w:jc w:val="left"/>
      </w:pPr>
      <w:rPr>
        <w:rFonts w:hint="default" w:ascii="Arial" w:hAnsi="Arial" w:eastAsia="Arial" w:cs="Arial"/>
        <w:b w:val="0"/>
        <w:bCs w:val="0"/>
        <w:i w:val="0"/>
        <w:iCs w:val="0"/>
        <w:color w:val="231F20"/>
        <w:w w:val="90"/>
        <w:sz w:val="18"/>
        <w:szCs w:val="18"/>
        <w:lang w:val="en-gb" w:eastAsia="en-US" w:bidi="ar-SA"/>
      </w:rPr>
    </w:lvl>
    <w:lvl w:ilvl="3">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64">
    <w:multiLevelType w:val="hybridMultilevel"/>
    <w:lvl w:ilvl="0">
      <w:start w:val="17"/>
      <w:numFmt w:val="decimal"/>
      <w:lvlText w:val="%1"/>
      <w:lvlJc w:val="left"/>
      <w:pPr>
        <w:ind w:left="829" w:hanging="406"/>
        <w:jc w:val="right"/>
      </w:pPr>
      <w:rPr>
        <w:rFonts w:hint="default" w:ascii="Arial" w:hAnsi="Arial" w:eastAsia="Arial" w:cs="Arial"/>
        <w:b w:val="0"/>
        <w:bCs w:val="0"/>
        <w:i w:val="0"/>
        <w:iCs w:val="0"/>
        <w:color w:val="231F20"/>
        <w:w w:val="116"/>
        <w:sz w:val="12"/>
        <w:szCs w:val="12"/>
        <w:lang w:val="en-gb" w:eastAsia="en-US" w:bidi="ar-SA"/>
      </w:rPr>
    </w:lvl>
    <w:lvl w:ilvl="1">
      <w:start w:val="0"/>
      <w:numFmt w:val="bullet"/>
      <w:lvlText w:val="•"/>
      <w:lvlJc w:val="left"/>
      <w:pPr>
        <w:ind w:left="1340" w:hanging="251"/>
      </w:pPr>
      <w:rPr>
        <w:rFonts w:hint="default" w:ascii="Arial" w:hAnsi="Arial" w:eastAsia="Arial" w:cs="Arial"/>
        <w:b w:val="0"/>
        <w:bCs w:val="0"/>
        <w:i w:val="0"/>
        <w:iCs w:val="0"/>
        <w:color w:val="231F20"/>
        <w:w w:val="107"/>
        <w:sz w:val="17"/>
        <w:szCs w:val="17"/>
        <w:lang w:val="en-gb" w:eastAsia="en-US" w:bidi="ar-SA"/>
      </w:rPr>
    </w:lvl>
    <w:lvl w:ilvl="2">
      <w:start w:val="0"/>
      <w:numFmt w:val="bullet"/>
      <w:lvlText w:val="•"/>
      <w:lvlJc w:val="left"/>
      <w:pPr>
        <w:ind w:left="1740" w:hanging="251"/>
      </w:pPr>
      <w:rPr>
        <w:rFonts w:hint="default"/>
        <w:lang w:val="en-gb" w:eastAsia="en-US" w:bidi="ar-SA"/>
      </w:rPr>
    </w:lvl>
    <w:lvl w:ilvl="3">
      <w:start w:val="0"/>
      <w:numFmt w:val="bullet"/>
      <w:lvlText w:val="•"/>
      <w:lvlJc w:val="left"/>
      <w:pPr>
        <w:ind w:left="2407" w:hanging="251"/>
      </w:pPr>
      <w:rPr>
        <w:rFonts w:hint="default"/>
        <w:lang w:val="en-gb" w:eastAsia="en-US" w:bidi="ar-SA"/>
      </w:rPr>
    </w:lvl>
    <w:lvl w:ilvl="4">
      <w:start w:val="0"/>
      <w:numFmt w:val="bullet"/>
      <w:lvlText w:val="•"/>
      <w:lvlJc w:val="left"/>
      <w:pPr>
        <w:ind w:left="3075" w:hanging="251"/>
      </w:pPr>
      <w:rPr>
        <w:rFonts w:hint="default"/>
        <w:lang w:val="en-gb" w:eastAsia="en-US" w:bidi="ar-SA"/>
      </w:rPr>
    </w:lvl>
    <w:lvl w:ilvl="5">
      <w:start w:val="0"/>
      <w:numFmt w:val="bullet"/>
      <w:lvlText w:val="•"/>
      <w:lvlJc w:val="left"/>
      <w:pPr>
        <w:ind w:left="3742" w:hanging="251"/>
      </w:pPr>
      <w:rPr>
        <w:rFonts w:hint="default"/>
        <w:lang w:val="en-gb" w:eastAsia="en-US" w:bidi="ar-SA"/>
      </w:rPr>
    </w:lvl>
    <w:lvl w:ilvl="6">
      <w:start w:val="0"/>
      <w:numFmt w:val="bullet"/>
      <w:lvlText w:val="•"/>
      <w:lvlJc w:val="left"/>
      <w:pPr>
        <w:ind w:left="4410" w:hanging="251"/>
      </w:pPr>
      <w:rPr>
        <w:rFonts w:hint="default"/>
        <w:lang w:val="en-gb" w:eastAsia="en-US" w:bidi="ar-SA"/>
      </w:rPr>
    </w:lvl>
    <w:lvl w:ilvl="7">
      <w:start w:val="0"/>
      <w:numFmt w:val="bullet"/>
      <w:lvlText w:val="•"/>
      <w:lvlJc w:val="left"/>
      <w:pPr>
        <w:ind w:left="5077" w:hanging="251"/>
      </w:pPr>
      <w:rPr>
        <w:rFonts w:hint="default"/>
        <w:lang w:val="en-gb" w:eastAsia="en-US" w:bidi="ar-SA"/>
      </w:rPr>
    </w:lvl>
    <w:lvl w:ilvl="8">
      <w:start w:val="0"/>
      <w:numFmt w:val="bullet"/>
      <w:lvlText w:val="•"/>
      <w:lvlJc w:val="left"/>
      <w:pPr>
        <w:ind w:left="5745" w:hanging="251"/>
      </w:pPr>
      <w:rPr>
        <w:rFonts w:hint="default"/>
        <w:lang w:val="en-gb" w:eastAsia="en-US" w:bidi="ar-SA"/>
      </w:rPr>
    </w:lvl>
  </w:abstractNum>
  <w:abstractNum w:abstractNumId="63">
    <w:multiLevelType w:val="hybridMultilevel"/>
    <w:lvl w:ilvl="0">
      <w:start w:val="1"/>
      <w:numFmt w:val="decimal"/>
      <w:lvlText w:val="%1"/>
      <w:lvlJc w:val="left"/>
      <w:pPr>
        <w:ind w:left="1330" w:hanging="251"/>
        <w:jc w:val="righ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62">
    <w:multiLevelType w:val="hybridMultilevel"/>
    <w:lvl w:ilvl="0">
      <w:start w:val="2"/>
      <w:numFmt w:val="decimal"/>
      <w:lvlText w:val="%1"/>
      <w:lvlJc w:val="left"/>
      <w:pPr>
        <w:ind w:left="829" w:hanging="328"/>
        <w:jc w:val="right"/>
      </w:pPr>
      <w:rPr>
        <w:rFonts w:hint="default" w:ascii="Arial" w:hAnsi="Arial" w:eastAsia="Arial" w:cs="Arial"/>
        <w:b w:val="0"/>
        <w:bCs w:val="0"/>
        <w:i w:val="0"/>
        <w:iCs w:val="0"/>
        <w:color w:val="231F20"/>
        <w:w w:val="116"/>
        <w:sz w:val="12"/>
        <w:szCs w:val="12"/>
        <w:lang w:val="en-gb" w:eastAsia="en-US" w:bidi="ar-SA"/>
      </w:rPr>
    </w:lvl>
    <w:lvl w:ilvl="1">
      <w:start w:val="0"/>
      <w:numFmt w:val="bullet"/>
      <w:lvlText w:val="•"/>
      <w:lvlJc w:val="left"/>
      <w:pPr>
        <w:ind w:left="1340" w:hanging="328"/>
      </w:pPr>
      <w:rPr>
        <w:rFonts w:hint="default"/>
        <w:lang w:val="en-gb" w:eastAsia="en-US" w:bidi="ar-SA"/>
      </w:rPr>
    </w:lvl>
    <w:lvl w:ilvl="2">
      <w:start w:val="0"/>
      <w:numFmt w:val="bullet"/>
      <w:lvlText w:val="•"/>
      <w:lvlJc w:val="left"/>
      <w:pPr>
        <w:ind w:left="1720" w:hanging="328"/>
      </w:pPr>
      <w:rPr>
        <w:rFonts w:hint="default"/>
        <w:lang w:val="en-gb" w:eastAsia="en-US" w:bidi="ar-SA"/>
      </w:rPr>
    </w:lvl>
    <w:lvl w:ilvl="3">
      <w:start w:val="0"/>
      <w:numFmt w:val="bullet"/>
      <w:lvlText w:val="•"/>
      <w:lvlJc w:val="left"/>
      <w:pPr>
        <w:ind w:left="2390" w:hanging="328"/>
      </w:pPr>
      <w:rPr>
        <w:rFonts w:hint="default"/>
        <w:lang w:val="en-gb" w:eastAsia="en-US" w:bidi="ar-SA"/>
      </w:rPr>
    </w:lvl>
    <w:lvl w:ilvl="4">
      <w:start w:val="0"/>
      <w:numFmt w:val="bullet"/>
      <w:lvlText w:val="•"/>
      <w:lvlJc w:val="left"/>
      <w:pPr>
        <w:ind w:left="3060" w:hanging="328"/>
      </w:pPr>
      <w:rPr>
        <w:rFonts w:hint="default"/>
        <w:lang w:val="en-gb" w:eastAsia="en-US" w:bidi="ar-SA"/>
      </w:rPr>
    </w:lvl>
    <w:lvl w:ilvl="5">
      <w:start w:val="0"/>
      <w:numFmt w:val="bullet"/>
      <w:lvlText w:val="•"/>
      <w:lvlJc w:val="left"/>
      <w:pPr>
        <w:ind w:left="3730" w:hanging="328"/>
      </w:pPr>
      <w:rPr>
        <w:rFonts w:hint="default"/>
        <w:lang w:val="en-gb" w:eastAsia="en-US" w:bidi="ar-SA"/>
      </w:rPr>
    </w:lvl>
    <w:lvl w:ilvl="6">
      <w:start w:val="0"/>
      <w:numFmt w:val="bullet"/>
      <w:lvlText w:val="•"/>
      <w:lvlJc w:val="left"/>
      <w:pPr>
        <w:ind w:left="4400" w:hanging="328"/>
      </w:pPr>
      <w:rPr>
        <w:rFonts w:hint="default"/>
        <w:lang w:val="en-gb" w:eastAsia="en-US" w:bidi="ar-SA"/>
      </w:rPr>
    </w:lvl>
    <w:lvl w:ilvl="7">
      <w:start w:val="0"/>
      <w:numFmt w:val="bullet"/>
      <w:lvlText w:val="•"/>
      <w:lvlJc w:val="left"/>
      <w:pPr>
        <w:ind w:left="5070" w:hanging="328"/>
      </w:pPr>
      <w:rPr>
        <w:rFonts w:hint="default"/>
        <w:lang w:val="en-gb" w:eastAsia="en-US" w:bidi="ar-SA"/>
      </w:rPr>
    </w:lvl>
    <w:lvl w:ilvl="8">
      <w:start w:val="0"/>
      <w:numFmt w:val="bullet"/>
      <w:lvlText w:val="•"/>
      <w:lvlJc w:val="left"/>
      <w:pPr>
        <w:ind w:left="5740" w:hanging="328"/>
      </w:pPr>
      <w:rPr>
        <w:rFonts w:hint="default"/>
        <w:lang w:val="en-gb" w:eastAsia="en-US" w:bidi="ar-SA"/>
      </w:rPr>
    </w:lvl>
  </w:abstractNum>
  <w:abstractNum w:abstractNumId="61">
    <w:multiLevelType w:val="hybridMultilevel"/>
    <w:lvl w:ilvl="0">
      <w:start w:val="4"/>
      <w:numFmt w:val="decimal"/>
      <w:lvlText w:val="%1"/>
      <w:lvlJc w:val="left"/>
      <w:pPr>
        <w:ind w:left="910" w:hanging="290"/>
        <w:jc w:val="left"/>
      </w:pPr>
      <w:rPr>
        <w:rFonts w:hint="default"/>
        <w:lang w:val="en-gb" w:eastAsia="en-US" w:bidi="ar-SA"/>
      </w:rPr>
    </w:lvl>
    <w:lvl w:ilvl="1">
      <w:start w:val="1"/>
      <w:numFmt w:val="decimal"/>
      <w:lvlText w:val="%1.%2"/>
      <w:lvlJc w:val="left"/>
      <w:pPr>
        <w:ind w:left="910" w:hanging="290"/>
        <w:jc w:val="right"/>
      </w:pPr>
      <w:rPr>
        <w:rFonts w:hint="default" w:ascii="Arial" w:hAnsi="Arial" w:eastAsia="Arial" w:cs="Arial"/>
        <w:b w:val="0"/>
        <w:bCs w:val="0"/>
        <w:i w:val="0"/>
        <w:iCs w:val="0"/>
        <w:color w:val="231F20"/>
        <w:w w:val="85"/>
        <w:sz w:val="21"/>
        <w:szCs w:val="21"/>
        <w:lang w:val="en-gb" w:eastAsia="en-US" w:bidi="ar-SA"/>
      </w:rPr>
    </w:lvl>
    <w:lvl w:ilvl="2">
      <w:start w:val="1"/>
      <w:numFmt w:val="decimal"/>
      <w:lvlText w:val="%3"/>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3">
      <w:start w:val="0"/>
      <w:numFmt w:val="bullet"/>
      <w:lvlText w:val="•"/>
      <w:lvlJc w:val="left"/>
      <w:pPr>
        <w:ind w:left="2057" w:hanging="251"/>
      </w:pPr>
      <w:rPr>
        <w:rFonts w:hint="default"/>
        <w:lang w:val="en-gb" w:eastAsia="en-US" w:bidi="ar-SA"/>
      </w:rPr>
    </w:lvl>
    <w:lvl w:ilvl="4">
      <w:start w:val="0"/>
      <w:numFmt w:val="bullet"/>
      <w:lvlText w:val="•"/>
      <w:lvlJc w:val="left"/>
      <w:pPr>
        <w:ind w:left="2775" w:hanging="251"/>
      </w:pPr>
      <w:rPr>
        <w:rFonts w:hint="default"/>
        <w:lang w:val="en-gb" w:eastAsia="en-US" w:bidi="ar-SA"/>
      </w:rPr>
    </w:lvl>
    <w:lvl w:ilvl="5">
      <w:start w:val="0"/>
      <w:numFmt w:val="bullet"/>
      <w:lvlText w:val="•"/>
      <w:lvlJc w:val="left"/>
      <w:pPr>
        <w:ind w:left="3492" w:hanging="251"/>
      </w:pPr>
      <w:rPr>
        <w:rFonts w:hint="default"/>
        <w:lang w:val="en-gb" w:eastAsia="en-US" w:bidi="ar-SA"/>
      </w:rPr>
    </w:lvl>
    <w:lvl w:ilvl="6">
      <w:start w:val="0"/>
      <w:numFmt w:val="bullet"/>
      <w:lvlText w:val="•"/>
      <w:lvlJc w:val="left"/>
      <w:pPr>
        <w:ind w:left="4210" w:hanging="251"/>
      </w:pPr>
      <w:rPr>
        <w:rFonts w:hint="default"/>
        <w:lang w:val="en-gb" w:eastAsia="en-US" w:bidi="ar-SA"/>
      </w:rPr>
    </w:lvl>
    <w:lvl w:ilvl="7">
      <w:start w:val="0"/>
      <w:numFmt w:val="bullet"/>
      <w:lvlText w:val="•"/>
      <w:lvlJc w:val="left"/>
      <w:pPr>
        <w:ind w:left="4927" w:hanging="251"/>
      </w:pPr>
      <w:rPr>
        <w:rFonts w:hint="default"/>
        <w:lang w:val="en-gb" w:eastAsia="en-US" w:bidi="ar-SA"/>
      </w:rPr>
    </w:lvl>
    <w:lvl w:ilvl="8">
      <w:start w:val="0"/>
      <w:numFmt w:val="bullet"/>
      <w:lvlText w:val="•"/>
      <w:lvlJc w:val="left"/>
      <w:pPr>
        <w:ind w:left="5645" w:hanging="251"/>
      </w:pPr>
      <w:rPr>
        <w:rFonts w:hint="default"/>
        <w:lang w:val="en-gb" w:eastAsia="en-US" w:bidi="ar-SA"/>
      </w:rPr>
    </w:lvl>
  </w:abstractNum>
  <w:abstractNum w:abstractNumId="60">
    <w:multiLevelType w:val="hybridMultilevel"/>
    <w:lvl w:ilvl="0">
      <w:start w:val="1"/>
      <w:numFmt w:val="lowerLetter"/>
      <w:lvlText w:val="%1)"/>
      <w:lvlJc w:val="left"/>
      <w:pPr>
        <w:ind w:left="1330" w:hanging="251"/>
        <w:jc w:val="right"/>
      </w:pPr>
      <w:rPr>
        <w:rFonts w:hint="default" w:ascii="Arial" w:hAnsi="Arial" w:eastAsia="Arial" w:cs="Arial"/>
        <w:b w:val="0"/>
        <w:bCs w:val="0"/>
        <w:i w:val="0"/>
        <w:iCs w:val="0"/>
        <w:color w:val="231F20"/>
        <w:w w:val="96"/>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59">
    <w:multiLevelType w:val="hybridMultilevel"/>
    <w:lvl w:ilvl="0">
      <w:start w:val="0"/>
      <w:numFmt w:val="bullet"/>
      <w:lvlText w:val="•"/>
      <w:lvlJc w:val="left"/>
      <w:pPr>
        <w:ind w:left="119" w:hanging="120"/>
      </w:pPr>
      <w:rPr>
        <w:rFonts w:hint="default" w:ascii="Arial" w:hAnsi="Arial" w:eastAsia="Arial" w:cs="Arial"/>
        <w:b w:val="0"/>
        <w:bCs w:val="0"/>
        <w:i w:val="0"/>
        <w:iCs w:val="0"/>
        <w:color w:val="231F20"/>
        <w:w w:val="100"/>
        <w:sz w:val="15"/>
        <w:szCs w:val="15"/>
        <w:lang w:val="en-gb" w:eastAsia="en-US" w:bidi="ar-SA"/>
      </w:rPr>
    </w:lvl>
    <w:lvl w:ilvl="1">
      <w:start w:val="0"/>
      <w:numFmt w:val="bullet"/>
      <w:lvlText w:val="•"/>
      <w:lvlJc w:val="left"/>
      <w:pPr>
        <w:ind w:left="215" w:hanging="120"/>
      </w:pPr>
      <w:rPr>
        <w:rFonts w:hint="default"/>
        <w:lang w:val="en-gb" w:eastAsia="en-US" w:bidi="ar-SA"/>
      </w:rPr>
    </w:lvl>
    <w:lvl w:ilvl="2">
      <w:start w:val="0"/>
      <w:numFmt w:val="bullet"/>
      <w:lvlText w:val="•"/>
      <w:lvlJc w:val="left"/>
      <w:pPr>
        <w:ind w:left="311" w:hanging="120"/>
      </w:pPr>
      <w:rPr>
        <w:rFonts w:hint="default"/>
        <w:lang w:val="en-gb" w:eastAsia="en-US" w:bidi="ar-SA"/>
      </w:rPr>
    </w:lvl>
    <w:lvl w:ilvl="3">
      <w:start w:val="0"/>
      <w:numFmt w:val="bullet"/>
      <w:lvlText w:val="•"/>
      <w:lvlJc w:val="left"/>
      <w:pPr>
        <w:ind w:left="406" w:hanging="120"/>
      </w:pPr>
      <w:rPr>
        <w:rFonts w:hint="default"/>
        <w:lang w:val="en-gb" w:eastAsia="en-US" w:bidi="ar-SA"/>
      </w:rPr>
    </w:lvl>
    <w:lvl w:ilvl="4">
      <w:start w:val="0"/>
      <w:numFmt w:val="bullet"/>
      <w:lvlText w:val="•"/>
      <w:lvlJc w:val="left"/>
      <w:pPr>
        <w:ind w:left="502" w:hanging="120"/>
      </w:pPr>
      <w:rPr>
        <w:rFonts w:hint="default"/>
        <w:lang w:val="en-gb" w:eastAsia="en-US" w:bidi="ar-SA"/>
      </w:rPr>
    </w:lvl>
    <w:lvl w:ilvl="5">
      <w:start w:val="0"/>
      <w:numFmt w:val="bullet"/>
      <w:lvlText w:val="•"/>
      <w:lvlJc w:val="left"/>
      <w:pPr>
        <w:ind w:left="597" w:hanging="120"/>
      </w:pPr>
      <w:rPr>
        <w:rFonts w:hint="default"/>
        <w:lang w:val="en-gb" w:eastAsia="en-US" w:bidi="ar-SA"/>
      </w:rPr>
    </w:lvl>
    <w:lvl w:ilvl="6">
      <w:start w:val="0"/>
      <w:numFmt w:val="bullet"/>
      <w:lvlText w:val="•"/>
      <w:lvlJc w:val="left"/>
      <w:pPr>
        <w:ind w:left="693" w:hanging="120"/>
      </w:pPr>
      <w:rPr>
        <w:rFonts w:hint="default"/>
        <w:lang w:val="en-gb" w:eastAsia="en-US" w:bidi="ar-SA"/>
      </w:rPr>
    </w:lvl>
    <w:lvl w:ilvl="7">
      <w:start w:val="0"/>
      <w:numFmt w:val="bullet"/>
      <w:lvlText w:val="•"/>
      <w:lvlJc w:val="left"/>
      <w:pPr>
        <w:ind w:left="789" w:hanging="120"/>
      </w:pPr>
      <w:rPr>
        <w:rFonts w:hint="default"/>
        <w:lang w:val="en-gb" w:eastAsia="en-US" w:bidi="ar-SA"/>
      </w:rPr>
    </w:lvl>
    <w:lvl w:ilvl="8">
      <w:start w:val="0"/>
      <w:numFmt w:val="bullet"/>
      <w:lvlText w:val="•"/>
      <w:lvlJc w:val="left"/>
      <w:pPr>
        <w:ind w:left="884" w:hanging="120"/>
      </w:pPr>
      <w:rPr>
        <w:rFonts w:hint="default"/>
        <w:lang w:val="en-gb" w:eastAsia="en-US" w:bidi="ar-SA"/>
      </w:rPr>
    </w:lvl>
  </w:abstractNum>
  <w:abstractNum w:abstractNumId="58">
    <w:multiLevelType w:val="hybridMultilevel"/>
    <w:lvl w:ilvl="0">
      <w:start w:val="0"/>
      <w:numFmt w:val="bullet"/>
      <w:lvlText w:val="•"/>
      <w:lvlJc w:val="left"/>
      <w:pPr>
        <w:ind w:left="238" w:hanging="120"/>
      </w:pPr>
      <w:rPr>
        <w:rFonts w:hint="default" w:ascii="Arial" w:hAnsi="Arial" w:eastAsia="Arial" w:cs="Arial"/>
        <w:b w:val="0"/>
        <w:bCs w:val="0"/>
        <w:i w:val="0"/>
        <w:iCs w:val="0"/>
        <w:color w:val="231F20"/>
        <w:w w:val="100"/>
        <w:sz w:val="15"/>
        <w:szCs w:val="15"/>
        <w:lang w:val="en-gb" w:eastAsia="en-US" w:bidi="ar-SA"/>
      </w:rPr>
    </w:lvl>
    <w:lvl w:ilvl="1">
      <w:start w:val="0"/>
      <w:numFmt w:val="bullet"/>
      <w:lvlText w:val="•"/>
      <w:lvlJc w:val="left"/>
      <w:pPr>
        <w:ind w:left="347" w:hanging="120"/>
      </w:pPr>
      <w:rPr>
        <w:rFonts w:hint="default"/>
        <w:lang w:val="en-gb" w:eastAsia="en-US" w:bidi="ar-SA"/>
      </w:rPr>
    </w:lvl>
    <w:lvl w:ilvl="2">
      <w:start w:val="0"/>
      <w:numFmt w:val="bullet"/>
      <w:lvlText w:val="•"/>
      <w:lvlJc w:val="left"/>
      <w:pPr>
        <w:ind w:left="454" w:hanging="120"/>
      </w:pPr>
      <w:rPr>
        <w:rFonts w:hint="default"/>
        <w:lang w:val="en-gb" w:eastAsia="en-US" w:bidi="ar-SA"/>
      </w:rPr>
    </w:lvl>
    <w:lvl w:ilvl="3">
      <w:start w:val="0"/>
      <w:numFmt w:val="bullet"/>
      <w:lvlText w:val="•"/>
      <w:lvlJc w:val="left"/>
      <w:pPr>
        <w:ind w:left="562" w:hanging="120"/>
      </w:pPr>
      <w:rPr>
        <w:rFonts w:hint="default"/>
        <w:lang w:val="en-gb" w:eastAsia="en-US" w:bidi="ar-SA"/>
      </w:rPr>
    </w:lvl>
    <w:lvl w:ilvl="4">
      <w:start w:val="0"/>
      <w:numFmt w:val="bullet"/>
      <w:lvlText w:val="•"/>
      <w:lvlJc w:val="left"/>
      <w:pPr>
        <w:ind w:left="669" w:hanging="120"/>
      </w:pPr>
      <w:rPr>
        <w:rFonts w:hint="default"/>
        <w:lang w:val="en-gb" w:eastAsia="en-US" w:bidi="ar-SA"/>
      </w:rPr>
    </w:lvl>
    <w:lvl w:ilvl="5">
      <w:start w:val="0"/>
      <w:numFmt w:val="bullet"/>
      <w:lvlText w:val="•"/>
      <w:lvlJc w:val="left"/>
      <w:pPr>
        <w:ind w:left="776" w:hanging="120"/>
      </w:pPr>
      <w:rPr>
        <w:rFonts w:hint="default"/>
        <w:lang w:val="en-gb" w:eastAsia="en-US" w:bidi="ar-SA"/>
      </w:rPr>
    </w:lvl>
    <w:lvl w:ilvl="6">
      <w:start w:val="0"/>
      <w:numFmt w:val="bullet"/>
      <w:lvlText w:val="•"/>
      <w:lvlJc w:val="left"/>
      <w:pPr>
        <w:ind w:left="884" w:hanging="120"/>
      </w:pPr>
      <w:rPr>
        <w:rFonts w:hint="default"/>
        <w:lang w:val="en-gb" w:eastAsia="en-US" w:bidi="ar-SA"/>
      </w:rPr>
    </w:lvl>
    <w:lvl w:ilvl="7">
      <w:start w:val="0"/>
      <w:numFmt w:val="bullet"/>
      <w:lvlText w:val="•"/>
      <w:lvlJc w:val="left"/>
      <w:pPr>
        <w:ind w:left="991" w:hanging="120"/>
      </w:pPr>
      <w:rPr>
        <w:rFonts w:hint="default"/>
        <w:lang w:val="en-gb" w:eastAsia="en-US" w:bidi="ar-SA"/>
      </w:rPr>
    </w:lvl>
    <w:lvl w:ilvl="8">
      <w:start w:val="0"/>
      <w:numFmt w:val="bullet"/>
      <w:lvlText w:val="•"/>
      <w:lvlJc w:val="left"/>
      <w:pPr>
        <w:ind w:left="1098" w:hanging="120"/>
      </w:pPr>
      <w:rPr>
        <w:rFonts w:hint="default"/>
        <w:lang w:val="en-gb" w:eastAsia="en-US" w:bidi="ar-SA"/>
      </w:rPr>
    </w:lvl>
  </w:abstractNum>
  <w:abstractNum w:abstractNumId="57">
    <w:multiLevelType w:val="hybridMultilevel"/>
    <w:lvl w:ilvl="0">
      <w:start w:val="0"/>
      <w:numFmt w:val="bullet"/>
      <w:lvlText w:val="•"/>
      <w:lvlJc w:val="left"/>
      <w:pPr>
        <w:ind w:left="238" w:hanging="120"/>
      </w:pPr>
      <w:rPr>
        <w:rFonts w:hint="default" w:ascii="Arial" w:hAnsi="Arial" w:eastAsia="Arial" w:cs="Arial"/>
        <w:b w:val="0"/>
        <w:bCs w:val="0"/>
        <w:i w:val="0"/>
        <w:iCs w:val="0"/>
        <w:color w:val="231F20"/>
        <w:w w:val="100"/>
        <w:sz w:val="15"/>
        <w:szCs w:val="15"/>
        <w:lang w:val="en-gb" w:eastAsia="en-US" w:bidi="ar-SA"/>
      </w:rPr>
    </w:lvl>
    <w:lvl w:ilvl="1">
      <w:start w:val="0"/>
      <w:numFmt w:val="bullet"/>
      <w:lvlText w:val="•"/>
      <w:lvlJc w:val="left"/>
      <w:pPr>
        <w:ind w:left="335" w:hanging="120"/>
      </w:pPr>
      <w:rPr>
        <w:rFonts w:hint="default"/>
        <w:lang w:val="en-gb" w:eastAsia="en-US" w:bidi="ar-SA"/>
      </w:rPr>
    </w:lvl>
    <w:lvl w:ilvl="2">
      <w:start w:val="0"/>
      <w:numFmt w:val="bullet"/>
      <w:lvlText w:val="•"/>
      <w:lvlJc w:val="left"/>
      <w:pPr>
        <w:ind w:left="431" w:hanging="120"/>
      </w:pPr>
      <w:rPr>
        <w:rFonts w:hint="default"/>
        <w:lang w:val="en-gb" w:eastAsia="en-US" w:bidi="ar-SA"/>
      </w:rPr>
    </w:lvl>
    <w:lvl w:ilvl="3">
      <w:start w:val="0"/>
      <w:numFmt w:val="bullet"/>
      <w:lvlText w:val="•"/>
      <w:lvlJc w:val="left"/>
      <w:pPr>
        <w:ind w:left="527" w:hanging="120"/>
      </w:pPr>
      <w:rPr>
        <w:rFonts w:hint="default"/>
        <w:lang w:val="en-gb" w:eastAsia="en-US" w:bidi="ar-SA"/>
      </w:rPr>
    </w:lvl>
    <w:lvl w:ilvl="4">
      <w:start w:val="0"/>
      <w:numFmt w:val="bullet"/>
      <w:lvlText w:val="•"/>
      <w:lvlJc w:val="left"/>
      <w:pPr>
        <w:ind w:left="623" w:hanging="120"/>
      </w:pPr>
      <w:rPr>
        <w:rFonts w:hint="default"/>
        <w:lang w:val="en-gb" w:eastAsia="en-US" w:bidi="ar-SA"/>
      </w:rPr>
    </w:lvl>
    <w:lvl w:ilvl="5">
      <w:start w:val="0"/>
      <w:numFmt w:val="bullet"/>
      <w:lvlText w:val="•"/>
      <w:lvlJc w:val="left"/>
      <w:pPr>
        <w:ind w:left="718" w:hanging="120"/>
      </w:pPr>
      <w:rPr>
        <w:rFonts w:hint="default"/>
        <w:lang w:val="en-gb" w:eastAsia="en-US" w:bidi="ar-SA"/>
      </w:rPr>
    </w:lvl>
    <w:lvl w:ilvl="6">
      <w:start w:val="0"/>
      <w:numFmt w:val="bullet"/>
      <w:lvlText w:val="•"/>
      <w:lvlJc w:val="left"/>
      <w:pPr>
        <w:ind w:left="814" w:hanging="120"/>
      </w:pPr>
      <w:rPr>
        <w:rFonts w:hint="default"/>
        <w:lang w:val="en-gb" w:eastAsia="en-US" w:bidi="ar-SA"/>
      </w:rPr>
    </w:lvl>
    <w:lvl w:ilvl="7">
      <w:start w:val="0"/>
      <w:numFmt w:val="bullet"/>
      <w:lvlText w:val="•"/>
      <w:lvlJc w:val="left"/>
      <w:pPr>
        <w:ind w:left="910" w:hanging="120"/>
      </w:pPr>
      <w:rPr>
        <w:rFonts w:hint="default"/>
        <w:lang w:val="en-gb" w:eastAsia="en-US" w:bidi="ar-SA"/>
      </w:rPr>
    </w:lvl>
    <w:lvl w:ilvl="8">
      <w:start w:val="0"/>
      <w:numFmt w:val="bullet"/>
      <w:lvlText w:val="•"/>
      <w:lvlJc w:val="left"/>
      <w:pPr>
        <w:ind w:left="1006" w:hanging="120"/>
      </w:pPr>
      <w:rPr>
        <w:rFonts w:hint="default"/>
        <w:lang w:val="en-gb" w:eastAsia="en-US" w:bidi="ar-SA"/>
      </w:rPr>
    </w:lvl>
  </w:abstractNum>
  <w:abstractNum w:abstractNumId="56">
    <w:multiLevelType w:val="hybridMultilevel"/>
    <w:lvl w:ilvl="0">
      <w:start w:val="1"/>
      <w:numFmt w:val="decimal"/>
      <w:lvlText w:val="%1"/>
      <w:lvlJc w:val="left"/>
      <w:pPr>
        <w:ind w:left="133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914" w:hanging="251"/>
      </w:pPr>
      <w:rPr>
        <w:rFonts w:hint="default"/>
        <w:lang w:val="en-gb" w:eastAsia="en-US" w:bidi="ar-SA"/>
      </w:rPr>
    </w:lvl>
    <w:lvl w:ilvl="2">
      <w:start w:val="0"/>
      <w:numFmt w:val="bullet"/>
      <w:lvlText w:val="•"/>
      <w:lvlJc w:val="left"/>
      <w:pPr>
        <w:ind w:left="2488" w:hanging="251"/>
      </w:pPr>
      <w:rPr>
        <w:rFonts w:hint="default"/>
        <w:lang w:val="en-gb" w:eastAsia="en-US" w:bidi="ar-SA"/>
      </w:rPr>
    </w:lvl>
    <w:lvl w:ilvl="3">
      <w:start w:val="0"/>
      <w:numFmt w:val="bullet"/>
      <w:lvlText w:val="•"/>
      <w:lvlJc w:val="left"/>
      <w:pPr>
        <w:ind w:left="3062" w:hanging="251"/>
      </w:pPr>
      <w:rPr>
        <w:rFonts w:hint="default"/>
        <w:lang w:val="en-gb" w:eastAsia="en-US" w:bidi="ar-SA"/>
      </w:rPr>
    </w:lvl>
    <w:lvl w:ilvl="4">
      <w:start w:val="0"/>
      <w:numFmt w:val="bullet"/>
      <w:lvlText w:val="•"/>
      <w:lvlJc w:val="left"/>
      <w:pPr>
        <w:ind w:left="3636" w:hanging="251"/>
      </w:pPr>
      <w:rPr>
        <w:rFonts w:hint="default"/>
        <w:lang w:val="en-gb" w:eastAsia="en-US" w:bidi="ar-SA"/>
      </w:rPr>
    </w:lvl>
    <w:lvl w:ilvl="5">
      <w:start w:val="0"/>
      <w:numFmt w:val="bullet"/>
      <w:lvlText w:val="•"/>
      <w:lvlJc w:val="left"/>
      <w:pPr>
        <w:ind w:left="4210" w:hanging="251"/>
      </w:pPr>
      <w:rPr>
        <w:rFonts w:hint="default"/>
        <w:lang w:val="en-gb" w:eastAsia="en-US" w:bidi="ar-SA"/>
      </w:rPr>
    </w:lvl>
    <w:lvl w:ilvl="6">
      <w:start w:val="0"/>
      <w:numFmt w:val="bullet"/>
      <w:lvlText w:val="•"/>
      <w:lvlJc w:val="left"/>
      <w:pPr>
        <w:ind w:left="4784" w:hanging="251"/>
      </w:pPr>
      <w:rPr>
        <w:rFonts w:hint="default"/>
        <w:lang w:val="en-gb" w:eastAsia="en-US" w:bidi="ar-SA"/>
      </w:rPr>
    </w:lvl>
    <w:lvl w:ilvl="7">
      <w:start w:val="0"/>
      <w:numFmt w:val="bullet"/>
      <w:lvlText w:val="•"/>
      <w:lvlJc w:val="left"/>
      <w:pPr>
        <w:ind w:left="5358" w:hanging="251"/>
      </w:pPr>
      <w:rPr>
        <w:rFonts w:hint="default"/>
        <w:lang w:val="en-gb" w:eastAsia="en-US" w:bidi="ar-SA"/>
      </w:rPr>
    </w:lvl>
    <w:lvl w:ilvl="8">
      <w:start w:val="0"/>
      <w:numFmt w:val="bullet"/>
      <w:lvlText w:val="•"/>
      <w:lvlJc w:val="left"/>
      <w:pPr>
        <w:ind w:left="5932" w:hanging="251"/>
      </w:pPr>
      <w:rPr>
        <w:rFonts w:hint="default"/>
        <w:lang w:val="en-gb" w:eastAsia="en-US" w:bidi="ar-SA"/>
      </w:rPr>
    </w:lvl>
  </w:abstractNum>
  <w:abstractNum w:abstractNumId="55">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54">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53">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52">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51">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50">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49">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48">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84" w:hanging="181"/>
      </w:pPr>
      <w:rPr>
        <w:rFonts w:hint="default"/>
        <w:lang w:val="en-gb" w:eastAsia="en-US" w:bidi="ar-SA"/>
      </w:rPr>
    </w:lvl>
    <w:lvl w:ilvl="2">
      <w:start w:val="0"/>
      <w:numFmt w:val="bullet"/>
      <w:lvlText w:val="•"/>
      <w:lvlJc w:val="left"/>
      <w:pPr>
        <w:ind w:left="908" w:hanging="181"/>
      </w:pPr>
      <w:rPr>
        <w:rFonts w:hint="default"/>
        <w:lang w:val="en-gb" w:eastAsia="en-US" w:bidi="ar-SA"/>
      </w:rPr>
    </w:lvl>
    <w:lvl w:ilvl="3">
      <w:start w:val="0"/>
      <w:numFmt w:val="bullet"/>
      <w:lvlText w:val="•"/>
      <w:lvlJc w:val="left"/>
      <w:pPr>
        <w:ind w:left="1232" w:hanging="181"/>
      </w:pPr>
      <w:rPr>
        <w:rFonts w:hint="default"/>
        <w:lang w:val="en-gb" w:eastAsia="en-US" w:bidi="ar-SA"/>
      </w:rPr>
    </w:lvl>
    <w:lvl w:ilvl="4">
      <w:start w:val="0"/>
      <w:numFmt w:val="bullet"/>
      <w:lvlText w:val="•"/>
      <w:lvlJc w:val="left"/>
      <w:pPr>
        <w:ind w:left="1556" w:hanging="181"/>
      </w:pPr>
      <w:rPr>
        <w:rFonts w:hint="default"/>
        <w:lang w:val="en-gb" w:eastAsia="en-US" w:bidi="ar-SA"/>
      </w:rPr>
    </w:lvl>
    <w:lvl w:ilvl="5">
      <w:start w:val="0"/>
      <w:numFmt w:val="bullet"/>
      <w:lvlText w:val="•"/>
      <w:lvlJc w:val="left"/>
      <w:pPr>
        <w:ind w:left="1880" w:hanging="181"/>
      </w:pPr>
      <w:rPr>
        <w:rFonts w:hint="default"/>
        <w:lang w:val="en-gb" w:eastAsia="en-US" w:bidi="ar-SA"/>
      </w:rPr>
    </w:lvl>
    <w:lvl w:ilvl="6">
      <w:start w:val="0"/>
      <w:numFmt w:val="bullet"/>
      <w:lvlText w:val="•"/>
      <w:lvlJc w:val="left"/>
      <w:pPr>
        <w:ind w:left="2204" w:hanging="181"/>
      </w:pPr>
      <w:rPr>
        <w:rFonts w:hint="default"/>
        <w:lang w:val="en-gb" w:eastAsia="en-US" w:bidi="ar-SA"/>
      </w:rPr>
    </w:lvl>
    <w:lvl w:ilvl="7">
      <w:start w:val="0"/>
      <w:numFmt w:val="bullet"/>
      <w:lvlText w:val="•"/>
      <w:lvlJc w:val="left"/>
      <w:pPr>
        <w:ind w:left="2528" w:hanging="181"/>
      </w:pPr>
      <w:rPr>
        <w:rFonts w:hint="default"/>
        <w:lang w:val="en-gb" w:eastAsia="en-US" w:bidi="ar-SA"/>
      </w:rPr>
    </w:lvl>
    <w:lvl w:ilvl="8">
      <w:start w:val="0"/>
      <w:numFmt w:val="bullet"/>
      <w:lvlText w:val="•"/>
      <w:lvlJc w:val="left"/>
      <w:pPr>
        <w:ind w:left="2852" w:hanging="181"/>
      </w:pPr>
      <w:rPr>
        <w:rFonts w:hint="default"/>
        <w:lang w:val="en-gb" w:eastAsia="en-US" w:bidi="ar-SA"/>
      </w:rPr>
    </w:lvl>
  </w:abstractNum>
  <w:abstractNum w:abstractNumId="47">
    <w:multiLevelType w:val="hybridMultilevel"/>
    <w:lvl w:ilvl="0">
      <w:start w:val="0"/>
      <w:numFmt w:val="bullet"/>
      <w:lvlText w:val="•"/>
      <w:lvlJc w:val="left"/>
      <w:pPr>
        <w:ind w:left="26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500" w:hanging="181"/>
      </w:pPr>
      <w:rPr>
        <w:rFonts w:hint="default"/>
        <w:lang w:val="en-gb" w:eastAsia="en-US" w:bidi="ar-SA"/>
      </w:rPr>
    </w:lvl>
    <w:lvl w:ilvl="2">
      <w:start w:val="0"/>
      <w:numFmt w:val="bullet"/>
      <w:lvlText w:val="•"/>
      <w:lvlJc w:val="left"/>
      <w:pPr>
        <w:ind w:left="740" w:hanging="181"/>
      </w:pPr>
      <w:rPr>
        <w:rFonts w:hint="default"/>
        <w:lang w:val="en-gb" w:eastAsia="en-US" w:bidi="ar-SA"/>
      </w:rPr>
    </w:lvl>
    <w:lvl w:ilvl="3">
      <w:start w:val="0"/>
      <w:numFmt w:val="bullet"/>
      <w:lvlText w:val="•"/>
      <w:lvlJc w:val="left"/>
      <w:pPr>
        <w:ind w:left="980" w:hanging="181"/>
      </w:pPr>
      <w:rPr>
        <w:rFonts w:hint="default"/>
        <w:lang w:val="en-gb" w:eastAsia="en-US" w:bidi="ar-SA"/>
      </w:rPr>
    </w:lvl>
    <w:lvl w:ilvl="4">
      <w:start w:val="0"/>
      <w:numFmt w:val="bullet"/>
      <w:lvlText w:val="•"/>
      <w:lvlJc w:val="left"/>
      <w:pPr>
        <w:ind w:left="1220" w:hanging="181"/>
      </w:pPr>
      <w:rPr>
        <w:rFonts w:hint="default"/>
        <w:lang w:val="en-gb" w:eastAsia="en-US" w:bidi="ar-SA"/>
      </w:rPr>
    </w:lvl>
    <w:lvl w:ilvl="5">
      <w:start w:val="0"/>
      <w:numFmt w:val="bullet"/>
      <w:lvlText w:val="•"/>
      <w:lvlJc w:val="left"/>
      <w:pPr>
        <w:ind w:left="1461" w:hanging="181"/>
      </w:pPr>
      <w:rPr>
        <w:rFonts w:hint="default"/>
        <w:lang w:val="en-gb" w:eastAsia="en-US" w:bidi="ar-SA"/>
      </w:rPr>
    </w:lvl>
    <w:lvl w:ilvl="6">
      <w:start w:val="0"/>
      <w:numFmt w:val="bullet"/>
      <w:lvlText w:val="•"/>
      <w:lvlJc w:val="left"/>
      <w:pPr>
        <w:ind w:left="1701" w:hanging="181"/>
      </w:pPr>
      <w:rPr>
        <w:rFonts w:hint="default"/>
        <w:lang w:val="en-gb" w:eastAsia="en-US" w:bidi="ar-SA"/>
      </w:rPr>
    </w:lvl>
    <w:lvl w:ilvl="7">
      <w:start w:val="0"/>
      <w:numFmt w:val="bullet"/>
      <w:lvlText w:val="•"/>
      <w:lvlJc w:val="left"/>
      <w:pPr>
        <w:ind w:left="1941" w:hanging="181"/>
      </w:pPr>
      <w:rPr>
        <w:rFonts w:hint="default"/>
        <w:lang w:val="en-gb" w:eastAsia="en-US" w:bidi="ar-SA"/>
      </w:rPr>
    </w:lvl>
    <w:lvl w:ilvl="8">
      <w:start w:val="0"/>
      <w:numFmt w:val="bullet"/>
      <w:lvlText w:val="•"/>
      <w:lvlJc w:val="left"/>
      <w:pPr>
        <w:ind w:left="2181" w:hanging="181"/>
      </w:pPr>
      <w:rPr>
        <w:rFonts w:hint="default"/>
        <w:lang w:val="en-gb" w:eastAsia="en-US" w:bidi="ar-SA"/>
      </w:rPr>
    </w:lvl>
  </w:abstractNum>
  <w:abstractNum w:abstractNumId="46">
    <w:multiLevelType w:val="hybridMultilevel"/>
    <w:lvl w:ilvl="0">
      <w:start w:val="0"/>
      <w:numFmt w:val="bullet"/>
      <w:lvlText w:val="•"/>
      <w:lvlJc w:val="left"/>
      <w:pPr>
        <w:ind w:left="180" w:hanging="181"/>
      </w:pPr>
      <w:rPr>
        <w:rFonts w:hint="default" w:ascii="Arial" w:hAnsi="Arial" w:eastAsia="Arial" w:cs="Arial"/>
        <w:b w:val="0"/>
        <w:bCs w:val="0"/>
        <w:i w:val="0"/>
        <w:iCs w:val="0"/>
        <w:color w:val="231F20"/>
        <w:w w:val="107"/>
        <w:sz w:val="14"/>
        <w:szCs w:val="14"/>
        <w:lang w:val="en-gb" w:eastAsia="en-US" w:bidi="ar-SA"/>
      </w:rPr>
    </w:lvl>
    <w:lvl w:ilvl="1">
      <w:start w:val="0"/>
      <w:numFmt w:val="bullet"/>
      <w:lvlText w:val="•"/>
      <w:lvlJc w:val="left"/>
      <w:pPr>
        <w:ind w:left="470" w:hanging="181"/>
      </w:pPr>
      <w:rPr>
        <w:rFonts w:hint="default"/>
        <w:lang w:val="en-gb" w:eastAsia="en-US" w:bidi="ar-SA"/>
      </w:rPr>
    </w:lvl>
    <w:lvl w:ilvl="2">
      <w:start w:val="0"/>
      <w:numFmt w:val="bullet"/>
      <w:lvlText w:val="•"/>
      <w:lvlJc w:val="left"/>
      <w:pPr>
        <w:ind w:left="761" w:hanging="181"/>
      </w:pPr>
      <w:rPr>
        <w:rFonts w:hint="default"/>
        <w:lang w:val="en-gb" w:eastAsia="en-US" w:bidi="ar-SA"/>
      </w:rPr>
    </w:lvl>
    <w:lvl w:ilvl="3">
      <w:start w:val="0"/>
      <w:numFmt w:val="bullet"/>
      <w:lvlText w:val="•"/>
      <w:lvlJc w:val="left"/>
      <w:pPr>
        <w:ind w:left="1052" w:hanging="181"/>
      </w:pPr>
      <w:rPr>
        <w:rFonts w:hint="default"/>
        <w:lang w:val="en-gb" w:eastAsia="en-US" w:bidi="ar-SA"/>
      </w:rPr>
    </w:lvl>
    <w:lvl w:ilvl="4">
      <w:start w:val="0"/>
      <w:numFmt w:val="bullet"/>
      <w:lvlText w:val="•"/>
      <w:lvlJc w:val="left"/>
      <w:pPr>
        <w:ind w:left="1343" w:hanging="181"/>
      </w:pPr>
      <w:rPr>
        <w:rFonts w:hint="default"/>
        <w:lang w:val="en-gb" w:eastAsia="en-US" w:bidi="ar-SA"/>
      </w:rPr>
    </w:lvl>
    <w:lvl w:ilvl="5">
      <w:start w:val="0"/>
      <w:numFmt w:val="bullet"/>
      <w:lvlText w:val="•"/>
      <w:lvlJc w:val="left"/>
      <w:pPr>
        <w:ind w:left="1634" w:hanging="181"/>
      </w:pPr>
      <w:rPr>
        <w:rFonts w:hint="default"/>
        <w:lang w:val="en-gb" w:eastAsia="en-US" w:bidi="ar-SA"/>
      </w:rPr>
    </w:lvl>
    <w:lvl w:ilvl="6">
      <w:start w:val="0"/>
      <w:numFmt w:val="bullet"/>
      <w:lvlText w:val="•"/>
      <w:lvlJc w:val="left"/>
      <w:pPr>
        <w:ind w:left="1924" w:hanging="181"/>
      </w:pPr>
      <w:rPr>
        <w:rFonts w:hint="default"/>
        <w:lang w:val="en-gb" w:eastAsia="en-US" w:bidi="ar-SA"/>
      </w:rPr>
    </w:lvl>
    <w:lvl w:ilvl="7">
      <w:start w:val="0"/>
      <w:numFmt w:val="bullet"/>
      <w:lvlText w:val="•"/>
      <w:lvlJc w:val="left"/>
      <w:pPr>
        <w:ind w:left="2215" w:hanging="181"/>
      </w:pPr>
      <w:rPr>
        <w:rFonts w:hint="default"/>
        <w:lang w:val="en-gb" w:eastAsia="en-US" w:bidi="ar-SA"/>
      </w:rPr>
    </w:lvl>
    <w:lvl w:ilvl="8">
      <w:start w:val="0"/>
      <w:numFmt w:val="bullet"/>
      <w:lvlText w:val="•"/>
      <w:lvlJc w:val="left"/>
      <w:pPr>
        <w:ind w:left="2506" w:hanging="181"/>
      </w:pPr>
      <w:rPr>
        <w:rFonts w:hint="default"/>
        <w:lang w:val="en-gb" w:eastAsia="en-US" w:bidi="ar-SA"/>
      </w:rPr>
    </w:lvl>
  </w:abstractNum>
  <w:abstractNum w:abstractNumId="45">
    <w:multiLevelType w:val="hybridMultilevel"/>
    <w:lvl w:ilvl="0">
      <w:start w:val="3"/>
      <w:numFmt w:val="decimal"/>
      <w:lvlText w:val="%1"/>
      <w:lvlJc w:val="left"/>
      <w:pPr>
        <w:ind w:left="528" w:hanging="386"/>
        <w:jc w:val="left"/>
      </w:pPr>
      <w:rPr>
        <w:rFonts w:hint="default"/>
        <w:lang w:val="en-gb" w:eastAsia="en-US" w:bidi="ar-SA"/>
      </w:rPr>
    </w:lvl>
    <w:lvl w:ilvl="1">
      <w:start w:val="4"/>
      <w:numFmt w:val="decimal"/>
      <w:lvlText w:val="%1.%2"/>
      <w:lvlJc w:val="left"/>
      <w:pPr>
        <w:ind w:left="528" w:hanging="386"/>
        <w:jc w:val="left"/>
      </w:pPr>
      <w:rPr>
        <w:rFonts w:hint="default"/>
        <w:lang w:val="en-gb" w:eastAsia="en-US" w:bidi="ar-SA"/>
      </w:rPr>
    </w:lvl>
    <w:lvl w:ilvl="2">
      <w:start w:val="1"/>
      <w:numFmt w:val="decimal"/>
      <w:lvlText w:val="%1.%2.%3"/>
      <w:lvlJc w:val="left"/>
      <w:pPr>
        <w:ind w:left="528" w:hanging="386"/>
        <w:jc w:val="right"/>
      </w:pPr>
      <w:rPr>
        <w:rFonts w:hint="default" w:ascii="Arial" w:hAnsi="Arial" w:eastAsia="Arial" w:cs="Arial"/>
        <w:b w:val="0"/>
        <w:bCs w:val="0"/>
        <w:i w:val="0"/>
        <w:iCs w:val="0"/>
        <w:color w:val="231F20"/>
        <w:w w:val="87"/>
        <w:sz w:val="18"/>
        <w:szCs w:val="18"/>
        <w:lang w:val="en-gb" w:eastAsia="en-US" w:bidi="ar-SA"/>
      </w:rPr>
    </w:lvl>
    <w:lvl w:ilvl="3">
      <w:start w:val="0"/>
      <w:numFmt w:val="bullet"/>
      <w:lvlText w:val="•"/>
      <w:lvlJc w:val="left"/>
      <w:pPr>
        <w:ind w:left="1730" w:hanging="251"/>
      </w:pPr>
      <w:rPr>
        <w:rFonts w:hint="default" w:ascii="Arial" w:hAnsi="Arial" w:eastAsia="Arial" w:cs="Arial"/>
        <w:b w:val="0"/>
        <w:bCs w:val="0"/>
        <w:i w:val="0"/>
        <w:iCs w:val="0"/>
        <w:color w:val="231F20"/>
        <w:w w:val="107"/>
        <w:sz w:val="17"/>
        <w:szCs w:val="17"/>
        <w:lang w:val="en-gb" w:eastAsia="en-US" w:bidi="ar-SA"/>
      </w:rPr>
    </w:lvl>
    <w:lvl w:ilvl="4">
      <w:start w:val="0"/>
      <w:numFmt w:val="bullet"/>
      <w:lvlText w:val="•"/>
      <w:lvlJc w:val="left"/>
      <w:pPr>
        <w:ind w:left="3520" w:hanging="251"/>
      </w:pPr>
      <w:rPr>
        <w:rFonts w:hint="default"/>
        <w:lang w:val="en-gb" w:eastAsia="en-US" w:bidi="ar-SA"/>
      </w:rPr>
    </w:lvl>
    <w:lvl w:ilvl="5">
      <w:start w:val="0"/>
      <w:numFmt w:val="bullet"/>
      <w:lvlText w:val="•"/>
      <w:lvlJc w:val="left"/>
      <w:pPr>
        <w:ind w:left="4113" w:hanging="251"/>
      </w:pPr>
      <w:rPr>
        <w:rFonts w:hint="default"/>
        <w:lang w:val="en-gb" w:eastAsia="en-US" w:bidi="ar-SA"/>
      </w:rPr>
    </w:lvl>
    <w:lvl w:ilvl="6">
      <w:start w:val="0"/>
      <w:numFmt w:val="bullet"/>
      <w:lvlText w:val="•"/>
      <w:lvlJc w:val="left"/>
      <w:pPr>
        <w:ind w:left="4706" w:hanging="251"/>
      </w:pPr>
      <w:rPr>
        <w:rFonts w:hint="default"/>
        <w:lang w:val="en-gb" w:eastAsia="en-US" w:bidi="ar-SA"/>
      </w:rPr>
    </w:lvl>
    <w:lvl w:ilvl="7">
      <w:start w:val="0"/>
      <w:numFmt w:val="bullet"/>
      <w:lvlText w:val="•"/>
      <w:lvlJc w:val="left"/>
      <w:pPr>
        <w:ind w:left="5300" w:hanging="251"/>
      </w:pPr>
      <w:rPr>
        <w:rFonts w:hint="default"/>
        <w:lang w:val="en-gb" w:eastAsia="en-US" w:bidi="ar-SA"/>
      </w:rPr>
    </w:lvl>
    <w:lvl w:ilvl="8">
      <w:start w:val="0"/>
      <w:numFmt w:val="bullet"/>
      <w:lvlText w:val="•"/>
      <w:lvlJc w:val="left"/>
      <w:pPr>
        <w:ind w:left="5893" w:hanging="251"/>
      </w:pPr>
      <w:rPr>
        <w:rFonts w:hint="default"/>
        <w:lang w:val="en-gb" w:eastAsia="en-US" w:bidi="ar-SA"/>
      </w:rPr>
    </w:lvl>
  </w:abstractNum>
  <w:abstractNum w:abstractNumId="44">
    <w:multiLevelType w:val="hybridMultilevel"/>
    <w:lvl w:ilvl="0">
      <w:start w:val="0"/>
      <w:numFmt w:val="bullet"/>
      <w:lvlText w:val="•"/>
      <w:lvlJc w:val="left"/>
      <w:pPr>
        <w:ind w:left="750" w:hanging="251"/>
      </w:pPr>
      <w:rPr>
        <w:rFonts w:hint="default" w:ascii="Arial" w:hAnsi="Arial" w:eastAsia="Arial" w:cs="Arial"/>
        <w:b w:val="0"/>
        <w:bCs w:val="0"/>
        <w:i w:val="0"/>
        <w:iCs w:val="0"/>
        <w:color w:val="231F20"/>
        <w:w w:val="107"/>
        <w:sz w:val="17"/>
        <w:szCs w:val="17"/>
        <w:lang w:val="en-gb" w:eastAsia="en-US" w:bidi="ar-SA"/>
      </w:rPr>
    </w:lvl>
    <w:lvl w:ilvl="1">
      <w:start w:val="0"/>
      <w:numFmt w:val="bullet"/>
      <w:lvlText w:val="•"/>
      <w:lvlJc w:val="left"/>
      <w:pPr>
        <w:ind w:left="1259" w:hanging="251"/>
      </w:pPr>
      <w:rPr>
        <w:rFonts w:hint="default"/>
        <w:lang w:val="en-gb" w:eastAsia="en-US" w:bidi="ar-SA"/>
      </w:rPr>
    </w:lvl>
    <w:lvl w:ilvl="2">
      <w:start w:val="0"/>
      <w:numFmt w:val="bullet"/>
      <w:lvlText w:val="•"/>
      <w:lvlJc w:val="left"/>
      <w:pPr>
        <w:ind w:left="1758" w:hanging="251"/>
      </w:pPr>
      <w:rPr>
        <w:rFonts w:hint="default"/>
        <w:lang w:val="en-gb" w:eastAsia="en-US" w:bidi="ar-SA"/>
      </w:rPr>
    </w:lvl>
    <w:lvl w:ilvl="3">
      <w:start w:val="0"/>
      <w:numFmt w:val="bullet"/>
      <w:lvlText w:val="•"/>
      <w:lvlJc w:val="left"/>
      <w:pPr>
        <w:ind w:left="2257" w:hanging="251"/>
      </w:pPr>
      <w:rPr>
        <w:rFonts w:hint="default"/>
        <w:lang w:val="en-gb" w:eastAsia="en-US" w:bidi="ar-SA"/>
      </w:rPr>
    </w:lvl>
    <w:lvl w:ilvl="4">
      <w:start w:val="0"/>
      <w:numFmt w:val="bullet"/>
      <w:lvlText w:val="•"/>
      <w:lvlJc w:val="left"/>
      <w:pPr>
        <w:ind w:left="2756" w:hanging="251"/>
      </w:pPr>
      <w:rPr>
        <w:rFonts w:hint="default"/>
        <w:lang w:val="en-gb" w:eastAsia="en-US" w:bidi="ar-SA"/>
      </w:rPr>
    </w:lvl>
    <w:lvl w:ilvl="5">
      <w:start w:val="0"/>
      <w:numFmt w:val="bullet"/>
      <w:lvlText w:val="•"/>
      <w:lvlJc w:val="left"/>
      <w:pPr>
        <w:ind w:left="3255" w:hanging="251"/>
      </w:pPr>
      <w:rPr>
        <w:rFonts w:hint="default"/>
        <w:lang w:val="en-gb" w:eastAsia="en-US" w:bidi="ar-SA"/>
      </w:rPr>
    </w:lvl>
    <w:lvl w:ilvl="6">
      <w:start w:val="0"/>
      <w:numFmt w:val="bullet"/>
      <w:lvlText w:val="•"/>
      <w:lvlJc w:val="left"/>
      <w:pPr>
        <w:ind w:left="3754" w:hanging="251"/>
      </w:pPr>
      <w:rPr>
        <w:rFonts w:hint="default"/>
        <w:lang w:val="en-gb" w:eastAsia="en-US" w:bidi="ar-SA"/>
      </w:rPr>
    </w:lvl>
    <w:lvl w:ilvl="7">
      <w:start w:val="0"/>
      <w:numFmt w:val="bullet"/>
      <w:lvlText w:val="•"/>
      <w:lvlJc w:val="left"/>
      <w:pPr>
        <w:ind w:left="4253" w:hanging="251"/>
      </w:pPr>
      <w:rPr>
        <w:rFonts w:hint="default"/>
        <w:lang w:val="en-gb" w:eastAsia="en-US" w:bidi="ar-SA"/>
      </w:rPr>
    </w:lvl>
    <w:lvl w:ilvl="8">
      <w:start w:val="0"/>
      <w:numFmt w:val="bullet"/>
      <w:lvlText w:val="•"/>
      <w:lvlJc w:val="left"/>
      <w:pPr>
        <w:ind w:left="4752" w:hanging="251"/>
      </w:pPr>
      <w:rPr>
        <w:rFonts w:hint="default"/>
        <w:lang w:val="en-gb" w:eastAsia="en-US" w:bidi="ar-SA"/>
      </w:rPr>
    </w:lvl>
  </w:abstractNum>
  <w:abstractNum w:abstractNumId="43">
    <w:multiLevelType w:val="hybridMultilevel"/>
    <w:lvl w:ilvl="0">
      <w:start w:val="3"/>
      <w:numFmt w:val="decimal"/>
      <w:lvlText w:val="%1"/>
      <w:lvlJc w:val="left"/>
      <w:pPr>
        <w:ind w:left="918" w:hanging="375"/>
        <w:jc w:val="left"/>
      </w:pPr>
      <w:rPr>
        <w:rFonts w:hint="default"/>
        <w:lang w:val="en-gb" w:eastAsia="en-US" w:bidi="ar-SA"/>
      </w:rPr>
    </w:lvl>
    <w:lvl w:ilvl="1">
      <w:start w:val="3"/>
      <w:numFmt w:val="decimal"/>
      <w:lvlText w:val="%1.%2"/>
      <w:lvlJc w:val="left"/>
      <w:pPr>
        <w:ind w:left="918" w:hanging="375"/>
        <w:jc w:val="left"/>
      </w:pPr>
      <w:rPr>
        <w:rFonts w:hint="default"/>
        <w:lang w:val="en-gb" w:eastAsia="en-US" w:bidi="ar-SA"/>
      </w:rPr>
    </w:lvl>
    <w:lvl w:ilvl="2">
      <w:start w:val="1"/>
      <w:numFmt w:val="decimal"/>
      <w:lvlText w:val="%1.%2.%3"/>
      <w:lvlJc w:val="left"/>
      <w:pPr>
        <w:ind w:left="918" w:hanging="375"/>
        <w:jc w:val="right"/>
      </w:pPr>
      <w:rPr>
        <w:rFonts w:hint="default" w:ascii="Arial" w:hAnsi="Arial" w:eastAsia="Arial" w:cs="Arial"/>
        <w:b w:val="0"/>
        <w:bCs w:val="0"/>
        <w:i w:val="0"/>
        <w:iCs w:val="0"/>
        <w:color w:val="231F20"/>
        <w:w w:val="85"/>
        <w:sz w:val="18"/>
        <w:szCs w:val="18"/>
        <w:lang w:val="en-gb" w:eastAsia="en-US" w:bidi="ar-SA"/>
      </w:rPr>
    </w:lvl>
    <w:lvl w:ilvl="3">
      <w:start w:val="1"/>
      <w:numFmt w:val="decimal"/>
      <w:lvlText w:val="%4."/>
      <w:lvlJc w:val="left"/>
      <w:pPr>
        <w:ind w:left="1459" w:hanging="240"/>
        <w:jc w:val="right"/>
      </w:pPr>
      <w:rPr>
        <w:rFonts w:hint="default" w:ascii="Arial" w:hAnsi="Arial" w:eastAsia="Arial" w:cs="Arial"/>
        <w:b/>
        <w:bCs/>
        <w:i w:val="0"/>
        <w:iCs w:val="0"/>
        <w:color w:val="231F20"/>
        <w:spacing w:val="-2"/>
        <w:w w:val="84"/>
        <w:sz w:val="14"/>
        <w:szCs w:val="14"/>
        <w:lang w:val="en-gb" w:eastAsia="en-US" w:bidi="ar-SA"/>
      </w:rPr>
    </w:lvl>
    <w:lvl w:ilvl="4">
      <w:start w:val="0"/>
      <w:numFmt w:val="bullet"/>
      <w:lvlText w:val="•"/>
      <w:lvlJc w:val="left"/>
      <w:pPr>
        <w:ind w:left="2275" w:hanging="240"/>
      </w:pPr>
      <w:rPr>
        <w:rFonts w:hint="default"/>
        <w:lang w:val="en-gb" w:eastAsia="en-US" w:bidi="ar-SA"/>
      </w:rPr>
    </w:lvl>
    <w:lvl w:ilvl="5">
      <w:start w:val="0"/>
      <w:numFmt w:val="bullet"/>
      <w:lvlText w:val="•"/>
      <w:lvlJc w:val="left"/>
      <w:pPr>
        <w:ind w:left="2547" w:hanging="240"/>
      </w:pPr>
      <w:rPr>
        <w:rFonts w:hint="default"/>
        <w:lang w:val="en-gb" w:eastAsia="en-US" w:bidi="ar-SA"/>
      </w:rPr>
    </w:lvl>
    <w:lvl w:ilvl="6">
      <w:start w:val="0"/>
      <w:numFmt w:val="bullet"/>
      <w:lvlText w:val="•"/>
      <w:lvlJc w:val="left"/>
      <w:pPr>
        <w:ind w:left="2819" w:hanging="240"/>
      </w:pPr>
      <w:rPr>
        <w:rFonts w:hint="default"/>
        <w:lang w:val="en-gb" w:eastAsia="en-US" w:bidi="ar-SA"/>
      </w:rPr>
    </w:lvl>
    <w:lvl w:ilvl="7">
      <w:start w:val="0"/>
      <w:numFmt w:val="bullet"/>
      <w:lvlText w:val="•"/>
      <w:lvlJc w:val="left"/>
      <w:pPr>
        <w:ind w:left="3091" w:hanging="240"/>
      </w:pPr>
      <w:rPr>
        <w:rFonts w:hint="default"/>
        <w:lang w:val="en-gb" w:eastAsia="en-US" w:bidi="ar-SA"/>
      </w:rPr>
    </w:lvl>
    <w:lvl w:ilvl="8">
      <w:start w:val="0"/>
      <w:numFmt w:val="bullet"/>
      <w:lvlText w:val="•"/>
      <w:lvlJc w:val="left"/>
      <w:pPr>
        <w:ind w:left="3363" w:hanging="240"/>
      </w:pPr>
      <w:rPr>
        <w:rFonts w:hint="default"/>
        <w:lang w:val="en-gb" w:eastAsia="en-US" w:bidi="ar-SA"/>
      </w:rPr>
    </w:lvl>
  </w:abstractNum>
  <w:abstractNum w:abstractNumId="42">
    <w:multiLevelType w:val="hybridMultilevel"/>
    <w:lvl w:ilvl="0">
      <w:start w:val="3"/>
      <w:numFmt w:val="decimal"/>
      <w:lvlText w:val="%1"/>
      <w:lvlJc w:val="left"/>
      <w:pPr>
        <w:ind w:left="918" w:hanging="376"/>
        <w:jc w:val="left"/>
      </w:pPr>
      <w:rPr>
        <w:rFonts w:hint="default"/>
        <w:lang w:val="en-gb" w:eastAsia="en-US" w:bidi="ar-SA"/>
      </w:rPr>
    </w:lvl>
    <w:lvl w:ilvl="1">
      <w:start w:val="2"/>
      <w:numFmt w:val="decimal"/>
      <w:lvlText w:val="%1.%2"/>
      <w:lvlJc w:val="left"/>
      <w:pPr>
        <w:ind w:left="918" w:hanging="376"/>
        <w:jc w:val="left"/>
      </w:pPr>
      <w:rPr>
        <w:rFonts w:hint="default"/>
        <w:lang w:val="en-gb" w:eastAsia="en-US" w:bidi="ar-SA"/>
      </w:rPr>
    </w:lvl>
    <w:lvl w:ilvl="2">
      <w:start w:val="1"/>
      <w:numFmt w:val="decimal"/>
      <w:lvlText w:val="%1.%2.%3"/>
      <w:lvlJc w:val="left"/>
      <w:pPr>
        <w:ind w:left="918" w:hanging="376"/>
        <w:jc w:val="right"/>
      </w:pPr>
      <w:rPr>
        <w:rFonts w:hint="default" w:ascii="Arial" w:hAnsi="Arial" w:eastAsia="Arial" w:cs="Arial"/>
        <w:b w:val="0"/>
        <w:bCs w:val="0"/>
        <w:i w:val="0"/>
        <w:iCs w:val="0"/>
        <w:color w:val="231F20"/>
        <w:w w:val="85"/>
        <w:sz w:val="18"/>
        <w:szCs w:val="18"/>
        <w:lang w:val="en-gb" w:eastAsia="en-US" w:bidi="ar-SA"/>
      </w:rPr>
    </w:lvl>
    <w:lvl w:ilvl="3">
      <w:start w:val="0"/>
      <w:numFmt w:val="bullet"/>
      <w:lvlText w:val="•"/>
      <w:lvlJc w:val="left"/>
      <w:pPr>
        <w:ind w:left="2768" w:hanging="376"/>
      </w:pPr>
      <w:rPr>
        <w:rFonts w:hint="default"/>
        <w:lang w:val="en-gb" w:eastAsia="en-US" w:bidi="ar-SA"/>
      </w:rPr>
    </w:lvl>
    <w:lvl w:ilvl="4">
      <w:start w:val="0"/>
      <w:numFmt w:val="bullet"/>
      <w:lvlText w:val="•"/>
      <w:lvlJc w:val="left"/>
      <w:pPr>
        <w:ind w:left="3384" w:hanging="376"/>
      </w:pPr>
      <w:rPr>
        <w:rFonts w:hint="default"/>
        <w:lang w:val="en-gb" w:eastAsia="en-US" w:bidi="ar-SA"/>
      </w:rPr>
    </w:lvl>
    <w:lvl w:ilvl="5">
      <w:start w:val="0"/>
      <w:numFmt w:val="bullet"/>
      <w:lvlText w:val="•"/>
      <w:lvlJc w:val="left"/>
      <w:pPr>
        <w:ind w:left="4000" w:hanging="376"/>
      </w:pPr>
      <w:rPr>
        <w:rFonts w:hint="default"/>
        <w:lang w:val="en-gb" w:eastAsia="en-US" w:bidi="ar-SA"/>
      </w:rPr>
    </w:lvl>
    <w:lvl w:ilvl="6">
      <w:start w:val="0"/>
      <w:numFmt w:val="bullet"/>
      <w:lvlText w:val="•"/>
      <w:lvlJc w:val="left"/>
      <w:pPr>
        <w:ind w:left="4616" w:hanging="376"/>
      </w:pPr>
      <w:rPr>
        <w:rFonts w:hint="default"/>
        <w:lang w:val="en-gb" w:eastAsia="en-US" w:bidi="ar-SA"/>
      </w:rPr>
    </w:lvl>
    <w:lvl w:ilvl="7">
      <w:start w:val="0"/>
      <w:numFmt w:val="bullet"/>
      <w:lvlText w:val="•"/>
      <w:lvlJc w:val="left"/>
      <w:pPr>
        <w:ind w:left="5232" w:hanging="376"/>
      </w:pPr>
      <w:rPr>
        <w:rFonts w:hint="default"/>
        <w:lang w:val="en-gb" w:eastAsia="en-US" w:bidi="ar-SA"/>
      </w:rPr>
    </w:lvl>
    <w:lvl w:ilvl="8">
      <w:start w:val="0"/>
      <w:numFmt w:val="bullet"/>
      <w:lvlText w:val="•"/>
      <w:lvlJc w:val="left"/>
      <w:pPr>
        <w:ind w:left="5848" w:hanging="376"/>
      </w:pPr>
      <w:rPr>
        <w:rFonts w:hint="default"/>
        <w:lang w:val="en-gb" w:eastAsia="en-US" w:bidi="ar-SA"/>
      </w:rPr>
    </w:lvl>
  </w:abstractNum>
  <w:abstractNum w:abstractNumId="40">
    <w:multiLevelType w:val="hybridMultilevel"/>
    <w:lvl w:ilvl="0">
      <w:start w:val="1"/>
      <w:numFmt w:val="decimal"/>
      <w:lvlText w:val="%1"/>
      <w:lvlJc w:val="left"/>
      <w:pPr>
        <w:ind w:left="829" w:hanging="328"/>
        <w:jc w:val="right"/>
      </w:pPr>
      <w:rPr>
        <w:rFonts w:hint="default" w:ascii="Arial" w:hAnsi="Arial" w:eastAsia="Arial" w:cs="Arial"/>
        <w:b w:val="0"/>
        <w:bCs w:val="0"/>
        <w:i w:val="0"/>
        <w:iCs w:val="0"/>
        <w:color w:val="231F20"/>
        <w:w w:val="116"/>
        <w:sz w:val="12"/>
        <w:szCs w:val="12"/>
        <w:lang w:val="en-gb" w:eastAsia="en-US" w:bidi="ar-SA"/>
      </w:rPr>
    </w:lvl>
    <w:lvl w:ilvl="1">
      <w:start w:val="0"/>
      <w:numFmt w:val="bullet"/>
      <w:lvlText w:val="•"/>
      <w:lvlJc w:val="left"/>
      <w:pPr>
        <w:ind w:left="1540" w:hanging="328"/>
      </w:pPr>
      <w:rPr>
        <w:rFonts w:hint="default"/>
        <w:lang w:val="en-gb" w:eastAsia="en-US" w:bidi="ar-SA"/>
      </w:rPr>
    </w:lvl>
    <w:lvl w:ilvl="2">
      <w:start w:val="0"/>
      <w:numFmt w:val="bullet"/>
      <w:lvlText w:val="•"/>
      <w:lvlJc w:val="left"/>
      <w:pPr>
        <w:ind w:left="1787" w:hanging="328"/>
      </w:pPr>
      <w:rPr>
        <w:rFonts w:hint="default"/>
        <w:lang w:val="en-gb" w:eastAsia="en-US" w:bidi="ar-SA"/>
      </w:rPr>
    </w:lvl>
    <w:lvl w:ilvl="3">
      <w:start w:val="0"/>
      <w:numFmt w:val="bullet"/>
      <w:lvlText w:val="•"/>
      <w:lvlJc w:val="left"/>
      <w:pPr>
        <w:ind w:left="2035" w:hanging="328"/>
      </w:pPr>
      <w:rPr>
        <w:rFonts w:hint="default"/>
        <w:lang w:val="en-gb" w:eastAsia="en-US" w:bidi="ar-SA"/>
      </w:rPr>
    </w:lvl>
    <w:lvl w:ilvl="4">
      <w:start w:val="0"/>
      <w:numFmt w:val="bullet"/>
      <w:lvlText w:val="•"/>
      <w:lvlJc w:val="left"/>
      <w:pPr>
        <w:ind w:left="2282" w:hanging="328"/>
      </w:pPr>
      <w:rPr>
        <w:rFonts w:hint="default"/>
        <w:lang w:val="en-gb" w:eastAsia="en-US" w:bidi="ar-SA"/>
      </w:rPr>
    </w:lvl>
    <w:lvl w:ilvl="5">
      <w:start w:val="0"/>
      <w:numFmt w:val="bullet"/>
      <w:lvlText w:val="•"/>
      <w:lvlJc w:val="left"/>
      <w:pPr>
        <w:ind w:left="2530" w:hanging="328"/>
      </w:pPr>
      <w:rPr>
        <w:rFonts w:hint="default"/>
        <w:lang w:val="en-gb" w:eastAsia="en-US" w:bidi="ar-SA"/>
      </w:rPr>
    </w:lvl>
    <w:lvl w:ilvl="6">
      <w:start w:val="0"/>
      <w:numFmt w:val="bullet"/>
      <w:lvlText w:val="•"/>
      <w:lvlJc w:val="left"/>
      <w:pPr>
        <w:ind w:left="2778" w:hanging="328"/>
      </w:pPr>
      <w:rPr>
        <w:rFonts w:hint="default"/>
        <w:lang w:val="en-gb" w:eastAsia="en-US" w:bidi="ar-SA"/>
      </w:rPr>
    </w:lvl>
    <w:lvl w:ilvl="7">
      <w:start w:val="0"/>
      <w:numFmt w:val="bullet"/>
      <w:lvlText w:val="•"/>
      <w:lvlJc w:val="left"/>
      <w:pPr>
        <w:ind w:left="3025" w:hanging="328"/>
      </w:pPr>
      <w:rPr>
        <w:rFonts w:hint="default"/>
        <w:lang w:val="en-gb" w:eastAsia="en-US" w:bidi="ar-SA"/>
      </w:rPr>
    </w:lvl>
    <w:lvl w:ilvl="8">
      <w:start w:val="0"/>
      <w:numFmt w:val="bullet"/>
      <w:lvlText w:val="•"/>
      <w:lvlJc w:val="left"/>
      <w:pPr>
        <w:ind w:left="3273" w:hanging="328"/>
      </w:pPr>
      <w:rPr>
        <w:rFonts w:hint="default"/>
        <w:lang w:val="en-gb" w:eastAsia="en-US" w:bidi="ar-SA"/>
      </w:rPr>
    </w:lvl>
  </w:abstractNum>
  <w:abstractNum w:abstractNumId="39">
    <w:multiLevelType w:val="hybridMultilevel"/>
    <w:lvl w:ilvl="0">
      <w:start w:val="3"/>
      <w:numFmt w:val="decimal"/>
      <w:lvlText w:val="%1"/>
      <w:lvlJc w:val="left"/>
      <w:pPr>
        <w:ind w:left="910" w:hanging="277"/>
        <w:jc w:val="left"/>
      </w:pPr>
      <w:rPr>
        <w:rFonts w:hint="default"/>
        <w:lang w:val="en-gb" w:eastAsia="en-US" w:bidi="ar-SA"/>
      </w:rPr>
    </w:lvl>
    <w:lvl w:ilvl="1">
      <w:start w:val="1"/>
      <w:numFmt w:val="decimal"/>
      <w:lvlText w:val="%1.%2"/>
      <w:lvlJc w:val="left"/>
      <w:pPr>
        <w:ind w:left="910" w:hanging="277"/>
        <w:jc w:val="left"/>
      </w:pPr>
      <w:rPr>
        <w:rFonts w:hint="default" w:ascii="Arial" w:hAnsi="Arial" w:eastAsia="Arial" w:cs="Arial"/>
        <w:b w:val="0"/>
        <w:bCs w:val="0"/>
        <w:i w:val="0"/>
        <w:iCs w:val="0"/>
        <w:color w:val="231F20"/>
        <w:w w:val="81"/>
        <w:sz w:val="21"/>
        <w:szCs w:val="21"/>
        <w:lang w:val="en-gb" w:eastAsia="en-US" w:bidi="ar-SA"/>
      </w:rPr>
    </w:lvl>
    <w:lvl w:ilvl="2">
      <w:start w:val="0"/>
      <w:numFmt w:val="bullet"/>
      <w:lvlText w:val="•"/>
      <w:lvlJc w:val="left"/>
      <w:pPr>
        <w:ind w:left="2152" w:hanging="277"/>
      </w:pPr>
      <w:rPr>
        <w:rFonts w:hint="default"/>
        <w:lang w:val="en-gb" w:eastAsia="en-US" w:bidi="ar-SA"/>
      </w:rPr>
    </w:lvl>
    <w:lvl w:ilvl="3">
      <w:start w:val="0"/>
      <w:numFmt w:val="bullet"/>
      <w:lvlText w:val="•"/>
      <w:lvlJc w:val="left"/>
      <w:pPr>
        <w:ind w:left="2768" w:hanging="277"/>
      </w:pPr>
      <w:rPr>
        <w:rFonts w:hint="default"/>
        <w:lang w:val="en-gb" w:eastAsia="en-US" w:bidi="ar-SA"/>
      </w:rPr>
    </w:lvl>
    <w:lvl w:ilvl="4">
      <w:start w:val="0"/>
      <w:numFmt w:val="bullet"/>
      <w:lvlText w:val="•"/>
      <w:lvlJc w:val="left"/>
      <w:pPr>
        <w:ind w:left="3384" w:hanging="277"/>
      </w:pPr>
      <w:rPr>
        <w:rFonts w:hint="default"/>
        <w:lang w:val="en-gb" w:eastAsia="en-US" w:bidi="ar-SA"/>
      </w:rPr>
    </w:lvl>
    <w:lvl w:ilvl="5">
      <w:start w:val="0"/>
      <w:numFmt w:val="bullet"/>
      <w:lvlText w:val="•"/>
      <w:lvlJc w:val="left"/>
      <w:pPr>
        <w:ind w:left="4000" w:hanging="277"/>
      </w:pPr>
      <w:rPr>
        <w:rFonts w:hint="default"/>
        <w:lang w:val="en-gb" w:eastAsia="en-US" w:bidi="ar-SA"/>
      </w:rPr>
    </w:lvl>
    <w:lvl w:ilvl="6">
      <w:start w:val="0"/>
      <w:numFmt w:val="bullet"/>
      <w:lvlText w:val="•"/>
      <w:lvlJc w:val="left"/>
      <w:pPr>
        <w:ind w:left="4616" w:hanging="277"/>
      </w:pPr>
      <w:rPr>
        <w:rFonts w:hint="default"/>
        <w:lang w:val="en-gb" w:eastAsia="en-US" w:bidi="ar-SA"/>
      </w:rPr>
    </w:lvl>
    <w:lvl w:ilvl="7">
      <w:start w:val="0"/>
      <w:numFmt w:val="bullet"/>
      <w:lvlText w:val="•"/>
      <w:lvlJc w:val="left"/>
      <w:pPr>
        <w:ind w:left="5232" w:hanging="277"/>
      </w:pPr>
      <w:rPr>
        <w:rFonts w:hint="default"/>
        <w:lang w:val="en-gb" w:eastAsia="en-US" w:bidi="ar-SA"/>
      </w:rPr>
    </w:lvl>
    <w:lvl w:ilvl="8">
      <w:start w:val="0"/>
      <w:numFmt w:val="bullet"/>
      <w:lvlText w:val="•"/>
      <w:lvlJc w:val="left"/>
      <w:pPr>
        <w:ind w:left="5848" w:hanging="277"/>
      </w:pPr>
      <w:rPr>
        <w:rFonts w:hint="default"/>
        <w:lang w:val="en-gb" w:eastAsia="en-US" w:bidi="ar-SA"/>
      </w:rPr>
    </w:lvl>
  </w:abstractNum>
  <w:abstractNum w:abstractNumId="38">
    <w:multiLevelType w:val="hybridMultilevel"/>
    <w:lvl w:ilvl="0">
      <w:start w:val="0"/>
      <w:numFmt w:val="bullet"/>
      <w:lvlText w:val="•"/>
      <w:lvlJc w:val="left"/>
      <w:pPr>
        <w:ind w:left="133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2">
      <w:start w:val="0"/>
      <w:numFmt w:val="bullet"/>
      <w:lvlText w:val="•"/>
      <w:lvlJc w:val="left"/>
      <w:pPr>
        <w:ind w:left="2315" w:hanging="251"/>
      </w:pPr>
      <w:rPr>
        <w:rFonts w:hint="default"/>
        <w:lang w:val="en-gb" w:eastAsia="en-US" w:bidi="ar-SA"/>
      </w:rPr>
    </w:lvl>
    <w:lvl w:ilvl="3">
      <w:start w:val="0"/>
      <w:numFmt w:val="bullet"/>
      <w:lvlText w:val="•"/>
      <w:lvlJc w:val="left"/>
      <w:pPr>
        <w:ind w:left="2911" w:hanging="251"/>
      </w:pPr>
      <w:rPr>
        <w:rFonts w:hint="default"/>
        <w:lang w:val="en-gb" w:eastAsia="en-US" w:bidi="ar-SA"/>
      </w:rPr>
    </w:lvl>
    <w:lvl w:ilvl="4">
      <w:start w:val="0"/>
      <w:numFmt w:val="bullet"/>
      <w:lvlText w:val="•"/>
      <w:lvlJc w:val="left"/>
      <w:pPr>
        <w:ind w:left="3506" w:hanging="251"/>
      </w:pPr>
      <w:rPr>
        <w:rFonts w:hint="default"/>
        <w:lang w:val="en-gb" w:eastAsia="en-US" w:bidi="ar-SA"/>
      </w:rPr>
    </w:lvl>
    <w:lvl w:ilvl="5">
      <w:start w:val="0"/>
      <w:numFmt w:val="bullet"/>
      <w:lvlText w:val="•"/>
      <w:lvlJc w:val="left"/>
      <w:pPr>
        <w:ind w:left="4102" w:hanging="251"/>
      </w:pPr>
      <w:rPr>
        <w:rFonts w:hint="default"/>
        <w:lang w:val="en-gb" w:eastAsia="en-US" w:bidi="ar-SA"/>
      </w:rPr>
    </w:lvl>
    <w:lvl w:ilvl="6">
      <w:start w:val="0"/>
      <w:numFmt w:val="bullet"/>
      <w:lvlText w:val="•"/>
      <w:lvlJc w:val="left"/>
      <w:pPr>
        <w:ind w:left="4697" w:hanging="251"/>
      </w:pPr>
      <w:rPr>
        <w:rFonts w:hint="default"/>
        <w:lang w:val="en-gb" w:eastAsia="en-US" w:bidi="ar-SA"/>
      </w:rPr>
    </w:lvl>
    <w:lvl w:ilvl="7">
      <w:start w:val="0"/>
      <w:numFmt w:val="bullet"/>
      <w:lvlText w:val="•"/>
      <w:lvlJc w:val="left"/>
      <w:pPr>
        <w:ind w:left="5293" w:hanging="251"/>
      </w:pPr>
      <w:rPr>
        <w:rFonts w:hint="default"/>
        <w:lang w:val="en-gb" w:eastAsia="en-US" w:bidi="ar-SA"/>
      </w:rPr>
    </w:lvl>
    <w:lvl w:ilvl="8">
      <w:start w:val="0"/>
      <w:numFmt w:val="bullet"/>
      <w:lvlText w:val="•"/>
      <w:lvlJc w:val="left"/>
      <w:pPr>
        <w:ind w:left="5888" w:hanging="251"/>
      </w:pPr>
      <w:rPr>
        <w:rFonts w:hint="default"/>
        <w:lang w:val="en-gb" w:eastAsia="en-US" w:bidi="ar-SA"/>
      </w:rPr>
    </w:lvl>
  </w:abstractNum>
  <w:abstractNum w:abstractNumId="37">
    <w:multiLevelType w:val="hybridMultilevel"/>
    <w:lvl w:ilvl="0">
      <w:start w:val="0"/>
      <w:numFmt w:val="bullet"/>
      <w:lvlText w:val="•"/>
      <w:lvlJc w:val="left"/>
      <w:pPr>
        <w:ind w:left="172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2256" w:hanging="251"/>
      </w:pPr>
      <w:rPr>
        <w:rFonts w:hint="default"/>
        <w:lang w:val="en-gb" w:eastAsia="en-US" w:bidi="ar-SA"/>
      </w:rPr>
    </w:lvl>
    <w:lvl w:ilvl="2">
      <w:start w:val="0"/>
      <w:numFmt w:val="bullet"/>
      <w:lvlText w:val="•"/>
      <w:lvlJc w:val="left"/>
      <w:pPr>
        <w:ind w:left="2792" w:hanging="251"/>
      </w:pPr>
      <w:rPr>
        <w:rFonts w:hint="default"/>
        <w:lang w:val="en-gb" w:eastAsia="en-US" w:bidi="ar-SA"/>
      </w:rPr>
    </w:lvl>
    <w:lvl w:ilvl="3">
      <w:start w:val="0"/>
      <w:numFmt w:val="bullet"/>
      <w:lvlText w:val="•"/>
      <w:lvlJc w:val="left"/>
      <w:pPr>
        <w:ind w:left="3328" w:hanging="251"/>
      </w:pPr>
      <w:rPr>
        <w:rFonts w:hint="default"/>
        <w:lang w:val="en-gb" w:eastAsia="en-US" w:bidi="ar-SA"/>
      </w:rPr>
    </w:lvl>
    <w:lvl w:ilvl="4">
      <w:start w:val="0"/>
      <w:numFmt w:val="bullet"/>
      <w:lvlText w:val="•"/>
      <w:lvlJc w:val="left"/>
      <w:pPr>
        <w:ind w:left="3864" w:hanging="251"/>
      </w:pPr>
      <w:rPr>
        <w:rFonts w:hint="default"/>
        <w:lang w:val="en-gb" w:eastAsia="en-US" w:bidi="ar-SA"/>
      </w:rPr>
    </w:lvl>
    <w:lvl w:ilvl="5">
      <w:start w:val="0"/>
      <w:numFmt w:val="bullet"/>
      <w:lvlText w:val="•"/>
      <w:lvlJc w:val="left"/>
      <w:pPr>
        <w:ind w:left="4400" w:hanging="251"/>
      </w:pPr>
      <w:rPr>
        <w:rFonts w:hint="default"/>
        <w:lang w:val="en-gb" w:eastAsia="en-US" w:bidi="ar-SA"/>
      </w:rPr>
    </w:lvl>
    <w:lvl w:ilvl="6">
      <w:start w:val="0"/>
      <w:numFmt w:val="bullet"/>
      <w:lvlText w:val="•"/>
      <w:lvlJc w:val="left"/>
      <w:pPr>
        <w:ind w:left="4936" w:hanging="251"/>
      </w:pPr>
      <w:rPr>
        <w:rFonts w:hint="default"/>
        <w:lang w:val="en-gb" w:eastAsia="en-US" w:bidi="ar-SA"/>
      </w:rPr>
    </w:lvl>
    <w:lvl w:ilvl="7">
      <w:start w:val="0"/>
      <w:numFmt w:val="bullet"/>
      <w:lvlText w:val="•"/>
      <w:lvlJc w:val="left"/>
      <w:pPr>
        <w:ind w:left="5472" w:hanging="251"/>
      </w:pPr>
      <w:rPr>
        <w:rFonts w:hint="default"/>
        <w:lang w:val="en-gb" w:eastAsia="en-US" w:bidi="ar-SA"/>
      </w:rPr>
    </w:lvl>
    <w:lvl w:ilvl="8">
      <w:start w:val="0"/>
      <w:numFmt w:val="bullet"/>
      <w:lvlText w:val="•"/>
      <w:lvlJc w:val="left"/>
      <w:pPr>
        <w:ind w:left="6008" w:hanging="251"/>
      </w:pPr>
      <w:rPr>
        <w:rFonts w:hint="default"/>
        <w:lang w:val="en-gb" w:eastAsia="en-US" w:bidi="ar-SA"/>
      </w:rPr>
    </w:lvl>
  </w:abstractNum>
  <w:abstractNum w:abstractNumId="36">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36" w:hanging="123"/>
      </w:pPr>
      <w:rPr>
        <w:rFonts w:hint="default"/>
        <w:lang w:val="en-gb" w:eastAsia="en-US" w:bidi="ar-SA"/>
      </w:rPr>
    </w:lvl>
    <w:lvl w:ilvl="2">
      <w:start w:val="0"/>
      <w:numFmt w:val="bullet"/>
      <w:lvlText w:val="•"/>
      <w:lvlJc w:val="left"/>
      <w:pPr>
        <w:ind w:left="352" w:hanging="123"/>
      </w:pPr>
      <w:rPr>
        <w:rFonts w:hint="default"/>
        <w:lang w:val="en-gb" w:eastAsia="en-US" w:bidi="ar-SA"/>
      </w:rPr>
    </w:lvl>
    <w:lvl w:ilvl="3">
      <w:start w:val="0"/>
      <w:numFmt w:val="bullet"/>
      <w:lvlText w:val="•"/>
      <w:lvlJc w:val="left"/>
      <w:pPr>
        <w:ind w:left="469" w:hanging="123"/>
      </w:pPr>
      <w:rPr>
        <w:rFonts w:hint="default"/>
        <w:lang w:val="en-gb" w:eastAsia="en-US" w:bidi="ar-SA"/>
      </w:rPr>
    </w:lvl>
    <w:lvl w:ilvl="4">
      <w:start w:val="0"/>
      <w:numFmt w:val="bullet"/>
      <w:lvlText w:val="•"/>
      <w:lvlJc w:val="left"/>
      <w:pPr>
        <w:ind w:left="585" w:hanging="123"/>
      </w:pPr>
      <w:rPr>
        <w:rFonts w:hint="default"/>
        <w:lang w:val="en-gb" w:eastAsia="en-US" w:bidi="ar-SA"/>
      </w:rPr>
    </w:lvl>
    <w:lvl w:ilvl="5">
      <w:start w:val="0"/>
      <w:numFmt w:val="bullet"/>
      <w:lvlText w:val="•"/>
      <w:lvlJc w:val="left"/>
      <w:pPr>
        <w:ind w:left="701" w:hanging="123"/>
      </w:pPr>
      <w:rPr>
        <w:rFonts w:hint="default"/>
        <w:lang w:val="en-gb" w:eastAsia="en-US" w:bidi="ar-SA"/>
      </w:rPr>
    </w:lvl>
    <w:lvl w:ilvl="6">
      <w:start w:val="0"/>
      <w:numFmt w:val="bullet"/>
      <w:lvlText w:val="•"/>
      <w:lvlJc w:val="left"/>
      <w:pPr>
        <w:ind w:left="818" w:hanging="123"/>
      </w:pPr>
      <w:rPr>
        <w:rFonts w:hint="default"/>
        <w:lang w:val="en-gb" w:eastAsia="en-US" w:bidi="ar-SA"/>
      </w:rPr>
    </w:lvl>
    <w:lvl w:ilvl="7">
      <w:start w:val="0"/>
      <w:numFmt w:val="bullet"/>
      <w:lvlText w:val="•"/>
      <w:lvlJc w:val="left"/>
      <w:pPr>
        <w:ind w:left="934" w:hanging="123"/>
      </w:pPr>
      <w:rPr>
        <w:rFonts w:hint="default"/>
        <w:lang w:val="en-gb" w:eastAsia="en-US" w:bidi="ar-SA"/>
      </w:rPr>
    </w:lvl>
    <w:lvl w:ilvl="8">
      <w:start w:val="0"/>
      <w:numFmt w:val="bullet"/>
      <w:lvlText w:val="•"/>
      <w:lvlJc w:val="left"/>
      <w:pPr>
        <w:ind w:left="1050" w:hanging="123"/>
      </w:pPr>
      <w:rPr>
        <w:rFonts w:hint="default"/>
        <w:lang w:val="en-gb" w:eastAsia="en-US" w:bidi="ar-SA"/>
      </w:rPr>
    </w:lvl>
  </w:abstractNum>
  <w:abstractNum w:abstractNumId="35">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48" w:hanging="123"/>
      </w:pPr>
      <w:rPr>
        <w:rFonts w:hint="default"/>
        <w:lang w:val="en-gb" w:eastAsia="en-US" w:bidi="ar-SA"/>
      </w:rPr>
    </w:lvl>
    <w:lvl w:ilvl="2">
      <w:start w:val="0"/>
      <w:numFmt w:val="bullet"/>
      <w:lvlText w:val="•"/>
      <w:lvlJc w:val="left"/>
      <w:pPr>
        <w:ind w:left="377" w:hanging="123"/>
      </w:pPr>
      <w:rPr>
        <w:rFonts w:hint="default"/>
        <w:lang w:val="en-gb" w:eastAsia="en-US" w:bidi="ar-SA"/>
      </w:rPr>
    </w:lvl>
    <w:lvl w:ilvl="3">
      <w:start w:val="0"/>
      <w:numFmt w:val="bullet"/>
      <w:lvlText w:val="•"/>
      <w:lvlJc w:val="left"/>
      <w:pPr>
        <w:ind w:left="506" w:hanging="123"/>
      </w:pPr>
      <w:rPr>
        <w:rFonts w:hint="default"/>
        <w:lang w:val="en-gb" w:eastAsia="en-US" w:bidi="ar-SA"/>
      </w:rPr>
    </w:lvl>
    <w:lvl w:ilvl="4">
      <w:start w:val="0"/>
      <w:numFmt w:val="bullet"/>
      <w:lvlText w:val="•"/>
      <w:lvlJc w:val="left"/>
      <w:pPr>
        <w:ind w:left="635" w:hanging="123"/>
      </w:pPr>
      <w:rPr>
        <w:rFonts w:hint="default"/>
        <w:lang w:val="en-gb" w:eastAsia="en-US" w:bidi="ar-SA"/>
      </w:rPr>
    </w:lvl>
    <w:lvl w:ilvl="5">
      <w:start w:val="0"/>
      <w:numFmt w:val="bullet"/>
      <w:lvlText w:val="•"/>
      <w:lvlJc w:val="left"/>
      <w:pPr>
        <w:ind w:left="763" w:hanging="123"/>
      </w:pPr>
      <w:rPr>
        <w:rFonts w:hint="default"/>
        <w:lang w:val="en-gb" w:eastAsia="en-US" w:bidi="ar-SA"/>
      </w:rPr>
    </w:lvl>
    <w:lvl w:ilvl="6">
      <w:start w:val="0"/>
      <w:numFmt w:val="bullet"/>
      <w:lvlText w:val="•"/>
      <w:lvlJc w:val="left"/>
      <w:pPr>
        <w:ind w:left="892" w:hanging="123"/>
      </w:pPr>
      <w:rPr>
        <w:rFonts w:hint="default"/>
        <w:lang w:val="en-gb" w:eastAsia="en-US" w:bidi="ar-SA"/>
      </w:rPr>
    </w:lvl>
    <w:lvl w:ilvl="7">
      <w:start w:val="0"/>
      <w:numFmt w:val="bullet"/>
      <w:lvlText w:val="•"/>
      <w:lvlJc w:val="left"/>
      <w:pPr>
        <w:ind w:left="1021" w:hanging="123"/>
      </w:pPr>
      <w:rPr>
        <w:rFonts w:hint="default"/>
        <w:lang w:val="en-gb" w:eastAsia="en-US" w:bidi="ar-SA"/>
      </w:rPr>
    </w:lvl>
    <w:lvl w:ilvl="8">
      <w:start w:val="0"/>
      <w:numFmt w:val="bullet"/>
      <w:lvlText w:val="•"/>
      <w:lvlJc w:val="left"/>
      <w:pPr>
        <w:ind w:left="1150" w:hanging="123"/>
      </w:pPr>
      <w:rPr>
        <w:rFonts w:hint="default"/>
        <w:lang w:val="en-gb" w:eastAsia="en-US" w:bidi="ar-SA"/>
      </w:rPr>
    </w:lvl>
  </w:abstractNum>
  <w:abstractNum w:abstractNumId="34">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395" w:hanging="123"/>
      </w:pPr>
      <w:rPr>
        <w:rFonts w:hint="default"/>
        <w:lang w:val="en-gb" w:eastAsia="en-US" w:bidi="ar-SA"/>
      </w:rPr>
    </w:lvl>
    <w:lvl w:ilvl="2">
      <w:start w:val="0"/>
      <w:numFmt w:val="bullet"/>
      <w:lvlText w:val="•"/>
      <w:lvlJc w:val="left"/>
      <w:pPr>
        <w:ind w:left="670" w:hanging="123"/>
      </w:pPr>
      <w:rPr>
        <w:rFonts w:hint="default"/>
        <w:lang w:val="en-gb" w:eastAsia="en-US" w:bidi="ar-SA"/>
      </w:rPr>
    </w:lvl>
    <w:lvl w:ilvl="3">
      <w:start w:val="0"/>
      <w:numFmt w:val="bullet"/>
      <w:lvlText w:val="•"/>
      <w:lvlJc w:val="left"/>
      <w:pPr>
        <w:ind w:left="946" w:hanging="123"/>
      </w:pPr>
      <w:rPr>
        <w:rFonts w:hint="default"/>
        <w:lang w:val="en-gb" w:eastAsia="en-US" w:bidi="ar-SA"/>
      </w:rPr>
    </w:lvl>
    <w:lvl w:ilvl="4">
      <w:start w:val="0"/>
      <w:numFmt w:val="bullet"/>
      <w:lvlText w:val="•"/>
      <w:lvlJc w:val="left"/>
      <w:pPr>
        <w:ind w:left="1221" w:hanging="123"/>
      </w:pPr>
      <w:rPr>
        <w:rFonts w:hint="default"/>
        <w:lang w:val="en-gb" w:eastAsia="en-US" w:bidi="ar-SA"/>
      </w:rPr>
    </w:lvl>
    <w:lvl w:ilvl="5">
      <w:start w:val="0"/>
      <w:numFmt w:val="bullet"/>
      <w:lvlText w:val="•"/>
      <w:lvlJc w:val="left"/>
      <w:pPr>
        <w:ind w:left="1497" w:hanging="123"/>
      </w:pPr>
      <w:rPr>
        <w:rFonts w:hint="default"/>
        <w:lang w:val="en-gb" w:eastAsia="en-US" w:bidi="ar-SA"/>
      </w:rPr>
    </w:lvl>
    <w:lvl w:ilvl="6">
      <w:start w:val="0"/>
      <w:numFmt w:val="bullet"/>
      <w:lvlText w:val="•"/>
      <w:lvlJc w:val="left"/>
      <w:pPr>
        <w:ind w:left="1772" w:hanging="123"/>
      </w:pPr>
      <w:rPr>
        <w:rFonts w:hint="default"/>
        <w:lang w:val="en-gb" w:eastAsia="en-US" w:bidi="ar-SA"/>
      </w:rPr>
    </w:lvl>
    <w:lvl w:ilvl="7">
      <w:start w:val="0"/>
      <w:numFmt w:val="bullet"/>
      <w:lvlText w:val="•"/>
      <w:lvlJc w:val="left"/>
      <w:pPr>
        <w:ind w:left="2048" w:hanging="123"/>
      </w:pPr>
      <w:rPr>
        <w:rFonts w:hint="default"/>
        <w:lang w:val="en-gb" w:eastAsia="en-US" w:bidi="ar-SA"/>
      </w:rPr>
    </w:lvl>
    <w:lvl w:ilvl="8">
      <w:start w:val="0"/>
      <w:numFmt w:val="bullet"/>
      <w:lvlText w:val="•"/>
      <w:lvlJc w:val="left"/>
      <w:pPr>
        <w:ind w:left="2323" w:hanging="123"/>
      </w:pPr>
      <w:rPr>
        <w:rFonts w:hint="default"/>
        <w:lang w:val="en-gb" w:eastAsia="en-US" w:bidi="ar-SA"/>
      </w:rPr>
    </w:lvl>
  </w:abstractNum>
  <w:abstractNum w:abstractNumId="33">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55" w:hanging="123"/>
      </w:pPr>
      <w:rPr>
        <w:rFonts w:hint="default"/>
        <w:lang w:val="en-gb" w:eastAsia="en-US" w:bidi="ar-SA"/>
      </w:rPr>
    </w:lvl>
    <w:lvl w:ilvl="2">
      <w:start w:val="0"/>
      <w:numFmt w:val="bullet"/>
      <w:lvlText w:val="•"/>
      <w:lvlJc w:val="left"/>
      <w:pPr>
        <w:ind w:left="390" w:hanging="123"/>
      </w:pPr>
      <w:rPr>
        <w:rFonts w:hint="default"/>
        <w:lang w:val="en-gb" w:eastAsia="en-US" w:bidi="ar-SA"/>
      </w:rPr>
    </w:lvl>
    <w:lvl w:ilvl="3">
      <w:start w:val="0"/>
      <w:numFmt w:val="bullet"/>
      <w:lvlText w:val="•"/>
      <w:lvlJc w:val="left"/>
      <w:pPr>
        <w:ind w:left="525" w:hanging="123"/>
      </w:pPr>
      <w:rPr>
        <w:rFonts w:hint="default"/>
        <w:lang w:val="en-gb" w:eastAsia="en-US" w:bidi="ar-SA"/>
      </w:rPr>
    </w:lvl>
    <w:lvl w:ilvl="4">
      <w:start w:val="0"/>
      <w:numFmt w:val="bullet"/>
      <w:lvlText w:val="•"/>
      <w:lvlJc w:val="left"/>
      <w:pPr>
        <w:ind w:left="661" w:hanging="123"/>
      </w:pPr>
      <w:rPr>
        <w:rFonts w:hint="default"/>
        <w:lang w:val="en-gb" w:eastAsia="en-US" w:bidi="ar-SA"/>
      </w:rPr>
    </w:lvl>
    <w:lvl w:ilvl="5">
      <w:start w:val="0"/>
      <w:numFmt w:val="bullet"/>
      <w:lvlText w:val="•"/>
      <w:lvlJc w:val="left"/>
      <w:pPr>
        <w:ind w:left="796" w:hanging="123"/>
      </w:pPr>
      <w:rPr>
        <w:rFonts w:hint="default"/>
        <w:lang w:val="en-gb" w:eastAsia="en-US" w:bidi="ar-SA"/>
      </w:rPr>
    </w:lvl>
    <w:lvl w:ilvl="6">
      <w:start w:val="0"/>
      <w:numFmt w:val="bullet"/>
      <w:lvlText w:val="•"/>
      <w:lvlJc w:val="left"/>
      <w:pPr>
        <w:ind w:left="931" w:hanging="123"/>
      </w:pPr>
      <w:rPr>
        <w:rFonts w:hint="default"/>
        <w:lang w:val="en-gb" w:eastAsia="en-US" w:bidi="ar-SA"/>
      </w:rPr>
    </w:lvl>
    <w:lvl w:ilvl="7">
      <w:start w:val="0"/>
      <w:numFmt w:val="bullet"/>
      <w:lvlText w:val="•"/>
      <w:lvlJc w:val="left"/>
      <w:pPr>
        <w:ind w:left="1067" w:hanging="123"/>
      </w:pPr>
      <w:rPr>
        <w:rFonts w:hint="default"/>
        <w:lang w:val="en-gb" w:eastAsia="en-US" w:bidi="ar-SA"/>
      </w:rPr>
    </w:lvl>
    <w:lvl w:ilvl="8">
      <w:start w:val="0"/>
      <w:numFmt w:val="bullet"/>
      <w:lvlText w:val="•"/>
      <w:lvlJc w:val="left"/>
      <w:pPr>
        <w:ind w:left="1202" w:hanging="123"/>
      </w:pPr>
      <w:rPr>
        <w:rFonts w:hint="default"/>
        <w:lang w:val="en-gb" w:eastAsia="en-US" w:bidi="ar-SA"/>
      </w:rPr>
    </w:lvl>
  </w:abstractNum>
  <w:abstractNum w:abstractNumId="32">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195" w:hanging="123"/>
      </w:pPr>
      <w:rPr>
        <w:rFonts w:hint="default"/>
        <w:lang w:val="en-gb" w:eastAsia="en-US" w:bidi="ar-SA"/>
      </w:rPr>
    </w:lvl>
    <w:lvl w:ilvl="2">
      <w:start w:val="0"/>
      <w:numFmt w:val="bullet"/>
      <w:lvlText w:val="•"/>
      <w:lvlJc w:val="left"/>
      <w:pPr>
        <w:ind w:left="271" w:hanging="123"/>
      </w:pPr>
      <w:rPr>
        <w:rFonts w:hint="default"/>
        <w:lang w:val="en-gb" w:eastAsia="en-US" w:bidi="ar-SA"/>
      </w:rPr>
    </w:lvl>
    <w:lvl w:ilvl="3">
      <w:start w:val="0"/>
      <w:numFmt w:val="bullet"/>
      <w:lvlText w:val="•"/>
      <w:lvlJc w:val="left"/>
      <w:pPr>
        <w:ind w:left="347" w:hanging="123"/>
      </w:pPr>
      <w:rPr>
        <w:rFonts w:hint="default"/>
        <w:lang w:val="en-gb" w:eastAsia="en-US" w:bidi="ar-SA"/>
      </w:rPr>
    </w:lvl>
    <w:lvl w:ilvl="4">
      <w:start w:val="0"/>
      <w:numFmt w:val="bullet"/>
      <w:lvlText w:val="•"/>
      <w:lvlJc w:val="left"/>
      <w:pPr>
        <w:ind w:left="423" w:hanging="123"/>
      </w:pPr>
      <w:rPr>
        <w:rFonts w:hint="default"/>
        <w:lang w:val="en-gb" w:eastAsia="en-US" w:bidi="ar-SA"/>
      </w:rPr>
    </w:lvl>
    <w:lvl w:ilvl="5">
      <w:start w:val="0"/>
      <w:numFmt w:val="bullet"/>
      <w:lvlText w:val="•"/>
      <w:lvlJc w:val="left"/>
      <w:pPr>
        <w:ind w:left="499" w:hanging="123"/>
      </w:pPr>
      <w:rPr>
        <w:rFonts w:hint="default"/>
        <w:lang w:val="en-gb" w:eastAsia="en-US" w:bidi="ar-SA"/>
      </w:rPr>
    </w:lvl>
    <w:lvl w:ilvl="6">
      <w:start w:val="0"/>
      <w:numFmt w:val="bullet"/>
      <w:lvlText w:val="•"/>
      <w:lvlJc w:val="left"/>
      <w:pPr>
        <w:ind w:left="575" w:hanging="123"/>
      </w:pPr>
      <w:rPr>
        <w:rFonts w:hint="default"/>
        <w:lang w:val="en-gb" w:eastAsia="en-US" w:bidi="ar-SA"/>
      </w:rPr>
    </w:lvl>
    <w:lvl w:ilvl="7">
      <w:start w:val="0"/>
      <w:numFmt w:val="bullet"/>
      <w:lvlText w:val="•"/>
      <w:lvlJc w:val="left"/>
      <w:pPr>
        <w:ind w:left="651" w:hanging="123"/>
      </w:pPr>
      <w:rPr>
        <w:rFonts w:hint="default"/>
        <w:lang w:val="en-gb" w:eastAsia="en-US" w:bidi="ar-SA"/>
      </w:rPr>
    </w:lvl>
    <w:lvl w:ilvl="8">
      <w:start w:val="0"/>
      <w:numFmt w:val="bullet"/>
      <w:lvlText w:val="•"/>
      <w:lvlJc w:val="left"/>
      <w:pPr>
        <w:ind w:left="727" w:hanging="123"/>
      </w:pPr>
      <w:rPr>
        <w:rFonts w:hint="default"/>
        <w:lang w:val="en-gb" w:eastAsia="en-US" w:bidi="ar-SA"/>
      </w:rPr>
    </w:lvl>
  </w:abstractNum>
  <w:abstractNum w:abstractNumId="31">
    <w:multiLevelType w:val="hybridMultilevel"/>
    <w:lvl w:ilvl="0">
      <w:start w:val="0"/>
      <w:numFmt w:val="bullet"/>
      <w:lvlText w:val="•"/>
      <w:lvlJc w:val="left"/>
      <w:pPr>
        <w:ind w:left="213"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327" w:hanging="123"/>
      </w:pPr>
      <w:rPr>
        <w:rFonts w:hint="default"/>
        <w:lang w:val="en-gb" w:eastAsia="en-US" w:bidi="ar-SA"/>
      </w:rPr>
    </w:lvl>
    <w:lvl w:ilvl="2">
      <w:start w:val="0"/>
      <w:numFmt w:val="bullet"/>
      <w:lvlText w:val="•"/>
      <w:lvlJc w:val="left"/>
      <w:pPr>
        <w:ind w:left="435" w:hanging="123"/>
      </w:pPr>
      <w:rPr>
        <w:rFonts w:hint="default"/>
        <w:lang w:val="en-gb" w:eastAsia="en-US" w:bidi="ar-SA"/>
      </w:rPr>
    </w:lvl>
    <w:lvl w:ilvl="3">
      <w:start w:val="0"/>
      <w:numFmt w:val="bullet"/>
      <w:lvlText w:val="•"/>
      <w:lvlJc w:val="left"/>
      <w:pPr>
        <w:ind w:left="543" w:hanging="123"/>
      </w:pPr>
      <w:rPr>
        <w:rFonts w:hint="default"/>
        <w:lang w:val="en-gb" w:eastAsia="en-US" w:bidi="ar-SA"/>
      </w:rPr>
    </w:lvl>
    <w:lvl w:ilvl="4">
      <w:start w:val="0"/>
      <w:numFmt w:val="bullet"/>
      <w:lvlText w:val="•"/>
      <w:lvlJc w:val="left"/>
      <w:pPr>
        <w:ind w:left="650" w:hanging="123"/>
      </w:pPr>
      <w:rPr>
        <w:rFonts w:hint="default"/>
        <w:lang w:val="en-gb" w:eastAsia="en-US" w:bidi="ar-SA"/>
      </w:rPr>
    </w:lvl>
    <w:lvl w:ilvl="5">
      <w:start w:val="0"/>
      <w:numFmt w:val="bullet"/>
      <w:lvlText w:val="•"/>
      <w:lvlJc w:val="left"/>
      <w:pPr>
        <w:ind w:left="758" w:hanging="123"/>
      </w:pPr>
      <w:rPr>
        <w:rFonts w:hint="default"/>
        <w:lang w:val="en-gb" w:eastAsia="en-US" w:bidi="ar-SA"/>
      </w:rPr>
    </w:lvl>
    <w:lvl w:ilvl="6">
      <w:start w:val="0"/>
      <w:numFmt w:val="bullet"/>
      <w:lvlText w:val="•"/>
      <w:lvlJc w:val="left"/>
      <w:pPr>
        <w:ind w:left="866" w:hanging="123"/>
      </w:pPr>
      <w:rPr>
        <w:rFonts w:hint="default"/>
        <w:lang w:val="en-gb" w:eastAsia="en-US" w:bidi="ar-SA"/>
      </w:rPr>
    </w:lvl>
    <w:lvl w:ilvl="7">
      <w:start w:val="0"/>
      <w:numFmt w:val="bullet"/>
      <w:lvlText w:val="•"/>
      <w:lvlJc w:val="left"/>
      <w:pPr>
        <w:ind w:left="973" w:hanging="123"/>
      </w:pPr>
      <w:rPr>
        <w:rFonts w:hint="default"/>
        <w:lang w:val="en-gb" w:eastAsia="en-US" w:bidi="ar-SA"/>
      </w:rPr>
    </w:lvl>
    <w:lvl w:ilvl="8">
      <w:start w:val="0"/>
      <w:numFmt w:val="bullet"/>
      <w:lvlText w:val="•"/>
      <w:lvlJc w:val="left"/>
      <w:pPr>
        <w:ind w:left="1081" w:hanging="123"/>
      </w:pPr>
      <w:rPr>
        <w:rFonts w:hint="default"/>
        <w:lang w:val="en-gb" w:eastAsia="en-US" w:bidi="ar-SA"/>
      </w:rPr>
    </w:lvl>
  </w:abstractNum>
  <w:abstractNum w:abstractNumId="30">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81" w:hanging="123"/>
      </w:pPr>
      <w:rPr>
        <w:rFonts w:hint="default"/>
        <w:lang w:val="en-gb" w:eastAsia="en-US" w:bidi="ar-SA"/>
      </w:rPr>
    </w:lvl>
    <w:lvl w:ilvl="2">
      <w:start w:val="0"/>
      <w:numFmt w:val="bullet"/>
      <w:lvlText w:val="•"/>
      <w:lvlJc w:val="left"/>
      <w:pPr>
        <w:ind w:left="443" w:hanging="123"/>
      </w:pPr>
      <w:rPr>
        <w:rFonts w:hint="default"/>
        <w:lang w:val="en-gb" w:eastAsia="en-US" w:bidi="ar-SA"/>
      </w:rPr>
    </w:lvl>
    <w:lvl w:ilvl="3">
      <w:start w:val="0"/>
      <w:numFmt w:val="bullet"/>
      <w:lvlText w:val="•"/>
      <w:lvlJc w:val="left"/>
      <w:pPr>
        <w:ind w:left="605" w:hanging="123"/>
      </w:pPr>
      <w:rPr>
        <w:rFonts w:hint="default"/>
        <w:lang w:val="en-gb" w:eastAsia="en-US" w:bidi="ar-SA"/>
      </w:rPr>
    </w:lvl>
    <w:lvl w:ilvl="4">
      <w:start w:val="0"/>
      <w:numFmt w:val="bullet"/>
      <w:lvlText w:val="•"/>
      <w:lvlJc w:val="left"/>
      <w:pPr>
        <w:ind w:left="767" w:hanging="123"/>
      </w:pPr>
      <w:rPr>
        <w:rFonts w:hint="default"/>
        <w:lang w:val="en-gb" w:eastAsia="en-US" w:bidi="ar-SA"/>
      </w:rPr>
    </w:lvl>
    <w:lvl w:ilvl="5">
      <w:start w:val="0"/>
      <w:numFmt w:val="bullet"/>
      <w:lvlText w:val="•"/>
      <w:lvlJc w:val="left"/>
      <w:pPr>
        <w:ind w:left="929" w:hanging="123"/>
      </w:pPr>
      <w:rPr>
        <w:rFonts w:hint="default"/>
        <w:lang w:val="en-gb" w:eastAsia="en-US" w:bidi="ar-SA"/>
      </w:rPr>
    </w:lvl>
    <w:lvl w:ilvl="6">
      <w:start w:val="0"/>
      <w:numFmt w:val="bullet"/>
      <w:lvlText w:val="•"/>
      <w:lvlJc w:val="left"/>
      <w:pPr>
        <w:ind w:left="1091" w:hanging="123"/>
      </w:pPr>
      <w:rPr>
        <w:rFonts w:hint="default"/>
        <w:lang w:val="en-gb" w:eastAsia="en-US" w:bidi="ar-SA"/>
      </w:rPr>
    </w:lvl>
    <w:lvl w:ilvl="7">
      <w:start w:val="0"/>
      <w:numFmt w:val="bullet"/>
      <w:lvlText w:val="•"/>
      <w:lvlJc w:val="left"/>
      <w:pPr>
        <w:ind w:left="1253" w:hanging="123"/>
      </w:pPr>
      <w:rPr>
        <w:rFonts w:hint="default"/>
        <w:lang w:val="en-gb" w:eastAsia="en-US" w:bidi="ar-SA"/>
      </w:rPr>
    </w:lvl>
    <w:lvl w:ilvl="8">
      <w:start w:val="0"/>
      <w:numFmt w:val="bullet"/>
      <w:lvlText w:val="•"/>
      <w:lvlJc w:val="left"/>
      <w:pPr>
        <w:ind w:left="1415" w:hanging="123"/>
      </w:pPr>
      <w:rPr>
        <w:rFonts w:hint="default"/>
        <w:lang w:val="en-gb" w:eastAsia="en-US" w:bidi="ar-SA"/>
      </w:rPr>
    </w:lvl>
  </w:abstractNum>
  <w:abstractNum w:abstractNumId="29">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74" w:hanging="123"/>
      </w:pPr>
      <w:rPr>
        <w:rFonts w:hint="default"/>
        <w:lang w:val="en-gb" w:eastAsia="en-US" w:bidi="ar-SA"/>
      </w:rPr>
    </w:lvl>
    <w:lvl w:ilvl="2">
      <w:start w:val="0"/>
      <w:numFmt w:val="bullet"/>
      <w:lvlText w:val="•"/>
      <w:lvlJc w:val="left"/>
      <w:pPr>
        <w:ind w:left="429" w:hanging="123"/>
      </w:pPr>
      <w:rPr>
        <w:rFonts w:hint="default"/>
        <w:lang w:val="en-gb" w:eastAsia="en-US" w:bidi="ar-SA"/>
      </w:rPr>
    </w:lvl>
    <w:lvl w:ilvl="3">
      <w:start w:val="0"/>
      <w:numFmt w:val="bullet"/>
      <w:lvlText w:val="•"/>
      <w:lvlJc w:val="left"/>
      <w:pPr>
        <w:ind w:left="583" w:hanging="123"/>
      </w:pPr>
      <w:rPr>
        <w:rFonts w:hint="default"/>
        <w:lang w:val="en-gb" w:eastAsia="en-US" w:bidi="ar-SA"/>
      </w:rPr>
    </w:lvl>
    <w:lvl w:ilvl="4">
      <w:start w:val="0"/>
      <w:numFmt w:val="bullet"/>
      <w:lvlText w:val="•"/>
      <w:lvlJc w:val="left"/>
      <w:pPr>
        <w:ind w:left="738" w:hanging="123"/>
      </w:pPr>
      <w:rPr>
        <w:rFonts w:hint="default"/>
        <w:lang w:val="en-gb" w:eastAsia="en-US" w:bidi="ar-SA"/>
      </w:rPr>
    </w:lvl>
    <w:lvl w:ilvl="5">
      <w:start w:val="0"/>
      <w:numFmt w:val="bullet"/>
      <w:lvlText w:val="•"/>
      <w:lvlJc w:val="left"/>
      <w:pPr>
        <w:ind w:left="892" w:hanging="123"/>
      </w:pPr>
      <w:rPr>
        <w:rFonts w:hint="default"/>
        <w:lang w:val="en-gb" w:eastAsia="en-US" w:bidi="ar-SA"/>
      </w:rPr>
    </w:lvl>
    <w:lvl w:ilvl="6">
      <w:start w:val="0"/>
      <w:numFmt w:val="bullet"/>
      <w:lvlText w:val="•"/>
      <w:lvlJc w:val="left"/>
      <w:pPr>
        <w:ind w:left="1047" w:hanging="123"/>
      </w:pPr>
      <w:rPr>
        <w:rFonts w:hint="default"/>
        <w:lang w:val="en-gb" w:eastAsia="en-US" w:bidi="ar-SA"/>
      </w:rPr>
    </w:lvl>
    <w:lvl w:ilvl="7">
      <w:start w:val="0"/>
      <w:numFmt w:val="bullet"/>
      <w:lvlText w:val="•"/>
      <w:lvlJc w:val="left"/>
      <w:pPr>
        <w:ind w:left="1201" w:hanging="123"/>
      </w:pPr>
      <w:rPr>
        <w:rFonts w:hint="default"/>
        <w:lang w:val="en-gb" w:eastAsia="en-US" w:bidi="ar-SA"/>
      </w:rPr>
    </w:lvl>
    <w:lvl w:ilvl="8">
      <w:start w:val="0"/>
      <w:numFmt w:val="bullet"/>
      <w:lvlText w:val="•"/>
      <w:lvlJc w:val="left"/>
      <w:pPr>
        <w:ind w:left="1356" w:hanging="123"/>
      </w:pPr>
      <w:rPr>
        <w:rFonts w:hint="default"/>
        <w:lang w:val="en-gb" w:eastAsia="en-US" w:bidi="ar-SA"/>
      </w:rPr>
    </w:lvl>
  </w:abstractNum>
  <w:abstractNum w:abstractNumId="28">
    <w:multiLevelType w:val="hybridMultilevel"/>
    <w:lvl w:ilvl="0">
      <w:start w:val="0"/>
      <w:numFmt w:val="bullet"/>
      <w:lvlText w:val="•"/>
      <w:lvlJc w:val="left"/>
      <w:pPr>
        <w:ind w:left="122"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258" w:hanging="123"/>
      </w:pPr>
      <w:rPr>
        <w:rFonts w:hint="default"/>
        <w:lang w:val="en-gb" w:eastAsia="en-US" w:bidi="ar-SA"/>
      </w:rPr>
    </w:lvl>
    <w:lvl w:ilvl="2">
      <w:start w:val="0"/>
      <w:numFmt w:val="bullet"/>
      <w:lvlText w:val="•"/>
      <w:lvlJc w:val="left"/>
      <w:pPr>
        <w:ind w:left="397" w:hanging="123"/>
      </w:pPr>
      <w:rPr>
        <w:rFonts w:hint="default"/>
        <w:lang w:val="en-gb" w:eastAsia="en-US" w:bidi="ar-SA"/>
      </w:rPr>
    </w:lvl>
    <w:lvl w:ilvl="3">
      <w:start w:val="0"/>
      <w:numFmt w:val="bullet"/>
      <w:lvlText w:val="•"/>
      <w:lvlJc w:val="left"/>
      <w:pPr>
        <w:ind w:left="536" w:hanging="123"/>
      </w:pPr>
      <w:rPr>
        <w:rFonts w:hint="default"/>
        <w:lang w:val="en-gb" w:eastAsia="en-US" w:bidi="ar-SA"/>
      </w:rPr>
    </w:lvl>
    <w:lvl w:ilvl="4">
      <w:start w:val="0"/>
      <w:numFmt w:val="bullet"/>
      <w:lvlText w:val="•"/>
      <w:lvlJc w:val="left"/>
      <w:pPr>
        <w:ind w:left="674" w:hanging="123"/>
      </w:pPr>
      <w:rPr>
        <w:rFonts w:hint="default"/>
        <w:lang w:val="en-gb" w:eastAsia="en-US" w:bidi="ar-SA"/>
      </w:rPr>
    </w:lvl>
    <w:lvl w:ilvl="5">
      <w:start w:val="0"/>
      <w:numFmt w:val="bullet"/>
      <w:lvlText w:val="•"/>
      <w:lvlJc w:val="left"/>
      <w:pPr>
        <w:ind w:left="813" w:hanging="123"/>
      </w:pPr>
      <w:rPr>
        <w:rFonts w:hint="default"/>
        <w:lang w:val="en-gb" w:eastAsia="en-US" w:bidi="ar-SA"/>
      </w:rPr>
    </w:lvl>
    <w:lvl w:ilvl="6">
      <w:start w:val="0"/>
      <w:numFmt w:val="bullet"/>
      <w:lvlText w:val="•"/>
      <w:lvlJc w:val="left"/>
      <w:pPr>
        <w:ind w:left="952" w:hanging="123"/>
      </w:pPr>
      <w:rPr>
        <w:rFonts w:hint="default"/>
        <w:lang w:val="en-gb" w:eastAsia="en-US" w:bidi="ar-SA"/>
      </w:rPr>
    </w:lvl>
    <w:lvl w:ilvl="7">
      <w:start w:val="0"/>
      <w:numFmt w:val="bullet"/>
      <w:lvlText w:val="•"/>
      <w:lvlJc w:val="left"/>
      <w:pPr>
        <w:ind w:left="1090" w:hanging="123"/>
      </w:pPr>
      <w:rPr>
        <w:rFonts w:hint="default"/>
        <w:lang w:val="en-gb" w:eastAsia="en-US" w:bidi="ar-SA"/>
      </w:rPr>
    </w:lvl>
    <w:lvl w:ilvl="8">
      <w:start w:val="0"/>
      <w:numFmt w:val="bullet"/>
      <w:lvlText w:val="•"/>
      <w:lvlJc w:val="left"/>
      <w:pPr>
        <w:ind w:left="1229" w:hanging="123"/>
      </w:pPr>
      <w:rPr>
        <w:rFonts w:hint="default"/>
        <w:lang w:val="en-gb" w:eastAsia="en-US" w:bidi="ar-SA"/>
      </w:rPr>
    </w:lvl>
  </w:abstractNum>
  <w:abstractNum w:abstractNumId="27">
    <w:multiLevelType w:val="hybridMultilevel"/>
    <w:lvl w:ilvl="0">
      <w:start w:val="0"/>
      <w:numFmt w:val="bullet"/>
      <w:lvlText w:val="•"/>
      <w:lvlJc w:val="left"/>
      <w:pPr>
        <w:ind w:left="207" w:hanging="123"/>
      </w:pPr>
      <w:rPr>
        <w:rFonts w:hint="default" w:ascii="Arial" w:hAnsi="Arial" w:eastAsia="Arial" w:cs="Arial"/>
        <w:b w:val="0"/>
        <w:bCs w:val="0"/>
        <w:i w:val="0"/>
        <w:iCs w:val="0"/>
        <w:color w:val="231F20"/>
        <w:w w:val="102"/>
        <w:sz w:val="14"/>
        <w:szCs w:val="14"/>
        <w:lang w:val="en-gb" w:eastAsia="en-US" w:bidi="ar-SA"/>
      </w:rPr>
    </w:lvl>
    <w:lvl w:ilvl="1">
      <w:start w:val="0"/>
      <w:numFmt w:val="bullet"/>
      <w:lvlText w:val="•"/>
      <w:lvlJc w:val="left"/>
      <w:pPr>
        <w:ind w:left="451" w:hanging="123"/>
      </w:pPr>
      <w:rPr>
        <w:rFonts w:hint="default"/>
        <w:lang w:val="en-gb" w:eastAsia="en-US" w:bidi="ar-SA"/>
      </w:rPr>
    </w:lvl>
    <w:lvl w:ilvl="2">
      <w:start w:val="0"/>
      <w:numFmt w:val="bullet"/>
      <w:lvlText w:val="•"/>
      <w:lvlJc w:val="left"/>
      <w:pPr>
        <w:ind w:left="703" w:hanging="123"/>
      </w:pPr>
      <w:rPr>
        <w:rFonts w:hint="default"/>
        <w:lang w:val="en-gb" w:eastAsia="en-US" w:bidi="ar-SA"/>
      </w:rPr>
    </w:lvl>
    <w:lvl w:ilvl="3">
      <w:start w:val="0"/>
      <w:numFmt w:val="bullet"/>
      <w:lvlText w:val="•"/>
      <w:lvlJc w:val="left"/>
      <w:pPr>
        <w:ind w:left="954" w:hanging="123"/>
      </w:pPr>
      <w:rPr>
        <w:rFonts w:hint="default"/>
        <w:lang w:val="en-gb" w:eastAsia="en-US" w:bidi="ar-SA"/>
      </w:rPr>
    </w:lvl>
    <w:lvl w:ilvl="4">
      <w:start w:val="0"/>
      <w:numFmt w:val="bullet"/>
      <w:lvlText w:val="•"/>
      <w:lvlJc w:val="left"/>
      <w:pPr>
        <w:ind w:left="1206" w:hanging="123"/>
      </w:pPr>
      <w:rPr>
        <w:rFonts w:hint="default"/>
        <w:lang w:val="en-gb" w:eastAsia="en-US" w:bidi="ar-SA"/>
      </w:rPr>
    </w:lvl>
    <w:lvl w:ilvl="5">
      <w:start w:val="0"/>
      <w:numFmt w:val="bullet"/>
      <w:lvlText w:val="•"/>
      <w:lvlJc w:val="left"/>
      <w:pPr>
        <w:ind w:left="1457" w:hanging="123"/>
      </w:pPr>
      <w:rPr>
        <w:rFonts w:hint="default"/>
        <w:lang w:val="en-gb" w:eastAsia="en-US" w:bidi="ar-SA"/>
      </w:rPr>
    </w:lvl>
    <w:lvl w:ilvl="6">
      <w:start w:val="0"/>
      <w:numFmt w:val="bullet"/>
      <w:lvlText w:val="•"/>
      <w:lvlJc w:val="left"/>
      <w:pPr>
        <w:ind w:left="1709" w:hanging="123"/>
      </w:pPr>
      <w:rPr>
        <w:rFonts w:hint="default"/>
        <w:lang w:val="en-gb" w:eastAsia="en-US" w:bidi="ar-SA"/>
      </w:rPr>
    </w:lvl>
    <w:lvl w:ilvl="7">
      <w:start w:val="0"/>
      <w:numFmt w:val="bullet"/>
      <w:lvlText w:val="•"/>
      <w:lvlJc w:val="left"/>
      <w:pPr>
        <w:ind w:left="1960" w:hanging="123"/>
      </w:pPr>
      <w:rPr>
        <w:rFonts w:hint="default"/>
        <w:lang w:val="en-gb" w:eastAsia="en-US" w:bidi="ar-SA"/>
      </w:rPr>
    </w:lvl>
    <w:lvl w:ilvl="8">
      <w:start w:val="0"/>
      <w:numFmt w:val="bullet"/>
      <w:lvlText w:val="•"/>
      <w:lvlJc w:val="left"/>
      <w:pPr>
        <w:ind w:left="2212" w:hanging="123"/>
      </w:pPr>
      <w:rPr>
        <w:rFonts w:hint="default"/>
        <w:lang w:val="en-gb" w:eastAsia="en-US" w:bidi="ar-SA"/>
      </w:rPr>
    </w:lvl>
  </w:abstractNum>
  <w:abstractNum w:abstractNumId="26">
    <w:multiLevelType w:val="hybridMultilevel"/>
    <w:lvl w:ilvl="0">
      <w:start w:val="0"/>
      <w:numFmt w:val="bullet"/>
      <w:lvlText w:val="•"/>
      <w:lvlJc w:val="left"/>
      <w:pPr>
        <w:ind w:left="101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594" w:hanging="251"/>
      </w:pPr>
      <w:rPr>
        <w:rFonts w:hint="default"/>
        <w:lang w:val="en-gb" w:eastAsia="en-US" w:bidi="ar-SA"/>
      </w:rPr>
    </w:lvl>
    <w:lvl w:ilvl="2">
      <w:start w:val="0"/>
      <w:numFmt w:val="bullet"/>
      <w:lvlText w:val="•"/>
      <w:lvlJc w:val="left"/>
      <w:pPr>
        <w:ind w:left="2168" w:hanging="251"/>
      </w:pPr>
      <w:rPr>
        <w:rFonts w:hint="default"/>
        <w:lang w:val="en-gb" w:eastAsia="en-US" w:bidi="ar-SA"/>
      </w:rPr>
    </w:lvl>
    <w:lvl w:ilvl="3">
      <w:start w:val="0"/>
      <w:numFmt w:val="bullet"/>
      <w:lvlText w:val="•"/>
      <w:lvlJc w:val="left"/>
      <w:pPr>
        <w:ind w:left="2742" w:hanging="251"/>
      </w:pPr>
      <w:rPr>
        <w:rFonts w:hint="default"/>
        <w:lang w:val="en-gb" w:eastAsia="en-US" w:bidi="ar-SA"/>
      </w:rPr>
    </w:lvl>
    <w:lvl w:ilvl="4">
      <w:start w:val="0"/>
      <w:numFmt w:val="bullet"/>
      <w:lvlText w:val="•"/>
      <w:lvlJc w:val="left"/>
      <w:pPr>
        <w:ind w:left="3316" w:hanging="251"/>
      </w:pPr>
      <w:rPr>
        <w:rFonts w:hint="default"/>
        <w:lang w:val="en-gb" w:eastAsia="en-US" w:bidi="ar-SA"/>
      </w:rPr>
    </w:lvl>
    <w:lvl w:ilvl="5">
      <w:start w:val="0"/>
      <w:numFmt w:val="bullet"/>
      <w:lvlText w:val="•"/>
      <w:lvlJc w:val="left"/>
      <w:pPr>
        <w:ind w:left="3890" w:hanging="251"/>
      </w:pPr>
      <w:rPr>
        <w:rFonts w:hint="default"/>
        <w:lang w:val="en-gb" w:eastAsia="en-US" w:bidi="ar-SA"/>
      </w:rPr>
    </w:lvl>
    <w:lvl w:ilvl="6">
      <w:start w:val="0"/>
      <w:numFmt w:val="bullet"/>
      <w:lvlText w:val="•"/>
      <w:lvlJc w:val="left"/>
      <w:pPr>
        <w:ind w:left="4464" w:hanging="251"/>
      </w:pPr>
      <w:rPr>
        <w:rFonts w:hint="default"/>
        <w:lang w:val="en-gb" w:eastAsia="en-US" w:bidi="ar-SA"/>
      </w:rPr>
    </w:lvl>
    <w:lvl w:ilvl="7">
      <w:start w:val="0"/>
      <w:numFmt w:val="bullet"/>
      <w:lvlText w:val="•"/>
      <w:lvlJc w:val="left"/>
      <w:pPr>
        <w:ind w:left="5038" w:hanging="251"/>
      </w:pPr>
      <w:rPr>
        <w:rFonts w:hint="default"/>
        <w:lang w:val="en-gb" w:eastAsia="en-US" w:bidi="ar-SA"/>
      </w:rPr>
    </w:lvl>
    <w:lvl w:ilvl="8">
      <w:start w:val="0"/>
      <w:numFmt w:val="bullet"/>
      <w:lvlText w:val="•"/>
      <w:lvlJc w:val="left"/>
      <w:pPr>
        <w:ind w:left="5612" w:hanging="251"/>
      </w:pPr>
      <w:rPr>
        <w:rFonts w:hint="default"/>
        <w:lang w:val="en-gb" w:eastAsia="en-US" w:bidi="ar-SA"/>
      </w:rPr>
    </w:lvl>
  </w:abstractNum>
  <w:abstractNum w:abstractNumId="25">
    <w:multiLevelType w:val="hybridMultilevel"/>
    <w:lvl w:ilvl="0">
      <w:start w:val="0"/>
      <w:numFmt w:val="bullet"/>
      <w:lvlText w:val="•"/>
      <w:lvlJc w:val="left"/>
      <w:pPr>
        <w:ind w:left="140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936" w:hanging="251"/>
      </w:pPr>
      <w:rPr>
        <w:rFonts w:hint="default"/>
        <w:lang w:val="en-gb" w:eastAsia="en-US" w:bidi="ar-SA"/>
      </w:rPr>
    </w:lvl>
    <w:lvl w:ilvl="2">
      <w:start w:val="0"/>
      <w:numFmt w:val="bullet"/>
      <w:lvlText w:val="•"/>
      <w:lvlJc w:val="left"/>
      <w:pPr>
        <w:ind w:left="2472" w:hanging="251"/>
      </w:pPr>
      <w:rPr>
        <w:rFonts w:hint="default"/>
        <w:lang w:val="en-gb" w:eastAsia="en-US" w:bidi="ar-SA"/>
      </w:rPr>
    </w:lvl>
    <w:lvl w:ilvl="3">
      <w:start w:val="0"/>
      <w:numFmt w:val="bullet"/>
      <w:lvlText w:val="•"/>
      <w:lvlJc w:val="left"/>
      <w:pPr>
        <w:ind w:left="3008" w:hanging="251"/>
      </w:pPr>
      <w:rPr>
        <w:rFonts w:hint="default"/>
        <w:lang w:val="en-gb" w:eastAsia="en-US" w:bidi="ar-SA"/>
      </w:rPr>
    </w:lvl>
    <w:lvl w:ilvl="4">
      <w:start w:val="0"/>
      <w:numFmt w:val="bullet"/>
      <w:lvlText w:val="•"/>
      <w:lvlJc w:val="left"/>
      <w:pPr>
        <w:ind w:left="3544" w:hanging="251"/>
      </w:pPr>
      <w:rPr>
        <w:rFonts w:hint="default"/>
        <w:lang w:val="en-gb" w:eastAsia="en-US" w:bidi="ar-SA"/>
      </w:rPr>
    </w:lvl>
    <w:lvl w:ilvl="5">
      <w:start w:val="0"/>
      <w:numFmt w:val="bullet"/>
      <w:lvlText w:val="•"/>
      <w:lvlJc w:val="left"/>
      <w:pPr>
        <w:ind w:left="4080" w:hanging="251"/>
      </w:pPr>
      <w:rPr>
        <w:rFonts w:hint="default"/>
        <w:lang w:val="en-gb" w:eastAsia="en-US" w:bidi="ar-SA"/>
      </w:rPr>
    </w:lvl>
    <w:lvl w:ilvl="6">
      <w:start w:val="0"/>
      <w:numFmt w:val="bullet"/>
      <w:lvlText w:val="•"/>
      <w:lvlJc w:val="left"/>
      <w:pPr>
        <w:ind w:left="4616" w:hanging="251"/>
      </w:pPr>
      <w:rPr>
        <w:rFonts w:hint="default"/>
        <w:lang w:val="en-gb" w:eastAsia="en-US" w:bidi="ar-SA"/>
      </w:rPr>
    </w:lvl>
    <w:lvl w:ilvl="7">
      <w:start w:val="0"/>
      <w:numFmt w:val="bullet"/>
      <w:lvlText w:val="•"/>
      <w:lvlJc w:val="left"/>
      <w:pPr>
        <w:ind w:left="5152" w:hanging="251"/>
      </w:pPr>
      <w:rPr>
        <w:rFonts w:hint="default"/>
        <w:lang w:val="en-gb" w:eastAsia="en-US" w:bidi="ar-SA"/>
      </w:rPr>
    </w:lvl>
    <w:lvl w:ilvl="8">
      <w:start w:val="0"/>
      <w:numFmt w:val="bullet"/>
      <w:lvlText w:val="•"/>
      <w:lvlJc w:val="left"/>
      <w:pPr>
        <w:ind w:left="5688" w:hanging="251"/>
      </w:pPr>
      <w:rPr>
        <w:rFonts w:hint="default"/>
        <w:lang w:val="en-gb" w:eastAsia="en-US" w:bidi="ar-SA"/>
      </w:rPr>
    </w:lvl>
  </w:abstractNum>
  <w:abstractNum w:abstractNumId="24">
    <w:multiLevelType w:val="hybridMultilevel"/>
    <w:lvl w:ilvl="0">
      <w:start w:val="1"/>
      <w:numFmt w:val="decimal"/>
      <w:lvlText w:val="%1"/>
      <w:lvlJc w:val="left"/>
      <w:pPr>
        <w:ind w:left="140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936" w:hanging="251"/>
      </w:pPr>
      <w:rPr>
        <w:rFonts w:hint="default"/>
        <w:lang w:val="en-gb" w:eastAsia="en-US" w:bidi="ar-SA"/>
      </w:rPr>
    </w:lvl>
    <w:lvl w:ilvl="2">
      <w:start w:val="0"/>
      <w:numFmt w:val="bullet"/>
      <w:lvlText w:val="•"/>
      <w:lvlJc w:val="left"/>
      <w:pPr>
        <w:ind w:left="2472" w:hanging="251"/>
      </w:pPr>
      <w:rPr>
        <w:rFonts w:hint="default"/>
        <w:lang w:val="en-gb" w:eastAsia="en-US" w:bidi="ar-SA"/>
      </w:rPr>
    </w:lvl>
    <w:lvl w:ilvl="3">
      <w:start w:val="0"/>
      <w:numFmt w:val="bullet"/>
      <w:lvlText w:val="•"/>
      <w:lvlJc w:val="left"/>
      <w:pPr>
        <w:ind w:left="3008" w:hanging="251"/>
      </w:pPr>
      <w:rPr>
        <w:rFonts w:hint="default"/>
        <w:lang w:val="en-gb" w:eastAsia="en-US" w:bidi="ar-SA"/>
      </w:rPr>
    </w:lvl>
    <w:lvl w:ilvl="4">
      <w:start w:val="0"/>
      <w:numFmt w:val="bullet"/>
      <w:lvlText w:val="•"/>
      <w:lvlJc w:val="left"/>
      <w:pPr>
        <w:ind w:left="3544" w:hanging="251"/>
      </w:pPr>
      <w:rPr>
        <w:rFonts w:hint="default"/>
        <w:lang w:val="en-gb" w:eastAsia="en-US" w:bidi="ar-SA"/>
      </w:rPr>
    </w:lvl>
    <w:lvl w:ilvl="5">
      <w:start w:val="0"/>
      <w:numFmt w:val="bullet"/>
      <w:lvlText w:val="•"/>
      <w:lvlJc w:val="left"/>
      <w:pPr>
        <w:ind w:left="4080" w:hanging="251"/>
      </w:pPr>
      <w:rPr>
        <w:rFonts w:hint="default"/>
        <w:lang w:val="en-gb" w:eastAsia="en-US" w:bidi="ar-SA"/>
      </w:rPr>
    </w:lvl>
    <w:lvl w:ilvl="6">
      <w:start w:val="0"/>
      <w:numFmt w:val="bullet"/>
      <w:lvlText w:val="•"/>
      <w:lvlJc w:val="left"/>
      <w:pPr>
        <w:ind w:left="4616" w:hanging="251"/>
      </w:pPr>
      <w:rPr>
        <w:rFonts w:hint="default"/>
        <w:lang w:val="en-gb" w:eastAsia="en-US" w:bidi="ar-SA"/>
      </w:rPr>
    </w:lvl>
    <w:lvl w:ilvl="7">
      <w:start w:val="0"/>
      <w:numFmt w:val="bullet"/>
      <w:lvlText w:val="•"/>
      <w:lvlJc w:val="left"/>
      <w:pPr>
        <w:ind w:left="5152" w:hanging="251"/>
      </w:pPr>
      <w:rPr>
        <w:rFonts w:hint="default"/>
        <w:lang w:val="en-gb" w:eastAsia="en-US" w:bidi="ar-SA"/>
      </w:rPr>
    </w:lvl>
    <w:lvl w:ilvl="8">
      <w:start w:val="0"/>
      <w:numFmt w:val="bullet"/>
      <w:lvlText w:val="•"/>
      <w:lvlJc w:val="left"/>
      <w:pPr>
        <w:ind w:left="5688" w:hanging="251"/>
      </w:pPr>
      <w:rPr>
        <w:rFonts w:hint="default"/>
        <w:lang w:val="en-gb" w:eastAsia="en-US" w:bidi="ar-SA"/>
      </w:rPr>
    </w:lvl>
  </w:abstractNum>
  <w:abstractNum w:abstractNumId="23">
    <w:multiLevelType w:val="hybridMultilevel"/>
    <w:lvl w:ilvl="0">
      <w:start w:val="1"/>
      <w:numFmt w:val="decimal"/>
      <w:lvlText w:val="%1"/>
      <w:lvlJc w:val="left"/>
      <w:pPr>
        <w:ind w:left="101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594" w:hanging="251"/>
      </w:pPr>
      <w:rPr>
        <w:rFonts w:hint="default"/>
        <w:lang w:val="en-gb" w:eastAsia="en-US" w:bidi="ar-SA"/>
      </w:rPr>
    </w:lvl>
    <w:lvl w:ilvl="2">
      <w:start w:val="0"/>
      <w:numFmt w:val="bullet"/>
      <w:lvlText w:val="•"/>
      <w:lvlJc w:val="left"/>
      <w:pPr>
        <w:ind w:left="2168" w:hanging="251"/>
      </w:pPr>
      <w:rPr>
        <w:rFonts w:hint="default"/>
        <w:lang w:val="en-gb" w:eastAsia="en-US" w:bidi="ar-SA"/>
      </w:rPr>
    </w:lvl>
    <w:lvl w:ilvl="3">
      <w:start w:val="0"/>
      <w:numFmt w:val="bullet"/>
      <w:lvlText w:val="•"/>
      <w:lvlJc w:val="left"/>
      <w:pPr>
        <w:ind w:left="2742" w:hanging="251"/>
      </w:pPr>
      <w:rPr>
        <w:rFonts w:hint="default"/>
        <w:lang w:val="en-gb" w:eastAsia="en-US" w:bidi="ar-SA"/>
      </w:rPr>
    </w:lvl>
    <w:lvl w:ilvl="4">
      <w:start w:val="0"/>
      <w:numFmt w:val="bullet"/>
      <w:lvlText w:val="•"/>
      <w:lvlJc w:val="left"/>
      <w:pPr>
        <w:ind w:left="3316" w:hanging="251"/>
      </w:pPr>
      <w:rPr>
        <w:rFonts w:hint="default"/>
        <w:lang w:val="en-gb" w:eastAsia="en-US" w:bidi="ar-SA"/>
      </w:rPr>
    </w:lvl>
    <w:lvl w:ilvl="5">
      <w:start w:val="0"/>
      <w:numFmt w:val="bullet"/>
      <w:lvlText w:val="•"/>
      <w:lvlJc w:val="left"/>
      <w:pPr>
        <w:ind w:left="3890" w:hanging="251"/>
      </w:pPr>
      <w:rPr>
        <w:rFonts w:hint="default"/>
        <w:lang w:val="en-gb" w:eastAsia="en-US" w:bidi="ar-SA"/>
      </w:rPr>
    </w:lvl>
    <w:lvl w:ilvl="6">
      <w:start w:val="0"/>
      <w:numFmt w:val="bullet"/>
      <w:lvlText w:val="•"/>
      <w:lvlJc w:val="left"/>
      <w:pPr>
        <w:ind w:left="4464" w:hanging="251"/>
      </w:pPr>
      <w:rPr>
        <w:rFonts w:hint="default"/>
        <w:lang w:val="en-gb" w:eastAsia="en-US" w:bidi="ar-SA"/>
      </w:rPr>
    </w:lvl>
    <w:lvl w:ilvl="7">
      <w:start w:val="0"/>
      <w:numFmt w:val="bullet"/>
      <w:lvlText w:val="•"/>
      <w:lvlJc w:val="left"/>
      <w:pPr>
        <w:ind w:left="5038" w:hanging="251"/>
      </w:pPr>
      <w:rPr>
        <w:rFonts w:hint="default"/>
        <w:lang w:val="en-gb" w:eastAsia="en-US" w:bidi="ar-SA"/>
      </w:rPr>
    </w:lvl>
    <w:lvl w:ilvl="8">
      <w:start w:val="0"/>
      <w:numFmt w:val="bullet"/>
      <w:lvlText w:val="•"/>
      <w:lvlJc w:val="left"/>
      <w:pPr>
        <w:ind w:left="5612" w:hanging="251"/>
      </w:pPr>
      <w:rPr>
        <w:rFonts w:hint="default"/>
        <w:lang w:val="en-gb" w:eastAsia="en-US" w:bidi="ar-SA"/>
      </w:rPr>
    </w:lvl>
  </w:abstractNum>
  <w:abstractNum w:abstractNumId="22">
    <w:multiLevelType w:val="hybridMultilevel"/>
    <w:lvl w:ilvl="0">
      <w:start w:val="1"/>
      <w:numFmt w:val="decimal"/>
      <w:lvlText w:val="%1"/>
      <w:lvlJc w:val="left"/>
      <w:pPr>
        <w:ind w:left="101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594" w:hanging="251"/>
      </w:pPr>
      <w:rPr>
        <w:rFonts w:hint="default"/>
        <w:lang w:val="en-gb" w:eastAsia="en-US" w:bidi="ar-SA"/>
      </w:rPr>
    </w:lvl>
    <w:lvl w:ilvl="2">
      <w:start w:val="0"/>
      <w:numFmt w:val="bullet"/>
      <w:lvlText w:val="•"/>
      <w:lvlJc w:val="left"/>
      <w:pPr>
        <w:ind w:left="2168" w:hanging="251"/>
      </w:pPr>
      <w:rPr>
        <w:rFonts w:hint="default"/>
        <w:lang w:val="en-gb" w:eastAsia="en-US" w:bidi="ar-SA"/>
      </w:rPr>
    </w:lvl>
    <w:lvl w:ilvl="3">
      <w:start w:val="0"/>
      <w:numFmt w:val="bullet"/>
      <w:lvlText w:val="•"/>
      <w:lvlJc w:val="left"/>
      <w:pPr>
        <w:ind w:left="2742" w:hanging="251"/>
      </w:pPr>
      <w:rPr>
        <w:rFonts w:hint="default"/>
        <w:lang w:val="en-gb" w:eastAsia="en-US" w:bidi="ar-SA"/>
      </w:rPr>
    </w:lvl>
    <w:lvl w:ilvl="4">
      <w:start w:val="0"/>
      <w:numFmt w:val="bullet"/>
      <w:lvlText w:val="•"/>
      <w:lvlJc w:val="left"/>
      <w:pPr>
        <w:ind w:left="3316" w:hanging="251"/>
      </w:pPr>
      <w:rPr>
        <w:rFonts w:hint="default"/>
        <w:lang w:val="en-gb" w:eastAsia="en-US" w:bidi="ar-SA"/>
      </w:rPr>
    </w:lvl>
    <w:lvl w:ilvl="5">
      <w:start w:val="0"/>
      <w:numFmt w:val="bullet"/>
      <w:lvlText w:val="•"/>
      <w:lvlJc w:val="left"/>
      <w:pPr>
        <w:ind w:left="3890" w:hanging="251"/>
      </w:pPr>
      <w:rPr>
        <w:rFonts w:hint="default"/>
        <w:lang w:val="en-gb" w:eastAsia="en-US" w:bidi="ar-SA"/>
      </w:rPr>
    </w:lvl>
    <w:lvl w:ilvl="6">
      <w:start w:val="0"/>
      <w:numFmt w:val="bullet"/>
      <w:lvlText w:val="•"/>
      <w:lvlJc w:val="left"/>
      <w:pPr>
        <w:ind w:left="4464" w:hanging="251"/>
      </w:pPr>
      <w:rPr>
        <w:rFonts w:hint="default"/>
        <w:lang w:val="en-gb" w:eastAsia="en-US" w:bidi="ar-SA"/>
      </w:rPr>
    </w:lvl>
    <w:lvl w:ilvl="7">
      <w:start w:val="0"/>
      <w:numFmt w:val="bullet"/>
      <w:lvlText w:val="•"/>
      <w:lvlJc w:val="left"/>
      <w:pPr>
        <w:ind w:left="5038" w:hanging="251"/>
      </w:pPr>
      <w:rPr>
        <w:rFonts w:hint="default"/>
        <w:lang w:val="en-gb" w:eastAsia="en-US" w:bidi="ar-SA"/>
      </w:rPr>
    </w:lvl>
    <w:lvl w:ilvl="8">
      <w:start w:val="0"/>
      <w:numFmt w:val="bullet"/>
      <w:lvlText w:val="•"/>
      <w:lvlJc w:val="left"/>
      <w:pPr>
        <w:ind w:left="5612" w:hanging="251"/>
      </w:pPr>
      <w:rPr>
        <w:rFonts w:hint="default"/>
        <w:lang w:val="en-gb" w:eastAsia="en-US" w:bidi="ar-SA"/>
      </w:rPr>
    </w:lvl>
  </w:abstractNum>
  <w:abstractNum w:abstractNumId="21">
    <w:multiLevelType w:val="hybridMultilevel"/>
    <w:lvl w:ilvl="0">
      <w:start w:val="1"/>
      <w:numFmt w:val="decimal"/>
      <w:lvlText w:val="%1."/>
      <w:lvlJc w:val="left"/>
      <w:pPr>
        <w:ind w:left="122" w:hanging="123"/>
        <w:jc w:val="left"/>
      </w:pPr>
      <w:rPr>
        <w:rFonts w:hint="default" w:ascii="Arial" w:hAnsi="Arial" w:eastAsia="Arial" w:cs="Arial"/>
        <w:b w:val="0"/>
        <w:bCs w:val="0"/>
        <w:i w:val="0"/>
        <w:iCs w:val="0"/>
        <w:color w:val="231F20"/>
        <w:w w:val="61"/>
        <w:sz w:val="8"/>
        <w:szCs w:val="8"/>
        <w:lang w:val="en-gb" w:eastAsia="en-US" w:bidi="ar-SA"/>
      </w:rPr>
    </w:lvl>
    <w:lvl w:ilvl="1">
      <w:start w:val="0"/>
      <w:numFmt w:val="bullet"/>
      <w:lvlText w:val="•"/>
      <w:lvlJc w:val="left"/>
      <w:pPr>
        <w:ind w:left="217" w:hanging="123"/>
      </w:pPr>
      <w:rPr>
        <w:rFonts w:hint="default"/>
        <w:lang w:val="en-gb" w:eastAsia="en-US" w:bidi="ar-SA"/>
      </w:rPr>
    </w:lvl>
    <w:lvl w:ilvl="2">
      <w:start w:val="0"/>
      <w:numFmt w:val="bullet"/>
      <w:lvlText w:val="•"/>
      <w:lvlJc w:val="left"/>
      <w:pPr>
        <w:ind w:left="314" w:hanging="123"/>
      </w:pPr>
      <w:rPr>
        <w:rFonts w:hint="default"/>
        <w:lang w:val="en-gb" w:eastAsia="en-US" w:bidi="ar-SA"/>
      </w:rPr>
    </w:lvl>
    <w:lvl w:ilvl="3">
      <w:start w:val="0"/>
      <w:numFmt w:val="bullet"/>
      <w:lvlText w:val="•"/>
      <w:lvlJc w:val="left"/>
      <w:pPr>
        <w:ind w:left="412" w:hanging="123"/>
      </w:pPr>
      <w:rPr>
        <w:rFonts w:hint="default"/>
        <w:lang w:val="en-gb" w:eastAsia="en-US" w:bidi="ar-SA"/>
      </w:rPr>
    </w:lvl>
    <w:lvl w:ilvl="4">
      <w:start w:val="0"/>
      <w:numFmt w:val="bullet"/>
      <w:lvlText w:val="•"/>
      <w:lvlJc w:val="left"/>
      <w:pPr>
        <w:ind w:left="509" w:hanging="123"/>
      </w:pPr>
      <w:rPr>
        <w:rFonts w:hint="default"/>
        <w:lang w:val="en-gb" w:eastAsia="en-US" w:bidi="ar-SA"/>
      </w:rPr>
    </w:lvl>
    <w:lvl w:ilvl="5">
      <w:start w:val="0"/>
      <w:numFmt w:val="bullet"/>
      <w:lvlText w:val="•"/>
      <w:lvlJc w:val="left"/>
      <w:pPr>
        <w:ind w:left="606" w:hanging="123"/>
      </w:pPr>
      <w:rPr>
        <w:rFonts w:hint="default"/>
        <w:lang w:val="en-gb" w:eastAsia="en-US" w:bidi="ar-SA"/>
      </w:rPr>
    </w:lvl>
    <w:lvl w:ilvl="6">
      <w:start w:val="0"/>
      <w:numFmt w:val="bullet"/>
      <w:lvlText w:val="•"/>
      <w:lvlJc w:val="left"/>
      <w:pPr>
        <w:ind w:left="704" w:hanging="123"/>
      </w:pPr>
      <w:rPr>
        <w:rFonts w:hint="default"/>
        <w:lang w:val="en-gb" w:eastAsia="en-US" w:bidi="ar-SA"/>
      </w:rPr>
    </w:lvl>
    <w:lvl w:ilvl="7">
      <w:start w:val="0"/>
      <w:numFmt w:val="bullet"/>
      <w:lvlText w:val="•"/>
      <w:lvlJc w:val="left"/>
      <w:pPr>
        <w:ind w:left="801" w:hanging="123"/>
      </w:pPr>
      <w:rPr>
        <w:rFonts w:hint="default"/>
        <w:lang w:val="en-gb" w:eastAsia="en-US" w:bidi="ar-SA"/>
      </w:rPr>
    </w:lvl>
    <w:lvl w:ilvl="8">
      <w:start w:val="0"/>
      <w:numFmt w:val="bullet"/>
      <w:lvlText w:val="•"/>
      <w:lvlJc w:val="left"/>
      <w:pPr>
        <w:ind w:left="898" w:hanging="123"/>
      </w:pPr>
      <w:rPr>
        <w:rFonts w:hint="default"/>
        <w:lang w:val="en-gb" w:eastAsia="en-US" w:bidi="ar-SA"/>
      </w:rPr>
    </w:lvl>
  </w:abstractNum>
  <w:abstractNum w:abstractNumId="20">
    <w:multiLevelType w:val="hybridMultilevel"/>
    <w:lvl w:ilvl="0">
      <w:start w:val="1"/>
      <w:numFmt w:val="decimal"/>
      <w:lvlText w:val="%1."/>
      <w:lvlJc w:val="left"/>
      <w:pPr>
        <w:ind w:left="122" w:hanging="123"/>
        <w:jc w:val="left"/>
      </w:pPr>
      <w:rPr>
        <w:rFonts w:hint="default" w:ascii="Arial" w:hAnsi="Arial" w:eastAsia="Arial" w:cs="Arial"/>
        <w:b w:val="0"/>
        <w:bCs w:val="0"/>
        <w:i w:val="0"/>
        <w:iCs w:val="0"/>
        <w:color w:val="231F20"/>
        <w:w w:val="61"/>
        <w:sz w:val="8"/>
        <w:szCs w:val="8"/>
        <w:lang w:val="en-gb" w:eastAsia="en-US" w:bidi="ar-SA"/>
      </w:rPr>
    </w:lvl>
    <w:lvl w:ilvl="1">
      <w:start w:val="0"/>
      <w:numFmt w:val="bullet"/>
      <w:lvlText w:val="•"/>
      <w:lvlJc w:val="left"/>
      <w:pPr>
        <w:ind w:left="201" w:hanging="123"/>
      </w:pPr>
      <w:rPr>
        <w:rFonts w:hint="default"/>
        <w:lang w:val="en-gb" w:eastAsia="en-US" w:bidi="ar-SA"/>
      </w:rPr>
    </w:lvl>
    <w:lvl w:ilvl="2">
      <w:start w:val="0"/>
      <w:numFmt w:val="bullet"/>
      <w:lvlText w:val="•"/>
      <w:lvlJc w:val="left"/>
      <w:pPr>
        <w:ind w:left="283" w:hanging="123"/>
      </w:pPr>
      <w:rPr>
        <w:rFonts w:hint="default"/>
        <w:lang w:val="en-gb" w:eastAsia="en-US" w:bidi="ar-SA"/>
      </w:rPr>
    </w:lvl>
    <w:lvl w:ilvl="3">
      <w:start w:val="0"/>
      <w:numFmt w:val="bullet"/>
      <w:lvlText w:val="•"/>
      <w:lvlJc w:val="left"/>
      <w:pPr>
        <w:ind w:left="365" w:hanging="123"/>
      </w:pPr>
      <w:rPr>
        <w:rFonts w:hint="default"/>
        <w:lang w:val="en-gb" w:eastAsia="en-US" w:bidi="ar-SA"/>
      </w:rPr>
    </w:lvl>
    <w:lvl w:ilvl="4">
      <w:start w:val="0"/>
      <w:numFmt w:val="bullet"/>
      <w:lvlText w:val="•"/>
      <w:lvlJc w:val="left"/>
      <w:pPr>
        <w:ind w:left="447" w:hanging="123"/>
      </w:pPr>
      <w:rPr>
        <w:rFonts w:hint="default"/>
        <w:lang w:val="en-gb" w:eastAsia="en-US" w:bidi="ar-SA"/>
      </w:rPr>
    </w:lvl>
    <w:lvl w:ilvl="5">
      <w:start w:val="0"/>
      <w:numFmt w:val="bullet"/>
      <w:lvlText w:val="•"/>
      <w:lvlJc w:val="left"/>
      <w:pPr>
        <w:ind w:left="528" w:hanging="123"/>
      </w:pPr>
      <w:rPr>
        <w:rFonts w:hint="default"/>
        <w:lang w:val="en-gb" w:eastAsia="en-US" w:bidi="ar-SA"/>
      </w:rPr>
    </w:lvl>
    <w:lvl w:ilvl="6">
      <w:start w:val="0"/>
      <w:numFmt w:val="bullet"/>
      <w:lvlText w:val="•"/>
      <w:lvlJc w:val="left"/>
      <w:pPr>
        <w:ind w:left="610" w:hanging="123"/>
      </w:pPr>
      <w:rPr>
        <w:rFonts w:hint="default"/>
        <w:lang w:val="en-gb" w:eastAsia="en-US" w:bidi="ar-SA"/>
      </w:rPr>
    </w:lvl>
    <w:lvl w:ilvl="7">
      <w:start w:val="0"/>
      <w:numFmt w:val="bullet"/>
      <w:lvlText w:val="•"/>
      <w:lvlJc w:val="left"/>
      <w:pPr>
        <w:ind w:left="692" w:hanging="123"/>
      </w:pPr>
      <w:rPr>
        <w:rFonts w:hint="default"/>
        <w:lang w:val="en-gb" w:eastAsia="en-US" w:bidi="ar-SA"/>
      </w:rPr>
    </w:lvl>
    <w:lvl w:ilvl="8">
      <w:start w:val="0"/>
      <w:numFmt w:val="bullet"/>
      <w:lvlText w:val="•"/>
      <w:lvlJc w:val="left"/>
      <w:pPr>
        <w:ind w:left="774" w:hanging="123"/>
      </w:pPr>
      <w:rPr>
        <w:rFonts w:hint="default"/>
        <w:lang w:val="en-gb" w:eastAsia="en-US" w:bidi="ar-SA"/>
      </w:rPr>
    </w:lvl>
  </w:abstractNum>
  <w:abstractNum w:abstractNumId="19">
    <w:multiLevelType w:val="hybridMultilevel"/>
    <w:lvl w:ilvl="0">
      <w:start w:val="1"/>
      <w:numFmt w:val="decimal"/>
      <w:lvlText w:val="%1."/>
      <w:lvlJc w:val="left"/>
      <w:pPr>
        <w:ind w:left="122" w:hanging="123"/>
        <w:jc w:val="left"/>
      </w:pPr>
      <w:rPr>
        <w:rFonts w:hint="default" w:ascii="Arial" w:hAnsi="Arial" w:eastAsia="Arial" w:cs="Arial"/>
        <w:b w:val="0"/>
        <w:bCs w:val="0"/>
        <w:i w:val="0"/>
        <w:iCs w:val="0"/>
        <w:color w:val="231F20"/>
        <w:w w:val="61"/>
        <w:sz w:val="8"/>
        <w:szCs w:val="8"/>
        <w:lang w:val="en-gb" w:eastAsia="en-US" w:bidi="ar-SA"/>
      </w:rPr>
    </w:lvl>
    <w:lvl w:ilvl="1">
      <w:start w:val="0"/>
      <w:numFmt w:val="bullet"/>
      <w:lvlText w:val="•"/>
      <w:lvlJc w:val="left"/>
      <w:pPr>
        <w:ind w:left="261" w:hanging="123"/>
      </w:pPr>
      <w:rPr>
        <w:rFonts w:hint="default"/>
        <w:lang w:val="en-gb" w:eastAsia="en-US" w:bidi="ar-SA"/>
      </w:rPr>
    </w:lvl>
    <w:lvl w:ilvl="2">
      <w:start w:val="0"/>
      <w:numFmt w:val="bullet"/>
      <w:lvlText w:val="•"/>
      <w:lvlJc w:val="left"/>
      <w:pPr>
        <w:ind w:left="402" w:hanging="123"/>
      </w:pPr>
      <w:rPr>
        <w:rFonts w:hint="default"/>
        <w:lang w:val="en-gb" w:eastAsia="en-US" w:bidi="ar-SA"/>
      </w:rPr>
    </w:lvl>
    <w:lvl w:ilvl="3">
      <w:start w:val="0"/>
      <w:numFmt w:val="bullet"/>
      <w:lvlText w:val="•"/>
      <w:lvlJc w:val="left"/>
      <w:pPr>
        <w:ind w:left="543" w:hanging="123"/>
      </w:pPr>
      <w:rPr>
        <w:rFonts w:hint="default"/>
        <w:lang w:val="en-gb" w:eastAsia="en-US" w:bidi="ar-SA"/>
      </w:rPr>
    </w:lvl>
    <w:lvl w:ilvl="4">
      <w:start w:val="0"/>
      <w:numFmt w:val="bullet"/>
      <w:lvlText w:val="•"/>
      <w:lvlJc w:val="left"/>
      <w:pPr>
        <w:ind w:left="684" w:hanging="123"/>
      </w:pPr>
      <w:rPr>
        <w:rFonts w:hint="default"/>
        <w:lang w:val="en-gb" w:eastAsia="en-US" w:bidi="ar-SA"/>
      </w:rPr>
    </w:lvl>
    <w:lvl w:ilvl="5">
      <w:start w:val="0"/>
      <w:numFmt w:val="bullet"/>
      <w:lvlText w:val="•"/>
      <w:lvlJc w:val="left"/>
      <w:pPr>
        <w:ind w:left="825" w:hanging="123"/>
      </w:pPr>
      <w:rPr>
        <w:rFonts w:hint="default"/>
        <w:lang w:val="en-gb" w:eastAsia="en-US" w:bidi="ar-SA"/>
      </w:rPr>
    </w:lvl>
    <w:lvl w:ilvl="6">
      <w:start w:val="0"/>
      <w:numFmt w:val="bullet"/>
      <w:lvlText w:val="•"/>
      <w:lvlJc w:val="left"/>
      <w:pPr>
        <w:ind w:left="966" w:hanging="123"/>
      </w:pPr>
      <w:rPr>
        <w:rFonts w:hint="default"/>
        <w:lang w:val="en-gb" w:eastAsia="en-US" w:bidi="ar-SA"/>
      </w:rPr>
    </w:lvl>
    <w:lvl w:ilvl="7">
      <w:start w:val="0"/>
      <w:numFmt w:val="bullet"/>
      <w:lvlText w:val="•"/>
      <w:lvlJc w:val="left"/>
      <w:pPr>
        <w:ind w:left="1107" w:hanging="123"/>
      </w:pPr>
      <w:rPr>
        <w:rFonts w:hint="default"/>
        <w:lang w:val="en-gb" w:eastAsia="en-US" w:bidi="ar-SA"/>
      </w:rPr>
    </w:lvl>
    <w:lvl w:ilvl="8">
      <w:start w:val="0"/>
      <w:numFmt w:val="bullet"/>
      <w:lvlText w:val="•"/>
      <w:lvlJc w:val="left"/>
      <w:pPr>
        <w:ind w:left="1248" w:hanging="123"/>
      </w:pPr>
      <w:rPr>
        <w:rFonts w:hint="default"/>
        <w:lang w:val="en-gb" w:eastAsia="en-US" w:bidi="ar-SA"/>
      </w:rPr>
    </w:lvl>
  </w:abstractNum>
  <w:abstractNum w:abstractNumId="18">
    <w:multiLevelType w:val="hybridMultilevel"/>
    <w:lvl w:ilvl="0">
      <w:start w:val="0"/>
      <w:numFmt w:val="bullet"/>
      <w:lvlText w:val="•"/>
      <w:lvlJc w:val="left"/>
      <w:pPr>
        <w:ind w:left="750" w:hanging="251"/>
      </w:pPr>
      <w:rPr>
        <w:rFonts w:hint="default" w:ascii="Arial" w:hAnsi="Arial" w:eastAsia="Arial" w:cs="Arial"/>
        <w:b w:val="0"/>
        <w:bCs w:val="0"/>
        <w:i w:val="0"/>
        <w:iCs w:val="0"/>
        <w:color w:val="231F20"/>
        <w:w w:val="107"/>
        <w:sz w:val="17"/>
        <w:szCs w:val="17"/>
        <w:lang w:val="en-gb" w:eastAsia="en-US" w:bidi="ar-SA"/>
      </w:rPr>
    </w:lvl>
    <w:lvl w:ilvl="1">
      <w:start w:val="0"/>
      <w:numFmt w:val="bullet"/>
      <w:lvlText w:val="•"/>
      <w:lvlJc w:val="left"/>
      <w:pPr>
        <w:ind w:left="1259" w:hanging="251"/>
      </w:pPr>
      <w:rPr>
        <w:rFonts w:hint="default"/>
        <w:lang w:val="en-gb" w:eastAsia="en-US" w:bidi="ar-SA"/>
      </w:rPr>
    </w:lvl>
    <w:lvl w:ilvl="2">
      <w:start w:val="0"/>
      <w:numFmt w:val="bullet"/>
      <w:lvlText w:val="•"/>
      <w:lvlJc w:val="left"/>
      <w:pPr>
        <w:ind w:left="1758" w:hanging="251"/>
      </w:pPr>
      <w:rPr>
        <w:rFonts w:hint="default"/>
        <w:lang w:val="en-gb" w:eastAsia="en-US" w:bidi="ar-SA"/>
      </w:rPr>
    </w:lvl>
    <w:lvl w:ilvl="3">
      <w:start w:val="0"/>
      <w:numFmt w:val="bullet"/>
      <w:lvlText w:val="•"/>
      <w:lvlJc w:val="left"/>
      <w:pPr>
        <w:ind w:left="2257" w:hanging="251"/>
      </w:pPr>
      <w:rPr>
        <w:rFonts w:hint="default"/>
        <w:lang w:val="en-gb" w:eastAsia="en-US" w:bidi="ar-SA"/>
      </w:rPr>
    </w:lvl>
    <w:lvl w:ilvl="4">
      <w:start w:val="0"/>
      <w:numFmt w:val="bullet"/>
      <w:lvlText w:val="•"/>
      <w:lvlJc w:val="left"/>
      <w:pPr>
        <w:ind w:left="2756" w:hanging="251"/>
      </w:pPr>
      <w:rPr>
        <w:rFonts w:hint="default"/>
        <w:lang w:val="en-gb" w:eastAsia="en-US" w:bidi="ar-SA"/>
      </w:rPr>
    </w:lvl>
    <w:lvl w:ilvl="5">
      <w:start w:val="0"/>
      <w:numFmt w:val="bullet"/>
      <w:lvlText w:val="•"/>
      <w:lvlJc w:val="left"/>
      <w:pPr>
        <w:ind w:left="3255" w:hanging="251"/>
      </w:pPr>
      <w:rPr>
        <w:rFonts w:hint="default"/>
        <w:lang w:val="en-gb" w:eastAsia="en-US" w:bidi="ar-SA"/>
      </w:rPr>
    </w:lvl>
    <w:lvl w:ilvl="6">
      <w:start w:val="0"/>
      <w:numFmt w:val="bullet"/>
      <w:lvlText w:val="•"/>
      <w:lvlJc w:val="left"/>
      <w:pPr>
        <w:ind w:left="3754" w:hanging="251"/>
      </w:pPr>
      <w:rPr>
        <w:rFonts w:hint="default"/>
        <w:lang w:val="en-gb" w:eastAsia="en-US" w:bidi="ar-SA"/>
      </w:rPr>
    </w:lvl>
    <w:lvl w:ilvl="7">
      <w:start w:val="0"/>
      <w:numFmt w:val="bullet"/>
      <w:lvlText w:val="•"/>
      <w:lvlJc w:val="left"/>
      <w:pPr>
        <w:ind w:left="4253" w:hanging="251"/>
      </w:pPr>
      <w:rPr>
        <w:rFonts w:hint="default"/>
        <w:lang w:val="en-gb" w:eastAsia="en-US" w:bidi="ar-SA"/>
      </w:rPr>
    </w:lvl>
    <w:lvl w:ilvl="8">
      <w:start w:val="0"/>
      <w:numFmt w:val="bullet"/>
      <w:lvlText w:val="•"/>
      <w:lvlJc w:val="left"/>
      <w:pPr>
        <w:ind w:left="4752" w:hanging="251"/>
      </w:pPr>
      <w:rPr>
        <w:rFonts w:hint="default"/>
        <w:lang w:val="en-gb" w:eastAsia="en-US" w:bidi="ar-SA"/>
      </w:rPr>
    </w:lvl>
  </w:abstractNum>
  <w:abstractNum w:abstractNumId="17">
    <w:multiLevelType w:val="hybridMultilevel"/>
    <w:lvl w:ilvl="0">
      <w:start w:val="1"/>
      <w:numFmt w:val="decimal"/>
      <w:lvlText w:val="%1"/>
      <w:lvlJc w:val="left"/>
      <w:pPr>
        <w:ind w:left="789" w:hanging="328"/>
        <w:jc w:val="right"/>
      </w:pPr>
      <w:rPr>
        <w:rFonts w:hint="default" w:ascii="Arial" w:hAnsi="Arial" w:eastAsia="Arial" w:cs="Arial"/>
        <w:b w:val="0"/>
        <w:bCs w:val="0"/>
        <w:i w:val="0"/>
        <w:iCs w:val="0"/>
        <w:color w:val="231F20"/>
        <w:w w:val="116"/>
        <w:sz w:val="12"/>
        <w:szCs w:val="12"/>
        <w:lang w:val="en-gb" w:eastAsia="en-US" w:bidi="ar-SA"/>
      </w:rPr>
    </w:lvl>
    <w:lvl w:ilvl="1">
      <w:start w:val="1"/>
      <w:numFmt w:val="lowerLetter"/>
      <w:lvlText w:val="%2)"/>
      <w:lvlJc w:val="left"/>
      <w:pPr>
        <w:ind w:left="1290" w:hanging="251"/>
        <w:jc w:val="left"/>
      </w:pPr>
      <w:rPr>
        <w:rFonts w:hint="default" w:ascii="Arial" w:hAnsi="Arial" w:eastAsia="Arial" w:cs="Arial"/>
        <w:b w:val="0"/>
        <w:bCs w:val="0"/>
        <w:i w:val="0"/>
        <w:iCs w:val="0"/>
        <w:color w:val="231F20"/>
        <w:w w:val="96"/>
        <w:sz w:val="17"/>
        <w:szCs w:val="17"/>
        <w:lang w:val="en-gb" w:eastAsia="en-US" w:bidi="ar-SA"/>
      </w:rPr>
    </w:lvl>
    <w:lvl w:ilvl="2">
      <w:start w:val="0"/>
      <w:numFmt w:val="bullet"/>
      <w:lvlText w:val="•"/>
      <w:lvlJc w:val="left"/>
      <w:pPr>
        <w:ind w:left="1953" w:hanging="251"/>
      </w:pPr>
      <w:rPr>
        <w:rFonts w:hint="default"/>
        <w:lang w:val="en-gb" w:eastAsia="en-US" w:bidi="ar-SA"/>
      </w:rPr>
    </w:lvl>
    <w:lvl w:ilvl="3">
      <w:start w:val="0"/>
      <w:numFmt w:val="bullet"/>
      <w:lvlText w:val="•"/>
      <w:lvlJc w:val="left"/>
      <w:pPr>
        <w:ind w:left="2606" w:hanging="251"/>
      </w:pPr>
      <w:rPr>
        <w:rFonts w:hint="default"/>
        <w:lang w:val="en-gb" w:eastAsia="en-US" w:bidi="ar-SA"/>
      </w:rPr>
    </w:lvl>
    <w:lvl w:ilvl="4">
      <w:start w:val="0"/>
      <w:numFmt w:val="bullet"/>
      <w:lvlText w:val="•"/>
      <w:lvlJc w:val="left"/>
      <w:pPr>
        <w:ind w:left="3260" w:hanging="251"/>
      </w:pPr>
      <w:rPr>
        <w:rFonts w:hint="default"/>
        <w:lang w:val="en-gb" w:eastAsia="en-US" w:bidi="ar-SA"/>
      </w:rPr>
    </w:lvl>
    <w:lvl w:ilvl="5">
      <w:start w:val="0"/>
      <w:numFmt w:val="bullet"/>
      <w:lvlText w:val="•"/>
      <w:lvlJc w:val="left"/>
      <w:pPr>
        <w:ind w:left="3913" w:hanging="251"/>
      </w:pPr>
      <w:rPr>
        <w:rFonts w:hint="default"/>
        <w:lang w:val="en-gb" w:eastAsia="en-US" w:bidi="ar-SA"/>
      </w:rPr>
    </w:lvl>
    <w:lvl w:ilvl="6">
      <w:start w:val="0"/>
      <w:numFmt w:val="bullet"/>
      <w:lvlText w:val="•"/>
      <w:lvlJc w:val="left"/>
      <w:pPr>
        <w:ind w:left="4566" w:hanging="251"/>
      </w:pPr>
      <w:rPr>
        <w:rFonts w:hint="default"/>
        <w:lang w:val="en-gb" w:eastAsia="en-US" w:bidi="ar-SA"/>
      </w:rPr>
    </w:lvl>
    <w:lvl w:ilvl="7">
      <w:start w:val="0"/>
      <w:numFmt w:val="bullet"/>
      <w:lvlText w:val="•"/>
      <w:lvlJc w:val="left"/>
      <w:pPr>
        <w:ind w:left="5220" w:hanging="251"/>
      </w:pPr>
      <w:rPr>
        <w:rFonts w:hint="default"/>
        <w:lang w:val="en-gb" w:eastAsia="en-US" w:bidi="ar-SA"/>
      </w:rPr>
    </w:lvl>
    <w:lvl w:ilvl="8">
      <w:start w:val="0"/>
      <w:numFmt w:val="bullet"/>
      <w:lvlText w:val="•"/>
      <w:lvlJc w:val="left"/>
      <w:pPr>
        <w:ind w:left="5873" w:hanging="251"/>
      </w:pPr>
      <w:rPr>
        <w:rFonts w:hint="default"/>
        <w:lang w:val="en-gb" w:eastAsia="en-US" w:bidi="ar-SA"/>
      </w:rPr>
    </w:lvl>
  </w:abstractNum>
  <w:abstractNum w:abstractNumId="16">
    <w:multiLevelType w:val="hybridMultilevel"/>
    <w:lvl w:ilvl="0">
      <w:start w:val="2"/>
      <w:numFmt w:val="decimal"/>
      <w:lvlText w:val="%1"/>
      <w:lvlJc w:val="left"/>
      <w:pPr>
        <w:ind w:left="870" w:hanging="278"/>
        <w:jc w:val="left"/>
      </w:pPr>
      <w:rPr>
        <w:rFonts w:hint="default"/>
        <w:lang w:val="en-gb" w:eastAsia="en-US" w:bidi="ar-SA"/>
      </w:rPr>
    </w:lvl>
    <w:lvl w:ilvl="1">
      <w:start w:val="1"/>
      <w:numFmt w:val="decimal"/>
      <w:lvlText w:val="%1.%2"/>
      <w:lvlJc w:val="left"/>
      <w:pPr>
        <w:ind w:left="870" w:hanging="278"/>
        <w:jc w:val="right"/>
      </w:pPr>
      <w:rPr>
        <w:rFonts w:hint="default" w:ascii="Arial" w:hAnsi="Arial" w:eastAsia="Arial" w:cs="Arial"/>
        <w:b w:val="0"/>
        <w:bCs w:val="0"/>
        <w:i w:val="0"/>
        <w:iCs w:val="0"/>
        <w:color w:val="231F20"/>
        <w:w w:val="81"/>
        <w:sz w:val="21"/>
        <w:szCs w:val="21"/>
        <w:lang w:val="en-gb" w:eastAsia="en-US" w:bidi="ar-SA"/>
      </w:rPr>
    </w:lvl>
    <w:lvl w:ilvl="2">
      <w:start w:val="1"/>
      <w:numFmt w:val="decimal"/>
      <w:lvlText w:val="%1.%2.%3"/>
      <w:lvlJc w:val="left"/>
      <w:pPr>
        <w:ind w:left="918" w:hanging="387"/>
        <w:jc w:val="right"/>
      </w:pPr>
      <w:rPr>
        <w:rFonts w:hint="default"/>
        <w:w w:val="88"/>
        <w:lang w:val="en-gb" w:eastAsia="en-US" w:bidi="ar-SA"/>
      </w:rPr>
    </w:lvl>
    <w:lvl w:ilvl="3">
      <w:start w:val="1"/>
      <w:numFmt w:val="decimal"/>
      <w:lvlText w:val="%4"/>
      <w:lvlJc w:val="left"/>
      <w:pPr>
        <w:ind w:left="1720" w:hanging="251"/>
        <w:jc w:val="left"/>
      </w:pPr>
      <w:rPr>
        <w:rFonts w:hint="default" w:ascii="Arial" w:hAnsi="Arial" w:eastAsia="Arial" w:cs="Arial"/>
        <w:b w:val="0"/>
        <w:bCs w:val="0"/>
        <w:i w:val="0"/>
        <w:iCs w:val="0"/>
        <w:color w:val="231F20"/>
        <w:w w:val="75"/>
        <w:sz w:val="17"/>
        <w:szCs w:val="17"/>
        <w:lang w:val="en-gb" w:eastAsia="en-US" w:bidi="ar-SA"/>
      </w:rPr>
    </w:lvl>
    <w:lvl w:ilvl="4">
      <w:start w:val="0"/>
      <w:numFmt w:val="bullet"/>
      <w:lvlText w:val="•"/>
      <w:lvlJc w:val="left"/>
      <w:pPr>
        <w:ind w:left="2480" w:hanging="251"/>
      </w:pPr>
      <w:rPr>
        <w:rFonts w:hint="default"/>
        <w:lang w:val="en-gb" w:eastAsia="en-US" w:bidi="ar-SA"/>
      </w:rPr>
    </w:lvl>
    <w:lvl w:ilvl="5">
      <w:start w:val="0"/>
      <w:numFmt w:val="bullet"/>
      <w:lvlText w:val="•"/>
      <w:lvlJc w:val="left"/>
      <w:pPr>
        <w:ind w:left="3240" w:hanging="251"/>
      </w:pPr>
      <w:rPr>
        <w:rFonts w:hint="default"/>
        <w:lang w:val="en-gb" w:eastAsia="en-US" w:bidi="ar-SA"/>
      </w:rPr>
    </w:lvl>
    <w:lvl w:ilvl="6">
      <w:start w:val="0"/>
      <w:numFmt w:val="bullet"/>
      <w:lvlText w:val="•"/>
      <w:lvlJc w:val="left"/>
      <w:pPr>
        <w:ind w:left="4000" w:hanging="251"/>
      </w:pPr>
      <w:rPr>
        <w:rFonts w:hint="default"/>
        <w:lang w:val="en-gb" w:eastAsia="en-US" w:bidi="ar-SA"/>
      </w:rPr>
    </w:lvl>
    <w:lvl w:ilvl="7">
      <w:start w:val="0"/>
      <w:numFmt w:val="bullet"/>
      <w:lvlText w:val="•"/>
      <w:lvlJc w:val="left"/>
      <w:pPr>
        <w:ind w:left="4760" w:hanging="251"/>
      </w:pPr>
      <w:rPr>
        <w:rFonts w:hint="default"/>
        <w:lang w:val="en-gb" w:eastAsia="en-US" w:bidi="ar-SA"/>
      </w:rPr>
    </w:lvl>
    <w:lvl w:ilvl="8">
      <w:start w:val="0"/>
      <w:numFmt w:val="bullet"/>
      <w:lvlText w:val="•"/>
      <w:lvlJc w:val="left"/>
      <w:pPr>
        <w:ind w:left="5520" w:hanging="251"/>
      </w:pPr>
      <w:rPr>
        <w:rFonts w:hint="default"/>
        <w:lang w:val="en-gb" w:eastAsia="en-US" w:bidi="ar-SA"/>
      </w:rPr>
    </w:lvl>
  </w:abstractNum>
  <w:abstractNum w:abstractNumId="15">
    <w:multiLevelType w:val="hybridMultilevel"/>
    <w:lvl w:ilvl="0">
      <w:start w:val="0"/>
      <w:numFmt w:val="bullet"/>
      <w:lvlText w:val="•"/>
      <w:lvlJc w:val="left"/>
      <w:pPr>
        <w:ind w:left="129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888" w:hanging="251"/>
      </w:pPr>
      <w:rPr>
        <w:rFonts w:hint="default"/>
        <w:lang w:val="en-gb" w:eastAsia="en-US" w:bidi="ar-SA"/>
      </w:rPr>
    </w:lvl>
    <w:lvl w:ilvl="2">
      <w:start w:val="0"/>
      <w:numFmt w:val="bullet"/>
      <w:lvlText w:val="•"/>
      <w:lvlJc w:val="left"/>
      <w:pPr>
        <w:ind w:left="2476" w:hanging="251"/>
      </w:pPr>
      <w:rPr>
        <w:rFonts w:hint="default"/>
        <w:lang w:val="en-gb" w:eastAsia="en-US" w:bidi="ar-SA"/>
      </w:rPr>
    </w:lvl>
    <w:lvl w:ilvl="3">
      <w:start w:val="0"/>
      <w:numFmt w:val="bullet"/>
      <w:lvlText w:val="•"/>
      <w:lvlJc w:val="left"/>
      <w:pPr>
        <w:ind w:left="3064" w:hanging="251"/>
      </w:pPr>
      <w:rPr>
        <w:rFonts w:hint="default"/>
        <w:lang w:val="en-gb" w:eastAsia="en-US" w:bidi="ar-SA"/>
      </w:rPr>
    </w:lvl>
    <w:lvl w:ilvl="4">
      <w:start w:val="0"/>
      <w:numFmt w:val="bullet"/>
      <w:lvlText w:val="•"/>
      <w:lvlJc w:val="left"/>
      <w:pPr>
        <w:ind w:left="3652" w:hanging="251"/>
      </w:pPr>
      <w:rPr>
        <w:rFonts w:hint="default"/>
        <w:lang w:val="en-gb" w:eastAsia="en-US" w:bidi="ar-SA"/>
      </w:rPr>
    </w:lvl>
    <w:lvl w:ilvl="5">
      <w:start w:val="0"/>
      <w:numFmt w:val="bullet"/>
      <w:lvlText w:val="•"/>
      <w:lvlJc w:val="left"/>
      <w:pPr>
        <w:ind w:left="4240" w:hanging="251"/>
      </w:pPr>
      <w:rPr>
        <w:rFonts w:hint="default"/>
        <w:lang w:val="en-gb" w:eastAsia="en-US" w:bidi="ar-SA"/>
      </w:rPr>
    </w:lvl>
    <w:lvl w:ilvl="6">
      <w:start w:val="0"/>
      <w:numFmt w:val="bullet"/>
      <w:lvlText w:val="•"/>
      <w:lvlJc w:val="left"/>
      <w:pPr>
        <w:ind w:left="4828" w:hanging="251"/>
      </w:pPr>
      <w:rPr>
        <w:rFonts w:hint="default"/>
        <w:lang w:val="en-gb" w:eastAsia="en-US" w:bidi="ar-SA"/>
      </w:rPr>
    </w:lvl>
    <w:lvl w:ilvl="7">
      <w:start w:val="0"/>
      <w:numFmt w:val="bullet"/>
      <w:lvlText w:val="•"/>
      <w:lvlJc w:val="left"/>
      <w:pPr>
        <w:ind w:left="5416" w:hanging="251"/>
      </w:pPr>
      <w:rPr>
        <w:rFonts w:hint="default"/>
        <w:lang w:val="en-gb" w:eastAsia="en-US" w:bidi="ar-SA"/>
      </w:rPr>
    </w:lvl>
    <w:lvl w:ilvl="8">
      <w:start w:val="0"/>
      <w:numFmt w:val="bullet"/>
      <w:lvlText w:val="•"/>
      <w:lvlJc w:val="left"/>
      <w:pPr>
        <w:ind w:left="6004" w:hanging="251"/>
      </w:pPr>
      <w:rPr>
        <w:rFonts w:hint="default"/>
        <w:lang w:val="en-gb" w:eastAsia="en-US" w:bidi="ar-SA"/>
      </w:rPr>
    </w:lvl>
  </w:abstractNum>
  <w:abstractNum w:abstractNumId="14">
    <w:multiLevelType w:val="hybridMultilevel"/>
    <w:lvl w:ilvl="0">
      <w:start w:val="1"/>
      <w:numFmt w:val="decimal"/>
      <w:lvlText w:val="%1"/>
      <w:lvlJc w:val="left"/>
      <w:pPr>
        <w:ind w:left="488" w:hanging="356"/>
        <w:jc w:val="left"/>
      </w:pPr>
      <w:rPr>
        <w:rFonts w:hint="default"/>
        <w:lang w:val="en-gb" w:eastAsia="en-US" w:bidi="ar-SA"/>
      </w:rPr>
    </w:lvl>
    <w:lvl w:ilvl="1">
      <w:start w:val="5"/>
      <w:numFmt w:val="decimal"/>
      <w:lvlText w:val="%1.%2"/>
      <w:lvlJc w:val="left"/>
      <w:pPr>
        <w:ind w:left="488" w:hanging="356"/>
        <w:jc w:val="left"/>
      </w:pPr>
      <w:rPr>
        <w:rFonts w:hint="default"/>
        <w:lang w:val="en-gb" w:eastAsia="en-US" w:bidi="ar-SA"/>
      </w:rPr>
    </w:lvl>
    <w:lvl w:ilvl="2">
      <w:start w:val="1"/>
      <w:numFmt w:val="decimal"/>
      <w:lvlText w:val="%1.%2.%3"/>
      <w:lvlJc w:val="left"/>
      <w:pPr>
        <w:ind w:left="488" w:hanging="356"/>
        <w:jc w:val="right"/>
      </w:pPr>
      <w:rPr>
        <w:rFonts w:hint="default" w:ascii="Arial" w:hAnsi="Arial" w:eastAsia="Arial" w:cs="Arial"/>
        <w:b w:val="0"/>
        <w:bCs w:val="0"/>
        <w:i w:val="0"/>
        <w:iCs w:val="0"/>
        <w:color w:val="231F20"/>
        <w:w w:val="80"/>
        <w:sz w:val="18"/>
        <w:szCs w:val="18"/>
        <w:lang w:val="en-gb" w:eastAsia="en-US" w:bidi="ar-SA"/>
      </w:rPr>
    </w:lvl>
    <w:lvl w:ilvl="3">
      <w:start w:val="0"/>
      <w:numFmt w:val="bullet"/>
      <w:lvlText w:val="•"/>
      <w:lvlJc w:val="left"/>
      <w:pPr>
        <w:ind w:left="2490" w:hanging="356"/>
      </w:pPr>
      <w:rPr>
        <w:rFonts w:hint="default"/>
        <w:lang w:val="en-gb" w:eastAsia="en-US" w:bidi="ar-SA"/>
      </w:rPr>
    </w:lvl>
    <w:lvl w:ilvl="4">
      <w:start w:val="0"/>
      <w:numFmt w:val="bullet"/>
      <w:lvlText w:val="•"/>
      <w:lvlJc w:val="left"/>
      <w:pPr>
        <w:ind w:left="3160" w:hanging="356"/>
      </w:pPr>
      <w:rPr>
        <w:rFonts w:hint="default"/>
        <w:lang w:val="en-gb" w:eastAsia="en-US" w:bidi="ar-SA"/>
      </w:rPr>
    </w:lvl>
    <w:lvl w:ilvl="5">
      <w:start w:val="0"/>
      <w:numFmt w:val="bullet"/>
      <w:lvlText w:val="•"/>
      <w:lvlJc w:val="left"/>
      <w:pPr>
        <w:ind w:left="3830" w:hanging="356"/>
      </w:pPr>
      <w:rPr>
        <w:rFonts w:hint="default"/>
        <w:lang w:val="en-gb" w:eastAsia="en-US" w:bidi="ar-SA"/>
      </w:rPr>
    </w:lvl>
    <w:lvl w:ilvl="6">
      <w:start w:val="0"/>
      <w:numFmt w:val="bullet"/>
      <w:lvlText w:val="•"/>
      <w:lvlJc w:val="left"/>
      <w:pPr>
        <w:ind w:left="4500" w:hanging="356"/>
      </w:pPr>
      <w:rPr>
        <w:rFonts w:hint="default"/>
        <w:lang w:val="en-gb" w:eastAsia="en-US" w:bidi="ar-SA"/>
      </w:rPr>
    </w:lvl>
    <w:lvl w:ilvl="7">
      <w:start w:val="0"/>
      <w:numFmt w:val="bullet"/>
      <w:lvlText w:val="•"/>
      <w:lvlJc w:val="left"/>
      <w:pPr>
        <w:ind w:left="5170" w:hanging="356"/>
      </w:pPr>
      <w:rPr>
        <w:rFonts w:hint="default"/>
        <w:lang w:val="en-gb" w:eastAsia="en-US" w:bidi="ar-SA"/>
      </w:rPr>
    </w:lvl>
    <w:lvl w:ilvl="8">
      <w:start w:val="0"/>
      <w:numFmt w:val="bullet"/>
      <w:lvlText w:val="•"/>
      <w:lvlJc w:val="left"/>
      <w:pPr>
        <w:ind w:left="5840" w:hanging="356"/>
      </w:pPr>
      <w:rPr>
        <w:rFonts w:hint="default"/>
        <w:lang w:val="en-gb" w:eastAsia="en-US" w:bidi="ar-SA"/>
      </w:rPr>
    </w:lvl>
  </w:abstractNum>
  <w:abstractNum w:abstractNumId="13">
    <w:multiLevelType w:val="hybridMultilevel"/>
    <w:lvl w:ilvl="0">
      <w:start w:val="0"/>
      <w:numFmt w:val="bullet"/>
      <w:lvlText w:val="•"/>
      <w:lvlJc w:val="left"/>
      <w:pPr>
        <w:ind w:left="129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888" w:hanging="251"/>
      </w:pPr>
      <w:rPr>
        <w:rFonts w:hint="default"/>
        <w:lang w:val="en-gb" w:eastAsia="en-US" w:bidi="ar-SA"/>
      </w:rPr>
    </w:lvl>
    <w:lvl w:ilvl="2">
      <w:start w:val="0"/>
      <w:numFmt w:val="bullet"/>
      <w:lvlText w:val="•"/>
      <w:lvlJc w:val="left"/>
      <w:pPr>
        <w:ind w:left="2476" w:hanging="251"/>
      </w:pPr>
      <w:rPr>
        <w:rFonts w:hint="default"/>
        <w:lang w:val="en-gb" w:eastAsia="en-US" w:bidi="ar-SA"/>
      </w:rPr>
    </w:lvl>
    <w:lvl w:ilvl="3">
      <w:start w:val="0"/>
      <w:numFmt w:val="bullet"/>
      <w:lvlText w:val="•"/>
      <w:lvlJc w:val="left"/>
      <w:pPr>
        <w:ind w:left="3064" w:hanging="251"/>
      </w:pPr>
      <w:rPr>
        <w:rFonts w:hint="default"/>
        <w:lang w:val="en-gb" w:eastAsia="en-US" w:bidi="ar-SA"/>
      </w:rPr>
    </w:lvl>
    <w:lvl w:ilvl="4">
      <w:start w:val="0"/>
      <w:numFmt w:val="bullet"/>
      <w:lvlText w:val="•"/>
      <w:lvlJc w:val="left"/>
      <w:pPr>
        <w:ind w:left="3652" w:hanging="251"/>
      </w:pPr>
      <w:rPr>
        <w:rFonts w:hint="default"/>
        <w:lang w:val="en-gb" w:eastAsia="en-US" w:bidi="ar-SA"/>
      </w:rPr>
    </w:lvl>
    <w:lvl w:ilvl="5">
      <w:start w:val="0"/>
      <w:numFmt w:val="bullet"/>
      <w:lvlText w:val="•"/>
      <w:lvlJc w:val="left"/>
      <w:pPr>
        <w:ind w:left="4240" w:hanging="251"/>
      </w:pPr>
      <w:rPr>
        <w:rFonts w:hint="default"/>
        <w:lang w:val="en-gb" w:eastAsia="en-US" w:bidi="ar-SA"/>
      </w:rPr>
    </w:lvl>
    <w:lvl w:ilvl="6">
      <w:start w:val="0"/>
      <w:numFmt w:val="bullet"/>
      <w:lvlText w:val="•"/>
      <w:lvlJc w:val="left"/>
      <w:pPr>
        <w:ind w:left="4828" w:hanging="251"/>
      </w:pPr>
      <w:rPr>
        <w:rFonts w:hint="default"/>
        <w:lang w:val="en-gb" w:eastAsia="en-US" w:bidi="ar-SA"/>
      </w:rPr>
    </w:lvl>
    <w:lvl w:ilvl="7">
      <w:start w:val="0"/>
      <w:numFmt w:val="bullet"/>
      <w:lvlText w:val="•"/>
      <w:lvlJc w:val="left"/>
      <w:pPr>
        <w:ind w:left="5416" w:hanging="251"/>
      </w:pPr>
      <w:rPr>
        <w:rFonts w:hint="default"/>
        <w:lang w:val="en-gb" w:eastAsia="en-US" w:bidi="ar-SA"/>
      </w:rPr>
    </w:lvl>
    <w:lvl w:ilvl="8">
      <w:start w:val="0"/>
      <w:numFmt w:val="bullet"/>
      <w:lvlText w:val="•"/>
      <w:lvlJc w:val="left"/>
      <w:pPr>
        <w:ind w:left="6004" w:hanging="251"/>
      </w:pPr>
      <w:rPr>
        <w:rFonts w:hint="default"/>
        <w:lang w:val="en-gb" w:eastAsia="en-US" w:bidi="ar-SA"/>
      </w:rPr>
    </w:lvl>
  </w:abstractNum>
  <w:abstractNum w:abstractNumId="12">
    <w:multiLevelType w:val="hybridMultilevel"/>
    <w:lvl w:ilvl="0">
      <w:start w:val="1"/>
      <w:numFmt w:val="decimal"/>
      <w:lvlText w:val="%1"/>
      <w:lvlJc w:val="left"/>
      <w:pPr>
        <w:ind w:left="1290" w:hanging="251"/>
        <w:jc w:val="left"/>
      </w:pPr>
      <w:rPr>
        <w:rFonts w:hint="default" w:ascii="Arial" w:hAnsi="Arial" w:eastAsia="Arial" w:cs="Arial"/>
        <w:b w:val="0"/>
        <w:bCs w:val="0"/>
        <w:i w:val="0"/>
        <w:iCs w:val="0"/>
        <w:color w:val="231F20"/>
        <w:w w:val="75"/>
        <w:sz w:val="17"/>
        <w:szCs w:val="17"/>
        <w:lang w:val="en-gb" w:eastAsia="en-US" w:bidi="ar-SA"/>
      </w:rPr>
    </w:lvl>
    <w:lvl w:ilvl="1">
      <w:start w:val="0"/>
      <w:numFmt w:val="bullet"/>
      <w:lvlText w:val="•"/>
      <w:lvlJc w:val="left"/>
      <w:pPr>
        <w:ind w:left="1888" w:hanging="251"/>
      </w:pPr>
      <w:rPr>
        <w:rFonts w:hint="default"/>
        <w:lang w:val="en-gb" w:eastAsia="en-US" w:bidi="ar-SA"/>
      </w:rPr>
    </w:lvl>
    <w:lvl w:ilvl="2">
      <w:start w:val="0"/>
      <w:numFmt w:val="bullet"/>
      <w:lvlText w:val="•"/>
      <w:lvlJc w:val="left"/>
      <w:pPr>
        <w:ind w:left="2476" w:hanging="251"/>
      </w:pPr>
      <w:rPr>
        <w:rFonts w:hint="default"/>
        <w:lang w:val="en-gb" w:eastAsia="en-US" w:bidi="ar-SA"/>
      </w:rPr>
    </w:lvl>
    <w:lvl w:ilvl="3">
      <w:start w:val="0"/>
      <w:numFmt w:val="bullet"/>
      <w:lvlText w:val="•"/>
      <w:lvlJc w:val="left"/>
      <w:pPr>
        <w:ind w:left="3064" w:hanging="251"/>
      </w:pPr>
      <w:rPr>
        <w:rFonts w:hint="default"/>
        <w:lang w:val="en-gb" w:eastAsia="en-US" w:bidi="ar-SA"/>
      </w:rPr>
    </w:lvl>
    <w:lvl w:ilvl="4">
      <w:start w:val="0"/>
      <w:numFmt w:val="bullet"/>
      <w:lvlText w:val="•"/>
      <w:lvlJc w:val="left"/>
      <w:pPr>
        <w:ind w:left="3652" w:hanging="251"/>
      </w:pPr>
      <w:rPr>
        <w:rFonts w:hint="default"/>
        <w:lang w:val="en-gb" w:eastAsia="en-US" w:bidi="ar-SA"/>
      </w:rPr>
    </w:lvl>
    <w:lvl w:ilvl="5">
      <w:start w:val="0"/>
      <w:numFmt w:val="bullet"/>
      <w:lvlText w:val="•"/>
      <w:lvlJc w:val="left"/>
      <w:pPr>
        <w:ind w:left="4240" w:hanging="251"/>
      </w:pPr>
      <w:rPr>
        <w:rFonts w:hint="default"/>
        <w:lang w:val="en-gb" w:eastAsia="en-US" w:bidi="ar-SA"/>
      </w:rPr>
    </w:lvl>
    <w:lvl w:ilvl="6">
      <w:start w:val="0"/>
      <w:numFmt w:val="bullet"/>
      <w:lvlText w:val="•"/>
      <w:lvlJc w:val="left"/>
      <w:pPr>
        <w:ind w:left="4828" w:hanging="251"/>
      </w:pPr>
      <w:rPr>
        <w:rFonts w:hint="default"/>
        <w:lang w:val="en-gb" w:eastAsia="en-US" w:bidi="ar-SA"/>
      </w:rPr>
    </w:lvl>
    <w:lvl w:ilvl="7">
      <w:start w:val="0"/>
      <w:numFmt w:val="bullet"/>
      <w:lvlText w:val="•"/>
      <w:lvlJc w:val="left"/>
      <w:pPr>
        <w:ind w:left="5416" w:hanging="251"/>
      </w:pPr>
      <w:rPr>
        <w:rFonts w:hint="default"/>
        <w:lang w:val="en-gb" w:eastAsia="en-US" w:bidi="ar-SA"/>
      </w:rPr>
    </w:lvl>
    <w:lvl w:ilvl="8">
      <w:start w:val="0"/>
      <w:numFmt w:val="bullet"/>
      <w:lvlText w:val="•"/>
      <w:lvlJc w:val="left"/>
      <w:pPr>
        <w:ind w:left="6004" w:hanging="251"/>
      </w:pPr>
      <w:rPr>
        <w:rFonts w:hint="default"/>
        <w:lang w:val="en-gb" w:eastAsia="en-US" w:bidi="ar-SA"/>
      </w:rPr>
    </w:lvl>
  </w:abstractNum>
  <w:abstractNum w:abstractNumId="11">
    <w:multiLevelType w:val="hybridMultilevel"/>
    <w:lvl w:ilvl="0">
      <w:start w:val="1"/>
      <w:numFmt w:val="decimal"/>
      <w:lvlText w:val="%1"/>
      <w:lvlJc w:val="left"/>
      <w:pPr>
        <w:ind w:left="789" w:hanging="328"/>
        <w:jc w:val="right"/>
      </w:pPr>
      <w:rPr>
        <w:rFonts w:hint="default" w:ascii="Arial" w:hAnsi="Arial" w:eastAsia="Arial" w:cs="Arial"/>
        <w:b w:val="0"/>
        <w:bCs w:val="0"/>
        <w:i w:val="0"/>
        <w:iCs w:val="0"/>
        <w:color w:val="231F20"/>
        <w:w w:val="116"/>
        <w:sz w:val="12"/>
        <w:szCs w:val="12"/>
        <w:lang w:val="en-gb" w:eastAsia="en-US" w:bidi="ar-SA"/>
      </w:rPr>
    </w:lvl>
    <w:lvl w:ilvl="1">
      <w:start w:val="1"/>
      <w:numFmt w:val="decimal"/>
      <w:lvlText w:val="%2"/>
      <w:lvlJc w:val="left"/>
      <w:pPr>
        <w:ind w:left="1290" w:hanging="251"/>
        <w:jc w:val="left"/>
      </w:pPr>
      <w:rPr>
        <w:rFonts w:hint="default" w:ascii="Arial" w:hAnsi="Arial" w:eastAsia="Arial" w:cs="Arial"/>
        <w:b w:val="0"/>
        <w:bCs w:val="0"/>
        <w:i w:val="0"/>
        <w:iCs w:val="0"/>
        <w:color w:val="231F20"/>
        <w:w w:val="75"/>
        <w:sz w:val="17"/>
        <w:szCs w:val="17"/>
        <w:lang w:val="en-gb" w:eastAsia="en-US" w:bidi="ar-SA"/>
      </w:rPr>
    </w:lvl>
    <w:lvl w:ilvl="2">
      <w:start w:val="0"/>
      <w:numFmt w:val="bullet"/>
      <w:lvlText w:val="•"/>
      <w:lvlJc w:val="left"/>
      <w:pPr>
        <w:ind w:left="1953" w:hanging="251"/>
      </w:pPr>
      <w:rPr>
        <w:rFonts w:hint="default"/>
        <w:lang w:val="en-gb" w:eastAsia="en-US" w:bidi="ar-SA"/>
      </w:rPr>
    </w:lvl>
    <w:lvl w:ilvl="3">
      <w:start w:val="0"/>
      <w:numFmt w:val="bullet"/>
      <w:lvlText w:val="•"/>
      <w:lvlJc w:val="left"/>
      <w:pPr>
        <w:ind w:left="2606" w:hanging="251"/>
      </w:pPr>
      <w:rPr>
        <w:rFonts w:hint="default"/>
        <w:lang w:val="en-gb" w:eastAsia="en-US" w:bidi="ar-SA"/>
      </w:rPr>
    </w:lvl>
    <w:lvl w:ilvl="4">
      <w:start w:val="0"/>
      <w:numFmt w:val="bullet"/>
      <w:lvlText w:val="•"/>
      <w:lvlJc w:val="left"/>
      <w:pPr>
        <w:ind w:left="3260" w:hanging="251"/>
      </w:pPr>
      <w:rPr>
        <w:rFonts w:hint="default"/>
        <w:lang w:val="en-gb" w:eastAsia="en-US" w:bidi="ar-SA"/>
      </w:rPr>
    </w:lvl>
    <w:lvl w:ilvl="5">
      <w:start w:val="0"/>
      <w:numFmt w:val="bullet"/>
      <w:lvlText w:val="•"/>
      <w:lvlJc w:val="left"/>
      <w:pPr>
        <w:ind w:left="3913" w:hanging="251"/>
      </w:pPr>
      <w:rPr>
        <w:rFonts w:hint="default"/>
        <w:lang w:val="en-gb" w:eastAsia="en-US" w:bidi="ar-SA"/>
      </w:rPr>
    </w:lvl>
    <w:lvl w:ilvl="6">
      <w:start w:val="0"/>
      <w:numFmt w:val="bullet"/>
      <w:lvlText w:val="•"/>
      <w:lvlJc w:val="left"/>
      <w:pPr>
        <w:ind w:left="4566" w:hanging="251"/>
      </w:pPr>
      <w:rPr>
        <w:rFonts w:hint="default"/>
        <w:lang w:val="en-gb" w:eastAsia="en-US" w:bidi="ar-SA"/>
      </w:rPr>
    </w:lvl>
    <w:lvl w:ilvl="7">
      <w:start w:val="0"/>
      <w:numFmt w:val="bullet"/>
      <w:lvlText w:val="•"/>
      <w:lvlJc w:val="left"/>
      <w:pPr>
        <w:ind w:left="5220" w:hanging="251"/>
      </w:pPr>
      <w:rPr>
        <w:rFonts w:hint="default"/>
        <w:lang w:val="en-gb" w:eastAsia="en-US" w:bidi="ar-SA"/>
      </w:rPr>
    </w:lvl>
    <w:lvl w:ilvl="8">
      <w:start w:val="0"/>
      <w:numFmt w:val="bullet"/>
      <w:lvlText w:val="•"/>
      <w:lvlJc w:val="left"/>
      <w:pPr>
        <w:ind w:left="5873" w:hanging="251"/>
      </w:pPr>
      <w:rPr>
        <w:rFonts w:hint="default"/>
        <w:lang w:val="en-gb" w:eastAsia="en-US" w:bidi="ar-SA"/>
      </w:rPr>
    </w:lvl>
  </w:abstractNum>
  <w:abstractNum w:abstractNumId="10">
    <w:multiLevelType w:val="hybridMultilevel"/>
    <w:lvl w:ilvl="0">
      <w:start w:val="1"/>
      <w:numFmt w:val="decimal"/>
      <w:lvlText w:val="%1"/>
      <w:lvlJc w:val="left"/>
      <w:pPr>
        <w:ind w:left="870" w:hanging="255"/>
        <w:jc w:val="left"/>
      </w:pPr>
      <w:rPr>
        <w:rFonts w:hint="default"/>
        <w:lang w:val="en-gb" w:eastAsia="en-US" w:bidi="ar-SA"/>
      </w:rPr>
    </w:lvl>
    <w:lvl w:ilvl="1">
      <w:start w:val="1"/>
      <w:numFmt w:val="decimal"/>
      <w:lvlText w:val="%1.%2"/>
      <w:lvlJc w:val="left"/>
      <w:pPr>
        <w:ind w:left="870" w:hanging="255"/>
        <w:jc w:val="right"/>
      </w:pPr>
      <w:rPr>
        <w:rFonts w:hint="default" w:ascii="Arial" w:hAnsi="Arial" w:eastAsia="Arial" w:cs="Arial"/>
        <w:b w:val="0"/>
        <w:bCs w:val="0"/>
        <w:i w:val="0"/>
        <w:iCs w:val="0"/>
        <w:color w:val="231F20"/>
        <w:w w:val="73"/>
        <w:sz w:val="21"/>
        <w:szCs w:val="21"/>
        <w:lang w:val="en-gb" w:eastAsia="en-US" w:bidi="ar-SA"/>
      </w:rPr>
    </w:lvl>
    <w:lvl w:ilvl="2">
      <w:start w:val="0"/>
      <w:numFmt w:val="bullet"/>
      <w:lvlText w:val="•"/>
      <w:lvlJc w:val="left"/>
      <w:pPr>
        <w:ind w:left="168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3">
      <w:start w:val="0"/>
      <w:numFmt w:val="bullet"/>
      <w:lvlText w:val="•"/>
      <w:lvlJc w:val="left"/>
      <w:pPr>
        <w:ind w:left="2902" w:hanging="251"/>
      </w:pPr>
      <w:rPr>
        <w:rFonts w:hint="default"/>
        <w:lang w:val="en-gb" w:eastAsia="en-US" w:bidi="ar-SA"/>
      </w:rPr>
    </w:lvl>
    <w:lvl w:ilvl="4">
      <w:start w:val="0"/>
      <w:numFmt w:val="bullet"/>
      <w:lvlText w:val="•"/>
      <w:lvlJc w:val="left"/>
      <w:pPr>
        <w:ind w:left="3513" w:hanging="251"/>
      </w:pPr>
      <w:rPr>
        <w:rFonts w:hint="default"/>
        <w:lang w:val="en-gb" w:eastAsia="en-US" w:bidi="ar-SA"/>
      </w:rPr>
    </w:lvl>
    <w:lvl w:ilvl="5">
      <w:start w:val="0"/>
      <w:numFmt w:val="bullet"/>
      <w:lvlText w:val="•"/>
      <w:lvlJc w:val="left"/>
      <w:pPr>
        <w:ind w:left="4124" w:hanging="251"/>
      </w:pPr>
      <w:rPr>
        <w:rFonts w:hint="default"/>
        <w:lang w:val="en-gb" w:eastAsia="en-US" w:bidi="ar-SA"/>
      </w:rPr>
    </w:lvl>
    <w:lvl w:ilvl="6">
      <w:start w:val="0"/>
      <w:numFmt w:val="bullet"/>
      <w:lvlText w:val="•"/>
      <w:lvlJc w:val="left"/>
      <w:pPr>
        <w:ind w:left="4735" w:hanging="251"/>
      </w:pPr>
      <w:rPr>
        <w:rFonts w:hint="default"/>
        <w:lang w:val="en-gb" w:eastAsia="en-US" w:bidi="ar-SA"/>
      </w:rPr>
    </w:lvl>
    <w:lvl w:ilvl="7">
      <w:start w:val="0"/>
      <w:numFmt w:val="bullet"/>
      <w:lvlText w:val="•"/>
      <w:lvlJc w:val="left"/>
      <w:pPr>
        <w:ind w:left="5346" w:hanging="251"/>
      </w:pPr>
      <w:rPr>
        <w:rFonts w:hint="default"/>
        <w:lang w:val="en-gb" w:eastAsia="en-US" w:bidi="ar-SA"/>
      </w:rPr>
    </w:lvl>
    <w:lvl w:ilvl="8">
      <w:start w:val="0"/>
      <w:numFmt w:val="bullet"/>
      <w:lvlText w:val="•"/>
      <w:lvlJc w:val="left"/>
      <w:pPr>
        <w:ind w:left="5957" w:hanging="251"/>
      </w:pPr>
      <w:rPr>
        <w:rFonts w:hint="default"/>
        <w:lang w:val="en-gb" w:eastAsia="en-US" w:bidi="ar-SA"/>
      </w:rPr>
    </w:lvl>
  </w:abstractNum>
  <w:abstractNum w:abstractNumId="9">
    <w:multiLevelType w:val="hybridMultilevel"/>
    <w:lvl w:ilvl="0">
      <w:start w:val="0"/>
      <w:numFmt w:val="bullet"/>
      <w:lvlText w:val="•"/>
      <w:lvlJc w:val="left"/>
      <w:pPr>
        <w:ind w:left="1290" w:hanging="251"/>
      </w:pPr>
      <w:rPr>
        <w:rFonts w:hint="default" w:ascii="Times New Roman" w:hAnsi="Times New Roman" w:eastAsia="Times New Roman" w:cs="Times New Roman"/>
        <w:b w:val="0"/>
        <w:bCs w:val="0"/>
        <w:i w:val="0"/>
        <w:iCs w:val="0"/>
        <w:color w:val="231F20"/>
        <w:w w:val="109"/>
        <w:sz w:val="17"/>
        <w:szCs w:val="17"/>
        <w:lang w:val="en-gb" w:eastAsia="en-US" w:bidi="ar-SA"/>
      </w:rPr>
    </w:lvl>
    <w:lvl w:ilvl="1">
      <w:start w:val="0"/>
      <w:numFmt w:val="bullet"/>
      <w:lvlText w:val="•"/>
      <w:lvlJc w:val="left"/>
      <w:pPr>
        <w:ind w:left="1888" w:hanging="251"/>
      </w:pPr>
      <w:rPr>
        <w:rFonts w:hint="default"/>
        <w:lang w:val="en-gb" w:eastAsia="en-US" w:bidi="ar-SA"/>
      </w:rPr>
    </w:lvl>
    <w:lvl w:ilvl="2">
      <w:start w:val="0"/>
      <w:numFmt w:val="bullet"/>
      <w:lvlText w:val="•"/>
      <w:lvlJc w:val="left"/>
      <w:pPr>
        <w:ind w:left="2476" w:hanging="251"/>
      </w:pPr>
      <w:rPr>
        <w:rFonts w:hint="default"/>
        <w:lang w:val="en-gb" w:eastAsia="en-US" w:bidi="ar-SA"/>
      </w:rPr>
    </w:lvl>
    <w:lvl w:ilvl="3">
      <w:start w:val="0"/>
      <w:numFmt w:val="bullet"/>
      <w:lvlText w:val="•"/>
      <w:lvlJc w:val="left"/>
      <w:pPr>
        <w:ind w:left="3064" w:hanging="251"/>
      </w:pPr>
      <w:rPr>
        <w:rFonts w:hint="default"/>
        <w:lang w:val="en-gb" w:eastAsia="en-US" w:bidi="ar-SA"/>
      </w:rPr>
    </w:lvl>
    <w:lvl w:ilvl="4">
      <w:start w:val="0"/>
      <w:numFmt w:val="bullet"/>
      <w:lvlText w:val="•"/>
      <w:lvlJc w:val="left"/>
      <w:pPr>
        <w:ind w:left="3652" w:hanging="251"/>
      </w:pPr>
      <w:rPr>
        <w:rFonts w:hint="default"/>
        <w:lang w:val="en-gb" w:eastAsia="en-US" w:bidi="ar-SA"/>
      </w:rPr>
    </w:lvl>
    <w:lvl w:ilvl="5">
      <w:start w:val="0"/>
      <w:numFmt w:val="bullet"/>
      <w:lvlText w:val="•"/>
      <w:lvlJc w:val="left"/>
      <w:pPr>
        <w:ind w:left="4240" w:hanging="251"/>
      </w:pPr>
      <w:rPr>
        <w:rFonts w:hint="default"/>
        <w:lang w:val="en-gb" w:eastAsia="en-US" w:bidi="ar-SA"/>
      </w:rPr>
    </w:lvl>
    <w:lvl w:ilvl="6">
      <w:start w:val="0"/>
      <w:numFmt w:val="bullet"/>
      <w:lvlText w:val="•"/>
      <w:lvlJc w:val="left"/>
      <w:pPr>
        <w:ind w:left="4828" w:hanging="251"/>
      </w:pPr>
      <w:rPr>
        <w:rFonts w:hint="default"/>
        <w:lang w:val="en-gb" w:eastAsia="en-US" w:bidi="ar-SA"/>
      </w:rPr>
    </w:lvl>
    <w:lvl w:ilvl="7">
      <w:start w:val="0"/>
      <w:numFmt w:val="bullet"/>
      <w:lvlText w:val="•"/>
      <w:lvlJc w:val="left"/>
      <w:pPr>
        <w:ind w:left="5416" w:hanging="251"/>
      </w:pPr>
      <w:rPr>
        <w:rFonts w:hint="default"/>
        <w:lang w:val="en-gb" w:eastAsia="en-US" w:bidi="ar-SA"/>
      </w:rPr>
    </w:lvl>
    <w:lvl w:ilvl="8">
      <w:start w:val="0"/>
      <w:numFmt w:val="bullet"/>
      <w:lvlText w:val="•"/>
      <w:lvlJc w:val="left"/>
      <w:pPr>
        <w:ind w:left="6004" w:hanging="251"/>
      </w:pPr>
      <w:rPr>
        <w:rFonts w:hint="default"/>
        <w:lang w:val="en-gb" w:eastAsia="en-US" w:bidi="ar-SA"/>
      </w:rPr>
    </w:lvl>
  </w:abstractNum>
  <w:abstractNum w:abstractNumId="8">
    <w:multiLevelType w:val="hybridMultilevel"/>
    <w:lvl w:ilvl="0">
      <w:start w:val="3"/>
      <w:numFmt w:val="decimal"/>
      <w:lvlText w:val="%1"/>
      <w:lvlJc w:val="left"/>
      <w:pPr>
        <w:ind w:left="1403" w:hanging="224"/>
        <w:jc w:val="left"/>
      </w:pPr>
      <w:rPr>
        <w:rFonts w:hint="default"/>
        <w:lang w:val="en-gb" w:eastAsia="en-US" w:bidi="ar-SA"/>
      </w:rPr>
    </w:lvl>
    <w:lvl w:ilvl="1">
      <w:start w:val="1"/>
      <w:numFmt w:val="decimal"/>
      <w:lvlText w:val="%1.%2"/>
      <w:lvlJc w:val="left"/>
      <w:pPr>
        <w:ind w:left="1403" w:hanging="224"/>
        <w:jc w:val="left"/>
      </w:pPr>
      <w:rPr>
        <w:rFonts w:hint="default" w:ascii="Arial" w:hAnsi="Arial" w:eastAsia="Arial" w:cs="Arial"/>
        <w:b w:val="0"/>
        <w:bCs w:val="0"/>
        <w:i w:val="0"/>
        <w:iCs w:val="0"/>
        <w:color w:val="231F20"/>
        <w:w w:val="81"/>
        <w:sz w:val="17"/>
        <w:szCs w:val="17"/>
        <w:lang w:val="en-gb" w:eastAsia="en-US" w:bidi="ar-SA"/>
      </w:rPr>
    </w:lvl>
    <w:lvl w:ilvl="2">
      <w:start w:val="0"/>
      <w:numFmt w:val="bullet"/>
      <w:lvlText w:val="•"/>
      <w:lvlJc w:val="left"/>
      <w:pPr>
        <w:ind w:left="2556" w:hanging="224"/>
      </w:pPr>
      <w:rPr>
        <w:rFonts w:hint="default"/>
        <w:lang w:val="en-gb" w:eastAsia="en-US" w:bidi="ar-SA"/>
      </w:rPr>
    </w:lvl>
    <w:lvl w:ilvl="3">
      <w:start w:val="0"/>
      <w:numFmt w:val="bullet"/>
      <w:lvlText w:val="•"/>
      <w:lvlJc w:val="left"/>
      <w:pPr>
        <w:ind w:left="3134" w:hanging="224"/>
      </w:pPr>
      <w:rPr>
        <w:rFonts w:hint="default"/>
        <w:lang w:val="en-gb" w:eastAsia="en-US" w:bidi="ar-SA"/>
      </w:rPr>
    </w:lvl>
    <w:lvl w:ilvl="4">
      <w:start w:val="0"/>
      <w:numFmt w:val="bullet"/>
      <w:lvlText w:val="•"/>
      <w:lvlJc w:val="left"/>
      <w:pPr>
        <w:ind w:left="3712" w:hanging="224"/>
      </w:pPr>
      <w:rPr>
        <w:rFonts w:hint="default"/>
        <w:lang w:val="en-gb" w:eastAsia="en-US" w:bidi="ar-SA"/>
      </w:rPr>
    </w:lvl>
    <w:lvl w:ilvl="5">
      <w:start w:val="0"/>
      <w:numFmt w:val="bullet"/>
      <w:lvlText w:val="•"/>
      <w:lvlJc w:val="left"/>
      <w:pPr>
        <w:ind w:left="4290" w:hanging="224"/>
      </w:pPr>
      <w:rPr>
        <w:rFonts w:hint="default"/>
        <w:lang w:val="en-gb" w:eastAsia="en-US" w:bidi="ar-SA"/>
      </w:rPr>
    </w:lvl>
    <w:lvl w:ilvl="6">
      <w:start w:val="0"/>
      <w:numFmt w:val="bullet"/>
      <w:lvlText w:val="•"/>
      <w:lvlJc w:val="left"/>
      <w:pPr>
        <w:ind w:left="4868" w:hanging="224"/>
      </w:pPr>
      <w:rPr>
        <w:rFonts w:hint="default"/>
        <w:lang w:val="en-gb" w:eastAsia="en-US" w:bidi="ar-SA"/>
      </w:rPr>
    </w:lvl>
    <w:lvl w:ilvl="7">
      <w:start w:val="0"/>
      <w:numFmt w:val="bullet"/>
      <w:lvlText w:val="•"/>
      <w:lvlJc w:val="left"/>
      <w:pPr>
        <w:ind w:left="5446" w:hanging="224"/>
      </w:pPr>
      <w:rPr>
        <w:rFonts w:hint="default"/>
        <w:lang w:val="en-gb" w:eastAsia="en-US" w:bidi="ar-SA"/>
      </w:rPr>
    </w:lvl>
    <w:lvl w:ilvl="8">
      <w:start w:val="0"/>
      <w:numFmt w:val="bullet"/>
      <w:lvlText w:val="•"/>
      <w:lvlJc w:val="left"/>
      <w:pPr>
        <w:ind w:left="6024" w:hanging="224"/>
      </w:pPr>
      <w:rPr>
        <w:rFonts w:hint="default"/>
        <w:lang w:val="en-gb" w:eastAsia="en-US" w:bidi="ar-SA"/>
      </w:rPr>
    </w:lvl>
  </w:abstractNum>
  <w:abstractNum w:abstractNumId="7">
    <w:multiLevelType w:val="hybridMultilevel"/>
    <w:lvl w:ilvl="0">
      <w:start w:val="3"/>
      <w:numFmt w:val="decimal"/>
      <w:lvlText w:val="%1"/>
      <w:lvlJc w:val="left"/>
      <w:pPr>
        <w:ind w:left="1403" w:hanging="224"/>
        <w:jc w:val="left"/>
      </w:pPr>
      <w:rPr>
        <w:rFonts w:hint="default"/>
        <w:lang w:val="en-gb" w:eastAsia="en-US" w:bidi="ar-SA"/>
      </w:rPr>
    </w:lvl>
    <w:lvl w:ilvl="1">
      <w:start w:val="1"/>
      <w:numFmt w:val="decimal"/>
      <w:lvlText w:val="%1.%2"/>
      <w:lvlJc w:val="left"/>
      <w:pPr>
        <w:ind w:left="1403" w:hanging="224"/>
        <w:jc w:val="left"/>
      </w:pPr>
      <w:rPr>
        <w:rFonts w:hint="default" w:ascii="Arial" w:hAnsi="Arial" w:eastAsia="Arial" w:cs="Arial"/>
        <w:b w:val="0"/>
        <w:bCs w:val="0"/>
        <w:i w:val="0"/>
        <w:iCs w:val="0"/>
        <w:color w:val="231F20"/>
        <w:w w:val="81"/>
        <w:sz w:val="17"/>
        <w:szCs w:val="17"/>
        <w:lang w:val="en-gb" w:eastAsia="en-US" w:bidi="ar-SA"/>
      </w:rPr>
    </w:lvl>
    <w:lvl w:ilvl="2">
      <w:start w:val="0"/>
      <w:numFmt w:val="bullet"/>
      <w:lvlText w:val="•"/>
      <w:lvlJc w:val="left"/>
      <w:pPr>
        <w:ind w:left="2556" w:hanging="224"/>
      </w:pPr>
      <w:rPr>
        <w:rFonts w:hint="default"/>
        <w:lang w:val="en-gb" w:eastAsia="en-US" w:bidi="ar-SA"/>
      </w:rPr>
    </w:lvl>
    <w:lvl w:ilvl="3">
      <w:start w:val="0"/>
      <w:numFmt w:val="bullet"/>
      <w:lvlText w:val="•"/>
      <w:lvlJc w:val="left"/>
      <w:pPr>
        <w:ind w:left="3134" w:hanging="224"/>
      </w:pPr>
      <w:rPr>
        <w:rFonts w:hint="default"/>
        <w:lang w:val="en-gb" w:eastAsia="en-US" w:bidi="ar-SA"/>
      </w:rPr>
    </w:lvl>
    <w:lvl w:ilvl="4">
      <w:start w:val="0"/>
      <w:numFmt w:val="bullet"/>
      <w:lvlText w:val="•"/>
      <w:lvlJc w:val="left"/>
      <w:pPr>
        <w:ind w:left="3712" w:hanging="224"/>
      </w:pPr>
      <w:rPr>
        <w:rFonts w:hint="default"/>
        <w:lang w:val="en-gb" w:eastAsia="en-US" w:bidi="ar-SA"/>
      </w:rPr>
    </w:lvl>
    <w:lvl w:ilvl="5">
      <w:start w:val="0"/>
      <w:numFmt w:val="bullet"/>
      <w:lvlText w:val="•"/>
      <w:lvlJc w:val="left"/>
      <w:pPr>
        <w:ind w:left="4290" w:hanging="224"/>
      </w:pPr>
      <w:rPr>
        <w:rFonts w:hint="default"/>
        <w:lang w:val="en-gb" w:eastAsia="en-US" w:bidi="ar-SA"/>
      </w:rPr>
    </w:lvl>
    <w:lvl w:ilvl="6">
      <w:start w:val="0"/>
      <w:numFmt w:val="bullet"/>
      <w:lvlText w:val="•"/>
      <w:lvlJc w:val="left"/>
      <w:pPr>
        <w:ind w:left="4868" w:hanging="224"/>
      </w:pPr>
      <w:rPr>
        <w:rFonts w:hint="default"/>
        <w:lang w:val="en-gb" w:eastAsia="en-US" w:bidi="ar-SA"/>
      </w:rPr>
    </w:lvl>
    <w:lvl w:ilvl="7">
      <w:start w:val="0"/>
      <w:numFmt w:val="bullet"/>
      <w:lvlText w:val="•"/>
      <w:lvlJc w:val="left"/>
      <w:pPr>
        <w:ind w:left="5446" w:hanging="224"/>
      </w:pPr>
      <w:rPr>
        <w:rFonts w:hint="default"/>
        <w:lang w:val="en-gb" w:eastAsia="en-US" w:bidi="ar-SA"/>
      </w:rPr>
    </w:lvl>
    <w:lvl w:ilvl="8">
      <w:start w:val="0"/>
      <w:numFmt w:val="bullet"/>
      <w:lvlText w:val="•"/>
      <w:lvlJc w:val="left"/>
      <w:pPr>
        <w:ind w:left="6024" w:hanging="224"/>
      </w:pPr>
      <w:rPr>
        <w:rFonts w:hint="default"/>
        <w:lang w:val="en-gb" w:eastAsia="en-US" w:bidi="ar-SA"/>
      </w:rPr>
    </w:lvl>
  </w:abstractNum>
  <w:abstractNum w:abstractNumId="6">
    <w:multiLevelType w:val="hybridMultilevel"/>
    <w:lvl w:ilvl="0">
      <w:start w:val="2"/>
      <w:numFmt w:val="decimal"/>
      <w:lvlText w:val="%1"/>
      <w:lvlJc w:val="left"/>
      <w:pPr>
        <w:ind w:left="1422" w:hanging="243"/>
        <w:jc w:val="left"/>
      </w:pPr>
      <w:rPr>
        <w:rFonts w:hint="default"/>
        <w:lang w:val="en-gb" w:eastAsia="en-US" w:bidi="ar-SA"/>
      </w:rPr>
    </w:lvl>
    <w:lvl w:ilvl="1">
      <w:start w:val="3"/>
      <w:numFmt w:val="decimal"/>
      <w:lvlText w:val="%1.%2"/>
      <w:lvlJc w:val="left"/>
      <w:pPr>
        <w:ind w:left="1422" w:hanging="243"/>
        <w:jc w:val="left"/>
      </w:pPr>
      <w:rPr>
        <w:rFonts w:hint="default" w:ascii="Arial" w:hAnsi="Arial" w:eastAsia="Arial" w:cs="Arial"/>
        <w:b w:val="0"/>
        <w:bCs w:val="0"/>
        <w:i w:val="0"/>
        <w:iCs w:val="0"/>
        <w:color w:val="231F20"/>
        <w:w w:val="89"/>
        <w:sz w:val="17"/>
        <w:szCs w:val="17"/>
        <w:lang w:val="en-gb" w:eastAsia="en-US" w:bidi="ar-SA"/>
      </w:rPr>
    </w:lvl>
    <w:lvl w:ilvl="2">
      <w:start w:val="0"/>
      <w:numFmt w:val="bullet"/>
      <w:lvlText w:val="•"/>
      <w:lvlJc w:val="left"/>
      <w:pPr>
        <w:ind w:left="2572" w:hanging="243"/>
      </w:pPr>
      <w:rPr>
        <w:rFonts w:hint="default"/>
        <w:lang w:val="en-gb" w:eastAsia="en-US" w:bidi="ar-SA"/>
      </w:rPr>
    </w:lvl>
    <w:lvl w:ilvl="3">
      <w:start w:val="0"/>
      <w:numFmt w:val="bullet"/>
      <w:lvlText w:val="•"/>
      <w:lvlJc w:val="left"/>
      <w:pPr>
        <w:ind w:left="3148" w:hanging="243"/>
      </w:pPr>
      <w:rPr>
        <w:rFonts w:hint="default"/>
        <w:lang w:val="en-gb" w:eastAsia="en-US" w:bidi="ar-SA"/>
      </w:rPr>
    </w:lvl>
    <w:lvl w:ilvl="4">
      <w:start w:val="0"/>
      <w:numFmt w:val="bullet"/>
      <w:lvlText w:val="•"/>
      <w:lvlJc w:val="left"/>
      <w:pPr>
        <w:ind w:left="3724" w:hanging="243"/>
      </w:pPr>
      <w:rPr>
        <w:rFonts w:hint="default"/>
        <w:lang w:val="en-gb" w:eastAsia="en-US" w:bidi="ar-SA"/>
      </w:rPr>
    </w:lvl>
    <w:lvl w:ilvl="5">
      <w:start w:val="0"/>
      <w:numFmt w:val="bullet"/>
      <w:lvlText w:val="•"/>
      <w:lvlJc w:val="left"/>
      <w:pPr>
        <w:ind w:left="4300" w:hanging="243"/>
      </w:pPr>
      <w:rPr>
        <w:rFonts w:hint="default"/>
        <w:lang w:val="en-gb" w:eastAsia="en-US" w:bidi="ar-SA"/>
      </w:rPr>
    </w:lvl>
    <w:lvl w:ilvl="6">
      <w:start w:val="0"/>
      <w:numFmt w:val="bullet"/>
      <w:lvlText w:val="•"/>
      <w:lvlJc w:val="left"/>
      <w:pPr>
        <w:ind w:left="4876" w:hanging="243"/>
      </w:pPr>
      <w:rPr>
        <w:rFonts w:hint="default"/>
        <w:lang w:val="en-gb" w:eastAsia="en-US" w:bidi="ar-SA"/>
      </w:rPr>
    </w:lvl>
    <w:lvl w:ilvl="7">
      <w:start w:val="0"/>
      <w:numFmt w:val="bullet"/>
      <w:lvlText w:val="•"/>
      <w:lvlJc w:val="left"/>
      <w:pPr>
        <w:ind w:left="5452" w:hanging="243"/>
      </w:pPr>
      <w:rPr>
        <w:rFonts w:hint="default"/>
        <w:lang w:val="en-gb" w:eastAsia="en-US" w:bidi="ar-SA"/>
      </w:rPr>
    </w:lvl>
    <w:lvl w:ilvl="8">
      <w:start w:val="0"/>
      <w:numFmt w:val="bullet"/>
      <w:lvlText w:val="•"/>
      <w:lvlJc w:val="left"/>
      <w:pPr>
        <w:ind w:left="6028" w:hanging="243"/>
      </w:pPr>
      <w:rPr>
        <w:rFonts w:hint="default"/>
        <w:lang w:val="en-gb" w:eastAsia="en-US" w:bidi="ar-SA"/>
      </w:rPr>
    </w:lvl>
  </w:abstractNum>
  <w:abstractNum w:abstractNumId="5">
    <w:multiLevelType w:val="hybridMultilevel"/>
    <w:lvl w:ilvl="0">
      <w:start w:val="5"/>
      <w:numFmt w:val="decimal"/>
      <w:lvlText w:val="%1"/>
      <w:lvlJc w:val="left"/>
      <w:pPr>
        <w:ind w:left="2033" w:hanging="354"/>
        <w:jc w:val="left"/>
      </w:pPr>
      <w:rPr>
        <w:rFonts w:hint="default"/>
        <w:lang w:val="en-gb" w:eastAsia="en-US" w:bidi="ar-SA"/>
      </w:rPr>
    </w:lvl>
    <w:lvl w:ilvl="1">
      <w:start w:val="3"/>
      <w:numFmt w:val="decimal"/>
      <w:lvlText w:val="%1.%2"/>
      <w:lvlJc w:val="left"/>
      <w:pPr>
        <w:ind w:left="2033" w:hanging="354"/>
        <w:jc w:val="left"/>
      </w:pPr>
      <w:rPr>
        <w:rFonts w:hint="default"/>
        <w:lang w:val="en-gb" w:eastAsia="en-US" w:bidi="ar-SA"/>
      </w:rPr>
    </w:lvl>
    <w:lvl w:ilvl="2">
      <w:start w:val="1"/>
      <w:numFmt w:val="decimal"/>
      <w:lvlText w:val="%1.%2.%3"/>
      <w:lvlJc w:val="left"/>
      <w:pPr>
        <w:ind w:left="2033" w:hanging="354"/>
        <w:jc w:val="right"/>
      </w:pPr>
      <w:rPr>
        <w:rFonts w:hint="default" w:ascii="Arial" w:hAnsi="Arial" w:eastAsia="Arial" w:cs="Arial"/>
        <w:b w:val="0"/>
        <w:bCs w:val="0"/>
        <w:i w:val="0"/>
        <w:iCs w:val="0"/>
        <w:color w:val="231F20"/>
        <w:w w:val="85"/>
        <w:sz w:val="17"/>
        <w:szCs w:val="17"/>
        <w:lang w:val="en-gb" w:eastAsia="en-US" w:bidi="ar-SA"/>
      </w:rPr>
    </w:lvl>
    <w:lvl w:ilvl="3">
      <w:start w:val="0"/>
      <w:numFmt w:val="bullet"/>
      <w:lvlText w:val="•"/>
      <w:lvlJc w:val="left"/>
      <w:pPr>
        <w:ind w:left="3582" w:hanging="354"/>
      </w:pPr>
      <w:rPr>
        <w:rFonts w:hint="default"/>
        <w:lang w:val="en-gb" w:eastAsia="en-US" w:bidi="ar-SA"/>
      </w:rPr>
    </w:lvl>
    <w:lvl w:ilvl="4">
      <w:start w:val="0"/>
      <w:numFmt w:val="bullet"/>
      <w:lvlText w:val="•"/>
      <w:lvlJc w:val="left"/>
      <w:pPr>
        <w:ind w:left="4096" w:hanging="354"/>
      </w:pPr>
      <w:rPr>
        <w:rFonts w:hint="default"/>
        <w:lang w:val="en-gb" w:eastAsia="en-US" w:bidi="ar-SA"/>
      </w:rPr>
    </w:lvl>
    <w:lvl w:ilvl="5">
      <w:start w:val="0"/>
      <w:numFmt w:val="bullet"/>
      <w:lvlText w:val="•"/>
      <w:lvlJc w:val="left"/>
      <w:pPr>
        <w:ind w:left="4610" w:hanging="354"/>
      </w:pPr>
      <w:rPr>
        <w:rFonts w:hint="default"/>
        <w:lang w:val="en-gb" w:eastAsia="en-US" w:bidi="ar-SA"/>
      </w:rPr>
    </w:lvl>
    <w:lvl w:ilvl="6">
      <w:start w:val="0"/>
      <w:numFmt w:val="bullet"/>
      <w:lvlText w:val="•"/>
      <w:lvlJc w:val="left"/>
      <w:pPr>
        <w:ind w:left="5124" w:hanging="354"/>
      </w:pPr>
      <w:rPr>
        <w:rFonts w:hint="default"/>
        <w:lang w:val="en-gb" w:eastAsia="en-US" w:bidi="ar-SA"/>
      </w:rPr>
    </w:lvl>
    <w:lvl w:ilvl="7">
      <w:start w:val="0"/>
      <w:numFmt w:val="bullet"/>
      <w:lvlText w:val="•"/>
      <w:lvlJc w:val="left"/>
      <w:pPr>
        <w:ind w:left="5638" w:hanging="354"/>
      </w:pPr>
      <w:rPr>
        <w:rFonts w:hint="default"/>
        <w:lang w:val="en-gb" w:eastAsia="en-US" w:bidi="ar-SA"/>
      </w:rPr>
    </w:lvl>
    <w:lvl w:ilvl="8">
      <w:start w:val="0"/>
      <w:numFmt w:val="bullet"/>
      <w:lvlText w:val="•"/>
      <w:lvlJc w:val="left"/>
      <w:pPr>
        <w:ind w:left="6152" w:hanging="354"/>
      </w:pPr>
      <w:rPr>
        <w:rFonts w:hint="default"/>
        <w:lang w:val="en-gb" w:eastAsia="en-US" w:bidi="ar-SA"/>
      </w:rPr>
    </w:lvl>
  </w:abstractNum>
  <w:abstractNum w:abstractNumId="4">
    <w:multiLevelType w:val="hybridMultilevel"/>
    <w:lvl w:ilvl="0">
      <w:start w:val="5"/>
      <w:numFmt w:val="decimal"/>
      <w:lvlText w:val="%1"/>
      <w:lvlJc w:val="left"/>
      <w:pPr>
        <w:ind w:left="2034" w:hanging="355"/>
        <w:jc w:val="left"/>
      </w:pPr>
      <w:rPr>
        <w:rFonts w:hint="default"/>
        <w:lang w:val="en-gb" w:eastAsia="en-US" w:bidi="ar-SA"/>
      </w:rPr>
    </w:lvl>
    <w:lvl w:ilvl="1">
      <w:start w:val="2"/>
      <w:numFmt w:val="decimal"/>
      <w:lvlText w:val="%1.%2"/>
      <w:lvlJc w:val="left"/>
      <w:pPr>
        <w:ind w:left="2034" w:hanging="355"/>
        <w:jc w:val="left"/>
      </w:pPr>
      <w:rPr>
        <w:rFonts w:hint="default"/>
        <w:lang w:val="en-gb" w:eastAsia="en-US" w:bidi="ar-SA"/>
      </w:rPr>
    </w:lvl>
    <w:lvl w:ilvl="2">
      <w:start w:val="1"/>
      <w:numFmt w:val="decimal"/>
      <w:lvlText w:val="%1.%2.%3"/>
      <w:lvlJc w:val="left"/>
      <w:pPr>
        <w:ind w:left="2034" w:hanging="355"/>
        <w:jc w:val="left"/>
      </w:pPr>
      <w:rPr>
        <w:rFonts w:hint="default" w:ascii="Arial" w:hAnsi="Arial" w:eastAsia="Arial" w:cs="Arial"/>
        <w:b w:val="0"/>
        <w:bCs w:val="0"/>
        <w:i w:val="0"/>
        <w:iCs w:val="0"/>
        <w:color w:val="231F20"/>
        <w:w w:val="85"/>
        <w:sz w:val="17"/>
        <w:szCs w:val="17"/>
        <w:lang w:val="en-gb" w:eastAsia="en-US" w:bidi="ar-SA"/>
      </w:rPr>
    </w:lvl>
    <w:lvl w:ilvl="3">
      <w:start w:val="0"/>
      <w:numFmt w:val="bullet"/>
      <w:lvlText w:val="•"/>
      <w:lvlJc w:val="left"/>
      <w:pPr>
        <w:ind w:left="3582" w:hanging="355"/>
      </w:pPr>
      <w:rPr>
        <w:rFonts w:hint="default"/>
        <w:lang w:val="en-gb" w:eastAsia="en-US" w:bidi="ar-SA"/>
      </w:rPr>
    </w:lvl>
    <w:lvl w:ilvl="4">
      <w:start w:val="0"/>
      <w:numFmt w:val="bullet"/>
      <w:lvlText w:val="•"/>
      <w:lvlJc w:val="left"/>
      <w:pPr>
        <w:ind w:left="4096" w:hanging="355"/>
      </w:pPr>
      <w:rPr>
        <w:rFonts w:hint="default"/>
        <w:lang w:val="en-gb" w:eastAsia="en-US" w:bidi="ar-SA"/>
      </w:rPr>
    </w:lvl>
    <w:lvl w:ilvl="5">
      <w:start w:val="0"/>
      <w:numFmt w:val="bullet"/>
      <w:lvlText w:val="•"/>
      <w:lvlJc w:val="left"/>
      <w:pPr>
        <w:ind w:left="4610" w:hanging="355"/>
      </w:pPr>
      <w:rPr>
        <w:rFonts w:hint="default"/>
        <w:lang w:val="en-gb" w:eastAsia="en-US" w:bidi="ar-SA"/>
      </w:rPr>
    </w:lvl>
    <w:lvl w:ilvl="6">
      <w:start w:val="0"/>
      <w:numFmt w:val="bullet"/>
      <w:lvlText w:val="•"/>
      <w:lvlJc w:val="left"/>
      <w:pPr>
        <w:ind w:left="5124" w:hanging="355"/>
      </w:pPr>
      <w:rPr>
        <w:rFonts w:hint="default"/>
        <w:lang w:val="en-gb" w:eastAsia="en-US" w:bidi="ar-SA"/>
      </w:rPr>
    </w:lvl>
    <w:lvl w:ilvl="7">
      <w:start w:val="0"/>
      <w:numFmt w:val="bullet"/>
      <w:lvlText w:val="•"/>
      <w:lvlJc w:val="left"/>
      <w:pPr>
        <w:ind w:left="5638" w:hanging="355"/>
      </w:pPr>
      <w:rPr>
        <w:rFonts w:hint="default"/>
        <w:lang w:val="en-gb" w:eastAsia="en-US" w:bidi="ar-SA"/>
      </w:rPr>
    </w:lvl>
    <w:lvl w:ilvl="8">
      <w:start w:val="0"/>
      <w:numFmt w:val="bullet"/>
      <w:lvlText w:val="•"/>
      <w:lvlJc w:val="left"/>
      <w:pPr>
        <w:ind w:left="6152" w:hanging="355"/>
      </w:pPr>
      <w:rPr>
        <w:rFonts w:hint="default"/>
        <w:lang w:val="en-gb" w:eastAsia="en-US" w:bidi="ar-SA"/>
      </w:rPr>
    </w:lvl>
  </w:abstractNum>
  <w:abstractNum w:abstractNumId="3">
    <w:multiLevelType w:val="hybridMultilevel"/>
    <w:lvl w:ilvl="0">
      <w:start w:val="4"/>
      <w:numFmt w:val="decimal"/>
      <w:lvlText w:val="%1"/>
      <w:lvlJc w:val="left"/>
      <w:pPr>
        <w:ind w:left="1444" w:hanging="265"/>
        <w:jc w:val="left"/>
      </w:pPr>
      <w:rPr>
        <w:rFonts w:hint="default"/>
        <w:lang w:val="en-gb" w:eastAsia="en-US" w:bidi="ar-SA"/>
      </w:rPr>
    </w:lvl>
    <w:lvl w:ilvl="1">
      <w:start w:val="6"/>
      <w:numFmt w:val="decimal"/>
      <w:lvlText w:val="%1.%2"/>
      <w:lvlJc w:val="left"/>
      <w:pPr>
        <w:ind w:left="1444" w:hanging="265"/>
        <w:jc w:val="left"/>
      </w:pPr>
      <w:rPr>
        <w:rFonts w:hint="default" w:ascii="Arial" w:hAnsi="Arial" w:eastAsia="Arial" w:cs="Arial"/>
        <w:b w:val="0"/>
        <w:bCs w:val="0"/>
        <w:i w:val="0"/>
        <w:iCs w:val="0"/>
        <w:color w:val="231F20"/>
        <w:w w:val="98"/>
        <w:sz w:val="17"/>
        <w:szCs w:val="17"/>
        <w:lang w:val="en-gb" w:eastAsia="en-US" w:bidi="ar-SA"/>
      </w:rPr>
    </w:lvl>
    <w:lvl w:ilvl="2">
      <w:start w:val="0"/>
      <w:numFmt w:val="bullet"/>
      <w:lvlText w:val="•"/>
      <w:lvlJc w:val="left"/>
      <w:pPr>
        <w:ind w:left="2588" w:hanging="265"/>
      </w:pPr>
      <w:rPr>
        <w:rFonts w:hint="default"/>
        <w:lang w:val="en-gb" w:eastAsia="en-US" w:bidi="ar-SA"/>
      </w:rPr>
    </w:lvl>
    <w:lvl w:ilvl="3">
      <w:start w:val="0"/>
      <w:numFmt w:val="bullet"/>
      <w:lvlText w:val="•"/>
      <w:lvlJc w:val="left"/>
      <w:pPr>
        <w:ind w:left="3162" w:hanging="265"/>
      </w:pPr>
      <w:rPr>
        <w:rFonts w:hint="default"/>
        <w:lang w:val="en-gb" w:eastAsia="en-US" w:bidi="ar-SA"/>
      </w:rPr>
    </w:lvl>
    <w:lvl w:ilvl="4">
      <w:start w:val="0"/>
      <w:numFmt w:val="bullet"/>
      <w:lvlText w:val="•"/>
      <w:lvlJc w:val="left"/>
      <w:pPr>
        <w:ind w:left="3736" w:hanging="265"/>
      </w:pPr>
      <w:rPr>
        <w:rFonts w:hint="default"/>
        <w:lang w:val="en-gb" w:eastAsia="en-US" w:bidi="ar-SA"/>
      </w:rPr>
    </w:lvl>
    <w:lvl w:ilvl="5">
      <w:start w:val="0"/>
      <w:numFmt w:val="bullet"/>
      <w:lvlText w:val="•"/>
      <w:lvlJc w:val="left"/>
      <w:pPr>
        <w:ind w:left="4310" w:hanging="265"/>
      </w:pPr>
      <w:rPr>
        <w:rFonts w:hint="default"/>
        <w:lang w:val="en-gb" w:eastAsia="en-US" w:bidi="ar-SA"/>
      </w:rPr>
    </w:lvl>
    <w:lvl w:ilvl="6">
      <w:start w:val="0"/>
      <w:numFmt w:val="bullet"/>
      <w:lvlText w:val="•"/>
      <w:lvlJc w:val="left"/>
      <w:pPr>
        <w:ind w:left="4884" w:hanging="265"/>
      </w:pPr>
      <w:rPr>
        <w:rFonts w:hint="default"/>
        <w:lang w:val="en-gb" w:eastAsia="en-US" w:bidi="ar-SA"/>
      </w:rPr>
    </w:lvl>
    <w:lvl w:ilvl="7">
      <w:start w:val="0"/>
      <w:numFmt w:val="bullet"/>
      <w:lvlText w:val="•"/>
      <w:lvlJc w:val="left"/>
      <w:pPr>
        <w:ind w:left="5458" w:hanging="265"/>
      </w:pPr>
      <w:rPr>
        <w:rFonts w:hint="default"/>
        <w:lang w:val="en-gb" w:eastAsia="en-US" w:bidi="ar-SA"/>
      </w:rPr>
    </w:lvl>
    <w:lvl w:ilvl="8">
      <w:start w:val="0"/>
      <w:numFmt w:val="bullet"/>
      <w:lvlText w:val="•"/>
      <w:lvlJc w:val="left"/>
      <w:pPr>
        <w:ind w:left="6032" w:hanging="265"/>
      </w:pPr>
      <w:rPr>
        <w:rFonts w:hint="default"/>
        <w:lang w:val="en-gb" w:eastAsia="en-US" w:bidi="ar-SA"/>
      </w:rPr>
    </w:lvl>
  </w:abstractNum>
  <w:abstractNum w:abstractNumId="2">
    <w:multiLevelType w:val="hybridMultilevel"/>
    <w:lvl w:ilvl="0">
      <w:start w:val="2"/>
      <w:numFmt w:val="decimal"/>
      <w:lvlText w:val="%1"/>
      <w:lvlJc w:val="left"/>
      <w:pPr>
        <w:ind w:left="1663" w:hanging="374"/>
        <w:jc w:val="left"/>
      </w:pPr>
      <w:rPr>
        <w:rFonts w:hint="default"/>
        <w:lang w:val="en-gb" w:eastAsia="en-US" w:bidi="ar-SA"/>
      </w:rPr>
    </w:lvl>
    <w:lvl w:ilvl="1">
      <w:start w:val="3"/>
      <w:numFmt w:val="decimal"/>
      <w:lvlText w:val="%1.%2"/>
      <w:lvlJc w:val="left"/>
      <w:pPr>
        <w:ind w:left="1663" w:hanging="374"/>
        <w:jc w:val="left"/>
      </w:pPr>
      <w:rPr>
        <w:rFonts w:hint="default"/>
        <w:lang w:val="en-gb" w:eastAsia="en-US" w:bidi="ar-SA"/>
      </w:rPr>
    </w:lvl>
    <w:lvl w:ilvl="2">
      <w:start w:val="2"/>
      <w:numFmt w:val="decimal"/>
      <w:lvlText w:val="%1.%2.%3"/>
      <w:lvlJc w:val="left"/>
      <w:pPr>
        <w:ind w:left="1663" w:hanging="374"/>
        <w:jc w:val="left"/>
      </w:pPr>
      <w:rPr>
        <w:rFonts w:hint="default" w:ascii="Arial" w:hAnsi="Arial" w:eastAsia="Arial" w:cs="Arial"/>
        <w:b w:val="0"/>
        <w:bCs w:val="0"/>
        <w:i w:val="0"/>
        <w:iCs w:val="0"/>
        <w:color w:val="231F20"/>
        <w:w w:val="90"/>
        <w:sz w:val="17"/>
        <w:szCs w:val="17"/>
        <w:lang w:val="en-gb" w:eastAsia="en-US" w:bidi="ar-SA"/>
      </w:rPr>
    </w:lvl>
    <w:lvl w:ilvl="3">
      <w:start w:val="0"/>
      <w:numFmt w:val="bullet"/>
      <w:lvlText w:val="•"/>
      <w:lvlJc w:val="left"/>
      <w:pPr>
        <w:ind w:left="3316" w:hanging="374"/>
      </w:pPr>
      <w:rPr>
        <w:rFonts w:hint="default"/>
        <w:lang w:val="en-gb" w:eastAsia="en-US" w:bidi="ar-SA"/>
      </w:rPr>
    </w:lvl>
    <w:lvl w:ilvl="4">
      <w:start w:val="0"/>
      <w:numFmt w:val="bullet"/>
      <w:lvlText w:val="•"/>
      <w:lvlJc w:val="left"/>
      <w:pPr>
        <w:ind w:left="3868" w:hanging="374"/>
      </w:pPr>
      <w:rPr>
        <w:rFonts w:hint="default"/>
        <w:lang w:val="en-gb" w:eastAsia="en-US" w:bidi="ar-SA"/>
      </w:rPr>
    </w:lvl>
    <w:lvl w:ilvl="5">
      <w:start w:val="0"/>
      <w:numFmt w:val="bullet"/>
      <w:lvlText w:val="•"/>
      <w:lvlJc w:val="left"/>
      <w:pPr>
        <w:ind w:left="4420" w:hanging="374"/>
      </w:pPr>
      <w:rPr>
        <w:rFonts w:hint="default"/>
        <w:lang w:val="en-gb" w:eastAsia="en-US" w:bidi="ar-SA"/>
      </w:rPr>
    </w:lvl>
    <w:lvl w:ilvl="6">
      <w:start w:val="0"/>
      <w:numFmt w:val="bullet"/>
      <w:lvlText w:val="•"/>
      <w:lvlJc w:val="left"/>
      <w:pPr>
        <w:ind w:left="4972" w:hanging="374"/>
      </w:pPr>
      <w:rPr>
        <w:rFonts w:hint="default"/>
        <w:lang w:val="en-gb" w:eastAsia="en-US" w:bidi="ar-SA"/>
      </w:rPr>
    </w:lvl>
    <w:lvl w:ilvl="7">
      <w:start w:val="0"/>
      <w:numFmt w:val="bullet"/>
      <w:lvlText w:val="•"/>
      <w:lvlJc w:val="left"/>
      <w:pPr>
        <w:ind w:left="5524" w:hanging="374"/>
      </w:pPr>
      <w:rPr>
        <w:rFonts w:hint="default"/>
        <w:lang w:val="en-gb" w:eastAsia="en-US" w:bidi="ar-SA"/>
      </w:rPr>
    </w:lvl>
    <w:lvl w:ilvl="8">
      <w:start w:val="0"/>
      <w:numFmt w:val="bullet"/>
      <w:lvlText w:val="•"/>
      <w:lvlJc w:val="left"/>
      <w:pPr>
        <w:ind w:left="6076" w:hanging="374"/>
      </w:pPr>
      <w:rPr>
        <w:rFonts w:hint="default"/>
        <w:lang w:val="en-gb" w:eastAsia="en-US" w:bidi="ar-SA"/>
      </w:rPr>
    </w:lvl>
  </w:abstractNum>
  <w:abstractNum w:abstractNumId="1">
    <w:multiLevelType w:val="hybridMultilevel"/>
    <w:lvl w:ilvl="0">
      <w:start w:val="2"/>
      <w:numFmt w:val="decimal"/>
      <w:lvlText w:val="%1"/>
      <w:lvlJc w:val="left"/>
      <w:pPr>
        <w:ind w:left="1032" w:hanging="243"/>
        <w:jc w:val="left"/>
      </w:pPr>
      <w:rPr>
        <w:rFonts w:hint="default"/>
        <w:lang w:val="en-gb" w:eastAsia="en-US" w:bidi="ar-SA"/>
      </w:rPr>
    </w:lvl>
    <w:lvl w:ilvl="1">
      <w:start w:val="3"/>
      <w:numFmt w:val="decimal"/>
      <w:lvlText w:val="%1.%2"/>
      <w:lvlJc w:val="left"/>
      <w:pPr>
        <w:ind w:left="1032" w:hanging="243"/>
        <w:jc w:val="left"/>
      </w:pPr>
      <w:rPr>
        <w:rFonts w:hint="default" w:ascii="Arial" w:hAnsi="Arial" w:eastAsia="Arial" w:cs="Arial"/>
        <w:b w:val="0"/>
        <w:bCs w:val="0"/>
        <w:i w:val="0"/>
        <w:iCs w:val="0"/>
        <w:color w:val="231F20"/>
        <w:w w:val="89"/>
        <w:sz w:val="17"/>
        <w:szCs w:val="17"/>
        <w:lang w:val="en-gb" w:eastAsia="en-US" w:bidi="ar-SA"/>
      </w:rPr>
    </w:lvl>
    <w:lvl w:ilvl="2">
      <w:start w:val="0"/>
      <w:numFmt w:val="bullet"/>
      <w:lvlText w:val="•"/>
      <w:lvlJc w:val="left"/>
      <w:pPr>
        <w:ind w:left="2268" w:hanging="243"/>
      </w:pPr>
      <w:rPr>
        <w:rFonts w:hint="default"/>
        <w:lang w:val="en-gb" w:eastAsia="en-US" w:bidi="ar-SA"/>
      </w:rPr>
    </w:lvl>
    <w:lvl w:ilvl="3">
      <w:start w:val="0"/>
      <w:numFmt w:val="bullet"/>
      <w:lvlText w:val="•"/>
      <w:lvlJc w:val="left"/>
      <w:pPr>
        <w:ind w:left="2882" w:hanging="243"/>
      </w:pPr>
      <w:rPr>
        <w:rFonts w:hint="default"/>
        <w:lang w:val="en-gb" w:eastAsia="en-US" w:bidi="ar-SA"/>
      </w:rPr>
    </w:lvl>
    <w:lvl w:ilvl="4">
      <w:start w:val="0"/>
      <w:numFmt w:val="bullet"/>
      <w:lvlText w:val="•"/>
      <w:lvlJc w:val="left"/>
      <w:pPr>
        <w:ind w:left="3496" w:hanging="243"/>
      </w:pPr>
      <w:rPr>
        <w:rFonts w:hint="default"/>
        <w:lang w:val="en-gb" w:eastAsia="en-US" w:bidi="ar-SA"/>
      </w:rPr>
    </w:lvl>
    <w:lvl w:ilvl="5">
      <w:start w:val="0"/>
      <w:numFmt w:val="bullet"/>
      <w:lvlText w:val="•"/>
      <w:lvlJc w:val="left"/>
      <w:pPr>
        <w:ind w:left="4110" w:hanging="243"/>
      </w:pPr>
      <w:rPr>
        <w:rFonts w:hint="default"/>
        <w:lang w:val="en-gb" w:eastAsia="en-US" w:bidi="ar-SA"/>
      </w:rPr>
    </w:lvl>
    <w:lvl w:ilvl="6">
      <w:start w:val="0"/>
      <w:numFmt w:val="bullet"/>
      <w:lvlText w:val="•"/>
      <w:lvlJc w:val="left"/>
      <w:pPr>
        <w:ind w:left="4724" w:hanging="243"/>
      </w:pPr>
      <w:rPr>
        <w:rFonts w:hint="default"/>
        <w:lang w:val="en-gb" w:eastAsia="en-US" w:bidi="ar-SA"/>
      </w:rPr>
    </w:lvl>
    <w:lvl w:ilvl="7">
      <w:start w:val="0"/>
      <w:numFmt w:val="bullet"/>
      <w:lvlText w:val="•"/>
      <w:lvlJc w:val="left"/>
      <w:pPr>
        <w:ind w:left="5338" w:hanging="243"/>
      </w:pPr>
      <w:rPr>
        <w:rFonts w:hint="default"/>
        <w:lang w:val="en-gb" w:eastAsia="en-US" w:bidi="ar-SA"/>
      </w:rPr>
    </w:lvl>
    <w:lvl w:ilvl="8">
      <w:start w:val="0"/>
      <w:numFmt w:val="bullet"/>
      <w:lvlText w:val="•"/>
      <w:lvlJc w:val="left"/>
      <w:pPr>
        <w:ind w:left="5952" w:hanging="243"/>
      </w:pPr>
      <w:rPr>
        <w:rFonts w:hint="default"/>
        <w:lang w:val="en-gb" w:eastAsia="en-US" w:bidi="ar-SA"/>
      </w:rPr>
    </w:lvl>
  </w:abstractNum>
  <w:abstractNum w:abstractNumId="0">
    <w:multiLevelType w:val="hybridMultilevel"/>
    <w:lvl w:ilvl="0">
      <w:start w:val="1"/>
      <w:numFmt w:val="decimal"/>
      <w:lvlText w:val="%1"/>
      <w:lvlJc w:val="left"/>
      <w:pPr>
        <w:ind w:left="2034" w:hanging="355"/>
        <w:jc w:val="left"/>
      </w:pPr>
      <w:rPr>
        <w:rFonts w:hint="default"/>
        <w:lang w:val="en-gb" w:eastAsia="en-US" w:bidi="ar-SA"/>
      </w:rPr>
    </w:lvl>
    <w:lvl w:ilvl="1">
      <w:start w:val="5"/>
      <w:numFmt w:val="decimal"/>
      <w:lvlText w:val="%1.%2"/>
      <w:lvlJc w:val="left"/>
      <w:pPr>
        <w:ind w:left="2034" w:hanging="355"/>
        <w:jc w:val="left"/>
      </w:pPr>
      <w:rPr>
        <w:rFonts w:hint="default"/>
        <w:lang w:val="en-gb" w:eastAsia="en-US" w:bidi="ar-SA"/>
      </w:rPr>
    </w:lvl>
    <w:lvl w:ilvl="2">
      <w:start w:val="2"/>
      <w:numFmt w:val="decimal"/>
      <w:lvlText w:val="%1.%2.%3"/>
      <w:lvlJc w:val="left"/>
      <w:pPr>
        <w:ind w:left="2034" w:hanging="355"/>
        <w:jc w:val="left"/>
      </w:pPr>
      <w:rPr>
        <w:rFonts w:hint="default" w:ascii="Arial" w:hAnsi="Arial" w:eastAsia="Arial" w:cs="Arial"/>
        <w:b w:val="0"/>
        <w:bCs w:val="0"/>
        <w:i w:val="0"/>
        <w:iCs w:val="0"/>
        <w:color w:val="231F20"/>
        <w:w w:val="85"/>
        <w:sz w:val="17"/>
        <w:szCs w:val="17"/>
        <w:lang w:val="en-gb" w:eastAsia="en-US" w:bidi="ar-SA"/>
      </w:rPr>
    </w:lvl>
    <w:lvl w:ilvl="3">
      <w:start w:val="0"/>
      <w:numFmt w:val="bullet"/>
      <w:lvlText w:val="•"/>
      <w:lvlJc w:val="left"/>
      <w:pPr>
        <w:ind w:left="3582" w:hanging="355"/>
      </w:pPr>
      <w:rPr>
        <w:rFonts w:hint="default"/>
        <w:lang w:val="en-gb" w:eastAsia="en-US" w:bidi="ar-SA"/>
      </w:rPr>
    </w:lvl>
    <w:lvl w:ilvl="4">
      <w:start w:val="0"/>
      <w:numFmt w:val="bullet"/>
      <w:lvlText w:val="•"/>
      <w:lvlJc w:val="left"/>
      <w:pPr>
        <w:ind w:left="4096" w:hanging="355"/>
      </w:pPr>
      <w:rPr>
        <w:rFonts w:hint="default"/>
        <w:lang w:val="en-gb" w:eastAsia="en-US" w:bidi="ar-SA"/>
      </w:rPr>
    </w:lvl>
    <w:lvl w:ilvl="5">
      <w:start w:val="0"/>
      <w:numFmt w:val="bullet"/>
      <w:lvlText w:val="•"/>
      <w:lvlJc w:val="left"/>
      <w:pPr>
        <w:ind w:left="4610" w:hanging="355"/>
      </w:pPr>
      <w:rPr>
        <w:rFonts w:hint="default"/>
        <w:lang w:val="en-gb" w:eastAsia="en-US" w:bidi="ar-SA"/>
      </w:rPr>
    </w:lvl>
    <w:lvl w:ilvl="6">
      <w:start w:val="0"/>
      <w:numFmt w:val="bullet"/>
      <w:lvlText w:val="•"/>
      <w:lvlJc w:val="left"/>
      <w:pPr>
        <w:ind w:left="5124" w:hanging="355"/>
      </w:pPr>
      <w:rPr>
        <w:rFonts w:hint="default"/>
        <w:lang w:val="en-gb" w:eastAsia="en-US" w:bidi="ar-SA"/>
      </w:rPr>
    </w:lvl>
    <w:lvl w:ilvl="7">
      <w:start w:val="0"/>
      <w:numFmt w:val="bullet"/>
      <w:lvlText w:val="•"/>
      <w:lvlJc w:val="left"/>
      <w:pPr>
        <w:ind w:left="5638" w:hanging="355"/>
      </w:pPr>
      <w:rPr>
        <w:rFonts w:hint="default"/>
        <w:lang w:val="en-gb" w:eastAsia="en-US" w:bidi="ar-SA"/>
      </w:rPr>
    </w:lvl>
    <w:lvl w:ilvl="8">
      <w:start w:val="0"/>
      <w:numFmt w:val="bullet"/>
      <w:lvlText w:val="•"/>
      <w:lvlJc w:val="left"/>
      <w:pPr>
        <w:ind w:left="6152" w:hanging="355"/>
      </w:pPr>
      <w:rPr>
        <w:rFonts w:hint="default"/>
        <w:lang w:val="en-gb" w:eastAsia="en-US" w:bidi="ar-SA"/>
      </w:rPr>
    </w:lvl>
  </w:abstractNum>
  <w:num w:numId="42">
    <w:abstractNumId w:val="41"/>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gb" w:eastAsia="en-US" w:bidi="ar-SA"/>
    </w:rPr>
  </w:style>
  <w:style w:styleId="TOC1" w:type="paragraph">
    <w:name w:val="TOC 1"/>
    <w:basedOn w:val="Normal"/>
    <w:uiPriority w:val="1"/>
    <w:qFormat/>
    <w:pPr>
      <w:spacing w:before="103"/>
      <w:ind w:left="150"/>
      <w:jc w:val="center"/>
    </w:pPr>
    <w:rPr>
      <w:rFonts w:ascii="Arial" w:hAnsi="Arial" w:eastAsia="Arial" w:cs="Arial"/>
      <w:sz w:val="14"/>
      <w:szCs w:val="14"/>
      <w:lang w:val="en-gb" w:eastAsia="en-US" w:bidi="ar-SA"/>
    </w:rPr>
  </w:style>
  <w:style w:styleId="TOC2" w:type="paragraph">
    <w:name w:val="TOC 2"/>
    <w:basedOn w:val="Normal"/>
    <w:uiPriority w:val="1"/>
    <w:qFormat/>
    <w:pPr>
      <w:spacing w:before="44"/>
      <w:ind w:left="789"/>
    </w:pPr>
    <w:rPr>
      <w:rFonts w:ascii="Arial" w:hAnsi="Arial" w:eastAsia="Arial" w:cs="Arial"/>
      <w:b/>
      <w:bCs/>
      <w:sz w:val="18"/>
      <w:szCs w:val="18"/>
      <w:lang w:val="en-gb" w:eastAsia="en-US" w:bidi="ar-SA"/>
    </w:rPr>
  </w:style>
  <w:style w:styleId="TOC3" w:type="paragraph">
    <w:name w:val="TOC 3"/>
    <w:basedOn w:val="Normal"/>
    <w:uiPriority w:val="1"/>
    <w:qFormat/>
    <w:pPr>
      <w:spacing w:before="114"/>
      <w:ind w:left="789"/>
    </w:pPr>
    <w:rPr>
      <w:rFonts w:ascii="Times New Roman" w:hAnsi="Times New Roman" w:eastAsia="Times New Roman" w:cs="Times New Roman"/>
      <w:sz w:val="17"/>
      <w:szCs w:val="17"/>
      <w:lang w:val="en-gb" w:eastAsia="en-US" w:bidi="ar-SA"/>
    </w:rPr>
  </w:style>
  <w:style w:styleId="TOC4" w:type="paragraph">
    <w:name w:val="TOC 4"/>
    <w:basedOn w:val="Normal"/>
    <w:uiPriority w:val="1"/>
    <w:qFormat/>
    <w:pPr>
      <w:spacing w:before="43"/>
      <w:ind w:left="789"/>
    </w:pPr>
    <w:rPr>
      <w:rFonts w:ascii="Times New Roman" w:hAnsi="Times New Roman" w:eastAsia="Times New Roman" w:cs="Times New Roman"/>
      <w:b/>
      <w:bCs/>
      <w:i/>
      <w:iCs/>
      <w:lang w:val="en-gb" w:eastAsia="en-US" w:bidi="ar-SA"/>
    </w:rPr>
  </w:style>
  <w:style w:styleId="TOC5" w:type="paragraph">
    <w:name w:val="TOC 5"/>
    <w:basedOn w:val="Normal"/>
    <w:uiPriority w:val="1"/>
    <w:qFormat/>
    <w:pPr>
      <w:spacing w:before="118"/>
      <w:ind w:left="930"/>
      <w:jc w:val="center"/>
    </w:pPr>
    <w:rPr>
      <w:rFonts w:ascii="Arial" w:hAnsi="Arial" w:eastAsia="Arial" w:cs="Arial"/>
      <w:sz w:val="14"/>
      <w:szCs w:val="14"/>
      <w:lang w:val="en-gb" w:eastAsia="en-US" w:bidi="ar-SA"/>
    </w:rPr>
  </w:style>
  <w:style w:styleId="TOC6" w:type="paragraph">
    <w:name w:val="TOC 6"/>
    <w:basedOn w:val="Normal"/>
    <w:uiPriority w:val="1"/>
    <w:qFormat/>
    <w:pPr>
      <w:spacing w:before="114"/>
      <w:ind w:left="1179"/>
    </w:pPr>
    <w:rPr>
      <w:rFonts w:ascii="Times New Roman" w:hAnsi="Times New Roman" w:eastAsia="Times New Roman" w:cs="Times New Roman"/>
      <w:sz w:val="17"/>
      <w:szCs w:val="17"/>
      <w:lang w:val="en-gb" w:eastAsia="en-US" w:bidi="ar-SA"/>
    </w:rPr>
  </w:style>
  <w:style w:styleId="TOC7" w:type="paragraph">
    <w:name w:val="TOC 7"/>
    <w:basedOn w:val="Normal"/>
    <w:uiPriority w:val="1"/>
    <w:qFormat/>
    <w:pPr>
      <w:spacing w:before="44"/>
      <w:ind w:left="1180"/>
    </w:pPr>
    <w:rPr>
      <w:rFonts w:ascii="Arial" w:hAnsi="Arial" w:eastAsia="Arial" w:cs="Arial"/>
      <w:b/>
      <w:bCs/>
      <w:sz w:val="18"/>
      <w:szCs w:val="18"/>
      <w:lang w:val="en-gb" w:eastAsia="en-US" w:bidi="ar-SA"/>
    </w:rPr>
  </w:style>
  <w:style w:styleId="TOC8" w:type="paragraph">
    <w:name w:val="TOC 8"/>
    <w:basedOn w:val="Normal"/>
    <w:uiPriority w:val="1"/>
    <w:qFormat/>
    <w:pPr>
      <w:spacing w:before="304"/>
      <w:ind w:left="1180"/>
    </w:pPr>
    <w:rPr>
      <w:rFonts w:ascii="Times New Roman" w:hAnsi="Times New Roman" w:eastAsia="Times New Roman" w:cs="Times New Roman"/>
      <w:sz w:val="17"/>
      <w:szCs w:val="17"/>
      <w:lang w:val="en-gb" w:eastAsia="en-US" w:bidi="ar-SA"/>
    </w:rPr>
  </w:style>
  <w:style w:styleId="TOC9" w:type="paragraph">
    <w:name w:val="TOC 9"/>
    <w:basedOn w:val="Normal"/>
    <w:uiPriority w:val="1"/>
    <w:qFormat/>
    <w:pPr>
      <w:spacing w:before="114"/>
      <w:ind w:left="1289"/>
    </w:pPr>
    <w:rPr>
      <w:rFonts w:ascii="Times New Roman" w:hAnsi="Times New Roman" w:eastAsia="Times New Roman" w:cs="Times New Roman"/>
      <w:sz w:val="17"/>
      <w:szCs w:val="17"/>
      <w:lang w:val="en-gb" w:eastAsia="en-US" w:bidi="ar-SA"/>
    </w:rPr>
  </w:style>
  <w:style w:styleId="BodyText" w:type="paragraph">
    <w:name w:val="Body Text"/>
    <w:basedOn w:val="Normal"/>
    <w:uiPriority w:val="1"/>
    <w:qFormat/>
    <w:pPr/>
    <w:rPr>
      <w:rFonts w:ascii="Times New Roman" w:hAnsi="Times New Roman" w:eastAsia="Times New Roman" w:cs="Times New Roman"/>
      <w:sz w:val="17"/>
      <w:szCs w:val="17"/>
      <w:lang w:val="en-gb" w:eastAsia="en-US" w:bidi="ar-SA"/>
    </w:rPr>
  </w:style>
  <w:style w:styleId="Heading1" w:type="paragraph">
    <w:name w:val="Heading 1"/>
    <w:basedOn w:val="Normal"/>
    <w:uiPriority w:val="1"/>
    <w:qFormat/>
    <w:pPr>
      <w:ind w:left="1810"/>
      <w:outlineLvl w:val="1"/>
    </w:pPr>
    <w:rPr>
      <w:rFonts w:ascii="Arial" w:hAnsi="Arial" w:eastAsia="Arial" w:cs="Arial"/>
      <w:b/>
      <w:bCs/>
      <w:sz w:val="33"/>
      <w:szCs w:val="33"/>
      <w:lang w:val="en-gb" w:eastAsia="en-US" w:bidi="ar-SA"/>
    </w:rPr>
  </w:style>
  <w:style w:styleId="Heading2" w:type="paragraph">
    <w:name w:val="Heading 2"/>
    <w:basedOn w:val="Normal"/>
    <w:uiPriority w:val="1"/>
    <w:qFormat/>
    <w:pPr>
      <w:ind w:left="910"/>
      <w:outlineLvl w:val="2"/>
    </w:pPr>
    <w:rPr>
      <w:rFonts w:ascii="Arial" w:hAnsi="Arial" w:eastAsia="Arial" w:cs="Arial"/>
      <w:b/>
      <w:bCs/>
      <w:sz w:val="21"/>
      <w:szCs w:val="21"/>
      <w:lang w:val="en-gb" w:eastAsia="en-US" w:bidi="ar-SA"/>
    </w:rPr>
  </w:style>
  <w:style w:styleId="Heading3" w:type="paragraph">
    <w:name w:val="Heading 3"/>
    <w:basedOn w:val="Normal"/>
    <w:uiPriority w:val="1"/>
    <w:qFormat/>
    <w:pPr>
      <w:spacing w:before="144"/>
      <w:ind w:left="1808" w:right="698"/>
      <w:jc w:val="center"/>
      <w:outlineLvl w:val="3"/>
    </w:pPr>
    <w:rPr>
      <w:rFonts w:ascii="Arial" w:hAnsi="Arial" w:eastAsia="Arial" w:cs="Arial"/>
      <w:sz w:val="19"/>
      <w:szCs w:val="19"/>
      <w:lang w:val="en-gb" w:eastAsia="en-US" w:bidi="ar-SA"/>
    </w:rPr>
  </w:style>
  <w:style w:styleId="Heading4" w:type="paragraph">
    <w:name w:val="Heading 4"/>
    <w:basedOn w:val="Normal"/>
    <w:uiPriority w:val="1"/>
    <w:qFormat/>
    <w:pPr>
      <w:ind w:left="918" w:hanging="376"/>
      <w:outlineLvl w:val="4"/>
    </w:pPr>
    <w:rPr>
      <w:rFonts w:ascii="Arial" w:hAnsi="Arial" w:eastAsia="Arial" w:cs="Arial"/>
      <w:b/>
      <w:bCs/>
      <w:sz w:val="18"/>
      <w:szCs w:val="18"/>
      <w:lang w:val="en-gb" w:eastAsia="en-US" w:bidi="ar-SA"/>
    </w:rPr>
  </w:style>
  <w:style w:styleId="Heading5" w:type="paragraph">
    <w:name w:val="Heading 5"/>
    <w:basedOn w:val="Normal"/>
    <w:uiPriority w:val="1"/>
    <w:qFormat/>
    <w:pPr>
      <w:ind w:left="830"/>
      <w:outlineLvl w:val="5"/>
    </w:pPr>
    <w:rPr>
      <w:rFonts w:ascii="Arial" w:hAnsi="Arial" w:eastAsia="Arial" w:cs="Arial"/>
      <w:sz w:val="18"/>
      <w:szCs w:val="18"/>
      <w:lang w:val="en-gb" w:eastAsia="en-US" w:bidi="ar-SA"/>
    </w:rPr>
  </w:style>
  <w:style w:styleId="Heading6" w:type="paragraph">
    <w:name w:val="Heading 6"/>
    <w:basedOn w:val="Normal"/>
    <w:uiPriority w:val="1"/>
    <w:qFormat/>
    <w:pPr>
      <w:ind w:left="1720"/>
      <w:jc w:val="both"/>
      <w:outlineLvl w:val="6"/>
    </w:pPr>
    <w:rPr>
      <w:rFonts w:ascii="Arial" w:hAnsi="Arial" w:eastAsia="Arial" w:cs="Arial"/>
      <w:b/>
      <w:bCs/>
      <w:sz w:val="17"/>
      <w:szCs w:val="17"/>
      <w:lang w:val="en-gb" w:eastAsia="en-US" w:bidi="ar-SA"/>
    </w:rPr>
  </w:style>
  <w:style w:styleId="Title" w:type="paragraph">
    <w:name w:val="Title"/>
    <w:basedOn w:val="Normal"/>
    <w:uiPriority w:val="1"/>
    <w:qFormat/>
    <w:pPr>
      <w:spacing w:before="392"/>
      <w:ind w:left="542"/>
      <w:jc w:val="center"/>
    </w:pPr>
    <w:rPr>
      <w:rFonts w:ascii="Arial" w:hAnsi="Arial" w:eastAsia="Arial" w:cs="Arial"/>
      <w:b/>
      <w:bCs/>
      <w:sz w:val="50"/>
      <w:szCs w:val="50"/>
      <w:lang w:val="en-gb" w:eastAsia="en-US" w:bidi="ar-SA"/>
    </w:rPr>
  </w:style>
  <w:style w:styleId="ListParagraph" w:type="paragraph">
    <w:name w:val="List Paragraph"/>
    <w:basedOn w:val="Normal"/>
    <w:uiPriority w:val="1"/>
    <w:qFormat/>
    <w:pPr>
      <w:ind w:left="1330" w:hanging="251"/>
    </w:pPr>
    <w:rPr>
      <w:rFonts w:ascii="Times New Roman" w:hAnsi="Times New Roman" w:eastAsia="Times New Roman" w:cs="Times New Roman"/>
      <w:lang w:val="en-gb" w:eastAsia="en-US" w:bidi="ar-SA"/>
    </w:rPr>
  </w:style>
  <w:style w:styleId="TableParagraph" w:type="paragraph">
    <w:name w:val="Table Paragraph"/>
    <w:basedOn w:val="Normal"/>
    <w:uiPriority w:val="1"/>
    <w:qFormat/>
    <w:pPr/>
    <w:rPr>
      <w:rFonts w:ascii="Arial" w:hAnsi="Arial" w:eastAsia="Arial" w:cs="Arial"/>
      <w:lang w:val="en-gb"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puq@puq.ca" TargetMode="External"/><Relationship Id="rId7" Type="http://schemas.openxmlformats.org/officeDocument/2006/relationships/hyperlink" Target="http://www.puq.ca/"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footer" Target="footer24.xml"/><Relationship Id="rId37" Type="http://schemas.openxmlformats.org/officeDocument/2006/relationships/footer" Target="footer25.xml"/><Relationship Id="rId38" Type="http://schemas.openxmlformats.org/officeDocument/2006/relationships/footer" Target="footer26.xml"/><Relationship Id="rId39" Type="http://schemas.openxmlformats.org/officeDocument/2006/relationships/hyperlink" Target="http://www.revuegestion.ca/donner-un-sens-au-travail-pour-stimuler-la-qualite-de-" TargetMode="External"/><Relationship Id="rId40" Type="http://schemas.openxmlformats.org/officeDocument/2006/relationships/hyperlink" Target="http://www.who.int/fr/" TargetMode="External"/><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footer" Target="footer29.xml"/><Relationship Id="rId44" Type="http://schemas.openxmlformats.org/officeDocument/2006/relationships/footer" Target="footer30.xml"/><Relationship Id="rId45" Type="http://schemas.openxmlformats.org/officeDocument/2006/relationships/footer" Target="footer31.xml"/><Relationship Id="rId46" Type="http://schemas.openxmlformats.org/officeDocument/2006/relationships/footer" Target="footer32.xml"/><Relationship Id="rId47" Type="http://schemas.openxmlformats.org/officeDocument/2006/relationships/footer" Target="footer33.xml"/><Relationship Id="rId48" Type="http://schemas.openxmlformats.org/officeDocument/2006/relationships/footer" Target="footer34.xml"/><Relationship Id="rId49" Type="http://schemas.openxmlformats.org/officeDocument/2006/relationships/footer" Target="footer35.xml"/><Relationship Id="rId50" Type="http://schemas.openxmlformats.org/officeDocument/2006/relationships/footer" Target="footer36.xml"/><Relationship Id="rId51" Type="http://schemas.openxmlformats.org/officeDocument/2006/relationships/footer" Target="footer37.xml"/><Relationship Id="rId52" Type="http://schemas.openxmlformats.org/officeDocument/2006/relationships/hyperlink" Target="http://www.envirocompetences.org/nouvelles/pour-un-milieu-" TargetMode="External"/><Relationship Id="rId53" Type="http://schemas.openxmlformats.org/officeDocument/2006/relationships/footer" Target="footer38.xml"/><Relationship Id="rId54" Type="http://schemas.openxmlformats.org/officeDocument/2006/relationships/footer" Target="footer39.xml"/><Relationship Id="rId55" Type="http://schemas.openxmlformats.org/officeDocument/2006/relationships/footer" Target="footer40.xml"/><Relationship Id="rId56" Type="http://schemas.openxmlformats.org/officeDocument/2006/relationships/footer" Target="footer41.xml"/><Relationship Id="rId57" Type="http://schemas.openxmlformats.org/officeDocument/2006/relationships/footer" Target="footer42.xml"/><Relationship Id="rId58" Type="http://schemas.openxmlformats.org/officeDocument/2006/relationships/footer" Target="footer43.xml"/><Relationship Id="rId59" Type="http://schemas.openxmlformats.org/officeDocument/2006/relationships/footer" Target="footer44.xml"/><Relationship Id="rId60" Type="http://schemas.openxmlformats.org/officeDocument/2006/relationships/footer" Target="footer45.xml"/><Relationship Id="rId61" Type="http://schemas.openxmlformats.org/officeDocument/2006/relationships/footer" Target="footer46.xml"/><Relationship Id="rId62" Type="http://schemas.openxmlformats.org/officeDocument/2006/relationships/footer" Target="footer47.xml"/><Relationship Id="rId63" Type="http://schemas.openxmlformats.org/officeDocument/2006/relationships/footer" Target="footer48.xml"/><Relationship Id="rId64" Type="http://schemas.openxmlformats.org/officeDocument/2006/relationships/hyperlink" Target="http://www.passeportsante.net/fr/Actualites/Dossiers/ArticleComplementaire.aspx?doc=stress_" TargetMode="External"/><Relationship Id="rId65" Type="http://schemas.openxmlformats.org/officeDocument/2006/relationships/footer" Target="footer49.xml"/><Relationship Id="rId66" Type="http://schemas.openxmlformats.org/officeDocument/2006/relationships/footer" Target="footer50.xml"/><Relationship Id="rId67" Type="http://schemas.openxmlformats.org/officeDocument/2006/relationships/image" Target="media/image7.png"/><Relationship Id="rId68" Type="http://schemas.openxmlformats.org/officeDocument/2006/relationships/image" Target="media/image8.png"/><Relationship Id="rId69" Type="http://schemas.openxmlformats.org/officeDocument/2006/relationships/image" Target="media/image9.png"/><Relationship Id="rId70" Type="http://schemas.openxmlformats.org/officeDocument/2006/relationships/image" Target="media/image10.png"/><Relationship Id="rId71" Type="http://schemas.openxmlformats.org/officeDocument/2006/relationships/footer" Target="footer51.xml"/><Relationship Id="rId72" Type="http://schemas.openxmlformats.org/officeDocument/2006/relationships/footer" Target="footer52.xml"/><Relationship Id="rId73" Type="http://schemas.openxmlformats.org/officeDocument/2006/relationships/footer" Target="footer53.xml"/><Relationship Id="rId74" Type="http://schemas.openxmlformats.org/officeDocument/2006/relationships/footer" Target="footer54.xml"/><Relationship Id="rId75" Type="http://schemas.openxmlformats.org/officeDocument/2006/relationships/footer" Target="footer55.xml"/><Relationship Id="rId76" Type="http://schemas.openxmlformats.org/officeDocument/2006/relationships/footer" Target="footer56.xml"/><Relationship Id="rId77" Type="http://schemas.openxmlformats.org/officeDocument/2006/relationships/image" Target="media/image11.png"/><Relationship Id="rId78" Type="http://schemas.openxmlformats.org/officeDocument/2006/relationships/footer" Target="footer57.xml"/><Relationship Id="rId79" Type="http://schemas.openxmlformats.org/officeDocument/2006/relationships/footer" Target="footer58.xml"/><Relationship Id="rId80" Type="http://schemas.openxmlformats.org/officeDocument/2006/relationships/image" Target="media/image12.png"/><Relationship Id="rId81" Type="http://schemas.openxmlformats.org/officeDocument/2006/relationships/image" Target="media/image13.png"/><Relationship Id="rId82" Type="http://schemas.openxmlformats.org/officeDocument/2006/relationships/image" Target="media/image14.png"/><Relationship Id="rId83" Type="http://schemas.openxmlformats.org/officeDocument/2006/relationships/image" Target="media/image15.png"/><Relationship Id="rId84" Type="http://schemas.openxmlformats.org/officeDocument/2006/relationships/image" Target="media/image16.png"/><Relationship Id="rId85" Type="http://schemas.openxmlformats.org/officeDocument/2006/relationships/image" Target="media/image17.png"/><Relationship Id="rId86" Type="http://schemas.openxmlformats.org/officeDocument/2006/relationships/image" Target="media/image18.png"/><Relationship Id="rId87" Type="http://schemas.openxmlformats.org/officeDocument/2006/relationships/image" Target="media/image19.png"/><Relationship Id="rId88" Type="http://schemas.openxmlformats.org/officeDocument/2006/relationships/image" Target="media/image20.png"/><Relationship Id="rId89" Type="http://schemas.openxmlformats.org/officeDocument/2006/relationships/image" Target="media/image21.png"/><Relationship Id="rId90" Type="http://schemas.openxmlformats.org/officeDocument/2006/relationships/image" Target="media/image22.png"/><Relationship Id="rId91" Type="http://schemas.openxmlformats.org/officeDocument/2006/relationships/image" Target="media/image23.png"/><Relationship Id="rId92" Type="http://schemas.openxmlformats.org/officeDocument/2006/relationships/image" Target="media/image24.png"/><Relationship Id="rId93" Type="http://schemas.openxmlformats.org/officeDocument/2006/relationships/image" Target="media/image25.png"/><Relationship Id="rId94" Type="http://schemas.openxmlformats.org/officeDocument/2006/relationships/image" Target="media/image26.png"/><Relationship Id="rId95" Type="http://schemas.openxmlformats.org/officeDocument/2006/relationships/image" Target="media/image27.png"/><Relationship Id="rId96" Type="http://schemas.openxmlformats.org/officeDocument/2006/relationships/image" Target="media/image28.png"/><Relationship Id="rId97" Type="http://schemas.openxmlformats.org/officeDocument/2006/relationships/image" Target="media/image29.png"/><Relationship Id="rId98" Type="http://schemas.openxmlformats.org/officeDocument/2006/relationships/image" Target="media/image30.png"/><Relationship Id="rId99" Type="http://schemas.openxmlformats.org/officeDocument/2006/relationships/image" Target="media/image31.png"/><Relationship Id="rId100" Type="http://schemas.openxmlformats.org/officeDocument/2006/relationships/image" Target="media/image32.png"/><Relationship Id="rId101" Type="http://schemas.openxmlformats.org/officeDocument/2006/relationships/image" Target="media/image33.png"/><Relationship Id="rId102" Type="http://schemas.openxmlformats.org/officeDocument/2006/relationships/image" Target="media/image34.png"/><Relationship Id="rId103" Type="http://schemas.openxmlformats.org/officeDocument/2006/relationships/image" Target="media/image35.png"/><Relationship Id="rId104" Type="http://schemas.openxmlformats.org/officeDocument/2006/relationships/image" Target="media/image36.png"/><Relationship Id="rId105" Type="http://schemas.openxmlformats.org/officeDocument/2006/relationships/image" Target="media/image37.png"/><Relationship Id="rId106" Type="http://schemas.openxmlformats.org/officeDocument/2006/relationships/image" Target="media/image38.png"/><Relationship Id="rId107" Type="http://schemas.openxmlformats.org/officeDocument/2006/relationships/image" Target="media/image39.png"/><Relationship Id="rId108" Type="http://schemas.openxmlformats.org/officeDocument/2006/relationships/image" Target="media/image40.png"/><Relationship Id="rId109" Type="http://schemas.openxmlformats.org/officeDocument/2006/relationships/image" Target="media/image41.png"/><Relationship Id="rId110" Type="http://schemas.openxmlformats.org/officeDocument/2006/relationships/image" Target="media/image42.png"/><Relationship Id="rId111" Type="http://schemas.openxmlformats.org/officeDocument/2006/relationships/image" Target="media/image43.png"/><Relationship Id="rId112" Type="http://schemas.openxmlformats.org/officeDocument/2006/relationships/image" Target="media/image44.png"/><Relationship Id="rId113" Type="http://schemas.openxmlformats.org/officeDocument/2006/relationships/image" Target="media/image45.png"/><Relationship Id="rId114" Type="http://schemas.openxmlformats.org/officeDocument/2006/relationships/image" Target="media/image46.png"/><Relationship Id="rId115" Type="http://schemas.openxmlformats.org/officeDocument/2006/relationships/image" Target="media/image47.png"/><Relationship Id="rId116" Type="http://schemas.openxmlformats.org/officeDocument/2006/relationships/image" Target="media/image48.png"/><Relationship Id="rId117" Type="http://schemas.openxmlformats.org/officeDocument/2006/relationships/image" Target="media/image49.png"/><Relationship Id="rId118" Type="http://schemas.openxmlformats.org/officeDocument/2006/relationships/image" Target="media/image50.png"/><Relationship Id="rId119" Type="http://schemas.openxmlformats.org/officeDocument/2006/relationships/image" Target="media/image51.png"/><Relationship Id="rId120" Type="http://schemas.openxmlformats.org/officeDocument/2006/relationships/image" Target="media/image52.png"/><Relationship Id="rId121" Type="http://schemas.openxmlformats.org/officeDocument/2006/relationships/image" Target="media/image53.png"/><Relationship Id="rId122" Type="http://schemas.openxmlformats.org/officeDocument/2006/relationships/image" Target="media/image54.png"/><Relationship Id="rId123" Type="http://schemas.openxmlformats.org/officeDocument/2006/relationships/image" Target="media/image55.png"/><Relationship Id="rId124" Type="http://schemas.openxmlformats.org/officeDocument/2006/relationships/image" Target="media/image56.png"/><Relationship Id="rId125" Type="http://schemas.openxmlformats.org/officeDocument/2006/relationships/image" Target="media/image57.png"/><Relationship Id="rId126" Type="http://schemas.openxmlformats.org/officeDocument/2006/relationships/image" Target="media/image58.png"/><Relationship Id="rId127" Type="http://schemas.openxmlformats.org/officeDocument/2006/relationships/image" Target="media/image59.png"/><Relationship Id="rId128" Type="http://schemas.openxmlformats.org/officeDocument/2006/relationships/image" Target="media/image60.png"/><Relationship Id="rId129" Type="http://schemas.openxmlformats.org/officeDocument/2006/relationships/image" Target="media/image61.png"/><Relationship Id="rId130" Type="http://schemas.openxmlformats.org/officeDocument/2006/relationships/image" Target="media/image62.png"/><Relationship Id="rId131" Type="http://schemas.openxmlformats.org/officeDocument/2006/relationships/image" Target="media/image63.png"/><Relationship Id="rId132" Type="http://schemas.openxmlformats.org/officeDocument/2006/relationships/image" Target="media/image64.png"/><Relationship Id="rId133" Type="http://schemas.openxmlformats.org/officeDocument/2006/relationships/image" Target="media/image65.png"/><Relationship Id="rId134" Type="http://schemas.openxmlformats.org/officeDocument/2006/relationships/image" Target="media/image66.png"/><Relationship Id="rId135" Type="http://schemas.openxmlformats.org/officeDocument/2006/relationships/image" Target="media/image67.png"/><Relationship Id="rId136" Type="http://schemas.openxmlformats.org/officeDocument/2006/relationships/image" Target="media/image68.png"/><Relationship Id="rId137" Type="http://schemas.openxmlformats.org/officeDocument/2006/relationships/image" Target="media/image69.png"/><Relationship Id="rId138" Type="http://schemas.openxmlformats.org/officeDocument/2006/relationships/image" Target="media/image70.png"/><Relationship Id="rId139" Type="http://schemas.openxmlformats.org/officeDocument/2006/relationships/image" Target="media/image71.png"/><Relationship Id="rId140" Type="http://schemas.openxmlformats.org/officeDocument/2006/relationships/image" Target="media/image72.png"/><Relationship Id="rId141" Type="http://schemas.openxmlformats.org/officeDocument/2006/relationships/image" Target="media/image73.png"/><Relationship Id="rId142" Type="http://schemas.openxmlformats.org/officeDocument/2006/relationships/image" Target="media/image74.png"/><Relationship Id="rId143" Type="http://schemas.openxmlformats.org/officeDocument/2006/relationships/image" Target="media/image75.png"/><Relationship Id="rId144" Type="http://schemas.openxmlformats.org/officeDocument/2006/relationships/image" Target="media/image76.png"/><Relationship Id="rId145" Type="http://schemas.openxmlformats.org/officeDocument/2006/relationships/image" Target="media/image77.png"/><Relationship Id="rId146" Type="http://schemas.openxmlformats.org/officeDocument/2006/relationships/image" Target="media/image78.png"/><Relationship Id="rId147" Type="http://schemas.openxmlformats.org/officeDocument/2006/relationships/image" Target="media/image79.png"/><Relationship Id="rId148" Type="http://schemas.openxmlformats.org/officeDocument/2006/relationships/footer" Target="footer59.xml"/><Relationship Id="rId149" Type="http://schemas.openxmlformats.org/officeDocument/2006/relationships/footer" Target="footer60.xml"/><Relationship Id="rId150" Type="http://schemas.openxmlformats.org/officeDocument/2006/relationships/footer" Target="footer61.xml"/><Relationship Id="rId151" Type="http://schemas.openxmlformats.org/officeDocument/2006/relationships/footer" Target="footer62.xml"/><Relationship Id="rId152" Type="http://schemas.openxmlformats.org/officeDocument/2006/relationships/footer" Target="footer63.xml"/><Relationship Id="rId153" Type="http://schemas.openxmlformats.org/officeDocument/2006/relationships/footer" Target="footer64.xml"/><Relationship Id="rId154" Type="http://schemas.openxmlformats.org/officeDocument/2006/relationships/footer" Target="footer65.xml"/><Relationship Id="rId155" Type="http://schemas.openxmlformats.org/officeDocument/2006/relationships/footer" Target="footer66.xml"/><Relationship Id="rId156" Type="http://schemas.openxmlformats.org/officeDocument/2006/relationships/footer" Target="footer67.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footer" Target="footer70.xml"/><Relationship Id="rId160" Type="http://schemas.openxmlformats.org/officeDocument/2006/relationships/image" Target="media/image80.png"/><Relationship Id="rId161" Type="http://schemas.openxmlformats.org/officeDocument/2006/relationships/hyperlink" Target="http://www.researchgate.net/figure/Modele-demande-controle-soutien-social-Karasek-" TargetMode="External"/><Relationship Id="rId162" Type="http://schemas.openxmlformats.org/officeDocument/2006/relationships/footer" Target="footer71.xml"/><Relationship Id="rId163" Type="http://schemas.openxmlformats.org/officeDocument/2006/relationships/hyperlink" Target="http://www.atousante.com/risques-professionnels/sante-mentale/stress-professionnel/" TargetMode="External"/><Relationship Id="rId164" Type="http://schemas.openxmlformats.org/officeDocument/2006/relationships/footer" Target="footer72.xml"/><Relationship Id="rId165" Type="http://schemas.openxmlformats.org/officeDocument/2006/relationships/footer" Target="footer73.xml"/><Relationship Id="rId166" Type="http://schemas.openxmlformats.org/officeDocument/2006/relationships/footer" Target="footer74.xml"/><Relationship Id="rId167" Type="http://schemas.openxmlformats.org/officeDocument/2006/relationships/footer" Target="footer75.xml"/><Relationship Id="rId168" Type="http://schemas.openxmlformats.org/officeDocument/2006/relationships/footer" Target="footer76.xml"/><Relationship Id="rId169" Type="http://schemas.openxmlformats.org/officeDocument/2006/relationships/footer" Target="footer77.xml"/><Relationship Id="rId170" Type="http://schemas.openxmlformats.org/officeDocument/2006/relationships/footer" Target="footer78.xml"/><Relationship Id="rId171" Type="http://schemas.openxmlformats.org/officeDocument/2006/relationships/footer" Target="footer79.xml"/><Relationship Id="rId172" Type="http://schemas.openxmlformats.org/officeDocument/2006/relationships/footer" Target="footer80.xml"/><Relationship Id="rId173" Type="http://schemas.openxmlformats.org/officeDocument/2006/relationships/footer" Target="footer81.xml"/><Relationship Id="rId174" Type="http://schemas.openxmlformats.org/officeDocument/2006/relationships/footer" Target="footer82.xml"/><Relationship Id="rId175" Type="http://schemas.openxmlformats.org/officeDocument/2006/relationships/footer" Target="footer83.xml"/><Relationship Id="rId176" Type="http://schemas.openxmlformats.org/officeDocument/2006/relationships/hyperlink" Target="http://www.journaldemontreal.com/2020/02/23/comment-le-stress-" TargetMode="External"/><Relationship Id="rId177" Type="http://schemas.openxmlformats.org/officeDocument/2006/relationships/footer" Target="footer84.xml"/><Relationship Id="rId178" Type="http://schemas.openxmlformats.org/officeDocument/2006/relationships/footer" Target="footer85.xml"/><Relationship Id="rId179" Type="http://schemas.openxmlformats.org/officeDocument/2006/relationships/footer" Target="footer86.xml"/><Relationship Id="rId180" Type="http://schemas.openxmlformats.org/officeDocument/2006/relationships/footer" Target="footer87.xml"/><Relationship Id="rId181" Type="http://schemas.openxmlformats.org/officeDocument/2006/relationships/footer" Target="footer88.xml"/><Relationship Id="rId182" Type="http://schemas.openxmlformats.org/officeDocument/2006/relationships/footer" Target="footer89.xml"/><Relationship Id="rId183" Type="http://schemas.openxmlformats.org/officeDocument/2006/relationships/footer" Target="footer90.xml"/><Relationship Id="rId184" Type="http://schemas.openxmlformats.org/officeDocument/2006/relationships/footer" Target="footer91.xml"/><Relationship Id="rId185" Type="http://schemas.openxmlformats.org/officeDocument/2006/relationships/footer" Target="footer92.xml"/><Relationship Id="rId186" Type="http://schemas.openxmlformats.org/officeDocument/2006/relationships/footer" Target="footer93.xml"/><Relationship Id="rId187" Type="http://schemas.openxmlformats.org/officeDocument/2006/relationships/footer" Target="footer94.xml"/><Relationship Id="rId188" Type="http://schemas.openxmlformats.org/officeDocument/2006/relationships/footer" Target="footer95.xml"/><Relationship Id="rId189" Type="http://schemas.openxmlformats.org/officeDocument/2006/relationships/footer" Target="footer96.xml"/><Relationship Id="rId190" Type="http://schemas.openxmlformats.org/officeDocument/2006/relationships/footer" Target="footer97.xml"/><Relationship Id="rId191" Type="http://schemas.openxmlformats.org/officeDocument/2006/relationships/footer" Target="footer98.xml"/><Relationship Id="rId192" Type="http://schemas.openxmlformats.org/officeDocument/2006/relationships/footer" Target="footer99.xml"/><Relationship Id="rId193" Type="http://schemas.openxmlformats.org/officeDocument/2006/relationships/image" Target="media/image81.png"/><Relationship Id="rId194" Type="http://schemas.openxmlformats.org/officeDocument/2006/relationships/hyperlink" Target="http://www.revuegestion.ca/" TargetMode="External"/><Relationship Id="rId195" Type="http://schemas.openxmlformats.org/officeDocument/2006/relationships/footer" Target="footer100.xml"/><Relationship Id="rId196" Type="http://schemas.openxmlformats.org/officeDocument/2006/relationships/footer" Target="footer101.xml"/><Relationship Id="rId197" Type="http://schemas.openxmlformats.org/officeDocument/2006/relationships/hyperlink" Target="http://www.careercast.com/jobs-rated/most-stressful-jobs-2019" TargetMode="External"/><Relationship Id="rId198" Type="http://schemas.openxmlformats.org/officeDocument/2006/relationships/footer" Target="footer102.xml"/><Relationship Id="rId199" Type="http://schemas.openxmlformats.org/officeDocument/2006/relationships/footer" Target="footer103.xml"/><Relationship Id="rId200" Type="http://schemas.openxmlformats.org/officeDocument/2006/relationships/footer" Target="footer104.xml"/><Relationship Id="rId201" Type="http://schemas.openxmlformats.org/officeDocument/2006/relationships/footer" Target="footer105.xml"/><Relationship Id="rId202" Type="http://schemas.openxmlformats.org/officeDocument/2006/relationships/footer" Target="footer106.xml"/><Relationship Id="rId203" Type="http://schemas.openxmlformats.org/officeDocument/2006/relationships/image" Target="media/image82.png"/><Relationship Id="rId204" Type="http://schemas.openxmlformats.org/officeDocument/2006/relationships/image" Target="media/image83.png"/><Relationship Id="rId205" Type="http://schemas.openxmlformats.org/officeDocument/2006/relationships/footer" Target="footer107.xml"/><Relationship Id="rId206" Type="http://schemas.openxmlformats.org/officeDocument/2006/relationships/footer" Target="footer108.xml"/><Relationship Id="rId207" Type="http://schemas.openxmlformats.org/officeDocument/2006/relationships/footer" Target="footer109.xml"/><Relationship Id="rId208" Type="http://schemas.openxmlformats.org/officeDocument/2006/relationships/footer" Target="footer110.xml"/><Relationship Id="rId209" Type="http://schemas.openxmlformats.org/officeDocument/2006/relationships/footer" Target="footer111.xml"/><Relationship Id="rId210" Type="http://schemas.openxmlformats.org/officeDocument/2006/relationships/footer" Target="footer112.xml"/><Relationship Id="rId211" Type="http://schemas.openxmlformats.org/officeDocument/2006/relationships/footer" Target="footer113.xml"/><Relationship Id="rId212" Type="http://schemas.openxmlformats.org/officeDocument/2006/relationships/footer" Target="footer114.xml"/><Relationship Id="rId213" Type="http://schemas.openxmlformats.org/officeDocument/2006/relationships/footer" Target="footer115.xml"/><Relationship Id="rId214" Type="http://schemas.openxmlformats.org/officeDocument/2006/relationships/footer" Target="footer116.xml"/><Relationship Id="rId215" Type="http://schemas.openxmlformats.org/officeDocument/2006/relationships/image" Target="media/image84.png"/><Relationship Id="rId216" Type="http://schemas.openxmlformats.org/officeDocument/2006/relationships/footer" Target="footer117.xml"/><Relationship Id="rId217" Type="http://schemas.openxmlformats.org/officeDocument/2006/relationships/footer" Target="footer118.xml"/><Relationship Id="rId218" Type="http://schemas.openxmlformats.org/officeDocument/2006/relationships/footer" Target="footer119.xml"/><Relationship Id="rId219" Type="http://schemas.openxmlformats.org/officeDocument/2006/relationships/footer" Target="footer120.xml"/><Relationship Id="rId220" Type="http://schemas.openxmlformats.org/officeDocument/2006/relationships/hyperlink" Target="http://www/" TargetMode="External"/><Relationship Id="rId221" Type="http://schemas.openxmlformats.org/officeDocument/2006/relationships/footer" Target="footer121.xml"/><Relationship Id="rId222" Type="http://schemas.openxmlformats.org/officeDocument/2006/relationships/footer" Target="footer122.xml"/><Relationship Id="rId223" Type="http://schemas.openxmlformats.org/officeDocument/2006/relationships/footer" Target="footer123.xml"/><Relationship Id="rId224" Type="http://schemas.openxmlformats.org/officeDocument/2006/relationships/footer" Target="footer124.xml"/><Relationship Id="rId225" Type="http://schemas.openxmlformats.org/officeDocument/2006/relationships/hyperlink" Target="http://www.dynamique-mag.com/article/effets-stress-entreprise.10033" TargetMode="External"/><Relationship Id="rId226" Type="http://schemas.openxmlformats.org/officeDocument/2006/relationships/footer" Target="footer125.xml"/><Relationship Id="rId227" Type="http://schemas.openxmlformats.org/officeDocument/2006/relationships/footer" Target="footer126.xml"/><Relationship Id="rId228" Type="http://schemas.openxmlformats.org/officeDocument/2006/relationships/footer" Target="footer127.xml"/><Relationship Id="rId229" Type="http://schemas.openxmlformats.org/officeDocument/2006/relationships/footer" Target="footer128.xml"/><Relationship Id="rId230" Type="http://schemas.openxmlformats.org/officeDocument/2006/relationships/footer" Target="footer129.xml"/><Relationship Id="rId231" Type="http://schemas.openxmlformats.org/officeDocument/2006/relationships/footer" Target="footer130.xml"/><Relationship Id="rId232" Type="http://schemas.openxmlformats.org/officeDocument/2006/relationships/footer" Target="footer131.xml"/><Relationship Id="rId233" Type="http://schemas.openxmlformats.org/officeDocument/2006/relationships/footer" Target="footer132.xml"/><Relationship Id="rId234" Type="http://schemas.openxmlformats.org/officeDocument/2006/relationships/footer" Target="footer133.xml"/><Relationship Id="rId235" Type="http://schemas.openxmlformats.org/officeDocument/2006/relationships/footer" Target="footer134.xml"/><Relationship Id="rId236" Type="http://schemas.openxmlformats.org/officeDocument/2006/relationships/footer" Target="footer135.xml"/><Relationship Id="rId237" Type="http://schemas.openxmlformats.org/officeDocument/2006/relationships/footer" Target="footer136.xml"/><Relationship Id="rId238" Type="http://schemas.openxmlformats.org/officeDocument/2006/relationships/footer" Target="footer137.xml"/><Relationship Id="rId239" Type="http://schemas.openxmlformats.org/officeDocument/2006/relationships/footer" Target="footer138.xml"/><Relationship Id="rId240" Type="http://schemas.openxmlformats.org/officeDocument/2006/relationships/footer" Target="footer139.xml"/><Relationship Id="rId241" Type="http://schemas.openxmlformats.org/officeDocument/2006/relationships/footer" Target="footer140.xml"/><Relationship Id="rId242" Type="http://schemas.openxmlformats.org/officeDocument/2006/relationships/footer" Target="footer141.xml"/><Relationship Id="rId243" Type="http://schemas.openxmlformats.org/officeDocument/2006/relationships/footer" Target="footer142.xml"/><Relationship Id="rId244" Type="http://schemas.openxmlformats.org/officeDocument/2006/relationships/footer" Target="footer143.xml"/><Relationship Id="rId245" Type="http://schemas.openxmlformats.org/officeDocument/2006/relationships/footer" Target="footer144.xml"/><Relationship Id="rId246" Type="http://schemas.openxmlformats.org/officeDocument/2006/relationships/footer" Target="footer145.xml"/><Relationship Id="rId247" Type="http://schemas.openxmlformats.org/officeDocument/2006/relationships/footer" Target="footer146.xml"/><Relationship Id="rId248" Type="http://schemas.openxmlformats.org/officeDocument/2006/relationships/hyperlink" Target="http://dx.doi.org/10.1037/pspp0000265" TargetMode="External"/><Relationship Id="rId249" Type="http://schemas.openxmlformats.org/officeDocument/2006/relationships/footer" Target="footer147.xml"/><Relationship Id="rId250" Type="http://schemas.openxmlformats.org/officeDocument/2006/relationships/hyperlink" Target="http://www.passeportsante.net/fr/Maux/Problemes/Fiche.aspx?doc" TargetMode="External"/><Relationship Id="rId251" Type="http://schemas.openxmlformats.org/officeDocument/2006/relationships/footer" Target="footer148.xml"/><Relationship Id="rId252" Type="http://schemas.openxmlformats.org/officeDocument/2006/relationships/footer" Target="footer149.xml"/><Relationship Id="rId253" Type="http://schemas.openxmlformats.org/officeDocument/2006/relationships/footer" Target="footer150.xml"/><Relationship Id="rId254" Type="http://schemas.openxmlformats.org/officeDocument/2006/relationships/hyperlink" Target="http://toppconfiance.com/les-symptomes-et-les-consequences-dune-faible-" TargetMode="External"/><Relationship Id="rId255" Type="http://schemas.openxmlformats.org/officeDocument/2006/relationships/footer" Target="footer151.xml"/><Relationship Id="rId256" Type="http://schemas.openxmlformats.org/officeDocument/2006/relationships/footer" Target="footer152.xml"/><Relationship Id="rId257" Type="http://schemas.openxmlformats.org/officeDocument/2006/relationships/footer" Target="footer153.xml"/><Relationship Id="rId258" Type="http://schemas.openxmlformats.org/officeDocument/2006/relationships/footer" Target="footer154.xml"/><Relationship Id="rId259" Type="http://schemas.openxmlformats.org/officeDocument/2006/relationships/footer" Target="footer155.xml"/><Relationship Id="rId260" Type="http://schemas.openxmlformats.org/officeDocument/2006/relationships/footer" Target="footer156.xml"/><Relationship Id="rId261" Type="http://schemas.openxmlformats.org/officeDocument/2006/relationships/footer" Target="footer157.xml"/><Relationship Id="rId262" Type="http://schemas.openxmlformats.org/officeDocument/2006/relationships/footer" Target="footer158.xml"/><Relationship Id="rId263" Type="http://schemas.openxmlformats.org/officeDocument/2006/relationships/footer" Target="footer159.xml"/><Relationship Id="rId264" Type="http://schemas.openxmlformats.org/officeDocument/2006/relationships/footer" Target="footer160.xml"/><Relationship Id="rId265" Type="http://schemas.openxmlformats.org/officeDocument/2006/relationships/footer" Target="footer161.xml"/><Relationship Id="rId266" Type="http://schemas.openxmlformats.org/officeDocument/2006/relationships/footer" Target="footer162.xml"/><Relationship Id="rId267" Type="http://schemas.openxmlformats.org/officeDocument/2006/relationships/footer" Target="footer163.xml"/><Relationship Id="rId268" Type="http://schemas.openxmlformats.org/officeDocument/2006/relationships/footer" Target="footer164.xml"/><Relationship Id="rId269" Type="http://schemas.openxmlformats.org/officeDocument/2006/relationships/hyperlink" Target="http://www.capital.fr/votre-carriere/les-cinq-cles-de-la-confiance-en-soi-au-travail-815280" TargetMode="External"/><Relationship Id="rId270" Type="http://schemas.openxmlformats.org/officeDocument/2006/relationships/footer" Target="footer165.xml"/><Relationship Id="rId271" Type="http://schemas.openxmlformats.org/officeDocument/2006/relationships/image" Target="media/image85.png"/><Relationship Id="rId272" Type="http://schemas.openxmlformats.org/officeDocument/2006/relationships/footer" Target="footer166.xml"/><Relationship Id="rId273" Type="http://schemas.openxmlformats.org/officeDocument/2006/relationships/footer" Target="footer167.xml"/><Relationship Id="rId274" Type="http://schemas.openxmlformats.org/officeDocument/2006/relationships/footer" Target="footer168.xml"/><Relationship Id="rId275" Type="http://schemas.openxmlformats.org/officeDocument/2006/relationships/footer" Target="footer169.xml"/><Relationship Id="rId276" Type="http://schemas.openxmlformats.org/officeDocument/2006/relationships/footer" Target="footer170.xml"/><Relationship Id="rId277" Type="http://schemas.openxmlformats.org/officeDocument/2006/relationships/footer" Target="footer171.xml"/><Relationship Id="rId278" Type="http://schemas.openxmlformats.org/officeDocument/2006/relationships/footer" Target="footer172.xml"/><Relationship Id="rId279" Type="http://schemas.openxmlformats.org/officeDocument/2006/relationships/footer" Target="footer173.xml"/><Relationship Id="rId280" Type="http://schemas.openxmlformats.org/officeDocument/2006/relationships/footer" Target="footer174.xml"/><Relationship Id="rId281" Type="http://schemas.openxmlformats.org/officeDocument/2006/relationships/footer" Target="footer175.xml"/><Relationship Id="rId282" Type="http://schemas.openxmlformats.org/officeDocument/2006/relationships/footer" Target="footer176.xml"/><Relationship Id="rId283" Type="http://schemas.openxmlformats.org/officeDocument/2006/relationships/footer" Target="footer177.xml"/><Relationship Id="rId284" Type="http://schemas.openxmlformats.org/officeDocument/2006/relationships/footer" Target="footer178.xml"/><Relationship Id="rId285" Type="http://schemas.openxmlformats.org/officeDocument/2006/relationships/footer" Target="footer179.xml"/><Relationship Id="rId286" Type="http://schemas.openxmlformats.org/officeDocument/2006/relationships/footer" Target="footer180.xml"/><Relationship Id="rId287" Type="http://schemas.openxmlformats.org/officeDocument/2006/relationships/footer" Target="footer181.xml"/><Relationship Id="rId288" Type="http://schemas.openxmlformats.org/officeDocument/2006/relationships/footer" Target="footer182.xml"/><Relationship Id="rId289" Type="http://schemas.openxmlformats.org/officeDocument/2006/relationships/footer" Target="footer183.xml"/><Relationship Id="rId290" Type="http://schemas.openxmlformats.org/officeDocument/2006/relationships/footer" Target="footer184.xml"/><Relationship Id="rId291" Type="http://schemas.openxmlformats.org/officeDocument/2006/relationships/footer" Target="footer185.xml"/><Relationship Id="rId292" Type="http://schemas.openxmlformats.org/officeDocument/2006/relationships/footer" Target="footer186.xml"/><Relationship Id="rId293" Type="http://schemas.openxmlformats.org/officeDocument/2006/relationships/hyperlink" Target="http://www.manuvie.ca/particuliers/" TargetMode="External"/><Relationship Id="rId294" Type="http://schemas.openxmlformats.org/officeDocument/2006/relationships/footer" Target="footer187.xml"/><Relationship Id="rId295" Type="http://schemas.openxmlformats.org/officeDocument/2006/relationships/footer" Target="footer188.xml"/><Relationship Id="rId296" Type="http://schemas.openxmlformats.org/officeDocument/2006/relationships/footer" Target="footer189.xml"/><Relationship Id="rId297" Type="http://schemas.openxmlformats.org/officeDocument/2006/relationships/hyperlink" Target="http://www.ulaval.ca/mon-equilibre-ul/" TargetMode="External"/><Relationship Id="rId298" Type="http://schemas.openxmlformats.org/officeDocument/2006/relationships/footer" Target="footer190.xml"/><Relationship Id="rId299" Type="http://schemas.openxmlformats.org/officeDocument/2006/relationships/hyperlink" Target="http://www.pbs.org/bodyandsoul/218/meditation.htm" TargetMode="External"/><Relationship Id="rId300" Type="http://schemas.openxmlformats.org/officeDocument/2006/relationships/footer" Target="footer191.xml"/><Relationship Id="rId301" Type="http://schemas.openxmlformats.org/officeDocument/2006/relationships/footer" Target="footer192.xml"/><Relationship Id="rId302" Type="http://schemas.openxmlformats.org/officeDocument/2006/relationships/hyperlink" Target="http://www.lesechos.fr/idees-debats/cercle/le-management-par-lhumour-une-valeur-en-" TargetMode="External"/><Relationship Id="rId303" Type="http://schemas.openxmlformats.org/officeDocument/2006/relationships/footer" Target="footer193.xml"/><Relationship Id="rId304" Type="http://schemas.openxmlformats.org/officeDocument/2006/relationships/footer" Target="footer194.xml"/><Relationship Id="rId305" Type="http://schemas.openxmlformats.org/officeDocument/2006/relationships/hyperlink" Target="http://www.huffingtonpost.fr/dr-travis-bradberry/11-signes-que-vous-manquez-" TargetMode="External"/><Relationship Id="rId306" Type="http://schemas.openxmlformats.org/officeDocument/2006/relationships/footer" Target="footer195.xml"/><Relationship Id="rId307" Type="http://schemas.openxmlformats.org/officeDocument/2006/relationships/footer" Target="footer196.xml"/><Relationship Id="rId308" Type="http://schemas.openxmlformats.org/officeDocument/2006/relationships/footer" Target="footer197.xml"/><Relationship Id="rId309" Type="http://schemas.openxmlformats.org/officeDocument/2006/relationships/footer" Target="footer198.xml"/><Relationship Id="rId310" Type="http://schemas.openxmlformats.org/officeDocument/2006/relationships/footer" Target="footer199.xml"/><Relationship Id="rId311" Type="http://schemas.openxmlformats.org/officeDocument/2006/relationships/footer" Target="footer200.xml"/><Relationship Id="rId312" Type="http://schemas.openxmlformats.org/officeDocument/2006/relationships/footer" Target="footer201.xml"/><Relationship Id="rId313" Type="http://schemas.openxmlformats.org/officeDocument/2006/relationships/footer" Target="footer202.xml"/><Relationship Id="rId314" Type="http://schemas.openxmlformats.org/officeDocument/2006/relationships/footer" Target="footer203.xml"/><Relationship Id="rId315" Type="http://schemas.openxmlformats.org/officeDocument/2006/relationships/footer" Target="footer204.xml"/><Relationship Id="rId316" Type="http://schemas.openxmlformats.org/officeDocument/2006/relationships/footer" Target="footer205.xml"/><Relationship Id="rId317" Type="http://schemas.openxmlformats.org/officeDocument/2006/relationships/footer" Target="footer206.xml"/><Relationship Id="rId318" Type="http://schemas.openxmlformats.org/officeDocument/2006/relationships/footer" Target="footer207.xml"/><Relationship Id="rId319" Type="http://schemas.openxmlformats.org/officeDocument/2006/relationships/footer" Target="footer208.xml"/><Relationship Id="rId320" Type="http://schemas.openxmlformats.org/officeDocument/2006/relationships/footer" Target="footer209.xml"/><Relationship Id="rId321" Type="http://schemas.openxmlformats.org/officeDocument/2006/relationships/footer" Target="footer210.xml"/><Relationship Id="rId322" Type="http://schemas.openxmlformats.org/officeDocument/2006/relationships/image" Target="media/image86.png"/><Relationship Id="rId323" Type="http://schemas.openxmlformats.org/officeDocument/2006/relationships/footer" Target="footer211.xml"/><Relationship Id="rId324" Type="http://schemas.openxmlformats.org/officeDocument/2006/relationships/hyperlink" Target="http://www.zinquo.com/tienda-zinquo/" TargetMode="External"/><Relationship Id="rId325" Type="http://schemas.openxmlformats.org/officeDocument/2006/relationships/footer" Target="footer212.xml"/><Relationship Id="rId326" Type="http://schemas.openxmlformats.org/officeDocument/2006/relationships/footer" Target="footer213.xml"/><Relationship Id="rId327" Type="http://schemas.openxmlformats.org/officeDocument/2006/relationships/footer" Target="footer214.xml"/><Relationship Id="rId328" Type="http://schemas.openxmlformats.org/officeDocument/2006/relationships/footer" Target="footer215.xml"/><Relationship Id="rId329" Type="http://schemas.openxmlformats.org/officeDocument/2006/relationships/footer" Target="footer216.xml"/><Relationship Id="rId330" Type="http://schemas.openxmlformats.org/officeDocument/2006/relationships/footer" Target="footer217.xml"/><Relationship Id="rId331" Type="http://schemas.openxmlformats.org/officeDocument/2006/relationships/footer" Target="footer218.xml"/><Relationship Id="rId332" Type="http://schemas.openxmlformats.org/officeDocument/2006/relationships/footer" Target="footer219.xml"/><Relationship Id="rId333" Type="http://schemas.openxmlformats.org/officeDocument/2006/relationships/footer" Target="footer220.xml"/><Relationship Id="rId334" Type="http://schemas.openxmlformats.org/officeDocument/2006/relationships/footer" Target="footer221.xml"/><Relationship Id="rId335" Type="http://schemas.openxmlformats.org/officeDocument/2006/relationships/footer" Target="footer222.xml"/><Relationship Id="rId336" Type="http://schemas.openxmlformats.org/officeDocument/2006/relationships/footer" Target="footer223.xml"/><Relationship Id="rId337" Type="http://schemas.openxmlformats.org/officeDocument/2006/relationships/footer" Target="footer224.xml"/><Relationship Id="rId338" Type="http://schemas.openxmlformats.org/officeDocument/2006/relationships/footer" Target="footer225.xml"/><Relationship Id="rId339" Type="http://schemas.openxmlformats.org/officeDocument/2006/relationships/footer" Target="footer226.xml"/><Relationship Id="rId340" Type="http://schemas.openxmlformats.org/officeDocument/2006/relationships/footer" Target="footer227.xml"/><Relationship Id="rId341" Type="http://schemas.openxmlformats.org/officeDocument/2006/relationships/footer" Target="footer228.xml"/><Relationship Id="rId342" Type="http://schemas.openxmlformats.org/officeDocument/2006/relationships/footer" Target="footer229.xml"/><Relationship Id="rId343" Type="http://schemas.openxmlformats.org/officeDocument/2006/relationships/footer" Target="footer230.xml"/><Relationship Id="rId344" Type="http://schemas.openxmlformats.org/officeDocument/2006/relationships/footer" Target="footer231.xml"/><Relationship Id="rId345" Type="http://schemas.openxmlformats.org/officeDocument/2006/relationships/footer" Target="footer232.xml"/><Relationship Id="rId346" Type="http://schemas.openxmlformats.org/officeDocument/2006/relationships/footer" Target="footer233.xml"/><Relationship Id="rId347" Type="http://schemas.openxmlformats.org/officeDocument/2006/relationships/footer" Target="footer234.xml"/><Relationship Id="rId348" Type="http://schemas.openxmlformats.org/officeDocument/2006/relationships/footer" Target="footer235.xml"/><Relationship Id="rId349" Type="http://schemas.openxmlformats.org/officeDocument/2006/relationships/footer" Target="footer236.xml"/><Relationship Id="rId350" Type="http://schemas.openxmlformats.org/officeDocument/2006/relationships/footer" Target="footer237.xml"/><Relationship Id="rId351" Type="http://schemas.openxmlformats.org/officeDocument/2006/relationships/footer" Target="footer238.xml"/><Relationship Id="rId352" Type="http://schemas.openxmlformats.org/officeDocument/2006/relationships/footer" Target="footer239.xml"/><Relationship Id="rId353" Type="http://schemas.openxmlformats.org/officeDocument/2006/relationships/hyperlink" Target="http://www.socialworkerstoolbox.com/rosenberg-self-esteem-" TargetMode="External"/><Relationship Id="rId354" Type="http://schemas.openxmlformats.org/officeDocument/2006/relationships/footer" Target="footer240.xml"/><Relationship Id="rId355" Type="http://schemas.openxmlformats.org/officeDocument/2006/relationships/hyperlink" Target="http://www.learning-about-values.com/" TargetMode="External"/><Relationship Id="rId356" Type="http://schemas.openxmlformats.org/officeDocument/2006/relationships/footer" Target="footer241.xml"/><Relationship Id="rId357" Type="http://schemas.openxmlformats.org/officeDocument/2006/relationships/footer" Target="footer242.xml"/><Relationship Id="rId358" Type="http://schemas.openxmlformats.org/officeDocument/2006/relationships/footer" Target="footer243.xml"/><Relationship Id="rId359" Type="http://schemas.openxmlformats.org/officeDocument/2006/relationships/footer" Target="footer244.xml"/><Relationship Id="rId360" Type="http://schemas.openxmlformats.org/officeDocument/2006/relationships/hyperlink" Target="http://www.nejm.org/doi/full/10.1056/" TargetMode="External"/><Relationship Id="rId3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2022-04-28T13:42:52Z</dcterms:created>
  <dcterms:modified xsi:type="dcterms:W3CDTF">2022-04-28T13:42:52Z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Creator">
    <vt:lpwstr>Adobe InDesign 16.4 (Macintosh)</vt:lpwstr>
  </property>
  <property fmtid="{D5CDD505-2E9C-101B-9397-08002B2CF9AE}" pid="4" name="LastSaved">
    <vt:filetime>2022-04-28T00:00:00Z</vt:filetime>
  </property>
</Properties>
</file>